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8224B" w14:textId="77777777" w:rsidR="00BA1ACF" w:rsidRPr="00C16021" w:rsidRDefault="00BA1ACF" w:rsidP="00140440">
      <w:pPr>
        <w:tabs>
          <w:tab w:val="clear" w:pos="4419"/>
          <w:tab w:val="clear" w:pos="8838"/>
        </w:tabs>
        <w:ind w:left="-142" w:right="-138"/>
        <w:jc w:val="both"/>
        <w:rPr>
          <w:rFonts w:eastAsia="MS Mincho" w:cs="Times New Roman"/>
          <w:b/>
          <w:szCs w:val="20"/>
          <w:lang w:val="pt-BR"/>
        </w:rPr>
      </w:pPr>
    </w:p>
    <w:p w14:paraId="083891AF" w14:textId="77777777" w:rsidR="00BA1ACF" w:rsidRPr="00C16021" w:rsidRDefault="00BA1ACF" w:rsidP="00140440">
      <w:pPr>
        <w:tabs>
          <w:tab w:val="clear" w:pos="4419"/>
          <w:tab w:val="clear" w:pos="8838"/>
        </w:tabs>
        <w:ind w:left="-142" w:right="-138"/>
        <w:jc w:val="both"/>
        <w:rPr>
          <w:rFonts w:eastAsia="MS Mincho" w:cs="Times New Roman"/>
          <w:b/>
          <w:szCs w:val="20"/>
          <w:lang w:val="pt-BR"/>
        </w:rPr>
      </w:pPr>
    </w:p>
    <w:p w14:paraId="7D39928E" w14:textId="77777777" w:rsidR="00BA1ACF" w:rsidRPr="00C16021" w:rsidRDefault="00BA1ACF" w:rsidP="00140440">
      <w:pPr>
        <w:tabs>
          <w:tab w:val="clear" w:pos="4419"/>
          <w:tab w:val="clear" w:pos="8838"/>
        </w:tabs>
        <w:ind w:left="-142" w:right="-138"/>
        <w:jc w:val="both"/>
        <w:rPr>
          <w:rFonts w:eastAsia="MS Mincho" w:cs="Times New Roman"/>
          <w:b/>
          <w:szCs w:val="20"/>
          <w:lang w:val="pt-BR"/>
        </w:rPr>
      </w:pPr>
    </w:p>
    <w:p w14:paraId="24B84354" w14:textId="77777777" w:rsidR="00BA1ACF" w:rsidRPr="00C16021" w:rsidRDefault="00BA1ACF" w:rsidP="00140440">
      <w:pPr>
        <w:tabs>
          <w:tab w:val="clear" w:pos="4419"/>
          <w:tab w:val="clear" w:pos="8838"/>
        </w:tabs>
        <w:ind w:left="-142" w:right="-138"/>
        <w:jc w:val="both"/>
        <w:rPr>
          <w:rFonts w:eastAsia="MS Mincho" w:cs="Times New Roman"/>
          <w:b/>
          <w:szCs w:val="20"/>
          <w:lang w:val="pt-BR"/>
        </w:rPr>
      </w:pPr>
    </w:p>
    <w:p w14:paraId="4BFBBD2A" w14:textId="77777777" w:rsidR="00BA1ACF" w:rsidRPr="00C16021" w:rsidRDefault="00BA1ACF" w:rsidP="00140440">
      <w:pPr>
        <w:tabs>
          <w:tab w:val="clear" w:pos="4419"/>
          <w:tab w:val="clear" w:pos="8838"/>
        </w:tabs>
        <w:ind w:left="-142" w:right="-138"/>
        <w:jc w:val="both"/>
        <w:rPr>
          <w:rFonts w:eastAsia="MS Mincho" w:cs="Times New Roman"/>
          <w:b/>
          <w:szCs w:val="20"/>
          <w:lang w:val="pt-BR"/>
        </w:rPr>
      </w:pPr>
    </w:p>
    <w:p w14:paraId="1394D152" w14:textId="77777777" w:rsidR="00BA1ACF" w:rsidRPr="00C16021" w:rsidRDefault="00BA1ACF" w:rsidP="00140440">
      <w:pPr>
        <w:tabs>
          <w:tab w:val="clear" w:pos="4419"/>
          <w:tab w:val="clear" w:pos="8838"/>
        </w:tabs>
        <w:ind w:left="-142" w:right="-138"/>
        <w:jc w:val="both"/>
        <w:rPr>
          <w:rFonts w:eastAsia="MS Mincho" w:cs="Times New Roman"/>
          <w:b/>
          <w:szCs w:val="20"/>
          <w:lang w:val="pt-BR"/>
        </w:rPr>
      </w:pPr>
    </w:p>
    <w:p w14:paraId="4F2F0131" w14:textId="77777777" w:rsidR="00BA1ACF" w:rsidRPr="00C16021" w:rsidRDefault="00BA1ACF" w:rsidP="00140440">
      <w:pPr>
        <w:tabs>
          <w:tab w:val="clear" w:pos="4419"/>
          <w:tab w:val="clear" w:pos="8838"/>
        </w:tabs>
        <w:ind w:left="-142" w:right="-138"/>
        <w:jc w:val="both"/>
        <w:rPr>
          <w:rFonts w:eastAsia="MS Mincho" w:cs="Times New Roman"/>
          <w:b/>
          <w:szCs w:val="20"/>
          <w:lang w:val="pt-BR"/>
        </w:rPr>
      </w:pPr>
    </w:p>
    <w:p w14:paraId="594D9CCD" w14:textId="77777777" w:rsidR="00BA1ACF" w:rsidRPr="00C16021" w:rsidRDefault="00BA1ACF" w:rsidP="00140440">
      <w:pPr>
        <w:tabs>
          <w:tab w:val="clear" w:pos="4419"/>
          <w:tab w:val="clear" w:pos="8838"/>
        </w:tabs>
        <w:ind w:left="-142" w:right="-138"/>
        <w:jc w:val="both"/>
        <w:rPr>
          <w:rFonts w:eastAsia="MS Mincho" w:cs="Times New Roman"/>
          <w:b/>
          <w:szCs w:val="20"/>
          <w:lang w:val="pt-BR"/>
        </w:rPr>
      </w:pPr>
    </w:p>
    <w:p w14:paraId="118542CF" w14:textId="77777777" w:rsidR="00BA1ACF" w:rsidRPr="00C16021" w:rsidRDefault="00BA1ACF" w:rsidP="00140440">
      <w:pPr>
        <w:tabs>
          <w:tab w:val="clear" w:pos="4419"/>
          <w:tab w:val="clear" w:pos="8838"/>
        </w:tabs>
        <w:ind w:left="-142" w:right="-138"/>
        <w:jc w:val="both"/>
        <w:rPr>
          <w:rFonts w:eastAsia="MS Mincho" w:cs="Times New Roman"/>
          <w:b/>
          <w:szCs w:val="20"/>
          <w:lang w:val="pt-BR"/>
        </w:rPr>
      </w:pPr>
    </w:p>
    <w:p w14:paraId="4060CCFA" w14:textId="663076AF" w:rsidR="00BA1ACF" w:rsidRPr="00D5464D" w:rsidRDefault="00BA1ACF" w:rsidP="00140440">
      <w:pPr>
        <w:tabs>
          <w:tab w:val="clear" w:pos="4419"/>
          <w:tab w:val="clear" w:pos="8838"/>
        </w:tabs>
        <w:ind w:left="-142" w:right="-138"/>
        <w:jc w:val="center"/>
        <w:rPr>
          <w:rFonts w:eastAsia="MS Mincho" w:cs="Times New Roman"/>
          <w:b/>
          <w:szCs w:val="20"/>
          <w:lang w:val="pt-BR"/>
        </w:rPr>
      </w:pPr>
      <w:r w:rsidRPr="00D5464D">
        <w:rPr>
          <w:rFonts w:eastAsia="MS Mincho" w:cs="Times New Roman"/>
          <w:b/>
          <w:szCs w:val="20"/>
          <w:lang w:val="pt-BR"/>
        </w:rPr>
        <w:t xml:space="preserve">CORTE INTERAMERICANA DE </w:t>
      </w:r>
      <w:r w:rsidR="00470ADC" w:rsidRPr="00D5464D">
        <w:rPr>
          <w:rFonts w:eastAsia="MS Mincho" w:cs="Times New Roman"/>
          <w:b/>
          <w:szCs w:val="20"/>
          <w:lang w:val="pt-BR"/>
        </w:rPr>
        <w:t>DIREITO</w:t>
      </w:r>
      <w:r w:rsidRPr="00D5464D">
        <w:rPr>
          <w:rFonts w:eastAsia="MS Mincho" w:cs="Times New Roman"/>
          <w:b/>
          <w:szCs w:val="20"/>
          <w:lang w:val="pt-BR"/>
        </w:rPr>
        <w:t>S HUMANOS</w:t>
      </w:r>
    </w:p>
    <w:p w14:paraId="5CA45B20" w14:textId="77777777" w:rsidR="00BA1ACF" w:rsidRPr="00D5464D" w:rsidRDefault="00BA1ACF" w:rsidP="00140440">
      <w:pPr>
        <w:tabs>
          <w:tab w:val="clear" w:pos="4419"/>
          <w:tab w:val="clear" w:pos="8838"/>
        </w:tabs>
        <w:ind w:left="-142" w:right="-138"/>
        <w:jc w:val="center"/>
        <w:rPr>
          <w:rFonts w:eastAsia="MS Mincho" w:cs="Times New Roman"/>
          <w:b/>
          <w:sz w:val="16"/>
          <w:szCs w:val="20"/>
          <w:lang w:val="pt-BR"/>
        </w:rPr>
      </w:pPr>
    </w:p>
    <w:p w14:paraId="2848BF55" w14:textId="64AE6BF7" w:rsidR="00BA1ACF" w:rsidRPr="00D5464D" w:rsidRDefault="00BA1ACF" w:rsidP="00140440">
      <w:pPr>
        <w:tabs>
          <w:tab w:val="clear" w:pos="4419"/>
          <w:tab w:val="clear" w:pos="8838"/>
        </w:tabs>
        <w:ind w:left="-142" w:right="-138"/>
        <w:jc w:val="center"/>
        <w:rPr>
          <w:rFonts w:eastAsia="MS Mincho" w:cs="Times New Roman"/>
          <w:b/>
          <w:sz w:val="16"/>
          <w:szCs w:val="20"/>
          <w:lang w:val="pt-BR"/>
        </w:rPr>
      </w:pPr>
      <w:r w:rsidRPr="00D5464D">
        <w:rPr>
          <w:rFonts w:eastAsia="MS Mincho" w:cs="Times New Roman"/>
          <w:b/>
          <w:szCs w:val="20"/>
          <w:lang w:val="pt-BR"/>
        </w:rPr>
        <w:t xml:space="preserve">CASO </w:t>
      </w:r>
      <w:r w:rsidR="00E045D9" w:rsidRPr="00D5464D">
        <w:rPr>
          <w:rFonts w:eastAsia="MS Mincho" w:cs="Times New Roman"/>
          <w:b/>
          <w:szCs w:val="20"/>
          <w:lang w:val="pt-BR"/>
        </w:rPr>
        <w:t>TRABALHADORES</w:t>
      </w:r>
      <w:r w:rsidR="00470ADC" w:rsidRPr="00D5464D">
        <w:rPr>
          <w:rFonts w:eastAsia="MS Mincho" w:cs="Times New Roman"/>
          <w:b/>
          <w:szCs w:val="20"/>
          <w:lang w:val="pt-BR"/>
        </w:rPr>
        <w:t xml:space="preserve"> </w:t>
      </w:r>
      <w:r w:rsidR="00091C0F" w:rsidRPr="00D5464D">
        <w:rPr>
          <w:rFonts w:eastAsia="MS Mincho" w:cs="Times New Roman"/>
          <w:b/>
          <w:szCs w:val="20"/>
          <w:lang w:val="pt-BR"/>
        </w:rPr>
        <w:t>DA</w:t>
      </w:r>
      <w:r w:rsidR="00470ADC" w:rsidRPr="00D5464D">
        <w:rPr>
          <w:rFonts w:eastAsia="MS Mincho" w:cs="Times New Roman"/>
          <w:b/>
          <w:szCs w:val="20"/>
          <w:lang w:val="pt-BR"/>
        </w:rPr>
        <w:t xml:space="preserve"> </w:t>
      </w:r>
      <w:r w:rsidR="00D809F0" w:rsidRPr="00D5464D">
        <w:rPr>
          <w:rFonts w:eastAsia="MS Mincho" w:cs="Times New Roman"/>
          <w:b/>
          <w:szCs w:val="20"/>
          <w:lang w:val="pt-BR"/>
        </w:rPr>
        <w:t>FAZENDA</w:t>
      </w:r>
      <w:r w:rsidRPr="00D5464D">
        <w:rPr>
          <w:rFonts w:eastAsia="MS Mincho" w:cs="Times New Roman"/>
          <w:b/>
          <w:szCs w:val="20"/>
          <w:lang w:val="pt-BR"/>
        </w:rPr>
        <w:t xml:space="preserve"> BRASIL VERDE </w:t>
      </w:r>
      <w:r w:rsidRPr="00D5464D">
        <w:rPr>
          <w:rFonts w:eastAsia="MS Mincho" w:cs="Times New Roman"/>
          <w:b/>
          <w:i/>
          <w:szCs w:val="20"/>
          <w:lang w:val="pt-BR"/>
        </w:rPr>
        <w:t>VS</w:t>
      </w:r>
      <w:r w:rsidRPr="00D5464D">
        <w:rPr>
          <w:rFonts w:eastAsia="MS Mincho" w:cs="Times New Roman"/>
          <w:b/>
          <w:szCs w:val="20"/>
          <w:lang w:val="pt-BR"/>
        </w:rPr>
        <w:t>. BRASIL</w:t>
      </w:r>
    </w:p>
    <w:p w14:paraId="09E0D827" w14:textId="77777777" w:rsidR="00BA1ACF" w:rsidRPr="00D5464D" w:rsidRDefault="00BA1ACF" w:rsidP="00140440">
      <w:pPr>
        <w:tabs>
          <w:tab w:val="clear" w:pos="4419"/>
          <w:tab w:val="clear" w:pos="8838"/>
        </w:tabs>
        <w:ind w:left="-142" w:right="-138"/>
        <w:jc w:val="center"/>
        <w:rPr>
          <w:rFonts w:eastAsia="MS Mincho" w:cs="Times New Roman"/>
          <w:b/>
          <w:szCs w:val="20"/>
          <w:lang w:val="pt-BR"/>
        </w:rPr>
      </w:pPr>
    </w:p>
    <w:p w14:paraId="11D11375" w14:textId="1D3762F6" w:rsidR="00BA1ACF" w:rsidRPr="00D5464D" w:rsidRDefault="002C330E" w:rsidP="00140440">
      <w:pPr>
        <w:tabs>
          <w:tab w:val="clear" w:pos="4419"/>
          <w:tab w:val="clear" w:pos="8838"/>
        </w:tabs>
        <w:ind w:left="-142" w:right="-138"/>
        <w:jc w:val="center"/>
        <w:rPr>
          <w:rFonts w:eastAsia="MS Mincho" w:cs="Times New Roman"/>
          <w:b/>
          <w:szCs w:val="20"/>
          <w:lang w:val="pt-BR"/>
        </w:rPr>
      </w:pPr>
      <w:r w:rsidRPr="00D5464D">
        <w:rPr>
          <w:rFonts w:eastAsia="MS Mincho" w:cs="Times New Roman"/>
          <w:b/>
          <w:szCs w:val="20"/>
          <w:lang w:val="pt-BR"/>
        </w:rPr>
        <w:t>SENTENÇA</w:t>
      </w:r>
      <w:r w:rsidR="00BA1ACF" w:rsidRPr="00D5464D">
        <w:rPr>
          <w:rFonts w:eastAsia="MS Mincho" w:cs="Times New Roman"/>
          <w:b/>
          <w:szCs w:val="20"/>
          <w:lang w:val="pt-BR"/>
        </w:rPr>
        <w:t xml:space="preserve"> DE </w:t>
      </w:r>
      <w:r w:rsidR="00702C18" w:rsidRPr="00D5464D">
        <w:rPr>
          <w:rFonts w:eastAsia="MS Mincho" w:cs="Times New Roman"/>
          <w:b/>
          <w:szCs w:val="20"/>
          <w:lang w:val="pt-BR"/>
        </w:rPr>
        <w:t>20</w:t>
      </w:r>
      <w:r w:rsidR="00BA1ACF" w:rsidRPr="00D5464D">
        <w:rPr>
          <w:rFonts w:eastAsia="MS Mincho" w:cs="Times New Roman"/>
          <w:b/>
          <w:szCs w:val="20"/>
          <w:lang w:val="pt-BR"/>
        </w:rPr>
        <w:t xml:space="preserve"> </w:t>
      </w:r>
      <w:r w:rsidR="00091C0F" w:rsidRPr="00D5464D">
        <w:rPr>
          <w:rFonts w:eastAsia="MS Mincho" w:cs="Times New Roman"/>
          <w:b/>
          <w:szCs w:val="20"/>
          <w:lang w:val="pt-BR"/>
        </w:rPr>
        <w:t xml:space="preserve">DE </w:t>
      </w:r>
      <w:r w:rsidRPr="00D5464D">
        <w:rPr>
          <w:rFonts w:eastAsia="MS Mincho" w:cs="Times New Roman"/>
          <w:b/>
          <w:szCs w:val="20"/>
          <w:lang w:val="pt-BR"/>
        </w:rPr>
        <w:t>OUTUBRO</w:t>
      </w:r>
      <w:r w:rsidR="0007001D" w:rsidRPr="00D5464D">
        <w:rPr>
          <w:rFonts w:eastAsia="MS Mincho" w:cs="Times New Roman"/>
          <w:b/>
          <w:szCs w:val="20"/>
          <w:lang w:val="pt-BR"/>
        </w:rPr>
        <w:t xml:space="preserve"> </w:t>
      </w:r>
      <w:r w:rsidR="00BA1ACF" w:rsidRPr="00D5464D">
        <w:rPr>
          <w:rFonts w:eastAsia="MS Mincho" w:cs="Times New Roman"/>
          <w:b/>
          <w:szCs w:val="20"/>
          <w:lang w:val="pt-BR"/>
        </w:rPr>
        <w:t>DE 2016</w:t>
      </w:r>
    </w:p>
    <w:p w14:paraId="1CE42754" w14:textId="77777777" w:rsidR="00BA1ACF" w:rsidRPr="00D5464D" w:rsidRDefault="00BA1ACF" w:rsidP="00140440">
      <w:pPr>
        <w:tabs>
          <w:tab w:val="clear" w:pos="4419"/>
          <w:tab w:val="clear" w:pos="8838"/>
        </w:tabs>
        <w:ind w:left="-142" w:right="-138"/>
        <w:jc w:val="center"/>
        <w:rPr>
          <w:rFonts w:eastAsia="MS Mincho" w:cs="Times New Roman"/>
          <w:b/>
          <w:szCs w:val="20"/>
          <w:lang w:val="pt-BR"/>
        </w:rPr>
      </w:pPr>
    </w:p>
    <w:p w14:paraId="77C5815A" w14:textId="357DF77B" w:rsidR="00BA1ACF" w:rsidRPr="00D5464D" w:rsidRDefault="00BA1ACF" w:rsidP="00140440">
      <w:pPr>
        <w:numPr>
          <w:ilvl w:val="1"/>
          <w:numId w:val="0"/>
        </w:numPr>
        <w:tabs>
          <w:tab w:val="clear" w:pos="4419"/>
          <w:tab w:val="clear" w:pos="8838"/>
        </w:tabs>
        <w:ind w:left="-142" w:right="-138"/>
        <w:jc w:val="center"/>
        <w:rPr>
          <w:rFonts w:eastAsia="Times New Roman" w:cs="Times New Roman"/>
          <w:b/>
          <w:i/>
          <w:iCs/>
          <w:spacing w:val="15"/>
          <w:szCs w:val="24"/>
          <w:lang w:val="pt-BR"/>
        </w:rPr>
      </w:pPr>
      <w:r w:rsidRPr="00D5464D">
        <w:rPr>
          <w:rFonts w:eastAsia="Times New Roman" w:cs="Times New Roman"/>
          <w:b/>
          <w:i/>
          <w:iCs/>
          <w:spacing w:val="15"/>
          <w:szCs w:val="24"/>
          <w:lang w:val="pt-BR"/>
        </w:rPr>
        <w:t>(</w:t>
      </w:r>
      <w:r w:rsidR="00470ADC" w:rsidRPr="00D5464D">
        <w:rPr>
          <w:rFonts w:eastAsia="Times New Roman" w:cs="Times New Roman"/>
          <w:b/>
          <w:i/>
          <w:iCs/>
          <w:spacing w:val="15"/>
          <w:szCs w:val="24"/>
          <w:lang w:val="pt-BR"/>
        </w:rPr>
        <w:t>Exceções</w:t>
      </w:r>
      <w:r w:rsidRPr="00D5464D">
        <w:rPr>
          <w:rFonts w:eastAsia="Times New Roman" w:cs="Times New Roman"/>
          <w:b/>
          <w:i/>
          <w:iCs/>
          <w:spacing w:val="15"/>
          <w:szCs w:val="24"/>
          <w:lang w:val="pt-BR"/>
        </w:rPr>
        <w:t xml:space="preserve"> Preliminares, </w:t>
      </w:r>
      <w:r w:rsidR="00470ADC" w:rsidRPr="00D5464D">
        <w:rPr>
          <w:rFonts w:eastAsia="Times New Roman" w:cs="Times New Roman"/>
          <w:b/>
          <w:i/>
          <w:iCs/>
          <w:spacing w:val="15"/>
          <w:szCs w:val="24"/>
          <w:lang w:val="pt-BR"/>
        </w:rPr>
        <w:t>Mérito</w:t>
      </w:r>
      <w:r w:rsidRPr="00D5464D">
        <w:rPr>
          <w:rFonts w:eastAsia="Times New Roman" w:cs="Times New Roman"/>
          <w:b/>
          <w:i/>
          <w:iCs/>
          <w:spacing w:val="15"/>
          <w:szCs w:val="24"/>
          <w:lang w:val="pt-BR"/>
        </w:rPr>
        <w:t>, Repara</w:t>
      </w:r>
      <w:r w:rsidR="00470ADC" w:rsidRPr="00D5464D">
        <w:rPr>
          <w:rFonts w:eastAsia="Times New Roman" w:cs="Times New Roman"/>
          <w:b/>
          <w:i/>
          <w:iCs/>
          <w:spacing w:val="15"/>
          <w:szCs w:val="24"/>
          <w:lang w:val="pt-BR"/>
        </w:rPr>
        <w:t>ções</w:t>
      </w:r>
      <w:r w:rsidR="00E045D9" w:rsidRPr="00D5464D">
        <w:rPr>
          <w:rFonts w:eastAsia="Times New Roman" w:cs="Times New Roman"/>
          <w:b/>
          <w:i/>
          <w:iCs/>
          <w:spacing w:val="15"/>
          <w:szCs w:val="24"/>
          <w:lang w:val="pt-BR"/>
        </w:rPr>
        <w:t xml:space="preserve"> e </w:t>
      </w:r>
      <w:r w:rsidR="00470ADC" w:rsidRPr="00D5464D">
        <w:rPr>
          <w:rFonts w:eastAsia="Times New Roman" w:cs="Times New Roman"/>
          <w:b/>
          <w:i/>
          <w:iCs/>
          <w:spacing w:val="15"/>
          <w:szCs w:val="24"/>
          <w:lang w:val="pt-BR"/>
        </w:rPr>
        <w:t>Custas</w:t>
      </w:r>
      <w:r w:rsidRPr="00D5464D">
        <w:rPr>
          <w:rFonts w:eastAsia="Times New Roman" w:cs="Times New Roman"/>
          <w:b/>
          <w:i/>
          <w:iCs/>
          <w:spacing w:val="15"/>
          <w:szCs w:val="24"/>
          <w:lang w:val="pt-BR"/>
        </w:rPr>
        <w:t>)</w:t>
      </w:r>
    </w:p>
    <w:p w14:paraId="6F00509B" w14:textId="77777777" w:rsidR="00BA1ACF" w:rsidRPr="00D5464D" w:rsidRDefault="00BA1ACF" w:rsidP="00140440">
      <w:pPr>
        <w:tabs>
          <w:tab w:val="clear" w:pos="4419"/>
          <w:tab w:val="clear" w:pos="8838"/>
        </w:tabs>
        <w:ind w:left="-142" w:right="-138"/>
        <w:jc w:val="both"/>
        <w:rPr>
          <w:rFonts w:eastAsia="Batang" w:cs="Times"/>
          <w:szCs w:val="20"/>
          <w:lang w:val="pt-BR"/>
        </w:rPr>
      </w:pPr>
    </w:p>
    <w:p w14:paraId="7A212E56" w14:textId="77777777" w:rsidR="00BA1ACF" w:rsidRPr="00D5464D" w:rsidRDefault="00BA1ACF" w:rsidP="00140440">
      <w:pPr>
        <w:tabs>
          <w:tab w:val="clear" w:pos="4419"/>
          <w:tab w:val="clear" w:pos="8838"/>
        </w:tabs>
        <w:ind w:left="-142" w:right="-138"/>
        <w:jc w:val="both"/>
        <w:rPr>
          <w:rFonts w:eastAsia="Batang" w:cs="Times"/>
          <w:szCs w:val="20"/>
          <w:lang w:val="pt-BR"/>
        </w:rPr>
      </w:pPr>
    </w:p>
    <w:p w14:paraId="65FB85F6" w14:textId="77777777" w:rsidR="00BA1ACF" w:rsidRPr="00D5464D" w:rsidRDefault="00BA1ACF" w:rsidP="00140440">
      <w:pPr>
        <w:tabs>
          <w:tab w:val="clear" w:pos="4419"/>
          <w:tab w:val="clear" w:pos="8838"/>
        </w:tabs>
        <w:ind w:left="-142" w:right="-138"/>
        <w:jc w:val="both"/>
        <w:rPr>
          <w:rFonts w:eastAsia="Batang" w:cs="Times"/>
          <w:szCs w:val="20"/>
          <w:lang w:val="pt-BR"/>
        </w:rPr>
      </w:pPr>
    </w:p>
    <w:p w14:paraId="7D4F1DC8" w14:textId="035BD4FA" w:rsidR="00BA1ACF" w:rsidRPr="00D5464D" w:rsidRDefault="00470ADC" w:rsidP="00140440">
      <w:pPr>
        <w:tabs>
          <w:tab w:val="clear" w:pos="4419"/>
          <w:tab w:val="clear" w:pos="8838"/>
        </w:tabs>
        <w:jc w:val="both"/>
        <w:rPr>
          <w:rFonts w:eastAsia="Batang" w:cs="Times"/>
          <w:szCs w:val="20"/>
          <w:lang w:val="pt-BR"/>
        </w:rPr>
      </w:pPr>
      <w:r w:rsidRPr="00D5464D">
        <w:rPr>
          <w:rFonts w:eastAsia="Batang" w:cs="Times"/>
          <w:szCs w:val="20"/>
          <w:lang w:val="pt-BR"/>
        </w:rPr>
        <w:t xml:space="preserve">No </w:t>
      </w:r>
      <w:r w:rsidR="00BA1ACF" w:rsidRPr="00D5464D">
        <w:rPr>
          <w:rFonts w:eastAsia="Batang" w:cs="Times"/>
          <w:szCs w:val="20"/>
          <w:lang w:val="pt-BR"/>
        </w:rPr>
        <w:t xml:space="preserve">caso </w:t>
      </w:r>
      <w:r w:rsidR="00E045D9" w:rsidRPr="00D5464D">
        <w:rPr>
          <w:rFonts w:eastAsia="Batang" w:cs="Times"/>
          <w:i/>
          <w:szCs w:val="20"/>
          <w:lang w:val="pt-BR"/>
        </w:rPr>
        <w:t>Trabalhadores</w:t>
      </w:r>
      <w:r w:rsidRPr="00D5464D">
        <w:rPr>
          <w:rFonts w:eastAsia="Batang" w:cs="Times"/>
          <w:i/>
          <w:szCs w:val="20"/>
          <w:lang w:val="pt-BR"/>
        </w:rPr>
        <w:t xml:space="preserve"> da </w:t>
      </w:r>
      <w:r w:rsidR="00D809F0" w:rsidRPr="00D5464D">
        <w:rPr>
          <w:rFonts w:eastAsia="Batang" w:cs="Times"/>
          <w:i/>
          <w:szCs w:val="20"/>
          <w:lang w:val="pt-BR"/>
        </w:rPr>
        <w:t>Fazenda</w:t>
      </w:r>
      <w:r w:rsidR="00B64BE7" w:rsidRPr="00D5464D">
        <w:rPr>
          <w:rFonts w:eastAsia="Batang" w:cs="Times"/>
          <w:i/>
          <w:szCs w:val="20"/>
          <w:lang w:val="pt-BR"/>
        </w:rPr>
        <w:t xml:space="preserve"> </w:t>
      </w:r>
      <w:r w:rsidR="00BA1ACF" w:rsidRPr="00D5464D">
        <w:rPr>
          <w:rFonts w:eastAsia="Batang" w:cs="Times"/>
          <w:i/>
          <w:szCs w:val="20"/>
          <w:lang w:val="pt-BR"/>
        </w:rPr>
        <w:t>Brasil Verde,</w:t>
      </w:r>
    </w:p>
    <w:p w14:paraId="49B34026" w14:textId="65DB76B3" w:rsidR="00BA1ACF" w:rsidRPr="00D5464D" w:rsidRDefault="00D236A1" w:rsidP="00140440">
      <w:pPr>
        <w:tabs>
          <w:tab w:val="clear" w:pos="4419"/>
          <w:tab w:val="clear" w:pos="8838"/>
        </w:tabs>
        <w:ind w:right="-138"/>
        <w:jc w:val="both"/>
        <w:rPr>
          <w:rFonts w:eastAsia="Batang" w:cs="Times"/>
          <w:szCs w:val="24"/>
          <w:lang w:val="pt-BR"/>
        </w:rPr>
      </w:pPr>
      <w:r w:rsidRPr="00D5464D">
        <w:rPr>
          <w:rFonts w:eastAsia="Batang" w:cs="Times"/>
          <w:szCs w:val="20"/>
          <w:lang w:val="pt-BR"/>
        </w:rPr>
        <w:cr/>
        <w:t>a</w:t>
      </w:r>
      <w:r w:rsidR="00470ADC" w:rsidRPr="00D5464D">
        <w:rPr>
          <w:rFonts w:eastAsia="Batang" w:cs="Times"/>
          <w:szCs w:val="20"/>
          <w:lang w:val="pt-BR"/>
        </w:rPr>
        <w:t xml:space="preserve"> </w:t>
      </w:r>
      <w:r w:rsidR="00BA1ACF" w:rsidRPr="00D5464D">
        <w:rPr>
          <w:rFonts w:eastAsia="Batang" w:cs="Times"/>
          <w:szCs w:val="24"/>
          <w:lang w:val="pt-BR"/>
        </w:rPr>
        <w:t xml:space="preserve">Corte Interamericana de </w:t>
      </w:r>
      <w:r w:rsidR="00470ADC" w:rsidRPr="00D5464D">
        <w:rPr>
          <w:rFonts w:eastAsia="Batang" w:cs="Times"/>
          <w:szCs w:val="24"/>
          <w:lang w:val="pt-BR"/>
        </w:rPr>
        <w:t>Direito</w:t>
      </w:r>
      <w:r w:rsidR="00BA1ACF" w:rsidRPr="00D5464D">
        <w:rPr>
          <w:rFonts w:eastAsia="Batang" w:cs="Times"/>
          <w:szCs w:val="24"/>
          <w:lang w:val="pt-BR"/>
        </w:rPr>
        <w:t>s Humanos (</w:t>
      </w:r>
      <w:r w:rsidR="00350187" w:rsidRPr="00D5464D">
        <w:rPr>
          <w:rFonts w:eastAsia="Batang" w:cs="Times"/>
          <w:szCs w:val="24"/>
          <w:lang w:val="pt-BR"/>
        </w:rPr>
        <w:t xml:space="preserve">doravante </w:t>
      </w:r>
      <w:r w:rsidR="00C91CB1" w:rsidRPr="00D5464D">
        <w:rPr>
          <w:rFonts w:eastAsia="Batang" w:cs="Times"/>
          <w:szCs w:val="24"/>
          <w:lang w:val="pt-BR"/>
        </w:rPr>
        <w:t>denominada “a</w:t>
      </w:r>
      <w:r w:rsidR="00470ADC" w:rsidRPr="00D5464D">
        <w:rPr>
          <w:rFonts w:eastAsia="Batang" w:cs="Times"/>
          <w:szCs w:val="24"/>
          <w:lang w:val="pt-BR"/>
        </w:rPr>
        <w:t xml:space="preserve"> </w:t>
      </w:r>
      <w:r w:rsidR="00BA1ACF" w:rsidRPr="00D5464D">
        <w:rPr>
          <w:rFonts w:eastAsia="Batang" w:cs="Times"/>
          <w:szCs w:val="24"/>
          <w:lang w:val="pt-BR"/>
        </w:rPr>
        <w:t xml:space="preserve">Corte Interamericana”, </w:t>
      </w:r>
      <w:r w:rsidR="00470ADC" w:rsidRPr="00D5464D">
        <w:rPr>
          <w:rFonts w:eastAsia="Batang" w:cs="Times"/>
          <w:szCs w:val="24"/>
          <w:lang w:val="pt-BR"/>
        </w:rPr>
        <w:t xml:space="preserve">“a </w:t>
      </w:r>
      <w:r w:rsidR="00BA1ACF" w:rsidRPr="00D5464D">
        <w:rPr>
          <w:rFonts w:eastAsia="Batang" w:cs="Times"/>
          <w:szCs w:val="24"/>
          <w:lang w:val="pt-BR"/>
        </w:rPr>
        <w:t>Corte</w:t>
      </w:r>
      <w:r w:rsidR="00470ADC" w:rsidRPr="00D5464D">
        <w:rPr>
          <w:rFonts w:eastAsia="Batang" w:cs="Times"/>
          <w:szCs w:val="24"/>
          <w:lang w:val="pt-BR"/>
        </w:rPr>
        <w:t>” ou “</w:t>
      </w:r>
      <w:r w:rsidR="00BA1ACF" w:rsidRPr="00D5464D">
        <w:rPr>
          <w:rFonts w:eastAsia="Batang" w:cs="Times"/>
          <w:szCs w:val="24"/>
          <w:lang w:val="pt-BR"/>
        </w:rPr>
        <w:t>este Tribunal”), integrada</w:t>
      </w:r>
      <w:r w:rsidR="002C330E" w:rsidRPr="00D5464D">
        <w:rPr>
          <w:rFonts w:eastAsia="Batang" w:cs="Times"/>
          <w:szCs w:val="24"/>
          <w:lang w:val="pt-BR"/>
        </w:rPr>
        <w:t xml:space="preserve"> pelos seguinte</w:t>
      </w:r>
      <w:r w:rsidR="00BA1ACF" w:rsidRPr="00D5464D">
        <w:rPr>
          <w:rFonts w:eastAsia="Batang" w:cs="Times"/>
          <w:szCs w:val="24"/>
          <w:lang w:val="pt-BR"/>
        </w:rPr>
        <w:t xml:space="preserve">s </w:t>
      </w:r>
      <w:r w:rsidR="002C330E" w:rsidRPr="00D5464D">
        <w:rPr>
          <w:rFonts w:eastAsia="Batang" w:cs="Times"/>
          <w:szCs w:val="24"/>
          <w:lang w:val="pt-BR"/>
        </w:rPr>
        <w:t>Juízes</w:t>
      </w:r>
      <w:r w:rsidR="00C4400E" w:rsidRPr="00D5464D">
        <w:rPr>
          <w:rFonts w:eastAsia="Batang" w:cs="Times"/>
          <w:szCs w:val="24"/>
          <w:lang w:val="pt-BR"/>
        </w:rPr>
        <w:t>:</w:t>
      </w:r>
      <w:r w:rsidR="00BA1ACF" w:rsidRPr="00D5464D">
        <w:rPr>
          <w:rStyle w:val="Refdenotaalpie"/>
          <w:rFonts w:eastAsia="Batang"/>
          <w:lang w:val="pt-BR"/>
        </w:rPr>
        <w:footnoteReference w:id="1"/>
      </w:r>
    </w:p>
    <w:p w14:paraId="7CB0C6C5" w14:textId="77777777" w:rsidR="00BA1ACF" w:rsidRPr="00D5464D" w:rsidRDefault="00BA1ACF" w:rsidP="00140440">
      <w:pPr>
        <w:tabs>
          <w:tab w:val="clear" w:pos="4419"/>
          <w:tab w:val="clear" w:pos="8838"/>
        </w:tabs>
        <w:ind w:right="-138"/>
        <w:jc w:val="both"/>
        <w:rPr>
          <w:rFonts w:eastAsia="Batang" w:cs="Times"/>
          <w:sz w:val="16"/>
          <w:szCs w:val="24"/>
          <w:lang w:val="pt-BR"/>
        </w:rPr>
      </w:pPr>
    </w:p>
    <w:p w14:paraId="24C67305" w14:textId="2EBA05F9" w:rsidR="00BA1ACF" w:rsidRPr="00D5464D" w:rsidRDefault="00BA1ACF" w:rsidP="00140440">
      <w:pPr>
        <w:tabs>
          <w:tab w:val="clear" w:pos="4419"/>
          <w:tab w:val="clear" w:pos="8838"/>
        </w:tabs>
        <w:ind w:right="-138"/>
        <w:jc w:val="both"/>
        <w:rPr>
          <w:rFonts w:eastAsia="Times New Roman" w:cs="Times New Roman"/>
          <w:szCs w:val="20"/>
          <w:lang w:val="pt-BR"/>
        </w:rPr>
      </w:pPr>
      <w:r w:rsidRPr="00D5464D">
        <w:rPr>
          <w:rFonts w:eastAsia="Times New Roman" w:cs="Times New Roman"/>
          <w:szCs w:val="20"/>
          <w:lang w:val="pt-BR"/>
        </w:rPr>
        <w:t xml:space="preserve">Eduardo Ferrer Mac-Gregor Poisot, </w:t>
      </w:r>
      <w:r w:rsidR="00A1358C" w:rsidRPr="00D5464D">
        <w:rPr>
          <w:rFonts w:eastAsia="Times New Roman" w:cs="Times New Roman"/>
          <w:szCs w:val="20"/>
          <w:lang w:val="pt-BR"/>
        </w:rPr>
        <w:t>Presidente</w:t>
      </w:r>
      <w:r w:rsidR="00470ADC" w:rsidRPr="00D5464D">
        <w:rPr>
          <w:rFonts w:eastAsia="Times New Roman" w:cs="Times New Roman"/>
          <w:szCs w:val="20"/>
          <w:lang w:val="pt-BR"/>
        </w:rPr>
        <w:t xml:space="preserve"> em exercício</w:t>
      </w:r>
      <w:r w:rsidRPr="00D5464D">
        <w:rPr>
          <w:rFonts w:eastAsia="Times New Roman" w:cs="Times New Roman"/>
          <w:szCs w:val="20"/>
          <w:lang w:val="pt-BR"/>
        </w:rPr>
        <w:t xml:space="preserve">; </w:t>
      </w:r>
    </w:p>
    <w:p w14:paraId="6C375F9B" w14:textId="2D9777F1" w:rsidR="00BA1ACF" w:rsidRPr="00D5464D" w:rsidRDefault="00BA1ACF" w:rsidP="00140440">
      <w:pPr>
        <w:tabs>
          <w:tab w:val="clear" w:pos="4419"/>
          <w:tab w:val="clear" w:pos="8838"/>
        </w:tabs>
        <w:ind w:right="-138"/>
        <w:jc w:val="both"/>
        <w:rPr>
          <w:rFonts w:eastAsia="Times New Roman" w:cs="Times New Roman"/>
          <w:szCs w:val="20"/>
          <w:lang w:val="pt-BR"/>
        </w:rPr>
      </w:pPr>
      <w:r w:rsidRPr="00D5464D">
        <w:rPr>
          <w:rFonts w:eastAsia="Times New Roman" w:cs="Times New Roman"/>
          <w:szCs w:val="20"/>
          <w:lang w:val="pt-BR"/>
        </w:rPr>
        <w:t xml:space="preserve">Eduardo Vio Grossi, </w:t>
      </w:r>
      <w:r w:rsidR="00E045D9" w:rsidRPr="00D5464D">
        <w:rPr>
          <w:rFonts w:eastAsia="Times New Roman" w:cs="Times New Roman"/>
          <w:szCs w:val="20"/>
          <w:lang w:val="pt-BR"/>
        </w:rPr>
        <w:t>Vice-</w:t>
      </w:r>
      <w:r w:rsidR="00A1358C" w:rsidRPr="00D5464D">
        <w:rPr>
          <w:rFonts w:eastAsia="Times New Roman" w:cs="Times New Roman"/>
          <w:szCs w:val="20"/>
          <w:lang w:val="pt-BR"/>
        </w:rPr>
        <w:t>Presidente</w:t>
      </w:r>
      <w:r w:rsidR="00470ADC" w:rsidRPr="00D5464D">
        <w:rPr>
          <w:rFonts w:eastAsia="Times New Roman" w:cs="Times New Roman"/>
          <w:szCs w:val="20"/>
          <w:lang w:val="pt-BR"/>
        </w:rPr>
        <w:t xml:space="preserve"> em exercício</w:t>
      </w:r>
      <w:r w:rsidRPr="00D5464D">
        <w:rPr>
          <w:rFonts w:eastAsia="Times New Roman" w:cs="Times New Roman"/>
          <w:szCs w:val="20"/>
          <w:lang w:val="pt-BR"/>
        </w:rPr>
        <w:t>;</w:t>
      </w:r>
    </w:p>
    <w:p w14:paraId="235BA084" w14:textId="66DAE1F4" w:rsidR="00BA1ACF" w:rsidRPr="00D5464D" w:rsidRDefault="00BA1ACF" w:rsidP="00140440">
      <w:pPr>
        <w:tabs>
          <w:tab w:val="clear" w:pos="4419"/>
          <w:tab w:val="clear" w:pos="8838"/>
        </w:tabs>
        <w:ind w:right="-138"/>
        <w:jc w:val="both"/>
        <w:rPr>
          <w:rFonts w:eastAsia="Times New Roman" w:cs="Times New Roman"/>
          <w:szCs w:val="20"/>
          <w:lang w:val="pt-BR"/>
        </w:rPr>
      </w:pPr>
      <w:r w:rsidRPr="00D5464D">
        <w:rPr>
          <w:rFonts w:eastAsia="Times New Roman" w:cs="Times New Roman"/>
          <w:szCs w:val="20"/>
          <w:lang w:val="pt-BR"/>
        </w:rPr>
        <w:t xml:space="preserve">Humberto </w:t>
      </w:r>
      <w:r w:rsidR="00E42F61" w:rsidRPr="00D5464D">
        <w:rPr>
          <w:rFonts w:eastAsia="Times New Roman" w:cs="Times New Roman"/>
          <w:szCs w:val="20"/>
          <w:lang w:val="pt-BR"/>
        </w:rPr>
        <w:t xml:space="preserve">Antônio </w:t>
      </w:r>
      <w:r w:rsidRPr="00D5464D">
        <w:rPr>
          <w:rFonts w:eastAsia="Times New Roman" w:cs="Times New Roman"/>
          <w:szCs w:val="20"/>
          <w:lang w:val="pt-BR"/>
        </w:rPr>
        <w:t xml:space="preserve">Sierra Porto, </w:t>
      </w:r>
      <w:r w:rsidR="002C330E" w:rsidRPr="00D5464D">
        <w:rPr>
          <w:rFonts w:eastAsia="Times New Roman" w:cs="Times New Roman"/>
          <w:szCs w:val="20"/>
          <w:lang w:val="pt-BR"/>
        </w:rPr>
        <w:t>Juiz</w:t>
      </w:r>
      <w:r w:rsidRPr="00D5464D">
        <w:rPr>
          <w:rFonts w:eastAsia="Times New Roman" w:cs="Times New Roman"/>
          <w:szCs w:val="20"/>
          <w:lang w:val="pt-BR"/>
        </w:rPr>
        <w:t>;</w:t>
      </w:r>
    </w:p>
    <w:p w14:paraId="0D29AE50" w14:textId="5A8E2524" w:rsidR="00BA1ACF" w:rsidRPr="00D5464D" w:rsidRDefault="00BA1ACF" w:rsidP="00140440">
      <w:pPr>
        <w:tabs>
          <w:tab w:val="clear" w:pos="4419"/>
          <w:tab w:val="clear" w:pos="8838"/>
        </w:tabs>
        <w:ind w:right="-138"/>
        <w:jc w:val="both"/>
        <w:rPr>
          <w:rFonts w:eastAsia="Times New Roman" w:cs="Times New Roman"/>
          <w:szCs w:val="20"/>
          <w:lang w:val="pt-BR"/>
        </w:rPr>
      </w:pPr>
      <w:r w:rsidRPr="00D5464D">
        <w:rPr>
          <w:rFonts w:eastAsia="Times New Roman" w:cs="Times New Roman"/>
          <w:szCs w:val="20"/>
          <w:lang w:val="pt-BR"/>
        </w:rPr>
        <w:t xml:space="preserve">Elizabeth Odio Benito, </w:t>
      </w:r>
      <w:r w:rsidR="002C330E" w:rsidRPr="00D5464D">
        <w:rPr>
          <w:rFonts w:eastAsia="Times New Roman" w:cs="Times New Roman"/>
          <w:szCs w:val="20"/>
          <w:lang w:val="pt-BR"/>
        </w:rPr>
        <w:t>Ju</w:t>
      </w:r>
      <w:r w:rsidR="00DC04C9" w:rsidRPr="00D5464D">
        <w:rPr>
          <w:rFonts w:eastAsia="Times New Roman" w:cs="Times New Roman"/>
          <w:szCs w:val="20"/>
          <w:lang w:val="pt-BR"/>
        </w:rPr>
        <w:t>íza</w:t>
      </w:r>
      <w:r w:rsidRPr="00D5464D">
        <w:rPr>
          <w:rFonts w:eastAsia="Times New Roman" w:cs="Times New Roman"/>
          <w:szCs w:val="20"/>
          <w:lang w:val="pt-BR"/>
        </w:rPr>
        <w:t xml:space="preserve">; </w:t>
      </w:r>
    </w:p>
    <w:p w14:paraId="1310FC0C" w14:textId="357D75C7" w:rsidR="00BA1ACF" w:rsidRPr="00D5464D" w:rsidRDefault="00BA1ACF" w:rsidP="00140440">
      <w:pPr>
        <w:tabs>
          <w:tab w:val="clear" w:pos="4419"/>
          <w:tab w:val="clear" w:pos="8838"/>
        </w:tabs>
        <w:ind w:right="-138"/>
        <w:jc w:val="both"/>
        <w:rPr>
          <w:rFonts w:eastAsia="Times New Roman" w:cs="Times New Roman"/>
          <w:szCs w:val="20"/>
          <w:lang w:val="pt-BR"/>
        </w:rPr>
      </w:pPr>
      <w:r w:rsidRPr="00D5464D">
        <w:rPr>
          <w:rFonts w:eastAsia="Times New Roman" w:cs="Times New Roman"/>
          <w:szCs w:val="20"/>
          <w:lang w:val="pt-BR"/>
        </w:rPr>
        <w:t xml:space="preserve">Eugenio Raúl Zaffaroni, </w:t>
      </w:r>
      <w:r w:rsidR="002C330E" w:rsidRPr="00D5464D">
        <w:rPr>
          <w:rFonts w:eastAsia="Times New Roman" w:cs="Times New Roman"/>
          <w:szCs w:val="20"/>
          <w:lang w:val="pt-BR"/>
        </w:rPr>
        <w:t>Juiz</w:t>
      </w:r>
      <w:r w:rsidR="00470ADC" w:rsidRPr="00D5464D">
        <w:rPr>
          <w:rFonts w:eastAsia="Times New Roman" w:cs="Times New Roman"/>
          <w:szCs w:val="20"/>
          <w:lang w:val="pt-BR"/>
        </w:rPr>
        <w:t>, e</w:t>
      </w:r>
      <w:r w:rsidRPr="00D5464D">
        <w:rPr>
          <w:rFonts w:eastAsia="Times New Roman" w:cs="Times New Roman"/>
          <w:szCs w:val="20"/>
          <w:lang w:val="pt-BR"/>
        </w:rPr>
        <w:t xml:space="preserve"> </w:t>
      </w:r>
    </w:p>
    <w:p w14:paraId="0DA208B1" w14:textId="13C8DAF8" w:rsidR="00BA1ACF" w:rsidRPr="00D5464D" w:rsidRDefault="00BA1ACF" w:rsidP="00140440">
      <w:pPr>
        <w:tabs>
          <w:tab w:val="clear" w:pos="4419"/>
          <w:tab w:val="clear" w:pos="8838"/>
        </w:tabs>
        <w:ind w:right="-138"/>
        <w:jc w:val="both"/>
        <w:rPr>
          <w:rFonts w:eastAsia="Batang" w:cs="Times"/>
          <w:szCs w:val="24"/>
          <w:lang w:val="pt-BR"/>
        </w:rPr>
      </w:pPr>
      <w:r w:rsidRPr="00D5464D">
        <w:rPr>
          <w:rFonts w:eastAsia="Batang" w:cs="Times"/>
          <w:szCs w:val="24"/>
          <w:lang w:val="pt-BR"/>
        </w:rPr>
        <w:t xml:space="preserve">L. Patricio </w:t>
      </w:r>
      <w:r w:rsidR="00E765C2" w:rsidRPr="00D5464D">
        <w:rPr>
          <w:rFonts w:eastAsia="Batang" w:cs="Times"/>
          <w:szCs w:val="24"/>
          <w:lang w:val="pt-BR"/>
        </w:rPr>
        <w:t>Pazmiño</w:t>
      </w:r>
      <w:r w:rsidRPr="00D5464D">
        <w:rPr>
          <w:rFonts w:eastAsia="Batang" w:cs="Times"/>
          <w:szCs w:val="24"/>
          <w:lang w:val="pt-BR"/>
        </w:rPr>
        <w:t xml:space="preserve"> Freire, </w:t>
      </w:r>
      <w:r w:rsidR="002C330E" w:rsidRPr="00D5464D">
        <w:rPr>
          <w:rFonts w:eastAsia="Batang" w:cs="Times"/>
          <w:szCs w:val="24"/>
          <w:lang w:val="pt-BR"/>
        </w:rPr>
        <w:t>Juiz</w:t>
      </w:r>
      <w:r w:rsidRPr="00D5464D">
        <w:rPr>
          <w:rFonts w:eastAsia="Batang" w:cs="Times"/>
          <w:szCs w:val="24"/>
          <w:lang w:val="pt-BR"/>
        </w:rPr>
        <w:t xml:space="preserve">; </w:t>
      </w:r>
    </w:p>
    <w:p w14:paraId="1C3427D9" w14:textId="77777777" w:rsidR="00BA1ACF" w:rsidRPr="00D5464D" w:rsidRDefault="00BA1ACF" w:rsidP="00140440">
      <w:pPr>
        <w:tabs>
          <w:tab w:val="clear" w:pos="4419"/>
          <w:tab w:val="clear" w:pos="8838"/>
        </w:tabs>
        <w:ind w:right="-138"/>
        <w:jc w:val="both"/>
        <w:rPr>
          <w:rFonts w:eastAsia="Batang" w:cs="Times"/>
          <w:szCs w:val="24"/>
          <w:lang w:val="pt-BR"/>
        </w:rPr>
      </w:pPr>
    </w:p>
    <w:p w14:paraId="17E9767E" w14:textId="27424FD6" w:rsidR="00BA1ACF" w:rsidRPr="00D5464D" w:rsidRDefault="00BA1ACF" w:rsidP="00140440">
      <w:pPr>
        <w:tabs>
          <w:tab w:val="clear" w:pos="4419"/>
          <w:tab w:val="clear" w:pos="8838"/>
        </w:tabs>
        <w:ind w:right="-138"/>
        <w:jc w:val="both"/>
        <w:rPr>
          <w:rFonts w:eastAsia="Batang" w:cs="Times"/>
          <w:szCs w:val="24"/>
          <w:lang w:val="pt-BR"/>
        </w:rPr>
      </w:pPr>
      <w:r w:rsidRPr="00D5464D">
        <w:rPr>
          <w:rFonts w:eastAsia="Batang" w:cs="Times"/>
          <w:szCs w:val="24"/>
          <w:lang w:val="pt-BR"/>
        </w:rPr>
        <w:t xml:space="preserve">presentes, </w:t>
      </w:r>
      <w:r w:rsidR="00470ADC" w:rsidRPr="00D5464D">
        <w:rPr>
          <w:rFonts w:eastAsia="Batang" w:cs="Times"/>
          <w:szCs w:val="24"/>
          <w:lang w:val="pt-BR"/>
        </w:rPr>
        <w:t>ademais</w:t>
      </w:r>
      <w:r w:rsidRPr="00D5464D">
        <w:rPr>
          <w:rFonts w:eastAsia="Batang" w:cs="Times"/>
          <w:szCs w:val="24"/>
          <w:lang w:val="pt-BR"/>
        </w:rPr>
        <w:t>,</w:t>
      </w:r>
    </w:p>
    <w:p w14:paraId="72737E43" w14:textId="77777777" w:rsidR="00BA1ACF" w:rsidRPr="00D5464D" w:rsidRDefault="00BA1ACF" w:rsidP="00140440">
      <w:pPr>
        <w:tabs>
          <w:tab w:val="clear" w:pos="4419"/>
          <w:tab w:val="clear" w:pos="8838"/>
        </w:tabs>
        <w:ind w:right="-138"/>
        <w:jc w:val="both"/>
        <w:rPr>
          <w:rFonts w:eastAsia="Batang" w:cs="Times"/>
          <w:szCs w:val="24"/>
          <w:lang w:val="pt-BR"/>
        </w:rPr>
      </w:pPr>
    </w:p>
    <w:p w14:paraId="53BFBCE9" w14:textId="2C16F406" w:rsidR="00BA1ACF" w:rsidRPr="00D5464D" w:rsidRDefault="00BA1ACF" w:rsidP="00140440">
      <w:pPr>
        <w:tabs>
          <w:tab w:val="clear" w:pos="4419"/>
          <w:tab w:val="clear" w:pos="8838"/>
        </w:tabs>
        <w:jc w:val="both"/>
        <w:rPr>
          <w:rFonts w:eastAsia="Batang" w:cs="Times"/>
          <w:szCs w:val="24"/>
          <w:lang w:val="pt-BR"/>
        </w:rPr>
      </w:pPr>
      <w:r w:rsidRPr="00D5464D">
        <w:rPr>
          <w:rFonts w:eastAsia="Batang" w:cs="Times"/>
          <w:szCs w:val="24"/>
          <w:lang w:val="pt-BR"/>
        </w:rPr>
        <w:t xml:space="preserve">Pablo Saavedra Alessandri, </w:t>
      </w:r>
      <w:r w:rsidR="002C330E" w:rsidRPr="00D5464D">
        <w:rPr>
          <w:rFonts w:eastAsia="Batang" w:cs="Times"/>
          <w:szCs w:val="24"/>
          <w:lang w:val="pt-BR"/>
        </w:rPr>
        <w:t>Secretário</w:t>
      </w:r>
      <w:r w:rsidR="00470ADC" w:rsidRPr="00D5464D">
        <w:rPr>
          <w:rFonts w:eastAsia="Batang" w:cs="Times"/>
          <w:szCs w:val="24"/>
          <w:lang w:val="pt-BR"/>
        </w:rPr>
        <w:t>, e</w:t>
      </w:r>
    </w:p>
    <w:p w14:paraId="7DBF181F" w14:textId="712A5D79" w:rsidR="00BA1ACF" w:rsidRPr="00D5464D" w:rsidRDefault="00BA1ACF" w:rsidP="00140440">
      <w:pPr>
        <w:tabs>
          <w:tab w:val="clear" w:pos="4419"/>
          <w:tab w:val="clear" w:pos="8838"/>
        </w:tabs>
        <w:ind w:right="-138"/>
        <w:jc w:val="both"/>
        <w:rPr>
          <w:rFonts w:eastAsia="Batang" w:cs="Times"/>
          <w:szCs w:val="24"/>
          <w:lang w:val="pt-BR"/>
        </w:rPr>
      </w:pPr>
      <w:r w:rsidRPr="00D5464D">
        <w:rPr>
          <w:rFonts w:eastAsia="Batang" w:cs="Times"/>
          <w:szCs w:val="24"/>
          <w:lang w:val="pt-BR"/>
        </w:rPr>
        <w:t xml:space="preserve">Emilia Segares Rodríguez, </w:t>
      </w:r>
      <w:r w:rsidR="00A1358C" w:rsidRPr="00D5464D">
        <w:rPr>
          <w:rFonts w:eastAsia="Batang" w:cs="Times"/>
          <w:szCs w:val="24"/>
          <w:lang w:val="pt-BR"/>
        </w:rPr>
        <w:t>Secretária Adjunta</w:t>
      </w:r>
      <w:r w:rsidRPr="00D5464D">
        <w:rPr>
          <w:rFonts w:eastAsia="Batang" w:cs="Times"/>
          <w:szCs w:val="24"/>
          <w:lang w:val="pt-BR"/>
        </w:rPr>
        <w:t>,</w:t>
      </w:r>
    </w:p>
    <w:p w14:paraId="270D6988" w14:textId="77777777" w:rsidR="00BA1ACF" w:rsidRPr="00D5464D" w:rsidRDefault="00BA1ACF" w:rsidP="00140440">
      <w:pPr>
        <w:tabs>
          <w:tab w:val="clear" w:pos="4419"/>
          <w:tab w:val="clear" w:pos="8838"/>
        </w:tabs>
        <w:ind w:right="-138"/>
        <w:jc w:val="both"/>
        <w:rPr>
          <w:rFonts w:eastAsia="Batang" w:cs="Times"/>
          <w:szCs w:val="24"/>
          <w:lang w:val="pt-BR"/>
        </w:rPr>
      </w:pPr>
    </w:p>
    <w:p w14:paraId="48963B15" w14:textId="30ECDA14" w:rsidR="00BA1ACF" w:rsidRPr="00D5464D" w:rsidRDefault="00470ADC" w:rsidP="00140440">
      <w:pPr>
        <w:tabs>
          <w:tab w:val="clear" w:pos="4419"/>
          <w:tab w:val="clear" w:pos="8838"/>
        </w:tabs>
        <w:ind w:right="-138"/>
        <w:jc w:val="both"/>
        <w:rPr>
          <w:rFonts w:eastAsia="Batang" w:cs="Times"/>
          <w:szCs w:val="24"/>
          <w:lang w:val="pt-BR"/>
        </w:rPr>
      </w:pPr>
      <w:r w:rsidRPr="00D5464D">
        <w:rPr>
          <w:rFonts w:eastAsia="Batang" w:cs="Times"/>
          <w:szCs w:val="24"/>
          <w:lang w:val="pt-BR"/>
        </w:rPr>
        <w:t>de acordo com</w:t>
      </w:r>
      <w:r w:rsidR="002C330E" w:rsidRPr="00D5464D">
        <w:rPr>
          <w:rFonts w:eastAsia="Batang" w:cs="Times"/>
          <w:szCs w:val="24"/>
          <w:lang w:val="pt-BR"/>
        </w:rPr>
        <w:t xml:space="preserve"> os </w:t>
      </w:r>
      <w:r w:rsidRPr="00D5464D">
        <w:rPr>
          <w:rFonts w:eastAsia="Batang" w:cs="Times"/>
          <w:szCs w:val="24"/>
          <w:lang w:val="pt-BR"/>
        </w:rPr>
        <w:t>artigo</w:t>
      </w:r>
      <w:r w:rsidR="00BA1ACF" w:rsidRPr="00D5464D">
        <w:rPr>
          <w:rFonts w:eastAsia="Batang" w:cs="Times"/>
          <w:szCs w:val="24"/>
          <w:lang w:val="pt-BR"/>
        </w:rPr>
        <w:t>s 62.3</w:t>
      </w:r>
      <w:r w:rsidR="00E045D9" w:rsidRPr="00D5464D">
        <w:rPr>
          <w:rFonts w:eastAsia="Batang" w:cs="Times"/>
          <w:szCs w:val="24"/>
          <w:lang w:val="pt-BR"/>
        </w:rPr>
        <w:t xml:space="preserve"> e </w:t>
      </w:r>
      <w:r w:rsidR="00BA1ACF" w:rsidRPr="00D5464D">
        <w:rPr>
          <w:rFonts w:eastAsia="Batang" w:cs="Times"/>
          <w:szCs w:val="24"/>
          <w:lang w:val="pt-BR"/>
        </w:rPr>
        <w:t>63.1</w:t>
      </w:r>
      <w:r w:rsidRPr="00D5464D">
        <w:rPr>
          <w:rFonts w:eastAsia="Batang" w:cs="Times"/>
          <w:szCs w:val="24"/>
          <w:lang w:val="pt-BR"/>
        </w:rPr>
        <w:t xml:space="preserve"> da </w:t>
      </w:r>
      <w:r w:rsidR="00BA1ACF" w:rsidRPr="00D5464D">
        <w:rPr>
          <w:rFonts w:eastAsia="Batang" w:cs="Times"/>
          <w:szCs w:val="24"/>
          <w:lang w:val="pt-BR"/>
        </w:rPr>
        <w:t>Conven</w:t>
      </w:r>
      <w:r w:rsidRPr="00D5464D">
        <w:rPr>
          <w:rFonts w:eastAsia="Batang" w:cs="Times"/>
          <w:szCs w:val="24"/>
          <w:lang w:val="pt-BR"/>
        </w:rPr>
        <w:t>ção</w:t>
      </w:r>
      <w:r w:rsidR="00BA1ACF" w:rsidRPr="00D5464D">
        <w:rPr>
          <w:rFonts w:eastAsia="Batang" w:cs="Times"/>
          <w:szCs w:val="24"/>
          <w:lang w:val="pt-BR"/>
        </w:rPr>
        <w:t xml:space="preserve"> Americana sobre </w:t>
      </w:r>
      <w:r w:rsidRPr="00D5464D">
        <w:rPr>
          <w:rFonts w:eastAsia="Batang" w:cs="Times"/>
          <w:szCs w:val="24"/>
          <w:lang w:val="pt-BR"/>
        </w:rPr>
        <w:t>Direito</w:t>
      </w:r>
      <w:r w:rsidR="00BA1ACF" w:rsidRPr="00D5464D">
        <w:rPr>
          <w:rFonts w:eastAsia="Batang" w:cs="Times"/>
          <w:szCs w:val="24"/>
          <w:lang w:val="pt-BR"/>
        </w:rPr>
        <w:t>s Humanos (</w:t>
      </w:r>
      <w:r w:rsidR="00350187" w:rsidRPr="00D5464D">
        <w:rPr>
          <w:rFonts w:eastAsia="Batang" w:cs="Times"/>
          <w:szCs w:val="24"/>
          <w:lang w:val="pt-BR"/>
        </w:rPr>
        <w:t>doravante denominad</w:t>
      </w:r>
      <w:r w:rsidR="00C4400E" w:rsidRPr="00D5464D">
        <w:rPr>
          <w:rFonts w:eastAsia="Batang" w:cs="Times"/>
          <w:szCs w:val="24"/>
          <w:lang w:val="pt-BR"/>
        </w:rPr>
        <w:t>a</w:t>
      </w:r>
      <w:r w:rsidR="00BA1ACF" w:rsidRPr="00D5464D">
        <w:rPr>
          <w:rFonts w:eastAsia="Batang" w:cs="Times"/>
          <w:szCs w:val="24"/>
          <w:lang w:val="pt-BR"/>
        </w:rPr>
        <w:t xml:space="preserve">, </w:t>
      </w:r>
      <w:r w:rsidRPr="00D5464D">
        <w:rPr>
          <w:rFonts w:eastAsia="Batang" w:cs="Times"/>
          <w:szCs w:val="24"/>
          <w:lang w:val="pt-BR"/>
        </w:rPr>
        <w:t xml:space="preserve">“a </w:t>
      </w:r>
      <w:r w:rsidR="00BA1ACF" w:rsidRPr="00D5464D">
        <w:rPr>
          <w:rFonts w:eastAsia="Batang" w:cs="Times"/>
          <w:szCs w:val="24"/>
          <w:lang w:val="pt-BR"/>
        </w:rPr>
        <w:t>Conven</w:t>
      </w:r>
      <w:r w:rsidRPr="00D5464D">
        <w:rPr>
          <w:rFonts w:eastAsia="Batang" w:cs="Times"/>
          <w:szCs w:val="24"/>
          <w:lang w:val="pt-BR"/>
        </w:rPr>
        <w:t>ção</w:t>
      </w:r>
      <w:r w:rsidR="00BA1ACF" w:rsidRPr="00D5464D">
        <w:rPr>
          <w:rFonts w:eastAsia="Batang" w:cs="Times"/>
          <w:szCs w:val="24"/>
          <w:lang w:val="pt-BR"/>
        </w:rPr>
        <w:t xml:space="preserve"> Americana</w:t>
      </w:r>
      <w:r w:rsidRPr="00D5464D">
        <w:rPr>
          <w:rFonts w:eastAsia="Batang" w:cs="Times"/>
          <w:szCs w:val="24"/>
          <w:lang w:val="pt-BR"/>
        </w:rPr>
        <w:t xml:space="preserve">” ou “a </w:t>
      </w:r>
      <w:r w:rsidR="00BA1ACF" w:rsidRPr="00D5464D">
        <w:rPr>
          <w:rFonts w:eastAsia="Batang" w:cs="Times"/>
          <w:szCs w:val="24"/>
          <w:lang w:val="pt-BR"/>
        </w:rPr>
        <w:t>Conven</w:t>
      </w:r>
      <w:r w:rsidRPr="00D5464D">
        <w:rPr>
          <w:rFonts w:eastAsia="Batang" w:cs="Times"/>
          <w:szCs w:val="24"/>
          <w:lang w:val="pt-BR"/>
        </w:rPr>
        <w:t>ção</w:t>
      </w:r>
      <w:r w:rsidR="00BA1ACF" w:rsidRPr="00D5464D">
        <w:rPr>
          <w:rFonts w:eastAsia="Batang" w:cs="Times"/>
          <w:szCs w:val="24"/>
          <w:lang w:val="pt-BR"/>
        </w:rPr>
        <w:t>”)</w:t>
      </w:r>
      <w:r w:rsidR="00E045D9" w:rsidRPr="00D5464D">
        <w:rPr>
          <w:rFonts w:eastAsia="Batang" w:cs="Times"/>
          <w:szCs w:val="24"/>
          <w:lang w:val="pt-BR"/>
        </w:rPr>
        <w:t xml:space="preserve"> e </w:t>
      </w:r>
      <w:r w:rsidRPr="00D5464D">
        <w:rPr>
          <w:rFonts w:eastAsia="Batang" w:cs="Times"/>
          <w:szCs w:val="24"/>
          <w:lang w:val="pt-BR"/>
        </w:rPr>
        <w:t>com</w:t>
      </w:r>
      <w:r w:rsidR="002C330E" w:rsidRPr="00D5464D">
        <w:rPr>
          <w:rFonts w:eastAsia="Batang" w:cs="Times"/>
          <w:szCs w:val="24"/>
          <w:lang w:val="pt-BR"/>
        </w:rPr>
        <w:t xml:space="preserve"> os </w:t>
      </w:r>
      <w:r w:rsidRPr="00D5464D">
        <w:rPr>
          <w:rFonts w:eastAsia="Batang" w:cs="Times"/>
          <w:szCs w:val="24"/>
          <w:lang w:val="pt-BR"/>
        </w:rPr>
        <w:t>artigo</w:t>
      </w:r>
      <w:r w:rsidR="00BA1ACF" w:rsidRPr="00D5464D">
        <w:rPr>
          <w:rFonts w:eastAsia="Batang" w:cs="Times"/>
          <w:szCs w:val="24"/>
          <w:lang w:val="pt-BR"/>
        </w:rPr>
        <w:t>s 31, 32, 42, 65</w:t>
      </w:r>
      <w:r w:rsidR="00E045D9" w:rsidRPr="00D5464D">
        <w:rPr>
          <w:rFonts w:eastAsia="Batang" w:cs="Times"/>
          <w:szCs w:val="24"/>
          <w:lang w:val="pt-BR"/>
        </w:rPr>
        <w:t xml:space="preserve"> e </w:t>
      </w:r>
      <w:r w:rsidR="00BA1ACF" w:rsidRPr="00D5464D">
        <w:rPr>
          <w:rFonts w:eastAsia="Batang" w:cs="Times"/>
          <w:szCs w:val="24"/>
          <w:lang w:val="pt-BR"/>
        </w:rPr>
        <w:t xml:space="preserve">67 </w:t>
      </w:r>
      <w:r w:rsidRPr="00D5464D">
        <w:rPr>
          <w:rFonts w:eastAsia="Batang" w:cs="Times"/>
          <w:szCs w:val="24"/>
          <w:lang w:val="pt-BR"/>
        </w:rPr>
        <w:t xml:space="preserve">do </w:t>
      </w:r>
      <w:r w:rsidR="002C330E" w:rsidRPr="00D5464D">
        <w:rPr>
          <w:rFonts w:eastAsia="Batang" w:cs="Times"/>
          <w:szCs w:val="24"/>
          <w:lang w:val="pt-BR"/>
        </w:rPr>
        <w:t>Regulamento</w:t>
      </w:r>
      <w:r w:rsidRPr="00D5464D">
        <w:rPr>
          <w:rFonts w:eastAsia="Batang" w:cs="Times"/>
          <w:szCs w:val="24"/>
          <w:lang w:val="pt-BR"/>
        </w:rPr>
        <w:t xml:space="preserve"> da </w:t>
      </w:r>
      <w:r w:rsidR="00BA1ACF" w:rsidRPr="00D5464D">
        <w:rPr>
          <w:rFonts w:eastAsia="Batang" w:cs="Times"/>
          <w:szCs w:val="24"/>
          <w:lang w:val="pt-BR"/>
        </w:rPr>
        <w:t>Corte (</w:t>
      </w:r>
      <w:r w:rsidR="00350187" w:rsidRPr="00D5464D">
        <w:rPr>
          <w:rFonts w:eastAsia="Batang" w:cs="Times"/>
          <w:szCs w:val="24"/>
          <w:lang w:val="pt-BR"/>
        </w:rPr>
        <w:t xml:space="preserve">doravante </w:t>
      </w:r>
      <w:r w:rsidR="00C91CB1" w:rsidRPr="00D5464D">
        <w:rPr>
          <w:rFonts w:eastAsia="Batang" w:cs="Times"/>
          <w:szCs w:val="24"/>
          <w:lang w:val="pt-BR"/>
        </w:rPr>
        <w:t>denominado “o</w:t>
      </w:r>
      <w:r w:rsidRPr="00D5464D">
        <w:rPr>
          <w:rFonts w:eastAsia="Batang" w:cs="Times"/>
          <w:szCs w:val="24"/>
          <w:lang w:val="pt-BR"/>
        </w:rPr>
        <w:t xml:space="preserve"> </w:t>
      </w:r>
      <w:r w:rsidR="002C330E" w:rsidRPr="00D5464D">
        <w:rPr>
          <w:rFonts w:eastAsia="Batang" w:cs="Times"/>
          <w:szCs w:val="24"/>
          <w:lang w:val="pt-BR"/>
        </w:rPr>
        <w:t>Regulamento</w:t>
      </w:r>
      <w:r w:rsidRPr="00D5464D">
        <w:rPr>
          <w:rFonts w:eastAsia="Batang" w:cs="Times"/>
          <w:szCs w:val="24"/>
          <w:lang w:val="pt-BR"/>
        </w:rPr>
        <w:t>” ou “</w:t>
      </w:r>
      <w:r w:rsidR="002C330E" w:rsidRPr="00D5464D">
        <w:rPr>
          <w:rFonts w:eastAsia="Batang" w:cs="Times"/>
          <w:szCs w:val="24"/>
          <w:lang w:val="pt-BR"/>
        </w:rPr>
        <w:t>Regulamento</w:t>
      </w:r>
      <w:r w:rsidRPr="00D5464D">
        <w:rPr>
          <w:rFonts w:eastAsia="Batang" w:cs="Times"/>
          <w:szCs w:val="24"/>
          <w:lang w:val="pt-BR"/>
        </w:rPr>
        <w:t xml:space="preserve"> da </w:t>
      </w:r>
      <w:r w:rsidR="00BA1ACF" w:rsidRPr="00D5464D">
        <w:rPr>
          <w:rFonts w:eastAsia="Batang" w:cs="Times"/>
          <w:szCs w:val="24"/>
          <w:lang w:val="pt-BR"/>
        </w:rPr>
        <w:t xml:space="preserve">Corte”), </w:t>
      </w:r>
      <w:r w:rsidR="00E045D9" w:rsidRPr="00D5464D">
        <w:rPr>
          <w:rFonts w:eastAsia="Batang" w:cs="Times"/>
          <w:szCs w:val="24"/>
          <w:lang w:val="pt-BR"/>
        </w:rPr>
        <w:t>profere a presente Sentença</w:t>
      </w:r>
      <w:r w:rsidR="00C4400E" w:rsidRPr="00D5464D">
        <w:rPr>
          <w:rFonts w:eastAsia="Batang" w:cs="Times"/>
          <w:szCs w:val="24"/>
          <w:lang w:val="pt-BR"/>
        </w:rPr>
        <w:t>,</w:t>
      </w:r>
      <w:r w:rsidR="00BA1ACF" w:rsidRPr="00D5464D">
        <w:rPr>
          <w:rFonts w:eastAsia="Batang" w:cs="Times"/>
          <w:szCs w:val="24"/>
          <w:lang w:val="pt-BR"/>
        </w:rPr>
        <w:t xml:space="preserve"> que se </w:t>
      </w:r>
      <w:r w:rsidRPr="00D5464D">
        <w:rPr>
          <w:rFonts w:eastAsia="Batang" w:cs="Times"/>
          <w:szCs w:val="24"/>
          <w:lang w:val="pt-BR"/>
        </w:rPr>
        <w:t>estrutura</w:t>
      </w:r>
      <w:r w:rsidR="00C4400E" w:rsidRPr="00D5464D">
        <w:rPr>
          <w:rFonts w:eastAsia="Batang" w:cs="Times"/>
          <w:szCs w:val="24"/>
          <w:lang w:val="pt-BR"/>
        </w:rPr>
        <w:t xml:space="preserve"> na</w:t>
      </w:r>
      <w:r w:rsidR="00E045D9" w:rsidRPr="00D5464D">
        <w:rPr>
          <w:rFonts w:eastAsia="Batang" w:cs="Times"/>
          <w:szCs w:val="24"/>
          <w:lang w:val="pt-BR"/>
        </w:rPr>
        <w:t xml:space="preserve"> </w:t>
      </w:r>
      <w:r w:rsidR="002C330E" w:rsidRPr="00D5464D">
        <w:rPr>
          <w:rFonts w:eastAsia="Batang" w:cs="Times"/>
          <w:szCs w:val="24"/>
          <w:lang w:val="pt-BR"/>
        </w:rPr>
        <w:t>seguinte</w:t>
      </w:r>
      <w:r w:rsidR="005F5A3A" w:rsidRPr="00D5464D">
        <w:rPr>
          <w:rFonts w:eastAsia="Batang" w:cs="Times"/>
          <w:szCs w:val="24"/>
          <w:lang w:val="pt-BR"/>
        </w:rPr>
        <w:t xml:space="preserve"> </w:t>
      </w:r>
      <w:r w:rsidR="00C91CB1" w:rsidRPr="00D5464D">
        <w:rPr>
          <w:rFonts w:eastAsia="Batang" w:cs="Times"/>
          <w:szCs w:val="24"/>
          <w:lang w:val="pt-BR"/>
        </w:rPr>
        <w:t>ordem:</w:t>
      </w:r>
    </w:p>
    <w:p w14:paraId="466562B4" w14:textId="77777777" w:rsidR="00BA1ACF" w:rsidRPr="00D5464D" w:rsidRDefault="00BA1ACF" w:rsidP="00CC20FF">
      <w:pPr>
        <w:tabs>
          <w:tab w:val="clear" w:pos="4419"/>
          <w:tab w:val="clear" w:pos="8838"/>
        </w:tabs>
        <w:spacing w:after="40"/>
        <w:ind w:right="-138"/>
        <w:jc w:val="center"/>
        <w:rPr>
          <w:rFonts w:eastAsia="Batang" w:cs="Times"/>
          <w:b/>
          <w:szCs w:val="20"/>
          <w:lang w:val="pt-BR"/>
        </w:rPr>
      </w:pPr>
      <w:r w:rsidRPr="00D5464D">
        <w:rPr>
          <w:rFonts w:eastAsia="Batang" w:cs="Times"/>
          <w:szCs w:val="24"/>
          <w:lang w:val="pt-BR"/>
        </w:rPr>
        <w:br w:type="page"/>
      </w:r>
      <w:r w:rsidR="001F559F" w:rsidRPr="00D5464D">
        <w:rPr>
          <w:rFonts w:eastAsia="Batang" w:cs="Times"/>
          <w:b/>
          <w:szCs w:val="20"/>
          <w:lang w:val="pt-BR"/>
        </w:rPr>
        <w:lastRenderedPageBreak/>
        <w:t>ÍNDICE</w:t>
      </w:r>
    </w:p>
    <w:p w14:paraId="3A887792" w14:textId="77777777" w:rsidR="00BA1ACF" w:rsidRPr="00D5464D" w:rsidRDefault="00BA1ACF" w:rsidP="00CC20FF">
      <w:pPr>
        <w:tabs>
          <w:tab w:val="clear" w:pos="4419"/>
          <w:tab w:val="clear" w:pos="8838"/>
        </w:tabs>
        <w:spacing w:after="40"/>
        <w:jc w:val="both"/>
        <w:rPr>
          <w:rFonts w:eastAsia="Batang" w:cs="Times"/>
          <w:szCs w:val="20"/>
          <w:lang w:val="pt-BR"/>
        </w:rPr>
      </w:pPr>
    </w:p>
    <w:p w14:paraId="44E6D7F5" w14:textId="12E7B3A1" w:rsidR="00F07165" w:rsidRPr="00D5464D" w:rsidRDefault="00FF5DA8" w:rsidP="00F07165">
      <w:pPr>
        <w:pStyle w:val="TDC1"/>
        <w:tabs>
          <w:tab w:val="left" w:pos="426"/>
        </w:tabs>
        <w:spacing w:after="40"/>
        <w:rPr>
          <w:rFonts w:eastAsiaTheme="minorEastAsia"/>
          <w:b w:val="0"/>
          <w:noProof/>
          <w:sz w:val="20"/>
          <w:szCs w:val="20"/>
          <w:lang w:val="es-ES" w:eastAsia="es-ES"/>
        </w:rPr>
      </w:pPr>
      <w:r w:rsidRPr="00D5464D">
        <w:rPr>
          <w:rFonts w:eastAsia="Batang" w:cs="Times"/>
          <w:sz w:val="20"/>
          <w:szCs w:val="20"/>
          <w:lang w:val="pt-BR"/>
        </w:rPr>
        <w:fldChar w:fldCharType="begin"/>
      </w:r>
      <w:r w:rsidR="00BA1ACF" w:rsidRPr="00D5464D">
        <w:rPr>
          <w:rFonts w:eastAsia="Batang" w:cs="Times"/>
          <w:sz w:val="20"/>
          <w:szCs w:val="20"/>
          <w:lang w:val="pt-BR"/>
        </w:rPr>
        <w:instrText xml:space="preserve"> TOC \o "1-5" \h \z \u </w:instrText>
      </w:r>
      <w:r w:rsidRPr="00D5464D">
        <w:rPr>
          <w:rFonts w:eastAsia="Batang" w:cs="Times"/>
          <w:sz w:val="20"/>
          <w:szCs w:val="20"/>
          <w:lang w:val="pt-BR"/>
        </w:rPr>
        <w:fldChar w:fldCharType="separate"/>
      </w:r>
      <w:hyperlink w:anchor="_Toc468433845" w:history="1">
        <w:r w:rsidR="001A101E" w:rsidRPr="00D5464D">
          <w:rPr>
            <w:rStyle w:val="Hipervnculo"/>
            <w:noProof/>
            <w:sz w:val="20"/>
            <w:szCs w:val="20"/>
            <w:lang w:val="pt-BR"/>
          </w:rPr>
          <w:t>I</w:t>
        </w:r>
        <w:r w:rsidR="00F07165" w:rsidRPr="00D5464D">
          <w:rPr>
            <w:rStyle w:val="Hipervnculo"/>
            <w:noProof/>
            <w:sz w:val="20"/>
            <w:szCs w:val="20"/>
            <w:lang w:val="pt-BR"/>
          </w:rPr>
          <w:t xml:space="preserve"> INTRODUÇÃO DA CAUSA E OBJETO DA CONTROVÉRSIA</w:t>
        </w:r>
        <w:r w:rsidR="00F07165" w:rsidRPr="00D5464D">
          <w:rPr>
            <w:noProof/>
            <w:webHidden/>
            <w:sz w:val="20"/>
            <w:szCs w:val="20"/>
          </w:rPr>
          <w:tab/>
        </w:r>
        <w:r w:rsidR="00F07165" w:rsidRPr="00D5464D">
          <w:rPr>
            <w:noProof/>
            <w:webHidden/>
            <w:sz w:val="20"/>
            <w:szCs w:val="20"/>
          </w:rPr>
          <w:fldChar w:fldCharType="begin"/>
        </w:r>
        <w:r w:rsidR="00F07165" w:rsidRPr="00D5464D">
          <w:rPr>
            <w:noProof/>
            <w:webHidden/>
            <w:sz w:val="20"/>
            <w:szCs w:val="20"/>
          </w:rPr>
          <w:instrText xml:space="preserve"> PAGEREF _Toc468433845 \h </w:instrText>
        </w:r>
        <w:r w:rsidR="00F07165" w:rsidRPr="00D5464D">
          <w:rPr>
            <w:noProof/>
            <w:webHidden/>
            <w:sz w:val="20"/>
            <w:szCs w:val="20"/>
          </w:rPr>
        </w:r>
        <w:r w:rsidR="00F07165" w:rsidRPr="00D5464D">
          <w:rPr>
            <w:noProof/>
            <w:webHidden/>
            <w:sz w:val="20"/>
            <w:szCs w:val="20"/>
          </w:rPr>
          <w:fldChar w:fldCharType="separate"/>
        </w:r>
        <w:r w:rsidR="004D2931">
          <w:rPr>
            <w:noProof/>
            <w:webHidden/>
            <w:sz w:val="20"/>
            <w:szCs w:val="20"/>
          </w:rPr>
          <w:t>4</w:t>
        </w:r>
        <w:r w:rsidR="00F07165" w:rsidRPr="00D5464D">
          <w:rPr>
            <w:noProof/>
            <w:webHidden/>
            <w:sz w:val="20"/>
            <w:szCs w:val="20"/>
          </w:rPr>
          <w:fldChar w:fldCharType="end"/>
        </w:r>
      </w:hyperlink>
    </w:p>
    <w:p w14:paraId="66F7AD6A" w14:textId="2F15C8FD" w:rsidR="00F07165" w:rsidRPr="00D5464D" w:rsidRDefault="00241CDD" w:rsidP="00F07165">
      <w:pPr>
        <w:pStyle w:val="TDC1"/>
        <w:tabs>
          <w:tab w:val="left" w:pos="426"/>
        </w:tabs>
        <w:spacing w:after="40"/>
        <w:rPr>
          <w:rFonts w:eastAsiaTheme="minorEastAsia"/>
          <w:b w:val="0"/>
          <w:noProof/>
          <w:sz w:val="20"/>
          <w:szCs w:val="20"/>
          <w:lang w:val="es-ES" w:eastAsia="es-ES"/>
        </w:rPr>
      </w:pPr>
      <w:hyperlink w:anchor="_Toc468433846" w:history="1">
        <w:r w:rsidR="00F07165" w:rsidRPr="00D5464D">
          <w:rPr>
            <w:rStyle w:val="Hipervnculo"/>
            <w:noProof/>
            <w:sz w:val="20"/>
            <w:szCs w:val="20"/>
            <w:lang w:val="pt-BR"/>
          </w:rPr>
          <w:t>II PROCEDIMENTO PERANTE A CORTE</w:t>
        </w:r>
        <w:r w:rsidR="00F07165" w:rsidRPr="00D5464D">
          <w:rPr>
            <w:noProof/>
            <w:webHidden/>
            <w:sz w:val="20"/>
            <w:szCs w:val="20"/>
          </w:rPr>
          <w:tab/>
        </w:r>
        <w:r w:rsidR="00F07165" w:rsidRPr="00D5464D">
          <w:rPr>
            <w:noProof/>
            <w:webHidden/>
            <w:sz w:val="20"/>
            <w:szCs w:val="20"/>
          </w:rPr>
          <w:fldChar w:fldCharType="begin"/>
        </w:r>
        <w:r w:rsidR="00F07165" w:rsidRPr="00D5464D">
          <w:rPr>
            <w:noProof/>
            <w:webHidden/>
            <w:sz w:val="20"/>
            <w:szCs w:val="20"/>
          </w:rPr>
          <w:instrText xml:space="preserve"> PAGEREF _Toc468433846 \h </w:instrText>
        </w:r>
        <w:r w:rsidR="00F07165" w:rsidRPr="00D5464D">
          <w:rPr>
            <w:noProof/>
            <w:webHidden/>
            <w:sz w:val="20"/>
            <w:szCs w:val="20"/>
          </w:rPr>
        </w:r>
        <w:r w:rsidR="00F07165" w:rsidRPr="00D5464D">
          <w:rPr>
            <w:noProof/>
            <w:webHidden/>
            <w:sz w:val="20"/>
            <w:szCs w:val="20"/>
          </w:rPr>
          <w:fldChar w:fldCharType="separate"/>
        </w:r>
        <w:r w:rsidR="004D2931">
          <w:rPr>
            <w:noProof/>
            <w:webHidden/>
            <w:sz w:val="20"/>
            <w:szCs w:val="20"/>
          </w:rPr>
          <w:t>6</w:t>
        </w:r>
        <w:r w:rsidR="00F07165" w:rsidRPr="00D5464D">
          <w:rPr>
            <w:noProof/>
            <w:webHidden/>
            <w:sz w:val="20"/>
            <w:szCs w:val="20"/>
          </w:rPr>
          <w:fldChar w:fldCharType="end"/>
        </w:r>
      </w:hyperlink>
    </w:p>
    <w:p w14:paraId="46C4AC6D" w14:textId="45B3EB72" w:rsidR="00F07165" w:rsidRPr="00D5464D" w:rsidRDefault="00241CDD" w:rsidP="00F07165">
      <w:pPr>
        <w:pStyle w:val="TDC1"/>
        <w:tabs>
          <w:tab w:val="left" w:pos="426"/>
        </w:tabs>
        <w:spacing w:after="40"/>
        <w:rPr>
          <w:rFonts w:eastAsiaTheme="minorEastAsia"/>
          <w:b w:val="0"/>
          <w:noProof/>
          <w:sz w:val="20"/>
          <w:szCs w:val="20"/>
          <w:lang w:val="es-ES" w:eastAsia="es-ES"/>
        </w:rPr>
      </w:pPr>
      <w:hyperlink w:anchor="_Toc468433847" w:history="1">
        <w:r w:rsidR="00F07165" w:rsidRPr="00D5464D">
          <w:rPr>
            <w:rStyle w:val="Hipervnculo"/>
            <w:rFonts w:eastAsia="Times New Roman" w:cs="Verdana"/>
            <w:bCs/>
            <w:noProof/>
            <w:snapToGrid w:val="0"/>
            <w:sz w:val="20"/>
            <w:szCs w:val="20"/>
            <w:lang w:val="pt-BR" w:eastAsia="es-ES"/>
          </w:rPr>
          <w:t>III COMPETÊNCIA</w:t>
        </w:r>
        <w:r w:rsidR="00F07165" w:rsidRPr="00D5464D">
          <w:rPr>
            <w:noProof/>
            <w:webHidden/>
            <w:sz w:val="20"/>
            <w:szCs w:val="20"/>
          </w:rPr>
          <w:tab/>
        </w:r>
        <w:r w:rsidR="00F07165" w:rsidRPr="00D5464D">
          <w:rPr>
            <w:noProof/>
            <w:webHidden/>
            <w:sz w:val="20"/>
            <w:szCs w:val="20"/>
          </w:rPr>
          <w:fldChar w:fldCharType="begin"/>
        </w:r>
        <w:r w:rsidR="00F07165" w:rsidRPr="00D5464D">
          <w:rPr>
            <w:noProof/>
            <w:webHidden/>
            <w:sz w:val="20"/>
            <w:szCs w:val="20"/>
          </w:rPr>
          <w:instrText xml:space="preserve"> PAGEREF _Toc468433847 \h </w:instrText>
        </w:r>
        <w:r w:rsidR="00F07165" w:rsidRPr="00D5464D">
          <w:rPr>
            <w:noProof/>
            <w:webHidden/>
            <w:sz w:val="20"/>
            <w:szCs w:val="20"/>
          </w:rPr>
        </w:r>
        <w:r w:rsidR="00F07165" w:rsidRPr="00D5464D">
          <w:rPr>
            <w:noProof/>
            <w:webHidden/>
            <w:sz w:val="20"/>
            <w:szCs w:val="20"/>
          </w:rPr>
          <w:fldChar w:fldCharType="separate"/>
        </w:r>
        <w:r w:rsidR="004D2931">
          <w:rPr>
            <w:noProof/>
            <w:webHidden/>
            <w:sz w:val="20"/>
            <w:szCs w:val="20"/>
          </w:rPr>
          <w:t>8</w:t>
        </w:r>
        <w:r w:rsidR="00F07165" w:rsidRPr="00D5464D">
          <w:rPr>
            <w:noProof/>
            <w:webHidden/>
            <w:sz w:val="20"/>
            <w:szCs w:val="20"/>
          </w:rPr>
          <w:fldChar w:fldCharType="end"/>
        </w:r>
      </w:hyperlink>
    </w:p>
    <w:p w14:paraId="0217A12D" w14:textId="4A60E337" w:rsidR="00F07165" w:rsidRPr="00D5464D" w:rsidRDefault="00241CDD" w:rsidP="00F07165">
      <w:pPr>
        <w:pStyle w:val="TDC1"/>
        <w:tabs>
          <w:tab w:val="left" w:pos="426"/>
        </w:tabs>
        <w:spacing w:after="40"/>
        <w:rPr>
          <w:rFonts w:eastAsiaTheme="minorEastAsia"/>
          <w:b w:val="0"/>
          <w:noProof/>
          <w:sz w:val="20"/>
          <w:szCs w:val="20"/>
          <w:lang w:val="es-ES" w:eastAsia="es-ES"/>
        </w:rPr>
      </w:pPr>
      <w:hyperlink w:anchor="_Toc468433848" w:history="1">
        <w:r w:rsidR="00F07165" w:rsidRPr="00D5464D">
          <w:rPr>
            <w:rStyle w:val="Hipervnculo"/>
            <w:rFonts w:eastAsia="Times New Roman" w:cs="Verdana"/>
            <w:bCs/>
            <w:caps/>
            <w:noProof/>
            <w:snapToGrid w:val="0"/>
            <w:sz w:val="20"/>
            <w:szCs w:val="20"/>
            <w:lang w:val="pt-BR" w:eastAsia="es-ES"/>
          </w:rPr>
          <w:t>IV EXCEÇÕES PRELIMINARES</w:t>
        </w:r>
        <w:r w:rsidR="00F07165" w:rsidRPr="00D5464D">
          <w:rPr>
            <w:noProof/>
            <w:webHidden/>
            <w:sz w:val="20"/>
            <w:szCs w:val="20"/>
          </w:rPr>
          <w:tab/>
        </w:r>
        <w:r w:rsidR="00F07165" w:rsidRPr="00D5464D">
          <w:rPr>
            <w:noProof/>
            <w:webHidden/>
            <w:sz w:val="20"/>
            <w:szCs w:val="20"/>
          </w:rPr>
          <w:fldChar w:fldCharType="begin"/>
        </w:r>
        <w:r w:rsidR="00F07165" w:rsidRPr="00D5464D">
          <w:rPr>
            <w:noProof/>
            <w:webHidden/>
            <w:sz w:val="20"/>
            <w:szCs w:val="20"/>
          </w:rPr>
          <w:instrText xml:space="preserve"> PAGEREF _Toc468433848 \h </w:instrText>
        </w:r>
        <w:r w:rsidR="00F07165" w:rsidRPr="00D5464D">
          <w:rPr>
            <w:noProof/>
            <w:webHidden/>
            <w:sz w:val="20"/>
            <w:szCs w:val="20"/>
          </w:rPr>
        </w:r>
        <w:r w:rsidR="00F07165" w:rsidRPr="00D5464D">
          <w:rPr>
            <w:noProof/>
            <w:webHidden/>
            <w:sz w:val="20"/>
            <w:szCs w:val="20"/>
          </w:rPr>
          <w:fldChar w:fldCharType="separate"/>
        </w:r>
        <w:r w:rsidR="004D2931">
          <w:rPr>
            <w:noProof/>
            <w:webHidden/>
            <w:sz w:val="20"/>
            <w:szCs w:val="20"/>
          </w:rPr>
          <w:t>8</w:t>
        </w:r>
        <w:r w:rsidR="00F07165" w:rsidRPr="00D5464D">
          <w:rPr>
            <w:noProof/>
            <w:webHidden/>
            <w:sz w:val="20"/>
            <w:szCs w:val="20"/>
          </w:rPr>
          <w:fldChar w:fldCharType="end"/>
        </w:r>
      </w:hyperlink>
    </w:p>
    <w:p w14:paraId="5F8EEB13" w14:textId="5F758E1D" w:rsidR="00F07165" w:rsidRPr="00D5464D" w:rsidRDefault="00241CDD" w:rsidP="00F07165">
      <w:pPr>
        <w:pStyle w:val="TDC2"/>
        <w:tabs>
          <w:tab w:val="left" w:pos="0"/>
        </w:tabs>
        <w:spacing w:after="40"/>
        <w:rPr>
          <w:rFonts w:eastAsiaTheme="minorEastAsia"/>
          <w:noProof/>
          <w:szCs w:val="20"/>
          <w:lang w:val="es-ES" w:eastAsia="es-ES"/>
        </w:rPr>
      </w:pPr>
      <w:hyperlink w:anchor="_Toc468433849" w:history="1">
        <w:r w:rsidR="00F07165" w:rsidRPr="00D5464D">
          <w:rPr>
            <w:rStyle w:val="Hipervnculo"/>
            <w:rFonts w:eastAsia="Batang"/>
            <w:noProof/>
            <w:szCs w:val="20"/>
            <w:lang w:val="pt-BR" w:eastAsia="es-ES"/>
          </w:rPr>
          <w:t>A.</w:t>
        </w:r>
        <w:r w:rsidR="00F07165" w:rsidRPr="00D5464D">
          <w:rPr>
            <w:rFonts w:eastAsiaTheme="minorEastAsia"/>
            <w:noProof/>
            <w:szCs w:val="20"/>
            <w:lang w:val="es-ES" w:eastAsia="es-ES"/>
          </w:rPr>
          <w:tab/>
        </w:r>
        <w:r w:rsidR="001A5B3A" w:rsidRPr="00D5464D">
          <w:rPr>
            <w:rFonts w:eastAsiaTheme="minorEastAsia"/>
            <w:noProof/>
            <w:szCs w:val="20"/>
            <w:lang w:val="es-ES" w:eastAsia="es-ES"/>
          </w:rPr>
          <w:t xml:space="preserve"> </w:t>
        </w:r>
        <w:r w:rsidR="00F07165" w:rsidRPr="00D5464D">
          <w:rPr>
            <w:rStyle w:val="Hipervnculo"/>
            <w:rFonts w:eastAsia="Batang"/>
            <w:noProof/>
            <w:szCs w:val="20"/>
            <w:lang w:val="pt-BR" w:eastAsia="es-ES"/>
          </w:rPr>
          <w:t>Alegada inadmissibilidade da submissão do caso à Corte em virtude da publicação do Relatório de Mérito por parte da Comissão</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_Toc468433849 \h </w:instrText>
        </w:r>
        <w:r w:rsidR="00F07165" w:rsidRPr="00D5464D">
          <w:rPr>
            <w:noProof/>
            <w:webHidden/>
            <w:szCs w:val="20"/>
          </w:rPr>
        </w:r>
        <w:r w:rsidR="00F07165" w:rsidRPr="00D5464D">
          <w:rPr>
            <w:noProof/>
            <w:webHidden/>
            <w:szCs w:val="20"/>
          </w:rPr>
          <w:fldChar w:fldCharType="separate"/>
        </w:r>
        <w:r w:rsidR="004D2931">
          <w:rPr>
            <w:noProof/>
            <w:webHidden/>
            <w:szCs w:val="20"/>
          </w:rPr>
          <w:t>9</w:t>
        </w:r>
        <w:r w:rsidR="00F07165" w:rsidRPr="00D5464D">
          <w:rPr>
            <w:noProof/>
            <w:webHidden/>
            <w:szCs w:val="20"/>
          </w:rPr>
          <w:fldChar w:fldCharType="end"/>
        </w:r>
      </w:hyperlink>
    </w:p>
    <w:p w14:paraId="79008BE0" w14:textId="2DDA68B0" w:rsidR="00F07165" w:rsidRPr="00D5464D" w:rsidRDefault="00241CDD" w:rsidP="00F07165">
      <w:pPr>
        <w:pStyle w:val="TDC2"/>
        <w:tabs>
          <w:tab w:val="left" w:pos="0"/>
        </w:tabs>
        <w:spacing w:after="40"/>
        <w:rPr>
          <w:rFonts w:eastAsiaTheme="minorEastAsia"/>
          <w:noProof/>
          <w:szCs w:val="20"/>
          <w:lang w:val="es-ES" w:eastAsia="es-ES"/>
        </w:rPr>
      </w:pPr>
      <w:hyperlink w:anchor="_Toc468433852" w:history="1">
        <w:r w:rsidR="00F07165" w:rsidRPr="00D5464D">
          <w:rPr>
            <w:rStyle w:val="Hipervnculo"/>
            <w:rFonts w:eastAsia="Batang"/>
            <w:noProof/>
            <w:szCs w:val="20"/>
            <w:lang w:val="pt-BR" w:eastAsia="es-ES"/>
          </w:rPr>
          <w:t>B.</w:t>
        </w:r>
        <w:r w:rsidR="001A5B3A" w:rsidRPr="00D5464D">
          <w:rPr>
            <w:rStyle w:val="Hipervnculo"/>
            <w:rFonts w:eastAsia="Batang"/>
            <w:noProof/>
            <w:szCs w:val="20"/>
            <w:lang w:val="pt-BR" w:eastAsia="es-ES"/>
          </w:rPr>
          <w:t xml:space="preserve"> </w:t>
        </w:r>
        <w:r w:rsidR="00F07165" w:rsidRPr="00D5464D">
          <w:rPr>
            <w:rStyle w:val="Hipervnculo"/>
            <w:rFonts w:eastAsia="Batang"/>
            <w:noProof/>
            <w:szCs w:val="20"/>
            <w:lang w:val="pt-BR" w:eastAsia="es-ES"/>
          </w:rPr>
          <w:t>Alegada incompetência ratione personae a respeito das supostas vítimas</w:t>
        </w:r>
        <w:r w:rsidR="001A5B3A" w:rsidRPr="00D5464D">
          <w:rPr>
            <w:rStyle w:val="Hipervnculo"/>
            <w:rFonts w:eastAsia="Batang"/>
            <w:noProof/>
            <w:szCs w:val="20"/>
            <w:lang w:val="pt-BR" w:eastAsia="es-ES"/>
          </w:rPr>
          <w:t xml:space="preserve"> </w:t>
        </w:r>
        <w:r w:rsidR="001A5B3A" w:rsidRPr="00D5464D">
          <w:rPr>
            <w:rStyle w:val="Hipervnculo"/>
            <w:rFonts w:eastAsia="Batang"/>
            <w:noProof/>
            <w:szCs w:val="20"/>
            <w:lang w:val="pt-BR" w:eastAsia="es-ES"/>
          </w:rPr>
          <w:tab/>
        </w:r>
        <w:r w:rsidR="00F07165" w:rsidRPr="00D5464D">
          <w:rPr>
            <w:noProof/>
            <w:webHidden/>
            <w:szCs w:val="20"/>
          </w:rPr>
          <w:fldChar w:fldCharType="begin"/>
        </w:r>
        <w:r w:rsidR="00F07165" w:rsidRPr="00D5464D">
          <w:rPr>
            <w:noProof/>
            <w:webHidden/>
            <w:szCs w:val="20"/>
          </w:rPr>
          <w:instrText xml:space="preserve"> PAGEREF _Toc468433852 \h </w:instrText>
        </w:r>
        <w:r w:rsidR="00F07165" w:rsidRPr="00D5464D">
          <w:rPr>
            <w:noProof/>
            <w:webHidden/>
            <w:szCs w:val="20"/>
          </w:rPr>
        </w:r>
        <w:r w:rsidR="00F07165" w:rsidRPr="00D5464D">
          <w:rPr>
            <w:noProof/>
            <w:webHidden/>
            <w:szCs w:val="20"/>
          </w:rPr>
          <w:fldChar w:fldCharType="separate"/>
        </w:r>
        <w:r w:rsidR="004D2931">
          <w:rPr>
            <w:noProof/>
            <w:webHidden/>
            <w:szCs w:val="20"/>
          </w:rPr>
          <w:t>11</w:t>
        </w:r>
        <w:r w:rsidR="00F07165" w:rsidRPr="00D5464D">
          <w:rPr>
            <w:noProof/>
            <w:webHidden/>
            <w:szCs w:val="20"/>
          </w:rPr>
          <w:fldChar w:fldCharType="end"/>
        </w:r>
      </w:hyperlink>
    </w:p>
    <w:p w14:paraId="0C89A3A8" w14:textId="209472F1" w:rsidR="00F07165" w:rsidRPr="00D5464D" w:rsidRDefault="00241CDD" w:rsidP="00F07165">
      <w:pPr>
        <w:pStyle w:val="TDC2"/>
        <w:tabs>
          <w:tab w:val="left" w:pos="0"/>
        </w:tabs>
        <w:spacing w:after="40"/>
        <w:rPr>
          <w:rFonts w:eastAsiaTheme="minorEastAsia"/>
          <w:noProof/>
          <w:szCs w:val="20"/>
          <w:lang w:val="es-ES" w:eastAsia="es-ES"/>
        </w:rPr>
      </w:pPr>
      <w:hyperlink w:anchor="_Toc468433857" w:history="1">
        <w:r w:rsidR="00F07165" w:rsidRPr="00D5464D">
          <w:rPr>
            <w:rStyle w:val="Hipervnculo"/>
            <w:rFonts w:eastAsia="Batang"/>
            <w:noProof/>
            <w:szCs w:val="20"/>
            <w:lang w:val="pt-BR" w:eastAsia="es-ES"/>
          </w:rPr>
          <w:t>C.</w:t>
        </w:r>
        <w:r w:rsidR="001A5B3A" w:rsidRPr="00D5464D">
          <w:rPr>
            <w:rStyle w:val="Hipervnculo"/>
            <w:rFonts w:eastAsia="Batang"/>
            <w:noProof/>
            <w:szCs w:val="20"/>
            <w:lang w:val="pt-BR" w:eastAsia="es-ES"/>
          </w:rPr>
          <w:t xml:space="preserve"> </w:t>
        </w:r>
        <w:r w:rsidR="00F07165" w:rsidRPr="00D5464D">
          <w:rPr>
            <w:rStyle w:val="Hipervnculo"/>
            <w:rFonts w:eastAsia="Batang"/>
            <w:noProof/>
            <w:szCs w:val="20"/>
            <w:lang w:val="pt-BR" w:eastAsia="es-ES"/>
          </w:rPr>
          <w:t>Alegada incompetência ratione personae de violações em abstrato</w:t>
        </w:r>
        <w:r w:rsidR="001A5B3A" w:rsidRPr="00D5464D">
          <w:rPr>
            <w:rStyle w:val="Hipervnculo"/>
            <w:rFonts w:eastAsia="Batang"/>
            <w:noProof/>
            <w:szCs w:val="20"/>
            <w:lang w:val="pt-BR" w:eastAsia="es-ES"/>
          </w:rPr>
          <w:t xml:space="preserve"> </w:t>
        </w:r>
        <w:r w:rsidR="001A5B3A" w:rsidRPr="00D5464D">
          <w:rPr>
            <w:rStyle w:val="Hipervnculo"/>
            <w:rFonts w:eastAsia="Batang"/>
            <w:noProof/>
            <w:szCs w:val="20"/>
            <w:lang w:val="pt-BR" w:eastAsia="es-ES"/>
          </w:rPr>
          <w:tab/>
        </w:r>
        <w:r w:rsidR="00F07165" w:rsidRPr="00D5464D">
          <w:rPr>
            <w:noProof/>
            <w:webHidden/>
            <w:szCs w:val="20"/>
          </w:rPr>
          <w:fldChar w:fldCharType="begin"/>
        </w:r>
        <w:r w:rsidR="00F07165" w:rsidRPr="00D5464D">
          <w:rPr>
            <w:noProof/>
            <w:webHidden/>
            <w:szCs w:val="20"/>
          </w:rPr>
          <w:instrText xml:space="preserve"> PAGEREF _Toc468433857 \h </w:instrText>
        </w:r>
        <w:r w:rsidR="00F07165" w:rsidRPr="00D5464D">
          <w:rPr>
            <w:noProof/>
            <w:webHidden/>
            <w:szCs w:val="20"/>
          </w:rPr>
        </w:r>
        <w:r w:rsidR="00F07165" w:rsidRPr="00D5464D">
          <w:rPr>
            <w:noProof/>
            <w:webHidden/>
            <w:szCs w:val="20"/>
          </w:rPr>
          <w:fldChar w:fldCharType="separate"/>
        </w:r>
        <w:r w:rsidR="004D2931">
          <w:rPr>
            <w:noProof/>
            <w:webHidden/>
            <w:szCs w:val="20"/>
          </w:rPr>
          <w:t>16</w:t>
        </w:r>
        <w:r w:rsidR="00F07165" w:rsidRPr="00D5464D">
          <w:rPr>
            <w:noProof/>
            <w:webHidden/>
            <w:szCs w:val="20"/>
          </w:rPr>
          <w:fldChar w:fldCharType="end"/>
        </w:r>
      </w:hyperlink>
    </w:p>
    <w:p w14:paraId="6E79D32E" w14:textId="7AD1304D" w:rsidR="00F07165" w:rsidRPr="00D5464D" w:rsidRDefault="00241CDD" w:rsidP="00F07165">
      <w:pPr>
        <w:pStyle w:val="TDC2"/>
        <w:tabs>
          <w:tab w:val="left" w:pos="0"/>
        </w:tabs>
        <w:spacing w:after="40"/>
        <w:rPr>
          <w:rFonts w:eastAsiaTheme="minorEastAsia"/>
          <w:noProof/>
          <w:szCs w:val="20"/>
          <w:lang w:val="es-ES" w:eastAsia="es-ES"/>
        </w:rPr>
      </w:pPr>
      <w:hyperlink w:anchor="_Toc468433860" w:history="1">
        <w:r w:rsidR="00F07165" w:rsidRPr="00D5464D">
          <w:rPr>
            <w:rStyle w:val="Hipervnculo"/>
            <w:rFonts w:eastAsia="Batang"/>
            <w:noProof/>
            <w:szCs w:val="20"/>
            <w:lang w:val="pt-BR" w:eastAsia="es-ES"/>
          </w:rPr>
          <w:t>D.</w:t>
        </w:r>
        <w:r w:rsidR="00F07165" w:rsidRPr="00D5464D">
          <w:rPr>
            <w:rFonts w:eastAsiaTheme="minorEastAsia"/>
            <w:noProof/>
            <w:szCs w:val="20"/>
            <w:lang w:val="es-ES" w:eastAsia="es-ES"/>
          </w:rPr>
          <w:tab/>
        </w:r>
        <w:r w:rsidR="001A5B3A" w:rsidRPr="00D5464D">
          <w:rPr>
            <w:rFonts w:eastAsiaTheme="minorEastAsia"/>
            <w:noProof/>
            <w:szCs w:val="20"/>
            <w:lang w:val="es-ES" w:eastAsia="es-ES"/>
          </w:rPr>
          <w:t xml:space="preserve"> </w:t>
        </w:r>
        <w:r w:rsidR="00F07165" w:rsidRPr="00D5464D">
          <w:rPr>
            <w:rStyle w:val="Hipervnculo"/>
            <w:rFonts w:eastAsia="Batang"/>
            <w:noProof/>
            <w:szCs w:val="20"/>
            <w:lang w:val="pt-BR" w:eastAsia="es-ES"/>
          </w:rPr>
          <w:t>Alegada incompetência ratione temporis a respeito de fatos anteriores à data de reconhecimento da jurisdição da Corte, e alegada incompetência ratione temporis quanto a fatos anteriores à adesão do Estado à Convenção</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_Toc468433860 \h </w:instrText>
        </w:r>
        <w:r w:rsidR="00F07165" w:rsidRPr="00D5464D">
          <w:rPr>
            <w:noProof/>
            <w:webHidden/>
            <w:szCs w:val="20"/>
          </w:rPr>
        </w:r>
        <w:r w:rsidR="00F07165" w:rsidRPr="00D5464D">
          <w:rPr>
            <w:noProof/>
            <w:webHidden/>
            <w:szCs w:val="20"/>
          </w:rPr>
          <w:fldChar w:fldCharType="separate"/>
        </w:r>
        <w:r w:rsidR="004D2931">
          <w:rPr>
            <w:noProof/>
            <w:webHidden/>
            <w:szCs w:val="20"/>
          </w:rPr>
          <w:t>16</w:t>
        </w:r>
        <w:r w:rsidR="00F07165" w:rsidRPr="00D5464D">
          <w:rPr>
            <w:noProof/>
            <w:webHidden/>
            <w:szCs w:val="20"/>
          </w:rPr>
          <w:fldChar w:fldCharType="end"/>
        </w:r>
      </w:hyperlink>
    </w:p>
    <w:p w14:paraId="55795898" w14:textId="42AD4A30" w:rsidR="00F07165" w:rsidRPr="00D5464D" w:rsidRDefault="00241CDD" w:rsidP="00F07165">
      <w:pPr>
        <w:pStyle w:val="TDC2"/>
        <w:tabs>
          <w:tab w:val="left" w:pos="0"/>
        </w:tabs>
        <w:spacing w:after="40"/>
        <w:rPr>
          <w:rFonts w:eastAsiaTheme="minorEastAsia"/>
          <w:noProof/>
          <w:szCs w:val="20"/>
          <w:lang w:val="es-ES" w:eastAsia="es-ES"/>
        </w:rPr>
      </w:pPr>
      <w:hyperlink w:anchor="_Toc468433863" w:history="1">
        <w:r w:rsidR="00F07165" w:rsidRPr="00D5464D">
          <w:rPr>
            <w:rStyle w:val="Hipervnculo"/>
            <w:rFonts w:eastAsia="Batang"/>
            <w:noProof/>
            <w:szCs w:val="20"/>
            <w:lang w:val="pt-BR" w:eastAsia="es-ES"/>
          </w:rPr>
          <w:t>E.</w:t>
        </w:r>
        <w:r w:rsidR="00F07165" w:rsidRPr="00D5464D">
          <w:rPr>
            <w:rFonts w:eastAsiaTheme="minorEastAsia"/>
            <w:noProof/>
            <w:szCs w:val="20"/>
            <w:lang w:val="es-ES" w:eastAsia="es-ES"/>
          </w:rPr>
          <w:tab/>
        </w:r>
        <w:r w:rsidR="001A5B3A" w:rsidRPr="00D5464D">
          <w:rPr>
            <w:rFonts w:eastAsiaTheme="minorEastAsia"/>
            <w:noProof/>
            <w:szCs w:val="20"/>
            <w:lang w:val="es-ES" w:eastAsia="es-ES"/>
          </w:rPr>
          <w:t xml:space="preserve"> </w:t>
        </w:r>
        <w:r w:rsidR="00F07165" w:rsidRPr="00D5464D">
          <w:rPr>
            <w:rStyle w:val="Hipervnculo"/>
            <w:rFonts w:eastAsia="Batang"/>
            <w:noProof/>
            <w:szCs w:val="20"/>
            <w:lang w:val="pt-BR" w:eastAsia="es-ES"/>
          </w:rPr>
          <w:t>Alegada incompetência ratione materiae por violação ao princípio de subsidiariedade do sistema interamericano</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_Toc468433863 \h </w:instrText>
        </w:r>
        <w:r w:rsidR="00F07165" w:rsidRPr="00D5464D">
          <w:rPr>
            <w:noProof/>
            <w:webHidden/>
            <w:szCs w:val="20"/>
          </w:rPr>
        </w:r>
        <w:r w:rsidR="00F07165" w:rsidRPr="00D5464D">
          <w:rPr>
            <w:noProof/>
            <w:webHidden/>
            <w:szCs w:val="20"/>
          </w:rPr>
          <w:fldChar w:fldCharType="separate"/>
        </w:r>
        <w:r w:rsidR="004D2931">
          <w:rPr>
            <w:noProof/>
            <w:webHidden/>
            <w:szCs w:val="20"/>
          </w:rPr>
          <w:t>18</w:t>
        </w:r>
        <w:r w:rsidR="00F07165" w:rsidRPr="00D5464D">
          <w:rPr>
            <w:noProof/>
            <w:webHidden/>
            <w:szCs w:val="20"/>
          </w:rPr>
          <w:fldChar w:fldCharType="end"/>
        </w:r>
      </w:hyperlink>
    </w:p>
    <w:p w14:paraId="3BCF0F79" w14:textId="67A79183" w:rsidR="00F07165" w:rsidRPr="00D5464D" w:rsidRDefault="00241CDD" w:rsidP="00F07165">
      <w:pPr>
        <w:pStyle w:val="TDC2"/>
        <w:tabs>
          <w:tab w:val="left" w:pos="0"/>
        </w:tabs>
        <w:spacing w:after="40"/>
        <w:rPr>
          <w:rFonts w:eastAsiaTheme="minorEastAsia"/>
          <w:noProof/>
          <w:szCs w:val="20"/>
          <w:lang w:val="es-ES" w:eastAsia="es-ES"/>
        </w:rPr>
      </w:pPr>
      <w:hyperlink w:anchor="_Toc468433866" w:history="1">
        <w:r w:rsidR="00F07165" w:rsidRPr="00D5464D">
          <w:rPr>
            <w:rStyle w:val="Hipervnculo"/>
            <w:rFonts w:eastAsia="Batang"/>
            <w:noProof/>
            <w:szCs w:val="20"/>
            <w:lang w:val="pt-BR" w:eastAsia="es-ES"/>
          </w:rPr>
          <w:t>F.</w:t>
        </w:r>
        <w:r w:rsidR="00F07165" w:rsidRPr="00D5464D">
          <w:rPr>
            <w:rFonts w:eastAsiaTheme="minorEastAsia"/>
            <w:noProof/>
            <w:szCs w:val="20"/>
            <w:lang w:val="es-ES" w:eastAsia="es-ES"/>
          </w:rPr>
          <w:tab/>
        </w:r>
        <w:r w:rsidR="001A5B3A" w:rsidRPr="00D5464D">
          <w:rPr>
            <w:rFonts w:eastAsiaTheme="minorEastAsia"/>
            <w:noProof/>
            <w:szCs w:val="20"/>
            <w:lang w:val="es-ES" w:eastAsia="es-ES"/>
          </w:rPr>
          <w:t xml:space="preserve"> </w:t>
        </w:r>
        <w:r w:rsidR="00F07165" w:rsidRPr="00D5464D">
          <w:rPr>
            <w:rStyle w:val="Hipervnculo"/>
            <w:rFonts w:eastAsia="Batang"/>
            <w:noProof/>
            <w:szCs w:val="20"/>
            <w:lang w:val="pt-BR" w:eastAsia="es-ES"/>
          </w:rPr>
          <w:t>Alegada incompetência ratione materiae relativa a supostas violações da proibição do tráfico de pessoas</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_Toc468433866 \h </w:instrText>
        </w:r>
        <w:r w:rsidR="00F07165" w:rsidRPr="00D5464D">
          <w:rPr>
            <w:noProof/>
            <w:webHidden/>
            <w:szCs w:val="20"/>
          </w:rPr>
        </w:r>
        <w:r w:rsidR="00F07165" w:rsidRPr="00D5464D">
          <w:rPr>
            <w:noProof/>
            <w:webHidden/>
            <w:szCs w:val="20"/>
          </w:rPr>
          <w:fldChar w:fldCharType="separate"/>
        </w:r>
        <w:r w:rsidR="004D2931">
          <w:rPr>
            <w:noProof/>
            <w:webHidden/>
            <w:szCs w:val="20"/>
          </w:rPr>
          <w:t>20</w:t>
        </w:r>
        <w:r w:rsidR="00F07165" w:rsidRPr="00D5464D">
          <w:rPr>
            <w:noProof/>
            <w:webHidden/>
            <w:szCs w:val="20"/>
          </w:rPr>
          <w:fldChar w:fldCharType="end"/>
        </w:r>
      </w:hyperlink>
    </w:p>
    <w:p w14:paraId="45E8C55A" w14:textId="105C6F0A" w:rsidR="00F07165" w:rsidRPr="00D5464D" w:rsidRDefault="00241CDD" w:rsidP="00F07165">
      <w:pPr>
        <w:pStyle w:val="TDC2"/>
        <w:tabs>
          <w:tab w:val="left" w:pos="0"/>
        </w:tabs>
        <w:spacing w:after="40"/>
        <w:rPr>
          <w:rFonts w:eastAsiaTheme="minorEastAsia"/>
          <w:noProof/>
          <w:szCs w:val="20"/>
          <w:lang w:val="es-ES" w:eastAsia="es-ES"/>
        </w:rPr>
      </w:pPr>
      <w:hyperlink w:anchor="_Toc468433869" w:history="1">
        <w:r w:rsidR="00F07165" w:rsidRPr="00D5464D">
          <w:rPr>
            <w:rStyle w:val="Hipervnculo"/>
            <w:rFonts w:eastAsia="Batang"/>
            <w:noProof/>
            <w:szCs w:val="20"/>
            <w:lang w:val="pt-BR" w:eastAsia="es-ES"/>
          </w:rPr>
          <w:t>G.</w:t>
        </w:r>
        <w:r w:rsidR="00F07165" w:rsidRPr="00D5464D">
          <w:rPr>
            <w:rFonts w:eastAsiaTheme="minorEastAsia"/>
            <w:noProof/>
            <w:szCs w:val="20"/>
            <w:lang w:val="es-ES" w:eastAsia="es-ES"/>
          </w:rPr>
          <w:tab/>
        </w:r>
        <w:r w:rsidR="001A5B3A" w:rsidRPr="00D5464D">
          <w:rPr>
            <w:rFonts w:eastAsiaTheme="minorEastAsia"/>
            <w:noProof/>
            <w:szCs w:val="20"/>
            <w:lang w:val="es-ES" w:eastAsia="es-ES"/>
          </w:rPr>
          <w:t xml:space="preserve"> </w:t>
        </w:r>
        <w:r w:rsidR="00F07165" w:rsidRPr="00D5464D">
          <w:rPr>
            <w:rStyle w:val="Hipervnculo"/>
            <w:rFonts w:eastAsia="Batang"/>
            <w:noProof/>
            <w:szCs w:val="20"/>
            <w:lang w:val="pt-BR" w:eastAsia="es-ES"/>
          </w:rPr>
          <w:t>Alegada incompetência ratione materiae sobre supostas violações de direitos trabalhistas</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_Toc468433869 \h </w:instrText>
        </w:r>
        <w:r w:rsidR="00F07165" w:rsidRPr="00D5464D">
          <w:rPr>
            <w:noProof/>
            <w:webHidden/>
            <w:szCs w:val="20"/>
          </w:rPr>
        </w:r>
        <w:r w:rsidR="00F07165" w:rsidRPr="00D5464D">
          <w:rPr>
            <w:noProof/>
            <w:webHidden/>
            <w:szCs w:val="20"/>
          </w:rPr>
          <w:fldChar w:fldCharType="separate"/>
        </w:r>
        <w:r w:rsidR="004D2931">
          <w:rPr>
            <w:noProof/>
            <w:webHidden/>
            <w:szCs w:val="20"/>
          </w:rPr>
          <w:t>21</w:t>
        </w:r>
        <w:r w:rsidR="00F07165" w:rsidRPr="00D5464D">
          <w:rPr>
            <w:noProof/>
            <w:webHidden/>
            <w:szCs w:val="20"/>
          </w:rPr>
          <w:fldChar w:fldCharType="end"/>
        </w:r>
      </w:hyperlink>
    </w:p>
    <w:p w14:paraId="578806F3" w14:textId="753FF016" w:rsidR="00F07165" w:rsidRPr="00D5464D" w:rsidRDefault="00241CDD" w:rsidP="00F07165">
      <w:pPr>
        <w:pStyle w:val="TDC2"/>
        <w:tabs>
          <w:tab w:val="left" w:pos="0"/>
        </w:tabs>
        <w:spacing w:after="40"/>
        <w:rPr>
          <w:rFonts w:eastAsiaTheme="minorEastAsia"/>
          <w:noProof/>
          <w:szCs w:val="20"/>
          <w:lang w:val="es-ES" w:eastAsia="es-ES"/>
        </w:rPr>
      </w:pPr>
      <w:hyperlink w:anchor="_Toc468433872" w:history="1">
        <w:r w:rsidR="00F07165" w:rsidRPr="00D5464D">
          <w:rPr>
            <w:rStyle w:val="Hipervnculo"/>
            <w:rFonts w:eastAsia="Batang"/>
            <w:noProof/>
            <w:szCs w:val="20"/>
            <w:lang w:val="pt-BR" w:eastAsia="es-ES"/>
          </w:rPr>
          <w:t>H.</w:t>
        </w:r>
        <w:r w:rsidR="001A5B3A" w:rsidRPr="00D5464D">
          <w:rPr>
            <w:rStyle w:val="Hipervnculo"/>
            <w:rFonts w:eastAsia="Batang"/>
            <w:noProof/>
            <w:szCs w:val="20"/>
            <w:lang w:val="pt-BR" w:eastAsia="es-ES"/>
          </w:rPr>
          <w:t xml:space="preserve"> </w:t>
        </w:r>
        <w:r w:rsidR="00F07165" w:rsidRPr="00D5464D">
          <w:rPr>
            <w:rStyle w:val="Hipervnculo"/>
            <w:rFonts w:eastAsia="Batang"/>
            <w:noProof/>
            <w:szCs w:val="20"/>
            <w:lang w:val="pt-BR" w:eastAsia="es-ES"/>
          </w:rPr>
          <w:t>Alegada falta de esgotamento prévio dos recursos internos</w:t>
        </w:r>
        <w:r w:rsidR="001A5B3A" w:rsidRPr="00D5464D">
          <w:rPr>
            <w:rStyle w:val="Hipervnculo"/>
            <w:rFonts w:eastAsia="Batang"/>
            <w:noProof/>
            <w:szCs w:val="20"/>
            <w:lang w:val="pt-BR" w:eastAsia="es-ES"/>
          </w:rPr>
          <w:t xml:space="preserve"> </w:t>
        </w:r>
        <w:r w:rsidR="001A5B3A" w:rsidRPr="00D5464D">
          <w:rPr>
            <w:rStyle w:val="Hipervnculo"/>
            <w:rFonts w:eastAsia="Batang"/>
            <w:noProof/>
            <w:szCs w:val="20"/>
            <w:lang w:val="pt-BR" w:eastAsia="es-ES"/>
          </w:rPr>
          <w:tab/>
        </w:r>
        <w:r w:rsidR="00F07165" w:rsidRPr="00D5464D">
          <w:rPr>
            <w:noProof/>
            <w:webHidden/>
            <w:szCs w:val="20"/>
          </w:rPr>
          <w:fldChar w:fldCharType="begin"/>
        </w:r>
        <w:r w:rsidR="00F07165" w:rsidRPr="00D5464D">
          <w:rPr>
            <w:noProof/>
            <w:webHidden/>
            <w:szCs w:val="20"/>
          </w:rPr>
          <w:instrText xml:space="preserve"> PAGEREF _Toc468433872 \h </w:instrText>
        </w:r>
        <w:r w:rsidR="00F07165" w:rsidRPr="00D5464D">
          <w:rPr>
            <w:noProof/>
            <w:webHidden/>
            <w:szCs w:val="20"/>
          </w:rPr>
        </w:r>
        <w:r w:rsidR="00F07165" w:rsidRPr="00D5464D">
          <w:rPr>
            <w:noProof/>
            <w:webHidden/>
            <w:szCs w:val="20"/>
          </w:rPr>
          <w:fldChar w:fldCharType="separate"/>
        </w:r>
        <w:r w:rsidR="004D2931">
          <w:rPr>
            <w:noProof/>
            <w:webHidden/>
            <w:szCs w:val="20"/>
          </w:rPr>
          <w:t>22</w:t>
        </w:r>
        <w:r w:rsidR="00F07165" w:rsidRPr="00D5464D">
          <w:rPr>
            <w:noProof/>
            <w:webHidden/>
            <w:szCs w:val="20"/>
          </w:rPr>
          <w:fldChar w:fldCharType="end"/>
        </w:r>
      </w:hyperlink>
    </w:p>
    <w:p w14:paraId="7EE273F6" w14:textId="2E637F38" w:rsidR="00F07165" w:rsidRPr="00D5464D" w:rsidRDefault="00241CDD" w:rsidP="00F07165">
      <w:pPr>
        <w:pStyle w:val="TDC2"/>
        <w:tabs>
          <w:tab w:val="left" w:pos="0"/>
        </w:tabs>
        <w:spacing w:after="40"/>
        <w:rPr>
          <w:rFonts w:eastAsiaTheme="minorEastAsia"/>
          <w:noProof/>
          <w:szCs w:val="20"/>
          <w:lang w:val="es-ES" w:eastAsia="es-ES"/>
        </w:rPr>
      </w:pPr>
      <w:hyperlink w:anchor="_Toc468433875" w:history="1">
        <w:r w:rsidR="00F07165" w:rsidRPr="00D5464D">
          <w:rPr>
            <w:rStyle w:val="Hipervnculo"/>
            <w:rFonts w:eastAsia="Batang"/>
            <w:noProof/>
            <w:szCs w:val="20"/>
            <w:lang w:val="pt-BR" w:eastAsia="es-ES"/>
          </w:rPr>
          <w:t>I.</w:t>
        </w:r>
        <w:r w:rsidR="00F07165" w:rsidRPr="00D5464D">
          <w:rPr>
            <w:rFonts w:eastAsiaTheme="minorEastAsia"/>
            <w:noProof/>
            <w:szCs w:val="20"/>
            <w:lang w:val="es-ES" w:eastAsia="es-ES"/>
          </w:rPr>
          <w:tab/>
        </w:r>
        <w:r w:rsidR="001A5B3A" w:rsidRPr="00D5464D">
          <w:rPr>
            <w:rFonts w:eastAsiaTheme="minorEastAsia"/>
            <w:noProof/>
            <w:szCs w:val="20"/>
            <w:lang w:val="es-ES" w:eastAsia="es-ES"/>
          </w:rPr>
          <w:t xml:space="preserve"> </w:t>
        </w:r>
        <w:r w:rsidR="00F07165" w:rsidRPr="00D5464D">
          <w:rPr>
            <w:rStyle w:val="Hipervnculo"/>
            <w:rFonts w:eastAsia="Batang"/>
            <w:noProof/>
            <w:szCs w:val="20"/>
            <w:lang w:val="pt-BR" w:eastAsia="es-ES"/>
          </w:rPr>
          <w:t>Alegada prescrição do pedido de reparação por danos morais e materiais apresentado perante a Comissão</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_Toc468433875 \h </w:instrText>
        </w:r>
        <w:r w:rsidR="00F07165" w:rsidRPr="00D5464D">
          <w:rPr>
            <w:noProof/>
            <w:webHidden/>
            <w:szCs w:val="20"/>
          </w:rPr>
        </w:r>
        <w:r w:rsidR="00F07165" w:rsidRPr="00D5464D">
          <w:rPr>
            <w:noProof/>
            <w:webHidden/>
            <w:szCs w:val="20"/>
          </w:rPr>
          <w:fldChar w:fldCharType="separate"/>
        </w:r>
        <w:r w:rsidR="004D2931">
          <w:rPr>
            <w:noProof/>
            <w:webHidden/>
            <w:szCs w:val="20"/>
          </w:rPr>
          <w:t>24</w:t>
        </w:r>
        <w:r w:rsidR="00F07165" w:rsidRPr="00D5464D">
          <w:rPr>
            <w:noProof/>
            <w:webHidden/>
            <w:szCs w:val="20"/>
          </w:rPr>
          <w:fldChar w:fldCharType="end"/>
        </w:r>
      </w:hyperlink>
    </w:p>
    <w:p w14:paraId="7D5DB7DF" w14:textId="3B17B74A" w:rsidR="00F07165" w:rsidRPr="00D5464D" w:rsidRDefault="00241CDD" w:rsidP="00F07165">
      <w:pPr>
        <w:pStyle w:val="TDC1"/>
        <w:spacing w:after="40"/>
        <w:rPr>
          <w:rFonts w:eastAsiaTheme="minorEastAsia"/>
          <w:b w:val="0"/>
          <w:noProof/>
          <w:sz w:val="20"/>
          <w:szCs w:val="20"/>
          <w:lang w:val="es-ES" w:eastAsia="es-ES"/>
        </w:rPr>
      </w:pPr>
      <w:hyperlink w:anchor="_Toc468433878" w:history="1">
        <w:r w:rsidR="00F07165" w:rsidRPr="00D5464D">
          <w:rPr>
            <w:rStyle w:val="Hipervnculo"/>
            <w:rFonts w:eastAsia="Times New Roman" w:cs="Verdana"/>
            <w:bCs/>
            <w:caps/>
            <w:noProof/>
            <w:snapToGrid w:val="0"/>
            <w:sz w:val="20"/>
            <w:szCs w:val="20"/>
            <w:lang w:val="pt-BR" w:eastAsia="es-ES"/>
          </w:rPr>
          <w:t>V PROVA</w:t>
        </w:r>
        <w:r w:rsidR="00F07165" w:rsidRPr="00D5464D">
          <w:rPr>
            <w:noProof/>
            <w:webHidden/>
            <w:sz w:val="20"/>
            <w:szCs w:val="20"/>
          </w:rPr>
          <w:tab/>
        </w:r>
        <w:r w:rsidR="00F07165" w:rsidRPr="00D5464D">
          <w:rPr>
            <w:noProof/>
            <w:webHidden/>
            <w:sz w:val="20"/>
            <w:szCs w:val="20"/>
          </w:rPr>
          <w:fldChar w:fldCharType="begin"/>
        </w:r>
        <w:r w:rsidR="00F07165" w:rsidRPr="00D5464D">
          <w:rPr>
            <w:noProof/>
            <w:webHidden/>
            <w:sz w:val="20"/>
            <w:szCs w:val="20"/>
          </w:rPr>
          <w:instrText xml:space="preserve"> PAGEREF _Toc468433878 \h </w:instrText>
        </w:r>
        <w:r w:rsidR="00F07165" w:rsidRPr="00D5464D">
          <w:rPr>
            <w:noProof/>
            <w:webHidden/>
            <w:sz w:val="20"/>
            <w:szCs w:val="20"/>
          </w:rPr>
        </w:r>
        <w:r w:rsidR="00F07165" w:rsidRPr="00D5464D">
          <w:rPr>
            <w:noProof/>
            <w:webHidden/>
            <w:sz w:val="20"/>
            <w:szCs w:val="20"/>
          </w:rPr>
          <w:fldChar w:fldCharType="separate"/>
        </w:r>
        <w:r w:rsidR="004D2931">
          <w:rPr>
            <w:noProof/>
            <w:webHidden/>
            <w:sz w:val="20"/>
            <w:szCs w:val="20"/>
          </w:rPr>
          <w:t>25</w:t>
        </w:r>
        <w:r w:rsidR="00F07165" w:rsidRPr="00D5464D">
          <w:rPr>
            <w:noProof/>
            <w:webHidden/>
            <w:sz w:val="20"/>
            <w:szCs w:val="20"/>
          </w:rPr>
          <w:fldChar w:fldCharType="end"/>
        </w:r>
      </w:hyperlink>
    </w:p>
    <w:p w14:paraId="0F63D8E1" w14:textId="70E6CD5E" w:rsidR="00F07165" w:rsidRPr="00D5464D" w:rsidRDefault="00241CDD" w:rsidP="00F07165">
      <w:pPr>
        <w:pStyle w:val="TDC2"/>
        <w:tabs>
          <w:tab w:val="left" w:pos="0"/>
        </w:tabs>
        <w:spacing w:after="40"/>
        <w:rPr>
          <w:rFonts w:eastAsiaTheme="minorEastAsia"/>
          <w:noProof/>
          <w:szCs w:val="20"/>
          <w:lang w:val="es-ES" w:eastAsia="es-ES"/>
        </w:rPr>
      </w:pPr>
      <w:hyperlink w:anchor="_Toc468433879" w:history="1">
        <w:r w:rsidR="00F07165" w:rsidRPr="00D5464D">
          <w:rPr>
            <w:rStyle w:val="Hipervnculo"/>
            <w:rFonts w:eastAsia="Batang"/>
            <w:noProof/>
            <w:szCs w:val="20"/>
            <w:lang w:val="pt-BR" w:eastAsia="es-ES"/>
          </w:rPr>
          <w:t>A.</w:t>
        </w:r>
        <w:r w:rsidR="001A5B3A" w:rsidRPr="00D5464D">
          <w:rPr>
            <w:rStyle w:val="Hipervnculo"/>
            <w:rFonts w:eastAsia="Batang"/>
            <w:noProof/>
            <w:szCs w:val="20"/>
            <w:lang w:val="pt-BR" w:eastAsia="es-ES"/>
          </w:rPr>
          <w:t xml:space="preserve"> </w:t>
        </w:r>
        <w:r w:rsidR="00F07165" w:rsidRPr="00D5464D">
          <w:rPr>
            <w:rStyle w:val="Hipervnculo"/>
            <w:rFonts w:eastAsia="Batang"/>
            <w:noProof/>
            <w:szCs w:val="20"/>
            <w:lang w:val="pt-BR" w:eastAsia="es-ES"/>
          </w:rPr>
          <w:t>Prova documental, testemunhal e pericial</w:t>
        </w:r>
        <w:r w:rsidR="001A5B3A" w:rsidRPr="00D5464D">
          <w:rPr>
            <w:rStyle w:val="Hipervnculo"/>
            <w:rFonts w:eastAsia="Batang"/>
            <w:noProof/>
            <w:szCs w:val="20"/>
            <w:lang w:val="pt-BR" w:eastAsia="es-ES"/>
          </w:rPr>
          <w:t xml:space="preserve"> </w:t>
        </w:r>
        <w:r w:rsidR="001A5B3A" w:rsidRPr="00D5464D">
          <w:rPr>
            <w:rStyle w:val="Hipervnculo"/>
            <w:rFonts w:eastAsia="Batang"/>
            <w:noProof/>
            <w:szCs w:val="20"/>
            <w:lang w:val="pt-BR" w:eastAsia="es-ES"/>
          </w:rPr>
          <w:tab/>
        </w:r>
        <w:r w:rsidR="00F07165" w:rsidRPr="00D5464D">
          <w:rPr>
            <w:noProof/>
            <w:webHidden/>
            <w:szCs w:val="20"/>
          </w:rPr>
          <w:fldChar w:fldCharType="begin"/>
        </w:r>
        <w:r w:rsidR="00F07165" w:rsidRPr="00D5464D">
          <w:rPr>
            <w:noProof/>
            <w:webHidden/>
            <w:szCs w:val="20"/>
          </w:rPr>
          <w:instrText xml:space="preserve"> PAGEREF _Toc468433879 \h </w:instrText>
        </w:r>
        <w:r w:rsidR="00F07165" w:rsidRPr="00D5464D">
          <w:rPr>
            <w:noProof/>
            <w:webHidden/>
            <w:szCs w:val="20"/>
          </w:rPr>
        </w:r>
        <w:r w:rsidR="00F07165" w:rsidRPr="00D5464D">
          <w:rPr>
            <w:noProof/>
            <w:webHidden/>
            <w:szCs w:val="20"/>
          </w:rPr>
          <w:fldChar w:fldCharType="separate"/>
        </w:r>
        <w:r w:rsidR="004D2931">
          <w:rPr>
            <w:noProof/>
            <w:webHidden/>
            <w:szCs w:val="20"/>
          </w:rPr>
          <w:t>25</w:t>
        </w:r>
        <w:r w:rsidR="00F07165" w:rsidRPr="00D5464D">
          <w:rPr>
            <w:noProof/>
            <w:webHidden/>
            <w:szCs w:val="20"/>
          </w:rPr>
          <w:fldChar w:fldCharType="end"/>
        </w:r>
      </w:hyperlink>
    </w:p>
    <w:p w14:paraId="0483F4C0" w14:textId="762168E3" w:rsidR="00F07165" w:rsidRPr="00D5464D" w:rsidRDefault="00241CDD" w:rsidP="00F07165">
      <w:pPr>
        <w:pStyle w:val="TDC2"/>
        <w:tabs>
          <w:tab w:val="left" w:pos="0"/>
        </w:tabs>
        <w:spacing w:after="40"/>
        <w:rPr>
          <w:rFonts w:eastAsiaTheme="minorEastAsia"/>
          <w:noProof/>
          <w:szCs w:val="20"/>
          <w:lang w:val="es-ES" w:eastAsia="es-ES"/>
        </w:rPr>
      </w:pPr>
      <w:hyperlink w:anchor="_Toc468433880" w:history="1">
        <w:r w:rsidR="00F07165" w:rsidRPr="00D5464D">
          <w:rPr>
            <w:rStyle w:val="Hipervnculo"/>
            <w:rFonts w:eastAsia="Batang"/>
            <w:noProof/>
            <w:szCs w:val="20"/>
            <w:lang w:val="pt-BR" w:eastAsia="es-ES"/>
          </w:rPr>
          <w:t>B.</w:t>
        </w:r>
        <w:r w:rsidR="001A5B3A" w:rsidRPr="00D5464D">
          <w:rPr>
            <w:rStyle w:val="Hipervnculo"/>
            <w:rFonts w:eastAsia="Batang"/>
            <w:noProof/>
            <w:szCs w:val="20"/>
            <w:lang w:val="pt-BR" w:eastAsia="es-ES"/>
          </w:rPr>
          <w:t xml:space="preserve"> </w:t>
        </w:r>
        <w:r w:rsidR="00F07165" w:rsidRPr="00D5464D">
          <w:rPr>
            <w:rStyle w:val="Hipervnculo"/>
            <w:rFonts w:eastAsia="Batang"/>
            <w:noProof/>
            <w:szCs w:val="20"/>
            <w:lang w:val="pt-BR" w:eastAsia="es-ES"/>
          </w:rPr>
          <w:t>Admissibilidade da prova</w:t>
        </w:r>
        <w:r w:rsidR="001A5B3A" w:rsidRPr="00D5464D">
          <w:rPr>
            <w:rStyle w:val="Hipervnculo"/>
            <w:rFonts w:eastAsia="Batang"/>
            <w:noProof/>
            <w:szCs w:val="20"/>
            <w:lang w:val="pt-BR" w:eastAsia="es-ES"/>
          </w:rPr>
          <w:t xml:space="preserve"> </w:t>
        </w:r>
        <w:r w:rsidR="001A5B3A" w:rsidRPr="00D5464D">
          <w:rPr>
            <w:rStyle w:val="Hipervnculo"/>
            <w:rFonts w:eastAsia="Batang"/>
            <w:noProof/>
            <w:szCs w:val="20"/>
            <w:lang w:val="pt-BR" w:eastAsia="es-ES"/>
          </w:rPr>
          <w:tab/>
        </w:r>
        <w:r w:rsidR="00F07165" w:rsidRPr="00D5464D">
          <w:rPr>
            <w:noProof/>
            <w:webHidden/>
            <w:szCs w:val="20"/>
          </w:rPr>
          <w:fldChar w:fldCharType="begin"/>
        </w:r>
        <w:r w:rsidR="00F07165" w:rsidRPr="00D5464D">
          <w:rPr>
            <w:noProof/>
            <w:webHidden/>
            <w:szCs w:val="20"/>
          </w:rPr>
          <w:instrText xml:space="preserve"> PAGEREF _Toc468433880 \h </w:instrText>
        </w:r>
        <w:r w:rsidR="00F07165" w:rsidRPr="00D5464D">
          <w:rPr>
            <w:noProof/>
            <w:webHidden/>
            <w:szCs w:val="20"/>
          </w:rPr>
        </w:r>
        <w:r w:rsidR="00F07165" w:rsidRPr="00D5464D">
          <w:rPr>
            <w:noProof/>
            <w:webHidden/>
            <w:szCs w:val="20"/>
          </w:rPr>
          <w:fldChar w:fldCharType="separate"/>
        </w:r>
        <w:r w:rsidR="004D2931">
          <w:rPr>
            <w:noProof/>
            <w:webHidden/>
            <w:szCs w:val="20"/>
          </w:rPr>
          <w:t>25</w:t>
        </w:r>
        <w:r w:rsidR="00F07165" w:rsidRPr="00D5464D">
          <w:rPr>
            <w:noProof/>
            <w:webHidden/>
            <w:szCs w:val="20"/>
          </w:rPr>
          <w:fldChar w:fldCharType="end"/>
        </w:r>
      </w:hyperlink>
    </w:p>
    <w:p w14:paraId="55512864" w14:textId="74D050BB" w:rsidR="00F07165" w:rsidRPr="00D5464D" w:rsidRDefault="00241CDD" w:rsidP="00F07165">
      <w:pPr>
        <w:pStyle w:val="TDC2"/>
        <w:tabs>
          <w:tab w:val="left" w:pos="0"/>
        </w:tabs>
        <w:spacing w:after="40"/>
        <w:rPr>
          <w:rFonts w:eastAsiaTheme="minorEastAsia"/>
          <w:noProof/>
          <w:szCs w:val="20"/>
          <w:lang w:val="es-ES" w:eastAsia="es-ES"/>
        </w:rPr>
      </w:pPr>
      <w:hyperlink w:anchor="_Toc468433881" w:history="1">
        <w:r w:rsidR="00F07165" w:rsidRPr="00D5464D">
          <w:rPr>
            <w:rStyle w:val="Hipervnculo"/>
            <w:rFonts w:eastAsia="Batang"/>
            <w:noProof/>
            <w:szCs w:val="20"/>
            <w:lang w:val="pt-BR" w:eastAsia="es-ES"/>
          </w:rPr>
          <w:t>C.</w:t>
        </w:r>
        <w:r w:rsidR="001A5B3A" w:rsidRPr="00D5464D">
          <w:rPr>
            <w:rStyle w:val="Hipervnculo"/>
            <w:rFonts w:eastAsia="Batang"/>
            <w:noProof/>
            <w:szCs w:val="20"/>
            <w:lang w:val="pt-BR" w:eastAsia="es-ES"/>
          </w:rPr>
          <w:t xml:space="preserve"> </w:t>
        </w:r>
        <w:r w:rsidR="00F07165" w:rsidRPr="00D5464D">
          <w:rPr>
            <w:rStyle w:val="Hipervnculo"/>
            <w:rFonts w:eastAsia="Batang"/>
            <w:noProof/>
            <w:szCs w:val="20"/>
            <w:lang w:val="pt-BR" w:eastAsia="es-ES"/>
          </w:rPr>
          <w:t>Apreciação da prova</w:t>
        </w:r>
        <w:r w:rsidR="001A5B3A" w:rsidRPr="00D5464D">
          <w:rPr>
            <w:rStyle w:val="Hipervnculo"/>
            <w:rFonts w:eastAsia="Batang"/>
            <w:noProof/>
            <w:szCs w:val="20"/>
            <w:lang w:val="pt-BR" w:eastAsia="es-ES"/>
          </w:rPr>
          <w:t xml:space="preserve"> </w:t>
        </w:r>
        <w:r w:rsidR="001A5B3A" w:rsidRPr="00D5464D">
          <w:rPr>
            <w:rStyle w:val="Hipervnculo"/>
            <w:rFonts w:eastAsia="Batang"/>
            <w:noProof/>
            <w:szCs w:val="20"/>
            <w:lang w:val="pt-BR" w:eastAsia="es-ES"/>
          </w:rPr>
          <w:tab/>
        </w:r>
        <w:r w:rsidR="00F07165" w:rsidRPr="00D5464D">
          <w:rPr>
            <w:noProof/>
            <w:webHidden/>
            <w:szCs w:val="20"/>
          </w:rPr>
          <w:fldChar w:fldCharType="begin"/>
        </w:r>
        <w:r w:rsidR="00F07165" w:rsidRPr="00D5464D">
          <w:rPr>
            <w:noProof/>
            <w:webHidden/>
            <w:szCs w:val="20"/>
          </w:rPr>
          <w:instrText xml:space="preserve"> PAGEREF _Toc468433881 \h </w:instrText>
        </w:r>
        <w:r w:rsidR="00F07165" w:rsidRPr="00D5464D">
          <w:rPr>
            <w:noProof/>
            <w:webHidden/>
            <w:szCs w:val="20"/>
          </w:rPr>
        </w:r>
        <w:r w:rsidR="00F07165" w:rsidRPr="00D5464D">
          <w:rPr>
            <w:noProof/>
            <w:webHidden/>
            <w:szCs w:val="20"/>
          </w:rPr>
          <w:fldChar w:fldCharType="separate"/>
        </w:r>
        <w:r w:rsidR="004D2931">
          <w:rPr>
            <w:noProof/>
            <w:webHidden/>
            <w:szCs w:val="20"/>
          </w:rPr>
          <w:t>26</w:t>
        </w:r>
        <w:r w:rsidR="00F07165" w:rsidRPr="00D5464D">
          <w:rPr>
            <w:noProof/>
            <w:webHidden/>
            <w:szCs w:val="20"/>
          </w:rPr>
          <w:fldChar w:fldCharType="end"/>
        </w:r>
      </w:hyperlink>
    </w:p>
    <w:p w14:paraId="5459F31F" w14:textId="3E2C4020" w:rsidR="00F07165" w:rsidRPr="00D5464D" w:rsidRDefault="00241CDD" w:rsidP="00F07165">
      <w:pPr>
        <w:pStyle w:val="TDC1"/>
        <w:spacing w:after="40"/>
        <w:rPr>
          <w:rFonts w:eastAsiaTheme="minorEastAsia"/>
          <w:b w:val="0"/>
          <w:noProof/>
          <w:sz w:val="20"/>
          <w:szCs w:val="20"/>
          <w:lang w:val="es-ES" w:eastAsia="es-ES"/>
        </w:rPr>
      </w:pPr>
      <w:hyperlink w:anchor="_Toc468433882" w:history="1">
        <w:r w:rsidR="00F07165" w:rsidRPr="00D5464D">
          <w:rPr>
            <w:rStyle w:val="Hipervnculo"/>
            <w:rFonts w:eastAsia="Times New Roman" w:cs="Verdana"/>
            <w:bCs/>
            <w:caps/>
            <w:noProof/>
            <w:snapToGrid w:val="0"/>
            <w:sz w:val="20"/>
            <w:szCs w:val="20"/>
            <w:lang w:val="pt-BR" w:eastAsia="es-ES"/>
          </w:rPr>
          <w:t xml:space="preserve">VI </w:t>
        </w:r>
      </w:hyperlink>
      <w:hyperlink w:anchor="_Toc468433883" w:history="1">
        <w:r w:rsidR="00F07165" w:rsidRPr="00D5464D">
          <w:rPr>
            <w:rStyle w:val="Hipervnculo"/>
            <w:rFonts w:eastAsia="Times New Roman" w:cs="Verdana"/>
            <w:bCs/>
            <w:caps/>
            <w:noProof/>
            <w:snapToGrid w:val="0"/>
            <w:sz w:val="20"/>
            <w:szCs w:val="20"/>
            <w:lang w:val="pt-BR" w:eastAsia="es-ES"/>
          </w:rPr>
          <w:t>FATOS</w:t>
        </w:r>
        <w:r w:rsidR="00F07165" w:rsidRPr="00D5464D">
          <w:rPr>
            <w:noProof/>
            <w:webHidden/>
            <w:sz w:val="20"/>
            <w:szCs w:val="20"/>
          </w:rPr>
          <w:tab/>
        </w:r>
        <w:r w:rsidR="00F07165" w:rsidRPr="00D5464D">
          <w:rPr>
            <w:noProof/>
            <w:webHidden/>
            <w:sz w:val="20"/>
            <w:szCs w:val="20"/>
          </w:rPr>
          <w:fldChar w:fldCharType="begin"/>
        </w:r>
        <w:r w:rsidR="00F07165" w:rsidRPr="00D5464D">
          <w:rPr>
            <w:noProof/>
            <w:webHidden/>
            <w:sz w:val="20"/>
            <w:szCs w:val="20"/>
          </w:rPr>
          <w:instrText xml:space="preserve"> PAGEREF _Toc468433883 \h </w:instrText>
        </w:r>
        <w:r w:rsidR="00F07165" w:rsidRPr="00D5464D">
          <w:rPr>
            <w:noProof/>
            <w:webHidden/>
            <w:sz w:val="20"/>
            <w:szCs w:val="20"/>
          </w:rPr>
        </w:r>
        <w:r w:rsidR="00F07165" w:rsidRPr="00D5464D">
          <w:rPr>
            <w:noProof/>
            <w:webHidden/>
            <w:sz w:val="20"/>
            <w:szCs w:val="20"/>
          </w:rPr>
          <w:fldChar w:fldCharType="separate"/>
        </w:r>
        <w:r w:rsidR="004D2931">
          <w:rPr>
            <w:noProof/>
            <w:webHidden/>
            <w:sz w:val="20"/>
            <w:szCs w:val="20"/>
          </w:rPr>
          <w:t>26</w:t>
        </w:r>
        <w:r w:rsidR="00F07165" w:rsidRPr="00D5464D">
          <w:rPr>
            <w:noProof/>
            <w:webHidden/>
            <w:sz w:val="20"/>
            <w:szCs w:val="20"/>
          </w:rPr>
          <w:fldChar w:fldCharType="end"/>
        </w:r>
      </w:hyperlink>
    </w:p>
    <w:p w14:paraId="19D0CBF3" w14:textId="47B0FE2F" w:rsidR="00F07165" w:rsidRPr="00D5464D" w:rsidRDefault="00241CDD" w:rsidP="00F07165">
      <w:pPr>
        <w:pStyle w:val="TDC2"/>
        <w:tabs>
          <w:tab w:val="left" w:pos="1100"/>
        </w:tabs>
        <w:spacing w:after="40"/>
        <w:rPr>
          <w:rFonts w:eastAsiaTheme="minorEastAsia"/>
          <w:noProof/>
          <w:szCs w:val="20"/>
          <w:lang w:val="es-ES" w:eastAsia="es-ES"/>
        </w:rPr>
      </w:pPr>
      <w:hyperlink w:anchor="_Toc468433884" w:history="1">
        <w:r w:rsidR="00F07165" w:rsidRPr="00D5464D">
          <w:rPr>
            <w:rStyle w:val="Hipervnculo"/>
            <w:rFonts w:cs="Arial"/>
            <w:noProof/>
            <w:szCs w:val="20"/>
            <w:lang w:val="pt-BR"/>
          </w:rPr>
          <w:t>A.</w:t>
        </w:r>
        <w:r w:rsidR="001A5B3A" w:rsidRPr="00D5464D">
          <w:rPr>
            <w:rStyle w:val="Hipervnculo"/>
            <w:rFonts w:cs="Arial"/>
            <w:noProof/>
            <w:szCs w:val="20"/>
            <w:lang w:val="pt-BR"/>
          </w:rPr>
          <w:t xml:space="preserve"> </w:t>
        </w:r>
        <w:r w:rsidR="00F07165" w:rsidRPr="00D5464D">
          <w:rPr>
            <w:rStyle w:val="Hipervnculo"/>
            <w:rFonts w:eastAsia="Batang"/>
            <w:noProof/>
            <w:szCs w:val="20"/>
            <w:lang w:val="pt-BR" w:eastAsia="es-ES"/>
          </w:rPr>
          <w:t>Contexto</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_Toc468433884 \h </w:instrText>
        </w:r>
        <w:r w:rsidR="00F07165" w:rsidRPr="00D5464D">
          <w:rPr>
            <w:noProof/>
            <w:webHidden/>
            <w:szCs w:val="20"/>
          </w:rPr>
        </w:r>
        <w:r w:rsidR="00F07165" w:rsidRPr="00D5464D">
          <w:rPr>
            <w:noProof/>
            <w:webHidden/>
            <w:szCs w:val="20"/>
          </w:rPr>
          <w:fldChar w:fldCharType="separate"/>
        </w:r>
        <w:r w:rsidR="004D2931">
          <w:rPr>
            <w:noProof/>
            <w:webHidden/>
            <w:szCs w:val="20"/>
          </w:rPr>
          <w:t>26</w:t>
        </w:r>
        <w:r w:rsidR="00F07165" w:rsidRPr="00D5464D">
          <w:rPr>
            <w:noProof/>
            <w:webHidden/>
            <w:szCs w:val="20"/>
          </w:rPr>
          <w:fldChar w:fldCharType="end"/>
        </w:r>
      </w:hyperlink>
    </w:p>
    <w:p w14:paraId="002E0B3B" w14:textId="5B82F2E7" w:rsidR="00F07165" w:rsidRPr="00D5464D" w:rsidRDefault="00241CDD" w:rsidP="00F07165">
      <w:pPr>
        <w:pStyle w:val="TDC2"/>
        <w:tabs>
          <w:tab w:val="left" w:pos="1100"/>
        </w:tabs>
        <w:spacing w:after="40"/>
        <w:rPr>
          <w:rFonts w:eastAsiaTheme="minorEastAsia"/>
          <w:noProof/>
          <w:szCs w:val="20"/>
          <w:lang w:val="es-ES" w:eastAsia="es-ES"/>
        </w:rPr>
      </w:pPr>
      <w:hyperlink w:anchor="_Toc468433899" w:history="1">
        <w:r w:rsidR="00F07165" w:rsidRPr="00D5464D">
          <w:rPr>
            <w:rStyle w:val="Hipervnculo"/>
            <w:rFonts w:eastAsia="Batang"/>
            <w:noProof/>
            <w:szCs w:val="20"/>
            <w:lang w:val="pt-BR" w:eastAsia="es-ES"/>
          </w:rPr>
          <w:t>B.</w:t>
        </w:r>
        <w:r w:rsidR="001A5B3A" w:rsidRPr="00D5464D">
          <w:rPr>
            <w:rStyle w:val="Hipervnculo"/>
            <w:rFonts w:eastAsia="Batang"/>
            <w:noProof/>
            <w:szCs w:val="20"/>
            <w:lang w:val="pt-BR" w:eastAsia="es-ES"/>
          </w:rPr>
          <w:t xml:space="preserve"> </w:t>
        </w:r>
        <w:r w:rsidR="00F07165" w:rsidRPr="00D5464D">
          <w:rPr>
            <w:rStyle w:val="Hipervnculo"/>
            <w:rFonts w:eastAsia="Batang"/>
            <w:noProof/>
            <w:szCs w:val="20"/>
            <w:lang w:val="pt-BR" w:eastAsia="es-ES"/>
          </w:rPr>
          <w:t>Fatos dentro da competência temporal da Corte</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_Toc468433899 \h </w:instrText>
        </w:r>
        <w:r w:rsidR="00F07165" w:rsidRPr="00D5464D">
          <w:rPr>
            <w:noProof/>
            <w:webHidden/>
            <w:szCs w:val="20"/>
          </w:rPr>
        </w:r>
        <w:r w:rsidR="00F07165" w:rsidRPr="00D5464D">
          <w:rPr>
            <w:noProof/>
            <w:webHidden/>
            <w:szCs w:val="20"/>
          </w:rPr>
          <w:fldChar w:fldCharType="separate"/>
        </w:r>
        <w:r w:rsidR="004D2931">
          <w:rPr>
            <w:noProof/>
            <w:webHidden/>
            <w:szCs w:val="20"/>
          </w:rPr>
          <w:t>37</w:t>
        </w:r>
        <w:r w:rsidR="00F07165" w:rsidRPr="00D5464D">
          <w:rPr>
            <w:noProof/>
            <w:webHidden/>
            <w:szCs w:val="20"/>
          </w:rPr>
          <w:fldChar w:fldCharType="end"/>
        </w:r>
      </w:hyperlink>
    </w:p>
    <w:p w14:paraId="30624916" w14:textId="202C6BDE" w:rsidR="00F07165" w:rsidRPr="00D5464D" w:rsidRDefault="00241CDD" w:rsidP="00F07165">
      <w:pPr>
        <w:pStyle w:val="TDC1"/>
        <w:spacing w:after="40"/>
        <w:rPr>
          <w:rFonts w:eastAsiaTheme="minorEastAsia"/>
          <w:b w:val="0"/>
          <w:noProof/>
          <w:sz w:val="20"/>
          <w:szCs w:val="20"/>
          <w:lang w:val="es-ES" w:eastAsia="es-ES"/>
        </w:rPr>
      </w:pPr>
      <w:hyperlink w:anchor="_Toc468433906" w:history="1">
        <w:r w:rsidR="00F07165" w:rsidRPr="00D5464D">
          <w:rPr>
            <w:rStyle w:val="Hipervnculo"/>
            <w:rFonts w:eastAsia="Times New Roman" w:cs="Verdana"/>
            <w:bCs/>
            <w:caps/>
            <w:noProof/>
            <w:snapToGrid w:val="0"/>
            <w:sz w:val="20"/>
            <w:szCs w:val="20"/>
            <w:lang w:val="pt-BR" w:eastAsia="es-ES"/>
          </w:rPr>
          <w:t xml:space="preserve">VII </w:t>
        </w:r>
      </w:hyperlink>
      <w:hyperlink w:anchor="_Toc468433907" w:history="1">
        <w:r w:rsidR="00F07165" w:rsidRPr="00D5464D">
          <w:rPr>
            <w:rStyle w:val="Hipervnculo"/>
            <w:rFonts w:eastAsia="Times New Roman" w:cs="Verdana"/>
            <w:bCs/>
            <w:caps/>
            <w:noProof/>
            <w:snapToGrid w:val="0"/>
            <w:sz w:val="20"/>
            <w:szCs w:val="20"/>
            <w:lang w:val="pt-BR" w:eastAsia="es-ES"/>
          </w:rPr>
          <w:t>DETERMINAÇÃO Das SUPOSTAS VÍTIMAS</w:t>
        </w:r>
        <w:r w:rsidR="00F07165" w:rsidRPr="00D5464D">
          <w:rPr>
            <w:noProof/>
            <w:webHidden/>
            <w:sz w:val="20"/>
            <w:szCs w:val="20"/>
          </w:rPr>
          <w:tab/>
        </w:r>
        <w:r w:rsidR="00F07165" w:rsidRPr="00D5464D">
          <w:rPr>
            <w:noProof/>
            <w:webHidden/>
            <w:sz w:val="20"/>
            <w:szCs w:val="20"/>
          </w:rPr>
          <w:fldChar w:fldCharType="begin"/>
        </w:r>
        <w:r w:rsidR="00F07165" w:rsidRPr="00D5464D">
          <w:rPr>
            <w:noProof/>
            <w:webHidden/>
            <w:sz w:val="20"/>
            <w:szCs w:val="20"/>
          </w:rPr>
          <w:instrText xml:space="preserve"> PAGEREF _Toc468433907 \h </w:instrText>
        </w:r>
        <w:r w:rsidR="00F07165" w:rsidRPr="00D5464D">
          <w:rPr>
            <w:noProof/>
            <w:webHidden/>
            <w:sz w:val="20"/>
            <w:szCs w:val="20"/>
          </w:rPr>
        </w:r>
        <w:r w:rsidR="00F07165" w:rsidRPr="00D5464D">
          <w:rPr>
            <w:noProof/>
            <w:webHidden/>
            <w:sz w:val="20"/>
            <w:szCs w:val="20"/>
          </w:rPr>
          <w:fldChar w:fldCharType="separate"/>
        </w:r>
        <w:r w:rsidR="004D2931">
          <w:rPr>
            <w:noProof/>
            <w:webHidden/>
            <w:sz w:val="20"/>
            <w:szCs w:val="20"/>
          </w:rPr>
          <w:t>46</w:t>
        </w:r>
        <w:r w:rsidR="00F07165" w:rsidRPr="00D5464D">
          <w:rPr>
            <w:noProof/>
            <w:webHidden/>
            <w:sz w:val="20"/>
            <w:szCs w:val="20"/>
          </w:rPr>
          <w:fldChar w:fldCharType="end"/>
        </w:r>
      </w:hyperlink>
    </w:p>
    <w:p w14:paraId="459A9600" w14:textId="34A6C7EE" w:rsidR="00F07165" w:rsidRPr="00D5464D" w:rsidRDefault="00241CDD" w:rsidP="00F07165">
      <w:pPr>
        <w:pStyle w:val="TDC2"/>
        <w:tabs>
          <w:tab w:val="left" w:pos="1100"/>
        </w:tabs>
        <w:spacing w:after="40"/>
        <w:rPr>
          <w:rFonts w:eastAsiaTheme="minorEastAsia"/>
          <w:noProof/>
          <w:szCs w:val="20"/>
          <w:lang w:val="es-ES" w:eastAsia="es-ES"/>
        </w:rPr>
      </w:pPr>
      <w:hyperlink w:anchor="_Toc468433908" w:history="1">
        <w:r w:rsidR="00F07165" w:rsidRPr="00D5464D">
          <w:rPr>
            <w:rStyle w:val="Hipervnculo"/>
            <w:noProof/>
            <w:szCs w:val="20"/>
            <w:lang w:val="pt-BR"/>
          </w:rPr>
          <w:t>A.</w:t>
        </w:r>
        <w:r w:rsidR="001A5B3A" w:rsidRPr="00D5464D">
          <w:rPr>
            <w:rStyle w:val="Hipervnculo"/>
            <w:noProof/>
            <w:szCs w:val="20"/>
            <w:lang w:val="pt-BR"/>
          </w:rPr>
          <w:t xml:space="preserve"> </w:t>
        </w:r>
        <w:r w:rsidR="00F07165" w:rsidRPr="00D5464D">
          <w:rPr>
            <w:rStyle w:val="Hipervnculo"/>
            <w:noProof/>
            <w:szCs w:val="20"/>
            <w:lang w:val="pt-BR"/>
          </w:rPr>
          <w:t>Fiscalização de abril de 1997</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_Toc468433908 \h </w:instrText>
        </w:r>
        <w:r w:rsidR="00F07165" w:rsidRPr="00D5464D">
          <w:rPr>
            <w:noProof/>
            <w:webHidden/>
            <w:szCs w:val="20"/>
          </w:rPr>
        </w:r>
        <w:r w:rsidR="00F07165" w:rsidRPr="00D5464D">
          <w:rPr>
            <w:noProof/>
            <w:webHidden/>
            <w:szCs w:val="20"/>
          </w:rPr>
          <w:fldChar w:fldCharType="separate"/>
        </w:r>
        <w:r w:rsidR="004D2931">
          <w:rPr>
            <w:noProof/>
            <w:webHidden/>
            <w:szCs w:val="20"/>
          </w:rPr>
          <w:t>47</w:t>
        </w:r>
        <w:r w:rsidR="00F07165" w:rsidRPr="00D5464D">
          <w:rPr>
            <w:noProof/>
            <w:webHidden/>
            <w:szCs w:val="20"/>
          </w:rPr>
          <w:fldChar w:fldCharType="end"/>
        </w:r>
      </w:hyperlink>
    </w:p>
    <w:p w14:paraId="3C58E164" w14:textId="1F199B10" w:rsidR="00F07165" w:rsidRPr="00D5464D" w:rsidRDefault="00241CDD" w:rsidP="00F07165">
      <w:pPr>
        <w:pStyle w:val="TDC2"/>
        <w:tabs>
          <w:tab w:val="left" w:pos="1100"/>
        </w:tabs>
        <w:spacing w:after="40"/>
        <w:rPr>
          <w:rFonts w:eastAsiaTheme="minorEastAsia"/>
          <w:noProof/>
          <w:szCs w:val="20"/>
          <w:lang w:val="es-ES" w:eastAsia="es-ES"/>
        </w:rPr>
      </w:pPr>
      <w:hyperlink w:anchor="_Toc468433911" w:history="1">
        <w:r w:rsidR="00F07165" w:rsidRPr="00D5464D">
          <w:rPr>
            <w:rStyle w:val="Hipervnculo"/>
            <w:noProof/>
            <w:szCs w:val="20"/>
            <w:lang w:val="pt-BR"/>
          </w:rPr>
          <w:t>B.</w:t>
        </w:r>
        <w:r w:rsidR="001A5B3A" w:rsidRPr="00D5464D">
          <w:rPr>
            <w:rStyle w:val="Hipervnculo"/>
            <w:noProof/>
            <w:szCs w:val="20"/>
            <w:lang w:val="pt-BR"/>
          </w:rPr>
          <w:t xml:space="preserve"> </w:t>
        </w:r>
        <w:r w:rsidR="00F07165" w:rsidRPr="00D5464D">
          <w:rPr>
            <w:rStyle w:val="Hipervnculo"/>
            <w:noProof/>
            <w:szCs w:val="20"/>
            <w:lang w:val="pt-BR"/>
          </w:rPr>
          <w:t>Fiscalização de março de 2000</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_Toc468433911 \h </w:instrText>
        </w:r>
        <w:r w:rsidR="00F07165" w:rsidRPr="00D5464D">
          <w:rPr>
            <w:noProof/>
            <w:webHidden/>
            <w:szCs w:val="20"/>
          </w:rPr>
        </w:r>
        <w:r w:rsidR="00F07165" w:rsidRPr="00D5464D">
          <w:rPr>
            <w:noProof/>
            <w:webHidden/>
            <w:szCs w:val="20"/>
          </w:rPr>
          <w:fldChar w:fldCharType="separate"/>
        </w:r>
        <w:r w:rsidR="004D2931">
          <w:rPr>
            <w:noProof/>
            <w:webHidden/>
            <w:szCs w:val="20"/>
          </w:rPr>
          <w:t>50</w:t>
        </w:r>
        <w:r w:rsidR="00F07165" w:rsidRPr="00D5464D">
          <w:rPr>
            <w:noProof/>
            <w:webHidden/>
            <w:szCs w:val="20"/>
          </w:rPr>
          <w:fldChar w:fldCharType="end"/>
        </w:r>
      </w:hyperlink>
    </w:p>
    <w:p w14:paraId="4ED22355" w14:textId="26941C62" w:rsidR="00F07165" w:rsidRPr="00D5464D" w:rsidRDefault="00241CDD" w:rsidP="00F07165">
      <w:pPr>
        <w:pStyle w:val="TDC1"/>
        <w:spacing w:after="40"/>
        <w:rPr>
          <w:rFonts w:eastAsiaTheme="minorEastAsia"/>
          <w:b w:val="0"/>
          <w:noProof/>
          <w:sz w:val="20"/>
          <w:szCs w:val="20"/>
          <w:lang w:val="es-ES" w:eastAsia="es-ES"/>
        </w:rPr>
      </w:pPr>
      <w:hyperlink w:anchor="_Toc468433914" w:history="1">
        <w:r w:rsidR="00F07165" w:rsidRPr="00D5464D">
          <w:rPr>
            <w:rStyle w:val="Hipervnculo"/>
            <w:rFonts w:eastAsia="Times New Roman" w:cs="Verdana"/>
            <w:bCs/>
            <w:caps/>
            <w:noProof/>
            <w:snapToGrid w:val="0"/>
            <w:sz w:val="20"/>
            <w:szCs w:val="20"/>
            <w:lang w:val="pt-BR" w:eastAsia="es-ES"/>
          </w:rPr>
          <w:t xml:space="preserve">VIII </w:t>
        </w:r>
      </w:hyperlink>
      <w:hyperlink w:anchor="_Toc468433915" w:history="1">
        <w:r w:rsidR="00F07165" w:rsidRPr="00D5464D">
          <w:rPr>
            <w:rStyle w:val="Hipervnculo"/>
            <w:rFonts w:eastAsia="Times New Roman" w:cs="Verdana"/>
            <w:bCs/>
            <w:caps/>
            <w:noProof/>
            <w:snapToGrid w:val="0"/>
            <w:sz w:val="20"/>
            <w:szCs w:val="20"/>
            <w:lang w:val="pt-BR" w:eastAsia="es-ES"/>
          </w:rPr>
          <w:t>MÉRITO</w:t>
        </w:r>
        <w:r w:rsidR="00F07165" w:rsidRPr="00D5464D">
          <w:rPr>
            <w:noProof/>
            <w:webHidden/>
            <w:sz w:val="20"/>
            <w:szCs w:val="20"/>
          </w:rPr>
          <w:tab/>
        </w:r>
        <w:r w:rsidR="00F07165" w:rsidRPr="00D5464D">
          <w:rPr>
            <w:noProof/>
            <w:webHidden/>
            <w:sz w:val="20"/>
            <w:szCs w:val="20"/>
          </w:rPr>
          <w:fldChar w:fldCharType="begin"/>
        </w:r>
        <w:r w:rsidR="00F07165" w:rsidRPr="00D5464D">
          <w:rPr>
            <w:noProof/>
            <w:webHidden/>
            <w:sz w:val="20"/>
            <w:szCs w:val="20"/>
          </w:rPr>
          <w:instrText xml:space="preserve"> PAGEREF _Toc468433915 \h </w:instrText>
        </w:r>
        <w:r w:rsidR="00F07165" w:rsidRPr="00D5464D">
          <w:rPr>
            <w:noProof/>
            <w:webHidden/>
            <w:sz w:val="20"/>
            <w:szCs w:val="20"/>
          </w:rPr>
        </w:r>
        <w:r w:rsidR="00F07165" w:rsidRPr="00D5464D">
          <w:rPr>
            <w:noProof/>
            <w:webHidden/>
            <w:sz w:val="20"/>
            <w:szCs w:val="20"/>
          </w:rPr>
          <w:fldChar w:fldCharType="separate"/>
        </w:r>
        <w:r w:rsidR="004D2931">
          <w:rPr>
            <w:noProof/>
            <w:webHidden/>
            <w:sz w:val="20"/>
            <w:szCs w:val="20"/>
          </w:rPr>
          <w:t>55</w:t>
        </w:r>
        <w:r w:rsidR="00F07165" w:rsidRPr="00D5464D">
          <w:rPr>
            <w:noProof/>
            <w:webHidden/>
            <w:sz w:val="20"/>
            <w:szCs w:val="20"/>
          </w:rPr>
          <w:fldChar w:fldCharType="end"/>
        </w:r>
      </w:hyperlink>
    </w:p>
    <w:p w14:paraId="61927446" w14:textId="0CFDF4AE" w:rsidR="00F07165" w:rsidRPr="00D5464D" w:rsidRDefault="00241CDD" w:rsidP="00F07165">
      <w:pPr>
        <w:pStyle w:val="TDC1"/>
        <w:spacing w:after="40"/>
        <w:rPr>
          <w:rFonts w:eastAsiaTheme="minorEastAsia"/>
          <w:b w:val="0"/>
          <w:noProof/>
          <w:sz w:val="20"/>
          <w:szCs w:val="20"/>
          <w:lang w:val="es-ES" w:eastAsia="es-ES"/>
        </w:rPr>
      </w:pPr>
      <w:hyperlink w:anchor="_Toc468433916" w:history="1">
        <w:r w:rsidR="00F07165" w:rsidRPr="00D5464D">
          <w:rPr>
            <w:rStyle w:val="Hipervnculo"/>
            <w:noProof/>
            <w:sz w:val="20"/>
            <w:szCs w:val="20"/>
            <w:lang w:val="pt-BR"/>
          </w:rPr>
          <w:t xml:space="preserve">VIII-1 </w:t>
        </w:r>
      </w:hyperlink>
      <w:hyperlink w:anchor="_Toc468433917" w:history="1">
        <w:r w:rsidR="00F07165" w:rsidRPr="00D5464D">
          <w:rPr>
            <w:rStyle w:val="Hipervnculo"/>
            <w:rFonts w:ascii="Verdana Bold" w:eastAsia="Times New Roman" w:hAnsi="Verdana Bold" w:cs="Verdana"/>
            <w:bCs/>
            <w:caps/>
            <w:noProof/>
            <w:snapToGrid w:val="0"/>
            <w:spacing w:val="-2"/>
            <w:sz w:val="20"/>
            <w:szCs w:val="20"/>
            <w:lang w:val="pt-BR" w:eastAsia="es-ES"/>
          </w:rPr>
          <w:t>PROIBIÇÃO da ESCRAVIDÃO</w:t>
        </w:r>
        <w:r w:rsidR="00CE5D4E" w:rsidRPr="00D5464D">
          <w:rPr>
            <w:rStyle w:val="Hipervnculo"/>
            <w:rFonts w:ascii="Verdana Bold" w:eastAsia="Times New Roman" w:hAnsi="Verdana Bold" w:cs="Verdana"/>
            <w:bCs/>
            <w:caps/>
            <w:noProof/>
            <w:snapToGrid w:val="0"/>
            <w:spacing w:val="-2"/>
            <w:sz w:val="20"/>
            <w:szCs w:val="20"/>
            <w:lang w:val="pt-BR" w:eastAsia="es-ES"/>
          </w:rPr>
          <w:t>,</w:t>
        </w:r>
        <w:r w:rsidR="00F07165" w:rsidRPr="00D5464D">
          <w:rPr>
            <w:rStyle w:val="Hipervnculo"/>
            <w:rFonts w:ascii="Verdana Bold" w:eastAsia="Times New Roman" w:hAnsi="Verdana Bold" w:cs="Verdana"/>
            <w:bCs/>
            <w:caps/>
            <w:noProof/>
            <w:snapToGrid w:val="0"/>
            <w:spacing w:val="-2"/>
            <w:sz w:val="20"/>
            <w:szCs w:val="20"/>
            <w:lang w:val="pt-BR" w:eastAsia="es-ES"/>
          </w:rPr>
          <w:t xml:space="preserve"> SERVIDÃO,</w:t>
        </w:r>
        <w:r w:rsidR="00CE5D4E" w:rsidRPr="00D5464D">
          <w:rPr>
            <w:rStyle w:val="Hipervnculo"/>
            <w:rFonts w:ascii="Verdana Bold" w:eastAsia="Times New Roman" w:hAnsi="Verdana Bold" w:cs="Verdana"/>
            <w:bCs/>
            <w:caps/>
            <w:noProof/>
            <w:snapToGrid w:val="0"/>
            <w:spacing w:val="-2"/>
            <w:sz w:val="20"/>
            <w:szCs w:val="20"/>
            <w:lang w:val="pt-BR" w:eastAsia="es-ES"/>
          </w:rPr>
          <w:t xml:space="preserve"> trabalho forçado e tráfico de escravos e de mulheres,</w:t>
        </w:r>
        <w:r w:rsidR="00F07165" w:rsidRPr="00D5464D">
          <w:rPr>
            <w:rStyle w:val="Hipervnculo"/>
            <w:rFonts w:ascii="Verdana Bold" w:eastAsia="Times New Roman" w:hAnsi="Verdana Bold" w:cs="Verdana"/>
            <w:bCs/>
            <w:caps/>
            <w:noProof/>
            <w:snapToGrid w:val="0"/>
            <w:spacing w:val="-2"/>
            <w:sz w:val="20"/>
            <w:szCs w:val="20"/>
            <w:lang w:val="pt-BR" w:eastAsia="es-ES"/>
          </w:rPr>
          <w:t xml:space="preserve"> DIREITOS à INTEGRIDADE PESSOAL, à LIBERDADE PESSOAL, ao RECONHECIMENTO da PERSONALIDADE JURÍDICA, DIREITO DE CIRCULAÇÃO e DE RESIDÊNCIA e DIREITOS DA CRIANÇA</w:t>
        </w:r>
        <w:r w:rsidR="00F07165" w:rsidRPr="00D5464D">
          <w:rPr>
            <w:noProof/>
            <w:webHidden/>
            <w:sz w:val="20"/>
            <w:szCs w:val="20"/>
          </w:rPr>
          <w:tab/>
        </w:r>
        <w:r w:rsidR="00F07165" w:rsidRPr="00D5464D">
          <w:rPr>
            <w:noProof/>
            <w:webHidden/>
            <w:sz w:val="20"/>
            <w:szCs w:val="20"/>
          </w:rPr>
          <w:fldChar w:fldCharType="begin"/>
        </w:r>
        <w:r w:rsidR="00F07165" w:rsidRPr="00D5464D">
          <w:rPr>
            <w:noProof/>
            <w:webHidden/>
            <w:sz w:val="20"/>
            <w:szCs w:val="20"/>
          </w:rPr>
          <w:instrText xml:space="preserve"> PAGEREF _Toc468433917 \h </w:instrText>
        </w:r>
        <w:r w:rsidR="00F07165" w:rsidRPr="00D5464D">
          <w:rPr>
            <w:noProof/>
            <w:webHidden/>
            <w:sz w:val="20"/>
            <w:szCs w:val="20"/>
          </w:rPr>
        </w:r>
        <w:r w:rsidR="00F07165" w:rsidRPr="00D5464D">
          <w:rPr>
            <w:noProof/>
            <w:webHidden/>
            <w:sz w:val="20"/>
            <w:szCs w:val="20"/>
          </w:rPr>
          <w:fldChar w:fldCharType="separate"/>
        </w:r>
        <w:r w:rsidR="004D2931">
          <w:rPr>
            <w:noProof/>
            <w:webHidden/>
            <w:sz w:val="20"/>
            <w:szCs w:val="20"/>
          </w:rPr>
          <w:t>56</w:t>
        </w:r>
        <w:r w:rsidR="00F07165" w:rsidRPr="00D5464D">
          <w:rPr>
            <w:noProof/>
            <w:webHidden/>
            <w:sz w:val="20"/>
            <w:szCs w:val="20"/>
          </w:rPr>
          <w:fldChar w:fldCharType="end"/>
        </w:r>
      </w:hyperlink>
    </w:p>
    <w:p w14:paraId="4A839D96" w14:textId="77F59EEA" w:rsidR="00F07165" w:rsidRPr="00D5464D" w:rsidRDefault="00241CDD" w:rsidP="00F07165">
      <w:pPr>
        <w:pStyle w:val="TDC2"/>
        <w:tabs>
          <w:tab w:val="left" w:pos="1100"/>
        </w:tabs>
        <w:spacing w:after="40"/>
        <w:rPr>
          <w:rFonts w:eastAsiaTheme="minorEastAsia"/>
          <w:noProof/>
          <w:szCs w:val="20"/>
          <w:lang w:val="es-ES" w:eastAsia="es-ES"/>
        </w:rPr>
      </w:pPr>
      <w:hyperlink w:anchor="_Toc468433918" w:history="1">
        <w:r w:rsidR="00F07165" w:rsidRPr="00D5464D">
          <w:rPr>
            <w:rStyle w:val="Hipervnculo"/>
            <w:noProof/>
            <w:szCs w:val="20"/>
            <w:lang w:val="pt-BR"/>
          </w:rPr>
          <w:t>A.</w:t>
        </w:r>
        <w:r w:rsidR="001A5B3A" w:rsidRPr="00D5464D">
          <w:rPr>
            <w:rFonts w:eastAsiaTheme="minorEastAsia"/>
            <w:noProof/>
            <w:szCs w:val="20"/>
            <w:lang w:val="es-ES" w:eastAsia="es-ES"/>
          </w:rPr>
          <w:t xml:space="preserve"> </w:t>
        </w:r>
        <w:r w:rsidR="00F07165" w:rsidRPr="00D5464D">
          <w:rPr>
            <w:rStyle w:val="Hipervnculo"/>
            <w:noProof/>
            <w:szCs w:val="20"/>
            <w:lang w:val="pt-BR"/>
          </w:rPr>
          <w:t>Argumentos das partes e da Comissão</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_Toc468433918 \h </w:instrText>
        </w:r>
        <w:r w:rsidR="00F07165" w:rsidRPr="00D5464D">
          <w:rPr>
            <w:noProof/>
            <w:webHidden/>
            <w:szCs w:val="20"/>
          </w:rPr>
        </w:r>
        <w:r w:rsidR="00F07165" w:rsidRPr="00D5464D">
          <w:rPr>
            <w:noProof/>
            <w:webHidden/>
            <w:szCs w:val="20"/>
          </w:rPr>
          <w:fldChar w:fldCharType="separate"/>
        </w:r>
        <w:r w:rsidR="004D2931">
          <w:rPr>
            <w:noProof/>
            <w:webHidden/>
            <w:szCs w:val="20"/>
          </w:rPr>
          <w:t>56</w:t>
        </w:r>
        <w:r w:rsidR="00F07165" w:rsidRPr="00D5464D">
          <w:rPr>
            <w:noProof/>
            <w:webHidden/>
            <w:szCs w:val="20"/>
          </w:rPr>
          <w:fldChar w:fldCharType="end"/>
        </w:r>
      </w:hyperlink>
    </w:p>
    <w:p w14:paraId="36415C82" w14:textId="046AF18F" w:rsidR="00F07165" w:rsidRPr="00D5464D" w:rsidRDefault="00241CDD" w:rsidP="00F07165">
      <w:pPr>
        <w:pStyle w:val="TDC2"/>
        <w:tabs>
          <w:tab w:val="left" w:pos="1100"/>
        </w:tabs>
        <w:spacing w:after="40"/>
        <w:rPr>
          <w:rFonts w:eastAsiaTheme="minorEastAsia"/>
          <w:noProof/>
          <w:szCs w:val="20"/>
          <w:lang w:val="es-ES" w:eastAsia="es-ES"/>
        </w:rPr>
      </w:pPr>
      <w:hyperlink w:anchor="_Toc468433919" w:history="1">
        <w:r w:rsidR="00F07165" w:rsidRPr="00D5464D">
          <w:rPr>
            <w:rStyle w:val="Hipervnculo"/>
            <w:noProof/>
            <w:szCs w:val="20"/>
            <w:lang w:val="pt-BR"/>
          </w:rPr>
          <w:t>B.</w:t>
        </w:r>
        <w:r w:rsidR="001A5B3A" w:rsidRPr="00D5464D">
          <w:rPr>
            <w:rStyle w:val="Hipervnculo"/>
            <w:noProof/>
            <w:szCs w:val="20"/>
            <w:lang w:val="pt-BR"/>
          </w:rPr>
          <w:t xml:space="preserve"> </w:t>
        </w:r>
        <w:r w:rsidR="00F07165" w:rsidRPr="00D5464D">
          <w:rPr>
            <w:rStyle w:val="Hipervnculo"/>
            <w:noProof/>
            <w:szCs w:val="20"/>
            <w:lang w:val="pt-BR"/>
          </w:rPr>
          <w:t>Considerações da Corte</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_Toc468433919 \h </w:instrText>
        </w:r>
        <w:r w:rsidR="00F07165" w:rsidRPr="00D5464D">
          <w:rPr>
            <w:noProof/>
            <w:webHidden/>
            <w:szCs w:val="20"/>
          </w:rPr>
        </w:r>
        <w:r w:rsidR="00F07165" w:rsidRPr="00D5464D">
          <w:rPr>
            <w:noProof/>
            <w:webHidden/>
            <w:szCs w:val="20"/>
          </w:rPr>
          <w:fldChar w:fldCharType="separate"/>
        </w:r>
        <w:r w:rsidR="004D2931">
          <w:rPr>
            <w:noProof/>
            <w:webHidden/>
            <w:szCs w:val="20"/>
          </w:rPr>
          <w:t>62</w:t>
        </w:r>
        <w:r w:rsidR="00F07165" w:rsidRPr="00D5464D">
          <w:rPr>
            <w:noProof/>
            <w:webHidden/>
            <w:szCs w:val="20"/>
          </w:rPr>
          <w:fldChar w:fldCharType="end"/>
        </w:r>
      </w:hyperlink>
    </w:p>
    <w:p w14:paraId="0486B8FA" w14:textId="430834DD" w:rsidR="00F07165" w:rsidRPr="00D5464D" w:rsidRDefault="00241CDD" w:rsidP="00F07165">
      <w:pPr>
        <w:pStyle w:val="TDC3"/>
        <w:spacing w:after="40"/>
        <w:rPr>
          <w:rFonts w:eastAsiaTheme="minorEastAsia"/>
          <w:noProof/>
          <w:szCs w:val="20"/>
          <w:lang w:val="es-ES" w:eastAsia="es-ES"/>
        </w:rPr>
      </w:pPr>
      <w:hyperlink w:anchor="_Toc468433920" w:history="1">
        <w:r w:rsidR="00F07165" w:rsidRPr="00D5464D">
          <w:rPr>
            <w:rStyle w:val="Hipervnculo"/>
            <w:noProof/>
            <w:szCs w:val="20"/>
            <w:lang w:val="pt-BR"/>
          </w:rPr>
          <w:t>B.1</w:t>
        </w:r>
        <w:r w:rsidR="001A5B3A" w:rsidRPr="00D5464D">
          <w:rPr>
            <w:rStyle w:val="Hipervnculo"/>
            <w:noProof/>
            <w:szCs w:val="20"/>
            <w:lang w:val="pt-BR"/>
          </w:rPr>
          <w:t xml:space="preserve"> </w:t>
        </w:r>
        <w:r w:rsidR="00F07165" w:rsidRPr="00D5464D">
          <w:rPr>
            <w:rStyle w:val="Hipervnculo"/>
            <w:noProof/>
            <w:szCs w:val="20"/>
            <w:lang w:val="pt-BR"/>
          </w:rPr>
          <w:t>A evolução da proibição da escravidão, da servidão, do trabalho forçado e de práticas análogas à escravidão no Direito Internacional</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_Toc468433920 \h </w:instrText>
        </w:r>
        <w:r w:rsidR="00F07165" w:rsidRPr="00D5464D">
          <w:rPr>
            <w:noProof/>
            <w:webHidden/>
            <w:szCs w:val="20"/>
          </w:rPr>
        </w:r>
        <w:r w:rsidR="00F07165" w:rsidRPr="00D5464D">
          <w:rPr>
            <w:noProof/>
            <w:webHidden/>
            <w:szCs w:val="20"/>
          </w:rPr>
          <w:fldChar w:fldCharType="separate"/>
        </w:r>
        <w:r w:rsidR="004D2931">
          <w:rPr>
            <w:noProof/>
            <w:webHidden/>
            <w:szCs w:val="20"/>
          </w:rPr>
          <w:t>64</w:t>
        </w:r>
        <w:r w:rsidR="00F07165" w:rsidRPr="00D5464D">
          <w:rPr>
            <w:noProof/>
            <w:webHidden/>
            <w:szCs w:val="20"/>
          </w:rPr>
          <w:fldChar w:fldCharType="end"/>
        </w:r>
      </w:hyperlink>
    </w:p>
    <w:p w14:paraId="3F7308D1" w14:textId="497228E9" w:rsidR="00F07165" w:rsidRPr="00D5464D" w:rsidRDefault="00241CDD" w:rsidP="00F07165">
      <w:pPr>
        <w:pStyle w:val="TDC3"/>
        <w:spacing w:after="40"/>
        <w:rPr>
          <w:rFonts w:eastAsiaTheme="minorEastAsia"/>
          <w:noProof/>
          <w:szCs w:val="20"/>
          <w:lang w:val="es-ES" w:eastAsia="es-ES"/>
        </w:rPr>
      </w:pPr>
      <w:hyperlink w:anchor="_Toc468433921" w:history="1">
        <w:r w:rsidR="00F07165" w:rsidRPr="00D5464D">
          <w:rPr>
            <w:rStyle w:val="Hipervnculo"/>
            <w:noProof/>
            <w:szCs w:val="20"/>
            <w:lang w:val="pt-BR"/>
          </w:rPr>
          <w:t>B.2 Tribunais Internacionais e Órgãos Quase-Judiciais</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_Toc468433921 \h </w:instrText>
        </w:r>
        <w:r w:rsidR="00F07165" w:rsidRPr="00D5464D">
          <w:rPr>
            <w:noProof/>
            <w:webHidden/>
            <w:szCs w:val="20"/>
          </w:rPr>
        </w:r>
        <w:r w:rsidR="00F07165" w:rsidRPr="00D5464D">
          <w:rPr>
            <w:noProof/>
            <w:webHidden/>
            <w:szCs w:val="20"/>
          </w:rPr>
          <w:fldChar w:fldCharType="separate"/>
        </w:r>
        <w:r w:rsidR="004D2931">
          <w:rPr>
            <w:noProof/>
            <w:webHidden/>
            <w:szCs w:val="20"/>
          </w:rPr>
          <w:t>68</w:t>
        </w:r>
        <w:r w:rsidR="00F07165" w:rsidRPr="00D5464D">
          <w:rPr>
            <w:noProof/>
            <w:webHidden/>
            <w:szCs w:val="20"/>
          </w:rPr>
          <w:fldChar w:fldCharType="end"/>
        </w:r>
      </w:hyperlink>
    </w:p>
    <w:p w14:paraId="3B260408" w14:textId="5ACF78D5" w:rsidR="00F07165" w:rsidRPr="00D5464D" w:rsidRDefault="00241CDD" w:rsidP="00F07165">
      <w:pPr>
        <w:pStyle w:val="TDC3"/>
        <w:spacing w:after="40"/>
        <w:rPr>
          <w:rFonts w:eastAsiaTheme="minorEastAsia"/>
          <w:noProof/>
          <w:szCs w:val="20"/>
          <w:lang w:val="es-ES" w:eastAsia="es-ES"/>
        </w:rPr>
      </w:pPr>
      <w:hyperlink w:anchor="_Toc468433922" w:history="1">
        <w:r w:rsidR="00F07165" w:rsidRPr="00D5464D">
          <w:rPr>
            <w:rStyle w:val="Hipervnculo"/>
            <w:noProof/>
            <w:szCs w:val="20"/>
            <w:lang w:val="pt-BR"/>
          </w:rPr>
          <w:t>B.3 Elementos do conceito de escravidão</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_Toc468433922 \h </w:instrText>
        </w:r>
        <w:r w:rsidR="00F07165" w:rsidRPr="00D5464D">
          <w:rPr>
            <w:noProof/>
            <w:webHidden/>
            <w:szCs w:val="20"/>
          </w:rPr>
        </w:r>
        <w:r w:rsidR="00F07165" w:rsidRPr="00D5464D">
          <w:rPr>
            <w:noProof/>
            <w:webHidden/>
            <w:szCs w:val="20"/>
          </w:rPr>
          <w:fldChar w:fldCharType="separate"/>
        </w:r>
        <w:r w:rsidR="004D2931">
          <w:rPr>
            <w:noProof/>
            <w:webHidden/>
            <w:szCs w:val="20"/>
          </w:rPr>
          <w:t>71</w:t>
        </w:r>
        <w:r w:rsidR="00F07165" w:rsidRPr="00D5464D">
          <w:rPr>
            <w:noProof/>
            <w:webHidden/>
            <w:szCs w:val="20"/>
          </w:rPr>
          <w:fldChar w:fldCharType="end"/>
        </w:r>
      </w:hyperlink>
    </w:p>
    <w:p w14:paraId="3C757309" w14:textId="2222075A" w:rsidR="00F07165" w:rsidRPr="00D5464D" w:rsidRDefault="00241CDD" w:rsidP="00F07165">
      <w:pPr>
        <w:pStyle w:val="TDC3"/>
        <w:spacing w:after="40"/>
        <w:rPr>
          <w:rFonts w:eastAsiaTheme="minorEastAsia"/>
          <w:noProof/>
          <w:szCs w:val="20"/>
          <w:lang w:val="es-ES" w:eastAsia="es-ES"/>
        </w:rPr>
      </w:pPr>
      <w:hyperlink w:anchor="_Toc468433923" w:history="1">
        <w:r w:rsidR="00F07165" w:rsidRPr="00D5464D">
          <w:rPr>
            <w:rStyle w:val="Hipervnculo"/>
            <w:noProof/>
            <w:szCs w:val="20"/>
            <w:lang w:val="pt-BR"/>
          </w:rPr>
          <w:t>B.4 Proibição e definição de servidão como forma análoga à escravidão</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_Toc468433923 \h </w:instrText>
        </w:r>
        <w:r w:rsidR="00F07165" w:rsidRPr="00D5464D">
          <w:rPr>
            <w:noProof/>
            <w:webHidden/>
            <w:szCs w:val="20"/>
          </w:rPr>
        </w:r>
        <w:r w:rsidR="00F07165" w:rsidRPr="00D5464D">
          <w:rPr>
            <w:noProof/>
            <w:webHidden/>
            <w:szCs w:val="20"/>
          </w:rPr>
          <w:fldChar w:fldCharType="separate"/>
        </w:r>
        <w:r w:rsidR="004D2931">
          <w:rPr>
            <w:noProof/>
            <w:webHidden/>
            <w:szCs w:val="20"/>
          </w:rPr>
          <w:t>72</w:t>
        </w:r>
        <w:r w:rsidR="00F07165" w:rsidRPr="00D5464D">
          <w:rPr>
            <w:noProof/>
            <w:webHidden/>
            <w:szCs w:val="20"/>
          </w:rPr>
          <w:fldChar w:fldCharType="end"/>
        </w:r>
      </w:hyperlink>
    </w:p>
    <w:p w14:paraId="00CAE8BB" w14:textId="7D7F22CC" w:rsidR="00F07165" w:rsidRPr="00D5464D" w:rsidRDefault="00241CDD" w:rsidP="00F07165">
      <w:pPr>
        <w:pStyle w:val="TDC3"/>
        <w:spacing w:after="40"/>
        <w:rPr>
          <w:rFonts w:eastAsiaTheme="minorEastAsia"/>
          <w:noProof/>
          <w:szCs w:val="20"/>
          <w:lang w:val="es-ES" w:eastAsia="es-ES"/>
        </w:rPr>
      </w:pPr>
      <w:hyperlink w:anchor="_Toc468433924" w:history="1">
        <w:r w:rsidR="00F07165" w:rsidRPr="00D5464D">
          <w:rPr>
            <w:rStyle w:val="Hipervnculo"/>
            <w:noProof/>
            <w:szCs w:val="20"/>
            <w:lang w:val="pt-BR"/>
          </w:rPr>
          <w:t>B.5 Proibição e definição do tráfico de escravos e do tráfico de mulheres</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_Toc468433924 \h </w:instrText>
        </w:r>
        <w:r w:rsidR="00F07165" w:rsidRPr="00D5464D">
          <w:rPr>
            <w:noProof/>
            <w:webHidden/>
            <w:szCs w:val="20"/>
          </w:rPr>
        </w:r>
        <w:r w:rsidR="00F07165" w:rsidRPr="00D5464D">
          <w:rPr>
            <w:noProof/>
            <w:webHidden/>
            <w:szCs w:val="20"/>
          </w:rPr>
          <w:fldChar w:fldCharType="separate"/>
        </w:r>
        <w:r w:rsidR="004D2931">
          <w:rPr>
            <w:noProof/>
            <w:webHidden/>
            <w:szCs w:val="20"/>
          </w:rPr>
          <w:t>73</w:t>
        </w:r>
        <w:r w:rsidR="00F07165" w:rsidRPr="00D5464D">
          <w:rPr>
            <w:noProof/>
            <w:webHidden/>
            <w:szCs w:val="20"/>
          </w:rPr>
          <w:fldChar w:fldCharType="end"/>
        </w:r>
      </w:hyperlink>
    </w:p>
    <w:p w14:paraId="034EF3DA" w14:textId="339035E1" w:rsidR="00F07165" w:rsidRPr="00D5464D" w:rsidRDefault="00241CDD" w:rsidP="00F07165">
      <w:pPr>
        <w:pStyle w:val="TDC3"/>
        <w:spacing w:after="40"/>
        <w:rPr>
          <w:rFonts w:eastAsiaTheme="minorEastAsia"/>
          <w:noProof/>
          <w:szCs w:val="20"/>
          <w:lang w:val="es-ES" w:eastAsia="es-ES"/>
        </w:rPr>
      </w:pPr>
      <w:hyperlink w:anchor="_Toc468433925" w:history="1">
        <w:r w:rsidR="00F07165" w:rsidRPr="00D5464D">
          <w:rPr>
            <w:rStyle w:val="Hipervnculo"/>
            <w:noProof/>
            <w:szCs w:val="20"/>
            <w:lang w:val="pt-BR"/>
          </w:rPr>
          <w:t>B.6 Trabalho Forçado ou Obrigatório</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_Toc468433925 \h </w:instrText>
        </w:r>
        <w:r w:rsidR="00F07165" w:rsidRPr="00D5464D">
          <w:rPr>
            <w:noProof/>
            <w:webHidden/>
            <w:szCs w:val="20"/>
          </w:rPr>
        </w:r>
        <w:r w:rsidR="00F07165" w:rsidRPr="00D5464D">
          <w:rPr>
            <w:noProof/>
            <w:webHidden/>
            <w:szCs w:val="20"/>
          </w:rPr>
          <w:fldChar w:fldCharType="separate"/>
        </w:r>
        <w:r w:rsidR="004D2931">
          <w:rPr>
            <w:noProof/>
            <w:webHidden/>
            <w:szCs w:val="20"/>
          </w:rPr>
          <w:t>76</w:t>
        </w:r>
        <w:r w:rsidR="00F07165" w:rsidRPr="00D5464D">
          <w:rPr>
            <w:noProof/>
            <w:webHidden/>
            <w:szCs w:val="20"/>
          </w:rPr>
          <w:fldChar w:fldCharType="end"/>
        </w:r>
      </w:hyperlink>
    </w:p>
    <w:p w14:paraId="06EDA23B" w14:textId="5FF48BB5" w:rsidR="00F07165" w:rsidRPr="00D5464D" w:rsidRDefault="00241CDD" w:rsidP="00F07165">
      <w:pPr>
        <w:pStyle w:val="TDC3"/>
        <w:spacing w:after="40"/>
        <w:rPr>
          <w:rFonts w:eastAsiaTheme="minorEastAsia"/>
          <w:noProof/>
          <w:szCs w:val="20"/>
          <w:lang w:val="es-ES" w:eastAsia="es-ES"/>
        </w:rPr>
      </w:pPr>
      <w:hyperlink w:anchor="_Toc468433926" w:history="1">
        <w:r w:rsidR="00F07165" w:rsidRPr="00D5464D">
          <w:rPr>
            <w:rStyle w:val="Hipervnculo"/>
            <w:noProof/>
            <w:szCs w:val="20"/>
            <w:lang w:val="pt-BR"/>
          </w:rPr>
          <w:t>B.7 Os fatos do presente caso à luz dos padrões internacionais</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_Toc468433926 \h </w:instrText>
        </w:r>
        <w:r w:rsidR="00F07165" w:rsidRPr="00D5464D">
          <w:rPr>
            <w:noProof/>
            <w:webHidden/>
            <w:szCs w:val="20"/>
          </w:rPr>
        </w:r>
        <w:r w:rsidR="00F07165" w:rsidRPr="00D5464D">
          <w:rPr>
            <w:noProof/>
            <w:webHidden/>
            <w:szCs w:val="20"/>
          </w:rPr>
          <w:fldChar w:fldCharType="separate"/>
        </w:r>
        <w:r w:rsidR="004D2931">
          <w:rPr>
            <w:noProof/>
            <w:webHidden/>
            <w:szCs w:val="20"/>
          </w:rPr>
          <w:t>77</w:t>
        </w:r>
        <w:r w:rsidR="00F07165" w:rsidRPr="00D5464D">
          <w:rPr>
            <w:noProof/>
            <w:webHidden/>
            <w:szCs w:val="20"/>
          </w:rPr>
          <w:fldChar w:fldCharType="end"/>
        </w:r>
      </w:hyperlink>
    </w:p>
    <w:p w14:paraId="65755A9A" w14:textId="00DCF2C3" w:rsidR="00F07165" w:rsidRPr="00D5464D" w:rsidRDefault="00241CDD" w:rsidP="00F07165">
      <w:pPr>
        <w:pStyle w:val="TDC3"/>
        <w:spacing w:after="40"/>
        <w:rPr>
          <w:rFonts w:eastAsiaTheme="minorEastAsia"/>
          <w:noProof/>
          <w:szCs w:val="20"/>
          <w:lang w:val="es-ES" w:eastAsia="es-ES"/>
        </w:rPr>
      </w:pPr>
      <w:hyperlink w:anchor="_Toc468433927" w:history="1">
        <w:r w:rsidR="00F07165" w:rsidRPr="00D5464D">
          <w:rPr>
            <w:rStyle w:val="Hipervnculo"/>
            <w:noProof/>
            <w:szCs w:val="20"/>
            <w:lang w:val="pt-BR"/>
          </w:rPr>
          <w:t>B.8 Legislação penal brasileira</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_Toc468433927 \h </w:instrText>
        </w:r>
        <w:r w:rsidR="00F07165" w:rsidRPr="00D5464D">
          <w:rPr>
            <w:noProof/>
            <w:webHidden/>
            <w:szCs w:val="20"/>
          </w:rPr>
        </w:r>
        <w:r w:rsidR="00F07165" w:rsidRPr="00D5464D">
          <w:rPr>
            <w:noProof/>
            <w:webHidden/>
            <w:szCs w:val="20"/>
          </w:rPr>
          <w:fldChar w:fldCharType="separate"/>
        </w:r>
        <w:r w:rsidR="004D2931">
          <w:rPr>
            <w:noProof/>
            <w:webHidden/>
            <w:szCs w:val="20"/>
          </w:rPr>
          <w:t>80</w:t>
        </w:r>
        <w:r w:rsidR="00F07165" w:rsidRPr="00D5464D">
          <w:rPr>
            <w:noProof/>
            <w:webHidden/>
            <w:szCs w:val="20"/>
          </w:rPr>
          <w:fldChar w:fldCharType="end"/>
        </w:r>
      </w:hyperlink>
    </w:p>
    <w:p w14:paraId="6221BB1A" w14:textId="0C4355D1" w:rsidR="00F07165" w:rsidRPr="00D5464D" w:rsidRDefault="00241CDD" w:rsidP="00F07165">
      <w:pPr>
        <w:pStyle w:val="TDC3"/>
        <w:spacing w:after="40"/>
        <w:rPr>
          <w:rFonts w:eastAsiaTheme="minorEastAsia"/>
          <w:noProof/>
          <w:szCs w:val="20"/>
          <w:lang w:val="es-ES" w:eastAsia="es-ES"/>
        </w:rPr>
      </w:pPr>
      <w:hyperlink w:anchor="_Toc468433928" w:history="1">
        <w:r w:rsidR="00F07165" w:rsidRPr="00D5464D">
          <w:rPr>
            <w:rStyle w:val="Hipervnculo"/>
            <w:noProof/>
            <w:szCs w:val="20"/>
            <w:lang w:val="pt-BR"/>
          </w:rPr>
          <w:t>B.9 A responsabilidade do Estado no presente caso</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_Toc468433928 \h </w:instrText>
        </w:r>
        <w:r w:rsidR="00F07165" w:rsidRPr="00D5464D">
          <w:rPr>
            <w:noProof/>
            <w:webHidden/>
            <w:szCs w:val="20"/>
          </w:rPr>
        </w:r>
        <w:r w:rsidR="00F07165" w:rsidRPr="00D5464D">
          <w:rPr>
            <w:noProof/>
            <w:webHidden/>
            <w:szCs w:val="20"/>
          </w:rPr>
          <w:fldChar w:fldCharType="separate"/>
        </w:r>
        <w:r w:rsidR="004D2931">
          <w:rPr>
            <w:noProof/>
            <w:webHidden/>
            <w:szCs w:val="20"/>
          </w:rPr>
          <w:t>82</w:t>
        </w:r>
        <w:r w:rsidR="00F07165" w:rsidRPr="00D5464D">
          <w:rPr>
            <w:noProof/>
            <w:webHidden/>
            <w:szCs w:val="20"/>
          </w:rPr>
          <w:fldChar w:fldCharType="end"/>
        </w:r>
      </w:hyperlink>
    </w:p>
    <w:p w14:paraId="4313D087" w14:textId="4795EB23" w:rsidR="00F07165" w:rsidRPr="00D5464D" w:rsidRDefault="00241CDD" w:rsidP="00F07165">
      <w:pPr>
        <w:pStyle w:val="TDC3"/>
        <w:spacing w:after="40"/>
        <w:rPr>
          <w:rFonts w:eastAsiaTheme="minorEastAsia"/>
          <w:noProof/>
          <w:szCs w:val="20"/>
          <w:lang w:val="es-ES" w:eastAsia="es-ES"/>
        </w:rPr>
      </w:pPr>
      <w:hyperlink w:anchor="_Toc468433929" w:history="1">
        <w:r w:rsidR="00F07165" w:rsidRPr="00D5464D">
          <w:rPr>
            <w:rStyle w:val="Hipervnculo"/>
            <w:noProof/>
            <w:szCs w:val="20"/>
            <w:lang w:val="pt-BR"/>
          </w:rPr>
          <w:t>B.10 Dever de prevenção e não discriminação</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_Toc468433929 \h </w:instrText>
        </w:r>
        <w:r w:rsidR="00F07165" w:rsidRPr="00D5464D">
          <w:rPr>
            <w:noProof/>
            <w:webHidden/>
            <w:szCs w:val="20"/>
          </w:rPr>
        </w:r>
        <w:r w:rsidR="00F07165" w:rsidRPr="00D5464D">
          <w:rPr>
            <w:noProof/>
            <w:webHidden/>
            <w:szCs w:val="20"/>
          </w:rPr>
          <w:fldChar w:fldCharType="separate"/>
        </w:r>
        <w:r w:rsidR="004D2931">
          <w:rPr>
            <w:noProof/>
            <w:webHidden/>
            <w:szCs w:val="20"/>
          </w:rPr>
          <w:t>83</w:t>
        </w:r>
        <w:r w:rsidR="00F07165" w:rsidRPr="00D5464D">
          <w:rPr>
            <w:noProof/>
            <w:webHidden/>
            <w:szCs w:val="20"/>
          </w:rPr>
          <w:fldChar w:fldCharType="end"/>
        </w:r>
      </w:hyperlink>
    </w:p>
    <w:p w14:paraId="6A339D16" w14:textId="59314BFB" w:rsidR="00F07165" w:rsidRPr="00D5464D" w:rsidRDefault="00241CDD" w:rsidP="00F07165">
      <w:pPr>
        <w:pStyle w:val="TDC3"/>
        <w:spacing w:after="40"/>
        <w:rPr>
          <w:rFonts w:eastAsiaTheme="minorEastAsia"/>
          <w:noProof/>
          <w:szCs w:val="20"/>
          <w:lang w:val="es-ES" w:eastAsia="es-ES"/>
        </w:rPr>
      </w:pPr>
      <w:hyperlink w:anchor="_Toc468433930" w:history="1">
        <w:r w:rsidR="00F07165" w:rsidRPr="00D5464D">
          <w:rPr>
            <w:rStyle w:val="Hipervnculo"/>
            <w:noProof/>
            <w:szCs w:val="20"/>
            <w:lang w:val="pt-BR"/>
          </w:rPr>
          <w:t>B.11 Direitos da Criança</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_Toc468433930 \h </w:instrText>
        </w:r>
        <w:r w:rsidR="00F07165" w:rsidRPr="00D5464D">
          <w:rPr>
            <w:noProof/>
            <w:webHidden/>
            <w:szCs w:val="20"/>
          </w:rPr>
        </w:r>
        <w:r w:rsidR="00F07165" w:rsidRPr="00D5464D">
          <w:rPr>
            <w:noProof/>
            <w:webHidden/>
            <w:szCs w:val="20"/>
          </w:rPr>
          <w:fldChar w:fldCharType="separate"/>
        </w:r>
        <w:r w:rsidR="004D2931">
          <w:rPr>
            <w:noProof/>
            <w:webHidden/>
            <w:szCs w:val="20"/>
          </w:rPr>
          <w:t>85</w:t>
        </w:r>
        <w:r w:rsidR="00F07165" w:rsidRPr="00D5464D">
          <w:rPr>
            <w:noProof/>
            <w:webHidden/>
            <w:szCs w:val="20"/>
          </w:rPr>
          <w:fldChar w:fldCharType="end"/>
        </w:r>
      </w:hyperlink>
    </w:p>
    <w:p w14:paraId="591E5139" w14:textId="5BC68E59" w:rsidR="00F07165" w:rsidRPr="00D5464D" w:rsidRDefault="00241CDD" w:rsidP="00F07165">
      <w:pPr>
        <w:pStyle w:val="TDC3"/>
        <w:spacing w:after="40"/>
        <w:rPr>
          <w:rFonts w:eastAsiaTheme="minorEastAsia"/>
          <w:noProof/>
          <w:szCs w:val="20"/>
          <w:lang w:val="es-ES" w:eastAsia="es-ES"/>
        </w:rPr>
      </w:pPr>
      <w:hyperlink w:anchor="_Toc468433931" w:history="1">
        <w:r w:rsidR="00F07165" w:rsidRPr="00D5464D">
          <w:rPr>
            <w:rStyle w:val="Hipervnculo"/>
            <w:noProof/>
            <w:szCs w:val="20"/>
            <w:lang w:val="pt-BR"/>
          </w:rPr>
          <w:t>B.12 Discriminação estrutural</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_Toc468433931 \h </w:instrText>
        </w:r>
        <w:r w:rsidR="00F07165" w:rsidRPr="00D5464D">
          <w:rPr>
            <w:noProof/>
            <w:webHidden/>
            <w:szCs w:val="20"/>
          </w:rPr>
        </w:r>
        <w:r w:rsidR="00F07165" w:rsidRPr="00D5464D">
          <w:rPr>
            <w:noProof/>
            <w:webHidden/>
            <w:szCs w:val="20"/>
          </w:rPr>
          <w:fldChar w:fldCharType="separate"/>
        </w:r>
        <w:r w:rsidR="004D2931">
          <w:rPr>
            <w:noProof/>
            <w:webHidden/>
            <w:szCs w:val="20"/>
          </w:rPr>
          <w:t>86</w:t>
        </w:r>
        <w:r w:rsidR="00F07165" w:rsidRPr="00D5464D">
          <w:rPr>
            <w:noProof/>
            <w:webHidden/>
            <w:szCs w:val="20"/>
          </w:rPr>
          <w:fldChar w:fldCharType="end"/>
        </w:r>
      </w:hyperlink>
    </w:p>
    <w:p w14:paraId="7B1ED7B0" w14:textId="72CDA57A" w:rsidR="00F07165" w:rsidRPr="00D5464D" w:rsidRDefault="00241CDD" w:rsidP="00F07165">
      <w:pPr>
        <w:pStyle w:val="TDC3"/>
        <w:spacing w:after="40"/>
        <w:rPr>
          <w:rFonts w:eastAsiaTheme="minorEastAsia"/>
          <w:noProof/>
          <w:szCs w:val="20"/>
          <w:lang w:val="es-ES" w:eastAsia="es-ES"/>
        </w:rPr>
      </w:pPr>
      <w:hyperlink w:anchor="_Toc468433932" w:history="1">
        <w:r w:rsidR="00F07165" w:rsidRPr="00D5464D">
          <w:rPr>
            <w:rStyle w:val="Hipervnculo"/>
            <w:noProof/>
            <w:szCs w:val="20"/>
            <w:lang w:val="pt-BR"/>
          </w:rPr>
          <w:t>B.13 Conclusão</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_Toc468433932 \h </w:instrText>
        </w:r>
        <w:r w:rsidR="00F07165" w:rsidRPr="00D5464D">
          <w:rPr>
            <w:noProof/>
            <w:webHidden/>
            <w:szCs w:val="20"/>
          </w:rPr>
        </w:r>
        <w:r w:rsidR="00F07165" w:rsidRPr="00D5464D">
          <w:rPr>
            <w:noProof/>
            <w:webHidden/>
            <w:szCs w:val="20"/>
          </w:rPr>
          <w:fldChar w:fldCharType="separate"/>
        </w:r>
        <w:r w:rsidR="004D2931">
          <w:rPr>
            <w:noProof/>
            <w:webHidden/>
            <w:szCs w:val="20"/>
          </w:rPr>
          <w:t>89</w:t>
        </w:r>
        <w:r w:rsidR="00F07165" w:rsidRPr="00D5464D">
          <w:rPr>
            <w:noProof/>
            <w:webHidden/>
            <w:szCs w:val="20"/>
          </w:rPr>
          <w:fldChar w:fldCharType="end"/>
        </w:r>
      </w:hyperlink>
    </w:p>
    <w:p w14:paraId="27BD5AD5" w14:textId="2781C8F3" w:rsidR="00F07165" w:rsidRPr="00D5464D" w:rsidRDefault="00241CDD" w:rsidP="00F07165">
      <w:pPr>
        <w:pStyle w:val="TDC1"/>
        <w:spacing w:after="40"/>
        <w:rPr>
          <w:rFonts w:eastAsiaTheme="minorEastAsia"/>
          <w:b w:val="0"/>
          <w:noProof/>
          <w:sz w:val="20"/>
          <w:szCs w:val="20"/>
          <w:lang w:val="es-ES" w:eastAsia="es-ES"/>
        </w:rPr>
      </w:pPr>
      <w:hyperlink w:anchor="_Toc468433933" w:history="1">
        <w:r w:rsidR="00F07165" w:rsidRPr="00D5464D">
          <w:rPr>
            <w:rStyle w:val="Hipervnculo"/>
            <w:noProof/>
            <w:sz w:val="20"/>
            <w:szCs w:val="20"/>
            <w:lang w:val="pt-BR"/>
          </w:rPr>
          <w:t xml:space="preserve">VIII-2 </w:t>
        </w:r>
      </w:hyperlink>
      <w:hyperlink w:anchor="_Toc468433934" w:history="1">
        <w:r w:rsidR="00F07165" w:rsidRPr="00D5464D">
          <w:rPr>
            <w:rStyle w:val="Hipervnculo"/>
            <w:noProof/>
            <w:sz w:val="20"/>
            <w:szCs w:val="20"/>
            <w:lang w:val="pt-BR"/>
          </w:rPr>
          <w:t xml:space="preserve">DIREITOS </w:t>
        </w:r>
        <w:r w:rsidR="001A5B3A" w:rsidRPr="00D5464D">
          <w:rPr>
            <w:rStyle w:val="Hipervnculo"/>
            <w:noProof/>
            <w:sz w:val="20"/>
            <w:szCs w:val="20"/>
            <w:lang w:val="pt-BR"/>
          </w:rPr>
          <w:t>ÀS</w:t>
        </w:r>
        <w:r w:rsidR="00F07165" w:rsidRPr="00D5464D">
          <w:rPr>
            <w:rStyle w:val="Hipervnculo"/>
            <w:noProof/>
            <w:sz w:val="20"/>
            <w:szCs w:val="20"/>
            <w:lang w:val="pt-BR"/>
          </w:rPr>
          <w:t xml:space="preserve"> GARANTIAS JUDICIAIS </w:t>
        </w:r>
        <w:r w:rsidR="001A5B3A" w:rsidRPr="00D5464D">
          <w:rPr>
            <w:rStyle w:val="Hipervnculo"/>
            <w:noProof/>
            <w:sz w:val="20"/>
            <w:szCs w:val="20"/>
            <w:lang w:val="pt-BR"/>
          </w:rPr>
          <w:t>E À</w:t>
        </w:r>
        <w:r w:rsidR="00F07165" w:rsidRPr="00D5464D">
          <w:rPr>
            <w:rStyle w:val="Hipervnculo"/>
            <w:noProof/>
            <w:sz w:val="20"/>
            <w:szCs w:val="20"/>
            <w:lang w:val="pt-BR"/>
          </w:rPr>
          <w:t xml:space="preserve"> PROTEÇÃO JUDICIAL</w:t>
        </w:r>
        <w:r w:rsidR="00F07165" w:rsidRPr="00D5464D">
          <w:rPr>
            <w:noProof/>
            <w:webHidden/>
            <w:sz w:val="20"/>
            <w:szCs w:val="20"/>
          </w:rPr>
          <w:tab/>
        </w:r>
        <w:r w:rsidR="00F07165" w:rsidRPr="00D5464D">
          <w:rPr>
            <w:noProof/>
            <w:webHidden/>
            <w:sz w:val="20"/>
            <w:szCs w:val="20"/>
          </w:rPr>
          <w:fldChar w:fldCharType="begin"/>
        </w:r>
        <w:r w:rsidR="00F07165" w:rsidRPr="00D5464D">
          <w:rPr>
            <w:noProof/>
            <w:webHidden/>
            <w:sz w:val="20"/>
            <w:szCs w:val="20"/>
          </w:rPr>
          <w:instrText xml:space="preserve"> PAGEREF _Toc468433934 \h </w:instrText>
        </w:r>
        <w:r w:rsidR="00F07165" w:rsidRPr="00D5464D">
          <w:rPr>
            <w:noProof/>
            <w:webHidden/>
            <w:sz w:val="20"/>
            <w:szCs w:val="20"/>
          </w:rPr>
        </w:r>
        <w:r w:rsidR="00F07165" w:rsidRPr="00D5464D">
          <w:rPr>
            <w:noProof/>
            <w:webHidden/>
            <w:sz w:val="20"/>
            <w:szCs w:val="20"/>
          </w:rPr>
          <w:fldChar w:fldCharType="separate"/>
        </w:r>
        <w:r w:rsidR="004D2931">
          <w:rPr>
            <w:noProof/>
            <w:webHidden/>
            <w:sz w:val="20"/>
            <w:szCs w:val="20"/>
          </w:rPr>
          <w:t>90</w:t>
        </w:r>
        <w:r w:rsidR="00F07165" w:rsidRPr="00D5464D">
          <w:rPr>
            <w:noProof/>
            <w:webHidden/>
            <w:sz w:val="20"/>
            <w:szCs w:val="20"/>
          </w:rPr>
          <w:fldChar w:fldCharType="end"/>
        </w:r>
      </w:hyperlink>
    </w:p>
    <w:p w14:paraId="265263F7" w14:textId="59832DBC" w:rsidR="00F07165" w:rsidRPr="00D5464D" w:rsidRDefault="00241CDD" w:rsidP="00F07165">
      <w:pPr>
        <w:pStyle w:val="TDC2"/>
        <w:tabs>
          <w:tab w:val="left" w:pos="1100"/>
        </w:tabs>
        <w:spacing w:after="40"/>
        <w:rPr>
          <w:rFonts w:eastAsiaTheme="minorEastAsia"/>
          <w:noProof/>
          <w:szCs w:val="20"/>
          <w:lang w:val="es-ES" w:eastAsia="es-ES"/>
        </w:rPr>
      </w:pPr>
      <w:hyperlink w:anchor="_Toc468433935" w:history="1">
        <w:r w:rsidR="00F07165" w:rsidRPr="00D5464D">
          <w:rPr>
            <w:rStyle w:val="Hipervnculo"/>
            <w:noProof/>
            <w:szCs w:val="20"/>
            <w:lang w:val="pt-BR"/>
          </w:rPr>
          <w:t>A.</w:t>
        </w:r>
        <w:r w:rsidR="001A5B3A" w:rsidRPr="00D5464D">
          <w:rPr>
            <w:rStyle w:val="Hipervnculo"/>
            <w:noProof/>
            <w:szCs w:val="20"/>
            <w:lang w:val="pt-BR"/>
          </w:rPr>
          <w:t xml:space="preserve"> </w:t>
        </w:r>
        <w:r w:rsidR="00F07165" w:rsidRPr="00D5464D">
          <w:rPr>
            <w:rStyle w:val="Hipervnculo"/>
            <w:noProof/>
            <w:szCs w:val="20"/>
            <w:lang w:val="pt-BR"/>
          </w:rPr>
          <w:t>Argumentos das partes e da Comissão</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_Toc468433935 \h </w:instrText>
        </w:r>
        <w:r w:rsidR="00F07165" w:rsidRPr="00D5464D">
          <w:rPr>
            <w:noProof/>
            <w:webHidden/>
            <w:szCs w:val="20"/>
          </w:rPr>
        </w:r>
        <w:r w:rsidR="00F07165" w:rsidRPr="00D5464D">
          <w:rPr>
            <w:noProof/>
            <w:webHidden/>
            <w:szCs w:val="20"/>
          </w:rPr>
          <w:fldChar w:fldCharType="separate"/>
        </w:r>
        <w:r w:rsidR="004D2931">
          <w:rPr>
            <w:noProof/>
            <w:webHidden/>
            <w:szCs w:val="20"/>
          </w:rPr>
          <w:t>90</w:t>
        </w:r>
        <w:r w:rsidR="00F07165" w:rsidRPr="00D5464D">
          <w:rPr>
            <w:noProof/>
            <w:webHidden/>
            <w:szCs w:val="20"/>
          </w:rPr>
          <w:fldChar w:fldCharType="end"/>
        </w:r>
      </w:hyperlink>
    </w:p>
    <w:p w14:paraId="41D1B241" w14:textId="42D2765D" w:rsidR="00F07165" w:rsidRPr="00D5464D" w:rsidRDefault="00241CDD" w:rsidP="00F07165">
      <w:pPr>
        <w:pStyle w:val="TDC2"/>
        <w:tabs>
          <w:tab w:val="left" w:pos="1100"/>
        </w:tabs>
        <w:spacing w:after="40"/>
        <w:rPr>
          <w:rFonts w:eastAsiaTheme="minorEastAsia"/>
          <w:noProof/>
          <w:szCs w:val="20"/>
          <w:lang w:val="es-ES" w:eastAsia="es-ES"/>
        </w:rPr>
      </w:pPr>
      <w:hyperlink w:anchor="_Toc468433936" w:history="1">
        <w:r w:rsidR="00F07165" w:rsidRPr="00D5464D">
          <w:rPr>
            <w:rStyle w:val="Hipervnculo"/>
            <w:rFonts w:cs="Arial"/>
            <w:noProof/>
            <w:szCs w:val="20"/>
            <w:lang w:val="pt-BR"/>
          </w:rPr>
          <w:t>B.</w:t>
        </w:r>
        <w:r w:rsidR="001A5B3A" w:rsidRPr="00D5464D">
          <w:rPr>
            <w:rStyle w:val="Hipervnculo"/>
            <w:rFonts w:cs="Arial"/>
            <w:noProof/>
            <w:szCs w:val="20"/>
            <w:lang w:val="pt-BR"/>
          </w:rPr>
          <w:t xml:space="preserve"> </w:t>
        </w:r>
        <w:r w:rsidR="00F07165" w:rsidRPr="00D5464D">
          <w:rPr>
            <w:rStyle w:val="Hipervnculo"/>
            <w:noProof/>
            <w:szCs w:val="20"/>
            <w:lang w:val="pt-BR"/>
          </w:rPr>
          <w:t>Considerações da Corte</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_Toc468433936 \h </w:instrText>
        </w:r>
        <w:r w:rsidR="00F07165" w:rsidRPr="00D5464D">
          <w:rPr>
            <w:noProof/>
            <w:webHidden/>
            <w:szCs w:val="20"/>
          </w:rPr>
        </w:r>
        <w:r w:rsidR="00F07165" w:rsidRPr="00D5464D">
          <w:rPr>
            <w:noProof/>
            <w:webHidden/>
            <w:szCs w:val="20"/>
          </w:rPr>
          <w:fldChar w:fldCharType="separate"/>
        </w:r>
        <w:r w:rsidR="004D2931">
          <w:rPr>
            <w:noProof/>
            <w:webHidden/>
            <w:szCs w:val="20"/>
          </w:rPr>
          <w:t>93</w:t>
        </w:r>
        <w:r w:rsidR="00F07165" w:rsidRPr="00D5464D">
          <w:rPr>
            <w:noProof/>
            <w:webHidden/>
            <w:szCs w:val="20"/>
          </w:rPr>
          <w:fldChar w:fldCharType="end"/>
        </w:r>
      </w:hyperlink>
    </w:p>
    <w:p w14:paraId="24B031F2" w14:textId="4CF63A9F" w:rsidR="00F07165" w:rsidRPr="00D5464D" w:rsidRDefault="00241CDD" w:rsidP="00F07165">
      <w:pPr>
        <w:pStyle w:val="TDC3"/>
        <w:spacing w:after="40"/>
        <w:rPr>
          <w:rFonts w:eastAsiaTheme="minorEastAsia"/>
          <w:noProof/>
          <w:szCs w:val="20"/>
          <w:lang w:val="es-ES" w:eastAsia="es-ES"/>
        </w:rPr>
      </w:pPr>
      <w:hyperlink w:anchor="_Toc468433937" w:history="1">
        <w:r w:rsidR="00F07165" w:rsidRPr="00D5464D">
          <w:rPr>
            <w:rStyle w:val="Hipervnculo"/>
            <w:noProof/>
            <w:szCs w:val="20"/>
            <w:lang w:val="pt-BR" w:eastAsia="es-ES"/>
          </w:rPr>
          <w:t>B.1 Devida diligência</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_Toc468433937 \h </w:instrText>
        </w:r>
        <w:r w:rsidR="00F07165" w:rsidRPr="00D5464D">
          <w:rPr>
            <w:noProof/>
            <w:webHidden/>
            <w:szCs w:val="20"/>
          </w:rPr>
        </w:r>
        <w:r w:rsidR="00F07165" w:rsidRPr="00D5464D">
          <w:rPr>
            <w:noProof/>
            <w:webHidden/>
            <w:szCs w:val="20"/>
          </w:rPr>
          <w:fldChar w:fldCharType="separate"/>
        </w:r>
        <w:r w:rsidR="004D2931">
          <w:rPr>
            <w:noProof/>
            <w:webHidden/>
            <w:szCs w:val="20"/>
          </w:rPr>
          <w:t>93</w:t>
        </w:r>
        <w:r w:rsidR="00F07165" w:rsidRPr="00D5464D">
          <w:rPr>
            <w:noProof/>
            <w:webHidden/>
            <w:szCs w:val="20"/>
          </w:rPr>
          <w:fldChar w:fldCharType="end"/>
        </w:r>
      </w:hyperlink>
    </w:p>
    <w:p w14:paraId="1678CB96" w14:textId="63D1B98F" w:rsidR="00F07165" w:rsidRPr="00D5464D" w:rsidRDefault="00241CDD" w:rsidP="00F07165">
      <w:pPr>
        <w:pStyle w:val="TDC3"/>
        <w:spacing w:after="40"/>
        <w:rPr>
          <w:rFonts w:eastAsiaTheme="minorEastAsia"/>
          <w:noProof/>
          <w:szCs w:val="20"/>
          <w:lang w:val="es-ES" w:eastAsia="es-ES"/>
        </w:rPr>
      </w:pPr>
      <w:hyperlink w:anchor="_Toc468433938" w:history="1">
        <w:r w:rsidR="00F07165" w:rsidRPr="00D5464D">
          <w:rPr>
            <w:rStyle w:val="Hipervnculo"/>
            <w:noProof/>
            <w:szCs w:val="20"/>
            <w:lang w:val="pt-BR"/>
          </w:rPr>
          <w:t>B.2 Prazo razoável</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_Toc468433938 \h </w:instrText>
        </w:r>
        <w:r w:rsidR="00F07165" w:rsidRPr="00D5464D">
          <w:rPr>
            <w:noProof/>
            <w:webHidden/>
            <w:szCs w:val="20"/>
          </w:rPr>
        </w:r>
        <w:r w:rsidR="00F07165" w:rsidRPr="00D5464D">
          <w:rPr>
            <w:noProof/>
            <w:webHidden/>
            <w:szCs w:val="20"/>
          </w:rPr>
          <w:fldChar w:fldCharType="separate"/>
        </w:r>
        <w:r w:rsidR="004D2931">
          <w:rPr>
            <w:noProof/>
            <w:webHidden/>
            <w:szCs w:val="20"/>
          </w:rPr>
          <w:t>94</w:t>
        </w:r>
        <w:r w:rsidR="00F07165" w:rsidRPr="00D5464D">
          <w:rPr>
            <w:noProof/>
            <w:webHidden/>
            <w:szCs w:val="20"/>
          </w:rPr>
          <w:fldChar w:fldCharType="end"/>
        </w:r>
      </w:hyperlink>
    </w:p>
    <w:p w14:paraId="3326F596" w14:textId="49C13F0C" w:rsidR="00F07165" w:rsidRPr="00D5464D" w:rsidRDefault="00241CDD" w:rsidP="00F07165">
      <w:pPr>
        <w:pStyle w:val="TDC3"/>
        <w:spacing w:after="40"/>
        <w:rPr>
          <w:rFonts w:eastAsiaTheme="minorEastAsia"/>
          <w:noProof/>
          <w:szCs w:val="20"/>
          <w:lang w:val="es-ES" w:eastAsia="es-ES"/>
        </w:rPr>
      </w:pPr>
      <w:hyperlink w:anchor="_Toc468433939" w:history="1">
        <w:r w:rsidR="00F07165" w:rsidRPr="00D5464D">
          <w:rPr>
            <w:rStyle w:val="Hipervnculo"/>
            <w:noProof/>
            <w:szCs w:val="20"/>
            <w:lang w:val="pt-BR"/>
          </w:rPr>
          <w:t>B.3 Ausência de proteção judicial efetiva</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_Toc468433939 \h </w:instrText>
        </w:r>
        <w:r w:rsidR="00F07165" w:rsidRPr="00D5464D">
          <w:rPr>
            <w:noProof/>
            <w:webHidden/>
            <w:szCs w:val="20"/>
          </w:rPr>
        </w:r>
        <w:r w:rsidR="00F07165" w:rsidRPr="00D5464D">
          <w:rPr>
            <w:noProof/>
            <w:webHidden/>
            <w:szCs w:val="20"/>
          </w:rPr>
          <w:fldChar w:fldCharType="separate"/>
        </w:r>
        <w:r w:rsidR="004D2931">
          <w:rPr>
            <w:noProof/>
            <w:webHidden/>
            <w:szCs w:val="20"/>
          </w:rPr>
          <w:t>97</w:t>
        </w:r>
        <w:r w:rsidR="00F07165" w:rsidRPr="00D5464D">
          <w:rPr>
            <w:noProof/>
            <w:webHidden/>
            <w:szCs w:val="20"/>
          </w:rPr>
          <w:fldChar w:fldCharType="end"/>
        </w:r>
      </w:hyperlink>
    </w:p>
    <w:p w14:paraId="78A848E4" w14:textId="2F5411B4" w:rsidR="00F07165" w:rsidRPr="00D5464D" w:rsidRDefault="00241CDD" w:rsidP="00F07165">
      <w:pPr>
        <w:pStyle w:val="TDC3"/>
        <w:spacing w:after="40"/>
        <w:rPr>
          <w:rFonts w:eastAsiaTheme="minorEastAsia"/>
          <w:noProof/>
          <w:szCs w:val="20"/>
          <w:lang w:val="es-ES" w:eastAsia="es-ES"/>
        </w:rPr>
      </w:pPr>
      <w:hyperlink w:anchor="_Toc468433940" w:history="1">
        <w:r w:rsidR="00F07165" w:rsidRPr="00D5464D">
          <w:rPr>
            <w:rStyle w:val="Hipervnculo"/>
            <w:noProof/>
            <w:szCs w:val="20"/>
            <w:lang w:val="pt-BR"/>
          </w:rPr>
          <w:t>B.4 As investigações realizadas em relação aos alegados desaparecimentos de Iron Canuto da Silva e Luis Ferreira da Cruz</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_Toc468433940 \h </w:instrText>
        </w:r>
        <w:r w:rsidR="00F07165" w:rsidRPr="00D5464D">
          <w:rPr>
            <w:noProof/>
            <w:webHidden/>
            <w:szCs w:val="20"/>
          </w:rPr>
        </w:r>
        <w:r w:rsidR="00F07165" w:rsidRPr="00D5464D">
          <w:rPr>
            <w:noProof/>
            <w:webHidden/>
            <w:szCs w:val="20"/>
          </w:rPr>
          <w:fldChar w:fldCharType="separate"/>
        </w:r>
        <w:r w:rsidR="004D2931">
          <w:rPr>
            <w:noProof/>
            <w:webHidden/>
            <w:szCs w:val="20"/>
          </w:rPr>
          <w:t>104</w:t>
        </w:r>
        <w:r w:rsidR="00F07165" w:rsidRPr="00D5464D">
          <w:rPr>
            <w:noProof/>
            <w:webHidden/>
            <w:szCs w:val="20"/>
          </w:rPr>
          <w:fldChar w:fldCharType="end"/>
        </w:r>
      </w:hyperlink>
    </w:p>
    <w:p w14:paraId="5CEE64B5" w14:textId="48963E51" w:rsidR="00F07165" w:rsidRPr="00D5464D" w:rsidRDefault="00241CDD" w:rsidP="00F07165">
      <w:pPr>
        <w:pStyle w:val="TDC1"/>
        <w:spacing w:after="40"/>
        <w:rPr>
          <w:rFonts w:eastAsiaTheme="minorEastAsia"/>
          <w:b w:val="0"/>
          <w:noProof/>
          <w:sz w:val="20"/>
          <w:szCs w:val="20"/>
          <w:lang w:val="es-ES" w:eastAsia="es-ES"/>
        </w:rPr>
      </w:pPr>
      <w:hyperlink w:anchor="_Toc468433943" w:history="1">
        <w:r w:rsidR="00F07165" w:rsidRPr="00D5464D">
          <w:rPr>
            <w:rStyle w:val="Hipervnculo"/>
            <w:rFonts w:eastAsia="Times New Roman" w:cs="Verdana"/>
            <w:bCs/>
            <w:caps/>
            <w:noProof/>
            <w:snapToGrid w:val="0"/>
            <w:sz w:val="20"/>
            <w:szCs w:val="20"/>
            <w:lang w:val="pt-BR" w:eastAsia="es-ES"/>
          </w:rPr>
          <w:t xml:space="preserve">IX </w:t>
        </w:r>
      </w:hyperlink>
      <w:hyperlink w:anchor="_Toc468433944" w:history="1">
        <w:r w:rsidR="00F07165" w:rsidRPr="00D5464D">
          <w:rPr>
            <w:rStyle w:val="Hipervnculo"/>
            <w:rFonts w:eastAsia="Times New Roman" w:cs="Verdana"/>
            <w:bCs/>
            <w:caps/>
            <w:noProof/>
            <w:snapToGrid w:val="0"/>
            <w:sz w:val="20"/>
            <w:szCs w:val="20"/>
            <w:lang w:val="pt-BR" w:eastAsia="es-ES"/>
          </w:rPr>
          <w:t>REPARAÇÕES</w:t>
        </w:r>
        <w:r w:rsidR="00F07165" w:rsidRPr="00D5464D">
          <w:rPr>
            <w:noProof/>
            <w:webHidden/>
            <w:sz w:val="20"/>
            <w:szCs w:val="20"/>
          </w:rPr>
          <w:tab/>
        </w:r>
        <w:r w:rsidR="00F07165" w:rsidRPr="00D5464D">
          <w:rPr>
            <w:noProof/>
            <w:webHidden/>
            <w:sz w:val="20"/>
            <w:szCs w:val="20"/>
          </w:rPr>
          <w:fldChar w:fldCharType="begin"/>
        </w:r>
        <w:r w:rsidR="00F07165" w:rsidRPr="00D5464D">
          <w:rPr>
            <w:noProof/>
            <w:webHidden/>
            <w:sz w:val="20"/>
            <w:szCs w:val="20"/>
          </w:rPr>
          <w:instrText xml:space="preserve"> PAGEREF _Toc468433944 \h </w:instrText>
        </w:r>
        <w:r w:rsidR="00F07165" w:rsidRPr="00D5464D">
          <w:rPr>
            <w:noProof/>
            <w:webHidden/>
            <w:sz w:val="20"/>
            <w:szCs w:val="20"/>
          </w:rPr>
        </w:r>
        <w:r w:rsidR="00F07165" w:rsidRPr="00D5464D">
          <w:rPr>
            <w:noProof/>
            <w:webHidden/>
            <w:sz w:val="20"/>
            <w:szCs w:val="20"/>
          </w:rPr>
          <w:fldChar w:fldCharType="separate"/>
        </w:r>
        <w:r w:rsidR="004D2931">
          <w:rPr>
            <w:noProof/>
            <w:webHidden/>
            <w:sz w:val="20"/>
            <w:szCs w:val="20"/>
          </w:rPr>
          <w:t>108</w:t>
        </w:r>
        <w:r w:rsidR="00F07165" w:rsidRPr="00D5464D">
          <w:rPr>
            <w:noProof/>
            <w:webHidden/>
            <w:sz w:val="20"/>
            <w:szCs w:val="20"/>
          </w:rPr>
          <w:fldChar w:fldCharType="end"/>
        </w:r>
      </w:hyperlink>
    </w:p>
    <w:p w14:paraId="7E99241B" w14:textId="5230F37F" w:rsidR="00F07165" w:rsidRPr="00D5464D" w:rsidRDefault="00241CDD" w:rsidP="00F07165">
      <w:pPr>
        <w:pStyle w:val="TDC2"/>
        <w:tabs>
          <w:tab w:val="left" w:pos="1100"/>
        </w:tabs>
        <w:spacing w:after="40"/>
        <w:rPr>
          <w:rFonts w:eastAsiaTheme="minorEastAsia"/>
          <w:noProof/>
          <w:szCs w:val="20"/>
          <w:lang w:val="es-ES" w:eastAsia="es-ES"/>
        </w:rPr>
      </w:pPr>
      <w:hyperlink w:anchor="_Toc468433946" w:history="1">
        <w:r w:rsidR="00F07165" w:rsidRPr="00D5464D">
          <w:rPr>
            <w:rStyle w:val="Hipervnculo"/>
            <w:noProof/>
            <w:szCs w:val="20"/>
            <w:lang w:val="pt-BR"/>
          </w:rPr>
          <w:t>A.</w:t>
        </w:r>
        <w:r w:rsidR="001A5B3A" w:rsidRPr="00D5464D">
          <w:rPr>
            <w:rStyle w:val="Hipervnculo"/>
            <w:noProof/>
            <w:szCs w:val="20"/>
            <w:lang w:val="pt-BR"/>
          </w:rPr>
          <w:t xml:space="preserve"> </w:t>
        </w:r>
        <w:r w:rsidR="00F07165" w:rsidRPr="00D5464D">
          <w:rPr>
            <w:rStyle w:val="Hipervnculo"/>
            <w:noProof/>
            <w:szCs w:val="20"/>
            <w:lang w:val="pt-BR"/>
          </w:rPr>
          <w:t>Parte lesionada</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_Toc468433946 \h </w:instrText>
        </w:r>
        <w:r w:rsidR="00F07165" w:rsidRPr="00D5464D">
          <w:rPr>
            <w:noProof/>
            <w:webHidden/>
            <w:szCs w:val="20"/>
          </w:rPr>
        </w:r>
        <w:r w:rsidR="00F07165" w:rsidRPr="00D5464D">
          <w:rPr>
            <w:noProof/>
            <w:webHidden/>
            <w:szCs w:val="20"/>
          </w:rPr>
          <w:fldChar w:fldCharType="separate"/>
        </w:r>
        <w:r w:rsidR="004D2931">
          <w:rPr>
            <w:noProof/>
            <w:webHidden/>
            <w:szCs w:val="20"/>
          </w:rPr>
          <w:t>109</w:t>
        </w:r>
        <w:r w:rsidR="00F07165" w:rsidRPr="00D5464D">
          <w:rPr>
            <w:noProof/>
            <w:webHidden/>
            <w:szCs w:val="20"/>
          </w:rPr>
          <w:fldChar w:fldCharType="end"/>
        </w:r>
      </w:hyperlink>
    </w:p>
    <w:p w14:paraId="540B1E83" w14:textId="2DF6A2F9" w:rsidR="00F07165" w:rsidRPr="00D5464D" w:rsidRDefault="00241CDD" w:rsidP="00F07165">
      <w:pPr>
        <w:pStyle w:val="TDC2"/>
        <w:tabs>
          <w:tab w:val="left" w:pos="1100"/>
        </w:tabs>
        <w:spacing w:after="40"/>
        <w:rPr>
          <w:rFonts w:eastAsiaTheme="minorEastAsia"/>
          <w:noProof/>
          <w:szCs w:val="20"/>
          <w:lang w:val="es-ES" w:eastAsia="es-ES"/>
        </w:rPr>
      </w:pPr>
      <w:hyperlink w:anchor="_Toc468433947" w:history="1">
        <w:r w:rsidR="00F07165" w:rsidRPr="00D5464D">
          <w:rPr>
            <w:rStyle w:val="Hipervnculo"/>
            <w:noProof/>
            <w:szCs w:val="20"/>
            <w:lang w:val="pt-BR"/>
          </w:rPr>
          <w:t>B.</w:t>
        </w:r>
        <w:r w:rsidR="001A5B3A" w:rsidRPr="00D5464D">
          <w:rPr>
            <w:rStyle w:val="Hipervnculo"/>
            <w:noProof/>
            <w:szCs w:val="20"/>
            <w:lang w:val="pt-BR"/>
          </w:rPr>
          <w:t xml:space="preserve"> </w:t>
        </w:r>
        <w:r w:rsidR="00F07165" w:rsidRPr="00D5464D">
          <w:rPr>
            <w:rStyle w:val="Hipervnculo"/>
            <w:noProof/>
            <w:szCs w:val="20"/>
            <w:lang w:val="pt-BR"/>
          </w:rPr>
          <w:t>Medidas de Investigação</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_Toc468433947 \h </w:instrText>
        </w:r>
        <w:r w:rsidR="00F07165" w:rsidRPr="00D5464D">
          <w:rPr>
            <w:noProof/>
            <w:webHidden/>
            <w:szCs w:val="20"/>
          </w:rPr>
        </w:r>
        <w:r w:rsidR="00F07165" w:rsidRPr="00D5464D">
          <w:rPr>
            <w:noProof/>
            <w:webHidden/>
            <w:szCs w:val="20"/>
          </w:rPr>
          <w:fldChar w:fldCharType="separate"/>
        </w:r>
        <w:r w:rsidR="004D2931">
          <w:rPr>
            <w:noProof/>
            <w:webHidden/>
            <w:szCs w:val="20"/>
          </w:rPr>
          <w:t>110</w:t>
        </w:r>
        <w:r w:rsidR="00F07165" w:rsidRPr="00D5464D">
          <w:rPr>
            <w:noProof/>
            <w:webHidden/>
            <w:szCs w:val="20"/>
          </w:rPr>
          <w:fldChar w:fldCharType="end"/>
        </w:r>
      </w:hyperlink>
    </w:p>
    <w:p w14:paraId="499E676C" w14:textId="740F9FDB" w:rsidR="00F07165" w:rsidRPr="00D5464D" w:rsidRDefault="00241CDD" w:rsidP="00F07165">
      <w:pPr>
        <w:pStyle w:val="TDC2"/>
        <w:tabs>
          <w:tab w:val="left" w:pos="1100"/>
        </w:tabs>
        <w:spacing w:after="40"/>
        <w:rPr>
          <w:rFonts w:eastAsiaTheme="minorEastAsia"/>
          <w:noProof/>
          <w:szCs w:val="20"/>
          <w:lang w:val="es-ES" w:eastAsia="es-ES"/>
        </w:rPr>
      </w:pPr>
      <w:hyperlink w:anchor="_Toc468433948" w:history="1">
        <w:r w:rsidR="00F07165" w:rsidRPr="00D5464D">
          <w:rPr>
            <w:rStyle w:val="Hipervnculo"/>
            <w:noProof/>
            <w:szCs w:val="20"/>
            <w:lang w:val="pt-BR"/>
          </w:rPr>
          <w:t>C.</w:t>
        </w:r>
        <w:r w:rsidR="001A5B3A" w:rsidRPr="00D5464D">
          <w:rPr>
            <w:rStyle w:val="Hipervnculo"/>
            <w:noProof/>
            <w:szCs w:val="20"/>
            <w:lang w:val="pt-BR"/>
          </w:rPr>
          <w:t xml:space="preserve"> </w:t>
        </w:r>
        <w:r w:rsidR="00F07165" w:rsidRPr="00D5464D">
          <w:rPr>
            <w:rStyle w:val="Hipervnculo"/>
            <w:noProof/>
            <w:szCs w:val="20"/>
            <w:lang w:val="pt-BR"/>
          </w:rPr>
          <w:t>Medidas de satisfação e garantias de não repetição</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_Toc468433948 \h </w:instrText>
        </w:r>
        <w:r w:rsidR="00F07165" w:rsidRPr="00D5464D">
          <w:rPr>
            <w:noProof/>
            <w:webHidden/>
            <w:szCs w:val="20"/>
          </w:rPr>
        </w:r>
        <w:r w:rsidR="00F07165" w:rsidRPr="00D5464D">
          <w:rPr>
            <w:noProof/>
            <w:webHidden/>
            <w:szCs w:val="20"/>
          </w:rPr>
          <w:fldChar w:fldCharType="separate"/>
        </w:r>
        <w:r w:rsidR="004D2931">
          <w:rPr>
            <w:noProof/>
            <w:webHidden/>
            <w:szCs w:val="20"/>
          </w:rPr>
          <w:t>111</w:t>
        </w:r>
        <w:r w:rsidR="00F07165" w:rsidRPr="00D5464D">
          <w:rPr>
            <w:noProof/>
            <w:webHidden/>
            <w:szCs w:val="20"/>
          </w:rPr>
          <w:fldChar w:fldCharType="end"/>
        </w:r>
      </w:hyperlink>
    </w:p>
    <w:p w14:paraId="4818D837" w14:textId="0D937B98" w:rsidR="00F07165" w:rsidRPr="00D5464D" w:rsidRDefault="00241CDD" w:rsidP="00F07165">
      <w:pPr>
        <w:pStyle w:val="TDC2"/>
        <w:tabs>
          <w:tab w:val="left" w:pos="1100"/>
        </w:tabs>
        <w:spacing w:after="40"/>
        <w:rPr>
          <w:rFonts w:eastAsiaTheme="minorEastAsia"/>
          <w:noProof/>
          <w:szCs w:val="20"/>
          <w:lang w:val="es-ES" w:eastAsia="es-ES"/>
        </w:rPr>
      </w:pPr>
      <w:hyperlink w:anchor="_Toc468433954" w:history="1">
        <w:r w:rsidR="00F07165" w:rsidRPr="00D5464D">
          <w:rPr>
            <w:rStyle w:val="Hipervnculo"/>
            <w:noProof/>
            <w:szCs w:val="20"/>
            <w:lang w:val="pt-BR"/>
          </w:rPr>
          <w:t>D.</w:t>
        </w:r>
        <w:r w:rsidR="001A5B3A" w:rsidRPr="00D5464D">
          <w:rPr>
            <w:rStyle w:val="Hipervnculo"/>
            <w:noProof/>
            <w:szCs w:val="20"/>
            <w:lang w:val="pt-BR"/>
          </w:rPr>
          <w:t xml:space="preserve"> </w:t>
        </w:r>
        <w:r w:rsidR="00F07165" w:rsidRPr="00D5464D">
          <w:rPr>
            <w:rStyle w:val="Hipervnculo"/>
            <w:noProof/>
            <w:szCs w:val="20"/>
            <w:lang w:val="pt-BR"/>
          </w:rPr>
          <w:t>Outras medidas solicitadas</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_Toc468433954 \h </w:instrText>
        </w:r>
        <w:r w:rsidR="00F07165" w:rsidRPr="00D5464D">
          <w:rPr>
            <w:noProof/>
            <w:webHidden/>
            <w:szCs w:val="20"/>
          </w:rPr>
        </w:r>
        <w:r w:rsidR="00F07165" w:rsidRPr="00D5464D">
          <w:rPr>
            <w:noProof/>
            <w:webHidden/>
            <w:szCs w:val="20"/>
          </w:rPr>
          <w:fldChar w:fldCharType="separate"/>
        </w:r>
        <w:r w:rsidR="004D2931">
          <w:rPr>
            <w:noProof/>
            <w:webHidden/>
            <w:szCs w:val="20"/>
          </w:rPr>
          <w:t>117</w:t>
        </w:r>
        <w:r w:rsidR="00F07165" w:rsidRPr="00D5464D">
          <w:rPr>
            <w:noProof/>
            <w:webHidden/>
            <w:szCs w:val="20"/>
          </w:rPr>
          <w:fldChar w:fldCharType="end"/>
        </w:r>
      </w:hyperlink>
    </w:p>
    <w:p w14:paraId="7C2B912A" w14:textId="0DEEDEBD" w:rsidR="00F07165" w:rsidRPr="00D5464D" w:rsidRDefault="00241CDD" w:rsidP="00F07165">
      <w:pPr>
        <w:pStyle w:val="TDC2"/>
        <w:tabs>
          <w:tab w:val="left" w:pos="1100"/>
        </w:tabs>
        <w:spacing w:after="40"/>
        <w:rPr>
          <w:rFonts w:eastAsiaTheme="minorEastAsia"/>
          <w:noProof/>
          <w:szCs w:val="20"/>
          <w:lang w:val="es-ES" w:eastAsia="es-ES"/>
        </w:rPr>
      </w:pPr>
      <w:hyperlink w:anchor="_Toc468433955" w:history="1">
        <w:r w:rsidR="00F07165" w:rsidRPr="00D5464D">
          <w:rPr>
            <w:rStyle w:val="Hipervnculo"/>
            <w:noProof/>
            <w:szCs w:val="20"/>
            <w:lang w:val="pt-BR"/>
          </w:rPr>
          <w:t>E.</w:t>
        </w:r>
        <w:r w:rsidR="001A5B3A" w:rsidRPr="00D5464D">
          <w:rPr>
            <w:rStyle w:val="Hipervnculo"/>
            <w:noProof/>
            <w:szCs w:val="20"/>
            <w:lang w:val="pt-BR"/>
          </w:rPr>
          <w:t xml:space="preserve"> </w:t>
        </w:r>
        <w:r w:rsidR="00F07165" w:rsidRPr="00D5464D">
          <w:rPr>
            <w:rStyle w:val="Hipervnculo"/>
            <w:noProof/>
            <w:szCs w:val="20"/>
            <w:lang w:val="pt-BR"/>
          </w:rPr>
          <w:t>Indenização compensatória</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_Toc468433955 \h </w:instrText>
        </w:r>
        <w:r w:rsidR="00F07165" w:rsidRPr="00D5464D">
          <w:rPr>
            <w:noProof/>
            <w:webHidden/>
            <w:szCs w:val="20"/>
          </w:rPr>
        </w:r>
        <w:r w:rsidR="00F07165" w:rsidRPr="00D5464D">
          <w:rPr>
            <w:noProof/>
            <w:webHidden/>
            <w:szCs w:val="20"/>
          </w:rPr>
          <w:fldChar w:fldCharType="separate"/>
        </w:r>
        <w:r w:rsidR="004D2931">
          <w:rPr>
            <w:noProof/>
            <w:webHidden/>
            <w:szCs w:val="20"/>
          </w:rPr>
          <w:t>118</w:t>
        </w:r>
        <w:r w:rsidR="00F07165" w:rsidRPr="00D5464D">
          <w:rPr>
            <w:noProof/>
            <w:webHidden/>
            <w:szCs w:val="20"/>
          </w:rPr>
          <w:fldChar w:fldCharType="end"/>
        </w:r>
      </w:hyperlink>
    </w:p>
    <w:p w14:paraId="68D6BE59" w14:textId="7FB3A554" w:rsidR="00F07165" w:rsidRPr="00D5464D" w:rsidRDefault="00241CDD" w:rsidP="00F07165">
      <w:pPr>
        <w:pStyle w:val="TDC2"/>
        <w:tabs>
          <w:tab w:val="left" w:pos="1100"/>
        </w:tabs>
        <w:spacing w:after="40"/>
        <w:rPr>
          <w:rFonts w:eastAsiaTheme="minorEastAsia"/>
          <w:noProof/>
          <w:szCs w:val="20"/>
          <w:lang w:val="es-ES" w:eastAsia="es-ES"/>
        </w:rPr>
      </w:pPr>
      <w:hyperlink w:anchor="_Toc468433958" w:history="1">
        <w:r w:rsidR="00F07165" w:rsidRPr="00D5464D">
          <w:rPr>
            <w:rStyle w:val="Hipervnculo"/>
            <w:noProof/>
            <w:szCs w:val="20"/>
            <w:lang w:val="pt-BR"/>
          </w:rPr>
          <w:t>F.</w:t>
        </w:r>
        <w:r w:rsidR="001A5B3A" w:rsidRPr="00D5464D">
          <w:rPr>
            <w:rStyle w:val="Hipervnculo"/>
            <w:noProof/>
            <w:szCs w:val="20"/>
            <w:lang w:val="pt-BR"/>
          </w:rPr>
          <w:t xml:space="preserve"> </w:t>
        </w:r>
        <w:r w:rsidR="00F07165" w:rsidRPr="00D5464D">
          <w:rPr>
            <w:rStyle w:val="Hipervnculo"/>
            <w:noProof/>
            <w:szCs w:val="20"/>
            <w:lang w:val="pt-BR"/>
          </w:rPr>
          <w:t>Custas e gastos</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_Toc468433958 \h </w:instrText>
        </w:r>
        <w:r w:rsidR="00F07165" w:rsidRPr="00D5464D">
          <w:rPr>
            <w:noProof/>
            <w:webHidden/>
            <w:szCs w:val="20"/>
          </w:rPr>
        </w:r>
        <w:r w:rsidR="00F07165" w:rsidRPr="00D5464D">
          <w:rPr>
            <w:noProof/>
            <w:webHidden/>
            <w:szCs w:val="20"/>
          </w:rPr>
          <w:fldChar w:fldCharType="separate"/>
        </w:r>
        <w:r w:rsidR="004D2931">
          <w:rPr>
            <w:noProof/>
            <w:webHidden/>
            <w:szCs w:val="20"/>
          </w:rPr>
          <w:t>119</w:t>
        </w:r>
        <w:r w:rsidR="00F07165" w:rsidRPr="00D5464D">
          <w:rPr>
            <w:noProof/>
            <w:webHidden/>
            <w:szCs w:val="20"/>
          </w:rPr>
          <w:fldChar w:fldCharType="end"/>
        </w:r>
      </w:hyperlink>
    </w:p>
    <w:p w14:paraId="11515BCA" w14:textId="3CFA8D98" w:rsidR="00F07165" w:rsidRPr="00D5464D" w:rsidRDefault="00241CDD" w:rsidP="00F07165">
      <w:pPr>
        <w:pStyle w:val="TDC2"/>
        <w:tabs>
          <w:tab w:val="left" w:pos="1100"/>
        </w:tabs>
        <w:spacing w:after="40"/>
        <w:rPr>
          <w:rFonts w:eastAsiaTheme="minorEastAsia"/>
          <w:noProof/>
          <w:szCs w:val="20"/>
          <w:lang w:val="es-ES" w:eastAsia="es-ES"/>
        </w:rPr>
      </w:pPr>
      <w:hyperlink w:anchor="_Toc468433959" w:history="1">
        <w:r w:rsidR="00F07165" w:rsidRPr="00D5464D">
          <w:rPr>
            <w:rStyle w:val="Hipervnculo"/>
            <w:noProof/>
            <w:szCs w:val="20"/>
            <w:lang w:val="pt-BR"/>
          </w:rPr>
          <w:t>G.</w:t>
        </w:r>
        <w:r w:rsidR="001A5B3A" w:rsidRPr="00D5464D">
          <w:rPr>
            <w:rStyle w:val="Hipervnculo"/>
            <w:noProof/>
            <w:szCs w:val="20"/>
            <w:lang w:val="pt-BR"/>
          </w:rPr>
          <w:t xml:space="preserve"> </w:t>
        </w:r>
        <w:r w:rsidR="00F07165" w:rsidRPr="00D5464D">
          <w:rPr>
            <w:rStyle w:val="Hipervnculo"/>
            <w:noProof/>
            <w:szCs w:val="20"/>
            <w:lang w:val="pt-BR"/>
          </w:rPr>
          <w:t>Modalidade de cumprimento dos pagamentos ordenados</w:t>
        </w:r>
        <w:r w:rsidR="00F07165" w:rsidRPr="00D5464D">
          <w:rPr>
            <w:noProof/>
            <w:webHidden/>
            <w:szCs w:val="20"/>
          </w:rPr>
          <w:tab/>
        </w:r>
        <w:r w:rsidR="00F07165" w:rsidRPr="00D5464D">
          <w:rPr>
            <w:noProof/>
            <w:webHidden/>
            <w:szCs w:val="20"/>
          </w:rPr>
          <w:fldChar w:fldCharType="begin"/>
        </w:r>
        <w:r w:rsidR="00F07165" w:rsidRPr="00D5464D">
          <w:rPr>
            <w:noProof/>
            <w:webHidden/>
            <w:szCs w:val="20"/>
          </w:rPr>
          <w:instrText xml:space="preserve"> PAGEREF _Toc468433959 \h </w:instrText>
        </w:r>
        <w:r w:rsidR="00F07165" w:rsidRPr="00D5464D">
          <w:rPr>
            <w:noProof/>
            <w:webHidden/>
            <w:szCs w:val="20"/>
          </w:rPr>
        </w:r>
        <w:r w:rsidR="00F07165" w:rsidRPr="00D5464D">
          <w:rPr>
            <w:noProof/>
            <w:webHidden/>
            <w:szCs w:val="20"/>
          </w:rPr>
          <w:fldChar w:fldCharType="separate"/>
        </w:r>
        <w:r w:rsidR="004D2931">
          <w:rPr>
            <w:noProof/>
            <w:webHidden/>
            <w:szCs w:val="20"/>
          </w:rPr>
          <w:t>120</w:t>
        </w:r>
        <w:r w:rsidR="00F07165" w:rsidRPr="00D5464D">
          <w:rPr>
            <w:noProof/>
            <w:webHidden/>
            <w:szCs w:val="20"/>
          </w:rPr>
          <w:fldChar w:fldCharType="end"/>
        </w:r>
      </w:hyperlink>
    </w:p>
    <w:p w14:paraId="793B06BB" w14:textId="4F3F5D0B" w:rsidR="00F07165" w:rsidRPr="00D5464D" w:rsidRDefault="00241CDD" w:rsidP="00F07165">
      <w:pPr>
        <w:pStyle w:val="TDC1"/>
        <w:spacing w:after="40"/>
        <w:rPr>
          <w:rFonts w:eastAsiaTheme="minorEastAsia"/>
          <w:b w:val="0"/>
          <w:noProof/>
          <w:sz w:val="20"/>
          <w:szCs w:val="20"/>
          <w:lang w:val="es-ES" w:eastAsia="es-ES"/>
        </w:rPr>
      </w:pPr>
      <w:hyperlink w:anchor="_Toc468433960" w:history="1">
        <w:r w:rsidR="00F07165" w:rsidRPr="00D5464D">
          <w:rPr>
            <w:rStyle w:val="Hipervnculo"/>
            <w:rFonts w:eastAsia="Cambria" w:cs="Verdana"/>
            <w:bCs/>
            <w:caps/>
            <w:noProof/>
            <w:snapToGrid w:val="0"/>
            <w:kern w:val="32"/>
            <w:sz w:val="20"/>
            <w:szCs w:val="20"/>
            <w:lang w:val="pt-BR"/>
          </w:rPr>
          <w:t>X PONTOS RESOLUTIVOS</w:t>
        </w:r>
        <w:r w:rsidR="00F07165" w:rsidRPr="00D5464D">
          <w:rPr>
            <w:noProof/>
            <w:webHidden/>
            <w:sz w:val="20"/>
            <w:szCs w:val="20"/>
          </w:rPr>
          <w:tab/>
        </w:r>
        <w:r w:rsidR="00F07165" w:rsidRPr="00D5464D">
          <w:rPr>
            <w:noProof/>
            <w:webHidden/>
            <w:sz w:val="20"/>
            <w:szCs w:val="20"/>
          </w:rPr>
          <w:fldChar w:fldCharType="begin"/>
        </w:r>
        <w:r w:rsidR="00F07165" w:rsidRPr="00D5464D">
          <w:rPr>
            <w:noProof/>
            <w:webHidden/>
            <w:sz w:val="20"/>
            <w:szCs w:val="20"/>
          </w:rPr>
          <w:instrText xml:space="preserve"> PAGEREF _Toc468433960 \h </w:instrText>
        </w:r>
        <w:r w:rsidR="00F07165" w:rsidRPr="00D5464D">
          <w:rPr>
            <w:noProof/>
            <w:webHidden/>
            <w:sz w:val="20"/>
            <w:szCs w:val="20"/>
          </w:rPr>
        </w:r>
        <w:r w:rsidR="00F07165" w:rsidRPr="00D5464D">
          <w:rPr>
            <w:noProof/>
            <w:webHidden/>
            <w:sz w:val="20"/>
            <w:szCs w:val="20"/>
          </w:rPr>
          <w:fldChar w:fldCharType="separate"/>
        </w:r>
        <w:r w:rsidR="004D2931">
          <w:rPr>
            <w:noProof/>
            <w:webHidden/>
            <w:sz w:val="20"/>
            <w:szCs w:val="20"/>
          </w:rPr>
          <w:t>121</w:t>
        </w:r>
        <w:r w:rsidR="00F07165" w:rsidRPr="00D5464D">
          <w:rPr>
            <w:noProof/>
            <w:webHidden/>
            <w:sz w:val="20"/>
            <w:szCs w:val="20"/>
          </w:rPr>
          <w:fldChar w:fldCharType="end"/>
        </w:r>
      </w:hyperlink>
    </w:p>
    <w:p w14:paraId="3CB63287" w14:textId="5E151D39" w:rsidR="00BA1ACF" w:rsidRPr="00D5464D" w:rsidRDefault="00FF5DA8" w:rsidP="00F07165">
      <w:pPr>
        <w:pStyle w:val="Ttulo1"/>
        <w:tabs>
          <w:tab w:val="center" w:pos="0"/>
        </w:tabs>
        <w:spacing w:before="0" w:after="40"/>
        <w:rPr>
          <w:rFonts w:eastAsia="Batang" w:cs="Times"/>
          <w:sz w:val="18"/>
          <w:szCs w:val="18"/>
          <w:lang w:val="pt-BR"/>
        </w:rPr>
      </w:pPr>
      <w:r w:rsidRPr="00D5464D">
        <w:rPr>
          <w:rFonts w:eastAsia="Batang" w:cs="Times"/>
          <w:lang w:val="pt-BR"/>
        </w:rPr>
        <w:fldChar w:fldCharType="end"/>
      </w:r>
      <w:r w:rsidR="00BA1ACF" w:rsidRPr="00D5464D">
        <w:rPr>
          <w:sz w:val="18"/>
          <w:szCs w:val="18"/>
          <w:lang w:val="pt-BR"/>
        </w:rPr>
        <w:br w:type="page"/>
      </w:r>
      <w:bookmarkStart w:id="0" w:name="_Toc369989729"/>
      <w:bookmarkStart w:id="1" w:name="_Toc404770054"/>
      <w:bookmarkStart w:id="2" w:name="_Toc416164784"/>
      <w:bookmarkStart w:id="3" w:name="_Toc468433845"/>
      <w:r w:rsidR="00BA1ACF" w:rsidRPr="00D5464D">
        <w:rPr>
          <w:lang w:val="pt-BR"/>
        </w:rPr>
        <w:t>I</w:t>
      </w:r>
      <w:bookmarkStart w:id="4" w:name="_Toc288744729"/>
      <w:r w:rsidR="00BA1ACF" w:rsidRPr="00D5464D">
        <w:rPr>
          <w:color w:val="FFFFFF"/>
          <w:lang w:val="pt-BR"/>
        </w:rPr>
        <w:t>.</w:t>
      </w:r>
      <w:r w:rsidR="00BA1ACF" w:rsidRPr="00D5464D">
        <w:rPr>
          <w:lang w:val="pt-BR"/>
        </w:rPr>
        <w:br/>
      </w:r>
      <w:r w:rsidR="002C330E" w:rsidRPr="00D5464D">
        <w:rPr>
          <w:lang w:val="pt-BR"/>
        </w:rPr>
        <w:t>INTRODUÇÃO</w:t>
      </w:r>
      <w:r w:rsidR="00470ADC" w:rsidRPr="00D5464D">
        <w:rPr>
          <w:lang w:val="pt-BR"/>
        </w:rPr>
        <w:t xml:space="preserve"> da </w:t>
      </w:r>
      <w:r w:rsidR="00BA1ACF" w:rsidRPr="00D5464D">
        <w:rPr>
          <w:lang w:val="pt-BR"/>
        </w:rPr>
        <w:t>CAUSA</w:t>
      </w:r>
      <w:r w:rsidR="00E045D9" w:rsidRPr="00D5464D">
        <w:rPr>
          <w:lang w:val="pt-BR"/>
        </w:rPr>
        <w:t xml:space="preserve"> e </w:t>
      </w:r>
      <w:r w:rsidR="00BA1ACF" w:rsidRPr="00D5464D">
        <w:rPr>
          <w:lang w:val="pt-BR"/>
        </w:rPr>
        <w:t>OBJETO</w:t>
      </w:r>
      <w:r w:rsidR="00470ADC" w:rsidRPr="00D5464D">
        <w:rPr>
          <w:lang w:val="pt-BR"/>
        </w:rPr>
        <w:t xml:space="preserve"> da CONTROVÉRSIA</w:t>
      </w:r>
      <w:bookmarkEnd w:id="0"/>
      <w:bookmarkEnd w:id="1"/>
      <w:bookmarkEnd w:id="2"/>
      <w:bookmarkEnd w:id="3"/>
      <w:bookmarkEnd w:id="4"/>
    </w:p>
    <w:p w14:paraId="785560E1" w14:textId="77777777" w:rsidR="0040316B" w:rsidRPr="00D5464D" w:rsidRDefault="0040316B" w:rsidP="0040316B">
      <w:pPr>
        <w:tabs>
          <w:tab w:val="clear" w:pos="4419"/>
          <w:tab w:val="clear" w:pos="8838"/>
          <w:tab w:val="left" w:pos="540"/>
        </w:tabs>
        <w:autoSpaceDE w:val="0"/>
        <w:autoSpaceDN w:val="0"/>
        <w:adjustRightInd w:val="0"/>
        <w:ind w:right="4"/>
        <w:jc w:val="both"/>
        <w:rPr>
          <w:rFonts w:eastAsia="Batang" w:cs="Times"/>
          <w:szCs w:val="24"/>
          <w:lang w:val="pt-BR"/>
        </w:rPr>
      </w:pPr>
    </w:p>
    <w:p w14:paraId="5961C9F2" w14:textId="29D7FFFA" w:rsidR="00BA1ACF" w:rsidRPr="00D5464D" w:rsidRDefault="00470ADC" w:rsidP="00140440">
      <w:pPr>
        <w:numPr>
          <w:ilvl w:val="0"/>
          <w:numId w:val="1"/>
        </w:numPr>
        <w:tabs>
          <w:tab w:val="clear" w:pos="4419"/>
          <w:tab w:val="clear" w:pos="8838"/>
          <w:tab w:val="left" w:pos="540"/>
        </w:tabs>
        <w:autoSpaceDE w:val="0"/>
        <w:autoSpaceDN w:val="0"/>
        <w:adjustRightInd w:val="0"/>
        <w:ind w:right="4"/>
        <w:jc w:val="both"/>
        <w:rPr>
          <w:rFonts w:eastAsia="Batang" w:cs="Times"/>
          <w:szCs w:val="24"/>
          <w:lang w:val="pt-BR"/>
        </w:rPr>
      </w:pPr>
      <w:r w:rsidRPr="00D5464D">
        <w:rPr>
          <w:rFonts w:eastAsia="Batang" w:cs="Times"/>
          <w:szCs w:val="24"/>
          <w:lang w:val="pt-BR" w:eastAsia="es-ES"/>
        </w:rPr>
        <w:t xml:space="preserve">O </w:t>
      </w:r>
      <w:r w:rsidR="00BA1ACF" w:rsidRPr="00D5464D">
        <w:rPr>
          <w:rFonts w:eastAsia="Batang" w:cs="Times"/>
          <w:i/>
          <w:szCs w:val="20"/>
          <w:lang w:val="pt-BR"/>
        </w:rPr>
        <w:t xml:space="preserve">caso </w:t>
      </w:r>
      <w:r w:rsidR="002C330E" w:rsidRPr="00D5464D">
        <w:rPr>
          <w:rFonts w:eastAsia="Batang" w:cs="Times"/>
          <w:i/>
          <w:szCs w:val="24"/>
          <w:lang w:val="pt-BR"/>
        </w:rPr>
        <w:t>submetido</w:t>
      </w:r>
      <w:r w:rsidRPr="00D5464D">
        <w:rPr>
          <w:rFonts w:eastAsia="Batang" w:cs="Times"/>
          <w:i/>
          <w:szCs w:val="20"/>
          <w:lang w:val="pt-BR"/>
        </w:rPr>
        <w:t xml:space="preserve"> à </w:t>
      </w:r>
      <w:r w:rsidR="00BA1ACF" w:rsidRPr="00D5464D">
        <w:rPr>
          <w:rFonts w:eastAsia="Batang" w:cs="Times"/>
          <w:i/>
          <w:szCs w:val="20"/>
          <w:lang w:val="pt-BR"/>
        </w:rPr>
        <w:t xml:space="preserve">Corte. </w:t>
      </w:r>
      <w:r w:rsidR="00BA1ACF" w:rsidRPr="00D5464D">
        <w:rPr>
          <w:rFonts w:eastAsia="Calibri" w:cs="Times"/>
          <w:szCs w:val="20"/>
          <w:lang w:val="pt-BR"/>
        </w:rPr>
        <w:t>–</w:t>
      </w:r>
      <w:r w:rsidR="0040316B" w:rsidRPr="00D5464D">
        <w:rPr>
          <w:rFonts w:eastAsia="Calibri" w:cs="Times"/>
          <w:szCs w:val="20"/>
          <w:lang w:val="pt-BR"/>
        </w:rPr>
        <w:t xml:space="preserve"> E</w:t>
      </w:r>
      <w:r w:rsidR="002C330E" w:rsidRPr="00D5464D">
        <w:rPr>
          <w:rFonts w:eastAsia="Calibri" w:cs="Times"/>
          <w:szCs w:val="20"/>
          <w:lang w:val="pt-BR"/>
        </w:rPr>
        <w:t>m 4</w:t>
      </w:r>
      <w:bookmarkStart w:id="5" w:name="_Ref363651855"/>
      <w:r w:rsidR="00BA1ACF" w:rsidRPr="00D5464D">
        <w:rPr>
          <w:rFonts w:eastAsia="Batang" w:cs="Times"/>
          <w:szCs w:val="24"/>
          <w:lang w:val="pt-BR"/>
        </w:rPr>
        <w:t xml:space="preserve"> de </w:t>
      </w:r>
      <w:r w:rsidR="002C330E" w:rsidRPr="00D5464D">
        <w:rPr>
          <w:rFonts w:eastAsia="Batang" w:cs="Times"/>
          <w:szCs w:val="24"/>
          <w:lang w:val="pt-BR"/>
        </w:rPr>
        <w:t>março</w:t>
      </w:r>
      <w:r w:rsidR="00BA1ACF" w:rsidRPr="00D5464D">
        <w:rPr>
          <w:rFonts w:eastAsia="Batang" w:cs="Times"/>
          <w:szCs w:val="24"/>
          <w:lang w:val="pt-BR"/>
        </w:rPr>
        <w:t xml:space="preserve"> de 2015,</w:t>
      </w:r>
      <w:r w:rsidR="002C330E" w:rsidRPr="00D5464D">
        <w:rPr>
          <w:rFonts w:eastAsia="Batang" w:cs="Times"/>
          <w:szCs w:val="24"/>
          <w:lang w:val="pt-BR"/>
        </w:rPr>
        <w:t xml:space="preserve"> a </w:t>
      </w:r>
      <w:r w:rsidRPr="00D5464D">
        <w:rPr>
          <w:rFonts w:eastAsia="Batang" w:cs="Times"/>
          <w:szCs w:val="24"/>
          <w:lang w:val="pt-BR"/>
        </w:rPr>
        <w:t>Comissão</w:t>
      </w:r>
      <w:r w:rsidR="00BA1ACF" w:rsidRPr="00D5464D">
        <w:rPr>
          <w:rFonts w:eastAsia="Batang" w:cs="Times"/>
          <w:szCs w:val="24"/>
          <w:lang w:val="pt-BR"/>
        </w:rPr>
        <w:t xml:space="preserve"> Interamericana de </w:t>
      </w:r>
      <w:r w:rsidRPr="00D5464D">
        <w:rPr>
          <w:rFonts w:eastAsia="Batang" w:cs="Times"/>
          <w:szCs w:val="24"/>
          <w:lang w:val="pt-BR"/>
        </w:rPr>
        <w:t>Direito</w:t>
      </w:r>
      <w:r w:rsidR="00BA1ACF" w:rsidRPr="00D5464D">
        <w:rPr>
          <w:rFonts w:eastAsia="Batang" w:cs="Times"/>
          <w:szCs w:val="24"/>
          <w:lang w:val="pt-BR"/>
        </w:rPr>
        <w:t>s Humanos (</w:t>
      </w:r>
      <w:r w:rsidR="00350187" w:rsidRPr="00D5464D">
        <w:rPr>
          <w:rFonts w:eastAsia="Batang" w:cs="Times"/>
          <w:szCs w:val="24"/>
          <w:lang w:val="pt-BR"/>
        </w:rPr>
        <w:t xml:space="preserve">doravante </w:t>
      </w:r>
      <w:r w:rsidR="00C91CB1" w:rsidRPr="00D5464D">
        <w:rPr>
          <w:rFonts w:eastAsia="Batang" w:cs="Times"/>
          <w:szCs w:val="24"/>
          <w:lang w:val="pt-BR"/>
        </w:rPr>
        <w:t>denominada “a</w:t>
      </w:r>
      <w:r w:rsidRPr="00D5464D">
        <w:rPr>
          <w:rFonts w:eastAsia="Batang" w:cs="Times"/>
          <w:szCs w:val="24"/>
          <w:lang w:val="pt-BR"/>
        </w:rPr>
        <w:t xml:space="preserve"> Comissão</w:t>
      </w:r>
      <w:r w:rsidR="00BA1ACF" w:rsidRPr="00D5464D">
        <w:rPr>
          <w:rFonts w:eastAsia="Batang" w:cs="Times"/>
          <w:szCs w:val="24"/>
          <w:lang w:val="pt-BR"/>
        </w:rPr>
        <w:t xml:space="preserve"> Interamericana</w:t>
      </w:r>
      <w:r w:rsidRPr="00D5464D">
        <w:rPr>
          <w:rFonts w:eastAsia="Batang" w:cs="Times"/>
          <w:szCs w:val="24"/>
          <w:lang w:val="pt-BR"/>
        </w:rPr>
        <w:t>” ou “a Comissão</w:t>
      </w:r>
      <w:r w:rsidR="00BA1ACF" w:rsidRPr="00D5464D">
        <w:rPr>
          <w:rFonts w:eastAsia="Batang" w:cs="Times"/>
          <w:szCs w:val="24"/>
          <w:lang w:val="pt-BR"/>
        </w:rPr>
        <w:t xml:space="preserve">”) </w:t>
      </w:r>
      <w:r w:rsidR="002C330E" w:rsidRPr="00D5464D">
        <w:rPr>
          <w:rFonts w:eastAsia="Batang" w:cs="Times"/>
          <w:szCs w:val="24"/>
          <w:lang w:val="pt-BR"/>
        </w:rPr>
        <w:t>submeteu</w:t>
      </w:r>
      <w:r w:rsidRPr="00D5464D">
        <w:rPr>
          <w:rFonts w:eastAsia="Batang" w:cs="Times"/>
          <w:szCs w:val="24"/>
          <w:lang w:val="pt-BR"/>
        </w:rPr>
        <w:t xml:space="preserve"> à </w:t>
      </w:r>
      <w:r w:rsidR="00BA1ACF" w:rsidRPr="00D5464D">
        <w:rPr>
          <w:rFonts w:eastAsia="Batang" w:cs="Times"/>
          <w:szCs w:val="24"/>
          <w:lang w:val="pt-BR"/>
        </w:rPr>
        <w:t>Corte</w:t>
      </w:r>
      <w:r w:rsidRPr="00D5464D">
        <w:rPr>
          <w:rFonts w:eastAsia="Batang" w:cs="Times"/>
          <w:szCs w:val="24"/>
          <w:lang w:val="pt-BR"/>
        </w:rPr>
        <w:t xml:space="preserve"> o </w:t>
      </w:r>
      <w:r w:rsidR="00BA1ACF" w:rsidRPr="00D5464D">
        <w:rPr>
          <w:rFonts w:eastAsia="Batang" w:cs="Times"/>
          <w:szCs w:val="24"/>
          <w:lang w:val="pt-BR"/>
        </w:rPr>
        <w:t xml:space="preserve">caso </w:t>
      </w:r>
      <w:r w:rsidR="00E045D9" w:rsidRPr="00D5464D">
        <w:rPr>
          <w:rFonts w:eastAsia="Batang" w:cs="Times"/>
          <w:i/>
          <w:szCs w:val="24"/>
          <w:lang w:val="pt-BR"/>
        </w:rPr>
        <w:t>Trabalhadores</w:t>
      </w:r>
      <w:r w:rsidRPr="00D5464D">
        <w:rPr>
          <w:rFonts w:eastAsia="Batang" w:cs="Times"/>
          <w:i/>
          <w:szCs w:val="24"/>
          <w:lang w:val="pt-BR"/>
        </w:rPr>
        <w:t xml:space="preserve"> da </w:t>
      </w:r>
      <w:r w:rsidR="00D809F0" w:rsidRPr="00D5464D">
        <w:rPr>
          <w:rFonts w:eastAsia="Batang" w:cs="Times"/>
          <w:i/>
          <w:szCs w:val="24"/>
          <w:lang w:val="pt-BR"/>
        </w:rPr>
        <w:t>Fazenda</w:t>
      </w:r>
      <w:r w:rsidR="00B64BE7" w:rsidRPr="00D5464D">
        <w:rPr>
          <w:rFonts w:eastAsia="Batang" w:cs="Times"/>
          <w:i/>
          <w:szCs w:val="24"/>
          <w:lang w:val="pt-BR"/>
        </w:rPr>
        <w:t xml:space="preserve"> </w:t>
      </w:r>
      <w:r w:rsidR="00BA1ACF" w:rsidRPr="00D5464D">
        <w:rPr>
          <w:rFonts w:eastAsia="Batang" w:cs="Times"/>
          <w:i/>
          <w:szCs w:val="24"/>
          <w:lang w:val="pt-BR"/>
        </w:rPr>
        <w:t>Brasil Verde contra</w:t>
      </w:r>
      <w:r w:rsidR="002C330E" w:rsidRPr="00D5464D">
        <w:rPr>
          <w:rFonts w:eastAsia="Batang" w:cs="Times"/>
          <w:i/>
          <w:szCs w:val="24"/>
          <w:lang w:val="pt-BR"/>
        </w:rPr>
        <w:t xml:space="preserve"> a </w:t>
      </w:r>
      <w:r w:rsidR="00BA1ACF" w:rsidRPr="00D5464D">
        <w:rPr>
          <w:rFonts w:eastAsia="Batang" w:cs="Times"/>
          <w:i/>
          <w:szCs w:val="24"/>
          <w:lang w:val="pt-BR"/>
        </w:rPr>
        <w:t xml:space="preserve">República </w:t>
      </w:r>
      <w:r w:rsidRPr="00D5464D">
        <w:rPr>
          <w:rFonts w:eastAsia="Batang" w:cs="Times"/>
          <w:i/>
          <w:szCs w:val="24"/>
          <w:lang w:val="pt-BR"/>
        </w:rPr>
        <w:t>Federativa do Brasil</w:t>
      </w:r>
      <w:r w:rsidR="00BA1ACF" w:rsidRPr="00D5464D">
        <w:rPr>
          <w:rFonts w:eastAsia="Batang" w:cs="Times"/>
          <w:i/>
          <w:szCs w:val="24"/>
          <w:lang w:val="pt-BR"/>
        </w:rPr>
        <w:t xml:space="preserve"> </w:t>
      </w:r>
      <w:r w:rsidR="00BA1ACF" w:rsidRPr="00D5464D">
        <w:rPr>
          <w:rFonts w:eastAsia="Batang" w:cs="Times"/>
          <w:szCs w:val="24"/>
          <w:lang w:val="pt-BR"/>
        </w:rPr>
        <w:t>(</w:t>
      </w:r>
      <w:r w:rsidR="00350187" w:rsidRPr="00D5464D">
        <w:rPr>
          <w:rFonts w:eastAsia="Batang" w:cs="Times"/>
          <w:szCs w:val="24"/>
          <w:lang w:val="pt-BR"/>
        </w:rPr>
        <w:t xml:space="preserve">doravante </w:t>
      </w:r>
      <w:r w:rsidR="00C91CB1" w:rsidRPr="00D5464D">
        <w:rPr>
          <w:rFonts w:eastAsia="Batang" w:cs="Times"/>
          <w:szCs w:val="24"/>
          <w:lang w:val="pt-BR"/>
        </w:rPr>
        <w:t>denominado “o</w:t>
      </w:r>
      <w:r w:rsidRPr="00D5464D">
        <w:rPr>
          <w:rFonts w:eastAsia="Batang" w:cs="Times"/>
          <w:szCs w:val="24"/>
          <w:lang w:val="pt-BR"/>
        </w:rPr>
        <w:t xml:space="preserve"> </w:t>
      </w:r>
      <w:r w:rsidR="00BA1ACF" w:rsidRPr="00D5464D">
        <w:rPr>
          <w:rFonts w:eastAsia="Batang" w:cs="Times"/>
          <w:szCs w:val="24"/>
          <w:lang w:val="pt-BR"/>
        </w:rPr>
        <w:t>Estado</w:t>
      </w:r>
      <w:r w:rsidRPr="00D5464D">
        <w:rPr>
          <w:rFonts w:eastAsia="Batang" w:cs="Times"/>
          <w:szCs w:val="24"/>
          <w:lang w:val="pt-BR"/>
        </w:rPr>
        <w:t>” ou “</w:t>
      </w:r>
      <w:r w:rsidR="00BA1ACF" w:rsidRPr="00D5464D">
        <w:rPr>
          <w:rFonts w:eastAsia="Batang" w:cs="Times"/>
          <w:szCs w:val="24"/>
          <w:lang w:val="pt-BR"/>
        </w:rPr>
        <w:t>Brasil”)</w:t>
      </w:r>
      <w:r w:rsidR="00A1358C" w:rsidRPr="00D5464D">
        <w:rPr>
          <w:rFonts w:eastAsia="Batang" w:cs="Times"/>
          <w:szCs w:val="24"/>
          <w:lang w:val="pt-BR"/>
        </w:rPr>
        <w:t xml:space="preserve">. O </w:t>
      </w:r>
      <w:r w:rsidR="00BA1ACF" w:rsidRPr="00D5464D">
        <w:rPr>
          <w:rFonts w:eastAsia="Batang" w:cs="Times"/>
          <w:szCs w:val="24"/>
          <w:lang w:val="pt-BR"/>
        </w:rPr>
        <w:t xml:space="preserve">caso se </w:t>
      </w:r>
      <w:r w:rsidR="00CD24B0" w:rsidRPr="00D5464D">
        <w:rPr>
          <w:rFonts w:eastAsia="Batang" w:cs="Times"/>
          <w:szCs w:val="24"/>
          <w:lang w:val="pt-BR"/>
        </w:rPr>
        <w:t>refere à</w:t>
      </w:r>
      <w:r w:rsidR="00FF1290" w:rsidRPr="00D5464D">
        <w:rPr>
          <w:rFonts w:eastAsia="Batang" w:cs="Times"/>
          <w:szCs w:val="24"/>
          <w:lang w:val="pt-BR"/>
        </w:rPr>
        <w:t xml:space="preserve"> </w:t>
      </w:r>
      <w:r w:rsidR="00BA1ACF" w:rsidRPr="00D5464D">
        <w:rPr>
          <w:rFonts w:eastAsia="Batang" w:cs="Times"/>
          <w:szCs w:val="24"/>
          <w:lang w:val="pt-BR"/>
        </w:rPr>
        <w:t>su</w:t>
      </w:r>
      <w:r w:rsidR="002C330E" w:rsidRPr="00D5464D">
        <w:rPr>
          <w:rFonts w:eastAsia="Batang" w:cs="Times"/>
          <w:szCs w:val="24"/>
          <w:lang w:val="pt-BR"/>
        </w:rPr>
        <w:t>posta</w:t>
      </w:r>
      <w:r w:rsidR="00BA1ACF" w:rsidRPr="00D5464D">
        <w:rPr>
          <w:rFonts w:eastAsia="Batang" w:cs="Times"/>
          <w:szCs w:val="24"/>
          <w:lang w:val="pt-BR"/>
        </w:rPr>
        <w:t xml:space="preserve"> </w:t>
      </w:r>
      <w:r w:rsidR="002C330E" w:rsidRPr="00D5464D">
        <w:rPr>
          <w:rFonts w:eastAsia="Batang" w:cs="Times"/>
          <w:szCs w:val="24"/>
          <w:lang w:val="pt-BR"/>
        </w:rPr>
        <w:t>prática</w:t>
      </w:r>
      <w:r w:rsidR="00BA1ACF" w:rsidRPr="00D5464D">
        <w:rPr>
          <w:rFonts w:eastAsia="Batang" w:cs="Times"/>
          <w:szCs w:val="24"/>
          <w:lang w:val="pt-BR"/>
        </w:rPr>
        <w:t xml:space="preserve"> de </w:t>
      </w:r>
      <w:r w:rsidR="00E045D9" w:rsidRPr="00D5464D">
        <w:rPr>
          <w:rFonts w:eastAsia="Batang" w:cs="Times"/>
          <w:szCs w:val="24"/>
          <w:lang w:val="pt-BR"/>
        </w:rPr>
        <w:t>trabalho</w:t>
      </w:r>
      <w:r w:rsidR="001B63D0" w:rsidRPr="00D5464D">
        <w:rPr>
          <w:rFonts w:eastAsia="Batang" w:cs="Times"/>
          <w:szCs w:val="24"/>
          <w:lang w:val="pt-BR"/>
        </w:rPr>
        <w:t xml:space="preserve"> </w:t>
      </w:r>
      <w:r w:rsidR="00230C71" w:rsidRPr="00D5464D">
        <w:rPr>
          <w:rFonts w:eastAsia="Batang" w:cs="Times"/>
          <w:szCs w:val="24"/>
          <w:lang w:val="pt-BR"/>
        </w:rPr>
        <w:t>forçado</w:t>
      </w:r>
      <w:r w:rsidR="00E045D9" w:rsidRPr="00D5464D">
        <w:rPr>
          <w:rFonts w:eastAsia="Batang" w:cs="Times"/>
          <w:szCs w:val="24"/>
          <w:lang w:val="pt-BR"/>
        </w:rPr>
        <w:t xml:space="preserve"> e </w:t>
      </w:r>
      <w:r w:rsidR="000B376D" w:rsidRPr="00D5464D">
        <w:rPr>
          <w:rFonts w:eastAsia="Batang" w:cs="Times"/>
          <w:szCs w:val="24"/>
          <w:lang w:val="pt-BR"/>
        </w:rPr>
        <w:t>servidão</w:t>
      </w:r>
      <w:r w:rsidR="00BA1ACF" w:rsidRPr="00D5464D">
        <w:rPr>
          <w:rFonts w:eastAsia="Batang" w:cs="Times"/>
          <w:szCs w:val="24"/>
          <w:lang w:val="pt-BR"/>
        </w:rPr>
        <w:t xml:space="preserve"> por </w:t>
      </w:r>
      <w:r w:rsidRPr="00D5464D">
        <w:rPr>
          <w:rFonts w:eastAsia="Batang" w:cs="Times"/>
          <w:szCs w:val="24"/>
          <w:lang w:val="pt-BR"/>
        </w:rPr>
        <w:t>dívida</w:t>
      </w:r>
      <w:r w:rsidR="00BA1ACF" w:rsidRPr="00D5464D">
        <w:rPr>
          <w:rFonts w:eastAsia="Batang" w:cs="Times"/>
          <w:szCs w:val="24"/>
          <w:lang w:val="pt-BR"/>
        </w:rPr>
        <w:t>s</w:t>
      </w:r>
      <w:r w:rsidR="00E045D9" w:rsidRPr="00D5464D">
        <w:rPr>
          <w:rFonts w:eastAsia="Batang" w:cs="Times"/>
          <w:szCs w:val="24"/>
          <w:lang w:val="pt-BR"/>
        </w:rPr>
        <w:t xml:space="preserve"> na </w:t>
      </w:r>
      <w:r w:rsidR="00D809F0" w:rsidRPr="00D5464D">
        <w:rPr>
          <w:rFonts w:eastAsia="Batang" w:cs="Times"/>
          <w:szCs w:val="24"/>
          <w:lang w:val="pt-BR"/>
        </w:rPr>
        <w:t>Fazenda</w:t>
      </w:r>
      <w:r w:rsidR="00BA1ACF" w:rsidRPr="00D5464D">
        <w:rPr>
          <w:rFonts w:eastAsia="Batang" w:cs="Times"/>
          <w:szCs w:val="24"/>
          <w:lang w:val="pt-BR"/>
        </w:rPr>
        <w:t xml:space="preserve"> Brasil Verde, </w:t>
      </w:r>
      <w:r w:rsidR="00E045D9" w:rsidRPr="00D5464D">
        <w:rPr>
          <w:rFonts w:eastAsia="Batang" w:cs="Times"/>
          <w:szCs w:val="24"/>
          <w:lang w:val="pt-BR"/>
        </w:rPr>
        <w:t>localizad</w:t>
      </w:r>
      <w:r w:rsidR="00BA1ACF" w:rsidRPr="00D5464D">
        <w:rPr>
          <w:rFonts w:eastAsia="Batang" w:cs="Times"/>
          <w:szCs w:val="24"/>
          <w:lang w:val="pt-BR"/>
        </w:rPr>
        <w:t>a</w:t>
      </w:r>
      <w:r w:rsidR="00E045D9" w:rsidRPr="00D5464D">
        <w:rPr>
          <w:rFonts w:eastAsia="Batang" w:cs="Times"/>
          <w:szCs w:val="24"/>
          <w:lang w:val="pt-BR"/>
        </w:rPr>
        <w:t xml:space="preserve"> no </w:t>
      </w:r>
      <w:r w:rsidR="0040316B" w:rsidRPr="00D5464D">
        <w:rPr>
          <w:rFonts w:eastAsia="Batang" w:cs="Times"/>
          <w:szCs w:val="24"/>
          <w:lang w:val="pt-BR"/>
        </w:rPr>
        <w:t>Estado do</w:t>
      </w:r>
      <w:r w:rsidR="00BA1ACF" w:rsidRPr="00D5464D">
        <w:rPr>
          <w:rFonts w:eastAsia="Batang" w:cs="Times"/>
          <w:szCs w:val="24"/>
          <w:lang w:val="pt-BR"/>
        </w:rPr>
        <w:t xml:space="preserve"> Pará. </w:t>
      </w:r>
      <w:r w:rsidR="00A64010" w:rsidRPr="00D5464D">
        <w:rPr>
          <w:rFonts w:eastAsia="Batang" w:cs="Times"/>
          <w:szCs w:val="24"/>
          <w:lang w:val="pt-BR"/>
        </w:rPr>
        <w:t xml:space="preserve">Conforme </w:t>
      </w:r>
      <w:r w:rsidR="00BA1ACF" w:rsidRPr="00D5464D">
        <w:rPr>
          <w:rFonts w:eastAsia="Batang" w:cs="Times"/>
          <w:szCs w:val="24"/>
          <w:lang w:val="pt-BR"/>
        </w:rPr>
        <w:t>se alega,</w:t>
      </w:r>
      <w:r w:rsidR="002C330E" w:rsidRPr="00D5464D">
        <w:rPr>
          <w:rFonts w:eastAsia="Batang" w:cs="Times"/>
          <w:szCs w:val="24"/>
          <w:lang w:val="pt-BR"/>
        </w:rPr>
        <w:t xml:space="preserve"> os fatos</w:t>
      </w:r>
      <w:r w:rsidR="00BA1ACF" w:rsidRPr="00D5464D">
        <w:rPr>
          <w:rFonts w:eastAsia="Batang" w:cs="Times"/>
          <w:szCs w:val="24"/>
          <w:lang w:val="pt-BR"/>
        </w:rPr>
        <w:t xml:space="preserve"> </w:t>
      </w:r>
      <w:r w:rsidRPr="00D5464D">
        <w:rPr>
          <w:rFonts w:eastAsia="Batang" w:cs="Times"/>
          <w:szCs w:val="24"/>
          <w:lang w:val="pt-BR"/>
        </w:rPr>
        <w:t xml:space="preserve">do </w:t>
      </w:r>
      <w:r w:rsidR="00BA1ACF" w:rsidRPr="00D5464D">
        <w:rPr>
          <w:rFonts w:eastAsia="Batang" w:cs="Times"/>
          <w:szCs w:val="24"/>
          <w:lang w:val="pt-BR"/>
        </w:rPr>
        <w:t xml:space="preserve">caso se </w:t>
      </w:r>
      <w:r w:rsidR="00EB1CE9" w:rsidRPr="00D5464D">
        <w:rPr>
          <w:rFonts w:eastAsia="Batang" w:cs="Times"/>
          <w:szCs w:val="24"/>
          <w:lang w:val="pt-BR"/>
        </w:rPr>
        <w:t>enq</w:t>
      </w:r>
      <w:r w:rsidR="00A64010" w:rsidRPr="00D5464D">
        <w:rPr>
          <w:rFonts w:eastAsia="Batang" w:cs="Times"/>
          <w:szCs w:val="24"/>
          <w:lang w:val="pt-BR"/>
        </w:rPr>
        <w:t>uadrav</w:t>
      </w:r>
      <w:r w:rsidR="00EB1CE9" w:rsidRPr="00D5464D">
        <w:rPr>
          <w:rFonts w:eastAsia="Batang" w:cs="Times"/>
          <w:szCs w:val="24"/>
          <w:lang w:val="pt-BR"/>
        </w:rPr>
        <w:t>am</w:t>
      </w:r>
      <w:r w:rsidR="00350187" w:rsidRPr="00D5464D">
        <w:rPr>
          <w:rFonts w:eastAsia="Batang" w:cs="Times"/>
          <w:szCs w:val="24"/>
          <w:lang w:val="pt-BR"/>
        </w:rPr>
        <w:t xml:space="preserve"> </w:t>
      </w:r>
      <w:r w:rsidRPr="00D5464D">
        <w:rPr>
          <w:rFonts w:eastAsia="Batang" w:cs="Times"/>
          <w:szCs w:val="24"/>
          <w:lang w:val="pt-BR"/>
        </w:rPr>
        <w:t>em</w:t>
      </w:r>
      <w:r w:rsidR="00E045D9" w:rsidRPr="00D5464D">
        <w:rPr>
          <w:rFonts w:eastAsia="Batang" w:cs="Times"/>
          <w:szCs w:val="24"/>
          <w:lang w:val="pt-BR"/>
        </w:rPr>
        <w:t xml:space="preserve"> um </w:t>
      </w:r>
      <w:r w:rsidR="00BA1ACF" w:rsidRPr="00D5464D">
        <w:rPr>
          <w:rFonts w:eastAsia="Batang" w:cs="Times"/>
          <w:szCs w:val="24"/>
          <w:lang w:val="pt-BR"/>
        </w:rPr>
        <w:t>contexto</w:t>
      </w:r>
      <w:r w:rsidR="00E045D9" w:rsidRPr="00D5464D">
        <w:rPr>
          <w:rFonts w:eastAsia="Batang" w:cs="Times"/>
          <w:szCs w:val="24"/>
          <w:lang w:val="pt-BR"/>
        </w:rPr>
        <w:t xml:space="preserve"> no </w:t>
      </w:r>
      <w:r w:rsidR="00A64010" w:rsidRPr="00D5464D">
        <w:rPr>
          <w:rFonts w:eastAsia="Batang" w:cs="Times"/>
          <w:szCs w:val="24"/>
          <w:lang w:val="pt-BR"/>
        </w:rPr>
        <w:t>qual</w:t>
      </w:r>
      <w:r w:rsidR="00BA1ACF" w:rsidRPr="00D5464D">
        <w:rPr>
          <w:rFonts w:eastAsia="Batang" w:cs="Times"/>
          <w:szCs w:val="24"/>
          <w:lang w:val="pt-BR"/>
        </w:rPr>
        <w:t xml:space="preserve"> </w:t>
      </w:r>
      <w:r w:rsidR="00A64010" w:rsidRPr="00D5464D">
        <w:rPr>
          <w:rFonts w:eastAsia="Batang" w:cs="Times"/>
          <w:szCs w:val="24"/>
          <w:lang w:val="pt-BR"/>
        </w:rPr>
        <w:t xml:space="preserve">milhares </w:t>
      </w:r>
      <w:r w:rsidR="00BA1ACF" w:rsidRPr="00D5464D">
        <w:rPr>
          <w:rFonts w:eastAsia="Batang" w:cs="Times"/>
          <w:szCs w:val="24"/>
          <w:lang w:val="pt-BR"/>
        </w:rPr>
        <w:t xml:space="preserve">de </w:t>
      </w:r>
      <w:r w:rsidR="00E045D9" w:rsidRPr="00D5464D">
        <w:rPr>
          <w:rFonts w:eastAsia="Batang" w:cs="Times"/>
          <w:szCs w:val="24"/>
          <w:lang w:val="pt-BR"/>
        </w:rPr>
        <w:t>trabalhadores</w:t>
      </w:r>
      <w:r w:rsidRPr="00D5464D">
        <w:rPr>
          <w:rFonts w:eastAsia="Batang" w:cs="Times"/>
          <w:szCs w:val="24"/>
          <w:lang w:val="pt-BR"/>
        </w:rPr>
        <w:t xml:space="preserve"> eram </w:t>
      </w:r>
      <w:r w:rsidR="002C330E" w:rsidRPr="00D5464D">
        <w:rPr>
          <w:rFonts w:eastAsia="Batang" w:cs="Times"/>
          <w:szCs w:val="24"/>
          <w:lang w:val="pt-BR"/>
        </w:rPr>
        <w:t>submetido</w:t>
      </w:r>
      <w:r w:rsidR="00BA1ACF" w:rsidRPr="00D5464D">
        <w:rPr>
          <w:rFonts w:eastAsia="Batang" w:cs="Times"/>
          <w:szCs w:val="24"/>
          <w:lang w:val="pt-BR"/>
        </w:rPr>
        <w:t xml:space="preserve">s anualmente a </w:t>
      </w:r>
      <w:r w:rsidR="00E045D9" w:rsidRPr="00D5464D">
        <w:rPr>
          <w:rFonts w:eastAsia="Batang" w:cs="Times"/>
          <w:szCs w:val="24"/>
          <w:lang w:val="pt-BR"/>
        </w:rPr>
        <w:t>trabalho</w:t>
      </w:r>
      <w:r w:rsidR="00BA1ACF" w:rsidRPr="00D5464D">
        <w:rPr>
          <w:rFonts w:eastAsia="Batang" w:cs="Times"/>
          <w:szCs w:val="24"/>
          <w:lang w:val="pt-BR"/>
        </w:rPr>
        <w:t xml:space="preserve"> </w:t>
      </w:r>
      <w:r w:rsidR="004F1CC2" w:rsidRPr="00D5464D">
        <w:rPr>
          <w:rFonts w:eastAsia="Batang" w:cs="Times"/>
          <w:szCs w:val="24"/>
          <w:lang w:val="pt-BR"/>
        </w:rPr>
        <w:t>escravo</w:t>
      </w:r>
      <w:r w:rsidR="00BA1ACF" w:rsidRPr="00D5464D">
        <w:rPr>
          <w:rFonts w:eastAsia="Batang" w:cs="Times"/>
          <w:szCs w:val="24"/>
          <w:lang w:val="pt-BR"/>
        </w:rPr>
        <w:t xml:space="preserve">. </w:t>
      </w:r>
      <w:r w:rsidR="001F559F" w:rsidRPr="00D5464D">
        <w:rPr>
          <w:rFonts w:eastAsia="Batang" w:cs="Times"/>
          <w:szCs w:val="24"/>
          <w:lang w:val="pt-BR"/>
        </w:rPr>
        <w:t>Adicionalmente,</w:t>
      </w:r>
      <w:r w:rsidR="00BA1ACF" w:rsidRPr="00D5464D">
        <w:rPr>
          <w:rFonts w:eastAsia="Batang" w:cs="Times"/>
          <w:szCs w:val="24"/>
          <w:lang w:val="pt-BR"/>
        </w:rPr>
        <w:t xml:space="preserve"> alega</w:t>
      </w:r>
      <w:r w:rsidR="00A64010" w:rsidRPr="00D5464D">
        <w:rPr>
          <w:rFonts w:eastAsia="Batang" w:cs="Times"/>
          <w:szCs w:val="24"/>
          <w:lang w:val="pt-BR"/>
        </w:rPr>
        <w:t>-se</w:t>
      </w:r>
      <w:r w:rsidR="00B64BE7" w:rsidRPr="00D5464D">
        <w:rPr>
          <w:rFonts w:eastAsia="Batang" w:cs="Times"/>
          <w:szCs w:val="24"/>
          <w:lang w:val="pt-BR"/>
        </w:rPr>
        <w:t xml:space="preserve"> que</w:t>
      </w:r>
      <w:r w:rsidR="002C330E" w:rsidRPr="00D5464D">
        <w:rPr>
          <w:rFonts w:eastAsia="Batang" w:cs="Times"/>
          <w:szCs w:val="24"/>
          <w:lang w:val="pt-BR"/>
        </w:rPr>
        <w:t xml:space="preserve"> os </w:t>
      </w:r>
      <w:r w:rsidR="00E045D9" w:rsidRPr="00D5464D">
        <w:rPr>
          <w:rFonts w:eastAsia="Batang" w:cs="Times"/>
          <w:szCs w:val="24"/>
          <w:lang w:val="pt-BR"/>
        </w:rPr>
        <w:t>trabalhadores</w:t>
      </w:r>
      <w:r w:rsidR="00BA1ACF" w:rsidRPr="00D5464D">
        <w:rPr>
          <w:rFonts w:eastAsia="Batang" w:cs="Times"/>
          <w:szCs w:val="24"/>
          <w:lang w:val="pt-BR"/>
        </w:rPr>
        <w:t xml:space="preserve"> que </w:t>
      </w:r>
      <w:r w:rsidR="00E045D9" w:rsidRPr="00D5464D">
        <w:rPr>
          <w:rFonts w:eastAsia="Batang" w:cs="Times"/>
          <w:szCs w:val="24"/>
          <w:lang w:val="pt-BR"/>
        </w:rPr>
        <w:t xml:space="preserve">conseguiram fugir </w:t>
      </w:r>
      <w:r w:rsidR="00BA1ACF" w:rsidRPr="00D5464D">
        <w:rPr>
          <w:rFonts w:eastAsia="Batang" w:cs="Times"/>
          <w:szCs w:val="24"/>
          <w:lang w:val="pt-BR"/>
        </w:rPr>
        <w:t>declar</w:t>
      </w:r>
      <w:r w:rsidR="00350187" w:rsidRPr="00D5464D">
        <w:rPr>
          <w:rFonts w:eastAsia="Batang" w:cs="Times"/>
          <w:szCs w:val="24"/>
          <w:lang w:val="pt-BR"/>
        </w:rPr>
        <w:t xml:space="preserve">aram </w:t>
      </w:r>
      <w:r w:rsidR="00BA1ACF" w:rsidRPr="00D5464D">
        <w:rPr>
          <w:rFonts w:eastAsia="Batang" w:cs="Times"/>
          <w:szCs w:val="24"/>
          <w:lang w:val="pt-BR"/>
        </w:rPr>
        <w:t>sobre</w:t>
      </w:r>
      <w:r w:rsidR="002C330E" w:rsidRPr="00D5464D">
        <w:rPr>
          <w:rFonts w:eastAsia="Batang" w:cs="Times"/>
          <w:szCs w:val="24"/>
          <w:lang w:val="pt-BR"/>
        </w:rPr>
        <w:t xml:space="preserve"> a </w:t>
      </w:r>
      <w:r w:rsidR="00E045D9" w:rsidRPr="00D5464D">
        <w:rPr>
          <w:rFonts w:eastAsia="Batang" w:cs="Times"/>
          <w:szCs w:val="24"/>
          <w:lang w:val="pt-BR"/>
        </w:rPr>
        <w:t>existência</w:t>
      </w:r>
      <w:r w:rsidR="00BA1ACF" w:rsidRPr="00D5464D">
        <w:rPr>
          <w:rFonts w:eastAsia="Batang" w:cs="Times"/>
          <w:szCs w:val="24"/>
          <w:lang w:val="pt-BR"/>
        </w:rPr>
        <w:t xml:space="preserve"> de </w:t>
      </w:r>
      <w:r w:rsidRPr="00D5464D">
        <w:rPr>
          <w:rFonts w:eastAsia="Batang" w:cs="Times"/>
          <w:szCs w:val="24"/>
          <w:lang w:val="pt-BR"/>
        </w:rPr>
        <w:t>ameaça</w:t>
      </w:r>
      <w:r w:rsidR="00BA1ACF" w:rsidRPr="00D5464D">
        <w:rPr>
          <w:rFonts w:eastAsia="Batang" w:cs="Times"/>
          <w:szCs w:val="24"/>
          <w:lang w:val="pt-BR"/>
        </w:rPr>
        <w:t xml:space="preserve">s de </w:t>
      </w:r>
      <w:r w:rsidR="002C330E" w:rsidRPr="00D5464D">
        <w:rPr>
          <w:rFonts w:eastAsia="Batang" w:cs="Times"/>
          <w:szCs w:val="24"/>
          <w:lang w:val="pt-BR"/>
        </w:rPr>
        <w:t>morte</w:t>
      </w:r>
      <w:r w:rsidRPr="00D5464D">
        <w:rPr>
          <w:rFonts w:eastAsia="Batang" w:cs="Times"/>
          <w:szCs w:val="24"/>
          <w:lang w:val="pt-BR"/>
        </w:rPr>
        <w:t xml:space="preserve"> </w:t>
      </w:r>
      <w:r w:rsidR="00E95C54" w:rsidRPr="00D5464D">
        <w:rPr>
          <w:rFonts w:eastAsia="Batang" w:cs="Times"/>
          <w:szCs w:val="24"/>
          <w:lang w:val="pt-BR"/>
        </w:rPr>
        <w:t xml:space="preserve">caso abandonassem </w:t>
      </w:r>
      <w:r w:rsidR="002C330E" w:rsidRPr="00D5464D">
        <w:rPr>
          <w:rFonts w:eastAsia="Batang" w:cs="Times"/>
          <w:szCs w:val="24"/>
          <w:lang w:val="pt-BR"/>
        </w:rPr>
        <w:t xml:space="preserve">a </w:t>
      </w:r>
      <w:r w:rsidR="00D809F0" w:rsidRPr="00D5464D">
        <w:rPr>
          <w:rFonts w:eastAsia="Batang" w:cs="Times"/>
          <w:szCs w:val="24"/>
          <w:lang w:val="pt-BR"/>
        </w:rPr>
        <w:t>fazenda</w:t>
      </w:r>
      <w:r w:rsidR="00BA1ACF" w:rsidRPr="00D5464D">
        <w:rPr>
          <w:rFonts w:eastAsia="Batang" w:cs="Times"/>
          <w:szCs w:val="24"/>
          <w:lang w:val="pt-BR"/>
        </w:rPr>
        <w:t>,</w:t>
      </w:r>
      <w:r w:rsidRPr="00D5464D">
        <w:rPr>
          <w:rFonts w:eastAsia="Batang" w:cs="Times"/>
          <w:szCs w:val="24"/>
          <w:lang w:val="pt-BR"/>
        </w:rPr>
        <w:t xml:space="preserve"> o </w:t>
      </w:r>
      <w:r w:rsidR="00BA1ACF" w:rsidRPr="00D5464D">
        <w:rPr>
          <w:rFonts w:eastAsia="Batang" w:cs="Times"/>
          <w:szCs w:val="24"/>
          <w:lang w:val="pt-BR"/>
        </w:rPr>
        <w:t xml:space="preserve">impedimento de </w:t>
      </w:r>
      <w:r w:rsidR="00C16021" w:rsidRPr="00D5464D">
        <w:rPr>
          <w:rFonts w:eastAsia="Batang" w:cs="Times"/>
          <w:szCs w:val="24"/>
          <w:lang w:val="pt-BR"/>
        </w:rPr>
        <w:t>saírem</w:t>
      </w:r>
      <w:r w:rsidR="00BA1ACF" w:rsidRPr="00D5464D">
        <w:rPr>
          <w:rFonts w:eastAsia="Batang" w:cs="Times"/>
          <w:szCs w:val="24"/>
          <w:lang w:val="pt-BR"/>
        </w:rPr>
        <w:t xml:space="preserve"> </w:t>
      </w:r>
      <w:r w:rsidR="002C330E" w:rsidRPr="00D5464D">
        <w:rPr>
          <w:rFonts w:eastAsia="Batang" w:cs="Times"/>
          <w:szCs w:val="24"/>
          <w:lang w:val="pt-BR"/>
        </w:rPr>
        <w:t>livremente</w:t>
      </w:r>
      <w:r w:rsidR="00BA1ACF" w:rsidRPr="00D5464D">
        <w:rPr>
          <w:rFonts w:eastAsia="Batang" w:cs="Times"/>
          <w:szCs w:val="24"/>
          <w:lang w:val="pt-BR"/>
        </w:rPr>
        <w:t>,</w:t>
      </w:r>
      <w:r w:rsidR="002C330E" w:rsidRPr="00D5464D">
        <w:rPr>
          <w:rFonts w:eastAsia="Batang" w:cs="Times"/>
          <w:szCs w:val="24"/>
          <w:lang w:val="pt-BR"/>
        </w:rPr>
        <w:t xml:space="preserve"> a </w:t>
      </w:r>
      <w:r w:rsidR="00BA1ACF" w:rsidRPr="00D5464D">
        <w:rPr>
          <w:rFonts w:eastAsia="Batang" w:cs="Times"/>
          <w:szCs w:val="24"/>
          <w:lang w:val="pt-BR"/>
        </w:rPr>
        <w:t xml:space="preserve">falta de </w:t>
      </w:r>
      <w:r w:rsidR="00E045D9" w:rsidRPr="00D5464D">
        <w:rPr>
          <w:rFonts w:eastAsia="Batang" w:cs="Times"/>
          <w:szCs w:val="24"/>
          <w:lang w:val="pt-BR"/>
        </w:rPr>
        <w:t>salário</w:t>
      </w:r>
      <w:r w:rsidR="00BA1ACF" w:rsidRPr="00D5464D">
        <w:rPr>
          <w:rFonts w:eastAsia="Batang" w:cs="Times"/>
          <w:szCs w:val="24"/>
          <w:lang w:val="pt-BR"/>
        </w:rPr>
        <w:t xml:space="preserve"> o</w:t>
      </w:r>
      <w:r w:rsidR="00A64010" w:rsidRPr="00D5464D">
        <w:rPr>
          <w:rFonts w:eastAsia="Batang" w:cs="Times"/>
          <w:szCs w:val="24"/>
          <w:lang w:val="pt-BR"/>
        </w:rPr>
        <w:t>u</w:t>
      </w:r>
      <w:r w:rsidR="002C330E" w:rsidRPr="00D5464D">
        <w:rPr>
          <w:rFonts w:eastAsia="Batang" w:cs="Times"/>
          <w:szCs w:val="24"/>
          <w:lang w:val="pt-BR"/>
        </w:rPr>
        <w:t xml:space="preserve"> a </w:t>
      </w:r>
      <w:r w:rsidR="00E045D9" w:rsidRPr="00D5464D">
        <w:rPr>
          <w:rFonts w:eastAsia="Batang" w:cs="Times"/>
          <w:szCs w:val="24"/>
          <w:lang w:val="pt-BR"/>
        </w:rPr>
        <w:t>existência</w:t>
      </w:r>
      <w:r w:rsidR="00BA1ACF" w:rsidRPr="00D5464D">
        <w:rPr>
          <w:rFonts w:eastAsia="Batang" w:cs="Times"/>
          <w:szCs w:val="24"/>
          <w:lang w:val="pt-BR"/>
        </w:rPr>
        <w:t xml:space="preserve"> de</w:t>
      </w:r>
      <w:r w:rsidR="00E045D9" w:rsidRPr="00D5464D">
        <w:rPr>
          <w:rFonts w:eastAsia="Batang" w:cs="Times"/>
          <w:szCs w:val="24"/>
          <w:lang w:val="pt-BR"/>
        </w:rPr>
        <w:t xml:space="preserve"> um salário</w:t>
      </w:r>
      <w:r w:rsidR="00BA1ACF" w:rsidRPr="00D5464D">
        <w:rPr>
          <w:rFonts w:eastAsia="Batang" w:cs="Times"/>
          <w:szCs w:val="24"/>
          <w:lang w:val="pt-BR"/>
        </w:rPr>
        <w:t xml:space="preserve"> ínfimo,</w:t>
      </w:r>
      <w:r w:rsidRPr="00D5464D">
        <w:rPr>
          <w:rFonts w:eastAsia="Batang" w:cs="Times"/>
          <w:szCs w:val="24"/>
          <w:lang w:val="pt-BR"/>
        </w:rPr>
        <w:t xml:space="preserve"> o </w:t>
      </w:r>
      <w:r w:rsidR="00BA1ACF" w:rsidRPr="00D5464D">
        <w:rPr>
          <w:rFonts w:eastAsia="Batang" w:cs="Times"/>
          <w:szCs w:val="24"/>
          <w:lang w:val="pt-BR"/>
        </w:rPr>
        <w:t>en</w:t>
      </w:r>
      <w:r w:rsidR="00A64010" w:rsidRPr="00D5464D">
        <w:rPr>
          <w:rFonts w:eastAsia="Batang" w:cs="Times"/>
          <w:szCs w:val="24"/>
          <w:lang w:val="pt-BR"/>
        </w:rPr>
        <w:t>di</w:t>
      </w:r>
      <w:r w:rsidRPr="00D5464D">
        <w:rPr>
          <w:rFonts w:eastAsia="Batang" w:cs="Times"/>
          <w:szCs w:val="24"/>
          <w:lang w:val="pt-BR"/>
        </w:rPr>
        <w:t>vida</w:t>
      </w:r>
      <w:r w:rsidR="00BA1ACF" w:rsidRPr="00D5464D">
        <w:rPr>
          <w:rFonts w:eastAsia="Batang" w:cs="Times"/>
          <w:szCs w:val="24"/>
          <w:lang w:val="pt-BR"/>
        </w:rPr>
        <w:t>m</w:t>
      </w:r>
      <w:r w:rsidR="00350187" w:rsidRPr="00D5464D">
        <w:rPr>
          <w:rFonts w:eastAsia="Batang" w:cs="Times"/>
          <w:szCs w:val="24"/>
          <w:lang w:val="pt-BR"/>
        </w:rPr>
        <w:t xml:space="preserve">ento </w:t>
      </w:r>
      <w:r w:rsidRPr="00D5464D">
        <w:rPr>
          <w:rFonts w:eastAsia="Batang" w:cs="Times"/>
          <w:szCs w:val="24"/>
          <w:lang w:val="pt-BR"/>
        </w:rPr>
        <w:t xml:space="preserve">com o </w:t>
      </w:r>
      <w:r w:rsidR="00A64010" w:rsidRPr="00D5464D">
        <w:rPr>
          <w:rFonts w:eastAsia="Batang" w:cs="Times"/>
          <w:szCs w:val="24"/>
          <w:lang w:val="pt-BR"/>
        </w:rPr>
        <w:t>fazendeiro</w:t>
      </w:r>
      <w:r w:rsidR="00BA1ACF" w:rsidRPr="00D5464D">
        <w:rPr>
          <w:rFonts w:eastAsia="Batang" w:cs="Times"/>
          <w:szCs w:val="24"/>
          <w:lang w:val="pt-BR"/>
        </w:rPr>
        <w:t>,</w:t>
      </w:r>
      <w:r w:rsidR="002C330E" w:rsidRPr="00D5464D">
        <w:rPr>
          <w:rFonts w:eastAsia="Batang" w:cs="Times"/>
          <w:szCs w:val="24"/>
          <w:lang w:val="pt-BR"/>
        </w:rPr>
        <w:t xml:space="preserve"> a </w:t>
      </w:r>
      <w:r w:rsidR="00BA1ACF" w:rsidRPr="00D5464D">
        <w:rPr>
          <w:rFonts w:eastAsia="Batang" w:cs="Times"/>
          <w:szCs w:val="24"/>
          <w:lang w:val="pt-BR"/>
        </w:rPr>
        <w:t xml:space="preserve">falta de </w:t>
      </w:r>
      <w:r w:rsidR="00E95C54" w:rsidRPr="00D5464D">
        <w:rPr>
          <w:rFonts w:eastAsia="Batang" w:cs="Times"/>
          <w:szCs w:val="24"/>
          <w:lang w:val="pt-BR"/>
        </w:rPr>
        <w:t>moradia</w:t>
      </w:r>
      <w:r w:rsidR="00BA1ACF" w:rsidRPr="00D5464D">
        <w:rPr>
          <w:rFonts w:eastAsia="Batang" w:cs="Times"/>
          <w:szCs w:val="24"/>
          <w:lang w:val="pt-BR"/>
        </w:rPr>
        <w:t>, alimenta</w:t>
      </w:r>
      <w:r w:rsidRPr="00D5464D">
        <w:rPr>
          <w:rFonts w:eastAsia="Batang" w:cs="Times"/>
          <w:szCs w:val="24"/>
          <w:lang w:val="pt-BR"/>
        </w:rPr>
        <w:t>ção</w:t>
      </w:r>
      <w:r w:rsidR="00E045D9" w:rsidRPr="00D5464D">
        <w:rPr>
          <w:rFonts w:eastAsia="Batang" w:cs="Times"/>
          <w:szCs w:val="24"/>
          <w:lang w:val="pt-BR"/>
        </w:rPr>
        <w:t xml:space="preserve"> e </w:t>
      </w:r>
      <w:r w:rsidR="002C330E" w:rsidRPr="00D5464D">
        <w:rPr>
          <w:rFonts w:eastAsia="Batang" w:cs="Times"/>
          <w:szCs w:val="24"/>
          <w:lang w:val="pt-BR"/>
        </w:rPr>
        <w:t>saúde</w:t>
      </w:r>
      <w:r w:rsidR="00BA1ACF" w:rsidRPr="00D5464D">
        <w:rPr>
          <w:rFonts w:eastAsia="Batang" w:cs="Times"/>
          <w:szCs w:val="24"/>
          <w:lang w:val="pt-BR"/>
        </w:rPr>
        <w:t xml:space="preserve"> dignas. </w:t>
      </w:r>
      <w:r w:rsidR="00350187" w:rsidRPr="00D5464D">
        <w:rPr>
          <w:rFonts w:eastAsia="Batang" w:cs="Times"/>
          <w:szCs w:val="24"/>
          <w:lang w:val="pt-BR"/>
        </w:rPr>
        <w:t xml:space="preserve">Além disso, </w:t>
      </w:r>
      <w:r w:rsidR="00BA1ACF" w:rsidRPr="00D5464D">
        <w:rPr>
          <w:rFonts w:eastAsia="Batang" w:cs="Times"/>
          <w:szCs w:val="24"/>
          <w:lang w:val="pt-BR"/>
        </w:rPr>
        <w:t>esta situa</w:t>
      </w:r>
      <w:r w:rsidRPr="00D5464D">
        <w:rPr>
          <w:rFonts w:eastAsia="Batang" w:cs="Times"/>
          <w:szCs w:val="24"/>
          <w:lang w:val="pt-BR"/>
        </w:rPr>
        <w:t>ção</w:t>
      </w:r>
      <w:r w:rsidR="00BA1ACF" w:rsidRPr="00D5464D">
        <w:rPr>
          <w:rFonts w:eastAsia="Batang" w:cs="Times"/>
          <w:szCs w:val="24"/>
          <w:lang w:val="pt-BR"/>
        </w:rPr>
        <w:t xml:space="preserve"> </w:t>
      </w:r>
      <w:r w:rsidR="00E045D9" w:rsidRPr="00D5464D">
        <w:rPr>
          <w:rFonts w:eastAsia="Batang" w:cs="Times"/>
          <w:szCs w:val="24"/>
          <w:lang w:val="pt-BR"/>
        </w:rPr>
        <w:t xml:space="preserve">seria </w:t>
      </w:r>
      <w:r w:rsidR="002C330E" w:rsidRPr="00D5464D">
        <w:rPr>
          <w:rFonts w:eastAsia="Batang" w:cs="Times"/>
          <w:szCs w:val="24"/>
          <w:lang w:val="pt-BR"/>
        </w:rPr>
        <w:t>suposta</w:t>
      </w:r>
      <w:r w:rsidR="00BA1ACF" w:rsidRPr="00D5464D">
        <w:rPr>
          <w:rFonts w:eastAsia="Batang" w:cs="Times"/>
          <w:szCs w:val="24"/>
          <w:lang w:val="pt-BR"/>
        </w:rPr>
        <w:t xml:space="preserve">mente </w:t>
      </w:r>
      <w:r w:rsidR="00230C71" w:rsidRPr="00D5464D">
        <w:rPr>
          <w:rFonts w:eastAsia="Batang" w:cs="Times"/>
          <w:szCs w:val="24"/>
          <w:lang w:val="pt-BR"/>
        </w:rPr>
        <w:t>atribuível</w:t>
      </w:r>
      <w:r w:rsidRPr="00D5464D">
        <w:rPr>
          <w:rFonts w:eastAsia="Batang" w:cs="Times"/>
          <w:szCs w:val="24"/>
          <w:lang w:val="pt-BR"/>
        </w:rPr>
        <w:t xml:space="preserve"> ao </w:t>
      </w:r>
      <w:r w:rsidR="00BA1ACF" w:rsidRPr="00D5464D">
        <w:rPr>
          <w:rFonts w:eastAsia="Batang" w:cs="Times"/>
          <w:szCs w:val="24"/>
          <w:lang w:val="pt-BR"/>
        </w:rPr>
        <w:t>Estado</w:t>
      </w:r>
      <w:r w:rsidR="00100481" w:rsidRPr="00D5464D">
        <w:rPr>
          <w:rFonts w:eastAsia="Batang" w:cs="Times"/>
          <w:szCs w:val="24"/>
          <w:lang w:val="pt-BR"/>
        </w:rPr>
        <w:t>,</w:t>
      </w:r>
      <w:r w:rsidR="002C330E" w:rsidRPr="00D5464D">
        <w:rPr>
          <w:rFonts w:eastAsia="Batang" w:cs="Times"/>
          <w:szCs w:val="24"/>
          <w:lang w:val="pt-BR"/>
        </w:rPr>
        <w:t xml:space="preserve"> pois </w:t>
      </w:r>
      <w:r w:rsidR="00E045D9" w:rsidRPr="00D5464D">
        <w:rPr>
          <w:rFonts w:eastAsia="Batang" w:cs="Times"/>
          <w:szCs w:val="24"/>
          <w:lang w:val="pt-BR"/>
        </w:rPr>
        <w:t>teve</w:t>
      </w:r>
      <w:r w:rsidR="00BA1ACF" w:rsidRPr="00D5464D">
        <w:rPr>
          <w:rFonts w:eastAsia="Batang" w:cs="Times"/>
          <w:szCs w:val="24"/>
          <w:lang w:val="pt-BR"/>
        </w:rPr>
        <w:t xml:space="preserve"> </w:t>
      </w:r>
      <w:r w:rsidRPr="00D5464D">
        <w:rPr>
          <w:rFonts w:eastAsia="Batang" w:cs="Times"/>
          <w:szCs w:val="24"/>
          <w:lang w:val="pt-BR"/>
        </w:rPr>
        <w:t xml:space="preserve">conhecimento da </w:t>
      </w:r>
      <w:r w:rsidR="00E045D9" w:rsidRPr="00D5464D">
        <w:rPr>
          <w:rFonts w:eastAsia="Batang" w:cs="Times"/>
          <w:szCs w:val="24"/>
          <w:lang w:val="pt-BR"/>
        </w:rPr>
        <w:t>existência</w:t>
      </w:r>
      <w:r w:rsidR="00BA1ACF" w:rsidRPr="00D5464D">
        <w:rPr>
          <w:rFonts w:eastAsia="Batang" w:cs="Times"/>
          <w:szCs w:val="24"/>
          <w:lang w:val="pt-BR"/>
        </w:rPr>
        <w:t xml:space="preserve"> </w:t>
      </w:r>
      <w:r w:rsidR="00E045D9" w:rsidRPr="00D5464D">
        <w:rPr>
          <w:rFonts w:eastAsia="Batang" w:cs="Times"/>
          <w:szCs w:val="24"/>
          <w:lang w:val="pt-BR"/>
        </w:rPr>
        <w:t>desta</w:t>
      </w:r>
      <w:r w:rsidR="00BA1ACF" w:rsidRPr="00D5464D">
        <w:rPr>
          <w:rFonts w:eastAsia="Batang" w:cs="Times"/>
          <w:szCs w:val="24"/>
          <w:lang w:val="pt-BR"/>
        </w:rPr>
        <w:t xml:space="preserve">s </w:t>
      </w:r>
      <w:r w:rsidR="002C330E" w:rsidRPr="00D5464D">
        <w:rPr>
          <w:rFonts w:eastAsia="Batang" w:cs="Times"/>
          <w:szCs w:val="24"/>
          <w:lang w:val="pt-BR"/>
        </w:rPr>
        <w:t>prática</w:t>
      </w:r>
      <w:r w:rsidR="00BA1ACF" w:rsidRPr="00D5464D">
        <w:rPr>
          <w:rFonts w:eastAsia="Batang" w:cs="Times"/>
          <w:szCs w:val="24"/>
          <w:lang w:val="pt-BR"/>
        </w:rPr>
        <w:t>s</w:t>
      </w:r>
      <w:r w:rsidRPr="00D5464D">
        <w:rPr>
          <w:rFonts w:eastAsia="Batang" w:cs="Times"/>
          <w:szCs w:val="24"/>
          <w:lang w:val="pt-BR"/>
        </w:rPr>
        <w:t xml:space="preserve"> em </w:t>
      </w:r>
      <w:r w:rsidR="002C330E" w:rsidRPr="00D5464D">
        <w:rPr>
          <w:rFonts w:eastAsia="Batang" w:cs="Times"/>
          <w:szCs w:val="24"/>
          <w:lang w:val="pt-BR"/>
        </w:rPr>
        <w:t>geral</w:t>
      </w:r>
      <w:r w:rsidR="00E045D9" w:rsidRPr="00D5464D">
        <w:rPr>
          <w:rFonts w:eastAsia="Batang" w:cs="Times"/>
          <w:szCs w:val="24"/>
          <w:lang w:val="pt-BR"/>
        </w:rPr>
        <w:t xml:space="preserve"> e</w:t>
      </w:r>
      <w:r w:rsidR="00A64010" w:rsidRPr="00D5464D">
        <w:rPr>
          <w:rFonts w:eastAsia="Batang" w:cs="Times"/>
          <w:szCs w:val="24"/>
          <w:lang w:val="pt-BR"/>
        </w:rPr>
        <w:t>,</w:t>
      </w:r>
      <w:r w:rsidR="00E045D9" w:rsidRPr="00D5464D">
        <w:rPr>
          <w:rFonts w:eastAsia="Batang" w:cs="Times"/>
          <w:szCs w:val="24"/>
          <w:lang w:val="pt-BR"/>
        </w:rPr>
        <w:t xml:space="preserve"> especificamente</w:t>
      </w:r>
      <w:r w:rsidR="00A64010" w:rsidRPr="00D5464D">
        <w:rPr>
          <w:rFonts w:eastAsia="Batang" w:cs="Times"/>
          <w:szCs w:val="24"/>
          <w:lang w:val="pt-BR"/>
        </w:rPr>
        <w:t>,</w:t>
      </w:r>
      <w:r w:rsidR="00E045D9" w:rsidRPr="00D5464D">
        <w:rPr>
          <w:rFonts w:eastAsia="Batang" w:cs="Times"/>
          <w:szCs w:val="24"/>
          <w:lang w:val="pt-BR"/>
        </w:rPr>
        <w:t xml:space="preserve"> na </w:t>
      </w:r>
      <w:r w:rsidR="00D809F0" w:rsidRPr="00D5464D">
        <w:rPr>
          <w:rFonts w:eastAsia="Batang" w:cs="Times"/>
          <w:szCs w:val="24"/>
          <w:lang w:val="pt-BR"/>
        </w:rPr>
        <w:t>Fazenda</w:t>
      </w:r>
      <w:r w:rsidR="00BA1ACF" w:rsidRPr="00D5464D">
        <w:rPr>
          <w:rFonts w:eastAsia="Batang" w:cs="Times"/>
          <w:szCs w:val="24"/>
          <w:lang w:val="pt-BR"/>
        </w:rPr>
        <w:t xml:space="preserve"> Brasil Verde</w:t>
      </w:r>
      <w:r w:rsidR="00A64010" w:rsidRPr="00D5464D">
        <w:rPr>
          <w:rFonts w:eastAsia="Batang" w:cs="Times"/>
          <w:szCs w:val="24"/>
          <w:lang w:val="pt-BR"/>
        </w:rPr>
        <w:t>,</w:t>
      </w:r>
      <w:r w:rsidR="00BA1ACF" w:rsidRPr="00D5464D">
        <w:rPr>
          <w:rFonts w:eastAsia="Batang" w:cs="Times"/>
          <w:szCs w:val="24"/>
          <w:lang w:val="pt-BR"/>
        </w:rPr>
        <w:t xml:space="preserve"> desde 1989</w:t>
      </w:r>
      <w:r w:rsidRPr="00D5464D">
        <w:rPr>
          <w:rFonts w:eastAsia="Batang" w:cs="Times"/>
          <w:szCs w:val="24"/>
          <w:lang w:val="pt-BR"/>
        </w:rPr>
        <w:t xml:space="preserve"> e</w:t>
      </w:r>
      <w:r w:rsidR="00A64010" w:rsidRPr="00D5464D">
        <w:rPr>
          <w:rFonts w:eastAsia="Batang" w:cs="Times"/>
          <w:szCs w:val="24"/>
          <w:lang w:val="pt-BR"/>
        </w:rPr>
        <w:t>,</w:t>
      </w:r>
      <w:r w:rsidR="00737270" w:rsidRPr="00D5464D">
        <w:rPr>
          <w:rFonts w:eastAsia="Batang" w:cs="Times"/>
          <w:szCs w:val="24"/>
          <w:lang w:val="pt-BR"/>
        </w:rPr>
        <w:t xml:space="preserve"> apesar </w:t>
      </w:r>
      <w:r w:rsidR="00E045D9" w:rsidRPr="00D5464D">
        <w:rPr>
          <w:rFonts w:eastAsia="Batang" w:cs="Times"/>
          <w:szCs w:val="24"/>
          <w:lang w:val="pt-BR"/>
        </w:rPr>
        <w:t>deste</w:t>
      </w:r>
      <w:r w:rsidR="00BA1ACF" w:rsidRPr="00D5464D">
        <w:rPr>
          <w:rFonts w:eastAsia="Batang" w:cs="Times"/>
          <w:szCs w:val="24"/>
          <w:lang w:val="pt-BR"/>
        </w:rPr>
        <w:t xml:space="preserve"> </w:t>
      </w:r>
      <w:r w:rsidRPr="00D5464D">
        <w:rPr>
          <w:rFonts w:eastAsia="Batang" w:cs="Times"/>
          <w:szCs w:val="24"/>
          <w:lang w:val="pt-BR"/>
        </w:rPr>
        <w:t>conhecimento</w:t>
      </w:r>
      <w:r w:rsidR="00A64010" w:rsidRPr="00D5464D">
        <w:rPr>
          <w:rFonts w:eastAsia="Batang" w:cs="Times"/>
          <w:szCs w:val="24"/>
          <w:lang w:val="pt-BR"/>
        </w:rPr>
        <w:t>,</w:t>
      </w:r>
      <w:r w:rsidR="00BA1ACF" w:rsidRPr="00D5464D">
        <w:rPr>
          <w:rFonts w:eastAsia="Batang" w:cs="Times"/>
          <w:szCs w:val="24"/>
          <w:lang w:val="pt-BR"/>
        </w:rPr>
        <w:t xml:space="preserve"> </w:t>
      </w:r>
      <w:r w:rsidR="00737270" w:rsidRPr="00D5464D">
        <w:rPr>
          <w:rFonts w:eastAsia="Batang" w:cs="Times"/>
          <w:szCs w:val="24"/>
          <w:lang w:val="pt-BR"/>
        </w:rPr>
        <w:t>não teria</w:t>
      </w:r>
      <w:r w:rsidR="00A34C4F" w:rsidRPr="00D5464D">
        <w:rPr>
          <w:rFonts w:eastAsia="Batang" w:cs="Times"/>
          <w:szCs w:val="24"/>
          <w:lang w:val="pt-BR"/>
        </w:rPr>
        <w:t xml:space="preserve"> </w:t>
      </w:r>
      <w:r w:rsidRPr="00D5464D">
        <w:rPr>
          <w:rFonts w:eastAsia="Batang" w:cs="Times"/>
          <w:szCs w:val="24"/>
          <w:lang w:val="pt-BR"/>
        </w:rPr>
        <w:t>adot</w:t>
      </w:r>
      <w:r w:rsidR="00A34C4F" w:rsidRPr="00D5464D">
        <w:rPr>
          <w:rFonts w:eastAsia="Batang" w:cs="Times"/>
          <w:szCs w:val="24"/>
          <w:lang w:val="pt-BR"/>
        </w:rPr>
        <w:t>ado</w:t>
      </w:r>
      <w:r w:rsidR="002C330E" w:rsidRPr="00D5464D">
        <w:rPr>
          <w:rFonts w:eastAsia="Batang" w:cs="Times"/>
          <w:szCs w:val="24"/>
          <w:lang w:val="pt-BR"/>
        </w:rPr>
        <w:t xml:space="preserve"> as </w:t>
      </w:r>
      <w:r w:rsidR="00BA1ACF" w:rsidRPr="00D5464D">
        <w:rPr>
          <w:rFonts w:eastAsia="Batang" w:cs="Times"/>
          <w:szCs w:val="24"/>
          <w:lang w:val="pt-BR"/>
        </w:rPr>
        <w:t xml:space="preserve">medidas </w:t>
      </w:r>
      <w:r w:rsidR="00E045D9" w:rsidRPr="00D5464D">
        <w:rPr>
          <w:rFonts w:eastAsia="Batang" w:cs="Times"/>
          <w:szCs w:val="24"/>
          <w:lang w:val="pt-BR"/>
        </w:rPr>
        <w:t>razoáveis</w:t>
      </w:r>
      <w:r w:rsidR="00BA1ACF" w:rsidRPr="00D5464D">
        <w:rPr>
          <w:rFonts w:eastAsia="Batang" w:cs="Times"/>
          <w:szCs w:val="24"/>
          <w:lang w:val="pt-BR"/>
        </w:rPr>
        <w:t xml:space="preserve"> de preven</w:t>
      </w:r>
      <w:r w:rsidRPr="00D5464D">
        <w:rPr>
          <w:rFonts w:eastAsia="Batang" w:cs="Times"/>
          <w:szCs w:val="24"/>
          <w:lang w:val="pt-BR"/>
        </w:rPr>
        <w:t>ção</w:t>
      </w:r>
      <w:r w:rsidR="00E045D9" w:rsidRPr="00D5464D">
        <w:rPr>
          <w:rFonts w:eastAsia="Batang" w:cs="Times"/>
          <w:szCs w:val="24"/>
          <w:lang w:val="pt-BR"/>
        </w:rPr>
        <w:t xml:space="preserve"> e </w:t>
      </w:r>
      <w:r w:rsidR="00BA1ACF" w:rsidRPr="00D5464D">
        <w:rPr>
          <w:rFonts w:eastAsia="Batang" w:cs="Times"/>
          <w:szCs w:val="24"/>
          <w:lang w:val="pt-BR"/>
        </w:rPr>
        <w:t>res</w:t>
      </w:r>
      <w:r w:rsidR="002C330E" w:rsidRPr="00D5464D">
        <w:rPr>
          <w:rFonts w:eastAsia="Batang" w:cs="Times"/>
          <w:szCs w:val="24"/>
          <w:lang w:val="pt-BR"/>
        </w:rPr>
        <w:t>posta</w:t>
      </w:r>
      <w:r w:rsidR="00BA1ACF" w:rsidRPr="00D5464D">
        <w:rPr>
          <w:rFonts w:eastAsia="Batang" w:cs="Times"/>
          <w:szCs w:val="24"/>
          <w:lang w:val="pt-BR"/>
        </w:rPr>
        <w:t>,</w:t>
      </w:r>
      <w:r w:rsidR="002C330E" w:rsidRPr="00D5464D">
        <w:rPr>
          <w:rFonts w:eastAsia="Batang" w:cs="Times"/>
          <w:szCs w:val="24"/>
          <w:lang w:val="pt-BR"/>
        </w:rPr>
        <w:t xml:space="preserve"> nem </w:t>
      </w:r>
      <w:r w:rsidR="00A64010" w:rsidRPr="00D5464D">
        <w:rPr>
          <w:rFonts w:eastAsia="Batang" w:cs="Times"/>
          <w:szCs w:val="24"/>
          <w:lang w:val="pt-BR"/>
        </w:rPr>
        <w:t xml:space="preserve">fornecido </w:t>
      </w:r>
      <w:r w:rsidR="00E045D9" w:rsidRPr="00D5464D">
        <w:rPr>
          <w:rFonts w:eastAsia="Batang" w:cs="Times"/>
          <w:szCs w:val="24"/>
          <w:lang w:val="pt-BR"/>
        </w:rPr>
        <w:t xml:space="preserve">às </w:t>
      </w:r>
      <w:r w:rsidR="002C330E" w:rsidRPr="00D5464D">
        <w:rPr>
          <w:rFonts w:eastAsia="Batang" w:cs="Times"/>
          <w:szCs w:val="24"/>
          <w:lang w:val="pt-BR"/>
        </w:rPr>
        <w:t>suposta</w:t>
      </w:r>
      <w:r w:rsidR="003D2515" w:rsidRPr="00D5464D">
        <w:rPr>
          <w:rFonts w:eastAsia="Batang" w:cs="Times"/>
          <w:szCs w:val="24"/>
          <w:lang w:val="pt-BR"/>
        </w:rPr>
        <w:t xml:space="preserve">s </w:t>
      </w:r>
      <w:r w:rsidR="00E045D9" w:rsidRPr="00D5464D">
        <w:rPr>
          <w:rFonts w:eastAsia="Batang" w:cs="Times"/>
          <w:szCs w:val="24"/>
          <w:lang w:val="pt-BR"/>
        </w:rPr>
        <w:t>vítima</w:t>
      </w:r>
      <w:r w:rsidR="00BA1ACF" w:rsidRPr="00D5464D">
        <w:rPr>
          <w:rFonts w:eastAsia="Batang" w:cs="Times"/>
          <w:szCs w:val="24"/>
          <w:lang w:val="pt-BR"/>
        </w:rPr>
        <w:t xml:space="preserve">s </w:t>
      </w:r>
      <w:r w:rsidR="00E045D9" w:rsidRPr="00D5464D">
        <w:rPr>
          <w:rFonts w:eastAsia="Batang" w:cs="Times"/>
          <w:szCs w:val="24"/>
          <w:lang w:val="pt-BR"/>
        </w:rPr>
        <w:t xml:space="preserve">um </w:t>
      </w:r>
      <w:r w:rsidR="00BA1ACF" w:rsidRPr="00D5464D">
        <w:rPr>
          <w:rFonts w:eastAsia="Batang" w:cs="Times"/>
          <w:szCs w:val="24"/>
          <w:lang w:val="pt-BR"/>
        </w:rPr>
        <w:t xml:space="preserve">mecanismo judicial </w:t>
      </w:r>
      <w:r w:rsidRPr="00D5464D">
        <w:rPr>
          <w:rFonts w:eastAsia="Batang" w:cs="Times"/>
          <w:szCs w:val="24"/>
          <w:lang w:val="pt-BR"/>
        </w:rPr>
        <w:t>efetiv</w:t>
      </w:r>
      <w:r w:rsidR="00BA1ACF" w:rsidRPr="00D5464D">
        <w:rPr>
          <w:rFonts w:eastAsia="Batang" w:cs="Times"/>
          <w:szCs w:val="24"/>
          <w:lang w:val="pt-BR"/>
        </w:rPr>
        <w:t>o para</w:t>
      </w:r>
      <w:r w:rsidR="002C330E" w:rsidRPr="00D5464D">
        <w:rPr>
          <w:rFonts w:eastAsia="Batang" w:cs="Times"/>
          <w:szCs w:val="24"/>
          <w:lang w:val="pt-BR"/>
        </w:rPr>
        <w:t xml:space="preserve"> a proteção</w:t>
      </w:r>
      <w:r w:rsidR="00BA1ACF" w:rsidRPr="00D5464D">
        <w:rPr>
          <w:rFonts w:eastAsia="Batang" w:cs="Times"/>
          <w:szCs w:val="24"/>
          <w:lang w:val="pt-BR"/>
        </w:rPr>
        <w:t xml:space="preserve"> de </w:t>
      </w:r>
      <w:r w:rsidR="00E045D9" w:rsidRPr="00D5464D">
        <w:rPr>
          <w:rFonts w:eastAsia="Batang" w:cs="Times"/>
          <w:szCs w:val="24"/>
          <w:lang w:val="pt-BR"/>
        </w:rPr>
        <w:t>seus direitos</w:t>
      </w:r>
      <w:r w:rsidR="00BA1ACF" w:rsidRPr="00D5464D">
        <w:rPr>
          <w:rFonts w:eastAsia="Batang" w:cs="Times"/>
          <w:szCs w:val="24"/>
          <w:lang w:val="pt-BR"/>
        </w:rPr>
        <w:t>,</w:t>
      </w:r>
      <w:r w:rsidR="002C330E" w:rsidRPr="00D5464D">
        <w:rPr>
          <w:rFonts w:eastAsia="Batang" w:cs="Times"/>
          <w:szCs w:val="24"/>
          <w:lang w:val="pt-BR"/>
        </w:rPr>
        <w:t xml:space="preserve"> a </w:t>
      </w:r>
      <w:r w:rsidR="00A64010" w:rsidRPr="00D5464D">
        <w:rPr>
          <w:rFonts w:eastAsia="Batang" w:cs="Times"/>
          <w:szCs w:val="24"/>
          <w:lang w:val="pt-BR"/>
        </w:rPr>
        <w:t>puni</w:t>
      </w:r>
      <w:r w:rsidRPr="00D5464D">
        <w:rPr>
          <w:rFonts w:eastAsia="Batang" w:cs="Times"/>
          <w:szCs w:val="24"/>
          <w:lang w:val="pt-BR"/>
        </w:rPr>
        <w:t xml:space="preserve">ção dos </w:t>
      </w:r>
      <w:r w:rsidR="002C330E" w:rsidRPr="00D5464D">
        <w:rPr>
          <w:rFonts w:eastAsia="Batang" w:cs="Times"/>
          <w:szCs w:val="24"/>
          <w:lang w:val="pt-BR"/>
        </w:rPr>
        <w:t>responsáveis</w:t>
      </w:r>
      <w:r w:rsidR="00E045D9" w:rsidRPr="00D5464D">
        <w:rPr>
          <w:rFonts w:eastAsia="Batang" w:cs="Times"/>
          <w:szCs w:val="24"/>
          <w:lang w:val="pt-BR"/>
        </w:rPr>
        <w:t xml:space="preserve"> e </w:t>
      </w:r>
      <w:r w:rsidR="002C330E" w:rsidRPr="00D5464D">
        <w:rPr>
          <w:rFonts w:eastAsia="Batang" w:cs="Times"/>
          <w:szCs w:val="24"/>
          <w:lang w:val="pt-BR"/>
        </w:rPr>
        <w:t xml:space="preserve">a </w:t>
      </w:r>
      <w:r w:rsidR="00BA1ACF" w:rsidRPr="00D5464D">
        <w:rPr>
          <w:rFonts w:eastAsia="Batang" w:cs="Times"/>
          <w:szCs w:val="24"/>
          <w:lang w:val="pt-BR"/>
        </w:rPr>
        <w:t>obten</w:t>
      </w:r>
      <w:r w:rsidRPr="00D5464D">
        <w:rPr>
          <w:rFonts w:eastAsia="Batang" w:cs="Times"/>
          <w:szCs w:val="24"/>
          <w:lang w:val="pt-BR"/>
        </w:rPr>
        <w:t>ção</w:t>
      </w:r>
      <w:r w:rsidR="00BA1ACF" w:rsidRPr="00D5464D">
        <w:rPr>
          <w:rFonts w:eastAsia="Batang" w:cs="Times"/>
          <w:szCs w:val="24"/>
          <w:lang w:val="pt-BR"/>
        </w:rPr>
        <w:t xml:space="preserve"> de</w:t>
      </w:r>
      <w:r w:rsidR="00E045D9" w:rsidRPr="00D5464D">
        <w:rPr>
          <w:rFonts w:eastAsia="Batang" w:cs="Times"/>
          <w:szCs w:val="24"/>
          <w:lang w:val="pt-BR"/>
        </w:rPr>
        <w:t xml:space="preserve"> uma </w:t>
      </w:r>
      <w:r w:rsidR="00BA1ACF" w:rsidRPr="00D5464D">
        <w:rPr>
          <w:rFonts w:eastAsia="Batang" w:cs="Times"/>
          <w:szCs w:val="24"/>
          <w:lang w:val="pt-BR"/>
        </w:rPr>
        <w:t>repara</w:t>
      </w:r>
      <w:r w:rsidRPr="00D5464D">
        <w:rPr>
          <w:rFonts w:eastAsia="Batang" w:cs="Times"/>
          <w:szCs w:val="24"/>
          <w:lang w:val="pt-BR"/>
        </w:rPr>
        <w:t>ção</w:t>
      </w:r>
      <w:r w:rsidR="00BA1ACF" w:rsidRPr="00D5464D">
        <w:rPr>
          <w:rFonts w:eastAsia="Batang" w:cs="Times"/>
          <w:szCs w:val="24"/>
          <w:lang w:val="pt-BR"/>
        </w:rPr>
        <w:t xml:space="preserve">. </w:t>
      </w:r>
      <w:r w:rsidR="00B64BE7" w:rsidRPr="00D5464D">
        <w:rPr>
          <w:rFonts w:eastAsia="Batang" w:cs="Times"/>
          <w:szCs w:val="24"/>
          <w:lang w:val="pt-BR"/>
        </w:rPr>
        <w:t>Finalmente</w:t>
      </w:r>
      <w:r w:rsidR="00BA1ACF" w:rsidRPr="00D5464D">
        <w:rPr>
          <w:rFonts w:eastAsia="Batang" w:cs="Times"/>
          <w:szCs w:val="24"/>
          <w:lang w:val="pt-BR"/>
        </w:rPr>
        <w:t>, alega</w:t>
      </w:r>
      <w:r w:rsidR="00A64010" w:rsidRPr="00D5464D">
        <w:rPr>
          <w:rFonts w:eastAsia="Batang" w:cs="Times"/>
          <w:szCs w:val="24"/>
          <w:lang w:val="pt-BR"/>
        </w:rPr>
        <w:t>-se</w:t>
      </w:r>
      <w:r w:rsidR="002C330E" w:rsidRPr="00D5464D">
        <w:rPr>
          <w:rFonts w:eastAsia="Batang" w:cs="Times"/>
          <w:szCs w:val="24"/>
          <w:lang w:val="pt-BR"/>
        </w:rPr>
        <w:t xml:space="preserve"> a responsabilidade </w:t>
      </w:r>
      <w:r w:rsidR="00BA1ACF" w:rsidRPr="00D5464D">
        <w:rPr>
          <w:rFonts w:eastAsia="Batang" w:cs="Times"/>
          <w:szCs w:val="24"/>
          <w:lang w:val="pt-BR"/>
        </w:rPr>
        <w:t xml:space="preserve">internacional </w:t>
      </w:r>
      <w:r w:rsidRPr="00D5464D">
        <w:rPr>
          <w:rFonts w:eastAsia="Batang" w:cs="Times"/>
          <w:szCs w:val="24"/>
          <w:lang w:val="pt-BR"/>
        </w:rPr>
        <w:t xml:space="preserve">do </w:t>
      </w:r>
      <w:r w:rsidR="00BA1ACF" w:rsidRPr="00D5464D">
        <w:rPr>
          <w:rFonts w:eastAsia="Batang" w:cs="Times"/>
          <w:szCs w:val="24"/>
          <w:lang w:val="pt-BR"/>
        </w:rPr>
        <w:t>Estado</w:t>
      </w:r>
      <w:r w:rsidR="002C330E" w:rsidRPr="00D5464D">
        <w:rPr>
          <w:rFonts w:eastAsia="Batang" w:cs="Times"/>
          <w:szCs w:val="24"/>
          <w:lang w:val="pt-BR"/>
        </w:rPr>
        <w:t xml:space="preserve"> pel</w:t>
      </w:r>
      <w:r w:rsidR="00E045D9" w:rsidRPr="00D5464D">
        <w:rPr>
          <w:rFonts w:eastAsia="Batang" w:cs="Times"/>
          <w:szCs w:val="24"/>
          <w:lang w:val="pt-BR"/>
        </w:rPr>
        <w:t>o desaparecimento</w:t>
      </w:r>
      <w:r w:rsidR="00BA1ACF" w:rsidRPr="00D5464D">
        <w:rPr>
          <w:rFonts w:eastAsia="Batang" w:cs="Times"/>
          <w:szCs w:val="24"/>
          <w:lang w:val="pt-BR"/>
        </w:rPr>
        <w:t xml:space="preserve"> de do</w:t>
      </w:r>
      <w:r w:rsidR="00A64010" w:rsidRPr="00D5464D">
        <w:rPr>
          <w:rFonts w:eastAsia="Batang" w:cs="Times"/>
          <w:szCs w:val="24"/>
          <w:lang w:val="pt-BR"/>
        </w:rPr>
        <w:t>i</w:t>
      </w:r>
      <w:r w:rsidR="00BA1ACF" w:rsidRPr="00D5464D">
        <w:rPr>
          <w:rFonts w:eastAsia="Batang" w:cs="Times"/>
          <w:szCs w:val="24"/>
          <w:lang w:val="pt-BR"/>
        </w:rPr>
        <w:t>s adolescentes,</w:t>
      </w:r>
      <w:r w:rsidR="00A64010" w:rsidRPr="00D5464D">
        <w:rPr>
          <w:rFonts w:eastAsia="Batang" w:cs="Times"/>
          <w:szCs w:val="24"/>
          <w:lang w:val="pt-BR"/>
        </w:rPr>
        <w:t xml:space="preserve"> o</w:t>
      </w:r>
      <w:r w:rsidR="002C330E" w:rsidRPr="00D5464D">
        <w:rPr>
          <w:rFonts w:eastAsia="Batang" w:cs="Times"/>
          <w:szCs w:val="24"/>
          <w:lang w:val="pt-BR"/>
        </w:rPr>
        <w:t xml:space="preserve"> </w:t>
      </w:r>
      <w:r w:rsidRPr="00D5464D">
        <w:rPr>
          <w:rFonts w:eastAsia="Batang" w:cs="Times"/>
          <w:szCs w:val="24"/>
          <w:lang w:val="pt-BR"/>
        </w:rPr>
        <w:t xml:space="preserve">qual foi </w:t>
      </w:r>
      <w:r w:rsidR="00A64010" w:rsidRPr="00D5464D">
        <w:rPr>
          <w:rFonts w:eastAsia="Batang" w:cs="Times"/>
          <w:szCs w:val="24"/>
          <w:lang w:val="pt-BR"/>
        </w:rPr>
        <w:t>denunciado</w:t>
      </w:r>
      <w:r w:rsidR="00BA1ACF" w:rsidRPr="00D5464D">
        <w:rPr>
          <w:rFonts w:eastAsia="Batang" w:cs="Times"/>
          <w:szCs w:val="24"/>
          <w:lang w:val="pt-BR"/>
        </w:rPr>
        <w:t xml:space="preserve"> </w:t>
      </w:r>
      <w:r w:rsidR="00A64010" w:rsidRPr="00D5464D">
        <w:rPr>
          <w:rFonts w:eastAsia="Batang" w:cs="Times"/>
          <w:szCs w:val="24"/>
          <w:lang w:val="pt-BR"/>
        </w:rPr>
        <w:t xml:space="preserve">a </w:t>
      </w:r>
      <w:r w:rsidR="00BA1ACF" w:rsidRPr="00D5464D">
        <w:rPr>
          <w:rFonts w:eastAsia="Batang" w:cs="Times"/>
          <w:szCs w:val="24"/>
          <w:lang w:val="pt-BR"/>
        </w:rPr>
        <w:t>autoridades esta</w:t>
      </w:r>
      <w:r w:rsidR="00E045D9" w:rsidRPr="00D5464D">
        <w:rPr>
          <w:rFonts w:eastAsia="Batang" w:cs="Times"/>
          <w:szCs w:val="24"/>
          <w:lang w:val="pt-BR"/>
        </w:rPr>
        <w:t>tais</w:t>
      </w:r>
      <w:r w:rsidR="002C330E" w:rsidRPr="00D5464D">
        <w:rPr>
          <w:rFonts w:eastAsia="Batang" w:cs="Times"/>
          <w:szCs w:val="24"/>
          <w:lang w:val="pt-BR"/>
        </w:rPr>
        <w:t xml:space="preserve"> em </w:t>
      </w:r>
      <w:r w:rsidR="00350187" w:rsidRPr="00D5464D">
        <w:rPr>
          <w:rFonts w:eastAsia="Batang" w:cs="Times"/>
          <w:szCs w:val="24"/>
          <w:lang w:val="pt-BR"/>
        </w:rPr>
        <w:t xml:space="preserve">21 </w:t>
      </w:r>
      <w:r w:rsidR="00A1358C" w:rsidRPr="00D5464D">
        <w:rPr>
          <w:rFonts w:eastAsia="Batang" w:cs="Times"/>
          <w:szCs w:val="24"/>
          <w:lang w:val="pt-BR"/>
        </w:rPr>
        <w:t>de dezembro</w:t>
      </w:r>
      <w:r w:rsidR="00BA1ACF" w:rsidRPr="00D5464D">
        <w:rPr>
          <w:rFonts w:eastAsia="Batang" w:cs="Times"/>
          <w:szCs w:val="24"/>
          <w:lang w:val="pt-BR"/>
        </w:rPr>
        <w:t xml:space="preserve"> de 1988,</w:t>
      </w:r>
      <w:r w:rsidR="002C330E" w:rsidRPr="00D5464D">
        <w:rPr>
          <w:rFonts w:eastAsia="Batang" w:cs="Times"/>
          <w:szCs w:val="24"/>
          <w:lang w:val="pt-BR"/>
        </w:rPr>
        <w:t xml:space="preserve"> sem </w:t>
      </w:r>
      <w:r w:rsidR="00BA1ACF" w:rsidRPr="00D5464D">
        <w:rPr>
          <w:rFonts w:eastAsia="Batang" w:cs="Times"/>
          <w:szCs w:val="24"/>
          <w:lang w:val="pt-BR"/>
        </w:rPr>
        <w:t>que</w:t>
      </w:r>
      <w:r w:rsidR="00A64010" w:rsidRPr="00D5464D">
        <w:rPr>
          <w:rFonts w:eastAsia="Batang" w:cs="Times"/>
          <w:szCs w:val="24"/>
          <w:lang w:val="pt-BR"/>
        </w:rPr>
        <w:t>,</w:t>
      </w:r>
      <w:r w:rsidR="00BA1ACF" w:rsidRPr="00D5464D">
        <w:rPr>
          <w:rFonts w:eastAsia="Batang" w:cs="Times"/>
          <w:szCs w:val="24"/>
          <w:lang w:val="pt-BR"/>
        </w:rPr>
        <w:t xml:space="preserve"> </w:t>
      </w:r>
      <w:r w:rsidR="002C330E" w:rsidRPr="00D5464D">
        <w:rPr>
          <w:rFonts w:eastAsia="Batang" w:cs="Times"/>
          <w:szCs w:val="24"/>
          <w:lang w:val="pt-BR"/>
        </w:rPr>
        <w:t>suposta</w:t>
      </w:r>
      <w:r w:rsidR="000F4A9C" w:rsidRPr="00D5464D">
        <w:rPr>
          <w:rFonts w:eastAsia="Batang" w:cs="Times"/>
          <w:szCs w:val="24"/>
          <w:lang w:val="pt-BR"/>
        </w:rPr>
        <w:t>mente</w:t>
      </w:r>
      <w:r w:rsidR="00A64010" w:rsidRPr="00D5464D">
        <w:rPr>
          <w:rFonts w:eastAsia="Batang" w:cs="Times"/>
          <w:szCs w:val="24"/>
          <w:lang w:val="pt-BR"/>
        </w:rPr>
        <w:t>,</w:t>
      </w:r>
      <w:r w:rsidR="000F4A9C" w:rsidRPr="00D5464D">
        <w:rPr>
          <w:rFonts w:eastAsia="Batang" w:cs="Times"/>
          <w:szCs w:val="24"/>
          <w:lang w:val="pt-BR"/>
        </w:rPr>
        <w:t xml:space="preserve"> </w:t>
      </w:r>
      <w:r w:rsidR="00A64010" w:rsidRPr="00D5464D">
        <w:rPr>
          <w:rFonts w:eastAsia="Batang" w:cs="Times"/>
          <w:szCs w:val="24"/>
          <w:lang w:val="pt-BR"/>
        </w:rPr>
        <w:t xml:space="preserve">houvessem sido adotadas </w:t>
      </w:r>
      <w:r w:rsidR="00BA1ACF" w:rsidRPr="00D5464D">
        <w:rPr>
          <w:rFonts w:eastAsia="Batang" w:cs="Times"/>
          <w:szCs w:val="24"/>
          <w:lang w:val="pt-BR"/>
        </w:rPr>
        <w:t xml:space="preserve">medidas </w:t>
      </w:r>
      <w:r w:rsidRPr="00D5464D">
        <w:rPr>
          <w:rFonts w:eastAsia="Batang" w:cs="Times"/>
          <w:szCs w:val="24"/>
          <w:lang w:val="pt-BR"/>
        </w:rPr>
        <w:t>efetiv</w:t>
      </w:r>
      <w:r w:rsidR="00BA1ACF" w:rsidRPr="00D5464D">
        <w:rPr>
          <w:rFonts w:eastAsia="Batang" w:cs="Times"/>
          <w:szCs w:val="24"/>
          <w:lang w:val="pt-BR"/>
        </w:rPr>
        <w:t xml:space="preserve">as para </w:t>
      </w:r>
      <w:r w:rsidR="00A64010" w:rsidRPr="00D5464D">
        <w:rPr>
          <w:rFonts w:eastAsia="Batang" w:cs="Times"/>
          <w:szCs w:val="24"/>
          <w:lang w:val="pt-BR"/>
        </w:rPr>
        <w:t xml:space="preserve">determinar o </w:t>
      </w:r>
      <w:r w:rsidR="00A1358C" w:rsidRPr="00D5464D">
        <w:rPr>
          <w:rFonts w:eastAsia="Batang" w:cs="Times"/>
          <w:szCs w:val="24"/>
          <w:lang w:val="pt-BR"/>
        </w:rPr>
        <w:t>seu paradeiro</w:t>
      </w:r>
      <w:r w:rsidR="00BA1ACF" w:rsidRPr="00D5464D">
        <w:rPr>
          <w:rFonts w:eastAsia="Batang" w:cs="Times"/>
          <w:szCs w:val="24"/>
          <w:lang w:val="pt-BR"/>
        </w:rPr>
        <w:t>.</w:t>
      </w:r>
    </w:p>
    <w:p w14:paraId="178D3F61" w14:textId="77777777" w:rsidR="00BA1ACF" w:rsidRPr="00D5464D" w:rsidRDefault="00BA1ACF" w:rsidP="00140440">
      <w:pPr>
        <w:tabs>
          <w:tab w:val="clear" w:pos="4419"/>
          <w:tab w:val="clear" w:pos="8838"/>
        </w:tabs>
        <w:autoSpaceDE w:val="0"/>
        <w:autoSpaceDN w:val="0"/>
        <w:adjustRightInd w:val="0"/>
        <w:ind w:right="4"/>
        <w:jc w:val="both"/>
        <w:rPr>
          <w:rFonts w:eastAsia="Batang" w:cs="Times"/>
          <w:szCs w:val="20"/>
          <w:lang w:val="pt-BR"/>
        </w:rPr>
      </w:pPr>
    </w:p>
    <w:p w14:paraId="20C52663" w14:textId="30E39F90" w:rsidR="00BA1ACF" w:rsidRPr="00D5464D" w:rsidRDefault="00E045D9" w:rsidP="00140440">
      <w:pPr>
        <w:numPr>
          <w:ilvl w:val="0"/>
          <w:numId w:val="1"/>
        </w:numPr>
        <w:tabs>
          <w:tab w:val="clear" w:pos="4419"/>
          <w:tab w:val="clear" w:pos="8838"/>
          <w:tab w:val="left" w:pos="540"/>
        </w:tabs>
        <w:ind w:right="4"/>
        <w:jc w:val="both"/>
        <w:rPr>
          <w:rFonts w:eastAsia="Batang" w:cs="Times"/>
          <w:szCs w:val="24"/>
          <w:lang w:val="pt-BR"/>
        </w:rPr>
      </w:pPr>
      <w:r w:rsidRPr="00D5464D">
        <w:rPr>
          <w:rFonts w:eastAsia="Batang" w:cs="Times"/>
          <w:i/>
          <w:szCs w:val="24"/>
          <w:lang w:val="pt-BR"/>
        </w:rPr>
        <w:t>Trâmite</w:t>
      </w:r>
      <w:r w:rsidR="00470ADC" w:rsidRPr="00D5464D">
        <w:rPr>
          <w:rFonts w:eastAsia="Batang" w:cs="Times"/>
          <w:i/>
          <w:szCs w:val="24"/>
          <w:lang w:val="pt-BR"/>
        </w:rPr>
        <w:t xml:space="preserve"> perante a Comissão</w:t>
      </w:r>
      <w:r w:rsidR="00BA1ACF" w:rsidRPr="00D5464D">
        <w:rPr>
          <w:rFonts w:eastAsia="Batang" w:cs="Times"/>
          <w:i/>
          <w:szCs w:val="24"/>
          <w:lang w:val="pt-BR"/>
        </w:rPr>
        <w:t xml:space="preserve">. </w:t>
      </w:r>
      <w:r w:rsidR="00BA1ACF" w:rsidRPr="00D5464D">
        <w:rPr>
          <w:rFonts w:eastAsia="Batang" w:cs="Times"/>
          <w:szCs w:val="24"/>
          <w:lang w:val="pt-BR"/>
        </w:rPr>
        <w:t>–</w:t>
      </w:r>
      <w:bookmarkEnd w:id="5"/>
      <w:r w:rsidR="00470ADC" w:rsidRPr="00D5464D">
        <w:rPr>
          <w:rFonts w:eastAsia="Batang" w:cs="Times"/>
          <w:szCs w:val="24"/>
          <w:lang w:val="pt-BR"/>
        </w:rPr>
        <w:t xml:space="preserve"> </w:t>
      </w:r>
      <w:r w:rsidR="00A64010" w:rsidRPr="00D5464D">
        <w:rPr>
          <w:rFonts w:eastAsia="Batang" w:cs="Times"/>
          <w:szCs w:val="24"/>
          <w:lang w:val="pt-BR"/>
        </w:rPr>
        <w:t>O</w:t>
      </w:r>
      <w:r w:rsidR="00470ADC" w:rsidRPr="00D5464D">
        <w:rPr>
          <w:rFonts w:eastAsia="Batang" w:cs="Times"/>
          <w:szCs w:val="24"/>
          <w:lang w:val="pt-BR"/>
        </w:rPr>
        <w:t xml:space="preserve"> </w:t>
      </w:r>
      <w:r w:rsidRPr="00D5464D">
        <w:rPr>
          <w:rFonts w:eastAsia="Batang" w:cs="Times"/>
          <w:szCs w:val="24"/>
          <w:lang w:val="pt-BR"/>
        </w:rPr>
        <w:t>trâmite</w:t>
      </w:r>
      <w:r w:rsidR="00BA1ACF" w:rsidRPr="00D5464D">
        <w:rPr>
          <w:rFonts w:eastAsia="Batang" w:cs="Times"/>
          <w:szCs w:val="24"/>
          <w:lang w:val="pt-BR"/>
        </w:rPr>
        <w:t xml:space="preserve"> </w:t>
      </w:r>
      <w:r w:rsidR="00470ADC" w:rsidRPr="00D5464D">
        <w:rPr>
          <w:rFonts w:eastAsia="Batang" w:cs="Times"/>
          <w:szCs w:val="24"/>
          <w:lang w:val="pt-BR"/>
        </w:rPr>
        <w:t xml:space="preserve">do </w:t>
      </w:r>
      <w:r w:rsidR="00BA1ACF" w:rsidRPr="00D5464D">
        <w:rPr>
          <w:rFonts w:eastAsia="Batang" w:cs="Times"/>
          <w:szCs w:val="24"/>
          <w:lang w:val="pt-BR"/>
        </w:rPr>
        <w:t>caso</w:t>
      </w:r>
      <w:r w:rsidR="00470ADC" w:rsidRPr="00D5464D">
        <w:rPr>
          <w:rFonts w:eastAsia="Batang" w:cs="Times"/>
          <w:szCs w:val="24"/>
          <w:lang w:val="pt-BR"/>
        </w:rPr>
        <w:t xml:space="preserve"> perante a Comissão</w:t>
      </w:r>
      <w:r w:rsidR="00BA1ACF" w:rsidRPr="00D5464D">
        <w:rPr>
          <w:rFonts w:eastAsia="Batang" w:cs="Times"/>
          <w:szCs w:val="24"/>
          <w:lang w:val="pt-BR"/>
        </w:rPr>
        <w:t xml:space="preserve"> Interamericana</w:t>
      </w:r>
      <w:r w:rsidR="00470ADC" w:rsidRPr="00D5464D">
        <w:rPr>
          <w:rFonts w:eastAsia="Batang" w:cs="Times"/>
          <w:szCs w:val="24"/>
          <w:lang w:val="pt-BR"/>
        </w:rPr>
        <w:t xml:space="preserve"> foi o </w:t>
      </w:r>
      <w:r w:rsidR="002C330E" w:rsidRPr="00D5464D">
        <w:rPr>
          <w:rFonts w:eastAsia="Batang" w:cs="Times"/>
          <w:szCs w:val="24"/>
          <w:lang w:val="pt-BR"/>
        </w:rPr>
        <w:t>seguinte</w:t>
      </w:r>
      <w:r w:rsidR="00BA1ACF" w:rsidRPr="00D5464D">
        <w:rPr>
          <w:rFonts w:eastAsia="Batang" w:cs="Times"/>
          <w:szCs w:val="24"/>
          <w:lang w:val="pt-BR"/>
        </w:rPr>
        <w:t>:</w:t>
      </w:r>
    </w:p>
    <w:p w14:paraId="465E55A4" w14:textId="77777777" w:rsidR="00BA1ACF" w:rsidRPr="00D5464D" w:rsidRDefault="00BA1ACF" w:rsidP="00140440">
      <w:pPr>
        <w:tabs>
          <w:tab w:val="clear" w:pos="4419"/>
          <w:tab w:val="clear" w:pos="8838"/>
        </w:tabs>
        <w:jc w:val="both"/>
        <w:rPr>
          <w:rFonts w:eastAsia="Batang" w:cs="Times"/>
          <w:szCs w:val="24"/>
          <w:lang w:val="pt-BR"/>
        </w:rPr>
      </w:pPr>
    </w:p>
    <w:p w14:paraId="2C085ED4" w14:textId="53547949" w:rsidR="00BA1ACF" w:rsidRPr="00D5464D" w:rsidRDefault="00BA1ACF" w:rsidP="00140440">
      <w:pPr>
        <w:numPr>
          <w:ilvl w:val="0"/>
          <w:numId w:val="2"/>
        </w:numPr>
        <w:tabs>
          <w:tab w:val="clear" w:pos="4419"/>
          <w:tab w:val="clear" w:pos="8838"/>
        </w:tabs>
        <w:ind w:right="4"/>
        <w:jc w:val="both"/>
        <w:rPr>
          <w:rFonts w:eastAsia="Batang" w:cs="Times"/>
          <w:szCs w:val="24"/>
          <w:lang w:val="pt-BR"/>
        </w:rPr>
      </w:pPr>
      <w:r w:rsidRPr="00D5464D">
        <w:rPr>
          <w:rFonts w:eastAsia="Batang" w:cs="Times"/>
          <w:i/>
          <w:szCs w:val="24"/>
          <w:lang w:val="pt-BR"/>
        </w:rPr>
        <w:t>Peti</w:t>
      </w:r>
      <w:r w:rsidR="00470ADC" w:rsidRPr="00D5464D">
        <w:rPr>
          <w:rFonts w:eastAsia="Batang" w:cs="Times"/>
          <w:i/>
          <w:szCs w:val="24"/>
          <w:lang w:val="pt-BR"/>
        </w:rPr>
        <w:t>ção</w:t>
      </w:r>
      <w:r w:rsidRPr="00D5464D">
        <w:rPr>
          <w:rFonts w:eastAsia="Batang" w:cs="Times"/>
          <w:i/>
          <w:szCs w:val="24"/>
          <w:lang w:val="pt-BR"/>
        </w:rPr>
        <w:t>. –</w:t>
      </w:r>
      <w:r w:rsidR="00C91CB1" w:rsidRPr="00D5464D">
        <w:rPr>
          <w:rFonts w:eastAsia="Batang" w:cs="Times"/>
          <w:i/>
          <w:szCs w:val="24"/>
          <w:lang w:val="pt-BR"/>
        </w:rPr>
        <w:t xml:space="preserve"> </w:t>
      </w:r>
      <w:r w:rsidR="00A64010" w:rsidRPr="00D5464D">
        <w:rPr>
          <w:rFonts w:eastAsia="Batang" w:cs="Times"/>
          <w:szCs w:val="24"/>
          <w:lang w:val="pt-BR"/>
        </w:rPr>
        <w:t xml:space="preserve">Em </w:t>
      </w:r>
      <w:r w:rsidR="00C91CB1" w:rsidRPr="00D5464D">
        <w:rPr>
          <w:rFonts w:eastAsia="Batang" w:cs="Times"/>
          <w:szCs w:val="24"/>
          <w:lang w:val="pt-BR"/>
        </w:rPr>
        <w:t>1</w:t>
      </w:r>
      <w:r w:rsidRPr="00D5464D">
        <w:rPr>
          <w:rFonts w:eastAsia="Batang" w:cs="Times"/>
          <w:szCs w:val="24"/>
          <w:lang w:val="pt-BR"/>
        </w:rPr>
        <w:t xml:space="preserve">2 de </w:t>
      </w:r>
      <w:r w:rsidR="002C330E" w:rsidRPr="00D5464D">
        <w:rPr>
          <w:rFonts w:eastAsia="Batang" w:cs="Times"/>
          <w:szCs w:val="24"/>
          <w:lang w:val="pt-BR"/>
        </w:rPr>
        <w:t>novembro</w:t>
      </w:r>
      <w:r w:rsidRPr="00D5464D">
        <w:rPr>
          <w:rFonts w:eastAsia="Batang" w:cs="Times"/>
          <w:szCs w:val="24"/>
          <w:lang w:val="pt-BR"/>
        </w:rPr>
        <w:t xml:space="preserve"> de 1998</w:t>
      </w:r>
      <w:r w:rsidR="00A64010" w:rsidRPr="00D5464D">
        <w:rPr>
          <w:rFonts w:eastAsia="Batang" w:cs="Times"/>
          <w:szCs w:val="24"/>
          <w:lang w:val="pt-BR"/>
        </w:rPr>
        <w:t>,</w:t>
      </w:r>
      <w:r w:rsidR="002C330E" w:rsidRPr="00D5464D">
        <w:rPr>
          <w:rFonts w:eastAsia="Batang" w:cs="Times"/>
          <w:szCs w:val="24"/>
          <w:lang w:val="pt-BR"/>
        </w:rPr>
        <w:t xml:space="preserve"> a </w:t>
      </w:r>
      <w:r w:rsidR="00470ADC" w:rsidRPr="00D5464D">
        <w:rPr>
          <w:rFonts w:eastAsia="Batang" w:cs="Times"/>
          <w:szCs w:val="24"/>
          <w:lang w:val="pt-BR"/>
        </w:rPr>
        <w:t>Comissão</w:t>
      </w:r>
      <w:r w:rsidRPr="00D5464D">
        <w:rPr>
          <w:rFonts w:eastAsia="Batang" w:cs="Times"/>
          <w:szCs w:val="24"/>
          <w:lang w:val="pt-BR"/>
        </w:rPr>
        <w:t xml:space="preserve"> Interamericana </w:t>
      </w:r>
      <w:r w:rsidR="002C330E" w:rsidRPr="00D5464D">
        <w:rPr>
          <w:rFonts w:eastAsia="Batang" w:cs="Times"/>
          <w:szCs w:val="24"/>
          <w:lang w:val="pt-BR"/>
        </w:rPr>
        <w:t xml:space="preserve">recebeu a </w:t>
      </w:r>
      <w:r w:rsidRPr="00D5464D">
        <w:rPr>
          <w:rFonts w:eastAsia="Batang" w:cs="Times"/>
          <w:szCs w:val="24"/>
          <w:lang w:val="pt-BR"/>
        </w:rPr>
        <w:t>peti</w:t>
      </w:r>
      <w:r w:rsidR="00470ADC" w:rsidRPr="00D5464D">
        <w:rPr>
          <w:rFonts w:eastAsia="Batang" w:cs="Times"/>
          <w:szCs w:val="24"/>
          <w:lang w:val="pt-BR"/>
        </w:rPr>
        <w:t>ção</w:t>
      </w:r>
      <w:r w:rsidRPr="00D5464D">
        <w:rPr>
          <w:rFonts w:eastAsia="Batang" w:cs="Times"/>
          <w:szCs w:val="24"/>
          <w:lang w:val="pt-BR"/>
        </w:rPr>
        <w:t xml:space="preserve"> inicial</w:t>
      </w:r>
      <w:r w:rsidR="002C330E" w:rsidRPr="00D5464D">
        <w:rPr>
          <w:rFonts w:eastAsia="Batang" w:cs="Times"/>
          <w:szCs w:val="24"/>
          <w:lang w:val="pt-BR"/>
        </w:rPr>
        <w:t xml:space="preserve"> apresentada pela </w:t>
      </w:r>
      <w:r w:rsidR="00470ADC" w:rsidRPr="00D5464D">
        <w:rPr>
          <w:rFonts w:eastAsia="Batang" w:cs="Times"/>
          <w:szCs w:val="24"/>
          <w:lang w:val="pt-BR"/>
        </w:rPr>
        <w:t>Comissão</w:t>
      </w:r>
      <w:r w:rsidRPr="00D5464D">
        <w:rPr>
          <w:rFonts w:eastAsia="Batang" w:cs="Times"/>
          <w:szCs w:val="24"/>
          <w:lang w:val="pt-BR"/>
        </w:rPr>
        <w:t xml:space="preserve"> Pastor</w:t>
      </w:r>
      <w:r w:rsidR="007B4B35" w:rsidRPr="00D5464D">
        <w:rPr>
          <w:rFonts w:eastAsia="Batang" w:cs="Times"/>
          <w:szCs w:val="24"/>
          <w:lang w:val="pt-BR"/>
        </w:rPr>
        <w:t>al</w:t>
      </w:r>
      <w:r w:rsidR="00470ADC" w:rsidRPr="00D5464D">
        <w:rPr>
          <w:rFonts w:eastAsia="Batang" w:cs="Times"/>
          <w:szCs w:val="24"/>
          <w:lang w:val="pt-BR"/>
        </w:rPr>
        <w:t xml:space="preserve"> da </w:t>
      </w:r>
      <w:r w:rsidR="00E045D9" w:rsidRPr="00D5464D">
        <w:rPr>
          <w:rFonts w:eastAsia="Batang" w:cs="Times"/>
          <w:szCs w:val="24"/>
          <w:lang w:val="pt-BR"/>
        </w:rPr>
        <w:t>Terra</w:t>
      </w:r>
      <w:r w:rsidR="007B4B35" w:rsidRPr="00D5464D">
        <w:rPr>
          <w:rFonts w:eastAsia="Batang" w:cs="Times"/>
          <w:szCs w:val="24"/>
          <w:lang w:val="pt-BR"/>
        </w:rPr>
        <w:t xml:space="preserve"> (</w:t>
      </w:r>
      <w:r w:rsidR="00350187" w:rsidRPr="00D5464D">
        <w:rPr>
          <w:rFonts w:eastAsia="Batang" w:cs="Times"/>
          <w:szCs w:val="24"/>
          <w:lang w:val="pt-BR"/>
        </w:rPr>
        <w:t>doravante denominad</w:t>
      </w:r>
      <w:r w:rsidR="00A64010" w:rsidRPr="00D5464D">
        <w:rPr>
          <w:rFonts w:eastAsia="Batang" w:cs="Times"/>
          <w:szCs w:val="24"/>
          <w:lang w:val="pt-BR"/>
        </w:rPr>
        <w:t>a</w:t>
      </w:r>
      <w:r w:rsidR="007B4B35" w:rsidRPr="00D5464D">
        <w:rPr>
          <w:rFonts w:eastAsia="Batang" w:cs="Times"/>
          <w:szCs w:val="24"/>
          <w:lang w:val="pt-BR"/>
        </w:rPr>
        <w:t xml:space="preserve"> “C</w:t>
      </w:r>
      <w:r w:rsidRPr="00D5464D">
        <w:rPr>
          <w:rFonts w:eastAsia="Batang" w:cs="Times"/>
          <w:szCs w:val="24"/>
          <w:lang w:val="pt-BR"/>
        </w:rPr>
        <w:t>P</w:t>
      </w:r>
      <w:r w:rsidR="007B4B35" w:rsidRPr="00D5464D">
        <w:rPr>
          <w:rFonts w:eastAsia="Batang" w:cs="Times"/>
          <w:szCs w:val="24"/>
          <w:lang w:val="pt-BR"/>
        </w:rPr>
        <w:t>T</w:t>
      </w:r>
      <w:r w:rsidRPr="00D5464D">
        <w:rPr>
          <w:rFonts w:eastAsia="Batang" w:cs="Times"/>
          <w:szCs w:val="24"/>
          <w:lang w:val="pt-BR"/>
        </w:rPr>
        <w:t>”)</w:t>
      </w:r>
      <w:r w:rsidR="00E045D9" w:rsidRPr="00D5464D">
        <w:rPr>
          <w:rFonts w:eastAsia="Batang" w:cs="Times"/>
          <w:szCs w:val="24"/>
          <w:lang w:val="pt-BR"/>
        </w:rPr>
        <w:t xml:space="preserve"> e </w:t>
      </w:r>
      <w:r w:rsidR="00470ADC" w:rsidRPr="00D5464D">
        <w:rPr>
          <w:rFonts w:eastAsia="Batang" w:cs="Times"/>
          <w:szCs w:val="24"/>
          <w:lang w:val="pt-BR"/>
        </w:rPr>
        <w:t xml:space="preserve">o </w:t>
      </w:r>
      <w:r w:rsidRPr="00D5464D">
        <w:rPr>
          <w:rFonts w:eastAsia="Batang" w:cs="Times"/>
          <w:szCs w:val="24"/>
          <w:lang w:val="pt-BR"/>
        </w:rPr>
        <w:t>Centro</w:t>
      </w:r>
      <w:r w:rsidR="002C330E" w:rsidRPr="00D5464D">
        <w:rPr>
          <w:rFonts w:eastAsia="Batang" w:cs="Times"/>
          <w:szCs w:val="24"/>
          <w:lang w:val="pt-BR"/>
        </w:rPr>
        <w:t xml:space="preserve"> pela Justiça</w:t>
      </w:r>
      <w:r w:rsidR="00E045D9" w:rsidRPr="00D5464D">
        <w:rPr>
          <w:rFonts w:eastAsia="Batang" w:cs="Times"/>
          <w:szCs w:val="24"/>
          <w:lang w:val="pt-BR"/>
        </w:rPr>
        <w:t xml:space="preserve"> e </w:t>
      </w:r>
      <w:r w:rsidR="00470ADC" w:rsidRPr="00D5464D">
        <w:rPr>
          <w:rFonts w:eastAsia="Batang" w:cs="Times"/>
          <w:szCs w:val="24"/>
          <w:lang w:val="pt-BR"/>
        </w:rPr>
        <w:t xml:space="preserve">o </w:t>
      </w:r>
      <w:r w:rsidR="00E765C2" w:rsidRPr="00D5464D">
        <w:rPr>
          <w:rFonts w:eastAsia="Batang" w:cs="Times"/>
          <w:szCs w:val="24"/>
          <w:lang w:val="pt-BR"/>
        </w:rPr>
        <w:t>Direito Internacional</w:t>
      </w:r>
      <w:r w:rsidRPr="00D5464D">
        <w:rPr>
          <w:rFonts w:eastAsia="Batang" w:cs="Times"/>
          <w:szCs w:val="24"/>
          <w:lang w:val="pt-BR"/>
        </w:rPr>
        <w:t xml:space="preserve"> (</w:t>
      </w:r>
      <w:r w:rsidR="00350187" w:rsidRPr="00D5464D">
        <w:rPr>
          <w:rFonts w:eastAsia="Batang" w:cs="Times"/>
          <w:szCs w:val="24"/>
          <w:lang w:val="pt-BR"/>
        </w:rPr>
        <w:t>doravante denominad</w:t>
      </w:r>
      <w:r w:rsidR="00A64010" w:rsidRPr="00D5464D">
        <w:rPr>
          <w:rFonts w:eastAsia="Batang" w:cs="Times"/>
          <w:szCs w:val="24"/>
          <w:lang w:val="pt-BR"/>
        </w:rPr>
        <w:t>o</w:t>
      </w:r>
      <w:r w:rsidRPr="00D5464D">
        <w:rPr>
          <w:rFonts w:eastAsia="Batang" w:cs="Times"/>
          <w:szCs w:val="24"/>
          <w:lang w:val="pt-BR"/>
        </w:rPr>
        <w:t xml:space="preserve"> “CEJIL”).</w:t>
      </w:r>
      <w:r w:rsidRPr="00D5464D">
        <w:rPr>
          <w:rFonts w:eastAsia="Batang" w:cs="Times"/>
          <w:b/>
          <w:szCs w:val="24"/>
          <w:lang w:val="pt-BR"/>
        </w:rPr>
        <w:t xml:space="preserve"> </w:t>
      </w:r>
    </w:p>
    <w:p w14:paraId="582AB438" w14:textId="77777777" w:rsidR="00BA1ACF" w:rsidRPr="00D5464D" w:rsidRDefault="00BA1ACF" w:rsidP="00140440">
      <w:pPr>
        <w:tabs>
          <w:tab w:val="clear" w:pos="4419"/>
          <w:tab w:val="clear" w:pos="8838"/>
        </w:tabs>
        <w:jc w:val="both"/>
        <w:rPr>
          <w:rFonts w:eastAsia="Batang" w:cs="Times"/>
          <w:szCs w:val="24"/>
          <w:lang w:val="pt-BR"/>
        </w:rPr>
      </w:pPr>
    </w:p>
    <w:p w14:paraId="7950B3F0" w14:textId="5F22F3D8" w:rsidR="00BA1ACF" w:rsidRPr="00D5464D" w:rsidRDefault="00A64010" w:rsidP="00140440">
      <w:pPr>
        <w:numPr>
          <w:ilvl w:val="0"/>
          <w:numId w:val="2"/>
        </w:numPr>
        <w:tabs>
          <w:tab w:val="clear" w:pos="4419"/>
          <w:tab w:val="clear" w:pos="8838"/>
        </w:tabs>
        <w:ind w:right="4"/>
        <w:jc w:val="both"/>
        <w:rPr>
          <w:rFonts w:eastAsia="Batang" w:cs="Times"/>
          <w:szCs w:val="24"/>
          <w:lang w:val="pt-BR"/>
        </w:rPr>
      </w:pPr>
      <w:r w:rsidRPr="00D5464D">
        <w:rPr>
          <w:rFonts w:eastAsia="Batang" w:cs="Times"/>
          <w:i/>
          <w:szCs w:val="24"/>
          <w:lang w:val="pt-BR"/>
        </w:rPr>
        <w:t xml:space="preserve">Relatório </w:t>
      </w:r>
      <w:r w:rsidR="00BA1ACF" w:rsidRPr="00D5464D">
        <w:rPr>
          <w:rFonts w:eastAsia="Batang" w:cs="Times"/>
          <w:i/>
          <w:szCs w:val="24"/>
          <w:lang w:val="pt-BR"/>
        </w:rPr>
        <w:t xml:space="preserve">de </w:t>
      </w:r>
      <w:r w:rsidR="00470ADC" w:rsidRPr="00D5464D">
        <w:rPr>
          <w:rFonts w:eastAsia="Batang" w:cs="Times"/>
          <w:i/>
          <w:szCs w:val="24"/>
          <w:lang w:val="pt-BR"/>
        </w:rPr>
        <w:t>Admissibilidade</w:t>
      </w:r>
      <w:r w:rsidR="00E045D9" w:rsidRPr="00D5464D">
        <w:rPr>
          <w:rFonts w:eastAsia="Batang" w:cs="Times"/>
          <w:i/>
          <w:szCs w:val="24"/>
          <w:lang w:val="pt-BR"/>
        </w:rPr>
        <w:t xml:space="preserve"> e </w:t>
      </w:r>
      <w:r w:rsidR="00470ADC" w:rsidRPr="00D5464D">
        <w:rPr>
          <w:rFonts w:eastAsia="Batang" w:cs="Times"/>
          <w:i/>
          <w:szCs w:val="24"/>
          <w:lang w:val="pt-BR"/>
        </w:rPr>
        <w:t>Mérito</w:t>
      </w:r>
      <w:r w:rsidR="00BA1ACF" w:rsidRPr="00D5464D">
        <w:rPr>
          <w:rFonts w:eastAsia="Batang" w:cs="Times"/>
          <w:i/>
          <w:szCs w:val="24"/>
          <w:lang w:val="pt-BR"/>
        </w:rPr>
        <w:t>. -</w:t>
      </w:r>
      <w:r w:rsidR="002C330E" w:rsidRPr="00D5464D">
        <w:rPr>
          <w:rFonts w:eastAsia="Batang" w:cs="Times"/>
          <w:i/>
          <w:szCs w:val="24"/>
          <w:lang w:val="pt-BR"/>
        </w:rPr>
        <w:t xml:space="preserve"> </w:t>
      </w:r>
      <w:r w:rsidRPr="00D5464D">
        <w:rPr>
          <w:rFonts w:eastAsia="Batang" w:cs="Times"/>
          <w:szCs w:val="24"/>
          <w:lang w:val="pt-BR"/>
        </w:rPr>
        <w:t>E</w:t>
      </w:r>
      <w:r w:rsidR="002C330E" w:rsidRPr="00D5464D">
        <w:rPr>
          <w:rFonts w:eastAsia="Batang" w:cs="Times"/>
          <w:szCs w:val="24"/>
          <w:lang w:val="pt-BR"/>
        </w:rPr>
        <w:t>m 3</w:t>
      </w:r>
      <w:r w:rsidR="00BA1ACF" w:rsidRPr="00D5464D">
        <w:rPr>
          <w:rFonts w:eastAsia="Batang" w:cs="Times"/>
          <w:szCs w:val="24"/>
          <w:lang w:val="pt-BR"/>
        </w:rPr>
        <w:t xml:space="preserve"> de </w:t>
      </w:r>
      <w:r w:rsidR="002C330E" w:rsidRPr="00D5464D">
        <w:rPr>
          <w:rFonts w:eastAsia="Batang" w:cs="Times"/>
          <w:szCs w:val="24"/>
          <w:lang w:val="pt-BR"/>
        </w:rPr>
        <w:t>novembro</w:t>
      </w:r>
      <w:r w:rsidR="00BA1ACF" w:rsidRPr="00D5464D">
        <w:rPr>
          <w:rFonts w:eastAsia="Batang" w:cs="Times"/>
          <w:szCs w:val="24"/>
          <w:lang w:val="pt-BR"/>
        </w:rPr>
        <w:t xml:space="preserve"> de 2011</w:t>
      </w:r>
      <w:r w:rsidRPr="00D5464D">
        <w:rPr>
          <w:rFonts w:eastAsia="Batang" w:cs="Times"/>
          <w:szCs w:val="24"/>
          <w:lang w:val="pt-BR"/>
        </w:rPr>
        <w:t>,</w:t>
      </w:r>
      <w:r w:rsidR="002C330E" w:rsidRPr="00D5464D">
        <w:rPr>
          <w:rFonts w:eastAsia="Batang" w:cs="Times"/>
          <w:szCs w:val="24"/>
          <w:lang w:val="pt-BR"/>
        </w:rPr>
        <w:t xml:space="preserve"> a </w:t>
      </w:r>
      <w:r w:rsidR="00470ADC" w:rsidRPr="00D5464D">
        <w:rPr>
          <w:rFonts w:eastAsia="Batang" w:cs="Times"/>
          <w:szCs w:val="24"/>
          <w:lang w:val="pt-BR"/>
        </w:rPr>
        <w:t>Comissão</w:t>
      </w:r>
      <w:r w:rsidR="00BA1ACF" w:rsidRPr="00D5464D">
        <w:rPr>
          <w:rFonts w:eastAsia="Batang" w:cs="Times"/>
          <w:szCs w:val="24"/>
          <w:lang w:val="pt-BR"/>
        </w:rPr>
        <w:t xml:space="preserve"> </w:t>
      </w:r>
      <w:r w:rsidR="00470ADC" w:rsidRPr="00D5464D">
        <w:rPr>
          <w:rFonts w:eastAsia="Batang" w:cs="Times"/>
          <w:szCs w:val="24"/>
          <w:lang w:val="pt-BR"/>
        </w:rPr>
        <w:t xml:space="preserve">emitiu </w:t>
      </w:r>
      <w:r w:rsidRPr="00D5464D">
        <w:rPr>
          <w:rFonts w:eastAsia="Batang" w:cs="Times"/>
          <w:szCs w:val="24"/>
          <w:lang w:val="pt-BR"/>
        </w:rPr>
        <w:t>seu</w:t>
      </w:r>
      <w:r w:rsidR="002C330E" w:rsidRPr="00D5464D">
        <w:rPr>
          <w:rFonts w:eastAsia="Batang" w:cs="Times"/>
          <w:szCs w:val="24"/>
          <w:lang w:val="pt-BR"/>
        </w:rPr>
        <w:t xml:space="preserve"> </w:t>
      </w:r>
      <w:r w:rsidR="00350187" w:rsidRPr="00D5464D">
        <w:rPr>
          <w:rFonts w:eastAsia="Batang" w:cs="Times"/>
          <w:szCs w:val="24"/>
          <w:lang w:val="pt-BR"/>
        </w:rPr>
        <w:t>Relatório</w:t>
      </w:r>
      <w:r w:rsidR="002C330E" w:rsidRPr="00D5464D">
        <w:rPr>
          <w:rFonts w:eastAsia="Batang" w:cs="Times"/>
          <w:szCs w:val="24"/>
          <w:lang w:val="pt-BR"/>
        </w:rPr>
        <w:t xml:space="preserve"> de Admissibilidade</w:t>
      </w:r>
      <w:r w:rsidR="00E045D9" w:rsidRPr="00D5464D">
        <w:rPr>
          <w:rFonts w:eastAsia="Batang" w:cs="Times"/>
          <w:szCs w:val="24"/>
          <w:lang w:val="pt-BR"/>
        </w:rPr>
        <w:t xml:space="preserve"> e </w:t>
      </w:r>
      <w:r w:rsidR="00470ADC" w:rsidRPr="00D5464D">
        <w:rPr>
          <w:rFonts w:eastAsia="Batang" w:cs="Times"/>
          <w:szCs w:val="24"/>
          <w:lang w:val="pt-BR"/>
        </w:rPr>
        <w:t>Mérito</w:t>
      </w:r>
      <w:r w:rsidR="00A1358C" w:rsidRPr="00D5464D">
        <w:rPr>
          <w:rFonts w:eastAsia="Batang" w:cs="Times"/>
          <w:szCs w:val="24"/>
          <w:lang w:val="pt-BR"/>
        </w:rPr>
        <w:t xml:space="preserve"> nº </w:t>
      </w:r>
      <w:r w:rsidR="00BA1ACF" w:rsidRPr="00D5464D">
        <w:rPr>
          <w:rFonts w:eastAsia="Batang" w:cs="Times"/>
          <w:szCs w:val="24"/>
          <w:lang w:val="pt-BR"/>
        </w:rPr>
        <w:t xml:space="preserve">169/11, </w:t>
      </w:r>
      <w:r w:rsidR="00470ADC" w:rsidRPr="00D5464D">
        <w:rPr>
          <w:rFonts w:eastAsia="Batang" w:cs="Times"/>
          <w:szCs w:val="24"/>
          <w:lang w:val="pt-BR"/>
        </w:rPr>
        <w:t>de acordo com o artigo</w:t>
      </w:r>
      <w:r w:rsidR="00BA1ACF" w:rsidRPr="00D5464D">
        <w:rPr>
          <w:rFonts w:eastAsia="Batang" w:cs="Times"/>
          <w:szCs w:val="24"/>
          <w:lang w:val="pt-BR"/>
        </w:rPr>
        <w:t xml:space="preserve"> 50</w:t>
      </w:r>
      <w:r w:rsidR="00470ADC" w:rsidRPr="00D5464D">
        <w:rPr>
          <w:rFonts w:eastAsia="Batang" w:cs="Times"/>
          <w:szCs w:val="24"/>
          <w:lang w:val="pt-BR"/>
        </w:rPr>
        <w:t xml:space="preserve"> da </w:t>
      </w:r>
      <w:r w:rsidR="00BA1ACF" w:rsidRPr="00D5464D">
        <w:rPr>
          <w:rFonts w:eastAsia="Batang" w:cs="Times"/>
          <w:szCs w:val="24"/>
          <w:lang w:val="pt-BR"/>
        </w:rPr>
        <w:t>Conven</w:t>
      </w:r>
      <w:r w:rsidR="00470ADC" w:rsidRPr="00D5464D">
        <w:rPr>
          <w:rFonts w:eastAsia="Batang" w:cs="Times"/>
          <w:szCs w:val="24"/>
          <w:lang w:val="pt-BR"/>
        </w:rPr>
        <w:t>ção</w:t>
      </w:r>
      <w:r w:rsidR="00BA1ACF" w:rsidRPr="00D5464D">
        <w:rPr>
          <w:rFonts w:eastAsia="Batang" w:cs="Times"/>
          <w:szCs w:val="24"/>
          <w:lang w:val="pt-BR"/>
        </w:rPr>
        <w:t xml:space="preserve"> Americana (</w:t>
      </w:r>
      <w:r w:rsidR="00350187" w:rsidRPr="00D5464D">
        <w:rPr>
          <w:rFonts w:eastAsia="Batang" w:cs="Times"/>
          <w:szCs w:val="24"/>
          <w:lang w:val="pt-BR"/>
        </w:rPr>
        <w:t>doravante denominad</w:t>
      </w:r>
      <w:r w:rsidR="004E5926" w:rsidRPr="00D5464D">
        <w:rPr>
          <w:rFonts w:eastAsia="Batang" w:cs="Times"/>
          <w:szCs w:val="24"/>
          <w:lang w:val="pt-BR"/>
        </w:rPr>
        <w:t>o</w:t>
      </w:r>
      <w:r w:rsidR="00BA1ACF" w:rsidRPr="00D5464D">
        <w:rPr>
          <w:rFonts w:eastAsia="Batang" w:cs="Times"/>
          <w:szCs w:val="24"/>
          <w:lang w:val="pt-BR"/>
        </w:rPr>
        <w:t xml:space="preserve"> “</w:t>
      </w:r>
      <w:r w:rsidR="004E5926" w:rsidRPr="00D5464D">
        <w:rPr>
          <w:rFonts w:eastAsia="Batang" w:cs="Times"/>
          <w:szCs w:val="24"/>
          <w:lang w:val="pt-BR"/>
        </w:rPr>
        <w:t>Relatório</w:t>
      </w:r>
      <w:r w:rsidR="00BA1ACF" w:rsidRPr="00D5464D">
        <w:rPr>
          <w:rFonts w:eastAsia="Batang" w:cs="Times"/>
          <w:szCs w:val="24"/>
          <w:lang w:val="pt-BR"/>
        </w:rPr>
        <w:t xml:space="preserve"> de </w:t>
      </w:r>
      <w:r w:rsidR="00470ADC" w:rsidRPr="00D5464D">
        <w:rPr>
          <w:rFonts w:eastAsia="Batang" w:cs="Times"/>
          <w:szCs w:val="24"/>
          <w:lang w:val="pt-BR"/>
        </w:rPr>
        <w:t>Admissibilidade</w:t>
      </w:r>
      <w:r w:rsidR="00E045D9" w:rsidRPr="00D5464D">
        <w:rPr>
          <w:rFonts w:eastAsia="Batang" w:cs="Times"/>
          <w:szCs w:val="24"/>
          <w:lang w:val="pt-BR"/>
        </w:rPr>
        <w:t xml:space="preserve"> e </w:t>
      </w:r>
      <w:r w:rsidR="00470ADC" w:rsidRPr="00D5464D">
        <w:rPr>
          <w:rFonts w:eastAsia="Batang" w:cs="Times"/>
          <w:szCs w:val="24"/>
          <w:lang w:val="pt-BR"/>
        </w:rPr>
        <w:t>Mérito</w:t>
      </w:r>
      <w:r w:rsidR="00BA1ACF" w:rsidRPr="00D5464D">
        <w:rPr>
          <w:rFonts w:eastAsia="Batang" w:cs="Times"/>
          <w:szCs w:val="24"/>
          <w:lang w:val="pt-BR"/>
        </w:rPr>
        <w:t>”),</w:t>
      </w:r>
      <w:r w:rsidR="00E045D9" w:rsidRPr="00D5464D">
        <w:rPr>
          <w:rFonts w:eastAsia="Batang" w:cs="Times"/>
          <w:szCs w:val="24"/>
          <w:lang w:val="pt-BR"/>
        </w:rPr>
        <w:t xml:space="preserve"> no </w:t>
      </w:r>
      <w:r w:rsidR="00470ADC" w:rsidRPr="00D5464D">
        <w:rPr>
          <w:rFonts w:eastAsia="Batang" w:cs="Times"/>
          <w:szCs w:val="24"/>
          <w:lang w:val="pt-BR"/>
        </w:rPr>
        <w:t xml:space="preserve">qual </w:t>
      </w:r>
      <w:r w:rsidR="002C330E" w:rsidRPr="00D5464D">
        <w:rPr>
          <w:rFonts w:eastAsia="Batang" w:cs="Times"/>
          <w:szCs w:val="24"/>
          <w:lang w:val="pt-BR"/>
        </w:rPr>
        <w:t>chegou</w:t>
      </w:r>
      <w:r w:rsidR="00BA1ACF" w:rsidRPr="00D5464D">
        <w:rPr>
          <w:rFonts w:eastAsia="Batang" w:cs="Times"/>
          <w:szCs w:val="24"/>
          <w:lang w:val="pt-BR"/>
        </w:rPr>
        <w:t xml:space="preserve"> a</w:t>
      </w:r>
      <w:r w:rsidR="00E045D9" w:rsidRPr="00D5464D">
        <w:rPr>
          <w:rFonts w:eastAsia="Batang" w:cs="Times"/>
          <w:szCs w:val="24"/>
          <w:lang w:val="pt-BR"/>
        </w:rPr>
        <w:t xml:space="preserve"> uma </w:t>
      </w:r>
      <w:r w:rsidR="002C330E" w:rsidRPr="00D5464D">
        <w:rPr>
          <w:rFonts w:eastAsia="Batang" w:cs="Times"/>
          <w:szCs w:val="24"/>
          <w:lang w:val="pt-BR"/>
        </w:rPr>
        <w:t>série</w:t>
      </w:r>
      <w:r w:rsidR="00BA1ACF" w:rsidRPr="00D5464D">
        <w:rPr>
          <w:rFonts w:eastAsia="Batang" w:cs="Times"/>
          <w:szCs w:val="24"/>
          <w:lang w:val="pt-BR"/>
        </w:rPr>
        <w:t xml:space="preserve"> de </w:t>
      </w:r>
      <w:r w:rsidR="00470ADC" w:rsidRPr="00D5464D">
        <w:rPr>
          <w:rFonts w:eastAsia="Batang" w:cs="Times"/>
          <w:szCs w:val="24"/>
          <w:lang w:val="pt-BR"/>
        </w:rPr>
        <w:t>conclusões</w:t>
      </w:r>
      <w:r w:rsidR="00E045D9" w:rsidRPr="00D5464D">
        <w:rPr>
          <w:rFonts w:eastAsia="Batang" w:cs="Times"/>
          <w:szCs w:val="24"/>
          <w:lang w:val="pt-BR"/>
        </w:rPr>
        <w:t xml:space="preserve"> e </w:t>
      </w:r>
      <w:r w:rsidR="00470ADC" w:rsidRPr="00D5464D">
        <w:rPr>
          <w:rFonts w:eastAsia="Batang" w:cs="Times"/>
          <w:szCs w:val="24"/>
          <w:lang w:val="pt-BR"/>
        </w:rPr>
        <w:t>formulou</w:t>
      </w:r>
      <w:r w:rsidR="00BA1ACF" w:rsidRPr="00D5464D">
        <w:rPr>
          <w:rFonts w:eastAsia="Batang" w:cs="Times"/>
          <w:szCs w:val="24"/>
          <w:lang w:val="pt-BR"/>
        </w:rPr>
        <w:t xml:space="preserve"> </w:t>
      </w:r>
      <w:r w:rsidR="00E045D9" w:rsidRPr="00D5464D">
        <w:rPr>
          <w:rFonts w:eastAsia="Batang" w:cs="Times"/>
          <w:szCs w:val="24"/>
          <w:lang w:val="pt-BR"/>
        </w:rPr>
        <w:t>várias</w:t>
      </w:r>
      <w:r w:rsidR="00BA1ACF" w:rsidRPr="00D5464D">
        <w:rPr>
          <w:rFonts w:eastAsia="Batang" w:cs="Times"/>
          <w:szCs w:val="24"/>
          <w:lang w:val="pt-BR"/>
        </w:rPr>
        <w:t xml:space="preserve"> recomenda</w:t>
      </w:r>
      <w:r w:rsidR="00470ADC" w:rsidRPr="00D5464D">
        <w:rPr>
          <w:rFonts w:eastAsia="Batang" w:cs="Times"/>
          <w:szCs w:val="24"/>
          <w:lang w:val="pt-BR"/>
        </w:rPr>
        <w:t xml:space="preserve">ções ao </w:t>
      </w:r>
      <w:r w:rsidR="00BA1ACF" w:rsidRPr="00D5464D">
        <w:rPr>
          <w:rFonts w:eastAsia="Batang" w:cs="Times"/>
          <w:szCs w:val="24"/>
          <w:lang w:val="pt-BR"/>
        </w:rPr>
        <w:t xml:space="preserve">Estado. </w:t>
      </w:r>
    </w:p>
    <w:p w14:paraId="2813F819" w14:textId="77777777" w:rsidR="00D131BC" w:rsidRPr="00D5464D" w:rsidRDefault="00D131BC" w:rsidP="00140440">
      <w:pPr>
        <w:tabs>
          <w:tab w:val="clear" w:pos="4419"/>
          <w:tab w:val="clear" w:pos="8838"/>
        </w:tabs>
        <w:jc w:val="both"/>
        <w:rPr>
          <w:rFonts w:eastAsia="Batang" w:cs="Times"/>
          <w:szCs w:val="24"/>
          <w:lang w:val="pt-BR"/>
        </w:rPr>
      </w:pPr>
    </w:p>
    <w:p w14:paraId="21219EF1" w14:textId="46958EB4" w:rsidR="00BA1ACF" w:rsidRPr="00D5464D" w:rsidRDefault="00470ADC" w:rsidP="002540C6">
      <w:pPr>
        <w:numPr>
          <w:ilvl w:val="0"/>
          <w:numId w:val="3"/>
        </w:numPr>
        <w:tabs>
          <w:tab w:val="clear" w:pos="4419"/>
          <w:tab w:val="clear" w:pos="8838"/>
          <w:tab w:val="left" w:pos="426"/>
        </w:tabs>
        <w:ind w:left="1418" w:right="29"/>
        <w:jc w:val="both"/>
        <w:rPr>
          <w:rFonts w:eastAsia="Calibri" w:cs="Times New Roman"/>
          <w:szCs w:val="20"/>
          <w:lang w:val="pt-BR"/>
        </w:rPr>
      </w:pPr>
      <w:r w:rsidRPr="00D5464D">
        <w:rPr>
          <w:rFonts w:eastAsia="Calibri" w:cs="Times New Roman"/>
          <w:i/>
          <w:szCs w:val="20"/>
          <w:lang w:val="pt-BR"/>
        </w:rPr>
        <w:t>Conclusões</w:t>
      </w:r>
      <w:r w:rsidR="00BA1ACF" w:rsidRPr="00D5464D">
        <w:rPr>
          <w:rFonts w:eastAsia="Calibri" w:cs="Times New Roman"/>
          <w:i/>
          <w:szCs w:val="20"/>
          <w:lang w:val="pt-BR"/>
        </w:rPr>
        <w:t>.-</w:t>
      </w:r>
      <w:r w:rsidR="002C330E" w:rsidRPr="00D5464D">
        <w:rPr>
          <w:rFonts w:eastAsia="Calibri" w:cs="Times New Roman"/>
          <w:i/>
          <w:szCs w:val="20"/>
          <w:lang w:val="pt-BR"/>
        </w:rPr>
        <w:t xml:space="preserve"> </w:t>
      </w:r>
      <w:r w:rsidR="004E5926" w:rsidRPr="00D5464D">
        <w:rPr>
          <w:rFonts w:eastAsia="Calibri" w:cs="Times New Roman"/>
          <w:szCs w:val="20"/>
          <w:lang w:val="pt-BR"/>
        </w:rPr>
        <w:t>A</w:t>
      </w:r>
      <w:r w:rsidR="002C330E" w:rsidRPr="00D5464D">
        <w:rPr>
          <w:rFonts w:eastAsia="Calibri" w:cs="Times New Roman"/>
          <w:szCs w:val="20"/>
          <w:lang w:val="pt-BR"/>
        </w:rPr>
        <w:t xml:space="preserve"> </w:t>
      </w:r>
      <w:r w:rsidRPr="00D5464D">
        <w:rPr>
          <w:rFonts w:eastAsia="Calibri" w:cs="Times New Roman"/>
          <w:szCs w:val="20"/>
          <w:lang w:val="pt-BR"/>
        </w:rPr>
        <w:t>Comissão</w:t>
      </w:r>
      <w:r w:rsidR="00BA1ACF" w:rsidRPr="00D5464D">
        <w:rPr>
          <w:rFonts w:eastAsia="Calibri" w:cs="Times New Roman"/>
          <w:szCs w:val="20"/>
          <w:lang w:val="pt-BR"/>
        </w:rPr>
        <w:t xml:space="preserve"> </w:t>
      </w:r>
      <w:r w:rsidR="002C330E" w:rsidRPr="00D5464D">
        <w:rPr>
          <w:rFonts w:eastAsia="Calibri" w:cs="Times New Roman"/>
          <w:szCs w:val="20"/>
          <w:lang w:val="pt-BR"/>
        </w:rPr>
        <w:t>chegou</w:t>
      </w:r>
      <w:r w:rsidRPr="00D5464D">
        <w:rPr>
          <w:rFonts w:eastAsia="Calibri" w:cs="Times New Roman"/>
          <w:szCs w:val="20"/>
          <w:lang w:val="pt-BR"/>
        </w:rPr>
        <w:t xml:space="preserve"> à conclusão</w:t>
      </w:r>
      <w:r w:rsidR="00BA1ACF" w:rsidRPr="00D5464D">
        <w:rPr>
          <w:rFonts w:eastAsia="Calibri" w:cs="Times New Roman"/>
          <w:szCs w:val="20"/>
          <w:lang w:val="pt-BR"/>
        </w:rPr>
        <w:t xml:space="preserve"> de que</w:t>
      </w:r>
      <w:r w:rsidRPr="00D5464D">
        <w:rPr>
          <w:rFonts w:eastAsia="Calibri" w:cs="Times New Roman"/>
          <w:szCs w:val="20"/>
          <w:lang w:val="pt-BR"/>
        </w:rPr>
        <w:t xml:space="preserve"> o </w:t>
      </w:r>
      <w:r w:rsidR="00BA1ACF" w:rsidRPr="00D5464D">
        <w:rPr>
          <w:rFonts w:eastAsia="Calibri" w:cs="Times New Roman"/>
          <w:szCs w:val="20"/>
          <w:lang w:val="pt-BR"/>
        </w:rPr>
        <w:t xml:space="preserve">Estado </w:t>
      </w:r>
      <w:r w:rsidR="001F559F" w:rsidRPr="00D5464D">
        <w:rPr>
          <w:rFonts w:eastAsia="Calibri" w:cs="Times New Roman"/>
          <w:szCs w:val="20"/>
          <w:lang w:val="pt-BR"/>
        </w:rPr>
        <w:t>era</w:t>
      </w:r>
      <w:r w:rsidR="00BA1ACF" w:rsidRPr="00D5464D">
        <w:rPr>
          <w:rFonts w:eastAsia="Calibri" w:cs="Times New Roman"/>
          <w:szCs w:val="20"/>
          <w:lang w:val="pt-BR"/>
        </w:rPr>
        <w:t xml:space="preserve"> </w:t>
      </w:r>
      <w:r w:rsidR="002C330E" w:rsidRPr="00D5464D">
        <w:rPr>
          <w:rFonts w:eastAsia="Calibri" w:cs="Times New Roman"/>
          <w:szCs w:val="20"/>
          <w:lang w:val="pt-BR"/>
        </w:rPr>
        <w:t xml:space="preserve">responsável </w:t>
      </w:r>
      <w:r w:rsidR="00BA1ACF" w:rsidRPr="00D5464D">
        <w:rPr>
          <w:rFonts w:eastAsia="Calibri" w:cs="Times New Roman"/>
          <w:szCs w:val="20"/>
          <w:lang w:val="pt-BR"/>
        </w:rPr>
        <w:t xml:space="preserve">internacionalmente </w:t>
      </w:r>
      <w:r w:rsidR="00AA01AA" w:rsidRPr="00D5464D">
        <w:rPr>
          <w:rFonts w:eastAsia="Calibri" w:cs="Times New Roman"/>
          <w:szCs w:val="20"/>
          <w:lang w:val="pt-BR"/>
        </w:rPr>
        <w:t>pela</w:t>
      </w:r>
      <w:r w:rsidR="00BA1ACF" w:rsidRPr="00D5464D">
        <w:rPr>
          <w:rFonts w:eastAsia="Calibri" w:cs="Times New Roman"/>
          <w:szCs w:val="20"/>
          <w:lang w:val="pt-BR"/>
        </w:rPr>
        <w:t xml:space="preserve">: </w:t>
      </w:r>
    </w:p>
    <w:p w14:paraId="512AF354" w14:textId="77777777" w:rsidR="009247C1" w:rsidRPr="00D5464D" w:rsidRDefault="00BA1ACF" w:rsidP="009247C1">
      <w:pPr>
        <w:tabs>
          <w:tab w:val="clear" w:pos="4419"/>
          <w:tab w:val="clear" w:pos="8838"/>
          <w:tab w:val="left" w:pos="426"/>
        </w:tabs>
        <w:ind w:left="1701" w:right="29"/>
        <w:jc w:val="both"/>
        <w:rPr>
          <w:rFonts w:eastAsia="Calibri" w:cs="Times New Roman"/>
          <w:sz w:val="18"/>
          <w:szCs w:val="18"/>
          <w:lang w:val="pt-BR"/>
        </w:rPr>
      </w:pPr>
      <w:r w:rsidRPr="00D5464D">
        <w:rPr>
          <w:rFonts w:eastAsia="Calibri" w:cs="Times New Roman"/>
          <w:szCs w:val="20"/>
          <w:lang w:val="pt-BR"/>
        </w:rPr>
        <w:t xml:space="preserve"> </w:t>
      </w:r>
    </w:p>
    <w:p w14:paraId="22E51073" w14:textId="4EFC2CBC" w:rsidR="009247C1" w:rsidRPr="00D5464D" w:rsidRDefault="009247C1" w:rsidP="002540C6">
      <w:pPr>
        <w:numPr>
          <w:ilvl w:val="1"/>
          <w:numId w:val="3"/>
        </w:numPr>
        <w:tabs>
          <w:tab w:val="clear" w:pos="4419"/>
          <w:tab w:val="clear" w:pos="8838"/>
          <w:tab w:val="left" w:pos="426"/>
        </w:tabs>
        <w:ind w:left="1701" w:right="29" w:hanging="283"/>
        <w:jc w:val="both"/>
        <w:rPr>
          <w:rFonts w:eastAsia="Calibri" w:cs="Times New Roman"/>
          <w:sz w:val="18"/>
          <w:szCs w:val="18"/>
          <w:lang w:val="pt-BR"/>
        </w:rPr>
      </w:pPr>
      <w:r w:rsidRPr="00D5464D">
        <w:rPr>
          <w:rFonts w:eastAsia="Calibri" w:cs="Times New Roman"/>
          <w:sz w:val="18"/>
          <w:szCs w:val="18"/>
          <w:lang w:val="pt-BR"/>
        </w:rPr>
        <w:t>V</w:t>
      </w:r>
      <w:r w:rsidR="00BA1ACF" w:rsidRPr="00D5464D">
        <w:rPr>
          <w:rFonts w:eastAsia="Calibri" w:cs="Times New Roman"/>
          <w:sz w:val="18"/>
          <w:szCs w:val="18"/>
          <w:lang w:val="pt-BR"/>
        </w:rPr>
        <w:t>iola</w:t>
      </w:r>
      <w:r w:rsidR="00470ADC" w:rsidRPr="00D5464D">
        <w:rPr>
          <w:rFonts w:eastAsia="Calibri" w:cs="Times New Roman"/>
          <w:sz w:val="18"/>
          <w:szCs w:val="18"/>
          <w:lang w:val="pt-BR"/>
        </w:rPr>
        <w:t>ção dos direito</w:t>
      </w:r>
      <w:r w:rsidR="00BA1ACF" w:rsidRPr="00D5464D">
        <w:rPr>
          <w:rFonts w:eastAsia="Calibri" w:cs="Times New Roman"/>
          <w:sz w:val="18"/>
          <w:szCs w:val="18"/>
          <w:lang w:val="pt-BR"/>
        </w:rPr>
        <w:t>s consagrados</w:t>
      </w:r>
      <w:r w:rsidR="00E045D9" w:rsidRPr="00D5464D">
        <w:rPr>
          <w:rFonts w:eastAsia="Calibri" w:cs="Times New Roman"/>
          <w:sz w:val="18"/>
          <w:szCs w:val="18"/>
          <w:lang w:val="pt-BR"/>
        </w:rPr>
        <w:t xml:space="preserve"> nos </w:t>
      </w:r>
      <w:r w:rsidR="00470ADC" w:rsidRPr="00D5464D">
        <w:rPr>
          <w:rFonts w:eastAsia="Calibri" w:cs="Times New Roman"/>
          <w:sz w:val="18"/>
          <w:szCs w:val="18"/>
          <w:lang w:val="pt-BR"/>
        </w:rPr>
        <w:t>artigo</w:t>
      </w:r>
      <w:r w:rsidR="00BA1ACF" w:rsidRPr="00D5464D">
        <w:rPr>
          <w:rFonts w:eastAsia="Calibri" w:cs="Times New Roman"/>
          <w:sz w:val="18"/>
          <w:szCs w:val="18"/>
          <w:lang w:val="pt-BR"/>
        </w:rPr>
        <w:t>s 6, 5, 7, 22, 8</w:t>
      </w:r>
      <w:r w:rsidR="00E045D9" w:rsidRPr="00D5464D">
        <w:rPr>
          <w:rFonts w:eastAsia="Calibri" w:cs="Times New Roman"/>
          <w:sz w:val="18"/>
          <w:szCs w:val="18"/>
          <w:lang w:val="pt-BR"/>
        </w:rPr>
        <w:t xml:space="preserve"> e </w:t>
      </w:r>
      <w:r w:rsidR="00BA1ACF" w:rsidRPr="00D5464D">
        <w:rPr>
          <w:rFonts w:eastAsia="Calibri" w:cs="Times New Roman"/>
          <w:sz w:val="18"/>
          <w:szCs w:val="18"/>
          <w:lang w:val="pt-BR"/>
        </w:rPr>
        <w:t>25</w:t>
      </w:r>
      <w:r w:rsidR="00470ADC" w:rsidRPr="00D5464D">
        <w:rPr>
          <w:rFonts w:eastAsia="Calibri" w:cs="Times New Roman"/>
          <w:sz w:val="18"/>
          <w:szCs w:val="18"/>
          <w:lang w:val="pt-BR"/>
        </w:rPr>
        <w:t xml:space="preserve"> da </w:t>
      </w:r>
      <w:r w:rsidR="00BA1ACF" w:rsidRPr="00D5464D">
        <w:rPr>
          <w:rFonts w:eastAsia="Calibri" w:cs="Times New Roman"/>
          <w:sz w:val="18"/>
          <w:szCs w:val="18"/>
          <w:lang w:val="pt-BR"/>
        </w:rPr>
        <w:t>Conven</w:t>
      </w:r>
      <w:r w:rsidR="00470ADC" w:rsidRPr="00D5464D">
        <w:rPr>
          <w:rFonts w:eastAsia="Calibri" w:cs="Times New Roman"/>
          <w:sz w:val="18"/>
          <w:szCs w:val="18"/>
          <w:lang w:val="pt-BR"/>
        </w:rPr>
        <w:t>ção</w:t>
      </w:r>
      <w:r w:rsidR="00BA1ACF" w:rsidRPr="00D5464D">
        <w:rPr>
          <w:rFonts w:eastAsia="Calibri" w:cs="Times New Roman"/>
          <w:sz w:val="18"/>
          <w:szCs w:val="18"/>
          <w:lang w:val="pt-BR"/>
        </w:rPr>
        <w:t>,</w:t>
      </w:r>
      <w:r w:rsidR="00470ADC" w:rsidRPr="00D5464D">
        <w:rPr>
          <w:rFonts w:eastAsia="Calibri" w:cs="Times New Roman"/>
          <w:sz w:val="18"/>
          <w:szCs w:val="18"/>
          <w:lang w:val="pt-BR"/>
        </w:rPr>
        <w:t xml:space="preserve"> </w:t>
      </w:r>
      <w:r w:rsidRPr="00D5464D">
        <w:rPr>
          <w:rFonts w:eastAsia="Calibri" w:cs="Times New Roman"/>
          <w:sz w:val="18"/>
          <w:szCs w:val="18"/>
          <w:lang w:val="pt-BR"/>
        </w:rPr>
        <w:t>em relação a</w:t>
      </w:r>
      <w:r w:rsidR="00A1358C" w:rsidRPr="00D5464D">
        <w:rPr>
          <w:rFonts w:eastAsia="Calibri" w:cs="Times New Roman"/>
          <w:sz w:val="18"/>
          <w:szCs w:val="18"/>
          <w:lang w:val="pt-BR"/>
        </w:rPr>
        <w:t>o artigo</w:t>
      </w:r>
      <w:r w:rsidR="00BA1ACF" w:rsidRPr="00D5464D">
        <w:rPr>
          <w:rFonts w:eastAsia="Calibri" w:cs="Times New Roman"/>
          <w:sz w:val="18"/>
          <w:szCs w:val="18"/>
          <w:lang w:val="pt-BR"/>
        </w:rPr>
        <w:t xml:space="preserve"> 1.1</w:t>
      </w:r>
      <w:r w:rsidR="00470ADC" w:rsidRPr="00D5464D">
        <w:rPr>
          <w:rFonts w:eastAsia="Calibri" w:cs="Times New Roman"/>
          <w:sz w:val="18"/>
          <w:szCs w:val="18"/>
          <w:lang w:val="pt-BR"/>
        </w:rPr>
        <w:t xml:space="preserve"> da </w:t>
      </w:r>
      <w:r w:rsidR="002C330E" w:rsidRPr="00D5464D">
        <w:rPr>
          <w:rFonts w:eastAsia="Calibri" w:cs="Times New Roman"/>
          <w:sz w:val="18"/>
          <w:szCs w:val="18"/>
          <w:lang w:val="pt-BR"/>
        </w:rPr>
        <w:t>mesm</w:t>
      </w:r>
      <w:r w:rsidR="00BA1ACF" w:rsidRPr="00D5464D">
        <w:rPr>
          <w:rFonts w:eastAsia="Calibri" w:cs="Times New Roman"/>
          <w:sz w:val="18"/>
          <w:szCs w:val="18"/>
          <w:lang w:val="pt-BR"/>
        </w:rPr>
        <w:t>a</w:t>
      </w:r>
      <w:r w:rsidR="00100481" w:rsidRPr="00D5464D">
        <w:rPr>
          <w:rFonts w:eastAsia="Calibri" w:cs="Times New Roman"/>
          <w:sz w:val="18"/>
          <w:szCs w:val="18"/>
          <w:lang w:val="pt-BR"/>
        </w:rPr>
        <w:t>,</w:t>
      </w:r>
      <w:r w:rsidR="00470ADC" w:rsidRPr="00D5464D">
        <w:rPr>
          <w:rFonts w:eastAsia="Calibri" w:cs="Times New Roman"/>
          <w:sz w:val="18"/>
          <w:szCs w:val="18"/>
          <w:lang w:val="pt-BR"/>
        </w:rPr>
        <w:t xml:space="preserve"> em </w:t>
      </w:r>
      <w:r w:rsidR="002C330E" w:rsidRPr="00D5464D">
        <w:rPr>
          <w:rFonts w:eastAsia="Calibri" w:cs="Times New Roman"/>
          <w:sz w:val="18"/>
          <w:szCs w:val="18"/>
          <w:lang w:val="pt-BR"/>
        </w:rPr>
        <w:t>prejuízo</w:t>
      </w:r>
      <w:r w:rsidR="00470ADC" w:rsidRPr="00D5464D">
        <w:rPr>
          <w:rFonts w:eastAsia="Calibri" w:cs="Times New Roman"/>
          <w:sz w:val="18"/>
          <w:szCs w:val="18"/>
          <w:lang w:val="pt-BR"/>
        </w:rPr>
        <w:t xml:space="preserve"> dos </w:t>
      </w:r>
      <w:r w:rsidR="00E045D9" w:rsidRPr="00D5464D">
        <w:rPr>
          <w:rFonts w:eastAsia="Calibri" w:cs="Times New Roman"/>
          <w:sz w:val="18"/>
          <w:szCs w:val="18"/>
          <w:lang w:val="pt-BR"/>
        </w:rPr>
        <w:t>trabalhadores</w:t>
      </w:r>
      <w:r w:rsidR="00470ADC" w:rsidRPr="00D5464D">
        <w:rPr>
          <w:rFonts w:eastAsia="Calibri" w:cs="Times New Roman"/>
          <w:sz w:val="18"/>
          <w:szCs w:val="18"/>
          <w:lang w:val="pt-BR"/>
        </w:rPr>
        <w:t xml:space="preserve"> da </w:t>
      </w:r>
      <w:r w:rsidR="00D809F0" w:rsidRPr="00D5464D">
        <w:rPr>
          <w:rFonts w:eastAsia="Calibri" w:cs="Times New Roman"/>
          <w:sz w:val="18"/>
          <w:szCs w:val="18"/>
          <w:lang w:val="pt-BR"/>
        </w:rPr>
        <w:t>Fazenda</w:t>
      </w:r>
      <w:r w:rsidR="00BA1ACF" w:rsidRPr="00D5464D">
        <w:rPr>
          <w:rFonts w:eastAsia="Calibri" w:cs="Times New Roman"/>
          <w:sz w:val="18"/>
          <w:szCs w:val="18"/>
          <w:lang w:val="pt-BR"/>
        </w:rPr>
        <w:t xml:space="preserve"> Brasil Verde, encontrados</w:t>
      </w:r>
      <w:r w:rsidR="00E045D9" w:rsidRPr="00D5464D">
        <w:rPr>
          <w:rFonts w:eastAsia="Calibri" w:cs="Times New Roman"/>
          <w:sz w:val="18"/>
          <w:szCs w:val="18"/>
          <w:lang w:val="pt-BR"/>
        </w:rPr>
        <w:t xml:space="preserve"> nas </w:t>
      </w:r>
      <w:r w:rsidR="00BA1ACF" w:rsidRPr="00D5464D">
        <w:rPr>
          <w:rFonts w:eastAsia="Calibri" w:cs="Times New Roman"/>
          <w:sz w:val="18"/>
          <w:szCs w:val="18"/>
          <w:lang w:val="pt-BR"/>
        </w:rPr>
        <w:t>fiscaliza</w:t>
      </w:r>
      <w:r w:rsidR="00C16021" w:rsidRPr="00D5464D">
        <w:rPr>
          <w:rFonts w:eastAsia="Calibri" w:cs="Times New Roman"/>
          <w:sz w:val="18"/>
          <w:szCs w:val="18"/>
          <w:lang w:val="pt-BR"/>
        </w:rPr>
        <w:t>çõ</w:t>
      </w:r>
      <w:r w:rsidR="00BA1ACF" w:rsidRPr="00D5464D">
        <w:rPr>
          <w:rFonts w:eastAsia="Calibri" w:cs="Times New Roman"/>
          <w:sz w:val="18"/>
          <w:szCs w:val="18"/>
          <w:lang w:val="pt-BR"/>
        </w:rPr>
        <w:t>es de 1993, 1996, 1997</w:t>
      </w:r>
      <w:r w:rsidR="00E045D9" w:rsidRPr="00D5464D">
        <w:rPr>
          <w:rFonts w:eastAsia="Calibri" w:cs="Times New Roman"/>
          <w:sz w:val="18"/>
          <w:szCs w:val="18"/>
          <w:lang w:val="pt-BR"/>
        </w:rPr>
        <w:t xml:space="preserve"> e </w:t>
      </w:r>
      <w:r w:rsidR="00BA1ACF" w:rsidRPr="00D5464D">
        <w:rPr>
          <w:rFonts w:eastAsia="Calibri" w:cs="Times New Roman"/>
          <w:sz w:val="18"/>
          <w:szCs w:val="18"/>
          <w:lang w:val="pt-BR"/>
        </w:rPr>
        <w:t>2000.</w:t>
      </w:r>
    </w:p>
    <w:p w14:paraId="4A19680D" w14:textId="77777777" w:rsidR="009247C1" w:rsidRPr="00D5464D" w:rsidRDefault="009247C1" w:rsidP="002540C6">
      <w:pPr>
        <w:numPr>
          <w:ilvl w:val="1"/>
          <w:numId w:val="3"/>
        </w:numPr>
        <w:tabs>
          <w:tab w:val="clear" w:pos="4419"/>
          <w:tab w:val="clear" w:pos="8838"/>
          <w:tab w:val="left" w:pos="426"/>
        </w:tabs>
        <w:ind w:left="1701" w:right="29" w:hanging="283"/>
        <w:jc w:val="both"/>
        <w:rPr>
          <w:rFonts w:eastAsia="Calibri" w:cs="Times New Roman"/>
          <w:sz w:val="18"/>
          <w:szCs w:val="18"/>
          <w:lang w:val="pt-BR"/>
        </w:rPr>
      </w:pPr>
      <w:r w:rsidRPr="00D5464D">
        <w:rPr>
          <w:rFonts w:eastAsia="Calibri" w:cs="Times New Roman"/>
          <w:sz w:val="18"/>
          <w:szCs w:val="18"/>
          <w:lang w:val="pt-BR"/>
        </w:rPr>
        <w:t>V</w:t>
      </w:r>
      <w:r w:rsidR="00BA1ACF" w:rsidRPr="00D5464D">
        <w:rPr>
          <w:rFonts w:eastAsia="Calibri" w:cs="Times New Roman"/>
          <w:sz w:val="18"/>
          <w:szCs w:val="18"/>
          <w:lang w:val="pt-BR"/>
        </w:rPr>
        <w:t>iola</w:t>
      </w:r>
      <w:r w:rsidR="00470ADC" w:rsidRPr="00D5464D">
        <w:rPr>
          <w:rFonts w:eastAsia="Calibri" w:cs="Times New Roman"/>
          <w:sz w:val="18"/>
          <w:szCs w:val="18"/>
          <w:lang w:val="pt-BR"/>
        </w:rPr>
        <w:t>ção dos direito</w:t>
      </w:r>
      <w:r w:rsidR="00BA1ACF" w:rsidRPr="00D5464D">
        <w:rPr>
          <w:rFonts w:eastAsia="Calibri" w:cs="Times New Roman"/>
          <w:sz w:val="18"/>
          <w:szCs w:val="18"/>
          <w:lang w:val="pt-BR"/>
        </w:rPr>
        <w:t>s consagrados</w:t>
      </w:r>
      <w:r w:rsidR="00E045D9" w:rsidRPr="00D5464D">
        <w:rPr>
          <w:rFonts w:eastAsia="Calibri" w:cs="Times New Roman"/>
          <w:sz w:val="18"/>
          <w:szCs w:val="18"/>
          <w:lang w:val="pt-BR"/>
        </w:rPr>
        <w:t xml:space="preserve"> nos </w:t>
      </w:r>
      <w:r w:rsidR="00470ADC" w:rsidRPr="00D5464D">
        <w:rPr>
          <w:rFonts w:eastAsia="Calibri" w:cs="Times New Roman"/>
          <w:sz w:val="18"/>
          <w:szCs w:val="18"/>
          <w:lang w:val="pt-BR"/>
        </w:rPr>
        <w:t>artigo</w:t>
      </w:r>
      <w:r w:rsidR="00BA1ACF" w:rsidRPr="00D5464D">
        <w:rPr>
          <w:rFonts w:eastAsia="Calibri" w:cs="Times New Roman"/>
          <w:sz w:val="18"/>
          <w:szCs w:val="18"/>
          <w:lang w:val="pt-BR"/>
        </w:rPr>
        <w:t>s I, II, XIV, VIII</w:t>
      </w:r>
      <w:r w:rsidR="00E045D9" w:rsidRPr="00D5464D">
        <w:rPr>
          <w:rFonts w:eastAsia="Calibri" w:cs="Times New Roman"/>
          <w:sz w:val="18"/>
          <w:szCs w:val="18"/>
          <w:lang w:val="pt-BR"/>
        </w:rPr>
        <w:t xml:space="preserve"> e </w:t>
      </w:r>
      <w:r w:rsidR="00BA1ACF" w:rsidRPr="00D5464D">
        <w:rPr>
          <w:rFonts w:eastAsia="Calibri" w:cs="Times New Roman"/>
          <w:sz w:val="18"/>
          <w:szCs w:val="18"/>
          <w:lang w:val="pt-BR"/>
        </w:rPr>
        <w:t>XVIII</w:t>
      </w:r>
      <w:r w:rsidR="00470ADC" w:rsidRPr="00D5464D">
        <w:rPr>
          <w:rFonts w:eastAsia="Calibri" w:cs="Times New Roman"/>
          <w:sz w:val="18"/>
          <w:szCs w:val="18"/>
          <w:lang w:val="pt-BR"/>
        </w:rPr>
        <w:t xml:space="preserve"> da </w:t>
      </w:r>
      <w:r w:rsidR="00BA1ACF" w:rsidRPr="00D5464D">
        <w:rPr>
          <w:rFonts w:eastAsia="Calibri" w:cs="Times New Roman"/>
          <w:sz w:val="18"/>
          <w:szCs w:val="18"/>
          <w:lang w:val="pt-BR"/>
        </w:rPr>
        <w:t>Declara</w:t>
      </w:r>
      <w:r w:rsidR="00470ADC" w:rsidRPr="00D5464D">
        <w:rPr>
          <w:rFonts w:eastAsia="Calibri" w:cs="Times New Roman"/>
          <w:sz w:val="18"/>
          <w:szCs w:val="18"/>
          <w:lang w:val="pt-BR"/>
        </w:rPr>
        <w:t>ção</w:t>
      </w:r>
      <w:r w:rsidR="00BA1ACF" w:rsidRPr="00D5464D">
        <w:rPr>
          <w:rFonts w:eastAsia="Calibri" w:cs="Times New Roman"/>
          <w:sz w:val="18"/>
          <w:szCs w:val="18"/>
          <w:lang w:val="pt-BR"/>
        </w:rPr>
        <w:t xml:space="preserve"> Americana</w:t>
      </w:r>
      <w:r w:rsidR="00470ADC" w:rsidRPr="00D5464D">
        <w:rPr>
          <w:rFonts w:eastAsia="Calibri" w:cs="Times New Roman"/>
          <w:sz w:val="18"/>
          <w:szCs w:val="18"/>
          <w:lang w:val="pt-BR"/>
        </w:rPr>
        <w:t xml:space="preserve"> dos Direito</w:t>
      </w:r>
      <w:r w:rsidR="00BA1ACF" w:rsidRPr="00D5464D">
        <w:rPr>
          <w:rFonts w:eastAsia="Calibri" w:cs="Times New Roman"/>
          <w:sz w:val="18"/>
          <w:szCs w:val="18"/>
          <w:lang w:val="pt-BR"/>
        </w:rPr>
        <w:t>s</w:t>
      </w:r>
      <w:r w:rsidR="00E045D9" w:rsidRPr="00D5464D">
        <w:rPr>
          <w:rFonts w:eastAsia="Calibri" w:cs="Times New Roman"/>
          <w:sz w:val="18"/>
          <w:szCs w:val="18"/>
          <w:lang w:val="pt-BR"/>
        </w:rPr>
        <w:t xml:space="preserve"> e </w:t>
      </w:r>
      <w:r w:rsidR="00470ADC" w:rsidRPr="00D5464D">
        <w:rPr>
          <w:rFonts w:eastAsia="Calibri" w:cs="Times New Roman"/>
          <w:sz w:val="18"/>
          <w:szCs w:val="18"/>
          <w:lang w:val="pt-BR"/>
        </w:rPr>
        <w:t>Dever</w:t>
      </w:r>
      <w:r w:rsidR="00BA1ACF" w:rsidRPr="00D5464D">
        <w:rPr>
          <w:rFonts w:eastAsia="Calibri" w:cs="Times New Roman"/>
          <w:sz w:val="18"/>
          <w:szCs w:val="18"/>
          <w:lang w:val="pt-BR"/>
        </w:rPr>
        <w:t xml:space="preserve">es </w:t>
      </w:r>
      <w:r w:rsidR="00470ADC" w:rsidRPr="00D5464D">
        <w:rPr>
          <w:rFonts w:eastAsia="Calibri" w:cs="Times New Roman"/>
          <w:sz w:val="18"/>
          <w:szCs w:val="18"/>
          <w:lang w:val="pt-BR"/>
        </w:rPr>
        <w:t xml:space="preserve">do </w:t>
      </w:r>
      <w:r w:rsidR="002C330E" w:rsidRPr="00D5464D">
        <w:rPr>
          <w:rFonts w:eastAsia="Calibri" w:cs="Times New Roman"/>
          <w:sz w:val="18"/>
          <w:szCs w:val="18"/>
          <w:lang w:val="pt-BR"/>
        </w:rPr>
        <w:t>Homem</w:t>
      </w:r>
      <w:r w:rsidR="00BA1ACF" w:rsidRPr="00D5464D">
        <w:rPr>
          <w:rFonts w:eastAsia="Calibri" w:cs="Times New Roman"/>
          <w:sz w:val="18"/>
          <w:szCs w:val="18"/>
          <w:lang w:val="pt-BR"/>
        </w:rPr>
        <w:t xml:space="preserve"> </w:t>
      </w:r>
      <w:r w:rsidRPr="00D5464D">
        <w:rPr>
          <w:rFonts w:eastAsia="Calibri" w:cs="Times New Roman"/>
          <w:sz w:val="18"/>
          <w:szCs w:val="18"/>
          <w:lang w:val="pt-BR"/>
        </w:rPr>
        <w:t>(</w:t>
      </w:r>
      <w:r w:rsidR="00350187" w:rsidRPr="00D5464D">
        <w:rPr>
          <w:rFonts w:eastAsia="Calibri" w:cs="Times New Roman"/>
          <w:sz w:val="18"/>
          <w:szCs w:val="18"/>
          <w:lang w:val="pt-BR"/>
        </w:rPr>
        <w:t>doravante denominad</w:t>
      </w:r>
      <w:r w:rsidRPr="00D5464D">
        <w:rPr>
          <w:rFonts w:eastAsia="Calibri" w:cs="Times New Roman"/>
          <w:sz w:val="18"/>
          <w:szCs w:val="18"/>
          <w:lang w:val="pt-BR"/>
        </w:rPr>
        <w:t>a</w:t>
      </w:r>
      <w:r w:rsidR="00BA1ACF" w:rsidRPr="00D5464D">
        <w:rPr>
          <w:rFonts w:eastAsia="Calibri" w:cs="Times New Roman"/>
          <w:sz w:val="18"/>
          <w:szCs w:val="18"/>
          <w:lang w:val="pt-BR"/>
        </w:rPr>
        <w:t xml:space="preserve"> “Declara</w:t>
      </w:r>
      <w:r w:rsidR="00470ADC" w:rsidRPr="00D5464D">
        <w:rPr>
          <w:rFonts w:eastAsia="Calibri" w:cs="Times New Roman"/>
          <w:sz w:val="18"/>
          <w:szCs w:val="18"/>
          <w:lang w:val="pt-BR"/>
        </w:rPr>
        <w:t>ção</w:t>
      </w:r>
      <w:r w:rsidR="00BA1ACF" w:rsidRPr="00D5464D">
        <w:rPr>
          <w:rFonts w:eastAsia="Calibri" w:cs="Times New Roman"/>
          <w:sz w:val="18"/>
          <w:szCs w:val="18"/>
          <w:lang w:val="pt-BR"/>
        </w:rPr>
        <w:t xml:space="preserve"> Americana</w:t>
      </w:r>
      <w:r w:rsidR="00470ADC" w:rsidRPr="00D5464D">
        <w:rPr>
          <w:rFonts w:eastAsia="Calibri" w:cs="Times New Roman"/>
          <w:sz w:val="18"/>
          <w:szCs w:val="18"/>
          <w:lang w:val="pt-BR"/>
        </w:rPr>
        <w:t>” ou “</w:t>
      </w:r>
      <w:r w:rsidR="00BA1ACF" w:rsidRPr="00D5464D">
        <w:rPr>
          <w:rFonts w:eastAsia="Calibri" w:cs="Times New Roman"/>
          <w:sz w:val="18"/>
          <w:szCs w:val="18"/>
          <w:lang w:val="pt-BR"/>
        </w:rPr>
        <w:t>Declara</w:t>
      </w:r>
      <w:r w:rsidR="00470ADC" w:rsidRPr="00D5464D">
        <w:rPr>
          <w:rFonts w:eastAsia="Calibri" w:cs="Times New Roman"/>
          <w:sz w:val="18"/>
          <w:szCs w:val="18"/>
          <w:lang w:val="pt-BR"/>
        </w:rPr>
        <w:t>ção</w:t>
      </w:r>
      <w:r w:rsidR="00BA1ACF" w:rsidRPr="00D5464D">
        <w:rPr>
          <w:rFonts w:eastAsia="Calibri" w:cs="Times New Roman"/>
          <w:sz w:val="18"/>
          <w:szCs w:val="18"/>
          <w:lang w:val="pt-BR"/>
        </w:rPr>
        <w:t>”)</w:t>
      </w:r>
      <w:r w:rsidR="00E045D9" w:rsidRPr="00D5464D">
        <w:rPr>
          <w:rFonts w:eastAsia="Calibri" w:cs="Times New Roman"/>
          <w:sz w:val="18"/>
          <w:szCs w:val="18"/>
          <w:lang w:val="pt-BR"/>
        </w:rPr>
        <w:t xml:space="preserve"> e,</w:t>
      </w:r>
      <w:r w:rsidR="00BA1ACF" w:rsidRPr="00D5464D">
        <w:rPr>
          <w:rFonts w:eastAsia="Calibri" w:cs="Times New Roman"/>
          <w:sz w:val="18"/>
          <w:szCs w:val="18"/>
          <w:lang w:val="pt-BR"/>
        </w:rPr>
        <w:t xml:space="preserve"> a partir</w:t>
      </w:r>
      <w:r w:rsidR="00737270" w:rsidRPr="00D5464D">
        <w:rPr>
          <w:rFonts w:eastAsia="Calibri" w:cs="Times New Roman"/>
          <w:sz w:val="18"/>
          <w:szCs w:val="18"/>
          <w:lang w:val="pt-BR"/>
        </w:rPr>
        <w:t xml:space="preserve"> de 2</w:t>
      </w:r>
      <w:r w:rsidR="00BA1ACF" w:rsidRPr="00D5464D">
        <w:rPr>
          <w:rFonts w:eastAsia="Calibri" w:cs="Times New Roman"/>
          <w:sz w:val="18"/>
          <w:szCs w:val="18"/>
          <w:lang w:val="pt-BR"/>
        </w:rPr>
        <w:t xml:space="preserve">5 de </w:t>
      </w:r>
      <w:r w:rsidR="002C330E" w:rsidRPr="00D5464D">
        <w:rPr>
          <w:rFonts w:eastAsia="Calibri" w:cs="Times New Roman"/>
          <w:sz w:val="18"/>
          <w:szCs w:val="18"/>
          <w:lang w:val="pt-BR"/>
        </w:rPr>
        <w:t>setembro</w:t>
      </w:r>
      <w:r w:rsidR="00BA1ACF" w:rsidRPr="00D5464D">
        <w:rPr>
          <w:rFonts w:eastAsia="Calibri" w:cs="Times New Roman"/>
          <w:sz w:val="18"/>
          <w:szCs w:val="18"/>
          <w:lang w:val="pt-BR"/>
        </w:rPr>
        <w:t xml:space="preserve"> de 1992, </w:t>
      </w:r>
      <w:r w:rsidR="002C330E" w:rsidRPr="00D5464D">
        <w:rPr>
          <w:rFonts w:eastAsia="Calibri" w:cs="Times New Roman"/>
          <w:sz w:val="18"/>
          <w:szCs w:val="18"/>
          <w:lang w:val="pt-BR"/>
        </w:rPr>
        <w:t xml:space="preserve">a </w:t>
      </w:r>
      <w:r w:rsidR="00BA1ACF" w:rsidRPr="00D5464D">
        <w:rPr>
          <w:rFonts w:eastAsia="Calibri" w:cs="Times New Roman"/>
          <w:sz w:val="18"/>
          <w:szCs w:val="18"/>
          <w:lang w:val="pt-BR"/>
        </w:rPr>
        <w:t>viola</w:t>
      </w:r>
      <w:r w:rsidR="00470ADC" w:rsidRPr="00D5464D">
        <w:rPr>
          <w:rFonts w:eastAsia="Calibri" w:cs="Times New Roman"/>
          <w:sz w:val="18"/>
          <w:szCs w:val="18"/>
          <w:lang w:val="pt-BR"/>
        </w:rPr>
        <w:t>ção dos artigo</w:t>
      </w:r>
      <w:r w:rsidR="00BA1ACF" w:rsidRPr="00D5464D">
        <w:rPr>
          <w:rFonts w:eastAsia="Calibri" w:cs="Times New Roman"/>
          <w:sz w:val="18"/>
          <w:szCs w:val="18"/>
          <w:lang w:val="pt-BR"/>
        </w:rPr>
        <w:t>s 8</w:t>
      </w:r>
      <w:r w:rsidR="00E045D9" w:rsidRPr="00D5464D">
        <w:rPr>
          <w:rFonts w:eastAsia="Calibri" w:cs="Times New Roman"/>
          <w:sz w:val="18"/>
          <w:szCs w:val="18"/>
          <w:lang w:val="pt-BR"/>
        </w:rPr>
        <w:t xml:space="preserve"> e </w:t>
      </w:r>
      <w:r w:rsidR="00BA1ACF" w:rsidRPr="00D5464D">
        <w:rPr>
          <w:rFonts w:eastAsia="Calibri" w:cs="Times New Roman"/>
          <w:sz w:val="18"/>
          <w:szCs w:val="18"/>
          <w:lang w:val="pt-BR"/>
        </w:rPr>
        <w:t>25</w:t>
      </w:r>
      <w:r w:rsidR="00470ADC" w:rsidRPr="00D5464D">
        <w:rPr>
          <w:rFonts w:eastAsia="Calibri" w:cs="Times New Roman"/>
          <w:sz w:val="18"/>
          <w:szCs w:val="18"/>
          <w:lang w:val="pt-BR"/>
        </w:rPr>
        <w:t xml:space="preserve"> da </w:t>
      </w:r>
      <w:r w:rsidR="00BA1ACF" w:rsidRPr="00D5464D">
        <w:rPr>
          <w:rFonts w:eastAsia="Calibri" w:cs="Times New Roman"/>
          <w:sz w:val="18"/>
          <w:szCs w:val="18"/>
          <w:lang w:val="pt-BR"/>
        </w:rPr>
        <w:t>Conven</w:t>
      </w:r>
      <w:r w:rsidR="00470ADC" w:rsidRPr="00D5464D">
        <w:rPr>
          <w:rFonts w:eastAsia="Calibri" w:cs="Times New Roman"/>
          <w:sz w:val="18"/>
          <w:szCs w:val="18"/>
          <w:lang w:val="pt-BR"/>
        </w:rPr>
        <w:t>ção</w:t>
      </w:r>
      <w:r w:rsidR="00BA1ACF" w:rsidRPr="00D5464D">
        <w:rPr>
          <w:rFonts w:eastAsia="Calibri" w:cs="Times New Roman"/>
          <w:sz w:val="18"/>
          <w:szCs w:val="18"/>
          <w:lang w:val="pt-BR"/>
        </w:rPr>
        <w:t>,</w:t>
      </w:r>
      <w:r w:rsidR="00470ADC" w:rsidRPr="00D5464D">
        <w:rPr>
          <w:rFonts w:eastAsia="Calibri" w:cs="Times New Roman"/>
          <w:sz w:val="18"/>
          <w:szCs w:val="18"/>
          <w:lang w:val="pt-BR"/>
        </w:rPr>
        <w:t xml:space="preserve"> </w:t>
      </w:r>
      <w:r w:rsidR="00A1358C" w:rsidRPr="00D5464D">
        <w:rPr>
          <w:rFonts w:eastAsia="Calibri" w:cs="Times New Roman"/>
          <w:sz w:val="18"/>
          <w:szCs w:val="18"/>
          <w:lang w:val="pt-BR"/>
        </w:rPr>
        <w:t>em relação ao artigo</w:t>
      </w:r>
      <w:r w:rsidR="00BA1ACF" w:rsidRPr="00D5464D">
        <w:rPr>
          <w:rFonts w:eastAsia="Calibri" w:cs="Times New Roman"/>
          <w:sz w:val="18"/>
          <w:szCs w:val="18"/>
          <w:lang w:val="pt-BR"/>
        </w:rPr>
        <w:t xml:space="preserve"> 1.1</w:t>
      </w:r>
      <w:r w:rsidR="00470ADC" w:rsidRPr="00D5464D">
        <w:rPr>
          <w:rFonts w:eastAsia="Calibri" w:cs="Times New Roman"/>
          <w:sz w:val="18"/>
          <w:szCs w:val="18"/>
          <w:lang w:val="pt-BR"/>
        </w:rPr>
        <w:t xml:space="preserve"> da </w:t>
      </w:r>
      <w:r w:rsidR="002C330E" w:rsidRPr="00D5464D">
        <w:rPr>
          <w:rFonts w:eastAsia="Calibri" w:cs="Times New Roman"/>
          <w:sz w:val="18"/>
          <w:szCs w:val="18"/>
          <w:lang w:val="pt-BR"/>
        </w:rPr>
        <w:t>mesm</w:t>
      </w:r>
      <w:r w:rsidR="00BA1ACF" w:rsidRPr="00D5464D">
        <w:rPr>
          <w:rFonts w:eastAsia="Calibri" w:cs="Times New Roman"/>
          <w:sz w:val="18"/>
          <w:szCs w:val="18"/>
          <w:lang w:val="pt-BR"/>
        </w:rPr>
        <w:t>a,</w:t>
      </w:r>
      <w:r w:rsidR="00470ADC" w:rsidRPr="00D5464D">
        <w:rPr>
          <w:rFonts w:eastAsia="Calibri" w:cs="Times New Roman"/>
          <w:sz w:val="18"/>
          <w:szCs w:val="18"/>
          <w:lang w:val="pt-BR"/>
        </w:rPr>
        <w:t xml:space="preserve"> em </w:t>
      </w:r>
      <w:r w:rsidR="002C330E" w:rsidRPr="00D5464D">
        <w:rPr>
          <w:rFonts w:eastAsia="Calibri" w:cs="Times New Roman"/>
          <w:sz w:val="18"/>
          <w:szCs w:val="18"/>
          <w:lang w:val="pt-BR"/>
        </w:rPr>
        <w:t>prejuízo</w:t>
      </w:r>
      <w:r w:rsidR="00BA1ACF" w:rsidRPr="00D5464D">
        <w:rPr>
          <w:rFonts w:eastAsia="Calibri" w:cs="Times New Roman"/>
          <w:sz w:val="18"/>
          <w:szCs w:val="18"/>
          <w:lang w:val="pt-BR"/>
        </w:rPr>
        <w:t xml:space="preserve"> de </w:t>
      </w:r>
      <w:r w:rsidR="008B075C" w:rsidRPr="00D5464D">
        <w:rPr>
          <w:rFonts w:eastAsia="Calibri" w:cs="Times New Roman"/>
          <w:sz w:val="18"/>
          <w:szCs w:val="18"/>
          <w:lang w:val="pt-BR"/>
        </w:rPr>
        <w:t xml:space="preserve">Iron Canuto </w:t>
      </w:r>
      <w:r w:rsidR="00BE63A6" w:rsidRPr="00D5464D">
        <w:rPr>
          <w:rFonts w:eastAsia="Calibri" w:cs="Times New Roman"/>
          <w:sz w:val="18"/>
          <w:szCs w:val="18"/>
          <w:lang w:val="pt-BR"/>
        </w:rPr>
        <w:t>da Silva</w:t>
      </w:r>
      <w:r w:rsidR="00E045D9" w:rsidRPr="00D5464D">
        <w:rPr>
          <w:rFonts w:eastAsia="Calibri" w:cs="Times New Roman"/>
          <w:sz w:val="18"/>
          <w:szCs w:val="18"/>
          <w:lang w:val="pt-BR"/>
        </w:rPr>
        <w:t xml:space="preserve"> e </w:t>
      </w:r>
      <w:r w:rsidR="00200C04" w:rsidRPr="00D5464D">
        <w:rPr>
          <w:rFonts w:eastAsia="Calibri" w:cs="Times New Roman"/>
          <w:sz w:val="18"/>
          <w:szCs w:val="18"/>
          <w:lang w:val="pt-BR"/>
        </w:rPr>
        <w:t xml:space="preserve">Luis Ferreira </w:t>
      </w:r>
      <w:r w:rsidR="00867094" w:rsidRPr="00D5464D">
        <w:rPr>
          <w:rFonts w:eastAsia="Calibri" w:cs="Times New Roman"/>
          <w:sz w:val="18"/>
          <w:szCs w:val="18"/>
          <w:lang w:val="pt-BR"/>
        </w:rPr>
        <w:t>da Cruz</w:t>
      </w:r>
      <w:r w:rsidR="00470ADC" w:rsidRPr="00D5464D">
        <w:rPr>
          <w:rFonts w:eastAsia="Calibri" w:cs="Times New Roman"/>
          <w:sz w:val="18"/>
          <w:szCs w:val="18"/>
          <w:lang w:val="pt-BR"/>
        </w:rPr>
        <w:t>, e</w:t>
      </w:r>
      <w:r w:rsidR="00BA1ACF" w:rsidRPr="00D5464D">
        <w:rPr>
          <w:rFonts w:eastAsia="Calibri" w:cs="Times New Roman"/>
          <w:sz w:val="18"/>
          <w:szCs w:val="18"/>
          <w:lang w:val="pt-BR"/>
        </w:rPr>
        <w:t xml:space="preserve"> de </w:t>
      </w:r>
      <w:r w:rsidR="00E045D9" w:rsidRPr="00D5464D">
        <w:rPr>
          <w:rFonts w:eastAsia="Calibri" w:cs="Times New Roman"/>
          <w:sz w:val="18"/>
          <w:szCs w:val="18"/>
          <w:lang w:val="pt-BR"/>
        </w:rPr>
        <w:t>seus familiares</w:t>
      </w:r>
      <w:r w:rsidR="00BA1ACF" w:rsidRPr="00D5464D">
        <w:rPr>
          <w:rFonts w:eastAsia="Calibri" w:cs="Times New Roman"/>
          <w:sz w:val="18"/>
          <w:szCs w:val="18"/>
          <w:lang w:val="pt-BR"/>
        </w:rPr>
        <w:t xml:space="preserve">, </w:t>
      </w:r>
      <w:r w:rsidR="002C330E" w:rsidRPr="00D5464D">
        <w:rPr>
          <w:rFonts w:eastAsia="Calibri" w:cs="Times New Roman"/>
          <w:sz w:val="18"/>
          <w:szCs w:val="18"/>
          <w:lang w:val="pt-BR"/>
        </w:rPr>
        <w:t>inclu</w:t>
      </w:r>
      <w:r w:rsidRPr="00D5464D">
        <w:rPr>
          <w:rFonts w:eastAsia="Calibri" w:cs="Times New Roman"/>
          <w:sz w:val="18"/>
          <w:szCs w:val="18"/>
          <w:lang w:val="pt-BR"/>
        </w:rPr>
        <w:t>sive</w:t>
      </w:r>
      <w:r w:rsidR="00BA1ACF" w:rsidRPr="00D5464D">
        <w:rPr>
          <w:rFonts w:eastAsia="Calibri" w:cs="Times New Roman"/>
          <w:sz w:val="18"/>
          <w:szCs w:val="18"/>
          <w:lang w:val="pt-BR"/>
        </w:rPr>
        <w:t xml:space="preserve"> José Teodoro da Silva</w:t>
      </w:r>
      <w:r w:rsidR="00E045D9" w:rsidRPr="00D5464D">
        <w:rPr>
          <w:rFonts w:eastAsia="Calibri" w:cs="Times New Roman"/>
          <w:sz w:val="18"/>
          <w:szCs w:val="18"/>
          <w:lang w:val="pt-BR"/>
        </w:rPr>
        <w:t xml:space="preserve"> e </w:t>
      </w:r>
      <w:r w:rsidR="00BA1ACF" w:rsidRPr="00D5464D">
        <w:rPr>
          <w:rFonts w:eastAsia="Calibri" w:cs="Times New Roman"/>
          <w:sz w:val="18"/>
          <w:szCs w:val="18"/>
          <w:lang w:val="pt-BR"/>
        </w:rPr>
        <w:t>Miguel Ferreira da Cruz</w:t>
      </w:r>
      <w:r w:rsidR="00100481" w:rsidRPr="00D5464D">
        <w:rPr>
          <w:rFonts w:eastAsia="Calibri" w:cs="Times New Roman"/>
          <w:sz w:val="18"/>
          <w:szCs w:val="18"/>
          <w:lang w:val="pt-BR"/>
        </w:rPr>
        <w:t>.</w:t>
      </w:r>
      <w:r w:rsidR="00BA1ACF" w:rsidRPr="00D5464D">
        <w:rPr>
          <w:rFonts w:eastAsia="Calibri" w:cs="Times New Roman"/>
          <w:sz w:val="18"/>
          <w:szCs w:val="18"/>
          <w:lang w:val="pt-BR"/>
        </w:rPr>
        <w:t xml:space="preserve"> </w:t>
      </w:r>
      <w:r w:rsidR="00350187" w:rsidRPr="00D5464D">
        <w:rPr>
          <w:rFonts w:eastAsia="Calibri" w:cs="Times New Roman"/>
          <w:sz w:val="18"/>
          <w:szCs w:val="18"/>
          <w:lang w:val="pt-BR"/>
        </w:rPr>
        <w:t xml:space="preserve">Além disso, </w:t>
      </w:r>
      <w:r w:rsidR="002C330E" w:rsidRPr="00D5464D">
        <w:rPr>
          <w:rFonts w:eastAsia="Calibri" w:cs="Times New Roman"/>
          <w:sz w:val="18"/>
          <w:szCs w:val="18"/>
          <w:lang w:val="pt-BR"/>
        </w:rPr>
        <w:t xml:space="preserve">a </w:t>
      </w:r>
      <w:r w:rsidR="00BA1ACF" w:rsidRPr="00D5464D">
        <w:rPr>
          <w:rFonts w:eastAsia="Calibri" w:cs="Times New Roman"/>
          <w:sz w:val="18"/>
          <w:szCs w:val="18"/>
          <w:lang w:val="pt-BR"/>
        </w:rPr>
        <w:t>viola</w:t>
      </w:r>
      <w:r w:rsidR="00470ADC" w:rsidRPr="00D5464D">
        <w:rPr>
          <w:rFonts w:eastAsia="Calibri" w:cs="Times New Roman"/>
          <w:sz w:val="18"/>
          <w:szCs w:val="18"/>
          <w:lang w:val="pt-BR"/>
        </w:rPr>
        <w:t>ção</w:t>
      </w:r>
      <w:r w:rsidR="00BA1ACF" w:rsidRPr="00D5464D">
        <w:rPr>
          <w:rFonts w:eastAsia="Calibri" w:cs="Times New Roman"/>
          <w:sz w:val="18"/>
          <w:szCs w:val="18"/>
          <w:lang w:val="pt-BR"/>
        </w:rPr>
        <w:t xml:space="preserve"> </w:t>
      </w:r>
      <w:r w:rsidR="00470ADC" w:rsidRPr="00D5464D">
        <w:rPr>
          <w:rFonts w:eastAsia="Calibri" w:cs="Times New Roman"/>
          <w:sz w:val="18"/>
          <w:szCs w:val="18"/>
          <w:lang w:val="pt-BR"/>
        </w:rPr>
        <w:t>do artigo</w:t>
      </w:r>
      <w:r w:rsidR="00BA1ACF" w:rsidRPr="00D5464D">
        <w:rPr>
          <w:rFonts w:eastAsia="Calibri" w:cs="Times New Roman"/>
          <w:sz w:val="18"/>
          <w:szCs w:val="18"/>
          <w:lang w:val="pt-BR"/>
        </w:rPr>
        <w:t xml:space="preserve"> I</w:t>
      </w:r>
      <w:r w:rsidR="00470ADC" w:rsidRPr="00D5464D">
        <w:rPr>
          <w:rFonts w:eastAsia="Calibri" w:cs="Times New Roman"/>
          <w:sz w:val="18"/>
          <w:szCs w:val="18"/>
          <w:lang w:val="pt-BR"/>
        </w:rPr>
        <w:t xml:space="preserve"> da </w:t>
      </w:r>
      <w:r w:rsidR="00BA1ACF" w:rsidRPr="00D5464D">
        <w:rPr>
          <w:rFonts w:eastAsia="Calibri" w:cs="Times New Roman"/>
          <w:sz w:val="18"/>
          <w:szCs w:val="18"/>
          <w:lang w:val="pt-BR"/>
        </w:rPr>
        <w:t>Declara</w:t>
      </w:r>
      <w:r w:rsidR="00470ADC" w:rsidRPr="00D5464D">
        <w:rPr>
          <w:rFonts w:eastAsia="Calibri" w:cs="Times New Roman"/>
          <w:sz w:val="18"/>
          <w:szCs w:val="18"/>
          <w:lang w:val="pt-BR"/>
        </w:rPr>
        <w:t>ção</w:t>
      </w:r>
      <w:r w:rsidR="00E045D9" w:rsidRPr="00D5464D">
        <w:rPr>
          <w:rFonts w:eastAsia="Calibri" w:cs="Times New Roman"/>
          <w:sz w:val="18"/>
          <w:szCs w:val="18"/>
          <w:lang w:val="pt-BR"/>
        </w:rPr>
        <w:t xml:space="preserve"> e,</w:t>
      </w:r>
      <w:r w:rsidR="00BA1ACF" w:rsidRPr="00D5464D">
        <w:rPr>
          <w:rFonts w:eastAsia="Calibri" w:cs="Times New Roman"/>
          <w:sz w:val="18"/>
          <w:szCs w:val="18"/>
          <w:lang w:val="pt-BR"/>
        </w:rPr>
        <w:t xml:space="preserve"> a partir</w:t>
      </w:r>
      <w:r w:rsidR="00737270" w:rsidRPr="00D5464D">
        <w:rPr>
          <w:rFonts w:eastAsia="Calibri" w:cs="Times New Roman"/>
          <w:sz w:val="18"/>
          <w:szCs w:val="18"/>
          <w:lang w:val="pt-BR"/>
        </w:rPr>
        <w:t xml:space="preserve"> de 2</w:t>
      </w:r>
      <w:r w:rsidR="00BA1ACF" w:rsidRPr="00D5464D">
        <w:rPr>
          <w:rFonts w:eastAsia="Calibri" w:cs="Times New Roman"/>
          <w:sz w:val="18"/>
          <w:szCs w:val="18"/>
          <w:lang w:val="pt-BR"/>
        </w:rPr>
        <w:t xml:space="preserve">5 de </w:t>
      </w:r>
      <w:r w:rsidR="002C330E" w:rsidRPr="00D5464D">
        <w:rPr>
          <w:rFonts w:eastAsia="Calibri" w:cs="Times New Roman"/>
          <w:sz w:val="18"/>
          <w:szCs w:val="18"/>
          <w:lang w:val="pt-BR"/>
        </w:rPr>
        <w:t>setembro</w:t>
      </w:r>
      <w:r w:rsidR="00BA1ACF" w:rsidRPr="00D5464D">
        <w:rPr>
          <w:rFonts w:eastAsia="Calibri" w:cs="Times New Roman"/>
          <w:sz w:val="18"/>
          <w:szCs w:val="18"/>
          <w:lang w:val="pt-BR"/>
        </w:rPr>
        <w:t xml:space="preserve"> de 1992, </w:t>
      </w:r>
      <w:r w:rsidR="00470ADC" w:rsidRPr="00D5464D">
        <w:rPr>
          <w:rFonts w:eastAsia="Calibri" w:cs="Times New Roman"/>
          <w:sz w:val="18"/>
          <w:szCs w:val="18"/>
          <w:lang w:val="pt-BR"/>
        </w:rPr>
        <w:t>do artigo</w:t>
      </w:r>
      <w:r w:rsidR="00BA1ACF" w:rsidRPr="00D5464D">
        <w:rPr>
          <w:rFonts w:eastAsia="Calibri" w:cs="Times New Roman"/>
          <w:sz w:val="18"/>
          <w:szCs w:val="18"/>
          <w:lang w:val="pt-BR"/>
        </w:rPr>
        <w:t xml:space="preserve"> 5</w:t>
      </w:r>
      <w:r w:rsidR="00470ADC" w:rsidRPr="00D5464D">
        <w:rPr>
          <w:rFonts w:eastAsia="Calibri" w:cs="Times New Roman"/>
          <w:sz w:val="18"/>
          <w:szCs w:val="18"/>
          <w:lang w:val="pt-BR"/>
        </w:rPr>
        <w:t xml:space="preserve"> da </w:t>
      </w:r>
      <w:r w:rsidR="00BA1ACF" w:rsidRPr="00D5464D">
        <w:rPr>
          <w:rFonts w:eastAsia="Calibri" w:cs="Times New Roman"/>
          <w:sz w:val="18"/>
          <w:szCs w:val="18"/>
          <w:lang w:val="pt-BR"/>
        </w:rPr>
        <w:t>Conven</w:t>
      </w:r>
      <w:r w:rsidR="00470ADC" w:rsidRPr="00D5464D">
        <w:rPr>
          <w:rFonts w:eastAsia="Calibri" w:cs="Times New Roman"/>
          <w:sz w:val="18"/>
          <w:szCs w:val="18"/>
          <w:lang w:val="pt-BR"/>
        </w:rPr>
        <w:t>ção</w:t>
      </w:r>
      <w:r w:rsidR="00100481" w:rsidRPr="00D5464D">
        <w:rPr>
          <w:rFonts w:eastAsia="Calibri" w:cs="Times New Roman"/>
          <w:sz w:val="18"/>
          <w:szCs w:val="18"/>
          <w:lang w:val="pt-BR"/>
        </w:rPr>
        <w:t>,</w:t>
      </w:r>
      <w:r w:rsidR="00470ADC" w:rsidRPr="00D5464D">
        <w:rPr>
          <w:rFonts w:eastAsia="Calibri" w:cs="Times New Roman"/>
          <w:sz w:val="18"/>
          <w:szCs w:val="18"/>
          <w:lang w:val="pt-BR"/>
        </w:rPr>
        <w:t xml:space="preserve"> em </w:t>
      </w:r>
      <w:r w:rsidR="002C330E" w:rsidRPr="00D5464D">
        <w:rPr>
          <w:rFonts w:eastAsia="Calibri" w:cs="Times New Roman"/>
          <w:sz w:val="18"/>
          <w:szCs w:val="18"/>
          <w:lang w:val="pt-BR"/>
        </w:rPr>
        <w:t>prejuízo</w:t>
      </w:r>
      <w:r w:rsidR="00470ADC" w:rsidRPr="00D5464D">
        <w:rPr>
          <w:rFonts w:eastAsia="Calibri" w:cs="Times New Roman"/>
          <w:sz w:val="18"/>
          <w:szCs w:val="18"/>
          <w:lang w:val="pt-BR"/>
        </w:rPr>
        <w:t xml:space="preserve"> dos </w:t>
      </w:r>
      <w:r w:rsidR="00BA1ACF" w:rsidRPr="00D5464D">
        <w:rPr>
          <w:rFonts w:eastAsia="Calibri" w:cs="Times New Roman"/>
          <w:sz w:val="18"/>
          <w:szCs w:val="18"/>
          <w:lang w:val="pt-BR"/>
        </w:rPr>
        <w:t xml:space="preserve">familiares de </w:t>
      </w:r>
      <w:r w:rsidR="008B075C" w:rsidRPr="00D5464D">
        <w:rPr>
          <w:rFonts w:eastAsia="Calibri" w:cs="Times New Roman"/>
          <w:sz w:val="18"/>
          <w:szCs w:val="18"/>
          <w:lang w:val="pt-BR"/>
        </w:rPr>
        <w:t xml:space="preserve">Iron Canuto </w:t>
      </w:r>
      <w:r w:rsidR="00BE63A6" w:rsidRPr="00D5464D">
        <w:rPr>
          <w:rFonts w:eastAsia="Calibri" w:cs="Times New Roman"/>
          <w:sz w:val="18"/>
          <w:szCs w:val="18"/>
          <w:lang w:val="pt-BR"/>
        </w:rPr>
        <w:t>da Silva</w:t>
      </w:r>
      <w:r w:rsidR="00E045D9" w:rsidRPr="00D5464D">
        <w:rPr>
          <w:rFonts w:eastAsia="Calibri" w:cs="Times New Roman"/>
          <w:sz w:val="18"/>
          <w:szCs w:val="18"/>
          <w:lang w:val="pt-BR"/>
        </w:rPr>
        <w:t xml:space="preserve"> e </w:t>
      </w:r>
      <w:r w:rsidR="00200C04" w:rsidRPr="00D5464D">
        <w:rPr>
          <w:rFonts w:eastAsia="Calibri" w:cs="Times New Roman"/>
          <w:sz w:val="18"/>
          <w:szCs w:val="18"/>
          <w:lang w:val="pt-BR"/>
        </w:rPr>
        <w:t xml:space="preserve">Luis Ferreira </w:t>
      </w:r>
      <w:r w:rsidR="00867094" w:rsidRPr="00D5464D">
        <w:rPr>
          <w:rFonts w:eastAsia="Calibri" w:cs="Times New Roman"/>
          <w:sz w:val="18"/>
          <w:szCs w:val="18"/>
          <w:lang w:val="pt-BR"/>
        </w:rPr>
        <w:t>da Cruz</w:t>
      </w:r>
      <w:r w:rsidR="00BA1ACF" w:rsidRPr="00D5464D">
        <w:rPr>
          <w:rFonts w:eastAsia="Calibri" w:cs="Times New Roman"/>
          <w:sz w:val="18"/>
          <w:szCs w:val="18"/>
          <w:lang w:val="pt-BR"/>
        </w:rPr>
        <w:t>.</w:t>
      </w:r>
    </w:p>
    <w:p w14:paraId="039A0C79" w14:textId="77777777" w:rsidR="00B95467" w:rsidRPr="00D5464D" w:rsidRDefault="009247C1" w:rsidP="002540C6">
      <w:pPr>
        <w:numPr>
          <w:ilvl w:val="1"/>
          <w:numId w:val="3"/>
        </w:numPr>
        <w:tabs>
          <w:tab w:val="clear" w:pos="4419"/>
          <w:tab w:val="clear" w:pos="8838"/>
          <w:tab w:val="left" w:pos="426"/>
        </w:tabs>
        <w:ind w:left="1701" w:right="29" w:hanging="283"/>
        <w:jc w:val="both"/>
        <w:rPr>
          <w:rFonts w:eastAsia="Calibri" w:cs="Times New Roman"/>
          <w:sz w:val="18"/>
          <w:szCs w:val="18"/>
          <w:lang w:val="pt-BR"/>
        </w:rPr>
      </w:pPr>
      <w:r w:rsidRPr="00D5464D">
        <w:rPr>
          <w:rFonts w:eastAsia="Calibri" w:cs="Times New Roman"/>
          <w:sz w:val="18"/>
          <w:szCs w:val="18"/>
          <w:lang w:val="pt-BR"/>
        </w:rPr>
        <w:t>V</w:t>
      </w:r>
      <w:r w:rsidR="00BA1ACF" w:rsidRPr="00D5464D">
        <w:rPr>
          <w:rFonts w:eastAsia="Calibri" w:cs="Times New Roman"/>
          <w:sz w:val="18"/>
          <w:szCs w:val="18"/>
          <w:lang w:val="pt-BR"/>
        </w:rPr>
        <w:t>i</w:t>
      </w:r>
      <w:r w:rsidR="001F559F" w:rsidRPr="00D5464D">
        <w:rPr>
          <w:rFonts w:eastAsia="Calibri" w:cs="Times New Roman"/>
          <w:sz w:val="18"/>
          <w:szCs w:val="18"/>
          <w:lang w:val="pt-BR"/>
        </w:rPr>
        <w:t>ola</w:t>
      </w:r>
      <w:r w:rsidR="00470ADC" w:rsidRPr="00D5464D">
        <w:rPr>
          <w:rFonts w:eastAsia="Calibri" w:cs="Times New Roman"/>
          <w:sz w:val="18"/>
          <w:szCs w:val="18"/>
          <w:lang w:val="pt-BR"/>
        </w:rPr>
        <w:t>ção dos artigo</w:t>
      </w:r>
      <w:r w:rsidR="001F559F" w:rsidRPr="00D5464D">
        <w:rPr>
          <w:rFonts w:eastAsia="Calibri" w:cs="Times New Roman"/>
          <w:sz w:val="18"/>
          <w:szCs w:val="18"/>
          <w:lang w:val="pt-BR"/>
        </w:rPr>
        <w:t>s I, VII</w:t>
      </w:r>
      <w:r w:rsidR="00E045D9" w:rsidRPr="00D5464D">
        <w:rPr>
          <w:rFonts w:eastAsia="Calibri" w:cs="Times New Roman"/>
          <w:sz w:val="18"/>
          <w:szCs w:val="18"/>
          <w:lang w:val="pt-BR"/>
        </w:rPr>
        <w:t xml:space="preserve"> e </w:t>
      </w:r>
      <w:r w:rsidR="00BA1ACF" w:rsidRPr="00D5464D">
        <w:rPr>
          <w:rFonts w:eastAsia="Calibri" w:cs="Times New Roman"/>
          <w:sz w:val="18"/>
          <w:szCs w:val="18"/>
          <w:lang w:val="pt-BR"/>
        </w:rPr>
        <w:t>XIV de Declara</w:t>
      </w:r>
      <w:r w:rsidR="00470ADC" w:rsidRPr="00D5464D">
        <w:rPr>
          <w:rFonts w:eastAsia="Calibri" w:cs="Times New Roman"/>
          <w:sz w:val="18"/>
          <w:szCs w:val="18"/>
          <w:lang w:val="pt-BR"/>
        </w:rPr>
        <w:t>ção</w:t>
      </w:r>
      <w:r w:rsidR="00E045D9" w:rsidRPr="00D5464D">
        <w:rPr>
          <w:rFonts w:eastAsia="Calibri" w:cs="Times New Roman"/>
          <w:sz w:val="18"/>
          <w:szCs w:val="18"/>
          <w:lang w:val="pt-BR"/>
        </w:rPr>
        <w:t xml:space="preserve"> e,</w:t>
      </w:r>
      <w:r w:rsidR="00BA1ACF" w:rsidRPr="00D5464D">
        <w:rPr>
          <w:rFonts w:eastAsia="Calibri" w:cs="Times New Roman"/>
          <w:sz w:val="18"/>
          <w:szCs w:val="18"/>
          <w:lang w:val="pt-BR"/>
        </w:rPr>
        <w:t xml:space="preserve"> a partir</w:t>
      </w:r>
      <w:r w:rsidR="00737270" w:rsidRPr="00D5464D">
        <w:rPr>
          <w:rFonts w:eastAsia="Calibri" w:cs="Times New Roman"/>
          <w:sz w:val="18"/>
          <w:szCs w:val="18"/>
          <w:lang w:val="pt-BR"/>
        </w:rPr>
        <w:t xml:space="preserve"> de 2</w:t>
      </w:r>
      <w:r w:rsidR="00BA1ACF" w:rsidRPr="00D5464D">
        <w:rPr>
          <w:rFonts w:eastAsia="Calibri" w:cs="Times New Roman"/>
          <w:sz w:val="18"/>
          <w:szCs w:val="18"/>
          <w:lang w:val="pt-BR"/>
        </w:rPr>
        <w:t xml:space="preserve">5 de </w:t>
      </w:r>
      <w:r w:rsidR="002C330E" w:rsidRPr="00D5464D">
        <w:rPr>
          <w:rFonts w:eastAsia="Calibri" w:cs="Times New Roman"/>
          <w:sz w:val="18"/>
          <w:szCs w:val="18"/>
          <w:lang w:val="pt-BR"/>
        </w:rPr>
        <w:t>setembro</w:t>
      </w:r>
      <w:r w:rsidR="00BA1ACF" w:rsidRPr="00D5464D">
        <w:rPr>
          <w:rFonts w:eastAsia="Calibri" w:cs="Times New Roman"/>
          <w:sz w:val="18"/>
          <w:szCs w:val="18"/>
          <w:lang w:val="pt-BR"/>
        </w:rPr>
        <w:t xml:space="preserve"> de 1992,</w:t>
      </w:r>
      <w:r w:rsidR="00470ADC" w:rsidRPr="00D5464D">
        <w:rPr>
          <w:rFonts w:eastAsia="Calibri" w:cs="Times New Roman"/>
          <w:sz w:val="18"/>
          <w:szCs w:val="18"/>
          <w:lang w:val="pt-BR"/>
        </w:rPr>
        <w:t xml:space="preserve"> dos artigo</w:t>
      </w:r>
      <w:r w:rsidR="00BA1ACF" w:rsidRPr="00D5464D">
        <w:rPr>
          <w:rFonts w:eastAsia="Calibri" w:cs="Times New Roman"/>
          <w:sz w:val="18"/>
          <w:szCs w:val="18"/>
          <w:lang w:val="pt-BR"/>
        </w:rPr>
        <w:t>s 7,</w:t>
      </w:r>
      <w:r w:rsidR="0086259C" w:rsidRPr="00D5464D">
        <w:rPr>
          <w:rFonts w:eastAsia="Calibri" w:cs="Times New Roman"/>
          <w:sz w:val="18"/>
          <w:szCs w:val="18"/>
          <w:lang w:val="pt-BR"/>
        </w:rPr>
        <w:t xml:space="preserve"> </w:t>
      </w:r>
      <w:r w:rsidR="00BA1ACF" w:rsidRPr="00D5464D">
        <w:rPr>
          <w:rFonts w:eastAsia="Calibri" w:cs="Times New Roman"/>
          <w:sz w:val="18"/>
          <w:szCs w:val="18"/>
          <w:lang w:val="pt-BR"/>
        </w:rPr>
        <w:t>5, 4, 3</w:t>
      </w:r>
      <w:r w:rsidR="00E045D9" w:rsidRPr="00D5464D">
        <w:rPr>
          <w:rFonts w:eastAsia="Calibri" w:cs="Times New Roman"/>
          <w:sz w:val="18"/>
          <w:szCs w:val="18"/>
          <w:lang w:val="pt-BR"/>
        </w:rPr>
        <w:t xml:space="preserve"> e </w:t>
      </w:r>
      <w:r w:rsidR="00BA1ACF" w:rsidRPr="00D5464D">
        <w:rPr>
          <w:rFonts w:eastAsia="Calibri" w:cs="Times New Roman"/>
          <w:sz w:val="18"/>
          <w:szCs w:val="18"/>
          <w:lang w:val="pt-BR"/>
        </w:rPr>
        <w:t>19</w:t>
      </w:r>
      <w:r w:rsidR="00470ADC" w:rsidRPr="00D5464D">
        <w:rPr>
          <w:rFonts w:eastAsia="Calibri" w:cs="Times New Roman"/>
          <w:sz w:val="18"/>
          <w:szCs w:val="18"/>
          <w:lang w:val="pt-BR"/>
        </w:rPr>
        <w:t xml:space="preserve"> da </w:t>
      </w:r>
      <w:r w:rsidR="00BA1ACF" w:rsidRPr="00D5464D">
        <w:rPr>
          <w:rFonts w:eastAsia="Calibri" w:cs="Times New Roman"/>
          <w:sz w:val="18"/>
          <w:szCs w:val="18"/>
          <w:lang w:val="pt-BR"/>
        </w:rPr>
        <w:t>Conven</w:t>
      </w:r>
      <w:r w:rsidR="00470ADC" w:rsidRPr="00D5464D">
        <w:rPr>
          <w:rFonts w:eastAsia="Calibri" w:cs="Times New Roman"/>
          <w:sz w:val="18"/>
          <w:szCs w:val="18"/>
          <w:lang w:val="pt-BR"/>
        </w:rPr>
        <w:t>ção</w:t>
      </w:r>
      <w:r w:rsidR="00100481" w:rsidRPr="00D5464D">
        <w:rPr>
          <w:rFonts w:eastAsia="Calibri" w:cs="Times New Roman"/>
          <w:sz w:val="18"/>
          <w:szCs w:val="18"/>
          <w:lang w:val="pt-BR"/>
        </w:rPr>
        <w:t>,</w:t>
      </w:r>
      <w:r w:rsidR="00470ADC" w:rsidRPr="00D5464D">
        <w:rPr>
          <w:rFonts w:eastAsia="Calibri" w:cs="Times New Roman"/>
          <w:sz w:val="18"/>
          <w:szCs w:val="18"/>
          <w:lang w:val="pt-BR"/>
        </w:rPr>
        <w:t xml:space="preserve"> </w:t>
      </w:r>
      <w:r w:rsidR="00A1358C" w:rsidRPr="00D5464D">
        <w:rPr>
          <w:rFonts w:eastAsia="Calibri" w:cs="Times New Roman"/>
          <w:sz w:val="18"/>
          <w:szCs w:val="18"/>
          <w:lang w:val="pt-BR"/>
        </w:rPr>
        <w:t>em relação aos artigos</w:t>
      </w:r>
      <w:r w:rsidR="00BA1ACF" w:rsidRPr="00D5464D">
        <w:rPr>
          <w:rFonts w:eastAsia="Calibri" w:cs="Times New Roman"/>
          <w:sz w:val="18"/>
          <w:szCs w:val="18"/>
          <w:lang w:val="pt-BR"/>
        </w:rPr>
        <w:t xml:space="preserve"> 8, 25</w:t>
      </w:r>
      <w:r w:rsidR="00E045D9" w:rsidRPr="00D5464D">
        <w:rPr>
          <w:rFonts w:eastAsia="Calibri" w:cs="Times New Roman"/>
          <w:sz w:val="18"/>
          <w:szCs w:val="18"/>
          <w:lang w:val="pt-BR"/>
        </w:rPr>
        <w:t xml:space="preserve"> e </w:t>
      </w:r>
      <w:r w:rsidR="00BA1ACF" w:rsidRPr="00D5464D">
        <w:rPr>
          <w:rFonts w:eastAsia="Calibri" w:cs="Times New Roman"/>
          <w:sz w:val="18"/>
          <w:szCs w:val="18"/>
          <w:lang w:val="pt-BR"/>
        </w:rPr>
        <w:t>1.1</w:t>
      </w:r>
      <w:r w:rsidR="00470ADC" w:rsidRPr="00D5464D">
        <w:rPr>
          <w:rFonts w:eastAsia="Calibri" w:cs="Times New Roman"/>
          <w:sz w:val="18"/>
          <w:szCs w:val="18"/>
          <w:lang w:val="pt-BR"/>
        </w:rPr>
        <w:t xml:space="preserve"> da </w:t>
      </w:r>
      <w:r w:rsidR="002C330E" w:rsidRPr="00D5464D">
        <w:rPr>
          <w:rFonts w:eastAsia="Calibri" w:cs="Times New Roman"/>
          <w:sz w:val="18"/>
          <w:szCs w:val="18"/>
          <w:lang w:val="pt-BR"/>
        </w:rPr>
        <w:t>mesm</w:t>
      </w:r>
      <w:r w:rsidR="00BA1ACF" w:rsidRPr="00D5464D">
        <w:rPr>
          <w:rFonts w:eastAsia="Calibri" w:cs="Times New Roman"/>
          <w:sz w:val="18"/>
          <w:szCs w:val="18"/>
          <w:lang w:val="pt-BR"/>
        </w:rPr>
        <w:t>a,</w:t>
      </w:r>
      <w:r w:rsidR="00470ADC" w:rsidRPr="00D5464D">
        <w:rPr>
          <w:rFonts w:eastAsia="Calibri" w:cs="Times New Roman"/>
          <w:sz w:val="18"/>
          <w:szCs w:val="18"/>
          <w:lang w:val="pt-BR"/>
        </w:rPr>
        <w:t xml:space="preserve"> em </w:t>
      </w:r>
      <w:r w:rsidR="002C330E" w:rsidRPr="00D5464D">
        <w:rPr>
          <w:rFonts w:eastAsia="Calibri" w:cs="Times New Roman"/>
          <w:sz w:val="18"/>
          <w:szCs w:val="18"/>
          <w:lang w:val="pt-BR"/>
        </w:rPr>
        <w:t>prejuízo</w:t>
      </w:r>
      <w:r w:rsidR="00BA1ACF" w:rsidRPr="00D5464D">
        <w:rPr>
          <w:rFonts w:eastAsia="Calibri" w:cs="Times New Roman"/>
          <w:sz w:val="18"/>
          <w:szCs w:val="18"/>
          <w:lang w:val="pt-BR"/>
        </w:rPr>
        <w:t xml:space="preserve"> de </w:t>
      </w:r>
      <w:r w:rsidR="008B075C" w:rsidRPr="00D5464D">
        <w:rPr>
          <w:rFonts w:eastAsia="Calibri" w:cs="Times New Roman"/>
          <w:sz w:val="18"/>
          <w:szCs w:val="18"/>
          <w:lang w:val="pt-BR"/>
        </w:rPr>
        <w:t xml:space="preserve">Iron Canuto </w:t>
      </w:r>
      <w:r w:rsidR="00BE63A6" w:rsidRPr="00D5464D">
        <w:rPr>
          <w:rFonts w:eastAsia="Calibri" w:cs="Times New Roman"/>
          <w:sz w:val="18"/>
          <w:szCs w:val="18"/>
          <w:lang w:val="pt-BR"/>
        </w:rPr>
        <w:t>da Silva</w:t>
      </w:r>
      <w:r w:rsidR="00E045D9" w:rsidRPr="00D5464D">
        <w:rPr>
          <w:rFonts w:eastAsia="Calibri" w:cs="Times New Roman"/>
          <w:sz w:val="18"/>
          <w:szCs w:val="18"/>
          <w:lang w:val="pt-BR"/>
        </w:rPr>
        <w:t xml:space="preserve"> e </w:t>
      </w:r>
      <w:r w:rsidR="00200C04" w:rsidRPr="00D5464D">
        <w:rPr>
          <w:rFonts w:eastAsia="Calibri" w:cs="Times New Roman"/>
          <w:sz w:val="18"/>
          <w:szCs w:val="18"/>
          <w:lang w:val="pt-BR"/>
        </w:rPr>
        <w:t>Luis Ferreira da Cruz</w:t>
      </w:r>
      <w:r w:rsidR="00BA1ACF" w:rsidRPr="00D5464D">
        <w:rPr>
          <w:rFonts w:eastAsia="Calibri" w:cs="Times New Roman"/>
          <w:sz w:val="18"/>
          <w:szCs w:val="18"/>
          <w:lang w:val="pt-BR"/>
        </w:rPr>
        <w:t>.</w:t>
      </w:r>
    </w:p>
    <w:p w14:paraId="40F57DE4" w14:textId="0EF6B7B2" w:rsidR="00B95467" w:rsidRPr="00D5464D" w:rsidRDefault="00B95467" w:rsidP="002540C6">
      <w:pPr>
        <w:numPr>
          <w:ilvl w:val="1"/>
          <w:numId w:val="3"/>
        </w:numPr>
        <w:tabs>
          <w:tab w:val="clear" w:pos="4419"/>
          <w:tab w:val="clear" w:pos="8838"/>
          <w:tab w:val="left" w:pos="426"/>
        </w:tabs>
        <w:ind w:left="1701" w:right="29" w:hanging="283"/>
        <w:jc w:val="both"/>
        <w:rPr>
          <w:rFonts w:eastAsia="Calibri" w:cs="Times New Roman"/>
          <w:sz w:val="18"/>
          <w:szCs w:val="18"/>
          <w:lang w:val="pt-BR"/>
        </w:rPr>
      </w:pPr>
      <w:r w:rsidRPr="00D5464D">
        <w:rPr>
          <w:rFonts w:eastAsia="Calibri" w:cs="Times New Roman"/>
          <w:sz w:val="18"/>
          <w:szCs w:val="18"/>
          <w:lang w:val="pt-BR"/>
        </w:rPr>
        <w:t>Nã</w:t>
      </w:r>
      <w:r w:rsidR="00BA1ACF" w:rsidRPr="00D5464D">
        <w:rPr>
          <w:rFonts w:eastAsia="Calibri" w:cs="Times New Roman"/>
          <w:sz w:val="18"/>
          <w:szCs w:val="18"/>
          <w:lang w:val="pt-BR"/>
        </w:rPr>
        <w:t xml:space="preserve">o </w:t>
      </w:r>
      <w:r w:rsidR="00470ADC" w:rsidRPr="00D5464D">
        <w:rPr>
          <w:rFonts w:eastAsia="Calibri" w:cs="Times New Roman"/>
          <w:sz w:val="18"/>
          <w:szCs w:val="18"/>
          <w:lang w:val="pt-BR"/>
        </w:rPr>
        <w:t>adoção</w:t>
      </w:r>
      <w:r w:rsidR="00BA1ACF" w:rsidRPr="00D5464D">
        <w:rPr>
          <w:rFonts w:eastAsia="Calibri" w:cs="Times New Roman"/>
          <w:sz w:val="18"/>
          <w:szCs w:val="18"/>
          <w:lang w:val="pt-BR"/>
        </w:rPr>
        <w:t xml:space="preserve"> de medidas suficientes</w:t>
      </w:r>
      <w:r w:rsidR="00E045D9" w:rsidRPr="00D5464D">
        <w:rPr>
          <w:rFonts w:eastAsia="Calibri" w:cs="Times New Roman"/>
          <w:sz w:val="18"/>
          <w:szCs w:val="18"/>
          <w:lang w:val="pt-BR"/>
        </w:rPr>
        <w:t xml:space="preserve"> e </w:t>
      </w:r>
      <w:r w:rsidRPr="00D5464D">
        <w:rPr>
          <w:rFonts w:eastAsia="Calibri" w:cs="Times New Roman"/>
          <w:sz w:val="18"/>
          <w:szCs w:val="18"/>
          <w:lang w:val="pt-BR"/>
        </w:rPr>
        <w:t>eficazes</w:t>
      </w:r>
      <w:r w:rsidR="00BA1ACF" w:rsidRPr="00D5464D">
        <w:rPr>
          <w:rFonts w:eastAsia="Calibri" w:cs="Times New Roman"/>
          <w:sz w:val="18"/>
          <w:szCs w:val="18"/>
          <w:lang w:val="pt-BR"/>
        </w:rPr>
        <w:t xml:space="preserve"> para </w:t>
      </w:r>
      <w:r w:rsidR="002C330E" w:rsidRPr="00D5464D">
        <w:rPr>
          <w:rFonts w:eastAsia="Calibri" w:cs="Times New Roman"/>
          <w:sz w:val="18"/>
          <w:szCs w:val="18"/>
          <w:lang w:val="pt-BR"/>
        </w:rPr>
        <w:t xml:space="preserve">garantir sem </w:t>
      </w:r>
      <w:r w:rsidR="00BA1ACF" w:rsidRPr="00D5464D">
        <w:rPr>
          <w:rFonts w:eastAsia="Calibri" w:cs="Times New Roman"/>
          <w:sz w:val="18"/>
          <w:szCs w:val="18"/>
          <w:lang w:val="pt-BR"/>
        </w:rPr>
        <w:t>discrimina</w:t>
      </w:r>
      <w:r w:rsidR="00470ADC" w:rsidRPr="00D5464D">
        <w:rPr>
          <w:rFonts w:eastAsia="Calibri" w:cs="Times New Roman"/>
          <w:sz w:val="18"/>
          <w:szCs w:val="18"/>
          <w:lang w:val="pt-BR"/>
        </w:rPr>
        <w:t>ção</w:t>
      </w:r>
      <w:r w:rsidR="002C330E" w:rsidRPr="00D5464D">
        <w:rPr>
          <w:rFonts w:eastAsia="Calibri" w:cs="Times New Roman"/>
          <w:sz w:val="18"/>
          <w:szCs w:val="18"/>
          <w:lang w:val="pt-BR"/>
        </w:rPr>
        <w:t xml:space="preserve"> os </w:t>
      </w:r>
      <w:r w:rsidR="00470ADC" w:rsidRPr="00D5464D">
        <w:rPr>
          <w:rFonts w:eastAsia="Calibri" w:cs="Times New Roman"/>
          <w:sz w:val="18"/>
          <w:szCs w:val="18"/>
          <w:lang w:val="pt-BR"/>
        </w:rPr>
        <w:t>direito</w:t>
      </w:r>
      <w:r w:rsidR="00BA1ACF" w:rsidRPr="00D5464D">
        <w:rPr>
          <w:rFonts w:eastAsia="Calibri" w:cs="Times New Roman"/>
          <w:sz w:val="18"/>
          <w:szCs w:val="18"/>
          <w:lang w:val="pt-BR"/>
        </w:rPr>
        <w:t>s</w:t>
      </w:r>
      <w:r w:rsidR="00470ADC" w:rsidRPr="00D5464D">
        <w:rPr>
          <w:rFonts w:eastAsia="Calibri" w:cs="Times New Roman"/>
          <w:sz w:val="18"/>
          <w:szCs w:val="18"/>
          <w:lang w:val="pt-BR"/>
        </w:rPr>
        <w:t xml:space="preserve"> dos </w:t>
      </w:r>
      <w:r w:rsidR="00E045D9" w:rsidRPr="00D5464D">
        <w:rPr>
          <w:rFonts w:eastAsia="Calibri" w:cs="Times New Roman"/>
          <w:sz w:val="18"/>
          <w:szCs w:val="18"/>
          <w:lang w:val="pt-BR"/>
        </w:rPr>
        <w:t>trabalhadores</w:t>
      </w:r>
      <w:r w:rsidR="00BA1ACF" w:rsidRPr="00D5464D">
        <w:rPr>
          <w:rFonts w:eastAsia="Calibri" w:cs="Times New Roman"/>
          <w:sz w:val="18"/>
          <w:szCs w:val="18"/>
          <w:lang w:val="pt-BR"/>
        </w:rPr>
        <w:t xml:space="preserve"> encontrados</w:t>
      </w:r>
      <w:r w:rsidR="00E045D9" w:rsidRPr="00D5464D">
        <w:rPr>
          <w:rFonts w:eastAsia="Calibri" w:cs="Times New Roman"/>
          <w:sz w:val="18"/>
          <w:szCs w:val="18"/>
          <w:lang w:val="pt-BR"/>
        </w:rPr>
        <w:t xml:space="preserve"> nas </w:t>
      </w:r>
      <w:r w:rsidR="00BA1ACF" w:rsidRPr="00D5464D">
        <w:rPr>
          <w:rFonts w:eastAsia="Calibri" w:cs="Times New Roman"/>
          <w:sz w:val="18"/>
          <w:szCs w:val="18"/>
          <w:lang w:val="pt-BR"/>
        </w:rPr>
        <w:t>fiscaliza</w:t>
      </w:r>
      <w:r w:rsidR="00470ADC" w:rsidRPr="00D5464D">
        <w:rPr>
          <w:rFonts w:eastAsia="Calibri" w:cs="Times New Roman"/>
          <w:sz w:val="18"/>
          <w:szCs w:val="18"/>
          <w:lang w:val="pt-BR"/>
        </w:rPr>
        <w:t>ç</w:t>
      </w:r>
      <w:r w:rsidR="00C16021" w:rsidRPr="00D5464D">
        <w:rPr>
          <w:rFonts w:eastAsia="Calibri" w:cs="Times New Roman"/>
          <w:sz w:val="18"/>
          <w:szCs w:val="18"/>
          <w:lang w:val="pt-BR"/>
        </w:rPr>
        <w:t xml:space="preserve">ões </w:t>
      </w:r>
      <w:r w:rsidR="00BA1ACF" w:rsidRPr="00D5464D">
        <w:rPr>
          <w:rFonts w:eastAsia="Calibri" w:cs="Times New Roman"/>
          <w:sz w:val="18"/>
          <w:szCs w:val="18"/>
          <w:lang w:val="pt-BR"/>
        </w:rPr>
        <w:t>de 1993, 1996, 1997</w:t>
      </w:r>
      <w:r w:rsidR="00E045D9" w:rsidRPr="00D5464D">
        <w:rPr>
          <w:rFonts w:eastAsia="Calibri" w:cs="Times New Roman"/>
          <w:sz w:val="18"/>
          <w:szCs w:val="18"/>
          <w:lang w:val="pt-BR"/>
        </w:rPr>
        <w:t xml:space="preserve"> e </w:t>
      </w:r>
      <w:r w:rsidR="00BA1ACF" w:rsidRPr="00D5464D">
        <w:rPr>
          <w:rFonts w:eastAsia="Calibri" w:cs="Times New Roman"/>
          <w:sz w:val="18"/>
          <w:szCs w:val="18"/>
          <w:lang w:val="pt-BR"/>
        </w:rPr>
        <w:t xml:space="preserve">2000, </w:t>
      </w:r>
      <w:r w:rsidRPr="00D5464D">
        <w:rPr>
          <w:rFonts w:eastAsia="Calibri" w:cs="Times New Roman"/>
          <w:sz w:val="18"/>
          <w:szCs w:val="18"/>
          <w:lang w:val="pt-BR"/>
        </w:rPr>
        <w:t xml:space="preserve">em conformidade </w:t>
      </w:r>
      <w:r w:rsidR="00470ADC" w:rsidRPr="00D5464D">
        <w:rPr>
          <w:rFonts w:eastAsia="Calibri" w:cs="Times New Roman"/>
          <w:sz w:val="18"/>
          <w:szCs w:val="18"/>
          <w:lang w:val="pt-BR"/>
        </w:rPr>
        <w:t>com o artigo</w:t>
      </w:r>
      <w:r w:rsidR="00BA1ACF" w:rsidRPr="00D5464D">
        <w:rPr>
          <w:rFonts w:eastAsia="Calibri" w:cs="Times New Roman"/>
          <w:sz w:val="18"/>
          <w:szCs w:val="18"/>
          <w:lang w:val="pt-BR"/>
        </w:rPr>
        <w:t xml:space="preserve"> 1.1</w:t>
      </w:r>
      <w:r w:rsidR="00470ADC" w:rsidRPr="00D5464D">
        <w:rPr>
          <w:rFonts w:eastAsia="Calibri" w:cs="Times New Roman"/>
          <w:sz w:val="18"/>
          <w:szCs w:val="18"/>
          <w:lang w:val="pt-BR"/>
        </w:rPr>
        <w:t xml:space="preserve"> da </w:t>
      </w:r>
      <w:r w:rsidR="00BA1ACF" w:rsidRPr="00D5464D">
        <w:rPr>
          <w:rFonts w:eastAsia="Calibri" w:cs="Times New Roman"/>
          <w:sz w:val="18"/>
          <w:szCs w:val="18"/>
          <w:lang w:val="pt-BR"/>
        </w:rPr>
        <w:t>Conven</w:t>
      </w:r>
      <w:r w:rsidR="00470ADC" w:rsidRPr="00D5464D">
        <w:rPr>
          <w:rFonts w:eastAsia="Calibri" w:cs="Times New Roman"/>
          <w:sz w:val="18"/>
          <w:szCs w:val="18"/>
          <w:lang w:val="pt-BR"/>
        </w:rPr>
        <w:t>ção</w:t>
      </w:r>
      <w:r w:rsidR="00BA1ACF" w:rsidRPr="00D5464D">
        <w:rPr>
          <w:rFonts w:eastAsia="Calibri" w:cs="Times New Roman"/>
          <w:sz w:val="18"/>
          <w:szCs w:val="18"/>
          <w:lang w:val="pt-BR"/>
        </w:rPr>
        <w:t>,</w:t>
      </w:r>
      <w:r w:rsidR="00470ADC" w:rsidRPr="00D5464D">
        <w:rPr>
          <w:rFonts w:eastAsia="Calibri" w:cs="Times New Roman"/>
          <w:sz w:val="18"/>
          <w:szCs w:val="18"/>
          <w:lang w:val="pt-BR"/>
        </w:rPr>
        <w:t xml:space="preserve"> em </w:t>
      </w:r>
      <w:r w:rsidR="00BA1ACF" w:rsidRPr="00D5464D">
        <w:rPr>
          <w:rFonts w:eastAsia="Calibri" w:cs="Times New Roman"/>
          <w:sz w:val="18"/>
          <w:szCs w:val="18"/>
          <w:lang w:val="pt-BR"/>
        </w:rPr>
        <w:t>rela</w:t>
      </w:r>
      <w:r w:rsidR="00470ADC" w:rsidRPr="00D5464D">
        <w:rPr>
          <w:rFonts w:eastAsia="Calibri" w:cs="Times New Roman"/>
          <w:sz w:val="18"/>
          <w:szCs w:val="18"/>
          <w:lang w:val="pt-BR"/>
        </w:rPr>
        <w:t>ção com</w:t>
      </w:r>
      <w:r w:rsidR="002C330E" w:rsidRPr="00D5464D">
        <w:rPr>
          <w:rFonts w:eastAsia="Calibri" w:cs="Times New Roman"/>
          <w:sz w:val="18"/>
          <w:szCs w:val="18"/>
          <w:lang w:val="pt-BR"/>
        </w:rPr>
        <w:t xml:space="preserve"> os </w:t>
      </w:r>
      <w:r w:rsidR="00470ADC" w:rsidRPr="00D5464D">
        <w:rPr>
          <w:rFonts w:eastAsia="Calibri" w:cs="Times New Roman"/>
          <w:sz w:val="18"/>
          <w:szCs w:val="18"/>
          <w:lang w:val="pt-BR"/>
        </w:rPr>
        <w:t>direito</w:t>
      </w:r>
      <w:r w:rsidR="00BA1ACF" w:rsidRPr="00D5464D">
        <w:rPr>
          <w:rFonts w:eastAsia="Calibri" w:cs="Times New Roman"/>
          <w:sz w:val="18"/>
          <w:szCs w:val="18"/>
          <w:lang w:val="pt-BR"/>
        </w:rPr>
        <w:t>s re</w:t>
      </w:r>
      <w:r w:rsidR="00470ADC" w:rsidRPr="00D5464D">
        <w:rPr>
          <w:rFonts w:eastAsia="Calibri" w:cs="Times New Roman"/>
          <w:sz w:val="18"/>
          <w:szCs w:val="18"/>
          <w:lang w:val="pt-BR"/>
        </w:rPr>
        <w:t>conhecido</w:t>
      </w:r>
      <w:r w:rsidR="00BA1ACF" w:rsidRPr="00D5464D">
        <w:rPr>
          <w:rFonts w:eastAsia="Calibri" w:cs="Times New Roman"/>
          <w:sz w:val="18"/>
          <w:szCs w:val="18"/>
          <w:lang w:val="pt-BR"/>
        </w:rPr>
        <w:t>s</w:t>
      </w:r>
      <w:r w:rsidR="00E045D9" w:rsidRPr="00D5464D">
        <w:rPr>
          <w:rFonts w:eastAsia="Calibri" w:cs="Times New Roman"/>
          <w:sz w:val="18"/>
          <w:szCs w:val="18"/>
          <w:lang w:val="pt-BR"/>
        </w:rPr>
        <w:t xml:space="preserve"> nos </w:t>
      </w:r>
      <w:r w:rsidR="00470ADC" w:rsidRPr="00D5464D">
        <w:rPr>
          <w:rFonts w:eastAsia="Calibri" w:cs="Times New Roman"/>
          <w:sz w:val="18"/>
          <w:szCs w:val="18"/>
          <w:lang w:val="pt-BR"/>
        </w:rPr>
        <w:t>artigo</w:t>
      </w:r>
      <w:r w:rsidR="00BA1ACF" w:rsidRPr="00D5464D">
        <w:rPr>
          <w:rFonts w:eastAsia="Calibri" w:cs="Times New Roman"/>
          <w:sz w:val="18"/>
          <w:szCs w:val="18"/>
          <w:lang w:val="pt-BR"/>
        </w:rPr>
        <w:t>s 6, 5, 7, 22, 8</w:t>
      </w:r>
      <w:r w:rsidR="00E045D9" w:rsidRPr="00D5464D">
        <w:rPr>
          <w:rFonts w:eastAsia="Calibri" w:cs="Times New Roman"/>
          <w:sz w:val="18"/>
          <w:szCs w:val="18"/>
          <w:lang w:val="pt-BR"/>
        </w:rPr>
        <w:t xml:space="preserve"> e </w:t>
      </w:r>
      <w:r w:rsidR="00BA1ACF" w:rsidRPr="00D5464D">
        <w:rPr>
          <w:rFonts w:eastAsia="Calibri" w:cs="Times New Roman"/>
          <w:sz w:val="18"/>
          <w:szCs w:val="18"/>
          <w:lang w:val="pt-BR"/>
        </w:rPr>
        <w:t>25</w:t>
      </w:r>
      <w:r w:rsidR="00470ADC" w:rsidRPr="00D5464D">
        <w:rPr>
          <w:rFonts w:eastAsia="Calibri" w:cs="Times New Roman"/>
          <w:sz w:val="18"/>
          <w:szCs w:val="18"/>
          <w:lang w:val="pt-BR"/>
        </w:rPr>
        <w:t xml:space="preserve"> da </w:t>
      </w:r>
      <w:r w:rsidR="002C330E" w:rsidRPr="00D5464D">
        <w:rPr>
          <w:rFonts w:eastAsia="Calibri" w:cs="Times New Roman"/>
          <w:sz w:val="18"/>
          <w:szCs w:val="18"/>
          <w:lang w:val="pt-BR"/>
        </w:rPr>
        <w:t>mesm</w:t>
      </w:r>
      <w:r w:rsidR="00BA1ACF" w:rsidRPr="00D5464D">
        <w:rPr>
          <w:rFonts w:eastAsia="Calibri" w:cs="Times New Roman"/>
          <w:sz w:val="18"/>
          <w:szCs w:val="18"/>
          <w:lang w:val="pt-BR"/>
        </w:rPr>
        <w:t>a.</w:t>
      </w:r>
    </w:p>
    <w:p w14:paraId="4B35754E" w14:textId="77777777" w:rsidR="00B95467" w:rsidRPr="00D5464D" w:rsidRDefault="00B95467" w:rsidP="002540C6">
      <w:pPr>
        <w:numPr>
          <w:ilvl w:val="1"/>
          <w:numId w:val="3"/>
        </w:numPr>
        <w:tabs>
          <w:tab w:val="clear" w:pos="4419"/>
          <w:tab w:val="clear" w:pos="8838"/>
          <w:tab w:val="left" w:pos="426"/>
        </w:tabs>
        <w:ind w:left="1701" w:right="29" w:hanging="283"/>
        <w:jc w:val="both"/>
        <w:rPr>
          <w:rFonts w:eastAsia="Calibri" w:cs="Times New Roman"/>
          <w:sz w:val="18"/>
          <w:szCs w:val="18"/>
          <w:lang w:val="pt-BR"/>
        </w:rPr>
      </w:pPr>
      <w:r w:rsidRPr="00D5464D">
        <w:rPr>
          <w:rFonts w:eastAsia="Calibri" w:cs="Times New Roman"/>
          <w:sz w:val="18"/>
          <w:szCs w:val="18"/>
          <w:lang w:val="pt-BR"/>
        </w:rPr>
        <w:t>Nã</w:t>
      </w:r>
      <w:r w:rsidR="00BA1ACF" w:rsidRPr="00D5464D">
        <w:rPr>
          <w:rFonts w:eastAsia="Calibri" w:cs="Times New Roman"/>
          <w:sz w:val="18"/>
          <w:szCs w:val="18"/>
          <w:lang w:val="pt-BR"/>
        </w:rPr>
        <w:t xml:space="preserve">o </w:t>
      </w:r>
      <w:r w:rsidR="00470ADC" w:rsidRPr="00D5464D">
        <w:rPr>
          <w:rFonts w:eastAsia="Calibri" w:cs="Times New Roman"/>
          <w:sz w:val="18"/>
          <w:szCs w:val="18"/>
          <w:lang w:val="pt-BR"/>
        </w:rPr>
        <w:t>adoção</w:t>
      </w:r>
      <w:r w:rsidR="00BA1ACF" w:rsidRPr="00D5464D">
        <w:rPr>
          <w:rFonts w:eastAsia="Calibri" w:cs="Times New Roman"/>
          <w:sz w:val="18"/>
          <w:szCs w:val="18"/>
          <w:lang w:val="pt-BR"/>
        </w:rPr>
        <w:t xml:space="preserve"> de medidas </w:t>
      </w:r>
      <w:r w:rsidRPr="00D5464D">
        <w:rPr>
          <w:rFonts w:eastAsia="Calibri" w:cs="Times New Roman"/>
          <w:sz w:val="18"/>
          <w:szCs w:val="18"/>
          <w:lang w:val="pt-BR"/>
        </w:rPr>
        <w:t xml:space="preserve">em conformidade </w:t>
      </w:r>
      <w:r w:rsidR="00470ADC" w:rsidRPr="00D5464D">
        <w:rPr>
          <w:rFonts w:eastAsia="Calibri" w:cs="Times New Roman"/>
          <w:sz w:val="18"/>
          <w:szCs w:val="18"/>
          <w:lang w:val="pt-BR"/>
        </w:rPr>
        <w:t>com o artigo</w:t>
      </w:r>
      <w:r w:rsidR="00BA1ACF" w:rsidRPr="00D5464D">
        <w:rPr>
          <w:rFonts w:eastAsia="Calibri" w:cs="Times New Roman"/>
          <w:sz w:val="18"/>
          <w:szCs w:val="18"/>
          <w:lang w:val="pt-BR"/>
        </w:rPr>
        <w:t xml:space="preserve"> II</w:t>
      </w:r>
      <w:r w:rsidR="00470ADC" w:rsidRPr="00D5464D">
        <w:rPr>
          <w:rFonts w:eastAsia="Calibri" w:cs="Times New Roman"/>
          <w:sz w:val="18"/>
          <w:szCs w:val="18"/>
          <w:lang w:val="pt-BR"/>
        </w:rPr>
        <w:t xml:space="preserve"> da </w:t>
      </w:r>
      <w:r w:rsidR="00BA1ACF" w:rsidRPr="00D5464D">
        <w:rPr>
          <w:rFonts w:eastAsia="Calibri" w:cs="Times New Roman"/>
          <w:sz w:val="18"/>
          <w:szCs w:val="18"/>
          <w:lang w:val="pt-BR"/>
        </w:rPr>
        <w:t>Declara</w:t>
      </w:r>
      <w:r w:rsidR="00470ADC" w:rsidRPr="00D5464D">
        <w:rPr>
          <w:rFonts w:eastAsia="Calibri" w:cs="Times New Roman"/>
          <w:sz w:val="18"/>
          <w:szCs w:val="18"/>
          <w:lang w:val="pt-BR"/>
        </w:rPr>
        <w:t>ção</w:t>
      </w:r>
      <w:r w:rsidR="00BA1ACF" w:rsidRPr="00D5464D">
        <w:rPr>
          <w:rFonts w:eastAsia="Calibri" w:cs="Times New Roman"/>
          <w:sz w:val="18"/>
          <w:szCs w:val="18"/>
          <w:lang w:val="pt-BR"/>
        </w:rPr>
        <w:t>,</w:t>
      </w:r>
      <w:r w:rsidR="00470ADC" w:rsidRPr="00D5464D">
        <w:rPr>
          <w:rFonts w:eastAsia="Calibri" w:cs="Times New Roman"/>
          <w:sz w:val="18"/>
          <w:szCs w:val="18"/>
          <w:lang w:val="pt-BR"/>
        </w:rPr>
        <w:t xml:space="preserve"> </w:t>
      </w:r>
      <w:r w:rsidR="00A1358C" w:rsidRPr="00D5464D">
        <w:rPr>
          <w:rFonts w:eastAsia="Calibri" w:cs="Times New Roman"/>
          <w:sz w:val="18"/>
          <w:szCs w:val="18"/>
          <w:lang w:val="pt-BR"/>
        </w:rPr>
        <w:t>em relação ao artigo</w:t>
      </w:r>
      <w:r w:rsidR="00BA1ACF" w:rsidRPr="00D5464D">
        <w:rPr>
          <w:rFonts w:eastAsia="Calibri" w:cs="Times New Roman"/>
          <w:sz w:val="18"/>
          <w:szCs w:val="18"/>
          <w:lang w:val="pt-BR"/>
        </w:rPr>
        <w:t xml:space="preserve"> XVIII</w:t>
      </w:r>
      <w:r w:rsidR="00470ADC" w:rsidRPr="00D5464D">
        <w:rPr>
          <w:rFonts w:eastAsia="Calibri" w:cs="Times New Roman"/>
          <w:sz w:val="18"/>
          <w:szCs w:val="18"/>
          <w:lang w:val="pt-BR"/>
        </w:rPr>
        <w:t xml:space="preserve"> da </w:t>
      </w:r>
      <w:r w:rsidR="002C330E" w:rsidRPr="00D5464D">
        <w:rPr>
          <w:rFonts w:eastAsia="Calibri" w:cs="Times New Roman"/>
          <w:sz w:val="18"/>
          <w:szCs w:val="18"/>
          <w:lang w:val="pt-BR"/>
        </w:rPr>
        <w:t>mesm</w:t>
      </w:r>
      <w:r w:rsidR="00BA1ACF" w:rsidRPr="00D5464D">
        <w:rPr>
          <w:rFonts w:eastAsia="Calibri" w:cs="Times New Roman"/>
          <w:sz w:val="18"/>
          <w:szCs w:val="18"/>
          <w:lang w:val="pt-BR"/>
        </w:rPr>
        <w:t>a</w:t>
      </w:r>
      <w:r w:rsidR="00E045D9" w:rsidRPr="00D5464D">
        <w:rPr>
          <w:rFonts w:eastAsia="Calibri" w:cs="Times New Roman"/>
          <w:sz w:val="18"/>
          <w:szCs w:val="18"/>
          <w:lang w:val="pt-BR"/>
        </w:rPr>
        <w:t xml:space="preserve"> e,</w:t>
      </w:r>
      <w:r w:rsidR="00BA1ACF" w:rsidRPr="00D5464D">
        <w:rPr>
          <w:rFonts w:eastAsia="Calibri" w:cs="Times New Roman"/>
          <w:sz w:val="18"/>
          <w:szCs w:val="18"/>
          <w:lang w:val="pt-BR"/>
        </w:rPr>
        <w:t xml:space="preserve"> a partir</w:t>
      </w:r>
      <w:r w:rsidR="00737270" w:rsidRPr="00D5464D">
        <w:rPr>
          <w:rFonts w:eastAsia="Calibri" w:cs="Times New Roman"/>
          <w:sz w:val="18"/>
          <w:szCs w:val="18"/>
          <w:lang w:val="pt-BR"/>
        </w:rPr>
        <w:t xml:space="preserve"> de 2</w:t>
      </w:r>
      <w:r w:rsidR="00BA1ACF" w:rsidRPr="00D5464D">
        <w:rPr>
          <w:rFonts w:eastAsia="Calibri" w:cs="Times New Roman"/>
          <w:sz w:val="18"/>
          <w:szCs w:val="18"/>
          <w:lang w:val="pt-BR"/>
        </w:rPr>
        <w:t xml:space="preserve">5 de </w:t>
      </w:r>
      <w:r w:rsidR="002C330E" w:rsidRPr="00D5464D">
        <w:rPr>
          <w:rFonts w:eastAsia="Calibri" w:cs="Times New Roman"/>
          <w:sz w:val="18"/>
          <w:szCs w:val="18"/>
          <w:lang w:val="pt-BR"/>
        </w:rPr>
        <w:t>setembro</w:t>
      </w:r>
      <w:r w:rsidR="00BA1ACF" w:rsidRPr="00D5464D">
        <w:rPr>
          <w:rFonts w:eastAsia="Calibri" w:cs="Times New Roman"/>
          <w:sz w:val="18"/>
          <w:szCs w:val="18"/>
          <w:lang w:val="pt-BR"/>
        </w:rPr>
        <w:t xml:space="preserve"> de 1992,</w:t>
      </w:r>
      <w:r w:rsidR="00470ADC" w:rsidRPr="00D5464D">
        <w:rPr>
          <w:rFonts w:eastAsia="Calibri" w:cs="Times New Roman"/>
          <w:sz w:val="18"/>
          <w:szCs w:val="18"/>
          <w:lang w:val="pt-BR"/>
        </w:rPr>
        <w:t xml:space="preserve"> com o artigo</w:t>
      </w:r>
      <w:r w:rsidR="00BA1ACF" w:rsidRPr="00D5464D">
        <w:rPr>
          <w:rFonts w:eastAsia="Calibri" w:cs="Times New Roman"/>
          <w:sz w:val="18"/>
          <w:szCs w:val="18"/>
          <w:lang w:val="pt-BR"/>
        </w:rPr>
        <w:t xml:space="preserve"> 1.2</w:t>
      </w:r>
      <w:r w:rsidR="00470ADC" w:rsidRPr="00D5464D">
        <w:rPr>
          <w:rFonts w:eastAsia="Calibri" w:cs="Times New Roman"/>
          <w:sz w:val="18"/>
          <w:szCs w:val="18"/>
          <w:lang w:val="pt-BR"/>
        </w:rPr>
        <w:t xml:space="preserve"> da </w:t>
      </w:r>
      <w:r w:rsidR="00BA1ACF" w:rsidRPr="00D5464D">
        <w:rPr>
          <w:rFonts w:eastAsia="Calibri" w:cs="Times New Roman"/>
          <w:sz w:val="18"/>
          <w:szCs w:val="18"/>
          <w:lang w:val="pt-BR"/>
        </w:rPr>
        <w:t>Conven</w:t>
      </w:r>
      <w:r w:rsidR="00470ADC" w:rsidRPr="00D5464D">
        <w:rPr>
          <w:rFonts w:eastAsia="Calibri" w:cs="Times New Roman"/>
          <w:sz w:val="18"/>
          <w:szCs w:val="18"/>
          <w:lang w:val="pt-BR"/>
        </w:rPr>
        <w:t>ção</w:t>
      </w:r>
      <w:r w:rsidR="00BA1ACF" w:rsidRPr="00D5464D">
        <w:rPr>
          <w:rFonts w:eastAsia="Calibri" w:cs="Times New Roman"/>
          <w:sz w:val="18"/>
          <w:szCs w:val="18"/>
          <w:lang w:val="pt-BR"/>
        </w:rPr>
        <w:t>,</w:t>
      </w:r>
      <w:r w:rsidR="00470ADC" w:rsidRPr="00D5464D">
        <w:rPr>
          <w:rFonts w:eastAsia="Calibri" w:cs="Times New Roman"/>
          <w:sz w:val="18"/>
          <w:szCs w:val="18"/>
          <w:lang w:val="pt-BR"/>
        </w:rPr>
        <w:t xml:space="preserve"> em </w:t>
      </w:r>
      <w:r w:rsidR="00BA1ACF" w:rsidRPr="00D5464D">
        <w:rPr>
          <w:rFonts w:eastAsia="Calibri" w:cs="Times New Roman"/>
          <w:sz w:val="18"/>
          <w:szCs w:val="18"/>
          <w:lang w:val="pt-BR"/>
        </w:rPr>
        <w:t>rela</w:t>
      </w:r>
      <w:r w:rsidR="00470ADC" w:rsidRPr="00D5464D">
        <w:rPr>
          <w:rFonts w:eastAsia="Calibri" w:cs="Times New Roman"/>
          <w:sz w:val="18"/>
          <w:szCs w:val="18"/>
          <w:lang w:val="pt-BR"/>
        </w:rPr>
        <w:t>ção com</w:t>
      </w:r>
      <w:r w:rsidR="002C330E" w:rsidRPr="00D5464D">
        <w:rPr>
          <w:rFonts w:eastAsia="Calibri" w:cs="Times New Roman"/>
          <w:sz w:val="18"/>
          <w:szCs w:val="18"/>
          <w:lang w:val="pt-BR"/>
        </w:rPr>
        <w:t xml:space="preserve"> os </w:t>
      </w:r>
      <w:r w:rsidR="00470ADC" w:rsidRPr="00D5464D">
        <w:rPr>
          <w:rFonts w:eastAsia="Calibri" w:cs="Times New Roman"/>
          <w:sz w:val="18"/>
          <w:szCs w:val="18"/>
          <w:lang w:val="pt-BR"/>
        </w:rPr>
        <w:t>direito</w:t>
      </w:r>
      <w:r w:rsidR="00BA1ACF" w:rsidRPr="00D5464D">
        <w:rPr>
          <w:rFonts w:eastAsia="Calibri" w:cs="Times New Roman"/>
          <w:sz w:val="18"/>
          <w:szCs w:val="18"/>
          <w:lang w:val="pt-BR"/>
        </w:rPr>
        <w:t>s re</w:t>
      </w:r>
      <w:r w:rsidR="00470ADC" w:rsidRPr="00D5464D">
        <w:rPr>
          <w:rFonts w:eastAsia="Calibri" w:cs="Times New Roman"/>
          <w:sz w:val="18"/>
          <w:szCs w:val="18"/>
          <w:lang w:val="pt-BR"/>
        </w:rPr>
        <w:t>conhecido</w:t>
      </w:r>
      <w:r w:rsidR="00BA1ACF" w:rsidRPr="00D5464D">
        <w:rPr>
          <w:rFonts w:eastAsia="Calibri" w:cs="Times New Roman"/>
          <w:sz w:val="18"/>
          <w:szCs w:val="18"/>
          <w:lang w:val="pt-BR"/>
        </w:rPr>
        <w:t>s</w:t>
      </w:r>
      <w:r w:rsidR="00E045D9" w:rsidRPr="00D5464D">
        <w:rPr>
          <w:rFonts w:eastAsia="Calibri" w:cs="Times New Roman"/>
          <w:sz w:val="18"/>
          <w:szCs w:val="18"/>
          <w:lang w:val="pt-BR"/>
        </w:rPr>
        <w:t xml:space="preserve"> nos </w:t>
      </w:r>
      <w:r w:rsidR="00470ADC" w:rsidRPr="00D5464D">
        <w:rPr>
          <w:rFonts w:eastAsia="Calibri" w:cs="Times New Roman"/>
          <w:sz w:val="18"/>
          <w:szCs w:val="18"/>
          <w:lang w:val="pt-BR"/>
        </w:rPr>
        <w:t>artigo</w:t>
      </w:r>
      <w:r w:rsidR="00BA1ACF" w:rsidRPr="00D5464D">
        <w:rPr>
          <w:rFonts w:eastAsia="Calibri" w:cs="Times New Roman"/>
          <w:sz w:val="18"/>
          <w:szCs w:val="18"/>
          <w:lang w:val="pt-BR"/>
        </w:rPr>
        <w:t>s 8</w:t>
      </w:r>
      <w:r w:rsidR="00E045D9" w:rsidRPr="00D5464D">
        <w:rPr>
          <w:rFonts w:eastAsia="Calibri" w:cs="Times New Roman"/>
          <w:sz w:val="18"/>
          <w:szCs w:val="18"/>
          <w:lang w:val="pt-BR"/>
        </w:rPr>
        <w:t xml:space="preserve"> e </w:t>
      </w:r>
      <w:r w:rsidR="00BA1ACF" w:rsidRPr="00D5464D">
        <w:rPr>
          <w:rFonts w:eastAsia="Calibri" w:cs="Times New Roman"/>
          <w:sz w:val="18"/>
          <w:szCs w:val="18"/>
          <w:lang w:val="pt-BR"/>
        </w:rPr>
        <w:t>25</w:t>
      </w:r>
      <w:r w:rsidR="00470ADC" w:rsidRPr="00D5464D">
        <w:rPr>
          <w:rFonts w:eastAsia="Calibri" w:cs="Times New Roman"/>
          <w:sz w:val="18"/>
          <w:szCs w:val="18"/>
          <w:lang w:val="pt-BR"/>
        </w:rPr>
        <w:t xml:space="preserve"> da </w:t>
      </w:r>
      <w:r w:rsidR="002C330E" w:rsidRPr="00D5464D">
        <w:rPr>
          <w:rFonts w:eastAsia="Calibri" w:cs="Times New Roman"/>
          <w:sz w:val="18"/>
          <w:szCs w:val="18"/>
          <w:lang w:val="pt-BR"/>
        </w:rPr>
        <w:t>mesm</w:t>
      </w:r>
      <w:r w:rsidR="00BA1ACF" w:rsidRPr="00D5464D">
        <w:rPr>
          <w:rFonts w:eastAsia="Calibri" w:cs="Times New Roman"/>
          <w:sz w:val="18"/>
          <w:szCs w:val="18"/>
          <w:lang w:val="pt-BR"/>
        </w:rPr>
        <w:t>a</w:t>
      </w:r>
      <w:r w:rsidR="00100481" w:rsidRPr="00D5464D">
        <w:rPr>
          <w:rFonts w:eastAsia="Calibri" w:cs="Times New Roman"/>
          <w:sz w:val="18"/>
          <w:szCs w:val="18"/>
          <w:lang w:val="pt-BR"/>
        </w:rPr>
        <w:t>,</w:t>
      </w:r>
      <w:r w:rsidR="00470ADC" w:rsidRPr="00D5464D">
        <w:rPr>
          <w:rFonts w:eastAsia="Calibri" w:cs="Times New Roman"/>
          <w:sz w:val="18"/>
          <w:szCs w:val="18"/>
          <w:lang w:val="pt-BR"/>
        </w:rPr>
        <w:t xml:space="preserve"> em </w:t>
      </w:r>
      <w:r w:rsidR="002C330E" w:rsidRPr="00D5464D">
        <w:rPr>
          <w:rFonts w:eastAsia="Calibri" w:cs="Times New Roman"/>
          <w:sz w:val="18"/>
          <w:szCs w:val="18"/>
          <w:lang w:val="pt-BR"/>
        </w:rPr>
        <w:t>prejuízo</w:t>
      </w:r>
      <w:r w:rsidR="00470ADC" w:rsidRPr="00D5464D">
        <w:rPr>
          <w:rFonts w:eastAsia="Calibri" w:cs="Times New Roman"/>
          <w:sz w:val="18"/>
          <w:szCs w:val="18"/>
          <w:lang w:val="pt-BR"/>
        </w:rPr>
        <w:t xml:space="preserve"> dos </w:t>
      </w:r>
      <w:r w:rsidR="00E045D9" w:rsidRPr="00D5464D">
        <w:rPr>
          <w:rFonts w:eastAsia="Calibri" w:cs="Times New Roman"/>
          <w:sz w:val="18"/>
          <w:szCs w:val="18"/>
          <w:lang w:val="pt-BR"/>
        </w:rPr>
        <w:t>trabalhadores</w:t>
      </w:r>
      <w:r w:rsidR="00BA1ACF" w:rsidRPr="00D5464D">
        <w:rPr>
          <w:rFonts w:eastAsia="Calibri" w:cs="Times New Roman"/>
          <w:sz w:val="18"/>
          <w:szCs w:val="18"/>
          <w:lang w:val="pt-BR"/>
        </w:rPr>
        <w:t xml:space="preserve"> </w:t>
      </w:r>
      <w:r w:rsidR="008B075C" w:rsidRPr="00D5464D">
        <w:rPr>
          <w:rFonts w:eastAsia="Calibri" w:cs="Times New Roman"/>
          <w:sz w:val="18"/>
          <w:szCs w:val="18"/>
          <w:lang w:val="pt-BR"/>
        </w:rPr>
        <w:t xml:space="preserve">Iron Canuto </w:t>
      </w:r>
      <w:r w:rsidR="00BE63A6" w:rsidRPr="00D5464D">
        <w:rPr>
          <w:rFonts w:eastAsia="Calibri" w:cs="Times New Roman"/>
          <w:sz w:val="18"/>
          <w:szCs w:val="18"/>
          <w:lang w:val="pt-BR"/>
        </w:rPr>
        <w:t>da Silva</w:t>
      </w:r>
      <w:r w:rsidR="00BA1ACF" w:rsidRPr="00D5464D">
        <w:rPr>
          <w:rFonts w:eastAsia="Calibri" w:cs="Times New Roman"/>
          <w:sz w:val="18"/>
          <w:szCs w:val="18"/>
          <w:lang w:val="pt-BR"/>
        </w:rPr>
        <w:t xml:space="preserve">, </w:t>
      </w:r>
      <w:r w:rsidR="00200C04" w:rsidRPr="00D5464D">
        <w:rPr>
          <w:rFonts w:eastAsia="Calibri" w:cs="Times New Roman"/>
          <w:sz w:val="18"/>
          <w:szCs w:val="18"/>
          <w:lang w:val="pt-BR"/>
        </w:rPr>
        <w:t xml:space="preserve">Luis Ferreira </w:t>
      </w:r>
      <w:r w:rsidR="00867094" w:rsidRPr="00D5464D">
        <w:rPr>
          <w:rFonts w:eastAsia="Calibri" w:cs="Times New Roman"/>
          <w:sz w:val="18"/>
          <w:szCs w:val="18"/>
          <w:lang w:val="pt-BR"/>
        </w:rPr>
        <w:t>da Cruz</w:t>
      </w:r>
      <w:r w:rsidR="00BA1ACF" w:rsidRPr="00D5464D">
        <w:rPr>
          <w:rFonts w:eastAsia="Calibri" w:cs="Times New Roman"/>
          <w:sz w:val="18"/>
          <w:szCs w:val="18"/>
          <w:lang w:val="pt-BR"/>
        </w:rPr>
        <w:t>, Adailton Martins dos Reis,</w:t>
      </w:r>
      <w:r w:rsidR="00E765C2" w:rsidRPr="00D5464D">
        <w:rPr>
          <w:rFonts w:eastAsia="Calibri" w:cs="Times New Roman"/>
          <w:sz w:val="18"/>
          <w:szCs w:val="18"/>
          <w:lang w:val="pt-BR"/>
        </w:rPr>
        <w:t xml:space="preserve"> José </w:t>
      </w:r>
      <w:r w:rsidR="00BA1ACF" w:rsidRPr="00D5464D">
        <w:rPr>
          <w:rFonts w:eastAsia="Calibri" w:cs="Times New Roman"/>
          <w:sz w:val="18"/>
          <w:szCs w:val="18"/>
          <w:lang w:val="pt-BR"/>
        </w:rPr>
        <w:t xml:space="preserve">Soriano </w:t>
      </w:r>
      <w:r w:rsidRPr="00D5464D">
        <w:rPr>
          <w:rFonts w:eastAsia="Calibri" w:cs="Times New Roman"/>
          <w:sz w:val="18"/>
          <w:szCs w:val="18"/>
          <w:lang w:val="pt-BR"/>
        </w:rPr>
        <w:t>d</w:t>
      </w:r>
      <w:r w:rsidR="00BA1ACF" w:rsidRPr="00D5464D">
        <w:rPr>
          <w:rFonts w:eastAsia="Calibri" w:cs="Times New Roman"/>
          <w:sz w:val="18"/>
          <w:szCs w:val="18"/>
          <w:lang w:val="pt-BR"/>
        </w:rPr>
        <w:t>a Costa</w:t>
      </w:r>
      <w:r w:rsidR="00470ADC" w:rsidRPr="00D5464D">
        <w:rPr>
          <w:rFonts w:eastAsia="Calibri" w:cs="Times New Roman"/>
          <w:sz w:val="18"/>
          <w:szCs w:val="18"/>
          <w:lang w:val="pt-BR"/>
        </w:rPr>
        <w:t xml:space="preserve">, e dos </w:t>
      </w:r>
      <w:r w:rsidR="00BA1ACF" w:rsidRPr="00D5464D">
        <w:rPr>
          <w:rFonts w:eastAsia="Calibri" w:cs="Times New Roman"/>
          <w:sz w:val="18"/>
          <w:szCs w:val="18"/>
          <w:lang w:val="pt-BR"/>
        </w:rPr>
        <w:t>familiares</w:t>
      </w:r>
      <w:r w:rsidR="00470ADC" w:rsidRPr="00D5464D">
        <w:rPr>
          <w:rFonts w:eastAsia="Calibri" w:cs="Times New Roman"/>
          <w:sz w:val="18"/>
          <w:szCs w:val="18"/>
          <w:lang w:val="pt-BR"/>
        </w:rPr>
        <w:t xml:space="preserve"> dos </w:t>
      </w:r>
      <w:r w:rsidR="00BA1ACF" w:rsidRPr="00D5464D">
        <w:rPr>
          <w:rFonts w:eastAsia="Calibri" w:cs="Times New Roman"/>
          <w:sz w:val="18"/>
          <w:szCs w:val="18"/>
          <w:lang w:val="pt-BR"/>
        </w:rPr>
        <w:t>do</w:t>
      </w:r>
      <w:r w:rsidRPr="00D5464D">
        <w:rPr>
          <w:rFonts w:eastAsia="Calibri" w:cs="Times New Roman"/>
          <w:sz w:val="18"/>
          <w:szCs w:val="18"/>
          <w:lang w:val="pt-BR"/>
        </w:rPr>
        <w:t>i</w:t>
      </w:r>
      <w:r w:rsidR="00BA1ACF" w:rsidRPr="00D5464D">
        <w:rPr>
          <w:rFonts w:eastAsia="Calibri" w:cs="Times New Roman"/>
          <w:sz w:val="18"/>
          <w:szCs w:val="18"/>
          <w:lang w:val="pt-BR"/>
        </w:rPr>
        <w:t xml:space="preserve">s </w:t>
      </w:r>
      <w:r w:rsidR="002C330E" w:rsidRPr="00D5464D">
        <w:rPr>
          <w:rFonts w:eastAsia="Calibri" w:cs="Times New Roman"/>
          <w:sz w:val="18"/>
          <w:szCs w:val="18"/>
          <w:lang w:val="pt-BR"/>
        </w:rPr>
        <w:t>primeiro</w:t>
      </w:r>
      <w:r w:rsidR="00BA1ACF" w:rsidRPr="00D5464D">
        <w:rPr>
          <w:rFonts w:eastAsia="Calibri" w:cs="Times New Roman"/>
          <w:sz w:val="18"/>
          <w:szCs w:val="18"/>
          <w:lang w:val="pt-BR"/>
        </w:rPr>
        <w:t>s, entre</w:t>
      </w:r>
      <w:r w:rsidR="002C330E" w:rsidRPr="00D5464D">
        <w:rPr>
          <w:rFonts w:eastAsia="Calibri" w:cs="Times New Roman"/>
          <w:sz w:val="18"/>
          <w:szCs w:val="18"/>
          <w:lang w:val="pt-BR"/>
        </w:rPr>
        <w:t xml:space="preserve"> os </w:t>
      </w:r>
      <w:r w:rsidRPr="00D5464D">
        <w:rPr>
          <w:rFonts w:eastAsia="Calibri" w:cs="Times New Roman"/>
          <w:sz w:val="18"/>
          <w:szCs w:val="18"/>
          <w:lang w:val="pt-BR"/>
        </w:rPr>
        <w:t>quais</w:t>
      </w:r>
      <w:r w:rsidR="00BA1ACF" w:rsidRPr="00D5464D">
        <w:rPr>
          <w:rFonts w:eastAsia="Calibri" w:cs="Times New Roman"/>
          <w:sz w:val="18"/>
          <w:szCs w:val="18"/>
          <w:lang w:val="pt-BR"/>
        </w:rPr>
        <w:t xml:space="preserve"> </w:t>
      </w:r>
      <w:r w:rsidRPr="00D5464D">
        <w:rPr>
          <w:rFonts w:eastAsia="Calibri" w:cs="Times New Roman"/>
          <w:sz w:val="18"/>
          <w:szCs w:val="18"/>
          <w:lang w:val="pt-BR"/>
        </w:rPr>
        <w:t xml:space="preserve">figuram </w:t>
      </w:r>
      <w:r w:rsidR="00E765C2" w:rsidRPr="00D5464D">
        <w:rPr>
          <w:rFonts w:eastAsia="Calibri" w:cs="Times New Roman"/>
          <w:sz w:val="18"/>
          <w:szCs w:val="18"/>
          <w:lang w:val="pt-BR"/>
        </w:rPr>
        <w:t xml:space="preserve">José </w:t>
      </w:r>
      <w:r w:rsidR="00BA1ACF" w:rsidRPr="00D5464D">
        <w:rPr>
          <w:rFonts w:eastAsia="Calibri" w:cs="Times New Roman"/>
          <w:sz w:val="18"/>
          <w:szCs w:val="18"/>
          <w:lang w:val="pt-BR"/>
        </w:rPr>
        <w:t>Teodoro da Silva</w:t>
      </w:r>
      <w:r w:rsidR="00E045D9" w:rsidRPr="00D5464D">
        <w:rPr>
          <w:rFonts w:eastAsia="Calibri" w:cs="Times New Roman"/>
          <w:sz w:val="18"/>
          <w:szCs w:val="18"/>
          <w:lang w:val="pt-BR"/>
        </w:rPr>
        <w:t xml:space="preserve"> e </w:t>
      </w:r>
      <w:r w:rsidR="00BA1ACF" w:rsidRPr="00D5464D">
        <w:rPr>
          <w:rFonts w:eastAsia="Calibri" w:cs="Times New Roman"/>
          <w:sz w:val="18"/>
          <w:szCs w:val="18"/>
          <w:lang w:val="pt-BR"/>
        </w:rPr>
        <w:t>Miguel Ferreira da Cruz.</w:t>
      </w:r>
    </w:p>
    <w:p w14:paraId="5A9A6738" w14:textId="3EBE7074" w:rsidR="00BA1ACF" w:rsidRPr="00D5464D" w:rsidRDefault="00470ADC" w:rsidP="002540C6">
      <w:pPr>
        <w:numPr>
          <w:ilvl w:val="1"/>
          <w:numId w:val="3"/>
        </w:numPr>
        <w:tabs>
          <w:tab w:val="clear" w:pos="4419"/>
          <w:tab w:val="clear" w:pos="8838"/>
          <w:tab w:val="left" w:pos="426"/>
        </w:tabs>
        <w:ind w:left="1701" w:right="29" w:hanging="283"/>
        <w:jc w:val="both"/>
        <w:rPr>
          <w:rFonts w:eastAsia="Calibri" w:cs="Times New Roman"/>
          <w:sz w:val="18"/>
          <w:szCs w:val="18"/>
          <w:lang w:val="pt-BR"/>
        </w:rPr>
      </w:pPr>
      <w:r w:rsidRPr="00D5464D">
        <w:rPr>
          <w:rFonts w:eastAsia="Calibri" w:cs="Times New Roman"/>
          <w:sz w:val="18"/>
          <w:szCs w:val="18"/>
          <w:lang w:val="pt-BR"/>
        </w:rPr>
        <w:t>A</w:t>
      </w:r>
      <w:r w:rsidR="00BA1ACF" w:rsidRPr="00D5464D">
        <w:rPr>
          <w:rFonts w:eastAsia="Calibri" w:cs="Times New Roman"/>
          <w:sz w:val="18"/>
          <w:szCs w:val="18"/>
          <w:lang w:val="pt-BR"/>
        </w:rPr>
        <w:t>plica</w:t>
      </w:r>
      <w:r w:rsidRPr="00D5464D">
        <w:rPr>
          <w:rFonts w:eastAsia="Calibri" w:cs="Times New Roman"/>
          <w:sz w:val="18"/>
          <w:szCs w:val="18"/>
          <w:lang w:val="pt-BR"/>
        </w:rPr>
        <w:t xml:space="preserve">ção da </w:t>
      </w:r>
      <w:r w:rsidR="00BA1ACF" w:rsidRPr="00D5464D">
        <w:rPr>
          <w:rFonts w:eastAsia="Calibri" w:cs="Times New Roman"/>
          <w:sz w:val="18"/>
          <w:szCs w:val="18"/>
          <w:lang w:val="pt-BR"/>
        </w:rPr>
        <w:t>figura</w:t>
      </w:r>
      <w:r w:rsidRPr="00D5464D">
        <w:rPr>
          <w:rFonts w:eastAsia="Calibri" w:cs="Times New Roman"/>
          <w:sz w:val="18"/>
          <w:szCs w:val="18"/>
          <w:lang w:val="pt-BR"/>
        </w:rPr>
        <w:t xml:space="preserve"> da </w:t>
      </w:r>
      <w:r w:rsidR="002C330E" w:rsidRPr="00D5464D">
        <w:rPr>
          <w:rFonts w:eastAsia="Calibri" w:cs="Times New Roman"/>
          <w:sz w:val="18"/>
          <w:szCs w:val="18"/>
          <w:lang w:val="pt-BR"/>
        </w:rPr>
        <w:t>prescrição</w:t>
      </w:r>
      <w:r w:rsidR="00E045D9" w:rsidRPr="00D5464D">
        <w:rPr>
          <w:rFonts w:eastAsia="Calibri" w:cs="Times New Roman"/>
          <w:sz w:val="18"/>
          <w:szCs w:val="18"/>
          <w:lang w:val="pt-BR"/>
        </w:rPr>
        <w:t xml:space="preserve"> no </w:t>
      </w:r>
      <w:r w:rsidR="00BA1ACF" w:rsidRPr="00D5464D">
        <w:rPr>
          <w:rFonts w:eastAsia="Calibri" w:cs="Times New Roman"/>
          <w:sz w:val="18"/>
          <w:szCs w:val="18"/>
          <w:lang w:val="pt-BR"/>
        </w:rPr>
        <w:t>presente caso</w:t>
      </w:r>
      <w:r w:rsidR="00B95467" w:rsidRPr="00D5464D">
        <w:rPr>
          <w:rFonts w:eastAsia="Calibri" w:cs="Times New Roman"/>
          <w:sz w:val="18"/>
          <w:szCs w:val="18"/>
          <w:lang w:val="pt-BR"/>
        </w:rPr>
        <w:t>,</w:t>
      </w:r>
      <w:r w:rsidRPr="00D5464D">
        <w:rPr>
          <w:rFonts w:eastAsia="Calibri" w:cs="Times New Roman"/>
          <w:sz w:val="18"/>
          <w:szCs w:val="18"/>
          <w:lang w:val="pt-BR"/>
        </w:rPr>
        <w:t xml:space="preserve"> em </w:t>
      </w:r>
      <w:r w:rsidR="00BA1ACF" w:rsidRPr="00D5464D">
        <w:rPr>
          <w:rFonts w:eastAsia="Calibri" w:cs="Times New Roman"/>
          <w:sz w:val="18"/>
          <w:szCs w:val="18"/>
          <w:lang w:val="pt-BR"/>
        </w:rPr>
        <w:t>viola</w:t>
      </w:r>
      <w:r w:rsidRPr="00D5464D">
        <w:rPr>
          <w:rFonts w:eastAsia="Calibri" w:cs="Times New Roman"/>
          <w:sz w:val="18"/>
          <w:szCs w:val="18"/>
          <w:lang w:val="pt-BR"/>
        </w:rPr>
        <w:t xml:space="preserve">ção </w:t>
      </w:r>
      <w:r w:rsidR="00717308" w:rsidRPr="00D5464D">
        <w:rPr>
          <w:rFonts w:eastAsia="Calibri" w:cs="Times New Roman"/>
          <w:sz w:val="18"/>
          <w:szCs w:val="18"/>
          <w:lang w:val="pt-BR"/>
        </w:rPr>
        <w:t>a</w:t>
      </w:r>
      <w:r w:rsidRPr="00D5464D">
        <w:rPr>
          <w:rFonts w:eastAsia="Calibri" w:cs="Times New Roman"/>
          <w:sz w:val="18"/>
          <w:szCs w:val="18"/>
          <w:lang w:val="pt-BR"/>
        </w:rPr>
        <w:t>os artigo</w:t>
      </w:r>
      <w:r w:rsidR="00BA1ACF" w:rsidRPr="00D5464D">
        <w:rPr>
          <w:rFonts w:eastAsia="Calibri" w:cs="Times New Roman"/>
          <w:sz w:val="18"/>
          <w:szCs w:val="18"/>
          <w:lang w:val="pt-BR"/>
        </w:rPr>
        <w:t>s 8.1</w:t>
      </w:r>
      <w:r w:rsidR="00E045D9" w:rsidRPr="00D5464D">
        <w:rPr>
          <w:rFonts w:eastAsia="Calibri" w:cs="Times New Roman"/>
          <w:sz w:val="18"/>
          <w:szCs w:val="18"/>
          <w:lang w:val="pt-BR"/>
        </w:rPr>
        <w:t xml:space="preserve"> e </w:t>
      </w:r>
      <w:r w:rsidR="00BA1ACF" w:rsidRPr="00D5464D">
        <w:rPr>
          <w:rFonts w:eastAsia="Calibri" w:cs="Times New Roman"/>
          <w:sz w:val="18"/>
          <w:szCs w:val="18"/>
          <w:lang w:val="pt-BR"/>
        </w:rPr>
        <w:t>25.1</w:t>
      </w:r>
      <w:r w:rsidRPr="00D5464D">
        <w:rPr>
          <w:rFonts w:eastAsia="Calibri" w:cs="Times New Roman"/>
          <w:sz w:val="18"/>
          <w:szCs w:val="18"/>
          <w:lang w:val="pt-BR"/>
        </w:rPr>
        <w:t xml:space="preserve"> da </w:t>
      </w:r>
      <w:r w:rsidR="00100481" w:rsidRPr="00D5464D">
        <w:rPr>
          <w:rFonts w:eastAsia="Calibri" w:cs="Times New Roman"/>
          <w:sz w:val="18"/>
          <w:szCs w:val="18"/>
          <w:lang w:val="pt-BR"/>
        </w:rPr>
        <w:t>Conven</w:t>
      </w:r>
      <w:r w:rsidRPr="00D5464D">
        <w:rPr>
          <w:rFonts w:eastAsia="Calibri" w:cs="Times New Roman"/>
          <w:sz w:val="18"/>
          <w:szCs w:val="18"/>
          <w:lang w:val="pt-BR"/>
        </w:rPr>
        <w:t>ção</w:t>
      </w:r>
      <w:r w:rsidR="00BA1ACF" w:rsidRPr="00D5464D">
        <w:rPr>
          <w:rFonts w:eastAsia="Calibri" w:cs="Times New Roman"/>
          <w:sz w:val="18"/>
          <w:szCs w:val="18"/>
          <w:lang w:val="pt-BR"/>
        </w:rPr>
        <w:t>,</w:t>
      </w:r>
      <w:r w:rsidRPr="00D5464D">
        <w:rPr>
          <w:rFonts w:eastAsia="Calibri" w:cs="Times New Roman"/>
          <w:sz w:val="18"/>
          <w:szCs w:val="18"/>
          <w:lang w:val="pt-BR"/>
        </w:rPr>
        <w:t xml:space="preserve"> </w:t>
      </w:r>
      <w:r w:rsidR="00350187" w:rsidRPr="00D5464D">
        <w:rPr>
          <w:rFonts w:eastAsia="Calibri" w:cs="Times New Roman"/>
          <w:sz w:val="18"/>
          <w:szCs w:val="18"/>
          <w:lang w:val="pt-BR"/>
        </w:rPr>
        <w:t xml:space="preserve">em relação às </w:t>
      </w:r>
      <w:r w:rsidR="002C330E" w:rsidRPr="00D5464D">
        <w:rPr>
          <w:rFonts w:eastAsia="Calibri" w:cs="Times New Roman"/>
          <w:sz w:val="18"/>
          <w:szCs w:val="18"/>
          <w:lang w:val="pt-BR"/>
        </w:rPr>
        <w:t>obrigações</w:t>
      </w:r>
      <w:r w:rsidR="00BA1ACF" w:rsidRPr="00D5464D">
        <w:rPr>
          <w:rFonts w:eastAsia="Calibri" w:cs="Times New Roman"/>
          <w:sz w:val="18"/>
          <w:szCs w:val="18"/>
          <w:lang w:val="pt-BR"/>
        </w:rPr>
        <w:t xml:space="preserve"> </w:t>
      </w:r>
      <w:r w:rsidRPr="00D5464D">
        <w:rPr>
          <w:rFonts w:eastAsia="Calibri" w:cs="Times New Roman"/>
          <w:sz w:val="18"/>
          <w:szCs w:val="18"/>
          <w:lang w:val="pt-BR"/>
        </w:rPr>
        <w:t>estabelecid</w:t>
      </w:r>
      <w:r w:rsidR="00BA1ACF" w:rsidRPr="00D5464D">
        <w:rPr>
          <w:rFonts w:eastAsia="Calibri" w:cs="Times New Roman"/>
          <w:sz w:val="18"/>
          <w:szCs w:val="18"/>
          <w:lang w:val="pt-BR"/>
        </w:rPr>
        <w:t>as</w:t>
      </w:r>
      <w:r w:rsidR="00E045D9" w:rsidRPr="00D5464D">
        <w:rPr>
          <w:rFonts w:eastAsia="Calibri" w:cs="Times New Roman"/>
          <w:sz w:val="18"/>
          <w:szCs w:val="18"/>
          <w:lang w:val="pt-BR"/>
        </w:rPr>
        <w:t xml:space="preserve"> no </w:t>
      </w:r>
      <w:r w:rsidRPr="00D5464D">
        <w:rPr>
          <w:rFonts w:eastAsia="Calibri" w:cs="Times New Roman"/>
          <w:sz w:val="18"/>
          <w:szCs w:val="18"/>
          <w:lang w:val="pt-BR"/>
        </w:rPr>
        <w:t>artigo</w:t>
      </w:r>
      <w:r w:rsidR="00BA1ACF" w:rsidRPr="00D5464D">
        <w:rPr>
          <w:rFonts w:eastAsia="Calibri" w:cs="Times New Roman"/>
          <w:sz w:val="18"/>
          <w:szCs w:val="18"/>
          <w:lang w:val="pt-BR"/>
        </w:rPr>
        <w:t xml:space="preserve"> 1.1</w:t>
      </w:r>
      <w:r w:rsidR="00E045D9" w:rsidRPr="00D5464D">
        <w:rPr>
          <w:rFonts w:eastAsia="Calibri" w:cs="Times New Roman"/>
          <w:sz w:val="18"/>
          <w:szCs w:val="18"/>
          <w:lang w:val="pt-BR"/>
        </w:rPr>
        <w:t xml:space="preserve"> e no </w:t>
      </w:r>
      <w:r w:rsidRPr="00D5464D">
        <w:rPr>
          <w:rFonts w:eastAsia="Calibri" w:cs="Times New Roman"/>
          <w:sz w:val="18"/>
          <w:szCs w:val="18"/>
          <w:lang w:val="pt-BR"/>
        </w:rPr>
        <w:t>artigo</w:t>
      </w:r>
      <w:r w:rsidR="00BA1ACF" w:rsidRPr="00D5464D">
        <w:rPr>
          <w:rFonts w:eastAsia="Calibri" w:cs="Times New Roman"/>
          <w:sz w:val="18"/>
          <w:szCs w:val="18"/>
          <w:lang w:val="pt-BR"/>
        </w:rPr>
        <w:t xml:space="preserve"> 2 </w:t>
      </w:r>
      <w:r w:rsidRPr="00D5464D">
        <w:rPr>
          <w:rFonts w:eastAsia="Calibri" w:cs="Times New Roman"/>
          <w:sz w:val="18"/>
          <w:szCs w:val="18"/>
          <w:lang w:val="pt-BR"/>
        </w:rPr>
        <w:t xml:space="preserve">do </w:t>
      </w:r>
      <w:r w:rsidR="002C330E" w:rsidRPr="00D5464D">
        <w:rPr>
          <w:rFonts w:eastAsia="Calibri" w:cs="Times New Roman"/>
          <w:sz w:val="18"/>
          <w:szCs w:val="18"/>
          <w:lang w:val="pt-BR"/>
        </w:rPr>
        <w:t>mesm</w:t>
      </w:r>
      <w:r w:rsidR="00BA1ACF" w:rsidRPr="00D5464D">
        <w:rPr>
          <w:rFonts w:eastAsia="Calibri" w:cs="Times New Roman"/>
          <w:sz w:val="18"/>
          <w:szCs w:val="18"/>
          <w:lang w:val="pt-BR"/>
        </w:rPr>
        <w:t>o instrumento,</w:t>
      </w:r>
      <w:r w:rsidRPr="00D5464D">
        <w:rPr>
          <w:rFonts w:eastAsia="Calibri" w:cs="Times New Roman"/>
          <w:sz w:val="18"/>
          <w:szCs w:val="18"/>
          <w:lang w:val="pt-BR"/>
        </w:rPr>
        <w:t xml:space="preserve"> em </w:t>
      </w:r>
      <w:r w:rsidR="002C330E" w:rsidRPr="00D5464D">
        <w:rPr>
          <w:rFonts w:eastAsia="Calibri" w:cs="Times New Roman"/>
          <w:sz w:val="18"/>
          <w:szCs w:val="18"/>
          <w:lang w:val="pt-BR"/>
        </w:rPr>
        <w:t>prejuízo</w:t>
      </w:r>
      <w:r w:rsidRPr="00D5464D">
        <w:rPr>
          <w:rFonts w:eastAsia="Calibri" w:cs="Times New Roman"/>
          <w:sz w:val="18"/>
          <w:szCs w:val="18"/>
          <w:lang w:val="pt-BR"/>
        </w:rPr>
        <w:t xml:space="preserve"> dos </w:t>
      </w:r>
      <w:r w:rsidR="00E045D9" w:rsidRPr="00D5464D">
        <w:rPr>
          <w:rFonts w:eastAsia="Calibri" w:cs="Times New Roman"/>
          <w:sz w:val="18"/>
          <w:szCs w:val="18"/>
          <w:lang w:val="pt-BR"/>
        </w:rPr>
        <w:t>trabalhadores</w:t>
      </w:r>
      <w:r w:rsidR="00BA1ACF" w:rsidRPr="00D5464D">
        <w:rPr>
          <w:rFonts w:eastAsia="Calibri" w:cs="Times New Roman"/>
          <w:sz w:val="18"/>
          <w:szCs w:val="18"/>
          <w:lang w:val="pt-BR"/>
        </w:rPr>
        <w:t xml:space="preserve"> </w:t>
      </w:r>
      <w:r w:rsidR="008B075C" w:rsidRPr="00D5464D">
        <w:rPr>
          <w:rFonts w:eastAsia="Calibri" w:cs="Times New Roman"/>
          <w:sz w:val="18"/>
          <w:szCs w:val="18"/>
          <w:lang w:val="pt-BR"/>
        </w:rPr>
        <w:t xml:space="preserve">Iron Canuto </w:t>
      </w:r>
      <w:r w:rsidR="00BE63A6" w:rsidRPr="00D5464D">
        <w:rPr>
          <w:rFonts w:eastAsia="Calibri" w:cs="Times New Roman"/>
          <w:sz w:val="18"/>
          <w:szCs w:val="18"/>
          <w:lang w:val="pt-BR"/>
        </w:rPr>
        <w:t>da Silva</w:t>
      </w:r>
      <w:r w:rsidR="00BA1ACF" w:rsidRPr="00D5464D">
        <w:rPr>
          <w:rFonts w:eastAsia="Calibri" w:cs="Times New Roman"/>
          <w:sz w:val="18"/>
          <w:szCs w:val="18"/>
          <w:lang w:val="pt-BR"/>
        </w:rPr>
        <w:t xml:space="preserve">, </w:t>
      </w:r>
      <w:r w:rsidR="00200C04" w:rsidRPr="00D5464D">
        <w:rPr>
          <w:rFonts w:eastAsia="Calibri" w:cs="Times New Roman"/>
          <w:sz w:val="18"/>
          <w:szCs w:val="18"/>
          <w:lang w:val="pt-BR"/>
        </w:rPr>
        <w:t xml:space="preserve">Luis Ferreira </w:t>
      </w:r>
      <w:r w:rsidR="00867094" w:rsidRPr="00D5464D">
        <w:rPr>
          <w:rFonts w:eastAsia="Calibri" w:cs="Times New Roman"/>
          <w:sz w:val="18"/>
          <w:szCs w:val="18"/>
          <w:lang w:val="pt-BR"/>
        </w:rPr>
        <w:t>da Cruz</w:t>
      </w:r>
      <w:r w:rsidR="00BA1ACF" w:rsidRPr="00D5464D">
        <w:rPr>
          <w:rFonts w:eastAsia="Calibri" w:cs="Times New Roman"/>
          <w:sz w:val="18"/>
          <w:szCs w:val="18"/>
          <w:lang w:val="pt-BR"/>
        </w:rPr>
        <w:t>, Adailton Martins dos Reis,</w:t>
      </w:r>
      <w:r w:rsidR="00E765C2" w:rsidRPr="00D5464D">
        <w:rPr>
          <w:rFonts w:eastAsia="Calibri" w:cs="Times New Roman"/>
          <w:sz w:val="18"/>
          <w:szCs w:val="18"/>
          <w:lang w:val="pt-BR"/>
        </w:rPr>
        <w:t xml:space="preserve"> José </w:t>
      </w:r>
      <w:r w:rsidR="00BA1ACF" w:rsidRPr="00D5464D">
        <w:rPr>
          <w:rFonts w:eastAsia="Calibri" w:cs="Times New Roman"/>
          <w:sz w:val="18"/>
          <w:szCs w:val="18"/>
          <w:lang w:val="pt-BR"/>
        </w:rPr>
        <w:t xml:space="preserve">Soriano </w:t>
      </w:r>
      <w:r w:rsidR="00B95467" w:rsidRPr="00D5464D">
        <w:rPr>
          <w:rFonts w:eastAsia="Calibri" w:cs="Times New Roman"/>
          <w:sz w:val="18"/>
          <w:szCs w:val="18"/>
          <w:lang w:val="pt-BR"/>
        </w:rPr>
        <w:t>d</w:t>
      </w:r>
      <w:r w:rsidR="00BA1ACF" w:rsidRPr="00D5464D">
        <w:rPr>
          <w:rFonts w:eastAsia="Calibri" w:cs="Times New Roman"/>
          <w:sz w:val="18"/>
          <w:szCs w:val="18"/>
          <w:lang w:val="pt-BR"/>
        </w:rPr>
        <w:t>a Costa,</w:t>
      </w:r>
      <w:r w:rsidR="00E765C2" w:rsidRPr="00D5464D">
        <w:rPr>
          <w:rFonts w:eastAsia="Calibri" w:cs="Times New Roman"/>
          <w:sz w:val="18"/>
          <w:szCs w:val="18"/>
          <w:lang w:val="pt-BR"/>
        </w:rPr>
        <w:t xml:space="preserve"> José </w:t>
      </w:r>
      <w:r w:rsidR="00BA1ACF" w:rsidRPr="00D5464D">
        <w:rPr>
          <w:rFonts w:eastAsia="Calibri" w:cs="Times New Roman"/>
          <w:sz w:val="18"/>
          <w:szCs w:val="18"/>
          <w:lang w:val="pt-BR"/>
        </w:rPr>
        <w:t>Teodoro da Silva</w:t>
      </w:r>
      <w:r w:rsidR="00E045D9" w:rsidRPr="00D5464D">
        <w:rPr>
          <w:rFonts w:eastAsia="Calibri" w:cs="Times New Roman"/>
          <w:sz w:val="18"/>
          <w:szCs w:val="18"/>
          <w:lang w:val="pt-BR"/>
        </w:rPr>
        <w:t xml:space="preserve"> e </w:t>
      </w:r>
      <w:r w:rsidR="00BA1ACF" w:rsidRPr="00D5464D">
        <w:rPr>
          <w:rFonts w:eastAsia="Calibri" w:cs="Times New Roman"/>
          <w:sz w:val="18"/>
          <w:szCs w:val="18"/>
          <w:lang w:val="pt-BR"/>
        </w:rPr>
        <w:t xml:space="preserve">Miguel Ferreira da Cruz, </w:t>
      </w:r>
      <w:r w:rsidR="00B95467" w:rsidRPr="00D5464D">
        <w:rPr>
          <w:rFonts w:eastAsia="Calibri" w:cs="Times New Roman"/>
          <w:sz w:val="18"/>
          <w:szCs w:val="18"/>
          <w:lang w:val="pt-BR"/>
        </w:rPr>
        <w:t xml:space="preserve">bem </w:t>
      </w:r>
      <w:r w:rsidR="00BA1ACF" w:rsidRPr="00D5464D">
        <w:rPr>
          <w:rFonts w:eastAsia="Calibri" w:cs="Times New Roman"/>
          <w:sz w:val="18"/>
          <w:szCs w:val="18"/>
          <w:lang w:val="pt-BR"/>
        </w:rPr>
        <w:t>como</w:t>
      </w:r>
      <w:r w:rsidRPr="00D5464D">
        <w:rPr>
          <w:rFonts w:eastAsia="Calibri" w:cs="Times New Roman"/>
          <w:sz w:val="18"/>
          <w:szCs w:val="18"/>
          <w:lang w:val="pt-BR"/>
        </w:rPr>
        <w:t xml:space="preserve"> dos </w:t>
      </w:r>
      <w:r w:rsidR="00E045D9" w:rsidRPr="00D5464D">
        <w:rPr>
          <w:rFonts w:eastAsia="Calibri" w:cs="Times New Roman"/>
          <w:sz w:val="18"/>
          <w:szCs w:val="18"/>
          <w:lang w:val="pt-BR"/>
        </w:rPr>
        <w:t>trabalhadores</w:t>
      </w:r>
      <w:r w:rsidR="00BA1ACF" w:rsidRPr="00D5464D">
        <w:rPr>
          <w:rFonts w:eastAsia="Calibri" w:cs="Times New Roman"/>
          <w:sz w:val="18"/>
          <w:szCs w:val="18"/>
          <w:lang w:val="pt-BR"/>
        </w:rPr>
        <w:t xml:space="preserve"> que </w:t>
      </w:r>
      <w:r w:rsidR="00B95467" w:rsidRPr="00D5464D">
        <w:rPr>
          <w:rFonts w:eastAsia="Calibri" w:cs="Times New Roman"/>
          <w:sz w:val="18"/>
          <w:szCs w:val="18"/>
          <w:lang w:val="pt-BR"/>
        </w:rPr>
        <w:t xml:space="preserve">estavam </w:t>
      </w:r>
      <w:r w:rsidR="00E045D9" w:rsidRPr="00D5464D">
        <w:rPr>
          <w:rFonts w:eastAsia="Calibri" w:cs="Times New Roman"/>
          <w:sz w:val="18"/>
          <w:szCs w:val="18"/>
          <w:lang w:val="pt-BR"/>
        </w:rPr>
        <w:t xml:space="preserve">na </w:t>
      </w:r>
      <w:r w:rsidR="00D809F0" w:rsidRPr="00D5464D">
        <w:rPr>
          <w:rFonts w:eastAsia="Calibri" w:cs="Times New Roman"/>
          <w:sz w:val="18"/>
          <w:szCs w:val="18"/>
          <w:lang w:val="pt-BR"/>
        </w:rPr>
        <w:t>Fazenda</w:t>
      </w:r>
      <w:r w:rsidR="00BA1ACF" w:rsidRPr="00D5464D">
        <w:rPr>
          <w:rFonts w:eastAsia="Calibri" w:cs="Times New Roman"/>
          <w:sz w:val="18"/>
          <w:szCs w:val="18"/>
          <w:lang w:val="pt-BR"/>
        </w:rPr>
        <w:t xml:space="preserve"> Brasil Verde durante</w:t>
      </w:r>
      <w:r w:rsidR="002C330E" w:rsidRPr="00D5464D">
        <w:rPr>
          <w:rFonts w:eastAsia="Calibri" w:cs="Times New Roman"/>
          <w:sz w:val="18"/>
          <w:szCs w:val="18"/>
          <w:lang w:val="pt-BR"/>
        </w:rPr>
        <w:t xml:space="preserve"> as </w:t>
      </w:r>
      <w:r w:rsidR="00BA1ACF" w:rsidRPr="00D5464D">
        <w:rPr>
          <w:rFonts w:eastAsia="Calibri" w:cs="Times New Roman"/>
          <w:sz w:val="18"/>
          <w:szCs w:val="18"/>
          <w:lang w:val="pt-BR"/>
        </w:rPr>
        <w:t>fiscaliza</w:t>
      </w:r>
      <w:r w:rsidRPr="00D5464D">
        <w:rPr>
          <w:rFonts w:eastAsia="Calibri" w:cs="Times New Roman"/>
          <w:sz w:val="18"/>
          <w:szCs w:val="18"/>
          <w:lang w:val="pt-BR"/>
        </w:rPr>
        <w:t>ções</w:t>
      </w:r>
      <w:r w:rsidR="00BA1ACF" w:rsidRPr="00D5464D">
        <w:rPr>
          <w:rFonts w:eastAsia="Calibri" w:cs="Times New Roman"/>
          <w:sz w:val="18"/>
          <w:szCs w:val="18"/>
          <w:lang w:val="pt-BR"/>
        </w:rPr>
        <w:t xml:space="preserve"> de 1997.</w:t>
      </w:r>
    </w:p>
    <w:p w14:paraId="7076B95D" w14:textId="77777777" w:rsidR="00BA1ACF" w:rsidRPr="00D5464D" w:rsidRDefault="00BA1ACF" w:rsidP="00140440">
      <w:pPr>
        <w:tabs>
          <w:tab w:val="clear" w:pos="4419"/>
          <w:tab w:val="clear" w:pos="8838"/>
          <w:tab w:val="left" w:pos="426"/>
        </w:tabs>
        <w:ind w:right="29" w:firstLine="357"/>
        <w:jc w:val="both"/>
        <w:rPr>
          <w:rFonts w:eastAsia="Calibri" w:cs="Times New Roman"/>
          <w:sz w:val="18"/>
          <w:szCs w:val="18"/>
          <w:lang w:val="pt-BR"/>
        </w:rPr>
      </w:pPr>
    </w:p>
    <w:p w14:paraId="15B225D1" w14:textId="70042183" w:rsidR="00BA1ACF" w:rsidRPr="00D5464D" w:rsidRDefault="00BA1ACF" w:rsidP="002540C6">
      <w:pPr>
        <w:numPr>
          <w:ilvl w:val="0"/>
          <w:numId w:val="3"/>
        </w:numPr>
        <w:tabs>
          <w:tab w:val="clear" w:pos="4419"/>
          <w:tab w:val="clear" w:pos="8838"/>
          <w:tab w:val="left" w:pos="426"/>
        </w:tabs>
        <w:ind w:left="1418" w:right="29"/>
        <w:jc w:val="both"/>
        <w:rPr>
          <w:rFonts w:eastAsia="Calibri" w:cs="Times New Roman"/>
          <w:szCs w:val="20"/>
          <w:lang w:val="pt-BR"/>
        </w:rPr>
      </w:pPr>
      <w:r w:rsidRPr="00D5464D">
        <w:rPr>
          <w:rFonts w:eastAsia="Calibri" w:cs="Verdana"/>
          <w:i/>
          <w:szCs w:val="20"/>
          <w:lang w:val="pt-BR" w:eastAsia="es-ES"/>
        </w:rPr>
        <w:t>Recomenda</w:t>
      </w:r>
      <w:r w:rsidR="00470ADC" w:rsidRPr="00D5464D">
        <w:rPr>
          <w:rFonts w:eastAsia="Calibri" w:cs="Verdana"/>
          <w:i/>
          <w:szCs w:val="20"/>
          <w:lang w:val="pt-BR" w:eastAsia="es-ES"/>
        </w:rPr>
        <w:t>ções</w:t>
      </w:r>
      <w:r w:rsidRPr="00D5464D">
        <w:rPr>
          <w:rFonts w:eastAsia="Calibri" w:cs="Verdana"/>
          <w:szCs w:val="20"/>
          <w:lang w:val="pt-BR" w:eastAsia="es-ES"/>
        </w:rPr>
        <w:t>.–</w:t>
      </w:r>
      <w:r w:rsidR="00470ADC" w:rsidRPr="00D5464D">
        <w:rPr>
          <w:rFonts w:eastAsia="Calibri" w:cs="Verdana"/>
          <w:szCs w:val="20"/>
          <w:lang w:val="pt-BR" w:eastAsia="es-ES"/>
        </w:rPr>
        <w:t xml:space="preserve"> </w:t>
      </w:r>
      <w:r w:rsidR="004E5926" w:rsidRPr="00D5464D">
        <w:rPr>
          <w:rFonts w:eastAsia="Calibri" w:cs="Verdana"/>
          <w:szCs w:val="20"/>
          <w:lang w:val="pt-BR" w:eastAsia="es-ES"/>
        </w:rPr>
        <w:t>C</w:t>
      </w:r>
      <w:r w:rsidR="00470ADC" w:rsidRPr="00D5464D">
        <w:rPr>
          <w:rFonts w:eastAsia="Calibri" w:cs="Times New Roman"/>
          <w:szCs w:val="20"/>
          <w:lang w:val="pt-BR"/>
        </w:rPr>
        <w:t>onsequ</w:t>
      </w:r>
      <w:r w:rsidR="004E5926" w:rsidRPr="00D5464D">
        <w:rPr>
          <w:rFonts w:eastAsia="Calibri" w:cs="Times New Roman"/>
          <w:szCs w:val="20"/>
          <w:lang w:val="pt-BR"/>
        </w:rPr>
        <w:t>entemente</w:t>
      </w:r>
      <w:r w:rsidRPr="00D5464D">
        <w:rPr>
          <w:rFonts w:eastAsia="Calibri" w:cs="Times New Roman"/>
          <w:szCs w:val="20"/>
          <w:lang w:val="pt-BR"/>
        </w:rPr>
        <w:t>,</w:t>
      </w:r>
      <w:r w:rsidR="002C330E" w:rsidRPr="00D5464D">
        <w:rPr>
          <w:rFonts w:eastAsia="Calibri" w:cs="Times New Roman"/>
          <w:szCs w:val="20"/>
          <w:lang w:val="pt-BR"/>
        </w:rPr>
        <w:t xml:space="preserve"> a </w:t>
      </w:r>
      <w:r w:rsidR="00470ADC" w:rsidRPr="00D5464D">
        <w:rPr>
          <w:rFonts w:eastAsia="Calibri" w:cs="Times New Roman"/>
          <w:szCs w:val="20"/>
          <w:lang w:val="pt-BR"/>
        </w:rPr>
        <w:t>Comissão</w:t>
      </w:r>
      <w:r w:rsidRPr="00D5464D">
        <w:rPr>
          <w:rFonts w:eastAsia="Calibri" w:cs="Times New Roman"/>
          <w:szCs w:val="20"/>
          <w:lang w:val="pt-BR"/>
        </w:rPr>
        <w:t xml:space="preserve"> </w:t>
      </w:r>
      <w:r w:rsidR="00230C71" w:rsidRPr="00D5464D">
        <w:rPr>
          <w:rFonts w:eastAsia="Calibri" w:cs="Times New Roman"/>
          <w:szCs w:val="20"/>
          <w:lang w:val="pt-BR"/>
        </w:rPr>
        <w:t>recomendou</w:t>
      </w:r>
      <w:r w:rsidR="00470ADC" w:rsidRPr="00D5464D">
        <w:rPr>
          <w:rFonts w:eastAsia="Calibri" w:cs="Times New Roman"/>
          <w:szCs w:val="20"/>
          <w:lang w:val="pt-BR"/>
        </w:rPr>
        <w:t xml:space="preserve"> ao </w:t>
      </w:r>
      <w:r w:rsidRPr="00D5464D">
        <w:rPr>
          <w:rFonts w:eastAsia="Calibri" w:cs="Times New Roman"/>
          <w:szCs w:val="20"/>
          <w:lang w:val="pt-BR"/>
        </w:rPr>
        <w:t>Estado</w:t>
      </w:r>
      <w:r w:rsidR="00C91CB1" w:rsidRPr="00D5464D">
        <w:rPr>
          <w:rFonts w:eastAsia="Calibri" w:cs="Times New Roman"/>
          <w:szCs w:val="20"/>
          <w:lang w:val="pt-BR"/>
        </w:rPr>
        <w:t xml:space="preserve"> o </w:t>
      </w:r>
      <w:r w:rsidR="002C330E" w:rsidRPr="00D5464D">
        <w:rPr>
          <w:rFonts w:eastAsia="Calibri" w:cs="Times New Roman"/>
          <w:szCs w:val="20"/>
          <w:lang w:val="pt-BR"/>
        </w:rPr>
        <w:t>seguinte</w:t>
      </w:r>
      <w:r w:rsidRPr="00D5464D">
        <w:rPr>
          <w:rFonts w:eastAsia="Calibri" w:cs="Times New Roman"/>
          <w:szCs w:val="20"/>
          <w:lang w:val="pt-BR"/>
        </w:rPr>
        <w:t xml:space="preserve">: </w:t>
      </w:r>
    </w:p>
    <w:p w14:paraId="6E616E4F" w14:textId="77777777" w:rsidR="00BA1ACF" w:rsidRPr="00D5464D" w:rsidRDefault="00BA1ACF" w:rsidP="002540C6">
      <w:pPr>
        <w:tabs>
          <w:tab w:val="clear" w:pos="4419"/>
          <w:tab w:val="clear" w:pos="8838"/>
          <w:tab w:val="left" w:pos="426"/>
        </w:tabs>
        <w:ind w:left="1418" w:right="29"/>
        <w:jc w:val="both"/>
        <w:rPr>
          <w:rFonts w:eastAsia="Calibri" w:cs="Times New Roman"/>
          <w:szCs w:val="20"/>
          <w:lang w:val="pt-BR"/>
        </w:rPr>
      </w:pPr>
      <w:r w:rsidRPr="00D5464D">
        <w:rPr>
          <w:rFonts w:eastAsia="Calibri" w:cs="Times New Roman"/>
          <w:szCs w:val="20"/>
          <w:lang w:val="pt-BR"/>
        </w:rPr>
        <w:t xml:space="preserve"> </w:t>
      </w:r>
    </w:p>
    <w:p w14:paraId="165DCB67" w14:textId="77777777" w:rsidR="003D1C6F" w:rsidRPr="00D5464D" w:rsidRDefault="00BA1ACF" w:rsidP="003D1C6F">
      <w:pPr>
        <w:numPr>
          <w:ilvl w:val="1"/>
          <w:numId w:val="3"/>
        </w:numPr>
        <w:tabs>
          <w:tab w:val="clear" w:pos="4419"/>
          <w:tab w:val="clear" w:pos="8838"/>
          <w:tab w:val="left" w:pos="426"/>
        </w:tabs>
        <w:ind w:left="1701" w:right="29" w:hanging="283"/>
        <w:jc w:val="both"/>
        <w:rPr>
          <w:rFonts w:eastAsia="Calibri" w:cs="Times New Roman"/>
          <w:sz w:val="18"/>
          <w:szCs w:val="18"/>
          <w:lang w:val="pt-BR"/>
        </w:rPr>
      </w:pPr>
      <w:r w:rsidRPr="00D5464D">
        <w:rPr>
          <w:rFonts w:eastAsia="Calibri" w:cs="Times New Roman"/>
          <w:sz w:val="18"/>
          <w:szCs w:val="18"/>
          <w:lang w:val="pt-BR"/>
        </w:rPr>
        <w:t xml:space="preserve">Reparar </w:t>
      </w:r>
      <w:r w:rsidR="00470ADC" w:rsidRPr="00D5464D">
        <w:rPr>
          <w:rFonts w:eastAsia="Calibri" w:cs="Times New Roman"/>
          <w:sz w:val="18"/>
          <w:szCs w:val="18"/>
          <w:lang w:val="pt-BR"/>
        </w:rPr>
        <w:t>adequad</w:t>
      </w:r>
      <w:r w:rsidRPr="00D5464D">
        <w:rPr>
          <w:rFonts w:eastAsia="Calibri" w:cs="Times New Roman"/>
          <w:sz w:val="18"/>
          <w:szCs w:val="18"/>
          <w:lang w:val="pt-BR"/>
        </w:rPr>
        <w:t>amente</w:t>
      </w:r>
      <w:r w:rsidR="002C330E" w:rsidRPr="00D5464D">
        <w:rPr>
          <w:rFonts w:eastAsia="Calibri" w:cs="Times New Roman"/>
          <w:sz w:val="18"/>
          <w:szCs w:val="18"/>
          <w:lang w:val="pt-BR"/>
        </w:rPr>
        <w:t xml:space="preserve"> as </w:t>
      </w:r>
      <w:r w:rsidRPr="00D5464D">
        <w:rPr>
          <w:rFonts w:eastAsia="Calibri" w:cs="Times New Roman"/>
          <w:sz w:val="18"/>
          <w:szCs w:val="18"/>
          <w:lang w:val="pt-BR"/>
        </w:rPr>
        <w:t>viola</w:t>
      </w:r>
      <w:r w:rsidR="00470ADC" w:rsidRPr="00D5464D">
        <w:rPr>
          <w:rFonts w:eastAsia="Calibri" w:cs="Times New Roman"/>
          <w:sz w:val="18"/>
          <w:szCs w:val="18"/>
          <w:lang w:val="pt-BR"/>
        </w:rPr>
        <w:t>ções</w:t>
      </w:r>
      <w:r w:rsidRPr="00D5464D">
        <w:rPr>
          <w:rFonts w:eastAsia="Calibri" w:cs="Times New Roman"/>
          <w:sz w:val="18"/>
          <w:szCs w:val="18"/>
          <w:lang w:val="pt-BR"/>
        </w:rPr>
        <w:t xml:space="preserve"> de </w:t>
      </w:r>
      <w:r w:rsidR="00470ADC" w:rsidRPr="00D5464D">
        <w:rPr>
          <w:rFonts w:eastAsia="Calibri" w:cs="Times New Roman"/>
          <w:sz w:val="18"/>
          <w:szCs w:val="18"/>
          <w:lang w:val="pt-BR"/>
        </w:rPr>
        <w:t>direito</w:t>
      </w:r>
      <w:r w:rsidRPr="00D5464D">
        <w:rPr>
          <w:rFonts w:eastAsia="Calibri" w:cs="Times New Roman"/>
          <w:sz w:val="18"/>
          <w:szCs w:val="18"/>
          <w:lang w:val="pt-BR"/>
        </w:rPr>
        <w:t>s humanos tanto</w:t>
      </w:r>
      <w:r w:rsidR="00E045D9" w:rsidRPr="00D5464D">
        <w:rPr>
          <w:rFonts w:eastAsia="Calibri" w:cs="Times New Roman"/>
          <w:sz w:val="18"/>
          <w:szCs w:val="18"/>
          <w:lang w:val="pt-BR"/>
        </w:rPr>
        <w:t xml:space="preserve"> no </w:t>
      </w:r>
      <w:r w:rsidRPr="00D5464D">
        <w:rPr>
          <w:rFonts w:eastAsia="Calibri" w:cs="Times New Roman"/>
          <w:sz w:val="18"/>
          <w:szCs w:val="18"/>
          <w:lang w:val="pt-BR"/>
        </w:rPr>
        <w:t>aspecto material como moral</w:t>
      </w:r>
      <w:r w:rsidR="00C91CB1" w:rsidRPr="00D5464D">
        <w:rPr>
          <w:rFonts w:eastAsia="Calibri" w:cs="Times New Roman"/>
          <w:sz w:val="18"/>
          <w:szCs w:val="18"/>
          <w:lang w:val="pt-BR"/>
        </w:rPr>
        <w:t xml:space="preserve">. Em </w:t>
      </w:r>
      <w:r w:rsidRPr="00D5464D">
        <w:rPr>
          <w:rFonts w:eastAsia="Calibri" w:cs="Times New Roman"/>
          <w:sz w:val="18"/>
          <w:szCs w:val="18"/>
          <w:lang w:val="pt-BR"/>
        </w:rPr>
        <w:t>especial,</w:t>
      </w:r>
      <w:r w:rsidR="00470ADC" w:rsidRPr="00D5464D">
        <w:rPr>
          <w:rFonts w:eastAsia="Calibri" w:cs="Times New Roman"/>
          <w:sz w:val="18"/>
          <w:szCs w:val="18"/>
          <w:lang w:val="pt-BR"/>
        </w:rPr>
        <w:t xml:space="preserve"> o </w:t>
      </w:r>
      <w:r w:rsidRPr="00D5464D">
        <w:rPr>
          <w:rFonts w:eastAsia="Calibri" w:cs="Times New Roman"/>
          <w:sz w:val="18"/>
          <w:szCs w:val="18"/>
          <w:lang w:val="pt-BR"/>
        </w:rPr>
        <w:t>Estado</w:t>
      </w:r>
      <w:r w:rsidR="00470ADC" w:rsidRPr="00D5464D">
        <w:rPr>
          <w:rFonts w:eastAsia="Calibri" w:cs="Times New Roman"/>
          <w:sz w:val="18"/>
          <w:szCs w:val="18"/>
          <w:lang w:val="pt-BR"/>
        </w:rPr>
        <w:t xml:space="preserve"> deve assegurar</w:t>
      </w:r>
      <w:r w:rsidRPr="00D5464D">
        <w:rPr>
          <w:rFonts w:eastAsia="Calibri" w:cs="Times New Roman"/>
          <w:sz w:val="18"/>
          <w:szCs w:val="18"/>
          <w:lang w:val="pt-BR"/>
        </w:rPr>
        <w:t xml:space="preserve"> que </w:t>
      </w:r>
      <w:r w:rsidR="003D1C6F" w:rsidRPr="00D5464D">
        <w:rPr>
          <w:rFonts w:eastAsia="Calibri" w:cs="Times New Roman"/>
          <w:sz w:val="18"/>
          <w:szCs w:val="18"/>
          <w:lang w:val="pt-BR"/>
        </w:rPr>
        <w:t xml:space="preserve">sejam restituídos </w:t>
      </w:r>
      <w:r w:rsidR="00E045D9" w:rsidRPr="00D5464D">
        <w:rPr>
          <w:rFonts w:eastAsia="Calibri" w:cs="Times New Roman"/>
          <w:sz w:val="18"/>
          <w:szCs w:val="18"/>
          <w:lang w:val="pt-BR"/>
        </w:rPr>
        <w:t>às vítima</w:t>
      </w:r>
      <w:r w:rsidRPr="00D5464D">
        <w:rPr>
          <w:rFonts w:eastAsia="Calibri" w:cs="Times New Roman"/>
          <w:sz w:val="18"/>
          <w:szCs w:val="18"/>
          <w:lang w:val="pt-BR"/>
        </w:rPr>
        <w:t>s</w:t>
      </w:r>
      <w:r w:rsidR="002C330E" w:rsidRPr="00D5464D">
        <w:rPr>
          <w:rFonts w:eastAsia="Calibri" w:cs="Times New Roman"/>
          <w:sz w:val="18"/>
          <w:szCs w:val="18"/>
          <w:lang w:val="pt-BR"/>
        </w:rPr>
        <w:t xml:space="preserve"> os </w:t>
      </w:r>
      <w:r w:rsidR="00E045D9" w:rsidRPr="00D5464D">
        <w:rPr>
          <w:rFonts w:eastAsia="Calibri" w:cs="Times New Roman"/>
          <w:sz w:val="18"/>
          <w:szCs w:val="18"/>
          <w:lang w:val="pt-BR"/>
        </w:rPr>
        <w:t>salário</w:t>
      </w:r>
      <w:r w:rsidRPr="00D5464D">
        <w:rPr>
          <w:rFonts w:eastAsia="Calibri" w:cs="Times New Roman"/>
          <w:sz w:val="18"/>
          <w:szCs w:val="18"/>
          <w:lang w:val="pt-BR"/>
        </w:rPr>
        <w:t xml:space="preserve">s </w:t>
      </w:r>
      <w:r w:rsidR="00470ADC" w:rsidRPr="00D5464D">
        <w:rPr>
          <w:rFonts w:eastAsia="Calibri" w:cs="Times New Roman"/>
          <w:sz w:val="18"/>
          <w:szCs w:val="18"/>
          <w:lang w:val="pt-BR"/>
        </w:rPr>
        <w:t>devido</w:t>
      </w:r>
      <w:r w:rsidRPr="00D5464D">
        <w:rPr>
          <w:rFonts w:eastAsia="Calibri" w:cs="Times New Roman"/>
          <w:sz w:val="18"/>
          <w:szCs w:val="18"/>
          <w:lang w:val="pt-BR"/>
        </w:rPr>
        <w:t>s</w:t>
      </w:r>
      <w:r w:rsidR="002C330E" w:rsidRPr="00D5464D">
        <w:rPr>
          <w:rFonts w:eastAsia="Calibri" w:cs="Times New Roman"/>
          <w:sz w:val="18"/>
          <w:szCs w:val="18"/>
          <w:lang w:val="pt-BR"/>
        </w:rPr>
        <w:t xml:space="preserve"> pelo </w:t>
      </w:r>
      <w:r w:rsidR="00E045D9" w:rsidRPr="00D5464D">
        <w:rPr>
          <w:rFonts w:eastAsia="Calibri" w:cs="Times New Roman"/>
          <w:sz w:val="18"/>
          <w:szCs w:val="18"/>
          <w:lang w:val="pt-BR"/>
        </w:rPr>
        <w:t>trabalho</w:t>
      </w:r>
      <w:r w:rsidRPr="00D5464D">
        <w:rPr>
          <w:rFonts w:eastAsia="Calibri" w:cs="Times New Roman"/>
          <w:sz w:val="18"/>
          <w:szCs w:val="18"/>
          <w:lang w:val="pt-BR"/>
        </w:rPr>
        <w:t xml:space="preserve"> realizado, </w:t>
      </w:r>
      <w:r w:rsidR="003D1C6F" w:rsidRPr="00D5464D">
        <w:rPr>
          <w:rFonts w:eastAsia="Calibri" w:cs="Times New Roman"/>
          <w:sz w:val="18"/>
          <w:szCs w:val="18"/>
          <w:lang w:val="pt-BR"/>
        </w:rPr>
        <w:t xml:space="preserve">bem como os montantes </w:t>
      </w:r>
      <w:r w:rsidRPr="00D5464D">
        <w:rPr>
          <w:rFonts w:eastAsia="Calibri" w:cs="Times New Roman"/>
          <w:sz w:val="18"/>
          <w:szCs w:val="18"/>
          <w:lang w:val="pt-BR"/>
        </w:rPr>
        <w:t>ilegalmente su</w:t>
      </w:r>
      <w:r w:rsidR="003D1C6F" w:rsidRPr="00D5464D">
        <w:rPr>
          <w:rFonts w:eastAsia="Calibri" w:cs="Times New Roman"/>
          <w:sz w:val="18"/>
          <w:szCs w:val="18"/>
          <w:lang w:val="pt-BR"/>
        </w:rPr>
        <w:t>b</w:t>
      </w:r>
      <w:r w:rsidRPr="00D5464D">
        <w:rPr>
          <w:rFonts w:eastAsia="Calibri" w:cs="Times New Roman"/>
          <w:sz w:val="18"/>
          <w:szCs w:val="18"/>
          <w:lang w:val="pt-BR"/>
        </w:rPr>
        <w:t>tra</w:t>
      </w:r>
      <w:r w:rsidR="00100481" w:rsidRPr="00D5464D">
        <w:rPr>
          <w:rFonts w:eastAsia="Calibri" w:cs="Times New Roman"/>
          <w:sz w:val="18"/>
          <w:szCs w:val="18"/>
          <w:lang w:val="pt-BR"/>
        </w:rPr>
        <w:t>í</w:t>
      </w:r>
      <w:r w:rsidRPr="00D5464D">
        <w:rPr>
          <w:rFonts w:eastAsia="Calibri" w:cs="Times New Roman"/>
          <w:sz w:val="18"/>
          <w:szCs w:val="18"/>
          <w:lang w:val="pt-BR"/>
        </w:rPr>
        <w:t>d</w:t>
      </w:r>
      <w:r w:rsidR="003D1C6F" w:rsidRPr="00D5464D">
        <w:rPr>
          <w:rFonts w:eastAsia="Calibri" w:cs="Times New Roman"/>
          <w:sz w:val="18"/>
          <w:szCs w:val="18"/>
          <w:lang w:val="pt-BR"/>
        </w:rPr>
        <w:t>o</w:t>
      </w:r>
      <w:r w:rsidRPr="00D5464D">
        <w:rPr>
          <w:rFonts w:eastAsia="Calibri" w:cs="Times New Roman"/>
          <w:sz w:val="18"/>
          <w:szCs w:val="18"/>
          <w:lang w:val="pt-BR"/>
        </w:rPr>
        <w:t>s</w:t>
      </w:r>
      <w:r w:rsidR="00350187" w:rsidRPr="00D5464D">
        <w:rPr>
          <w:rFonts w:eastAsia="Calibri" w:cs="Times New Roman"/>
          <w:sz w:val="18"/>
          <w:szCs w:val="18"/>
          <w:lang w:val="pt-BR"/>
        </w:rPr>
        <w:t xml:space="preserve"> dele</w:t>
      </w:r>
      <w:r w:rsidRPr="00D5464D">
        <w:rPr>
          <w:rFonts w:eastAsia="Calibri" w:cs="Times New Roman"/>
          <w:sz w:val="18"/>
          <w:szCs w:val="18"/>
          <w:lang w:val="pt-BR"/>
        </w:rPr>
        <w:t xml:space="preserve">s. </w:t>
      </w:r>
      <w:r w:rsidR="003D1C6F" w:rsidRPr="00D5464D">
        <w:rPr>
          <w:rFonts w:eastAsia="Calibri" w:cs="Times New Roman"/>
          <w:sz w:val="18"/>
          <w:szCs w:val="18"/>
          <w:lang w:val="pt-BR"/>
        </w:rPr>
        <w:t>Se</w:t>
      </w:r>
      <w:r w:rsidRPr="00D5464D">
        <w:rPr>
          <w:rFonts w:eastAsia="Calibri" w:cs="Times New Roman"/>
          <w:sz w:val="18"/>
          <w:szCs w:val="18"/>
          <w:lang w:val="pt-BR"/>
        </w:rPr>
        <w:t xml:space="preserve"> </w:t>
      </w:r>
      <w:r w:rsidR="002C330E" w:rsidRPr="00D5464D">
        <w:rPr>
          <w:rFonts w:eastAsia="Calibri" w:cs="Times New Roman"/>
          <w:sz w:val="18"/>
          <w:szCs w:val="18"/>
          <w:lang w:val="pt-BR"/>
        </w:rPr>
        <w:t>necessári</w:t>
      </w:r>
      <w:r w:rsidRPr="00D5464D">
        <w:rPr>
          <w:rFonts w:eastAsia="Calibri" w:cs="Times New Roman"/>
          <w:sz w:val="18"/>
          <w:szCs w:val="18"/>
          <w:lang w:val="pt-BR"/>
        </w:rPr>
        <w:t xml:space="preserve">o, </w:t>
      </w:r>
      <w:r w:rsidR="00470ADC" w:rsidRPr="00D5464D">
        <w:rPr>
          <w:rFonts w:eastAsia="Calibri" w:cs="Times New Roman"/>
          <w:sz w:val="18"/>
          <w:szCs w:val="18"/>
          <w:lang w:val="pt-BR"/>
        </w:rPr>
        <w:t>esta</w:t>
      </w:r>
      <w:r w:rsidRPr="00D5464D">
        <w:rPr>
          <w:rFonts w:eastAsia="Calibri" w:cs="Times New Roman"/>
          <w:sz w:val="18"/>
          <w:szCs w:val="18"/>
          <w:lang w:val="pt-BR"/>
        </w:rPr>
        <w:t xml:space="preserve"> </w:t>
      </w:r>
      <w:r w:rsidR="002C330E" w:rsidRPr="00D5464D">
        <w:rPr>
          <w:rFonts w:eastAsia="Calibri" w:cs="Times New Roman"/>
          <w:sz w:val="18"/>
          <w:szCs w:val="18"/>
          <w:lang w:val="pt-BR"/>
        </w:rPr>
        <w:t>restituição</w:t>
      </w:r>
      <w:r w:rsidRPr="00D5464D">
        <w:rPr>
          <w:rFonts w:eastAsia="Calibri" w:cs="Times New Roman"/>
          <w:sz w:val="18"/>
          <w:szCs w:val="18"/>
          <w:lang w:val="pt-BR"/>
        </w:rPr>
        <w:t xml:space="preserve"> </w:t>
      </w:r>
      <w:r w:rsidR="002C330E" w:rsidRPr="00D5464D">
        <w:rPr>
          <w:rFonts w:eastAsia="Calibri" w:cs="Times New Roman"/>
          <w:sz w:val="18"/>
          <w:szCs w:val="18"/>
          <w:lang w:val="pt-BR"/>
        </w:rPr>
        <w:t xml:space="preserve">poderá </w:t>
      </w:r>
      <w:r w:rsidR="003D1C6F" w:rsidRPr="00D5464D">
        <w:rPr>
          <w:rFonts w:eastAsia="Calibri" w:cs="Times New Roman"/>
          <w:sz w:val="18"/>
          <w:szCs w:val="18"/>
          <w:lang w:val="pt-BR"/>
        </w:rPr>
        <w:t xml:space="preserve">ser retirada dos ganhos </w:t>
      </w:r>
      <w:r w:rsidRPr="00D5464D">
        <w:rPr>
          <w:rFonts w:eastAsia="Calibri" w:cs="Times New Roman"/>
          <w:sz w:val="18"/>
          <w:szCs w:val="18"/>
          <w:lang w:val="pt-BR"/>
        </w:rPr>
        <w:t>i</w:t>
      </w:r>
      <w:r w:rsidR="002C330E" w:rsidRPr="00D5464D">
        <w:rPr>
          <w:rFonts w:eastAsia="Calibri" w:cs="Times New Roman"/>
          <w:sz w:val="18"/>
          <w:szCs w:val="18"/>
          <w:lang w:val="pt-BR"/>
        </w:rPr>
        <w:t>legais</w:t>
      </w:r>
      <w:r w:rsidR="00470ADC" w:rsidRPr="00D5464D">
        <w:rPr>
          <w:rFonts w:eastAsia="Calibri" w:cs="Times New Roman"/>
          <w:sz w:val="18"/>
          <w:szCs w:val="18"/>
          <w:lang w:val="pt-BR"/>
        </w:rPr>
        <w:t xml:space="preserve"> dos </w:t>
      </w:r>
      <w:r w:rsidR="003D1C6F" w:rsidRPr="00D5464D">
        <w:rPr>
          <w:rFonts w:eastAsia="Calibri" w:cs="Times New Roman"/>
          <w:sz w:val="18"/>
          <w:szCs w:val="18"/>
          <w:lang w:val="pt-BR"/>
        </w:rPr>
        <w:t>proprietários</w:t>
      </w:r>
      <w:r w:rsidR="00470ADC" w:rsidRPr="00D5464D">
        <w:rPr>
          <w:rFonts w:eastAsia="Calibri" w:cs="Times New Roman"/>
          <w:sz w:val="18"/>
          <w:szCs w:val="18"/>
          <w:lang w:val="pt-BR"/>
        </w:rPr>
        <w:t xml:space="preserve"> das </w:t>
      </w:r>
      <w:r w:rsidR="00D809F0" w:rsidRPr="00D5464D">
        <w:rPr>
          <w:rFonts w:eastAsia="Calibri" w:cs="Times New Roman"/>
          <w:sz w:val="18"/>
          <w:szCs w:val="18"/>
          <w:lang w:val="pt-BR"/>
        </w:rPr>
        <w:t>Fazenda</w:t>
      </w:r>
      <w:r w:rsidRPr="00D5464D">
        <w:rPr>
          <w:rFonts w:eastAsia="Calibri" w:cs="Times New Roman"/>
          <w:sz w:val="18"/>
          <w:szCs w:val="18"/>
          <w:lang w:val="pt-BR"/>
        </w:rPr>
        <w:t>s.</w:t>
      </w:r>
    </w:p>
    <w:p w14:paraId="248CF70A" w14:textId="2AECF20D" w:rsidR="003D1C6F" w:rsidRPr="00D5464D" w:rsidRDefault="003D1C6F" w:rsidP="003D1C6F">
      <w:pPr>
        <w:numPr>
          <w:ilvl w:val="1"/>
          <w:numId w:val="3"/>
        </w:numPr>
        <w:tabs>
          <w:tab w:val="clear" w:pos="4419"/>
          <w:tab w:val="clear" w:pos="8838"/>
          <w:tab w:val="left" w:pos="426"/>
        </w:tabs>
        <w:ind w:left="1701" w:right="29" w:hanging="283"/>
        <w:jc w:val="both"/>
        <w:rPr>
          <w:rFonts w:eastAsia="Calibri" w:cs="Times New Roman"/>
          <w:sz w:val="18"/>
          <w:szCs w:val="18"/>
          <w:lang w:val="pt-BR"/>
        </w:rPr>
      </w:pPr>
      <w:r w:rsidRPr="00D5464D">
        <w:rPr>
          <w:rFonts w:eastAsia="Calibri" w:cs="Times New Roman"/>
          <w:sz w:val="18"/>
          <w:szCs w:val="18"/>
          <w:lang w:val="pt-BR"/>
        </w:rPr>
        <w:t>I</w:t>
      </w:r>
      <w:r w:rsidR="00BA1ACF" w:rsidRPr="00D5464D">
        <w:rPr>
          <w:rFonts w:eastAsia="Calibri" w:cs="Times New Roman"/>
          <w:sz w:val="18"/>
          <w:szCs w:val="18"/>
          <w:lang w:val="pt-BR"/>
        </w:rPr>
        <w:t>nvestiga</w:t>
      </w:r>
      <w:r w:rsidRPr="00D5464D">
        <w:rPr>
          <w:rFonts w:eastAsia="Calibri" w:cs="Times New Roman"/>
          <w:sz w:val="18"/>
          <w:szCs w:val="18"/>
          <w:lang w:val="pt-BR"/>
        </w:rPr>
        <w:t xml:space="preserve">r </w:t>
      </w:r>
      <w:r w:rsidR="00470ADC" w:rsidRPr="00D5464D">
        <w:rPr>
          <w:rFonts w:eastAsia="Calibri" w:cs="Times New Roman"/>
          <w:sz w:val="18"/>
          <w:szCs w:val="18"/>
          <w:lang w:val="pt-BR"/>
        </w:rPr>
        <w:t xml:space="preserve">os </w:t>
      </w:r>
      <w:r w:rsidR="002C330E" w:rsidRPr="00D5464D">
        <w:rPr>
          <w:rFonts w:eastAsia="Calibri" w:cs="Times New Roman"/>
          <w:sz w:val="18"/>
          <w:szCs w:val="18"/>
          <w:lang w:val="pt-BR"/>
        </w:rPr>
        <w:t>fatos</w:t>
      </w:r>
      <w:r w:rsidR="00BA1ACF" w:rsidRPr="00D5464D">
        <w:rPr>
          <w:rFonts w:eastAsia="Calibri" w:cs="Times New Roman"/>
          <w:sz w:val="18"/>
          <w:szCs w:val="18"/>
          <w:lang w:val="pt-BR"/>
        </w:rPr>
        <w:t xml:space="preserve"> relacionados</w:t>
      </w:r>
      <w:r w:rsidR="00470ADC" w:rsidRPr="00D5464D">
        <w:rPr>
          <w:rFonts w:eastAsia="Calibri" w:cs="Times New Roman"/>
          <w:sz w:val="18"/>
          <w:szCs w:val="18"/>
          <w:lang w:val="pt-BR"/>
        </w:rPr>
        <w:t xml:space="preserve"> com</w:t>
      </w:r>
      <w:r w:rsidR="002C330E" w:rsidRPr="00D5464D">
        <w:rPr>
          <w:rFonts w:eastAsia="Calibri" w:cs="Times New Roman"/>
          <w:sz w:val="18"/>
          <w:szCs w:val="18"/>
          <w:lang w:val="pt-BR"/>
        </w:rPr>
        <w:t xml:space="preserve"> as </w:t>
      </w:r>
      <w:r w:rsidR="00BA1ACF" w:rsidRPr="00D5464D">
        <w:rPr>
          <w:rFonts w:eastAsia="Calibri" w:cs="Times New Roman"/>
          <w:sz w:val="18"/>
          <w:szCs w:val="18"/>
          <w:lang w:val="pt-BR"/>
        </w:rPr>
        <w:t>viola</w:t>
      </w:r>
      <w:r w:rsidR="00470ADC" w:rsidRPr="00D5464D">
        <w:rPr>
          <w:rFonts w:eastAsia="Calibri" w:cs="Times New Roman"/>
          <w:sz w:val="18"/>
          <w:szCs w:val="18"/>
          <w:lang w:val="pt-BR"/>
        </w:rPr>
        <w:t>ções</w:t>
      </w:r>
      <w:r w:rsidR="00BA1ACF" w:rsidRPr="00D5464D">
        <w:rPr>
          <w:rFonts w:eastAsia="Calibri" w:cs="Times New Roman"/>
          <w:sz w:val="18"/>
          <w:szCs w:val="18"/>
          <w:lang w:val="pt-BR"/>
        </w:rPr>
        <w:t xml:space="preserve"> de </w:t>
      </w:r>
      <w:r w:rsidR="00470ADC" w:rsidRPr="00D5464D">
        <w:rPr>
          <w:rFonts w:eastAsia="Calibri" w:cs="Times New Roman"/>
          <w:sz w:val="18"/>
          <w:szCs w:val="18"/>
          <w:lang w:val="pt-BR"/>
        </w:rPr>
        <w:t>direito</w:t>
      </w:r>
      <w:r w:rsidR="00BA1ACF" w:rsidRPr="00D5464D">
        <w:rPr>
          <w:rFonts w:eastAsia="Calibri" w:cs="Times New Roman"/>
          <w:sz w:val="18"/>
          <w:szCs w:val="18"/>
          <w:lang w:val="pt-BR"/>
        </w:rPr>
        <w:t>s humanos declaradas</w:t>
      </w:r>
      <w:r w:rsidR="00E045D9" w:rsidRPr="00D5464D">
        <w:rPr>
          <w:rFonts w:eastAsia="Calibri" w:cs="Times New Roman"/>
          <w:sz w:val="18"/>
          <w:szCs w:val="18"/>
          <w:lang w:val="pt-BR"/>
        </w:rPr>
        <w:t xml:space="preserve"> no </w:t>
      </w:r>
      <w:r w:rsidR="00350187" w:rsidRPr="00D5464D">
        <w:rPr>
          <w:rFonts w:eastAsia="Calibri" w:cs="Times New Roman"/>
          <w:sz w:val="18"/>
          <w:szCs w:val="18"/>
          <w:lang w:val="pt-BR"/>
        </w:rPr>
        <w:t>Relatório</w:t>
      </w:r>
      <w:r w:rsidR="002C330E" w:rsidRPr="00D5464D">
        <w:rPr>
          <w:rFonts w:eastAsia="Calibri" w:cs="Times New Roman"/>
          <w:sz w:val="18"/>
          <w:szCs w:val="18"/>
          <w:lang w:val="pt-BR"/>
        </w:rPr>
        <w:t xml:space="preserve"> de Admissibilidade</w:t>
      </w:r>
      <w:r w:rsidR="00E045D9" w:rsidRPr="00D5464D">
        <w:rPr>
          <w:rFonts w:eastAsia="Calibri" w:cs="Times New Roman"/>
          <w:sz w:val="18"/>
          <w:szCs w:val="18"/>
          <w:lang w:val="pt-BR"/>
        </w:rPr>
        <w:t xml:space="preserve"> e </w:t>
      </w:r>
      <w:r w:rsidR="00470ADC" w:rsidRPr="00D5464D">
        <w:rPr>
          <w:rFonts w:eastAsia="Calibri" w:cs="Times New Roman"/>
          <w:sz w:val="18"/>
          <w:szCs w:val="18"/>
          <w:lang w:val="pt-BR"/>
        </w:rPr>
        <w:t xml:space="preserve">Mérito em </w:t>
      </w:r>
      <w:r w:rsidR="00BA1ACF" w:rsidRPr="00D5464D">
        <w:rPr>
          <w:rFonts w:eastAsia="Calibri" w:cs="Times New Roman"/>
          <w:sz w:val="18"/>
          <w:szCs w:val="18"/>
          <w:lang w:val="pt-BR"/>
        </w:rPr>
        <w:t>rela</w:t>
      </w:r>
      <w:r w:rsidR="00470ADC" w:rsidRPr="00D5464D">
        <w:rPr>
          <w:rFonts w:eastAsia="Calibri" w:cs="Times New Roman"/>
          <w:sz w:val="18"/>
          <w:szCs w:val="18"/>
          <w:lang w:val="pt-BR"/>
        </w:rPr>
        <w:t xml:space="preserve">ção </w:t>
      </w:r>
      <w:r w:rsidRPr="00D5464D">
        <w:rPr>
          <w:rFonts w:eastAsia="Calibri" w:cs="Times New Roman"/>
          <w:sz w:val="18"/>
          <w:szCs w:val="18"/>
          <w:lang w:val="pt-BR"/>
        </w:rPr>
        <w:t>a</w:t>
      </w:r>
      <w:r w:rsidR="00470ADC" w:rsidRPr="00D5464D">
        <w:rPr>
          <w:rFonts w:eastAsia="Calibri" w:cs="Times New Roman"/>
          <w:sz w:val="18"/>
          <w:szCs w:val="18"/>
          <w:lang w:val="pt-BR"/>
        </w:rPr>
        <w:t xml:space="preserve">o </w:t>
      </w:r>
      <w:r w:rsidR="00E045D9" w:rsidRPr="00D5464D">
        <w:rPr>
          <w:rFonts w:eastAsia="Calibri" w:cs="Times New Roman"/>
          <w:sz w:val="18"/>
          <w:szCs w:val="18"/>
          <w:lang w:val="pt-BR"/>
        </w:rPr>
        <w:t>trabalho</w:t>
      </w:r>
      <w:r w:rsidR="00BA1ACF" w:rsidRPr="00D5464D">
        <w:rPr>
          <w:rFonts w:eastAsia="Calibri" w:cs="Times New Roman"/>
          <w:sz w:val="18"/>
          <w:szCs w:val="18"/>
          <w:lang w:val="pt-BR"/>
        </w:rPr>
        <w:t xml:space="preserve"> </w:t>
      </w:r>
      <w:r w:rsidR="004F1CC2" w:rsidRPr="00D5464D">
        <w:rPr>
          <w:rFonts w:eastAsia="Calibri" w:cs="Times New Roman"/>
          <w:sz w:val="18"/>
          <w:szCs w:val="18"/>
          <w:lang w:val="pt-BR"/>
        </w:rPr>
        <w:t>escravo</w:t>
      </w:r>
      <w:r w:rsidR="00470ADC" w:rsidRPr="00D5464D">
        <w:rPr>
          <w:rFonts w:eastAsia="Calibri" w:cs="Times New Roman"/>
          <w:sz w:val="18"/>
          <w:szCs w:val="18"/>
          <w:lang w:val="pt-BR"/>
        </w:rPr>
        <w:t xml:space="preserve"> e</w:t>
      </w:r>
      <w:r w:rsidR="00BA1ACF" w:rsidRPr="00D5464D">
        <w:rPr>
          <w:rFonts w:eastAsia="Calibri" w:cs="Times New Roman"/>
          <w:sz w:val="18"/>
          <w:szCs w:val="18"/>
          <w:lang w:val="pt-BR"/>
        </w:rPr>
        <w:t xml:space="preserve"> </w:t>
      </w:r>
      <w:r w:rsidR="00E045D9" w:rsidRPr="00D5464D">
        <w:rPr>
          <w:rFonts w:eastAsia="Calibri" w:cs="Times New Roman"/>
          <w:sz w:val="18"/>
          <w:szCs w:val="18"/>
          <w:lang w:val="pt-BR"/>
        </w:rPr>
        <w:t>conduzir</w:t>
      </w:r>
      <w:r w:rsidR="002C330E" w:rsidRPr="00D5464D">
        <w:rPr>
          <w:rFonts w:eastAsia="Calibri" w:cs="Times New Roman"/>
          <w:sz w:val="18"/>
          <w:szCs w:val="18"/>
          <w:lang w:val="pt-BR"/>
        </w:rPr>
        <w:t xml:space="preserve"> as </w:t>
      </w:r>
      <w:r w:rsidR="00BA1ACF" w:rsidRPr="00D5464D">
        <w:rPr>
          <w:rFonts w:eastAsia="Calibri" w:cs="Times New Roman"/>
          <w:sz w:val="18"/>
          <w:szCs w:val="18"/>
          <w:lang w:val="pt-BR"/>
        </w:rPr>
        <w:t>investiga</w:t>
      </w:r>
      <w:r w:rsidR="00470ADC" w:rsidRPr="00D5464D">
        <w:rPr>
          <w:rFonts w:eastAsia="Calibri" w:cs="Times New Roman"/>
          <w:sz w:val="18"/>
          <w:szCs w:val="18"/>
          <w:lang w:val="pt-BR"/>
        </w:rPr>
        <w:t>ções</w:t>
      </w:r>
      <w:r w:rsidR="00BA1ACF" w:rsidRPr="00D5464D">
        <w:rPr>
          <w:rFonts w:eastAsia="Calibri" w:cs="Times New Roman"/>
          <w:sz w:val="18"/>
          <w:szCs w:val="18"/>
          <w:lang w:val="pt-BR"/>
        </w:rPr>
        <w:t xml:space="preserve"> de </w:t>
      </w:r>
      <w:r w:rsidR="002C330E" w:rsidRPr="00D5464D">
        <w:rPr>
          <w:rFonts w:eastAsia="Calibri" w:cs="Times New Roman"/>
          <w:sz w:val="18"/>
          <w:szCs w:val="18"/>
          <w:lang w:val="pt-BR"/>
        </w:rPr>
        <w:t>maneira</w:t>
      </w:r>
      <w:r w:rsidR="00BA1ACF" w:rsidRPr="00D5464D">
        <w:rPr>
          <w:rFonts w:eastAsia="Calibri" w:cs="Times New Roman"/>
          <w:sz w:val="18"/>
          <w:szCs w:val="18"/>
          <w:lang w:val="pt-BR"/>
        </w:rPr>
        <w:t xml:space="preserve"> imparcial, </w:t>
      </w:r>
      <w:r w:rsidRPr="00D5464D">
        <w:rPr>
          <w:rFonts w:eastAsia="Calibri" w:cs="Times New Roman"/>
          <w:sz w:val="18"/>
          <w:szCs w:val="18"/>
          <w:lang w:val="pt-BR"/>
        </w:rPr>
        <w:t>eficaz</w:t>
      </w:r>
      <w:r w:rsidR="00E045D9" w:rsidRPr="00D5464D">
        <w:rPr>
          <w:rFonts w:eastAsia="Calibri" w:cs="Times New Roman"/>
          <w:sz w:val="18"/>
          <w:szCs w:val="18"/>
          <w:lang w:val="pt-BR"/>
        </w:rPr>
        <w:t xml:space="preserve"> e </w:t>
      </w:r>
      <w:r w:rsidR="00BA1ACF" w:rsidRPr="00D5464D">
        <w:rPr>
          <w:rFonts w:eastAsia="Calibri" w:cs="Times New Roman"/>
          <w:sz w:val="18"/>
          <w:szCs w:val="18"/>
          <w:lang w:val="pt-BR"/>
        </w:rPr>
        <w:t>dentro de</w:t>
      </w:r>
      <w:r w:rsidR="00E045D9" w:rsidRPr="00D5464D">
        <w:rPr>
          <w:rFonts w:eastAsia="Calibri" w:cs="Times New Roman"/>
          <w:sz w:val="18"/>
          <w:szCs w:val="18"/>
          <w:lang w:val="pt-BR"/>
        </w:rPr>
        <w:t xml:space="preserve"> um </w:t>
      </w:r>
      <w:r w:rsidR="002C330E" w:rsidRPr="00D5464D">
        <w:rPr>
          <w:rFonts w:eastAsia="Calibri" w:cs="Times New Roman"/>
          <w:sz w:val="18"/>
          <w:szCs w:val="18"/>
          <w:lang w:val="pt-BR"/>
        </w:rPr>
        <w:t>prazo</w:t>
      </w:r>
      <w:r w:rsidR="00BA1ACF" w:rsidRPr="00D5464D">
        <w:rPr>
          <w:rFonts w:eastAsia="Calibri" w:cs="Times New Roman"/>
          <w:sz w:val="18"/>
          <w:szCs w:val="18"/>
          <w:lang w:val="pt-BR"/>
        </w:rPr>
        <w:t xml:space="preserve"> </w:t>
      </w:r>
      <w:r w:rsidR="00230C71" w:rsidRPr="00D5464D">
        <w:rPr>
          <w:rFonts w:eastAsia="Calibri" w:cs="Times New Roman"/>
          <w:sz w:val="18"/>
          <w:szCs w:val="18"/>
          <w:lang w:val="pt-BR"/>
        </w:rPr>
        <w:t>razoável,</w:t>
      </w:r>
      <w:r w:rsidR="00470ADC" w:rsidRPr="00D5464D">
        <w:rPr>
          <w:rFonts w:eastAsia="Calibri" w:cs="Times New Roman"/>
          <w:sz w:val="18"/>
          <w:szCs w:val="18"/>
          <w:lang w:val="pt-BR"/>
        </w:rPr>
        <w:t xml:space="preserve"> com o </w:t>
      </w:r>
      <w:r w:rsidR="00BA1ACF" w:rsidRPr="00D5464D">
        <w:rPr>
          <w:rFonts w:eastAsia="Calibri" w:cs="Times New Roman"/>
          <w:sz w:val="18"/>
          <w:szCs w:val="18"/>
          <w:lang w:val="pt-BR"/>
        </w:rPr>
        <w:t>objet</w:t>
      </w:r>
      <w:r w:rsidR="00717308" w:rsidRPr="00D5464D">
        <w:rPr>
          <w:rFonts w:eastAsia="Calibri" w:cs="Times New Roman"/>
          <w:sz w:val="18"/>
          <w:szCs w:val="18"/>
          <w:lang w:val="pt-BR"/>
        </w:rPr>
        <w:t>iv</w:t>
      </w:r>
      <w:r w:rsidR="00BA1ACF" w:rsidRPr="00D5464D">
        <w:rPr>
          <w:rFonts w:eastAsia="Calibri" w:cs="Times New Roman"/>
          <w:sz w:val="18"/>
          <w:szCs w:val="18"/>
          <w:lang w:val="pt-BR"/>
        </w:rPr>
        <w:t>o de esclarecer</w:t>
      </w:r>
      <w:r w:rsidR="002C330E" w:rsidRPr="00D5464D">
        <w:rPr>
          <w:rFonts w:eastAsia="Calibri" w:cs="Times New Roman"/>
          <w:sz w:val="18"/>
          <w:szCs w:val="18"/>
          <w:lang w:val="pt-BR"/>
        </w:rPr>
        <w:t xml:space="preserve"> os fatos</w:t>
      </w:r>
      <w:r w:rsidR="00470ADC" w:rsidRPr="00D5464D">
        <w:rPr>
          <w:rFonts w:eastAsia="Calibri" w:cs="Times New Roman"/>
          <w:sz w:val="18"/>
          <w:szCs w:val="18"/>
          <w:lang w:val="pt-BR"/>
        </w:rPr>
        <w:t xml:space="preserve"> </w:t>
      </w:r>
      <w:r w:rsidRPr="00D5464D">
        <w:rPr>
          <w:rFonts w:eastAsia="Calibri" w:cs="Times New Roman"/>
          <w:sz w:val="18"/>
          <w:szCs w:val="18"/>
          <w:lang w:val="pt-BR"/>
        </w:rPr>
        <w:t>de</w:t>
      </w:r>
      <w:r w:rsidR="00470ADC" w:rsidRPr="00D5464D">
        <w:rPr>
          <w:rFonts w:eastAsia="Calibri" w:cs="Times New Roman"/>
          <w:sz w:val="18"/>
          <w:szCs w:val="18"/>
          <w:lang w:val="pt-BR"/>
        </w:rPr>
        <w:t xml:space="preserve"> </w:t>
      </w:r>
      <w:r w:rsidR="00BA1ACF" w:rsidRPr="00D5464D">
        <w:rPr>
          <w:rFonts w:eastAsia="Calibri" w:cs="Times New Roman"/>
          <w:sz w:val="18"/>
          <w:szCs w:val="18"/>
          <w:lang w:val="pt-BR"/>
        </w:rPr>
        <w:t>forma completa, identificar</w:t>
      </w:r>
      <w:r w:rsidR="00E045D9" w:rsidRPr="00D5464D">
        <w:rPr>
          <w:rFonts w:eastAsia="Calibri" w:cs="Times New Roman"/>
          <w:sz w:val="18"/>
          <w:szCs w:val="18"/>
          <w:lang w:val="pt-BR"/>
        </w:rPr>
        <w:t xml:space="preserve"> os </w:t>
      </w:r>
      <w:r w:rsidR="002C330E" w:rsidRPr="00D5464D">
        <w:rPr>
          <w:rFonts w:eastAsia="Calibri" w:cs="Times New Roman"/>
          <w:sz w:val="18"/>
          <w:szCs w:val="18"/>
          <w:lang w:val="pt-BR"/>
        </w:rPr>
        <w:t>responsáveis</w:t>
      </w:r>
      <w:r w:rsidR="00BA1ACF" w:rsidRPr="00D5464D">
        <w:rPr>
          <w:rFonts w:eastAsia="Calibri" w:cs="Times New Roman"/>
          <w:sz w:val="18"/>
          <w:szCs w:val="18"/>
          <w:lang w:val="pt-BR"/>
        </w:rPr>
        <w:t xml:space="preserve"> e </w:t>
      </w:r>
      <w:r w:rsidR="00737270" w:rsidRPr="00D5464D">
        <w:rPr>
          <w:rFonts w:eastAsia="Calibri" w:cs="Times New Roman"/>
          <w:sz w:val="18"/>
          <w:szCs w:val="18"/>
          <w:lang w:val="pt-BR"/>
        </w:rPr>
        <w:t>impor</w:t>
      </w:r>
      <w:r w:rsidR="002C330E" w:rsidRPr="00D5464D">
        <w:rPr>
          <w:rFonts w:eastAsia="Calibri" w:cs="Times New Roman"/>
          <w:sz w:val="18"/>
          <w:szCs w:val="18"/>
          <w:lang w:val="pt-BR"/>
        </w:rPr>
        <w:t xml:space="preserve"> as </w:t>
      </w:r>
      <w:r w:rsidR="00BA1ACF" w:rsidRPr="00D5464D">
        <w:rPr>
          <w:rFonts w:eastAsia="Calibri" w:cs="Times New Roman"/>
          <w:sz w:val="18"/>
          <w:szCs w:val="18"/>
          <w:lang w:val="pt-BR"/>
        </w:rPr>
        <w:t>san</w:t>
      </w:r>
      <w:r w:rsidR="00470ADC" w:rsidRPr="00D5464D">
        <w:rPr>
          <w:rFonts w:eastAsia="Calibri" w:cs="Times New Roman"/>
          <w:sz w:val="18"/>
          <w:szCs w:val="18"/>
          <w:lang w:val="pt-BR"/>
        </w:rPr>
        <w:t>ções</w:t>
      </w:r>
      <w:r w:rsidR="00BA1ACF" w:rsidRPr="00D5464D">
        <w:rPr>
          <w:rFonts w:eastAsia="Calibri" w:cs="Times New Roman"/>
          <w:sz w:val="18"/>
          <w:szCs w:val="18"/>
          <w:lang w:val="pt-BR"/>
        </w:rPr>
        <w:t xml:space="preserve"> </w:t>
      </w:r>
      <w:r w:rsidRPr="00D5464D">
        <w:rPr>
          <w:rFonts w:eastAsia="Calibri" w:cs="Times New Roman"/>
          <w:sz w:val="18"/>
          <w:szCs w:val="18"/>
          <w:lang w:val="pt-BR"/>
        </w:rPr>
        <w:t>pertinentes</w:t>
      </w:r>
      <w:r w:rsidR="00BA1ACF" w:rsidRPr="00D5464D">
        <w:rPr>
          <w:rFonts w:eastAsia="Calibri" w:cs="Times New Roman"/>
          <w:sz w:val="18"/>
          <w:szCs w:val="18"/>
          <w:lang w:val="pt-BR"/>
        </w:rPr>
        <w:t>.</w:t>
      </w:r>
    </w:p>
    <w:p w14:paraId="409421CB" w14:textId="77777777" w:rsidR="003D1C6F" w:rsidRPr="00D5464D" w:rsidRDefault="003D1C6F" w:rsidP="003D1C6F">
      <w:pPr>
        <w:numPr>
          <w:ilvl w:val="1"/>
          <w:numId w:val="3"/>
        </w:numPr>
        <w:tabs>
          <w:tab w:val="clear" w:pos="4419"/>
          <w:tab w:val="clear" w:pos="8838"/>
          <w:tab w:val="left" w:pos="426"/>
        </w:tabs>
        <w:ind w:left="1701" w:right="29" w:hanging="283"/>
        <w:jc w:val="both"/>
        <w:rPr>
          <w:rFonts w:eastAsia="Calibri" w:cs="Times New Roman"/>
          <w:sz w:val="18"/>
          <w:szCs w:val="18"/>
          <w:lang w:val="pt-BR"/>
        </w:rPr>
      </w:pPr>
      <w:r w:rsidRPr="00D5464D">
        <w:rPr>
          <w:rFonts w:eastAsia="Calibri" w:cs="Times New Roman"/>
          <w:sz w:val="18"/>
          <w:szCs w:val="18"/>
          <w:lang w:val="pt-BR"/>
        </w:rPr>
        <w:t>I</w:t>
      </w:r>
      <w:r w:rsidR="00BA1ACF" w:rsidRPr="00D5464D">
        <w:rPr>
          <w:rFonts w:eastAsia="Calibri" w:cs="Times New Roman"/>
          <w:sz w:val="18"/>
          <w:szCs w:val="18"/>
          <w:lang w:val="pt-BR"/>
        </w:rPr>
        <w:t>nvestiga</w:t>
      </w:r>
      <w:r w:rsidRPr="00D5464D">
        <w:rPr>
          <w:rFonts w:eastAsia="Calibri" w:cs="Times New Roman"/>
          <w:sz w:val="18"/>
          <w:szCs w:val="18"/>
          <w:lang w:val="pt-BR"/>
        </w:rPr>
        <w:t>r</w:t>
      </w:r>
      <w:r w:rsidR="00470ADC" w:rsidRPr="00D5464D">
        <w:rPr>
          <w:rFonts w:eastAsia="Calibri" w:cs="Times New Roman"/>
          <w:sz w:val="18"/>
          <w:szCs w:val="18"/>
          <w:lang w:val="pt-BR"/>
        </w:rPr>
        <w:t xml:space="preserve"> os </w:t>
      </w:r>
      <w:r w:rsidR="002C330E" w:rsidRPr="00D5464D">
        <w:rPr>
          <w:rFonts w:eastAsia="Calibri" w:cs="Times New Roman"/>
          <w:sz w:val="18"/>
          <w:szCs w:val="18"/>
          <w:lang w:val="pt-BR"/>
        </w:rPr>
        <w:t>fatos</w:t>
      </w:r>
      <w:r w:rsidR="00BA1ACF" w:rsidRPr="00D5464D">
        <w:rPr>
          <w:rFonts w:eastAsia="Calibri" w:cs="Times New Roman"/>
          <w:sz w:val="18"/>
          <w:szCs w:val="18"/>
          <w:lang w:val="pt-BR"/>
        </w:rPr>
        <w:t xml:space="preserve"> relacionados</w:t>
      </w:r>
      <w:r w:rsidR="00470ADC" w:rsidRPr="00D5464D">
        <w:rPr>
          <w:rFonts w:eastAsia="Calibri" w:cs="Times New Roman"/>
          <w:sz w:val="18"/>
          <w:szCs w:val="18"/>
          <w:lang w:val="pt-BR"/>
        </w:rPr>
        <w:t xml:space="preserve"> com</w:t>
      </w:r>
      <w:r w:rsidR="002C330E" w:rsidRPr="00D5464D">
        <w:rPr>
          <w:rFonts w:eastAsia="Calibri" w:cs="Times New Roman"/>
          <w:sz w:val="18"/>
          <w:szCs w:val="18"/>
          <w:lang w:val="pt-BR"/>
        </w:rPr>
        <w:t xml:space="preserve"> </w:t>
      </w:r>
      <w:r w:rsidR="00E045D9" w:rsidRPr="00D5464D">
        <w:rPr>
          <w:rFonts w:eastAsia="Calibri" w:cs="Times New Roman"/>
          <w:sz w:val="18"/>
          <w:szCs w:val="18"/>
          <w:lang w:val="pt-BR"/>
        </w:rPr>
        <w:t>o desaparecimento</w:t>
      </w:r>
      <w:r w:rsidR="00BA1ACF" w:rsidRPr="00D5464D">
        <w:rPr>
          <w:rFonts w:eastAsia="Calibri" w:cs="Times New Roman"/>
          <w:sz w:val="18"/>
          <w:szCs w:val="18"/>
          <w:lang w:val="pt-BR"/>
        </w:rPr>
        <w:t xml:space="preserve"> de </w:t>
      </w:r>
      <w:r w:rsidR="008B075C" w:rsidRPr="00D5464D">
        <w:rPr>
          <w:rFonts w:eastAsia="Calibri" w:cs="Times New Roman"/>
          <w:sz w:val="18"/>
          <w:szCs w:val="18"/>
          <w:lang w:val="pt-BR"/>
        </w:rPr>
        <w:t xml:space="preserve">Iron Canuto </w:t>
      </w:r>
      <w:r w:rsidR="00BE63A6" w:rsidRPr="00D5464D">
        <w:rPr>
          <w:rFonts w:eastAsia="Calibri" w:cs="Times New Roman"/>
          <w:sz w:val="18"/>
          <w:szCs w:val="18"/>
          <w:lang w:val="pt-BR"/>
        </w:rPr>
        <w:t>da Silva</w:t>
      </w:r>
      <w:r w:rsidR="00E045D9" w:rsidRPr="00D5464D">
        <w:rPr>
          <w:rFonts w:eastAsia="Calibri" w:cs="Times New Roman"/>
          <w:sz w:val="18"/>
          <w:szCs w:val="18"/>
          <w:lang w:val="pt-BR"/>
        </w:rPr>
        <w:t xml:space="preserve"> e </w:t>
      </w:r>
      <w:r w:rsidR="00200C04" w:rsidRPr="00D5464D">
        <w:rPr>
          <w:rFonts w:eastAsia="Calibri" w:cs="Times New Roman"/>
          <w:sz w:val="18"/>
          <w:szCs w:val="18"/>
          <w:lang w:val="pt-BR"/>
        </w:rPr>
        <w:t xml:space="preserve">Luis Ferreira </w:t>
      </w:r>
      <w:r w:rsidR="00701BB2" w:rsidRPr="00D5464D">
        <w:rPr>
          <w:rFonts w:eastAsia="Calibri" w:cs="Times New Roman"/>
          <w:sz w:val="18"/>
          <w:szCs w:val="18"/>
          <w:lang w:val="pt-BR"/>
        </w:rPr>
        <w:t>da Cruz</w:t>
      </w:r>
      <w:r w:rsidR="00E045D9" w:rsidRPr="00D5464D">
        <w:rPr>
          <w:rFonts w:eastAsia="Calibri" w:cs="Times New Roman"/>
          <w:sz w:val="18"/>
          <w:szCs w:val="18"/>
          <w:lang w:val="pt-BR"/>
        </w:rPr>
        <w:t xml:space="preserve"> e conduzir</w:t>
      </w:r>
      <w:r w:rsidR="002C330E" w:rsidRPr="00D5464D">
        <w:rPr>
          <w:rFonts w:eastAsia="Calibri" w:cs="Times New Roman"/>
          <w:sz w:val="18"/>
          <w:szCs w:val="18"/>
          <w:lang w:val="pt-BR"/>
        </w:rPr>
        <w:t xml:space="preserve"> as </w:t>
      </w:r>
      <w:r w:rsidR="00BA1ACF" w:rsidRPr="00D5464D">
        <w:rPr>
          <w:rFonts w:eastAsia="Calibri" w:cs="Times New Roman"/>
          <w:sz w:val="18"/>
          <w:szCs w:val="18"/>
          <w:lang w:val="pt-BR"/>
        </w:rPr>
        <w:t>investiga</w:t>
      </w:r>
      <w:r w:rsidR="00470ADC" w:rsidRPr="00D5464D">
        <w:rPr>
          <w:rFonts w:eastAsia="Calibri" w:cs="Times New Roman"/>
          <w:sz w:val="18"/>
          <w:szCs w:val="18"/>
          <w:lang w:val="pt-BR"/>
        </w:rPr>
        <w:t>ções</w:t>
      </w:r>
      <w:r w:rsidR="00BA1ACF" w:rsidRPr="00D5464D">
        <w:rPr>
          <w:rFonts w:eastAsia="Calibri" w:cs="Times New Roman"/>
          <w:sz w:val="18"/>
          <w:szCs w:val="18"/>
          <w:lang w:val="pt-BR"/>
        </w:rPr>
        <w:t xml:space="preserve"> de </w:t>
      </w:r>
      <w:r w:rsidR="002C330E" w:rsidRPr="00D5464D">
        <w:rPr>
          <w:rFonts w:eastAsia="Calibri" w:cs="Times New Roman"/>
          <w:sz w:val="18"/>
          <w:szCs w:val="18"/>
          <w:lang w:val="pt-BR"/>
        </w:rPr>
        <w:t>maneira</w:t>
      </w:r>
      <w:r w:rsidR="00BA1ACF" w:rsidRPr="00D5464D">
        <w:rPr>
          <w:rFonts w:eastAsia="Calibri" w:cs="Times New Roman"/>
          <w:sz w:val="18"/>
          <w:szCs w:val="18"/>
          <w:lang w:val="pt-BR"/>
        </w:rPr>
        <w:t xml:space="preserve"> imparcial, </w:t>
      </w:r>
      <w:r w:rsidRPr="00D5464D">
        <w:rPr>
          <w:rFonts w:eastAsia="Calibri" w:cs="Times New Roman"/>
          <w:sz w:val="18"/>
          <w:szCs w:val="18"/>
          <w:lang w:val="pt-BR"/>
        </w:rPr>
        <w:t>eficaz</w:t>
      </w:r>
      <w:r w:rsidR="00E045D9" w:rsidRPr="00D5464D">
        <w:rPr>
          <w:rFonts w:eastAsia="Calibri" w:cs="Times New Roman"/>
          <w:sz w:val="18"/>
          <w:szCs w:val="18"/>
          <w:lang w:val="pt-BR"/>
        </w:rPr>
        <w:t xml:space="preserve"> e </w:t>
      </w:r>
      <w:r w:rsidR="00BA1ACF" w:rsidRPr="00D5464D">
        <w:rPr>
          <w:rFonts w:eastAsia="Calibri" w:cs="Times New Roman"/>
          <w:sz w:val="18"/>
          <w:szCs w:val="18"/>
          <w:lang w:val="pt-BR"/>
        </w:rPr>
        <w:t>dentro de</w:t>
      </w:r>
      <w:r w:rsidR="00E045D9" w:rsidRPr="00D5464D">
        <w:rPr>
          <w:rFonts w:eastAsia="Calibri" w:cs="Times New Roman"/>
          <w:sz w:val="18"/>
          <w:szCs w:val="18"/>
          <w:lang w:val="pt-BR"/>
        </w:rPr>
        <w:t xml:space="preserve"> um </w:t>
      </w:r>
      <w:r w:rsidR="002C330E" w:rsidRPr="00D5464D">
        <w:rPr>
          <w:rFonts w:eastAsia="Calibri" w:cs="Times New Roman"/>
          <w:sz w:val="18"/>
          <w:szCs w:val="18"/>
          <w:lang w:val="pt-BR"/>
        </w:rPr>
        <w:t>prazo</w:t>
      </w:r>
      <w:r w:rsidR="00BA1ACF" w:rsidRPr="00D5464D">
        <w:rPr>
          <w:rFonts w:eastAsia="Calibri" w:cs="Times New Roman"/>
          <w:sz w:val="18"/>
          <w:szCs w:val="18"/>
          <w:lang w:val="pt-BR"/>
        </w:rPr>
        <w:t xml:space="preserve"> </w:t>
      </w:r>
      <w:r w:rsidR="002C330E" w:rsidRPr="00D5464D">
        <w:rPr>
          <w:rFonts w:eastAsia="Calibri" w:cs="Times New Roman"/>
          <w:sz w:val="18"/>
          <w:szCs w:val="18"/>
          <w:lang w:val="pt-BR"/>
        </w:rPr>
        <w:t>razoável</w:t>
      </w:r>
      <w:r w:rsidRPr="00D5464D">
        <w:rPr>
          <w:rFonts w:eastAsia="Calibri" w:cs="Times New Roman"/>
          <w:sz w:val="18"/>
          <w:szCs w:val="18"/>
          <w:lang w:val="pt-BR"/>
        </w:rPr>
        <w:t>,</w:t>
      </w:r>
      <w:r w:rsidR="002C330E" w:rsidRPr="00D5464D">
        <w:rPr>
          <w:rFonts w:eastAsia="Calibri" w:cs="Times New Roman"/>
          <w:sz w:val="18"/>
          <w:szCs w:val="18"/>
          <w:lang w:val="pt-BR"/>
        </w:rPr>
        <w:t xml:space="preserve"> </w:t>
      </w:r>
      <w:r w:rsidR="00470ADC" w:rsidRPr="00D5464D">
        <w:rPr>
          <w:rFonts w:eastAsia="Calibri" w:cs="Times New Roman"/>
          <w:sz w:val="18"/>
          <w:szCs w:val="18"/>
          <w:lang w:val="pt-BR"/>
        </w:rPr>
        <w:t xml:space="preserve">com o </w:t>
      </w:r>
      <w:r w:rsidR="00BA1ACF" w:rsidRPr="00D5464D">
        <w:rPr>
          <w:rFonts w:eastAsia="Calibri" w:cs="Times New Roman"/>
          <w:sz w:val="18"/>
          <w:szCs w:val="18"/>
          <w:lang w:val="pt-BR"/>
        </w:rPr>
        <w:t>objet</w:t>
      </w:r>
      <w:r w:rsidRPr="00D5464D">
        <w:rPr>
          <w:rFonts w:eastAsia="Calibri" w:cs="Times New Roman"/>
          <w:sz w:val="18"/>
          <w:szCs w:val="18"/>
          <w:lang w:val="pt-BR"/>
        </w:rPr>
        <w:t>iv</w:t>
      </w:r>
      <w:r w:rsidR="00BA1ACF" w:rsidRPr="00D5464D">
        <w:rPr>
          <w:rFonts w:eastAsia="Calibri" w:cs="Times New Roman"/>
          <w:sz w:val="18"/>
          <w:szCs w:val="18"/>
          <w:lang w:val="pt-BR"/>
        </w:rPr>
        <w:t>o de esclarecer</w:t>
      </w:r>
      <w:r w:rsidR="002C330E" w:rsidRPr="00D5464D">
        <w:rPr>
          <w:rFonts w:eastAsia="Calibri" w:cs="Times New Roman"/>
          <w:sz w:val="18"/>
          <w:szCs w:val="18"/>
          <w:lang w:val="pt-BR"/>
        </w:rPr>
        <w:t xml:space="preserve"> os fatos</w:t>
      </w:r>
      <w:r w:rsidR="00470ADC" w:rsidRPr="00D5464D">
        <w:rPr>
          <w:rFonts w:eastAsia="Calibri" w:cs="Times New Roman"/>
          <w:sz w:val="18"/>
          <w:szCs w:val="18"/>
          <w:lang w:val="pt-BR"/>
        </w:rPr>
        <w:t xml:space="preserve"> </w:t>
      </w:r>
      <w:r w:rsidRPr="00D5464D">
        <w:rPr>
          <w:rFonts w:eastAsia="Calibri" w:cs="Times New Roman"/>
          <w:sz w:val="18"/>
          <w:szCs w:val="18"/>
          <w:lang w:val="pt-BR"/>
        </w:rPr>
        <w:t>de</w:t>
      </w:r>
      <w:r w:rsidR="00470ADC" w:rsidRPr="00D5464D">
        <w:rPr>
          <w:rFonts w:eastAsia="Calibri" w:cs="Times New Roman"/>
          <w:sz w:val="18"/>
          <w:szCs w:val="18"/>
          <w:lang w:val="pt-BR"/>
        </w:rPr>
        <w:t xml:space="preserve"> </w:t>
      </w:r>
      <w:r w:rsidR="00BA1ACF" w:rsidRPr="00D5464D">
        <w:rPr>
          <w:rFonts w:eastAsia="Calibri" w:cs="Times New Roman"/>
          <w:sz w:val="18"/>
          <w:szCs w:val="18"/>
          <w:lang w:val="pt-BR"/>
        </w:rPr>
        <w:t>forma completa, identificar</w:t>
      </w:r>
      <w:r w:rsidR="00E045D9" w:rsidRPr="00D5464D">
        <w:rPr>
          <w:rFonts w:eastAsia="Calibri" w:cs="Times New Roman"/>
          <w:sz w:val="18"/>
          <w:szCs w:val="18"/>
          <w:lang w:val="pt-BR"/>
        </w:rPr>
        <w:t xml:space="preserve"> os </w:t>
      </w:r>
      <w:r w:rsidR="002C330E" w:rsidRPr="00D5464D">
        <w:rPr>
          <w:rFonts w:eastAsia="Calibri" w:cs="Times New Roman"/>
          <w:sz w:val="18"/>
          <w:szCs w:val="18"/>
          <w:lang w:val="pt-BR"/>
        </w:rPr>
        <w:t>responsáveis</w:t>
      </w:r>
      <w:r w:rsidR="00BA1ACF" w:rsidRPr="00D5464D">
        <w:rPr>
          <w:rFonts w:eastAsia="Calibri" w:cs="Times New Roman"/>
          <w:sz w:val="18"/>
          <w:szCs w:val="18"/>
          <w:lang w:val="pt-BR"/>
        </w:rPr>
        <w:t xml:space="preserve"> e </w:t>
      </w:r>
      <w:r w:rsidR="00737270" w:rsidRPr="00D5464D">
        <w:rPr>
          <w:rFonts w:eastAsia="Calibri" w:cs="Times New Roman"/>
          <w:sz w:val="18"/>
          <w:szCs w:val="18"/>
          <w:lang w:val="pt-BR"/>
        </w:rPr>
        <w:t>impor</w:t>
      </w:r>
      <w:r w:rsidR="002C330E" w:rsidRPr="00D5464D">
        <w:rPr>
          <w:rFonts w:eastAsia="Calibri" w:cs="Times New Roman"/>
          <w:sz w:val="18"/>
          <w:szCs w:val="18"/>
          <w:lang w:val="pt-BR"/>
        </w:rPr>
        <w:t xml:space="preserve"> as </w:t>
      </w:r>
      <w:r w:rsidR="00BA1ACF" w:rsidRPr="00D5464D">
        <w:rPr>
          <w:rFonts w:eastAsia="Calibri" w:cs="Times New Roman"/>
          <w:sz w:val="18"/>
          <w:szCs w:val="18"/>
          <w:lang w:val="pt-BR"/>
        </w:rPr>
        <w:t>san</w:t>
      </w:r>
      <w:r w:rsidR="00470ADC" w:rsidRPr="00D5464D">
        <w:rPr>
          <w:rFonts w:eastAsia="Calibri" w:cs="Times New Roman"/>
          <w:sz w:val="18"/>
          <w:szCs w:val="18"/>
          <w:lang w:val="pt-BR"/>
        </w:rPr>
        <w:t>ções</w:t>
      </w:r>
      <w:r w:rsidR="00BA1ACF" w:rsidRPr="00D5464D">
        <w:rPr>
          <w:rFonts w:eastAsia="Calibri" w:cs="Times New Roman"/>
          <w:sz w:val="18"/>
          <w:szCs w:val="18"/>
          <w:lang w:val="pt-BR"/>
        </w:rPr>
        <w:t xml:space="preserve"> </w:t>
      </w:r>
      <w:r w:rsidRPr="00D5464D">
        <w:rPr>
          <w:rFonts w:eastAsia="Calibri" w:cs="Times New Roman"/>
          <w:sz w:val="18"/>
          <w:szCs w:val="18"/>
          <w:lang w:val="pt-BR"/>
        </w:rPr>
        <w:t>pertinentes</w:t>
      </w:r>
      <w:r w:rsidR="00BA1ACF" w:rsidRPr="00D5464D">
        <w:rPr>
          <w:rFonts w:eastAsia="Calibri" w:cs="Times New Roman"/>
          <w:sz w:val="18"/>
          <w:szCs w:val="18"/>
          <w:lang w:val="pt-BR"/>
        </w:rPr>
        <w:t>.</w:t>
      </w:r>
    </w:p>
    <w:p w14:paraId="1CB944CC" w14:textId="12EFB80B" w:rsidR="00F13FC0" w:rsidRPr="00D5464D" w:rsidRDefault="003D1C6F" w:rsidP="00F13FC0">
      <w:pPr>
        <w:numPr>
          <w:ilvl w:val="1"/>
          <w:numId w:val="3"/>
        </w:numPr>
        <w:tabs>
          <w:tab w:val="clear" w:pos="4419"/>
          <w:tab w:val="clear" w:pos="8838"/>
          <w:tab w:val="left" w:pos="426"/>
        </w:tabs>
        <w:ind w:left="1701" w:right="29" w:hanging="283"/>
        <w:jc w:val="both"/>
        <w:rPr>
          <w:rFonts w:eastAsia="Calibri" w:cs="Times New Roman"/>
          <w:sz w:val="18"/>
          <w:szCs w:val="18"/>
          <w:lang w:val="pt-BR"/>
        </w:rPr>
      </w:pPr>
      <w:r w:rsidRPr="00D5464D">
        <w:rPr>
          <w:rFonts w:eastAsia="Calibri" w:cs="Times New Roman"/>
          <w:sz w:val="18"/>
          <w:szCs w:val="18"/>
          <w:lang w:val="pt-BR"/>
        </w:rPr>
        <w:t xml:space="preserve">Providenciar </w:t>
      </w:r>
      <w:r w:rsidR="002C330E" w:rsidRPr="00D5464D">
        <w:rPr>
          <w:rFonts w:eastAsia="Calibri" w:cs="Times New Roman"/>
          <w:sz w:val="18"/>
          <w:szCs w:val="18"/>
          <w:lang w:val="pt-BR"/>
        </w:rPr>
        <w:t xml:space="preserve">as </w:t>
      </w:r>
      <w:r w:rsidR="00BA1ACF" w:rsidRPr="00D5464D">
        <w:rPr>
          <w:rFonts w:eastAsia="Calibri" w:cs="Times New Roman"/>
          <w:sz w:val="18"/>
          <w:szCs w:val="18"/>
          <w:lang w:val="pt-BR"/>
        </w:rPr>
        <w:t xml:space="preserve">medidas administrativas, </w:t>
      </w:r>
      <w:r w:rsidR="00737270" w:rsidRPr="00D5464D">
        <w:rPr>
          <w:rFonts w:eastAsia="Calibri" w:cs="Times New Roman"/>
          <w:sz w:val="18"/>
          <w:szCs w:val="18"/>
          <w:lang w:val="pt-BR"/>
        </w:rPr>
        <w:t>disciplinares</w:t>
      </w:r>
      <w:r w:rsidR="00BA1ACF" w:rsidRPr="00D5464D">
        <w:rPr>
          <w:rFonts w:eastAsia="Calibri" w:cs="Times New Roman"/>
          <w:sz w:val="18"/>
          <w:szCs w:val="18"/>
          <w:lang w:val="pt-BR"/>
        </w:rPr>
        <w:t xml:space="preserve"> o</w:t>
      </w:r>
      <w:r w:rsidRPr="00D5464D">
        <w:rPr>
          <w:rFonts w:eastAsia="Calibri" w:cs="Times New Roman"/>
          <w:sz w:val="18"/>
          <w:szCs w:val="18"/>
          <w:lang w:val="pt-BR"/>
        </w:rPr>
        <w:t>u</w:t>
      </w:r>
      <w:r w:rsidR="00BA1ACF" w:rsidRPr="00D5464D">
        <w:rPr>
          <w:rFonts w:eastAsia="Calibri" w:cs="Times New Roman"/>
          <w:sz w:val="18"/>
          <w:szCs w:val="18"/>
          <w:lang w:val="pt-BR"/>
        </w:rPr>
        <w:t xml:space="preserve"> </w:t>
      </w:r>
      <w:r w:rsidR="002C330E" w:rsidRPr="00D5464D">
        <w:rPr>
          <w:rFonts w:eastAsia="Calibri" w:cs="Times New Roman"/>
          <w:sz w:val="18"/>
          <w:szCs w:val="18"/>
          <w:lang w:val="pt-BR"/>
        </w:rPr>
        <w:t>penais</w:t>
      </w:r>
      <w:r w:rsidR="00BA1ACF" w:rsidRPr="00D5464D">
        <w:rPr>
          <w:rFonts w:eastAsia="Calibri" w:cs="Times New Roman"/>
          <w:sz w:val="18"/>
          <w:szCs w:val="18"/>
          <w:lang w:val="pt-BR"/>
        </w:rPr>
        <w:t xml:space="preserve"> </w:t>
      </w:r>
      <w:r w:rsidRPr="00D5464D">
        <w:rPr>
          <w:rFonts w:eastAsia="Calibri" w:cs="Times New Roman"/>
          <w:sz w:val="18"/>
          <w:szCs w:val="18"/>
          <w:lang w:val="pt-BR"/>
        </w:rPr>
        <w:t xml:space="preserve">pertinentes relativas </w:t>
      </w:r>
      <w:r w:rsidR="00E045D9" w:rsidRPr="00D5464D">
        <w:rPr>
          <w:rFonts w:eastAsia="Calibri" w:cs="Times New Roman"/>
          <w:sz w:val="18"/>
          <w:szCs w:val="18"/>
          <w:lang w:val="pt-BR"/>
        </w:rPr>
        <w:t xml:space="preserve">às </w:t>
      </w:r>
      <w:r w:rsidR="00470ADC" w:rsidRPr="00D5464D">
        <w:rPr>
          <w:rFonts w:eastAsia="Calibri" w:cs="Times New Roman"/>
          <w:sz w:val="18"/>
          <w:szCs w:val="18"/>
          <w:lang w:val="pt-BR"/>
        </w:rPr>
        <w:t>ações</w:t>
      </w:r>
      <w:r w:rsidR="00E045D9" w:rsidRPr="00D5464D">
        <w:rPr>
          <w:rFonts w:eastAsia="Calibri" w:cs="Times New Roman"/>
          <w:sz w:val="18"/>
          <w:szCs w:val="18"/>
          <w:lang w:val="pt-BR"/>
        </w:rPr>
        <w:t xml:space="preserve"> ou </w:t>
      </w:r>
      <w:r w:rsidR="00BA1ACF" w:rsidRPr="00D5464D">
        <w:rPr>
          <w:rFonts w:eastAsia="Calibri" w:cs="Times New Roman"/>
          <w:sz w:val="18"/>
          <w:szCs w:val="18"/>
          <w:lang w:val="pt-BR"/>
        </w:rPr>
        <w:t>o</w:t>
      </w:r>
      <w:r w:rsidR="002C330E" w:rsidRPr="00D5464D">
        <w:rPr>
          <w:rFonts w:eastAsia="Calibri" w:cs="Times New Roman"/>
          <w:sz w:val="18"/>
          <w:szCs w:val="18"/>
          <w:lang w:val="pt-BR"/>
        </w:rPr>
        <w:t>missões</w:t>
      </w:r>
      <w:r w:rsidR="00470ADC" w:rsidRPr="00D5464D">
        <w:rPr>
          <w:rFonts w:eastAsia="Calibri" w:cs="Times New Roman"/>
          <w:sz w:val="18"/>
          <w:szCs w:val="18"/>
          <w:lang w:val="pt-BR"/>
        </w:rPr>
        <w:t xml:space="preserve"> dos </w:t>
      </w:r>
      <w:r w:rsidR="002C330E" w:rsidRPr="00D5464D">
        <w:rPr>
          <w:rFonts w:eastAsia="Calibri" w:cs="Times New Roman"/>
          <w:sz w:val="18"/>
          <w:szCs w:val="18"/>
          <w:lang w:val="pt-BR"/>
        </w:rPr>
        <w:t>funcionári</w:t>
      </w:r>
      <w:r w:rsidR="00BA1ACF" w:rsidRPr="00D5464D">
        <w:rPr>
          <w:rFonts w:eastAsia="Calibri" w:cs="Times New Roman"/>
          <w:sz w:val="18"/>
          <w:szCs w:val="18"/>
          <w:lang w:val="pt-BR"/>
        </w:rPr>
        <w:t>os esta</w:t>
      </w:r>
      <w:r w:rsidR="00E045D9" w:rsidRPr="00D5464D">
        <w:rPr>
          <w:rFonts w:eastAsia="Calibri" w:cs="Times New Roman"/>
          <w:sz w:val="18"/>
          <w:szCs w:val="18"/>
          <w:lang w:val="pt-BR"/>
        </w:rPr>
        <w:t>tais</w:t>
      </w:r>
      <w:r w:rsidR="00BA1ACF" w:rsidRPr="00D5464D">
        <w:rPr>
          <w:rFonts w:eastAsia="Calibri" w:cs="Times New Roman"/>
          <w:sz w:val="18"/>
          <w:szCs w:val="18"/>
          <w:lang w:val="pt-BR"/>
        </w:rPr>
        <w:t xml:space="preserve"> que </w:t>
      </w:r>
      <w:r w:rsidR="00C16021" w:rsidRPr="00D5464D">
        <w:rPr>
          <w:rFonts w:eastAsia="Calibri" w:cs="Times New Roman"/>
          <w:sz w:val="18"/>
          <w:szCs w:val="18"/>
          <w:lang w:val="pt-BR"/>
        </w:rPr>
        <w:t>contribuíram</w:t>
      </w:r>
      <w:r w:rsidR="00470ADC" w:rsidRPr="00D5464D">
        <w:rPr>
          <w:rFonts w:eastAsia="Calibri" w:cs="Times New Roman"/>
          <w:sz w:val="18"/>
          <w:szCs w:val="18"/>
          <w:lang w:val="pt-BR"/>
        </w:rPr>
        <w:t xml:space="preserve"> </w:t>
      </w:r>
      <w:r w:rsidRPr="00D5464D">
        <w:rPr>
          <w:rFonts w:eastAsia="Calibri" w:cs="Times New Roman"/>
          <w:sz w:val="18"/>
          <w:szCs w:val="18"/>
          <w:lang w:val="pt-BR"/>
        </w:rPr>
        <w:t>para a</w:t>
      </w:r>
      <w:r w:rsidR="00470ADC" w:rsidRPr="00D5464D">
        <w:rPr>
          <w:rFonts w:eastAsia="Calibri" w:cs="Times New Roman"/>
          <w:sz w:val="18"/>
          <w:szCs w:val="18"/>
          <w:lang w:val="pt-BR"/>
        </w:rPr>
        <w:t xml:space="preserve"> </w:t>
      </w:r>
      <w:r w:rsidR="00BA1ACF" w:rsidRPr="00D5464D">
        <w:rPr>
          <w:rFonts w:eastAsia="Calibri" w:cs="Times New Roman"/>
          <w:sz w:val="18"/>
          <w:szCs w:val="18"/>
          <w:lang w:val="pt-BR"/>
        </w:rPr>
        <w:t>denega</w:t>
      </w:r>
      <w:r w:rsidR="00470ADC" w:rsidRPr="00D5464D">
        <w:rPr>
          <w:rFonts w:eastAsia="Calibri" w:cs="Times New Roman"/>
          <w:sz w:val="18"/>
          <w:szCs w:val="18"/>
          <w:lang w:val="pt-BR"/>
        </w:rPr>
        <w:t>ção</w:t>
      </w:r>
      <w:r w:rsidR="00BA1ACF" w:rsidRPr="00D5464D">
        <w:rPr>
          <w:rFonts w:eastAsia="Calibri" w:cs="Times New Roman"/>
          <w:sz w:val="18"/>
          <w:szCs w:val="18"/>
          <w:lang w:val="pt-BR"/>
        </w:rPr>
        <w:t xml:space="preserve"> de </w:t>
      </w:r>
      <w:r w:rsidR="002C330E" w:rsidRPr="00D5464D">
        <w:rPr>
          <w:rFonts w:eastAsia="Calibri" w:cs="Times New Roman"/>
          <w:sz w:val="18"/>
          <w:szCs w:val="18"/>
          <w:lang w:val="pt-BR"/>
        </w:rPr>
        <w:t>justiça</w:t>
      </w:r>
      <w:r w:rsidR="00BA1ACF" w:rsidRPr="00D5464D">
        <w:rPr>
          <w:rFonts w:eastAsia="Calibri" w:cs="Times New Roman"/>
          <w:sz w:val="18"/>
          <w:szCs w:val="18"/>
          <w:lang w:val="pt-BR"/>
        </w:rPr>
        <w:t xml:space="preserve"> e </w:t>
      </w:r>
      <w:r w:rsidR="002C330E" w:rsidRPr="00D5464D">
        <w:rPr>
          <w:rFonts w:eastAsia="Calibri" w:cs="Times New Roman"/>
          <w:sz w:val="18"/>
          <w:szCs w:val="18"/>
          <w:lang w:val="pt-BR"/>
        </w:rPr>
        <w:t>impunidade</w:t>
      </w:r>
      <w:r w:rsidR="00E045D9" w:rsidRPr="00D5464D">
        <w:rPr>
          <w:rFonts w:eastAsia="Calibri" w:cs="Times New Roman"/>
          <w:sz w:val="18"/>
          <w:szCs w:val="18"/>
          <w:lang w:val="pt-BR"/>
        </w:rPr>
        <w:t xml:space="preserve"> </w:t>
      </w:r>
      <w:r w:rsidR="00F13FC0" w:rsidRPr="00D5464D">
        <w:rPr>
          <w:rFonts w:eastAsia="Calibri" w:cs="Times New Roman"/>
          <w:sz w:val="18"/>
          <w:szCs w:val="18"/>
          <w:lang w:val="pt-BR"/>
        </w:rPr>
        <w:t xml:space="preserve">em </w:t>
      </w:r>
      <w:r w:rsidR="00BA1ACF" w:rsidRPr="00D5464D">
        <w:rPr>
          <w:rFonts w:eastAsia="Calibri" w:cs="Times New Roman"/>
          <w:sz w:val="18"/>
          <w:szCs w:val="18"/>
          <w:lang w:val="pt-BR"/>
        </w:rPr>
        <w:t xml:space="preserve">que se </w:t>
      </w:r>
      <w:r w:rsidR="00470ADC" w:rsidRPr="00D5464D">
        <w:rPr>
          <w:rFonts w:eastAsia="Calibri" w:cs="Times New Roman"/>
          <w:sz w:val="18"/>
          <w:szCs w:val="18"/>
          <w:lang w:val="pt-BR"/>
        </w:rPr>
        <w:t>encontram</w:t>
      </w:r>
      <w:r w:rsidR="002C330E" w:rsidRPr="00D5464D">
        <w:rPr>
          <w:rFonts w:eastAsia="Calibri" w:cs="Times New Roman"/>
          <w:sz w:val="18"/>
          <w:szCs w:val="18"/>
          <w:lang w:val="pt-BR"/>
        </w:rPr>
        <w:t xml:space="preserve"> os fatos</w:t>
      </w:r>
      <w:r w:rsidR="00BA1ACF" w:rsidRPr="00D5464D">
        <w:rPr>
          <w:rFonts w:eastAsia="Calibri" w:cs="Times New Roman"/>
          <w:sz w:val="18"/>
          <w:szCs w:val="18"/>
          <w:lang w:val="pt-BR"/>
        </w:rPr>
        <w:t xml:space="preserve"> </w:t>
      </w:r>
      <w:r w:rsidR="00470ADC" w:rsidRPr="00D5464D">
        <w:rPr>
          <w:rFonts w:eastAsia="Calibri" w:cs="Times New Roman"/>
          <w:sz w:val="18"/>
          <w:szCs w:val="18"/>
          <w:lang w:val="pt-BR"/>
        </w:rPr>
        <w:t xml:space="preserve">do </w:t>
      </w:r>
      <w:r w:rsidR="00BA1ACF" w:rsidRPr="00D5464D">
        <w:rPr>
          <w:rFonts w:eastAsia="Calibri" w:cs="Times New Roman"/>
          <w:sz w:val="18"/>
          <w:szCs w:val="18"/>
          <w:lang w:val="pt-BR"/>
        </w:rPr>
        <w:t>caso.</w:t>
      </w:r>
      <w:r w:rsidR="00470ADC" w:rsidRPr="00D5464D">
        <w:rPr>
          <w:rFonts w:eastAsia="Calibri" w:cs="Times New Roman"/>
          <w:sz w:val="18"/>
          <w:szCs w:val="18"/>
          <w:lang w:val="pt-BR"/>
        </w:rPr>
        <w:t xml:space="preserve"> </w:t>
      </w:r>
      <w:r w:rsidR="00F13FC0" w:rsidRPr="00D5464D">
        <w:rPr>
          <w:rFonts w:eastAsia="Calibri" w:cs="Times New Roman"/>
          <w:sz w:val="18"/>
          <w:szCs w:val="18"/>
          <w:lang w:val="pt-BR"/>
        </w:rPr>
        <w:t>N</w:t>
      </w:r>
      <w:r w:rsidR="00737270" w:rsidRPr="00D5464D">
        <w:rPr>
          <w:rFonts w:eastAsia="Calibri" w:cs="Times New Roman"/>
          <w:sz w:val="18"/>
          <w:szCs w:val="18"/>
          <w:lang w:val="pt-BR"/>
        </w:rPr>
        <w:t>esse</w:t>
      </w:r>
      <w:r w:rsidR="00470ADC" w:rsidRPr="00D5464D">
        <w:rPr>
          <w:rFonts w:eastAsia="Calibri" w:cs="Times New Roman"/>
          <w:sz w:val="18"/>
          <w:szCs w:val="18"/>
          <w:lang w:val="pt-BR"/>
        </w:rPr>
        <w:t xml:space="preserve"> </w:t>
      </w:r>
      <w:r w:rsidR="00BA1ACF" w:rsidRPr="00D5464D">
        <w:rPr>
          <w:rFonts w:eastAsia="Calibri" w:cs="Times New Roman"/>
          <w:sz w:val="18"/>
          <w:szCs w:val="18"/>
          <w:lang w:val="pt-BR"/>
        </w:rPr>
        <w:t xml:space="preserve">sentido, </w:t>
      </w:r>
      <w:r w:rsidR="00F13FC0" w:rsidRPr="00D5464D">
        <w:rPr>
          <w:rFonts w:eastAsia="Calibri" w:cs="Times New Roman"/>
          <w:sz w:val="18"/>
          <w:szCs w:val="18"/>
          <w:lang w:val="pt-BR"/>
        </w:rPr>
        <w:t xml:space="preserve">cumpre ressaltar de modo especial que foram abertos </w:t>
      </w:r>
      <w:r w:rsidR="002C330E" w:rsidRPr="00D5464D">
        <w:rPr>
          <w:rFonts w:eastAsia="Calibri" w:cs="Times New Roman"/>
          <w:sz w:val="18"/>
          <w:szCs w:val="18"/>
          <w:lang w:val="pt-BR"/>
        </w:rPr>
        <w:t>processo</w:t>
      </w:r>
      <w:r w:rsidR="00BA1ACF" w:rsidRPr="00D5464D">
        <w:rPr>
          <w:rFonts w:eastAsia="Calibri" w:cs="Times New Roman"/>
          <w:sz w:val="18"/>
          <w:szCs w:val="18"/>
          <w:lang w:val="pt-BR"/>
        </w:rPr>
        <w:t>s administrativos</w:t>
      </w:r>
      <w:r w:rsidR="00E045D9" w:rsidRPr="00D5464D">
        <w:rPr>
          <w:rFonts w:eastAsia="Calibri" w:cs="Times New Roman"/>
          <w:sz w:val="18"/>
          <w:szCs w:val="18"/>
          <w:lang w:val="pt-BR"/>
        </w:rPr>
        <w:t xml:space="preserve"> e </w:t>
      </w:r>
      <w:r w:rsidR="00BA1ACF" w:rsidRPr="00D5464D">
        <w:rPr>
          <w:rFonts w:eastAsia="Calibri" w:cs="Times New Roman"/>
          <w:sz w:val="18"/>
          <w:szCs w:val="18"/>
          <w:lang w:val="pt-BR"/>
        </w:rPr>
        <w:t>n</w:t>
      </w:r>
      <w:r w:rsidR="00F13FC0" w:rsidRPr="00D5464D">
        <w:rPr>
          <w:rFonts w:eastAsia="Calibri" w:cs="Times New Roman"/>
          <w:sz w:val="18"/>
          <w:szCs w:val="18"/>
          <w:lang w:val="pt-BR"/>
        </w:rPr>
        <w:t>ã</w:t>
      </w:r>
      <w:r w:rsidR="00BA1ACF" w:rsidRPr="00D5464D">
        <w:rPr>
          <w:rFonts w:eastAsia="Calibri" w:cs="Times New Roman"/>
          <w:sz w:val="18"/>
          <w:szCs w:val="18"/>
          <w:lang w:val="pt-BR"/>
        </w:rPr>
        <w:t xml:space="preserve">o </w:t>
      </w:r>
      <w:r w:rsidR="002C330E" w:rsidRPr="00D5464D">
        <w:rPr>
          <w:rFonts w:eastAsia="Calibri" w:cs="Times New Roman"/>
          <w:sz w:val="18"/>
          <w:szCs w:val="18"/>
          <w:lang w:val="pt-BR"/>
        </w:rPr>
        <w:t>penais</w:t>
      </w:r>
      <w:r w:rsidR="00BA1ACF" w:rsidRPr="00D5464D">
        <w:rPr>
          <w:rFonts w:eastAsia="Calibri" w:cs="Times New Roman"/>
          <w:sz w:val="18"/>
          <w:szCs w:val="18"/>
          <w:lang w:val="pt-BR"/>
        </w:rPr>
        <w:t xml:space="preserve"> para</w:t>
      </w:r>
      <w:r w:rsidR="002C330E" w:rsidRPr="00D5464D">
        <w:rPr>
          <w:rFonts w:eastAsia="Calibri" w:cs="Times New Roman"/>
          <w:sz w:val="18"/>
          <w:szCs w:val="18"/>
          <w:lang w:val="pt-BR"/>
        </w:rPr>
        <w:t xml:space="preserve"> a </w:t>
      </w:r>
      <w:r w:rsidR="00BA1ACF" w:rsidRPr="00D5464D">
        <w:rPr>
          <w:rFonts w:eastAsia="Calibri" w:cs="Times New Roman"/>
          <w:sz w:val="18"/>
          <w:szCs w:val="18"/>
          <w:lang w:val="pt-BR"/>
        </w:rPr>
        <w:t>investiga</w:t>
      </w:r>
      <w:r w:rsidR="00470ADC" w:rsidRPr="00D5464D">
        <w:rPr>
          <w:rFonts w:eastAsia="Calibri" w:cs="Times New Roman"/>
          <w:sz w:val="18"/>
          <w:szCs w:val="18"/>
          <w:lang w:val="pt-BR"/>
        </w:rPr>
        <w:t>ção</w:t>
      </w:r>
      <w:r w:rsidR="00F13FC0" w:rsidRPr="00D5464D">
        <w:rPr>
          <w:rFonts w:eastAsia="Calibri" w:cs="Times New Roman"/>
          <w:sz w:val="18"/>
          <w:szCs w:val="18"/>
          <w:lang w:val="pt-BR"/>
        </w:rPr>
        <w:t xml:space="preserve"> dos</w:t>
      </w:r>
      <w:r w:rsidR="00BA1ACF" w:rsidRPr="00D5464D">
        <w:rPr>
          <w:rFonts w:eastAsia="Calibri" w:cs="Times New Roman"/>
          <w:sz w:val="18"/>
          <w:szCs w:val="18"/>
          <w:lang w:val="pt-BR"/>
        </w:rPr>
        <w:t xml:space="preserve"> </w:t>
      </w:r>
      <w:r w:rsidR="00470ADC" w:rsidRPr="00D5464D">
        <w:rPr>
          <w:rFonts w:eastAsia="Calibri" w:cs="Times New Roman"/>
          <w:sz w:val="18"/>
          <w:szCs w:val="18"/>
          <w:lang w:val="pt-BR"/>
        </w:rPr>
        <w:t>desaparecimentos</w:t>
      </w:r>
      <w:r w:rsidR="00BA1ACF" w:rsidRPr="00D5464D">
        <w:rPr>
          <w:rFonts w:eastAsia="Calibri" w:cs="Times New Roman"/>
          <w:sz w:val="18"/>
          <w:szCs w:val="18"/>
          <w:lang w:val="pt-BR"/>
        </w:rPr>
        <w:t xml:space="preserve">, que </w:t>
      </w:r>
      <w:r w:rsidR="00F13FC0" w:rsidRPr="00D5464D">
        <w:rPr>
          <w:rFonts w:eastAsia="Calibri" w:cs="Times New Roman"/>
          <w:sz w:val="18"/>
          <w:szCs w:val="18"/>
          <w:lang w:val="pt-BR"/>
        </w:rPr>
        <w:t xml:space="preserve">foram abertos processos </w:t>
      </w:r>
      <w:r w:rsidR="00BA1ACF" w:rsidRPr="00D5464D">
        <w:rPr>
          <w:rFonts w:eastAsia="Calibri" w:cs="Times New Roman"/>
          <w:sz w:val="18"/>
          <w:szCs w:val="18"/>
          <w:lang w:val="pt-BR"/>
        </w:rPr>
        <w:t>administrativos</w:t>
      </w:r>
      <w:r w:rsidR="00E045D9" w:rsidRPr="00D5464D">
        <w:rPr>
          <w:rFonts w:eastAsia="Calibri" w:cs="Times New Roman"/>
          <w:sz w:val="18"/>
          <w:szCs w:val="18"/>
          <w:lang w:val="pt-BR"/>
        </w:rPr>
        <w:t xml:space="preserve"> e </w:t>
      </w:r>
      <w:r w:rsidR="00F13FC0" w:rsidRPr="00D5464D">
        <w:rPr>
          <w:rFonts w:eastAsia="Calibri" w:cs="Times New Roman"/>
          <w:sz w:val="18"/>
          <w:szCs w:val="18"/>
          <w:lang w:val="pt-BR"/>
        </w:rPr>
        <w:t xml:space="preserve">trabalhistas </w:t>
      </w:r>
      <w:r w:rsidR="00BA1ACF" w:rsidRPr="00D5464D">
        <w:rPr>
          <w:rFonts w:eastAsia="Calibri" w:cs="Times New Roman"/>
          <w:sz w:val="18"/>
          <w:szCs w:val="18"/>
          <w:lang w:val="pt-BR"/>
        </w:rPr>
        <w:t>para</w:t>
      </w:r>
      <w:r w:rsidR="002C330E" w:rsidRPr="00D5464D">
        <w:rPr>
          <w:rFonts w:eastAsia="Calibri" w:cs="Times New Roman"/>
          <w:sz w:val="18"/>
          <w:szCs w:val="18"/>
          <w:lang w:val="pt-BR"/>
        </w:rPr>
        <w:t xml:space="preserve"> a </w:t>
      </w:r>
      <w:r w:rsidR="00BA1ACF" w:rsidRPr="00D5464D">
        <w:rPr>
          <w:rFonts w:eastAsia="Calibri" w:cs="Times New Roman"/>
          <w:sz w:val="18"/>
          <w:szCs w:val="18"/>
          <w:lang w:val="pt-BR"/>
        </w:rPr>
        <w:t>investiga</w:t>
      </w:r>
      <w:r w:rsidR="00470ADC" w:rsidRPr="00D5464D">
        <w:rPr>
          <w:rFonts w:eastAsia="Calibri" w:cs="Times New Roman"/>
          <w:sz w:val="18"/>
          <w:szCs w:val="18"/>
          <w:lang w:val="pt-BR"/>
        </w:rPr>
        <w:t>ção</w:t>
      </w:r>
      <w:r w:rsidR="00BA1ACF" w:rsidRPr="00D5464D">
        <w:rPr>
          <w:rFonts w:eastAsia="Calibri" w:cs="Times New Roman"/>
          <w:sz w:val="18"/>
          <w:szCs w:val="18"/>
          <w:lang w:val="pt-BR"/>
        </w:rPr>
        <w:t xml:space="preserve"> de </w:t>
      </w:r>
      <w:r w:rsidR="00E045D9" w:rsidRPr="00D5464D">
        <w:rPr>
          <w:rFonts w:eastAsia="Calibri" w:cs="Times New Roman"/>
          <w:sz w:val="18"/>
          <w:szCs w:val="18"/>
          <w:lang w:val="pt-BR"/>
        </w:rPr>
        <w:t>trabalho</w:t>
      </w:r>
      <w:r w:rsidR="00BA1ACF" w:rsidRPr="00D5464D">
        <w:rPr>
          <w:rFonts w:eastAsia="Calibri" w:cs="Times New Roman"/>
          <w:sz w:val="18"/>
          <w:szCs w:val="18"/>
          <w:lang w:val="pt-BR"/>
        </w:rPr>
        <w:t xml:space="preserve"> </w:t>
      </w:r>
      <w:r w:rsidR="004F1CC2" w:rsidRPr="00D5464D">
        <w:rPr>
          <w:rFonts w:eastAsia="Calibri" w:cs="Times New Roman"/>
          <w:sz w:val="18"/>
          <w:szCs w:val="18"/>
          <w:lang w:val="pt-BR"/>
        </w:rPr>
        <w:t>escravo</w:t>
      </w:r>
      <w:r w:rsidR="00470ADC" w:rsidRPr="00D5464D">
        <w:rPr>
          <w:rFonts w:eastAsia="Calibri" w:cs="Times New Roman"/>
          <w:sz w:val="18"/>
          <w:szCs w:val="18"/>
          <w:lang w:val="pt-BR"/>
        </w:rPr>
        <w:t xml:space="preserve"> e</w:t>
      </w:r>
      <w:r w:rsidR="00BA1ACF" w:rsidRPr="00D5464D">
        <w:rPr>
          <w:rFonts w:eastAsia="Calibri" w:cs="Times New Roman"/>
          <w:sz w:val="18"/>
          <w:szCs w:val="18"/>
          <w:lang w:val="pt-BR"/>
        </w:rPr>
        <w:t xml:space="preserve"> que</w:t>
      </w:r>
      <w:r w:rsidR="002C330E" w:rsidRPr="00D5464D">
        <w:rPr>
          <w:rFonts w:eastAsia="Calibri" w:cs="Times New Roman"/>
          <w:sz w:val="18"/>
          <w:szCs w:val="18"/>
          <w:lang w:val="pt-BR"/>
        </w:rPr>
        <w:t xml:space="preserve"> </w:t>
      </w:r>
      <w:r w:rsidR="00F13FC0" w:rsidRPr="00D5464D">
        <w:rPr>
          <w:rFonts w:eastAsia="Calibri" w:cs="Times New Roman"/>
          <w:sz w:val="18"/>
          <w:szCs w:val="18"/>
          <w:lang w:val="pt-BR"/>
        </w:rPr>
        <w:t xml:space="preserve">prescreveu </w:t>
      </w:r>
      <w:r w:rsidR="002C330E" w:rsidRPr="00D5464D">
        <w:rPr>
          <w:rFonts w:eastAsia="Calibri" w:cs="Times New Roman"/>
          <w:sz w:val="18"/>
          <w:szCs w:val="18"/>
          <w:lang w:val="pt-BR"/>
        </w:rPr>
        <w:t xml:space="preserve">a </w:t>
      </w:r>
      <w:r w:rsidR="00BA1ACF" w:rsidRPr="00D5464D">
        <w:rPr>
          <w:rFonts w:eastAsia="Calibri" w:cs="Times New Roman"/>
          <w:sz w:val="18"/>
          <w:szCs w:val="18"/>
          <w:lang w:val="pt-BR"/>
        </w:rPr>
        <w:t>única investiga</w:t>
      </w:r>
      <w:r w:rsidR="00470ADC" w:rsidRPr="00D5464D">
        <w:rPr>
          <w:rFonts w:eastAsia="Calibri" w:cs="Times New Roman"/>
          <w:sz w:val="18"/>
          <w:szCs w:val="18"/>
          <w:lang w:val="pt-BR"/>
        </w:rPr>
        <w:t>ção</w:t>
      </w:r>
      <w:r w:rsidR="00BA1ACF" w:rsidRPr="00D5464D">
        <w:rPr>
          <w:rFonts w:eastAsia="Calibri" w:cs="Times New Roman"/>
          <w:sz w:val="18"/>
          <w:szCs w:val="18"/>
          <w:lang w:val="pt-BR"/>
        </w:rPr>
        <w:t xml:space="preserve"> penal </w:t>
      </w:r>
      <w:r w:rsidR="00470ADC" w:rsidRPr="00D5464D">
        <w:rPr>
          <w:rFonts w:eastAsia="Calibri" w:cs="Times New Roman"/>
          <w:sz w:val="18"/>
          <w:szCs w:val="18"/>
          <w:lang w:val="pt-BR"/>
        </w:rPr>
        <w:t>abert</w:t>
      </w:r>
      <w:r w:rsidR="00BA1ACF" w:rsidRPr="00D5464D">
        <w:rPr>
          <w:rFonts w:eastAsia="Calibri" w:cs="Times New Roman"/>
          <w:sz w:val="18"/>
          <w:szCs w:val="18"/>
          <w:lang w:val="pt-BR"/>
        </w:rPr>
        <w:t>a</w:t>
      </w:r>
      <w:r w:rsidR="00470ADC" w:rsidRPr="00D5464D">
        <w:rPr>
          <w:rFonts w:eastAsia="Calibri" w:cs="Times New Roman"/>
          <w:sz w:val="18"/>
          <w:szCs w:val="18"/>
          <w:lang w:val="pt-BR"/>
        </w:rPr>
        <w:t xml:space="preserve"> em </w:t>
      </w:r>
      <w:r w:rsidR="00BA1ACF" w:rsidRPr="00D5464D">
        <w:rPr>
          <w:rFonts w:eastAsia="Calibri" w:cs="Times New Roman"/>
          <w:sz w:val="18"/>
          <w:szCs w:val="18"/>
          <w:lang w:val="pt-BR"/>
        </w:rPr>
        <w:t>rela</w:t>
      </w:r>
      <w:r w:rsidR="00470ADC" w:rsidRPr="00D5464D">
        <w:rPr>
          <w:rFonts w:eastAsia="Calibri" w:cs="Times New Roman"/>
          <w:sz w:val="18"/>
          <w:szCs w:val="18"/>
          <w:lang w:val="pt-BR"/>
        </w:rPr>
        <w:t>ção</w:t>
      </w:r>
      <w:r w:rsidR="00FF1290" w:rsidRPr="00D5464D">
        <w:rPr>
          <w:rFonts w:eastAsia="Calibri" w:cs="Times New Roman"/>
          <w:sz w:val="18"/>
          <w:szCs w:val="18"/>
          <w:lang w:val="pt-BR"/>
        </w:rPr>
        <w:t xml:space="preserve"> </w:t>
      </w:r>
      <w:r w:rsidR="00717308" w:rsidRPr="00D5464D">
        <w:rPr>
          <w:rFonts w:eastAsia="Calibri" w:cs="Times New Roman"/>
          <w:sz w:val="18"/>
          <w:szCs w:val="18"/>
          <w:lang w:val="pt-BR"/>
        </w:rPr>
        <w:t xml:space="preserve">a </w:t>
      </w:r>
      <w:r w:rsidR="00470ADC" w:rsidRPr="00D5464D">
        <w:rPr>
          <w:rFonts w:eastAsia="Calibri" w:cs="Times New Roman"/>
          <w:sz w:val="18"/>
          <w:szCs w:val="18"/>
          <w:lang w:val="pt-BR"/>
        </w:rPr>
        <w:t>este</w:t>
      </w:r>
      <w:r w:rsidR="00BA1ACF" w:rsidRPr="00D5464D">
        <w:rPr>
          <w:rFonts w:eastAsia="Calibri" w:cs="Times New Roman"/>
          <w:sz w:val="18"/>
          <w:szCs w:val="18"/>
          <w:lang w:val="pt-BR"/>
        </w:rPr>
        <w:t xml:space="preserve"> delito.</w:t>
      </w:r>
      <w:r w:rsidR="00FF1290" w:rsidRPr="00D5464D">
        <w:rPr>
          <w:rFonts w:eastAsia="Calibri" w:cs="Times New Roman"/>
          <w:sz w:val="18"/>
          <w:szCs w:val="18"/>
          <w:lang w:val="pt-BR"/>
        </w:rPr>
        <w:t xml:space="preserve"> </w:t>
      </w:r>
    </w:p>
    <w:p w14:paraId="116A3BC9" w14:textId="77777777" w:rsidR="00F13FC0" w:rsidRPr="00D5464D" w:rsidRDefault="00470ADC" w:rsidP="00F13FC0">
      <w:pPr>
        <w:numPr>
          <w:ilvl w:val="1"/>
          <w:numId w:val="3"/>
        </w:numPr>
        <w:tabs>
          <w:tab w:val="clear" w:pos="4419"/>
          <w:tab w:val="clear" w:pos="8838"/>
          <w:tab w:val="left" w:pos="426"/>
        </w:tabs>
        <w:ind w:left="1701" w:right="29" w:hanging="283"/>
        <w:jc w:val="both"/>
        <w:rPr>
          <w:rFonts w:eastAsia="Calibri" w:cs="Times New Roman"/>
          <w:sz w:val="18"/>
          <w:szCs w:val="18"/>
          <w:lang w:val="pt-BR"/>
        </w:rPr>
      </w:pPr>
      <w:r w:rsidRPr="00D5464D">
        <w:rPr>
          <w:rFonts w:eastAsia="Calibri" w:cs="Times New Roman"/>
          <w:sz w:val="18"/>
          <w:szCs w:val="18"/>
          <w:lang w:val="pt-BR"/>
        </w:rPr>
        <w:t>Estabelece</w:t>
      </w:r>
      <w:r w:rsidR="00BA1ACF" w:rsidRPr="00D5464D">
        <w:rPr>
          <w:rFonts w:eastAsia="Calibri" w:cs="Times New Roman"/>
          <w:sz w:val="18"/>
          <w:szCs w:val="18"/>
          <w:lang w:val="pt-BR"/>
        </w:rPr>
        <w:t>r</w:t>
      </w:r>
      <w:r w:rsidR="00E045D9" w:rsidRPr="00D5464D">
        <w:rPr>
          <w:rFonts w:eastAsia="Calibri" w:cs="Times New Roman"/>
          <w:sz w:val="18"/>
          <w:szCs w:val="18"/>
          <w:lang w:val="pt-BR"/>
        </w:rPr>
        <w:t xml:space="preserve"> um </w:t>
      </w:r>
      <w:r w:rsidR="00BA1ACF" w:rsidRPr="00D5464D">
        <w:rPr>
          <w:rFonts w:eastAsia="Calibri" w:cs="Times New Roman"/>
          <w:sz w:val="18"/>
          <w:szCs w:val="18"/>
          <w:lang w:val="pt-BR"/>
        </w:rPr>
        <w:t>mecanismo que facilite</w:t>
      </w:r>
      <w:r w:rsidR="002C330E" w:rsidRPr="00D5464D">
        <w:rPr>
          <w:rFonts w:eastAsia="Calibri" w:cs="Times New Roman"/>
          <w:sz w:val="18"/>
          <w:szCs w:val="18"/>
          <w:lang w:val="pt-BR"/>
        </w:rPr>
        <w:t xml:space="preserve"> a </w:t>
      </w:r>
      <w:r w:rsidR="00BA1ACF" w:rsidRPr="00D5464D">
        <w:rPr>
          <w:rFonts w:eastAsia="Calibri" w:cs="Times New Roman"/>
          <w:sz w:val="18"/>
          <w:szCs w:val="18"/>
          <w:lang w:val="pt-BR"/>
        </w:rPr>
        <w:t>localiza</w:t>
      </w:r>
      <w:r w:rsidRPr="00D5464D">
        <w:rPr>
          <w:rFonts w:eastAsia="Calibri" w:cs="Times New Roman"/>
          <w:sz w:val="18"/>
          <w:szCs w:val="18"/>
          <w:lang w:val="pt-BR"/>
        </w:rPr>
        <w:t xml:space="preserve">ção das </w:t>
      </w:r>
      <w:r w:rsidR="00E045D9" w:rsidRPr="00D5464D">
        <w:rPr>
          <w:rFonts w:eastAsia="Calibri" w:cs="Times New Roman"/>
          <w:sz w:val="18"/>
          <w:szCs w:val="18"/>
          <w:lang w:val="pt-BR"/>
        </w:rPr>
        <w:t>vítima</w:t>
      </w:r>
      <w:r w:rsidR="00BA1ACF" w:rsidRPr="00D5464D">
        <w:rPr>
          <w:rFonts w:eastAsia="Calibri" w:cs="Times New Roman"/>
          <w:sz w:val="18"/>
          <w:szCs w:val="18"/>
          <w:lang w:val="pt-BR"/>
        </w:rPr>
        <w:t xml:space="preserve">s de </w:t>
      </w:r>
      <w:r w:rsidR="00E045D9" w:rsidRPr="00D5464D">
        <w:rPr>
          <w:rFonts w:eastAsia="Calibri" w:cs="Times New Roman"/>
          <w:sz w:val="18"/>
          <w:szCs w:val="18"/>
          <w:lang w:val="pt-BR"/>
        </w:rPr>
        <w:t>trabalho</w:t>
      </w:r>
      <w:r w:rsidR="00BA1ACF" w:rsidRPr="00D5464D">
        <w:rPr>
          <w:rFonts w:eastAsia="Calibri" w:cs="Times New Roman"/>
          <w:sz w:val="18"/>
          <w:szCs w:val="18"/>
          <w:lang w:val="pt-BR"/>
        </w:rPr>
        <w:t xml:space="preserve"> </w:t>
      </w:r>
      <w:r w:rsidR="004F1CC2" w:rsidRPr="00D5464D">
        <w:rPr>
          <w:rFonts w:eastAsia="Calibri" w:cs="Times New Roman"/>
          <w:sz w:val="18"/>
          <w:szCs w:val="18"/>
          <w:lang w:val="pt-BR"/>
        </w:rPr>
        <w:t>escravo</w:t>
      </w:r>
      <w:r w:rsidR="00BA1ACF" w:rsidRPr="00D5464D">
        <w:rPr>
          <w:rFonts w:eastAsia="Calibri" w:cs="Times New Roman"/>
          <w:sz w:val="18"/>
          <w:szCs w:val="18"/>
          <w:lang w:val="pt-BR"/>
        </w:rPr>
        <w:t xml:space="preserve"> </w:t>
      </w:r>
      <w:r w:rsidRPr="00D5464D">
        <w:rPr>
          <w:rFonts w:eastAsia="Calibri" w:cs="Times New Roman"/>
          <w:sz w:val="18"/>
          <w:szCs w:val="18"/>
          <w:lang w:val="pt-BR"/>
        </w:rPr>
        <w:t>assim</w:t>
      </w:r>
      <w:r w:rsidR="00BA1ACF" w:rsidRPr="00D5464D">
        <w:rPr>
          <w:rFonts w:eastAsia="Calibri" w:cs="Times New Roman"/>
          <w:sz w:val="18"/>
          <w:szCs w:val="18"/>
          <w:lang w:val="pt-BR"/>
        </w:rPr>
        <w:t xml:space="preserve"> como de </w:t>
      </w:r>
      <w:r w:rsidR="008B075C" w:rsidRPr="00D5464D">
        <w:rPr>
          <w:rFonts w:eastAsia="Calibri" w:cs="Times New Roman"/>
          <w:sz w:val="18"/>
          <w:szCs w:val="18"/>
          <w:lang w:val="pt-BR"/>
        </w:rPr>
        <w:t xml:space="preserve">Iron Canuto </w:t>
      </w:r>
      <w:r w:rsidR="00BE63A6" w:rsidRPr="00D5464D">
        <w:rPr>
          <w:rFonts w:eastAsia="Calibri" w:cs="Times New Roman"/>
          <w:sz w:val="18"/>
          <w:szCs w:val="18"/>
          <w:lang w:val="pt-BR"/>
        </w:rPr>
        <w:t>da Silva</w:t>
      </w:r>
      <w:r w:rsidR="00BA1ACF" w:rsidRPr="00D5464D">
        <w:rPr>
          <w:rFonts w:eastAsia="Calibri" w:cs="Times New Roman"/>
          <w:sz w:val="18"/>
          <w:szCs w:val="18"/>
          <w:lang w:val="pt-BR"/>
        </w:rPr>
        <w:t xml:space="preserve">, </w:t>
      </w:r>
      <w:r w:rsidR="00200C04" w:rsidRPr="00D5464D">
        <w:rPr>
          <w:rFonts w:eastAsia="Calibri" w:cs="Times New Roman"/>
          <w:sz w:val="18"/>
          <w:szCs w:val="18"/>
          <w:lang w:val="pt-BR"/>
        </w:rPr>
        <w:t xml:space="preserve">Luis Ferreira </w:t>
      </w:r>
      <w:r w:rsidR="00867094" w:rsidRPr="00D5464D">
        <w:rPr>
          <w:rFonts w:eastAsia="Calibri" w:cs="Times New Roman"/>
          <w:sz w:val="18"/>
          <w:szCs w:val="18"/>
          <w:lang w:val="pt-BR"/>
        </w:rPr>
        <w:t>da Cruz</w:t>
      </w:r>
      <w:r w:rsidR="00BA1ACF" w:rsidRPr="00D5464D">
        <w:rPr>
          <w:rFonts w:eastAsia="Calibri" w:cs="Times New Roman"/>
          <w:sz w:val="18"/>
          <w:szCs w:val="18"/>
          <w:lang w:val="pt-BR"/>
        </w:rPr>
        <w:t>, A</w:t>
      </w:r>
      <w:r w:rsidR="001F559F" w:rsidRPr="00D5464D">
        <w:rPr>
          <w:rFonts w:eastAsia="Calibri" w:cs="Times New Roman"/>
          <w:sz w:val="18"/>
          <w:szCs w:val="18"/>
          <w:lang w:val="pt-BR"/>
        </w:rPr>
        <w:t>dailton Martins dos Reis,</w:t>
      </w:r>
      <w:r w:rsidR="00E765C2" w:rsidRPr="00D5464D">
        <w:rPr>
          <w:rFonts w:eastAsia="Calibri" w:cs="Times New Roman"/>
          <w:sz w:val="18"/>
          <w:szCs w:val="18"/>
          <w:lang w:val="pt-BR"/>
        </w:rPr>
        <w:t xml:space="preserve"> José </w:t>
      </w:r>
      <w:r w:rsidR="001F559F" w:rsidRPr="00D5464D">
        <w:rPr>
          <w:rFonts w:eastAsia="Calibri" w:cs="Times New Roman"/>
          <w:sz w:val="18"/>
          <w:szCs w:val="18"/>
          <w:lang w:val="pt-BR"/>
        </w:rPr>
        <w:t>S</w:t>
      </w:r>
      <w:r w:rsidR="00BA1ACF" w:rsidRPr="00D5464D">
        <w:rPr>
          <w:rFonts w:eastAsia="Calibri" w:cs="Times New Roman"/>
          <w:sz w:val="18"/>
          <w:szCs w:val="18"/>
          <w:lang w:val="pt-BR"/>
        </w:rPr>
        <w:t xml:space="preserve">oriano da Costa, </w:t>
      </w:r>
      <w:r w:rsidR="00F13FC0" w:rsidRPr="00D5464D">
        <w:rPr>
          <w:rFonts w:eastAsia="Calibri" w:cs="Times New Roman"/>
          <w:sz w:val="18"/>
          <w:szCs w:val="18"/>
          <w:lang w:val="pt-BR"/>
        </w:rPr>
        <w:t xml:space="preserve">bem </w:t>
      </w:r>
      <w:r w:rsidR="00BA1ACF" w:rsidRPr="00D5464D">
        <w:rPr>
          <w:rFonts w:eastAsia="Calibri" w:cs="Times New Roman"/>
          <w:sz w:val="18"/>
          <w:szCs w:val="18"/>
          <w:lang w:val="pt-BR"/>
        </w:rPr>
        <w:t>como</w:t>
      </w:r>
      <w:r w:rsidR="002C330E" w:rsidRPr="00D5464D">
        <w:rPr>
          <w:rFonts w:eastAsia="Calibri" w:cs="Times New Roman"/>
          <w:sz w:val="18"/>
          <w:szCs w:val="18"/>
          <w:lang w:val="pt-BR"/>
        </w:rPr>
        <w:t xml:space="preserve"> os </w:t>
      </w:r>
      <w:r w:rsidR="00BA1ACF" w:rsidRPr="00D5464D">
        <w:rPr>
          <w:rFonts w:eastAsia="Calibri" w:cs="Times New Roman"/>
          <w:sz w:val="18"/>
          <w:szCs w:val="18"/>
          <w:lang w:val="pt-BR"/>
        </w:rPr>
        <w:t>familiares</w:t>
      </w:r>
      <w:r w:rsidRPr="00D5464D">
        <w:rPr>
          <w:rFonts w:eastAsia="Calibri" w:cs="Times New Roman"/>
          <w:sz w:val="18"/>
          <w:szCs w:val="18"/>
          <w:lang w:val="pt-BR"/>
        </w:rPr>
        <w:t xml:space="preserve"> dos </w:t>
      </w:r>
      <w:r w:rsidR="00BA1ACF" w:rsidRPr="00D5464D">
        <w:rPr>
          <w:rFonts w:eastAsia="Calibri" w:cs="Times New Roman"/>
          <w:sz w:val="18"/>
          <w:szCs w:val="18"/>
          <w:lang w:val="pt-BR"/>
        </w:rPr>
        <w:t>do</w:t>
      </w:r>
      <w:r w:rsidR="00F13FC0" w:rsidRPr="00D5464D">
        <w:rPr>
          <w:rFonts w:eastAsia="Calibri" w:cs="Times New Roman"/>
          <w:sz w:val="18"/>
          <w:szCs w:val="18"/>
          <w:lang w:val="pt-BR"/>
        </w:rPr>
        <w:t>i</w:t>
      </w:r>
      <w:r w:rsidR="00BA1ACF" w:rsidRPr="00D5464D">
        <w:rPr>
          <w:rFonts w:eastAsia="Calibri" w:cs="Times New Roman"/>
          <w:sz w:val="18"/>
          <w:szCs w:val="18"/>
          <w:lang w:val="pt-BR"/>
        </w:rPr>
        <w:t xml:space="preserve">s </w:t>
      </w:r>
      <w:r w:rsidR="002C330E" w:rsidRPr="00D5464D">
        <w:rPr>
          <w:rFonts w:eastAsia="Calibri" w:cs="Times New Roman"/>
          <w:sz w:val="18"/>
          <w:szCs w:val="18"/>
          <w:lang w:val="pt-BR"/>
        </w:rPr>
        <w:t>primeiro</w:t>
      </w:r>
      <w:r w:rsidR="00BA1ACF" w:rsidRPr="00D5464D">
        <w:rPr>
          <w:rFonts w:eastAsia="Calibri" w:cs="Times New Roman"/>
          <w:sz w:val="18"/>
          <w:szCs w:val="18"/>
          <w:lang w:val="pt-BR"/>
        </w:rPr>
        <w:t>s,</w:t>
      </w:r>
      <w:r w:rsidR="00E765C2" w:rsidRPr="00D5464D">
        <w:rPr>
          <w:rFonts w:eastAsia="Calibri" w:cs="Times New Roman"/>
          <w:sz w:val="18"/>
          <w:szCs w:val="18"/>
          <w:lang w:val="pt-BR"/>
        </w:rPr>
        <w:t xml:space="preserve"> José </w:t>
      </w:r>
      <w:r w:rsidR="00BA1ACF" w:rsidRPr="00D5464D">
        <w:rPr>
          <w:rFonts w:eastAsia="Calibri" w:cs="Times New Roman"/>
          <w:sz w:val="18"/>
          <w:szCs w:val="18"/>
          <w:lang w:val="pt-BR"/>
        </w:rPr>
        <w:t>Teodoro da Silva</w:t>
      </w:r>
      <w:r w:rsidR="00E045D9" w:rsidRPr="00D5464D">
        <w:rPr>
          <w:rFonts w:eastAsia="Calibri" w:cs="Times New Roman"/>
          <w:sz w:val="18"/>
          <w:szCs w:val="18"/>
          <w:lang w:val="pt-BR"/>
        </w:rPr>
        <w:t xml:space="preserve"> e </w:t>
      </w:r>
      <w:r w:rsidR="00BA1ACF" w:rsidRPr="00D5464D">
        <w:rPr>
          <w:rFonts w:eastAsia="Calibri" w:cs="Times New Roman"/>
          <w:sz w:val="18"/>
          <w:szCs w:val="18"/>
          <w:lang w:val="pt-BR"/>
        </w:rPr>
        <w:t>Miguel Ferreira da Cruz,</w:t>
      </w:r>
      <w:r w:rsidRPr="00D5464D">
        <w:rPr>
          <w:rFonts w:eastAsia="Calibri" w:cs="Times New Roman"/>
          <w:sz w:val="18"/>
          <w:szCs w:val="18"/>
          <w:lang w:val="pt-BR"/>
        </w:rPr>
        <w:t xml:space="preserve"> </w:t>
      </w:r>
      <w:r w:rsidR="00F13FC0" w:rsidRPr="00D5464D">
        <w:rPr>
          <w:rFonts w:eastAsia="Calibri" w:cs="Times New Roman"/>
          <w:sz w:val="18"/>
          <w:szCs w:val="18"/>
          <w:lang w:val="pt-BR"/>
        </w:rPr>
        <w:t>a</w:t>
      </w:r>
      <w:r w:rsidRPr="00D5464D">
        <w:rPr>
          <w:rFonts w:eastAsia="Calibri" w:cs="Times New Roman"/>
          <w:sz w:val="18"/>
          <w:szCs w:val="18"/>
          <w:lang w:val="pt-BR"/>
        </w:rPr>
        <w:t xml:space="preserve"> fim </w:t>
      </w:r>
      <w:r w:rsidR="00BA1ACF" w:rsidRPr="00D5464D">
        <w:rPr>
          <w:rFonts w:eastAsia="Calibri" w:cs="Times New Roman"/>
          <w:sz w:val="18"/>
          <w:szCs w:val="18"/>
          <w:lang w:val="pt-BR"/>
        </w:rPr>
        <w:t xml:space="preserve">de </w:t>
      </w:r>
      <w:r w:rsidR="00737270" w:rsidRPr="00D5464D">
        <w:rPr>
          <w:rFonts w:eastAsia="Calibri" w:cs="Times New Roman"/>
          <w:sz w:val="18"/>
          <w:szCs w:val="18"/>
          <w:lang w:val="pt-BR"/>
        </w:rPr>
        <w:t>repará-l</w:t>
      </w:r>
      <w:r w:rsidR="00BA1ACF" w:rsidRPr="00D5464D">
        <w:rPr>
          <w:rFonts w:eastAsia="Calibri" w:cs="Times New Roman"/>
          <w:sz w:val="18"/>
          <w:szCs w:val="18"/>
          <w:lang w:val="pt-BR"/>
        </w:rPr>
        <w:t>os.</w:t>
      </w:r>
    </w:p>
    <w:p w14:paraId="740784D3" w14:textId="3460C0B0" w:rsidR="00F13FC0" w:rsidRPr="00D5464D" w:rsidRDefault="00BA1ACF" w:rsidP="00F13FC0">
      <w:pPr>
        <w:numPr>
          <w:ilvl w:val="1"/>
          <w:numId w:val="3"/>
        </w:numPr>
        <w:tabs>
          <w:tab w:val="clear" w:pos="4419"/>
          <w:tab w:val="clear" w:pos="8838"/>
          <w:tab w:val="left" w:pos="426"/>
        </w:tabs>
        <w:ind w:left="1701" w:right="29" w:hanging="283"/>
        <w:jc w:val="both"/>
        <w:rPr>
          <w:rFonts w:eastAsia="Calibri" w:cs="Times New Roman"/>
          <w:sz w:val="18"/>
          <w:szCs w:val="18"/>
          <w:lang w:val="pt-BR"/>
        </w:rPr>
      </w:pPr>
      <w:r w:rsidRPr="00D5464D">
        <w:rPr>
          <w:rFonts w:eastAsia="Calibri" w:cs="Times New Roman"/>
          <w:sz w:val="18"/>
          <w:szCs w:val="18"/>
          <w:lang w:val="pt-BR"/>
        </w:rPr>
        <w:t xml:space="preserve">Continuar </w:t>
      </w:r>
      <w:r w:rsidR="00F13FC0" w:rsidRPr="00D5464D">
        <w:rPr>
          <w:rFonts w:eastAsia="Calibri" w:cs="Times New Roman"/>
          <w:sz w:val="18"/>
          <w:szCs w:val="18"/>
          <w:lang w:val="pt-BR"/>
        </w:rPr>
        <w:t xml:space="preserve">a </w:t>
      </w:r>
      <w:r w:rsidRPr="00D5464D">
        <w:rPr>
          <w:rFonts w:eastAsia="Calibri" w:cs="Times New Roman"/>
          <w:sz w:val="18"/>
          <w:szCs w:val="18"/>
          <w:lang w:val="pt-BR"/>
        </w:rPr>
        <w:t>implementa</w:t>
      </w:r>
      <w:r w:rsidR="00F13FC0" w:rsidRPr="00D5464D">
        <w:rPr>
          <w:rFonts w:eastAsia="Calibri" w:cs="Times New Roman"/>
          <w:sz w:val="18"/>
          <w:szCs w:val="18"/>
          <w:lang w:val="pt-BR"/>
        </w:rPr>
        <w:t>r</w:t>
      </w:r>
      <w:r w:rsidR="002C330E" w:rsidRPr="00D5464D">
        <w:rPr>
          <w:rFonts w:eastAsia="Calibri" w:cs="Times New Roman"/>
          <w:sz w:val="18"/>
          <w:szCs w:val="18"/>
          <w:lang w:val="pt-BR"/>
        </w:rPr>
        <w:t xml:space="preserve"> </w:t>
      </w:r>
      <w:r w:rsidRPr="00D5464D">
        <w:rPr>
          <w:rFonts w:eastAsia="Calibri" w:cs="Times New Roman"/>
          <w:sz w:val="18"/>
          <w:szCs w:val="18"/>
          <w:lang w:val="pt-BR"/>
        </w:rPr>
        <w:t>políticas públicas</w:t>
      </w:r>
      <w:r w:rsidR="005D5D36" w:rsidRPr="00D5464D">
        <w:rPr>
          <w:rFonts w:eastAsia="Calibri" w:cs="Times New Roman"/>
          <w:sz w:val="18"/>
          <w:szCs w:val="18"/>
          <w:lang w:val="pt-BR"/>
        </w:rPr>
        <w:t>,</w:t>
      </w:r>
      <w:r w:rsidRPr="00D5464D">
        <w:rPr>
          <w:rFonts w:eastAsia="Calibri" w:cs="Times New Roman"/>
          <w:sz w:val="18"/>
          <w:szCs w:val="18"/>
          <w:lang w:val="pt-BR"/>
        </w:rPr>
        <w:t xml:space="preserve"> </w:t>
      </w:r>
      <w:r w:rsidR="00F13FC0" w:rsidRPr="00D5464D">
        <w:rPr>
          <w:rFonts w:eastAsia="Calibri" w:cs="Times New Roman"/>
          <w:sz w:val="18"/>
          <w:szCs w:val="18"/>
          <w:lang w:val="pt-BR"/>
        </w:rPr>
        <w:t xml:space="preserve">bem </w:t>
      </w:r>
      <w:r w:rsidRPr="00D5464D">
        <w:rPr>
          <w:rFonts w:eastAsia="Calibri" w:cs="Times New Roman"/>
          <w:sz w:val="18"/>
          <w:szCs w:val="18"/>
          <w:lang w:val="pt-BR"/>
        </w:rPr>
        <w:t>como medidas legislativas</w:t>
      </w:r>
      <w:r w:rsidR="00E045D9" w:rsidRPr="00D5464D">
        <w:rPr>
          <w:rFonts w:eastAsia="Calibri" w:cs="Times New Roman"/>
          <w:sz w:val="18"/>
          <w:szCs w:val="18"/>
          <w:lang w:val="pt-BR"/>
        </w:rPr>
        <w:t xml:space="preserve"> e </w:t>
      </w:r>
      <w:r w:rsidRPr="00D5464D">
        <w:rPr>
          <w:rFonts w:eastAsia="Calibri" w:cs="Times New Roman"/>
          <w:sz w:val="18"/>
          <w:szCs w:val="18"/>
          <w:lang w:val="pt-BR"/>
        </w:rPr>
        <w:t>de</w:t>
      </w:r>
      <w:r w:rsidR="002C330E" w:rsidRPr="00D5464D">
        <w:rPr>
          <w:rFonts w:eastAsia="Calibri" w:cs="Times New Roman"/>
          <w:sz w:val="18"/>
          <w:szCs w:val="18"/>
          <w:lang w:val="pt-BR"/>
        </w:rPr>
        <w:t xml:space="preserve"> outra </w:t>
      </w:r>
      <w:r w:rsidR="00F13FC0" w:rsidRPr="00D5464D">
        <w:rPr>
          <w:rFonts w:eastAsia="Calibri" w:cs="Times New Roman"/>
          <w:sz w:val="18"/>
          <w:szCs w:val="18"/>
          <w:lang w:val="pt-BR"/>
        </w:rPr>
        <w:t xml:space="preserve">natureza </w:t>
      </w:r>
      <w:r w:rsidR="00717308" w:rsidRPr="00D5464D">
        <w:rPr>
          <w:rFonts w:eastAsia="Calibri" w:cs="Times New Roman"/>
          <w:sz w:val="18"/>
          <w:szCs w:val="18"/>
          <w:lang w:val="pt-BR"/>
        </w:rPr>
        <w:t>voltadas à</w:t>
      </w:r>
      <w:r w:rsidR="00FF1290" w:rsidRPr="00D5464D">
        <w:rPr>
          <w:rFonts w:eastAsia="Calibri" w:cs="Times New Roman"/>
          <w:sz w:val="18"/>
          <w:szCs w:val="18"/>
          <w:lang w:val="pt-BR"/>
        </w:rPr>
        <w:t xml:space="preserve"> </w:t>
      </w:r>
      <w:r w:rsidRPr="00D5464D">
        <w:rPr>
          <w:rFonts w:eastAsia="Calibri" w:cs="Times New Roman"/>
          <w:sz w:val="18"/>
          <w:szCs w:val="18"/>
          <w:lang w:val="pt-BR"/>
        </w:rPr>
        <w:t>erradica</w:t>
      </w:r>
      <w:r w:rsidR="00470ADC" w:rsidRPr="00D5464D">
        <w:rPr>
          <w:rFonts w:eastAsia="Calibri" w:cs="Times New Roman"/>
          <w:sz w:val="18"/>
          <w:szCs w:val="18"/>
          <w:lang w:val="pt-BR"/>
        </w:rPr>
        <w:t>ção</w:t>
      </w:r>
      <w:r w:rsidRPr="00D5464D">
        <w:rPr>
          <w:rFonts w:eastAsia="Calibri" w:cs="Times New Roman"/>
          <w:sz w:val="18"/>
          <w:szCs w:val="18"/>
          <w:lang w:val="pt-BR"/>
        </w:rPr>
        <w:t xml:space="preserve"> </w:t>
      </w:r>
      <w:r w:rsidR="00470ADC" w:rsidRPr="00D5464D">
        <w:rPr>
          <w:rFonts w:eastAsia="Calibri" w:cs="Times New Roman"/>
          <w:sz w:val="18"/>
          <w:szCs w:val="18"/>
          <w:lang w:val="pt-BR"/>
        </w:rPr>
        <w:t xml:space="preserve">do </w:t>
      </w:r>
      <w:r w:rsidR="00E045D9" w:rsidRPr="00D5464D">
        <w:rPr>
          <w:rFonts w:eastAsia="Calibri" w:cs="Times New Roman"/>
          <w:sz w:val="18"/>
          <w:szCs w:val="18"/>
          <w:lang w:val="pt-BR"/>
        </w:rPr>
        <w:t>trabalho</w:t>
      </w:r>
      <w:r w:rsidRPr="00D5464D">
        <w:rPr>
          <w:rFonts w:eastAsia="Calibri" w:cs="Times New Roman"/>
          <w:sz w:val="18"/>
          <w:szCs w:val="18"/>
          <w:lang w:val="pt-BR"/>
        </w:rPr>
        <w:t xml:space="preserve"> </w:t>
      </w:r>
      <w:r w:rsidR="004F1CC2" w:rsidRPr="00D5464D">
        <w:rPr>
          <w:rFonts w:eastAsia="Calibri" w:cs="Times New Roman"/>
          <w:sz w:val="18"/>
          <w:szCs w:val="18"/>
          <w:lang w:val="pt-BR"/>
        </w:rPr>
        <w:t>escravo</w:t>
      </w:r>
      <w:r w:rsidR="00C91CB1" w:rsidRPr="00D5464D">
        <w:rPr>
          <w:rFonts w:eastAsia="Calibri" w:cs="Times New Roman"/>
          <w:sz w:val="18"/>
          <w:szCs w:val="18"/>
          <w:lang w:val="pt-BR"/>
        </w:rPr>
        <w:t xml:space="preserve">. Em </w:t>
      </w:r>
      <w:r w:rsidRPr="00D5464D">
        <w:rPr>
          <w:rFonts w:eastAsia="Calibri" w:cs="Times New Roman"/>
          <w:sz w:val="18"/>
          <w:szCs w:val="18"/>
          <w:lang w:val="pt-BR"/>
        </w:rPr>
        <w:t>especial,</w:t>
      </w:r>
      <w:r w:rsidR="00470ADC" w:rsidRPr="00D5464D">
        <w:rPr>
          <w:rFonts w:eastAsia="Calibri" w:cs="Times New Roman"/>
          <w:sz w:val="18"/>
          <w:szCs w:val="18"/>
          <w:lang w:val="pt-BR"/>
        </w:rPr>
        <w:t xml:space="preserve"> o </w:t>
      </w:r>
      <w:r w:rsidRPr="00D5464D">
        <w:rPr>
          <w:rFonts w:eastAsia="Calibri" w:cs="Times New Roman"/>
          <w:sz w:val="18"/>
          <w:szCs w:val="18"/>
          <w:lang w:val="pt-BR"/>
        </w:rPr>
        <w:t>Estado</w:t>
      </w:r>
      <w:r w:rsidR="00470ADC" w:rsidRPr="00D5464D">
        <w:rPr>
          <w:rFonts w:eastAsia="Calibri" w:cs="Times New Roman"/>
          <w:sz w:val="18"/>
          <w:szCs w:val="18"/>
          <w:lang w:val="pt-BR"/>
        </w:rPr>
        <w:t xml:space="preserve"> deve </w:t>
      </w:r>
      <w:r w:rsidR="00E765C2" w:rsidRPr="00D5464D">
        <w:rPr>
          <w:rFonts w:eastAsia="Calibri" w:cs="Times New Roman"/>
          <w:sz w:val="18"/>
          <w:szCs w:val="18"/>
          <w:lang w:val="pt-BR"/>
        </w:rPr>
        <w:t>monitorar</w:t>
      </w:r>
      <w:r w:rsidR="002C330E" w:rsidRPr="00D5464D">
        <w:rPr>
          <w:rFonts w:eastAsia="Calibri" w:cs="Times New Roman"/>
          <w:sz w:val="18"/>
          <w:szCs w:val="18"/>
          <w:lang w:val="pt-BR"/>
        </w:rPr>
        <w:t xml:space="preserve"> a </w:t>
      </w:r>
      <w:r w:rsidRPr="00D5464D">
        <w:rPr>
          <w:rFonts w:eastAsia="Calibri" w:cs="Times New Roman"/>
          <w:sz w:val="18"/>
          <w:szCs w:val="18"/>
          <w:lang w:val="pt-BR"/>
        </w:rPr>
        <w:t>aplica</w:t>
      </w:r>
      <w:r w:rsidR="00470ADC" w:rsidRPr="00D5464D">
        <w:rPr>
          <w:rFonts w:eastAsia="Calibri" w:cs="Times New Roman"/>
          <w:sz w:val="18"/>
          <w:szCs w:val="18"/>
          <w:lang w:val="pt-BR"/>
        </w:rPr>
        <w:t>ção</w:t>
      </w:r>
      <w:r w:rsidR="00E045D9" w:rsidRPr="00D5464D">
        <w:rPr>
          <w:rFonts w:eastAsia="Calibri" w:cs="Times New Roman"/>
          <w:sz w:val="18"/>
          <w:szCs w:val="18"/>
          <w:lang w:val="pt-BR"/>
        </w:rPr>
        <w:t xml:space="preserve"> e </w:t>
      </w:r>
      <w:r w:rsidR="00F13FC0" w:rsidRPr="00D5464D">
        <w:rPr>
          <w:rFonts w:eastAsia="Calibri" w:cs="Times New Roman"/>
          <w:sz w:val="18"/>
          <w:szCs w:val="18"/>
          <w:lang w:val="pt-BR"/>
        </w:rPr>
        <w:t>puni</w:t>
      </w:r>
      <w:r w:rsidR="00470ADC" w:rsidRPr="00D5464D">
        <w:rPr>
          <w:rFonts w:eastAsia="Calibri" w:cs="Times New Roman"/>
          <w:sz w:val="18"/>
          <w:szCs w:val="18"/>
          <w:lang w:val="pt-BR"/>
        </w:rPr>
        <w:t>ção</w:t>
      </w:r>
      <w:r w:rsidRPr="00D5464D">
        <w:rPr>
          <w:rFonts w:eastAsia="Calibri" w:cs="Times New Roman"/>
          <w:sz w:val="18"/>
          <w:szCs w:val="18"/>
          <w:lang w:val="pt-BR"/>
        </w:rPr>
        <w:t xml:space="preserve"> de </w:t>
      </w:r>
      <w:r w:rsidR="002C330E" w:rsidRPr="00D5464D">
        <w:rPr>
          <w:rFonts w:eastAsia="Calibri" w:cs="Times New Roman"/>
          <w:sz w:val="18"/>
          <w:szCs w:val="18"/>
          <w:lang w:val="pt-BR"/>
        </w:rPr>
        <w:t>pessoa</w:t>
      </w:r>
      <w:r w:rsidRPr="00D5464D">
        <w:rPr>
          <w:rFonts w:eastAsia="Calibri" w:cs="Times New Roman"/>
          <w:sz w:val="18"/>
          <w:szCs w:val="18"/>
          <w:lang w:val="pt-BR"/>
        </w:rPr>
        <w:t xml:space="preserve">s </w:t>
      </w:r>
      <w:r w:rsidR="002C330E" w:rsidRPr="00D5464D">
        <w:rPr>
          <w:rFonts w:eastAsia="Calibri" w:cs="Times New Roman"/>
          <w:sz w:val="18"/>
          <w:szCs w:val="18"/>
          <w:lang w:val="pt-BR"/>
        </w:rPr>
        <w:t>responsáveis</w:t>
      </w:r>
      <w:r w:rsidRPr="00D5464D">
        <w:rPr>
          <w:rFonts w:eastAsia="Calibri" w:cs="Times New Roman"/>
          <w:sz w:val="18"/>
          <w:szCs w:val="18"/>
          <w:lang w:val="pt-BR"/>
        </w:rPr>
        <w:t xml:space="preserve"> </w:t>
      </w:r>
      <w:r w:rsidR="00F13FC0" w:rsidRPr="00D5464D">
        <w:rPr>
          <w:rFonts w:eastAsia="Calibri" w:cs="Times New Roman"/>
          <w:sz w:val="18"/>
          <w:szCs w:val="18"/>
          <w:lang w:val="pt-BR"/>
        </w:rPr>
        <w:t>pelo</w:t>
      </w:r>
      <w:r w:rsidRPr="00D5464D">
        <w:rPr>
          <w:rFonts w:eastAsia="Calibri" w:cs="Times New Roman"/>
          <w:sz w:val="18"/>
          <w:szCs w:val="18"/>
          <w:lang w:val="pt-BR"/>
        </w:rPr>
        <w:t xml:space="preserve"> </w:t>
      </w:r>
      <w:r w:rsidR="00E045D9" w:rsidRPr="00D5464D">
        <w:rPr>
          <w:rFonts w:eastAsia="Calibri" w:cs="Times New Roman"/>
          <w:sz w:val="18"/>
          <w:szCs w:val="18"/>
          <w:lang w:val="pt-BR"/>
        </w:rPr>
        <w:t>trabalho</w:t>
      </w:r>
      <w:r w:rsidRPr="00D5464D">
        <w:rPr>
          <w:rFonts w:eastAsia="Calibri" w:cs="Times New Roman"/>
          <w:sz w:val="18"/>
          <w:szCs w:val="18"/>
          <w:lang w:val="pt-BR"/>
        </w:rPr>
        <w:t xml:space="preserve"> </w:t>
      </w:r>
      <w:r w:rsidR="004F1CC2" w:rsidRPr="00D5464D">
        <w:rPr>
          <w:rFonts w:eastAsia="Calibri" w:cs="Times New Roman"/>
          <w:sz w:val="18"/>
          <w:szCs w:val="18"/>
          <w:lang w:val="pt-BR"/>
        </w:rPr>
        <w:t>escravo</w:t>
      </w:r>
      <w:r w:rsidRPr="00D5464D">
        <w:rPr>
          <w:rFonts w:eastAsia="Calibri" w:cs="Times New Roman"/>
          <w:sz w:val="18"/>
          <w:szCs w:val="18"/>
          <w:lang w:val="pt-BR"/>
        </w:rPr>
        <w:t>,</w:t>
      </w:r>
      <w:r w:rsidR="00470ADC" w:rsidRPr="00D5464D">
        <w:rPr>
          <w:rFonts w:eastAsia="Calibri" w:cs="Times New Roman"/>
          <w:sz w:val="18"/>
          <w:szCs w:val="18"/>
          <w:lang w:val="pt-BR"/>
        </w:rPr>
        <w:t xml:space="preserve"> em </w:t>
      </w:r>
      <w:r w:rsidRPr="00D5464D">
        <w:rPr>
          <w:rFonts w:eastAsia="Calibri" w:cs="Times New Roman"/>
          <w:sz w:val="18"/>
          <w:szCs w:val="18"/>
          <w:lang w:val="pt-BR"/>
        </w:rPr>
        <w:t>todos</w:t>
      </w:r>
      <w:r w:rsidR="002C330E" w:rsidRPr="00D5464D">
        <w:rPr>
          <w:rFonts w:eastAsia="Calibri" w:cs="Times New Roman"/>
          <w:sz w:val="18"/>
          <w:szCs w:val="18"/>
          <w:lang w:val="pt-BR"/>
        </w:rPr>
        <w:t xml:space="preserve"> os níveis</w:t>
      </w:r>
      <w:r w:rsidRPr="00D5464D">
        <w:rPr>
          <w:rFonts w:eastAsia="Calibri" w:cs="Times New Roman"/>
          <w:sz w:val="18"/>
          <w:szCs w:val="18"/>
          <w:lang w:val="pt-BR"/>
        </w:rPr>
        <w:t>.</w:t>
      </w:r>
    </w:p>
    <w:p w14:paraId="138EB3B6" w14:textId="77777777" w:rsidR="00F13FC0" w:rsidRPr="00D5464D" w:rsidRDefault="00BA1ACF" w:rsidP="00F13FC0">
      <w:pPr>
        <w:numPr>
          <w:ilvl w:val="1"/>
          <w:numId w:val="3"/>
        </w:numPr>
        <w:tabs>
          <w:tab w:val="clear" w:pos="4419"/>
          <w:tab w:val="clear" w:pos="8838"/>
          <w:tab w:val="left" w:pos="426"/>
        </w:tabs>
        <w:ind w:left="1701" w:right="29" w:hanging="283"/>
        <w:jc w:val="both"/>
        <w:rPr>
          <w:rFonts w:eastAsia="Calibri" w:cs="Times New Roman"/>
          <w:sz w:val="18"/>
          <w:szCs w:val="18"/>
          <w:lang w:val="pt-BR"/>
        </w:rPr>
      </w:pPr>
      <w:r w:rsidRPr="00D5464D">
        <w:rPr>
          <w:rFonts w:eastAsia="Calibri" w:cs="Times New Roman"/>
          <w:sz w:val="18"/>
          <w:szCs w:val="18"/>
          <w:lang w:val="pt-BR"/>
        </w:rPr>
        <w:t>Fortalecer</w:t>
      </w:r>
      <w:r w:rsidR="00470ADC" w:rsidRPr="00D5464D">
        <w:rPr>
          <w:rFonts w:eastAsia="Calibri" w:cs="Times New Roman"/>
          <w:sz w:val="18"/>
          <w:szCs w:val="18"/>
          <w:lang w:val="pt-BR"/>
        </w:rPr>
        <w:t xml:space="preserve"> o </w:t>
      </w:r>
      <w:r w:rsidRPr="00D5464D">
        <w:rPr>
          <w:rFonts w:eastAsia="Calibri" w:cs="Times New Roman"/>
          <w:sz w:val="18"/>
          <w:szCs w:val="18"/>
          <w:lang w:val="pt-BR"/>
        </w:rPr>
        <w:t xml:space="preserve">sistema </w:t>
      </w:r>
      <w:r w:rsidR="00F13FC0" w:rsidRPr="00D5464D">
        <w:rPr>
          <w:rFonts w:eastAsia="Calibri" w:cs="Times New Roman"/>
          <w:sz w:val="18"/>
          <w:szCs w:val="18"/>
          <w:lang w:val="pt-BR"/>
        </w:rPr>
        <w:t xml:space="preserve">jurídico </w:t>
      </w:r>
      <w:r w:rsidR="00E045D9" w:rsidRPr="00D5464D">
        <w:rPr>
          <w:rFonts w:eastAsia="Calibri" w:cs="Times New Roman"/>
          <w:sz w:val="18"/>
          <w:szCs w:val="18"/>
          <w:lang w:val="pt-BR"/>
        </w:rPr>
        <w:t xml:space="preserve">e </w:t>
      </w:r>
      <w:r w:rsidR="00470ADC" w:rsidRPr="00D5464D">
        <w:rPr>
          <w:rFonts w:eastAsia="Calibri" w:cs="Times New Roman"/>
          <w:sz w:val="18"/>
          <w:szCs w:val="18"/>
          <w:lang w:val="pt-BR"/>
        </w:rPr>
        <w:t>criar</w:t>
      </w:r>
      <w:r w:rsidRPr="00D5464D">
        <w:rPr>
          <w:rFonts w:eastAsia="Calibri" w:cs="Times New Roman"/>
          <w:sz w:val="18"/>
          <w:szCs w:val="18"/>
          <w:lang w:val="pt-BR"/>
        </w:rPr>
        <w:t xml:space="preserve"> mecanismos de </w:t>
      </w:r>
      <w:r w:rsidR="00470ADC" w:rsidRPr="00D5464D">
        <w:rPr>
          <w:rFonts w:eastAsia="Calibri" w:cs="Times New Roman"/>
          <w:sz w:val="18"/>
          <w:szCs w:val="18"/>
          <w:lang w:val="pt-BR"/>
        </w:rPr>
        <w:t>coordenação</w:t>
      </w:r>
      <w:r w:rsidRPr="00D5464D">
        <w:rPr>
          <w:rFonts w:eastAsia="Calibri" w:cs="Times New Roman"/>
          <w:sz w:val="18"/>
          <w:szCs w:val="18"/>
          <w:lang w:val="pt-BR"/>
        </w:rPr>
        <w:t xml:space="preserve"> entre</w:t>
      </w:r>
      <w:r w:rsidR="002C330E" w:rsidRPr="00D5464D">
        <w:rPr>
          <w:rFonts w:eastAsia="Calibri" w:cs="Times New Roman"/>
          <w:sz w:val="18"/>
          <w:szCs w:val="18"/>
          <w:lang w:val="pt-BR"/>
        </w:rPr>
        <w:t xml:space="preserve"> a jurisdição</w:t>
      </w:r>
      <w:r w:rsidRPr="00D5464D">
        <w:rPr>
          <w:rFonts w:eastAsia="Calibri" w:cs="Times New Roman"/>
          <w:sz w:val="18"/>
          <w:szCs w:val="18"/>
          <w:lang w:val="pt-BR"/>
        </w:rPr>
        <w:t xml:space="preserve"> penal</w:t>
      </w:r>
      <w:r w:rsidR="00E045D9" w:rsidRPr="00D5464D">
        <w:rPr>
          <w:rFonts w:eastAsia="Calibri" w:cs="Times New Roman"/>
          <w:sz w:val="18"/>
          <w:szCs w:val="18"/>
          <w:lang w:val="pt-BR"/>
        </w:rPr>
        <w:t xml:space="preserve"> e </w:t>
      </w:r>
      <w:r w:rsidR="002C330E" w:rsidRPr="00D5464D">
        <w:rPr>
          <w:rFonts w:eastAsia="Calibri" w:cs="Times New Roman"/>
          <w:sz w:val="18"/>
          <w:szCs w:val="18"/>
          <w:lang w:val="pt-BR"/>
        </w:rPr>
        <w:t>a jurisdição</w:t>
      </w:r>
      <w:r w:rsidRPr="00D5464D">
        <w:rPr>
          <w:rFonts w:eastAsia="Calibri" w:cs="Times New Roman"/>
          <w:sz w:val="18"/>
          <w:szCs w:val="18"/>
          <w:lang w:val="pt-BR"/>
        </w:rPr>
        <w:t xml:space="preserve"> </w:t>
      </w:r>
      <w:r w:rsidR="00F13FC0" w:rsidRPr="00D5464D">
        <w:rPr>
          <w:rFonts w:eastAsia="Calibri" w:cs="Times New Roman"/>
          <w:sz w:val="18"/>
          <w:szCs w:val="18"/>
          <w:lang w:val="pt-BR"/>
        </w:rPr>
        <w:t>trabalhista</w:t>
      </w:r>
      <w:r w:rsidRPr="00D5464D">
        <w:rPr>
          <w:rFonts w:eastAsia="Calibri" w:cs="Times New Roman"/>
          <w:sz w:val="18"/>
          <w:szCs w:val="18"/>
          <w:lang w:val="pt-BR"/>
        </w:rPr>
        <w:t xml:space="preserve"> para superar</w:t>
      </w:r>
      <w:r w:rsidR="002C330E" w:rsidRPr="00D5464D">
        <w:rPr>
          <w:rFonts w:eastAsia="Calibri" w:cs="Times New Roman"/>
          <w:sz w:val="18"/>
          <w:szCs w:val="18"/>
          <w:lang w:val="pt-BR"/>
        </w:rPr>
        <w:t xml:space="preserve"> os </w:t>
      </w:r>
      <w:r w:rsidR="00E045D9" w:rsidRPr="00D5464D">
        <w:rPr>
          <w:rFonts w:eastAsia="Calibri" w:cs="Times New Roman"/>
          <w:sz w:val="18"/>
          <w:szCs w:val="18"/>
          <w:lang w:val="pt-BR"/>
        </w:rPr>
        <w:t>vazio</w:t>
      </w:r>
      <w:r w:rsidRPr="00D5464D">
        <w:rPr>
          <w:rFonts w:eastAsia="Calibri" w:cs="Times New Roman"/>
          <w:sz w:val="18"/>
          <w:szCs w:val="18"/>
          <w:lang w:val="pt-BR"/>
        </w:rPr>
        <w:t xml:space="preserve">s </w:t>
      </w:r>
      <w:r w:rsidR="00F13FC0" w:rsidRPr="00D5464D">
        <w:rPr>
          <w:rFonts w:eastAsia="Calibri" w:cs="Times New Roman"/>
          <w:sz w:val="18"/>
          <w:szCs w:val="18"/>
          <w:lang w:val="pt-BR"/>
        </w:rPr>
        <w:t xml:space="preserve">existentes </w:t>
      </w:r>
      <w:r w:rsidR="00E045D9" w:rsidRPr="00D5464D">
        <w:rPr>
          <w:rFonts w:eastAsia="Calibri" w:cs="Times New Roman"/>
          <w:sz w:val="18"/>
          <w:szCs w:val="18"/>
          <w:lang w:val="pt-BR"/>
        </w:rPr>
        <w:t xml:space="preserve">na </w:t>
      </w:r>
      <w:r w:rsidRPr="00D5464D">
        <w:rPr>
          <w:rFonts w:eastAsia="Calibri" w:cs="Times New Roman"/>
          <w:sz w:val="18"/>
          <w:szCs w:val="18"/>
          <w:lang w:val="pt-BR"/>
        </w:rPr>
        <w:t>investiga</w:t>
      </w:r>
      <w:r w:rsidR="00470ADC" w:rsidRPr="00D5464D">
        <w:rPr>
          <w:rFonts w:eastAsia="Calibri" w:cs="Times New Roman"/>
          <w:sz w:val="18"/>
          <w:szCs w:val="18"/>
          <w:lang w:val="pt-BR"/>
        </w:rPr>
        <w:t>ção</w:t>
      </w:r>
      <w:r w:rsidRPr="00D5464D">
        <w:rPr>
          <w:rFonts w:eastAsia="Calibri" w:cs="Times New Roman"/>
          <w:sz w:val="18"/>
          <w:szCs w:val="18"/>
          <w:lang w:val="pt-BR"/>
        </w:rPr>
        <w:t xml:space="preserve">, </w:t>
      </w:r>
      <w:r w:rsidR="002C330E" w:rsidRPr="00D5464D">
        <w:rPr>
          <w:rFonts w:eastAsia="Calibri" w:cs="Times New Roman"/>
          <w:sz w:val="18"/>
          <w:szCs w:val="18"/>
          <w:lang w:val="pt-BR"/>
        </w:rPr>
        <w:t>processamento</w:t>
      </w:r>
      <w:r w:rsidR="00E045D9" w:rsidRPr="00D5464D">
        <w:rPr>
          <w:rFonts w:eastAsia="Calibri" w:cs="Times New Roman"/>
          <w:sz w:val="18"/>
          <w:szCs w:val="18"/>
          <w:lang w:val="pt-BR"/>
        </w:rPr>
        <w:t xml:space="preserve"> e </w:t>
      </w:r>
      <w:r w:rsidR="00F13FC0" w:rsidRPr="00D5464D">
        <w:rPr>
          <w:rFonts w:eastAsia="Calibri" w:cs="Times New Roman"/>
          <w:sz w:val="18"/>
          <w:szCs w:val="18"/>
          <w:lang w:val="pt-BR"/>
        </w:rPr>
        <w:t>puni</w:t>
      </w:r>
      <w:r w:rsidR="00470ADC" w:rsidRPr="00D5464D">
        <w:rPr>
          <w:rFonts w:eastAsia="Calibri" w:cs="Times New Roman"/>
          <w:sz w:val="18"/>
          <w:szCs w:val="18"/>
          <w:lang w:val="pt-BR"/>
        </w:rPr>
        <w:t xml:space="preserve">ção das </w:t>
      </w:r>
      <w:r w:rsidR="002C330E" w:rsidRPr="00D5464D">
        <w:rPr>
          <w:rFonts w:eastAsia="Calibri" w:cs="Times New Roman"/>
          <w:sz w:val="18"/>
          <w:szCs w:val="18"/>
          <w:lang w:val="pt-BR"/>
        </w:rPr>
        <w:t>pessoa</w:t>
      </w:r>
      <w:r w:rsidRPr="00D5464D">
        <w:rPr>
          <w:rFonts w:eastAsia="Calibri" w:cs="Times New Roman"/>
          <w:sz w:val="18"/>
          <w:szCs w:val="18"/>
          <w:lang w:val="pt-BR"/>
        </w:rPr>
        <w:t xml:space="preserve">s </w:t>
      </w:r>
      <w:r w:rsidR="00350187" w:rsidRPr="00D5464D">
        <w:rPr>
          <w:rFonts w:eastAsia="Calibri" w:cs="Times New Roman"/>
          <w:sz w:val="18"/>
          <w:szCs w:val="18"/>
          <w:lang w:val="pt-BR"/>
        </w:rPr>
        <w:t>responsáveis pelo</w:t>
      </w:r>
      <w:r w:rsidR="00470ADC" w:rsidRPr="00D5464D">
        <w:rPr>
          <w:rFonts w:eastAsia="Calibri" w:cs="Times New Roman"/>
          <w:sz w:val="18"/>
          <w:szCs w:val="18"/>
          <w:lang w:val="pt-BR"/>
        </w:rPr>
        <w:t xml:space="preserve">s </w:t>
      </w:r>
      <w:r w:rsidRPr="00D5464D">
        <w:rPr>
          <w:rFonts w:eastAsia="Calibri" w:cs="Times New Roman"/>
          <w:sz w:val="18"/>
          <w:szCs w:val="18"/>
          <w:lang w:val="pt-BR"/>
        </w:rPr>
        <w:t xml:space="preserve">delitos de </w:t>
      </w:r>
      <w:r w:rsidR="000B376D" w:rsidRPr="00D5464D">
        <w:rPr>
          <w:rFonts w:eastAsia="Calibri" w:cs="Times New Roman"/>
          <w:sz w:val="18"/>
          <w:szCs w:val="18"/>
          <w:lang w:val="pt-BR"/>
        </w:rPr>
        <w:t>servidão</w:t>
      </w:r>
      <w:r w:rsidR="00E045D9" w:rsidRPr="00D5464D">
        <w:rPr>
          <w:rFonts w:eastAsia="Calibri" w:cs="Times New Roman"/>
          <w:sz w:val="18"/>
          <w:szCs w:val="18"/>
          <w:lang w:val="pt-BR"/>
        </w:rPr>
        <w:t xml:space="preserve"> e trabalho</w:t>
      </w:r>
      <w:r w:rsidRPr="00D5464D">
        <w:rPr>
          <w:rFonts w:eastAsia="Calibri" w:cs="Times New Roman"/>
          <w:sz w:val="18"/>
          <w:szCs w:val="18"/>
          <w:lang w:val="pt-BR"/>
        </w:rPr>
        <w:t xml:space="preserve"> </w:t>
      </w:r>
      <w:r w:rsidR="00230C71" w:rsidRPr="00D5464D">
        <w:rPr>
          <w:rFonts w:eastAsia="Calibri" w:cs="Times New Roman"/>
          <w:sz w:val="18"/>
          <w:szCs w:val="18"/>
          <w:lang w:val="pt-BR"/>
        </w:rPr>
        <w:t>forçado</w:t>
      </w:r>
      <w:r w:rsidRPr="00D5464D">
        <w:rPr>
          <w:rFonts w:eastAsia="Calibri" w:cs="Times New Roman"/>
          <w:sz w:val="18"/>
          <w:szCs w:val="18"/>
          <w:lang w:val="pt-BR"/>
        </w:rPr>
        <w:t>.</w:t>
      </w:r>
    </w:p>
    <w:p w14:paraId="491D2A10" w14:textId="1CAB305C" w:rsidR="00F13FC0" w:rsidRPr="00D5464D" w:rsidRDefault="00F13FC0" w:rsidP="00F13FC0">
      <w:pPr>
        <w:numPr>
          <w:ilvl w:val="1"/>
          <w:numId w:val="3"/>
        </w:numPr>
        <w:tabs>
          <w:tab w:val="clear" w:pos="4419"/>
          <w:tab w:val="clear" w:pos="8838"/>
          <w:tab w:val="left" w:pos="426"/>
        </w:tabs>
        <w:ind w:left="1701" w:right="29" w:hanging="283"/>
        <w:jc w:val="both"/>
        <w:rPr>
          <w:rFonts w:eastAsia="Calibri" w:cs="Times New Roman"/>
          <w:sz w:val="18"/>
          <w:szCs w:val="18"/>
          <w:lang w:val="pt-BR"/>
        </w:rPr>
      </w:pPr>
      <w:r w:rsidRPr="00D5464D">
        <w:rPr>
          <w:rFonts w:eastAsia="Calibri" w:cs="Times New Roman"/>
          <w:sz w:val="18"/>
          <w:szCs w:val="18"/>
          <w:lang w:val="pt-BR"/>
        </w:rPr>
        <w:t>Z</w:t>
      </w:r>
      <w:r w:rsidR="00BA1ACF" w:rsidRPr="00D5464D">
        <w:rPr>
          <w:rFonts w:eastAsia="Calibri" w:cs="Times New Roman"/>
          <w:sz w:val="18"/>
          <w:szCs w:val="18"/>
          <w:lang w:val="pt-BR"/>
        </w:rPr>
        <w:t>elar</w:t>
      </w:r>
      <w:r w:rsidR="002C330E" w:rsidRPr="00D5464D">
        <w:rPr>
          <w:rFonts w:eastAsia="Calibri" w:cs="Times New Roman"/>
          <w:sz w:val="18"/>
          <w:szCs w:val="18"/>
          <w:lang w:val="pt-BR"/>
        </w:rPr>
        <w:t xml:space="preserve"> pelo </w:t>
      </w:r>
      <w:r w:rsidR="00A1358C" w:rsidRPr="00D5464D">
        <w:rPr>
          <w:rFonts w:eastAsia="Calibri" w:cs="Times New Roman"/>
          <w:sz w:val="18"/>
          <w:szCs w:val="18"/>
          <w:lang w:val="pt-BR"/>
        </w:rPr>
        <w:t>estrit</w:t>
      </w:r>
      <w:r w:rsidR="00BA1ACF" w:rsidRPr="00D5464D">
        <w:rPr>
          <w:rFonts w:eastAsia="Calibri" w:cs="Times New Roman"/>
          <w:sz w:val="18"/>
          <w:szCs w:val="18"/>
          <w:lang w:val="pt-BR"/>
        </w:rPr>
        <w:t xml:space="preserve">o </w:t>
      </w:r>
      <w:r w:rsidR="00470ADC" w:rsidRPr="00D5464D">
        <w:rPr>
          <w:rFonts w:eastAsia="Calibri" w:cs="Times New Roman"/>
          <w:sz w:val="18"/>
          <w:szCs w:val="18"/>
          <w:lang w:val="pt-BR"/>
        </w:rPr>
        <w:t xml:space="preserve">cumprimento das </w:t>
      </w:r>
      <w:r w:rsidR="002C330E" w:rsidRPr="00D5464D">
        <w:rPr>
          <w:rFonts w:eastAsia="Calibri" w:cs="Times New Roman"/>
          <w:sz w:val="18"/>
          <w:szCs w:val="18"/>
          <w:lang w:val="pt-BR"/>
        </w:rPr>
        <w:t>leis</w:t>
      </w:r>
      <w:r w:rsidR="00BA1ACF" w:rsidRPr="00D5464D">
        <w:rPr>
          <w:rFonts w:eastAsia="Calibri" w:cs="Times New Roman"/>
          <w:sz w:val="18"/>
          <w:szCs w:val="18"/>
          <w:lang w:val="pt-BR"/>
        </w:rPr>
        <w:t xml:space="preserve"> </w:t>
      </w:r>
      <w:r w:rsidRPr="00D5464D">
        <w:rPr>
          <w:rFonts w:eastAsia="Calibri" w:cs="Times New Roman"/>
          <w:sz w:val="18"/>
          <w:szCs w:val="18"/>
          <w:lang w:val="pt-BR"/>
        </w:rPr>
        <w:t xml:space="preserve">trabalhistas </w:t>
      </w:r>
      <w:r w:rsidR="00BA1ACF" w:rsidRPr="00D5464D">
        <w:rPr>
          <w:rFonts w:eastAsia="Calibri" w:cs="Times New Roman"/>
          <w:sz w:val="18"/>
          <w:szCs w:val="18"/>
          <w:lang w:val="pt-BR"/>
        </w:rPr>
        <w:t>relativas</w:t>
      </w:r>
      <w:r w:rsidR="00E045D9" w:rsidRPr="00D5464D">
        <w:rPr>
          <w:rFonts w:eastAsia="Calibri" w:cs="Times New Roman"/>
          <w:sz w:val="18"/>
          <w:szCs w:val="18"/>
          <w:lang w:val="pt-BR"/>
        </w:rPr>
        <w:t xml:space="preserve"> às </w:t>
      </w:r>
      <w:r w:rsidR="00BA1ACF" w:rsidRPr="00D5464D">
        <w:rPr>
          <w:rFonts w:eastAsia="Calibri" w:cs="Times New Roman"/>
          <w:sz w:val="18"/>
          <w:szCs w:val="18"/>
          <w:lang w:val="pt-BR"/>
        </w:rPr>
        <w:t xml:space="preserve">jornadas </w:t>
      </w:r>
      <w:r w:rsidRPr="00D5464D">
        <w:rPr>
          <w:rFonts w:eastAsia="Calibri" w:cs="Times New Roman"/>
          <w:sz w:val="18"/>
          <w:szCs w:val="18"/>
          <w:lang w:val="pt-BR"/>
        </w:rPr>
        <w:t xml:space="preserve">trabalhistas </w:t>
      </w:r>
      <w:r w:rsidR="00E045D9" w:rsidRPr="00D5464D">
        <w:rPr>
          <w:rFonts w:eastAsia="Calibri" w:cs="Times New Roman"/>
          <w:sz w:val="18"/>
          <w:szCs w:val="18"/>
          <w:lang w:val="pt-BR"/>
        </w:rPr>
        <w:t xml:space="preserve">e </w:t>
      </w:r>
      <w:r w:rsidRPr="00D5464D">
        <w:rPr>
          <w:rFonts w:eastAsia="Calibri" w:cs="Times New Roman"/>
          <w:sz w:val="18"/>
          <w:szCs w:val="18"/>
          <w:lang w:val="pt-BR"/>
        </w:rPr>
        <w:t>a</w:t>
      </w:r>
      <w:r w:rsidR="00470ADC" w:rsidRPr="00D5464D">
        <w:rPr>
          <w:rFonts w:eastAsia="Calibri" w:cs="Times New Roman"/>
          <w:sz w:val="18"/>
          <w:szCs w:val="18"/>
          <w:lang w:val="pt-BR"/>
        </w:rPr>
        <w:t xml:space="preserve">o </w:t>
      </w:r>
      <w:r w:rsidR="002C330E" w:rsidRPr="00D5464D">
        <w:rPr>
          <w:rFonts w:eastAsia="Calibri" w:cs="Times New Roman"/>
          <w:sz w:val="18"/>
          <w:szCs w:val="18"/>
          <w:lang w:val="pt-BR"/>
        </w:rPr>
        <w:t>pagamento</w:t>
      </w:r>
      <w:r w:rsidR="00470ADC" w:rsidRPr="00D5464D">
        <w:rPr>
          <w:rFonts w:eastAsia="Calibri" w:cs="Times New Roman"/>
          <w:sz w:val="18"/>
          <w:szCs w:val="18"/>
          <w:lang w:val="pt-BR"/>
        </w:rPr>
        <w:t xml:space="preserve"> em </w:t>
      </w:r>
      <w:r w:rsidR="002C330E" w:rsidRPr="00D5464D">
        <w:rPr>
          <w:rFonts w:eastAsia="Calibri" w:cs="Times New Roman"/>
          <w:sz w:val="18"/>
          <w:szCs w:val="18"/>
          <w:lang w:val="pt-BR"/>
        </w:rPr>
        <w:t xml:space="preserve">igualdade </w:t>
      </w:r>
      <w:r w:rsidR="00470ADC" w:rsidRPr="00D5464D">
        <w:rPr>
          <w:rFonts w:eastAsia="Calibri" w:cs="Times New Roman"/>
          <w:sz w:val="18"/>
          <w:szCs w:val="18"/>
          <w:lang w:val="pt-BR"/>
        </w:rPr>
        <w:t>com</w:t>
      </w:r>
      <w:r w:rsidR="002C330E" w:rsidRPr="00D5464D">
        <w:rPr>
          <w:rFonts w:eastAsia="Calibri" w:cs="Times New Roman"/>
          <w:sz w:val="18"/>
          <w:szCs w:val="18"/>
          <w:lang w:val="pt-BR"/>
        </w:rPr>
        <w:t xml:space="preserve"> os </w:t>
      </w:r>
      <w:r w:rsidR="00C16021" w:rsidRPr="00D5464D">
        <w:rPr>
          <w:rFonts w:eastAsia="Calibri" w:cs="Times New Roman"/>
          <w:sz w:val="18"/>
          <w:szCs w:val="18"/>
          <w:lang w:val="pt-BR"/>
        </w:rPr>
        <w:t>demais</w:t>
      </w:r>
      <w:r w:rsidR="00BA1ACF" w:rsidRPr="00D5464D">
        <w:rPr>
          <w:rFonts w:eastAsia="Calibri" w:cs="Times New Roman"/>
          <w:sz w:val="18"/>
          <w:szCs w:val="18"/>
          <w:lang w:val="pt-BR"/>
        </w:rPr>
        <w:t xml:space="preserve"> </w:t>
      </w:r>
      <w:r w:rsidR="00E045D9" w:rsidRPr="00D5464D">
        <w:rPr>
          <w:rFonts w:eastAsia="Calibri" w:cs="Times New Roman"/>
          <w:sz w:val="18"/>
          <w:szCs w:val="18"/>
          <w:lang w:val="pt-BR"/>
        </w:rPr>
        <w:t>trabalhadores</w:t>
      </w:r>
      <w:r w:rsidR="00BA1ACF" w:rsidRPr="00D5464D">
        <w:rPr>
          <w:rFonts w:eastAsia="Calibri" w:cs="Times New Roman"/>
          <w:sz w:val="18"/>
          <w:szCs w:val="18"/>
          <w:lang w:val="pt-BR"/>
        </w:rPr>
        <w:t xml:space="preserve"> </w:t>
      </w:r>
      <w:r w:rsidR="00C16021" w:rsidRPr="00D5464D">
        <w:rPr>
          <w:rFonts w:eastAsia="Calibri" w:cs="Times New Roman"/>
          <w:sz w:val="18"/>
          <w:szCs w:val="18"/>
          <w:lang w:val="pt-BR"/>
        </w:rPr>
        <w:t>assalariados</w:t>
      </w:r>
      <w:r w:rsidR="00BA1ACF" w:rsidRPr="00D5464D">
        <w:rPr>
          <w:rFonts w:eastAsia="Calibri" w:cs="Times New Roman"/>
          <w:sz w:val="18"/>
          <w:szCs w:val="18"/>
          <w:lang w:val="pt-BR"/>
        </w:rPr>
        <w:t xml:space="preserve">. </w:t>
      </w:r>
    </w:p>
    <w:p w14:paraId="3A146379" w14:textId="1AB81B12" w:rsidR="00BA1ACF" w:rsidRPr="00D5464D" w:rsidRDefault="00470ADC" w:rsidP="00F13FC0">
      <w:pPr>
        <w:numPr>
          <w:ilvl w:val="1"/>
          <w:numId w:val="3"/>
        </w:numPr>
        <w:tabs>
          <w:tab w:val="clear" w:pos="4419"/>
          <w:tab w:val="clear" w:pos="8838"/>
          <w:tab w:val="left" w:pos="426"/>
        </w:tabs>
        <w:ind w:left="1701" w:right="29" w:hanging="283"/>
        <w:jc w:val="both"/>
        <w:rPr>
          <w:rFonts w:eastAsia="Calibri" w:cs="Times New Roman"/>
          <w:sz w:val="18"/>
          <w:szCs w:val="18"/>
          <w:lang w:val="pt-BR"/>
        </w:rPr>
      </w:pPr>
      <w:r w:rsidRPr="00D5464D">
        <w:rPr>
          <w:rFonts w:eastAsia="Calibri" w:cs="Times New Roman"/>
          <w:sz w:val="18"/>
          <w:szCs w:val="18"/>
          <w:lang w:val="pt-BR"/>
        </w:rPr>
        <w:t>Adot</w:t>
      </w:r>
      <w:r w:rsidR="00BA1ACF" w:rsidRPr="00D5464D">
        <w:rPr>
          <w:rFonts w:eastAsia="Calibri" w:cs="Times New Roman"/>
          <w:sz w:val="18"/>
          <w:szCs w:val="18"/>
          <w:lang w:val="pt-BR"/>
        </w:rPr>
        <w:t>ar</w:t>
      </w:r>
      <w:r w:rsidR="002C330E" w:rsidRPr="00D5464D">
        <w:rPr>
          <w:rFonts w:eastAsia="Calibri" w:cs="Times New Roman"/>
          <w:sz w:val="18"/>
          <w:szCs w:val="18"/>
          <w:lang w:val="pt-BR"/>
        </w:rPr>
        <w:t xml:space="preserve"> as </w:t>
      </w:r>
      <w:r w:rsidR="00BA1ACF" w:rsidRPr="00D5464D">
        <w:rPr>
          <w:rFonts w:eastAsia="Calibri" w:cs="Times New Roman"/>
          <w:sz w:val="18"/>
          <w:szCs w:val="18"/>
          <w:lang w:val="pt-BR"/>
        </w:rPr>
        <w:t xml:space="preserve">medidas </w:t>
      </w:r>
      <w:r w:rsidR="002C330E" w:rsidRPr="00D5464D">
        <w:rPr>
          <w:rFonts w:eastAsia="Calibri" w:cs="Times New Roman"/>
          <w:sz w:val="18"/>
          <w:szCs w:val="18"/>
          <w:lang w:val="pt-BR"/>
        </w:rPr>
        <w:t>necessári</w:t>
      </w:r>
      <w:r w:rsidR="00BA1ACF" w:rsidRPr="00D5464D">
        <w:rPr>
          <w:rFonts w:eastAsia="Calibri" w:cs="Times New Roman"/>
          <w:sz w:val="18"/>
          <w:szCs w:val="18"/>
          <w:lang w:val="pt-BR"/>
        </w:rPr>
        <w:t>as para erradicar todo tipo de discrimina</w:t>
      </w:r>
      <w:r w:rsidRPr="00D5464D">
        <w:rPr>
          <w:rFonts w:eastAsia="Calibri" w:cs="Times New Roman"/>
          <w:sz w:val="18"/>
          <w:szCs w:val="18"/>
          <w:lang w:val="pt-BR"/>
        </w:rPr>
        <w:t>ção</w:t>
      </w:r>
      <w:r w:rsidR="00BA1ACF" w:rsidRPr="00D5464D">
        <w:rPr>
          <w:rFonts w:eastAsia="Calibri" w:cs="Times New Roman"/>
          <w:sz w:val="18"/>
          <w:szCs w:val="18"/>
          <w:lang w:val="pt-BR"/>
        </w:rPr>
        <w:t xml:space="preserve"> racial, </w:t>
      </w:r>
      <w:r w:rsidR="00F13FC0" w:rsidRPr="00D5464D">
        <w:rPr>
          <w:rFonts w:eastAsia="Calibri" w:cs="Times New Roman"/>
          <w:sz w:val="18"/>
          <w:szCs w:val="18"/>
          <w:lang w:val="pt-BR"/>
        </w:rPr>
        <w:t xml:space="preserve">especialmente realizar </w:t>
      </w:r>
      <w:r w:rsidRPr="00D5464D">
        <w:rPr>
          <w:rFonts w:eastAsia="Calibri" w:cs="Times New Roman"/>
          <w:sz w:val="18"/>
          <w:szCs w:val="18"/>
          <w:lang w:val="pt-BR"/>
        </w:rPr>
        <w:t>campanha</w:t>
      </w:r>
      <w:r w:rsidR="00BA1ACF" w:rsidRPr="00D5464D">
        <w:rPr>
          <w:rFonts w:eastAsia="Calibri" w:cs="Times New Roman"/>
          <w:sz w:val="18"/>
          <w:szCs w:val="18"/>
          <w:lang w:val="pt-BR"/>
        </w:rPr>
        <w:t>s de promo</w:t>
      </w:r>
      <w:r w:rsidRPr="00D5464D">
        <w:rPr>
          <w:rFonts w:eastAsia="Calibri" w:cs="Times New Roman"/>
          <w:sz w:val="18"/>
          <w:szCs w:val="18"/>
          <w:lang w:val="pt-BR"/>
        </w:rPr>
        <w:t>ção</w:t>
      </w:r>
      <w:r w:rsidR="00BA1ACF" w:rsidRPr="00D5464D">
        <w:rPr>
          <w:rFonts w:eastAsia="Calibri" w:cs="Times New Roman"/>
          <w:sz w:val="18"/>
          <w:szCs w:val="18"/>
          <w:lang w:val="pt-BR"/>
        </w:rPr>
        <w:t xml:space="preserve"> para con</w:t>
      </w:r>
      <w:r w:rsidR="00F13FC0" w:rsidRPr="00D5464D">
        <w:rPr>
          <w:rFonts w:eastAsia="Calibri" w:cs="Times New Roman"/>
          <w:sz w:val="18"/>
          <w:szCs w:val="18"/>
          <w:lang w:val="pt-BR"/>
        </w:rPr>
        <w:t>s</w:t>
      </w:r>
      <w:r w:rsidR="00BA1ACF" w:rsidRPr="00D5464D">
        <w:rPr>
          <w:rFonts w:eastAsia="Calibri" w:cs="Times New Roman"/>
          <w:sz w:val="18"/>
          <w:szCs w:val="18"/>
          <w:lang w:val="pt-BR"/>
        </w:rPr>
        <w:t>cientizar</w:t>
      </w:r>
      <w:r w:rsidRPr="00D5464D">
        <w:rPr>
          <w:rFonts w:eastAsia="Calibri" w:cs="Times New Roman"/>
          <w:sz w:val="18"/>
          <w:szCs w:val="18"/>
          <w:lang w:val="pt-BR"/>
        </w:rPr>
        <w:t xml:space="preserve"> </w:t>
      </w:r>
      <w:r w:rsidR="00F13FC0" w:rsidRPr="00D5464D">
        <w:rPr>
          <w:rFonts w:eastAsia="Calibri" w:cs="Times New Roman"/>
          <w:sz w:val="18"/>
          <w:szCs w:val="18"/>
          <w:lang w:val="pt-BR"/>
        </w:rPr>
        <w:t>a</w:t>
      </w:r>
      <w:r w:rsidRPr="00D5464D">
        <w:rPr>
          <w:rFonts w:eastAsia="Calibri" w:cs="Times New Roman"/>
          <w:sz w:val="18"/>
          <w:szCs w:val="18"/>
          <w:lang w:val="pt-BR"/>
        </w:rPr>
        <w:t xml:space="preserve"> </w:t>
      </w:r>
      <w:r w:rsidR="002C330E" w:rsidRPr="00D5464D">
        <w:rPr>
          <w:rFonts w:eastAsia="Calibri" w:cs="Times New Roman"/>
          <w:sz w:val="18"/>
          <w:szCs w:val="18"/>
          <w:lang w:val="pt-BR"/>
        </w:rPr>
        <w:t>população</w:t>
      </w:r>
      <w:r w:rsidR="00BA1ACF" w:rsidRPr="00D5464D">
        <w:rPr>
          <w:rFonts w:eastAsia="Calibri" w:cs="Times New Roman"/>
          <w:sz w:val="18"/>
          <w:szCs w:val="18"/>
          <w:lang w:val="pt-BR"/>
        </w:rPr>
        <w:t xml:space="preserve"> nacional</w:t>
      </w:r>
      <w:r w:rsidR="00E045D9" w:rsidRPr="00D5464D">
        <w:rPr>
          <w:rFonts w:eastAsia="Calibri" w:cs="Times New Roman"/>
          <w:sz w:val="18"/>
          <w:szCs w:val="18"/>
          <w:lang w:val="pt-BR"/>
        </w:rPr>
        <w:t xml:space="preserve"> e </w:t>
      </w:r>
      <w:r w:rsidR="002C330E" w:rsidRPr="00D5464D">
        <w:rPr>
          <w:rFonts w:eastAsia="Calibri" w:cs="Times New Roman"/>
          <w:sz w:val="18"/>
          <w:szCs w:val="18"/>
          <w:lang w:val="pt-BR"/>
        </w:rPr>
        <w:t>funcionári</w:t>
      </w:r>
      <w:r w:rsidR="00BA1ACF" w:rsidRPr="00D5464D">
        <w:rPr>
          <w:rFonts w:eastAsia="Calibri" w:cs="Times New Roman"/>
          <w:sz w:val="18"/>
          <w:szCs w:val="18"/>
          <w:lang w:val="pt-BR"/>
        </w:rPr>
        <w:t xml:space="preserve">os </w:t>
      </w:r>
      <w:r w:rsidRPr="00D5464D">
        <w:rPr>
          <w:rFonts w:eastAsia="Calibri" w:cs="Times New Roman"/>
          <w:sz w:val="18"/>
          <w:szCs w:val="18"/>
          <w:lang w:val="pt-BR"/>
        </w:rPr>
        <w:t xml:space="preserve">do </w:t>
      </w:r>
      <w:r w:rsidR="00BA1ACF" w:rsidRPr="00D5464D">
        <w:rPr>
          <w:rFonts w:eastAsia="Calibri" w:cs="Times New Roman"/>
          <w:sz w:val="18"/>
          <w:szCs w:val="18"/>
          <w:lang w:val="pt-BR"/>
        </w:rPr>
        <w:t xml:space="preserve">Estado, </w:t>
      </w:r>
      <w:r w:rsidR="002C330E" w:rsidRPr="00D5464D">
        <w:rPr>
          <w:rFonts w:eastAsia="Calibri" w:cs="Times New Roman"/>
          <w:sz w:val="18"/>
          <w:szCs w:val="18"/>
          <w:lang w:val="pt-BR"/>
        </w:rPr>
        <w:t>incluíd</w:t>
      </w:r>
      <w:r w:rsidR="00BA1ACF" w:rsidRPr="00D5464D">
        <w:rPr>
          <w:rFonts w:eastAsia="Calibri" w:cs="Times New Roman"/>
          <w:sz w:val="18"/>
          <w:szCs w:val="18"/>
          <w:lang w:val="pt-BR"/>
        </w:rPr>
        <w:t>os</w:t>
      </w:r>
      <w:r w:rsidR="002C330E" w:rsidRPr="00D5464D">
        <w:rPr>
          <w:rFonts w:eastAsia="Calibri" w:cs="Times New Roman"/>
          <w:sz w:val="18"/>
          <w:szCs w:val="18"/>
          <w:lang w:val="pt-BR"/>
        </w:rPr>
        <w:t xml:space="preserve"> os </w:t>
      </w:r>
      <w:r w:rsidR="00BA1ACF" w:rsidRPr="00D5464D">
        <w:rPr>
          <w:rFonts w:eastAsia="Calibri" w:cs="Times New Roman"/>
          <w:sz w:val="18"/>
          <w:szCs w:val="18"/>
          <w:lang w:val="pt-BR"/>
        </w:rPr>
        <w:t xml:space="preserve">operadores de </w:t>
      </w:r>
      <w:r w:rsidR="002C330E" w:rsidRPr="00D5464D">
        <w:rPr>
          <w:rFonts w:eastAsia="Calibri" w:cs="Times New Roman"/>
          <w:sz w:val="18"/>
          <w:szCs w:val="18"/>
          <w:lang w:val="pt-BR"/>
        </w:rPr>
        <w:t>justiça</w:t>
      </w:r>
      <w:r w:rsidR="00BA1ACF" w:rsidRPr="00D5464D">
        <w:rPr>
          <w:rFonts w:eastAsia="Calibri" w:cs="Times New Roman"/>
          <w:sz w:val="18"/>
          <w:szCs w:val="18"/>
          <w:lang w:val="pt-BR"/>
        </w:rPr>
        <w:t xml:space="preserve">, </w:t>
      </w:r>
      <w:r w:rsidR="00F13FC0" w:rsidRPr="00D5464D">
        <w:rPr>
          <w:rFonts w:eastAsia="Calibri" w:cs="Times New Roman"/>
          <w:sz w:val="18"/>
          <w:szCs w:val="18"/>
          <w:lang w:val="pt-BR"/>
        </w:rPr>
        <w:t>a respeito d</w:t>
      </w:r>
      <w:r w:rsidR="002C330E" w:rsidRPr="00D5464D">
        <w:rPr>
          <w:rFonts w:eastAsia="Calibri" w:cs="Times New Roman"/>
          <w:sz w:val="18"/>
          <w:szCs w:val="18"/>
          <w:lang w:val="pt-BR"/>
        </w:rPr>
        <w:t xml:space="preserve">a </w:t>
      </w:r>
      <w:r w:rsidR="00BA1ACF" w:rsidRPr="00D5464D">
        <w:rPr>
          <w:rFonts w:eastAsia="Calibri" w:cs="Times New Roman"/>
          <w:sz w:val="18"/>
          <w:szCs w:val="18"/>
          <w:lang w:val="pt-BR"/>
        </w:rPr>
        <w:t>discrimina</w:t>
      </w:r>
      <w:r w:rsidRPr="00D5464D">
        <w:rPr>
          <w:rFonts w:eastAsia="Calibri" w:cs="Times New Roman"/>
          <w:sz w:val="18"/>
          <w:szCs w:val="18"/>
          <w:lang w:val="pt-BR"/>
        </w:rPr>
        <w:t>ção</w:t>
      </w:r>
      <w:r w:rsidR="00E045D9" w:rsidRPr="00D5464D">
        <w:rPr>
          <w:rFonts w:eastAsia="Calibri" w:cs="Times New Roman"/>
          <w:sz w:val="18"/>
          <w:szCs w:val="18"/>
          <w:lang w:val="pt-BR"/>
        </w:rPr>
        <w:t xml:space="preserve"> e </w:t>
      </w:r>
      <w:r w:rsidR="00F13FC0" w:rsidRPr="00D5464D">
        <w:rPr>
          <w:rFonts w:eastAsia="Calibri" w:cs="Times New Roman"/>
          <w:sz w:val="18"/>
          <w:szCs w:val="18"/>
          <w:lang w:val="pt-BR"/>
        </w:rPr>
        <w:t xml:space="preserve">da sujeição à </w:t>
      </w:r>
      <w:r w:rsidR="000B376D" w:rsidRPr="00D5464D">
        <w:rPr>
          <w:rFonts w:eastAsia="Calibri" w:cs="Times New Roman"/>
          <w:sz w:val="18"/>
          <w:szCs w:val="18"/>
          <w:lang w:val="pt-BR"/>
        </w:rPr>
        <w:t>servidão</w:t>
      </w:r>
      <w:r w:rsidR="00E045D9" w:rsidRPr="00D5464D">
        <w:rPr>
          <w:rFonts w:eastAsia="Calibri" w:cs="Times New Roman"/>
          <w:sz w:val="18"/>
          <w:szCs w:val="18"/>
          <w:lang w:val="pt-BR"/>
        </w:rPr>
        <w:t xml:space="preserve"> e </w:t>
      </w:r>
      <w:r w:rsidR="00F13FC0" w:rsidRPr="00D5464D">
        <w:rPr>
          <w:rFonts w:eastAsia="Calibri" w:cs="Times New Roman"/>
          <w:sz w:val="18"/>
          <w:szCs w:val="18"/>
          <w:lang w:val="pt-BR"/>
        </w:rPr>
        <w:t xml:space="preserve">ao </w:t>
      </w:r>
      <w:r w:rsidR="00E045D9" w:rsidRPr="00D5464D">
        <w:rPr>
          <w:rFonts w:eastAsia="Calibri" w:cs="Times New Roman"/>
          <w:sz w:val="18"/>
          <w:szCs w:val="18"/>
          <w:lang w:val="pt-BR"/>
        </w:rPr>
        <w:t>trabalho</w:t>
      </w:r>
      <w:r w:rsidR="00BA1ACF" w:rsidRPr="00D5464D">
        <w:rPr>
          <w:rFonts w:eastAsia="Calibri" w:cs="Times New Roman"/>
          <w:sz w:val="18"/>
          <w:szCs w:val="18"/>
          <w:lang w:val="pt-BR"/>
        </w:rPr>
        <w:t xml:space="preserve"> </w:t>
      </w:r>
      <w:r w:rsidR="00230C71" w:rsidRPr="00D5464D">
        <w:rPr>
          <w:rFonts w:eastAsia="Calibri" w:cs="Times New Roman"/>
          <w:sz w:val="18"/>
          <w:szCs w:val="18"/>
          <w:lang w:val="pt-BR"/>
        </w:rPr>
        <w:t>forçado</w:t>
      </w:r>
      <w:r w:rsidR="00BA1ACF" w:rsidRPr="00D5464D">
        <w:rPr>
          <w:rFonts w:eastAsia="Calibri" w:cs="Times New Roman"/>
          <w:sz w:val="18"/>
          <w:szCs w:val="18"/>
          <w:lang w:val="pt-BR"/>
        </w:rPr>
        <w:t xml:space="preserve">. </w:t>
      </w:r>
    </w:p>
    <w:p w14:paraId="3B38DF04" w14:textId="77777777" w:rsidR="00BA1ACF" w:rsidRPr="00D5464D" w:rsidRDefault="00BA1ACF" w:rsidP="00140440">
      <w:pPr>
        <w:tabs>
          <w:tab w:val="clear" w:pos="4419"/>
          <w:tab w:val="clear" w:pos="8838"/>
        </w:tabs>
        <w:ind w:right="4"/>
        <w:jc w:val="both"/>
        <w:rPr>
          <w:rFonts w:eastAsia="Batang" w:cs="Times"/>
          <w:i/>
          <w:szCs w:val="20"/>
          <w:lang w:val="pt-BR"/>
        </w:rPr>
      </w:pPr>
    </w:p>
    <w:p w14:paraId="0FD06FED" w14:textId="3B1BA678" w:rsidR="00BA1ACF" w:rsidRPr="00D5464D" w:rsidRDefault="00BA1ACF" w:rsidP="00140440">
      <w:pPr>
        <w:numPr>
          <w:ilvl w:val="0"/>
          <w:numId w:val="2"/>
        </w:numPr>
        <w:tabs>
          <w:tab w:val="clear" w:pos="4419"/>
          <w:tab w:val="clear" w:pos="8838"/>
          <w:tab w:val="left" w:pos="567"/>
          <w:tab w:val="left" w:pos="1134"/>
        </w:tabs>
        <w:autoSpaceDE w:val="0"/>
        <w:autoSpaceDN w:val="0"/>
        <w:adjustRightInd w:val="0"/>
        <w:jc w:val="both"/>
        <w:rPr>
          <w:rFonts w:eastAsia="Batang" w:cs="Times"/>
          <w:b/>
          <w:i/>
          <w:szCs w:val="24"/>
          <w:lang w:val="pt-BR"/>
        </w:rPr>
      </w:pPr>
      <w:r w:rsidRPr="00D5464D">
        <w:rPr>
          <w:rFonts w:eastAsia="Batang" w:cs="Times"/>
          <w:i/>
          <w:szCs w:val="24"/>
          <w:lang w:val="pt-BR"/>
        </w:rPr>
        <w:t xml:space="preserve"> </w:t>
      </w:r>
      <w:r w:rsidRPr="00D5464D">
        <w:rPr>
          <w:rFonts w:eastAsia="Batang" w:cs="Times"/>
          <w:i/>
          <w:szCs w:val="24"/>
          <w:lang w:val="pt-BR"/>
        </w:rPr>
        <w:tab/>
        <w:t>Notifica</w:t>
      </w:r>
      <w:r w:rsidR="00470ADC" w:rsidRPr="00D5464D">
        <w:rPr>
          <w:rFonts w:eastAsia="Batang" w:cs="Times"/>
          <w:i/>
          <w:szCs w:val="24"/>
          <w:lang w:val="pt-BR"/>
        </w:rPr>
        <w:t xml:space="preserve">ção ao </w:t>
      </w:r>
      <w:r w:rsidRPr="00D5464D">
        <w:rPr>
          <w:rFonts w:eastAsia="Batang" w:cs="Times"/>
          <w:i/>
          <w:szCs w:val="24"/>
          <w:lang w:val="pt-BR"/>
        </w:rPr>
        <w:t>Estado. –</w:t>
      </w:r>
      <w:r w:rsidR="00470ADC" w:rsidRPr="00D5464D">
        <w:rPr>
          <w:rFonts w:eastAsia="Batang" w:cs="Times"/>
          <w:i/>
          <w:szCs w:val="24"/>
          <w:lang w:val="pt-BR"/>
        </w:rPr>
        <w:t xml:space="preserve"> </w:t>
      </w:r>
      <w:r w:rsidR="004E5926" w:rsidRPr="00D5464D">
        <w:rPr>
          <w:rFonts w:eastAsia="Batang" w:cs="Times"/>
          <w:szCs w:val="24"/>
          <w:lang w:val="pt-BR"/>
        </w:rPr>
        <w:t>O</w:t>
      </w:r>
      <w:r w:rsidR="002C330E" w:rsidRPr="00D5464D">
        <w:rPr>
          <w:rFonts w:eastAsia="Batang" w:cs="Times"/>
          <w:szCs w:val="24"/>
          <w:lang w:val="pt-BR"/>
        </w:rPr>
        <w:t xml:space="preserve"> </w:t>
      </w:r>
      <w:r w:rsidR="00350187" w:rsidRPr="00D5464D">
        <w:rPr>
          <w:rFonts w:eastAsia="Batang" w:cs="Times"/>
          <w:szCs w:val="24"/>
          <w:lang w:val="pt-BR"/>
        </w:rPr>
        <w:t>Relatório</w:t>
      </w:r>
      <w:r w:rsidR="002C330E" w:rsidRPr="00D5464D">
        <w:rPr>
          <w:rFonts w:eastAsia="Batang" w:cs="Times"/>
          <w:szCs w:val="24"/>
          <w:lang w:val="pt-BR"/>
        </w:rPr>
        <w:t xml:space="preserve"> de Admissibilidade</w:t>
      </w:r>
      <w:r w:rsidR="00E045D9" w:rsidRPr="00D5464D">
        <w:rPr>
          <w:rFonts w:eastAsia="Batang" w:cs="Times"/>
          <w:szCs w:val="24"/>
          <w:lang w:val="pt-BR"/>
        </w:rPr>
        <w:t xml:space="preserve"> e </w:t>
      </w:r>
      <w:r w:rsidR="00470ADC" w:rsidRPr="00D5464D">
        <w:rPr>
          <w:rFonts w:eastAsia="Batang" w:cs="Times"/>
          <w:szCs w:val="24"/>
          <w:lang w:val="pt-BR"/>
        </w:rPr>
        <w:t xml:space="preserve">Mérito foi </w:t>
      </w:r>
      <w:r w:rsidRPr="00D5464D">
        <w:rPr>
          <w:rFonts w:eastAsia="Batang" w:cs="Times"/>
          <w:szCs w:val="24"/>
          <w:lang w:val="pt-BR"/>
        </w:rPr>
        <w:t>notificado</w:t>
      </w:r>
      <w:r w:rsidR="00470ADC" w:rsidRPr="00D5464D">
        <w:rPr>
          <w:rFonts w:eastAsia="Batang" w:cs="Times"/>
          <w:szCs w:val="24"/>
          <w:lang w:val="pt-BR"/>
        </w:rPr>
        <w:t xml:space="preserve"> ao </w:t>
      </w:r>
      <w:r w:rsidRPr="00D5464D">
        <w:rPr>
          <w:rFonts w:eastAsia="Batang" w:cs="Times"/>
          <w:szCs w:val="24"/>
          <w:lang w:val="pt-BR"/>
        </w:rPr>
        <w:t>Estado mediante comunica</w:t>
      </w:r>
      <w:r w:rsidR="00470ADC" w:rsidRPr="00D5464D">
        <w:rPr>
          <w:rFonts w:eastAsia="Batang" w:cs="Times"/>
          <w:szCs w:val="24"/>
          <w:lang w:val="pt-BR"/>
        </w:rPr>
        <w:t>ção</w:t>
      </w:r>
      <w:r w:rsidRPr="00D5464D">
        <w:rPr>
          <w:rFonts w:eastAsia="Batang" w:cs="Times"/>
          <w:szCs w:val="24"/>
          <w:lang w:val="pt-BR"/>
        </w:rPr>
        <w:t xml:space="preserve"> de 4 de </w:t>
      </w:r>
      <w:r w:rsidR="00470ADC" w:rsidRPr="00D5464D">
        <w:rPr>
          <w:rFonts w:eastAsia="Batang" w:cs="Times"/>
          <w:szCs w:val="24"/>
          <w:lang w:val="pt-BR"/>
        </w:rPr>
        <w:t>janeiro</w:t>
      </w:r>
      <w:r w:rsidRPr="00D5464D">
        <w:rPr>
          <w:rFonts w:eastAsia="Batang" w:cs="Times"/>
          <w:szCs w:val="24"/>
          <w:lang w:val="pt-BR"/>
        </w:rPr>
        <w:t xml:space="preserve"> de 2012,</w:t>
      </w:r>
      <w:r w:rsidR="00E045D9" w:rsidRPr="00D5464D">
        <w:rPr>
          <w:rFonts w:eastAsia="Batang" w:cs="Times"/>
          <w:szCs w:val="24"/>
          <w:lang w:val="pt-BR"/>
        </w:rPr>
        <w:t xml:space="preserve"> na </w:t>
      </w:r>
      <w:r w:rsidR="004E5926" w:rsidRPr="00D5464D">
        <w:rPr>
          <w:rFonts w:eastAsia="Batang" w:cs="Times"/>
          <w:szCs w:val="24"/>
          <w:lang w:val="pt-BR"/>
        </w:rPr>
        <w:t>qual</w:t>
      </w:r>
      <w:r w:rsidRPr="00D5464D">
        <w:rPr>
          <w:rFonts w:eastAsia="Batang" w:cs="Times"/>
          <w:szCs w:val="24"/>
          <w:lang w:val="pt-BR"/>
        </w:rPr>
        <w:t xml:space="preserve"> </w:t>
      </w:r>
      <w:r w:rsidR="004E5926" w:rsidRPr="00D5464D">
        <w:rPr>
          <w:rFonts w:eastAsia="Batang" w:cs="Times"/>
          <w:szCs w:val="24"/>
          <w:lang w:val="pt-BR"/>
        </w:rPr>
        <w:t xml:space="preserve">foi concedido </w:t>
      </w:r>
      <w:r w:rsidR="00E045D9" w:rsidRPr="00D5464D">
        <w:rPr>
          <w:rFonts w:eastAsia="Batang" w:cs="Times"/>
          <w:szCs w:val="24"/>
          <w:lang w:val="pt-BR"/>
        </w:rPr>
        <w:t xml:space="preserve">um </w:t>
      </w:r>
      <w:r w:rsidR="002C330E" w:rsidRPr="00D5464D">
        <w:rPr>
          <w:rFonts w:eastAsia="Batang" w:cs="Times"/>
          <w:szCs w:val="24"/>
          <w:lang w:val="pt-BR"/>
        </w:rPr>
        <w:t>prazo</w:t>
      </w:r>
      <w:r w:rsidRPr="00D5464D">
        <w:rPr>
          <w:rFonts w:eastAsia="Batang" w:cs="Times"/>
          <w:szCs w:val="24"/>
          <w:lang w:val="pt-BR"/>
        </w:rPr>
        <w:t xml:space="preserve"> de</w:t>
      </w:r>
      <w:r w:rsidR="00470ADC" w:rsidRPr="00D5464D">
        <w:rPr>
          <w:rFonts w:eastAsia="Batang" w:cs="Times"/>
          <w:szCs w:val="24"/>
          <w:lang w:val="pt-BR"/>
        </w:rPr>
        <w:t xml:space="preserve"> dois meses</w:t>
      </w:r>
      <w:r w:rsidRPr="00D5464D">
        <w:rPr>
          <w:rFonts w:eastAsia="Batang" w:cs="Times"/>
          <w:szCs w:val="24"/>
          <w:lang w:val="pt-BR"/>
        </w:rPr>
        <w:t xml:space="preserve"> para informar sobre</w:t>
      </w:r>
      <w:r w:rsidR="00470ADC" w:rsidRPr="00D5464D">
        <w:rPr>
          <w:rFonts w:eastAsia="Batang" w:cs="Times"/>
          <w:szCs w:val="24"/>
          <w:lang w:val="pt-BR"/>
        </w:rPr>
        <w:t xml:space="preserve"> o cumprimento das </w:t>
      </w:r>
      <w:r w:rsidRPr="00D5464D">
        <w:rPr>
          <w:rFonts w:eastAsia="Batang" w:cs="Times"/>
          <w:szCs w:val="24"/>
          <w:lang w:val="pt-BR"/>
        </w:rPr>
        <w:t>recomenda</w:t>
      </w:r>
      <w:r w:rsidR="00470ADC" w:rsidRPr="00D5464D">
        <w:rPr>
          <w:rFonts w:eastAsia="Batang" w:cs="Times"/>
          <w:szCs w:val="24"/>
          <w:lang w:val="pt-BR"/>
        </w:rPr>
        <w:t>ções</w:t>
      </w:r>
      <w:r w:rsidRPr="00D5464D">
        <w:rPr>
          <w:rFonts w:eastAsia="Batang" w:cs="Times"/>
          <w:szCs w:val="24"/>
          <w:lang w:val="pt-BR"/>
        </w:rPr>
        <w:t xml:space="preserve">. </w:t>
      </w:r>
      <w:r w:rsidR="004E5926" w:rsidRPr="00D5464D">
        <w:rPr>
          <w:rFonts w:eastAsia="Batang" w:cs="Times"/>
          <w:szCs w:val="24"/>
          <w:lang w:val="pt-BR"/>
        </w:rPr>
        <w:t xml:space="preserve">Após a concessão de 10 </w:t>
      </w:r>
      <w:r w:rsidR="00F13FC0" w:rsidRPr="00D5464D">
        <w:rPr>
          <w:rFonts w:eastAsia="Batang" w:cs="Times"/>
          <w:szCs w:val="24"/>
          <w:lang w:val="pt-BR"/>
        </w:rPr>
        <w:t>extens</w:t>
      </w:r>
      <w:r w:rsidR="004E5926" w:rsidRPr="00D5464D">
        <w:rPr>
          <w:rFonts w:eastAsia="Batang" w:cs="Times"/>
          <w:szCs w:val="24"/>
          <w:lang w:val="pt-BR"/>
        </w:rPr>
        <w:t>ões de prazo</w:t>
      </w:r>
      <w:r w:rsidRPr="00D5464D">
        <w:rPr>
          <w:rFonts w:eastAsia="Batang" w:cs="Times"/>
          <w:szCs w:val="24"/>
          <w:lang w:val="pt-BR"/>
        </w:rPr>
        <w:t>,</w:t>
      </w:r>
      <w:r w:rsidR="002C330E" w:rsidRPr="00D5464D">
        <w:rPr>
          <w:rFonts w:eastAsia="Batang" w:cs="Times"/>
          <w:szCs w:val="24"/>
          <w:lang w:val="pt-BR"/>
        </w:rPr>
        <w:t xml:space="preserve"> a </w:t>
      </w:r>
      <w:r w:rsidR="00470ADC" w:rsidRPr="00D5464D">
        <w:rPr>
          <w:rFonts w:eastAsia="Batang" w:cs="Times"/>
          <w:szCs w:val="24"/>
          <w:lang w:val="pt-BR"/>
        </w:rPr>
        <w:t>Comissão</w:t>
      </w:r>
      <w:r w:rsidR="001F559F" w:rsidRPr="00D5464D">
        <w:rPr>
          <w:rFonts w:eastAsia="Batang" w:cs="Times"/>
          <w:szCs w:val="24"/>
          <w:lang w:val="pt-BR"/>
        </w:rPr>
        <w:t xml:space="preserve"> </w:t>
      </w:r>
      <w:r w:rsidR="00470ADC" w:rsidRPr="00D5464D">
        <w:rPr>
          <w:rFonts w:eastAsia="Batang" w:cs="Times"/>
          <w:szCs w:val="24"/>
          <w:lang w:val="pt-BR"/>
        </w:rPr>
        <w:t>determinou</w:t>
      </w:r>
      <w:r w:rsidR="001F559F" w:rsidRPr="00D5464D">
        <w:rPr>
          <w:rFonts w:eastAsia="Batang" w:cs="Times"/>
          <w:szCs w:val="24"/>
          <w:lang w:val="pt-BR"/>
        </w:rPr>
        <w:t xml:space="preserve"> que</w:t>
      </w:r>
      <w:r w:rsidR="00470ADC" w:rsidRPr="00D5464D">
        <w:rPr>
          <w:rFonts w:eastAsia="Batang" w:cs="Times"/>
          <w:szCs w:val="24"/>
          <w:lang w:val="pt-BR"/>
        </w:rPr>
        <w:t xml:space="preserve"> o </w:t>
      </w:r>
      <w:r w:rsidRPr="00D5464D">
        <w:rPr>
          <w:rFonts w:eastAsia="Batang" w:cs="Times"/>
          <w:szCs w:val="24"/>
          <w:lang w:val="pt-BR"/>
        </w:rPr>
        <w:t xml:space="preserve">Estado </w:t>
      </w:r>
      <w:r w:rsidR="00737270" w:rsidRPr="00D5464D">
        <w:rPr>
          <w:rFonts w:eastAsia="Batang" w:cs="Times"/>
          <w:szCs w:val="24"/>
          <w:lang w:val="pt-BR"/>
        </w:rPr>
        <w:t>não havia</w:t>
      </w:r>
      <w:r w:rsidR="004C36BF" w:rsidRPr="00D5464D">
        <w:rPr>
          <w:rFonts w:eastAsia="Batang" w:cs="Times"/>
          <w:szCs w:val="24"/>
          <w:lang w:val="pt-BR"/>
        </w:rPr>
        <w:t xml:space="preserve"> </w:t>
      </w:r>
      <w:r w:rsidR="00470ADC" w:rsidRPr="00D5464D">
        <w:rPr>
          <w:rFonts w:eastAsia="Batang" w:cs="Times"/>
          <w:szCs w:val="24"/>
          <w:lang w:val="pt-BR"/>
        </w:rPr>
        <w:t>avançad</w:t>
      </w:r>
      <w:r w:rsidRPr="00D5464D">
        <w:rPr>
          <w:rFonts w:eastAsia="Batang" w:cs="Times"/>
          <w:szCs w:val="24"/>
          <w:lang w:val="pt-BR"/>
        </w:rPr>
        <w:t xml:space="preserve">o de </w:t>
      </w:r>
      <w:r w:rsidR="002C330E" w:rsidRPr="00D5464D">
        <w:rPr>
          <w:rFonts w:eastAsia="Batang" w:cs="Times"/>
          <w:szCs w:val="24"/>
          <w:lang w:val="pt-BR"/>
        </w:rPr>
        <w:t>maneira</w:t>
      </w:r>
      <w:r w:rsidRPr="00D5464D">
        <w:rPr>
          <w:rFonts w:eastAsia="Batang" w:cs="Times"/>
          <w:szCs w:val="24"/>
          <w:lang w:val="pt-BR"/>
        </w:rPr>
        <w:t xml:space="preserve"> concreta</w:t>
      </w:r>
      <w:r w:rsidR="00E045D9" w:rsidRPr="00D5464D">
        <w:rPr>
          <w:rFonts w:eastAsia="Batang" w:cs="Times"/>
          <w:szCs w:val="24"/>
          <w:lang w:val="pt-BR"/>
        </w:rPr>
        <w:t xml:space="preserve"> no </w:t>
      </w:r>
      <w:r w:rsidR="00470ADC" w:rsidRPr="00D5464D">
        <w:rPr>
          <w:rFonts w:eastAsia="Batang" w:cs="Times"/>
          <w:szCs w:val="24"/>
          <w:lang w:val="pt-BR"/>
        </w:rPr>
        <w:t xml:space="preserve">cumprimento das </w:t>
      </w:r>
      <w:r w:rsidRPr="00D5464D">
        <w:rPr>
          <w:rFonts w:eastAsia="Batang" w:cs="Times"/>
          <w:szCs w:val="24"/>
          <w:lang w:val="pt-BR"/>
        </w:rPr>
        <w:t>recomenda</w:t>
      </w:r>
      <w:r w:rsidR="00470ADC" w:rsidRPr="00D5464D">
        <w:rPr>
          <w:rFonts w:eastAsia="Batang" w:cs="Times"/>
          <w:szCs w:val="24"/>
          <w:lang w:val="pt-BR"/>
        </w:rPr>
        <w:t>ções</w:t>
      </w:r>
      <w:r w:rsidRPr="00D5464D">
        <w:rPr>
          <w:rFonts w:eastAsia="Batang" w:cs="Times"/>
          <w:szCs w:val="24"/>
          <w:lang w:val="pt-BR"/>
        </w:rPr>
        <w:t xml:space="preserve">. </w:t>
      </w:r>
    </w:p>
    <w:p w14:paraId="4A6297E9" w14:textId="77777777" w:rsidR="00BA1ACF" w:rsidRPr="00D5464D" w:rsidRDefault="00BA1ACF" w:rsidP="00140440">
      <w:pPr>
        <w:tabs>
          <w:tab w:val="clear" w:pos="4419"/>
          <w:tab w:val="clear" w:pos="8838"/>
          <w:tab w:val="left" w:pos="567"/>
          <w:tab w:val="left" w:pos="1134"/>
        </w:tabs>
        <w:autoSpaceDE w:val="0"/>
        <w:autoSpaceDN w:val="0"/>
        <w:adjustRightInd w:val="0"/>
        <w:jc w:val="both"/>
        <w:rPr>
          <w:rFonts w:eastAsia="Batang" w:cs="Verdana"/>
          <w:szCs w:val="20"/>
          <w:lang w:val="pt-BR" w:eastAsia="es-ES"/>
        </w:rPr>
      </w:pPr>
    </w:p>
    <w:p w14:paraId="436AA40E" w14:textId="6115124E" w:rsidR="00BA1ACF" w:rsidRPr="00D5464D" w:rsidRDefault="002C330E" w:rsidP="00140440">
      <w:pPr>
        <w:numPr>
          <w:ilvl w:val="0"/>
          <w:numId w:val="1"/>
        </w:numPr>
        <w:tabs>
          <w:tab w:val="clear" w:pos="4419"/>
          <w:tab w:val="clear" w:pos="8838"/>
          <w:tab w:val="left" w:pos="567"/>
          <w:tab w:val="left" w:pos="1134"/>
        </w:tabs>
        <w:autoSpaceDE w:val="0"/>
        <w:autoSpaceDN w:val="0"/>
        <w:adjustRightInd w:val="0"/>
        <w:jc w:val="both"/>
        <w:rPr>
          <w:rFonts w:eastAsia="Batang" w:cs="Verdana"/>
          <w:szCs w:val="20"/>
          <w:lang w:val="pt-BR" w:eastAsia="es-ES"/>
        </w:rPr>
      </w:pPr>
      <w:r w:rsidRPr="00D5464D">
        <w:rPr>
          <w:rFonts w:eastAsia="Batang" w:cs="Verdana"/>
          <w:i/>
          <w:szCs w:val="20"/>
          <w:lang w:val="pt-BR" w:eastAsia="es-ES"/>
        </w:rPr>
        <w:t>Submissão</w:t>
      </w:r>
      <w:r w:rsidR="00470ADC" w:rsidRPr="00D5464D">
        <w:rPr>
          <w:rFonts w:eastAsia="Batang" w:cs="Verdana"/>
          <w:i/>
          <w:szCs w:val="20"/>
          <w:lang w:val="pt-BR" w:eastAsia="es-ES"/>
        </w:rPr>
        <w:t xml:space="preserve"> à </w:t>
      </w:r>
      <w:r w:rsidR="00BA1ACF" w:rsidRPr="00D5464D">
        <w:rPr>
          <w:rFonts w:eastAsia="Batang" w:cs="Verdana"/>
          <w:i/>
          <w:szCs w:val="20"/>
          <w:lang w:val="pt-BR" w:eastAsia="es-ES"/>
        </w:rPr>
        <w:t>Corte.</w:t>
      </w:r>
      <w:r w:rsidR="00BA1ACF" w:rsidRPr="00D5464D">
        <w:rPr>
          <w:rFonts w:eastAsia="Batang" w:cs="Verdana"/>
          <w:szCs w:val="20"/>
          <w:lang w:val="pt-BR" w:eastAsia="es-ES"/>
        </w:rPr>
        <w:t xml:space="preserve"> </w:t>
      </w:r>
      <w:r w:rsidR="00547C8F" w:rsidRPr="00D5464D">
        <w:rPr>
          <w:rFonts w:eastAsia="Batang" w:cs="Times"/>
          <w:i/>
          <w:szCs w:val="24"/>
          <w:lang w:val="pt-BR"/>
        </w:rPr>
        <w:t>–</w:t>
      </w:r>
      <w:r w:rsidR="004E5926" w:rsidRPr="00D5464D">
        <w:rPr>
          <w:rFonts w:eastAsia="Batang" w:cs="Verdana"/>
          <w:szCs w:val="20"/>
          <w:lang w:val="pt-BR" w:eastAsia="es-ES"/>
        </w:rPr>
        <w:t xml:space="preserve"> E</w:t>
      </w:r>
      <w:r w:rsidRPr="00D5464D">
        <w:rPr>
          <w:rFonts w:eastAsia="Batang" w:cs="Verdana"/>
          <w:szCs w:val="20"/>
          <w:lang w:val="pt-BR" w:eastAsia="es-ES"/>
        </w:rPr>
        <w:t>m 4</w:t>
      </w:r>
      <w:r w:rsidR="00BA1ACF" w:rsidRPr="00D5464D">
        <w:rPr>
          <w:rFonts w:eastAsia="Batang" w:cs="Verdana"/>
          <w:szCs w:val="20"/>
          <w:lang w:val="pt-BR" w:eastAsia="es-ES"/>
        </w:rPr>
        <w:t xml:space="preserve"> de </w:t>
      </w:r>
      <w:r w:rsidRPr="00D5464D">
        <w:rPr>
          <w:rFonts w:eastAsia="Batang" w:cs="Verdana"/>
          <w:szCs w:val="20"/>
          <w:lang w:val="pt-BR" w:eastAsia="es-ES"/>
        </w:rPr>
        <w:t>março</w:t>
      </w:r>
      <w:r w:rsidR="00BA1ACF" w:rsidRPr="00D5464D">
        <w:rPr>
          <w:rFonts w:eastAsia="Batang" w:cs="Verdana"/>
          <w:szCs w:val="20"/>
          <w:lang w:val="pt-BR" w:eastAsia="es-ES"/>
        </w:rPr>
        <w:t xml:space="preserve"> de 2015</w:t>
      </w:r>
      <w:r w:rsidR="004E5926" w:rsidRPr="00D5464D">
        <w:rPr>
          <w:rFonts w:eastAsia="Batang" w:cs="Verdana"/>
          <w:szCs w:val="20"/>
          <w:lang w:val="pt-BR" w:eastAsia="es-ES"/>
        </w:rPr>
        <w:t>,</w:t>
      </w:r>
      <w:r w:rsidRPr="00D5464D">
        <w:rPr>
          <w:rFonts w:eastAsia="Batang" w:cs="Verdana"/>
          <w:szCs w:val="20"/>
          <w:lang w:val="pt-BR" w:eastAsia="es-ES"/>
        </w:rPr>
        <w:t xml:space="preserve"> a </w:t>
      </w:r>
      <w:r w:rsidR="00470ADC" w:rsidRPr="00D5464D">
        <w:rPr>
          <w:rFonts w:eastAsia="Batang" w:cs="Verdana"/>
          <w:szCs w:val="20"/>
          <w:lang w:val="pt-BR" w:eastAsia="es-ES"/>
        </w:rPr>
        <w:t>Comissão</w:t>
      </w:r>
      <w:r w:rsidR="00BA1ACF" w:rsidRPr="00D5464D">
        <w:rPr>
          <w:rFonts w:eastAsia="Batang" w:cs="Verdana"/>
          <w:szCs w:val="20"/>
          <w:lang w:val="pt-BR" w:eastAsia="es-ES"/>
        </w:rPr>
        <w:t xml:space="preserve"> </w:t>
      </w:r>
      <w:r w:rsidRPr="00D5464D">
        <w:rPr>
          <w:rFonts w:eastAsia="Batang" w:cs="Verdana"/>
          <w:szCs w:val="20"/>
          <w:lang w:val="pt-BR" w:eastAsia="es-ES"/>
        </w:rPr>
        <w:t>submeteu</w:t>
      </w:r>
      <w:r w:rsidR="00470ADC" w:rsidRPr="00D5464D">
        <w:rPr>
          <w:rFonts w:eastAsia="Batang" w:cs="Verdana"/>
          <w:szCs w:val="20"/>
          <w:lang w:val="pt-BR" w:eastAsia="es-ES"/>
        </w:rPr>
        <w:t xml:space="preserve"> à </w:t>
      </w:r>
      <w:r w:rsidRPr="00D5464D">
        <w:rPr>
          <w:rFonts w:eastAsia="Batang" w:cs="Verdana"/>
          <w:szCs w:val="20"/>
          <w:lang w:val="pt-BR" w:eastAsia="es-ES"/>
        </w:rPr>
        <w:t>jurisdição</w:t>
      </w:r>
      <w:r w:rsidR="00470ADC" w:rsidRPr="00D5464D">
        <w:rPr>
          <w:rFonts w:eastAsia="Batang" w:cs="Verdana"/>
          <w:szCs w:val="20"/>
          <w:lang w:val="pt-BR" w:eastAsia="es-ES"/>
        </w:rPr>
        <w:t xml:space="preserve"> da </w:t>
      </w:r>
      <w:r w:rsidR="004E5926" w:rsidRPr="00D5464D">
        <w:rPr>
          <w:rFonts w:eastAsia="Batang" w:cs="Verdana"/>
          <w:szCs w:val="20"/>
          <w:lang w:val="pt-BR" w:eastAsia="es-ES"/>
        </w:rPr>
        <w:t xml:space="preserve">Corte </w:t>
      </w:r>
      <w:r w:rsidRPr="00D5464D">
        <w:rPr>
          <w:rFonts w:eastAsia="Batang" w:cs="Verdana"/>
          <w:szCs w:val="20"/>
          <w:lang w:val="pt-BR" w:eastAsia="es-ES"/>
        </w:rPr>
        <w:t>os fatos</w:t>
      </w:r>
      <w:r w:rsidR="00E045D9" w:rsidRPr="00D5464D">
        <w:rPr>
          <w:rFonts w:eastAsia="Batang" w:cs="Verdana"/>
          <w:szCs w:val="20"/>
          <w:lang w:val="pt-BR" w:eastAsia="es-ES"/>
        </w:rPr>
        <w:t xml:space="preserve"> e </w:t>
      </w:r>
      <w:r w:rsidR="00BA1ACF" w:rsidRPr="00D5464D">
        <w:rPr>
          <w:rFonts w:eastAsia="Batang" w:cs="Verdana"/>
          <w:szCs w:val="20"/>
          <w:lang w:val="pt-BR" w:eastAsia="es-ES"/>
        </w:rPr>
        <w:t>viola</w:t>
      </w:r>
      <w:r w:rsidR="00470ADC" w:rsidRPr="00D5464D">
        <w:rPr>
          <w:rFonts w:eastAsia="Batang" w:cs="Verdana"/>
          <w:szCs w:val="20"/>
          <w:lang w:val="pt-BR" w:eastAsia="es-ES"/>
        </w:rPr>
        <w:t>ções</w:t>
      </w:r>
      <w:r w:rsidR="00BA1ACF" w:rsidRPr="00D5464D">
        <w:rPr>
          <w:rFonts w:eastAsia="Batang" w:cs="Verdana"/>
          <w:szCs w:val="20"/>
          <w:lang w:val="pt-BR" w:eastAsia="es-ES"/>
        </w:rPr>
        <w:t xml:space="preserve"> de </w:t>
      </w:r>
      <w:r w:rsidR="00470ADC" w:rsidRPr="00D5464D">
        <w:rPr>
          <w:rFonts w:eastAsia="Batang" w:cs="Verdana"/>
          <w:szCs w:val="20"/>
          <w:lang w:val="pt-BR" w:eastAsia="es-ES"/>
        </w:rPr>
        <w:t>direito</w:t>
      </w:r>
      <w:r w:rsidR="00BA1ACF" w:rsidRPr="00D5464D">
        <w:rPr>
          <w:rFonts w:eastAsia="Batang" w:cs="Verdana"/>
          <w:szCs w:val="20"/>
          <w:lang w:val="pt-BR" w:eastAsia="es-ES"/>
        </w:rPr>
        <w:t>s humanos descritos</w:t>
      </w:r>
      <w:r w:rsidR="00E045D9" w:rsidRPr="00D5464D">
        <w:rPr>
          <w:rFonts w:eastAsia="Batang" w:cs="Verdana"/>
          <w:szCs w:val="20"/>
          <w:lang w:val="pt-BR" w:eastAsia="es-ES"/>
        </w:rPr>
        <w:t xml:space="preserve"> no </w:t>
      </w:r>
      <w:r w:rsidR="00350187" w:rsidRPr="00D5464D">
        <w:rPr>
          <w:rFonts w:eastAsia="Batang" w:cs="Verdana"/>
          <w:szCs w:val="20"/>
          <w:lang w:val="pt-BR" w:eastAsia="es-ES"/>
        </w:rPr>
        <w:t>Relatório</w:t>
      </w:r>
      <w:r w:rsidRPr="00D5464D">
        <w:rPr>
          <w:rFonts w:eastAsia="Batang" w:cs="Verdana"/>
          <w:szCs w:val="20"/>
          <w:lang w:val="pt-BR" w:eastAsia="es-ES"/>
        </w:rPr>
        <w:t xml:space="preserve"> de Mérito</w:t>
      </w:r>
      <w:r w:rsidR="004C36BF" w:rsidRPr="00D5464D">
        <w:rPr>
          <w:rFonts w:eastAsia="Batang" w:cs="Verdana"/>
          <w:szCs w:val="20"/>
          <w:lang w:val="pt-BR" w:eastAsia="es-ES"/>
        </w:rPr>
        <w:t>, em razão da “</w:t>
      </w:r>
      <w:r w:rsidR="004E5926" w:rsidRPr="00D5464D">
        <w:rPr>
          <w:rFonts w:eastAsia="Batang" w:cs="Verdana"/>
          <w:szCs w:val="20"/>
          <w:lang w:val="pt-BR" w:eastAsia="es-ES"/>
        </w:rPr>
        <w:t>necessidade de obtenção de justiça”</w:t>
      </w:r>
      <w:r w:rsidR="00DB2CAE" w:rsidRPr="00D5464D">
        <w:rPr>
          <w:rFonts w:eastAsia="Batang" w:cs="Verdana"/>
          <w:szCs w:val="20"/>
          <w:lang w:val="pt-BR" w:eastAsia="es-ES"/>
        </w:rPr>
        <w:t>.</w:t>
      </w:r>
      <w:r w:rsidR="00BA1ACF" w:rsidRPr="00D5464D">
        <w:rPr>
          <w:rFonts w:eastAsia="Batang" w:cs="Times New Roman"/>
          <w:szCs w:val="20"/>
          <w:vertAlign w:val="superscript"/>
          <w:lang w:val="pt-BR" w:eastAsia="es-ES"/>
        </w:rPr>
        <w:footnoteReference w:id="2"/>
      </w:r>
      <w:r w:rsidR="00BA1ACF" w:rsidRPr="00D5464D">
        <w:rPr>
          <w:rFonts w:eastAsia="Batang" w:cs="Verdana"/>
          <w:szCs w:val="20"/>
          <w:lang w:val="pt-BR" w:eastAsia="es-ES"/>
        </w:rPr>
        <w:t xml:space="preserve"> </w:t>
      </w:r>
      <w:r w:rsidR="00E045D9" w:rsidRPr="00D5464D">
        <w:rPr>
          <w:rFonts w:eastAsia="Batang" w:cs="Verdana"/>
          <w:szCs w:val="20"/>
          <w:lang w:val="pt-BR" w:eastAsia="es-ES"/>
        </w:rPr>
        <w:t>Especificamente</w:t>
      </w:r>
      <w:r w:rsidR="00BA1ACF" w:rsidRPr="00D5464D">
        <w:rPr>
          <w:rFonts w:eastAsia="Batang" w:cs="Verdana"/>
          <w:szCs w:val="20"/>
          <w:lang w:val="pt-BR" w:eastAsia="es-ES"/>
        </w:rPr>
        <w:t>,</w:t>
      </w:r>
      <w:r w:rsidRPr="00D5464D">
        <w:rPr>
          <w:rFonts w:eastAsia="Batang" w:cs="Verdana"/>
          <w:szCs w:val="20"/>
          <w:lang w:val="pt-BR" w:eastAsia="es-ES"/>
        </w:rPr>
        <w:t xml:space="preserve"> a </w:t>
      </w:r>
      <w:r w:rsidR="00470ADC" w:rsidRPr="00D5464D">
        <w:rPr>
          <w:rFonts w:eastAsia="Batang" w:cs="Verdana"/>
          <w:szCs w:val="20"/>
          <w:lang w:val="pt-BR" w:eastAsia="es-ES"/>
        </w:rPr>
        <w:t>Comissão</w:t>
      </w:r>
      <w:r w:rsidR="00BA1ACF" w:rsidRPr="00D5464D">
        <w:rPr>
          <w:rFonts w:eastAsia="Batang" w:cs="Verdana"/>
          <w:szCs w:val="20"/>
          <w:lang w:val="pt-BR" w:eastAsia="es-ES"/>
        </w:rPr>
        <w:t xml:space="preserve"> </w:t>
      </w:r>
      <w:r w:rsidRPr="00D5464D">
        <w:rPr>
          <w:rFonts w:eastAsia="Batang" w:cs="Verdana"/>
          <w:szCs w:val="20"/>
          <w:lang w:val="pt-BR" w:eastAsia="es-ES"/>
        </w:rPr>
        <w:t>submeteu</w:t>
      </w:r>
      <w:r w:rsidR="00470ADC" w:rsidRPr="00D5464D">
        <w:rPr>
          <w:rFonts w:eastAsia="Batang" w:cs="Verdana"/>
          <w:szCs w:val="20"/>
          <w:lang w:val="pt-BR" w:eastAsia="es-ES"/>
        </w:rPr>
        <w:t xml:space="preserve"> à </w:t>
      </w:r>
      <w:r w:rsidR="00BA1ACF" w:rsidRPr="00D5464D">
        <w:rPr>
          <w:rFonts w:eastAsia="Batang" w:cs="Verdana"/>
          <w:szCs w:val="20"/>
          <w:lang w:val="pt-BR" w:eastAsia="es-ES"/>
        </w:rPr>
        <w:t>Corte</w:t>
      </w:r>
      <w:r w:rsidRPr="00D5464D">
        <w:rPr>
          <w:rFonts w:eastAsia="Batang" w:cs="Verdana"/>
          <w:szCs w:val="20"/>
          <w:lang w:val="pt-BR" w:eastAsia="es-ES"/>
        </w:rPr>
        <w:t xml:space="preserve"> as </w:t>
      </w:r>
      <w:r w:rsidR="00470ADC" w:rsidRPr="00D5464D">
        <w:rPr>
          <w:rFonts w:eastAsia="Batang" w:cs="Verdana"/>
          <w:szCs w:val="20"/>
          <w:lang w:val="pt-BR" w:eastAsia="es-ES"/>
        </w:rPr>
        <w:t>ações</w:t>
      </w:r>
      <w:r w:rsidR="00E045D9" w:rsidRPr="00D5464D">
        <w:rPr>
          <w:rFonts w:eastAsia="Batang" w:cs="Verdana"/>
          <w:szCs w:val="20"/>
          <w:lang w:val="pt-BR" w:eastAsia="es-ES"/>
        </w:rPr>
        <w:t xml:space="preserve"> e </w:t>
      </w:r>
      <w:r w:rsidR="00BA1ACF" w:rsidRPr="00D5464D">
        <w:rPr>
          <w:rFonts w:eastAsia="Batang" w:cs="Verdana"/>
          <w:szCs w:val="20"/>
          <w:lang w:val="pt-BR" w:eastAsia="es-ES"/>
        </w:rPr>
        <w:t>o</w:t>
      </w:r>
      <w:r w:rsidRPr="00D5464D">
        <w:rPr>
          <w:rFonts w:eastAsia="Batang" w:cs="Verdana"/>
          <w:szCs w:val="20"/>
          <w:lang w:val="pt-BR" w:eastAsia="es-ES"/>
        </w:rPr>
        <w:t>missões</w:t>
      </w:r>
      <w:r w:rsidR="00BA1ACF" w:rsidRPr="00D5464D">
        <w:rPr>
          <w:rFonts w:eastAsia="Batang" w:cs="Verdana"/>
          <w:szCs w:val="20"/>
          <w:lang w:val="pt-BR" w:eastAsia="es-ES"/>
        </w:rPr>
        <w:t xml:space="preserve"> esta</w:t>
      </w:r>
      <w:r w:rsidR="00E045D9" w:rsidRPr="00D5464D">
        <w:rPr>
          <w:rFonts w:eastAsia="Batang" w:cs="Verdana"/>
          <w:szCs w:val="20"/>
          <w:lang w:val="pt-BR" w:eastAsia="es-ES"/>
        </w:rPr>
        <w:t>tais</w:t>
      </w:r>
      <w:r w:rsidR="00BA1ACF" w:rsidRPr="00D5464D">
        <w:rPr>
          <w:rFonts w:eastAsia="Batang" w:cs="Verdana"/>
          <w:szCs w:val="20"/>
          <w:lang w:val="pt-BR" w:eastAsia="es-ES"/>
        </w:rPr>
        <w:t xml:space="preserve"> que </w:t>
      </w:r>
      <w:r w:rsidRPr="00D5464D">
        <w:rPr>
          <w:rFonts w:eastAsia="Batang" w:cs="Verdana"/>
          <w:szCs w:val="20"/>
          <w:lang w:val="pt-BR" w:eastAsia="es-ES"/>
        </w:rPr>
        <w:t>ocorreram</w:t>
      </w:r>
      <w:r w:rsidR="00BA1ACF" w:rsidRPr="00D5464D">
        <w:rPr>
          <w:rFonts w:eastAsia="Batang" w:cs="Verdana"/>
          <w:szCs w:val="20"/>
          <w:lang w:val="pt-BR" w:eastAsia="es-ES"/>
        </w:rPr>
        <w:t xml:space="preserve"> o</w:t>
      </w:r>
      <w:r w:rsidR="00DB2CAE" w:rsidRPr="00D5464D">
        <w:rPr>
          <w:rFonts w:eastAsia="Batang" w:cs="Verdana"/>
          <w:szCs w:val="20"/>
          <w:lang w:val="pt-BR" w:eastAsia="es-ES"/>
        </w:rPr>
        <w:t>u</w:t>
      </w:r>
      <w:r w:rsidR="00BA1ACF" w:rsidRPr="00D5464D">
        <w:rPr>
          <w:rFonts w:eastAsia="Batang" w:cs="Verdana"/>
          <w:szCs w:val="20"/>
          <w:lang w:val="pt-BR" w:eastAsia="es-ES"/>
        </w:rPr>
        <w:t xml:space="preserve"> </w:t>
      </w:r>
      <w:r w:rsidR="00E045D9" w:rsidRPr="00D5464D">
        <w:rPr>
          <w:rFonts w:eastAsia="Batang" w:cs="Verdana"/>
          <w:szCs w:val="20"/>
          <w:lang w:val="pt-BR" w:eastAsia="es-ES"/>
        </w:rPr>
        <w:t>continuaram</w:t>
      </w:r>
      <w:r w:rsidR="00BA1ACF" w:rsidRPr="00D5464D">
        <w:rPr>
          <w:rFonts w:eastAsia="Batang" w:cs="Verdana"/>
          <w:szCs w:val="20"/>
          <w:lang w:val="pt-BR" w:eastAsia="es-ES"/>
        </w:rPr>
        <w:t xml:space="preserve"> </w:t>
      </w:r>
      <w:r w:rsidR="00A1358C" w:rsidRPr="00D5464D">
        <w:rPr>
          <w:rFonts w:eastAsia="Batang" w:cs="Verdana"/>
          <w:szCs w:val="20"/>
          <w:lang w:val="pt-BR" w:eastAsia="es-ES"/>
        </w:rPr>
        <w:t>ocorrendo</w:t>
      </w:r>
      <w:r w:rsidR="00470ADC" w:rsidRPr="00D5464D">
        <w:rPr>
          <w:rFonts w:eastAsia="Batang" w:cs="Verdana"/>
          <w:szCs w:val="20"/>
          <w:lang w:val="pt-BR" w:eastAsia="es-ES"/>
        </w:rPr>
        <w:t xml:space="preserve"> </w:t>
      </w:r>
      <w:r w:rsidR="00AA01AA" w:rsidRPr="00D5464D">
        <w:rPr>
          <w:rFonts w:eastAsia="Batang" w:cs="Verdana"/>
          <w:szCs w:val="20"/>
          <w:lang w:val="pt-BR" w:eastAsia="es-ES"/>
        </w:rPr>
        <w:t>após</w:t>
      </w:r>
      <w:r w:rsidR="00FF1290" w:rsidRPr="00D5464D">
        <w:rPr>
          <w:rFonts w:eastAsia="Batang" w:cs="Verdana"/>
          <w:szCs w:val="20"/>
          <w:lang w:val="pt-BR" w:eastAsia="es-ES"/>
        </w:rPr>
        <w:t xml:space="preserve"> </w:t>
      </w:r>
      <w:r w:rsidR="00BA1ACF" w:rsidRPr="00D5464D">
        <w:rPr>
          <w:rFonts w:eastAsia="Batang" w:cs="Verdana"/>
          <w:szCs w:val="20"/>
          <w:lang w:val="pt-BR" w:eastAsia="es-ES"/>
        </w:rPr>
        <w:t xml:space="preserve">10 de </w:t>
      </w:r>
      <w:r w:rsidR="00470ADC" w:rsidRPr="00D5464D">
        <w:rPr>
          <w:rFonts w:eastAsia="Batang" w:cs="Verdana"/>
          <w:szCs w:val="20"/>
          <w:lang w:val="pt-BR" w:eastAsia="es-ES"/>
        </w:rPr>
        <w:t>dezembro</w:t>
      </w:r>
      <w:r w:rsidR="00BA1ACF" w:rsidRPr="00D5464D">
        <w:rPr>
          <w:rFonts w:eastAsia="Batang" w:cs="Verdana"/>
          <w:szCs w:val="20"/>
          <w:lang w:val="pt-BR" w:eastAsia="es-ES"/>
        </w:rPr>
        <w:t xml:space="preserve"> de 1998, </w:t>
      </w:r>
      <w:r w:rsidR="00470ADC" w:rsidRPr="00D5464D">
        <w:rPr>
          <w:rFonts w:eastAsia="Batang" w:cs="Verdana"/>
          <w:szCs w:val="20"/>
          <w:lang w:val="pt-BR" w:eastAsia="es-ES"/>
        </w:rPr>
        <w:t>data</w:t>
      </w:r>
      <w:r w:rsidR="00BA1ACF" w:rsidRPr="00D5464D">
        <w:rPr>
          <w:rFonts w:eastAsia="Batang" w:cs="Verdana"/>
          <w:szCs w:val="20"/>
          <w:lang w:val="pt-BR" w:eastAsia="es-ES"/>
        </w:rPr>
        <w:t xml:space="preserve"> de </w:t>
      </w:r>
      <w:r w:rsidR="00470ADC" w:rsidRPr="00D5464D">
        <w:rPr>
          <w:rFonts w:eastAsia="Batang" w:cs="Verdana"/>
          <w:szCs w:val="20"/>
          <w:lang w:val="pt-BR" w:eastAsia="es-ES"/>
        </w:rPr>
        <w:t>aceit</w:t>
      </w:r>
      <w:r w:rsidR="00BA1ACF" w:rsidRPr="00D5464D">
        <w:rPr>
          <w:rFonts w:eastAsia="Batang" w:cs="Verdana"/>
          <w:szCs w:val="20"/>
          <w:lang w:val="pt-BR" w:eastAsia="es-ES"/>
        </w:rPr>
        <w:t>a</w:t>
      </w:r>
      <w:r w:rsidR="00470ADC" w:rsidRPr="00D5464D">
        <w:rPr>
          <w:rFonts w:eastAsia="Batang" w:cs="Verdana"/>
          <w:szCs w:val="20"/>
          <w:lang w:val="pt-BR" w:eastAsia="es-ES"/>
        </w:rPr>
        <w:t xml:space="preserve">ção da competência da </w:t>
      </w:r>
      <w:r w:rsidR="00BA1ACF" w:rsidRPr="00D5464D">
        <w:rPr>
          <w:rFonts w:eastAsia="Batang" w:cs="Verdana"/>
          <w:szCs w:val="20"/>
          <w:lang w:val="pt-BR" w:eastAsia="es-ES"/>
        </w:rPr>
        <w:t xml:space="preserve">Corte por parte </w:t>
      </w:r>
      <w:r w:rsidR="00470ADC" w:rsidRPr="00D5464D">
        <w:rPr>
          <w:rFonts w:eastAsia="Batang" w:cs="Verdana"/>
          <w:szCs w:val="20"/>
          <w:lang w:val="pt-BR" w:eastAsia="es-ES"/>
        </w:rPr>
        <w:t xml:space="preserve">do </w:t>
      </w:r>
      <w:r w:rsidR="00BA1ACF" w:rsidRPr="00D5464D">
        <w:rPr>
          <w:rFonts w:eastAsia="Batang" w:cs="Verdana"/>
          <w:szCs w:val="20"/>
          <w:lang w:val="pt-BR" w:eastAsia="es-ES"/>
        </w:rPr>
        <w:t>Estado</w:t>
      </w:r>
      <w:r w:rsidR="00DB2CAE" w:rsidRPr="00D5464D">
        <w:rPr>
          <w:rFonts w:eastAsia="Batang" w:cs="Verdana"/>
          <w:szCs w:val="20"/>
          <w:lang w:val="pt-BR" w:eastAsia="es-ES"/>
        </w:rPr>
        <w:t>,</w:t>
      </w:r>
      <w:r w:rsidR="00BA1ACF" w:rsidRPr="00D5464D">
        <w:rPr>
          <w:rFonts w:eastAsia="Batang" w:cs="Times New Roman"/>
          <w:szCs w:val="20"/>
          <w:vertAlign w:val="superscript"/>
          <w:lang w:val="pt-BR" w:eastAsia="es-ES"/>
        </w:rPr>
        <w:footnoteReference w:id="3"/>
      </w:r>
      <w:r w:rsidRPr="00D5464D">
        <w:rPr>
          <w:rFonts w:eastAsia="Batang" w:cs="Verdana"/>
          <w:szCs w:val="20"/>
          <w:lang w:val="pt-BR" w:eastAsia="es-ES"/>
        </w:rPr>
        <w:t xml:space="preserve"> sem prejuízo</w:t>
      </w:r>
      <w:r w:rsidR="00BA1ACF" w:rsidRPr="00D5464D">
        <w:rPr>
          <w:rFonts w:eastAsia="Batang" w:cs="Verdana"/>
          <w:szCs w:val="20"/>
          <w:lang w:val="pt-BR" w:eastAsia="es-ES"/>
        </w:rPr>
        <w:t xml:space="preserve"> de que</w:t>
      </w:r>
      <w:r w:rsidR="00470ADC" w:rsidRPr="00D5464D">
        <w:rPr>
          <w:rFonts w:eastAsia="Batang" w:cs="Verdana"/>
          <w:szCs w:val="20"/>
          <w:lang w:val="pt-BR" w:eastAsia="es-ES"/>
        </w:rPr>
        <w:t xml:space="preserve"> o </w:t>
      </w:r>
      <w:r w:rsidR="00BA1ACF" w:rsidRPr="00D5464D">
        <w:rPr>
          <w:rFonts w:eastAsia="Batang" w:cs="Verdana"/>
          <w:szCs w:val="20"/>
          <w:lang w:val="pt-BR" w:eastAsia="es-ES"/>
        </w:rPr>
        <w:t xml:space="preserve">Estado </w:t>
      </w:r>
      <w:r w:rsidR="00737270" w:rsidRPr="00D5464D">
        <w:rPr>
          <w:rFonts w:eastAsia="Batang" w:cs="Verdana"/>
          <w:szCs w:val="20"/>
          <w:lang w:val="pt-BR" w:eastAsia="es-ES"/>
        </w:rPr>
        <w:t>pudesse</w:t>
      </w:r>
      <w:r w:rsidR="00E80BB8" w:rsidRPr="00D5464D">
        <w:rPr>
          <w:rFonts w:eastAsia="Batang" w:cs="Verdana"/>
          <w:szCs w:val="20"/>
          <w:lang w:val="pt-BR" w:eastAsia="es-ES"/>
        </w:rPr>
        <w:t xml:space="preserve"> </w:t>
      </w:r>
      <w:r w:rsidR="00470ADC" w:rsidRPr="00D5464D">
        <w:rPr>
          <w:rFonts w:eastAsia="Batang" w:cs="Verdana"/>
          <w:szCs w:val="20"/>
          <w:lang w:val="pt-BR" w:eastAsia="es-ES"/>
        </w:rPr>
        <w:t>aceit</w:t>
      </w:r>
      <w:r w:rsidR="00E80BB8" w:rsidRPr="00D5464D">
        <w:rPr>
          <w:rFonts w:eastAsia="Batang" w:cs="Verdana"/>
          <w:szCs w:val="20"/>
          <w:lang w:val="pt-BR" w:eastAsia="es-ES"/>
        </w:rPr>
        <w:t>ar</w:t>
      </w:r>
      <w:r w:rsidRPr="00D5464D">
        <w:rPr>
          <w:rFonts w:eastAsia="Batang" w:cs="Verdana"/>
          <w:szCs w:val="20"/>
          <w:lang w:val="pt-BR" w:eastAsia="es-ES"/>
        </w:rPr>
        <w:t xml:space="preserve"> a </w:t>
      </w:r>
      <w:r w:rsidR="00470ADC" w:rsidRPr="00D5464D">
        <w:rPr>
          <w:rFonts w:eastAsia="Batang" w:cs="Verdana"/>
          <w:szCs w:val="20"/>
          <w:lang w:val="pt-BR" w:eastAsia="es-ES"/>
        </w:rPr>
        <w:t xml:space="preserve">competência da </w:t>
      </w:r>
      <w:r w:rsidR="00BA1ACF" w:rsidRPr="00D5464D">
        <w:rPr>
          <w:rFonts w:eastAsia="Batang" w:cs="Verdana"/>
          <w:szCs w:val="20"/>
          <w:lang w:val="pt-BR" w:eastAsia="es-ES"/>
        </w:rPr>
        <w:t xml:space="preserve">Corte para </w:t>
      </w:r>
      <w:r w:rsidR="00470ADC" w:rsidRPr="00D5464D">
        <w:rPr>
          <w:rFonts w:eastAsia="Batang" w:cs="Verdana"/>
          <w:szCs w:val="20"/>
          <w:lang w:val="pt-BR" w:eastAsia="es-ES"/>
        </w:rPr>
        <w:t>conhecer</w:t>
      </w:r>
      <w:r w:rsidRPr="00D5464D">
        <w:rPr>
          <w:rFonts w:eastAsia="Batang" w:cs="Verdana"/>
          <w:szCs w:val="20"/>
          <w:lang w:val="pt-BR" w:eastAsia="es-ES"/>
        </w:rPr>
        <w:t xml:space="preserve"> </w:t>
      </w:r>
      <w:r w:rsidR="00DB2CAE" w:rsidRPr="00D5464D">
        <w:rPr>
          <w:rFonts w:eastAsia="Batang" w:cs="Verdana"/>
          <w:szCs w:val="20"/>
          <w:lang w:val="pt-BR" w:eastAsia="es-ES"/>
        </w:rPr>
        <w:t>d</w:t>
      </w:r>
      <w:r w:rsidRPr="00D5464D">
        <w:rPr>
          <w:rFonts w:eastAsia="Batang" w:cs="Verdana"/>
          <w:szCs w:val="20"/>
          <w:lang w:val="pt-BR" w:eastAsia="es-ES"/>
        </w:rPr>
        <w:t xml:space="preserve">a </w:t>
      </w:r>
      <w:r w:rsidR="00E045D9" w:rsidRPr="00D5464D">
        <w:rPr>
          <w:rFonts w:eastAsia="Batang" w:cs="Verdana"/>
          <w:szCs w:val="20"/>
          <w:lang w:val="pt-BR" w:eastAsia="es-ES"/>
        </w:rPr>
        <w:t xml:space="preserve">totalidade </w:t>
      </w:r>
      <w:r w:rsidR="00470ADC" w:rsidRPr="00D5464D">
        <w:rPr>
          <w:rFonts w:eastAsia="Batang" w:cs="Verdana"/>
          <w:szCs w:val="20"/>
          <w:lang w:val="pt-BR" w:eastAsia="es-ES"/>
        </w:rPr>
        <w:t xml:space="preserve">do </w:t>
      </w:r>
      <w:r w:rsidR="00BA1ACF" w:rsidRPr="00D5464D">
        <w:rPr>
          <w:rFonts w:eastAsia="Batang" w:cs="Verdana"/>
          <w:szCs w:val="20"/>
          <w:lang w:val="pt-BR" w:eastAsia="es-ES"/>
        </w:rPr>
        <w:t xml:space="preserve">presente caso, </w:t>
      </w:r>
      <w:r w:rsidR="00470ADC" w:rsidRPr="00D5464D">
        <w:rPr>
          <w:rFonts w:eastAsia="Batang" w:cs="Verdana"/>
          <w:szCs w:val="20"/>
          <w:lang w:val="pt-BR" w:eastAsia="es-ES"/>
        </w:rPr>
        <w:t>de acordo com</w:t>
      </w:r>
      <w:r w:rsidR="00C91CB1" w:rsidRPr="00D5464D">
        <w:rPr>
          <w:rFonts w:eastAsia="Batang" w:cs="Verdana"/>
          <w:szCs w:val="20"/>
          <w:lang w:val="pt-BR" w:eastAsia="es-ES"/>
        </w:rPr>
        <w:t xml:space="preserve"> o </w:t>
      </w:r>
      <w:r w:rsidR="00BA1ACF" w:rsidRPr="00D5464D">
        <w:rPr>
          <w:rFonts w:eastAsia="Batang" w:cs="Verdana"/>
          <w:szCs w:val="20"/>
          <w:lang w:val="pt-BR" w:eastAsia="es-ES"/>
        </w:rPr>
        <w:t>estipulado</w:t>
      </w:r>
      <w:r w:rsidR="00E045D9" w:rsidRPr="00D5464D">
        <w:rPr>
          <w:rFonts w:eastAsia="Batang" w:cs="Verdana"/>
          <w:szCs w:val="20"/>
          <w:lang w:val="pt-BR" w:eastAsia="es-ES"/>
        </w:rPr>
        <w:t xml:space="preserve"> no </w:t>
      </w:r>
      <w:r w:rsidR="00470ADC" w:rsidRPr="00D5464D">
        <w:rPr>
          <w:rFonts w:eastAsia="Batang" w:cs="Verdana"/>
          <w:szCs w:val="20"/>
          <w:lang w:val="pt-BR" w:eastAsia="es-ES"/>
        </w:rPr>
        <w:t>artigo</w:t>
      </w:r>
      <w:r w:rsidR="00BA1ACF" w:rsidRPr="00D5464D">
        <w:rPr>
          <w:rFonts w:eastAsia="Batang" w:cs="Verdana"/>
          <w:szCs w:val="20"/>
          <w:lang w:val="pt-BR" w:eastAsia="es-ES"/>
        </w:rPr>
        <w:t xml:space="preserve"> 62.2</w:t>
      </w:r>
      <w:r w:rsidR="00470ADC" w:rsidRPr="00D5464D">
        <w:rPr>
          <w:rFonts w:eastAsia="Batang" w:cs="Verdana"/>
          <w:szCs w:val="20"/>
          <w:lang w:val="pt-BR" w:eastAsia="es-ES"/>
        </w:rPr>
        <w:t xml:space="preserve"> da </w:t>
      </w:r>
      <w:r w:rsidR="00BA1ACF" w:rsidRPr="00D5464D">
        <w:rPr>
          <w:rFonts w:eastAsia="Batang" w:cs="Verdana"/>
          <w:szCs w:val="20"/>
          <w:lang w:val="pt-BR" w:eastAsia="es-ES"/>
        </w:rPr>
        <w:t>Conven</w:t>
      </w:r>
      <w:r w:rsidR="00470ADC" w:rsidRPr="00D5464D">
        <w:rPr>
          <w:rFonts w:eastAsia="Batang" w:cs="Verdana"/>
          <w:szCs w:val="20"/>
          <w:lang w:val="pt-BR" w:eastAsia="es-ES"/>
        </w:rPr>
        <w:t>ção</w:t>
      </w:r>
      <w:r w:rsidR="00BA1ACF" w:rsidRPr="00D5464D">
        <w:rPr>
          <w:rFonts w:eastAsia="Batang" w:cs="Verdana"/>
          <w:szCs w:val="20"/>
          <w:lang w:val="pt-BR" w:eastAsia="es-ES"/>
        </w:rPr>
        <w:t xml:space="preserve">. </w:t>
      </w:r>
    </w:p>
    <w:p w14:paraId="6D2481D4" w14:textId="77777777" w:rsidR="00BA1ACF" w:rsidRPr="00D5464D" w:rsidRDefault="00BA1ACF" w:rsidP="00140440">
      <w:pPr>
        <w:tabs>
          <w:tab w:val="clear" w:pos="4419"/>
          <w:tab w:val="clear" w:pos="8838"/>
          <w:tab w:val="left" w:pos="567"/>
          <w:tab w:val="left" w:pos="1134"/>
        </w:tabs>
        <w:autoSpaceDE w:val="0"/>
        <w:autoSpaceDN w:val="0"/>
        <w:adjustRightInd w:val="0"/>
        <w:jc w:val="both"/>
        <w:rPr>
          <w:rFonts w:eastAsia="Batang" w:cs="Verdana"/>
          <w:szCs w:val="20"/>
          <w:lang w:val="pt-BR" w:eastAsia="es-ES"/>
        </w:rPr>
      </w:pPr>
    </w:p>
    <w:p w14:paraId="2C958C91" w14:textId="49433F3D" w:rsidR="00BA1ACF" w:rsidRPr="00D5464D" w:rsidRDefault="00DB2CAE" w:rsidP="00140440">
      <w:pPr>
        <w:numPr>
          <w:ilvl w:val="0"/>
          <w:numId w:val="1"/>
        </w:numPr>
        <w:tabs>
          <w:tab w:val="clear" w:pos="4419"/>
          <w:tab w:val="clear" w:pos="8838"/>
          <w:tab w:val="left" w:pos="567"/>
          <w:tab w:val="left" w:pos="1134"/>
        </w:tabs>
        <w:autoSpaceDE w:val="0"/>
        <w:autoSpaceDN w:val="0"/>
        <w:adjustRightInd w:val="0"/>
        <w:jc w:val="both"/>
        <w:rPr>
          <w:rFonts w:eastAsia="Batang" w:cs="Verdana"/>
          <w:szCs w:val="20"/>
          <w:lang w:val="pt-BR" w:eastAsia="es-ES"/>
        </w:rPr>
      </w:pPr>
      <w:r w:rsidRPr="00D5464D">
        <w:rPr>
          <w:rFonts w:eastAsia="Batang" w:cs="Verdana"/>
          <w:i/>
          <w:szCs w:val="20"/>
          <w:lang w:val="pt-BR" w:eastAsia="es-ES"/>
        </w:rPr>
        <w:t xml:space="preserve">Pedidos </w:t>
      </w:r>
      <w:r w:rsidR="00470ADC" w:rsidRPr="00D5464D">
        <w:rPr>
          <w:rFonts w:eastAsia="Batang" w:cs="Verdana"/>
          <w:i/>
          <w:szCs w:val="20"/>
          <w:lang w:val="pt-BR" w:eastAsia="es-ES"/>
        </w:rPr>
        <w:t>da Comissão</w:t>
      </w:r>
      <w:r w:rsidR="00BA1ACF" w:rsidRPr="00D5464D">
        <w:rPr>
          <w:rFonts w:eastAsia="Batang" w:cs="Verdana"/>
          <w:i/>
          <w:szCs w:val="20"/>
          <w:lang w:val="pt-BR" w:eastAsia="es-ES"/>
        </w:rPr>
        <w:t xml:space="preserve"> Interamericana. –</w:t>
      </w:r>
      <w:r w:rsidR="00470ADC" w:rsidRPr="00D5464D">
        <w:rPr>
          <w:rFonts w:eastAsia="Batang" w:cs="Verdana"/>
          <w:i/>
          <w:szCs w:val="20"/>
          <w:lang w:val="pt-BR" w:eastAsia="es-ES"/>
        </w:rPr>
        <w:t xml:space="preserve"> </w:t>
      </w:r>
      <w:r w:rsidRPr="00D5464D">
        <w:rPr>
          <w:rFonts w:eastAsia="Batang" w:cs="Verdana"/>
          <w:szCs w:val="20"/>
          <w:lang w:val="pt-BR" w:eastAsia="es-ES"/>
        </w:rPr>
        <w:t>C</w:t>
      </w:r>
      <w:r w:rsidR="00470ADC" w:rsidRPr="00D5464D">
        <w:rPr>
          <w:rFonts w:eastAsia="Batang" w:cs="Verdana"/>
          <w:szCs w:val="20"/>
          <w:lang w:val="pt-BR" w:eastAsia="es-ES"/>
        </w:rPr>
        <w:t xml:space="preserve">om </w:t>
      </w:r>
      <w:r w:rsidR="00BA1ACF" w:rsidRPr="00D5464D">
        <w:rPr>
          <w:rFonts w:eastAsia="Batang" w:cs="Verdana"/>
          <w:szCs w:val="20"/>
          <w:lang w:val="pt-BR" w:eastAsia="es-ES"/>
        </w:rPr>
        <w:t>base</w:t>
      </w:r>
      <w:r w:rsidR="00A1358C" w:rsidRPr="00D5464D">
        <w:rPr>
          <w:rFonts w:eastAsia="Batang" w:cs="Verdana"/>
          <w:szCs w:val="20"/>
          <w:lang w:val="pt-BR" w:eastAsia="es-ES"/>
        </w:rPr>
        <w:t xml:space="preserve"> no </w:t>
      </w:r>
      <w:r w:rsidR="00BA1ACF" w:rsidRPr="00D5464D">
        <w:rPr>
          <w:rFonts w:eastAsia="Batang" w:cs="Verdana"/>
          <w:szCs w:val="20"/>
          <w:lang w:val="pt-BR" w:eastAsia="es-ES"/>
        </w:rPr>
        <w:t>anterior,</w:t>
      </w:r>
      <w:r w:rsidR="002C330E" w:rsidRPr="00D5464D">
        <w:rPr>
          <w:rFonts w:eastAsia="Batang" w:cs="Verdana"/>
          <w:szCs w:val="20"/>
          <w:lang w:val="pt-BR" w:eastAsia="es-ES"/>
        </w:rPr>
        <w:t xml:space="preserve"> a </w:t>
      </w:r>
      <w:r w:rsidR="00470ADC" w:rsidRPr="00D5464D">
        <w:rPr>
          <w:rFonts w:eastAsia="Batang" w:cs="Verdana"/>
          <w:szCs w:val="20"/>
          <w:lang w:val="pt-BR" w:eastAsia="es-ES"/>
        </w:rPr>
        <w:t>Comissão</w:t>
      </w:r>
      <w:r w:rsidR="00BA1ACF" w:rsidRPr="00D5464D">
        <w:rPr>
          <w:rFonts w:eastAsia="Batang" w:cs="Verdana"/>
          <w:szCs w:val="20"/>
          <w:lang w:val="pt-BR" w:eastAsia="es-ES"/>
        </w:rPr>
        <w:t xml:space="preserve"> Interamericana </w:t>
      </w:r>
      <w:r w:rsidR="002C330E" w:rsidRPr="00D5464D">
        <w:rPr>
          <w:rFonts w:eastAsia="Batang" w:cs="Verdana"/>
          <w:szCs w:val="20"/>
          <w:lang w:val="pt-BR" w:eastAsia="es-ES"/>
        </w:rPr>
        <w:t>solicitou</w:t>
      </w:r>
      <w:r w:rsidR="00BA1ACF" w:rsidRPr="00D5464D">
        <w:rPr>
          <w:rFonts w:eastAsia="Batang" w:cs="Verdana"/>
          <w:szCs w:val="20"/>
          <w:lang w:val="pt-BR" w:eastAsia="es-ES"/>
        </w:rPr>
        <w:t xml:space="preserve"> a este Tribunal que declara</w:t>
      </w:r>
      <w:r w:rsidRPr="00D5464D">
        <w:rPr>
          <w:rFonts w:eastAsia="Batang" w:cs="Verdana"/>
          <w:szCs w:val="20"/>
          <w:lang w:val="pt-BR" w:eastAsia="es-ES"/>
        </w:rPr>
        <w:t>sse</w:t>
      </w:r>
      <w:r w:rsidR="002C330E" w:rsidRPr="00D5464D">
        <w:rPr>
          <w:rFonts w:eastAsia="Batang" w:cs="Verdana"/>
          <w:szCs w:val="20"/>
          <w:lang w:val="pt-BR" w:eastAsia="es-ES"/>
        </w:rPr>
        <w:t xml:space="preserve"> a responsabilidade </w:t>
      </w:r>
      <w:r w:rsidRPr="00D5464D">
        <w:rPr>
          <w:rFonts w:eastAsia="Batang" w:cs="Verdana"/>
          <w:szCs w:val="20"/>
          <w:lang w:val="pt-BR" w:eastAsia="es-ES"/>
        </w:rPr>
        <w:t>internacional do</w:t>
      </w:r>
      <w:r w:rsidR="00BA1ACF" w:rsidRPr="00D5464D">
        <w:rPr>
          <w:rFonts w:eastAsia="Batang" w:cs="Verdana"/>
          <w:szCs w:val="20"/>
          <w:lang w:val="pt-BR" w:eastAsia="es-ES"/>
        </w:rPr>
        <w:t xml:space="preserve"> Brasil</w:t>
      </w:r>
      <w:r w:rsidR="002C330E" w:rsidRPr="00D5464D">
        <w:rPr>
          <w:rFonts w:eastAsia="Batang" w:cs="Verdana"/>
          <w:szCs w:val="20"/>
          <w:lang w:val="pt-BR" w:eastAsia="es-ES"/>
        </w:rPr>
        <w:t xml:space="preserve"> pelas </w:t>
      </w:r>
      <w:r w:rsidR="00BA1ACF" w:rsidRPr="00D5464D">
        <w:rPr>
          <w:rFonts w:eastAsia="Batang" w:cs="Verdana"/>
          <w:szCs w:val="20"/>
          <w:lang w:val="pt-BR" w:eastAsia="es-ES"/>
        </w:rPr>
        <w:t>viola</w:t>
      </w:r>
      <w:r w:rsidR="00470ADC" w:rsidRPr="00D5464D">
        <w:rPr>
          <w:rFonts w:eastAsia="Batang" w:cs="Verdana"/>
          <w:szCs w:val="20"/>
          <w:lang w:val="pt-BR" w:eastAsia="es-ES"/>
        </w:rPr>
        <w:t>ções</w:t>
      </w:r>
      <w:r w:rsidR="00BA1ACF" w:rsidRPr="00D5464D">
        <w:rPr>
          <w:rFonts w:eastAsia="Batang" w:cs="Verdana"/>
          <w:szCs w:val="20"/>
          <w:lang w:val="pt-BR" w:eastAsia="es-ES"/>
        </w:rPr>
        <w:t xml:space="preserve"> </w:t>
      </w:r>
      <w:r w:rsidR="00470ADC" w:rsidRPr="00D5464D">
        <w:rPr>
          <w:rFonts w:eastAsia="Batang" w:cs="Verdana"/>
          <w:szCs w:val="20"/>
          <w:lang w:val="pt-BR" w:eastAsia="es-ES"/>
        </w:rPr>
        <w:t>incluídas</w:t>
      </w:r>
      <w:r w:rsidR="00E045D9" w:rsidRPr="00D5464D">
        <w:rPr>
          <w:rFonts w:eastAsia="Batang" w:cs="Verdana"/>
          <w:szCs w:val="20"/>
          <w:lang w:val="pt-BR" w:eastAsia="es-ES"/>
        </w:rPr>
        <w:t xml:space="preserve"> no </w:t>
      </w:r>
      <w:r w:rsidR="00350187" w:rsidRPr="00D5464D">
        <w:rPr>
          <w:rFonts w:eastAsia="Batang" w:cs="Verdana"/>
          <w:szCs w:val="20"/>
          <w:lang w:val="pt-BR" w:eastAsia="es-ES"/>
        </w:rPr>
        <w:t>Relatório</w:t>
      </w:r>
      <w:r w:rsidR="002C330E" w:rsidRPr="00D5464D">
        <w:rPr>
          <w:rFonts w:eastAsia="Batang" w:cs="Verdana"/>
          <w:szCs w:val="20"/>
          <w:lang w:val="pt-BR" w:eastAsia="es-ES"/>
        </w:rPr>
        <w:t xml:space="preserve"> de Admissibilidade</w:t>
      </w:r>
      <w:r w:rsidR="00E045D9" w:rsidRPr="00D5464D">
        <w:rPr>
          <w:rFonts w:eastAsia="Batang" w:cs="Verdana"/>
          <w:szCs w:val="20"/>
          <w:lang w:val="pt-BR" w:eastAsia="es-ES"/>
        </w:rPr>
        <w:t xml:space="preserve"> e </w:t>
      </w:r>
      <w:r w:rsidR="00470ADC" w:rsidRPr="00D5464D">
        <w:rPr>
          <w:rFonts w:eastAsia="Batang" w:cs="Verdana"/>
          <w:szCs w:val="20"/>
          <w:lang w:val="pt-BR" w:eastAsia="es-ES"/>
        </w:rPr>
        <w:t>Mérito</w:t>
      </w:r>
      <w:r w:rsidR="00E045D9" w:rsidRPr="00D5464D">
        <w:rPr>
          <w:rFonts w:eastAsia="Batang" w:cs="Verdana"/>
          <w:szCs w:val="20"/>
          <w:lang w:val="pt-BR" w:eastAsia="es-ES"/>
        </w:rPr>
        <w:t xml:space="preserve"> e </w:t>
      </w:r>
      <w:r w:rsidR="00BA1ACF" w:rsidRPr="00D5464D">
        <w:rPr>
          <w:rFonts w:eastAsia="Batang" w:cs="Verdana"/>
          <w:szCs w:val="20"/>
          <w:lang w:val="pt-BR" w:eastAsia="es-ES"/>
        </w:rPr>
        <w:t>que ordena</w:t>
      </w:r>
      <w:r w:rsidRPr="00D5464D">
        <w:rPr>
          <w:rFonts w:eastAsia="Batang" w:cs="Verdana"/>
          <w:szCs w:val="20"/>
          <w:lang w:val="pt-BR" w:eastAsia="es-ES"/>
        </w:rPr>
        <w:t>sse</w:t>
      </w:r>
      <w:r w:rsidR="00470ADC" w:rsidRPr="00D5464D">
        <w:rPr>
          <w:rFonts w:eastAsia="Batang" w:cs="Verdana"/>
          <w:szCs w:val="20"/>
          <w:lang w:val="pt-BR" w:eastAsia="es-ES"/>
        </w:rPr>
        <w:t xml:space="preserve"> ao </w:t>
      </w:r>
      <w:r w:rsidR="00BA1ACF" w:rsidRPr="00D5464D">
        <w:rPr>
          <w:rFonts w:eastAsia="Batang" w:cs="Verdana"/>
          <w:szCs w:val="20"/>
          <w:lang w:val="pt-BR" w:eastAsia="es-ES"/>
        </w:rPr>
        <w:t>Estado, como medidas de repara</w:t>
      </w:r>
      <w:r w:rsidR="00470ADC" w:rsidRPr="00D5464D">
        <w:rPr>
          <w:rFonts w:eastAsia="Batang" w:cs="Verdana"/>
          <w:szCs w:val="20"/>
          <w:lang w:val="pt-BR" w:eastAsia="es-ES"/>
        </w:rPr>
        <w:t>ção</w:t>
      </w:r>
      <w:r w:rsidR="00BA1ACF" w:rsidRPr="00D5464D">
        <w:rPr>
          <w:rFonts w:eastAsia="Batang" w:cs="Verdana"/>
          <w:szCs w:val="20"/>
          <w:lang w:val="pt-BR" w:eastAsia="es-ES"/>
        </w:rPr>
        <w:t>,</w:t>
      </w:r>
      <w:r w:rsidR="002C330E" w:rsidRPr="00D5464D">
        <w:rPr>
          <w:rFonts w:eastAsia="Batang" w:cs="Verdana"/>
          <w:szCs w:val="20"/>
          <w:lang w:val="pt-BR" w:eastAsia="es-ES"/>
        </w:rPr>
        <w:t xml:space="preserve"> as </w:t>
      </w:r>
      <w:r w:rsidR="00BA1ACF" w:rsidRPr="00D5464D">
        <w:rPr>
          <w:rFonts w:eastAsia="Batang" w:cs="Verdana"/>
          <w:szCs w:val="20"/>
          <w:lang w:val="pt-BR" w:eastAsia="es-ES"/>
        </w:rPr>
        <w:t>recomenda</w:t>
      </w:r>
      <w:r w:rsidR="00470ADC" w:rsidRPr="00D5464D">
        <w:rPr>
          <w:rFonts w:eastAsia="Batang" w:cs="Verdana"/>
          <w:szCs w:val="20"/>
          <w:lang w:val="pt-BR" w:eastAsia="es-ES"/>
        </w:rPr>
        <w:t>ções</w:t>
      </w:r>
      <w:r w:rsidR="00BA1ACF" w:rsidRPr="00D5464D">
        <w:rPr>
          <w:rFonts w:eastAsia="Batang" w:cs="Verdana"/>
          <w:szCs w:val="20"/>
          <w:lang w:val="pt-BR" w:eastAsia="es-ES"/>
        </w:rPr>
        <w:t xml:space="preserve"> </w:t>
      </w:r>
      <w:r w:rsidR="002C330E" w:rsidRPr="00D5464D">
        <w:rPr>
          <w:rFonts w:eastAsia="Batang" w:cs="Verdana"/>
          <w:szCs w:val="20"/>
          <w:lang w:val="pt-BR" w:eastAsia="es-ES"/>
        </w:rPr>
        <w:t>incluíd</w:t>
      </w:r>
      <w:r w:rsidR="00BA1ACF" w:rsidRPr="00D5464D">
        <w:rPr>
          <w:rFonts w:eastAsia="Batang" w:cs="Verdana"/>
          <w:szCs w:val="20"/>
          <w:lang w:val="pt-BR" w:eastAsia="es-ES"/>
        </w:rPr>
        <w:t>as</w:t>
      </w:r>
      <w:r w:rsidR="00E045D9" w:rsidRPr="00D5464D">
        <w:rPr>
          <w:rFonts w:eastAsia="Batang" w:cs="Verdana"/>
          <w:szCs w:val="20"/>
          <w:lang w:val="pt-BR" w:eastAsia="es-ES"/>
        </w:rPr>
        <w:t xml:space="preserve"> neste </w:t>
      </w:r>
      <w:r w:rsidR="00350187" w:rsidRPr="00D5464D">
        <w:rPr>
          <w:rFonts w:eastAsia="Batang" w:cs="Verdana"/>
          <w:szCs w:val="20"/>
          <w:lang w:val="pt-BR" w:eastAsia="es-ES"/>
        </w:rPr>
        <w:t>relatório</w:t>
      </w:r>
      <w:r w:rsidR="002C330E" w:rsidRPr="00D5464D">
        <w:rPr>
          <w:rFonts w:eastAsia="Batang" w:cs="Verdana"/>
          <w:szCs w:val="20"/>
          <w:lang w:val="pt-BR" w:eastAsia="es-ES"/>
        </w:rPr>
        <w:t xml:space="preserve"> </w:t>
      </w:r>
      <w:r w:rsidR="00BA1ACF" w:rsidRPr="00D5464D">
        <w:rPr>
          <w:rFonts w:eastAsia="Batang" w:cs="Verdana"/>
          <w:szCs w:val="20"/>
          <w:lang w:val="pt-BR" w:eastAsia="es-ES"/>
        </w:rPr>
        <w:t>(</w:t>
      </w:r>
      <w:r w:rsidR="00D036E7" w:rsidRPr="00D5464D">
        <w:rPr>
          <w:rFonts w:eastAsia="Batang" w:cs="Verdana"/>
          <w:szCs w:val="20"/>
          <w:lang w:val="pt-BR" w:eastAsia="es-ES"/>
        </w:rPr>
        <w:t xml:space="preserve">par. 2 </w:t>
      </w:r>
      <w:r w:rsidR="00D036E7" w:rsidRPr="00D5464D">
        <w:rPr>
          <w:rFonts w:eastAsia="Batang" w:cs="Verdana"/>
          <w:i/>
          <w:szCs w:val="20"/>
          <w:lang w:val="pt-BR" w:eastAsia="es-ES"/>
        </w:rPr>
        <w:t>supra)</w:t>
      </w:r>
      <w:r w:rsidR="00BA1ACF" w:rsidRPr="00D5464D">
        <w:rPr>
          <w:rFonts w:eastAsia="Batang" w:cs="Verdana"/>
          <w:szCs w:val="20"/>
          <w:lang w:val="pt-BR" w:eastAsia="es-ES"/>
        </w:rPr>
        <w:t>.</w:t>
      </w:r>
    </w:p>
    <w:p w14:paraId="003E558B" w14:textId="77777777" w:rsidR="00BA1ACF" w:rsidRPr="00D5464D" w:rsidRDefault="00BA1ACF" w:rsidP="00140440">
      <w:pPr>
        <w:tabs>
          <w:tab w:val="clear" w:pos="4419"/>
          <w:tab w:val="clear" w:pos="8838"/>
        </w:tabs>
        <w:jc w:val="both"/>
        <w:rPr>
          <w:rFonts w:eastAsia="Batang" w:cs="Verdana"/>
          <w:i/>
          <w:szCs w:val="20"/>
          <w:lang w:val="pt-BR" w:eastAsia="es-ES"/>
        </w:rPr>
      </w:pPr>
    </w:p>
    <w:p w14:paraId="7264782E" w14:textId="69605118" w:rsidR="00BA1ACF" w:rsidRPr="00D5464D" w:rsidRDefault="00BA1ACF" w:rsidP="00140440">
      <w:pPr>
        <w:pStyle w:val="Style1"/>
        <w:spacing w:after="0"/>
        <w:rPr>
          <w:lang w:val="pt-BR"/>
        </w:rPr>
      </w:pPr>
      <w:bookmarkStart w:id="6" w:name="_Toc359314415"/>
      <w:bookmarkStart w:id="7" w:name="_Toc361671572"/>
      <w:bookmarkStart w:id="8" w:name="_Toc361671992"/>
      <w:bookmarkStart w:id="9" w:name="_Toc361732789"/>
      <w:bookmarkStart w:id="10" w:name="_Toc361732832"/>
      <w:bookmarkStart w:id="11" w:name="_Toc362456863"/>
      <w:bookmarkStart w:id="12" w:name="_Toc365021392"/>
      <w:bookmarkStart w:id="13" w:name="_Toc369076778"/>
      <w:bookmarkStart w:id="14" w:name="_Toc369989362"/>
      <w:bookmarkStart w:id="15" w:name="_Toc369989449"/>
      <w:bookmarkStart w:id="16" w:name="_Toc369989730"/>
      <w:bookmarkStart w:id="17" w:name="_Toc404770055"/>
      <w:bookmarkStart w:id="18" w:name="_Toc416164785"/>
      <w:bookmarkStart w:id="19" w:name="_Toc468433846"/>
      <w:r w:rsidRPr="00D5464D">
        <w:rPr>
          <w:lang w:val="pt-BR"/>
        </w:rPr>
        <w:t>II</w:t>
      </w:r>
      <w:r w:rsidRPr="00D5464D">
        <w:rPr>
          <w:lang w:val="pt-BR"/>
        </w:rPr>
        <w:br/>
      </w:r>
      <w:bookmarkStart w:id="20" w:name="_Toc311128156"/>
      <w:bookmarkStart w:id="21" w:name="_Toc311128353"/>
      <w:r w:rsidR="002C330E" w:rsidRPr="00D5464D">
        <w:rPr>
          <w:lang w:val="pt-BR"/>
        </w:rPr>
        <w:t>PROCEDIMENTO</w:t>
      </w:r>
      <w:r w:rsidR="00470ADC" w:rsidRPr="00D5464D">
        <w:rPr>
          <w:lang w:val="pt-BR"/>
        </w:rPr>
        <w:t xml:space="preserve"> perante a </w:t>
      </w:r>
      <w:r w:rsidRPr="00D5464D">
        <w:rPr>
          <w:lang w:val="pt-BR"/>
        </w:rPr>
        <w:t>CORTE</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13636FE1" w14:textId="77777777" w:rsidR="00BA1ACF" w:rsidRPr="00D5464D" w:rsidRDefault="00BA1ACF" w:rsidP="00140440">
      <w:pPr>
        <w:tabs>
          <w:tab w:val="clear" w:pos="4419"/>
          <w:tab w:val="clear" w:pos="8838"/>
          <w:tab w:val="left" w:pos="567"/>
          <w:tab w:val="left" w:pos="1134"/>
        </w:tabs>
        <w:autoSpaceDE w:val="0"/>
        <w:autoSpaceDN w:val="0"/>
        <w:adjustRightInd w:val="0"/>
        <w:jc w:val="both"/>
        <w:rPr>
          <w:rFonts w:eastAsia="Batang" w:cs="Verdana"/>
          <w:szCs w:val="20"/>
          <w:lang w:val="pt-BR" w:eastAsia="es-ES"/>
        </w:rPr>
      </w:pPr>
    </w:p>
    <w:p w14:paraId="68C7D3A4" w14:textId="0CC596B1" w:rsidR="00BA1ACF" w:rsidRPr="00D5464D" w:rsidRDefault="00BA1ACF" w:rsidP="00140440">
      <w:pPr>
        <w:numPr>
          <w:ilvl w:val="0"/>
          <w:numId w:val="1"/>
        </w:numPr>
        <w:tabs>
          <w:tab w:val="clear" w:pos="4419"/>
          <w:tab w:val="clear" w:pos="8838"/>
          <w:tab w:val="left" w:pos="567"/>
          <w:tab w:val="left" w:pos="1134"/>
        </w:tabs>
        <w:jc w:val="both"/>
        <w:rPr>
          <w:rFonts w:eastAsia="Batang" w:cs="Times New Roman"/>
          <w:b/>
          <w:i/>
          <w:szCs w:val="20"/>
          <w:lang w:val="pt-BR" w:eastAsia="es-ES"/>
        </w:rPr>
      </w:pPr>
      <w:r w:rsidRPr="00D5464D">
        <w:rPr>
          <w:rFonts w:eastAsia="Batang" w:cs="Times New Roman"/>
          <w:i/>
          <w:szCs w:val="20"/>
          <w:lang w:val="pt-BR" w:eastAsia="es-ES"/>
        </w:rPr>
        <w:t>Notifica</w:t>
      </w:r>
      <w:r w:rsidR="00470ADC" w:rsidRPr="00D5464D">
        <w:rPr>
          <w:rFonts w:eastAsia="Batang" w:cs="Times New Roman"/>
          <w:i/>
          <w:szCs w:val="20"/>
          <w:lang w:val="pt-BR" w:eastAsia="es-ES"/>
        </w:rPr>
        <w:t xml:space="preserve">ção </w:t>
      </w:r>
      <w:r w:rsidR="00AA01AA" w:rsidRPr="00D5464D">
        <w:rPr>
          <w:rFonts w:eastAsia="Batang" w:cs="Times New Roman"/>
          <w:i/>
          <w:szCs w:val="20"/>
          <w:lang w:val="pt-BR" w:eastAsia="es-ES"/>
        </w:rPr>
        <w:t>d</w:t>
      </w:r>
      <w:r w:rsidR="00470ADC" w:rsidRPr="00D5464D">
        <w:rPr>
          <w:rFonts w:eastAsia="Batang" w:cs="Times New Roman"/>
          <w:i/>
          <w:szCs w:val="20"/>
          <w:lang w:val="pt-BR" w:eastAsia="es-ES"/>
        </w:rPr>
        <w:t xml:space="preserve">o </w:t>
      </w:r>
      <w:r w:rsidRPr="00D5464D">
        <w:rPr>
          <w:rFonts w:eastAsia="Batang" w:cs="Times New Roman"/>
          <w:i/>
          <w:szCs w:val="20"/>
          <w:lang w:val="pt-BR" w:eastAsia="es-ES"/>
        </w:rPr>
        <w:t>Estado</w:t>
      </w:r>
      <w:r w:rsidR="00E045D9" w:rsidRPr="00D5464D">
        <w:rPr>
          <w:rFonts w:eastAsia="Batang" w:cs="Times New Roman"/>
          <w:i/>
          <w:szCs w:val="20"/>
          <w:lang w:val="pt-BR" w:eastAsia="es-ES"/>
        </w:rPr>
        <w:t xml:space="preserve"> e </w:t>
      </w:r>
      <w:r w:rsidR="00AA01AA" w:rsidRPr="00D5464D">
        <w:rPr>
          <w:rFonts w:eastAsia="Batang" w:cs="Times New Roman"/>
          <w:i/>
          <w:szCs w:val="20"/>
          <w:lang w:val="pt-BR" w:eastAsia="es-ES"/>
        </w:rPr>
        <w:t>d</w:t>
      </w:r>
      <w:r w:rsidR="00E045D9" w:rsidRPr="00D5464D">
        <w:rPr>
          <w:rFonts w:eastAsia="Batang" w:cs="Times New Roman"/>
          <w:i/>
          <w:szCs w:val="20"/>
          <w:lang w:val="pt-BR" w:eastAsia="es-ES"/>
        </w:rPr>
        <w:t xml:space="preserve">os </w:t>
      </w:r>
      <w:r w:rsidR="00EB1CE9" w:rsidRPr="00D5464D">
        <w:rPr>
          <w:rFonts w:eastAsia="Batang" w:cs="Times New Roman"/>
          <w:i/>
          <w:szCs w:val="20"/>
          <w:lang w:val="pt-BR" w:eastAsia="es-ES"/>
        </w:rPr>
        <w:t>representante</w:t>
      </w:r>
      <w:r w:rsidRPr="00D5464D">
        <w:rPr>
          <w:rFonts w:eastAsia="Batang" w:cs="Times New Roman"/>
          <w:i/>
          <w:szCs w:val="20"/>
          <w:lang w:val="pt-BR" w:eastAsia="es-ES"/>
        </w:rPr>
        <w:t>s. –</w:t>
      </w:r>
      <w:r w:rsidR="00547C8F" w:rsidRPr="00D5464D">
        <w:rPr>
          <w:rFonts w:eastAsia="Batang" w:cs="Times New Roman"/>
          <w:i/>
          <w:szCs w:val="20"/>
          <w:lang w:val="pt-BR" w:eastAsia="es-ES"/>
        </w:rPr>
        <w:t xml:space="preserve"> </w:t>
      </w:r>
      <w:r w:rsidR="00AA01AA" w:rsidRPr="00D5464D">
        <w:rPr>
          <w:rFonts w:eastAsia="Batang" w:cs="Times New Roman"/>
          <w:szCs w:val="20"/>
          <w:lang w:val="pt-BR" w:eastAsia="es-ES"/>
        </w:rPr>
        <w:t xml:space="preserve">Em 14 de abril de 2015, o Estado e os representantes foram notificados da apresentação do caso pela Comissão. </w:t>
      </w:r>
    </w:p>
    <w:p w14:paraId="550F30AA" w14:textId="77777777" w:rsidR="004C7778" w:rsidRPr="00D5464D" w:rsidRDefault="004C7778" w:rsidP="00140440">
      <w:pPr>
        <w:tabs>
          <w:tab w:val="clear" w:pos="4419"/>
          <w:tab w:val="clear" w:pos="8838"/>
          <w:tab w:val="left" w:pos="567"/>
          <w:tab w:val="left" w:pos="1134"/>
        </w:tabs>
        <w:jc w:val="both"/>
        <w:rPr>
          <w:rFonts w:eastAsia="Batang" w:cs="Times New Roman"/>
          <w:b/>
          <w:i/>
          <w:szCs w:val="20"/>
          <w:lang w:val="pt-BR" w:eastAsia="es-ES"/>
        </w:rPr>
      </w:pPr>
    </w:p>
    <w:p w14:paraId="42CACDCA" w14:textId="2321EC8B" w:rsidR="00BA1ACF" w:rsidRPr="00D5464D" w:rsidRDefault="00230C71" w:rsidP="00140440">
      <w:pPr>
        <w:numPr>
          <w:ilvl w:val="0"/>
          <w:numId w:val="1"/>
        </w:numPr>
        <w:tabs>
          <w:tab w:val="clear" w:pos="4419"/>
          <w:tab w:val="clear" w:pos="8838"/>
          <w:tab w:val="left" w:pos="567"/>
          <w:tab w:val="left" w:pos="1134"/>
        </w:tabs>
        <w:jc w:val="both"/>
        <w:rPr>
          <w:rFonts w:eastAsia="Batang" w:cs="Times New Roman"/>
          <w:i/>
          <w:szCs w:val="20"/>
          <w:lang w:val="pt-BR" w:eastAsia="es-ES"/>
        </w:rPr>
      </w:pPr>
      <w:r w:rsidRPr="00D5464D">
        <w:rPr>
          <w:rFonts w:eastAsia="Batang" w:cs="Times New Roman"/>
          <w:i/>
          <w:szCs w:val="20"/>
          <w:lang w:val="pt-BR" w:eastAsia="es-ES"/>
        </w:rPr>
        <w:t>Escrito de petições</w:t>
      </w:r>
      <w:r w:rsidR="00BA1ACF" w:rsidRPr="00D5464D">
        <w:rPr>
          <w:rFonts w:eastAsia="Batang" w:cs="Times New Roman"/>
          <w:i/>
          <w:szCs w:val="20"/>
          <w:lang w:val="pt-BR" w:eastAsia="es-ES"/>
        </w:rPr>
        <w:t>, argumentos</w:t>
      </w:r>
      <w:r w:rsidR="00E045D9" w:rsidRPr="00D5464D">
        <w:rPr>
          <w:rFonts w:eastAsia="Batang" w:cs="Times New Roman"/>
          <w:i/>
          <w:szCs w:val="20"/>
          <w:lang w:val="pt-BR" w:eastAsia="es-ES"/>
        </w:rPr>
        <w:t xml:space="preserve"> e </w:t>
      </w:r>
      <w:r w:rsidR="002C330E" w:rsidRPr="00D5464D">
        <w:rPr>
          <w:rFonts w:eastAsia="Batang" w:cs="Times New Roman"/>
          <w:i/>
          <w:szCs w:val="20"/>
          <w:lang w:val="pt-BR" w:eastAsia="es-ES"/>
        </w:rPr>
        <w:t>prova</w:t>
      </w:r>
      <w:r w:rsidR="00BA1ACF" w:rsidRPr="00D5464D">
        <w:rPr>
          <w:rFonts w:eastAsia="Batang" w:cs="Times New Roman"/>
          <w:i/>
          <w:szCs w:val="20"/>
          <w:lang w:val="pt-BR" w:eastAsia="es-ES"/>
        </w:rPr>
        <w:t>s. –</w:t>
      </w:r>
      <w:r w:rsidR="00C91CB1" w:rsidRPr="00D5464D">
        <w:rPr>
          <w:rFonts w:eastAsia="Batang" w:cs="Times New Roman"/>
          <w:i/>
          <w:szCs w:val="20"/>
          <w:lang w:val="pt-BR" w:eastAsia="es-ES"/>
        </w:rPr>
        <w:t xml:space="preserve"> </w:t>
      </w:r>
      <w:r w:rsidR="00DB2CAE" w:rsidRPr="00D5464D">
        <w:rPr>
          <w:rFonts w:eastAsia="Batang" w:cs="Times New Roman"/>
          <w:szCs w:val="20"/>
          <w:lang w:val="pt-BR" w:eastAsia="es-ES"/>
        </w:rPr>
        <w:t>E</w:t>
      </w:r>
      <w:r w:rsidR="00C91CB1" w:rsidRPr="00D5464D">
        <w:rPr>
          <w:rFonts w:eastAsia="Batang" w:cs="Times New Roman"/>
          <w:szCs w:val="20"/>
          <w:lang w:val="pt-BR" w:eastAsia="es-ES"/>
        </w:rPr>
        <w:t>m 1</w:t>
      </w:r>
      <w:r w:rsidR="004C7778" w:rsidRPr="00D5464D">
        <w:rPr>
          <w:rFonts w:eastAsia="Batang" w:cs="Times New Roman"/>
          <w:szCs w:val="20"/>
          <w:lang w:val="pt-BR"/>
        </w:rPr>
        <w:t xml:space="preserve">7 de </w:t>
      </w:r>
      <w:r w:rsidR="002C330E" w:rsidRPr="00D5464D">
        <w:rPr>
          <w:rFonts w:eastAsia="Batang" w:cs="Times New Roman"/>
          <w:szCs w:val="20"/>
          <w:lang w:val="pt-BR"/>
        </w:rPr>
        <w:t>junho</w:t>
      </w:r>
      <w:r w:rsidR="00BA1ACF" w:rsidRPr="00D5464D">
        <w:rPr>
          <w:rFonts w:eastAsia="Batang" w:cs="Times New Roman"/>
          <w:szCs w:val="20"/>
          <w:lang w:val="pt-BR"/>
        </w:rPr>
        <w:t xml:space="preserve"> de 2015</w:t>
      </w:r>
      <w:r w:rsidR="00DB2CAE" w:rsidRPr="00D5464D">
        <w:rPr>
          <w:rFonts w:eastAsia="Batang" w:cs="Times New Roman"/>
          <w:szCs w:val="20"/>
          <w:lang w:val="pt-BR"/>
        </w:rPr>
        <w:t>,</w:t>
      </w:r>
      <w:r w:rsidR="002C330E" w:rsidRPr="00D5464D">
        <w:rPr>
          <w:rFonts w:eastAsia="Batang" w:cs="Times New Roman"/>
          <w:szCs w:val="20"/>
          <w:lang w:val="pt-BR"/>
        </w:rPr>
        <w:t xml:space="preserve"> os </w:t>
      </w:r>
      <w:r w:rsidR="00EB1CE9" w:rsidRPr="00D5464D">
        <w:rPr>
          <w:rFonts w:eastAsia="Batang" w:cs="Times New Roman"/>
          <w:szCs w:val="20"/>
          <w:lang w:val="pt-BR"/>
        </w:rPr>
        <w:t>representante</w:t>
      </w:r>
      <w:r w:rsidR="00BA1ACF" w:rsidRPr="00D5464D">
        <w:rPr>
          <w:rFonts w:eastAsia="Batang" w:cs="Times New Roman"/>
          <w:szCs w:val="20"/>
          <w:lang w:val="pt-BR"/>
        </w:rPr>
        <w:t xml:space="preserve">s </w:t>
      </w:r>
      <w:r w:rsidR="002C330E" w:rsidRPr="00D5464D">
        <w:rPr>
          <w:rFonts w:eastAsia="Batang" w:cs="Times New Roman"/>
          <w:szCs w:val="20"/>
          <w:lang w:val="pt-BR"/>
        </w:rPr>
        <w:t xml:space="preserve">apresentaram seu </w:t>
      </w:r>
      <w:r w:rsidRPr="00D5464D">
        <w:rPr>
          <w:rFonts w:eastAsia="Batang" w:cs="Times New Roman"/>
          <w:szCs w:val="20"/>
          <w:lang w:val="pt-BR"/>
        </w:rPr>
        <w:t>escrito de petições</w:t>
      </w:r>
      <w:r w:rsidR="00BA1ACF" w:rsidRPr="00D5464D">
        <w:rPr>
          <w:rFonts w:eastAsia="Batang" w:cs="Times New Roman"/>
          <w:szCs w:val="20"/>
          <w:lang w:val="pt-BR"/>
        </w:rPr>
        <w:t>, argumentos</w:t>
      </w:r>
      <w:r w:rsidR="00E045D9" w:rsidRPr="00D5464D">
        <w:rPr>
          <w:rFonts w:eastAsia="Batang" w:cs="Times New Roman"/>
          <w:szCs w:val="20"/>
          <w:lang w:val="pt-BR"/>
        </w:rPr>
        <w:t xml:space="preserve"> e </w:t>
      </w:r>
      <w:r w:rsidR="002C330E" w:rsidRPr="00D5464D">
        <w:rPr>
          <w:rFonts w:eastAsia="Batang" w:cs="Times New Roman"/>
          <w:szCs w:val="20"/>
          <w:lang w:val="pt-BR"/>
        </w:rPr>
        <w:t>prova</w:t>
      </w:r>
      <w:r w:rsidR="00BA1ACF" w:rsidRPr="00D5464D">
        <w:rPr>
          <w:rFonts w:eastAsia="Batang" w:cs="Times New Roman"/>
          <w:szCs w:val="20"/>
          <w:lang w:val="pt-BR"/>
        </w:rPr>
        <w:t>s (</w:t>
      </w:r>
      <w:r w:rsidR="00350187" w:rsidRPr="00D5464D">
        <w:rPr>
          <w:rFonts w:eastAsia="Batang" w:cs="Times New Roman"/>
          <w:szCs w:val="20"/>
          <w:lang w:val="pt-BR"/>
        </w:rPr>
        <w:t>doravante denominad</w:t>
      </w:r>
      <w:r w:rsidR="00DB2CAE" w:rsidRPr="00D5464D">
        <w:rPr>
          <w:rFonts w:eastAsia="Batang" w:cs="Times New Roman"/>
          <w:szCs w:val="20"/>
          <w:lang w:val="pt-BR"/>
        </w:rPr>
        <w:t>o</w:t>
      </w:r>
      <w:r w:rsidR="00BA1ACF" w:rsidRPr="00D5464D">
        <w:rPr>
          <w:rFonts w:eastAsia="Batang" w:cs="Times New Roman"/>
          <w:szCs w:val="20"/>
          <w:lang w:val="pt-BR"/>
        </w:rPr>
        <w:t xml:space="preserve"> “</w:t>
      </w:r>
      <w:r w:rsidRPr="00D5464D">
        <w:rPr>
          <w:rFonts w:eastAsia="Batang" w:cs="Times New Roman"/>
          <w:szCs w:val="20"/>
          <w:lang w:val="pt-BR"/>
        </w:rPr>
        <w:t>escrito de petições</w:t>
      </w:r>
      <w:r w:rsidR="00E045D9" w:rsidRPr="00D5464D">
        <w:rPr>
          <w:rFonts w:eastAsia="Batang" w:cs="Times New Roman"/>
          <w:szCs w:val="20"/>
          <w:lang w:val="pt-BR"/>
        </w:rPr>
        <w:t xml:space="preserve"> e </w:t>
      </w:r>
      <w:r w:rsidR="00BA1ACF" w:rsidRPr="00D5464D">
        <w:rPr>
          <w:rFonts w:eastAsia="Batang" w:cs="Times New Roman"/>
          <w:szCs w:val="20"/>
          <w:lang w:val="pt-BR"/>
        </w:rPr>
        <w:t>argumentos”),</w:t>
      </w:r>
      <w:r w:rsidR="00E045D9" w:rsidRPr="00D5464D">
        <w:rPr>
          <w:rFonts w:eastAsia="Batang" w:cs="Times New Roman"/>
          <w:szCs w:val="20"/>
          <w:lang w:val="pt-BR"/>
        </w:rPr>
        <w:t xml:space="preserve"> nos termo</w:t>
      </w:r>
      <w:r w:rsidR="00BA1ACF" w:rsidRPr="00D5464D">
        <w:rPr>
          <w:rFonts w:eastAsia="Batang" w:cs="Times New Roman"/>
          <w:szCs w:val="20"/>
          <w:lang w:val="pt-BR"/>
        </w:rPr>
        <w:t>s</w:t>
      </w:r>
      <w:r w:rsidR="00470ADC" w:rsidRPr="00D5464D">
        <w:rPr>
          <w:rFonts w:eastAsia="Batang" w:cs="Times New Roman"/>
          <w:szCs w:val="20"/>
          <w:lang w:val="pt-BR"/>
        </w:rPr>
        <w:t xml:space="preserve"> dos artigo</w:t>
      </w:r>
      <w:r w:rsidR="00BA1ACF" w:rsidRPr="00D5464D">
        <w:rPr>
          <w:rFonts w:eastAsia="Batang" w:cs="Times New Roman"/>
          <w:szCs w:val="20"/>
          <w:lang w:val="pt-BR"/>
        </w:rPr>
        <w:t>s 25</w:t>
      </w:r>
      <w:r w:rsidR="00E045D9" w:rsidRPr="00D5464D">
        <w:rPr>
          <w:rFonts w:eastAsia="Batang" w:cs="Times New Roman"/>
          <w:szCs w:val="20"/>
          <w:lang w:val="pt-BR"/>
        </w:rPr>
        <w:t xml:space="preserve"> e </w:t>
      </w:r>
      <w:r w:rsidR="00BA1ACF" w:rsidRPr="00D5464D">
        <w:rPr>
          <w:rFonts w:eastAsia="Batang" w:cs="Times New Roman"/>
          <w:szCs w:val="20"/>
          <w:lang w:val="pt-BR"/>
        </w:rPr>
        <w:t xml:space="preserve">40 </w:t>
      </w:r>
      <w:r w:rsidR="00470ADC" w:rsidRPr="00D5464D">
        <w:rPr>
          <w:rFonts w:eastAsia="Batang" w:cs="Times New Roman"/>
          <w:szCs w:val="20"/>
          <w:lang w:val="pt-BR"/>
        </w:rPr>
        <w:t xml:space="preserve">do </w:t>
      </w:r>
      <w:r w:rsidR="002C330E" w:rsidRPr="00D5464D">
        <w:rPr>
          <w:rFonts w:eastAsia="Batang" w:cs="Times New Roman"/>
          <w:szCs w:val="20"/>
          <w:lang w:val="pt-BR"/>
        </w:rPr>
        <w:t>Regulamento</w:t>
      </w:r>
      <w:r w:rsidR="00470ADC" w:rsidRPr="00D5464D">
        <w:rPr>
          <w:rFonts w:eastAsia="Batang" w:cs="Times New Roman"/>
          <w:szCs w:val="20"/>
          <w:lang w:val="pt-BR"/>
        </w:rPr>
        <w:t xml:space="preserve"> da </w:t>
      </w:r>
      <w:r w:rsidR="00BA1ACF" w:rsidRPr="00D5464D">
        <w:rPr>
          <w:rFonts w:eastAsia="Batang" w:cs="Times New Roman"/>
          <w:szCs w:val="20"/>
          <w:lang w:val="pt-BR"/>
        </w:rPr>
        <w:t>Corte</w:t>
      </w:r>
      <w:r w:rsidR="00DB2CAE" w:rsidRPr="00D5464D">
        <w:rPr>
          <w:rFonts w:eastAsia="Batang" w:cs="Times New Roman"/>
          <w:szCs w:val="20"/>
          <w:lang w:val="pt-BR"/>
        </w:rPr>
        <w:t>.</w:t>
      </w:r>
      <w:r w:rsidR="00225FE9" w:rsidRPr="00D5464D">
        <w:rPr>
          <w:rStyle w:val="Refdenotaalpie"/>
          <w:rFonts w:eastAsia="Batang"/>
          <w:lang w:val="pt-BR"/>
        </w:rPr>
        <w:footnoteReference w:id="4"/>
      </w:r>
      <w:r w:rsidR="004C7778" w:rsidRPr="00D5464D">
        <w:rPr>
          <w:rFonts w:eastAsia="Batang" w:cs="Times New Roman"/>
          <w:szCs w:val="20"/>
          <w:lang w:val="pt-BR"/>
        </w:rPr>
        <w:t xml:space="preserve"> </w:t>
      </w:r>
    </w:p>
    <w:p w14:paraId="794584AA" w14:textId="77777777" w:rsidR="004C7778" w:rsidRPr="00D5464D" w:rsidRDefault="004C7778" w:rsidP="00140440">
      <w:pPr>
        <w:tabs>
          <w:tab w:val="clear" w:pos="4419"/>
          <w:tab w:val="clear" w:pos="8838"/>
          <w:tab w:val="left" w:pos="567"/>
          <w:tab w:val="left" w:pos="1134"/>
        </w:tabs>
        <w:jc w:val="both"/>
        <w:rPr>
          <w:rFonts w:eastAsia="Batang" w:cs="Times New Roman"/>
          <w:i/>
          <w:szCs w:val="20"/>
          <w:lang w:val="pt-BR" w:eastAsia="es-ES"/>
        </w:rPr>
      </w:pPr>
    </w:p>
    <w:p w14:paraId="7AFF5621" w14:textId="6023338C" w:rsidR="00BA1ACF" w:rsidRPr="00D5464D" w:rsidRDefault="00BA1ACF" w:rsidP="00140440">
      <w:pPr>
        <w:numPr>
          <w:ilvl w:val="0"/>
          <w:numId w:val="1"/>
        </w:numPr>
        <w:tabs>
          <w:tab w:val="clear" w:pos="4419"/>
          <w:tab w:val="clear" w:pos="8838"/>
          <w:tab w:val="left" w:pos="567"/>
          <w:tab w:val="left" w:pos="1134"/>
        </w:tabs>
        <w:jc w:val="both"/>
        <w:rPr>
          <w:rFonts w:eastAsia="Batang" w:cs="Times New Roman"/>
          <w:szCs w:val="20"/>
          <w:lang w:val="pt-BR" w:eastAsia="es-ES"/>
        </w:rPr>
      </w:pPr>
      <w:r w:rsidRPr="00D5464D">
        <w:rPr>
          <w:rFonts w:eastAsia="Calibri" w:cs="Times New Roman"/>
          <w:bCs/>
          <w:i/>
          <w:szCs w:val="20"/>
          <w:lang w:val="pt-BR"/>
        </w:rPr>
        <w:t>Escrito de contesta</w:t>
      </w:r>
      <w:r w:rsidR="00470ADC" w:rsidRPr="00D5464D">
        <w:rPr>
          <w:rFonts w:eastAsia="Calibri" w:cs="Times New Roman"/>
          <w:bCs/>
          <w:i/>
          <w:szCs w:val="20"/>
          <w:lang w:val="pt-BR"/>
        </w:rPr>
        <w:t>ção</w:t>
      </w:r>
      <w:r w:rsidRPr="00D5464D">
        <w:rPr>
          <w:rFonts w:eastAsia="Calibri" w:cs="Times New Roman"/>
          <w:bCs/>
          <w:i/>
          <w:szCs w:val="20"/>
          <w:lang w:val="pt-BR"/>
        </w:rPr>
        <w:t>. –</w:t>
      </w:r>
      <w:r w:rsidR="00C91CB1" w:rsidRPr="00D5464D">
        <w:rPr>
          <w:rFonts w:eastAsia="Calibri" w:cs="Times New Roman"/>
          <w:bCs/>
          <w:i/>
          <w:szCs w:val="20"/>
          <w:lang w:val="pt-BR"/>
        </w:rPr>
        <w:t xml:space="preserve"> </w:t>
      </w:r>
      <w:r w:rsidR="00D65024" w:rsidRPr="00D5464D">
        <w:rPr>
          <w:rFonts w:eastAsia="Calibri" w:cs="Times New Roman"/>
          <w:bCs/>
          <w:szCs w:val="20"/>
          <w:lang w:val="pt-BR"/>
        </w:rPr>
        <w:t>E</w:t>
      </w:r>
      <w:r w:rsidR="00C91CB1" w:rsidRPr="00D5464D">
        <w:rPr>
          <w:rFonts w:eastAsia="Calibri" w:cs="Times New Roman"/>
          <w:bCs/>
          <w:szCs w:val="20"/>
          <w:lang w:val="pt-BR"/>
        </w:rPr>
        <w:t>m 1</w:t>
      </w:r>
      <w:r w:rsidR="006E5A83" w:rsidRPr="00D5464D">
        <w:rPr>
          <w:rFonts w:eastAsia="Batang" w:cs="Times New Roman"/>
          <w:szCs w:val="20"/>
          <w:lang w:val="pt-BR"/>
        </w:rPr>
        <w:t xml:space="preserve">4 de </w:t>
      </w:r>
      <w:r w:rsidR="002C330E" w:rsidRPr="00D5464D">
        <w:rPr>
          <w:rFonts w:eastAsia="Batang" w:cs="Times New Roman"/>
          <w:szCs w:val="20"/>
          <w:lang w:val="pt-BR"/>
        </w:rPr>
        <w:t>setembro</w:t>
      </w:r>
      <w:r w:rsidRPr="00D5464D">
        <w:rPr>
          <w:rFonts w:eastAsia="Batang" w:cs="Times New Roman"/>
          <w:szCs w:val="20"/>
          <w:lang w:val="pt-BR"/>
        </w:rPr>
        <w:t xml:space="preserve"> de 2015</w:t>
      </w:r>
      <w:r w:rsidR="004C36BF" w:rsidRPr="00D5464D">
        <w:rPr>
          <w:rFonts w:eastAsia="Batang" w:cs="Times New Roman"/>
          <w:szCs w:val="20"/>
          <w:lang w:val="pt-BR"/>
        </w:rPr>
        <w:t>,</w:t>
      </w:r>
      <w:r w:rsidR="00470ADC" w:rsidRPr="00D5464D">
        <w:rPr>
          <w:rFonts w:eastAsia="Batang" w:cs="Times New Roman"/>
          <w:szCs w:val="20"/>
          <w:lang w:val="pt-BR"/>
        </w:rPr>
        <w:t xml:space="preserve"> o </w:t>
      </w:r>
      <w:r w:rsidRPr="00D5464D">
        <w:rPr>
          <w:rFonts w:eastAsia="Batang" w:cs="Times New Roman"/>
          <w:szCs w:val="20"/>
          <w:lang w:val="pt-BR"/>
        </w:rPr>
        <w:t xml:space="preserve">Estado </w:t>
      </w:r>
      <w:r w:rsidR="002C330E" w:rsidRPr="00D5464D">
        <w:rPr>
          <w:rFonts w:eastAsia="Batang" w:cs="Times New Roman"/>
          <w:szCs w:val="20"/>
          <w:lang w:val="pt-BR"/>
        </w:rPr>
        <w:t>apresentou</w:t>
      </w:r>
      <w:r w:rsidR="00470ADC" w:rsidRPr="00D5464D">
        <w:rPr>
          <w:rFonts w:eastAsia="Batang" w:cs="Times New Roman"/>
          <w:szCs w:val="20"/>
          <w:lang w:val="pt-BR"/>
        </w:rPr>
        <w:t xml:space="preserve"> </w:t>
      </w:r>
      <w:r w:rsidR="004C36BF" w:rsidRPr="00D5464D">
        <w:rPr>
          <w:rFonts w:eastAsia="Batang" w:cs="Times New Roman"/>
          <w:szCs w:val="20"/>
          <w:lang w:val="pt-BR"/>
        </w:rPr>
        <w:t>à</w:t>
      </w:r>
      <w:r w:rsidR="00470ADC" w:rsidRPr="00D5464D">
        <w:rPr>
          <w:rFonts w:eastAsia="Batang" w:cs="Times New Roman"/>
          <w:szCs w:val="20"/>
          <w:lang w:val="pt-BR"/>
        </w:rPr>
        <w:t xml:space="preserve"> </w:t>
      </w:r>
      <w:r w:rsidRPr="00D5464D">
        <w:rPr>
          <w:rFonts w:eastAsia="Batang" w:cs="Times New Roman"/>
          <w:szCs w:val="20"/>
          <w:lang w:val="pt-BR"/>
        </w:rPr>
        <w:t>Corte</w:t>
      </w:r>
      <w:r w:rsidR="002C330E" w:rsidRPr="00D5464D">
        <w:rPr>
          <w:rFonts w:eastAsia="Batang" w:cs="Times New Roman"/>
          <w:szCs w:val="20"/>
          <w:lang w:val="pt-BR"/>
        </w:rPr>
        <w:t xml:space="preserve"> seu escrito </w:t>
      </w:r>
      <w:r w:rsidR="00B369F7" w:rsidRPr="00D5464D">
        <w:rPr>
          <w:rFonts w:eastAsia="Batang" w:cs="Times New Roman"/>
          <w:szCs w:val="20"/>
          <w:lang w:val="pt-BR"/>
        </w:rPr>
        <w:t xml:space="preserve">de exceções preliminares e </w:t>
      </w:r>
      <w:r w:rsidRPr="00D5464D">
        <w:rPr>
          <w:rFonts w:eastAsia="Batang" w:cs="Times New Roman"/>
          <w:szCs w:val="20"/>
          <w:lang w:val="pt-BR"/>
        </w:rPr>
        <w:t>de contesta</w:t>
      </w:r>
      <w:r w:rsidR="00470ADC" w:rsidRPr="00D5464D">
        <w:rPr>
          <w:rFonts w:eastAsia="Batang" w:cs="Times New Roman"/>
          <w:szCs w:val="20"/>
          <w:lang w:val="pt-BR"/>
        </w:rPr>
        <w:t xml:space="preserve">ção </w:t>
      </w:r>
      <w:r w:rsidR="004C36BF" w:rsidRPr="00D5464D">
        <w:rPr>
          <w:rFonts w:eastAsia="Batang" w:cs="Times New Roman"/>
          <w:szCs w:val="20"/>
          <w:lang w:val="pt-BR"/>
        </w:rPr>
        <w:t>à</w:t>
      </w:r>
      <w:r w:rsidR="00470ADC" w:rsidRPr="00D5464D">
        <w:rPr>
          <w:rFonts w:eastAsia="Batang" w:cs="Times New Roman"/>
          <w:szCs w:val="20"/>
          <w:lang w:val="pt-BR"/>
        </w:rPr>
        <w:t xml:space="preserve"> </w:t>
      </w:r>
      <w:r w:rsidR="002C330E" w:rsidRPr="00D5464D">
        <w:rPr>
          <w:rFonts w:eastAsia="Batang" w:cs="Times New Roman"/>
          <w:szCs w:val="20"/>
          <w:lang w:val="pt-BR"/>
        </w:rPr>
        <w:t>submissão</w:t>
      </w:r>
      <w:r w:rsidRPr="00D5464D">
        <w:rPr>
          <w:rFonts w:eastAsia="Batang" w:cs="Times New Roman"/>
          <w:szCs w:val="20"/>
          <w:lang w:val="pt-BR"/>
        </w:rPr>
        <w:t xml:space="preserve"> </w:t>
      </w:r>
      <w:r w:rsidR="00470ADC" w:rsidRPr="00D5464D">
        <w:rPr>
          <w:rFonts w:eastAsia="Batang" w:cs="Times New Roman"/>
          <w:szCs w:val="20"/>
          <w:lang w:val="pt-BR"/>
        </w:rPr>
        <w:t xml:space="preserve">do </w:t>
      </w:r>
      <w:r w:rsidRPr="00D5464D">
        <w:rPr>
          <w:rFonts w:eastAsia="Batang" w:cs="Times New Roman"/>
          <w:szCs w:val="20"/>
          <w:lang w:val="pt-BR"/>
        </w:rPr>
        <w:t>caso</w:t>
      </w:r>
      <w:r w:rsidR="00E045D9" w:rsidRPr="00D5464D">
        <w:rPr>
          <w:rFonts w:eastAsia="Batang" w:cs="Times New Roman"/>
          <w:szCs w:val="20"/>
          <w:lang w:val="pt-BR"/>
        </w:rPr>
        <w:t xml:space="preserve"> e </w:t>
      </w:r>
      <w:r w:rsidR="00470ADC" w:rsidRPr="00D5464D">
        <w:rPr>
          <w:rFonts w:eastAsia="Batang" w:cs="Times New Roman"/>
          <w:szCs w:val="20"/>
          <w:lang w:val="pt-BR"/>
        </w:rPr>
        <w:t xml:space="preserve">ao </w:t>
      </w:r>
      <w:r w:rsidR="00230C71" w:rsidRPr="00D5464D">
        <w:rPr>
          <w:rFonts w:eastAsia="Batang" w:cs="Times New Roman"/>
          <w:szCs w:val="20"/>
          <w:lang w:val="pt-BR"/>
        </w:rPr>
        <w:t>escrito de petições</w:t>
      </w:r>
      <w:r w:rsidR="00E045D9" w:rsidRPr="00D5464D">
        <w:rPr>
          <w:rFonts w:eastAsia="Batang" w:cs="Times New Roman"/>
          <w:szCs w:val="20"/>
          <w:lang w:val="pt-BR"/>
        </w:rPr>
        <w:t xml:space="preserve"> e </w:t>
      </w:r>
      <w:r w:rsidRPr="00D5464D">
        <w:rPr>
          <w:rFonts w:eastAsia="Batang" w:cs="Times New Roman"/>
          <w:szCs w:val="20"/>
          <w:lang w:val="pt-BR"/>
        </w:rPr>
        <w:t>argumentos</w:t>
      </w:r>
      <w:r w:rsidR="00E045D9" w:rsidRPr="00D5464D">
        <w:rPr>
          <w:rFonts w:eastAsia="Batang" w:cs="Times New Roman"/>
          <w:szCs w:val="20"/>
          <w:lang w:val="pt-BR"/>
        </w:rPr>
        <w:t xml:space="preserve"> </w:t>
      </w:r>
      <w:r w:rsidRPr="00D5464D">
        <w:rPr>
          <w:rFonts w:eastAsia="Batang" w:cs="Times New Roman"/>
          <w:szCs w:val="20"/>
          <w:lang w:val="pt-BR"/>
        </w:rPr>
        <w:t>(</w:t>
      </w:r>
      <w:r w:rsidR="00350187" w:rsidRPr="00D5464D">
        <w:rPr>
          <w:rFonts w:eastAsia="Batang" w:cs="Times New Roman"/>
          <w:szCs w:val="20"/>
          <w:lang w:val="pt-BR"/>
        </w:rPr>
        <w:t>doravante denominad</w:t>
      </w:r>
      <w:r w:rsidR="004C36BF" w:rsidRPr="00D5464D">
        <w:rPr>
          <w:rFonts w:eastAsia="Batang" w:cs="Times New Roman"/>
          <w:szCs w:val="20"/>
          <w:lang w:val="pt-BR"/>
        </w:rPr>
        <w:t>o</w:t>
      </w:r>
      <w:r w:rsidRPr="00D5464D">
        <w:rPr>
          <w:rFonts w:eastAsia="Batang" w:cs="Times New Roman"/>
          <w:szCs w:val="20"/>
          <w:lang w:val="pt-BR"/>
        </w:rPr>
        <w:t xml:space="preserve"> “contesta</w:t>
      </w:r>
      <w:r w:rsidR="00470ADC" w:rsidRPr="00D5464D">
        <w:rPr>
          <w:rFonts w:eastAsia="Batang" w:cs="Times New Roman"/>
          <w:szCs w:val="20"/>
          <w:lang w:val="pt-BR"/>
        </w:rPr>
        <w:t>ção” ou “</w:t>
      </w:r>
      <w:r w:rsidRPr="00D5464D">
        <w:rPr>
          <w:rFonts w:eastAsia="Batang" w:cs="Times New Roman"/>
          <w:szCs w:val="20"/>
          <w:lang w:val="pt-BR"/>
        </w:rPr>
        <w:t>escrito de contesta</w:t>
      </w:r>
      <w:r w:rsidR="00470ADC" w:rsidRPr="00D5464D">
        <w:rPr>
          <w:rFonts w:eastAsia="Batang" w:cs="Times New Roman"/>
          <w:szCs w:val="20"/>
          <w:lang w:val="pt-BR"/>
        </w:rPr>
        <w:t>ção</w:t>
      </w:r>
      <w:r w:rsidRPr="00D5464D">
        <w:rPr>
          <w:rFonts w:eastAsia="Batang" w:cs="Times New Roman"/>
          <w:szCs w:val="20"/>
          <w:lang w:val="pt-BR"/>
        </w:rPr>
        <w:t>”),</w:t>
      </w:r>
      <w:r w:rsidR="00E045D9" w:rsidRPr="00D5464D">
        <w:rPr>
          <w:rFonts w:eastAsia="Batang" w:cs="Times New Roman"/>
          <w:szCs w:val="20"/>
          <w:lang w:val="pt-BR"/>
        </w:rPr>
        <w:t xml:space="preserve"> nos termo</w:t>
      </w:r>
      <w:r w:rsidRPr="00D5464D">
        <w:rPr>
          <w:rFonts w:eastAsia="Batang" w:cs="Times New Roman"/>
          <w:szCs w:val="20"/>
          <w:lang w:val="pt-BR"/>
        </w:rPr>
        <w:t xml:space="preserve">s </w:t>
      </w:r>
      <w:r w:rsidR="00470ADC" w:rsidRPr="00D5464D">
        <w:rPr>
          <w:rFonts w:eastAsia="Batang" w:cs="Times New Roman"/>
          <w:szCs w:val="20"/>
          <w:lang w:val="pt-BR"/>
        </w:rPr>
        <w:t>do artigo</w:t>
      </w:r>
      <w:r w:rsidRPr="00D5464D">
        <w:rPr>
          <w:rFonts w:eastAsia="Batang" w:cs="Times New Roman"/>
          <w:szCs w:val="20"/>
          <w:lang w:val="pt-BR"/>
        </w:rPr>
        <w:t xml:space="preserve"> 41 </w:t>
      </w:r>
      <w:r w:rsidR="00470ADC" w:rsidRPr="00D5464D">
        <w:rPr>
          <w:rFonts w:eastAsia="Batang" w:cs="Times New Roman"/>
          <w:szCs w:val="20"/>
          <w:lang w:val="pt-BR"/>
        </w:rPr>
        <w:t xml:space="preserve">do </w:t>
      </w:r>
      <w:r w:rsidR="002C330E" w:rsidRPr="00D5464D">
        <w:rPr>
          <w:rFonts w:eastAsia="Batang" w:cs="Times New Roman"/>
          <w:szCs w:val="20"/>
          <w:lang w:val="pt-BR"/>
        </w:rPr>
        <w:t>Regulamento</w:t>
      </w:r>
      <w:r w:rsidRPr="00D5464D">
        <w:rPr>
          <w:rFonts w:eastAsia="Batang" w:cs="Times New Roman"/>
          <w:szCs w:val="20"/>
          <w:lang w:val="pt-BR"/>
        </w:rPr>
        <w:t xml:space="preserve"> </w:t>
      </w:r>
      <w:r w:rsidR="00470ADC" w:rsidRPr="00D5464D">
        <w:rPr>
          <w:rFonts w:eastAsia="Batang" w:cs="Times New Roman"/>
          <w:szCs w:val="20"/>
          <w:lang w:val="pt-BR"/>
        </w:rPr>
        <w:t xml:space="preserve">do </w:t>
      </w:r>
      <w:r w:rsidRPr="00D5464D">
        <w:rPr>
          <w:rFonts w:eastAsia="Batang" w:cs="Times New Roman"/>
          <w:szCs w:val="20"/>
          <w:lang w:val="pt-BR"/>
        </w:rPr>
        <w:t>Tribunal</w:t>
      </w:r>
      <w:r w:rsidR="00C7106C" w:rsidRPr="00D5464D">
        <w:rPr>
          <w:rFonts w:eastAsia="Batang" w:cs="Times New Roman"/>
          <w:szCs w:val="20"/>
          <w:lang w:val="pt-BR"/>
        </w:rPr>
        <w:t>.</w:t>
      </w:r>
      <w:r w:rsidRPr="00D5464D">
        <w:rPr>
          <w:rFonts w:eastAsia="Batang" w:cs="Times New Roman"/>
          <w:szCs w:val="20"/>
          <w:vertAlign w:val="superscript"/>
          <w:lang w:val="pt-BR"/>
        </w:rPr>
        <w:footnoteReference w:id="5"/>
      </w:r>
      <w:r w:rsidR="006E5A83" w:rsidRPr="00D5464D">
        <w:rPr>
          <w:rFonts w:eastAsia="Batang" w:cs="Verdana"/>
          <w:szCs w:val="20"/>
          <w:lang w:val="pt-BR"/>
        </w:rPr>
        <w:t xml:space="preserve"> </w:t>
      </w:r>
    </w:p>
    <w:p w14:paraId="3098313E" w14:textId="77777777" w:rsidR="004C7778" w:rsidRPr="00D5464D" w:rsidRDefault="004C7778" w:rsidP="00140440">
      <w:pPr>
        <w:tabs>
          <w:tab w:val="clear" w:pos="4419"/>
          <w:tab w:val="clear" w:pos="8838"/>
          <w:tab w:val="left" w:pos="567"/>
          <w:tab w:val="left" w:pos="1134"/>
        </w:tabs>
        <w:jc w:val="both"/>
        <w:rPr>
          <w:rFonts w:eastAsia="Batang" w:cs="Times New Roman"/>
          <w:szCs w:val="20"/>
          <w:lang w:val="pt-BR" w:eastAsia="es-ES"/>
        </w:rPr>
      </w:pPr>
    </w:p>
    <w:p w14:paraId="59A5D7BC" w14:textId="1D9BF449" w:rsidR="00BA1ACF" w:rsidRPr="00D5464D" w:rsidRDefault="00BA1ACF" w:rsidP="00140440">
      <w:pPr>
        <w:numPr>
          <w:ilvl w:val="0"/>
          <w:numId w:val="1"/>
        </w:numPr>
        <w:tabs>
          <w:tab w:val="clear" w:pos="4419"/>
          <w:tab w:val="clear" w:pos="8838"/>
          <w:tab w:val="left" w:pos="567"/>
          <w:tab w:val="left" w:pos="1134"/>
        </w:tabs>
        <w:jc w:val="both"/>
        <w:rPr>
          <w:rFonts w:eastAsia="Batang" w:cs="Times New Roman"/>
          <w:szCs w:val="20"/>
          <w:lang w:val="pt-BR" w:eastAsia="es-ES"/>
        </w:rPr>
      </w:pPr>
      <w:r w:rsidRPr="00D5464D">
        <w:rPr>
          <w:rFonts w:eastAsia="Batang" w:cs="Times New Roman"/>
          <w:i/>
          <w:szCs w:val="20"/>
          <w:lang w:val="pt-BR" w:eastAsia="es-ES"/>
        </w:rPr>
        <w:t>Observa</w:t>
      </w:r>
      <w:r w:rsidR="00470ADC" w:rsidRPr="00D5464D">
        <w:rPr>
          <w:rFonts w:eastAsia="Batang" w:cs="Times New Roman"/>
          <w:i/>
          <w:szCs w:val="20"/>
          <w:lang w:val="pt-BR" w:eastAsia="es-ES"/>
        </w:rPr>
        <w:t>ções</w:t>
      </w:r>
      <w:r w:rsidR="00E045D9" w:rsidRPr="00D5464D">
        <w:rPr>
          <w:rFonts w:eastAsia="Batang" w:cs="Times New Roman"/>
          <w:i/>
          <w:szCs w:val="20"/>
          <w:lang w:val="pt-BR" w:eastAsia="es-ES"/>
        </w:rPr>
        <w:t xml:space="preserve"> às </w:t>
      </w:r>
      <w:r w:rsidR="00470ADC" w:rsidRPr="00D5464D">
        <w:rPr>
          <w:rFonts w:eastAsia="Batang" w:cs="Times New Roman"/>
          <w:i/>
          <w:szCs w:val="20"/>
          <w:lang w:val="pt-BR" w:eastAsia="es-ES"/>
        </w:rPr>
        <w:t>exceções</w:t>
      </w:r>
      <w:r w:rsidRPr="00D5464D">
        <w:rPr>
          <w:rFonts w:eastAsia="Batang" w:cs="Times New Roman"/>
          <w:i/>
          <w:szCs w:val="20"/>
          <w:lang w:val="pt-BR" w:eastAsia="es-ES"/>
        </w:rPr>
        <w:t xml:space="preserve"> preliminares. </w:t>
      </w:r>
      <w:r w:rsidR="004C36BF" w:rsidRPr="00D5464D">
        <w:rPr>
          <w:rFonts w:eastAsia="Batang" w:cs="Times New Roman"/>
          <w:i/>
          <w:szCs w:val="20"/>
          <w:lang w:val="pt-BR" w:eastAsia="es-ES"/>
        </w:rPr>
        <w:t>–</w:t>
      </w:r>
      <w:r w:rsidRPr="00D5464D">
        <w:rPr>
          <w:rFonts w:eastAsia="Batang" w:cs="Times New Roman"/>
          <w:i/>
          <w:szCs w:val="20"/>
          <w:lang w:val="pt-BR" w:eastAsia="es-ES"/>
        </w:rPr>
        <w:t xml:space="preserve"> </w:t>
      </w:r>
      <w:r w:rsidR="004C36BF" w:rsidRPr="00D5464D">
        <w:rPr>
          <w:rFonts w:eastAsia="Batang" w:cs="Times New Roman"/>
          <w:szCs w:val="20"/>
          <w:lang w:val="pt-BR" w:eastAsia="es-ES"/>
        </w:rPr>
        <w:t xml:space="preserve">Através de </w:t>
      </w:r>
      <w:r w:rsidRPr="00D5464D">
        <w:rPr>
          <w:rFonts w:eastAsia="Batang" w:cs="Times New Roman"/>
          <w:szCs w:val="20"/>
          <w:lang w:val="pt-BR" w:eastAsia="es-ES"/>
        </w:rPr>
        <w:t xml:space="preserve">escritos </w:t>
      </w:r>
      <w:r w:rsidR="00737270" w:rsidRPr="00D5464D">
        <w:rPr>
          <w:rFonts w:eastAsia="Batang" w:cs="Times New Roman"/>
          <w:szCs w:val="20"/>
          <w:lang w:val="pt-BR" w:eastAsia="es-ES"/>
        </w:rPr>
        <w:t>recebid</w:t>
      </w:r>
      <w:r w:rsidRPr="00D5464D">
        <w:rPr>
          <w:rFonts w:eastAsia="Batang" w:cs="Times New Roman"/>
          <w:szCs w:val="20"/>
          <w:lang w:val="pt-BR" w:eastAsia="es-ES"/>
        </w:rPr>
        <w:t>os</w:t>
      </w:r>
      <w:r w:rsidR="002C330E" w:rsidRPr="00D5464D">
        <w:rPr>
          <w:rFonts w:eastAsia="Batang" w:cs="Times New Roman"/>
          <w:szCs w:val="20"/>
          <w:lang w:val="pt-BR" w:eastAsia="es-ES"/>
        </w:rPr>
        <w:t xml:space="preserve"> em 2</w:t>
      </w:r>
      <w:r w:rsidR="006E5A83" w:rsidRPr="00D5464D">
        <w:rPr>
          <w:rFonts w:eastAsia="Batang" w:cs="Times New Roman"/>
          <w:szCs w:val="20"/>
          <w:lang w:val="pt-BR" w:eastAsia="es-ES"/>
        </w:rPr>
        <w:t>8</w:t>
      </w:r>
      <w:r w:rsidR="00E045D9" w:rsidRPr="00D5464D">
        <w:rPr>
          <w:rFonts w:eastAsia="Batang" w:cs="Times New Roman"/>
          <w:szCs w:val="20"/>
          <w:lang w:val="pt-BR" w:eastAsia="es-ES"/>
        </w:rPr>
        <w:t xml:space="preserve"> e </w:t>
      </w:r>
      <w:r w:rsidR="006E5A83" w:rsidRPr="00D5464D">
        <w:rPr>
          <w:rFonts w:eastAsia="Batang" w:cs="Times New Roman"/>
          <w:szCs w:val="20"/>
          <w:lang w:val="pt-BR" w:eastAsia="es-ES"/>
        </w:rPr>
        <w:t xml:space="preserve">30 de </w:t>
      </w:r>
      <w:r w:rsidR="002C330E" w:rsidRPr="00D5464D">
        <w:rPr>
          <w:rFonts w:eastAsia="Batang" w:cs="Times New Roman"/>
          <w:szCs w:val="20"/>
          <w:lang w:val="pt-BR" w:eastAsia="es-ES"/>
        </w:rPr>
        <w:t>outubro</w:t>
      </w:r>
      <w:r w:rsidR="006E5A83" w:rsidRPr="00D5464D">
        <w:rPr>
          <w:rFonts w:eastAsia="Batang" w:cs="Times New Roman"/>
          <w:szCs w:val="20"/>
          <w:lang w:val="pt-BR" w:eastAsia="es-ES"/>
        </w:rPr>
        <w:t xml:space="preserve"> de 2015</w:t>
      </w:r>
      <w:r w:rsidRPr="00D5464D">
        <w:rPr>
          <w:rFonts w:eastAsia="Batang" w:cs="Times New Roman"/>
          <w:szCs w:val="20"/>
          <w:lang w:val="pt-BR" w:eastAsia="es-ES"/>
        </w:rPr>
        <w:t>,</w:t>
      </w:r>
      <w:r w:rsidR="002C330E" w:rsidRPr="00D5464D">
        <w:rPr>
          <w:rFonts w:eastAsia="Batang" w:cs="Times New Roman"/>
          <w:szCs w:val="20"/>
          <w:lang w:val="pt-BR" w:eastAsia="es-ES"/>
        </w:rPr>
        <w:t xml:space="preserve"> os </w:t>
      </w:r>
      <w:r w:rsidR="00EB1CE9" w:rsidRPr="00D5464D">
        <w:rPr>
          <w:rFonts w:eastAsia="Batang" w:cs="Times New Roman"/>
          <w:szCs w:val="20"/>
          <w:lang w:val="pt-BR" w:eastAsia="es-ES"/>
        </w:rPr>
        <w:t>representante</w:t>
      </w:r>
      <w:r w:rsidRPr="00D5464D">
        <w:rPr>
          <w:rFonts w:eastAsia="Batang" w:cs="Times New Roman"/>
          <w:szCs w:val="20"/>
          <w:lang w:val="pt-BR" w:eastAsia="es-ES"/>
        </w:rPr>
        <w:t>s</w:t>
      </w:r>
      <w:r w:rsidR="00E045D9" w:rsidRPr="00D5464D">
        <w:rPr>
          <w:rFonts w:eastAsia="Batang" w:cs="Times New Roman"/>
          <w:szCs w:val="20"/>
          <w:lang w:val="pt-BR" w:eastAsia="es-ES"/>
        </w:rPr>
        <w:t xml:space="preserve"> e </w:t>
      </w:r>
      <w:r w:rsidR="002C330E" w:rsidRPr="00D5464D">
        <w:rPr>
          <w:rFonts w:eastAsia="Batang" w:cs="Times New Roman"/>
          <w:szCs w:val="20"/>
          <w:lang w:val="pt-BR" w:eastAsia="es-ES"/>
        </w:rPr>
        <w:t xml:space="preserve">a </w:t>
      </w:r>
      <w:r w:rsidR="00470ADC" w:rsidRPr="00D5464D">
        <w:rPr>
          <w:rFonts w:eastAsia="Batang" w:cs="Times New Roman"/>
          <w:szCs w:val="20"/>
          <w:lang w:val="pt-BR" w:eastAsia="es-ES"/>
        </w:rPr>
        <w:t>Comissão</w:t>
      </w:r>
      <w:r w:rsidRPr="00D5464D">
        <w:rPr>
          <w:rFonts w:eastAsia="Batang" w:cs="Times New Roman"/>
          <w:szCs w:val="20"/>
          <w:lang w:val="pt-BR" w:eastAsia="es-ES"/>
        </w:rPr>
        <w:t xml:space="preserve"> </w:t>
      </w:r>
      <w:r w:rsidR="002C330E" w:rsidRPr="00D5464D">
        <w:rPr>
          <w:rFonts w:eastAsia="Batang" w:cs="Times New Roman"/>
          <w:szCs w:val="20"/>
          <w:lang w:val="pt-BR" w:eastAsia="es-ES"/>
        </w:rPr>
        <w:t>apresentaram</w:t>
      </w:r>
      <w:r w:rsidR="00B369F7" w:rsidRPr="00D5464D">
        <w:rPr>
          <w:rFonts w:eastAsia="Batang" w:cs="Times New Roman"/>
          <w:szCs w:val="20"/>
          <w:lang w:val="pt-BR" w:eastAsia="es-ES"/>
        </w:rPr>
        <w:t>, respectivamente,</w:t>
      </w:r>
      <w:r w:rsidRPr="00D5464D">
        <w:rPr>
          <w:rFonts w:eastAsia="Batang" w:cs="Times New Roman"/>
          <w:szCs w:val="20"/>
          <w:lang w:val="pt-BR" w:eastAsia="es-ES"/>
        </w:rPr>
        <w:t xml:space="preserve"> </w:t>
      </w:r>
      <w:r w:rsidR="00E045D9" w:rsidRPr="00D5464D">
        <w:rPr>
          <w:rFonts w:eastAsia="Batang" w:cs="Times New Roman"/>
          <w:szCs w:val="20"/>
          <w:lang w:val="pt-BR" w:eastAsia="es-ES"/>
        </w:rPr>
        <w:t xml:space="preserve">suas observações às </w:t>
      </w:r>
      <w:r w:rsidR="00470ADC" w:rsidRPr="00D5464D">
        <w:rPr>
          <w:rFonts w:eastAsia="Batang" w:cs="Times New Roman"/>
          <w:szCs w:val="20"/>
          <w:lang w:val="pt-BR" w:eastAsia="es-ES"/>
        </w:rPr>
        <w:t>exceções</w:t>
      </w:r>
      <w:r w:rsidRPr="00D5464D">
        <w:rPr>
          <w:rFonts w:eastAsia="Batang" w:cs="Times New Roman"/>
          <w:szCs w:val="20"/>
          <w:lang w:val="pt-BR" w:eastAsia="es-ES"/>
        </w:rPr>
        <w:t xml:space="preserve"> preliminares </w:t>
      </w:r>
      <w:r w:rsidR="002C330E" w:rsidRPr="00D5464D">
        <w:rPr>
          <w:rFonts w:eastAsia="Batang" w:cs="Times New Roman"/>
          <w:szCs w:val="20"/>
          <w:lang w:val="pt-BR" w:eastAsia="es-ES"/>
        </w:rPr>
        <w:t>interpost</w:t>
      </w:r>
      <w:r w:rsidRPr="00D5464D">
        <w:rPr>
          <w:rFonts w:eastAsia="Batang" w:cs="Times New Roman"/>
          <w:szCs w:val="20"/>
          <w:lang w:val="pt-BR" w:eastAsia="es-ES"/>
        </w:rPr>
        <w:t>as</w:t>
      </w:r>
      <w:r w:rsidR="002C330E" w:rsidRPr="00D5464D">
        <w:rPr>
          <w:rFonts w:eastAsia="Batang" w:cs="Times New Roman"/>
          <w:szCs w:val="20"/>
          <w:lang w:val="pt-BR" w:eastAsia="es-ES"/>
        </w:rPr>
        <w:t xml:space="preserve"> pelo </w:t>
      </w:r>
      <w:r w:rsidRPr="00D5464D">
        <w:rPr>
          <w:rFonts w:eastAsia="Batang" w:cs="Times New Roman"/>
          <w:szCs w:val="20"/>
          <w:lang w:val="pt-BR" w:eastAsia="es-ES"/>
        </w:rPr>
        <w:t>Estado.</w:t>
      </w:r>
      <w:r w:rsidR="006E5A83" w:rsidRPr="00D5464D">
        <w:rPr>
          <w:rFonts w:eastAsia="Batang" w:cs="Times New Roman"/>
          <w:szCs w:val="20"/>
          <w:lang w:val="pt-BR" w:eastAsia="es-ES"/>
        </w:rPr>
        <w:t xml:space="preserve"> </w:t>
      </w:r>
    </w:p>
    <w:p w14:paraId="4A523AB0" w14:textId="77777777" w:rsidR="00263F22" w:rsidRPr="00D5464D" w:rsidRDefault="00263F22" w:rsidP="00140440">
      <w:pPr>
        <w:tabs>
          <w:tab w:val="clear" w:pos="4419"/>
          <w:tab w:val="clear" w:pos="8838"/>
          <w:tab w:val="left" w:pos="567"/>
          <w:tab w:val="left" w:pos="1134"/>
        </w:tabs>
        <w:autoSpaceDE w:val="0"/>
        <w:autoSpaceDN w:val="0"/>
        <w:adjustRightInd w:val="0"/>
        <w:jc w:val="both"/>
        <w:rPr>
          <w:rFonts w:eastAsia="Batang" w:cs="Verdana"/>
          <w:szCs w:val="20"/>
          <w:lang w:val="pt-BR" w:eastAsia="es-ES"/>
        </w:rPr>
      </w:pPr>
    </w:p>
    <w:p w14:paraId="4FA24149" w14:textId="0E2E0BCA" w:rsidR="00BA1ACF" w:rsidRPr="00D5464D" w:rsidRDefault="00470ADC" w:rsidP="00140440">
      <w:pPr>
        <w:numPr>
          <w:ilvl w:val="0"/>
          <w:numId w:val="1"/>
        </w:numPr>
        <w:tabs>
          <w:tab w:val="clear" w:pos="4419"/>
          <w:tab w:val="clear" w:pos="8838"/>
          <w:tab w:val="left" w:pos="567"/>
          <w:tab w:val="left" w:pos="1134"/>
        </w:tabs>
        <w:jc w:val="both"/>
        <w:rPr>
          <w:rFonts w:eastAsia="Batang" w:cs="Arial"/>
          <w:szCs w:val="20"/>
          <w:lang w:val="pt-BR"/>
        </w:rPr>
      </w:pPr>
      <w:r w:rsidRPr="00D5464D">
        <w:rPr>
          <w:rFonts w:eastAsia="Batang" w:cs="Times New Roman"/>
          <w:i/>
          <w:szCs w:val="20"/>
          <w:lang w:val="pt-BR" w:eastAsia="es-ES"/>
        </w:rPr>
        <w:t>Audiência</w:t>
      </w:r>
      <w:r w:rsidR="00BA1ACF" w:rsidRPr="00D5464D">
        <w:rPr>
          <w:rFonts w:eastAsia="Batang" w:cs="Times New Roman"/>
          <w:i/>
          <w:szCs w:val="20"/>
          <w:lang w:val="pt-BR" w:eastAsia="es-ES"/>
        </w:rPr>
        <w:t xml:space="preserve"> pública. –</w:t>
      </w:r>
      <w:r w:rsidR="00BA1ACF" w:rsidRPr="00D5464D">
        <w:rPr>
          <w:rFonts w:eastAsia="Batang" w:cs="Times New Roman"/>
          <w:szCs w:val="20"/>
          <w:lang w:val="pt-BR" w:eastAsia="es-ES"/>
        </w:rPr>
        <w:t xml:space="preserve"> Mediante Resolu</w:t>
      </w:r>
      <w:r w:rsidRPr="00D5464D">
        <w:rPr>
          <w:rFonts w:eastAsia="Batang" w:cs="Times New Roman"/>
          <w:szCs w:val="20"/>
          <w:lang w:val="pt-BR" w:eastAsia="es-ES"/>
        </w:rPr>
        <w:t>ção</w:t>
      </w:r>
      <w:r w:rsidR="00BA1ACF" w:rsidRPr="00D5464D">
        <w:rPr>
          <w:rFonts w:eastAsia="Batang" w:cs="Times New Roman"/>
          <w:szCs w:val="20"/>
          <w:lang w:val="pt-BR" w:eastAsia="es-ES"/>
        </w:rPr>
        <w:t xml:space="preserve"> </w:t>
      </w:r>
      <w:r w:rsidRPr="00D5464D">
        <w:rPr>
          <w:rFonts w:eastAsia="Batang" w:cs="Times New Roman"/>
          <w:szCs w:val="20"/>
          <w:lang w:val="pt-BR" w:eastAsia="es-ES"/>
        </w:rPr>
        <w:t xml:space="preserve">do </w:t>
      </w:r>
      <w:r w:rsidR="00A1358C" w:rsidRPr="00D5464D">
        <w:rPr>
          <w:rFonts w:eastAsia="Batang" w:cs="Times New Roman"/>
          <w:szCs w:val="20"/>
          <w:lang w:val="pt-BR" w:eastAsia="es-ES"/>
        </w:rPr>
        <w:t>Presidente</w:t>
      </w:r>
      <w:r w:rsidRPr="00D5464D">
        <w:rPr>
          <w:rFonts w:eastAsia="Batang" w:cs="Times New Roman"/>
          <w:szCs w:val="20"/>
          <w:lang w:val="pt-BR" w:eastAsia="es-ES"/>
        </w:rPr>
        <w:t xml:space="preserve"> da </w:t>
      </w:r>
      <w:r w:rsidR="00BA1ACF" w:rsidRPr="00D5464D">
        <w:rPr>
          <w:rFonts w:eastAsia="Batang" w:cs="Times New Roman"/>
          <w:szCs w:val="20"/>
          <w:lang w:val="pt-BR" w:eastAsia="es-ES"/>
        </w:rPr>
        <w:t xml:space="preserve">Corte de </w:t>
      </w:r>
      <w:r w:rsidR="00350187" w:rsidRPr="00D5464D">
        <w:rPr>
          <w:rFonts w:eastAsia="Batang" w:cs="Times New Roman"/>
          <w:szCs w:val="20"/>
          <w:lang w:val="pt-BR" w:eastAsia="es-ES"/>
        </w:rPr>
        <w:t xml:space="preserve">11 </w:t>
      </w:r>
      <w:r w:rsidR="00A1358C" w:rsidRPr="00D5464D">
        <w:rPr>
          <w:rFonts w:eastAsia="Batang" w:cs="Times New Roman"/>
          <w:szCs w:val="20"/>
          <w:lang w:val="pt-BR" w:eastAsia="es-ES"/>
        </w:rPr>
        <w:t>de dezembro</w:t>
      </w:r>
      <w:r w:rsidR="006E5A83" w:rsidRPr="00D5464D">
        <w:rPr>
          <w:rFonts w:eastAsia="Batang" w:cs="Times New Roman"/>
          <w:szCs w:val="20"/>
          <w:lang w:val="pt-BR" w:eastAsia="es-ES"/>
        </w:rPr>
        <w:t xml:space="preserve"> de</w:t>
      </w:r>
      <w:r w:rsidR="00BA1ACF" w:rsidRPr="00D5464D">
        <w:rPr>
          <w:rFonts w:eastAsia="Batang" w:cs="Times New Roman"/>
          <w:szCs w:val="20"/>
          <w:lang w:val="pt-BR" w:eastAsia="es-ES"/>
        </w:rPr>
        <w:t xml:space="preserve"> 2015</w:t>
      </w:r>
      <w:r w:rsidR="00A46292" w:rsidRPr="00D5464D">
        <w:rPr>
          <w:rStyle w:val="Refdenotaalpie"/>
          <w:rFonts w:eastAsia="Batang"/>
          <w:lang w:val="pt-BR" w:eastAsia="es-ES"/>
        </w:rPr>
        <w:footnoteReference w:id="6"/>
      </w:r>
      <w:r w:rsidR="00E045D9" w:rsidRPr="00D5464D">
        <w:rPr>
          <w:rFonts w:eastAsia="Batang" w:cs="Times New Roman"/>
          <w:szCs w:val="20"/>
          <w:lang w:val="pt-BR" w:eastAsia="es-ES"/>
        </w:rPr>
        <w:t xml:space="preserve"> e </w:t>
      </w:r>
      <w:r w:rsidR="004C36BF" w:rsidRPr="00D5464D">
        <w:rPr>
          <w:rFonts w:eastAsia="Batang" w:cs="Times New Roman"/>
          <w:szCs w:val="20"/>
          <w:lang w:val="pt-BR" w:eastAsia="es-ES"/>
        </w:rPr>
        <w:t xml:space="preserve">da </w:t>
      </w:r>
      <w:r w:rsidR="006E5A83" w:rsidRPr="00D5464D">
        <w:rPr>
          <w:rFonts w:eastAsia="Batang" w:cs="Times New Roman"/>
          <w:szCs w:val="20"/>
          <w:lang w:val="pt-BR" w:eastAsia="es-ES"/>
        </w:rPr>
        <w:t>Resolu</w:t>
      </w:r>
      <w:r w:rsidRPr="00D5464D">
        <w:rPr>
          <w:rFonts w:eastAsia="Batang" w:cs="Times New Roman"/>
          <w:szCs w:val="20"/>
          <w:lang w:val="pt-BR" w:eastAsia="es-ES"/>
        </w:rPr>
        <w:t xml:space="preserve">ção da </w:t>
      </w:r>
      <w:r w:rsidR="00A46292" w:rsidRPr="00D5464D">
        <w:rPr>
          <w:rFonts w:eastAsia="Batang" w:cs="Times New Roman"/>
          <w:szCs w:val="20"/>
          <w:lang w:val="pt-BR" w:eastAsia="es-ES"/>
        </w:rPr>
        <w:t xml:space="preserve">Corte de 15 de </w:t>
      </w:r>
      <w:r w:rsidRPr="00D5464D">
        <w:rPr>
          <w:rFonts w:eastAsia="Batang" w:cs="Times New Roman"/>
          <w:szCs w:val="20"/>
          <w:lang w:val="pt-BR" w:eastAsia="es-ES"/>
        </w:rPr>
        <w:t>fevereiro</w:t>
      </w:r>
      <w:r w:rsidR="00A46292" w:rsidRPr="00D5464D">
        <w:rPr>
          <w:rFonts w:eastAsia="Batang" w:cs="Times New Roman"/>
          <w:szCs w:val="20"/>
          <w:lang w:val="pt-BR" w:eastAsia="es-ES"/>
        </w:rPr>
        <w:t xml:space="preserve"> de 2016</w:t>
      </w:r>
      <w:r w:rsidR="00C7106C" w:rsidRPr="00D5464D">
        <w:rPr>
          <w:rFonts w:eastAsia="Batang" w:cs="Times New Roman"/>
          <w:szCs w:val="20"/>
          <w:lang w:val="pt-BR" w:eastAsia="es-ES"/>
        </w:rPr>
        <w:t>,</w:t>
      </w:r>
      <w:r w:rsidR="00A46292" w:rsidRPr="00D5464D">
        <w:rPr>
          <w:rStyle w:val="Refdenotaalpie"/>
          <w:rFonts w:eastAsia="Batang"/>
          <w:lang w:val="pt-BR" w:eastAsia="es-ES"/>
        </w:rPr>
        <w:footnoteReference w:id="7"/>
      </w:r>
      <w:r w:rsidR="00BA1ACF" w:rsidRPr="00D5464D">
        <w:rPr>
          <w:rFonts w:eastAsia="Batang" w:cs="Times New Roman"/>
          <w:szCs w:val="20"/>
          <w:lang w:val="pt-BR" w:eastAsia="es-ES"/>
        </w:rPr>
        <w:t xml:space="preserve"> </w:t>
      </w:r>
      <w:r w:rsidR="004C36BF" w:rsidRPr="00D5464D">
        <w:rPr>
          <w:rFonts w:eastAsia="Batang" w:cs="Times New Roman"/>
          <w:szCs w:val="20"/>
          <w:lang w:val="pt-BR" w:eastAsia="es-ES"/>
        </w:rPr>
        <w:t>as</w:t>
      </w:r>
      <w:r w:rsidR="00E045D9" w:rsidRPr="00D5464D">
        <w:rPr>
          <w:rFonts w:eastAsia="Batang" w:cs="Times New Roman"/>
          <w:szCs w:val="20"/>
          <w:lang w:val="pt-BR" w:eastAsia="es-ES"/>
        </w:rPr>
        <w:t xml:space="preserve"> </w:t>
      </w:r>
      <w:r w:rsidR="00BA1ACF" w:rsidRPr="00D5464D">
        <w:rPr>
          <w:rFonts w:eastAsia="Batang" w:cs="Times New Roman"/>
          <w:szCs w:val="20"/>
          <w:lang w:val="pt-BR" w:eastAsia="es-ES"/>
        </w:rPr>
        <w:t>partes</w:t>
      </w:r>
      <w:r w:rsidR="00E045D9" w:rsidRPr="00D5464D">
        <w:rPr>
          <w:rFonts w:eastAsia="Batang" w:cs="Times New Roman"/>
          <w:szCs w:val="20"/>
          <w:lang w:val="pt-BR" w:eastAsia="es-ES"/>
        </w:rPr>
        <w:t xml:space="preserve"> e </w:t>
      </w:r>
      <w:r w:rsidR="004C36BF" w:rsidRPr="00D5464D">
        <w:rPr>
          <w:rFonts w:eastAsia="Batang" w:cs="Times New Roman"/>
          <w:szCs w:val="20"/>
          <w:lang w:val="pt-BR" w:eastAsia="es-ES"/>
        </w:rPr>
        <w:t>a</w:t>
      </w:r>
      <w:r w:rsidRPr="00D5464D">
        <w:rPr>
          <w:rFonts w:eastAsia="Batang" w:cs="Times New Roman"/>
          <w:szCs w:val="20"/>
          <w:lang w:val="pt-BR" w:eastAsia="es-ES"/>
        </w:rPr>
        <w:t xml:space="preserve"> Comissão</w:t>
      </w:r>
      <w:r w:rsidR="00BA1ACF" w:rsidRPr="00D5464D">
        <w:rPr>
          <w:rFonts w:eastAsia="Batang" w:cs="Times New Roman"/>
          <w:szCs w:val="20"/>
          <w:lang w:val="pt-BR" w:eastAsia="es-ES"/>
        </w:rPr>
        <w:t xml:space="preserve"> </w:t>
      </w:r>
      <w:r w:rsidR="004C36BF" w:rsidRPr="00D5464D">
        <w:rPr>
          <w:rFonts w:eastAsia="Batang" w:cs="Times New Roman"/>
          <w:szCs w:val="20"/>
          <w:lang w:val="pt-BR" w:eastAsia="es-ES"/>
        </w:rPr>
        <w:t xml:space="preserve">foram convocados </w:t>
      </w:r>
      <w:r w:rsidR="00B369F7" w:rsidRPr="00D5464D">
        <w:rPr>
          <w:rFonts w:eastAsia="Batang" w:cs="Times New Roman"/>
          <w:szCs w:val="20"/>
          <w:lang w:val="pt-BR" w:eastAsia="es-ES"/>
        </w:rPr>
        <w:t>par</w:t>
      </w:r>
      <w:r w:rsidR="00BA1ACF" w:rsidRPr="00D5464D">
        <w:rPr>
          <w:rFonts w:eastAsia="Batang" w:cs="Times New Roman"/>
          <w:szCs w:val="20"/>
          <w:lang w:val="pt-BR" w:eastAsia="es-ES"/>
        </w:rPr>
        <w:t>a</w:t>
      </w:r>
      <w:r w:rsidR="00E045D9" w:rsidRPr="00D5464D">
        <w:rPr>
          <w:rFonts w:eastAsia="Batang" w:cs="Times New Roman"/>
          <w:szCs w:val="20"/>
          <w:lang w:val="pt-BR" w:eastAsia="es-ES"/>
        </w:rPr>
        <w:t xml:space="preserve"> uma </w:t>
      </w:r>
      <w:r w:rsidRPr="00D5464D">
        <w:rPr>
          <w:rFonts w:eastAsia="Batang" w:cs="Times New Roman"/>
          <w:szCs w:val="20"/>
          <w:lang w:val="pt-BR" w:eastAsia="es-ES"/>
        </w:rPr>
        <w:t>audiência</w:t>
      </w:r>
      <w:r w:rsidR="00BA1ACF" w:rsidRPr="00D5464D">
        <w:rPr>
          <w:rFonts w:eastAsia="Batang" w:cs="Times New Roman"/>
          <w:szCs w:val="20"/>
          <w:lang w:val="pt-BR" w:eastAsia="es-ES"/>
        </w:rPr>
        <w:t xml:space="preserve"> pública</w:t>
      </w:r>
      <w:r w:rsidR="004C36BF" w:rsidRPr="00D5464D">
        <w:rPr>
          <w:rFonts w:eastAsia="Batang" w:cs="Times New Roman"/>
          <w:szCs w:val="20"/>
          <w:lang w:val="pt-BR" w:eastAsia="es-ES"/>
        </w:rPr>
        <w:t>,</w:t>
      </w:r>
      <w:r w:rsidR="00BA1ACF" w:rsidRPr="00D5464D">
        <w:rPr>
          <w:rFonts w:eastAsia="Batang" w:cs="Times New Roman"/>
          <w:szCs w:val="20"/>
          <w:lang w:val="pt-BR" w:eastAsia="es-ES"/>
        </w:rPr>
        <w:t xml:space="preserve"> </w:t>
      </w:r>
      <w:r w:rsidR="004C36BF" w:rsidRPr="00D5464D">
        <w:rPr>
          <w:rFonts w:eastAsia="Batang" w:cs="Times New Roman"/>
          <w:szCs w:val="20"/>
          <w:lang w:val="pt-BR" w:eastAsia="es-ES"/>
        </w:rPr>
        <w:t xml:space="preserve">a qual </w:t>
      </w:r>
      <w:r w:rsidRPr="00D5464D">
        <w:rPr>
          <w:rFonts w:eastAsia="Batang" w:cs="Times New Roman"/>
          <w:szCs w:val="20"/>
          <w:lang w:val="pt-BR" w:eastAsia="es-ES"/>
        </w:rPr>
        <w:t xml:space="preserve">foi </w:t>
      </w:r>
      <w:r w:rsidR="00BA1ACF" w:rsidRPr="00D5464D">
        <w:rPr>
          <w:rFonts w:eastAsia="Batang" w:cs="Times New Roman"/>
          <w:szCs w:val="20"/>
          <w:lang w:val="pt-BR" w:eastAsia="es-ES"/>
        </w:rPr>
        <w:t>celebrada</w:t>
      </w:r>
      <w:r w:rsidR="00C91CB1" w:rsidRPr="00D5464D">
        <w:rPr>
          <w:rFonts w:eastAsia="Batang" w:cs="Times New Roman"/>
          <w:szCs w:val="20"/>
          <w:lang w:val="pt-BR" w:eastAsia="es-ES"/>
        </w:rPr>
        <w:t xml:space="preserve"> em 1</w:t>
      </w:r>
      <w:r w:rsidR="000B4B4B" w:rsidRPr="00D5464D">
        <w:rPr>
          <w:rFonts w:eastAsia="Batang" w:cs="Times New Roman"/>
          <w:szCs w:val="20"/>
          <w:lang w:val="pt-BR" w:eastAsia="es-ES"/>
        </w:rPr>
        <w:t>8</w:t>
      </w:r>
      <w:r w:rsidR="00E045D9" w:rsidRPr="00D5464D">
        <w:rPr>
          <w:rFonts w:eastAsia="Batang" w:cs="Times New Roman"/>
          <w:szCs w:val="20"/>
          <w:lang w:val="pt-BR" w:eastAsia="es-ES"/>
        </w:rPr>
        <w:t xml:space="preserve"> e </w:t>
      </w:r>
      <w:r w:rsidR="000B4B4B" w:rsidRPr="00D5464D">
        <w:rPr>
          <w:rFonts w:eastAsia="Batang" w:cs="Times New Roman"/>
          <w:szCs w:val="20"/>
          <w:lang w:val="pt-BR" w:eastAsia="es-ES"/>
        </w:rPr>
        <w:t xml:space="preserve">19 de </w:t>
      </w:r>
      <w:r w:rsidRPr="00D5464D">
        <w:rPr>
          <w:rFonts w:eastAsia="Batang" w:cs="Times New Roman"/>
          <w:szCs w:val="20"/>
          <w:lang w:val="pt-BR" w:eastAsia="es-ES"/>
        </w:rPr>
        <w:t>fevereiro</w:t>
      </w:r>
      <w:r w:rsidR="00BA1ACF" w:rsidRPr="00D5464D">
        <w:rPr>
          <w:rFonts w:eastAsia="Batang" w:cs="Times New Roman"/>
          <w:szCs w:val="20"/>
          <w:lang w:val="pt-BR" w:eastAsia="es-ES"/>
        </w:rPr>
        <w:t xml:space="preserve"> </w:t>
      </w:r>
      <w:r w:rsidR="007B4B35" w:rsidRPr="00D5464D">
        <w:rPr>
          <w:rFonts w:eastAsia="Batang" w:cs="Times New Roman"/>
          <w:szCs w:val="20"/>
          <w:lang w:val="pt-BR" w:eastAsia="es-ES"/>
        </w:rPr>
        <w:t xml:space="preserve">de 2016, </w:t>
      </w:r>
      <w:r w:rsidR="00BA1ACF" w:rsidRPr="00D5464D">
        <w:rPr>
          <w:rFonts w:eastAsia="Batang" w:cs="Times New Roman"/>
          <w:szCs w:val="20"/>
          <w:lang w:val="pt-BR" w:eastAsia="es-ES"/>
        </w:rPr>
        <w:t>durante</w:t>
      </w:r>
      <w:r w:rsidR="00C91CB1" w:rsidRPr="00D5464D">
        <w:rPr>
          <w:rFonts w:eastAsia="Batang" w:cs="Times New Roman"/>
          <w:szCs w:val="20"/>
          <w:lang w:val="pt-BR" w:eastAsia="es-ES"/>
        </w:rPr>
        <w:t xml:space="preserve"> </w:t>
      </w:r>
      <w:r w:rsidR="004C36BF" w:rsidRPr="00D5464D">
        <w:rPr>
          <w:rFonts w:eastAsia="Batang" w:cs="Times New Roman"/>
          <w:szCs w:val="20"/>
          <w:lang w:val="pt-BR" w:eastAsia="es-ES"/>
        </w:rPr>
        <w:t>o</w:t>
      </w:r>
      <w:r w:rsidR="00C91CB1" w:rsidRPr="00D5464D">
        <w:rPr>
          <w:rFonts w:eastAsia="Batang" w:cs="Times New Roman"/>
          <w:szCs w:val="20"/>
          <w:lang w:val="pt-BR" w:eastAsia="es-ES"/>
        </w:rPr>
        <w:t xml:space="preserve"> 1</w:t>
      </w:r>
      <w:r w:rsidR="000B4B4B" w:rsidRPr="00D5464D">
        <w:rPr>
          <w:rFonts w:eastAsia="Batang" w:cs="Verdana"/>
          <w:szCs w:val="20"/>
          <w:lang w:val="pt-BR" w:bidi="en-US"/>
        </w:rPr>
        <w:t xml:space="preserve">13º Período </w:t>
      </w:r>
      <w:r w:rsidR="002C330E" w:rsidRPr="00D5464D">
        <w:rPr>
          <w:rFonts w:eastAsia="Batang" w:cs="Verdana"/>
          <w:szCs w:val="20"/>
          <w:lang w:val="pt-BR" w:bidi="en-US"/>
        </w:rPr>
        <w:t>Ordinári</w:t>
      </w:r>
      <w:r w:rsidR="00BA1ACF" w:rsidRPr="00D5464D">
        <w:rPr>
          <w:rFonts w:eastAsia="Batang" w:cs="Verdana"/>
          <w:szCs w:val="20"/>
          <w:lang w:val="pt-BR" w:bidi="en-US"/>
        </w:rPr>
        <w:t xml:space="preserve">o de </w:t>
      </w:r>
      <w:r w:rsidR="002C330E" w:rsidRPr="00D5464D">
        <w:rPr>
          <w:rFonts w:eastAsia="Batang" w:cs="Verdana"/>
          <w:szCs w:val="20"/>
          <w:lang w:val="pt-BR" w:bidi="en-US"/>
        </w:rPr>
        <w:t>Sessões</w:t>
      </w:r>
      <w:r w:rsidRPr="00D5464D">
        <w:rPr>
          <w:rFonts w:eastAsia="Batang" w:cs="Verdana"/>
          <w:szCs w:val="20"/>
          <w:lang w:val="pt-BR" w:bidi="en-US"/>
        </w:rPr>
        <w:t xml:space="preserve"> da </w:t>
      </w:r>
      <w:r w:rsidR="00BA1ACF" w:rsidRPr="00D5464D">
        <w:rPr>
          <w:rFonts w:eastAsia="Batang" w:cs="Verdana"/>
          <w:szCs w:val="20"/>
          <w:lang w:val="pt-BR" w:bidi="en-US"/>
        </w:rPr>
        <w:t>Corte</w:t>
      </w:r>
      <w:r w:rsidR="00C7106C" w:rsidRPr="00D5464D">
        <w:rPr>
          <w:rFonts w:eastAsia="Batang" w:cs="Verdana"/>
          <w:szCs w:val="20"/>
          <w:lang w:val="pt-BR" w:bidi="en-US"/>
        </w:rPr>
        <w:t>.</w:t>
      </w:r>
      <w:r w:rsidR="00BA1ACF" w:rsidRPr="00D5464D">
        <w:rPr>
          <w:rFonts w:eastAsia="Batang" w:cs="Times New Roman"/>
          <w:szCs w:val="20"/>
          <w:vertAlign w:val="superscript"/>
          <w:lang w:val="pt-BR"/>
        </w:rPr>
        <w:footnoteReference w:id="8"/>
      </w:r>
      <w:r w:rsidR="00C91CB1" w:rsidRPr="00D5464D">
        <w:rPr>
          <w:rFonts w:eastAsia="Batang" w:cs="Times New Roman"/>
          <w:szCs w:val="20"/>
          <w:lang w:val="pt-BR" w:eastAsia="es-ES"/>
        </w:rPr>
        <w:t xml:space="preserve"> </w:t>
      </w:r>
      <w:r w:rsidR="004C36BF" w:rsidRPr="00D5464D">
        <w:rPr>
          <w:rFonts w:eastAsia="Batang" w:cs="Times New Roman"/>
          <w:szCs w:val="20"/>
          <w:lang w:val="pt-BR" w:eastAsia="es-ES"/>
        </w:rPr>
        <w:t xml:space="preserve">Durante </w:t>
      </w:r>
      <w:r w:rsidR="00C91CB1" w:rsidRPr="00D5464D">
        <w:rPr>
          <w:rFonts w:eastAsia="Batang" w:cs="Times New Roman"/>
          <w:szCs w:val="20"/>
          <w:lang w:val="pt-BR" w:eastAsia="es-ES"/>
        </w:rPr>
        <w:t xml:space="preserve">a </w:t>
      </w:r>
      <w:r w:rsidRPr="00D5464D">
        <w:rPr>
          <w:rFonts w:eastAsia="Batang" w:cs="Times New Roman"/>
          <w:szCs w:val="20"/>
          <w:lang w:val="pt-BR" w:eastAsia="es-ES"/>
        </w:rPr>
        <w:t>audiência</w:t>
      </w:r>
      <w:r w:rsidR="00BA1ACF" w:rsidRPr="00D5464D">
        <w:rPr>
          <w:rFonts w:eastAsia="Batang" w:cs="Times New Roman"/>
          <w:szCs w:val="20"/>
          <w:lang w:val="pt-BR" w:eastAsia="es-ES"/>
        </w:rPr>
        <w:t xml:space="preserve"> </w:t>
      </w:r>
      <w:r w:rsidR="004C36BF" w:rsidRPr="00D5464D">
        <w:rPr>
          <w:rFonts w:eastAsia="Batang" w:cs="Times New Roman"/>
          <w:szCs w:val="20"/>
          <w:lang w:val="pt-BR" w:eastAsia="es-ES"/>
        </w:rPr>
        <w:t xml:space="preserve">foram recebidas </w:t>
      </w:r>
      <w:r w:rsidR="002C330E" w:rsidRPr="00D5464D">
        <w:rPr>
          <w:rFonts w:eastAsia="Batang" w:cs="Times New Roman"/>
          <w:szCs w:val="20"/>
          <w:lang w:val="pt-BR" w:eastAsia="es-ES"/>
        </w:rPr>
        <w:t xml:space="preserve">as </w:t>
      </w:r>
      <w:r w:rsidR="00BA1ACF" w:rsidRPr="00D5464D">
        <w:rPr>
          <w:rFonts w:eastAsia="Batang" w:cs="Times New Roman"/>
          <w:szCs w:val="20"/>
          <w:lang w:val="pt-BR" w:eastAsia="es-ES"/>
        </w:rPr>
        <w:t>declara</w:t>
      </w:r>
      <w:r w:rsidRPr="00D5464D">
        <w:rPr>
          <w:rFonts w:eastAsia="Batang" w:cs="Times New Roman"/>
          <w:szCs w:val="20"/>
          <w:lang w:val="pt-BR" w:eastAsia="es-ES"/>
        </w:rPr>
        <w:t>ções</w:t>
      </w:r>
      <w:r w:rsidR="00BA1ACF" w:rsidRPr="00D5464D">
        <w:rPr>
          <w:rFonts w:eastAsia="Batang" w:cs="Times New Roman"/>
          <w:szCs w:val="20"/>
          <w:lang w:val="pt-BR" w:eastAsia="es-ES"/>
        </w:rPr>
        <w:t xml:space="preserve"> de </w:t>
      </w:r>
      <w:r w:rsidR="004C5B3B" w:rsidRPr="00D5464D">
        <w:rPr>
          <w:szCs w:val="20"/>
          <w:lang w:val="pt-BR"/>
        </w:rPr>
        <w:t>d</w:t>
      </w:r>
      <w:r w:rsidR="004C36BF" w:rsidRPr="00D5464D">
        <w:rPr>
          <w:szCs w:val="20"/>
          <w:lang w:val="pt-BR"/>
        </w:rPr>
        <w:t>uas</w:t>
      </w:r>
      <w:r w:rsidR="00A1358C" w:rsidRPr="00D5464D">
        <w:rPr>
          <w:szCs w:val="20"/>
          <w:lang w:val="pt-BR"/>
        </w:rPr>
        <w:t xml:space="preserve"> testemunhas</w:t>
      </w:r>
      <w:r w:rsidR="004C5B3B" w:rsidRPr="00D5464D">
        <w:rPr>
          <w:szCs w:val="20"/>
          <w:lang w:val="pt-BR"/>
        </w:rPr>
        <w:t xml:space="preserve"> </w:t>
      </w:r>
      <w:r w:rsidR="002C330E" w:rsidRPr="00D5464D">
        <w:rPr>
          <w:szCs w:val="20"/>
          <w:lang w:val="pt-BR"/>
        </w:rPr>
        <w:t>propost</w:t>
      </w:r>
      <w:r w:rsidR="004C36BF" w:rsidRPr="00D5464D">
        <w:rPr>
          <w:szCs w:val="20"/>
          <w:lang w:val="pt-BR"/>
        </w:rPr>
        <w:t>a</w:t>
      </w:r>
      <w:r w:rsidR="004C5B3B" w:rsidRPr="00D5464D">
        <w:rPr>
          <w:szCs w:val="20"/>
          <w:lang w:val="pt-BR"/>
        </w:rPr>
        <w:t>s</w:t>
      </w:r>
      <w:r w:rsidR="002C330E" w:rsidRPr="00D5464D">
        <w:rPr>
          <w:szCs w:val="20"/>
          <w:lang w:val="pt-BR"/>
        </w:rPr>
        <w:t xml:space="preserve"> </w:t>
      </w:r>
      <w:r w:rsidR="00737270" w:rsidRPr="00D5464D">
        <w:rPr>
          <w:szCs w:val="20"/>
          <w:lang w:val="pt-BR"/>
        </w:rPr>
        <w:t xml:space="preserve">pelos </w:t>
      </w:r>
      <w:r w:rsidR="00EB1CE9" w:rsidRPr="00D5464D">
        <w:rPr>
          <w:szCs w:val="20"/>
          <w:lang w:val="pt-BR"/>
        </w:rPr>
        <w:t>representante</w:t>
      </w:r>
      <w:r w:rsidR="00737270" w:rsidRPr="00D5464D">
        <w:rPr>
          <w:szCs w:val="20"/>
          <w:lang w:val="pt-BR"/>
        </w:rPr>
        <w:t xml:space="preserve">s </w:t>
      </w:r>
      <w:r w:rsidR="00E045D9" w:rsidRPr="00D5464D">
        <w:rPr>
          <w:szCs w:val="20"/>
          <w:lang w:val="pt-BR"/>
        </w:rPr>
        <w:t xml:space="preserve">e </w:t>
      </w:r>
      <w:r w:rsidRPr="00D5464D">
        <w:rPr>
          <w:szCs w:val="20"/>
          <w:lang w:val="pt-BR"/>
        </w:rPr>
        <w:t>quatro</w:t>
      </w:r>
      <w:r w:rsidR="004C5B3B" w:rsidRPr="00D5464D">
        <w:rPr>
          <w:szCs w:val="20"/>
          <w:lang w:val="pt-BR"/>
        </w:rPr>
        <w:t xml:space="preserve"> peritos </w:t>
      </w:r>
      <w:r w:rsidR="002C330E" w:rsidRPr="00D5464D">
        <w:rPr>
          <w:szCs w:val="20"/>
          <w:lang w:val="pt-BR"/>
        </w:rPr>
        <w:t>propost</w:t>
      </w:r>
      <w:r w:rsidR="004C5B3B" w:rsidRPr="00D5464D">
        <w:rPr>
          <w:szCs w:val="20"/>
          <w:lang w:val="pt-BR"/>
        </w:rPr>
        <w:t>os</w:t>
      </w:r>
      <w:r w:rsidR="002C330E" w:rsidRPr="00D5464D">
        <w:rPr>
          <w:szCs w:val="20"/>
          <w:lang w:val="pt-BR"/>
        </w:rPr>
        <w:t xml:space="preserve"> pela </w:t>
      </w:r>
      <w:r w:rsidRPr="00D5464D">
        <w:rPr>
          <w:szCs w:val="20"/>
          <w:lang w:val="pt-BR"/>
        </w:rPr>
        <w:t>Comissão</w:t>
      </w:r>
      <w:r w:rsidR="004C5B3B" w:rsidRPr="00D5464D">
        <w:rPr>
          <w:szCs w:val="20"/>
          <w:lang w:val="pt-BR"/>
        </w:rPr>
        <w:t>,</w:t>
      </w:r>
      <w:r w:rsidR="002C330E" w:rsidRPr="00D5464D">
        <w:rPr>
          <w:szCs w:val="20"/>
          <w:lang w:val="pt-BR"/>
        </w:rPr>
        <w:t xml:space="preserve"> </w:t>
      </w:r>
      <w:r w:rsidR="004C36BF" w:rsidRPr="00D5464D">
        <w:rPr>
          <w:szCs w:val="20"/>
          <w:lang w:val="pt-BR"/>
        </w:rPr>
        <w:t>pel</w:t>
      </w:r>
      <w:r w:rsidR="002C330E" w:rsidRPr="00D5464D">
        <w:rPr>
          <w:szCs w:val="20"/>
          <w:lang w:val="pt-BR"/>
        </w:rPr>
        <w:t xml:space="preserve">os </w:t>
      </w:r>
      <w:r w:rsidR="00EB1CE9" w:rsidRPr="00D5464D">
        <w:rPr>
          <w:szCs w:val="20"/>
          <w:lang w:val="pt-BR"/>
        </w:rPr>
        <w:t>representante</w:t>
      </w:r>
      <w:r w:rsidR="004C5B3B" w:rsidRPr="00D5464D">
        <w:rPr>
          <w:szCs w:val="20"/>
          <w:lang w:val="pt-BR"/>
        </w:rPr>
        <w:t>s</w:t>
      </w:r>
      <w:r w:rsidR="00E045D9" w:rsidRPr="00D5464D">
        <w:rPr>
          <w:szCs w:val="20"/>
          <w:lang w:val="pt-BR"/>
        </w:rPr>
        <w:t xml:space="preserve"> e </w:t>
      </w:r>
      <w:r w:rsidR="004C36BF" w:rsidRPr="00D5464D">
        <w:rPr>
          <w:szCs w:val="20"/>
          <w:lang w:val="pt-BR"/>
        </w:rPr>
        <w:t>pel</w:t>
      </w:r>
      <w:r w:rsidRPr="00D5464D">
        <w:rPr>
          <w:szCs w:val="20"/>
          <w:lang w:val="pt-BR"/>
        </w:rPr>
        <w:t xml:space="preserve">o </w:t>
      </w:r>
      <w:r w:rsidR="004C5B3B" w:rsidRPr="00D5464D">
        <w:rPr>
          <w:szCs w:val="20"/>
          <w:lang w:val="pt-BR"/>
        </w:rPr>
        <w:t>Estado</w:t>
      </w:r>
      <w:r w:rsidR="004C36BF" w:rsidRPr="00D5464D">
        <w:rPr>
          <w:szCs w:val="20"/>
          <w:lang w:val="pt-BR"/>
        </w:rPr>
        <w:t xml:space="preserve">, além </w:t>
      </w:r>
      <w:r w:rsidR="004C36BF" w:rsidRPr="00D5464D">
        <w:rPr>
          <w:rFonts w:eastAsia="Batang" w:cs="Times New Roman"/>
          <w:szCs w:val="20"/>
          <w:lang w:val="pt-BR" w:eastAsia="es-ES"/>
        </w:rPr>
        <w:t>d</w:t>
      </w:r>
      <w:r w:rsidR="002C330E" w:rsidRPr="00D5464D">
        <w:rPr>
          <w:rFonts w:eastAsia="Batang" w:cs="Times New Roman"/>
          <w:szCs w:val="20"/>
          <w:lang w:val="pt-BR" w:eastAsia="es-ES"/>
        </w:rPr>
        <w:t xml:space="preserve">as </w:t>
      </w:r>
      <w:r w:rsidR="00BA1ACF" w:rsidRPr="00D5464D">
        <w:rPr>
          <w:rFonts w:eastAsia="Batang" w:cs="Times New Roman"/>
          <w:szCs w:val="20"/>
          <w:lang w:val="pt-BR" w:eastAsia="es-ES"/>
        </w:rPr>
        <w:t>observa</w:t>
      </w:r>
      <w:r w:rsidRPr="00D5464D">
        <w:rPr>
          <w:rFonts w:eastAsia="Batang" w:cs="Times New Roman"/>
          <w:szCs w:val="20"/>
          <w:lang w:val="pt-BR" w:eastAsia="es-ES"/>
        </w:rPr>
        <w:t>ções</w:t>
      </w:r>
      <w:r w:rsidR="00E045D9" w:rsidRPr="00D5464D">
        <w:rPr>
          <w:rFonts w:eastAsia="Batang" w:cs="Times New Roman"/>
          <w:szCs w:val="20"/>
          <w:lang w:val="pt-BR" w:eastAsia="es-ES"/>
        </w:rPr>
        <w:t xml:space="preserve"> e </w:t>
      </w:r>
      <w:r w:rsidRPr="00D5464D">
        <w:rPr>
          <w:rFonts w:eastAsia="Batang" w:cs="Times New Roman"/>
          <w:szCs w:val="20"/>
          <w:lang w:val="pt-BR" w:eastAsia="es-ES"/>
        </w:rPr>
        <w:t>alegações</w:t>
      </w:r>
      <w:r w:rsidR="00BA1ACF" w:rsidRPr="00D5464D">
        <w:rPr>
          <w:rFonts w:eastAsia="Batang" w:cs="Times New Roman"/>
          <w:szCs w:val="20"/>
          <w:lang w:val="pt-BR" w:eastAsia="es-ES"/>
        </w:rPr>
        <w:t xml:space="preserve"> </w:t>
      </w:r>
      <w:r w:rsidRPr="00D5464D">
        <w:rPr>
          <w:rFonts w:eastAsia="Batang" w:cs="Times New Roman"/>
          <w:szCs w:val="20"/>
          <w:lang w:val="pt-BR" w:eastAsia="es-ES"/>
        </w:rPr>
        <w:t>finais</w:t>
      </w:r>
      <w:r w:rsidR="002C330E" w:rsidRPr="00D5464D">
        <w:rPr>
          <w:rFonts w:eastAsia="Batang" w:cs="Times New Roman"/>
          <w:szCs w:val="20"/>
          <w:lang w:val="pt-BR" w:eastAsia="es-ES"/>
        </w:rPr>
        <w:t xml:space="preserve"> orais</w:t>
      </w:r>
      <w:r w:rsidR="004C36BF" w:rsidRPr="00D5464D">
        <w:rPr>
          <w:rFonts w:eastAsia="Batang" w:cs="Times New Roman"/>
          <w:szCs w:val="20"/>
          <w:lang w:val="pt-BR" w:eastAsia="es-ES"/>
        </w:rPr>
        <w:t>, respectivamente,</w:t>
      </w:r>
      <w:r w:rsidRPr="00D5464D">
        <w:rPr>
          <w:rFonts w:eastAsia="Batang" w:cs="Times New Roman"/>
          <w:szCs w:val="20"/>
          <w:lang w:val="pt-BR" w:eastAsia="es-ES"/>
        </w:rPr>
        <w:t xml:space="preserve"> da Comissão</w:t>
      </w:r>
      <w:r w:rsidR="00BA1ACF" w:rsidRPr="00D5464D">
        <w:rPr>
          <w:rFonts w:eastAsia="Batang" w:cs="Times New Roman"/>
          <w:szCs w:val="20"/>
          <w:lang w:val="pt-BR" w:eastAsia="es-ES"/>
        </w:rPr>
        <w:t>,</w:t>
      </w:r>
      <w:r w:rsidR="002C330E" w:rsidRPr="00D5464D">
        <w:rPr>
          <w:rFonts w:eastAsia="Batang" w:cs="Times New Roman"/>
          <w:szCs w:val="20"/>
          <w:lang w:val="pt-BR" w:eastAsia="es-ES"/>
        </w:rPr>
        <w:t xml:space="preserve"> </w:t>
      </w:r>
      <w:r w:rsidR="004C36BF" w:rsidRPr="00D5464D">
        <w:rPr>
          <w:rFonts w:eastAsia="Batang" w:cs="Times New Roman"/>
          <w:szCs w:val="20"/>
          <w:lang w:val="pt-BR" w:eastAsia="es-ES"/>
        </w:rPr>
        <w:t>d</w:t>
      </w:r>
      <w:r w:rsidR="002C330E" w:rsidRPr="00D5464D">
        <w:rPr>
          <w:rFonts w:eastAsia="Batang" w:cs="Times New Roman"/>
          <w:szCs w:val="20"/>
          <w:lang w:val="pt-BR" w:eastAsia="es-ES"/>
        </w:rPr>
        <w:t xml:space="preserve">os </w:t>
      </w:r>
      <w:r w:rsidR="00EB1CE9" w:rsidRPr="00D5464D">
        <w:rPr>
          <w:rFonts w:eastAsia="Batang" w:cs="Times New Roman"/>
          <w:szCs w:val="20"/>
          <w:lang w:val="pt-BR" w:eastAsia="es-ES"/>
        </w:rPr>
        <w:t>representante</w:t>
      </w:r>
      <w:r w:rsidR="00BA1ACF" w:rsidRPr="00D5464D">
        <w:rPr>
          <w:rFonts w:eastAsia="Batang" w:cs="Times New Roman"/>
          <w:szCs w:val="20"/>
          <w:lang w:val="pt-BR" w:eastAsia="es-ES"/>
        </w:rPr>
        <w:t>s</w:t>
      </w:r>
      <w:r w:rsidR="00E045D9" w:rsidRPr="00D5464D">
        <w:rPr>
          <w:rFonts w:eastAsia="Batang" w:cs="Times New Roman"/>
          <w:szCs w:val="20"/>
          <w:lang w:val="pt-BR" w:eastAsia="es-ES"/>
        </w:rPr>
        <w:t xml:space="preserve"> e </w:t>
      </w:r>
      <w:r w:rsidR="004C36BF" w:rsidRPr="00D5464D">
        <w:rPr>
          <w:rFonts w:eastAsia="Batang" w:cs="Times New Roman"/>
          <w:szCs w:val="20"/>
          <w:lang w:val="pt-BR" w:eastAsia="es-ES"/>
        </w:rPr>
        <w:t>d</w:t>
      </w:r>
      <w:r w:rsidRPr="00D5464D">
        <w:rPr>
          <w:rFonts w:eastAsia="Batang" w:cs="Times New Roman"/>
          <w:szCs w:val="20"/>
          <w:lang w:val="pt-BR" w:eastAsia="es-ES"/>
        </w:rPr>
        <w:t xml:space="preserve">o </w:t>
      </w:r>
      <w:r w:rsidR="00BA1ACF" w:rsidRPr="00D5464D">
        <w:rPr>
          <w:rFonts w:eastAsia="Batang" w:cs="Times New Roman"/>
          <w:szCs w:val="20"/>
          <w:lang w:val="pt-BR" w:eastAsia="es-ES"/>
        </w:rPr>
        <w:t xml:space="preserve">Estado. </w:t>
      </w:r>
      <w:r w:rsidR="00350187" w:rsidRPr="00D5464D">
        <w:rPr>
          <w:rFonts w:eastAsia="Batang" w:cs="Times New Roman"/>
          <w:szCs w:val="20"/>
          <w:lang w:val="pt-BR" w:eastAsia="es-ES"/>
        </w:rPr>
        <w:t xml:space="preserve">Além disso, </w:t>
      </w:r>
      <w:r w:rsidR="00E045D9" w:rsidRPr="00D5464D">
        <w:rPr>
          <w:rFonts w:eastAsia="Batang" w:cs="Times New Roman"/>
          <w:szCs w:val="20"/>
          <w:lang w:val="pt-BR" w:eastAsia="es-ES"/>
        </w:rPr>
        <w:t xml:space="preserve">nestas </w:t>
      </w:r>
      <w:r w:rsidR="00EB1E46" w:rsidRPr="00D5464D">
        <w:rPr>
          <w:rFonts w:eastAsia="Batang" w:cs="Times New Roman"/>
          <w:szCs w:val="20"/>
          <w:lang w:val="pt-BR" w:eastAsia="es-ES"/>
        </w:rPr>
        <w:t>r</w:t>
      </w:r>
      <w:r w:rsidR="004C5B3B" w:rsidRPr="00D5464D">
        <w:rPr>
          <w:rFonts w:eastAsia="Batang" w:cs="Times New Roman"/>
          <w:szCs w:val="20"/>
          <w:lang w:val="pt-BR" w:eastAsia="es-ES"/>
        </w:rPr>
        <w:t>esolu</w:t>
      </w:r>
      <w:r w:rsidRPr="00D5464D">
        <w:rPr>
          <w:rFonts w:eastAsia="Batang" w:cs="Times New Roman"/>
          <w:szCs w:val="20"/>
          <w:lang w:val="pt-BR" w:eastAsia="es-ES"/>
        </w:rPr>
        <w:t>ções</w:t>
      </w:r>
      <w:r w:rsidR="00BA1ACF" w:rsidRPr="00D5464D">
        <w:rPr>
          <w:rFonts w:eastAsia="Batang" w:cs="Times New Roman"/>
          <w:szCs w:val="20"/>
          <w:lang w:val="pt-BR" w:eastAsia="es-ES"/>
        </w:rPr>
        <w:t xml:space="preserve"> </w:t>
      </w:r>
      <w:r w:rsidR="004C36BF" w:rsidRPr="00D5464D">
        <w:rPr>
          <w:rFonts w:eastAsia="Batang" w:cs="Times New Roman"/>
          <w:szCs w:val="20"/>
          <w:lang w:val="pt-BR" w:eastAsia="es-ES"/>
        </w:rPr>
        <w:t xml:space="preserve">ordenou-se </w:t>
      </w:r>
      <w:r w:rsidR="00B369F7" w:rsidRPr="00D5464D">
        <w:rPr>
          <w:rFonts w:eastAsia="Batang" w:cs="Times New Roman"/>
          <w:szCs w:val="20"/>
          <w:lang w:val="pt-BR" w:eastAsia="es-ES"/>
        </w:rPr>
        <w:t>o recebimento das</w:t>
      </w:r>
      <w:r w:rsidR="00FF1290" w:rsidRPr="00D5464D">
        <w:rPr>
          <w:rFonts w:eastAsia="Batang" w:cs="Times New Roman"/>
          <w:szCs w:val="20"/>
          <w:lang w:val="pt-BR" w:eastAsia="es-ES"/>
        </w:rPr>
        <w:t xml:space="preserve"> </w:t>
      </w:r>
      <w:r w:rsidR="00350187" w:rsidRPr="00D5464D">
        <w:rPr>
          <w:rFonts w:eastAsia="Batang" w:cs="Times New Roman"/>
          <w:szCs w:val="20"/>
          <w:lang w:val="pt-BR" w:eastAsia="es-ES"/>
        </w:rPr>
        <w:t>declarações prestadas</w:t>
      </w:r>
      <w:r w:rsidR="00737270" w:rsidRPr="00D5464D">
        <w:rPr>
          <w:rFonts w:eastAsia="Batang" w:cs="Times New Roman"/>
          <w:szCs w:val="20"/>
          <w:lang w:val="pt-BR" w:eastAsia="es-ES"/>
        </w:rPr>
        <w:t xml:space="preserve"> perante agente dotado</w:t>
      </w:r>
      <w:r w:rsidRPr="00D5464D">
        <w:rPr>
          <w:rFonts w:eastAsia="Batang" w:cs="Times New Roman"/>
          <w:szCs w:val="20"/>
          <w:lang w:val="pt-BR" w:eastAsia="es-ES"/>
        </w:rPr>
        <w:t xml:space="preserve"> de fé pública</w:t>
      </w:r>
      <w:r w:rsidR="00BA1ACF" w:rsidRPr="00D5464D">
        <w:rPr>
          <w:rFonts w:eastAsia="Batang" w:cs="Times New Roman"/>
          <w:szCs w:val="20"/>
          <w:lang w:val="pt-BR" w:eastAsia="es-ES"/>
        </w:rPr>
        <w:t xml:space="preserve"> (</w:t>
      </w:r>
      <w:r w:rsidR="00BC7B3C" w:rsidRPr="00D5464D">
        <w:rPr>
          <w:rFonts w:eastAsia="Batang" w:cs="Times New Roman"/>
          <w:i/>
          <w:szCs w:val="20"/>
          <w:lang w:val="pt-BR" w:eastAsia="es-ES"/>
        </w:rPr>
        <w:t>affidavit</w:t>
      </w:r>
      <w:r w:rsidR="00BA1ACF" w:rsidRPr="00D5464D">
        <w:rPr>
          <w:rFonts w:eastAsia="Batang" w:cs="Times New Roman"/>
          <w:szCs w:val="20"/>
          <w:lang w:val="pt-BR" w:eastAsia="es-ES"/>
        </w:rPr>
        <w:t xml:space="preserve">) de </w:t>
      </w:r>
      <w:r w:rsidR="002C330E" w:rsidRPr="00D5464D">
        <w:rPr>
          <w:rFonts w:eastAsia="Batang" w:cs="Times New Roman"/>
          <w:szCs w:val="20"/>
          <w:lang w:val="pt-BR" w:eastAsia="es-ES"/>
        </w:rPr>
        <w:t xml:space="preserve">sete </w:t>
      </w:r>
      <w:r w:rsidR="00E045D9" w:rsidRPr="00D5464D">
        <w:rPr>
          <w:rFonts w:eastAsia="Batang" w:cs="Times New Roman"/>
          <w:szCs w:val="20"/>
          <w:lang w:val="pt-BR" w:eastAsia="es-ES"/>
        </w:rPr>
        <w:t>testemunha</w:t>
      </w:r>
      <w:r w:rsidR="004C5B3B" w:rsidRPr="00D5464D">
        <w:rPr>
          <w:rFonts w:eastAsia="Batang" w:cs="Times New Roman"/>
          <w:szCs w:val="20"/>
          <w:lang w:val="pt-BR" w:eastAsia="es-ES"/>
        </w:rPr>
        <w:t>s</w:t>
      </w:r>
      <w:r w:rsidR="00E045D9" w:rsidRPr="00D5464D">
        <w:rPr>
          <w:rFonts w:eastAsia="Batang" w:cs="Times New Roman"/>
          <w:szCs w:val="20"/>
          <w:lang w:val="pt-BR" w:eastAsia="es-ES"/>
        </w:rPr>
        <w:t xml:space="preserve"> e </w:t>
      </w:r>
      <w:r w:rsidR="004C36BF" w:rsidRPr="00D5464D">
        <w:rPr>
          <w:rFonts w:eastAsia="Batang" w:cs="Times New Roman"/>
          <w:szCs w:val="20"/>
          <w:lang w:val="pt-BR" w:eastAsia="es-ES"/>
        </w:rPr>
        <w:t xml:space="preserve">de </w:t>
      </w:r>
      <w:r w:rsidR="004C5B3B" w:rsidRPr="00D5464D">
        <w:rPr>
          <w:rFonts w:eastAsia="Batang" w:cs="Times New Roman"/>
          <w:szCs w:val="20"/>
          <w:lang w:val="pt-BR" w:eastAsia="es-ES"/>
        </w:rPr>
        <w:t>10 peritos</w:t>
      </w:r>
      <w:r w:rsidR="004C36BF" w:rsidRPr="00D5464D">
        <w:rPr>
          <w:rFonts w:eastAsia="Batang" w:cs="Times New Roman"/>
          <w:szCs w:val="20"/>
          <w:lang w:val="pt-BR" w:eastAsia="es-ES"/>
        </w:rPr>
        <w:t>,</w:t>
      </w:r>
      <w:r w:rsidR="004C5B3B" w:rsidRPr="00D5464D">
        <w:rPr>
          <w:rFonts w:eastAsia="Batang" w:cs="Times New Roman"/>
          <w:szCs w:val="20"/>
          <w:lang w:val="pt-BR" w:eastAsia="es-ES"/>
        </w:rPr>
        <w:t xml:space="preserve"> </w:t>
      </w:r>
      <w:r w:rsidR="002C330E" w:rsidRPr="00D5464D">
        <w:rPr>
          <w:rFonts w:eastAsia="Batang" w:cs="Times New Roman"/>
          <w:szCs w:val="20"/>
          <w:lang w:val="pt-BR" w:eastAsia="es-ES"/>
        </w:rPr>
        <w:t>propost</w:t>
      </w:r>
      <w:r w:rsidR="004C5B3B" w:rsidRPr="00D5464D">
        <w:rPr>
          <w:rFonts w:eastAsia="Batang" w:cs="Times New Roman"/>
          <w:szCs w:val="20"/>
          <w:lang w:val="pt-BR" w:eastAsia="es-ES"/>
        </w:rPr>
        <w:t>os</w:t>
      </w:r>
      <w:r w:rsidR="002C330E" w:rsidRPr="00D5464D">
        <w:rPr>
          <w:rFonts w:eastAsia="Batang" w:cs="Times New Roman"/>
          <w:szCs w:val="20"/>
          <w:lang w:val="pt-BR" w:eastAsia="es-ES"/>
        </w:rPr>
        <w:t xml:space="preserve"> </w:t>
      </w:r>
      <w:r w:rsidR="00737270" w:rsidRPr="00D5464D">
        <w:rPr>
          <w:rFonts w:eastAsia="Batang" w:cs="Times New Roman"/>
          <w:szCs w:val="20"/>
          <w:lang w:val="pt-BR" w:eastAsia="es-ES"/>
        </w:rPr>
        <w:t xml:space="preserve">pelos </w:t>
      </w:r>
      <w:r w:rsidR="00EB1CE9" w:rsidRPr="00D5464D">
        <w:rPr>
          <w:rFonts w:eastAsia="Batang" w:cs="Times New Roman"/>
          <w:szCs w:val="20"/>
          <w:lang w:val="pt-BR" w:eastAsia="es-ES"/>
        </w:rPr>
        <w:t>representante</w:t>
      </w:r>
      <w:r w:rsidR="00737270" w:rsidRPr="00D5464D">
        <w:rPr>
          <w:rFonts w:eastAsia="Batang" w:cs="Times New Roman"/>
          <w:szCs w:val="20"/>
          <w:lang w:val="pt-BR" w:eastAsia="es-ES"/>
        </w:rPr>
        <w:t xml:space="preserve">s </w:t>
      </w:r>
      <w:r w:rsidR="00E045D9" w:rsidRPr="00D5464D">
        <w:rPr>
          <w:rFonts w:eastAsia="Batang" w:cs="Times New Roman"/>
          <w:szCs w:val="20"/>
          <w:lang w:val="pt-BR" w:eastAsia="es-ES"/>
        </w:rPr>
        <w:t xml:space="preserve">e </w:t>
      </w:r>
      <w:r w:rsidR="004C36BF" w:rsidRPr="00D5464D">
        <w:rPr>
          <w:rFonts w:eastAsia="Batang" w:cs="Times New Roman"/>
          <w:szCs w:val="20"/>
          <w:lang w:val="pt-BR" w:eastAsia="es-ES"/>
        </w:rPr>
        <w:t>pel</w:t>
      </w:r>
      <w:r w:rsidRPr="00D5464D">
        <w:rPr>
          <w:rFonts w:eastAsia="Batang" w:cs="Times New Roman"/>
          <w:szCs w:val="20"/>
          <w:lang w:val="pt-BR" w:eastAsia="es-ES"/>
        </w:rPr>
        <w:t xml:space="preserve">o </w:t>
      </w:r>
      <w:r w:rsidR="004C5B3B" w:rsidRPr="00D5464D">
        <w:rPr>
          <w:rFonts w:eastAsia="Batang" w:cs="Times New Roman"/>
          <w:szCs w:val="20"/>
          <w:lang w:val="pt-BR" w:eastAsia="es-ES"/>
        </w:rPr>
        <w:t>Estado</w:t>
      </w:r>
      <w:r w:rsidR="00BA1ACF" w:rsidRPr="00D5464D">
        <w:rPr>
          <w:rFonts w:eastAsia="Batang" w:cs="Times New Roman"/>
          <w:szCs w:val="20"/>
          <w:lang w:val="pt-BR" w:eastAsia="es-ES"/>
        </w:rPr>
        <w:t>.</w:t>
      </w:r>
      <w:r w:rsidR="004C5B3B" w:rsidRPr="00D5464D">
        <w:rPr>
          <w:rFonts w:eastAsia="Batang" w:cs="Times New Roman"/>
          <w:szCs w:val="20"/>
          <w:lang w:val="pt-BR" w:eastAsia="es-ES"/>
        </w:rPr>
        <w:t xml:space="preserve"> </w:t>
      </w:r>
    </w:p>
    <w:p w14:paraId="1EAF7513" w14:textId="77777777" w:rsidR="004C7778" w:rsidRPr="00D5464D" w:rsidRDefault="004C7778" w:rsidP="00140440">
      <w:pPr>
        <w:tabs>
          <w:tab w:val="clear" w:pos="4419"/>
          <w:tab w:val="clear" w:pos="8838"/>
          <w:tab w:val="left" w:pos="567"/>
          <w:tab w:val="left" w:pos="1134"/>
        </w:tabs>
        <w:jc w:val="both"/>
        <w:rPr>
          <w:rFonts w:eastAsia="Batang" w:cs="Arial"/>
          <w:szCs w:val="20"/>
          <w:lang w:val="pt-BR"/>
        </w:rPr>
      </w:pPr>
    </w:p>
    <w:p w14:paraId="4C2B0E6D" w14:textId="446DFFB4" w:rsidR="001A317E" w:rsidRPr="00D5464D" w:rsidRDefault="00BA1ACF" w:rsidP="00140440">
      <w:pPr>
        <w:numPr>
          <w:ilvl w:val="0"/>
          <w:numId w:val="1"/>
        </w:numPr>
        <w:tabs>
          <w:tab w:val="clear" w:pos="4419"/>
          <w:tab w:val="clear" w:pos="8838"/>
          <w:tab w:val="left" w:pos="567"/>
          <w:tab w:val="left" w:pos="1134"/>
        </w:tabs>
        <w:jc w:val="both"/>
        <w:rPr>
          <w:rFonts w:eastAsia="Batang" w:cs="Arial"/>
          <w:szCs w:val="20"/>
          <w:lang w:val="pt-BR"/>
        </w:rPr>
      </w:pPr>
      <w:r w:rsidRPr="00D5464D">
        <w:rPr>
          <w:rFonts w:eastAsia="Batang" w:cs="Times New Roman"/>
          <w:i/>
          <w:szCs w:val="20"/>
          <w:lang w:val="pt-BR"/>
        </w:rPr>
        <w:t xml:space="preserve">Amici </w:t>
      </w:r>
      <w:r w:rsidR="00952C89" w:rsidRPr="00D5464D">
        <w:rPr>
          <w:rFonts w:eastAsia="Batang" w:cs="Times New Roman"/>
          <w:i/>
          <w:szCs w:val="20"/>
          <w:lang w:val="pt-BR"/>
        </w:rPr>
        <w:t>c</w:t>
      </w:r>
      <w:r w:rsidRPr="00D5464D">
        <w:rPr>
          <w:rFonts w:eastAsia="Batang" w:cs="Times New Roman"/>
          <w:i/>
          <w:szCs w:val="20"/>
          <w:lang w:val="pt-BR"/>
        </w:rPr>
        <w:t>uriae.</w:t>
      </w:r>
      <w:r w:rsidRPr="00D5464D">
        <w:rPr>
          <w:rFonts w:eastAsia="Batang" w:cs="Arial"/>
          <w:i/>
          <w:szCs w:val="20"/>
          <w:lang w:val="pt-BR"/>
        </w:rPr>
        <w:t>-</w:t>
      </w:r>
      <w:r w:rsidR="00470ADC" w:rsidRPr="00D5464D">
        <w:rPr>
          <w:rFonts w:eastAsia="Batang" w:cs="Arial"/>
          <w:i/>
          <w:szCs w:val="20"/>
          <w:lang w:val="pt-BR"/>
        </w:rPr>
        <w:t xml:space="preserve"> </w:t>
      </w:r>
      <w:r w:rsidR="00D65024" w:rsidRPr="00D5464D">
        <w:rPr>
          <w:rFonts w:eastAsia="Batang" w:cs="Arial"/>
          <w:szCs w:val="20"/>
          <w:lang w:val="pt-BR"/>
        </w:rPr>
        <w:t>O</w:t>
      </w:r>
      <w:r w:rsidR="00470ADC" w:rsidRPr="00D5464D">
        <w:rPr>
          <w:rFonts w:eastAsia="Batang" w:cs="Arial"/>
          <w:i/>
          <w:szCs w:val="20"/>
          <w:lang w:val="pt-BR"/>
        </w:rPr>
        <w:t xml:space="preserve"> </w:t>
      </w:r>
      <w:r w:rsidRPr="00D5464D">
        <w:rPr>
          <w:rFonts w:eastAsia="Batang" w:cs="Times New Roman"/>
          <w:szCs w:val="20"/>
          <w:lang w:val="pt-BR"/>
        </w:rPr>
        <w:t xml:space="preserve">Tribunal </w:t>
      </w:r>
      <w:r w:rsidR="002C330E" w:rsidRPr="00D5464D">
        <w:rPr>
          <w:rFonts w:eastAsia="Batang" w:cs="Times New Roman"/>
          <w:szCs w:val="20"/>
          <w:lang w:val="pt-BR"/>
        </w:rPr>
        <w:t>recebeu</w:t>
      </w:r>
      <w:r w:rsidRPr="00D5464D">
        <w:rPr>
          <w:rFonts w:eastAsia="Batang" w:cs="Times New Roman"/>
          <w:szCs w:val="20"/>
          <w:lang w:val="pt-BR"/>
        </w:rPr>
        <w:t xml:space="preserve"> </w:t>
      </w:r>
      <w:r w:rsidR="002C330E" w:rsidRPr="00D5464D">
        <w:rPr>
          <w:rFonts w:eastAsia="Batang" w:cs="Times New Roman"/>
          <w:szCs w:val="20"/>
          <w:lang w:val="pt-BR"/>
        </w:rPr>
        <w:t xml:space="preserve">sete </w:t>
      </w:r>
      <w:r w:rsidRPr="00D5464D">
        <w:rPr>
          <w:rFonts w:eastAsia="Batang" w:cs="Times New Roman"/>
          <w:szCs w:val="20"/>
          <w:lang w:val="pt-BR"/>
        </w:rPr>
        <w:t xml:space="preserve">escritos de </w:t>
      </w:r>
      <w:r w:rsidRPr="00D5464D">
        <w:rPr>
          <w:rFonts w:eastAsia="Batang" w:cs="Times New Roman"/>
          <w:i/>
          <w:szCs w:val="20"/>
          <w:lang w:val="pt-BR"/>
        </w:rPr>
        <w:t>amici curiae</w:t>
      </w:r>
      <w:r w:rsidR="00C7106C" w:rsidRPr="00D5464D">
        <w:rPr>
          <w:rFonts w:eastAsia="Batang" w:cs="Times New Roman"/>
          <w:szCs w:val="20"/>
          <w:lang w:val="pt-BR"/>
        </w:rPr>
        <w:t>,</w:t>
      </w:r>
      <w:r w:rsidR="00695EC7" w:rsidRPr="00D5464D">
        <w:rPr>
          <w:rStyle w:val="Refdenotaalpie"/>
          <w:rFonts w:eastAsia="Batang"/>
          <w:lang w:val="pt-BR"/>
        </w:rPr>
        <w:footnoteReference w:id="9"/>
      </w:r>
      <w:r w:rsidR="002C330E" w:rsidRPr="00D5464D">
        <w:rPr>
          <w:rFonts w:eastAsia="Batang" w:cs="Times New Roman"/>
          <w:szCs w:val="20"/>
          <w:lang w:val="pt-BR"/>
        </w:rPr>
        <w:t xml:space="preserve"> apresentados </w:t>
      </w:r>
      <w:r w:rsidRPr="00D5464D">
        <w:rPr>
          <w:rFonts w:eastAsia="Batang" w:cs="Times New Roman"/>
          <w:szCs w:val="20"/>
          <w:lang w:val="pt-BR"/>
        </w:rPr>
        <w:t>por: 1)</w:t>
      </w:r>
      <w:r w:rsidR="002C330E" w:rsidRPr="00D5464D">
        <w:rPr>
          <w:rFonts w:eastAsia="Batang" w:cs="Times New Roman"/>
          <w:szCs w:val="20"/>
          <w:lang w:val="pt-BR"/>
        </w:rPr>
        <w:t xml:space="preserve"> </w:t>
      </w:r>
      <w:r w:rsidR="004C5B3B" w:rsidRPr="00D5464D">
        <w:rPr>
          <w:rFonts w:eastAsia="Batang" w:cs="Times New Roman"/>
          <w:szCs w:val="20"/>
          <w:lang w:val="pt-BR"/>
        </w:rPr>
        <w:t xml:space="preserve">Clínica de </w:t>
      </w:r>
      <w:r w:rsidR="00470ADC" w:rsidRPr="00D5464D">
        <w:rPr>
          <w:rFonts w:eastAsia="Batang" w:cs="Times New Roman"/>
          <w:szCs w:val="20"/>
          <w:lang w:val="pt-BR"/>
        </w:rPr>
        <w:t>Direito</w:t>
      </w:r>
      <w:r w:rsidR="004C5B3B" w:rsidRPr="00D5464D">
        <w:rPr>
          <w:rFonts w:eastAsia="Batang" w:cs="Times New Roman"/>
          <w:szCs w:val="20"/>
          <w:lang w:val="pt-BR"/>
        </w:rPr>
        <w:t>s Humanos d</w:t>
      </w:r>
      <w:r w:rsidR="004C36BF" w:rsidRPr="00D5464D">
        <w:rPr>
          <w:rFonts w:eastAsia="Batang" w:cs="Times New Roman"/>
          <w:szCs w:val="20"/>
          <w:lang w:val="pt-BR"/>
        </w:rPr>
        <w:t>a</w:t>
      </w:r>
      <w:r w:rsidR="004C5B3B" w:rsidRPr="00D5464D">
        <w:rPr>
          <w:rFonts w:eastAsia="Batang" w:cs="Times New Roman"/>
          <w:szCs w:val="20"/>
          <w:lang w:val="pt-BR"/>
        </w:rPr>
        <w:t xml:space="preserve"> A</w:t>
      </w:r>
      <w:r w:rsidR="004C36BF" w:rsidRPr="00D5464D">
        <w:rPr>
          <w:rFonts w:eastAsia="Batang" w:cs="Times New Roman"/>
          <w:szCs w:val="20"/>
          <w:lang w:val="pt-BR"/>
        </w:rPr>
        <w:t>mazô</w:t>
      </w:r>
      <w:r w:rsidR="004C5B3B" w:rsidRPr="00D5464D">
        <w:rPr>
          <w:rFonts w:eastAsia="Batang" w:cs="Times New Roman"/>
          <w:szCs w:val="20"/>
          <w:lang w:val="pt-BR"/>
        </w:rPr>
        <w:t>nia</w:t>
      </w:r>
      <w:r w:rsidR="002B787B" w:rsidRPr="00D5464D">
        <w:rPr>
          <w:rFonts w:eastAsia="Batang" w:cs="Times New Roman"/>
          <w:szCs w:val="20"/>
          <w:lang w:val="pt-BR"/>
        </w:rPr>
        <w:t xml:space="preserve">, </w:t>
      </w:r>
      <w:r w:rsidR="00E045D9" w:rsidRPr="00D5464D">
        <w:rPr>
          <w:rFonts w:eastAsia="Batang" w:cs="Times New Roman"/>
          <w:szCs w:val="20"/>
          <w:lang w:val="pt-BR"/>
        </w:rPr>
        <w:t xml:space="preserve">Universidade </w:t>
      </w:r>
      <w:r w:rsidR="002B787B" w:rsidRPr="00D5464D">
        <w:rPr>
          <w:rFonts w:eastAsia="Batang" w:cs="Times New Roman"/>
          <w:szCs w:val="20"/>
          <w:lang w:val="pt-BR"/>
        </w:rPr>
        <w:t>Federal d</w:t>
      </w:r>
      <w:r w:rsidR="004C36BF" w:rsidRPr="00D5464D">
        <w:rPr>
          <w:rFonts w:eastAsia="Batang" w:cs="Times New Roman"/>
          <w:szCs w:val="20"/>
          <w:lang w:val="pt-BR"/>
        </w:rPr>
        <w:t>o</w:t>
      </w:r>
      <w:r w:rsidR="002B787B" w:rsidRPr="00D5464D">
        <w:rPr>
          <w:rFonts w:eastAsia="Batang" w:cs="Times New Roman"/>
          <w:szCs w:val="20"/>
          <w:lang w:val="pt-BR"/>
        </w:rPr>
        <w:t xml:space="preserve"> Pará</w:t>
      </w:r>
      <w:r w:rsidR="00C7106C" w:rsidRPr="00D5464D">
        <w:rPr>
          <w:rFonts w:eastAsia="Batang" w:cs="Times New Roman"/>
          <w:szCs w:val="20"/>
          <w:lang w:val="pt-BR"/>
        </w:rPr>
        <w:t>;</w:t>
      </w:r>
      <w:r w:rsidR="00C60214" w:rsidRPr="00D5464D">
        <w:rPr>
          <w:rStyle w:val="Refdenotaalpie"/>
          <w:rFonts w:eastAsia="Batang"/>
          <w:lang w:val="pt-BR"/>
        </w:rPr>
        <w:footnoteReference w:id="10"/>
      </w:r>
      <w:r w:rsidRPr="00D5464D">
        <w:rPr>
          <w:rFonts w:eastAsia="Batang" w:cs="Times New Roman"/>
          <w:szCs w:val="20"/>
          <w:lang w:val="pt-BR"/>
        </w:rPr>
        <w:t xml:space="preserve"> 2)</w:t>
      </w:r>
      <w:r w:rsidR="00470ADC" w:rsidRPr="00D5464D">
        <w:rPr>
          <w:rFonts w:eastAsia="Batang" w:cs="Times New Roman"/>
          <w:szCs w:val="20"/>
          <w:lang w:val="pt-BR"/>
        </w:rPr>
        <w:t xml:space="preserve"> </w:t>
      </w:r>
      <w:r w:rsidR="006745A1" w:rsidRPr="00D5464D">
        <w:rPr>
          <w:rFonts w:cs="Calibri"/>
          <w:szCs w:val="20"/>
          <w:lang w:val="pt-BR"/>
        </w:rPr>
        <w:t>Instituto de Democracia</w:t>
      </w:r>
      <w:r w:rsidR="00E045D9" w:rsidRPr="00D5464D">
        <w:rPr>
          <w:rFonts w:cs="Calibri"/>
          <w:szCs w:val="20"/>
          <w:lang w:val="pt-BR"/>
        </w:rPr>
        <w:t xml:space="preserve"> e </w:t>
      </w:r>
      <w:r w:rsidR="00470ADC" w:rsidRPr="00D5464D">
        <w:rPr>
          <w:rFonts w:cs="Calibri"/>
          <w:szCs w:val="20"/>
          <w:lang w:val="pt-BR"/>
        </w:rPr>
        <w:t>Direito</w:t>
      </w:r>
      <w:r w:rsidR="006745A1" w:rsidRPr="00D5464D">
        <w:rPr>
          <w:rFonts w:cs="Calibri"/>
          <w:szCs w:val="20"/>
          <w:lang w:val="pt-BR"/>
        </w:rPr>
        <w:t>s Humanos</w:t>
      </w:r>
      <w:r w:rsidR="00470ADC" w:rsidRPr="00D5464D">
        <w:rPr>
          <w:rFonts w:cs="Calibri"/>
          <w:szCs w:val="20"/>
          <w:lang w:val="pt-BR"/>
        </w:rPr>
        <w:t xml:space="preserve"> da </w:t>
      </w:r>
      <w:r w:rsidR="00E765C2" w:rsidRPr="00D5464D">
        <w:rPr>
          <w:rFonts w:cs="Calibri"/>
          <w:szCs w:val="20"/>
          <w:lang w:val="pt-BR"/>
        </w:rPr>
        <w:t>Pontifícia</w:t>
      </w:r>
      <w:r w:rsidR="006745A1" w:rsidRPr="00D5464D">
        <w:rPr>
          <w:rFonts w:cs="Calibri"/>
          <w:szCs w:val="20"/>
          <w:lang w:val="pt-BR"/>
        </w:rPr>
        <w:t xml:space="preserve"> </w:t>
      </w:r>
      <w:r w:rsidR="00E045D9" w:rsidRPr="00D5464D">
        <w:rPr>
          <w:rFonts w:cs="Calibri"/>
          <w:szCs w:val="20"/>
          <w:lang w:val="pt-BR"/>
        </w:rPr>
        <w:t xml:space="preserve">Universidade </w:t>
      </w:r>
      <w:r w:rsidR="006745A1" w:rsidRPr="00D5464D">
        <w:rPr>
          <w:rFonts w:cs="Calibri"/>
          <w:szCs w:val="20"/>
          <w:lang w:val="pt-BR"/>
        </w:rPr>
        <w:t>Católica</w:t>
      </w:r>
      <w:r w:rsidR="009871B4" w:rsidRPr="00D5464D">
        <w:rPr>
          <w:rFonts w:cs="Calibri"/>
          <w:szCs w:val="20"/>
          <w:lang w:val="pt-BR"/>
        </w:rPr>
        <w:t xml:space="preserve"> </w:t>
      </w:r>
      <w:r w:rsidR="00470ADC" w:rsidRPr="00D5464D">
        <w:rPr>
          <w:rFonts w:cs="Calibri"/>
          <w:szCs w:val="20"/>
          <w:lang w:val="pt-BR"/>
        </w:rPr>
        <w:t xml:space="preserve">do </w:t>
      </w:r>
      <w:r w:rsidR="002C330E" w:rsidRPr="00D5464D">
        <w:rPr>
          <w:rFonts w:cs="Calibri"/>
          <w:szCs w:val="20"/>
          <w:lang w:val="pt-BR"/>
        </w:rPr>
        <w:t>Peru</w:t>
      </w:r>
      <w:r w:rsidR="004C36BF" w:rsidRPr="00D5464D">
        <w:rPr>
          <w:rFonts w:cs="Calibri"/>
          <w:szCs w:val="20"/>
          <w:lang w:val="pt-BR"/>
        </w:rPr>
        <w:t>;</w:t>
      </w:r>
      <w:r w:rsidR="009871B4" w:rsidRPr="00D5464D">
        <w:rPr>
          <w:rStyle w:val="Refdenotaalpie"/>
          <w:lang w:val="pt-BR"/>
        </w:rPr>
        <w:footnoteReference w:id="11"/>
      </w:r>
      <w:r w:rsidR="006745A1" w:rsidRPr="00D5464D">
        <w:rPr>
          <w:rFonts w:cs="Calibri"/>
          <w:szCs w:val="20"/>
          <w:lang w:val="pt-BR"/>
        </w:rPr>
        <w:t xml:space="preserve"> 3)</w:t>
      </w:r>
      <w:r w:rsidR="002C330E" w:rsidRPr="00D5464D">
        <w:rPr>
          <w:rFonts w:cs="Calibri"/>
          <w:szCs w:val="20"/>
          <w:lang w:val="pt-BR"/>
        </w:rPr>
        <w:t xml:space="preserve"> </w:t>
      </w:r>
      <w:r w:rsidR="002B787B" w:rsidRPr="00D5464D">
        <w:rPr>
          <w:rFonts w:cs="Calibri"/>
          <w:szCs w:val="20"/>
          <w:lang w:val="pt-BR"/>
        </w:rPr>
        <w:t>International Trade Union Confederation</w:t>
      </w:r>
      <w:r w:rsidR="004C36BF" w:rsidRPr="00D5464D">
        <w:rPr>
          <w:rFonts w:cs="Calibri"/>
          <w:szCs w:val="20"/>
          <w:lang w:val="pt-BR"/>
        </w:rPr>
        <w:t>;</w:t>
      </w:r>
      <w:r w:rsidR="009871B4" w:rsidRPr="00D5464D">
        <w:rPr>
          <w:rStyle w:val="Refdenotaalpie"/>
          <w:lang w:val="pt-BR"/>
        </w:rPr>
        <w:footnoteReference w:id="12"/>
      </w:r>
      <w:r w:rsidR="006745A1" w:rsidRPr="00D5464D">
        <w:rPr>
          <w:rFonts w:cs="18dgiyl"/>
          <w:szCs w:val="20"/>
          <w:lang w:val="pt-BR"/>
        </w:rPr>
        <w:t xml:space="preserve"> 4)</w:t>
      </w:r>
      <w:r w:rsidR="002C330E" w:rsidRPr="00D5464D">
        <w:rPr>
          <w:rFonts w:cs="18dgiyl"/>
          <w:szCs w:val="20"/>
          <w:lang w:val="pt-BR"/>
        </w:rPr>
        <w:t xml:space="preserve"> </w:t>
      </w:r>
      <w:r w:rsidR="00E045D9" w:rsidRPr="00D5464D">
        <w:rPr>
          <w:rFonts w:cs="19efu"/>
          <w:szCs w:val="20"/>
          <w:lang w:val="pt-BR"/>
        </w:rPr>
        <w:t xml:space="preserve">Universidade </w:t>
      </w:r>
      <w:r w:rsidR="00470ADC" w:rsidRPr="00D5464D">
        <w:rPr>
          <w:rFonts w:cs="19efu"/>
          <w:szCs w:val="20"/>
          <w:lang w:val="pt-BR"/>
        </w:rPr>
        <w:t xml:space="preserve">do </w:t>
      </w:r>
      <w:r w:rsidR="006745A1" w:rsidRPr="00D5464D">
        <w:rPr>
          <w:rFonts w:cs="19efu"/>
          <w:szCs w:val="20"/>
          <w:lang w:val="pt-BR"/>
        </w:rPr>
        <w:t>Norte</w:t>
      </w:r>
      <w:r w:rsidR="00523A5B" w:rsidRPr="00D5464D">
        <w:rPr>
          <w:rFonts w:cs="19efu"/>
          <w:szCs w:val="20"/>
          <w:lang w:val="pt-BR"/>
        </w:rPr>
        <w:t xml:space="preserve"> d</w:t>
      </w:r>
      <w:r w:rsidR="004C36BF" w:rsidRPr="00D5464D">
        <w:rPr>
          <w:rFonts w:cs="19efu"/>
          <w:szCs w:val="20"/>
          <w:lang w:val="pt-BR"/>
        </w:rPr>
        <w:t>a</w:t>
      </w:r>
      <w:r w:rsidR="00523A5B" w:rsidRPr="00D5464D">
        <w:rPr>
          <w:rFonts w:cs="19efu"/>
          <w:szCs w:val="20"/>
          <w:lang w:val="pt-BR"/>
        </w:rPr>
        <w:t xml:space="preserve"> </w:t>
      </w:r>
      <w:r w:rsidR="00230C71" w:rsidRPr="00D5464D">
        <w:rPr>
          <w:rFonts w:cs="19efu"/>
          <w:szCs w:val="20"/>
          <w:lang w:val="pt-BR"/>
        </w:rPr>
        <w:t>Colômbia</w:t>
      </w:r>
      <w:r w:rsidR="004C36BF" w:rsidRPr="00D5464D">
        <w:rPr>
          <w:rFonts w:cs="19efu"/>
          <w:szCs w:val="20"/>
          <w:lang w:val="pt-BR"/>
        </w:rPr>
        <w:t>;</w:t>
      </w:r>
      <w:r w:rsidR="00523A5B" w:rsidRPr="00D5464D">
        <w:rPr>
          <w:rStyle w:val="Refdenotaalpie"/>
          <w:lang w:val="pt-BR"/>
        </w:rPr>
        <w:footnoteReference w:id="13"/>
      </w:r>
      <w:r w:rsidR="006745A1" w:rsidRPr="00D5464D">
        <w:rPr>
          <w:rFonts w:cs="19efu"/>
          <w:szCs w:val="20"/>
          <w:lang w:val="pt-BR"/>
        </w:rPr>
        <w:t xml:space="preserve"> 5)</w:t>
      </w:r>
      <w:r w:rsidR="002C330E" w:rsidRPr="00D5464D">
        <w:rPr>
          <w:rFonts w:cs="19efu"/>
          <w:szCs w:val="20"/>
          <w:lang w:val="pt-BR"/>
        </w:rPr>
        <w:t xml:space="preserve"> </w:t>
      </w:r>
      <w:r w:rsidR="006745A1" w:rsidRPr="00D5464D">
        <w:rPr>
          <w:rFonts w:cs="19efu"/>
          <w:szCs w:val="20"/>
          <w:lang w:val="pt-BR"/>
        </w:rPr>
        <w:t>Human Rights in Practice</w:t>
      </w:r>
      <w:r w:rsidR="004C36BF" w:rsidRPr="00D5464D">
        <w:rPr>
          <w:rFonts w:cs="19efu"/>
          <w:szCs w:val="20"/>
          <w:lang w:val="pt-BR"/>
        </w:rPr>
        <w:t>;</w:t>
      </w:r>
      <w:r w:rsidR="00523A5B" w:rsidRPr="00D5464D">
        <w:rPr>
          <w:rStyle w:val="Refdenotaalpie"/>
          <w:lang w:val="pt-BR"/>
        </w:rPr>
        <w:footnoteReference w:id="14"/>
      </w:r>
      <w:r w:rsidR="006745A1" w:rsidRPr="00D5464D">
        <w:rPr>
          <w:rFonts w:cs="19efu"/>
          <w:szCs w:val="20"/>
          <w:lang w:val="pt-BR"/>
        </w:rPr>
        <w:t xml:space="preserve"> 6) </w:t>
      </w:r>
      <w:r w:rsidR="001A22AC" w:rsidRPr="00D5464D">
        <w:rPr>
          <w:rFonts w:cs="19efu"/>
          <w:szCs w:val="20"/>
          <w:lang w:val="pt-BR"/>
        </w:rPr>
        <w:t>Tara Melish</w:t>
      </w:r>
      <w:r w:rsidR="002B787B" w:rsidRPr="00D5464D">
        <w:rPr>
          <w:rFonts w:cs="19efu"/>
          <w:szCs w:val="20"/>
          <w:lang w:val="pt-BR"/>
        </w:rPr>
        <w:t xml:space="preserve">, </w:t>
      </w:r>
      <w:r w:rsidR="002C330E" w:rsidRPr="00D5464D">
        <w:rPr>
          <w:rFonts w:cs="19efu"/>
          <w:szCs w:val="20"/>
          <w:lang w:val="pt-BR"/>
        </w:rPr>
        <w:t>professor</w:t>
      </w:r>
      <w:r w:rsidR="00523A5B" w:rsidRPr="00D5464D">
        <w:rPr>
          <w:rFonts w:cs="19efu"/>
          <w:szCs w:val="20"/>
          <w:lang w:val="pt-BR"/>
        </w:rPr>
        <w:t xml:space="preserve">a </w:t>
      </w:r>
      <w:r w:rsidR="00E045D9" w:rsidRPr="00D5464D">
        <w:rPr>
          <w:rFonts w:cs="19efu"/>
          <w:szCs w:val="20"/>
          <w:lang w:val="pt-BR"/>
        </w:rPr>
        <w:t>Associad</w:t>
      </w:r>
      <w:r w:rsidR="00523A5B" w:rsidRPr="00D5464D">
        <w:rPr>
          <w:rFonts w:cs="19efu"/>
          <w:szCs w:val="20"/>
          <w:lang w:val="pt-BR"/>
        </w:rPr>
        <w:t>a</w:t>
      </w:r>
      <w:r w:rsidR="00470ADC" w:rsidRPr="00D5464D">
        <w:rPr>
          <w:rFonts w:cs="19efu"/>
          <w:szCs w:val="20"/>
          <w:lang w:val="pt-BR"/>
        </w:rPr>
        <w:t xml:space="preserve"> da </w:t>
      </w:r>
      <w:r w:rsidR="002B787B" w:rsidRPr="00D5464D">
        <w:rPr>
          <w:rFonts w:cs="19efu"/>
          <w:szCs w:val="20"/>
          <w:lang w:val="pt-BR"/>
        </w:rPr>
        <w:t>State University of New York</w:t>
      </w:r>
      <w:r w:rsidR="00470ADC" w:rsidRPr="00D5464D">
        <w:rPr>
          <w:rFonts w:cs="19efu"/>
          <w:szCs w:val="20"/>
          <w:lang w:val="pt-BR"/>
        </w:rPr>
        <w:t xml:space="preserve"> e</w:t>
      </w:r>
      <w:r w:rsidR="001A22AC" w:rsidRPr="00D5464D">
        <w:rPr>
          <w:rFonts w:cs="19efu"/>
          <w:szCs w:val="20"/>
          <w:lang w:val="pt-BR"/>
        </w:rPr>
        <w:t xml:space="preserve"> 7)</w:t>
      </w:r>
      <w:r w:rsidR="00470ADC" w:rsidRPr="00D5464D">
        <w:rPr>
          <w:rFonts w:cs="19efu"/>
          <w:szCs w:val="20"/>
          <w:lang w:val="pt-BR"/>
        </w:rPr>
        <w:t xml:space="preserve"> </w:t>
      </w:r>
      <w:r w:rsidR="001A22AC" w:rsidRPr="00D5464D">
        <w:rPr>
          <w:rFonts w:cs="Calibri"/>
          <w:szCs w:val="20"/>
          <w:lang w:val="pt-BR"/>
        </w:rPr>
        <w:t>Business and Human Rights Project</w:t>
      </w:r>
      <w:r w:rsidR="004C36BF" w:rsidRPr="00D5464D">
        <w:rPr>
          <w:rFonts w:cs="Calibri"/>
          <w:szCs w:val="20"/>
          <w:lang w:val="pt-BR"/>
        </w:rPr>
        <w:t>,</w:t>
      </w:r>
      <w:r w:rsidR="00470ADC" w:rsidRPr="00D5464D">
        <w:rPr>
          <w:rFonts w:cs="Calibri"/>
          <w:szCs w:val="20"/>
          <w:lang w:val="pt-BR"/>
        </w:rPr>
        <w:t xml:space="preserve"> </w:t>
      </w:r>
      <w:r w:rsidR="00C84B6A" w:rsidRPr="00D5464D">
        <w:rPr>
          <w:rFonts w:cs="Calibri"/>
          <w:szCs w:val="20"/>
          <w:lang w:val="pt-BR"/>
        </w:rPr>
        <w:t>University of</w:t>
      </w:r>
      <w:r w:rsidR="00D26428" w:rsidRPr="00D5464D">
        <w:rPr>
          <w:rFonts w:cs="Calibri"/>
          <w:szCs w:val="20"/>
          <w:lang w:val="pt-BR"/>
        </w:rPr>
        <w:t xml:space="preserve"> Essex</w:t>
      </w:r>
      <w:r w:rsidR="004C36BF" w:rsidRPr="00D5464D">
        <w:rPr>
          <w:rFonts w:cs="Calibri"/>
          <w:szCs w:val="20"/>
          <w:lang w:val="pt-BR"/>
        </w:rPr>
        <w:t>.</w:t>
      </w:r>
      <w:r w:rsidR="00523A5B" w:rsidRPr="00D5464D">
        <w:rPr>
          <w:rStyle w:val="Refdenotaalpie"/>
          <w:lang w:val="pt-BR"/>
        </w:rPr>
        <w:footnoteReference w:id="15"/>
      </w:r>
      <w:r w:rsidR="00D26428" w:rsidRPr="00D5464D">
        <w:rPr>
          <w:rFonts w:cs="Calibri"/>
          <w:szCs w:val="20"/>
          <w:lang w:val="pt-BR"/>
        </w:rPr>
        <w:t xml:space="preserve"> </w:t>
      </w:r>
    </w:p>
    <w:p w14:paraId="2AD5521A" w14:textId="77777777" w:rsidR="001A317E" w:rsidRPr="00D5464D" w:rsidRDefault="001A317E" w:rsidP="00140440">
      <w:pPr>
        <w:pStyle w:val="Prrafodelista"/>
        <w:contextualSpacing w:val="0"/>
        <w:rPr>
          <w:szCs w:val="20"/>
          <w:lang w:val="pt-BR"/>
        </w:rPr>
      </w:pPr>
    </w:p>
    <w:p w14:paraId="54BB7581" w14:textId="5CDD93A5" w:rsidR="00303488" w:rsidRPr="00D5464D" w:rsidRDefault="00470ADC" w:rsidP="00140440">
      <w:pPr>
        <w:numPr>
          <w:ilvl w:val="0"/>
          <w:numId w:val="1"/>
        </w:numPr>
        <w:tabs>
          <w:tab w:val="clear" w:pos="4419"/>
          <w:tab w:val="clear" w:pos="8838"/>
          <w:tab w:val="left" w:pos="567"/>
          <w:tab w:val="left" w:pos="1134"/>
        </w:tabs>
        <w:jc w:val="both"/>
        <w:rPr>
          <w:rFonts w:eastAsia="Batang" w:cs="Arial"/>
          <w:szCs w:val="20"/>
          <w:lang w:val="pt-BR"/>
        </w:rPr>
      </w:pPr>
      <w:r w:rsidRPr="00D5464D">
        <w:rPr>
          <w:i/>
          <w:szCs w:val="20"/>
          <w:lang w:val="pt-BR"/>
        </w:rPr>
        <w:t>Diligência</w:t>
      </w:r>
      <w:r w:rsidR="001A22AC" w:rsidRPr="00D5464D">
        <w:rPr>
          <w:i/>
          <w:szCs w:val="20"/>
          <w:lang w:val="pt-BR"/>
        </w:rPr>
        <w:t xml:space="preserve"> in situ.</w:t>
      </w:r>
      <w:r w:rsidR="001A22AC" w:rsidRPr="00D5464D">
        <w:rPr>
          <w:szCs w:val="20"/>
          <w:lang w:val="pt-BR"/>
        </w:rPr>
        <w:t xml:space="preserve">– Mediante </w:t>
      </w:r>
      <w:r w:rsidR="001A317E" w:rsidRPr="00D5464D">
        <w:rPr>
          <w:szCs w:val="20"/>
          <w:lang w:val="pt-BR"/>
        </w:rPr>
        <w:t>Resolu</w:t>
      </w:r>
      <w:r w:rsidRPr="00D5464D">
        <w:rPr>
          <w:szCs w:val="20"/>
          <w:lang w:val="pt-BR"/>
        </w:rPr>
        <w:t>ção</w:t>
      </w:r>
      <w:r w:rsidR="001A317E" w:rsidRPr="00D5464D">
        <w:rPr>
          <w:szCs w:val="20"/>
          <w:lang w:val="pt-BR"/>
        </w:rPr>
        <w:t xml:space="preserve"> </w:t>
      </w:r>
      <w:r w:rsidRPr="00D5464D">
        <w:rPr>
          <w:szCs w:val="20"/>
          <w:lang w:val="pt-BR"/>
        </w:rPr>
        <w:t xml:space="preserve">do </w:t>
      </w:r>
      <w:r w:rsidR="00A1358C" w:rsidRPr="00D5464D">
        <w:rPr>
          <w:szCs w:val="20"/>
          <w:lang w:val="pt-BR"/>
        </w:rPr>
        <w:t>Presidente</w:t>
      </w:r>
      <w:r w:rsidRPr="00D5464D">
        <w:rPr>
          <w:szCs w:val="20"/>
          <w:lang w:val="pt-BR"/>
        </w:rPr>
        <w:t xml:space="preserve"> em exercício</w:t>
      </w:r>
      <w:r w:rsidR="001A317E" w:rsidRPr="00D5464D">
        <w:rPr>
          <w:szCs w:val="20"/>
          <w:lang w:val="pt-BR"/>
        </w:rPr>
        <w:t xml:space="preserve"> de 23 de </w:t>
      </w:r>
      <w:r w:rsidRPr="00D5464D">
        <w:rPr>
          <w:szCs w:val="20"/>
          <w:lang w:val="pt-BR"/>
        </w:rPr>
        <w:t>fevereiro</w:t>
      </w:r>
      <w:r w:rsidR="001A317E" w:rsidRPr="00D5464D">
        <w:rPr>
          <w:szCs w:val="20"/>
          <w:lang w:val="pt-BR"/>
        </w:rPr>
        <w:t xml:space="preserve"> de 2016</w:t>
      </w:r>
      <w:r w:rsidR="00622CFB" w:rsidRPr="00D5464D">
        <w:rPr>
          <w:szCs w:val="20"/>
          <w:lang w:val="pt-BR"/>
        </w:rPr>
        <w:t>,</w:t>
      </w:r>
      <w:r w:rsidR="007B4B35" w:rsidRPr="00D5464D">
        <w:rPr>
          <w:rStyle w:val="Refdenotaalpie"/>
          <w:lang w:val="pt-BR"/>
        </w:rPr>
        <w:footnoteReference w:id="16"/>
      </w:r>
      <w:r w:rsidRPr="00D5464D">
        <w:rPr>
          <w:szCs w:val="20"/>
          <w:lang w:val="pt-BR"/>
        </w:rPr>
        <w:t xml:space="preserve"> em </w:t>
      </w:r>
      <w:r w:rsidR="00622CFB" w:rsidRPr="00D5464D">
        <w:rPr>
          <w:szCs w:val="20"/>
          <w:lang w:val="pt-BR"/>
        </w:rPr>
        <w:t xml:space="preserve">razão </w:t>
      </w:r>
      <w:r w:rsidRPr="00D5464D">
        <w:rPr>
          <w:szCs w:val="20"/>
          <w:lang w:val="pt-BR"/>
        </w:rPr>
        <w:t xml:space="preserve">dos </w:t>
      </w:r>
      <w:r w:rsidR="002C330E" w:rsidRPr="00D5464D">
        <w:rPr>
          <w:szCs w:val="20"/>
          <w:lang w:val="pt-BR"/>
        </w:rPr>
        <w:t>fatos</w:t>
      </w:r>
      <w:r w:rsidR="001A317E" w:rsidRPr="00D5464D">
        <w:rPr>
          <w:szCs w:val="20"/>
          <w:lang w:val="pt-BR"/>
        </w:rPr>
        <w:t xml:space="preserve"> controvertidos objeto </w:t>
      </w:r>
      <w:r w:rsidRPr="00D5464D">
        <w:rPr>
          <w:szCs w:val="20"/>
          <w:lang w:val="pt-BR"/>
        </w:rPr>
        <w:t xml:space="preserve">do </w:t>
      </w:r>
      <w:r w:rsidR="002C330E" w:rsidRPr="00D5464D">
        <w:rPr>
          <w:szCs w:val="20"/>
          <w:lang w:val="pt-BR"/>
        </w:rPr>
        <w:t>litígio</w:t>
      </w:r>
      <w:r w:rsidR="00E045D9" w:rsidRPr="00D5464D">
        <w:rPr>
          <w:szCs w:val="20"/>
          <w:lang w:val="pt-BR"/>
        </w:rPr>
        <w:t xml:space="preserve"> e </w:t>
      </w:r>
      <w:r w:rsidR="00622CFB" w:rsidRPr="00D5464D">
        <w:rPr>
          <w:szCs w:val="20"/>
          <w:lang w:val="pt-BR"/>
        </w:rPr>
        <w:t xml:space="preserve">levando em consideração </w:t>
      </w:r>
      <w:r w:rsidR="002C330E" w:rsidRPr="00D5464D">
        <w:rPr>
          <w:szCs w:val="20"/>
          <w:lang w:val="pt-BR"/>
        </w:rPr>
        <w:t xml:space="preserve">a necessidade </w:t>
      </w:r>
      <w:r w:rsidR="001A317E" w:rsidRPr="00D5464D">
        <w:rPr>
          <w:szCs w:val="20"/>
          <w:lang w:val="pt-BR"/>
        </w:rPr>
        <w:t>de obten</w:t>
      </w:r>
      <w:r w:rsidRPr="00D5464D">
        <w:rPr>
          <w:szCs w:val="20"/>
          <w:lang w:val="pt-BR"/>
        </w:rPr>
        <w:t>ção</w:t>
      </w:r>
      <w:r w:rsidR="001A317E" w:rsidRPr="00D5464D">
        <w:rPr>
          <w:szCs w:val="20"/>
          <w:lang w:val="pt-BR"/>
        </w:rPr>
        <w:t xml:space="preserve"> de </w:t>
      </w:r>
      <w:r w:rsidR="002C330E" w:rsidRPr="00D5464D">
        <w:rPr>
          <w:szCs w:val="20"/>
          <w:lang w:val="pt-BR"/>
        </w:rPr>
        <w:t>prova</w:t>
      </w:r>
      <w:r w:rsidR="001A317E" w:rsidRPr="00D5464D">
        <w:rPr>
          <w:szCs w:val="20"/>
          <w:lang w:val="pt-BR"/>
        </w:rPr>
        <w:t>s específicas para resolver</w:t>
      </w:r>
      <w:r w:rsidR="002C330E" w:rsidRPr="00D5464D">
        <w:rPr>
          <w:szCs w:val="20"/>
          <w:lang w:val="pt-BR"/>
        </w:rPr>
        <w:t xml:space="preserve"> a </w:t>
      </w:r>
      <w:r w:rsidRPr="00D5464D">
        <w:rPr>
          <w:szCs w:val="20"/>
          <w:lang w:val="pt-BR"/>
        </w:rPr>
        <w:t>controvérsia</w:t>
      </w:r>
      <w:r w:rsidR="001A317E" w:rsidRPr="00D5464D">
        <w:rPr>
          <w:szCs w:val="20"/>
          <w:lang w:val="pt-BR"/>
        </w:rPr>
        <w:t xml:space="preserve">, </w:t>
      </w:r>
      <w:r w:rsidR="00622CFB" w:rsidRPr="00D5464D">
        <w:rPr>
          <w:szCs w:val="20"/>
          <w:lang w:val="pt-BR"/>
        </w:rPr>
        <w:t>foi acordado</w:t>
      </w:r>
      <w:r w:rsidR="001A317E" w:rsidRPr="00D5464D">
        <w:rPr>
          <w:szCs w:val="20"/>
          <w:lang w:val="pt-BR"/>
        </w:rPr>
        <w:t xml:space="preserve">, </w:t>
      </w:r>
      <w:r w:rsidR="00622CFB" w:rsidRPr="00D5464D">
        <w:rPr>
          <w:szCs w:val="20"/>
          <w:lang w:val="pt-BR"/>
        </w:rPr>
        <w:t xml:space="preserve">em conformidade </w:t>
      </w:r>
      <w:r w:rsidRPr="00D5464D">
        <w:rPr>
          <w:szCs w:val="20"/>
          <w:lang w:val="pt-BR"/>
        </w:rPr>
        <w:t>com</w:t>
      </w:r>
      <w:r w:rsidR="00C91CB1" w:rsidRPr="00D5464D">
        <w:rPr>
          <w:szCs w:val="20"/>
          <w:lang w:val="pt-BR"/>
        </w:rPr>
        <w:t xml:space="preserve"> o </w:t>
      </w:r>
      <w:r w:rsidR="00416610" w:rsidRPr="00D5464D">
        <w:rPr>
          <w:szCs w:val="20"/>
          <w:lang w:val="pt-BR"/>
        </w:rPr>
        <w:t>decidido</w:t>
      </w:r>
      <w:r w:rsidR="002C330E" w:rsidRPr="00D5464D">
        <w:rPr>
          <w:szCs w:val="20"/>
          <w:lang w:val="pt-BR"/>
        </w:rPr>
        <w:t xml:space="preserve"> pel</w:t>
      </w:r>
      <w:r w:rsidR="00622CFB" w:rsidRPr="00D5464D">
        <w:rPr>
          <w:szCs w:val="20"/>
          <w:lang w:val="pt-BR"/>
        </w:rPr>
        <w:t xml:space="preserve">o pleno da Corte </w:t>
      </w:r>
      <w:r w:rsidR="00E045D9" w:rsidRPr="00D5464D">
        <w:rPr>
          <w:szCs w:val="20"/>
          <w:lang w:val="pt-BR"/>
        </w:rPr>
        <w:t xml:space="preserve">e </w:t>
      </w:r>
      <w:r w:rsidRPr="00D5464D">
        <w:rPr>
          <w:szCs w:val="20"/>
          <w:lang w:val="pt-BR"/>
        </w:rPr>
        <w:t xml:space="preserve">em </w:t>
      </w:r>
      <w:r w:rsidR="001A317E" w:rsidRPr="00D5464D">
        <w:rPr>
          <w:szCs w:val="20"/>
          <w:lang w:val="pt-BR"/>
        </w:rPr>
        <w:t>aplica</w:t>
      </w:r>
      <w:r w:rsidRPr="00D5464D">
        <w:rPr>
          <w:szCs w:val="20"/>
          <w:lang w:val="pt-BR"/>
        </w:rPr>
        <w:t>ção</w:t>
      </w:r>
      <w:r w:rsidR="001A317E" w:rsidRPr="00D5464D">
        <w:rPr>
          <w:szCs w:val="20"/>
          <w:lang w:val="pt-BR"/>
        </w:rPr>
        <w:t xml:space="preserve"> </w:t>
      </w:r>
      <w:r w:rsidRPr="00D5464D">
        <w:rPr>
          <w:szCs w:val="20"/>
          <w:lang w:val="pt-BR"/>
        </w:rPr>
        <w:t>do artigo</w:t>
      </w:r>
      <w:r w:rsidR="001A317E" w:rsidRPr="00D5464D">
        <w:rPr>
          <w:szCs w:val="20"/>
          <w:lang w:val="pt-BR"/>
        </w:rPr>
        <w:t xml:space="preserve"> 58.a)</w:t>
      </w:r>
      <w:r w:rsidR="00E045D9" w:rsidRPr="00D5464D">
        <w:rPr>
          <w:szCs w:val="20"/>
          <w:lang w:val="pt-BR"/>
        </w:rPr>
        <w:t xml:space="preserve"> e </w:t>
      </w:r>
      <w:r w:rsidR="001A317E" w:rsidRPr="00D5464D">
        <w:rPr>
          <w:szCs w:val="20"/>
          <w:lang w:val="pt-BR"/>
        </w:rPr>
        <w:t xml:space="preserve">58.d) </w:t>
      </w:r>
      <w:r w:rsidRPr="00D5464D">
        <w:rPr>
          <w:szCs w:val="20"/>
          <w:lang w:val="pt-BR"/>
        </w:rPr>
        <w:t xml:space="preserve">do </w:t>
      </w:r>
      <w:r w:rsidR="002C330E" w:rsidRPr="00D5464D">
        <w:rPr>
          <w:szCs w:val="20"/>
          <w:lang w:val="pt-BR"/>
        </w:rPr>
        <w:t>Regulamento</w:t>
      </w:r>
      <w:r w:rsidR="001A317E" w:rsidRPr="00D5464D">
        <w:rPr>
          <w:szCs w:val="20"/>
          <w:lang w:val="pt-BR"/>
        </w:rPr>
        <w:t>,</w:t>
      </w:r>
      <w:r w:rsidR="00E045D9" w:rsidRPr="00D5464D">
        <w:rPr>
          <w:szCs w:val="20"/>
          <w:lang w:val="pt-BR"/>
        </w:rPr>
        <w:t xml:space="preserve"> </w:t>
      </w:r>
      <w:r w:rsidR="006B3D88" w:rsidRPr="00D5464D">
        <w:rPr>
          <w:szCs w:val="20"/>
          <w:lang w:val="pt-BR"/>
        </w:rPr>
        <w:t xml:space="preserve">realizar </w:t>
      </w:r>
      <w:r w:rsidR="00E045D9" w:rsidRPr="00D5464D">
        <w:rPr>
          <w:szCs w:val="20"/>
          <w:lang w:val="pt-BR"/>
        </w:rPr>
        <w:t xml:space="preserve">uma </w:t>
      </w:r>
      <w:r w:rsidRPr="00D5464D">
        <w:rPr>
          <w:szCs w:val="20"/>
          <w:lang w:val="pt-BR"/>
        </w:rPr>
        <w:t>diligência</w:t>
      </w:r>
      <w:r w:rsidR="001A317E" w:rsidRPr="00D5464D">
        <w:rPr>
          <w:szCs w:val="20"/>
          <w:lang w:val="pt-BR"/>
        </w:rPr>
        <w:t xml:space="preserve"> </w:t>
      </w:r>
      <w:r w:rsidR="001A317E" w:rsidRPr="00D5464D">
        <w:rPr>
          <w:i/>
          <w:szCs w:val="20"/>
          <w:lang w:val="pt-BR"/>
        </w:rPr>
        <w:t>in situ</w:t>
      </w:r>
      <w:r w:rsidRPr="00D5464D">
        <w:rPr>
          <w:szCs w:val="20"/>
          <w:lang w:val="pt-BR"/>
        </w:rPr>
        <w:t xml:space="preserve"> à </w:t>
      </w:r>
      <w:r w:rsidR="00303488" w:rsidRPr="00D5464D">
        <w:rPr>
          <w:szCs w:val="20"/>
          <w:lang w:val="pt-BR"/>
        </w:rPr>
        <w:t xml:space="preserve">República </w:t>
      </w:r>
      <w:r w:rsidRPr="00D5464D">
        <w:rPr>
          <w:szCs w:val="20"/>
          <w:lang w:val="pt-BR"/>
        </w:rPr>
        <w:t>Federativa do Brasil</w:t>
      </w:r>
      <w:r w:rsidR="001A317E" w:rsidRPr="00D5464D">
        <w:rPr>
          <w:szCs w:val="20"/>
          <w:lang w:val="pt-BR"/>
        </w:rPr>
        <w:t xml:space="preserve">. </w:t>
      </w:r>
      <w:r w:rsidR="001A22AC" w:rsidRPr="00D5464D">
        <w:rPr>
          <w:szCs w:val="20"/>
          <w:lang w:val="pt-BR"/>
        </w:rPr>
        <w:t>Entre</w:t>
      </w:r>
      <w:r w:rsidR="002C330E" w:rsidRPr="00D5464D">
        <w:rPr>
          <w:szCs w:val="20"/>
          <w:lang w:val="pt-BR"/>
        </w:rPr>
        <w:t xml:space="preserve"> os </w:t>
      </w:r>
      <w:r w:rsidRPr="00D5464D">
        <w:rPr>
          <w:szCs w:val="20"/>
          <w:lang w:val="pt-BR"/>
        </w:rPr>
        <w:t>dia</w:t>
      </w:r>
      <w:r w:rsidR="001A22AC" w:rsidRPr="00D5464D">
        <w:rPr>
          <w:szCs w:val="20"/>
          <w:lang w:val="pt-BR"/>
        </w:rPr>
        <w:t xml:space="preserve">s </w:t>
      </w:r>
      <w:r w:rsidR="00303488" w:rsidRPr="00D5464D">
        <w:rPr>
          <w:szCs w:val="20"/>
          <w:lang w:val="pt-BR"/>
        </w:rPr>
        <w:t>6</w:t>
      </w:r>
      <w:r w:rsidR="00E045D9" w:rsidRPr="00D5464D">
        <w:rPr>
          <w:szCs w:val="20"/>
          <w:lang w:val="pt-BR"/>
        </w:rPr>
        <w:t xml:space="preserve"> e </w:t>
      </w:r>
      <w:r w:rsidR="00303488" w:rsidRPr="00D5464D">
        <w:rPr>
          <w:szCs w:val="20"/>
          <w:lang w:val="pt-BR"/>
        </w:rPr>
        <w:t xml:space="preserve">7 de </w:t>
      </w:r>
      <w:r w:rsidR="002C330E" w:rsidRPr="00D5464D">
        <w:rPr>
          <w:szCs w:val="20"/>
          <w:lang w:val="pt-BR"/>
        </w:rPr>
        <w:t>junho</w:t>
      </w:r>
      <w:r w:rsidR="00303488" w:rsidRPr="00D5464D">
        <w:rPr>
          <w:szCs w:val="20"/>
          <w:lang w:val="pt-BR"/>
        </w:rPr>
        <w:t xml:space="preserve"> de 2016</w:t>
      </w:r>
      <w:r w:rsidR="006B3D88" w:rsidRPr="00D5464D">
        <w:rPr>
          <w:szCs w:val="20"/>
          <w:lang w:val="pt-BR"/>
        </w:rPr>
        <w:t>,</w:t>
      </w:r>
      <w:r w:rsidR="00E045D9" w:rsidRPr="00D5464D">
        <w:rPr>
          <w:szCs w:val="20"/>
          <w:lang w:val="pt-BR"/>
        </w:rPr>
        <w:t xml:space="preserve"> uma </w:t>
      </w:r>
      <w:r w:rsidR="001A22AC" w:rsidRPr="00D5464D">
        <w:rPr>
          <w:szCs w:val="20"/>
          <w:lang w:val="pt-BR"/>
        </w:rPr>
        <w:t>delega</w:t>
      </w:r>
      <w:r w:rsidRPr="00D5464D">
        <w:rPr>
          <w:szCs w:val="20"/>
          <w:lang w:val="pt-BR"/>
        </w:rPr>
        <w:t>ção</w:t>
      </w:r>
      <w:r w:rsidR="001A22AC" w:rsidRPr="00D5464D">
        <w:rPr>
          <w:szCs w:val="20"/>
          <w:lang w:val="pt-BR"/>
        </w:rPr>
        <w:t xml:space="preserve"> </w:t>
      </w:r>
      <w:r w:rsidRPr="00D5464D">
        <w:rPr>
          <w:szCs w:val="20"/>
          <w:lang w:val="pt-BR"/>
        </w:rPr>
        <w:t xml:space="preserve">do </w:t>
      </w:r>
      <w:r w:rsidR="001A22AC" w:rsidRPr="00D5464D">
        <w:rPr>
          <w:szCs w:val="20"/>
          <w:lang w:val="pt-BR"/>
        </w:rPr>
        <w:t>Tribunal</w:t>
      </w:r>
      <w:r w:rsidR="00750080" w:rsidRPr="00D5464D">
        <w:rPr>
          <w:rStyle w:val="Refdenotaalpie"/>
          <w:lang w:val="pt-BR"/>
        </w:rPr>
        <w:footnoteReference w:id="17"/>
      </w:r>
      <w:r w:rsidR="002C330E" w:rsidRPr="00D5464D">
        <w:rPr>
          <w:szCs w:val="20"/>
          <w:lang w:val="pt-BR"/>
        </w:rPr>
        <w:t xml:space="preserve"> </w:t>
      </w:r>
      <w:r w:rsidR="00C91CB1" w:rsidRPr="00D5464D">
        <w:rPr>
          <w:szCs w:val="20"/>
          <w:lang w:val="pt-BR"/>
        </w:rPr>
        <w:t>levou</w:t>
      </w:r>
      <w:r w:rsidR="001A22AC" w:rsidRPr="00D5464D">
        <w:rPr>
          <w:szCs w:val="20"/>
          <w:lang w:val="pt-BR"/>
        </w:rPr>
        <w:t xml:space="preserve"> a cabo</w:t>
      </w:r>
      <w:r w:rsidR="00E045D9" w:rsidRPr="00D5464D">
        <w:rPr>
          <w:szCs w:val="20"/>
          <w:lang w:val="pt-BR"/>
        </w:rPr>
        <w:t xml:space="preserve"> uma </w:t>
      </w:r>
      <w:r w:rsidRPr="00D5464D">
        <w:rPr>
          <w:szCs w:val="20"/>
          <w:lang w:val="pt-BR"/>
        </w:rPr>
        <w:t>diligência</w:t>
      </w:r>
      <w:r w:rsidR="001A22AC" w:rsidRPr="00D5464D">
        <w:rPr>
          <w:szCs w:val="20"/>
          <w:lang w:val="pt-BR"/>
        </w:rPr>
        <w:t xml:space="preserve"> </w:t>
      </w:r>
      <w:r w:rsidR="001A22AC" w:rsidRPr="00D5464D">
        <w:rPr>
          <w:i/>
          <w:szCs w:val="20"/>
          <w:lang w:val="pt-BR"/>
        </w:rPr>
        <w:t>in situ</w:t>
      </w:r>
      <w:r w:rsidRPr="00D5464D">
        <w:rPr>
          <w:szCs w:val="20"/>
          <w:lang w:val="pt-BR"/>
        </w:rPr>
        <w:t xml:space="preserve"> com o </w:t>
      </w:r>
      <w:r w:rsidR="001A22AC" w:rsidRPr="00D5464D">
        <w:rPr>
          <w:rFonts w:eastAsia="Times New Roman"/>
          <w:szCs w:val="20"/>
          <w:lang w:val="pt-BR"/>
        </w:rPr>
        <w:t xml:space="preserve">objetivo de </w:t>
      </w:r>
      <w:r w:rsidR="006B3D88" w:rsidRPr="00D5464D">
        <w:rPr>
          <w:szCs w:val="20"/>
          <w:lang w:val="pt-BR"/>
        </w:rPr>
        <w:t xml:space="preserve">colher </w:t>
      </w:r>
      <w:r w:rsidR="002C330E" w:rsidRPr="00D5464D">
        <w:rPr>
          <w:szCs w:val="20"/>
          <w:lang w:val="pt-BR"/>
        </w:rPr>
        <w:t xml:space="preserve">as </w:t>
      </w:r>
      <w:r w:rsidR="00303488" w:rsidRPr="00D5464D">
        <w:rPr>
          <w:szCs w:val="20"/>
          <w:lang w:val="pt-BR"/>
        </w:rPr>
        <w:t>declara</w:t>
      </w:r>
      <w:r w:rsidRPr="00D5464D">
        <w:rPr>
          <w:szCs w:val="20"/>
          <w:lang w:val="pt-BR"/>
        </w:rPr>
        <w:t>ções</w:t>
      </w:r>
      <w:r w:rsidR="00303488" w:rsidRPr="00D5464D">
        <w:rPr>
          <w:szCs w:val="20"/>
          <w:lang w:val="pt-BR"/>
        </w:rPr>
        <w:t xml:space="preserve"> de </w:t>
      </w:r>
      <w:r w:rsidR="00773F1A" w:rsidRPr="00D5464D">
        <w:rPr>
          <w:szCs w:val="20"/>
          <w:lang w:val="pt-BR"/>
        </w:rPr>
        <w:t>cinco</w:t>
      </w:r>
      <w:r w:rsidR="00303488" w:rsidRPr="00D5464D">
        <w:rPr>
          <w:szCs w:val="20"/>
          <w:lang w:val="pt-BR"/>
        </w:rPr>
        <w:t xml:space="preserve"> </w:t>
      </w:r>
      <w:r w:rsidR="002C330E" w:rsidRPr="00D5464D">
        <w:rPr>
          <w:szCs w:val="20"/>
          <w:lang w:val="pt-BR"/>
        </w:rPr>
        <w:t>suposta</w:t>
      </w:r>
      <w:r w:rsidR="00303488" w:rsidRPr="00D5464D">
        <w:rPr>
          <w:szCs w:val="20"/>
          <w:lang w:val="pt-BR"/>
        </w:rPr>
        <w:t xml:space="preserve">s </w:t>
      </w:r>
      <w:r w:rsidR="00E045D9" w:rsidRPr="00D5464D">
        <w:rPr>
          <w:szCs w:val="20"/>
          <w:lang w:val="pt-BR"/>
        </w:rPr>
        <w:t>vítima</w:t>
      </w:r>
      <w:r w:rsidR="00303488" w:rsidRPr="00D5464D">
        <w:rPr>
          <w:szCs w:val="20"/>
          <w:lang w:val="pt-BR"/>
        </w:rPr>
        <w:t xml:space="preserve">s </w:t>
      </w:r>
      <w:r w:rsidRPr="00D5464D">
        <w:rPr>
          <w:szCs w:val="20"/>
          <w:lang w:val="pt-BR"/>
        </w:rPr>
        <w:t xml:space="preserve">do </w:t>
      </w:r>
      <w:r w:rsidR="00303488" w:rsidRPr="00D5464D">
        <w:rPr>
          <w:szCs w:val="20"/>
          <w:lang w:val="pt-BR"/>
        </w:rPr>
        <w:t>presente caso</w:t>
      </w:r>
      <w:r w:rsidR="00E045D9" w:rsidRPr="00D5464D">
        <w:rPr>
          <w:szCs w:val="20"/>
          <w:lang w:val="pt-BR"/>
        </w:rPr>
        <w:t xml:space="preserve"> e </w:t>
      </w:r>
      <w:r w:rsidR="00622CFB" w:rsidRPr="00D5464D">
        <w:rPr>
          <w:szCs w:val="20"/>
          <w:lang w:val="pt-BR"/>
        </w:rPr>
        <w:t xml:space="preserve">também </w:t>
      </w:r>
      <w:r w:rsidR="006B3D88" w:rsidRPr="00D5464D">
        <w:rPr>
          <w:szCs w:val="20"/>
          <w:lang w:val="pt-BR"/>
        </w:rPr>
        <w:t>colher</w:t>
      </w:r>
      <w:r w:rsidR="002C330E" w:rsidRPr="00D5464D">
        <w:rPr>
          <w:szCs w:val="20"/>
          <w:lang w:val="pt-BR"/>
        </w:rPr>
        <w:t xml:space="preserve"> as </w:t>
      </w:r>
      <w:r w:rsidR="00773F1A" w:rsidRPr="00D5464D">
        <w:rPr>
          <w:szCs w:val="20"/>
          <w:lang w:val="pt-BR"/>
        </w:rPr>
        <w:t>declara</w:t>
      </w:r>
      <w:r w:rsidRPr="00D5464D">
        <w:rPr>
          <w:szCs w:val="20"/>
          <w:lang w:val="pt-BR"/>
        </w:rPr>
        <w:t>ções</w:t>
      </w:r>
      <w:r w:rsidR="006B3D88" w:rsidRPr="00D5464D">
        <w:rPr>
          <w:szCs w:val="20"/>
          <w:lang w:val="pt-BR"/>
        </w:rPr>
        <w:t>,</w:t>
      </w:r>
      <w:r w:rsidR="00773F1A" w:rsidRPr="00D5464D">
        <w:rPr>
          <w:szCs w:val="20"/>
          <w:lang w:val="pt-BR"/>
        </w:rPr>
        <w:t xml:space="preserve"> </w:t>
      </w:r>
      <w:r w:rsidR="00CB6001" w:rsidRPr="00D5464D">
        <w:rPr>
          <w:szCs w:val="20"/>
          <w:lang w:val="pt-BR"/>
        </w:rPr>
        <w:t>a título informativo</w:t>
      </w:r>
      <w:r w:rsidR="006B3D88" w:rsidRPr="00D5464D">
        <w:rPr>
          <w:szCs w:val="20"/>
          <w:lang w:val="pt-BR"/>
        </w:rPr>
        <w:t>,</w:t>
      </w:r>
      <w:r w:rsidR="00773F1A" w:rsidRPr="00D5464D">
        <w:rPr>
          <w:szCs w:val="20"/>
          <w:lang w:val="pt-BR"/>
        </w:rPr>
        <w:t xml:space="preserve"> de cinco </w:t>
      </w:r>
      <w:r w:rsidR="002C330E" w:rsidRPr="00D5464D">
        <w:rPr>
          <w:szCs w:val="20"/>
          <w:lang w:val="pt-BR"/>
        </w:rPr>
        <w:t>funcionári</w:t>
      </w:r>
      <w:r w:rsidR="00773F1A" w:rsidRPr="00D5464D">
        <w:rPr>
          <w:szCs w:val="20"/>
          <w:lang w:val="pt-BR"/>
        </w:rPr>
        <w:t>os esta</w:t>
      </w:r>
      <w:r w:rsidR="00E045D9" w:rsidRPr="00D5464D">
        <w:rPr>
          <w:szCs w:val="20"/>
          <w:lang w:val="pt-BR"/>
        </w:rPr>
        <w:t>tais</w:t>
      </w:r>
      <w:r w:rsidR="00773F1A" w:rsidRPr="00D5464D">
        <w:rPr>
          <w:szCs w:val="20"/>
          <w:lang w:val="pt-BR"/>
        </w:rPr>
        <w:t xml:space="preserve"> </w:t>
      </w:r>
      <w:r w:rsidR="00350187" w:rsidRPr="00D5464D">
        <w:rPr>
          <w:szCs w:val="20"/>
          <w:lang w:val="pt-BR"/>
        </w:rPr>
        <w:t>responsáveis pelo</w:t>
      </w:r>
      <w:r w:rsidRPr="00D5464D">
        <w:rPr>
          <w:szCs w:val="20"/>
          <w:lang w:val="pt-BR"/>
        </w:rPr>
        <w:t xml:space="preserve"> </w:t>
      </w:r>
      <w:r w:rsidR="00303488" w:rsidRPr="00D5464D">
        <w:rPr>
          <w:szCs w:val="20"/>
          <w:lang w:val="pt-BR"/>
        </w:rPr>
        <w:t>combate</w:t>
      </w:r>
      <w:r w:rsidRPr="00D5464D">
        <w:rPr>
          <w:szCs w:val="20"/>
          <w:lang w:val="pt-BR"/>
        </w:rPr>
        <w:t xml:space="preserve"> à </w:t>
      </w:r>
      <w:r w:rsidR="000B376D" w:rsidRPr="00D5464D">
        <w:rPr>
          <w:szCs w:val="20"/>
          <w:lang w:val="pt-BR"/>
        </w:rPr>
        <w:t>escravidão</w:t>
      </w:r>
      <w:r w:rsidRPr="00D5464D">
        <w:rPr>
          <w:szCs w:val="20"/>
          <w:lang w:val="pt-BR"/>
        </w:rPr>
        <w:t xml:space="preserve"> </w:t>
      </w:r>
      <w:r w:rsidR="00622CFB" w:rsidRPr="00D5464D">
        <w:rPr>
          <w:szCs w:val="20"/>
          <w:lang w:val="pt-BR"/>
        </w:rPr>
        <w:t>no</w:t>
      </w:r>
      <w:r w:rsidRPr="00D5464D">
        <w:rPr>
          <w:szCs w:val="20"/>
          <w:lang w:val="pt-BR"/>
        </w:rPr>
        <w:t xml:space="preserve"> </w:t>
      </w:r>
      <w:r w:rsidR="00773F1A" w:rsidRPr="00D5464D">
        <w:rPr>
          <w:szCs w:val="20"/>
          <w:lang w:val="pt-BR"/>
        </w:rPr>
        <w:t>Brasil</w:t>
      </w:r>
      <w:r w:rsidR="001A22AC" w:rsidRPr="00D5464D">
        <w:rPr>
          <w:szCs w:val="20"/>
          <w:lang w:val="pt-BR"/>
        </w:rPr>
        <w:t xml:space="preserve">. </w:t>
      </w:r>
    </w:p>
    <w:p w14:paraId="3697A956" w14:textId="77777777" w:rsidR="006745A1" w:rsidRPr="00D5464D" w:rsidRDefault="006745A1" w:rsidP="00140440">
      <w:pPr>
        <w:tabs>
          <w:tab w:val="clear" w:pos="4419"/>
          <w:tab w:val="clear" w:pos="8838"/>
          <w:tab w:val="left" w:pos="567"/>
          <w:tab w:val="left" w:pos="1134"/>
        </w:tabs>
        <w:jc w:val="both"/>
        <w:rPr>
          <w:rFonts w:eastAsia="Batang" w:cs="Arial"/>
          <w:szCs w:val="20"/>
          <w:lang w:val="pt-BR"/>
        </w:rPr>
      </w:pPr>
    </w:p>
    <w:p w14:paraId="7348090D" w14:textId="3B76129C" w:rsidR="00BA1ACF" w:rsidRPr="00D5464D" w:rsidRDefault="00470ADC" w:rsidP="00140440">
      <w:pPr>
        <w:numPr>
          <w:ilvl w:val="0"/>
          <w:numId w:val="1"/>
        </w:numPr>
        <w:tabs>
          <w:tab w:val="clear" w:pos="4419"/>
          <w:tab w:val="clear" w:pos="8838"/>
          <w:tab w:val="left" w:pos="567"/>
          <w:tab w:val="left" w:pos="1134"/>
        </w:tabs>
        <w:jc w:val="both"/>
        <w:rPr>
          <w:rFonts w:eastAsia="Batang" w:cs="Verdana"/>
          <w:i/>
          <w:szCs w:val="20"/>
          <w:lang w:val="pt-BR" w:eastAsia="es-ES"/>
        </w:rPr>
      </w:pPr>
      <w:r w:rsidRPr="00D5464D">
        <w:rPr>
          <w:rFonts w:eastAsia="Batang" w:cs="Arial"/>
          <w:i/>
          <w:szCs w:val="20"/>
          <w:lang w:val="pt-BR" w:eastAsia="es-ES"/>
        </w:rPr>
        <w:t>Alegações</w:t>
      </w:r>
      <w:r w:rsidR="00E045D9" w:rsidRPr="00D5464D">
        <w:rPr>
          <w:rFonts w:eastAsia="Batang" w:cs="Verdana"/>
          <w:i/>
          <w:szCs w:val="20"/>
          <w:lang w:val="pt-BR" w:eastAsia="es-ES"/>
        </w:rPr>
        <w:t xml:space="preserve"> e </w:t>
      </w:r>
      <w:r w:rsidR="00BA1ACF" w:rsidRPr="00D5464D">
        <w:rPr>
          <w:rFonts w:eastAsia="Batang" w:cs="Verdana"/>
          <w:i/>
          <w:szCs w:val="20"/>
          <w:lang w:val="pt-BR" w:eastAsia="es-ES"/>
        </w:rPr>
        <w:t>observa</w:t>
      </w:r>
      <w:r w:rsidRPr="00D5464D">
        <w:rPr>
          <w:rFonts w:eastAsia="Batang" w:cs="Verdana"/>
          <w:i/>
          <w:szCs w:val="20"/>
          <w:lang w:val="pt-BR" w:eastAsia="es-ES"/>
        </w:rPr>
        <w:t>ções</w:t>
      </w:r>
      <w:r w:rsidR="00BA1ACF" w:rsidRPr="00D5464D">
        <w:rPr>
          <w:rFonts w:eastAsia="Batang" w:cs="Verdana"/>
          <w:i/>
          <w:szCs w:val="20"/>
          <w:lang w:val="pt-BR" w:eastAsia="es-ES"/>
        </w:rPr>
        <w:t xml:space="preserve"> </w:t>
      </w:r>
      <w:r w:rsidRPr="00D5464D">
        <w:rPr>
          <w:rFonts w:eastAsia="Batang" w:cs="Verdana"/>
          <w:i/>
          <w:szCs w:val="20"/>
          <w:lang w:val="pt-BR" w:eastAsia="es-ES"/>
        </w:rPr>
        <w:t>finais</w:t>
      </w:r>
      <w:r w:rsidR="00BA1ACF" w:rsidRPr="00D5464D">
        <w:rPr>
          <w:rFonts w:eastAsia="Batang" w:cs="Verdana"/>
          <w:i/>
          <w:szCs w:val="20"/>
          <w:lang w:val="pt-BR" w:eastAsia="es-ES"/>
        </w:rPr>
        <w:t xml:space="preserve"> escritos.</w:t>
      </w:r>
      <w:r w:rsidR="00BA1ACF" w:rsidRPr="00D5464D">
        <w:rPr>
          <w:rFonts w:eastAsia="Batang" w:cs="Verdana"/>
          <w:szCs w:val="20"/>
          <w:lang w:val="pt-BR" w:eastAsia="es-ES"/>
        </w:rPr>
        <w:t xml:space="preserve"> –</w:t>
      </w:r>
      <w:r w:rsidR="00D65024" w:rsidRPr="00D5464D">
        <w:rPr>
          <w:rFonts w:eastAsia="Batang" w:cs="Verdana"/>
          <w:szCs w:val="20"/>
          <w:lang w:val="pt-BR" w:eastAsia="es-ES"/>
        </w:rPr>
        <w:t xml:space="preserve"> E</w:t>
      </w:r>
      <w:r w:rsidR="002C330E" w:rsidRPr="00D5464D">
        <w:rPr>
          <w:rFonts w:eastAsia="Batang" w:cs="Verdana"/>
          <w:szCs w:val="20"/>
          <w:lang w:val="pt-BR" w:eastAsia="es-ES"/>
        </w:rPr>
        <w:t>m 2</w:t>
      </w:r>
      <w:bookmarkStart w:id="22" w:name="_Ref313990861"/>
      <w:r w:rsidR="00480CED" w:rsidRPr="00D5464D">
        <w:rPr>
          <w:rFonts w:eastAsia="Batang" w:cs="Verdana"/>
          <w:szCs w:val="20"/>
          <w:lang w:val="pt-BR" w:eastAsia="es-ES"/>
        </w:rPr>
        <w:t xml:space="preserve">8 de </w:t>
      </w:r>
      <w:r w:rsidR="002C330E" w:rsidRPr="00D5464D">
        <w:rPr>
          <w:rFonts w:eastAsia="Batang" w:cs="Verdana"/>
          <w:szCs w:val="20"/>
          <w:lang w:val="pt-BR" w:eastAsia="es-ES"/>
        </w:rPr>
        <w:t>junho</w:t>
      </w:r>
      <w:r w:rsidR="00480CED" w:rsidRPr="00D5464D">
        <w:rPr>
          <w:rFonts w:eastAsia="Batang" w:cs="Verdana"/>
          <w:szCs w:val="20"/>
          <w:lang w:val="pt-BR" w:eastAsia="es-ES"/>
        </w:rPr>
        <w:t xml:space="preserve"> de 2016</w:t>
      </w:r>
      <w:r w:rsidR="00622CFB" w:rsidRPr="00D5464D">
        <w:rPr>
          <w:rFonts w:eastAsia="Batang" w:cs="Verdana"/>
          <w:szCs w:val="20"/>
          <w:lang w:val="pt-BR" w:eastAsia="es-ES"/>
        </w:rPr>
        <w:t>,</w:t>
      </w:r>
      <w:r w:rsidR="002C330E" w:rsidRPr="00D5464D">
        <w:rPr>
          <w:rFonts w:eastAsia="Batang" w:cs="Verdana"/>
          <w:szCs w:val="20"/>
          <w:lang w:val="pt-BR" w:eastAsia="es-ES"/>
        </w:rPr>
        <w:t xml:space="preserve"> os </w:t>
      </w:r>
      <w:r w:rsidR="00EB1CE9" w:rsidRPr="00D5464D">
        <w:rPr>
          <w:rFonts w:eastAsia="Batang" w:cs="Verdana"/>
          <w:szCs w:val="20"/>
          <w:lang w:val="pt-BR" w:eastAsia="es-ES"/>
        </w:rPr>
        <w:t>representante</w:t>
      </w:r>
      <w:r w:rsidR="00BA1ACF" w:rsidRPr="00D5464D">
        <w:rPr>
          <w:rFonts w:eastAsia="Batang" w:cs="Verdana"/>
          <w:szCs w:val="20"/>
          <w:lang w:val="pt-BR" w:eastAsia="es-ES"/>
        </w:rPr>
        <w:t>s</w:t>
      </w:r>
      <w:r w:rsidR="00E045D9" w:rsidRPr="00D5464D">
        <w:rPr>
          <w:rFonts w:eastAsia="Batang" w:cs="Verdana"/>
          <w:szCs w:val="20"/>
          <w:lang w:val="pt-BR" w:eastAsia="es-ES"/>
        </w:rPr>
        <w:t xml:space="preserve"> e </w:t>
      </w:r>
      <w:r w:rsidRPr="00D5464D">
        <w:rPr>
          <w:rFonts w:eastAsia="Batang" w:cs="Verdana"/>
          <w:szCs w:val="20"/>
          <w:lang w:val="pt-BR" w:eastAsia="es-ES"/>
        </w:rPr>
        <w:t xml:space="preserve">o </w:t>
      </w:r>
      <w:r w:rsidR="00BA1ACF" w:rsidRPr="00D5464D">
        <w:rPr>
          <w:rFonts w:eastAsia="Batang" w:cs="Verdana"/>
          <w:szCs w:val="20"/>
          <w:lang w:val="pt-BR" w:eastAsia="es-ES"/>
        </w:rPr>
        <w:t xml:space="preserve">Estado </w:t>
      </w:r>
      <w:r w:rsidR="002C330E" w:rsidRPr="00D5464D">
        <w:rPr>
          <w:rFonts w:eastAsia="Batang" w:cs="Verdana"/>
          <w:szCs w:val="20"/>
          <w:lang w:val="pt-BR" w:eastAsia="es-ES"/>
        </w:rPr>
        <w:t>apresentaram</w:t>
      </w:r>
      <w:r w:rsidR="00BA1ACF" w:rsidRPr="00D5464D">
        <w:rPr>
          <w:rFonts w:eastAsia="Batang" w:cs="Verdana"/>
          <w:szCs w:val="20"/>
          <w:lang w:val="pt-BR" w:eastAsia="es-ES"/>
        </w:rPr>
        <w:t xml:space="preserve"> </w:t>
      </w:r>
      <w:r w:rsidR="00230C71" w:rsidRPr="00D5464D">
        <w:rPr>
          <w:rFonts w:eastAsia="Batang" w:cs="Verdana"/>
          <w:szCs w:val="20"/>
          <w:lang w:val="pt-BR" w:eastAsia="es-ES"/>
        </w:rPr>
        <w:t>seus respectivos</w:t>
      </w:r>
      <w:r w:rsidR="00BA1ACF" w:rsidRPr="00D5464D">
        <w:rPr>
          <w:rFonts w:eastAsia="Batang" w:cs="Verdana"/>
          <w:szCs w:val="20"/>
          <w:lang w:val="pt-BR" w:eastAsia="es-ES"/>
        </w:rPr>
        <w:t xml:space="preserve"> </w:t>
      </w:r>
      <w:r w:rsidR="00622CFB" w:rsidRPr="00D5464D">
        <w:rPr>
          <w:rFonts w:eastAsia="Batang" w:cs="Verdana"/>
          <w:szCs w:val="20"/>
          <w:lang w:val="pt-BR" w:eastAsia="es-ES"/>
        </w:rPr>
        <w:t xml:space="preserve">escritos de </w:t>
      </w:r>
      <w:r w:rsidR="00350187" w:rsidRPr="00D5464D">
        <w:rPr>
          <w:rFonts w:eastAsia="Batang" w:cs="Verdana"/>
          <w:szCs w:val="20"/>
          <w:lang w:val="pt-BR" w:eastAsia="es-ES"/>
        </w:rPr>
        <w:t>alegações finais</w:t>
      </w:r>
      <w:r w:rsidR="00622CFB" w:rsidRPr="00D5464D">
        <w:rPr>
          <w:rFonts w:eastAsia="Batang" w:cs="Verdana"/>
          <w:szCs w:val="20"/>
          <w:lang w:val="pt-BR" w:eastAsia="es-ES"/>
        </w:rPr>
        <w:t>,</w:t>
      </w:r>
      <w:r w:rsidR="00E045D9" w:rsidRPr="00D5464D">
        <w:rPr>
          <w:rFonts w:eastAsia="Batang" w:cs="Verdana"/>
          <w:szCs w:val="20"/>
          <w:lang w:val="pt-BR" w:eastAsia="es-ES"/>
        </w:rPr>
        <w:t xml:space="preserve"> e </w:t>
      </w:r>
      <w:r w:rsidR="002C330E" w:rsidRPr="00D5464D">
        <w:rPr>
          <w:rFonts w:eastAsia="Batang" w:cs="Verdana"/>
          <w:szCs w:val="20"/>
          <w:lang w:val="pt-BR" w:eastAsia="es-ES"/>
        </w:rPr>
        <w:t xml:space="preserve">a </w:t>
      </w:r>
      <w:r w:rsidRPr="00D5464D">
        <w:rPr>
          <w:rFonts w:eastAsia="Batang" w:cs="Verdana"/>
          <w:szCs w:val="20"/>
          <w:lang w:val="pt-BR" w:eastAsia="es-ES"/>
        </w:rPr>
        <w:t>Comissão</w:t>
      </w:r>
      <w:r w:rsidR="00BA1ACF" w:rsidRPr="00D5464D">
        <w:rPr>
          <w:rFonts w:eastAsia="Batang" w:cs="Verdana"/>
          <w:szCs w:val="20"/>
          <w:lang w:val="pt-BR" w:eastAsia="es-ES"/>
        </w:rPr>
        <w:t xml:space="preserve"> Interamericana </w:t>
      </w:r>
      <w:r w:rsidR="00350187" w:rsidRPr="00D5464D">
        <w:rPr>
          <w:rFonts w:eastAsia="Batang" w:cs="Verdana"/>
          <w:szCs w:val="20"/>
          <w:lang w:val="pt-BR" w:eastAsia="es-ES"/>
        </w:rPr>
        <w:t>remeteu</w:t>
      </w:r>
      <w:r w:rsidR="00BA1ACF" w:rsidRPr="00D5464D">
        <w:rPr>
          <w:rFonts w:eastAsia="Batang" w:cs="Verdana"/>
          <w:szCs w:val="20"/>
          <w:lang w:val="pt-BR" w:eastAsia="es-ES"/>
        </w:rPr>
        <w:t xml:space="preserve"> </w:t>
      </w:r>
      <w:r w:rsidR="00E045D9" w:rsidRPr="00D5464D">
        <w:rPr>
          <w:rFonts w:eastAsia="Batang" w:cs="Verdana"/>
          <w:szCs w:val="20"/>
          <w:lang w:val="pt-BR" w:eastAsia="es-ES"/>
        </w:rPr>
        <w:t>suas observações</w:t>
      </w:r>
      <w:r w:rsidR="00BA1ACF" w:rsidRPr="00D5464D">
        <w:rPr>
          <w:rFonts w:eastAsia="Batang" w:cs="Verdana"/>
          <w:szCs w:val="20"/>
          <w:lang w:val="pt-BR" w:eastAsia="es-ES"/>
        </w:rPr>
        <w:t xml:space="preserve"> </w:t>
      </w:r>
      <w:r w:rsidRPr="00D5464D">
        <w:rPr>
          <w:rFonts w:eastAsia="Batang" w:cs="Verdana"/>
          <w:szCs w:val="20"/>
          <w:lang w:val="pt-BR" w:eastAsia="es-ES"/>
        </w:rPr>
        <w:t>finais</w:t>
      </w:r>
      <w:r w:rsidR="00BA1ACF" w:rsidRPr="00D5464D">
        <w:rPr>
          <w:rFonts w:eastAsia="Batang" w:cs="Verdana"/>
          <w:szCs w:val="20"/>
          <w:lang w:val="pt-BR" w:eastAsia="es-ES"/>
        </w:rPr>
        <w:t xml:space="preserve"> escritas</w:t>
      </w:r>
      <w:r w:rsidR="00480CED" w:rsidRPr="00D5464D">
        <w:rPr>
          <w:rFonts w:eastAsia="Batang" w:cs="Verdana"/>
          <w:szCs w:val="20"/>
          <w:lang w:val="pt-BR" w:eastAsia="es-ES"/>
        </w:rPr>
        <w:t xml:space="preserve">. </w:t>
      </w:r>
    </w:p>
    <w:p w14:paraId="2D903C7F" w14:textId="77777777" w:rsidR="0023110E" w:rsidRPr="00D5464D" w:rsidRDefault="0023110E" w:rsidP="0023110E">
      <w:pPr>
        <w:pStyle w:val="Prrafodelista"/>
        <w:rPr>
          <w:rFonts w:eastAsia="Batang" w:cs="Verdana"/>
          <w:i/>
          <w:szCs w:val="20"/>
          <w:lang w:val="pt-BR" w:eastAsia="es-ES"/>
        </w:rPr>
      </w:pPr>
    </w:p>
    <w:p w14:paraId="116DA8E2" w14:textId="5D21F2FE" w:rsidR="0023110E" w:rsidRPr="00D5464D" w:rsidRDefault="0023110E" w:rsidP="0023110E">
      <w:pPr>
        <w:pStyle w:val="Prrafodelista"/>
        <w:widowControl w:val="0"/>
        <w:numPr>
          <w:ilvl w:val="0"/>
          <w:numId w:val="1"/>
        </w:numPr>
        <w:tabs>
          <w:tab w:val="left" w:pos="567"/>
        </w:tabs>
        <w:autoSpaceDE w:val="0"/>
        <w:autoSpaceDN w:val="0"/>
        <w:adjustRightInd w:val="0"/>
        <w:rPr>
          <w:rFonts w:eastAsia="Calibri" w:cs="Verdana"/>
          <w:snapToGrid w:val="0"/>
          <w:szCs w:val="20"/>
          <w:lang w:val="pt-BR" w:eastAsia="es-ES"/>
        </w:rPr>
      </w:pPr>
      <w:r w:rsidRPr="00D5464D">
        <w:rPr>
          <w:rFonts w:eastAsia="Calibri" w:cs="Verdana"/>
          <w:i/>
          <w:snapToGrid w:val="0"/>
          <w:szCs w:val="20"/>
          <w:lang w:val="pt-BR" w:eastAsia="es-ES"/>
        </w:rPr>
        <w:t>Observa</w:t>
      </w:r>
      <w:r w:rsidR="00470ADC" w:rsidRPr="00D5464D">
        <w:rPr>
          <w:rFonts w:eastAsia="Calibri" w:cs="Verdana"/>
          <w:i/>
          <w:snapToGrid w:val="0"/>
          <w:szCs w:val="20"/>
          <w:lang w:val="pt-BR" w:eastAsia="es-ES"/>
        </w:rPr>
        <w:t xml:space="preserve">ções das </w:t>
      </w:r>
      <w:r w:rsidRPr="00D5464D">
        <w:rPr>
          <w:rFonts w:eastAsia="Calibri" w:cs="Verdana"/>
          <w:i/>
          <w:snapToGrid w:val="0"/>
          <w:szCs w:val="20"/>
          <w:lang w:val="pt-BR" w:eastAsia="es-ES"/>
        </w:rPr>
        <w:t>partes</w:t>
      </w:r>
      <w:r w:rsidR="00E045D9" w:rsidRPr="00D5464D">
        <w:rPr>
          <w:rFonts w:eastAsia="Calibri" w:cs="Verdana"/>
          <w:i/>
          <w:snapToGrid w:val="0"/>
          <w:szCs w:val="20"/>
          <w:lang w:val="pt-BR" w:eastAsia="es-ES"/>
        </w:rPr>
        <w:t xml:space="preserve"> e </w:t>
      </w:r>
      <w:r w:rsidR="00622CFB" w:rsidRPr="00D5464D">
        <w:rPr>
          <w:rFonts w:eastAsia="Calibri" w:cs="Verdana"/>
          <w:i/>
          <w:snapToGrid w:val="0"/>
          <w:szCs w:val="20"/>
          <w:lang w:val="pt-BR" w:eastAsia="es-ES"/>
        </w:rPr>
        <w:t>d</w:t>
      </w:r>
      <w:r w:rsidR="002C330E" w:rsidRPr="00D5464D">
        <w:rPr>
          <w:rFonts w:eastAsia="Calibri" w:cs="Verdana"/>
          <w:i/>
          <w:snapToGrid w:val="0"/>
          <w:szCs w:val="20"/>
          <w:lang w:val="pt-BR" w:eastAsia="es-ES"/>
        </w:rPr>
        <w:t xml:space="preserve">a </w:t>
      </w:r>
      <w:r w:rsidR="00470ADC" w:rsidRPr="00D5464D">
        <w:rPr>
          <w:rFonts w:eastAsia="Calibri" w:cs="Verdana"/>
          <w:i/>
          <w:snapToGrid w:val="0"/>
          <w:szCs w:val="20"/>
          <w:lang w:val="pt-BR" w:eastAsia="es-ES"/>
        </w:rPr>
        <w:t>Comissão</w:t>
      </w:r>
      <w:r w:rsidRPr="00D5464D">
        <w:rPr>
          <w:rFonts w:eastAsia="Calibri" w:cs="Verdana"/>
          <w:i/>
          <w:snapToGrid w:val="0"/>
          <w:szCs w:val="20"/>
          <w:lang w:val="pt-BR" w:eastAsia="es-ES"/>
        </w:rPr>
        <w:t>. –</w:t>
      </w:r>
      <w:r w:rsidR="00470ADC" w:rsidRPr="00D5464D">
        <w:rPr>
          <w:rFonts w:eastAsia="Calibri" w:cs="Verdana"/>
          <w:i/>
          <w:snapToGrid w:val="0"/>
          <w:szCs w:val="20"/>
          <w:lang w:val="pt-BR" w:eastAsia="es-ES"/>
        </w:rPr>
        <w:t xml:space="preserve"> </w:t>
      </w:r>
      <w:r w:rsidR="00D65024" w:rsidRPr="00D5464D">
        <w:rPr>
          <w:rFonts w:eastAsia="Calibri" w:cs="Verdana"/>
          <w:snapToGrid w:val="0"/>
          <w:szCs w:val="20"/>
          <w:lang w:val="pt-BR" w:eastAsia="es-ES"/>
        </w:rPr>
        <w:t xml:space="preserve">O </w:t>
      </w:r>
      <w:r w:rsidR="00A1358C" w:rsidRPr="00D5464D">
        <w:rPr>
          <w:rFonts w:eastAsia="Calibri" w:cs="Verdana"/>
          <w:snapToGrid w:val="0"/>
          <w:szCs w:val="20"/>
          <w:lang w:val="pt-BR" w:eastAsia="es-ES"/>
        </w:rPr>
        <w:t>Presidente</w:t>
      </w:r>
      <w:r w:rsidR="00470ADC" w:rsidRPr="00D5464D">
        <w:rPr>
          <w:rFonts w:eastAsia="Calibri" w:cs="Verdana"/>
          <w:snapToGrid w:val="0"/>
          <w:szCs w:val="20"/>
          <w:lang w:val="pt-BR" w:eastAsia="es-ES"/>
        </w:rPr>
        <w:t xml:space="preserve"> em exercício</w:t>
      </w:r>
      <w:r w:rsidRPr="00D5464D">
        <w:rPr>
          <w:rFonts w:eastAsia="Calibri" w:cs="Verdana"/>
          <w:snapToGrid w:val="0"/>
          <w:szCs w:val="20"/>
          <w:lang w:val="pt-BR" w:eastAsia="es-ES"/>
        </w:rPr>
        <w:t xml:space="preserve"> </w:t>
      </w:r>
      <w:r w:rsidR="00622CFB" w:rsidRPr="00D5464D">
        <w:rPr>
          <w:rFonts w:eastAsia="Calibri" w:cs="Verdana"/>
          <w:snapToGrid w:val="0"/>
          <w:szCs w:val="20"/>
          <w:lang w:val="pt-BR" w:eastAsia="es-ES"/>
        </w:rPr>
        <w:t xml:space="preserve">concedeu </w:t>
      </w:r>
      <w:r w:rsidR="00E045D9" w:rsidRPr="00D5464D">
        <w:rPr>
          <w:rFonts w:eastAsia="Calibri" w:cs="Verdana"/>
          <w:snapToGrid w:val="0"/>
          <w:szCs w:val="20"/>
          <w:lang w:val="pt-BR" w:eastAsia="es-ES"/>
        </w:rPr>
        <w:t xml:space="preserve">um </w:t>
      </w:r>
      <w:r w:rsidR="002C330E" w:rsidRPr="00D5464D">
        <w:rPr>
          <w:rFonts w:eastAsia="Calibri" w:cs="Verdana"/>
          <w:snapToGrid w:val="0"/>
          <w:szCs w:val="20"/>
          <w:lang w:val="pt-BR" w:eastAsia="es-ES"/>
        </w:rPr>
        <w:t>prazo</w:t>
      </w:r>
      <w:r w:rsidR="00E045D9" w:rsidRPr="00D5464D">
        <w:rPr>
          <w:rFonts w:eastAsia="Calibri" w:cs="Verdana"/>
          <w:snapToGrid w:val="0"/>
          <w:szCs w:val="20"/>
          <w:lang w:val="pt-BR" w:eastAsia="es-ES"/>
        </w:rPr>
        <w:t xml:space="preserve"> às </w:t>
      </w:r>
      <w:r w:rsidRPr="00D5464D">
        <w:rPr>
          <w:rFonts w:eastAsia="Calibri" w:cs="Verdana"/>
          <w:snapToGrid w:val="0"/>
          <w:szCs w:val="20"/>
          <w:lang w:val="pt-BR" w:eastAsia="es-ES"/>
        </w:rPr>
        <w:t>partes</w:t>
      </w:r>
      <w:r w:rsidR="00E045D9" w:rsidRPr="00D5464D">
        <w:rPr>
          <w:rFonts w:eastAsia="Calibri" w:cs="Verdana"/>
          <w:snapToGrid w:val="0"/>
          <w:szCs w:val="20"/>
          <w:lang w:val="pt-BR" w:eastAsia="es-ES"/>
        </w:rPr>
        <w:t xml:space="preserve"> e </w:t>
      </w:r>
      <w:r w:rsidR="00470ADC" w:rsidRPr="00D5464D">
        <w:rPr>
          <w:rFonts w:eastAsia="Calibri" w:cs="Verdana"/>
          <w:snapToGrid w:val="0"/>
          <w:szCs w:val="20"/>
          <w:lang w:val="pt-BR" w:eastAsia="es-ES"/>
        </w:rPr>
        <w:t>à Comissão</w:t>
      </w:r>
      <w:r w:rsidRPr="00D5464D">
        <w:rPr>
          <w:rFonts w:eastAsia="Calibri" w:cs="Verdana"/>
          <w:snapToGrid w:val="0"/>
          <w:szCs w:val="20"/>
          <w:lang w:val="pt-BR" w:eastAsia="es-ES"/>
        </w:rPr>
        <w:t xml:space="preserve"> para que </w:t>
      </w:r>
      <w:r w:rsidR="002C330E" w:rsidRPr="00D5464D">
        <w:rPr>
          <w:rFonts w:eastAsia="Calibri" w:cs="Verdana"/>
          <w:snapToGrid w:val="0"/>
          <w:szCs w:val="20"/>
          <w:lang w:val="pt-BR" w:eastAsia="es-ES"/>
        </w:rPr>
        <w:t xml:space="preserve">apresentassem as </w:t>
      </w:r>
      <w:r w:rsidRPr="00D5464D">
        <w:rPr>
          <w:rFonts w:eastAsia="Calibri" w:cs="Verdana"/>
          <w:snapToGrid w:val="0"/>
          <w:szCs w:val="20"/>
          <w:lang w:val="pt-BR" w:eastAsia="es-ES"/>
        </w:rPr>
        <w:t>observa</w:t>
      </w:r>
      <w:r w:rsidR="00470ADC" w:rsidRPr="00D5464D">
        <w:rPr>
          <w:rFonts w:eastAsia="Calibri" w:cs="Verdana"/>
          <w:snapToGrid w:val="0"/>
          <w:szCs w:val="20"/>
          <w:lang w:val="pt-BR" w:eastAsia="es-ES"/>
        </w:rPr>
        <w:t>ções</w:t>
      </w:r>
      <w:r w:rsidRPr="00D5464D">
        <w:rPr>
          <w:rFonts w:eastAsia="Calibri" w:cs="Verdana"/>
          <w:snapToGrid w:val="0"/>
          <w:szCs w:val="20"/>
          <w:lang w:val="pt-BR" w:eastAsia="es-ES"/>
        </w:rPr>
        <w:t xml:space="preserve"> que </w:t>
      </w:r>
      <w:r w:rsidR="00EB1CE9" w:rsidRPr="00D5464D">
        <w:rPr>
          <w:rFonts w:eastAsia="Calibri" w:cs="Verdana"/>
          <w:snapToGrid w:val="0"/>
          <w:szCs w:val="20"/>
          <w:lang w:val="pt-BR" w:eastAsia="es-ES"/>
        </w:rPr>
        <w:t>considerassem</w:t>
      </w:r>
      <w:r w:rsidRPr="00D5464D">
        <w:rPr>
          <w:rFonts w:eastAsia="Calibri" w:cs="Verdana"/>
          <w:snapToGrid w:val="0"/>
          <w:szCs w:val="20"/>
          <w:lang w:val="pt-BR" w:eastAsia="es-ES"/>
        </w:rPr>
        <w:t xml:space="preserve"> pertinentes</w:t>
      </w:r>
      <w:r w:rsidR="00E045D9" w:rsidRPr="00D5464D">
        <w:rPr>
          <w:rFonts w:eastAsia="Calibri" w:cs="Verdana"/>
          <w:snapToGrid w:val="0"/>
          <w:szCs w:val="20"/>
          <w:lang w:val="pt-BR" w:eastAsia="es-ES"/>
        </w:rPr>
        <w:t xml:space="preserve"> aos </w:t>
      </w:r>
      <w:r w:rsidRPr="00D5464D">
        <w:rPr>
          <w:rFonts w:eastAsia="Calibri" w:cs="Verdana"/>
          <w:snapToGrid w:val="0"/>
          <w:szCs w:val="20"/>
          <w:lang w:val="pt-BR" w:eastAsia="es-ES"/>
        </w:rPr>
        <w:t xml:space="preserve">anexos </w:t>
      </w:r>
      <w:r w:rsidR="00350187" w:rsidRPr="00D5464D">
        <w:rPr>
          <w:rFonts w:eastAsia="Calibri" w:cs="Verdana"/>
          <w:snapToGrid w:val="0"/>
          <w:szCs w:val="20"/>
          <w:lang w:val="pt-BR" w:eastAsia="es-ES"/>
        </w:rPr>
        <w:t>remetido</w:t>
      </w:r>
      <w:r w:rsidRPr="00D5464D">
        <w:rPr>
          <w:rFonts w:eastAsia="Calibri" w:cs="Verdana"/>
          <w:snapToGrid w:val="0"/>
          <w:szCs w:val="20"/>
          <w:lang w:val="pt-BR" w:eastAsia="es-ES"/>
        </w:rPr>
        <w:t>s</w:t>
      </w:r>
      <w:r w:rsidR="002C330E" w:rsidRPr="00D5464D">
        <w:rPr>
          <w:rFonts w:eastAsia="Calibri" w:cs="Verdana"/>
          <w:snapToGrid w:val="0"/>
          <w:szCs w:val="20"/>
          <w:lang w:val="pt-BR" w:eastAsia="es-ES"/>
        </w:rPr>
        <w:t xml:space="preserve"> pelo </w:t>
      </w:r>
      <w:r w:rsidRPr="00D5464D">
        <w:rPr>
          <w:rFonts w:eastAsia="Calibri" w:cs="Verdana"/>
          <w:snapToGrid w:val="0"/>
          <w:szCs w:val="20"/>
          <w:lang w:val="pt-BR" w:eastAsia="es-ES"/>
        </w:rPr>
        <w:t>Estado</w:t>
      </w:r>
      <w:r w:rsidR="00E045D9" w:rsidRPr="00D5464D">
        <w:rPr>
          <w:rFonts w:eastAsia="Calibri" w:cs="Verdana"/>
          <w:snapToGrid w:val="0"/>
          <w:szCs w:val="20"/>
          <w:lang w:val="pt-BR" w:eastAsia="es-ES"/>
        </w:rPr>
        <w:t xml:space="preserve"> e </w:t>
      </w:r>
      <w:r w:rsidR="00622CFB" w:rsidRPr="00D5464D">
        <w:rPr>
          <w:rFonts w:eastAsia="Calibri" w:cs="Verdana"/>
          <w:snapToGrid w:val="0"/>
          <w:szCs w:val="20"/>
          <w:lang w:val="pt-BR" w:eastAsia="es-ES"/>
        </w:rPr>
        <w:t>pel</w:t>
      </w:r>
      <w:r w:rsidR="002C330E" w:rsidRPr="00D5464D">
        <w:rPr>
          <w:rFonts w:eastAsia="Calibri" w:cs="Verdana"/>
          <w:snapToGrid w:val="0"/>
          <w:szCs w:val="20"/>
          <w:lang w:val="pt-BR" w:eastAsia="es-ES"/>
        </w:rPr>
        <w:t xml:space="preserve">os </w:t>
      </w:r>
      <w:r w:rsidR="00EB1CE9" w:rsidRPr="00D5464D">
        <w:rPr>
          <w:rFonts w:eastAsia="Calibri" w:cs="Verdana"/>
          <w:snapToGrid w:val="0"/>
          <w:szCs w:val="20"/>
          <w:lang w:val="pt-BR" w:eastAsia="es-ES"/>
        </w:rPr>
        <w:t>representante</w:t>
      </w:r>
      <w:r w:rsidR="00622CFB" w:rsidRPr="00D5464D">
        <w:rPr>
          <w:rFonts w:eastAsia="Calibri" w:cs="Verdana"/>
          <w:snapToGrid w:val="0"/>
          <w:szCs w:val="20"/>
          <w:lang w:val="pt-BR" w:eastAsia="es-ES"/>
        </w:rPr>
        <w:t>s juntamente</w:t>
      </w:r>
      <w:r w:rsidR="00470ADC" w:rsidRPr="00D5464D">
        <w:rPr>
          <w:rFonts w:eastAsia="Calibri" w:cs="Verdana"/>
          <w:snapToGrid w:val="0"/>
          <w:szCs w:val="20"/>
          <w:lang w:val="pt-BR" w:eastAsia="es-ES"/>
        </w:rPr>
        <w:t xml:space="preserve"> com </w:t>
      </w:r>
      <w:r w:rsidR="00E045D9" w:rsidRPr="00D5464D">
        <w:rPr>
          <w:rFonts w:eastAsia="Calibri" w:cs="Verdana"/>
          <w:snapToGrid w:val="0"/>
          <w:szCs w:val="20"/>
          <w:lang w:val="pt-BR" w:eastAsia="es-ES"/>
        </w:rPr>
        <w:t xml:space="preserve">suas </w:t>
      </w:r>
      <w:r w:rsidR="00350187" w:rsidRPr="00D5464D">
        <w:rPr>
          <w:rFonts w:eastAsia="Calibri" w:cs="Verdana"/>
          <w:snapToGrid w:val="0"/>
          <w:szCs w:val="20"/>
          <w:lang w:val="pt-BR" w:eastAsia="es-ES"/>
        </w:rPr>
        <w:t>alegações finais escritas</w:t>
      </w:r>
      <w:r w:rsidR="00C91CB1" w:rsidRPr="00D5464D">
        <w:rPr>
          <w:rFonts w:eastAsia="Calibri" w:cs="Verdana"/>
          <w:snapToGrid w:val="0"/>
          <w:szCs w:val="20"/>
          <w:lang w:val="pt-BR" w:eastAsia="es-ES"/>
        </w:rPr>
        <w:t>. Em 5</w:t>
      </w:r>
      <w:bookmarkStart w:id="23" w:name="_Ref303582878"/>
      <w:r w:rsidR="00E045D9" w:rsidRPr="00D5464D">
        <w:rPr>
          <w:rFonts w:eastAsia="Calibri" w:cs="Verdana"/>
          <w:snapToGrid w:val="0"/>
          <w:szCs w:val="20"/>
          <w:lang w:val="pt-BR" w:eastAsia="es-ES"/>
        </w:rPr>
        <w:t xml:space="preserve"> e </w:t>
      </w:r>
      <w:r w:rsidRPr="00D5464D">
        <w:rPr>
          <w:rFonts w:eastAsia="Calibri" w:cs="Verdana"/>
          <w:snapToGrid w:val="0"/>
          <w:szCs w:val="20"/>
          <w:lang w:val="pt-BR" w:eastAsia="es-ES"/>
        </w:rPr>
        <w:t>6 de agosto,</w:t>
      </w:r>
      <w:r w:rsidR="00470ADC" w:rsidRPr="00D5464D">
        <w:rPr>
          <w:rFonts w:eastAsia="Calibri" w:cs="Verdana"/>
          <w:snapToGrid w:val="0"/>
          <w:szCs w:val="20"/>
          <w:lang w:val="pt-BR" w:eastAsia="es-ES"/>
        </w:rPr>
        <w:t xml:space="preserve"> o </w:t>
      </w:r>
      <w:r w:rsidRPr="00D5464D">
        <w:rPr>
          <w:rFonts w:eastAsia="Calibri" w:cs="Verdana"/>
          <w:snapToGrid w:val="0"/>
          <w:szCs w:val="20"/>
          <w:lang w:val="pt-BR" w:eastAsia="es-ES"/>
        </w:rPr>
        <w:t>Estado</w:t>
      </w:r>
      <w:r w:rsidR="00E045D9" w:rsidRPr="00D5464D">
        <w:rPr>
          <w:rFonts w:eastAsia="Calibri" w:cs="Verdana"/>
          <w:snapToGrid w:val="0"/>
          <w:szCs w:val="20"/>
          <w:lang w:val="pt-BR" w:eastAsia="es-ES"/>
        </w:rPr>
        <w:t xml:space="preserve"> e </w:t>
      </w:r>
      <w:r w:rsidR="002C330E" w:rsidRPr="00D5464D">
        <w:rPr>
          <w:rFonts w:eastAsia="Calibri" w:cs="Verdana"/>
          <w:snapToGrid w:val="0"/>
          <w:szCs w:val="20"/>
          <w:lang w:val="pt-BR" w:eastAsia="es-ES"/>
        </w:rPr>
        <w:t xml:space="preserve">a </w:t>
      </w:r>
      <w:r w:rsidR="00470ADC" w:rsidRPr="00D5464D">
        <w:rPr>
          <w:rFonts w:eastAsia="Calibri" w:cs="Verdana"/>
          <w:snapToGrid w:val="0"/>
          <w:szCs w:val="20"/>
          <w:lang w:val="pt-BR" w:eastAsia="es-ES"/>
        </w:rPr>
        <w:t>Comissão</w:t>
      </w:r>
      <w:r w:rsidRPr="00D5464D">
        <w:rPr>
          <w:rFonts w:eastAsia="Calibri" w:cs="Verdana"/>
          <w:snapToGrid w:val="0"/>
          <w:szCs w:val="20"/>
          <w:lang w:val="pt-BR" w:eastAsia="es-ES"/>
        </w:rPr>
        <w:t xml:space="preserve">, respectivamente, </w:t>
      </w:r>
      <w:r w:rsidR="00A1358C" w:rsidRPr="00D5464D">
        <w:rPr>
          <w:rFonts w:eastAsia="Calibri" w:cs="Verdana"/>
          <w:snapToGrid w:val="0"/>
          <w:szCs w:val="20"/>
          <w:lang w:val="pt-BR" w:eastAsia="es-ES"/>
        </w:rPr>
        <w:t>remeteram</w:t>
      </w:r>
      <w:r w:rsidR="002C330E" w:rsidRPr="00D5464D">
        <w:rPr>
          <w:rFonts w:eastAsia="Calibri" w:cs="Verdana"/>
          <w:snapToGrid w:val="0"/>
          <w:szCs w:val="20"/>
          <w:lang w:val="pt-BR" w:eastAsia="es-ES"/>
        </w:rPr>
        <w:t xml:space="preserve"> as </w:t>
      </w:r>
      <w:r w:rsidRPr="00D5464D">
        <w:rPr>
          <w:rFonts w:eastAsia="Calibri" w:cs="Verdana"/>
          <w:snapToGrid w:val="0"/>
          <w:szCs w:val="20"/>
          <w:lang w:val="pt-BR" w:eastAsia="es-ES"/>
        </w:rPr>
        <w:t>observa</w:t>
      </w:r>
      <w:r w:rsidR="00470ADC" w:rsidRPr="00D5464D">
        <w:rPr>
          <w:rFonts w:eastAsia="Calibri" w:cs="Verdana"/>
          <w:snapToGrid w:val="0"/>
          <w:szCs w:val="20"/>
          <w:lang w:val="pt-BR" w:eastAsia="es-ES"/>
        </w:rPr>
        <w:t>ções</w:t>
      </w:r>
      <w:r w:rsidRPr="00D5464D">
        <w:rPr>
          <w:rFonts w:eastAsia="Calibri" w:cs="Verdana"/>
          <w:snapToGrid w:val="0"/>
          <w:szCs w:val="20"/>
          <w:lang w:val="pt-BR" w:eastAsia="es-ES"/>
        </w:rPr>
        <w:t xml:space="preserve"> solicitadas</w:t>
      </w:r>
      <w:bookmarkEnd w:id="23"/>
      <w:r w:rsidR="00C91CB1" w:rsidRPr="00D5464D">
        <w:rPr>
          <w:rFonts w:eastAsia="Calibri" w:cs="Verdana"/>
          <w:snapToGrid w:val="0"/>
          <w:szCs w:val="20"/>
          <w:lang w:val="pt-BR" w:eastAsia="es-ES"/>
        </w:rPr>
        <w:t xml:space="preserve">. Os </w:t>
      </w:r>
      <w:r w:rsidR="00EB1CE9" w:rsidRPr="00D5464D">
        <w:rPr>
          <w:rFonts w:eastAsia="Calibri" w:cs="Verdana"/>
          <w:snapToGrid w:val="0"/>
          <w:szCs w:val="20"/>
          <w:lang w:val="pt-BR" w:eastAsia="es-ES"/>
        </w:rPr>
        <w:t>representante</w:t>
      </w:r>
      <w:r w:rsidRPr="00D5464D">
        <w:rPr>
          <w:rFonts w:eastAsia="Calibri" w:cs="Verdana"/>
          <w:snapToGrid w:val="0"/>
          <w:szCs w:val="20"/>
          <w:lang w:val="pt-BR" w:eastAsia="es-ES"/>
        </w:rPr>
        <w:t>s n</w:t>
      </w:r>
      <w:r w:rsidR="00622CFB" w:rsidRPr="00D5464D">
        <w:rPr>
          <w:rFonts w:eastAsia="Calibri" w:cs="Verdana"/>
          <w:snapToGrid w:val="0"/>
          <w:szCs w:val="20"/>
          <w:lang w:val="pt-BR" w:eastAsia="es-ES"/>
        </w:rPr>
        <w:t>ã</w:t>
      </w:r>
      <w:r w:rsidRPr="00D5464D">
        <w:rPr>
          <w:rFonts w:eastAsia="Calibri" w:cs="Verdana"/>
          <w:snapToGrid w:val="0"/>
          <w:szCs w:val="20"/>
          <w:lang w:val="pt-BR" w:eastAsia="es-ES"/>
        </w:rPr>
        <w:t xml:space="preserve">o </w:t>
      </w:r>
      <w:r w:rsidR="00622CFB" w:rsidRPr="00D5464D">
        <w:rPr>
          <w:rFonts w:eastAsia="Calibri" w:cs="Verdana"/>
          <w:snapToGrid w:val="0"/>
          <w:szCs w:val="20"/>
          <w:lang w:val="pt-BR" w:eastAsia="es-ES"/>
        </w:rPr>
        <w:t xml:space="preserve">apresentaram </w:t>
      </w:r>
      <w:r w:rsidRPr="00D5464D">
        <w:rPr>
          <w:rFonts w:eastAsia="Calibri" w:cs="Verdana"/>
          <w:snapToGrid w:val="0"/>
          <w:szCs w:val="20"/>
          <w:lang w:val="pt-BR" w:eastAsia="es-ES"/>
        </w:rPr>
        <w:t>observa</w:t>
      </w:r>
      <w:r w:rsidR="00470ADC" w:rsidRPr="00D5464D">
        <w:rPr>
          <w:rFonts w:eastAsia="Calibri" w:cs="Verdana"/>
          <w:snapToGrid w:val="0"/>
          <w:szCs w:val="20"/>
          <w:lang w:val="pt-BR" w:eastAsia="es-ES"/>
        </w:rPr>
        <w:t>ções</w:t>
      </w:r>
      <w:r w:rsidR="00E045D9" w:rsidRPr="00D5464D">
        <w:rPr>
          <w:rFonts w:eastAsia="Calibri" w:cs="Verdana"/>
          <w:snapToGrid w:val="0"/>
          <w:szCs w:val="20"/>
          <w:lang w:val="pt-BR" w:eastAsia="es-ES"/>
        </w:rPr>
        <w:t xml:space="preserve"> no </w:t>
      </w:r>
      <w:r w:rsidR="002C330E" w:rsidRPr="00D5464D">
        <w:rPr>
          <w:color w:val="000000"/>
          <w:lang w:val="pt-BR"/>
        </w:rPr>
        <w:t>prazo</w:t>
      </w:r>
      <w:r w:rsidRPr="00D5464D">
        <w:rPr>
          <w:color w:val="000000"/>
          <w:lang w:val="pt-BR"/>
        </w:rPr>
        <w:t xml:space="preserve"> </w:t>
      </w:r>
      <w:r w:rsidR="00622CFB" w:rsidRPr="00D5464D">
        <w:rPr>
          <w:color w:val="000000"/>
          <w:lang w:val="pt-BR"/>
        </w:rPr>
        <w:t>concedido par</w:t>
      </w:r>
      <w:r w:rsidRPr="00D5464D">
        <w:rPr>
          <w:color w:val="000000"/>
          <w:lang w:val="pt-BR"/>
        </w:rPr>
        <w:t xml:space="preserve">a tal </w:t>
      </w:r>
      <w:r w:rsidR="00470ADC" w:rsidRPr="00D5464D">
        <w:rPr>
          <w:color w:val="000000"/>
          <w:lang w:val="pt-BR"/>
        </w:rPr>
        <w:t>efeito</w:t>
      </w:r>
      <w:r w:rsidRPr="00D5464D">
        <w:rPr>
          <w:rFonts w:eastAsia="Calibri" w:cs="Verdana"/>
          <w:snapToGrid w:val="0"/>
          <w:szCs w:val="20"/>
          <w:lang w:val="pt-BR" w:eastAsia="es-ES"/>
        </w:rPr>
        <w:t>.</w:t>
      </w:r>
    </w:p>
    <w:p w14:paraId="36F4AA4A" w14:textId="77777777" w:rsidR="004C7778" w:rsidRPr="00D5464D" w:rsidRDefault="004C7778" w:rsidP="00140440">
      <w:pPr>
        <w:tabs>
          <w:tab w:val="clear" w:pos="4419"/>
          <w:tab w:val="clear" w:pos="8838"/>
          <w:tab w:val="left" w:pos="567"/>
          <w:tab w:val="left" w:pos="1134"/>
        </w:tabs>
        <w:jc w:val="both"/>
        <w:rPr>
          <w:rFonts w:eastAsia="Batang" w:cs="Verdana"/>
          <w:i/>
          <w:szCs w:val="20"/>
          <w:lang w:val="pt-BR" w:eastAsia="es-ES"/>
        </w:rPr>
      </w:pPr>
    </w:p>
    <w:bookmarkEnd w:id="22"/>
    <w:p w14:paraId="63359799" w14:textId="6724582B" w:rsidR="00BA1ACF" w:rsidRPr="00D5464D" w:rsidRDefault="00BA1ACF" w:rsidP="00140440">
      <w:pPr>
        <w:numPr>
          <w:ilvl w:val="0"/>
          <w:numId w:val="1"/>
        </w:numPr>
        <w:tabs>
          <w:tab w:val="clear" w:pos="4419"/>
          <w:tab w:val="clear" w:pos="8838"/>
          <w:tab w:val="left" w:pos="567"/>
          <w:tab w:val="left" w:pos="1134"/>
        </w:tabs>
        <w:jc w:val="both"/>
        <w:rPr>
          <w:rFonts w:eastAsia="Batang" w:cs="Verdana"/>
          <w:szCs w:val="20"/>
          <w:lang w:val="pt-BR" w:eastAsia="es-ES"/>
        </w:rPr>
      </w:pPr>
      <w:r w:rsidRPr="00D5464D">
        <w:rPr>
          <w:rFonts w:eastAsia="Batang" w:cs="Times New Roman"/>
          <w:i/>
          <w:szCs w:val="24"/>
          <w:lang w:val="pt-BR" w:eastAsia="es-CR"/>
        </w:rPr>
        <w:t>Delibera</w:t>
      </w:r>
      <w:r w:rsidR="00470ADC" w:rsidRPr="00D5464D">
        <w:rPr>
          <w:rFonts w:eastAsia="Batang" w:cs="Times New Roman"/>
          <w:i/>
          <w:szCs w:val="24"/>
          <w:lang w:val="pt-BR" w:eastAsia="es-CR"/>
        </w:rPr>
        <w:t>ção</w:t>
      </w:r>
      <w:r w:rsidRPr="00D5464D">
        <w:rPr>
          <w:rFonts w:eastAsia="Batang" w:cs="Times New Roman"/>
          <w:i/>
          <w:szCs w:val="24"/>
          <w:lang w:val="pt-BR" w:eastAsia="es-CR"/>
        </w:rPr>
        <w:t xml:space="preserve"> </w:t>
      </w:r>
      <w:r w:rsidR="00470ADC" w:rsidRPr="00D5464D">
        <w:rPr>
          <w:rFonts w:eastAsia="Batang" w:cs="Times New Roman"/>
          <w:i/>
          <w:szCs w:val="24"/>
          <w:lang w:val="pt-BR" w:eastAsia="es-CR"/>
        </w:rPr>
        <w:t xml:space="preserve">do </w:t>
      </w:r>
      <w:r w:rsidRPr="00D5464D">
        <w:rPr>
          <w:rFonts w:eastAsia="Batang" w:cs="Times New Roman"/>
          <w:i/>
          <w:szCs w:val="24"/>
          <w:lang w:val="pt-BR" w:eastAsia="es-CR"/>
        </w:rPr>
        <w:t>presente caso. -</w:t>
      </w:r>
      <w:r w:rsidR="002C330E" w:rsidRPr="00D5464D">
        <w:rPr>
          <w:rFonts w:eastAsia="Batang" w:cs="Times New Roman"/>
          <w:i/>
          <w:szCs w:val="24"/>
          <w:lang w:val="pt-BR" w:eastAsia="es-CR"/>
        </w:rPr>
        <w:t xml:space="preserve"> </w:t>
      </w:r>
      <w:r w:rsidR="00D65024" w:rsidRPr="00D5464D">
        <w:rPr>
          <w:rFonts w:eastAsia="Batang" w:cs="Times New Roman"/>
          <w:szCs w:val="24"/>
          <w:lang w:val="pt-BR" w:eastAsia="es-CR"/>
        </w:rPr>
        <w:t>A</w:t>
      </w:r>
      <w:r w:rsidR="002C330E" w:rsidRPr="00D5464D">
        <w:rPr>
          <w:rFonts w:eastAsia="Batang" w:cs="Times New Roman"/>
          <w:i/>
          <w:szCs w:val="24"/>
          <w:lang w:val="pt-BR" w:eastAsia="es-CR"/>
        </w:rPr>
        <w:t xml:space="preserve"> </w:t>
      </w:r>
      <w:r w:rsidRPr="00D5464D">
        <w:rPr>
          <w:rFonts w:eastAsia="Batang" w:cs="Times New Roman"/>
          <w:szCs w:val="24"/>
          <w:lang w:val="pt-BR" w:eastAsia="es-CR"/>
        </w:rPr>
        <w:t xml:space="preserve">Corte </w:t>
      </w:r>
      <w:r w:rsidR="00350187" w:rsidRPr="00D5464D">
        <w:rPr>
          <w:rFonts w:eastAsia="Batang" w:cs="Times New Roman"/>
          <w:szCs w:val="24"/>
          <w:lang w:val="pt-BR" w:eastAsia="es-CR"/>
        </w:rPr>
        <w:t>iniciou</w:t>
      </w:r>
      <w:r w:rsidR="002C330E" w:rsidRPr="00D5464D">
        <w:rPr>
          <w:rFonts w:eastAsia="Batang" w:cs="Times New Roman"/>
          <w:szCs w:val="24"/>
          <w:lang w:val="pt-BR" w:eastAsia="es-CR"/>
        </w:rPr>
        <w:t xml:space="preserve"> a </w:t>
      </w:r>
      <w:r w:rsidRPr="00D5464D">
        <w:rPr>
          <w:rFonts w:eastAsia="Batang" w:cs="Times New Roman"/>
          <w:szCs w:val="24"/>
          <w:lang w:val="pt-BR" w:eastAsia="es-CR"/>
        </w:rPr>
        <w:t>delibera</w:t>
      </w:r>
      <w:r w:rsidR="00470ADC" w:rsidRPr="00D5464D">
        <w:rPr>
          <w:rFonts w:eastAsia="Batang" w:cs="Times New Roman"/>
          <w:szCs w:val="24"/>
          <w:lang w:val="pt-BR" w:eastAsia="es-CR"/>
        </w:rPr>
        <w:t xml:space="preserve">ção da </w:t>
      </w:r>
      <w:r w:rsidRPr="00D5464D">
        <w:rPr>
          <w:rFonts w:eastAsia="Batang" w:cs="Times New Roman"/>
          <w:szCs w:val="24"/>
          <w:lang w:val="pt-BR" w:eastAsia="es-CR"/>
        </w:rPr>
        <w:t xml:space="preserve">presente </w:t>
      </w:r>
      <w:r w:rsidR="002C330E" w:rsidRPr="00D5464D">
        <w:rPr>
          <w:rFonts w:eastAsia="Batang" w:cs="Times New Roman"/>
          <w:szCs w:val="24"/>
          <w:lang w:val="pt-BR" w:eastAsia="es-CR"/>
        </w:rPr>
        <w:t>Sentença</w:t>
      </w:r>
      <w:r w:rsidR="00C91CB1" w:rsidRPr="00D5464D">
        <w:rPr>
          <w:rFonts w:eastAsia="Batang" w:cs="Times New Roman"/>
          <w:szCs w:val="24"/>
          <w:lang w:val="pt-BR" w:eastAsia="es-CR"/>
        </w:rPr>
        <w:t xml:space="preserve"> em 1</w:t>
      </w:r>
      <w:r w:rsidR="00A056D4" w:rsidRPr="00D5464D">
        <w:rPr>
          <w:rFonts w:eastAsia="Batang" w:cs="Times New Roman"/>
          <w:szCs w:val="24"/>
          <w:lang w:val="pt-BR" w:eastAsia="es-CR"/>
        </w:rPr>
        <w:t>8</w:t>
      </w:r>
      <w:r w:rsidR="007658C9" w:rsidRPr="00D5464D">
        <w:rPr>
          <w:rFonts w:eastAsia="Batang" w:cs="Times New Roman"/>
          <w:szCs w:val="24"/>
          <w:lang w:val="pt-BR" w:eastAsia="es-CR"/>
        </w:rPr>
        <w:t xml:space="preserve"> </w:t>
      </w:r>
      <w:r w:rsidR="00416610" w:rsidRPr="00D5464D">
        <w:rPr>
          <w:rFonts w:eastAsia="Batang" w:cs="Times New Roman"/>
          <w:szCs w:val="24"/>
          <w:lang w:val="pt-BR" w:eastAsia="es-CR"/>
        </w:rPr>
        <w:t xml:space="preserve">de </w:t>
      </w:r>
      <w:r w:rsidR="002C330E" w:rsidRPr="00D5464D">
        <w:rPr>
          <w:rFonts w:eastAsia="Batang" w:cs="Times New Roman"/>
          <w:szCs w:val="24"/>
          <w:lang w:val="pt-BR" w:eastAsia="es-CR"/>
        </w:rPr>
        <w:t>outubro</w:t>
      </w:r>
      <w:r w:rsidR="00416610" w:rsidRPr="00D5464D">
        <w:rPr>
          <w:rFonts w:eastAsia="Batang" w:cs="Times New Roman"/>
          <w:szCs w:val="24"/>
          <w:lang w:val="pt-BR" w:eastAsia="es-CR"/>
        </w:rPr>
        <w:t xml:space="preserve"> de 2016</w:t>
      </w:r>
      <w:r w:rsidRPr="00D5464D">
        <w:rPr>
          <w:rFonts w:eastAsia="Batang" w:cs="Times New Roman"/>
          <w:szCs w:val="24"/>
          <w:lang w:val="pt-BR" w:eastAsia="es-CR"/>
        </w:rPr>
        <w:t>.</w:t>
      </w:r>
    </w:p>
    <w:p w14:paraId="1A05A3B3" w14:textId="77777777" w:rsidR="00BA1ACF" w:rsidRPr="00D5464D" w:rsidRDefault="00BA1ACF" w:rsidP="00140440">
      <w:pPr>
        <w:tabs>
          <w:tab w:val="clear" w:pos="4419"/>
          <w:tab w:val="clear" w:pos="8838"/>
          <w:tab w:val="left" w:pos="567"/>
          <w:tab w:val="left" w:pos="1134"/>
        </w:tabs>
        <w:autoSpaceDE w:val="0"/>
        <w:autoSpaceDN w:val="0"/>
        <w:adjustRightInd w:val="0"/>
        <w:jc w:val="both"/>
        <w:rPr>
          <w:rFonts w:eastAsia="Batang" w:cs="Verdana"/>
          <w:szCs w:val="20"/>
          <w:lang w:val="pt-BR" w:eastAsia="es-ES"/>
        </w:rPr>
      </w:pPr>
    </w:p>
    <w:p w14:paraId="6565B8B5" w14:textId="33FE0E96" w:rsidR="00BA1ACF" w:rsidRPr="00D5464D" w:rsidRDefault="00BA1ACF" w:rsidP="00140440">
      <w:pPr>
        <w:keepNext/>
        <w:keepLines/>
        <w:tabs>
          <w:tab w:val="clear" w:pos="4419"/>
          <w:tab w:val="clear" w:pos="8838"/>
        </w:tabs>
        <w:jc w:val="center"/>
        <w:outlineLvl w:val="0"/>
        <w:rPr>
          <w:rFonts w:eastAsia="Times New Roman" w:cs="Verdana"/>
          <w:b/>
          <w:bCs/>
          <w:snapToGrid w:val="0"/>
          <w:szCs w:val="20"/>
          <w:lang w:val="pt-BR" w:eastAsia="es-ES"/>
        </w:rPr>
      </w:pPr>
      <w:bookmarkStart w:id="24" w:name="_Toc404770056"/>
      <w:bookmarkStart w:id="25" w:name="_Toc416164786"/>
      <w:bookmarkStart w:id="26" w:name="_Toc468433847"/>
      <w:bookmarkStart w:id="27" w:name="_Toc315133576"/>
      <w:bookmarkStart w:id="28" w:name="_Toc316919761"/>
      <w:bookmarkStart w:id="29" w:name="_Toc329703866"/>
      <w:bookmarkStart w:id="30" w:name="_Toc336638903"/>
      <w:bookmarkStart w:id="31" w:name="_Toc359314423"/>
      <w:bookmarkStart w:id="32" w:name="_Toc361671573"/>
      <w:bookmarkStart w:id="33" w:name="_Toc361671993"/>
      <w:bookmarkStart w:id="34" w:name="_Toc361732790"/>
      <w:bookmarkStart w:id="35" w:name="_Toc361732833"/>
      <w:bookmarkStart w:id="36" w:name="_Toc362456864"/>
      <w:bookmarkStart w:id="37" w:name="_Toc365021393"/>
      <w:bookmarkStart w:id="38" w:name="_Toc369076779"/>
      <w:bookmarkStart w:id="39" w:name="_Toc369989363"/>
      <w:bookmarkStart w:id="40" w:name="_Toc369989450"/>
      <w:bookmarkStart w:id="41" w:name="_Toc369989731"/>
      <w:r w:rsidRPr="00D5464D">
        <w:rPr>
          <w:rFonts w:eastAsia="Times New Roman" w:cs="Verdana"/>
          <w:b/>
          <w:bCs/>
          <w:snapToGrid w:val="0"/>
          <w:szCs w:val="20"/>
          <w:lang w:val="pt-BR" w:eastAsia="es-ES"/>
        </w:rPr>
        <w:t>III</w:t>
      </w:r>
      <w:r w:rsidRPr="00D5464D">
        <w:rPr>
          <w:rFonts w:eastAsia="Times New Roman" w:cs="Verdana"/>
          <w:b/>
          <w:bCs/>
          <w:snapToGrid w:val="0"/>
          <w:szCs w:val="20"/>
          <w:lang w:val="pt-BR" w:eastAsia="es-ES"/>
        </w:rPr>
        <w:br/>
      </w:r>
      <w:r w:rsidR="00470ADC" w:rsidRPr="00D5464D">
        <w:rPr>
          <w:rFonts w:eastAsia="Times New Roman" w:cs="Verdana"/>
          <w:b/>
          <w:bCs/>
          <w:snapToGrid w:val="0"/>
          <w:szCs w:val="20"/>
          <w:lang w:val="pt-BR" w:eastAsia="es-ES"/>
        </w:rPr>
        <w:t>COMPETÊNCIA</w:t>
      </w:r>
      <w:bookmarkEnd w:id="24"/>
      <w:bookmarkEnd w:id="25"/>
      <w:bookmarkEnd w:id="26"/>
    </w:p>
    <w:p w14:paraId="6BDDABDC" w14:textId="77777777" w:rsidR="00622CFB" w:rsidRPr="00D5464D" w:rsidRDefault="00622CFB" w:rsidP="00622CFB">
      <w:pPr>
        <w:tabs>
          <w:tab w:val="clear" w:pos="4419"/>
          <w:tab w:val="clear" w:pos="8838"/>
        </w:tabs>
        <w:jc w:val="both"/>
        <w:rPr>
          <w:rFonts w:eastAsia="Batang" w:cs="Times"/>
          <w:szCs w:val="20"/>
          <w:lang w:val="pt-BR"/>
        </w:rPr>
      </w:pPr>
    </w:p>
    <w:p w14:paraId="66431B28" w14:textId="30A8BB8B" w:rsidR="00BA1ACF" w:rsidRPr="00D5464D" w:rsidRDefault="00470ADC" w:rsidP="00140440">
      <w:pPr>
        <w:numPr>
          <w:ilvl w:val="0"/>
          <w:numId w:val="1"/>
        </w:numPr>
        <w:tabs>
          <w:tab w:val="clear" w:pos="4419"/>
          <w:tab w:val="clear" w:pos="8838"/>
        </w:tabs>
        <w:jc w:val="both"/>
        <w:rPr>
          <w:rFonts w:eastAsia="Batang" w:cs="Times"/>
          <w:szCs w:val="20"/>
          <w:lang w:val="pt-BR"/>
        </w:rPr>
      </w:pPr>
      <w:r w:rsidRPr="00D5464D">
        <w:rPr>
          <w:rFonts w:eastAsia="Batang" w:cs="Times"/>
          <w:szCs w:val="24"/>
          <w:lang w:val="pt-BR" w:eastAsia="es-ES"/>
        </w:rPr>
        <w:t xml:space="preserve">A </w:t>
      </w:r>
      <w:r w:rsidR="00BA1ACF" w:rsidRPr="00D5464D">
        <w:rPr>
          <w:rFonts w:eastAsia="Batang" w:cs="Times"/>
          <w:szCs w:val="20"/>
          <w:lang w:val="pt-BR"/>
        </w:rPr>
        <w:t>Corte Interamericana</w:t>
      </w:r>
      <w:r w:rsidRPr="00D5464D">
        <w:rPr>
          <w:rFonts w:eastAsia="Batang" w:cs="Times"/>
          <w:szCs w:val="20"/>
          <w:lang w:val="pt-BR"/>
        </w:rPr>
        <w:t xml:space="preserve"> é </w:t>
      </w:r>
      <w:r w:rsidR="00A1358C" w:rsidRPr="00D5464D">
        <w:rPr>
          <w:rFonts w:eastAsia="Batang" w:cs="Times"/>
          <w:szCs w:val="20"/>
          <w:lang w:val="pt-BR"/>
        </w:rPr>
        <w:t>competente</w:t>
      </w:r>
      <w:r w:rsidR="00C26D5F" w:rsidRPr="00D5464D">
        <w:rPr>
          <w:rFonts w:eastAsia="Batang" w:cs="Times"/>
          <w:szCs w:val="20"/>
          <w:lang w:val="pt-BR"/>
        </w:rPr>
        <w:t>,</w:t>
      </w:r>
      <w:r w:rsidR="00E045D9" w:rsidRPr="00D5464D">
        <w:rPr>
          <w:rFonts w:eastAsia="Batang" w:cs="Times"/>
          <w:szCs w:val="20"/>
          <w:lang w:val="pt-BR"/>
        </w:rPr>
        <w:t xml:space="preserve"> nos termo</w:t>
      </w:r>
      <w:r w:rsidR="00BA1ACF" w:rsidRPr="00D5464D">
        <w:rPr>
          <w:rFonts w:eastAsia="Batang" w:cs="Times"/>
          <w:szCs w:val="20"/>
          <w:lang w:val="pt-BR"/>
        </w:rPr>
        <w:t xml:space="preserve">s </w:t>
      </w:r>
      <w:r w:rsidRPr="00D5464D">
        <w:rPr>
          <w:rFonts w:eastAsia="Batang" w:cs="Times"/>
          <w:szCs w:val="20"/>
          <w:lang w:val="pt-BR"/>
        </w:rPr>
        <w:t>do artigo</w:t>
      </w:r>
      <w:r w:rsidR="00BA1ACF" w:rsidRPr="00D5464D">
        <w:rPr>
          <w:rFonts w:eastAsia="Batang" w:cs="Times"/>
          <w:szCs w:val="20"/>
          <w:lang w:val="pt-BR"/>
        </w:rPr>
        <w:t xml:space="preserve"> 62.3</w:t>
      </w:r>
      <w:r w:rsidRPr="00D5464D">
        <w:rPr>
          <w:rFonts w:eastAsia="Batang" w:cs="Times"/>
          <w:szCs w:val="20"/>
          <w:lang w:val="pt-BR"/>
        </w:rPr>
        <w:t xml:space="preserve"> da </w:t>
      </w:r>
      <w:r w:rsidR="00BA1ACF" w:rsidRPr="00D5464D">
        <w:rPr>
          <w:rFonts w:eastAsia="Batang" w:cs="Times"/>
          <w:szCs w:val="20"/>
          <w:lang w:val="pt-BR"/>
        </w:rPr>
        <w:t>Conven</w:t>
      </w:r>
      <w:r w:rsidRPr="00D5464D">
        <w:rPr>
          <w:rFonts w:eastAsia="Batang" w:cs="Times"/>
          <w:szCs w:val="20"/>
          <w:lang w:val="pt-BR"/>
        </w:rPr>
        <w:t>ção</w:t>
      </w:r>
      <w:r w:rsidR="00622CFB" w:rsidRPr="00D5464D">
        <w:rPr>
          <w:rFonts w:eastAsia="Batang" w:cs="Times"/>
          <w:szCs w:val="20"/>
          <w:lang w:val="pt-BR"/>
        </w:rPr>
        <w:t>,</w:t>
      </w:r>
      <w:r w:rsidR="00BA1ACF" w:rsidRPr="00D5464D">
        <w:rPr>
          <w:rFonts w:eastAsia="Batang" w:cs="Times"/>
          <w:szCs w:val="20"/>
          <w:lang w:val="pt-BR"/>
        </w:rPr>
        <w:t xml:space="preserve"> para </w:t>
      </w:r>
      <w:r w:rsidRPr="00D5464D">
        <w:rPr>
          <w:rFonts w:eastAsia="Batang" w:cs="Times"/>
          <w:szCs w:val="20"/>
          <w:lang w:val="pt-BR"/>
        </w:rPr>
        <w:t xml:space="preserve">conhecer </w:t>
      </w:r>
      <w:r w:rsidR="006B3D88" w:rsidRPr="00D5464D">
        <w:rPr>
          <w:rFonts w:eastAsia="Batang" w:cs="Times"/>
          <w:szCs w:val="20"/>
          <w:lang w:val="pt-BR"/>
        </w:rPr>
        <w:t>d</w:t>
      </w:r>
      <w:r w:rsidRPr="00D5464D">
        <w:rPr>
          <w:rFonts w:eastAsia="Batang" w:cs="Times"/>
          <w:szCs w:val="20"/>
          <w:lang w:val="pt-BR"/>
        </w:rPr>
        <w:t xml:space="preserve">o </w:t>
      </w:r>
      <w:r w:rsidR="00BA1ACF" w:rsidRPr="00D5464D">
        <w:rPr>
          <w:rFonts w:eastAsia="Batang" w:cs="Times"/>
          <w:szCs w:val="20"/>
          <w:lang w:val="pt-BR"/>
        </w:rPr>
        <w:t>presente caso,</w:t>
      </w:r>
      <w:r w:rsidRPr="00D5464D">
        <w:rPr>
          <w:rFonts w:eastAsia="Batang" w:cs="Times"/>
          <w:szCs w:val="20"/>
          <w:lang w:val="pt-BR"/>
        </w:rPr>
        <w:t xml:space="preserve"> </w:t>
      </w:r>
      <w:r w:rsidR="006B3D88" w:rsidRPr="00D5464D">
        <w:rPr>
          <w:rFonts w:eastAsia="Batang" w:cs="Times"/>
          <w:szCs w:val="20"/>
          <w:lang w:val="pt-BR"/>
        </w:rPr>
        <w:t>uma vez</w:t>
      </w:r>
      <w:r w:rsidR="00FF1290" w:rsidRPr="00D5464D">
        <w:rPr>
          <w:rFonts w:eastAsia="Batang" w:cs="Times"/>
          <w:szCs w:val="20"/>
          <w:lang w:val="pt-BR"/>
        </w:rPr>
        <w:t xml:space="preserve"> </w:t>
      </w:r>
      <w:r w:rsidR="00BA1ACF" w:rsidRPr="00D5464D">
        <w:rPr>
          <w:rFonts w:eastAsia="Batang" w:cs="Times"/>
          <w:szCs w:val="20"/>
          <w:lang w:val="pt-BR"/>
        </w:rPr>
        <w:t xml:space="preserve">que </w:t>
      </w:r>
      <w:r w:rsidR="00622CFB" w:rsidRPr="00D5464D">
        <w:rPr>
          <w:rFonts w:eastAsia="Batang" w:cs="Times"/>
          <w:szCs w:val="20"/>
          <w:lang w:val="pt-BR"/>
        </w:rPr>
        <w:t xml:space="preserve">o </w:t>
      </w:r>
      <w:r w:rsidR="00BA1ACF" w:rsidRPr="00D5464D">
        <w:rPr>
          <w:rFonts w:eastAsia="Batang" w:cs="Times"/>
          <w:szCs w:val="20"/>
          <w:lang w:val="pt-BR"/>
        </w:rPr>
        <w:t>Brasil</w:t>
      </w:r>
      <w:r w:rsidRPr="00D5464D">
        <w:rPr>
          <w:rFonts w:eastAsia="Batang" w:cs="Times"/>
          <w:szCs w:val="20"/>
          <w:lang w:val="pt-BR"/>
        </w:rPr>
        <w:t xml:space="preserve"> é </w:t>
      </w:r>
      <w:r w:rsidR="00BA1ACF" w:rsidRPr="00D5464D">
        <w:rPr>
          <w:rFonts w:eastAsia="Batang" w:cs="Times"/>
          <w:szCs w:val="20"/>
          <w:lang w:val="pt-BR"/>
        </w:rPr>
        <w:t>Estado Parte</w:t>
      </w:r>
      <w:r w:rsidRPr="00D5464D">
        <w:rPr>
          <w:rFonts w:eastAsia="Batang" w:cs="Times"/>
          <w:szCs w:val="20"/>
          <w:lang w:val="pt-BR"/>
        </w:rPr>
        <w:t xml:space="preserve"> da </w:t>
      </w:r>
      <w:r w:rsidR="00BA1ACF" w:rsidRPr="00D5464D">
        <w:rPr>
          <w:rFonts w:eastAsia="Batang" w:cs="Times"/>
          <w:szCs w:val="20"/>
          <w:lang w:val="pt-BR"/>
        </w:rPr>
        <w:t>Conven</w:t>
      </w:r>
      <w:r w:rsidRPr="00D5464D">
        <w:rPr>
          <w:rFonts w:eastAsia="Batang" w:cs="Times"/>
          <w:szCs w:val="20"/>
          <w:lang w:val="pt-BR"/>
        </w:rPr>
        <w:t>ção</w:t>
      </w:r>
      <w:r w:rsidR="00BA1ACF" w:rsidRPr="00D5464D">
        <w:rPr>
          <w:rFonts w:eastAsia="Batang" w:cs="Times"/>
          <w:szCs w:val="20"/>
          <w:lang w:val="pt-BR"/>
        </w:rPr>
        <w:t xml:space="preserve"> Americana </w:t>
      </w:r>
      <w:r w:rsidR="00C91CB1" w:rsidRPr="00D5464D">
        <w:rPr>
          <w:rFonts w:eastAsia="Batang" w:cs="Times"/>
          <w:szCs w:val="20"/>
          <w:lang w:val="pt-BR"/>
        </w:rPr>
        <w:t xml:space="preserve">desde </w:t>
      </w:r>
      <w:r w:rsidR="002C330E" w:rsidRPr="00D5464D">
        <w:rPr>
          <w:rFonts w:eastAsia="Batang" w:cs="Times"/>
          <w:szCs w:val="20"/>
          <w:lang w:val="pt-BR"/>
        </w:rPr>
        <w:t>2</w:t>
      </w:r>
      <w:r w:rsidR="00BA1ACF" w:rsidRPr="00D5464D">
        <w:rPr>
          <w:rFonts w:eastAsia="Batang" w:cs="Times"/>
          <w:szCs w:val="20"/>
          <w:lang w:val="pt-BR"/>
        </w:rPr>
        <w:t xml:space="preserve">5 de </w:t>
      </w:r>
      <w:r w:rsidR="002C330E" w:rsidRPr="00D5464D">
        <w:rPr>
          <w:rFonts w:eastAsia="Batang" w:cs="Times"/>
          <w:szCs w:val="20"/>
          <w:lang w:val="pt-BR"/>
        </w:rPr>
        <w:t>setembro</w:t>
      </w:r>
      <w:r w:rsidR="00BA1ACF" w:rsidRPr="00D5464D">
        <w:rPr>
          <w:rFonts w:eastAsia="Batang" w:cs="Times"/>
          <w:szCs w:val="20"/>
          <w:lang w:val="pt-BR"/>
        </w:rPr>
        <w:t xml:space="preserve"> de 1992</w:t>
      </w:r>
      <w:r w:rsidR="00E045D9" w:rsidRPr="00D5464D">
        <w:rPr>
          <w:rFonts w:eastAsia="Batang" w:cs="Times"/>
          <w:szCs w:val="20"/>
          <w:lang w:val="pt-BR"/>
        </w:rPr>
        <w:t xml:space="preserve"> e </w:t>
      </w:r>
      <w:r w:rsidR="00BA1ACF" w:rsidRPr="00D5464D">
        <w:rPr>
          <w:rFonts w:eastAsia="Batang" w:cs="Times"/>
          <w:szCs w:val="20"/>
          <w:lang w:val="pt-BR"/>
        </w:rPr>
        <w:t>re</w:t>
      </w:r>
      <w:r w:rsidRPr="00D5464D">
        <w:rPr>
          <w:rFonts w:eastAsia="Batang" w:cs="Times"/>
          <w:szCs w:val="20"/>
          <w:lang w:val="pt-BR"/>
        </w:rPr>
        <w:t>conheceu</w:t>
      </w:r>
      <w:r w:rsidR="002C330E" w:rsidRPr="00D5464D">
        <w:rPr>
          <w:rFonts w:eastAsia="Batang" w:cs="Times"/>
          <w:szCs w:val="20"/>
          <w:lang w:val="pt-BR"/>
        </w:rPr>
        <w:t xml:space="preserve"> a </w:t>
      </w:r>
      <w:r w:rsidRPr="00D5464D">
        <w:rPr>
          <w:rFonts w:eastAsia="Batang" w:cs="Times"/>
          <w:szCs w:val="20"/>
          <w:lang w:val="pt-BR"/>
        </w:rPr>
        <w:t>competência</w:t>
      </w:r>
      <w:r w:rsidR="00BA1ACF" w:rsidRPr="00D5464D">
        <w:rPr>
          <w:rFonts w:eastAsia="Batang" w:cs="Times"/>
          <w:szCs w:val="20"/>
          <w:lang w:val="pt-BR"/>
        </w:rPr>
        <w:t xml:space="preserve"> contenciosa</w:t>
      </w:r>
      <w:r w:rsidRPr="00D5464D">
        <w:rPr>
          <w:rFonts w:eastAsia="Batang" w:cs="Times"/>
          <w:szCs w:val="20"/>
          <w:lang w:val="pt-BR"/>
        </w:rPr>
        <w:t xml:space="preserve"> da </w:t>
      </w:r>
      <w:r w:rsidR="00BA1ACF" w:rsidRPr="00D5464D">
        <w:rPr>
          <w:rFonts w:eastAsia="Batang" w:cs="Times"/>
          <w:szCs w:val="20"/>
          <w:lang w:val="pt-BR"/>
        </w:rPr>
        <w:t>Corte</w:t>
      </w:r>
      <w:r w:rsidR="00C91CB1" w:rsidRPr="00D5464D">
        <w:rPr>
          <w:rFonts w:eastAsia="Batang" w:cs="Times"/>
          <w:szCs w:val="20"/>
          <w:lang w:val="pt-BR"/>
        </w:rPr>
        <w:t xml:space="preserve"> em 1</w:t>
      </w:r>
      <w:r w:rsidR="00BA1ACF" w:rsidRPr="00D5464D">
        <w:rPr>
          <w:rFonts w:eastAsia="Batang" w:cs="Times"/>
          <w:szCs w:val="20"/>
          <w:lang w:val="pt-BR"/>
        </w:rPr>
        <w:t xml:space="preserve">0 de </w:t>
      </w:r>
      <w:r w:rsidRPr="00D5464D">
        <w:rPr>
          <w:rFonts w:eastAsia="Batang" w:cs="Times"/>
          <w:szCs w:val="20"/>
          <w:lang w:val="pt-BR"/>
        </w:rPr>
        <w:t>dezembro</w:t>
      </w:r>
      <w:r w:rsidR="00BA1ACF" w:rsidRPr="00D5464D">
        <w:rPr>
          <w:rFonts w:eastAsia="Batang" w:cs="Times"/>
          <w:szCs w:val="20"/>
          <w:lang w:val="pt-BR"/>
        </w:rPr>
        <w:t xml:space="preserve"> de 1998.</w:t>
      </w:r>
    </w:p>
    <w:p w14:paraId="3775AA25" w14:textId="77777777" w:rsidR="00BA1ACF" w:rsidRPr="00D5464D" w:rsidRDefault="00BA1ACF" w:rsidP="00140440">
      <w:pPr>
        <w:tabs>
          <w:tab w:val="clear" w:pos="4419"/>
          <w:tab w:val="clear" w:pos="8838"/>
        </w:tabs>
        <w:jc w:val="both"/>
        <w:rPr>
          <w:rFonts w:eastAsia="Batang" w:cs="Times"/>
          <w:szCs w:val="24"/>
          <w:lang w:val="pt-BR"/>
        </w:rPr>
      </w:pPr>
    </w:p>
    <w:p w14:paraId="6298B2D8" w14:textId="77777777" w:rsidR="002A0C2B" w:rsidRPr="00D5464D" w:rsidRDefault="002A0C2B" w:rsidP="00140440">
      <w:pPr>
        <w:tabs>
          <w:tab w:val="clear" w:pos="4419"/>
          <w:tab w:val="clear" w:pos="8838"/>
        </w:tabs>
        <w:jc w:val="both"/>
        <w:rPr>
          <w:rFonts w:eastAsia="Batang" w:cs="Times"/>
          <w:szCs w:val="24"/>
          <w:lang w:val="pt-BR"/>
        </w:rPr>
      </w:pPr>
    </w:p>
    <w:p w14:paraId="380D1466" w14:textId="73D4367F" w:rsidR="00BA1ACF" w:rsidRPr="00D5464D" w:rsidRDefault="00BA1ACF" w:rsidP="0039404C">
      <w:pPr>
        <w:keepNext/>
        <w:keepLines/>
        <w:tabs>
          <w:tab w:val="clear" w:pos="4419"/>
          <w:tab w:val="clear" w:pos="8838"/>
        </w:tabs>
        <w:jc w:val="center"/>
        <w:outlineLvl w:val="0"/>
        <w:rPr>
          <w:rFonts w:eastAsia="Times New Roman" w:cs="Verdana"/>
          <w:b/>
          <w:bCs/>
          <w:caps/>
          <w:snapToGrid w:val="0"/>
          <w:szCs w:val="20"/>
          <w:lang w:val="pt-BR" w:eastAsia="es-ES"/>
        </w:rPr>
      </w:pPr>
      <w:bookmarkStart w:id="42" w:name="_Toc416164787"/>
      <w:bookmarkStart w:id="43" w:name="_Toc468433848"/>
      <w:r w:rsidRPr="00D5464D">
        <w:rPr>
          <w:rFonts w:eastAsia="Times New Roman" w:cs="Verdana"/>
          <w:b/>
          <w:bCs/>
          <w:caps/>
          <w:snapToGrid w:val="0"/>
          <w:szCs w:val="20"/>
          <w:lang w:val="pt-BR" w:eastAsia="es-ES"/>
        </w:rPr>
        <w:t>IV</w:t>
      </w:r>
      <w:r w:rsidRPr="00D5464D">
        <w:rPr>
          <w:rFonts w:eastAsia="Times New Roman" w:cs="Verdana"/>
          <w:b/>
          <w:bCs/>
          <w:caps/>
          <w:snapToGrid w:val="0"/>
          <w:szCs w:val="20"/>
          <w:lang w:val="pt-BR" w:eastAsia="es-ES"/>
        </w:rPr>
        <w:br/>
      </w:r>
      <w:r w:rsidR="00470ADC" w:rsidRPr="00D5464D">
        <w:rPr>
          <w:rFonts w:eastAsia="Times New Roman" w:cs="Verdana"/>
          <w:b/>
          <w:bCs/>
          <w:caps/>
          <w:snapToGrid w:val="0"/>
          <w:szCs w:val="20"/>
          <w:lang w:val="pt-BR" w:eastAsia="es-ES"/>
        </w:rPr>
        <w:t>EXCEÇÕES</w:t>
      </w:r>
      <w:r w:rsidRPr="00D5464D">
        <w:rPr>
          <w:rFonts w:eastAsia="Times New Roman" w:cs="Verdana"/>
          <w:b/>
          <w:bCs/>
          <w:caps/>
          <w:snapToGrid w:val="0"/>
          <w:szCs w:val="20"/>
          <w:lang w:val="pt-BR" w:eastAsia="es-ES"/>
        </w:rPr>
        <w:t xml:space="preserve"> PRELIMINAR</w:t>
      </w:r>
      <w:bookmarkEnd w:id="42"/>
      <w:r w:rsidRPr="00D5464D">
        <w:rPr>
          <w:rFonts w:eastAsia="Times New Roman" w:cs="Verdana"/>
          <w:b/>
          <w:bCs/>
          <w:caps/>
          <w:snapToGrid w:val="0"/>
          <w:szCs w:val="20"/>
          <w:lang w:val="pt-BR" w:eastAsia="es-ES"/>
        </w:rPr>
        <w:t>ES</w:t>
      </w:r>
      <w:bookmarkEnd w:id="43"/>
    </w:p>
    <w:p w14:paraId="68D4676B" w14:textId="77777777" w:rsidR="00BA1ACF" w:rsidRPr="00D5464D" w:rsidRDefault="00BA1ACF" w:rsidP="00140440">
      <w:pPr>
        <w:tabs>
          <w:tab w:val="clear" w:pos="4419"/>
          <w:tab w:val="clear" w:pos="8838"/>
        </w:tabs>
        <w:jc w:val="both"/>
        <w:rPr>
          <w:rFonts w:eastAsia="Batang" w:cs="Times"/>
          <w:szCs w:val="24"/>
          <w:lang w:val="pt-BR" w:eastAsia="es-ES"/>
        </w:rPr>
      </w:pPr>
    </w:p>
    <w:p w14:paraId="37904FF5" w14:textId="73612A22" w:rsidR="000A52D5" w:rsidRPr="00D5464D" w:rsidRDefault="00C91CB1"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Em </w:t>
      </w:r>
      <w:r w:rsidR="002C330E" w:rsidRPr="00D5464D">
        <w:rPr>
          <w:rFonts w:eastAsia="Batang" w:cs="Times"/>
          <w:szCs w:val="24"/>
          <w:lang w:val="pt-BR" w:eastAsia="es-ES"/>
        </w:rPr>
        <w:t xml:space="preserve">seu escrito </w:t>
      </w:r>
      <w:r w:rsidR="000A52D5" w:rsidRPr="00D5464D">
        <w:rPr>
          <w:rFonts w:eastAsia="Batang" w:cs="Times"/>
          <w:szCs w:val="24"/>
          <w:lang w:val="pt-BR" w:eastAsia="es-ES"/>
        </w:rPr>
        <w:t>de contesta</w:t>
      </w:r>
      <w:r w:rsidR="00470ADC" w:rsidRPr="00D5464D">
        <w:rPr>
          <w:rFonts w:eastAsia="Batang" w:cs="Times"/>
          <w:szCs w:val="24"/>
          <w:lang w:val="pt-BR" w:eastAsia="es-ES"/>
        </w:rPr>
        <w:t>ção</w:t>
      </w:r>
      <w:r w:rsidR="000A52D5" w:rsidRPr="00D5464D">
        <w:rPr>
          <w:rFonts w:eastAsia="Batang" w:cs="Times"/>
          <w:szCs w:val="24"/>
          <w:lang w:val="pt-BR" w:eastAsia="es-ES"/>
        </w:rPr>
        <w:t>,</w:t>
      </w:r>
      <w:r w:rsidR="00470ADC" w:rsidRPr="00D5464D">
        <w:rPr>
          <w:rFonts w:eastAsia="Batang" w:cs="Times"/>
          <w:szCs w:val="24"/>
          <w:lang w:val="pt-BR" w:eastAsia="es-ES"/>
        </w:rPr>
        <w:t xml:space="preserve"> o </w:t>
      </w:r>
      <w:r w:rsidR="000A52D5" w:rsidRPr="00D5464D">
        <w:rPr>
          <w:rFonts w:eastAsia="Batang" w:cs="Times"/>
          <w:szCs w:val="24"/>
          <w:lang w:val="pt-BR" w:eastAsia="es-ES"/>
        </w:rPr>
        <w:t xml:space="preserve">Estado </w:t>
      </w:r>
      <w:r w:rsidR="002C330E" w:rsidRPr="00D5464D">
        <w:rPr>
          <w:rFonts w:eastAsia="Batang" w:cs="Times"/>
          <w:szCs w:val="24"/>
          <w:lang w:val="pt-BR" w:eastAsia="es-ES"/>
        </w:rPr>
        <w:t>apresentou</w:t>
      </w:r>
      <w:r w:rsidR="000A52D5" w:rsidRPr="00D5464D">
        <w:rPr>
          <w:rFonts w:eastAsia="Batang" w:cs="Times"/>
          <w:szCs w:val="24"/>
          <w:lang w:val="pt-BR" w:eastAsia="es-ES"/>
        </w:rPr>
        <w:t xml:space="preserve"> 10 </w:t>
      </w:r>
      <w:r w:rsidR="00470ADC" w:rsidRPr="00D5464D">
        <w:rPr>
          <w:rFonts w:eastAsia="Batang" w:cs="Times"/>
          <w:szCs w:val="24"/>
          <w:lang w:val="pt-BR" w:eastAsia="es-ES"/>
        </w:rPr>
        <w:t>exceções</w:t>
      </w:r>
      <w:r w:rsidR="000A52D5" w:rsidRPr="00D5464D">
        <w:rPr>
          <w:rFonts w:eastAsia="Batang" w:cs="Times"/>
          <w:szCs w:val="24"/>
          <w:lang w:val="pt-BR" w:eastAsia="es-ES"/>
        </w:rPr>
        <w:t xml:space="preserve"> preliminares </w:t>
      </w:r>
      <w:r w:rsidR="002C330E" w:rsidRPr="00D5464D">
        <w:rPr>
          <w:rFonts w:eastAsia="Batang" w:cs="Times"/>
          <w:szCs w:val="24"/>
          <w:lang w:val="pt-BR" w:eastAsia="es-ES"/>
        </w:rPr>
        <w:t>a respeito</w:t>
      </w:r>
      <w:r w:rsidR="00351C4B" w:rsidRPr="00D5464D">
        <w:rPr>
          <w:rFonts w:eastAsia="Batang" w:cs="Times"/>
          <w:szCs w:val="24"/>
          <w:lang w:val="pt-BR" w:eastAsia="es-ES"/>
        </w:rPr>
        <w:t xml:space="preserve"> de</w:t>
      </w:r>
      <w:r w:rsidR="000A52D5" w:rsidRPr="00D5464D">
        <w:rPr>
          <w:rFonts w:eastAsia="Batang" w:cs="Times"/>
          <w:szCs w:val="24"/>
          <w:lang w:val="pt-BR" w:eastAsia="es-ES"/>
        </w:rPr>
        <w:t xml:space="preserve">: </w:t>
      </w:r>
      <w:r w:rsidR="000A52D5" w:rsidRPr="00D5464D">
        <w:rPr>
          <w:rFonts w:eastAsia="Batang" w:cs="Times"/>
          <w:b/>
          <w:szCs w:val="24"/>
          <w:lang w:val="pt-BR" w:eastAsia="es-ES"/>
        </w:rPr>
        <w:t>A</w:t>
      </w:r>
      <w:r w:rsidR="000A52D5" w:rsidRPr="00D5464D">
        <w:rPr>
          <w:rFonts w:eastAsia="Batang" w:cs="Times"/>
          <w:szCs w:val="24"/>
          <w:lang w:val="pt-BR" w:eastAsia="es-ES"/>
        </w:rPr>
        <w:t>. In</w:t>
      </w:r>
      <w:r w:rsidR="00470ADC" w:rsidRPr="00D5464D">
        <w:rPr>
          <w:rFonts w:eastAsia="Batang" w:cs="Times"/>
          <w:szCs w:val="24"/>
          <w:lang w:val="pt-BR" w:eastAsia="es-ES"/>
        </w:rPr>
        <w:t>admissibilidade</w:t>
      </w:r>
      <w:r w:rsidR="000A52D5" w:rsidRPr="00D5464D">
        <w:rPr>
          <w:rFonts w:eastAsia="Batang" w:cs="Times"/>
          <w:szCs w:val="24"/>
          <w:lang w:val="pt-BR" w:eastAsia="es-ES"/>
        </w:rPr>
        <w:t xml:space="preserve"> </w:t>
      </w:r>
      <w:r w:rsidR="00470ADC" w:rsidRPr="00D5464D">
        <w:rPr>
          <w:rFonts w:eastAsia="Batang" w:cs="Times"/>
          <w:szCs w:val="24"/>
          <w:lang w:val="pt-BR" w:eastAsia="es-ES"/>
        </w:rPr>
        <w:t>d</w:t>
      </w:r>
      <w:r w:rsidR="00351C4B" w:rsidRPr="00D5464D">
        <w:rPr>
          <w:rFonts w:eastAsia="Batang" w:cs="Times"/>
          <w:szCs w:val="24"/>
          <w:lang w:val="pt-BR" w:eastAsia="es-ES"/>
        </w:rPr>
        <w:t>a</w:t>
      </w:r>
      <w:r w:rsidR="00470ADC" w:rsidRPr="00D5464D">
        <w:rPr>
          <w:rFonts w:eastAsia="Batang" w:cs="Times"/>
          <w:szCs w:val="24"/>
          <w:lang w:val="pt-BR" w:eastAsia="es-ES"/>
        </w:rPr>
        <w:t xml:space="preserve"> </w:t>
      </w:r>
      <w:r w:rsidR="002C330E" w:rsidRPr="00D5464D">
        <w:rPr>
          <w:rFonts w:eastAsia="Batang" w:cs="Times"/>
          <w:szCs w:val="24"/>
          <w:lang w:val="pt-BR" w:eastAsia="es-ES"/>
        </w:rPr>
        <w:t>submissão</w:t>
      </w:r>
      <w:r w:rsidR="000A52D5" w:rsidRPr="00D5464D">
        <w:rPr>
          <w:rFonts w:eastAsia="Batang" w:cs="Times"/>
          <w:szCs w:val="24"/>
          <w:lang w:val="pt-BR" w:eastAsia="es-ES"/>
        </w:rPr>
        <w:t xml:space="preserve"> </w:t>
      </w:r>
      <w:r w:rsidR="00470ADC" w:rsidRPr="00D5464D">
        <w:rPr>
          <w:rFonts w:eastAsia="Batang" w:cs="Times"/>
          <w:szCs w:val="24"/>
          <w:lang w:val="pt-BR" w:eastAsia="es-ES"/>
        </w:rPr>
        <w:t xml:space="preserve">do </w:t>
      </w:r>
      <w:r w:rsidR="000A52D5" w:rsidRPr="00D5464D">
        <w:rPr>
          <w:rFonts w:eastAsia="Batang" w:cs="Times"/>
          <w:szCs w:val="24"/>
          <w:lang w:val="pt-BR" w:eastAsia="es-ES"/>
        </w:rPr>
        <w:t>caso</w:t>
      </w:r>
      <w:r w:rsidR="00470ADC" w:rsidRPr="00D5464D">
        <w:rPr>
          <w:rFonts w:eastAsia="Batang" w:cs="Times"/>
          <w:szCs w:val="24"/>
          <w:lang w:val="pt-BR" w:eastAsia="es-ES"/>
        </w:rPr>
        <w:t xml:space="preserve"> à </w:t>
      </w:r>
      <w:r w:rsidR="000A52D5" w:rsidRPr="00D5464D">
        <w:rPr>
          <w:rFonts w:eastAsia="Batang" w:cs="Times"/>
          <w:szCs w:val="24"/>
          <w:lang w:val="pt-BR" w:eastAsia="es-ES"/>
        </w:rPr>
        <w:t>Corte</w:t>
      </w:r>
      <w:r w:rsidR="00470ADC" w:rsidRPr="00D5464D">
        <w:rPr>
          <w:rFonts w:eastAsia="Batang" w:cs="Times"/>
          <w:szCs w:val="24"/>
          <w:lang w:val="pt-BR" w:eastAsia="es-ES"/>
        </w:rPr>
        <w:t xml:space="preserve"> em </w:t>
      </w:r>
      <w:r w:rsidR="00E045D9" w:rsidRPr="00D5464D">
        <w:rPr>
          <w:rFonts w:eastAsia="Batang" w:cs="Times"/>
          <w:szCs w:val="24"/>
          <w:lang w:val="pt-BR" w:eastAsia="es-ES"/>
        </w:rPr>
        <w:t xml:space="preserve">virtude </w:t>
      </w:r>
      <w:r w:rsidR="00470ADC" w:rsidRPr="00D5464D">
        <w:rPr>
          <w:rFonts w:eastAsia="Batang" w:cs="Times"/>
          <w:szCs w:val="24"/>
          <w:lang w:val="pt-BR" w:eastAsia="es-ES"/>
        </w:rPr>
        <w:t xml:space="preserve">da </w:t>
      </w:r>
      <w:r w:rsidR="000A52D5" w:rsidRPr="00D5464D">
        <w:rPr>
          <w:rFonts w:eastAsia="Batang" w:cs="Times"/>
          <w:szCs w:val="24"/>
          <w:lang w:val="pt-BR" w:eastAsia="es-ES"/>
        </w:rPr>
        <w:t>publica</w:t>
      </w:r>
      <w:r w:rsidR="00470ADC" w:rsidRPr="00D5464D">
        <w:rPr>
          <w:rFonts w:eastAsia="Batang" w:cs="Times"/>
          <w:szCs w:val="24"/>
          <w:lang w:val="pt-BR" w:eastAsia="es-ES"/>
        </w:rPr>
        <w:t>ção</w:t>
      </w:r>
      <w:r w:rsidR="000A52D5" w:rsidRPr="00D5464D">
        <w:rPr>
          <w:rFonts w:eastAsia="Batang" w:cs="Times"/>
          <w:szCs w:val="24"/>
          <w:lang w:val="pt-BR" w:eastAsia="es-ES"/>
        </w:rPr>
        <w:t xml:space="preserve"> </w:t>
      </w:r>
      <w:r w:rsidR="00470ADC" w:rsidRPr="00D5464D">
        <w:rPr>
          <w:rFonts w:eastAsia="Batang" w:cs="Times"/>
          <w:szCs w:val="24"/>
          <w:lang w:val="pt-BR" w:eastAsia="es-ES"/>
        </w:rPr>
        <w:t>do</w:t>
      </w:r>
      <w:r w:rsidR="002C330E" w:rsidRPr="00D5464D">
        <w:rPr>
          <w:rFonts w:eastAsia="Batang" w:cs="Times"/>
          <w:szCs w:val="24"/>
          <w:lang w:val="pt-BR" w:eastAsia="es-ES"/>
        </w:rPr>
        <w:t xml:space="preserve">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de Mérito</w:t>
      </w:r>
      <w:r w:rsidR="000A52D5" w:rsidRPr="00D5464D">
        <w:rPr>
          <w:rFonts w:eastAsia="Batang" w:cs="Times"/>
          <w:szCs w:val="24"/>
          <w:lang w:val="pt-BR" w:eastAsia="es-ES"/>
        </w:rPr>
        <w:t xml:space="preserve"> por parte</w:t>
      </w:r>
      <w:r w:rsidR="00470ADC" w:rsidRPr="00D5464D">
        <w:rPr>
          <w:rFonts w:eastAsia="Batang" w:cs="Times"/>
          <w:szCs w:val="24"/>
          <w:lang w:val="pt-BR" w:eastAsia="es-ES"/>
        </w:rPr>
        <w:t xml:space="preserve"> da Comissão</w:t>
      </w:r>
      <w:r w:rsidR="000A52D5" w:rsidRPr="00D5464D">
        <w:rPr>
          <w:rFonts w:eastAsia="Batang" w:cs="Times"/>
          <w:szCs w:val="24"/>
          <w:lang w:val="pt-BR" w:eastAsia="es-ES"/>
        </w:rPr>
        <w:t xml:space="preserve">; </w:t>
      </w:r>
      <w:r w:rsidR="000A52D5" w:rsidRPr="00D5464D">
        <w:rPr>
          <w:rFonts w:eastAsia="Batang" w:cs="Times"/>
          <w:b/>
          <w:szCs w:val="24"/>
          <w:lang w:val="pt-BR" w:eastAsia="es-ES"/>
        </w:rPr>
        <w:t>B</w:t>
      </w:r>
      <w:r w:rsidR="000A52D5" w:rsidRPr="00D5464D">
        <w:rPr>
          <w:rFonts w:eastAsia="Batang" w:cs="Times"/>
          <w:szCs w:val="24"/>
          <w:lang w:val="pt-BR" w:eastAsia="es-ES"/>
        </w:rPr>
        <w:t>. In</w:t>
      </w:r>
      <w:r w:rsidR="00470ADC" w:rsidRPr="00D5464D">
        <w:rPr>
          <w:rFonts w:eastAsia="Batang" w:cs="Times"/>
          <w:szCs w:val="24"/>
          <w:lang w:val="pt-BR" w:eastAsia="es-ES"/>
        </w:rPr>
        <w:t>competência</w:t>
      </w:r>
      <w:r w:rsidR="000A52D5" w:rsidRPr="00D5464D">
        <w:rPr>
          <w:rFonts w:eastAsia="Batang" w:cs="Times"/>
          <w:szCs w:val="24"/>
          <w:lang w:val="pt-BR" w:eastAsia="es-ES"/>
        </w:rPr>
        <w:t xml:space="preserve"> </w:t>
      </w:r>
      <w:r w:rsidR="00477681" w:rsidRPr="00D5464D">
        <w:rPr>
          <w:rFonts w:eastAsia="Batang" w:cs="Times"/>
          <w:i/>
          <w:szCs w:val="24"/>
          <w:lang w:val="pt-BR" w:eastAsia="es-ES"/>
        </w:rPr>
        <w:t>ratione personae</w:t>
      </w:r>
      <w:r w:rsidR="000A52D5" w:rsidRPr="00D5464D">
        <w:rPr>
          <w:rFonts w:eastAsia="Batang" w:cs="Times"/>
          <w:szCs w:val="24"/>
          <w:lang w:val="pt-BR" w:eastAsia="es-ES"/>
        </w:rPr>
        <w:t xml:space="preserve"> </w:t>
      </w:r>
      <w:r w:rsidR="002C330E" w:rsidRPr="00D5464D">
        <w:rPr>
          <w:rFonts w:eastAsia="Batang" w:cs="Times"/>
          <w:szCs w:val="24"/>
          <w:lang w:val="pt-BR" w:eastAsia="es-ES"/>
        </w:rPr>
        <w:t>a respeito</w:t>
      </w:r>
      <w:r w:rsidR="000A52D5" w:rsidRPr="00D5464D">
        <w:rPr>
          <w:rFonts w:eastAsia="Batang" w:cs="Times"/>
          <w:szCs w:val="24"/>
          <w:lang w:val="pt-BR" w:eastAsia="es-ES"/>
        </w:rPr>
        <w:t xml:space="preserve"> de </w:t>
      </w:r>
      <w:r w:rsidR="002C330E" w:rsidRPr="00D5464D">
        <w:rPr>
          <w:rFonts w:eastAsia="Batang" w:cs="Times"/>
          <w:szCs w:val="24"/>
          <w:lang w:val="pt-BR" w:eastAsia="es-ES"/>
        </w:rPr>
        <w:t>suposta</w:t>
      </w:r>
      <w:r w:rsidR="000A52D5" w:rsidRPr="00D5464D">
        <w:rPr>
          <w:rFonts w:eastAsia="Batang" w:cs="Times"/>
          <w:szCs w:val="24"/>
          <w:lang w:val="pt-BR" w:eastAsia="es-ES"/>
        </w:rPr>
        <w:t xml:space="preserve">s </w:t>
      </w:r>
      <w:r w:rsidR="00E045D9" w:rsidRPr="00D5464D">
        <w:rPr>
          <w:rFonts w:eastAsia="Batang" w:cs="Times"/>
          <w:szCs w:val="24"/>
          <w:lang w:val="pt-BR" w:eastAsia="es-ES"/>
        </w:rPr>
        <w:t>vítima</w:t>
      </w:r>
      <w:r w:rsidR="000A52D5" w:rsidRPr="00D5464D">
        <w:rPr>
          <w:rFonts w:eastAsia="Batang" w:cs="Times"/>
          <w:szCs w:val="24"/>
          <w:lang w:val="pt-BR" w:eastAsia="es-ES"/>
        </w:rPr>
        <w:t>s n</w:t>
      </w:r>
      <w:r w:rsidR="00351C4B" w:rsidRPr="00D5464D">
        <w:rPr>
          <w:rFonts w:eastAsia="Batang" w:cs="Times"/>
          <w:szCs w:val="24"/>
          <w:lang w:val="pt-BR" w:eastAsia="es-ES"/>
        </w:rPr>
        <w:t>ã</w:t>
      </w:r>
      <w:r w:rsidR="000A52D5" w:rsidRPr="00D5464D">
        <w:rPr>
          <w:rFonts w:eastAsia="Batang" w:cs="Times"/>
          <w:szCs w:val="24"/>
          <w:lang w:val="pt-BR" w:eastAsia="es-ES"/>
        </w:rPr>
        <w:t>o identificadas</w:t>
      </w:r>
      <w:r w:rsidR="00351C4B" w:rsidRPr="00D5464D">
        <w:rPr>
          <w:rFonts w:eastAsia="Batang" w:cs="Times"/>
          <w:szCs w:val="24"/>
          <w:lang w:val="pt-BR" w:eastAsia="es-ES"/>
        </w:rPr>
        <w:t>;</w:t>
      </w:r>
      <w:r w:rsidR="000A52D5" w:rsidRPr="00D5464D">
        <w:rPr>
          <w:rFonts w:eastAsia="Batang" w:cs="Times"/>
          <w:szCs w:val="24"/>
          <w:lang w:val="pt-BR" w:eastAsia="es-ES"/>
        </w:rPr>
        <w:t xml:space="preserve"> identificadas </w:t>
      </w:r>
      <w:r w:rsidR="002C330E" w:rsidRPr="00D5464D">
        <w:rPr>
          <w:rFonts w:eastAsia="Batang" w:cs="Times"/>
          <w:szCs w:val="24"/>
          <w:lang w:val="pt-BR" w:eastAsia="es-ES"/>
        </w:rPr>
        <w:t>mas</w:t>
      </w:r>
      <w:r w:rsidR="000A52D5" w:rsidRPr="00D5464D">
        <w:rPr>
          <w:rFonts w:eastAsia="Batang" w:cs="Times"/>
          <w:szCs w:val="24"/>
          <w:lang w:val="pt-BR" w:eastAsia="es-ES"/>
        </w:rPr>
        <w:t xml:space="preserve"> que n</w:t>
      </w:r>
      <w:r w:rsidR="00351C4B" w:rsidRPr="00D5464D">
        <w:rPr>
          <w:rFonts w:eastAsia="Batang" w:cs="Times"/>
          <w:szCs w:val="24"/>
          <w:lang w:val="pt-BR" w:eastAsia="es-ES"/>
        </w:rPr>
        <w:t>ã</w:t>
      </w:r>
      <w:r w:rsidR="000A52D5" w:rsidRPr="00D5464D">
        <w:rPr>
          <w:rFonts w:eastAsia="Batang" w:cs="Times"/>
          <w:szCs w:val="24"/>
          <w:lang w:val="pt-BR" w:eastAsia="es-ES"/>
        </w:rPr>
        <w:t xml:space="preserve">o </w:t>
      </w:r>
      <w:r w:rsidR="00351C4B" w:rsidRPr="00D5464D">
        <w:rPr>
          <w:rFonts w:eastAsia="Batang" w:cs="Times"/>
          <w:szCs w:val="24"/>
          <w:lang w:val="pt-BR" w:eastAsia="es-ES"/>
        </w:rPr>
        <w:t xml:space="preserve">concederam procuração; que não </w:t>
      </w:r>
      <w:r w:rsidR="00361FA1" w:rsidRPr="00D5464D">
        <w:rPr>
          <w:rFonts w:eastAsia="Batang" w:cs="Times"/>
          <w:szCs w:val="24"/>
          <w:lang w:val="pt-BR" w:eastAsia="es-ES"/>
        </w:rPr>
        <w:t xml:space="preserve">figuravam </w:t>
      </w:r>
      <w:r w:rsidR="00E045D9" w:rsidRPr="00D5464D">
        <w:rPr>
          <w:rFonts w:eastAsia="Batang" w:cs="Times"/>
          <w:szCs w:val="24"/>
          <w:lang w:val="pt-BR" w:eastAsia="es-ES"/>
        </w:rPr>
        <w:t xml:space="preserve">no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de Mérito</w:t>
      </w:r>
      <w:r w:rsidR="00470ADC" w:rsidRPr="00D5464D">
        <w:rPr>
          <w:rFonts w:eastAsia="Batang" w:cs="Times"/>
          <w:szCs w:val="24"/>
          <w:lang w:val="pt-BR" w:eastAsia="es-ES"/>
        </w:rPr>
        <w:t xml:space="preserve"> da Comissão</w:t>
      </w:r>
      <w:r w:rsidR="000A52D5" w:rsidRPr="00D5464D">
        <w:rPr>
          <w:rFonts w:eastAsia="Batang" w:cs="Times"/>
          <w:szCs w:val="24"/>
          <w:lang w:val="pt-BR" w:eastAsia="es-ES"/>
        </w:rPr>
        <w:t xml:space="preserve"> o</w:t>
      </w:r>
      <w:r w:rsidR="00351C4B" w:rsidRPr="00D5464D">
        <w:rPr>
          <w:rFonts w:eastAsia="Batang" w:cs="Times"/>
          <w:szCs w:val="24"/>
          <w:lang w:val="pt-BR" w:eastAsia="es-ES"/>
        </w:rPr>
        <w:t>u</w:t>
      </w:r>
      <w:r w:rsidR="00976FE4" w:rsidRPr="00D5464D">
        <w:rPr>
          <w:rFonts w:eastAsia="Batang" w:cs="Times"/>
          <w:szCs w:val="24"/>
          <w:lang w:val="pt-BR" w:eastAsia="es-ES"/>
        </w:rPr>
        <w:t xml:space="preserve"> que</w:t>
      </w:r>
      <w:r w:rsidR="00350187" w:rsidRPr="00D5464D">
        <w:rPr>
          <w:rFonts w:eastAsia="Batang" w:cs="Times"/>
          <w:szCs w:val="24"/>
          <w:lang w:val="pt-BR" w:eastAsia="es-ES"/>
        </w:rPr>
        <w:t xml:space="preserve"> não estavam</w:t>
      </w:r>
      <w:r w:rsidR="00976FE4" w:rsidRPr="00D5464D">
        <w:rPr>
          <w:rFonts w:eastAsia="Batang" w:cs="Times"/>
          <w:szCs w:val="24"/>
          <w:lang w:val="pt-BR" w:eastAsia="es-ES"/>
        </w:rPr>
        <w:t xml:space="preserve"> </w:t>
      </w:r>
      <w:r w:rsidR="000A52D5" w:rsidRPr="00D5464D">
        <w:rPr>
          <w:rFonts w:eastAsia="Batang" w:cs="Times"/>
          <w:szCs w:val="24"/>
          <w:lang w:val="pt-BR" w:eastAsia="es-ES"/>
        </w:rPr>
        <w:t>relacionadas</w:t>
      </w:r>
      <w:r w:rsidR="00470ADC" w:rsidRPr="00D5464D">
        <w:rPr>
          <w:rFonts w:eastAsia="Batang" w:cs="Times"/>
          <w:szCs w:val="24"/>
          <w:lang w:val="pt-BR" w:eastAsia="es-ES"/>
        </w:rPr>
        <w:t xml:space="preserve"> </w:t>
      </w:r>
      <w:r w:rsidR="00351C4B" w:rsidRPr="00D5464D">
        <w:rPr>
          <w:rFonts w:eastAsia="Batang" w:cs="Times"/>
          <w:szCs w:val="24"/>
          <w:lang w:val="pt-BR" w:eastAsia="es-ES"/>
        </w:rPr>
        <w:t>a</w:t>
      </w:r>
      <w:r w:rsidR="002C330E" w:rsidRPr="00D5464D">
        <w:rPr>
          <w:rFonts w:eastAsia="Batang" w:cs="Times"/>
          <w:szCs w:val="24"/>
          <w:lang w:val="pt-BR" w:eastAsia="es-ES"/>
        </w:rPr>
        <w:t>os fatos</w:t>
      </w:r>
      <w:r w:rsidR="000A52D5" w:rsidRPr="00D5464D">
        <w:rPr>
          <w:rFonts w:eastAsia="Batang" w:cs="Times"/>
          <w:szCs w:val="24"/>
          <w:lang w:val="pt-BR" w:eastAsia="es-ES"/>
        </w:rPr>
        <w:t xml:space="preserve"> </w:t>
      </w:r>
      <w:r w:rsidR="00470ADC" w:rsidRPr="00D5464D">
        <w:rPr>
          <w:rFonts w:eastAsia="Batang" w:cs="Times"/>
          <w:szCs w:val="24"/>
          <w:lang w:val="pt-BR" w:eastAsia="es-ES"/>
        </w:rPr>
        <w:t xml:space="preserve">do </w:t>
      </w:r>
      <w:r w:rsidR="000A52D5" w:rsidRPr="00D5464D">
        <w:rPr>
          <w:rFonts w:eastAsia="Batang" w:cs="Times"/>
          <w:szCs w:val="24"/>
          <w:lang w:val="pt-BR" w:eastAsia="es-ES"/>
        </w:rPr>
        <w:t xml:space="preserve">caso; </w:t>
      </w:r>
      <w:r w:rsidR="000A52D5" w:rsidRPr="00D5464D">
        <w:rPr>
          <w:rFonts w:eastAsia="Batang" w:cs="Times"/>
          <w:b/>
          <w:szCs w:val="24"/>
          <w:lang w:val="pt-BR" w:eastAsia="es-ES"/>
        </w:rPr>
        <w:t>C</w:t>
      </w:r>
      <w:r w:rsidR="000A52D5" w:rsidRPr="00D5464D">
        <w:rPr>
          <w:rFonts w:eastAsia="Batang" w:cs="Times"/>
          <w:szCs w:val="24"/>
          <w:lang w:val="pt-BR" w:eastAsia="es-ES"/>
        </w:rPr>
        <w:t>. In</w:t>
      </w:r>
      <w:r w:rsidR="00470ADC" w:rsidRPr="00D5464D">
        <w:rPr>
          <w:rFonts w:eastAsia="Batang" w:cs="Times"/>
          <w:szCs w:val="24"/>
          <w:lang w:val="pt-BR" w:eastAsia="es-ES"/>
        </w:rPr>
        <w:t>competência</w:t>
      </w:r>
      <w:r w:rsidR="000A52D5" w:rsidRPr="00D5464D">
        <w:rPr>
          <w:rFonts w:eastAsia="Batang" w:cs="Times"/>
          <w:szCs w:val="24"/>
          <w:lang w:val="pt-BR" w:eastAsia="es-ES"/>
        </w:rPr>
        <w:t xml:space="preserve"> </w:t>
      </w:r>
      <w:r w:rsidR="00477681" w:rsidRPr="00D5464D">
        <w:rPr>
          <w:rFonts w:eastAsia="Batang" w:cs="Times"/>
          <w:i/>
          <w:szCs w:val="24"/>
          <w:lang w:val="pt-BR" w:eastAsia="es-ES"/>
        </w:rPr>
        <w:t>ratione personae</w:t>
      </w:r>
      <w:r w:rsidR="000A52D5" w:rsidRPr="00D5464D">
        <w:rPr>
          <w:rFonts w:eastAsia="Batang" w:cs="Times"/>
          <w:szCs w:val="24"/>
          <w:lang w:val="pt-BR" w:eastAsia="es-ES"/>
        </w:rPr>
        <w:t xml:space="preserve"> </w:t>
      </w:r>
      <w:r w:rsidR="00351C4B" w:rsidRPr="00D5464D">
        <w:rPr>
          <w:rFonts w:eastAsia="Batang" w:cs="Times"/>
          <w:szCs w:val="24"/>
          <w:lang w:val="pt-BR" w:eastAsia="es-ES"/>
        </w:rPr>
        <w:t>sobre</w:t>
      </w:r>
      <w:r w:rsidR="000A52D5" w:rsidRPr="00D5464D">
        <w:rPr>
          <w:rFonts w:eastAsia="Batang" w:cs="Times"/>
          <w:szCs w:val="24"/>
          <w:lang w:val="pt-BR" w:eastAsia="es-ES"/>
        </w:rPr>
        <w:t xml:space="preserve"> viola</w:t>
      </w:r>
      <w:r w:rsidR="00470ADC" w:rsidRPr="00D5464D">
        <w:rPr>
          <w:rFonts w:eastAsia="Batang" w:cs="Times"/>
          <w:szCs w:val="24"/>
          <w:lang w:val="pt-BR" w:eastAsia="es-ES"/>
        </w:rPr>
        <w:t xml:space="preserve">ções em </w:t>
      </w:r>
      <w:r w:rsidR="00230C71" w:rsidRPr="00D5464D">
        <w:rPr>
          <w:rFonts w:eastAsia="Batang" w:cs="Times"/>
          <w:szCs w:val="24"/>
          <w:lang w:val="pt-BR" w:eastAsia="es-ES"/>
        </w:rPr>
        <w:t>abstrat</w:t>
      </w:r>
      <w:r w:rsidR="000A52D5" w:rsidRPr="00D5464D">
        <w:rPr>
          <w:rFonts w:eastAsia="Batang" w:cs="Times"/>
          <w:szCs w:val="24"/>
          <w:lang w:val="pt-BR" w:eastAsia="es-ES"/>
        </w:rPr>
        <w:t xml:space="preserve">o; </w:t>
      </w:r>
      <w:r w:rsidR="000A52D5" w:rsidRPr="00D5464D">
        <w:rPr>
          <w:rFonts w:eastAsia="Batang" w:cs="Times"/>
          <w:b/>
          <w:szCs w:val="24"/>
          <w:lang w:val="pt-BR" w:eastAsia="es-ES"/>
        </w:rPr>
        <w:t>D</w:t>
      </w:r>
      <w:r w:rsidR="000A52D5" w:rsidRPr="00D5464D">
        <w:rPr>
          <w:rFonts w:eastAsia="Batang" w:cs="Times"/>
          <w:szCs w:val="24"/>
          <w:lang w:val="pt-BR" w:eastAsia="es-ES"/>
        </w:rPr>
        <w:t>. In</w:t>
      </w:r>
      <w:r w:rsidR="00470ADC" w:rsidRPr="00D5464D">
        <w:rPr>
          <w:rFonts w:eastAsia="Batang" w:cs="Times"/>
          <w:szCs w:val="24"/>
          <w:lang w:val="pt-BR" w:eastAsia="es-ES"/>
        </w:rPr>
        <w:t>competência</w:t>
      </w:r>
      <w:r w:rsidR="000A52D5" w:rsidRPr="00D5464D">
        <w:rPr>
          <w:rFonts w:eastAsia="Batang" w:cs="Times"/>
          <w:szCs w:val="24"/>
          <w:lang w:val="pt-BR" w:eastAsia="es-ES"/>
        </w:rPr>
        <w:t xml:space="preserve"> </w:t>
      </w:r>
      <w:r w:rsidR="000A52D5" w:rsidRPr="00D5464D">
        <w:rPr>
          <w:rFonts w:eastAsia="Batang" w:cs="Times"/>
          <w:i/>
          <w:szCs w:val="24"/>
          <w:lang w:val="pt-BR" w:eastAsia="es-ES"/>
        </w:rPr>
        <w:t>ratione temporis</w:t>
      </w:r>
      <w:r w:rsidR="000A52D5" w:rsidRPr="00D5464D">
        <w:rPr>
          <w:rFonts w:eastAsia="Batang" w:cs="Times"/>
          <w:szCs w:val="24"/>
          <w:lang w:val="pt-BR" w:eastAsia="es-ES"/>
        </w:rPr>
        <w:t xml:space="preserve"> </w:t>
      </w:r>
      <w:r w:rsidR="002C330E" w:rsidRPr="00D5464D">
        <w:rPr>
          <w:rFonts w:eastAsia="Batang" w:cs="Times"/>
          <w:szCs w:val="24"/>
          <w:lang w:val="pt-BR" w:eastAsia="es-ES"/>
        </w:rPr>
        <w:t>a respeito</w:t>
      </w:r>
      <w:r w:rsidR="000A52D5" w:rsidRPr="00D5464D">
        <w:rPr>
          <w:rFonts w:eastAsia="Batang" w:cs="Times"/>
          <w:szCs w:val="24"/>
          <w:lang w:val="pt-BR" w:eastAsia="es-ES"/>
        </w:rPr>
        <w:t xml:space="preserve"> de </w:t>
      </w:r>
      <w:r w:rsidR="002C330E" w:rsidRPr="00D5464D">
        <w:rPr>
          <w:rFonts w:eastAsia="Batang" w:cs="Times"/>
          <w:szCs w:val="24"/>
          <w:lang w:val="pt-BR" w:eastAsia="es-ES"/>
        </w:rPr>
        <w:t>fatos</w:t>
      </w:r>
      <w:r w:rsidR="000A52D5" w:rsidRPr="00D5464D">
        <w:rPr>
          <w:rFonts w:eastAsia="Batang" w:cs="Times"/>
          <w:szCs w:val="24"/>
          <w:lang w:val="pt-BR" w:eastAsia="es-ES"/>
        </w:rPr>
        <w:t xml:space="preserve"> anteriores</w:t>
      </w:r>
      <w:r w:rsidR="00470ADC" w:rsidRPr="00D5464D">
        <w:rPr>
          <w:rFonts w:eastAsia="Batang" w:cs="Times"/>
          <w:szCs w:val="24"/>
          <w:lang w:val="pt-BR" w:eastAsia="es-ES"/>
        </w:rPr>
        <w:t xml:space="preserve"> à data</w:t>
      </w:r>
      <w:r w:rsidR="000A52D5" w:rsidRPr="00D5464D">
        <w:rPr>
          <w:rFonts w:eastAsia="Batang" w:cs="Times"/>
          <w:szCs w:val="24"/>
          <w:lang w:val="pt-BR" w:eastAsia="es-ES"/>
        </w:rPr>
        <w:t xml:space="preserve"> de re</w:t>
      </w:r>
      <w:r w:rsidR="00470ADC" w:rsidRPr="00D5464D">
        <w:rPr>
          <w:rFonts w:eastAsia="Batang" w:cs="Times"/>
          <w:szCs w:val="24"/>
          <w:lang w:val="pt-BR" w:eastAsia="es-ES"/>
        </w:rPr>
        <w:t xml:space="preserve">conhecimento da </w:t>
      </w:r>
      <w:r w:rsidR="002C330E" w:rsidRPr="00D5464D">
        <w:rPr>
          <w:rFonts w:eastAsia="Batang" w:cs="Times"/>
          <w:szCs w:val="24"/>
          <w:lang w:val="pt-BR" w:eastAsia="es-ES"/>
        </w:rPr>
        <w:t>jurisdição</w:t>
      </w:r>
      <w:r w:rsidR="00470ADC" w:rsidRPr="00D5464D">
        <w:rPr>
          <w:rFonts w:eastAsia="Batang" w:cs="Times"/>
          <w:szCs w:val="24"/>
          <w:lang w:val="pt-BR" w:eastAsia="es-ES"/>
        </w:rPr>
        <w:t xml:space="preserve"> da </w:t>
      </w:r>
      <w:r w:rsidR="000A52D5" w:rsidRPr="00D5464D">
        <w:rPr>
          <w:rFonts w:eastAsia="Batang" w:cs="Times"/>
          <w:szCs w:val="24"/>
          <w:lang w:val="pt-BR" w:eastAsia="es-ES"/>
        </w:rPr>
        <w:t xml:space="preserve">Corte por parte </w:t>
      </w:r>
      <w:r w:rsidR="00470ADC" w:rsidRPr="00D5464D">
        <w:rPr>
          <w:rFonts w:eastAsia="Batang" w:cs="Times"/>
          <w:szCs w:val="24"/>
          <w:lang w:val="pt-BR" w:eastAsia="es-ES"/>
        </w:rPr>
        <w:t xml:space="preserve">do </w:t>
      </w:r>
      <w:r w:rsidR="000A52D5" w:rsidRPr="00D5464D">
        <w:rPr>
          <w:rFonts w:eastAsia="Batang" w:cs="Times"/>
          <w:szCs w:val="24"/>
          <w:lang w:val="pt-BR" w:eastAsia="es-ES"/>
        </w:rPr>
        <w:t xml:space="preserve">Estado; </w:t>
      </w:r>
      <w:r w:rsidR="000A52D5" w:rsidRPr="00D5464D">
        <w:rPr>
          <w:rFonts w:eastAsia="Batang" w:cs="Times"/>
          <w:b/>
          <w:szCs w:val="24"/>
          <w:lang w:val="pt-BR" w:eastAsia="es-ES"/>
        </w:rPr>
        <w:t>E</w:t>
      </w:r>
      <w:r w:rsidR="000A52D5" w:rsidRPr="00D5464D">
        <w:rPr>
          <w:rFonts w:eastAsia="Batang" w:cs="Times"/>
          <w:szCs w:val="24"/>
          <w:lang w:val="pt-BR" w:eastAsia="es-ES"/>
        </w:rPr>
        <w:t>. In</w:t>
      </w:r>
      <w:r w:rsidR="00470ADC" w:rsidRPr="00D5464D">
        <w:rPr>
          <w:rFonts w:eastAsia="Batang" w:cs="Times"/>
          <w:szCs w:val="24"/>
          <w:lang w:val="pt-BR" w:eastAsia="es-ES"/>
        </w:rPr>
        <w:t>competência</w:t>
      </w:r>
      <w:r w:rsidR="000A52D5" w:rsidRPr="00D5464D">
        <w:rPr>
          <w:rFonts w:eastAsia="Batang" w:cs="Times"/>
          <w:szCs w:val="24"/>
          <w:lang w:val="pt-BR" w:eastAsia="es-ES"/>
        </w:rPr>
        <w:t xml:space="preserve"> </w:t>
      </w:r>
      <w:r w:rsidR="000A52D5" w:rsidRPr="00D5464D">
        <w:rPr>
          <w:rFonts w:eastAsia="Batang" w:cs="Times"/>
          <w:i/>
          <w:szCs w:val="24"/>
          <w:lang w:val="pt-BR" w:eastAsia="es-ES"/>
        </w:rPr>
        <w:t>ratione temporis</w:t>
      </w:r>
      <w:r w:rsidR="000A52D5" w:rsidRPr="00D5464D">
        <w:rPr>
          <w:rFonts w:eastAsia="Batang" w:cs="Times"/>
          <w:szCs w:val="24"/>
          <w:lang w:val="pt-BR" w:eastAsia="es-ES"/>
        </w:rPr>
        <w:t xml:space="preserve"> sobre </w:t>
      </w:r>
      <w:r w:rsidR="002C330E" w:rsidRPr="00D5464D">
        <w:rPr>
          <w:rFonts w:eastAsia="Batang" w:cs="Times"/>
          <w:szCs w:val="24"/>
          <w:lang w:val="pt-BR" w:eastAsia="es-ES"/>
        </w:rPr>
        <w:t>fatos</w:t>
      </w:r>
      <w:r w:rsidR="000A52D5" w:rsidRPr="00D5464D">
        <w:rPr>
          <w:rFonts w:eastAsia="Batang" w:cs="Times"/>
          <w:szCs w:val="24"/>
          <w:lang w:val="pt-BR" w:eastAsia="es-ES"/>
        </w:rPr>
        <w:t xml:space="preserve"> anteriores</w:t>
      </w:r>
      <w:r w:rsidR="00470ADC" w:rsidRPr="00D5464D">
        <w:rPr>
          <w:rFonts w:eastAsia="Batang" w:cs="Times"/>
          <w:szCs w:val="24"/>
          <w:lang w:val="pt-BR" w:eastAsia="es-ES"/>
        </w:rPr>
        <w:t xml:space="preserve"> à </w:t>
      </w:r>
      <w:r w:rsidR="00351C4B" w:rsidRPr="00D5464D">
        <w:rPr>
          <w:rFonts w:eastAsia="Batang" w:cs="Times"/>
          <w:szCs w:val="24"/>
          <w:lang w:val="pt-BR" w:eastAsia="es-ES"/>
        </w:rPr>
        <w:t>adesão</w:t>
      </w:r>
      <w:r w:rsidR="000A52D5" w:rsidRPr="00D5464D">
        <w:rPr>
          <w:rFonts w:eastAsia="Batang" w:cs="Times"/>
          <w:szCs w:val="24"/>
          <w:lang w:val="pt-BR" w:eastAsia="es-ES"/>
        </w:rPr>
        <w:t xml:space="preserve"> </w:t>
      </w:r>
      <w:r w:rsidR="00470ADC" w:rsidRPr="00D5464D">
        <w:rPr>
          <w:rFonts w:eastAsia="Batang" w:cs="Times"/>
          <w:szCs w:val="24"/>
          <w:lang w:val="pt-BR" w:eastAsia="es-ES"/>
        </w:rPr>
        <w:t xml:space="preserve">do </w:t>
      </w:r>
      <w:r w:rsidR="000A52D5" w:rsidRPr="00D5464D">
        <w:rPr>
          <w:rFonts w:eastAsia="Batang" w:cs="Times"/>
          <w:szCs w:val="24"/>
          <w:lang w:val="pt-BR" w:eastAsia="es-ES"/>
        </w:rPr>
        <w:t>Estado</w:t>
      </w:r>
      <w:r w:rsidR="00470ADC" w:rsidRPr="00D5464D">
        <w:rPr>
          <w:rFonts w:eastAsia="Batang" w:cs="Times"/>
          <w:szCs w:val="24"/>
          <w:lang w:val="pt-BR" w:eastAsia="es-ES"/>
        </w:rPr>
        <w:t xml:space="preserve"> à </w:t>
      </w:r>
      <w:r w:rsidR="000A52D5" w:rsidRPr="00D5464D">
        <w:rPr>
          <w:rFonts w:eastAsia="Batang" w:cs="Times"/>
          <w:szCs w:val="24"/>
          <w:lang w:val="pt-BR" w:eastAsia="es-ES"/>
        </w:rPr>
        <w:t>Conven</w:t>
      </w:r>
      <w:r w:rsidR="00470ADC" w:rsidRPr="00D5464D">
        <w:rPr>
          <w:rFonts w:eastAsia="Batang" w:cs="Times"/>
          <w:szCs w:val="24"/>
          <w:lang w:val="pt-BR" w:eastAsia="es-ES"/>
        </w:rPr>
        <w:t>ção</w:t>
      </w:r>
      <w:r w:rsidR="000A52D5" w:rsidRPr="00D5464D">
        <w:rPr>
          <w:rFonts w:eastAsia="Batang" w:cs="Times"/>
          <w:szCs w:val="24"/>
          <w:lang w:val="pt-BR" w:eastAsia="es-ES"/>
        </w:rPr>
        <w:t xml:space="preserve"> Americana; </w:t>
      </w:r>
      <w:r w:rsidR="000A52D5" w:rsidRPr="00D5464D">
        <w:rPr>
          <w:rFonts w:eastAsia="Batang" w:cs="Times"/>
          <w:b/>
          <w:szCs w:val="24"/>
          <w:lang w:val="pt-BR" w:eastAsia="es-ES"/>
        </w:rPr>
        <w:t>F</w:t>
      </w:r>
      <w:r w:rsidR="000A52D5" w:rsidRPr="00D5464D">
        <w:rPr>
          <w:rFonts w:eastAsia="Batang" w:cs="Times"/>
          <w:szCs w:val="24"/>
          <w:lang w:val="pt-BR" w:eastAsia="es-ES"/>
        </w:rPr>
        <w:t>. In</w:t>
      </w:r>
      <w:r w:rsidR="00470ADC" w:rsidRPr="00D5464D">
        <w:rPr>
          <w:rFonts w:eastAsia="Batang" w:cs="Times"/>
          <w:szCs w:val="24"/>
          <w:lang w:val="pt-BR" w:eastAsia="es-ES"/>
        </w:rPr>
        <w:t>competência</w:t>
      </w:r>
      <w:r w:rsidR="000A52D5" w:rsidRPr="00D5464D">
        <w:rPr>
          <w:rFonts w:eastAsia="Batang" w:cs="Times"/>
          <w:szCs w:val="24"/>
          <w:lang w:val="pt-BR" w:eastAsia="es-ES"/>
        </w:rPr>
        <w:t xml:space="preserve"> </w:t>
      </w:r>
      <w:r w:rsidR="000A52D5" w:rsidRPr="00D5464D">
        <w:rPr>
          <w:rFonts w:eastAsia="Batang" w:cs="Times"/>
          <w:i/>
          <w:szCs w:val="24"/>
          <w:lang w:val="pt-BR" w:eastAsia="es-ES"/>
        </w:rPr>
        <w:t>ratione materiae</w:t>
      </w:r>
      <w:r w:rsidR="000A52D5" w:rsidRPr="00D5464D">
        <w:rPr>
          <w:rFonts w:eastAsia="Batang" w:cs="Times"/>
          <w:szCs w:val="24"/>
          <w:lang w:val="pt-BR" w:eastAsia="es-ES"/>
        </w:rPr>
        <w:t xml:space="preserve"> por viola</w:t>
      </w:r>
      <w:r w:rsidR="00470ADC" w:rsidRPr="00D5464D">
        <w:rPr>
          <w:rFonts w:eastAsia="Batang" w:cs="Times"/>
          <w:szCs w:val="24"/>
          <w:lang w:val="pt-BR" w:eastAsia="es-ES"/>
        </w:rPr>
        <w:t xml:space="preserve">ção ao </w:t>
      </w:r>
      <w:r w:rsidR="002C330E" w:rsidRPr="00D5464D">
        <w:rPr>
          <w:rFonts w:eastAsia="Batang" w:cs="Times"/>
          <w:szCs w:val="24"/>
          <w:lang w:val="pt-BR" w:eastAsia="es-ES"/>
        </w:rPr>
        <w:t>princípio</w:t>
      </w:r>
      <w:r w:rsidR="000A52D5" w:rsidRPr="00D5464D">
        <w:rPr>
          <w:rFonts w:eastAsia="Batang" w:cs="Times"/>
          <w:szCs w:val="24"/>
          <w:lang w:val="pt-BR" w:eastAsia="es-ES"/>
        </w:rPr>
        <w:t xml:space="preserve"> d</w:t>
      </w:r>
      <w:r w:rsidR="006B3D88" w:rsidRPr="00D5464D">
        <w:rPr>
          <w:rFonts w:eastAsia="Batang" w:cs="Times"/>
          <w:szCs w:val="24"/>
          <w:lang w:val="pt-BR" w:eastAsia="es-ES"/>
        </w:rPr>
        <w:t>a</w:t>
      </w:r>
      <w:r w:rsidR="000A52D5" w:rsidRPr="00D5464D">
        <w:rPr>
          <w:rFonts w:eastAsia="Batang" w:cs="Times"/>
          <w:szCs w:val="24"/>
          <w:lang w:val="pt-BR" w:eastAsia="es-ES"/>
        </w:rPr>
        <w:t xml:space="preserve"> </w:t>
      </w:r>
      <w:r w:rsidR="00C16021" w:rsidRPr="00D5464D">
        <w:rPr>
          <w:rFonts w:eastAsia="Batang" w:cs="Times"/>
          <w:szCs w:val="24"/>
          <w:lang w:val="pt-BR" w:eastAsia="es-ES"/>
        </w:rPr>
        <w:t>subsidiariedade</w:t>
      </w:r>
      <w:r w:rsidR="000A52D5" w:rsidRPr="00D5464D">
        <w:rPr>
          <w:rFonts w:eastAsia="Batang" w:cs="Times"/>
          <w:szCs w:val="24"/>
          <w:lang w:val="pt-BR" w:eastAsia="es-ES"/>
        </w:rPr>
        <w:t xml:space="preserve"> </w:t>
      </w:r>
      <w:r w:rsidR="00470ADC" w:rsidRPr="00D5464D">
        <w:rPr>
          <w:rFonts w:eastAsia="Batang" w:cs="Times"/>
          <w:szCs w:val="24"/>
          <w:lang w:val="pt-BR" w:eastAsia="es-ES"/>
        </w:rPr>
        <w:t xml:space="preserve">do </w:t>
      </w:r>
      <w:r w:rsidR="000A52D5" w:rsidRPr="00D5464D">
        <w:rPr>
          <w:rFonts w:eastAsia="Batang" w:cs="Times"/>
          <w:szCs w:val="24"/>
          <w:lang w:val="pt-BR" w:eastAsia="es-ES"/>
        </w:rPr>
        <w:t>Sistema Interamericano (fórmula</w:t>
      </w:r>
      <w:r w:rsidR="00470ADC" w:rsidRPr="00D5464D">
        <w:rPr>
          <w:rFonts w:eastAsia="Batang" w:cs="Times"/>
          <w:szCs w:val="24"/>
          <w:lang w:val="pt-BR" w:eastAsia="es-ES"/>
        </w:rPr>
        <w:t xml:space="preserve"> da </w:t>
      </w:r>
      <w:r w:rsidR="000A52D5" w:rsidRPr="00D5464D">
        <w:rPr>
          <w:rFonts w:eastAsia="Batang" w:cs="Times"/>
          <w:szCs w:val="24"/>
          <w:lang w:val="pt-BR" w:eastAsia="es-ES"/>
        </w:rPr>
        <w:t xml:space="preserve">4ª </w:t>
      </w:r>
      <w:r w:rsidR="002C330E" w:rsidRPr="00D5464D">
        <w:rPr>
          <w:rFonts w:eastAsia="Batang" w:cs="Times"/>
          <w:szCs w:val="24"/>
          <w:lang w:val="pt-BR" w:eastAsia="es-ES"/>
        </w:rPr>
        <w:t>instância</w:t>
      </w:r>
      <w:r w:rsidR="000A52D5" w:rsidRPr="00D5464D">
        <w:rPr>
          <w:rFonts w:eastAsia="Batang" w:cs="Times"/>
          <w:szCs w:val="24"/>
          <w:lang w:val="pt-BR" w:eastAsia="es-ES"/>
        </w:rPr>
        <w:t xml:space="preserve">); </w:t>
      </w:r>
      <w:r w:rsidR="000A52D5" w:rsidRPr="00D5464D">
        <w:rPr>
          <w:rFonts w:eastAsia="Batang" w:cs="Times"/>
          <w:b/>
          <w:szCs w:val="24"/>
          <w:lang w:val="pt-BR" w:eastAsia="es-ES"/>
        </w:rPr>
        <w:t>G</w:t>
      </w:r>
      <w:r w:rsidR="000A52D5" w:rsidRPr="00D5464D">
        <w:rPr>
          <w:rFonts w:eastAsia="Batang" w:cs="Times"/>
          <w:szCs w:val="24"/>
          <w:lang w:val="pt-BR" w:eastAsia="es-ES"/>
        </w:rPr>
        <w:t>. In</w:t>
      </w:r>
      <w:r w:rsidR="00470ADC" w:rsidRPr="00D5464D">
        <w:rPr>
          <w:rFonts w:eastAsia="Batang" w:cs="Times"/>
          <w:szCs w:val="24"/>
          <w:lang w:val="pt-BR" w:eastAsia="es-ES"/>
        </w:rPr>
        <w:t>competência</w:t>
      </w:r>
      <w:r w:rsidR="000A52D5" w:rsidRPr="00D5464D">
        <w:rPr>
          <w:rFonts w:eastAsia="Batang" w:cs="Times"/>
          <w:szCs w:val="24"/>
          <w:lang w:val="pt-BR" w:eastAsia="es-ES"/>
        </w:rPr>
        <w:t xml:space="preserve"> </w:t>
      </w:r>
      <w:r w:rsidR="000A52D5" w:rsidRPr="00D5464D">
        <w:rPr>
          <w:rFonts w:eastAsia="Batang" w:cs="Times"/>
          <w:i/>
          <w:szCs w:val="24"/>
          <w:lang w:val="pt-BR" w:eastAsia="es-ES"/>
        </w:rPr>
        <w:t>ratione materiae</w:t>
      </w:r>
      <w:r w:rsidR="000A52D5" w:rsidRPr="00D5464D">
        <w:rPr>
          <w:rFonts w:eastAsia="Batang" w:cs="Times"/>
          <w:szCs w:val="24"/>
          <w:lang w:val="pt-BR" w:eastAsia="es-ES"/>
        </w:rPr>
        <w:t xml:space="preserve"> relativa a </w:t>
      </w:r>
      <w:r w:rsidR="002C330E" w:rsidRPr="00D5464D">
        <w:rPr>
          <w:rFonts w:eastAsia="Batang" w:cs="Times"/>
          <w:szCs w:val="24"/>
          <w:lang w:val="pt-BR" w:eastAsia="es-ES"/>
        </w:rPr>
        <w:t>suposta</w:t>
      </w:r>
      <w:r w:rsidR="000A52D5" w:rsidRPr="00D5464D">
        <w:rPr>
          <w:rFonts w:eastAsia="Batang" w:cs="Times"/>
          <w:szCs w:val="24"/>
          <w:lang w:val="pt-BR" w:eastAsia="es-ES"/>
        </w:rPr>
        <w:t>s viola</w:t>
      </w:r>
      <w:r w:rsidR="00470ADC" w:rsidRPr="00D5464D">
        <w:rPr>
          <w:rFonts w:eastAsia="Batang" w:cs="Times"/>
          <w:szCs w:val="24"/>
          <w:lang w:val="pt-BR" w:eastAsia="es-ES"/>
        </w:rPr>
        <w:t xml:space="preserve">ções da </w:t>
      </w:r>
      <w:r w:rsidR="002C330E" w:rsidRPr="00D5464D">
        <w:rPr>
          <w:rFonts w:eastAsia="Batang" w:cs="Times"/>
          <w:szCs w:val="24"/>
          <w:lang w:val="pt-BR" w:eastAsia="es-ES"/>
        </w:rPr>
        <w:t>proibição</w:t>
      </w:r>
      <w:r w:rsidR="000A52D5" w:rsidRPr="00D5464D">
        <w:rPr>
          <w:rFonts w:eastAsia="Batang" w:cs="Times"/>
          <w:szCs w:val="24"/>
          <w:lang w:val="pt-BR" w:eastAsia="es-ES"/>
        </w:rPr>
        <w:t xml:space="preserve"> de tráfico de </w:t>
      </w:r>
      <w:r w:rsidR="002C330E" w:rsidRPr="00D5464D">
        <w:rPr>
          <w:rFonts w:eastAsia="Batang" w:cs="Times"/>
          <w:szCs w:val="24"/>
          <w:lang w:val="pt-BR" w:eastAsia="es-ES"/>
        </w:rPr>
        <w:t>pessoa</w:t>
      </w:r>
      <w:r w:rsidR="000A52D5" w:rsidRPr="00D5464D">
        <w:rPr>
          <w:rFonts w:eastAsia="Batang" w:cs="Times"/>
          <w:szCs w:val="24"/>
          <w:lang w:val="pt-BR" w:eastAsia="es-ES"/>
        </w:rPr>
        <w:t xml:space="preserve">s; </w:t>
      </w:r>
      <w:r w:rsidR="000A52D5" w:rsidRPr="00D5464D">
        <w:rPr>
          <w:rFonts w:eastAsia="Batang" w:cs="Times"/>
          <w:b/>
          <w:szCs w:val="24"/>
          <w:lang w:val="pt-BR" w:eastAsia="es-ES"/>
        </w:rPr>
        <w:t>H</w:t>
      </w:r>
      <w:r w:rsidR="000A52D5" w:rsidRPr="00D5464D">
        <w:rPr>
          <w:rFonts w:eastAsia="Batang" w:cs="Times"/>
          <w:szCs w:val="24"/>
          <w:lang w:val="pt-BR" w:eastAsia="es-ES"/>
        </w:rPr>
        <w:t>. In</w:t>
      </w:r>
      <w:r w:rsidR="00470ADC" w:rsidRPr="00D5464D">
        <w:rPr>
          <w:rFonts w:eastAsia="Batang" w:cs="Times"/>
          <w:szCs w:val="24"/>
          <w:lang w:val="pt-BR" w:eastAsia="es-ES"/>
        </w:rPr>
        <w:t>competência</w:t>
      </w:r>
      <w:r w:rsidR="000A52D5" w:rsidRPr="00D5464D">
        <w:rPr>
          <w:rFonts w:eastAsia="Batang" w:cs="Times"/>
          <w:szCs w:val="24"/>
          <w:lang w:val="pt-BR" w:eastAsia="es-ES"/>
        </w:rPr>
        <w:t xml:space="preserve"> </w:t>
      </w:r>
      <w:r w:rsidR="000A52D5" w:rsidRPr="00D5464D">
        <w:rPr>
          <w:rFonts w:eastAsia="Batang" w:cs="Times"/>
          <w:i/>
          <w:szCs w:val="24"/>
          <w:lang w:val="pt-BR" w:eastAsia="es-ES"/>
        </w:rPr>
        <w:t>ratione materiae</w:t>
      </w:r>
      <w:r w:rsidR="000A52D5" w:rsidRPr="00D5464D">
        <w:rPr>
          <w:rFonts w:eastAsia="Batang" w:cs="Times"/>
          <w:szCs w:val="24"/>
          <w:lang w:val="pt-BR" w:eastAsia="es-ES"/>
        </w:rPr>
        <w:t xml:space="preserve"> sobre su</w:t>
      </w:r>
      <w:r w:rsidR="002C330E" w:rsidRPr="00D5464D">
        <w:rPr>
          <w:rFonts w:eastAsia="Batang" w:cs="Times"/>
          <w:szCs w:val="24"/>
          <w:lang w:val="pt-BR" w:eastAsia="es-ES"/>
        </w:rPr>
        <w:t>posta</w:t>
      </w:r>
      <w:r w:rsidR="000A52D5" w:rsidRPr="00D5464D">
        <w:rPr>
          <w:rFonts w:eastAsia="Batang" w:cs="Times"/>
          <w:szCs w:val="24"/>
          <w:lang w:val="pt-BR" w:eastAsia="es-ES"/>
        </w:rPr>
        <w:t>s viola</w:t>
      </w:r>
      <w:r w:rsidR="00470ADC" w:rsidRPr="00D5464D">
        <w:rPr>
          <w:rFonts w:eastAsia="Batang" w:cs="Times"/>
          <w:szCs w:val="24"/>
          <w:lang w:val="pt-BR" w:eastAsia="es-ES"/>
        </w:rPr>
        <w:t>ções</w:t>
      </w:r>
      <w:r w:rsidR="000A52D5" w:rsidRPr="00D5464D">
        <w:rPr>
          <w:rFonts w:eastAsia="Batang" w:cs="Times"/>
          <w:szCs w:val="24"/>
          <w:lang w:val="pt-BR" w:eastAsia="es-ES"/>
        </w:rPr>
        <w:t xml:space="preserve"> de </w:t>
      </w:r>
      <w:r w:rsidR="00470ADC" w:rsidRPr="00D5464D">
        <w:rPr>
          <w:rFonts w:eastAsia="Batang" w:cs="Times"/>
          <w:szCs w:val="24"/>
          <w:lang w:val="pt-BR" w:eastAsia="es-ES"/>
        </w:rPr>
        <w:t>direito</w:t>
      </w:r>
      <w:r w:rsidR="000A52D5" w:rsidRPr="00D5464D">
        <w:rPr>
          <w:rFonts w:eastAsia="Batang" w:cs="Times"/>
          <w:szCs w:val="24"/>
          <w:lang w:val="pt-BR" w:eastAsia="es-ES"/>
        </w:rPr>
        <w:t xml:space="preserve">s </w:t>
      </w:r>
      <w:r w:rsidR="00351C4B" w:rsidRPr="00D5464D">
        <w:rPr>
          <w:rFonts w:eastAsia="Batang" w:cs="Times"/>
          <w:szCs w:val="24"/>
          <w:lang w:val="pt-BR" w:eastAsia="es-ES"/>
        </w:rPr>
        <w:t>trabalhistas</w:t>
      </w:r>
      <w:r w:rsidR="000A52D5" w:rsidRPr="00D5464D">
        <w:rPr>
          <w:rFonts w:eastAsia="Batang" w:cs="Times"/>
          <w:szCs w:val="24"/>
          <w:lang w:val="pt-BR" w:eastAsia="es-ES"/>
        </w:rPr>
        <w:t xml:space="preserve">; </w:t>
      </w:r>
      <w:r w:rsidR="000A52D5" w:rsidRPr="00D5464D">
        <w:rPr>
          <w:rFonts w:eastAsia="Batang" w:cs="Times"/>
          <w:b/>
          <w:szCs w:val="24"/>
          <w:lang w:val="pt-BR" w:eastAsia="es-ES"/>
        </w:rPr>
        <w:t>I</w:t>
      </w:r>
      <w:r w:rsidR="000A52D5" w:rsidRPr="00D5464D">
        <w:rPr>
          <w:rFonts w:eastAsia="Batang" w:cs="Times"/>
          <w:szCs w:val="24"/>
          <w:lang w:val="pt-BR" w:eastAsia="es-ES"/>
        </w:rPr>
        <w:t xml:space="preserve">. Falta de </w:t>
      </w:r>
      <w:r w:rsidR="00470ADC" w:rsidRPr="00D5464D">
        <w:rPr>
          <w:rFonts w:eastAsia="Batang" w:cs="Times"/>
          <w:szCs w:val="24"/>
          <w:lang w:val="pt-BR" w:eastAsia="es-ES"/>
        </w:rPr>
        <w:t>esgotamento</w:t>
      </w:r>
      <w:r w:rsidR="000A52D5" w:rsidRPr="00D5464D">
        <w:rPr>
          <w:rFonts w:eastAsia="Batang" w:cs="Times"/>
          <w:szCs w:val="24"/>
          <w:lang w:val="pt-BR" w:eastAsia="es-ES"/>
        </w:rPr>
        <w:t xml:space="preserve"> </w:t>
      </w:r>
      <w:r w:rsidR="002C330E" w:rsidRPr="00D5464D">
        <w:rPr>
          <w:rFonts w:eastAsia="Batang" w:cs="Times"/>
          <w:szCs w:val="24"/>
          <w:lang w:val="pt-BR" w:eastAsia="es-ES"/>
        </w:rPr>
        <w:t>prévio</w:t>
      </w:r>
      <w:r w:rsidR="00470ADC" w:rsidRPr="00D5464D">
        <w:rPr>
          <w:rFonts w:eastAsia="Batang" w:cs="Times"/>
          <w:szCs w:val="24"/>
          <w:lang w:val="pt-BR" w:eastAsia="es-ES"/>
        </w:rPr>
        <w:t xml:space="preserve"> dos </w:t>
      </w:r>
      <w:r w:rsidR="000A52D5" w:rsidRPr="00D5464D">
        <w:rPr>
          <w:rFonts w:eastAsia="Batang" w:cs="Times"/>
          <w:szCs w:val="24"/>
          <w:lang w:val="pt-BR" w:eastAsia="es-ES"/>
        </w:rPr>
        <w:t>recursos internos</w:t>
      </w:r>
      <w:r w:rsidR="00470ADC" w:rsidRPr="00D5464D">
        <w:rPr>
          <w:rFonts w:eastAsia="Batang" w:cs="Times"/>
          <w:szCs w:val="24"/>
          <w:lang w:val="pt-BR" w:eastAsia="es-ES"/>
        </w:rPr>
        <w:t>; e</w:t>
      </w:r>
      <w:r w:rsidR="000A52D5" w:rsidRPr="00D5464D">
        <w:rPr>
          <w:rFonts w:eastAsia="Batang" w:cs="Times"/>
          <w:szCs w:val="24"/>
          <w:lang w:val="pt-BR" w:eastAsia="es-ES"/>
        </w:rPr>
        <w:t xml:space="preserve"> </w:t>
      </w:r>
      <w:r w:rsidR="000A52D5" w:rsidRPr="00D5464D">
        <w:rPr>
          <w:rFonts w:eastAsia="Batang" w:cs="Times"/>
          <w:b/>
          <w:szCs w:val="24"/>
          <w:lang w:val="pt-BR" w:eastAsia="es-ES"/>
        </w:rPr>
        <w:t>J</w:t>
      </w:r>
      <w:r w:rsidR="000A52D5" w:rsidRPr="00D5464D">
        <w:rPr>
          <w:rFonts w:eastAsia="Batang" w:cs="Times"/>
          <w:szCs w:val="24"/>
          <w:lang w:val="pt-BR" w:eastAsia="es-ES"/>
        </w:rPr>
        <w:t xml:space="preserve">. </w:t>
      </w:r>
      <w:r w:rsidR="002C330E" w:rsidRPr="00D5464D">
        <w:rPr>
          <w:rFonts w:eastAsia="Batang" w:cs="Times"/>
          <w:szCs w:val="24"/>
          <w:lang w:val="pt-BR" w:eastAsia="es-ES"/>
        </w:rPr>
        <w:t>Prescrição</w:t>
      </w:r>
      <w:r w:rsidR="00470ADC" w:rsidRPr="00D5464D">
        <w:rPr>
          <w:rFonts w:eastAsia="Batang" w:cs="Times"/>
          <w:szCs w:val="24"/>
          <w:lang w:val="pt-BR" w:eastAsia="es-ES"/>
        </w:rPr>
        <w:t xml:space="preserve"> da </w:t>
      </w:r>
      <w:r w:rsidR="000A52D5" w:rsidRPr="00D5464D">
        <w:rPr>
          <w:rFonts w:eastAsia="Batang" w:cs="Times"/>
          <w:szCs w:val="24"/>
          <w:lang w:val="pt-BR" w:eastAsia="es-ES"/>
        </w:rPr>
        <w:t>peti</w:t>
      </w:r>
      <w:r w:rsidR="00470ADC" w:rsidRPr="00D5464D">
        <w:rPr>
          <w:rFonts w:eastAsia="Batang" w:cs="Times"/>
          <w:szCs w:val="24"/>
          <w:lang w:val="pt-BR" w:eastAsia="es-ES"/>
        </w:rPr>
        <w:t>ção perante a Comissão</w:t>
      </w:r>
      <w:r w:rsidR="000A52D5" w:rsidRPr="00D5464D">
        <w:rPr>
          <w:rFonts w:eastAsia="Batang" w:cs="Times"/>
          <w:szCs w:val="24"/>
          <w:lang w:val="pt-BR" w:eastAsia="es-ES"/>
        </w:rPr>
        <w:t xml:space="preserve"> </w:t>
      </w:r>
      <w:r w:rsidR="002C330E" w:rsidRPr="00D5464D">
        <w:rPr>
          <w:rFonts w:eastAsia="Batang" w:cs="Times"/>
          <w:szCs w:val="24"/>
          <w:lang w:val="pt-BR" w:eastAsia="es-ES"/>
        </w:rPr>
        <w:t>a respeito</w:t>
      </w:r>
      <w:r w:rsidR="00470ADC" w:rsidRPr="00D5464D">
        <w:rPr>
          <w:rFonts w:eastAsia="Batang" w:cs="Times"/>
          <w:szCs w:val="24"/>
          <w:lang w:val="pt-BR" w:eastAsia="es-ES"/>
        </w:rPr>
        <w:t xml:space="preserve"> das </w:t>
      </w:r>
      <w:r w:rsidR="002C330E" w:rsidRPr="00D5464D">
        <w:rPr>
          <w:rFonts w:eastAsia="Batang" w:cs="Times"/>
          <w:szCs w:val="24"/>
          <w:lang w:val="pt-BR" w:eastAsia="es-ES"/>
        </w:rPr>
        <w:t>pretensões</w:t>
      </w:r>
      <w:r w:rsidR="000A52D5" w:rsidRPr="00D5464D">
        <w:rPr>
          <w:rFonts w:eastAsia="Batang" w:cs="Times"/>
          <w:szCs w:val="24"/>
          <w:lang w:val="pt-BR" w:eastAsia="es-ES"/>
        </w:rPr>
        <w:t xml:space="preserve"> de repara</w:t>
      </w:r>
      <w:r w:rsidR="00470ADC" w:rsidRPr="00D5464D">
        <w:rPr>
          <w:rFonts w:eastAsia="Batang" w:cs="Times"/>
          <w:szCs w:val="24"/>
          <w:lang w:val="pt-BR" w:eastAsia="es-ES"/>
        </w:rPr>
        <w:t>ção</w:t>
      </w:r>
      <w:r w:rsidR="000A52D5" w:rsidRPr="00D5464D">
        <w:rPr>
          <w:rFonts w:eastAsia="Batang" w:cs="Times"/>
          <w:szCs w:val="24"/>
          <w:lang w:val="pt-BR" w:eastAsia="es-ES"/>
        </w:rPr>
        <w:t xml:space="preserve"> de</w:t>
      </w:r>
      <w:r w:rsidR="00470ADC" w:rsidRPr="00D5464D">
        <w:rPr>
          <w:rFonts w:eastAsia="Batang" w:cs="Times"/>
          <w:szCs w:val="24"/>
          <w:lang w:val="pt-BR" w:eastAsia="es-ES"/>
        </w:rPr>
        <w:t xml:space="preserve"> dano</w:t>
      </w:r>
      <w:r w:rsidR="000A52D5" w:rsidRPr="00D5464D">
        <w:rPr>
          <w:rFonts w:eastAsia="Batang" w:cs="Times"/>
          <w:szCs w:val="24"/>
          <w:lang w:val="pt-BR" w:eastAsia="es-ES"/>
        </w:rPr>
        <w:t xml:space="preserve"> moral</w:t>
      </w:r>
      <w:r w:rsidR="00E045D9" w:rsidRPr="00D5464D">
        <w:rPr>
          <w:rFonts w:eastAsia="Batang" w:cs="Times"/>
          <w:szCs w:val="24"/>
          <w:lang w:val="pt-BR" w:eastAsia="es-ES"/>
        </w:rPr>
        <w:t xml:space="preserve"> e </w:t>
      </w:r>
      <w:r w:rsidR="000A52D5" w:rsidRPr="00D5464D">
        <w:rPr>
          <w:rFonts w:eastAsia="Batang" w:cs="Times"/>
          <w:szCs w:val="24"/>
          <w:lang w:val="pt-BR" w:eastAsia="es-ES"/>
        </w:rPr>
        <w:t xml:space="preserve">material. </w:t>
      </w:r>
    </w:p>
    <w:p w14:paraId="36584CE9" w14:textId="77777777" w:rsidR="000A52D5" w:rsidRPr="00D5464D" w:rsidRDefault="000A52D5" w:rsidP="00140440">
      <w:pPr>
        <w:tabs>
          <w:tab w:val="clear" w:pos="4419"/>
          <w:tab w:val="clear" w:pos="8838"/>
        </w:tabs>
        <w:jc w:val="both"/>
        <w:rPr>
          <w:rFonts w:eastAsia="Batang" w:cs="Times"/>
          <w:szCs w:val="24"/>
          <w:lang w:val="pt-BR" w:eastAsia="es-ES"/>
        </w:rPr>
      </w:pPr>
    </w:p>
    <w:p w14:paraId="748B577D" w14:textId="1E2B5F3B" w:rsidR="000A52D5" w:rsidRPr="00D5464D" w:rsidRDefault="000A52D5" w:rsidP="007F1767">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Posteriormente,</w:t>
      </w:r>
      <w:r w:rsidR="00470ADC" w:rsidRPr="00D5464D">
        <w:rPr>
          <w:rFonts w:eastAsia="Batang" w:cs="Times"/>
          <w:szCs w:val="24"/>
          <w:lang w:val="pt-BR" w:eastAsia="es-ES"/>
        </w:rPr>
        <w:t xml:space="preserve"> em </w:t>
      </w:r>
      <w:r w:rsidR="00E045D9" w:rsidRPr="00D5464D">
        <w:rPr>
          <w:rFonts w:eastAsia="Batang" w:cs="Times"/>
          <w:szCs w:val="24"/>
          <w:lang w:val="pt-BR" w:eastAsia="es-ES"/>
        </w:rPr>
        <w:t xml:space="preserve">suas </w:t>
      </w:r>
      <w:r w:rsidR="00350187" w:rsidRPr="00D5464D">
        <w:rPr>
          <w:rFonts w:eastAsia="Batang" w:cs="Times"/>
          <w:szCs w:val="24"/>
          <w:lang w:val="pt-BR" w:eastAsia="es-ES"/>
        </w:rPr>
        <w:t>alegações finais escritas</w:t>
      </w:r>
      <w:r w:rsidR="00275739" w:rsidRPr="00D5464D">
        <w:rPr>
          <w:rFonts w:eastAsia="Batang" w:cs="Times"/>
          <w:szCs w:val="24"/>
          <w:lang w:val="pt-BR" w:eastAsia="es-ES"/>
        </w:rPr>
        <w:t>,</w:t>
      </w:r>
      <w:r w:rsidR="00470ADC" w:rsidRPr="00D5464D">
        <w:rPr>
          <w:rFonts w:eastAsia="Batang" w:cs="Times"/>
          <w:szCs w:val="24"/>
          <w:lang w:val="pt-BR" w:eastAsia="es-ES"/>
        </w:rPr>
        <w:t xml:space="preserve"> o </w:t>
      </w:r>
      <w:r w:rsidRPr="00D5464D">
        <w:rPr>
          <w:rFonts w:eastAsia="Batang" w:cs="Times"/>
          <w:szCs w:val="24"/>
          <w:lang w:val="pt-BR" w:eastAsia="es-ES"/>
        </w:rPr>
        <w:t xml:space="preserve">Estado </w:t>
      </w:r>
      <w:r w:rsidR="002C330E" w:rsidRPr="00D5464D">
        <w:rPr>
          <w:rFonts w:eastAsia="Batang" w:cs="Times"/>
          <w:szCs w:val="24"/>
          <w:lang w:val="pt-BR" w:eastAsia="es-ES"/>
        </w:rPr>
        <w:t>apresentou</w:t>
      </w:r>
      <w:r w:rsidR="00E045D9" w:rsidRPr="00D5464D">
        <w:rPr>
          <w:rFonts w:eastAsia="Batang" w:cs="Times"/>
          <w:szCs w:val="24"/>
          <w:lang w:val="pt-BR" w:eastAsia="es-ES"/>
        </w:rPr>
        <w:t xml:space="preserve"> uma </w:t>
      </w:r>
      <w:r w:rsidR="002C330E" w:rsidRPr="00D5464D">
        <w:rPr>
          <w:rFonts w:eastAsia="Batang" w:cs="Times"/>
          <w:szCs w:val="24"/>
          <w:lang w:val="pt-BR" w:eastAsia="es-ES"/>
        </w:rPr>
        <w:t>nova</w:t>
      </w:r>
      <w:r w:rsidRPr="00D5464D">
        <w:rPr>
          <w:rFonts w:eastAsia="Batang" w:cs="Times"/>
          <w:szCs w:val="24"/>
          <w:lang w:val="pt-BR" w:eastAsia="es-ES"/>
        </w:rPr>
        <w:t xml:space="preserve"> </w:t>
      </w:r>
      <w:r w:rsidR="00470ADC" w:rsidRPr="00D5464D">
        <w:rPr>
          <w:rFonts w:eastAsia="Batang" w:cs="Times"/>
          <w:szCs w:val="24"/>
          <w:lang w:val="pt-BR" w:eastAsia="es-ES"/>
        </w:rPr>
        <w:t>exceção</w:t>
      </w:r>
      <w:r w:rsidRPr="00D5464D">
        <w:rPr>
          <w:rFonts w:eastAsia="Batang" w:cs="Times"/>
          <w:szCs w:val="24"/>
          <w:lang w:val="pt-BR" w:eastAsia="es-ES"/>
        </w:rPr>
        <w:t xml:space="preserve"> preliminar </w:t>
      </w:r>
      <w:r w:rsidR="00350187" w:rsidRPr="00D5464D">
        <w:rPr>
          <w:rFonts w:eastAsia="Batang" w:cs="Times"/>
          <w:szCs w:val="24"/>
          <w:lang w:val="pt-BR" w:eastAsia="es-ES"/>
        </w:rPr>
        <w:t xml:space="preserve">referente </w:t>
      </w:r>
      <w:r w:rsidR="00470ADC" w:rsidRPr="00D5464D">
        <w:rPr>
          <w:rFonts w:eastAsia="Batang" w:cs="Times"/>
          <w:szCs w:val="24"/>
          <w:lang w:val="pt-BR" w:eastAsia="es-ES"/>
        </w:rPr>
        <w:t xml:space="preserve">à </w:t>
      </w:r>
      <w:r w:rsidR="008E79CF" w:rsidRPr="00D5464D">
        <w:rPr>
          <w:rFonts w:eastAsia="Batang" w:cs="Times"/>
          <w:szCs w:val="24"/>
          <w:lang w:val="pt-BR" w:eastAsia="es-ES"/>
        </w:rPr>
        <w:t>su</w:t>
      </w:r>
      <w:r w:rsidR="002C330E" w:rsidRPr="00D5464D">
        <w:rPr>
          <w:rFonts w:eastAsia="Batang" w:cs="Times"/>
          <w:szCs w:val="24"/>
          <w:lang w:val="pt-BR" w:eastAsia="es-ES"/>
        </w:rPr>
        <w:t>posta</w:t>
      </w:r>
      <w:r w:rsidR="007F1767" w:rsidRPr="00D5464D">
        <w:rPr>
          <w:rFonts w:eastAsia="Batang" w:cs="Times"/>
          <w:szCs w:val="24"/>
          <w:lang w:val="pt-BR" w:eastAsia="es-ES"/>
        </w:rPr>
        <w:t xml:space="preserve"> i</w:t>
      </w:r>
      <w:r w:rsidRPr="00D5464D">
        <w:rPr>
          <w:rFonts w:eastAsia="Batang" w:cs="Times"/>
          <w:szCs w:val="24"/>
          <w:lang w:val="pt-BR" w:eastAsia="es-ES"/>
        </w:rPr>
        <w:t>n</w:t>
      </w:r>
      <w:r w:rsidR="00470ADC" w:rsidRPr="00D5464D">
        <w:rPr>
          <w:rFonts w:eastAsia="Batang" w:cs="Times"/>
          <w:szCs w:val="24"/>
          <w:lang w:val="pt-BR" w:eastAsia="es-ES"/>
        </w:rPr>
        <w:t xml:space="preserve">competência da </w:t>
      </w:r>
      <w:r w:rsidR="007F1767" w:rsidRPr="00D5464D">
        <w:rPr>
          <w:rFonts w:eastAsia="Batang" w:cs="Times"/>
          <w:szCs w:val="24"/>
          <w:lang w:val="pt-BR" w:eastAsia="es-ES"/>
        </w:rPr>
        <w:t xml:space="preserve">Corte </w:t>
      </w:r>
      <w:r w:rsidR="002C330E" w:rsidRPr="00D5464D">
        <w:rPr>
          <w:rFonts w:eastAsia="Batang" w:cs="Times"/>
          <w:szCs w:val="24"/>
          <w:lang w:val="pt-BR" w:eastAsia="es-ES"/>
        </w:rPr>
        <w:t>a respeito</w:t>
      </w:r>
      <w:r w:rsidR="00351C4B" w:rsidRPr="00D5464D">
        <w:rPr>
          <w:rFonts w:eastAsia="Batang" w:cs="Times"/>
          <w:szCs w:val="24"/>
          <w:lang w:val="pt-BR" w:eastAsia="es-ES"/>
        </w:rPr>
        <w:t xml:space="preserve"> das ações </w:t>
      </w:r>
      <w:r w:rsidRPr="00D5464D">
        <w:rPr>
          <w:rFonts w:eastAsia="Batang" w:cs="Times"/>
          <w:szCs w:val="24"/>
          <w:lang w:val="pt-BR" w:eastAsia="es-ES"/>
        </w:rPr>
        <w:t>de fiscaliza</w:t>
      </w:r>
      <w:r w:rsidR="00470ADC" w:rsidRPr="00D5464D">
        <w:rPr>
          <w:rFonts w:eastAsia="Batang" w:cs="Times"/>
          <w:szCs w:val="24"/>
          <w:lang w:val="pt-BR" w:eastAsia="es-ES"/>
        </w:rPr>
        <w:t>ção</w:t>
      </w:r>
      <w:r w:rsidR="002C330E" w:rsidRPr="00D5464D">
        <w:rPr>
          <w:rFonts w:eastAsia="Batang" w:cs="Times"/>
          <w:szCs w:val="24"/>
          <w:lang w:val="pt-BR" w:eastAsia="es-ES"/>
        </w:rPr>
        <w:t xml:space="preserve"> </w:t>
      </w:r>
      <w:r w:rsidR="00351C4B" w:rsidRPr="00D5464D">
        <w:rPr>
          <w:rFonts w:eastAsia="Batang" w:cs="Times"/>
          <w:szCs w:val="24"/>
          <w:lang w:val="pt-BR" w:eastAsia="es-ES"/>
        </w:rPr>
        <w:t xml:space="preserve">realizadas </w:t>
      </w:r>
      <w:r w:rsidR="00E045D9" w:rsidRPr="00D5464D">
        <w:rPr>
          <w:rFonts w:eastAsia="Batang" w:cs="Times"/>
          <w:szCs w:val="24"/>
          <w:lang w:val="pt-BR" w:eastAsia="es-ES"/>
        </w:rPr>
        <w:t xml:space="preserve">nos </w:t>
      </w:r>
      <w:r w:rsidR="00470ADC" w:rsidRPr="00D5464D">
        <w:rPr>
          <w:rFonts w:eastAsia="Batang" w:cs="Times"/>
          <w:szCs w:val="24"/>
          <w:lang w:val="pt-BR" w:eastAsia="es-ES"/>
        </w:rPr>
        <w:t>anos</w:t>
      </w:r>
      <w:r w:rsidRPr="00D5464D">
        <w:rPr>
          <w:rFonts w:eastAsia="Batang" w:cs="Times"/>
          <w:szCs w:val="24"/>
          <w:lang w:val="pt-BR" w:eastAsia="es-ES"/>
        </w:rPr>
        <w:t xml:space="preserve"> </w:t>
      </w:r>
      <w:r w:rsidR="00351C4B" w:rsidRPr="00D5464D">
        <w:rPr>
          <w:rFonts w:eastAsia="Batang" w:cs="Times"/>
          <w:szCs w:val="24"/>
          <w:lang w:val="pt-BR" w:eastAsia="es-ES"/>
        </w:rPr>
        <w:t xml:space="preserve">de </w:t>
      </w:r>
      <w:r w:rsidRPr="00D5464D">
        <w:rPr>
          <w:rFonts w:eastAsia="Batang" w:cs="Times"/>
          <w:szCs w:val="24"/>
          <w:lang w:val="pt-BR" w:eastAsia="es-ES"/>
        </w:rPr>
        <w:t>1999</w:t>
      </w:r>
      <w:r w:rsidR="00E045D9" w:rsidRPr="00D5464D">
        <w:rPr>
          <w:rFonts w:eastAsia="Batang" w:cs="Times"/>
          <w:szCs w:val="24"/>
          <w:lang w:val="pt-BR" w:eastAsia="es-ES"/>
        </w:rPr>
        <w:t xml:space="preserve"> e </w:t>
      </w:r>
      <w:r w:rsidRPr="00D5464D">
        <w:rPr>
          <w:rFonts w:eastAsia="Batang" w:cs="Times"/>
          <w:szCs w:val="24"/>
          <w:lang w:val="pt-BR" w:eastAsia="es-ES"/>
        </w:rPr>
        <w:t>2002.</w:t>
      </w:r>
      <w:r w:rsidR="007F1767" w:rsidRPr="00D5464D">
        <w:rPr>
          <w:rFonts w:eastAsia="Batang" w:cs="Times"/>
          <w:szCs w:val="24"/>
          <w:lang w:val="pt-BR" w:eastAsia="es-ES"/>
        </w:rPr>
        <w:t xml:space="preserve"> Esta </w:t>
      </w:r>
      <w:r w:rsidR="00470ADC" w:rsidRPr="00D5464D">
        <w:rPr>
          <w:rFonts w:eastAsia="Batang" w:cs="Times"/>
          <w:szCs w:val="24"/>
          <w:lang w:val="pt-BR" w:eastAsia="es-ES"/>
        </w:rPr>
        <w:t>exceção</w:t>
      </w:r>
      <w:r w:rsidR="007F1767" w:rsidRPr="00D5464D">
        <w:rPr>
          <w:rFonts w:eastAsia="Batang" w:cs="Times"/>
          <w:szCs w:val="24"/>
          <w:lang w:val="pt-BR" w:eastAsia="es-ES"/>
        </w:rPr>
        <w:t xml:space="preserve"> preliminar n</w:t>
      </w:r>
      <w:r w:rsidR="00351C4B" w:rsidRPr="00D5464D">
        <w:rPr>
          <w:rFonts w:eastAsia="Batang" w:cs="Times"/>
          <w:szCs w:val="24"/>
          <w:lang w:val="pt-BR" w:eastAsia="es-ES"/>
        </w:rPr>
        <w:t>ã</w:t>
      </w:r>
      <w:r w:rsidR="007F1767" w:rsidRPr="00D5464D">
        <w:rPr>
          <w:rFonts w:eastAsia="Batang" w:cs="Times"/>
          <w:szCs w:val="24"/>
          <w:lang w:val="pt-BR" w:eastAsia="es-ES"/>
        </w:rPr>
        <w:t xml:space="preserve">o será objeto de </w:t>
      </w:r>
      <w:r w:rsidR="00470ADC" w:rsidRPr="00D5464D">
        <w:rPr>
          <w:rFonts w:eastAsia="Batang" w:cs="Times"/>
          <w:szCs w:val="24"/>
          <w:lang w:val="pt-BR" w:eastAsia="es-ES"/>
        </w:rPr>
        <w:t>exame</w:t>
      </w:r>
      <w:r w:rsidR="007F1767" w:rsidRPr="00D5464D">
        <w:rPr>
          <w:rFonts w:eastAsia="Batang" w:cs="Times"/>
          <w:szCs w:val="24"/>
          <w:lang w:val="pt-BR" w:eastAsia="es-ES"/>
        </w:rPr>
        <w:t xml:space="preserve"> por </w:t>
      </w:r>
      <w:r w:rsidR="002C330E" w:rsidRPr="00D5464D">
        <w:rPr>
          <w:rFonts w:eastAsia="Batang" w:cs="Times"/>
          <w:szCs w:val="24"/>
          <w:lang w:val="pt-BR" w:eastAsia="es-ES"/>
        </w:rPr>
        <w:t>ter</w:t>
      </w:r>
      <w:r w:rsidR="007F1767" w:rsidRPr="00D5464D">
        <w:rPr>
          <w:rFonts w:eastAsia="Batang" w:cs="Times"/>
          <w:szCs w:val="24"/>
          <w:lang w:val="pt-BR" w:eastAsia="es-ES"/>
        </w:rPr>
        <w:t xml:space="preserve"> sido</w:t>
      </w:r>
      <w:r w:rsidR="002C330E" w:rsidRPr="00D5464D">
        <w:rPr>
          <w:rFonts w:eastAsia="Batang" w:cs="Times"/>
          <w:szCs w:val="24"/>
          <w:lang w:val="pt-BR" w:eastAsia="es-ES"/>
        </w:rPr>
        <w:t xml:space="preserve"> apresentada </w:t>
      </w:r>
      <w:r w:rsidR="007F1767" w:rsidRPr="00D5464D">
        <w:rPr>
          <w:rFonts w:eastAsia="Batang" w:cs="Times"/>
          <w:szCs w:val="24"/>
          <w:lang w:val="pt-BR" w:eastAsia="es-ES"/>
        </w:rPr>
        <w:t xml:space="preserve">de forma </w:t>
      </w:r>
      <w:r w:rsidR="00470ADC" w:rsidRPr="00D5464D">
        <w:rPr>
          <w:rFonts w:eastAsia="Batang" w:cs="Times"/>
          <w:bCs/>
          <w:szCs w:val="24"/>
          <w:lang w:val="pt-BR" w:eastAsia="es-ES"/>
        </w:rPr>
        <w:t>extemporâne</w:t>
      </w:r>
      <w:r w:rsidR="007F1767" w:rsidRPr="00D5464D">
        <w:rPr>
          <w:rFonts w:eastAsia="Batang" w:cs="Times"/>
          <w:bCs/>
          <w:szCs w:val="24"/>
          <w:lang w:val="pt-BR" w:eastAsia="es-ES"/>
        </w:rPr>
        <w:t>a.</w:t>
      </w:r>
    </w:p>
    <w:p w14:paraId="20A8563D" w14:textId="77777777" w:rsidR="000A52D5" w:rsidRPr="00D5464D" w:rsidRDefault="000A52D5" w:rsidP="00140440">
      <w:pPr>
        <w:tabs>
          <w:tab w:val="clear" w:pos="4419"/>
          <w:tab w:val="clear" w:pos="8838"/>
        </w:tabs>
        <w:jc w:val="both"/>
        <w:rPr>
          <w:rFonts w:eastAsia="Batang" w:cs="Times"/>
          <w:szCs w:val="24"/>
          <w:lang w:val="pt-BR" w:eastAsia="es-ES"/>
        </w:rPr>
      </w:pPr>
    </w:p>
    <w:p w14:paraId="75013780" w14:textId="38B71C69" w:rsidR="0090752B" w:rsidRPr="00D5464D" w:rsidRDefault="0090752B"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Para resolver</w:t>
      </w:r>
      <w:r w:rsidR="002C330E" w:rsidRPr="00D5464D">
        <w:rPr>
          <w:rFonts w:eastAsia="Batang" w:cs="Times"/>
          <w:szCs w:val="24"/>
          <w:lang w:val="pt-BR" w:eastAsia="es-ES"/>
        </w:rPr>
        <w:t xml:space="preserve"> as </w:t>
      </w:r>
      <w:r w:rsidR="00470ADC" w:rsidRPr="00D5464D">
        <w:rPr>
          <w:rFonts w:eastAsia="Batang" w:cs="Times"/>
          <w:szCs w:val="24"/>
          <w:lang w:val="pt-BR" w:eastAsia="es-ES"/>
        </w:rPr>
        <w:t>exceções</w:t>
      </w:r>
      <w:r w:rsidRPr="00D5464D">
        <w:rPr>
          <w:rFonts w:eastAsia="Batang" w:cs="Times"/>
          <w:szCs w:val="24"/>
          <w:lang w:val="pt-BR" w:eastAsia="es-ES"/>
        </w:rPr>
        <w:t xml:space="preserve"> </w:t>
      </w:r>
      <w:r w:rsidR="00350187" w:rsidRPr="00D5464D">
        <w:rPr>
          <w:rFonts w:eastAsia="Batang" w:cs="Times"/>
          <w:szCs w:val="24"/>
          <w:lang w:val="pt-BR" w:eastAsia="es-ES"/>
        </w:rPr>
        <w:t>propost</w:t>
      </w:r>
      <w:r w:rsidRPr="00D5464D">
        <w:rPr>
          <w:rFonts w:eastAsia="Batang" w:cs="Times"/>
          <w:szCs w:val="24"/>
          <w:lang w:val="pt-BR" w:eastAsia="es-ES"/>
        </w:rPr>
        <w:t>as</w:t>
      </w:r>
      <w:r w:rsidR="002C330E" w:rsidRPr="00D5464D">
        <w:rPr>
          <w:rFonts w:eastAsia="Batang" w:cs="Times"/>
          <w:szCs w:val="24"/>
          <w:lang w:val="pt-BR" w:eastAsia="es-ES"/>
        </w:rPr>
        <w:t xml:space="preserve"> pelo </w:t>
      </w:r>
      <w:r w:rsidRPr="00D5464D">
        <w:rPr>
          <w:rFonts w:eastAsia="Batang" w:cs="Times"/>
          <w:szCs w:val="24"/>
          <w:lang w:val="pt-BR" w:eastAsia="es-ES"/>
        </w:rPr>
        <w:t>Estado,</w:t>
      </w:r>
      <w:r w:rsidR="002C330E" w:rsidRPr="00D5464D">
        <w:rPr>
          <w:rFonts w:eastAsia="Batang" w:cs="Times"/>
          <w:szCs w:val="24"/>
          <w:lang w:val="pt-BR" w:eastAsia="es-ES"/>
        </w:rPr>
        <w:t xml:space="preserve"> a </w:t>
      </w:r>
      <w:r w:rsidRPr="00D5464D">
        <w:rPr>
          <w:rFonts w:eastAsia="Batang" w:cs="Times"/>
          <w:szCs w:val="24"/>
          <w:lang w:val="pt-BR" w:eastAsia="es-ES"/>
        </w:rPr>
        <w:t xml:space="preserve">Corte </w:t>
      </w:r>
      <w:r w:rsidR="00E045D9" w:rsidRPr="00D5464D">
        <w:rPr>
          <w:rFonts w:eastAsia="Batang" w:cs="Times"/>
          <w:szCs w:val="24"/>
          <w:lang w:val="pt-BR" w:eastAsia="es-ES"/>
        </w:rPr>
        <w:t>recorda</w:t>
      </w:r>
      <w:r w:rsidRPr="00D5464D">
        <w:rPr>
          <w:rFonts w:eastAsia="Batang" w:cs="Times"/>
          <w:szCs w:val="24"/>
          <w:lang w:val="pt-BR" w:eastAsia="es-ES"/>
        </w:rPr>
        <w:t xml:space="preserve"> que </w:t>
      </w:r>
      <w:r w:rsidR="00C16021" w:rsidRPr="00D5464D">
        <w:rPr>
          <w:rFonts w:eastAsia="Batang" w:cs="Times"/>
          <w:szCs w:val="24"/>
          <w:lang w:val="pt-BR" w:eastAsia="es-ES"/>
        </w:rPr>
        <w:t xml:space="preserve">serão </w:t>
      </w:r>
      <w:r w:rsidR="00351C4B" w:rsidRPr="00D5464D">
        <w:rPr>
          <w:rFonts w:eastAsia="Batang" w:cs="Times"/>
          <w:szCs w:val="24"/>
          <w:lang w:val="pt-BR" w:eastAsia="es-ES"/>
        </w:rPr>
        <w:t xml:space="preserve">consideradas </w:t>
      </w:r>
      <w:r w:rsidRPr="00D5464D">
        <w:rPr>
          <w:rFonts w:eastAsia="Batang" w:cs="Times"/>
          <w:szCs w:val="24"/>
          <w:lang w:val="pt-BR" w:eastAsia="es-ES"/>
        </w:rPr>
        <w:t xml:space="preserve">como </w:t>
      </w:r>
      <w:r w:rsidR="00470ADC" w:rsidRPr="00D5464D">
        <w:rPr>
          <w:rFonts w:eastAsia="Batang" w:cs="Times"/>
          <w:szCs w:val="24"/>
          <w:lang w:val="pt-BR" w:eastAsia="es-ES"/>
        </w:rPr>
        <w:t>exceções</w:t>
      </w:r>
      <w:r w:rsidRPr="00D5464D">
        <w:rPr>
          <w:rFonts w:eastAsia="Batang" w:cs="Times"/>
          <w:szCs w:val="24"/>
          <w:lang w:val="pt-BR" w:eastAsia="es-ES"/>
        </w:rPr>
        <w:t xml:space="preserve"> preliminares </w:t>
      </w:r>
      <w:r w:rsidR="00E045D9" w:rsidRPr="00D5464D">
        <w:rPr>
          <w:rFonts w:eastAsia="Batang" w:cs="Times"/>
          <w:szCs w:val="24"/>
          <w:lang w:val="pt-BR" w:eastAsia="es-ES"/>
        </w:rPr>
        <w:t>unicamente</w:t>
      </w:r>
      <w:r w:rsidRPr="00D5464D">
        <w:rPr>
          <w:rFonts w:eastAsia="Batang" w:cs="Times"/>
          <w:szCs w:val="24"/>
          <w:lang w:val="pt-BR" w:eastAsia="es-ES"/>
        </w:rPr>
        <w:t xml:space="preserve"> </w:t>
      </w:r>
      <w:r w:rsidR="00351C4B" w:rsidRPr="00D5464D">
        <w:rPr>
          <w:rFonts w:eastAsia="Batang" w:cs="Times"/>
          <w:szCs w:val="24"/>
          <w:lang w:val="pt-BR" w:eastAsia="es-ES"/>
        </w:rPr>
        <w:t xml:space="preserve">os </w:t>
      </w:r>
      <w:r w:rsidRPr="00D5464D">
        <w:rPr>
          <w:rFonts w:eastAsia="Batang" w:cs="Times"/>
          <w:szCs w:val="24"/>
          <w:lang w:val="pt-BR" w:eastAsia="es-ES"/>
        </w:rPr>
        <w:t xml:space="preserve">argumentos que </w:t>
      </w:r>
      <w:r w:rsidR="00351C4B" w:rsidRPr="00D5464D">
        <w:rPr>
          <w:rFonts w:eastAsia="Batang" w:cs="Times"/>
          <w:szCs w:val="24"/>
          <w:lang w:val="pt-BR" w:eastAsia="es-ES"/>
        </w:rPr>
        <w:t xml:space="preserve">tem ou </w:t>
      </w:r>
      <w:r w:rsidR="00A1358C" w:rsidRPr="00D5464D">
        <w:rPr>
          <w:rFonts w:eastAsia="Batang" w:cs="Times"/>
          <w:szCs w:val="24"/>
          <w:lang w:val="pt-BR" w:eastAsia="es-ES"/>
        </w:rPr>
        <w:t>poderiam</w:t>
      </w:r>
      <w:r w:rsidR="00E045D9" w:rsidRPr="00D5464D">
        <w:rPr>
          <w:rFonts w:eastAsia="Batang" w:cs="Times"/>
          <w:szCs w:val="24"/>
          <w:lang w:val="pt-BR" w:eastAsia="es-ES"/>
        </w:rPr>
        <w:t xml:space="preserve"> ter </w:t>
      </w:r>
      <w:r w:rsidRPr="00D5464D">
        <w:rPr>
          <w:rFonts w:eastAsia="Batang" w:cs="Times"/>
          <w:szCs w:val="24"/>
          <w:lang w:val="pt-BR" w:eastAsia="es-ES"/>
        </w:rPr>
        <w:t xml:space="preserve">exclusivamente </w:t>
      </w:r>
      <w:r w:rsidR="00351C4B" w:rsidRPr="00D5464D">
        <w:rPr>
          <w:rFonts w:eastAsia="Batang" w:cs="Times"/>
          <w:szCs w:val="24"/>
          <w:lang w:val="pt-BR" w:eastAsia="es-ES"/>
        </w:rPr>
        <w:t xml:space="preserve">essa </w:t>
      </w:r>
      <w:r w:rsidR="002C330E" w:rsidRPr="00D5464D">
        <w:rPr>
          <w:rFonts w:eastAsia="Batang" w:cs="Times"/>
          <w:szCs w:val="24"/>
          <w:lang w:val="pt-BR" w:eastAsia="es-ES"/>
        </w:rPr>
        <w:t>natureza</w:t>
      </w:r>
      <w:r w:rsidR="00351C4B" w:rsidRPr="00D5464D">
        <w:rPr>
          <w:rFonts w:eastAsia="Batang" w:cs="Times"/>
          <w:szCs w:val="24"/>
          <w:lang w:val="pt-BR" w:eastAsia="es-ES"/>
        </w:rPr>
        <w:t>,</w:t>
      </w:r>
      <w:r w:rsidRPr="00D5464D">
        <w:rPr>
          <w:rFonts w:eastAsia="Batang" w:cs="Times"/>
          <w:szCs w:val="24"/>
          <w:lang w:val="pt-BR" w:eastAsia="es-ES"/>
        </w:rPr>
        <w:t xml:space="preserve"> </w:t>
      </w:r>
      <w:r w:rsidR="00351C4B" w:rsidRPr="00D5464D">
        <w:rPr>
          <w:rFonts w:eastAsia="Batang" w:cs="Times"/>
          <w:szCs w:val="24"/>
          <w:lang w:val="pt-BR" w:eastAsia="es-ES"/>
        </w:rPr>
        <w:t xml:space="preserve">em </w:t>
      </w:r>
      <w:r w:rsidR="00C16021" w:rsidRPr="00D5464D">
        <w:rPr>
          <w:rFonts w:eastAsia="Batang" w:cs="Times"/>
          <w:szCs w:val="24"/>
          <w:lang w:val="pt-BR" w:eastAsia="es-ES"/>
        </w:rPr>
        <w:t>atenção</w:t>
      </w:r>
      <w:r w:rsidR="00351C4B" w:rsidRPr="00D5464D">
        <w:rPr>
          <w:rFonts w:eastAsia="Batang" w:cs="Times"/>
          <w:szCs w:val="24"/>
          <w:lang w:val="pt-BR" w:eastAsia="es-ES"/>
        </w:rPr>
        <w:t xml:space="preserve"> ao </w:t>
      </w:r>
      <w:r w:rsidR="00C91CB1" w:rsidRPr="00D5464D">
        <w:rPr>
          <w:rFonts w:eastAsia="Batang" w:cs="Times"/>
          <w:szCs w:val="24"/>
          <w:lang w:val="pt-BR" w:eastAsia="es-ES"/>
        </w:rPr>
        <w:t>seu conteúdo</w:t>
      </w:r>
      <w:r w:rsidR="00E045D9" w:rsidRPr="00D5464D">
        <w:rPr>
          <w:rFonts w:eastAsia="Batang" w:cs="Times"/>
          <w:szCs w:val="24"/>
          <w:lang w:val="pt-BR" w:eastAsia="es-ES"/>
        </w:rPr>
        <w:t xml:space="preserve"> e </w:t>
      </w:r>
      <w:r w:rsidRPr="00D5464D">
        <w:rPr>
          <w:rFonts w:eastAsia="Batang" w:cs="Times"/>
          <w:szCs w:val="24"/>
          <w:lang w:val="pt-BR" w:eastAsia="es-ES"/>
        </w:rPr>
        <w:t>fin</w:t>
      </w:r>
      <w:r w:rsidR="00E765C2" w:rsidRPr="00D5464D">
        <w:rPr>
          <w:rFonts w:eastAsia="Batang" w:cs="Times"/>
          <w:szCs w:val="24"/>
          <w:lang w:val="pt-BR" w:eastAsia="es-ES"/>
        </w:rPr>
        <w:t>alidade,</w:t>
      </w:r>
      <w:r w:rsidR="00A1358C" w:rsidRPr="00D5464D">
        <w:rPr>
          <w:rFonts w:eastAsia="Batang" w:cs="Times"/>
          <w:szCs w:val="24"/>
          <w:lang w:val="pt-BR" w:eastAsia="es-ES"/>
        </w:rPr>
        <w:t xml:space="preserve"> isto é,</w:t>
      </w:r>
      <w:r w:rsidRPr="00D5464D">
        <w:rPr>
          <w:rFonts w:eastAsia="Batang" w:cs="Times"/>
          <w:szCs w:val="24"/>
          <w:lang w:val="pt-BR" w:eastAsia="es-ES"/>
        </w:rPr>
        <w:t xml:space="preserve"> </w:t>
      </w:r>
      <w:r w:rsidR="006B3D88" w:rsidRPr="00D5464D">
        <w:rPr>
          <w:rFonts w:eastAsia="Batang" w:cs="Times"/>
          <w:szCs w:val="24"/>
          <w:lang w:val="pt-BR" w:eastAsia="es-ES"/>
        </w:rPr>
        <w:t xml:space="preserve">matérias que </w:t>
      </w:r>
      <w:r w:rsidR="00D54143" w:rsidRPr="00D5464D">
        <w:rPr>
          <w:rFonts w:eastAsia="Batang" w:cs="Times"/>
          <w:szCs w:val="24"/>
          <w:lang w:val="pt-BR" w:eastAsia="es-ES"/>
        </w:rPr>
        <w:t>caso sejam decidid</w:t>
      </w:r>
      <w:r w:rsidR="006B3D88" w:rsidRPr="00D5464D">
        <w:rPr>
          <w:rFonts w:eastAsia="Batang" w:cs="Times"/>
          <w:szCs w:val="24"/>
          <w:lang w:val="pt-BR" w:eastAsia="es-ES"/>
        </w:rPr>
        <w:t>a</w:t>
      </w:r>
      <w:r w:rsidR="00D54143" w:rsidRPr="00D5464D">
        <w:rPr>
          <w:rFonts w:eastAsia="Batang" w:cs="Times"/>
          <w:szCs w:val="24"/>
          <w:lang w:val="pt-BR" w:eastAsia="es-ES"/>
        </w:rPr>
        <w:t xml:space="preserve">s </w:t>
      </w:r>
      <w:r w:rsidRPr="00D5464D">
        <w:rPr>
          <w:rFonts w:eastAsia="Batang" w:cs="Times"/>
          <w:szCs w:val="24"/>
          <w:lang w:val="pt-BR" w:eastAsia="es-ES"/>
        </w:rPr>
        <w:t>favora</w:t>
      </w:r>
      <w:r w:rsidR="00E045D9" w:rsidRPr="00D5464D">
        <w:rPr>
          <w:rFonts w:eastAsia="Batang" w:cs="Times"/>
          <w:szCs w:val="24"/>
          <w:lang w:val="pt-BR" w:eastAsia="es-ES"/>
        </w:rPr>
        <w:t xml:space="preserve">velmente </w:t>
      </w:r>
      <w:r w:rsidR="00A1358C" w:rsidRPr="00D5464D">
        <w:rPr>
          <w:rFonts w:eastAsia="Batang" w:cs="Times"/>
          <w:szCs w:val="24"/>
          <w:lang w:val="pt-BR" w:eastAsia="es-ES"/>
        </w:rPr>
        <w:t>impediria</w:t>
      </w:r>
      <w:r w:rsidR="00D54143" w:rsidRPr="00D5464D">
        <w:rPr>
          <w:rFonts w:eastAsia="Batang" w:cs="Times"/>
          <w:szCs w:val="24"/>
          <w:lang w:val="pt-BR" w:eastAsia="es-ES"/>
        </w:rPr>
        <w:t>m</w:t>
      </w:r>
      <w:r w:rsidR="002C330E" w:rsidRPr="00D5464D">
        <w:rPr>
          <w:rFonts w:eastAsia="Batang" w:cs="Times"/>
          <w:szCs w:val="24"/>
          <w:lang w:val="pt-BR" w:eastAsia="es-ES"/>
        </w:rPr>
        <w:t xml:space="preserve"> </w:t>
      </w:r>
      <w:r w:rsidR="00D54143" w:rsidRPr="00D5464D">
        <w:rPr>
          <w:rFonts w:eastAsia="Batang" w:cs="Times"/>
          <w:szCs w:val="24"/>
          <w:lang w:val="pt-BR" w:eastAsia="es-ES"/>
        </w:rPr>
        <w:t xml:space="preserve">a </w:t>
      </w:r>
      <w:r w:rsidR="00C16021" w:rsidRPr="00D5464D">
        <w:rPr>
          <w:rFonts w:eastAsia="Batang" w:cs="Times"/>
          <w:szCs w:val="24"/>
          <w:lang w:val="pt-BR" w:eastAsia="es-ES"/>
        </w:rPr>
        <w:t>continuação</w:t>
      </w:r>
      <w:r w:rsidR="00D54143" w:rsidRPr="00D5464D">
        <w:rPr>
          <w:rFonts w:eastAsia="Batang" w:cs="Times"/>
          <w:szCs w:val="24"/>
          <w:lang w:val="pt-BR" w:eastAsia="es-ES"/>
        </w:rPr>
        <w:t xml:space="preserve"> do processo ou </w:t>
      </w:r>
      <w:r w:rsidR="00470ADC" w:rsidRPr="00D5464D">
        <w:rPr>
          <w:rFonts w:eastAsia="Batang" w:cs="Times"/>
          <w:szCs w:val="24"/>
          <w:lang w:val="pt-BR" w:eastAsia="es-ES"/>
        </w:rPr>
        <w:t xml:space="preserve">o </w:t>
      </w:r>
      <w:r w:rsidR="002C330E" w:rsidRPr="00D5464D">
        <w:rPr>
          <w:rFonts w:eastAsia="Batang" w:cs="Times"/>
          <w:szCs w:val="24"/>
          <w:lang w:val="pt-BR" w:eastAsia="es-ES"/>
        </w:rPr>
        <w:t>pronunciamento</w:t>
      </w:r>
      <w:r w:rsidRPr="00D5464D">
        <w:rPr>
          <w:rFonts w:eastAsia="Batang" w:cs="Times"/>
          <w:szCs w:val="24"/>
          <w:lang w:val="pt-BR" w:eastAsia="es-ES"/>
        </w:rPr>
        <w:t xml:space="preserve"> sobre</w:t>
      </w:r>
      <w:r w:rsidR="00470ADC" w:rsidRPr="00D5464D">
        <w:rPr>
          <w:rFonts w:eastAsia="Batang" w:cs="Times"/>
          <w:szCs w:val="24"/>
          <w:lang w:val="pt-BR" w:eastAsia="es-ES"/>
        </w:rPr>
        <w:t xml:space="preserve"> o mérito</w:t>
      </w:r>
      <w:r w:rsidR="00D54143" w:rsidRPr="00D5464D">
        <w:rPr>
          <w:rFonts w:eastAsia="Batang" w:cs="Times"/>
          <w:szCs w:val="24"/>
          <w:lang w:val="pt-BR" w:eastAsia="es-ES"/>
        </w:rPr>
        <w:t>.</w:t>
      </w:r>
      <w:r w:rsidRPr="00D5464D">
        <w:rPr>
          <w:rFonts w:eastAsia="Batang" w:cs="Times"/>
          <w:szCs w:val="24"/>
          <w:vertAlign w:val="superscript"/>
          <w:lang w:val="pt-BR" w:eastAsia="es-ES"/>
        </w:rPr>
        <w:footnoteReference w:id="18"/>
      </w:r>
      <w:r w:rsidR="002C330E" w:rsidRPr="00D5464D">
        <w:rPr>
          <w:rFonts w:eastAsia="Batang" w:cs="Times"/>
          <w:szCs w:val="24"/>
          <w:lang w:val="pt-BR" w:eastAsia="es-ES"/>
        </w:rPr>
        <w:t xml:space="preserve"> </w:t>
      </w:r>
      <w:r w:rsidR="00D54143" w:rsidRPr="00D5464D">
        <w:rPr>
          <w:rFonts w:eastAsia="Batang" w:cs="Times"/>
          <w:szCs w:val="24"/>
          <w:lang w:val="pt-BR" w:eastAsia="es-ES"/>
        </w:rPr>
        <w:t xml:space="preserve">Tem sido um critério </w:t>
      </w:r>
      <w:r w:rsidRPr="00D5464D">
        <w:rPr>
          <w:rFonts w:eastAsia="Batang" w:cs="Times"/>
          <w:szCs w:val="24"/>
          <w:lang w:val="pt-BR" w:eastAsia="es-ES"/>
        </w:rPr>
        <w:t>reiterado</w:t>
      </w:r>
      <w:r w:rsidR="00470ADC" w:rsidRPr="00D5464D">
        <w:rPr>
          <w:rFonts w:eastAsia="Batang" w:cs="Times"/>
          <w:szCs w:val="24"/>
          <w:lang w:val="pt-BR" w:eastAsia="es-ES"/>
        </w:rPr>
        <w:t xml:space="preserve"> da </w:t>
      </w:r>
      <w:r w:rsidRPr="00D5464D">
        <w:rPr>
          <w:rFonts w:eastAsia="Batang" w:cs="Times"/>
          <w:szCs w:val="24"/>
          <w:lang w:val="pt-BR" w:eastAsia="es-ES"/>
        </w:rPr>
        <w:t xml:space="preserve">Corte que </w:t>
      </w:r>
      <w:r w:rsidR="00D54143" w:rsidRPr="00D5464D">
        <w:rPr>
          <w:rFonts w:eastAsia="Batang" w:cs="Times"/>
          <w:szCs w:val="24"/>
          <w:lang w:val="pt-BR" w:eastAsia="es-ES"/>
        </w:rPr>
        <w:t xml:space="preserve">através </w:t>
      </w:r>
      <w:r w:rsidRPr="00D5464D">
        <w:rPr>
          <w:rFonts w:eastAsia="Batang" w:cs="Times"/>
          <w:szCs w:val="24"/>
          <w:lang w:val="pt-BR" w:eastAsia="es-ES"/>
        </w:rPr>
        <w:t>de</w:t>
      </w:r>
      <w:r w:rsidR="00E045D9" w:rsidRPr="00D5464D">
        <w:rPr>
          <w:rFonts w:eastAsia="Batang" w:cs="Times"/>
          <w:szCs w:val="24"/>
          <w:lang w:val="pt-BR" w:eastAsia="es-ES"/>
        </w:rPr>
        <w:t xml:space="preserve"> uma </w:t>
      </w:r>
      <w:r w:rsidR="00470ADC" w:rsidRPr="00D5464D">
        <w:rPr>
          <w:rFonts w:eastAsia="Batang" w:cs="Times"/>
          <w:szCs w:val="24"/>
          <w:lang w:val="pt-BR" w:eastAsia="es-ES"/>
        </w:rPr>
        <w:t>exceção</w:t>
      </w:r>
      <w:r w:rsidRPr="00D5464D">
        <w:rPr>
          <w:rFonts w:eastAsia="Batang" w:cs="Times"/>
          <w:szCs w:val="24"/>
          <w:lang w:val="pt-BR" w:eastAsia="es-ES"/>
        </w:rPr>
        <w:t xml:space="preserve"> preliminar </w:t>
      </w:r>
      <w:r w:rsidR="00D54143" w:rsidRPr="00D5464D">
        <w:rPr>
          <w:rFonts w:eastAsia="Batang" w:cs="Times"/>
          <w:szCs w:val="24"/>
          <w:lang w:val="pt-BR" w:eastAsia="es-ES"/>
        </w:rPr>
        <w:t xml:space="preserve">são apresentadas </w:t>
      </w:r>
      <w:r w:rsidRPr="00D5464D">
        <w:rPr>
          <w:rFonts w:eastAsia="Batang" w:cs="Times"/>
          <w:szCs w:val="24"/>
          <w:lang w:val="pt-BR" w:eastAsia="es-ES"/>
        </w:rPr>
        <w:t>obje</w:t>
      </w:r>
      <w:r w:rsidR="00470ADC" w:rsidRPr="00D5464D">
        <w:rPr>
          <w:rFonts w:eastAsia="Batang" w:cs="Times"/>
          <w:szCs w:val="24"/>
          <w:lang w:val="pt-BR" w:eastAsia="es-ES"/>
        </w:rPr>
        <w:t>ções</w:t>
      </w:r>
      <w:r w:rsidRPr="00D5464D">
        <w:rPr>
          <w:rFonts w:eastAsia="Batang" w:cs="Times"/>
          <w:szCs w:val="24"/>
          <w:lang w:val="pt-BR" w:eastAsia="es-ES"/>
        </w:rPr>
        <w:t xml:space="preserve"> </w:t>
      </w:r>
      <w:r w:rsidR="00D54143" w:rsidRPr="00D5464D">
        <w:rPr>
          <w:rFonts w:eastAsia="Batang" w:cs="Times"/>
          <w:szCs w:val="24"/>
          <w:lang w:val="pt-BR" w:eastAsia="es-ES"/>
        </w:rPr>
        <w:t>sobre a</w:t>
      </w:r>
      <w:r w:rsidR="002C330E" w:rsidRPr="00D5464D">
        <w:rPr>
          <w:rFonts w:eastAsia="Batang" w:cs="Times"/>
          <w:szCs w:val="24"/>
          <w:lang w:val="pt-BR" w:eastAsia="es-ES"/>
        </w:rPr>
        <w:t xml:space="preserve"> </w:t>
      </w:r>
      <w:r w:rsidR="00470ADC" w:rsidRPr="00D5464D">
        <w:rPr>
          <w:rFonts w:eastAsia="Batang" w:cs="Times"/>
          <w:szCs w:val="24"/>
          <w:lang w:val="pt-BR" w:eastAsia="es-ES"/>
        </w:rPr>
        <w:t>admissibilidade</w:t>
      </w:r>
      <w:r w:rsidRPr="00D5464D">
        <w:rPr>
          <w:rFonts w:eastAsia="Batang" w:cs="Times"/>
          <w:szCs w:val="24"/>
          <w:lang w:val="pt-BR" w:eastAsia="es-ES"/>
        </w:rPr>
        <w:t xml:space="preserve"> de</w:t>
      </w:r>
      <w:r w:rsidR="00E045D9" w:rsidRPr="00D5464D">
        <w:rPr>
          <w:rFonts w:eastAsia="Batang" w:cs="Times"/>
          <w:szCs w:val="24"/>
          <w:lang w:val="pt-BR" w:eastAsia="es-ES"/>
        </w:rPr>
        <w:t xml:space="preserve"> um </w:t>
      </w:r>
      <w:r w:rsidRPr="00D5464D">
        <w:rPr>
          <w:rFonts w:eastAsia="Batang" w:cs="Times"/>
          <w:szCs w:val="24"/>
          <w:lang w:val="pt-BR" w:eastAsia="es-ES"/>
        </w:rPr>
        <w:t>caso o</w:t>
      </w:r>
      <w:r w:rsidR="00D54143" w:rsidRPr="00D5464D">
        <w:rPr>
          <w:rFonts w:eastAsia="Batang" w:cs="Times"/>
          <w:szCs w:val="24"/>
          <w:lang w:val="pt-BR" w:eastAsia="es-ES"/>
        </w:rPr>
        <w:t>u</w:t>
      </w:r>
      <w:r w:rsidRPr="00D5464D">
        <w:rPr>
          <w:rFonts w:eastAsia="Batang" w:cs="Times"/>
          <w:szCs w:val="24"/>
          <w:lang w:val="pt-BR" w:eastAsia="es-ES"/>
        </w:rPr>
        <w:t xml:space="preserve"> </w:t>
      </w:r>
      <w:r w:rsidR="00E045D9" w:rsidRPr="00D5464D">
        <w:rPr>
          <w:rFonts w:eastAsia="Batang" w:cs="Times"/>
          <w:szCs w:val="24"/>
          <w:lang w:val="pt-BR" w:eastAsia="es-ES"/>
        </w:rPr>
        <w:t>sua competência</w:t>
      </w:r>
      <w:r w:rsidRPr="00D5464D">
        <w:rPr>
          <w:rFonts w:eastAsia="Batang" w:cs="Times"/>
          <w:szCs w:val="24"/>
          <w:lang w:val="pt-BR" w:eastAsia="es-ES"/>
        </w:rPr>
        <w:t xml:space="preserve"> para </w:t>
      </w:r>
      <w:r w:rsidR="00470ADC" w:rsidRPr="00D5464D">
        <w:rPr>
          <w:rFonts w:eastAsia="Batang" w:cs="Times"/>
          <w:szCs w:val="24"/>
          <w:lang w:val="pt-BR" w:eastAsia="es-ES"/>
        </w:rPr>
        <w:t>conhecer</w:t>
      </w:r>
      <w:r w:rsidRPr="00D5464D">
        <w:rPr>
          <w:rFonts w:eastAsia="Batang" w:cs="Times"/>
          <w:szCs w:val="24"/>
          <w:lang w:val="pt-BR" w:eastAsia="es-ES"/>
        </w:rPr>
        <w:t xml:space="preserve"> de</w:t>
      </w:r>
      <w:r w:rsidR="00E045D9" w:rsidRPr="00D5464D">
        <w:rPr>
          <w:rFonts w:eastAsia="Batang" w:cs="Times"/>
          <w:szCs w:val="24"/>
          <w:lang w:val="pt-BR" w:eastAsia="es-ES"/>
        </w:rPr>
        <w:t xml:space="preserve"> um </w:t>
      </w:r>
      <w:r w:rsidRPr="00D5464D">
        <w:rPr>
          <w:rFonts w:eastAsia="Batang" w:cs="Times"/>
          <w:szCs w:val="24"/>
          <w:lang w:val="pt-BR" w:eastAsia="es-ES"/>
        </w:rPr>
        <w:t xml:space="preserve">determinado </w:t>
      </w:r>
      <w:r w:rsidR="00470ADC" w:rsidRPr="00D5464D">
        <w:rPr>
          <w:rFonts w:eastAsia="Batang" w:cs="Times"/>
          <w:szCs w:val="24"/>
          <w:lang w:val="pt-BR" w:eastAsia="es-ES"/>
        </w:rPr>
        <w:t>assunto</w:t>
      </w:r>
      <w:r w:rsidRPr="00D5464D">
        <w:rPr>
          <w:rFonts w:eastAsia="Batang" w:cs="Times"/>
          <w:szCs w:val="24"/>
          <w:lang w:val="pt-BR" w:eastAsia="es-ES"/>
        </w:rPr>
        <w:t xml:space="preserve"> o</w:t>
      </w:r>
      <w:r w:rsidR="00D54143" w:rsidRPr="00D5464D">
        <w:rPr>
          <w:rFonts w:eastAsia="Batang" w:cs="Times"/>
          <w:szCs w:val="24"/>
          <w:lang w:val="pt-BR" w:eastAsia="es-ES"/>
        </w:rPr>
        <w:t>u</w:t>
      </w:r>
      <w:r w:rsidRPr="00D5464D">
        <w:rPr>
          <w:rFonts w:eastAsia="Batang" w:cs="Times"/>
          <w:szCs w:val="24"/>
          <w:lang w:val="pt-BR" w:eastAsia="es-ES"/>
        </w:rPr>
        <w:t xml:space="preserve"> parte</w:t>
      </w:r>
      <w:r w:rsidR="00350187" w:rsidRPr="00D5464D">
        <w:rPr>
          <w:rFonts w:eastAsia="Batang" w:cs="Times"/>
          <w:szCs w:val="24"/>
          <w:lang w:val="pt-BR" w:eastAsia="es-ES"/>
        </w:rPr>
        <w:t xml:space="preserve"> dele</w:t>
      </w:r>
      <w:r w:rsidR="00470ADC" w:rsidRPr="00D5464D">
        <w:rPr>
          <w:rFonts w:eastAsia="Batang" w:cs="Times"/>
          <w:szCs w:val="24"/>
          <w:lang w:val="pt-BR" w:eastAsia="es-ES"/>
        </w:rPr>
        <w:t>,</w:t>
      </w:r>
      <w:r w:rsidR="00737270" w:rsidRPr="00D5464D">
        <w:rPr>
          <w:rFonts w:eastAsia="Batang" w:cs="Times"/>
          <w:szCs w:val="24"/>
          <w:lang w:val="pt-BR" w:eastAsia="es-ES"/>
        </w:rPr>
        <w:t xml:space="preserve"> </w:t>
      </w:r>
      <w:r w:rsidR="002C330E" w:rsidRPr="00D5464D">
        <w:rPr>
          <w:rFonts w:eastAsia="Batang" w:cs="Times"/>
          <w:szCs w:val="24"/>
          <w:lang w:val="pt-BR" w:eastAsia="es-ES"/>
        </w:rPr>
        <w:t xml:space="preserve">seja </w:t>
      </w:r>
      <w:r w:rsidR="00470ADC" w:rsidRPr="00D5464D">
        <w:rPr>
          <w:rFonts w:eastAsia="Batang" w:cs="Times"/>
          <w:szCs w:val="24"/>
          <w:lang w:val="pt-BR" w:eastAsia="es-ES"/>
        </w:rPr>
        <w:t xml:space="preserve">em </w:t>
      </w:r>
      <w:r w:rsidR="002C330E" w:rsidRPr="00D5464D">
        <w:rPr>
          <w:rFonts w:eastAsia="Batang" w:cs="Times"/>
          <w:szCs w:val="24"/>
          <w:lang w:val="pt-BR" w:eastAsia="es-ES"/>
        </w:rPr>
        <w:t>razão</w:t>
      </w:r>
      <w:r w:rsidR="00470ADC" w:rsidRPr="00D5464D">
        <w:rPr>
          <w:rFonts w:eastAsia="Batang" w:cs="Times"/>
          <w:szCs w:val="24"/>
          <w:lang w:val="pt-BR" w:eastAsia="es-ES"/>
        </w:rPr>
        <w:t xml:space="preserve"> da </w:t>
      </w:r>
      <w:r w:rsidR="002C330E" w:rsidRPr="00D5464D">
        <w:rPr>
          <w:rFonts w:eastAsia="Batang" w:cs="Times"/>
          <w:szCs w:val="24"/>
          <w:lang w:val="pt-BR" w:eastAsia="es-ES"/>
        </w:rPr>
        <w:t>pessoa</w:t>
      </w:r>
      <w:r w:rsidRPr="00D5464D">
        <w:rPr>
          <w:rFonts w:eastAsia="Batang" w:cs="Times"/>
          <w:szCs w:val="24"/>
          <w:lang w:val="pt-BR" w:eastAsia="es-ES"/>
        </w:rPr>
        <w:t>, mat</w:t>
      </w:r>
      <w:r w:rsidR="00D54143" w:rsidRPr="00D5464D">
        <w:rPr>
          <w:rFonts w:eastAsia="Batang" w:cs="Times"/>
          <w:szCs w:val="24"/>
          <w:lang w:val="pt-BR" w:eastAsia="es-ES"/>
        </w:rPr>
        <w:t>é</w:t>
      </w:r>
      <w:r w:rsidRPr="00D5464D">
        <w:rPr>
          <w:rFonts w:eastAsia="Batang" w:cs="Times"/>
          <w:szCs w:val="24"/>
          <w:lang w:val="pt-BR" w:eastAsia="es-ES"/>
        </w:rPr>
        <w:t xml:space="preserve">ria, </w:t>
      </w:r>
      <w:r w:rsidR="00E045D9" w:rsidRPr="00D5464D">
        <w:rPr>
          <w:rFonts w:eastAsia="Batang" w:cs="Times"/>
          <w:szCs w:val="24"/>
          <w:lang w:val="pt-BR" w:eastAsia="es-ES"/>
        </w:rPr>
        <w:t>tempo</w:t>
      </w:r>
      <w:r w:rsidRPr="00D5464D">
        <w:rPr>
          <w:rFonts w:eastAsia="Batang" w:cs="Times"/>
          <w:szCs w:val="24"/>
          <w:lang w:val="pt-BR" w:eastAsia="es-ES"/>
        </w:rPr>
        <w:t xml:space="preserve"> o</w:t>
      </w:r>
      <w:r w:rsidR="00D54143" w:rsidRPr="00D5464D">
        <w:rPr>
          <w:rFonts w:eastAsia="Batang" w:cs="Times"/>
          <w:szCs w:val="24"/>
          <w:lang w:val="pt-BR" w:eastAsia="es-ES"/>
        </w:rPr>
        <w:t>u</w:t>
      </w:r>
      <w:r w:rsidRPr="00D5464D">
        <w:rPr>
          <w:rFonts w:eastAsia="Batang" w:cs="Times"/>
          <w:szCs w:val="24"/>
          <w:lang w:val="pt-BR" w:eastAsia="es-ES"/>
        </w:rPr>
        <w:t xml:space="preserve"> lugar</w:t>
      </w:r>
      <w:r w:rsidR="00D54143" w:rsidRPr="00D5464D">
        <w:rPr>
          <w:rFonts w:eastAsia="Batang" w:cs="Times"/>
          <w:szCs w:val="24"/>
          <w:lang w:val="pt-BR" w:eastAsia="es-ES"/>
        </w:rPr>
        <w:t>.</w:t>
      </w:r>
      <w:r w:rsidRPr="00D5464D">
        <w:rPr>
          <w:rFonts w:eastAsia="Batang" w:cs="Times"/>
          <w:szCs w:val="24"/>
          <w:vertAlign w:val="superscript"/>
          <w:lang w:val="pt-BR" w:eastAsia="es-ES"/>
        </w:rPr>
        <w:footnoteReference w:id="19"/>
      </w:r>
    </w:p>
    <w:p w14:paraId="4ABB256E" w14:textId="77777777" w:rsidR="0090752B" w:rsidRPr="00D5464D" w:rsidRDefault="0090752B" w:rsidP="00490523">
      <w:pPr>
        <w:pStyle w:val="Prrafodelista"/>
        <w:rPr>
          <w:rFonts w:eastAsia="Batang" w:cs="Times"/>
          <w:szCs w:val="24"/>
          <w:lang w:val="pt-BR" w:eastAsia="es-ES"/>
        </w:rPr>
      </w:pPr>
    </w:p>
    <w:p w14:paraId="0897D796" w14:textId="480C004A" w:rsidR="000A52D5" w:rsidRPr="00D5464D" w:rsidRDefault="00E765C2"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A seguir</w:t>
      </w:r>
      <w:r w:rsidR="000A52D5" w:rsidRPr="00D5464D">
        <w:rPr>
          <w:rFonts w:eastAsia="Batang" w:cs="Times"/>
          <w:szCs w:val="24"/>
          <w:lang w:val="pt-BR" w:eastAsia="es-ES"/>
        </w:rPr>
        <w:t>,</w:t>
      </w:r>
      <w:r w:rsidR="002C330E" w:rsidRPr="00D5464D">
        <w:rPr>
          <w:rFonts w:eastAsia="Batang" w:cs="Times"/>
          <w:szCs w:val="24"/>
          <w:lang w:val="pt-BR" w:eastAsia="es-ES"/>
        </w:rPr>
        <w:t xml:space="preserve"> a </w:t>
      </w:r>
      <w:r w:rsidR="000A52D5" w:rsidRPr="00D5464D">
        <w:rPr>
          <w:rFonts w:eastAsia="Batang" w:cs="Times"/>
          <w:szCs w:val="24"/>
          <w:lang w:val="pt-BR" w:eastAsia="es-ES"/>
        </w:rPr>
        <w:t xml:space="preserve">Corte procederá </w:t>
      </w:r>
      <w:r w:rsidR="006B3D88" w:rsidRPr="00D5464D">
        <w:rPr>
          <w:rFonts w:eastAsia="Batang" w:cs="Times"/>
          <w:szCs w:val="24"/>
          <w:lang w:val="pt-BR" w:eastAsia="es-ES"/>
        </w:rPr>
        <w:t xml:space="preserve">à analise das </w:t>
      </w:r>
      <w:r w:rsidR="00470ADC" w:rsidRPr="00D5464D">
        <w:rPr>
          <w:rFonts w:eastAsia="Batang" w:cs="Times"/>
          <w:szCs w:val="24"/>
          <w:lang w:val="pt-BR" w:eastAsia="es-ES"/>
        </w:rPr>
        <w:t>exceções</w:t>
      </w:r>
      <w:r w:rsidR="000A52D5" w:rsidRPr="00D5464D">
        <w:rPr>
          <w:rFonts w:eastAsia="Batang" w:cs="Times"/>
          <w:szCs w:val="24"/>
          <w:lang w:val="pt-BR" w:eastAsia="es-ES"/>
        </w:rPr>
        <w:t xml:space="preserve"> preliminares </w:t>
      </w:r>
      <w:r w:rsidR="00D54143" w:rsidRPr="00D5464D">
        <w:rPr>
          <w:rFonts w:eastAsia="Batang" w:cs="Times"/>
          <w:szCs w:val="24"/>
          <w:lang w:val="pt-BR" w:eastAsia="es-ES"/>
        </w:rPr>
        <w:t>mencionadas</w:t>
      </w:r>
      <w:r w:rsidR="000A52D5" w:rsidRPr="00D5464D">
        <w:rPr>
          <w:rFonts w:eastAsia="Batang" w:cs="Times"/>
          <w:szCs w:val="24"/>
          <w:lang w:val="pt-BR" w:eastAsia="es-ES"/>
        </w:rPr>
        <w:t>,</w:t>
      </w:r>
      <w:r w:rsidR="00E045D9" w:rsidRPr="00D5464D">
        <w:rPr>
          <w:rFonts w:eastAsia="Batang" w:cs="Times"/>
          <w:szCs w:val="24"/>
          <w:lang w:val="pt-BR" w:eastAsia="es-ES"/>
        </w:rPr>
        <w:t xml:space="preserve"> n</w:t>
      </w:r>
      <w:r w:rsidR="00D54143" w:rsidRPr="00D5464D">
        <w:rPr>
          <w:rFonts w:eastAsia="Batang" w:cs="Times"/>
          <w:szCs w:val="24"/>
          <w:lang w:val="pt-BR" w:eastAsia="es-ES"/>
        </w:rPr>
        <w:t>a</w:t>
      </w:r>
      <w:r w:rsidR="00E045D9" w:rsidRPr="00D5464D">
        <w:rPr>
          <w:rFonts w:eastAsia="Batang" w:cs="Times"/>
          <w:szCs w:val="24"/>
          <w:lang w:val="pt-BR" w:eastAsia="es-ES"/>
        </w:rPr>
        <w:t xml:space="preserve"> </w:t>
      </w:r>
      <w:r w:rsidR="002C330E" w:rsidRPr="00D5464D">
        <w:rPr>
          <w:rFonts w:eastAsia="Batang" w:cs="Times"/>
          <w:szCs w:val="24"/>
          <w:lang w:val="pt-BR" w:eastAsia="es-ES"/>
        </w:rPr>
        <w:t xml:space="preserve">ordem </w:t>
      </w:r>
      <w:r w:rsidR="00470ADC" w:rsidRPr="00D5464D">
        <w:rPr>
          <w:rFonts w:eastAsia="Batang" w:cs="Times"/>
          <w:szCs w:val="24"/>
          <w:lang w:val="pt-BR" w:eastAsia="es-ES"/>
        </w:rPr>
        <w:t xml:space="preserve">em </w:t>
      </w:r>
      <w:r w:rsidR="000A52D5" w:rsidRPr="00D5464D">
        <w:rPr>
          <w:rFonts w:eastAsia="Batang" w:cs="Times"/>
          <w:szCs w:val="24"/>
          <w:lang w:val="pt-BR" w:eastAsia="es-ES"/>
        </w:rPr>
        <w:t xml:space="preserve">que </w:t>
      </w:r>
      <w:r w:rsidR="00470ADC" w:rsidRPr="00D5464D">
        <w:rPr>
          <w:rFonts w:eastAsia="Batang" w:cs="Times"/>
          <w:szCs w:val="24"/>
          <w:lang w:val="pt-BR" w:eastAsia="es-ES"/>
        </w:rPr>
        <w:t>foram</w:t>
      </w:r>
      <w:r w:rsidR="002C330E" w:rsidRPr="00D5464D">
        <w:rPr>
          <w:rFonts w:eastAsia="Batang" w:cs="Times"/>
          <w:szCs w:val="24"/>
          <w:lang w:val="pt-BR" w:eastAsia="es-ES"/>
        </w:rPr>
        <w:t xml:space="preserve"> apresentadas pelo </w:t>
      </w:r>
      <w:r w:rsidR="000A52D5" w:rsidRPr="00D5464D">
        <w:rPr>
          <w:rFonts w:eastAsia="Batang" w:cs="Times"/>
          <w:szCs w:val="24"/>
          <w:lang w:val="pt-BR" w:eastAsia="es-ES"/>
        </w:rPr>
        <w:t xml:space="preserve">Estado. </w:t>
      </w:r>
    </w:p>
    <w:p w14:paraId="44365B2D" w14:textId="77777777" w:rsidR="000A52D5" w:rsidRPr="00D5464D" w:rsidRDefault="000A52D5" w:rsidP="00140440">
      <w:pPr>
        <w:tabs>
          <w:tab w:val="clear" w:pos="4419"/>
          <w:tab w:val="clear" w:pos="8838"/>
        </w:tabs>
        <w:jc w:val="both"/>
        <w:rPr>
          <w:rFonts w:eastAsia="Batang" w:cs="Times"/>
          <w:szCs w:val="24"/>
          <w:lang w:val="pt-BR" w:eastAsia="es-ES"/>
        </w:rPr>
      </w:pPr>
    </w:p>
    <w:p w14:paraId="7454A456" w14:textId="04A2C0D8" w:rsidR="000A52D5" w:rsidRPr="00D5464D" w:rsidRDefault="000A52D5" w:rsidP="00F306D7">
      <w:pPr>
        <w:pStyle w:val="Ttulo2"/>
        <w:numPr>
          <w:ilvl w:val="0"/>
          <w:numId w:val="15"/>
        </w:numPr>
        <w:rPr>
          <w:rFonts w:eastAsia="Batang"/>
          <w:lang w:val="pt-BR" w:eastAsia="es-ES"/>
        </w:rPr>
      </w:pPr>
      <w:bookmarkStart w:id="44" w:name="_Toc468433849"/>
      <w:r w:rsidRPr="00D5464D">
        <w:rPr>
          <w:rFonts w:eastAsia="Batang"/>
          <w:lang w:val="pt-BR" w:eastAsia="es-ES"/>
        </w:rPr>
        <w:t>Alegada in</w:t>
      </w:r>
      <w:r w:rsidR="00470ADC" w:rsidRPr="00D5464D">
        <w:rPr>
          <w:rFonts w:eastAsia="Batang"/>
          <w:lang w:val="pt-BR" w:eastAsia="es-ES"/>
        </w:rPr>
        <w:t>admissibilidade</w:t>
      </w:r>
      <w:r w:rsidRPr="00D5464D">
        <w:rPr>
          <w:rFonts w:eastAsia="Batang"/>
          <w:lang w:val="pt-BR" w:eastAsia="es-ES"/>
        </w:rPr>
        <w:t xml:space="preserve"> </w:t>
      </w:r>
      <w:r w:rsidR="00113E89" w:rsidRPr="00D5464D">
        <w:rPr>
          <w:rFonts w:eastAsia="Batang"/>
          <w:lang w:val="pt-BR" w:eastAsia="es-ES"/>
        </w:rPr>
        <w:t>da</w:t>
      </w:r>
      <w:r w:rsidR="00470ADC" w:rsidRPr="00D5464D">
        <w:rPr>
          <w:rFonts w:eastAsia="Batang"/>
          <w:lang w:val="pt-BR" w:eastAsia="es-ES"/>
        </w:rPr>
        <w:t xml:space="preserve"> </w:t>
      </w:r>
      <w:r w:rsidR="002C330E" w:rsidRPr="00D5464D">
        <w:rPr>
          <w:rFonts w:eastAsia="Batang"/>
          <w:lang w:val="pt-BR" w:eastAsia="es-ES"/>
        </w:rPr>
        <w:t>submissão</w:t>
      </w:r>
      <w:r w:rsidRPr="00D5464D">
        <w:rPr>
          <w:rFonts w:eastAsia="Batang"/>
          <w:lang w:val="pt-BR" w:eastAsia="es-ES"/>
        </w:rPr>
        <w:t xml:space="preserve"> </w:t>
      </w:r>
      <w:r w:rsidR="00470ADC" w:rsidRPr="00D5464D">
        <w:rPr>
          <w:rFonts w:eastAsia="Batang"/>
          <w:lang w:val="pt-BR" w:eastAsia="es-ES"/>
        </w:rPr>
        <w:t xml:space="preserve">do </w:t>
      </w:r>
      <w:r w:rsidRPr="00D5464D">
        <w:rPr>
          <w:rFonts w:eastAsia="Batang"/>
          <w:lang w:val="pt-BR" w:eastAsia="es-ES"/>
        </w:rPr>
        <w:t>caso</w:t>
      </w:r>
      <w:r w:rsidR="00470ADC" w:rsidRPr="00D5464D">
        <w:rPr>
          <w:rFonts w:eastAsia="Batang"/>
          <w:lang w:val="pt-BR" w:eastAsia="es-ES"/>
        </w:rPr>
        <w:t xml:space="preserve"> à </w:t>
      </w:r>
      <w:r w:rsidRPr="00D5464D">
        <w:rPr>
          <w:rFonts w:eastAsia="Batang"/>
          <w:lang w:val="pt-BR" w:eastAsia="es-ES"/>
        </w:rPr>
        <w:t>Corte</w:t>
      </w:r>
      <w:r w:rsidR="00470ADC" w:rsidRPr="00D5464D">
        <w:rPr>
          <w:rFonts w:eastAsia="Batang"/>
          <w:lang w:val="pt-BR" w:eastAsia="es-ES"/>
        </w:rPr>
        <w:t xml:space="preserve"> em </w:t>
      </w:r>
      <w:r w:rsidR="00E045D9" w:rsidRPr="00D5464D">
        <w:rPr>
          <w:rFonts w:eastAsia="Batang"/>
          <w:lang w:val="pt-BR" w:eastAsia="es-ES"/>
        </w:rPr>
        <w:t xml:space="preserve">virtude </w:t>
      </w:r>
      <w:r w:rsidR="00470ADC" w:rsidRPr="00D5464D">
        <w:rPr>
          <w:rFonts w:eastAsia="Batang"/>
          <w:lang w:val="pt-BR" w:eastAsia="es-ES"/>
        </w:rPr>
        <w:t xml:space="preserve">da </w:t>
      </w:r>
      <w:r w:rsidRPr="00D5464D">
        <w:rPr>
          <w:rFonts w:eastAsia="Batang"/>
          <w:lang w:val="pt-BR" w:eastAsia="es-ES"/>
        </w:rPr>
        <w:t>publica</w:t>
      </w:r>
      <w:r w:rsidR="00470ADC" w:rsidRPr="00D5464D">
        <w:rPr>
          <w:rFonts w:eastAsia="Batang"/>
          <w:lang w:val="pt-BR" w:eastAsia="es-ES"/>
        </w:rPr>
        <w:t>ção</w:t>
      </w:r>
      <w:r w:rsidRPr="00D5464D">
        <w:rPr>
          <w:rFonts w:eastAsia="Batang"/>
          <w:lang w:val="pt-BR" w:eastAsia="es-ES"/>
        </w:rPr>
        <w:t xml:space="preserve"> </w:t>
      </w:r>
      <w:r w:rsidR="00470ADC" w:rsidRPr="00D5464D">
        <w:rPr>
          <w:rFonts w:eastAsia="Batang"/>
          <w:lang w:val="pt-BR" w:eastAsia="es-ES"/>
        </w:rPr>
        <w:t>do</w:t>
      </w:r>
      <w:r w:rsidR="002C330E" w:rsidRPr="00D5464D">
        <w:rPr>
          <w:rFonts w:eastAsia="Batang"/>
          <w:lang w:val="pt-BR" w:eastAsia="es-ES"/>
        </w:rPr>
        <w:t xml:space="preserve"> </w:t>
      </w:r>
      <w:r w:rsidR="00350187" w:rsidRPr="00D5464D">
        <w:rPr>
          <w:rFonts w:eastAsia="Batang"/>
          <w:lang w:val="pt-BR" w:eastAsia="es-ES"/>
        </w:rPr>
        <w:t>Relatório</w:t>
      </w:r>
      <w:r w:rsidR="002C330E" w:rsidRPr="00D5464D">
        <w:rPr>
          <w:rFonts w:eastAsia="Batang"/>
          <w:lang w:val="pt-BR" w:eastAsia="es-ES"/>
        </w:rPr>
        <w:t xml:space="preserve"> de Mérito</w:t>
      </w:r>
      <w:r w:rsidRPr="00D5464D">
        <w:rPr>
          <w:rFonts w:eastAsia="Batang"/>
          <w:lang w:val="pt-BR" w:eastAsia="es-ES"/>
        </w:rPr>
        <w:t xml:space="preserve"> por parte</w:t>
      </w:r>
      <w:r w:rsidR="00470ADC" w:rsidRPr="00D5464D">
        <w:rPr>
          <w:rFonts w:eastAsia="Batang"/>
          <w:lang w:val="pt-BR" w:eastAsia="es-ES"/>
        </w:rPr>
        <w:t xml:space="preserve"> da Comissão</w:t>
      </w:r>
      <w:bookmarkEnd w:id="44"/>
    </w:p>
    <w:p w14:paraId="6E317305" w14:textId="77777777" w:rsidR="000A52D5" w:rsidRPr="00D5464D" w:rsidRDefault="000A52D5" w:rsidP="00140440">
      <w:pPr>
        <w:tabs>
          <w:tab w:val="clear" w:pos="4419"/>
          <w:tab w:val="clear" w:pos="8838"/>
        </w:tabs>
        <w:jc w:val="both"/>
        <w:rPr>
          <w:rFonts w:eastAsia="Batang" w:cs="Times"/>
          <w:szCs w:val="24"/>
          <w:lang w:val="pt-BR" w:eastAsia="es-ES"/>
        </w:rPr>
      </w:pPr>
    </w:p>
    <w:p w14:paraId="7A1689B7" w14:textId="1DBB10D3" w:rsidR="000A52D5" w:rsidRPr="00D5464D" w:rsidRDefault="000A52D5" w:rsidP="000A20C1">
      <w:pPr>
        <w:pStyle w:val="Ttulo3"/>
        <w:rPr>
          <w:lang w:val="pt-BR" w:eastAsia="es-ES"/>
        </w:rPr>
      </w:pPr>
      <w:bookmarkStart w:id="45" w:name="_Toc460432962"/>
      <w:bookmarkStart w:id="46" w:name="_Toc460441893"/>
      <w:bookmarkStart w:id="47" w:name="_Toc462750713"/>
      <w:bookmarkStart w:id="48" w:name="_Toc462751037"/>
      <w:bookmarkStart w:id="49" w:name="_Toc464813889"/>
      <w:bookmarkStart w:id="50" w:name="_Toc468433850"/>
      <w:r w:rsidRPr="00D5464D">
        <w:rPr>
          <w:lang w:val="pt-BR" w:eastAsia="es-ES"/>
        </w:rPr>
        <w:t xml:space="preserve">A.1. </w:t>
      </w:r>
      <w:r w:rsidR="00470ADC" w:rsidRPr="00D5464D">
        <w:rPr>
          <w:lang w:val="pt-BR" w:eastAsia="es-ES"/>
        </w:rPr>
        <w:t>Alegações</w:t>
      </w:r>
      <w:r w:rsidRPr="00D5464D">
        <w:rPr>
          <w:lang w:val="pt-BR" w:eastAsia="es-ES"/>
        </w:rPr>
        <w:t xml:space="preserve"> </w:t>
      </w:r>
      <w:r w:rsidR="00470ADC" w:rsidRPr="00D5464D">
        <w:rPr>
          <w:lang w:val="pt-BR" w:eastAsia="es-ES"/>
        </w:rPr>
        <w:t xml:space="preserve">do </w:t>
      </w:r>
      <w:r w:rsidRPr="00D5464D">
        <w:rPr>
          <w:lang w:val="pt-BR" w:eastAsia="es-ES"/>
        </w:rPr>
        <w:t>Estado, observa</w:t>
      </w:r>
      <w:r w:rsidR="00470ADC" w:rsidRPr="00D5464D">
        <w:rPr>
          <w:lang w:val="pt-BR" w:eastAsia="es-ES"/>
        </w:rPr>
        <w:t>ções da Comissão</w:t>
      </w:r>
      <w:r w:rsidR="00E045D9" w:rsidRPr="00D5464D">
        <w:rPr>
          <w:lang w:val="pt-BR" w:eastAsia="es-ES"/>
        </w:rPr>
        <w:t xml:space="preserve"> e </w:t>
      </w:r>
      <w:r w:rsidR="00470ADC" w:rsidRPr="00D5464D">
        <w:rPr>
          <w:lang w:val="pt-BR" w:eastAsia="es-ES"/>
        </w:rPr>
        <w:t xml:space="preserve">dos </w:t>
      </w:r>
      <w:r w:rsidR="00EB1CE9" w:rsidRPr="00D5464D">
        <w:rPr>
          <w:lang w:val="pt-BR" w:eastAsia="es-ES"/>
        </w:rPr>
        <w:t>representante</w:t>
      </w:r>
      <w:r w:rsidRPr="00D5464D">
        <w:rPr>
          <w:lang w:val="pt-BR" w:eastAsia="es-ES"/>
        </w:rPr>
        <w:t>s</w:t>
      </w:r>
      <w:bookmarkEnd w:id="45"/>
      <w:bookmarkEnd w:id="46"/>
      <w:bookmarkEnd w:id="47"/>
      <w:bookmarkEnd w:id="48"/>
      <w:bookmarkEnd w:id="49"/>
      <w:bookmarkEnd w:id="50"/>
    </w:p>
    <w:p w14:paraId="3429DD74" w14:textId="77777777" w:rsidR="00D65024" w:rsidRPr="00D5464D" w:rsidRDefault="00D65024" w:rsidP="00D65024">
      <w:pPr>
        <w:tabs>
          <w:tab w:val="clear" w:pos="4419"/>
          <w:tab w:val="clear" w:pos="8838"/>
        </w:tabs>
        <w:jc w:val="both"/>
        <w:rPr>
          <w:rFonts w:eastAsia="Batang" w:cs="Times"/>
          <w:szCs w:val="24"/>
          <w:lang w:val="pt-BR" w:eastAsia="es-ES"/>
        </w:rPr>
      </w:pPr>
    </w:p>
    <w:p w14:paraId="2AD804D0" w14:textId="4D45F094" w:rsidR="000A52D5" w:rsidRPr="00D5464D" w:rsidRDefault="00470AD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O </w:t>
      </w:r>
      <w:r w:rsidR="000A52D5" w:rsidRPr="00D5464D">
        <w:rPr>
          <w:rFonts w:eastAsia="Batang" w:cs="Times"/>
          <w:b/>
          <w:i/>
          <w:szCs w:val="24"/>
          <w:lang w:val="pt-BR" w:eastAsia="es-ES"/>
        </w:rPr>
        <w:t>Estado</w:t>
      </w:r>
      <w:r w:rsidR="000A52D5" w:rsidRPr="00D5464D">
        <w:rPr>
          <w:rFonts w:eastAsia="Batang" w:cs="Times"/>
          <w:szCs w:val="24"/>
          <w:lang w:val="pt-BR" w:eastAsia="es-ES"/>
        </w:rPr>
        <w:t xml:space="preserve"> </w:t>
      </w:r>
      <w:r w:rsidR="00113E89" w:rsidRPr="00D5464D">
        <w:rPr>
          <w:rFonts w:eastAsia="Batang" w:cs="Times"/>
          <w:szCs w:val="24"/>
          <w:lang w:val="pt-BR" w:eastAsia="es-ES"/>
        </w:rPr>
        <w:t xml:space="preserve">afirmou </w:t>
      </w:r>
      <w:r w:rsidR="000A52D5" w:rsidRPr="00D5464D">
        <w:rPr>
          <w:rFonts w:eastAsia="Batang" w:cs="Times"/>
          <w:szCs w:val="24"/>
          <w:lang w:val="pt-BR" w:eastAsia="es-ES"/>
        </w:rPr>
        <w:t>que</w:t>
      </w:r>
      <w:r w:rsidRPr="00D5464D">
        <w:rPr>
          <w:rFonts w:eastAsia="Batang" w:cs="Times"/>
          <w:szCs w:val="24"/>
          <w:lang w:val="pt-BR" w:eastAsia="es-ES"/>
        </w:rPr>
        <w:t xml:space="preserve"> o</w:t>
      </w:r>
      <w:r w:rsidR="002C330E" w:rsidRPr="00D5464D">
        <w:rPr>
          <w:rFonts w:eastAsia="Batang" w:cs="Times"/>
          <w:szCs w:val="24"/>
          <w:lang w:val="pt-BR" w:eastAsia="es-ES"/>
        </w:rPr>
        <w:t xml:space="preserve">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w:t>
      </w:r>
      <w:r w:rsidR="000A52D5" w:rsidRPr="00D5464D">
        <w:rPr>
          <w:rFonts w:eastAsia="Batang" w:cs="Times"/>
          <w:szCs w:val="24"/>
          <w:lang w:val="pt-BR" w:eastAsia="es-ES"/>
        </w:rPr>
        <w:t>preliminar emitido</w:t>
      </w:r>
      <w:r w:rsidR="002C330E" w:rsidRPr="00D5464D">
        <w:rPr>
          <w:rFonts w:eastAsia="Batang" w:cs="Times"/>
          <w:szCs w:val="24"/>
          <w:lang w:val="pt-BR" w:eastAsia="es-ES"/>
        </w:rPr>
        <w:t xml:space="preserve"> pela </w:t>
      </w:r>
      <w:r w:rsidRPr="00D5464D">
        <w:rPr>
          <w:rFonts w:eastAsia="Batang" w:cs="Times"/>
          <w:szCs w:val="24"/>
          <w:lang w:val="pt-BR" w:eastAsia="es-ES"/>
        </w:rPr>
        <w:t>Comissão</w:t>
      </w:r>
      <w:r w:rsidR="000A52D5" w:rsidRPr="00D5464D">
        <w:rPr>
          <w:rFonts w:eastAsia="Batang" w:cs="Times"/>
          <w:szCs w:val="24"/>
          <w:lang w:val="pt-BR" w:eastAsia="es-ES"/>
        </w:rPr>
        <w:t xml:space="preserve"> </w:t>
      </w:r>
      <w:r w:rsidR="00737270" w:rsidRPr="00D5464D">
        <w:rPr>
          <w:rFonts w:eastAsia="Batang" w:cs="Times"/>
          <w:szCs w:val="24"/>
          <w:lang w:val="pt-BR" w:eastAsia="es-ES"/>
        </w:rPr>
        <w:t>não pode</w:t>
      </w:r>
      <w:r w:rsidR="000A52D5" w:rsidRPr="00D5464D">
        <w:rPr>
          <w:rFonts w:eastAsia="Batang" w:cs="Times"/>
          <w:szCs w:val="24"/>
          <w:lang w:val="pt-BR" w:eastAsia="es-ES"/>
        </w:rPr>
        <w:t xml:space="preserve"> ser publicado</w:t>
      </w:r>
      <w:r w:rsidR="002C330E" w:rsidRPr="00D5464D">
        <w:rPr>
          <w:rFonts w:eastAsia="Batang" w:cs="Times"/>
          <w:szCs w:val="24"/>
          <w:lang w:val="pt-BR" w:eastAsia="es-ES"/>
        </w:rPr>
        <w:t xml:space="preserve"> pelas </w:t>
      </w:r>
      <w:r w:rsidR="000A52D5" w:rsidRPr="00D5464D">
        <w:rPr>
          <w:rFonts w:eastAsia="Batang" w:cs="Times"/>
          <w:szCs w:val="24"/>
          <w:lang w:val="pt-BR" w:eastAsia="es-ES"/>
        </w:rPr>
        <w:t>partes o</w:t>
      </w:r>
      <w:r w:rsidR="00113E89" w:rsidRPr="00D5464D">
        <w:rPr>
          <w:rFonts w:eastAsia="Batang" w:cs="Times"/>
          <w:szCs w:val="24"/>
          <w:lang w:val="pt-BR" w:eastAsia="es-ES"/>
        </w:rPr>
        <w:t>u pel</w:t>
      </w:r>
      <w:r w:rsidR="002C330E" w:rsidRPr="00D5464D">
        <w:rPr>
          <w:rFonts w:eastAsia="Batang" w:cs="Times"/>
          <w:szCs w:val="24"/>
          <w:lang w:val="pt-BR" w:eastAsia="es-ES"/>
        </w:rPr>
        <w:t xml:space="preserve">a </w:t>
      </w:r>
      <w:r w:rsidRPr="00D5464D">
        <w:rPr>
          <w:rFonts w:eastAsia="Batang" w:cs="Times"/>
          <w:szCs w:val="24"/>
          <w:lang w:val="pt-BR" w:eastAsia="es-ES"/>
        </w:rPr>
        <w:t>Comissão</w:t>
      </w:r>
      <w:r w:rsidR="000A52D5" w:rsidRPr="00D5464D">
        <w:rPr>
          <w:rFonts w:eastAsia="Batang" w:cs="Times"/>
          <w:szCs w:val="24"/>
          <w:lang w:val="pt-BR" w:eastAsia="es-ES"/>
        </w:rPr>
        <w:t xml:space="preserve">. </w:t>
      </w:r>
      <w:r w:rsidR="00113E89" w:rsidRPr="00D5464D">
        <w:rPr>
          <w:rFonts w:eastAsia="Batang" w:cs="Times"/>
          <w:szCs w:val="24"/>
          <w:lang w:val="pt-BR" w:eastAsia="es-ES"/>
        </w:rPr>
        <w:t xml:space="preserve">Além disso, argumentou </w:t>
      </w:r>
      <w:r w:rsidR="000A52D5" w:rsidRPr="00D5464D">
        <w:rPr>
          <w:rFonts w:eastAsia="Batang" w:cs="Times"/>
          <w:szCs w:val="24"/>
          <w:lang w:val="pt-BR" w:eastAsia="es-ES"/>
        </w:rPr>
        <w:t>que</w:t>
      </w:r>
      <w:r w:rsidRPr="00D5464D">
        <w:rPr>
          <w:rFonts w:eastAsia="Batang" w:cs="Times"/>
          <w:szCs w:val="24"/>
          <w:lang w:val="pt-BR" w:eastAsia="es-ES"/>
        </w:rPr>
        <w:t xml:space="preserve"> o</w:t>
      </w:r>
      <w:r w:rsidR="002C330E" w:rsidRPr="00D5464D">
        <w:rPr>
          <w:rFonts w:eastAsia="Batang" w:cs="Times"/>
          <w:szCs w:val="24"/>
          <w:lang w:val="pt-BR" w:eastAsia="es-ES"/>
        </w:rPr>
        <w:t xml:space="preserve">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w:t>
      </w:r>
      <w:r w:rsidR="000A52D5" w:rsidRPr="00D5464D">
        <w:rPr>
          <w:rFonts w:eastAsia="Batang" w:cs="Times"/>
          <w:szCs w:val="24"/>
          <w:lang w:val="pt-BR" w:eastAsia="es-ES"/>
        </w:rPr>
        <w:t>definitivo</w:t>
      </w:r>
      <w:r w:rsidRPr="00D5464D">
        <w:rPr>
          <w:rFonts w:eastAsia="Batang" w:cs="Times"/>
          <w:szCs w:val="24"/>
          <w:lang w:val="pt-BR" w:eastAsia="es-ES"/>
        </w:rPr>
        <w:t xml:space="preserve"> da Comissão</w:t>
      </w:r>
      <w:r w:rsidR="000A52D5" w:rsidRPr="00D5464D">
        <w:rPr>
          <w:rFonts w:eastAsia="Batang" w:cs="Times"/>
          <w:szCs w:val="24"/>
          <w:lang w:val="pt-BR" w:eastAsia="es-ES"/>
        </w:rPr>
        <w:t>, contemplado</w:t>
      </w:r>
      <w:r w:rsidR="00E045D9" w:rsidRPr="00D5464D">
        <w:rPr>
          <w:rFonts w:eastAsia="Batang" w:cs="Times"/>
          <w:szCs w:val="24"/>
          <w:lang w:val="pt-BR" w:eastAsia="es-ES"/>
        </w:rPr>
        <w:t xml:space="preserve"> no </w:t>
      </w:r>
      <w:r w:rsidRPr="00D5464D">
        <w:rPr>
          <w:rFonts w:eastAsia="Batang" w:cs="Times"/>
          <w:szCs w:val="24"/>
          <w:lang w:val="pt-BR" w:eastAsia="es-ES"/>
        </w:rPr>
        <w:t>artigo</w:t>
      </w:r>
      <w:r w:rsidR="000A52D5" w:rsidRPr="00D5464D">
        <w:rPr>
          <w:rFonts w:eastAsia="Batang" w:cs="Times"/>
          <w:szCs w:val="24"/>
          <w:lang w:val="pt-BR" w:eastAsia="es-ES"/>
        </w:rPr>
        <w:t xml:space="preserve"> 50</w:t>
      </w:r>
      <w:r w:rsidRPr="00D5464D">
        <w:rPr>
          <w:rFonts w:eastAsia="Batang" w:cs="Times"/>
          <w:szCs w:val="24"/>
          <w:lang w:val="pt-BR" w:eastAsia="es-ES"/>
        </w:rPr>
        <w:t xml:space="preserve"> da </w:t>
      </w:r>
      <w:r w:rsidR="000A52D5" w:rsidRPr="00D5464D">
        <w:rPr>
          <w:rFonts w:eastAsia="Batang" w:cs="Times"/>
          <w:szCs w:val="24"/>
          <w:lang w:val="pt-BR" w:eastAsia="es-ES"/>
        </w:rPr>
        <w:t>Conven</w:t>
      </w:r>
      <w:r w:rsidRPr="00D5464D">
        <w:rPr>
          <w:rFonts w:eastAsia="Batang" w:cs="Times"/>
          <w:szCs w:val="24"/>
          <w:lang w:val="pt-BR" w:eastAsia="es-ES"/>
        </w:rPr>
        <w:t>ção</w:t>
      </w:r>
      <w:r w:rsidR="000A52D5" w:rsidRPr="00D5464D">
        <w:rPr>
          <w:rFonts w:eastAsia="Batang" w:cs="Times"/>
          <w:szCs w:val="24"/>
          <w:lang w:val="pt-BR" w:eastAsia="es-ES"/>
        </w:rPr>
        <w:t xml:space="preserve"> Americana,</w:t>
      </w:r>
      <w:r w:rsidR="00B54FB3" w:rsidRPr="00D5464D">
        <w:rPr>
          <w:rFonts w:eastAsia="Batang" w:cs="Times"/>
          <w:szCs w:val="24"/>
          <w:lang w:val="pt-BR" w:eastAsia="es-ES"/>
        </w:rPr>
        <w:t xml:space="preserve"> </w:t>
      </w:r>
      <w:r w:rsidR="00113E89" w:rsidRPr="00D5464D">
        <w:rPr>
          <w:rFonts w:eastAsia="Batang" w:cs="Times"/>
          <w:szCs w:val="24"/>
          <w:lang w:val="pt-BR" w:eastAsia="es-ES"/>
        </w:rPr>
        <w:t xml:space="preserve">apenas </w:t>
      </w:r>
      <w:r w:rsidR="002C330E" w:rsidRPr="00D5464D">
        <w:rPr>
          <w:rFonts w:eastAsia="Batang" w:cs="Times"/>
          <w:szCs w:val="24"/>
          <w:lang w:val="pt-BR" w:eastAsia="es-ES"/>
        </w:rPr>
        <w:t>pode</w:t>
      </w:r>
      <w:r w:rsidR="000A52D5" w:rsidRPr="00D5464D">
        <w:rPr>
          <w:rFonts w:eastAsia="Batang" w:cs="Times"/>
          <w:szCs w:val="24"/>
          <w:lang w:val="pt-BR" w:eastAsia="es-ES"/>
        </w:rPr>
        <w:t xml:space="preserve"> ser publicado</w:t>
      </w:r>
      <w:r w:rsidR="00E045D9" w:rsidRPr="00D5464D">
        <w:rPr>
          <w:rFonts w:eastAsia="Batang" w:cs="Times"/>
          <w:szCs w:val="24"/>
          <w:lang w:val="pt-BR" w:eastAsia="es-ES"/>
        </w:rPr>
        <w:t xml:space="preserve"> uma </w:t>
      </w:r>
      <w:r w:rsidR="000A52D5" w:rsidRPr="00D5464D">
        <w:rPr>
          <w:rFonts w:eastAsia="Batang" w:cs="Times"/>
          <w:szCs w:val="24"/>
          <w:lang w:val="pt-BR" w:eastAsia="es-ES"/>
        </w:rPr>
        <w:t xml:space="preserve">vez </w:t>
      </w:r>
      <w:r w:rsidR="00A1358C" w:rsidRPr="00D5464D">
        <w:rPr>
          <w:rFonts w:eastAsia="Batang" w:cs="Times"/>
          <w:szCs w:val="24"/>
          <w:lang w:val="pt-BR" w:eastAsia="es-ES"/>
        </w:rPr>
        <w:t>transcorrido</w:t>
      </w:r>
      <w:r w:rsidRPr="00D5464D">
        <w:rPr>
          <w:rFonts w:eastAsia="Batang" w:cs="Times"/>
          <w:szCs w:val="24"/>
          <w:lang w:val="pt-BR" w:eastAsia="es-ES"/>
        </w:rPr>
        <w:t xml:space="preserve"> o</w:t>
      </w:r>
      <w:r w:rsidR="002C330E" w:rsidRPr="00D5464D">
        <w:rPr>
          <w:rFonts w:eastAsia="Batang" w:cs="Times"/>
          <w:szCs w:val="24"/>
          <w:lang w:val="pt-BR" w:eastAsia="es-ES"/>
        </w:rPr>
        <w:t xml:space="preserve"> prazo</w:t>
      </w:r>
      <w:r w:rsidR="000A52D5" w:rsidRPr="00D5464D">
        <w:rPr>
          <w:rFonts w:eastAsia="Batang" w:cs="Times"/>
          <w:szCs w:val="24"/>
          <w:lang w:val="pt-BR" w:eastAsia="es-ES"/>
        </w:rPr>
        <w:t xml:space="preserve"> previsto para </w:t>
      </w:r>
      <w:r w:rsidRPr="00D5464D">
        <w:rPr>
          <w:rFonts w:eastAsia="Batang" w:cs="Times"/>
          <w:szCs w:val="24"/>
          <w:lang w:val="pt-BR" w:eastAsia="es-ES"/>
        </w:rPr>
        <w:t>cumprir</w:t>
      </w:r>
      <w:r w:rsidR="002C330E" w:rsidRPr="00D5464D">
        <w:rPr>
          <w:rFonts w:eastAsia="Batang" w:cs="Times"/>
          <w:szCs w:val="24"/>
          <w:lang w:val="pt-BR" w:eastAsia="es-ES"/>
        </w:rPr>
        <w:t xml:space="preserve"> as </w:t>
      </w:r>
      <w:r w:rsidR="000A52D5" w:rsidRPr="00D5464D">
        <w:rPr>
          <w:rFonts w:eastAsia="Batang" w:cs="Times"/>
          <w:szCs w:val="24"/>
          <w:lang w:val="pt-BR" w:eastAsia="es-ES"/>
        </w:rPr>
        <w:t>medidas recomendadas o</w:t>
      </w:r>
      <w:r w:rsidR="00113E89" w:rsidRPr="00D5464D">
        <w:rPr>
          <w:rFonts w:eastAsia="Batang" w:cs="Times"/>
          <w:szCs w:val="24"/>
          <w:lang w:val="pt-BR" w:eastAsia="es-ES"/>
        </w:rPr>
        <w:t>u</w:t>
      </w:r>
      <w:r w:rsidR="000A52D5" w:rsidRPr="00D5464D">
        <w:rPr>
          <w:rFonts w:eastAsia="Batang" w:cs="Times"/>
          <w:szCs w:val="24"/>
          <w:lang w:val="pt-BR" w:eastAsia="es-ES"/>
        </w:rPr>
        <w:t xml:space="preserve"> por vota</w:t>
      </w:r>
      <w:r w:rsidRPr="00D5464D">
        <w:rPr>
          <w:rFonts w:eastAsia="Batang" w:cs="Times"/>
          <w:szCs w:val="24"/>
          <w:lang w:val="pt-BR" w:eastAsia="es-ES"/>
        </w:rPr>
        <w:t xml:space="preserve">ção da </w:t>
      </w:r>
      <w:r w:rsidR="002C330E" w:rsidRPr="00D5464D">
        <w:rPr>
          <w:rFonts w:eastAsia="Batang" w:cs="Times"/>
          <w:szCs w:val="24"/>
          <w:lang w:val="pt-BR" w:eastAsia="es-ES"/>
        </w:rPr>
        <w:t>maioria</w:t>
      </w:r>
      <w:r w:rsidR="000A52D5" w:rsidRPr="00D5464D">
        <w:rPr>
          <w:rFonts w:eastAsia="Batang" w:cs="Times"/>
          <w:szCs w:val="24"/>
          <w:lang w:val="pt-BR" w:eastAsia="es-ES"/>
        </w:rPr>
        <w:t xml:space="preserve"> absoluta de </w:t>
      </w:r>
      <w:r w:rsidR="00737270" w:rsidRPr="00D5464D">
        <w:rPr>
          <w:rFonts w:eastAsia="Batang" w:cs="Times"/>
          <w:szCs w:val="24"/>
          <w:lang w:val="pt-BR" w:eastAsia="es-ES"/>
        </w:rPr>
        <w:t>seus membros</w:t>
      </w:r>
      <w:r w:rsidR="00A1358C" w:rsidRPr="00D5464D">
        <w:rPr>
          <w:rFonts w:eastAsia="Batang" w:cs="Times"/>
          <w:szCs w:val="24"/>
          <w:lang w:val="pt-BR" w:eastAsia="es-ES"/>
        </w:rPr>
        <w:t xml:space="preserve">. A </w:t>
      </w:r>
      <w:r w:rsidR="000A52D5" w:rsidRPr="00D5464D">
        <w:rPr>
          <w:rFonts w:eastAsia="Batang" w:cs="Times"/>
          <w:szCs w:val="24"/>
          <w:lang w:val="pt-BR" w:eastAsia="es-ES"/>
        </w:rPr>
        <w:t>publica</w:t>
      </w:r>
      <w:r w:rsidRPr="00D5464D">
        <w:rPr>
          <w:rFonts w:eastAsia="Batang" w:cs="Times"/>
          <w:szCs w:val="24"/>
          <w:lang w:val="pt-BR" w:eastAsia="es-ES"/>
        </w:rPr>
        <w:t>ção desse</w:t>
      </w:r>
      <w:r w:rsidR="002C330E" w:rsidRPr="00D5464D">
        <w:rPr>
          <w:rFonts w:eastAsia="Batang" w:cs="Times"/>
          <w:szCs w:val="24"/>
          <w:lang w:val="pt-BR" w:eastAsia="es-ES"/>
        </w:rPr>
        <w:t xml:space="preserve">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w:t>
      </w:r>
      <w:r w:rsidR="000A52D5" w:rsidRPr="00D5464D">
        <w:rPr>
          <w:rFonts w:eastAsia="Batang" w:cs="Times"/>
          <w:szCs w:val="24"/>
          <w:lang w:val="pt-BR" w:eastAsia="es-ES"/>
        </w:rPr>
        <w:t xml:space="preserve">definitivo </w:t>
      </w:r>
      <w:r w:rsidRPr="00D5464D">
        <w:rPr>
          <w:rFonts w:eastAsia="Batang" w:cs="Times"/>
          <w:szCs w:val="24"/>
          <w:lang w:val="pt-BR" w:eastAsia="es-ES"/>
        </w:rPr>
        <w:t>constitui</w:t>
      </w:r>
      <w:r w:rsidR="000A52D5" w:rsidRPr="00D5464D">
        <w:rPr>
          <w:rFonts w:eastAsia="Batang" w:cs="Times"/>
          <w:szCs w:val="24"/>
          <w:lang w:val="pt-BR" w:eastAsia="es-ES"/>
        </w:rPr>
        <w:t xml:space="preserve"> </w:t>
      </w:r>
      <w:r w:rsidRPr="00D5464D">
        <w:rPr>
          <w:rFonts w:eastAsia="Batang" w:cs="Times"/>
          <w:szCs w:val="24"/>
          <w:lang w:val="pt-BR" w:eastAsia="es-ES"/>
        </w:rPr>
        <w:t xml:space="preserve">“a </w:t>
      </w:r>
      <w:r w:rsidR="000A52D5" w:rsidRPr="00D5464D">
        <w:rPr>
          <w:rFonts w:eastAsia="Batang" w:cs="Times"/>
          <w:szCs w:val="24"/>
          <w:lang w:val="pt-BR" w:eastAsia="es-ES"/>
        </w:rPr>
        <w:t>máxima san</w:t>
      </w:r>
      <w:r w:rsidRPr="00D5464D">
        <w:rPr>
          <w:rFonts w:eastAsia="Batang" w:cs="Times"/>
          <w:szCs w:val="24"/>
          <w:lang w:val="pt-BR" w:eastAsia="es-ES"/>
        </w:rPr>
        <w:t>ção</w:t>
      </w:r>
      <w:r w:rsidR="000A52D5" w:rsidRPr="00D5464D">
        <w:rPr>
          <w:rFonts w:eastAsia="Batang" w:cs="Times"/>
          <w:szCs w:val="24"/>
          <w:lang w:val="pt-BR" w:eastAsia="es-ES"/>
        </w:rPr>
        <w:t xml:space="preserve">” que </w:t>
      </w:r>
      <w:r w:rsidR="002C330E" w:rsidRPr="00D5464D">
        <w:rPr>
          <w:rFonts w:eastAsia="Batang" w:cs="Times"/>
          <w:szCs w:val="24"/>
          <w:lang w:val="pt-BR" w:eastAsia="es-ES"/>
        </w:rPr>
        <w:t>pode</w:t>
      </w:r>
      <w:r w:rsidR="000A52D5" w:rsidRPr="00D5464D">
        <w:rPr>
          <w:rFonts w:eastAsia="Batang" w:cs="Times"/>
          <w:szCs w:val="24"/>
          <w:lang w:val="pt-BR" w:eastAsia="es-ES"/>
        </w:rPr>
        <w:t xml:space="preserve"> </w:t>
      </w:r>
      <w:r w:rsidR="00113E89" w:rsidRPr="00D5464D">
        <w:rPr>
          <w:rFonts w:eastAsia="Batang" w:cs="Times"/>
          <w:szCs w:val="24"/>
          <w:lang w:val="pt-BR" w:eastAsia="es-ES"/>
        </w:rPr>
        <w:t xml:space="preserve">vir a </w:t>
      </w:r>
      <w:r w:rsidR="00E045D9" w:rsidRPr="00D5464D">
        <w:rPr>
          <w:rFonts w:eastAsia="Batang" w:cs="Times"/>
          <w:szCs w:val="24"/>
          <w:lang w:val="pt-BR" w:eastAsia="es-ES"/>
        </w:rPr>
        <w:t xml:space="preserve">sofrer um </w:t>
      </w:r>
      <w:r w:rsidR="000A52D5" w:rsidRPr="00D5464D">
        <w:rPr>
          <w:rFonts w:eastAsia="Batang" w:cs="Times"/>
          <w:szCs w:val="24"/>
          <w:lang w:val="pt-BR" w:eastAsia="es-ES"/>
        </w:rPr>
        <w:t>Estado</w:t>
      </w:r>
      <w:r w:rsidRPr="00D5464D">
        <w:rPr>
          <w:rFonts w:eastAsia="Batang" w:cs="Times"/>
          <w:szCs w:val="24"/>
          <w:lang w:val="pt-BR" w:eastAsia="es-ES"/>
        </w:rPr>
        <w:t xml:space="preserve"> em </w:t>
      </w:r>
      <w:r w:rsidR="00E045D9" w:rsidRPr="00D5464D">
        <w:rPr>
          <w:rFonts w:eastAsia="Batang" w:cs="Times"/>
          <w:szCs w:val="24"/>
          <w:lang w:val="pt-BR" w:eastAsia="es-ES"/>
        </w:rPr>
        <w:t>termo</w:t>
      </w:r>
      <w:r w:rsidR="000A52D5" w:rsidRPr="00D5464D">
        <w:rPr>
          <w:rFonts w:eastAsia="Batang" w:cs="Times"/>
          <w:szCs w:val="24"/>
          <w:lang w:val="pt-BR" w:eastAsia="es-ES"/>
        </w:rPr>
        <w:t xml:space="preserve">s </w:t>
      </w:r>
      <w:r w:rsidRPr="00D5464D">
        <w:rPr>
          <w:rFonts w:eastAsia="Batang" w:cs="Times"/>
          <w:szCs w:val="24"/>
          <w:lang w:val="pt-BR" w:eastAsia="es-ES"/>
        </w:rPr>
        <w:t xml:space="preserve">do </w:t>
      </w:r>
      <w:r w:rsidR="002C330E" w:rsidRPr="00D5464D">
        <w:rPr>
          <w:rFonts w:eastAsia="Batang" w:cs="Times"/>
          <w:szCs w:val="24"/>
          <w:lang w:val="pt-BR" w:eastAsia="es-ES"/>
        </w:rPr>
        <w:t>procedimento</w:t>
      </w:r>
      <w:r w:rsidRPr="00D5464D">
        <w:rPr>
          <w:rFonts w:eastAsia="Batang" w:cs="Times"/>
          <w:szCs w:val="24"/>
          <w:lang w:val="pt-BR" w:eastAsia="es-ES"/>
        </w:rPr>
        <w:t xml:space="preserve"> perante a Comissão</w:t>
      </w:r>
      <w:r w:rsidR="00A1358C" w:rsidRPr="00D5464D">
        <w:rPr>
          <w:rFonts w:eastAsia="Batang" w:cs="Times"/>
          <w:szCs w:val="24"/>
          <w:lang w:val="pt-BR" w:eastAsia="es-ES"/>
        </w:rPr>
        <w:t xml:space="preserve">. O </w:t>
      </w:r>
      <w:r w:rsidR="000A52D5" w:rsidRPr="00D5464D">
        <w:rPr>
          <w:rFonts w:eastAsia="Batang" w:cs="Times"/>
          <w:szCs w:val="24"/>
          <w:lang w:val="pt-BR" w:eastAsia="es-ES"/>
        </w:rPr>
        <w:t xml:space="preserve">Estado </w:t>
      </w:r>
      <w:r w:rsidRPr="00D5464D">
        <w:rPr>
          <w:rFonts w:eastAsia="Batang" w:cs="Times"/>
          <w:szCs w:val="24"/>
          <w:lang w:val="pt-BR" w:eastAsia="es-ES"/>
        </w:rPr>
        <w:t>afirmou</w:t>
      </w:r>
      <w:r w:rsidR="000A52D5" w:rsidRPr="00D5464D">
        <w:rPr>
          <w:rFonts w:eastAsia="Batang" w:cs="Times"/>
          <w:szCs w:val="24"/>
          <w:lang w:val="pt-BR" w:eastAsia="es-ES"/>
        </w:rPr>
        <w:t xml:space="preserve"> que</w:t>
      </w:r>
      <w:r w:rsidR="002C330E" w:rsidRPr="00D5464D">
        <w:rPr>
          <w:rFonts w:eastAsia="Batang" w:cs="Times"/>
          <w:szCs w:val="24"/>
          <w:lang w:val="pt-BR" w:eastAsia="es-ES"/>
        </w:rPr>
        <w:t xml:space="preserve"> a </w:t>
      </w:r>
      <w:r w:rsidRPr="00D5464D">
        <w:rPr>
          <w:rFonts w:eastAsia="Batang" w:cs="Times"/>
          <w:szCs w:val="24"/>
          <w:lang w:val="pt-BR" w:eastAsia="es-ES"/>
        </w:rPr>
        <w:t>Comissão</w:t>
      </w:r>
      <w:r w:rsidR="000A52D5" w:rsidRPr="00D5464D">
        <w:rPr>
          <w:rFonts w:eastAsia="Batang" w:cs="Times"/>
          <w:szCs w:val="24"/>
          <w:lang w:val="pt-BR" w:eastAsia="es-ES"/>
        </w:rPr>
        <w:t xml:space="preserve"> </w:t>
      </w:r>
      <w:r w:rsidR="002C330E" w:rsidRPr="00D5464D">
        <w:rPr>
          <w:rFonts w:eastAsia="Batang" w:cs="Times"/>
          <w:szCs w:val="24"/>
          <w:lang w:val="pt-BR" w:eastAsia="es-ES"/>
        </w:rPr>
        <w:t>teria</w:t>
      </w:r>
      <w:r w:rsidR="000A52D5" w:rsidRPr="00D5464D">
        <w:rPr>
          <w:rFonts w:eastAsia="Batang" w:cs="Times"/>
          <w:szCs w:val="24"/>
          <w:lang w:val="pt-BR" w:eastAsia="es-ES"/>
        </w:rPr>
        <w:t xml:space="preserve"> </w:t>
      </w:r>
      <w:r w:rsidR="00350187" w:rsidRPr="00D5464D">
        <w:rPr>
          <w:rFonts w:eastAsia="Batang" w:cs="Times"/>
          <w:szCs w:val="24"/>
          <w:lang w:val="pt-BR" w:eastAsia="es-ES"/>
        </w:rPr>
        <w:t>mantido</w:t>
      </w:r>
      <w:r w:rsidRPr="00D5464D">
        <w:rPr>
          <w:rFonts w:eastAsia="Batang" w:cs="Times"/>
          <w:szCs w:val="24"/>
          <w:lang w:val="pt-BR" w:eastAsia="es-ES"/>
        </w:rPr>
        <w:t xml:space="preserve"> em </w:t>
      </w:r>
      <w:r w:rsidR="000A52D5" w:rsidRPr="00D5464D">
        <w:rPr>
          <w:rFonts w:eastAsia="Batang" w:cs="Times"/>
          <w:szCs w:val="24"/>
          <w:lang w:val="pt-BR" w:eastAsia="es-ES"/>
        </w:rPr>
        <w:t>su</w:t>
      </w:r>
      <w:r w:rsidR="00113E89" w:rsidRPr="00D5464D">
        <w:rPr>
          <w:rFonts w:eastAsia="Batang" w:cs="Times"/>
          <w:szCs w:val="24"/>
          <w:lang w:val="pt-BR" w:eastAsia="es-ES"/>
        </w:rPr>
        <w:t>a</w:t>
      </w:r>
      <w:r w:rsidR="000A52D5" w:rsidRPr="00D5464D">
        <w:rPr>
          <w:rFonts w:eastAsia="Batang" w:cs="Times"/>
          <w:szCs w:val="24"/>
          <w:lang w:val="pt-BR" w:eastAsia="es-ES"/>
        </w:rPr>
        <w:t xml:space="preserve"> página web, desde antes de </w:t>
      </w:r>
      <w:r w:rsidR="00113E89" w:rsidRPr="00D5464D">
        <w:rPr>
          <w:rFonts w:eastAsia="Batang" w:cs="Times"/>
          <w:szCs w:val="24"/>
          <w:lang w:val="pt-BR" w:eastAsia="es-ES"/>
        </w:rPr>
        <w:t xml:space="preserve">enviar </w:t>
      </w:r>
      <w:r w:rsidRPr="00D5464D">
        <w:rPr>
          <w:rFonts w:eastAsia="Batang" w:cs="Times"/>
          <w:szCs w:val="24"/>
          <w:lang w:val="pt-BR" w:eastAsia="es-ES"/>
        </w:rPr>
        <w:t xml:space="preserve">o </w:t>
      </w:r>
      <w:r w:rsidR="000A52D5" w:rsidRPr="00D5464D">
        <w:rPr>
          <w:rFonts w:eastAsia="Batang" w:cs="Times"/>
          <w:szCs w:val="24"/>
          <w:lang w:val="pt-BR" w:eastAsia="es-ES"/>
        </w:rPr>
        <w:t>presente caso</w:t>
      </w:r>
      <w:r w:rsidRPr="00D5464D">
        <w:rPr>
          <w:rFonts w:eastAsia="Batang" w:cs="Times"/>
          <w:szCs w:val="24"/>
          <w:lang w:val="pt-BR" w:eastAsia="es-ES"/>
        </w:rPr>
        <w:t xml:space="preserve"> </w:t>
      </w:r>
      <w:r w:rsidR="00113E89" w:rsidRPr="00D5464D">
        <w:rPr>
          <w:rFonts w:eastAsia="Batang" w:cs="Times"/>
          <w:szCs w:val="24"/>
          <w:lang w:val="pt-BR" w:eastAsia="es-ES"/>
        </w:rPr>
        <w:t>à</w:t>
      </w:r>
      <w:r w:rsidRPr="00D5464D">
        <w:rPr>
          <w:rFonts w:eastAsia="Batang" w:cs="Times"/>
          <w:szCs w:val="24"/>
          <w:lang w:val="pt-BR" w:eastAsia="es-ES"/>
        </w:rPr>
        <w:t xml:space="preserve"> </w:t>
      </w:r>
      <w:r w:rsidR="000A52D5" w:rsidRPr="00D5464D">
        <w:rPr>
          <w:rFonts w:eastAsia="Batang" w:cs="Times"/>
          <w:szCs w:val="24"/>
          <w:lang w:val="pt-BR" w:eastAsia="es-ES"/>
        </w:rPr>
        <w:t>Corte,</w:t>
      </w:r>
      <w:r w:rsidRPr="00D5464D">
        <w:rPr>
          <w:rFonts w:eastAsia="Batang" w:cs="Times"/>
          <w:szCs w:val="24"/>
          <w:lang w:val="pt-BR" w:eastAsia="es-ES"/>
        </w:rPr>
        <w:t xml:space="preserve"> o </w:t>
      </w:r>
      <w:r w:rsidR="000A52D5" w:rsidRPr="00D5464D">
        <w:rPr>
          <w:rFonts w:eastAsia="Batang" w:cs="Times"/>
          <w:szCs w:val="24"/>
          <w:lang w:val="pt-BR" w:eastAsia="es-ES"/>
        </w:rPr>
        <w:t xml:space="preserve">texto completo </w:t>
      </w:r>
      <w:r w:rsidRPr="00D5464D">
        <w:rPr>
          <w:rFonts w:eastAsia="Batang" w:cs="Times"/>
          <w:szCs w:val="24"/>
          <w:lang w:val="pt-BR" w:eastAsia="es-ES"/>
        </w:rPr>
        <w:t>do</w:t>
      </w:r>
      <w:r w:rsidR="002C330E" w:rsidRPr="00D5464D">
        <w:rPr>
          <w:rFonts w:eastAsia="Batang" w:cs="Times"/>
          <w:szCs w:val="24"/>
          <w:lang w:val="pt-BR" w:eastAsia="es-ES"/>
        </w:rPr>
        <w:t xml:space="preserve">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de Admissibilidade</w:t>
      </w:r>
      <w:r w:rsidR="00E045D9" w:rsidRPr="00D5464D">
        <w:rPr>
          <w:rFonts w:eastAsia="Batang" w:cs="Times"/>
          <w:szCs w:val="24"/>
          <w:lang w:val="pt-BR" w:eastAsia="es-ES"/>
        </w:rPr>
        <w:t xml:space="preserve"> e </w:t>
      </w:r>
      <w:r w:rsidRPr="00D5464D">
        <w:rPr>
          <w:rFonts w:eastAsia="Batang" w:cs="Times"/>
          <w:szCs w:val="24"/>
          <w:lang w:val="pt-BR" w:eastAsia="es-ES"/>
        </w:rPr>
        <w:t>Mérito</w:t>
      </w:r>
      <w:r w:rsidR="00A1358C" w:rsidRPr="00D5464D">
        <w:rPr>
          <w:rFonts w:eastAsia="Batang" w:cs="Times"/>
          <w:szCs w:val="24"/>
          <w:lang w:val="pt-BR" w:eastAsia="es-ES"/>
        </w:rPr>
        <w:t xml:space="preserve"> nº </w:t>
      </w:r>
      <w:r w:rsidR="000A52D5" w:rsidRPr="00D5464D">
        <w:rPr>
          <w:rFonts w:eastAsia="Batang" w:cs="Times"/>
          <w:szCs w:val="24"/>
          <w:lang w:val="pt-BR" w:eastAsia="es-ES"/>
        </w:rPr>
        <w:t>169/2011</w:t>
      </w:r>
      <w:r w:rsidR="00113E89" w:rsidRPr="00D5464D">
        <w:rPr>
          <w:rFonts w:eastAsia="Batang" w:cs="Times"/>
          <w:szCs w:val="24"/>
          <w:lang w:val="pt-BR" w:eastAsia="es-ES"/>
        </w:rPr>
        <w:t>,</w:t>
      </w:r>
      <w:r w:rsidR="000A52D5" w:rsidRPr="00D5464D">
        <w:rPr>
          <w:rFonts w:eastAsia="Batang" w:cs="Times"/>
          <w:szCs w:val="24"/>
          <w:lang w:val="pt-BR" w:eastAsia="es-ES"/>
        </w:rPr>
        <w:t xml:space="preserve"> de 3 de </w:t>
      </w:r>
      <w:r w:rsidR="002C330E" w:rsidRPr="00D5464D">
        <w:rPr>
          <w:rFonts w:eastAsia="Batang" w:cs="Times"/>
          <w:szCs w:val="24"/>
          <w:lang w:val="pt-BR" w:eastAsia="es-ES"/>
        </w:rPr>
        <w:t>novembro</w:t>
      </w:r>
      <w:r w:rsidR="000A52D5" w:rsidRPr="00D5464D">
        <w:rPr>
          <w:rFonts w:eastAsia="Batang" w:cs="Times"/>
          <w:szCs w:val="24"/>
          <w:lang w:val="pt-BR" w:eastAsia="es-ES"/>
        </w:rPr>
        <w:t xml:space="preserve"> de 2011,</w:t>
      </w:r>
      <w:r w:rsidR="002C330E" w:rsidRPr="00D5464D">
        <w:rPr>
          <w:rFonts w:eastAsia="Batang" w:cs="Times"/>
          <w:szCs w:val="24"/>
          <w:lang w:val="pt-BR" w:eastAsia="es-ES"/>
        </w:rPr>
        <w:t xml:space="preserve"> o que </w:t>
      </w:r>
      <w:r w:rsidR="000A52D5" w:rsidRPr="00D5464D">
        <w:rPr>
          <w:rFonts w:eastAsia="Batang" w:cs="Times"/>
          <w:szCs w:val="24"/>
          <w:lang w:val="pt-BR" w:eastAsia="es-ES"/>
        </w:rPr>
        <w:t>implica</w:t>
      </w:r>
      <w:r w:rsidR="00562E45" w:rsidRPr="00D5464D">
        <w:rPr>
          <w:rFonts w:eastAsia="Batang" w:cs="Times"/>
          <w:szCs w:val="24"/>
          <w:lang w:val="pt-BR" w:eastAsia="es-ES"/>
        </w:rPr>
        <w:t>ria</w:t>
      </w:r>
      <w:r w:rsidR="002C330E" w:rsidRPr="00D5464D">
        <w:rPr>
          <w:rFonts w:eastAsia="Batang" w:cs="Times"/>
          <w:szCs w:val="24"/>
          <w:lang w:val="pt-BR" w:eastAsia="es-ES"/>
        </w:rPr>
        <w:t xml:space="preserve"> a </w:t>
      </w:r>
      <w:r w:rsidR="000A52D5" w:rsidRPr="00D5464D">
        <w:rPr>
          <w:rFonts w:eastAsia="Batang" w:cs="Times"/>
          <w:szCs w:val="24"/>
          <w:lang w:val="pt-BR" w:eastAsia="es-ES"/>
        </w:rPr>
        <w:t>im</w:t>
      </w:r>
      <w:r w:rsidR="002C330E" w:rsidRPr="00D5464D">
        <w:rPr>
          <w:rFonts w:eastAsia="Batang" w:cs="Times"/>
          <w:szCs w:val="24"/>
          <w:lang w:val="pt-BR" w:eastAsia="es-ES"/>
        </w:rPr>
        <w:t xml:space="preserve">possibilidade </w:t>
      </w:r>
      <w:r w:rsidR="000A52D5" w:rsidRPr="00D5464D">
        <w:rPr>
          <w:rFonts w:eastAsia="Batang" w:cs="Times"/>
          <w:szCs w:val="24"/>
          <w:lang w:val="pt-BR" w:eastAsia="es-ES"/>
        </w:rPr>
        <w:t>lógica de</w:t>
      </w:r>
      <w:r w:rsidR="002C330E" w:rsidRPr="00D5464D">
        <w:rPr>
          <w:rFonts w:eastAsia="Batang" w:cs="Times"/>
          <w:szCs w:val="24"/>
          <w:lang w:val="pt-BR" w:eastAsia="es-ES"/>
        </w:rPr>
        <w:t xml:space="preserve"> lev</w:t>
      </w:r>
      <w:r w:rsidR="000A52D5" w:rsidRPr="00D5464D">
        <w:rPr>
          <w:rFonts w:eastAsia="Batang" w:cs="Times"/>
          <w:szCs w:val="24"/>
          <w:lang w:val="pt-BR" w:eastAsia="es-ES"/>
        </w:rPr>
        <w:t>ar</w:t>
      </w:r>
      <w:r w:rsidRPr="00D5464D">
        <w:rPr>
          <w:rFonts w:eastAsia="Batang" w:cs="Times"/>
          <w:szCs w:val="24"/>
          <w:lang w:val="pt-BR" w:eastAsia="es-ES"/>
        </w:rPr>
        <w:t xml:space="preserve"> o </w:t>
      </w:r>
      <w:r w:rsidR="000A52D5" w:rsidRPr="00D5464D">
        <w:rPr>
          <w:rFonts w:eastAsia="Batang" w:cs="Times"/>
          <w:szCs w:val="24"/>
          <w:lang w:val="pt-BR" w:eastAsia="es-ES"/>
        </w:rPr>
        <w:t>caso</w:t>
      </w:r>
      <w:r w:rsidRPr="00D5464D">
        <w:rPr>
          <w:rFonts w:eastAsia="Batang" w:cs="Times"/>
          <w:szCs w:val="24"/>
          <w:lang w:val="pt-BR" w:eastAsia="es-ES"/>
        </w:rPr>
        <w:t xml:space="preserve"> ao conhecimento deste </w:t>
      </w:r>
      <w:r w:rsidR="000A52D5" w:rsidRPr="00D5464D">
        <w:rPr>
          <w:rFonts w:eastAsia="Batang" w:cs="Times"/>
          <w:szCs w:val="24"/>
          <w:lang w:val="pt-BR" w:eastAsia="es-ES"/>
        </w:rPr>
        <w:t>Tribunal, dado que</w:t>
      </w:r>
      <w:r w:rsidR="002C330E" w:rsidRPr="00D5464D">
        <w:rPr>
          <w:rFonts w:eastAsia="Batang" w:cs="Times"/>
          <w:szCs w:val="24"/>
          <w:lang w:val="pt-BR" w:eastAsia="es-ES"/>
        </w:rPr>
        <w:t xml:space="preserve"> a </w:t>
      </w:r>
      <w:r w:rsidR="000A52D5" w:rsidRPr="00D5464D">
        <w:rPr>
          <w:rFonts w:eastAsia="Batang" w:cs="Times"/>
          <w:szCs w:val="24"/>
          <w:lang w:val="pt-BR" w:eastAsia="es-ES"/>
        </w:rPr>
        <w:t>Conven</w:t>
      </w:r>
      <w:r w:rsidRPr="00D5464D">
        <w:rPr>
          <w:rFonts w:eastAsia="Batang" w:cs="Times"/>
          <w:szCs w:val="24"/>
          <w:lang w:val="pt-BR" w:eastAsia="es-ES"/>
        </w:rPr>
        <w:t>ção</w:t>
      </w:r>
      <w:r w:rsidR="000A52D5" w:rsidRPr="00D5464D">
        <w:rPr>
          <w:rFonts w:eastAsia="Batang" w:cs="Times"/>
          <w:szCs w:val="24"/>
          <w:lang w:val="pt-BR" w:eastAsia="es-ES"/>
        </w:rPr>
        <w:t xml:space="preserve"> autoriza</w:t>
      </w:r>
      <w:r w:rsidRPr="00D5464D">
        <w:rPr>
          <w:rFonts w:eastAsia="Batang" w:cs="Times"/>
          <w:szCs w:val="24"/>
          <w:lang w:val="pt-BR" w:eastAsia="es-ES"/>
        </w:rPr>
        <w:t xml:space="preserve"> </w:t>
      </w:r>
      <w:r w:rsidR="00C16021" w:rsidRPr="00D5464D">
        <w:rPr>
          <w:rFonts w:eastAsia="Batang" w:cs="Times"/>
          <w:szCs w:val="24"/>
          <w:lang w:val="pt-BR" w:eastAsia="es-ES"/>
        </w:rPr>
        <w:t>a</w:t>
      </w:r>
      <w:r w:rsidRPr="00D5464D">
        <w:rPr>
          <w:rFonts w:eastAsia="Batang" w:cs="Times"/>
          <w:szCs w:val="24"/>
          <w:lang w:val="pt-BR" w:eastAsia="es-ES"/>
        </w:rPr>
        <w:t xml:space="preserve"> Comissão</w:t>
      </w:r>
      <w:r w:rsidR="000A52D5" w:rsidRPr="00D5464D">
        <w:rPr>
          <w:rFonts w:eastAsia="Batang" w:cs="Times"/>
          <w:szCs w:val="24"/>
          <w:lang w:val="pt-BR" w:eastAsia="es-ES"/>
        </w:rPr>
        <w:t xml:space="preserve"> </w:t>
      </w:r>
      <w:r w:rsidR="00C16021" w:rsidRPr="00D5464D">
        <w:rPr>
          <w:rFonts w:eastAsia="Batang" w:cs="Times"/>
          <w:szCs w:val="24"/>
          <w:lang w:val="pt-BR" w:eastAsia="es-ES"/>
        </w:rPr>
        <w:t xml:space="preserve">a </w:t>
      </w:r>
      <w:r w:rsidR="000A52D5" w:rsidRPr="00D5464D">
        <w:rPr>
          <w:rFonts w:eastAsia="Batang" w:cs="Times"/>
          <w:szCs w:val="24"/>
          <w:lang w:val="pt-BR" w:eastAsia="es-ES"/>
        </w:rPr>
        <w:t>emitir</w:t>
      </w:r>
      <w:r w:rsidR="00E045D9" w:rsidRPr="00D5464D">
        <w:rPr>
          <w:rFonts w:eastAsia="Batang" w:cs="Times"/>
          <w:szCs w:val="24"/>
          <w:lang w:val="pt-BR" w:eastAsia="es-ES"/>
        </w:rPr>
        <w:t xml:space="preserve"> um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w:t>
      </w:r>
      <w:r w:rsidR="000A52D5" w:rsidRPr="00D5464D">
        <w:rPr>
          <w:rFonts w:eastAsia="Batang" w:cs="Times"/>
          <w:szCs w:val="24"/>
          <w:lang w:val="pt-BR" w:eastAsia="es-ES"/>
        </w:rPr>
        <w:t>definitivo</w:t>
      </w:r>
      <w:r w:rsidR="00E045D9" w:rsidRPr="00D5464D">
        <w:rPr>
          <w:rFonts w:eastAsia="Batang" w:cs="Times"/>
          <w:szCs w:val="24"/>
          <w:lang w:val="pt-BR" w:eastAsia="es-ES"/>
        </w:rPr>
        <w:t xml:space="preserve"> e </w:t>
      </w:r>
      <w:r w:rsidR="00C16021" w:rsidRPr="00D5464D">
        <w:rPr>
          <w:rFonts w:eastAsia="Batang" w:cs="Times"/>
          <w:szCs w:val="24"/>
          <w:lang w:val="pt-BR" w:eastAsia="es-ES"/>
        </w:rPr>
        <w:t>eventualmente publicá-</w:t>
      </w:r>
      <w:r w:rsidR="000A52D5" w:rsidRPr="00D5464D">
        <w:rPr>
          <w:rFonts w:eastAsia="Batang" w:cs="Times"/>
          <w:szCs w:val="24"/>
          <w:lang w:val="pt-BR" w:eastAsia="es-ES"/>
        </w:rPr>
        <w:t>lo, o</w:t>
      </w:r>
      <w:r w:rsidR="00C16021" w:rsidRPr="00D5464D">
        <w:rPr>
          <w:rFonts w:eastAsia="Batang" w:cs="Times"/>
          <w:szCs w:val="24"/>
          <w:lang w:val="pt-BR" w:eastAsia="es-ES"/>
        </w:rPr>
        <w:t xml:space="preserve">u então </w:t>
      </w:r>
      <w:r w:rsidR="002C330E" w:rsidRPr="00D5464D">
        <w:rPr>
          <w:rFonts w:eastAsia="Batang" w:cs="Times"/>
          <w:szCs w:val="24"/>
          <w:lang w:val="pt-BR" w:eastAsia="es-ES"/>
        </w:rPr>
        <w:t>submet</w:t>
      </w:r>
      <w:r w:rsidR="00C91CB1" w:rsidRPr="00D5464D">
        <w:rPr>
          <w:rFonts w:eastAsia="Batang" w:cs="Times"/>
          <w:szCs w:val="24"/>
          <w:lang w:val="pt-BR" w:eastAsia="es-ES"/>
        </w:rPr>
        <w:t xml:space="preserve">ê-lo </w:t>
      </w:r>
      <w:r w:rsidRPr="00D5464D">
        <w:rPr>
          <w:rFonts w:eastAsia="Batang" w:cs="Times"/>
          <w:szCs w:val="24"/>
          <w:lang w:val="pt-BR" w:eastAsia="es-ES"/>
        </w:rPr>
        <w:t xml:space="preserve">à </w:t>
      </w:r>
      <w:r w:rsidR="002C330E" w:rsidRPr="00D5464D">
        <w:rPr>
          <w:rFonts w:eastAsia="Batang" w:cs="Times"/>
          <w:szCs w:val="24"/>
          <w:lang w:val="pt-BR" w:eastAsia="es-ES"/>
        </w:rPr>
        <w:t>jurisdição</w:t>
      </w:r>
      <w:r w:rsidRPr="00D5464D">
        <w:rPr>
          <w:rFonts w:eastAsia="Batang" w:cs="Times"/>
          <w:szCs w:val="24"/>
          <w:lang w:val="pt-BR" w:eastAsia="es-ES"/>
        </w:rPr>
        <w:t xml:space="preserve"> da </w:t>
      </w:r>
      <w:r w:rsidR="000A52D5" w:rsidRPr="00D5464D">
        <w:rPr>
          <w:rFonts w:eastAsia="Batang" w:cs="Times"/>
          <w:szCs w:val="24"/>
          <w:lang w:val="pt-BR" w:eastAsia="es-ES"/>
        </w:rPr>
        <w:t xml:space="preserve">Corte, </w:t>
      </w:r>
      <w:r w:rsidR="00737270" w:rsidRPr="00D5464D">
        <w:rPr>
          <w:rFonts w:eastAsia="Batang" w:cs="Times"/>
          <w:szCs w:val="24"/>
          <w:lang w:val="pt-BR" w:eastAsia="es-ES"/>
        </w:rPr>
        <w:t>possibilidade</w:t>
      </w:r>
      <w:r w:rsidR="000A52D5" w:rsidRPr="00D5464D">
        <w:rPr>
          <w:rFonts w:eastAsia="Batang" w:cs="Times"/>
          <w:szCs w:val="24"/>
          <w:lang w:val="pt-BR" w:eastAsia="es-ES"/>
        </w:rPr>
        <w:t xml:space="preserve">s </w:t>
      </w:r>
      <w:r w:rsidR="00C16021" w:rsidRPr="00D5464D">
        <w:rPr>
          <w:rFonts w:eastAsia="Batang" w:cs="Times"/>
          <w:szCs w:val="24"/>
          <w:lang w:val="pt-BR" w:eastAsia="es-ES"/>
        </w:rPr>
        <w:t xml:space="preserve">estas </w:t>
      </w:r>
      <w:r w:rsidR="000A52D5" w:rsidRPr="00D5464D">
        <w:rPr>
          <w:rFonts w:eastAsia="Batang" w:cs="Times"/>
          <w:szCs w:val="24"/>
          <w:lang w:val="pt-BR" w:eastAsia="es-ES"/>
        </w:rPr>
        <w:t>que</w:t>
      </w:r>
      <w:r w:rsidR="002C330E" w:rsidRPr="00D5464D">
        <w:rPr>
          <w:rFonts w:eastAsia="Batang" w:cs="Times"/>
          <w:szCs w:val="24"/>
          <w:lang w:val="pt-BR" w:eastAsia="es-ES"/>
        </w:rPr>
        <w:t xml:space="preserve"> são </w:t>
      </w:r>
      <w:r w:rsidR="00E765C2" w:rsidRPr="00D5464D">
        <w:rPr>
          <w:rFonts w:eastAsia="Batang" w:cs="Times"/>
          <w:szCs w:val="24"/>
          <w:lang w:val="pt-BR" w:eastAsia="es-ES"/>
        </w:rPr>
        <w:t>excludentes</w:t>
      </w:r>
      <w:r w:rsidR="000A52D5" w:rsidRPr="00D5464D">
        <w:rPr>
          <w:rFonts w:eastAsia="Batang" w:cs="Times"/>
          <w:szCs w:val="24"/>
          <w:lang w:val="pt-BR" w:eastAsia="es-ES"/>
        </w:rPr>
        <w:t xml:space="preserve"> entre </w:t>
      </w:r>
      <w:r w:rsidR="00C16021" w:rsidRPr="00D5464D">
        <w:rPr>
          <w:rFonts w:eastAsia="Batang" w:cs="Times"/>
          <w:szCs w:val="24"/>
          <w:lang w:val="pt-BR" w:eastAsia="es-ES"/>
        </w:rPr>
        <w:t>si</w:t>
      </w:r>
      <w:r w:rsidR="00A1358C" w:rsidRPr="00D5464D">
        <w:rPr>
          <w:rFonts w:eastAsia="Batang" w:cs="Times"/>
          <w:szCs w:val="24"/>
          <w:lang w:val="pt-BR" w:eastAsia="es-ES"/>
        </w:rPr>
        <w:t xml:space="preserve">. O </w:t>
      </w:r>
      <w:r w:rsidR="000A52D5" w:rsidRPr="00D5464D">
        <w:rPr>
          <w:rFonts w:eastAsia="Batang" w:cs="Times"/>
          <w:szCs w:val="24"/>
          <w:lang w:val="pt-BR" w:eastAsia="es-ES"/>
        </w:rPr>
        <w:t xml:space="preserve">Estado </w:t>
      </w:r>
      <w:r w:rsidRPr="00D5464D">
        <w:rPr>
          <w:rFonts w:eastAsia="Batang" w:cs="Times"/>
          <w:szCs w:val="24"/>
          <w:lang w:val="pt-BR" w:eastAsia="es-ES"/>
        </w:rPr>
        <w:t>considerou</w:t>
      </w:r>
      <w:r w:rsidR="000A52D5" w:rsidRPr="00D5464D">
        <w:rPr>
          <w:rFonts w:eastAsia="Batang" w:cs="Times"/>
          <w:szCs w:val="24"/>
          <w:lang w:val="pt-BR" w:eastAsia="es-ES"/>
        </w:rPr>
        <w:t xml:space="preserve"> que</w:t>
      </w:r>
      <w:r w:rsidR="002C330E" w:rsidRPr="00D5464D">
        <w:rPr>
          <w:rFonts w:eastAsia="Batang" w:cs="Times"/>
          <w:szCs w:val="24"/>
          <w:lang w:val="pt-BR" w:eastAsia="es-ES"/>
        </w:rPr>
        <w:t xml:space="preserve"> a </w:t>
      </w:r>
      <w:r w:rsidR="000A52D5" w:rsidRPr="00D5464D">
        <w:rPr>
          <w:rFonts w:eastAsia="Batang" w:cs="Times"/>
          <w:szCs w:val="24"/>
          <w:lang w:val="pt-BR" w:eastAsia="es-ES"/>
        </w:rPr>
        <w:t>publica</w:t>
      </w:r>
      <w:r w:rsidRPr="00D5464D">
        <w:rPr>
          <w:rFonts w:eastAsia="Batang" w:cs="Times"/>
          <w:szCs w:val="24"/>
          <w:lang w:val="pt-BR" w:eastAsia="es-ES"/>
        </w:rPr>
        <w:t>ção</w:t>
      </w:r>
      <w:r w:rsidR="000A52D5" w:rsidRPr="00D5464D">
        <w:rPr>
          <w:rFonts w:eastAsia="Batang" w:cs="Times"/>
          <w:szCs w:val="24"/>
          <w:lang w:val="pt-BR" w:eastAsia="es-ES"/>
        </w:rPr>
        <w:t xml:space="preserve"> </w:t>
      </w:r>
      <w:r w:rsidRPr="00D5464D">
        <w:rPr>
          <w:rFonts w:eastAsia="Batang" w:cs="Times"/>
          <w:szCs w:val="24"/>
          <w:lang w:val="pt-BR" w:eastAsia="es-ES"/>
        </w:rPr>
        <w:t>do</w:t>
      </w:r>
      <w:r w:rsidR="002C330E" w:rsidRPr="00D5464D">
        <w:rPr>
          <w:rFonts w:eastAsia="Batang" w:cs="Times"/>
          <w:szCs w:val="24"/>
          <w:lang w:val="pt-BR" w:eastAsia="es-ES"/>
        </w:rPr>
        <w:t xml:space="preserve">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w:t>
      </w:r>
      <w:r w:rsidRPr="00D5464D">
        <w:rPr>
          <w:rFonts w:eastAsia="Batang" w:cs="Times"/>
          <w:szCs w:val="24"/>
          <w:lang w:val="pt-BR" w:eastAsia="es-ES"/>
        </w:rPr>
        <w:t>da Comissão</w:t>
      </w:r>
      <w:r w:rsidR="000A52D5" w:rsidRPr="00D5464D">
        <w:rPr>
          <w:rFonts w:eastAsia="Batang" w:cs="Times"/>
          <w:szCs w:val="24"/>
          <w:lang w:val="pt-BR" w:eastAsia="es-ES"/>
        </w:rPr>
        <w:t xml:space="preserve"> </w:t>
      </w:r>
      <w:r w:rsidR="00C16021" w:rsidRPr="00D5464D">
        <w:rPr>
          <w:rFonts w:eastAsia="Batang" w:cs="Times"/>
          <w:szCs w:val="24"/>
          <w:lang w:val="pt-BR" w:eastAsia="es-ES"/>
        </w:rPr>
        <w:t xml:space="preserve">violaria </w:t>
      </w:r>
      <w:r w:rsidRPr="00D5464D">
        <w:rPr>
          <w:rFonts w:eastAsia="Batang" w:cs="Times"/>
          <w:szCs w:val="24"/>
          <w:lang w:val="pt-BR" w:eastAsia="es-ES"/>
        </w:rPr>
        <w:t>os artigo</w:t>
      </w:r>
      <w:r w:rsidR="000A52D5" w:rsidRPr="00D5464D">
        <w:rPr>
          <w:rFonts w:eastAsia="Batang" w:cs="Times"/>
          <w:szCs w:val="24"/>
          <w:lang w:val="pt-BR" w:eastAsia="es-ES"/>
        </w:rPr>
        <w:t>s 50</w:t>
      </w:r>
      <w:r w:rsidR="00E045D9" w:rsidRPr="00D5464D">
        <w:rPr>
          <w:rFonts w:eastAsia="Batang" w:cs="Times"/>
          <w:szCs w:val="24"/>
          <w:lang w:val="pt-BR" w:eastAsia="es-ES"/>
        </w:rPr>
        <w:t xml:space="preserve"> e </w:t>
      </w:r>
      <w:r w:rsidR="000A52D5" w:rsidRPr="00D5464D">
        <w:rPr>
          <w:rFonts w:eastAsia="Batang" w:cs="Times"/>
          <w:szCs w:val="24"/>
          <w:lang w:val="pt-BR" w:eastAsia="es-ES"/>
        </w:rPr>
        <w:t>51</w:t>
      </w:r>
      <w:r w:rsidRPr="00D5464D">
        <w:rPr>
          <w:rFonts w:eastAsia="Batang" w:cs="Times"/>
          <w:szCs w:val="24"/>
          <w:lang w:val="pt-BR" w:eastAsia="es-ES"/>
        </w:rPr>
        <w:t xml:space="preserve"> da </w:t>
      </w:r>
      <w:r w:rsidR="000A52D5" w:rsidRPr="00D5464D">
        <w:rPr>
          <w:rFonts w:eastAsia="Batang" w:cs="Times"/>
          <w:szCs w:val="24"/>
          <w:lang w:val="pt-BR" w:eastAsia="es-ES"/>
        </w:rPr>
        <w:t>Conven</w:t>
      </w:r>
      <w:r w:rsidRPr="00D5464D">
        <w:rPr>
          <w:rFonts w:eastAsia="Batang" w:cs="Times"/>
          <w:szCs w:val="24"/>
          <w:lang w:val="pt-BR" w:eastAsia="es-ES"/>
        </w:rPr>
        <w:t>ção</w:t>
      </w:r>
      <w:r w:rsidR="000A52D5" w:rsidRPr="00D5464D">
        <w:rPr>
          <w:rFonts w:eastAsia="Batang" w:cs="Times"/>
          <w:szCs w:val="24"/>
          <w:lang w:val="pt-BR" w:eastAsia="es-ES"/>
        </w:rPr>
        <w:t>,</w:t>
      </w:r>
      <w:r w:rsidR="002C330E" w:rsidRPr="00D5464D">
        <w:rPr>
          <w:rFonts w:eastAsia="Batang" w:cs="Times"/>
          <w:szCs w:val="24"/>
          <w:lang w:val="pt-BR" w:eastAsia="es-ES"/>
        </w:rPr>
        <w:t xml:space="preserve"> </w:t>
      </w:r>
      <w:r w:rsidR="00C16021" w:rsidRPr="00D5464D">
        <w:rPr>
          <w:rFonts w:eastAsia="Batang" w:cs="Times"/>
          <w:szCs w:val="24"/>
          <w:lang w:val="pt-BR" w:eastAsia="es-ES"/>
        </w:rPr>
        <w:t xml:space="preserve">de modo </w:t>
      </w:r>
      <w:r w:rsidR="002C330E" w:rsidRPr="00D5464D">
        <w:rPr>
          <w:rFonts w:eastAsia="Batang" w:cs="Times"/>
          <w:szCs w:val="24"/>
          <w:lang w:val="pt-BR" w:eastAsia="es-ES"/>
        </w:rPr>
        <w:t>que solicitou a</w:t>
      </w:r>
      <w:r w:rsidR="00C16021" w:rsidRPr="00D5464D">
        <w:rPr>
          <w:rFonts w:eastAsia="Batang" w:cs="Times"/>
          <w:szCs w:val="24"/>
          <w:lang w:val="pt-BR" w:eastAsia="es-ES"/>
        </w:rPr>
        <w:t xml:space="preserve"> não </w:t>
      </w:r>
      <w:r w:rsidRPr="00D5464D">
        <w:rPr>
          <w:rFonts w:eastAsia="Batang" w:cs="Times"/>
          <w:szCs w:val="24"/>
          <w:lang w:val="pt-BR" w:eastAsia="es-ES"/>
        </w:rPr>
        <w:t xml:space="preserve">admissão do </w:t>
      </w:r>
      <w:r w:rsidR="000A52D5" w:rsidRPr="00D5464D">
        <w:rPr>
          <w:rFonts w:eastAsia="Batang" w:cs="Times"/>
          <w:szCs w:val="24"/>
          <w:lang w:val="pt-BR" w:eastAsia="es-ES"/>
        </w:rPr>
        <w:t>presente caso.</w:t>
      </w:r>
    </w:p>
    <w:p w14:paraId="3C3D57C2" w14:textId="77777777" w:rsidR="000A52D5" w:rsidRPr="00D5464D" w:rsidRDefault="000A52D5" w:rsidP="00140440">
      <w:pPr>
        <w:tabs>
          <w:tab w:val="clear" w:pos="4419"/>
          <w:tab w:val="clear" w:pos="8838"/>
        </w:tabs>
        <w:jc w:val="both"/>
        <w:rPr>
          <w:rFonts w:eastAsia="Batang" w:cs="Times"/>
          <w:szCs w:val="24"/>
          <w:lang w:val="pt-BR" w:eastAsia="es-ES"/>
        </w:rPr>
      </w:pPr>
    </w:p>
    <w:p w14:paraId="185C9029" w14:textId="0AF50A41" w:rsidR="000A52D5" w:rsidRPr="00D5464D" w:rsidRDefault="002C330E"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 </w:t>
      </w:r>
      <w:r w:rsidR="00C16021" w:rsidRPr="00D5464D">
        <w:rPr>
          <w:rFonts w:eastAsia="Batang" w:cs="Times"/>
          <w:szCs w:val="24"/>
          <w:lang w:val="pt-BR" w:eastAsia="es-ES"/>
        </w:rPr>
        <w:t>A</w:t>
      </w:r>
      <w:r w:rsidRPr="00D5464D">
        <w:rPr>
          <w:rFonts w:eastAsia="Batang" w:cs="Times"/>
          <w:szCs w:val="24"/>
          <w:lang w:val="pt-BR" w:eastAsia="es-ES"/>
        </w:rPr>
        <w:t xml:space="preserve"> </w:t>
      </w:r>
      <w:r w:rsidR="00470ADC" w:rsidRPr="00D5464D">
        <w:rPr>
          <w:rFonts w:eastAsia="Batang" w:cs="Times"/>
          <w:b/>
          <w:i/>
          <w:szCs w:val="24"/>
          <w:lang w:val="pt-BR" w:eastAsia="es-ES"/>
        </w:rPr>
        <w:t>Comissão</w:t>
      </w:r>
      <w:r w:rsidR="000A52D5" w:rsidRPr="00D5464D">
        <w:rPr>
          <w:rFonts w:eastAsia="Batang" w:cs="Times"/>
          <w:szCs w:val="24"/>
          <w:lang w:val="pt-BR" w:eastAsia="es-ES"/>
        </w:rPr>
        <w:t xml:space="preserve"> </w:t>
      </w:r>
      <w:r w:rsidRPr="00D5464D">
        <w:rPr>
          <w:rFonts w:eastAsia="Batang" w:cs="Times"/>
          <w:szCs w:val="24"/>
          <w:lang w:val="pt-BR" w:eastAsia="es-ES"/>
        </w:rPr>
        <w:t>afirmou</w:t>
      </w:r>
      <w:r w:rsidR="000A52D5" w:rsidRPr="00D5464D">
        <w:rPr>
          <w:rFonts w:eastAsia="Batang" w:cs="Times"/>
          <w:szCs w:val="24"/>
          <w:lang w:val="pt-BR" w:eastAsia="es-ES"/>
        </w:rPr>
        <w:t xml:space="preserve"> que</w:t>
      </w:r>
      <w:r w:rsidR="00470ADC" w:rsidRPr="00D5464D">
        <w:rPr>
          <w:rFonts w:eastAsia="Batang" w:cs="Times"/>
          <w:szCs w:val="24"/>
          <w:lang w:val="pt-BR" w:eastAsia="es-ES"/>
        </w:rPr>
        <w:t xml:space="preserve"> </w:t>
      </w:r>
      <w:r w:rsidR="00350187" w:rsidRPr="00D5464D">
        <w:rPr>
          <w:rFonts w:eastAsia="Batang" w:cs="Times"/>
          <w:szCs w:val="24"/>
          <w:lang w:val="pt-BR" w:eastAsia="es-ES"/>
        </w:rPr>
        <w:t>a alegação</w:t>
      </w:r>
      <w:r w:rsidR="000A52D5" w:rsidRPr="00D5464D">
        <w:rPr>
          <w:rFonts w:eastAsia="Batang" w:cs="Times"/>
          <w:szCs w:val="24"/>
          <w:lang w:val="pt-BR" w:eastAsia="es-ES"/>
        </w:rPr>
        <w:t xml:space="preserve"> </w:t>
      </w:r>
      <w:r w:rsidR="00470ADC" w:rsidRPr="00D5464D">
        <w:rPr>
          <w:rFonts w:eastAsia="Batang" w:cs="Times"/>
          <w:szCs w:val="24"/>
          <w:lang w:val="pt-BR" w:eastAsia="es-ES"/>
        </w:rPr>
        <w:t xml:space="preserve">do </w:t>
      </w:r>
      <w:r w:rsidR="000A52D5" w:rsidRPr="00D5464D">
        <w:rPr>
          <w:rFonts w:eastAsia="Batang" w:cs="Times"/>
          <w:szCs w:val="24"/>
          <w:lang w:val="pt-BR" w:eastAsia="es-ES"/>
        </w:rPr>
        <w:t xml:space="preserve">Estado </w:t>
      </w:r>
      <w:r w:rsidR="00C16021" w:rsidRPr="00D5464D">
        <w:rPr>
          <w:rFonts w:eastAsia="Batang" w:cs="Times"/>
          <w:szCs w:val="24"/>
          <w:lang w:val="pt-BR" w:eastAsia="es-ES"/>
        </w:rPr>
        <w:t xml:space="preserve">não </w:t>
      </w:r>
      <w:r w:rsidR="00470ADC" w:rsidRPr="00D5464D">
        <w:rPr>
          <w:rFonts w:eastAsia="Batang" w:cs="Times"/>
          <w:szCs w:val="24"/>
          <w:lang w:val="pt-BR" w:eastAsia="es-ES"/>
        </w:rPr>
        <w:t>constitui</w:t>
      </w:r>
      <w:r w:rsidR="00E045D9" w:rsidRPr="00D5464D">
        <w:rPr>
          <w:rFonts w:eastAsia="Batang" w:cs="Times"/>
          <w:szCs w:val="24"/>
          <w:lang w:val="pt-BR" w:eastAsia="es-ES"/>
        </w:rPr>
        <w:t xml:space="preserve"> uma </w:t>
      </w:r>
      <w:r w:rsidR="00470ADC" w:rsidRPr="00D5464D">
        <w:rPr>
          <w:rFonts w:eastAsia="Batang" w:cs="Times"/>
          <w:szCs w:val="24"/>
          <w:lang w:val="pt-BR" w:eastAsia="es-ES"/>
        </w:rPr>
        <w:t>exceção</w:t>
      </w:r>
      <w:r w:rsidR="000A52D5" w:rsidRPr="00D5464D">
        <w:rPr>
          <w:rFonts w:eastAsia="Batang" w:cs="Times"/>
          <w:szCs w:val="24"/>
          <w:lang w:val="pt-BR" w:eastAsia="es-ES"/>
        </w:rPr>
        <w:t xml:space="preserve"> preliminar,</w:t>
      </w:r>
      <w:r w:rsidRPr="00D5464D">
        <w:rPr>
          <w:rFonts w:eastAsia="Batang" w:cs="Times"/>
          <w:szCs w:val="24"/>
          <w:lang w:val="pt-BR" w:eastAsia="es-ES"/>
        </w:rPr>
        <w:t xml:space="preserve"> pois </w:t>
      </w:r>
      <w:r w:rsidR="000A52D5" w:rsidRPr="00D5464D">
        <w:rPr>
          <w:rFonts w:eastAsia="Batang" w:cs="Times"/>
          <w:szCs w:val="24"/>
          <w:lang w:val="pt-BR" w:eastAsia="es-ES"/>
        </w:rPr>
        <w:t>n</w:t>
      </w:r>
      <w:r w:rsidR="00C16021" w:rsidRPr="00D5464D">
        <w:rPr>
          <w:rFonts w:eastAsia="Batang" w:cs="Times"/>
          <w:szCs w:val="24"/>
          <w:lang w:val="pt-BR" w:eastAsia="es-ES"/>
        </w:rPr>
        <w:t>ã</w:t>
      </w:r>
      <w:r w:rsidR="000A52D5" w:rsidRPr="00D5464D">
        <w:rPr>
          <w:rFonts w:eastAsia="Batang" w:cs="Times"/>
          <w:szCs w:val="24"/>
          <w:lang w:val="pt-BR" w:eastAsia="es-ES"/>
        </w:rPr>
        <w:t xml:space="preserve">o se </w:t>
      </w:r>
      <w:r w:rsidRPr="00D5464D">
        <w:rPr>
          <w:rFonts w:eastAsia="Batang" w:cs="Times"/>
          <w:szCs w:val="24"/>
          <w:lang w:val="pt-BR" w:eastAsia="es-ES"/>
        </w:rPr>
        <w:t>refere</w:t>
      </w:r>
      <w:r w:rsidR="000A52D5" w:rsidRPr="00D5464D">
        <w:rPr>
          <w:rFonts w:eastAsia="Batang" w:cs="Times"/>
          <w:szCs w:val="24"/>
          <w:lang w:val="pt-BR" w:eastAsia="es-ES"/>
        </w:rPr>
        <w:t xml:space="preserve"> a </w:t>
      </w:r>
      <w:r w:rsidR="00470ADC" w:rsidRPr="00D5464D">
        <w:rPr>
          <w:rFonts w:eastAsia="Batang" w:cs="Times"/>
          <w:szCs w:val="24"/>
          <w:lang w:val="pt-BR" w:eastAsia="es-ES"/>
        </w:rPr>
        <w:t>questões</w:t>
      </w:r>
      <w:r w:rsidR="000A52D5" w:rsidRPr="00D5464D">
        <w:rPr>
          <w:rFonts w:eastAsia="Batang" w:cs="Times"/>
          <w:szCs w:val="24"/>
          <w:lang w:val="pt-BR" w:eastAsia="es-ES"/>
        </w:rPr>
        <w:t xml:space="preserve"> de </w:t>
      </w:r>
      <w:r w:rsidR="00470ADC" w:rsidRPr="00D5464D">
        <w:rPr>
          <w:rFonts w:eastAsia="Batang" w:cs="Times"/>
          <w:szCs w:val="24"/>
          <w:lang w:val="pt-BR" w:eastAsia="es-ES"/>
        </w:rPr>
        <w:t>competência</w:t>
      </w:r>
      <w:r w:rsidR="000A52D5" w:rsidRPr="00D5464D">
        <w:rPr>
          <w:rFonts w:eastAsia="Batang" w:cs="Times"/>
          <w:szCs w:val="24"/>
          <w:lang w:val="pt-BR" w:eastAsia="es-ES"/>
        </w:rPr>
        <w:t>,</w:t>
      </w:r>
      <w:r w:rsidRPr="00D5464D">
        <w:rPr>
          <w:rFonts w:eastAsia="Batang" w:cs="Times"/>
          <w:szCs w:val="24"/>
          <w:lang w:val="pt-BR" w:eastAsia="es-ES"/>
        </w:rPr>
        <w:t xml:space="preserve"> nem</w:t>
      </w:r>
      <w:r w:rsidR="00E045D9" w:rsidRPr="00D5464D">
        <w:rPr>
          <w:rFonts w:eastAsia="Batang" w:cs="Times"/>
          <w:szCs w:val="24"/>
          <w:lang w:val="pt-BR" w:eastAsia="es-ES"/>
        </w:rPr>
        <w:t xml:space="preserve"> aos </w:t>
      </w:r>
      <w:r w:rsidR="000A52D5" w:rsidRPr="00D5464D">
        <w:rPr>
          <w:rFonts w:eastAsia="Batang" w:cs="Times"/>
          <w:szCs w:val="24"/>
          <w:lang w:val="pt-BR" w:eastAsia="es-ES"/>
        </w:rPr>
        <w:t xml:space="preserve">requisitos de </w:t>
      </w:r>
      <w:r w:rsidR="00470ADC" w:rsidRPr="00D5464D">
        <w:rPr>
          <w:rFonts w:eastAsia="Batang" w:cs="Times"/>
          <w:szCs w:val="24"/>
          <w:lang w:val="pt-BR" w:eastAsia="es-ES"/>
        </w:rPr>
        <w:t>admissibilida</w:t>
      </w:r>
      <w:r w:rsidR="00E045D9" w:rsidRPr="00D5464D">
        <w:rPr>
          <w:rFonts w:eastAsia="Batang" w:cs="Times"/>
          <w:szCs w:val="24"/>
          <w:lang w:val="pt-BR" w:eastAsia="es-ES"/>
        </w:rPr>
        <w:t>de</w:t>
      </w:r>
      <w:r w:rsidR="00C16021" w:rsidRPr="00D5464D">
        <w:rPr>
          <w:rFonts w:eastAsia="Batang" w:cs="Times"/>
          <w:szCs w:val="24"/>
          <w:lang w:val="pt-BR" w:eastAsia="es-ES"/>
        </w:rPr>
        <w:t xml:space="preserve"> e</w:t>
      </w:r>
      <w:r w:rsidR="00E045D9" w:rsidRPr="00D5464D">
        <w:rPr>
          <w:rFonts w:eastAsia="Batang" w:cs="Times"/>
          <w:szCs w:val="24"/>
          <w:lang w:val="pt-BR" w:eastAsia="es-ES"/>
        </w:rPr>
        <w:t>sta</w:t>
      </w:r>
      <w:r w:rsidR="00470ADC" w:rsidRPr="00D5464D">
        <w:rPr>
          <w:rFonts w:eastAsia="Batang" w:cs="Times"/>
          <w:szCs w:val="24"/>
          <w:lang w:val="pt-BR" w:eastAsia="es-ES"/>
        </w:rPr>
        <w:t>belecid</w:t>
      </w:r>
      <w:r w:rsidR="000A52D5" w:rsidRPr="00D5464D">
        <w:rPr>
          <w:rFonts w:eastAsia="Batang" w:cs="Times"/>
          <w:szCs w:val="24"/>
          <w:lang w:val="pt-BR" w:eastAsia="es-ES"/>
        </w:rPr>
        <w:t>os</w:t>
      </w:r>
      <w:r w:rsidR="00E045D9" w:rsidRPr="00D5464D">
        <w:rPr>
          <w:rFonts w:eastAsia="Batang" w:cs="Times"/>
          <w:szCs w:val="24"/>
          <w:lang w:val="pt-BR" w:eastAsia="es-ES"/>
        </w:rPr>
        <w:t xml:space="preserve"> na </w:t>
      </w:r>
      <w:r w:rsidR="000A52D5" w:rsidRPr="00D5464D">
        <w:rPr>
          <w:rFonts w:eastAsia="Batang" w:cs="Times"/>
          <w:szCs w:val="24"/>
          <w:lang w:val="pt-BR" w:eastAsia="es-ES"/>
        </w:rPr>
        <w:t>Conven</w:t>
      </w:r>
      <w:r w:rsidR="00470ADC" w:rsidRPr="00D5464D">
        <w:rPr>
          <w:rFonts w:eastAsia="Batang" w:cs="Times"/>
          <w:szCs w:val="24"/>
          <w:lang w:val="pt-BR" w:eastAsia="es-ES"/>
        </w:rPr>
        <w:t>ção</w:t>
      </w:r>
      <w:r w:rsidR="000A52D5" w:rsidRPr="00D5464D">
        <w:rPr>
          <w:rFonts w:eastAsia="Batang" w:cs="Times"/>
          <w:szCs w:val="24"/>
          <w:lang w:val="pt-BR" w:eastAsia="es-ES"/>
        </w:rPr>
        <w:t xml:space="preserve">. </w:t>
      </w:r>
      <w:r w:rsidR="00470ADC" w:rsidRPr="00D5464D">
        <w:rPr>
          <w:rFonts w:eastAsia="Batang" w:cs="Times"/>
          <w:szCs w:val="24"/>
          <w:lang w:val="pt-BR" w:eastAsia="es-ES"/>
        </w:rPr>
        <w:t>Ademais</w:t>
      </w:r>
      <w:r w:rsidR="000A52D5" w:rsidRPr="00D5464D">
        <w:rPr>
          <w:rFonts w:eastAsia="Batang" w:cs="Times"/>
          <w:szCs w:val="24"/>
          <w:lang w:val="pt-BR" w:eastAsia="es-ES"/>
        </w:rPr>
        <w:t xml:space="preserve">, </w:t>
      </w:r>
      <w:r w:rsidR="00C16021" w:rsidRPr="00D5464D">
        <w:rPr>
          <w:rFonts w:eastAsia="Batang" w:cs="Times"/>
          <w:szCs w:val="24"/>
          <w:lang w:val="pt-BR" w:eastAsia="es-ES"/>
        </w:rPr>
        <w:t xml:space="preserve">afirmou </w:t>
      </w:r>
      <w:r w:rsidR="000A52D5" w:rsidRPr="00D5464D">
        <w:rPr>
          <w:rFonts w:eastAsia="Batang" w:cs="Times"/>
          <w:szCs w:val="24"/>
          <w:lang w:val="pt-BR" w:eastAsia="es-ES"/>
        </w:rPr>
        <w:t>que</w:t>
      </w:r>
      <w:r w:rsidR="00470ADC" w:rsidRPr="00D5464D">
        <w:rPr>
          <w:rFonts w:eastAsia="Batang" w:cs="Times"/>
          <w:szCs w:val="24"/>
          <w:lang w:val="pt-BR" w:eastAsia="es-ES"/>
        </w:rPr>
        <w:t xml:space="preserve"> o</w:t>
      </w:r>
      <w:r w:rsidRPr="00D5464D">
        <w:rPr>
          <w:rFonts w:eastAsia="Batang" w:cs="Times"/>
          <w:szCs w:val="24"/>
          <w:lang w:val="pt-BR" w:eastAsia="es-ES"/>
        </w:rPr>
        <w:t xml:space="preserve"> </w:t>
      </w:r>
      <w:r w:rsidR="00350187" w:rsidRPr="00D5464D">
        <w:rPr>
          <w:rFonts w:eastAsia="Batang" w:cs="Times"/>
          <w:szCs w:val="24"/>
          <w:lang w:val="pt-BR" w:eastAsia="es-ES"/>
        </w:rPr>
        <w:t>relatório</w:t>
      </w:r>
      <w:r w:rsidRPr="00D5464D">
        <w:rPr>
          <w:rFonts w:eastAsia="Batang" w:cs="Times"/>
          <w:szCs w:val="24"/>
          <w:lang w:val="pt-BR" w:eastAsia="es-ES"/>
        </w:rPr>
        <w:t xml:space="preserve"> </w:t>
      </w:r>
      <w:r w:rsidR="000A52D5" w:rsidRPr="00D5464D">
        <w:rPr>
          <w:rFonts w:eastAsia="Batang" w:cs="Times"/>
          <w:szCs w:val="24"/>
          <w:lang w:val="pt-BR" w:eastAsia="es-ES"/>
        </w:rPr>
        <w:t>emitido</w:t>
      </w:r>
      <w:r w:rsidR="00470ADC" w:rsidRPr="00D5464D">
        <w:rPr>
          <w:rFonts w:eastAsia="Batang" w:cs="Times"/>
          <w:szCs w:val="24"/>
          <w:lang w:val="pt-BR" w:eastAsia="es-ES"/>
        </w:rPr>
        <w:t xml:space="preserve"> com </w:t>
      </w:r>
      <w:r w:rsidR="000A52D5" w:rsidRPr="00D5464D">
        <w:rPr>
          <w:rFonts w:eastAsia="Batang" w:cs="Times"/>
          <w:szCs w:val="24"/>
          <w:lang w:val="pt-BR" w:eastAsia="es-ES"/>
        </w:rPr>
        <w:t>base</w:t>
      </w:r>
      <w:r w:rsidR="00E045D9" w:rsidRPr="00D5464D">
        <w:rPr>
          <w:rFonts w:eastAsia="Batang" w:cs="Times"/>
          <w:szCs w:val="24"/>
          <w:lang w:val="pt-BR" w:eastAsia="es-ES"/>
        </w:rPr>
        <w:t xml:space="preserve"> no </w:t>
      </w:r>
      <w:r w:rsidR="00470ADC" w:rsidRPr="00D5464D">
        <w:rPr>
          <w:rFonts w:eastAsia="Batang" w:cs="Times"/>
          <w:szCs w:val="24"/>
          <w:lang w:val="pt-BR" w:eastAsia="es-ES"/>
        </w:rPr>
        <w:t>artigo</w:t>
      </w:r>
      <w:r w:rsidR="000A52D5" w:rsidRPr="00D5464D">
        <w:rPr>
          <w:rFonts w:eastAsia="Batang" w:cs="Times"/>
          <w:szCs w:val="24"/>
          <w:lang w:val="pt-BR" w:eastAsia="es-ES"/>
        </w:rPr>
        <w:t xml:space="preserve"> 50</w:t>
      </w:r>
      <w:r w:rsidR="00470ADC" w:rsidRPr="00D5464D">
        <w:rPr>
          <w:rFonts w:eastAsia="Batang" w:cs="Times"/>
          <w:szCs w:val="24"/>
          <w:lang w:val="pt-BR" w:eastAsia="es-ES"/>
        </w:rPr>
        <w:t xml:space="preserve"> da </w:t>
      </w:r>
      <w:r w:rsidR="000A52D5" w:rsidRPr="00D5464D">
        <w:rPr>
          <w:rFonts w:eastAsia="Batang" w:cs="Times"/>
          <w:szCs w:val="24"/>
          <w:lang w:val="pt-BR" w:eastAsia="es-ES"/>
        </w:rPr>
        <w:t>Conven</w:t>
      </w:r>
      <w:r w:rsidR="00470ADC" w:rsidRPr="00D5464D">
        <w:rPr>
          <w:rFonts w:eastAsia="Batang" w:cs="Times"/>
          <w:szCs w:val="24"/>
          <w:lang w:val="pt-BR" w:eastAsia="es-ES"/>
        </w:rPr>
        <w:t>ção</w:t>
      </w:r>
      <w:r w:rsidR="000A52D5" w:rsidRPr="00D5464D">
        <w:rPr>
          <w:rFonts w:eastAsia="Batang" w:cs="Times"/>
          <w:szCs w:val="24"/>
          <w:lang w:val="pt-BR" w:eastAsia="es-ES"/>
        </w:rPr>
        <w:t xml:space="preserve"> </w:t>
      </w:r>
      <w:r w:rsidR="00470ADC" w:rsidRPr="00D5464D">
        <w:rPr>
          <w:rFonts w:eastAsia="Batang" w:cs="Times"/>
          <w:szCs w:val="24"/>
          <w:lang w:val="pt-BR" w:eastAsia="es-ES"/>
        </w:rPr>
        <w:t>constitui</w:t>
      </w:r>
      <w:r w:rsidR="00E045D9" w:rsidRPr="00D5464D">
        <w:rPr>
          <w:rFonts w:eastAsia="Batang" w:cs="Times"/>
          <w:szCs w:val="24"/>
          <w:lang w:val="pt-BR" w:eastAsia="es-ES"/>
        </w:rPr>
        <w:t xml:space="preserve"> um </w:t>
      </w:r>
      <w:r w:rsidR="00350187" w:rsidRPr="00D5464D">
        <w:rPr>
          <w:rFonts w:eastAsia="Batang" w:cs="Times"/>
          <w:szCs w:val="24"/>
          <w:lang w:val="pt-BR" w:eastAsia="es-ES"/>
        </w:rPr>
        <w:t>relatório</w:t>
      </w:r>
      <w:r w:rsidRPr="00D5464D">
        <w:rPr>
          <w:rFonts w:eastAsia="Batang" w:cs="Times"/>
          <w:szCs w:val="24"/>
          <w:lang w:val="pt-BR" w:eastAsia="es-ES"/>
        </w:rPr>
        <w:t xml:space="preserve"> </w:t>
      </w:r>
      <w:r w:rsidR="000A52D5" w:rsidRPr="00D5464D">
        <w:rPr>
          <w:rFonts w:eastAsia="Batang" w:cs="Times"/>
          <w:szCs w:val="24"/>
          <w:lang w:val="pt-BR" w:eastAsia="es-ES"/>
        </w:rPr>
        <w:t>preliminar</w:t>
      </w:r>
      <w:r w:rsidR="00E045D9" w:rsidRPr="00D5464D">
        <w:rPr>
          <w:rFonts w:eastAsia="Batang" w:cs="Times"/>
          <w:szCs w:val="24"/>
          <w:lang w:val="pt-BR" w:eastAsia="es-ES"/>
        </w:rPr>
        <w:t xml:space="preserve"> e </w:t>
      </w:r>
      <w:r w:rsidR="000A52D5" w:rsidRPr="00D5464D">
        <w:rPr>
          <w:rFonts w:eastAsia="Batang" w:cs="Times"/>
          <w:szCs w:val="24"/>
          <w:lang w:val="pt-BR" w:eastAsia="es-ES"/>
        </w:rPr>
        <w:t xml:space="preserve">de </w:t>
      </w:r>
      <w:r w:rsidRPr="00D5464D">
        <w:rPr>
          <w:rFonts w:eastAsia="Batang" w:cs="Times"/>
          <w:szCs w:val="24"/>
          <w:lang w:val="pt-BR" w:eastAsia="es-ES"/>
        </w:rPr>
        <w:t>natureza</w:t>
      </w:r>
      <w:r w:rsidR="000A52D5" w:rsidRPr="00D5464D">
        <w:rPr>
          <w:rFonts w:eastAsia="Batang" w:cs="Times"/>
          <w:szCs w:val="24"/>
          <w:lang w:val="pt-BR" w:eastAsia="es-ES"/>
        </w:rPr>
        <w:t xml:space="preserve"> confidencial,</w:t>
      </w:r>
      <w:r w:rsidR="00470ADC" w:rsidRPr="00D5464D">
        <w:rPr>
          <w:rFonts w:eastAsia="Batang" w:cs="Times"/>
          <w:szCs w:val="24"/>
          <w:lang w:val="pt-BR" w:eastAsia="es-ES"/>
        </w:rPr>
        <w:t xml:space="preserve"> o qual </w:t>
      </w:r>
      <w:r w:rsidRPr="00D5464D">
        <w:rPr>
          <w:rFonts w:eastAsia="Batang" w:cs="Times"/>
          <w:szCs w:val="24"/>
          <w:lang w:val="pt-BR" w:eastAsia="es-ES"/>
        </w:rPr>
        <w:t>pode</w:t>
      </w:r>
      <w:r w:rsidR="000A52D5" w:rsidRPr="00D5464D">
        <w:rPr>
          <w:rFonts w:eastAsia="Batang" w:cs="Times"/>
          <w:szCs w:val="24"/>
          <w:lang w:val="pt-BR" w:eastAsia="es-ES"/>
        </w:rPr>
        <w:t xml:space="preserve"> dar lugar a d</w:t>
      </w:r>
      <w:r w:rsidR="00C16021" w:rsidRPr="00D5464D">
        <w:rPr>
          <w:rFonts w:eastAsia="Batang" w:cs="Times"/>
          <w:szCs w:val="24"/>
          <w:lang w:val="pt-BR" w:eastAsia="es-ES"/>
        </w:rPr>
        <w:t>ua</w:t>
      </w:r>
      <w:r w:rsidR="000A52D5" w:rsidRPr="00D5464D">
        <w:rPr>
          <w:rFonts w:eastAsia="Batang" w:cs="Times"/>
          <w:szCs w:val="24"/>
          <w:lang w:val="pt-BR" w:eastAsia="es-ES"/>
        </w:rPr>
        <w:t xml:space="preserve">s </w:t>
      </w:r>
      <w:r w:rsidR="00470ADC" w:rsidRPr="00D5464D">
        <w:rPr>
          <w:rFonts w:eastAsia="Batang" w:cs="Times"/>
          <w:szCs w:val="24"/>
          <w:lang w:val="pt-BR" w:eastAsia="es-ES"/>
        </w:rPr>
        <w:t>ações</w:t>
      </w:r>
      <w:r w:rsidR="000A52D5" w:rsidRPr="00D5464D">
        <w:rPr>
          <w:rFonts w:eastAsia="Batang" w:cs="Times"/>
          <w:szCs w:val="24"/>
          <w:lang w:val="pt-BR" w:eastAsia="es-ES"/>
        </w:rPr>
        <w:t xml:space="preserve">: </w:t>
      </w:r>
      <w:r w:rsidRPr="00D5464D">
        <w:rPr>
          <w:rFonts w:eastAsia="Batang" w:cs="Times"/>
          <w:szCs w:val="24"/>
          <w:lang w:val="pt-BR" w:eastAsia="es-ES"/>
        </w:rPr>
        <w:t>submeter</w:t>
      </w:r>
      <w:r w:rsidR="00470ADC" w:rsidRPr="00D5464D">
        <w:rPr>
          <w:rFonts w:eastAsia="Batang" w:cs="Times"/>
          <w:szCs w:val="24"/>
          <w:lang w:val="pt-BR" w:eastAsia="es-ES"/>
        </w:rPr>
        <w:t xml:space="preserve"> o </w:t>
      </w:r>
      <w:r w:rsidR="000A52D5" w:rsidRPr="00D5464D">
        <w:rPr>
          <w:rFonts w:eastAsia="Batang" w:cs="Times"/>
          <w:szCs w:val="24"/>
          <w:lang w:val="pt-BR" w:eastAsia="es-ES"/>
        </w:rPr>
        <w:t>caso</w:t>
      </w:r>
      <w:r w:rsidR="00470ADC" w:rsidRPr="00D5464D">
        <w:rPr>
          <w:rFonts w:eastAsia="Batang" w:cs="Times"/>
          <w:szCs w:val="24"/>
          <w:lang w:val="pt-BR" w:eastAsia="es-ES"/>
        </w:rPr>
        <w:t xml:space="preserve"> </w:t>
      </w:r>
      <w:r w:rsidR="00C16021" w:rsidRPr="00D5464D">
        <w:rPr>
          <w:rFonts w:eastAsia="Batang" w:cs="Times"/>
          <w:szCs w:val="24"/>
          <w:lang w:val="pt-BR" w:eastAsia="es-ES"/>
        </w:rPr>
        <w:t>à</w:t>
      </w:r>
      <w:r w:rsidR="00470ADC" w:rsidRPr="00D5464D">
        <w:rPr>
          <w:rFonts w:eastAsia="Batang" w:cs="Times"/>
          <w:szCs w:val="24"/>
          <w:lang w:val="pt-BR" w:eastAsia="es-ES"/>
        </w:rPr>
        <w:t xml:space="preserve"> </w:t>
      </w:r>
      <w:r w:rsidR="000A52D5" w:rsidRPr="00D5464D">
        <w:rPr>
          <w:rFonts w:eastAsia="Batang" w:cs="Times"/>
          <w:szCs w:val="24"/>
          <w:lang w:val="pt-BR" w:eastAsia="es-ES"/>
        </w:rPr>
        <w:t>Corte o</w:t>
      </w:r>
      <w:r w:rsidR="00C16021" w:rsidRPr="00D5464D">
        <w:rPr>
          <w:rFonts w:eastAsia="Batang" w:cs="Times"/>
          <w:szCs w:val="24"/>
          <w:lang w:val="pt-BR" w:eastAsia="es-ES"/>
        </w:rPr>
        <w:t>u</w:t>
      </w:r>
      <w:r w:rsidR="000A52D5" w:rsidRPr="00D5464D">
        <w:rPr>
          <w:rFonts w:eastAsia="Batang" w:cs="Times"/>
          <w:szCs w:val="24"/>
          <w:lang w:val="pt-BR" w:eastAsia="es-ES"/>
        </w:rPr>
        <w:t xml:space="preserve"> proceder </w:t>
      </w:r>
      <w:r w:rsidR="00562E45" w:rsidRPr="00D5464D">
        <w:rPr>
          <w:rFonts w:eastAsia="Batang" w:cs="Times"/>
          <w:szCs w:val="24"/>
          <w:lang w:val="pt-BR" w:eastAsia="es-ES"/>
        </w:rPr>
        <w:t>à</w:t>
      </w:r>
      <w:r w:rsidR="000A52D5" w:rsidRPr="00D5464D">
        <w:rPr>
          <w:rFonts w:eastAsia="Batang" w:cs="Times"/>
          <w:szCs w:val="24"/>
          <w:lang w:val="pt-BR" w:eastAsia="es-ES"/>
        </w:rPr>
        <w:t xml:space="preserve"> </w:t>
      </w:r>
      <w:r w:rsidR="00737270" w:rsidRPr="00D5464D">
        <w:rPr>
          <w:rFonts w:eastAsia="Batang" w:cs="Times"/>
          <w:szCs w:val="24"/>
          <w:lang w:val="pt-BR" w:eastAsia="es-ES"/>
        </w:rPr>
        <w:t>sua publicação</w:t>
      </w:r>
      <w:r w:rsidR="000A52D5" w:rsidRPr="00D5464D">
        <w:rPr>
          <w:rFonts w:eastAsia="Batang" w:cs="Times"/>
          <w:szCs w:val="24"/>
          <w:lang w:val="pt-BR" w:eastAsia="es-ES"/>
        </w:rPr>
        <w:t>;</w:t>
      </w:r>
      <w:r w:rsidR="00976FE4" w:rsidRPr="00D5464D">
        <w:rPr>
          <w:rFonts w:eastAsia="Batang" w:cs="Times"/>
          <w:szCs w:val="24"/>
          <w:lang w:val="pt-BR" w:eastAsia="es-ES"/>
        </w:rPr>
        <w:t xml:space="preserve"> </w:t>
      </w:r>
      <w:r w:rsidRPr="00D5464D">
        <w:rPr>
          <w:rFonts w:eastAsia="Batang" w:cs="Times"/>
          <w:szCs w:val="24"/>
          <w:lang w:val="pt-BR" w:eastAsia="es-ES"/>
        </w:rPr>
        <w:t>mas</w:t>
      </w:r>
      <w:r w:rsidR="00E045D9" w:rsidRPr="00D5464D">
        <w:rPr>
          <w:rFonts w:eastAsia="Batang" w:cs="Times"/>
          <w:szCs w:val="24"/>
          <w:lang w:val="pt-BR" w:eastAsia="es-ES"/>
        </w:rPr>
        <w:t xml:space="preserve"> uma </w:t>
      </w:r>
      <w:r w:rsidR="00976FE4" w:rsidRPr="00D5464D">
        <w:rPr>
          <w:rFonts w:eastAsia="Batang" w:cs="Times"/>
          <w:szCs w:val="24"/>
          <w:lang w:val="pt-BR" w:eastAsia="es-ES"/>
        </w:rPr>
        <w:t xml:space="preserve">vez </w:t>
      </w:r>
      <w:r w:rsidR="00A1358C" w:rsidRPr="00D5464D">
        <w:rPr>
          <w:rFonts w:eastAsia="Batang" w:cs="Times"/>
          <w:szCs w:val="24"/>
          <w:lang w:val="pt-BR" w:eastAsia="es-ES"/>
        </w:rPr>
        <w:t>escolhid</w:t>
      </w:r>
      <w:r w:rsidR="00976FE4" w:rsidRPr="00D5464D">
        <w:rPr>
          <w:rFonts w:eastAsia="Batang" w:cs="Times"/>
          <w:szCs w:val="24"/>
          <w:lang w:val="pt-BR" w:eastAsia="es-ES"/>
        </w:rPr>
        <w:t>a</w:t>
      </w:r>
      <w:r w:rsidR="00E045D9" w:rsidRPr="00D5464D">
        <w:rPr>
          <w:rFonts w:eastAsia="Batang" w:cs="Times"/>
          <w:szCs w:val="24"/>
          <w:lang w:val="pt-BR" w:eastAsia="es-ES"/>
        </w:rPr>
        <w:t xml:space="preserve"> uma </w:t>
      </w:r>
      <w:r w:rsidR="00470ADC" w:rsidRPr="00D5464D">
        <w:rPr>
          <w:rFonts w:eastAsia="Batang" w:cs="Times"/>
          <w:szCs w:val="24"/>
          <w:lang w:val="pt-BR" w:eastAsia="es-ES"/>
        </w:rPr>
        <w:t xml:space="preserve">das </w:t>
      </w:r>
      <w:r w:rsidR="00C16021" w:rsidRPr="00D5464D">
        <w:rPr>
          <w:rFonts w:eastAsia="Batang" w:cs="Times"/>
          <w:szCs w:val="24"/>
          <w:lang w:val="pt-BR" w:eastAsia="es-ES"/>
        </w:rPr>
        <w:t xml:space="preserve">opções </w:t>
      </w:r>
      <w:r w:rsidR="00976FE4" w:rsidRPr="00D5464D">
        <w:rPr>
          <w:rFonts w:eastAsia="Batang" w:cs="Times"/>
          <w:szCs w:val="24"/>
          <w:lang w:val="pt-BR" w:eastAsia="es-ES"/>
        </w:rPr>
        <w:t>anteriores</w:t>
      </w:r>
      <w:r w:rsidR="000A52D5" w:rsidRPr="00D5464D">
        <w:rPr>
          <w:rFonts w:eastAsia="Batang" w:cs="Times"/>
          <w:szCs w:val="24"/>
          <w:lang w:val="pt-BR" w:eastAsia="es-ES"/>
        </w:rPr>
        <w:t>,</w:t>
      </w:r>
      <w:r w:rsidR="00470ADC" w:rsidRPr="00D5464D">
        <w:rPr>
          <w:rFonts w:eastAsia="Batang" w:cs="Times"/>
          <w:szCs w:val="24"/>
          <w:lang w:val="pt-BR" w:eastAsia="es-ES"/>
        </w:rPr>
        <w:t xml:space="preserve"> o</w:t>
      </w:r>
      <w:r w:rsidRPr="00D5464D">
        <w:rPr>
          <w:rFonts w:eastAsia="Batang" w:cs="Times"/>
          <w:szCs w:val="24"/>
          <w:lang w:val="pt-BR" w:eastAsia="es-ES"/>
        </w:rPr>
        <w:t xml:space="preserve"> </w:t>
      </w:r>
      <w:r w:rsidR="00350187" w:rsidRPr="00D5464D">
        <w:rPr>
          <w:rFonts w:eastAsia="Batang" w:cs="Times"/>
          <w:szCs w:val="24"/>
          <w:lang w:val="pt-BR" w:eastAsia="es-ES"/>
        </w:rPr>
        <w:t>relatório p</w:t>
      </w:r>
      <w:r w:rsidR="00C16021" w:rsidRPr="00D5464D">
        <w:rPr>
          <w:rFonts w:eastAsia="Batang" w:cs="Times"/>
          <w:szCs w:val="24"/>
          <w:lang w:val="pt-BR" w:eastAsia="es-ES"/>
        </w:rPr>
        <w:t>e</w:t>
      </w:r>
      <w:r w:rsidR="000A52D5" w:rsidRPr="00D5464D">
        <w:rPr>
          <w:rFonts w:eastAsia="Batang" w:cs="Times"/>
          <w:szCs w:val="24"/>
          <w:lang w:val="pt-BR" w:eastAsia="es-ES"/>
        </w:rPr>
        <w:t xml:space="preserve">rde </w:t>
      </w:r>
      <w:r w:rsidR="00E045D9" w:rsidRPr="00D5464D">
        <w:rPr>
          <w:rFonts w:eastAsia="Batang" w:cs="Times"/>
          <w:szCs w:val="24"/>
          <w:lang w:val="pt-BR" w:eastAsia="es-ES"/>
        </w:rPr>
        <w:t>seu caráter</w:t>
      </w:r>
      <w:r w:rsidR="000A52D5" w:rsidRPr="00D5464D">
        <w:rPr>
          <w:rFonts w:eastAsia="Batang" w:cs="Times"/>
          <w:szCs w:val="24"/>
          <w:lang w:val="pt-BR" w:eastAsia="es-ES"/>
        </w:rPr>
        <w:t xml:space="preserve"> inicial</w:t>
      </w:r>
      <w:r w:rsidR="00A1358C" w:rsidRPr="00D5464D">
        <w:rPr>
          <w:rFonts w:eastAsia="Batang" w:cs="Times"/>
          <w:szCs w:val="24"/>
          <w:lang w:val="pt-BR" w:eastAsia="es-ES"/>
        </w:rPr>
        <w:t xml:space="preserve">. A </w:t>
      </w:r>
      <w:r w:rsidR="00470ADC" w:rsidRPr="00D5464D">
        <w:rPr>
          <w:rFonts w:eastAsia="Batang" w:cs="Times"/>
          <w:szCs w:val="24"/>
          <w:lang w:val="pt-BR" w:eastAsia="es-ES"/>
        </w:rPr>
        <w:t>Comissão</w:t>
      </w:r>
      <w:r w:rsidR="000A52D5" w:rsidRPr="00D5464D">
        <w:rPr>
          <w:rFonts w:eastAsia="Batang" w:cs="Times"/>
          <w:szCs w:val="24"/>
          <w:lang w:val="pt-BR" w:eastAsia="es-ES"/>
        </w:rPr>
        <w:t xml:space="preserve"> </w:t>
      </w:r>
      <w:r w:rsidR="00C16021" w:rsidRPr="00D5464D">
        <w:rPr>
          <w:rFonts w:eastAsia="Batang" w:cs="Times"/>
          <w:szCs w:val="24"/>
          <w:lang w:val="pt-BR" w:eastAsia="es-ES"/>
        </w:rPr>
        <w:t xml:space="preserve">indicou </w:t>
      </w:r>
      <w:r w:rsidR="000A52D5" w:rsidRPr="00D5464D">
        <w:rPr>
          <w:rFonts w:eastAsia="Batang" w:cs="Times"/>
          <w:szCs w:val="24"/>
          <w:lang w:val="pt-BR" w:eastAsia="es-ES"/>
        </w:rPr>
        <w:t>que</w:t>
      </w:r>
      <w:r w:rsidR="00562E45" w:rsidRPr="00D5464D">
        <w:rPr>
          <w:rFonts w:eastAsia="Batang" w:cs="Times"/>
          <w:szCs w:val="24"/>
          <w:lang w:val="pt-BR" w:eastAsia="es-ES"/>
        </w:rPr>
        <w:t>,</w:t>
      </w:r>
      <w:r w:rsidR="00470ADC" w:rsidRPr="00D5464D">
        <w:rPr>
          <w:rFonts w:eastAsia="Batang" w:cs="Times"/>
          <w:szCs w:val="24"/>
          <w:lang w:val="pt-BR" w:eastAsia="es-ES"/>
        </w:rPr>
        <w:t xml:space="preserve"> ao</w:t>
      </w:r>
      <w:r w:rsidRPr="00D5464D">
        <w:rPr>
          <w:rFonts w:eastAsia="Batang" w:cs="Times"/>
          <w:szCs w:val="24"/>
          <w:lang w:val="pt-BR" w:eastAsia="es-ES"/>
        </w:rPr>
        <w:t xml:space="preserve"> lev</w:t>
      </w:r>
      <w:r w:rsidR="000A52D5" w:rsidRPr="00D5464D">
        <w:rPr>
          <w:rFonts w:eastAsia="Batang" w:cs="Times"/>
          <w:szCs w:val="24"/>
          <w:lang w:val="pt-BR" w:eastAsia="es-ES"/>
        </w:rPr>
        <w:t>ar</w:t>
      </w:r>
      <w:r w:rsidR="00470ADC" w:rsidRPr="00D5464D">
        <w:rPr>
          <w:rFonts w:eastAsia="Batang" w:cs="Times"/>
          <w:szCs w:val="24"/>
          <w:lang w:val="pt-BR" w:eastAsia="es-ES"/>
        </w:rPr>
        <w:t xml:space="preserve"> o assunto à </w:t>
      </w:r>
      <w:r w:rsidR="000A52D5" w:rsidRPr="00D5464D">
        <w:rPr>
          <w:rFonts w:eastAsia="Batang" w:cs="Times"/>
          <w:szCs w:val="24"/>
          <w:lang w:val="pt-BR" w:eastAsia="es-ES"/>
        </w:rPr>
        <w:t xml:space="preserve">Corte, </w:t>
      </w:r>
      <w:r w:rsidRPr="00D5464D">
        <w:rPr>
          <w:rFonts w:eastAsia="Batang" w:cs="Times"/>
          <w:szCs w:val="24"/>
          <w:lang w:val="pt-BR" w:eastAsia="es-ES"/>
        </w:rPr>
        <w:t>publicou</w:t>
      </w:r>
      <w:r w:rsidR="00470ADC" w:rsidRPr="00D5464D">
        <w:rPr>
          <w:rFonts w:eastAsia="Batang" w:cs="Times"/>
          <w:szCs w:val="24"/>
          <w:lang w:val="pt-BR" w:eastAsia="es-ES"/>
        </w:rPr>
        <w:t xml:space="preserve"> o</w:t>
      </w:r>
      <w:r w:rsidRPr="00D5464D">
        <w:rPr>
          <w:rFonts w:eastAsia="Batang" w:cs="Times"/>
          <w:szCs w:val="24"/>
          <w:lang w:val="pt-BR" w:eastAsia="es-ES"/>
        </w:rPr>
        <w:t xml:space="preserve"> </w:t>
      </w:r>
      <w:r w:rsidR="00350187" w:rsidRPr="00D5464D">
        <w:rPr>
          <w:rFonts w:eastAsia="Batang" w:cs="Times"/>
          <w:szCs w:val="24"/>
          <w:lang w:val="pt-BR" w:eastAsia="es-ES"/>
        </w:rPr>
        <w:t>relatório</w:t>
      </w:r>
      <w:r w:rsidRPr="00D5464D">
        <w:rPr>
          <w:rFonts w:eastAsia="Batang" w:cs="Times"/>
          <w:szCs w:val="24"/>
          <w:lang w:val="pt-BR" w:eastAsia="es-ES"/>
        </w:rPr>
        <w:t xml:space="preserve"> </w:t>
      </w:r>
      <w:r w:rsidR="000A52D5" w:rsidRPr="00D5464D">
        <w:rPr>
          <w:rFonts w:eastAsia="Batang" w:cs="Times"/>
          <w:szCs w:val="24"/>
          <w:lang w:val="pt-BR" w:eastAsia="es-ES"/>
        </w:rPr>
        <w:t xml:space="preserve">final (de </w:t>
      </w:r>
      <w:r w:rsidR="00470ADC" w:rsidRPr="00D5464D">
        <w:rPr>
          <w:rFonts w:eastAsia="Batang" w:cs="Times"/>
          <w:szCs w:val="24"/>
          <w:lang w:val="pt-BR" w:eastAsia="es-ES"/>
        </w:rPr>
        <w:t>Admissibilidade</w:t>
      </w:r>
      <w:r w:rsidR="00E045D9" w:rsidRPr="00D5464D">
        <w:rPr>
          <w:rFonts w:eastAsia="Batang" w:cs="Times"/>
          <w:szCs w:val="24"/>
          <w:lang w:val="pt-BR" w:eastAsia="es-ES"/>
        </w:rPr>
        <w:t xml:space="preserve"> e </w:t>
      </w:r>
      <w:r w:rsidR="00470ADC" w:rsidRPr="00D5464D">
        <w:rPr>
          <w:rFonts w:eastAsia="Batang" w:cs="Times"/>
          <w:szCs w:val="24"/>
          <w:lang w:val="pt-BR" w:eastAsia="es-ES"/>
        </w:rPr>
        <w:t>Mérito</w:t>
      </w:r>
      <w:r w:rsidR="000A52D5" w:rsidRPr="00D5464D">
        <w:rPr>
          <w:rFonts w:eastAsia="Batang" w:cs="Times"/>
          <w:szCs w:val="24"/>
          <w:lang w:val="pt-BR" w:eastAsia="es-ES"/>
        </w:rPr>
        <w:t>)</w:t>
      </w:r>
      <w:r w:rsidR="00470ADC" w:rsidRPr="00D5464D">
        <w:rPr>
          <w:rFonts w:eastAsia="Batang" w:cs="Times"/>
          <w:szCs w:val="24"/>
          <w:lang w:val="pt-BR" w:eastAsia="es-ES"/>
        </w:rPr>
        <w:t xml:space="preserve"> em </w:t>
      </w:r>
      <w:r w:rsidR="000A52D5" w:rsidRPr="00D5464D">
        <w:rPr>
          <w:rFonts w:eastAsia="Batang" w:cs="Times"/>
          <w:szCs w:val="24"/>
          <w:lang w:val="pt-BR" w:eastAsia="es-ES"/>
        </w:rPr>
        <w:t>s</w:t>
      </w:r>
      <w:r w:rsidR="00C16021" w:rsidRPr="00D5464D">
        <w:rPr>
          <w:rFonts w:eastAsia="Batang" w:cs="Times"/>
          <w:szCs w:val="24"/>
          <w:lang w:val="pt-BR" w:eastAsia="es-ES"/>
        </w:rPr>
        <w:t>e</w:t>
      </w:r>
      <w:r w:rsidR="000A52D5" w:rsidRPr="00D5464D">
        <w:rPr>
          <w:rFonts w:eastAsia="Batang" w:cs="Times"/>
          <w:szCs w:val="24"/>
          <w:lang w:val="pt-BR" w:eastAsia="es-ES"/>
        </w:rPr>
        <w:t xml:space="preserve">u </w:t>
      </w:r>
      <w:r w:rsidRPr="00D5464D">
        <w:rPr>
          <w:rFonts w:eastAsia="Batang" w:cs="Times"/>
          <w:szCs w:val="24"/>
          <w:lang w:val="pt-BR" w:eastAsia="es-ES"/>
        </w:rPr>
        <w:t>sítio</w:t>
      </w:r>
      <w:r w:rsidR="000A52D5" w:rsidRPr="00D5464D">
        <w:rPr>
          <w:rFonts w:eastAsia="Batang" w:cs="Times"/>
          <w:szCs w:val="24"/>
          <w:lang w:val="pt-BR" w:eastAsia="es-ES"/>
        </w:rPr>
        <w:t xml:space="preserve"> web, </w:t>
      </w:r>
      <w:r w:rsidR="00C16021" w:rsidRPr="00D5464D">
        <w:rPr>
          <w:rFonts w:eastAsia="Batang" w:cs="Times"/>
          <w:szCs w:val="24"/>
          <w:lang w:val="pt-BR" w:eastAsia="es-ES"/>
        </w:rPr>
        <w:t xml:space="preserve">de acordo com </w:t>
      </w:r>
      <w:r w:rsidR="00737270" w:rsidRPr="00D5464D">
        <w:rPr>
          <w:rFonts w:eastAsia="Batang" w:cs="Times"/>
          <w:szCs w:val="24"/>
          <w:lang w:val="pt-BR" w:eastAsia="es-ES"/>
        </w:rPr>
        <w:t>sua prática</w:t>
      </w:r>
      <w:r w:rsidR="000A52D5" w:rsidRPr="00D5464D">
        <w:rPr>
          <w:rFonts w:eastAsia="Batang" w:cs="Times"/>
          <w:szCs w:val="24"/>
          <w:lang w:val="pt-BR" w:eastAsia="es-ES"/>
        </w:rPr>
        <w:t xml:space="preserve"> reiterada,</w:t>
      </w:r>
      <w:r w:rsidRPr="00D5464D">
        <w:rPr>
          <w:rFonts w:eastAsia="Batang" w:cs="Times"/>
          <w:szCs w:val="24"/>
          <w:lang w:val="pt-BR" w:eastAsia="es-ES"/>
        </w:rPr>
        <w:t xml:space="preserve"> fato </w:t>
      </w:r>
      <w:r w:rsidR="00C16021" w:rsidRPr="00D5464D">
        <w:rPr>
          <w:rFonts w:eastAsia="Batang" w:cs="Times"/>
          <w:szCs w:val="24"/>
          <w:lang w:val="pt-BR" w:eastAsia="es-ES"/>
        </w:rPr>
        <w:t xml:space="preserve">este </w:t>
      </w:r>
      <w:r w:rsidR="000A52D5" w:rsidRPr="00D5464D">
        <w:rPr>
          <w:rFonts w:eastAsia="Batang" w:cs="Times"/>
          <w:szCs w:val="24"/>
          <w:lang w:val="pt-BR" w:eastAsia="es-ES"/>
        </w:rPr>
        <w:t>que n</w:t>
      </w:r>
      <w:r w:rsidR="00C16021" w:rsidRPr="00D5464D">
        <w:rPr>
          <w:rFonts w:eastAsia="Batang" w:cs="Times"/>
          <w:szCs w:val="24"/>
          <w:lang w:val="pt-BR" w:eastAsia="es-ES"/>
        </w:rPr>
        <w:t>ã</w:t>
      </w:r>
      <w:r w:rsidR="000A52D5" w:rsidRPr="00D5464D">
        <w:rPr>
          <w:rFonts w:eastAsia="Batang" w:cs="Times"/>
          <w:szCs w:val="24"/>
          <w:lang w:val="pt-BR" w:eastAsia="es-ES"/>
        </w:rPr>
        <w:t xml:space="preserve">o </w:t>
      </w:r>
      <w:r w:rsidR="00EB1CE9" w:rsidRPr="00D5464D">
        <w:rPr>
          <w:rFonts w:eastAsia="Batang" w:cs="Times"/>
          <w:szCs w:val="24"/>
          <w:lang w:val="pt-BR" w:eastAsia="es-ES"/>
        </w:rPr>
        <w:t>violou</w:t>
      </w:r>
      <w:r w:rsidRPr="00D5464D">
        <w:rPr>
          <w:rFonts w:eastAsia="Batang" w:cs="Times"/>
          <w:szCs w:val="24"/>
          <w:lang w:val="pt-BR" w:eastAsia="es-ES"/>
        </w:rPr>
        <w:t xml:space="preserve"> a </w:t>
      </w:r>
      <w:r w:rsidR="000A52D5" w:rsidRPr="00D5464D">
        <w:rPr>
          <w:rFonts w:eastAsia="Batang" w:cs="Times"/>
          <w:szCs w:val="24"/>
          <w:lang w:val="pt-BR" w:eastAsia="es-ES"/>
        </w:rPr>
        <w:t>Conven</w:t>
      </w:r>
      <w:r w:rsidR="00470ADC" w:rsidRPr="00D5464D">
        <w:rPr>
          <w:rFonts w:eastAsia="Batang" w:cs="Times"/>
          <w:szCs w:val="24"/>
          <w:lang w:val="pt-BR" w:eastAsia="es-ES"/>
        </w:rPr>
        <w:t>ção</w:t>
      </w:r>
      <w:r w:rsidR="000A52D5" w:rsidRPr="00D5464D">
        <w:rPr>
          <w:rFonts w:eastAsia="Batang" w:cs="Times"/>
          <w:szCs w:val="24"/>
          <w:lang w:val="pt-BR" w:eastAsia="es-ES"/>
        </w:rPr>
        <w:t xml:space="preserve">. </w:t>
      </w:r>
      <w:r w:rsidR="00470ADC" w:rsidRPr="00D5464D">
        <w:rPr>
          <w:rFonts w:eastAsia="Batang" w:cs="Times"/>
          <w:szCs w:val="24"/>
          <w:lang w:val="pt-BR" w:eastAsia="es-ES"/>
        </w:rPr>
        <w:t>Ademais</w:t>
      </w:r>
      <w:r w:rsidR="000A52D5" w:rsidRPr="00D5464D">
        <w:rPr>
          <w:rFonts w:eastAsia="Batang" w:cs="Times"/>
          <w:szCs w:val="24"/>
          <w:lang w:val="pt-BR" w:eastAsia="es-ES"/>
        </w:rPr>
        <w:t>,</w:t>
      </w:r>
      <w:r w:rsidRPr="00D5464D">
        <w:rPr>
          <w:rFonts w:eastAsia="Batang" w:cs="Times"/>
          <w:szCs w:val="24"/>
          <w:lang w:val="pt-BR" w:eastAsia="es-ES"/>
        </w:rPr>
        <w:t xml:space="preserve"> a </w:t>
      </w:r>
      <w:r w:rsidR="00470ADC" w:rsidRPr="00D5464D">
        <w:rPr>
          <w:rFonts w:eastAsia="Batang" w:cs="Times"/>
          <w:szCs w:val="24"/>
          <w:lang w:val="pt-BR" w:eastAsia="es-ES"/>
        </w:rPr>
        <w:t>Comissão</w:t>
      </w:r>
      <w:r w:rsidR="000A52D5" w:rsidRPr="00D5464D">
        <w:rPr>
          <w:rFonts w:eastAsia="Batang" w:cs="Times"/>
          <w:szCs w:val="24"/>
          <w:lang w:val="pt-BR" w:eastAsia="es-ES"/>
        </w:rPr>
        <w:t xml:space="preserve"> </w:t>
      </w:r>
      <w:r w:rsidRPr="00D5464D">
        <w:rPr>
          <w:rFonts w:eastAsia="Batang" w:cs="Times"/>
          <w:szCs w:val="24"/>
          <w:lang w:val="pt-BR" w:eastAsia="es-ES"/>
        </w:rPr>
        <w:t>observou</w:t>
      </w:r>
      <w:r w:rsidR="000A52D5" w:rsidRPr="00D5464D">
        <w:rPr>
          <w:rFonts w:eastAsia="Batang" w:cs="Times"/>
          <w:szCs w:val="24"/>
          <w:lang w:val="pt-BR" w:eastAsia="es-ES"/>
        </w:rPr>
        <w:t xml:space="preserve"> que</w:t>
      </w:r>
      <w:r w:rsidRPr="00D5464D">
        <w:rPr>
          <w:rFonts w:eastAsia="Batang" w:cs="Times"/>
          <w:szCs w:val="24"/>
          <w:lang w:val="pt-BR" w:eastAsia="es-ES"/>
        </w:rPr>
        <w:t xml:space="preserve"> a </w:t>
      </w:r>
      <w:r w:rsidR="00C16021" w:rsidRPr="00D5464D">
        <w:rPr>
          <w:rFonts w:eastAsia="Batang" w:cs="Times"/>
          <w:szCs w:val="24"/>
          <w:lang w:val="pt-BR" w:eastAsia="es-ES"/>
        </w:rPr>
        <w:t>menção</w:t>
      </w:r>
      <w:r w:rsidR="000A52D5" w:rsidRPr="00D5464D">
        <w:rPr>
          <w:rFonts w:eastAsia="Batang" w:cs="Times"/>
          <w:szCs w:val="24"/>
          <w:lang w:val="pt-BR" w:eastAsia="es-ES"/>
        </w:rPr>
        <w:t xml:space="preserve"> </w:t>
      </w:r>
      <w:r w:rsidR="00470ADC" w:rsidRPr="00D5464D">
        <w:rPr>
          <w:rFonts w:eastAsia="Batang" w:cs="Times"/>
          <w:szCs w:val="24"/>
          <w:lang w:val="pt-BR" w:eastAsia="es-ES"/>
        </w:rPr>
        <w:t xml:space="preserve">do </w:t>
      </w:r>
      <w:r w:rsidR="000A52D5" w:rsidRPr="00D5464D">
        <w:rPr>
          <w:rFonts w:eastAsia="Batang" w:cs="Times"/>
          <w:szCs w:val="24"/>
          <w:lang w:val="pt-BR" w:eastAsia="es-ES"/>
        </w:rPr>
        <w:t xml:space="preserve">Estado </w:t>
      </w:r>
      <w:r w:rsidR="00562E45" w:rsidRPr="00D5464D">
        <w:rPr>
          <w:rFonts w:eastAsia="Batang" w:cs="Times"/>
          <w:szCs w:val="24"/>
          <w:lang w:val="pt-BR" w:eastAsia="es-ES"/>
        </w:rPr>
        <w:t>à</w:t>
      </w:r>
      <w:r w:rsidR="00C16021" w:rsidRPr="00D5464D">
        <w:rPr>
          <w:rFonts w:eastAsia="Batang" w:cs="Times"/>
          <w:szCs w:val="24"/>
          <w:lang w:val="pt-BR" w:eastAsia="es-ES"/>
        </w:rPr>
        <w:t xml:space="preserve"> </w:t>
      </w:r>
      <w:r w:rsidR="000A52D5" w:rsidRPr="00D5464D">
        <w:rPr>
          <w:rFonts w:eastAsia="Batang" w:cs="Times"/>
          <w:szCs w:val="24"/>
          <w:lang w:val="pt-BR" w:eastAsia="es-ES"/>
        </w:rPr>
        <w:t>publica</w:t>
      </w:r>
      <w:r w:rsidR="00470ADC" w:rsidRPr="00D5464D">
        <w:rPr>
          <w:rFonts w:eastAsia="Batang" w:cs="Times"/>
          <w:szCs w:val="24"/>
          <w:lang w:val="pt-BR" w:eastAsia="es-ES"/>
        </w:rPr>
        <w:t>ção</w:t>
      </w:r>
      <w:r w:rsidR="000A52D5" w:rsidRPr="00D5464D">
        <w:rPr>
          <w:rFonts w:eastAsia="Batang" w:cs="Times"/>
          <w:szCs w:val="24"/>
          <w:lang w:val="pt-BR" w:eastAsia="es-ES"/>
        </w:rPr>
        <w:t xml:space="preserve"> </w:t>
      </w:r>
      <w:r w:rsidR="00470ADC" w:rsidRPr="00D5464D">
        <w:rPr>
          <w:rFonts w:eastAsia="Batang" w:cs="Times"/>
          <w:szCs w:val="24"/>
          <w:lang w:val="pt-BR" w:eastAsia="es-ES"/>
        </w:rPr>
        <w:t>do</w:t>
      </w:r>
      <w:r w:rsidRPr="00D5464D">
        <w:rPr>
          <w:rFonts w:eastAsia="Batang" w:cs="Times"/>
          <w:szCs w:val="24"/>
          <w:lang w:val="pt-BR" w:eastAsia="es-ES"/>
        </w:rPr>
        <w:t xml:space="preserve"> </w:t>
      </w:r>
      <w:r w:rsidR="00350187" w:rsidRPr="00D5464D">
        <w:rPr>
          <w:rFonts w:eastAsia="Batang" w:cs="Times"/>
          <w:szCs w:val="24"/>
          <w:lang w:val="pt-BR" w:eastAsia="es-ES"/>
        </w:rPr>
        <w:t>Relatório</w:t>
      </w:r>
      <w:r w:rsidRPr="00D5464D">
        <w:rPr>
          <w:rFonts w:eastAsia="Batang" w:cs="Times"/>
          <w:szCs w:val="24"/>
          <w:lang w:val="pt-BR" w:eastAsia="es-ES"/>
        </w:rPr>
        <w:t xml:space="preserve"> de Admissibilidade</w:t>
      </w:r>
      <w:r w:rsidR="00E045D9" w:rsidRPr="00D5464D">
        <w:rPr>
          <w:rFonts w:eastAsia="Batang" w:cs="Times"/>
          <w:szCs w:val="24"/>
          <w:lang w:val="pt-BR" w:eastAsia="es-ES"/>
        </w:rPr>
        <w:t xml:space="preserve"> e </w:t>
      </w:r>
      <w:r w:rsidR="00470ADC" w:rsidRPr="00D5464D">
        <w:rPr>
          <w:rFonts w:eastAsia="Batang" w:cs="Times"/>
          <w:szCs w:val="24"/>
          <w:lang w:val="pt-BR" w:eastAsia="es-ES"/>
        </w:rPr>
        <w:t>Mérito</w:t>
      </w:r>
      <w:r w:rsidR="000A52D5" w:rsidRPr="00D5464D">
        <w:rPr>
          <w:rFonts w:eastAsia="Batang" w:cs="Times"/>
          <w:szCs w:val="24"/>
          <w:lang w:val="pt-BR" w:eastAsia="es-ES"/>
        </w:rPr>
        <w:t xml:space="preserve"> antes </w:t>
      </w:r>
      <w:r w:rsidR="00562E45" w:rsidRPr="00D5464D">
        <w:rPr>
          <w:rFonts w:eastAsia="Batang" w:cs="Times"/>
          <w:szCs w:val="24"/>
          <w:lang w:val="pt-BR" w:eastAsia="es-ES"/>
        </w:rPr>
        <w:t>da submissão do</w:t>
      </w:r>
      <w:r w:rsidR="00470ADC" w:rsidRPr="00D5464D">
        <w:rPr>
          <w:rFonts w:eastAsia="Batang" w:cs="Times"/>
          <w:szCs w:val="24"/>
          <w:lang w:val="pt-BR" w:eastAsia="es-ES"/>
        </w:rPr>
        <w:t xml:space="preserve"> </w:t>
      </w:r>
      <w:r w:rsidR="000A52D5" w:rsidRPr="00D5464D">
        <w:rPr>
          <w:rFonts w:eastAsia="Batang" w:cs="Times"/>
          <w:szCs w:val="24"/>
          <w:lang w:val="pt-BR" w:eastAsia="es-ES"/>
        </w:rPr>
        <w:t>caso</w:t>
      </w:r>
      <w:r w:rsidR="00470ADC" w:rsidRPr="00D5464D">
        <w:rPr>
          <w:rFonts w:eastAsia="Batang" w:cs="Times"/>
          <w:szCs w:val="24"/>
          <w:lang w:val="pt-BR" w:eastAsia="es-ES"/>
        </w:rPr>
        <w:t xml:space="preserve"> perante a </w:t>
      </w:r>
      <w:r w:rsidR="000A52D5" w:rsidRPr="00D5464D">
        <w:rPr>
          <w:rFonts w:eastAsia="Batang" w:cs="Times"/>
          <w:szCs w:val="24"/>
          <w:lang w:val="pt-BR" w:eastAsia="es-ES"/>
        </w:rPr>
        <w:t>Corte,</w:t>
      </w:r>
      <w:r w:rsidR="00470ADC" w:rsidRPr="00D5464D">
        <w:rPr>
          <w:rFonts w:eastAsia="Batang" w:cs="Times"/>
          <w:szCs w:val="24"/>
          <w:lang w:val="pt-BR" w:eastAsia="es-ES"/>
        </w:rPr>
        <w:t xml:space="preserve"> </w:t>
      </w:r>
      <w:r w:rsidR="00562E45" w:rsidRPr="00D5464D">
        <w:rPr>
          <w:rFonts w:eastAsia="Batang" w:cs="Times"/>
          <w:szCs w:val="24"/>
          <w:lang w:val="pt-BR" w:eastAsia="es-ES"/>
        </w:rPr>
        <w:t>refere-se a</w:t>
      </w:r>
      <w:r w:rsidR="00E045D9" w:rsidRPr="00D5464D">
        <w:rPr>
          <w:rFonts w:eastAsia="Batang" w:cs="Times"/>
          <w:szCs w:val="24"/>
          <w:lang w:val="pt-BR" w:eastAsia="es-ES"/>
        </w:rPr>
        <w:t xml:space="preserve"> um </w:t>
      </w:r>
      <w:r w:rsidR="00C91CB1" w:rsidRPr="00D5464D">
        <w:rPr>
          <w:rFonts w:eastAsia="Batang" w:cs="Times"/>
          <w:szCs w:val="24"/>
          <w:lang w:val="pt-BR" w:eastAsia="es-ES"/>
        </w:rPr>
        <w:t>link eletrônico</w:t>
      </w:r>
      <w:r w:rsidR="00470ADC" w:rsidRPr="00D5464D">
        <w:rPr>
          <w:rFonts w:eastAsia="Batang" w:cs="Times"/>
          <w:szCs w:val="24"/>
          <w:lang w:val="pt-BR" w:eastAsia="es-ES"/>
        </w:rPr>
        <w:t xml:space="preserve"> com acesso</w:t>
      </w:r>
      <w:r w:rsidR="00C91CB1" w:rsidRPr="00D5464D">
        <w:rPr>
          <w:rFonts w:eastAsia="Batang" w:cs="Times"/>
          <w:szCs w:val="24"/>
          <w:lang w:val="pt-BR" w:eastAsia="es-ES"/>
        </w:rPr>
        <w:t xml:space="preserve"> em 1</w:t>
      </w:r>
      <w:r w:rsidR="000A52D5" w:rsidRPr="00D5464D">
        <w:rPr>
          <w:rFonts w:eastAsia="Batang" w:cs="Times"/>
          <w:szCs w:val="24"/>
          <w:lang w:val="pt-BR" w:eastAsia="es-ES"/>
        </w:rPr>
        <w:t xml:space="preserve">0 de </w:t>
      </w:r>
      <w:r w:rsidRPr="00D5464D">
        <w:rPr>
          <w:rFonts w:eastAsia="Batang" w:cs="Times"/>
          <w:szCs w:val="24"/>
          <w:lang w:val="pt-BR" w:eastAsia="es-ES"/>
        </w:rPr>
        <w:t>setembro</w:t>
      </w:r>
      <w:r w:rsidR="000A52D5" w:rsidRPr="00D5464D">
        <w:rPr>
          <w:rFonts w:eastAsia="Batang" w:cs="Times"/>
          <w:szCs w:val="24"/>
          <w:lang w:val="pt-BR" w:eastAsia="es-ES"/>
        </w:rPr>
        <w:t xml:space="preserve"> de 2015,</w:t>
      </w:r>
      <w:r w:rsidR="00470ADC" w:rsidRPr="00D5464D">
        <w:rPr>
          <w:rFonts w:eastAsia="Batang" w:cs="Times"/>
          <w:szCs w:val="24"/>
          <w:lang w:val="pt-BR" w:eastAsia="es-ES"/>
        </w:rPr>
        <w:t xml:space="preserve"> </w:t>
      </w:r>
      <w:r w:rsidR="00C16021" w:rsidRPr="00D5464D">
        <w:rPr>
          <w:rFonts w:eastAsia="Batang" w:cs="Times"/>
          <w:szCs w:val="24"/>
          <w:lang w:val="pt-BR" w:eastAsia="es-ES"/>
        </w:rPr>
        <w:t>portanto</w:t>
      </w:r>
      <w:r w:rsidR="00562E45" w:rsidRPr="00D5464D">
        <w:rPr>
          <w:rFonts w:eastAsia="Batang" w:cs="Times"/>
          <w:szCs w:val="24"/>
          <w:lang w:val="pt-BR" w:eastAsia="es-ES"/>
        </w:rPr>
        <w:t>,</w:t>
      </w:r>
      <w:r w:rsidR="00C16021" w:rsidRPr="00D5464D">
        <w:rPr>
          <w:rFonts w:eastAsia="Batang" w:cs="Times"/>
          <w:szCs w:val="24"/>
          <w:lang w:val="pt-BR" w:eastAsia="es-ES"/>
        </w:rPr>
        <w:t xml:space="preserve"> </w:t>
      </w:r>
      <w:r w:rsidR="00470ADC" w:rsidRPr="00D5464D">
        <w:rPr>
          <w:rFonts w:eastAsia="Batang" w:cs="Times"/>
          <w:szCs w:val="24"/>
          <w:lang w:val="pt-BR" w:eastAsia="es-ES"/>
        </w:rPr>
        <w:t>em</w:t>
      </w:r>
      <w:r w:rsidR="00E045D9" w:rsidRPr="00D5464D">
        <w:rPr>
          <w:rFonts w:eastAsia="Batang" w:cs="Times"/>
          <w:szCs w:val="24"/>
          <w:lang w:val="pt-BR" w:eastAsia="es-ES"/>
        </w:rPr>
        <w:t xml:space="preserve"> </w:t>
      </w:r>
      <w:r w:rsidR="000A52D5" w:rsidRPr="00D5464D">
        <w:rPr>
          <w:rFonts w:eastAsia="Batang" w:cs="Times"/>
          <w:szCs w:val="24"/>
          <w:lang w:val="pt-BR" w:eastAsia="es-ES"/>
        </w:rPr>
        <w:t>momento posterior</w:t>
      </w:r>
      <w:r w:rsidR="00470ADC" w:rsidRPr="00D5464D">
        <w:rPr>
          <w:rFonts w:eastAsia="Batang" w:cs="Times"/>
          <w:szCs w:val="24"/>
          <w:lang w:val="pt-BR" w:eastAsia="es-ES"/>
        </w:rPr>
        <w:t xml:space="preserve"> </w:t>
      </w:r>
      <w:r w:rsidR="00C16021" w:rsidRPr="00D5464D">
        <w:rPr>
          <w:rFonts w:eastAsia="Batang" w:cs="Times"/>
          <w:szCs w:val="24"/>
          <w:lang w:val="pt-BR" w:eastAsia="es-ES"/>
        </w:rPr>
        <w:t>à</w:t>
      </w:r>
      <w:r w:rsidR="00470ADC" w:rsidRPr="00D5464D">
        <w:rPr>
          <w:rFonts w:eastAsia="Batang" w:cs="Times"/>
          <w:szCs w:val="24"/>
          <w:lang w:val="pt-BR" w:eastAsia="es-ES"/>
        </w:rPr>
        <w:t xml:space="preserve"> </w:t>
      </w:r>
      <w:r w:rsidRPr="00D5464D">
        <w:rPr>
          <w:rFonts w:eastAsia="Batang" w:cs="Times"/>
          <w:szCs w:val="24"/>
          <w:lang w:val="pt-BR" w:eastAsia="es-ES"/>
        </w:rPr>
        <w:t>submissão</w:t>
      </w:r>
      <w:r w:rsidR="000A52D5" w:rsidRPr="00D5464D">
        <w:rPr>
          <w:rFonts w:eastAsia="Batang" w:cs="Times"/>
          <w:szCs w:val="24"/>
          <w:lang w:val="pt-BR" w:eastAsia="es-ES"/>
        </w:rPr>
        <w:t xml:space="preserve"> </w:t>
      </w:r>
      <w:r w:rsidR="00470ADC" w:rsidRPr="00D5464D">
        <w:rPr>
          <w:rFonts w:eastAsia="Batang" w:cs="Times"/>
          <w:szCs w:val="24"/>
          <w:lang w:val="pt-BR" w:eastAsia="es-ES"/>
        </w:rPr>
        <w:t xml:space="preserve">do </w:t>
      </w:r>
      <w:r w:rsidR="000A52D5" w:rsidRPr="00D5464D">
        <w:rPr>
          <w:rFonts w:eastAsia="Batang" w:cs="Times"/>
          <w:szCs w:val="24"/>
          <w:lang w:val="pt-BR" w:eastAsia="es-ES"/>
        </w:rPr>
        <w:t>caso. Finalmente,</w:t>
      </w:r>
      <w:r w:rsidRPr="00D5464D">
        <w:rPr>
          <w:rFonts w:eastAsia="Batang" w:cs="Times"/>
          <w:szCs w:val="24"/>
          <w:lang w:val="pt-BR" w:eastAsia="es-ES"/>
        </w:rPr>
        <w:t xml:space="preserve"> a </w:t>
      </w:r>
      <w:r w:rsidR="00470ADC" w:rsidRPr="00D5464D">
        <w:rPr>
          <w:rFonts w:eastAsia="Batang" w:cs="Times"/>
          <w:szCs w:val="24"/>
          <w:lang w:val="pt-BR" w:eastAsia="es-ES"/>
        </w:rPr>
        <w:t>Comissão</w:t>
      </w:r>
      <w:r w:rsidR="000A52D5" w:rsidRPr="00D5464D">
        <w:rPr>
          <w:rFonts w:eastAsia="Batang" w:cs="Times"/>
          <w:szCs w:val="24"/>
          <w:lang w:val="pt-BR" w:eastAsia="es-ES"/>
        </w:rPr>
        <w:t xml:space="preserve"> </w:t>
      </w:r>
      <w:r w:rsidRPr="00D5464D">
        <w:rPr>
          <w:rFonts w:eastAsia="Batang" w:cs="Times"/>
          <w:szCs w:val="24"/>
          <w:lang w:val="pt-BR" w:eastAsia="es-ES"/>
        </w:rPr>
        <w:t>afirmou</w:t>
      </w:r>
      <w:r w:rsidR="000A52D5" w:rsidRPr="00D5464D">
        <w:rPr>
          <w:rFonts w:eastAsia="Batang" w:cs="Times"/>
          <w:szCs w:val="24"/>
          <w:lang w:val="pt-BR" w:eastAsia="es-ES"/>
        </w:rPr>
        <w:t xml:space="preserve"> que</w:t>
      </w:r>
      <w:r w:rsidR="00470ADC" w:rsidRPr="00D5464D">
        <w:rPr>
          <w:rFonts w:eastAsia="Batang" w:cs="Times"/>
          <w:szCs w:val="24"/>
          <w:lang w:val="pt-BR" w:eastAsia="es-ES"/>
        </w:rPr>
        <w:t xml:space="preserve"> o </w:t>
      </w:r>
      <w:r w:rsidR="000A52D5" w:rsidRPr="00D5464D">
        <w:rPr>
          <w:rFonts w:eastAsia="Batang" w:cs="Times"/>
          <w:szCs w:val="24"/>
          <w:lang w:val="pt-BR" w:eastAsia="es-ES"/>
        </w:rPr>
        <w:t xml:space="preserve">Estado </w:t>
      </w:r>
      <w:r w:rsidR="00737270" w:rsidRPr="00D5464D">
        <w:rPr>
          <w:rFonts w:eastAsia="Batang" w:cs="Times"/>
          <w:szCs w:val="24"/>
          <w:lang w:val="pt-BR" w:eastAsia="es-ES"/>
        </w:rPr>
        <w:t>não apresentou</w:t>
      </w:r>
      <w:r w:rsidR="000A52D5" w:rsidRPr="00D5464D">
        <w:rPr>
          <w:rFonts w:eastAsia="Batang" w:cs="Times"/>
          <w:szCs w:val="24"/>
          <w:lang w:val="pt-BR" w:eastAsia="es-ES"/>
        </w:rPr>
        <w:t xml:space="preserve"> </w:t>
      </w:r>
      <w:r w:rsidRPr="00D5464D">
        <w:rPr>
          <w:rFonts w:eastAsia="Batang" w:cs="Times"/>
          <w:szCs w:val="24"/>
          <w:lang w:val="pt-BR" w:eastAsia="es-ES"/>
        </w:rPr>
        <w:t xml:space="preserve">nenhum </w:t>
      </w:r>
      <w:r w:rsidR="000A52D5" w:rsidRPr="00D5464D">
        <w:rPr>
          <w:rFonts w:eastAsia="Batang" w:cs="Times"/>
          <w:szCs w:val="24"/>
          <w:lang w:val="pt-BR" w:eastAsia="es-ES"/>
        </w:rPr>
        <w:t xml:space="preserve">elemento </w:t>
      </w:r>
      <w:r w:rsidRPr="00D5464D">
        <w:rPr>
          <w:rFonts w:eastAsia="Batang" w:cs="Times"/>
          <w:szCs w:val="24"/>
          <w:lang w:val="pt-BR" w:eastAsia="es-ES"/>
        </w:rPr>
        <w:t>probatório</w:t>
      </w:r>
      <w:r w:rsidR="000A52D5" w:rsidRPr="00D5464D">
        <w:rPr>
          <w:rFonts w:eastAsia="Batang" w:cs="Times"/>
          <w:szCs w:val="24"/>
          <w:lang w:val="pt-BR" w:eastAsia="es-ES"/>
        </w:rPr>
        <w:t xml:space="preserve"> </w:t>
      </w:r>
      <w:r w:rsidR="00562E45" w:rsidRPr="00D5464D">
        <w:rPr>
          <w:rFonts w:eastAsia="Batang" w:cs="Times"/>
          <w:szCs w:val="24"/>
          <w:lang w:val="pt-BR" w:eastAsia="es-ES"/>
        </w:rPr>
        <w:t>da</w:t>
      </w:r>
      <w:r w:rsidR="00470ADC" w:rsidRPr="00D5464D">
        <w:rPr>
          <w:rFonts w:eastAsia="Batang" w:cs="Times"/>
          <w:szCs w:val="24"/>
          <w:lang w:val="pt-BR" w:eastAsia="es-ES"/>
        </w:rPr>
        <w:t xml:space="preserve"> </w:t>
      </w:r>
      <w:r w:rsidR="000A52D5" w:rsidRPr="00D5464D">
        <w:rPr>
          <w:rFonts w:eastAsia="Batang" w:cs="Times"/>
          <w:szCs w:val="24"/>
          <w:lang w:val="pt-BR" w:eastAsia="es-ES"/>
        </w:rPr>
        <w:t>su</w:t>
      </w:r>
      <w:r w:rsidRPr="00D5464D">
        <w:rPr>
          <w:rFonts w:eastAsia="Batang" w:cs="Times"/>
          <w:szCs w:val="24"/>
          <w:lang w:val="pt-BR" w:eastAsia="es-ES"/>
        </w:rPr>
        <w:t>posta</w:t>
      </w:r>
      <w:r w:rsidR="000A52D5" w:rsidRPr="00D5464D">
        <w:rPr>
          <w:rFonts w:eastAsia="Batang" w:cs="Times"/>
          <w:szCs w:val="24"/>
          <w:lang w:val="pt-BR" w:eastAsia="es-ES"/>
        </w:rPr>
        <w:t xml:space="preserve"> publica</w:t>
      </w:r>
      <w:r w:rsidR="00470ADC" w:rsidRPr="00D5464D">
        <w:rPr>
          <w:rFonts w:eastAsia="Batang" w:cs="Times"/>
          <w:szCs w:val="24"/>
          <w:lang w:val="pt-BR" w:eastAsia="es-ES"/>
        </w:rPr>
        <w:t>ção</w:t>
      </w:r>
      <w:r w:rsidR="000A52D5" w:rsidRPr="00D5464D">
        <w:rPr>
          <w:rFonts w:eastAsia="Batang" w:cs="Times"/>
          <w:szCs w:val="24"/>
          <w:lang w:val="pt-BR" w:eastAsia="es-ES"/>
        </w:rPr>
        <w:t xml:space="preserve"> </w:t>
      </w:r>
      <w:r w:rsidR="00A1358C" w:rsidRPr="00D5464D">
        <w:rPr>
          <w:rFonts w:eastAsia="Batang" w:cs="Times"/>
          <w:szCs w:val="24"/>
          <w:lang w:val="pt-BR" w:eastAsia="es-ES"/>
        </w:rPr>
        <w:t>indevid</w:t>
      </w:r>
      <w:r w:rsidR="000A52D5" w:rsidRPr="00D5464D">
        <w:rPr>
          <w:rFonts w:eastAsia="Batang" w:cs="Times"/>
          <w:szCs w:val="24"/>
          <w:lang w:val="pt-BR" w:eastAsia="es-ES"/>
        </w:rPr>
        <w:t>a.</w:t>
      </w:r>
    </w:p>
    <w:p w14:paraId="321330D7" w14:textId="77777777" w:rsidR="000A52D5" w:rsidRPr="00D5464D" w:rsidRDefault="000A52D5" w:rsidP="00140440">
      <w:pPr>
        <w:tabs>
          <w:tab w:val="clear" w:pos="4419"/>
          <w:tab w:val="clear" w:pos="8838"/>
        </w:tabs>
        <w:jc w:val="both"/>
        <w:rPr>
          <w:rFonts w:eastAsia="Batang" w:cs="Times"/>
          <w:szCs w:val="24"/>
          <w:lang w:val="pt-BR" w:eastAsia="es-ES"/>
        </w:rPr>
      </w:pPr>
    </w:p>
    <w:p w14:paraId="25456792" w14:textId="3EA5E117" w:rsidR="000A52D5" w:rsidRPr="00D5464D" w:rsidRDefault="00737270"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Os </w:t>
      </w:r>
      <w:r w:rsidR="00EB1CE9" w:rsidRPr="00D5464D">
        <w:rPr>
          <w:b/>
          <w:i/>
          <w:lang w:val="pt-BR"/>
        </w:rPr>
        <w:t>representante</w:t>
      </w:r>
      <w:r w:rsidRPr="00D5464D">
        <w:rPr>
          <w:b/>
          <w:i/>
          <w:lang w:val="pt-BR"/>
        </w:rPr>
        <w:t>s</w:t>
      </w:r>
      <w:r w:rsidRPr="00D5464D">
        <w:rPr>
          <w:rFonts w:eastAsia="Batang" w:cs="Times"/>
          <w:szCs w:val="24"/>
          <w:lang w:val="pt-BR" w:eastAsia="es-ES"/>
        </w:rPr>
        <w:t xml:space="preserve"> </w:t>
      </w:r>
      <w:r w:rsidR="002C330E" w:rsidRPr="00D5464D">
        <w:rPr>
          <w:rFonts w:eastAsia="Batang" w:cs="Times"/>
          <w:szCs w:val="24"/>
          <w:lang w:val="pt-BR" w:eastAsia="es-ES"/>
        </w:rPr>
        <w:t>indicaram</w:t>
      </w:r>
      <w:r w:rsidR="000A52D5" w:rsidRPr="00D5464D">
        <w:rPr>
          <w:rFonts w:eastAsia="Batang" w:cs="Times"/>
          <w:szCs w:val="24"/>
          <w:lang w:val="pt-BR" w:eastAsia="es-ES"/>
        </w:rPr>
        <w:t xml:space="preserve"> que</w:t>
      </w:r>
      <w:r w:rsidR="00470ADC" w:rsidRPr="00D5464D">
        <w:rPr>
          <w:rFonts w:eastAsia="Batang" w:cs="Times"/>
          <w:szCs w:val="24"/>
          <w:lang w:val="pt-BR" w:eastAsia="es-ES"/>
        </w:rPr>
        <w:t xml:space="preserve"> o </w:t>
      </w:r>
      <w:r w:rsidR="000A52D5" w:rsidRPr="00D5464D">
        <w:rPr>
          <w:rFonts w:eastAsia="Batang" w:cs="Times"/>
          <w:szCs w:val="24"/>
          <w:lang w:val="pt-BR" w:eastAsia="es-ES"/>
        </w:rPr>
        <w:t xml:space="preserve">Estado </w:t>
      </w:r>
      <w:r w:rsidRPr="00D5464D">
        <w:rPr>
          <w:rFonts w:eastAsia="Batang" w:cs="Times"/>
          <w:szCs w:val="24"/>
          <w:lang w:val="pt-BR" w:eastAsia="es-ES"/>
        </w:rPr>
        <w:t>não apresentou</w:t>
      </w:r>
      <w:r w:rsidR="000A52D5" w:rsidRPr="00D5464D">
        <w:rPr>
          <w:rFonts w:eastAsia="Batang" w:cs="Times"/>
          <w:szCs w:val="24"/>
          <w:lang w:val="pt-BR" w:eastAsia="es-ES"/>
        </w:rPr>
        <w:t xml:space="preserve"> </w:t>
      </w:r>
      <w:r w:rsidR="002C330E" w:rsidRPr="00D5464D">
        <w:rPr>
          <w:rFonts w:eastAsia="Batang" w:cs="Times"/>
          <w:szCs w:val="24"/>
          <w:lang w:val="pt-BR" w:eastAsia="es-ES"/>
        </w:rPr>
        <w:t xml:space="preserve">nenhum </w:t>
      </w:r>
      <w:r w:rsidR="000A52D5" w:rsidRPr="00D5464D">
        <w:rPr>
          <w:rFonts w:eastAsia="Batang" w:cs="Times"/>
          <w:szCs w:val="24"/>
          <w:lang w:val="pt-BR" w:eastAsia="es-ES"/>
        </w:rPr>
        <w:t>argumento</w:t>
      </w:r>
      <w:r w:rsidR="00470ADC" w:rsidRPr="00D5464D">
        <w:rPr>
          <w:rFonts w:eastAsia="Batang" w:cs="Times"/>
          <w:szCs w:val="24"/>
          <w:lang w:val="pt-BR" w:eastAsia="es-ES"/>
        </w:rPr>
        <w:t xml:space="preserve"> em </w:t>
      </w:r>
      <w:r w:rsidR="002C330E" w:rsidRPr="00D5464D">
        <w:rPr>
          <w:rFonts w:eastAsia="Batang" w:cs="Times"/>
          <w:szCs w:val="24"/>
          <w:lang w:val="pt-BR" w:eastAsia="es-ES"/>
        </w:rPr>
        <w:t>razão</w:t>
      </w:r>
      <w:r w:rsidR="000A52D5" w:rsidRPr="00D5464D">
        <w:rPr>
          <w:rFonts w:eastAsia="Batang" w:cs="Times"/>
          <w:szCs w:val="24"/>
          <w:lang w:val="pt-BR" w:eastAsia="es-ES"/>
        </w:rPr>
        <w:t xml:space="preserve"> de </w:t>
      </w:r>
      <w:r w:rsidR="002C330E" w:rsidRPr="00D5464D">
        <w:rPr>
          <w:rFonts w:eastAsia="Batang" w:cs="Times"/>
          <w:szCs w:val="24"/>
          <w:lang w:val="pt-BR" w:eastAsia="es-ES"/>
        </w:rPr>
        <w:t>pessoa</w:t>
      </w:r>
      <w:r w:rsidR="00C16021" w:rsidRPr="00D5464D">
        <w:rPr>
          <w:rFonts w:eastAsia="Batang" w:cs="Times"/>
          <w:szCs w:val="24"/>
          <w:lang w:val="pt-BR" w:eastAsia="es-ES"/>
        </w:rPr>
        <w:t>, maté</w:t>
      </w:r>
      <w:r w:rsidR="000A52D5" w:rsidRPr="00D5464D">
        <w:rPr>
          <w:rFonts w:eastAsia="Batang" w:cs="Times"/>
          <w:szCs w:val="24"/>
          <w:lang w:val="pt-BR" w:eastAsia="es-ES"/>
        </w:rPr>
        <w:t xml:space="preserve">ria, </w:t>
      </w:r>
      <w:r w:rsidR="00E045D9" w:rsidRPr="00D5464D">
        <w:rPr>
          <w:rFonts w:eastAsia="Batang" w:cs="Times"/>
          <w:szCs w:val="24"/>
          <w:lang w:val="pt-BR" w:eastAsia="es-ES"/>
        </w:rPr>
        <w:t>tempo</w:t>
      </w:r>
      <w:r w:rsidR="000A52D5" w:rsidRPr="00D5464D">
        <w:rPr>
          <w:rFonts w:eastAsia="Batang" w:cs="Times"/>
          <w:szCs w:val="24"/>
          <w:lang w:val="pt-BR" w:eastAsia="es-ES"/>
        </w:rPr>
        <w:t xml:space="preserve"> o</w:t>
      </w:r>
      <w:r w:rsidR="00C16021" w:rsidRPr="00D5464D">
        <w:rPr>
          <w:rFonts w:eastAsia="Batang" w:cs="Times"/>
          <w:szCs w:val="24"/>
          <w:lang w:val="pt-BR" w:eastAsia="es-ES"/>
        </w:rPr>
        <w:t>u</w:t>
      </w:r>
      <w:r w:rsidR="000A52D5" w:rsidRPr="00D5464D">
        <w:rPr>
          <w:rFonts w:eastAsia="Batang" w:cs="Times"/>
          <w:szCs w:val="24"/>
          <w:lang w:val="pt-BR" w:eastAsia="es-ES"/>
        </w:rPr>
        <w:t xml:space="preserve"> lugar que </w:t>
      </w:r>
      <w:r w:rsidRPr="00D5464D">
        <w:rPr>
          <w:rFonts w:eastAsia="Batang" w:cs="Times"/>
          <w:szCs w:val="24"/>
          <w:lang w:val="pt-BR" w:eastAsia="es-ES"/>
        </w:rPr>
        <w:t>pudesse</w:t>
      </w:r>
      <w:r w:rsidR="000A52D5" w:rsidRPr="00D5464D">
        <w:rPr>
          <w:rFonts w:eastAsia="Batang" w:cs="Times"/>
          <w:szCs w:val="24"/>
          <w:lang w:val="pt-BR" w:eastAsia="es-ES"/>
        </w:rPr>
        <w:t xml:space="preserve"> </w:t>
      </w:r>
      <w:r w:rsidR="00470ADC" w:rsidRPr="00D5464D">
        <w:rPr>
          <w:rFonts w:eastAsia="Batang" w:cs="Times"/>
          <w:szCs w:val="24"/>
          <w:lang w:val="pt-BR" w:eastAsia="es-ES"/>
        </w:rPr>
        <w:t>afeta</w:t>
      </w:r>
      <w:r w:rsidR="000A52D5" w:rsidRPr="00D5464D">
        <w:rPr>
          <w:rFonts w:eastAsia="Batang" w:cs="Times"/>
          <w:szCs w:val="24"/>
          <w:lang w:val="pt-BR" w:eastAsia="es-ES"/>
        </w:rPr>
        <w:t>r</w:t>
      </w:r>
      <w:r w:rsidR="002C330E" w:rsidRPr="00D5464D">
        <w:rPr>
          <w:rFonts w:eastAsia="Batang" w:cs="Times"/>
          <w:szCs w:val="24"/>
          <w:lang w:val="pt-BR" w:eastAsia="es-ES"/>
        </w:rPr>
        <w:t xml:space="preserve"> a </w:t>
      </w:r>
      <w:r w:rsidR="00470ADC" w:rsidRPr="00D5464D">
        <w:rPr>
          <w:rFonts w:eastAsia="Batang" w:cs="Times"/>
          <w:szCs w:val="24"/>
          <w:lang w:val="pt-BR" w:eastAsia="es-ES"/>
        </w:rPr>
        <w:t xml:space="preserve">competência da </w:t>
      </w:r>
      <w:r w:rsidR="000A52D5" w:rsidRPr="00D5464D">
        <w:rPr>
          <w:rFonts w:eastAsia="Batang" w:cs="Times"/>
          <w:szCs w:val="24"/>
          <w:lang w:val="pt-BR" w:eastAsia="es-ES"/>
        </w:rPr>
        <w:t>Corte,</w:t>
      </w:r>
      <w:r w:rsidR="002C330E" w:rsidRPr="00D5464D">
        <w:rPr>
          <w:rFonts w:eastAsia="Batang" w:cs="Times"/>
          <w:szCs w:val="24"/>
          <w:lang w:val="pt-BR" w:eastAsia="es-ES"/>
        </w:rPr>
        <w:t xml:space="preserve"> </w:t>
      </w:r>
      <w:r w:rsidR="00C16021" w:rsidRPr="00D5464D">
        <w:rPr>
          <w:rFonts w:eastAsia="Batang" w:cs="Times"/>
          <w:szCs w:val="24"/>
          <w:lang w:val="pt-BR" w:eastAsia="es-ES"/>
        </w:rPr>
        <w:t xml:space="preserve">de maneira </w:t>
      </w:r>
      <w:r w:rsidR="002C330E" w:rsidRPr="00D5464D">
        <w:rPr>
          <w:rFonts w:eastAsia="Batang" w:cs="Times"/>
          <w:szCs w:val="24"/>
          <w:lang w:val="pt-BR" w:eastAsia="es-ES"/>
        </w:rPr>
        <w:t>que solicitaram</w:t>
      </w:r>
      <w:r w:rsidR="00470ADC" w:rsidRPr="00D5464D">
        <w:rPr>
          <w:rFonts w:eastAsia="Batang" w:cs="Times"/>
          <w:szCs w:val="24"/>
          <w:lang w:val="pt-BR" w:eastAsia="es-ES"/>
        </w:rPr>
        <w:t xml:space="preserve"> à </w:t>
      </w:r>
      <w:r w:rsidR="000A52D5" w:rsidRPr="00D5464D">
        <w:rPr>
          <w:rFonts w:eastAsia="Batang" w:cs="Times"/>
          <w:szCs w:val="24"/>
          <w:lang w:val="pt-BR" w:eastAsia="es-ES"/>
        </w:rPr>
        <w:t xml:space="preserve">Corte </w:t>
      </w:r>
      <w:r w:rsidR="00562E45" w:rsidRPr="00D5464D">
        <w:rPr>
          <w:rFonts w:eastAsia="Batang" w:cs="Times"/>
          <w:szCs w:val="24"/>
          <w:lang w:val="pt-BR" w:eastAsia="es-ES"/>
        </w:rPr>
        <w:t>que rejeitasse</w:t>
      </w:r>
      <w:r w:rsidR="00FF1290" w:rsidRPr="00D5464D">
        <w:rPr>
          <w:rFonts w:eastAsia="Batang" w:cs="Times"/>
          <w:szCs w:val="24"/>
          <w:lang w:val="pt-BR" w:eastAsia="es-ES"/>
        </w:rPr>
        <w:t xml:space="preserve"> </w:t>
      </w:r>
      <w:r w:rsidR="000A52D5" w:rsidRPr="00D5464D">
        <w:rPr>
          <w:rFonts w:eastAsia="Batang" w:cs="Times"/>
          <w:szCs w:val="24"/>
          <w:lang w:val="pt-BR" w:eastAsia="es-ES"/>
        </w:rPr>
        <w:t xml:space="preserve">esta </w:t>
      </w:r>
      <w:r w:rsidR="00470ADC" w:rsidRPr="00D5464D">
        <w:rPr>
          <w:rFonts w:eastAsia="Batang" w:cs="Times"/>
          <w:szCs w:val="24"/>
          <w:lang w:val="pt-BR" w:eastAsia="es-ES"/>
        </w:rPr>
        <w:t>exceção</w:t>
      </w:r>
      <w:r w:rsidR="000A52D5" w:rsidRPr="00D5464D">
        <w:rPr>
          <w:rFonts w:eastAsia="Batang" w:cs="Times"/>
          <w:szCs w:val="24"/>
          <w:lang w:val="pt-BR" w:eastAsia="es-ES"/>
        </w:rPr>
        <w:t xml:space="preserve">. Adicionalmente, </w:t>
      </w:r>
      <w:r w:rsidR="002C330E" w:rsidRPr="00D5464D">
        <w:rPr>
          <w:rFonts w:eastAsia="Batang" w:cs="Times"/>
          <w:szCs w:val="24"/>
          <w:lang w:val="pt-BR" w:eastAsia="es-ES"/>
        </w:rPr>
        <w:t>afirmaram</w:t>
      </w:r>
      <w:r w:rsidR="000A52D5" w:rsidRPr="00D5464D">
        <w:rPr>
          <w:rFonts w:eastAsia="Batang" w:cs="Times"/>
          <w:szCs w:val="24"/>
          <w:lang w:val="pt-BR" w:eastAsia="es-ES"/>
        </w:rPr>
        <w:t xml:space="preserve"> que</w:t>
      </w:r>
      <w:r w:rsidR="00470ADC" w:rsidRPr="00D5464D">
        <w:rPr>
          <w:rFonts w:eastAsia="Batang" w:cs="Times"/>
          <w:szCs w:val="24"/>
          <w:lang w:val="pt-BR" w:eastAsia="es-ES"/>
        </w:rPr>
        <w:t xml:space="preserve"> o </w:t>
      </w:r>
      <w:r w:rsidR="000A52D5" w:rsidRPr="00D5464D">
        <w:rPr>
          <w:rFonts w:eastAsia="Batang" w:cs="Times"/>
          <w:szCs w:val="24"/>
          <w:lang w:val="pt-BR" w:eastAsia="es-ES"/>
        </w:rPr>
        <w:t>Estado pretende</w:t>
      </w:r>
      <w:r w:rsidR="002C330E" w:rsidRPr="00D5464D">
        <w:rPr>
          <w:rFonts w:eastAsia="Batang" w:cs="Times"/>
          <w:szCs w:val="24"/>
          <w:lang w:val="pt-BR" w:eastAsia="es-ES"/>
        </w:rPr>
        <w:t xml:space="preserve"> apresentar </w:t>
      </w:r>
      <w:r w:rsidR="000A52D5" w:rsidRPr="00D5464D">
        <w:rPr>
          <w:rFonts w:eastAsia="Batang" w:cs="Times"/>
          <w:szCs w:val="24"/>
          <w:lang w:val="pt-BR" w:eastAsia="es-ES"/>
        </w:rPr>
        <w:t xml:space="preserve">como </w:t>
      </w:r>
      <w:r w:rsidR="00470ADC" w:rsidRPr="00D5464D">
        <w:rPr>
          <w:rFonts w:eastAsia="Batang" w:cs="Times"/>
          <w:szCs w:val="24"/>
          <w:lang w:val="pt-BR" w:eastAsia="es-ES"/>
        </w:rPr>
        <w:t>exceção</w:t>
      </w:r>
      <w:r w:rsidR="000A52D5" w:rsidRPr="00D5464D">
        <w:rPr>
          <w:rFonts w:eastAsia="Batang" w:cs="Times"/>
          <w:szCs w:val="24"/>
          <w:lang w:val="pt-BR" w:eastAsia="es-ES"/>
        </w:rPr>
        <w:t xml:space="preserve"> preliminar aspectos de </w:t>
      </w:r>
      <w:r w:rsidR="00E045D9" w:rsidRPr="00D5464D">
        <w:rPr>
          <w:rFonts w:eastAsia="Batang" w:cs="Times"/>
          <w:szCs w:val="24"/>
          <w:lang w:val="pt-BR" w:eastAsia="es-ES"/>
        </w:rPr>
        <w:t>trâmite</w:t>
      </w:r>
      <w:r w:rsidR="00470ADC" w:rsidRPr="00D5464D">
        <w:rPr>
          <w:rFonts w:eastAsia="Batang" w:cs="Times"/>
          <w:szCs w:val="24"/>
          <w:lang w:val="pt-BR" w:eastAsia="es-ES"/>
        </w:rPr>
        <w:t xml:space="preserve"> perante a Comissão</w:t>
      </w:r>
      <w:r w:rsidR="000A52D5" w:rsidRPr="00D5464D">
        <w:rPr>
          <w:rFonts w:eastAsia="Batang" w:cs="Times"/>
          <w:szCs w:val="24"/>
          <w:lang w:val="pt-BR" w:eastAsia="es-ES"/>
        </w:rPr>
        <w:t>. Finalmente,</w:t>
      </w:r>
      <w:r w:rsidR="002C330E" w:rsidRPr="00D5464D">
        <w:rPr>
          <w:rFonts w:eastAsia="Batang" w:cs="Times"/>
          <w:szCs w:val="24"/>
          <w:lang w:val="pt-BR" w:eastAsia="es-ES"/>
        </w:rPr>
        <w:t xml:space="preserve"> os </w:t>
      </w:r>
      <w:r w:rsidR="00EB1CE9" w:rsidRPr="00D5464D">
        <w:rPr>
          <w:rFonts w:eastAsia="Batang" w:cs="Times"/>
          <w:szCs w:val="24"/>
          <w:lang w:val="pt-BR" w:eastAsia="es-ES"/>
        </w:rPr>
        <w:t>representante</w:t>
      </w:r>
      <w:r w:rsidR="000A52D5" w:rsidRPr="00D5464D">
        <w:rPr>
          <w:rFonts w:eastAsia="Batang" w:cs="Times"/>
          <w:szCs w:val="24"/>
          <w:lang w:val="pt-BR" w:eastAsia="es-ES"/>
        </w:rPr>
        <w:t xml:space="preserve">s </w:t>
      </w:r>
      <w:r w:rsidR="00470ADC" w:rsidRPr="00D5464D">
        <w:rPr>
          <w:rFonts w:eastAsia="Batang" w:cs="Times"/>
          <w:szCs w:val="24"/>
          <w:lang w:val="pt-BR" w:eastAsia="es-ES"/>
        </w:rPr>
        <w:t>alegaram</w:t>
      </w:r>
      <w:r w:rsidR="000A52D5" w:rsidRPr="00D5464D">
        <w:rPr>
          <w:rFonts w:eastAsia="Batang" w:cs="Times"/>
          <w:szCs w:val="24"/>
          <w:lang w:val="pt-BR" w:eastAsia="es-ES"/>
        </w:rPr>
        <w:t xml:space="preserve"> que</w:t>
      </w:r>
      <w:r w:rsidR="002C330E" w:rsidRPr="00D5464D">
        <w:rPr>
          <w:rFonts w:eastAsia="Batang" w:cs="Times"/>
          <w:szCs w:val="24"/>
          <w:lang w:val="pt-BR" w:eastAsia="es-ES"/>
        </w:rPr>
        <w:t xml:space="preserve"> a </w:t>
      </w:r>
      <w:r w:rsidR="000A52D5" w:rsidRPr="00D5464D">
        <w:rPr>
          <w:rFonts w:eastAsia="Batang" w:cs="Times"/>
          <w:szCs w:val="24"/>
          <w:lang w:val="pt-BR" w:eastAsia="es-ES"/>
        </w:rPr>
        <w:t>publica</w:t>
      </w:r>
      <w:r w:rsidR="00470ADC" w:rsidRPr="00D5464D">
        <w:rPr>
          <w:rFonts w:eastAsia="Batang" w:cs="Times"/>
          <w:szCs w:val="24"/>
          <w:lang w:val="pt-BR" w:eastAsia="es-ES"/>
        </w:rPr>
        <w:t>ção</w:t>
      </w:r>
      <w:r w:rsidR="000A52D5" w:rsidRPr="00D5464D">
        <w:rPr>
          <w:rFonts w:eastAsia="Batang" w:cs="Times"/>
          <w:szCs w:val="24"/>
          <w:lang w:val="pt-BR" w:eastAsia="es-ES"/>
        </w:rPr>
        <w:t xml:space="preserve"> </w:t>
      </w:r>
      <w:r w:rsidR="00470ADC" w:rsidRPr="00D5464D">
        <w:rPr>
          <w:rFonts w:eastAsia="Batang" w:cs="Times"/>
          <w:szCs w:val="24"/>
          <w:lang w:val="pt-BR" w:eastAsia="es-ES"/>
        </w:rPr>
        <w:t>do</w:t>
      </w:r>
      <w:r w:rsidR="002C330E" w:rsidRPr="00D5464D">
        <w:rPr>
          <w:rFonts w:eastAsia="Batang" w:cs="Times"/>
          <w:szCs w:val="24"/>
          <w:lang w:val="pt-BR" w:eastAsia="es-ES"/>
        </w:rPr>
        <w:t xml:space="preserve">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de Mérito</w:t>
      </w:r>
      <w:r w:rsidR="000A52D5" w:rsidRPr="00D5464D">
        <w:rPr>
          <w:rFonts w:eastAsia="Batang" w:cs="Times"/>
          <w:szCs w:val="24"/>
          <w:lang w:val="pt-BR" w:eastAsia="es-ES"/>
        </w:rPr>
        <w:t xml:space="preserve"> n</w:t>
      </w:r>
      <w:r w:rsidR="00C16021" w:rsidRPr="00D5464D">
        <w:rPr>
          <w:rFonts w:eastAsia="Batang" w:cs="Times"/>
          <w:szCs w:val="24"/>
          <w:lang w:val="pt-BR" w:eastAsia="es-ES"/>
        </w:rPr>
        <w:t>ã</w:t>
      </w:r>
      <w:r w:rsidR="000A52D5" w:rsidRPr="00D5464D">
        <w:rPr>
          <w:rFonts w:eastAsia="Batang" w:cs="Times"/>
          <w:szCs w:val="24"/>
          <w:lang w:val="pt-BR" w:eastAsia="es-ES"/>
        </w:rPr>
        <w:t xml:space="preserve">o </w:t>
      </w:r>
      <w:r w:rsidRPr="00D5464D">
        <w:rPr>
          <w:rFonts w:eastAsia="Batang" w:cs="Times"/>
          <w:szCs w:val="24"/>
          <w:lang w:val="pt-BR" w:eastAsia="es-ES"/>
        </w:rPr>
        <w:t>constituiu</w:t>
      </w:r>
      <w:r w:rsidR="00E045D9" w:rsidRPr="00D5464D">
        <w:rPr>
          <w:rFonts w:eastAsia="Batang" w:cs="Times"/>
          <w:szCs w:val="24"/>
          <w:lang w:val="pt-BR" w:eastAsia="es-ES"/>
        </w:rPr>
        <w:t xml:space="preserve"> um </w:t>
      </w:r>
      <w:r w:rsidR="00350187" w:rsidRPr="00D5464D">
        <w:rPr>
          <w:rFonts w:eastAsia="Batang" w:cs="Times"/>
          <w:szCs w:val="24"/>
          <w:lang w:val="pt-BR" w:eastAsia="es-ES"/>
        </w:rPr>
        <w:t>erro</w:t>
      </w:r>
      <w:r w:rsidR="000A52D5" w:rsidRPr="00D5464D">
        <w:rPr>
          <w:rFonts w:eastAsia="Batang" w:cs="Times"/>
          <w:szCs w:val="24"/>
          <w:lang w:val="pt-BR" w:eastAsia="es-ES"/>
        </w:rPr>
        <w:t xml:space="preserve"> grave</w:t>
      </w:r>
      <w:r w:rsidR="002C330E" w:rsidRPr="00D5464D">
        <w:rPr>
          <w:rFonts w:eastAsia="Batang" w:cs="Times"/>
          <w:szCs w:val="24"/>
          <w:lang w:val="pt-BR" w:eastAsia="es-ES"/>
        </w:rPr>
        <w:t xml:space="preserve"> </w:t>
      </w:r>
      <w:r w:rsidR="00C16021" w:rsidRPr="00D5464D">
        <w:rPr>
          <w:rFonts w:eastAsia="Batang" w:cs="Times"/>
          <w:szCs w:val="24"/>
          <w:lang w:val="pt-BR" w:eastAsia="es-ES"/>
        </w:rPr>
        <w:t xml:space="preserve">e tampouco </w:t>
      </w:r>
      <w:r w:rsidR="000A52D5" w:rsidRPr="00D5464D">
        <w:rPr>
          <w:rFonts w:eastAsia="Batang" w:cs="Times"/>
          <w:szCs w:val="24"/>
          <w:lang w:val="pt-BR" w:eastAsia="es-ES"/>
        </w:rPr>
        <w:t xml:space="preserve">existe </w:t>
      </w:r>
      <w:r w:rsidR="002C330E" w:rsidRPr="00D5464D">
        <w:rPr>
          <w:rFonts w:eastAsia="Batang" w:cs="Times"/>
          <w:szCs w:val="24"/>
          <w:lang w:val="pt-BR" w:eastAsia="es-ES"/>
        </w:rPr>
        <w:t>proibição</w:t>
      </w:r>
      <w:r w:rsidR="000A52D5" w:rsidRPr="00D5464D">
        <w:rPr>
          <w:rFonts w:eastAsia="Batang" w:cs="Times"/>
          <w:szCs w:val="24"/>
          <w:lang w:val="pt-BR" w:eastAsia="es-ES"/>
        </w:rPr>
        <w:t xml:space="preserve"> para </w:t>
      </w:r>
      <w:r w:rsidR="00C16021" w:rsidRPr="00D5464D">
        <w:rPr>
          <w:rFonts w:eastAsia="Batang" w:cs="Times"/>
          <w:szCs w:val="24"/>
          <w:lang w:val="pt-BR" w:eastAsia="es-ES"/>
        </w:rPr>
        <w:t>publicá-lo</w:t>
      </w:r>
      <w:r w:rsidR="000A52D5" w:rsidRPr="00D5464D">
        <w:rPr>
          <w:rFonts w:eastAsia="Batang" w:cs="Times"/>
          <w:szCs w:val="24"/>
          <w:lang w:val="pt-BR" w:eastAsia="es-ES"/>
        </w:rPr>
        <w:t>.</w:t>
      </w:r>
    </w:p>
    <w:p w14:paraId="72A3201B" w14:textId="77777777" w:rsidR="000A52D5" w:rsidRPr="00D5464D" w:rsidRDefault="000A52D5" w:rsidP="00140440">
      <w:pPr>
        <w:tabs>
          <w:tab w:val="clear" w:pos="4419"/>
          <w:tab w:val="clear" w:pos="8838"/>
        </w:tabs>
        <w:jc w:val="both"/>
        <w:rPr>
          <w:rFonts w:eastAsia="Batang" w:cs="Times"/>
          <w:szCs w:val="24"/>
          <w:lang w:val="pt-BR" w:eastAsia="es-ES"/>
        </w:rPr>
      </w:pPr>
    </w:p>
    <w:p w14:paraId="7713A45D" w14:textId="1B268095" w:rsidR="000A52D5" w:rsidRPr="00D5464D" w:rsidRDefault="000A52D5" w:rsidP="000A20C1">
      <w:pPr>
        <w:pStyle w:val="Ttulo3"/>
        <w:rPr>
          <w:lang w:val="pt-BR" w:eastAsia="es-ES"/>
        </w:rPr>
      </w:pPr>
      <w:bookmarkStart w:id="51" w:name="_Toc460432963"/>
      <w:bookmarkStart w:id="52" w:name="_Toc460441894"/>
      <w:bookmarkStart w:id="53" w:name="_Toc462750714"/>
      <w:bookmarkStart w:id="54" w:name="_Toc462751038"/>
      <w:bookmarkStart w:id="55" w:name="_Toc464813890"/>
      <w:bookmarkStart w:id="56" w:name="_Toc468433851"/>
      <w:r w:rsidRPr="00D5464D">
        <w:rPr>
          <w:lang w:val="pt-BR" w:eastAsia="es-ES"/>
        </w:rPr>
        <w:t>A.2. Considera</w:t>
      </w:r>
      <w:r w:rsidR="00470ADC" w:rsidRPr="00D5464D">
        <w:rPr>
          <w:lang w:val="pt-BR" w:eastAsia="es-ES"/>
        </w:rPr>
        <w:t xml:space="preserve">ções da </w:t>
      </w:r>
      <w:r w:rsidRPr="00D5464D">
        <w:rPr>
          <w:lang w:val="pt-BR" w:eastAsia="es-ES"/>
        </w:rPr>
        <w:t>Corte</w:t>
      </w:r>
      <w:bookmarkEnd w:id="51"/>
      <w:bookmarkEnd w:id="52"/>
      <w:bookmarkEnd w:id="53"/>
      <w:bookmarkEnd w:id="54"/>
      <w:bookmarkEnd w:id="55"/>
      <w:bookmarkEnd w:id="56"/>
    </w:p>
    <w:p w14:paraId="104C44BE" w14:textId="77777777" w:rsidR="000A52D5" w:rsidRPr="00D5464D" w:rsidRDefault="000A52D5" w:rsidP="00140440">
      <w:pPr>
        <w:tabs>
          <w:tab w:val="clear" w:pos="4419"/>
          <w:tab w:val="clear" w:pos="8838"/>
        </w:tabs>
        <w:jc w:val="both"/>
        <w:rPr>
          <w:rFonts w:eastAsia="Batang" w:cs="Times"/>
          <w:szCs w:val="24"/>
          <w:lang w:val="pt-BR" w:eastAsia="es-ES"/>
        </w:rPr>
      </w:pPr>
    </w:p>
    <w:p w14:paraId="58F5DC9A" w14:textId="41AAC85A" w:rsidR="000A52D5" w:rsidRPr="00D5464D" w:rsidRDefault="00C16021"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Trata-se de uma </w:t>
      </w:r>
      <w:r w:rsidR="000A52D5" w:rsidRPr="00D5464D">
        <w:rPr>
          <w:rFonts w:eastAsia="Batang" w:cs="Times"/>
          <w:szCs w:val="24"/>
          <w:lang w:val="pt-BR" w:eastAsia="es-ES"/>
        </w:rPr>
        <w:t>interpreta</w:t>
      </w:r>
      <w:r w:rsidR="00470ADC" w:rsidRPr="00D5464D">
        <w:rPr>
          <w:rFonts w:eastAsia="Batang" w:cs="Times"/>
          <w:szCs w:val="24"/>
          <w:lang w:val="pt-BR" w:eastAsia="es-ES"/>
        </w:rPr>
        <w:t>ção</w:t>
      </w:r>
      <w:r w:rsidR="000A52D5" w:rsidRPr="00D5464D">
        <w:rPr>
          <w:rFonts w:eastAsia="Batang" w:cs="Times"/>
          <w:szCs w:val="24"/>
          <w:lang w:val="pt-BR" w:eastAsia="es-ES"/>
        </w:rPr>
        <w:t xml:space="preserve"> </w:t>
      </w:r>
      <w:r w:rsidR="00191500" w:rsidRPr="00D5464D">
        <w:rPr>
          <w:rFonts w:eastAsia="Batang" w:cs="Times"/>
          <w:szCs w:val="24"/>
          <w:lang w:val="pt-BR" w:eastAsia="es-ES"/>
        </w:rPr>
        <w:t>constante</w:t>
      </w:r>
      <w:r w:rsidR="00470ADC" w:rsidRPr="00D5464D">
        <w:rPr>
          <w:rFonts w:eastAsia="Batang" w:cs="Times"/>
          <w:szCs w:val="24"/>
          <w:lang w:val="pt-BR" w:eastAsia="es-ES"/>
        </w:rPr>
        <w:t xml:space="preserve"> deste </w:t>
      </w:r>
      <w:r w:rsidR="000A52D5" w:rsidRPr="00D5464D">
        <w:rPr>
          <w:rFonts w:eastAsia="Batang" w:cs="Times"/>
          <w:szCs w:val="24"/>
          <w:lang w:val="pt-BR" w:eastAsia="es-ES"/>
        </w:rPr>
        <w:t>Tribunal que</w:t>
      </w:r>
      <w:r w:rsidR="002C330E" w:rsidRPr="00D5464D">
        <w:rPr>
          <w:rFonts w:eastAsia="Batang" w:cs="Times"/>
          <w:szCs w:val="24"/>
          <w:lang w:val="pt-BR" w:eastAsia="es-ES"/>
        </w:rPr>
        <w:t xml:space="preserve"> os </w:t>
      </w:r>
      <w:r w:rsidR="00470ADC" w:rsidRPr="00D5464D">
        <w:rPr>
          <w:rFonts w:eastAsia="Batang" w:cs="Times"/>
          <w:szCs w:val="24"/>
          <w:lang w:val="pt-BR" w:eastAsia="es-ES"/>
        </w:rPr>
        <w:t>artigo</w:t>
      </w:r>
      <w:r w:rsidR="000A52D5" w:rsidRPr="00D5464D">
        <w:rPr>
          <w:rFonts w:eastAsia="Batang" w:cs="Times"/>
          <w:szCs w:val="24"/>
          <w:lang w:val="pt-BR" w:eastAsia="es-ES"/>
        </w:rPr>
        <w:t>s 50</w:t>
      </w:r>
      <w:r w:rsidR="00E045D9" w:rsidRPr="00D5464D">
        <w:rPr>
          <w:rFonts w:eastAsia="Batang" w:cs="Times"/>
          <w:szCs w:val="24"/>
          <w:lang w:val="pt-BR" w:eastAsia="es-ES"/>
        </w:rPr>
        <w:t xml:space="preserve"> e </w:t>
      </w:r>
      <w:r w:rsidR="000A52D5" w:rsidRPr="00D5464D">
        <w:rPr>
          <w:rFonts w:eastAsia="Batang" w:cs="Times"/>
          <w:szCs w:val="24"/>
          <w:lang w:val="pt-BR" w:eastAsia="es-ES"/>
        </w:rPr>
        <w:t>51</w:t>
      </w:r>
      <w:r w:rsidR="00470ADC" w:rsidRPr="00D5464D">
        <w:rPr>
          <w:rFonts w:eastAsia="Batang" w:cs="Times"/>
          <w:szCs w:val="24"/>
          <w:lang w:val="pt-BR" w:eastAsia="es-ES"/>
        </w:rPr>
        <w:t xml:space="preserve"> da </w:t>
      </w:r>
      <w:r w:rsidR="000A52D5" w:rsidRPr="00D5464D">
        <w:rPr>
          <w:rFonts w:eastAsia="Batang" w:cs="Times"/>
          <w:szCs w:val="24"/>
          <w:lang w:val="pt-BR" w:eastAsia="es-ES"/>
        </w:rPr>
        <w:t>Conven</w:t>
      </w:r>
      <w:r w:rsidR="00470ADC" w:rsidRPr="00D5464D">
        <w:rPr>
          <w:rFonts w:eastAsia="Batang" w:cs="Times"/>
          <w:szCs w:val="24"/>
          <w:lang w:val="pt-BR" w:eastAsia="es-ES"/>
        </w:rPr>
        <w:t>ção</w:t>
      </w:r>
      <w:r w:rsidR="000A52D5" w:rsidRPr="00D5464D">
        <w:rPr>
          <w:rFonts w:eastAsia="Batang" w:cs="Times"/>
          <w:szCs w:val="24"/>
          <w:lang w:val="pt-BR" w:eastAsia="es-ES"/>
        </w:rPr>
        <w:t xml:space="preserve"> </w:t>
      </w:r>
      <w:r w:rsidRPr="00D5464D">
        <w:rPr>
          <w:rFonts w:eastAsia="Batang" w:cs="Times"/>
          <w:szCs w:val="24"/>
          <w:lang w:val="pt-BR" w:eastAsia="es-ES"/>
        </w:rPr>
        <w:t xml:space="preserve">se referem </w:t>
      </w:r>
      <w:r w:rsidR="00191500" w:rsidRPr="00D5464D">
        <w:rPr>
          <w:rFonts w:eastAsia="Batang" w:cs="Times"/>
          <w:szCs w:val="24"/>
          <w:lang w:val="pt-BR" w:eastAsia="es-ES"/>
        </w:rPr>
        <w:t xml:space="preserve">a </w:t>
      </w:r>
      <w:r w:rsidR="000A52D5" w:rsidRPr="00D5464D">
        <w:rPr>
          <w:rFonts w:eastAsia="Batang" w:cs="Times"/>
          <w:szCs w:val="24"/>
          <w:lang w:val="pt-BR" w:eastAsia="es-ES"/>
        </w:rPr>
        <w:t>do</w:t>
      </w:r>
      <w:r w:rsidRPr="00D5464D">
        <w:rPr>
          <w:rFonts w:eastAsia="Batang" w:cs="Times"/>
          <w:szCs w:val="24"/>
          <w:lang w:val="pt-BR" w:eastAsia="es-ES"/>
        </w:rPr>
        <w:t>i</w:t>
      </w:r>
      <w:r w:rsidR="000A52D5" w:rsidRPr="00D5464D">
        <w:rPr>
          <w:rFonts w:eastAsia="Batang" w:cs="Times"/>
          <w:szCs w:val="24"/>
          <w:lang w:val="pt-BR" w:eastAsia="es-ES"/>
        </w:rPr>
        <w:t>s</w:t>
      </w:r>
      <w:r w:rsidR="002C330E" w:rsidRPr="00D5464D">
        <w:rPr>
          <w:rFonts w:eastAsia="Batang" w:cs="Times"/>
          <w:szCs w:val="24"/>
          <w:lang w:val="pt-BR" w:eastAsia="es-ES"/>
        </w:rPr>
        <w:t xml:space="preserve"> </w:t>
      </w:r>
      <w:r w:rsidR="00350187" w:rsidRPr="00D5464D">
        <w:rPr>
          <w:rFonts w:eastAsia="Batang" w:cs="Times"/>
          <w:szCs w:val="24"/>
          <w:lang w:val="pt-BR" w:eastAsia="es-ES"/>
        </w:rPr>
        <w:t>relatório</w:t>
      </w:r>
      <w:r w:rsidR="002C330E" w:rsidRPr="00D5464D">
        <w:rPr>
          <w:rFonts w:eastAsia="Batang" w:cs="Times"/>
          <w:szCs w:val="24"/>
          <w:lang w:val="pt-BR" w:eastAsia="es-ES"/>
        </w:rPr>
        <w:t>s</w:t>
      </w:r>
      <w:r w:rsidR="00191500" w:rsidRPr="00D5464D">
        <w:rPr>
          <w:rFonts w:eastAsia="Batang" w:cs="Times"/>
          <w:szCs w:val="24"/>
          <w:lang w:val="pt-BR" w:eastAsia="es-ES"/>
        </w:rPr>
        <w:t xml:space="preserve"> distintos</w:t>
      </w:r>
      <w:r w:rsidR="000A52D5" w:rsidRPr="00D5464D">
        <w:rPr>
          <w:rFonts w:eastAsia="Batang" w:cs="Times"/>
          <w:szCs w:val="24"/>
          <w:lang w:val="pt-BR" w:eastAsia="es-ES"/>
        </w:rPr>
        <w:t>,</w:t>
      </w:r>
      <w:r w:rsidR="00470ADC" w:rsidRPr="00D5464D">
        <w:rPr>
          <w:rFonts w:eastAsia="Batang" w:cs="Times"/>
          <w:szCs w:val="24"/>
          <w:lang w:val="pt-BR" w:eastAsia="es-ES"/>
        </w:rPr>
        <w:t xml:space="preserve"> o </w:t>
      </w:r>
      <w:r w:rsidR="002C330E" w:rsidRPr="00D5464D">
        <w:rPr>
          <w:rFonts w:eastAsia="Batang" w:cs="Times"/>
          <w:szCs w:val="24"/>
          <w:lang w:val="pt-BR" w:eastAsia="es-ES"/>
        </w:rPr>
        <w:t>primeiro</w:t>
      </w:r>
      <w:r w:rsidR="000A52D5" w:rsidRPr="00D5464D">
        <w:rPr>
          <w:rFonts w:eastAsia="Batang" w:cs="Times"/>
          <w:szCs w:val="24"/>
          <w:lang w:val="pt-BR" w:eastAsia="es-ES"/>
        </w:rPr>
        <w:t xml:space="preserve"> identificado como</w:t>
      </w:r>
      <w:r w:rsidR="002C330E" w:rsidRPr="00D5464D">
        <w:rPr>
          <w:rFonts w:eastAsia="Batang" w:cs="Times"/>
          <w:szCs w:val="24"/>
          <w:lang w:val="pt-BR" w:eastAsia="es-ES"/>
        </w:rPr>
        <w:t xml:space="preserve">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w:t>
      </w:r>
      <w:r w:rsidR="000A52D5" w:rsidRPr="00D5464D">
        <w:rPr>
          <w:rFonts w:eastAsia="Batang" w:cs="Times"/>
          <w:szCs w:val="24"/>
          <w:lang w:val="pt-BR" w:eastAsia="es-ES"/>
        </w:rPr>
        <w:t>preliminar</w:t>
      </w:r>
      <w:r w:rsidR="00470ADC" w:rsidRPr="00D5464D">
        <w:rPr>
          <w:rFonts w:eastAsia="Batang" w:cs="Times"/>
          <w:szCs w:val="24"/>
          <w:lang w:val="pt-BR" w:eastAsia="es-ES"/>
        </w:rPr>
        <w:t xml:space="preserve"> e o </w:t>
      </w:r>
      <w:r w:rsidR="000A52D5" w:rsidRPr="00D5464D">
        <w:rPr>
          <w:rFonts w:eastAsia="Batang" w:cs="Times"/>
          <w:szCs w:val="24"/>
          <w:lang w:val="pt-BR" w:eastAsia="es-ES"/>
        </w:rPr>
        <w:t>segundo como definitivo. Cada u</w:t>
      </w:r>
      <w:r w:rsidRPr="00D5464D">
        <w:rPr>
          <w:rFonts w:eastAsia="Batang" w:cs="Times"/>
          <w:szCs w:val="24"/>
          <w:lang w:val="pt-BR" w:eastAsia="es-ES"/>
        </w:rPr>
        <w:t xml:space="preserve">m deles </w:t>
      </w:r>
      <w:r w:rsidR="002C330E" w:rsidRPr="00D5464D">
        <w:rPr>
          <w:rFonts w:eastAsia="Batang" w:cs="Times"/>
          <w:szCs w:val="24"/>
          <w:lang w:val="pt-BR" w:eastAsia="es-ES"/>
        </w:rPr>
        <w:t>possui natureza</w:t>
      </w:r>
      <w:r w:rsidRPr="00D5464D">
        <w:rPr>
          <w:rFonts w:eastAsia="Batang" w:cs="Times"/>
          <w:szCs w:val="24"/>
          <w:lang w:val="pt-BR" w:eastAsia="es-ES"/>
        </w:rPr>
        <w:t xml:space="preserve"> distinta</w:t>
      </w:r>
      <w:r w:rsidR="000A52D5" w:rsidRPr="00D5464D">
        <w:rPr>
          <w:rFonts w:eastAsia="Batang" w:cs="Times"/>
          <w:szCs w:val="24"/>
          <w:lang w:val="pt-BR" w:eastAsia="es-ES"/>
        </w:rPr>
        <w:t>,</w:t>
      </w:r>
      <w:r w:rsidR="00470ADC" w:rsidRPr="00D5464D">
        <w:rPr>
          <w:rFonts w:eastAsia="Batang" w:cs="Times"/>
          <w:szCs w:val="24"/>
          <w:lang w:val="pt-BR" w:eastAsia="es-ES"/>
        </w:rPr>
        <w:t xml:space="preserve"> ao </w:t>
      </w:r>
      <w:r w:rsidR="000A52D5" w:rsidRPr="00D5464D">
        <w:rPr>
          <w:rFonts w:eastAsia="Batang" w:cs="Times"/>
          <w:szCs w:val="24"/>
          <w:lang w:val="pt-BR" w:eastAsia="es-ES"/>
        </w:rPr>
        <w:t>corresponder a etapas</w:t>
      </w:r>
      <w:r w:rsidR="007B4B35" w:rsidRPr="00D5464D">
        <w:rPr>
          <w:rFonts w:eastAsia="Batang" w:cs="Times"/>
          <w:szCs w:val="24"/>
          <w:lang w:val="pt-BR" w:eastAsia="es-ES"/>
        </w:rPr>
        <w:t xml:space="preserve"> distintas</w:t>
      </w:r>
      <w:r w:rsidRPr="00D5464D">
        <w:rPr>
          <w:rFonts w:eastAsia="Batang" w:cs="Times"/>
          <w:szCs w:val="24"/>
          <w:lang w:val="pt-BR" w:eastAsia="es-ES"/>
        </w:rPr>
        <w:t xml:space="preserve"> do procedimento.</w:t>
      </w:r>
      <w:r w:rsidR="000A52D5" w:rsidRPr="00D5464D">
        <w:rPr>
          <w:rFonts w:eastAsia="Batang" w:cs="Times"/>
          <w:szCs w:val="24"/>
          <w:vertAlign w:val="superscript"/>
          <w:lang w:val="pt-BR" w:eastAsia="es-ES"/>
        </w:rPr>
        <w:footnoteReference w:id="20"/>
      </w:r>
    </w:p>
    <w:p w14:paraId="7DB302F5" w14:textId="77777777" w:rsidR="00D65024" w:rsidRPr="00D5464D" w:rsidRDefault="00D65024" w:rsidP="00D65024">
      <w:pPr>
        <w:tabs>
          <w:tab w:val="clear" w:pos="4419"/>
          <w:tab w:val="clear" w:pos="8838"/>
        </w:tabs>
        <w:jc w:val="both"/>
        <w:rPr>
          <w:rFonts w:eastAsia="Batang" w:cs="Times"/>
          <w:szCs w:val="24"/>
          <w:lang w:val="pt-BR" w:eastAsia="es-ES"/>
        </w:rPr>
      </w:pPr>
    </w:p>
    <w:p w14:paraId="4ED2CF0F" w14:textId="0AF0B8E5" w:rsidR="000A52D5" w:rsidRPr="00D5464D" w:rsidRDefault="00470AD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O</w:t>
      </w:r>
      <w:r w:rsidR="002C330E" w:rsidRPr="00D5464D">
        <w:rPr>
          <w:rFonts w:eastAsia="Batang" w:cs="Times"/>
          <w:szCs w:val="24"/>
          <w:lang w:val="pt-BR" w:eastAsia="es-ES"/>
        </w:rPr>
        <w:t xml:space="preserve">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w:t>
      </w:r>
      <w:r w:rsidR="000A52D5" w:rsidRPr="00D5464D">
        <w:rPr>
          <w:rFonts w:eastAsia="Batang" w:cs="Times"/>
          <w:szCs w:val="24"/>
          <w:lang w:val="pt-BR" w:eastAsia="es-ES"/>
        </w:rPr>
        <w:t>preliminar responde</w:t>
      </w:r>
      <w:r w:rsidRPr="00D5464D">
        <w:rPr>
          <w:rFonts w:eastAsia="Batang" w:cs="Times"/>
          <w:szCs w:val="24"/>
          <w:lang w:val="pt-BR" w:eastAsia="es-ES"/>
        </w:rPr>
        <w:t xml:space="preserve"> à </w:t>
      </w:r>
      <w:r w:rsidR="002C330E" w:rsidRPr="00D5464D">
        <w:rPr>
          <w:rFonts w:eastAsia="Batang" w:cs="Times"/>
          <w:szCs w:val="24"/>
          <w:lang w:val="pt-BR" w:eastAsia="es-ES"/>
        </w:rPr>
        <w:t>primeira</w:t>
      </w:r>
      <w:r w:rsidR="000A52D5" w:rsidRPr="00D5464D">
        <w:rPr>
          <w:rFonts w:eastAsia="Batang" w:cs="Times"/>
          <w:szCs w:val="24"/>
          <w:lang w:val="pt-BR" w:eastAsia="es-ES"/>
        </w:rPr>
        <w:t xml:space="preserve"> etapa </w:t>
      </w:r>
      <w:r w:rsidRPr="00D5464D">
        <w:rPr>
          <w:rFonts w:eastAsia="Batang" w:cs="Times"/>
          <w:szCs w:val="24"/>
          <w:lang w:val="pt-BR" w:eastAsia="es-ES"/>
        </w:rPr>
        <w:t xml:space="preserve">do </w:t>
      </w:r>
      <w:r w:rsidR="002C330E" w:rsidRPr="00D5464D">
        <w:rPr>
          <w:rFonts w:eastAsia="Batang" w:cs="Times"/>
          <w:szCs w:val="24"/>
          <w:lang w:val="pt-BR" w:eastAsia="es-ES"/>
        </w:rPr>
        <w:t>procedimento</w:t>
      </w:r>
      <w:r w:rsidR="00E045D9" w:rsidRPr="00D5464D">
        <w:rPr>
          <w:rFonts w:eastAsia="Batang" w:cs="Times"/>
          <w:szCs w:val="24"/>
          <w:lang w:val="pt-BR" w:eastAsia="es-ES"/>
        </w:rPr>
        <w:t xml:space="preserve"> e </w:t>
      </w:r>
      <w:r w:rsidR="000A52D5" w:rsidRPr="00D5464D">
        <w:rPr>
          <w:rFonts w:eastAsia="Batang" w:cs="Times"/>
          <w:szCs w:val="24"/>
          <w:lang w:val="pt-BR" w:eastAsia="es-ES"/>
        </w:rPr>
        <w:t>está previsto</w:t>
      </w:r>
      <w:r w:rsidR="00E045D9" w:rsidRPr="00D5464D">
        <w:rPr>
          <w:rFonts w:eastAsia="Batang" w:cs="Times"/>
          <w:szCs w:val="24"/>
          <w:lang w:val="pt-BR" w:eastAsia="es-ES"/>
        </w:rPr>
        <w:t xml:space="preserve"> no </w:t>
      </w:r>
      <w:r w:rsidRPr="00D5464D">
        <w:rPr>
          <w:rFonts w:eastAsia="Batang" w:cs="Times"/>
          <w:szCs w:val="24"/>
          <w:lang w:val="pt-BR" w:eastAsia="es-ES"/>
        </w:rPr>
        <w:t>artigo</w:t>
      </w:r>
      <w:r w:rsidR="000A52D5" w:rsidRPr="00D5464D">
        <w:rPr>
          <w:rFonts w:eastAsia="Batang" w:cs="Times"/>
          <w:szCs w:val="24"/>
          <w:lang w:val="pt-BR" w:eastAsia="es-ES"/>
        </w:rPr>
        <w:t xml:space="preserve"> 50</w:t>
      </w:r>
      <w:r w:rsidRPr="00D5464D">
        <w:rPr>
          <w:rFonts w:eastAsia="Batang" w:cs="Times"/>
          <w:szCs w:val="24"/>
          <w:lang w:val="pt-BR" w:eastAsia="es-ES"/>
        </w:rPr>
        <w:t xml:space="preserve"> da </w:t>
      </w:r>
      <w:r w:rsidR="000A52D5" w:rsidRPr="00D5464D">
        <w:rPr>
          <w:rFonts w:eastAsia="Batang" w:cs="Times"/>
          <w:szCs w:val="24"/>
          <w:lang w:val="pt-BR" w:eastAsia="es-ES"/>
        </w:rPr>
        <w:t>Conven</w:t>
      </w:r>
      <w:r w:rsidRPr="00D5464D">
        <w:rPr>
          <w:rFonts w:eastAsia="Batang" w:cs="Times"/>
          <w:szCs w:val="24"/>
          <w:lang w:val="pt-BR" w:eastAsia="es-ES"/>
        </w:rPr>
        <w:t>ção</w:t>
      </w:r>
      <w:r w:rsidR="000A52D5" w:rsidRPr="00D5464D">
        <w:rPr>
          <w:rFonts w:eastAsia="Batang" w:cs="Times"/>
          <w:szCs w:val="24"/>
          <w:lang w:val="pt-BR" w:eastAsia="es-ES"/>
        </w:rPr>
        <w:t>,</w:t>
      </w:r>
      <w:r w:rsidRPr="00D5464D">
        <w:rPr>
          <w:rFonts w:eastAsia="Batang" w:cs="Times"/>
          <w:szCs w:val="24"/>
          <w:lang w:val="pt-BR" w:eastAsia="es-ES"/>
        </w:rPr>
        <w:t xml:space="preserve"> o qual dispõe</w:t>
      </w:r>
      <w:r w:rsidR="000A52D5" w:rsidRPr="00D5464D">
        <w:rPr>
          <w:rFonts w:eastAsia="Batang" w:cs="Times"/>
          <w:szCs w:val="24"/>
          <w:lang w:val="pt-BR" w:eastAsia="es-ES"/>
        </w:rPr>
        <w:t xml:space="preserve"> que</w:t>
      </w:r>
      <w:r w:rsidR="002C330E" w:rsidRPr="00D5464D">
        <w:rPr>
          <w:rFonts w:eastAsia="Batang" w:cs="Times"/>
          <w:szCs w:val="24"/>
          <w:lang w:val="pt-BR" w:eastAsia="es-ES"/>
        </w:rPr>
        <w:t xml:space="preserve"> a </w:t>
      </w:r>
      <w:r w:rsidRPr="00D5464D">
        <w:rPr>
          <w:rFonts w:eastAsia="Batang" w:cs="Times"/>
          <w:szCs w:val="24"/>
          <w:lang w:val="pt-BR" w:eastAsia="es-ES"/>
        </w:rPr>
        <w:t>Comissão</w:t>
      </w:r>
      <w:r w:rsidR="000A52D5" w:rsidRPr="00D5464D">
        <w:rPr>
          <w:rFonts w:eastAsia="Batang" w:cs="Times"/>
          <w:szCs w:val="24"/>
          <w:lang w:val="pt-BR" w:eastAsia="es-ES"/>
        </w:rPr>
        <w:t>,</w:t>
      </w:r>
      <w:r w:rsidR="002C330E" w:rsidRPr="00D5464D">
        <w:rPr>
          <w:rFonts w:eastAsia="Batang" w:cs="Times"/>
          <w:szCs w:val="24"/>
          <w:lang w:val="pt-BR" w:eastAsia="es-ES"/>
        </w:rPr>
        <w:t xml:space="preserve"> </w:t>
      </w:r>
      <w:r w:rsidR="00C16021" w:rsidRPr="00D5464D">
        <w:rPr>
          <w:rFonts w:eastAsia="Batang" w:cs="Times"/>
          <w:szCs w:val="24"/>
          <w:lang w:val="pt-BR" w:eastAsia="es-ES"/>
        </w:rPr>
        <w:t xml:space="preserve">caso não chegue a </w:t>
      </w:r>
      <w:r w:rsidR="00E045D9" w:rsidRPr="00D5464D">
        <w:rPr>
          <w:rFonts w:eastAsia="Batang" w:cs="Times"/>
          <w:szCs w:val="24"/>
          <w:lang w:val="pt-BR" w:eastAsia="es-ES"/>
        </w:rPr>
        <w:t xml:space="preserve">uma </w:t>
      </w:r>
      <w:r w:rsidR="000A52D5" w:rsidRPr="00D5464D">
        <w:rPr>
          <w:rFonts w:eastAsia="Batang" w:cs="Times"/>
          <w:szCs w:val="24"/>
          <w:lang w:val="pt-BR" w:eastAsia="es-ES"/>
        </w:rPr>
        <w:t>solu</w:t>
      </w:r>
      <w:r w:rsidRPr="00D5464D">
        <w:rPr>
          <w:rFonts w:eastAsia="Batang" w:cs="Times"/>
          <w:szCs w:val="24"/>
          <w:lang w:val="pt-BR" w:eastAsia="es-ES"/>
        </w:rPr>
        <w:t>ção</w:t>
      </w:r>
      <w:r w:rsidR="000A52D5" w:rsidRPr="00D5464D">
        <w:rPr>
          <w:rFonts w:eastAsia="Batang" w:cs="Times"/>
          <w:szCs w:val="24"/>
          <w:lang w:val="pt-BR" w:eastAsia="es-ES"/>
        </w:rPr>
        <w:t>, red</w:t>
      </w:r>
      <w:r w:rsidR="00C16021" w:rsidRPr="00D5464D">
        <w:rPr>
          <w:rFonts w:eastAsia="Batang" w:cs="Times"/>
          <w:szCs w:val="24"/>
          <w:lang w:val="pt-BR" w:eastAsia="es-ES"/>
        </w:rPr>
        <w:t xml:space="preserve">igirá </w:t>
      </w:r>
      <w:r w:rsidR="00E045D9" w:rsidRPr="00D5464D">
        <w:rPr>
          <w:rFonts w:eastAsia="Batang" w:cs="Times"/>
          <w:szCs w:val="24"/>
          <w:lang w:val="pt-BR" w:eastAsia="es-ES"/>
        </w:rPr>
        <w:t xml:space="preserve">um </w:t>
      </w:r>
      <w:r w:rsidR="00350187" w:rsidRPr="00D5464D">
        <w:rPr>
          <w:rFonts w:eastAsia="Batang" w:cs="Times"/>
          <w:szCs w:val="24"/>
          <w:lang w:val="pt-BR" w:eastAsia="es-ES"/>
        </w:rPr>
        <w:t>relatório</w:t>
      </w:r>
      <w:r w:rsidR="00E045D9" w:rsidRPr="00D5464D">
        <w:rPr>
          <w:rFonts w:eastAsia="Batang" w:cs="Times"/>
          <w:szCs w:val="24"/>
          <w:lang w:val="pt-BR" w:eastAsia="es-ES"/>
        </w:rPr>
        <w:t xml:space="preserve"> </w:t>
      </w:r>
      <w:r w:rsidR="00547C8F" w:rsidRPr="00D5464D">
        <w:rPr>
          <w:rFonts w:eastAsia="Batang" w:cs="Times"/>
          <w:szCs w:val="24"/>
          <w:lang w:val="pt-BR" w:eastAsia="es-ES"/>
        </w:rPr>
        <w:t xml:space="preserve">expondo </w:t>
      </w:r>
      <w:r w:rsidR="002C330E" w:rsidRPr="00D5464D">
        <w:rPr>
          <w:rFonts w:eastAsia="Batang" w:cs="Times"/>
          <w:szCs w:val="24"/>
          <w:lang w:val="pt-BR" w:eastAsia="es-ES"/>
        </w:rPr>
        <w:t>os fatos</w:t>
      </w:r>
      <w:r w:rsidR="00E045D9" w:rsidRPr="00D5464D">
        <w:rPr>
          <w:rFonts w:eastAsia="Batang" w:cs="Times"/>
          <w:szCs w:val="24"/>
          <w:lang w:val="pt-BR" w:eastAsia="es-ES"/>
        </w:rPr>
        <w:t xml:space="preserve"> e </w:t>
      </w:r>
      <w:r w:rsidR="00737270" w:rsidRPr="00D5464D">
        <w:rPr>
          <w:rFonts w:eastAsia="Batang" w:cs="Times"/>
          <w:szCs w:val="24"/>
          <w:lang w:val="pt-BR" w:eastAsia="es-ES"/>
        </w:rPr>
        <w:t>suas conclusões</w:t>
      </w:r>
      <w:r w:rsidR="000A52D5" w:rsidRPr="00D5464D">
        <w:rPr>
          <w:rFonts w:eastAsia="Batang" w:cs="Times"/>
          <w:szCs w:val="24"/>
          <w:lang w:val="pt-BR" w:eastAsia="es-ES"/>
        </w:rPr>
        <w:t xml:space="preserve">, </w:t>
      </w:r>
      <w:r w:rsidR="00547C8F" w:rsidRPr="00D5464D">
        <w:rPr>
          <w:rFonts w:eastAsia="Batang" w:cs="Times"/>
          <w:szCs w:val="24"/>
          <w:lang w:val="pt-BR" w:eastAsia="es-ES"/>
        </w:rPr>
        <w:t>que</w:t>
      </w:r>
      <w:r w:rsidR="00B92BD0" w:rsidRPr="00D5464D">
        <w:rPr>
          <w:rFonts w:eastAsia="Batang" w:cs="Times"/>
          <w:szCs w:val="24"/>
          <w:lang w:val="pt-BR" w:eastAsia="es-ES"/>
        </w:rPr>
        <w:t xml:space="preserve"> será </w:t>
      </w:r>
      <w:r w:rsidR="00547C8F" w:rsidRPr="00D5464D">
        <w:rPr>
          <w:rFonts w:eastAsia="Batang" w:cs="Times"/>
          <w:szCs w:val="24"/>
          <w:lang w:val="pt-BR" w:eastAsia="es-ES"/>
        </w:rPr>
        <w:t xml:space="preserve">então </w:t>
      </w:r>
      <w:r w:rsidR="00B92BD0" w:rsidRPr="00D5464D">
        <w:rPr>
          <w:rFonts w:eastAsia="Batang" w:cs="Times"/>
          <w:szCs w:val="24"/>
          <w:lang w:val="pt-BR" w:eastAsia="es-ES"/>
        </w:rPr>
        <w:t xml:space="preserve">encaminhado </w:t>
      </w:r>
      <w:r w:rsidRPr="00D5464D">
        <w:rPr>
          <w:rFonts w:eastAsia="Batang" w:cs="Times"/>
          <w:szCs w:val="24"/>
          <w:lang w:val="pt-BR" w:eastAsia="es-ES"/>
        </w:rPr>
        <w:t xml:space="preserve">ao </w:t>
      </w:r>
      <w:r w:rsidR="000A52D5" w:rsidRPr="00D5464D">
        <w:rPr>
          <w:rFonts w:eastAsia="Batang" w:cs="Times"/>
          <w:szCs w:val="24"/>
          <w:lang w:val="pt-BR" w:eastAsia="es-ES"/>
        </w:rPr>
        <w:t xml:space="preserve">Estado </w:t>
      </w:r>
      <w:r w:rsidR="002C330E" w:rsidRPr="00D5464D">
        <w:rPr>
          <w:rFonts w:eastAsia="Batang" w:cs="Times"/>
          <w:szCs w:val="24"/>
          <w:lang w:val="pt-BR" w:eastAsia="es-ES"/>
        </w:rPr>
        <w:t>interessad</w:t>
      </w:r>
      <w:r w:rsidR="000A52D5" w:rsidRPr="00D5464D">
        <w:rPr>
          <w:rFonts w:eastAsia="Batang" w:cs="Times"/>
          <w:szCs w:val="24"/>
          <w:lang w:val="pt-BR" w:eastAsia="es-ES"/>
        </w:rPr>
        <w:t>o. Este documento</w:t>
      </w:r>
      <w:r w:rsidRPr="00D5464D">
        <w:rPr>
          <w:rFonts w:eastAsia="Batang" w:cs="Times"/>
          <w:szCs w:val="24"/>
          <w:lang w:val="pt-BR" w:eastAsia="es-ES"/>
        </w:rPr>
        <w:t xml:space="preserve"> </w:t>
      </w:r>
      <w:r w:rsidR="00B92BD0" w:rsidRPr="00D5464D">
        <w:rPr>
          <w:rFonts w:eastAsia="Batang" w:cs="Times"/>
          <w:szCs w:val="24"/>
          <w:lang w:val="pt-BR" w:eastAsia="es-ES"/>
        </w:rPr>
        <w:t xml:space="preserve">possui </w:t>
      </w:r>
      <w:r w:rsidRPr="00D5464D">
        <w:rPr>
          <w:rFonts w:eastAsia="Batang" w:cs="Times"/>
          <w:szCs w:val="24"/>
          <w:lang w:val="pt-BR" w:eastAsia="es-ES"/>
        </w:rPr>
        <w:t>caráter</w:t>
      </w:r>
      <w:r w:rsidR="000A52D5" w:rsidRPr="00D5464D">
        <w:rPr>
          <w:rFonts w:eastAsia="Batang" w:cs="Times"/>
          <w:szCs w:val="24"/>
          <w:lang w:val="pt-BR" w:eastAsia="es-ES"/>
        </w:rPr>
        <w:t xml:space="preserve"> preliminar,</w:t>
      </w:r>
      <w:r w:rsidR="002C330E" w:rsidRPr="00D5464D">
        <w:rPr>
          <w:rFonts w:eastAsia="Batang" w:cs="Times"/>
          <w:szCs w:val="24"/>
          <w:lang w:val="pt-BR" w:eastAsia="es-ES"/>
        </w:rPr>
        <w:t xml:space="preserve"> </w:t>
      </w:r>
      <w:r w:rsidR="00B92BD0" w:rsidRPr="00D5464D">
        <w:rPr>
          <w:rFonts w:eastAsia="Batang" w:cs="Times"/>
          <w:szCs w:val="24"/>
          <w:lang w:val="pt-BR" w:eastAsia="es-ES"/>
        </w:rPr>
        <w:t xml:space="preserve">de modo </w:t>
      </w:r>
      <w:r w:rsidR="002C330E" w:rsidRPr="00D5464D">
        <w:rPr>
          <w:rFonts w:eastAsia="Batang" w:cs="Times"/>
          <w:szCs w:val="24"/>
          <w:lang w:val="pt-BR" w:eastAsia="es-ES"/>
        </w:rPr>
        <w:t xml:space="preserve">que </w:t>
      </w:r>
      <w:r w:rsidRPr="00D5464D">
        <w:rPr>
          <w:rFonts w:eastAsia="Batang" w:cs="Times"/>
          <w:szCs w:val="24"/>
          <w:lang w:val="pt-BR" w:eastAsia="es-ES"/>
        </w:rPr>
        <w:t>o</w:t>
      </w:r>
      <w:r w:rsidR="002C330E" w:rsidRPr="00D5464D">
        <w:rPr>
          <w:rFonts w:eastAsia="Batang" w:cs="Times"/>
          <w:szCs w:val="24"/>
          <w:lang w:val="pt-BR" w:eastAsia="es-ES"/>
        </w:rPr>
        <w:t xml:space="preserve">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w:t>
      </w:r>
      <w:r w:rsidR="000A52D5" w:rsidRPr="00D5464D">
        <w:rPr>
          <w:rFonts w:eastAsia="Batang" w:cs="Times"/>
          <w:szCs w:val="24"/>
          <w:lang w:val="pt-BR" w:eastAsia="es-ES"/>
        </w:rPr>
        <w:t>se</w:t>
      </w:r>
      <w:r w:rsidR="00B92BD0" w:rsidRPr="00D5464D">
        <w:rPr>
          <w:rFonts w:eastAsia="Batang" w:cs="Times"/>
          <w:szCs w:val="24"/>
          <w:lang w:val="pt-BR" w:eastAsia="es-ES"/>
        </w:rPr>
        <w:t xml:space="preserve">rá transmitido </w:t>
      </w:r>
      <w:r w:rsidRPr="00D5464D">
        <w:rPr>
          <w:rFonts w:eastAsia="Batang" w:cs="Times"/>
          <w:szCs w:val="24"/>
          <w:lang w:val="pt-BR" w:eastAsia="es-ES"/>
        </w:rPr>
        <w:t xml:space="preserve">com </w:t>
      </w:r>
      <w:r w:rsidR="00B92BD0" w:rsidRPr="00D5464D">
        <w:rPr>
          <w:rFonts w:eastAsia="Batang" w:cs="Times"/>
          <w:szCs w:val="24"/>
          <w:lang w:val="pt-BR" w:eastAsia="es-ES"/>
        </w:rPr>
        <w:t xml:space="preserve">caráter </w:t>
      </w:r>
      <w:r w:rsidR="000A52D5" w:rsidRPr="00D5464D">
        <w:rPr>
          <w:rFonts w:eastAsia="Batang" w:cs="Times"/>
          <w:szCs w:val="24"/>
          <w:lang w:val="pt-BR" w:eastAsia="es-ES"/>
        </w:rPr>
        <w:t>reservado</w:t>
      </w:r>
      <w:r w:rsidRPr="00D5464D">
        <w:rPr>
          <w:rFonts w:eastAsia="Batang" w:cs="Times"/>
          <w:szCs w:val="24"/>
          <w:lang w:val="pt-BR" w:eastAsia="es-ES"/>
        </w:rPr>
        <w:t xml:space="preserve"> ao </w:t>
      </w:r>
      <w:r w:rsidR="000A52D5" w:rsidRPr="00D5464D">
        <w:rPr>
          <w:rFonts w:eastAsia="Batang" w:cs="Times"/>
          <w:szCs w:val="24"/>
          <w:lang w:val="pt-BR" w:eastAsia="es-ES"/>
        </w:rPr>
        <w:t xml:space="preserve">Estado </w:t>
      </w:r>
      <w:r w:rsidR="00B92BD0" w:rsidRPr="00D5464D">
        <w:rPr>
          <w:rFonts w:eastAsia="Batang" w:cs="Times"/>
          <w:szCs w:val="24"/>
          <w:lang w:val="pt-BR" w:eastAsia="es-ES"/>
        </w:rPr>
        <w:t xml:space="preserve">para </w:t>
      </w:r>
      <w:r w:rsidR="000A52D5" w:rsidRPr="00D5464D">
        <w:rPr>
          <w:rFonts w:eastAsia="Batang" w:cs="Times"/>
          <w:szCs w:val="24"/>
          <w:lang w:val="pt-BR" w:eastAsia="es-ES"/>
        </w:rPr>
        <w:t xml:space="preserve">que </w:t>
      </w:r>
      <w:r w:rsidRPr="00D5464D">
        <w:rPr>
          <w:rFonts w:eastAsia="Batang" w:cs="Times"/>
          <w:szCs w:val="24"/>
          <w:lang w:val="pt-BR" w:eastAsia="es-ES"/>
        </w:rPr>
        <w:t>adot</w:t>
      </w:r>
      <w:r w:rsidR="000A52D5" w:rsidRPr="00D5464D">
        <w:rPr>
          <w:rFonts w:eastAsia="Batang" w:cs="Times"/>
          <w:szCs w:val="24"/>
          <w:lang w:val="pt-BR" w:eastAsia="es-ES"/>
        </w:rPr>
        <w:t>e</w:t>
      </w:r>
      <w:r w:rsidR="002C330E" w:rsidRPr="00D5464D">
        <w:rPr>
          <w:rFonts w:eastAsia="Batang" w:cs="Times"/>
          <w:szCs w:val="24"/>
          <w:lang w:val="pt-BR" w:eastAsia="es-ES"/>
        </w:rPr>
        <w:t xml:space="preserve"> as </w:t>
      </w:r>
      <w:r w:rsidR="000A52D5" w:rsidRPr="00D5464D">
        <w:rPr>
          <w:rFonts w:eastAsia="Batang" w:cs="Times"/>
          <w:szCs w:val="24"/>
          <w:lang w:val="pt-BR" w:eastAsia="es-ES"/>
        </w:rPr>
        <w:t>proposi</w:t>
      </w:r>
      <w:r w:rsidRPr="00D5464D">
        <w:rPr>
          <w:rFonts w:eastAsia="Batang" w:cs="Times"/>
          <w:szCs w:val="24"/>
          <w:lang w:val="pt-BR" w:eastAsia="es-ES"/>
        </w:rPr>
        <w:t>ções</w:t>
      </w:r>
      <w:r w:rsidR="00E045D9" w:rsidRPr="00D5464D">
        <w:rPr>
          <w:rFonts w:eastAsia="Batang" w:cs="Times"/>
          <w:szCs w:val="24"/>
          <w:lang w:val="pt-BR" w:eastAsia="es-ES"/>
        </w:rPr>
        <w:t xml:space="preserve"> e </w:t>
      </w:r>
      <w:r w:rsidR="000A52D5" w:rsidRPr="00D5464D">
        <w:rPr>
          <w:rFonts w:eastAsia="Batang" w:cs="Times"/>
          <w:szCs w:val="24"/>
          <w:lang w:val="pt-BR" w:eastAsia="es-ES"/>
        </w:rPr>
        <w:t>recomenda</w:t>
      </w:r>
      <w:r w:rsidRPr="00D5464D">
        <w:rPr>
          <w:rFonts w:eastAsia="Batang" w:cs="Times"/>
          <w:szCs w:val="24"/>
          <w:lang w:val="pt-BR" w:eastAsia="es-ES"/>
        </w:rPr>
        <w:t>ções da Comissão</w:t>
      </w:r>
      <w:r w:rsidR="00E045D9" w:rsidRPr="00D5464D">
        <w:rPr>
          <w:rFonts w:eastAsia="Batang" w:cs="Times"/>
          <w:szCs w:val="24"/>
          <w:lang w:val="pt-BR" w:eastAsia="es-ES"/>
        </w:rPr>
        <w:t xml:space="preserve"> e </w:t>
      </w:r>
      <w:r w:rsidR="000A52D5" w:rsidRPr="00D5464D">
        <w:rPr>
          <w:rFonts w:eastAsia="Batang" w:cs="Times"/>
          <w:szCs w:val="24"/>
          <w:lang w:val="pt-BR" w:eastAsia="es-ES"/>
        </w:rPr>
        <w:t>solucione</w:t>
      </w:r>
      <w:r w:rsidRPr="00D5464D">
        <w:rPr>
          <w:rFonts w:eastAsia="Batang" w:cs="Times"/>
          <w:szCs w:val="24"/>
          <w:lang w:val="pt-BR" w:eastAsia="es-ES"/>
        </w:rPr>
        <w:t xml:space="preserve"> o </w:t>
      </w:r>
      <w:r w:rsidR="000A52D5" w:rsidRPr="00D5464D">
        <w:rPr>
          <w:rFonts w:eastAsia="Batang" w:cs="Times"/>
          <w:szCs w:val="24"/>
          <w:lang w:val="pt-BR" w:eastAsia="es-ES"/>
        </w:rPr>
        <w:t>problema</w:t>
      </w:r>
      <w:r w:rsidR="00B92BD0" w:rsidRPr="00D5464D">
        <w:rPr>
          <w:rFonts w:eastAsia="Batang" w:cs="Times"/>
          <w:szCs w:val="24"/>
          <w:lang w:val="pt-BR" w:eastAsia="es-ES"/>
        </w:rPr>
        <w:t xml:space="preserve"> em questão</w:t>
      </w:r>
      <w:r w:rsidR="00A1358C" w:rsidRPr="00D5464D">
        <w:rPr>
          <w:rFonts w:eastAsia="Batang" w:cs="Times"/>
          <w:szCs w:val="24"/>
          <w:lang w:val="pt-BR" w:eastAsia="es-ES"/>
        </w:rPr>
        <w:t xml:space="preserve">. </w:t>
      </w:r>
      <w:r w:rsidR="00B92BD0" w:rsidRPr="00D5464D">
        <w:rPr>
          <w:rFonts w:eastAsia="Batang" w:cs="Times"/>
          <w:szCs w:val="24"/>
          <w:lang w:val="pt-BR" w:eastAsia="es-ES"/>
        </w:rPr>
        <w:t xml:space="preserve">O caráter </w:t>
      </w:r>
      <w:r w:rsidR="000A52D5" w:rsidRPr="00D5464D">
        <w:rPr>
          <w:rFonts w:eastAsia="Batang" w:cs="Times"/>
          <w:szCs w:val="24"/>
          <w:lang w:val="pt-BR" w:eastAsia="es-ES"/>
        </w:rPr>
        <w:t>preliminar</w:t>
      </w:r>
      <w:r w:rsidR="00E045D9" w:rsidRPr="00D5464D">
        <w:rPr>
          <w:rFonts w:eastAsia="Batang" w:cs="Times"/>
          <w:szCs w:val="24"/>
          <w:lang w:val="pt-BR" w:eastAsia="es-ES"/>
        </w:rPr>
        <w:t xml:space="preserve"> e </w:t>
      </w:r>
      <w:r w:rsidR="000A52D5" w:rsidRPr="00D5464D">
        <w:rPr>
          <w:rFonts w:eastAsia="Batang" w:cs="Times"/>
          <w:szCs w:val="24"/>
          <w:lang w:val="pt-BR" w:eastAsia="es-ES"/>
        </w:rPr>
        <w:t xml:space="preserve">reservado </w:t>
      </w:r>
      <w:r w:rsidRPr="00D5464D">
        <w:rPr>
          <w:rFonts w:eastAsia="Batang" w:cs="Times"/>
          <w:szCs w:val="24"/>
          <w:lang w:val="pt-BR" w:eastAsia="es-ES"/>
        </w:rPr>
        <w:t xml:space="preserve">do </w:t>
      </w:r>
      <w:r w:rsidR="000A52D5" w:rsidRPr="00D5464D">
        <w:rPr>
          <w:rFonts w:eastAsia="Batang" w:cs="Times"/>
          <w:szCs w:val="24"/>
          <w:lang w:val="pt-BR" w:eastAsia="es-ES"/>
        </w:rPr>
        <w:t>documento</w:t>
      </w:r>
      <w:r w:rsidR="004511EC" w:rsidRPr="00D5464D">
        <w:rPr>
          <w:rFonts w:eastAsia="Batang" w:cs="Times"/>
          <w:szCs w:val="24"/>
          <w:lang w:val="pt-BR" w:eastAsia="es-ES"/>
        </w:rPr>
        <w:t xml:space="preserve"> faz</w:t>
      </w:r>
      <w:r w:rsidR="00230C71" w:rsidRPr="00D5464D">
        <w:rPr>
          <w:rFonts w:eastAsia="Batang" w:cs="Times"/>
          <w:szCs w:val="24"/>
          <w:lang w:val="pt-BR" w:eastAsia="es-ES"/>
        </w:rPr>
        <w:t xml:space="preserve"> </w:t>
      </w:r>
      <w:r w:rsidR="00B92BD0" w:rsidRPr="00D5464D">
        <w:rPr>
          <w:rFonts w:eastAsia="Batang" w:cs="Times"/>
          <w:szCs w:val="24"/>
          <w:lang w:val="pt-BR" w:eastAsia="es-ES"/>
        </w:rPr>
        <w:t xml:space="preserve">com </w:t>
      </w:r>
      <w:r w:rsidR="000A52D5" w:rsidRPr="00D5464D">
        <w:rPr>
          <w:rFonts w:eastAsia="Batang" w:cs="Times"/>
          <w:szCs w:val="24"/>
          <w:lang w:val="pt-BR" w:eastAsia="es-ES"/>
        </w:rPr>
        <w:t>que</w:t>
      </w:r>
      <w:r w:rsidRPr="00D5464D">
        <w:rPr>
          <w:rFonts w:eastAsia="Batang" w:cs="Times"/>
          <w:szCs w:val="24"/>
          <w:lang w:val="pt-BR" w:eastAsia="es-ES"/>
        </w:rPr>
        <w:t xml:space="preserve"> o </w:t>
      </w:r>
      <w:r w:rsidR="000A52D5" w:rsidRPr="00D5464D">
        <w:rPr>
          <w:rFonts w:eastAsia="Batang" w:cs="Times"/>
          <w:szCs w:val="24"/>
          <w:lang w:val="pt-BR" w:eastAsia="es-ES"/>
        </w:rPr>
        <w:t xml:space="preserve">Estado </w:t>
      </w:r>
      <w:r w:rsidR="00737270" w:rsidRPr="00D5464D">
        <w:rPr>
          <w:rFonts w:eastAsia="Batang" w:cs="Times"/>
          <w:szCs w:val="24"/>
          <w:lang w:val="pt-BR" w:eastAsia="es-ES"/>
        </w:rPr>
        <w:t>não tenha</w:t>
      </w:r>
      <w:r w:rsidR="002C330E" w:rsidRPr="00D5464D">
        <w:rPr>
          <w:rFonts w:eastAsia="Batang" w:cs="Times"/>
          <w:szCs w:val="24"/>
          <w:lang w:val="pt-BR" w:eastAsia="es-ES"/>
        </w:rPr>
        <w:t xml:space="preserve"> a </w:t>
      </w:r>
      <w:r w:rsidRPr="00D5464D">
        <w:rPr>
          <w:rFonts w:eastAsia="Batang" w:cs="Times"/>
          <w:szCs w:val="24"/>
          <w:lang w:val="pt-BR" w:eastAsia="es-ES"/>
        </w:rPr>
        <w:t xml:space="preserve">faculdade </w:t>
      </w:r>
      <w:r w:rsidR="000A52D5" w:rsidRPr="00D5464D">
        <w:rPr>
          <w:rFonts w:eastAsia="Batang" w:cs="Times"/>
          <w:szCs w:val="24"/>
          <w:lang w:val="pt-BR" w:eastAsia="es-ES"/>
        </w:rPr>
        <w:t xml:space="preserve">de </w:t>
      </w:r>
      <w:r w:rsidR="00C16021" w:rsidRPr="00D5464D">
        <w:rPr>
          <w:rFonts w:eastAsia="Batang" w:cs="Times"/>
          <w:szCs w:val="24"/>
          <w:lang w:val="pt-BR" w:eastAsia="es-ES"/>
        </w:rPr>
        <w:t>publicá-lo</w:t>
      </w:r>
      <w:r w:rsidR="0073301F" w:rsidRPr="00D5464D">
        <w:rPr>
          <w:rFonts w:eastAsia="Batang" w:cs="Times"/>
          <w:szCs w:val="24"/>
          <w:lang w:val="pt-BR" w:eastAsia="es-ES"/>
        </w:rPr>
        <w:t>. De igual modo</w:t>
      </w:r>
      <w:r w:rsidR="00EB1CE9" w:rsidRPr="00D5464D">
        <w:rPr>
          <w:rFonts w:eastAsia="Batang" w:cs="Times"/>
          <w:szCs w:val="24"/>
          <w:lang w:val="pt-BR" w:eastAsia="es-ES"/>
        </w:rPr>
        <w:t xml:space="preserve">, </w:t>
      </w:r>
      <w:r w:rsidRPr="00D5464D">
        <w:rPr>
          <w:rFonts w:eastAsia="Batang" w:cs="Times"/>
          <w:szCs w:val="24"/>
          <w:lang w:val="pt-BR" w:eastAsia="es-ES"/>
        </w:rPr>
        <w:t xml:space="preserve">em </w:t>
      </w:r>
      <w:r w:rsidR="002C330E" w:rsidRPr="00D5464D">
        <w:rPr>
          <w:rFonts w:eastAsia="Batang" w:cs="Times"/>
          <w:szCs w:val="24"/>
          <w:lang w:val="pt-BR" w:eastAsia="es-ES"/>
        </w:rPr>
        <w:t>observância</w:t>
      </w:r>
      <w:r w:rsidR="00E045D9" w:rsidRPr="00D5464D">
        <w:rPr>
          <w:rFonts w:eastAsia="Batang" w:cs="Times"/>
          <w:szCs w:val="24"/>
          <w:lang w:val="pt-BR" w:eastAsia="es-ES"/>
        </w:rPr>
        <w:t xml:space="preserve"> </w:t>
      </w:r>
      <w:r w:rsidR="008E6352" w:rsidRPr="00D5464D">
        <w:rPr>
          <w:rFonts w:eastAsia="Batang" w:cs="Times"/>
          <w:szCs w:val="24"/>
          <w:lang w:val="pt-BR" w:eastAsia="es-ES"/>
        </w:rPr>
        <w:t>aos</w:t>
      </w:r>
      <w:r w:rsidR="00E045D9" w:rsidRPr="00D5464D">
        <w:rPr>
          <w:rFonts w:eastAsia="Batang" w:cs="Times"/>
          <w:szCs w:val="24"/>
          <w:lang w:val="pt-BR" w:eastAsia="es-ES"/>
        </w:rPr>
        <w:t xml:space="preserve"> </w:t>
      </w:r>
      <w:r w:rsidR="002C330E" w:rsidRPr="00D5464D">
        <w:rPr>
          <w:rFonts w:eastAsia="Batang" w:cs="Times"/>
          <w:szCs w:val="24"/>
          <w:lang w:val="pt-BR" w:eastAsia="es-ES"/>
        </w:rPr>
        <w:t>princípio</w:t>
      </w:r>
      <w:r w:rsidR="000A52D5" w:rsidRPr="00D5464D">
        <w:rPr>
          <w:rFonts w:eastAsia="Batang" w:cs="Times"/>
          <w:szCs w:val="24"/>
          <w:lang w:val="pt-BR" w:eastAsia="es-ES"/>
        </w:rPr>
        <w:t xml:space="preserve">s de </w:t>
      </w:r>
      <w:r w:rsidR="002C330E" w:rsidRPr="00D5464D">
        <w:rPr>
          <w:rFonts w:eastAsia="Batang" w:cs="Times"/>
          <w:szCs w:val="24"/>
          <w:lang w:val="pt-BR" w:eastAsia="es-ES"/>
        </w:rPr>
        <w:t>igualdade</w:t>
      </w:r>
      <w:r w:rsidR="00E045D9" w:rsidRPr="00D5464D">
        <w:rPr>
          <w:rFonts w:eastAsia="Batang" w:cs="Times"/>
          <w:szCs w:val="24"/>
          <w:lang w:val="pt-BR" w:eastAsia="es-ES"/>
        </w:rPr>
        <w:t xml:space="preserve"> e </w:t>
      </w:r>
      <w:r w:rsidRPr="00D5464D">
        <w:rPr>
          <w:rFonts w:eastAsia="Batang" w:cs="Times"/>
          <w:szCs w:val="24"/>
          <w:lang w:val="pt-BR" w:eastAsia="es-ES"/>
        </w:rPr>
        <w:t>equilíbrio</w:t>
      </w:r>
      <w:r w:rsidR="000A52D5" w:rsidRPr="00D5464D">
        <w:rPr>
          <w:rFonts w:eastAsia="Batang" w:cs="Times"/>
          <w:szCs w:val="24"/>
          <w:lang w:val="pt-BR" w:eastAsia="es-ES"/>
        </w:rPr>
        <w:t xml:space="preserve"> </w:t>
      </w:r>
      <w:r w:rsidR="002C330E" w:rsidRPr="00D5464D">
        <w:rPr>
          <w:rFonts w:eastAsia="Batang" w:cs="Times"/>
          <w:szCs w:val="24"/>
          <w:lang w:val="pt-BR" w:eastAsia="es-ES"/>
        </w:rPr>
        <w:t xml:space="preserve">processual </w:t>
      </w:r>
      <w:r w:rsidRPr="00D5464D">
        <w:rPr>
          <w:rFonts w:eastAsia="Batang" w:cs="Times"/>
          <w:szCs w:val="24"/>
          <w:lang w:val="pt-BR" w:eastAsia="es-ES"/>
        </w:rPr>
        <w:t xml:space="preserve">das </w:t>
      </w:r>
      <w:r w:rsidR="000A52D5" w:rsidRPr="00D5464D">
        <w:rPr>
          <w:rFonts w:eastAsia="Batang" w:cs="Times"/>
          <w:szCs w:val="24"/>
          <w:lang w:val="pt-BR" w:eastAsia="es-ES"/>
        </w:rPr>
        <w:t>partes,</w:t>
      </w:r>
      <w:r w:rsidRPr="00D5464D">
        <w:rPr>
          <w:rFonts w:eastAsia="Batang" w:cs="Times"/>
          <w:szCs w:val="24"/>
          <w:lang w:val="pt-BR" w:eastAsia="es-ES"/>
        </w:rPr>
        <w:t xml:space="preserve"> é </w:t>
      </w:r>
      <w:r w:rsidR="002C330E" w:rsidRPr="00D5464D">
        <w:rPr>
          <w:rFonts w:eastAsia="Batang" w:cs="Times"/>
          <w:szCs w:val="24"/>
          <w:lang w:val="pt-BR" w:eastAsia="es-ES"/>
        </w:rPr>
        <w:t xml:space="preserve">razoável </w:t>
      </w:r>
      <w:r w:rsidR="000A52D5" w:rsidRPr="00D5464D">
        <w:rPr>
          <w:rFonts w:eastAsia="Batang" w:cs="Times"/>
          <w:szCs w:val="24"/>
          <w:lang w:val="pt-BR" w:eastAsia="es-ES"/>
        </w:rPr>
        <w:t>considerar que</w:t>
      </w:r>
      <w:r w:rsidR="002C330E" w:rsidRPr="00D5464D">
        <w:rPr>
          <w:rFonts w:eastAsia="Batang" w:cs="Times"/>
          <w:szCs w:val="24"/>
          <w:lang w:val="pt-BR" w:eastAsia="es-ES"/>
        </w:rPr>
        <w:t xml:space="preserve"> a </w:t>
      </w:r>
      <w:r w:rsidRPr="00D5464D">
        <w:rPr>
          <w:rFonts w:eastAsia="Batang" w:cs="Times"/>
          <w:szCs w:val="24"/>
          <w:lang w:val="pt-BR" w:eastAsia="es-ES"/>
        </w:rPr>
        <w:t>Comissão</w:t>
      </w:r>
      <w:r w:rsidR="000A52D5" w:rsidRPr="00D5464D">
        <w:rPr>
          <w:rFonts w:eastAsia="Batang" w:cs="Times"/>
          <w:szCs w:val="24"/>
          <w:lang w:val="pt-BR" w:eastAsia="es-ES"/>
        </w:rPr>
        <w:t xml:space="preserve"> tam</w:t>
      </w:r>
      <w:r w:rsidR="002C330E" w:rsidRPr="00D5464D">
        <w:rPr>
          <w:rFonts w:eastAsia="Batang" w:cs="Times"/>
          <w:szCs w:val="24"/>
          <w:lang w:val="pt-BR" w:eastAsia="es-ES"/>
        </w:rPr>
        <w:t xml:space="preserve">pouco </w:t>
      </w:r>
      <w:r w:rsidR="008E6352" w:rsidRPr="00D5464D">
        <w:rPr>
          <w:rFonts w:eastAsia="Batang" w:cs="Times"/>
          <w:szCs w:val="24"/>
          <w:lang w:val="pt-BR" w:eastAsia="es-ES"/>
        </w:rPr>
        <w:t xml:space="preserve">possui </w:t>
      </w:r>
      <w:r w:rsidR="00B92BD0" w:rsidRPr="00D5464D">
        <w:rPr>
          <w:rFonts w:eastAsia="Batang" w:cs="Times"/>
          <w:szCs w:val="24"/>
          <w:lang w:val="pt-BR" w:eastAsia="es-ES"/>
        </w:rPr>
        <w:t xml:space="preserve">a </w:t>
      </w:r>
      <w:r w:rsidR="002C330E" w:rsidRPr="00D5464D">
        <w:rPr>
          <w:rFonts w:eastAsia="Batang" w:cs="Times"/>
          <w:szCs w:val="24"/>
          <w:lang w:val="pt-BR" w:eastAsia="es-ES"/>
        </w:rPr>
        <w:t xml:space="preserve">possibilidade </w:t>
      </w:r>
      <w:r w:rsidR="000A52D5" w:rsidRPr="00D5464D">
        <w:rPr>
          <w:rFonts w:eastAsia="Batang" w:cs="Times"/>
          <w:szCs w:val="24"/>
          <w:lang w:val="pt-BR" w:eastAsia="es-ES"/>
        </w:rPr>
        <w:t>material</w:t>
      </w:r>
      <w:r w:rsidR="00E045D9" w:rsidRPr="00D5464D">
        <w:rPr>
          <w:rFonts w:eastAsia="Batang" w:cs="Times"/>
          <w:szCs w:val="24"/>
          <w:lang w:val="pt-BR" w:eastAsia="es-ES"/>
        </w:rPr>
        <w:t xml:space="preserve"> e </w:t>
      </w:r>
      <w:r w:rsidR="000A52D5" w:rsidRPr="00D5464D">
        <w:rPr>
          <w:rFonts w:eastAsia="Batang" w:cs="Times"/>
          <w:szCs w:val="24"/>
          <w:lang w:val="pt-BR" w:eastAsia="es-ES"/>
        </w:rPr>
        <w:t>jurídica de publicar</w:t>
      </w:r>
      <w:r w:rsidRPr="00D5464D">
        <w:rPr>
          <w:rFonts w:eastAsia="Batang" w:cs="Times"/>
          <w:szCs w:val="24"/>
          <w:lang w:val="pt-BR" w:eastAsia="es-ES"/>
        </w:rPr>
        <w:t xml:space="preserve"> esse</w:t>
      </w:r>
      <w:r w:rsidR="002C330E" w:rsidRPr="00D5464D">
        <w:rPr>
          <w:rFonts w:eastAsia="Batang" w:cs="Times"/>
          <w:szCs w:val="24"/>
          <w:lang w:val="pt-BR" w:eastAsia="es-ES"/>
        </w:rPr>
        <w:t xml:space="preserve">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w:t>
      </w:r>
      <w:r w:rsidR="000A52D5" w:rsidRPr="00D5464D">
        <w:rPr>
          <w:rFonts w:eastAsia="Batang" w:cs="Times"/>
          <w:szCs w:val="24"/>
          <w:lang w:val="pt-BR" w:eastAsia="es-ES"/>
        </w:rPr>
        <w:t>preliminar</w:t>
      </w:r>
      <w:r w:rsidR="00B92BD0" w:rsidRPr="00D5464D">
        <w:rPr>
          <w:rFonts w:eastAsia="Batang" w:cs="Times"/>
          <w:szCs w:val="24"/>
          <w:lang w:val="pt-BR" w:eastAsia="es-ES"/>
        </w:rPr>
        <w:t>.</w:t>
      </w:r>
      <w:r w:rsidR="000A52D5" w:rsidRPr="00D5464D">
        <w:rPr>
          <w:rFonts w:eastAsia="Batang" w:cs="Times"/>
          <w:szCs w:val="24"/>
          <w:vertAlign w:val="superscript"/>
          <w:lang w:val="pt-BR" w:eastAsia="es-ES"/>
        </w:rPr>
        <w:footnoteReference w:id="21"/>
      </w:r>
      <w:r w:rsidR="00FF1290" w:rsidRPr="00D5464D">
        <w:rPr>
          <w:rFonts w:eastAsia="Batang" w:cs="Times"/>
          <w:szCs w:val="24"/>
          <w:lang w:val="pt-BR" w:eastAsia="es-ES"/>
        </w:rPr>
        <w:t xml:space="preserve"> </w:t>
      </w:r>
    </w:p>
    <w:p w14:paraId="085E53A3" w14:textId="77777777" w:rsidR="000A52D5" w:rsidRPr="00D5464D" w:rsidRDefault="000A52D5" w:rsidP="00140440">
      <w:pPr>
        <w:tabs>
          <w:tab w:val="clear" w:pos="4419"/>
          <w:tab w:val="clear" w:pos="8838"/>
        </w:tabs>
        <w:jc w:val="both"/>
        <w:rPr>
          <w:rFonts w:eastAsia="Batang" w:cs="Times"/>
          <w:szCs w:val="24"/>
          <w:lang w:val="pt-BR" w:eastAsia="es-ES"/>
        </w:rPr>
      </w:pPr>
    </w:p>
    <w:p w14:paraId="25BB37E2" w14:textId="1EC8AF13" w:rsidR="000A52D5" w:rsidRPr="00D5464D" w:rsidRDefault="000A52D5"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Una vez </w:t>
      </w:r>
      <w:r w:rsidR="00A1358C" w:rsidRPr="00D5464D">
        <w:rPr>
          <w:rFonts w:eastAsia="Batang" w:cs="Times"/>
          <w:szCs w:val="24"/>
          <w:lang w:val="pt-BR" w:eastAsia="es-ES"/>
        </w:rPr>
        <w:t>transcorrido</w:t>
      </w:r>
      <w:r w:rsidR="00E045D9" w:rsidRPr="00D5464D">
        <w:rPr>
          <w:rFonts w:eastAsia="Batang" w:cs="Times"/>
          <w:szCs w:val="24"/>
          <w:lang w:val="pt-BR" w:eastAsia="es-ES"/>
        </w:rPr>
        <w:t xml:space="preserve"> um </w:t>
      </w:r>
      <w:r w:rsidR="002C330E" w:rsidRPr="00D5464D">
        <w:rPr>
          <w:rFonts w:eastAsia="Batang" w:cs="Times"/>
          <w:szCs w:val="24"/>
          <w:lang w:val="pt-BR" w:eastAsia="es-ES"/>
        </w:rPr>
        <w:t>prazo</w:t>
      </w:r>
      <w:r w:rsidRPr="00D5464D">
        <w:rPr>
          <w:rFonts w:eastAsia="Batang" w:cs="Times"/>
          <w:szCs w:val="24"/>
          <w:lang w:val="pt-BR" w:eastAsia="es-ES"/>
        </w:rPr>
        <w:t xml:space="preserve"> de</w:t>
      </w:r>
      <w:r w:rsidR="00E045D9" w:rsidRPr="00D5464D">
        <w:rPr>
          <w:rFonts w:eastAsia="Batang" w:cs="Times"/>
          <w:szCs w:val="24"/>
          <w:lang w:val="pt-BR" w:eastAsia="es-ES"/>
        </w:rPr>
        <w:t xml:space="preserve"> três </w:t>
      </w:r>
      <w:r w:rsidRPr="00D5464D">
        <w:rPr>
          <w:rFonts w:eastAsia="Batang" w:cs="Times"/>
          <w:szCs w:val="24"/>
          <w:lang w:val="pt-BR" w:eastAsia="es-ES"/>
        </w:rPr>
        <w:t>meses,</w:t>
      </w:r>
      <w:r w:rsidR="002C330E" w:rsidRPr="00D5464D">
        <w:rPr>
          <w:rFonts w:eastAsia="Batang" w:cs="Times"/>
          <w:szCs w:val="24"/>
          <w:lang w:val="pt-BR" w:eastAsia="es-ES"/>
        </w:rPr>
        <w:t xml:space="preserve"> </w:t>
      </w:r>
      <w:r w:rsidR="00B92BD0" w:rsidRPr="00D5464D">
        <w:rPr>
          <w:rFonts w:eastAsia="Batang" w:cs="Times"/>
          <w:szCs w:val="24"/>
          <w:lang w:val="pt-BR" w:eastAsia="es-ES"/>
        </w:rPr>
        <w:t>caso</w:t>
      </w:r>
      <w:r w:rsidR="002C330E" w:rsidRPr="00D5464D">
        <w:rPr>
          <w:rFonts w:eastAsia="Batang" w:cs="Times"/>
          <w:szCs w:val="24"/>
          <w:lang w:val="pt-BR" w:eastAsia="es-ES"/>
        </w:rPr>
        <w:t xml:space="preserve"> </w:t>
      </w:r>
      <w:r w:rsidR="00470ADC" w:rsidRPr="00D5464D">
        <w:rPr>
          <w:rFonts w:eastAsia="Batang" w:cs="Times"/>
          <w:szCs w:val="24"/>
          <w:lang w:val="pt-BR" w:eastAsia="es-ES"/>
        </w:rPr>
        <w:t>o assunto</w:t>
      </w:r>
      <w:r w:rsidRPr="00D5464D">
        <w:rPr>
          <w:rFonts w:eastAsia="Batang" w:cs="Times"/>
          <w:szCs w:val="24"/>
          <w:lang w:val="pt-BR" w:eastAsia="es-ES"/>
        </w:rPr>
        <w:t xml:space="preserve"> </w:t>
      </w:r>
      <w:r w:rsidR="00737270" w:rsidRPr="00D5464D">
        <w:rPr>
          <w:rFonts w:eastAsia="Batang" w:cs="Times"/>
          <w:szCs w:val="24"/>
          <w:lang w:val="pt-BR" w:eastAsia="es-ES"/>
        </w:rPr>
        <w:t xml:space="preserve">não </w:t>
      </w:r>
      <w:r w:rsidR="00B92BD0" w:rsidRPr="00D5464D">
        <w:rPr>
          <w:rFonts w:eastAsia="Batang" w:cs="Times"/>
          <w:szCs w:val="24"/>
          <w:lang w:val="pt-BR" w:eastAsia="es-ES"/>
        </w:rPr>
        <w:t xml:space="preserve">tenha sido </w:t>
      </w:r>
      <w:r w:rsidRPr="00D5464D">
        <w:rPr>
          <w:rFonts w:eastAsia="Batang" w:cs="Times"/>
          <w:szCs w:val="24"/>
          <w:lang w:val="pt-BR" w:eastAsia="es-ES"/>
        </w:rPr>
        <w:t>solucionado</w:t>
      </w:r>
      <w:r w:rsidR="002C330E" w:rsidRPr="00D5464D">
        <w:rPr>
          <w:rFonts w:eastAsia="Batang" w:cs="Times"/>
          <w:szCs w:val="24"/>
          <w:lang w:val="pt-BR" w:eastAsia="es-ES"/>
        </w:rPr>
        <w:t xml:space="preserve"> pelo </w:t>
      </w:r>
      <w:r w:rsidRPr="00D5464D">
        <w:rPr>
          <w:rFonts w:eastAsia="Batang" w:cs="Times"/>
          <w:szCs w:val="24"/>
          <w:lang w:val="pt-BR" w:eastAsia="es-ES"/>
        </w:rPr>
        <w:t>Estado</w:t>
      </w:r>
      <w:r w:rsidR="00470ADC" w:rsidRPr="00D5464D">
        <w:rPr>
          <w:rFonts w:eastAsia="Batang" w:cs="Times"/>
          <w:szCs w:val="24"/>
          <w:lang w:val="pt-BR" w:eastAsia="es-ES"/>
        </w:rPr>
        <w:t xml:space="preserve"> ao qual </w:t>
      </w:r>
      <w:r w:rsidR="00B92BD0" w:rsidRPr="00D5464D">
        <w:rPr>
          <w:rFonts w:eastAsia="Batang" w:cs="Times"/>
          <w:szCs w:val="24"/>
          <w:lang w:val="pt-BR" w:eastAsia="es-ES"/>
        </w:rPr>
        <w:t xml:space="preserve">fora </w:t>
      </w:r>
      <w:r w:rsidRPr="00D5464D">
        <w:rPr>
          <w:rFonts w:eastAsia="Batang" w:cs="Times"/>
          <w:szCs w:val="24"/>
          <w:lang w:val="pt-BR" w:eastAsia="es-ES"/>
        </w:rPr>
        <w:t>dirigido</w:t>
      </w:r>
      <w:r w:rsidR="00470ADC" w:rsidRPr="00D5464D">
        <w:rPr>
          <w:rFonts w:eastAsia="Batang" w:cs="Times"/>
          <w:szCs w:val="24"/>
          <w:lang w:val="pt-BR" w:eastAsia="es-ES"/>
        </w:rPr>
        <w:t xml:space="preserve"> o</w:t>
      </w:r>
      <w:r w:rsidR="002C330E" w:rsidRPr="00D5464D">
        <w:rPr>
          <w:rFonts w:eastAsia="Batang" w:cs="Times"/>
          <w:szCs w:val="24"/>
          <w:lang w:val="pt-BR" w:eastAsia="es-ES"/>
        </w:rPr>
        <w:t xml:space="preserve">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w:t>
      </w:r>
      <w:r w:rsidRPr="00D5464D">
        <w:rPr>
          <w:rFonts w:eastAsia="Batang" w:cs="Times"/>
          <w:szCs w:val="24"/>
          <w:lang w:val="pt-BR" w:eastAsia="es-ES"/>
        </w:rPr>
        <w:t xml:space="preserve">preliminar, </w:t>
      </w:r>
      <w:r w:rsidR="00B92BD0" w:rsidRPr="00D5464D">
        <w:rPr>
          <w:rFonts w:eastAsia="Batang" w:cs="Times"/>
          <w:szCs w:val="24"/>
          <w:lang w:val="pt-BR" w:eastAsia="es-ES"/>
        </w:rPr>
        <w:t>em atenção à</w:t>
      </w:r>
      <w:r w:rsidR="002C330E" w:rsidRPr="00D5464D">
        <w:rPr>
          <w:rFonts w:eastAsia="Batang" w:cs="Times"/>
          <w:szCs w:val="24"/>
          <w:lang w:val="pt-BR" w:eastAsia="es-ES"/>
        </w:rPr>
        <w:t xml:space="preserve">s </w:t>
      </w:r>
      <w:r w:rsidRPr="00D5464D">
        <w:rPr>
          <w:rFonts w:eastAsia="Batang" w:cs="Times"/>
          <w:szCs w:val="24"/>
          <w:lang w:val="pt-BR" w:eastAsia="es-ES"/>
        </w:rPr>
        <w:t>proposi</w:t>
      </w:r>
      <w:r w:rsidR="00470ADC" w:rsidRPr="00D5464D">
        <w:rPr>
          <w:rFonts w:eastAsia="Batang" w:cs="Times"/>
          <w:szCs w:val="24"/>
          <w:lang w:val="pt-BR" w:eastAsia="es-ES"/>
        </w:rPr>
        <w:t>ções</w:t>
      </w:r>
      <w:r w:rsidRPr="00D5464D">
        <w:rPr>
          <w:rFonts w:eastAsia="Batang" w:cs="Times"/>
          <w:szCs w:val="24"/>
          <w:lang w:val="pt-BR" w:eastAsia="es-ES"/>
        </w:rPr>
        <w:t xml:space="preserve"> formuladas</w:t>
      </w:r>
      <w:r w:rsidR="00E045D9" w:rsidRPr="00D5464D">
        <w:rPr>
          <w:rFonts w:eastAsia="Batang" w:cs="Times"/>
          <w:szCs w:val="24"/>
          <w:lang w:val="pt-BR" w:eastAsia="es-ES"/>
        </w:rPr>
        <w:t xml:space="preserve"> no </w:t>
      </w:r>
      <w:r w:rsidR="002C330E" w:rsidRPr="00D5464D">
        <w:rPr>
          <w:rFonts w:eastAsia="Batang" w:cs="Times"/>
          <w:szCs w:val="24"/>
          <w:lang w:val="pt-BR" w:eastAsia="es-ES"/>
        </w:rPr>
        <w:t>mesm</w:t>
      </w:r>
      <w:r w:rsidRPr="00D5464D">
        <w:rPr>
          <w:rFonts w:eastAsia="Batang" w:cs="Times"/>
          <w:szCs w:val="24"/>
          <w:lang w:val="pt-BR" w:eastAsia="es-ES"/>
        </w:rPr>
        <w:t>o,</w:t>
      </w:r>
      <w:r w:rsidR="002C330E" w:rsidRPr="00D5464D">
        <w:rPr>
          <w:rFonts w:eastAsia="Batang" w:cs="Times"/>
          <w:szCs w:val="24"/>
          <w:lang w:val="pt-BR" w:eastAsia="es-ES"/>
        </w:rPr>
        <w:t xml:space="preserve"> a </w:t>
      </w:r>
      <w:r w:rsidR="00470ADC" w:rsidRPr="00D5464D">
        <w:rPr>
          <w:rFonts w:eastAsia="Batang" w:cs="Times"/>
          <w:szCs w:val="24"/>
          <w:lang w:val="pt-BR" w:eastAsia="es-ES"/>
        </w:rPr>
        <w:t>Comissão</w:t>
      </w:r>
      <w:r w:rsidRPr="00D5464D">
        <w:rPr>
          <w:rFonts w:eastAsia="Batang" w:cs="Times"/>
          <w:szCs w:val="24"/>
          <w:lang w:val="pt-BR" w:eastAsia="es-ES"/>
        </w:rPr>
        <w:t xml:space="preserve"> </w:t>
      </w:r>
      <w:r w:rsidR="008E5DD1" w:rsidRPr="00D5464D">
        <w:rPr>
          <w:rFonts w:eastAsia="Batang" w:cs="Times"/>
          <w:szCs w:val="24"/>
          <w:lang w:val="pt-BR" w:eastAsia="es-ES"/>
        </w:rPr>
        <w:t>tem a faculdade de decidir</w:t>
      </w:r>
      <w:r w:rsidR="00B92BD0" w:rsidRPr="00D5464D">
        <w:rPr>
          <w:rFonts w:eastAsia="Batang" w:cs="Times"/>
          <w:szCs w:val="24"/>
          <w:lang w:val="pt-BR" w:eastAsia="es-ES"/>
        </w:rPr>
        <w:t>,</w:t>
      </w:r>
      <w:r w:rsidRPr="00D5464D">
        <w:rPr>
          <w:rFonts w:eastAsia="Batang" w:cs="Times"/>
          <w:szCs w:val="24"/>
          <w:lang w:val="pt-BR" w:eastAsia="es-ES"/>
        </w:rPr>
        <w:t xml:space="preserve"> dentro </w:t>
      </w:r>
      <w:r w:rsidR="00E045D9" w:rsidRPr="00D5464D">
        <w:rPr>
          <w:rFonts w:eastAsia="Batang" w:cs="Times"/>
          <w:szCs w:val="24"/>
          <w:lang w:val="pt-BR" w:eastAsia="es-ES"/>
        </w:rPr>
        <w:t>deste</w:t>
      </w:r>
      <w:r w:rsidRPr="00D5464D">
        <w:rPr>
          <w:rFonts w:eastAsia="Batang" w:cs="Times"/>
          <w:szCs w:val="24"/>
          <w:lang w:val="pt-BR" w:eastAsia="es-ES"/>
        </w:rPr>
        <w:t xml:space="preserve"> período</w:t>
      </w:r>
      <w:r w:rsidR="00B92BD0" w:rsidRPr="00D5464D">
        <w:rPr>
          <w:rFonts w:eastAsia="Batang" w:cs="Times"/>
          <w:szCs w:val="24"/>
          <w:lang w:val="pt-BR" w:eastAsia="es-ES"/>
        </w:rPr>
        <w:t>,</w:t>
      </w:r>
      <w:r w:rsidR="00FF1290" w:rsidRPr="00D5464D">
        <w:rPr>
          <w:rFonts w:eastAsia="Batang" w:cs="Times"/>
          <w:szCs w:val="24"/>
          <w:lang w:val="pt-BR" w:eastAsia="es-ES"/>
        </w:rPr>
        <w:t xml:space="preserve"> </w:t>
      </w:r>
      <w:r w:rsidR="002C330E" w:rsidRPr="00D5464D">
        <w:rPr>
          <w:rFonts w:eastAsia="Batang" w:cs="Times"/>
          <w:szCs w:val="24"/>
          <w:lang w:val="pt-BR" w:eastAsia="es-ES"/>
        </w:rPr>
        <w:t xml:space="preserve">se </w:t>
      </w:r>
      <w:r w:rsidR="00C91CB1" w:rsidRPr="00D5464D">
        <w:rPr>
          <w:rFonts w:eastAsia="Batang" w:cs="Times"/>
          <w:szCs w:val="24"/>
          <w:lang w:val="pt-BR" w:eastAsia="es-ES"/>
        </w:rPr>
        <w:t>submete</w:t>
      </w:r>
      <w:r w:rsidR="00470ADC" w:rsidRPr="00D5464D">
        <w:rPr>
          <w:rFonts w:eastAsia="Batang" w:cs="Times"/>
          <w:szCs w:val="24"/>
          <w:lang w:val="pt-BR" w:eastAsia="es-ES"/>
        </w:rPr>
        <w:t xml:space="preserve"> o </w:t>
      </w:r>
      <w:r w:rsidRPr="00D5464D">
        <w:rPr>
          <w:rFonts w:eastAsia="Batang" w:cs="Times"/>
          <w:szCs w:val="24"/>
          <w:lang w:val="pt-BR" w:eastAsia="es-ES"/>
        </w:rPr>
        <w:t>caso</w:t>
      </w:r>
      <w:r w:rsidR="00470ADC" w:rsidRPr="00D5464D">
        <w:rPr>
          <w:rFonts w:eastAsia="Batang" w:cs="Times"/>
          <w:szCs w:val="24"/>
          <w:lang w:val="pt-BR" w:eastAsia="es-ES"/>
        </w:rPr>
        <w:t xml:space="preserve"> à </w:t>
      </w:r>
      <w:r w:rsidRPr="00D5464D">
        <w:rPr>
          <w:rFonts w:eastAsia="Batang" w:cs="Times"/>
          <w:szCs w:val="24"/>
          <w:lang w:val="pt-BR" w:eastAsia="es-ES"/>
        </w:rPr>
        <w:t>Corte o</w:t>
      </w:r>
      <w:r w:rsidR="00B92BD0" w:rsidRPr="00D5464D">
        <w:rPr>
          <w:rFonts w:eastAsia="Batang" w:cs="Times"/>
          <w:szCs w:val="24"/>
          <w:lang w:val="pt-BR" w:eastAsia="es-ES"/>
        </w:rPr>
        <w:t>u</w:t>
      </w:r>
      <w:r w:rsidR="002C330E" w:rsidRPr="00D5464D">
        <w:rPr>
          <w:rFonts w:eastAsia="Batang" w:cs="Times"/>
          <w:szCs w:val="24"/>
          <w:lang w:val="pt-BR" w:eastAsia="es-ES"/>
        </w:rPr>
        <w:t xml:space="preserve"> se </w:t>
      </w:r>
      <w:r w:rsidRPr="00D5464D">
        <w:rPr>
          <w:rFonts w:eastAsia="Batang" w:cs="Times"/>
          <w:szCs w:val="24"/>
          <w:lang w:val="pt-BR" w:eastAsia="es-ES"/>
        </w:rPr>
        <w:t>realiza</w:t>
      </w:r>
      <w:r w:rsidR="002C330E" w:rsidRPr="00D5464D">
        <w:rPr>
          <w:rFonts w:eastAsia="Batang" w:cs="Times"/>
          <w:szCs w:val="24"/>
          <w:lang w:val="pt-BR" w:eastAsia="es-ES"/>
        </w:rPr>
        <w:t xml:space="preserve"> a </w:t>
      </w:r>
      <w:r w:rsidRPr="00D5464D">
        <w:rPr>
          <w:rFonts w:eastAsia="Batang" w:cs="Times"/>
          <w:szCs w:val="24"/>
          <w:lang w:val="pt-BR" w:eastAsia="es-ES"/>
        </w:rPr>
        <w:t>publica</w:t>
      </w:r>
      <w:r w:rsidR="00470ADC" w:rsidRPr="00D5464D">
        <w:rPr>
          <w:rFonts w:eastAsia="Batang" w:cs="Times"/>
          <w:szCs w:val="24"/>
          <w:lang w:val="pt-BR" w:eastAsia="es-ES"/>
        </w:rPr>
        <w:t>ção</w:t>
      </w:r>
      <w:r w:rsidRPr="00D5464D">
        <w:rPr>
          <w:rFonts w:eastAsia="Batang" w:cs="Times"/>
          <w:szCs w:val="24"/>
          <w:lang w:val="pt-BR" w:eastAsia="es-ES"/>
        </w:rPr>
        <w:t xml:space="preserve"> </w:t>
      </w:r>
      <w:r w:rsidR="00470ADC" w:rsidRPr="00D5464D">
        <w:rPr>
          <w:rFonts w:eastAsia="Batang" w:cs="Times"/>
          <w:szCs w:val="24"/>
          <w:lang w:val="pt-BR" w:eastAsia="es-ES"/>
        </w:rPr>
        <w:t>do</w:t>
      </w:r>
      <w:r w:rsidR="002C330E" w:rsidRPr="00D5464D">
        <w:rPr>
          <w:rFonts w:eastAsia="Batang" w:cs="Times"/>
          <w:szCs w:val="24"/>
          <w:lang w:val="pt-BR" w:eastAsia="es-ES"/>
        </w:rPr>
        <w:t xml:space="preserve">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w:t>
      </w:r>
      <w:r w:rsidRPr="00D5464D">
        <w:rPr>
          <w:rFonts w:eastAsia="Batang" w:cs="Times"/>
          <w:szCs w:val="24"/>
          <w:lang w:val="pt-BR" w:eastAsia="es-ES"/>
        </w:rPr>
        <w:t xml:space="preserve">de </w:t>
      </w:r>
      <w:r w:rsidR="00470ADC" w:rsidRPr="00D5464D">
        <w:rPr>
          <w:rFonts w:eastAsia="Batang" w:cs="Times"/>
          <w:szCs w:val="24"/>
          <w:lang w:val="pt-BR" w:eastAsia="es-ES"/>
        </w:rPr>
        <w:t xml:space="preserve">acordo </w:t>
      </w:r>
      <w:r w:rsidR="00B92BD0" w:rsidRPr="00D5464D">
        <w:rPr>
          <w:rFonts w:eastAsia="Batang" w:cs="Times"/>
          <w:szCs w:val="24"/>
          <w:lang w:val="pt-BR" w:eastAsia="es-ES"/>
        </w:rPr>
        <w:t xml:space="preserve">com </w:t>
      </w:r>
      <w:r w:rsidR="00470ADC" w:rsidRPr="00D5464D">
        <w:rPr>
          <w:rFonts w:eastAsia="Batang" w:cs="Times"/>
          <w:szCs w:val="24"/>
          <w:lang w:val="pt-BR" w:eastAsia="es-ES"/>
        </w:rPr>
        <w:t>o artigo</w:t>
      </w:r>
      <w:r w:rsidRPr="00D5464D">
        <w:rPr>
          <w:rFonts w:eastAsia="Batang" w:cs="Times"/>
          <w:szCs w:val="24"/>
          <w:lang w:val="pt-BR" w:eastAsia="es-ES"/>
        </w:rPr>
        <w:t xml:space="preserve"> 51</w:t>
      </w:r>
      <w:r w:rsidR="00B92BD0" w:rsidRPr="00D5464D">
        <w:rPr>
          <w:rFonts w:eastAsia="Batang" w:cs="Times"/>
          <w:szCs w:val="24"/>
          <w:lang w:val="pt-BR" w:eastAsia="es-ES"/>
        </w:rPr>
        <w:t>.</w:t>
      </w:r>
      <w:r w:rsidRPr="00D5464D">
        <w:rPr>
          <w:rFonts w:eastAsia="Batang" w:cs="Times"/>
          <w:szCs w:val="24"/>
          <w:vertAlign w:val="superscript"/>
          <w:lang w:val="pt-BR" w:eastAsia="es-ES"/>
        </w:rPr>
        <w:footnoteReference w:id="22"/>
      </w:r>
      <w:r w:rsidRPr="00D5464D">
        <w:rPr>
          <w:rFonts w:eastAsia="Batang" w:cs="Times"/>
          <w:szCs w:val="24"/>
          <w:lang w:val="pt-BR" w:eastAsia="es-ES"/>
        </w:rPr>
        <w:t xml:space="preserve"> </w:t>
      </w:r>
    </w:p>
    <w:p w14:paraId="1A5B9E43" w14:textId="77777777" w:rsidR="000A52D5" w:rsidRPr="00D5464D" w:rsidRDefault="000A52D5" w:rsidP="00140440">
      <w:pPr>
        <w:tabs>
          <w:tab w:val="clear" w:pos="4419"/>
          <w:tab w:val="clear" w:pos="8838"/>
        </w:tabs>
        <w:jc w:val="both"/>
        <w:rPr>
          <w:rFonts w:eastAsia="Batang" w:cs="Times"/>
          <w:szCs w:val="24"/>
          <w:lang w:val="pt-BR" w:eastAsia="es-ES"/>
        </w:rPr>
      </w:pPr>
    </w:p>
    <w:p w14:paraId="47D33CEB" w14:textId="2009129B" w:rsidR="000A52D5" w:rsidRPr="00D5464D" w:rsidRDefault="00D06339"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Nesse sentido,</w:t>
      </w:r>
      <w:r w:rsidR="00470ADC" w:rsidRPr="00D5464D">
        <w:rPr>
          <w:rFonts w:eastAsia="Batang" w:cs="Times"/>
          <w:szCs w:val="24"/>
          <w:lang w:val="pt-BR" w:eastAsia="es-ES"/>
        </w:rPr>
        <w:t xml:space="preserve"> o</w:t>
      </w:r>
      <w:r w:rsidR="002C330E" w:rsidRPr="00D5464D">
        <w:rPr>
          <w:rFonts w:eastAsia="Batang" w:cs="Times"/>
          <w:szCs w:val="24"/>
          <w:lang w:val="pt-BR" w:eastAsia="es-ES"/>
        </w:rPr>
        <w:t xml:space="preserve">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w:t>
      </w:r>
      <w:r w:rsidR="000A52D5" w:rsidRPr="00D5464D">
        <w:rPr>
          <w:rFonts w:eastAsia="Batang" w:cs="Times"/>
          <w:szCs w:val="24"/>
          <w:lang w:val="pt-BR" w:eastAsia="es-ES"/>
        </w:rPr>
        <w:t>previsto</w:t>
      </w:r>
      <w:r w:rsidR="00E045D9" w:rsidRPr="00D5464D">
        <w:rPr>
          <w:rFonts w:eastAsia="Batang" w:cs="Times"/>
          <w:szCs w:val="24"/>
          <w:lang w:val="pt-BR" w:eastAsia="es-ES"/>
        </w:rPr>
        <w:t xml:space="preserve"> no </w:t>
      </w:r>
      <w:r w:rsidR="00470ADC" w:rsidRPr="00D5464D">
        <w:rPr>
          <w:rFonts w:eastAsia="Batang" w:cs="Times"/>
          <w:szCs w:val="24"/>
          <w:lang w:val="pt-BR" w:eastAsia="es-ES"/>
        </w:rPr>
        <w:t>artigo</w:t>
      </w:r>
      <w:r w:rsidR="000A52D5" w:rsidRPr="00D5464D">
        <w:rPr>
          <w:rFonts w:eastAsia="Batang" w:cs="Times"/>
          <w:szCs w:val="24"/>
          <w:lang w:val="pt-BR" w:eastAsia="es-ES"/>
        </w:rPr>
        <w:t xml:space="preserve"> 50 </w:t>
      </w:r>
      <w:r w:rsidR="002C330E" w:rsidRPr="00D5464D">
        <w:rPr>
          <w:rFonts w:eastAsia="Batang" w:cs="Times"/>
          <w:szCs w:val="24"/>
          <w:lang w:val="pt-BR" w:eastAsia="es-ES"/>
        </w:rPr>
        <w:t>pode</w:t>
      </w:r>
      <w:r w:rsidR="000A52D5" w:rsidRPr="00D5464D">
        <w:rPr>
          <w:rFonts w:eastAsia="Batang" w:cs="Times"/>
          <w:szCs w:val="24"/>
          <w:lang w:val="pt-BR" w:eastAsia="es-ES"/>
        </w:rPr>
        <w:t xml:space="preserve"> ser publicado, </w:t>
      </w:r>
      <w:r w:rsidR="008E5DD1" w:rsidRPr="00D5464D">
        <w:rPr>
          <w:rFonts w:eastAsia="Batang" w:cs="Times"/>
          <w:szCs w:val="24"/>
          <w:lang w:val="pt-BR" w:eastAsia="es-ES"/>
        </w:rPr>
        <w:t>desde</w:t>
      </w:r>
      <w:r w:rsidR="00FF1290" w:rsidRPr="00D5464D">
        <w:rPr>
          <w:rFonts w:eastAsia="Batang" w:cs="Times"/>
          <w:szCs w:val="24"/>
          <w:lang w:val="pt-BR" w:eastAsia="es-ES"/>
        </w:rPr>
        <w:t xml:space="preserve"> </w:t>
      </w:r>
      <w:r w:rsidR="000A52D5" w:rsidRPr="00D5464D">
        <w:rPr>
          <w:rFonts w:eastAsia="Batang" w:cs="Times"/>
          <w:szCs w:val="24"/>
          <w:lang w:val="pt-BR" w:eastAsia="es-ES"/>
        </w:rPr>
        <w:t>que</w:t>
      </w:r>
      <w:r w:rsidR="00470ADC" w:rsidRPr="00D5464D">
        <w:rPr>
          <w:rFonts w:eastAsia="Batang" w:cs="Times"/>
          <w:szCs w:val="24"/>
          <w:lang w:val="pt-BR" w:eastAsia="es-ES"/>
        </w:rPr>
        <w:t xml:space="preserve"> </w:t>
      </w:r>
      <w:r w:rsidR="00277655" w:rsidRPr="00D5464D">
        <w:rPr>
          <w:rFonts w:eastAsia="Batang" w:cs="Times"/>
          <w:szCs w:val="24"/>
          <w:lang w:val="pt-BR" w:eastAsia="es-ES"/>
        </w:rPr>
        <w:t>isso ocorra</w:t>
      </w:r>
      <w:r w:rsidR="000A52D5" w:rsidRPr="00D5464D">
        <w:rPr>
          <w:rFonts w:eastAsia="Batang" w:cs="Times"/>
          <w:szCs w:val="24"/>
          <w:lang w:val="pt-BR" w:eastAsia="es-ES"/>
        </w:rPr>
        <w:t xml:space="preserve"> </w:t>
      </w:r>
      <w:r w:rsidR="00470ADC" w:rsidRPr="00D5464D">
        <w:rPr>
          <w:rFonts w:eastAsia="Batang" w:cs="Times"/>
          <w:szCs w:val="24"/>
          <w:lang w:val="pt-BR" w:eastAsia="es-ES"/>
        </w:rPr>
        <w:t>depois da</w:t>
      </w:r>
      <w:r w:rsidR="002C330E" w:rsidRPr="00D5464D">
        <w:rPr>
          <w:rFonts w:eastAsia="Batang" w:cs="Times"/>
          <w:szCs w:val="24"/>
          <w:lang w:val="pt-BR" w:eastAsia="es-ES"/>
        </w:rPr>
        <w:t xml:space="preserve"> apresentação</w:t>
      </w:r>
      <w:r w:rsidR="000A52D5" w:rsidRPr="00D5464D">
        <w:rPr>
          <w:rFonts w:eastAsia="Batang" w:cs="Times"/>
          <w:szCs w:val="24"/>
          <w:lang w:val="pt-BR" w:eastAsia="es-ES"/>
        </w:rPr>
        <w:t xml:space="preserve"> </w:t>
      </w:r>
      <w:r w:rsidR="00470ADC" w:rsidRPr="00D5464D">
        <w:rPr>
          <w:rFonts w:eastAsia="Batang" w:cs="Times"/>
          <w:szCs w:val="24"/>
          <w:lang w:val="pt-BR" w:eastAsia="es-ES"/>
        </w:rPr>
        <w:t xml:space="preserve">do </w:t>
      </w:r>
      <w:r w:rsidR="000A52D5" w:rsidRPr="00D5464D">
        <w:rPr>
          <w:rFonts w:eastAsia="Batang" w:cs="Times"/>
          <w:szCs w:val="24"/>
          <w:lang w:val="pt-BR" w:eastAsia="es-ES"/>
        </w:rPr>
        <w:t>caso</w:t>
      </w:r>
      <w:r w:rsidR="00470ADC" w:rsidRPr="00D5464D">
        <w:rPr>
          <w:rFonts w:eastAsia="Batang" w:cs="Times"/>
          <w:szCs w:val="24"/>
          <w:lang w:val="pt-BR" w:eastAsia="es-ES"/>
        </w:rPr>
        <w:t xml:space="preserve"> à </w:t>
      </w:r>
      <w:r w:rsidR="000A52D5" w:rsidRPr="00D5464D">
        <w:rPr>
          <w:rFonts w:eastAsia="Batang" w:cs="Times"/>
          <w:szCs w:val="24"/>
          <w:lang w:val="pt-BR" w:eastAsia="es-ES"/>
        </w:rPr>
        <w:t>Corte.</w:t>
      </w:r>
      <w:r w:rsidR="00350187" w:rsidRPr="00D5464D">
        <w:rPr>
          <w:rFonts w:eastAsia="Batang" w:cs="Times"/>
          <w:szCs w:val="24"/>
          <w:lang w:val="pt-BR" w:eastAsia="es-ES"/>
        </w:rPr>
        <w:t xml:space="preserve"> </w:t>
      </w:r>
      <w:r w:rsidR="008E5DD1" w:rsidRPr="00D5464D">
        <w:rPr>
          <w:rFonts w:eastAsia="Batang" w:cs="Times"/>
          <w:szCs w:val="24"/>
          <w:lang w:val="pt-BR" w:eastAsia="es-ES"/>
        </w:rPr>
        <w:t>Isso porque</w:t>
      </w:r>
      <w:r w:rsidR="00277655" w:rsidRPr="00D5464D">
        <w:rPr>
          <w:rFonts w:eastAsia="Batang" w:cs="Times"/>
          <w:szCs w:val="24"/>
          <w:lang w:val="pt-BR" w:eastAsia="es-ES"/>
        </w:rPr>
        <w:t>,</w:t>
      </w:r>
      <w:r w:rsidR="00470ADC" w:rsidRPr="00D5464D">
        <w:rPr>
          <w:rFonts w:eastAsia="Batang" w:cs="Times"/>
          <w:szCs w:val="24"/>
          <w:lang w:val="pt-BR" w:eastAsia="es-ES"/>
        </w:rPr>
        <w:t xml:space="preserve"> </w:t>
      </w:r>
      <w:r w:rsidR="00737270" w:rsidRPr="00D5464D">
        <w:rPr>
          <w:rFonts w:eastAsia="Batang" w:cs="Times"/>
          <w:szCs w:val="24"/>
          <w:lang w:val="pt-BR" w:eastAsia="es-ES"/>
        </w:rPr>
        <w:t>nesse</w:t>
      </w:r>
      <w:r w:rsidR="00470ADC" w:rsidRPr="00D5464D">
        <w:rPr>
          <w:rFonts w:eastAsia="Batang" w:cs="Times"/>
          <w:szCs w:val="24"/>
          <w:lang w:val="pt-BR" w:eastAsia="es-ES"/>
        </w:rPr>
        <w:t xml:space="preserve"> </w:t>
      </w:r>
      <w:r w:rsidR="000A52D5" w:rsidRPr="00D5464D">
        <w:rPr>
          <w:rFonts w:eastAsia="Batang" w:cs="Times"/>
          <w:szCs w:val="24"/>
          <w:lang w:val="pt-BR" w:eastAsia="es-ES"/>
        </w:rPr>
        <w:t xml:space="preserve">momento </w:t>
      </w:r>
      <w:r w:rsidR="00470ADC" w:rsidRPr="00D5464D">
        <w:rPr>
          <w:rFonts w:eastAsia="Batang" w:cs="Times"/>
          <w:szCs w:val="24"/>
          <w:lang w:val="pt-BR" w:eastAsia="es-ES"/>
        </w:rPr>
        <w:t xml:space="preserve">do </w:t>
      </w:r>
      <w:r w:rsidR="002C330E" w:rsidRPr="00D5464D">
        <w:rPr>
          <w:rFonts w:eastAsia="Batang" w:cs="Times"/>
          <w:szCs w:val="24"/>
          <w:lang w:val="pt-BR" w:eastAsia="es-ES"/>
        </w:rPr>
        <w:t>procedimento</w:t>
      </w:r>
      <w:r w:rsidR="00277655" w:rsidRPr="00D5464D">
        <w:rPr>
          <w:rFonts w:eastAsia="Batang" w:cs="Times"/>
          <w:szCs w:val="24"/>
          <w:lang w:val="pt-BR" w:eastAsia="es-ES"/>
        </w:rPr>
        <w:t>,</w:t>
      </w:r>
      <w:r w:rsidR="00470ADC" w:rsidRPr="00D5464D">
        <w:rPr>
          <w:rFonts w:eastAsia="Batang" w:cs="Times"/>
          <w:szCs w:val="24"/>
          <w:lang w:val="pt-BR" w:eastAsia="es-ES"/>
        </w:rPr>
        <w:t xml:space="preserve"> o </w:t>
      </w:r>
      <w:r w:rsidR="000A52D5" w:rsidRPr="00D5464D">
        <w:rPr>
          <w:rFonts w:eastAsia="Batang" w:cs="Times"/>
          <w:szCs w:val="24"/>
          <w:lang w:val="pt-BR" w:eastAsia="es-ES"/>
        </w:rPr>
        <w:t>Estado</w:t>
      </w:r>
      <w:r w:rsidR="00E045D9" w:rsidRPr="00D5464D">
        <w:rPr>
          <w:rFonts w:eastAsia="Batang" w:cs="Times"/>
          <w:szCs w:val="24"/>
          <w:lang w:val="pt-BR" w:eastAsia="es-ES"/>
        </w:rPr>
        <w:t xml:space="preserve"> já </w:t>
      </w:r>
      <w:r w:rsidR="00470ADC" w:rsidRPr="00D5464D">
        <w:rPr>
          <w:rFonts w:eastAsia="Batang" w:cs="Times"/>
          <w:szCs w:val="24"/>
          <w:lang w:val="pt-BR" w:eastAsia="es-ES"/>
        </w:rPr>
        <w:t xml:space="preserve">conhece </w:t>
      </w:r>
      <w:r w:rsidR="00277655" w:rsidRPr="00D5464D">
        <w:rPr>
          <w:rFonts w:eastAsia="Batang" w:cs="Times"/>
          <w:szCs w:val="24"/>
          <w:lang w:val="pt-BR" w:eastAsia="es-ES"/>
        </w:rPr>
        <w:t>o</w:t>
      </w:r>
      <w:r w:rsidR="000A52D5" w:rsidRPr="00D5464D">
        <w:rPr>
          <w:rFonts w:eastAsia="Batang" w:cs="Times"/>
          <w:szCs w:val="24"/>
          <w:lang w:val="pt-BR" w:eastAsia="es-ES"/>
        </w:rPr>
        <w:t xml:space="preserve"> </w:t>
      </w:r>
      <w:r w:rsidR="00C91CB1" w:rsidRPr="00D5464D">
        <w:rPr>
          <w:rFonts w:eastAsia="Batang" w:cs="Times"/>
          <w:szCs w:val="24"/>
          <w:lang w:val="pt-BR" w:eastAsia="es-ES"/>
        </w:rPr>
        <w:t>seu conteúdo</w:t>
      </w:r>
      <w:r w:rsidR="00E045D9" w:rsidRPr="00D5464D">
        <w:rPr>
          <w:rFonts w:eastAsia="Batang" w:cs="Times"/>
          <w:szCs w:val="24"/>
          <w:lang w:val="pt-BR" w:eastAsia="es-ES"/>
        </w:rPr>
        <w:t xml:space="preserve"> e teve</w:t>
      </w:r>
      <w:r w:rsidR="002C330E" w:rsidRPr="00D5464D">
        <w:rPr>
          <w:rFonts w:eastAsia="Batang" w:cs="Times"/>
          <w:szCs w:val="24"/>
          <w:lang w:val="pt-BR" w:eastAsia="es-ES"/>
        </w:rPr>
        <w:t xml:space="preserve"> a oportunidade </w:t>
      </w:r>
      <w:r w:rsidR="00277655" w:rsidRPr="00D5464D">
        <w:rPr>
          <w:rFonts w:eastAsia="Batang" w:cs="Times"/>
          <w:szCs w:val="24"/>
          <w:lang w:val="pt-BR" w:eastAsia="es-ES"/>
        </w:rPr>
        <w:t>de</w:t>
      </w:r>
      <w:r w:rsidR="000A52D5" w:rsidRPr="00D5464D">
        <w:rPr>
          <w:rFonts w:eastAsia="Batang" w:cs="Times"/>
          <w:szCs w:val="24"/>
          <w:lang w:val="pt-BR" w:eastAsia="es-ES"/>
        </w:rPr>
        <w:t xml:space="preserve"> </w:t>
      </w:r>
      <w:r w:rsidR="00470ADC" w:rsidRPr="00D5464D">
        <w:rPr>
          <w:rFonts w:eastAsia="Batang" w:cs="Times"/>
          <w:szCs w:val="24"/>
          <w:lang w:val="pt-BR" w:eastAsia="es-ES"/>
        </w:rPr>
        <w:t>cumprir</w:t>
      </w:r>
      <w:r w:rsidR="002C330E" w:rsidRPr="00D5464D">
        <w:rPr>
          <w:rFonts w:eastAsia="Batang" w:cs="Times"/>
          <w:szCs w:val="24"/>
          <w:lang w:val="pt-BR" w:eastAsia="es-ES"/>
        </w:rPr>
        <w:t xml:space="preserve"> as </w:t>
      </w:r>
      <w:r w:rsidR="000A52D5" w:rsidRPr="00D5464D">
        <w:rPr>
          <w:rFonts w:eastAsia="Batang" w:cs="Times"/>
          <w:szCs w:val="24"/>
          <w:lang w:val="pt-BR" w:eastAsia="es-ES"/>
        </w:rPr>
        <w:t>recomenda</w:t>
      </w:r>
      <w:r w:rsidR="00470ADC" w:rsidRPr="00D5464D">
        <w:rPr>
          <w:rFonts w:eastAsia="Batang" w:cs="Times"/>
          <w:szCs w:val="24"/>
          <w:lang w:val="pt-BR" w:eastAsia="es-ES"/>
        </w:rPr>
        <w:t>ções</w:t>
      </w:r>
      <w:r w:rsidR="000A52D5" w:rsidRPr="00D5464D">
        <w:rPr>
          <w:rFonts w:eastAsia="Batang" w:cs="Times"/>
          <w:szCs w:val="24"/>
          <w:lang w:val="pt-BR" w:eastAsia="es-ES"/>
        </w:rPr>
        <w:t xml:space="preserve">. </w:t>
      </w:r>
      <w:r w:rsidR="00470ADC" w:rsidRPr="00D5464D">
        <w:rPr>
          <w:rFonts w:eastAsia="Batang" w:cs="Times"/>
          <w:szCs w:val="24"/>
          <w:lang w:val="pt-BR" w:eastAsia="es-ES"/>
        </w:rPr>
        <w:t>Assim</w:t>
      </w:r>
      <w:r w:rsidR="000A52D5" w:rsidRPr="00D5464D">
        <w:rPr>
          <w:rFonts w:eastAsia="Batang" w:cs="Times"/>
          <w:szCs w:val="24"/>
          <w:lang w:val="pt-BR" w:eastAsia="es-ES"/>
        </w:rPr>
        <w:t xml:space="preserve">, </w:t>
      </w:r>
      <w:r w:rsidR="00277655" w:rsidRPr="00D5464D">
        <w:rPr>
          <w:rFonts w:eastAsia="Batang" w:cs="Times"/>
          <w:szCs w:val="24"/>
          <w:lang w:val="pt-BR" w:eastAsia="es-ES"/>
        </w:rPr>
        <w:t xml:space="preserve">não </w:t>
      </w:r>
      <w:r w:rsidR="000A52D5" w:rsidRPr="00D5464D">
        <w:rPr>
          <w:rFonts w:eastAsia="Batang" w:cs="Times"/>
          <w:szCs w:val="24"/>
          <w:lang w:val="pt-BR" w:eastAsia="es-ES"/>
        </w:rPr>
        <w:t xml:space="preserve">se </w:t>
      </w:r>
      <w:r w:rsidR="002C330E" w:rsidRPr="00D5464D">
        <w:rPr>
          <w:rFonts w:eastAsia="Batang" w:cs="Times"/>
          <w:szCs w:val="24"/>
          <w:lang w:val="pt-BR" w:eastAsia="es-ES"/>
        </w:rPr>
        <w:t>pode</w:t>
      </w:r>
      <w:r w:rsidR="000A52D5" w:rsidRPr="00D5464D">
        <w:rPr>
          <w:rFonts w:eastAsia="Batang" w:cs="Times"/>
          <w:szCs w:val="24"/>
          <w:lang w:val="pt-BR" w:eastAsia="es-ES"/>
        </w:rPr>
        <w:t xml:space="preserve"> considerar </w:t>
      </w:r>
      <w:r w:rsidR="00E765C2" w:rsidRPr="00D5464D">
        <w:rPr>
          <w:rFonts w:eastAsia="Batang" w:cs="Times"/>
          <w:szCs w:val="24"/>
          <w:lang w:val="pt-BR" w:eastAsia="es-ES"/>
        </w:rPr>
        <w:t>violado</w:t>
      </w:r>
      <w:r w:rsidR="00470ADC" w:rsidRPr="00D5464D">
        <w:rPr>
          <w:rFonts w:eastAsia="Batang" w:cs="Times"/>
          <w:szCs w:val="24"/>
          <w:lang w:val="pt-BR" w:eastAsia="es-ES"/>
        </w:rPr>
        <w:t xml:space="preserve"> o </w:t>
      </w:r>
      <w:r w:rsidR="002C330E" w:rsidRPr="00D5464D">
        <w:rPr>
          <w:rFonts w:eastAsia="Batang" w:cs="Times"/>
          <w:szCs w:val="24"/>
          <w:lang w:val="pt-BR" w:eastAsia="es-ES"/>
        </w:rPr>
        <w:t>princípio</w:t>
      </w:r>
      <w:r w:rsidR="000A52D5" w:rsidRPr="00D5464D">
        <w:rPr>
          <w:rFonts w:eastAsia="Batang" w:cs="Times"/>
          <w:szCs w:val="24"/>
          <w:lang w:val="pt-BR" w:eastAsia="es-ES"/>
        </w:rPr>
        <w:t xml:space="preserve"> de </w:t>
      </w:r>
      <w:r w:rsidR="00470ADC" w:rsidRPr="00D5464D">
        <w:rPr>
          <w:rFonts w:eastAsia="Batang" w:cs="Times"/>
          <w:szCs w:val="24"/>
          <w:lang w:val="pt-BR" w:eastAsia="es-ES"/>
        </w:rPr>
        <w:t>equilíbrio</w:t>
      </w:r>
      <w:r w:rsidR="000A52D5" w:rsidRPr="00D5464D">
        <w:rPr>
          <w:rFonts w:eastAsia="Batang" w:cs="Times"/>
          <w:szCs w:val="24"/>
          <w:lang w:val="pt-BR" w:eastAsia="es-ES"/>
        </w:rPr>
        <w:t xml:space="preserve"> </w:t>
      </w:r>
      <w:r w:rsidR="002C330E" w:rsidRPr="00D5464D">
        <w:rPr>
          <w:rFonts w:eastAsia="Batang" w:cs="Times"/>
          <w:szCs w:val="24"/>
          <w:lang w:val="pt-BR" w:eastAsia="es-ES"/>
        </w:rPr>
        <w:t xml:space="preserve">processual </w:t>
      </w:r>
      <w:r w:rsidR="000A52D5" w:rsidRPr="00D5464D">
        <w:rPr>
          <w:rFonts w:eastAsia="Batang" w:cs="Times"/>
          <w:szCs w:val="24"/>
          <w:lang w:val="pt-BR" w:eastAsia="es-ES"/>
        </w:rPr>
        <w:t>entre</w:t>
      </w:r>
      <w:r w:rsidR="002C330E" w:rsidRPr="00D5464D">
        <w:rPr>
          <w:rFonts w:eastAsia="Batang" w:cs="Times"/>
          <w:szCs w:val="24"/>
          <w:lang w:val="pt-BR" w:eastAsia="es-ES"/>
        </w:rPr>
        <w:t xml:space="preserve"> as </w:t>
      </w:r>
      <w:r w:rsidR="000A52D5" w:rsidRPr="00D5464D">
        <w:rPr>
          <w:rFonts w:eastAsia="Batang" w:cs="Times"/>
          <w:szCs w:val="24"/>
          <w:lang w:val="pt-BR" w:eastAsia="es-ES"/>
        </w:rPr>
        <w:t>partes.</w:t>
      </w:r>
      <w:r w:rsidR="00470ADC" w:rsidRPr="00D5464D">
        <w:rPr>
          <w:rFonts w:eastAsia="Batang" w:cs="Times"/>
          <w:szCs w:val="24"/>
          <w:lang w:val="pt-BR" w:eastAsia="es-ES"/>
        </w:rPr>
        <w:t xml:space="preserve"> </w:t>
      </w:r>
      <w:r w:rsidR="00277655" w:rsidRPr="00D5464D">
        <w:rPr>
          <w:rFonts w:eastAsia="Batang" w:cs="Times"/>
          <w:szCs w:val="24"/>
          <w:lang w:val="pt-BR" w:eastAsia="es-ES"/>
        </w:rPr>
        <w:t>E</w:t>
      </w:r>
      <w:r w:rsidR="00470ADC" w:rsidRPr="00D5464D">
        <w:rPr>
          <w:rFonts w:eastAsia="Batang" w:cs="Times"/>
          <w:szCs w:val="24"/>
          <w:lang w:val="pt-BR" w:eastAsia="es-ES"/>
        </w:rPr>
        <w:t>ssa</w:t>
      </w:r>
      <w:r w:rsidR="002C330E" w:rsidRPr="00D5464D">
        <w:rPr>
          <w:rFonts w:eastAsia="Batang" w:cs="Times"/>
          <w:szCs w:val="24"/>
          <w:lang w:val="pt-BR" w:eastAsia="es-ES"/>
        </w:rPr>
        <w:t xml:space="preserve"> </w:t>
      </w:r>
      <w:r w:rsidR="00277655" w:rsidRPr="00D5464D">
        <w:rPr>
          <w:rFonts w:eastAsia="Batang" w:cs="Times"/>
          <w:szCs w:val="24"/>
          <w:lang w:val="pt-BR" w:eastAsia="es-ES"/>
        </w:rPr>
        <w:t xml:space="preserve">tem sido </w:t>
      </w:r>
      <w:r w:rsidR="002C330E" w:rsidRPr="00D5464D">
        <w:rPr>
          <w:rFonts w:eastAsia="Batang" w:cs="Times"/>
          <w:szCs w:val="24"/>
          <w:lang w:val="pt-BR" w:eastAsia="es-ES"/>
        </w:rPr>
        <w:t>a prática</w:t>
      </w:r>
      <w:r w:rsidR="007B4B35" w:rsidRPr="00D5464D">
        <w:rPr>
          <w:rFonts w:eastAsia="Batang" w:cs="Times"/>
          <w:szCs w:val="24"/>
          <w:lang w:val="pt-BR" w:eastAsia="es-ES"/>
        </w:rPr>
        <w:t xml:space="preserve"> reiterada</w:t>
      </w:r>
      <w:r w:rsidR="00470ADC" w:rsidRPr="00D5464D">
        <w:rPr>
          <w:rFonts w:eastAsia="Batang" w:cs="Times"/>
          <w:szCs w:val="24"/>
          <w:lang w:val="pt-BR" w:eastAsia="es-ES"/>
        </w:rPr>
        <w:t xml:space="preserve"> da Comissão</w:t>
      </w:r>
      <w:r w:rsidR="007B4B35" w:rsidRPr="00D5464D">
        <w:rPr>
          <w:rFonts w:eastAsia="Batang" w:cs="Times"/>
          <w:szCs w:val="24"/>
          <w:lang w:val="pt-BR" w:eastAsia="es-ES"/>
        </w:rPr>
        <w:t xml:space="preserve"> por </w:t>
      </w:r>
      <w:r w:rsidR="002C330E" w:rsidRPr="00D5464D">
        <w:rPr>
          <w:rFonts w:eastAsia="Batang" w:cs="Times"/>
          <w:szCs w:val="24"/>
          <w:lang w:val="pt-BR" w:eastAsia="es-ES"/>
        </w:rPr>
        <w:t>muito</w:t>
      </w:r>
      <w:r w:rsidR="007B4B35" w:rsidRPr="00D5464D">
        <w:rPr>
          <w:rFonts w:eastAsia="Batang" w:cs="Times"/>
          <w:szCs w:val="24"/>
          <w:lang w:val="pt-BR" w:eastAsia="es-ES"/>
        </w:rPr>
        <w:t xml:space="preserve">s </w:t>
      </w:r>
      <w:r w:rsidR="00470ADC" w:rsidRPr="00D5464D">
        <w:rPr>
          <w:rFonts w:eastAsia="Batang" w:cs="Times"/>
          <w:szCs w:val="24"/>
          <w:lang w:val="pt-BR" w:eastAsia="es-ES"/>
        </w:rPr>
        <w:t>anos</w:t>
      </w:r>
      <w:r w:rsidR="004D425F" w:rsidRPr="00D5464D">
        <w:rPr>
          <w:rFonts w:eastAsia="Batang" w:cs="Times"/>
          <w:szCs w:val="24"/>
          <w:lang w:val="pt-BR" w:eastAsia="es-ES"/>
        </w:rPr>
        <w:t>,</w:t>
      </w:r>
      <w:r w:rsidR="00470ADC" w:rsidRPr="00D5464D">
        <w:rPr>
          <w:rFonts w:eastAsia="Batang" w:cs="Times"/>
          <w:szCs w:val="24"/>
          <w:lang w:val="pt-BR" w:eastAsia="es-ES"/>
        </w:rPr>
        <w:t xml:space="preserve"> em </w:t>
      </w:r>
      <w:r w:rsidR="004D425F" w:rsidRPr="00D5464D">
        <w:rPr>
          <w:rFonts w:eastAsia="Batang" w:cs="Times"/>
          <w:szCs w:val="24"/>
          <w:lang w:val="pt-BR" w:eastAsia="es-ES"/>
        </w:rPr>
        <w:t xml:space="preserve">particular </w:t>
      </w:r>
      <w:r w:rsidR="00230C71" w:rsidRPr="00D5464D">
        <w:rPr>
          <w:rFonts w:eastAsia="Batang" w:cs="Times"/>
          <w:szCs w:val="24"/>
          <w:lang w:val="pt-BR" w:eastAsia="es-ES"/>
        </w:rPr>
        <w:t>desde a</w:t>
      </w:r>
      <w:r w:rsidR="00E045D9" w:rsidRPr="00D5464D">
        <w:rPr>
          <w:rFonts w:eastAsia="Batang" w:cs="Times"/>
          <w:szCs w:val="24"/>
          <w:lang w:val="pt-BR" w:eastAsia="es-ES"/>
        </w:rPr>
        <w:t xml:space="preserve"> </w:t>
      </w:r>
      <w:r w:rsidR="004D425F" w:rsidRPr="00D5464D">
        <w:rPr>
          <w:rFonts w:eastAsia="Batang" w:cs="Times"/>
          <w:szCs w:val="24"/>
          <w:lang w:val="pt-BR" w:eastAsia="es-ES"/>
        </w:rPr>
        <w:t>reforma de</w:t>
      </w:r>
      <w:r w:rsidR="00277655" w:rsidRPr="00D5464D">
        <w:rPr>
          <w:rFonts w:eastAsia="Batang" w:cs="Times"/>
          <w:szCs w:val="24"/>
          <w:lang w:val="pt-BR" w:eastAsia="es-ES"/>
        </w:rPr>
        <w:t xml:space="preserve"> seu R</w:t>
      </w:r>
      <w:r w:rsidR="00E045D9" w:rsidRPr="00D5464D">
        <w:rPr>
          <w:rFonts w:eastAsia="Batang" w:cs="Times"/>
          <w:szCs w:val="24"/>
          <w:lang w:val="pt-BR" w:eastAsia="es-ES"/>
        </w:rPr>
        <w:t>egulamento</w:t>
      </w:r>
      <w:r w:rsidR="004D425F" w:rsidRPr="00D5464D">
        <w:rPr>
          <w:rFonts w:eastAsia="Batang" w:cs="Times"/>
          <w:szCs w:val="24"/>
          <w:lang w:val="pt-BR" w:eastAsia="es-ES"/>
        </w:rPr>
        <w:t xml:space="preserve"> </w:t>
      </w:r>
      <w:r w:rsidR="00470ADC" w:rsidRPr="00D5464D">
        <w:rPr>
          <w:rFonts w:eastAsia="Batang" w:cs="Times"/>
          <w:szCs w:val="24"/>
          <w:lang w:val="pt-BR" w:eastAsia="es-ES"/>
        </w:rPr>
        <w:t xml:space="preserve">do ano </w:t>
      </w:r>
      <w:r w:rsidR="00277655" w:rsidRPr="00D5464D">
        <w:rPr>
          <w:rFonts w:eastAsia="Batang" w:cs="Times"/>
          <w:szCs w:val="24"/>
          <w:lang w:val="pt-BR" w:eastAsia="es-ES"/>
        </w:rPr>
        <w:t xml:space="preserve">de </w:t>
      </w:r>
      <w:r w:rsidR="004D425F" w:rsidRPr="00D5464D">
        <w:rPr>
          <w:rFonts w:eastAsia="Batang" w:cs="Times"/>
          <w:szCs w:val="24"/>
          <w:lang w:val="pt-BR" w:eastAsia="es-ES"/>
        </w:rPr>
        <w:t>2009</w:t>
      </w:r>
      <w:r w:rsidR="007B4B35" w:rsidRPr="00D5464D">
        <w:rPr>
          <w:rFonts w:eastAsia="Batang" w:cs="Times"/>
          <w:szCs w:val="24"/>
          <w:lang w:val="pt-BR" w:eastAsia="es-ES"/>
        </w:rPr>
        <w:t xml:space="preserve">. </w:t>
      </w:r>
    </w:p>
    <w:p w14:paraId="0DD4CF47" w14:textId="77777777" w:rsidR="000A52D5" w:rsidRPr="00D5464D" w:rsidRDefault="000A52D5" w:rsidP="00140440">
      <w:pPr>
        <w:tabs>
          <w:tab w:val="clear" w:pos="4419"/>
          <w:tab w:val="clear" w:pos="8838"/>
        </w:tabs>
        <w:jc w:val="both"/>
        <w:rPr>
          <w:rFonts w:eastAsia="Batang" w:cs="Times"/>
          <w:szCs w:val="24"/>
          <w:lang w:val="pt-BR" w:eastAsia="es-ES"/>
        </w:rPr>
      </w:pPr>
    </w:p>
    <w:p w14:paraId="38208A58" w14:textId="5E71F65B" w:rsidR="000A52D5" w:rsidRPr="00D5464D" w:rsidRDefault="00470AD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No </w:t>
      </w:r>
      <w:r w:rsidR="000A52D5" w:rsidRPr="00D5464D">
        <w:rPr>
          <w:rFonts w:eastAsia="Batang" w:cs="Times"/>
          <w:szCs w:val="24"/>
          <w:lang w:val="pt-BR" w:eastAsia="es-ES"/>
        </w:rPr>
        <w:t>presente caso,</w:t>
      </w:r>
      <w:r w:rsidRPr="00D5464D">
        <w:rPr>
          <w:rFonts w:eastAsia="Batang" w:cs="Times"/>
          <w:szCs w:val="24"/>
          <w:lang w:val="pt-BR" w:eastAsia="es-ES"/>
        </w:rPr>
        <w:t xml:space="preserve"> o </w:t>
      </w:r>
      <w:r w:rsidR="000A52D5" w:rsidRPr="00D5464D">
        <w:rPr>
          <w:rFonts w:eastAsia="Batang" w:cs="Times"/>
          <w:szCs w:val="24"/>
          <w:lang w:val="pt-BR" w:eastAsia="es-ES"/>
        </w:rPr>
        <w:t xml:space="preserve">Estado </w:t>
      </w:r>
      <w:r w:rsidRPr="00D5464D">
        <w:rPr>
          <w:rFonts w:eastAsia="Batang" w:cs="Times"/>
          <w:szCs w:val="24"/>
          <w:lang w:val="pt-BR" w:eastAsia="es-ES"/>
        </w:rPr>
        <w:t>afirmou</w:t>
      </w:r>
      <w:r w:rsidR="003D4FF7" w:rsidRPr="00D5464D">
        <w:rPr>
          <w:rFonts w:eastAsia="Batang" w:cs="Times"/>
          <w:szCs w:val="24"/>
          <w:lang w:val="pt-BR" w:eastAsia="es-ES"/>
        </w:rPr>
        <w:t xml:space="preserve"> que</w:t>
      </w:r>
      <w:r w:rsidR="002C330E" w:rsidRPr="00D5464D">
        <w:rPr>
          <w:rFonts w:eastAsia="Batang" w:cs="Times"/>
          <w:szCs w:val="24"/>
          <w:lang w:val="pt-BR" w:eastAsia="es-ES"/>
        </w:rPr>
        <w:t xml:space="preserve"> a </w:t>
      </w:r>
      <w:r w:rsidRPr="00D5464D">
        <w:rPr>
          <w:rFonts w:eastAsia="Batang" w:cs="Times"/>
          <w:szCs w:val="24"/>
          <w:lang w:val="pt-BR" w:eastAsia="es-ES"/>
        </w:rPr>
        <w:t>Comissão</w:t>
      </w:r>
      <w:r w:rsidR="003D4FF7" w:rsidRPr="00D5464D">
        <w:rPr>
          <w:rFonts w:eastAsia="Batang" w:cs="Times"/>
          <w:szCs w:val="24"/>
          <w:lang w:val="pt-BR" w:eastAsia="es-ES"/>
        </w:rPr>
        <w:t xml:space="preserve"> </w:t>
      </w:r>
      <w:r w:rsidR="002C330E" w:rsidRPr="00D5464D">
        <w:rPr>
          <w:rFonts w:eastAsia="Batang" w:cs="Times"/>
          <w:szCs w:val="24"/>
          <w:lang w:val="pt-BR" w:eastAsia="es-ES"/>
        </w:rPr>
        <w:t>publicou</w:t>
      </w:r>
      <w:r w:rsidRPr="00D5464D">
        <w:rPr>
          <w:rFonts w:eastAsia="Batang" w:cs="Times"/>
          <w:szCs w:val="24"/>
          <w:lang w:val="pt-BR" w:eastAsia="es-ES"/>
        </w:rPr>
        <w:t xml:space="preserve"> o</w:t>
      </w:r>
      <w:r w:rsidR="002C330E" w:rsidRPr="00D5464D">
        <w:rPr>
          <w:rFonts w:eastAsia="Batang" w:cs="Times"/>
          <w:szCs w:val="24"/>
          <w:lang w:val="pt-BR" w:eastAsia="es-ES"/>
        </w:rPr>
        <w:t xml:space="preserve">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de Admissibilidade</w:t>
      </w:r>
      <w:r w:rsidR="00E045D9" w:rsidRPr="00D5464D">
        <w:rPr>
          <w:rFonts w:eastAsia="Batang" w:cs="Times"/>
          <w:szCs w:val="24"/>
          <w:lang w:val="pt-BR" w:eastAsia="es-ES"/>
        </w:rPr>
        <w:t xml:space="preserve"> e </w:t>
      </w:r>
      <w:r w:rsidRPr="00D5464D">
        <w:rPr>
          <w:rFonts w:eastAsia="Batang" w:cs="Times"/>
          <w:szCs w:val="24"/>
          <w:lang w:val="pt-BR" w:eastAsia="es-ES"/>
        </w:rPr>
        <w:t>Mérito</w:t>
      </w:r>
      <w:r w:rsidR="00A1358C" w:rsidRPr="00D5464D">
        <w:rPr>
          <w:rFonts w:eastAsia="Batang" w:cs="Times"/>
          <w:szCs w:val="24"/>
          <w:lang w:val="pt-BR" w:eastAsia="es-ES"/>
        </w:rPr>
        <w:t xml:space="preserve"> nº </w:t>
      </w:r>
      <w:r w:rsidR="000A52D5" w:rsidRPr="00D5464D">
        <w:rPr>
          <w:rFonts w:eastAsia="Batang" w:cs="Times"/>
          <w:szCs w:val="24"/>
          <w:lang w:val="pt-BR" w:eastAsia="es-ES"/>
        </w:rPr>
        <w:t>169/2011</w:t>
      </w:r>
      <w:r w:rsidR="003D4FF7" w:rsidRPr="00D5464D">
        <w:rPr>
          <w:rFonts w:eastAsia="Batang" w:cs="Times"/>
          <w:szCs w:val="24"/>
          <w:lang w:val="pt-BR" w:eastAsia="es-ES"/>
        </w:rPr>
        <w:t xml:space="preserve"> antes de su</w:t>
      </w:r>
      <w:r w:rsidR="00277655" w:rsidRPr="00D5464D">
        <w:rPr>
          <w:rFonts w:eastAsia="Batang" w:cs="Times"/>
          <w:szCs w:val="24"/>
          <w:lang w:val="pt-BR" w:eastAsia="es-ES"/>
        </w:rPr>
        <w:t>a</w:t>
      </w:r>
      <w:r w:rsidR="003D4FF7" w:rsidRPr="00D5464D">
        <w:rPr>
          <w:rFonts w:eastAsia="Batang" w:cs="Times"/>
          <w:szCs w:val="24"/>
          <w:lang w:val="pt-BR" w:eastAsia="es-ES"/>
        </w:rPr>
        <w:t xml:space="preserve"> </w:t>
      </w:r>
      <w:r w:rsidR="002C330E" w:rsidRPr="00D5464D">
        <w:rPr>
          <w:rFonts w:eastAsia="Batang" w:cs="Times"/>
          <w:szCs w:val="24"/>
          <w:lang w:val="pt-BR" w:eastAsia="es-ES"/>
        </w:rPr>
        <w:t>submissão</w:t>
      </w:r>
      <w:r w:rsidRPr="00D5464D">
        <w:rPr>
          <w:rFonts w:eastAsia="Batang" w:cs="Times"/>
          <w:szCs w:val="24"/>
          <w:lang w:val="pt-BR" w:eastAsia="es-ES"/>
        </w:rPr>
        <w:t xml:space="preserve"> à </w:t>
      </w:r>
      <w:r w:rsidR="003D4FF7" w:rsidRPr="00D5464D">
        <w:rPr>
          <w:rFonts w:eastAsia="Batang" w:cs="Times"/>
          <w:szCs w:val="24"/>
          <w:lang w:val="pt-BR" w:eastAsia="es-ES"/>
        </w:rPr>
        <w:t>Corte</w:t>
      </w:r>
      <w:r w:rsidR="00A1358C" w:rsidRPr="00D5464D">
        <w:rPr>
          <w:rFonts w:eastAsia="Batang" w:cs="Times"/>
          <w:szCs w:val="24"/>
          <w:lang w:val="pt-BR" w:eastAsia="es-ES"/>
        </w:rPr>
        <w:t xml:space="preserve">. A </w:t>
      </w:r>
      <w:r w:rsidRPr="00D5464D">
        <w:rPr>
          <w:rFonts w:eastAsia="Batang" w:cs="Times"/>
          <w:szCs w:val="24"/>
          <w:lang w:val="pt-BR" w:eastAsia="es-ES"/>
        </w:rPr>
        <w:t>Comissão</w:t>
      </w:r>
      <w:r w:rsidR="000A52D5" w:rsidRPr="00D5464D">
        <w:rPr>
          <w:rFonts w:eastAsia="Batang" w:cs="Times"/>
          <w:szCs w:val="24"/>
          <w:lang w:val="pt-BR" w:eastAsia="es-ES"/>
        </w:rPr>
        <w:t xml:space="preserve"> </w:t>
      </w:r>
      <w:r w:rsidR="002C330E" w:rsidRPr="00D5464D">
        <w:rPr>
          <w:rFonts w:eastAsia="Batang" w:cs="Times"/>
          <w:szCs w:val="24"/>
          <w:lang w:val="pt-BR" w:eastAsia="es-ES"/>
        </w:rPr>
        <w:t>afirmou</w:t>
      </w:r>
      <w:r w:rsidR="000A52D5" w:rsidRPr="00D5464D">
        <w:rPr>
          <w:rFonts w:eastAsia="Batang" w:cs="Times"/>
          <w:szCs w:val="24"/>
          <w:lang w:val="pt-BR" w:eastAsia="es-ES"/>
        </w:rPr>
        <w:t xml:space="preserve"> que</w:t>
      </w:r>
      <w:r w:rsidR="00C91CB1" w:rsidRPr="00D5464D">
        <w:rPr>
          <w:rFonts w:eastAsia="Batang" w:cs="Times"/>
          <w:szCs w:val="24"/>
          <w:lang w:val="pt-BR" w:eastAsia="es-ES"/>
        </w:rPr>
        <w:t xml:space="preserve"> o </w:t>
      </w:r>
      <w:r w:rsidR="002C330E" w:rsidRPr="00D5464D">
        <w:rPr>
          <w:rFonts w:eastAsia="Batang" w:cs="Times"/>
          <w:szCs w:val="24"/>
          <w:lang w:val="pt-BR" w:eastAsia="es-ES"/>
        </w:rPr>
        <w:t>publicou</w:t>
      </w:r>
      <w:r w:rsidRPr="00D5464D">
        <w:rPr>
          <w:rFonts w:eastAsia="Batang" w:cs="Times"/>
          <w:szCs w:val="24"/>
          <w:lang w:val="pt-BR" w:eastAsia="es-ES"/>
        </w:rPr>
        <w:t xml:space="preserve"> em </w:t>
      </w:r>
      <w:r w:rsidR="00BD21CE" w:rsidRPr="00D5464D">
        <w:rPr>
          <w:rFonts w:eastAsia="Batang" w:cs="Times"/>
          <w:szCs w:val="24"/>
          <w:lang w:val="pt-BR" w:eastAsia="es-ES"/>
        </w:rPr>
        <w:t xml:space="preserve">sua página </w:t>
      </w:r>
      <w:r w:rsidR="000A52D5" w:rsidRPr="00D5464D">
        <w:rPr>
          <w:rFonts w:eastAsia="Batang" w:cs="Times"/>
          <w:szCs w:val="24"/>
          <w:lang w:val="pt-BR" w:eastAsia="es-ES"/>
        </w:rPr>
        <w:t>web</w:t>
      </w:r>
      <w:r w:rsidR="00C91CB1" w:rsidRPr="00D5464D">
        <w:rPr>
          <w:rFonts w:eastAsia="Batang" w:cs="Times"/>
          <w:szCs w:val="24"/>
          <w:lang w:val="pt-BR" w:eastAsia="es-ES"/>
        </w:rPr>
        <w:t xml:space="preserve"> em 1</w:t>
      </w:r>
      <w:r w:rsidR="000A52D5" w:rsidRPr="00D5464D">
        <w:rPr>
          <w:rFonts w:eastAsia="Batang" w:cs="Times"/>
          <w:szCs w:val="24"/>
          <w:lang w:val="pt-BR" w:eastAsia="es-ES"/>
        </w:rPr>
        <w:t xml:space="preserve">0 de </w:t>
      </w:r>
      <w:r w:rsidR="002C330E" w:rsidRPr="00D5464D">
        <w:rPr>
          <w:rFonts w:eastAsia="Batang" w:cs="Times"/>
          <w:szCs w:val="24"/>
          <w:lang w:val="pt-BR" w:eastAsia="es-ES"/>
        </w:rPr>
        <w:t>setembro</w:t>
      </w:r>
      <w:r w:rsidR="000A52D5" w:rsidRPr="00D5464D">
        <w:rPr>
          <w:rFonts w:eastAsia="Batang" w:cs="Times"/>
          <w:szCs w:val="24"/>
          <w:lang w:val="pt-BR" w:eastAsia="es-ES"/>
        </w:rPr>
        <w:t xml:space="preserve"> de 2015,</w:t>
      </w:r>
      <w:r w:rsidRPr="00D5464D">
        <w:rPr>
          <w:rFonts w:eastAsia="Batang" w:cs="Times"/>
          <w:szCs w:val="24"/>
          <w:lang w:val="pt-BR" w:eastAsia="es-ES"/>
        </w:rPr>
        <w:t xml:space="preserve"> </w:t>
      </w:r>
      <w:r w:rsidR="00277655" w:rsidRPr="00D5464D">
        <w:rPr>
          <w:rFonts w:eastAsia="Batang" w:cs="Times"/>
          <w:szCs w:val="24"/>
          <w:lang w:val="pt-BR" w:eastAsia="es-ES"/>
        </w:rPr>
        <w:t>portanto</w:t>
      </w:r>
      <w:r w:rsidR="008E5DD1" w:rsidRPr="00D5464D">
        <w:rPr>
          <w:rFonts w:eastAsia="Batang" w:cs="Times"/>
          <w:szCs w:val="24"/>
          <w:lang w:val="pt-BR" w:eastAsia="es-ES"/>
        </w:rPr>
        <w:t>,</w:t>
      </w:r>
      <w:r w:rsidR="00277655" w:rsidRPr="00D5464D">
        <w:rPr>
          <w:rFonts w:eastAsia="Batang" w:cs="Times"/>
          <w:szCs w:val="24"/>
          <w:lang w:val="pt-BR" w:eastAsia="es-ES"/>
        </w:rPr>
        <w:t xml:space="preserve"> </w:t>
      </w:r>
      <w:r w:rsidR="008E5DD1" w:rsidRPr="00D5464D">
        <w:rPr>
          <w:rFonts w:eastAsia="Batang" w:cs="Times"/>
          <w:szCs w:val="24"/>
          <w:lang w:val="pt-BR" w:eastAsia="es-ES"/>
        </w:rPr>
        <w:t>após a</w:t>
      </w:r>
      <w:r w:rsidR="00FF1290" w:rsidRPr="00D5464D">
        <w:rPr>
          <w:rFonts w:eastAsia="Batang" w:cs="Times"/>
          <w:szCs w:val="24"/>
          <w:lang w:val="pt-BR" w:eastAsia="es-ES"/>
        </w:rPr>
        <w:t xml:space="preserve"> </w:t>
      </w:r>
      <w:r w:rsidR="002C330E" w:rsidRPr="00D5464D">
        <w:rPr>
          <w:rFonts w:eastAsia="Batang" w:cs="Times"/>
          <w:szCs w:val="24"/>
          <w:lang w:val="pt-BR" w:eastAsia="es-ES"/>
        </w:rPr>
        <w:t>submissão</w:t>
      </w:r>
      <w:r w:rsidR="000A52D5" w:rsidRPr="00D5464D">
        <w:rPr>
          <w:rFonts w:eastAsia="Batang" w:cs="Times"/>
          <w:szCs w:val="24"/>
          <w:lang w:val="pt-BR" w:eastAsia="es-ES"/>
        </w:rPr>
        <w:t xml:space="preserve"> </w:t>
      </w:r>
      <w:r w:rsidRPr="00D5464D">
        <w:rPr>
          <w:rFonts w:eastAsia="Batang" w:cs="Times"/>
          <w:szCs w:val="24"/>
          <w:lang w:val="pt-BR" w:eastAsia="es-ES"/>
        </w:rPr>
        <w:t xml:space="preserve">do assunto à </w:t>
      </w:r>
      <w:r w:rsidR="002C330E" w:rsidRPr="00D5464D">
        <w:rPr>
          <w:rFonts w:eastAsia="Batang" w:cs="Times"/>
          <w:szCs w:val="24"/>
          <w:lang w:val="pt-BR" w:eastAsia="es-ES"/>
        </w:rPr>
        <w:t>jurisdição</w:t>
      </w:r>
      <w:r w:rsidRPr="00D5464D">
        <w:rPr>
          <w:rFonts w:eastAsia="Batang" w:cs="Times"/>
          <w:szCs w:val="24"/>
          <w:lang w:val="pt-BR" w:eastAsia="es-ES"/>
        </w:rPr>
        <w:t xml:space="preserve"> da </w:t>
      </w:r>
      <w:r w:rsidR="000A52D5" w:rsidRPr="00D5464D">
        <w:rPr>
          <w:rFonts w:eastAsia="Batang" w:cs="Times"/>
          <w:szCs w:val="24"/>
          <w:lang w:val="pt-BR" w:eastAsia="es-ES"/>
        </w:rPr>
        <w:t>Corte, realizad</w:t>
      </w:r>
      <w:r w:rsidR="00277655" w:rsidRPr="00D5464D">
        <w:rPr>
          <w:rFonts w:eastAsia="Batang" w:cs="Times"/>
          <w:szCs w:val="24"/>
          <w:lang w:val="pt-BR" w:eastAsia="es-ES"/>
        </w:rPr>
        <w:t>a</w:t>
      </w:r>
      <w:r w:rsidR="00C91CB1" w:rsidRPr="00D5464D">
        <w:rPr>
          <w:rFonts w:eastAsia="Batang" w:cs="Times"/>
          <w:szCs w:val="24"/>
          <w:lang w:val="pt-BR" w:eastAsia="es-ES"/>
        </w:rPr>
        <w:t xml:space="preserve"> em 1</w:t>
      </w:r>
      <w:r w:rsidR="000A52D5" w:rsidRPr="00D5464D">
        <w:rPr>
          <w:rFonts w:eastAsia="Batang" w:cs="Times"/>
          <w:szCs w:val="24"/>
          <w:lang w:val="pt-BR" w:eastAsia="es-ES"/>
        </w:rPr>
        <w:t xml:space="preserve">2 de </w:t>
      </w:r>
      <w:r w:rsidR="002C330E" w:rsidRPr="00D5464D">
        <w:rPr>
          <w:rFonts w:eastAsia="Batang" w:cs="Times"/>
          <w:szCs w:val="24"/>
          <w:lang w:val="pt-BR" w:eastAsia="es-ES"/>
        </w:rPr>
        <w:t>março</w:t>
      </w:r>
      <w:r w:rsidR="000A52D5" w:rsidRPr="00D5464D">
        <w:rPr>
          <w:rFonts w:eastAsia="Batang" w:cs="Times"/>
          <w:szCs w:val="24"/>
          <w:lang w:val="pt-BR" w:eastAsia="es-ES"/>
        </w:rPr>
        <w:t xml:space="preserve"> de 2015</w:t>
      </w:r>
      <w:r w:rsidRPr="00D5464D">
        <w:rPr>
          <w:rFonts w:eastAsia="Batang" w:cs="Times"/>
          <w:szCs w:val="24"/>
          <w:lang w:val="pt-BR" w:eastAsia="es-ES"/>
        </w:rPr>
        <w:t>, e</w:t>
      </w:r>
      <w:r w:rsidR="003D4FF7" w:rsidRPr="00D5464D">
        <w:rPr>
          <w:rFonts w:eastAsia="Batang" w:cs="Times"/>
          <w:szCs w:val="24"/>
          <w:lang w:val="pt-BR" w:eastAsia="es-ES"/>
        </w:rPr>
        <w:t xml:space="preserve"> </w:t>
      </w:r>
      <w:r w:rsidR="002C330E" w:rsidRPr="00D5464D">
        <w:rPr>
          <w:rFonts w:eastAsia="Batang" w:cs="Times"/>
          <w:szCs w:val="24"/>
          <w:lang w:val="pt-BR" w:eastAsia="es-ES"/>
        </w:rPr>
        <w:t>apresentou</w:t>
      </w:r>
      <w:r w:rsidR="003D4FF7" w:rsidRPr="00D5464D">
        <w:rPr>
          <w:rFonts w:eastAsia="Batang" w:cs="Times"/>
          <w:szCs w:val="24"/>
          <w:lang w:val="pt-BR" w:eastAsia="es-ES"/>
        </w:rPr>
        <w:t xml:space="preserve"> </w:t>
      </w:r>
      <w:r w:rsidR="002C330E" w:rsidRPr="00D5464D">
        <w:rPr>
          <w:rFonts w:eastAsia="Batang" w:cs="Times"/>
          <w:szCs w:val="24"/>
          <w:lang w:val="pt-BR" w:eastAsia="es-ES"/>
        </w:rPr>
        <w:t>prova</w:t>
      </w:r>
      <w:r w:rsidR="00350187" w:rsidRPr="00D5464D">
        <w:rPr>
          <w:rFonts w:eastAsia="Batang" w:cs="Times"/>
          <w:szCs w:val="24"/>
          <w:lang w:val="pt-BR" w:eastAsia="es-ES"/>
        </w:rPr>
        <w:t xml:space="preserve"> d</w:t>
      </w:r>
      <w:r w:rsidR="00277655" w:rsidRPr="00D5464D">
        <w:rPr>
          <w:rFonts w:eastAsia="Batang" w:cs="Times"/>
          <w:szCs w:val="24"/>
          <w:lang w:val="pt-BR" w:eastAsia="es-ES"/>
        </w:rPr>
        <w:t>isso</w:t>
      </w:r>
      <w:r w:rsidR="00A1358C" w:rsidRPr="00D5464D">
        <w:rPr>
          <w:rFonts w:eastAsia="Batang" w:cs="Times"/>
          <w:szCs w:val="24"/>
          <w:lang w:val="pt-BR" w:eastAsia="es-ES"/>
        </w:rPr>
        <w:t xml:space="preserve">. O </w:t>
      </w:r>
      <w:r w:rsidR="00246E8D" w:rsidRPr="00D5464D">
        <w:rPr>
          <w:rFonts w:eastAsia="Batang" w:cs="Times"/>
          <w:szCs w:val="24"/>
          <w:lang w:val="pt-BR" w:eastAsia="es-ES"/>
        </w:rPr>
        <w:t>Estado</w:t>
      </w:r>
      <w:r w:rsidR="00A1358C" w:rsidRPr="00D5464D">
        <w:rPr>
          <w:rFonts w:eastAsia="Batang" w:cs="Times"/>
          <w:szCs w:val="24"/>
          <w:lang w:val="pt-BR" w:eastAsia="es-ES"/>
        </w:rPr>
        <w:t xml:space="preserve"> não </w:t>
      </w:r>
      <w:r w:rsidR="00350187" w:rsidRPr="00D5464D">
        <w:rPr>
          <w:rFonts w:eastAsia="Batang" w:cs="Times"/>
          <w:szCs w:val="24"/>
          <w:lang w:val="pt-BR" w:eastAsia="es-ES"/>
        </w:rPr>
        <w:t>demonstr</w:t>
      </w:r>
      <w:r w:rsidR="00A1358C" w:rsidRPr="00D5464D">
        <w:rPr>
          <w:rFonts w:eastAsia="Batang" w:cs="Times"/>
          <w:szCs w:val="24"/>
          <w:lang w:val="pt-BR" w:eastAsia="es-ES"/>
        </w:rPr>
        <w:t>ou</w:t>
      </w:r>
      <w:r w:rsidR="00C278B7" w:rsidRPr="00D5464D">
        <w:rPr>
          <w:rFonts w:eastAsia="Batang" w:cs="Times"/>
          <w:szCs w:val="24"/>
          <w:lang w:val="pt-BR" w:eastAsia="es-ES"/>
        </w:rPr>
        <w:t xml:space="preserve"> </w:t>
      </w:r>
      <w:r w:rsidR="00BD21CE" w:rsidRPr="00D5464D">
        <w:rPr>
          <w:rFonts w:eastAsia="Batang" w:cs="Times"/>
          <w:szCs w:val="24"/>
          <w:lang w:val="pt-BR" w:eastAsia="es-ES"/>
        </w:rPr>
        <w:t>sua afirmação</w:t>
      </w:r>
      <w:r w:rsidR="00C278B7" w:rsidRPr="00D5464D">
        <w:rPr>
          <w:rFonts w:eastAsia="Batang" w:cs="Times"/>
          <w:szCs w:val="24"/>
          <w:lang w:val="pt-BR" w:eastAsia="es-ES"/>
        </w:rPr>
        <w:t xml:space="preserve"> relativa </w:t>
      </w:r>
      <w:r w:rsidR="008E5DD1" w:rsidRPr="00D5464D">
        <w:rPr>
          <w:rFonts w:eastAsia="Batang" w:cs="Times"/>
          <w:szCs w:val="24"/>
          <w:lang w:val="pt-BR" w:eastAsia="es-ES"/>
        </w:rPr>
        <w:t>à</w:t>
      </w:r>
      <w:r w:rsidR="002C330E" w:rsidRPr="00D5464D">
        <w:rPr>
          <w:rFonts w:eastAsia="Batang" w:cs="Times"/>
          <w:szCs w:val="24"/>
          <w:lang w:val="pt-BR" w:eastAsia="es-ES"/>
        </w:rPr>
        <w:t xml:space="preserve"> </w:t>
      </w:r>
      <w:r w:rsidR="00C278B7" w:rsidRPr="00D5464D">
        <w:rPr>
          <w:rFonts w:eastAsia="Batang" w:cs="Times"/>
          <w:szCs w:val="24"/>
          <w:lang w:val="pt-BR" w:eastAsia="es-ES"/>
        </w:rPr>
        <w:t>publica</w:t>
      </w:r>
      <w:r w:rsidRPr="00D5464D">
        <w:rPr>
          <w:rFonts w:eastAsia="Batang" w:cs="Times"/>
          <w:szCs w:val="24"/>
          <w:lang w:val="pt-BR" w:eastAsia="es-ES"/>
        </w:rPr>
        <w:t>ção</w:t>
      </w:r>
      <w:r w:rsidR="00C278B7" w:rsidRPr="00D5464D">
        <w:rPr>
          <w:rFonts w:eastAsia="Batang" w:cs="Times"/>
          <w:szCs w:val="24"/>
          <w:lang w:val="pt-BR" w:eastAsia="es-ES"/>
        </w:rPr>
        <w:t xml:space="preserve"> </w:t>
      </w:r>
      <w:r w:rsidRPr="00D5464D">
        <w:rPr>
          <w:rFonts w:eastAsia="Batang" w:cs="Times"/>
          <w:szCs w:val="24"/>
          <w:lang w:val="pt-BR" w:eastAsia="es-ES"/>
        </w:rPr>
        <w:t>do</w:t>
      </w:r>
      <w:r w:rsidR="002C330E" w:rsidRPr="00D5464D">
        <w:rPr>
          <w:rFonts w:eastAsia="Batang" w:cs="Times"/>
          <w:szCs w:val="24"/>
          <w:lang w:val="pt-BR" w:eastAsia="es-ES"/>
        </w:rPr>
        <w:t xml:space="preserve">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w:t>
      </w:r>
      <w:r w:rsidRPr="00D5464D">
        <w:rPr>
          <w:rFonts w:eastAsia="Batang" w:cs="Times"/>
          <w:szCs w:val="24"/>
          <w:lang w:val="pt-BR" w:eastAsia="es-ES"/>
        </w:rPr>
        <w:t xml:space="preserve">do </w:t>
      </w:r>
      <w:r w:rsidR="00C278B7" w:rsidRPr="00D5464D">
        <w:rPr>
          <w:rFonts w:eastAsia="Batang" w:cs="Times"/>
          <w:szCs w:val="24"/>
          <w:lang w:val="pt-BR" w:eastAsia="es-ES"/>
        </w:rPr>
        <w:t>presente caso de forma distinta</w:t>
      </w:r>
      <w:r w:rsidRPr="00D5464D">
        <w:rPr>
          <w:rFonts w:eastAsia="Batang" w:cs="Times"/>
          <w:szCs w:val="24"/>
          <w:lang w:val="pt-BR" w:eastAsia="es-ES"/>
        </w:rPr>
        <w:t xml:space="preserve"> ao expost</w:t>
      </w:r>
      <w:r w:rsidR="00C278B7" w:rsidRPr="00D5464D">
        <w:rPr>
          <w:rFonts w:eastAsia="Batang" w:cs="Times"/>
          <w:szCs w:val="24"/>
          <w:lang w:val="pt-BR" w:eastAsia="es-ES"/>
        </w:rPr>
        <w:t>o</w:t>
      </w:r>
      <w:r w:rsidR="002C330E" w:rsidRPr="00D5464D">
        <w:rPr>
          <w:rFonts w:eastAsia="Batang" w:cs="Times"/>
          <w:szCs w:val="24"/>
          <w:lang w:val="pt-BR" w:eastAsia="es-ES"/>
        </w:rPr>
        <w:t xml:space="preserve"> pela </w:t>
      </w:r>
      <w:r w:rsidRPr="00D5464D">
        <w:rPr>
          <w:rFonts w:eastAsia="Batang" w:cs="Times"/>
          <w:szCs w:val="24"/>
          <w:lang w:val="pt-BR" w:eastAsia="es-ES"/>
        </w:rPr>
        <w:t>Comissão</w:t>
      </w:r>
      <w:r w:rsidR="00C278B7" w:rsidRPr="00D5464D">
        <w:rPr>
          <w:rFonts w:eastAsia="Batang" w:cs="Times"/>
          <w:szCs w:val="24"/>
          <w:lang w:val="pt-BR" w:eastAsia="es-ES"/>
        </w:rPr>
        <w:t xml:space="preserve"> o</w:t>
      </w:r>
      <w:r w:rsidR="00277655" w:rsidRPr="00D5464D">
        <w:rPr>
          <w:rFonts w:eastAsia="Batang" w:cs="Times"/>
          <w:szCs w:val="24"/>
          <w:lang w:val="pt-BR" w:eastAsia="es-ES"/>
        </w:rPr>
        <w:t>u</w:t>
      </w:r>
      <w:r w:rsidR="00C278B7" w:rsidRPr="00D5464D">
        <w:rPr>
          <w:rFonts w:eastAsia="Batang" w:cs="Times"/>
          <w:szCs w:val="24"/>
          <w:lang w:val="pt-BR" w:eastAsia="es-ES"/>
        </w:rPr>
        <w:t xml:space="preserve"> de </w:t>
      </w:r>
      <w:r w:rsidR="002C330E" w:rsidRPr="00D5464D">
        <w:rPr>
          <w:rFonts w:eastAsia="Batang" w:cs="Times"/>
          <w:szCs w:val="24"/>
          <w:lang w:val="pt-BR" w:eastAsia="es-ES"/>
        </w:rPr>
        <w:t>maneira</w:t>
      </w:r>
      <w:r w:rsidR="00277655" w:rsidRPr="00D5464D">
        <w:rPr>
          <w:rFonts w:eastAsia="Batang" w:cs="Times"/>
          <w:szCs w:val="24"/>
          <w:lang w:val="pt-BR" w:eastAsia="es-ES"/>
        </w:rPr>
        <w:t xml:space="preserve"> contrá</w:t>
      </w:r>
      <w:r w:rsidR="00C278B7" w:rsidRPr="00D5464D">
        <w:rPr>
          <w:rFonts w:eastAsia="Batang" w:cs="Times"/>
          <w:szCs w:val="24"/>
          <w:lang w:val="pt-BR" w:eastAsia="es-ES"/>
        </w:rPr>
        <w:t>ria</w:t>
      </w:r>
      <w:r w:rsidRPr="00D5464D">
        <w:rPr>
          <w:rFonts w:eastAsia="Batang" w:cs="Times"/>
          <w:szCs w:val="24"/>
          <w:lang w:val="pt-BR" w:eastAsia="es-ES"/>
        </w:rPr>
        <w:t xml:space="preserve"> ao estabelecid</w:t>
      </w:r>
      <w:r w:rsidR="00C278B7" w:rsidRPr="00D5464D">
        <w:rPr>
          <w:rFonts w:eastAsia="Batang" w:cs="Times"/>
          <w:szCs w:val="24"/>
          <w:lang w:val="pt-BR" w:eastAsia="es-ES"/>
        </w:rPr>
        <w:t>o</w:t>
      </w:r>
      <w:r w:rsidR="00E045D9" w:rsidRPr="00D5464D">
        <w:rPr>
          <w:rFonts w:eastAsia="Batang" w:cs="Times"/>
          <w:szCs w:val="24"/>
          <w:lang w:val="pt-BR" w:eastAsia="es-ES"/>
        </w:rPr>
        <w:t xml:space="preserve"> na </w:t>
      </w:r>
      <w:r w:rsidR="00C278B7" w:rsidRPr="00D5464D">
        <w:rPr>
          <w:rFonts w:eastAsia="Batang" w:cs="Times"/>
          <w:szCs w:val="24"/>
          <w:lang w:val="pt-BR" w:eastAsia="es-ES"/>
        </w:rPr>
        <w:t>Conven</w:t>
      </w:r>
      <w:r w:rsidRPr="00D5464D">
        <w:rPr>
          <w:rFonts w:eastAsia="Batang" w:cs="Times"/>
          <w:szCs w:val="24"/>
          <w:lang w:val="pt-BR" w:eastAsia="es-ES"/>
        </w:rPr>
        <w:t>ção</w:t>
      </w:r>
      <w:r w:rsidR="00C278B7" w:rsidRPr="00D5464D">
        <w:rPr>
          <w:rFonts w:eastAsia="Batang" w:cs="Times"/>
          <w:szCs w:val="24"/>
          <w:lang w:val="pt-BR" w:eastAsia="es-ES"/>
        </w:rPr>
        <w:t xml:space="preserve"> Americana.</w:t>
      </w:r>
    </w:p>
    <w:p w14:paraId="53682A9C" w14:textId="77777777" w:rsidR="000A52D5" w:rsidRPr="00D5464D" w:rsidRDefault="000A52D5" w:rsidP="00140440">
      <w:pPr>
        <w:tabs>
          <w:tab w:val="clear" w:pos="4419"/>
          <w:tab w:val="clear" w:pos="8838"/>
        </w:tabs>
        <w:jc w:val="both"/>
        <w:rPr>
          <w:rFonts w:eastAsia="Batang" w:cs="Times"/>
          <w:szCs w:val="24"/>
          <w:lang w:val="pt-BR" w:eastAsia="es-ES"/>
        </w:rPr>
      </w:pPr>
    </w:p>
    <w:p w14:paraId="11012727" w14:textId="3041BAFD" w:rsidR="000A52D5" w:rsidRPr="00D5464D" w:rsidRDefault="008E5DD1"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Diante do exposto</w:t>
      </w:r>
      <w:r w:rsidR="000A52D5" w:rsidRPr="00D5464D">
        <w:rPr>
          <w:rFonts w:eastAsia="Batang" w:cs="Times"/>
          <w:szCs w:val="24"/>
          <w:lang w:val="pt-BR" w:eastAsia="es-ES"/>
        </w:rPr>
        <w:t>,</w:t>
      </w:r>
      <w:r w:rsidR="002C330E" w:rsidRPr="00D5464D">
        <w:rPr>
          <w:rFonts w:eastAsia="Batang" w:cs="Times"/>
          <w:szCs w:val="24"/>
          <w:lang w:val="pt-BR" w:eastAsia="es-ES"/>
        </w:rPr>
        <w:t xml:space="preserve"> a </w:t>
      </w:r>
      <w:r w:rsidR="000A52D5" w:rsidRPr="00D5464D">
        <w:rPr>
          <w:rFonts w:eastAsia="Batang" w:cs="Times"/>
          <w:szCs w:val="24"/>
          <w:lang w:val="pt-BR" w:eastAsia="es-ES"/>
        </w:rPr>
        <w:t xml:space="preserve">Corte </w:t>
      </w:r>
      <w:r w:rsidR="00191500" w:rsidRPr="00D5464D">
        <w:rPr>
          <w:rFonts w:eastAsia="Batang" w:cs="Times"/>
          <w:szCs w:val="24"/>
          <w:lang w:val="pt-BR" w:eastAsia="es-ES"/>
        </w:rPr>
        <w:t>considera que</w:t>
      </w:r>
      <w:r w:rsidR="00470ADC" w:rsidRPr="00D5464D">
        <w:rPr>
          <w:rFonts w:eastAsia="Batang" w:cs="Times"/>
          <w:szCs w:val="24"/>
          <w:lang w:val="pt-BR" w:eastAsia="es-ES"/>
        </w:rPr>
        <w:t xml:space="preserve"> </w:t>
      </w:r>
      <w:r w:rsidR="00350187" w:rsidRPr="00D5464D">
        <w:rPr>
          <w:rFonts w:eastAsia="Batang" w:cs="Times"/>
          <w:szCs w:val="24"/>
          <w:lang w:val="pt-BR" w:eastAsia="es-ES"/>
        </w:rPr>
        <w:t>a alegação</w:t>
      </w:r>
      <w:r w:rsidR="00123606" w:rsidRPr="00D5464D">
        <w:rPr>
          <w:rFonts w:eastAsia="Batang" w:cs="Times"/>
          <w:szCs w:val="24"/>
          <w:lang w:val="pt-BR" w:eastAsia="es-ES"/>
        </w:rPr>
        <w:t xml:space="preserve"> </w:t>
      </w:r>
      <w:r w:rsidR="00470ADC" w:rsidRPr="00D5464D">
        <w:rPr>
          <w:rFonts w:eastAsia="Batang" w:cs="Times"/>
          <w:szCs w:val="24"/>
          <w:lang w:val="pt-BR" w:eastAsia="es-ES"/>
        </w:rPr>
        <w:t xml:space="preserve">do </w:t>
      </w:r>
      <w:r w:rsidR="00123606" w:rsidRPr="00D5464D">
        <w:rPr>
          <w:rFonts w:eastAsia="Batang" w:cs="Times"/>
          <w:szCs w:val="24"/>
          <w:lang w:val="pt-BR" w:eastAsia="es-ES"/>
        </w:rPr>
        <w:t>Estado</w:t>
      </w:r>
      <w:r w:rsidR="00470ADC" w:rsidRPr="00D5464D">
        <w:rPr>
          <w:rFonts w:eastAsia="Batang" w:cs="Times"/>
          <w:szCs w:val="24"/>
          <w:lang w:val="pt-BR" w:eastAsia="es-ES"/>
        </w:rPr>
        <w:t xml:space="preserve"> é </w:t>
      </w:r>
      <w:r w:rsidR="00123606" w:rsidRPr="00D5464D">
        <w:rPr>
          <w:rFonts w:eastAsia="Batang" w:cs="Times"/>
          <w:szCs w:val="24"/>
          <w:lang w:val="pt-BR" w:eastAsia="es-ES"/>
        </w:rPr>
        <w:t xml:space="preserve">improcedente. </w:t>
      </w:r>
    </w:p>
    <w:p w14:paraId="7447CB65" w14:textId="77777777" w:rsidR="00544C53" w:rsidRPr="00D5464D" w:rsidRDefault="00544C53" w:rsidP="00140440">
      <w:pPr>
        <w:tabs>
          <w:tab w:val="clear" w:pos="4419"/>
          <w:tab w:val="clear" w:pos="8838"/>
        </w:tabs>
        <w:jc w:val="both"/>
        <w:rPr>
          <w:rFonts w:eastAsia="Batang" w:cs="Times"/>
          <w:szCs w:val="24"/>
          <w:u w:val="single"/>
          <w:lang w:val="pt-BR" w:eastAsia="es-ES"/>
        </w:rPr>
      </w:pPr>
    </w:p>
    <w:p w14:paraId="0152E5CB" w14:textId="003FD163" w:rsidR="000A52D5" w:rsidRPr="00D5464D" w:rsidRDefault="000A52D5" w:rsidP="00F306D7">
      <w:pPr>
        <w:pStyle w:val="Ttulo2"/>
        <w:numPr>
          <w:ilvl w:val="0"/>
          <w:numId w:val="15"/>
        </w:numPr>
        <w:rPr>
          <w:rFonts w:eastAsia="Batang"/>
          <w:lang w:val="pt-BR" w:eastAsia="es-ES"/>
        </w:rPr>
      </w:pPr>
      <w:bookmarkStart w:id="57" w:name="_Toc468433852"/>
      <w:r w:rsidRPr="00D5464D">
        <w:rPr>
          <w:rFonts w:eastAsia="Batang"/>
          <w:lang w:val="pt-BR" w:eastAsia="es-ES"/>
        </w:rPr>
        <w:t>Alegada in</w:t>
      </w:r>
      <w:r w:rsidR="00470ADC" w:rsidRPr="00D5464D">
        <w:rPr>
          <w:rFonts w:eastAsia="Batang"/>
          <w:lang w:val="pt-BR" w:eastAsia="es-ES"/>
        </w:rPr>
        <w:t>competência</w:t>
      </w:r>
      <w:r w:rsidRPr="00D5464D">
        <w:rPr>
          <w:rFonts w:eastAsia="Batang"/>
          <w:lang w:val="pt-BR" w:eastAsia="es-ES"/>
        </w:rPr>
        <w:t xml:space="preserve"> </w:t>
      </w:r>
      <w:r w:rsidR="00477681" w:rsidRPr="00D5464D">
        <w:rPr>
          <w:rFonts w:eastAsia="Batang"/>
          <w:lang w:val="pt-BR" w:eastAsia="es-ES"/>
        </w:rPr>
        <w:t>ratione personae</w:t>
      </w:r>
      <w:r w:rsidRPr="00D5464D">
        <w:rPr>
          <w:rFonts w:eastAsia="Batang"/>
          <w:lang w:val="pt-BR" w:eastAsia="es-ES"/>
        </w:rPr>
        <w:t xml:space="preserve"> </w:t>
      </w:r>
      <w:r w:rsidR="002C330E" w:rsidRPr="00D5464D">
        <w:rPr>
          <w:rFonts w:eastAsia="Batang"/>
          <w:lang w:val="pt-BR" w:eastAsia="es-ES"/>
        </w:rPr>
        <w:t>a respeito</w:t>
      </w:r>
      <w:r w:rsidR="00470ADC" w:rsidRPr="00D5464D">
        <w:rPr>
          <w:rFonts w:eastAsia="Batang"/>
          <w:lang w:val="pt-BR" w:eastAsia="es-ES"/>
        </w:rPr>
        <w:t xml:space="preserve"> das </w:t>
      </w:r>
      <w:r w:rsidR="002C330E" w:rsidRPr="00D5464D">
        <w:rPr>
          <w:rFonts w:eastAsia="Batang"/>
          <w:lang w:val="pt-BR" w:eastAsia="es-ES"/>
        </w:rPr>
        <w:t>suposta</w:t>
      </w:r>
      <w:r w:rsidRPr="00D5464D">
        <w:rPr>
          <w:rFonts w:eastAsia="Batang"/>
          <w:lang w:val="pt-BR" w:eastAsia="es-ES"/>
        </w:rPr>
        <w:t xml:space="preserve">s </w:t>
      </w:r>
      <w:r w:rsidR="00E045D9" w:rsidRPr="00D5464D">
        <w:rPr>
          <w:rFonts w:eastAsia="Batang"/>
          <w:lang w:val="pt-BR" w:eastAsia="es-ES"/>
        </w:rPr>
        <w:t>vítima</w:t>
      </w:r>
      <w:r w:rsidRPr="00D5464D">
        <w:rPr>
          <w:rFonts w:eastAsia="Batang"/>
          <w:lang w:val="pt-BR" w:eastAsia="es-ES"/>
        </w:rPr>
        <w:t>s</w:t>
      </w:r>
      <w:bookmarkEnd w:id="57"/>
    </w:p>
    <w:p w14:paraId="64465936" w14:textId="77777777" w:rsidR="000A52D5" w:rsidRPr="00D5464D" w:rsidRDefault="000A52D5" w:rsidP="00140440">
      <w:pPr>
        <w:tabs>
          <w:tab w:val="clear" w:pos="4419"/>
          <w:tab w:val="clear" w:pos="8838"/>
        </w:tabs>
        <w:jc w:val="both"/>
        <w:rPr>
          <w:rFonts w:eastAsia="Batang" w:cs="Times"/>
          <w:b/>
          <w:szCs w:val="24"/>
          <w:lang w:val="pt-BR" w:eastAsia="es-ES"/>
        </w:rPr>
      </w:pPr>
      <w:r w:rsidRPr="00D5464D">
        <w:rPr>
          <w:rFonts w:eastAsia="Batang" w:cs="Times"/>
          <w:b/>
          <w:szCs w:val="24"/>
          <w:lang w:val="pt-BR" w:eastAsia="es-ES"/>
        </w:rPr>
        <w:t xml:space="preserve"> </w:t>
      </w:r>
    </w:p>
    <w:p w14:paraId="79D95CDC" w14:textId="3EA78E58" w:rsidR="000A52D5" w:rsidRPr="00D5464D" w:rsidRDefault="00E765C2"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A seguir</w:t>
      </w:r>
      <w:r w:rsidR="000A52D5" w:rsidRPr="00D5464D">
        <w:rPr>
          <w:rFonts w:eastAsia="Batang" w:cs="Times"/>
          <w:szCs w:val="24"/>
          <w:lang w:val="pt-BR" w:eastAsia="es-ES"/>
        </w:rPr>
        <w:t xml:space="preserve">, </w:t>
      </w:r>
      <w:r w:rsidR="00277655" w:rsidRPr="00D5464D">
        <w:rPr>
          <w:rFonts w:eastAsia="Batang" w:cs="Times"/>
          <w:szCs w:val="24"/>
          <w:lang w:val="pt-BR" w:eastAsia="es-ES"/>
        </w:rPr>
        <w:t xml:space="preserve">indicar-se-á, </w:t>
      </w:r>
      <w:r w:rsidR="00470ADC" w:rsidRPr="00D5464D">
        <w:rPr>
          <w:rFonts w:eastAsia="Batang" w:cs="Times"/>
          <w:szCs w:val="24"/>
          <w:lang w:val="pt-BR" w:eastAsia="es-ES"/>
        </w:rPr>
        <w:t>em</w:t>
      </w:r>
      <w:r w:rsidR="002C330E" w:rsidRPr="00D5464D">
        <w:rPr>
          <w:rFonts w:eastAsia="Batang" w:cs="Times"/>
          <w:szCs w:val="24"/>
          <w:lang w:val="pt-BR" w:eastAsia="es-ES"/>
        </w:rPr>
        <w:t xml:space="preserve"> primeiro </w:t>
      </w:r>
      <w:r w:rsidR="000A52D5" w:rsidRPr="00D5464D">
        <w:rPr>
          <w:rFonts w:eastAsia="Batang" w:cs="Times"/>
          <w:szCs w:val="24"/>
          <w:lang w:val="pt-BR" w:eastAsia="es-ES"/>
        </w:rPr>
        <w:t>lugar</w:t>
      </w:r>
      <w:r w:rsidR="00277655" w:rsidRPr="00D5464D">
        <w:rPr>
          <w:rFonts w:eastAsia="Batang" w:cs="Times"/>
          <w:szCs w:val="24"/>
          <w:lang w:val="pt-BR" w:eastAsia="es-ES"/>
        </w:rPr>
        <w:t>,</w:t>
      </w:r>
      <w:r w:rsidR="002C330E" w:rsidRPr="00D5464D">
        <w:rPr>
          <w:rFonts w:eastAsia="Batang" w:cs="Times"/>
          <w:szCs w:val="24"/>
          <w:lang w:val="pt-BR" w:eastAsia="es-ES"/>
        </w:rPr>
        <w:t xml:space="preserve"> as alegações </w:t>
      </w:r>
      <w:r w:rsidR="00470ADC" w:rsidRPr="00D5464D">
        <w:rPr>
          <w:rFonts w:eastAsia="Batang" w:cs="Times"/>
          <w:szCs w:val="24"/>
          <w:lang w:val="pt-BR" w:eastAsia="es-ES"/>
        </w:rPr>
        <w:t xml:space="preserve">do </w:t>
      </w:r>
      <w:r w:rsidR="000A52D5" w:rsidRPr="00D5464D">
        <w:rPr>
          <w:rFonts w:eastAsia="Batang" w:cs="Times"/>
          <w:szCs w:val="24"/>
          <w:lang w:val="pt-BR" w:eastAsia="es-ES"/>
        </w:rPr>
        <w:t>Estado</w:t>
      </w:r>
      <w:r w:rsidR="00C278B7" w:rsidRPr="00D5464D">
        <w:rPr>
          <w:rFonts w:eastAsia="Batang" w:cs="Times"/>
          <w:szCs w:val="24"/>
          <w:lang w:val="pt-BR" w:eastAsia="es-ES"/>
        </w:rPr>
        <w:t xml:space="preserve"> sobre</w:t>
      </w:r>
      <w:r w:rsidR="002C330E" w:rsidRPr="00D5464D">
        <w:rPr>
          <w:rFonts w:eastAsia="Batang" w:cs="Times"/>
          <w:szCs w:val="24"/>
          <w:lang w:val="pt-BR" w:eastAsia="es-ES"/>
        </w:rPr>
        <w:t xml:space="preserve"> as </w:t>
      </w:r>
      <w:r w:rsidR="00470ADC" w:rsidRPr="00D5464D">
        <w:rPr>
          <w:rFonts w:eastAsia="Batang" w:cs="Times"/>
          <w:szCs w:val="24"/>
          <w:lang w:val="pt-BR" w:eastAsia="es-ES"/>
        </w:rPr>
        <w:t>exceções</w:t>
      </w:r>
      <w:r w:rsidR="005862BF" w:rsidRPr="00D5464D">
        <w:rPr>
          <w:rFonts w:eastAsia="Batang" w:cs="Times"/>
          <w:szCs w:val="24"/>
          <w:lang w:val="pt-BR" w:eastAsia="es-ES"/>
        </w:rPr>
        <w:t xml:space="preserve"> relacionadas a </w:t>
      </w:r>
      <w:r w:rsidR="002C330E" w:rsidRPr="00D5464D">
        <w:rPr>
          <w:rFonts w:eastAsia="Batang" w:cs="Times"/>
          <w:szCs w:val="24"/>
          <w:lang w:val="pt-BR" w:eastAsia="es-ES"/>
        </w:rPr>
        <w:t>suposta</w:t>
      </w:r>
      <w:r w:rsidR="005862BF" w:rsidRPr="00D5464D">
        <w:rPr>
          <w:rFonts w:eastAsia="Batang" w:cs="Times"/>
          <w:szCs w:val="24"/>
          <w:lang w:val="pt-BR" w:eastAsia="es-ES"/>
        </w:rPr>
        <w:t xml:space="preserve">s </w:t>
      </w:r>
      <w:r w:rsidR="00E045D9" w:rsidRPr="00D5464D">
        <w:rPr>
          <w:rFonts w:eastAsia="Batang" w:cs="Times"/>
          <w:szCs w:val="24"/>
          <w:lang w:val="pt-BR" w:eastAsia="es-ES"/>
        </w:rPr>
        <w:t>vítima</w:t>
      </w:r>
      <w:r w:rsidR="005862BF" w:rsidRPr="00D5464D">
        <w:rPr>
          <w:rFonts w:eastAsia="Batang" w:cs="Times"/>
          <w:szCs w:val="24"/>
          <w:lang w:val="pt-BR" w:eastAsia="es-ES"/>
        </w:rPr>
        <w:t>s: i) identificadas</w:t>
      </w:r>
      <w:r w:rsidR="00E045D9" w:rsidRPr="00D5464D">
        <w:rPr>
          <w:rFonts w:eastAsia="Batang" w:cs="Times"/>
          <w:szCs w:val="24"/>
          <w:lang w:val="pt-BR" w:eastAsia="es-ES"/>
        </w:rPr>
        <w:t xml:space="preserve"> e </w:t>
      </w:r>
      <w:r w:rsidR="005862BF" w:rsidRPr="00D5464D">
        <w:rPr>
          <w:rFonts w:eastAsia="Batang" w:cs="Times"/>
          <w:szCs w:val="24"/>
          <w:lang w:val="pt-BR" w:eastAsia="es-ES"/>
        </w:rPr>
        <w:t>representadas; ii)</w:t>
      </w:r>
      <w:r w:rsidR="002C330E" w:rsidRPr="00D5464D">
        <w:rPr>
          <w:rFonts w:eastAsia="Batang" w:cs="Times"/>
          <w:szCs w:val="24"/>
          <w:lang w:val="pt-BR" w:eastAsia="es-ES"/>
        </w:rPr>
        <w:t xml:space="preserve"> sem </w:t>
      </w:r>
      <w:r w:rsidR="00E045D9" w:rsidRPr="00D5464D">
        <w:rPr>
          <w:rFonts w:eastAsia="Batang" w:cs="Times"/>
          <w:szCs w:val="24"/>
          <w:lang w:val="pt-BR" w:eastAsia="es-ES"/>
        </w:rPr>
        <w:t>comprovação</w:t>
      </w:r>
      <w:r w:rsidR="005862BF" w:rsidRPr="00D5464D">
        <w:rPr>
          <w:rFonts w:eastAsia="Batang" w:cs="Times"/>
          <w:szCs w:val="24"/>
          <w:lang w:val="pt-BR" w:eastAsia="es-ES"/>
        </w:rPr>
        <w:t xml:space="preserve"> de representa</w:t>
      </w:r>
      <w:r w:rsidR="00470ADC" w:rsidRPr="00D5464D">
        <w:rPr>
          <w:rFonts w:eastAsia="Batang" w:cs="Times"/>
          <w:szCs w:val="24"/>
          <w:lang w:val="pt-BR" w:eastAsia="es-ES"/>
        </w:rPr>
        <w:t>ção</w:t>
      </w:r>
      <w:r w:rsidR="005862BF" w:rsidRPr="00D5464D">
        <w:rPr>
          <w:rFonts w:eastAsia="Batang" w:cs="Times"/>
          <w:szCs w:val="24"/>
          <w:lang w:val="pt-BR" w:eastAsia="es-ES"/>
        </w:rPr>
        <w:t>; iii)</w:t>
      </w:r>
      <w:r w:rsidR="002C330E" w:rsidRPr="00D5464D">
        <w:rPr>
          <w:rFonts w:eastAsia="Batang" w:cs="Times"/>
          <w:szCs w:val="24"/>
          <w:lang w:val="pt-BR" w:eastAsia="es-ES"/>
        </w:rPr>
        <w:t xml:space="preserve"> sem </w:t>
      </w:r>
      <w:r w:rsidR="00933DE1" w:rsidRPr="00D5464D">
        <w:rPr>
          <w:rFonts w:eastAsia="Batang" w:cs="Times"/>
          <w:szCs w:val="24"/>
          <w:lang w:val="pt-BR" w:eastAsia="es-ES"/>
        </w:rPr>
        <w:t>procuração</w:t>
      </w:r>
      <w:r w:rsidR="005862BF" w:rsidRPr="00D5464D">
        <w:rPr>
          <w:rFonts w:eastAsia="Batang" w:cs="Times"/>
          <w:szCs w:val="24"/>
          <w:lang w:val="pt-BR" w:eastAsia="es-ES"/>
        </w:rPr>
        <w:t>; iv)</w:t>
      </w:r>
      <w:r w:rsidR="002C330E" w:rsidRPr="00D5464D">
        <w:rPr>
          <w:rFonts w:eastAsia="Batang" w:cs="Times"/>
          <w:szCs w:val="24"/>
          <w:lang w:val="pt-BR" w:eastAsia="es-ES"/>
        </w:rPr>
        <w:t xml:space="preserve"> sem </w:t>
      </w:r>
      <w:r w:rsidR="005862BF" w:rsidRPr="00D5464D">
        <w:rPr>
          <w:rFonts w:eastAsia="Batang" w:cs="Times"/>
          <w:szCs w:val="24"/>
          <w:lang w:val="pt-BR" w:eastAsia="es-ES"/>
        </w:rPr>
        <w:t>rela</w:t>
      </w:r>
      <w:r w:rsidR="00470ADC" w:rsidRPr="00D5464D">
        <w:rPr>
          <w:rFonts w:eastAsia="Batang" w:cs="Times"/>
          <w:szCs w:val="24"/>
          <w:lang w:val="pt-BR" w:eastAsia="es-ES"/>
        </w:rPr>
        <w:t>ção com</w:t>
      </w:r>
      <w:r w:rsidR="002C330E" w:rsidRPr="00D5464D">
        <w:rPr>
          <w:rFonts w:eastAsia="Batang" w:cs="Times"/>
          <w:szCs w:val="24"/>
          <w:lang w:val="pt-BR" w:eastAsia="es-ES"/>
        </w:rPr>
        <w:t xml:space="preserve"> os fatos</w:t>
      </w:r>
      <w:r w:rsidR="005862BF" w:rsidRPr="00D5464D">
        <w:rPr>
          <w:rFonts w:eastAsia="Batang" w:cs="Times"/>
          <w:szCs w:val="24"/>
          <w:lang w:val="pt-BR" w:eastAsia="es-ES"/>
        </w:rPr>
        <w:t xml:space="preserve"> </w:t>
      </w:r>
      <w:r w:rsidR="00470ADC" w:rsidRPr="00D5464D">
        <w:rPr>
          <w:rFonts w:eastAsia="Batang" w:cs="Times"/>
          <w:szCs w:val="24"/>
          <w:lang w:val="pt-BR" w:eastAsia="es-ES"/>
        </w:rPr>
        <w:t xml:space="preserve">do </w:t>
      </w:r>
      <w:r w:rsidR="005862BF" w:rsidRPr="00D5464D">
        <w:rPr>
          <w:rFonts w:eastAsia="Batang" w:cs="Times"/>
          <w:szCs w:val="24"/>
          <w:lang w:val="pt-BR" w:eastAsia="es-ES"/>
        </w:rPr>
        <w:t>caso; v)</w:t>
      </w:r>
      <w:r w:rsidR="00470ADC" w:rsidRPr="00D5464D">
        <w:rPr>
          <w:rFonts w:eastAsia="Batang" w:cs="Times"/>
          <w:szCs w:val="24"/>
          <w:lang w:val="pt-BR" w:eastAsia="es-ES"/>
        </w:rPr>
        <w:t xml:space="preserve"> com </w:t>
      </w:r>
      <w:r w:rsidR="002C330E" w:rsidRPr="00D5464D">
        <w:rPr>
          <w:rFonts w:eastAsia="Batang" w:cs="Times"/>
          <w:szCs w:val="24"/>
          <w:lang w:val="pt-BR" w:eastAsia="es-ES"/>
        </w:rPr>
        <w:t xml:space="preserve">identidade </w:t>
      </w:r>
      <w:r w:rsidR="005862BF" w:rsidRPr="00D5464D">
        <w:rPr>
          <w:rFonts w:eastAsia="Batang" w:cs="Times"/>
          <w:szCs w:val="24"/>
          <w:lang w:val="pt-BR" w:eastAsia="es-ES"/>
        </w:rPr>
        <w:t>distinta o</w:t>
      </w:r>
      <w:r w:rsidR="00277655" w:rsidRPr="00D5464D">
        <w:rPr>
          <w:rFonts w:eastAsia="Batang" w:cs="Times"/>
          <w:szCs w:val="24"/>
          <w:lang w:val="pt-BR" w:eastAsia="es-ES"/>
        </w:rPr>
        <w:t>u</w:t>
      </w:r>
      <w:r w:rsidR="005862BF" w:rsidRPr="00D5464D">
        <w:rPr>
          <w:rFonts w:eastAsia="Batang" w:cs="Times"/>
          <w:szCs w:val="24"/>
          <w:lang w:val="pt-BR" w:eastAsia="es-ES"/>
        </w:rPr>
        <w:t xml:space="preserve"> falta de </w:t>
      </w:r>
      <w:r w:rsidR="00470ADC" w:rsidRPr="00D5464D">
        <w:rPr>
          <w:rFonts w:eastAsia="Batang" w:cs="Times"/>
          <w:szCs w:val="24"/>
          <w:lang w:val="pt-BR" w:eastAsia="es-ES"/>
        </w:rPr>
        <w:t xml:space="preserve">devida </w:t>
      </w:r>
      <w:r w:rsidR="005862BF" w:rsidRPr="00D5464D">
        <w:rPr>
          <w:rFonts w:eastAsia="Batang" w:cs="Times"/>
          <w:szCs w:val="24"/>
          <w:lang w:val="pt-BR" w:eastAsia="es-ES"/>
        </w:rPr>
        <w:t>representa</w:t>
      </w:r>
      <w:r w:rsidR="00470ADC" w:rsidRPr="00D5464D">
        <w:rPr>
          <w:rFonts w:eastAsia="Batang" w:cs="Times"/>
          <w:szCs w:val="24"/>
          <w:lang w:val="pt-BR" w:eastAsia="es-ES"/>
        </w:rPr>
        <w:t>ção</w:t>
      </w:r>
      <w:r w:rsidR="005862BF" w:rsidRPr="00D5464D">
        <w:rPr>
          <w:rFonts w:eastAsia="Batang" w:cs="Times"/>
          <w:szCs w:val="24"/>
          <w:lang w:val="pt-BR" w:eastAsia="es-ES"/>
        </w:rPr>
        <w:t xml:space="preserve"> por familiares</w:t>
      </w:r>
      <w:r w:rsidR="00470ADC" w:rsidRPr="00D5464D">
        <w:rPr>
          <w:rFonts w:eastAsia="Batang" w:cs="Times"/>
          <w:szCs w:val="24"/>
          <w:lang w:val="pt-BR" w:eastAsia="es-ES"/>
        </w:rPr>
        <w:t>, e</w:t>
      </w:r>
      <w:r w:rsidR="005862BF" w:rsidRPr="00D5464D">
        <w:rPr>
          <w:rFonts w:eastAsia="Batang" w:cs="Times"/>
          <w:szCs w:val="24"/>
          <w:lang w:val="pt-BR" w:eastAsia="es-ES"/>
        </w:rPr>
        <w:t xml:space="preserve"> vi) </w:t>
      </w:r>
      <w:r w:rsidR="00737270" w:rsidRPr="00D5464D">
        <w:rPr>
          <w:rFonts w:eastAsia="Batang" w:cs="Times"/>
          <w:szCs w:val="24"/>
          <w:lang w:val="pt-BR" w:eastAsia="es-ES"/>
        </w:rPr>
        <w:t>que não foram</w:t>
      </w:r>
      <w:r w:rsidR="005862BF" w:rsidRPr="00D5464D">
        <w:rPr>
          <w:rFonts w:eastAsia="Batang" w:cs="Times"/>
          <w:szCs w:val="24"/>
          <w:lang w:val="pt-BR" w:eastAsia="es-ES"/>
        </w:rPr>
        <w:t xml:space="preserve"> mencionadas</w:t>
      </w:r>
      <w:r w:rsidR="00E045D9" w:rsidRPr="00D5464D">
        <w:rPr>
          <w:rFonts w:eastAsia="Batang" w:cs="Times"/>
          <w:szCs w:val="24"/>
          <w:lang w:val="pt-BR" w:eastAsia="es-ES"/>
        </w:rPr>
        <w:t xml:space="preserve"> no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de Mérito</w:t>
      </w:r>
      <w:r w:rsidR="00C91CB1" w:rsidRPr="00D5464D">
        <w:rPr>
          <w:rFonts w:eastAsia="Batang" w:cs="Times"/>
          <w:szCs w:val="24"/>
          <w:lang w:val="pt-BR" w:eastAsia="es-ES"/>
        </w:rPr>
        <w:t xml:space="preserve">. Em </w:t>
      </w:r>
      <w:r w:rsidR="000A52D5" w:rsidRPr="00D5464D">
        <w:rPr>
          <w:rFonts w:eastAsia="Batang" w:cs="Times"/>
          <w:szCs w:val="24"/>
          <w:lang w:val="pt-BR" w:eastAsia="es-ES"/>
        </w:rPr>
        <w:t>segundo lugar</w:t>
      </w:r>
      <w:r w:rsidR="005862BF" w:rsidRPr="00D5464D">
        <w:rPr>
          <w:rFonts w:eastAsia="Batang" w:cs="Times"/>
          <w:szCs w:val="24"/>
          <w:lang w:val="pt-BR" w:eastAsia="es-ES"/>
        </w:rPr>
        <w:t>,</w:t>
      </w:r>
      <w:r w:rsidR="002C330E" w:rsidRPr="00D5464D">
        <w:rPr>
          <w:rFonts w:eastAsia="Batang" w:cs="Times"/>
          <w:szCs w:val="24"/>
          <w:lang w:val="pt-BR" w:eastAsia="es-ES"/>
        </w:rPr>
        <w:t xml:space="preserve"> a </w:t>
      </w:r>
      <w:r w:rsidR="005862BF" w:rsidRPr="00D5464D">
        <w:rPr>
          <w:rFonts w:eastAsia="Batang" w:cs="Times"/>
          <w:szCs w:val="24"/>
          <w:lang w:val="pt-BR" w:eastAsia="es-ES"/>
        </w:rPr>
        <w:t xml:space="preserve">Corte </w:t>
      </w:r>
      <w:r w:rsidR="002C330E" w:rsidRPr="00D5464D">
        <w:rPr>
          <w:rFonts w:eastAsia="Batang" w:cs="Times"/>
          <w:szCs w:val="24"/>
          <w:lang w:val="pt-BR" w:eastAsia="es-ES"/>
        </w:rPr>
        <w:t>resum</w:t>
      </w:r>
      <w:r w:rsidR="00277655" w:rsidRPr="00D5464D">
        <w:rPr>
          <w:rFonts w:eastAsia="Batang" w:cs="Times"/>
          <w:szCs w:val="24"/>
          <w:lang w:val="pt-BR" w:eastAsia="es-ES"/>
        </w:rPr>
        <w:t>i</w:t>
      </w:r>
      <w:r w:rsidR="005862BF" w:rsidRPr="00D5464D">
        <w:rPr>
          <w:rFonts w:eastAsia="Batang" w:cs="Times"/>
          <w:szCs w:val="24"/>
          <w:lang w:val="pt-BR" w:eastAsia="es-ES"/>
        </w:rPr>
        <w:t>rá</w:t>
      </w:r>
      <w:r w:rsidR="002C330E" w:rsidRPr="00D5464D">
        <w:rPr>
          <w:rFonts w:eastAsia="Batang" w:cs="Times"/>
          <w:szCs w:val="24"/>
          <w:lang w:val="pt-BR" w:eastAsia="es-ES"/>
        </w:rPr>
        <w:t xml:space="preserve"> as </w:t>
      </w:r>
      <w:r w:rsidR="000A52D5" w:rsidRPr="00D5464D">
        <w:rPr>
          <w:rFonts w:eastAsia="Batang" w:cs="Times"/>
          <w:szCs w:val="24"/>
          <w:lang w:val="pt-BR" w:eastAsia="es-ES"/>
        </w:rPr>
        <w:t>observa</w:t>
      </w:r>
      <w:r w:rsidR="00470ADC" w:rsidRPr="00D5464D">
        <w:rPr>
          <w:rFonts w:eastAsia="Batang" w:cs="Times"/>
          <w:szCs w:val="24"/>
          <w:lang w:val="pt-BR" w:eastAsia="es-ES"/>
        </w:rPr>
        <w:t>ções da Comissão</w:t>
      </w:r>
      <w:r w:rsidR="00E045D9" w:rsidRPr="00D5464D">
        <w:rPr>
          <w:rFonts w:eastAsia="Batang" w:cs="Times"/>
          <w:szCs w:val="24"/>
          <w:lang w:val="pt-BR" w:eastAsia="es-ES"/>
        </w:rPr>
        <w:t xml:space="preserve"> e </w:t>
      </w:r>
      <w:r w:rsidR="00470ADC" w:rsidRPr="00D5464D">
        <w:rPr>
          <w:rFonts w:eastAsia="Batang" w:cs="Times"/>
          <w:szCs w:val="24"/>
          <w:lang w:val="pt-BR" w:eastAsia="es-ES"/>
        </w:rPr>
        <w:t xml:space="preserve">dos </w:t>
      </w:r>
      <w:r w:rsidR="00EB1CE9" w:rsidRPr="00D5464D">
        <w:rPr>
          <w:rFonts w:eastAsia="Batang" w:cs="Times"/>
          <w:szCs w:val="24"/>
          <w:lang w:val="pt-BR" w:eastAsia="es-ES"/>
        </w:rPr>
        <w:t>representante</w:t>
      </w:r>
      <w:r w:rsidR="000A52D5" w:rsidRPr="00D5464D">
        <w:rPr>
          <w:rFonts w:eastAsia="Batang" w:cs="Times"/>
          <w:szCs w:val="24"/>
          <w:lang w:val="pt-BR" w:eastAsia="es-ES"/>
        </w:rPr>
        <w:t>s. Posteriormente</w:t>
      </w:r>
      <w:r w:rsidR="00277655" w:rsidRPr="00D5464D">
        <w:rPr>
          <w:rFonts w:eastAsia="Batang" w:cs="Times"/>
          <w:szCs w:val="24"/>
          <w:lang w:val="pt-BR" w:eastAsia="es-ES"/>
        </w:rPr>
        <w:t>,</w:t>
      </w:r>
      <w:r w:rsidR="000A52D5" w:rsidRPr="00D5464D">
        <w:rPr>
          <w:rFonts w:eastAsia="Batang" w:cs="Times"/>
          <w:szCs w:val="24"/>
          <w:lang w:val="pt-BR" w:eastAsia="es-ES"/>
        </w:rPr>
        <w:t xml:space="preserve"> realizará</w:t>
      </w:r>
      <w:r w:rsidR="00230C71" w:rsidRPr="00D5464D">
        <w:rPr>
          <w:rFonts w:eastAsia="Batang" w:cs="Times"/>
          <w:szCs w:val="24"/>
          <w:lang w:val="pt-BR" w:eastAsia="es-ES"/>
        </w:rPr>
        <w:t xml:space="preserve"> a análise</w:t>
      </w:r>
      <w:r w:rsidR="000A52D5" w:rsidRPr="00D5464D">
        <w:rPr>
          <w:rFonts w:eastAsia="Batang" w:cs="Times"/>
          <w:szCs w:val="24"/>
          <w:lang w:val="pt-BR" w:eastAsia="es-ES"/>
        </w:rPr>
        <w:t xml:space="preserve"> </w:t>
      </w:r>
      <w:r w:rsidR="00470ADC" w:rsidRPr="00D5464D">
        <w:rPr>
          <w:rFonts w:eastAsia="Batang" w:cs="Times"/>
          <w:szCs w:val="24"/>
          <w:lang w:val="pt-BR" w:eastAsia="es-ES"/>
        </w:rPr>
        <w:t>correspondente</w:t>
      </w:r>
      <w:r w:rsidR="000A52D5" w:rsidRPr="00D5464D">
        <w:rPr>
          <w:rFonts w:eastAsia="Batang" w:cs="Times"/>
          <w:szCs w:val="24"/>
          <w:lang w:val="pt-BR" w:eastAsia="es-ES"/>
        </w:rPr>
        <w:t xml:space="preserve">. </w:t>
      </w:r>
    </w:p>
    <w:p w14:paraId="22CC4CF9" w14:textId="4B58CDCC" w:rsidR="000A52D5" w:rsidRPr="00D5464D" w:rsidRDefault="000A52D5" w:rsidP="00140440">
      <w:pPr>
        <w:tabs>
          <w:tab w:val="clear" w:pos="4419"/>
          <w:tab w:val="clear" w:pos="8838"/>
        </w:tabs>
        <w:jc w:val="both"/>
        <w:rPr>
          <w:rFonts w:eastAsia="Batang" w:cs="Times"/>
          <w:i/>
          <w:szCs w:val="24"/>
          <w:lang w:val="pt-BR" w:eastAsia="es-ES"/>
        </w:rPr>
      </w:pPr>
    </w:p>
    <w:p w14:paraId="12B1B969" w14:textId="6D5313AB" w:rsidR="000A52D5" w:rsidRPr="00D5464D" w:rsidRDefault="000A52D5" w:rsidP="000A20C1">
      <w:pPr>
        <w:pStyle w:val="Ttulo3"/>
        <w:rPr>
          <w:lang w:val="pt-BR" w:eastAsia="es-ES"/>
        </w:rPr>
      </w:pPr>
      <w:bookmarkStart w:id="58" w:name="_Toc460432965"/>
      <w:bookmarkStart w:id="59" w:name="_Toc460441896"/>
      <w:bookmarkStart w:id="60" w:name="_Toc462750716"/>
      <w:bookmarkStart w:id="61" w:name="_Toc462751040"/>
      <w:bookmarkStart w:id="62" w:name="_Toc464813892"/>
      <w:bookmarkStart w:id="63" w:name="_Toc468433853"/>
      <w:r w:rsidRPr="00D5464D">
        <w:rPr>
          <w:lang w:val="pt-BR" w:eastAsia="es-ES"/>
        </w:rPr>
        <w:t xml:space="preserve">B.1. </w:t>
      </w:r>
      <w:r w:rsidR="00470ADC" w:rsidRPr="00D5464D">
        <w:rPr>
          <w:lang w:val="pt-BR" w:eastAsia="es-ES"/>
        </w:rPr>
        <w:t>Alegações</w:t>
      </w:r>
      <w:r w:rsidRPr="00D5464D">
        <w:rPr>
          <w:lang w:val="pt-BR" w:eastAsia="es-ES"/>
        </w:rPr>
        <w:t xml:space="preserve"> </w:t>
      </w:r>
      <w:r w:rsidR="00470ADC" w:rsidRPr="00D5464D">
        <w:rPr>
          <w:lang w:val="pt-BR" w:eastAsia="es-ES"/>
        </w:rPr>
        <w:t xml:space="preserve">do </w:t>
      </w:r>
      <w:r w:rsidRPr="00D5464D">
        <w:rPr>
          <w:lang w:val="pt-BR" w:eastAsia="es-ES"/>
        </w:rPr>
        <w:t>Estado</w:t>
      </w:r>
      <w:bookmarkEnd w:id="58"/>
      <w:bookmarkEnd w:id="59"/>
      <w:bookmarkEnd w:id="60"/>
      <w:bookmarkEnd w:id="61"/>
      <w:bookmarkEnd w:id="62"/>
      <w:bookmarkEnd w:id="63"/>
    </w:p>
    <w:p w14:paraId="4722B986" w14:textId="77777777" w:rsidR="000A52D5" w:rsidRPr="00D5464D" w:rsidRDefault="000A52D5" w:rsidP="00140440">
      <w:pPr>
        <w:tabs>
          <w:tab w:val="clear" w:pos="4419"/>
          <w:tab w:val="clear" w:pos="8838"/>
        </w:tabs>
        <w:jc w:val="both"/>
        <w:rPr>
          <w:rFonts w:eastAsia="Batang" w:cs="Times"/>
          <w:szCs w:val="24"/>
          <w:lang w:val="pt-BR" w:eastAsia="es-ES"/>
        </w:rPr>
      </w:pPr>
    </w:p>
    <w:p w14:paraId="1A34355B" w14:textId="2DE7F88C" w:rsidR="000A52D5" w:rsidRPr="00D5464D" w:rsidRDefault="002C330E" w:rsidP="00217CA8">
      <w:pPr>
        <w:numPr>
          <w:ilvl w:val="0"/>
          <w:numId w:val="10"/>
        </w:numPr>
        <w:tabs>
          <w:tab w:val="clear" w:pos="4419"/>
          <w:tab w:val="clear" w:pos="8838"/>
        </w:tabs>
        <w:jc w:val="both"/>
        <w:rPr>
          <w:rFonts w:eastAsia="Batang" w:cs="Times"/>
          <w:i/>
          <w:szCs w:val="24"/>
          <w:lang w:val="pt-BR" w:eastAsia="es-ES"/>
        </w:rPr>
      </w:pPr>
      <w:r w:rsidRPr="00D5464D">
        <w:rPr>
          <w:rFonts w:eastAsia="Batang" w:cs="Times"/>
          <w:i/>
          <w:szCs w:val="24"/>
          <w:lang w:val="pt-BR" w:eastAsia="es-ES"/>
        </w:rPr>
        <w:t>Suposta</w:t>
      </w:r>
      <w:r w:rsidR="000A52D5" w:rsidRPr="00D5464D">
        <w:rPr>
          <w:rFonts w:eastAsia="Batang" w:cs="Times"/>
          <w:i/>
          <w:szCs w:val="24"/>
          <w:lang w:val="pt-BR" w:eastAsia="es-ES"/>
        </w:rPr>
        <w:t xml:space="preserve">s </w:t>
      </w:r>
      <w:r w:rsidR="00E045D9" w:rsidRPr="00D5464D">
        <w:rPr>
          <w:rFonts w:eastAsia="Batang" w:cs="Times"/>
          <w:i/>
          <w:szCs w:val="24"/>
          <w:lang w:val="pt-BR" w:eastAsia="es-ES"/>
        </w:rPr>
        <w:t>vítima</w:t>
      </w:r>
      <w:r w:rsidR="000A52D5" w:rsidRPr="00D5464D">
        <w:rPr>
          <w:rFonts w:eastAsia="Batang" w:cs="Times"/>
          <w:i/>
          <w:szCs w:val="24"/>
          <w:lang w:val="pt-BR" w:eastAsia="es-ES"/>
        </w:rPr>
        <w:t>s identificadas</w:t>
      </w:r>
      <w:r w:rsidR="00E045D9" w:rsidRPr="00D5464D">
        <w:rPr>
          <w:rFonts w:eastAsia="Batang" w:cs="Times"/>
          <w:i/>
          <w:szCs w:val="24"/>
          <w:lang w:val="pt-BR" w:eastAsia="es-ES"/>
        </w:rPr>
        <w:t xml:space="preserve"> e </w:t>
      </w:r>
      <w:r w:rsidR="000A52D5" w:rsidRPr="00D5464D">
        <w:rPr>
          <w:rFonts w:eastAsia="Batang" w:cs="Times"/>
          <w:i/>
          <w:szCs w:val="24"/>
          <w:lang w:val="pt-BR" w:eastAsia="es-ES"/>
        </w:rPr>
        <w:t>representadas</w:t>
      </w:r>
    </w:p>
    <w:p w14:paraId="611346F3" w14:textId="77777777" w:rsidR="00D65024" w:rsidRPr="00D5464D" w:rsidRDefault="00D65024" w:rsidP="00D65024">
      <w:pPr>
        <w:tabs>
          <w:tab w:val="clear" w:pos="4419"/>
          <w:tab w:val="clear" w:pos="8838"/>
        </w:tabs>
        <w:jc w:val="both"/>
        <w:rPr>
          <w:rFonts w:eastAsia="Batang" w:cs="Times"/>
          <w:szCs w:val="24"/>
          <w:lang w:val="pt-BR" w:eastAsia="es-ES"/>
        </w:rPr>
      </w:pPr>
    </w:p>
    <w:p w14:paraId="05AF1348" w14:textId="68453360" w:rsidR="000A52D5" w:rsidRPr="00D5464D" w:rsidRDefault="00470AD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O </w:t>
      </w:r>
      <w:r w:rsidR="000A52D5" w:rsidRPr="00D5464D">
        <w:rPr>
          <w:rFonts w:eastAsia="Batang" w:cs="Times"/>
          <w:b/>
          <w:i/>
          <w:szCs w:val="24"/>
          <w:lang w:val="pt-BR" w:eastAsia="es-ES"/>
        </w:rPr>
        <w:t>Estado</w:t>
      </w:r>
      <w:r w:rsidR="000A52D5" w:rsidRPr="00D5464D">
        <w:rPr>
          <w:rFonts w:eastAsia="Batang" w:cs="Times"/>
          <w:szCs w:val="24"/>
          <w:lang w:val="pt-BR" w:eastAsia="es-ES"/>
        </w:rPr>
        <w:t xml:space="preserve"> </w:t>
      </w:r>
      <w:r w:rsidRPr="00D5464D">
        <w:rPr>
          <w:rFonts w:eastAsia="Batang" w:cs="Times"/>
          <w:szCs w:val="24"/>
          <w:lang w:val="pt-BR" w:eastAsia="es-ES"/>
        </w:rPr>
        <w:t>argumentou</w:t>
      </w:r>
      <w:r w:rsidR="000A52D5" w:rsidRPr="00D5464D">
        <w:rPr>
          <w:rFonts w:eastAsia="Batang" w:cs="Times"/>
          <w:szCs w:val="24"/>
          <w:lang w:val="pt-BR" w:eastAsia="es-ES"/>
        </w:rPr>
        <w:t xml:space="preserve"> que</w:t>
      </w:r>
      <w:r w:rsidR="002C330E" w:rsidRPr="00D5464D">
        <w:rPr>
          <w:rFonts w:eastAsia="Batang" w:cs="Times"/>
          <w:szCs w:val="24"/>
          <w:lang w:val="pt-BR" w:eastAsia="es-ES"/>
        </w:rPr>
        <w:t xml:space="preserve"> os </w:t>
      </w:r>
      <w:r w:rsidR="00EB1CE9" w:rsidRPr="00D5464D">
        <w:rPr>
          <w:rFonts w:eastAsia="Batang" w:cs="Times"/>
          <w:szCs w:val="24"/>
          <w:lang w:val="pt-BR" w:eastAsia="es-ES"/>
        </w:rPr>
        <w:t>representante</w:t>
      </w:r>
      <w:r w:rsidR="000A52D5" w:rsidRPr="00D5464D">
        <w:rPr>
          <w:rFonts w:eastAsia="Batang" w:cs="Times"/>
          <w:szCs w:val="24"/>
          <w:lang w:val="pt-BR" w:eastAsia="es-ES"/>
        </w:rPr>
        <w:t>s</w:t>
      </w:r>
      <w:r w:rsidR="00B54FB3" w:rsidRPr="00D5464D">
        <w:rPr>
          <w:rFonts w:eastAsia="Batang" w:cs="Times"/>
          <w:szCs w:val="24"/>
          <w:lang w:val="pt-BR" w:eastAsia="es-ES"/>
        </w:rPr>
        <w:t xml:space="preserve"> </w:t>
      </w:r>
      <w:r w:rsidR="00277655" w:rsidRPr="00D5464D">
        <w:rPr>
          <w:rFonts w:eastAsia="Batang" w:cs="Times"/>
          <w:szCs w:val="24"/>
          <w:lang w:val="pt-BR" w:eastAsia="es-ES"/>
        </w:rPr>
        <w:t>apenas</w:t>
      </w:r>
      <w:r w:rsidR="004D1879" w:rsidRPr="00D5464D">
        <w:rPr>
          <w:rFonts w:eastAsia="Batang" w:cs="Times"/>
          <w:szCs w:val="24"/>
          <w:lang w:val="pt-BR" w:eastAsia="es-ES"/>
        </w:rPr>
        <w:t xml:space="preserve"> </w:t>
      </w:r>
      <w:r w:rsidR="00277655" w:rsidRPr="00D5464D">
        <w:rPr>
          <w:rFonts w:eastAsia="Batang" w:cs="Times"/>
          <w:szCs w:val="24"/>
          <w:lang w:val="pt-BR" w:eastAsia="es-ES"/>
        </w:rPr>
        <w:t xml:space="preserve">apresentaram procurações </w:t>
      </w:r>
      <w:r w:rsidR="000A52D5" w:rsidRPr="00D5464D">
        <w:rPr>
          <w:rFonts w:eastAsia="Batang" w:cs="Times"/>
          <w:szCs w:val="24"/>
          <w:lang w:val="pt-BR" w:eastAsia="es-ES"/>
        </w:rPr>
        <w:t xml:space="preserve">de 33 </w:t>
      </w:r>
      <w:r w:rsidR="002C330E" w:rsidRPr="00D5464D">
        <w:rPr>
          <w:rFonts w:eastAsia="Batang" w:cs="Times"/>
          <w:szCs w:val="24"/>
          <w:lang w:val="pt-BR" w:eastAsia="es-ES"/>
        </w:rPr>
        <w:t>suposta</w:t>
      </w:r>
      <w:r w:rsidR="000A52D5" w:rsidRPr="00D5464D">
        <w:rPr>
          <w:rFonts w:eastAsia="Batang" w:cs="Times"/>
          <w:szCs w:val="24"/>
          <w:lang w:val="pt-BR" w:eastAsia="es-ES"/>
        </w:rPr>
        <w:t xml:space="preserve">s </w:t>
      </w:r>
      <w:r w:rsidR="00E045D9" w:rsidRPr="00D5464D">
        <w:rPr>
          <w:rFonts w:eastAsia="Batang" w:cs="Times"/>
          <w:szCs w:val="24"/>
          <w:lang w:val="pt-BR" w:eastAsia="es-ES"/>
        </w:rPr>
        <w:t>vítima</w:t>
      </w:r>
      <w:r w:rsidR="000A52D5" w:rsidRPr="00D5464D">
        <w:rPr>
          <w:rFonts w:eastAsia="Batang" w:cs="Times"/>
          <w:szCs w:val="24"/>
          <w:lang w:val="pt-BR" w:eastAsia="es-ES"/>
        </w:rPr>
        <w:t xml:space="preserve">s que </w:t>
      </w:r>
      <w:r w:rsidR="0073301F" w:rsidRPr="00D5464D">
        <w:rPr>
          <w:rFonts w:eastAsia="Batang" w:cs="Times"/>
          <w:szCs w:val="24"/>
          <w:lang w:val="pt-BR" w:eastAsia="es-ES"/>
        </w:rPr>
        <w:t>teriam sido</w:t>
      </w:r>
      <w:r w:rsidR="000A52D5" w:rsidRPr="00D5464D">
        <w:rPr>
          <w:rFonts w:eastAsia="Batang" w:cs="Times"/>
          <w:szCs w:val="24"/>
          <w:lang w:val="pt-BR" w:eastAsia="es-ES"/>
        </w:rPr>
        <w:t xml:space="preserve"> encontradas</w:t>
      </w:r>
      <w:r w:rsidR="00E045D9" w:rsidRPr="00D5464D">
        <w:rPr>
          <w:rFonts w:eastAsia="Batang" w:cs="Times"/>
          <w:szCs w:val="24"/>
          <w:lang w:val="pt-BR" w:eastAsia="es-ES"/>
        </w:rPr>
        <w:t xml:space="preserve"> na </w:t>
      </w:r>
      <w:r w:rsidR="00D809F0" w:rsidRPr="00D5464D">
        <w:rPr>
          <w:rFonts w:eastAsia="Batang" w:cs="Times"/>
          <w:szCs w:val="24"/>
          <w:lang w:val="pt-BR" w:eastAsia="es-ES"/>
        </w:rPr>
        <w:t>Fazenda</w:t>
      </w:r>
      <w:r w:rsidR="000A52D5" w:rsidRPr="00D5464D">
        <w:rPr>
          <w:rFonts w:eastAsia="Batang" w:cs="Times"/>
          <w:szCs w:val="24"/>
          <w:lang w:val="pt-BR" w:eastAsia="es-ES"/>
        </w:rPr>
        <w:t xml:space="preserve"> Brasil Verde</w:t>
      </w:r>
      <w:r w:rsidR="00E045D9" w:rsidRPr="00D5464D">
        <w:rPr>
          <w:rFonts w:eastAsia="Batang" w:cs="Times"/>
          <w:szCs w:val="24"/>
          <w:lang w:val="pt-BR" w:eastAsia="es-ES"/>
        </w:rPr>
        <w:t xml:space="preserve"> no </w:t>
      </w:r>
      <w:r w:rsidRPr="00D5464D">
        <w:rPr>
          <w:rFonts w:eastAsia="Batang" w:cs="Times"/>
          <w:szCs w:val="24"/>
          <w:lang w:val="pt-BR" w:eastAsia="es-ES"/>
        </w:rPr>
        <w:t xml:space="preserve">ano </w:t>
      </w:r>
      <w:r w:rsidR="000A52D5" w:rsidRPr="00D5464D">
        <w:rPr>
          <w:rFonts w:eastAsia="Batang" w:cs="Times"/>
          <w:szCs w:val="24"/>
          <w:lang w:val="pt-BR" w:eastAsia="es-ES"/>
        </w:rPr>
        <w:t>2000</w:t>
      </w:r>
      <w:r w:rsidR="00277655" w:rsidRPr="00D5464D">
        <w:rPr>
          <w:rFonts w:eastAsia="Batang" w:cs="Times"/>
          <w:szCs w:val="24"/>
          <w:lang w:val="pt-BR" w:eastAsia="es-ES"/>
        </w:rPr>
        <w:t>.</w:t>
      </w:r>
      <w:r w:rsidR="000A52D5" w:rsidRPr="00D5464D">
        <w:rPr>
          <w:rFonts w:eastAsia="Batang" w:cs="Times"/>
          <w:szCs w:val="24"/>
          <w:vertAlign w:val="superscript"/>
          <w:lang w:val="pt-BR" w:eastAsia="es-ES"/>
        </w:rPr>
        <w:footnoteReference w:id="23"/>
      </w:r>
      <w:r w:rsidR="000A52D5" w:rsidRPr="00D5464D">
        <w:rPr>
          <w:rFonts w:eastAsia="Batang" w:cs="Times"/>
          <w:szCs w:val="24"/>
          <w:lang w:val="pt-BR" w:eastAsia="es-ES"/>
        </w:rPr>
        <w:t xml:space="preserve"> </w:t>
      </w:r>
      <w:r w:rsidRPr="00D5464D">
        <w:rPr>
          <w:rFonts w:eastAsia="Batang" w:cs="Times"/>
          <w:szCs w:val="24"/>
          <w:lang w:val="pt-BR" w:eastAsia="es-ES"/>
        </w:rPr>
        <w:t>Ademais</w:t>
      </w:r>
      <w:r w:rsidR="000A52D5" w:rsidRPr="00D5464D">
        <w:rPr>
          <w:rFonts w:eastAsia="Batang" w:cs="Times"/>
          <w:szCs w:val="24"/>
          <w:lang w:val="pt-BR" w:eastAsia="es-ES"/>
        </w:rPr>
        <w:t xml:space="preserve">, </w:t>
      </w:r>
      <w:r w:rsidR="002C330E" w:rsidRPr="00D5464D">
        <w:rPr>
          <w:rFonts w:eastAsia="Batang" w:cs="Times"/>
          <w:szCs w:val="24"/>
          <w:lang w:val="pt-BR" w:eastAsia="es-ES"/>
        </w:rPr>
        <w:t>afirmou</w:t>
      </w:r>
      <w:r w:rsidR="000A52D5" w:rsidRPr="00D5464D">
        <w:rPr>
          <w:rFonts w:eastAsia="Batang" w:cs="Times"/>
          <w:szCs w:val="24"/>
          <w:lang w:val="pt-BR" w:eastAsia="es-ES"/>
        </w:rPr>
        <w:t xml:space="preserve"> que</w:t>
      </w:r>
      <w:r w:rsidR="002C330E" w:rsidRPr="00D5464D">
        <w:rPr>
          <w:rFonts w:eastAsia="Batang" w:cs="Times"/>
          <w:szCs w:val="24"/>
          <w:lang w:val="pt-BR" w:eastAsia="es-ES"/>
        </w:rPr>
        <w:t xml:space="preserve"> a </w:t>
      </w:r>
      <w:r w:rsidR="000A52D5" w:rsidRPr="00D5464D">
        <w:rPr>
          <w:rFonts w:eastAsia="Batang" w:cs="Times"/>
          <w:szCs w:val="24"/>
          <w:lang w:val="pt-BR" w:eastAsia="es-ES"/>
        </w:rPr>
        <w:t>Corte</w:t>
      </w:r>
      <w:r w:rsidRPr="00D5464D">
        <w:rPr>
          <w:rFonts w:eastAsia="Batang" w:cs="Times"/>
          <w:szCs w:val="24"/>
          <w:lang w:val="pt-BR" w:eastAsia="es-ES"/>
        </w:rPr>
        <w:t xml:space="preserve"> deve analisar</w:t>
      </w:r>
      <w:r w:rsidR="002C330E" w:rsidRPr="00D5464D">
        <w:rPr>
          <w:rFonts w:eastAsia="Batang" w:cs="Times"/>
          <w:szCs w:val="24"/>
          <w:lang w:val="pt-BR" w:eastAsia="es-ES"/>
        </w:rPr>
        <w:t xml:space="preserve"> os fatos</w:t>
      </w:r>
      <w:r w:rsidR="000A52D5" w:rsidRPr="00D5464D">
        <w:rPr>
          <w:rFonts w:eastAsia="Batang" w:cs="Times"/>
          <w:szCs w:val="24"/>
          <w:lang w:val="pt-BR" w:eastAsia="es-ES"/>
        </w:rPr>
        <w:t xml:space="preserve"> </w:t>
      </w:r>
      <w:r w:rsidRPr="00D5464D">
        <w:rPr>
          <w:rFonts w:eastAsia="Batang" w:cs="Times"/>
          <w:szCs w:val="24"/>
          <w:lang w:val="pt-BR" w:eastAsia="es-ES"/>
        </w:rPr>
        <w:t xml:space="preserve">do </w:t>
      </w:r>
      <w:r w:rsidR="000A52D5" w:rsidRPr="00D5464D">
        <w:rPr>
          <w:rFonts w:eastAsia="Batang" w:cs="Times"/>
          <w:szCs w:val="24"/>
          <w:lang w:val="pt-BR" w:eastAsia="es-ES"/>
        </w:rPr>
        <w:t xml:space="preserve">caso </w:t>
      </w:r>
      <w:r w:rsidR="002C330E" w:rsidRPr="00D5464D">
        <w:rPr>
          <w:rFonts w:eastAsia="Batang" w:cs="Times"/>
          <w:szCs w:val="24"/>
          <w:lang w:val="pt-BR" w:eastAsia="es-ES"/>
        </w:rPr>
        <w:t>apenas</w:t>
      </w:r>
      <w:r w:rsidRPr="00D5464D">
        <w:rPr>
          <w:rFonts w:eastAsia="Batang" w:cs="Times"/>
          <w:szCs w:val="24"/>
          <w:lang w:val="pt-BR" w:eastAsia="es-ES"/>
        </w:rPr>
        <w:t xml:space="preserve"> </w:t>
      </w:r>
      <w:r w:rsidR="00350187" w:rsidRPr="00D5464D">
        <w:rPr>
          <w:rFonts w:eastAsia="Batang" w:cs="Times"/>
          <w:szCs w:val="24"/>
          <w:lang w:val="pt-BR" w:eastAsia="es-ES"/>
        </w:rPr>
        <w:t xml:space="preserve">em relação às </w:t>
      </w:r>
      <w:r w:rsidR="002C330E" w:rsidRPr="00D5464D">
        <w:rPr>
          <w:rFonts w:eastAsia="Batang" w:cs="Times"/>
          <w:szCs w:val="24"/>
          <w:lang w:val="pt-BR" w:eastAsia="es-ES"/>
        </w:rPr>
        <w:t>suposta</w:t>
      </w:r>
      <w:r w:rsidR="000A52D5" w:rsidRPr="00D5464D">
        <w:rPr>
          <w:rFonts w:eastAsia="Batang" w:cs="Times"/>
          <w:szCs w:val="24"/>
          <w:lang w:val="pt-BR" w:eastAsia="es-ES"/>
        </w:rPr>
        <w:t xml:space="preserve">s </w:t>
      </w:r>
      <w:r w:rsidR="00E045D9" w:rsidRPr="00D5464D">
        <w:rPr>
          <w:rFonts w:eastAsia="Batang" w:cs="Times"/>
          <w:szCs w:val="24"/>
          <w:lang w:val="pt-BR" w:eastAsia="es-ES"/>
        </w:rPr>
        <w:t>vítima</w:t>
      </w:r>
      <w:r w:rsidR="000A52D5" w:rsidRPr="00D5464D">
        <w:rPr>
          <w:rFonts w:eastAsia="Batang" w:cs="Times"/>
          <w:szCs w:val="24"/>
          <w:lang w:val="pt-BR" w:eastAsia="es-ES"/>
        </w:rPr>
        <w:t xml:space="preserve">s </w:t>
      </w:r>
      <w:r w:rsidRPr="00D5464D">
        <w:rPr>
          <w:rFonts w:eastAsia="Batang" w:cs="Times"/>
          <w:szCs w:val="24"/>
          <w:lang w:val="pt-BR" w:eastAsia="es-ES"/>
        </w:rPr>
        <w:t>corretamente</w:t>
      </w:r>
      <w:r w:rsidR="000A52D5" w:rsidRPr="00D5464D">
        <w:rPr>
          <w:rFonts w:eastAsia="Batang" w:cs="Times"/>
          <w:szCs w:val="24"/>
          <w:lang w:val="pt-BR" w:eastAsia="es-ES"/>
        </w:rPr>
        <w:t xml:space="preserve"> representadas</w:t>
      </w:r>
      <w:r w:rsidRPr="00D5464D">
        <w:rPr>
          <w:rFonts w:eastAsia="Batang" w:cs="Times"/>
          <w:szCs w:val="24"/>
          <w:lang w:val="pt-BR" w:eastAsia="es-ES"/>
        </w:rPr>
        <w:t xml:space="preserve">, e </w:t>
      </w:r>
      <w:r w:rsidR="002F185A" w:rsidRPr="00D5464D">
        <w:rPr>
          <w:rFonts w:eastAsia="Batang" w:cs="Times"/>
          <w:szCs w:val="24"/>
          <w:lang w:val="pt-BR" w:eastAsia="es-ES"/>
        </w:rPr>
        <w:t>à</w:t>
      </w:r>
      <w:r w:rsidRPr="00D5464D">
        <w:rPr>
          <w:rFonts w:eastAsia="Batang" w:cs="Times"/>
          <w:szCs w:val="24"/>
          <w:lang w:val="pt-BR" w:eastAsia="es-ES"/>
        </w:rPr>
        <w:t>quelas</w:t>
      </w:r>
      <w:r w:rsidR="000A52D5" w:rsidRPr="00D5464D">
        <w:rPr>
          <w:rFonts w:eastAsia="Batang" w:cs="Times"/>
          <w:szCs w:val="24"/>
          <w:lang w:val="pt-BR" w:eastAsia="es-ES"/>
        </w:rPr>
        <w:t xml:space="preserve"> listadas</w:t>
      </w:r>
      <w:r w:rsidR="00E045D9" w:rsidRPr="00D5464D">
        <w:rPr>
          <w:rFonts w:eastAsia="Batang" w:cs="Times"/>
          <w:szCs w:val="24"/>
          <w:lang w:val="pt-BR" w:eastAsia="es-ES"/>
        </w:rPr>
        <w:t xml:space="preserve"> no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de Admissibilidade</w:t>
      </w:r>
      <w:r w:rsidR="00E045D9" w:rsidRPr="00D5464D">
        <w:rPr>
          <w:rFonts w:eastAsia="Batang" w:cs="Times"/>
          <w:szCs w:val="24"/>
          <w:lang w:val="pt-BR" w:eastAsia="es-ES"/>
        </w:rPr>
        <w:t xml:space="preserve"> e </w:t>
      </w:r>
      <w:r w:rsidRPr="00D5464D">
        <w:rPr>
          <w:rFonts w:eastAsia="Batang" w:cs="Times"/>
          <w:szCs w:val="24"/>
          <w:lang w:val="pt-BR" w:eastAsia="es-ES"/>
        </w:rPr>
        <w:t>Mérito</w:t>
      </w:r>
      <w:r w:rsidR="00A1358C" w:rsidRPr="00D5464D">
        <w:rPr>
          <w:rFonts w:eastAsia="Batang" w:cs="Times"/>
          <w:szCs w:val="24"/>
          <w:lang w:val="pt-BR" w:eastAsia="es-ES"/>
        </w:rPr>
        <w:t xml:space="preserve"> nº </w:t>
      </w:r>
      <w:r w:rsidR="000A52D5" w:rsidRPr="00D5464D">
        <w:rPr>
          <w:rFonts w:eastAsia="Batang" w:cs="Times"/>
          <w:szCs w:val="24"/>
          <w:lang w:val="pt-BR" w:eastAsia="es-ES"/>
        </w:rPr>
        <w:t xml:space="preserve">169/11 </w:t>
      </w:r>
      <w:r w:rsidRPr="00D5464D">
        <w:rPr>
          <w:rFonts w:eastAsia="Batang" w:cs="Times"/>
          <w:szCs w:val="24"/>
          <w:lang w:val="pt-BR" w:eastAsia="es-ES"/>
        </w:rPr>
        <w:t>devidamente</w:t>
      </w:r>
      <w:r w:rsidR="000A52D5" w:rsidRPr="00D5464D">
        <w:rPr>
          <w:rFonts w:eastAsia="Batang" w:cs="Times"/>
          <w:szCs w:val="24"/>
          <w:lang w:val="pt-BR" w:eastAsia="es-ES"/>
        </w:rPr>
        <w:t xml:space="preserve"> identificadas</w:t>
      </w:r>
      <w:r w:rsidR="00E045D9" w:rsidRPr="00D5464D">
        <w:rPr>
          <w:rFonts w:eastAsia="Batang" w:cs="Times"/>
          <w:szCs w:val="24"/>
          <w:lang w:val="pt-BR" w:eastAsia="es-ES"/>
        </w:rPr>
        <w:t xml:space="preserve"> e </w:t>
      </w:r>
      <w:r w:rsidR="000A52D5" w:rsidRPr="00D5464D">
        <w:rPr>
          <w:rFonts w:eastAsia="Batang" w:cs="Times"/>
          <w:szCs w:val="24"/>
          <w:lang w:val="pt-BR" w:eastAsia="es-ES"/>
        </w:rPr>
        <w:t>relacionadas</w:t>
      </w:r>
      <w:r w:rsidRPr="00D5464D">
        <w:rPr>
          <w:rFonts w:eastAsia="Batang" w:cs="Times"/>
          <w:szCs w:val="24"/>
          <w:lang w:val="pt-BR" w:eastAsia="es-ES"/>
        </w:rPr>
        <w:t xml:space="preserve"> </w:t>
      </w:r>
      <w:r w:rsidR="00277655" w:rsidRPr="00D5464D">
        <w:rPr>
          <w:rFonts w:eastAsia="Batang" w:cs="Times"/>
          <w:szCs w:val="24"/>
          <w:lang w:val="pt-BR" w:eastAsia="es-ES"/>
        </w:rPr>
        <w:t>a</w:t>
      </w:r>
      <w:r w:rsidR="002C330E" w:rsidRPr="00D5464D">
        <w:rPr>
          <w:rFonts w:eastAsia="Batang" w:cs="Times"/>
          <w:szCs w:val="24"/>
          <w:lang w:val="pt-BR" w:eastAsia="es-ES"/>
        </w:rPr>
        <w:t>os fatos</w:t>
      </w:r>
      <w:r w:rsidR="000A52D5" w:rsidRPr="00D5464D">
        <w:rPr>
          <w:rFonts w:eastAsia="Batang" w:cs="Times"/>
          <w:szCs w:val="24"/>
          <w:lang w:val="pt-BR" w:eastAsia="es-ES"/>
        </w:rPr>
        <w:t xml:space="preserve"> </w:t>
      </w:r>
      <w:r w:rsidR="002C330E" w:rsidRPr="00D5464D">
        <w:rPr>
          <w:rFonts w:eastAsia="Batang" w:cs="Times"/>
          <w:szCs w:val="24"/>
          <w:lang w:val="pt-BR" w:eastAsia="es-ES"/>
        </w:rPr>
        <w:t>ocorrid</w:t>
      </w:r>
      <w:r w:rsidR="000A52D5" w:rsidRPr="00D5464D">
        <w:rPr>
          <w:rFonts w:eastAsia="Batang" w:cs="Times"/>
          <w:szCs w:val="24"/>
          <w:lang w:val="pt-BR" w:eastAsia="es-ES"/>
        </w:rPr>
        <w:t>os</w:t>
      </w:r>
      <w:r w:rsidRPr="00D5464D">
        <w:rPr>
          <w:rFonts w:eastAsia="Batang" w:cs="Times"/>
          <w:szCs w:val="24"/>
          <w:lang w:val="pt-BR" w:eastAsia="es-ES"/>
        </w:rPr>
        <w:t xml:space="preserve"> </w:t>
      </w:r>
      <w:r w:rsidR="00737270" w:rsidRPr="00D5464D">
        <w:rPr>
          <w:rFonts w:eastAsia="Batang" w:cs="Times"/>
          <w:szCs w:val="24"/>
          <w:lang w:val="pt-BR" w:eastAsia="es-ES"/>
        </w:rPr>
        <w:t>nessa</w:t>
      </w:r>
      <w:r w:rsidRPr="00D5464D">
        <w:rPr>
          <w:rFonts w:eastAsia="Batang" w:cs="Times"/>
          <w:szCs w:val="24"/>
          <w:lang w:val="pt-BR" w:eastAsia="es-ES"/>
        </w:rPr>
        <w:t xml:space="preserve"> </w:t>
      </w:r>
      <w:r w:rsidR="00D809F0" w:rsidRPr="00D5464D">
        <w:rPr>
          <w:rFonts w:eastAsia="Batang" w:cs="Times"/>
          <w:szCs w:val="24"/>
          <w:lang w:val="pt-BR" w:eastAsia="es-ES"/>
        </w:rPr>
        <w:t>Fazenda</w:t>
      </w:r>
      <w:r w:rsidR="00A1358C" w:rsidRPr="00D5464D">
        <w:rPr>
          <w:rFonts w:eastAsia="Batang" w:cs="Times"/>
          <w:szCs w:val="24"/>
          <w:lang w:val="pt-BR" w:eastAsia="es-ES"/>
        </w:rPr>
        <w:t xml:space="preserve">. O </w:t>
      </w:r>
      <w:r w:rsidR="000A52D5" w:rsidRPr="00D5464D">
        <w:rPr>
          <w:rFonts w:eastAsia="Batang" w:cs="Times"/>
          <w:szCs w:val="24"/>
          <w:lang w:val="pt-BR" w:eastAsia="es-ES"/>
        </w:rPr>
        <w:t xml:space="preserve">Estado </w:t>
      </w:r>
      <w:r w:rsidR="002C330E" w:rsidRPr="00D5464D">
        <w:rPr>
          <w:rFonts w:eastAsia="Batang" w:cs="Times"/>
          <w:szCs w:val="24"/>
          <w:lang w:val="pt-BR" w:eastAsia="es-ES"/>
        </w:rPr>
        <w:t>fez</w:t>
      </w:r>
      <w:r w:rsidR="000A52D5" w:rsidRPr="00D5464D">
        <w:rPr>
          <w:rFonts w:eastAsia="Batang" w:cs="Times"/>
          <w:szCs w:val="24"/>
          <w:lang w:val="pt-BR" w:eastAsia="es-ES"/>
        </w:rPr>
        <w:t xml:space="preserve"> notar </w:t>
      </w:r>
      <w:r w:rsidR="00E045D9" w:rsidRPr="00D5464D">
        <w:rPr>
          <w:rFonts w:eastAsia="Batang" w:cs="Times"/>
          <w:szCs w:val="24"/>
          <w:lang w:val="pt-BR" w:eastAsia="es-ES"/>
        </w:rPr>
        <w:t>também</w:t>
      </w:r>
      <w:r w:rsidR="000A52D5" w:rsidRPr="00D5464D">
        <w:rPr>
          <w:rFonts w:eastAsia="Batang" w:cs="Times"/>
          <w:szCs w:val="24"/>
          <w:lang w:val="pt-BR" w:eastAsia="es-ES"/>
        </w:rPr>
        <w:t xml:space="preserve"> que</w:t>
      </w:r>
      <w:r w:rsidR="002C330E" w:rsidRPr="00D5464D">
        <w:rPr>
          <w:rFonts w:eastAsia="Batang" w:cs="Times"/>
          <w:szCs w:val="24"/>
          <w:lang w:val="pt-BR" w:eastAsia="es-ES"/>
        </w:rPr>
        <w:t xml:space="preserve"> os </w:t>
      </w:r>
      <w:r w:rsidR="00EB1CE9" w:rsidRPr="00D5464D">
        <w:rPr>
          <w:rFonts w:eastAsia="Batang" w:cs="Times"/>
          <w:szCs w:val="24"/>
          <w:lang w:val="pt-BR" w:eastAsia="es-ES"/>
        </w:rPr>
        <w:t>representante</w:t>
      </w:r>
      <w:r w:rsidR="000A52D5" w:rsidRPr="00D5464D">
        <w:rPr>
          <w:rFonts w:eastAsia="Batang" w:cs="Times"/>
          <w:szCs w:val="24"/>
          <w:lang w:val="pt-BR" w:eastAsia="es-ES"/>
        </w:rPr>
        <w:t>s n</w:t>
      </w:r>
      <w:r w:rsidR="00277655" w:rsidRPr="00D5464D">
        <w:rPr>
          <w:rFonts w:eastAsia="Batang" w:cs="Times"/>
          <w:szCs w:val="24"/>
          <w:lang w:val="pt-BR" w:eastAsia="es-ES"/>
        </w:rPr>
        <w:t>ã</w:t>
      </w:r>
      <w:r w:rsidR="000A52D5" w:rsidRPr="00D5464D">
        <w:rPr>
          <w:rFonts w:eastAsia="Batang" w:cs="Times"/>
          <w:szCs w:val="24"/>
          <w:lang w:val="pt-BR" w:eastAsia="es-ES"/>
        </w:rPr>
        <w:t>o mencion</w:t>
      </w:r>
      <w:r w:rsidR="00350187" w:rsidRPr="00D5464D">
        <w:rPr>
          <w:rFonts w:eastAsia="Batang" w:cs="Times"/>
          <w:szCs w:val="24"/>
          <w:lang w:val="pt-BR" w:eastAsia="es-ES"/>
        </w:rPr>
        <w:t xml:space="preserve">aram </w:t>
      </w:r>
      <w:r w:rsidRPr="00D5464D">
        <w:rPr>
          <w:rFonts w:eastAsia="Batang" w:cs="Times"/>
          <w:szCs w:val="24"/>
          <w:lang w:val="pt-BR" w:eastAsia="es-ES"/>
        </w:rPr>
        <w:t>em</w:t>
      </w:r>
      <w:r w:rsidR="002C330E" w:rsidRPr="00D5464D">
        <w:rPr>
          <w:rFonts w:eastAsia="Batang" w:cs="Times"/>
          <w:szCs w:val="24"/>
          <w:lang w:val="pt-BR" w:eastAsia="es-ES"/>
        </w:rPr>
        <w:t xml:space="preserve"> seu escrito </w:t>
      </w:r>
      <w:r w:rsidRPr="00D5464D">
        <w:rPr>
          <w:rFonts w:eastAsia="Batang" w:cs="Times"/>
          <w:szCs w:val="24"/>
          <w:lang w:val="pt-BR" w:eastAsia="es-ES"/>
        </w:rPr>
        <w:t xml:space="preserve">o </w:t>
      </w:r>
      <w:r w:rsidR="002C330E" w:rsidRPr="00D5464D">
        <w:rPr>
          <w:rFonts w:eastAsia="Batang" w:cs="Times"/>
          <w:szCs w:val="24"/>
          <w:lang w:val="pt-BR" w:eastAsia="es-ES"/>
        </w:rPr>
        <w:t>nome</w:t>
      </w:r>
      <w:r w:rsidR="000A52D5" w:rsidRPr="00D5464D">
        <w:rPr>
          <w:rFonts w:eastAsia="Batang" w:cs="Times"/>
          <w:szCs w:val="24"/>
          <w:lang w:val="pt-BR" w:eastAsia="es-ES"/>
        </w:rPr>
        <w:t xml:space="preserve"> de Francisco das </w:t>
      </w:r>
      <w:r w:rsidR="00D54143" w:rsidRPr="00D5464D">
        <w:rPr>
          <w:rFonts w:eastAsia="Batang" w:cs="Times"/>
          <w:szCs w:val="24"/>
          <w:lang w:val="pt-BR" w:eastAsia="es-ES"/>
        </w:rPr>
        <w:t xml:space="preserve">Chagas </w:t>
      </w:r>
      <w:r w:rsidR="000A52D5" w:rsidRPr="00D5464D">
        <w:rPr>
          <w:rFonts w:eastAsia="Batang" w:cs="Times"/>
          <w:szCs w:val="24"/>
          <w:lang w:val="pt-BR" w:eastAsia="es-ES"/>
        </w:rPr>
        <w:t xml:space="preserve">Bastos Sousa, </w:t>
      </w:r>
      <w:r w:rsidR="002C330E" w:rsidRPr="00D5464D">
        <w:rPr>
          <w:rFonts w:eastAsia="Batang" w:cs="Times"/>
          <w:szCs w:val="24"/>
          <w:lang w:val="pt-BR" w:eastAsia="es-ES"/>
        </w:rPr>
        <w:t>mas</w:t>
      </w:r>
      <w:r w:rsidR="000A52D5" w:rsidRPr="00D5464D">
        <w:rPr>
          <w:rFonts w:eastAsia="Batang" w:cs="Times"/>
          <w:szCs w:val="24"/>
          <w:lang w:val="pt-BR" w:eastAsia="es-ES"/>
        </w:rPr>
        <w:t xml:space="preserve"> </w:t>
      </w:r>
      <w:r w:rsidR="00277655" w:rsidRPr="00D5464D">
        <w:rPr>
          <w:rFonts w:eastAsia="Batang" w:cs="Times"/>
          <w:szCs w:val="24"/>
          <w:lang w:val="pt-BR" w:eastAsia="es-ES"/>
        </w:rPr>
        <w:t xml:space="preserve">apresentaram uma procuração </w:t>
      </w:r>
      <w:r w:rsidRPr="00D5464D">
        <w:rPr>
          <w:rFonts w:eastAsia="Batang" w:cs="Times"/>
          <w:szCs w:val="24"/>
          <w:lang w:val="pt-BR" w:eastAsia="es-ES"/>
        </w:rPr>
        <w:t xml:space="preserve">em </w:t>
      </w:r>
      <w:r w:rsidR="00737270" w:rsidRPr="00D5464D">
        <w:rPr>
          <w:rFonts w:eastAsia="Batang" w:cs="Times"/>
          <w:szCs w:val="24"/>
          <w:lang w:val="pt-BR" w:eastAsia="es-ES"/>
        </w:rPr>
        <w:t>seu nome</w:t>
      </w:r>
      <w:r w:rsidRPr="00D5464D">
        <w:rPr>
          <w:rFonts w:eastAsia="Batang" w:cs="Times"/>
          <w:szCs w:val="24"/>
          <w:lang w:val="pt-BR" w:eastAsia="es-ES"/>
        </w:rPr>
        <w:t>; e</w:t>
      </w:r>
      <w:r w:rsidR="000A52D5" w:rsidRPr="00D5464D">
        <w:rPr>
          <w:rFonts w:eastAsia="Batang" w:cs="Times"/>
          <w:szCs w:val="24"/>
          <w:lang w:val="pt-BR" w:eastAsia="es-ES"/>
        </w:rPr>
        <w:t xml:space="preserve"> que n</w:t>
      </w:r>
      <w:r w:rsidR="00277655" w:rsidRPr="00D5464D">
        <w:rPr>
          <w:rFonts w:eastAsia="Batang" w:cs="Times"/>
          <w:szCs w:val="24"/>
          <w:lang w:val="pt-BR" w:eastAsia="es-ES"/>
        </w:rPr>
        <w:t>ã</w:t>
      </w:r>
      <w:r w:rsidR="000A52D5" w:rsidRPr="00D5464D">
        <w:rPr>
          <w:rFonts w:eastAsia="Batang" w:cs="Times"/>
          <w:szCs w:val="24"/>
          <w:lang w:val="pt-BR" w:eastAsia="es-ES"/>
        </w:rPr>
        <w:t xml:space="preserve">o </w:t>
      </w:r>
      <w:r w:rsidR="00963EBD" w:rsidRPr="00D5464D">
        <w:rPr>
          <w:rFonts w:eastAsia="Batang" w:cs="Times"/>
          <w:szCs w:val="24"/>
          <w:lang w:val="pt-BR" w:eastAsia="es-ES"/>
        </w:rPr>
        <w:t>foi apresentada</w:t>
      </w:r>
      <w:r w:rsidR="00277655" w:rsidRPr="00D5464D">
        <w:rPr>
          <w:rFonts w:eastAsia="Batang" w:cs="Times"/>
          <w:szCs w:val="24"/>
          <w:lang w:val="pt-BR" w:eastAsia="es-ES"/>
        </w:rPr>
        <w:t xml:space="preserve"> procuração </w:t>
      </w:r>
      <w:r w:rsidR="000A52D5" w:rsidRPr="00D5464D">
        <w:rPr>
          <w:rFonts w:eastAsia="Batang" w:cs="Times"/>
          <w:szCs w:val="24"/>
          <w:lang w:val="pt-BR" w:eastAsia="es-ES"/>
        </w:rPr>
        <w:t>o</w:t>
      </w:r>
      <w:r w:rsidR="00963EBD" w:rsidRPr="00D5464D">
        <w:rPr>
          <w:rFonts w:eastAsia="Batang" w:cs="Times"/>
          <w:szCs w:val="24"/>
          <w:lang w:val="pt-BR" w:eastAsia="es-ES"/>
        </w:rPr>
        <w:t>u</w:t>
      </w:r>
      <w:r w:rsidR="000A52D5" w:rsidRPr="00D5464D">
        <w:rPr>
          <w:rFonts w:eastAsia="Batang" w:cs="Times"/>
          <w:szCs w:val="24"/>
          <w:lang w:val="pt-BR" w:eastAsia="es-ES"/>
        </w:rPr>
        <w:t xml:space="preserve"> documento equivalente</w:t>
      </w:r>
      <w:r w:rsidR="002C330E" w:rsidRPr="00D5464D">
        <w:rPr>
          <w:rFonts w:eastAsia="Batang" w:cs="Times"/>
          <w:szCs w:val="24"/>
          <w:lang w:val="pt-BR" w:eastAsia="es-ES"/>
        </w:rPr>
        <w:t xml:space="preserve"> pelas suposta</w:t>
      </w:r>
      <w:r w:rsidR="000A52D5" w:rsidRPr="00D5464D">
        <w:rPr>
          <w:rFonts w:eastAsia="Batang" w:cs="Times"/>
          <w:szCs w:val="24"/>
          <w:lang w:val="pt-BR" w:eastAsia="es-ES"/>
        </w:rPr>
        <w:t xml:space="preserve">s </w:t>
      </w:r>
      <w:r w:rsidR="00E045D9" w:rsidRPr="00D5464D">
        <w:rPr>
          <w:rFonts w:eastAsia="Batang" w:cs="Times"/>
          <w:szCs w:val="24"/>
          <w:lang w:val="pt-BR" w:eastAsia="es-ES"/>
        </w:rPr>
        <w:t>vítima</w:t>
      </w:r>
      <w:r w:rsidR="009C0555" w:rsidRPr="00D5464D">
        <w:rPr>
          <w:rFonts w:eastAsia="Batang" w:cs="Times"/>
          <w:szCs w:val="24"/>
          <w:lang w:val="pt-BR" w:eastAsia="es-ES"/>
        </w:rPr>
        <w:t>s o</w:t>
      </w:r>
      <w:r w:rsidR="00963EBD" w:rsidRPr="00D5464D">
        <w:rPr>
          <w:rFonts w:eastAsia="Batang" w:cs="Times"/>
          <w:szCs w:val="24"/>
          <w:lang w:val="pt-BR" w:eastAsia="es-ES"/>
        </w:rPr>
        <w:t>u</w:t>
      </w:r>
      <w:r w:rsidR="002C330E" w:rsidRPr="00D5464D">
        <w:rPr>
          <w:rFonts w:eastAsia="Batang" w:cs="Times"/>
          <w:szCs w:val="24"/>
          <w:lang w:val="pt-BR" w:eastAsia="es-ES"/>
        </w:rPr>
        <w:t xml:space="preserve"> pelos </w:t>
      </w:r>
      <w:r w:rsidR="009C0555" w:rsidRPr="00D5464D">
        <w:rPr>
          <w:rFonts w:eastAsia="Batang" w:cs="Times"/>
          <w:szCs w:val="24"/>
          <w:lang w:val="pt-BR" w:eastAsia="es-ES"/>
        </w:rPr>
        <w:t xml:space="preserve">familiares de </w:t>
      </w:r>
      <w:r w:rsidR="00200C04" w:rsidRPr="00D5464D">
        <w:rPr>
          <w:rFonts w:eastAsia="Batang" w:cs="Times"/>
          <w:szCs w:val="24"/>
          <w:lang w:val="pt-BR" w:eastAsia="es-ES"/>
        </w:rPr>
        <w:t xml:space="preserve">Luis Ferreira </w:t>
      </w:r>
      <w:r w:rsidR="00867094" w:rsidRPr="00D5464D">
        <w:rPr>
          <w:rFonts w:eastAsia="Batang" w:cs="Times"/>
          <w:szCs w:val="24"/>
          <w:lang w:val="pt-BR" w:eastAsia="es-ES"/>
        </w:rPr>
        <w:t>da Cruz</w:t>
      </w:r>
      <w:r w:rsidR="000A52D5" w:rsidRPr="00D5464D">
        <w:rPr>
          <w:rFonts w:eastAsia="Batang" w:cs="Times"/>
          <w:szCs w:val="24"/>
          <w:lang w:val="pt-BR" w:eastAsia="es-ES"/>
        </w:rPr>
        <w:t xml:space="preserve">, </w:t>
      </w:r>
      <w:r w:rsidR="00963EBD" w:rsidRPr="00D5464D">
        <w:rPr>
          <w:rFonts w:eastAsia="Batang" w:cs="Times"/>
          <w:szCs w:val="24"/>
          <w:lang w:val="pt-BR" w:eastAsia="es-ES"/>
        </w:rPr>
        <w:t>suposta</w:t>
      </w:r>
      <w:r w:rsidR="00E045D9" w:rsidRPr="00D5464D">
        <w:rPr>
          <w:rFonts w:eastAsia="Batang" w:cs="Times"/>
          <w:szCs w:val="24"/>
          <w:lang w:val="pt-BR" w:eastAsia="es-ES"/>
        </w:rPr>
        <w:t xml:space="preserve"> vítima</w:t>
      </w:r>
      <w:r w:rsidR="000A52D5" w:rsidRPr="00D5464D">
        <w:rPr>
          <w:rFonts w:eastAsia="Batang" w:cs="Times"/>
          <w:szCs w:val="24"/>
          <w:lang w:val="pt-BR" w:eastAsia="es-ES"/>
        </w:rPr>
        <w:t xml:space="preserve"> de </w:t>
      </w:r>
      <w:r w:rsidR="00E045D9" w:rsidRPr="00D5464D">
        <w:rPr>
          <w:rFonts w:eastAsia="Batang" w:cs="Times"/>
          <w:szCs w:val="24"/>
          <w:lang w:val="pt-BR" w:eastAsia="es-ES"/>
        </w:rPr>
        <w:t>desaparecimento forçado</w:t>
      </w:r>
      <w:r w:rsidR="000A52D5" w:rsidRPr="00D5464D">
        <w:rPr>
          <w:rFonts w:eastAsia="Batang" w:cs="Times"/>
          <w:szCs w:val="24"/>
          <w:lang w:val="pt-BR" w:eastAsia="es-ES"/>
        </w:rPr>
        <w:t>.</w:t>
      </w:r>
    </w:p>
    <w:p w14:paraId="28836575" w14:textId="77777777" w:rsidR="000A52D5" w:rsidRPr="00D5464D" w:rsidRDefault="000A52D5" w:rsidP="00140440">
      <w:pPr>
        <w:tabs>
          <w:tab w:val="clear" w:pos="4419"/>
          <w:tab w:val="clear" w:pos="8838"/>
        </w:tabs>
        <w:jc w:val="both"/>
        <w:rPr>
          <w:rFonts w:eastAsia="Batang" w:cs="Times"/>
          <w:i/>
          <w:szCs w:val="24"/>
          <w:lang w:val="pt-BR" w:eastAsia="es-ES"/>
        </w:rPr>
      </w:pPr>
    </w:p>
    <w:p w14:paraId="53D80B1A" w14:textId="27006B4A" w:rsidR="000A52D5" w:rsidRPr="00D5464D" w:rsidRDefault="002C330E" w:rsidP="00217CA8">
      <w:pPr>
        <w:numPr>
          <w:ilvl w:val="0"/>
          <w:numId w:val="10"/>
        </w:numPr>
        <w:tabs>
          <w:tab w:val="clear" w:pos="4419"/>
          <w:tab w:val="clear" w:pos="8838"/>
        </w:tabs>
        <w:jc w:val="both"/>
        <w:rPr>
          <w:rFonts w:eastAsia="Batang" w:cs="Times"/>
          <w:i/>
          <w:szCs w:val="24"/>
          <w:lang w:val="pt-BR" w:eastAsia="es-ES"/>
        </w:rPr>
      </w:pPr>
      <w:r w:rsidRPr="00D5464D">
        <w:rPr>
          <w:rFonts w:eastAsia="Batang" w:cs="Times"/>
          <w:i/>
          <w:szCs w:val="24"/>
          <w:lang w:val="pt-BR" w:eastAsia="es-ES"/>
        </w:rPr>
        <w:t>Suposta</w:t>
      </w:r>
      <w:r w:rsidR="000A52D5" w:rsidRPr="00D5464D">
        <w:rPr>
          <w:rFonts w:eastAsia="Batang" w:cs="Times"/>
          <w:i/>
          <w:szCs w:val="24"/>
          <w:lang w:val="pt-BR" w:eastAsia="es-ES"/>
        </w:rPr>
        <w:t xml:space="preserve">s </w:t>
      </w:r>
      <w:r w:rsidR="00E045D9" w:rsidRPr="00D5464D">
        <w:rPr>
          <w:rFonts w:eastAsia="Batang" w:cs="Times"/>
          <w:i/>
          <w:szCs w:val="24"/>
          <w:lang w:val="pt-BR" w:eastAsia="es-ES"/>
        </w:rPr>
        <w:t>vítima</w:t>
      </w:r>
      <w:r w:rsidR="000A52D5" w:rsidRPr="00D5464D">
        <w:rPr>
          <w:rFonts w:eastAsia="Batang" w:cs="Times"/>
          <w:i/>
          <w:szCs w:val="24"/>
          <w:lang w:val="pt-BR" w:eastAsia="es-ES"/>
        </w:rPr>
        <w:t>s</w:t>
      </w:r>
      <w:r w:rsidRPr="00D5464D">
        <w:rPr>
          <w:rFonts w:eastAsia="Batang" w:cs="Times"/>
          <w:i/>
          <w:szCs w:val="24"/>
          <w:lang w:val="pt-BR" w:eastAsia="es-ES"/>
        </w:rPr>
        <w:t xml:space="preserve"> sem </w:t>
      </w:r>
      <w:r w:rsidR="00E045D9" w:rsidRPr="00D5464D">
        <w:rPr>
          <w:rFonts w:eastAsia="Batang" w:cs="Times"/>
          <w:i/>
          <w:szCs w:val="24"/>
          <w:lang w:val="pt-BR" w:eastAsia="es-ES"/>
        </w:rPr>
        <w:t>comprovação</w:t>
      </w:r>
      <w:r w:rsidR="00470ADC" w:rsidRPr="00D5464D">
        <w:rPr>
          <w:rFonts w:eastAsia="Batang" w:cs="Times"/>
          <w:i/>
          <w:szCs w:val="24"/>
          <w:lang w:val="pt-BR" w:eastAsia="es-ES"/>
        </w:rPr>
        <w:t xml:space="preserve"> da </w:t>
      </w:r>
      <w:r w:rsidR="000A52D5" w:rsidRPr="00D5464D">
        <w:rPr>
          <w:rFonts w:eastAsia="Batang" w:cs="Times"/>
          <w:i/>
          <w:szCs w:val="24"/>
          <w:lang w:val="pt-BR" w:eastAsia="es-ES"/>
        </w:rPr>
        <w:t>representa</w:t>
      </w:r>
      <w:r w:rsidR="00470ADC" w:rsidRPr="00D5464D">
        <w:rPr>
          <w:rFonts w:eastAsia="Batang" w:cs="Times"/>
          <w:i/>
          <w:szCs w:val="24"/>
          <w:lang w:val="pt-BR" w:eastAsia="es-ES"/>
        </w:rPr>
        <w:t>ção</w:t>
      </w:r>
    </w:p>
    <w:p w14:paraId="0A9BBA2C" w14:textId="77777777" w:rsidR="00D65024" w:rsidRPr="00D5464D" w:rsidRDefault="00D65024" w:rsidP="00D65024">
      <w:pPr>
        <w:tabs>
          <w:tab w:val="clear" w:pos="4419"/>
          <w:tab w:val="clear" w:pos="8838"/>
        </w:tabs>
        <w:jc w:val="both"/>
        <w:rPr>
          <w:rFonts w:eastAsia="Batang" w:cs="Times"/>
          <w:szCs w:val="24"/>
          <w:lang w:val="pt-BR" w:eastAsia="es-ES"/>
        </w:rPr>
      </w:pPr>
    </w:p>
    <w:p w14:paraId="752A34FE" w14:textId="41D0E91A" w:rsidR="000A52D5" w:rsidRPr="00D5464D" w:rsidRDefault="00470AD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O </w:t>
      </w:r>
      <w:r w:rsidR="000A52D5" w:rsidRPr="00D5464D">
        <w:rPr>
          <w:rFonts w:eastAsia="Batang" w:cs="Times"/>
          <w:szCs w:val="24"/>
          <w:lang w:val="pt-BR" w:eastAsia="es-ES"/>
        </w:rPr>
        <w:t xml:space="preserve">Estado </w:t>
      </w:r>
      <w:r w:rsidR="00350187" w:rsidRPr="00D5464D">
        <w:rPr>
          <w:rFonts w:eastAsia="Batang" w:cs="Times"/>
          <w:szCs w:val="24"/>
          <w:lang w:val="pt-BR" w:eastAsia="es-ES"/>
        </w:rPr>
        <w:t>expôs</w:t>
      </w:r>
      <w:r w:rsidR="000A52D5" w:rsidRPr="00D5464D">
        <w:rPr>
          <w:rFonts w:eastAsia="Batang" w:cs="Times"/>
          <w:szCs w:val="24"/>
          <w:lang w:val="pt-BR" w:eastAsia="es-ES"/>
        </w:rPr>
        <w:t xml:space="preserve"> que</w:t>
      </w:r>
      <w:r w:rsidR="002C330E" w:rsidRPr="00D5464D">
        <w:rPr>
          <w:rFonts w:eastAsia="Batang" w:cs="Times"/>
          <w:szCs w:val="24"/>
          <w:lang w:val="pt-BR" w:eastAsia="es-ES"/>
        </w:rPr>
        <w:t xml:space="preserve"> os </w:t>
      </w:r>
      <w:r w:rsidR="00EB1CE9" w:rsidRPr="00D5464D">
        <w:rPr>
          <w:rFonts w:eastAsia="Batang" w:cs="Times"/>
          <w:szCs w:val="24"/>
          <w:lang w:val="pt-BR" w:eastAsia="es-ES"/>
        </w:rPr>
        <w:t>representante</w:t>
      </w:r>
      <w:r w:rsidR="000A52D5" w:rsidRPr="00D5464D">
        <w:rPr>
          <w:rFonts w:eastAsia="Batang" w:cs="Times"/>
          <w:szCs w:val="24"/>
          <w:lang w:val="pt-BR" w:eastAsia="es-ES"/>
        </w:rPr>
        <w:t>s</w:t>
      </w:r>
      <w:r w:rsidRPr="00D5464D">
        <w:rPr>
          <w:rFonts w:eastAsia="Batang" w:cs="Times"/>
          <w:szCs w:val="24"/>
          <w:lang w:val="pt-BR" w:eastAsia="es-ES"/>
        </w:rPr>
        <w:t xml:space="preserve"> das </w:t>
      </w:r>
      <w:r w:rsidR="002C330E" w:rsidRPr="00D5464D">
        <w:rPr>
          <w:rFonts w:eastAsia="Batang" w:cs="Times"/>
          <w:szCs w:val="24"/>
          <w:lang w:val="pt-BR" w:eastAsia="es-ES"/>
        </w:rPr>
        <w:t>suposta</w:t>
      </w:r>
      <w:r w:rsidR="000A52D5" w:rsidRPr="00D5464D">
        <w:rPr>
          <w:rFonts w:eastAsia="Batang" w:cs="Times"/>
          <w:szCs w:val="24"/>
          <w:lang w:val="pt-BR" w:eastAsia="es-ES"/>
        </w:rPr>
        <w:t xml:space="preserve">s </w:t>
      </w:r>
      <w:r w:rsidR="00E045D9" w:rsidRPr="00D5464D">
        <w:rPr>
          <w:rFonts w:eastAsia="Batang" w:cs="Times"/>
          <w:szCs w:val="24"/>
          <w:lang w:val="pt-BR" w:eastAsia="es-ES"/>
        </w:rPr>
        <w:t>vítima</w:t>
      </w:r>
      <w:r w:rsidR="000A52D5" w:rsidRPr="00D5464D">
        <w:rPr>
          <w:rFonts w:eastAsia="Batang" w:cs="Times"/>
          <w:szCs w:val="24"/>
          <w:lang w:val="pt-BR" w:eastAsia="es-ES"/>
        </w:rPr>
        <w:t xml:space="preserve">s </w:t>
      </w:r>
      <w:r w:rsidRPr="00D5464D">
        <w:rPr>
          <w:rFonts w:eastAsia="Batang" w:cs="Times"/>
          <w:szCs w:val="24"/>
          <w:lang w:val="pt-BR" w:eastAsia="es-ES"/>
        </w:rPr>
        <w:t>devem</w:t>
      </w:r>
      <w:r w:rsidR="002C330E" w:rsidRPr="00D5464D">
        <w:rPr>
          <w:rFonts w:eastAsia="Batang" w:cs="Times"/>
          <w:szCs w:val="24"/>
          <w:lang w:val="pt-BR" w:eastAsia="es-ES"/>
        </w:rPr>
        <w:t xml:space="preserve"> apresentar </w:t>
      </w:r>
      <w:r w:rsidR="00933DE1" w:rsidRPr="00D5464D">
        <w:rPr>
          <w:rFonts w:eastAsia="Batang" w:cs="Times"/>
          <w:szCs w:val="24"/>
          <w:lang w:val="pt-BR" w:eastAsia="es-ES"/>
        </w:rPr>
        <w:t xml:space="preserve">procuração assinada </w:t>
      </w:r>
      <w:r w:rsidR="002C330E" w:rsidRPr="00D5464D">
        <w:rPr>
          <w:rFonts w:eastAsia="Batang" w:cs="Times"/>
          <w:szCs w:val="24"/>
          <w:lang w:val="pt-BR" w:eastAsia="es-ES"/>
        </w:rPr>
        <w:t>pela suposta</w:t>
      </w:r>
      <w:r w:rsidR="000A52D5" w:rsidRPr="00D5464D">
        <w:rPr>
          <w:rFonts w:eastAsia="Batang" w:cs="Times"/>
          <w:szCs w:val="24"/>
          <w:lang w:val="pt-BR" w:eastAsia="es-ES"/>
        </w:rPr>
        <w:t xml:space="preserve"> </w:t>
      </w:r>
      <w:r w:rsidR="00E045D9" w:rsidRPr="00D5464D">
        <w:rPr>
          <w:rFonts w:eastAsia="Batang" w:cs="Times"/>
          <w:szCs w:val="24"/>
          <w:lang w:val="pt-BR" w:eastAsia="es-ES"/>
        </w:rPr>
        <w:t>vítima</w:t>
      </w:r>
      <w:r w:rsidR="000A52D5" w:rsidRPr="00D5464D">
        <w:rPr>
          <w:rFonts w:eastAsia="Batang" w:cs="Times"/>
          <w:szCs w:val="24"/>
          <w:lang w:val="pt-BR" w:eastAsia="es-ES"/>
        </w:rPr>
        <w:t xml:space="preserve"> o</w:t>
      </w:r>
      <w:r w:rsidR="00933DE1" w:rsidRPr="00D5464D">
        <w:rPr>
          <w:rFonts w:eastAsia="Batang" w:cs="Times"/>
          <w:szCs w:val="24"/>
          <w:lang w:val="pt-BR" w:eastAsia="es-ES"/>
        </w:rPr>
        <w:t>u</w:t>
      </w:r>
      <w:r w:rsidR="000A52D5" w:rsidRPr="00D5464D">
        <w:rPr>
          <w:rFonts w:eastAsia="Batang" w:cs="Times"/>
          <w:szCs w:val="24"/>
          <w:lang w:val="pt-BR" w:eastAsia="es-ES"/>
        </w:rPr>
        <w:t xml:space="preserve"> por </w:t>
      </w:r>
      <w:r w:rsidR="00C91CB1" w:rsidRPr="00D5464D">
        <w:rPr>
          <w:rFonts w:eastAsia="Batang" w:cs="Times"/>
          <w:szCs w:val="24"/>
          <w:lang w:val="pt-BR" w:eastAsia="es-ES"/>
        </w:rPr>
        <w:t>s</w:t>
      </w:r>
      <w:r w:rsidR="00933DE1" w:rsidRPr="00D5464D">
        <w:rPr>
          <w:rFonts w:eastAsia="Batang" w:cs="Times"/>
          <w:szCs w:val="24"/>
          <w:lang w:val="pt-BR" w:eastAsia="es-ES"/>
        </w:rPr>
        <w:t>e</w:t>
      </w:r>
      <w:r w:rsidR="00C91CB1" w:rsidRPr="00D5464D">
        <w:rPr>
          <w:rFonts w:eastAsia="Batang" w:cs="Times"/>
          <w:szCs w:val="24"/>
          <w:lang w:val="pt-BR" w:eastAsia="es-ES"/>
        </w:rPr>
        <w:t xml:space="preserve">u </w:t>
      </w:r>
      <w:r w:rsidR="00E765C2" w:rsidRPr="00D5464D">
        <w:rPr>
          <w:rFonts w:eastAsia="Batang" w:cs="Times"/>
          <w:szCs w:val="24"/>
          <w:lang w:val="pt-BR" w:eastAsia="es-ES"/>
        </w:rPr>
        <w:t>familiar</w:t>
      </w:r>
      <w:r w:rsidR="000A52D5" w:rsidRPr="00D5464D">
        <w:rPr>
          <w:rFonts w:eastAsia="Batang" w:cs="Times"/>
          <w:szCs w:val="24"/>
          <w:lang w:val="pt-BR" w:eastAsia="es-ES"/>
        </w:rPr>
        <w:t>,</w:t>
      </w:r>
      <w:r w:rsidRPr="00D5464D">
        <w:rPr>
          <w:rFonts w:eastAsia="Batang" w:cs="Times"/>
          <w:szCs w:val="24"/>
          <w:lang w:val="pt-BR" w:eastAsia="es-ES"/>
        </w:rPr>
        <w:t xml:space="preserve"> </w:t>
      </w:r>
      <w:r w:rsidR="00933DE1" w:rsidRPr="00D5464D">
        <w:rPr>
          <w:rFonts w:eastAsia="Batang" w:cs="Times"/>
          <w:szCs w:val="24"/>
          <w:lang w:val="pt-BR" w:eastAsia="es-ES"/>
        </w:rPr>
        <w:t>a</w:t>
      </w:r>
      <w:r w:rsidRPr="00D5464D">
        <w:rPr>
          <w:rFonts w:eastAsia="Batang" w:cs="Times"/>
          <w:szCs w:val="24"/>
          <w:lang w:val="pt-BR" w:eastAsia="es-ES"/>
        </w:rPr>
        <w:t xml:space="preserve"> qual deve </w:t>
      </w:r>
      <w:r w:rsidR="000A52D5" w:rsidRPr="00D5464D">
        <w:rPr>
          <w:rFonts w:eastAsia="Batang" w:cs="Times"/>
          <w:szCs w:val="24"/>
          <w:lang w:val="pt-BR" w:eastAsia="es-ES"/>
        </w:rPr>
        <w:t>identificar plenamente</w:t>
      </w:r>
      <w:r w:rsidR="002C330E" w:rsidRPr="00D5464D">
        <w:rPr>
          <w:rFonts w:eastAsia="Batang" w:cs="Times"/>
          <w:szCs w:val="24"/>
          <w:lang w:val="pt-BR" w:eastAsia="es-ES"/>
        </w:rPr>
        <w:t xml:space="preserve"> a </w:t>
      </w:r>
      <w:r w:rsidR="000A52D5" w:rsidRPr="00D5464D">
        <w:rPr>
          <w:rFonts w:eastAsia="Batang" w:cs="Times"/>
          <w:szCs w:val="24"/>
          <w:lang w:val="pt-BR" w:eastAsia="es-ES"/>
        </w:rPr>
        <w:t xml:space="preserve">parte que </w:t>
      </w:r>
      <w:r w:rsidR="002C330E" w:rsidRPr="00D5464D">
        <w:rPr>
          <w:rFonts w:eastAsia="Batang" w:cs="Times"/>
          <w:szCs w:val="24"/>
          <w:lang w:val="pt-BR" w:eastAsia="es-ES"/>
        </w:rPr>
        <w:t>outorga</w:t>
      </w:r>
      <w:r w:rsidRPr="00D5464D">
        <w:rPr>
          <w:rFonts w:eastAsia="Batang" w:cs="Times"/>
          <w:szCs w:val="24"/>
          <w:lang w:val="pt-BR" w:eastAsia="es-ES"/>
        </w:rPr>
        <w:t xml:space="preserve"> o </w:t>
      </w:r>
      <w:r w:rsidR="000A52D5" w:rsidRPr="00D5464D">
        <w:rPr>
          <w:rFonts w:eastAsia="Batang" w:cs="Times"/>
          <w:szCs w:val="24"/>
          <w:lang w:val="pt-BR" w:eastAsia="es-ES"/>
        </w:rPr>
        <w:t>man</w:t>
      </w:r>
      <w:r w:rsidRPr="00D5464D">
        <w:rPr>
          <w:rFonts w:eastAsia="Batang" w:cs="Times"/>
          <w:szCs w:val="24"/>
          <w:lang w:val="pt-BR" w:eastAsia="es-ES"/>
        </w:rPr>
        <w:t>da</w:t>
      </w:r>
      <w:r w:rsidR="00933DE1" w:rsidRPr="00D5464D">
        <w:rPr>
          <w:rFonts w:eastAsia="Batang" w:cs="Times"/>
          <w:szCs w:val="24"/>
          <w:lang w:val="pt-BR" w:eastAsia="es-ES"/>
        </w:rPr>
        <w:t>t</w:t>
      </w:r>
      <w:r w:rsidRPr="00D5464D">
        <w:rPr>
          <w:rFonts w:eastAsia="Batang" w:cs="Times"/>
          <w:szCs w:val="24"/>
          <w:lang w:val="pt-BR" w:eastAsia="es-ES"/>
        </w:rPr>
        <w:t>o</w:t>
      </w:r>
      <w:r w:rsidR="000A52D5" w:rsidRPr="00D5464D">
        <w:rPr>
          <w:rFonts w:eastAsia="Batang" w:cs="Times"/>
          <w:szCs w:val="24"/>
          <w:lang w:val="pt-BR" w:eastAsia="es-ES"/>
        </w:rPr>
        <w:t xml:space="preserve"> de representa</w:t>
      </w:r>
      <w:r w:rsidRPr="00D5464D">
        <w:rPr>
          <w:rFonts w:eastAsia="Batang" w:cs="Times"/>
          <w:szCs w:val="24"/>
          <w:lang w:val="pt-BR" w:eastAsia="es-ES"/>
        </w:rPr>
        <w:t>ção</w:t>
      </w:r>
      <w:r w:rsidR="000A52D5" w:rsidRPr="00D5464D">
        <w:rPr>
          <w:rFonts w:eastAsia="Batang" w:cs="Times"/>
          <w:szCs w:val="24"/>
          <w:lang w:val="pt-BR" w:eastAsia="es-ES"/>
        </w:rPr>
        <w:t xml:space="preserve">. </w:t>
      </w:r>
      <w:r w:rsidR="00933DE1" w:rsidRPr="00D5464D">
        <w:rPr>
          <w:rFonts w:eastAsia="Batang" w:cs="Times"/>
          <w:szCs w:val="24"/>
          <w:lang w:val="pt-BR" w:eastAsia="es-ES"/>
        </w:rPr>
        <w:t>Além disso</w:t>
      </w:r>
      <w:r w:rsidR="000A52D5" w:rsidRPr="00D5464D">
        <w:rPr>
          <w:rFonts w:eastAsia="Batang" w:cs="Times"/>
          <w:szCs w:val="24"/>
          <w:lang w:val="pt-BR" w:eastAsia="es-ES"/>
        </w:rPr>
        <w:t xml:space="preserve">, </w:t>
      </w:r>
      <w:r w:rsidR="002C330E" w:rsidRPr="00D5464D">
        <w:rPr>
          <w:rFonts w:eastAsia="Batang" w:cs="Times"/>
          <w:szCs w:val="24"/>
          <w:lang w:val="pt-BR" w:eastAsia="es-ES"/>
        </w:rPr>
        <w:t>fez</w:t>
      </w:r>
      <w:r w:rsidR="000A52D5" w:rsidRPr="00D5464D">
        <w:rPr>
          <w:rFonts w:eastAsia="Batang" w:cs="Times"/>
          <w:szCs w:val="24"/>
          <w:lang w:val="pt-BR" w:eastAsia="es-ES"/>
        </w:rPr>
        <w:t xml:space="preserve"> notar que</w:t>
      </w:r>
      <w:r w:rsidR="002C330E" w:rsidRPr="00D5464D">
        <w:rPr>
          <w:rFonts w:eastAsia="Batang" w:cs="Times"/>
          <w:szCs w:val="24"/>
          <w:lang w:val="pt-BR" w:eastAsia="es-ES"/>
        </w:rPr>
        <w:t xml:space="preserve"> </w:t>
      </w:r>
      <w:r w:rsidR="00933DE1" w:rsidRPr="00D5464D">
        <w:rPr>
          <w:rFonts w:eastAsia="Batang" w:cs="Times"/>
          <w:szCs w:val="24"/>
          <w:lang w:val="pt-BR" w:eastAsia="es-ES"/>
        </w:rPr>
        <w:t xml:space="preserve">apesar de </w:t>
      </w:r>
      <w:r w:rsidR="002C330E" w:rsidRPr="00D5464D">
        <w:rPr>
          <w:rFonts w:eastAsia="Batang" w:cs="Times"/>
          <w:szCs w:val="24"/>
          <w:lang w:val="pt-BR" w:eastAsia="es-ES"/>
        </w:rPr>
        <w:t xml:space="preserve">os </w:t>
      </w:r>
      <w:r w:rsidR="00EB1CE9" w:rsidRPr="00D5464D">
        <w:rPr>
          <w:rFonts w:eastAsia="Batang" w:cs="Times"/>
          <w:szCs w:val="24"/>
          <w:lang w:val="pt-BR" w:eastAsia="es-ES"/>
        </w:rPr>
        <w:t>representante</w:t>
      </w:r>
      <w:r w:rsidR="000A52D5" w:rsidRPr="00D5464D">
        <w:rPr>
          <w:rFonts w:eastAsia="Batang" w:cs="Times"/>
          <w:szCs w:val="24"/>
          <w:lang w:val="pt-BR" w:eastAsia="es-ES"/>
        </w:rPr>
        <w:t xml:space="preserve">s </w:t>
      </w:r>
      <w:r w:rsidR="00933DE1" w:rsidRPr="00D5464D">
        <w:rPr>
          <w:rFonts w:eastAsia="Batang" w:cs="Times"/>
          <w:szCs w:val="24"/>
          <w:lang w:val="pt-BR" w:eastAsia="es-ES"/>
        </w:rPr>
        <w:t xml:space="preserve">terem cumprido </w:t>
      </w:r>
      <w:r w:rsidR="002C330E" w:rsidRPr="00D5464D">
        <w:rPr>
          <w:rFonts w:eastAsia="Batang" w:cs="Times"/>
          <w:szCs w:val="24"/>
          <w:lang w:val="pt-BR" w:eastAsia="es-ES"/>
        </w:rPr>
        <w:t xml:space="preserve">os </w:t>
      </w:r>
      <w:r w:rsidR="000A52D5" w:rsidRPr="00D5464D">
        <w:rPr>
          <w:rFonts w:eastAsia="Batang" w:cs="Times"/>
          <w:szCs w:val="24"/>
          <w:lang w:val="pt-BR" w:eastAsia="es-ES"/>
        </w:rPr>
        <w:t xml:space="preserve">requisitos </w:t>
      </w:r>
      <w:r w:rsidRPr="00D5464D">
        <w:rPr>
          <w:rFonts w:eastAsia="Batang" w:cs="Times"/>
          <w:szCs w:val="24"/>
          <w:lang w:val="pt-BR" w:eastAsia="es-ES"/>
        </w:rPr>
        <w:t>formais</w:t>
      </w:r>
      <w:r w:rsidR="000A52D5" w:rsidRPr="00D5464D">
        <w:rPr>
          <w:rFonts w:eastAsia="Batang" w:cs="Times"/>
          <w:szCs w:val="24"/>
          <w:lang w:val="pt-BR" w:eastAsia="es-ES"/>
        </w:rPr>
        <w:t xml:space="preserve"> exigidos</w:t>
      </w:r>
      <w:r w:rsidR="002C330E" w:rsidRPr="00D5464D">
        <w:rPr>
          <w:rFonts w:eastAsia="Batang" w:cs="Times"/>
          <w:szCs w:val="24"/>
          <w:lang w:val="pt-BR" w:eastAsia="es-ES"/>
        </w:rPr>
        <w:t xml:space="preserve"> pela </w:t>
      </w:r>
      <w:r w:rsidR="000A52D5" w:rsidRPr="00D5464D">
        <w:rPr>
          <w:rFonts w:eastAsia="Batang" w:cs="Times"/>
          <w:szCs w:val="24"/>
          <w:lang w:val="pt-BR" w:eastAsia="es-ES"/>
        </w:rPr>
        <w:t>Corte</w:t>
      </w:r>
      <w:r w:rsidRPr="00D5464D">
        <w:rPr>
          <w:rFonts w:eastAsia="Batang" w:cs="Times"/>
          <w:szCs w:val="24"/>
          <w:lang w:val="pt-BR" w:eastAsia="es-ES"/>
        </w:rPr>
        <w:t xml:space="preserve"> ao</w:t>
      </w:r>
      <w:r w:rsidR="002C330E" w:rsidRPr="00D5464D">
        <w:rPr>
          <w:rFonts w:eastAsia="Batang" w:cs="Times"/>
          <w:szCs w:val="24"/>
          <w:lang w:val="pt-BR" w:eastAsia="es-ES"/>
        </w:rPr>
        <w:t xml:space="preserve"> apresentar </w:t>
      </w:r>
      <w:r w:rsidR="00933DE1" w:rsidRPr="00D5464D">
        <w:rPr>
          <w:rFonts w:eastAsia="Batang" w:cs="Times"/>
          <w:szCs w:val="24"/>
          <w:lang w:val="pt-BR" w:eastAsia="es-ES"/>
        </w:rPr>
        <w:t>as procurações</w:t>
      </w:r>
      <w:r w:rsidR="000A52D5" w:rsidRPr="00D5464D">
        <w:rPr>
          <w:rFonts w:eastAsia="Batang" w:cs="Times"/>
          <w:szCs w:val="24"/>
          <w:lang w:val="pt-BR" w:eastAsia="es-ES"/>
        </w:rPr>
        <w:t xml:space="preserve">, </w:t>
      </w:r>
      <w:r w:rsidR="00A1358C" w:rsidRPr="00D5464D">
        <w:rPr>
          <w:rFonts w:eastAsia="Batang" w:cs="Times"/>
          <w:szCs w:val="24"/>
          <w:lang w:val="pt-BR" w:eastAsia="es-ES"/>
        </w:rPr>
        <w:t>persistem</w:t>
      </w:r>
      <w:r w:rsidR="000A52D5" w:rsidRPr="00D5464D">
        <w:rPr>
          <w:rFonts w:eastAsia="Batang" w:cs="Times"/>
          <w:szCs w:val="24"/>
          <w:lang w:val="pt-BR" w:eastAsia="es-ES"/>
        </w:rPr>
        <w:t xml:space="preserve"> problemas que dificulta</w:t>
      </w:r>
      <w:r w:rsidR="00963EBD" w:rsidRPr="00D5464D">
        <w:rPr>
          <w:rFonts w:eastAsia="Batang" w:cs="Times"/>
          <w:szCs w:val="24"/>
          <w:lang w:val="pt-BR" w:eastAsia="es-ES"/>
        </w:rPr>
        <w:t>m</w:t>
      </w:r>
      <w:r w:rsidR="002C330E" w:rsidRPr="00D5464D">
        <w:rPr>
          <w:rFonts w:eastAsia="Batang" w:cs="Times"/>
          <w:szCs w:val="24"/>
          <w:lang w:val="pt-BR" w:eastAsia="es-ES"/>
        </w:rPr>
        <w:t xml:space="preserve"> a </w:t>
      </w:r>
      <w:r w:rsidR="000A52D5" w:rsidRPr="00D5464D">
        <w:rPr>
          <w:rFonts w:eastAsia="Batang" w:cs="Times"/>
          <w:szCs w:val="24"/>
          <w:lang w:val="pt-BR" w:eastAsia="es-ES"/>
        </w:rPr>
        <w:t>identifica</w:t>
      </w:r>
      <w:r w:rsidRPr="00D5464D">
        <w:rPr>
          <w:rFonts w:eastAsia="Batang" w:cs="Times"/>
          <w:szCs w:val="24"/>
          <w:lang w:val="pt-BR" w:eastAsia="es-ES"/>
        </w:rPr>
        <w:t>ção</w:t>
      </w:r>
      <w:r w:rsidR="000A52D5" w:rsidRPr="00D5464D">
        <w:rPr>
          <w:rFonts w:eastAsia="Batang" w:cs="Times"/>
          <w:szCs w:val="24"/>
          <w:lang w:val="pt-BR" w:eastAsia="es-ES"/>
        </w:rPr>
        <w:t xml:space="preserve"> de </w:t>
      </w:r>
      <w:r w:rsidRPr="00D5464D">
        <w:rPr>
          <w:rFonts w:eastAsia="Batang" w:cs="Times"/>
          <w:szCs w:val="24"/>
          <w:lang w:val="pt-BR" w:eastAsia="es-ES"/>
        </w:rPr>
        <w:t xml:space="preserve">alguns </w:t>
      </w:r>
      <w:r w:rsidR="002C330E" w:rsidRPr="00D5464D">
        <w:rPr>
          <w:rFonts w:eastAsia="Batang" w:cs="Times"/>
          <w:szCs w:val="24"/>
          <w:lang w:val="pt-BR" w:eastAsia="es-ES"/>
        </w:rPr>
        <w:t>nome</w:t>
      </w:r>
      <w:r w:rsidR="000A52D5" w:rsidRPr="00D5464D">
        <w:rPr>
          <w:rFonts w:eastAsia="Batang" w:cs="Times"/>
          <w:szCs w:val="24"/>
          <w:lang w:val="pt-BR" w:eastAsia="es-ES"/>
        </w:rPr>
        <w:t>s</w:t>
      </w:r>
      <w:r w:rsidR="00E045D9" w:rsidRPr="00D5464D">
        <w:rPr>
          <w:rFonts w:eastAsia="Batang" w:cs="Times"/>
          <w:szCs w:val="24"/>
          <w:lang w:val="pt-BR" w:eastAsia="es-ES"/>
        </w:rPr>
        <w:t xml:space="preserve"> e </w:t>
      </w:r>
      <w:r w:rsidRPr="00D5464D">
        <w:rPr>
          <w:rFonts w:eastAsia="Batang" w:cs="Times"/>
          <w:szCs w:val="24"/>
          <w:lang w:val="pt-BR" w:eastAsia="es-ES"/>
        </w:rPr>
        <w:t>algumas</w:t>
      </w:r>
      <w:r w:rsidR="000A52D5" w:rsidRPr="00D5464D">
        <w:rPr>
          <w:rFonts w:eastAsia="Batang" w:cs="Times"/>
          <w:szCs w:val="24"/>
          <w:lang w:val="pt-BR" w:eastAsia="es-ES"/>
        </w:rPr>
        <w:t xml:space="preserve"> </w:t>
      </w:r>
      <w:r w:rsidR="002C330E" w:rsidRPr="00D5464D">
        <w:rPr>
          <w:rFonts w:eastAsia="Batang" w:cs="Times"/>
          <w:szCs w:val="24"/>
          <w:lang w:val="pt-BR" w:eastAsia="es-ES"/>
        </w:rPr>
        <w:t>suposta</w:t>
      </w:r>
      <w:r w:rsidR="000A52D5" w:rsidRPr="00D5464D">
        <w:rPr>
          <w:rFonts w:eastAsia="Batang" w:cs="Times"/>
          <w:szCs w:val="24"/>
          <w:lang w:val="pt-BR" w:eastAsia="es-ES"/>
        </w:rPr>
        <w:t xml:space="preserve">s </w:t>
      </w:r>
      <w:r w:rsidR="00E045D9" w:rsidRPr="00D5464D">
        <w:rPr>
          <w:rFonts w:eastAsia="Batang" w:cs="Times"/>
          <w:szCs w:val="24"/>
          <w:lang w:val="pt-BR" w:eastAsia="es-ES"/>
        </w:rPr>
        <w:t>vítima</w:t>
      </w:r>
      <w:r w:rsidR="000A52D5" w:rsidRPr="00D5464D">
        <w:rPr>
          <w:rFonts w:eastAsia="Batang" w:cs="Times"/>
          <w:szCs w:val="24"/>
          <w:lang w:val="pt-BR" w:eastAsia="es-ES"/>
        </w:rPr>
        <w:t xml:space="preserve">s que </w:t>
      </w:r>
      <w:r w:rsidR="002F185A" w:rsidRPr="00D5464D">
        <w:rPr>
          <w:rFonts w:eastAsia="Batang" w:cs="Times"/>
          <w:szCs w:val="24"/>
          <w:lang w:val="pt-BR" w:eastAsia="es-ES"/>
        </w:rPr>
        <w:t xml:space="preserve">estariam </w:t>
      </w:r>
      <w:r w:rsidR="000A52D5" w:rsidRPr="00D5464D">
        <w:rPr>
          <w:rFonts w:eastAsia="Batang" w:cs="Times"/>
          <w:szCs w:val="24"/>
          <w:lang w:val="pt-BR" w:eastAsia="es-ES"/>
        </w:rPr>
        <w:t>su</w:t>
      </w:r>
      <w:r w:rsidR="002C330E" w:rsidRPr="00D5464D">
        <w:rPr>
          <w:rFonts w:eastAsia="Batang" w:cs="Times"/>
          <w:szCs w:val="24"/>
          <w:lang w:val="pt-BR" w:eastAsia="es-ES"/>
        </w:rPr>
        <w:t>posta</w:t>
      </w:r>
      <w:r w:rsidR="000A52D5" w:rsidRPr="00D5464D">
        <w:rPr>
          <w:rFonts w:eastAsia="Batang" w:cs="Times"/>
          <w:szCs w:val="24"/>
          <w:lang w:val="pt-BR" w:eastAsia="es-ES"/>
        </w:rPr>
        <w:t>mente</w:t>
      </w:r>
      <w:r w:rsidRPr="00D5464D">
        <w:rPr>
          <w:rFonts w:eastAsia="Batang" w:cs="Times"/>
          <w:szCs w:val="24"/>
          <w:lang w:val="pt-BR" w:eastAsia="es-ES"/>
        </w:rPr>
        <w:t xml:space="preserve"> </w:t>
      </w:r>
      <w:r w:rsidR="000A52D5" w:rsidRPr="00D5464D">
        <w:rPr>
          <w:rFonts w:eastAsia="Batang" w:cs="Times"/>
          <w:szCs w:val="24"/>
          <w:lang w:val="pt-BR" w:eastAsia="es-ES"/>
        </w:rPr>
        <w:t>representadas</w:t>
      </w:r>
      <w:r w:rsidR="00933DE1" w:rsidRPr="00D5464D">
        <w:rPr>
          <w:rFonts w:eastAsia="Batang" w:cs="Times"/>
          <w:szCs w:val="24"/>
          <w:lang w:val="pt-BR" w:eastAsia="es-ES"/>
        </w:rPr>
        <w:t>.</w:t>
      </w:r>
      <w:r w:rsidR="000A52D5" w:rsidRPr="00D5464D">
        <w:rPr>
          <w:rFonts w:eastAsia="Batang" w:cs="Times"/>
          <w:szCs w:val="24"/>
          <w:vertAlign w:val="superscript"/>
          <w:lang w:val="pt-BR" w:eastAsia="es-ES"/>
        </w:rPr>
        <w:footnoteReference w:id="24"/>
      </w:r>
    </w:p>
    <w:p w14:paraId="6F3FE603" w14:textId="77777777" w:rsidR="000A52D5" w:rsidRPr="00D5464D" w:rsidRDefault="000A52D5" w:rsidP="00140440">
      <w:pPr>
        <w:tabs>
          <w:tab w:val="clear" w:pos="4419"/>
          <w:tab w:val="clear" w:pos="8838"/>
        </w:tabs>
        <w:jc w:val="both"/>
        <w:rPr>
          <w:rFonts w:eastAsia="Batang" w:cs="Times"/>
          <w:i/>
          <w:szCs w:val="24"/>
          <w:lang w:val="pt-BR" w:eastAsia="es-ES"/>
        </w:rPr>
      </w:pPr>
    </w:p>
    <w:p w14:paraId="0167F71B" w14:textId="27C340BA" w:rsidR="000A52D5" w:rsidRPr="00D5464D" w:rsidRDefault="002C330E" w:rsidP="00217CA8">
      <w:pPr>
        <w:numPr>
          <w:ilvl w:val="0"/>
          <w:numId w:val="10"/>
        </w:numPr>
        <w:tabs>
          <w:tab w:val="clear" w:pos="4419"/>
          <w:tab w:val="clear" w:pos="8838"/>
        </w:tabs>
        <w:jc w:val="both"/>
        <w:rPr>
          <w:rFonts w:eastAsia="Batang" w:cs="Times"/>
          <w:i/>
          <w:szCs w:val="24"/>
          <w:lang w:val="pt-BR" w:eastAsia="es-ES"/>
        </w:rPr>
      </w:pPr>
      <w:r w:rsidRPr="00D5464D">
        <w:rPr>
          <w:rFonts w:eastAsia="Batang" w:cs="Times"/>
          <w:i/>
          <w:szCs w:val="24"/>
          <w:lang w:val="pt-BR" w:eastAsia="es-ES"/>
        </w:rPr>
        <w:t>Suposta</w:t>
      </w:r>
      <w:r w:rsidR="000A52D5" w:rsidRPr="00D5464D">
        <w:rPr>
          <w:rFonts w:eastAsia="Batang" w:cs="Times"/>
          <w:i/>
          <w:szCs w:val="24"/>
          <w:lang w:val="pt-BR" w:eastAsia="es-ES"/>
        </w:rPr>
        <w:t xml:space="preserve">s </w:t>
      </w:r>
      <w:r w:rsidR="00E045D9" w:rsidRPr="00D5464D">
        <w:rPr>
          <w:rFonts w:eastAsia="Batang" w:cs="Times"/>
          <w:i/>
          <w:szCs w:val="24"/>
          <w:lang w:val="pt-BR" w:eastAsia="es-ES"/>
        </w:rPr>
        <w:t>vítima</w:t>
      </w:r>
      <w:r w:rsidR="000A52D5" w:rsidRPr="00D5464D">
        <w:rPr>
          <w:rFonts w:eastAsia="Batang" w:cs="Times"/>
          <w:i/>
          <w:szCs w:val="24"/>
          <w:lang w:val="pt-BR" w:eastAsia="es-ES"/>
        </w:rPr>
        <w:t>s</w:t>
      </w:r>
      <w:r w:rsidRPr="00D5464D">
        <w:rPr>
          <w:rFonts w:eastAsia="Batang" w:cs="Times"/>
          <w:i/>
          <w:szCs w:val="24"/>
          <w:lang w:val="pt-BR" w:eastAsia="es-ES"/>
        </w:rPr>
        <w:t xml:space="preserve"> sem </w:t>
      </w:r>
      <w:r w:rsidR="00933DE1" w:rsidRPr="00D5464D">
        <w:rPr>
          <w:rFonts w:eastAsia="Batang" w:cs="Times"/>
          <w:i/>
          <w:szCs w:val="24"/>
          <w:lang w:val="pt-BR" w:eastAsia="es-ES"/>
        </w:rPr>
        <w:t>procuração</w:t>
      </w:r>
    </w:p>
    <w:p w14:paraId="22914047" w14:textId="77777777" w:rsidR="00D65024" w:rsidRPr="00D5464D" w:rsidRDefault="00D65024" w:rsidP="00D65024">
      <w:pPr>
        <w:tabs>
          <w:tab w:val="clear" w:pos="4419"/>
          <w:tab w:val="clear" w:pos="8838"/>
        </w:tabs>
        <w:jc w:val="both"/>
        <w:rPr>
          <w:rFonts w:eastAsia="Batang" w:cs="Times"/>
          <w:b/>
          <w:szCs w:val="24"/>
          <w:lang w:val="pt-BR" w:eastAsia="es-ES"/>
        </w:rPr>
      </w:pPr>
    </w:p>
    <w:p w14:paraId="12018E81" w14:textId="2F05BA00" w:rsidR="000A52D5" w:rsidRPr="00D5464D" w:rsidRDefault="00470ADC" w:rsidP="00140440">
      <w:pPr>
        <w:numPr>
          <w:ilvl w:val="0"/>
          <w:numId w:val="1"/>
        </w:numPr>
        <w:tabs>
          <w:tab w:val="clear" w:pos="4419"/>
          <w:tab w:val="clear" w:pos="8838"/>
        </w:tabs>
        <w:jc w:val="both"/>
        <w:rPr>
          <w:rFonts w:eastAsia="Batang" w:cs="Times"/>
          <w:b/>
          <w:szCs w:val="24"/>
          <w:lang w:val="pt-BR" w:eastAsia="es-ES"/>
        </w:rPr>
      </w:pPr>
      <w:r w:rsidRPr="00D5464D">
        <w:rPr>
          <w:rFonts w:eastAsia="Batang" w:cs="Times"/>
          <w:szCs w:val="24"/>
          <w:lang w:val="pt-BR" w:eastAsia="es-ES"/>
        </w:rPr>
        <w:t xml:space="preserve">O </w:t>
      </w:r>
      <w:r w:rsidR="000A52D5" w:rsidRPr="00D5464D">
        <w:rPr>
          <w:rFonts w:eastAsia="Batang" w:cs="Times"/>
          <w:szCs w:val="24"/>
          <w:lang w:val="pt-BR" w:eastAsia="es-ES"/>
        </w:rPr>
        <w:t xml:space="preserve">Estado </w:t>
      </w:r>
      <w:r w:rsidRPr="00D5464D">
        <w:rPr>
          <w:rFonts w:eastAsia="Batang" w:cs="Times"/>
          <w:szCs w:val="24"/>
          <w:lang w:val="pt-BR" w:eastAsia="es-ES"/>
        </w:rPr>
        <w:t>afirmou</w:t>
      </w:r>
      <w:r w:rsidR="000A52D5" w:rsidRPr="00D5464D">
        <w:rPr>
          <w:rFonts w:eastAsia="Batang" w:cs="Times"/>
          <w:szCs w:val="24"/>
          <w:lang w:val="pt-BR" w:eastAsia="es-ES"/>
        </w:rPr>
        <w:t xml:space="preserve"> que</w:t>
      </w:r>
      <w:r w:rsidR="002C330E" w:rsidRPr="00D5464D">
        <w:rPr>
          <w:rFonts w:eastAsia="Batang" w:cs="Times"/>
          <w:szCs w:val="24"/>
          <w:lang w:val="pt-BR" w:eastAsia="es-ES"/>
        </w:rPr>
        <w:t xml:space="preserve"> a </w:t>
      </w:r>
      <w:r w:rsidR="000A52D5" w:rsidRPr="00D5464D">
        <w:rPr>
          <w:rFonts w:eastAsia="Batang" w:cs="Times"/>
          <w:szCs w:val="24"/>
          <w:lang w:val="pt-BR" w:eastAsia="es-ES"/>
        </w:rPr>
        <w:t>Corte dispens</w:t>
      </w:r>
      <w:r w:rsidR="00933DE1" w:rsidRPr="00D5464D">
        <w:rPr>
          <w:rFonts w:eastAsia="Batang" w:cs="Times"/>
          <w:szCs w:val="24"/>
          <w:lang w:val="pt-BR" w:eastAsia="es-ES"/>
        </w:rPr>
        <w:t>ou</w:t>
      </w:r>
      <w:r w:rsidR="002C330E" w:rsidRPr="00D5464D">
        <w:rPr>
          <w:rFonts w:eastAsia="Batang" w:cs="Times"/>
          <w:szCs w:val="24"/>
          <w:lang w:val="pt-BR" w:eastAsia="es-ES"/>
        </w:rPr>
        <w:t xml:space="preserve"> a </w:t>
      </w:r>
      <w:r w:rsidRPr="00D5464D">
        <w:rPr>
          <w:rFonts w:eastAsia="Batang" w:cs="Times"/>
          <w:szCs w:val="24"/>
          <w:lang w:val="pt-BR" w:eastAsia="es-ES"/>
        </w:rPr>
        <w:t>exigência</w:t>
      </w:r>
      <w:r w:rsidR="000A52D5" w:rsidRPr="00D5464D">
        <w:rPr>
          <w:rFonts w:eastAsia="Batang" w:cs="Times"/>
          <w:szCs w:val="24"/>
          <w:lang w:val="pt-BR" w:eastAsia="es-ES"/>
        </w:rPr>
        <w:t xml:space="preserve"> de </w:t>
      </w:r>
      <w:r w:rsidR="002C330E" w:rsidRPr="00D5464D">
        <w:rPr>
          <w:rFonts w:eastAsia="Batang" w:cs="Times"/>
          <w:szCs w:val="24"/>
          <w:lang w:val="pt-BR" w:eastAsia="es-ES"/>
        </w:rPr>
        <w:t>prova</w:t>
      </w:r>
      <w:r w:rsidR="000A52D5" w:rsidRPr="00D5464D">
        <w:rPr>
          <w:rFonts w:eastAsia="Batang" w:cs="Times"/>
          <w:szCs w:val="24"/>
          <w:lang w:val="pt-BR" w:eastAsia="es-ES"/>
        </w:rPr>
        <w:t xml:space="preserve"> de representa</w:t>
      </w:r>
      <w:r w:rsidRPr="00D5464D">
        <w:rPr>
          <w:rFonts w:eastAsia="Batang" w:cs="Times"/>
          <w:szCs w:val="24"/>
          <w:lang w:val="pt-BR" w:eastAsia="es-ES"/>
        </w:rPr>
        <w:t>ção</w:t>
      </w:r>
      <w:r w:rsidR="000A52D5" w:rsidRPr="00D5464D">
        <w:rPr>
          <w:rFonts w:eastAsia="Batang" w:cs="Times"/>
          <w:szCs w:val="24"/>
          <w:lang w:val="pt-BR" w:eastAsia="es-ES"/>
        </w:rPr>
        <w:t xml:space="preserve"> formal de </w:t>
      </w:r>
      <w:r w:rsidR="002C330E" w:rsidRPr="00D5464D">
        <w:rPr>
          <w:rFonts w:eastAsia="Batang" w:cs="Times"/>
          <w:szCs w:val="24"/>
          <w:lang w:val="pt-BR" w:eastAsia="es-ES"/>
        </w:rPr>
        <w:t>suposta</w:t>
      </w:r>
      <w:r w:rsidR="000A52D5" w:rsidRPr="00D5464D">
        <w:rPr>
          <w:rFonts w:eastAsia="Batang" w:cs="Times"/>
          <w:szCs w:val="24"/>
          <w:lang w:val="pt-BR" w:eastAsia="es-ES"/>
        </w:rPr>
        <w:t xml:space="preserve">s </w:t>
      </w:r>
      <w:r w:rsidR="00E045D9" w:rsidRPr="00D5464D">
        <w:rPr>
          <w:rFonts w:eastAsia="Batang" w:cs="Times"/>
          <w:szCs w:val="24"/>
          <w:lang w:val="pt-BR" w:eastAsia="es-ES"/>
        </w:rPr>
        <w:t>vítima</w:t>
      </w:r>
      <w:r w:rsidR="000A52D5" w:rsidRPr="00D5464D">
        <w:rPr>
          <w:rFonts w:eastAsia="Batang" w:cs="Times"/>
          <w:szCs w:val="24"/>
          <w:lang w:val="pt-BR" w:eastAsia="es-ES"/>
        </w:rPr>
        <w:t>s</w:t>
      </w:r>
      <w:r w:rsidRPr="00D5464D">
        <w:rPr>
          <w:rFonts w:eastAsia="Batang" w:cs="Times"/>
          <w:szCs w:val="24"/>
          <w:lang w:val="pt-BR" w:eastAsia="es-ES"/>
        </w:rPr>
        <w:t xml:space="preserve"> em </w:t>
      </w:r>
      <w:r w:rsidR="000A52D5" w:rsidRPr="00D5464D">
        <w:rPr>
          <w:rFonts w:eastAsia="Batang" w:cs="Times"/>
          <w:szCs w:val="24"/>
          <w:lang w:val="pt-BR" w:eastAsia="es-ES"/>
        </w:rPr>
        <w:t>casos particulares</w:t>
      </w:r>
      <w:r w:rsidR="003A041C" w:rsidRPr="00D5464D">
        <w:rPr>
          <w:rFonts w:eastAsia="Batang" w:cs="Times"/>
          <w:szCs w:val="24"/>
          <w:lang w:val="pt-BR" w:eastAsia="es-ES"/>
        </w:rPr>
        <w:t>,</w:t>
      </w:r>
      <w:r w:rsidR="000A52D5" w:rsidRPr="00D5464D">
        <w:rPr>
          <w:rFonts w:eastAsia="Batang" w:cs="Times"/>
          <w:szCs w:val="24"/>
          <w:lang w:val="pt-BR" w:eastAsia="es-ES"/>
        </w:rPr>
        <w:t xml:space="preserve"> </w:t>
      </w:r>
      <w:r w:rsidR="002C330E" w:rsidRPr="00D5464D">
        <w:rPr>
          <w:rFonts w:eastAsia="Batang" w:cs="Times"/>
          <w:szCs w:val="24"/>
          <w:lang w:val="pt-BR" w:eastAsia="es-ES"/>
        </w:rPr>
        <w:t>mas</w:t>
      </w:r>
      <w:r w:rsidR="000A52D5" w:rsidRPr="00D5464D">
        <w:rPr>
          <w:rFonts w:eastAsia="Batang" w:cs="Times"/>
          <w:szCs w:val="24"/>
          <w:lang w:val="pt-BR" w:eastAsia="es-ES"/>
        </w:rPr>
        <w:t xml:space="preserve"> que</w:t>
      </w:r>
      <w:r w:rsidR="00E045D9" w:rsidRPr="00D5464D">
        <w:rPr>
          <w:rFonts w:eastAsia="Batang" w:cs="Times"/>
          <w:szCs w:val="24"/>
          <w:lang w:val="pt-BR" w:eastAsia="es-ES"/>
        </w:rPr>
        <w:t xml:space="preserve"> no </w:t>
      </w:r>
      <w:r w:rsidR="000A52D5" w:rsidRPr="00D5464D">
        <w:rPr>
          <w:rFonts w:eastAsia="Batang" w:cs="Times"/>
          <w:szCs w:val="24"/>
          <w:lang w:val="pt-BR" w:eastAsia="es-ES"/>
        </w:rPr>
        <w:t xml:space="preserve">presente </w:t>
      </w:r>
      <w:r w:rsidRPr="00D5464D">
        <w:rPr>
          <w:rFonts w:eastAsia="Batang" w:cs="Times"/>
          <w:szCs w:val="24"/>
          <w:lang w:val="pt-BR" w:eastAsia="es-ES"/>
        </w:rPr>
        <w:t>assunto</w:t>
      </w:r>
      <w:r w:rsidR="000A52D5" w:rsidRPr="00D5464D">
        <w:rPr>
          <w:rFonts w:eastAsia="Batang" w:cs="Times"/>
          <w:szCs w:val="24"/>
          <w:lang w:val="pt-BR" w:eastAsia="es-ES"/>
        </w:rPr>
        <w:t xml:space="preserve"> </w:t>
      </w:r>
      <w:r w:rsidR="00737270" w:rsidRPr="00D5464D">
        <w:rPr>
          <w:rFonts w:eastAsia="Batang" w:cs="Times"/>
          <w:szCs w:val="24"/>
          <w:lang w:val="pt-BR" w:eastAsia="es-ES"/>
        </w:rPr>
        <w:t>não é</w:t>
      </w:r>
      <w:r w:rsidRPr="00D5464D">
        <w:rPr>
          <w:rFonts w:eastAsia="Batang" w:cs="Times"/>
          <w:szCs w:val="24"/>
          <w:lang w:val="pt-BR" w:eastAsia="es-ES"/>
        </w:rPr>
        <w:t xml:space="preserve"> aplicável esse critério,</w:t>
      </w:r>
      <w:r w:rsidR="00737270" w:rsidRPr="00D5464D">
        <w:rPr>
          <w:rFonts w:eastAsia="Batang" w:cs="Times"/>
          <w:szCs w:val="24"/>
          <w:lang w:val="pt-BR" w:eastAsia="es-ES"/>
        </w:rPr>
        <w:t xml:space="preserve"> já </w:t>
      </w:r>
      <w:r w:rsidR="000A52D5" w:rsidRPr="00D5464D">
        <w:rPr>
          <w:rFonts w:eastAsia="Batang" w:cs="Times"/>
          <w:szCs w:val="24"/>
          <w:lang w:val="pt-BR" w:eastAsia="es-ES"/>
        </w:rPr>
        <w:t>que</w:t>
      </w:r>
      <w:r w:rsidR="002C330E" w:rsidRPr="00D5464D">
        <w:rPr>
          <w:rFonts w:eastAsia="Batang" w:cs="Times"/>
          <w:szCs w:val="24"/>
          <w:lang w:val="pt-BR" w:eastAsia="es-ES"/>
        </w:rPr>
        <w:t xml:space="preserve"> as suposta</w:t>
      </w:r>
      <w:r w:rsidR="000A52D5" w:rsidRPr="00D5464D">
        <w:rPr>
          <w:rFonts w:eastAsia="Batang" w:cs="Times"/>
          <w:szCs w:val="24"/>
          <w:lang w:val="pt-BR" w:eastAsia="es-ES"/>
        </w:rPr>
        <w:t xml:space="preserve">s </w:t>
      </w:r>
      <w:r w:rsidR="00E045D9" w:rsidRPr="00D5464D">
        <w:rPr>
          <w:rFonts w:eastAsia="Batang" w:cs="Times"/>
          <w:szCs w:val="24"/>
          <w:lang w:val="pt-BR" w:eastAsia="es-ES"/>
        </w:rPr>
        <w:t>vítima</w:t>
      </w:r>
      <w:r w:rsidR="000A52D5" w:rsidRPr="00D5464D">
        <w:rPr>
          <w:rFonts w:eastAsia="Batang" w:cs="Times"/>
          <w:szCs w:val="24"/>
          <w:lang w:val="pt-BR" w:eastAsia="es-ES"/>
        </w:rPr>
        <w:t>s</w:t>
      </w:r>
      <w:r w:rsidR="00230C71" w:rsidRPr="00D5464D">
        <w:rPr>
          <w:rFonts w:eastAsia="Batang" w:cs="Times"/>
          <w:szCs w:val="24"/>
          <w:lang w:val="pt-BR" w:eastAsia="es-ES"/>
        </w:rPr>
        <w:t xml:space="preserve"> não foram</w:t>
      </w:r>
      <w:r w:rsidR="000A52D5" w:rsidRPr="00D5464D">
        <w:rPr>
          <w:rFonts w:eastAsia="Batang" w:cs="Times"/>
          <w:szCs w:val="24"/>
          <w:lang w:val="pt-BR" w:eastAsia="es-ES"/>
        </w:rPr>
        <w:t xml:space="preserve"> </w:t>
      </w:r>
      <w:r w:rsidRPr="00D5464D">
        <w:rPr>
          <w:rFonts w:eastAsia="Batang" w:cs="Times"/>
          <w:szCs w:val="24"/>
          <w:lang w:val="pt-BR" w:eastAsia="es-ES"/>
        </w:rPr>
        <w:t>executad</w:t>
      </w:r>
      <w:r w:rsidR="000A52D5" w:rsidRPr="00D5464D">
        <w:rPr>
          <w:rFonts w:eastAsia="Batang" w:cs="Times"/>
          <w:szCs w:val="24"/>
          <w:lang w:val="pt-BR" w:eastAsia="es-ES"/>
        </w:rPr>
        <w:t>as</w:t>
      </w:r>
      <w:r w:rsidR="00843219" w:rsidRPr="00D5464D">
        <w:rPr>
          <w:rFonts w:eastAsia="Batang" w:cs="Times"/>
          <w:szCs w:val="24"/>
          <w:lang w:val="pt-BR" w:eastAsia="es-ES"/>
        </w:rPr>
        <w:t>,</w:t>
      </w:r>
      <w:r w:rsidR="002C330E" w:rsidRPr="00D5464D">
        <w:rPr>
          <w:rFonts w:eastAsia="Batang" w:cs="Times"/>
          <w:szCs w:val="24"/>
          <w:lang w:val="pt-BR" w:eastAsia="es-ES"/>
        </w:rPr>
        <w:t xml:space="preserve"> nem </w:t>
      </w:r>
      <w:r w:rsidR="00737270" w:rsidRPr="00D5464D">
        <w:rPr>
          <w:rFonts w:eastAsia="Batang" w:cs="Times"/>
          <w:szCs w:val="24"/>
          <w:lang w:val="pt-BR" w:eastAsia="es-ES"/>
        </w:rPr>
        <w:t>existiu</w:t>
      </w:r>
      <w:r w:rsidR="000A52D5" w:rsidRPr="00D5464D">
        <w:rPr>
          <w:rFonts w:eastAsia="Batang" w:cs="Times"/>
          <w:szCs w:val="24"/>
          <w:lang w:val="pt-BR" w:eastAsia="es-ES"/>
        </w:rPr>
        <w:t xml:space="preserve"> </w:t>
      </w:r>
      <w:r w:rsidR="00E045D9" w:rsidRPr="00D5464D">
        <w:rPr>
          <w:rFonts w:eastAsia="Batang" w:cs="Times"/>
          <w:szCs w:val="24"/>
          <w:lang w:val="pt-BR" w:eastAsia="es-ES"/>
        </w:rPr>
        <w:t>desaparecimento forçado</w:t>
      </w:r>
      <w:r w:rsidR="000A52D5" w:rsidRPr="00D5464D">
        <w:rPr>
          <w:rFonts w:eastAsia="Batang" w:cs="Times"/>
          <w:szCs w:val="24"/>
          <w:lang w:val="pt-BR" w:eastAsia="es-ES"/>
        </w:rPr>
        <w:t xml:space="preserve">. </w:t>
      </w:r>
      <w:r w:rsidRPr="00D5464D">
        <w:rPr>
          <w:rFonts w:eastAsia="Batang" w:cs="Times"/>
          <w:szCs w:val="24"/>
          <w:lang w:val="pt-BR" w:eastAsia="es-ES"/>
        </w:rPr>
        <w:t>Ademais</w:t>
      </w:r>
      <w:r w:rsidR="000A52D5" w:rsidRPr="00D5464D">
        <w:rPr>
          <w:rFonts w:eastAsia="Batang" w:cs="Times"/>
          <w:szCs w:val="24"/>
          <w:lang w:val="pt-BR" w:eastAsia="es-ES"/>
        </w:rPr>
        <w:t>,</w:t>
      </w:r>
      <w:r w:rsidRPr="00D5464D">
        <w:rPr>
          <w:rFonts w:eastAsia="Batang" w:cs="Times"/>
          <w:szCs w:val="24"/>
          <w:lang w:val="pt-BR" w:eastAsia="es-ES"/>
        </w:rPr>
        <w:t xml:space="preserve"> </w:t>
      </w:r>
      <w:r w:rsidR="00933DE1" w:rsidRPr="00D5464D">
        <w:rPr>
          <w:rFonts w:eastAsia="Batang" w:cs="Times"/>
          <w:szCs w:val="24"/>
          <w:lang w:val="pt-BR" w:eastAsia="es-ES"/>
        </w:rPr>
        <w:t xml:space="preserve">a partir </w:t>
      </w:r>
      <w:r w:rsidRPr="00D5464D">
        <w:rPr>
          <w:rFonts w:eastAsia="Batang" w:cs="Times"/>
          <w:szCs w:val="24"/>
          <w:lang w:val="pt-BR" w:eastAsia="es-ES"/>
        </w:rPr>
        <w:t xml:space="preserve">dos </w:t>
      </w:r>
      <w:r w:rsidR="002C330E" w:rsidRPr="00D5464D">
        <w:rPr>
          <w:rFonts w:eastAsia="Batang" w:cs="Times"/>
          <w:szCs w:val="24"/>
          <w:lang w:val="pt-BR" w:eastAsia="es-ES"/>
        </w:rPr>
        <w:t>fatos</w:t>
      </w:r>
      <w:r w:rsidR="000A52D5" w:rsidRPr="00D5464D">
        <w:rPr>
          <w:rFonts w:eastAsia="Batang" w:cs="Times"/>
          <w:szCs w:val="24"/>
          <w:lang w:val="pt-BR" w:eastAsia="es-ES"/>
        </w:rPr>
        <w:t xml:space="preserve"> n</w:t>
      </w:r>
      <w:r w:rsidR="00933DE1" w:rsidRPr="00D5464D">
        <w:rPr>
          <w:rFonts w:eastAsia="Batang" w:cs="Times"/>
          <w:szCs w:val="24"/>
          <w:lang w:val="pt-BR" w:eastAsia="es-ES"/>
        </w:rPr>
        <w:t>ã</w:t>
      </w:r>
      <w:r w:rsidR="000A52D5" w:rsidRPr="00D5464D">
        <w:rPr>
          <w:rFonts w:eastAsia="Batang" w:cs="Times"/>
          <w:szCs w:val="24"/>
          <w:lang w:val="pt-BR" w:eastAsia="es-ES"/>
        </w:rPr>
        <w:t xml:space="preserve">o se </w:t>
      </w:r>
      <w:r w:rsidR="00230C71" w:rsidRPr="00D5464D">
        <w:rPr>
          <w:rFonts w:eastAsia="Batang" w:cs="Times"/>
          <w:szCs w:val="24"/>
          <w:lang w:val="pt-BR" w:eastAsia="es-ES"/>
        </w:rPr>
        <w:t xml:space="preserve">pode </w:t>
      </w:r>
      <w:r w:rsidR="000A52D5" w:rsidRPr="00D5464D">
        <w:rPr>
          <w:rFonts w:eastAsia="Batang" w:cs="Times"/>
          <w:szCs w:val="24"/>
          <w:lang w:val="pt-BR" w:eastAsia="es-ES"/>
        </w:rPr>
        <w:t xml:space="preserve">vislumbrar características </w:t>
      </w:r>
      <w:r w:rsidRPr="00D5464D">
        <w:rPr>
          <w:rFonts w:eastAsia="Batang" w:cs="Times"/>
          <w:szCs w:val="24"/>
          <w:lang w:val="pt-BR" w:eastAsia="es-ES"/>
        </w:rPr>
        <w:t>especiais</w:t>
      </w:r>
      <w:r w:rsidR="000A52D5" w:rsidRPr="00D5464D">
        <w:rPr>
          <w:rFonts w:eastAsia="Batang" w:cs="Times"/>
          <w:szCs w:val="24"/>
          <w:lang w:val="pt-BR" w:eastAsia="es-ES"/>
        </w:rPr>
        <w:t xml:space="preserve"> </w:t>
      </w:r>
      <w:r w:rsidRPr="00D5464D">
        <w:rPr>
          <w:rFonts w:eastAsia="Batang" w:cs="Times"/>
          <w:szCs w:val="24"/>
          <w:lang w:val="pt-BR" w:eastAsia="es-ES"/>
        </w:rPr>
        <w:t xml:space="preserve">do </w:t>
      </w:r>
      <w:r w:rsidR="000A52D5" w:rsidRPr="00D5464D">
        <w:rPr>
          <w:rFonts w:eastAsia="Batang" w:cs="Times"/>
          <w:szCs w:val="24"/>
          <w:lang w:val="pt-BR" w:eastAsia="es-ES"/>
        </w:rPr>
        <w:t xml:space="preserve">grupo de </w:t>
      </w:r>
      <w:r w:rsidR="002C330E" w:rsidRPr="00D5464D">
        <w:rPr>
          <w:rFonts w:eastAsia="Batang" w:cs="Times"/>
          <w:szCs w:val="24"/>
          <w:lang w:val="pt-BR" w:eastAsia="es-ES"/>
        </w:rPr>
        <w:t>suposta</w:t>
      </w:r>
      <w:r w:rsidR="000A52D5" w:rsidRPr="00D5464D">
        <w:rPr>
          <w:rFonts w:eastAsia="Batang" w:cs="Times"/>
          <w:szCs w:val="24"/>
          <w:lang w:val="pt-BR" w:eastAsia="es-ES"/>
        </w:rPr>
        <w:t xml:space="preserve">s </w:t>
      </w:r>
      <w:r w:rsidR="00E045D9" w:rsidRPr="00D5464D">
        <w:rPr>
          <w:rFonts w:eastAsia="Batang" w:cs="Times"/>
          <w:szCs w:val="24"/>
          <w:lang w:val="pt-BR" w:eastAsia="es-ES"/>
        </w:rPr>
        <w:t>vítima</w:t>
      </w:r>
      <w:r w:rsidR="000A52D5" w:rsidRPr="00D5464D">
        <w:rPr>
          <w:rFonts w:eastAsia="Batang" w:cs="Times"/>
          <w:szCs w:val="24"/>
          <w:lang w:val="pt-BR" w:eastAsia="es-ES"/>
        </w:rPr>
        <w:t xml:space="preserve">s que </w:t>
      </w:r>
      <w:r w:rsidR="00843219" w:rsidRPr="00D5464D">
        <w:rPr>
          <w:rFonts w:eastAsia="Batang" w:cs="Times"/>
          <w:szCs w:val="24"/>
          <w:lang w:val="pt-BR" w:eastAsia="es-ES"/>
        </w:rPr>
        <w:t>pudesse</w:t>
      </w:r>
      <w:r w:rsidR="000A52D5" w:rsidRPr="00D5464D">
        <w:rPr>
          <w:rFonts w:eastAsia="Batang" w:cs="Times"/>
          <w:szCs w:val="24"/>
          <w:lang w:val="pt-BR" w:eastAsia="es-ES"/>
        </w:rPr>
        <w:t xml:space="preserve"> justificar</w:t>
      </w:r>
      <w:r w:rsidR="002C330E" w:rsidRPr="00D5464D">
        <w:rPr>
          <w:rFonts w:eastAsia="Batang" w:cs="Times"/>
          <w:szCs w:val="24"/>
          <w:lang w:val="pt-BR" w:eastAsia="es-ES"/>
        </w:rPr>
        <w:t xml:space="preserve"> a </w:t>
      </w:r>
      <w:r w:rsidR="000A52D5" w:rsidRPr="00D5464D">
        <w:rPr>
          <w:rFonts w:eastAsia="Batang" w:cs="Times"/>
          <w:szCs w:val="24"/>
          <w:lang w:val="pt-BR" w:eastAsia="es-ES"/>
        </w:rPr>
        <w:t>dispensa</w:t>
      </w:r>
      <w:r w:rsidRPr="00D5464D">
        <w:rPr>
          <w:rFonts w:eastAsia="Batang" w:cs="Times"/>
          <w:szCs w:val="24"/>
          <w:lang w:val="pt-BR" w:eastAsia="es-ES"/>
        </w:rPr>
        <w:t xml:space="preserve"> da</w:t>
      </w:r>
      <w:r w:rsidR="002C330E" w:rsidRPr="00D5464D">
        <w:rPr>
          <w:rFonts w:eastAsia="Batang" w:cs="Times"/>
          <w:szCs w:val="24"/>
          <w:lang w:val="pt-BR" w:eastAsia="es-ES"/>
        </w:rPr>
        <w:t xml:space="preserve"> apresentação</w:t>
      </w:r>
      <w:r w:rsidR="000A52D5" w:rsidRPr="00D5464D">
        <w:rPr>
          <w:rFonts w:eastAsia="Batang" w:cs="Times"/>
          <w:szCs w:val="24"/>
          <w:lang w:val="pt-BR" w:eastAsia="es-ES"/>
        </w:rPr>
        <w:t xml:space="preserve"> de </w:t>
      </w:r>
      <w:r w:rsidR="002C330E" w:rsidRPr="00D5464D">
        <w:rPr>
          <w:rFonts w:eastAsia="Batang" w:cs="Times"/>
          <w:szCs w:val="24"/>
          <w:lang w:val="pt-BR" w:eastAsia="es-ES"/>
        </w:rPr>
        <w:t>prova</w:t>
      </w:r>
      <w:r w:rsidRPr="00D5464D">
        <w:rPr>
          <w:rFonts w:eastAsia="Batang" w:cs="Times"/>
          <w:szCs w:val="24"/>
          <w:lang w:val="pt-BR" w:eastAsia="es-ES"/>
        </w:rPr>
        <w:t xml:space="preserve"> </w:t>
      </w:r>
      <w:r w:rsidR="00933DE1" w:rsidRPr="00D5464D">
        <w:rPr>
          <w:rFonts w:eastAsia="Batang" w:cs="Times"/>
          <w:szCs w:val="24"/>
          <w:lang w:val="pt-BR" w:eastAsia="es-ES"/>
        </w:rPr>
        <w:t xml:space="preserve">das procurações. </w:t>
      </w:r>
      <w:r w:rsidR="00350187" w:rsidRPr="00D5464D">
        <w:rPr>
          <w:rFonts w:eastAsia="Batang" w:cs="Times"/>
          <w:szCs w:val="24"/>
          <w:lang w:val="pt-BR" w:eastAsia="es-ES"/>
        </w:rPr>
        <w:t xml:space="preserve">Além disso, </w:t>
      </w:r>
      <w:r w:rsidR="000A52D5" w:rsidRPr="00D5464D">
        <w:rPr>
          <w:rFonts w:eastAsia="Batang" w:cs="Times"/>
          <w:szCs w:val="24"/>
          <w:lang w:val="pt-BR" w:eastAsia="es-ES"/>
        </w:rPr>
        <w:t>n</w:t>
      </w:r>
      <w:r w:rsidR="00933DE1" w:rsidRPr="00D5464D">
        <w:rPr>
          <w:rFonts w:eastAsia="Batang" w:cs="Times"/>
          <w:szCs w:val="24"/>
          <w:lang w:val="pt-BR" w:eastAsia="es-ES"/>
        </w:rPr>
        <w:t>ã</w:t>
      </w:r>
      <w:r w:rsidR="000A52D5" w:rsidRPr="00D5464D">
        <w:rPr>
          <w:rFonts w:eastAsia="Batang" w:cs="Times"/>
          <w:szCs w:val="24"/>
          <w:lang w:val="pt-BR" w:eastAsia="es-ES"/>
        </w:rPr>
        <w:t xml:space="preserve">o </w:t>
      </w:r>
      <w:r w:rsidR="00E045D9" w:rsidRPr="00D5464D">
        <w:rPr>
          <w:rFonts w:eastAsia="Batang" w:cs="Times"/>
          <w:szCs w:val="24"/>
          <w:lang w:val="pt-BR" w:eastAsia="es-ES"/>
        </w:rPr>
        <w:t xml:space="preserve">seria </w:t>
      </w:r>
      <w:r w:rsidR="002C330E" w:rsidRPr="00D5464D">
        <w:rPr>
          <w:rFonts w:eastAsia="Batang" w:cs="Times"/>
          <w:szCs w:val="24"/>
          <w:lang w:val="pt-BR" w:eastAsia="es-ES"/>
        </w:rPr>
        <w:t xml:space="preserve">razoável </w:t>
      </w:r>
      <w:r w:rsidR="000A52D5" w:rsidRPr="00D5464D">
        <w:rPr>
          <w:rFonts w:eastAsia="Batang" w:cs="Times"/>
          <w:szCs w:val="24"/>
          <w:lang w:val="pt-BR" w:eastAsia="es-ES"/>
        </w:rPr>
        <w:t>dispensar</w:t>
      </w:r>
      <w:r w:rsidR="002C330E" w:rsidRPr="00D5464D">
        <w:rPr>
          <w:rFonts w:eastAsia="Batang" w:cs="Times"/>
          <w:szCs w:val="24"/>
          <w:lang w:val="pt-BR" w:eastAsia="es-ES"/>
        </w:rPr>
        <w:t xml:space="preserve"> a </w:t>
      </w:r>
      <w:r w:rsidRPr="00D5464D">
        <w:rPr>
          <w:rFonts w:eastAsia="Batang" w:cs="Times"/>
          <w:szCs w:val="24"/>
          <w:lang w:val="pt-BR" w:eastAsia="es-ES"/>
        </w:rPr>
        <w:t>exigência</w:t>
      </w:r>
      <w:r w:rsidR="000A52D5" w:rsidRPr="00D5464D">
        <w:rPr>
          <w:rFonts w:eastAsia="Batang" w:cs="Times"/>
          <w:szCs w:val="24"/>
          <w:lang w:val="pt-BR" w:eastAsia="es-ES"/>
        </w:rPr>
        <w:t xml:space="preserve"> de</w:t>
      </w:r>
      <w:r w:rsidR="00E045D9" w:rsidRPr="00D5464D">
        <w:rPr>
          <w:rFonts w:eastAsia="Batang" w:cs="Times"/>
          <w:szCs w:val="24"/>
          <w:lang w:val="pt-BR" w:eastAsia="es-ES"/>
        </w:rPr>
        <w:t xml:space="preserve"> um </w:t>
      </w:r>
      <w:r w:rsidR="000A52D5" w:rsidRPr="00D5464D">
        <w:rPr>
          <w:rFonts w:eastAsia="Batang" w:cs="Times"/>
          <w:szCs w:val="24"/>
          <w:lang w:val="pt-BR" w:eastAsia="es-ES"/>
        </w:rPr>
        <w:t>man</w:t>
      </w:r>
      <w:r w:rsidRPr="00D5464D">
        <w:rPr>
          <w:rFonts w:eastAsia="Batang" w:cs="Times"/>
          <w:szCs w:val="24"/>
          <w:lang w:val="pt-BR" w:eastAsia="es-ES"/>
        </w:rPr>
        <w:t>da</w:t>
      </w:r>
      <w:r w:rsidR="00933DE1" w:rsidRPr="00D5464D">
        <w:rPr>
          <w:rFonts w:eastAsia="Batang" w:cs="Times"/>
          <w:szCs w:val="24"/>
          <w:lang w:val="pt-BR" w:eastAsia="es-ES"/>
        </w:rPr>
        <w:t>t</w:t>
      </w:r>
      <w:r w:rsidRPr="00D5464D">
        <w:rPr>
          <w:rFonts w:eastAsia="Batang" w:cs="Times"/>
          <w:szCs w:val="24"/>
          <w:lang w:val="pt-BR" w:eastAsia="es-ES"/>
        </w:rPr>
        <w:t>o</w:t>
      </w:r>
      <w:r w:rsidR="000A52D5" w:rsidRPr="00D5464D">
        <w:rPr>
          <w:rFonts w:eastAsia="Batang" w:cs="Times"/>
          <w:szCs w:val="24"/>
          <w:lang w:val="pt-BR" w:eastAsia="es-ES"/>
        </w:rPr>
        <w:t xml:space="preserve"> de representa</w:t>
      </w:r>
      <w:r w:rsidRPr="00D5464D">
        <w:rPr>
          <w:rFonts w:eastAsia="Batang" w:cs="Times"/>
          <w:szCs w:val="24"/>
          <w:lang w:val="pt-BR" w:eastAsia="es-ES"/>
        </w:rPr>
        <w:t xml:space="preserve">ção perante a </w:t>
      </w:r>
      <w:r w:rsidR="000A52D5" w:rsidRPr="00D5464D">
        <w:rPr>
          <w:rFonts w:eastAsia="Batang" w:cs="Times"/>
          <w:szCs w:val="24"/>
          <w:lang w:val="pt-BR" w:eastAsia="es-ES"/>
        </w:rPr>
        <w:t xml:space="preserve">Corte, </w:t>
      </w:r>
      <w:r w:rsidR="00933DE1" w:rsidRPr="00D5464D">
        <w:rPr>
          <w:rFonts w:eastAsia="Batang" w:cs="Times"/>
          <w:szCs w:val="24"/>
          <w:lang w:val="pt-BR" w:eastAsia="es-ES"/>
        </w:rPr>
        <w:t xml:space="preserve">apenas </w:t>
      </w:r>
      <w:r w:rsidR="002C330E" w:rsidRPr="00D5464D">
        <w:rPr>
          <w:rFonts w:eastAsia="Batang" w:cs="Times"/>
          <w:szCs w:val="24"/>
          <w:lang w:val="pt-BR" w:eastAsia="es-ES"/>
        </w:rPr>
        <w:t xml:space="preserve">pela </w:t>
      </w:r>
      <w:r w:rsidR="00E045D9" w:rsidRPr="00D5464D">
        <w:rPr>
          <w:rFonts w:eastAsia="Batang" w:cs="Times"/>
          <w:szCs w:val="24"/>
          <w:lang w:val="pt-BR" w:eastAsia="es-ES"/>
        </w:rPr>
        <w:t>existência</w:t>
      </w:r>
      <w:r w:rsidR="000A52D5" w:rsidRPr="00D5464D">
        <w:rPr>
          <w:rFonts w:eastAsia="Batang" w:cs="Times"/>
          <w:szCs w:val="24"/>
          <w:lang w:val="pt-BR" w:eastAsia="es-ES"/>
        </w:rPr>
        <w:t xml:space="preserve"> de</w:t>
      </w:r>
      <w:r w:rsidR="00E045D9" w:rsidRPr="00D5464D">
        <w:rPr>
          <w:rFonts w:eastAsia="Batang" w:cs="Times"/>
          <w:szCs w:val="24"/>
          <w:lang w:val="pt-BR" w:eastAsia="es-ES"/>
        </w:rPr>
        <w:t xml:space="preserve"> um </w:t>
      </w:r>
      <w:r w:rsidRPr="00D5464D">
        <w:rPr>
          <w:rFonts w:eastAsia="Batang" w:cs="Times"/>
          <w:szCs w:val="24"/>
          <w:lang w:val="pt-BR" w:eastAsia="es-ES"/>
        </w:rPr>
        <w:t xml:space="preserve">amplo </w:t>
      </w:r>
      <w:r w:rsidR="000A52D5" w:rsidRPr="00D5464D">
        <w:rPr>
          <w:rFonts w:eastAsia="Batang" w:cs="Times"/>
          <w:szCs w:val="24"/>
          <w:lang w:val="pt-BR" w:eastAsia="es-ES"/>
        </w:rPr>
        <w:t xml:space="preserve">universo de </w:t>
      </w:r>
      <w:r w:rsidR="002C330E" w:rsidRPr="00D5464D">
        <w:rPr>
          <w:rFonts w:eastAsia="Batang" w:cs="Times"/>
          <w:szCs w:val="24"/>
          <w:lang w:val="pt-BR" w:eastAsia="es-ES"/>
        </w:rPr>
        <w:t>suposta</w:t>
      </w:r>
      <w:r w:rsidR="000A52D5" w:rsidRPr="00D5464D">
        <w:rPr>
          <w:rFonts w:eastAsia="Batang" w:cs="Times"/>
          <w:szCs w:val="24"/>
          <w:lang w:val="pt-BR" w:eastAsia="es-ES"/>
        </w:rPr>
        <w:t xml:space="preserve">s </w:t>
      </w:r>
      <w:r w:rsidR="00E045D9" w:rsidRPr="00D5464D">
        <w:rPr>
          <w:rFonts w:eastAsia="Batang" w:cs="Times"/>
          <w:szCs w:val="24"/>
          <w:lang w:val="pt-BR" w:eastAsia="es-ES"/>
        </w:rPr>
        <w:t>vítima</w:t>
      </w:r>
      <w:r w:rsidR="000A52D5" w:rsidRPr="00D5464D">
        <w:rPr>
          <w:rFonts w:eastAsia="Batang" w:cs="Times"/>
          <w:szCs w:val="24"/>
          <w:lang w:val="pt-BR" w:eastAsia="es-ES"/>
        </w:rPr>
        <w:t>s,</w:t>
      </w:r>
      <w:r w:rsidR="002C330E" w:rsidRPr="00D5464D">
        <w:rPr>
          <w:rFonts w:eastAsia="Batang" w:cs="Times"/>
          <w:szCs w:val="24"/>
          <w:lang w:val="pt-BR" w:eastAsia="es-ES"/>
        </w:rPr>
        <w:t xml:space="preserve"> pois </w:t>
      </w:r>
      <w:r w:rsidR="00933DE1" w:rsidRPr="00D5464D">
        <w:rPr>
          <w:rFonts w:eastAsia="Batang" w:cs="Times"/>
          <w:szCs w:val="24"/>
          <w:lang w:val="pt-BR" w:eastAsia="es-ES"/>
        </w:rPr>
        <w:t xml:space="preserve">o </w:t>
      </w:r>
      <w:r w:rsidR="002C330E" w:rsidRPr="00D5464D">
        <w:rPr>
          <w:rFonts w:eastAsia="Batang" w:cs="Times"/>
          <w:szCs w:val="24"/>
          <w:lang w:val="pt-BR" w:eastAsia="es-ES"/>
        </w:rPr>
        <w:t xml:space="preserve">anterior </w:t>
      </w:r>
      <w:r w:rsidR="00A1358C" w:rsidRPr="00D5464D">
        <w:rPr>
          <w:rFonts w:eastAsia="Batang" w:cs="Times"/>
          <w:szCs w:val="24"/>
          <w:lang w:val="pt-BR" w:eastAsia="es-ES"/>
        </w:rPr>
        <w:t>ger</w:t>
      </w:r>
      <w:r w:rsidR="00E765C2" w:rsidRPr="00D5464D">
        <w:rPr>
          <w:rFonts w:eastAsia="Batang" w:cs="Times"/>
          <w:szCs w:val="24"/>
          <w:lang w:val="pt-BR" w:eastAsia="es-ES"/>
        </w:rPr>
        <w:t xml:space="preserve">aria </w:t>
      </w:r>
      <w:r w:rsidR="000A52D5" w:rsidRPr="00D5464D">
        <w:rPr>
          <w:rFonts w:eastAsia="Batang" w:cs="Times"/>
          <w:szCs w:val="24"/>
          <w:lang w:val="pt-BR" w:eastAsia="es-ES"/>
        </w:rPr>
        <w:t>in</w:t>
      </w:r>
      <w:r w:rsidR="002C330E" w:rsidRPr="00D5464D">
        <w:rPr>
          <w:rFonts w:eastAsia="Batang" w:cs="Times"/>
          <w:szCs w:val="24"/>
          <w:lang w:val="pt-BR" w:eastAsia="es-ES"/>
        </w:rPr>
        <w:t>segurança</w:t>
      </w:r>
      <w:r w:rsidR="000A52D5" w:rsidRPr="00D5464D">
        <w:rPr>
          <w:rFonts w:eastAsia="Batang" w:cs="Times"/>
          <w:szCs w:val="24"/>
          <w:lang w:val="pt-BR" w:eastAsia="es-ES"/>
        </w:rPr>
        <w:t xml:space="preserve"> jurídica</w:t>
      </w:r>
      <w:r w:rsidR="00E045D9" w:rsidRPr="00D5464D">
        <w:rPr>
          <w:rFonts w:eastAsia="Batang" w:cs="Times"/>
          <w:szCs w:val="24"/>
          <w:lang w:val="pt-BR" w:eastAsia="es-ES"/>
        </w:rPr>
        <w:t xml:space="preserve"> e </w:t>
      </w:r>
      <w:r w:rsidR="000A52D5" w:rsidRPr="00D5464D">
        <w:rPr>
          <w:rFonts w:eastAsia="Batang" w:cs="Times"/>
          <w:szCs w:val="24"/>
          <w:lang w:val="pt-BR" w:eastAsia="es-ES"/>
        </w:rPr>
        <w:t>contrast</w:t>
      </w:r>
      <w:r w:rsidR="00E765C2" w:rsidRPr="00D5464D">
        <w:rPr>
          <w:rFonts w:eastAsia="Batang" w:cs="Times"/>
          <w:szCs w:val="24"/>
          <w:lang w:val="pt-BR" w:eastAsia="es-ES"/>
        </w:rPr>
        <w:t xml:space="preserve">aria </w:t>
      </w:r>
      <w:r w:rsidRPr="00D5464D">
        <w:rPr>
          <w:rFonts w:eastAsia="Batang" w:cs="Times"/>
          <w:szCs w:val="24"/>
          <w:lang w:val="pt-BR" w:eastAsia="es-ES"/>
        </w:rPr>
        <w:t>com</w:t>
      </w:r>
      <w:r w:rsidR="00230C71" w:rsidRPr="00D5464D">
        <w:rPr>
          <w:rFonts w:eastAsia="Batang" w:cs="Times"/>
          <w:szCs w:val="24"/>
          <w:lang w:val="pt-BR" w:eastAsia="es-ES"/>
        </w:rPr>
        <w:t xml:space="preserve"> a análise</w:t>
      </w:r>
      <w:r w:rsidR="000A52D5" w:rsidRPr="00D5464D">
        <w:rPr>
          <w:rFonts w:eastAsia="Batang" w:cs="Times"/>
          <w:szCs w:val="24"/>
          <w:lang w:val="pt-BR" w:eastAsia="es-ES"/>
        </w:rPr>
        <w:t xml:space="preserve"> cuidados</w:t>
      </w:r>
      <w:r w:rsidR="00933DE1" w:rsidRPr="00D5464D">
        <w:rPr>
          <w:rFonts w:eastAsia="Batang" w:cs="Times"/>
          <w:szCs w:val="24"/>
          <w:lang w:val="pt-BR" w:eastAsia="es-ES"/>
        </w:rPr>
        <w:t>a</w:t>
      </w:r>
      <w:r w:rsidR="00E045D9" w:rsidRPr="00D5464D">
        <w:rPr>
          <w:rFonts w:eastAsia="Batang" w:cs="Times"/>
          <w:szCs w:val="24"/>
          <w:lang w:val="pt-BR" w:eastAsia="es-ES"/>
        </w:rPr>
        <w:t xml:space="preserve"> e </w:t>
      </w:r>
      <w:r w:rsidR="000A52D5" w:rsidRPr="00D5464D">
        <w:rPr>
          <w:rFonts w:eastAsia="Batang" w:cs="Times"/>
          <w:szCs w:val="24"/>
          <w:lang w:val="pt-BR" w:eastAsia="es-ES"/>
        </w:rPr>
        <w:t>equilibrad</w:t>
      </w:r>
      <w:r w:rsidR="00933DE1" w:rsidRPr="00D5464D">
        <w:rPr>
          <w:rFonts w:eastAsia="Batang" w:cs="Times"/>
          <w:szCs w:val="24"/>
          <w:lang w:val="pt-BR" w:eastAsia="es-ES"/>
        </w:rPr>
        <w:t>a</w:t>
      </w:r>
      <w:r w:rsidR="000A52D5" w:rsidRPr="00D5464D">
        <w:rPr>
          <w:rFonts w:eastAsia="Batang" w:cs="Times"/>
          <w:szCs w:val="24"/>
          <w:lang w:val="pt-BR" w:eastAsia="es-ES"/>
        </w:rPr>
        <w:t xml:space="preserve"> que</w:t>
      </w:r>
      <w:r w:rsidR="002C330E" w:rsidRPr="00D5464D">
        <w:rPr>
          <w:rFonts w:eastAsia="Batang" w:cs="Times"/>
          <w:szCs w:val="24"/>
          <w:lang w:val="pt-BR" w:eastAsia="es-ES"/>
        </w:rPr>
        <w:t xml:space="preserve"> a </w:t>
      </w:r>
      <w:r w:rsidR="000A52D5" w:rsidRPr="00D5464D">
        <w:rPr>
          <w:rFonts w:eastAsia="Batang" w:cs="Times"/>
          <w:szCs w:val="24"/>
          <w:lang w:val="pt-BR" w:eastAsia="es-ES"/>
        </w:rPr>
        <w:t xml:space="preserve">Corte </w:t>
      </w:r>
      <w:r w:rsidR="00933DE1" w:rsidRPr="00D5464D">
        <w:rPr>
          <w:rFonts w:eastAsia="Batang" w:cs="Times"/>
          <w:szCs w:val="24"/>
          <w:lang w:val="pt-BR" w:eastAsia="es-ES"/>
        </w:rPr>
        <w:t xml:space="preserve">fez </w:t>
      </w:r>
      <w:r w:rsidRPr="00D5464D">
        <w:rPr>
          <w:rFonts w:eastAsia="Batang" w:cs="Times"/>
          <w:szCs w:val="24"/>
          <w:lang w:val="pt-BR" w:eastAsia="es-ES"/>
        </w:rPr>
        <w:t xml:space="preserve">em </w:t>
      </w:r>
      <w:r w:rsidR="000A52D5" w:rsidRPr="00D5464D">
        <w:rPr>
          <w:rFonts w:eastAsia="Batang" w:cs="Times"/>
          <w:szCs w:val="24"/>
          <w:lang w:val="pt-BR" w:eastAsia="es-ES"/>
        </w:rPr>
        <w:t>casos anteriores.</w:t>
      </w:r>
    </w:p>
    <w:p w14:paraId="60C4B3E1" w14:textId="77777777" w:rsidR="000A52D5" w:rsidRPr="00D5464D" w:rsidRDefault="000A52D5" w:rsidP="00140440">
      <w:pPr>
        <w:tabs>
          <w:tab w:val="clear" w:pos="4419"/>
          <w:tab w:val="clear" w:pos="8838"/>
        </w:tabs>
        <w:jc w:val="both"/>
        <w:rPr>
          <w:rFonts w:eastAsia="Batang" w:cs="Times"/>
          <w:i/>
          <w:szCs w:val="24"/>
          <w:lang w:val="pt-BR" w:eastAsia="es-ES"/>
        </w:rPr>
      </w:pPr>
    </w:p>
    <w:p w14:paraId="7535AC18" w14:textId="6521FDBF" w:rsidR="000A52D5" w:rsidRPr="00D5464D" w:rsidRDefault="002C330E" w:rsidP="00217CA8">
      <w:pPr>
        <w:numPr>
          <w:ilvl w:val="0"/>
          <w:numId w:val="10"/>
        </w:numPr>
        <w:tabs>
          <w:tab w:val="clear" w:pos="4419"/>
          <w:tab w:val="clear" w:pos="8838"/>
        </w:tabs>
        <w:jc w:val="both"/>
        <w:rPr>
          <w:rFonts w:eastAsia="Batang" w:cs="Times"/>
          <w:i/>
          <w:szCs w:val="24"/>
          <w:lang w:val="pt-BR" w:eastAsia="es-ES"/>
        </w:rPr>
      </w:pPr>
      <w:r w:rsidRPr="00D5464D">
        <w:rPr>
          <w:rFonts w:eastAsia="Batang" w:cs="Times"/>
          <w:i/>
          <w:szCs w:val="24"/>
          <w:lang w:val="pt-BR" w:eastAsia="es-ES"/>
        </w:rPr>
        <w:t>Suposta</w:t>
      </w:r>
      <w:r w:rsidR="000A52D5" w:rsidRPr="00D5464D">
        <w:rPr>
          <w:rFonts w:eastAsia="Batang" w:cs="Times"/>
          <w:i/>
          <w:szCs w:val="24"/>
          <w:lang w:val="pt-BR" w:eastAsia="es-ES"/>
        </w:rPr>
        <w:t xml:space="preserve">s </w:t>
      </w:r>
      <w:r w:rsidR="00E045D9" w:rsidRPr="00D5464D">
        <w:rPr>
          <w:rFonts w:eastAsia="Batang" w:cs="Times"/>
          <w:i/>
          <w:szCs w:val="24"/>
          <w:lang w:val="pt-BR" w:eastAsia="es-ES"/>
        </w:rPr>
        <w:t>vítima</w:t>
      </w:r>
      <w:r w:rsidR="000A52D5" w:rsidRPr="00D5464D">
        <w:rPr>
          <w:rFonts w:eastAsia="Batang" w:cs="Times"/>
          <w:i/>
          <w:szCs w:val="24"/>
          <w:lang w:val="pt-BR" w:eastAsia="es-ES"/>
        </w:rPr>
        <w:t>s</w:t>
      </w:r>
      <w:r w:rsidRPr="00D5464D">
        <w:rPr>
          <w:rFonts w:eastAsia="Batang" w:cs="Times"/>
          <w:i/>
          <w:szCs w:val="24"/>
          <w:lang w:val="pt-BR" w:eastAsia="es-ES"/>
        </w:rPr>
        <w:t xml:space="preserve"> sem </w:t>
      </w:r>
      <w:r w:rsidR="000A52D5" w:rsidRPr="00D5464D">
        <w:rPr>
          <w:rFonts w:eastAsia="Batang" w:cs="Times"/>
          <w:i/>
          <w:szCs w:val="24"/>
          <w:lang w:val="pt-BR" w:eastAsia="es-ES"/>
        </w:rPr>
        <w:t>rela</w:t>
      </w:r>
      <w:r w:rsidR="00470ADC" w:rsidRPr="00D5464D">
        <w:rPr>
          <w:rFonts w:eastAsia="Batang" w:cs="Times"/>
          <w:i/>
          <w:szCs w:val="24"/>
          <w:lang w:val="pt-BR" w:eastAsia="es-ES"/>
        </w:rPr>
        <w:t>ção com</w:t>
      </w:r>
      <w:r w:rsidRPr="00D5464D">
        <w:rPr>
          <w:rFonts w:eastAsia="Batang" w:cs="Times"/>
          <w:i/>
          <w:szCs w:val="24"/>
          <w:lang w:val="pt-BR" w:eastAsia="es-ES"/>
        </w:rPr>
        <w:t xml:space="preserve"> os fatos</w:t>
      </w:r>
      <w:r w:rsidR="000A52D5" w:rsidRPr="00D5464D">
        <w:rPr>
          <w:rFonts w:eastAsia="Batang" w:cs="Times"/>
          <w:i/>
          <w:szCs w:val="24"/>
          <w:lang w:val="pt-BR" w:eastAsia="es-ES"/>
        </w:rPr>
        <w:t xml:space="preserve"> </w:t>
      </w:r>
      <w:r w:rsidR="00470ADC" w:rsidRPr="00D5464D">
        <w:rPr>
          <w:rFonts w:eastAsia="Batang" w:cs="Times"/>
          <w:i/>
          <w:szCs w:val="24"/>
          <w:lang w:val="pt-BR" w:eastAsia="es-ES"/>
        </w:rPr>
        <w:t xml:space="preserve">do </w:t>
      </w:r>
      <w:r w:rsidR="000A52D5" w:rsidRPr="00D5464D">
        <w:rPr>
          <w:rFonts w:eastAsia="Batang" w:cs="Times"/>
          <w:i/>
          <w:szCs w:val="24"/>
          <w:lang w:val="pt-BR" w:eastAsia="es-ES"/>
        </w:rPr>
        <w:t>caso</w:t>
      </w:r>
    </w:p>
    <w:p w14:paraId="0DFC5DFB" w14:textId="77777777" w:rsidR="00D65024" w:rsidRPr="00D5464D" w:rsidRDefault="00D65024" w:rsidP="00D65024">
      <w:pPr>
        <w:tabs>
          <w:tab w:val="clear" w:pos="4419"/>
          <w:tab w:val="clear" w:pos="8838"/>
        </w:tabs>
        <w:jc w:val="both"/>
        <w:rPr>
          <w:rFonts w:eastAsia="Batang" w:cs="Times"/>
          <w:szCs w:val="24"/>
          <w:lang w:val="pt-BR" w:eastAsia="es-ES"/>
        </w:rPr>
      </w:pPr>
    </w:p>
    <w:p w14:paraId="5F9FEDA8" w14:textId="3811F3BD" w:rsidR="000A52D5" w:rsidRPr="00D5464D" w:rsidRDefault="00470AD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O </w:t>
      </w:r>
      <w:r w:rsidR="000A52D5" w:rsidRPr="00D5464D">
        <w:rPr>
          <w:rFonts w:eastAsia="Batang" w:cs="Times"/>
          <w:szCs w:val="24"/>
          <w:lang w:val="pt-BR" w:eastAsia="es-ES"/>
        </w:rPr>
        <w:t xml:space="preserve">Estado </w:t>
      </w:r>
      <w:r w:rsidRPr="00D5464D">
        <w:rPr>
          <w:rFonts w:eastAsia="Batang" w:cs="Times"/>
          <w:szCs w:val="24"/>
          <w:lang w:val="pt-BR" w:eastAsia="es-ES"/>
        </w:rPr>
        <w:t>argumentou</w:t>
      </w:r>
      <w:r w:rsidR="000A52D5" w:rsidRPr="00D5464D">
        <w:rPr>
          <w:rFonts w:eastAsia="Batang" w:cs="Times"/>
          <w:szCs w:val="24"/>
          <w:lang w:val="pt-BR" w:eastAsia="es-ES"/>
        </w:rPr>
        <w:t xml:space="preserve"> que</w:t>
      </w:r>
      <w:r w:rsidR="002C330E" w:rsidRPr="00D5464D">
        <w:rPr>
          <w:rFonts w:eastAsia="Batang" w:cs="Times"/>
          <w:szCs w:val="24"/>
          <w:lang w:val="pt-BR" w:eastAsia="es-ES"/>
        </w:rPr>
        <w:t xml:space="preserve"> os </w:t>
      </w:r>
      <w:r w:rsidR="00EB1CE9" w:rsidRPr="00D5464D">
        <w:rPr>
          <w:rFonts w:eastAsia="Batang" w:cs="Times"/>
          <w:szCs w:val="24"/>
          <w:lang w:val="pt-BR" w:eastAsia="es-ES"/>
        </w:rPr>
        <w:t>representante</w:t>
      </w:r>
      <w:r w:rsidR="000A52D5" w:rsidRPr="00D5464D">
        <w:rPr>
          <w:rFonts w:eastAsia="Batang" w:cs="Times"/>
          <w:szCs w:val="24"/>
          <w:lang w:val="pt-BR" w:eastAsia="es-ES"/>
        </w:rPr>
        <w:t xml:space="preserve">s </w:t>
      </w:r>
      <w:r w:rsidR="002C330E" w:rsidRPr="00D5464D">
        <w:rPr>
          <w:rFonts w:eastAsia="Batang" w:cs="Times"/>
          <w:szCs w:val="24"/>
          <w:lang w:val="pt-BR" w:eastAsia="es-ES"/>
        </w:rPr>
        <w:t>apresentaram</w:t>
      </w:r>
      <w:r w:rsidR="000A52D5" w:rsidRPr="00D5464D">
        <w:rPr>
          <w:rFonts w:eastAsia="Batang" w:cs="Times"/>
          <w:szCs w:val="24"/>
          <w:lang w:val="pt-BR" w:eastAsia="es-ES"/>
        </w:rPr>
        <w:t xml:space="preserve"> </w:t>
      </w:r>
      <w:r w:rsidR="00933DE1" w:rsidRPr="00D5464D">
        <w:rPr>
          <w:rFonts w:eastAsia="Batang" w:cs="Times"/>
          <w:szCs w:val="24"/>
          <w:lang w:val="pt-BR" w:eastAsia="es-ES"/>
        </w:rPr>
        <w:t xml:space="preserve">procurações </w:t>
      </w:r>
      <w:r w:rsidR="000A52D5" w:rsidRPr="00D5464D">
        <w:rPr>
          <w:rFonts w:eastAsia="Batang" w:cs="Times"/>
          <w:szCs w:val="24"/>
          <w:lang w:val="pt-BR" w:eastAsia="es-ES"/>
        </w:rPr>
        <w:t>de 12 su</w:t>
      </w:r>
      <w:r w:rsidR="002C330E" w:rsidRPr="00D5464D">
        <w:rPr>
          <w:rFonts w:eastAsia="Batang" w:cs="Times"/>
          <w:szCs w:val="24"/>
          <w:lang w:val="pt-BR" w:eastAsia="es-ES"/>
        </w:rPr>
        <w:t>posto</w:t>
      </w:r>
      <w:r w:rsidR="000A52D5" w:rsidRPr="00D5464D">
        <w:rPr>
          <w:rFonts w:eastAsia="Batang" w:cs="Times"/>
          <w:szCs w:val="24"/>
          <w:lang w:val="pt-BR" w:eastAsia="es-ES"/>
        </w:rPr>
        <w:t xml:space="preserve">s </w:t>
      </w:r>
      <w:r w:rsidR="00E045D9" w:rsidRPr="00D5464D">
        <w:rPr>
          <w:rFonts w:eastAsia="Batang" w:cs="Times"/>
          <w:szCs w:val="24"/>
          <w:lang w:val="pt-BR" w:eastAsia="es-ES"/>
        </w:rPr>
        <w:t>trabalhadores</w:t>
      </w:r>
      <w:r w:rsidRPr="00D5464D">
        <w:rPr>
          <w:rFonts w:eastAsia="Batang" w:cs="Times"/>
          <w:szCs w:val="24"/>
          <w:lang w:val="pt-BR" w:eastAsia="es-ES"/>
        </w:rPr>
        <w:t xml:space="preserve"> da </w:t>
      </w:r>
      <w:r w:rsidR="00D809F0" w:rsidRPr="00D5464D">
        <w:rPr>
          <w:rFonts w:eastAsia="Batang" w:cs="Times"/>
          <w:szCs w:val="24"/>
          <w:lang w:val="pt-BR" w:eastAsia="es-ES"/>
        </w:rPr>
        <w:t>Fazenda</w:t>
      </w:r>
      <w:r w:rsidR="000A52D5" w:rsidRPr="00D5464D">
        <w:rPr>
          <w:rFonts w:eastAsia="Batang" w:cs="Times"/>
          <w:szCs w:val="24"/>
          <w:lang w:val="pt-BR" w:eastAsia="es-ES"/>
        </w:rPr>
        <w:t xml:space="preserve"> Brasil Verde</w:t>
      </w:r>
      <w:r w:rsidR="00933DE1" w:rsidRPr="00D5464D">
        <w:rPr>
          <w:rFonts w:eastAsia="Batang" w:cs="Times"/>
          <w:szCs w:val="24"/>
          <w:lang w:val="pt-BR" w:eastAsia="es-ES"/>
        </w:rPr>
        <w:t>,</w:t>
      </w:r>
      <w:r w:rsidR="000A52D5" w:rsidRPr="00D5464D">
        <w:rPr>
          <w:rFonts w:eastAsia="Batang" w:cs="Times"/>
          <w:szCs w:val="24"/>
          <w:vertAlign w:val="superscript"/>
          <w:lang w:val="pt-BR" w:eastAsia="es-ES"/>
        </w:rPr>
        <w:footnoteReference w:id="25"/>
      </w:r>
      <w:r w:rsidR="000A52D5" w:rsidRPr="00D5464D">
        <w:rPr>
          <w:rFonts w:eastAsia="Batang" w:cs="Times"/>
          <w:szCs w:val="24"/>
          <w:lang w:val="pt-BR" w:eastAsia="es-ES"/>
        </w:rPr>
        <w:t xml:space="preserve"> </w:t>
      </w:r>
      <w:r w:rsidR="002C330E" w:rsidRPr="00D5464D">
        <w:rPr>
          <w:rFonts w:eastAsia="Batang" w:cs="Times"/>
          <w:szCs w:val="24"/>
          <w:lang w:val="pt-BR" w:eastAsia="es-ES"/>
        </w:rPr>
        <w:t>mas</w:t>
      </w:r>
      <w:r w:rsidR="000A52D5" w:rsidRPr="00D5464D">
        <w:rPr>
          <w:rFonts w:eastAsia="Batang" w:cs="Times"/>
          <w:szCs w:val="24"/>
          <w:lang w:val="pt-BR" w:eastAsia="es-ES"/>
        </w:rPr>
        <w:t xml:space="preserve"> n</w:t>
      </w:r>
      <w:r w:rsidR="00933DE1" w:rsidRPr="00D5464D">
        <w:rPr>
          <w:rFonts w:eastAsia="Batang" w:cs="Times"/>
          <w:szCs w:val="24"/>
          <w:lang w:val="pt-BR" w:eastAsia="es-ES"/>
        </w:rPr>
        <w:t>ã</w:t>
      </w:r>
      <w:r w:rsidR="000A52D5" w:rsidRPr="00D5464D">
        <w:rPr>
          <w:rFonts w:eastAsia="Batang" w:cs="Times"/>
          <w:szCs w:val="24"/>
          <w:lang w:val="pt-BR" w:eastAsia="es-ES"/>
        </w:rPr>
        <w:t xml:space="preserve">o </w:t>
      </w:r>
      <w:r w:rsidR="002C330E" w:rsidRPr="00D5464D">
        <w:rPr>
          <w:rFonts w:eastAsia="Batang" w:cs="Times"/>
          <w:szCs w:val="24"/>
          <w:lang w:val="pt-BR" w:eastAsia="es-ES"/>
        </w:rPr>
        <w:t>há prova</w:t>
      </w:r>
      <w:r w:rsidR="000A52D5" w:rsidRPr="00D5464D">
        <w:rPr>
          <w:rFonts w:eastAsia="Batang" w:cs="Times"/>
          <w:szCs w:val="24"/>
          <w:lang w:val="pt-BR" w:eastAsia="es-ES"/>
        </w:rPr>
        <w:t xml:space="preserve"> o</w:t>
      </w:r>
      <w:r w:rsidR="00933DE1" w:rsidRPr="00D5464D">
        <w:rPr>
          <w:rFonts w:eastAsia="Batang" w:cs="Times"/>
          <w:szCs w:val="24"/>
          <w:lang w:val="pt-BR" w:eastAsia="es-ES"/>
        </w:rPr>
        <w:t>u indí</w:t>
      </w:r>
      <w:r w:rsidR="000A52D5" w:rsidRPr="00D5464D">
        <w:rPr>
          <w:rFonts w:eastAsia="Batang" w:cs="Times"/>
          <w:szCs w:val="24"/>
          <w:lang w:val="pt-BR" w:eastAsia="es-ES"/>
        </w:rPr>
        <w:t>cio</w:t>
      </w:r>
      <w:r w:rsidR="00933DE1" w:rsidRPr="00D5464D">
        <w:rPr>
          <w:rFonts w:eastAsia="Batang" w:cs="Times"/>
          <w:szCs w:val="24"/>
          <w:lang w:val="pt-BR" w:eastAsia="es-ES"/>
        </w:rPr>
        <w:t xml:space="preserve"> </w:t>
      </w:r>
      <w:r w:rsidR="000A52D5" w:rsidRPr="00D5464D">
        <w:rPr>
          <w:rFonts w:eastAsia="Batang" w:cs="Times"/>
          <w:szCs w:val="24"/>
          <w:lang w:val="pt-BR" w:eastAsia="es-ES"/>
        </w:rPr>
        <w:t xml:space="preserve">de que </w:t>
      </w:r>
      <w:r w:rsidR="002C330E" w:rsidRPr="00D5464D">
        <w:rPr>
          <w:rFonts w:eastAsia="Batang" w:cs="Times"/>
          <w:szCs w:val="24"/>
          <w:lang w:val="pt-BR" w:eastAsia="es-ES"/>
        </w:rPr>
        <w:t>tenham</w:t>
      </w:r>
      <w:r w:rsidR="000A52D5" w:rsidRPr="00D5464D">
        <w:rPr>
          <w:rFonts w:eastAsia="Batang" w:cs="Times"/>
          <w:szCs w:val="24"/>
          <w:lang w:val="pt-BR" w:eastAsia="es-ES"/>
        </w:rPr>
        <w:t xml:space="preserve"> sido </w:t>
      </w:r>
      <w:r w:rsidR="00230C71" w:rsidRPr="00D5464D">
        <w:rPr>
          <w:rFonts w:eastAsia="Batang" w:cs="Times"/>
          <w:szCs w:val="24"/>
          <w:lang w:val="pt-BR" w:eastAsia="es-ES"/>
        </w:rPr>
        <w:t>empregad</w:t>
      </w:r>
      <w:r w:rsidR="000A52D5" w:rsidRPr="00D5464D">
        <w:rPr>
          <w:rFonts w:eastAsia="Batang" w:cs="Times"/>
          <w:szCs w:val="24"/>
          <w:lang w:val="pt-BR" w:eastAsia="es-ES"/>
        </w:rPr>
        <w:t>os</w:t>
      </w:r>
      <w:r w:rsidR="00E045D9" w:rsidRPr="00D5464D">
        <w:rPr>
          <w:rFonts w:eastAsia="Batang" w:cs="Times"/>
          <w:szCs w:val="24"/>
          <w:lang w:val="pt-BR" w:eastAsia="es-ES"/>
        </w:rPr>
        <w:t xml:space="preserve"> nesta </w:t>
      </w:r>
      <w:r w:rsidR="00D809F0" w:rsidRPr="00D5464D">
        <w:rPr>
          <w:rFonts w:eastAsia="Batang" w:cs="Times"/>
          <w:szCs w:val="24"/>
          <w:lang w:val="pt-BR" w:eastAsia="es-ES"/>
        </w:rPr>
        <w:t>fazenda</w:t>
      </w:r>
      <w:r w:rsidR="000A52D5" w:rsidRPr="00D5464D">
        <w:rPr>
          <w:rFonts w:eastAsia="Batang" w:cs="Times"/>
          <w:szCs w:val="24"/>
          <w:lang w:val="pt-BR" w:eastAsia="es-ES"/>
        </w:rPr>
        <w:t>,</w:t>
      </w:r>
      <w:r w:rsidR="00737270" w:rsidRPr="00D5464D">
        <w:rPr>
          <w:rFonts w:eastAsia="Batang" w:cs="Times"/>
          <w:szCs w:val="24"/>
          <w:lang w:val="pt-BR" w:eastAsia="es-ES"/>
        </w:rPr>
        <w:t xml:space="preserve"> apesar </w:t>
      </w:r>
      <w:r w:rsidR="000A52D5" w:rsidRPr="00D5464D">
        <w:rPr>
          <w:rFonts w:eastAsia="Batang" w:cs="Times"/>
          <w:szCs w:val="24"/>
          <w:lang w:val="pt-BR" w:eastAsia="es-ES"/>
        </w:rPr>
        <w:t>de s</w:t>
      </w:r>
      <w:r w:rsidR="00933DE1" w:rsidRPr="00D5464D">
        <w:rPr>
          <w:rFonts w:eastAsia="Batang" w:cs="Times"/>
          <w:szCs w:val="24"/>
          <w:lang w:val="pt-BR" w:eastAsia="es-ES"/>
        </w:rPr>
        <w:t>e</w:t>
      </w:r>
      <w:r w:rsidR="000A52D5" w:rsidRPr="00D5464D">
        <w:rPr>
          <w:rFonts w:eastAsia="Batang" w:cs="Times"/>
          <w:szCs w:val="24"/>
          <w:lang w:val="pt-BR" w:eastAsia="es-ES"/>
        </w:rPr>
        <w:t xml:space="preserve">us </w:t>
      </w:r>
      <w:r w:rsidR="002C330E" w:rsidRPr="00D5464D">
        <w:rPr>
          <w:rFonts w:eastAsia="Batang" w:cs="Times"/>
          <w:szCs w:val="24"/>
          <w:lang w:val="pt-BR" w:eastAsia="es-ES"/>
        </w:rPr>
        <w:t>nome</w:t>
      </w:r>
      <w:r w:rsidR="000A52D5" w:rsidRPr="00D5464D">
        <w:rPr>
          <w:rFonts w:eastAsia="Batang" w:cs="Times"/>
          <w:szCs w:val="24"/>
          <w:lang w:val="pt-BR" w:eastAsia="es-ES"/>
        </w:rPr>
        <w:t xml:space="preserve">s </w:t>
      </w:r>
      <w:r w:rsidR="00843219" w:rsidRPr="00D5464D">
        <w:rPr>
          <w:rFonts w:eastAsia="Batang" w:cs="Times"/>
          <w:szCs w:val="24"/>
          <w:lang w:val="pt-BR" w:eastAsia="es-ES"/>
        </w:rPr>
        <w:t>constarem</w:t>
      </w:r>
      <w:r w:rsidR="00E045D9" w:rsidRPr="00D5464D">
        <w:rPr>
          <w:rFonts w:eastAsia="Batang" w:cs="Times"/>
          <w:szCs w:val="24"/>
          <w:lang w:val="pt-BR" w:eastAsia="es-ES"/>
        </w:rPr>
        <w:t xml:space="preserve"> no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de Admissibilidade</w:t>
      </w:r>
      <w:r w:rsidR="00E045D9" w:rsidRPr="00D5464D">
        <w:rPr>
          <w:rFonts w:eastAsia="Batang" w:cs="Times"/>
          <w:szCs w:val="24"/>
          <w:lang w:val="pt-BR" w:eastAsia="es-ES"/>
        </w:rPr>
        <w:t xml:space="preserve"> e </w:t>
      </w:r>
      <w:r w:rsidRPr="00D5464D">
        <w:rPr>
          <w:rFonts w:eastAsia="Batang" w:cs="Times"/>
          <w:szCs w:val="24"/>
          <w:lang w:val="pt-BR" w:eastAsia="es-ES"/>
        </w:rPr>
        <w:t>Mérito</w:t>
      </w:r>
      <w:r w:rsidR="00E045D9" w:rsidRPr="00D5464D">
        <w:rPr>
          <w:rFonts w:eastAsia="Batang" w:cs="Times"/>
          <w:szCs w:val="24"/>
          <w:lang w:val="pt-BR" w:eastAsia="es-ES"/>
        </w:rPr>
        <w:t xml:space="preserve"> e no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w:t>
      </w:r>
      <w:r w:rsidR="000A52D5" w:rsidRPr="00D5464D">
        <w:rPr>
          <w:rFonts w:eastAsia="Batang" w:cs="Times"/>
          <w:szCs w:val="24"/>
          <w:lang w:val="pt-BR" w:eastAsia="es-ES"/>
        </w:rPr>
        <w:t>relativo</w:t>
      </w:r>
      <w:r w:rsidRPr="00D5464D">
        <w:rPr>
          <w:rFonts w:eastAsia="Batang" w:cs="Times"/>
          <w:szCs w:val="24"/>
          <w:lang w:val="pt-BR" w:eastAsia="es-ES"/>
        </w:rPr>
        <w:t xml:space="preserve"> à </w:t>
      </w:r>
      <w:r w:rsidR="00AB4663" w:rsidRPr="00D5464D">
        <w:rPr>
          <w:rFonts w:eastAsia="Batang" w:cs="Times"/>
          <w:szCs w:val="24"/>
          <w:lang w:val="pt-BR" w:eastAsia="es-ES"/>
        </w:rPr>
        <w:t>fiscalização</w:t>
      </w:r>
      <w:r w:rsidR="000A52D5" w:rsidRPr="00D5464D">
        <w:rPr>
          <w:rFonts w:eastAsia="Batang" w:cs="Times"/>
          <w:szCs w:val="24"/>
          <w:lang w:val="pt-BR" w:eastAsia="es-ES"/>
        </w:rPr>
        <w:t xml:space="preserve"> realizada</w:t>
      </w:r>
      <w:r w:rsidR="002C330E" w:rsidRPr="00D5464D">
        <w:rPr>
          <w:rFonts w:eastAsia="Batang" w:cs="Times"/>
          <w:szCs w:val="24"/>
          <w:lang w:val="pt-BR" w:eastAsia="es-ES"/>
        </w:rPr>
        <w:t xml:space="preserve"> pelo </w:t>
      </w:r>
      <w:r w:rsidR="000A52D5" w:rsidRPr="00D5464D">
        <w:rPr>
          <w:rFonts w:eastAsia="Batang" w:cs="Times"/>
          <w:szCs w:val="24"/>
          <w:lang w:val="pt-BR" w:eastAsia="es-ES"/>
        </w:rPr>
        <w:t xml:space="preserve">Grupo Especial de </w:t>
      </w:r>
      <w:r w:rsidR="00AB4663" w:rsidRPr="00D5464D">
        <w:rPr>
          <w:rFonts w:eastAsia="Batang" w:cs="Times"/>
          <w:szCs w:val="24"/>
          <w:lang w:val="pt-BR" w:eastAsia="es-ES"/>
        </w:rPr>
        <w:t>Fiscalização</w:t>
      </w:r>
      <w:r w:rsidR="000A52D5" w:rsidRPr="00D5464D">
        <w:rPr>
          <w:rFonts w:eastAsia="Batang" w:cs="Times"/>
          <w:szCs w:val="24"/>
          <w:lang w:val="pt-BR" w:eastAsia="es-ES"/>
        </w:rPr>
        <w:t xml:space="preserve"> Móv</w:t>
      </w:r>
      <w:r w:rsidR="00933DE1" w:rsidRPr="00D5464D">
        <w:rPr>
          <w:rFonts w:eastAsia="Batang" w:cs="Times"/>
          <w:szCs w:val="24"/>
          <w:lang w:val="pt-BR" w:eastAsia="es-ES"/>
        </w:rPr>
        <w:t>e</w:t>
      </w:r>
      <w:r w:rsidR="000A52D5" w:rsidRPr="00D5464D">
        <w:rPr>
          <w:rFonts w:eastAsia="Batang" w:cs="Times"/>
          <w:szCs w:val="24"/>
          <w:lang w:val="pt-BR" w:eastAsia="es-ES"/>
        </w:rPr>
        <w:t>l</w:t>
      </w:r>
      <w:r w:rsidRPr="00D5464D">
        <w:rPr>
          <w:rFonts w:eastAsia="Batang" w:cs="Times"/>
          <w:szCs w:val="24"/>
          <w:lang w:val="pt-BR" w:eastAsia="es-ES"/>
        </w:rPr>
        <w:t xml:space="preserve"> em </w:t>
      </w:r>
      <w:r w:rsidR="002C330E" w:rsidRPr="00D5464D">
        <w:rPr>
          <w:rFonts w:eastAsia="Batang" w:cs="Times"/>
          <w:szCs w:val="24"/>
          <w:lang w:val="pt-BR" w:eastAsia="es-ES"/>
        </w:rPr>
        <w:t>março</w:t>
      </w:r>
      <w:r w:rsidR="000A52D5" w:rsidRPr="00D5464D">
        <w:rPr>
          <w:rFonts w:eastAsia="Batang" w:cs="Times"/>
          <w:szCs w:val="24"/>
          <w:lang w:val="pt-BR" w:eastAsia="es-ES"/>
        </w:rPr>
        <w:t xml:space="preserve"> de 2000.</w:t>
      </w:r>
    </w:p>
    <w:p w14:paraId="156D3E5E" w14:textId="77777777" w:rsidR="000A52D5" w:rsidRPr="00D5464D" w:rsidRDefault="000A52D5" w:rsidP="00140440">
      <w:pPr>
        <w:tabs>
          <w:tab w:val="clear" w:pos="4419"/>
          <w:tab w:val="clear" w:pos="8838"/>
        </w:tabs>
        <w:jc w:val="both"/>
        <w:rPr>
          <w:rFonts w:eastAsia="Batang" w:cs="Times"/>
          <w:szCs w:val="24"/>
          <w:lang w:val="pt-BR" w:eastAsia="es-ES"/>
        </w:rPr>
      </w:pPr>
    </w:p>
    <w:p w14:paraId="1AFE6B0D" w14:textId="57AEE8FF" w:rsidR="000A52D5" w:rsidRPr="00D5464D" w:rsidRDefault="002C330E" w:rsidP="00217CA8">
      <w:pPr>
        <w:numPr>
          <w:ilvl w:val="0"/>
          <w:numId w:val="10"/>
        </w:numPr>
        <w:tabs>
          <w:tab w:val="clear" w:pos="4419"/>
          <w:tab w:val="clear" w:pos="8838"/>
        </w:tabs>
        <w:jc w:val="both"/>
        <w:rPr>
          <w:rFonts w:eastAsia="Batang" w:cs="Times"/>
          <w:i/>
          <w:szCs w:val="24"/>
          <w:lang w:val="pt-BR" w:eastAsia="es-ES"/>
        </w:rPr>
      </w:pPr>
      <w:r w:rsidRPr="00D5464D">
        <w:rPr>
          <w:rFonts w:eastAsia="Batang" w:cs="Times"/>
          <w:i/>
          <w:szCs w:val="24"/>
          <w:lang w:val="pt-BR" w:eastAsia="es-ES"/>
        </w:rPr>
        <w:t>Suposta</w:t>
      </w:r>
      <w:r w:rsidR="000A52D5" w:rsidRPr="00D5464D">
        <w:rPr>
          <w:rFonts w:eastAsia="Batang" w:cs="Times"/>
          <w:i/>
          <w:szCs w:val="24"/>
          <w:lang w:val="pt-BR" w:eastAsia="es-ES"/>
        </w:rPr>
        <w:t xml:space="preserve">s </w:t>
      </w:r>
      <w:r w:rsidR="00E045D9" w:rsidRPr="00D5464D">
        <w:rPr>
          <w:rFonts w:eastAsia="Batang" w:cs="Times"/>
          <w:i/>
          <w:szCs w:val="24"/>
          <w:lang w:val="pt-BR" w:eastAsia="es-ES"/>
        </w:rPr>
        <w:t>vítima</w:t>
      </w:r>
      <w:r w:rsidR="000A52D5" w:rsidRPr="00D5464D">
        <w:rPr>
          <w:rFonts w:eastAsia="Batang" w:cs="Times"/>
          <w:i/>
          <w:szCs w:val="24"/>
          <w:lang w:val="pt-BR" w:eastAsia="es-ES"/>
        </w:rPr>
        <w:t>s</w:t>
      </w:r>
      <w:r w:rsidR="00470ADC" w:rsidRPr="00D5464D">
        <w:rPr>
          <w:rFonts w:eastAsia="Batang" w:cs="Times"/>
          <w:i/>
          <w:szCs w:val="24"/>
          <w:lang w:val="pt-BR" w:eastAsia="es-ES"/>
        </w:rPr>
        <w:t xml:space="preserve"> com </w:t>
      </w:r>
      <w:r w:rsidRPr="00D5464D">
        <w:rPr>
          <w:rFonts w:eastAsia="Batang" w:cs="Times"/>
          <w:i/>
          <w:szCs w:val="24"/>
          <w:lang w:val="pt-BR" w:eastAsia="es-ES"/>
        </w:rPr>
        <w:t xml:space="preserve">identidade </w:t>
      </w:r>
      <w:r w:rsidR="000A52D5" w:rsidRPr="00D5464D">
        <w:rPr>
          <w:rFonts w:eastAsia="Batang" w:cs="Times"/>
          <w:i/>
          <w:szCs w:val="24"/>
          <w:lang w:val="pt-BR" w:eastAsia="es-ES"/>
        </w:rPr>
        <w:t>distinta o</w:t>
      </w:r>
      <w:r w:rsidR="00933DE1" w:rsidRPr="00D5464D">
        <w:rPr>
          <w:rFonts w:eastAsia="Batang" w:cs="Times"/>
          <w:i/>
          <w:szCs w:val="24"/>
          <w:lang w:val="pt-BR" w:eastAsia="es-ES"/>
        </w:rPr>
        <w:t>u</w:t>
      </w:r>
      <w:r w:rsidRPr="00D5464D">
        <w:rPr>
          <w:rFonts w:eastAsia="Batang" w:cs="Times"/>
          <w:i/>
          <w:szCs w:val="24"/>
          <w:lang w:val="pt-BR" w:eastAsia="es-ES"/>
        </w:rPr>
        <w:t xml:space="preserve"> sem </w:t>
      </w:r>
      <w:r w:rsidR="00470ADC" w:rsidRPr="00D5464D">
        <w:rPr>
          <w:rFonts w:eastAsia="Batang" w:cs="Times"/>
          <w:i/>
          <w:szCs w:val="24"/>
          <w:lang w:val="pt-BR" w:eastAsia="es-ES"/>
        </w:rPr>
        <w:t xml:space="preserve">devida </w:t>
      </w:r>
      <w:r w:rsidR="000A52D5" w:rsidRPr="00D5464D">
        <w:rPr>
          <w:rFonts w:eastAsia="Batang" w:cs="Times"/>
          <w:i/>
          <w:szCs w:val="24"/>
          <w:lang w:val="pt-BR" w:eastAsia="es-ES"/>
        </w:rPr>
        <w:t>representa</w:t>
      </w:r>
      <w:r w:rsidR="00470ADC" w:rsidRPr="00D5464D">
        <w:rPr>
          <w:rFonts w:eastAsia="Batang" w:cs="Times"/>
          <w:i/>
          <w:szCs w:val="24"/>
          <w:lang w:val="pt-BR" w:eastAsia="es-ES"/>
        </w:rPr>
        <w:t>ção</w:t>
      </w:r>
      <w:r w:rsidR="000A52D5" w:rsidRPr="00D5464D">
        <w:rPr>
          <w:rFonts w:eastAsia="Batang" w:cs="Times"/>
          <w:i/>
          <w:szCs w:val="24"/>
          <w:lang w:val="pt-BR" w:eastAsia="es-ES"/>
        </w:rPr>
        <w:t xml:space="preserve"> de familiares</w:t>
      </w:r>
    </w:p>
    <w:p w14:paraId="63D5EDB5" w14:textId="77777777" w:rsidR="00D65024" w:rsidRPr="00D5464D" w:rsidRDefault="00D65024" w:rsidP="00D65024">
      <w:pPr>
        <w:tabs>
          <w:tab w:val="clear" w:pos="4419"/>
          <w:tab w:val="clear" w:pos="8838"/>
        </w:tabs>
        <w:jc w:val="both"/>
        <w:rPr>
          <w:rFonts w:eastAsia="Batang" w:cs="Times"/>
          <w:szCs w:val="24"/>
          <w:lang w:val="pt-BR" w:eastAsia="es-ES"/>
        </w:rPr>
      </w:pPr>
    </w:p>
    <w:p w14:paraId="7955957A" w14:textId="12BCDFB4" w:rsidR="000A52D5" w:rsidRPr="00D5464D" w:rsidRDefault="00470AD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O </w:t>
      </w:r>
      <w:r w:rsidR="000A52D5" w:rsidRPr="00D5464D">
        <w:rPr>
          <w:rFonts w:eastAsia="Batang" w:cs="Times"/>
          <w:szCs w:val="24"/>
          <w:lang w:val="pt-BR" w:eastAsia="es-ES"/>
        </w:rPr>
        <w:t xml:space="preserve">Estado </w:t>
      </w:r>
      <w:r w:rsidR="002C330E" w:rsidRPr="00D5464D">
        <w:rPr>
          <w:rFonts w:eastAsia="Batang" w:cs="Times"/>
          <w:szCs w:val="24"/>
          <w:lang w:val="pt-BR" w:eastAsia="es-ES"/>
        </w:rPr>
        <w:t>afirmou</w:t>
      </w:r>
      <w:r w:rsidR="000A52D5" w:rsidRPr="00D5464D">
        <w:rPr>
          <w:rFonts w:eastAsia="Batang" w:cs="Times"/>
          <w:szCs w:val="24"/>
          <w:lang w:val="pt-BR" w:eastAsia="es-ES"/>
        </w:rPr>
        <w:t xml:space="preserve"> que </w:t>
      </w:r>
      <w:r w:rsidRPr="00D5464D">
        <w:rPr>
          <w:rFonts w:eastAsia="Batang" w:cs="Times"/>
          <w:szCs w:val="24"/>
          <w:lang w:val="pt-BR" w:eastAsia="es-ES"/>
        </w:rPr>
        <w:t>existem</w:t>
      </w:r>
      <w:r w:rsidR="000A52D5" w:rsidRPr="00D5464D">
        <w:rPr>
          <w:rFonts w:eastAsia="Batang" w:cs="Times"/>
          <w:szCs w:val="24"/>
          <w:lang w:val="pt-BR" w:eastAsia="es-ES"/>
        </w:rPr>
        <w:t xml:space="preserve"> </w:t>
      </w:r>
      <w:r w:rsidRPr="00D5464D">
        <w:rPr>
          <w:rFonts w:eastAsia="Batang" w:cs="Times"/>
          <w:szCs w:val="24"/>
          <w:lang w:val="pt-BR" w:eastAsia="es-ES"/>
        </w:rPr>
        <w:t>dúvida</w:t>
      </w:r>
      <w:r w:rsidR="000A52D5" w:rsidRPr="00D5464D">
        <w:rPr>
          <w:rFonts w:eastAsia="Batang" w:cs="Times"/>
          <w:szCs w:val="24"/>
          <w:lang w:val="pt-BR" w:eastAsia="es-ES"/>
        </w:rPr>
        <w:t xml:space="preserve">s e </w:t>
      </w:r>
      <w:r w:rsidR="00EB1CE9" w:rsidRPr="00D5464D">
        <w:rPr>
          <w:rFonts w:eastAsia="Batang" w:cs="Times"/>
          <w:szCs w:val="24"/>
          <w:lang w:val="pt-BR" w:eastAsia="es-ES"/>
        </w:rPr>
        <w:t>inconsistência</w:t>
      </w:r>
      <w:r w:rsidR="000A52D5" w:rsidRPr="00D5464D">
        <w:rPr>
          <w:rFonts w:eastAsia="Batang" w:cs="Times"/>
          <w:szCs w:val="24"/>
          <w:lang w:val="pt-BR" w:eastAsia="es-ES"/>
        </w:rPr>
        <w:t>s</w:t>
      </w:r>
      <w:r w:rsidRPr="00D5464D">
        <w:rPr>
          <w:rFonts w:eastAsia="Batang" w:cs="Times"/>
          <w:szCs w:val="24"/>
          <w:lang w:val="pt-BR" w:eastAsia="es-ES"/>
        </w:rPr>
        <w:t xml:space="preserve"> </w:t>
      </w:r>
      <w:r w:rsidR="00350187" w:rsidRPr="00D5464D">
        <w:rPr>
          <w:rFonts w:eastAsia="Batang" w:cs="Times"/>
          <w:szCs w:val="24"/>
          <w:lang w:val="pt-BR" w:eastAsia="es-ES"/>
        </w:rPr>
        <w:t>quanto</w:t>
      </w:r>
      <w:r w:rsidRPr="00D5464D">
        <w:rPr>
          <w:rFonts w:eastAsia="Batang" w:cs="Times"/>
          <w:szCs w:val="24"/>
          <w:lang w:val="pt-BR" w:eastAsia="es-ES"/>
        </w:rPr>
        <w:t xml:space="preserve"> à </w:t>
      </w:r>
      <w:r w:rsidR="002C330E" w:rsidRPr="00D5464D">
        <w:rPr>
          <w:rFonts w:eastAsia="Batang" w:cs="Times"/>
          <w:szCs w:val="24"/>
          <w:lang w:val="pt-BR" w:eastAsia="es-ES"/>
        </w:rPr>
        <w:t xml:space="preserve">identidade </w:t>
      </w:r>
      <w:r w:rsidRPr="00D5464D">
        <w:rPr>
          <w:rFonts w:eastAsia="Batang" w:cs="Times"/>
          <w:szCs w:val="24"/>
          <w:lang w:val="pt-BR" w:eastAsia="es-ES"/>
        </w:rPr>
        <w:t xml:space="preserve">das </w:t>
      </w:r>
      <w:r w:rsidR="00E045D9" w:rsidRPr="00D5464D">
        <w:rPr>
          <w:rFonts w:eastAsia="Batang" w:cs="Times"/>
          <w:szCs w:val="24"/>
          <w:lang w:val="pt-BR" w:eastAsia="es-ES"/>
        </w:rPr>
        <w:t>vítima</w:t>
      </w:r>
      <w:r w:rsidR="000A52D5" w:rsidRPr="00D5464D">
        <w:rPr>
          <w:rFonts w:eastAsia="Batang" w:cs="Times"/>
          <w:szCs w:val="24"/>
          <w:lang w:val="pt-BR" w:eastAsia="es-ES"/>
        </w:rPr>
        <w:t>s representadas,</w:t>
      </w:r>
      <w:r w:rsidR="002C330E" w:rsidRPr="00D5464D">
        <w:rPr>
          <w:rFonts w:eastAsia="Batang" w:cs="Times"/>
          <w:szCs w:val="24"/>
          <w:lang w:val="pt-BR" w:eastAsia="es-ES"/>
        </w:rPr>
        <w:t xml:space="preserve"> pois os </w:t>
      </w:r>
      <w:r w:rsidR="00EB1CE9" w:rsidRPr="00D5464D">
        <w:rPr>
          <w:rFonts w:eastAsia="Batang" w:cs="Times"/>
          <w:szCs w:val="24"/>
          <w:lang w:val="pt-BR" w:eastAsia="es-ES"/>
        </w:rPr>
        <w:t>representante</w:t>
      </w:r>
      <w:r w:rsidR="000A52D5" w:rsidRPr="00D5464D">
        <w:rPr>
          <w:rFonts w:eastAsia="Batang" w:cs="Times"/>
          <w:szCs w:val="24"/>
          <w:lang w:val="pt-BR" w:eastAsia="es-ES"/>
        </w:rPr>
        <w:t xml:space="preserve">s </w:t>
      </w:r>
      <w:r w:rsidR="00933DE1" w:rsidRPr="00D5464D">
        <w:rPr>
          <w:rFonts w:eastAsia="Batang" w:cs="Times"/>
          <w:szCs w:val="24"/>
          <w:lang w:val="pt-BR" w:eastAsia="es-ES"/>
        </w:rPr>
        <w:t xml:space="preserve">apresentaram </w:t>
      </w:r>
      <w:r w:rsidR="000A52D5" w:rsidRPr="00D5464D">
        <w:rPr>
          <w:rFonts w:eastAsia="Batang" w:cs="Times"/>
          <w:szCs w:val="24"/>
          <w:lang w:val="pt-BR" w:eastAsia="es-ES"/>
        </w:rPr>
        <w:t>informa</w:t>
      </w:r>
      <w:r w:rsidRPr="00D5464D">
        <w:rPr>
          <w:rFonts w:eastAsia="Batang" w:cs="Times"/>
          <w:szCs w:val="24"/>
          <w:lang w:val="pt-BR" w:eastAsia="es-ES"/>
        </w:rPr>
        <w:t>ção</w:t>
      </w:r>
      <w:r w:rsidR="000A52D5" w:rsidRPr="00D5464D">
        <w:rPr>
          <w:rFonts w:eastAsia="Batang" w:cs="Times"/>
          <w:szCs w:val="24"/>
          <w:lang w:val="pt-BR" w:eastAsia="es-ES"/>
        </w:rPr>
        <w:t xml:space="preserve"> incompleta o</w:t>
      </w:r>
      <w:r w:rsidR="00933DE1" w:rsidRPr="00D5464D">
        <w:rPr>
          <w:rFonts w:eastAsia="Batang" w:cs="Times"/>
          <w:szCs w:val="24"/>
          <w:lang w:val="pt-BR" w:eastAsia="es-ES"/>
        </w:rPr>
        <w:t>u</w:t>
      </w:r>
      <w:r w:rsidR="000A52D5" w:rsidRPr="00D5464D">
        <w:rPr>
          <w:rFonts w:eastAsia="Batang" w:cs="Times"/>
          <w:szCs w:val="24"/>
          <w:lang w:val="pt-BR" w:eastAsia="es-ES"/>
        </w:rPr>
        <w:t xml:space="preserve"> imprecisa</w:t>
      </w:r>
      <w:r w:rsidR="00E045D9" w:rsidRPr="00D5464D">
        <w:rPr>
          <w:rFonts w:eastAsia="Batang" w:cs="Times"/>
          <w:szCs w:val="24"/>
          <w:lang w:val="pt-BR" w:eastAsia="es-ES"/>
        </w:rPr>
        <w:t xml:space="preserve"> e </w:t>
      </w:r>
      <w:r w:rsidR="002C330E" w:rsidRPr="00D5464D">
        <w:rPr>
          <w:rFonts w:eastAsia="Batang" w:cs="Times"/>
          <w:szCs w:val="24"/>
          <w:lang w:val="pt-BR" w:eastAsia="es-ES"/>
        </w:rPr>
        <w:t xml:space="preserve">os </w:t>
      </w:r>
      <w:r w:rsidR="000A52D5" w:rsidRPr="00D5464D">
        <w:rPr>
          <w:rFonts w:eastAsia="Batang" w:cs="Times"/>
          <w:szCs w:val="24"/>
          <w:lang w:val="pt-BR" w:eastAsia="es-ES"/>
        </w:rPr>
        <w:t>números de identifica</w:t>
      </w:r>
      <w:r w:rsidRPr="00D5464D">
        <w:rPr>
          <w:rFonts w:eastAsia="Batang" w:cs="Times"/>
          <w:szCs w:val="24"/>
          <w:lang w:val="pt-BR" w:eastAsia="es-ES"/>
        </w:rPr>
        <w:t>ção</w:t>
      </w:r>
      <w:r w:rsidR="002C330E" w:rsidRPr="00D5464D">
        <w:rPr>
          <w:rFonts w:eastAsia="Batang" w:cs="Times"/>
          <w:szCs w:val="24"/>
          <w:lang w:val="pt-BR" w:eastAsia="es-ES"/>
        </w:rPr>
        <w:t xml:space="preserve"> são </w:t>
      </w:r>
      <w:r w:rsidRPr="00D5464D">
        <w:rPr>
          <w:rFonts w:eastAsia="Batang" w:cs="Times"/>
          <w:szCs w:val="24"/>
          <w:lang w:val="pt-BR" w:eastAsia="es-ES"/>
        </w:rPr>
        <w:t>contraditório</w:t>
      </w:r>
      <w:r w:rsidR="000A52D5" w:rsidRPr="00D5464D">
        <w:rPr>
          <w:rFonts w:eastAsia="Batang" w:cs="Times"/>
          <w:szCs w:val="24"/>
          <w:lang w:val="pt-BR" w:eastAsia="es-ES"/>
        </w:rPr>
        <w:t xml:space="preserve">s. </w:t>
      </w:r>
      <w:r w:rsidRPr="00D5464D">
        <w:rPr>
          <w:rFonts w:eastAsia="Batang" w:cs="Times"/>
          <w:szCs w:val="24"/>
          <w:lang w:val="pt-BR" w:eastAsia="es-ES"/>
        </w:rPr>
        <w:t>Ademais</w:t>
      </w:r>
      <w:r w:rsidR="000A52D5" w:rsidRPr="00D5464D">
        <w:rPr>
          <w:rFonts w:eastAsia="Batang" w:cs="Times"/>
          <w:szCs w:val="24"/>
          <w:lang w:val="pt-BR" w:eastAsia="es-ES"/>
        </w:rPr>
        <w:t xml:space="preserve">, </w:t>
      </w:r>
      <w:r w:rsidR="00A1358C" w:rsidRPr="00D5464D">
        <w:rPr>
          <w:rFonts w:eastAsia="Batang" w:cs="Times"/>
          <w:szCs w:val="24"/>
          <w:lang w:val="pt-BR" w:eastAsia="es-ES"/>
        </w:rPr>
        <w:t>requereu</w:t>
      </w:r>
      <w:r w:rsidR="00E045D9" w:rsidRPr="00D5464D">
        <w:rPr>
          <w:rFonts w:eastAsia="Batang" w:cs="Times"/>
          <w:szCs w:val="24"/>
          <w:lang w:val="pt-BR" w:eastAsia="es-ES"/>
        </w:rPr>
        <w:t xml:space="preserve"> aos </w:t>
      </w:r>
      <w:r w:rsidR="00EB1CE9" w:rsidRPr="00D5464D">
        <w:rPr>
          <w:rFonts w:eastAsia="Batang" w:cs="Times"/>
          <w:szCs w:val="24"/>
          <w:lang w:val="pt-BR" w:eastAsia="es-ES"/>
        </w:rPr>
        <w:t>representante</w:t>
      </w:r>
      <w:r w:rsidR="000A52D5" w:rsidRPr="00D5464D">
        <w:rPr>
          <w:rFonts w:eastAsia="Batang" w:cs="Times"/>
          <w:szCs w:val="24"/>
          <w:lang w:val="pt-BR" w:eastAsia="es-ES"/>
        </w:rPr>
        <w:t>s</w:t>
      </w:r>
      <w:r w:rsidR="002C330E" w:rsidRPr="00D5464D">
        <w:rPr>
          <w:rFonts w:eastAsia="Batang" w:cs="Times"/>
          <w:szCs w:val="24"/>
          <w:lang w:val="pt-BR" w:eastAsia="es-ES"/>
        </w:rPr>
        <w:t xml:space="preserve"> a apresentação</w:t>
      </w:r>
      <w:r w:rsidR="000A52D5" w:rsidRPr="00D5464D">
        <w:rPr>
          <w:rFonts w:eastAsia="Batang" w:cs="Times"/>
          <w:szCs w:val="24"/>
          <w:lang w:val="pt-BR" w:eastAsia="es-ES"/>
        </w:rPr>
        <w:t xml:space="preserve"> de certificados de </w:t>
      </w:r>
      <w:r w:rsidR="00933DE1" w:rsidRPr="00D5464D">
        <w:rPr>
          <w:rFonts w:eastAsia="Batang" w:cs="Times"/>
          <w:szCs w:val="24"/>
          <w:lang w:val="pt-BR" w:eastAsia="es-ES"/>
        </w:rPr>
        <w:t>óbito</w:t>
      </w:r>
      <w:r w:rsidRPr="00D5464D">
        <w:rPr>
          <w:rFonts w:eastAsia="Batang" w:cs="Times"/>
          <w:szCs w:val="24"/>
          <w:lang w:val="pt-BR" w:eastAsia="es-ES"/>
        </w:rPr>
        <w:t xml:space="preserve"> das </w:t>
      </w:r>
      <w:r w:rsidR="002C330E" w:rsidRPr="00D5464D">
        <w:rPr>
          <w:rFonts w:eastAsia="Batang" w:cs="Times"/>
          <w:szCs w:val="24"/>
          <w:lang w:val="pt-BR" w:eastAsia="es-ES"/>
        </w:rPr>
        <w:t>suposta</w:t>
      </w:r>
      <w:r w:rsidR="000A52D5" w:rsidRPr="00D5464D">
        <w:rPr>
          <w:rFonts w:eastAsia="Batang" w:cs="Times"/>
          <w:szCs w:val="24"/>
          <w:lang w:val="pt-BR" w:eastAsia="es-ES"/>
        </w:rPr>
        <w:t xml:space="preserve">s </w:t>
      </w:r>
      <w:r w:rsidR="00E045D9" w:rsidRPr="00D5464D">
        <w:rPr>
          <w:rFonts w:eastAsia="Batang" w:cs="Times"/>
          <w:szCs w:val="24"/>
          <w:lang w:val="pt-BR" w:eastAsia="es-ES"/>
        </w:rPr>
        <w:t>vítima</w:t>
      </w:r>
      <w:r w:rsidR="000A52D5" w:rsidRPr="00D5464D">
        <w:rPr>
          <w:rFonts w:eastAsia="Batang" w:cs="Times"/>
          <w:szCs w:val="24"/>
          <w:lang w:val="pt-BR" w:eastAsia="es-ES"/>
        </w:rPr>
        <w:t>s</w:t>
      </w:r>
      <w:r w:rsidR="00E045D9" w:rsidRPr="00D5464D">
        <w:rPr>
          <w:rFonts w:eastAsia="Batang" w:cs="Times"/>
          <w:szCs w:val="24"/>
          <w:lang w:val="pt-BR" w:eastAsia="es-ES"/>
        </w:rPr>
        <w:t xml:space="preserve"> já </w:t>
      </w:r>
      <w:r w:rsidRPr="00D5464D">
        <w:rPr>
          <w:rFonts w:eastAsia="Batang" w:cs="Times"/>
          <w:szCs w:val="24"/>
          <w:lang w:val="pt-BR" w:eastAsia="es-ES"/>
        </w:rPr>
        <w:t>falecid</w:t>
      </w:r>
      <w:r w:rsidR="000A52D5" w:rsidRPr="00D5464D">
        <w:rPr>
          <w:rFonts w:eastAsia="Batang" w:cs="Times"/>
          <w:szCs w:val="24"/>
          <w:lang w:val="pt-BR" w:eastAsia="es-ES"/>
        </w:rPr>
        <w:t>as</w:t>
      </w:r>
      <w:r w:rsidR="00E045D9" w:rsidRPr="00D5464D">
        <w:rPr>
          <w:rFonts w:eastAsia="Batang" w:cs="Times"/>
          <w:szCs w:val="24"/>
          <w:lang w:val="pt-BR" w:eastAsia="es-ES"/>
        </w:rPr>
        <w:t xml:space="preserve"> e </w:t>
      </w:r>
      <w:r w:rsidR="002C330E" w:rsidRPr="00D5464D">
        <w:rPr>
          <w:rFonts w:eastAsia="Batang" w:cs="Times"/>
          <w:szCs w:val="24"/>
          <w:lang w:val="pt-BR" w:eastAsia="es-ES"/>
        </w:rPr>
        <w:t xml:space="preserve">a </w:t>
      </w:r>
      <w:r w:rsidR="00933DE1" w:rsidRPr="00D5464D">
        <w:rPr>
          <w:rFonts w:eastAsia="Batang" w:cs="Times"/>
          <w:szCs w:val="24"/>
          <w:lang w:val="pt-BR" w:eastAsia="es-ES"/>
        </w:rPr>
        <w:t xml:space="preserve">prova </w:t>
      </w:r>
      <w:r w:rsidRPr="00D5464D">
        <w:rPr>
          <w:rFonts w:eastAsia="Batang" w:cs="Times"/>
          <w:szCs w:val="24"/>
          <w:lang w:val="pt-BR" w:eastAsia="es-ES"/>
        </w:rPr>
        <w:t xml:space="preserve">do </w:t>
      </w:r>
      <w:r w:rsidR="000A52D5" w:rsidRPr="00D5464D">
        <w:rPr>
          <w:rFonts w:eastAsia="Batang" w:cs="Times"/>
          <w:szCs w:val="24"/>
          <w:lang w:val="pt-BR" w:eastAsia="es-ES"/>
        </w:rPr>
        <w:t xml:space="preserve">vínculo de parentesco </w:t>
      </w:r>
      <w:r w:rsidR="00737270" w:rsidRPr="00D5464D">
        <w:rPr>
          <w:rFonts w:eastAsia="Batang" w:cs="Times"/>
          <w:szCs w:val="24"/>
          <w:lang w:val="pt-BR" w:eastAsia="es-ES"/>
        </w:rPr>
        <w:t>existente</w:t>
      </w:r>
      <w:r w:rsidR="000A52D5" w:rsidRPr="00D5464D">
        <w:rPr>
          <w:rFonts w:eastAsia="Batang" w:cs="Times"/>
          <w:szCs w:val="24"/>
          <w:lang w:val="pt-BR" w:eastAsia="es-ES"/>
        </w:rPr>
        <w:t xml:space="preserve"> entre</w:t>
      </w:r>
      <w:r w:rsidR="002C330E" w:rsidRPr="00D5464D">
        <w:rPr>
          <w:rFonts w:eastAsia="Batang" w:cs="Times"/>
          <w:szCs w:val="24"/>
          <w:lang w:val="pt-BR" w:eastAsia="es-ES"/>
        </w:rPr>
        <w:t xml:space="preserve"> os </w:t>
      </w:r>
      <w:r w:rsidR="000A52D5" w:rsidRPr="00D5464D">
        <w:rPr>
          <w:rFonts w:eastAsia="Batang" w:cs="Times"/>
          <w:szCs w:val="24"/>
          <w:lang w:val="pt-BR" w:eastAsia="es-ES"/>
        </w:rPr>
        <w:t>su</w:t>
      </w:r>
      <w:r w:rsidR="002C330E" w:rsidRPr="00D5464D">
        <w:rPr>
          <w:rFonts w:eastAsia="Batang" w:cs="Times"/>
          <w:szCs w:val="24"/>
          <w:lang w:val="pt-BR" w:eastAsia="es-ES"/>
        </w:rPr>
        <w:t>posto</w:t>
      </w:r>
      <w:r w:rsidR="000A52D5" w:rsidRPr="00D5464D">
        <w:rPr>
          <w:rFonts w:eastAsia="Batang" w:cs="Times"/>
          <w:szCs w:val="24"/>
          <w:lang w:val="pt-BR" w:eastAsia="es-ES"/>
        </w:rPr>
        <w:t>s familiares</w:t>
      </w:r>
      <w:r w:rsidR="00E045D9" w:rsidRPr="00D5464D">
        <w:rPr>
          <w:rFonts w:eastAsia="Batang" w:cs="Times"/>
          <w:szCs w:val="24"/>
          <w:lang w:val="pt-BR" w:eastAsia="es-ES"/>
        </w:rPr>
        <w:t xml:space="preserve"> e </w:t>
      </w:r>
      <w:r w:rsidR="002C330E" w:rsidRPr="00D5464D">
        <w:rPr>
          <w:rFonts w:eastAsia="Batang" w:cs="Times"/>
          <w:szCs w:val="24"/>
          <w:lang w:val="pt-BR" w:eastAsia="es-ES"/>
        </w:rPr>
        <w:t>as suposta</w:t>
      </w:r>
      <w:r w:rsidR="000A52D5" w:rsidRPr="00D5464D">
        <w:rPr>
          <w:rFonts w:eastAsia="Batang" w:cs="Times"/>
          <w:szCs w:val="24"/>
          <w:lang w:val="pt-BR" w:eastAsia="es-ES"/>
        </w:rPr>
        <w:t xml:space="preserve">s </w:t>
      </w:r>
      <w:r w:rsidR="00E045D9" w:rsidRPr="00D5464D">
        <w:rPr>
          <w:rFonts w:eastAsia="Batang" w:cs="Times"/>
          <w:szCs w:val="24"/>
          <w:lang w:val="pt-BR" w:eastAsia="es-ES"/>
        </w:rPr>
        <w:t>vítima</w:t>
      </w:r>
      <w:r w:rsidR="000A52D5" w:rsidRPr="00D5464D">
        <w:rPr>
          <w:rFonts w:eastAsia="Batang" w:cs="Times"/>
          <w:szCs w:val="24"/>
          <w:lang w:val="pt-BR" w:eastAsia="es-ES"/>
        </w:rPr>
        <w:t xml:space="preserve">s </w:t>
      </w:r>
      <w:r w:rsidRPr="00D5464D">
        <w:rPr>
          <w:rFonts w:eastAsia="Batang" w:cs="Times"/>
          <w:szCs w:val="24"/>
          <w:lang w:val="pt-BR" w:eastAsia="es-ES"/>
        </w:rPr>
        <w:t>falecid</w:t>
      </w:r>
      <w:r w:rsidR="000A52D5" w:rsidRPr="00D5464D">
        <w:rPr>
          <w:rFonts w:eastAsia="Batang" w:cs="Times"/>
          <w:szCs w:val="24"/>
          <w:lang w:val="pt-BR" w:eastAsia="es-ES"/>
        </w:rPr>
        <w:t>as.</w:t>
      </w:r>
    </w:p>
    <w:p w14:paraId="635473F0" w14:textId="77777777" w:rsidR="000A52D5" w:rsidRPr="00D5464D" w:rsidRDefault="000A52D5" w:rsidP="00140440">
      <w:pPr>
        <w:tabs>
          <w:tab w:val="clear" w:pos="4419"/>
          <w:tab w:val="clear" w:pos="8838"/>
        </w:tabs>
        <w:jc w:val="both"/>
        <w:rPr>
          <w:rFonts w:eastAsia="Batang" w:cs="Times"/>
          <w:i/>
          <w:szCs w:val="24"/>
          <w:lang w:val="pt-BR" w:eastAsia="es-ES"/>
        </w:rPr>
      </w:pPr>
    </w:p>
    <w:p w14:paraId="39F09987" w14:textId="4B4B9519" w:rsidR="000A52D5" w:rsidRPr="00D5464D" w:rsidRDefault="002C330E" w:rsidP="00217CA8">
      <w:pPr>
        <w:numPr>
          <w:ilvl w:val="0"/>
          <w:numId w:val="10"/>
        </w:numPr>
        <w:tabs>
          <w:tab w:val="clear" w:pos="4419"/>
          <w:tab w:val="clear" w:pos="8838"/>
        </w:tabs>
        <w:jc w:val="both"/>
        <w:rPr>
          <w:rFonts w:eastAsia="Batang" w:cs="Times"/>
          <w:i/>
          <w:szCs w:val="24"/>
          <w:lang w:val="pt-BR" w:eastAsia="es-ES"/>
        </w:rPr>
      </w:pPr>
      <w:r w:rsidRPr="00D5464D">
        <w:rPr>
          <w:rFonts w:eastAsia="Batang" w:cs="Times"/>
          <w:i/>
          <w:szCs w:val="24"/>
          <w:lang w:val="pt-BR" w:eastAsia="es-ES"/>
        </w:rPr>
        <w:t>Suposta</w:t>
      </w:r>
      <w:r w:rsidR="000A52D5" w:rsidRPr="00D5464D">
        <w:rPr>
          <w:rFonts w:eastAsia="Batang" w:cs="Times"/>
          <w:i/>
          <w:szCs w:val="24"/>
          <w:lang w:val="pt-BR" w:eastAsia="es-ES"/>
        </w:rPr>
        <w:t xml:space="preserve">s </w:t>
      </w:r>
      <w:r w:rsidR="00E045D9" w:rsidRPr="00D5464D">
        <w:rPr>
          <w:rFonts w:eastAsia="Batang" w:cs="Times"/>
          <w:i/>
          <w:szCs w:val="24"/>
          <w:lang w:val="pt-BR" w:eastAsia="es-ES"/>
        </w:rPr>
        <w:t>vítima</w:t>
      </w:r>
      <w:r w:rsidR="000A52D5" w:rsidRPr="00D5464D">
        <w:rPr>
          <w:rFonts w:eastAsia="Batang" w:cs="Times"/>
          <w:i/>
          <w:szCs w:val="24"/>
          <w:lang w:val="pt-BR" w:eastAsia="es-ES"/>
        </w:rPr>
        <w:t xml:space="preserve">s </w:t>
      </w:r>
      <w:r w:rsidR="00737270" w:rsidRPr="00D5464D">
        <w:rPr>
          <w:rFonts w:eastAsia="Batang" w:cs="Times"/>
          <w:i/>
          <w:szCs w:val="24"/>
          <w:lang w:val="pt-BR" w:eastAsia="es-ES"/>
        </w:rPr>
        <w:t>que não foram</w:t>
      </w:r>
      <w:r w:rsidR="000A52D5" w:rsidRPr="00D5464D">
        <w:rPr>
          <w:rFonts w:eastAsia="Batang" w:cs="Times"/>
          <w:i/>
          <w:szCs w:val="24"/>
          <w:lang w:val="pt-BR" w:eastAsia="es-ES"/>
        </w:rPr>
        <w:t xml:space="preserve"> mencionadas</w:t>
      </w:r>
      <w:r w:rsidR="00E045D9" w:rsidRPr="00D5464D">
        <w:rPr>
          <w:rFonts w:eastAsia="Batang" w:cs="Times"/>
          <w:i/>
          <w:szCs w:val="24"/>
          <w:lang w:val="pt-BR" w:eastAsia="es-ES"/>
        </w:rPr>
        <w:t xml:space="preserve"> no </w:t>
      </w:r>
      <w:r w:rsidR="00350187" w:rsidRPr="00D5464D">
        <w:rPr>
          <w:rFonts w:eastAsia="Batang" w:cs="Times"/>
          <w:i/>
          <w:szCs w:val="24"/>
          <w:lang w:val="pt-BR" w:eastAsia="es-ES"/>
        </w:rPr>
        <w:t>Relatório</w:t>
      </w:r>
      <w:r w:rsidRPr="00D5464D">
        <w:rPr>
          <w:rFonts w:eastAsia="Batang" w:cs="Times"/>
          <w:i/>
          <w:szCs w:val="24"/>
          <w:lang w:val="pt-BR" w:eastAsia="es-ES"/>
        </w:rPr>
        <w:t xml:space="preserve"> de Mérito</w:t>
      </w:r>
    </w:p>
    <w:p w14:paraId="5E3E93A0" w14:textId="77777777" w:rsidR="000A52D5" w:rsidRPr="00D5464D" w:rsidRDefault="000A52D5" w:rsidP="00140440">
      <w:pPr>
        <w:tabs>
          <w:tab w:val="clear" w:pos="4419"/>
          <w:tab w:val="clear" w:pos="8838"/>
        </w:tabs>
        <w:jc w:val="both"/>
        <w:rPr>
          <w:rFonts w:eastAsia="Batang" w:cs="Times"/>
          <w:szCs w:val="24"/>
          <w:lang w:val="pt-BR" w:eastAsia="es-ES"/>
        </w:rPr>
      </w:pPr>
    </w:p>
    <w:p w14:paraId="21B25B2F" w14:textId="23C06231" w:rsidR="000A52D5" w:rsidRPr="00D5464D" w:rsidRDefault="000A52D5"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Finalmente,</w:t>
      </w:r>
      <w:r w:rsidR="00470ADC" w:rsidRPr="00D5464D">
        <w:rPr>
          <w:rFonts w:eastAsia="Batang" w:cs="Times"/>
          <w:szCs w:val="24"/>
          <w:lang w:val="pt-BR" w:eastAsia="es-ES"/>
        </w:rPr>
        <w:t xml:space="preserve"> o </w:t>
      </w:r>
      <w:r w:rsidRPr="00D5464D">
        <w:rPr>
          <w:rFonts w:eastAsia="Batang" w:cs="Times"/>
          <w:szCs w:val="24"/>
          <w:lang w:val="pt-BR" w:eastAsia="es-ES"/>
        </w:rPr>
        <w:t xml:space="preserve">Estado </w:t>
      </w:r>
      <w:r w:rsidR="00933DE1" w:rsidRPr="00D5464D">
        <w:rPr>
          <w:rFonts w:eastAsia="Batang" w:cs="Times"/>
          <w:szCs w:val="24"/>
          <w:lang w:val="pt-BR" w:eastAsia="es-ES"/>
        </w:rPr>
        <w:t xml:space="preserve">indicou </w:t>
      </w:r>
      <w:r w:rsidRPr="00D5464D">
        <w:rPr>
          <w:rFonts w:eastAsia="Batang" w:cs="Times"/>
          <w:szCs w:val="24"/>
          <w:lang w:val="pt-BR" w:eastAsia="es-ES"/>
        </w:rPr>
        <w:t>que</w:t>
      </w:r>
      <w:r w:rsidR="002C330E" w:rsidRPr="00D5464D">
        <w:rPr>
          <w:rFonts w:eastAsia="Batang" w:cs="Times"/>
          <w:szCs w:val="24"/>
          <w:lang w:val="pt-BR" w:eastAsia="es-ES"/>
        </w:rPr>
        <w:t xml:space="preserve"> a </w:t>
      </w:r>
      <w:r w:rsidRPr="00D5464D">
        <w:rPr>
          <w:rFonts w:eastAsia="Batang" w:cs="Times"/>
          <w:szCs w:val="24"/>
          <w:lang w:val="pt-BR" w:eastAsia="es-ES"/>
        </w:rPr>
        <w:t xml:space="preserve">Corte </w:t>
      </w:r>
      <w:r w:rsidR="002C330E" w:rsidRPr="00D5464D">
        <w:rPr>
          <w:rFonts w:eastAsia="Batang" w:cs="Times"/>
          <w:szCs w:val="24"/>
          <w:lang w:val="pt-BR" w:eastAsia="es-ES"/>
        </w:rPr>
        <w:t xml:space="preserve">não possui </w:t>
      </w:r>
      <w:r w:rsidR="00470ADC" w:rsidRPr="00D5464D">
        <w:rPr>
          <w:rFonts w:eastAsia="Batang" w:cs="Times"/>
          <w:szCs w:val="24"/>
          <w:lang w:val="pt-BR" w:eastAsia="es-ES"/>
        </w:rPr>
        <w:t>competência</w:t>
      </w:r>
      <w:r w:rsidRPr="00D5464D">
        <w:rPr>
          <w:rFonts w:eastAsia="Batang" w:cs="Times"/>
          <w:szCs w:val="24"/>
          <w:lang w:val="pt-BR" w:eastAsia="es-ES"/>
        </w:rPr>
        <w:t xml:space="preserve"> para </w:t>
      </w:r>
      <w:r w:rsidR="00470ADC" w:rsidRPr="00D5464D">
        <w:rPr>
          <w:rFonts w:eastAsia="Batang" w:cs="Times"/>
          <w:szCs w:val="24"/>
          <w:lang w:val="pt-BR" w:eastAsia="es-ES"/>
        </w:rPr>
        <w:t xml:space="preserve">conhecer dos </w:t>
      </w:r>
      <w:r w:rsidR="002C330E" w:rsidRPr="00D5464D">
        <w:rPr>
          <w:rFonts w:eastAsia="Batang" w:cs="Times"/>
          <w:szCs w:val="24"/>
          <w:lang w:val="pt-BR" w:eastAsia="es-ES"/>
        </w:rPr>
        <w:t>fatos</w:t>
      </w:r>
      <w:r w:rsidRPr="00D5464D">
        <w:rPr>
          <w:rFonts w:eastAsia="Batang" w:cs="Times"/>
          <w:szCs w:val="24"/>
          <w:lang w:val="pt-BR" w:eastAsia="es-ES"/>
        </w:rPr>
        <w:t xml:space="preserve"> relativos</w:t>
      </w:r>
      <w:r w:rsidR="00E045D9" w:rsidRPr="00D5464D">
        <w:rPr>
          <w:rFonts w:eastAsia="Batang" w:cs="Times"/>
          <w:szCs w:val="24"/>
          <w:lang w:val="pt-BR" w:eastAsia="es-ES"/>
        </w:rPr>
        <w:t xml:space="preserve"> às </w:t>
      </w:r>
      <w:r w:rsidR="002C330E" w:rsidRPr="00D5464D">
        <w:rPr>
          <w:rFonts w:eastAsia="Batang" w:cs="Times"/>
          <w:szCs w:val="24"/>
          <w:lang w:val="pt-BR" w:eastAsia="es-ES"/>
        </w:rPr>
        <w:t>suposta</w:t>
      </w:r>
      <w:r w:rsidRPr="00D5464D">
        <w:rPr>
          <w:rFonts w:eastAsia="Batang" w:cs="Times"/>
          <w:szCs w:val="24"/>
          <w:lang w:val="pt-BR" w:eastAsia="es-ES"/>
        </w:rPr>
        <w:t xml:space="preserve">s </w:t>
      </w:r>
      <w:r w:rsidR="00E045D9" w:rsidRPr="00D5464D">
        <w:rPr>
          <w:rFonts w:eastAsia="Batang" w:cs="Times"/>
          <w:szCs w:val="24"/>
          <w:lang w:val="pt-BR" w:eastAsia="es-ES"/>
        </w:rPr>
        <w:t>vítima</w:t>
      </w:r>
      <w:r w:rsidRPr="00D5464D">
        <w:rPr>
          <w:rFonts w:eastAsia="Batang" w:cs="Times"/>
          <w:szCs w:val="24"/>
          <w:lang w:val="pt-BR" w:eastAsia="es-ES"/>
        </w:rPr>
        <w:t xml:space="preserve">s Francisco das </w:t>
      </w:r>
      <w:r w:rsidR="00D54143" w:rsidRPr="00D5464D">
        <w:rPr>
          <w:rFonts w:eastAsia="Batang" w:cs="Times"/>
          <w:szCs w:val="24"/>
          <w:lang w:val="pt-BR" w:eastAsia="es-ES"/>
        </w:rPr>
        <w:t xml:space="preserve">Chagas </w:t>
      </w:r>
      <w:r w:rsidRPr="00D5464D">
        <w:rPr>
          <w:rFonts w:eastAsia="Batang" w:cs="Times"/>
          <w:szCs w:val="24"/>
          <w:lang w:val="pt-BR" w:eastAsia="es-ES"/>
        </w:rPr>
        <w:t xml:space="preserve">Bastos Souza, José Francisco Furtado de Sousa, </w:t>
      </w:r>
      <w:r w:rsidR="00DF17FB" w:rsidRPr="00D5464D">
        <w:rPr>
          <w:lang w:val="pt-BR"/>
        </w:rPr>
        <w:t>Antônio</w:t>
      </w:r>
      <w:r w:rsidRPr="00D5464D">
        <w:rPr>
          <w:rFonts w:eastAsia="Batang" w:cs="Times"/>
          <w:szCs w:val="24"/>
          <w:lang w:val="pt-BR" w:eastAsia="es-ES"/>
        </w:rPr>
        <w:t xml:space="preserve"> Pereira dos Santos</w:t>
      </w:r>
      <w:r w:rsidR="00E045D9" w:rsidRPr="00D5464D">
        <w:rPr>
          <w:rFonts w:eastAsia="Batang" w:cs="Times"/>
          <w:szCs w:val="24"/>
          <w:lang w:val="pt-BR" w:eastAsia="es-ES"/>
        </w:rPr>
        <w:t xml:space="preserve"> e </w:t>
      </w:r>
      <w:r w:rsidRPr="00D5464D">
        <w:rPr>
          <w:rFonts w:eastAsia="Batang" w:cs="Times"/>
          <w:szCs w:val="24"/>
          <w:lang w:val="pt-BR" w:eastAsia="es-ES"/>
        </w:rPr>
        <w:t>Francisco Pereira da Silva</w:t>
      </w:r>
      <w:r w:rsidR="005D1062" w:rsidRPr="00D5464D">
        <w:rPr>
          <w:rFonts w:eastAsia="Batang" w:cs="Times"/>
          <w:szCs w:val="24"/>
          <w:lang w:val="pt-BR" w:eastAsia="es-ES"/>
        </w:rPr>
        <w:t>,</w:t>
      </w:r>
      <w:r w:rsidRPr="00D5464D">
        <w:rPr>
          <w:rFonts w:eastAsia="Batang" w:cs="Times"/>
          <w:szCs w:val="24"/>
          <w:lang w:val="pt-BR" w:eastAsia="es-ES"/>
        </w:rPr>
        <w:t xml:space="preserve"> dado </w:t>
      </w:r>
      <w:r w:rsidR="00737270" w:rsidRPr="00D5464D">
        <w:rPr>
          <w:rFonts w:eastAsia="Batang" w:cs="Times"/>
          <w:szCs w:val="24"/>
          <w:lang w:val="pt-BR" w:eastAsia="es-ES"/>
        </w:rPr>
        <w:t>que não foram</w:t>
      </w:r>
      <w:r w:rsidRPr="00D5464D">
        <w:rPr>
          <w:rFonts w:eastAsia="Batang" w:cs="Times"/>
          <w:szCs w:val="24"/>
          <w:lang w:val="pt-BR" w:eastAsia="es-ES"/>
        </w:rPr>
        <w:t xml:space="preserve"> mencionados</w:t>
      </w:r>
      <w:r w:rsidR="00E045D9" w:rsidRPr="00D5464D">
        <w:rPr>
          <w:rFonts w:eastAsia="Batang" w:cs="Times"/>
          <w:szCs w:val="24"/>
          <w:lang w:val="pt-BR" w:eastAsia="es-ES"/>
        </w:rPr>
        <w:t xml:space="preserve"> no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de Admissibilidade</w:t>
      </w:r>
      <w:r w:rsidR="00E045D9" w:rsidRPr="00D5464D">
        <w:rPr>
          <w:rFonts w:eastAsia="Batang" w:cs="Times"/>
          <w:szCs w:val="24"/>
          <w:lang w:val="pt-BR" w:eastAsia="es-ES"/>
        </w:rPr>
        <w:t xml:space="preserve"> e </w:t>
      </w:r>
      <w:r w:rsidR="00470ADC" w:rsidRPr="00D5464D">
        <w:rPr>
          <w:rFonts w:eastAsia="Batang" w:cs="Times"/>
          <w:szCs w:val="24"/>
          <w:lang w:val="pt-BR" w:eastAsia="es-ES"/>
        </w:rPr>
        <w:t>Mérito</w:t>
      </w:r>
      <w:r w:rsidR="00A1358C" w:rsidRPr="00D5464D">
        <w:rPr>
          <w:rFonts w:eastAsia="Batang" w:cs="Times"/>
          <w:szCs w:val="24"/>
          <w:lang w:val="pt-BR" w:eastAsia="es-ES"/>
        </w:rPr>
        <w:t xml:space="preserve"> nº </w:t>
      </w:r>
      <w:r w:rsidRPr="00D5464D">
        <w:rPr>
          <w:rFonts w:eastAsia="Batang" w:cs="Times"/>
          <w:szCs w:val="24"/>
          <w:lang w:val="pt-BR" w:eastAsia="es-ES"/>
        </w:rPr>
        <w:t xml:space="preserve">169/11. </w:t>
      </w:r>
      <w:r w:rsidR="00933DE1" w:rsidRPr="00D5464D">
        <w:rPr>
          <w:rFonts w:eastAsia="Batang" w:cs="Times"/>
          <w:szCs w:val="24"/>
          <w:lang w:val="pt-BR" w:eastAsia="es-ES"/>
        </w:rPr>
        <w:t>Também</w:t>
      </w:r>
      <w:r w:rsidRPr="00D5464D">
        <w:rPr>
          <w:rFonts w:eastAsia="Batang" w:cs="Times"/>
          <w:szCs w:val="24"/>
          <w:lang w:val="pt-BR" w:eastAsia="es-ES"/>
        </w:rPr>
        <w:t xml:space="preserve"> </w:t>
      </w:r>
      <w:r w:rsidR="002C330E" w:rsidRPr="00D5464D">
        <w:rPr>
          <w:rFonts w:eastAsia="Batang" w:cs="Times"/>
          <w:szCs w:val="24"/>
          <w:lang w:val="pt-BR" w:eastAsia="es-ES"/>
        </w:rPr>
        <w:t>afirmou</w:t>
      </w:r>
      <w:r w:rsidRPr="00D5464D">
        <w:rPr>
          <w:rFonts w:eastAsia="Batang" w:cs="Times"/>
          <w:szCs w:val="24"/>
          <w:lang w:val="pt-BR" w:eastAsia="es-ES"/>
        </w:rPr>
        <w:t xml:space="preserve"> que</w:t>
      </w:r>
      <w:r w:rsidR="005D1062" w:rsidRPr="00D5464D">
        <w:rPr>
          <w:rFonts w:eastAsia="Batang" w:cs="Times"/>
          <w:szCs w:val="24"/>
          <w:lang w:val="pt-BR" w:eastAsia="es-ES"/>
        </w:rPr>
        <w:t>,</w:t>
      </w:r>
      <w:r w:rsidR="00470ADC" w:rsidRPr="00D5464D">
        <w:rPr>
          <w:rFonts w:eastAsia="Batang" w:cs="Times"/>
          <w:szCs w:val="24"/>
          <w:lang w:val="pt-BR" w:eastAsia="es-ES"/>
        </w:rPr>
        <w:t xml:space="preserve"> </w:t>
      </w:r>
      <w:r w:rsidR="00350187" w:rsidRPr="00D5464D">
        <w:rPr>
          <w:rFonts w:eastAsia="Batang" w:cs="Times"/>
          <w:szCs w:val="24"/>
          <w:lang w:val="pt-BR" w:eastAsia="es-ES"/>
        </w:rPr>
        <w:t>quanto</w:t>
      </w:r>
      <w:r w:rsidR="00470ADC" w:rsidRPr="00D5464D">
        <w:rPr>
          <w:rFonts w:eastAsia="Batang" w:cs="Times"/>
          <w:szCs w:val="24"/>
          <w:lang w:val="pt-BR" w:eastAsia="es-ES"/>
        </w:rPr>
        <w:t xml:space="preserve"> </w:t>
      </w:r>
      <w:r w:rsidRPr="00D5464D">
        <w:rPr>
          <w:rFonts w:eastAsia="Batang" w:cs="Times"/>
          <w:szCs w:val="24"/>
          <w:lang w:val="pt-BR" w:eastAsia="es-ES"/>
        </w:rPr>
        <w:t>a José Francisco Furtado de Sousa,</w:t>
      </w:r>
      <w:r w:rsidR="00230C71" w:rsidRPr="00D5464D">
        <w:rPr>
          <w:rFonts w:eastAsia="Batang" w:cs="Times"/>
          <w:szCs w:val="24"/>
          <w:lang w:val="pt-BR" w:eastAsia="es-ES"/>
        </w:rPr>
        <w:t xml:space="preserve"> não existe</w:t>
      </w:r>
      <w:r w:rsidRPr="00D5464D">
        <w:rPr>
          <w:rFonts w:eastAsia="Batang" w:cs="Times"/>
          <w:szCs w:val="24"/>
          <w:lang w:val="pt-BR" w:eastAsia="es-ES"/>
        </w:rPr>
        <w:t xml:space="preserve"> motivo </w:t>
      </w:r>
      <w:r w:rsidR="002C330E" w:rsidRPr="00D5464D">
        <w:rPr>
          <w:rFonts w:eastAsia="Batang" w:cs="Times"/>
          <w:szCs w:val="24"/>
          <w:lang w:val="pt-BR" w:eastAsia="es-ES"/>
        </w:rPr>
        <w:t xml:space="preserve">razoável </w:t>
      </w:r>
      <w:r w:rsidRPr="00D5464D">
        <w:rPr>
          <w:rFonts w:eastAsia="Batang" w:cs="Times"/>
          <w:szCs w:val="24"/>
          <w:lang w:val="pt-BR" w:eastAsia="es-ES"/>
        </w:rPr>
        <w:t>para su</w:t>
      </w:r>
      <w:r w:rsidR="00A1358C" w:rsidRPr="00D5464D">
        <w:rPr>
          <w:rFonts w:eastAsia="Batang" w:cs="Times"/>
          <w:szCs w:val="24"/>
          <w:lang w:val="pt-BR" w:eastAsia="es-ES"/>
        </w:rPr>
        <w:t xml:space="preserve">por </w:t>
      </w:r>
      <w:r w:rsidRPr="00D5464D">
        <w:rPr>
          <w:rFonts w:eastAsia="Batang" w:cs="Times"/>
          <w:szCs w:val="24"/>
          <w:lang w:val="pt-BR" w:eastAsia="es-ES"/>
        </w:rPr>
        <w:t xml:space="preserve">que se trata de </w:t>
      </w:r>
      <w:r w:rsidR="009C0555" w:rsidRPr="00D5464D">
        <w:rPr>
          <w:rFonts w:eastAsia="Batang" w:cs="Times"/>
          <w:szCs w:val="24"/>
          <w:lang w:val="pt-BR" w:eastAsia="es-ES"/>
        </w:rPr>
        <w:t xml:space="preserve">Gonçalo </w:t>
      </w:r>
      <w:r w:rsidRPr="00D5464D">
        <w:rPr>
          <w:rFonts w:eastAsia="Batang" w:cs="Times"/>
          <w:szCs w:val="24"/>
          <w:lang w:val="pt-BR" w:eastAsia="es-ES"/>
        </w:rPr>
        <w:t xml:space="preserve">Luiz Furtado, indicado como </w:t>
      </w:r>
      <w:r w:rsidR="00E045D9" w:rsidRPr="00D5464D">
        <w:rPr>
          <w:rFonts w:eastAsia="Batang" w:cs="Times"/>
          <w:szCs w:val="24"/>
          <w:lang w:val="pt-BR" w:eastAsia="es-ES"/>
        </w:rPr>
        <w:t xml:space="preserve">vítima no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de Mérito</w:t>
      </w:r>
      <w:r w:rsidRPr="00D5464D">
        <w:rPr>
          <w:rFonts w:eastAsia="Batang" w:cs="Times"/>
          <w:szCs w:val="24"/>
          <w:lang w:val="pt-BR" w:eastAsia="es-ES"/>
        </w:rPr>
        <w:t xml:space="preserve">. </w:t>
      </w:r>
    </w:p>
    <w:p w14:paraId="2F9AC6D1" w14:textId="77777777" w:rsidR="00D65024" w:rsidRPr="00D5464D" w:rsidRDefault="00D65024" w:rsidP="00D65024">
      <w:pPr>
        <w:tabs>
          <w:tab w:val="clear" w:pos="4419"/>
          <w:tab w:val="clear" w:pos="8838"/>
        </w:tabs>
        <w:jc w:val="both"/>
        <w:rPr>
          <w:rFonts w:eastAsia="Batang" w:cs="Times"/>
          <w:szCs w:val="24"/>
          <w:lang w:val="pt-BR" w:eastAsia="es-ES"/>
        </w:rPr>
      </w:pPr>
    </w:p>
    <w:p w14:paraId="6BDC10CA" w14:textId="7830D3AF" w:rsidR="000A52D5" w:rsidRPr="00D5464D" w:rsidRDefault="00470AD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O </w:t>
      </w:r>
      <w:r w:rsidR="000A52D5" w:rsidRPr="00D5464D">
        <w:rPr>
          <w:rFonts w:eastAsia="Batang" w:cs="Times"/>
          <w:szCs w:val="24"/>
          <w:lang w:val="pt-BR" w:eastAsia="es-ES"/>
        </w:rPr>
        <w:t xml:space="preserve">Estado </w:t>
      </w:r>
      <w:r w:rsidR="002C330E" w:rsidRPr="00D5464D">
        <w:rPr>
          <w:rFonts w:eastAsia="Batang" w:cs="Times"/>
          <w:szCs w:val="24"/>
          <w:lang w:val="pt-BR" w:eastAsia="es-ES"/>
        </w:rPr>
        <w:t>solicitou</w:t>
      </w:r>
      <w:r w:rsidRPr="00D5464D">
        <w:rPr>
          <w:rFonts w:eastAsia="Batang" w:cs="Times"/>
          <w:szCs w:val="24"/>
          <w:lang w:val="pt-BR" w:eastAsia="es-ES"/>
        </w:rPr>
        <w:t xml:space="preserve"> à </w:t>
      </w:r>
      <w:r w:rsidR="000A52D5" w:rsidRPr="00D5464D">
        <w:rPr>
          <w:rFonts w:eastAsia="Batang" w:cs="Times"/>
          <w:szCs w:val="24"/>
          <w:lang w:val="pt-BR" w:eastAsia="es-ES"/>
        </w:rPr>
        <w:t xml:space="preserve">Corte que </w:t>
      </w:r>
      <w:r w:rsidR="00C91CB1" w:rsidRPr="00D5464D">
        <w:rPr>
          <w:rFonts w:eastAsia="Batang" w:cs="Times"/>
          <w:szCs w:val="24"/>
          <w:lang w:val="pt-BR" w:eastAsia="es-ES"/>
        </w:rPr>
        <w:t>exerça</w:t>
      </w:r>
      <w:r w:rsidR="000A52D5" w:rsidRPr="00D5464D">
        <w:rPr>
          <w:rFonts w:eastAsia="Batang" w:cs="Times"/>
          <w:szCs w:val="24"/>
          <w:lang w:val="pt-BR" w:eastAsia="es-ES"/>
        </w:rPr>
        <w:t xml:space="preserve"> </w:t>
      </w:r>
      <w:r w:rsidR="00E045D9" w:rsidRPr="00D5464D">
        <w:rPr>
          <w:rFonts w:eastAsia="Batang" w:cs="Times"/>
          <w:szCs w:val="24"/>
          <w:lang w:val="pt-BR" w:eastAsia="es-ES"/>
        </w:rPr>
        <w:t>sua competência</w:t>
      </w:r>
      <w:r w:rsidR="00B54FB3" w:rsidRPr="00D5464D">
        <w:rPr>
          <w:rFonts w:eastAsia="Batang" w:cs="Times"/>
          <w:szCs w:val="24"/>
          <w:lang w:val="pt-BR" w:eastAsia="es-ES"/>
        </w:rPr>
        <w:t xml:space="preserve"> </w:t>
      </w:r>
      <w:r w:rsidR="00933DE1" w:rsidRPr="00D5464D">
        <w:rPr>
          <w:rFonts w:eastAsia="Batang" w:cs="Times"/>
          <w:szCs w:val="24"/>
          <w:lang w:val="pt-BR" w:eastAsia="es-ES"/>
        </w:rPr>
        <w:t xml:space="preserve">apenas em relação às </w:t>
      </w:r>
      <w:r w:rsidR="00C278B7" w:rsidRPr="00D5464D">
        <w:rPr>
          <w:rFonts w:eastAsia="Batang" w:cs="Times"/>
          <w:szCs w:val="24"/>
          <w:lang w:val="pt-BR" w:eastAsia="es-ES"/>
        </w:rPr>
        <w:t xml:space="preserve">18 </w:t>
      </w:r>
      <w:r w:rsidR="002C330E" w:rsidRPr="00D5464D">
        <w:rPr>
          <w:rFonts w:eastAsia="Batang" w:cs="Times"/>
          <w:szCs w:val="24"/>
          <w:lang w:val="pt-BR" w:eastAsia="es-ES"/>
        </w:rPr>
        <w:t>suposta</w:t>
      </w:r>
      <w:r w:rsidR="000A52D5" w:rsidRPr="00D5464D">
        <w:rPr>
          <w:rFonts w:eastAsia="Batang" w:cs="Times"/>
          <w:szCs w:val="24"/>
          <w:lang w:val="pt-BR" w:eastAsia="es-ES"/>
        </w:rPr>
        <w:t xml:space="preserve">s </w:t>
      </w:r>
      <w:r w:rsidR="00E045D9" w:rsidRPr="00D5464D">
        <w:rPr>
          <w:rFonts w:eastAsia="Batang" w:cs="Times"/>
          <w:szCs w:val="24"/>
          <w:lang w:val="pt-BR" w:eastAsia="es-ES"/>
        </w:rPr>
        <w:t>vítima</w:t>
      </w:r>
      <w:r w:rsidR="000A52D5" w:rsidRPr="00D5464D">
        <w:rPr>
          <w:rFonts w:eastAsia="Batang" w:cs="Times"/>
          <w:szCs w:val="24"/>
          <w:lang w:val="pt-BR" w:eastAsia="es-ES"/>
        </w:rPr>
        <w:t>s “</w:t>
      </w:r>
      <w:r w:rsidRPr="00D5464D">
        <w:rPr>
          <w:rFonts w:eastAsia="Batang" w:cs="Times"/>
          <w:szCs w:val="24"/>
          <w:lang w:val="pt-BR" w:eastAsia="es-ES"/>
        </w:rPr>
        <w:t>devidamente</w:t>
      </w:r>
      <w:r w:rsidR="000A52D5" w:rsidRPr="00D5464D">
        <w:rPr>
          <w:rFonts w:eastAsia="Batang" w:cs="Times"/>
          <w:szCs w:val="24"/>
          <w:lang w:val="pt-BR" w:eastAsia="es-ES"/>
        </w:rPr>
        <w:t xml:space="preserve"> representadas, identificadas</w:t>
      </w:r>
      <w:r w:rsidR="00E045D9" w:rsidRPr="00D5464D">
        <w:rPr>
          <w:rFonts w:eastAsia="Batang" w:cs="Times"/>
          <w:szCs w:val="24"/>
          <w:lang w:val="pt-BR" w:eastAsia="es-ES"/>
        </w:rPr>
        <w:t xml:space="preserve"> e </w:t>
      </w:r>
      <w:r w:rsidR="000A52D5" w:rsidRPr="00D5464D">
        <w:rPr>
          <w:rFonts w:eastAsia="Batang" w:cs="Times"/>
          <w:szCs w:val="24"/>
          <w:lang w:val="pt-BR" w:eastAsia="es-ES"/>
        </w:rPr>
        <w:t>relacionadas”</w:t>
      </w:r>
      <w:r w:rsidR="00E045D9" w:rsidRPr="00D5464D">
        <w:rPr>
          <w:rFonts w:eastAsia="Batang" w:cs="Times"/>
          <w:szCs w:val="24"/>
          <w:lang w:val="pt-BR" w:eastAsia="es-ES"/>
        </w:rPr>
        <w:t xml:space="preserve"> no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de Admissibilidade</w:t>
      </w:r>
      <w:r w:rsidR="00E045D9" w:rsidRPr="00D5464D">
        <w:rPr>
          <w:rFonts w:eastAsia="Batang" w:cs="Times"/>
          <w:szCs w:val="24"/>
          <w:lang w:val="pt-BR" w:eastAsia="es-ES"/>
        </w:rPr>
        <w:t xml:space="preserve"> e </w:t>
      </w:r>
      <w:r w:rsidRPr="00D5464D">
        <w:rPr>
          <w:rFonts w:eastAsia="Batang" w:cs="Times"/>
          <w:szCs w:val="24"/>
          <w:lang w:val="pt-BR" w:eastAsia="es-ES"/>
        </w:rPr>
        <w:t>Mérito</w:t>
      </w:r>
      <w:r w:rsidR="00A1358C" w:rsidRPr="00D5464D">
        <w:rPr>
          <w:rFonts w:eastAsia="Batang" w:cs="Times"/>
          <w:szCs w:val="24"/>
          <w:lang w:val="pt-BR" w:eastAsia="es-ES"/>
        </w:rPr>
        <w:t xml:space="preserve"> nº </w:t>
      </w:r>
      <w:r w:rsidR="000A52D5" w:rsidRPr="00D5464D">
        <w:rPr>
          <w:rFonts w:eastAsia="Batang" w:cs="Times"/>
          <w:szCs w:val="24"/>
          <w:lang w:val="pt-BR" w:eastAsia="es-ES"/>
        </w:rPr>
        <w:t>169/11</w:t>
      </w:r>
      <w:r w:rsidR="00933DE1" w:rsidRPr="00D5464D">
        <w:rPr>
          <w:rFonts w:eastAsia="Batang" w:cs="Times"/>
          <w:szCs w:val="24"/>
          <w:lang w:val="pt-BR" w:eastAsia="es-ES"/>
        </w:rPr>
        <w:t>.</w:t>
      </w:r>
      <w:r w:rsidR="009C0555" w:rsidRPr="00D5464D">
        <w:rPr>
          <w:rStyle w:val="Refdenotaalpie"/>
          <w:rFonts w:eastAsia="Batang"/>
          <w:lang w:val="pt-BR" w:eastAsia="es-ES"/>
        </w:rPr>
        <w:footnoteReference w:id="26"/>
      </w:r>
      <w:r w:rsidR="000A52D5" w:rsidRPr="00D5464D">
        <w:rPr>
          <w:rFonts w:eastAsia="Batang" w:cs="Times"/>
          <w:szCs w:val="24"/>
          <w:lang w:val="pt-BR" w:eastAsia="es-ES"/>
        </w:rPr>
        <w:t xml:space="preserve"> </w:t>
      </w:r>
    </w:p>
    <w:p w14:paraId="747D119C" w14:textId="77777777" w:rsidR="0079341A" w:rsidRPr="00D5464D" w:rsidRDefault="0079341A" w:rsidP="00140440">
      <w:pPr>
        <w:tabs>
          <w:tab w:val="clear" w:pos="4419"/>
          <w:tab w:val="clear" w:pos="8838"/>
        </w:tabs>
        <w:jc w:val="both"/>
        <w:rPr>
          <w:rFonts w:eastAsia="Batang" w:cs="Times"/>
          <w:i/>
          <w:szCs w:val="24"/>
          <w:lang w:val="pt-BR" w:eastAsia="es-ES"/>
        </w:rPr>
      </w:pPr>
    </w:p>
    <w:p w14:paraId="7D19942A" w14:textId="6D7A3752" w:rsidR="000A52D5" w:rsidRPr="00D5464D" w:rsidRDefault="000A52D5" w:rsidP="000A20C1">
      <w:pPr>
        <w:pStyle w:val="Ttulo3"/>
        <w:rPr>
          <w:lang w:val="pt-BR" w:eastAsia="es-ES"/>
        </w:rPr>
      </w:pPr>
      <w:bookmarkStart w:id="64" w:name="_Toc460432966"/>
      <w:bookmarkStart w:id="65" w:name="_Toc460441897"/>
      <w:bookmarkStart w:id="66" w:name="_Toc462750717"/>
      <w:bookmarkStart w:id="67" w:name="_Toc462751041"/>
      <w:bookmarkStart w:id="68" w:name="_Toc464813893"/>
      <w:bookmarkStart w:id="69" w:name="_Toc468433854"/>
      <w:r w:rsidRPr="00D5464D">
        <w:rPr>
          <w:lang w:val="pt-BR" w:eastAsia="es-ES"/>
        </w:rPr>
        <w:t>B.2. Observa</w:t>
      </w:r>
      <w:r w:rsidR="00470ADC" w:rsidRPr="00D5464D">
        <w:rPr>
          <w:lang w:val="pt-BR" w:eastAsia="es-ES"/>
        </w:rPr>
        <w:t>ções da Comissão</w:t>
      </w:r>
      <w:bookmarkEnd w:id="64"/>
      <w:bookmarkEnd w:id="65"/>
      <w:bookmarkEnd w:id="66"/>
      <w:bookmarkEnd w:id="67"/>
      <w:bookmarkEnd w:id="68"/>
      <w:bookmarkEnd w:id="69"/>
    </w:p>
    <w:p w14:paraId="214EE853" w14:textId="77777777" w:rsidR="00D65024" w:rsidRPr="00D5464D" w:rsidRDefault="00D65024" w:rsidP="00D65024">
      <w:pPr>
        <w:tabs>
          <w:tab w:val="clear" w:pos="4419"/>
          <w:tab w:val="clear" w:pos="8838"/>
        </w:tabs>
        <w:jc w:val="both"/>
        <w:rPr>
          <w:rFonts w:eastAsia="Batang" w:cs="Times"/>
          <w:szCs w:val="24"/>
          <w:lang w:val="pt-BR" w:eastAsia="es-ES"/>
        </w:rPr>
      </w:pPr>
    </w:p>
    <w:p w14:paraId="55E0F082" w14:textId="7630CA5B" w:rsidR="000A52D5" w:rsidRPr="00D5464D" w:rsidRDefault="00470AD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A Comissão</w:t>
      </w:r>
      <w:r w:rsidR="000A52D5" w:rsidRPr="00D5464D">
        <w:rPr>
          <w:rFonts w:eastAsia="Batang" w:cs="Times"/>
          <w:szCs w:val="24"/>
          <w:lang w:val="pt-BR" w:eastAsia="es-ES"/>
        </w:rPr>
        <w:t xml:space="preserve"> </w:t>
      </w:r>
      <w:r w:rsidR="005F3480" w:rsidRPr="00D5464D">
        <w:rPr>
          <w:rFonts w:eastAsia="Batang" w:cs="Times"/>
          <w:szCs w:val="24"/>
          <w:lang w:val="pt-BR" w:eastAsia="es-ES"/>
        </w:rPr>
        <w:t>afirmou</w:t>
      </w:r>
      <w:r w:rsidR="000A52D5" w:rsidRPr="00D5464D">
        <w:rPr>
          <w:rFonts w:eastAsia="Batang" w:cs="Times"/>
          <w:szCs w:val="24"/>
          <w:lang w:val="pt-BR" w:eastAsia="es-ES"/>
        </w:rPr>
        <w:t xml:space="preserve"> que</w:t>
      </w:r>
      <w:r w:rsidR="002C330E" w:rsidRPr="00D5464D">
        <w:rPr>
          <w:rFonts w:eastAsia="Batang" w:cs="Times"/>
          <w:szCs w:val="24"/>
          <w:lang w:val="pt-BR" w:eastAsia="es-ES"/>
        </w:rPr>
        <w:t xml:space="preserve"> </w:t>
      </w:r>
      <w:r w:rsidR="005F3480" w:rsidRPr="00D5464D">
        <w:rPr>
          <w:rFonts w:eastAsia="Batang" w:cs="Times"/>
          <w:szCs w:val="24"/>
          <w:lang w:val="pt-BR" w:eastAsia="es-ES"/>
        </w:rPr>
        <w:t xml:space="preserve">os argumentos </w:t>
      </w:r>
      <w:r w:rsidRPr="00D5464D">
        <w:rPr>
          <w:rFonts w:eastAsia="Batang" w:cs="Times"/>
          <w:szCs w:val="24"/>
          <w:lang w:val="pt-BR" w:eastAsia="es-ES"/>
        </w:rPr>
        <w:t xml:space="preserve">do </w:t>
      </w:r>
      <w:r w:rsidR="000A52D5" w:rsidRPr="00D5464D">
        <w:rPr>
          <w:rFonts w:eastAsia="Batang" w:cs="Times"/>
          <w:szCs w:val="24"/>
          <w:lang w:val="pt-BR" w:eastAsia="es-ES"/>
        </w:rPr>
        <w:t xml:space="preserve">Estado </w:t>
      </w:r>
      <w:r w:rsidRPr="00D5464D">
        <w:rPr>
          <w:rFonts w:eastAsia="Batang" w:cs="Times"/>
          <w:szCs w:val="24"/>
          <w:lang w:val="pt-BR" w:eastAsia="es-ES"/>
        </w:rPr>
        <w:t>devem</w:t>
      </w:r>
      <w:r w:rsidR="000A52D5" w:rsidRPr="00D5464D">
        <w:rPr>
          <w:rFonts w:eastAsia="Batang" w:cs="Times"/>
          <w:szCs w:val="24"/>
          <w:lang w:val="pt-BR" w:eastAsia="es-ES"/>
        </w:rPr>
        <w:t xml:space="preserve"> </w:t>
      </w:r>
      <w:r w:rsidR="005F3480" w:rsidRPr="00D5464D">
        <w:rPr>
          <w:rFonts w:eastAsia="Batang" w:cs="Times"/>
          <w:szCs w:val="24"/>
          <w:lang w:val="pt-BR" w:eastAsia="es-ES"/>
        </w:rPr>
        <w:t xml:space="preserve">ser </w:t>
      </w:r>
      <w:r w:rsidR="000A52D5" w:rsidRPr="00D5464D">
        <w:rPr>
          <w:rFonts w:eastAsia="Batang" w:cs="Times"/>
          <w:szCs w:val="24"/>
          <w:lang w:val="pt-BR" w:eastAsia="es-ES"/>
        </w:rPr>
        <w:t>conside</w:t>
      </w:r>
      <w:r w:rsidR="00350187" w:rsidRPr="00D5464D">
        <w:rPr>
          <w:rFonts w:eastAsia="Batang" w:cs="Times"/>
          <w:szCs w:val="24"/>
          <w:lang w:val="pt-BR" w:eastAsia="es-ES"/>
        </w:rPr>
        <w:t>ra</w:t>
      </w:r>
      <w:r w:rsidR="005F3480" w:rsidRPr="00D5464D">
        <w:rPr>
          <w:rFonts w:eastAsia="Batang" w:cs="Times"/>
          <w:szCs w:val="24"/>
          <w:lang w:val="pt-BR" w:eastAsia="es-ES"/>
        </w:rPr>
        <w:t>dos</w:t>
      </w:r>
      <w:r w:rsidR="000A52D5" w:rsidRPr="00D5464D">
        <w:rPr>
          <w:rFonts w:eastAsia="Batang" w:cs="Times"/>
          <w:szCs w:val="24"/>
          <w:lang w:val="pt-BR" w:eastAsia="es-ES"/>
        </w:rPr>
        <w:t xml:space="preserve"> improcedentes</w:t>
      </w:r>
      <w:r w:rsidR="00C4706E" w:rsidRPr="00D5464D">
        <w:rPr>
          <w:rFonts w:eastAsia="Batang" w:cs="Times"/>
          <w:szCs w:val="24"/>
          <w:lang w:val="pt-BR" w:eastAsia="es-ES"/>
        </w:rPr>
        <w:t>,</w:t>
      </w:r>
      <w:r w:rsidR="002C330E" w:rsidRPr="00D5464D">
        <w:rPr>
          <w:rFonts w:eastAsia="Batang" w:cs="Times"/>
          <w:szCs w:val="24"/>
          <w:lang w:val="pt-BR" w:eastAsia="es-ES"/>
        </w:rPr>
        <w:t xml:space="preserve"> pois </w:t>
      </w:r>
      <w:r w:rsidRPr="00D5464D">
        <w:rPr>
          <w:rFonts w:eastAsia="Batang" w:cs="Times"/>
          <w:szCs w:val="24"/>
          <w:lang w:val="pt-BR" w:eastAsia="es-ES"/>
        </w:rPr>
        <w:t xml:space="preserve">correspondem </w:t>
      </w:r>
      <w:r w:rsidR="000A52D5" w:rsidRPr="00D5464D">
        <w:rPr>
          <w:rFonts w:eastAsia="Batang" w:cs="Times"/>
          <w:szCs w:val="24"/>
          <w:lang w:val="pt-BR" w:eastAsia="es-ES"/>
        </w:rPr>
        <w:t>a</w:t>
      </w:r>
      <w:r w:rsidR="00E045D9" w:rsidRPr="00D5464D">
        <w:rPr>
          <w:rFonts w:eastAsia="Batang" w:cs="Times"/>
          <w:szCs w:val="24"/>
          <w:lang w:val="pt-BR" w:eastAsia="es-ES"/>
        </w:rPr>
        <w:t xml:space="preserve"> um </w:t>
      </w:r>
      <w:r w:rsidR="000A52D5" w:rsidRPr="00D5464D">
        <w:rPr>
          <w:rFonts w:eastAsia="Batang" w:cs="Times"/>
          <w:szCs w:val="24"/>
          <w:lang w:val="pt-BR" w:eastAsia="es-ES"/>
        </w:rPr>
        <w:t xml:space="preserve">aspecto de </w:t>
      </w:r>
      <w:r w:rsidR="00F00FDF" w:rsidRPr="00D5464D">
        <w:rPr>
          <w:rFonts w:eastAsia="Batang" w:cs="Times"/>
          <w:szCs w:val="24"/>
          <w:lang w:val="pt-BR" w:eastAsia="es-ES"/>
        </w:rPr>
        <w:t>análise</w:t>
      </w:r>
      <w:r w:rsidR="000A52D5" w:rsidRPr="00D5464D">
        <w:rPr>
          <w:rFonts w:eastAsia="Batang" w:cs="Times"/>
          <w:szCs w:val="24"/>
          <w:lang w:val="pt-BR" w:eastAsia="es-ES"/>
        </w:rPr>
        <w:t xml:space="preserve"> </w:t>
      </w:r>
      <w:r w:rsidRPr="00D5464D">
        <w:rPr>
          <w:rFonts w:eastAsia="Batang" w:cs="Times"/>
          <w:szCs w:val="24"/>
          <w:lang w:val="pt-BR" w:eastAsia="es-ES"/>
        </w:rPr>
        <w:t>do mérito</w:t>
      </w:r>
      <w:r w:rsidR="000A52D5" w:rsidRPr="00D5464D">
        <w:rPr>
          <w:rFonts w:eastAsia="Batang" w:cs="Times"/>
          <w:szCs w:val="24"/>
          <w:lang w:val="pt-BR" w:eastAsia="es-ES"/>
        </w:rPr>
        <w:t xml:space="preserve"> </w:t>
      </w:r>
      <w:r w:rsidRPr="00D5464D">
        <w:rPr>
          <w:rFonts w:eastAsia="Batang" w:cs="Times"/>
          <w:szCs w:val="24"/>
          <w:lang w:val="pt-BR" w:eastAsia="es-ES"/>
        </w:rPr>
        <w:t xml:space="preserve">do </w:t>
      </w:r>
      <w:r w:rsidR="000A52D5" w:rsidRPr="00D5464D">
        <w:rPr>
          <w:rFonts w:eastAsia="Batang" w:cs="Times"/>
          <w:szCs w:val="24"/>
          <w:lang w:val="pt-BR" w:eastAsia="es-ES"/>
        </w:rPr>
        <w:t xml:space="preserve">caso. </w:t>
      </w:r>
      <w:r w:rsidRPr="00D5464D">
        <w:rPr>
          <w:rFonts w:eastAsia="Batang" w:cs="Times"/>
          <w:szCs w:val="24"/>
          <w:lang w:val="pt-BR" w:eastAsia="es-ES"/>
        </w:rPr>
        <w:t>Acrescentou</w:t>
      </w:r>
      <w:r w:rsidR="000A52D5" w:rsidRPr="00D5464D">
        <w:rPr>
          <w:rFonts w:eastAsia="Batang" w:cs="Times"/>
          <w:szCs w:val="24"/>
          <w:lang w:val="pt-BR" w:eastAsia="es-ES"/>
        </w:rPr>
        <w:t xml:space="preserve"> que</w:t>
      </w:r>
      <w:r w:rsidR="00E045D9" w:rsidRPr="00D5464D">
        <w:rPr>
          <w:rFonts w:eastAsia="Batang" w:cs="Times"/>
          <w:szCs w:val="24"/>
          <w:lang w:val="pt-BR" w:eastAsia="es-ES"/>
        </w:rPr>
        <w:t xml:space="preserve"> </w:t>
      </w:r>
      <w:r w:rsidR="005F3480" w:rsidRPr="00D5464D">
        <w:rPr>
          <w:rFonts w:eastAsia="Batang" w:cs="Times"/>
          <w:szCs w:val="24"/>
          <w:lang w:val="pt-BR" w:eastAsia="es-ES"/>
        </w:rPr>
        <w:t>o artigo 35.2 do Regulamento da Corte é aplicável a</w:t>
      </w:r>
      <w:r w:rsidR="00E045D9" w:rsidRPr="00D5464D">
        <w:rPr>
          <w:rFonts w:eastAsia="Batang" w:cs="Times"/>
          <w:szCs w:val="24"/>
          <w:lang w:val="pt-BR" w:eastAsia="es-ES"/>
        </w:rPr>
        <w:t xml:space="preserve">o </w:t>
      </w:r>
      <w:r w:rsidR="000A52D5" w:rsidRPr="00D5464D">
        <w:rPr>
          <w:rFonts w:eastAsia="Batang" w:cs="Times"/>
          <w:szCs w:val="24"/>
          <w:lang w:val="pt-BR" w:eastAsia="es-ES"/>
        </w:rPr>
        <w:t xml:space="preserve">presente caso, </w:t>
      </w:r>
      <w:r w:rsidR="005F3480" w:rsidRPr="00D5464D">
        <w:rPr>
          <w:rFonts w:eastAsia="Batang" w:cs="Times"/>
          <w:szCs w:val="24"/>
          <w:lang w:val="pt-BR" w:eastAsia="es-ES"/>
        </w:rPr>
        <w:t xml:space="preserve">pois </w:t>
      </w:r>
      <w:r w:rsidR="002C330E" w:rsidRPr="00D5464D">
        <w:rPr>
          <w:rFonts w:eastAsia="Batang" w:cs="Times"/>
          <w:szCs w:val="24"/>
          <w:lang w:val="pt-BR" w:eastAsia="es-ES"/>
        </w:rPr>
        <w:t>as pessoa</w:t>
      </w:r>
      <w:r w:rsidR="000A52D5" w:rsidRPr="00D5464D">
        <w:rPr>
          <w:rFonts w:eastAsia="Batang" w:cs="Times"/>
          <w:szCs w:val="24"/>
          <w:lang w:val="pt-BR" w:eastAsia="es-ES"/>
        </w:rPr>
        <w:t>s n</w:t>
      </w:r>
      <w:r w:rsidR="005F3480" w:rsidRPr="00D5464D">
        <w:rPr>
          <w:rFonts w:eastAsia="Batang" w:cs="Times"/>
          <w:szCs w:val="24"/>
          <w:lang w:val="pt-BR" w:eastAsia="es-ES"/>
        </w:rPr>
        <w:t>ã</w:t>
      </w:r>
      <w:r w:rsidR="000A52D5" w:rsidRPr="00D5464D">
        <w:rPr>
          <w:rFonts w:eastAsia="Batang" w:cs="Times"/>
          <w:szCs w:val="24"/>
          <w:lang w:val="pt-BR" w:eastAsia="es-ES"/>
        </w:rPr>
        <w:t xml:space="preserve">o </w:t>
      </w:r>
      <w:r w:rsidR="002C330E" w:rsidRPr="00D5464D">
        <w:rPr>
          <w:rFonts w:eastAsia="Batang" w:cs="Times"/>
          <w:szCs w:val="24"/>
          <w:lang w:val="pt-BR" w:eastAsia="es-ES"/>
        </w:rPr>
        <w:t>incluíd</w:t>
      </w:r>
      <w:r w:rsidR="000A52D5" w:rsidRPr="00D5464D">
        <w:rPr>
          <w:rFonts w:eastAsia="Batang" w:cs="Times"/>
          <w:szCs w:val="24"/>
          <w:lang w:val="pt-BR" w:eastAsia="es-ES"/>
        </w:rPr>
        <w:t>as</w:t>
      </w:r>
      <w:r w:rsidR="00E045D9" w:rsidRPr="00D5464D">
        <w:rPr>
          <w:rFonts w:eastAsia="Batang" w:cs="Times"/>
          <w:szCs w:val="24"/>
          <w:lang w:val="pt-BR" w:eastAsia="es-ES"/>
        </w:rPr>
        <w:t xml:space="preserve"> no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de Admissibilidade</w:t>
      </w:r>
      <w:r w:rsidR="00E045D9" w:rsidRPr="00D5464D">
        <w:rPr>
          <w:rFonts w:eastAsia="Batang" w:cs="Times"/>
          <w:szCs w:val="24"/>
          <w:lang w:val="pt-BR" w:eastAsia="es-ES"/>
        </w:rPr>
        <w:t xml:space="preserve"> e </w:t>
      </w:r>
      <w:r w:rsidRPr="00D5464D">
        <w:rPr>
          <w:rFonts w:eastAsia="Batang" w:cs="Times"/>
          <w:szCs w:val="24"/>
          <w:lang w:val="pt-BR" w:eastAsia="es-ES"/>
        </w:rPr>
        <w:t>Mérito</w:t>
      </w:r>
      <w:r w:rsidR="000A52D5" w:rsidRPr="00D5464D">
        <w:rPr>
          <w:rFonts w:eastAsia="Batang" w:cs="Times"/>
          <w:szCs w:val="24"/>
          <w:lang w:val="pt-BR" w:eastAsia="es-ES"/>
        </w:rPr>
        <w:t xml:space="preserve"> </w:t>
      </w:r>
      <w:r w:rsidR="00737270" w:rsidRPr="00D5464D">
        <w:rPr>
          <w:rFonts w:eastAsia="Batang" w:cs="Times"/>
          <w:szCs w:val="24"/>
          <w:lang w:val="pt-BR" w:eastAsia="es-ES"/>
        </w:rPr>
        <w:t xml:space="preserve">não </w:t>
      </w:r>
      <w:r w:rsidR="00230C71" w:rsidRPr="00D5464D">
        <w:rPr>
          <w:rFonts w:eastAsia="Batang" w:cs="Times"/>
          <w:szCs w:val="24"/>
          <w:lang w:val="pt-BR" w:eastAsia="es-ES"/>
        </w:rPr>
        <w:t xml:space="preserve">podem </w:t>
      </w:r>
      <w:r w:rsidR="002C330E" w:rsidRPr="00D5464D">
        <w:rPr>
          <w:rFonts w:eastAsia="Batang" w:cs="Times"/>
          <w:szCs w:val="24"/>
          <w:lang w:val="pt-BR" w:eastAsia="es-ES"/>
        </w:rPr>
        <w:t>ficar</w:t>
      </w:r>
      <w:r w:rsidR="000A52D5" w:rsidRPr="00D5464D">
        <w:rPr>
          <w:rFonts w:eastAsia="Batang" w:cs="Times"/>
          <w:szCs w:val="24"/>
          <w:lang w:val="pt-BR" w:eastAsia="es-ES"/>
        </w:rPr>
        <w:t xml:space="preserve"> </w:t>
      </w:r>
      <w:r w:rsidRPr="00D5464D">
        <w:rPr>
          <w:rFonts w:eastAsia="Batang" w:cs="Times"/>
          <w:szCs w:val="24"/>
          <w:lang w:val="pt-BR" w:eastAsia="es-ES"/>
        </w:rPr>
        <w:t>excluíd</w:t>
      </w:r>
      <w:r w:rsidR="000A52D5" w:rsidRPr="00D5464D">
        <w:rPr>
          <w:rFonts w:eastAsia="Batang" w:cs="Times"/>
          <w:szCs w:val="24"/>
          <w:lang w:val="pt-BR" w:eastAsia="es-ES"/>
        </w:rPr>
        <w:t>as</w:t>
      </w:r>
      <w:r w:rsidRPr="00D5464D">
        <w:rPr>
          <w:rFonts w:eastAsia="Batang" w:cs="Times"/>
          <w:szCs w:val="24"/>
          <w:lang w:val="pt-BR" w:eastAsia="es-ES"/>
        </w:rPr>
        <w:t xml:space="preserve"> da decisão deste </w:t>
      </w:r>
      <w:r w:rsidR="000A52D5" w:rsidRPr="00D5464D">
        <w:rPr>
          <w:rFonts w:eastAsia="Batang" w:cs="Times"/>
          <w:szCs w:val="24"/>
          <w:lang w:val="pt-BR" w:eastAsia="es-ES"/>
        </w:rPr>
        <w:t>Tribunal</w:t>
      </w:r>
      <w:r w:rsidR="00A1358C" w:rsidRPr="00D5464D">
        <w:rPr>
          <w:rFonts w:eastAsia="Batang" w:cs="Times"/>
          <w:szCs w:val="24"/>
          <w:lang w:val="pt-BR" w:eastAsia="es-ES"/>
        </w:rPr>
        <w:t xml:space="preserve">. A </w:t>
      </w:r>
      <w:r w:rsidRPr="00D5464D">
        <w:rPr>
          <w:rFonts w:eastAsia="Batang" w:cs="Times"/>
          <w:szCs w:val="24"/>
          <w:lang w:val="pt-BR" w:eastAsia="es-ES"/>
        </w:rPr>
        <w:t>Comissão</w:t>
      </w:r>
      <w:r w:rsidR="000A52D5" w:rsidRPr="00D5464D">
        <w:rPr>
          <w:rFonts w:eastAsia="Batang" w:cs="Times"/>
          <w:szCs w:val="24"/>
          <w:lang w:val="pt-BR" w:eastAsia="es-ES"/>
        </w:rPr>
        <w:t xml:space="preserve"> </w:t>
      </w:r>
      <w:r w:rsidR="002C330E" w:rsidRPr="00D5464D">
        <w:rPr>
          <w:rFonts w:eastAsia="Batang" w:cs="Times"/>
          <w:szCs w:val="24"/>
          <w:lang w:val="pt-BR" w:eastAsia="es-ES"/>
        </w:rPr>
        <w:t>afirmou</w:t>
      </w:r>
      <w:r w:rsidR="000A52D5" w:rsidRPr="00D5464D">
        <w:rPr>
          <w:rFonts w:eastAsia="Batang" w:cs="Times"/>
          <w:szCs w:val="24"/>
          <w:lang w:val="pt-BR" w:eastAsia="es-ES"/>
        </w:rPr>
        <w:t xml:space="preserve"> que</w:t>
      </w:r>
      <w:r w:rsidR="002C330E" w:rsidRPr="00D5464D">
        <w:rPr>
          <w:rFonts w:eastAsia="Batang" w:cs="Times"/>
          <w:szCs w:val="24"/>
          <w:lang w:val="pt-BR" w:eastAsia="es-ES"/>
        </w:rPr>
        <w:t xml:space="preserve"> a </w:t>
      </w:r>
      <w:r w:rsidR="000A52D5" w:rsidRPr="00D5464D">
        <w:rPr>
          <w:rFonts w:eastAsia="Batang" w:cs="Times"/>
          <w:szCs w:val="24"/>
          <w:lang w:val="pt-BR" w:eastAsia="es-ES"/>
        </w:rPr>
        <w:t>Corte</w:t>
      </w:r>
      <w:r w:rsidRPr="00D5464D">
        <w:rPr>
          <w:rFonts w:eastAsia="Batang" w:cs="Times"/>
          <w:szCs w:val="24"/>
          <w:lang w:val="pt-BR" w:eastAsia="es-ES"/>
        </w:rPr>
        <w:t xml:space="preserve"> deve </w:t>
      </w:r>
      <w:r w:rsidR="002C330E" w:rsidRPr="00D5464D">
        <w:rPr>
          <w:rFonts w:eastAsia="Batang" w:cs="Times"/>
          <w:szCs w:val="24"/>
          <w:lang w:val="pt-BR" w:eastAsia="es-ES"/>
        </w:rPr>
        <w:t>manter</w:t>
      </w:r>
      <w:r w:rsidR="00E045D9" w:rsidRPr="00D5464D">
        <w:rPr>
          <w:rFonts w:eastAsia="Batang" w:cs="Times"/>
          <w:szCs w:val="24"/>
          <w:lang w:val="pt-BR" w:eastAsia="es-ES"/>
        </w:rPr>
        <w:t xml:space="preserve"> um </w:t>
      </w:r>
      <w:r w:rsidR="002C330E" w:rsidRPr="00D5464D">
        <w:rPr>
          <w:rFonts w:eastAsia="Batang" w:cs="Times"/>
          <w:szCs w:val="24"/>
          <w:lang w:val="pt-BR" w:eastAsia="es-ES"/>
        </w:rPr>
        <w:t xml:space="preserve">grau </w:t>
      </w:r>
      <w:r w:rsidR="000A52D5" w:rsidRPr="00D5464D">
        <w:rPr>
          <w:rFonts w:eastAsia="Batang" w:cs="Times"/>
          <w:szCs w:val="24"/>
          <w:lang w:val="pt-BR" w:eastAsia="es-ES"/>
        </w:rPr>
        <w:t>de flexibil</w:t>
      </w:r>
      <w:r w:rsidR="00E765C2" w:rsidRPr="00D5464D">
        <w:rPr>
          <w:rFonts w:eastAsia="Batang" w:cs="Times"/>
          <w:szCs w:val="24"/>
          <w:lang w:val="pt-BR" w:eastAsia="es-ES"/>
        </w:rPr>
        <w:t>idade,</w:t>
      </w:r>
      <w:r w:rsidR="000A52D5" w:rsidRPr="00D5464D">
        <w:rPr>
          <w:rFonts w:eastAsia="Batang" w:cs="Times"/>
          <w:szCs w:val="24"/>
          <w:lang w:val="pt-BR" w:eastAsia="es-ES"/>
        </w:rPr>
        <w:t xml:space="preserve"> o</w:t>
      </w:r>
      <w:r w:rsidR="005F3480" w:rsidRPr="00D5464D">
        <w:rPr>
          <w:rFonts w:eastAsia="Batang" w:cs="Times"/>
          <w:szCs w:val="24"/>
          <w:lang w:val="pt-BR" w:eastAsia="es-ES"/>
        </w:rPr>
        <w:t xml:space="preserve">u então </w:t>
      </w:r>
      <w:r w:rsidR="000A52D5" w:rsidRPr="00D5464D">
        <w:rPr>
          <w:rFonts w:eastAsia="Batang" w:cs="Times"/>
          <w:szCs w:val="24"/>
          <w:lang w:val="pt-BR" w:eastAsia="es-ES"/>
        </w:rPr>
        <w:t>ordenar</w:t>
      </w:r>
      <w:r w:rsidR="002C330E" w:rsidRPr="00D5464D">
        <w:rPr>
          <w:rFonts w:eastAsia="Batang" w:cs="Times"/>
          <w:szCs w:val="24"/>
          <w:lang w:val="pt-BR" w:eastAsia="es-ES"/>
        </w:rPr>
        <w:t xml:space="preserve"> a prática</w:t>
      </w:r>
      <w:r w:rsidR="000A52D5" w:rsidRPr="00D5464D">
        <w:rPr>
          <w:rFonts w:eastAsia="Batang" w:cs="Times"/>
          <w:szCs w:val="24"/>
          <w:lang w:val="pt-BR" w:eastAsia="es-ES"/>
        </w:rPr>
        <w:t xml:space="preserve"> de </w:t>
      </w:r>
      <w:r w:rsidR="00E045D9" w:rsidRPr="00D5464D">
        <w:rPr>
          <w:rFonts w:eastAsia="Batang" w:cs="Times"/>
          <w:szCs w:val="24"/>
          <w:lang w:val="pt-BR" w:eastAsia="es-ES"/>
        </w:rPr>
        <w:t>alguma</w:t>
      </w:r>
      <w:r w:rsidR="000A52D5" w:rsidRPr="00D5464D">
        <w:rPr>
          <w:rFonts w:eastAsia="Batang" w:cs="Times"/>
          <w:szCs w:val="24"/>
          <w:lang w:val="pt-BR" w:eastAsia="es-ES"/>
        </w:rPr>
        <w:t xml:space="preserve"> </w:t>
      </w:r>
      <w:r w:rsidRPr="00D5464D">
        <w:rPr>
          <w:rFonts w:eastAsia="Batang" w:cs="Times"/>
          <w:szCs w:val="24"/>
          <w:lang w:val="pt-BR" w:eastAsia="es-ES"/>
        </w:rPr>
        <w:t>diligência</w:t>
      </w:r>
      <w:r w:rsidR="000A52D5" w:rsidRPr="00D5464D">
        <w:rPr>
          <w:rFonts w:eastAsia="Batang" w:cs="Times"/>
          <w:szCs w:val="24"/>
          <w:lang w:val="pt-BR" w:eastAsia="es-ES"/>
        </w:rPr>
        <w:t xml:space="preserve"> para </w:t>
      </w:r>
      <w:r w:rsidR="005F3480" w:rsidRPr="00D5464D">
        <w:rPr>
          <w:rFonts w:eastAsia="Batang" w:cs="Times"/>
          <w:szCs w:val="24"/>
          <w:lang w:val="pt-BR" w:eastAsia="es-ES"/>
        </w:rPr>
        <w:t xml:space="preserve">coletar a </w:t>
      </w:r>
      <w:r w:rsidR="002C330E" w:rsidRPr="00D5464D">
        <w:rPr>
          <w:rFonts w:eastAsia="Batang" w:cs="Times"/>
          <w:szCs w:val="24"/>
          <w:lang w:val="pt-BR" w:eastAsia="es-ES"/>
        </w:rPr>
        <w:t>prova</w:t>
      </w:r>
      <w:r w:rsidR="000A52D5" w:rsidRPr="00D5464D">
        <w:rPr>
          <w:rFonts w:eastAsia="Batang" w:cs="Times"/>
          <w:szCs w:val="24"/>
          <w:lang w:val="pt-BR" w:eastAsia="es-ES"/>
        </w:rPr>
        <w:t xml:space="preserve"> que consider</w:t>
      </w:r>
      <w:r w:rsidR="005F3480" w:rsidRPr="00D5464D">
        <w:rPr>
          <w:rFonts w:eastAsia="Batang" w:cs="Times"/>
          <w:szCs w:val="24"/>
          <w:lang w:val="pt-BR" w:eastAsia="es-ES"/>
        </w:rPr>
        <w:t>e</w:t>
      </w:r>
      <w:r w:rsidR="000A52D5" w:rsidRPr="00D5464D">
        <w:rPr>
          <w:rFonts w:eastAsia="Batang" w:cs="Times"/>
          <w:szCs w:val="24"/>
          <w:lang w:val="pt-BR" w:eastAsia="es-ES"/>
        </w:rPr>
        <w:t xml:space="preserve"> pertinente para identificar</w:t>
      </w:r>
      <w:r w:rsidRPr="00D5464D">
        <w:rPr>
          <w:rFonts w:eastAsia="Batang" w:cs="Times"/>
          <w:szCs w:val="24"/>
          <w:lang w:val="pt-BR" w:eastAsia="es-ES"/>
        </w:rPr>
        <w:t xml:space="preserve"> o </w:t>
      </w:r>
      <w:r w:rsidR="002C330E" w:rsidRPr="00D5464D">
        <w:rPr>
          <w:rFonts w:eastAsia="Batang" w:cs="Times"/>
          <w:szCs w:val="24"/>
          <w:lang w:val="pt-BR" w:eastAsia="es-ES"/>
        </w:rPr>
        <w:t xml:space="preserve">maior </w:t>
      </w:r>
      <w:r w:rsidR="000A52D5" w:rsidRPr="00D5464D">
        <w:rPr>
          <w:rFonts w:eastAsia="Batang" w:cs="Times"/>
          <w:szCs w:val="24"/>
          <w:lang w:val="pt-BR" w:eastAsia="es-ES"/>
        </w:rPr>
        <w:t xml:space="preserve">número de </w:t>
      </w:r>
      <w:r w:rsidR="00E045D9" w:rsidRPr="00D5464D">
        <w:rPr>
          <w:rFonts w:eastAsia="Batang" w:cs="Times"/>
          <w:szCs w:val="24"/>
          <w:lang w:val="pt-BR" w:eastAsia="es-ES"/>
        </w:rPr>
        <w:t>vítima</w:t>
      </w:r>
      <w:r w:rsidR="000A52D5" w:rsidRPr="00D5464D">
        <w:rPr>
          <w:rFonts w:eastAsia="Batang" w:cs="Times"/>
          <w:szCs w:val="24"/>
          <w:lang w:val="pt-BR" w:eastAsia="es-ES"/>
        </w:rPr>
        <w:t>s, considerando que</w:t>
      </w:r>
      <w:r w:rsidR="002C330E" w:rsidRPr="00D5464D">
        <w:rPr>
          <w:rFonts w:eastAsia="Batang" w:cs="Times"/>
          <w:szCs w:val="24"/>
          <w:lang w:val="pt-BR" w:eastAsia="es-ES"/>
        </w:rPr>
        <w:t xml:space="preserve"> a </w:t>
      </w:r>
      <w:r w:rsidR="000A52D5" w:rsidRPr="00D5464D">
        <w:rPr>
          <w:rFonts w:eastAsia="Batang" w:cs="Times"/>
          <w:szCs w:val="24"/>
          <w:lang w:val="pt-BR" w:eastAsia="es-ES"/>
        </w:rPr>
        <w:t>falta de informa</w:t>
      </w:r>
      <w:r w:rsidRPr="00D5464D">
        <w:rPr>
          <w:rFonts w:eastAsia="Batang" w:cs="Times"/>
          <w:szCs w:val="24"/>
          <w:lang w:val="pt-BR" w:eastAsia="es-ES"/>
        </w:rPr>
        <w:t>ção</w:t>
      </w:r>
      <w:r w:rsidR="000A52D5" w:rsidRPr="00D5464D">
        <w:rPr>
          <w:rFonts w:eastAsia="Batang" w:cs="Times"/>
          <w:szCs w:val="24"/>
          <w:lang w:val="pt-BR" w:eastAsia="es-ES"/>
        </w:rPr>
        <w:t xml:space="preserve"> completa sobre</w:t>
      </w:r>
      <w:r w:rsidRPr="00D5464D">
        <w:rPr>
          <w:rFonts w:eastAsia="Batang" w:cs="Times"/>
          <w:szCs w:val="24"/>
          <w:lang w:val="pt-BR" w:eastAsia="es-ES"/>
        </w:rPr>
        <w:t xml:space="preserve"> </w:t>
      </w:r>
      <w:r w:rsidR="005F3480" w:rsidRPr="00D5464D">
        <w:rPr>
          <w:rFonts w:eastAsia="Batang" w:cs="Times"/>
          <w:szCs w:val="24"/>
          <w:lang w:val="pt-BR" w:eastAsia="es-ES"/>
        </w:rPr>
        <w:t xml:space="preserve">as supostas vítimas </w:t>
      </w:r>
      <w:r w:rsidR="000A52D5" w:rsidRPr="00D5464D">
        <w:rPr>
          <w:rFonts w:eastAsia="Batang" w:cs="Times"/>
          <w:szCs w:val="24"/>
          <w:lang w:val="pt-BR" w:eastAsia="es-ES"/>
        </w:rPr>
        <w:t>obedece</w:t>
      </w:r>
      <w:r w:rsidRPr="00D5464D">
        <w:rPr>
          <w:rFonts w:eastAsia="Batang" w:cs="Times"/>
          <w:szCs w:val="24"/>
          <w:lang w:val="pt-BR" w:eastAsia="es-ES"/>
        </w:rPr>
        <w:t xml:space="preserve"> </w:t>
      </w:r>
      <w:r w:rsidR="00E93CE5" w:rsidRPr="00D5464D">
        <w:rPr>
          <w:rFonts w:eastAsia="Batang" w:cs="Times"/>
          <w:szCs w:val="24"/>
          <w:lang w:val="pt-BR" w:eastAsia="es-ES"/>
        </w:rPr>
        <w:t>à</w:t>
      </w:r>
      <w:r w:rsidRPr="00D5464D">
        <w:rPr>
          <w:rFonts w:eastAsia="Batang" w:cs="Times"/>
          <w:szCs w:val="24"/>
          <w:lang w:val="pt-BR" w:eastAsia="es-ES"/>
        </w:rPr>
        <w:t xml:space="preserve"> </w:t>
      </w:r>
      <w:r w:rsidR="002C330E" w:rsidRPr="00D5464D">
        <w:rPr>
          <w:rFonts w:eastAsia="Batang" w:cs="Times"/>
          <w:szCs w:val="24"/>
          <w:lang w:val="pt-BR" w:eastAsia="es-ES"/>
        </w:rPr>
        <w:t>natureza</w:t>
      </w:r>
      <w:r w:rsidR="000A52D5" w:rsidRPr="00D5464D">
        <w:rPr>
          <w:rFonts w:eastAsia="Batang" w:cs="Times"/>
          <w:szCs w:val="24"/>
          <w:lang w:val="pt-BR" w:eastAsia="es-ES"/>
        </w:rPr>
        <w:t xml:space="preserve"> </w:t>
      </w:r>
      <w:r w:rsidRPr="00D5464D">
        <w:rPr>
          <w:rFonts w:eastAsia="Batang" w:cs="Times"/>
          <w:szCs w:val="24"/>
          <w:lang w:val="pt-BR" w:eastAsia="es-ES"/>
        </w:rPr>
        <w:t xml:space="preserve">do </w:t>
      </w:r>
      <w:r w:rsidR="000A52D5" w:rsidRPr="00D5464D">
        <w:rPr>
          <w:rFonts w:eastAsia="Batang" w:cs="Times"/>
          <w:szCs w:val="24"/>
          <w:lang w:val="pt-BR" w:eastAsia="es-ES"/>
        </w:rPr>
        <w:t>caso</w:t>
      </w:r>
      <w:r w:rsidR="00E045D9" w:rsidRPr="00D5464D">
        <w:rPr>
          <w:rFonts w:eastAsia="Batang" w:cs="Times"/>
          <w:szCs w:val="24"/>
          <w:lang w:val="pt-BR" w:eastAsia="es-ES"/>
        </w:rPr>
        <w:t xml:space="preserve"> e </w:t>
      </w:r>
      <w:r w:rsidR="00E93CE5" w:rsidRPr="00D5464D">
        <w:rPr>
          <w:rFonts w:eastAsia="Batang" w:cs="Times"/>
          <w:szCs w:val="24"/>
          <w:lang w:val="pt-BR" w:eastAsia="es-ES"/>
        </w:rPr>
        <w:t>às</w:t>
      </w:r>
      <w:r w:rsidR="00E045D9" w:rsidRPr="00D5464D">
        <w:rPr>
          <w:rFonts w:eastAsia="Batang" w:cs="Times"/>
          <w:szCs w:val="24"/>
          <w:lang w:val="pt-BR" w:eastAsia="es-ES"/>
        </w:rPr>
        <w:t xml:space="preserve"> </w:t>
      </w:r>
      <w:r w:rsidR="000A52D5" w:rsidRPr="00D5464D">
        <w:rPr>
          <w:rFonts w:eastAsia="Batang" w:cs="Times"/>
          <w:szCs w:val="24"/>
          <w:lang w:val="pt-BR" w:eastAsia="es-ES"/>
        </w:rPr>
        <w:t>o</w:t>
      </w:r>
      <w:r w:rsidR="002C330E" w:rsidRPr="00D5464D">
        <w:rPr>
          <w:rFonts w:eastAsia="Batang" w:cs="Times"/>
          <w:szCs w:val="24"/>
          <w:lang w:val="pt-BR" w:eastAsia="es-ES"/>
        </w:rPr>
        <w:t>missões</w:t>
      </w:r>
      <w:r w:rsidR="000A52D5" w:rsidRPr="00D5464D">
        <w:rPr>
          <w:rFonts w:eastAsia="Batang" w:cs="Times"/>
          <w:szCs w:val="24"/>
          <w:lang w:val="pt-BR" w:eastAsia="es-ES"/>
        </w:rPr>
        <w:t xml:space="preserve"> </w:t>
      </w:r>
      <w:r w:rsidRPr="00D5464D">
        <w:rPr>
          <w:rFonts w:eastAsia="Batang" w:cs="Times"/>
          <w:szCs w:val="24"/>
          <w:lang w:val="pt-BR" w:eastAsia="es-ES"/>
        </w:rPr>
        <w:t xml:space="preserve">do </w:t>
      </w:r>
      <w:r w:rsidR="000A52D5" w:rsidRPr="00D5464D">
        <w:rPr>
          <w:rFonts w:eastAsia="Batang" w:cs="Times"/>
          <w:szCs w:val="24"/>
          <w:lang w:val="pt-BR" w:eastAsia="es-ES"/>
        </w:rPr>
        <w:t xml:space="preserve">Estado </w:t>
      </w:r>
      <w:r w:rsidR="005F3480" w:rsidRPr="00D5464D">
        <w:rPr>
          <w:rFonts w:eastAsia="Batang" w:cs="Times"/>
          <w:szCs w:val="24"/>
          <w:lang w:val="pt-BR" w:eastAsia="es-ES"/>
        </w:rPr>
        <w:t xml:space="preserve">em proporcionar documentação e informação </w:t>
      </w:r>
      <w:r w:rsidR="000A52D5" w:rsidRPr="00D5464D">
        <w:rPr>
          <w:rFonts w:eastAsia="Batang" w:cs="Times"/>
          <w:szCs w:val="24"/>
          <w:lang w:val="pt-BR" w:eastAsia="es-ES"/>
        </w:rPr>
        <w:t>durante</w:t>
      </w:r>
      <w:r w:rsidR="002C330E" w:rsidRPr="00D5464D">
        <w:rPr>
          <w:rFonts w:eastAsia="Batang" w:cs="Times"/>
          <w:szCs w:val="24"/>
          <w:lang w:val="pt-BR" w:eastAsia="es-ES"/>
        </w:rPr>
        <w:t xml:space="preserve"> as </w:t>
      </w:r>
      <w:r w:rsidR="000A52D5" w:rsidRPr="00D5464D">
        <w:rPr>
          <w:rFonts w:eastAsia="Batang" w:cs="Times"/>
          <w:szCs w:val="24"/>
          <w:lang w:val="pt-BR" w:eastAsia="es-ES"/>
        </w:rPr>
        <w:t xml:space="preserve">respectivas </w:t>
      </w:r>
      <w:r w:rsidR="005F3480" w:rsidRPr="00D5464D">
        <w:rPr>
          <w:rFonts w:eastAsia="Batang" w:cs="Times"/>
          <w:szCs w:val="24"/>
          <w:lang w:val="pt-BR" w:eastAsia="es-ES"/>
        </w:rPr>
        <w:t>fiscalizações.</w:t>
      </w:r>
      <w:r w:rsidR="00FF1290" w:rsidRPr="00D5464D">
        <w:rPr>
          <w:rFonts w:eastAsia="Batang" w:cs="Times"/>
          <w:szCs w:val="24"/>
          <w:lang w:val="pt-BR" w:eastAsia="es-ES"/>
        </w:rPr>
        <w:t xml:space="preserve"> </w:t>
      </w:r>
    </w:p>
    <w:p w14:paraId="31779BC5" w14:textId="77777777" w:rsidR="000A52D5" w:rsidRPr="00D5464D" w:rsidRDefault="000A52D5" w:rsidP="00140440">
      <w:pPr>
        <w:tabs>
          <w:tab w:val="clear" w:pos="4419"/>
          <w:tab w:val="clear" w:pos="8838"/>
        </w:tabs>
        <w:jc w:val="both"/>
        <w:rPr>
          <w:rFonts w:eastAsia="Batang" w:cs="Times"/>
          <w:szCs w:val="24"/>
          <w:lang w:val="pt-BR" w:eastAsia="es-ES"/>
        </w:rPr>
      </w:pPr>
    </w:p>
    <w:p w14:paraId="549FA7A9" w14:textId="657D5676" w:rsidR="000A52D5" w:rsidRPr="00D5464D" w:rsidRDefault="005F3480"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Além disso</w:t>
      </w:r>
      <w:r w:rsidR="000A52D5" w:rsidRPr="00D5464D">
        <w:rPr>
          <w:rFonts w:eastAsia="Batang" w:cs="Times"/>
          <w:szCs w:val="24"/>
          <w:lang w:val="pt-BR" w:eastAsia="es-ES"/>
        </w:rPr>
        <w:t>,</w:t>
      </w:r>
      <w:r w:rsidR="002C330E" w:rsidRPr="00D5464D">
        <w:rPr>
          <w:rFonts w:eastAsia="Batang" w:cs="Times"/>
          <w:szCs w:val="24"/>
          <w:lang w:val="pt-BR" w:eastAsia="es-ES"/>
        </w:rPr>
        <w:t xml:space="preserve"> a </w:t>
      </w:r>
      <w:r w:rsidR="00470ADC" w:rsidRPr="00D5464D">
        <w:rPr>
          <w:rFonts w:eastAsia="Batang" w:cs="Times"/>
          <w:szCs w:val="24"/>
          <w:lang w:val="pt-BR" w:eastAsia="es-ES"/>
        </w:rPr>
        <w:t>Comissão</w:t>
      </w:r>
      <w:r w:rsidR="000A52D5" w:rsidRPr="00D5464D">
        <w:rPr>
          <w:rFonts w:eastAsia="Batang" w:cs="Times"/>
          <w:szCs w:val="24"/>
          <w:lang w:val="pt-BR" w:eastAsia="es-ES"/>
        </w:rPr>
        <w:t xml:space="preserve"> </w:t>
      </w:r>
      <w:r w:rsidR="00470ADC" w:rsidRPr="00D5464D">
        <w:rPr>
          <w:rFonts w:eastAsia="Batang" w:cs="Times"/>
          <w:szCs w:val="24"/>
          <w:lang w:val="pt-BR" w:eastAsia="es-ES"/>
        </w:rPr>
        <w:t>afirmou</w:t>
      </w:r>
      <w:r w:rsidR="000A52D5" w:rsidRPr="00D5464D">
        <w:rPr>
          <w:rFonts w:eastAsia="Batang" w:cs="Times"/>
          <w:szCs w:val="24"/>
          <w:lang w:val="pt-BR" w:eastAsia="es-ES"/>
        </w:rPr>
        <w:t xml:space="preserve"> que</w:t>
      </w:r>
      <w:r w:rsidR="00470ADC" w:rsidRPr="00D5464D">
        <w:rPr>
          <w:rFonts w:eastAsia="Batang" w:cs="Times"/>
          <w:szCs w:val="24"/>
          <w:lang w:val="pt-BR" w:eastAsia="es-ES"/>
        </w:rPr>
        <w:t xml:space="preserve"> o</w:t>
      </w:r>
      <w:r w:rsidR="002C330E" w:rsidRPr="00D5464D">
        <w:rPr>
          <w:rFonts w:eastAsia="Batang" w:cs="Times"/>
          <w:szCs w:val="24"/>
          <w:lang w:val="pt-BR" w:eastAsia="es-ES"/>
        </w:rPr>
        <w:t xml:space="preserve"> fato </w:t>
      </w:r>
      <w:r w:rsidR="000A52D5" w:rsidRPr="00D5464D">
        <w:rPr>
          <w:rFonts w:eastAsia="Batang" w:cs="Times"/>
          <w:szCs w:val="24"/>
          <w:lang w:val="pt-BR" w:eastAsia="es-ES"/>
        </w:rPr>
        <w:t>de</w:t>
      </w:r>
      <w:r w:rsidR="00350187" w:rsidRPr="00D5464D">
        <w:rPr>
          <w:rFonts w:eastAsia="Batang" w:cs="Times"/>
          <w:szCs w:val="24"/>
          <w:lang w:val="pt-BR" w:eastAsia="es-ES"/>
        </w:rPr>
        <w:t xml:space="preserve"> não conta</w:t>
      </w:r>
      <w:r w:rsidR="000A52D5" w:rsidRPr="00D5464D">
        <w:rPr>
          <w:rFonts w:eastAsia="Batang" w:cs="Times"/>
          <w:szCs w:val="24"/>
          <w:lang w:val="pt-BR" w:eastAsia="es-ES"/>
        </w:rPr>
        <w:t>r</w:t>
      </w:r>
      <w:r w:rsidR="00470ADC" w:rsidRPr="00D5464D">
        <w:rPr>
          <w:rFonts w:eastAsia="Batang" w:cs="Times"/>
          <w:szCs w:val="24"/>
          <w:lang w:val="pt-BR" w:eastAsia="es-ES"/>
        </w:rPr>
        <w:t xml:space="preserve"> com</w:t>
      </w:r>
      <w:r w:rsidR="00E045D9" w:rsidRPr="00D5464D">
        <w:rPr>
          <w:rFonts w:eastAsia="Batang" w:cs="Times"/>
          <w:szCs w:val="24"/>
          <w:lang w:val="pt-BR" w:eastAsia="es-ES"/>
        </w:rPr>
        <w:t xml:space="preserve"> um</w:t>
      </w:r>
      <w:r w:rsidRPr="00D5464D">
        <w:rPr>
          <w:rFonts w:eastAsia="Batang" w:cs="Times"/>
          <w:szCs w:val="24"/>
          <w:lang w:val="pt-BR" w:eastAsia="es-ES"/>
        </w:rPr>
        <w:t>a</w:t>
      </w:r>
      <w:r w:rsidR="00E045D9" w:rsidRPr="00D5464D">
        <w:rPr>
          <w:rFonts w:eastAsia="Batang" w:cs="Times"/>
          <w:szCs w:val="24"/>
          <w:lang w:val="pt-BR" w:eastAsia="es-ES"/>
        </w:rPr>
        <w:t xml:space="preserve"> </w:t>
      </w:r>
      <w:r w:rsidR="00933DE1" w:rsidRPr="00D5464D">
        <w:rPr>
          <w:rFonts w:eastAsia="Batang" w:cs="Times"/>
          <w:szCs w:val="24"/>
          <w:lang w:val="pt-BR" w:eastAsia="es-ES"/>
        </w:rPr>
        <w:t>procuração</w:t>
      </w:r>
      <w:r w:rsidR="000A52D5" w:rsidRPr="00D5464D">
        <w:rPr>
          <w:rFonts w:eastAsia="Batang" w:cs="Times"/>
          <w:szCs w:val="24"/>
          <w:lang w:val="pt-BR" w:eastAsia="es-ES"/>
        </w:rPr>
        <w:t xml:space="preserve"> </w:t>
      </w:r>
      <w:r w:rsidR="00737270" w:rsidRPr="00D5464D">
        <w:rPr>
          <w:rFonts w:eastAsia="Batang" w:cs="Times"/>
          <w:szCs w:val="24"/>
          <w:lang w:val="pt-BR" w:eastAsia="es-ES"/>
        </w:rPr>
        <w:t>não pode</w:t>
      </w:r>
      <w:r w:rsidR="000A52D5" w:rsidRPr="00D5464D">
        <w:rPr>
          <w:rFonts w:eastAsia="Batang" w:cs="Times"/>
          <w:szCs w:val="24"/>
          <w:lang w:val="pt-BR" w:eastAsia="es-ES"/>
        </w:rPr>
        <w:t xml:space="preserve"> constituir</w:t>
      </w:r>
      <w:r w:rsidR="00E045D9" w:rsidRPr="00D5464D">
        <w:rPr>
          <w:rFonts w:eastAsia="Batang" w:cs="Times"/>
          <w:szCs w:val="24"/>
          <w:lang w:val="pt-BR" w:eastAsia="es-ES"/>
        </w:rPr>
        <w:t xml:space="preserve"> uma </w:t>
      </w:r>
      <w:r w:rsidR="002C330E" w:rsidRPr="00D5464D">
        <w:rPr>
          <w:rFonts w:eastAsia="Batang" w:cs="Times"/>
          <w:szCs w:val="24"/>
          <w:lang w:val="pt-BR" w:eastAsia="es-ES"/>
        </w:rPr>
        <w:t>razão</w:t>
      </w:r>
      <w:r w:rsidR="000A52D5" w:rsidRPr="00D5464D">
        <w:rPr>
          <w:rFonts w:eastAsia="Batang" w:cs="Times"/>
          <w:szCs w:val="24"/>
          <w:lang w:val="pt-BR" w:eastAsia="es-ES"/>
        </w:rPr>
        <w:t xml:space="preserve"> suficiente para que</w:t>
      </w:r>
      <w:r w:rsidR="00E045D9" w:rsidRPr="00D5464D">
        <w:rPr>
          <w:rFonts w:eastAsia="Batang" w:cs="Times"/>
          <w:szCs w:val="24"/>
          <w:lang w:val="pt-BR" w:eastAsia="es-ES"/>
        </w:rPr>
        <w:t xml:space="preserve"> uma </w:t>
      </w:r>
      <w:r w:rsidR="002C330E" w:rsidRPr="00D5464D">
        <w:rPr>
          <w:rFonts w:eastAsia="Batang" w:cs="Times"/>
          <w:szCs w:val="24"/>
          <w:lang w:val="pt-BR" w:eastAsia="es-ES"/>
        </w:rPr>
        <w:t>pessoa</w:t>
      </w:r>
      <w:r w:rsidR="000A52D5" w:rsidRPr="00D5464D">
        <w:rPr>
          <w:rFonts w:eastAsia="Batang" w:cs="Times"/>
          <w:szCs w:val="24"/>
          <w:lang w:val="pt-BR" w:eastAsia="es-ES"/>
        </w:rPr>
        <w:t xml:space="preserve"> n</w:t>
      </w:r>
      <w:r w:rsidRPr="00D5464D">
        <w:rPr>
          <w:rFonts w:eastAsia="Batang" w:cs="Times"/>
          <w:szCs w:val="24"/>
          <w:lang w:val="pt-BR" w:eastAsia="es-ES"/>
        </w:rPr>
        <w:t>ã</w:t>
      </w:r>
      <w:r w:rsidR="000A52D5" w:rsidRPr="00D5464D">
        <w:rPr>
          <w:rFonts w:eastAsia="Batang" w:cs="Times"/>
          <w:szCs w:val="24"/>
          <w:lang w:val="pt-BR" w:eastAsia="es-ES"/>
        </w:rPr>
        <w:t>o</w:t>
      </w:r>
      <w:r w:rsidR="002C330E" w:rsidRPr="00D5464D">
        <w:rPr>
          <w:rFonts w:eastAsia="Batang" w:cs="Times"/>
          <w:szCs w:val="24"/>
          <w:lang w:val="pt-BR" w:eastAsia="es-ES"/>
        </w:rPr>
        <w:t xml:space="preserve"> seja </w:t>
      </w:r>
      <w:r w:rsidR="000A52D5" w:rsidRPr="00D5464D">
        <w:rPr>
          <w:rFonts w:eastAsia="Batang" w:cs="Times"/>
          <w:szCs w:val="24"/>
          <w:lang w:val="pt-BR" w:eastAsia="es-ES"/>
        </w:rPr>
        <w:t>identificada</w:t>
      </w:r>
      <w:r w:rsidR="00E045D9" w:rsidRPr="00D5464D">
        <w:rPr>
          <w:rFonts w:eastAsia="Batang" w:cs="Times"/>
          <w:szCs w:val="24"/>
          <w:lang w:val="pt-BR" w:eastAsia="es-ES"/>
        </w:rPr>
        <w:t xml:space="preserve"> e </w:t>
      </w:r>
      <w:r w:rsidR="000A52D5" w:rsidRPr="00D5464D">
        <w:rPr>
          <w:rFonts w:eastAsia="Batang" w:cs="Times"/>
          <w:szCs w:val="24"/>
          <w:lang w:val="pt-BR" w:eastAsia="es-ES"/>
        </w:rPr>
        <w:t xml:space="preserve">declarada </w:t>
      </w:r>
      <w:r w:rsidR="00E045D9" w:rsidRPr="00D5464D">
        <w:rPr>
          <w:rFonts w:eastAsia="Batang" w:cs="Times"/>
          <w:szCs w:val="24"/>
          <w:lang w:val="pt-BR" w:eastAsia="es-ES"/>
        </w:rPr>
        <w:t>vítima</w:t>
      </w:r>
      <w:r w:rsidR="00470ADC" w:rsidRPr="00D5464D">
        <w:rPr>
          <w:rFonts w:eastAsia="Batang" w:cs="Times"/>
          <w:szCs w:val="24"/>
          <w:lang w:val="pt-BR" w:eastAsia="es-ES"/>
        </w:rPr>
        <w:t xml:space="preserve"> em</w:t>
      </w:r>
      <w:r w:rsidR="00E045D9" w:rsidRPr="00D5464D">
        <w:rPr>
          <w:rFonts w:eastAsia="Batang" w:cs="Times"/>
          <w:szCs w:val="24"/>
          <w:lang w:val="pt-BR" w:eastAsia="es-ES"/>
        </w:rPr>
        <w:t xml:space="preserve"> um </w:t>
      </w:r>
      <w:r w:rsidR="000A52D5" w:rsidRPr="00D5464D">
        <w:rPr>
          <w:rFonts w:eastAsia="Batang" w:cs="Times"/>
          <w:szCs w:val="24"/>
          <w:lang w:val="pt-BR" w:eastAsia="es-ES"/>
        </w:rPr>
        <w:t>caso individual,</w:t>
      </w:r>
      <w:r w:rsidR="002C330E" w:rsidRPr="00D5464D">
        <w:rPr>
          <w:rFonts w:eastAsia="Batang" w:cs="Times"/>
          <w:szCs w:val="24"/>
          <w:lang w:val="pt-BR" w:eastAsia="es-ES"/>
        </w:rPr>
        <w:t xml:space="preserve"> </w:t>
      </w:r>
      <w:r w:rsidRPr="00D5464D">
        <w:rPr>
          <w:rFonts w:eastAsia="Batang" w:cs="Times"/>
          <w:szCs w:val="24"/>
          <w:lang w:val="pt-BR" w:eastAsia="es-ES"/>
        </w:rPr>
        <w:t xml:space="preserve">de modo </w:t>
      </w:r>
      <w:r w:rsidR="002C330E" w:rsidRPr="00D5464D">
        <w:rPr>
          <w:rFonts w:eastAsia="Batang" w:cs="Times"/>
          <w:szCs w:val="24"/>
          <w:lang w:val="pt-BR" w:eastAsia="es-ES"/>
        </w:rPr>
        <w:t xml:space="preserve">que a </w:t>
      </w:r>
      <w:r w:rsidR="000A52D5" w:rsidRPr="00D5464D">
        <w:rPr>
          <w:rFonts w:eastAsia="Batang" w:cs="Times"/>
          <w:szCs w:val="24"/>
          <w:lang w:val="pt-BR" w:eastAsia="es-ES"/>
        </w:rPr>
        <w:t xml:space="preserve">Corte </w:t>
      </w:r>
      <w:r w:rsidR="00737270" w:rsidRPr="00D5464D">
        <w:rPr>
          <w:rFonts w:eastAsia="Batang" w:cs="Times"/>
          <w:szCs w:val="24"/>
          <w:lang w:val="pt-BR" w:eastAsia="es-ES"/>
        </w:rPr>
        <w:t>deveria</w:t>
      </w:r>
      <w:r w:rsidR="000A52D5" w:rsidRPr="00D5464D">
        <w:rPr>
          <w:rFonts w:eastAsia="Batang" w:cs="Times"/>
          <w:szCs w:val="24"/>
          <w:lang w:val="pt-BR" w:eastAsia="es-ES"/>
        </w:rPr>
        <w:t xml:space="preserve"> determinar</w:t>
      </w:r>
      <w:r w:rsidR="002C330E" w:rsidRPr="00D5464D">
        <w:rPr>
          <w:rFonts w:eastAsia="Batang" w:cs="Times"/>
          <w:szCs w:val="24"/>
          <w:lang w:val="pt-BR" w:eastAsia="es-ES"/>
        </w:rPr>
        <w:t xml:space="preserve"> se as suposta</w:t>
      </w:r>
      <w:r w:rsidR="000A52D5" w:rsidRPr="00D5464D">
        <w:rPr>
          <w:rFonts w:eastAsia="Batang" w:cs="Times"/>
          <w:szCs w:val="24"/>
          <w:lang w:val="pt-BR" w:eastAsia="es-ES"/>
        </w:rPr>
        <w:t xml:space="preserve">s </w:t>
      </w:r>
      <w:r w:rsidR="00E045D9" w:rsidRPr="00D5464D">
        <w:rPr>
          <w:rFonts w:eastAsia="Batang" w:cs="Times"/>
          <w:szCs w:val="24"/>
          <w:lang w:val="pt-BR" w:eastAsia="es-ES"/>
        </w:rPr>
        <w:t>vítima</w:t>
      </w:r>
      <w:r w:rsidR="000A52D5" w:rsidRPr="00D5464D">
        <w:rPr>
          <w:rFonts w:eastAsia="Batang" w:cs="Times"/>
          <w:szCs w:val="24"/>
          <w:lang w:val="pt-BR" w:eastAsia="es-ES"/>
        </w:rPr>
        <w:t>s que n</w:t>
      </w:r>
      <w:r w:rsidRPr="00D5464D">
        <w:rPr>
          <w:rFonts w:eastAsia="Batang" w:cs="Times"/>
          <w:szCs w:val="24"/>
          <w:lang w:val="pt-BR" w:eastAsia="es-ES"/>
        </w:rPr>
        <w:t>ã</w:t>
      </w:r>
      <w:r w:rsidR="000A52D5" w:rsidRPr="00D5464D">
        <w:rPr>
          <w:rFonts w:eastAsia="Batang" w:cs="Times"/>
          <w:szCs w:val="24"/>
          <w:lang w:val="pt-BR" w:eastAsia="es-ES"/>
        </w:rPr>
        <w:t xml:space="preserve">o </w:t>
      </w:r>
      <w:r w:rsidR="002C330E" w:rsidRPr="00D5464D">
        <w:rPr>
          <w:rFonts w:eastAsia="Batang" w:cs="Times"/>
          <w:szCs w:val="24"/>
          <w:lang w:val="pt-BR" w:eastAsia="es-ES"/>
        </w:rPr>
        <w:t>outorg</w:t>
      </w:r>
      <w:r w:rsidR="00350187" w:rsidRPr="00D5464D">
        <w:rPr>
          <w:rFonts w:eastAsia="Batang" w:cs="Times"/>
          <w:szCs w:val="24"/>
          <w:lang w:val="pt-BR" w:eastAsia="es-ES"/>
        </w:rPr>
        <w:t xml:space="preserve">aram </w:t>
      </w:r>
      <w:r w:rsidRPr="00D5464D">
        <w:rPr>
          <w:rFonts w:eastAsia="Batang" w:cs="Times"/>
          <w:szCs w:val="24"/>
          <w:lang w:val="pt-BR" w:eastAsia="es-ES"/>
        </w:rPr>
        <w:t xml:space="preserve">procuração </w:t>
      </w:r>
      <w:r w:rsidR="00470ADC" w:rsidRPr="00D5464D">
        <w:rPr>
          <w:rFonts w:eastAsia="Batang" w:cs="Times"/>
          <w:szCs w:val="24"/>
          <w:lang w:val="pt-BR" w:eastAsia="es-ES"/>
        </w:rPr>
        <w:t xml:space="preserve">estão </w:t>
      </w:r>
      <w:r w:rsidR="00A1358C" w:rsidRPr="00D5464D">
        <w:rPr>
          <w:rFonts w:eastAsia="Batang" w:cs="Times"/>
          <w:szCs w:val="24"/>
          <w:lang w:val="pt-BR" w:eastAsia="es-ES"/>
        </w:rPr>
        <w:t>razoavelmente</w:t>
      </w:r>
      <w:r w:rsidR="00E045D9" w:rsidRPr="00D5464D">
        <w:rPr>
          <w:rFonts w:eastAsia="Batang" w:cs="Times"/>
          <w:szCs w:val="24"/>
          <w:lang w:val="pt-BR" w:eastAsia="es-ES"/>
        </w:rPr>
        <w:t xml:space="preserve"> </w:t>
      </w:r>
      <w:r w:rsidR="000A52D5" w:rsidRPr="00D5464D">
        <w:rPr>
          <w:rFonts w:eastAsia="Batang" w:cs="Times"/>
          <w:szCs w:val="24"/>
          <w:lang w:val="pt-BR" w:eastAsia="es-ES"/>
        </w:rPr>
        <w:t>representadas</w:t>
      </w:r>
      <w:r w:rsidR="002C330E" w:rsidRPr="00D5464D">
        <w:rPr>
          <w:rFonts w:eastAsia="Batang" w:cs="Times"/>
          <w:szCs w:val="24"/>
          <w:lang w:val="pt-BR" w:eastAsia="es-ES"/>
        </w:rPr>
        <w:t xml:space="preserve"> </w:t>
      </w:r>
      <w:r w:rsidR="00737270" w:rsidRPr="00D5464D">
        <w:rPr>
          <w:rFonts w:eastAsia="Batang" w:cs="Times"/>
          <w:szCs w:val="24"/>
          <w:lang w:val="pt-BR" w:eastAsia="es-ES"/>
        </w:rPr>
        <w:t xml:space="preserve">pelos </w:t>
      </w:r>
      <w:r w:rsidRPr="00D5464D">
        <w:rPr>
          <w:rFonts w:eastAsia="Batang" w:cs="Times"/>
          <w:szCs w:val="24"/>
          <w:lang w:val="pt-BR" w:eastAsia="es-ES"/>
        </w:rPr>
        <w:t xml:space="preserve">atuais </w:t>
      </w:r>
      <w:r w:rsidR="00EB1CE9" w:rsidRPr="00D5464D">
        <w:rPr>
          <w:rFonts w:eastAsia="Batang" w:cs="Times"/>
          <w:szCs w:val="24"/>
          <w:lang w:val="pt-BR" w:eastAsia="es-ES"/>
        </w:rPr>
        <w:t>representante</w:t>
      </w:r>
      <w:r w:rsidR="00737270" w:rsidRPr="00D5464D">
        <w:rPr>
          <w:rFonts w:eastAsia="Batang" w:cs="Times"/>
          <w:szCs w:val="24"/>
          <w:lang w:val="pt-BR" w:eastAsia="es-ES"/>
        </w:rPr>
        <w:t>s</w:t>
      </w:r>
      <w:r w:rsidR="000A52D5" w:rsidRPr="00D5464D">
        <w:rPr>
          <w:rFonts w:eastAsia="Batang" w:cs="Times"/>
          <w:szCs w:val="24"/>
          <w:lang w:val="pt-BR" w:eastAsia="es-ES"/>
        </w:rPr>
        <w:t xml:space="preserve">, </w:t>
      </w:r>
      <w:r w:rsidR="00350187" w:rsidRPr="00D5464D">
        <w:rPr>
          <w:rFonts w:eastAsia="Batang" w:cs="Times"/>
          <w:szCs w:val="24"/>
          <w:lang w:val="pt-BR" w:eastAsia="es-ES"/>
        </w:rPr>
        <w:t>inclusive</w:t>
      </w:r>
      <w:r w:rsidR="000A52D5" w:rsidRPr="00D5464D">
        <w:rPr>
          <w:rFonts w:eastAsia="Batang" w:cs="Times"/>
          <w:szCs w:val="24"/>
          <w:lang w:val="pt-BR" w:eastAsia="es-ES"/>
        </w:rPr>
        <w:t xml:space="preserve"> para</w:t>
      </w:r>
      <w:r w:rsidR="002C330E" w:rsidRPr="00D5464D">
        <w:rPr>
          <w:rFonts w:eastAsia="Batang" w:cs="Times"/>
          <w:szCs w:val="24"/>
          <w:lang w:val="pt-BR" w:eastAsia="es-ES"/>
        </w:rPr>
        <w:t xml:space="preserve"> as </w:t>
      </w:r>
      <w:r w:rsidR="000A52D5" w:rsidRPr="00D5464D">
        <w:rPr>
          <w:rFonts w:eastAsia="Batang" w:cs="Times"/>
          <w:szCs w:val="24"/>
          <w:lang w:val="pt-BR" w:eastAsia="es-ES"/>
        </w:rPr>
        <w:t xml:space="preserve">etapas posteriores </w:t>
      </w:r>
      <w:r w:rsidRPr="00D5464D">
        <w:rPr>
          <w:rFonts w:eastAsia="Batang" w:cs="Times"/>
          <w:szCs w:val="24"/>
          <w:lang w:val="pt-BR" w:eastAsia="es-ES"/>
        </w:rPr>
        <w:t>d</w:t>
      </w:r>
      <w:r w:rsidR="00470ADC" w:rsidRPr="00D5464D">
        <w:rPr>
          <w:rFonts w:eastAsia="Batang" w:cs="Times"/>
          <w:szCs w:val="24"/>
          <w:lang w:val="pt-BR" w:eastAsia="es-ES"/>
        </w:rPr>
        <w:t xml:space="preserve">o </w:t>
      </w:r>
      <w:r w:rsidR="002C330E" w:rsidRPr="00D5464D">
        <w:rPr>
          <w:rFonts w:eastAsia="Batang" w:cs="Times"/>
          <w:szCs w:val="24"/>
          <w:lang w:val="pt-BR" w:eastAsia="es-ES"/>
        </w:rPr>
        <w:t>processo</w:t>
      </w:r>
      <w:r w:rsidR="000A52D5" w:rsidRPr="00D5464D">
        <w:rPr>
          <w:rFonts w:eastAsia="Batang" w:cs="Times"/>
          <w:szCs w:val="24"/>
          <w:lang w:val="pt-BR" w:eastAsia="es-ES"/>
        </w:rPr>
        <w:t>.</w:t>
      </w:r>
      <w:r w:rsidR="00C91CB1" w:rsidRPr="00D5464D">
        <w:rPr>
          <w:rFonts w:eastAsia="Batang" w:cs="Times"/>
          <w:szCs w:val="24"/>
          <w:lang w:val="pt-BR" w:eastAsia="es-ES"/>
        </w:rPr>
        <w:t xml:space="preserve"> </w:t>
      </w:r>
      <w:r w:rsidRPr="00D5464D">
        <w:rPr>
          <w:rFonts w:eastAsia="Batang" w:cs="Times"/>
          <w:szCs w:val="24"/>
          <w:lang w:val="pt-BR" w:eastAsia="es-ES"/>
        </w:rPr>
        <w:t xml:space="preserve">Isso porque </w:t>
      </w:r>
      <w:r w:rsidR="002C330E" w:rsidRPr="00D5464D">
        <w:rPr>
          <w:rFonts w:eastAsia="Batang" w:cs="Times"/>
          <w:szCs w:val="24"/>
          <w:lang w:val="pt-BR" w:eastAsia="es-ES"/>
        </w:rPr>
        <w:t xml:space="preserve">os </w:t>
      </w:r>
      <w:r w:rsidR="00EB1CE9" w:rsidRPr="00D5464D">
        <w:rPr>
          <w:rFonts w:eastAsia="Batang" w:cs="Times"/>
          <w:szCs w:val="24"/>
          <w:lang w:val="pt-BR" w:eastAsia="es-ES"/>
        </w:rPr>
        <w:t>representante</w:t>
      </w:r>
      <w:r w:rsidR="000A52D5" w:rsidRPr="00D5464D">
        <w:rPr>
          <w:rFonts w:eastAsia="Batang" w:cs="Times"/>
          <w:szCs w:val="24"/>
          <w:lang w:val="pt-BR" w:eastAsia="es-ES"/>
        </w:rPr>
        <w:t>s</w:t>
      </w:r>
      <w:r w:rsidR="00470ADC" w:rsidRPr="00D5464D">
        <w:rPr>
          <w:rFonts w:eastAsia="Batang" w:cs="Times"/>
          <w:szCs w:val="24"/>
          <w:lang w:val="pt-BR" w:eastAsia="es-ES"/>
        </w:rPr>
        <w:t xml:space="preserve"> das </w:t>
      </w:r>
      <w:r w:rsidR="002C330E" w:rsidRPr="00D5464D">
        <w:rPr>
          <w:rFonts w:eastAsia="Batang" w:cs="Times"/>
          <w:szCs w:val="24"/>
          <w:lang w:val="pt-BR" w:eastAsia="es-ES"/>
        </w:rPr>
        <w:t>suposta</w:t>
      </w:r>
      <w:r w:rsidR="00350AD5" w:rsidRPr="00D5464D">
        <w:rPr>
          <w:rFonts w:eastAsia="Batang" w:cs="Times"/>
          <w:szCs w:val="24"/>
          <w:lang w:val="pt-BR" w:eastAsia="es-ES"/>
        </w:rPr>
        <w:t xml:space="preserve">s </w:t>
      </w:r>
      <w:r w:rsidR="00E045D9" w:rsidRPr="00D5464D">
        <w:rPr>
          <w:rFonts w:eastAsia="Batang" w:cs="Times"/>
          <w:szCs w:val="24"/>
          <w:lang w:val="pt-BR" w:eastAsia="es-ES"/>
        </w:rPr>
        <w:t>vítima</w:t>
      </w:r>
      <w:r w:rsidR="000A52D5" w:rsidRPr="00D5464D">
        <w:rPr>
          <w:rFonts w:eastAsia="Batang" w:cs="Times"/>
          <w:szCs w:val="24"/>
          <w:lang w:val="pt-BR" w:eastAsia="es-ES"/>
        </w:rPr>
        <w:t xml:space="preserve">s </w:t>
      </w:r>
      <w:r w:rsidRPr="00D5464D">
        <w:rPr>
          <w:rFonts w:eastAsia="Batang" w:cs="Times"/>
          <w:szCs w:val="24"/>
          <w:lang w:val="pt-BR" w:eastAsia="es-ES"/>
        </w:rPr>
        <w:t xml:space="preserve">não excluíram </w:t>
      </w:r>
      <w:r w:rsidR="000A52D5" w:rsidRPr="00D5464D">
        <w:rPr>
          <w:rFonts w:eastAsia="Batang" w:cs="Times"/>
          <w:szCs w:val="24"/>
          <w:lang w:val="pt-BR" w:eastAsia="es-ES"/>
        </w:rPr>
        <w:t>deliberada o</w:t>
      </w:r>
      <w:r w:rsidRPr="00D5464D">
        <w:rPr>
          <w:rFonts w:eastAsia="Batang" w:cs="Times"/>
          <w:szCs w:val="24"/>
          <w:lang w:val="pt-BR" w:eastAsia="es-ES"/>
        </w:rPr>
        <w:t>u</w:t>
      </w:r>
      <w:r w:rsidR="000A52D5" w:rsidRPr="00D5464D">
        <w:rPr>
          <w:rFonts w:eastAsia="Batang" w:cs="Times"/>
          <w:szCs w:val="24"/>
          <w:lang w:val="pt-BR" w:eastAsia="es-ES"/>
        </w:rPr>
        <w:t xml:space="preserve"> </w:t>
      </w:r>
      <w:r w:rsidR="00470ADC" w:rsidRPr="00D5464D">
        <w:rPr>
          <w:rFonts w:eastAsia="Batang" w:cs="Times"/>
          <w:szCs w:val="24"/>
          <w:lang w:val="pt-BR" w:eastAsia="es-ES"/>
        </w:rPr>
        <w:t>expressa</w:t>
      </w:r>
      <w:r w:rsidR="000A52D5" w:rsidRPr="00D5464D">
        <w:rPr>
          <w:rFonts w:eastAsia="Batang" w:cs="Times"/>
          <w:szCs w:val="24"/>
          <w:lang w:val="pt-BR" w:eastAsia="es-ES"/>
        </w:rPr>
        <w:t xml:space="preserve">mente </w:t>
      </w:r>
      <w:r w:rsidRPr="00D5464D">
        <w:rPr>
          <w:rFonts w:eastAsia="Batang" w:cs="Times"/>
          <w:szCs w:val="24"/>
          <w:lang w:val="pt-BR" w:eastAsia="es-ES"/>
        </w:rPr>
        <w:t xml:space="preserve">nenhuma </w:t>
      </w:r>
      <w:r w:rsidR="002C330E" w:rsidRPr="00D5464D">
        <w:rPr>
          <w:rFonts w:eastAsia="Batang" w:cs="Times"/>
          <w:szCs w:val="24"/>
          <w:lang w:val="pt-BR" w:eastAsia="es-ES"/>
        </w:rPr>
        <w:t>pessoa</w:t>
      </w:r>
      <w:r w:rsidR="000A52D5" w:rsidRPr="00D5464D">
        <w:rPr>
          <w:rFonts w:eastAsia="Batang" w:cs="Times"/>
          <w:szCs w:val="24"/>
          <w:lang w:val="pt-BR" w:eastAsia="es-ES"/>
        </w:rPr>
        <w:t xml:space="preserve"> </w:t>
      </w:r>
      <w:r w:rsidR="00F00FDF" w:rsidRPr="00D5464D">
        <w:rPr>
          <w:rFonts w:eastAsia="Batang" w:cs="Times"/>
          <w:szCs w:val="24"/>
          <w:lang w:val="pt-BR" w:eastAsia="es-ES"/>
        </w:rPr>
        <w:t>por ausência de procuração</w:t>
      </w:r>
      <w:r w:rsidR="000A52D5" w:rsidRPr="00D5464D">
        <w:rPr>
          <w:rFonts w:eastAsia="Batang" w:cs="Times"/>
          <w:szCs w:val="24"/>
          <w:lang w:val="pt-BR" w:eastAsia="es-ES"/>
        </w:rPr>
        <w:t>.</w:t>
      </w:r>
    </w:p>
    <w:p w14:paraId="0BEFE919" w14:textId="77777777" w:rsidR="000A52D5" w:rsidRPr="00D5464D" w:rsidRDefault="000A52D5" w:rsidP="00140440">
      <w:pPr>
        <w:tabs>
          <w:tab w:val="clear" w:pos="4419"/>
          <w:tab w:val="clear" w:pos="8838"/>
        </w:tabs>
        <w:jc w:val="both"/>
        <w:rPr>
          <w:rFonts w:eastAsia="Batang" w:cs="Times"/>
          <w:i/>
          <w:szCs w:val="24"/>
          <w:lang w:val="pt-BR" w:eastAsia="es-ES"/>
        </w:rPr>
      </w:pPr>
    </w:p>
    <w:p w14:paraId="0DCE0A60" w14:textId="1E8E2700" w:rsidR="000A52D5" w:rsidRPr="00D5464D" w:rsidRDefault="000A52D5"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Finalmente,</w:t>
      </w:r>
      <w:r w:rsidR="002C330E" w:rsidRPr="00D5464D">
        <w:rPr>
          <w:rFonts w:eastAsia="Batang" w:cs="Times"/>
          <w:szCs w:val="24"/>
          <w:lang w:val="pt-BR" w:eastAsia="es-ES"/>
        </w:rPr>
        <w:t xml:space="preserve"> a </w:t>
      </w:r>
      <w:r w:rsidR="00470ADC" w:rsidRPr="00D5464D">
        <w:rPr>
          <w:rFonts w:eastAsia="Batang" w:cs="Times"/>
          <w:szCs w:val="24"/>
          <w:lang w:val="pt-BR" w:eastAsia="es-ES"/>
        </w:rPr>
        <w:t>Comissão</w:t>
      </w:r>
      <w:r w:rsidRPr="00D5464D">
        <w:rPr>
          <w:rFonts w:eastAsia="Batang" w:cs="Times"/>
          <w:szCs w:val="24"/>
          <w:lang w:val="pt-BR" w:eastAsia="es-ES"/>
        </w:rPr>
        <w:t xml:space="preserve"> </w:t>
      </w:r>
      <w:r w:rsidR="002C330E" w:rsidRPr="00D5464D">
        <w:rPr>
          <w:rFonts w:eastAsia="Batang" w:cs="Times"/>
          <w:szCs w:val="24"/>
          <w:lang w:val="pt-BR" w:eastAsia="es-ES"/>
        </w:rPr>
        <w:t>afirmou</w:t>
      </w:r>
      <w:r w:rsidRPr="00D5464D">
        <w:rPr>
          <w:rFonts w:eastAsia="Batang" w:cs="Times"/>
          <w:szCs w:val="24"/>
          <w:lang w:val="pt-BR" w:eastAsia="es-ES"/>
        </w:rPr>
        <w:t xml:space="preserve"> que</w:t>
      </w:r>
      <w:r w:rsidR="002C330E" w:rsidRPr="00D5464D">
        <w:rPr>
          <w:rFonts w:eastAsia="Batang" w:cs="Times"/>
          <w:szCs w:val="24"/>
          <w:lang w:val="pt-BR" w:eastAsia="es-ES"/>
        </w:rPr>
        <w:t xml:space="preserve"> as alegações </w:t>
      </w:r>
      <w:r w:rsidR="00470ADC" w:rsidRPr="00D5464D">
        <w:rPr>
          <w:rFonts w:eastAsia="Batang" w:cs="Times"/>
          <w:szCs w:val="24"/>
          <w:lang w:val="pt-BR" w:eastAsia="es-ES"/>
        </w:rPr>
        <w:t xml:space="preserve">do </w:t>
      </w:r>
      <w:r w:rsidRPr="00D5464D">
        <w:rPr>
          <w:rFonts w:eastAsia="Batang" w:cs="Times"/>
          <w:szCs w:val="24"/>
          <w:lang w:val="pt-BR" w:eastAsia="es-ES"/>
        </w:rPr>
        <w:t>Estado n</w:t>
      </w:r>
      <w:r w:rsidR="005F3480" w:rsidRPr="00D5464D">
        <w:rPr>
          <w:rFonts w:eastAsia="Batang" w:cs="Times"/>
          <w:szCs w:val="24"/>
          <w:lang w:val="pt-BR" w:eastAsia="es-ES"/>
        </w:rPr>
        <w:t>ã</w:t>
      </w:r>
      <w:r w:rsidRPr="00D5464D">
        <w:rPr>
          <w:rFonts w:eastAsia="Batang" w:cs="Times"/>
          <w:szCs w:val="24"/>
          <w:lang w:val="pt-BR" w:eastAsia="es-ES"/>
        </w:rPr>
        <w:t xml:space="preserve">o </w:t>
      </w:r>
      <w:r w:rsidR="00A1358C" w:rsidRPr="00D5464D">
        <w:rPr>
          <w:rFonts w:eastAsia="Batang" w:cs="Times"/>
          <w:szCs w:val="24"/>
          <w:lang w:val="pt-BR" w:eastAsia="es-ES"/>
        </w:rPr>
        <w:t>constituem</w:t>
      </w:r>
      <w:r w:rsidR="00E045D9" w:rsidRPr="00D5464D">
        <w:rPr>
          <w:rFonts w:eastAsia="Batang" w:cs="Times"/>
          <w:szCs w:val="24"/>
          <w:lang w:val="pt-BR" w:eastAsia="es-ES"/>
        </w:rPr>
        <w:t xml:space="preserve"> uma </w:t>
      </w:r>
      <w:r w:rsidR="00470ADC" w:rsidRPr="00D5464D">
        <w:rPr>
          <w:rFonts w:eastAsia="Batang" w:cs="Times"/>
          <w:szCs w:val="24"/>
          <w:lang w:val="pt-BR" w:eastAsia="es-ES"/>
        </w:rPr>
        <w:t>exceção</w:t>
      </w:r>
      <w:r w:rsidRPr="00D5464D">
        <w:rPr>
          <w:rFonts w:eastAsia="Batang" w:cs="Times"/>
          <w:szCs w:val="24"/>
          <w:lang w:val="pt-BR" w:eastAsia="es-ES"/>
        </w:rPr>
        <w:t xml:space="preserve"> preliminar,</w:t>
      </w:r>
      <w:r w:rsidR="002C330E" w:rsidRPr="00D5464D">
        <w:rPr>
          <w:rFonts w:eastAsia="Batang" w:cs="Times"/>
          <w:szCs w:val="24"/>
          <w:lang w:val="pt-BR" w:eastAsia="es-ES"/>
        </w:rPr>
        <w:t xml:space="preserve"> pois a </w:t>
      </w:r>
      <w:r w:rsidRPr="00D5464D">
        <w:rPr>
          <w:rFonts w:eastAsia="Batang" w:cs="Times"/>
          <w:szCs w:val="24"/>
          <w:lang w:val="pt-BR" w:eastAsia="es-ES"/>
        </w:rPr>
        <w:t>identifica</w:t>
      </w:r>
      <w:r w:rsidR="00470ADC" w:rsidRPr="00D5464D">
        <w:rPr>
          <w:rFonts w:eastAsia="Batang" w:cs="Times"/>
          <w:szCs w:val="24"/>
          <w:lang w:val="pt-BR" w:eastAsia="es-ES"/>
        </w:rPr>
        <w:t xml:space="preserve">ção das </w:t>
      </w:r>
      <w:r w:rsidR="00E045D9" w:rsidRPr="00D5464D">
        <w:rPr>
          <w:rFonts w:eastAsia="Batang" w:cs="Times"/>
          <w:szCs w:val="24"/>
          <w:lang w:val="pt-BR" w:eastAsia="es-ES"/>
        </w:rPr>
        <w:t>vítima</w:t>
      </w:r>
      <w:r w:rsidRPr="00D5464D">
        <w:rPr>
          <w:rFonts w:eastAsia="Batang" w:cs="Times"/>
          <w:szCs w:val="24"/>
          <w:lang w:val="pt-BR" w:eastAsia="es-ES"/>
        </w:rPr>
        <w:t xml:space="preserve">s </w:t>
      </w:r>
      <w:r w:rsidR="00737270" w:rsidRPr="00D5464D">
        <w:rPr>
          <w:rFonts w:eastAsia="Batang" w:cs="Times"/>
          <w:szCs w:val="24"/>
          <w:lang w:val="pt-BR" w:eastAsia="es-ES"/>
        </w:rPr>
        <w:t>deveria</w:t>
      </w:r>
      <w:r w:rsidRPr="00D5464D">
        <w:rPr>
          <w:rFonts w:eastAsia="Batang" w:cs="Times"/>
          <w:szCs w:val="24"/>
          <w:lang w:val="pt-BR" w:eastAsia="es-ES"/>
        </w:rPr>
        <w:t xml:space="preserve"> </w:t>
      </w:r>
      <w:r w:rsidR="005F3480" w:rsidRPr="00D5464D">
        <w:rPr>
          <w:rFonts w:eastAsia="Batang" w:cs="Times"/>
          <w:szCs w:val="24"/>
          <w:lang w:val="pt-BR" w:eastAsia="es-ES"/>
        </w:rPr>
        <w:t xml:space="preserve">ser realizada em atenção ao </w:t>
      </w:r>
      <w:r w:rsidRPr="00D5464D">
        <w:rPr>
          <w:rFonts w:eastAsia="Batang" w:cs="Times"/>
          <w:szCs w:val="24"/>
          <w:lang w:val="pt-BR" w:eastAsia="es-ES"/>
        </w:rPr>
        <w:t xml:space="preserve">contexto </w:t>
      </w:r>
      <w:r w:rsidR="00470ADC" w:rsidRPr="00D5464D">
        <w:rPr>
          <w:rFonts w:eastAsia="Batang" w:cs="Times"/>
          <w:szCs w:val="24"/>
          <w:lang w:val="pt-BR" w:eastAsia="es-ES"/>
        </w:rPr>
        <w:t>do assunto</w:t>
      </w:r>
      <w:r w:rsidRPr="00D5464D">
        <w:rPr>
          <w:rFonts w:eastAsia="Batang" w:cs="Times"/>
          <w:szCs w:val="24"/>
          <w:lang w:val="pt-BR" w:eastAsia="es-ES"/>
        </w:rPr>
        <w:t>,</w:t>
      </w:r>
      <w:r w:rsidR="00470ADC" w:rsidRPr="00D5464D">
        <w:rPr>
          <w:rFonts w:eastAsia="Batang" w:cs="Times"/>
          <w:szCs w:val="24"/>
          <w:lang w:val="pt-BR" w:eastAsia="es-ES"/>
        </w:rPr>
        <w:t xml:space="preserve"> </w:t>
      </w:r>
      <w:r w:rsidR="005F3480" w:rsidRPr="00D5464D">
        <w:rPr>
          <w:rFonts w:eastAsia="Batang" w:cs="Times"/>
          <w:szCs w:val="24"/>
          <w:lang w:val="pt-BR" w:eastAsia="es-ES"/>
        </w:rPr>
        <w:t xml:space="preserve">nos </w:t>
      </w:r>
      <w:r w:rsidR="00E045D9" w:rsidRPr="00D5464D">
        <w:rPr>
          <w:rFonts w:eastAsia="Batang" w:cs="Times"/>
          <w:szCs w:val="24"/>
          <w:lang w:val="pt-BR" w:eastAsia="es-ES"/>
        </w:rPr>
        <w:t>termo</w:t>
      </w:r>
      <w:r w:rsidRPr="00D5464D">
        <w:rPr>
          <w:rFonts w:eastAsia="Batang" w:cs="Times"/>
          <w:szCs w:val="24"/>
          <w:lang w:val="pt-BR" w:eastAsia="es-ES"/>
        </w:rPr>
        <w:t>s</w:t>
      </w:r>
      <w:r w:rsidR="00470ADC" w:rsidRPr="00D5464D">
        <w:rPr>
          <w:rFonts w:eastAsia="Batang" w:cs="Times"/>
          <w:szCs w:val="24"/>
          <w:lang w:val="pt-BR" w:eastAsia="es-ES"/>
        </w:rPr>
        <w:t xml:space="preserve"> do artigo</w:t>
      </w:r>
      <w:r w:rsidRPr="00D5464D">
        <w:rPr>
          <w:rFonts w:eastAsia="Batang" w:cs="Times"/>
          <w:szCs w:val="24"/>
          <w:lang w:val="pt-BR" w:eastAsia="es-ES"/>
        </w:rPr>
        <w:t xml:space="preserve"> 35.2 </w:t>
      </w:r>
      <w:r w:rsidR="00470ADC" w:rsidRPr="00D5464D">
        <w:rPr>
          <w:rFonts w:eastAsia="Batang" w:cs="Times"/>
          <w:szCs w:val="24"/>
          <w:lang w:val="pt-BR" w:eastAsia="es-ES"/>
        </w:rPr>
        <w:t xml:space="preserve">do </w:t>
      </w:r>
      <w:r w:rsidR="002C330E" w:rsidRPr="00D5464D">
        <w:rPr>
          <w:rFonts w:eastAsia="Batang" w:cs="Times"/>
          <w:szCs w:val="24"/>
          <w:lang w:val="pt-BR" w:eastAsia="es-ES"/>
        </w:rPr>
        <w:t>Regulamento</w:t>
      </w:r>
      <w:r w:rsidR="00470ADC" w:rsidRPr="00D5464D">
        <w:rPr>
          <w:rFonts w:eastAsia="Batang" w:cs="Times"/>
          <w:szCs w:val="24"/>
          <w:lang w:val="pt-BR" w:eastAsia="es-ES"/>
        </w:rPr>
        <w:t xml:space="preserve"> da </w:t>
      </w:r>
      <w:r w:rsidRPr="00D5464D">
        <w:rPr>
          <w:rFonts w:eastAsia="Batang" w:cs="Times"/>
          <w:szCs w:val="24"/>
          <w:lang w:val="pt-BR" w:eastAsia="es-ES"/>
        </w:rPr>
        <w:t xml:space="preserve">Corte, </w:t>
      </w:r>
      <w:r w:rsidR="005F3480" w:rsidRPr="00D5464D">
        <w:rPr>
          <w:rFonts w:eastAsia="Batang" w:cs="Times"/>
          <w:szCs w:val="24"/>
          <w:lang w:val="pt-BR" w:eastAsia="es-ES"/>
        </w:rPr>
        <w:t xml:space="preserve">bem </w:t>
      </w:r>
      <w:r w:rsidRPr="00D5464D">
        <w:rPr>
          <w:rFonts w:eastAsia="Batang" w:cs="Times"/>
          <w:szCs w:val="24"/>
          <w:lang w:val="pt-BR" w:eastAsia="es-ES"/>
        </w:rPr>
        <w:t>como</w:t>
      </w:r>
      <w:r w:rsidR="00470ADC" w:rsidRPr="00D5464D">
        <w:rPr>
          <w:rFonts w:eastAsia="Batang" w:cs="Times"/>
          <w:szCs w:val="24"/>
          <w:lang w:val="pt-BR" w:eastAsia="es-ES"/>
        </w:rPr>
        <w:t xml:space="preserve"> através da adoção</w:t>
      </w:r>
      <w:r w:rsidRPr="00D5464D">
        <w:rPr>
          <w:rFonts w:eastAsia="Batang" w:cs="Times"/>
          <w:szCs w:val="24"/>
          <w:lang w:val="pt-BR" w:eastAsia="es-ES"/>
        </w:rPr>
        <w:t xml:space="preserve"> de medidas </w:t>
      </w:r>
      <w:r w:rsidR="002C330E" w:rsidRPr="00D5464D">
        <w:rPr>
          <w:rFonts w:eastAsia="Batang" w:cs="Times"/>
          <w:szCs w:val="24"/>
          <w:lang w:val="pt-BR" w:eastAsia="es-ES"/>
        </w:rPr>
        <w:t>necessári</w:t>
      </w:r>
      <w:r w:rsidRPr="00D5464D">
        <w:rPr>
          <w:rFonts w:eastAsia="Batang" w:cs="Times"/>
          <w:szCs w:val="24"/>
          <w:lang w:val="pt-BR" w:eastAsia="es-ES"/>
        </w:rPr>
        <w:t xml:space="preserve">as para </w:t>
      </w:r>
      <w:r w:rsidR="002C330E" w:rsidRPr="00D5464D">
        <w:rPr>
          <w:rFonts w:eastAsia="Batang" w:cs="Times"/>
          <w:szCs w:val="24"/>
          <w:lang w:val="pt-BR" w:eastAsia="es-ES"/>
        </w:rPr>
        <w:t xml:space="preserve">garantir a </w:t>
      </w:r>
      <w:r w:rsidRPr="00D5464D">
        <w:rPr>
          <w:rFonts w:eastAsia="Batang" w:cs="Times"/>
          <w:szCs w:val="24"/>
          <w:lang w:val="pt-BR" w:eastAsia="es-ES"/>
        </w:rPr>
        <w:t>representa</w:t>
      </w:r>
      <w:r w:rsidR="00470ADC" w:rsidRPr="00D5464D">
        <w:rPr>
          <w:rFonts w:eastAsia="Batang" w:cs="Times"/>
          <w:szCs w:val="24"/>
          <w:lang w:val="pt-BR" w:eastAsia="es-ES"/>
        </w:rPr>
        <w:t>ção</w:t>
      </w:r>
      <w:r w:rsidRPr="00D5464D">
        <w:rPr>
          <w:rFonts w:eastAsia="Batang" w:cs="Times"/>
          <w:szCs w:val="24"/>
          <w:lang w:val="pt-BR" w:eastAsia="es-ES"/>
        </w:rPr>
        <w:t xml:space="preserve"> de todas</w:t>
      </w:r>
      <w:r w:rsidR="002C330E" w:rsidRPr="00D5464D">
        <w:rPr>
          <w:rFonts w:eastAsia="Batang" w:cs="Times"/>
          <w:szCs w:val="24"/>
          <w:lang w:val="pt-BR" w:eastAsia="es-ES"/>
        </w:rPr>
        <w:t xml:space="preserve"> as suposta</w:t>
      </w:r>
      <w:r w:rsidR="00350AD5" w:rsidRPr="00D5464D">
        <w:rPr>
          <w:rFonts w:eastAsia="Batang" w:cs="Times"/>
          <w:szCs w:val="24"/>
          <w:lang w:val="pt-BR" w:eastAsia="es-ES"/>
        </w:rPr>
        <w:t xml:space="preserve">s </w:t>
      </w:r>
      <w:r w:rsidR="00E045D9" w:rsidRPr="00D5464D">
        <w:rPr>
          <w:rFonts w:eastAsia="Batang" w:cs="Times"/>
          <w:szCs w:val="24"/>
          <w:lang w:val="pt-BR" w:eastAsia="es-ES"/>
        </w:rPr>
        <w:t>vítima</w:t>
      </w:r>
      <w:r w:rsidRPr="00D5464D">
        <w:rPr>
          <w:rFonts w:eastAsia="Batang" w:cs="Times"/>
          <w:szCs w:val="24"/>
          <w:lang w:val="pt-BR" w:eastAsia="es-ES"/>
        </w:rPr>
        <w:t xml:space="preserve">s </w:t>
      </w:r>
      <w:r w:rsidR="00737270" w:rsidRPr="00D5464D">
        <w:rPr>
          <w:rFonts w:eastAsia="Batang" w:cs="Times"/>
          <w:szCs w:val="24"/>
          <w:lang w:val="pt-BR" w:eastAsia="es-ES"/>
        </w:rPr>
        <w:t>possíveis</w:t>
      </w:r>
      <w:r w:rsidR="00E045D9" w:rsidRPr="00D5464D">
        <w:rPr>
          <w:rFonts w:eastAsia="Batang" w:cs="Times"/>
          <w:szCs w:val="24"/>
          <w:lang w:val="pt-BR" w:eastAsia="es-ES"/>
        </w:rPr>
        <w:t xml:space="preserve"> no </w:t>
      </w:r>
      <w:r w:rsidR="002C330E" w:rsidRPr="00D5464D">
        <w:rPr>
          <w:rFonts w:eastAsia="Batang" w:cs="Times"/>
          <w:szCs w:val="24"/>
          <w:lang w:val="pt-BR" w:eastAsia="es-ES"/>
        </w:rPr>
        <w:t>processo</w:t>
      </w:r>
      <w:r w:rsidRPr="00D5464D">
        <w:rPr>
          <w:rFonts w:eastAsia="Batang" w:cs="Times"/>
          <w:szCs w:val="24"/>
          <w:lang w:val="pt-BR" w:eastAsia="es-ES"/>
        </w:rPr>
        <w:t xml:space="preserve"> interamericano.</w:t>
      </w:r>
    </w:p>
    <w:p w14:paraId="3470B162" w14:textId="77777777" w:rsidR="000A52D5" w:rsidRPr="00D5464D" w:rsidRDefault="000A52D5" w:rsidP="00140440">
      <w:pPr>
        <w:tabs>
          <w:tab w:val="clear" w:pos="4419"/>
          <w:tab w:val="clear" w:pos="8838"/>
        </w:tabs>
        <w:jc w:val="both"/>
        <w:rPr>
          <w:rFonts w:eastAsia="Batang" w:cs="Times"/>
          <w:i/>
          <w:szCs w:val="24"/>
          <w:lang w:val="pt-BR" w:eastAsia="es-ES"/>
        </w:rPr>
      </w:pPr>
    </w:p>
    <w:p w14:paraId="6251D265" w14:textId="42C0EE5F" w:rsidR="000A52D5" w:rsidRPr="00D5464D" w:rsidRDefault="000A52D5" w:rsidP="000A20C1">
      <w:pPr>
        <w:pStyle w:val="Ttulo3"/>
        <w:rPr>
          <w:lang w:val="pt-BR" w:eastAsia="es-ES"/>
        </w:rPr>
      </w:pPr>
      <w:bookmarkStart w:id="70" w:name="_Toc460432967"/>
      <w:bookmarkStart w:id="71" w:name="_Toc460441898"/>
      <w:bookmarkStart w:id="72" w:name="_Toc462750718"/>
      <w:bookmarkStart w:id="73" w:name="_Toc462751042"/>
      <w:bookmarkStart w:id="74" w:name="_Toc464813894"/>
      <w:bookmarkStart w:id="75" w:name="_Toc468433855"/>
      <w:r w:rsidRPr="00D5464D">
        <w:rPr>
          <w:lang w:val="pt-BR" w:eastAsia="es-ES"/>
        </w:rPr>
        <w:t>B.3. Observa</w:t>
      </w:r>
      <w:r w:rsidR="00470ADC" w:rsidRPr="00D5464D">
        <w:rPr>
          <w:lang w:val="pt-BR" w:eastAsia="es-ES"/>
        </w:rPr>
        <w:t xml:space="preserve">ções dos </w:t>
      </w:r>
      <w:r w:rsidR="00EB1CE9" w:rsidRPr="00D5464D">
        <w:rPr>
          <w:lang w:val="pt-BR" w:eastAsia="es-ES"/>
        </w:rPr>
        <w:t>representante</w:t>
      </w:r>
      <w:r w:rsidRPr="00D5464D">
        <w:rPr>
          <w:lang w:val="pt-BR" w:eastAsia="es-ES"/>
        </w:rPr>
        <w:t>s</w:t>
      </w:r>
      <w:bookmarkEnd w:id="70"/>
      <w:bookmarkEnd w:id="71"/>
      <w:bookmarkEnd w:id="72"/>
      <w:bookmarkEnd w:id="73"/>
      <w:bookmarkEnd w:id="74"/>
      <w:bookmarkEnd w:id="75"/>
    </w:p>
    <w:p w14:paraId="780145B4" w14:textId="77777777" w:rsidR="000A52D5" w:rsidRPr="00D5464D" w:rsidRDefault="000A52D5" w:rsidP="00140440">
      <w:pPr>
        <w:tabs>
          <w:tab w:val="clear" w:pos="4419"/>
          <w:tab w:val="clear" w:pos="8838"/>
        </w:tabs>
        <w:jc w:val="both"/>
        <w:rPr>
          <w:rFonts w:eastAsia="Batang" w:cs="Times"/>
          <w:szCs w:val="24"/>
          <w:lang w:val="pt-BR" w:eastAsia="es-ES"/>
        </w:rPr>
      </w:pPr>
    </w:p>
    <w:p w14:paraId="63DC0280" w14:textId="32D3AE78" w:rsidR="000A52D5" w:rsidRPr="00D5464D" w:rsidRDefault="00737270"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Os </w:t>
      </w:r>
      <w:r w:rsidR="00EB1CE9" w:rsidRPr="00D5464D">
        <w:rPr>
          <w:rFonts w:eastAsia="Batang" w:cs="Times"/>
          <w:szCs w:val="24"/>
          <w:lang w:val="pt-BR" w:eastAsia="es-ES"/>
        </w:rPr>
        <w:t>representante</w:t>
      </w:r>
      <w:r w:rsidRPr="00D5464D">
        <w:rPr>
          <w:rFonts w:eastAsia="Batang" w:cs="Times"/>
          <w:szCs w:val="24"/>
          <w:lang w:val="pt-BR" w:eastAsia="es-ES"/>
        </w:rPr>
        <w:t xml:space="preserve">s </w:t>
      </w:r>
      <w:r w:rsidR="00470ADC" w:rsidRPr="00D5464D">
        <w:rPr>
          <w:rFonts w:eastAsia="Batang" w:cs="Times"/>
          <w:szCs w:val="24"/>
          <w:lang w:val="pt-BR" w:eastAsia="es-ES"/>
        </w:rPr>
        <w:t>alegaram</w:t>
      </w:r>
      <w:r w:rsidR="000A52D5" w:rsidRPr="00D5464D">
        <w:rPr>
          <w:rFonts w:eastAsia="Batang" w:cs="Times"/>
          <w:szCs w:val="24"/>
          <w:lang w:val="pt-BR" w:eastAsia="es-ES"/>
        </w:rPr>
        <w:t xml:space="preserve"> que</w:t>
      </w:r>
      <w:r w:rsidR="009C0D34" w:rsidRPr="00D5464D">
        <w:rPr>
          <w:rFonts w:eastAsia="Batang" w:cs="Times"/>
          <w:szCs w:val="24"/>
          <w:lang w:val="pt-BR" w:eastAsia="es-ES"/>
        </w:rPr>
        <w:t>,</w:t>
      </w:r>
      <w:r w:rsidR="00470ADC" w:rsidRPr="00D5464D">
        <w:rPr>
          <w:rFonts w:eastAsia="Batang" w:cs="Times"/>
          <w:szCs w:val="24"/>
          <w:lang w:val="pt-BR" w:eastAsia="es-ES"/>
        </w:rPr>
        <w:t xml:space="preserve"> </w:t>
      </w:r>
      <w:r w:rsidR="0031040E" w:rsidRPr="00D5464D">
        <w:rPr>
          <w:rFonts w:eastAsia="Batang" w:cs="Times"/>
          <w:szCs w:val="24"/>
          <w:lang w:val="pt-BR" w:eastAsia="es-ES"/>
        </w:rPr>
        <w:t>diante d</w:t>
      </w:r>
      <w:r w:rsidR="00470ADC" w:rsidRPr="00D5464D">
        <w:rPr>
          <w:rFonts w:eastAsia="Batang" w:cs="Times"/>
          <w:szCs w:val="24"/>
          <w:lang w:val="pt-BR" w:eastAsia="es-ES"/>
        </w:rPr>
        <w:t xml:space="preserve">a </w:t>
      </w:r>
      <w:r w:rsidR="00E045D9" w:rsidRPr="00D5464D">
        <w:rPr>
          <w:rFonts w:eastAsia="Batang" w:cs="Times"/>
          <w:szCs w:val="24"/>
          <w:lang w:val="pt-BR" w:eastAsia="es-ES"/>
        </w:rPr>
        <w:t>complexidade</w:t>
      </w:r>
      <w:r w:rsidR="000A52D5" w:rsidRPr="00D5464D">
        <w:rPr>
          <w:rFonts w:eastAsia="Batang" w:cs="Times"/>
          <w:szCs w:val="24"/>
          <w:lang w:val="pt-BR" w:eastAsia="es-ES"/>
        </w:rPr>
        <w:t xml:space="preserve"> </w:t>
      </w:r>
      <w:r w:rsidR="00470ADC" w:rsidRPr="00D5464D">
        <w:rPr>
          <w:rFonts w:eastAsia="Batang" w:cs="Times"/>
          <w:szCs w:val="24"/>
          <w:lang w:val="pt-BR" w:eastAsia="es-ES"/>
        </w:rPr>
        <w:t xml:space="preserve">do </w:t>
      </w:r>
      <w:r w:rsidR="000A52D5" w:rsidRPr="00D5464D">
        <w:rPr>
          <w:rFonts w:eastAsia="Batang" w:cs="Times"/>
          <w:szCs w:val="24"/>
          <w:lang w:val="pt-BR" w:eastAsia="es-ES"/>
        </w:rPr>
        <w:t>caso,</w:t>
      </w:r>
      <w:r w:rsidR="002C330E" w:rsidRPr="00D5464D">
        <w:rPr>
          <w:rFonts w:eastAsia="Batang" w:cs="Times"/>
          <w:szCs w:val="24"/>
          <w:lang w:val="pt-BR" w:eastAsia="es-ES"/>
        </w:rPr>
        <w:t xml:space="preserve"> </w:t>
      </w:r>
      <w:r w:rsidR="0031040E" w:rsidRPr="00D5464D">
        <w:rPr>
          <w:rFonts w:eastAsia="Batang" w:cs="Times"/>
          <w:szCs w:val="24"/>
          <w:lang w:val="pt-BR" w:eastAsia="es-ES"/>
        </w:rPr>
        <w:t>d</w:t>
      </w:r>
      <w:r w:rsidR="002C330E" w:rsidRPr="00D5464D">
        <w:rPr>
          <w:rFonts w:eastAsia="Batang" w:cs="Times"/>
          <w:szCs w:val="24"/>
          <w:lang w:val="pt-BR" w:eastAsia="es-ES"/>
        </w:rPr>
        <w:t>a natureza</w:t>
      </w:r>
      <w:r w:rsidR="000A52D5" w:rsidRPr="00D5464D">
        <w:rPr>
          <w:rFonts w:eastAsia="Batang" w:cs="Times"/>
          <w:szCs w:val="24"/>
          <w:lang w:val="pt-BR" w:eastAsia="es-ES"/>
        </w:rPr>
        <w:t xml:space="preserve"> </w:t>
      </w:r>
      <w:r w:rsidR="002C330E" w:rsidRPr="00D5464D">
        <w:rPr>
          <w:rFonts w:eastAsia="Batang" w:cs="Times"/>
          <w:szCs w:val="24"/>
          <w:lang w:val="pt-BR" w:eastAsia="es-ES"/>
        </w:rPr>
        <w:t>massiva</w:t>
      </w:r>
      <w:r w:rsidR="00E045D9" w:rsidRPr="00D5464D">
        <w:rPr>
          <w:rFonts w:eastAsia="Batang" w:cs="Times"/>
          <w:szCs w:val="24"/>
          <w:lang w:val="pt-BR" w:eastAsia="es-ES"/>
        </w:rPr>
        <w:t xml:space="preserve"> e </w:t>
      </w:r>
      <w:r w:rsidR="00470ADC" w:rsidRPr="00D5464D">
        <w:rPr>
          <w:rFonts w:eastAsia="Batang" w:cs="Times"/>
          <w:szCs w:val="24"/>
          <w:lang w:val="pt-BR" w:eastAsia="es-ES"/>
        </w:rPr>
        <w:t>coletiv</w:t>
      </w:r>
      <w:r w:rsidR="000A52D5" w:rsidRPr="00D5464D">
        <w:rPr>
          <w:rFonts w:eastAsia="Batang" w:cs="Times"/>
          <w:szCs w:val="24"/>
          <w:lang w:val="pt-BR" w:eastAsia="es-ES"/>
        </w:rPr>
        <w:t>a</w:t>
      </w:r>
      <w:r w:rsidR="00470ADC" w:rsidRPr="00D5464D">
        <w:rPr>
          <w:rFonts w:eastAsia="Batang" w:cs="Times"/>
          <w:szCs w:val="24"/>
          <w:lang w:val="pt-BR" w:eastAsia="es-ES"/>
        </w:rPr>
        <w:t xml:space="preserve"> das </w:t>
      </w:r>
      <w:r w:rsidR="000A52D5" w:rsidRPr="00D5464D">
        <w:rPr>
          <w:rFonts w:eastAsia="Batang" w:cs="Times"/>
          <w:szCs w:val="24"/>
          <w:lang w:val="pt-BR" w:eastAsia="es-ES"/>
        </w:rPr>
        <w:t>viola</w:t>
      </w:r>
      <w:r w:rsidR="00470ADC" w:rsidRPr="00D5464D">
        <w:rPr>
          <w:rFonts w:eastAsia="Batang" w:cs="Times"/>
          <w:szCs w:val="24"/>
          <w:lang w:val="pt-BR" w:eastAsia="es-ES"/>
        </w:rPr>
        <w:t>ções</w:t>
      </w:r>
      <w:r w:rsidR="000A52D5" w:rsidRPr="00D5464D">
        <w:rPr>
          <w:rFonts w:eastAsia="Batang" w:cs="Times"/>
          <w:szCs w:val="24"/>
          <w:lang w:val="pt-BR" w:eastAsia="es-ES"/>
        </w:rPr>
        <w:t xml:space="preserve">, </w:t>
      </w:r>
      <w:r w:rsidR="0031040E" w:rsidRPr="00D5464D">
        <w:rPr>
          <w:rFonts w:eastAsia="Batang" w:cs="Times"/>
          <w:szCs w:val="24"/>
          <w:lang w:val="pt-BR" w:eastAsia="es-ES"/>
        </w:rPr>
        <w:t xml:space="preserve">bem </w:t>
      </w:r>
      <w:r w:rsidR="000A52D5" w:rsidRPr="00D5464D">
        <w:rPr>
          <w:rFonts w:eastAsia="Batang" w:cs="Times"/>
          <w:szCs w:val="24"/>
          <w:lang w:val="pt-BR" w:eastAsia="es-ES"/>
        </w:rPr>
        <w:t xml:space="preserve">como </w:t>
      </w:r>
      <w:r w:rsidR="0031040E" w:rsidRPr="00D5464D">
        <w:rPr>
          <w:rFonts w:eastAsia="Batang" w:cs="Times"/>
          <w:szCs w:val="24"/>
          <w:lang w:val="pt-BR" w:eastAsia="es-ES"/>
        </w:rPr>
        <w:t xml:space="preserve">de </w:t>
      </w:r>
      <w:r w:rsidR="002C330E" w:rsidRPr="00D5464D">
        <w:rPr>
          <w:rFonts w:eastAsia="Batang" w:cs="Times"/>
          <w:szCs w:val="24"/>
          <w:lang w:val="pt-BR" w:eastAsia="es-ES"/>
        </w:rPr>
        <w:t>outros</w:t>
      </w:r>
      <w:r w:rsidR="000A52D5" w:rsidRPr="00D5464D">
        <w:rPr>
          <w:rFonts w:eastAsia="Batang" w:cs="Times"/>
          <w:szCs w:val="24"/>
          <w:lang w:val="pt-BR" w:eastAsia="es-ES"/>
        </w:rPr>
        <w:t xml:space="preserve"> </w:t>
      </w:r>
      <w:r w:rsidR="00470ADC" w:rsidRPr="00D5464D">
        <w:rPr>
          <w:rFonts w:eastAsia="Batang" w:cs="Times"/>
          <w:szCs w:val="24"/>
          <w:lang w:val="pt-BR" w:eastAsia="es-ES"/>
        </w:rPr>
        <w:t>fato</w:t>
      </w:r>
      <w:r w:rsidR="000A52D5" w:rsidRPr="00D5464D">
        <w:rPr>
          <w:rFonts w:eastAsia="Batang" w:cs="Times"/>
          <w:szCs w:val="24"/>
          <w:lang w:val="pt-BR" w:eastAsia="es-ES"/>
        </w:rPr>
        <w:t xml:space="preserve">res de contexto, </w:t>
      </w:r>
      <w:r w:rsidR="0031040E" w:rsidRPr="00D5464D">
        <w:rPr>
          <w:rFonts w:eastAsia="Batang" w:cs="Times"/>
          <w:szCs w:val="24"/>
          <w:lang w:val="pt-BR" w:eastAsia="es-ES"/>
        </w:rPr>
        <w:t xml:space="preserve">é </w:t>
      </w:r>
      <w:r w:rsidR="002C330E" w:rsidRPr="00D5464D">
        <w:rPr>
          <w:rFonts w:eastAsia="Batang" w:cs="Times"/>
          <w:szCs w:val="24"/>
          <w:lang w:val="pt-BR" w:eastAsia="es-ES"/>
        </w:rPr>
        <w:t xml:space="preserve">razoável </w:t>
      </w:r>
      <w:r w:rsidR="000A52D5" w:rsidRPr="00D5464D">
        <w:rPr>
          <w:rFonts w:eastAsia="Batang" w:cs="Times"/>
          <w:szCs w:val="24"/>
          <w:lang w:val="pt-BR" w:eastAsia="es-ES"/>
        </w:rPr>
        <w:t>aplicar</w:t>
      </w:r>
      <w:r w:rsidR="002C330E" w:rsidRPr="00D5464D">
        <w:rPr>
          <w:rFonts w:eastAsia="Batang" w:cs="Times"/>
          <w:szCs w:val="24"/>
          <w:lang w:val="pt-BR" w:eastAsia="es-ES"/>
        </w:rPr>
        <w:t xml:space="preserve"> o disposto</w:t>
      </w:r>
      <w:r w:rsidR="00E045D9" w:rsidRPr="00D5464D">
        <w:rPr>
          <w:rFonts w:eastAsia="Batang" w:cs="Times"/>
          <w:szCs w:val="24"/>
          <w:lang w:val="pt-BR" w:eastAsia="es-ES"/>
        </w:rPr>
        <w:t xml:space="preserve"> no </w:t>
      </w:r>
      <w:r w:rsidR="00470ADC" w:rsidRPr="00D5464D">
        <w:rPr>
          <w:rFonts w:eastAsia="Batang" w:cs="Times"/>
          <w:szCs w:val="24"/>
          <w:lang w:val="pt-BR" w:eastAsia="es-ES"/>
        </w:rPr>
        <w:t>artigo</w:t>
      </w:r>
      <w:r w:rsidR="000A52D5" w:rsidRPr="00D5464D">
        <w:rPr>
          <w:rFonts w:eastAsia="Batang" w:cs="Times"/>
          <w:szCs w:val="24"/>
          <w:lang w:val="pt-BR" w:eastAsia="es-ES"/>
        </w:rPr>
        <w:t xml:space="preserve"> 35.2 </w:t>
      </w:r>
      <w:r w:rsidR="00470ADC" w:rsidRPr="00D5464D">
        <w:rPr>
          <w:rFonts w:eastAsia="Batang" w:cs="Times"/>
          <w:szCs w:val="24"/>
          <w:lang w:val="pt-BR" w:eastAsia="es-ES"/>
        </w:rPr>
        <w:t xml:space="preserve">do </w:t>
      </w:r>
      <w:r w:rsidR="002C330E" w:rsidRPr="00D5464D">
        <w:rPr>
          <w:rFonts w:eastAsia="Batang" w:cs="Times"/>
          <w:szCs w:val="24"/>
          <w:lang w:val="pt-BR" w:eastAsia="es-ES"/>
        </w:rPr>
        <w:t>Regulamento</w:t>
      </w:r>
      <w:r w:rsidR="00470ADC" w:rsidRPr="00D5464D">
        <w:rPr>
          <w:rFonts w:eastAsia="Batang" w:cs="Times"/>
          <w:szCs w:val="24"/>
          <w:lang w:val="pt-BR" w:eastAsia="es-ES"/>
        </w:rPr>
        <w:t xml:space="preserve"> da </w:t>
      </w:r>
      <w:r w:rsidR="000A52D5" w:rsidRPr="00D5464D">
        <w:rPr>
          <w:rFonts w:eastAsia="Batang" w:cs="Times"/>
          <w:szCs w:val="24"/>
          <w:lang w:val="pt-BR" w:eastAsia="es-ES"/>
        </w:rPr>
        <w:t>Corte,</w:t>
      </w:r>
      <w:r w:rsidR="002C330E" w:rsidRPr="00D5464D">
        <w:rPr>
          <w:rFonts w:eastAsia="Batang" w:cs="Times"/>
          <w:szCs w:val="24"/>
          <w:lang w:val="pt-BR" w:eastAsia="es-ES"/>
        </w:rPr>
        <w:t xml:space="preserve"> </w:t>
      </w:r>
      <w:r w:rsidR="0031040E" w:rsidRPr="00D5464D">
        <w:rPr>
          <w:rFonts w:eastAsia="Batang" w:cs="Times"/>
          <w:szCs w:val="24"/>
          <w:lang w:val="pt-BR" w:eastAsia="es-ES"/>
        </w:rPr>
        <w:t xml:space="preserve">de maneira </w:t>
      </w:r>
      <w:r w:rsidR="002C330E" w:rsidRPr="00D5464D">
        <w:rPr>
          <w:rFonts w:eastAsia="Batang" w:cs="Times"/>
          <w:szCs w:val="24"/>
          <w:lang w:val="pt-BR" w:eastAsia="es-ES"/>
        </w:rPr>
        <w:t xml:space="preserve">que </w:t>
      </w:r>
      <w:r w:rsidR="000A52D5" w:rsidRPr="00D5464D">
        <w:rPr>
          <w:rFonts w:eastAsia="Batang" w:cs="Times"/>
          <w:szCs w:val="24"/>
          <w:lang w:val="pt-BR" w:eastAsia="es-ES"/>
        </w:rPr>
        <w:t xml:space="preserve">se </w:t>
      </w:r>
      <w:r w:rsidRPr="00D5464D">
        <w:rPr>
          <w:rFonts w:eastAsia="Batang" w:cs="Times"/>
          <w:szCs w:val="24"/>
          <w:lang w:val="pt-BR" w:eastAsia="es-ES"/>
        </w:rPr>
        <w:t>deveria</w:t>
      </w:r>
      <w:r w:rsidR="002C330E" w:rsidRPr="00D5464D">
        <w:rPr>
          <w:rFonts w:eastAsia="Batang" w:cs="Times"/>
          <w:szCs w:val="24"/>
          <w:lang w:val="pt-BR" w:eastAsia="es-ES"/>
        </w:rPr>
        <w:t xml:space="preserve"> fazer</w:t>
      </w:r>
      <w:r w:rsidR="00E045D9" w:rsidRPr="00D5464D">
        <w:rPr>
          <w:rFonts w:eastAsia="Batang" w:cs="Times"/>
          <w:szCs w:val="24"/>
          <w:lang w:val="pt-BR" w:eastAsia="es-ES"/>
        </w:rPr>
        <w:t xml:space="preserve"> uma </w:t>
      </w:r>
      <w:r w:rsidR="000A52D5" w:rsidRPr="00D5464D">
        <w:rPr>
          <w:rFonts w:eastAsia="Batang" w:cs="Times"/>
          <w:szCs w:val="24"/>
          <w:lang w:val="pt-BR" w:eastAsia="es-ES"/>
        </w:rPr>
        <w:t>identifica</w:t>
      </w:r>
      <w:r w:rsidR="00470ADC" w:rsidRPr="00D5464D">
        <w:rPr>
          <w:rFonts w:eastAsia="Batang" w:cs="Times"/>
          <w:szCs w:val="24"/>
          <w:lang w:val="pt-BR" w:eastAsia="es-ES"/>
        </w:rPr>
        <w:t>ção</w:t>
      </w:r>
      <w:r w:rsidR="000A52D5" w:rsidRPr="00D5464D">
        <w:rPr>
          <w:rFonts w:eastAsia="Batang" w:cs="Times"/>
          <w:szCs w:val="24"/>
          <w:lang w:val="pt-BR" w:eastAsia="es-ES"/>
        </w:rPr>
        <w:t xml:space="preserve"> </w:t>
      </w:r>
      <w:r w:rsidR="00470ADC" w:rsidRPr="00D5464D">
        <w:rPr>
          <w:rFonts w:eastAsia="Batang" w:cs="Times"/>
          <w:szCs w:val="24"/>
          <w:lang w:val="pt-BR" w:eastAsia="es-ES"/>
        </w:rPr>
        <w:t>coletiv</w:t>
      </w:r>
      <w:r w:rsidR="000A52D5" w:rsidRPr="00D5464D">
        <w:rPr>
          <w:rFonts w:eastAsia="Batang" w:cs="Times"/>
          <w:szCs w:val="24"/>
          <w:lang w:val="pt-BR" w:eastAsia="es-ES"/>
        </w:rPr>
        <w:t xml:space="preserve">a de </w:t>
      </w:r>
      <w:r w:rsidR="001A10D5" w:rsidRPr="00D5464D">
        <w:rPr>
          <w:rFonts w:eastAsia="Batang" w:cs="Times"/>
          <w:szCs w:val="24"/>
          <w:lang w:val="pt-BR" w:eastAsia="es-ES"/>
        </w:rPr>
        <w:t>todas</w:t>
      </w:r>
      <w:r w:rsidR="002C330E" w:rsidRPr="00D5464D">
        <w:rPr>
          <w:rFonts w:eastAsia="Batang" w:cs="Times"/>
          <w:szCs w:val="24"/>
          <w:lang w:val="pt-BR" w:eastAsia="es-ES"/>
        </w:rPr>
        <w:t xml:space="preserve"> as suposta</w:t>
      </w:r>
      <w:r w:rsidR="00350AD5" w:rsidRPr="00D5464D">
        <w:rPr>
          <w:rFonts w:eastAsia="Batang" w:cs="Times"/>
          <w:szCs w:val="24"/>
          <w:lang w:val="pt-BR" w:eastAsia="es-ES"/>
        </w:rPr>
        <w:t xml:space="preserve">s </w:t>
      </w:r>
      <w:r w:rsidR="00E045D9" w:rsidRPr="00D5464D">
        <w:rPr>
          <w:rFonts w:eastAsia="Batang" w:cs="Times"/>
          <w:szCs w:val="24"/>
          <w:lang w:val="pt-BR" w:eastAsia="es-ES"/>
        </w:rPr>
        <w:t>vítima</w:t>
      </w:r>
      <w:r w:rsidR="000A52D5" w:rsidRPr="00D5464D">
        <w:rPr>
          <w:rFonts w:eastAsia="Batang" w:cs="Times"/>
          <w:szCs w:val="24"/>
          <w:lang w:val="pt-BR" w:eastAsia="es-ES"/>
        </w:rPr>
        <w:t>s encontradas</w:t>
      </w:r>
      <w:r w:rsidR="00E045D9" w:rsidRPr="00D5464D">
        <w:rPr>
          <w:rFonts w:eastAsia="Batang" w:cs="Times"/>
          <w:szCs w:val="24"/>
          <w:lang w:val="pt-BR" w:eastAsia="es-ES"/>
        </w:rPr>
        <w:t xml:space="preserve"> nas </w:t>
      </w:r>
      <w:r w:rsidR="0031040E" w:rsidRPr="00D5464D">
        <w:rPr>
          <w:rFonts w:eastAsia="Batang" w:cs="Times"/>
          <w:szCs w:val="24"/>
          <w:lang w:val="pt-BR" w:eastAsia="es-ES"/>
        </w:rPr>
        <w:t>fiscalizações</w:t>
      </w:r>
      <w:r w:rsidR="000A52D5" w:rsidRPr="00D5464D">
        <w:rPr>
          <w:rFonts w:eastAsia="Batang" w:cs="Times"/>
          <w:szCs w:val="24"/>
          <w:lang w:val="pt-BR" w:eastAsia="es-ES"/>
        </w:rPr>
        <w:t xml:space="preserve"> de 1993, 1996, 1997</w:t>
      </w:r>
      <w:r w:rsidR="00E045D9" w:rsidRPr="00D5464D">
        <w:rPr>
          <w:rFonts w:eastAsia="Batang" w:cs="Times"/>
          <w:szCs w:val="24"/>
          <w:lang w:val="pt-BR" w:eastAsia="es-ES"/>
        </w:rPr>
        <w:t xml:space="preserve"> e </w:t>
      </w:r>
      <w:r w:rsidR="000A52D5" w:rsidRPr="00D5464D">
        <w:rPr>
          <w:rFonts w:eastAsia="Batang" w:cs="Times"/>
          <w:szCs w:val="24"/>
          <w:lang w:val="pt-BR" w:eastAsia="es-ES"/>
        </w:rPr>
        <w:t>2000</w:t>
      </w:r>
      <w:r w:rsidR="00E045D9" w:rsidRPr="00D5464D">
        <w:rPr>
          <w:rFonts w:eastAsia="Batang" w:cs="Times"/>
          <w:szCs w:val="24"/>
          <w:lang w:val="pt-BR" w:eastAsia="es-ES"/>
        </w:rPr>
        <w:t xml:space="preserve"> na </w:t>
      </w:r>
      <w:r w:rsidR="00D809F0" w:rsidRPr="00D5464D">
        <w:rPr>
          <w:rFonts w:eastAsia="Batang" w:cs="Times"/>
          <w:szCs w:val="24"/>
          <w:lang w:val="pt-BR" w:eastAsia="es-ES"/>
        </w:rPr>
        <w:t>Fazenda</w:t>
      </w:r>
      <w:r w:rsidR="000A52D5" w:rsidRPr="00D5464D">
        <w:rPr>
          <w:rFonts w:eastAsia="Batang" w:cs="Times"/>
          <w:szCs w:val="24"/>
          <w:lang w:val="pt-BR" w:eastAsia="es-ES"/>
        </w:rPr>
        <w:t xml:space="preserve"> Brasil Verde.</w:t>
      </w:r>
    </w:p>
    <w:p w14:paraId="0A58C8F0" w14:textId="77777777" w:rsidR="000A52D5" w:rsidRPr="00D5464D" w:rsidRDefault="000A52D5" w:rsidP="00140440">
      <w:pPr>
        <w:tabs>
          <w:tab w:val="clear" w:pos="4419"/>
          <w:tab w:val="clear" w:pos="8838"/>
        </w:tabs>
        <w:jc w:val="both"/>
        <w:rPr>
          <w:rFonts w:eastAsia="Batang" w:cs="Times"/>
          <w:szCs w:val="24"/>
          <w:lang w:val="pt-BR" w:eastAsia="es-ES"/>
        </w:rPr>
      </w:pPr>
    </w:p>
    <w:p w14:paraId="0B2149E6" w14:textId="69E41490" w:rsidR="000A52D5" w:rsidRPr="00D5464D" w:rsidRDefault="0031040E"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Além disso</w:t>
      </w:r>
      <w:r w:rsidR="000A52D5" w:rsidRPr="00D5464D">
        <w:rPr>
          <w:rFonts w:eastAsia="Batang" w:cs="Times"/>
          <w:szCs w:val="24"/>
          <w:lang w:val="pt-BR" w:eastAsia="es-ES"/>
        </w:rPr>
        <w:t xml:space="preserve">, </w:t>
      </w:r>
      <w:r w:rsidR="002C330E" w:rsidRPr="00D5464D">
        <w:rPr>
          <w:rFonts w:eastAsia="Batang" w:cs="Times"/>
          <w:szCs w:val="24"/>
          <w:lang w:val="pt-BR" w:eastAsia="es-ES"/>
        </w:rPr>
        <w:t>afirmaram</w:t>
      </w:r>
      <w:r w:rsidR="000A52D5" w:rsidRPr="00D5464D">
        <w:rPr>
          <w:rFonts w:eastAsia="Batang" w:cs="Times"/>
          <w:szCs w:val="24"/>
          <w:lang w:val="pt-BR" w:eastAsia="es-ES"/>
        </w:rPr>
        <w:t xml:space="preserve"> que </w:t>
      </w:r>
      <w:r w:rsidR="00E045D9" w:rsidRPr="00D5464D">
        <w:rPr>
          <w:rFonts w:eastAsia="Batang" w:cs="Times"/>
          <w:szCs w:val="24"/>
          <w:lang w:val="pt-BR" w:eastAsia="es-ES"/>
        </w:rPr>
        <w:t>conseguiram</w:t>
      </w:r>
      <w:r w:rsidR="000A52D5" w:rsidRPr="00D5464D">
        <w:rPr>
          <w:rFonts w:eastAsia="Batang" w:cs="Times"/>
          <w:szCs w:val="24"/>
          <w:lang w:val="pt-BR" w:eastAsia="es-ES"/>
        </w:rPr>
        <w:t xml:space="preserve"> identificar 49 </w:t>
      </w:r>
      <w:r w:rsidR="002C330E" w:rsidRPr="00D5464D">
        <w:rPr>
          <w:rFonts w:eastAsia="Batang" w:cs="Times"/>
          <w:szCs w:val="24"/>
          <w:lang w:val="pt-BR" w:eastAsia="es-ES"/>
        </w:rPr>
        <w:t>pessoa</w:t>
      </w:r>
      <w:r w:rsidR="00350AD5" w:rsidRPr="00D5464D">
        <w:rPr>
          <w:rFonts w:eastAsia="Batang" w:cs="Times"/>
          <w:szCs w:val="24"/>
          <w:lang w:val="pt-BR" w:eastAsia="es-ES"/>
        </w:rPr>
        <w:t>s</w:t>
      </w:r>
      <w:r w:rsidR="00470ADC" w:rsidRPr="00D5464D">
        <w:rPr>
          <w:rFonts w:eastAsia="Batang" w:cs="Times"/>
          <w:szCs w:val="24"/>
          <w:lang w:val="pt-BR" w:eastAsia="es-ES"/>
        </w:rPr>
        <w:t xml:space="preserve"> da </w:t>
      </w:r>
      <w:r w:rsidR="00AB4663" w:rsidRPr="00D5464D">
        <w:rPr>
          <w:rFonts w:eastAsia="Batang" w:cs="Times"/>
          <w:szCs w:val="24"/>
          <w:lang w:val="pt-BR" w:eastAsia="es-ES"/>
        </w:rPr>
        <w:t>fiscalização</w:t>
      </w:r>
      <w:r w:rsidR="000A52D5" w:rsidRPr="00D5464D">
        <w:rPr>
          <w:rFonts w:eastAsia="Batang" w:cs="Times"/>
          <w:szCs w:val="24"/>
          <w:lang w:val="pt-BR" w:eastAsia="es-ES"/>
        </w:rPr>
        <w:t xml:space="preserve"> de 1993; 78</w:t>
      </w:r>
      <w:r w:rsidR="00470ADC" w:rsidRPr="00D5464D">
        <w:rPr>
          <w:rFonts w:eastAsia="Batang" w:cs="Times"/>
          <w:szCs w:val="24"/>
          <w:lang w:val="pt-BR" w:eastAsia="es-ES"/>
        </w:rPr>
        <w:t xml:space="preserve"> da </w:t>
      </w:r>
      <w:r w:rsidR="00AB4663" w:rsidRPr="00D5464D">
        <w:rPr>
          <w:rFonts w:eastAsia="Batang" w:cs="Times"/>
          <w:szCs w:val="24"/>
          <w:lang w:val="pt-BR" w:eastAsia="es-ES"/>
        </w:rPr>
        <w:t>fiscalização</w:t>
      </w:r>
      <w:r w:rsidR="000A52D5" w:rsidRPr="00D5464D">
        <w:rPr>
          <w:rFonts w:eastAsia="Batang" w:cs="Times"/>
          <w:szCs w:val="24"/>
          <w:lang w:val="pt-BR" w:eastAsia="es-ES"/>
        </w:rPr>
        <w:t xml:space="preserve"> de 1996; 93</w:t>
      </w:r>
      <w:r w:rsidR="00470ADC" w:rsidRPr="00D5464D">
        <w:rPr>
          <w:rFonts w:eastAsia="Batang" w:cs="Times"/>
          <w:szCs w:val="24"/>
          <w:lang w:val="pt-BR" w:eastAsia="es-ES"/>
        </w:rPr>
        <w:t xml:space="preserve"> da </w:t>
      </w:r>
      <w:r w:rsidR="000A52D5" w:rsidRPr="00D5464D">
        <w:rPr>
          <w:rFonts w:eastAsia="Batang" w:cs="Times"/>
          <w:szCs w:val="24"/>
          <w:lang w:val="pt-BR" w:eastAsia="es-ES"/>
        </w:rPr>
        <w:t>visita de 1997</w:t>
      </w:r>
      <w:r w:rsidR="00E045D9" w:rsidRPr="00D5464D">
        <w:rPr>
          <w:rFonts w:eastAsia="Batang" w:cs="Times"/>
          <w:szCs w:val="24"/>
          <w:lang w:val="pt-BR" w:eastAsia="es-ES"/>
        </w:rPr>
        <w:t xml:space="preserve"> e </w:t>
      </w:r>
      <w:r w:rsidR="000A52D5" w:rsidRPr="00D5464D">
        <w:rPr>
          <w:rFonts w:eastAsia="Batang" w:cs="Times"/>
          <w:szCs w:val="24"/>
          <w:lang w:val="pt-BR" w:eastAsia="es-ES"/>
        </w:rPr>
        <w:t>85</w:t>
      </w:r>
      <w:r w:rsidR="00470ADC" w:rsidRPr="00D5464D">
        <w:rPr>
          <w:rFonts w:eastAsia="Batang" w:cs="Times"/>
          <w:szCs w:val="24"/>
          <w:lang w:val="pt-BR" w:eastAsia="es-ES"/>
        </w:rPr>
        <w:t xml:space="preserve"> da </w:t>
      </w:r>
      <w:r w:rsidR="00AB4663" w:rsidRPr="00D5464D">
        <w:rPr>
          <w:rFonts w:eastAsia="Batang" w:cs="Times"/>
          <w:szCs w:val="24"/>
          <w:lang w:val="pt-BR" w:eastAsia="es-ES"/>
        </w:rPr>
        <w:t>fiscalização</w:t>
      </w:r>
      <w:r w:rsidR="000A52D5" w:rsidRPr="00D5464D">
        <w:rPr>
          <w:rFonts w:eastAsia="Batang" w:cs="Times"/>
          <w:szCs w:val="24"/>
          <w:lang w:val="pt-BR" w:eastAsia="es-ES"/>
        </w:rPr>
        <w:t xml:space="preserve"> de 2000. </w:t>
      </w:r>
      <w:r w:rsidR="002C330E" w:rsidRPr="00D5464D">
        <w:rPr>
          <w:rFonts w:eastAsia="Batang" w:cs="Times"/>
          <w:szCs w:val="24"/>
          <w:lang w:val="pt-BR" w:eastAsia="es-ES"/>
        </w:rPr>
        <w:t>Indicaram</w:t>
      </w:r>
      <w:r w:rsidR="000A52D5" w:rsidRPr="00D5464D">
        <w:rPr>
          <w:rFonts w:eastAsia="Batang" w:cs="Times"/>
          <w:szCs w:val="24"/>
          <w:lang w:val="pt-BR" w:eastAsia="es-ES"/>
        </w:rPr>
        <w:t xml:space="preserve"> que</w:t>
      </w:r>
      <w:r w:rsidR="001A10D5" w:rsidRPr="00D5464D">
        <w:rPr>
          <w:rFonts w:eastAsia="Batang" w:cs="Times"/>
          <w:szCs w:val="24"/>
          <w:lang w:val="pt-BR" w:eastAsia="es-ES"/>
        </w:rPr>
        <w:t>,</w:t>
      </w:r>
      <w:r w:rsidR="00E045D9" w:rsidRPr="00D5464D">
        <w:rPr>
          <w:rFonts w:eastAsia="Batang" w:cs="Times"/>
          <w:szCs w:val="24"/>
          <w:lang w:val="pt-BR" w:eastAsia="es-ES"/>
        </w:rPr>
        <w:t xml:space="preserve"> na </w:t>
      </w:r>
      <w:r w:rsidR="000A52D5" w:rsidRPr="00D5464D">
        <w:rPr>
          <w:rFonts w:eastAsia="Batang" w:cs="Times"/>
          <w:szCs w:val="24"/>
          <w:lang w:val="pt-BR" w:eastAsia="es-ES"/>
        </w:rPr>
        <w:t>medida de su</w:t>
      </w:r>
      <w:r w:rsidRPr="00D5464D">
        <w:rPr>
          <w:rFonts w:eastAsia="Batang" w:cs="Times"/>
          <w:szCs w:val="24"/>
          <w:lang w:val="pt-BR" w:eastAsia="es-ES"/>
        </w:rPr>
        <w:t>a</w:t>
      </w:r>
      <w:r w:rsidR="000A52D5" w:rsidRPr="00D5464D">
        <w:rPr>
          <w:rFonts w:eastAsia="Batang" w:cs="Times"/>
          <w:szCs w:val="24"/>
          <w:lang w:val="pt-BR" w:eastAsia="es-ES"/>
        </w:rPr>
        <w:t xml:space="preserve">s </w:t>
      </w:r>
      <w:r w:rsidR="00737270" w:rsidRPr="00D5464D">
        <w:rPr>
          <w:rFonts w:eastAsia="Batang" w:cs="Times"/>
          <w:szCs w:val="24"/>
          <w:lang w:val="pt-BR" w:eastAsia="es-ES"/>
        </w:rPr>
        <w:t>possibilidade</w:t>
      </w:r>
      <w:r w:rsidR="000A52D5" w:rsidRPr="00D5464D">
        <w:rPr>
          <w:rFonts w:eastAsia="Batang" w:cs="Times"/>
          <w:szCs w:val="24"/>
          <w:lang w:val="pt-BR" w:eastAsia="es-ES"/>
        </w:rPr>
        <w:t>s</w:t>
      </w:r>
      <w:r w:rsidR="00470ADC" w:rsidRPr="00D5464D">
        <w:rPr>
          <w:rFonts w:eastAsia="Batang" w:cs="Times"/>
          <w:szCs w:val="24"/>
          <w:lang w:val="pt-BR" w:eastAsia="es-ES"/>
        </w:rPr>
        <w:t>, e</w:t>
      </w:r>
      <w:r w:rsidR="00737270" w:rsidRPr="00D5464D">
        <w:rPr>
          <w:rFonts w:eastAsia="Batang" w:cs="Times"/>
          <w:szCs w:val="24"/>
          <w:lang w:val="pt-BR" w:eastAsia="es-ES"/>
        </w:rPr>
        <w:t xml:space="preserve"> apesar </w:t>
      </w:r>
      <w:r w:rsidR="00470ADC" w:rsidRPr="00D5464D">
        <w:rPr>
          <w:rFonts w:eastAsia="Batang" w:cs="Times"/>
          <w:szCs w:val="24"/>
          <w:lang w:val="pt-BR" w:eastAsia="es-ES"/>
        </w:rPr>
        <w:t>das dificuldades</w:t>
      </w:r>
      <w:r w:rsidR="000A52D5" w:rsidRPr="00D5464D">
        <w:rPr>
          <w:rFonts w:eastAsia="Batang" w:cs="Times"/>
          <w:szCs w:val="24"/>
          <w:lang w:val="pt-BR" w:eastAsia="es-ES"/>
        </w:rPr>
        <w:t xml:space="preserve"> </w:t>
      </w:r>
      <w:r w:rsidR="00737270" w:rsidRPr="00D5464D">
        <w:rPr>
          <w:rFonts w:eastAsia="Batang" w:cs="Times"/>
          <w:szCs w:val="24"/>
          <w:lang w:val="pt-BR" w:eastAsia="es-ES"/>
        </w:rPr>
        <w:t>existentes</w:t>
      </w:r>
      <w:r w:rsidR="000A52D5" w:rsidRPr="00D5464D">
        <w:rPr>
          <w:rFonts w:eastAsia="Batang" w:cs="Times"/>
          <w:szCs w:val="24"/>
          <w:lang w:val="pt-BR" w:eastAsia="es-ES"/>
        </w:rPr>
        <w:t>, es</w:t>
      </w:r>
      <w:r w:rsidR="00470ADC" w:rsidRPr="00D5464D">
        <w:rPr>
          <w:rFonts w:eastAsia="Batang" w:cs="Times"/>
          <w:szCs w:val="24"/>
          <w:lang w:val="pt-BR" w:eastAsia="es-ES"/>
        </w:rPr>
        <w:t>forç</w:t>
      </w:r>
      <w:r w:rsidR="00350187" w:rsidRPr="00D5464D">
        <w:rPr>
          <w:rFonts w:eastAsia="Batang" w:cs="Times"/>
          <w:szCs w:val="24"/>
          <w:lang w:val="pt-BR" w:eastAsia="es-ES"/>
        </w:rPr>
        <w:t>aram</w:t>
      </w:r>
      <w:r w:rsidRPr="00D5464D">
        <w:rPr>
          <w:rFonts w:eastAsia="Batang" w:cs="Times"/>
          <w:szCs w:val="24"/>
          <w:lang w:val="pt-BR" w:eastAsia="es-ES"/>
        </w:rPr>
        <w:t>-se</w:t>
      </w:r>
      <w:r w:rsidR="00350187" w:rsidRPr="00D5464D">
        <w:rPr>
          <w:rFonts w:eastAsia="Batang" w:cs="Times"/>
          <w:szCs w:val="24"/>
          <w:lang w:val="pt-BR" w:eastAsia="es-ES"/>
        </w:rPr>
        <w:t xml:space="preserve"> </w:t>
      </w:r>
      <w:r w:rsidR="00F00FDF" w:rsidRPr="00D5464D">
        <w:rPr>
          <w:rFonts w:eastAsia="Batang" w:cs="Times"/>
          <w:szCs w:val="24"/>
          <w:lang w:val="pt-BR" w:eastAsia="es-ES"/>
        </w:rPr>
        <w:t xml:space="preserve">para </w:t>
      </w:r>
      <w:r w:rsidR="000A52D5" w:rsidRPr="00D5464D">
        <w:rPr>
          <w:rFonts w:eastAsia="Batang" w:cs="Times"/>
          <w:szCs w:val="24"/>
          <w:lang w:val="pt-BR" w:eastAsia="es-ES"/>
        </w:rPr>
        <w:t>individualizar</w:t>
      </w:r>
      <w:r w:rsidR="00470ADC" w:rsidRPr="00D5464D">
        <w:rPr>
          <w:rFonts w:eastAsia="Batang" w:cs="Times"/>
          <w:szCs w:val="24"/>
          <w:lang w:val="pt-BR" w:eastAsia="es-ES"/>
        </w:rPr>
        <w:t xml:space="preserve"> com </w:t>
      </w:r>
      <w:r w:rsidR="002C330E" w:rsidRPr="00D5464D">
        <w:rPr>
          <w:rFonts w:eastAsia="Batang" w:cs="Times"/>
          <w:szCs w:val="24"/>
          <w:lang w:val="pt-BR" w:eastAsia="es-ES"/>
        </w:rPr>
        <w:t>nome</w:t>
      </w:r>
      <w:r w:rsidR="000A52D5" w:rsidRPr="00D5464D">
        <w:rPr>
          <w:rFonts w:eastAsia="Batang" w:cs="Times"/>
          <w:szCs w:val="24"/>
          <w:lang w:val="pt-BR" w:eastAsia="es-ES"/>
        </w:rPr>
        <w:t>s</w:t>
      </w:r>
      <w:r w:rsidR="00E045D9" w:rsidRPr="00D5464D">
        <w:rPr>
          <w:rFonts w:eastAsia="Batang" w:cs="Times"/>
          <w:szCs w:val="24"/>
          <w:lang w:val="pt-BR" w:eastAsia="es-ES"/>
        </w:rPr>
        <w:t xml:space="preserve"> e </w:t>
      </w:r>
      <w:r w:rsidRPr="00D5464D">
        <w:rPr>
          <w:rFonts w:eastAsia="Batang" w:cs="Times"/>
          <w:szCs w:val="24"/>
          <w:lang w:val="pt-BR" w:eastAsia="es-ES"/>
        </w:rPr>
        <w:t>sobrenomes</w:t>
      </w:r>
      <w:r w:rsidR="00F00FDF" w:rsidRPr="00D5464D">
        <w:rPr>
          <w:rFonts w:eastAsia="Batang" w:cs="Times"/>
          <w:szCs w:val="24"/>
          <w:lang w:val="pt-BR" w:eastAsia="es-ES"/>
        </w:rPr>
        <w:t>,</w:t>
      </w:r>
      <w:r w:rsidRPr="00D5464D">
        <w:rPr>
          <w:rFonts w:eastAsia="Batang" w:cs="Times"/>
          <w:szCs w:val="24"/>
          <w:lang w:val="pt-BR" w:eastAsia="es-ES"/>
        </w:rPr>
        <w:t xml:space="preserve"> pel</w:t>
      </w:r>
      <w:r w:rsidR="00470ADC" w:rsidRPr="00D5464D">
        <w:rPr>
          <w:rFonts w:eastAsia="Batang" w:cs="Times"/>
          <w:szCs w:val="24"/>
          <w:lang w:val="pt-BR" w:eastAsia="es-ES"/>
        </w:rPr>
        <w:t xml:space="preserve">o </w:t>
      </w:r>
      <w:r w:rsidR="000A52D5" w:rsidRPr="00D5464D">
        <w:rPr>
          <w:rFonts w:eastAsia="Batang" w:cs="Times"/>
          <w:szCs w:val="24"/>
          <w:lang w:val="pt-BR" w:eastAsia="es-ES"/>
        </w:rPr>
        <w:t>menos</w:t>
      </w:r>
      <w:r w:rsidR="00F00FDF" w:rsidRPr="00D5464D">
        <w:rPr>
          <w:rFonts w:eastAsia="Batang" w:cs="Times"/>
          <w:szCs w:val="24"/>
          <w:lang w:val="pt-BR" w:eastAsia="es-ES"/>
        </w:rPr>
        <w:t>,</w:t>
      </w:r>
      <w:r w:rsidR="000A52D5" w:rsidRPr="00D5464D">
        <w:rPr>
          <w:rFonts w:eastAsia="Batang" w:cs="Times"/>
          <w:szCs w:val="24"/>
          <w:lang w:val="pt-BR" w:eastAsia="es-ES"/>
        </w:rPr>
        <w:t xml:space="preserve"> todas</w:t>
      </w:r>
      <w:r w:rsidR="00470ADC" w:rsidRPr="00D5464D">
        <w:rPr>
          <w:rFonts w:eastAsia="Batang" w:cs="Times"/>
          <w:szCs w:val="24"/>
          <w:lang w:val="pt-BR" w:eastAsia="es-ES"/>
        </w:rPr>
        <w:t xml:space="preserve"> </w:t>
      </w:r>
      <w:r w:rsidRPr="00D5464D">
        <w:rPr>
          <w:rFonts w:eastAsia="Batang" w:cs="Times"/>
          <w:szCs w:val="24"/>
          <w:lang w:val="pt-BR" w:eastAsia="es-ES"/>
        </w:rPr>
        <w:t xml:space="preserve">as </w:t>
      </w:r>
      <w:r w:rsidR="00F00FDF" w:rsidRPr="00D5464D">
        <w:rPr>
          <w:rFonts w:eastAsia="Batang" w:cs="Times"/>
          <w:szCs w:val="24"/>
          <w:lang w:val="pt-BR" w:eastAsia="es-ES"/>
        </w:rPr>
        <w:t xml:space="preserve">pessoas </w:t>
      </w:r>
      <w:r w:rsidRPr="00D5464D">
        <w:rPr>
          <w:rFonts w:eastAsia="Batang" w:cs="Times"/>
          <w:szCs w:val="24"/>
          <w:lang w:val="pt-BR" w:eastAsia="es-ES"/>
        </w:rPr>
        <w:t xml:space="preserve">a cujos documentos tiveram acesso, </w:t>
      </w:r>
      <w:r w:rsidR="002C330E" w:rsidRPr="00D5464D">
        <w:rPr>
          <w:rFonts w:eastAsia="Batang" w:cs="Times"/>
          <w:szCs w:val="24"/>
          <w:lang w:val="pt-BR" w:eastAsia="es-ES"/>
        </w:rPr>
        <w:t xml:space="preserve">sem </w:t>
      </w:r>
      <w:r w:rsidR="000A52D5" w:rsidRPr="00D5464D">
        <w:rPr>
          <w:rFonts w:eastAsia="Batang" w:cs="Times"/>
          <w:szCs w:val="24"/>
          <w:lang w:val="pt-BR" w:eastAsia="es-ES"/>
        </w:rPr>
        <w:t xml:space="preserve">perder de vista que </w:t>
      </w:r>
      <w:r w:rsidR="00F00FDF" w:rsidRPr="00D5464D">
        <w:rPr>
          <w:rFonts w:eastAsia="Batang" w:cs="Times"/>
          <w:szCs w:val="24"/>
          <w:lang w:val="pt-BR" w:eastAsia="es-ES"/>
        </w:rPr>
        <w:t xml:space="preserve">já haviam </w:t>
      </w:r>
      <w:r w:rsidRPr="00D5464D">
        <w:rPr>
          <w:rFonts w:eastAsia="Batang" w:cs="Times"/>
          <w:szCs w:val="24"/>
          <w:lang w:val="pt-BR" w:eastAsia="es-ES"/>
        </w:rPr>
        <w:t xml:space="preserve">transcorridos </w:t>
      </w:r>
      <w:r w:rsidR="000A52D5" w:rsidRPr="00D5464D">
        <w:rPr>
          <w:rFonts w:eastAsia="Batang" w:cs="Times"/>
          <w:szCs w:val="24"/>
          <w:lang w:val="pt-BR" w:eastAsia="es-ES"/>
        </w:rPr>
        <w:t xml:space="preserve">20 </w:t>
      </w:r>
      <w:r w:rsidR="00470ADC" w:rsidRPr="00D5464D">
        <w:rPr>
          <w:rFonts w:eastAsia="Batang" w:cs="Times"/>
          <w:szCs w:val="24"/>
          <w:lang w:val="pt-BR" w:eastAsia="es-ES"/>
        </w:rPr>
        <w:t>anos</w:t>
      </w:r>
      <w:r w:rsidR="000A52D5" w:rsidRPr="00D5464D">
        <w:rPr>
          <w:rFonts w:eastAsia="Batang" w:cs="Times"/>
          <w:szCs w:val="24"/>
          <w:lang w:val="pt-BR" w:eastAsia="es-ES"/>
        </w:rPr>
        <w:t xml:space="preserve"> desde </w:t>
      </w:r>
      <w:r w:rsidR="002C330E" w:rsidRPr="00D5464D">
        <w:rPr>
          <w:rFonts w:eastAsia="Batang" w:cs="Times"/>
          <w:szCs w:val="24"/>
          <w:lang w:val="pt-BR" w:eastAsia="es-ES"/>
        </w:rPr>
        <w:t>a primeira</w:t>
      </w:r>
      <w:r w:rsidR="000A52D5" w:rsidRPr="00D5464D">
        <w:rPr>
          <w:rFonts w:eastAsia="Batang" w:cs="Times"/>
          <w:szCs w:val="24"/>
          <w:lang w:val="pt-BR" w:eastAsia="es-ES"/>
        </w:rPr>
        <w:t xml:space="preserve"> </w:t>
      </w:r>
      <w:r w:rsidR="00AB4663" w:rsidRPr="00D5464D">
        <w:rPr>
          <w:rFonts w:eastAsia="Batang" w:cs="Times"/>
          <w:szCs w:val="24"/>
          <w:lang w:val="pt-BR" w:eastAsia="es-ES"/>
        </w:rPr>
        <w:t>fiscalização</w:t>
      </w:r>
      <w:r w:rsidR="000A52D5" w:rsidRPr="00D5464D">
        <w:rPr>
          <w:rFonts w:eastAsia="Batang" w:cs="Times"/>
          <w:szCs w:val="24"/>
          <w:lang w:val="pt-BR" w:eastAsia="es-ES"/>
        </w:rPr>
        <w:t>,</w:t>
      </w:r>
      <w:r w:rsidR="002C330E" w:rsidRPr="00D5464D">
        <w:rPr>
          <w:rFonts w:eastAsia="Batang" w:cs="Times"/>
          <w:szCs w:val="24"/>
          <w:lang w:val="pt-BR" w:eastAsia="es-ES"/>
        </w:rPr>
        <w:t xml:space="preserve"> o que </w:t>
      </w:r>
      <w:r w:rsidR="00737270" w:rsidRPr="00D5464D">
        <w:rPr>
          <w:rFonts w:eastAsia="Batang" w:cs="Times"/>
          <w:szCs w:val="24"/>
          <w:lang w:val="pt-BR" w:eastAsia="es-ES"/>
        </w:rPr>
        <w:t>dificultou</w:t>
      </w:r>
      <w:r w:rsidR="00470ADC" w:rsidRPr="00D5464D">
        <w:rPr>
          <w:rFonts w:eastAsia="Batang" w:cs="Times"/>
          <w:szCs w:val="24"/>
          <w:lang w:val="pt-BR" w:eastAsia="es-ES"/>
        </w:rPr>
        <w:t xml:space="preserve"> o </w:t>
      </w:r>
      <w:r w:rsidR="00737270" w:rsidRPr="00D5464D">
        <w:rPr>
          <w:rFonts w:eastAsia="Batang" w:cs="Times"/>
          <w:szCs w:val="24"/>
          <w:lang w:val="pt-BR" w:eastAsia="es-ES"/>
        </w:rPr>
        <w:t>contato</w:t>
      </w:r>
      <w:r w:rsidR="00470ADC" w:rsidRPr="00D5464D">
        <w:rPr>
          <w:rFonts w:eastAsia="Batang" w:cs="Times"/>
          <w:szCs w:val="24"/>
          <w:lang w:val="pt-BR" w:eastAsia="es-ES"/>
        </w:rPr>
        <w:t xml:space="preserve"> com </w:t>
      </w:r>
      <w:r w:rsidR="00D14320" w:rsidRPr="00D5464D">
        <w:rPr>
          <w:rFonts w:eastAsia="Batang" w:cs="Times"/>
          <w:szCs w:val="24"/>
          <w:lang w:val="pt-BR" w:eastAsia="es-ES"/>
        </w:rPr>
        <w:t>as supostas vítimas</w:t>
      </w:r>
      <w:r w:rsidR="000A52D5" w:rsidRPr="00D5464D">
        <w:rPr>
          <w:rFonts w:eastAsia="Batang" w:cs="Times"/>
          <w:szCs w:val="24"/>
          <w:lang w:val="pt-BR" w:eastAsia="es-ES"/>
        </w:rPr>
        <w:t xml:space="preserve">. </w:t>
      </w:r>
      <w:r w:rsidR="00D14320" w:rsidRPr="00D5464D">
        <w:rPr>
          <w:rFonts w:eastAsia="Batang" w:cs="Times"/>
          <w:szCs w:val="24"/>
          <w:lang w:val="pt-BR" w:eastAsia="es-ES"/>
        </w:rPr>
        <w:t>Outrossim</w:t>
      </w:r>
      <w:r w:rsidR="00350187" w:rsidRPr="00D5464D">
        <w:rPr>
          <w:rFonts w:eastAsia="Batang" w:cs="Times"/>
          <w:szCs w:val="24"/>
          <w:lang w:val="pt-BR" w:eastAsia="es-ES"/>
        </w:rPr>
        <w:t xml:space="preserve">, </w:t>
      </w:r>
      <w:r w:rsidR="002C330E" w:rsidRPr="00D5464D">
        <w:rPr>
          <w:rFonts w:eastAsia="Batang" w:cs="Times"/>
          <w:szCs w:val="24"/>
          <w:lang w:val="pt-BR" w:eastAsia="es-ES"/>
        </w:rPr>
        <w:t>indicaram</w:t>
      </w:r>
      <w:r w:rsidR="000A52D5" w:rsidRPr="00D5464D">
        <w:rPr>
          <w:rFonts w:eastAsia="Batang" w:cs="Times"/>
          <w:szCs w:val="24"/>
          <w:lang w:val="pt-BR" w:eastAsia="es-ES"/>
        </w:rPr>
        <w:t xml:space="preserve"> que</w:t>
      </w:r>
      <w:r w:rsidR="00E045D9" w:rsidRPr="00D5464D">
        <w:rPr>
          <w:rFonts w:eastAsia="Batang" w:cs="Times"/>
          <w:szCs w:val="24"/>
          <w:lang w:val="pt-BR" w:eastAsia="es-ES"/>
        </w:rPr>
        <w:t xml:space="preserve"> na </w:t>
      </w:r>
      <w:r w:rsidR="00AB4663" w:rsidRPr="00D5464D">
        <w:rPr>
          <w:rFonts w:eastAsia="Batang" w:cs="Times"/>
          <w:szCs w:val="24"/>
          <w:lang w:val="pt-BR" w:eastAsia="es-ES"/>
        </w:rPr>
        <w:t>fiscalização</w:t>
      </w:r>
      <w:r w:rsidR="000A52D5" w:rsidRPr="00D5464D">
        <w:rPr>
          <w:rFonts w:eastAsia="Batang" w:cs="Times"/>
          <w:szCs w:val="24"/>
          <w:lang w:val="pt-BR" w:eastAsia="es-ES"/>
        </w:rPr>
        <w:t xml:space="preserve"> de 2000 </w:t>
      </w:r>
      <w:r w:rsidR="00E765C2" w:rsidRPr="00D5464D">
        <w:rPr>
          <w:rFonts w:eastAsia="Batang" w:cs="Times"/>
          <w:szCs w:val="24"/>
          <w:lang w:val="pt-BR" w:eastAsia="es-ES"/>
        </w:rPr>
        <w:t>verificou</w:t>
      </w:r>
      <w:r w:rsidR="00D14320" w:rsidRPr="00D5464D">
        <w:rPr>
          <w:rFonts w:eastAsia="Batang" w:cs="Times"/>
          <w:szCs w:val="24"/>
          <w:lang w:val="pt-BR" w:eastAsia="es-ES"/>
        </w:rPr>
        <w:t>-se</w:t>
      </w:r>
      <w:r w:rsidR="000A52D5" w:rsidRPr="00D5464D">
        <w:rPr>
          <w:rFonts w:eastAsia="Batang" w:cs="Times"/>
          <w:szCs w:val="24"/>
          <w:lang w:val="pt-BR" w:eastAsia="es-ES"/>
        </w:rPr>
        <w:t xml:space="preserve"> que</w:t>
      </w:r>
      <w:r w:rsidR="002C330E" w:rsidRPr="00D5464D">
        <w:rPr>
          <w:rFonts w:eastAsia="Batang" w:cs="Times"/>
          <w:szCs w:val="24"/>
          <w:lang w:val="pt-BR" w:eastAsia="es-ES"/>
        </w:rPr>
        <w:t xml:space="preserve"> a maioria</w:t>
      </w:r>
      <w:r w:rsidR="00470ADC" w:rsidRPr="00D5464D">
        <w:rPr>
          <w:rFonts w:eastAsia="Batang" w:cs="Times"/>
          <w:szCs w:val="24"/>
          <w:lang w:val="pt-BR" w:eastAsia="es-ES"/>
        </w:rPr>
        <w:t xml:space="preserve"> das </w:t>
      </w:r>
      <w:r w:rsidR="002C330E" w:rsidRPr="00D5464D">
        <w:rPr>
          <w:rFonts w:eastAsia="Batang" w:cs="Times"/>
          <w:szCs w:val="24"/>
          <w:lang w:val="pt-BR" w:eastAsia="es-ES"/>
        </w:rPr>
        <w:t>suposta</w:t>
      </w:r>
      <w:r w:rsidR="00350AD5" w:rsidRPr="00D5464D">
        <w:rPr>
          <w:rFonts w:eastAsia="Batang" w:cs="Times"/>
          <w:szCs w:val="24"/>
          <w:lang w:val="pt-BR" w:eastAsia="es-ES"/>
        </w:rPr>
        <w:t xml:space="preserve">s </w:t>
      </w:r>
      <w:r w:rsidR="00E045D9" w:rsidRPr="00D5464D">
        <w:rPr>
          <w:rFonts w:eastAsia="Batang" w:cs="Times"/>
          <w:szCs w:val="24"/>
          <w:lang w:val="pt-BR" w:eastAsia="es-ES"/>
        </w:rPr>
        <w:t>vítima</w:t>
      </w:r>
      <w:r w:rsidR="000A52D5" w:rsidRPr="00D5464D">
        <w:rPr>
          <w:rFonts w:eastAsia="Batang" w:cs="Times"/>
          <w:szCs w:val="24"/>
          <w:lang w:val="pt-BR" w:eastAsia="es-ES"/>
        </w:rPr>
        <w:t>s</w:t>
      </w:r>
      <w:r w:rsidR="00470ADC" w:rsidRPr="00D5464D">
        <w:rPr>
          <w:rFonts w:eastAsia="Batang" w:cs="Times"/>
          <w:szCs w:val="24"/>
          <w:lang w:val="pt-BR" w:eastAsia="es-ES"/>
        </w:rPr>
        <w:t xml:space="preserve"> eram </w:t>
      </w:r>
      <w:r w:rsidR="000A52D5" w:rsidRPr="00D5464D">
        <w:rPr>
          <w:rFonts w:eastAsia="Batang" w:cs="Times"/>
          <w:szCs w:val="24"/>
          <w:lang w:val="pt-BR" w:eastAsia="es-ES"/>
        </w:rPr>
        <w:t>analfabetas, pro</w:t>
      </w:r>
      <w:r w:rsidR="00350187" w:rsidRPr="00D5464D">
        <w:rPr>
          <w:rFonts w:eastAsia="Batang" w:cs="Times"/>
          <w:szCs w:val="24"/>
          <w:lang w:val="pt-BR" w:eastAsia="es-ES"/>
        </w:rPr>
        <w:t>vinham</w:t>
      </w:r>
      <w:r w:rsidR="000A52D5" w:rsidRPr="00D5464D">
        <w:rPr>
          <w:rFonts w:eastAsia="Batang" w:cs="Times"/>
          <w:szCs w:val="24"/>
          <w:lang w:val="pt-BR" w:eastAsia="es-ES"/>
        </w:rPr>
        <w:t xml:space="preserve"> de zonas </w:t>
      </w:r>
      <w:r w:rsidR="00E045D9" w:rsidRPr="00D5464D">
        <w:rPr>
          <w:rFonts w:eastAsia="Batang" w:cs="Times"/>
          <w:szCs w:val="24"/>
          <w:lang w:val="pt-BR" w:eastAsia="es-ES"/>
        </w:rPr>
        <w:t>rurais</w:t>
      </w:r>
      <w:r w:rsidR="000A52D5" w:rsidRPr="00D5464D">
        <w:rPr>
          <w:rFonts w:eastAsia="Batang" w:cs="Times"/>
          <w:szCs w:val="24"/>
          <w:lang w:val="pt-BR" w:eastAsia="es-ES"/>
        </w:rPr>
        <w:t xml:space="preserve">, </w:t>
      </w:r>
      <w:r w:rsidR="002C330E" w:rsidRPr="00D5464D">
        <w:rPr>
          <w:rFonts w:eastAsia="Batang" w:cs="Times"/>
          <w:szCs w:val="24"/>
          <w:lang w:val="pt-BR" w:eastAsia="es-ES"/>
        </w:rPr>
        <w:t xml:space="preserve">poucos </w:t>
      </w:r>
      <w:r w:rsidR="00E045D9" w:rsidRPr="00D5464D">
        <w:rPr>
          <w:rFonts w:eastAsia="Batang" w:cs="Times"/>
          <w:szCs w:val="24"/>
          <w:lang w:val="pt-BR" w:eastAsia="es-ES"/>
        </w:rPr>
        <w:t>tinham</w:t>
      </w:r>
      <w:r w:rsidR="000A52D5" w:rsidRPr="00D5464D">
        <w:rPr>
          <w:rFonts w:eastAsia="Batang" w:cs="Times"/>
          <w:szCs w:val="24"/>
          <w:lang w:val="pt-BR" w:eastAsia="es-ES"/>
        </w:rPr>
        <w:t xml:space="preserve"> identifica</w:t>
      </w:r>
      <w:r w:rsidR="00470ADC" w:rsidRPr="00D5464D">
        <w:rPr>
          <w:rFonts w:eastAsia="Batang" w:cs="Times"/>
          <w:szCs w:val="24"/>
          <w:lang w:val="pt-BR" w:eastAsia="es-ES"/>
        </w:rPr>
        <w:t>ção</w:t>
      </w:r>
      <w:r w:rsidR="000A52D5" w:rsidRPr="00D5464D">
        <w:rPr>
          <w:rFonts w:eastAsia="Batang" w:cs="Times"/>
          <w:szCs w:val="24"/>
          <w:lang w:val="pt-BR" w:eastAsia="es-ES"/>
        </w:rPr>
        <w:t xml:space="preserve"> oficial</w:t>
      </w:r>
      <w:r w:rsidR="00E045D9" w:rsidRPr="00D5464D">
        <w:rPr>
          <w:rFonts w:eastAsia="Batang" w:cs="Times"/>
          <w:szCs w:val="24"/>
          <w:lang w:val="pt-BR" w:eastAsia="es-ES"/>
        </w:rPr>
        <w:t xml:space="preserve"> e </w:t>
      </w:r>
      <w:r w:rsidR="000A52D5" w:rsidRPr="00D5464D">
        <w:rPr>
          <w:rFonts w:eastAsia="Batang" w:cs="Times"/>
          <w:szCs w:val="24"/>
          <w:lang w:val="pt-BR" w:eastAsia="es-ES"/>
        </w:rPr>
        <w:t xml:space="preserve">se </w:t>
      </w:r>
      <w:r w:rsidR="00A1358C" w:rsidRPr="00D5464D">
        <w:rPr>
          <w:rFonts w:eastAsia="Batang" w:cs="Times"/>
          <w:szCs w:val="24"/>
          <w:lang w:val="pt-BR" w:eastAsia="es-ES"/>
        </w:rPr>
        <w:t>desloc</w:t>
      </w:r>
      <w:r w:rsidR="00350187" w:rsidRPr="00D5464D">
        <w:rPr>
          <w:rFonts w:eastAsia="Batang" w:cs="Times"/>
          <w:szCs w:val="24"/>
          <w:lang w:val="pt-BR" w:eastAsia="es-ES"/>
        </w:rPr>
        <w:t xml:space="preserve">avam </w:t>
      </w:r>
      <w:r w:rsidR="000A52D5" w:rsidRPr="00D5464D">
        <w:rPr>
          <w:rFonts w:eastAsia="Batang" w:cs="Times"/>
          <w:szCs w:val="24"/>
          <w:lang w:val="pt-BR" w:eastAsia="es-ES"/>
        </w:rPr>
        <w:t xml:space="preserve">continuamente para buscar sustento </w:t>
      </w:r>
      <w:r w:rsidR="00470ADC" w:rsidRPr="00D5464D">
        <w:rPr>
          <w:rFonts w:eastAsia="Batang" w:cs="Times"/>
          <w:szCs w:val="24"/>
          <w:lang w:val="pt-BR" w:eastAsia="es-ES"/>
        </w:rPr>
        <w:t>econômic</w:t>
      </w:r>
      <w:r w:rsidR="000A52D5" w:rsidRPr="00D5464D">
        <w:rPr>
          <w:rFonts w:eastAsia="Batang" w:cs="Times"/>
          <w:szCs w:val="24"/>
          <w:lang w:val="pt-BR" w:eastAsia="es-ES"/>
        </w:rPr>
        <w:t xml:space="preserve">o. </w:t>
      </w:r>
    </w:p>
    <w:p w14:paraId="171CC490" w14:textId="77777777" w:rsidR="000A52D5" w:rsidRPr="00D5464D" w:rsidRDefault="000A52D5" w:rsidP="00140440">
      <w:pPr>
        <w:tabs>
          <w:tab w:val="clear" w:pos="4419"/>
          <w:tab w:val="clear" w:pos="8838"/>
        </w:tabs>
        <w:jc w:val="both"/>
        <w:rPr>
          <w:rFonts w:eastAsia="Batang" w:cs="Times"/>
          <w:szCs w:val="24"/>
          <w:lang w:val="pt-BR" w:eastAsia="es-ES"/>
        </w:rPr>
      </w:pPr>
    </w:p>
    <w:p w14:paraId="45AD9125" w14:textId="0CB9DED8" w:rsidR="000A52D5" w:rsidRPr="00D5464D" w:rsidRDefault="00737270" w:rsidP="00140440">
      <w:pPr>
        <w:numPr>
          <w:ilvl w:val="0"/>
          <w:numId w:val="1"/>
        </w:numPr>
        <w:tabs>
          <w:tab w:val="clear" w:pos="4419"/>
          <w:tab w:val="clear" w:pos="8838"/>
        </w:tabs>
        <w:jc w:val="both"/>
        <w:rPr>
          <w:rFonts w:eastAsia="Batang" w:cs="Times"/>
          <w:b/>
          <w:szCs w:val="24"/>
          <w:lang w:val="pt-BR" w:eastAsia="es-ES"/>
        </w:rPr>
      </w:pPr>
      <w:r w:rsidRPr="00D5464D">
        <w:rPr>
          <w:rFonts w:eastAsia="Batang" w:cs="Times"/>
          <w:szCs w:val="24"/>
          <w:lang w:val="pt-BR" w:eastAsia="es-ES"/>
        </w:rPr>
        <w:t xml:space="preserve">Os </w:t>
      </w:r>
      <w:r w:rsidR="00EB1CE9" w:rsidRPr="00D5464D">
        <w:rPr>
          <w:rFonts w:eastAsia="Batang" w:cs="Times"/>
          <w:szCs w:val="24"/>
          <w:lang w:val="pt-BR" w:eastAsia="es-ES"/>
        </w:rPr>
        <w:t>representante</w:t>
      </w:r>
      <w:r w:rsidRPr="00D5464D">
        <w:rPr>
          <w:rFonts w:eastAsia="Batang" w:cs="Times"/>
          <w:szCs w:val="24"/>
          <w:lang w:val="pt-BR" w:eastAsia="es-ES"/>
        </w:rPr>
        <w:t xml:space="preserve">s </w:t>
      </w:r>
      <w:r w:rsidR="00E045D9" w:rsidRPr="00D5464D">
        <w:rPr>
          <w:rFonts w:eastAsia="Batang" w:cs="Times"/>
          <w:szCs w:val="24"/>
          <w:lang w:val="pt-BR" w:eastAsia="es-ES"/>
        </w:rPr>
        <w:t>também</w:t>
      </w:r>
      <w:r w:rsidR="000A52D5" w:rsidRPr="00D5464D">
        <w:rPr>
          <w:rFonts w:eastAsia="Batang" w:cs="Times"/>
          <w:szCs w:val="24"/>
          <w:lang w:val="pt-BR" w:eastAsia="es-ES"/>
        </w:rPr>
        <w:t xml:space="preserve"> </w:t>
      </w:r>
      <w:r w:rsidR="002C330E" w:rsidRPr="00D5464D">
        <w:rPr>
          <w:rFonts w:eastAsia="Batang" w:cs="Times"/>
          <w:szCs w:val="24"/>
          <w:lang w:val="pt-BR" w:eastAsia="es-ES"/>
        </w:rPr>
        <w:t>afirmaram</w:t>
      </w:r>
      <w:r w:rsidR="000A52D5" w:rsidRPr="00D5464D">
        <w:rPr>
          <w:rFonts w:eastAsia="Batang" w:cs="Times"/>
          <w:szCs w:val="24"/>
          <w:lang w:val="pt-BR" w:eastAsia="es-ES"/>
        </w:rPr>
        <w:t xml:space="preserve"> que </w:t>
      </w:r>
      <w:r w:rsidRPr="00D5464D">
        <w:rPr>
          <w:rFonts w:eastAsia="Batang" w:cs="Times"/>
          <w:szCs w:val="24"/>
          <w:lang w:val="pt-BR" w:eastAsia="es-ES"/>
        </w:rPr>
        <w:t>não é</w:t>
      </w:r>
      <w:r w:rsidR="00E045D9" w:rsidRPr="00D5464D">
        <w:rPr>
          <w:rFonts w:eastAsia="Batang" w:cs="Times"/>
          <w:szCs w:val="24"/>
          <w:lang w:val="pt-BR" w:eastAsia="es-ES"/>
        </w:rPr>
        <w:t xml:space="preserve"> um </w:t>
      </w:r>
      <w:r w:rsidR="000A52D5" w:rsidRPr="00D5464D">
        <w:rPr>
          <w:rFonts w:eastAsia="Batang" w:cs="Times"/>
          <w:szCs w:val="24"/>
          <w:lang w:val="pt-BR" w:eastAsia="es-ES"/>
        </w:rPr>
        <w:t>requisito</w:t>
      </w:r>
      <w:r w:rsidR="00470ADC" w:rsidRPr="00D5464D">
        <w:rPr>
          <w:rFonts w:eastAsia="Batang" w:cs="Times"/>
          <w:szCs w:val="24"/>
          <w:lang w:val="pt-BR" w:eastAsia="es-ES"/>
        </w:rPr>
        <w:t xml:space="preserve"> da </w:t>
      </w:r>
      <w:r w:rsidR="000A52D5" w:rsidRPr="00D5464D">
        <w:rPr>
          <w:rFonts w:eastAsia="Batang" w:cs="Times"/>
          <w:szCs w:val="24"/>
          <w:lang w:val="pt-BR" w:eastAsia="es-ES"/>
        </w:rPr>
        <w:t>Conven</w:t>
      </w:r>
      <w:r w:rsidR="00470ADC" w:rsidRPr="00D5464D">
        <w:rPr>
          <w:rFonts w:eastAsia="Batang" w:cs="Times"/>
          <w:szCs w:val="24"/>
          <w:lang w:val="pt-BR" w:eastAsia="es-ES"/>
        </w:rPr>
        <w:t>ção</w:t>
      </w:r>
      <w:r w:rsidR="000A52D5" w:rsidRPr="00D5464D">
        <w:rPr>
          <w:rFonts w:eastAsia="Batang" w:cs="Times"/>
          <w:szCs w:val="24"/>
          <w:lang w:val="pt-BR" w:eastAsia="es-ES"/>
        </w:rPr>
        <w:t xml:space="preserve"> Americana</w:t>
      </w:r>
      <w:r w:rsidR="00F00FDF" w:rsidRPr="00D5464D">
        <w:rPr>
          <w:rFonts w:eastAsia="Batang" w:cs="Times"/>
          <w:szCs w:val="24"/>
          <w:lang w:val="pt-BR" w:eastAsia="es-ES"/>
        </w:rPr>
        <w:t>,</w:t>
      </w:r>
      <w:r w:rsidR="002C330E" w:rsidRPr="00D5464D">
        <w:rPr>
          <w:rFonts w:eastAsia="Batang" w:cs="Times"/>
          <w:szCs w:val="24"/>
          <w:lang w:val="pt-BR" w:eastAsia="es-ES"/>
        </w:rPr>
        <w:t xml:space="preserve"> nem </w:t>
      </w:r>
      <w:r w:rsidR="00470ADC" w:rsidRPr="00D5464D">
        <w:rPr>
          <w:rFonts w:eastAsia="Batang" w:cs="Times"/>
          <w:szCs w:val="24"/>
          <w:lang w:val="pt-BR" w:eastAsia="es-ES"/>
        </w:rPr>
        <w:t xml:space="preserve">do </w:t>
      </w:r>
      <w:r w:rsidR="002C330E" w:rsidRPr="00D5464D">
        <w:rPr>
          <w:rFonts w:eastAsia="Batang" w:cs="Times"/>
          <w:szCs w:val="24"/>
          <w:lang w:val="pt-BR" w:eastAsia="es-ES"/>
        </w:rPr>
        <w:t>Regulamento</w:t>
      </w:r>
      <w:r w:rsidR="00470ADC" w:rsidRPr="00D5464D">
        <w:rPr>
          <w:rFonts w:eastAsia="Batang" w:cs="Times"/>
          <w:szCs w:val="24"/>
          <w:lang w:val="pt-BR" w:eastAsia="es-ES"/>
        </w:rPr>
        <w:t xml:space="preserve"> da Comissão</w:t>
      </w:r>
      <w:r w:rsidR="000A52D5" w:rsidRPr="00D5464D">
        <w:rPr>
          <w:rFonts w:eastAsia="Batang" w:cs="Times"/>
          <w:szCs w:val="24"/>
          <w:lang w:val="pt-BR" w:eastAsia="es-ES"/>
        </w:rPr>
        <w:t xml:space="preserve"> o</w:t>
      </w:r>
      <w:r w:rsidR="00D14320" w:rsidRPr="00D5464D">
        <w:rPr>
          <w:rFonts w:eastAsia="Batang" w:cs="Times"/>
          <w:szCs w:val="24"/>
          <w:lang w:val="pt-BR" w:eastAsia="es-ES"/>
        </w:rPr>
        <w:t>u</w:t>
      </w:r>
      <w:r w:rsidR="00470ADC" w:rsidRPr="00D5464D">
        <w:rPr>
          <w:rFonts w:eastAsia="Batang" w:cs="Times"/>
          <w:szCs w:val="24"/>
          <w:lang w:val="pt-BR" w:eastAsia="es-ES"/>
        </w:rPr>
        <w:t xml:space="preserve"> da </w:t>
      </w:r>
      <w:r w:rsidR="000A52D5" w:rsidRPr="00D5464D">
        <w:rPr>
          <w:rFonts w:eastAsia="Batang" w:cs="Times"/>
          <w:szCs w:val="24"/>
          <w:lang w:val="pt-BR" w:eastAsia="es-ES"/>
        </w:rPr>
        <w:t>Corte, que</w:t>
      </w:r>
      <w:r w:rsidR="002C330E" w:rsidRPr="00D5464D">
        <w:rPr>
          <w:rFonts w:eastAsia="Batang" w:cs="Times"/>
          <w:szCs w:val="24"/>
          <w:lang w:val="pt-BR" w:eastAsia="es-ES"/>
        </w:rPr>
        <w:t xml:space="preserve"> as suposta</w:t>
      </w:r>
      <w:r w:rsidR="000A52D5" w:rsidRPr="00D5464D">
        <w:rPr>
          <w:rFonts w:eastAsia="Batang" w:cs="Times"/>
          <w:szCs w:val="24"/>
          <w:lang w:val="pt-BR" w:eastAsia="es-ES"/>
        </w:rPr>
        <w:t xml:space="preserve">s </w:t>
      </w:r>
      <w:r w:rsidR="00E045D9" w:rsidRPr="00D5464D">
        <w:rPr>
          <w:rFonts w:eastAsia="Batang" w:cs="Times"/>
          <w:szCs w:val="24"/>
          <w:lang w:val="pt-BR" w:eastAsia="es-ES"/>
        </w:rPr>
        <w:t>vítima</w:t>
      </w:r>
      <w:r w:rsidR="000A52D5" w:rsidRPr="00D5464D">
        <w:rPr>
          <w:rFonts w:eastAsia="Batang" w:cs="Times"/>
          <w:szCs w:val="24"/>
          <w:lang w:val="pt-BR" w:eastAsia="es-ES"/>
        </w:rPr>
        <w:t xml:space="preserve">s </w:t>
      </w:r>
      <w:r w:rsidRPr="00D5464D">
        <w:rPr>
          <w:rFonts w:eastAsia="Batang" w:cs="Times"/>
          <w:szCs w:val="24"/>
          <w:lang w:val="pt-BR" w:eastAsia="es-ES"/>
        </w:rPr>
        <w:t>contem</w:t>
      </w:r>
      <w:r w:rsidR="00470ADC" w:rsidRPr="00D5464D">
        <w:rPr>
          <w:rFonts w:eastAsia="Batang" w:cs="Times"/>
          <w:szCs w:val="24"/>
          <w:lang w:val="pt-BR" w:eastAsia="es-ES"/>
        </w:rPr>
        <w:t xml:space="preserve"> com </w:t>
      </w:r>
      <w:r w:rsidR="000A52D5" w:rsidRPr="00D5464D">
        <w:rPr>
          <w:rFonts w:eastAsia="Batang" w:cs="Times"/>
          <w:szCs w:val="24"/>
          <w:lang w:val="pt-BR" w:eastAsia="es-ES"/>
        </w:rPr>
        <w:t>representa</w:t>
      </w:r>
      <w:r w:rsidR="00470ADC" w:rsidRPr="00D5464D">
        <w:rPr>
          <w:rFonts w:eastAsia="Batang" w:cs="Times"/>
          <w:szCs w:val="24"/>
          <w:lang w:val="pt-BR" w:eastAsia="es-ES"/>
        </w:rPr>
        <w:t>ção</w:t>
      </w:r>
      <w:r w:rsidR="000A52D5" w:rsidRPr="00D5464D">
        <w:rPr>
          <w:rFonts w:eastAsia="Batang" w:cs="Times"/>
          <w:szCs w:val="24"/>
          <w:lang w:val="pt-BR" w:eastAsia="es-ES"/>
        </w:rPr>
        <w:t xml:space="preserve"> legal formal</w:t>
      </w:r>
      <w:r w:rsidR="00E045D9" w:rsidRPr="00D5464D">
        <w:rPr>
          <w:rFonts w:eastAsia="Batang" w:cs="Times"/>
          <w:szCs w:val="24"/>
          <w:lang w:val="pt-BR" w:eastAsia="es-ES"/>
        </w:rPr>
        <w:t xml:space="preserve"> no </w:t>
      </w:r>
      <w:r w:rsidR="002C330E" w:rsidRPr="00D5464D">
        <w:rPr>
          <w:rFonts w:eastAsia="Batang" w:cs="Times"/>
          <w:szCs w:val="24"/>
          <w:lang w:val="pt-BR" w:eastAsia="es-ES"/>
        </w:rPr>
        <w:t>processo</w:t>
      </w:r>
      <w:r w:rsidR="000A52D5" w:rsidRPr="00D5464D">
        <w:rPr>
          <w:rFonts w:eastAsia="Batang" w:cs="Times"/>
          <w:szCs w:val="24"/>
          <w:lang w:val="pt-BR" w:eastAsia="es-ES"/>
        </w:rPr>
        <w:t xml:space="preserve"> interamericano. </w:t>
      </w:r>
      <w:r w:rsidR="002C330E" w:rsidRPr="00D5464D">
        <w:rPr>
          <w:rFonts w:eastAsia="Batang" w:cs="Times"/>
          <w:szCs w:val="24"/>
          <w:lang w:val="pt-BR" w:eastAsia="es-ES"/>
        </w:rPr>
        <w:t>Portanto</w:t>
      </w:r>
      <w:r w:rsidR="000A52D5" w:rsidRPr="00D5464D">
        <w:rPr>
          <w:rFonts w:eastAsia="Batang" w:cs="Times"/>
          <w:szCs w:val="24"/>
          <w:lang w:val="pt-BR" w:eastAsia="es-ES"/>
        </w:rPr>
        <w:t xml:space="preserve">, </w:t>
      </w:r>
      <w:r w:rsidR="00470ADC" w:rsidRPr="00D5464D">
        <w:rPr>
          <w:rFonts w:eastAsia="Batang" w:cs="Times"/>
          <w:szCs w:val="24"/>
          <w:lang w:val="pt-BR" w:eastAsia="es-ES"/>
        </w:rPr>
        <w:t>existem</w:t>
      </w:r>
      <w:r w:rsidR="000A52D5" w:rsidRPr="00D5464D">
        <w:rPr>
          <w:rFonts w:eastAsia="Batang" w:cs="Times"/>
          <w:szCs w:val="24"/>
          <w:lang w:val="pt-BR" w:eastAsia="es-ES"/>
        </w:rPr>
        <w:t xml:space="preserve"> </w:t>
      </w:r>
      <w:r w:rsidR="002C330E" w:rsidRPr="00D5464D">
        <w:rPr>
          <w:rFonts w:eastAsia="Batang" w:cs="Times"/>
          <w:szCs w:val="24"/>
          <w:lang w:val="pt-BR" w:eastAsia="es-ES"/>
        </w:rPr>
        <w:t xml:space="preserve">poucos </w:t>
      </w:r>
      <w:r w:rsidR="000A52D5" w:rsidRPr="00D5464D">
        <w:rPr>
          <w:rFonts w:eastAsia="Batang" w:cs="Times"/>
          <w:szCs w:val="24"/>
          <w:lang w:val="pt-BR" w:eastAsia="es-ES"/>
        </w:rPr>
        <w:t xml:space="preserve">formalismos para </w:t>
      </w:r>
      <w:r w:rsidR="00D14320" w:rsidRPr="00D5464D">
        <w:rPr>
          <w:rFonts w:eastAsia="Batang" w:cs="Times"/>
          <w:szCs w:val="24"/>
          <w:lang w:val="pt-BR" w:eastAsia="es-ES"/>
        </w:rPr>
        <w:t xml:space="preserve">ter acesso </w:t>
      </w:r>
      <w:r w:rsidR="00E045D9" w:rsidRPr="00D5464D">
        <w:rPr>
          <w:rFonts w:eastAsia="Batang" w:cs="Times"/>
          <w:szCs w:val="24"/>
          <w:lang w:val="pt-BR" w:eastAsia="es-ES"/>
        </w:rPr>
        <w:t xml:space="preserve">aos </w:t>
      </w:r>
      <w:r w:rsidR="000A52D5" w:rsidRPr="00D5464D">
        <w:rPr>
          <w:rFonts w:eastAsia="Batang" w:cs="Times"/>
          <w:szCs w:val="24"/>
          <w:lang w:val="pt-BR" w:eastAsia="es-ES"/>
        </w:rPr>
        <w:t xml:space="preserve">mecanismos de </w:t>
      </w:r>
      <w:r w:rsidR="002C330E" w:rsidRPr="00D5464D">
        <w:rPr>
          <w:rFonts w:eastAsia="Batang" w:cs="Times"/>
          <w:szCs w:val="24"/>
          <w:lang w:val="pt-BR" w:eastAsia="es-ES"/>
        </w:rPr>
        <w:t>proteção</w:t>
      </w:r>
      <w:r w:rsidR="000A52D5" w:rsidRPr="00D5464D">
        <w:rPr>
          <w:rFonts w:eastAsia="Batang" w:cs="Times"/>
          <w:szCs w:val="24"/>
          <w:lang w:val="pt-BR" w:eastAsia="es-ES"/>
        </w:rPr>
        <w:t xml:space="preserve">. </w:t>
      </w:r>
      <w:r w:rsidR="00470ADC" w:rsidRPr="00D5464D">
        <w:rPr>
          <w:rFonts w:eastAsia="Batang" w:cs="Times"/>
          <w:szCs w:val="24"/>
          <w:lang w:val="pt-BR" w:eastAsia="es-ES"/>
        </w:rPr>
        <w:t>Ademais</w:t>
      </w:r>
      <w:r w:rsidR="000A52D5" w:rsidRPr="00D5464D">
        <w:rPr>
          <w:rFonts w:eastAsia="Batang" w:cs="Times"/>
          <w:szCs w:val="24"/>
          <w:lang w:val="pt-BR" w:eastAsia="es-ES"/>
        </w:rPr>
        <w:t xml:space="preserve">, </w:t>
      </w:r>
      <w:r w:rsidR="002C330E" w:rsidRPr="00D5464D">
        <w:rPr>
          <w:rFonts w:eastAsia="Batang" w:cs="Times"/>
          <w:szCs w:val="24"/>
          <w:lang w:val="pt-BR" w:eastAsia="es-ES"/>
        </w:rPr>
        <w:t>indicaram</w:t>
      </w:r>
      <w:r w:rsidR="000A52D5" w:rsidRPr="00D5464D">
        <w:rPr>
          <w:rFonts w:eastAsia="Batang" w:cs="Times"/>
          <w:szCs w:val="24"/>
          <w:lang w:val="pt-BR" w:eastAsia="es-ES"/>
        </w:rPr>
        <w:t xml:space="preserve"> que</w:t>
      </w:r>
      <w:r w:rsidR="002C330E" w:rsidRPr="00D5464D">
        <w:rPr>
          <w:rFonts w:eastAsia="Batang" w:cs="Times"/>
          <w:szCs w:val="24"/>
          <w:lang w:val="pt-BR" w:eastAsia="es-ES"/>
        </w:rPr>
        <w:t xml:space="preserve"> as suposta</w:t>
      </w:r>
      <w:r w:rsidR="000A52D5" w:rsidRPr="00D5464D">
        <w:rPr>
          <w:rFonts w:eastAsia="Batang" w:cs="Times"/>
          <w:szCs w:val="24"/>
          <w:lang w:val="pt-BR" w:eastAsia="es-ES"/>
        </w:rPr>
        <w:t xml:space="preserve">s </w:t>
      </w:r>
      <w:r w:rsidR="00E045D9" w:rsidRPr="00D5464D">
        <w:rPr>
          <w:rFonts w:eastAsia="Batang" w:cs="Times"/>
          <w:szCs w:val="24"/>
          <w:lang w:val="pt-BR" w:eastAsia="es-ES"/>
        </w:rPr>
        <w:t>vítima</w:t>
      </w:r>
      <w:r w:rsidR="000A52D5" w:rsidRPr="00D5464D">
        <w:rPr>
          <w:rFonts w:eastAsia="Batang" w:cs="Times"/>
          <w:szCs w:val="24"/>
          <w:lang w:val="pt-BR" w:eastAsia="es-ES"/>
        </w:rPr>
        <w:t xml:space="preserve">s </w:t>
      </w:r>
      <w:r w:rsidR="00230C71" w:rsidRPr="00D5464D">
        <w:rPr>
          <w:rFonts w:eastAsia="Batang" w:cs="Times"/>
          <w:szCs w:val="24"/>
          <w:lang w:val="pt-BR" w:eastAsia="es-ES"/>
        </w:rPr>
        <w:t xml:space="preserve">podem </w:t>
      </w:r>
      <w:r w:rsidR="000A52D5" w:rsidRPr="00D5464D">
        <w:rPr>
          <w:rFonts w:eastAsia="Batang" w:cs="Times"/>
          <w:szCs w:val="24"/>
          <w:lang w:val="pt-BR" w:eastAsia="es-ES"/>
        </w:rPr>
        <w:t xml:space="preserve">optar por </w:t>
      </w:r>
      <w:r w:rsidR="00EB1CE9" w:rsidRPr="00D5464D">
        <w:rPr>
          <w:rFonts w:eastAsia="Batang" w:cs="Times"/>
          <w:szCs w:val="24"/>
          <w:lang w:val="pt-BR" w:eastAsia="es-ES"/>
        </w:rPr>
        <w:t>representante</w:t>
      </w:r>
      <w:r w:rsidR="000A52D5" w:rsidRPr="00D5464D">
        <w:rPr>
          <w:rFonts w:eastAsia="Batang" w:cs="Times"/>
          <w:szCs w:val="24"/>
          <w:lang w:val="pt-BR" w:eastAsia="es-ES"/>
        </w:rPr>
        <w:t xml:space="preserve">s </w:t>
      </w:r>
      <w:r w:rsidR="002C330E" w:rsidRPr="00D5464D">
        <w:rPr>
          <w:rFonts w:eastAsia="Batang" w:cs="Times"/>
          <w:szCs w:val="24"/>
          <w:lang w:val="pt-BR" w:eastAsia="es-ES"/>
        </w:rPr>
        <w:t>legais</w:t>
      </w:r>
      <w:r w:rsidR="000A52D5" w:rsidRPr="00D5464D">
        <w:rPr>
          <w:rFonts w:eastAsia="Batang" w:cs="Times"/>
          <w:szCs w:val="24"/>
          <w:lang w:val="pt-BR" w:eastAsia="es-ES"/>
        </w:rPr>
        <w:t xml:space="preserve">, </w:t>
      </w:r>
      <w:r w:rsidR="002C330E" w:rsidRPr="00D5464D">
        <w:rPr>
          <w:rFonts w:eastAsia="Batang" w:cs="Times"/>
          <w:szCs w:val="24"/>
          <w:lang w:val="pt-BR" w:eastAsia="es-ES"/>
        </w:rPr>
        <w:t>mas</w:t>
      </w:r>
      <w:r w:rsidR="000A52D5" w:rsidRPr="00D5464D">
        <w:rPr>
          <w:rFonts w:eastAsia="Batang" w:cs="Times"/>
          <w:szCs w:val="24"/>
          <w:lang w:val="pt-BR" w:eastAsia="es-ES"/>
        </w:rPr>
        <w:t xml:space="preserve"> que </w:t>
      </w:r>
      <w:r w:rsidRPr="00D5464D">
        <w:rPr>
          <w:rFonts w:eastAsia="Batang" w:cs="Times"/>
          <w:szCs w:val="24"/>
          <w:lang w:val="pt-BR" w:eastAsia="es-ES"/>
        </w:rPr>
        <w:t>não é</w:t>
      </w:r>
      <w:r w:rsidR="00E045D9" w:rsidRPr="00D5464D">
        <w:rPr>
          <w:rFonts w:eastAsia="Batang" w:cs="Times"/>
          <w:szCs w:val="24"/>
          <w:lang w:val="pt-BR" w:eastAsia="es-ES"/>
        </w:rPr>
        <w:t xml:space="preserve"> uma </w:t>
      </w:r>
      <w:r w:rsidR="002C330E" w:rsidRPr="00D5464D">
        <w:rPr>
          <w:rFonts w:eastAsia="Batang" w:cs="Times"/>
          <w:szCs w:val="24"/>
          <w:lang w:val="pt-BR" w:eastAsia="es-ES"/>
        </w:rPr>
        <w:t>obrigação</w:t>
      </w:r>
      <w:r w:rsidR="000A52D5" w:rsidRPr="00D5464D">
        <w:rPr>
          <w:rFonts w:eastAsia="Batang" w:cs="Times"/>
          <w:szCs w:val="24"/>
          <w:lang w:val="pt-BR" w:eastAsia="es-ES"/>
        </w:rPr>
        <w:t xml:space="preserve"> contar</w:t>
      </w:r>
      <w:r w:rsidR="00470ADC" w:rsidRPr="00D5464D">
        <w:rPr>
          <w:rFonts w:eastAsia="Batang" w:cs="Times"/>
          <w:szCs w:val="24"/>
          <w:lang w:val="pt-BR" w:eastAsia="es-ES"/>
        </w:rPr>
        <w:t xml:space="preserve"> com ele</w:t>
      </w:r>
      <w:r w:rsidR="000A52D5" w:rsidRPr="00D5464D">
        <w:rPr>
          <w:rFonts w:eastAsia="Batang" w:cs="Times"/>
          <w:szCs w:val="24"/>
          <w:lang w:val="pt-BR" w:eastAsia="es-ES"/>
        </w:rPr>
        <w:t xml:space="preserve">s, </w:t>
      </w:r>
      <w:r w:rsidR="002C330E" w:rsidRPr="00D5464D">
        <w:rPr>
          <w:rFonts w:eastAsia="Batang" w:cs="Times"/>
          <w:szCs w:val="24"/>
          <w:lang w:val="pt-BR" w:eastAsia="es-ES"/>
        </w:rPr>
        <w:t>sendo</w:t>
      </w:r>
      <w:r w:rsidR="000A52D5" w:rsidRPr="00D5464D">
        <w:rPr>
          <w:rFonts w:eastAsia="Batang" w:cs="Times"/>
          <w:szCs w:val="24"/>
          <w:lang w:val="pt-BR" w:eastAsia="es-ES"/>
        </w:rPr>
        <w:t xml:space="preserve"> </w:t>
      </w:r>
      <w:r w:rsidR="00E045D9" w:rsidRPr="00D5464D">
        <w:rPr>
          <w:rFonts w:eastAsia="Batang" w:cs="Times"/>
          <w:szCs w:val="24"/>
          <w:lang w:val="pt-BR" w:eastAsia="es-ES"/>
        </w:rPr>
        <w:t>também</w:t>
      </w:r>
      <w:r w:rsidR="000A52D5" w:rsidRPr="00D5464D">
        <w:rPr>
          <w:rFonts w:eastAsia="Batang" w:cs="Times"/>
          <w:szCs w:val="24"/>
          <w:lang w:val="pt-BR" w:eastAsia="es-ES"/>
        </w:rPr>
        <w:t xml:space="preserve"> </w:t>
      </w:r>
      <w:r w:rsidR="00C91CB1" w:rsidRPr="00D5464D">
        <w:rPr>
          <w:rFonts w:eastAsia="Batang" w:cs="Times"/>
          <w:szCs w:val="24"/>
          <w:lang w:val="pt-BR" w:eastAsia="es-ES"/>
        </w:rPr>
        <w:t>desnecessári</w:t>
      </w:r>
      <w:r w:rsidR="000A52D5" w:rsidRPr="00D5464D">
        <w:rPr>
          <w:rFonts w:eastAsia="Batang" w:cs="Times"/>
          <w:szCs w:val="24"/>
          <w:lang w:val="pt-BR" w:eastAsia="es-ES"/>
        </w:rPr>
        <w:t>a</w:t>
      </w:r>
      <w:r w:rsidR="002C330E" w:rsidRPr="00D5464D">
        <w:rPr>
          <w:rFonts w:eastAsia="Batang" w:cs="Times"/>
          <w:szCs w:val="24"/>
          <w:lang w:val="pt-BR" w:eastAsia="es-ES"/>
        </w:rPr>
        <w:t xml:space="preserve"> a </w:t>
      </w:r>
      <w:r w:rsidR="000A52D5" w:rsidRPr="00D5464D">
        <w:rPr>
          <w:rFonts w:eastAsia="Batang" w:cs="Times"/>
          <w:szCs w:val="24"/>
          <w:lang w:val="pt-BR" w:eastAsia="es-ES"/>
        </w:rPr>
        <w:t>representa</w:t>
      </w:r>
      <w:r w:rsidR="00470ADC" w:rsidRPr="00D5464D">
        <w:rPr>
          <w:rFonts w:eastAsia="Batang" w:cs="Times"/>
          <w:szCs w:val="24"/>
          <w:lang w:val="pt-BR" w:eastAsia="es-ES"/>
        </w:rPr>
        <w:t xml:space="preserve">ção com </w:t>
      </w:r>
      <w:r w:rsidR="00D14320" w:rsidRPr="00D5464D">
        <w:rPr>
          <w:rFonts w:eastAsia="Batang" w:cs="Times"/>
          <w:szCs w:val="24"/>
          <w:lang w:val="pt-BR" w:eastAsia="es-ES"/>
        </w:rPr>
        <w:t xml:space="preserve">procurações </w:t>
      </w:r>
      <w:r w:rsidR="000A52D5" w:rsidRPr="00D5464D">
        <w:rPr>
          <w:rFonts w:eastAsia="Batang" w:cs="Times"/>
          <w:szCs w:val="24"/>
          <w:lang w:val="pt-BR" w:eastAsia="es-ES"/>
        </w:rPr>
        <w:t>específic</w:t>
      </w:r>
      <w:r w:rsidR="00D14320" w:rsidRPr="00D5464D">
        <w:rPr>
          <w:rFonts w:eastAsia="Batang" w:cs="Times"/>
          <w:szCs w:val="24"/>
          <w:lang w:val="pt-BR" w:eastAsia="es-ES"/>
        </w:rPr>
        <w:t>a</w:t>
      </w:r>
      <w:r w:rsidR="000A52D5" w:rsidRPr="00D5464D">
        <w:rPr>
          <w:rFonts w:eastAsia="Batang" w:cs="Times"/>
          <w:szCs w:val="24"/>
          <w:lang w:val="pt-BR" w:eastAsia="es-ES"/>
        </w:rPr>
        <w:t>s</w:t>
      </w:r>
      <w:r w:rsidR="00D14320" w:rsidRPr="00D5464D">
        <w:rPr>
          <w:rFonts w:eastAsia="Batang" w:cs="Times"/>
          <w:szCs w:val="24"/>
          <w:lang w:val="pt-BR" w:eastAsia="es-ES"/>
        </w:rPr>
        <w:t>,</w:t>
      </w:r>
      <w:r w:rsidR="000A52D5" w:rsidRPr="00D5464D">
        <w:rPr>
          <w:rFonts w:eastAsia="Batang" w:cs="Times"/>
          <w:szCs w:val="24"/>
          <w:lang w:val="pt-BR" w:eastAsia="es-ES"/>
        </w:rPr>
        <w:t xml:space="preserve"> como</w:t>
      </w:r>
      <w:r w:rsidR="00E045D9" w:rsidRPr="00D5464D">
        <w:rPr>
          <w:rFonts w:eastAsia="Batang" w:cs="Times"/>
          <w:szCs w:val="24"/>
          <w:lang w:val="pt-BR" w:eastAsia="es-ES"/>
        </w:rPr>
        <w:t xml:space="preserve"> já </w:t>
      </w:r>
      <w:r w:rsidR="00A1358C" w:rsidRPr="00D5464D">
        <w:rPr>
          <w:rFonts w:eastAsia="Batang" w:cs="Times"/>
          <w:szCs w:val="24"/>
          <w:lang w:val="pt-BR" w:eastAsia="es-ES"/>
        </w:rPr>
        <w:t>definiu</w:t>
      </w:r>
      <w:r w:rsidR="002C330E" w:rsidRPr="00D5464D">
        <w:rPr>
          <w:rFonts w:eastAsia="Batang" w:cs="Times"/>
          <w:szCs w:val="24"/>
          <w:lang w:val="pt-BR" w:eastAsia="es-ES"/>
        </w:rPr>
        <w:t xml:space="preserve"> a jurisprudência </w:t>
      </w:r>
      <w:r w:rsidR="00470ADC" w:rsidRPr="00D5464D">
        <w:rPr>
          <w:rFonts w:eastAsia="Batang" w:cs="Times"/>
          <w:szCs w:val="24"/>
          <w:lang w:val="pt-BR" w:eastAsia="es-ES"/>
        </w:rPr>
        <w:t xml:space="preserve">da </w:t>
      </w:r>
      <w:r w:rsidR="000A52D5" w:rsidRPr="00D5464D">
        <w:rPr>
          <w:rFonts w:eastAsia="Batang" w:cs="Times"/>
          <w:szCs w:val="24"/>
          <w:lang w:val="pt-BR" w:eastAsia="es-ES"/>
        </w:rPr>
        <w:t xml:space="preserve">Corte. </w:t>
      </w:r>
    </w:p>
    <w:p w14:paraId="2EA60133" w14:textId="77777777" w:rsidR="000A52D5" w:rsidRPr="00D5464D" w:rsidRDefault="000A52D5" w:rsidP="00140440">
      <w:pPr>
        <w:tabs>
          <w:tab w:val="clear" w:pos="4419"/>
          <w:tab w:val="clear" w:pos="8838"/>
        </w:tabs>
        <w:jc w:val="both"/>
        <w:rPr>
          <w:rFonts w:eastAsia="Batang" w:cs="Times"/>
          <w:szCs w:val="24"/>
          <w:lang w:val="pt-BR" w:eastAsia="es-ES"/>
        </w:rPr>
      </w:pPr>
    </w:p>
    <w:p w14:paraId="3188C351" w14:textId="6DF5C1A9" w:rsidR="000A52D5" w:rsidRPr="00D5464D" w:rsidRDefault="00A1358C" w:rsidP="00140440">
      <w:pPr>
        <w:numPr>
          <w:ilvl w:val="0"/>
          <w:numId w:val="1"/>
        </w:numPr>
        <w:tabs>
          <w:tab w:val="clear" w:pos="4419"/>
          <w:tab w:val="clear" w:pos="8838"/>
        </w:tabs>
        <w:jc w:val="both"/>
        <w:rPr>
          <w:rFonts w:eastAsia="Batang" w:cs="Times"/>
          <w:b/>
          <w:szCs w:val="24"/>
          <w:lang w:val="pt-BR" w:eastAsia="es-ES"/>
        </w:rPr>
      </w:pPr>
      <w:r w:rsidRPr="00D5464D">
        <w:rPr>
          <w:rFonts w:eastAsia="Batang" w:cs="Times"/>
          <w:szCs w:val="24"/>
          <w:lang w:val="pt-BR" w:eastAsia="es-ES"/>
        </w:rPr>
        <w:t>Por outr</w:t>
      </w:r>
      <w:r w:rsidR="00D14320" w:rsidRPr="00D5464D">
        <w:rPr>
          <w:rFonts w:eastAsia="Batang" w:cs="Times"/>
          <w:szCs w:val="24"/>
          <w:lang w:val="pt-BR" w:eastAsia="es-ES"/>
        </w:rPr>
        <w:t xml:space="preserve">a parte, </w:t>
      </w:r>
      <w:r w:rsidR="00470ADC" w:rsidRPr="00D5464D">
        <w:rPr>
          <w:rFonts w:eastAsia="Batang" w:cs="Times"/>
          <w:szCs w:val="24"/>
          <w:lang w:val="pt-BR" w:eastAsia="es-ES"/>
        </w:rPr>
        <w:t>alegaram</w:t>
      </w:r>
      <w:r w:rsidR="000A52D5" w:rsidRPr="00D5464D">
        <w:rPr>
          <w:rFonts w:eastAsia="Batang" w:cs="Times"/>
          <w:szCs w:val="24"/>
          <w:lang w:val="pt-BR" w:eastAsia="es-ES"/>
        </w:rPr>
        <w:t xml:space="preserve"> que</w:t>
      </w:r>
      <w:r w:rsidR="00470ADC" w:rsidRPr="00D5464D">
        <w:rPr>
          <w:rFonts w:eastAsia="Batang" w:cs="Times"/>
          <w:szCs w:val="24"/>
          <w:lang w:val="pt-BR" w:eastAsia="es-ES"/>
        </w:rPr>
        <w:t xml:space="preserve"> </w:t>
      </w:r>
      <w:r w:rsidR="00066E48" w:rsidRPr="00D5464D">
        <w:rPr>
          <w:rFonts w:eastAsia="Batang" w:cs="Times"/>
          <w:szCs w:val="24"/>
          <w:lang w:val="pt-BR" w:eastAsia="es-ES"/>
        </w:rPr>
        <w:t xml:space="preserve">se </w:t>
      </w:r>
      <w:r w:rsidR="00470ADC" w:rsidRPr="00D5464D">
        <w:rPr>
          <w:rFonts w:eastAsia="Batang" w:cs="Times"/>
          <w:szCs w:val="24"/>
          <w:lang w:val="pt-BR" w:eastAsia="es-ES"/>
        </w:rPr>
        <w:t xml:space="preserve">deve </w:t>
      </w:r>
      <w:r w:rsidR="00D14320" w:rsidRPr="00D5464D">
        <w:rPr>
          <w:rFonts w:eastAsia="Batang" w:cs="Times"/>
          <w:szCs w:val="24"/>
          <w:lang w:val="pt-BR" w:eastAsia="es-ES"/>
        </w:rPr>
        <w:t xml:space="preserve">levar </w:t>
      </w:r>
      <w:r w:rsidR="00470ADC" w:rsidRPr="00D5464D">
        <w:rPr>
          <w:rFonts w:eastAsia="Batang" w:cs="Times"/>
          <w:szCs w:val="24"/>
          <w:lang w:val="pt-BR" w:eastAsia="es-ES"/>
        </w:rPr>
        <w:t xml:space="preserve">em </w:t>
      </w:r>
      <w:r w:rsidR="000A52D5" w:rsidRPr="00D5464D">
        <w:rPr>
          <w:rFonts w:eastAsia="Batang" w:cs="Times"/>
          <w:szCs w:val="24"/>
          <w:lang w:val="pt-BR" w:eastAsia="es-ES"/>
        </w:rPr>
        <w:t>considera</w:t>
      </w:r>
      <w:r w:rsidR="00470ADC" w:rsidRPr="00D5464D">
        <w:rPr>
          <w:rFonts w:eastAsia="Batang" w:cs="Times"/>
          <w:szCs w:val="24"/>
          <w:lang w:val="pt-BR" w:eastAsia="es-ES"/>
        </w:rPr>
        <w:t>ção</w:t>
      </w:r>
      <w:r w:rsidR="002C330E" w:rsidRPr="00D5464D">
        <w:rPr>
          <w:rFonts w:eastAsia="Batang" w:cs="Times"/>
          <w:szCs w:val="24"/>
          <w:lang w:val="pt-BR" w:eastAsia="es-ES"/>
        </w:rPr>
        <w:t xml:space="preserve"> a </w:t>
      </w:r>
      <w:r w:rsidR="000A52D5" w:rsidRPr="00D5464D">
        <w:rPr>
          <w:rFonts w:eastAsia="Batang" w:cs="Times"/>
          <w:szCs w:val="24"/>
          <w:lang w:val="pt-BR" w:eastAsia="es-ES"/>
        </w:rPr>
        <w:t>localiza</w:t>
      </w:r>
      <w:r w:rsidR="00470ADC" w:rsidRPr="00D5464D">
        <w:rPr>
          <w:rFonts w:eastAsia="Batang" w:cs="Times"/>
          <w:szCs w:val="24"/>
          <w:lang w:val="pt-BR" w:eastAsia="es-ES"/>
        </w:rPr>
        <w:t>ção</w:t>
      </w:r>
      <w:r w:rsidR="000A52D5" w:rsidRPr="00D5464D">
        <w:rPr>
          <w:rFonts w:eastAsia="Batang" w:cs="Times"/>
          <w:szCs w:val="24"/>
          <w:lang w:val="pt-BR" w:eastAsia="es-ES"/>
        </w:rPr>
        <w:t xml:space="preserve"> </w:t>
      </w:r>
      <w:r w:rsidR="00D14320" w:rsidRPr="00D5464D">
        <w:rPr>
          <w:rFonts w:eastAsia="Batang" w:cs="Times"/>
          <w:szCs w:val="24"/>
          <w:lang w:val="pt-BR" w:eastAsia="es-ES"/>
        </w:rPr>
        <w:t xml:space="preserve">distante </w:t>
      </w:r>
      <w:r w:rsidR="00470ADC" w:rsidRPr="00D5464D">
        <w:rPr>
          <w:rFonts w:eastAsia="Batang" w:cs="Times"/>
          <w:szCs w:val="24"/>
          <w:lang w:val="pt-BR" w:eastAsia="es-ES"/>
        </w:rPr>
        <w:t xml:space="preserve">da </w:t>
      </w:r>
      <w:r w:rsidR="00D809F0" w:rsidRPr="00D5464D">
        <w:rPr>
          <w:rFonts w:eastAsia="Batang" w:cs="Times"/>
          <w:szCs w:val="24"/>
          <w:lang w:val="pt-BR" w:eastAsia="es-ES"/>
        </w:rPr>
        <w:t>Fazenda</w:t>
      </w:r>
      <w:r w:rsidR="000A52D5" w:rsidRPr="00D5464D">
        <w:rPr>
          <w:rFonts w:eastAsia="Batang" w:cs="Times"/>
          <w:szCs w:val="24"/>
          <w:lang w:val="pt-BR" w:eastAsia="es-ES"/>
        </w:rPr>
        <w:t xml:space="preserve"> Brasil Verde</w:t>
      </w:r>
      <w:r w:rsidR="00E045D9" w:rsidRPr="00D5464D">
        <w:rPr>
          <w:rFonts w:eastAsia="Batang" w:cs="Times"/>
          <w:szCs w:val="24"/>
          <w:lang w:val="pt-BR" w:eastAsia="es-ES"/>
        </w:rPr>
        <w:t xml:space="preserve"> e </w:t>
      </w:r>
      <w:r w:rsidR="002C330E" w:rsidRPr="00D5464D">
        <w:rPr>
          <w:rFonts w:eastAsia="Batang" w:cs="Times"/>
          <w:szCs w:val="24"/>
          <w:lang w:val="pt-BR" w:eastAsia="es-ES"/>
        </w:rPr>
        <w:t xml:space="preserve">as </w:t>
      </w:r>
      <w:r w:rsidR="00470ADC" w:rsidRPr="00D5464D">
        <w:rPr>
          <w:rFonts w:eastAsia="Batang" w:cs="Times"/>
          <w:szCs w:val="24"/>
          <w:lang w:val="pt-BR" w:eastAsia="es-ES"/>
        </w:rPr>
        <w:t>dificuldades</w:t>
      </w:r>
      <w:r w:rsidR="000A52D5" w:rsidRPr="00D5464D">
        <w:rPr>
          <w:rFonts w:eastAsia="Batang" w:cs="Times"/>
          <w:szCs w:val="24"/>
          <w:lang w:val="pt-BR" w:eastAsia="es-ES"/>
        </w:rPr>
        <w:t xml:space="preserve"> de </w:t>
      </w:r>
      <w:r w:rsidR="00470ADC" w:rsidRPr="00D5464D">
        <w:rPr>
          <w:rFonts w:eastAsia="Batang" w:cs="Times"/>
          <w:szCs w:val="24"/>
          <w:lang w:val="pt-BR" w:eastAsia="es-ES"/>
        </w:rPr>
        <w:t>acesso</w:t>
      </w:r>
      <w:r w:rsidR="000A52D5" w:rsidRPr="00D5464D">
        <w:rPr>
          <w:rFonts w:eastAsia="Batang" w:cs="Times"/>
          <w:szCs w:val="24"/>
          <w:lang w:val="pt-BR" w:eastAsia="es-ES"/>
        </w:rPr>
        <w:t xml:space="preserve"> </w:t>
      </w:r>
      <w:r w:rsidR="00D14320" w:rsidRPr="00D5464D">
        <w:rPr>
          <w:rFonts w:eastAsia="Batang" w:cs="Times"/>
          <w:szCs w:val="24"/>
          <w:lang w:val="pt-BR" w:eastAsia="es-ES"/>
        </w:rPr>
        <w:t xml:space="preserve">a </w:t>
      </w:r>
      <w:r w:rsidR="00470ADC" w:rsidRPr="00D5464D">
        <w:rPr>
          <w:rFonts w:eastAsia="Batang" w:cs="Times"/>
          <w:szCs w:val="24"/>
          <w:lang w:val="pt-BR" w:eastAsia="es-ES"/>
        </w:rPr>
        <w:t>ela</w:t>
      </w:r>
      <w:r w:rsidR="000A52D5" w:rsidRPr="00D5464D">
        <w:rPr>
          <w:rFonts w:eastAsia="Batang" w:cs="Times"/>
          <w:szCs w:val="24"/>
          <w:lang w:val="pt-BR" w:eastAsia="es-ES"/>
        </w:rPr>
        <w:t>,</w:t>
      </w:r>
      <w:r w:rsidR="002C330E" w:rsidRPr="00D5464D">
        <w:rPr>
          <w:rFonts w:eastAsia="Batang" w:cs="Times"/>
          <w:szCs w:val="24"/>
          <w:lang w:val="pt-BR" w:eastAsia="es-ES"/>
        </w:rPr>
        <w:t xml:space="preserve"> a </w:t>
      </w:r>
      <w:r w:rsidR="000A52D5" w:rsidRPr="00D5464D">
        <w:rPr>
          <w:rFonts w:eastAsia="Batang" w:cs="Times"/>
          <w:szCs w:val="24"/>
          <w:lang w:val="pt-BR" w:eastAsia="es-ES"/>
        </w:rPr>
        <w:t>situa</w:t>
      </w:r>
      <w:r w:rsidR="00470ADC" w:rsidRPr="00D5464D">
        <w:rPr>
          <w:rFonts w:eastAsia="Batang" w:cs="Times"/>
          <w:szCs w:val="24"/>
          <w:lang w:val="pt-BR" w:eastAsia="es-ES"/>
        </w:rPr>
        <w:t>ção</w:t>
      </w:r>
      <w:r w:rsidR="000A52D5" w:rsidRPr="00D5464D">
        <w:rPr>
          <w:rFonts w:eastAsia="Batang" w:cs="Times"/>
          <w:szCs w:val="24"/>
          <w:lang w:val="pt-BR" w:eastAsia="es-ES"/>
        </w:rPr>
        <w:t xml:space="preserve"> de </w:t>
      </w:r>
      <w:r w:rsidR="00470ADC" w:rsidRPr="00D5464D">
        <w:rPr>
          <w:rFonts w:eastAsia="Batang" w:cs="Times"/>
          <w:szCs w:val="24"/>
          <w:lang w:val="pt-BR" w:eastAsia="es-ES"/>
        </w:rPr>
        <w:t>exclusão</w:t>
      </w:r>
      <w:r w:rsidR="000A52D5" w:rsidRPr="00D5464D">
        <w:rPr>
          <w:rFonts w:eastAsia="Batang" w:cs="Times"/>
          <w:szCs w:val="24"/>
          <w:lang w:val="pt-BR" w:eastAsia="es-ES"/>
        </w:rPr>
        <w:t xml:space="preserve">, </w:t>
      </w:r>
      <w:r w:rsidR="00350187" w:rsidRPr="00D5464D">
        <w:rPr>
          <w:rFonts w:eastAsia="Batang" w:cs="Times"/>
          <w:szCs w:val="24"/>
          <w:lang w:val="pt-BR" w:eastAsia="es-ES"/>
        </w:rPr>
        <w:t>vulnerabilidade,</w:t>
      </w:r>
      <w:r w:rsidR="000A52D5" w:rsidRPr="00D5464D">
        <w:rPr>
          <w:rFonts w:eastAsia="Batang" w:cs="Times"/>
          <w:szCs w:val="24"/>
          <w:lang w:val="pt-BR" w:eastAsia="es-ES"/>
        </w:rPr>
        <w:t xml:space="preserve"> analfabetismo</w:t>
      </w:r>
      <w:r w:rsidR="00E045D9" w:rsidRPr="00D5464D">
        <w:rPr>
          <w:rFonts w:eastAsia="Batang" w:cs="Times"/>
          <w:szCs w:val="24"/>
          <w:lang w:val="pt-BR" w:eastAsia="es-ES"/>
        </w:rPr>
        <w:t xml:space="preserve"> e </w:t>
      </w:r>
      <w:r w:rsidR="00D14320" w:rsidRPr="00D5464D">
        <w:rPr>
          <w:rFonts w:eastAsia="Batang" w:cs="Times"/>
          <w:szCs w:val="24"/>
          <w:lang w:val="pt-BR" w:eastAsia="es-ES"/>
        </w:rPr>
        <w:t xml:space="preserve">mobilidade </w:t>
      </w:r>
      <w:r w:rsidR="00470ADC" w:rsidRPr="00D5464D">
        <w:rPr>
          <w:rFonts w:eastAsia="Batang" w:cs="Times"/>
          <w:szCs w:val="24"/>
          <w:lang w:val="pt-BR" w:eastAsia="es-ES"/>
        </w:rPr>
        <w:t xml:space="preserve">das </w:t>
      </w:r>
      <w:r w:rsidR="002C330E" w:rsidRPr="00D5464D">
        <w:rPr>
          <w:rFonts w:eastAsia="Batang" w:cs="Times"/>
          <w:szCs w:val="24"/>
          <w:lang w:val="pt-BR" w:eastAsia="es-ES"/>
        </w:rPr>
        <w:t>suposta</w:t>
      </w:r>
      <w:r w:rsidR="000A52D5" w:rsidRPr="00D5464D">
        <w:rPr>
          <w:rFonts w:eastAsia="Batang" w:cs="Times"/>
          <w:szCs w:val="24"/>
          <w:lang w:val="pt-BR" w:eastAsia="es-ES"/>
        </w:rPr>
        <w:t xml:space="preserve">s </w:t>
      </w:r>
      <w:r w:rsidR="00E045D9" w:rsidRPr="00D5464D">
        <w:rPr>
          <w:rFonts w:eastAsia="Batang" w:cs="Times"/>
          <w:szCs w:val="24"/>
          <w:lang w:val="pt-BR" w:eastAsia="es-ES"/>
        </w:rPr>
        <w:t>vítima</w:t>
      </w:r>
      <w:r w:rsidR="000A52D5" w:rsidRPr="00D5464D">
        <w:rPr>
          <w:rFonts w:eastAsia="Batang" w:cs="Times"/>
          <w:szCs w:val="24"/>
          <w:lang w:val="pt-BR" w:eastAsia="es-ES"/>
        </w:rPr>
        <w:t>s</w:t>
      </w:r>
      <w:r w:rsidR="00470ADC" w:rsidRPr="00D5464D">
        <w:rPr>
          <w:rFonts w:eastAsia="Batang" w:cs="Times"/>
          <w:szCs w:val="24"/>
          <w:lang w:val="pt-BR" w:eastAsia="es-ES"/>
        </w:rPr>
        <w:t>, e</w:t>
      </w:r>
      <w:r w:rsidR="000A52D5" w:rsidRPr="00D5464D">
        <w:rPr>
          <w:rFonts w:eastAsia="Batang" w:cs="Times"/>
          <w:szCs w:val="24"/>
          <w:lang w:val="pt-BR" w:eastAsia="es-ES"/>
        </w:rPr>
        <w:t xml:space="preserve"> que </w:t>
      </w:r>
      <w:r w:rsidR="00350187" w:rsidRPr="00D5464D">
        <w:rPr>
          <w:rFonts w:eastAsia="Batang" w:cs="Times"/>
          <w:szCs w:val="24"/>
          <w:lang w:val="pt-BR" w:eastAsia="es-ES"/>
        </w:rPr>
        <w:t>estas</w:t>
      </w:r>
      <w:r w:rsidR="000A52D5" w:rsidRPr="00D5464D">
        <w:rPr>
          <w:rFonts w:eastAsia="Batang" w:cs="Times"/>
          <w:szCs w:val="24"/>
          <w:lang w:val="pt-BR" w:eastAsia="es-ES"/>
        </w:rPr>
        <w:t xml:space="preserve"> nunca se </w:t>
      </w:r>
      <w:r w:rsidR="002C330E" w:rsidRPr="00D5464D">
        <w:rPr>
          <w:rFonts w:eastAsia="Batang" w:cs="Times"/>
          <w:szCs w:val="24"/>
          <w:lang w:val="pt-BR" w:eastAsia="es-ES"/>
        </w:rPr>
        <w:t>manifestaram</w:t>
      </w:r>
      <w:r w:rsidR="000A52D5" w:rsidRPr="00D5464D">
        <w:rPr>
          <w:rFonts w:eastAsia="Batang" w:cs="Times"/>
          <w:szCs w:val="24"/>
          <w:lang w:val="pt-BR" w:eastAsia="es-ES"/>
        </w:rPr>
        <w:t xml:space="preserve"> contra</w:t>
      </w:r>
      <w:r w:rsidR="002C330E" w:rsidRPr="00D5464D">
        <w:rPr>
          <w:rFonts w:eastAsia="Batang" w:cs="Times"/>
          <w:szCs w:val="24"/>
          <w:lang w:val="pt-BR" w:eastAsia="es-ES"/>
        </w:rPr>
        <w:t xml:space="preserve"> a </w:t>
      </w:r>
      <w:r w:rsidR="000A52D5" w:rsidRPr="00D5464D">
        <w:rPr>
          <w:rFonts w:eastAsia="Batang" w:cs="Times"/>
          <w:szCs w:val="24"/>
          <w:lang w:val="pt-BR" w:eastAsia="es-ES"/>
        </w:rPr>
        <w:t>representa</w:t>
      </w:r>
      <w:r w:rsidR="00470ADC" w:rsidRPr="00D5464D">
        <w:rPr>
          <w:rFonts w:eastAsia="Batang" w:cs="Times"/>
          <w:szCs w:val="24"/>
          <w:lang w:val="pt-BR" w:eastAsia="es-ES"/>
        </w:rPr>
        <w:t>ção</w:t>
      </w:r>
      <w:r w:rsidR="00230C71" w:rsidRPr="00D5464D">
        <w:rPr>
          <w:rFonts w:eastAsia="Batang" w:cs="Times"/>
          <w:szCs w:val="24"/>
          <w:lang w:val="pt-BR" w:eastAsia="es-ES"/>
        </w:rPr>
        <w:t xml:space="preserve"> feita </w:t>
      </w:r>
      <w:r w:rsidR="00E045D9" w:rsidRPr="00D5464D">
        <w:rPr>
          <w:rFonts w:eastAsia="Batang" w:cs="Times"/>
          <w:szCs w:val="24"/>
          <w:lang w:val="pt-BR" w:eastAsia="es-ES"/>
        </w:rPr>
        <w:t xml:space="preserve">no </w:t>
      </w:r>
      <w:r w:rsidR="002C330E" w:rsidRPr="00D5464D">
        <w:rPr>
          <w:rFonts w:eastAsia="Batang" w:cs="Times"/>
          <w:szCs w:val="24"/>
          <w:lang w:val="pt-BR" w:eastAsia="es-ES"/>
        </w:rPr>
        <w:t>processo</w:t>
      </w:r>
      <w:r w:rsidR="000A52D5" w:rsidRPr="00D5464D">
        <w:rPr>
          <w:rFonts w:eastAsia="Batang" w:cs="Times"/>
          <w:szCs w:val="24"/>
          <w:lang w:val="pt-BR" w:eastAsia="es-ES"/>
        </w:rPr>
        <w:t xml:space="preserve"> internacional. Finalmente, </w:t>
      </w:r>
      <w:r w:rsidRPr="00D5464D">
        <w:rPr>
          <w:rFonts w:eastAsia="Batang" w:cs="Times"/>
          <w:szCs w:val="24"/>
          <w:lang w:val="pt-BR" w:eastAsia="es-ES"/>
        </w:rPr>
        <w:t>destacaram</w:t>
      </w:r>
      <w:r w:rsidR="002C330E" w:rsidRPr="00D5464D">
        <w:rPr>
          <w:rFonts w:eastAsia="Batang" w:cs="Times"/>
          <w:szCs w:val="24"/>
          <w:lang w:val="pt-BR" w:eastAsia="es-ES"/>
        </w:rPr>
        <w:t xml:space="preserve"> a jurisprudência </w:t>
      </w:r>
      <w:r w:rsidR="00470ADC" w:rsidRPr="00D5464D">
        <w:rPr>
          <w:rFonts w:eastAsia="Batang" w:cs="Times"/>
          <w:szCs w:val="24"/>
          <w:lang w:val="pt-BR" w:eastAsia="es-ES"/>
        </w:rPr>
        <w:t xml:space="preserve">da </w:t>
      </w:r>
      <w:r w:rsidR="000A52D5" w:rsidRPr="00D5464D">
        <w:rPr>
          <w:rFonts w:eastAsia="Batang" w:cs="Times"/>
          <w:szCs w:val="24"/>
          <w:lang w:val="pt-BR" w:eastAsia="es-ES"/>
        </w:rPr>
        <w:t>Corte</w:t>
      </w:r>
      <w:r w:rsidR="00E045D9" w:rsidRPr="00D5464D">
        <w:rPr>
          <w:rFonts w:eastAsia="Batang" w:cs="Times"/>
          <w:szCs w:val="24"/>
          <w:lang w:val="pt-BR" w:eastAsia="es-ES"/>
        </w:rPr>
        <w:t xml:space="preserve"> no </w:t>
      </w:r>
      <w:r w:rsidR="000A52D5" w:rsidRPr="00D5464D">
        <w:rPr>
          <w:rFonts w:eastAsia="Batang" w:cs="Times"/>
          <w:szCs w:val="24"/>
          <w:lang w:val="pt-BR" w:eastAsia="es-ES"/>
        </w:rPr>
        <w:t>sentido de que</w:t>
      </w:r>
      <w:r w:rsidR="002C330E" w:rsidRPr="00D5464D">
        <w:rPr>
          <w:rFonts w:eastAsia="Batang" w:cs="Times"/>
          <w:szCs w:val="24"/>
          <w:lang w:val="pt-BR" w:eastAsia="es-ES"/>
        </w:rPr>
        <w:t xml:space="preserve"> a </w:t>
      </w:r>
      <w:r w:rsidR="000A52D5" w:rsidRPr="00D5464D">
        <w:rPr>
          <w:rFonts w:eastAsia="Batang" w:cs="Times"/>
          <w:szCs w:val="24"/>
          <w:lang w:val="pt-BR" w:eastAsia="es-ES"/>
        </w:rPr>
        <w:t xml:space="preserve">lista de </w:t>
      </w:r>
      <w:r w:rsidR="00E045D9" w:rsidRPr="00D5464D">
        <w:rPr>
          <w:rFonts w:eastAsia="Batang" w:cs="Times"/>
          <w:szCs w:val="24"/>
          <w:lang w:val="pt-BR" w:eastAsia="es-ES"/>
        </w:rPr>
        <w:t>vítima</w:t>
      </w:r>
      <w:r w:rsidR="000A52D5" w:rsidRPr="00D5464D">
        <w:rPr>
          <w:rFonts w:eastAsia="Batang" w:cs="Times"/>
          <w:szCs w:val="24"/>
          <w:lang w:val="pt-BR" w:eastAsia="es-ES"/>
        </w:rPr>
        <w:t xml:space="preserve">s </w:t>
      </w:r>
      <w:r w:rsidR="002C330E" w:rsidRPr="00D5464D">
        <w:rPr>
          <w:rFonts w:eastAsia="Batang" w:cs="Times"/>
          <w:szCs w:val="24"/>
          <w:lang w:val="pt-BR" w:eastAsia="es-ES"/>
        </w:rPr>
        <w:t>pode</w:t>
      </w:r>
      <w:r w:rsidR="000A52D5" w:rsidRPr="00D5464D">
        <w:rPr>
          <w:rFonts w:eastAsia="Batang" w:cs="Times"/>
          <w:szCs w:val="24"/>
          <w:lang w:val="pt-BR" w:eastAsia="es-ES"/>
        </w:rPr>
        <w:t xml:space="preserve"> variar durante</w:t>
      </w:r>
      <w:r w:rsidR="00470ADC" w:rsidRPr="00D5464D">
        <w:rPr>
          <w:rFonts w:eastAsia="Batang" w:cs="Times"/>
          <w:szCs w:val="24"/>
          <w:lang w:val="pt-BR" w:eastAsia="es-ES"/>
        </w:rPr>
        <w:t xml:space="preserve"> o </w:t>
      </w:r>
      <w:r w:rsidR="00E045D9" w:rsidRPr="00D5464D">
        <w:rPr>
          <w:rFonts w:eastAsia="Batang" w:cs="Times"/>
          <w:szCs w:val="24"/>
          <w:lang w:val="pt-BR" w:eastAsia="es-ES"/>
        </w:rPr>
        <w:t>trâmite</w:t>
      </w:r>
      <w:r w:rsidR="000A52D5" w:rsidRPr="00D5464D">
        <w:rPr>
          <w:rFonts w:eastAsia="Batang" w:cs="Times"/>
          <w:szCs w:val="24"/>
          <w:lang w:val="pt-BR" w:eastAsia="es-ES"/>
        </w:rPr>
        <w:t xml:space="preserve"> </w:t>
      </w:r>
      <w:r w:rsidR="00470ADC" w:rsidRPr="00D5464D">
        <w:rPr>
          <w:rFonts w:eastAsia="Batang" w:cs="Times"/>
          <w:szCs w:val="24"/>
          <w:lang w:val="pt-BR" w:eastAsia="es-ES"/>
        </w:rPr>
        <w:t xml:space="preserve">do </w:t>
      </w:r>
      <w:r w:rsidR="002C330E" w:rsidRPr="00D5464D">
        <w:rPr>
          <w:rFonts w:eastAsia="Batang" w:cs="Times"/>
          <w:szCs w:val="24"/>
          <w:lang w:val="pt-BR" w:eastAsia="es-ES"/>
        </w:rPr>
        <w:t>processo</w:t>
      </w:r>
      <w:r w:rsidR="00470ADC" w:rsidRPr="00D5464D">
        <w:rPr>
          <w:rFonts w:eastAsia="Batang" w:cs="Times"/>
          <w:szCs w:val="24"/>
          <w:lang w:val="pt-BR" w:eastAsia="es-ES"/>
        </w:rPr>
        <w:t xml:space="preserve"> em certa</w:t>
      </w:r>
      <w:r w:rsidR="000A52D5" w:rsidRPr="00D5464D">
        <w:rPr>
          <w:rFonts w:eastAsia="Batang" w:cs="Times"/>
          <w:szCs w:val="24"/>
          <w:lang w:val="pt-BR" w:eastAsia="es-ES"/>
        </w:rPr>
        <w:t xml:space="preserve">s </w:t>
      </w:r>
      <w:r w:rsidR="00470ADC" w:rsidRPr="00D5464D">
        <w:rPr>
          <w:rFonts w:eastAsia="Batang" w:cs="Times"/>
          <w:szCs w:val="24"/>
          <w:lang w:val="pt-BR" w:eastAsia="es-ES"/>
        </w:rPr>
        <w:t>circunstâncias</w:t>
      </w:r>
      <w:r w:rsidR="000A52D5" w:rsidRPr="00D5464D">
        <w:rPr>
          <w:rFonts w:eastAsia="Batang" w:cs="Times"/>
          <w:szCs w:val="24"/>
          <w:lang w:val="pt-BR" w:eastAsia="es-ES"/>
        </w:rPr>
        <w:t>.</w:t>
      </w:r>
    </w:p>
    <w:p w14:paraId="66B9C055" w14:textId="77777777" w:rsidR="000A52D5" w:rsidRPr="00D5464D" w:rsidRDefault="000A52D5" w:rsidP="00140440">
      <w:pPr>
        <w:tabs>
          <w:tab w:val="clear" w:pos="4419"/>
          <w:tab w:val="clear" w:pos="8838"/>
        </w:tabs>
        <w:jc w:val="both"/>
        <w:rPr>
          <w:rFonts w:eastAsia="Batang" w:cs="Times"/>
          <w:i/>
          <w:szCs w:val="24"/>
          <w:lang w:val="pt-BR" w:eastAsia="es-ES"/>
        </w:rPr>
      </w:pPr>
    </w:p>
    <w:p w14:paraId="7F1468C6" w14:textId="5304BA16" w:rsidR="000A52D5" w:rsidRPr="00D5464D" w:rsidRDefault="000A52D5" w:rsidP="0079341A">
      <w:pPr>
        <w:pStyle w:val="Ttulo3"/>
        <w:rPr>
          <w:lang w:val="pt-BR" w:eastAsia="es-ES"/>
        </w:rPr>
      </w:pPr>
      <w:bookmarkStart w:id="76" w:name="_Toc460432968"/>
      <w:bookmarkStart w:id="77" w:name="_Toc460441899"/>
      <w:bookmarkStart w:id="78" w:name="_Toc462750719"/>
      <w:bookmarkStart w:id="79" w:name="_Toc462751043"/>
      <w:bookmarkStart w:id="80" w:name="_Toc464813895"/>
      <w:bookmarkStart w:id="81" w:name="_Toc468433856"/>
      <w:r w:rsidRPr="00D5464D">
        <w:rPr>
          <w:lang w:val="pt-BR" w:eastAsia="es-ES"/>
        </w:rPr>
        <w:t>B.4. Considera</w:t>
      </w:r>
      <w:r w:rsidR="00470ADC" w:rsidRPr="00D5464D">
        <w:rPr>
          <w:lang w:val="pt-BR" w:eastAsia="es-ES"/>
        </w:rPr>
        <w:t xml:space="preserve">ções da </w:t>
      </w:r>
      <w:r w:rsidRPr="00D5464D">
        <w:rPr>
          <w:lang w:val="pt-BR" w:eastAsia="es-ES"/>
        </w:rPr>
        <w:t>Corte</w:t>
      </w:r>
      <w:bookmarkEnd w:id="76"/>
      <w:bookmarkEnd w:id="77"/>
      <w:bookmarkEnd w:id="78"/>
      <w:bookmarkEnd w:id="79"/>
      <w:bookmarkEnd w:id="80"/>
      <w:bookmarkEnd w:id="81"/>
    </w:p>
    <w:p w14:paraId="2BB59EF5" w14:textId="77777777" w:rsidR="00D65024" w:rsidRPr="00D5464D" w:rsidRDefault="00D65024" w:rsidP="00D65024">
      <w:pPr>
        <w:tabs>
          <w:tab w:val="clear" w:pos="4419"/>
          <w:tab w:val="clear" w:pos="8838"/>
        </w:tabs>
        <w:jc w:val="both"/>
        <w:rPr>
          <w:rFonts w:eastAsia="Batang" w:cs="Times"/>
          <w:i/>
          <w:szCs w:val="24"/>
          <w:lang w:val="pt-BR" w:eastAsia="es-ES"/>
        </w:rPr>
      </w:pPr>
    </w:p>
    <w:p w14:paraId="3C642B11" w14:textId="08135913" w:rsidR="000A52D5" w:rsidRPr="00D5464D" w:rsidRDefault="00470ADC" w:rsidP="00140440">
      <w:pPr>
        <w:numPr>
          <w:ilvl w:val="0"/>
          <w:numId w:val="1"/>
        </w:numPr>
        <w:tabs>
          <w:tab w:val="clear" w:pos="4419"/>
          <w:tab w:val="clear" w:pos="8838"/>
        </w:tabs>
        <w:jc w:val="both"/>
        <w:rPr>
          <w:rFonts w:eastAsia="Batang" w:cs="Times"/>
          <w:i/>
          <w:szCs w:val="24"/>
          <w:lang w:val="pt-BR" w:eastAsia="es-ES"/>
        </w:rPr>
      </w:pPr>
      <w:r w:rsidRPr="00D5464D">
        <w:rPr>
          <w:lang w:val="pt-BR" w:eastAsia="es-ES"/>
        </w:rPr>
        <w:t xml:space="preserve">A </w:t>
      </w:r>
      <w:r w:rsidR="000A52D5" w:rsidRPr="00D5464D">
        <w:rPr>
          <w:rFonts w:eastAsia="Batang" w:cs="Times"/>
          <w:szCs w:val="24"/>
          <w:lang w:val="pt-BR" w:eastAsia="es-ES"/>
        </w:rPr>
        <w:t>Corte nota que</w:t>
      </w:r>
      <w:r w:rsidRPr="00D5464D">
        <w:rPr>
          <w:rFonts w:eastAsia="Batang" w:cs="Times"/>
          <w:szCs w:val="24"/>
          <w:lang w:val="pt-BR" w:eastAsia="es-ES"/>
        </w:rPr>
        <w:t xml:space="preserve"> o </w:t>
      </w:r>
      <w:r w:rsidR="000A52D5" w:rsidRPr="00D5464D">
        <w:rPr>
          <w:rFonts w:eastAsia="Batang" w:cs="Times"/>
          <w:szCs w:val="24"/>
          <w:lang w:val="pt-BR" w:eastAsia="es-ES"/>
        </w:rPr>
        <w:t xml:space="preserve">Estado </w:t>
      </w:r>
      <w:r w:rsidR="00350187" w:rsidRPr="00D5464D">
        <w:rPr>
          <w:rFonts w:eastAsia="Batang" w:cs="Times"/>
          <w:szCs w:val="24"/>
          <w:lang w:val="pt-BR" w:eastAsia="es-ES"/>
        </w:rPr>
        <w:t>expôs</w:t>
      </w:r>
      <w:r w:rsidR="000A52D5" w:rsidRPr="00D5464D">
        <w:rPr>
          <w:rFonts w:eastAsia="Batang" w:cs="Times"/>
          <w:szCs w:val="24"/>
          <w:lang w:val="pt-BR" w:eastAsia="es-ES"/>
        </w:rPr>
        <w:t xml:space="preserve"> diversas </w:t>
      </w:r>
      <w:r w:rsidRPr="00D5464D">
        <w:rPr>
          <w:rFonts w:eastAsia="Batang" w:cs="Times"/>
          <w:szCs w:val="24"/>
          <w:lang w:val="pt-BR" w:eastAsia="es-ES"/>
        </w:rPr>
        <w:t>exceções</w:t>
      </w:r>
      <w:r w:rsidR="000A52D5" w:rsidRPr="00D5464D">
        <w:rPr>
          <w:rFonts w:eastAsia="Batang" w:cs="Times"/>
          <w:szCs w:val="24"/>
          <w:lang w:val="pt-BR" w:eastAsia="es-ES"/>
        </w:rPr>
        <w:t xml:space="preserve"> preliminares contra</w:t>
      </w:r>
      <w:r w:rsidR="002C330E" w:rsidRPr="00D5464D">
        <w:rPr>
          <w:rFonts w:eastAsia="Batang" w:cs="Times"/>
          <w:szCs w:val="24"/>
          <w:lang w:val="pt-BR" w:eastAsia="es-ES"/>
        </w:rPr>
        <w:t xml:space="preserve"> a </w:t>
      </w:r>
      <w:r w:rsidR="000A52D5" w:rsidRPr="00D5464D">
        <w:rPr>
          <w:rFonts w:eastAsia="Batang" w:cs="Times"/>
          <w:szCs w:val="24"/>
          <w:lang w:val="pt-BR" w:eastAsia="es-ES"/>
        </w:rPr>
        <w:t xml:space="preserve">lista de 33 </w:t>
      </w:r>
      <w:r w:rsidR="002C330E" w:rsidRPr="00D5464D">
        <w:rPr>
          <w:rFonts w:eastAsia="Batang" w:cs="Times"/>
          <w:szCs w:val="24"/>
          <w:lang w:val="pt-BR" w:eastAsia="es-ES"/>
        </w:rPr>
        <w:t>suposta</w:t>
      </w:r>
      <w:r w:rsidR="000A52D5" w:rsidRPr="00D5464D">
        <w:rPr>
          <w:rFonts w:eastAsia="Batang" w:cs="Times"/>
          <w:szCs w:val="24"/>
          <w:lang w:val="pt-BR" w:eastAsia="es-ES"/>
        </w:rPr>
        <w:t xml:space="preserve">s </w:t>
      </w:r>
      <w:r w:rsidR="00E045D9" w:rsidRPr="00D5464D">
        <w:rPr>
          <w:rFonts w:eastAsia="Batang" w:cs="Times"/>
          <w:szCs w:val="24"/>
          <w:lang w:val="pt-BR" w:eastAsia="es-ES"/>
        </w:rPr>
        <w:t>vítima</w:t>
      </w:r>
      <w:r w:rsidR="000A52D5" w:rsidRPr="00D5464D">
        <w:rPr>
          <w:rFonts w:eastAsia="Batang" w:cs="Times"/>
          <w:szCs w:val="24"/>
          <w:lang w:val="pt-BR" w:eastAsia="es-ES"/>
        </w:rPr>
        <w:t xml:space="preserve">s </w:t>
      </w:r>
      <w:r w:rsidR="00737270" w:rsidRPr="00D5464D">
        <w:rPr>
          <w:rFonts w:eastAsia="Batang" w:cs="Times"/>
          <w:szCs w:val="24"/>
          <w:lang w:val="pt-BR" w:eastAsia="es-ES"/>
        </w:rPr>
        <w:t>indica</w:t>
      </w:r>
      <w:r w:rsidR="000A52D5" w:rsidRPr="00D5464D">
        <w:rPr>
          <w:rFonts w:eastAsia="Batang" w:cs="Times"/>
          <w:szCs w:val="24"/>
          <w:lang w:val="pt-BR" w:eastAsia="es-ES"/>
        </w:rPr>
        <w:t>das</w:t>
      </w:r>
      <w:r w:rsidR="00E045D9" w:rsidRPr="00D5464D">
        <w:rPr>
          <w:rFonts w:eastAsia="Batang" w:cs="Times"/>
          <w:szCs w:val="24"/>
          <w:lang w:val="pt-BR" w:eastAsia="es-ES"/>
        </w:rPr>
        <w:t xml:space="preserve"> no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de Admissibilidade</w:t>
      </w:r>
      <w:r w:rsidR="00E045D9" w:rsidRPr="00D5464D">
        <w:rPr>
          <w:rFonts w:eastAsia="Batang" w:cs="Times"/>
          <w:szCs w:val="24"/>
          <w:lang w:val="pt-BR" w:eastAsia="es-ES"/>
        </w:rPr>
        <w:t xml:space="preserve"> e </w:t>
      </w:r>
      <w:r w:rsidRPr="00D5464D">
        <w:rPr>
          <w:rFonts w:eastAsia="Batang" w:cs="Times"/>
          <w:szCs w:val="24"/>
          <w:lang w:val="pt-BR" w:eastAsia="es-ES"/>
        </w:rPr>
        <w:t>Mérito</w:t>
      </w:r>
      <w:r w:rsidR="00E045D9" w:rsidRPr="00D5464D">
        <w:rPr>
          <w:rFonts w:eastAsia="Batang" w:cs="Times"/>
          <w:szCs w:val="24"/>
          <w:lang w:val="pt-BR" w:eastAsia="es-ES"/>
        </w:rPr>
        <w:t xml:space="preserve"> e </w:t>
      </w:r>
      <w:r w:rsidRPr="00D5464D">
        <w:rPr>
          <w:rFonts w:eastAsia="Batang" w:cs="Times"/>
          <w:szCs w:val="24"/>
          <w:lang w:val="pt-BR" w:eastAsia="es-ES"/>
        </w:rPr>
        <w:t>considerou</w:t>
      </w:r>
      <w:r w:rsidR="000A52D5" w:rsidRPr="00D5464D">
        <w:rPr>
          <w:rFonts w:eastAsia="Batang" w:cs="Times"/>
          <w:szCs w:val="24"/>
          <w:lang w:val="pt-BR" w:eastAsia="es-ES"/>
        </w:rPr>
        <w:t xml:space="preserve"> que</w:t>
      </w:r>
      <w:r w:rsidR="00D14320" w:rsidRPr="00D5464D">
        <w:rPr>
          <w:rFonts w:eastAsia="Batang" w:cs="Times"/>
          <w:szCs w:val="24"/>
          <w:lang w:val="pt-BR" w:eastAsia="es-ES"/>
        </w:rPr>
        <w:t xml:space="preserve"> apenas </w:t>
      </w:r>
      <w:r w:rsidR="000A52D5" w:rsidRPr="00D5464D">
        <w:rPr>
          <w:rFonts w:eastAsia="Batang" w:cs="Times"/>
          <w:szCs w:val="24"/>
          <w:lang w:val="pt-BR" w:eastAsia="es-ES"/>
        </w:rPr>
        <w:t xml:space="preserve">18 </w:t>
      </w:r>
      <w:r w:rsidR="002C330E" w:rsidRPr="00D5464D">
        <w:rPr>
          <w:rFonts w:eastAsia="Batang" w:cs="Times"/>
          <w:szCs w:val="24"/>
          <w:lang w:val="pt-BR" w:eastAsia="es-ES"/>
        </w:rPr>
        <w:t>suposta</w:t>
      </w:r>
      <w:r w:rsidR="000A52D5" w:rsidRPr="00D5464D">
        <w:rPr>
          <w:rFonts w:eastAsia="Batang" w:cs="Times"/>
          <w:szCs w:val="24"/>
          <w:lang w:val="pt-BR" w:eastAsia="es-ES"/>
        </w:rPr>
        <w:t xml:space="preserve">s </w:t>
      </w:r>
      <w:r w:rsidR="00E045D9" w:rsidRPr="00D5464D">
        <w:rPr>
          <w:rFonts w:eastAsia="Batang" w:cs="Times"/>
          <w:szCs w:val="24"/>
          <w:lang w:val="pt-BR" w:eastAsia="es-ES"/>
        </w:rPr>
        <w:t>vítima</w:t>
      </w:r>
      <w:r w:rsidR="000A52D5" w:rsidRPr="00D5464D">
        <w:rPr>
          <w:rFonts w:eastAsia="Batang" w:cs="Times"/>
          <w:szCs w:val="24"/>
          <w:lang w:val="pt-BR" w:eastAsia="es-ES"/>
        </w:rPr>
        <w:t>s</w:t>
      </w:r>
      <w:r w:rsidRPr="00D5464D">
        <w:rPr>
          <w:rFonts w:eastAsia="Batang" w:cs="Times"/>
          <w:szCs w:val="24"/>
          <w:lang w:val="pt-BR" w:eastAsia="es-ES"/>
        </w:rPr>
        <w:t xml:space="preserve"> </w:t>
      </w:r>
      <w:r w:rsidR="00066E48" w:rsidRPr="00D5464D">
        <w:rPr>
          <w:rFonts w:eastAsia="Batang" w:cs="Times"/>
          <w:szCs w:val="24"/>
          <w:lang w:val="pt-BR" w:eastAsia="es-ES"/>
        </w:rPr>
        <w:t xml:space="preserve">estariam </w:t>
      </w:r>
      <w:r w:rsidRPr="00D5464D">
        <w:rPr>
          <w:rFonts w:eastAsia="Batang" w:cs="Times"/>
          <w:szCs w:val="24"/>
          <w:lang w:val="pt-BR" w:eastAsia="es-ES"/>
        </w:rPr>
        <w:t>devidamente</w:t>
      </w:r>
      <w:r w:rsidR="000A52D5" w:rsidRPr="00D5464D">
        <w:rPr>
          <w:rFonts w:eastAsia="Batang" w:cs="Times"/>
          <w:szCs w:val="24"/>
          <w:lang w:val="pt-BR" w:eastAsia="es-ES"/>
        </w:rPr>
        <w:t xml:space="preserve"> representadas, identificadas</w:t>
      </w:r>
      <w:r w:rsidR="00E045D9" w:rsidRPr="00D5464D">
        <w:rPr>
          <w:rFonts w:eastAsia="Batang" w:cs="Times"/>
          <w:szCs w:val="24"/>
          <w:lang w:val="pt-BR" w:eastAsia="es-ES"/>
        </w:rPr>
        <w:t xml:space="preserve"> e </w:t>
      </w:r>
      <w:r w:rsidR="000A52D5" w:rsidRPr="00D5464D">
        <w:rPr>
          <w:rFonts w:eastAsia="Batang" w:cs="Times"/>
          <w:szCs w:val="24"/>
          <w:lang w:val="pt-BR" w:eastAsia="es-ES"/>
        </w:rPr>
        <w:t>mencionadas</w:t>
      </w:r>
      <w:r w:rsidR="00E045D9" w:rsidRPr="00D5464D">
        <w:rPr>
          <w:rFonts w:eastAsia="Batang" w:cs="Times"/>
          <w:szCs w:val="24"/>
          <w:lang w:val="pt-BR" w:eastAsia="es-ES"/>
        </w:rPr>
        <w:t xml:space="preserve"> neste </w:t>
      </w:r>
      <w:r w:rsidR="00D14320" w:rsidRPr="00D5464D">
        <w:rPr>
          <w:rFonts w:eastAsia="Batang" w:cs="Times"/>
          <w:szCs w:val="24"/>
          <w:lang w:val="pt-BR" w:eastAsia="es-ES"/>
        </w:rPr>
        <w:t>Relatório</w:t>
      </w:r>
      <w:r w:rsidR="000A52D5" w:rsidRPr="00D5464D">
        <w:rPr>
          <w:rFonts w:eastAsia="Batang" w:cs="Times"/>
          <w:szCs w:val="24"/>
          <w:lang w:val="pt-BR" w:eastAsia="es-ES"/>
        </w:rPr>
        <w:t xml:space="preserve">. </w:t>
      </w:r>
    </w:p>
    <w:p w14:paraId="69D50DEE" w14:textId="77777777" w:rsidR="000A52D5" w:rsidRPr="00D5464D" w:rsidRDefault="000A52D5" w:rsidP="00140440">
      <w:pPr>
        <w:tabs>
          <w:tab w:val="clear" w:pos="4419"/>
          <w:tab w:val="clear" w:pos="8838"/>
        </w:tabs>
        <w:jc w:val="both"/>
        <w:rPr>
          <w:rFonts w:eastAsia="Batang" w:cs="Times"/>
          <w:szCs w:val="24"/>
          <w:lang w:val="pt-BR" w:eastAsia="es-ES"/>
        </w:rPr>
      </w:pPr>
    </w:p>
    <w:p w14:paraId="2D844CBD" w14:textId="171B9370" w:rsidR="00081BCB" w:rsidRPr="00D5464D" w:rsidRDefault="00D14320" w:rsidP="00081BCB">
      <w:pPr>
        <w:numPr>
          <w:ilvl w:val="0"/>
          <w:numId w:val="1"/>
        </w:numPr>
        <w:tabs>
          <w:tab w:val="clear" w:pos="4419"/>
          <w:tab w:val="clear" w:pos="8838"/>
        </w:tabs>
        <w:jc w:val="both"/>
        <w:rPr>
          <w:rFonts w:eastAsia="Batang" w:cs="Times"/>
          <w:i/>
          <w:szCs w:val="24"/>
          <w:lang w:val="pt-BR" w:eastAsia="es-ES"/>
        </w:rPr>
      </w:pPr>
      <w:r w:rsidRPr="00D5464D">
        <w:rPr>
          <w:rFonts w:eastAsia="Batang" w:cs="Times"/>
          <w:szCs w:val="24"/>
          <w:lang w:val="pt-BR" w:eastAsia="es-ES"/>
        </w:rPr>
        <w:t>No entanto</w:t>
      </w:r>
      <w:r w:rsidR="00081BCB" w:rsidRPr="00D5464D">
        <w:rPr>
          <w:rFonts w:eastAsia="Batang" w:cs="Times"/>
          <w:szCs w:val="24"/>
          <w:lang w:val="pt-BR" w:eastAsia="es-ES"/>
        </w:rPr>
        <w:t>,</w:t>
      </w:r>
      <w:r w:rsidR="002C330E" w:rsidRPr="00D5464D">
        <w:rPr>
          <w:rFonts w:eastAsia="Batang" w:cs="Times"/>
          <w:szCs w:val="24"/>
          <w:lang w:val="pt-BR" w:eastAsia="es-ES"/>
        </w:rPr>
        <w:t xml:space="preserve"> a </w:t>
      </w:r>
      <w:r w:rsidR="00081BCB" w:rsidRPr="00D5464D">
        <w:rPr>
          <w:rFonts w:eastAsia="Batang" w:cs="Times"/>
          <w:szCs w:val="24"/>
          <w:lang w:val="pt-BR" w:eastAsia="es-ES"/>
        </w:rPr>
        <w:t xml:space="preserve">Corte </w:t>
      </w:r>
      <w:r w:rsidR="00E045D9" w:rsidRPr="00D5464D">
        <w:rPr>
          <w:rFonts w:eastAsia="Batang" w:cs="Times"/>
          <w:szCs w:val="24"/>
          <w:lang w:val="pt-BR" w:eastAsia="es-ES"/>
        </w:rPr>
        <w:t>recorda</w:t>
      </w:r>
      <w:r w:rsidR="00081BCB" w:rsidRPr="00D5464D">
        <w:rPr>
          <w:rFonts w:eastAsia="Batang" w:cs="Times"/>
          <w:szCs w:val="24"/>
          <w:lang w:val="pt-BR" w:eastAsia="es-ES"/>
        </w:rPr>
        <w:t xml:space="preserve"> que</w:t>
      </w:r>
      <w:r w:rsidR="002C330E" w:rsidRPr="00D5464D">
        <w:rPr>
          <w:rFonts w:eastAsia="Batang" w:cs="Times"/>
          <w:szCs w:val="24"/>
          <w:lang w:val="pt-BR" w:eastAsia="es-ES"/>
        </w:rPr>
        <w:t xml:space="preserve"> as </w:t>
      </w:r>
      <w:r w:rsidR="00E045D9" w:rsidRPr="00D5464D">
        <w:rPr>
          <w:rFonts w:eastAsia="Batang" w:cs="Times"/>
          <w:szCs w:val="24"/>
          <w:lang w:val="pt-BR" w:eastAsia="es-ES"/>
        </w:rPr>
        <w:t>vítima</w:t>
      </w:r>
      <w:r w:rsidR="00081BCB" w:rsidRPr="00D5464D">
        <w:rPr>
          <w:rFonts w:eastAsia="Batang" w:cs="Times"/>
          <w:szCs w:val="24"/>
          <w:lang w:val="pt-BR" w:eastAsia="es-ES"/>
        </w:rPr>
        <w:t xml:space="preserve">s </w:t>
      </w:r>
      <w:r w:rsidR="00470ADC" w:rsidRPr="00D5464D">
        <w:rPr>
          <w:rFonts w:eastAsia="Batang" w:cs="Times"/>
          <w:szCs w:val="24"/>
          <w:lang w:val="pt-BR" w:eastAsia="es-ES"/>
        </w:rPr>
        <w:t>devem</w:t>
      </w:r>
      <w:r w:rsidR="00081BCB" w:rsidRPr="00D5464D">
        <w:rPr>
          <w:rFonts w:eastAsia="Batang" w:cs="Times"/>
          <w:szCs w:val="24"/>
          <w:lang w:val="pt-BR" w:eastAsia="es-ES"/>
        </w:rPr>
        <w:t xml:space="preserve"> estar </w:t>
      </w:r>
      <w:r w:rsidR="00737270" w:rsidRPr="00D5464D">
        <w:rPr>
          <w:rFonts w:eastAsia="Batang" w:cs="Times"/>
          <w:szCs w:val="24"/>
          <w:lang w:val="pt-BR" w:eastAsia="es-ES"/>
        </w:rPr>
        <w:t>indica</w:t>
      </w:r>
      <w:r w:rsidR="00081BCB" w:rsidRPr="00D5464D">
        <w:rPr>
          <w:rFonts w:eastAsia="Batang" w:cs="Times"/>
          <w:szCs w:val="24"/>
          <w:lang w:val="pt-BR" w:eastAsia="es-ES"/>
        </w:rPr>
        <w:t>das</w:t>
      </w:r>
      <w:r w:rsidR="00E045D9" w:rsidRPr="00D5464D">
        <w:rPr>
          <w:rFonts w:eastAsia="Batang" w:cs="Times"/>
          <w:szCs w:val="24"/>
          <w:lang w:val="pt-BR" w:eastAsia="es-ES"/>
        </w:rPr>
        <w:t xml:space="preserve"> no </w:t>
      </w:r>
      <w:r w:rsidR="00081BCB" w:rsidRPr="00D5464D">
        <w:rPr>
          <w:rFonts w:eastAsia="Batang" w:cs="Times"/>
          <w:szCs w:val="24"/>
          <w:lang w:val="pt-BR" w:eastAsia="es-ES"/>
        </w:rPr>
        <w:t xml:space="preserve">escrito de </w:t>
      </w:r>
      <w:r w:rsidR="002C330E" w:rsidRPr="00D5464D">
        <w:rPr>
          <w:rFonts w:eastAsia="Batang" w:cs="Times"/>
          <w:szCs w:val="24"/>
          <w:lang w:val="pt-BR" w:eastAsia="es-ES"/>
        </w:rPr>
        <w:t>submissão</w:t>
      </w:r>
      <w:r w:rsidR="00081BCB" w:rsidRPr="00D5464D">
        <w:rPr>
          <w:rFonts w:eastAsia="Batang" w:cs="Times"/>
          <w:szCs w:val="24"/>
          <w:lang w:val="pt-BR" w:eastAsia="es-ES"/>
        </w:rPr>
        <w:t xml:space="preserve"> </w:t>
      </w:r>
      <w:r w:rsidR="00470ADC" w:rsidRPr="00D5464D">
        <w:rPr>
          <w:rFonts w:eastAsia="Batang" w:cs="Times"/>
          <w:szCs w:val="24"/>
          <w:lang w:val="pt-BR" w:eastAsia="es-ES"/>
        </w:rPr>
        <w:t xml:space="preserve">do </w:t>
      </w:r>
      <w:r w:rsidR="00081BCB" w:rsidRPr="00D5464D">
        <w:rPr>
          <w:rFonts w:eastAsia="Batang" w:cs="Times"/>
          <w:szCs w:val="24"/>
          <w:lang w:val="pt-BR" w:eastAsia="es-ES"/>
        </w:rPr>
        <w:t>caso</w:t>
      </w:r>
      <w:r w:rsidR="00E045D9" w:rsidRPr="00D5464D">
        <w:rPr>
          <w:rFonts w:eastAsia="Batang" w:cs="Times"/>
          <w:szCs w:val="24"/>
          <w:lang w:val="pt-BR" w:eastAsia="es-ES"/>
        </w:rPr>
        <w:t xml:space="preserve"> e no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w:t>
      </w:r>
      <w:r w:rsidR="00470ADC" w:rsidRPr="00D5464D">
        <w:rPr>
          <w:rFonts w:eastAsia="Batang" w:cs="Times"/>
          <w:szCs w:val="24"/>
          <w:lang w:val="pt-BR" w:eastAsia="es-ES"/>
        </w:rPr>
        <w:t>da Comissão</w:t>
      </w:r>
      <w:r w:rsidR="00737270" w:rsidRPr="00D5464D">
        <w:rPr>
          <w:rFonts w:eastAsia="Batang" w:cs="Times"/>
          <w:szCs w:val="24"/>
          <w:lang w:val="pt-BR" w:eastAsia="es-ES"/>
        </w:rPr>
        <w:t>. No entanto</w:t>
      </w:r>
      <w:r w:rsidR="00081BCB" w:rsidRPr="00D5464D">
        <w:rPr>
          <w:rFonts w:eastAsia="Batang" w:cs="Times"/>
          <w:szCs w:val="24"/>
          <w:lang w:val="pt-BR" w:eastAsia="es-ES"/>
        </w:rPr>
        <w:t xml:space="preserve">, </w:t>
      </w:r>
      <w:r w:rsidRPr="00D5464D">
        <w:rPr>
          <w:rFonts w:eastAsia="Batang" w:cs="Times"/>
          <w:szCs w:val="24"/>
          <w:lang w:val="pt-BR" w:eastAsia="es-ES"/>
        </w:rPr>
        <w:t>di</w:t>
      </w:r>
      <w:r w:rsidR="00081BCB" w:rsidRPr="00D5464D">
        <w:rPr>
          <w:rFonts w:eastAsia="Batang" w:cs="Times"/>
          <w:szCs w:val="24"/>
          <w:lang w:val="pt-BR" w:eastAsia="es-ES"/>
        </w:rPr>
        <w:t xml:space="preserve">ante </w:t>
      </w:r>
      <w:r w:rsidRPr="00D5464D">
        <w:rPr>
          <w:rFonts w:eastAsia="Batang" w:cs="Times"/>
          <w:szCs w:val="24"/>
          <w:lang w:val="pt-BR" w:eastAsia="es-ES"/>
        </w:rPr>
        <w:t>d</w:t>
      </w:r>
      <w:r w:rsidR="00230C71" w:rsidRPr="00D5464D">
        <w:rPr>
          <w:rFonts w:eastAsia="Batang" w:cs="Times"/>
          <w:szCs w:val="24"/>
          <w:lang w:val="pt-BR" w:eastAsia="es-ES"/>
        </w:rPr>
        <w:t>a falta</w:t>
      </w:r>
      <w:r w:rsidR="00081BCB" w:rsidRPr="00D5464D">
        <w:rPr>
          <w:rFonts w:eastAsia="Batang" w:cs="Times"/>
          <w:szCs w:val="24"/>
          <w:lang w:val="pt-BR" w:eastAsia="es-ES"/>
        </w:rPr>
        <w:t xml:space="preserve"> de </w:t>
      </w:r>
      <w:r w:rsidR="00821BD3" w:rsidRPr="00D5464D">
        <w:rPr>
          <w:rFonts w:eastAsia="Batang" w:cs="Times"/>
          <w:szCs w:val="24"/>
          <w:lang w:val="pt-BR" w:eastAsia="es-ES"/>
        </w:rPr>
        <w:t xml:space="preserve">indicação, </w:t>
      </w:r>
      <w:r w:rsidR="00470ADC" w:rsidRPr="00D5464D">
        <w:rPr>
          <w:rFonts w:eastAsia="Batang" w:cs="Times"/>
          <w:szCs w:val="24"/>
          <w:lang w:val="pt-BR" w:eastAsia="es-ES"/>
        </w:rPr>
        <w:t>em algumas</w:t>
      </w:r>
      <w:r w:rsidR="00081BCB" w:rsidRPr="00D5464D">
        <w:rPr>
          <w:rFonts w:eastAsia="Batang" w:cs="Times"/>
          <w:szCs w:val="24"/>
          <w:lang w:val="pt-BR" w:eastAsia="es-ES"/>
        </w:rPr>
        <w:t xml:space="preserve"> </w:t>
      </w:r>
      <w:r w:rsidR="002C330E" w:rsidRPr="00D5464D">
        <w:rPr>
          <w:rFonts w:eastAsia="Batang" w:cs="Times"/>
          <w:szCs w:val="24"/>
          <w:lang w:val="pt-BR" w:eastAsia="es-ES"/>
        </w:rPr>
        <w:t>ocasiões</w:t>
      </w:r>
      <w:r w:rsidR="00E045D9" w:rsidRPr="00D5464D">
        <w:rPr>
          <w:rFonts w:eastAsia="Batang" w:cs="Times"/>
          <w:szCs w:val="24"/>
          <w:lang w:val="pt-BR" w:eastAsia="es-ES"/>
        </w:rPr>
        <w:t xml:space="preserve"> e </w:t>
      </w:r>
      <w:r w:rsidR="00470ADC" w:rsidRPr="00D5464D">
        <w:rPr>
          <w:rFonts w:eastAsia="Batang" w:cs="Times"/>
          <w:szCs w:val="24"/>
          <w:lang w:val="pt-BR" w:eastAsia="es-ES"/>
        </w:rPr>
        <w:t>devido</w:t>
      </w:r>
      <w:r w:rsidR="00E045D9" w:rsidRPr="00D5464D">
        <w:rPr>
          <w:rFonts w:eastAsia="Batang" w:cs="Times"/>
          <w:szCs w:val="24"/>
          <w:lang w:val="pt-BR" w:eastAsia="es-ES"/>
        </w:rPr>
        <w:t xml:space="preserve"> às </w:t>
      </w:r>
      <w:r w:rsidR="00081BCB" w:rsidRPr="00D5464D">
        <w:rPr>
          <w:rFonts w:eastAsia="Batang" w:cs="Times"/>
          <w:szCs w:val="24"/>
          <w:lang w:val="pt-BR" w:eastAsia="es-ES"/>
        </w:rPr>
        <w:t>particularidades de cada caso,</w:t>
      </w:r>
      <w:r w:rsidR="002C330E" w:rsidRPr="00D5464D">
        <w:rPr>
          <w:rFonts w:eastAsia="Batang" w:cs="Times"/>
          <w:szCs w:val="24"/>
          <w:lang w:val="pt-BR" w:eastAsia="es-ES"/>
        </w:rPr>
        <w:t xml:space="preserve"> a </w:t>
      </w:r>
      <w:r w:rsidR="00081BCB" w:rsidRPr="00D5464D">
        <w:rPr>
          <w:rFonts w:eastAsia="Batang" w:cs="Times"/>
          <w:szCs w:val="24"/>
          <w:lang w:val="pt-BR" w:eastAsia="es-ES"/>
        </w:rPr>
        <w:t xml:space="preserve">Corte </w:t>
      </w:r>
      <w:r w:rsidR="00737270" w:rsidRPr="00D5464D">
        <w:rPr>
          <w:rFonts w:eastAsia="Batang" w:cs="Times"/>
          <w:szCs w:val="24"/>
          <w:lang w:val="pt-BR" w:eastAsia="es-ES"/>
        </w:rPr>
        <w:t>considerou</w:t>
      </w:r>
      <w:r w:rsidR="00081BCB" w:rsidRPr="00D5464D">
        <w:rPr>
          <w:rFonts w:eastAsia="Batang" w:cs="Times"/>
          <w:szCs w:val="24"/>
          <w:lang w:val="pt-BR" w:eastAsia="es-ES"/>
        </w:rPr>
        <w:t xml:space="preserve"> como </w:t>
      </w:r>
      <w:r w:rsidR="002C330E" w:rsidRPr="00D5464D">
        <w:rPr>
          <w:rFonts w:eastAsia="Batang" w:cs="Times"/>
          <w:szCs w:val="24"/>
          <w:lang w:val="pt-BR" w:eastAsia="es-ES"/>
        </w:rPr>
        <w:t>suposta</w:t>
      </w:r>
      <w:r w:rsidR="00081BCB" w:rsidRPr="00D5464D">
        <w:rPr>
          <w:rFonts w:eastAsia="Batang" w:cs="Times"/>
          <w:szCs w:val="24"/>
          <w:lang w:val="pt-BR" w:eastAsia="es-ES"/>
        </w:rPr>
        <w:t xml:space="preserve">s </w:t>
      </w:r>
      <w:r w:rsidR="00E045D9" w:rsidRPr="00D5464D">
        <w:rPr>
          <w:rFonts w:eastAsia="Batang" w:cs="Times"/>
          <w:szCs w:val="24"/>
          <w:lang w:val="pt-BR" w:eastAsia="es-ES"/>
        </w:rPr>
        <w:t>vítima</w:t>
      </w:r>
      <w:r w:rsidR="00081BCB" w:rsidRPr="00D5464D">
        <w:rPr>
          <w:rFonts w:eastAsia="Batang" w:cs="Times"/>
          <w:szCs w:val="24"/>
          <w:lang w:val="pt-BR" w:eastAsia="es-ES"/>
        </w:rPr>
        <w:t xml:space="preserve">s </w:t>
      </w:r>
      <w:r w:rsidR="002C330E" w:rsidRPr="00D5464D">
        <w:rPr>
          <w:rFonts w:eastAsia="Batang" w:cs="Times"/>
          <w:szCs w:val="24"/>
          <w:lang w:val="pt-BR" w:eastAsia="es-ES"/>
        </w:rPr>
        <w:t>pessoa</w:t>
      </w:r>
      <w:r w:rsidR="00081BCB" w:rsidRPr="00D5464D">
        <w:rPr>
          <w:rFonts w:eastAsia="Batang" w:cs="Times"/>
          <w:szCs w:val="24"/>
          <w:lang w:val="pt-BR" w:eastAsia="es-ES"/>
        </w:rPr>
        <w:t xml:space="preserve">s </w:t>
      </w:r>
      <w:r w:rsidR="00737270" w:rsidRPr="00D5464D">
        <w:rPr>
          <w:rFonts w:eastAsia="Batang" w:cs="Times"/>
          <w:szCs w:val="24"/>
          <w:lang w:val="pt-BR" w:eastAsia="es-ES"/>
        </w:rPr>
        <w:t>que não foram</w:t>
      </w:r>
      <w:r w:rsidR="00081BCB" w:rsidRPr="00D5464D">
        <w:rPr>
          <w:rFonts w:eastAsia="Batang" w:cs="Times"/>
          <w:szCs w:val="24"/>
          <w:lang w:val="pt-BR" w:eastAsia="es-ES"/>
        </w:rPr>
        <w:t xml:space="preserve"> </w:t>
      </w:r>
      <w:r w:rsidR="00821BD3" w:rsidRPr="00D5464D">
        <w:rPr>
          <w:rFonts w:eastAsia="Batang" w:cs="Times"/>
          <w:szCs w:val="24"/>
          <w:lang w:val="pt-BR" w:eastAsia="es-ES"/>
        </w:rPr>
        <w:t xml:space="preserve">indicadas </w:t>
      </w:r>
      <w:r w:rsidR="00081BCB" w:rsidRPr="00D5464D">
        <w:rPr>
          <w:rFonts w:eastAsia="Batang" w:cs="Times"/>
          <w:szCs w:val="24"/>
          <w:lang w:val="pt-BR" w:eastAsia="es-ES"/>
        </w:rPr>
        <w:t>como tal</w:t>
      </w:r>
      <w:r w:rsidR="00E045D9" w:rsidRPr="00D5464D">
        <w:rPr>
          <w:rFonts w:eastAsia="Batang" w:cs="Times"/>
          <w:szCs w:val="24"/>
          <w:lang w:val="pt-BR" w:eastAsia="es-ES"/>
        </w:rPr>
        <w:t xml:space="preserve"> na </w:t>
      </w:r>
      <w:r w:rsidR="00081BCB" w:rsidRPr="00D5464D">
        <w:rPr>
          <w:rFonts w:eastAsia="Batang" w:cs="Times"/>
          <w:szCs w:val="24"/>
          <w:lang w:val="pt-BR" w:eastAsia="es-ES"/>
        </w:rPr>
        <w:t xml:space="preserve">demanda, </w:t>
      </w:r>
      <w:r w:rsidR="002C330E" w:rsidRPr="00D5464D">
        <w:rPr>
          <w:rFonts w:eastAsia="Batang" w:cs="Times"/>
          <w:szCs w:val="24"/>
          <w:lang w:val="pt-BR" w:eastAsia="es-ES"/>
        </w:rPr>
        <w:t>sempre</w:t>
      </w:r>
      <w:r w:rsidR="00E045D9" w:rsidRPr="00D5464D">
        <w:rPr>
          <w:rFonts w:eastAsia="Batang" w:cs="Times"/>
          <w:szCs w:val="24"/>
          <w:lang w:val="pt-BR" w:eastAsia="es-ES"/>
        </w:rPr>
        <w:t xml:space="preserve"> e </w:t>
      </w:r>
      <w:r w:rsidR="00470ADC" w:rsidRPr="00D5464D">
        <w:rPr>
          <w:rFonts w:eastAsia="Batang" w:cs="Times"/>
          <w:szCs w:val="24"/>
          <w:lang w:val="pt-BR" w:eastAsia="es-ES"/>
        </w:rPr>
        <w:t>quando</w:t>
      </w:r>
      <w:r w:rsidR="00081BCB" w:rsidRPr="00D5464D">
        <w:rPr>
          <w:rFonts w:eastAsia="Batang" w:cs="Times"/>
          <w:szCs w:val="24"/>
          <w:lang w:val="pt-BR" w:eastAsia="es-ES"/>
        </w:rPr>
        <w:t xml:space="preserve"> </w:t>
      </w:r>
      <w:r w:rsidR="00821BD3" w:rsidRPr="00D5464D">
        <w:rPr>
          <w:rFonts w:eastAsia="Batang" w:cs="Times"/>
          <w:szCs w:val="24"/>
          <w:lang w:val="pt-BR" w:eastAsia="es-ES"/>
        </w:rPr>
        <w:t xml:space="preserve">tenha sido respeitado </w:t>
      </w:r>
      <w:r w:rsidR="00470ADC" w:rsidRPr="00D5464D">
        <w:rPr>
          <w:rFonts w:eastAsia="Batang" w:cs="Times"/>
          <w:szCs w:val="24"/>
          <w:lang w:val="pt-BR" w:eastAsia="es-ES"/>
        </w:rPr>
        <w:t>o direito</w:t>
      </w:r>
      <w:r w:rsidR="00081BCB" w:rsidRPr="00D5464D">
        <w:rPr>
          <w:rFonts w:eastAsia="Batang" w:cs="Times"/>
          <w:szCs w:val="24"/>
          <w:lang w:val="pt-BR" w:eastAsia="es-ES"/>
        </w:rPr>
        <w:t xml:space="preserve"> de </w:t>
      </w:r>
      <w:r w:rsidR="00470ADC" w:rsidRPr="00D5464D">
        <w:rPr>
          <w:rFonts w:eastAsia="Batang" w:cs="Times"/>
          <w:szCs w:val="24"/>
          <w:lang w:val="pt-BR" w:eastAsia="es-ES"/>
        </w:rPr>
        <w:t xml:space="preserve">defesa das </w:t>
      </w:r>
      <w:r w:rsidR="00081BCB" w:rsidRPr="00D5464D">
        <w:rPr>
          <w:rFonts w:eastAsia="Batang" w:cs="Times"/>
          <w:szCs w:val="24"/>
          <w:lang w:val="pt-BR" w:eastAsia="es-ES"/>
        </w:rPr>
        <w:t>partes</w:t>
      </w:r>
      <w:r w:rsidR="00E045D9" w:rsidRPr="00D5464D">
        <w:rPr>
          <w:rFonts w:eastAsia="Batang" w:cs="Times"/>
          <w:szCs w:val="24"/>
          <w:lang w:val="pt-BR" w:eastAsia="es-ES"/>
        </w:rPr>
        <w:t xml:space="preserve"> e </w:t>
      </w:r>
      <w:r w:rsidR="002C330E" w:rsidRPr="00D5464D">
        <w:rPr>
          <w:rFonts w:eastAsia="Batang" w:cs="Times"/>
          <w:szCs w:val="24"/>
          <w:lang w:val="pt-BR" w:eastAsia="es-ES"/>
        </w:rPr>
        <w:t>as suposta</w:t>
      </w:r>
      <w:r w:rsidR="00081BCB" w:rsidRPr="00D5464D">
        <w:rPr>
          <w:rFonts w:eastAsia="Batang" w:cs="Times"/>
          <w:szCs w:val="24"/>
          <w:lang w:val="pt-BR" w:eastAsia="es-ES"/>
        </w:rPr>
        <w:t xml:space="preserve">s </w:t>
      </w:r>
      <w:r w:rsidR="00E045D9" w:rsidRPr="00D5464D">
        <w:rPr>
          <w:rFonts w:eastAsia="Batang" w:cs="Times"/>
          <w:szCs w:val="24"/>
          <w:lang w:val="pt-BR" w:eastAsia="es-ES"/>
        </w:rPr>
        <w:t>vítima</w:t>
      </w:r>
      <w:r w:rsidR="00081BCB" w:rsidRPr="00D5464D">
        <w:rPr>
          <w:rFonts w:eastAsia="Batang" w:cs="Times"/>
          <w:szCs w:val="24"/>
          <w:lang w:val="pt-BR" w:eastAsia="es-ES"/>
        </w:rPr>
        <w:t xml:space="preserve">s </w:t>
      </w:r>
      <w:r w:rsidR="00821BD3" w:rsidRPr="00D5464D">
        <w:rPr>
          <w:rFonts w:eastAsia="Batang" w:cs="Times"/>
          <w:szCs w:val="24"/>
          <w:lang w:val="pt-BR" w:eastAsia="es-ES"/>
        </w:rPr>
        <w:t xml:space="preserve">tenham </w:t>
      </w:r>
      <w:r w:rsidR="00081BCB" w:rsidRPr="00D5464D">
        <w:rPr>
          <w:rFonts w:eastAsia="Batang" w:cs="Times"/>
          <w:szCs w:val="24"/>
          <w:lang w:val="pt-BR" w:eastAsia="es-ES"/>
        </w:rPr>
        <w:t>rela</w:t>
      </w:r>
      <w:r w:rsidR="00470ADC" w:rsidRPr="00D5464D">
        <w:rPr>
          <w:rFonts w:eastAsia="Batang" w:cs="Times"/>
          <w:szCs w:val="24"/>
          <w:lang w:val="pt-BR" w:eastAsia="es-ES"/>
        </w:rPr>
        <w:t>ção com</w:t>
      </w:r>
      <w:r w:rsidR="002C330E" w:rsidRPr="00D5464D">
        <w:rPr>
          <w:rFonts w:eastAsia="Batang" w:cs="Times"/>
          <w:szCs w:val="24"/>
          <w:lang w:val="pt-BR" w:eastAsia="es-ES"/>
        </w:rPr>
        <w:t xml:space="preserve"> os fatos</w:t>
      </w:r>
      <w:r w:rsidR="00081BCB" w:rsidRPr="00D5464D">
        <w:rPr>
          <w:rFonts w:eastAsia="Batang" w:cs="Times"/>
          <w:szCs w:val="24"/>
          <w:lang w:val="pt-BR" w:eastAsia="es-ES"/>
        </w:rPr>
        <w:t xml:space="preserve"> descritos</w:t>
      </w:r>
      <w:r w:rsidR="00E045D9" w:rsidRPr="00D5464D">
        <w:rPr>
          <w:rFonts w:eastAsia="Batang" w:cs="Times"/>
          <w:szCs w:val="24"/>
          <w:lang w:val="pt-BR" w:eastAsia="es-ES"/>
        </w:rPr>
        <w:t xml:space="preserve"> no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de Mérito</w:t>
      </w:r>
      <w:r w:rsidR="00E045D9" w:rsidRPr="00D5464D">
        <w:rPr>
          <w:rFonts w:eastAsia="Batang" w:cs="Times"/>
          <w:szCs w:val="24"/>
          <w:lang w:val="pt-BR" w:eastAsia="es-ES"/>
        </w:rPr>
        <w:t xml:space="preserve"> e </w:t>
      </w:r>
      <w:r w:rsidR="00470ADC" w:rsidRPr="00D5464D">
        <w:rPr>
          <w:rFonts w:eastAsia="Batang" w:cs="Times"/>
          <w:szCs w:val="24"/>
          <w:lang w:val="pt-BR" w:eastAsia="es-ES"/>
        </w:rPr>
        <w:t>com</w:t>
      </w:r>
      <w:r w:rsidR="002C330E" w:rsidRPr="00D5464D">
        <w:rPr>
          <w:rFonts w:eastAsia="Batang" w:cs="Times"/>
          <w:szCs w:val="24"/>
          <w:lang w:val="pt-BR" w:eastAsia="es-ES"/>
        </w:rPr>
        <w:t xml:space="preserve"> a prova</w:t>
      </w:r>
      <w:r w:rsidR="00350187" w:rsidRPr="00D5464D">
        <w:rPr>
          <w:rFonts w:eastAsia="Batang" w:cs="Times"/>
          <w:szCs w:val="24"/>
          <w:lang w:val="pt-BR" w:eastAsia="es-ES"/>
        </w:rPr>
        <w:t xml:space="preserve"> apresent</w:t>
      </w:r>
      <w:r w:rsidR="00081BCB" w:rsidRPr="00D5464D">
        <w:rPr>
          <w:rFonts w:eastAsia="Batang" w:cs="Times"/>
          <w:szCs w:val="24"/>
          <w:lang w:val="pt-BR" w:eastAsia="es-ES"/>
        </w:rPr>
        <w:t>a</w:t>
      </w:r>
      <w:r w:rsidR="00821BD3" w:rsidRPr="00D5464D">
        <w:rPr>
          <w:rFonts w:eastAsia="Batang" w:cs="Times"/>
          <w:szCs w:val="24"/>
          <w:lang w:val="pt-BR" w:eastAsia="es-ES"/>
        </w:rPr>
        <w:t>da</w:t>
      </w:r>
      <w:r w:rsidR="00470ADC" w:rsidRPr="00D5464D">
        <w:rPr>
          <w:rFonts w:eastAsia="Batang" w:cs="Times"/>
          <w:szCs w:val="24"/>
          <w:lang w:val="pt-BR" w:eastAsia="es-ES"/>
        </w:rPr>
        <w:t xml:space="preserve"> perante a </w:t>
      </w:r>
      <w:r w:rsidR="00081BCB" w:rsidRPr="00D5464D">
        <w:rPr>
          <w:rFonts w:eastAsia="Batang" w:cs="Times"/>
          <w:szCs w:val="24"/>
          <w:lang w:val="pt-BR" w:eastAsia="es-ES"/>
        </w:rPr>
        <w:t>Corte</w:t>
      </w:r>
      <w:r w:rsidR="00821BD3" w:rsidRPr="00D5464D">
        <w:rPr>
          <w:rFonts w:eastAsia="Batang" w:cs="Times"/>
          <w:szCs w:val="24"/>
          <w:lang w:val="pt-BR" w:eastAsia="es-ES"/>
        </w:rPr>
        <w:t>,</w:t>
      </w:r>
      <w:r w:rsidR="00081BCB" w:rsidRPr="00D5464D">
        <w:rPr>
          <w:rFonts w:eastAsia="Batang" w:cs="Times"/>
          <w:szCs w:val="24"/>
          <w:vertAlign w:val="superscript"/>
          <w:lang w:val="pt-BR" w:eastAsia="es-ES"/>
        </w:rPr>
        <w:footnoteReference w:id="27"/>
      </w:r>
      <w:r w:rsidR="00081BCB" w:rsidRPr="00D5464D">
        <w:rPr>
          <w:rFonts w:eastAsia="Batang" w:cs="Times"/>
          <w:szCs w:val="24"/>
          <w:lang w:val="pt-BR" w:eastAsia="es-ES"/>
        </w:rPr>
        <w:t xml:space="preserve"> tomando</w:t>
      </w:r>
      <w:r w:rsidR="00470ADC" w:rsidRPr="00D5464D">
        <w:rPr>
          <w:rFonts w:eastAsia="Batang" w:cs="Times"/>
          <w:szCs w:val="24"/>
          <w:lang w:val="pt-BR" w:eastAsia="es-ES"/>
        </w:rPr>
        <w:t xml:space="preserve"> em </w:t>
      </w:r>
      <w:r w:rsidR="00821BD3" w:rsidRPr="00D5464D">
        <w:rPr>
          <w:rFonts w:eastAsia="Batang" w:cs="Times"/>
          <w:szCs w:val="24"/>
          <w:lang w:val="pt-BR" w:eastAsia="es-ES"/>
        </w:rPr>
        <w:t xml:space="preserve">consideração, </w:t>
      </w:r>
      <w:r w:rsidR="00470ADC" w:rsidRPr="00D5464D">
        <w:rPr>
          <w:rFonts w:eastAsia="Batang" w:cs="Times"/>
          <w:szCs w:val="24"/>
          <w:lang w:val="pt-BR" w:eastAsia="es-ES"/>
        </w:rPr>
        <w:t>ademais</w:t>
      </w:r>
      <w:r w:rsidR="00821BD3" w:rsidRPr="00D5464D">
        <w:rPr>
          <w:rFonts w:eastAsia="Batang" w:cs="Times"/>
          <w:szCs w:val="24"/>
          <w:lang w:val="pt-BR" w:eastAsia="es-ES"/>
        </w:rPr>
        <w:t>,</w:t>
      </w:r>
      <w:r w:rsidR="002C330E" w:rsidRPr="00D5464D">
        <w:rPr>
          <w:rFonts w:eastAsia="Batang" w:cs="Times"/>
          <w:szCs w:val="24"/>
          <w:lang w:val="pt-BR" w:eastAsia="es-ES"/>
        </w:rPr>
        <w:t xml:space="preserve"> a </w:t>
      </w:r>
      <w:r w:rsidR="00C91CB1" w:rsidRPr="00D5464D">
        <w:rPr>
          <w:rFonts w:eastAsia="Batang" w:cs="Times"/>
          <w:szCs w:val="24"/>
          <w:lang w:val="pt-BR" w:eastAsia="es-ES"/>
        </w:rPr>
        <w:t xml:space="preserve">magnitude </w:t>
      </w:r>
      <w:r w:rsidR="00470ADC" w:rsidRPr="00D5464D">
        <w:rPr>
          <w:rFonts w:eastAsia="Batang" w:cs="Times"/>
          <w:szCs w:val="24"/>
          <w:lang w:val="pt-BR" w:eastAsia="es-ES"/>
        </w:rPr>
        <w:t xml:space="preserve">da </w:t>
      </w:r>
      <w:r w:rsidR="00081BCB" w:rsidRPr="00D5464D">
        <w:rPr>
          <w:rFonts w:eastAsia="Batang" w:cs="Times"/>
          <w:szCs w:val="24"/>
          <w:lang w:val="pt-BR" w:eastAsia="es-ES"/>
        </w:rPr>
        <w:t>viola</w:t>
      </w:r>
      <w:r w:rsidR="00470ADC" w:rsidRPr="00D5464D">
        <w:rPr>
          <w:rFonts w:eastAsia="Batang" w:cs="Times"/>
          <w:szCs w:val="24"/>
          <w:lang w:val="pt-BR" w:eastAsia="es-ES"/>
        </w:rPr>
        <w:t>ção</w:t>
      </w:r>
      <w:r w:rsidR="00821BD3" w:rsidRPr="00D5464D">
        <w:rPr>
          <w:rFonts w:eastAsia="Batang" w:cs="Times"/>
          <w:szCs w:val="24"/>
          <w:lang w:val="pt-BR" w:eastAsia="es-ES"/>
        </w:rPr>
        <w:t>.</w:t>
      </w:r>
      <w:r w:rsidR="00081BCB" w:rsidRPr="00D5464D">
        <w:rPr>
          <w:rFonts w:eastAsia="Batang" w:cs="Times"/>
          <w:szCs w:val="24"/>
          <w:vertAlign w:val="superscript"/>
          <w:lang w:val="pt-BR" w:eastAsia="es-ES"/>
        </w:rPr>
        <w:footnoteReference w:id="28"/>
      </w:r>
    </w:p>
    <w:p w14:paraId="4780AA01" w14:textId="77777777" w:rsidR="00081BCB" w:rsidRPr="00D5464D" w:rsidRDefault="00081BCB" w:rsidP="00ED3AD0">
      <w:pPr>
        <w:tabs>
          <w:tab w:val="clear" w:pos="4419"/>
          <w:tab w:val="clear" w:pos="8838"/>
        </w:tabs>
        <w:jc w:val="both"/>
        <w:rPr>
          <w:rFonts w:eastAsia="Batang" w:cs="Times"/>
          <w:szCs w:val="24"/>
          <w:lang w:val="pt-BR" w:eastAsia="es-ES"/>
        </w:rPr>
      </w:pPr>
    </w:p>
    <w:p w14:paraId="2E06BCCF" w14:textId="138E2F97" w:rsidR="000A52D5" w:rsidRPr="00D5464D" w:rsidRDefault="00821BD3"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Em </w:t>
      </w:r>
      <w:r w:rsidR="000A52D5" w:rsidRPr="00D5464D">
        <w:rPr>
          <w:rFonts w:eastAsia="Batang" w:cs="Times"/>
          <w:szCs w:val="24"/>
          <w:lang w:val="pt-BR" w:eastAsia="es-ES"/>
        </w:rPr>
        <w:t>rela</w:t>
      </w:r>
      <w:r w:rsidR="00470ADC" w:rsidRPr="00D5464D">
        <w:rPr>
          <w:rFonts w:eastAsia="Batang" w:cs="Times"/>
          <w:szCs w:val="24"/>
          <w:lang w:val="pt-BR" w:eastAsia="es-ES"/>
        </w:rPr>
        <w:t xml:space="preserve">ção à </w:t>
      </w:r>
      <w:r w:rsidR="000A52D5" w:rsidRPr="00D5464D">
        <w:rPr>
          <w:rFonts w:eastAsia="Batang" w:cs="Times"/>
          <w:szCs w:val="24"/>
          <w:lang w:val="pt-BR" w:eastAsia="es-ES"/>
        </w:rPr>
        <w:t>identifica</w:t>
      </w:r>
      <w:r w:rsidR="00470ADC" w:rsidRPr="00D5464D">
        <w:rPr>
          <w:rFonts w:eastAsia="Batang" w:cs="Times"/>
          <w:szCs w:val="24"/>
          <w:lang w:val="pt-BR" w:eastAsia="es-ES"/>
        </w:rPr>
        <w:t xml:space="preserve">ção das </w:t>
      </w:r>
      <w:r w:rsidR="002C330E" w:rsidRPr="00D5464D">
        <w:rPr>
          <w:rFonts w:eastAsia="Batang" w:cs="Times"/>
          <w:szCs w:val="24"/>
          <w:lang w:val="pt-BR" w:eastAsia="es-ES"/>
        </w:rPr>
        <w:t>suposta</w:t>
      </w:r>
      <w:r w:rsidR="000A52D5" w:rsidRPr="00D5464D">
        <w:rPr>
          <w:rFonts w:eastAsia="Batang" w:cs="Times"/>
          <w:szCs w:val="24"/>
          <w:lang w:val="pt-BR" w:eastAsia="es-ES"/>
        </w:rPr>
        <w:t xml:space="preserve">s </w:t>
      </w:r>
      <w:r w:rsidR="00E045D9" w:rsidRPr="00D5464D">
        <w:rPr>
          <w:rFonts w:eastAsia="Batang" w:cs="Times"/>
          <w:szCs w:val="24"/>
          <w:lang w:val="pt-BR" w:eastAsia="es-ES"/>
        </w:rPr>
        <w:t>vítima</w:t>
      </w:r>
      <w:r w:rsidR="000A52D5" w:rsidRPr="00D5464D">
        <w:rPr>
          <w:rFonts w:eastAsia="Batang" w:cs="Times"/>
          <w:szCs w:val="24"/>
          <w:lang w:val="pt-BR" w:eastAsia="es-ES"/>
        </w:rPr>
        <w:t>s,</w:t>
      </w:r>
      <w:r w:rsidR="002C330E" w:rsidRPr="00D5464D">
        <w:rPr>
          <w:rFonts w:eastAsia="Batang" w:cs="Times"/>
          <w:szCs w:val="24"/>
          <w:lang w:val="pt-BR" w:eastAsia="es-ES"/>
        </w:rPr>
        <w:t xml:space="preserve"> a </w:t>
      </w:r>
      <w:r w:rsidR="000A52D5" w:rsidRPr="00D5464D">
        <w:rPr>
          <w:rFonts w:eastAsia="Batang" w:cs="Times"/>
          <w:szCs w:val="24"/>
          <w:lang w:val="pt-BR" w:eastAsia="es-ES"/>
        </w:rPr>
        <w:t xml:space="preserve">Corte </w:t>
      </w:r>
      <w:r w:rsidR="00E045D9" w:rsidRPr="00D5464D">
        <w:rPr>
          <w:rFonts w:eastAsia="Batang" w:cs="Times"/>
          <w:szCs w:val="24"/>
          <w:lang w:val="pt-BR" w:eastAsia="es-ES"/>
        </w:rPr>
        <w:t>recorda</w:t>
      </w:r>
      <w:r w:rsidR="000A52D5" w:rsidRPr="00D5464D">
        <w:rPr>
          <w:rFonts w:eastAsia="Batang" w:cs="Times"/>
          <w:szCs w:val="24"/>
          <w:lang w:val="pt-BR" w:eastAsia="es-ES"/>
        </w:rPr>
        <w:t xml:space="preserve"> que</w:t>
      </w:r>
      <w:r w:rsidR="00470ADC" w:rsidRPr="00D5464D">
        <w:rPr>
          <w:rFonts w:eastAsia="Batang" w:cs="Times"/>
          <w:szCs w:val="24"/>
          <w:lang w:val="pt-BR" w:eastAsia="es-ES"/>
        </w:rPr>
        <w:t xml:space="preserve"> o artigo</w:t>
      </w:r>
      <w:r w:rsidR="000A52D5" w:rsidRPr="00D5464D">
        <w:rPr>
          <w:rFonts w:eastAsia="Batang" w:cs="Times"/>
          <w:szCs w:val="24"/>
          <w:lang w:val="pt-BR" w:eastAsia="es-ES"/>
        </w:rPr>
        <w:t xml:space="preserve"> 35.2 de</w:t>
      </w:r>
      <w:r w:rsidR="00E045D9" w:rsidRPr="00D5464D">
        <w:rPr>
          <w:rFonts w:eastAsia="Batang" w:cs="Times"/>
          <w:szCs w:val="24"/>
          <w:lang w:val="pt-BR" w:eastAsia="es-ES"/>
        </w:rPr>
        <w:t xml:space="preserve"> seu </w:t>
      </w:r>
      <w:r w:rsidR="001D133B" w:rsidRPr="00D5464D">
        <w:rPr>
          <w:rFonts w:eastAsia="Batang" w:cs="Times"/>
          <w:szCs w:val="24"/>
          <w:lang w:val="pt-BR" w:eastAsia="es-ES"/>
        </w:rPr>
        <w:t>R</w:t>
      </w:r>
      <w:r w:rsidR="00E045D9" w:rsidRPr="00D5464D">
        <w:rPr>
          <w:rFonts w:eastAsia="Batang" w:cs="Times"/>
          <w:szCs w:val="24"/>
          <w:lang w:val="pt-BR" w:eastAsia="es-ES"/>
        </w:rPr>
        <w:t>egulamento</w:t>
      </w:r>
      <w:r w:rsidR="000A52D5" w:rsidRPr="00D5464D">
        <w:rPr>
          <w:rFonts w:eastAsia="Batang" w:cs="Times"/>
          <w:szCs w:val="24"/>
          <w:lang w:val="pt-BR" w:eastAsia="es-ES"/>
        </w:rPr>
        <w:t xml:space="preserve"> </w:t>
      </w:r>
      <w:r w:rsidR="00470ADC" w:rsidRPr="00D5464D">
        <w:rPr>
          <w:rFonts w:eastAsia="Batang" w:cs="Times"/>
          <w:szCs w:val="24"/>
          <w:lang w:val="pt-BR" w:eastAsia="es-ES"/>
        </w:rPr>
        <w:t>estabelece</w:t>
      </w:r>
      <w:r w:rsidR="000A52D5" w:rsidRPr="00D5464D">
        <w:rPr>
          <w:rFonts w:eastAsia="Batang" w:cs="Times"/>
          <w:szCs w:val="24"/>
          <w:lang w:val="pt-BR" w:eastAsia="es-ES"/>
        </w:rPr>
        <w:t xml:space="preserve"> que </w:t>
      </w:r>
      <w:r w:rsidR="00470ADC" w:rsidRPr="00D5464D">
        <w:rPr>
          <w:rFonts w:eastAsia="Batang" w:cs="Times"/>
          <w:szCs w:val="24"/>
          <w:lang w:val="pt-BR" w:eastAsia="es-ES"/>
        </w:rPr>
        <w:t>quando</w:t>
      </w:r>
      <w:r w:rsidR="000A52D5" w:rsidRPr="00D5464D">
        <w:rPr>
          <w:rFonts w:eastAsia="Batang" w:cs="Times"/>
          <w:szCs w:val="24"/>
          <w:lang w:val="pt-BR" w:eastAsia="es-ES"/>
        </w:rPr>
        <w:t xml:space="preserve"> se </w:t>
      </w:r>
      <w:r w:rsidR="001D133B" w:rsidRPr="00D5464D">
        <w:rPr>
          <w:rFonts w:eastAsia="Batang" w:cs="Times"/>
          <w:szCs w:val="24"/>
          <w:lang w:val="pt-BR" w:eastAsia="es-ES"/>
        </w:rPr>
        <w:t xml:space="preserve">justificar que não foi possível </w:t>
      </w:r>
      <w:r w:rsidR="000A52D5" w:rsidRPr="00D5464D">
        <w:rPr>
          <w:rFonts w:eastAsia="Batang" w:cs="Times"/>
          <w:szCs w:val="24"/>
          <w:lang w:val="pt-BR" w:eastAsia="es-ES"/>
        </w:rPr>
        <w:t xml:space="preserve">identificar </w:t>
      </w:r>
      <w:r w:rsidR="00470ADC" w:rsidRPr="00D5464D">
        <w:rPr>
          <w:rFonts w:eastAsia="Batang" w:cs="Times"/>
          <w:szCs w:val="24"/>
          <w:lang w:val="pt-BR" w:eastAsia="es-ES"/>
        </w:rPr>
        <w:t>alguma</w:t>
      </w:r>
      <w:r w:rsidR="000A52D5" w:rsidRPr="00D5464D">
        <w:rPr>
          <w:rFonts w:eastAsia="Batang" w:cs="Times"/>
          <w:szCs w:val="24"/>
          <w:lang w:val="pt-BR" w:eastAsia="es-ES"/>
        </w:rPr>
        <w:t xml:space="preserve"> </w:t>
      </w:r>
      <w:r w:rsidR="002C330E" w:rsidRPr="00D5464D">
        <w:rPr>
          <w:rFonts w:eastAsia="Batang" w:cs="Times"/>
          <w:szCs w:val="24"/>
          <w:lang w:val="pt-BR" w:eastAsia="es-ES"/>
        </w:rPr>
        <w:t>suposta</w:t>
      </w:r>
      <w:r w:rsidR="000A52D5" w:rsidRPr="00D5464D">
        <w:rPr>
          <w:rFonts w:eastAsia="Batang" w:cs="Times"/>
          <w:szCs w:val="24"/>
          <w:lang w:val="pt-BR" w:eastAsia="es-ES"/>
        </w:rPr>
        <w:t xml:space="preserve"> </w:t>
      </w:r>
      <w:r w:rsidR="00E045D9" w:rsidRPr="00D5464D">
        <w:rPr>
          <w:rFonts w:eastAsia="Batang" w:cs="Times"/>
          <w:szCs w:val="24"/>
          <w:lang w:val="pt-BR" w:eastAsia="es-ES"/>
        </w:rPr>
        <w:t>vítima</w:t>
      </w:r>
      <w:r w:rsidR="00470ADC" w:rsidRPr="00D5464D">
        <w:rPr>
          <w:rFonts w:eastAsia="Batang" w:cs="Times"/>
          <w:szCs w:val="24"/>
          <w:lang w:val="pt-BR" w:eastAsia="es-ES"/>
        </w:rPr>
        <w:t xml:space="preserve"> dos </w:t>
      </w:r>
      <w:r w:rsidR="002C330E" w:rsidRPr="00D5464D">
        <w:rPr>
          <w:rFonts w:eastAsia="Batang" w:cs="Times"/>
          <w:szCs w:val="24"/>
          <w:lang w:val="pt-BR" w:eastAsia="es-ES"/>
        </w:rPr>
        <w:t>fatos</w:t>
      </w:r>
      <w:r w:rsidR="000A52D5" w:rsidRPr="00D5464D">
        <w:rPr>
          <w:rFonts w:eastAsia="Batang" w:cs="Times"/>
          <w:szCs w:val="24"/>
          <w:lang w:val="pt-BR" w:eastAsia="es-ES"/>
        </w:rPr>
        <w:t xml:space="preserve"> </w:t>
      </w:r>
      <w:r w:rsidR="00470ADC" w:rsidRPr="00D5464D">
        <w:rPr>
          <w:rFonts w:eastAsia="Batang" w:cs="Times"/>
          <w:szCs w:val="24"/>
          <w:lang w:val="pt-BR" w:eastAsia="es-ES"/>
        </w:rPr>
        <w:t xml:space="preserve">do </w:t>
      </w:r>
      <w:r w:rsidR="000A52D5" w:rsidRPr="00D5464D">
        <w:rPr>
          <w:rFonts w:eastAsia="Batang" w:cs="Times"/>
          <w:szCs w:val="24"/>
          <w:lang w:val="pt-BR" w:eastAsia="es-ES"/>
        </w:rPr>
        <w:t>caso</w:t>
      </w:r>
      <w:r w:rsidR="00EB1CE9" w:rsidRPr="00D5464D">
        <w:rPr>
          <w:rFonts w:eastAsia="Batang" w:cs="Times"/>
          <w:szCs w:val="24"/>
          <w:lang w:val="pt-BR" w:eastAsia="es-ES"/>
        </w:rPr>
        <w:t xml:space="preserve">, </w:t>
      </w:r>
      <w:r w:rsidR="001D133B" w:rsidRPr="00D5464D">
        <w:rPr>
          <w:rFonts w:eastAsia="Batang" w:cs="Times"/>
          <w:szCs w:val="24"/>
          <w:lang w:val="pt-BR" w:eastAsia="es-ES"/>
        </w:rPr>
        <w:t xml:space="preserve">em casos </w:t>
      </w:r>
      <w:r w:rsidR="000A52D5" w:rsidRPr="00D5464D">
        <w:rPr>
          <w:rFonts w:eastAsia="Batang" w:cs="Times"/>
          <w:szCs w:val="24"/>
          <w:lang w:val="pt-BR" w:eastAsia="es-ES"/>
        </w:rPr>
        <w:t>de viola</w:t>
      </w:r>
      <w:r w:rsidR="00470ADC" w:rsidRPr="00D5464D">
        <w:rPr>
          <w:rFonts w:eastAsia="Batang" w:cs="Times"/>
          <w:szCs w:val="24"/>
          <w:lang w:val="pt-BR" w:eastAsia="es-ES"/>
        </w:rPr>
        <w:t>ções</w:t>
      </w:r>
      <w:r w:rsidR="000A52D5" w:rsidRPr="00D5464D">
        <w:rPr>
          <w:rFonts w:eastAsia="Batang" w:cs="Times"/>
          <w:szCs w:val="24"/>
          <w:lang w:val="pt-BR" w:eastAsia="es-ES"/>
        </w:rPr>
        <w:t xml:space="preserve"> </w:t>
      </w:r>
      <w:r w:rsidR="002C330E" w:rsidRPr="00D5464D">
        <w:rPr>
          <w:rFonts w:eastAsia="Batang" w:cs="Times"/>
          <w:szCs w:val="24"/>
          <w:lang w:val="pt-BR" w:eastAsia="es-ES"/>
        </w:rPr>
        <w:t>massiva</w:t>
      </w:r>
      <w:r w:rsidR="000A52D5" w:rsidRPr="00D5464D">
        <w:rPr>
          <w:rFonts w:eastAsia="Batang" w:cs="Times"/>
          <w:szCs w:val="24"/>
          <w:lang w:val="pt-BR" w:eastAsia="es-ES"/>
        </w:rPr>
        <w:t>s o</w:t>
      </w:r>
      <w:r w:rsidR="001D133B" w:rsidRPr="00D5464D">
        <w:rPr>
          <w:rFonts w:eastAsia="Batang" w:cs="Times"/>
          <w:szCs w:val="24"/>
          <w:lang w:val="pt-BR" w:eastAsia="es-ES"/>
        </w:rPr>
        <w:t>u</w:t>
      </w:r>
      <w:r w:rsidR="000A52D5" w:rsidRPr="00D5464D">
        <w:rPr>
          <w:rFonts w:eastAsia="Batang" w:cs="Times"/>
          <w:szCs w:val="24"/>
          <w:lang w:val="pt-BR" w:eastAsia="es-ES"/>
        </w:rPr>
        <w:t xml:space="preserve"> </w:t>
      </w:r>
      <w:r w:rsidR="00470ADC" w:rsidRPr="00D5464D">
        <w:rPr>
          <w:rFonts w:eastAsia="Batang" w:cs="Times"/>
          <w:szCs w:val="24"/>
          <w:lang w:val="pt-BR" w:eastAsia="es-ES"/>
        </w:rPr>
        <w:t>coletiv</w:t>
      </w:r>
      <w:r w:rsidR="000A52D5" w:rsidRPr="00D5464D">
        <w:rPr>
          <w:rFonts w:eastAsia="Batang" w:cs="Times"/>
          <w:szCs w:val="24"/>
          <w:lang w:val="pt-BR" w:eastAsia="es-ES"/>
        </w:rPr>
        <w:t>as,</w:t>
      </w:r>
      <w:r w:rsidR="00470ADC" w:rsidRPr="00D5464D">
        <w:rPr>
          <w:rFonts w:eastAsia="Batang" w:cs="Times"/>
          <w:szCs w:val="24"/>
          <w:lang w:val="pt-BR" w:eastAsia="es-ES"/>
        </w:rPr>
        <w:t xml:space="preserve"> o </w:t>
      </w:r>
      <w:r w:rsidR="000A52D5" w:rsidRPr="00D5464D">
        <w:rPr>
          <w:rFonts w:eastAsia="Batang" w:cs="Times"/>
          <w:szCs w:val="24"/>
          <w:lang w:val="pt-BR" w:eastAsia="es-ES"/>
        </w:rPr>
        <w:t>Tribunal decidirá</w:t>
      </w:r>
      <w:r w:rsidR="00470ADC" w:rsidRPr="00D5464D">
        <w:rPr>
          <w:rFonts w:eastAsia="Batang" w:cs="Times"/>
          <w:szCs w:val="24"/>
          <w:lang w:val="pt-BR" w:eastAsia="es-ES"/>
        </w:rPr>
        <w:t xml:space="preserve"> em </w:t>
      </w:r>
      <w:r w:rsidR="00A1358C" w:rsidRPr="00D5464D">
        <w:rPr>
          <w:rFonts w:eastAsia="Batang" w:cs="Times"/>
          <w:szCs w:val="24"/>
          <w:lang w:val="pt-BR" w:eastAsia="es-ES"/>
        </w:rPr>
        <w:t>sua oportunidade</w:t>
      </w:r>
      <w:r w:rsidR="002C330E" w:rsidRPr="00D5464D">
        <w:rPr>
          <w:rFonts w:eastAsia="Batang" w:cs="Times"/>
          <w:szCs w:val="24"/>
          <w:lang w:val="pt-BR" w:eastAsia="es-ES"/>
        </w:rPr>
        <w:t xml:space="preserve"> se as </w:t>
      </w:r>
      <w:r w:rsidR="000A52D5" w:rsidRPr="00D5464D">
        <w:rPr>
          <w:rFonts w:eastAsia="Batang" w:cs="Times"/>
          <w:szCs w:val="24"/>
          <w:lang w:val="pt-BR" w:eastAsia="es-ES"/>
        </w:rPr>
        <w:t>considera</w:t>
      </w:r>
      <w:r w:rsidR="001D133B" w:rsidRPr="00D5464D">
        <w:rPr>
          <w:rFonts w:eastAsia="Batang" w:cs="Times"/>
          <w:szCs w:val="24"/>
          <w:lang w:val="pt-BR" w:eastAsia="es-ES"/>
        </w:rPr>
        <w:t>rá</w:t>
      </w:r>
      <w:r w:rsidR="000A52D5" w:rsidRPr="00D5464D">
        <w:rPr>
          <w:rFonts w:eastAsia="Batang" w:cs="Times"/>
          <w:szCs w:val="24"/>
          <w:lang w:val="pt-BR" w:eastAsia="es-ES"/>
        </w:rPr>
        <w:t xml:space="preserve"> </w:t>
      </w:r>
      <w:r w:rsidR="001D133B" w:rsidRPr="00D5464D">
        <w:rPr>
          <w:rFonts w:eastAsia="Batang" w:cs="Times"/>
          <w:szCs w:val="24"/>
          <w:lang w:val="pt-BR" w:eastAsia="es-ES"/>
        </w:rPr>
        <w:t xml:space="preserve">como </w:t>
      </w:r>
      <w:r w:rsidR="00E045D9" w:rsidRPr="00D5464D">
        <w:rPr>
          <w:rFonts w:eastAsia="Batang" w:cs="Times"/>
          <w:szCs w:val="24"/>
          <w:lang w:val="pt-BR" w:eastAsia="es-ES"/>
        </w:rPr>
        <w:t>vítima</w:t>
      </w:r>
      <w:r w:rsidR="000A52D5" w:rsidRPr="00D5464D">
        <w:rPr>
          <w:rFonts w:eastAsia="Batang" w:cs="Times"/>
          <w:szCs w:val="24"/>
          <w:lang w:val="pt-BR" w:eastAsia="es-ES"/>
        </w:rPr>
        <w:t>s</w:t>
      </w:r>
      <w:r w:rsidR="001D133B" w:rsidRPr="00D5464D">
        <w:rPr>
          <w:rFonts w:eastAsia="Batang" w:cs="Times"/>
          <w:szCs w:val="24"/>
          <w:lang w:val="pt-BR" w:eastAsia="es-ES"/>
        </w:rPr>
        <w:t>,</w:t>
      </w:r>
      <w:r w:rsidR="000A52D5" w:rsidRPr="00D5464D">
        <w:rPr>
          <w:rFonts w:eastAsia="Batang" w:cs="Times"/>
          <w:szCs w:val="24"/>
          <w:lang w:val="pt-BR" w:eastAsia="es-ES"/>
        </w:rPr>
        <w:t xml:space="preserve"> </w:t>
      </w:r>
      <w:r w:rsidR="001D133B" w:rsidRPr="00D5464D">
        <w:rPr>
          <w:rFonts w:eastAsia="Batang" w:cs="Times"/>
          <w:szCs w:val="24"/>
          <w:lang w:val="pt-BR" w:eastAsia="es-ES"/>
        </w:rPr>
        <w:t xml:space="preserve">em atenção à </w:t>
      </w:r>
      <w:r w:rsidR="002C330E" w:rsidRPr="00D5464D">
        <w:rPr>
          <w:rFonts w:eastAsia="Batang" w:cs="Times"/>
          <w:szCs w:val="24"/>
          <w:lang w:val="pt-BR" w:eastAsia="es-ES"/>
        </w:rPr>
        <w:t>natureza</w:t>
      </w:r>
      <w:r w:rsidR="00470ADC" w:rsidRPr="00D5464D">
        <w:rPr>
          <w:rFonts w:eastAsia="Batang" w:cs="Times"/>
          <w:szCs w:val="24"/>
          <w:lang w:val="pt-BR" w:eastAsia="es-ES"/>
        </w:rPr>
        <w:t xml:space="preserve"> da </w:t>
      </w:r>
      <w:r w:rsidR="000A52D5" w:rsidRPr="00D5464D">
        <w:rPr>
          <w:rFonts w:eastAsia="Batang" w:cs="Times"/>
          <w:szCs w:val="24"/>
          <w:lang w:val="pt-BR" w:eastAsia="es-ES"/>
        </w:rPr>
        <w:t>viola</w:t>
      </w:r>
      <w:r w:rsidR="00470ADC" w:rsidRPr="00D5464D">
        <w:rPr>
          <w:rFonts w:eastAsia="Batang" w:cs="Times"/>
          <w:szCs w:val="24"/>
          <w:lang w:val="pt-BR" w:eastAsia="es-ES"/>
        </w:rPr>
        <w:t>ção</w:t>
      </w:r>
      <w:r w:rsidR="001D133B" w:rsidRPr="00D5464D">
        <w:rPr>
          <w:rFonts w:eastAsia="Batang" w:cs="Times"/>
          <w:szCs w:val="24"/>
          <w:lang w:val="pt-BR" w:eastAsia="es-ES"/>
        </w:rPr>
        <w:t>.</w:t>
      </w:r>
      <w:r w:rsidR="008D7855" w:rsidRPr="00D5464D">
        <w:rPr>
          <w:rStyle w:val="Refdenotaalpie"/>
          <w:rFonts w:eastAsia="Batang"/>
          <w:lang w:val="pt-BR" w:eastAsia="es-ES"/>
        </w:rPr>
        <w:footnoteReference w:id="29"/>
      </w:r>
      <w:r w:rsidR="000A52D5" w:rsidRPr="00D5464D">
        <w:rPr>
          <w:rFonts w:eastAsia="Batang" w:cs="Times"/>
          <w:szCs w:val="24"/>
          <w:lang w:val="pt-BR" w:eastAsia="es-ES"/>
        </w:rPr>
        <w:t xml:space="preserve"> </w:t>
      </w:r>
    </w:p>
    <w:p w14:paraId="53861FE0" w14:textId="77777777" w:rsidR="000A52D5" w:rsidRPr="00D5464D" w:rsidRDefault="000A52D5" w:rsidP="00140440">
      <w:pPr>
        <w:tabs>
          <w:tab w:val="clear" w:pos="4419"/>
          <w:tab w:val="clear" w:pos="8838"/>
        </w:tabs>
        <w:jc w:val="both"/>
        <w:rPr>
          <w:rFonts w:eastAsia="Batang" w:cs="Times"/>
          <w:szCs w:val="24"/>
          <w:lang w:val="pt-BR" w:eastAsia="es-ES"/>
        </w:rPr>
      </w:pPr>
    </w:p>
    <w:p w14:paraId="5B81A393" w14:textId="5EEB4304" w:rsidR="000A52D5" w:rsidRPr="00D5464D" w:rsidRDefault="00E045D9" w:rsidP="00140440">
      <w:pPr>
        <w:numPr>
          <w:ilvl w:val="0"/>
          <w:numId w:val="1"/>
        </w:numPr>
        <w:tabs>
          <w:tab w:val="clear" w:pos="4419"/>
          <w:tab w:val="clear" w:pos="8838"/>
        </w:tabs>
        <w:jc w:val="both"/>
        <w:rPr>
          <w:rFonts w:eastAsia="Batang" w:cs="Times"/>
          <w:i/>
          <w:szCs w:val="24"/>
          <w:lang w:val="pt-BR" w:eastAsia="es-ES"/>
        </w:rPr>
      </w:pPr>
      <w:r w:rsidRPr="00D5464D">
        <w:rPr>
          <w:rFonts w:eastAsia="Batang" w:cs="Times"/>
          <w:szCs w:val="24"/>
          <w:lang w:val="pt-BR" w:eastAsia="es-ES"/>
        </w:rPr>
        <w:t>Desta</w:t>
      </w:r>
      <w:r w:rsidR="00947ED0" w:rsidRPr="00D5464D">
        <w:rPr>
          <w:rFonts w:eastAsia="Batang" w:cs="Times"/>
          <w:szCs w:val="24"/>
          <w:lang w:val="pt-BR" w:eastAsia="es-ES"/>
        </w:rPr>
        <w:t xml:space="preserve"> forma,</w:t>
      </w:r>
      <w:r w:rsidR="002C330E" w:rsidRPr="00D5464D">
        <w:rPr>
          <w:rFonts w:eastAsia="Batang" w:cs="Times"/>
          <w:szCs w:val="24"/>
          <w:lang w:val="pt-BR" w:eastAsia="es-ES"/>
        </w:rPr>
        <w:t xml:space="preserve"> a </w:t>
      </w:r>
      <w:r w:rsidR="00947ED0" w:rsidRPr="00D5464D">
        <w:rPr>
          <w:rFonts w:eastAsia="Batang" w:cs="Times"/>
          <w:szCs w:val="24"/>
          <w:lang w:val="pt-BR" w:eastAsia="es-ES"/>
        </w:rPr>
        <w:t xml:space="preserve">Corte </w:t>
      </w:r>
      <w:r w:rsidR="00350187" w:rsidRPr="00D5464D">
        <w:rPr>
          <w:rFonts w:eastAsia="Batang" w:cs="Times"/>
          <w:szCs w:val="24"/>
          <w:lang w:val="pt-BR" w:eastAsia="es-ES"/>
        </w:rPr>
        <w:t>avali</w:t>
      </w:r>
      <w:r w:rsidR="001D133B" w:rsidRPr="00D5464D">
        <w:rPr>
          <w:rFonts w:eastAsia="Batang" w:cs="Times"/>
          <w:szCs w:val="24"/>
          <w:lang w:val="pt-BR" w:eastAsia="es-ES"/>
        </w:rPr>
        <w:t>ou</w:t>
      </w:r>
      <w:r w:rsidR="002C330E" w:rsidRPr="00D5464D">
        <w:rPr>
          <w:rFonts w:eastAsia="Batang" w:cs="Times"/>
          <w:szCs w:val="24"/>
          <w:lang w:val="pt-BR" w:eastAsia="es-ES"/>
        </w:rPr>
        <w:t xml:space="preserve"> a </w:t>
      </w:r>
      <w:r w:rsidR="00947ED0" w:rsidRPr="00D5464D">
        <w:rPr>
          <w:rFonts w:eastAsia="Batang" w:cs="Times"/>
          <w:szCs w:val="24"/>
          <w:lang w:val="pt-BR" w:eastAsia="es-ES"/>
        </w:rPr>
        <w:t>aplica</w:t>
      </w:r>
      <w:r w:rsidR="00470ADC" w:rsidRPr="00D5464D">
        <w:rPr>
          <w:rFonts w:eastAsia="Batang" w:cs="Times"/>
          <w:szCs w:val="24"/>
          <w:lang w:val="pt-BR" w:eastAsia="es-ES"/>
        </w:rPr>
        <w:t>ção</w:t>
      </w:r>
      <w:r w:rsidR="00947ED0" w:rsidRPr="00D5464D">
        <w:rPr>
          <w:rFonts w:eastAsia="Batang" w:cs="Times"/>
          <w:szCs w:val="24"/>
          <w:lang w:val="pt-BR" w:eastAsia="es-ES"/>
        </w:rPr>
        <w:t xml:space="preserve"> </w:t>
      </w:r>
      <w:r w:rsidR="00470ADC" w:rsidRPr="00D5464D">
        <w:rPr>
          <w:rFonts w:eastAsia="Batang" w:cs="Times"/>
          <w:szCs w:val="24"/>
          <w:lang w:val="pt-BR" w:eastAsia="es-ES"/>
        </w:rPr>
        <w:t>do artigo</w:t>
      </w:r>
      <w:r w:rsidR="00947ED0" w:rsidRPr="00D5464D">
        <w:rPr>
          <w:rFonts w:eastAsia="Batang" w:cs="Times"/>
          <w:szCs w:val="24"/>
          <w:lang w:val="pt-BR" w:eastAsia="es-ES"/>
        </w:rPr>
        <w:t xml:space="preserve"> 35.2 </w:t>
      </w:r>
      <w:r w:rsidR="00470ADC" w:rsidRPr="00D5464D">
        <w:rPr>
          <w:rFonts w:eastAsia="Batang" w:cs="Times"/>
          <w:szCs w:val="24"/>
          <w:lang w:val="pt-BR" w:eastAsia="es-ES"/>
        </w:rPr>
        <w:t xml:space="preserve">do </w:t>
      </w:r>
      <w:r w:rsidR="002C330E" w:rsidRPr="00D5464D">
        <w:rPr>
          <w:rFonts w:eastAsia="Batang" w:cs="Times"/>
          <w:szCs w:val="24"/>
          <w:lang w:val="pt-BR" w:eastAsia="es-ES"/>
        </w:rPr>
        <w:t>Regulamento</w:t>
      </w:r>
      <w:r w:rsidR="00470ADC" w:rsidRPr="00D5464D">
        <w:rPr>
          <w:rFonts w:eastAsia="Batang" w:cs="Times"/>
          <w:szCs w:val="24"/>
          <w:lang w:val="pt-BR" w:eastAsia="es-ES"/>
        </w:rPr>
        <w:t xml:space="preserve"> com </w:t>
      </w:r>
      <w:r w:rsidR="00947ED0" w:rsidRPr="00D5464D">
        <w:rPr>
          <w:rFonts w:eastAsia="Batang" w:cs="Times"/>
          <w:szCs w:val="24"/>
          <w:lang w:val="pt-BR" w:eastAsia="es-ES"/>
        </w:rPr>
        <w:t>base</w:t>
      </w:r>
      <w:r w:rsidRPr="00D5464D">
        <w:rPr>
          <w:rFonts w:eastAsia="Batang" w:cs="Times"/>
          <w:szCs w:val="24"/>
          <w:lang w:val="pt-BR" w:eastAsia="es-ES"/>
        </w:rPr>
        <w:t xml:space="preserve"> nas </w:t>
      </w:r>
      <w:r w:rsidR="00947ED0" w:rsidRPr="00D5464D">
        <w:rPr>
          <w:rFonts w:eastAsia="Batang" w:cs="Times"/>
          <w:szCs w:val="24"/>
          <w:lang w:val="pt-BR" w:eastAsia="es-ES"/>
        </w:rPr>
        <w:t>características particulares de cada caso</w:t>
      </w:r>
      <w:r w:rsidR="001D133B" w:rsidRPr="00D5464D">
        <w:rPr>
          <w:rFonts w:eastAsia="Batang" w:cs="Times"/>
          <w:szCs w:val="24"/>
          <w:lang w:val="pt-BR" w:eastAsia="es-ES"/>
        </w:rPr>
        <w:t>,</w:t>
      </w:r>
      <w:r w:rsidR="00947ED0" w:rsidRPr="00D5464D">
        <w:rPr>
          <w:rFonts w:eastAsia="Batang" w:cs="Times"/>
          <w:szCs w:val="24"/>
          <w:vertAlign w:val="superscript"/>
          <w:lang w:val="pt-BR" w:eastAsia="es-ES"/>
        </w:rPr>
        <w:footnoteReference w:id="30"/>
      </w:r>
      <w:r w:rsidR="00470ADC" w:rsidRPr="00D5464D">
        <w:rPr>
          <w:rFonts w:eastAsia="Batang" w:cs="Times"/>
          <w:szCs w:val="24"/>
          <w:lang w:val="pt-BR" w:eastAsia="es-ES"/>
        </w:rPr>
        <w:t xml:space="preserve"> e</w:t>
      </w:r>
      <w:r w:rsidR="00947ED0" w:rsidRPr="00D5464D">
        <w:rPr>
          <w:rFonts w:eastAsia="Batang" w:cs="Times"/>
          <w:szCs w:val="24"/>
          <w:lang w:val="pt-BR" w:eastAsia="es-ES"/>
        </w:rPr>
        <w:t xml:space="preserve"> </w:t>
      </w:r>
      <w:r w:rsidR="00350187" w:rsidRPr="00D5464D">
        <w:rPr>
          <w:rFonts w:eastAsia="Batang" w:cs="Times"/>
          <w:szCs w:val="24"/>
          <w:lang w:val="pt-BR" w:eastAsia="es-ES"/>
        </w:rPr>
        <w:t>aplicou</w:t>
      </w:r>
      <w:r w:rsidR="00470ADC" w:rsidRPr="00D5464D">
        <w:rPr>
          <w:rFonts w:eastAsia="Batang" w:cs="Times"/>
          <w:szCs w:val="24"/>
          <w:lang w:val="pt-BR" w:eastAsia="es-ES"/>
        </w:rPr>
        <w:t xml:space="preserve"> o artigo</w:t>
      </w:r>
      <w:r w:rsidR="00947ED0" w:rsidRPr="00D5464D">
        <w:rPr>
          <w:rFonts w:eastAsia="Batang" w:cs="Times"/>
          <w:szCs w:val="24"/>
          <w:lang w:val="pt-BR" w:eastAsia="es-ES"/>
        </w:rPr>
        <w:t xml:space="preserve"> 35.2</w:t>
      </w:r>
      <w:r w:rsidR="00470ADC" w:rsidRPr="00D5464D">
        <w:rPr>
          <w:rFonts w:eastAsia="Batang" w:cs="Times"/>
          <w:szCs w:val="24"/>
          <w:lang w:val="pt-BR" w:eastAsia="es-ES"/>
        </w:rPr>
        <w:t xml:space="preserve"> em </w:t>
      </w:r>
      <w:r w:rsidR="00947ED0" w:rsidRPr="00D5464D">
        <w:rPr>
          <w:rFonts w:eastAsia="Batang" w:cs="Times"/>
          <w:szCs w:val="24"/>
          <w:lang w:val="pt-BR" w:eastAsia="es-ES"/>
        </w:rPr>
        <w:t xml:space="preserve">casos </w:t>
      </w:r>
      <w:r w:rsidRPr="00D5464D">
        <w:rPr>
          <w:rFonts w:eastAsia="Batang" w:cs="Times"/>
          <w:szCs w:val="24"/>
          <w:lang w:val="pt-BR" w:eastAsia="es-ES"/>
        </w:rPr>
        <w:t>massiv</w:t>
      </w:r>
      <w:r w:rsidR="00947ED0" w:rsidRPr="00D5464D">
        <w:rPr>
          <w:rFonts w:eastAsia="Batang" w:cs="Times"/>
          <w:szCs w:val="24"/>
          <w:lang w:val="pt-BR" w:eastAsia="es-ES"/>
        </w:rPr>
        <w:t>os o</w:t>
      </w:r>
      <w:r w:rsidR="001D133B" w:rsidRPr="00D5464D">
        <w:rPr>
          <w:rFonts w:eastAsia="Batang" w:cs="Times"/>
          <w:szCs w:val="24"/>
          <w:lang w:val="pt-BR" w:eastAsia="es-ES"/>
        </w:rPr>
        <w:t>u</w:t>
      </w:r>
      <w:r w:rsidR="00947ED0" w:rsidRPr="00D5464D">
        <w:rPr>
          <w:rFonts w:eastAsia="Batang" w:cs="Times"/>
          <w:szCs w:val="24"/>
          <w:lang w:val="pt-BR" w:eastAsia="es-ES"/>
        </w:rPr>
        <w:t xml:space="preserve"> </w:t>
      </w:r>
      <w:r w:rsidR="00470ADC" w:rsidRPr="00D5464D">
        <w:rPr>
          <w:rFonts w:eastAsia="Batang" w:cs="Times"/>
          <w:szCs w:val="24"/>
          <w:lang w:val="pt-BR" w:eastAsia="es-ES"/>
        </w:rPr>
        <w:t>coletiv</w:t>
      </w:r>
      <w:r w:rsidR="00947ED0" w:rsidRPr="00D5464D">
        <w:rPr>
          <w:rFonts w:eastAsia="Batang" w:cs="Times"/>
          <w:szCs w:val="24"/>
          <w:lang w:val="pt-BR" w:eastAsia="es-ES"/>
        </w:rPr>
        <w:t>os</w:t>
      </w:r>
      <w:r w:rsidR="00470ADC" w:rsidRPr="00D5464D">
        <w:rPr>
          <w:rFonts w:eastAsia="Batang" w:cs="Times"/>
          <w:szCs w:val="24"/>
          <w:lang w:val="pt-BR" w:eastAsia="es-ES"/>
        </w:rPr>
        <w:t xml:space="preserve"> com dificuldades</w:t>
      </w:r>
      <w:r w:rsidR="00947ED0" w:rsidRPr="00D5464D">
        <w:rPr>
          <w:rFonts w:eastAsia="Batang" w:cs="Times"/>
          <w:szCs w:val="24"/>
          <w:lang w:val="pt-BR" w:eastAsia="es-ES"/>
        </w:rPr>
        <w:t xml:space="preserve"> para identificar o</w:t>
      </w:r>
      <w:r w:rsidR="001D133B" w:rsidRPr="00D5464D">
        <w:rPr>
          <w:rFonts w:eastAsia="Batang" w:cs="Times"/>
          <w:szCs w:val="24"/>
          <w:lang w:val="pt-BR" w:eastAsia="es-ES"/>
        </w:rPr>
        <w:t>u</w:t>
      </w:r>
      <w:r w:rsidR="00947ED0" w:rsidRPr="00D5464D">
        <w:rPr>
          <w:rFonts w:eastAsia="Batang" w:cs="Times"/>
          <w:szCs w:val="24"/>
          <w:lang w:val="pt-BR" w:eastAsia="es-ES"/>
        </w:rPr>
        <w:t xml:space="preserve"> </w:t>
      </w:r>
      <w:r w:rsidR="001D133B" w:rsidRPr="00D5464D">
        <w:rPr>
          <w:rFonts w:eastAsia="Batang" w:cs="Times"/>
          <w:szCs w:val="24"/>
          <w:lang w:val="pt-BR" w:eastAsia="es-ES"/>
        </w:rPr>
        <w:t>contatar</w:t>
      </w:r>
      <w:r w:rsidR="00947ED0" w:rsidRPr="00D5464D">
        <w:rPr>
          <w:rFonts w:eastAsia="Batang" w:cs="Times"/>
          <w:szCs w:val="24"/>
          <w:lang w:val="pt-BR" w:eastAsia="es-ES"/>
        </w:rPr>
        <w:t xml:space="preserve"> a todas</w:t>
      </w:r>
      <w:r w:rsidR="002C330E" w:rsidRPr="00D5464D">
        <w:rPr>
          <w:rFonts w:eastAsia="Batang" w:cs="Times"/>
          <w:szCs w:val="24"/>
          <w:lang w:val="pt-BR" w:eastAsia="es-ES"/>
        </w:rPr>
        <w:t xml:space="preserve"> as suposta</w:t>
      </w:r>
      <w:r w:rsidR="00947ED0" w:rsidRPr="00D5464D">
        <w:rPr>
          <w:rFonts w:eastAsia="Batang" w:cs="Times"/>
          <w:szCs w:val="24"/>
          <w:lang w:val="pt-BR" w:eastAsia="es-ES"/>
        </w:rPr>
        <w:t xml:space="preserve">s </w:t>
      </w:r>
      <w:r w:rsidRPr="00D5464D">
        <w:rPr>
          <w:rFonts w:eastAsia="Batang" w:cs="Times"/>
          <w:szCs w:val="24"/>
          <w:lang w:val="pt-BR" w:eastAsia="es-ES"/>
        </w:rPr>
        <w:t>vítima</w:t>
      </w:r>
      <w:r w:rsidR="00947ED0" w:rsidRPr="00D5464D">
        <w:rPr>
          <w:rFonts w:eastAsia="Batang" w:cs="Times"/>
          <w:szCs w:val="24"/>
          <w:lang w:val="pt-BR" w:eastAsia="es-ES"/>
        </w:rPr>
        <w:t>s</w:t>
      </w:r>
      <w:r w:rsidR="00EB1CE9" w:rsidRPr="00D5464D">
        <w:rPr>
          <w:rFonts w:eastAsia="Batang" w:cs="Times"/>
          <w:szCs w:val="24"/>
          <w:lang w:val="pt-BR" w:eastAsia="es-ES"/>
        </w:rPr>
        <w:t xml:space="preserve">, por </w:t>
      </w:r>
      <w:r w:rsidR="00470ADC" w:rsidRPr="00D5464D">
        <w:rPr>
          <w:rFonts w:eastAsia="Batang" w:cs="Times"/>
          <w:szCs w:val="24"/>
          <w:lang w:val="pt-BR" w:eastAsia="es-ES"/>
        </w:rPr>
        <w:t>exemplo</w:t>
      </w:r>
      <w:r w:rsidR="00947ED0" w:rsidRPr="00D5464D">
        <w:rPr>
          <w:rFonts w:eastAsia="Batang" w:cs="Times"/>
          <w:szCs w:val="24"/>
          <w:lang w:val="pt-BR" w:eastAsia="es-ES"/>
        </w:rPr>
        <w:t xml:space="preserve">, </w:t>
      </w:r>
      <w:r w:rsidR="00470ADC" w:rsidRPr="00D5464D">
        <w:rPr>
          <w:rFonts w:eastAsia="Batang" w:cs="Times"/>
          <w:szCs w:val="24"/>
          <w:lang w:val="pt-BR" w:eastAsia="es-ES"/>
        </w:rPr>
        <w:t xml:space="preserve">devido à </w:t>
      </w:r>
      <w:r w:rsidR="001D133B" w:rsidRPr="00D5464D">
        <w:rPr>
          <w:rFonts w:eastAsia="Batang" w:cs="Times"/>
          <w:szCs w:val="24"/>
          <w:lang w:val="pt-BR" w:eastAsia="es-ES"/>
        </w:rPr>
        <w:t xml:space="preserve">existência </w:t>
      </w:r>
      <w:r w:rsidR="00947ED0" w:rsidRPr="00D5464D">
        <w:rPr>
          <w:rFonts w:eastAsia="Batang" w:cs="Times"/>
          <w:szCs w:val="24"/>
          <w:lang w:val="pt-BR" w:eastAsia="es-ES"/>
        </w:rPr>
        <w:t>de</w:t>
      </w:r>
      <w:r w:rsidRPr="00D5464D">
        <w:rPr>
          <w:rFonts w:eastAsia="Batang" w:cs="Times"/>
          <w:szCs w:val="24"/>
          <w:lang w:val="pt-BR" w:eastAsia="es-ES"/>
        </w:rPr>
        <w:t xml:space="preserve"> um </w:t>
      </w:r>
      <w:r w:rsidR="00470ADC" w:rsidRPr="00D5464D">
        <w:rPr>
          <w:rFonts w:eastAsia="Batang" w:cs="Times"/>
          <w:szCs w:val="24"/>
          <w:lang w:val="pt-BR" w:eastAsia="es-ES"/>
        </w:rPr>
        <w:t>conflito</w:t>
      </w:r>
      <w:r w:rsidR="00947ED0" w:rsidRPr="00D5464D">
        <w:rPr>
          <w:rFonts w:eastAsia="Batang" w:cs="Times"/>
          <w:szCs w:val="24"/>
          <w:lang w:val="pt-BR" w:eastAsia="es-ES"/>
        </w:rPr>
        <w:t xml:space="preserve"> armado</w:t>
      </w:r>
      <w:r w:rsidR="001D133B" w:rsidRPr="00D5464D">
        <w:rPr>
          <w:rFonts w:eastAsia="Batang" w:cs="Times"/>
          <w:szCs w:val="24"/>
          <w:lang w:val="pt-BR" w:eastAsia="es-ES"/>
        </w:rPr>
        <w:t>,</w:t>
      </w:r>
      <w:r w:rsidR="00947ED0" w:rsidRPr="00D5464D">
        <w:rPr>
          <w:rFonts w:eastAsia="Batang" w:cs="Times"/>
          <w:szCs w:val="24"/>
          <w:vertAlign w:val="superscript"/>
          <w:lang w:val="pt-BR" w:eastAsia="es-ES"/>
        </w:rPr>
        <w:footnoteReference w:id="31"/>
      </w:r>
      <w:r w:rsidR="00470ADC" w:rsidRPr="00D5464D">
        <w:rPr>
          <w:rFonts w:eastAsia="Batang" w:cs="Times"/>
          <w:szCs w:val="24"/>
          <w:lang w:val="pt-BR" w:eastAsia="es-ES"/>
        </w:rPr>
        <w:t xml:space="preserve"> </w:t>
      </w:r>
      <w:r w:rsidR="00C55B2A" w:rsidRPr="00D5464D">
        <w:rPr>
          <w:rFonts w:eastAsia="Batang" w:cs="Times"/>
          <w:szCs w:val="24"/>
          <w:lang w:val="pt-BR" w:eastAsia="es-ES"/>
        </w:rPr>
        <w:t>a</w:t>
      </w:r>
      <w:r w:rsidR="00470ADC" w:rsidRPr="00D5464D">
        <w:rPr>
          <w:rFonts w:eastAsia="Batang" w:cs="Times"/>
          <w:szCs w:val="24"/>
          <w:lang w:val="pt-BR" w:eastAsia="es-ES"/>
        </w:rPr>
        <w:t xml:space="preserve">o </w:t>
      </w:r>
      <w:r w:rsidRPr="00D5464D">
        <w:rPr>
          <w:rFonts w:eastAsia="Batang" w:cs="Times"/>
          <w:szCs w:val="24"/>
          <w:lang w:val="pt-BR" w:eastAsia="es-ES"/>
        </w:rPr>
        <w:t>deslocamento</w:t>
      </w:r>
      <w:r w:rsidR="00BA3497" w:rsidRPr="00D5464D">
        <w:rPr>
          <w:rFonts w:eastAsia="Batang" w:cs="Times"/>
          <w:szCs w:val="24"/>
          <w:lang w:val="pt-BR" w:eastAsia="es-ES"/>
        </w:rPr>
        <w:t>,</w:t>
      </w:r>
      <w:r w:rsidR="00947ED0" w:rsidRPr="00D5464D">
        <w:rPr>
          <w:rFonts w:eastAsia="Batang" w:cs="Times"/>
          <w:szCs w:val="24"/>
          <w:vertAlign w:val="superscript"/>
          <w:lang w:val="pt-BR" w:eastAsia="es-ES"/>
        </w:rPr>
        <w:footnoteReference w:id="32"/>
      </w:r>
      <w:r w:rsidR="00947ED0" w:rsidRPr="00D5464D">
        <w:rPr>
          <w:rFonts w:eastAsia="Batang" w:cs="Times"/>
          <w:szCs w:val="24"/>
          <w:lang w:val="pt-BR" w:eastAsia="es-ES"/>
        </w:rPr>
        <w:t xml:space="preserve"> </w:t>
      </w:r>
      <w:r w:rsidR="002C330E" w:rsidRPr="00D5464D">
        <w:rPr>
          <w:rFonts w:eastAsia="Batang" w:cs="Times"/>
          <w:szCs w:val="24"/>
          <w:lang w:val="pt-BR" w:eastAsia="es-ES"/>
        </w:rPr>
        <w:t xml:space="preserve">a </w:t>
      </w:r>
      <w:r w:rsidR="00947ED0" w:rsidRPr="00D5464D">
        <w:rPr>
          <w:rFonts w:eastAsia="Batang" w:cs="Times"/>
          <w:szCs w:val="24"/>
          <w:lang w:val="pt-BR" w:eastAsia="es-ES"/>
        </w:rPr>
        <w:t>que</w:t>
      </w:r>
      <w:r w:rsidR="001D133B" w:rsidRPr="00D5464D">
        <w:rPr>
          <w:rFonts w:eastAsia="Batang" w:cs="Times"/>
          <w:szCs w:val="24"/>
          <w:lang w:val="pt-BR" w:eastAsia="es-ES"/>
        </w:rPr>
        <w:t>i</w:t>
      </w:r>
      <w:r w:rsidR="00947ED0" w:rsidRPr="00D5464D">
        <w:rPr>
          <w:rFonts w:eastAsia="Batang" w:cs="Times"/>
          <w:szCs w:val="24"/>
          <w:lang w:val="pt-BR" w:eastAsia="es-ES"/>
        </w:rPr>
        <w:t>ma</w:t>
      </w:r>
      <w:r w:rsidR="00470ADC" w:rsidRPr="00D5464D">
        <w:rPr>
          <w:rFonts w:eastAsia="Batang" w:cs="Times"/>
          <w:szCs w:val="24"/>
          <w:lang w:val="pt-BR" w:eastAsia="es-ES"/>
        </w:rPr>
        <w:t xml:space="preserve"> dos corpo</w:t>
      </w:r>
      <w:r w:rsidR="00947ED0" w:rsidRPr="00D5464D">
        <w:rPr>
          <w:rFonts w:eastAsia="Batang" w:cs="Times"/>
          <w:szCs w:val="24"/>
          <w:lang w:val="pt-BR" w:eastAsia="es-ES"/>
        </w:rPr>
        <w:t>s</w:t>
      </w:r>
      <w:r w:rsidR="00470ADC" w:rsidRPr="00D5464D">
        <w:rPr>
          <w:rFonts w:eastAsia="Batang" w:cs="Times"/>
          <w:szCs w:val="24"/>
          <w:lang w:val="pt-BR" w:eastAsia="es-ES"/>
        </w:rPr>
        <w:t xml:space="preserve"> das </w:t>
      </w:r>
      <w:r w:rsidR="002C330E" w:rsidRPr="00D5464D">
        <w:rPr>
          <w:rFonts w:eastAsia="Batang" w:cs="Times"/>
          <w:szCs w:val="24"/>
          <w:lang w:val="pt-BR" w:eastAsia="es-ES"/>
        </w:rPr>
        <w:t>suposta</w:t>
      </w:r>
      <w:r w:rsidR="00947ED0" w:rsidRPr="00D5464D">
        <w:rPr>
          <w:rFonts w:eastAsia="Batang" w:cs="Times"/>
          <w:szCs w:val="24"/>
          <w:lang w:val="pt-BR" w:eastAsia="es-ES"/>
        </w:rPr>
        <w:t xml:space="preserve">s </w:t>
      </w:r>
      <w:r w:rsidRPr="00D5464D">
        <w:rPr>
          <w:rFonts w:eastAsia="Batang" w:cs="Times"/>
          <w:szCs w:val="24"/>
          <w:lang w:val="pt-BR" w:eastAsia="es-ES"/>
        </w:rPr>
        <w:t>vítima</w:t>
      </w:r>
      <w:r w:rsidR="00947ED0" w:rsidRPr="00D5464D">
        <w:rPr>
          <w:rFonts w:eastAsia="Batang" w:cs="Times"/>
          <w:szCs w:val="24"/>
          <w:lang w:val="pt-BR" w:eastAsia="es-ES"/>
        </w:rPr>
        <w:t>s</w:t>
      </w:r>
      <w:r w:rsidR="001D133B" w:rsidRPr="00D5464D">
        <w:rPr>
          <w:rFonts w:eastAsia="Batang" w:cs="Times"/>
          <w:szCs w:val="24"/>
          <w:lang w:val="pt-BR" w:eastAsia="es-ES"/>
        </w:rPr>
        <w:t>,</w:t>
      </w:r>
      <w:r w:rsidR="00947ED0" w:rsidRPr="00D5464D">
        <w:rPr>
          <w:rFonts w:eastAsia="Batang" w:cs="Times"/>
          <w:szCs w:val="24"/>
          <w:vertAlign w:val="superscript"/>
          <w:lang w:val="pt-BR" w:eastAsia="es-ES"/>
        </w:rPr>
        <w:footnoteReference w:id="33"/>
      </w:r>
      <w:r w:rsidR="00947ED0" w:rsidRPr="00D5464D">
        <w:rPr>
          <w:rFonts w:eastAsia="Batang" w:cs="Times"/>
          <w:szCs w:val="24"/>
          <w:lang w:val="pt-BR" w:eastAsia="es-ES"/>
        </w:rPr>
        <w:t xml:space="preserve"> o</w:t>
      </w:r>
      <w:r w:rsidR="001D133B" w:rsidRPr="00D5464D">
        <w:rPr>
          <w:rFonts w:eastAsia="Batang" w:cs="Times"/>
          <w:szCs w:val="24"/>
          <w:lang w:val="pt-BR" w:eastAsia="es-ES"/>
        </w:rPr>
        <w:t>u</w:t>
      </w:r>
      <w:r w:rsidR="00470ADC" w:rsidRPr="00D5464D">
        <w:rPr>
          <w:rFonts w:eastAsia="Batang" w:cs="Times"/>
          <w:szCs w:val="24"/>
          <w:lang w:val="pt-BR" w:eastAsia="es-ES"/>
        </w:rPr>
        <w:t xml:space="preserve"> em </w:t>
      </w:r>
      <w:r w:rsidR="00947ED0" w:rsidRPr="00D5464D">
        <w:rPr>
          <w:rFonts w:eastAsia="Batang" w:cs="Times"/>
          <w:szCs w:val="24"/>
          <w:lang w:val="pt-BR" w:eastAsia="es-ES"/>
        </w:rPr>
        <w:t>casos</w:t>
      </w:r>
      <w:r w:rsidR="00470ADC" w:rsidRPr="00D5464D">
        <w:rPr>
          <w:rFonts w:eastAsia="Batang" w:cs="Times"/>
          <w:szCs w:val="24"/>
          <w:lang w:val="pt-BR" w:eastAsia="es-ES"/>
        </w:rPr>
        <w:t xml:space="preserve"> em </w:t>
      </w:r>
      <w:r w:rsidR="00947ED0" w:rsidRPr="00D5464D">
        <w:rPr>
          <w:rFonts w:eastAsia="Batang" w:cs="Times"/>
          <w:szCs w:val="24"/>
          <w:lang w:val="pt-BR" w:eastAsia="es-ES"/>
        </w:rPr>
        <w:t xml:space="preserve">que </w:t>
      </w:r>
      <w:r w:rsidR="00A1358C" w:rsidRPr="00D5464D">
        <w:rPr>
          <w:rFonts w:eastAsia="Batang" w:cs="Times"/>
          <w:szCs w:val="24"/>
          <w:lang w:val="pt-BR" w:eastAsia="es-ES"/>
        </w:rPr>
        <w:t>famílias inteira</w:t>
      </w:r>
      <w:r w:rsidR="00947ED0" w:rsidRPr="00D5464D">
        <w:rPr>
          <w:rFonts w:eastAsia="Batang" w:cs="Times"/>
          <w:szCs w:val="24"/>
          <w:lang w:val="pt-BR" w:eastAsia="es-ES"/>
        </w:rPr>
        <w:t>s</w:t>
      </w:r>
      <w:r w:rsidR="00E94CEF" w:rsidRPr="00D5464D">
        <w:rPr>
          <w:rFonts w:eastAsia="Batang" w:cs="Times"/>
          <w:szCs w:val="24"/>
          <w:lang w:val="pt-BR" w:eastAsia="es-ES"/>
        </w:rPr>
        <w:t xml:space="preserve"> </w:t>
      </w:r>
      <w:r w:rsidR="00C55B2A" w:rsidRPr="00D5464D">
        <w:rPr>
          <w:rFonts w:eastAsia="Batang" w:cs="Times"/>
          <w:szCs w:val="24"/>
          <w:lang w:val="pt-BR" w:eastAsia="es-ES"/>
        </w:rPr>
        <w:t>desapareceram</w:t>
      </w:r>
      <w:r w:rsidR="00947ED0" w:rsidRPr="00D5464D">
        <w:rPr>
          <w:rFonts w:eastAsia="Batang" w:cs="Times"/>
          <w:szCs w:val="24"/>
          <w:lang w:val="pt-BR" w:eastAsia="es-ES"/>
        </w:rPr>
        <w:t>,</w:t>
      </w:r>
      <w:r w:rsidR="002C330E" w:rsidRPr="00D5464D">
        <w:rPr>
          <w:rFonts w:eastAsia="Batang" w:cs="Times"/>
          <w:szCs w:val="24"/>
          <w:lang w:val="pt-BR" w:eastAsia="es-ES"/>
        </w:rPr>
        <w:t xml:space="preserve"> </w:t>
      </w:r>
      <w:r w:rsidR="001D133B" w:rsidRPr="00D5464D">
        <w:rPr>
          <w:rFonts w:eastAsia="Batang" w:cs="Times"/>
          <w:szCs w:val="24"/>
          <w:lang w:val="pt-BR" w:eastAsia="es-ES"/>
        </w:rPr>
        <w:t xml:space="preserve">razão pela qual </w:t>
      </w:r>
      <w:r w:rsidR="00737270" w:rsidRPr="00D5464D">
        <w:rPr>
          <w:rFonts w:eastAsia="Batang" w:cs="Times"/>
          <w:szCs w:val="24"/>
          <w:lang w:val="pt-BR" w:eastAsia="es-ES"/>
        </w:rPr>
        <w:t xml:space="preserve">não </w:t>
      </w:r>
      <w:r w:rsidR="001D133B" w:rsidRPr="00D5464D">
        <w:rPr>
          <w:rFonts w:eastAsia="Batang" w:cs="Times"/>
          <w:szCs w:val="24"/>
          <w:lang w:val="pt-BR" w:eastAsia="es-ES"/>
        </w:rPr>
        <w:t xml:space="preserve">haveria </w:t>
      </w:r>
      <w:r w:rsidR="002C330E" w:rsidRPr="00D5464D">
        <w:rPr>
          <w:rFonts w:eastAsia="Batang" w:cs="Times"/>
          <w:szCs w:val="24"/>
          <w:lang w:val="pt-BR" w:eastAsia="es-ES"/>
        </w:rPr>
        <w:t>ninguém</w:t>
      </w:r>
      <w:r w:rsidR="00947ED0" w:rsidRPr="00D5464D">
        <w:rPr>
          <w:rFonts w:eastAsia="Batang" w:cs="Times"/>
          <w:szCs w:val="24"/>
          <w:lang w:val="pt-BR" w:eastAsia="es-ES"/>
        </w:rPr>
        <w:t xml:space="preserve"> que </w:t>
      </w:r>
      <w:r w:rsidR="00737270" w:rsidRPr="00D5464D">
        <w:rPr>
          <w:rFonts w:eastAsia="Batang" w:cs="Times"/>
          <w:szCs w:val="24"/>
          <w:lang w:val="pt-BR" w:eastAsia="es-ES"/>
        </w:rPr>
        <w:t>pudesse</w:t>
      </w:r>
      <w:r w:rsidR="00947ED0" w:rsidRPr="00D5464D">
        <w:rPr>
          <w:rFonts w:eastAsia="Batang" w:cs="Times"/>
          <w:szCs w:val="24"/>
          <w:lang w:val="pt-BR" w:eastAsia="es-ES"/>
        </w:rPr>
        <w:t xml:space="preserve"> </w:t>
      </w:r>
      <w:r w:rsidR="002C330E" w:rsidRPr="00D5464D">
        <w:rPr>
          <w:rFonts w:eastAsia="Batang" w:cs="Times"/>
          <w:szCs w:val="24"/>
          <w:lang w:val="pt-BR" w:eastAsia="es-ES"/>
        </w:rPr>
        <w:t>falar</w:t>
      </w:r>
      <w:r w:rsidR="00947ED0" w:rsidRPr="00D5464D">
        <w:rPr>
          <w:rFonts w:eastAsia="Batang" w:cs="Times"/>
          <w:szCs w:val="24"/>
          <w:lang w:val="pt-BR" w:eastAsia="es-ES"/>
        </w:rPr>
        <w:t xml:space="preserve"> por</w:t>
      </w:r>
      <w:r w:rsidR="00470ADC" w:rsidRPr="00D5464D">
        <w:rPr>
          <w:rFonts w:eastAsia="Batang" w:cs="Times"/>
          <w:szCs w:val="24"/>
          <w:lang w:val="pt-BR" w:eastAsia="es-ES"/>
        </w:rPr>
        <w:t xml:space="preserve"> el</w:t>
      </w:r>
      <w:r w:rsidR="00C55B2A" w:rsidRPr="00D5464D">
        <w:rPr>
          <w:rFonts w:eastAsia="Batang" w:cs="Times"/>
          <w:szCs w:val="24"/>
          <w:lang w:val="pt-BR" w:eastAsia="es-ES"/>
        </w:rPr>
        <w:t>a</w:t>
      </w:r>
      <w:r w:rsidR="00947ED0" w:rsidRPr="00D5464D">
        <w:rPr>
          <w:rFonts w:eastAsia="Batang" w:cs="Times"/>
          <w:szCs w:val="24"/>
          <w:lang w:val="pt-BR" w:eastAsia="es-ES"/>
        </w:rPr>
        <w:t>s</w:t>
      </w:r>
      <w:r w:rsidR="001D133B" w:rsidRPr="00D5464D">
        <w:rPr>
          <w:rFonts w:eastAsia="Batang" w:cs="Times"/>
          <w:szCs w:val="24"/>
          <w:lang w:val="pt-BR" w:eastAsia="es-ES"/>
        </w:rPr>
        <w:t>.</w:t>
      </w:r>
      <w:r w:rsidR="00947ED0" w:rsidRPr="00D5464D">
        <w:rPr>
          <w:rFonts w:eastAsia="Batang" w:cs="Times"/>
          <w:szCs w:val="24"/>
          <w:vertAlign w:val="superscript"/>
          <w:lang w:val="pt-BR" w:eastAsia="es-ES"/>
        </w:rPr>
        <w:footnoteReference w:id="34"/>
      </w:r>
      <w:r w:rsidR="00947ED0" w:rsidRPr="00D5464D">
        <w:rPr>
          <w:rFonts w:eastAsia="Batang" w:cs="Times"/>
          <w:szCs w:val="24"/>
          <w:lang w:val="pt-BR" w:eastAsia="es-ES"/>
        </w:rPr>
        <w:t xml:space="preserve"> </w:t>
      </w:r>
      <w:r w:rsidR="003C1DF0" w:rsidRPr="00D5464D">
        <w:rPr>
          <w:rFonts w:eastAsia="Batang" w:cs="Times"/>
          <w:szCs w:val="24"/>
          <w:lang w:val="pt-BR" w:eastAsia="es-ES"/>
        </w:rPr>
        <w:t>A Corte t</w:t>
      </w:r>
      <w:r w:rsidRPr="00D5464D">
        <w:rPr>
          <w:rFonts w:eastAsia="Batang" w:cs="Times"/>
          <w:szCs w:val="24"/>
          <w:lang w:val="pt-BR" w:eastAsia="es-ES"/>
        </w:rPr>
        <w:t>ambém</w:t>
      </w:r>
      <w:r w:rsidR="00947ED0" w:rsidRPr="00D5464D">
        <w:rPr>
          <w:rFonts w:eastAsia="Batang" w:cs="Times"/>
          <w:szCs w:val="24"/>
          <w:lang w:val="pt-BR" w:eastAsia="es-ES"/>
        </w:rPr>
        <w:t xml:space="preserve"> </w:t>
      </w:r>
      <w:r w:rsidR="003C1DF0" w:rsidRPr="00D5464D">
        <w:rPr>
          <w:rFonts w:eastAsia="Batang" w:cs="Times"/>
          <w:szCs w:val="24"/>
          <w:lang w:val="pt-BR" w:eastAsia="es-ES"/>
        </w:rPr>
        <w:t xml:space="preserve">levou em consideração </w:t>
      </w:r>
      <w:r w:rsidR="002C330E" w:rsidRPr="00D5464D">
        <w:rPr>
          <w:rFonts w:eastAsia="Batang" w:cs="Times"/>
          <w:szCs w:val="24"/>
          <w:lang w:val="pt-BR" w:eastAsia="es-ES"/>
        </w:rPr>
        <w:t xml:space="preserve">a </w:t>
      </w:r>
      <w:r w:rsidR="00230C71" w:rsidRPr="00D5464D">
        <w:rPr>
          <w:rFonts w:eastAsia="Batang" w:cs="Times"/>
          <w:szCs w:val="24"/>
          <w:lang w:val="pt-BR" w:eastAsia="es-ES"/>
        </w:rPr>
        <w:t>dificuldade</w:t>
      </w:r>
      <w:r w:rsidR="00947ED0" w:rsidRPr="00D5464D">
        <w:rPr>
          <w:rFonts w:eastAsia="Batang" w:cs="Times"/>
          <w:szCs w:val="24"/>
          <w:lang w:val="pt-BR" w:eastAsia="es-ES"/>
        </w:rPr>
        <w:t xml:space="preserve"> </w:t>
      </w:r>
      <w:r w:rsidR="003C1DF0" w:rsidRPr="00D5464D">
        <w:rPr>
          <w:rFonts w:eastAsia="Batang" w:cs="Times"/>
          <w:szCs w:val="24"/>
          <w:lang w:val="pt-BR" w:eastAsia="es-ES"/>
        </w:rPr>
        <w:t xml:space="preserve">para chegar ao local </w:t>
      </w:r>
      <w:r w:rsidR="00470ADC" w:rsidRPr="00D5464D">
        <w:rPr>
          <w:rFonts w:eastAsia="Batang" w:cs="Times"/>
          <w:szCs w:val="24"/>
          <w:lang w:val="pt-BR" w:eastAsia="es-ES"/>
        </w:rPr>
        <w:t>onde</w:t>
      </w:r>
      <w:r w:rsidR="00947ED0" w:rsidRPr="00D5464D">
        <w:rPr>
          <w:rFonts w:eastAsia="Batang" w:cs="Times"/>
          <w:szCs w:val="24"/>
          <w:lang w:val="pt-BR" w:eastAsia="es-ES"/>
        </w:rPr>
        <w:t xml:space="preserve"> </w:t>
      </w:r>
      <w:r w:rsidR="002C330E" w:rsidRPr="00D5464D">
        <w:rPr>
          <w:rFonts w:eastAsia="Batang" w:cs="Times"/>
          <w:szCs w:val="24"/>
          <w:lang w:val="pt-BR" w:eastAsia="es-ES"/>
        </w:rPr>
        <w:t>ocorreram os fatos</w:t>
      </w:r>
      <w:r w:rsidR="003C1DF0" w:rsidRPr="00D5464D">
        <w:rPr>
          <w:rFonts w:eastAsia="Batang" w:cs="Times"/>
          <w:szCs w:val="24"/>
          <w:lang w:val="pt-BR" w:eastAsia="es-ES"/>
        </w:rPr>
        <w:t>,</w:t>
      </w:r>
      <w:r w:rsidR="00947ED0" w:rsidRPr="00D5464D">
        <w:rPr>
          <w:rFonts w:eastAsia="Batang" w:cs="Times"/>
          <w:szCs w:val="24"/>
          <w:vertAlign w:val="superscript"/>
          <w:lang w:val="pt-BR" w:eastAsia="es-ES"/>
        </w:rPr>
        <w:footnoteReference w:id="35"/>
      </w:r>
      <w:r w:rsidR="002C330E" w:rsidRPr="00D5464D">
        <w:rPr>
          <w:rFonts w:eastAsia="Batang" w:cs="Times"/>
          <w:szCs w:val="24"/>
          <w:lang w:val="pt-BR" w:eastAsia="es-ES"/>
        </w:rPr>
        <w:t xml:space="preserve"> a </w:t>
      </w:r>
      <w:r w:rsidR="00947ED0" w:rsidRPr="00D5464D">
        <w:rPr>
          <w:rFonts w:eastAsia="Batang" w:cs="Times"/>
          <w:szCs w:val="24"/>
          <w:lang w:val="pt-BR" w:eastAsia="es-ES"/>
        </w:rPr>
        <w:t xml:space="preserve">falta de registros </w:t>
      </w:r>
      <w:r w:rsidR="002C330E" w:rsidRPr="00D5464D">
        <w:rPr>
          <w:rFonts w:eastAsia="Batang" w:cs="Times"/>
          <w:szCs w:val="24"/>
          <w:lang w:val="pt-BR" w:eastAsia="es-ES"/>
        </w:rPr>
        <w:t>a respeito</w:t>
      </w:r>
      <w:r w:rsidR="00470ADC" w:rsidRPr="00D5464D">
        <w:rPr>
          <w:rFonts w:eastAsia="Batang" w:cs="Times"/>
          <w:szCs w:val="24"/>
          <w:lang w:val="pt-BR" w:eastAsia="es-ES"/>
        </w:rPr>
        <w:t xml:space="preserve"> dos </w:t>
      </w:r>
      <w:r w:rsidR="003C1DF0" w:rsidRPr="00D5464D">
        <w:rPr>
          <w:rFonts w:eastAsia="Batang" w:cs="Times"/>
          <w:szCs w:val="24"/>
          <w:lang w:val="pt-BR" w:eastAsia="es-ES"/>
        </w:rPr>
        <w:t xml:space="preserve">moradores </w:t>
      </w:r>
      <w:r w:rsidR="00470ADC" w:rsidRPr="00D5464D">
        <w:rPr>
          <w:rFonts w:eastAsia="Batang" w:cs="Times"/>
          <w:szCs w:val="24"/>
          <w:lang w:val="pt-BR" w:eastAsia="es-ES"/>
        </w:rPr>
        <w:t xml:space="preserve">do </w:t>
      </w:r>
      <w:r w:rsidR="00947ED0" w:rsidRPr="00D5464D">
        <w:rPr>
          <w:rFonts w:eastAsia="Batang" w:cs="Times"/>
          <w:szCs w:val="24"/>
          <w:lang w:val="pt-BR" w:eastAsia="es-ES"/>
        </w:rPr>
        <w:t>lugar</w:t>
      </w:r>
      <w:r w:rsidR="00947ED0" w:rsidRPr="00D5464D">
        <w:rPr>
          <w:rFonts w:eastAsia="Batang" w:cs="Times"/>
          <w:szCs w:val="24"/>
          <w:vertAlign w:val="superscript"/>
          <w:lang w:val="pt-BR" w:eastAsia="es-ES"/>
        </w:rPr>
        <w:footnoteReference w:id="36"/>
      </w:r>
      <w:r w:rsidRPr="00D5464D">
        <w:rPr>
          <w:rFonts w:eastAsia="Batang" w:cs="Times"/>
          <w:szCs w:val="24"/>
          <w:lang w:val="pt-BR" w:eastAsia="es-ES"/>
        </w:rPr>
        <w:t xml:space="preserve"> e </w:t>
      </w:r>
      <w:r w:rsidR="00470ADC" w:rsidRPr="00D5464D">
        <w:rPr>
          <w:rFonts w:eastAsia="Batang" w:cs="Times"/>
          <w:szCs w:val="24"/>
          <w:lang w:val="pt-BR" w:eastAsia="es-ES"/>
        </w:rPr>
        <w:t xml:space="preserve">o </w:t>
      </w:r>
      <w:r w:rsidR="00947ED0" w:rsidRPr="00D5464D">
        <w:rPr>
          <w:rFonts w:eastAsia="Batang" w:cs="Times"/>
          <w:szCs w:val="24"/>
          <w:lang w:val="pt-BR" w:eastAsia="es-ES"/>
        </w:rPr>
        <w:t xml:space="preserve">transcurso </w:t>
      </w:r>
      <w:r w:rsidR="00470ADC" w:rsidRPr="00D5464D">
        <w:rPr>
          <w:rFonts w:eastAsia="Batang" w:cs="Times"/>
          <w:szCs w:val="24"/>
          <w:lang w:val="pt-BR" w:eastAsia="es-ES"/>
        </w:rPr>
        <w:t xml:space="preserve">do </w:t>
      </w:r>
      <w:r w:rsidRPr="00D5464D">
        <w:rPr>
          <w:rFonts w:eastAsia="Batang" w:cs="Times"/>
          <w:szCs w:val="24"/>
          <w:lang w:val="pt-BR" w:eastAsia="es-ES"/>
        </w:rPr>
        <w:t>tempo</w:t>
      </w:r>
      <w:r w:rsidR="003C1DF0" w:rsidRPr="00D5464D">
        <w:rPr>
          <w:rFonts w:eastAsia="Batang" w:cs="Times"/>
          <w:szCs w:val="24"/>
          <w:lang w:val="pt-BR" w:eastAsia="es-ES"/>
        </w:rPr>
        <w:t>,</w:t>
      </w:r>
      <w:r w:rsidR="00947ED0" w:rsidRPr="00D5464D">
        <w:rPr>
          <w:rFonts w:eastAsia="Batang" w:cs="Times"/>
          <w:szCs w:val="24"/>
          <w:vertAlign w:val="superscript"/>
          <w:lang w:val="pt-BR" w:eastAsia="es-ES"/>
        </w:rPr>
        <w:footnoteReference w:id="37"/>
      </w:r>
      <w:r w:rsidR="00947ED0" w:rsidRPr="00D5464D">
        <w:rPr>
          <w:rFonts w:eastAsia="Batang" w:cs="Times"/>
          <w:szCs w:val="24"/>
          <w:lang w:val="pt-BR" w:eastAsia="es-ES"/>
        </w:rPr>
        <w:t xml:space="preserve"> </w:t>
      </w:r>
      <w:r w:rsidR="003C1DF0" w:rsidRPr="00D5464D">
        <w:rPr>
          <w:rFonts w:eastAsia="Batang" w:cs="Times"/>
          <w:szCs w:val="24"/>
          <w:lang w:val="pt-BR" w:eastAsia="es-ES"/>
        </w:rPr>
        <w:t xml:space="preserve">bem </w:t>
      </w:r>
      <w:r w:rsidR="00947ED0" w:rsidRPr="00D5464D">
        <w:rPr>
          <w:rFonts w:eastAsia="Batang" w:cs="Times"/>
          <w:szCs w:val="24"/>
          <w:lang w:val="pt-BR" w:eastAsia="es-ES"/>
        </w:rPr>
        <w:t>como características particulares</w:t>
      </w:r>
      <w:r w:rsidR="00470ADC" w:rsidRPr="00D5464D">
        <w:rPr>
          <w:rFonts w:eastAsia="Batang" w:cs="Times"/>
          <w:szCs w:val="24"/>
          <w:lang w:val="pt-BR" w:eastAsia="es-ES"/>
        </w:rPr>
        <w:t xml:space="preserve"> das </w:t>
      </w:r>
      <w:r w:rsidR="002C330E" w:rsidRPr="00D5464D">
        <w:rPr>
          <w:rFonts w:eastAsia="Batang" w:cs="Times"/>
          <w:szCs w:val="24"/>
          <w:lang w:val="pt-BR" w:eastAsia="es-ES"/>
        </w:rPr>
        <w:t>suposta</w:t>
      </w:r>
      <w:r w:rsidR="00947ED0" w:rsidRPr="00D5464D">
        <w:rPr>
          <w:rFonts w:eastAsia="Batang" w:cs="Times"/>
          <w:szCs w:val="24"/>
          <w:lang w:val="pt-BR" w:eastAsia="es-ES"/>
        </w:rPr>
        <w:t xml:space="preserve">s </w:t>
      </w:r>
      <w:r w:rsidRPr="00D5464D">
        <w:rPr>
          <w:rFonts w:eastAsia="Batang" w:cs="Times"/>
          <w:szCs w:val="24"/>
          <w:lang w:val="pt-BR" w:eastAsia="es-ES"/>
        </w:rPr>
        <w:t>vítima</w:t>
      </w:r>
      <w:r w:rsidR="00947ED0" w:rsidRPr="00D5464D">
        <w:rPr>
          <w:rFonts w:eastAsia="Batang" w:cs="Times"/>
          <w:szCs w:val="24"/>
          <w:lang w:val="pt-BR" w:eastAsia="es-ES"/>
        </w:rPr>
        <w:t xml:space="preserve">s </w:t>
      </w:r>
      <w:r w:rsidR="00470ADC" w:rsidRPr="00D5464D">
        <w:rPr>
          <w:rFonts w:eastAsia="Batang" w:cs="Times"/>
          <w:szCs w:val="24"/>
          <w:lang w:val="pt-BR" w:eastAsia="es-ES"/>
        </w:rPr>
        <w:t xml:space="preserve">do </w:t>
      </w:r>
      <w:r w:rsidR="00947ED0" w:rsidRPr="00D5464D">
        <w:rPr>
          <w:rFonts w:eastAsia="Batang" w:cs="Times"/>
          <w:szCs w:val="24"/>
          <w:lang w:val="pt-BR" w:eastAsia="es-ES"/>
        </w:rPr>
        <w:t>caso</w:t>
      </w:r>
      <w:r w:rsidR="00EB1CE9" w:rsidRPr="00D5464D">
        <w:rPr>
          <w:rFonts w:eastAsia="Batang" w:cs="Times"/>
          <w:szCs w:val="24"/>
          <w:lang w:val="pt-BR" w:eastAsia="es-ES"/>
        </w:rPr>
        <w:t xml:space="preserve">, por </w:t>
      </w:r>
      <w:r w:rsidR="00470ADC" w:rsidRPr="00D5464D">
        <w:rPr>
          <w:rFonts w:eastAsia="Batang" w:cs="Times"/>
          <w:szCs w:val="24"/>
          <w:lang w:val="pt-BR" w:eastAsia="es-ES"/>
        </w:rPr>
        <w:t>exemplo</w:t>
      </w:r>
      <w:r w:rsidR="00947ED0" w:rsidRPr="00D5464D">
        <w:rPr>
          <w:rFonts w:eastAsia="Batang" w:cs="Times"/>
          <w:szCs w:val="24"/>
          <w:lang w:val="pt-BR" w:eastAsia="es-ES"/>
        </w:rPr>
        <w:t xml:space="preserve">, </w:t>
      </w:r>
      <w:r w:rsidR="00470ADC" w:rsidRPr="00D5464D">
        <w:rPr>
          <w:rFonts w:eastAsia="Batang" w:cs="Times"/>
          <w:szCs w:val="24"/>
          <w:lang w:val="pt-BR" w:eastAsia="es-ES"/>
        </w:rPr>
        <w:t>quando</w:t>
      </w:r>
      <w:r w:rsidR="00947ED0" w:rsidRPr="00D5464D">
        <w:rPr>
          <w:rFonts w:eastAsia="Batang" w:cs="Times"/>
          <w:szCs w:val="24"/>
          <w:lang w:val="pt-BR" w:eastAsia="es-ES"/>
        </w:rPr>
        <w:t xml:space="preserve"> estas </w:t>
      </w:r>
      <w:r w:rsidR="003C1DF0" w:rsidRPr="00D5464D">
        <w:rPr>
          <w:rFonts w:eastAsia="Batang" w:cs="Times"/>
          <w:szCs w:val="24"/>
          <w:lang w:val="pt-BR" w:eastAsia="es-ES"/>
        </w:rPr>
        <w:t xml:space="preserve">estavam </w:t>
      </w:r>
      <w:r w:rsidR="00BA3497" w:rsidRPr="00D5464D">
        <w:rPr>
          <w:rFonts w:eastAsia="Batang" w:cs="Times"/>
          <w:szCs w:val="24"/>
          <w:lang w:val="pt-BR" w:eastAsia="es-ES"/>
        </w:rPr>
        <w:t>formados por</w:t>
      </w:r>
      <w:r w:rsidR="003C1DF0" w:rsidRPr="00D5464D">
        <w:rPr>
          <w:rFonts w:eastAsia="Batang" w:cs="Times"/>
          <w:szCs w:val="24"/>
          <w:lang w:val="pt-BR" w:eastAsia="es-ES"/>
        </w:rPr>
        <w:t xml:space="preserve"> clãs </w:t>
      </w:r>
      <w:r w:rsidR="00947ED0" w:rsidRPr="00D5464D">
        <w:rPr>
          <w:rFonts w:eastAsia="Batang" w:cs="Times"/>
          <w:szCs w:val="24"/>
          <w:lang w:val="pt-BR" w:eastAsia="es-ES"/>
        </w:rPr>
        <w:t>familiares</w:t>
      </w:r>
      <w:r w:rsidR="00470ADC" w:rsidRPr="00D5464D">
        <w:rPr>
          <w:rFonts w:eastAsia="Batang" w:cs="Times"/>
          <w:szCs w:val="24"/>
          <w:lang w:val="pt-BR" w:eastAsia="es-ES"/>
        </w:rPr>
        <w:t xml:space="preserve"> com </w:t>
      </w:r>
      <w:r w:rsidR="002C330E" w:rsidRPr="00D5464D">
        <w:rPr>
          <w:rFonts w:eastAsia="Batang" w:cs="Times"/>
          <w:szCs w:val="24"/>
          <w:lang w:val="pt-BR" w:eastAsia="es-ES"/>
        </w:rPr>
        <w:t>nome</w:t>
      </w:r>
      <w:r w:rsidR="00947ED0" w:rsidRPr="00D5464D">
        <w:rPr>
          <w:rFonts w:eastAsia="Batang" w:cs="Times"/>
          <w:szCs w:val="24"/>
          <w:lang w:val="pt-BR" w:eastAsia="es-ES"/>
        </w:rPr>
        <w:t>s</w:t>
      </w:r>
      <w:r w:rsidRPr="00D5464D">
        <w:rPr>
          <w:rFonts w:eastAsia="Batang" w:cs="Times"/>
          <w:szCs w:val="24"/>
          <w:lang w:val="pt-BR" w:eastAsia="es-ES"/>
        </w:rPr>
        <w:t xml:space="preserve"> e </w:t>
      </w:r>
      <w:r w:rsidR="003C1DF0" w:rsidRPr="00D5464D">
        <w:rPr>
          <w:rFonts w:eastAsia="Batang" w:cs="Times"/>
          <w:szCs w:val="24"/>
          <w:lang w:val="pt-BR" w:eastAsia="es-ES"/>
        </w:rPr>
        <w:t xml:space="preserve">sobrenomes </w:t>
      </w:r>
      <w:r w:rsidR="00947ED0" w:rsidRPr="00D5464D">
        <w:rPr>
          <w:rFonts w:eastAsia="Batang" w:cs="Times"/>
          <w:szCs w:val="24"/>
          <w:lang w:val="pt-BR" w:eastAsia="es-ES"/>
        </w:rPr>
        <w:t>similares</w:t>
      </w:r>
      <w:r w:rsidR="003C1DF0" w:rsidRPr="00D5464D">
        <w:rPr>
          <w:rFonts w:eastAsia="Batang" w:cs="Times"/>
          <w:szCs w:val="24"/>
          <w:lang w:val="pt-BR" w:eastAsia="es-ES"/>
        </w:rPr>
        <w:t>,</w:t>
      </w:r>
      <w:r w:rsidR="00947ED0" w:rsidRPr="00D5464D">
        <w:rPr>
          <w:rFonts w:eastAsia="Batang" w:cs="Times"/>
          <w:szCs w:val="24"/>
          <w:vertAlign w:val="superscript"/>
          <w:lang w:val="pt-BR" w:eastAsia="es-ES"/>
        </w:rPr>
        <w:footnoteReference w:id="38"/>
      </w:r>
      <w:r w:rsidR="00947ED0" w:rsidRPr="00D5464D">
        <w:rPr>
          <w:rFonts w:eastAsia="Batang" w:cs="Times"/>
          <w:szCs w:val="24"/>
          <w:lang w:val="pt-BR" w:eastAsia="es-ES"/>
        </w:rPr>
        <w:t xml:space="preserve"> o</w:t>
      </w:r>
      <w:r w:rsidR="003C1DF0" w:rsidRPr="00D5464D">
        <w:rPr>
          <w:rFonts w:eastAsia="Batang" w:cs="Times"/>
          <w:szCs w:val="24"/>
          <w:lang w:val="pt-BR" w:eastAsia="es-ES"/>
        </w:rPr>
        <w:t>u</w:t>
      </w:r>
      <w:r w:rsidR="00470ADC" w:rsidRPr="00D5464D">
        <w:rPr>
          <w:rFonts w:eastAsia="Batang" w:cs="Times"/>
          <w:szCs w:val="24"/>
          <w:lang w:val="pt-BR" w:eastAsia="es-ES"/>
        </w:rPr>
        <w:t xml:space="preserve"> </w:t>
      </w:r>
      <w:r w:rsidR="003C1DF0" w:rsidRPr="00D5464D">
        <w:rPr>
          <w:rFonts w:eastAsia="Batang" w:cs="Times"/>
          <w:szCs w:val="24"/>
          <w:lang w:val="pt-BR" w:eastAsia="es-ES"/>
        </w:rPr>
        <w:t xml:space="preserve">no caso </w:t>
      </w:r>
      <w:r w:rsidR="00947ED0" w:rsidRPr="00D5464D">
        <w:rPr>
          <w:rFonts w:eastAsia="Batang" w:cs="Times"/>
          <w:szCs w:val="24"/>
          <w:lang w:val="pt-BR" w:eastAsia="es-ES"/>
        </w:rPr>
        <w:t>de</w:t>
      </w:r>
      <w:r w:rsidR="00C55B2A" w:rsidRPr="00D5464D">
        <w:rPr>
          <w:rFonts w:eastAsia="Batang" w:cs="Times"/>
          <w:szCs w:val="24"/>
          <w:lang w:val="pt-BR" w:eastAsia="es-ES"/>
        </w:rPr>
        <w:t xml:space="preserve"> serem</w:t>
      </w:r>
      <w:r w:rsidR="00947ED0" w:rsidRPr="00D5464D">
        <w:rPr>
          <w:rFonts w:eastAsia="Batang" w:cs="Times"/>
          <w:szCs w:val="24"/>
          <w:lang w:val="pt-BR" w:eastAsia="es-ES"/>
        </w:rPr>
        <w:t xml:space="preserve"> migrantes</w:t>
      </w:r>
      <w:r w:rsidR="003C1DF0" w:rsidRPr="00D5464D">
        <w:rPr>
          <w:rFonts w:eastAsia="Batang" w:cs="Times"/>
          <w:szCs w:val="24"/>
          <w:lang w:val="pt-BR" w:eastAsia="es-ES"/>
        </w:rPr>
        <w:t>.</w:t>
      </w:r>
      <w:r w:rsidR="00947ED0" w:rsidRPr="00D5464D">
        <w:rPr>
          <w:rFonts w:eastAsia="Batang" w:cs="Times"/>
          <w:szCs w:val="24"/>
          <w:vertAlign w:val="superscript"/>
          <w:lang w:val="pt-BR" w:eastAsia="es-ES"/>
        </w:rPr>
        <w:footnoteReference w:id="39"/>
      </w:r>
      <w:r w:rsidR="00947ED0" w:rsidRPr="00D5464D">
        <w:rPr>
          <w:rFonts w:eastAsia="Batang" w:cs="Times"/>
          <w:szCs w:val="24"/>
          <w:lang w:val="pt-BR" w:eastAsia="es-ES"/>
        </w:rPr>
        <w:t xml:space="preserve"> </w:t>
      </w:r>
      <w:r w:rsidR="003C1DF0" w:rsidRPr="00D5464D">
        <w:rPr>
          <w:rFonts w:eastAsia="Batang" w:cs="Times"/>
          <w:szCs w:val="24"/>
          <w:lang w:val="pt-BR" w:eastAsia="es-ES"/>
        </w:rPr>
        <w:t>De igual maneira, a Corte</w:t>
      </w:r>
      <w:r w:rsidR="00947ED0" w:rsidRPr="00D5464D">
        <w:rPr>
          <w:rFonts w:eastAsia="Batang" w:cs="Times"/>
          <w:szCs w:val="24"/>
          <w:lang w:val="pt-BR" w:eastAsia="es-ES"/>
        </w:rPr>
        <w:t xml:space="preserve"> </w:t>
      </w:r>
      <w:r w:rsidR="00737270" w:rsidRPr="00D5464D">
        <w:rPr>
          <w:rFonts w:eastAsia="Batang" w:cs="Times"/>
          <w:szCs w:val="24"/>
          <w:lang w:val="pt-BR" w:eastAsia="es-ES"/>
        </w:rPr>
        <w:t>considerou</w:t>
      </w:r>
      <w:r w:rsidR="002C330E" w:rsidRPr="00D5464D">
        <w:rPr>
          <w:rFonts w:eastAsia="Batang" w:cs="Times"/>
          <w:szCs w:val="24"/>
          <w:lang w:val="pt-BR" w:eastAsia="es-ES"/>
        </w:rPr>
        <w:t xml:space="preserve"> a </w:t>
      </w:r>
      <w:r w:rsidR="00470ADC" w:rsidRPr="00D5464D">
        <w:rPr>
          <w:rFonts w:eastAsia="Batang" w:cs="Times"/>
          <w:szCs w:val="24"/>
          <w:lang w:val="pt-BR" w:eastAsia="es-ES"/>
        </w:rPr>
        <w:t>conduta</w:t>
      </w:r>
      <w:r w:rsidR="00947ED0" w:rsidRPr="00D5464D">
        <w:rPr>
          <w:rFonts w:eastAsia="Batang" w:cs="Times"/>
          <w:szCs w:val="24"/>
          <w:lang w:val="pt-BR" w:eastAsia="es-ES"/>
        </w:rPr>
        <w:t xml:space="preserve"> </w:t>
      </w:r>
      <w:r w:rsidR="00470ADC" w:rsidRPr="00D5464D">
        <w:rPr>
          <w:rFonts w:eastAsia="Batang" w:cs="Times"/>
          <w:szCs w:val="24"/>
          <w:lang w:val="pt-BR" w:eastAsia="es-ES"/>
        </w:rPr>
        <w:t xml:space="preserve">do </w:t>
      </w:r>
      <w:r w:rsidR="00947ED0" w:rsidRPr="00D5464D">
        <w:rPr>
          <w:rFonts w:eastAsia="Batang" w:cs="Times"/>
          <w:szCs w:val="24"/>
          <w:lang w:val="pt-BR" w:eastAsia="es-ES"/>
        </w:rPr>
        <w:t>Estado</w:t>
      </w:r>
      <w:r w:rsidR="00EB1CE9" w:rsidRPr="00D5464D">
        <w:rPr>
          <w:rFonts w:eastAsia="Batang" w:cs="Times"/>
          <w:szCs w:val="24"/>
          <w:lang w:val="pt-BR" w:eastAsia="es-ES"/>
        </w:rPr>
        <w:t xml:space="preserve">, por </w:t>
      </w:r>
      <w:r w:rsidR="00470ADC" w:rsidRPr="00D5464D">
        <w:rPr>
          <w:rFonts w:eastAsia="Batang" w:cs="Times"/>
          <w:szCs w:val="24"/>
          <w:lang w:val="pt-BR" w:eastAsia="es-ES"/>
        </w:rPr>
        <w:t>exemplo</w:t>
      </w:r>
      <w:r w:rsidR="00947ED0" w:rsidRPr="00D5464D">
        <w:rPr>
          <w:rFonts w:eastAsia="Batang" w:cs="Times"/>
          <w:szCs w:val="24"/>
          <w:lang w:val="pt-BR" w:eastAsia="es-ES"/>
        </w:rPr>
        <w:t xml:space="preserve">, </w:t>
      </w:r>
      <w:r w:rsidR="00470ADC" w:rsidRPr="00D5464D">
        <w:rPr>
          <w:rFonts w:eastAsia="Batang" w:cs="Times"/>
          <w:szCs w:val="24"/>
          <w:lang w:val="pt-BR" w:eastAsia="es-ES"/>
        </w:rPr>
        <w:t>quando</w:t>
      </w:r>
      <w:r w:rsidR="00947ED0" w:rsidRPr="00D5464D">
        <w:rPr>
          <w:rFonts w:eastAsia="Batang" w:cs="Times"/>
          <w:szCs w:val="24"/>
          <w:lang w:val="pt-BR" w:eastAsia="es-ES"/>
        </w:rPr>
        <w:t xml:space="preserve"> </w:t>
      </w:r>
      <w:r w:rsidR="00470ADC" w:rsidRPr="00D5464D">
        <w:rPr>
          <w:rFonts w:eastAsia="Batang" w:cs="Times"/>
          <w:szCs w:val="24"/>
          <w:lang w:val="pt-BR" w:eastAsia="es-ES"/>
        </w:rPr>
        <w:t>existem</w:t>
      </w:r>
      <w:r w:rsidR="00947ED0" w:rsidRPr="00D5464D">
        <w:rPr>
          <w:rFonts w:eastAsia="Batang" w:cs="Times"/>
          <w:szCs w:val="24"/>
          <w:lang w:val="pt-BR" w:eastAsia="es-ES"/>
        </w:rPr>
        <w:t xml:space="preserve"> </w:t>
      </w:r>
      <w:r w:rsidR="00470ADC" w:rsidRPr="00D5464D">
        <w:rPr>
          <w:rFonts w:eastAsia="Batang" w:cs="Times"/>
          <w:szCs w:val="24"/>
          <w:lang w:val="pt-BR" w:eastAsia="es-ES"/>
        </w:rPr>
        <w:t>alegações</w:t>
      </w:r>
      <w:r w:rsidR="00947ED0" w:rsidRPr="00D5464D">
        <w:rPr>
          <w:rFonts w:eastAsia="Batang" w:cs="Times"/>
          <w:szCs w:val="24"/>
          <w:lang w:val="pt-BR" w:eastAsia="es-ES"/>
        </w:rPr>
        <w:t xml:space="preserve"> de que</w:t>
      </w:r>
      <w:r w:rsidR="002C330E" w:rsidRPr="00D5464D">
        <w:rPr>
          <w:rFonts w:eastAsia="Batang" w:cs="Times"/>
          <w:szCs w:val="24"/>
          <w:lang w:val="pt-BR" w:eastAsia="es-ES"/>
        </w:rPr>
        <w:t xml:space="preserve"> a </w:t>
      </w:r>
      <w:r w:rsidR="00947ED0" w:rsidRPr="00D5464D">
        <w:rPr>
          <w:rFonts w:eastAsia="Batang" w:cs="Times"/>
          <w:szCs w:val="24"/>
          <w:lang w:val="pt-BR" w:eastAsia="es-ES"/>
        </w:rPr>
        <w:t>falta de investiga</w:t>
      </w:r>
      <w:r w:rsidR="00470ADC" w:rsidRPr="00D5464D">
        <w:rPr>
          <w:rFonts w:eastAsia="Batang" w:cs="Times"/>
          <w:szCs w:val="24"/>
          <w:lang w:val="pt-BR" w:eastAsia="es-ES"/>
        </w:rPr>
        <w:t>ção</w:t>
      </w:r>
      <w:r w:rsidR="00947ED0" w:rsidRPr="00D5464D">
        <w:rPr>
          <w:rFonts w:eastAsia="Batang" w:cs="Times"/>
          <w:szCs w:val="24"/>
          <w:lang w:val="pt-BR" w:eastAsia="es-ES"/>
        </w:rPr>
        <w:t xml:space="preserve"> </w:t>
      </w:r>
      <w:r w:rsidR="00350187" w:rsidRPr="00D5464D">
        <w:rPr>
          <w:rFonts w:eastAsia="Batang" w:cs="Times"/>
          <w:szCs w:val="24"/>
          <w:lang w:val="pt-BR" w:eastAsia="es-ES"/>
        </w:rPr>
        <w:t>contribuiu</w:t>
      </w:r>
      <w:r w:rsidR="00470ADC" w:rsidRPr="00D5464D">
        <w:rPr>
          <w:rFonts w:eastAsia="Batang" w:cs="Times"/>
          <w:szCs w:val="24"/>
          <w:lang w:val="pt-BR" w:eastAsia="es-ES"/>
        </w:rPr>
        <w:t xml:space="preserve"> </w:t>
      </w:r>
      <w:r w:rsidR="003C1DF0" w:rsidRPr="00D5464D">
        <w:rPr>
          <w:rFonts w:eastAsia="Batang" w:cs="Times"/>
          <w:szCs w:val="24"/>
          <w:lang w:val="pt-BR" w:eastAsia="es-ES"/>
        </w:rPr>
        <w:t>para a</w:t>
      </w:r>
      <w:r w:rsidR="00470ADC" w:rsidRPr="00D5464D">
        <w:rPr>
          <w:rFonts w:eastAsia="Batang" w:cs="Times"/>
          <w:szCs w:val="24"/>
          <w:lang w:val="pt-BR" w:eastAsia="es-ES"/>
        </w:rPr>
        <w:t xml:space="preserve"> </w:t>
      </w:r>
      <w:r w:rsidR="00947ED0" w:rsidRPr="00D5464D">
        <w:rPr>
          <w:rFonts w:eastAsia="Batang" w:cs="Times"/>
          <w:szCs w:val="24"/>
          <w:lang w:val="pt-BR" w:eastAsia="es-ES"/>
        </w:rPr>
        <w:t>incompleta identifica</w:t>
      </w:r>
      <w:r w:rsidR="00470ADC" w:rsidRPr="00D5464D">
        <w:rPr>
          <w:rFonts w:eastAsia="Batang" w:cs="Times"/>
          <w:szCs w:val="24"/>
          <w:lang w:val="pt-BR" w:eastAsia="es-ES"/>
        </w:rPr>
        <w:t xml:space="preserve">ção das </w:t>
      </w:r>
      <w:r w:rsidR="002C330E" w:rsidRPr="00D5464D">
        <w:rPr>
          <w:rFonts w:eastAsia="Batang" w:cs="Times"/>
          <w:szCs w:val="24"/>
          <w:lang w:val="pt-BR" w:eastAsia="es-ES"/>
        </w:rPr>
        <w:t>suposta</w:t>
      </w:r>
      <w:r w:rsidR="00947ED0" w:rsidRPr="00D5464D">
        <w:rPr>
          <w:rFonts w:eastAsia="Batang" w:cs="Times"/>
          <w:szCs w:val="24"/>
          <w:lang w:val="pt-BR" w:eastAsia="es-ES"/>
        </w:rPr>
        <w:t xml:space="preserve">s </w:t>
      </w:r>
      <w:r w:rsidRPr="00D5464D">
        <w:rPr>
          <w:rFonts w:eastAsia="Batang" w:cs="Times"/>
          <w:szCs w:val="24"/>
          <w:lang w:val="pt-BR" w:eastAsia="es-ES"/>
        </w:rPr>
        <w:t>vítima</w:t>
      </w:r>
      <w:r w:rsidR="00947ED0" w:rsidRPr="00D5464D">
        <w:rPr>
          <w:rFonts w:eastAsia="Batang" w:cs="Times"/>
          <w:szCs w:val="24"/>
          <w:lang w:val="pt-BR" w:eastAsia="es-ES"/>
        </w:rPr>
        <w:t>s</w:t>
      </w:r>
      <w:r w:rsidR="003C1DF0" w:rsidRPr="00D5464D">
        <w:rPr>
          <w:rFonts w:eastAsia="Batang" w:cs="Times"/>
          <w:szCs w:val="24"/>
          <w:lang w:val="pt-BR" w:eastAsia="es-ES"/>
        </w:rPr>
        <w:t>.</w:t>
      </w:r>
      <w:r w:rsidR="00947ED0" w:rsidRPr="00D5464D">
        <w:rPr>
          <w:rFonts w:eastAsia="Batang" w:cs="Times"/>
          <w:szCs w:val="24"/>
          <w:vertAlign w:val="superscript"/>
          <w:lang w:val="pt-BR" w:eastAsia="es-ES"/>
        </w:rPr>
        <w:footnoteReference w:id="40"/>
      </w:r>
      <w:r w:rsidR="000A52D5" w:rsidRPr="00D5464D">
        <w:rPr>
          <w:rFonts w:eastAsia="Batang" w:cs="Times"/>
          <w:szCs w:val="24"/>
          <w:lang w:val="pt-BR" w:eastAsia="es-ES"/>
        </w:rPr>
        <w:t xml:space="preserve"> </w:t>
      </w:r>
    </w:p>
    <w:p w14:paraId="004B53A0" w14:textId="77777777" w:rsidR="00D65024" w:rsidRPr="00D5464D" w:rsidRDefault="00D65024" w:rsidP="00D65024">
      <w:pPr>
        <w:tabs>
          <w:tab w:val="clear" w:pos="4419"/>
          <w:tab w:val="clear" w:pos="8838"/>
        </w:tabs>
        <w:jc w:val="both"/>
        <w:rPr>
          <w:rFonts w:eastAsia="Batang" w:cs="Times"/>
          <w:szCs w:val="24"/>
          <w:lang w:val="pt-BR" w:eastAsia="es-ES"/>
        </w:rPr>
      </w:pPr>
    </w:p>
    <w:p w14:paraId="4F3F3495" w14:textId="21CE35D6" w:rsidR="000A52D5" w:rsidRPr="00D5464D" w:rsidRDefault="00470AD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A </w:t>
      </w:r>
      <w:r w:rsidR="000A52D5" w:rsidRPr="00D5464D">
        <w:rPr>
          <w:rFonts w:eastAsia="Batang" w:cs="Times"/>
          <w:szCs w:val="24"/>
          <w:lang w:val="pt-BR" w:eastAsia="es-ES"/>
        </w:rPr>
        <w:t>Corte nota que</w:t>
      </w:r>
      <w:r w:rsidR="002C330E" w:rsidRPr="00D5464D">
        <w:rPr>
          <w:rFonts w:eastAsia="Batang" w:cs="Times"/>
          <w:szCs w:val="24"/>
          <w:lang w:val="pt-BR" w:eastAsia="es-ES"/>
        </w:rPr>
        <w:t xml:space="preserve"> a </w:t>
      </w:r>
      <w:r w:rsidRPr="00D5464D">
        <w:rPr>
          <w:rFonts w:eastAsia="Batang" w:cs="Times"/>
          <w:szCs w:val="24"/>
          <w:lang w:val="pt-BR" w:eastAsia="es-ES"/>
        </w:rPr>
        <w:t>Comissão</w:t>
      </w:r>
      <w:r w:rsidR="00D119A4" w:rsidRPr="00D5464D">
        <w:rPr>
          <w:rFonts w:eastAsia="Batang" w:cs="Times"/>
          <w:szCs w:val="24"/>
          <w:lang w:val="pt-BR" w:eastAsia="es-ES"/>
        </w:rPr>
        <w:t xml:space="preserve"> </w:t>
      </w:r>
      <w:r w:rsidR="003C1DF0" w:rsidRPr="00D5464D">
        <w:rPr>
          <w:rFonts w:eastAsia="Batang" w:cs="Times"/>
          <w:szCs w:val="24"/>
          <w:lang w:val="pt-BR" w:eastAsia="es-ES"/>
        </w:rPr>
        <w:t xml:space="preserve">indicou </w:t>
      </w:r>
      <w:r w:rsidRPr="00D5464D">
        <w:rPr>
          <w:rFonts w:eastAsia="Batang" w:cs="Times"/>
          <w:szCs w:val="24"/>
          <w:lang w:val="pt-BR" w:eastAsia="es-ES"/>
        </w:rPr>
        <w:t>em</w:t>
      </w:r>
      <w:r w:rsidR="00E045D9" w:rsidRPr="00D5464D">
        <w:rPr>
          <w:rFonts w:eastAsia="Batang" w:cs="Times"/>
          <w:szCs w:val="24"/>
          <w:lang w:val="pt-BR" w:eastAsia="es-ES"/>
        </w:rPr>
        <w:t xml:space="preserve"> seu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de Mérito</w:t>
      </w:r>
      <w:r w:rsidR="00D119A4" w:rsidRPr="00D5464D">
        <w:rPr>
          <w:rFonts w:eastAsia="Batang" w:cs="Times"/>
          <w:szCs w:val="24"/>
          <w:lang w:val="pt-BR" w:eastAsia="es-ES"/>
        </w:rPr>
        <w:t xml:space="preserve"> que</w:t>
      </w:r>
      <w:r w:rsidR="00350187" w:rsidRPr="00D5464D">
        <w:rPr>
          <w:rFonts w:eastAsia="Batang" w:cs="Times"/>
          <w:szCs w:val="24"/>
          <w:lang w:val="pt-BR" w:eastAsia="es-ES"/>
        </w:rPr>
        <w:t xml:space="preserve"> não conta</w:t>
      </w:r>
      <w:r w:rsidRPr="00D5464D">
        <w:rPr>
          <w:rFonts w:eastAsia="Batang" w:cs="Times"/>
          <w:szCs w:val="24"/>
          <w:lang w:val="pt-BR" w:eastAsia="es-ES"/>
        </w:rPr>
        <w:t xml:space="preserve">va com </w:t>
      </w:r>
      <w:r w:rsidR="00D119A4" w:rsidRPr="00D5464D">
        <w:rPr>
          <w:rFonts w:eastAsia="Batang" w:cs="Times"/>
          <w:szCs w:val="24"/>
          <w:lang w:val="pt-BR" w:eastAsia="es-ES"/>
        </w:rPr>
        <w:t>informa</w:t>
      </w:r>
      <w:r w:rsidRPr="00D5464D">
        <w:rPr>
          <w:rFonts w:eastAsia="Batang" w:cs="Times"/>
          <w:szCs w:val="24"/>
          <w:lang w:val="pt-BR" w:eastAsia="es-ES"/>
        </w:rPr>
        <w:t>ção</w:t>
      </w:r>
      <w:r w:rsidR="00D119A4" w:rsidRPr="00D5464D">
        <w:rPr>
          <w:rFonts w:eastAsia="Batang" w:cs="Times"/>
          <w:szCs w:val="24"/>
          <w:lang w:val="pt-BR" w:eastAsia="es-ES"/>
        </w:rPr>
        <w:t xml:space="preserve"> sobre</w:t>
      </w:r>
      <w:r w:rsidR="002C330E" w:rsidRPr="00D5464D">
        <w:rPr>
          <w:rFonts w:eastAsia="Batang" w:cs="Times"/>
          <w:szCs w:val="24"/>
          <w:lang w:val="pt-BR" w:eastAsia="es-ES"/>
        </w:rPr>
        <w:t xml:space="preserve"> a </w:t>
      </w:r>
      <w:r w:rsidR="00D119A4" w:rsidRPr="00D5464D">
        <w:rPr>
          <w:rFonts w:eastAsia="Batang" w:cs="Times"/>
          <w:szCs w:val="24"/>
          <w:lang w:val="pt-BR" w:eastAsia="es-ES"/>
        </w:rPr>
        <w:t>identifica</w:t>
      </w:r>
      <w:r w:rsidRPr="00D5464D">
        <w:rPr>
          <w:rFonts w:eastAsia="Batang" w:cs="Times"/>
          <w:szCs w:val="24"/>
          <w:lang w:val="pt-BR" w:eastAsia="es-ES"/>
        </w:rPr>
        <w:t xml:space="preserve">ção da </w:t>
      </w:r>
      <w:r w:rsidR="00E045D9" w:rsidRPr="00D5464D">
        <w:rPr>
          <w:rFonts w:eastAsia="Batang" w:cs="Times"/>
          <w:szCs w:val="24"/>
          <w:lang w:val="pt-BR" w:eastAsia="es-ES"/>
        </w:rPr>
        <w:t xml:space="preserve">totalidade </w:t>
      </w:r>
      <w:r w:rsidRPr="00D5464D">
        <w:rPr>
          <w:rFonts w:eastAsia="Batang" w:cs="Times"/>
          <w:szCs w:val="24"/>
          <w:lang w:val="pt-BR" w:eastAsia="es-ES"/>
        </w:rPr>
        <w:t xml:space="preserve">das </w:t>
      </w:r>
      <w:r w:rsidR="00E045D9" w:rsidRPr="00D5464D">
        <w:rPr>
          <w:rFonts w:eastAsia="Batang" w:cs="Times"/>
          <w:szCs w:val="24"/>
          <w:lang w:val="pt-BR" w:eastAsia="es-ES"/>
        </w:rPr>
        <w:t>vítima</w:t>
      </w:r>
      <w:r w:rsidR="00D119A4" w:rsidRPr="00D5464D">
        <w:rPr>
          <w:rFonts w:eastAsia="Batang" w:cs="Times"/>
          <w:szCs w:val="24"/>
          <w:lang w:val="pt-BR" w:eastAsia="es-ES"/>
        </w:rPr>
        <w:t>s.</w:t>
      </w:r>
      <w:r w:rsidRPr="00D5464D">
        <w:rPr>
          <w:rFonts w:eastAsia="Batang" w:cs="Times"/>
          <w:szCs w:val="24"/>
          <w:lang w:val="pt-BR" w:eastAsia="es-ES"/>
        </w:rPr>
        <w:t xml:space="preserve"> </w:t>
      </w:r>
      <w:r w:rsidR="003C1DF0" w:rsidRPr="00D5464D">
        <w:rPr>
          <w:rFonts w:eastAsia="Batang" w:cs="Times"/>
          <w:szCs w:val="24"/>
          <w:lang w:val="pt-BR" w:eastAsia="es-ES"/>
        </w:rPr>
        <w:t>N</w:t>
      </w:r>
      <w:r w:rsidR="00737270" w:rsidRPr="00D5464D">
        <w:rPr>
          <w:rFonts w:eastAsia="Batang" w:cs="Times"/>
          <w:szCs w:val="24"/>
          <w:lang w:val="pt-BR" w:eastAsia="es-ES"/>
        </w:rPr>
        <w:t>esse</w:t>
      </w:r>
      <w:r w:rsidRPr="00D5464D">
        <w:rPr>
          <w:rFonts w:eastAsia="Batang" w:cs="Times"/>
          <w:szCs w:val="24"/>
          <w:lang w:val="pt-BR" w:eastAsia="es-ES"/>
        </w:rPr>
        <w:t xml:space="preserve"> </w:t>
      </w:r>
      <w:r w:rsidR="00D119A4" w:rsidRPr="00D5464D">
        <w:rPr>
          <w:rFonts w:eastAsia="Batang" w:cs="Times"/>
          <w:szCs w:val="24"/>
          <w:lang w:val="pt-BR" w:eastAsia="es-ES"/>
        </w:rPr>
        <w:t>sentido,</w:t>
      </w:r>
      <w:r w:rsidR="002C330E" w:rsidRPr="00D5464D">
        <w:rPr>
          <w:rFonts w:eastAsia="Batang" w:cs="Times"/>
          <w:szCs w:val="24"/>
          <w:lang w:val="pt-BR" w:eastAsia="es-ES"/>
        </w:rPr>
        <w:t xml:space="preserve"> a </w:t>
      </w:r>
      <w:r w:rsidR="00D119A4" w:rsidRPr="00D5464D">
        <w:rPr>
          <w:rFonts w:eastAsia="Batang" w:cs="Times"/>
          <w:szCs w:val="24"/>
          <w:lang w:val="pt-BR" w:eastAsia="es-ES"/>
        </w:rPr>
        <w:t>Corte considera que</w:t>
      </w:r>
      <w:r w:rsidR="002C330E" w:rsidRPr="00D5464D">
        <w:rPr>
          <w:rFonts w:eastAsia="Batang" w:cs="Times"/>
          <w:szCs w:val="24"/>
          <w:lang w:val="pt-BR" w:eastAsia="es-ES"/>
        </w:rPr>
        <w:t xml:space="preserve"> os </w:t>
      </w:r>
      <w:r w:rsidR="000A52D5" w:rsidRPr="00D5464D">
        <w:rPr>
          <w:rFonts w:eastAsia="Batang" w:cs="Times"/>
          <w:szCs w:val="24"/>
          <w:lang w:val="pt-BR" w:eastAsia="es-ES"/>
        </w:rPr>
        <w:t xml:space="preserve">problemas </w:t>
      </w:r>
      <w:r w:rsidR="003C1DF0" w:rsidRPr="00D5464D">
        <w:rPr>
          <w:rFonts w:eastAsia="Batang" w:cs="Times"/>
          <w:szCs w:val="24"/>
          <w:lang w:val="pt-BR" w:eastAsia="es-ES"/>
        </w:rPr>
        <w:t xml:space="preserve">mencionados </w:t>
      </w:r>
      <w:r w:rsidR="002C330E" w:rsidRPr="00D5464D">
        <w:rPr>
          <w:rFonts w:eastAsia="Batang" w:cs="Times"/>
          <w:szCs w:val="24"/>
          <w:lang w:val="pt-BR" w:eastAsia="es-ES"/>
        </w:rPr>
        <w:t>a respeito</w:t>
      </w:r>
      <w:r w:rsidRPr="00D5464D">
        <w:rPr>
          <w:rFonts w:eastAsia="Batang" w:cs="Times"/>
          <w:szCs w:val="24"/>
          <w:lang w:val="pt-BR" w:eastAsia="es-ES"/>
        </w:rPr>
        <w:t xml:space="preserve"> da </w:t>
      </w:r>
      <w:r w:rsidR="000A52D5" w:rsidRPr="00D5464D">
        <w:rPr>
          <w:rFonts w:eastAsia="Batang" w:cs="Times"/>
          <w:szCs w:val="24"/>
          <w:lang w:val="pt-BR" w:eastAsia="es-ES"/>
        </w:rPr>
        <w:t>identifica</w:t>
      </w:r>
      <w:r w:rsidRPr="00D5464D">
        <w:rPr>
          <w:rFonts w:eastAsia="Batang" w:cs="Times"/>
          <w:szCs w:val="24"/>
          <w:lang w:val="pt-BR" w:eastAsia="es-ES"/>
        </w:rPr>
        <w:t xml:space="preserve">ção da </w:t>
      </w:r>
      <w:r w:rsidR="002C330E" w:rsidRPr="00D5464D">
        <w:rPr>
          <w:rFonts w:eastAsia="Batang" w:cs="Times"/>
          <w:szCs w:val="24"/>
          <w:lang w:val="pt-BR" w:eastAsia="es-ES"/>
        </w:rPr>
        <w:t>suposta</w:t>
      </w:r>
      <w:r w:rsidR="000A52D5" w:rsidRPr="00D5464D">
        <w:rPr>
          <w:rFonts w:eastAsia="Batang" w:cs="Times"/>
          <w:szCs w:val="24"/>
          <w:lang w:val="pt-BR" w:eastAsia="es-ES"/>
        </w:rPr>
        <w:t xml:space="preserve">s </w:t>
      </w:r>
      <w:r w:rsidR="00E045D9" w:rsidRPr="00D5464D">
        <w:rPr>
          <w:rFonts w:eastAsia="Batang" w:cs="Times"/>
          <w:szCs w:val="24"/>
          <w:lang w:val="pt-BR" w:eastAsia="es-ES"/>
        </w:rPr>
        <w:t>vítima</w:t>
      </w:r>
      <w:r w:rsidR="000A52D5" w:rsidRPr="00D5464D">
        <w:rPr>
          <w:rFonts w:eastAsia="Batang" w:cs="Times"/>
          <w:szCs w:val="24"/>
          <w:lang w:val="pt-BR" w:eastAsia="es-ES"/>
        </w:rPr>
        <w:t>s</w:t>
      </w:r>
      <w:r w:rsidRPr="00D5464D">
        <w:rPr>
          <w:rFonts w:eastAsia="Batang" w:cs="Times"/>
          <w:szCs w:val="24"/>
          <w:lang w:val="pt-BR" w:eastAsia="es-ES"/>
        </w:rPr>
        <w:t xml:space="preserve"> em </w:t>
      </w:r>
      <w:r w:rsidR="007E1185" w:rsidRPr="00D5464D">
        <w:rPr>
          <w:rFonts w:eastAsia="Batang" w:cs="Times"/>
          <w:szCs w:val="24"/>
          <w:lang w:val="pt-BR" w:eastAsia="es-ES"/>
        </w:rPr>
        <w:t>casos de viola</w:t>
      </w:r>
      <w:r w:rsidRPr="00D5464D">
        <w:rPr>
          <w:rFonts w:eastAsia="Batang" w:cs="Times"/>
          <w:szCs w:val="24"/>
          <w:lang w:val="pt-BR" w:eastAsia="es-ES"/>
        </w:rPr>
        <w:t>ções</w:t>
      </w:r>
      <w:r w:rsidR="007E1185" w:rsidRPr="00D5464D">
        <w:rPr>
          <w:rFonts w:eastAsia="Batang" w:cs="Times"/>
          <w:szCs w:val="24"/>
          <w:lang w:val="pt-BR" w:eastAsia="es-ES"/>
        </w:rPr>
        <w:t xml:space="preserve"> </w:t>
      </w:r>
      <w:r w:rsidRPr="00D5464D">
        <w:rPr>
          <w:rFonts w:eastAsia="Batang" w:cs="Times"/>
          <w:szCs w:val="24"/>
          <w:lang w:val="pt-BR" w:eastAsia="es-ES"/>
        </w:rPr>
        <w:t>coletiv</w:t>
      </w:r>
      <w:r w:rsidR="007E1185" w:rsidRPr="00D5464D">
        <w:rPr>
          <w:rFonts w:eastAsia="Batang" w:cs="Times"/>
          <w:szCs w:val="24"/>
          <w:lang w:val="pt-BR" w:eastAsia="es-ES"/>
        </w:rPr>
        <w:t xml:space="preserve">as, de </w:t>
      </w:r>
      <w:r w:rsidRPr="00D5464D">
        <w:rPr>
          <w:rFonts w:eastAsia="Batang" w:cs="Times"/>
          <w:szCs w:val="24"/>
          <w:lang w:val="pt-BR" w:eastAsia="es-ES"/>
        </w:rPr>
        <w:t xml:space="preserve">acordo </w:t>
      </w:r>
      <w:r w:rsidR="003C1DF0" w:rsidRPr="00D5464D">
        <w:rPr>
          <w:rFonts w:eastAsia="Batang" w:cs="Times"/>
          <w:szCs w:val="24"/>
          <w:lang w:val="pt-BR" w:eastAsia="es-ES"/>
        </w:rPr>
        <w:t xml:space="preserve">com </w:t>
      </w:r>
      <w:r w:rsidRPr="00D5464D">
        <w:rPr>
          <w:rFonts w:eastAsia="Batang" w:cs="Times"/>
          <w:szCs w:val="24"/>
          <w:lang w:val="pt-BR" w:eastAsia="es-ES"/>
        </w:rPr>
        <w:t>o conteúdo</w:t>
      </w:r>
      <w:r w:rsidR="00E045D9" w:rsidRPr="00D5464D">
        <w:rPr>
          <w:rFonts w:eastAsia="Batang" w:cs="Times"/>
          <w:szCs w:val="24"/>
          <w:lang w:val="pt-BR" w:eastAsia="es-ES"/>
        </w:rPr>
        <w:t xml:space="preserve"> no </w:t>
      </w:r>
      <w:r w:rsidRPr="00D5464D">
        <w:rPr>
          <w:rFonts w:eastAsia="Batang" w:cs="Times"/>
          <w:szCs w:val="24"/>
          <w:lang w:val="pt-BR" w:eastAsia="es-ES"/>
        </w:rPr>
        <w:t>artigo</w:t>
      </w:r>
      <w:r w:rsidR="007E1185" w:rsidRPr="00D5464D">
        <w:rPr>
          <w:rFonts w:eastAsia="Batang" w:cs="Times"/>
          <w:szCs w:val="24"/>
          <w:lang w:val="pt-BR" w:eastAsia="es-ES"/>
        </w:rPr>
        <w:t xml:space="preserve"> 35.2 </w:t>
      </w:r>
      <w:r w:rsidRPr="00D5464D">
        <w:rPr>
          <w:rFonts w:eastAsia="Batang" w:cs="Times"/>
          <w:szCs w:val="24"/>
          <w:lang w:val="pt-BR" w:eastAsia="es-ES"/>
        </w:rPr>
        <w:t xml:space="preserve">do </w:t>
      </w:r>
      <w:r w:rsidR="002C330E" w:rsidRPr="00D5464D">
        <w:rPr>
          <w:rFonts w:eastAsia="Batang" w:cs="Times"/>
          <w:szCs w:val="24"/>
          <w:lang w:val="pt-BR" w:eastAsia="es-ES"/>
        </w:rPr>
        <w:t>Regulamento</w:t>
      </w:r>
      <w:r w:rsidR="007E1185" w:rsidRPr="00D5464D">
        <w:rPr>
          <w:rFonts w:eastAsia="Batang" w:cs="Times"/>
          <w:szCs w:val="24"/>
          <w:lang w:val="pt-BR" w:eastAsia="es-ES"/>
        </w:rPr>
        <w:t xml:space="preserve">, </w:t>
      </w:r>
      <w:r w:rsidR="00230C71" w:rsidRPr="00D5464D">
        <w:rPr>
          <w:rFonts w:eastAsia="Batang" w:cs="Times"/>
          <w:szCs w:val="24"/>
          <w:lang w:val="pt-BR" w:eastAsia="es-ES"/>
        </w:rPr>
        <w:t xml:space="preserve">podem </w:t>
      </w:r>
      <w:r w:rsidR="003C1DF0" w:rsidRPr="00D5464D">
        <w:rPr>
          <w:rFonts w:eastAsia="Batang" w:cs="Times"/>
          <w:szCs w:val="24"/>
          <w:lang w:val="pt-BR" w:eastAsia="es-ES"/>
        </w:rPr>
        <w:t>ser compreendidos</w:t>
      </w:r>
      <w:r w:rsidR="00D119A4" w:rsidRPr="00D5464D">
        <w:rPr>
          <w:rFonts w:eastAsia="Batang" w:cs="Times"/>
          <w:szCs w:val="24"/>
          <w:lang w:val="pt-BR" w:eastAsia="es-ES"/>
        </w:rPr>
        <w:t>,</w:t>
      </w:r>
      <w:r w:rsidR="00E045D9" w:rsidRPr="00D5464D">
        <w:rPr>
          <w:rFonts w:eastAsia="Batang" w:cs="Times"/>
          <w:szCs w:val="24"/>
          <w:lang w:val="pt-BR" w:eastAsia="es-ES"/>
        </w:rPr>
        <w:t xml:space="preserve"> no </w:t>
      </w:r>
      <w:r w:rsidR="007E1185" w:rsidRPr="00D5464D">
        <w:rPr>
          <w:rFonts w:eastAsia="Batang" w:cs="Times"/>
          <w:szCs w:val="24"/>
          <w:lang w:val="pt-BR" w:eastAsia="es-ES"/>
        </w:rPr>
        <w:t>presente caso</w:t>
      </w:r>
      <w:r w:rsidR="00D119A4" w:rsidRPr="00D5464D">
        <w:rPr>
          <w:rFonts w:eastAsia="Batang" w:cs="Times"/>
          <w:szCs w:val="24"/>
          <w:lang w:val="pt-BR" w:eastAsia="es-ES"/>
        </w:rPr>
        <w:t>,</w:t>
      </w:r>
      <w:r w:rsidRPr="00D5464D">
        <w:rPr>
          <w:rFonts w:eastAsia="Batang" w:cs="Times"/>
          <w:szCs w:val="24"/>
          <w:lang w:val="pt-BR" w:eastAsia="es-ES"/>
        </w:rPr>
        <w:t xml:space="preserve"> em </w:t>
      </w:r>
      <w:r w:rsidR="002C330E" w:rsidRPr="00D5464D">
        <w:rPr>
          <w:rFonts w:eastAsia="Batang" w:cs="Times"/>
          <w:szCs w:val="24"/>
          <w:lang w:val="pt-BR" w:eastAsia="es-ES"/>
        </w:rPr>
        <w:t>razão</w:t>
      </w:r>
      <w:r w:rsidR="000A52D5" w:rsidRPr="00D5464D">
        <w:rPr>
          <w:rFonts w:eastAsia="Batang" w:cs="Times"/>
          <w:szCs w:val="24"/>
          <w:lang w:val="pt-BR" w:eastAsia="es-ES"/>
        </w:rPr>
        <w:t xml:space="preserve"> de: i)</w:t>
      </w:r>
      <w:r w:rsidRPr="00D5464D">
        <w:rPr>
          <w:rFonts w:eastAsia="Batang" w:cs="Times"/>
          <w:szCs w:val="24"/>
          <w:lang w:val="pt-BR" w:eastAsia="es-ES"/>
        </w:rPr>
        <w:t xml:space="preserve"> o </w:t>
      </w:r>
      <w:r w:rsidR="000A52D5" w:rsidRPr="00D5464D">
        <w:rPr>
          <w:rFonts w:eastAsia="Batang" w:cs="Times"/>
          <w:szCs w:val="24"/>
          <w:lang w:val="pt-BR" w:eastAsia="es-ES"/>
        </w:rPr>
        <w:t xml:space="preserve">contexto </w:t>
      </w:r>
      <w:r w:rsidRPr="00D5464D">
        <w:rPr>
          <w:rFonts w:eastAsia="Batang" w:cs="Times"/>
          <w:szCs w:val="24"/>
          <w:lang w:val="pt-BR" w:eastAsia="es-ES"/>
        </w:rPr>
        <w:t xml:space="preserve">do </w:t>
      </w:r>
      <w:r w:rsidR="00C278B7" w:rsidRPr="00D5464D">
        <w:rPr>
          <w:rFonts w:eastAsia="Batang" w:cs="Times"/>
          <w:szCs w:val="24"/>
          <w:lang w:val="pt-BR" w:eastAsia="es-ES"/>
        </w:rPr>
        <w:t xml:space="preserve">caso; </w:t>
      </w:r>
      <w:r w:rsidR="000A52D5" w:rsidRPr="00D5464D">
        <w:rPr>
          <w:rFonts w:eastAsia="Batang" w:cs="Times"/>
          <w:szCs w:val="24"/>
          <w:lang w:val="pt-BR" w:eastAsia="es-ES"/>
        </w:rPr>
        <w:t>ii)</w:t>
      </w:r>
      <w:r w:rsidRPr="00D5464D">
        <w:rPr>
          <w:rFonts w:eastAsia="Batang" w:cs="Times"/>
          <w:szCs w:val="24"/>
          <w:lang w:val="pt-BR" w:eastAsia="es-ES"/>
        </w:rPr>
        <w:t xml:space="preserve"> o </w:t>
      </w:r>
      <w:r w:rsidR="00E045D9" w:rsidRPr="00D5464D">
        <w:rPr>
          <w:rFonts w:eastAsia="Batang" w:cs="Times"/>
          <w:szCs w:val="24"/>
          <w:lang w:val="pt-BR" w:eastAsia="es-ES"/>
        </w:rPr>
        <w:t>tempo</w:t>
      </w:r>
      <w:r w:rsidR="000A52D5" w:rsidRPr="00D5464D">
        <w:rPr>
          <w:rFonts w:eastAsia="Batang" w:cs="Times"/>
          <w:szCs w:val="24"/>
          <w:lang w:val="pt-BR" w:eastAsia="es-ES"/>
        </w:rPr>
        <w:t xml:space="preserve"> de 20 </w:t>
      </w:r>
      <w:r w:rsidRPr="00D5464D">
        <w:rPr>
          <w:rFonts w:eastAsia="Batang" w:cs="Times"/>
          <w:szCs w:val="24"/>
          <w:lang w:val="pt-BR" w:eastAsia="es-ES"/>
        </w:rPr>
        <w:t>anos</w:t>
      </w:r>
      <w:r w:rsidR="000A52D5" w:rsidRPr="00D5464D">
        <w:rPr>
          <w:rFonts w:eastAsia="Batang" w:cs="Times"/>
          <w:szCs w:val="24"/>
          <w:lang w:val="pt-BR" w:eastAsia="es-ES"/>
        </w:rPr>
        <w:t xml:space="preserve"> </w:t>
      </w:r>
      <w:r w:rsidR="00A1358C" w:rsidRPr="00D5464D">
        <w:rPr>
          <w:rFonts w:eastAsia="Batang" w:cs="Times"/>
          <w:szCs w:val="24"/>
          <w:lang w:val="pt-BR" w:eastAsia="es-ES"/>
        </w:rPr>
        <w:t>transcorrido</w:t>
      </w:r>
      <w:r w:rsidR="003C1DF0" w:rsidRPr="00D5464D">
        <w:rPr>
          <w:rFonts w:eastAsia="Batang" w:cs="Times"/>
          <w:szCs w:val="24"/>
          <w:lang w:val="pt-BR" w:eastAsia="es-ES"/>
        </w:rPr>
        <w:t>s</w:t>
      </w:r>
      <w:r w:rsidR="000A52D5" w:rsidRPr="00D5464D">
        <w:rPr>
          <w:rFonts w:eastAsia="Batang" w:cs="Times"/>
          <w:szCs w:val="24"/>
          <w:lang w:val="pt-BR" w:eastAsia="es-ES"/>
        </w:rPr>
        <w:t>; i</w:t>
      </w:r>
      <w:r w:rsidR="007E1185" w:rsidRPr="00D5464D">
        <w:rPr>
          <w:rFonts w:eastAsia="Batang" w:cs="Times"/>
          <w:szCs w:val="24"/>
          <w:lang w:val="pt-BR" w:eastAsia="es-ES"/>
        </w:rPr>
        <w:t>ii</w:t>
      </w:r>
      <w:r w:rsidR="000A52D5" w:rsidRPr="00D5464D">
        <w:rPr>
          <w:rFonts w:eastAsia="Batang" w:cs="Times"/>
          <w:szCs w:val="24"/>
          <w:lang w:val="pt-BR" w:eastAsia="es-ES"/>
        </w:rPr>
        <w:t>)</w:t>
      </w:r>
      <w:r w:rsidR="002C330E" w:rsidRPr="00D5464D">
        <w:rPr>
          <w:rFonts w:eastAsia="Batang" w:cs="Times"/>
          <w:szCs w:val="24"/>
          <w:lang w:val="pt-BR" w:eastAsia="es-ES"/>
        </w:rPr>
        <w:t xml:space="preserve"> a </w:t>
      </w:r>
      <w:r w:rsidR="00230C71" w:rsidRPr="00D5464D">
        <w:rPr>
          <w:rFonts w:eastAsia="Batang" w:cs="Times"/>
          <w:szCs w:val="24"/>
          <w:lang w:val="pt-BR" w:eastAsia="es-ES"/>
        </w:rPr>
        <w:t>dificuldade</w:t>
      </w:r>
      <w:r w:rsidR="000A52D5" w:rsidRPr="00D5464D">
        <w:rPr>
          <w:rFonts w:eastAsia="Batang" w:cs="Times"/>
          <w:szCs w:val="24"/>
          <w:lang w:val="pt-BR" w:eastAsia="es-ES"/>
        </w:rPr>
        <w:t xml:space="preserve"> para </w:t>
      </w:r>
      <w:r w:rsidR="00BC7B3C" w:rsidRPr="00D5464D">
        <w:rPr>
          <w:rFonts w:eastAsia="Batang" w:cs="Times"/>
          <w:szCs w:val="24"/>
          <w:lang w:val="pt-BR" w:eastAsia="es-ES"/>
        </w:rPr>
        <w:t>contatar</w:t>
      </w:r>
      <w:r w:rsidR="00E045D9" w:rsidRPr="00D5464D">
        <w:rPr>
          <w:rFonts w:eastAsia="Batang" w:cs="Times"/>
          <w:szCs w:val="24"/>
          <w:lang w:val="pt-BR" w:eastAsia="es-ES"/>
        </w:rPr>
        <w:t xml:space="preserve"> </w:t>
      </w:r>
      <w:r w:rsidR="00CE5014" w:rsidRPr="00D5464D">
        <w:rPr>
          <w:rFonts w:eastAsia="Batang" w:cs="Times"/>
          <w:szCs w:val="24"/>
          <w:lang w:val="pt-BR" w:eastAsia="es-ES"/>
        </w:rPr>
        <w:t xml:space="preserve">as </w:t>
      </w:r>
      <w:r w:rsidR="002C330E" w:rsidRPr="00D5464D">
        <w:rPr>
          <w:rFonts w:eastAsia="Batang" w:cs="Times"/>
          <w:szCs w:val="24"/>
          <w:lang w:val="pt-BR" w:eastAsia="es-ES"/>
        </w:rPr>
        <w:t>suposta</w:t>
      </w:r>
      <w:r w:rsidR="000A52D5" w:rsidRPr="00D5464D">
        <w:rPr>
          <w:rFonts w:eastAsia="Batang" w:cs="Times"/>
          <w:szCs w:val="24"/>
          <w:lang w:val="pt-BR" w:eastAsia="es-ES"/>
        </w:rPr>
        <w:t xml:space="preserve">s </w:t>
      </w:r>
      <w:r w:rsidR="00E045D9" w:rsidRPr="00D5464D">
        <w:rPr>
          <w:rFonts w:eastAsia="Batang" w:cs="Times"/>
          <w:szCs w:val="24"/>
          <w:lang w:val="pt-BR" w:eastAsia="es-ES"/>
        </w:rPr>
        <w:t>vítima</w:t>
      </w:r>
      <w:r w:rsidR="000A52D5" w:rsidRPr="00D5464D">
        <w:rPr>
          <w:rFonts w:eastAsia="Batang" w:cs="Times"/>
          <w:szCs w:val="24"/>
          <w:lang w:val="pt-BR" w:eastAsia="es-ES"/>
        </w:rPr>
        <w:t xml:space="preserve">s </w:t>
      </w:r>
      <w:r w:rsidR="003C1DF0" w:rsidRPr="00D5464D">
        <w:rPr>
          <w:rFonts w:eastAsia="Batang" w:cs="Times"/>
          <w:szCs w:val="24"/>
          <w:lang w:val="pt-BR" w:eastAsia="es-ES"/>
        </w:rPr>
        <w:t xml:space="preserve">em virtude de </w:t>
      </w:r>
      <w:r w:rsidR="00A1358C" w:rsidRPr="00D5464D">
        <w:rPr>
          <w:rFonts w:eastAsia="Batang" w:cs="Times"/>
          <w:szCs w:val="24"/>
          <w:lang w:val="pt-BR" w:eastAsia="es-ES"/>
        </w:rPr>
        <w:t>sua condição</w:t>
      </w:r>
      <w:r w:rsidR="000A52D5" w:rsidRPr="00D5464D">
        <w:rPr>
          <w:rFonts w:eastAsia="Batang" w:cs="Times"/>
          <w:szCs w:val="24"/>
          <w:lang w:val="pt-BR" w:eastAsia="es-ES"/>
        </w:rPr>
        <w:t xml:space="preserve"> de </w:t>
      </w:r>
      <w:r w:rsidRPr="00D5464D">
        <w:rPr>
          <w:rFonts w:eastAsia="Batang" w:cs="Times"/>
          <w:szCs w:val="24"/>
          <w:lang w:val="pt-BR" w:eastAsia="es-ES"/>
        </w:rPr>
        <w:t>exclusão</w:t>
      </w:r>
      <w:r w:rsidR="00E045D9" w:rsidRPr="00D5464D">
        <w:rPr>
          <w:rFonts w:eastAsia="Batang" w:cs="Times"/>
          <w:szCs w:val="24"/>
          <w:lang w:val="pt-BR" w:eastAsia="es-ES"/>
        </w:rPr>
        <w:t xml:space="preserve"> e </w:t>
      </w:r>
      <w:r w:rsidR="00BA3497" w:rsidRPr="00D5464D">
        <w:rPr>
          <w:rFonts w:eastAsia="Batang" w:cs="Times"/>
          <w:szCs w:val="24"/>
          <w:lang w:val="pt-BR" w:eastAsia="es-ES"/>
        </w:rPr>
        <w:t>vulnerabilidade</w:t>
      </w:r>
      <w:r w:rsidRPr="00D5464D">
        <w:rPr>
          <w:rFonts w:eastAsia="Batang" w:cs="Times"/>
          <w:szCs w:val="24"/>
          <w:lang w:val="pt-BR" w:eastAsia="es-ES"/>
        </w:rPr>
        <w:t xml:space="preserve"> e</w:t>
      </w:r>
      <w:r w:rsidR="000A52D5" w:rsidRPr="00D5464D">
        <w:rPr>
          <w:rFonts w:eastAsia="Batang" w:cs="Times"/>
          <w:szCs w:val="24"/>
          <w:lang w:val="pt-BR" w:eastAsia="es-ES"/>
        </w:rPr>
        <w:t xml:space="preserve"> </w:t>
      </w:r>
      <w:r w:rsidR="007E1185" w:rsidRPr="00D5464D">
        <w:rPr>
          <w:rFonts w:eastAsia="Batang" w:cs="Times"/>
          <w:szCs w:val="24"/>
          <w:lang w:val="pt-BR" w:eastAsia="es-ES"/>
        </w:rPr>
        <w:t>i</w:t>
      </w:r>
      <w:r w:rsidR="000A52D5" w:rsidRPr="00D5464D">
        <w:rPr>
          <w:rFonts w:eastAsia="Batang" w:cs="Times"/>
          <w:szCs w:val="24"/>
          <w:lang w:val="pt-BR" w:eastAsia="es-ES"/>
        </w:rPr>
        <w:t xml:space="preserve">v) </w:t>
      </w:r>
      <w:r w:rsidRPr="00D5464D">
        <w:rPr>
          <w:rFonts w:eastAsia="Batang" w:cs="Times"/>
          <w:szCs w:val="24"/>
          <w:lang w:val="pt-BR" w:eastAsia="es-ES"/>
        </w:rPr>
        <w:t>alguns atos</w:t>
      </w:r>
      <w:r w:rsidR="000A52D5" w:rsidRPr="00D5464D">
        <w:rPr>
          <w:rFonts w:eastAsia="Batang" w:cs="Times"/>
          <w:szCs w:val="24"/>
          <w:lang w:val="pt-BR" w:eastAsia="es-ES"/>
        </w:rPr>
        <w:t xml:space="preserve"> de o</w:t>
      </w:r>
      <w:r w:rsidR="002C330E" w:rsidRPr="00D5464D">
        <w:rPr>
          <w:rFonts w:eastAsia="Batang" w:cs="Times"/>
          <w:szCs w:val="24"/>
          <w:lang w:val="pt-BR" w:eastAsia="es-ES"/>
        </w:rPr>
        <w:t>missão</w:t>
      </w:r>
      <w:r w:rsidR="000A52D5" w:rsidRPr="00D5464D">
        <w:rPr>
          <w:rFonts w:eastAsia="Batang" w:cs="Times"/>
          <w:szCs w:val="24"/>
          <w:lang w:val="pt-BR" w:eastAsia="es-ES"/>
        </w:rPr>
        <w:t xml:space="preserve"> de registro atribu</w:t>
      </w:r>
      <w:r w:rsidR="002C330E" w:rsidRPr="00D5464D">
        <w:rPr>
          <w:rFonts w:eastAsia="Batang" w:cs="Times"/>
          <w:szCs w:val="24"/>
          <w:lang w:val="pt-BR" w:eastAsia="es-ES"/>
        </w:rPr>
        <w:t xml:space="preserve">íveis </w:t>
      </w:r>
      <w:r w:rsidRPr="00D5464D">
        <w:rPr>
          <w:rFonts w:eastAsia="Batang" w:cs="Times"/>
          <w:szCs w:val="24"/>
          <w:lang w:val="pt-BR" w:eastAsia="es-ES"/>
        </w:rPr>
        <w:t xml:space="preserve">ao </w:t>
      </w:r>
      <w:r w:rsidR="000A52D5" w:rsidRPr="00D5464D">
        <w:rPr>
          <w:rFonts w:eastAsia="Batang" w:cs="Times"/>
          <w:szCs w:val="24"/>
          <w:lang w:val="pt-BR" w:eastAsia="es-ES"/>
        </w:rPr>
        <w:t xml:space="preserve">Estado. </w:t>
      </w:r>
    </w:p>
    <w:p w14:paraId="7F8A9BCA" w14:textId="77777777" w:rsidR="00D65024" w:rsidRPr="00D5464D" w:rsidRDefault="00D65024" w:rsidP="00D65024">
      <w:pPr>
        <w:tabs>
          <w:tab w:val="clear" w:pos="4419"/>
          <w:tab w:val="clear" w:pos="8838"/>
        </w:tabs>
        <w:jc w:val="both"/>
        <w:rPr>
          <w:rFonts w:eastAsia="Batang" w:cs="Times"/>
          <w:szCs w:val="24"/>
          <w:lang w:val="pt-BR" w:eastAsia="es-ES"/>
        </w:rPr>
      </w:pPr>
    </w:p>
    <w:p w14:paraId="5F743434" w14:textId="67B9500C" w:rsidR="00834C2B" w:rsidRPr="00D5464D" w:rsidRDefault="00470ADC" w:rsidP="00834C2B">
      <w:pPr>
        <w:numPr>
          <w:ilvl w:val="0"/>
          <w:numId w:val="1"/>
        </w:numPr>
        <w:tabs>
          <w:tab w:val="clear" w:pos="4419"/>
          <w:tab w:val="clear" w:pos="8838"/>
        </w:tabs>
        <w:jc w:val="both"/>
        <w:rPr>
          <w:rFonts w:eastAsia="Batang" w:cs="Times"/>
          <w:i/>
          <w:szCs w:val="24"/>
          <w:lang w:val="pt-BR" w:eastAsia="es-ES"/>
        </w:rPr>
      </w:pPr>
      <w:r w:rsidRPr="00D5464D">
        <w:rPr>
          <w:rFonts w:eastAsia="Batang" w:cs="Times"/>
          <w:szCs w:val="24"/>
          <w:lang w:val="pt-BR" w:eastAsia="es-ES"/>
        </w:rPr>
        <w:t xml:space="preserve">A </w:t>
      </w:r>
      <w:r w:rsidR="000A52D5" w:rsidRPr="00D5464D">
        <w:rPr>
          <w:rFonts w:eastAsia="Batang" w:cs="Times"/>
          <w:szCs w:val="24"/>
          <w:lang w:val="pt-BR" w:eastAsia="es-ES"/>
        </w:rPr>
        <w:t>Corte considera que</w:t>
      </w:r>
      <w:r w:rsidR="002C330E" w:rsidRPr="00D5464D">
        <w:rPr>
          <w:rFonts w:eastAsia="Batang" w:cs="Times"/>
          <w:szCs w:val="24"/>
          <w:lang w:val="pt-BR" w:eastAsia="es-ES"/>
        </w:rPr>
        <w:t xml:space="preserve"> as </w:t>
      </w:r>
      <w:r w:rsidR="000A52D5" w:rsidRPr="00D5464D">
        <w:rPr>
          <w:rFonts w:eastAsia="Batang" w:cs="Times"/>
          <w:szCs w:val="24"/>
          <w:lang w:val="pt-BR" w:eastAsia="es-ES"/>
        </w:rPr>
        <w:t xml:space="preserve">características específicas </w:t>
      </w:r>
      <w:r w:rsidRPr="00D5464D">
        <w:rPr>
          <w:rFonts w:eastAsia="Batang" w:cs="Times"/>
          <w:szCs w:val="24"/>
          <w:lang w:val="pt-BR" w:eastAsia="es-ES"/>
        </w:rPr>
        <w:t xml:space="preserve">do </w:t>
      </w:r>
      <w:r w:rsidR="000A52D5" w:rsidRPr="00D5464D">
        <w:rPr>
          <w:rFonts w:eastAsia="Batang" w:cs="Times"/>
          <w:szCs w:val="24"/>
          <w:lang w:val="pt-BR" w:eastAsia="es-ES"/>
        </w:rPr>
        <w:t xml:space="preserve">presente </w:t>
      </w:r>
      <w:r w:rsidRPr="00D5464D">
        <w:rPr>
          <w:rFonts w:eastAsia="Batang" w:cs="Times"/>
          <w:szCs w:val="24"/>
          <w:lang w:val="pt-BR" w:eastAsia="es-ES"/>
        </w:rPr>
        <w:t>assunto</w:t>
      </w:r>
      <w:r w:rsidR="00350187" w:rsidRPr="00D5464D">
        <w:rPr>
          <w:rFonts w:eastAsia="Batang" w:cs="Times"/>
          <w:szCs w:val="24"/>
          <w:lang w:val="pt-BR" w:eastAsia="es-ES"/>
        </w:rPr>
        <w:t xml:space="preserve"> lhe </w:t>
      </w:r>
      <w:r w:rsidR="00E045D9" w:rsidRPr="00D5464D">
        <w:rPr>
          <w:rFonts w:eastAsia="Batang" w:cs="Times"/>
          <w:szCs w:val="24"/>
          <w:lang w:val="pt-BR" w:eastAsia="es-ES"/>
        </w:rPr>
        <w:t>permitem</w:t>
      </w:r>
      <w:r w:rsidR="000A52D5" w:rsidRPr="00D5464D">
        <w:rPr>
          <w:rFonts w:eastAsia="Batang" w:cs="Times"/>
          <w:szCs w:val="24"/>
          <w:lang w:val="pt-BR" w:eastAsia="es-ES"/>
        </w:rPr>
        <w:t xml:space="preserve"> concluir que </w:t>
      </w:r>
      <w:r w:rsidRPr="00D5464D">
        <w:rPr>
          <w:rFonts w:eastAsia="Batang" w:cs="Times"/>
          <w:szCs w:val="24"/>
          <w:lang w:val="pt-BR" w:eastAsia="es-ES"/>
        </w:rPr>
        <w:t>existem</w:t>
      </w:r>
      <w:r w:rsidR="000A52D5" w:rsidRPr="00D5464D">
        <w:rPr>
          <w:rFonts w:eastAsia="Batang" w:cs="Times"/>
          <w:szCs w:val="24"/>
          <w:lang w:val="pt-BR" w:eastAsia="es-ES"/>
        </w:rPr>
        <w:t xml:space="preserve"> causas </w:t>
      </w:r>
      <w:r w:rsidR="00E045D9" w:rsidRPr="00D5464D">
        <w:rPr>
          <w:rFonts w:eastAsia="Batang" w:cs="Times"/>
          <w:szCs w:val="24"/>
          <w:lang w:val="pt-BR" w:eastAsia="es-ES"/>
        </w:rPr>
        <w:t>razoáveis</w:t>
      </w:r>
      <w:r w:rsidR="000A52D5" w:rsidRPr="00D5464D">
        <w:rPr>
          <w:rFonts w:eastAsia="Batang" w:cs="Times"/>
          <w:szCs w:val="24"/>
          <w:lang w:val="pt-BR" w:eastAsia="es-ES"/>
        </w:rPr>
        <w:t xml:space="preserve"> que </w:t>
      </w:r>
      <w:r w:rsidR="00350187" w:rsidRPr="00D5464D">
        <w:rPr>
          <w:rFonts w:eastAsia="Batang" w:cs="Times"/>
          <w:szCs w:val="24"/>
          <w:lang w:val="pt-BR" w:eastAsia="es-ES"/>
        </w:rPr>
        <w:t>justificam</w:t>
      </w:r>
      <w:r w:rsidRPr="00D5464D">
        <w:rPr>
          <w:rFonts w:eastAsia="Batang" w:cs="Times"/>
          <w:szCs w:val="24"/>
          <w:lang w:val="pt-BR" w:eastAsia="es-ES"/>
        </w:rPr>
        <w:t xml:space="preserve"> o</w:t>
      </w:r>
      <w:r w:rsidR="002C330E" w:rsidRPr="00D5464D">
        <w:rPr>
          <w:rFonts w:eastAsia="Batang" w:cs="Times"/>
          <w:szCs w:val="24"/>
          <w:lang w:val="pt-BR" w:eastAsia="es-ES"/>
        </w:rPr>
        <w:t xml:space="preserve"> fato </w:t>
      </w:r>
      <w:r w:rsidR="000A52D5" w:rsidRPr="00D5464D">
        <w:rPr>
          <w:rFonts w:eastAsia="Batang" w:cs="Times"/>
          <w:szCs w:val="24"/>
          <w:lang w:val="pt-BR" w:eastAsia="es-ES"/>
        </w:rPr>
        <w:t>de que</w:t>
      </w:r>
      <w:r w:rsidRPr="00D5464D">
        <w:rPr>
          <w:rFonts w:eastAsia="Batang" w:cs="Times"/>
          <w:szCs w:val="24"/>
          <w:lang w:val="pt-BR" w:eastAsia="es-ES"/>
        </w:rPr>
        <w:t xml:space="preserve"> </w:t>
      </w:r>
      <w:r w:rsidR="003C1DF0" w:rsidRPr="00D5464D">
        <w:rPr>
          <w:rFonts w:eastAsia="Batang" w:cs="Times"/>
          <w:szCs w:val="24"/>
          <w:lang w:val="pt-BR" w:eastAsia="es-ES"/>
        </w:rPr>
        <w:t>a</w:t>
      </w:r>
      <w:r w:rsidRPr="00D5464D">
        <w:rPr>
          <w:rFonts w:eastAsia="Batang" w:cs="Times"/>
          <w:szCs w:val="24"/>
          <w:lang w:val="pt-BR" w:eastAsia="es-ES"/>
        </w:rPr>
        <w:t xml:space="preserve"> </w:t>
      </w:r>
      <w:r w:rsidR="00E045D9" w:rsidRPr="00D5464D">
        <w:rPr>
          <w:rFonts w:eastAsia="Batang" w:cs="Times"/>
          <w:szCs w:val="24"/>
          <w:lang w:val="pt-BR" w:eastAsia="es-ES"/>
        </w:rPr>
        <w:t>lista</w:t>
      </w:r>
      <w:r w:rsidR="000A52D5" w:rsidRPr="00D5464D">
        <w:rPr>
          <w:rFonts w:eastAsia="Batang" w:cs="Times"/>
          <w:szCs w:val="24"/>
          <w:lang w:val="pt-BR" w:eastAsia="es-ES"/>
        </w:rPr>
        <w:t xml:space="preserve"> de </w:t>
      </w:r>
      <w:r w:rsidR="002C330E" w:rsidRPr="00D5464D">
        <w:rPr>
          <w:rFonts w:eastAsia="Batang" w:cs="Times"/>
          <w:szCs w:val="24"/>
          <w:lang w:val="pt-BR" w:eastAsia="es-ES"/>
        </w:rPr>
        <w:t>suposta</w:t>
      </w:r>
      <w:r w:rsidR="000A52D5" w:rsidRPr="00D5464D">
        <w:rPr>
          <w:rFonts w:eastAsia="Batang" w:cs="Times"/>
          <w:szCs w:val="24"/>
          <w:lang w:val="pt-BR" w:eastAsia="es-ES"/>
        </w:rPr>
        <w:t xml:space="preserve">s </w:t>
      </w:r>
      <w:r w:rsidR="00E045D9" w:rsidRPr="00D5464D">
        <w:rPr>
          <w:rFonts w:eastAsia="Batang" w:cs="Times"/>
          <w:szCs w:val="24"/>
          <w:lang w:val="pt-BR" w:eastAsia="es-ES"/>
        </w:rPr>
        <w:t>vítima</w:t>
      </w:r>
      <w:r w:rsidR="000A52D5" w:rsidRPr="00D5464D">
        <w:rPr>
          <w:rFonts w:eastAsia="Batang" w:cs="Times"/>
          <w:szCs w:val="24"/>
          <w:lang w:val="pt-BR" w:eastAsia="es-ES"/>
        </w:rPr>
        <w:t xml:space="preserve">s </w:t>
      </w:r>
      <w:r w:rsidR="002C330E" w:rsidRPr="00D5464D">
        <w:rPr>
          <w:rFonts w:eastAsia="Batang" w:cs="Times"/>
          <w:szCs w:val="24"/>
          <w:lang w:val="pt-BR" w:eastAsia="es-ES"/>
        </w:rPr>
        <w:t>incluíd</w:t>
      </w:r>
      <w:r w:rsidR="003C1DF0" w:rsidRPr="00D5464D">
        <w:rPr>
          <w:rFonts w:eastAsia="Batang" w:cs="Times"/>
          <w:szCs w:val="24"/>
          <w:lang w:val="pt-BR" w:eastAsia="es-ES"/>
        </w:rPr>
        <w:t>a</w:t>
      </w:r>
      <w:r w:rsidR="00E045D9" w:rsidRPr="00D5464D">
        <w:rPr>
          <w:rFonts w:eastAsia="Batang" w:cs="Times"/>
          <w:szCs w:val="24"/>
          <w:lang w:val="pt-BR" w:eastAsia="es-ES"/>
        </w:rPr>
        <w:t xml:space="preserve"> no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de Admissibilidade</w:t>
      </w:r>
      <w:r w:rsidR="00E045D9" w:rsidRPr="00D5464D">
        <w:rPr>
          <w:rFonts w:eastAsia="Batang" w:cs="Times"/>
          <w:szCs w:val="24"/>
          <w:lang w:val="pt-BR" w:eastAsia="es-ES"/>
        </w:rPr>
        <w:t xml:space="preserve"> e </w:t>
      </w:r>
      <w:r w:rsidRPr="00D5464D">
        <w:rPr>
          <w:rFonts w:eastAsia="Batang" w:cs="Times"/>
          <w:szCs w:val="24"/>
          <w:lang w:val="pt-BR" w:eastAsia="es-ES"/>
        </w:rPr>
        <w:t>Mérito da Comissão</w:t>
      </w:r>
      <w:r w:rsidR="000A52D5" w:rsidRPr="00D5464D">
        <w:rPr>
          <w:rFonts w:eastAsia="Batang" w:cs="Times"/>
          <w:szCs w:val="24"/>
          <w:lang w:val="pt-BR" w:eastAsia="es-ES"/>
        </w:rPr>
        <w:t xml:space="preserve"> </w:t>
      </w:r>
      <w:r w:rsidR="002C330E" w:rsidRPr="00D5464D">
        <w:rPr>
          <w:rFonts w:eastAsia="Batang" w:cs="Times"/>
          <w:szCs w:val="24"/>
          <w:lang w:val="pt-BR" w:eastAsia="es-ES"/>
        </w:rPr>
        <w:t>possa</w:t>
      </w:r>
      <w:r w:rsidR="00E045D9" w:rsidRPr="00D5464D">
        <w:rPr>
          <w:rFonts w:eastAsia="Batang" w:cs="Times"/>
          <w:szCs w:val="24"/>
          <w:lang w:val="pt-BR" w:eastAsia="es-ES"/>
        </w:rPr>
        <w:t xml:space="preserve"> </w:t>
      </w:r>
      <w:r w:rsidR="003C1DF0" w:rsidRPr="00D5464D">
        <w:rPr>
          <w:rFonts w:eastAsia="Batang" w:cs="Times"/>
          <w:szCs w:val="24"/>
          <w:lang w:val="pt-BR" w:eastAsia="es-ES"/>
        </w:rPr>
        <w:t xml:space="preserve">apresentar </w:t>
      </w:r>
      <w:r w:rsidRPr="00D5464D">
        <w:rPr>
          <w:rFonts w:eastAsia="Batang" w:cs="Times"/>
          <w:szCs w:val="24"/>
          <w:lang w:val="pt-BR" w:eastAsia="es-ES"/>
        </w:rPr>
        <w:t>eventuais</w:t>
      </w:r>
      <w:r w:rsidR="000A52D5" w:rsidRPr="00D5464D">
        <w:rPr>
          <w:rFonts w:eastAsia="Batang" w:cs="Times"/>
          <w:szCs w:val="24"/>
          <w:lang w:val="pt-BR" w:eastAsia="es-ES"/>
        </w:rPr>
        <w:t xml:space="preserve"> </w:t>
      </w:r>
      <w:r w:rsidR="00EB1CE9" w:rsidRPr="00D5464D">
        <w:rPr>
          <w:rFonts w:eastAsia="Batang" w:cs="Times"/>
          <w:szCs w:val="24"/>
          <w:lang w:val="pt-BR" w:eastAsia="es-ES"/>
        </w:rPr>
        <w:t>inconsistência</w:t>
      </w:r>
      <w:r w:rsidR="000A52D5" w:rsidRPr="00D5464D">
        <w:rPr>
          <w:rFonts w:eastAsia="Batang" w:cs="Times"/>
          <w:szCs w:val="24"/>
          <w:lang w:val="pt-BR" w:eastAsia="es-ES"/>
        </w:rPr>
        <w:t>s</w:t>
      </w:r>
      <w:r w:rsidR="003C1DF0" w:rsidRPr="00D5464D">
        <w:rPr>
          <w:rFonts w:eastAsia="Batang" w:cs="Times"/>
          <w:szCs w:val="24"/>
          <w:lang w:val="pt-BR" w:eastAsia="es-ES"/>
        </w:rPr>
        <w:t>,</w:t>
      </w:r>
      <w:r w:rsidR="000A52D5" w:rsidRPr="00D5464D">
        <w:rPr>
          <w:rFonts w:eastAsia="Batang" w:cs="Times"/>
          <w:szCs w:val="24"/>
          <w:lang w:val="pt-BR" w:eastAsia="es-ES"/>
        </w:rPr>
        <w:t xml:space="preserve"> tanto</w:t>
      </w:r>
      <w:r w:rsidR="00E045D9" w:rsidRPr="00D5464D">
        <w:rPr>
          <w:rFonts w:eastAsia="Batang" w:cs="Times"/>
          <w:szCs w:val="24"/>
          <w:lang w:val="pt-BR" w:eastAsia="es-ES"/>
        </w:rPr>
        <w:t xml:space="preserve"> na </w:t>
      </w:r>
      <w:r w:rsidR="003C1DF0" w:rsidRPr="00D5464D">
        <w:rPr>
          <w:rFonts w:eastAsia="Batang" w:cs="Times"/>
          <w:szCs w:val="24"/>
          <w:lang w:val="pt-BR" w:eastAsia="es-ES"/>
        </w:rPr>
        <w:t xml:space="preserve">plena </w:t>
      </w:r>
      <w:r w:rsidR="000A52D5" w:rsidRPr="00D5464D">
        <w:rPr>
          <w:rFonts w:eastAsia="Batang" w:cs="Times"/>
          <w:szCs w:val="24"/>
          <w:lang w:val="pt-BR" w:eastAsia="es-ES"/>
        </w:rPr>
        <w:t>identifica</w:t>
      </w:r>
      <w:r w:rsidRPr="00D5464D">
        <w:rPr>
          <w:rFonts w:eastAsia="Batang" w:cs="Times"/>
          <w:szCs w:val="24"/>
          <w:lang w:val="pt-BR" w:eastAsia="es-ES"/>
        </w:rPr>
        <w:t>ção</w:t>
      </w:r>
      <w:r w:rsidR="000A52D5" w:rsidRPr="00D5464D">
        <w:rPr>
          <w:rFonts w:eastAsia="Batang" w:cs="Times"/>
          <w:szCs w:val="24"/>
          <w:lang w:val="pt-BR" w:eastAsia="es-ES"/>
        </w:rPr>
        <w:t xml:space="preserve"> </w:t>
      </w:r>
      <w:r w:rsidRPr="00D5464D">
        <w:rPr>
          <w:rFonts w:eastAsia="Batang" w:cs="Times"/>
          <w:szCs w:val="24"/>
          <w:lang w:val="pt-BR" w:eastAsia="es-ES"/>
        </w:rPr>
        <w:t xml:space="preserve">das </w:t>
      </w:r>
      <w:r w:rsidR="002C330E" w:rsidRPr="00D5464D">
        <w:rPr>
          <w:rFonts w:eastAsia="Batang" w:cs="Times"/>
          <w:szCs w:val="24"/>
          <w:lang w:val="pt-BR" w:eastAsia="es-ES"/>
        </w:rPr>
        <w:t>suposta</w:t>
      </w:r>
      <w:r w:rsidR="00350AD5" w:rsidRPr="00D5464D">
        <w:rPr>
          <w:rFonts w:eastAsia="Batang" w:cs="Times"/>
          <w:szCs w:val="24"/>
          <w:lang w:val="pt-BR" w:eastAsia="es-ES"/>
        </w:rPr>
        <w:t xml:space="preserve">s </w:t>
      </w:r>
      <w:r w:rsidR="00E045D9" w:rsidRPr="00D5464D">
        <w:rPr>
          <w:rFonts w:eastAsia="Batang" w:cs="Times"/>
          <w:szCs w:val="24"/>
          <w:lang w:val="pt-BR" w:eastAsia="es-ES"/>
        </w:rPr>
        <w:t>vítima</w:t>
      </w:r>
      <w:r w:rsidR="000A52D5" w:rsidRPr="00D5464D">
        <w:rPr>
          <w:rFonts w:eastAsia="Batang" w:cs="Times"/>
          <w:szCs w:val="24"/>
          <w:lang w:val="pt-BR" w:eastAsia="es-ES"/>
        </w:rPr>
        <w:t>s como</w:t>
      </w:r>
      <w:r w:rsidRPr="00D5464D">
        <w:rPr>
          <w:rFonts w:eastAsia="Batang" w:cs="Times"/>
          <w:szCs w:val="24"/>
          <w:lang w:val="pt-BR" w:eastAsia="es-ES"/>
        </w:rPr>
        <w:t xml:space="preserve"> em </w:t>
      </w:r>
      <w:r w:rsidR="00A1358C" w:rsidRPr="00D5464D">
        <w:rPr>
          <w:rFonts w:eastAsia="Batang" w:cs="Times"/>
          <w:szCs w:val="24"/>
          <w:lang w:val="pt-BR" w:eastAsia="es-ES"/>
        </w:rPr>
        <w:t>sua representação</w:t>
      </w:r>
      <w:r w:rsidR="000A52D5" w:rsidRPr="00D5464D">
        <w:rPr>
          <w:rFonts w:eastAsia="Batang" w:cs="Times"/>
          <w:szCs w:val="24"/>
          <w:lang w:val="pt-BR" w:eastAsia="es-ES"/>
        </w:rPr>
        <w:t xml:space="preserve">. </w:t>
      </w:r>
      <w:r w:rsidR="002C330E" w:rsidRPr="00D5464D">
        <w:rPr>
          <w:rFonts w:eastAsia="Batang" w:cs="Times"/>
          <w:szCs w:val="24"/>
          <w:lang w:val="pt-BR" w:eastAsia="es-ES"/>
        </w:rPr>
        <w:t>Portanto</w:t>
      </w:r>
      <w:r w:rsidR="000A52D5" w:rsidRPr="00D5464D">
        <w:rPr>
          <w:rFonts w:eastAsia="Batang" w:cs="Times"/>
          <w:szCs w:val="24"/>
          <w:lang w:val="pt-BR" w:eastAsia="es-ES"/>
        </w:rPr>
        <w:t>,</w:t>
      </w:r>
      <w:r w:rsidR="002C330E" w:rsidRPr="00D5464D">
        <w:rPr>
          <w:rFonts w:eastAsia="Batang" w:cs="Times"/>
          <w:szCs w:val="24"/>
          <w:lang w:val="pt-BR" w:eastAsia="es-ES"/>
        </w:rPr>
        <w:t xml:space="preserve"> a </w:t>
      </w:r>
      <w:r w:rsidR="000A52D5" w:rsidRPr="00D5464D">
        <w:rPr>
          <w:rFonts w:eastAsia="Batang" w:cs="Times"/>
          <w:szCs w:val="24"/>
          <w:lang w:val="pt-BR" w:eastAsia="es-ES"/>
        </w:rPr>
        <w:t>Corte decide aplicar</w:t>
      </w:r>
      <w:r w:rsidRPr="00D5464D">
        <w:rPr>
          <w:rFonts w:eastAsia="Batang" w:cs="Times"/>
          <w:szCs w:val="24"/>
          <w:lang w:val="pt-BR" w:eastAsia="es-ES"/>
        </w:rPr>
        <w:t xml:space="preserve"> o artigo</w:t>
      </w:r>
      <w:r w:rsidR="000A52D5" w:rsidRPr="00D5464D">
        <w:rPr>
          <w:rFonts w:eastAsia="Batang" w:cs="Times"/>
          <w:szCs w:val="24"/>
          <w:lang w:val="pt-BR" w:eastAsia="es-ES"/>
        </w:rPr>
        <w:t xml:space="preserve"> 35.2 de</w:t>
      </w:r>
      <w:r w:rsidR="00E045D9" w:rsidRPr="00D5464D">
        <w:rPr>
          <w:rFonts w:eastAsia="Batang" w:cs="Times"/>
          <w:szCs w:val="24"/>
          <w:lang w:val="pt-BR" w:eastAsia="es-ES"/>
        </w:rPr>
        <w:t xml:space="preserve"> seu </w:t>
      </w:r>
      <w:r w:rsidR="003C1DF0" w:rsidRPr="00D5464D">
        <w:rPr>
          <w:rFonts w:eastAsia="Batang" w:cs="Times"/>
          <w:szCs w:val="24"/>
          <w:lang w:val="pt-BR" w:eastAsia="es-ES"/>
        </w:rPr>
        <w:t>R</w:t>
      </w:r>
      <w:r w:rsidR="00E045D9" w:rsidRPr="00D5464D">
        <w:rPr>
          <w:rFonts w:eastAsia="Batang" w:cs="Times"/>
          <w:szCs w:val="24"/>
          <w:lang w:val="pt-BR" w:eastAsia="es-ES"/>
        </w:rPr>
        <w:t>egulamento e</w:t>
      </w:r>
      <w:r w:rsidR="00CE5014" w:rsidRPr="00D5464D">
        <w:rPr>
          <w:rFonts w:eastAsia="Batang" w:cs="Times"/>
          <w:szCs w:val="24"/>
          <w:lang w:val="pt-BR" w:eastAsia="es-ES"/>
        </w:rPr>
        <w:t>,</w:t>
      </w:r>
      <w:r w:rsidR="00E045D9" w:rsidRPr="00D5464D">
        <w:rPr>
          <w:rFonts w:eastAsia="Batang" w:cs="Times"/>
          <w:szCs w:val="24"/>
          <w:lang w:val="pt-BR" w:eastAsia="es-ES"/>
        </w:rPr>
        <w:t xml:space="preserve"> </w:t>
      </w:r>
      <w:r w:rsidR="00CE5014" w:rsidRPr="00D5464D">
        <w:rPr>
          <w:rFonts w:eastAsia="Batang" w:cs="Times"/>
          <w:szCs w:val="24"/>
          <w:lang w:val="pt-BR" w:eastAsia="es-ES"/>
        </w:rPr>
        <w:t>na análise</w:t>
      </w:r>
      <w:r w:rsidR="000A52D5" w:rsidRPr="00D5464D">
        <w:rPr>
          <w:rFonts w:eastAsia="Batang" w:cs="Times"/>
          <w:szCs w:val="24"/>
          <w:lang w:val="pt-BR" w:eastAsia="es-ES"/>
        </w:rPr>
        <w:t xml:space="preserve"> de </w:t>
      </w:r>
      <w:r w:rsidRPr="00D5464D">
        <w:rPr>
          <w:rFonts w:eastAsia="Batang" w:cs="Times"/>
          <w:szCs w:val="24"/>
          <w:lang w:val="pt-BR" w:eastAsia="es-ES"/>
        </w:rPr>
        <w:t>mérito</w:t>
      </w:r>
      <w:r w:rsidR="00CE5014" w:rsidRPr="00D5464D">
        <w:rPr>
          <w:rFonts w:eastAsia="Batang" w:cs="Times"/>
          <w:szCs w:val="24"/>
          <w:lang w:val="pt-BR" w:eastAsia="es-ES"/>
        </w:rPr>
        <w:t>,</w:t>
      </w:r>
      <w:r w:rsidR="000A52D5" w:rsidRPr="00D5464D">
        <w:rPr>
          <w:rFonts w:eastAsia="Batang" w:cs="Times"/>
          <w:szCs w:val="24"/>
          <w:lang w:val="pt-BR" w:eastAsia="es-ES"/>
        </w:rPr>
        <w:t xml:space="preserve"> determinará</w:t>
      </w:r>
      <w:r w:rsidR="002C330E" w:rsidRPr="00D5464D">
        <w:rPr>
          <w:rFonts w:eastAsia="Batang" w:cs="Times"/>
          <w:szCs w:val="24"/>
          <w:lang w:val="pt-BR" w:eastAsia="es-ES"/>
        </w:rPr>
        <w:t xml:space="preserve"> as </w:t>
      </w:r>
      <w:r w:rsidR="000A52D5" w:rsidRPr="00D5464D">
        <w:rPr>
          <w:rFonts w:eastAsia="Batang" w:cs="Times"/>
          <w:szCs w:val="24"/>
          <w:lang w:val="pt-BR" w:eastAsia="es-ES"/>
        </w:rPr>
        <w:t xml:space="preserve">medidas </w:t>
      </w:r>
      <w:r w:rsidR="00CE5014" w:rsidRPr="00D5464D">
        <w:rPr>
          <w:rFonts w:eastAsia="Batang" w:cs="Times"/>
          <w:szCs w:val="24"/>
          <w:lang w:val="pt-BR" w:eastAsia="es-ES"/>
        </w:rPr>
        <w:t>voltadas à</w:t>
      </w:r>
      <w:r w:rsidR="002C330E" w:rsidRPr="00D5464D">
        <w:rPr>
          <w:rFonts w:eastAsia="Batang" w:cs="Times"/>
          <w:szCs w:val="24"/>
          <w:lang w:val="pt-BR" w:eastAsia="es-ES"/>
        </w:rPr>
        <w:t xml:space="preserve"> </w:t>
      </w:r>
      <w:r w:rsidR="000A52D5" w:rsidRPr="00D5464D">
        <w:rPr>
          <w:rFonts w:eastAsia="Batang" w:cs="Times"/>
          <w:szCs w:val="24"/>
          <w:lang w:val="pt-BR" w:eastAsia="es-ES"/>
        </w:rPr>
        <w:t>identifica</w:t>
      </w:r>
      <w:r w:rsidRPr="00D5464D">
        <w:rPr>
          <w:rFonts w:eastAsia="Batang" w:cs="Times"/>
          <w:szCs w:val="24"/>
          <w:lang w:val="pt-BR" w:eastAsia="es-ES"/>
        </w:rPr>
        <w:t xml:space="preserve">ção das </w:t>
      </w:r>
      <w:r w:rsidR="002C330E" w:rsidRPr="00D5464D">
        <w:rPr>
          <w:rFonts w:eastAsia="Batang" w:cs="Times"/>
          <w:szCs w:val="24"/>
          <w:lang w:val="pt-BR" w:eastAsia="es-ES"/>
        </w:rPr>
        <w:t>suposta</w:t>
      </w:r>
      <w:r w:rsidR="00350AD5" w:rsidRPr="00D5464D">
        <w:rPr>
          <w:rFonts w:eastAsia="Batang" w:cs="Times"/>
          <w:szCs w:val="24"/>
          <w:lang w:val="pt-BR" w:eastAsia="es-ES"/>
        </w:rPr>
        <w:t xml:space="preserve">s </w:t>
      </w:r>
      <w:r w:rsidR="00E045D9" w:rsidRPr="00D5464D">
        <w:rPr>
          <w:rFonts w:eastAsia="Batang" w:cs="Times"/>
          <w:szCs w:val="24"/>
          <w:lang w:val="pt-BR" w:eastAsia="es-ES"/>
        </w:rPr>
        <w:t>vítima</w:t>
      </w:r>
      <w:r w:rsidR="000A52D5" w:rsidRPr="00D5464D">
        <w:rPr>
          <w:rFonts w:eastAsia="Batang" w:cs="Times"/>
          <w:szCs w:val="24"/>
          <w:lang w:val="pt-BR" w:eastAsia="es-ES"/>
        </w:rPr>
        <w:t>s</w:t>
      </w:r>
      <w:r w:rsidR="003C1DF0" w:rsidRPr="00D5464D">
        <w:rPr>
          <w:rFonts w:eastAsia="Batang" w:cs="Times"/>
          <w:szCs w:val="24"/>
          <w:lang w:val="pt-BR" w:eastAsia="es-ES"/>
        </w:rPr>
        <w:t>, caso seja necessário</w:t>
      </w:r>
      <w:r w:rsidR="00A1358C" w:rsidRPr="00D5464D">
        <w:rPr>
          <w:rFonts w:eastAsia="Batang" w:cs="Times"/>
          <w:szCs w:val="24"/>
          <w:lang w:val="pt-BR" w:eastAsia="es-ES"/>
        </w:rPr>
        <w:t>. Em consequência</w:t>
      </w:r>
      <w:r w:rsidR="000A52D5" w:rsidRPr="00D5464D">
        <w:rPr>
          <w:rFonts w:eastAsia="Batang" w:cs="Times"/>
          <w:szCs w:val="24"/>
          <w:lang w:val="pt-BR" w:eastAsia="es-ES"/>
        </w:rPr>
        <w:t>,</w:t>
      </w:r>
      <w:r w:rsidR="002C330E" w:rsidRPr="00D5464D">
        <w:rPr>
          <w:rFonts w:eastAsia="Batang" w:cs="Times"/>
          <w:szCs w:val="24"/>
          <w:lang w:val="pt-BR" w:eastAsia="es-ES"/>
        </w:rPr>
        <w:t xml:space="preserve"> a </w:t>
      </w:r>
      <w:r w:rsidR="000A52D5" w:rsidRPr="00D5464D">
        <w:rPr>
          <w:rFonts w:eastAsia="Batang" w:cs="Times"/>
          <w:szCs w:val="24"/>
          <w:lang w:val="pt-BR" w:eastAsia="es-ES"/>
        </w:rPr>
        <w:t xml:space="preserve">Corte </w:t>
      </w:r>
      <w:r w:rsidR="003C1DF0" w:rsidRPr="00D5464D">
        <w:rPr>
          <w:rFonts w:eastAsia="Batang" w:cs="Times"/>
          <w:szCs w:val="24"/>
          <w:lang w:val="pt-BR" w:eastAsia="es-ES"/>
        </w:rPr>
        <w:t xml:space="preserve">rejeita </w:t>
      </w:r>
      <w:r w:rsidR="002C330E" w:rsidRPr="00D5464D">
        <w:rPr>
          <w:rFonts w:eastAsia="Batang" w:cs="Times"/>
          <w:szCs w:val="24"/>
          <w:lang w:val="pt-BR" w:eastAsia="es-ES"/>
        </w:rPr>
        <w:t xml:space="preserve">as </w:t>
      </w:r>
      <w:r w:rsidRPr="00D5464D">
        <w:rPr>
          <w:rFonts w:eastAsia="Batang" w:cs="Times"/>
          <w:szCs w:val="24"/>
          <w:lang w:val="pt-BR" w:eastAsia="es-ES"/>
        </w:rPr>
        <w:t>exceções</w:t>
      </w:r>
      <w:r w:rsidR="000A52D5" w:rsidRPr="00D5464D">
        <w:rPr>
          <w:rFonts w:eastAsia="Batang" w:cs="Times"/>
          <w:szCs w:val="24"/>
          <w:lang w:val="pt-BR" w:eastAsia="es-ES"/>
        </w:rPr>
        <w:t xml:space="preserve"> preliminares</w:t>
      </w:r>
      <w:r w:rsidR="0090752B" w:rsidRPr="00D5464D">
        <w:rPr>
          <w:rFonts w:eastAsia="Batang" w:cs="Times"/>
          <w:szCs w:val="24"/>
          <w:lang w:val="pt-BR" w:eastAsia="es-ES"/>
        </w:rPr>
        <w:t xml:space="preserve"> </w:t>
      </w:r>
      <w:r w:rsidR="00350187" w:rsidRPr="00D5464D">
        <w:rPr>
          <w:rFonts w:eastAsia="Batang" w:cs="Times"/>
          <w:szCs w:val="24"/>
          <w:lang w:val="pt-BR" w:eastAsia="es-ES"/>
        </w:rPr>
        <w:t>propost</w:t>
      </w:r>
      <w:r w:rsidR="0090752B" w:rsidRPr="00D5464D">
        <w:rPr>
          <w:rFonts w:eastAsia="Batang" w:cs="Times"/>
          <w:szCs w:val="24"/>
          <w:lang w:val="pt-BR" w:eastAsia="es-ES"/>
        </w:rPr>
        <w:t>as</w:t>
      </w:r>
      <w:r w:rsidR="002C330E" w:rsidRPr="00D5464D">
        <w:rPr>
          <w:rFonts w:eastAsia="Batang" w:cs="Times"/>
          <w:szCs w:val="24"/>
          <w:lang w:val="pt-BR" w:eastAsia="es-ES"/>
        </w:rPr>
        <w:t xml:space="preserve"> pelo </w:t>
      </w:r>
      <w:r w:rsidR="00834C2B" w:rsidRPr="00D5464D">
        <w:rPr>
          <w:rFonts w:eastAsia="Batang" w:cs="Times"/>
          <w:szCs w:val="24"/>
          <w:lang w:val="pt-BR" w:eastAsia="es-ES"/>
        </w:rPr>
        <w:t>E</w:t>
      </w:r>
      <w:r w:rsidR="0090752B" w:rsidRPr="00D5464D">
        <w:rPr>
          <w:rFonts w:eastAsia="Batang" w:cs="Times"/>
          <w:szCs w:val="24"/>
          <w:lang w:val="pt-BR" w:eastAsia="es-ES"/>
        </w:rPr>
        <w:t>stado relacionadas</w:t>
      </w:r>
      <w:r w:rsidRPr="00D5464D">
        <w:rPr>
          <w:rFonts w:eastAsia="Batang" w:cs="Times"/>
          <w:szCs w:val="24"/>
          <w:lang w:val="pt-BR" w:eastAsia="es-ES"/>
        </w:rPr>
        <w:t xml:space="preserve"> </w:t>
      </w:r>
      <w:r w:rsidR="003C1DF0" w:rsidRPr="00D5464D">
        <w:rPr>
          <w:rFonts w:eastAsia="Batang" w:cs="Times"/>
          <w:szCs w:val="24"/>
          <w:lang w:val="pt-BR" w:eastAsia="es-ES"/>
        </w:rPr>
        <w:t>à</w:t>
      </w:r>
      <w:r w:rsidR="002C330E" w:rsidRPr="00D5464D">
        <w:rPr>
          <w:rFonts w:eastAsia="Batang" w:cs="Times"/>
          <w:szCs w:val="24"/>
          <w:lang w:val="pt-BR" w:eastAsia="es-ES"/>
        </w:rPr>
        <w:t xml:space="preserve"> </w:t>
      </w:r>
      <w:r w:rsidR="0090752B" w:rsidRPr="00D5464D">
        <w:rPr>
          <w:rFonts w:eastAsia="Batang" w:cs="Times"/>
          <w:szCs w:val="24"/>
          <w:lang w:val="pt-BR" w:eastAsia="es-ES"/>
        </w:rPr>
        <w:t>identifica</w:t>
      </w:r>
      <w:r w:rsidRPr="00D5464D">
        <w:rPr>
          <w:rFonts w:eastAsia="Batang" w:cs="Times"/>
          <w:szCs w:val="24"/>
          <w:lang w:val="pt-BR" w:eastAsia="es-ES"/>
        </w:rPr>
        <w:t>ção</w:t>
      </w:r>
      <w:r w:rsidR="00E045D9" w:rsidRPr="00D5464D">
        <w:rPr>
          <w:rFonts w:eastAsia="Batang" w:cs="Times"/>
          <w:szCs w:val="24"/>
          <w:lang w:val="pt-BR" w:eastAsia="es-ES"/>
        </w:rPr>
        <w:t xml:space="preserve"> e </w:t>
      </w:r>
      <w:r w:rsidR="0090752B" w:rsidRPr="00D5464D">
        <w:rPr>
          <w:rFonts w:eastAsia="Batang" w:cs="Times"/>
          <w:szCs w:val="24"/>
          <w:lang w:val="pt-BR" w:eastAsia="es-ES"/>
        </w:rPr>
        <w:t>representa</w:t>
      </w:r>
      <w:r w:rsidRPr="00D5464D">
        <w:rPr>
          <w:rFonts w:eastAsia="Batang" w:cs="Times"/>
          <w:szCs w:val="24"/>
          <w:lang w:val="pt-BR" w:eastAsia="es-ES"/>
        </w:rPr>
        <w:t xml:space="preserve">ção das </w:t>
      </w:r>
      <w:r w:rsidR="002C330E" w:rsidRPr="00D5464D">
        <w:rPr>
          <w:rFonts w:eastAsia="Batang" w:cs="Times"/>
          <w:szCs w:val="24"/>
          <w:lang w:val="pt-BR" w:eastAsia="es-ES"/>
        </w:rPr>
        <w:t>suposta</w:t>
      </w:r>
      <w:r w:rsidR="0090752B" w:rsidRPr="00D5464D">
        <w:rPr>
          <w:rFonts w:eastAsia="Batang" w:cs="Times"/>
          <w:szCs w:val="24"/>
          <w:lang w:val="pt-BR" w:eastAsia="es-ES"/>
        </w:rPr>
        <w:t xml:space="preserve">s </w:t>
      </w:r>
      <w:r w:rsidR="00E045D9" w:rsidRPr="00D5464D">
        <w:rPr>
          <w:rFonts w:eastAsia="Batang" w:cs="Times"/>
          <w:szCs w:val="24"/>
          <w:lang w:val="pt-BR" w:eastAsia="es-ES"/>
        </w:rPr>
        <w:t>vítima</w:t>
      </w:r>
      <w:r w:rsidR="0090752B" w:rsidRPr="00D5464D">
        <w:rPr>
          <w:rFonts w:eastAsia="Batang" w:cs="Times"/>
          <w:szCs w:val="24"/>
          <w:lang w:val="pt-BR" w:eastAsia="es-ES"/>
        </w:rPr>
        <w:t>s</w:t>
      </w:r>
      <w:r w:rsidR="00834C2B" w:rsidRPr="00D5464D">
        <w:rPr>
          <w:rFonts w:eastAsia="Batang" w:cs="Times"/>
          <w:szCs w:val="24"/>
          <w:lang w:val="pt-BR" w:eastAsia="es-ES"/>
        </w:rPr>
        <w:t>,</w:t>
      </w:r>
      <w:r w:rsidRPr="00D5464D">
        <w:rPr>
          <w:rFonts w:eastAsia="Batang" w:cs="Times"/>
          <w:szCs w:val="24"/>
          <w:lang w:val="pt-BR" w:eastAsia="es-ES"/>
        </w:rPr>
        <w:t xml:space="preserve"> </w:t>
      </w:r>
      <w:r w:rsidR="00C85EA9" w:rsidRPr="00D5464D">
        <w:rPr>
          <w:rFonts w:eastAsia="Batang" w:cs="Times"/>
          <w:szCs w:val="24"/>
          <w:lang w:val="pt-BR" w:eastAsia="es-ES"/>
        </w:rPr>
        <w:t xml:space="preserve">e sobre </w:t>
      </w:r>
      <w:r w:rsidR="002C330E" w:rsidRPr="00D5464D">
        <w:rPr>
          <w:rFonts w:eastAsia="Batang" w:cs="Times"/>
          <w:szCs w:val="24"/>
          <w:lang w:val="pt-BR" w:eastAsia="es-ES"/>
        </w:rPr>
        <w:t xml:space="preserve">a </w:t>
      </w:r>
      <w:r w:rsidR="00834C2B" w:rsidRPr="00D5464D">
        <w:rPr>
          <w:rFonts w:eastAsia="Batang" w:cs="Times"/>
          <w:szCs w:val="24"/>
          <w:lang w:val="pt-BR" w:eastAsia="es-ES"/>
        </w:rPr>
        <w:t xml:space="preserve">falta de </w:t>
      </w:r>
      <w:r w:rsidR="00C85EA9" w:rsidRPr="00D5464D">
        <w:rPr>
          <w:rFonts w:eastAsia="Batang" w:cs="Times"/>
          <w:szCs w:val="24"/>
          <w:lang w:val="pt-BR" w:eastAsia="es-ES"/>
        </w:rPr>
        <w:t xml:space="preserve">menção </w:t>
      </w:r>
      <w:r w:rsidR="00834C2B" w:rsidRPr="00D5464D">
        <w:rPr>
          <w:rFonts w:eastAsia="Batang" w:cs="Times"/>
          <w:szCs w:val="24"/>
          <w:lang w:val="pt-BR" w:eastAsia="es-ES"/>
        </w:rPr>
        <w:t xml:space="preserve">de </w:t>
      </w:r>
      <w:r w:rsidRPr="00D5464D">
        <w:rPr>
          <w:rFonts w:eastAsia="Batang" w:cs="Times"/>
          <w:szCs w:val="24"/>
          <w:lang w:val="pt-BR" w:eastAsia="es-ES"/>
        </w:rPr>
        <w:t xml:space="preserve">algumas das </w:t>
      </w:r>
      <w:r w:rsidR="002C330E" w:rsidRPr="00D5464D">
        <w:rPr>
          <w:rFonts w:eastAsia="Batang" w:cs="Times"/>
          <w:szCs w:val="24"/>
          <w:lang w:val="pt-BR" w:eastAsia="es-ES"/>
        </w:rPr>
        <w:t>suposta</w:t>
      </w:r>
      <w:r w:rsidR="00834C2B" w:rsidRPr="00D5464D">
        <w:rPr>
          <w:rFonts w:eastAsia="Batang" w:cs="Times"/>
          <w:szCs w:val="24"/>
          <w:lang w:val="pt-BR" w:eastAsia="es-ES"/>
        </w:rPr>
        <w:t xml:space="preserve">s </w:t>
      </w:r>
      <w:r w:rsidR="00E045D9" w:rsidRPr="00D5464D">
        <w:rPr>
          <w:rFonts w:eastAsia="Batang" w:cs="Times"/>
          <w:szCs w:val="24"/>
          <w:lang w:val="pt-BR" w:eastAsia="es-ES"/>
        </w:rPr>
        <w:t>vítima</w:t>
      </w:r>
      <w:r w:rsidR="00834C2B" w:rsidRPr="00D5464D">
        <w:rPr>
          <w:rFonts w:eastAsia="Batang" w:cs="Times"/>
          <w:szCs w:val="24"/>
          <w:lang w:val="pt-BR" w:eastAsia="es-ES"/>
        </w:rPr>
        <w:t>s</w:t>
      </w:r>
      <w:r w:rsidR="00E045D9" w:rsidRPr="00D5464D">
        <w:rPr>
          <w:rFonts w:eastAsia="Batang" w:cs="Times"/>
          <w:szCs w:val="24"/>
          <w:lang w:val="pt-BR" w:eastAsia="es-ES"/>
        </w:rPr>
        <w:t xml:space="preserve"> no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de Mérito apresentado pela </w:t>
      </w:r>
      <w:r w:rsidRPr="00D5464D">
        <w:rPr>
          <w:rFonts w:eastAsia="Batang" w:cs="Times"/>
          <w:szCs w:val="24"/>
          <w:lang w:val="pt-BR" w:eastAsia="es-ES"/>
        </w:rPr>
        <w:t>Comissão</w:t>
      </w:r>
      <w:r w:rsidR="00834C2B" w:rsidRPr="00D5464D">
        <w:rPr>
          <w:rFonts w:eastAsia="Batang" w:cs="Times"/>
          <w:szCs w:val="24"/>
          <w:lang w:val="pt-BR" w:eastAsia="es-ES"/>
        </w:rPr>
        <w:t>.</w:t>
      </w:r>
    </w:p>
    <w:p w14:paraId="08038536" w14:textId="77777777" w:rsidR="00834C2B" w:rsidRPr="00D5464D" w:rsidRDefault="00834C2B" w:rsidP="00490523">
      <w:pPr>
        <w:pStyle w:val="Prrafodelista"/>
        <w:rPr>
          <w:rFonts w:eastAsia="Batang" w:cs="Times"/>
          <w:szCs w:val="24"/>
          <w:lang w:val="pt-BR" w:eastAsia="es-ES"/>
        </w:rPr>
      </w:pPr>
    </w:p>
    <w:p w14:paraId="0A1A25B0" w14:textId="29CAC48D" w:rsidR="000A52D5" w:rsidRPr="00D5464D" w:rsidRDefault="00350187" w:rsidP="00834C2B">
      <w:pPr>
        <w:numPr>
          <w:ilvl w:val="0"/>
          <w:numId w:val="1"/>
        </w:numPr>
        <w:tabs>
          <w:tab w:val="clear" w:pos="4419"/>
          <w:tab w:val="clear" w:pos="8838"/>
        </w:tabs>
        <w:jc w:val="both"/>
        <w:rPr>
          <w:rFonts w:eastAsia="Batang" w:cs="Times"/>
          <w:i/>
          <w:szCs w:val="24"/>
          <w:lang w:val="pt-BR" w:eastAsia="es-ES"/>
        </w:rPr>
      </w:pPr>
      <w:r w:rsidRPr="00D5464D">
        <w:rPr>
          <w:rFonts w:eastAsia="Batang" w:cs="Times"/>
          <w:szCs w:val="24"/>
          <w:lang w:val="pt-BR" w:eastAsia="es-ES"/>
        </w:rPr>
        <w:t xml:space="preserve">Além disso, </w:t>
      </w:r>
      <w:r w:rsidR="002C330E" w:rsidRPr="00D5464D">
        <w:rPr>
          <w:rFonts w:eastAsia="Batang" w:cs="Times"/>
          <w:szCs w:val="24"/>
          <w:lang w:val="pt-BR" w:eastAsia="es-ES"/>
        </w:rPr>
        <w:t>sem prejuízo</w:t>
      </w:r>
      <w:r w:rsidR="004019FE" w:rsidRPr="00D5464D">
        <w:rPr>
          <w:rFonts w:eastAsia="Batang" w:cs="Times"/>
          <w:szCs w:val="24"/>
          <w:lang w:val="pt-BR" w:eastAsia="es-ES"/>
        </w:rPr>
        <w:t xml:space="preserve"> </w:t>
      </w:r>
      <w:r w:rsidR="00470ADC" w:rsidRPr="00D5464D">
        <w:rPr>
          <w:rFonts w:eastAsia="Batang" w:cs="Times"/>
          <w:szCs w:val="24"/>
          <w:lang w:val="pt-BR" w:eastAsia="es-ES"/>
        </w:rPr>
        <w:t>d</w:t>
      </w:r>
      <w:r w:rsidR="00A1358C" w:rsidRPr="00D5464D">
        <w:rPr>
          <w:rFonts w:eastAsia="Batang" w:cs="Times"/>
          <w:szCs w:val="24"/>
          <w:lang w:val="pt-BR" w:eastAsia="es-ES"/>
        </w:rPr>
        <w:t>a análise</w:t>
      </w:r>
      <w:r w:rsidR="004019FE" w:rsidRPr="00D5464D">
        <w:rPr>
          <w:rFonts w:eastAsia="Batang" w:cs="Times"/>
          <w:szCs w:val="24"/>
          <w:lang w:val="pt-BR" w:eastAsia="es-ES"/>
        </w:rPr>
        <w:t xml:space="preserve"> que se</w:t>
      </w:r>
      <w:r w:rsidR="00C85EA9" w:rsidRPr="00D5464D">
        <w:rPr>
          <w:rFonts w:eastAsia="Batang" w:cs="Times"/>
          <w:szCs w:val="24"/>
          <w:lang w:val="pt-BR" w:eastAsia="es-ES"/>
        </w:rPr>
        <w:t xml:space="preserve">rá realizada </w:t>
      </w:r>
      <w:r w:rsidR="002C330E" w:rsidRPr="00D5464D">
        <w:rPr>
          <w:rFonts w:eastAsia="Batang" w:cs="Times"/>
          <w:szCs w:val="24"/>
          <w:lang w:val="pt-BR" w:eastAsia="es-ES"/>
        </w:rPr>
        <w:t xml:space="preserve">mais </w:t>
      </w:r>
      <w:r w:rsidRPr="00D5464D">
        <w:rPr>
          <w:rFonts w:eastAsia="Batang" w:cs="Times"/>
          <w:szCs w:val="24"/>
          <w:lang w:val="pt-BR" w:eastAsia="es-ES"/>
        </w:rPr>
        <w:t>adiante</w:t>
      </w:r>
      <w:r w:rsidR="004019FE" w:rsidRPr="00D5464D">
        <w:rPr>
          <w:rFonts w:eastAsia="Batang" w:cs="Times"/>
          <w:szCs w:val="24"/>
          <w:lang w:val="pt-BR" w:eastAsia="es-ES"/>
        </w:rPr>
        <w:t xml:space="preserve"> </w:t>
      </w:r>
      <w:r w:rsidR="00CA1D8E" w:rsidRPr="00D5464D">
        <w:rPr>
          <w:rFonts w:eastAsia="Batang" w:cs="Times"/>
          <w:szCs w:val="24"/>
          <w:lang w:val="pt-BR" w:eastAsia="es-ES"/>
        </w:rPr>
        <w:t>a</w:t>
      </w:r>
      <w:r w:rsidR="00C85EA9" w:rsidRPr="00D5464D">
        <w:rPr>
          <w:rFonts w:eastAsia="Batang" w:cs="Times"/>
          <w:szCs w:val="24"/>
          <w:lang w:val="pt-BR" w:eastAsia="es-ES"/>
        </w:rPr>
        <w:t xml:space="preserve"> </w:t>
      </w:r>
      <w:r w:rsidR="002C330E" w:rsidRPr="00D5464D">
        <w:rPr>
          <w:rFonts w:eastAsia="Batang" w:cs="Times"/>
          <w:szCs w:val="24"/>
          <w:lang w:val="pt-BR" w:eastAsia="es-ES"/>
        </w:rPr>
        <w:t>respeito</w:t>
      </w:r>
      <w:r w:rsidR="00470ADC" w:rsidRPr="00D5464D">
        <w:rPr>
          <w:rFonts w:eastAsia="Batang" w:cs="Times"/>
          <w:szCs w:val="24"/>
          <w:lang w:val="pt-BR" w:eastAsia="es-ES"/>
        </w:rPr>
        <w:t xml:space="preserve"> </w:t>
      </w:r>
      <w:r w:rsidR="00CA1D8E" w:rsidRPr="00D5464D">
        <w:rPr>
          <w:rFonts w:eastAsia="Batang" w:cs="Times"/>
          <w:szCs w:val="24"/>
          <w:lang w:val="pt-BR" w:eastAsia="es-ES"/>
        </w:rPr>
        <w:t xml:space="preserve">da </w:t>
      </w:r>
      <w:r w:rsidR="004019FE" w:rsidRPr="00D5464D">
        <w:rPr>
          <w:rFonts w:eastAsia="Batang" w:cs="Times"/>
          <w:szCs w:val="24"/>
          <w:lang w:val="pt-BR" w:eastAsia="es-ES"/>
        </w:rPr>
        <w:t>determina</w:t>
      </w:r>
      <w:r w:rsidR="00470ADC" w:rsidRPr="00D5464D">
        <w:rPr>
          <w:rFonts w:eastAsia="Batang" w:cs="Times"/>
          <w:szCs w:val="24"/>
          <w:lang w:val="pt-BR" w:eastAsia="es-ES"/>
        </w:rPr>
        <w:t xml:space="preserve">ção das </w:t>
      </w:r>
      <w:r w:rsidR="002C330E" w:rsidRPr="00D5464D">
        <w:rPr>
          <w:rFonts w:eastAsia="Batang" w:cs="Times"/>
          <w:szCs w:val="24"/>
          <w:lang w:val="pt-BR" w:eastAsia="es-ES"/>
        </w:rPr>
        <w:t>suposta</w:t>
      </w:r>
      <w:r w:rsidR="004019FE" w:rsidRPr="00D5464D">
        <w:rPr>
          <w:rFonts w:eastAsia="Batang" w:cs="Times"/>
          <w:szCs w:val="24"/>
          <w:lang w:val="pt-BR" w:eastAsia="es-ES"/>
        </w:rPr>
        <w:t xml:space="preserve">s </w:t>
      </w:r>
      <w:r w:rsidR="00E045D9" w:rsidRPr="00D5464D">
        <w:rPr>
          <w:rFonts w:eastAsia="Batang" w:cs="Times"/>
          <w:szCs w:val="24"/>
          <w:lang w:val="pt-BR" w:eastAsia="es-ES"/>
        </w:rPr>
        <w:t>vítima</w:t>
      </w:r>
      <w:r w:rsidR="004019FE" w:rsidRPr="00D5464D">
        <w:rPr>
          <w:rFonts w:eastAsia="Batang" w:cs="Times"/>
          <w:szCs w:val="24"/>
          <w:lang w:val="pt-BR" w:eastAsia="es-ES"/>
        </w:rPr>
        <w:t>s (</w:t>
      </w:r>
      <w:r w:rsidR="00C85EA9" w:rsidRPr="00D5464D">
        <w:rPr>
          <w:rFonts w:eastAsia="Batang" w:cs="Times"/>
          <w:szCs w:val="24"/>
          <w:lang w:val="pt-BR" w:eastAsia="es-ES"/>
        </w:rPr>
        <w:t xml:space="preserve">par. </w:t>
      </w:r>
      <w:r w:rsidR="00B11D04" w:rsidRPr="00D5464D">
        <w:rPr>
          <w:rFonts w:eastAsia="Batang" w:cs="Times"/>
          <w:szCs w:val="24"/>
          <w:lang w:val="pt-BR" w:eastAsia="es-ES"/>
        </w:rPr>
        <w:t>189</w:t>
      </w:r>
      <w:r w:rsidR="00B11D04" w:rsidRPr="00D5464D">
        <w:rPr>
          <w:rFonts w:eastAsia="Batang" w:cs="Times"/>
          <w:i/>
          <w:szCs w:val="24"/>
          <w:lang w:val="pt-BR" w:eastAsia="es-ES"/>
        </w:rPr>
        <w:t xml:space="preserve"> infra</w:t>
      </w:r>
      <w:r w:rsidR="00B11D04" w:rsidRPr="00D5464D">
        <w:rPr>
          <w:rFonts w:eastAsia="Batang" w:cs="Times"/>
          <w:szCs w:val="24"/>
          <w:lang w:val="pt-BR" w:eastAsia="es-ES"/>
        </w:rPr>
        <w:t>)</w:t>
      </w:r>
      <w:r w:rsidR="004019FE" w:rsidRPr="00D5464D">
        <w:rPr>
          <w:rFonts w:eastAsia="Batang" w:cs="Times"/>
          <w:szCs w:val="24"/>
          <w:lang w:val="pt-BR" w:eastAsia="es-ES"/>
        </w:rPr>
        <w:t>,</w:t>
      </w:r>
      <w:r w:rsidR="00834C2B" w:rsidRPr="00D5464D">
        <w:rPr>
          <w:rFonts w:eastAsia="Batang" w:cs="Times"/>
          <w:szCs w:val="24"/>
          <w:lang w:val="pt-BR" w:eastAsia="es-ES"/>
        </w:rPr>
        <w:t xml:space="preserve"> </w:t>
      </w:r>
      <w:r w:rsidR="00C85EA9" w:rsidRPr="00D5464D">
        <w:rPr>
          <w:rFonts w:eastAsia="Batang" w:cs="Times"/>
          <w:szCs w:val="24"/>
          <w:lang w:val="pt-BR" w:eastAsia="es-ES"/>
        </w:rPr>
        <w:t xml:space="preserve">a Corte considera </w:t>
      </w:r>
      <w:r w:rsidR="00834C2B" w:rsidRPr="00D5464D">
        <w:rPr>
          <w:rFonts w:eastAsia="Batang" w:cs="Times"/>
          <w:szCs w:val="24"/>
          <w:lang w:val="pt-BR" w:eastAsia="es-ES"/>
        </w:rPr>
        <w:t>que</w:t>
      </w:r>
      <w:r w:rsidR="00470ADC" w:rsidRPr="00D5464D">
        <w:rPr>
          <w:rFonts w:eastAsia="Batang" w:cs="Times"/>
          <w:szCs w:val="24"/>
          <w:lang w:val="pt-BR" w:eastAsia="es-ES"/>
        </w:rPr>
        <w:t xml:space="preserve"> o estudo da </w:t>
      </w:r>
      <w:r w:rsidR="002C330E" w:rsidRPr="00D5464D">
        <w:rPr>
          <w:rFonts w:eastAsia="Batang" w:cs="Times"/>
          <w:szCs w:val="24"/>
          <w:lang w:val="pt-BR" w:eastAsia="es-ES"/>
        </w:rPr>
        <w:t>prova</w:t>
      </w:r>
      <w:r w:rsidR="00E045D9" w:rsidRPr="00D5464D">
        <w:rPr>
          <w:rFonts w:eastAsia="Batang" w:cs="Times"/>
          <w:szCs w:val="24"/>
          <w:lang w:val="pt-BR" w:eastAsia="es-ES"/>
        </w:rPr>
        <w:t xml:space="preserve"> e </w:t>
      </w:r>
      <w:r w:rsidR="00C85EA9" w:rsidRPr="00D5464D">
        <w:rPr>
          <w:rFonts w:eastAsia="Batang" w:cs="Times"/>
          <w:szCs w:val="24"/>
          <w:lang w:val="pt-BR" w:eastAsia="es-ES"/>
        </w:rPr>
        <w:t>d</w:t>
      </w:r>
      <w:r w:rsidR="002C330E" w:rsidRPr="00D5464D">
        <w:rPr>
          <w:rFonts w:eastAsia="Batang" w:cs="Times"/>
          <w:szCs w:val="24"/>
          <w:lang w:val="pt-BR" w:eastAsia="es-ES"/>
        </w:rPr>
        <w:t>os fatos</w:t>
      </w:r>
      <w:r w:rsidR="00834C2B" w:rsidRPr="00D5464D">
        <w:rPr>
          <w:rFonts w:eastAsia="Batang" w:cs="Times"/>
          <w:szCs w:val="24"/>
          <w:lang w:val="pt-BR" w:eastAsia="es-ES"/>
        </w:rPr>
        <w:t xml:space="preserve"> relativos</w:t>
      </w:r>
      <w:r w:rsidR="00470ADC" w:rsidRPr="00D5464D">
        <w:rPr>
          <w:rFonts w:eastAsia="Batang" w:cs="Times"/>
          <w:szCs w:val="24"/>
          <w:lang w:val="pt-BR" w:eastAsia="es-ES"/>
        </w:rPr>
        <w:t xml:space="preserve"> à </w:t>
      </w:r>
      <w:r w:rsidR="00834C2B" w:rsidRPr="00D5464D">
        <w:rPr>
          <w:rFonts w:eastAsia="Batang" w:cs="Times"/>
          <w:szCs w:val="24"/>
          <w:lang w:val="pt-BR" w:eastAsia="es-ES"/>
        </w:rPr>
        <w:t>verifica</w:t>
      </w:r>
      <w:r w:rsidR="00470ADC" w:rsidRPr="00D5464D">
        <w:rPr>
          <w:rFonts w:eastAsia="Batang" w:cs="Times"/>
          <w:szCs w:val="24"/>
          <w:lang w:val="pt-BR" w:eastAsia="es-ES"/>
        </w:rPr>
        <w:t xml:space="preserve">ção da </w:t>
      </w:r>
      <w:r w:rsidR="00834C2B" w:rsidRPr="00D5464D">
        <w:rPr>
          <w:rFonts w:eastAsia="Batang" w:cs="Times"/>
          <w:szCs w:val="24"/>
          <w:lang w:val="pt-BR" w:eastAsia="es-ES"/>
        </w:rPr>
        <w:t>rela</w:t>
      </w:r>
      <w:r w:rsidR="00470ADC" w:rsidRPr="00D5464D">
        <w:rPr>
          <w:rFonts w:eastAsia="Batang" w:cs="Times"/>
          <w:szCs w:val="24"/>
          <w:lang w:val="pt-BR" w:eastAsia="es-ES"/>
        </w:rPr>
        <w:t>ção</w:t>
      </w:r>
      <w:r w:rsidR="00834C2B" w:rsidRPr="00D5464D">
        <w:rPr>
          <w:rFonts w:eastAsia="Batang" w:cs="Times"/>
          <w:szCs w:val="24"/>
          <w:lang w:val="pt-BR" w:eastAsia="es-ES"/>
        </w:rPr>
        <w:t xml:space="preserve"> de </w:t>
      </w:r>
      <w:r w:rsidR="00E045D9" w:rsidRPr="00D5464D">
        <w:rPr>
          <w:rFonts w:eastAsia="Batang" w:cs="Times"/>
          <w:szCs w:val="24"/>
          <w:lang w:val="pt-BR" w:eastAsia="es-ES"/>
        </w:rPr>
        <w:t>trabalho</w:t>
      </w:r>
      <w:r w:rsidR="00470ADC" w:rsidRPr="00D5464D">
        <w:rPr>
          <w:rFonts w:eastAsia="Batang" w:cs="Times"/>
          <w:szCs w:val="24"/>
          <w:lang w:val="pt-BR" w:eastAsia="es-ES"/>
        </w:rPr>
        <w:t xml:space="preserve"> das </w:t>
      </w:r>
      <w:r w:rsidR="002C330E" w:rsidRPr="00D5464D">
        <w:rPr>
          <w:rFonts w:eastAsia="Batang" w:cs="Times"/>
          <w:szCs w:val="24"/>
          <w:lang w:val="pt-BR" w:eastAsia="es-ES"/>
        </w:rPr>
        <w:t>suposta</w:t>
      </w:r>
      <w:r w:rsidR="00834C2B" w:rsidRPr="00D5464D">
        <w:rPr>
          <w:rFonts w:eastAsia="Batang" w:cs="Times"/>
          <w:szCs w:val="24"/>
          <w:lang w:val="pt-BR" w:eastAsia="es-ES"/>
        </w:rPr>
        <w:t xml:space="preserve">s </w:t>
      </w:r>
      <w:r w:rsidR="00E045D9" w:rsidRPr="00D5464D">
        <w:rPr>
          <w:rFonts w:eastAsia="Batang" w:cs="Times"/>
          <w:szCs w:val="24"/>
          <w:lang w:val="pt-BR" w:eastAsia="es-ES"/>
        </w:rPr>
        <w:t>vítima</w:t>
      </w:r>
      <w:r w:rsidR="00834C2B" w:rsidRPr="00D5464D">
        <w:rPr>
          <w:rFonts w:eastAsia="Batang" w:cs="Times"/>
          <w:szCs w:val="24"/>
          <w:lang w:val="pt-BR" w:eastAsia="es-ES"/>
        </w:rPr>
        <w:t>s</w:t>
      </w:r>
      <w:r w:rsidR="00E045D9" w:rsidRPr="00D5464D">
        <w:rPr>
          <w:rFonts w:eastAsia="Batang" w:cs="Times"/>
          <w:szCs w:val="24"/>
          <w:lang w:val="pt-BR" w:eastAsia="es-ES"/>
        </w:rPr>
        <w:t xml:space="preserve"> </w:t>
      </w:r>
      <w:r w:rsidR="00C85EA9" w:rsidRPr="00D5464D">
        <w:rPr>
          <w:rFonts w:eastAsia="Batang" w:cs="Times"/>
          <w:szCs w:val="24"/>
          <w:lang w:val="pt-BR" w:eastAsia="es-ES"/>
        </w:rPr>
        <w:t>com</w:t>
      </w:r>
      <w:r w:rsidR="00E045D9" w:rsidRPr="00D5464D">
        <w:rPr>
          <w:rFonts w:eastAsia="Batang" w:cs="Times"/>
          <w:szCs w:val="24"/>
          <w:lang w:val="pt-BR" w:eastAsia="es-ES"/>
        </w:rPr>
        <w:t xml:space="preserve"> </w:t>
      </w:r>
      <w:r w:rsidR="002C330E" w:rsidRPr="00D5464D">
        <w:rPr>
          <w:rFonts w:eastAsia="Batang" w:cs="Times"/>
          <w:szCs w:val="24"/>
          <w:lang w:val="pt-BR" w:eastAsia="es-ES"/>
        </w:rPr>
        <w:t xml:space="preserve">a </w:t>
      </w:r>
      <w:r w:rsidR="00834C2B" w:rsidRPr="00D5464D">
        <w:rPr>
          <w:rFonts w:eastAsia="Batang" w:cs="Times"/>
          <w:szCs w:val="24"/>
          <w:lang w:val="pt-BR" w:eastAsia="es-ES"/>
        </w:rPr>
        <w:t xml:space="preserve">mencionada </w:t>
      </w:r>
      <w:r w:rsidR="00D809F0" w:rsidRPr="00D5464D">
        <w:rPr>
          <w:rFonts w:eastAsia="Batang" w:cs="Times"/>
          <w:szCs w:val="24"/>
          <w:lang w:val="pt-BR" w:eastAsia="es-ES"/>
        </w:rPr>
        <w:t>fazenda</w:t>
      </w:r>
      <w:r w:rsidR="00834C2B" w:rsidRPr="00D5464D">
        <w:rPr>
          <w:rFonts w:eastAsia="Batang" w:cs="Times"/>
          <w:szCs w:val="24"/>
          <w:lang w:val="pt-BR" w:eastAsia="es-ES"/>
        </w:rPr>
        <w:t xml:space="preserve"> correspon</w:t>
      </w:r>
      <w:r w:rsidR="00E045D9" w:rsidRPr="00D5464D">
        <w:rPr>
          <w:rFonts w:eastAsia="Batang" w:cs="Times"/>
          <w:szCs w:val="24"/>
          <w:lang w:val="pt-BR" w:eastAsia="es-ES"/>
        </w:rPr>
        <w:t>d</w:t>
      </w:r>
      <w:r w:rsidR="00C85EA9" w:rsidRPr="00D5464D">
        <w:rPr>
          <w:rFonts w:eastAsia="Batang" w:cs="Times"/>
          <w:szCs w:val="24"/>
          <w:lang w:val="pt-BR" w:eastAsia="es-ES"/>
        </w:rPr>
        <w:t>e à</w:t>
      </w:r>
      <w:r w:rsidRPr="00D5464D">
        <w:rPr>
          <w:rFonts w:eastAsia="Batang" w:cs="Times"/>
          <w:szCs w:val="24"/>
          <w:lang w:val="pt-BR" w:eastAsia="es-ES"/>
        </w:rPr>
        <w:t xml:space="preserve"> análise</w:t>
      </w:r>
      <w:r w:rsidR="00834C2B" w:rsidRPr="00D5464D">
        <w:rPr>
          <w:rFonts w:eastAsia="Batang" w:cs="Times"/>
          <w:szCs w:val="24"/>
          <w:lang w:val="pt-BR" w:eastAsia="es-ES"/>
        </w:rPr>
        <w:t xml:space="preserve"> de </w:t>
      </w:r>
      <w:r w:rsidR="00470ADC" w:rsidRPr="00D5464D">
        <w:rPr>
          <w:rFonts w:eastAsia="Batang" w:cs="Times"/>
          <w:szCs w:val="24"/>
          <w:lang w:val="pt-BR" w:eastAsia="es-ES"/>
        </w:rPr>
        <w:t>mérito</w:t>
      </w:r>
      <w:r w:rsidR="00834C2B" w:rsidRPr="00D5464D">
        <w:rPr>
          <w:rFonts w:eastAsia="Batang" w:cs="Times"/>
          <w:szCs w:val="24"/>
          <w:lang w:val="pt-BR" w:eastAsia="es-ES"/>
        </w:rPr>
        <w:t xml:space="preserve"> </w:t>
      </w:r>
      <w:r w:rsidR="00470ADC" w:rsidRPr="00D5464D">
        <w:rPr>
          <w:rFonts w:eastAsia="Batang" w:cs="Times"/>
          <w:szCs w:val="24"/>
          <w:lang w:val="pt-BR" w:eastAsia="es-ES"/>
        </w:rPr>
        <w:t xml:space="preserve">do </w:t>
      </w:r>
      <w:r w:rsidR="00834C2B" w:rsidRPr="00D5464D">
        <w:rPr>
          <w:rFonts w:eastAsia="Batang" w:cs="Times"/>
          <w:szCs w:val="24"/>
          <w:lang w:val="pt-BR" w:eastAsia="es-ES"/>
        </w:rPr>
        <w:t>presente caso</w:t>
      </w:r>
      <w:r w:rsidR="00C85EA9" w:rsidRPr="00D5464D">
        <w:rPr>
          <w:rFonts w:eastAsia="Batang" w:cs="Times"/>
          <w:szCs w:val="24"/>
          <w:lang w:val="pt-BR" w:eastAsia="es-ES"/>
        </w:rPr>
        <w:t>. P</w:t>
      </w:r>
      <w:r w:rsidR="00EB1CE9" w:rsidRPr="00D5464D">
        <w:rPr>
          <w:rFonts w:eastAsia="Batang" w:cs="Times"/>
          <w:szCs w:val="24"/>
          <w:lang w:val="pt-BR" w:eastAsia="es-ES"/>
        </w:rPr>
        <w:t xml:space="preserve">or </w:t>
      </w:r>
      <w:r w:rsidR="00470ADC" w:rsidRPr="00D5464D">
        <w:rPr>
          <w:rFonts w:eastAsia="Batang" w:cs="Times"/>
          <w:szCs w:val="24"/>
          <w:lang w:val="pt-BR" w:eastAsia="es-ES"/>
        </w:rPr>
        <w:t xml:space="preserve">essa </w:t>
      </w:r>
      <w:r w:rsidR="002C330E" w:rsidRPr="00D5464D">
        <w:rPr>
          <w:rFonts w:eastAsia="Batang" w:cs="Times"/>
          <w:szCs w:val="24"/>
          <w:lang w:val="pt-BR" w:eastAsia="es-ES"/>
        </w:rPr>
        <w:t>razão</w:t>
      </w:r>
      <w:r w:rsidR="00C85EA9" w:rsidRPr="00D5464D">
        <w:rPr>
          <w:rFonts w:eastAsia="Batang" w:cs="Times"/>
          <w:szCs w:val="24"/>
          <w:lang w:val="pt-BR" w:eastAsia="es-ES"/>
        </w:rPr>
        <w:t>,</w:t>
      </w:r>
      <w:r w:rsidR="00834C2B" w:rsidRPr="00D5464D">
        <w:rPr>
          <w:rFonts w:eastAsia="Batang" w:cs="Times"/>
          <w:szCs w:val="24"/>
          <w:lang w:val="pt-BR" w:eastAsia="es-ES"/>
        </w:rPr>
        <w:t xml:space="preserve"> </w:t>
      </w:r>
      <w:r w:rsidR="00C85EA9" w:rsidRPr="00D5464D">
        <w:rPr>
          <w:rFonts w:eastAsia="Batang" w:cs="Times"/>
          <w:szCs w:val="24"/>
          <w:lang w:val="pt-BR" w:eastAsia="es-ES"/>
        </w:rPr>
        <w:t xml:space="preserve">rejeita </w:t>
      </w:r>
      <w:r w:rsidR="002C330E" w:rsidRPr="00D5464D">
        <w:rPr>
          <w:rFonts w:eastAsia="Batang" w:cs="Times"/>
          <w:szCs w:val="24"/>
          <w:lang w:val="pt-BR" w:eastAsia="es-ES"/>
        </w:rPr>
        <w:t xml:space="preserve">a </w:t>
      </w:r>
      <w:r w:rsidR="00470ADC" w:rsidRPr="00D5464D">
        <w:rPr>
          <w:rFonts w:eastAsia="Batang" w:cs="Times"/>
          <w:szCs w:val="24"/>
          <w:lang w:val="pt-BR" w:eastAsia="es-ES"/>
        </w:rPr>
        <w:t>exceção</w:t>
      </w:r>
      <w:r w:rsidR="00834C2B" w:rsidRPr="00D5464D">
        <w:rPr>
          <w:rFonts w:eastAsia="Batang" w:cs="Times"/>
          <w:szCs w:val="24"/>
          <w:lang w:val="pt-BR" w:eastAsia="es-ES"/>
        </w:rPr>
        <w:t xml:space="preserve"> preliminar relacionada</w:t>
      </w:r>
      <w:r w:rsidR="00470ADC" w:rsidRPr="00D5464D">
        <w:rPr>
          <w:rFonts w:eastAsia="Batang" w:cs="Times"/>
          <w:szCs w:val="24"/>
          <w:lang w:val="pt-BR" w:eastAsia="es-ES"/>
        </w:rPr>
        <w:t xml:space="preserve"> </w:t>
      </w:r>
      <w:r w:rsidR="00C85EA9" w:rsidRPr="00D5464D">
        <w:rPr>
          <w:rFonts w:eastAsia="Batang" w:cs="Times"/>
          <w:szCs w:val="24"/>
          <w:lang w:val="pt-BR" w:eastAsia="es-ES"/>
        </w:rPr>
        <w:t>à</w:t>
      </w:r>
      <w:r w:rsidR="002C330E" w:rsidRPr="00D5464D">
        <w:rPr>
          <w:rFonts w:eastAsia="Batang" w:cs="Times"/>
          <w:szCs w:val="24"/>
          <w:lang w:val="pt-BR" w:eastAsia="es-ES"/>
        </w:rPr>
        <w:t xml:space="preserve"> </w:t>
      </w:r>
      <w:r w:rsidR="00834C2B" w:rsidRPr="00D5464D">
        <w:rPr>
          <w:rFonts w:eastAsia="Batang" w:cs="Times"/>
          <w:szCs w:val="24"/>
          <w:lang w:val="pt-BR" w:eastAsia="es-ES"/>
        </w:rPr>
        <w:t>su</w:t>
      </w:r>
      <w:r w:rsidR="002C330E" w:rsidRPr="00D5464D">
        <w:rPr>
          <w:rFonts w:eastAsia="Batang" w:cs="Times"/>
          <w:szCs w:val="24"/>
          <w:lang w:val="pt-BR" w:eastAsia="es-ES"/>
        </w:rPr>
        <w:t>posta</w:t>
      </w:r>
      <w:r w:rsidR="00834C2B" w:rsidRPr="00D5464D">
        <w:rPr>
          <w:rFonts w:eastAsia="Batang" w:cs="Times"/>
          <w:szCs w:val="24"/>
          <w:lang w:val="pt-BR" w:eastAsia="es-ES"/>
        </w:rPr>
        <w:t xml:space="preserve"> falta de rela</w:t>
      </w:r>
      <w:r w:rsidR="00470ADC" w:rsidRPr="00D5464D">
        <w:rPr>
          <w:rFonts w:eastAsia="Batang" w:cs="Times"/>
          <w:szCs w:val="24"/>
          <w:lang w:val="pt-BR" w:eastAsia="es-ES"/>
        </w:rPr>
        <w:t>ção</w:t>
      </w:r>
      <w:r w:rsidR="00834C2B" w:rsidRPr="00D5464D">
        <w:rPr>
          <w:rFonts w:eastAsia="Batang" w:cs="Times"/>
          <w:szCs w:val="24"/>
          <w:lang w:val="pt-BR" w:eastAsia="es-ES"/>
        </w:rPr>
        <w:t xml:space="preserve"> de </w:t>
      </w:r>
      <w:r w:rsidR="00470ADC" w:rsidRPr="00D5464D">
        <w:rPr>
          <w:rFonts w:eastAsia="Batang" w:cs="Times"/>
          <w:szCs w:val="24"/>
          <w:lang w:val="pt-BR" w:eastAsia="es-ES"/>
        </w:rPr>
        <w:t>algumas</w:t>
      </w:r>
      <w:r w:rsidR="00834C2B" w:rsidRPr="00D5464D">
        <w:rPr>
          <w:rFonts w:eastAsia="Batang" w:cs="Times"/>
          <w:szCs w:val="24"/>
          <w:lang w:val="pt-BR" w:eastAsia="es-ES"/>
        </w:rPr>
        <w:t xml:space="preserve"> </w:t>
      </w:r>
      <w:r w:rsidR="002C330E" w:rsidRPr="00D5464D">
        <w:rPr>
          <w:rFonts w:eastAsia="Batang" w:cs="Times"/>
          <w:szCs w:val="24"/>
          <w:lang w:val="pt-BR" w:eastAsia="es-ES"/>
        </w:rPr>
        <w:t>suposta</w:t>
      </w:r>
      <w:r w:rsidR="00834C2B" w:rsidRPr="00D5464D">
        <w:rPr>
          <w:rFonts w:eastAsia="Batang" w:cs="Times"/>
          <w:szCs w:val="24"/>
          <w:lang w:val="pt-BR" w:eastAsia="es-ES"/>
        </w:rPr>
        <w:t xml:space="preserve">s </w:t>
      </w:r>
      <w:r w:rsidR="00E045D9" w:rsidRPr="00D5464D">
        <w:rPr>
          <w:rFonts w:eastAsia="Batang" w:cs="Times"/>
          <w:szCs w:val="24"/>
          <w:lang w:val="pt-BR" w:eastAsia="es-ES"/>
        </w:rPr>
        <w:t>vítima</w:t>
      </w:r>
      <w:r w:rsidR="00834C2B" w:rsidRPr="00D5464D">
        <w:rPr>
          <w:rFonts w:eastAsia="Batang" w:cs="Times"/>
          <w:szCs w:val="24"/>
          <w:lang w:val="pt-BR" w:eastAsia="es-ES"/>
        </w:rPr>
        <w:t>s</w:t>
      </w:r>
      <w:r w:rsidR="00470ADC" w:rsidRPr="00D5464D">
        <w:rPr>
          <w:rFonts w:eastAsia="Batang" w:cs="Times"/>
          <w:szCs w:val="24"/>
          <w:lang w:val="pt-BR" w:eastAsia="es-ES"/>
        </w:rPr>
        <w:t xml:space="preserve"> com</w:t>
      </w:r>
      <w:r w:rsidR="002C330E" w:rsidRPr="00D5464D">
        <w:rPr>
          <w:rFonts w:eastAsia="Batang" w:cs="Times"/>
          <w:szCs w:val="24"/>
          <w:lang w:val="pt-BR" w:eastAsia="es-ES"/>
        </w:rPr>
        <w:t xml:space="preserve"> os fatos</w:t>
      </w:r>
      <w:r w:rsidR="00834C2B" w:rsidRPr="00D5464D">
        <w:rPr>
          <w:rFonts w:eastAsia="Batang" w:cs="Times"/>
          <w:szCs w:val="24"/>
          <w:lang w:val="pt-BR" w:eastAsia="es-ES"/>
        </w:rPr>
        <w:t xml:space="preserve"> </w:t>
      </w:r>
      <w:r w:rsidR="00470ADC" w:rsidRPr="00D5464D">
        <w:rPr>
          <w:rFonts w:eastAsia="Batang" w:cs="Times"/>
          <w:szCs w:val="24"/>
          <w:lang w:val="pt-BR" w:eastAsia="es-ES"/>
        </w:rPr>
        <w:t xml:space="preserve">do </w:t>
      </w:r>
      <w:r w:rsidR="00834C2B" w:rsidRPr="00D5464D">
        <w:rPr>
          <w:rFonts w:eastAsia="Batang" w:cs="Times"/>
          <w:szCs w:val="24"/>
          <w:lang w:val="pt-BR" w:eastAsia="es-ES"/>
        </w:rPr>
        <w:t>caso.</w:t>
      </w:r>
    </w:p>
    <w:p w14:paraId="282485D7" w14:textId="77777777" w:rsidR="000A52D5" w:rsidRPr="00D5464D" w:rsidRDefault="000A52D5" w:rsidP="00140440">
      <w:pPr>
        <w:tabs>
          <w:tab w:val="clear" w:pos="4419"/>
          <w:tab w:val="clear" w:pos="8838"/>
        </w:tabs>
        <w:jc w:val="both"/>
        <w:rPr>
          <w:rFonts w:eastAsia="Batang" w:cs="Times"/>
          <w:szCs w:val="24"/>
          <w:lang w:val="pt-BR" w:eastAsia="es-ES"/>
        </w:rPr>
      </w:pPr>
    </w:p>
    <w:p w14:paraId="1C2F45BA" w14:textId="46055F72" w:rsidR="000A52D5" w:rsidRPr="00D5464D" w:rsidRDefault="000A52D5" w:rsidP="00F306D7">
      <w:pPr>
        <w:pStyle w:val="Ttulo2"/>
        <w:numPr>
          <w:ilvl w:val="0"/>
          <w:numId w:val="15"/>
        </w:numPr>
        <w:rPr>
          <w:rFonts w:eastAsia="Batang"/>
          <w:lang w:val="pt-BR" w:eastAsia="es-ES"/>
        </w:rPr>
      </w:pPr>
      <w:bookmarkStart w:id="82" w:name="_Toc468433857"/>
      <w:r w:rsidRPr="00D5464D">
        <w:rPr>
          <w:rFonts w:eastAsia="Batang"/>
          <w:lang w:val="pt-BR" w:eastAsia="es-ES"/>
        </w:rPr>
        <w:t>Alegada in</w:t>
      </w:r>
      <w:r w:rsidR="00470ADC" w:rsidRPr="00D5464D">
        <w:rPr>
          <w:rFonts w:eastAsia="Batang"/>
          <w:lang w:val="pt-BR" w:eastAsia="es-ES"/>
        </w:rPr>
        <w:t>competência</w:t>
      </w:r>
      <w:r w:rsidRPr="00D5464D">
        <w:rPr>
          <w:rFonts w:eastAsia="Batang"/>
          <w:lang w:val="pt-BR" w:eastAsia="es-ES"/>
        </w:rPr>
        <w:t xml:space="preserve"> </w:t>
      </w:r>
      <w:r w:rsidR="00477681" w:rsidRPr="00D5464D">
        <w:rPr>
          <w:rFonts w:eastAsia="Batang"/>
          <w:lang w:val="pt-BR" w:eastAsia="es-ES"/>
        </w:rPr>
        <w:t>ratione personae</w:t>
      </w:r>
      <w:r w:rsidRPr="00D5464D">
        <w:rPr>
          <w:rFonts w:eastAsia="Batang"/>
          <w:lang w:val="pt-BR" w:eastAsia="es-ES"/>
        </w:rPr>
        <w:t xml:space="preserve"> de viola</w:t>
      </w:r>
      <w:r w:rsidR="00470ADC" w:rsidRPr="00D5464D">
        <w:rPr>
          <w:rFonts w:eastAsia="Batang"/>
          <w:lang w:val="pt-BR" w:eastAsia="es-ES"/>
        </w:rPr>
        <w:t xml:space="preserve">ções em </w:t>
      </w:r>
      <w:r w:rsidR="00230C71" w:rsidRPr="00D5464D">
        <w:rPr>
          <w:rFonts w:eastAsia="Batang"/>
          <w:lang w:val="pt-BR" w:eastAsia="es-ES"/>
        </w:rPr>
        <w:t>abstrat</w:t>
      </w:r>
      <w:r w:rsidRPr="00D5464D">
        <w:rPr>
          <w:rFonts w:eastAsia="Batang"/>
          <w:lang w:val="pt-BR" w:eastAsia="es-ES"/>
        </w:rPr>
        <w:t>o</w:t>
      </w:r>
      <w:bookmarkEnd w:id="82"/>
    </w:p>
    <w:p w14:paraId="5C92A206" w14:textId="77777777" w:rsidR="000A52D5" w:rsidRPr="00D5464D" w:rsidRDefault="000A52D5" w:rsidP="00140440">
      <w:pPr>
        <w:tabs>
          <w:tab w:val="clear" w:pos="4419"/>
          <w:tab w:val="clear" w:pos="8838"/>
        </w:tabs>
        <w:jc w:val="both"/>
        <w:rPr>
          <w:rFonts w:eastAsia="Batang" w:cs="Times"/>
          <w:szCs w:val="24"/>
          <w:lang w:val="pt-BR" w:eastAsia="es-ES"/>
        </w:rPr>
      </w:pPr>
    </w:p>
    <w:p w14:paraId="005E9587" w14:textId="75D6E934" w:rsidR="000A52D5" w:rsidRPr="00D5464D" w:rsidRDefault="000A52D5" w:rsidP="000A20C1">
      <w:pPr>
        <w:pStyle w:val="Ttulo3"/>
        <w:rPr>
          <w:lang w:val="pt-BR" w:eastAsia="es-ES"/>
        </w:rPr>
      </w:pPr>
      <w:bookmarkStart w:id="83" w:name="_Toc460432970"/>
      <w:bookmarkStart w:id="84" w:name="_Toc460441901"/>
      <w:bookmarkStart w:id="85" w:name="_Toc462750721"/>
      <w:bookmarkStart w:id="86" w:name="_Toc462751045"/>
      <w:bookmarkStart w:id="87" w:name="_Toc464813897"/>
      <w:bookmarkStart w:id="88" w:name="_Toc468433858"/>
      <w:r w:rsidRPr="00D5464D">
        <w:rPr>
          <w:lang w:val="pt-BR" w:eastAsia="es-ES"/>
        </w:rPr>
        <w:t xml:space="preserve">C.1. </w:t>
      </w:r>
      <w:r w:rsidR="00470ADC" w:rsidRPr="00D5464D">
        <w:rPr>
          <w:lang w:val="pt-BR" w:eastAsia="es-ES"/>
        </w:rPr>
        <w:t>Alegações</w:t>
      </w:r>
      <w:r w:rsidR="00246E8D" w:rsidRPr="00D5464D">
        <w:rPr>
          <w:lang w:val="pt-BR" w:eastAsia="es-ES"/>
        </w:rPr>
        <w:t xml:space="preserve"> </w:t>
      </w:r>
      <w:r w:rsidR="00470ADC" w:rsidRPr="00D5464D">
        <w:rPr>
          <w:lang w:val="pt-BR" w:eastAsia="es-ES"/>
        </w:rPr>
        <w:t xml:space="preserve">do </w:t>
      </w:r>
      <w:r w:rsidR="00246E8D" w:rsidRPr="00D5464D">
        <w:rPr>
          <w:lang w:val="pt-BR" w:eastAsia="es-ES"/>
        </w:rPr>
        <w:t>Estado,</w:t>
      </w:r>
      <w:r w:rsidRPr="00D5464D">
        <w:rPr>
          <w:lang w:val="pt-BR" w:eastAsia="es-ES"/>
        </w:rPr>
        <w:t xml:space="preserve"> observa</w:t>
      </w:r>
      <w:r w:rsidR="00470ADC" w:rsidRPr="00D5464D">
        <w:rPr>
          <w:lang w:val="pt-BR" w:eastAsia="es-ES"/>
        </w:rPr>
        <w:t>ções da Comissão</w:t>
      </w:r>
      <w:r w:rsidR="00E045D9" w:rsidRPr="00D5464D">
        <w:rPr>
          <w:lang w:val="pt-BR" w:eastAsia="es-ES"/>
        </w:rPr>
        <w:t xml:space="preserve"> e </w:t>
      </w:r>
      <w:r w:rsidR="00470ADC" w:rsidRPr="00D5464D">
        <w:rPr>
          <w:lang w:val="pt-BR" w:eastAsia="es-ES"/>
        </w:rPr>
        <w:t xml:space="preserve">dos </w:t>
      </w:r>
      <w:r w:rsidR="00EB1CE9" w:rsidRPr="00D5464D">
        <w:rPr>
          <w:lang w:val="pt-BR" w:eastAsia="es-ES"/>
        </w:rPr>
        <w:t>representante</w:t>
      </w:r>
      <w:r w:rsidRPr="00D5464D">
        <w:rPr>
          <w:lang w:val="pt-BR" w:eastAsia="es-ES"/>
        </w:rPr>
        <w:t>s</w:t>
      </w:r>
      <w:bookmarkEnd w:id="83"/>
      <w:bookmarkEnd w:id="84"/>
      <w:bookmarkEnd w:id="85"/>
      <w:bookmarkEnd w:id="86"/>
      <w:bookmarkEnd w:id="87"/>
      <w:bookmarkEnd w:id="88"/>
      <w:r w:rsidR="00FF1290" w:rsidRPr="00D5464D">
        <w:rPr>
          <w:lang w:val="pt-BR" w:eastAsia="es-ES"/>
        </w:rPr>
        <w:t xml:space="preserve"> </w:t>
      </w:r>
    </w:p>
    <w:p w14:paraId="7FC87C92" w14:textId="77777777" w:rsidR="00D65024" w:rsidRPr="00D5464D" w:rsidRDefault="00D65024" w:rsidP="00D65024">
      <w:pPr>
        <w:tabs>
          <w:tab w:val="clear" w:pos="4419"/>
          <w:tab w:val="clear" w:pos="8838"/>
        </w:tabs>
        <w:jc w:val="both"/>
        <w:rPr>
          <w:rFonts w:eastAsia="Batang" w:cs="Times"/>
          <w:szCs w:val="24"/>
          <w:lang w:val="pt-BR" w:eastAsia="es-ES"/>
        </w:rPr>
      </w:pPr>
    </w:p>
    <w:p w14:paraId="220B5A5D" w14:textId="6D262347" w:rsidR="000A52D5" w:rsidRPr="00D5464D" w:rsidRDefault="00470AD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O </w:t>
      </w:r>
      <w:r w:rsidR="000A52D5" w:rsidRPr="00D5464D">
        <w:rPr>
          <w:rFonts w:eastAsia="Batang" w:cs="Times"/>
          <w:b/>
          <w:i/>
          <w:szCs w:val="24"/>
          <w:lang w:val="pt-BR" w:eastAsia="es-ES"/>
        </w:rPr>
        <w:t>Estado</w:t>
      </w:r>
      <w:r w:rsidR="000A52D5" w:rsidRPr="00D5464D">
        <w:rPr>
          <w:rFonts w:eastAsia="Batang" w:cs="Times"/>
          <w:szCs w:val="24"/>
          <w:lang w:val="pt-BR" w:eastAsia="es-ES"/>
        </w:rPr>
        <w:t xml:space="preserve"> </w:t>
      </w:r>
      <w:r w:rsidR="005F3480" w:rsidRPr="00D5464D">
        <w:rPr>
          <w:rFonts w:eastAsia="Batang" w:cs="Times"/>
          <w:szCs w:val="24"/>
          <w:lang w:val="pt-BR" w:eastAsia="es-ES"/>
        </w:rPr>
        <w:t>afirmou</w:t>
      </w:r>
      <w:r w:rsidR="000A52D5" w:rsidRPr="00D5464D">
        <w:rPr>
          <w:rFonts w:eastAsia="Batang" w:cs="Times"/>
          <w:szCs w:val="24"/>
          <w:lang w:val="pt-BR" w:eastAsia="es-ES"/>
        </w:rPr>
        <w:t xml:space="preserve"> que</w:t>
      </w:r>
      <w:r w:rsidRPr="00D5464D">
        <w:rPr>
          <w:rFonts w:eastAsia="Batang" w:cs="Times"/>
          <w:szCs w:val="24"/>
          <w:lang w:val="pt-BR" w:eastAsia="es-ES"/>
        </w:rPr>
        <w:t xml:space="preserve"> é </w:t>
      </w:r>
      <w:r w:rsidR="000A52D5" w:rsidRPr="00D5464D">
        <w:rPr>
          <w:rFonts w:eastAsia="Batang" w:cs="Times"/>
          <w:szCs w:val="24"/>
          <w:lang w:val="pt-BR" w:eastAsia="es-ES"/>
        </w:rPr>
        <w:t>imperativo que</w:t>
      </w:r>
      <w:r w:rsidRPr="00D5464D">
        <w:rPr>
          <w:rFonts w:eastAsia="Batang" w:cs="Times"/>
          <w:szCs w:val="24"/>
          <w:lang w:val="pt-BR" w:eastAsia="es-ES"/>
        </w:rPr>
        <w:t xml:space="preserve"> o ato </w:t>
      </w:r>
      <w:r w:rsidR="000A52D5" w:rsidRPr="00D5464D">
        <w:rPr>
          <w:rFonts w:eastAsia="Batang" w:cs="Times"/>
          <w:szCs w:val="24"/>
          <w:lang w:val="pt-BR" w:eastAsia="es-ES"/>
        </w:rPr>
        <w:t xml:space="preserve">normativo </w:t>
      </w:r>
      <w:r w:rsidRPr="00D5464D">
        <w:rPr>
          <w:rFonts w:eastAsia="Batang" w:cs="Times"/>
          <w:szCs w:val="24"/>
          <w:lang w:val="pt-BR" w:eastAsia="es-ES"/>
        </w:rPr>
        <w:t>questionad</w:t>
      </w:r>
      <w:r w:rsidR="000A52D5" w:rsidRPr="00D5464D">
        <w:rPr>
          <w:rFonts w:eastAsia="Batang" w:cs="Times"/>
          <w:szCs w:val="24"/>
          <w:lang w:val="pt-BR" w:eastAsia="es-ES"/>
        </w:rPr>
        <w:t>o</w:t>
      </w:r>
      <w:r w:rsidRPr="00D5464D">
        <w:rPr>
          <w:rFonts w:eastAsia="Batang" w:cs="Times"/>
          <w:szCs w:val="24"/>
          <w:lang w:val="pt-BR" w:eastAsia="es-ES"/>
        </w:rPr>
        <w:t xml:space="preserve"> em</w:t>
      </w:r>
      <w:r w:rsidR="00E045D9" w:rsidRPr="00D5464D">
        <w:rPr>
          <w:rFonts w:eastAsia="Batang" w:cs="Times"/>
          <w:szCs w:val="24"/>
          <w:lang w:val="pt-BR" w:eastAsia="es-ES"/>
        </w:rPr>
        <w:t xml:space="preserve"> um </w:t>
      </w:r>
      <w:r w:rsidR="00C85EA9" w:rsidRPr="00D5464D">
        <w:rPr>
          <w:rFonts w:eastAsia="Batang" w:cs="Times"/>
          <w:szCs w:val="24"/>
          <w:lang w:val="pt-BR" w:eastAsia="es-ES"/>
        </w:rPr>
        <w:t>caso contencioso interfi</w:t>
      </w:r>
      <w:r w:rsidR="000A52D5" w:rsidRPr="00D5464D">
        <w:rPr>
          <w:rFonts w:eastAsia="Batang" w:cs="Times"/>
          <w:szCs w:val="24"/>
          <w:lang w:val="pt-BR" w:eastAsia="es-ES"/>
        </w:rPr>
        <w:t>ra</w:t>
      </w:r>
      <w:r w:rsidR="00E045D9" w:rsidRPr="00D5464D">
        <w:rPr>
          <w:rFonts w:eastAsia="Batang" w:cs="Times"/>
          <w:szCs w:val="24"/>
          <w:lang w:val="pt-BR" w:eastAsia="es-ES"/>
        </w:rPr>
        <w:t xml:space="preserve"> na </w:t>
      </w:r>
      <w:r w:rsidR="000A52D5" w:rsidRPr="00D5464D">
        <w:rPr>
          <w:rFonts w:eastAsia="Batang" w:cs="Times"/>
          <w:szCs w:val="24"/>
          <w:lang w:val="pt-BR" w:eastAsia="es-ES"/>
        </w:rPr>
        <w:t xml:space="preserve">esfera de </w:t>
      </w:r>
      <w:r w:rsidR="002C330E" w:rsidRPr="00D5464D">
        <w:rPr>
          <w:rFonts w:eastAsia="Batang" w:cs="Times"/>
          <w:szCs w:val="24"/>
          <w:lang w:val="pt-BR" w:eastAsia="es-ES"/>
        </w:rPr>
        <w:t>liberdades</w:t>
      </w:r>
      <w:r w:rsidRPr="00D5464D">
        <w:rPr>
          <w:rFonts w:eastAsia="Batang" w:cs="Times"/>
          <w:szCs w:val="24"/>
          <w:lang w:val="pt-BR" w:eastAsia="es-ES"/>
        </w:rPr>
        <w:t xml:space="preserve"> </w:t>
      </w:r>
      <w:r w:rsidR="006665EF" w:rsidRPr="00D5464D">
        <w:rPr>
          <w:rFonts w:eastAsia="Batang" w:cs="Times"/>
          <w:szCs w:val="24"/>
          <w:lang w:val="pt-BR" w:eastAsia="es-ES"/>
        </w:rPr>
        <w:t>de</w:t>
      </w:r>
      <w:r w:rsidR="00BA3497" w:rsidRPr="00D5464D">
        <w:rPr>
          <w:rFonts w:eastAsia="Batang" w:cs="Times"/>
          <w:szCs w:val="24"/>
          <w:lang w:val="pt-BR" w:eastAsia="es-ES"/>
        </w:rPr>
        <w:t>,</w:t>
      </w:r>
      <w:r w:rsidR="006665EF" w:rsidRPr="00D5464D">
        <w:rPr>
          <w:rFonts w:eastAsia="Batang" w:cs="Times"/>
          <w:szCs w:val="24"/>
          <w:lang w:val="pt-BR" w:eastAsia="es-ES"/>
        </w:rPr>
        <w:t xml:space="preserve"> a</w:t>
      </w:r>
      <w:r w:rsidRPr="00D5464D">
        <w:rPr>
          <w:rFonts w:eastAsia="Batang" w:cs="Times"/>
          <w:szCs w:val="24"/>
          <w:lang w:val="pt-BR" w:eastAsia="es-ES"/>
        </w:rPr>
        <w:t xml:space="preserve">o </w:t>
      </w:r>
      <w:r w:rsidR="000A52D5" w:rsidRPr="00D5464D">
        <w:rPr>
          <w:rFonts w:eastAsia="Batang" w:cs="Times"/>
          <w:szCs w:val="24"/>
          <w:lang w:val="pt-BR" w:eastAsia="es-ES"/>
        </w:rPr>
        <w:t>menos</w:t>
      </w:r>
      <w:r w:rsidR="00BA3497" w:rsidRPr="00D5464D">
        <w:rPr>
          <w:rFonts w:eastAsia="Batang" w:cs="Times"/>
          <w:szCs w:val="24"/>
          <w:lang w:val="pt-BR" w:eastAsia="es-ES"/>
        </w:rPr>
        <w:t>,</w:t>
      </w:r>
      <w:r w:rsidR="000A52D5" w:rsidRPr="00D5464D">
        <w:rPr>
          <w:rFonts w:eastAsia="Batang" w:cs="Times"/>
          <w:szCs w:val="24"/>
          <w:lang w:val="pt-BR" w:eastAsia="es-ES"/>
        </w:rPr>
        <w:t xml:space="preserve"> </w:t>
      </w:r>
      <w:r w:rsidR="00E045D9" w:rsidRPr="00D5464D">
        <w:rPr>
          <w:rFonts w:eastAsia="Batang" w:cs="Times"/>
          <w:szCs w:val="24"/>
          <w:lang w:val="pt-BR" w:eastAsia="es-ES"/>
        </w:rPr>
        <w:t xml:space="preserve">um </w:t>
      </w:r>
      <w:r w:rsidR="002C330E" w:rsidRPr="00D5464D">
        <w:rPr>
          <w:rFonts w:eastAsia="Batang" w:cs="Times"/>
          <w:szCs w:val="24"/>
          <w:lang w:val="pt-BR" w:eastAsia="es-ES"/>
        </w:rPr>
        <w:t>indivíduo</w:t>
      </w:r>
      <w:r w:rsidR="000A52D5" w:rsidRPr="00D5464D">
        <w:rPr>
          <w:rFonts w:eastAsia="Batang" w:cs="Times"/>
          <w:szCs w:val="24"/>
          <w:lang w:val="pt-BR" w:eastAsia="es-ES"/>
        </w:rPr>
        <w:t xml:space="preserve"> específico,</w:t>
      </w:r>
      <w:r w:rsidR="002C330E" w:rsidRPr="00D5464D">
        <w:rPr>
          <w:rFonts w:eastAsia="Batang" w:cs="Times"/>
          <w:szCs w:val="24"/>
          <w:lang w:val="pt-BR" w:eastAsia="es-ES"/>
        </w:rPr>
        <w:t xml:space="preserve"> pois </w:t>
      </w:r>
      <w:r w:rsidR="006665EF" w:rsidRPr="00D5464D">
        <w:rPr>
          <w:rFonts w:eastAsia="Batang" w:cs="Times"/>
          <w:szCs w:val="24"/>
          <w:lang w:val="pt-BR" w:eastAsia="es-ES"/>
        </w:rPr>
        <w:t xml:space="preserve">caso não seja </w:t>
      </w:r>
      <w:r w:rsidRPr="00D5464D">
        <w:rPr>
          <w:rFonts w:eastAsia="Batang" w:cs="Times"/>
          <w:szCs w:val="24"/>
          <w:lang w:val="pt-BR" w:eastAsia="es-ES"/>
        </w:rPr>
        <w:t>assim</w:t>
      </w:r>
      <w:r w:rsidR="006665EF" w:rsidRPr="00D5464D">
        <w:rPr>
          <w:rFonts w:eastAsia="Batang" w:cs="Times"/>
          <w:szCs w:val="24"/>
          <w:lang w:val="pt-BR" w:eastAsia="es-ES"/>
        </w:rPr>
        <w:t>,</w:t>
      </w:r>
      <w:r w:rsidR="002C330E" w:rsidRPr="00D5464D">
        <w:rPr>
          <w:rFonts w:eastAsia="Batang" w:cs="Times"/>
          <w:szCs w:val="24"/>
          <w:lang w:val="pt-BR" w:eastAsia="es-ES"/>
        </w:rPr>
        <w:t xml:space="preserve"> a </w:t>
      </w:r>
      <w:r w:rsidR="000A52D5" w:rsidRPr="00D5464D">
        <w:rPr>
          <w:rFonts w:eastAsia="Batang" w:cs="Times"/>
          <w:szCs w:val="24"/>
          <w:lang w:val="pt-BR" w:eastAsia="es-ES"/>
        </w:rPr>
        <w:t>Corte</w:t>
      </w:r>
      <w:r w:rsidRPr="00D5464D">
        <w:rPr>
          <w:rFonts w:eastAsia="Batang" w:cs="Times"/>
          <w:szCs w:val="24"/>
          <w:lang w:val="pt-BR" w:eastAsia="es-ES"/>
        </w:rPr>
        <w:t xml:space="preserve"> é </w:t>
      </w:r>
      <w:r w:rsidR="000A52D5" w:rsidRPr="00D5464D">
        <w:rPr>
          <w:rFonts w:eastAsia="Batang" w:cs="Times"/>
          <w:szCs w:val="24"/>
          <w:lang w:val="pt-BR" w:eastAsia="es-ES"/>
        </w:rPr>
        <w:t>in</w:t>
      </w:r>
      <w:r w:rsidR="00A1358C" w:rsidRPr="00D5464D">
        <w:rPr>
          <w:rFonts w:eastAsia="Batang" w:cs="Times"/>
          <w:szCs w:val="24"/>
          <w:lang w:val="pt-BR" w:eastAsia="es-ES"/>
        </w:rPr>
        <w:t>competente</w:t>
      </w:r>
      <w:r w:rsidR="000A52D5" w:rsidRPr="00D5464D">
        <w:rPr>
          <w:rFonts w:eastAsia="Batang" w:cs="Times"/>
          <w:szCs w:val="24"/>
          <w:lang w:val="pt-BR" w:eastAsia="es-ES"/>
        </w:rPr>
        <w:t xml:space="preserve"> para </w:t>
      </w:r>
      <w:r w:rsidR="006665EF" w:rsidRPr="00D5464D">
        <w:rPr>
          <w:rFonts w:eastAsia="Batang" w:cs="Times"/>
          <w:szCs w:val="24"/>
          <w:lang w:val="pt-BR" w:eastAsia="es-ES"/>
        </w:rPr>
        <w:t xml:space="preserve">avaliar </w:t>
      </w:r>
      <w:r w:rsidR="002C330E" w:rsidRPr="00D5464D">
        <w:rPr>
          <w:rFonts w:eastAsia="Batang" w:cs="Times"/>
          <w:szCs w:val="24"/>
          <w:lang w:val="pt-BR" w:eastAsia="es-ES"/>
        </w:rPr>
        <w:t xml:space="preserve">a </w:t>
      </w:r>
      <w:r w:rsidR="00350187" w:rsidRPr="00D5464D">
        <w:rPr>
          <w:rFonts w:eastAsia="Batang" w:cs="Times"/>
          <w:szCs w:val="24"/>
          <w:lang w:val="pt-BR" w:eastAsia="es-ES"/>
        </w:rPr>
        <w:t xml:space="preserve">compatibilidade </w:t>
      </w:r>
      <w:r w:rsidRPr="00D5464D">
        <w:rPr>
          <w:rFonts w:eastAsia="Batang" w:cs="Times"/>
          <w:szCs w:val="24"/>
          <w:lang w:val="pt-BR" w:eastAsia="es-ES"/>
        </w:rPr>
        <w:t xml:space="preserve">desse ato </w:t>
      </w:r>
      <w:r w:rsidR="000A52D5" w:rsidRPr="00D5464D">
        <w:rPr>
          <w:rFonts w:eastAsia="Batang" w:cs="Times"/>
          <w:szCs w:val="24"/>
          <w:lang w:val="pt-BR" w:eastAsia="es-ES"/>
        </w:rPr>
        <w:t>normativo</w:t>
      </w:r>
      <w:r w:rsidRPr="00D5464D">
        <w:rPr>
          <w:rFonts w:eastAsia="Batang" w:cs="Times"/>
          <w:szCs w:val="24"/>
          <w:lang w:val="pt-BR" w:eastAsia="es-ES"/>
        </w:rPr>
        <w:t xml:space="preserve"> com</w:t>
      </w:r>
      <w:r w:rsidR="002C330E" w:rsidRPr="00D5464D">
        <w:rPr>
          <w:rFonts w:eastAsia="Batang" w:cs="Times"/>
          <w:szCs w:val="24"/>
          <w:lang w:val="pt-BR" w:eastAsia="es-ES"/>
        </w:rPr>
        <w:t xml:space="preserve"> a </w:t>
      </w:r>
      <w:r w:rsidR="000A52D5" w:rsidRPr="00D5464D">
        <w:rPr>
          <w:rFonts w:eastAsia="Batang" w:cs="Times"/>
          <w:szCs w:val="24"/>
          <w:lang w:val="pt-BR" w:eastAsia="es-ES"/>
        </w:rPr>
        <w:t>Conven</w:t>
      </w:r>
      <w:r w:rsidRPr="00D5464D">
        <w:rPr>
          <w:rFonts w:eastAsia="Batang" w:cs="Times"/>
          <w:szCs w:val="24"/>
          <w:lang w:val="pt-BR" w:eastAsia="es-ES"/>
        </w:rPr>
        <w:t>ção</w:t>
      </w:r>
      <w:r w:rsidR="00C91CB1" w:rsidRPr="00D5464D">
        <w:rPr>
          <w:rFonts w:eastAsia="Batang" w:cs="Times"/>
          <w:szCs w:val="24"/>
          <w:lang w:val="pt-BR" w:eastAsia="es-ES"/>
        </w:rPr>
        <w:t xml:space="preserve">. No </w:t>
      </w:r>
      <w:r w:rsidR="000A52D5" w:rsidRPr="00D5464D">
        <w:rPr>
          <w:rFonts w:eastAsia="Batang" w:cs="Times"/>
          <w:szCs w:val="24"/>
          <w:lang w:val="pt-BR" w:eastAsia="es-ES"/>
        </w:rPr>
        <w:t xml:space="preserve">caso particular, </w:t>
      </w:r>
      <w:r w:rsidR="002C330E" w:rsidRPr="00D5464D">
        <w:rPr>
          <w:rFonts w:eastAsia="Batang" w:cs="Times"/>
          <w:szCs w:val="24"/>
          <w:lang w:val="pt-BR" w:eastAsia="es-ES"/>
        </w:rPr>
        <w:t>afirmou</w:t>
      </w:r>
      <w:r w:rsidR="000A52D5" w:rsidRPr="00D5464D">
        <w:rPr>
          <w:rFonts w:eastAsia="Batang" w:cs="Times"/>
          <w:szCs w:val="24"/>
          <w:lang w:val="pt-BR" w:eastAsia="es-ES"/>
        </w:rPr>
        <w:t xml:space="preserve"> que</w:t>
      </w:r>
      <w:r w:rsidR="002C330E" w:rsidRPr="00D5464D">
        <w:rPr>
          <w:rFonts w:eastAsia="Batang" w:cs="Times"/>
          <w:szCs w:val="24"/>
          <w:lang w:val="pt-BR" w:eastAsia="es-ES"/>
        </w:rPr>
        <w:t xml:space="preserve"> a </w:t>
      </w:r>
      <w:r w:rsidR="000A52D5" w:rsidRPr="00D5464D">
        <w:rPr>
          <w:rFonts w:eastAsia="Batang" w:cs="Times"/>
          <w:szCs w:val="24"/>
          <w:lang w:val="pt-BR" w:eastAsia="es-ES"/>
        </w:rPr>
        <w:t xml:space="preserve">Corte </w:t>
      </w:r>
      <w:r w:rsidR="00737270" w:rsidRPr="00D5464D">
        <w:rPr>
          <w:rFonts w:eastAsia="Batang" w:cs="Times"/>
          <w:szCs w:val="24"/>
          <w:lang w:val="pt-BR" w:eastAsia="es-ES"/>
        </w:rPr>
        <w:t>não é</w:t>
      </w:r>
      <w:r w:rsidRPr="00D5464D">
        <w:rPr>
          <w:rFonts w:eastAsia="Batang" w:cs="Times"/>
          <w:szCs w:val="24"/>
          <w:lang w:val="pt-BR" w:eastAsia="es-ES"/>
        </w:rPr>
        <w:t xml:space="preserve"> </w:t>
      </w:r>
      <w:r w:rsidR="00A1358C" w:rsidRPr="00D5464D">
        <w:rPr>
          <w:rFonts w:eastAsia="Batang" w:cs="Times"/>
          <w:szCs w:val="24"/>
          <w:lang w:val="pt-BR" w:eastAsia="es-ES"/>
        </w:rPr>
        <w:t>competente</w:t>
      </w:r>
      <w:r w:rsidR="000A52D5" w:rsidRPr="00D5464D">
        <w:rPr>
          <w:rFonts w:eastAsia="Batang" w:cs="Times"/>
          <w:szCs w:val="24"/>
          <w:lang w:val="pt-BR" w:eastAsia="es-ES"/>
        </w:rPr>
        <w:t xml:space="preserve"> para </w:t>
      </w:r>
      <w:r w:rsidRPr="00D5464D">
        <w:rPr>
          <w:rFonts w:eastAsia="Batang" w:cs="Times"/>
          <w:szCs w:val="24"/>
          <w:lang w:val="pt-BR" w:eastAsia="es-ES"/>
        </w:rPr>
        <w:t>conhecer</w:t>
      </w:r>
      <w:r w:rsidR="002C330E" w:rsidRPr="00D5464D">
        <w:rPr>
          <w:rFonts w:eastAsia="Batang" w:cs="Times"/>
          <w:szCs w:val="24"/>
          <w:lang w:val="pt-BR" w:eastAsia="es-ES"/>
        </w:rPr>
        <w:t xml:space="preserve"> </w:t>
      </w:r>
      <w:r w:rsidR="00CA1D8E" w:rsidRPr="00D5464D">
        <w:rPr>
          <w:rFonts w:eastAsia="Batang" w:cs="Times"/>
          <w:szCs w:val="24"/>
          <w:lang w:val="pt-BR" w:eastAsia="es-ES"/>
        </w:rPr>
        <w:t>d</w:t>
      </w:r>
      <w:r w:rsidR="002C330E" w:rsidRPr="00D5464D">
        <w:rPr>
          <w:rFonts w:eastAsia="Batang" w:cs="Times"/>
          <w:szCs w:val="24"/>
          <w:lang w:val="pt-BR" w:eastAsia="es-ES"/>
        </w:rPr>
        <w:t xml:space="preserve">a </w:t>
      </w:r>
      <w:r w:rsidR="000A52D5" w:rsidRPr="00D5464D">
        <w:rPr>
          <w:rFonts w:eastAsia="Batang" w:cs="Times"/>
          <w:szCs w:val="24"/>
          <w:lang w:val="pt-BR" w:eastAsia="es-ES"/>
        </w:rPr>
        <w:t>peti</w:t>
      </w:r>
      <w:r w:rsidRPr="00D5464D">
        <w:rPr>
          <w:rFonts w:eastAsia="Batang" w:cs="Times"/>
          <w:szCs w:val="24"/>
          <w:lang w:val="pt-BR" w:eastAsia="es-ES"/>
        </w:rPr>
        <w:t xml:space="preserve">ção dos </w:t>
      </w:r>
      <w:r w:rsidR="00EB1CE9" w:rsidRPr="00D5464D">
        <w:rPr>
          <w:rFonts w:eastAsia="Batang" w:cs="Times"/>
          <w:szCs w:val="24"/>
          <w:lang w:val="pt-BR" w:eastAsia="es-ES"/>
        </w:rPr>
        <w:t>representante</w:t>
      </w:r>
      <w:r w:rsidR="000A52D5" w:rsidRPr="00D5464D">
        <w:rPr>
          <w:rFonts w:eastAsia="Batang" w:cs="Times"/>
          <w:szCs w:val="24"/>
          <w:lang w:val="pt-BR" w:eastAsia="es-ES"/>
        </w:rPr>
        <w:t xml:space="preserve">s </w:t>
      </w:r>
      <w:r w:rsidR="00CA1D8E" w:rsidRPr="00D5464D">
        <w:rPr>
          <w:rFonts w:eastAsia="Batang" w:cs="Times"/>
          <w:szCs w:val="24"/>
          <w:lang w:val="pt-BR" w:eastAsia="es-ES"/>
        </w:rPr>
        <w:t>quanto</w:t>
      </w:r>
      <w:r w:rsidR="000A52D5" w:rsidRPr="00D5464D">
        <w:rPr>
          <w:rFonts w:eastAsia="Batang" w:cs="Times"/>
          <w:szCs w:val="24"/>
          <w:lang w:val="pt-BR" w:eastAsia="es-ES"/>
        </w:rPr>
        <w:t xml:space="preserve"> </w:t>
      </w:r>
      <w:r w:rsidR="006665EF" w:rsidRPr="00D5464D">
        <w:rPr>
          <w:rFonts w:eastAsia="Batang" w:cs="Times"/>
          <w:szCs w:val="24"/>
          <w:lang w:val="pt-BR" w:eastAsia="es-ES"/>
        </w:rPr>
        <w:t xml:space="preserve">à adoção de </w:t>
      </w:r>
      <w:r w:rsidR="000A52D5" w:rsidRPr="00D5464D">
        <w:rPr>
          <w:rFonts w:eastAsia="Batang" w:cs="Times"/>
          <w:szCs w:val="24"/>
          <w:lang w:val="pt-BR" w:eastAsia="es-ES"/>
        </w:rPr>
        <w:t>medidas legislativas para evitar</w:t>
      </w:r>
      <w:r w:rsidR="00E045D9" w:rsidRPr="00D5464D">
        <w:rPr>
          <w:rFonts w:eastAsia="Batang" w:cs="Times"/>
          <w:szCs w:val="24"/>
          <w:lang w:val="pt-BR" w:eastAsia="es-ES"/>
        </w:rPr>
        <w:t xml:space="preserve"> um </w:t>
      </w:r>
      <w:r w:rsidR="00350187" w:rsidRPr="00D5464D">
        <w:rPr>
          <w:rFonts w:eastAsia="Batang" w:cs="Times"/>
          <w:szCs w:val="24"/>
          <w:lang w:val="pt-BR" w:eastAsia="es-ES"/>
        </w:rPr>
        <w:t>retrocesso</w:t>
      </w:r>
      <w:r w:rsidR="00E045D9" w:rsidRPr="00D5464D">
        <w:rPr>
          <w:rFonts w:eastAsia="Batang" w:cs="Times"/>
          <w:szCs w:val="24"/>
          <w:lang w:val="pt-BR" w:eastAsia="es-ES"/>
        </w:rPr>
        <w:t xml:space="preserve"> no </w:t>
      </w:r>
      <w:r w:rsidR="000A52D5" w:rsidRPr="00D5464D">
        <w:rPr>
          <w:rFonts w:eastAsia="Batang" w:cs="Times"/>
          <w:szCs w:val="24"/>
          <w:lang w:val="pt-BR" w:eastAsia="es-ES"/>
        </w:rPr>
        <w:t>combate</w:t>
      </w:r>
      <w:r w:rsidRPr="00D5464D">
        <w:rPr>
          <w:rFonts w:eastAsia="Batang" w:cs="Times"/>
          <w:szCs w:val="24"/>
          <w:lang w:val="pt-BR" w:eastAsia="es-ES"/>
        </w:rPr>
        <w:t xml:space="preserve"> ao </w:t>
      </w:r>
      <w:r w:rsidR="00E045D9" w:rsidRPr="00D5464D">
        <w:rPr>
          <w:rFonts w:eastAsia="Batang" w:cs="Times"/>
          <w:szCs w:val="24"/>
          <w:lang w:val="pt-BR" w:eastAsia="es-ES"/>
        </w:rPr>
        <w:t>trabalho</w:t>
      </w:r>
      <w:r w:rsidR="000A52D5" w:rsidRPr="00D5464D">
        <w:rPr>
          <w:rFonts w:eastAsia="Batang" w:cs="Times"/>
          <w:szCs w:val="24"/>
          <w:lang w:val="pt-BR" w:eastAsia="es-ES"/>
        </w:rPr>
        <w:t xml:space="preserve"> </w:t>
      </w:r>
      <w:r w:rsidR="004F1CC2" w:rsidRPr="00D5464D">
        <w:rPr>
          <w:rFonts w:eastAsia="Batang" w:cs="Times"/>
          <w:szCs w:val="24"/>
          <w:lang w:val="pt-BR" w:eastAsia="es-ES"/>
        </w:rPr>
        <w:t>escravo</w:t>
      </w:r>
      <w:r w:rsidRPr="00D5464D">
        <w:rPr>
          <w:rFonts w:eastAsia="Batang" w:cs="Times"/>
          <w:szCs w:val="24"/>
          <w:lang w:val="pt-BR" w:eastAsia="es-ES"/>
        </w:rPr>
        <w:t xml:space="preserve"> </w:t>
      </w:r>
      <w:r w:rsidR="006665EF" w:rsidRPr="00D5464D">
        <w:rPr>
          <w:rFonts w:eastAsia="Batang" w:cs="Times"/>
          <w:szCs w:val="24"/>
          <w:lang w:val="pt-BR" w:eastAsia="es-ES"/>
        </w:rPr>
        <w:t>no</w:t>
      </w:r>
      <w:r w:rsidRPr="00D5464D">
        <w:rPr>
          <w:rFonts w:eastAsia="Batang" w:cs="Times"/>
          <w:szCs w:val="24"/>
          <w:lang w:val="pt-BR" w:eastAsia="es-ES"/>
        </w:rPr>
        <w:t xml:space="preserve"> </w:t>
      </w:r>
      <w:r w:rsidR="000A52D5" w:rsidRPr="00D5464D">
        <w:rPr>
          <w:rFonts w:eastAsia="Batang" w:cs="Times"/>
          <w:szCs w:val="24"/>
          <w:lang w:val="pt-BR" w:eastAsia="es-ES"/>
        </w:rPr>
        <w:t>Brasil.</w:t>
      </w:r>
      <w:r w:rsidR="002C330E" w:rsidRPr="00D5464D">
        <w:rPr>
          <w:rFonts w:eastAsia="Batang" w:cs="Times"/>
          <w:szCs w:val="24"/>
          <w:lang w:val="pt-BR" w:eastAsia="es-ES"/>
        </w:rPr>
        <w:t xml:space="preserve"> </w:t>
      </w:r>
      <w:r w:rsidR="006665EF" w:rsidRPr="00D5464D">
        <w:rPr>
          <w:rFonts w:eastAsia="Batang" w:cs="Times"/>
          <w:szCs w:val="24"/>
          <w:lang w:val="pt-BR" w:eastAsia="es-ES"/>
        </w:rPr>
        <w:t xml:space="preserve">Isso </w:t>
      </w:r>
      <w:r w:rsidR="00CA1D8E" w:rsidRPr="00D5464D">
        <w:rPr>
          <w:rFonts w:eastAsia="Batang" w:cs="Times"/>
          <w:szCs w:val="24"/>
          <w:lang w:val="pt-BR" w:eastAsia="es-ES"/>
        </w:rPr>
        <w:t>porque esse pedido estaria</w:t>
      </w:r>
      <w:r w:rsidR="00D4095A" w:rsidRPr="00D5464D">
        <w:rPr>
          <w:rFonts w:eastAsia="Batang" w:cs="Times"/>
          <w:szCs w:val="24"/>
          <w:lang w:val="pt-BR" w:eastAsia="es-ES"/>
        </w:rPr>
        <w:t xml:space="preserve"> condicionado</w:t>
      </w:r>
      <w:r w:rsidR="000A52D5" w:rsidRPr="00D5464D">
        <w:rPr>
          <w:rFonts w:eastAsia="Batang" w:cs="Times"/>
          <w:szCs w:val="24"/>
          <w:lang w:val="pt-BR" w:eastAsia="es-ES"/>
        </w:rPr>
        <w:t xml:space="preserve"> </w:t>
      </w:r>
      <w:r w:rsidR="006665EF" w:rsidRPr="00D5464D">
        <w:rPr>
          <w:rFonts w:eastAsia="Batang" w:cs="Times"/>
          <w:szCs w:val="24"/>
          <w:lang w:val="pt-BR" w:eastAsia="es-ES"/>
        </w:rPr>
        <w:t xml:space="preserve">à existência de </w:t>
      </w:r>
      <w:r w:rsidR="002C330E" w:rsidRPr="00D5464D">
        <w:rPr>
          <w:rFonts w:eastAsia="Batang" w:cs="Times"/>
          <w:szCs w:val="24"/>
          <w:lang w:val="pt-BR" w:eastAsia="es-ES"/>
        </w:rPr>
        <w:t>projeto</w:t>
      </w:r>
      <w:r w:rsidR="000A52D5" w:rsidRPr="00D5464D">
        <w:rPr>
          <w:rFonts w:eastAsia="Batang" w:cs="Times"/>
          <w:szCs w:val="24"/>
          <w:lang w:val="pt-BR" w:eastAsia="es-ES"/>
        </w:rPr>
        <w:t xml:space="preserve">s de </w:t>
      </w:r>
      <w:r w:rsidR="002C330E" w:rsidRPr="00D5464D">
        <w:rPr>
          <w:rFonts w:eastAsia="Batang" w:cs="Times"/>
          <w:szCs w:val="24"/>
          <w:lang w:val="pt-BR" w:eastAsia="es-ES"/>
        </w:rPr>
        <w:t xml:space="preserve">lei </w:t>
      </w:r>
      <w:r w:rsidR="000A52D5" w:rsidRPr="00D5464D">
        <w:rPr>
          <w:rFonts w:eastAsia="Batang" w:cs="Times"/>
          <w:szCs w:val="24"/>
          <w:lang w:val="pt-BR" w:eastAsia="es-ES"/>
        </w:rPr>
        <w:t xml:space="preserve">que </w:t>
      </w:r>
      <w:r w:rsidR="00C85EA9" w:rsidRPr="00D5464D">
        <w:rPr>
          <w:rFonts w:eastAsia="Batang" w:cs="Times"/>
          <w:szCs w:val="24"/>
          <w:lang w:val="pt-BR" w:eastAsia="es-ES"/>
        </w:rPr>
        <w:t xml:space="preserve">busquem </w:t>
      </w:r>
      <w:r w:rsidR="000A52D5" w:rsidRPr="00D5464D">
        <w:rPr>
          <w:rFonts w:eastAsia="Batang" w:cs="Times"/>
          <w:szCs w:val="24"/>
          <w:lang w:val="pt-BR" w:eastAsia="es-ES"/>
        </w:rPr>
        <w:t>reformar</w:t>
      </w:r>
      <w:r w:rsidRPr="00D5464D">
        <w:rPr>
          <w:rFonts w:eastAsia="Batang" w:cs="Times"/>
          <w:szCs w:val="24"/>
          <w:lang w:val="pt-BR" w:eastAsia="es-ES"/>
        </w:rPr>
        <w:t xml:space="preserve"> o artigo</w:t>
      </w:r>
      <w:r w:rsidR="000A52D5" w:rsidRPr="00D5464D">
        <w:rPr>
          <w:rFonts w:eastAsia="Batang" w:cs="Times"/>
          <w:szCs w:val="24"/>
          <w:lang w:val="pt-BR" w:eastAsia="es-ES"/>
        </w:rPr>
        <w:t xml:space="preserve"> 149 </w:t>
      </w:r>
      <w:r w:rsidRPr="00D5464D">
        <w:rPr>
          <w:rFonts w:eastAsia="Batang" w:cs="Times"/>
          <w:szCs w:val="24"/>
          <w:lang w:val="pt-BR" w:eastAsia="es-ES"/>
        </w:rPr>
        <w:t xml:space="preserve">do </w:t>
      </w:r>
      <w:r w:rsidR="000A52D5" w:rsidRPr="00D5464D">
        <w:rPr>
          <w:rFonts w:eastAsia="Batang" w:cs="Times"/>
          <w:szCs w:val="24"/>
          <w:lang w:val="pt-BR" w:eastAsia="es-ES"/>
        </w:rPr>
        <w:t>Código Penal</w:t>
      </w:r>
      <w:r w:rsidRPr="00D5464D">
        <w:rPr>
          <w:rFonts w:eastAsia="Batang" w:cs="Times"/>
          <w:szCs w:val="24"/>
          <w:lang w:val="pt-BR" w:eastAsia="es-ES"/>
        </w:rPr>
        <w:t xml:space="preserve"> e</w:t>
      </w:r>
      <w:r w:rsidR="000A52D5" w:rsidRPr="00D5464D">
        <w:rPr>
          <w:rFonts w:eastAsia="Batang" w:cs="Times"/>
          <w:szCs w:val="24"/>
          <w:lang w:val="pt-BR" w:eastAsia="es-ES"/>
        </w:rPr>
        <w:t xml:space="preserve"> </w:t>
      </w:r>
      <w:r w:rsidRPr="00D5464D">
        <w:rPr>
          <w:rFonts w:eastAsia="Batang" w:cs="Times"/>
          <w:szCs w:val="24"/>
          <w:lang w:val="pt-BR" w:eastAsia="es-ES"/>
        </w:rPr>
        <w:t>este</w:t>
      </w:r>
      <w:r w:rsidR="000A52D5" w:rsidRPr="00D5464D">
        <w:rPr>
          <w:rFonts w:eastAsia="Batang" w:cs="Times"/>
          <w:szCs w:val="24"/>
          <w:lang w:val="pt-BR" w:eastAsia="es-ES"/>
        </w:rPr>
        <w:t xml:space="preserve">s </w:t>
      </w:r>
      <w:r w:rsidR="002C330E" w:rsidRPr="00D5464D">
        <w:rPr>
          <w:rFonts w:eastAsia="Batang" w:cs="Times"/>
          <w:szCs w:val="24"/>
          <w:lang w:val="pt-BR" w:eastAsia="es-ES"/>
        </w:rPr>
        <w:t>projeto</w:t>
      </w:r>
      <w:r w:rsidR="000A52D5" w:rsidRPr="00D5464D">
        <w:rPr>
          <w:rFonts w:eastAsia="Batang" w:cs="Times"/>
          <w:szCs w:val="24"/>
          <w:lang w:val="pt-BR" w:eastAsia="es-ES"/>
        </w:rPr>
        <w:t>s</w:t>
      </w:r>
      <w:r w:rsidR="00230C71" w:rsidRPr="00D5464D">
        <w:rPr>
          <w:rFonts w:eastAsia="Batang" w:cs="Times"/>
          <w:szCs w:val="24"/>
          <w:lang w:val="pt-BR" w:eastAsia="es-ES"/>
        </w:rPr>
        <w:t xml:space="preserve"> não foram</w:t>
      </w:r>
      <w:r w:rsidR="000A52D5" w:rsidRPr="00D5464D">
        <w:rPr>
          <w:rFonts w:eastAsia="Batang" w:cs="Times"/>
          <w:szCs w:val="24"/>
          <w:lang w:val="pt-BR" w:eastAsia="es-ES"/>
        </w:rPr>
        <w:t xml:space="preserve"> promulgados.</w:t>
      </w:r>
    </w:p>
    <w:p w14:paraId="0EBA448E" w14:textId="77777777" w:rsidR="00D65024" w:rsidRPr="00D5464D" w:rsidRDefault="000A52D5" w:rsidP="00D65024">
      <w:p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 </w:t>
      </w:r>
    </w:p>
    <w:p w14:paraId="2D1D7CD0" w14:textId="4403B878" w:rsidR="000A52D5" w:rsidRPr="00D5464D" w:rsidRDefault="00470AD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A </w:t>
      </w:r>
      <w:r w:rsidRPr="00D5464D">
        <w:rPr>
          <w:rFonts w:eastAsia="Batang" w:cs="Times"/>
          <w:b/>
          <w:i/>
          <w:szCs w:val="24"/>
          <w:lang w:val="pt-BR" w:eastAsia="es-ES"/>
        </w:rPr>
        <w:t>Comissão</w:t>
      </w:r>
      <w:r w:rsidR="000A52D5" w:rsidRPr="00D5464D">
        <w:rPr>
          <w:rFonts w:eastAsia="Batang" w:cs="Times"/>
          <w:szCs w:val="24"/>
          <w:lang w:val="pt-BR" w:eastAsia="es-ES"/>
        </w:rPr>
        <w:t xml:space="preserve"> </w:t>
      </w:r>
      <w:r w:rsidR="002C330E" w:rsidRPr="00D5464D">
        <w:rPr>
          <w:rFonts w:eastAsia="Batang" w:cs="Times"/>
          <w:szCs w:val="24"/>
          <w:lang w:val="pt-BR" w:eastAsia="es-ES"/>
        </w:rPr>
        <w:t>observou</w:t>
      </w:r>
      <w:r w:rsidR="000A52D5" w:rsidRPr="00D5464D">
        <w:rPr>
          <w:rFonts w:eastAsia="Batang" w:cs="Times"/>
          <w:szCs w:val="24"/>
          <w:lang w:val="pt-BR" w:eastAsia="es-ES"/>
        </w:rPr>
        <w:t xml:space="preserve"> que</w:t>
      </w:r>
      <w:r w:rsidR="002C330E" w:rsidRPr="00D5464D">
        <w:rPr>
          <w:rFonts w:eastAsia="Batang" w:cs="Times"/>
          <w:szCs w:val="24"/>
          <w:lang w:val="pt-BR" w:eastAsia="es-ES"/>
        </w:rPr>
        <w:t xml:space="preserve"> os </w:t>
      </w:r>
      <w:r w:rsidR="00EB1CE9" w:rsidRPr="00D5464D">
        <w:rPr>
          <w:rFonts w:eastAsia="Batang" w:cs="Times"/>
          <w:szCs w:val="24"/>
          <w:lang w:val="pt-BR" w:eastAsia="es-ES"/>
        </w:rPr>
        <w:t>representante</w:t>
      </w:r>
      <w:r w:rsidR="000A52D5" w:rsidRPr="00D5464D">
        <w:rPr>
          <w:rFonts w:eastAsia="Batang" w:cs="Times"/>
          <w:szCs w:val="24"/>
          <w:lang w:val="pt-BR" w:eastAsia="es-ES"/>
        </w:rPr>
        <w:t xml:space="preserve">s </w:t>
      </w:r>
      <w:r w:rsidR="00737270" w:rsidRPr="00D5464D">
        <w:rPr>
          <w:rFonts w:eastAsia="Batang" w:cs="Times"/>
          <w:szCs w:val="24"/>
          <w:lang w:val="pt-BR" w:eastAsia="es-ES"/>
        </w:rPr>
        <w:t>informaram</w:t>
      </w:r>
      <w:r w:rsidRPr="00D5464D">
        <w:rPr>
          <w:rFonts w:eastAsia="Batang" w:cs="Times"/>
          <w:szCs w:val="24"/>
          <w:lang w:val="pt-BR" w:eastAsia="es-ES"/>
        </w:rPr>
        <w:t xml:space="preserve"> à </w:t>
      </w:r>
      <w:r w:rsidR="000A52D5" w:rsidRPr="00D5464D">
        <w:rPr>
          <w:rFonts w:eastAsia="Batang" w:cs="Times"/>
          <w:szCs w:val="24"/>
          <w:lang w:val="pt-BR" w:eastAsia="es-ES"/>
        </w:rPr>
        <w:t>Corte sobre</w:t>
      </w:r>
      <w:r w:rsidR="002C330E" w:rsidRPr="00D5464D">
        <w:rPr>
          <w:rFonts w:eastAsia="Batang" w:cs="Times"/>
          <w:szCs w:val="24"/>
          <w:lang w:val="pt-BR" w:eastAsia="es-ES"/>
        </w:rPr>
        <w:t xml:space="preserve"> as </w:t>
      </w:r>
      <w:r w:rsidR="000A52D5" w:rsidRPr="00D5464D">
        <w:rPr>
          <w:rFonts w:eastAsia="Batang" w:cs="Times"/>
          <w:szCs w:val="24"/>
          <w:lang w:val="pt-BR" w:eastAsia="es-ES"/>
        </w:rPr>
        <w:t>medidas legislativas que</w:t>
      </w:r>
      <w:r w:rsidRPr="00D5464D">
        <w:rPr>
          <w:rFonts w:eastAsia="Batang" w:cs="Times"/>
          <w:szCs w:val="24"/>
          <w:lang w:val="pt-BR" w:eastAsia="es-ES"/>
        </w:rPr>
        <w:t xml:space="preserve"> estão </w:t>
      </w:r>
      <w:r w:rsidR="002C330E" w:rsidRPr="00D5464D">
        <w:rPr>
          <w:rFonts w:eastAsia="Batang" w:cs="Times"/>
          <w:szCs w:val="24"/>
          <w:lang w:val="pt-BR" w:eastAsia="es-ES"/>
        </w:rPr>
        <w:t>sendo</w:t>
      </w:r>
      <w:r w:rsidR="000A52D5" w:rsidRPr="00D5464D">
        <w:rPr>
          <w:rFonts w:eastAsia="Batang" w:cs="Times"/>
          <w:szCs w:val="24"/>
          <w:lang w:val="pt-BR" w:eastAsia="es-ES"/>
        </w:rPr>
        <w:t xml:space="preserve"> </w:t>
      </w:r>
      <w:r w:rsidRPr="00D5464D">
        <w:rPr>
          <w:rFonts w:eastAsia="Batang" w:cs="Times"/>
          <w:szCs w:val="24"/>
          <w:lang w:val="pt-BR" w:eastAsia="es-ES"/>
        </w:rPr>
        <w:t>adot</w:t>
      </w:r>
      <w:r w:rsidR="000A52D5" w:rsidRPr="00D5464D">
        <w:rPr>
          <w:rFonts w:eastAsia="Batang" w:cs="Times"/>
          <w:szCs w:val="24"/>
          <w:lang w:val="pt-BR" w:eastAsia="es-ES"/>
        </w:rPr>
        <w:t>adas</w:t>
      </w:r>
      <w:r w:rsidR="00E045D9" w:rsidRPr="00D5464D">
        <w:rPr>
          <w:rFonts w:eastAsia="Batang" w:cs="Times"/>
          <w:szCs w:val="24"/>
          <w:lang w:val="pt-BR" w:eastAsia="es-ES"/>
        </w:rPr>
        <w:t xml:space="preserve"> neste </w:t>
      </w:r>
      <w:r w:rsidR="000A52D5" w:rsidRPr="00D5464D">
        <w:rPr>
          <w:rFonts w:eastAsia="Batang" w:cs="Times"/>
          <w:szCs w:val="24"/>
          <w:lang w:val="pt-BR" w:eastAsia="es-ES"/>
        </w:rPr>
        <w:t xml:space="preserve">momento; </w:t>
      </w:r>
      <w:r w:rsidR="006665EF" w:rsidRPr="00D5464D">
        <w:rPr>
          <w:rFonts w:eastAsia="Batang" w:cs="Times"/>
          <w:szCs w:val="24"/>
          <w:lang w:val="pt-BR" w:eastAsia="es-ES"/>
        </w:rPr>
        <w:t xml:space="preserve">não </w:t>
      </w:r>
      <w:r w:rsidRPr="00D5464D">
        <w:rPr>
          <w:rFonts w:eastAsia="Batang" w:cs="Times"/>
          <w:szCs w:val="24"/>
          <w:lang w:val="pt-BR" w:eastAsia="es-ES"/>
        </w:rPr>
        <w:t xml:space="preserve">em </w:t>
      </w:r>
      <w:r w:rsidR="000A52D5" w:rsidRPr="00D5464D">
        <w:rPr>
          <w:rFonts w:eastAsia="Batang" w:cs="Times"/>
          <w:szCs w:val="24"/>
          <w:lang w:val="pt-BR" w:eastAsia="es-ES"/>
        </w:rPr>
        <w:t>rela</w:t>
      </w:r>
      <w:r w:rsidRPr="00D5464D">
        <w:rPr>
          <w:rFonts w:eastAsia="Batang" w:cs="Times"/>
          <w:szCs w:val="24"/>
          <w:lang w:val="pt-BR" w:eastAsia="es-ES"/>
        </w:rPr>
        <w:t>ção</w:t>
      </w:r>
      <w:r w:rsidR="00E045D9" w:rsidRPr="00D5464D">
        <w:rPr>
          <w:rFonts w:eastAsia="Batang" w:cs="Times"/>
          <w:szCs w:val="24"/>
          <w:lang w:val="pt-BR" w:eastAsia="es-ES"/>
        </w:rPr>
        <w:t xml:space="preserve"> às vítima</w:t>
      </w:r>
      <w:r w:rsidR="000A52D5" w:rsidRPr="00D5464D">
        <w:rPr>
          <w:rFonts w:eastAsia="Batang" w:cs="Times"/>
          <w:szCs w:val="24"/>
          <w:lang w:val="pt-BR" w:eastAsia="es-ES"/>
        </w:rPr>
        <w:t>s concretas</w:t>
      </w:r>
      <w:r w:rsidRPr="00D5464D">
        <w:rPr>
          <w:rFonts w:eastAsia="Batang" w:cs="Times"/>
          <w:szCs w:val="24"/>
          <w:lang w:val="pt-BR" w:eastAsia="es-ES"/>
        </w:rPr>
        <w:t xml:space="preserve"> deste </w:t>
      </w:r>
      <w:r w:rsidR="000A52D5" w:rsidRPr="00D5464D">
        <w:rPr>
          <w:rFonts w:eastAsia="Batang" w:cs="Times"/>
          <w:szCs w:val="24"/>
          <w:lang w:val="pt-BR" w:eastAsia="es-ES"/>
        </w:rPr>
        <w:t>caso,</w:t>
      </w:r>
      <w:r w:rsidR="002C330E" w:rsidRPr="00D5464D">
        <w:rPr>
          <w:rFonts w:eastAsia="Batang" w:cs="Times"/>
          <w:szCs w:val="24"/>
          <w:lang w:val="pt-BR" w:eastAsia="es-ES"/>
        </w:rPr>
        <w:t xml:space="preserve"> mas </w:t>
      </w:r>
      <w:r w:rsidR="00CA1D8E" w:rsidRPr="00D5464D">
        <w:rPr>
          <w:rFonts w:eastAsia="Batang" w:cs="Times"/>
          <w:szCs w:val="24"/>
          <w:lang w:val="pt-BR" w:eastAsia="es-ES"/>
        </w:rPr>
        <w:t xml:space="preserve">com o objetivo de </w:t>
      </w:r>
      <w:r w:rsidR="000A52D5" w:rsidRPr="00D5464D">
        <w:rPr>
          <w:rFonts w:eastAsia="Batang" w:cs="Times"/>
          <w:szCs w:val="24"/>
          <w:lang w:val="pt-BR" w:eastAsia="es-ES"/>
        </w:rPr>
        <w:t>contextualizar</w:t>
      </w:r>
      <w:r w:rsidR="002C330E" w:rsidRPr="00D5464D">
        <w:rPr>
          <w:rFonts w:eastAsia="Batang" w:cs="Times"/>
          <w:szCs w:val="24"/>
          <w:lang w:val="pt-BR" w:eastAsia="es-ES"/>
        </w:rPr>
        <w:t xml:space="preserve"> a relevância</w:t>
      </w:r>
      <w:r w:rsidR="000A52D5" w:rsidRPr="00D5464D">
        <w:rPr>
          <w:rFonts w:eastAsia="Batang" w:cs="Times"/>
          <w:szCs w:val="24"/>
          <w:lang w:val="pt-BR" w:eastAsia="es-ES"/>
        </w:rPr>
        <w:t xml:space="preserve"> </w:t>
      </w:r>
      <w:r w:rsidRPr="00D5464D">
        <w:rPr>
          <w:rFonts w:eastAsia="Batang" w:cs="Times"/>
          <w:szCs w:val="24"/>
          <w:lang w:val="pt-BR" w:eastAsia="es-ES"/>
        </w:rPr>
        <w:t>atual desse assunto</w:t>
      </w:r>
      <w:r w:rsidR="000A52D5" w:rsidRPr="00D5464D">
        <w:rPr>
          <w:rFonts w:eastAsia="Batang" w:cs="Times"/>
          <w:szCs w:val="24"/>
          <w:lang w:val="pt-BR" w:eastAsia="es-ES"/>
        </w:rPr>
        <w:t xml:space="preserve"> e informar</w:t>
      </w:r>
      <w:r w:rsidRPr="00D5464D">
        <w:rPr>
          <w:rFonts w:eastAsia="Batang" w:cs="Times"/>
          <w:szCs w:val="24"/>
          <w:lang w:val="pt-BR" w:eastAsia="es-ES"/>
        </w:rPr>
        <w:t xml:space="preserve"> à </w:t>
      </w:r>
      <w:r w:rsidR="000A52D5" w:rsidRPr="00D5464D">
        <w:rPr>
          <w:rFonts w:eastAsia="Batang" w:cs="Times"/>
          <w:szCs w:val="24"/>
          <w:lang w:val="pt-BR" w:eastAsia="es-ES"/>
        </w:rPr>
        <w:t>Corte sobre todos</w:t>
      </w:r>
      <w:r w:rsidR="002C330E" w:rsidRPr="00D5464D">
        <w:rPr>
          <w:rFonts w:eastAsia="Batang" w:cs="Times"/>
          <w:szCs w:val="24"/>
          <w:lang w:val="pt-BR" w:eastAsia="es-ES"/>
        </w:rPr>
        <w:t xml:space="preserve"> os </w:t>
      </w:r>
      <w:r w:rsidR="000A52D5" w:rsidRPr="00D5464D">
        <w:rPr>
          <w:rFonts w:eastAsia="Batang" w:cs="Times"/>
          <w:szCs w:val="24"/>
          <w:lang w:val="pt-BR" w:eastAsia="es-ES"/>
        </w:rPr>
        <w:t xml:space="preserve">elementos </w:t>
      </w:r>
      <w:r w:rsidR="002C330E" w:rsidRPr="00D5464D">
        <w:rPr>
          <w:rFonts w:eastAsia="Batang" w:cs="Times"/>
          <w:szCs w:val="24"/>
          <w:lang w:val="pt-BR" w:eastAsia="es-ES"/>
        </w:rPr>
        <w:t>necessári</w:t>
      </w:r>
      <w:r w:rsidR="000A52D5" w:rsidRPr="00D5464D">
        <w:rPr>
          <w:rFonts w:eastAsia="Batang" w:cs="Times"/>
          <w:szCs w:val="24"/>
          <w:lang w:val="pt-BR" w:eastAsia="es-ES"/>
        </w:rPr>
        <w:t>os para que</w:t>
      </w:r>
      <w:r w:rsidR="002C330E" w:rsidRPr="00D5464D">
        <w:rPr>
          <w:rFonts w:eastAsia="Batang" w:cs="Times"/>
          <w:szCs w:val="24"/>
          <w:lang w:val="pt-BR" w:eastAsia="es-ES"/>
        </w:rPr>
        <w:t xml:space="preserve"> as </w:t>
      </w:r>
      <w:r w:rsidRPr="00D5464D">
        <w:rPr>
          <w:rFonts w:eastAsia="Batang" w:cs="Times"/>
          <w:szCs w:val="24"/>
          <w:lang w:val="pt-BR" w:eastAsia="es-ES"/>
        </w:rPr>
        <w:t>eventuais</w:t>
      </w:r>
      <w:r w:rsidR="000A52D5" w:rsidRPr="00D5464D">
        <w:rPr>
          <w:rFonts w:eastAsia="Batang" w:cs="Times"/>
          <w:szCs w:val="24"/>
          <w:lang w:val="pt-BR" w:eastAsia="es-ES"/>
        </w:rPr>
        <w:t xml:space="preserve"> medidas </w:t>
      </w:r>
      <w:r w:rsidRPr="00D5464D">
        <w:rPr>
          <w:rFonts w:eastAsia="Batang" w:cs="Times"/>
          <w:szCs w:val="24"/>
          <w:lang w:val="pt-BR" w:eastAsia="es-ES"/>
        </w:rPr>
        <w:t>de não repetição</w:t>
      </w:r>
      <w:r w:rsidR="000A52D5" w:rsidRPr="00D5464D">
        <w:rPr>
          <w:rFonts w:eastAsia="Batang" w:cs="Times"/>
          <w:szCs w:val="24"/>
          <w:lang w:val="pt-BR" w:eastAsia="es-ES"/>
        </w:rPr>
        <w:t xml:space="preserve"> que</w:t>
      </w:r>
      <w:r w:rsidR="002C330E" w:rsidRPr="00D5464D">
        <w:rPr>
          <w:rFonts w:eastAsia="Batang" w:cs="Times"/>
          <w:szCs w:val="24"/>
          <w:lang w:val="pt-BR" w:eastAsia="es-ES"/>
        </w:rPr>
        <w:t xml:space="preserve"> </w:t>
      </w:r>
      <w:r w:rsidR="00CA1D8E" w:rsidRPr="00D5464D">
        <w:rPr>
          <w:rFonts w:eastAsia="Batang" w:cs="Times"/>
          <w:szCs w:val="24"/>
          <w:lang w:val="pt-BR" w:eastAsia="es-ES"/>
        </w:rPr>
        <w:t>venham a ser</w:t>
      </w:r>
      <w:r w:rsidR="002C330E" w:rsidRPr="00D5464D">
        <w:rPr>
          <w:rFonts w:eastAsia="Batang" w:cs="Times"/>
          <w:szCs w:val="24"/>
          <w:lang w:val="pt-BR" w:eastAsia="es-ES"/>
        </w:rPr>
        <w:t xml:space="preserve"> </w:t>
      </w:r>
      <w:r w:rsidR="000A52D5" w:rsidRPr="00D5464D">
        <w:rPr>
          <w:rFonts w:eastAsia="Batang" w:cs="Times"/>
          <w:szCs w:val="24"/>
          <w:lang w:val="pt-BR" w:eastAsia="es-ES"/>
        </w:rPr>
        <w:t xml:space="preserve">ordenadas </w:t>
      </w:r>
      <w:r w:rsidR="00350187" w:rsidRPr="00D5464D">
        <w:rPr>
          <w:rFonts w:eastAsia="Batang" w:cs="Times"/>
          <w:szCs w:val="24"/>
          <w:lang w:val="pt-BR" w:eastAsia="es-ES"/>
        </w:rPr>
        <w:t>estejam</w:t>
      </w:r>
      <w:r w:rsidR="000A52D5" w:rsidRPr="00D5464D">
        <w:rPr>
          <w:rFonts w:eastAsia="Batang" w:cs="Times"/>
          <w:szCs w:val="24"/>
          <w:lang w:val="pt-BR" w:eastAsia="es-ES"/>
        </w:rPr>
        <w:t xml:space="preserve"> de </w:t>
      </w:r>
      <w:r w:rsidRPr="00D5464D">
        <w:rPr>
          <w:rFonts w:eastAsia="Batang" w:cs="Times"/>
          <w:szCs w:val="24"/>
          <w:lang w:val="pt-BR" w:eastAsia="es-ES"/>
        </w:rPr>
        <w:t>acordo</w:t>
      </w:r>
      <w:r w:rsidR="00E045D9" w:rsidRPr="00D5464D">
        <w:rPr>
          <w:rFonts w:eastAsia="Batang" w:cs="Times"/>
          <w:szCs w:val="24"/>
          <w:lang w:val="pt-BR" w:eastAsia="es-ES"/>
        </w:rPr>
        <w:t xml:space="preserve"> e </w:t>
      </w:r>
      <w:r w:rsidR="002C330E" w:rsidRPr="00D5464D">
        <w:rPr>
          <w:rFonts w:eastAsia="Batang" w:cs="Times"/>
          <w:szCs w:val="24"/>
          <w:lang w:val="pt-BR" w:eastAsia="es-ES"/>
        </w:rPr>
        <w:t xml:space="preserve">sejam </w:t>
      </w:r>
      <w:r w:rsidR="000A52D5" w:rsidRPr="00D5464D">
        <w:rPr>
          <w:rFonts w:eastAsia="Batang" w:cs="Times"/>
          <w:szCs w:val="24"/>
          <w:lang w:val="pt-BR" w:eastAsia="es-ES"/>
        </w:rPr>
        <w:t>pertinentes</w:t>
      </w:r>
      <w:r w:rsidRPr="00D5464D">
        <w:rPr>
          <w:rFonts w:eastAsia="Batang" w:cs="Times"/>
          <w:szCs w:val="24"/>
          <w:lang w:val="pt-BR" w:eastAsia="es-ES"/>
        </w:rPr>
        <w:t xml:space="preserve"> à </w:t>
      </w:r>
      <w:r w:rsidR="000A52D5" w:rsidRPr="00D5464D">
        <w:rPr>
          <w:rFonts w:eastAsia="Batang" w:cs="Times"/>
          <w:szCs w:val="24"/>
          <w:lang w:val="pt-BR" w:eastAsia="es-ES"/>
        </w:rPr>
        <w:t>situa</w:t>
      </w:r>
      <w:r w:rsidRPr="00D5464D">
        <w:rPr>
          <w:rFonts w:eastAsia="Batang" w:cs="Times"/>
          <w:szCs w:val="24"/>
          <w:lang w:val="pt-BR" w:eastAsia="es-ES"/>
        </w:rPr>
        <w:t>ção</w:t>
      </w:r>
      <w:r w:rsidR="000A52D5" w:rsidRPr="00D5464D">
        <w:rPr>
          <w:rFonts w:eastAsia="Batang" w:cs="Times"/>
          <w:szCs w:val="24"/>
          <w:lang w:val="pt-BR" w:eastAsia="es-ES"/>
        </w:rPr>
        <w:t xml:space="preserve"> </w:t>
      </w:r>
      <w:r w:rsidRPr="00D5464D">
        <w:rPr>
          <w:rFonts w:eastAsia="Batang" w:cs="Times"/>
          <w:szCs w:val="24"/>
          <w:lang w:val="pt-BR" w:eastAsia="es-ES"/>
        </w:rPr>
        <w:t>atual</w:t>
      </w:r>
      <w:r w:rsidR="00CA1D8E" w:rsidRPr="00D5464D">
        <w:rPr>
          <w:rFonts w:eastAsia="Batang" w:cs="Times"/>
          <w:szCs w:val="24"/>
          <w:lang w:val="pt-BR" w:eastAsia="es-ES"/>
        </w:rPr>
        <w:t>mente</w:t>
      </w:r>
      <w:r w:rsidR="000A52D5" w:rsidRPr="00D5464D">
        <w:rPr>
          <w:rFonts w:eastAsia="Batang" w:cs="Times"/>
          <w:szCs w:val="24"/>
          <w:lang w:val="pt-BR" w:eastAsia="es-ES"/>
        </w:rPr>
        <w:t xml:space="preserve"> </w:t>
      </w:r>
      <w:r w:rsidR="00737270" w:rsidRPr="00D5464D">
        <w:rPr>
          <w:rFonts w:eastAsia="Batang" w:cs="Times"/>
          <w:szCs w:val="24"/>
          <w:lang w:val="pt-BR" w:eastAsia="es-ES"/>
        </w:rPr>
        <w:t>existente</w:t>
      </w:r>
      <w:r w:rsidRPr="00D5464D">
        <w:rPr>
          <w:rFonts w:eastAsia="Batang" w:cs="Times"/>
          <w:szCs w:val="24"/>
          <w:lang w:val="pt-BR" w:eastAsia="es-ES"/>
        </w:rPr>
        <w:t xml:space="preserve"> </w:t>
      </w:r>
      <w:r w:rsidR="00350187" w:rsidRPr="00D5464D">
        <w:rPr>
          <w:rFonts w:eastAsia="Batang" w:cs="Times"/>
          <w:szCs w:val="24"/>
          <w:lang w:val="pt-BR" w:eastAsia="es-ES"/>
        </w:rPr>
        <w:t>quanto</w:t>
      </w:r>
      <w:r w:rsidRPr="00D5464D">
        <w:rPr>
          <w:rFonts w:eastAsia="Batang" w:cs="Times"/>
          <w:szCs w:val="24"/>
          <w:lang w:val="pt-BR" w:eastAsia="es-ES"/>
        </w:rPr>
        <w:t xml:space="preserve"> ao </w:t>
      </w:r>
      <w:r w:rsidR="00E045D9" w:rsidRPr="00D5464D">
        <w:rPr>
          <w:rFonts w:eastAsia="Batang" w:cs="Times"/>
          <w:szCs w:val="24"/>
          <w:lang w:val="pt-BR" w:eastAsia="es-ES"/>
        </w:rPr>
        <w:t>trabalho</w:t>
      </w:r>
      <w:r w:rsidR="000A52D5" w:rsidRPr="00D5464D">
        <w:rPr>
          <w:rFonts w:eastAsia="Batang" w:cs="Times"/>
          <w:szCs w:val="24"/>
          <w:lang w:val="pt-BR" w:eastAsia="es-ES"/>
        </w:rPr>
        <w:t xml:space="preserve"> </w:t>
      </w:r>
      <w:r w:rsidR="004F1CC2" w:rsidRPr="00D5464D">
        <w:rPr>
          <w:rFonts w:eastAsia="Batang" w:cs="Times"/>
          <w:szCs w:val="24"/>
          <w:lang w:val="pt-BR" w:eastAsia="es-ES"/>
        </w:rPr>
        <w:t>escravo</w:t>
      </w:r>
      <w:r w:rsidR="000A52D5" w:rsidRPr="00D5464D">
        <w:rPr>
          <w:rFonts w:eastAsia="Batang" w:cs="Times"/>
          <w:szCs w:val="24"/>
          <w:lang w:val="pt-BR" w:eastAsia="es-ES"/>
        </w:rPr>
        <w:t xml:space="preserve">, </w:t>
      </w:r>
      <w:r w:rsidR="00E045D9" w:rsidRPr="00D5464D">
        <w:rPr>
          <w:rFonts w:eastAsia="Batang" w:cs="Times"/>
          <w:szCs w:val="24"/>
          <w:lang w:val="pt-BR" w:eastAsia="es-ES"/>
        </w:rPr>
        <w:t>incluindo</w:t>
      </w:r>
      <w:r w:rsidRPr="00D5464D">
        <w:rPr>
          <w:rFonts w:eastAsia="Batang" w:cs="Times"/>
          <w:szCs w:val="24"/>
          <w:lang w:val="pt-BR" w:eastAsia="es-ES"/>
        </w:rPr>
        <w:t xml:space="preserve"> o </w:t>
      </w:r>
      <w:r w:rsidR="006665EF" w:rsidRPr="00D5464D">
        <w:rPr>
          <w:rFonts w:eastAsia="Batang" w:cs="Times"/>
          <w:szCs w:val="24"/>
          <w:lang w:val="pt-BR" w:eastAsia="es-ES"/>
        </w:rPr>
        <w:t xml:space="preserve">seu </w:t>
      </w:r>
      <w:r w:rsidR="000A52D5" w:rsidRPr="00D5464D">
        <w:rPr>
          <w:rFonts w:eastAsia="Batang" w:cs="Times"/>
          <w:szCs w:val="24"/>
          <w:lang w:val="pt-BR" w:eastAsia="es-ES"/>
        </w:rPr>
        <w:t xml:space="preserve">marco normativo. </w:t>
      </w:r>
    </w:p>
    <w:p w14:paraId="5F49F441" w14:textId="77777777" w:rsidR="000A52D5" w:rsidRPr="00D5464D" w:rsidRDefault="000A52D5" w:rsidP="00140440">
      <w:pPr>
        <w:tabs>
          <w:tab w:val="clear" w:pos="4419"/>
          <w:tab w:val="clear" w:pos="8838"/>
        </w:tabs>
        <w:jc w:val="both"/>
        <w:rPr>
          <w:rFonts w:eastAsia="Batang" w:cs="Times"/>
          <w:szCs w:val="24"/>
          <w:lang w:val="pt-BR" w:eastAsia="es-ES"/>
        </w:rPr>
      </w:pPr>
    </w:p>
    <w:p w14:paraId="332C4066" w14:textId="0F794F59" w:rsidR="000A52D5" w:rsidRPr="00D5464D" w:rsidRDefault="00737270"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Os </w:t>
      </w:r>
      <w:r w:rsidR="00EB1CE9" w:rsidRPr="00D5464D">
        <w:rPr>
          <w:rFonts w:eastAsia="Batang" w:cs="Times"/>
          <w:szCs w:val="24"/>
          <w:lang w:val="pt-BR" w:eastAsia="es-ES"/>
        </w:rPr>
        <w:t>representante</w:t>
      </w:r>
      <w:r w:rsidRPr="00D5464D">
        <w:rPr>
          <w:rFonts w:eastAsia="Batang" w:cs="Times"/>
          <w:szCs w:val="24"/>
          <w:lang w:val="pt-BR" w:eastAsia="es-ES"/>
        </w:rPr>
        <w:t xml:space="preserve">s </w:t>
      </w:r>
      <w:r w:rsidR="002C330E" w:rsidRPr="00D5464D">
        <w:rPr>
          <w:rFonts w:eastAsia="Batang" w:cs="Times"/>
          <w:szCs w:val="24"/>
          <w:lang w:val="pt-BR" w:eastAsia="es-ES"/>
        </w:rPr>
        <w:t>manifestaram</w:t>
      </w:r>
      <w:r w:rsidR="000A52D5" w:rsidRPr="00D5464D">
        <w:rPr>
          <w:rFonts w:eastAsia="Batang" w:cs="Times"/>
          <w:szCs w:val="24"/>
          <w:lang w:val="pt-BR" w:eastAsia="es-ES"/>
        </w:rPr>
        <w:t xml:space="preserve"> que </w:t>
      </w:r>
      <w:r w:rsidR="002C330E" w:rsidRPr="00D5464D">
        <w:rPr>
          <w:rFonts w:eastAsia="Batang" w:cs="Times"/>
          <w:szCs w:val="24"/>
          <w:lang w:val="pt-BR" w:eastAsia="es-ES"/>
        </w:rPr>
        <w:t>solicitaram</w:t>
      </w:r>
      <w:r w:rsidR="000A52D5" w:rsidRPr="00D5464D">
        <w:rPr>
          <w:rFonts w:eastAsia="Batang" w:cs="Times"/>
          <w:szCs w:val="24"/>
          <w:lang w:val="pt-BR" w:eastAsia="es-ES"/>
        </w:rPr>
        <w:t xml:space="preserve"> “como medida de repara</w:t>
      </w:r>
      <w:r w:rsidR="00470ADC" w:rsidRPr="00D5464D">
        <w:rPr>
          <w:rFonts w:eastAsia="Batang" w:cs="Times"/>
          <w:szCs w:val="24"/>
          <w:lang w:val="pt-BR" w:eastAsia="es-ES"/>
        </w:rPr>
        <w:t>ção</w:t>
      </w:r>
      <w:r w:rsidR="000A52D5" w:rsidRPr="00D5464D">
        <w:rPr>
          <w:rFonts w:eastAsia="Batang" w:cs="Times"/>
          <w:szCs w:val="24"/>
          <w:lang w:val="pt-BR" w:eastAsia="es-ES"/>
        </w:rPr>
        <w:t>” que</w:t>
      </w:r>
      <w:r w:rsidR="002C330E" w:rsidRPr="00D5464D">
        <w:rPr>
          <w:rFonts w:eastAsia="Batang" w:cs="Times"/>
          <w:szCs w:val="24"/>
          <w:lang w:val="pt-BR" w:eastAsia="es-ES"/>
        </w:rPr>
        <w:t xml:space="preserve"> a </w:t>
      </w:r>
      <w:r w:rsidR="000A52D5" w:rsidRPr="00D5464D">
        <w:rPr>
          <w:rFonts w:eastAsia="Batang" w:cs="Times"/>
          <w:szCs w:val="24"/>
          <w:lang w:val="pt-BR" w:eastAsia="es-ES"/>
        </w:rPr>
        <w:t xml:space="preserve">Corte </w:t>
      </w:r>
      <w:r w:rsidR="006F57C9" w:rsidRPr="00D5464D">
        <w:rPr>
          <w:rFonts w:eastAsia="Batang" w:cs="Times"/>
          <w:szCs w:val="24"/>
          <w:lang w:val="pt-BR" w:eastAsia="es-ES"/>
        </w:rPr>
        <w:t>determine</w:t>
      </w:r>
      <w:r w:rsidR="00FF1290" w:rsidRPr="00D5464D">
        <w:rPr>
          <w:rFonts w:eastAsia="Batang" w:cs="Times"/>
          <w:szCs w:val="24"/>
          <w:lang w:val="pt-BR" w:eastAsia="es-ES"/>
        </w:rPr>
        <w:t xml:space="preserve"> </w:t>
      </w:r>
      <w:r w:rsidR="00470ADC" w:rsidRPr="00D5464D">
        <w:rPr>
          <w:rFonts w:eastAsia="Batang" w:cs="Times"/>
          <w:szCs w:val="24"/>
          <w:lang w:val="pt-BR" w:eastAsia="es-ES"/>
        </w:rPr>
        <w:t xml:space="preserve">ao </w:t>
      </w:r>
      <w:r w:rsidR="000A52D5" w:rsidRPr="00D5464D">
        <w:rPr>
          <w:rFonts w:eastAsia="Batang" w:cs="Times"/>
          <w:szCs w:val="24"/>
          <w:lang w:val="pt-BR" w:eastAsia="es-ES"/>
        </w:rPr>
        <w:t>Estado que se abs</w:t>
      </w:r>
      <w:r w:rsidR="00E045D9" w:rsidRPr="00D5464D">
        <w:rPr>
          <w:rFonts w:eastAsia="Batang" w:cs="Times"/>
          <w:szCs w:val="24"/>
          <w:lang w:val="pt-BR" w:eastAsia="es-ES"/>
        </w:rPr>
        <w:t>tenha</w:t>
      </w:r>
      <w:r w:rsidR="000A52D5" w:rsidRPr="00D5464D">
        <w:rPr>
          <w:rFonts w:eastAsia="Batang" w:cs="Times"/>
          <w:szCs w:val="24"/>
          <w:lang w:val="pt-BR" w:eastAsia="es-ES"/>
        </w:rPr>
        <w:t xml:space="preserve"> de tomar medidas legislativas que </w:t>
      </w:r>
      <w:r w:rsidR="00EB1CE9" w:rsidRPr="00D5464D">
        <w:rPr>
          <w:rFonts w:eastAsia="Batang" w:cs="Times"/>
          <w:szCs w:val="24"/>
          <w:lang w:val="pt-BR" w:eastAsia="es-ES"/>
        </w:rPr>
        <w:t>representem</w:t>
      </w:r>
      <w:r w:rsidR="00E045D9" w:rsidRPr="00D5464D">
        <w:rPr>
          <w:rFonts w:eastAsia="Batang" w:cs="Times"/>
          <w:szCs w:val="24"/>
          <w:lang w:val="pt-BR" w:eastAsia="es-ES"/>
        </w:rPr>
        <w:t xml:space="preserve"> um </w:t>
      </w:r>
      <w:r w:rsidR="00350187" w:rsidRPr="00D5464D">
        <w:rPr>
          <w:rFonts w:eastAsia="Batang" w:cs="Times"/>
          <w:szCs w:val="24"/>
          <w:lang w:val="pt-BR" w:eastAsia="es-ES"/>
        </w:rPr>
        <w:t>retrocesso</w:t>
      </w:r>
      <w:r w:rsidR="00E045D9" w:rsidRPr="00D5464D">
        <w:rPr>
          <w:rFonts w:eastAsia="Batang" w:cs="Times"/>
          <w:szCs w:val="24"/>
          <w:lang w:val="pt-BR" w:eastAsia="es-ES"/>
        </w:rPr>
        <w:t xml:space="preserve"> no </w:t>
      </w:r>
      <w:r w:rsidR="000A52D5" w:rsidRPr="00D5464D">
        <w:rPr>
          <w:rFonts w:eastAsia="Batang" w:cs="Times"/>
          <w:szCs w:val="24"/>
          <w:lang w:val="pt-BR" w:eastAsia="es-ES"/>
        </w:rPr>
        <w:t>combate</w:t>
      </w:r>
      <w:r w:rsidR="00470ADC" w:rsidRPr="00D5464D">
        <w:rPr>
          <w:rFonts w:eastAsia="Batang" w:cs="Times"/>
          <w:szCs w:val="24"/>
          <w:lang w:val="pt-BR" w:eastAsia="es-ES"/>
        </w:rPr>
        <w:t xml:space="preserve"> ao </w:t>
      </w:r>
      <w:r w:rsidR="00E045D9" w:rsidRPr="00D5464D">
        <w:rPr>
          <w:rFonts w:eastAsia="Batang" w:cs="Times"/>
          <w:szCs w:val="24"/>
          <w:lang w:val="pt-BR" w:eastAsia="es-ES"/>
        </w:rPr>
        <w:t>trabalho</w:t>
      </w:r>
      <w:r w:rsidR="000A52D5" w:rsidRPr="00D5464D">
        <w:rPr>
          <w:rFonts w:eastAsia="Batang" w:cs="Times"/>
          <w:szCs w:val="24"/>
          <w:lang w:val="pt-BR" w:eastAsia="es-ES"/>
        </w:rPr>
        <w:t xml:space="preserve"> </w:t>
      </w:r>
      <w:r w:rsidR="004F1CC2" w:rsidRPr="00D5464D">
        <w:rPr>
          <w:rFonts w:eastAsia="Batang" w:cs="Times"/>
          <w:szCs w:val="24"/>
          <w:lang w:val="pt-BR" w:eastAsia="es-ES"/>
        </w:rPr>
        <w:t>escravo</w:t>
      </w:r>
      <w:r w:rsidR="006665EF" w:rsidRPr="00D5464D">
        <w:rPr>
          <w:rFonts w:eastAsia="Batang" w:cs="Times"/>
          <w:szCs w:val="24"/>
          <w:lang w:val="pt-BR" w:eastAsia="es-ES"/>
        </w:rPr>
        <w:t xml:space="preserve"> no Brasil</w:t>
      </w:r>
      <w:r w:rsidR="00470ADC" w:rsidRPr="00D5464D">
        <w:rPr>
          <w:rFonts w:eastAsia="Batang" w:cs="Times"/>
          <w:szCs w:val="24"/>
          <w:lang w:val="pt-BR" w:eastAsia="es-ES"/>
        </w:rPr>
        <w:t>,</w:t>
      </w:r>
      <w:r w:rsidRPr="00D5464D">
        <w:rPr>
          <w:rFonts w:eastAsia="Batang" w:cs="Times"/>
          <w:szCs w:val="24"/>
          <w:lang w:val="pt-BR" w:eastAsia="es-ES"/>
        </w:rPr>
        <w:t xml:space="preserve"> já </w:t>
      </w:r>
      <w:r w:rsidR="000A52D5" w:rsidRPr="00D5464D">
        <w:rPr>
          <w:rFonts w:eastAsia="Batang" w:cs="Times"/>
          <w:szCs w:val="24"/>
          <w:lang w:val="pt-BR" w:eastAsia="es-ES"/>
        </w:rPr>
        <w:t>que</w:t>
      </w:r>
      <w:r w:rsidR="006665EF" w:rsidRPr="00D5464D">
        <w:rPr>
          <w:rFonts w:eastAsia="Batang" w:cs="Times"/>
          <w:szCs w:val="24"/>
          <w:lang w:val="pt-BR" w:eastAsia="es-ES"/>
        </w:rPr>
        <w:t>,</w:t>
      </w:r>
      <w:r w:rsidR="000A52D5" w:rsidRPr="00D5464D">
        <w:rPr>
          <w:rFonts w:eastAsia="Batang" w:cs="Times"/>
          <w:szCs w:val="24"/>
          <w:lang w:val="pt-BR" w:eastAsia="es-ES"/>
        </w:rPr>
        <w:t xml:space="preserve"> </w:t>
      </w:r>
      <w:r w:rsidR="00470ADC" w:rsidRPr="00D5464D">
        <w:rPr>
          <w:rFonts w:eastAsia="Batang" w:cs="Times"/>
          <w:szCs w:val="24"/>
          <w:lang w:val="pt-BR" w:eastAsia="es-ES"/>
        </w:rPr>
        <w:t>atual</w:t>
      </w:r>
      <w:r w:rsidR="000A52D5" w:rsidRPr="00D5464D">
        <w:rPr>
          <w:rFonts w:eastAsia="Batang" w:cs="Times"/>
          <w:szCs w:val="24"/>
          <w:lang w:val="pt-BR" w:eastAsia="es-ES"/>
        </w:rPr>
        <w:t>mente</w:t>
      </w:r>
      <w:r w:rsidR="006665EF" w:rsidRPr="00D5464D">
        <w:rPr>
          <w:rFonts w:eastAsia="Batang" w:cs="Times"/>
          <w:szCs w:val="24"/>
          <w:lang w:val="pt-BR" w:eastAsia="es-ES"/>
        </w:rPr>
        <w:t>,</w:t>
      </w:r>
      <w:r w:rsidR="000A52D5" w:rsidRPr="00D5464D">
        <w:rPr>
          <w:rFonts w:eastAsia="Batang" w:cs="Times"/>
          <w:szCs w:val="24"/>
          <w:lang w:val="pt-BR" w:eastAsia="es-ES"/>
        </w:rPr>
        <w:t xml:space="preserve"> </w:t>
      </w:r>
      <w:r w:rsidR="00EB1CE9" w:rsidRPr="00D5464D">
        <w:rPr>
          <w:rFonts w:eastAsia="Batang" w:cs="Times"/>
          <w:szCs w:val="24"/>
          <w:lang w:val="pt-BR" w:eastAsia="es-ES"/>
        </w:rPr>
        <w:t>existiriam</w:t>
      </w:r>
      <w:r w:rsidR="000A52D5" w:rsidRPr="00D5464D">
        <w:rPr>
          <w:rFonts w:eastAsia="Batang" w:cs="Times"/>
          <w:szCs w:val="24"/>
          <w:lang w:val="pt-BR" w:eastAsia="es-ES"/>
        </w:rPr>
        <w:t xml:space="preserve"> </w:t>
      </w:r>
      <w:r w:rsidR="002C330E" w:rsidRPr="00D5464D">
        <w:rPr>
          <w:rFonts w:eastAsia="Batang" w:cs="Times"/>
          <w:szCs w:val="24"/>
          <w:lang w:val="pt-BR" w:eastAsia="es-ES"/>
        </w:rPr>
        <w:t>projeto</w:t>
      </w:r>
      <w:r w:rsidR="000A52D5" w:rsidRPr="00D5464D">
        <w:rPr>
          <w:rFonts w:eastAsia="Batang" w:cs="Times"/>
          <w:szCs w:val="24"/>
          <w:lang w:val="pt-BR" w:eastAsia="es-ES"/>
        </w:rPr>
        <w:t>s legislativos que pretende</w:t>
      </w:r>
      <w:r w:rsidR="00350187" w:rsidRPr="00D5464D">
        <w:rPr>
          <w:rFonts w:eastAsia="Batang" w:cs="Times"/>
          <w:szCs w:val="24"/>
          <w:lang w:val="pt-BR" w:eastAsia="es-ES"/>
        </w:rPr>
        <w:t xml:space="preserve">riam </w:t>
      </w:r>
      <w:r w:rsidR="000A52D5" w:rsidRPr="00D5464D">
        <w:rPr>
          <w:rFonts w:eastAsia="Batang" w:cs="Times"/>
          <w:szCs w:val="24"/>
          <w:lang w:val="pt-BR" w:eastAsia="es-ES"/>
        </w:rPr>
        <w:t>limitar</w:t>
      </w:r>
      <w:r w:rsidR="00470ADC" w:rsidRPr="00D5464D">
        <w:rPr>
          <w:rFonts w:eastAsia="Batang" w:cs="Times"/>
          <w:szCs w:val="24"/>
          <w:lang w:val="pt-BR" w:eastAsia="es-ES"/>
        </w:rPr>
        <w:t xml:space="preserve"> o </w:t>
      </w:r>
      <w:r w:rsidR="000A52D5" w:rsidRPr="00D5464D">
        <w:rPr>
          <w:rFonts w:eastAsia="Batang" w:cs="Times"/>
          <w:szCs w:val="24"/>
          <w:lang w:val="pt-BR" w:eastAsia="es-ES"/>
        </w:rPr>
        <w:t xml:space="preserve">alcance </w:t>
      </w:r>
      <w:r w:rsidR="00470ADC" w:rsidRPr="00D5464D">
        <w:rPr>
          <w:rFonts w:eastAsia="Batang" w:cs="Times"/>
          <w:szCs w:val="24"/>
          <w:lang w:val="pt-BR" w:eastAsia="es-ES"/>
        </w:rPr>
        <w:t>do artigo</w:t>
      </w:r>
      <w:r w:rsidR="000A52D5" w:rsidRPr="00D5464D">
        <w:rPr>
          <w:rFonts w:eastAsia="Batang" w:cs="Times"/>
          <w:szCs w:val="24"/>
          <w:lang w:val="pt-BR" w:eastAsia="es-ES"/>
        </w:rPr>
        <w:t xml:space="preserve"> 149 </w:t>
      </w:r>
      <w:r w:rsidR="00470ADC" w:rsidRPr="00D5464D">
        <w:rPr>
          <w:rFonts w:eastAsia="Batang" w:cs="Times"/>
          <w:szCs w:val="24"/>
          <w:lang w:val="pt-BR" w:eastAsia="es-ES"/>
        </w:rPr>
        <w:t xml:space="preserve">do </w:t>
      </w:r>
      <w:r w:rsidR="000A52D5" w:rsidRPr="00D5464D">
        <w:rPr>
          <w:rFonts w:eastAsia="Batang" w:cs="Times"/>
          <w:szCs w:val="24"/>
          <w:lang w:val="pt-BR" w:eastAsia="es-ES"/>
        </w:rPr>
        <w:t xml:space="preserve">Código Penal sobre formas </w:t>
      </w:r>
      <w:r w:rsidR="006665EF" w:rsidRPr="00D5464D">
        <w:rPr>
          <w:rFonts w:eastAsia="Batang" w:cs="Times"/>
          <w:szCs w:val="24"/>
          <w:lang w:val="pt-BR" w:eastAsia="es-ES"/>
        </w:rPr>
        <w:t>análogas</w:t>
      </w:r>
      <w:r w:rsidR="00350187" w:rsidRPr="00D5464D">
        <w:rPr>
          <w:rFonts w:eastAsia="Batang" w:cs="Times"/>
          <w:szCs w:val="24"/>
          <w:lang w:val="pt-BR" w:eastAsia="es-ES"/>
        </w:rPr>
        <w:t xml:space="preserve"> </w:t>
      </w:r>
      <w:r w:rsidR="006F57C9" w:rsidRPr="00D5464D">
        <w:rPr>
          <w:rFonts w:eastAsia="Batang" w:cs="Times"/>
          <w:szCs w:val="24"/>
          <w:lang w:val="pt-BR" w:eastAsia="es-ES"/>
        </w:rPr>
        <w:t>à</w:t>
      </w:r>
      <w:r w:rsidR="000A52D5" w:rsidRPr="00D5464D">
        <w:rPr>
          <w:rFonts w:eastAsia="Batang" w:cs="Times"/>
          <w:szCs w:val="24"/>
          <w:lang w:val="pt-BR" w:eastAsia="es-ES"/>
        </w:rPr>
        <w:t xml:space="preserve"> </w:t>
      </w:r>
      <w:r w:rsidR="000B376D" w:rsidRPr="00D5464D">
        <w:rPr>
          <w:rFonts w:eastAsia="Batang" w:cs="Times"/>
          <w:szCs w:val="24"/>
          <w:lang w:val="pt-BR" w:eastAsia="es-ES"/>
        </w:rPr>
        <w:t>escravidão</w:t>
      </w:r>
      <w:r w:rsidR="000A52D5" w:rsidRPr="00D5464D">
        <w:rPr>
          <w:rFonts w:eastAsia="Batang" w:cs="Times"/>
          <w:szCs w:val="24"/>
          <w:lang w:val="pt-BR" w:eastAsia="es-ES"/>
        </w:rPr>
        <w:t>.</w:t>
      </w:r>
    </w:p>
    <w:p w14:paraId="43AF5A47" w14:textId="77777777" w:rsidR="000A52D5" w:rsidRPr="00D5464D" w:rsidRDefault="000A52D5" w:rsidP="00140440">
      <w:pPr>
        <w:tabs>
          <w:tab w:val="clear" w:pos="4419"/>
          <w:tab w:val="clear" w:pos="8838"/>
        </w:tabs>
        <w:jc w:val="both"/>
        <w:rPr>
          <w:rFonts w:eastAsia="Batang" w:cs="Times"/>
          <w:szCs w:val="24"/>
          <w:lang w:val="pt-BR" w:eastAsia="es-ES"/>
        </w:rPr>
      </w:pPr>
    </w:p>
    <w:p w14:paraId="39272BBD" w14:textId="71039C2A" w:rsidR="000A52D5" w:rsidRPr="00D5464D" w:rsidRDefault="000A52D5" w:rsidP="000A20C1">
      <w:pPr>
        <w:pStyle w:val="Ttulo3"/>
        <w:rPr>
          <w:lang w:val="pt-BR" w:eastAsia="es-ES"/>
        </w:rPr>
      </w:pPr>
      <w:bookmarkStart w:id="89" w:name="_Toc460432971"/>
      <w:bookmarkStart w:id="90" w:name="_Toc460441902"/>
      <w:bookmarkStart w:id="91" w:name="_Toc462750722"/>
      <w:bookmarkStart w:id="92" w:name="_Toc462751046"/>
      <w:bookmarkStart w:id="93" w:name="_Toc464813898"/>
      <w:bookmarkStart w:id="94" w:name="_Toc468433859"/>
      <w:r w:rsidRPr="00D5464D">
        <w:rPr>
          <w:lang w:val="pt-BR" w:eastAsia="es-ES"/>
        </w:rPr>
        <w:t>C.2. Considera</w:t>
      </w:r>
      <w:r w:rsidR="00470ADC" w:rsidRPr="00D5464D">
        <w:rPr>
          <w:lang w:val="pt-BR" w:eastAsia="es-ES"/>
        </w:rPr>
        <w:t xml:space="preserve">ções da </w:t>
      </w:r>
      <w:r w:rsidRPr="00D5464D">
        <w:rPr>
          <w:lang w:val="pt-BR" w:eastAsia="es-ES"/>
        </w:rPr>
        <w:t>Corte</w:t>
      </w:r>
      <w:bookmarkEnd w:id="89"/>
      <w:bookmarkEnd w:id="90"/>
      <w:bookmarkEnd w:id="91"/>
      <w:bookmarkEnd w:id="92"/>
      <w:bookmarkEnd w:id="93"/>
      <w:bookmarkEnd w:id="94"/>
    </w:p>
    <w:p w14:paraId="1F8617ED" w14:textId="77777777" w:rsidR="00D65024" w:rsidRPr="00D5464D" w:rsidRDefault="00D65024" w:rsidP="00D65024">
      <w:pPr>
        <w:tabs>
          <w:tab w:val="clear" w:pos="4419"/>
          <w:tab w:val="clear" w:pos="8838"/>
        </w:tabs>
        <w:jc w:val="both"/>
        <w:rPr>
          <w:rFonts w:eastAsia="Batang" w:cs="Times"/>
          <w:szCs w:val="24"/>
          <w:lang w:val="pt-BR" w:eastAsia="es-ES"/>
        </w:rPr>
      </w:pPr>
    </w:p>
    <w:p w14:paraId="71540AC1" w14:textId="77248765" w:rsidR="000A52D5" w:rsidRPr="00D5464D" w:rsidRDefault="00470AD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A </w:t>
      </w:r>
      <w:r w:rsidR="000A52D5" w:rsidRPr="00D5464D">
        <w:rPr>
          <w:rFonts w:eastAsia="Batang" w:cs="Times"/>
          <w:szCs w:val="24"/>
          <w:lang w:val="pt-BR" w:eastAsia="es-ES"/>
        </w:rPr>
        <w:t>Corte constata que</w:t>
      </w:r>
      <w:r w:rsidRPr="00D5464D">
        <w:rPr>
          <w:rFonts w:eastAsia="Batang" w:cs="Times"/>
          <w:szCs w:val="24"/>
          <w:lang w:val="pt-BR" w:eastAsia="es-ES"/>
        </w:rPr>
        <w:t xml:space="preserve"> o </w:t>
      </w:r>
      <w:r w:rsidR="000A52D5" w:rsidRPr="00D5464D">
        <w:rPr>
          <w:rFonts w:eastAsia="Batang" w:cs="Times"/>
          <w:szCs w:val="24"/>
          <w:lang w:val="pt-BR" w:eastAsia="es-ES"/>
        </w:rPr>
        <w:t xml:space="preserve">argumento </w:t>
      </w:r>
      <w:r w:rsidRPr="00D5464D">
        <w:rPr>
          <w:rFonts w:eastAsia="Batang" w:cs="Times"/>
          <w:szCs w:val="24"/>
          <w:lang w:val="pt-BR" w:eastAsia="es-ES"/>
        </w:rPr>
        <w:t xml:space="preserve">do </w:t>
      </w:r>
      <w:r w:rsidR="000A52D5" w:rsidRPr="00D5464D">
        <w:rPr>
          <w:rFonts w:eastAsia="Batang" w:cs="Times"/>
          <w:szCs w:val="24"/>
          <w:lang w:val="pt-BR" w:eastAsia="es-ES"/>
        </w:rPr>
        <w:t xml:space="preserve">Estado se </w:t>
      </w:r>
      <w:r w:rsidR="002C330E" w:rsidRPr="00D5464D">
        <w:rPr>
          <w:rFonts w:eastAsia="Batang" w:cs="Times"/>
          <w:szCs w:val="24"/>
          <w:lang w:val="pt-BR" w:eastAsia="es-ES"/>
        </w:rPr>
        <w:t>refere</w:t>
      </w:r>
      <w:r w:rsidR="000A52D5" w:rsidRPr="00D5464D">
        <w:rPr>
          <w:rFonts w:eastAsia="Batang" w:cs="Times"/>
          <w:szCs w:val="24"/>
          <w:lang w:val="pt-BR" w:eastAsia="es-ES"/>
        </w:rPr>
        <w:t xml:space="preserve"> a</w:t>
      </w:r>
      <w:r w:rsidR="00E045D9" w:rsidRPr="00D5464D">
        <w:rPr>
          <w:rFonts w:eastAsia="Batang" w:cs="Times"/>
          <w:szCs w:val="24"/>
          <w:lang w:val="pt-BR" w:eastAsia="es-ES"/>
        </w:rPr>
        <w:t xml:space="preserve"> uma </w:t>
      </w:r>
      <w:r w:rsidR="000A52D5" w:rsidRPr="00D5464D">
        <w:rPr>
          <w:rFonts w:eastAsia="Batang" w:cs="Times"/>
          <w:szCs w:val="24"/>
          <w:lang w:val="pt-BR" w:eastAsia="es-ES"/>
        </w:rPr>
        <w:t>medida de repara</w:t>
      </w:r>
      <w:r w:rsidRPr="00D5464D">
        <w:rPr>
          <w:rFonts w:eastAsia="Batang" w:cs="Times"/>
          <w:szCs w:val="24"/>
          <w:lang w:val="pt-BR" w:eastAsia="es-ES"/>
        </w:rPr>
        <w:t>ção</w:t>
      </w:r>
      <w:r w:rsidR="000A52D5" w:rsidRPr="00D5464D">
        <w:rPr>
          <w:rFonts w:eastAsia="Batang" w:cs="Times"/>
          <w:szCs w:val="24"/>
          <w:lang w:val="pt-BR" w:eastAsia="es-ES"/>
        </w:rPr>
        <w:t xml:space="preserve"> solicitada</w:t>
      </w:r>
      <w:r w:rsidR="002C330E" w:rsidRPr="00D5464D">
        <w:rPr>
          <w:rFonts w:eastAsia="Batang" w:cs="Times"/>
          <w:szCs w:val="24"/>
          <w:lang w:val="pt-BR" w:eastAsia="es-ES"/>
        </w:rPr>
        <w:t xml:space="preserve"> pelos </w:t>
      </w:r>
      <w:r w:rsidR="00EB1CE9" w:rsidRPr="00D5464D">
        <w:rPr>
          <w:rFonts w:eastAsia="Batang" w:cs="Times"/>
          <w:szCs w:val="24"/>
          <w:lang w:val="pt-BR" w:eastAsia="es-ES"/>
        </w:rPr>
        <w:t>representante</w:t>
      </w:r>
      <w:r w:rsidR="000A52D5" w:rsidRPr="00D5464D">
        <w:rPr>
          <w:rFonts w:eastAsia="Batang" w:cs="Times"/>
          <w:szCs w:val="24"/>
          <w:lang w:val="pt-BR" w:eastAsia="es-ES"/>
        </w:rPr>
        <w:t>s,</w:t>
      </w:r>
      <w:r w:rsidR="00E045D9" w:rsidRPr="00D5464D">
        <w:rPr>
          <w:rFonts w:eastAsia="Batang" w:cs="Times"/>
          <w:szCs w:val="24"/>
          <w:lang w:val="pt-BR" w:eastAsia="es-ES"/>
        </w:rPr>
        <w:t xml:space="preserve"> no </w:t>
      </w:r>
      <w:r w:rsidR="000A52D5" w:rsidRPr="00D5464D">
        <w:rPr>
          <w:rFonts w:eastAsia="Batang" w:cs="Times"/>
          <w:szCs w:val="24"/>
          <w:lang w:val="pt-BR" w:eastAsia="es-ES"/>
        </w:rPr>
        <w:t>sentido de que</w:t>
      </w:r>
      <w:r w:rsidR="002C330E" w:rsidRPr="00D5464D">
        <w:rPr>
          <w:rFonts w:eastAsia="Batang" w:cs="Times"/>
          <w:szCs w:val="24"/>
          <w:lang w:val="pt-BR" w:eastAsia="es-ES"/>
        </w:rPr>
        <w:t xml:space="preserve"> a </w:t>
      </w:r>
      <w:r w:rsidR="000A52D5" w:rsidRPr="00D5464D">
        <w:rPr>
          <w:rFonts w:eastAsia="Batang" w:cs="Times"/>
          <w:szCs w:val="24"/>
          <w:lang w:val="pt-BR" w:eastAsia="es-ES"/>
        </w:rPr>
        <w:t>Corte ordene</w:t>
      </w:r>
      <w:r w:rsidRPr="00D5464D">
        <w:rPr>
          <w:rFonts w:eastAsia="Batang" w:cs="Times"/>
          <w:szCs w:val="24"/>
          <w:lang w:val="pt-BR" w:eastAsia="es-ES"/>
        </w:rPr>
        <w:t xml:space="preserve"> ao </w:t>
      </w:r>
      <w:r w:rsidR="000A52D5" w:rsidRPr="00D5464D">
        <w:rPr>
          <w:rFonts w:eastAsia="Batang" w:cs="Times"/>
          <w:szCs w:val="24"/>
          <w:lang w:val="pt-BR" w:eastAsia="es-ES"/>
        </w:rPr>
        <w:t>Estado que se abs</w:t>
      </w:r>
      <w:r w:rsidR="00E045D9" w:rsidRPr="00D5464D">
        <w:rPr>
          <w:rFonts w:eastAsia="Batang" w:cs="Times"/>
          <w:szCs w:val="24"/>
          <w:lang w:val="pt-BR" w:eastAsia="es-ES"/>
        </w:rPr>
        <w:t>tenha</w:t>
      </w:r>
      <w:r w:rsidR="000A52D5" w:rsidRPr="00D5464D">
        <w:rPr>
          <w:rFonts w:eastAsia="Batang" w:cs="Times"/>
          <w:szCs w:val="24"/>
          <w:lang w:val="pt-BR" w:eastAsia="es-ES"/>
        </w:rPr>
        <w:t xml:space="preserve"> de tomar medidas legislativas que </w:t>
      </w:r>
      <w:r w:rsidR="006F57C9" w:rsidRPr="00D5464D">
        <w:rPr>
          <w:rFonts w:eastAsia="Batang" w:cs="Times"/>
          <w:szCs w:val="24"/>
          <w:lang w:val="pt-BR" w:eastAsia="es-ES"/>
        </w:rPr>
        <w:t xml:space="preserve">possam </w:t>
      </w:r>
      <w:r w:rsidR="000A52D5" w:rsidRPr="00D5464D">
        <w:rPr>
          <w:rFonts w:eastAsia="Batang" w:cs="Times"/>
          <w:szCs w:val="24"/>
          <w:lang w:val="pt-BR" w:eastAsia="es-ES"/>
        </w:rPr>
        <w:t>representar</w:t>
      </w:r>
      <w:r w:rsidR="00E045D9" w:rsidRPr="00D5464D">
        <w:rPr>
          <w:rFonts w:eastAsia="Batang" w:cs="Times"/>
          <w:szCs w:val="24"/>
          <w:lang w:val="pt-BR" w:eastAsia="es-ES"/>
        </w:rPr>
        <w:t xml:space="preserve"> um </w:t>
      </w:r>
      <w:r w:rsidR="00350187" w:rsidRPr="00D5464D">
        <w:rPr>
          <w:rFonts w:eastAsia="Batang" w:cs="Times"/>
          <w:szCs w:val="24"/>
          <w:lang w:val="pt-BR" w:eastAsia="es-ES"/>
        </w:rPr>
        <w:t>retrocesso</w:t>
      </w:r>
      <w:r w:rsidR="00E045D9" w:rsidRPr="00D5464D">
        <w:rPr>
          <w:rFonts w:eastAsia="Batang" w:cs="Times"/>
          <w:szCs w:val="24"/>
          <w:lang w:val="pt-BR" w:eastAsia="es-ES"/>
        </w:rPr>
        <w:t xml:space="preserve"> no </w:t>
      </w:r>
      <w:r w:rsidR="000A52D5" w:rsidRPr="00D5464D">
        <w:rPr>
          <w:rFonts w:eastAsia="Batang" w:cs="Times"/>
          <w:szCs w:val="24"/>
          <w:lang w:val="pt-BR" w:eastAsia="es-ES"/>
        </w:rPr>
        <w:t>combate</w:t>
      </w:r>
      <w:r w:rsidRPr="00D5464D">
        <w:rPr>
          <w:rFonts w:eastAsia="Batang" w:cs="Times"/>
          <w:szCs w:val="24"/>
          <w:lang w:val="pt-BR" w:eastAsia="es-ES"/>
        </w:rPr>
        <w:t xml:space="preserve"> ao </w:t>
      </w:r>
      <w:r w:rsidR="00E045D9" w:rsidRPr="00D5464D">
        <w:rPr>
          <w:rFonts w:eastAsia="Batang" w:cs="Times"/>
          <w:szCs w:val="24"/>
          <w:lang w:val="pt-BR" w:eastAsia="es-ES"/>
        </w:rPr>
        <w:t>trabalho</w:t>
      </w:r>
      <w:r w:rsidR="000A52D5" w:rsidRPr="00D5464D">
        <w:rPr>
          <w:rFonts w:eastAsia="Batang" w:cs="Times"/>
          <w:szCs w:val="24"/>
          <w:lang w:val="pt-BR" w:eastAsia="es-ES"/>
        </w:rPr>
        <w:t xml:space="preserve"> </w:t>
      </w:r>
      <w:r w:rsidR="004F1CC2" w:rsidRPr="00D5464D">
        <w:rPr>
          <w:rFonts w:eastAsia="Batang" w:cs="Times"/>
          <w:szCs w:val="24"/>
          <w:lang w:val="pt-BR" w:eastAsia="es-ES"/>
        </w:rPr>
        <w:t>escravo</w:t>
      </w:r>
      <w:r w:rsidR="006665EF" w:rsidRPr="00D5464D">
        <w:rPr>
          <w:rFonts w:eastAsia="Batang" w:cs="Times"/>
          <w:szCs w:val="24"/>
          <w:lang w:val="pt-BR" w:eastAsia="es-ES"/>
        </w:rPr>
        <w:t xml:space="preserve"> no Brasil</w:t>
      </w:r>
      <w:r w:rsidR="00A1358C" w:rsidRPr="00D5464D">
        <w:rPr>
          <w:rFonts w:eastAsia="Batang" w:cs="Times"/>
          <w:szCs w:val="24"/>
          <w:lang w:val="pt-BR" w:eastAsia="es-ES"/>
        </w:rPr>
        <w:t xml:space="preserve">. A </w:t>
      </w:r>
      <w:r w:rsidR="000A52D5" w:rsidRPr="00D5464D">
        <w:rPr>
          <w:rFonts w:eastAsia="Batang" w:cs="Times"/>
          <w:szCs w:val="24"/>
          <w:lang w:val="pt-BR" w:eastAsia="es-ES"/>
        </w:rPr>
        <w:t xml:space="preserve">Corte </w:t>
      </w:r>
      <w:r w:rsidR="00E045D9" w:rsidRPr="00D5464D">
        <w:rPr>
          <w:rFonts w:eastAsia="Batang" w:cs="Times"/>
          <w:szCs w:val="24"/>
          <w:lang w:val="pt-BR" w:eastAsia="es-ES"/>
        </w:rPr>
        <w:t>recorda</w:t>
      </w:r>
      <w:r w:rsidR="000A52D5" w:rsidRPr="00D5464D">
        <w:rPr>
          <w:rFonts w:eastAsia="Batang" w:cs="Times"/>
          <w:szCs w:val="24"/>
          <w:lang w:val="pt-BR" w:eastAsia="es-ES"/>
        </w:rPr>
        <w:t xml:space="preserve"> que</w:t>
      </w:r>
      <w:r w:rsidR="006F57C9" w:rsidRPr="00D5464D">
        <w:rPr>
          <w:rFonts w:eastAsia="Batang" w:cs="Times"/>
          <w:szCs w:val="24"/>
          <w:lang w:val="pt-BR" w:eastAsia="es-ES"/>
        </w:rPr>
        <w:t>,</w:t>
      </w:r>
      <w:r w:rsidR="000A52D5" w:rsidRPr="00D5464D">
        <w:rPr>
          <w:rFonts w:eastAsia="Batang" w:cs="Times"/>
          <w:szCs w:val="24"/>
          <w:lang w:val="pt-BR" w:eastAsia="es-ES"/>
        </w:rPr>
        <w:t xml:space="preserve"> para que</w:t>
      </w:r>
      <w:r w:rsidR="00E045D9" w:rsidRPr="00D5464D">
        <w:rPr>
          <w:rFonts w:eastAsia="Batang" w:cs="Times"/>
          <w:szCs w:val="24"/>
          <w:lang w:val="pt-BR" w:eastAsia="es-ES"/>
        </w:rPr>
        <w:t xml:space="preserve"> uma </w:t>
      </w:r>
      <w:r w:rsidR="000A52D5" w:rsidRPr="00D5464D">
        <w:rPr>
          <w:rFonts w:eastAsia="Batang" w:cs="Times"/>
          <w:szCs w:val="24"/>
          <w:lang w:val="pt-BR" w:eastAsia="es-ES"/>
        </w:rPr>
        <w:t>medida de repara</w:t>
      </w:r>
      <w:r w:rsidRPr="00D5464D">
        <w:rPr>
          <w:rFonts w:eastAsia="Batang" w:cs="Times"/>
          <w:szCs w:val="24"/>
          <w:lang w:val="pt-BR" w:eastAsia="es-ES"/>
        </w:rPr>
        <w:t>ção</w:t>
      </w:r>
      <w:r w:rsidR="002C330E" w:rsidRPr="00D5464D">
        <w:rPr>
          <w:rFonts w:eastAsia="Batang" w:cs="Times"/>
          <w:szCs w:val="24"/>
          <w:lang w:val="pt-BR" w:eastAsia="es-ES"/>
        </w:rPr>
        <w:t xml:space="preserve"> seja </w:t>
      </w:r>
      <w:r w:rsidR="000A52D5" w:rsidRPr="00D5464D">
        <w:rPr>
          <w:rFonts w:eastAsia="Batang" w:cs="Times"/>
          <w:szCs w:val="24"/>
          <w:lang w:val="pt-BR" w:eastAsia="es-ES"/>
        </w:rPr>
        <w:t xml:space="preserve">concedida, </w:t>
      </w:r>
      <w:r w:rsidR="002C330E" w:rsidRPr="00D5464D">
        <w:rPr>
          <w:rFonts w:eastAsia="Batang" w:cs="Times"/>
          <w:szCs w:val="24"/>
          <w:lang w:val="pt-BR" w:eastAsia="es-ES"/>
        </w:rPr>
        <w:t>requer</w:t>
      </w:r>
      <w:r w:rsidR="006665EF" w:rsidRPr="00D5464D">
        <w:rPr>
          <w:rFonts w:eastAsia="Batang" w:cs="Times"/>
          <w:szCs w:val="24"/>
          <w:lang w:val="pt-BR" w:eastAsia="es-ES"/>
        </w:rPr>
        <w:t>-se</w:t>
      </w:r>
      <w:r w:rsidR="002C330E" w:rsidRPr="00D5464D">
        <w:rPr>
          <w:rFonts w:eastAsia="Batang" w:cs="Times"/>
          <w:szCs w:val="24"/>
          <w:lang w:val="pt-BR" w:eastAsia="es-ES"/>
        </w:rPr>
        <w:t xml:space="preserve"> a </w:t>
      </w:r>
      <w:r w:rsidR="000A52D5" w:rsidRPr="00D5464D">
        <w:rPr>
          <w:rFonts w:eastAsia="Batang" w:cs="Times"/>
          <w:szCs w:val="24"/>
          <w:lang w:val="pt-BR" w:eastAsia="es-ES"/>
        </w:rPr>
        <w:t>verifica</w:t>
      </w:r>
      <w:r w:rsidRPr="00D5464D">
        <w:rPr>
          <w:rFonts w:eastAsia="Batang" w:cs="Times"/>
          <w:szCs w:val="24"/>
          <w:lang w:val="pt-BR" w:eastAsia="es-ES"/>
        </w:rPr>
        <w:t>ção</w:t>
      </w:r>
      <w:r w:rsidR="000A52D5" w:rsidRPr="00D5464D">
        <w:rPr>
          <w:rFonts w:eastAsia="Batang" w:cs="Times"/>
          <w:szCs w:val="24"/>
          <w:lang w:val="pt-BR" w:eastAsia="es-ES"/>
        </w:rPr>
        <w:t xml:space="preserve"> de</w:t>
      </w:r>
      <w:r w:rsidR="00E045D9" w:rsidRPr="00D5464D">
        <w:rPr>
          <w:rFonts w:eastAsia="Batang" w:cs="Times"/>
          <w:szCs w:val="24"/>
          <w:lang w:val="pt-BR" w:eastAsia="es-ES"/>
        </w:rPr>
        <w:t xml:space="preserve"> um </w:t>
      </w:r>
      <w:r w:rsidR="000A52D5" w:rsidRPr="00D5464D">
        <w:rPr>
          <w:rFonts w:eastAsia="Batang" w:cs="Times"/>
          <w:szCs w:val="24"/>
          <w:lang w:val="pt-BR" w:eastAsia="es-ES"/>
        </w:rPr>
        <w:t>nexo causal entre</w:t>
      </w:r>
      <w:r w:rsidR="002C330E" w:rsidRPr="00D5464D">
        <w:rPr>
          <w:rFonts w:eastAsia="Batang" w:cs="Times"/>
          <w:szCs w:val="24"/>
          <w:lang w:val="pt-BR" w:eastAsia="es-ES"/>
        </w:rPr>
        <w:t xml:space="preserve"> os fatos</w:t>
      </w:r>
      <w:r w:rsidR="000A52D5" w:rsidRPr="00D5464D">
        <w:rPr>
          <w:rFonts w:eastAsia="Batang" w:cs="Times"/>
          <w:szCs w:val="24"/>
          <w:lang w:val="pt-BR" w:eastAsia="es-ES"/>
        </w:rPr>
        <w:t xml:space="preserve"> </w:t>
      </w:r>
      <w:r w:rsidRPr="00D5464D">
        <w:rPr>
          <w:rFonts w:eastAsia="Batang" w:cs="Times"/>
          <w:szCs w:val="24"/>
          <w:lang w:val="pt-BR" w:eastAsia="es-ES"/>
        </w:rPr>
        <w:t xml:space="preserve">do </w:t>
      </w:r>
      <w:r w:rsidR="000A52D5" w:rsidRPr="00D5464D">
        <w:rPr>
          <w:rFonts w:eastAsia="Batang" w:cs="Times"/>
          <w:szCs w:val="24"/>
          <w:lang w:val="pt-BR" w:eastAsia="es-ES"/>
        </w:rPr>
        <w:t>caso,</w:t>
      </w:r>
      <w:r w:rsidR="002C330E" w:rsidRPr="00D5464D">
        <w:rPr>
          <w:rFonts w:eastAsia="Batang" w:cs="Times"/>
          <w:szCs w:val="24"/>
          <w:lang w:val="pt-BR" w:eastAsia="es-ES"/>
        </w:rPr>
        <w:t xml:space="preserve"> as </w:t>
      </w:r>
      <w:r w:rsidR="000A52D5" w:rsidRPr="00D5464D">
        <w:rPr>
          <w:rFonts w:eastAsia="Batang" w:cs="Times"/>
          <w:szCs w:val="24"/>
          <w:lang w:val="pt-BR" w:eastAsia="es-ES"/>
        </w:rPr>
        <w:t>viola</w:t>
      </w:r>
      <w:r w:rsidRPr="00D5464D">
        <w:rPr>
          <w:rFonts w:eastAsia="Batang" w:cs="Times"/>
          <w:szCs w:val="24"/>
          <w:lang w:val="pt-BR" w:eastAsia="es-ES"/>
        </w:rPr>
        <w:t>ções</w:t>
      </w:r>
      <w:r w:rsidR="000A52D5" w:rsidRPr="00D5464D">
        <w:rPr>
          <w:rFonts w:eastAsia="Batang" w:cs="Times"/>
          <w:szCs w:val="24"/>
          <w:lang w:val="pt-BR" w:eastAsia="es-ES"/>
        </w:rPr>
        <w:t xml:space="preserve"> declaradas,</w:t>
      </w:r>
      <w:r w:rsidR="002C330E" w:rsidRPr="00D5464D">
        <w:rPr>
          <w:rFonts w:eastAsia="Batang" w:cs="Times"/>
          <w:szCs w:val="24"/>
          <w:lang w:val="pt-BR" w:eastAsia="es-ES"/>
        </w:rPr>
        <w:t xml:space="preserve"> os </w:t>
      </w:r>
      <w:r w:rsidR="000A52D5" w:rsidRPr="00D5464D">
        <w:rPr>
          <w:rFonts w:eastAsia="Batang" w:cs="Times"/>
          <w:szCs w:val="24"/>
          <w:lang w:val="pt-BR" w:eastAsia="es-ES"/>
        </w:rPr>
        <w:t>d</w:t>
      </w:r>
      <w:r w:rsidRPr="00D5464D">
        <w:rPr>
          <w:rFonts w:eastAsia="Batang" w:cs="Times"/>
          <w:szCs w:val="24"/>
          <w:lang w:val="pt-BR" w:eastAsia="es-ES"/>
        </w:rPr>
        <w:t>anos</w:t>
      </w:r>
      <w:r w:rsidR="000A52D5" w:rsidRPr="00D5464D">
        <w:rPr>
          <w:rFonts w:eastAsia="Batang" w:cs="Times"/>
          <w:szCs w:val="24"/>
          <w:lang w:val="pt-BR" w:eastAsia="es-ES"/>
        </w:rPr>
        <w:t xml:space="preserve"> </w:t>
      </w:r>
      <w:r w:rsidR="006665EF" w:rsidRPr="00D5464D">
        <w:rPr>
          <w:rFonts w:eastAsia="Batang" w:cs="Times"/>
          <w:szCs w:val="24"/>
          <w:lang w:val="pt-BR" w:eastAsia="es-ES"/>
        </w:rPr>
        <w:t xml:space="preserve">provados </w:t>
      </w:r>
      <w:r w:rsidR="00E045D9" w:rsidRPr="00D5464D">
        <w:rPr>
          <w:rFonts w:eastAsia="Batang" w:cs="Times"/>
          <w:szCs w:val="24"/>
          <w:lang w:val="pt-BR" w:eastAsia="es-ES"/>
        </w:rPr>
        <w:t xml:space="preserve">e </w:t>
      </w:r>
      <w:r w:rsidR="002C330E" w:rsidRPr="00D5464D">
        <w:rPr>
          <w:rFonts w:eastAsia="Batang" w:cs="Times"/>
          <w:szCs w:val="24"/>
          <w:lang w:val="pt-BR" w:eastAsia="es-ES"/>
        </w:rPr>
        <w:t xml:space="preserve">as </w:t>
      </w:r>
      <w:r w:rsidR="000A52D5" w:rsidRPr="00D5464D">
        <w:rPr>
          <w:rFonts w:eastAsia="Batang" w:cs="Times"/>
          <w:szCs w:val="24"/>
          <w:lang w:val="pt-BR" w:eastAsia="es-ES"/>
        </w:rPr>
        <w:t>medidas solicitadas</w:t>
      </w:r>
      <w:r w:rsidR="006665EF" w:rsidRPr="00D5464D">
        <w:rPr>
          <w:rFonts w:eastAsia="Batang" w:cs="Times"/>
          <w:szCs w:val="24"/>
          <w:lang w:val="pt-BR" w:eastAsia="es-ES"/>
        </w:rPr>
        <w:t>.</w:t>
      </w:r>
      <w:r w:rsidR="000A52D5" w:rsidRPr="00D5464D">
        <w:rPr>
          <w:rFonts w:eastAsia="Batang" w:cs="Times"/>
          <w:szCs w:val="24"/>
          <w:vertAlign w:val="superscript"/>
          <w:lang w:val="pt-BR" w:eastAsia="es-ES"/>
        </w:rPr>
        <w:footnoteReference w:id="41"/>
      </w:r>
      <w:r w:rsidR="00A1358C" w:rsidRPr="00D5464D">
        <w:rPr>
          <w:rFonts w:eastAsia="Batang" w:cs="Times"/>
          <w:szCs w:val="24"/>
          <w:lang w:val="pt-BR" w:eastAsia="es-ES"/>
        </w:rPr>
        <w:t xml:space="preserve"> Em consequência</w:t>
      </w:r>
      <w:r w:rsidR="000A52D5" w:rsidRPr="00D5464D">
        <w:rPr>
          <w:rFonts w:eastAsia="Batang" w:cs="Times"/>
          <w:szCs w:val="24"/>
          <w:lang w:val="pt-BR" w:eastAsia="es-ES"/>
        </w:rPr>
        <w:t xml:space="preserve">, este Tribunal considera que </w:t>
      </w:r>
      <w:r w:rsidR="006665EF" w:rsidRPr="00D5464D">
        <w:rPr>
          <w:rFonts w:eastAsia="Batang" w:cs="Times"/>
          <w:szCs w:val="24"/>
          <w:lang w:val="pt-BR" w:eastAsia="es-ES"/>
        </w:rPr>
        <w:t xml:space="preserve">não é </w:t>
      </w:r>
      <w:r w:rsidR="002C330E" w:rsidRPr="00D5464D">
        <w:rPr>
          <w:rFonts w:eastAsia="Batang" w:cs="Times"/>
          <w:szCs w:val="24"/>
          <w:lang w:val="pt-BR" w:eastAsia="es-ES"/>
        </w:rPr>
        <w:t xml:space="preserve">possível </w:t>
      </w:r>
      <w:r w:rsidRPr="00D5464D">
        <w:rPr>
          <w:rFonts w:eastAsia="Batang" w:cs="Times"/>
          <w:szCs w:val="24"/>
          <w:lang w:val="pt-BR" w:eastAsia="es-ES"/>
        </w:rPr>
        <w:t>analisar</w:t>
      </w:r>
      <w:r w:rsidR="002C330E" w:rsidRPr="00D5464D">
        <w:rPr>
          <w:rFonts w:eastAsia="Batang" w:cs="Times"/>
          <w:szCs w:val="24"/>
          <w:lang w:val="pt-BR" w:eastAsia="es-ES"/>
        </w:rPr>
        <w:t xml:space="preserve"> a </w:t>
      </w:r>
      <w:r w:rsidRPr="00D5464D">
        <w:rPr>
          <w:rFonts w:eastAsia="Batang" w:cs="Times"/>
          <w:szCs w:val="24"/>
          <w:lang w:val="pt-BR" w:eastAsia="es-ES"/>
        </w:rPr>
        <w:t>exceção</w:t>
      </w:r>
      <w:r w:rsidR="000A52D5" w:rsidRPr="00D5464D">
        <w:rPr>
          <w:rFonts w:eastAsia="Batang" w:cs="Times"/>
          <w:szCs w:val="24"/>
          <w:lang w:val="pt-BR" w:eastAsia="es-ES"/>
        </w:rPr>
        <w:t xml:space="preserve"> </w:t>
      </w:r>
      <w:r w:rsidR="00350187" w:rsidRPr="00D5464D">
        <w:rPr>
          <w:rFonts w:eastAsia="Batang" w:cs="Times"/>
          <w:szCs w:val="24"/>
          <w:lang w:val="pt-BR" w:eastAsia="es-ES"/>
        </w:rPr>
        <w:t>propost</w:t>
      </w:r>
      <w:r w:rsidR="000A52D5" w:rsidRPr="00D5464D">
        <w:rPr>
          <w:rFonts w:eastAsia="Batang" w:cs="Times"/>
          <w:szCs w:val="24"/>
          <w:lang w:val="pt-BR" w:eastAsia="es-ES"/>
        </w:rPr>
        <w:t>a</w:t>
      </w:r>
      <w:r w:rsidR="002C330E" w:rsidRPr="00D5464D">
        <w:rPr>
          <w:rFonts w:eastAsia="Batang" w:cs="Times"/>
          <w:szCs w:val="24"/>
          <w:lang w:val="pt-BR" w:eastAsia="es-ES"/>
        </w:rPr>
        <w:t xml:space="preserve"> pelo </w:t>
      </w:r>
      <w:r w:rsidR="000A52D5" w:rsidRPr="00D5464D">
        <w:rPr>
          <w:rFonts w:eastAsia="Batang" w:cs="Times"/>
          <w:szCs w:val="24"/>
          <w:lang w:val="pt-BR" w:eastAsia="es-ES"/>
        </w:rPr>
        <w:t>Estado</w:t>
      </w:r>
      <w:r w:rsidR="00050992" w:rsidRPr="00D5464D">
        <w:rPr>
          <w:rFonts w:eastAsia="Batang" w:cs="Times"/>
          <w:szCs w:val="24"/>
          <w:lang w:val="pt-BR" w:eastAsia="es-ES"/>
        </w:rPr>
        <w:t>,</w:t>
      </w:r>
      <w:r w:rsidR="002C330E" w:rsidRPr="00D5464D">
        <w:rPr>
          <w:rFonts w:eastAsia="Batang" w:cs="Times"/>
          <w:szCs w:val="24"/>
          <w:lang w:val="pt-BR" w:eastAsia="es-ES"/>
        </w:rPr>
        <w:t xml:space="preserve"> pois a </w:t>
      </w:r>
      <w:r w:rsidRPr="00D5464D">
        <w:rPr>
          <w:rFonts w:eastAsia="Batang" w:cs="Times"/>
          <w:szCs w:val="24"/>
          <w:lang w:val="pt-BR" w:eastAsia="es-ES"/>
        </w:rPr>
        <w:t>controvérsia</w:t>
      </w:r>
      <w:r w:rsidR="000A52D5" w:rsidRPr="00D5464D">
        <w:rPr>
          <w:rFonts w:eastAsia="Batang" w:cs="Times"/>
          <w:szCs w:val="24"/>
          <w:lang w:val="pt-BR" w:eastAsia="es-ES"/>
        </w:rPr>
        <w:t xml:space="preserve"> </w:t>
      </w:r>
      <w:r w:rsidR="00350187" w:rsidRPr="00D5464D">
        <w:rPr>
          <w:rFonts w:eastAsia="Batang" w:cs="Times"/>
          <w:szCs w:val="24"/>
          <w:lang w:val="pt-BR" w:eastAsia="es-ES"/>
        </w:rPr>
        <w:t>propost</w:t>
      </w:r>
      <w:r w:rsidR="000A52D5" w:rsidRPr="00D5464D">
        <w:rPr>
          <w:rFonts w:eastAsia="Batang" w:cs="Times"/>
          <w:szCs w:val="24"/>
          <w:lang w:val="pt-BR" w:eastAsia="es-ES"/>
        </w:rPr>
        <w:t xml:space="preserve">a </w:t>
      </w:r>
      <w:r w:rsidR="00737270" w:rsidRPr="00D5464D">
        <w:rPr>
          <w:rFonts w:eastAsia="Batang" w:cs="Times"/>
          <w:szCs w:val="24"/>
          <w:lang w:val="pt-BR" w:eastAsia="es-ES"/>
        </w:rPr>
        <w:t>não é</w:t>
      </w:r>
      <w:r w:rsidRPr="00D5464D">
        <w:rPr>
          <w:rFonts w:eastAsia="Batang" w:cs="Times"/>
          <w:szCs w:val="24"/>
          <w:lang w:val="pt-BR" w:eastAsia="es-ES"/>
        </w:rPr>
        <w:t xml:space="preserve"> </w:t>
      </w:r>
      <w:r w:rsidR="006665EF" w:rsidRPr="00D5464D">
        <w:rPr>
          <w:rFonts w:eastAsia="Batang" w:cs="Times"/>
          <w:szCs w:val="24"/>
          <w:lang w:val="pt-BR" w:eastAsia="es-ES"/>
        </w:rPr>
        <w:t xml:space="preserve">possível </w:t>
      </w:r>
      <w:r w:rsidR="000A52D5" w:rsidRPr="00D5464D">
        <w:rPr>
          <w:rFonts w:eastAsia="Batang" w:cs="Times"/>
          <w:szCs w:val="24"/>
          <w:lang w:val="pt-BR" w:eastAsia="es-ES"/>
        </w:rPr>
        <w:t xml:space="preserve">de ser </w:t>
      </w:r>
      <w:r w:rsidR="00737270" w:rsidRPr="00D5464D">
        <w:rPr>
          <w:rFonts w:eastAsia="Batang" w:cs="Times"/>
          <w:szCs w:val="24"/>
          <w:lang w:val="pt-BR" w:eastAsia="es-ES"/>
        </w:rPr>
        <w:t>resolvid</w:t>
      </w:r>
      <w:r w:rsidR="000A52D5" w:rsidRPr="00D5464D">
        <w:rPr>
          <w:rFonts w:eastAsia="Batang" w:cs="Times"/>
          <w:szCs w:val="24"/>
          <w:lang w:val="pt-BR" w:eastAsia="es-ES"/>
        </w:rPr>
        <w:t>a de forma preliminar,</w:t>
      </w:r>
      <w:r w:rsidR="002C330E" w:rsidRPr="00D5464D">
        <w:rPr>
          <w:rFonts w:eastAsia="Batang" w:cs="Times"/>
          <w:szCs w:val="24"/>
          <w:lang w:val="pt-BR" w:eastAsia="es-ES"/>
        </w:rPr>
        <w:t xml:space="preserve"> mas </w:t>
      </w:r>
      <w:r w:rsidR="000A52D5" w:rsidRPr="00D5464D">
        <w:rPr>
          <w:rFonts w:eastAsia="Batang" w:cs="Times"/>
          <w:szCs w:val="24"/>
          <w:lang w:val="pt-BR" w:eastAsia="es-ES"/>
        </w:rPr>
        <w:t xml:space="preserve">depende </w:t>
      </w:r>
      <w:r w:rsidRPr="00D5464D">
        <w:rPr>
          <w:rFonts w:eastAsia="Batang" w:cs="Times"/>
          <w:szCs w:val="24"/>
          <w:lang w:val="pt-BR" w:eastAsia="es-ES"/>
        </w:rPr>
        <w:t>diret</w:t>
      </w:r>
      <w:r w:rsidR="000A52D5" w:rsidRPr="00D5464D">
        <w:rPr>
          <w:rFonts w:eastAsia="Batang" w:cs="Times"/>
          <w:szCs w:val="24"/>
          <w:lang w:val="pt-BR" w:eastAsia="es-ES"/>
        </w:rPr>
        <w:t xml:space="preserve">amente </w:t>
      </w:r>
      <w:r w:rsidRPr="00D5464D">
        <w:rPr>
          <w:rFonts w:eastAsia="Batang" w:cs="Times"/>
          <w:szCs w:val="24"/>
          <w:lang w:val="pt-BR" w:eastAsia="es-ES"/>
        </w:rPr>
        <w:t>do mérito</w:t>
      </w:r>
      <w:r w:rsidR="000A52D5" w:rsidRPr="00D5464D">
        <w:rPr>
          <w:rFonts w:eastAsia="Batang" w:cs="Times"/>
          <w:szCs w:val="24"/>
          <w:lang w:val="pt-BR" w:eastAsia="es-ES"/>
        </w:rPr>
        <w:t xml:space="preserve"> </w:t>
      </w:r>
      <w:r w:rsidRPr="00D5464D">
        <w:rPr>
          <w:rFonts w:eastAsia="Batang" w:cs="Times"/>
          <w:szCs w:val="24"/>
          <w:lang w:val="pt-BR" w:eastAsia="es-ES"/>
        </w:rPr>
        <w:t>do assunto</w:t>
      </w:r>
      <w:r w:rsidR="006665EF" w:rsidRPr="00D5464D">
        <w:rPr>
          <w:rFonts w:eastAsia="Batang" w:cs="Times"/>
          <w:szCs w:val="24"/>
          <w:lang w:val="pt-BR" w:eastAsia="es-ES"/>
        </w:rPr>
        <w:t>.</w:t>
      </w:r>
      <w:r w:rsidR="000A52D5" w:rsidRPr="00D5464D">
        <w:rPr>
          <w:rFonts w:eastAsia="Batang" w:cs="Times"/>
          <w:szCs w:val="24"/>
          <w:vertAlign w:val="superscript"/>
          <w:lang w:val="pt-BR" w:eastAsia="es-ES"/>
        </w:rPr>
        <w:footnoteReference w:id="42"/>
      </w:r>
      <w:r w:rsidR="000A52D5" w:rsidRPr="00D5464D">
        <w:rPr>
          <w:rFonts w:eastAsia="Batang" w:cs="Times"/>
          <w:szCs w:val="24"/>
          <w:lang w:val="pt-BR" w:eastAsia="es-ES"/>
        </w:rPr>
        <w:t xml:space="preserve"> </w:t>
      </w:r>
      <w:r w:rsidR="00230C71" w:rsidRPr="00D5464D">
        <w:rPr>
          <w:rFonts w:eastAsia="Batang" w:cs="Times"/>
          <w:bCs/>
          <w:szCs w:val="24"/>
          <w:lang w:val="pt-BR" w:eastAsia="es-ES"/>
        </w:rPr>
        <w:t>Portanto,</w:t>
      </w:r>
      <w:r w:rsidR="002C330E" w:rsidRPr="00D5464D">
        <w:rPr>
          <w:rFonts w:eastAsia="Batang" w:cs="Times"/>
          <w:bCs/>
          <w:szCs w:val="24"/>
          <w:lang w:val="pt-BR" w:eastAsia="es-ES"/>
        </w:rPr>
        <w:t xml:space="preserve"> a </w:t>
      </w:r>
      <w:r w:rsidR="000A52D5" w:rsidRPr="00D5464D">
        <w:rPr>
          <w:rFonts w:eastAsia="Batang" w:cs="Times"/>
          <w:bCs/>
          <w:szCs w:val="24"/>
          <w:lang w:val="pt-BR" w:eastAsia="es-ES"/>
        </w:rPr>
        <w:t xml:space="preserve">Corte </w:t>
      </w:r>
      <w:r w:rsidR="006665EF" w:rsidRPr="00D5464D">
        <w:rPr>
          <w:rFonts w:eastAsia="Batang" w:cs="Times"/>
          <w:bCs/>
          <w:szCs w:val="24"/>
          <w:lang w:val="pt-BR" w:eastAsia="es-ES"/>
        </w:rPr>
        <w:t xml:space="preserve">rejeita </w:t>
      </w:r>
      <w:r w:rsidR="002C330E" w:rsidRPr="00D5464D">
        <w:rPr>
          <w:rFonts w:eastAsia="Batang" w:cs="Times"/>
          <w:bCs/>
          <w:szCs w:val="24"/>
          <w:lang w:val="pt-BR" w:eastAsia="es-ES"/>
        </w:rPr>
        <w:t xml:space="preserve">a </w:t>
      </w:r>
      <w:r w:rsidRPr="00D5464D">
        <w:rPr>
          <w:rFonts w:eastAsia="Batang" w:cs="Times"/>
          <w:bCs/>
          <w:szCs w:val="24"/>
          <w:lang w:val="pt-BR" w:eastAsia="es-ES"/>
        </w:rPr>
        <w:t>exceção</w:t>
      </w:r>
      <w:r w:rsidR="000A52D5" w:rsidRPr="00D5464D">
        <w:rPr>
          <w:rFonts w:eastAsia="Batang" w:cs="Times"/>
          <w:bCs/>
          <w:szCs w:val="24"/>
          <w:lang w:val="pt-BR" w:eastAsia="es-ES"/>
        </w:rPr>
        <w:t xml:space="preserve"> preliminar.</w:t>
      </w:r>
      <w:r w:rsidR="00FF1290" w:rsidRPr="00D5464D">
        <w:rPr>
          <w:rFonts w:eastAsia="Batang" w:cs="Times"/>
          <w:bCs/>
          <w:szCs w:val="24"/>
          <w:lang w:val="pt-BR" w:eastAsia="es-ES"/>
        </w:rPr>
        <w:t xml:space="preserve"> </w:t>
      </w:r>
    </w:p>
    <w:p w14:paraId="402D6F38" w14:textId="77777777" w:rsidR="000A52D5" w:rsidRPr="00D5464D" w:rsidRDefault="000A52D5" w:rsidP="00140440">
      <w:pPr>
        <w:tabs>
          <w:tab w:val="clear" w:pos="4419"/>
          <w:tab w:val="clear" w:pos="8838"/>
        </w:tabs>
        <w:jc w:val="both"/>
        <w:rPr>
          <w:rFonts w:eastAsia="Batang" w:cs="Times"/>
          <w:b/>
          <w:szCs w:val="24"/>
          <w:lang w:val="pt-BR" w:eastAsia="es-ES"/>
        </w:rPr>
      </w:pPr>
    </w:p>
    <w:p w14:paraId="2A10A0C5" w14:textId="0397BD57" w:rsidR="00246E8D" w:rsidRPr="00D5464D" w:rsidRDefault="000A52D5" w:rsidP="00F306D7">
      <w:pPr>
        <w:pStyle w:val="Ttulo2"/>
        <w:numPr>
          <w:ilvl w:val="0"/>
          <w:numId w:val="15"/>
        </w:numPr>
        <w:rPr>
          <w:rFonts w:eastAsia="Batang"/>
          <w:lang w:val="pt-BR" w:eastAsia="es-ES"/>
        </w:rPr>
      </w:pPr>
      <w:bookmarkStart w:id="95" w:name="_Toc468433860"/>
      <w:r w:rsidRPr="00D5464D">
        <w:rPr>
          <w:rFonts w:eastAsia="Batang"/>
          <w:lang w:val="pt-BR" w:eastAsia="es-ES"/>
        </w:rPr>
        <w:t>Alegada in</w:t>
      </w:r>
      <w:r w:rsidR="00470ADC" w:rsidRPr="00D5464D">
        <w:rPr>
          <w:rFonts w:eastAsia="Batang"/>
          <w:lang w:val="pt-BR" w:eastAsia="es-ES"/>
        </w:rPr>
        <w:t>competência</w:t>
      </w:r>
      <w:r w:rsidRPr="00D5464D">
        <w:rPr>
          <w:rFonts w:eastAsia="Batang"/>
          <w:lang w:val="pt-BR" w:eastAsia="es-ES"/>
        </w:rPr>
        <w:t xml:space="preserve"> ratione temporis </w:t>
      </w:r>
      <w:r w:rsidR="002C330E" w:rsidRPr="00D5464D">
        <w:rPr>
          <w:rFonts w:eastAsia="Batang"/>
          <w:lang w:val="pt-BR" w:eastAsia="es-ES"/>
        </w:rPr>
        <w:t>a respeito</w:t>
      </w:r>
      <w:r w:rsidRPr="00D5464D">
        <w:rPr>
          <w:rFonts w:eastAsia="Batang"/>
          <w:lang w:val="pt-BR" w:eastAsia="es-ES"/>
        </w:rPr>
        <w:t xml:space="preserve"> de </w:t>
      </w:r>
      <w:r w:rsidR="002C330E" w:rsidRPr="00D5464D">
        <w:rPr>
          <w:rFonts w:eastAsia="Batang"/>
          <w:lang w:val="pt-BR" w:eastAsia="es-ES"/>
        </w:rPr>
        <w:t>fatos</w:t>
      </w:r>
      <w:r w:rsidRPr="00D5464D">
        <w:rPr>
          <w:rFonts w:eastAsia="Batang"/>
          <w:lang w:val="pt-BR" w:eastAsia="es-ES"/>
        </w:rPr>
        <w:t xml:space="preserve"> anteriores</w:t>
      </w:r>
      <w:r w:rsidR="00470ADC" w:rsidRPr="00D5464D">
        <w:rPr>
          <w:rFonts w:eastAsia="Batang"/>
          <w:lang w:val="pt-BR" w:eastAsia="es-ES"/>
        </w:rPr>
        <w:t xml:space="preserve"> à data</w:t>
      </w:r>
      <w:r w:rsidRPr="00D5464D">
        <w:rPr>
          <w:rFonts w:eastAsia="Batang"/>
          <w:lang w:val="pt-BR" w:eastAsia="es-ES"/>
        </w:rPr>
        <w:t xml:space="preserve"> de re</w:t>
      </w:r>
      <w:r w:rsidR="00470ADC" w:rsidRPr="00D5464D">
        <w:rPr>
          <w:rFonts w:eastAsia="Batang"/>
          <w:lang w:val="pt-BR" w:eastAsia="es-ES"/>
        </w:rPr>
        <w:t xml:space="preserve">conhecimento da </w:t>
      </w:r>
      <w:r w:rsidR="002C330E" w:rsidRPr="00D5464D">
        <w:rPr>
          <w:rFonts w:eastAsia="Batang"/>
          <w:lang w:val="pt-BR" w:eastAsia="es-ES"/>
        </w:rPr>
        <w:t>jurisdição</w:t>
      </w:r>
      <w:r w:rsidR="00470ADC" w:rsidRPr="00D5464D">
        <w:rPr>
          <w:rFonts w:eastAsia="Batang"/>
          <w:lang w:val="pt-BR" w:eastAsia="es-ES"/>
        </w:rPr>
        <w:t xml:space="preserve"> da </w:t>
      </w:r>
      <w:r w:rsidRPr="00D5464D">
        <w:rPr>
          <w:rFonts w:eastAsia="Batang"/>
          <w:lang w:val="pt-BR" w:eastAsia="es-ES"/>
        </w:rPr>
        <w:t>Corte</w:t>
      </w:r>
      <w:r w:rsidR="00470ADC" w:rsidRPr="00D5464D">
        <w:rPr>
          <w:rFonts w:eastAsia="Batang"/>
          <w:lang w:val="pt-BR" w:eastAsia="es-ES"/>
        </w:rPr>
        <w:t>, e</w:t>
      </w:r>
      <w:r w:rsidR="00246E8D" w:rsidRPr="00D5464D">
        <w:rPr>
          <w:rFonts w:eastAsia="Batang"/>
          <w:lang w:val="pt-BR" w:eastAsia="es-ES"/>
        </w:rPr>
        <w:t xml:space="preserve"> </w:t>
      </w:r>
      <w:r w:rsidR="00350AD5" w:rsidRPr="00D5464D">
        <w:rPr>
          <w:rFonts w:eastAsia="Batang"/>
          <w:lang w:val="pt-BR" w:eastAsia="es-ES"/>
        </w:rPr>
        <w:t>a</w:t>
      </w:r>
      <w:r w:rsidR="00187158" w:rsidRPr="00D5464D">
        <w:rPr>
          <w:rFonts w:eastAsia="Batang"/>
          <w:lang w:val="pt-BR" w:eastAsia="es-ES"/>
        </w:rPr>
        <w:t>l</w:t>
      </w:r>
      <w:r w:rsidR="00246E8D" w:rsidRPr="00D5464D">
        <w:rPr>
          <w:rFonts w:eastAsia="Batang"/>
          <w:lang w:val="pt-BR" w:eastAsia="es-ES"/>
        </w:rPr>
        <w:t>egada in</w:t>
      </w:r>
      <w:r w:rsidR="00470ADC" w:rsidRPr="00D5464D">
        <w:rPr>
          <w:rFonts w:eastAsia="Batang"/>
          <w:lang w:val="pt-BR" w:eastAsia="es-ES"/>
        </w:rPr>
        <w:t>competência</w:t>
      </w:r>
      <w:r w:rsidR="00246E8D" w:rsidRPr="00D5464D">
        <w:rPr>
          <w:rFonts w:eastAsia="Batang"/>
          <w:lang w:val="pt-BR" w:eastAsia="es-ES"/>
        </w:rPr>
        <w:t xml:space="preserve"> ratione temporis</w:t>
      </w:r>
      <w:r w:rsidR="00470ADC" w:rsidRPr="00D5464D">
        <w:rPr>
          <w:rFonts w:eastAsia="Batang"/>
          <w:lang w:val="pt-BR" w:eastAsia="es-ES"/>
        </w:rPr>
        <w:t xml:space="preserve"> </w:t>
      </w:r>
      <w:r w:rsidR="00350187" w:rsidRPr="00D5464D">
        <w:rPr>
          <w:rFonts w:eastAsia="Batang"/>
          <w:lang w:val="pt-BR" w:eastAsia="es-ES"/>
        </w:rPr>
        <w:t>quanto</w:t>
      </w:r>
      <w:r w:rsidR="00470ADC" w:rsidRPr="00D5464D">
        <w:rPr>
          <w:rFonts w:eastAsia="Batang"/>
          <w:lang w:val="pt-BR" w:eastAsia="es-ES"/>
        </w:rPr>
        <w:t xml:space="preserve"> </w:t>
      </w:r>
      <w:r w:rsidR="00246E8D" w:rsidRPr="00D5464D">
        <w:rPr>
          <w:rFonts w:eastAsia="Batang"/>
          <w:lang w:val="pt-BR" w:eastAsia="es-ES"/>
        </w:rPr>
        <w:t xml:space="preserve">a </w:t>
      </w:r>
      <w:r w:rsidR="002C330E" w:rsidRPr="00D5464D">
        <w:rPr>
          <w:rFonts w:eastAsia="Batang"/>
          <w:lang w:val="pt-BR" w:eastAsia="es-ES"/>
        </w:rPr>
        <w:t>fatos</w:t>
      </w:r>
      <w:r w:rsidR="00246E8D" w:rsidRPr="00D5464D">
        <w:rPr>
          <w:rFonts w:eastAsia="Batang"/>
          <w:lang w:val="pt-BR" w:eastAsia="es-ES"/>
        </w:rPr>
        <w:t xml:space="preserve"> anteriores</w:t>
      </w:r>
      <w:r w:rsidR="00470ADC" w:rsidRPr="00D5464D">
        <w:rPr>
          <w:rFonts w:eastAsia="Batang"/>
          <w:lang w:val="pt-BR" w:eastAsia="es-ES"/>
        </w:rPr>
        <w:t xml:space="preserve"> à </w:t>
      </w:r>
      <w:r w:rsidR="00246E8D" w:rsidRPr="00D5464D">
        <w:rPr>
          <w:rFonts w:eastAsia="Batang"/>
          <w:lang w:val="pt-BR" w:eastAsia="es-ES"/>
        </w:rPr>
        <w:t>ad</w:t>
      </w:r>
      <w:r w:rsidR="00D65024" w:rsidRPr="00D5464D">
        <w:rPr>
          <w:rFonts w:eastAsia="Batang"/>
          <w:lang w:val="pt-BR" w:eastAsia="es-ES"/>
        </w:rPr>
        <w:t>esão</w:t>
      </w:r>
      <w:r w:rsidR="00470ADC" w:rsidRPr="00D5464D">
        <w:rPr>
          <w:rFonts w:eastAsia="Batang"/>
          <w:lang w:val="pt-BR" w:eastAsia="es-ES"/>
        </w:rPr>
        <w:t xml:space="preserve"> </w:t>
      </w:r>
      <w:r w:rsidR="00D65024" w:rsidRPr="00D5464D">
        <w:rPr>
          <w:rFonts w:eastAsia="Batang"/>
          <w:lang w:val="pt-BR" w:eastAsia="es-ES"/>
        </w:rPr>
        <w:t xml:space="preserve">do Estado </w:t>
      </w:r>
      <w:r w:rsidR="00470ADC" w:rsidRPr="00D5464D">
        <w:rPr>
          <w:rFonts w:eastAsia="Batang"/>
          <w:lang w:val="pt-BR" w:eastAsia="es-ES"/>
        </w:rPr>
        <w:t xml:space="preserve">à </w:t>
      </w:r>
      <w:r w:rsidR="00246E8D" w:rsidRPr="00D5464D">
        <w:rPr>
          <w:rFonts w:eastAsia="Batang"/>
          <w:lang w:val="pt-BR" w:eastAsia="es-ES"/>
        </w:rPr>
        <w:t>Conven</w:t>
      </w:r>
      <w:r w:rsidR="00470ADC" w:rsidRPr="00D5464D">
        <w:rPr>
          <w:rFonts w:eastAsia="Batang"/>
          <w:lang w:val="pt-BR" w:eastAsia="es-ES"/>
        </w:rPr>
        <w:t>ção</w:t>
      </w:r>
      <w:bookmarkEnd w:id="95"/>
    </w:p>
    <w:p w14:paraId="0EF3BD45" w14:textId="77777777" w:rsidR="00D65024" w:rsidRPr="00D5464D" w:rsidRDefault="00D65024" w:rsidP="00D65024">
      <w:pPr>
        <w:pStyle w:val="Prrafodelista"/>
        <w:ind w:left="0"/>
        <w:rPr>
          <w:rFonts w:eastAsia="Batang" w:cs="Times"/>
          <w:szCs w:val="24"/>
          <w:lang w:val="pt-BR" w:eastAsia="es-ES"/>
        </w:rPr>
      </w:pPr>
    </w:p>
    <w:p w14:paraId="6E4D4708" w14:textId="325131B4" w:rsidR="00C3479B" w:rsidRPr="00D5464D" w:rsidRDefault="00470ADC" w:rsidP="00140440">
      <w:pPr>
        <w:pStyle w:val="Prrafodelista"/>
        <w:numPr>
          <w:ilvl w:val="0"/>
          <w:numId w:val="1"/>
        </w:numPr>
        <w:rPr>
          <w:rFonts w:eastAsia="Batang" w:cs="Times"/>
          <w:szCs w:val="24"/>
          <w:lang w:val="pt-BR" w:eastAsia="es-ES"/>
        </w:rPr>
      </w:pPr>
      <w:r w:rsidRPr="00D5464D">
        <w:rPr>
          <w:rFonts w:eastAsia="Batang" w:cs="Times"/>
          <w:szCs w:val="24"/>
          <w:lang w:val="pt-BR" w:eastAsia="es-ES"/>
        </w:rPr>
        <w:t xml:space="preserve">A </w:t>
      </w:r>
      <w:r w:rsidR="00C3479B" w:rsidRPr="00D5464D">
        <w:rPr>
          <w:rFonts w:eastAsia="Batang" w:cs="Times"/>
          <w:szCs w:val="24"/>
          <w:lang w:val="pt-BR" w:eastAsia="es-ES"/>
        </w:rPr>
        <w:t xml:space="preserve">Corte </w:t>
      </w:r>
      <w:r w:rsidRPr="00D5464D">
        <w:rPr>
          <w:rFonts w:eastAsia="Batang" w:cs="Times"/>
          <w:szCs w:val="24"/>
          <w:lang w:val="pt-BR" w:eastAsia="es-ES"/>
        </w:rPr>
        <w:t>analisará</w:t>
      </w:r>
      <w:r w:rsidR="002C330E" w:rsidRPr="00D5464D">
        <w:rPr>
          <w:rFonts w:eastAsia="Batang" w:cs="Times"/>
          <w:szCs w:val="24"/>
          <w:lang w:val="pt-BR" w:eastAsia="es-ES"/>
        </w:rPr>
        <w:t xml:space="preserve"> as </w:t>
      </w:r>
      <w:r w:rsidR="00E765C2" w:rsidRPr="00D5464D">
        <w:rPr>
          <w:rFonts w:eastAsia="Batang" w:cs="Times"/>
          <w:szCs w:val="24"/>
          <w:lang w:val="pt-BR" w:eastAsia="es-ES"/>
        </w:rPr>
        <w:t>duas exceções</w:t>
      </w:r>
      <w:r w:rsidR="00C3479B" w:rsidRPr="00D5464D">
        <w:rPr>
          <w:rFonts w:eastAsia="Batang" w:cs="Times"/>
          <w:szCs w:val="24"/>
          <w:lang w:val="pt-BR" w:eastAsia="es-ES"/>
        </w:rPr>
        <w:t xml:space="preserve"> preliminares </w:t>
      </w:r>
      <w:r w:rsidRPr="00D5464D">
        <w:rPr>
          <w:rFonts w:eastAsia="Batang" w:cs="Times"/>
          <w:szCs w:val="24"/>
          <w:lang w:val="pt-BR" w:eastAsia="es-ES"/>
        </w:rPr>
        <w:t xml:space="preserve">do </w:t>
      </w:r>
      <w:r w:rsidR="00C3479B" w:rsidRPr="00D5464D">
        <w:rPr>
          <w:rFonts w:eastAsia="Batang" w:cs="Times"/>
          <w:szCs w:val="24"/>
          <w:lang w:val="pt-BR" w:eastAsia="es-ES"/>
        </w:rPr>
        <w:t>Estado sobre limita</w:t>
      </w:r>
      <w:r w:rsidRPr="00D5464D">
        <w:rPr>
          <w:rFonts w:eastAsia="Batang" w:cs="Times"/>
          <w:szCs w:val="24"/>
          <w:lang w:val="pt-BR" w:eastAsia="es-ES"/>
        </w:rPr>
        <w:t>ção</w:t>
      </w:r>
      <w:r w:rsidR="00C3479B" w:rsidRPr="00D5464D">
        <w:rPr>
          <w:rFonts w:eastAsia="Batang" w:cs="Times"/>
          <w:szCs w:val="24"/>
          <w:lang w:val="pt-BR" w:eastAsia="es-ES"/>
        </w:rPr>
        <w:t xml:space="preserve"> temporal (</w:t>
      </w:r>
      <w:r w:rsidR="00C3479B" w:rsidRPr="00D5464D">
        <w:rPr>
          <w:rFonts w:eastAsia="Batang" w:cs="Times"/>
          <w:i/>
          <w:szCs w:val="24"/>
          <w:lang w:val="pt-BR" w:eastAsia="es-ES"/>
        </w:rPr>
        <w:t>ratione temporis</w:t>
      </w:r>
      <w:r w:rsidR="00C3479B" w:rsidRPr="00D5464D">
        <w:rPr>
          <w:rFonts w:eastAsia="Batang" w:cs="Times"/>
          <w:szCs w:val="24"/>
          <w:lang w:val="pt-BR" w:eastAsia="es-ES"/>
        </w:rPr>
        <w:t>) conjuntamente,</w:t>
      </w:r>
      <w:r w:rsidR="002C330E" w:rsidRPr="00D5464D">
        <w:rPr>
          <w:rFonts w:eastAsia="Batang" w:cs="Times"/>
          <w:szCs w:val="24"/>
          <w:lang w:val="pt-BR" w:eastAsia="es-ES"/>
        </w:rPr>
        <w:t xml:space="preserve"> pois </w:t>
      </w:r>
      <w:r w:rsidR="00C3479B" w:rsidRPr="00D5464D">
        <w:rPr>
          <w:rFonts w:eastAsia="Batang" w:cs="Times"/>
          <w:szCs w:val="24"/>
          <w:lang w:val="pt-BR" w:eastAsia="es-ES"/>
        </w:rPr>
        <w:t xml:space="preserve">se </w:t>
      </w:r>
      <w:r w:rsidR="00350187" w:rsidRPr="00D5464D">
        <w:rPr>
          <w:rFonts w:eastAsia="Batang" w:cs="Times"/>
          <w:szCs w:val="24"/>
          <w:lang w:val="pt-BR" w:eastAsia="es-ES"/>
        </w:rPr>
        <w:t>referem</w:t>
      </w:r>
      <w:r w:rsidR="00C3479B" w:rsidRPr="00D5464D">
        <w:rPr>
          <w:rFonts w:eastAsia="Batang" w:cs="Times"/>
          <w:szCs w:val="24"/>
          <w:lang w:val="pt-BR" w:eastAsia="es-ES"/>
        </w:rPr>
        <w:t xml:space="preserve"> a </w:t>
      </w:r>
      <w:r w:rsidR="006665EF" w:rsidRPr="00D5464D">
        <w:rPr>
          <w:rFonts w:eastAsia="Batang" w:cs="Times"/>
          <w:szCs w:val="24"/>
          <w:lang w:val="pt-BR" w:eastAsia="es-ES"/>
        </w:rPr>
        <w:t xml:space="preserve">assuntos </w:t>
      </w:r>
      <w:r w:rsidR="00ED1101" w:rsidRPr="00D5464D">
        <w:rPr>
          <w:rFonts w:eastAsia="Batang" w:cs="Times"/>
          <w:szCs w:val="24"/>
          <w:lang w:val="pt-BR" w:eastAsia="es-ES"/>
        </w:rPr>
        <w:t>relacionad</w:t>
      </w:r>
      <w:r w:rsidR="006665EF" w:rsidRPr="00D5464D">
        <w:rPr>
          <w:rFonts w:eastAsia="Batang" w:cs="Times"/>
          <w:szCs w:val="24"/>
          <w:lang w:val="pt-BR" w:eastAsia="es-ES"/>
        </w:rPr>
        <w:t>o</w:t>
      </w:r>
      <w:r w:rsidR="00ED1101" w:rsidRPr="00D5464D">
        <w:rPr>
          <w:rFonts w:eastAsia="Batang" w:cs="Times"/>
          <w:szCs w:val="24"/>
          <w:lang w:val="pt-BR" w:eastAsia="es-ES"/>
        </w:rPr>
        <w:t>s</w:t>
      </w:r>
      <w:r w:rsidR="00E045D9" w:rsidRPr="00D5464D">
        <w:rPr>
          <w:rFonts w:eastAsia="Batang" w:cs="Times"/>
          <w:szCs w:val="24"/>
          <w:lang w:val="pt-BR" w:eastAsia="es-ES"/>
        </w:rPr>
        <w:t xml:space="preserve"> e </w:t>
      </w:r>
      <w:r w:rsidR="00F96DDC" w:rsidRPr="00D5464D">
        <w:rPr>
          <w:rFonts w:eastAsia="Batang" w:cs="Times"/>
          <w:szCs w:val="24"/>
          <w:lang w:val="pt-BR" w:eastAsia="es-ES"/>
        </w:rPr>
        <w:t>encerram</w:t>
      </w:r>
      <w:r w:rsidR="00C3479B" w:rsidRPr="00D5464D">
        <w:rPr>
          <w:rFonts w:eastAsia="Batang" w:cs="Times"/>
          <w:szCs w:val="24"/>
          <w:lang w:val="pt-BR" w:eastAsia="es-ES"/>
        </w:rPr>
        <w:t xml:space="preserve"> argumentos </w:t>
      </w:r>
      <w:r w:rsidR="002C330E" w:rsidRPr="00D5464D">
        <w:rPr>
          <w:rFonts w:eastAsia="Batang" w:cs="Times"/>
          <w:szCs w:val="24"/>
          <w:lang w:val="pt-BR" w:eastAsia="es-ES"/>
        </w:rPr>
        <w:t>idêntico</w:t>
      </w:r>
      <w:r w:rsidR="00C3479B" w:rsidRPr="00D5464D">
        <w:rPr>
          <w:rFonts w:eastAsia="Batang" w:cs="Times"/>
          <w:szCs w:val="24"/>
          <w:lang w:val="pt-BR" w:eastAsia="es-ES"/>
        </w:rPr>
        <w:t xml:space="preserve">s </w:t>
      </w:r>
      <w:r w:rsidR="00E21A35" w:rsidRPr="00D5464D">
        <w:rPr>
          <w:rFonts w:eastAsia="Batang" w:cs="Times"/>
          <w:szCs w:val="24"/>
          <w:lang w:val="pt-BR" w:eastAsia="es-ES"/>
        </w:rPr>
        <w:t xml:space="preserve">tanto </w:t>
      </w:r>
      <w:r w:rsidR="00C3479B" w:rsidRPr="00D5464D">
        <w:rPr>
          <w:rFonts w:eastAsia="Batang" w:cs="Times"/>
          <w:szCs w:val="24"/>
          <w:lang w:val="pt-BR" w:eastAsia="es-ES"/>
        </w:rPr>
        <w:t xml:space="preserve">de parte </w:t>
      </w:r>
      <w:r w:rsidRPr="00D5464D">
        <w:rPr>
          <w:rFonts w:eastAsia="Batang" w:cs="Times"/>
          <w:szCs w:val="24"/>
          <w:lang w:val="pt-BR" w:eastAsia="es-ES"/>
        </w:rPr>
        <w:t xml:space="preserve">do </w:t>
      </w:r>
      <w:r w:rsidR="00C3479B" w:rsidRPr="00D5464D">
        <w:rPr>
          <w:rFonts w:eastAsia="Batang" w:cs="Times"/>
          <w:szCs w:val="24"/>
          <w:lang w:val="pt-BR" w:eastAsia="es-ES"/>
        </w:rPr>
        <w:t>Estado como</w:t>
      </w:r>
      <w:r w:rsidRPr="00D5464D">
        <w:rPr>
          <w:rFonts w:eastAsia="Batang" w:cs="Times"/>
          <w:szCs w:val="24"/>
          <w:lang w:val="pt-BR" w:eastAsia="es-ES"/>
        </w:rPr>
        <w:t xml:space="preserve"> da Comissão</w:t>
      </w:r>
      <w:r w:rsidR="00E045D9" w:rsidRPr="00D5464D">
        <w:rPr>
          <w:rFonts w:eastAsia="Batang" w:cs="Times"/>
          <w:szCs w:val="24"/>
          <w:lang w:val="pt-BR" w:eastAsia="es-ES"/>
        </w:rPr>
        <w:t xml:space="preserve"> e </w:t>
      </w:r>
      <w:r w:rsidR="00F96DDC" w:rsidRPr="00D5464D">
        <w:rPr>
          <w:rFonts w:eastAsia="Batang" w:cs="Times"/>
          <w:szCs w:val="24"/>
          <w:lang w:val="pt-BR" w:eastAsia="es-ES"/>
        </w:rPr>
        <w:t>d</w:t>
      </w:r>
      <w:r w:rsidR="002C330E" w:rsidRPr="00D5464D">
        <w:rPr>
          <w:rFonts w:eastAsia="Batang" w:cs="Times"/>
          <w:szCs w:val="24"/>
          <w:lang w:val="pt-BR" w:eastAsia="es-ES"/>
        </w:rPr>
        <w:t xml:space="preserve">os </w:t>
      </w:r>
      <w:r w:rsidR="00EB1CE9" w:rsidRPr="00D5464D">
        <w:rPr>
          <w:rFonts w:eastAsia="Batang" w:cs="Times"/>
          <w:szCs w:val="24"/>
          <w:lang w:val="pt-BR" w:eastAsia="es-ES"/>
        </w:rPr>
        <w:t>representante</w:t>
      </w:r>
      <w:r w:rsidR="00C3479B" w:rsidRPr="00D5464D">
        <w:rPr>
          <w:rFonts w:eastAsia="Batang" w:cs="Times"/>
          <w:szCs w:val="24"/>
          <w:lang w:val="pt-BR" w:eastAsia="es-ES"/>
        </w:rPr>
        <w:t>s.</w:t>
      </w:r>
    </w:p>
    <w:p w14:paraId="25AAF3B2" w14:textId="77777777" w:rsidR="00C3479B" w:rsidRPr="00D5464D" w:rsidRDefault="00C3479B" w:rsidP="00140440">
      <w:pPr>
        <w:pStyle w:val="Asuntodelcomentario"/>
        <w:tabs>
          <w:tab w:val="clear" w:pos="4419"/>
          <w:tab w:val="clear" w:pos="8838"/>
        </w:tabs>
        <w:jc w:val="both"/>
        <w:rPr>
          <w:rFonts w:eastAsia="Batang" w:cs="Times"/>
          <w:bCs w:val="0"/>
          <w:szCs w:val="24"/>
          <w:lang w:val="pt-BR" w:eastAsia="es-ES"/>
        </w:rPr>
      </w:pPr>
    </w:p>
    <w:p w14:paraId="2A53BBD2" w14:textId="45673DD5" w:rsidR="000A52D5" w:rsidRPr="00D5464D" w:rsidRDefault="000A52D5" w:rsidP="000A20C1">
      <w:pPr>
        <w:pStyle w:val="Ttulo3"/>
        <w:rPr>
          <w:lang w:val="pt-BR" w:eastAsia="es-ES"/>
        </w:rPr>
      </w:pPr>
      <w:bookmarkStart w:id="96" w:name="_Toc460432973"/>
      <w:bookmarkStart w:id="97" w:name="_Toc460441904"/>
      <w:bookmarkStart w:id="98" w:name="_Toc462750724"/>
      <w:bookmarkStart w:id="99" w:name="_Toc462751048"/>
      <w:bookmarkStart w:id="100" w:name="_Toc464813900"/>
      <w:bookmarkStart w:id="101" w:name="_Toc468433861"/>
      <w:r w:rsidRPr="00D5464D">
        <w:rPr>
          <w:lang w:val="pt-BR" w:eastAsia="es-ES"/>
        </w:rPr>
        <w:t xml:space="preserve">D.1. </w:t>
      </w:r>
      <w:r w:rsidR="00470ADC" w:rsidRPr="00D5464D">
        <w:rPr>
          <w:lang w:val="pt-BR" w:eastAsia="es-ES"/>
        </w:rPr>
        <w:t>Alegações</w:t>
      </w:r>
      <w:r w:rsidR="00246E8D" w:rsidRPr="00D5464D">
        <w:rPr>
          <w:lang w:val="pt-BR" w:eastAsia="es-ES"/>
        </w:rPr>
        <w:t xml:space="preserve"> </w:t>
      </w:r>
      <w:r w:rsidR="00470ADC" w:rsidRPr="00D5464D">
        <w:rPr>
          <w:lang w:val="pt-BR" w:eastAsia="es-ES"/>
        </w:rPr>
        <w:t xml:space="preserve">do </w:t>
      </w:r>
      <w:r w:rsidR="00246E8D" w:rsidRPr="00D5464D">
        <w:rPr>
          <w:lang w:val="pt-BR" w:eastAsia="es-ES"/>
        </w:rPr>
        <w:t>Estado,</w:t>
      </w:r>
      <w:r w:rsidRPr="00D5464D">
        <w:rPr>
          <w:lang w:val="pt-BR" w:eastAsia="es-ES"/>
        </w:rPr>
        <w:t xml:space="preserve"> observa</w:t>
      </w:r>
      <w:r w:rsidR="00470ADC" w:rsidRPr="00D5464D">
        <w:rPr>
          <w:lang w:val="pt-BR" w:eastAsia="es-ES"/>
        </w:rPr>
        <w:t>ções da Comissão</w:t>
      </w:r>
      <w:r w:rsidR="00E045D9" w:rsidRPr="00D5464D">
        <w:rPr>
          <w:lang w:val="pt-BR" w:eastAsia="es-ES"/>
        </w:rPr>
        <w:t xml:space="preserve"> e </w:t>
      </w:r>
      <w:r w:rsidR="00470ADC" w:rsidRPr="00D5464D">
        <w:rPr>
          <w:lang w:val="pt-BR" w:eastAsia="es-ES"/>
        </w:rPr>
        <w:t xml:space="preserve">dos </w:t>
      </w:r>
      <w:r w:rsidR="00EB1CE9" w:rsidRPr="00D5464D">
        <w:rPr>
          <w:lang w:val="pt-BR" w:eastAsia="es-ES"/>
        </w:rPr>
        <w:t>representante</w:t>
      </w:r>
      <w:r w:rsidRPr="00D5464D">
        <w:rPr>
          <w:lang w:val="pt-BR" w:eastAsia="es-ES"/>
        </w:rPr>
        <w:t>s</w:t>
      </w:r>
      <w:bookmarkEnd w:id="96"/>
      <w:bookmarkEnd w:id="97"/>
      <w:bookmarkEnd w:id="98"/>
      <w:bookmarkEnd w:id="99"/>
      <w:bookmarkEnd w:id="100"/>
      <w:bookmarkEnd w:id="101"/>
    </w:p>
    <w:p w14:paraId="6856B4F4" w14:textId="77777777" w:rsidR="00D65024" w:rsidRPr="00D5464D" w:rsidRDefault="00D65024" w:rsidP="00D65024">
      <w:pPr>
        <w:tabs>
          <w:tab w:val="clear" w:pos="4419"/>
          <w:tab w:val="clear" w:pos="8838"/>
        </w:tabs>
        <w:jc w:val="both"/>
        <w:rPr>
          <w:rFonts w:eastAsia="Batang" w:cs="Times"/>
          <w:szCs w:val="24"/>
          <w:lang w:val="pt-BR" w:eastAsia="es-ES"/>
        </w:rPr>
      </w:pPr>
    </w:p>
    <w:p w14:paraId="1FAE85F7" w14:textId="5C59AC8B" w:rsidR="000A52D5" w:rsidRPr="00D5464D" w:rsidRDefault="00470AD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O </w:t>
      </w:r>
      <w:r w:rsidR="000A52D5" w:rsidRPr="00D5464D">
        <w:rPr>
          <w:rFonts w:eastAsia="Batang" w:cs="Times"/>
          <w:b/>
          <w:i/>
          <w:szCs w:val="24"/>
          <w:lang w:val="pt-BR" w:eastAsia="es-ES"/>
        </w:rPr>
        <w:t>Estado</w:t>
      </w:r>
      <w:r w:rsidR="000A52D5" w:rsidRPr="00D5464D">
        <w:rPr>
          <w:rFonts w:eastAsia="Batang" w:cs="Times"/>
          <w:szCs w:val="24"/>
          <w:lang w:val="pt-BR" w:eastAsia="es-ES"/>
        </w:rPr>
        <w:t xml:space="preserve"> </w:t>
      </w:r>
      <w:r w:rsidR="005F3480" w:rsidRPr="00D5464D">
        <w:rPr>
          <w:rFonts w:eastAsia="Batang" w:cs="Times"/>
          <w:szCs w:val="24"/>
          <w:lang w:val="pt-BR" w:eastAsia="es-ES"/>
        </w:rPr>
        <w:t>afirmou</w:t>
      </w:r>
      <w:r w:rsidR="000A52D5" w:rsidRPr="00D5464D">
        <w:rPr>
          <w:rFonts w:eastAsia="Batang" w:cs="Times"/>
          <w:szCs w:val="24"/>
          <w:lang w:val="pt-BR" w:eastAsia="es-ES"/>
        </w:rPr>
        <w:t xml:space="preserve"> que formal</w:t>
      </w:r>
      <w:r w:rsidR="00350187" w:rsidRPr="00D5464D">
        <w:rPr>
          <w:rFonts w:eastAsia="Batang" w:cs="Times"/>
          <w:szCs w:val="24"/>
          <w:lang w:val="pt-BR" w:eastAsia="es-ES"/>
        </w:rPr>
        <w:t xml:space="preserve">izou </w:t>
      </w:r>
      <w:r w:rsidR="00F96DDC" w:rsidRPr="00D5464D">
        <w:rPr>
          <w:rFonts w:eastAsia="Batang" w:cs="Times"/>
          <w:szCs w:val="24"/>
          <w:lang w:val="pt-BR" w:eastAsia="es-ES"/>
        </w:rPr>
        <w:t>sua adesão</w:t>
      </w:r>
      <w:r w:rsidRPr="00D5464D">
        <w:rPr>
          <w:rFonts w:eastAsia="Batang" w:cs="Times"/>
          <w:szCs w:val="24"/>
          <w:lang w:val="pt-BR" w:eastAsia="es-ES"/>
        </w:rPr>
        <w:t xml:space="preserve"> à </w:t>
      </w:r>
      <w:r w:rsidR="000A52D5" w:rsidRPr="00D5464D">
        <w:rPr>
          <w:rFonts w:eastAsia="Batang" w:cs="Times"/>
          <w:szCs w:val="24"/>
          <w:lang w:val="pt-BR" w:eastAsia="es-ES"/>
        </w:rPr>
        <w:t>Conven</w:t>
      </w:r>
      <w:r w:rsidRPr="00D5464D">
        <w:rPr>
          <w:rFonts w:eastAsia="Batang" w:cs="Times"/>
          <w:szCs w:val="24"/>
          <w:lang w:val="pt-BR" w:eastAsia="es-ES"/>
        </w:rPr>
        <w:t>ção</w:t>
      </w:r>
      <w:r w:rsidR="000A52D5" w:rsidRPr="00D5464D">
        <w:rPr>
          <w:rFonts w:eastAsia="Batang" w:cs="Times"/>
          <w:szCs w:val="24"/>
          <w:lang w:val="pt-BR" w:eastAsia="es-ES"/>
        </w:rPr>
        <w:t xml:space="preserve"> Americana</w:t>
      </w:r>
      <w:r w:rsidR="002C330E" w:rsidRPr="00D5464D">
        <w:rPr>
          <w:rFonts w:eastAsia="Batang" w:cs="Times"/>
          <w:szCs w:val="24"/>
          <w:lang w:val="pt-BR" w:eastAsia="es-ES"/>
        </w:rPr>
        <w:t xml:space="preserve"> em 6</w:t>
      </w:r>
      <w:r w:rsidR="000A52D5" w:rsidRPr="00D5464D">
        <w:rPr>
          <w:rFonts w:eastAsia="Batang" w:cs="Times"/>
          <w:szCs w:val="24"/>
          <w:lang w:val="pt-BR" w:eastAsia="es-ES"/>
        </w:rPr>
        <w:t xml:space="preserve"> de </w:t>
      </w:r>
      <w:r w:rsidR="002C330E" w:rsidRPr="00D5464D">
        <w:rPr>
          <w:rFonts w:eastAsia="Batang" w:cs="Times"/>
          <w:szCs w:val="24"/>
          <w:lang w:val="pt-BR" w:eastAsia="es-ES"/>
        </w:rPr>
        <w:t>novembro</w:t>
      </w:r>
      <w:r w:rsidR="000A52D5" w:rsidRPr="00D5464D">
        <w:rPr>
          <w:rFonts w:eastAsia="Batang" w:cs="Times"/>
          <w:szCs w:val="24"/>
          <w:lang w:val="pt-BR" w:eastAsia="es-ES"/>
        </w:rPr>
        <w:t xml:space="preserve"> de 1992</w:t>
      </w:r>
      <w:r w:rsidR="00E045D9" w:rsidRPr="00D5464D">
        <w:rPr>
          <w:rFonts w:eastAsia="Batang" w:cs="Times"/>
          <w:szCs w:val="24"/>
          <w:lang w:val="pt-BR" w:eastAsia="es-ES"/>
        </w:rPr>
        <w:t xml:space="preserve"> e </w:t>
      </w:r>
      <w:r w:rsidR="000A52D5" w:rsidRPr="00D5464D">
        <w:rPr>
          <w:rFonts w:eastAsia="Batang" w:cs="Times"/>
          <w:szCs w:val="24"/>
          <w:lang w:val="pt-BR" w:eastAsia="es-ES"/>
        </w:rPr>
        <w:t>re</w:t>
      </w:r>
      <w:r w:rsidRPr="00D5464D">
        <w:rPr>
          <w:rFonts w:eastAsia="Batang" w:cs="Times"/>
          <w:szCs w:val="24"/>
          <w:lang w:val="pt-BR" w:eastAsia="es-ES"/>
        </w:rPr>
        <w:t>conheceu</w:t>
      </w:r>
      <w:r w:rsidR="002C330E" w:rsidRPr="00D5464D">
        <w:rPr>
          <w:rFonts w:eastAsia="Batang" w:cs="Times"/>
          <w:szCs w:val="24"/>
          <w:lang w:val="pt-BR" w:eastAsia="es-ES"/>
        </w:rPr>
        <w:t xml:space="preserve"> a </w:t>
      </w:r>
      <w:r w:rsidRPr="00D5464D">
        <w:rPr>
          <w:rFonts w:eastAsia="Batang" w:cs="Times"/>
          <w:szCs w:val="24"/>
          <w:lang w:val="pt-BR" w:eastAsia="es-ES"/>
        </w:rPr>
        <w:t xml:space="preserve">competência da </w:t>
      </w:r>
      <w:r w:rsidR="000A52D5" w:rsidRPr="00D5464D">
        <w:rPr>
          <w:rFonts w:eastAsia="Batang" w:cs="Times"/>
          <w:szCs w:val="24"/>
          <w:lang w:val="pt-BR" w:eastAsia="es-ES"/>
        </w:rPr>
        <w:t>Corte</w:t>
      </w:r>
      <w:r w:rsidR="00C91CB1" w:rsidRPr="00D5464D">
        <w:rPr>
          <w:rFonts w:eastAsia="Batang" w:cs="Times"/>
          <w:szCs w:val="24"/>
          <w:lang w:val="pt-BR" w:eastAsia="es-ES"/>
        </w:rPr>
        <w:t xml:space="preserve"> em 1</w:t>
      </w:r>
      <w:r w:rsidR="000A52D5" w:rsidRPr="00D5464D">
        <w:rPr>
          <w:rFonts w:eastAsia="Batang" w:cs="Times"/>
          <w:szCs w:val="24"/>
          <w:lang w:val="pt-BR" w:eastAsia="es-ES"/>
        </w:rPr>
        <w:t xml:space="preserve">0 de </w:t>
      </w:r>
      <w:r w:rsidRPr="00D5464D">
        <w:rPr>
          <w:rFonts w:eastAsia="Batang" w:cs="Times"/>
          <w:szCs w:val="24"/>
          <w:lang w:val="pt-BR" w:eastAsia="es-ES"/>
        </w:rPr>
        <w:t>dezembro</w:t>
      </w:r>
      <w:r w:rsidR="000A52D5" w:rsidRPr="00D5464D">
        <w:rPr>
          <w:rFonts w:eastAsia="Batang" w:cs="Times"/>
          <w:szCs w:val="24"/>
          <w:lang w:val="pt-BR" w:eastAsia="es-ES"/>
        </w:rPr>
        <w:t xml:space="preserve"> de 1998 para </w:t>
      </w:r>
      <w:r w:rsidR="002C330E" w:rsidRPr="00D5464D">
        <w:rPr>
          <w:rFonts w:eastAsia="Batang" w:cs="Times"/>
          <w:szCs w:val="24"/>
          <w:lang w:val="pt-BR" w:eastAsia="es-ES"/>
        </w:rPr>
        <w:t>fatos</w:t>
      </w:r>
      <w:r w:rsidR="000A52D5" w:rsidRPr="00D5464D">
        <w:rPr>
          <w:rFonts w:eastAsia="Batang" w:cs="Times"/>
          <w:szCs w:val="24"/>
          <w:lang w:val="pt-BR" w:eastAsia="es-ES"/>
        </w:rPr>
        <w:t xml:space="preserve"> posteriores </w:t>
      </w:r>
      <w:r w:rsidR="00050992" w:rsidRPr="00D5464D">
        <w:rPr>
          <w:rFonts w:eastAsia="Batang" w:cs="Times"/>
          <w:szCs w:val="24"/>
          <w:lang w:val="pt-BR" w:eastAsia="es-ES"/>
        </w:rPr>
        <w:t>a</w:t>
      </w:r>
      <w:r w:rsidRPr="00D5464D">
        <w:rPr>
          <w:rFonts w:eastAsia="Batang" w:cs="Times"/>
          <w:szCs w:val="24"/>
          <w:lang w:val="pt-BR" w:eastAsia="es-ES"/>
        </w:rPr>
        <w:t xml:space="preserve"> essa data</w:t>
      </w:r>
      <w:r w:rsidR="00A1358C" w:rsidRPr="00D5464D">
        <w:rPr>
          <w:rFonts w:eastAsia="Batang" w:cs="Times"/>
          <w:szCs w:val="24"/>
          <w:lang w:val="pt-BR" w:eastAsia="es-ES"/>
        </w:rPr>
        <w:t xml:space="preserve">. O </w:t>
      </w:r>
      <w:r w:rsidR="000A52D5" w:rsidRPr="00D5464D">
        <w:rPr>
          <w:rFonts w:eastAsia="Batang" w:cs="Times"/>
          <w:szCs w:val="24"/>
          <w:lang w:val="pt-BR" w:eastAsia="es-ES"/>
        </w:rPr>
        <w:t xml:space="preserve">Estado </w:t>
      </w:r>
      <w:r w:rsidRPr="00D5464D">
        <w:rPr>
          <w:rFonts w:eastAsia="Batang" w:cs="Times"/>
          <w:szCs w:val="24"/>
          <w:lang w:val="pt-BR" w:eastAsia="es-ES"/>
        </w:rPr>
        <w:t>afirmou</w:t>
      </w:r>
      <w:r w:rsidR="000A52D5" w:rsidRPr="00D5464D">
        <w:rPr>
          <w:rFonts w:eastAsia="Batang" w:cs="Times"/>
          <w:szCs w:val="24"/>
          <w:lang w:val="pt-BR" w:eastAsia="es-ES"/>
        </w:rPr>
        <w:t xml:space="preserve"> que</w:t>
      </w:r>
      <w:r w:rsidR="002C330E" w:rsidRPr="00D5464D">
        <w:rPr>
          <w:rFonts w:eastAsia="Batang" w:cs="Times"/>
          <w:szCs w:val="24"/>
          <w:lang w:val="pt-BR" w:eastAsia="es-ES"/>
        </w:rPr>
        <w:t xml:space="preserve"> a </w:t>
      </w:r>
      <w:r w:rsidR="000A52D5" w:rsidRPr="00D5464D">
        <w:rPr>
          <w:rFonts w:eastAsia="Batang" w:cs="Times"/>
          <w:szCs w:val="24"/>
          <w:lang w:val="pt-BR" w:eastAsia="es-ES"/>
        </w:rPr>
        <w:t>interpreta</w:t>
      </w:r>
      <w:r w:rsidRPr="00D5464D">
        <w:rPr>
          <w:rFonts w:eastAsia="Batang" w:cs="Times"/>
          <w:szCs w:val="24"/>
          <w:lang w:val="pt-BR" w:eastAsia="es-ES"/>
        </w:rPr>
        <w:t>ção da Comissão</w:t>
      </w:r>
      <w:r w:rsidR="00E045D9" w:rsidRPr="00D5464D">
        <w:rPr>
          <w:rFonts w:eastAsia="Batang" w:cs="Times"/>
          <w:szCs w:val="24"/>
          <w:lang w:val="pt-BR" w:eastAsia="es-ES"/>
        </w:rPr>
        <w:t xml:space="preserve"> e </w:t>
      </w:r>
      <w:r w:rsidRPr="00D5464D">
        <w:rPr>
          <w:rFonts w:eastAsia="Batang" w:cs="Times"/>
          <w:szCs w:val="24"/>
          <w:lang w:val="pt-BR" w:eastAsia="es-ES"/>
        </w:rPr>
        <w:t xml:space="preserve">dos </w:t>
      </w:r>
      <w:r w:rsidR="00EB1CE9" w:rsidRPr="00D5464D">
        <w:rPr>
          <w:rFonts w:eastAsia="Batang" w:cs="Times"/>
          <w:szCs w:val="24"/>
          <w:lang w:val="pt-BR" w:eastAsia="es-ES"/>
        </w:rPr>
        <w:t>representante</w:t>
      </w:r>
      <w:r w:rsidR="000A52D5" w:rsidRPr="00D5464D">
        <w:rPr>
          <w:rFonts w:eastAsia="Batang" w:cs="Times"/>
          <w:szCs w:val="24"/>
          <w:lang w:val="pt-BR" w:eastAsia="es-ES"/>
        </w:rPr>
        <w:t>s</w:t>
      </w:r>
      <w:r w:rsidRPr="00D5464D">
        <w:rPr>
          <w:rFonts w:eastAsia="Batang" w:cs="Times"/>
          <w:szCs w:val="24"/>
          <w:lang w:val="pt-BR" w:eastAsia="es-ES"/>
        </w:rPr>
        <w:t xml:space="preserve"> em </w:t>
      </w:r>
      <w:r w:rsidR="000A52D5" w:rsidRPr="00D5464D">
        <w:rPr>
          <w:rFonts w:eastAsia="Batang" w:cs="Times"/>
          <w:szCs w:val="24"/>
          <w:lang w:val="pt-BR" w:eastAsia="es-ES"/>
        </w:rPr>
        <w:t>rela</w:t>
      </w:r>
      <w:r w:rsidRPr="00D5464D">
        <w:rPr>
          <w:rFonts w:eastAsia="Batang" w:cs="Times"/>
          <w:szCs w:val="24"/>
          <w:lang w:val="pt-BR" w:eastAsia="es-ES"/>
        </w:rPr>
        <w:t xml:space="preserve">ção </w:t>
      </w:r>
      <w:r w:rsidR="00F96DDC" w:rsidRPr="00D5464D">
        <w:rPr>
          <w:rFonts w:eastAsia="Batang" w:cs="Times"/>
          <w:szCs w:val="24"/>
          <w:lang w:val="pt-BR" w:eastAsia="es-ES"/>
        </w:rPr>
        <w:t>a</w:t>
      </w:r>
      <w:r w:rsidR="002C330E" w:rsidRPr="00D5464D">
        <w:rPr>
          <w:rFonts w:eastAsia="Batang" w:cs="Times"/>
          <w:szCs w:val="24"/>
          <w:lang w:val="pt-BR" w:eastAsia="es-ES"/>
        </w:rPr>
        <w:t>os fatos</w:t>
      </w:r>
      <w:r w:rsidR="000A52D5" w:rsidRPr="00D5464D">
        <w:rPr>
          <w:rFonts w:eastAsia="Batang" w:cs="Times"/>
          <w:szCs w:val="24"/>
          <w:lang w:val="pt-BR" w:eastAsia="es-ES"/>
        </w:rPr>
        <w:t xml:space="preserve"> anteriores</w:t>
      </w:r>
      <w:r w:rsidRPr="00D5464D">
        <w:rPr>
          <w:rFonts w:eastAsia="Batang" w:cs="Times"/>
          <w:szCs w:val="24"/>
          <w:lang w:val="pt-BR" w:eastAsia="es-ES"/>
        </w:rPr>
        <w:t xml:space="preserve"> ao </w:t>
      </w:r>
      <w:r w:rsidR="000A52D5" w:rsidRPr="00D5464D">
        <w:rPr>
          <w:rFonts w:eastAsia="Batang" w:cs="Times"/>
          <w:szCs w:val="24"/>
          <w:lang w:val="pt-BR" w:eastAsia="es-ES"/>
        </w:rPr>
        <w:t>re</w:t>
      </w:r>
      <w:r w:rsidRPr="00D5464D">
        <w:rPr>
          <w:rFonts w:eastAsia="Batang" w:cs="Times"/>
          <w:szCs w:val="24"/>
          <w:lang w:val="pt-BR" w:eastAsia="es-ES"/>
        </w:rPr>
        <w:t xml:space="preserve">conhecimento da competência da </w:t>
      </w:r>
      <w:r w:rsidR="000A52D5" w:rsidRPr="00D5464D">
        <w:rPr>
          <w:rFonts w:eastAsia="Batang" w:cs="Times"/>
          <w:szCs w:val="24"/>
          <w:lang w:val="pt-BR" w:eastAsia="es-ES"/>
        </w:rPr>
        <w:t>Corte por parte d</w:t>
      </w:r>
      <w:r w:rsidR="00F96DDC" w:rsidRPr="00D5464D">
        <w:rPr>
          <w:rFonts w:eastAsia="Batang" w:cs="Times"/>
          <w:szCs w:val="24"/>
          <w:lang w:val="pt-BR" w:eastAsia="es-ES"/>
        </w:rPr>
        <w:t>o</w:t>
      </w:r>
      <w:r w:rsidR="000A52D5" w:rsidRPr="00D5464D">
        <w:rPr>
          <w:rFonts w:eastAsia="Batang" w:cs="Times"/>
          <w:szCs w:val="24"/>
          <w:lang w:val="pt-BR" w:eastAsia="es-ES"/>
        </w:rPr>
        <w:t xml:space="preserve"> Brasil viola</w:t>
      </w:r>
      <w:r w:rsidRPr="00D5464D">
        <w:rPr>
          <w:rFonts w:eastAsia="Batang" w:cs="Times"/>
          <w:szCs w:val="24"/>
          <w:lang w:val="pt-BR" w:eastAsia="es-ES"/>
        </w:rPr>
        <w:t xml:space="preserve"> o </w:t>
      </w:r>
      <w:r w:rsidR="002C330E" w:rsidRPr="00D5464D">
        <w:rPr>
          <w:rFonts w:eastAsia="Batang" w:cs="Times"/>
          <w:szCs w:val="24"/>
          <w:lang w:val="pt-BR" w:eastAsia="es-ES"/>
        </w:rPr>
        <w:t>regime</w:t>
      </w:r>
      <w:r w:rsidR="000A52D5" w:rsidRPr="00D5464D">
        <w:rPr>
          <w:rFonts w:eastAsia="Batang" w:cs="Times"/>
          <w:szCs w:val="24"/>
          <w:lang w:val="pt-BR" w:eastAsia="es-ES"/>
        </w:rPr>
        <w:t xml:space="preserve"> especial de declara</w:t>
      </w:r>
      <w:r w:rsidRPr="00D5464D">
        <w:rPr>
          <w:rFonts w:eastAsia="Batang" w:cs="Times"/>
          <w:szCs w:val="24"/>
          <w:lang w:val="pt-BR" w:eastAsia="es-ES"/>
        </w:rPr>
        <w:t xml:space="preserve">ções com </w:t>
      </w:r>
      <w:r w:rsidR="000A52D5" w:rsidRPr="00D5464D">
        <w:rPr>
          <w:rFonts w:eastAsia="Batang" w:cs="Times"/>
          <w:szCs w:val="24"/>
          <w:lang w:val="pt-BR" w:eastAsia="es-ES"/>
        </w:rPr>
        <w:t>limita</w:t>
      </w:r>
      <w:r w:rsidRPr="00D5464D">
        <w:rPr>
          <w:rFonts w:eastAsia="Batang" w:cs="Times"/>
          <w:szCs w:val="24"/>
          <w:lang w:val="pt-BR" w:eastAsia="es-ES"/>
        </w:rPr>
        <w:t>ção d</w:t>
      </w:r>
      <w:r w:rsidR="00F96DDC" w:rsidRPr="00D5464D">
        <w:rPr>
          <w:rFonts w:eastAsia="Batang" w:cs="Times"/>
          <w:szCs w:val="24"/>
          <w:lang w:val="pt-BR" w:eastAsia="es-ES"/>
        </w:rPr>
        <w:t>e</w:t>
      </w:r>
      <w:r w:rsidRPr="00D5464D">
        <w:rPr>
          <w:rFonts w:eastAsia="Batang" w:cs="Times"/>
          <w:szCs w:val="24"/>
          <w:lang w:val="pt-BR" w:eastAsia="es-ES"/>
        </w:rPr>
        <w:t xml:space="preserve"> competência</w:t>
      </w:r>
      <w:r w:rsidR="000A52D5" w:rsidRPr="00D5464D">
        <w:rPr>
          <w:rFonts w:eastAsia="Batang" w:cs="Times"/>
          <w:szCs w:val="24"/>
          <w:lang w:val="pt-BR" w:eastAsia="es-ES"/>
        </w:rPr>
        <w:t xml:space="preserve"> temporal previsto</w:t>
      </w:r>
      <w:r w:rsidR="00E045D9" w:rsidRPr="00D5464D">
        <w:rPr>
          <w:rFonts w:eastAsia="Batang" w:cs="Times"/>
          <w:szCs w:val="24"/>
          <w:lang w:val="pt-BR" w:eastAsia="es-ES"/>
        </w:rPr>
        <w:t xml:space="preserve"> no </w:t>
      </w:r>
      <w:r w:rsidRPr="00D5464D">
        <w:rPr>
          <w:rFonts w:eastAsia="Batang" w:cs="Times"/>
          <w:szCs w:val="24"/>
          <w:lang w:val="pt-BR" w:eastAsia="es-ES"/>
        </w:rPr>
        <w:t>artigo</w:t>
      </w:r>
      <w:r w:rsidR="000A52D5" w:rsidRPr="00D5464D">
        <w:rPr>
          <w:rFonts w:eastAsia="Batang" w:cs="Times"/>
          <w:szCs w:val="24"/>
          <w:lang w:val="pt-BR" w:eastAsia="es-ES"/>
        </w:rPr>
        <w:t xml:space="preserve"> 62.2</w:t>
      </w:r>
      <w:r w:rsidRPr="00D5464D">
        <w:rPr>
          <w:rFonts w:eastAsia="Batang" w:cs="Times"/>
          <w:szCs w:val="24"/>
          <w:lang w:val="pt-BR" w:eastAsia="es-ES"/>
        </w:rPr>
        <w:t xml:space="preserve"> da </w:t>
      </w:r>
      <w:r w:rsidR="000A52D5" w:rsidRPr="00D5464D">
        <w:rPr>
          <w:rFonts w:eastAsia="Batang" w:cs="Times"/>
          <w:szCs w:val="24"/>
          <w:lang w:val="pt-BR" w:eastAsia="es-ES"/>
        </w:rPr>
        <w:t>Conven</w:t>
      </w:r>
      <w:r w:rsidRPr="00D5464D">
        <w:rPr>
          <w:rFonts w:eastAsia="Batang" w:cs="Times"/>
          <w:szCs w:val="24"/>
          <w:lang w:val="pt-BR" w:eastAsia="es-ES"/>
        </w:rPr>
        <w:t>ção</w:t>
      </w:r>
      <w:r w:rsidR="000A52D5" w:rsidRPr="00D5464D">
        <w:rPr>
          <w:rFonts w:eastAsia="Batang" w:cs="Times"/>
          <w:szCs w:val="24"/>
          <w:lang w:val="pt-BR" w:eastAsia="es-ES"/>
        </w:rPr>
        <w:t>,</w:t>
      </w:r>
      <w:r w:rsidRPr="00D5464D">
        <w:rPr>
          <w:rFonts w:eastAsia="Batang" w:cs="Times"/>
          <w:szCs w:val="24"/>
          <w:lang w:val="pt-BR" w:eastAsia="es-ES"/>
        </w:rPr>
        <w:t xml:space="preserve"> ao </w:t>
      </w:r>
      <w:r w:rsidR="000A52D5" w:rsidRPr="00D5464D">
        <w:rPr>
          <w:rFonts w:eastAsia="Batang" w:cs="Times"/>
          <w:szCs w:val="24"/>
          <w:lang w:val="pt-BR" w:eastAsia="es-ES"/>
        </w:rPr>
        <w:t>n</w:t>
      </w:r>
      <w:r w:rsidR="00F96DDC" w:rsidRPr="00D5464D">
        <w:rPr>
          <w:rFonts w:eastAsia="Batang" w:cs="Times"/>
          <w:szCs w:val="24"/>
          <w:lang w:val="pt-BR" w:eastAsia="es-ES"/>
        </w:rPr>
        <w:t>ã</w:t>
      </w:r>
      <w:r w:rsidR="000A52D5" w:rsidRPr="00D5464D">
        <w:rPr>
          <w:rFonts w:eastAsia="Batang" w:cs="Times"/>
          <w:szCs w:val="24"/>
          <w:lang w:val="pt-BR" w:eastAsia="es-ES"/>
        </w:rPr>
        <w:t>o tomar</w:t>
      </w:r>
      <w:r w:rsidRPr="00D5464D">
        <w:rPr>
          <w:rFonts w:eastAsia="Batang" w:cs="Times"/>
          <w:szCs w:val="24"/>
          <w:lang w:val="pt-BR" w:eastAsia="es-ES"/>
        </w:rPr>
        <w:t xml:space="preserve"> em </w:t>
      </w:r>
      <w:r w:rsidR="00F96DDC" w:rsidRPr="00D5464D">
        <w:rPr>
          <w:rFonts w:eastAsia="Batang" w:cs="Times"/>
          <w:szCs w:val="24"/>
          <w:lang w:val="pt-BR" w:eastAsia="es-ES"/>
        </w:rPr>
        <w:t xml:space="preserve">consideração </w:t>
      </w:r>
      <w:r w:rsidR="002C330E" w:rsidRPr="00D5464D">
        <w:rPr>
          <w:rFonts w:eastAsia="Batang" w:cs="Times"/>
          <w:szCs w:val="24"/>
          <w:lang w:val="pt-BR" w:eastAsia="es-ES"/>
        </w:rPr>
        <w:t>a soberania</w:t>
      </w:r>
      <w:r w:rsidR="000A52D5" w:rsidRPr="00D5464D">
        <w:rPr>
          <w:rFonts w:eastAsia="Batang" w:cs="Times"/>
          <w:szCs w:val="24"/>
          <w:lang w:val="pt-BR" w:eastAsia="es-ES"/>
        </w:rPr>
        <w:t xml:space="preserve"> </w:t>
      </w:r>
      <w:r w:rsidRPr="00D5464D">
        <w:rPr>
          <w:rFonts w:eastAsia="Batang" w:cs="Times"/>
          <w:szCs w:val="24"/>
          <w:lang w:val="pt-BR" w:eastAsia="es-ES"/>
        </w:rPr>
        <w:t xml:space="preserve">do </w:t>
      </w:r>
      <w:r w:rsidR="000A52D5" w:rsidRPr="00D5464D">
        <w:rPr>
          <w:rFonts w:eastAsia="Batang" w:cs="Times"/>
          <w:szCs w:val="24"/>
          <w:lang w:val="pt-BR" w:eastAsia="es-ES"/>
        </w:rPr>
        <w:t>Estado</w:t>
      </w:r>
      <w:r w:rsidR="00E045D9" w:rsidRPr="00D5464D">
        <w:rPr>
          <w:rFonts w:eastAsia="Batang" w:cs="Times"/>
          <w:szCs w:val="24"/>
          <w:lang w:val="pt-BR" w:eastAsia="es-ES"/>
        </w:rPr>
        <w:t xml:space="preserve"> e </w:t>
      </w:r>
      <w:r w:rsidR="00F96DDC" w:rsidRPr="00D5464D">
        <w:rPr>
          <w:rFonts w:eastAsia="Batang" w:cs="Times"/>
          <w:szCs w:val="24"/>
          <w:lang w:val="pt-BR" w:eastAsia="es-ES"/>
        </w:rPr>
        <w:t>tentar estender</w:t>
      </w:r>
      <w:r w:rsidR="002C330E" w:rsidRPr="00D5464D">
        <w:rPr>
          <w:rFonts w:eastAsia="Batang" w:cs="Times"/>
          <w:szCs w:val="24"/>
          <w:lang w:val="pt-BR" w:eastAsia="es-ES"/>
        </w:rPr>
        <w:t xml:space="preserve"> a jurisdição</w:t>
      </w:r>
      <w:r w:rsidRPr="00D5464D">
        <w:rPr>
          <w:rFonts w:eastAsia="Batang" w:cs="Times"/>
          <w:szCs w:val="24"/>
          <w:lang w:val="pt-BR" w:eastAsia="es-ES"/>
        </w:rPr>
        <w:t xml:space="preserve"> da </w:t>
      </w:r>
      <w:r w:rsidR="000A52D5" w:rsidRPr="00D5464D">
        <w:rPr>
          <w:rFonts w:eastAsia="Batang" w:cs="Times"/>
          <w:szCs w:val="24"/>
          <w:lang w:val="pt-BR" w:eastAsia="es-ES"/>
        </w:rPr>
        <w:t xml:space="preserve">Corte </w:t>
      </w:r>
      <w:r w:rsidR="00EB1CE9" w:rsidRPr="00D5464D">
        <w:rPr>
          <w:rFonts w:eastAsia="Batang" w:cs="Times"/>
          <w:szCs w:val="24"/>
          <w:lang w:val="pt-BR" w:eastAsia="es-ES"/>
        </w:rPr>
        <w:t>além</w:t>
      </w:r>
      <w:r w:rsidRPr="00D5464D">
        <w:rPr>
          <w:rFonts w:eastAsia="Batang" w:cs="Times"/>
          <w:szCs w:val="24"/>
          <w:lang w:val="pt-BR" w:eastAsia="es-ES"/>
        </w:rPr>
        <w:t xml:space="preserve"> dos </w:t>
      </w:r>
      <w:r w:rsidR="002C330E" w:rsidRPr="00D5464D">
        <w:rPr>
          <w:rFonts w:eastAsia="Batang" w:cs="Times"/>
          <w:szCs w:val="24"/>
          <w:lang w:val="pt-BR" w:eastAsia="es-ES"/>
        </w:rPr>
        <w:t>limite</w:t>
      </w:r>
      <w:r w:rsidR="000A52D5" w:rsidRPr="00D5464D">
        <w:rPr>
          <w:rFonts w:eastAsia="Batang" w:cs="Times"/>
          <w:szCs w:val="24"/>
          <w:lang w:val="pt-BR" w:eastAsia="es-ES"/>
        </w:rPr>
        <w:t xml:space="preserve">s declarados por </w:t>
      </w:r>
      <w:r w:rsidRPr="00D5464D">
        <w:rPr>
          <w:rFonts w:eastAsia="Batang" w:cs="Times"/>
          <w:szCs w:val="24"/>
          <w:lang w:val="pt-BR" w:eastAsia="es-ES"/>
        </w:rPr>
        <w:t>este</w:t>
      </w:r>
      <w:r w:rsidR="000A52D5" w:rsidRPr="00D5464D">
        <w:rPr>
          <w:rFonts w:eastAsia="Batang" w:cs="Times"/>
          <w:szCs w:val="24"/>
          <w:lang w:val="pt-BR" w:eastAsia="es-ES"/>
        </w:rPr>
        <w:t xml:space="preserve"> </w:t>
      </w:r>
      <w:r w:rsidRPr="00D5464D">
        <w:rPr>
          <w:rFonts w:eastAsia="Batang" w:cs="Times"/>
          <w:szCs w:val="24"/>
          <w:lang w:val="pt-BR" w:eastAsia="es-ES"/>
        </w:rPr>
        <w:t>artigo</w:t>
      </w:r>
      <w:r w:rsidR="00A1358C" w:rsidRPr="00D5464D">
        <w:rPr>
          <w:rFonts w:eastAsia="Batang" w:cs="Times"/>
          <w:szCs w:val="24"/>
          <w:lang w:val="pt-BR" w:eastAsia="es-ES"/>
        </w:rPr>
        <w:t xml:space="preserve">. </w:t>
      </w:r>
      <w:r w:rsidR="00F96DDC" w:rsidRPr="00D5464D">
        <w:rPr>
          <w:rFonts w:eastAsia="Batang" w:cs="Times"/>
          <w:szCs w:val="24"/>
          <w:lang w:val="pt-BR" w:eastAsia="es-ES"/>
        </w:rPr>
        <w:t xml:space="preserve">Na opinião </w:t>
      </w:r>
      <w:r w:rsidRPr="00D5464D">
        <w:rPr>
          <w:rFonts w:eastAsia="Batang" w:cs="Times"/>
          <w:szCs w:val="24"/>
          <w:lang w:val="pt-BR" w:eastAsia="es-ES"/>
        </w:rPr>
        <w:t xml:space="preserve">do </w:t>
      </w:r>
      <w:r w:rsidR="000A52D5" w:rsidRPr="00D5464D">
        <w:rPr>
          <w:rFonts w:eastAsia="Batang" w:cs="Times"/>
          <w:szCs w:val="24"/>
          <w:lang w:val="pt-BR" w:eastAsia="es-ES"/>
        </w:rPr>
        <w:t>Estado,</w:t>
      </w:r>
      <w:r w:rsidR="002C330E" w:rsidRPr="00D5464D">
        <w:rPr>
          <w:rFonts w:eastAsia="Batang" w:cs="Times"/>
          <w:szCs w:val="24"/>
          <w:lang w:val="pt-BR" w:eastAsia="es-ES"/>
        </w:rPr>
        <w:t xml:space="preserve"> a </w:t>
      </w:r>
      <w:r w:rsidR="000A52D5" w:rsidRPr="00D5464D">
        <w:rPr>
          <w:rFonts w:eastAsia="Batang" w:cs="Times"/>
          <w:szCs w:val="24"/>
          <w:lang w:val="pt-BR" w:eastAsia="es-ES"/>
        </w:rPr>
        <w:t>interpreta</w:t>
      </w:r>
      <w:r w:rsidRPr="00D5464D">
        <w:rPr>
          <w:rFonts w:eastAsia="Batang" w:cs="Times"/>
          <w:szCs w:val="24"/>
          <w:lang w:val="pt-BR" w:eastAsia="es-ES"/>
        </w:rPr>
        <w:t>ção</w:t>
      </w:r>
      <w:r w:rsidR="000A52D5" w:rsidRPr="00D5464D">
        <w:rPr>
          <w:rFonts w:eastAsia="Batang" w:cs="Times"/>
          <w:szCs w:val="24"/>
          <w:lang w:val="pt-BR" w:eastAsia="es-ES"/>
        </w:rPr>
        <w:t xml:space="preserve"> </w:t>
      </w:r>
      <w:r w:rsidR="002C330E" w:rsidRPr="00D5464D">
        <w:rPr>
          <w:rFonts w:eastAsia="Batang" w:cs="Times"/>
          <w:szCs w:val="24"/>
          <w:lang w:val="pt-BR" w:eastAsia="es-ES"/>
        </w:rPr>
        <w:t>propost</w:t>
      </w:r>
      <w:r w:rsidR="000A52D5" w:rsidRPr="00D5464D">
        <w:rPr>
          <w:rFonts w:eastAsia="Batang" w:cs="Times"/>
          <w:szCs w:val="24"/>
          <w:lang w:val="pt-BR" w:eastAsia="es-ES"/>
        </w:rPr>
        <w:t>a igual</w:t>
      </w:r>
      <w:r w:rsidR="00E765C2" w:rsidRPr="00D5464D">
        <w:rPr>
          <w:rFonts w:eastAsia="Batang" w:cs="Times"/>
          <w:szCs w:val="24"/>
          <w:lang w:val="pt-BR" w:eastAsia="es-ES"/>
        </w:rPr>
        <w:t xml:space="preserve">aria </w:t>
      </w:r>
      <w:r w:rsidR="002C330E" w:rsidRPr="00D5464D">
        <w:rPr>
          <w:rFonts w:eastAsia="Batang" w:cs="Times"/>
          <w:szCs w:val="24"/>
          <w:lang w:val="pt-BR" w:eastAsia="es-ES"/>
        </w:rPr>
        <w:t xml:space="preserve">os </w:t>
      </w:r>
      <w:r w:rsidRPr="00D5464D">
        <w:rPr>
          <w:rFonts w:eastAsia="Batang" w:cs="Times"/>
          <w:szCs w:val="24"/>
          <w:lang w:val="pt-BR" w:eastAsia="es-ES"/>
        </w:rPr>
        <w:t>efeito</w:t>
      </w:r>
      <w:r w:rsidR="000A52D5" w:rsidRPr="00D5464D">
        <w:rPr>
          <w:rFonts w:eastAsia="Batang" w:cs="Times"/>
          <w:szCs w:val="24"/>
          <w:lang w:val="pt-BR" w:eastAsia="es-ES"/>
        </w:rPr>
        <w:t>s de todas</w:t>
      </w:r>
      <w:r w:rsidR="002C330E" w:rsidRPr="00D5464D">
        <w:rPr>
          <w:rFonts w:eastAsia="Batang" w:cs="Times"/>
          <w:szCs w:val="24"/>
          <w:lang w:val="pt-BR" w:eastAsia="es-ES"/>
        </w:rPr>
        <w:t xml:space="preserve"> as </w:t>
      </w:r>
      <w:r w:rsidR="000A52D5" w:rsidRPr="00D5464D">
        <w:rPr>
          <w:rFonts w:eastAsia="Batang" w:cs="Times"/>
          <w:szCs w:val="24"/>
          <w:lang w:val="pt-BR" w:eastAsia="es-ES"/>
        </w:rPr>
        <w:t>declara</w:t>
      </w:r>
      <w:r w:rsidRPr="00D5464D">
        <w:rPr>
          <w:rFonts w:eastAsia="Batang" w:cs="Times"/>
          <w:szCs w:val="24"/>
          <w:lang w:val="pt-BR" w:eastAsia="es-ES"/>
        </w:rPr>
        <w:t>ções</w:t>
      </w:r>
      <w:r w:rsidR="000A52D5" w:rsidRPr="00D5464D">
        <w:rPr>
          <w:rFonts w:eastAsia="Batang" w:cs="Times"/>
          <w:szCs w:val="24"/>
          <w:lang w:val="pt-BR" w:eastAsia="es-ES"/>
        </w:rPr>
        <w:t xml:space="preserve"> de </w:t>
      </w:r>
      <w:r w:rsidRPr="00D5464D">
        <w:rPr>
          <w:rFonts w:eastAsia="Batang" w:cs="Times"/>
          <w:szCs w:val="24"/>
          <w:lang w:val="pt-BR" w:eastAsia="es-ES"/>
        </w:rPr>
        <w:t>aceit</w:t>
      </w:r>
      <w:r w:rsidR="000A52D5" w:rsidRPr="00D5464D">
        <w:rPr>
          <w:rFonts w:eastAsia="Batang" w:cs="Times"/>
          <w:szCs w:val="24"/>
          <w:lang w:val="pt-BR" w:eastAsia="es-ES"/>
        </w:rPr>
        <w:t>a</w:t>
      </w:r>
      <w:r w:rsidRPr="00D5464D">
        <w:rPr>
          <w:rFonts w:eastAsia="Batang" w:cs="Times"/>
          <w:szCs w:val="24"/>
          <w:lang w:val="pt-BR" w:eastAsia="es-ES"/>
        </w:rPr>
        <w:t xml:space="preserve">ção da </w:t>
      </w:r>
      <w:r w:rsidR="002C330E" w:rsidRPr="00D5464D">
        <w:rPr>
          <w:rFonts w:eastAsia="Batang" w:cs="Times"/>
          <w:szCs w:val="24"/>
          <w:lang w:val="pt-BR" w:eastAsia="es-ES"/>
        </w:rPr>
        <w:t>jurisdição</w:t>
      </w:r>
      <w:r w:rsidRPr="00D5464D">
        <w:rPr>
          <w:rFonts w:eastAsia="Batang" w:cs="Times"/>
          <w:szCs w:val="24"/>
          <w:lang w:val="pt-BR" w:eastAsia="es-ES"/>
        </w:rPr>
        <w:t xml:space="preserve"> da </w:t>
      </w:r>
      <w:r w:rsidR="000A52D5" w:rsidRPr="00D5464D">
        <w:rPr>
          <w:rFonts w:eastAsia="Batang" w:cs="Times"/>
          <w:szCs w:val="24"/>
          <w:lang w:val="pt-BR" w:eastAsia="es-ES"/>
        </w:rPr>
        <w:t>Corte,</w:t>
      </w:r>
      <w:r w:rsidR="002C330E" w:rsidRPr="00D5464D">
        <w:rPr>
          <w:rFonts w:eastAsia="Batang" w:cs="Times"/>
          <w:szCs w:val="24"/>
          <w:lang w:val="pt-BR" w:eastAsia="es-ES"/>
        </w:rPr>
        <w:t xml:space="preserve"> sejam </w:t>
      </w:r>
      <w:r w:rsidR="000A52D5" w:rsidRPr="00D5464D">
        <w:rPr>
          <w:rFonts w:eastAsia="Batang" w:cs="Times"/>
          <w:szCs w:val="24"/>
          <w:lang w:val="pt-BR" w:eastAsia="es-ES"/>
        </w:rPr>
        <w:t>estas</w:t>
      </w:r>
      <w:r w:rsidRPr="00D5464D">
        <w:rPr>
          <w:rFonts w:eastAsia="Batang" w:cs="Times"/>
          <w:szCs w:val="24"/>
          <w:lang w:val="pt-BR" w:eastAsia="es-ES"/>
        </w:rPr>
        <w:t xml:space="preserve"> com </w:t>
      </w:r>
      <w:r w:rsidR="000A52D5" w:rsidRPr="00D5464D">
        <w:rPr>
          <w:rFonts w:eastAsia="Batang" w:cs="Times"/>
          <w:szCs w:val="24"/>
          <w:lang w:val="pt-BR" w:eastAsia="es-ES"/>
        </w:rPr>
        <w:t>o</w:t>
      </w:r>
      <w:r w:rsidR="00F96DDC" w:rsidRPr="00D5464D">
        <w:rPr>
          <w:rFonts w:eastAsia="Batang" w:cs="Times"/>
          <w:szCs w:val="24"/>
          <w:lang w:val="pt-BR" w:eastAsia="es-ES"/>
        </w:rPr>
        <w:t>u</w:t>
      </w:r>
      <w:r w:rsidR="002C330E" w:rsidRPr="00D5464D">
        <w:rPr>
          <w:rFonts w:eastAsia="Batang" w:cs="Times"/>
          <w:szCs w:val="24"/>
          <w:lang w:val="pt-BR" w:eastAsia="es-ES"/>
        </w:rPr>
        <w:t xml:space="preserve"> sem </w:t>
      </w:r>
      <w:r w:rsidR="000A52D5" w:rsidRPr="00D5464D">
        <w:rPr>
          <w:rFonts w:eastAsia="Batang" w:cs="Times"/>
          <w:szCs w:val="24"/>
          <w:lang w:val="pt-BR" w:eastAsia="es-ES"/>
        </w:rPr>
        <w:t>limita</w:t>
      </w:r>
      <w:r w:rsidRPr="00D5464D">
        <w:rPr>
          <w:rFonts w:eastAsia="Batang" w:cs="Times"/>
          <w:szCs w:val="24"/>
          <w:lang w:val="pt-BR" w:eastAsia="es-ES"/>
        </w:rPr>
        <w:t>ção</w:t>
      </w:r>
      <w:r w:rsidR="000A52D5" w:rsidRPr="00D5464D">
        <w:rPr>
          <w:rFonts w:eastAsia="Batang" w:cs="Times"/>
          <w:szCs w:val="24"/>
          <w:lang w:val="pt-BR" w:eastAsia="es-ES"/>
        </w:rPr>
        <w:t xml:space="preserve"> temporal,</w:t>
      </w:r>
      <w:r w:rsidR="002C330E" w:rsidRPr="00D5464D">
        <w:rPr>
          <w:rFonts w:eastAsia="Batang" w:cs="Times"/>
          <w:szCs w:val="24"/>
          <w:lang w:val="pt-BR" w:eastAsia="es-ES"/>
        </w:rPr>
        <w:t xml:space="preserve"> o que </w:t>
      </w:r>
      <w:r w:rsidR="000A52D5" w:rsidRPr="00D5464D">
        <w:rPr>
          <w:rFonts w:eastAsia="Batang" w:cs="Times"/>
          <w:szCs w:val="24"/>
          <w:lang w:val="pt-BR" w:eastAsia="es-ES"/>
        </w:rPr>
        <w:t>des</w:t>
      </w:r>
      <w:r w:rsidRPr="00D5464D">
        <w:rPr>
          <w:rFonts w:eastAsia="Batang" w:cs="Times"/>
          <w:szCs w:val="24"/>
          <w:lang w:val="pt-BR" w:eastAsia="es-ES"/>
        </w:rPr>
        <w:t>conhece</w:t>
      </w:r>
      <w:r w:rsidR="002C330E" w:rsidRPr="00D5464D">
        <w:rPr>
          <w:rFonts w:eastAsia="Batang" w:cs="Times"/>
          <w:szCs w:val="24"/>
          <w:lang w:val="pt-BR" w:eastAsia="es-ES"/>
        </w:rPr>
        <w:t xml:space="preserve"> a </w:t>
      </w:r>
      <w:r w:rsidR="00E045D9" w:rsidRPr="00D5464D">
        <w:rPr>
          <w:rFonts w:eastAsia="Batang" w:cs="Times"/>
          <w:szCs w:val="24"/>
          <w:lang w:val="pt-BR" w:eastAsia="es-ES"/>
        </w:rPr>
        <w:t xml:space="preserve">vontade </w:t>
      </w:r>
      <w:r w:rsidRPr="00D5464D">
        <w:rPr>
          <w:rFonts w:eastAsia="Batang" w:cs="Times"/>
          <w:szCs w:val="24"/>
          <w:lang w:val="pt-BR" w:eastAsia="es-ES"/>
        </w:rPr>
        <w:t xml:space="preserve">dos </w:t>
      </w:r>
      <w:r w:rsidR="000A52D5" w:rsidRPr="00D5464D">
        <w:rPr>
          <w:rFonts w:eastAsia="Batang" w:cs="Times"/>
          <w:szCs w:val="24"/>
          <w:lang w:val="pt-BR" w:eastAsia="es-ES"/>
        </w:rPr>
        <w:t>Estados</w:t>
      </w:r>
      <w:r w:rsidR="00E045D9" w:rsidRPr="00D5464D">
        <w:rPr>
          <w:rFonts w:eastAsia="Batang" w:cs="Times"/>
          <w:szCs w:val="24"/>
          <w:lang w:val="pt-BR" w:eastAsia="es-ES"/>
        </w:rPr>
        <w:t xml:space="preserve"> e </w:t>
      </w:r>
      <w:r w:rsidR="002C330E" w:rsidRPr="00D5464D">
        <w:rPr>
          <w:rFonts w:eastAsia="Batang" w:cs="Times"/>
          <w:szCs w:val="24"/>
          <w:lang w:val="pt-BR" w:eastAsia="es-ES"/>
        </w:rPr>
        <w:t>os limite</w:t>
      </w:r>
      <w:r w:rsidR="000A52D5" w:rsidRPr="00D5464D">
        <w:rPr>
          <w:rFonts w:eastAsia="Batang" w:cs="Times"/>
          <w:szCs w:val="24"/>
          <w:lang w:val="pt-BR" w:eastAsia="es-ES"/>
        </w:rPr>
        <w:t xml:space="preserve">s </w:t>
      </w:r>
      <w:r w:rsidR="00230C71" w:rsidRPr="00D5464D">
        <w:rPr>
          <w:rFonts w:eastAsia="Batang" w:cs="Times"/>
          <w:szCs w:val="24"/>
          <w:lang w:val="pt-BR" w:eastAsia="es-ES"/>
        </w:rPr>
        <w:t>legitimamente</w:t>
      </w:r>
      <w:r w:rsidR="000A52D5" w:rsidRPr="00D5464D">
        <w:rPr>
          <w:rFonts w:eastAsia="Batang" w:cs="Times"/>
          <w:szCs w:val="24"/>
          <w:lang w:val="pt-BR" w:eastAsia="es-ES"/>
        </w:rPr>
        <w:t xml:space="preserve"> </w:t>
      </w:r>
      <w:r w:rsidR="002C330E" w:rsidRPr="00D5464D">
        <w:rPr>
          <w:rFonts w:eastAsia="Batang" w:cs="Times"/>
          <w:szCs w:val="24"/>
          <w:lang w:val="pt-BR" w:eastAsia="es-ES"/>
        </w:rPr>
        <w:t>imposto</w:t>
      </w:r>
      <w:r w:rsidR="000A52D5" w:rsidRPr="00D5464D">
        <w:rPr>
          <w:rFonts w:eastAsia="Batang" w:cs="Times"/>
          <w:szCs w:val="24"/>
          <w:lang w:val="pt-BR" w:eastAsia="es-ES"/>
        </w:rPr>
        <w:t>s por</w:t>
      </w:r>
      <w:r w:rsidRPr="00D5464D">
        <w:rPr>
          <w:rFonts w:eastAsia="Batang" w:cs="Times"/>
          <w:szCs w:val="24"/>
          <w:lang w:val="pt-BR" w:eastAsia="es-ES"/>
        </w:rPr>
        <w:t xml:space="preserve"> ele</w:t>
      </w:r>
      <w:r w:rsidR="000A52D5" w:rsidRPr="00D5464D">
        <w:rPr>
          <w:rFonts w:eastAsia="Batang" w:cs="Times"/>
          <w:szCs w:val="24"/>
          <w:lang w:val="pt-BR" w:eastAsia="es-ES"/>
        </w:rPr>
        <w:t>s</w:t>
      </w:r>
      <w:r w:rsidRPr="00D5464D">
        <w:rPr>
          <w:rFonts w:eastAsia="Batang" w:cs="Times"/>
          <w:szCs w:val="24"/>
          <w:lang w:val="pt-BR" w:eastAsia="es-ES"/>
        </w:rPr>
        <w:t xml:space="preserve"> ao </w:t>
      </w:r>
      <w:r w:rsidR="002C330E" w:rsidRPr="00D5464D">
        <w:rPr>
          <w:rFonts w:eastAsia="Batang" w:cs="Times"/>
          <w:szCs w:val="24"/>
          <w:lang w:val="pt-BR" w:eastAsia="es-ES"/>
        </w:rPr>
        <w:t>submeter</w:t>
      </w:r>
      <w:r w:rsidR="00F96DDC" w:rsidRPr="00D5464D">
        <w:rPr>
          <w:rFonts w:eastAsia="Batang" w:cs="Times"/>
          <w:szCs w:val="24"/>
          <w:lang w:val="pt-BR" w:eastAsia="es-ES"/>
        </w:rPr>
        <w:t>-</w:t>
      </w:r>
      <w:r w:rsidR="000A52D5" w:rsidRPr="00D5464D">
        <w:rPr>
          <w:rFonts w:eastAsia="Batang" w:cs="Times"/>
          <w:szCs w:val="24"/>
          <w:lang w:val="pt-BR" w:eastAsia="es-ES"/>
        </w:rPr>
        <w:t>se</w:t>
      </w:r>
      <w:r w:rsidRPr="00D5464D">
        <w:rPr>
          <w:rFonts w:eastAsia="Batang" w:cs="Times"/>
          <w:szCs w:val="24"/>
          <w:lang w:val="pt-BR" w:eastAsia="es-ES"/>
        </w:rPr>
        <w:t xml:space="preserve"> à </w:t>
      </w:r>
      <w:r w:rsidR="002C330E" w:rsidRPr="00D5464D">
        <w:rPr>
          <w:rFonts w:eastAsia="Batang" w:cs="Times"/>
          <w:szCs w:val="24"/>
          <w:lang w:val="pt-BR" w:eastAsia="es-ES"/>
        </w:rPr>
        <w:t>jurisdição</w:t>
      </w:r>
      <w:r w:rsidRPr="00D5464D">
        <w:rPr>
          <w:rFonts w:eastAsia="Batang" w:cs="Times"/>
          <w:szCs w:val="24"/>
          <w:lang w:val="pt-BR" w:eastAsia="es-ES"/>
        </w:rPr>
        <w:t xml:space="preserve"> da </w:t>
      </w:r>
      <w:r w:rsidR="000A52D5" w:rsidRPr="00D5464D">
        <w:rPr>
          <w:rFonts w:eastAsia="Batang" w:cs="Times"/>
          <w:szCs w:val="24"/>
          <w:lang w:val="pt-BR" w:eastAsia="es-ES"/>
        </w:rPr>
        <w:t>Corte</w:t>
      </w:r>
      <w:r w:rsidR="00050992" w:rsidRPr="00D5464D">
        <w:rPr>
          <w:rFonts w:eastAsia="Batang" w:cs="Times"/>
          <w:szCs w:val="24"/>
          <w:lang w:val="pt-BR" w:eastAsia="es-ES"/>
        </w:rPr>
        <w:t>,</w:t>
      </w:r>
      <w:r w:rsidR="000A52D5" w:rsidRPr="00D5464D">
        <w:rPr>
          <w:rFonts w:eastAsia="Batang" w:cs="Times"/>
          <w:szCs w:val="24"/>
          <w:lang w:val="pt-BR" w:eastAsia="es-ES"/>
        </w:rPr>
        <w:t xml:space="preserve"> </w:t>
      </w:r>
      <w:r w:rsidR="00F96DDC" w:rsidRPr="00D5464D">
        <w:rPr>
          <w:rFonts w:eastAsia="Batang" w:cs="Times"/>
          <w:szCs w:val="24"/>
          <w:lang w:val="pt-BR" w:eastAsia="es-ES"/>
        </w:rPr>
        <w:t xml:space="preserve">exceto </w:t>
      </w:r>
      <w:r w:rsidR="002C330E" w:rsidRPr="00D5464D">
        <w:rPr>
          <w:rFonts w:eastAsia="Batang" w:cs="Times"/>
          <w:szCs w:val="24"/>
          <w:lang w:val="pt-BR" w:eastAsia="es-ES"/>
        </w:rPr>
        <w:t xml:space="preserve">se os </w:t>
      </w:r>
      <w:r w:rsidRPr="00D5464D">
        <w:rPr>
          <w:rFonts w:eastAsia="Batang" w:cs="Times"/>
          <w:szCs w:val="24"/>
          <w:lang w:val="pt-BR" w:eastAsia="es-ES"/>
        </w:rPr>
        <w:t>atos</w:t>
      </w:r>
      <w:r w:rsidR="000A52D5" w:rsidRPr="00D5464D">
        <w:rPr>
          <w:rFonts w:eastAsia="Batang" w:cs="Times"/>
          <w:szCs w:val="24"/>
          <w:lang w:val="pt-BR" w:eastAsia="es-ES"/>
        </w:rPr>
        <w:t xml:space="preserve"> </w:t>
      </w:r>
      <w:r w:rsidR="00C91CB1" w:rsidRPr="00D5464D">
        <w:rPr>
          <w:rFonts w:eastAsia="Batang" w:cs="Times"/>
          <w:szCs w:val="24"/>
          <w:lang w:val="pt-BR" w:eastAsia="es-ES"/>
        </w:rPr>
        <w:t>fossem</w:t>
      </w:r>
      <w:r w:rsidR="000A52D5" w:rsidRPr="00D5464D">
        <w:rPr>
          <w:rFonts w:eastAsia="Batang" w:cs="Times"/>
          <w:szCs w:val="24"/>
          <w:lang w:val="pt-BR" w:eastAsia="es-ES"/>
        </w:rPr>
        <w:t xml:space="preserve"> continuados,</w:t>
      </w:r>
      <w:r w:rsidR="002C330E" w:rsidRPr="00D5464D">
        <w:rPr>
          <w:rFonts w:eastAsia="Batang" w:cs="Times"/>
          <w:szCs w:val="24"/>
          <w:lang w:val="pt-BR" w:eastAsia="es-ES"/>
        </w:rPr>
        <w:t xml:space="preserve"> o que </w:t>
      </w:r>
      <w:r w:rsidR="000A52D5" w:rsidRPr="00D5464D">
        <w:rPr>
          <w:rFonts w:eastAsia="Batang" w:cs="Times"/>
          <w:szCs w:val="24"/>
          <w:lang w:val="pt-BR" w:eastAsia="es-ES"/>
        </w:rPr>
        <w:t>n</w:t>
      </w:r>
      <w:r w:rsidR="00F96DDC" w:rsidRPr="00D5464D">
        <w:rPr>
          <w:rFonts w:eastAsia="Batang" w:cs="Times"/>
          <w:szCs w:val="24"/>
          <w:lang w:val="pt-BR" w:eastAsia="es-ES"/>
        </w:rPr>
        <w:t>ã</w:t>
      </w:r>
      <w:r w:rsidR="000A52D5" w:rsidRPr="00D5464D">
        <w:rPr>
          <w:rFonts w:eastAsia="Batang" w:cs="Times"/>
          <w:szCs w:val="24"/>
          <w:lang w:val="pt-BR" w:eastAsia="es-ES"/>
        </w:rPr>
        <w:t xml:space="preserve">o </w:t>
      </w:r>
      <w:r w:rsidR="002C330E" w:rsidRPr="00D5464D">
        <w:rPr>
          <w:rFonts w:eastAsia="Batang" w:cs="Times"/>
          <w:szCs w:val="24"/>
          <w:lang w:val="pt-BR" w:eastAsia="es-ES"/>
        </w:rPr>
        <w:t>ocorre</w:t>
      </w:r>
      <w:r w:rsidR="00E045D9" w:rsidRPr="00D5464D">
        <w:rPr>
          <w:rFonts w:eastAsia="Batang" w:cs="Times"/>
          <w:szCs w:val="24"/>
          <w:lang w:val="pt-BR" w:eastAsia="es-ES"/>
        </w:rPr>
        <w:t xml:space="preserve"> no </w:t>
      </w:r>
      <w:r w:rsidR="000A52D5" w:rsidRPr="00D5464D">
        <w:rPr>
          <w:rFonts w:eastAsia="Batang" w:cs="Times"/>
          <w:szCs w:val="24"/>
          <w:lang w:val="pt-BR" w:eastAsia="es-ES"/>
        </w:rPr>
        <w:t>presente caso.</w:t>
      </w:r>
      <w:r w:rsidR="00FF1290" w:rsidRPr="00D5464D">
        <w:rPr>
          <w:rFonts w:eastAsia="Batang" w:cs="Times"/>
          <w:szCs w:val="24"/>
          <w:lang w:val="pt-BR" w:eastAsia="es-ES"/>
        </w:rPr>
        <w:t xml:space="preserve"> </w:t>
      </w:r>
      <w:r w:rsidR="000A52D5" w:rsidRPr="00D5464D">
        <w:rPr>
          <w:rFonts w:eastAsia="Batang" w:cs="Times"/>
          <w:szCs w:val="24"/>
          <w:lang w:val="pt-BR" w:eastAsia="es-ES"/>
        </w:rPr>
        <w:t xml:space="preserve"> </w:t>
      </w:r>
    </w:p>
    <w:p w14:paraId="05561745" w14:textId="77777777" w:rsidR="000A52D5" w:rsidRPr="00D5464D" w:rsidRDefault="000A52D5" w:rsidP="00140440">
      <w:pPr>
        <w:tabs>
          <w:tab w:val="clear" w:pos="4419"/>
          <w:tab w:val="clear" w:pos="8838"/>
        </w:tabs>
        <w:jc w:val="both"/>
        <w:rPr>
          <w:rFonts w:eastAsia="Batang" w:cs="Times"/>
          <w:szCs w:val="24"/>
          <w:lang w:val="pt-BR" w:eastAsia="es-ES"/>
        </w:rPr>
      </w:pPr>
    </w:p>
    <w:p w14:paraId="52C770EE" w14:textId="52B42B3B" w:rsidR="000A52D5" w:rsidRPr="00D5464D" w:rsidRDefault="000A52D5"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De </w:t>
      </w:r>
      <w:r w:rsidR="00470ADC" w:rsidRPr="00D5464D">
        <w:rPr>
          <w:rFonts w:eastAsia="Batang" w:cs="Times"/>
          <w:szCs w:val="24"/>
          <w:lang w:val="pt-BR" w:eastAsia="es-ES"/>
        </w:rPr>
        <w:t xml:space="preserve">acordo com o </w:t>
      </w:r>
      <w:r w:rsidRPr="00D5464D">
        <w:rPr>
          <w:rFonts w:eastAsia="Batang" w:cs="Times"/>
          <w:szCs w:val="24"/>
          <w:lang w:val="pt-BR" w:eastAsia="es-ES"/>
        </w:rPr>
        <w:t>Estado,</w:t>
      </w:r>
      <w:r w:rsidR="002C330E" w:rsidRPr="00D5464D">
        <w:rPr>
          <w:rFonts w:eastAsia="Batang" w:cs="Times"/>
          <w:szCs w:val="24"/>
          <w:lang w:val="pt-BR" w:eastAsia="es-ES"/>
        </w:rPr>
        <w:t xml:space="preserve"> a </w:t>
      </w:r>
      <w:r w:rsidRPr="00D5464D">
        <w:rPr>
          <w:rFonts w:eastAsia="Batang" w:cs="Times"/>
          <w:szCs w:val="24"/>
          <w:lang w:val="pt-BR" w:eastAsia="es-ES"/>
        </w:rPr>
        <w:t xml:space="preserve">Corte </w:t>
      </w:r>
      <w:r w:rsidR="00E045D9" w:rsidRPr="00D5464D">
        <w:rPr>
          <w:rFonts w:eastAsia="Batang" w:cs="Times"/>
          <w:szCs w:val="24"/>
          <w:lang w:val="pt-BR" w:eastAsia="es-ES"/>
        </w:rPr>
        <w:t xml:space="preserve">tem </w:t>
      </w:r>
      <w:r w:rsidR="00470ADC" w:rsidRPr="00D5464D">
        <w:rPr>
          <w:rFonts w:eastAsia="Batang" w:cs="Times"/>
          <w:szCs w:val="24"/>
          <w:lang w:val="pt-BR" w:eastAsia="es-ES"/>
        </w:rPr>
        <w:t>competência</w:t>
      </w:r>
      <w:r w:rsidRPr="00D5464D">
        <w:rPr>
          <w:rFonts w:eastAsia="Batang" w:cs="Times"/>
          <w:szCs w:val="24"/>
          <w:lang w:val="pt-BR" w:eastAsia="es-ES"/>
        </w:rPr>
        <w:t xml:space="preserve"> </w:t>
      </w:r>
      <w:r w:rsidRPr="00D5464D">
        <w:rPr>
          <w:rFonts w:eastAsia="Batang" w:cs="Times"/>
          <w:i/>
          <w:szCs w:val="24"/>
          <w:lang w:val="pt-BR" w:eastAsia="es-ES"/>
        </w:rPr>
        <w:t>ratione temporis</w:t>
      </w:r>
      <w:r w:rsidR="00D14320" w:rsidRPr="00D5464D">
        <w:rPr>
          <w:rFonts w:eastAsia="Batang" w:cs="Times"/>
          <w:szCs w:val="24"/>
          <w:lang w:val="pt-BR" w:eastAsia="es-ES"/>
        </w:rPr>
        <w:t xml:space="preserve"> apenas </w:t>
      </w:r>
      <w:r w:rsidRPr="00D5464D">
        <w:rPr>
          <w:rFonts w:eastAsia="Batang" w:cs="Times"/>
          <w:szCs w:val="24"/>
          <w:lang w:val="pt-BR" w:eastAsia="es-ES"/>
        </w:rPr>
        <w:t xml:space="preserve">para </w:t>
      </w:r>
      <w:r w:rsidR="00470ADC" w:rsidRPr="00D5464D">
        <w:rPr>
          <w:rFonts w:eastAsia="Batang" w:cs="Times"/>
          <w:szCs w:val="24"/>
          <w:lang w:val="pt-BR" w:eastAsia="es-ES"/>
        </w:rPr>
        <w:t>analisar</w:t>
      </w:r>
      <w:r w:rsidR="002C330E" w:rsidRPr="00D5464D">
        <w:rPr>
          <w:rFonts w:eastAsia="Batang" w:cs="Times"/>
          <w:szCs w:val="24"/>
          <w:lang w:val="pt-BR" w:eastAsia="es-ES"/>
        </w:rPr>
        <w:t xml:space="preserve"> as </w:t>
      </w:r>
      <w:r w:rsidR="00737270" w:rsidRPr="00D5464D">
        <w:rPr>
          <w:rFonts w:eastAsia="Batang" w:cs="Times"/>
          <w:szCs w:val="24"/>
          <w:lang w:val="pt-BR" w:eastAsia="es-ES"/>
        </w:rPr>
        <w:t>possíveis</w:t>
      </w:r>
      <w:r w:rsidR="002C330E" w:rsidRPr="00D5464D">
        <w:rPr>
          <w:rFonts w:eastAsia="Batang" w:cs="Times"/>
          <w:szCs w:val="24"/>
          <w:lang w:val="pt-BR" w:eastAsia="es-ES"/>
        </w:rPr>
        <w:t xml:space="preserve"> </w:t>
      </w:r>
      <w:r w:rsidRPr="00D5464D">
        <w:rPr>
          <w:rFonts w:eastAsia="Batang" w:cs="Times"/>
          <w:szCs w:val="24"/>
          <w:lang w:val="pt-BR" w:eastAsia="es-ES"/>
        </w:rPr>
        <w:t>viola</w:t>
      </w:r>
      <w:r w:rsidR="00470ADC" w:rsidRPr="00D5464D">
        <w:rPr>
          <w:rFonts w:eastAsia="Batang" w:cs="Times"/>
          <w:szCs w:val="24"/>
          <w:lang w:val="pt-BR" w:eastAsia="es-ES"/>
        </w:rPr>
        <w:t>ções</w:t>
      </w:r>
      <w:r w:rsidRPr="00D5464D">
        <w:rPr>
          <w:rFonts w:eastAsia="Batang" w:cs="Times"/>
          <w:szCs w:val="24"/>
          <w:lang w:val="pt-BR" w:eastAsia="es-ES"/>
        </w:rPr>
        <w:t xml:space="preserve"> relacionadas</w:t>
      </w:r>
      <w:r w:rsidR="00470ADC" w:rsidRPr="00D5464D">
        <w:rPr>
          <w:rFonts w:eastAsia="Batang" w:cs="Times"/>
          <w:szCs w:val="24"/>
          <w:lang w:val="pt-BR" w:eastAsia="es-ES"/>
        </w:rPr>
        <w:t xml:space="preserve"> </w:t>
      </w:r>
      <w:r w:rsidR="00F96DDC" w:rsidRPr="00D5464D">
        <w:rPr>
          <w:rFonts w:eastAsia="Batang" w:cs="Times"/>
          <w:szCs w:val="24"/>
          <w:lang w:val="pt-BR" w:eastAsia="es-ES"/>
        </w:rPr>
        <w:t>a</w:t>
      </w:r>
      <w:r w:rsidR="00470ADC" w:rsidRPr="00D5464D">
        <w:rPr>
          <w:rFonts w:eastAsia="Batang" w:cs="Times"/>
          <w:szCs w:val="24"/>
          <w:lang w:val="pt-BR" w:eastAsia="es-ES"/>
        </w:rPr>
        <w:t xml:space="preserve"> </w:t>
      </w:r>
      <w:r w:rsidR="002C330E" w:rsidRPr="00D5464D">
        <w:rPr>
          <w:rFonts w:eastAsia="Batang" w:cs="Times"/>
          <w:szCs w:val="24"/>
          <w:lang w:val="pt-BR" w:eastAsia="es-ES"/>
        </w:rPr>
        <w:t>fatos</w:t>
      </w:r>
      <w:r w:rsidRPr="00D5464D">
        <w:rPr>
          <w:rFonts w:eastAsia="Batang" w:cs="Times"/>
          <w:szCs w:val="24"/>
          <w:lang w:val="pt-BR" w:eastAsia="es-ES"/>
        </w:rPr>
        <w:t xml:space="preserve"> identificados</w:t>
      </w:r>
      <w:r w:rsidR="00E045D9" w:rsidRPr="00D5464D">
        <w:rPr>
          <w:rFonts w:eastAsia="Batang" w:cs="Times"/>
          <w:szCs w:val="24"/>
          <w:lang w:val="pt-BR" w:eastAsia="es-ES"/>
        </w:rPr>
        <w:t xml:space="preserve"> na </w:t>
      </w:r>
      <w:r w:rsidR="00F96DDC" w:rsidRPr="00D5464D">
        <w:rPr>
          <w:rFonts w:eastAsia="Batang" w:cs="Times"/>
          <w:szCs w:val="24"/>
          <w:lang w:val="pt-BR" w:eastAsia="es-ES"/>
        </w:rPr>
        <w:t xml:space="preserve">fiscalização </w:t>
      </w:r>
      <w:r w:rsidR="00470ADC" w:rsidRPr="00D5464D">
        <w:rPr>
          <w:rFonts w:eastAsia="Batang" w:cs="Times"/>
          <w:szCs w:val="24"/>
          <w:lang w:val="pt-BR" w:eastAsia="es-ES"/>
        </w:rPr>
        <w:t xml:space="preserve">do ano </w:t>
      </w:r>
      <w:r w:rsidRPr="00D5464D">
        <w:rPr>
          <w:rFonts w:eastAsia="Batang" w:cs="Times"/>
          <w:szCs w:val="24"/>
          <w:lang w:val="pt-BR" w:eastAsia="es-ES"/>
        </w:rPr>
        <w:t>2000</w:t>
      </w:r>
      <w:r w:rsidR="00EB1CE9" w:rsidRPr="00D5464D">
        <w:rPr>
          <w:rFonts w:eastAsia="Batang" w:cs="Times"/>
          <w:szCs w:val="24"/>
          <w:lang w:val="pt-BR" w:eastAsia="es-ES"/>
        </w:rPr>
        <w:t xml:space="preserve">, por </w:t>
      </w:r>
      <w:r w:rsidRPr="00D5464D">
        <w:rPr>
          <w:rFonts w:eastAsia="Batang" w:cs="Times"/>
          <w:szCs w:val="24"/>
          <w:lang w:val="pt-BR" w:eastAsia="es-ES"/>
        </w:rPr>
        <w:t>ser</w:t>
      </w:r>
      <w:r w:rsidR="00F96DDC" w:rsidRPr="00D5464D">
        <w:rPr>
          <w:rFonts w:eastAsia="Batang" w:cs="Times"/>
          <w:szCs w:val="24"/>
          <w:lang w:val="pt-BR" w:eastAsia="es-ES"/>
        </w:rPr>
        <w:t>em</w:t>
      </w:r>
      <w:r w:rsidR="002C330E" w:rsidRPr="00D5464D">
        <w:rPr>
          <w:rFonts w:eastAsia="Batang" w:cs="Times"/>
          <w:szCs w:val="24"/>
          <w:lang w:val="pt-BR" w:eastAsia="es-ES"/>
        </w:rPr>
        <w:t xml:space="preserve"> os </w:t>
      </w:r>
      <w:r w:rsidRPr="00D5464D">
        <w:rPr>
          <w:rFonts w:eastAsia="Batang" w:cs="Times"/>
          <w:szCs w:val="24"/>
          <w:lang w:val="pt-BR" w:eastAsia="es-ES"/>
        </w:rPr>
        <w:t>únicos posteriores</w:t>
      </w:r>
      <w:r w:rsidR="00470ADC" w:rsidRPr="00D5464D">
        <w:rPr>
          <w:rFonts w:eastAsia="Batang" w:cs="Times"/>
          <w:szCs w:val="24"/>
          <w:lang w:val="pt-BR" w:eastAsia="es-ES"/>
        </w:rPr>
        <w:t xml:space="preserve"> a </w:t>
      </w:r>
      <w:r w:rsidRPr="00D5464D">
        <w:rPr>
          <w:rFonts w:eastAsia="Batang" w:cs="Times"/>
          <w:szCs w:val="24"/>
          <w:lang w:val="pt-BR" w:eastAsia="es-ES"/>
        </w:rPr>
        <w:t xml:space="preserve">10 de </w:t>
      </w:r>
      <w:r w:rsidR="00470ADC" w:rsidRPr="00D5464D">
        <w:rPr>
          <w:rFonts w:eastAsia="Batang" w:cs="Times"/>
          <w:szCs w:val="24"/>
          <w:lang w:val="pt-BR" w:eastAsia="es-ES"/>
        </w:rPr>
        <w:t>dezembro</w:t>
      </w:r>
      <w:r w:rsidRPr="00D5464D">
        <w:rPr>
          <w:rFonts w:eastAsia="Batang" w:cs="Times"/>
          <w:szCs w:val="24"/>
          <w:lang w:val="pt-BR" w:eastAsia="es-ES"/>
        </w:rPr>
        <w:t xml:space="preserve"> de 1998</w:t>
      </w:r>
      <w:r w:rsidR="00C91CB1" w:rsidRPr="00D5464D">
        <w:rPr>
          <w:rFonts w:eastAsia="Batang" w:cs="Times"/>
          <w:szCs w:val="24"/>
          <w:lang w:val="pt-BR" w:eastAsia="es-ES"/>
        </w:rPr>
        <w:t xml:space="preserve">. No </w:t>
      </w:r>
      <w:r w:rsidR="002C330E" w:rsidRPr="00D5464D">
        <w:rPr>
          <w:rFonts w:eastAsia="Batang" w:cs="Times"/>
          <w:szCs w:val="24"/>
          <w:lang w:val="pt-BR" w:eastAsia="es-ES"/>
        </w:rPr>
        <w:t>mesm</w:t>
      </w:r>
      <w:r w:rsidRPr="00D5464D">
        <w:rPr>
          <w:rFonts w:eastAsia="Batang" w:cs="Times"/>
          <w:szCs w:val="24"/>
          <w:lang w:val="pt-BR" w:eastAsia="es-ES"/>
        </w:rPr>
        <w:t xml:space="preserve">o sentido, </w:t>
      </w:r>
      <w:r w:rsidR="00470ADC" w:rsidRPr="00D5464D">
        <w:rPr>
          <w:rFonts w:eastAsia="Batang" w:cs="Times"/>
          <w:szCs w:val="24"/>
          <w:lang w:val="pt-BR" w:eastAsia="es-ES"/>
        </w:rPr>
        <w:t>argumentou</w:t>
      </w:r>
      <w:r w:rsidRPr="00D5464D">
        <w:rPr>
          <w:rFonts w:eastAsia="Batang" w:cs="Times"/>
          <w:szCs w:val="24"/>
          <w:lang w:val="pt-BR" w:eastAsia="es-ES"/>
        </w:rPr>
        <w:t xml:space="preserve"> que</w:t>
      </w:r>
      <w:r w:rsidR="00470ADC" w:rsidRPr="00D5464D">
        <w:rPr>
          <w:rFonts w:eastAsia="Batang" w:cs="Times"/>
          <w:szCs w:val="24"/>
          <w:lang w:val="pt-BR" w:eastAsia="es-ES"/>
        </w:rPr>
        <w:t xml:space="preserve"> </w:t>
      </w:r>
      <w:r w:rsidR="00350187" w:rsidRPr="00D5464D">
        <w:rPr>
          <w:rFonts w:eastAsia="Batang" w:cs="Times"/>
          <w:szCs w:val="24"/>
          <w:lang w:val="pt-BR" w:eastAsia="es-ES"/>
        </w:rPr>
        <w:t>quanto</w:t>
      </w:r>
      <w:r w:rsidR="00E045D9" w:rsidRPr="00D5464D">
        <w:rPr>
          <w:rFonts w:eastAsia="Batang" w:cs="Times"/>
          <w:szCs w:val="24"/>
          <w:lang w:val="pt-BR" w:eastAsia="es-ES"/>
        </w:rPr>
        <w:t xml:space="preserve"> às </w:t>
      </w:r>
      <w:r w:rsidR="00737270" w:rsidRPr="00D5464D">
        <w:rPr>
          <w:rFonts w:eastAsia="Batang" w:cs="Times"/>
          <w:szCs w:val="24"/>
          <w:lang w:val="pt-BR" w:eastAsia="es-ES"/>
        </w:rPr>
        <w:t>possíveis</w:t>
      </w:r>
      <w:r w:rsidR="002C330E" w:rsidRPr="00D5464D">
        <w:rPr>
          <w:rFonts w:eastAsia="Batang" w:cs="Times"/>
          <w:szCs w:val="24"/>
          <w:lang w:val="pt-BR" w:eastAsia="es-ES"/>
        </w:rPr>
        <w:t xml:space="preserve"> </w:t>
      </w:r>
      <w:r w:rsidRPr="00D5464D">
        <w:rPr>
          <w:rFonts w:eastAsia="Batang" w:cs="Times"/>
          <w:szCs w:val="24"/>
          <w:lang w:val="pt-BR" w:eastAsia="es-ES"/>
        </w:rPr>
        <w:t>viola</w:t>
      </w:r>
      <w:r w:rsidR="00470ADC" w:rsidRPr="00D5464D">
        <w:rPr>
          <w:rFonts w:eastAsia="Batang" w:cs="Times"/>
          <w:szCs w:val="24"/>
          <w:lang w:val="pt-BR" w:eastAsia="es-ES"/>
        </w:rPr>
        <w:t>ções</w:t>
      </w:r>
      <w:r w:rsidR="00E045D9" w:rsidRPr="00D5464D">
        <w:rPr>
          <w:rFonts w:eastAsia="Batang" w:cs="Times"/>
          <w:szCs w:val="24"/>
          <w:lang w:val="pt-BR" w:eastAsia="es-ES"/>
        </w:rPr>
        <w:t xml:space="preserve"> aos </w:t>
      </w:r>
      <w:r w:rsidR="00470ADC" w:rsidRPr="00D5464D">
        <w:rPr>
          <w:rFonts w:eastAsia="Batang" w:cs="Times"/>
          <w:szCs w:val="24"/>
          <w:lang w:val="pt-BR" w:eastAsia="es-ES"/>
        </w:rPr>
        <w:t>direito</w:t>
      </w:r>
      <w:r w:rsidRPr="00D5464D">
        <w:rPr>
          <w:rFonts w:eastAsia="Batang" w:cs="Times"/>
          <w:szCs w:val="24"/>
          <w:lang w:val="pt-BR" w:eastAsia="es-ES"/>
        </w:rPr>
        <w:t xml:space="preserve">s de </w:t>
      </w:r>
      <w:r w:rsidR="002C330E" w:rsidRPr="00D5464D">
        <w:rPr>
          <w:rFonts w:eastAsia="Batang" w:cs="Times"/>
          <w:szCs w:val="24"/>
          <w:lang w:val="pt-BR" w:eastAsia="es-ES"/>
        </w:rPr>
        <w:t>proteção</w:t>
      </w:r>
      <w:r w:rsidR="00E045D9" w:rsidRPr="00D5464D">
        <w:rPr>
          <w:rFonts w:eastAsia="Batang" w:cs="Times"/>
          <w:szCs w:val="24"/>
          <w:lang w:val="pt-BR" w:eastAsia="es-ES"/>
        </w:rPr>
        <w:t xml:space="preserve"> e </w:t>
      </w:r>
      <w:r w:rsidR="002C330E" w:rsidRPr="00D5464D">
        <w:rPr>
          <w:rFonts w:eastAsia="Batang" w:cs="Times"/>
          <w:szCs w:val="24"/>
          <w:lang w:val="pt-BR" w:eastAsia="es-ES"/>
        </w:rPr>
        <w:t>garantias</w:t>
      </w:r>
      <w:r w:rsidRPr="00D5464D">
        <w:rPr>
          <w:rFonts w:eastAsia="Batang" w:cs="Times"/>
          <w:szCs w:val="24"/>
          <w:lang w:val="pt-BR" w:eastAsia="es-ES"/>
        </w:rPr>
        <w:t xml:space="preserve"> </w:t>
      </w:r>
      <w:r w:rsidR="002C330E" w:rsidRPr="00D5464D">
        <w:rPr>
          <w:rFonts w:eastAsia="Batang" w:cs="Times"/>
          <w:szCs w:val="24"/>
          <w:lang w:val="pt-BR" w:eastAsia="es-ES"/>
        </w:rPr>
        <w:t>judiciais</w:t>
      </w:r>
      <w:r w:rsidRPr="00D5464D">
        <w:rPr>
          <w:rFonts w:eastAsia="Batang" w:cs="Times"/>
          <w:szCs w:val="24"/>
          <w:lang w:val="pt-BR" w:eastAsia="es-ES"/>
        </w:rPr>
        <w:t>,</w:t>
      </w:r>
      <w:r w:rsidR="002C330E" w:rsidRPr="00D5464D">
        <w:rPr>
          <w:rFonts w:eastAsia="Batang" w:cs="Times"/>
          <w:szCs w:val="24"/>
          <w:lang w:val="pt-BR" w:eastAsia="es-ES"/>
        </w:rPr>
        <w:t xml:space="preserve"> a </w:t>
      </w:r>
      <w:r w:rsidRPr="00D5464D">
        <w:rPr>
          <w:rFonts w:eastAsia="Batang" w:cs="Times"/>
          <w:szCs w:val="24"/>
          <w:lang w:val="pt-BR" w:eastAsia="es-ES"/>
        </w:rPr>
        <w:t>Corte</w:t>
      </w:r>
      <w:r w:rsidR="00D14320" w:rsidRPr="00D5464D">
        <w:rPr>
          <w:rFonts w:eastAsia="Batang" w:cs="Times"/>
          <w:szCs w:val="24"/>
          <w:lang w:val="pt-BR" w:eastAsia="es-ES"/>
        </w:rPr>
        <w:t xml:space="preserve"> apenas </w:t>
      </w:r>
      <w:r w:rsidR="00E045D9" w:rsidRPr="00D5464D">
        <w:rPr>
          <w:rFonts w:eastAsia="Batang" w:cs="Times"/>
          <w:szCs w:val="24"/>
          <w:lang w:val="pt-BR" w:eastAsia="es-ES"/>
        </w:rPr>
        <w:t>teria</w:t>
      </w:r>
      <w:r w:rsidRPr="00D5464D">
        <w:rPr>
          <w:rFonts w:eastAsia="Batang" w:cs="Times"/>
          <w:szCs w:val="24"/>
          <w:lang w:val="pt-BR" w:eastAsia="es-ES"/>
        </w:rPr>
        <w:t xml:space="preserve"> </w:t>
      </w:r>
      <w:r w:rsidR="00470ADC" w:rsidRPr="00D5464D">
        <w:rPr>
          <w:rFonts w:eastAsia="Batang" w:cs="Times"/>
          <w:szCs w:val="24"/>
          <w:lang w:val="pt-BR" w:eastAsia="es-ES"/>
        </w:rPr>
        <w:t>competência</w:t>
      </w:r>
      <w:r w:rsidRPr="00D5464D">
        <w:rPr>
          <w:rFonts w:eastAsia="Batang" w:cs="Times"/>
          <w:szCs w:val="24"/>
          <w:lang w:val="pt-BR" w:eastAsia="es-ES"/>
        </w:rPr>
        <w:t xml:space="preserve"> </w:t>
      </w:r>
      <w:r w:rsidR="00F96DDC" w:rsidRPr="00D5464D">
        <w:rPr>
          <w:rFonts w:eastAsia="Batang" w:cs="Times"/>
          <w:szCs w:val="24"/>
          <w:lang w:val="pt-BR" w:eastAsia="es-ES"/>
        </w:rPr>
        <w:t xml:space="preserve">sobre </w:t>
      </w:r>
      <w:r w:rsidR="00470ADC" w:rsidRPr="00D5464D">
        <w:rPr>
          <w:rFonts w:eastAsia="Batang" w:cs="Times"/>
          <w:szCs w:val="24"/>
          <w:lang w:val="pt-BR" w:eastAsia="es-ES"/>
        </w:rPr>
        <w:t xml:space="preserve">os </w:t>
      </w:r>
      <w:r w:rsidR="002C330E" w:rsidRPr="00D5464D">
        <w:rPr>
          <w:rFonts w:eastAsia="Batang" w:cs="Times"/>
          <w:szCs w:val="24"/>
          <w:lang w:val="pt-BR" w:eastAsia="es-ES"/>
        </w:rPr>
        <w:t>processo</w:t>
      </w:r>
      <w:r w:rsidRPr="00D5464D">
        <w:rPr>
          <w:rFonts w:eastAsia="Batang" w:cs="Times"/>
          <w:szCs w:val="24"/>
          <w:lang w:val="pt-BR" w:eastAsia="es-ES"/>
        </w:rPr>
        <w:t xml:space="preserve">s </w:t>
      </w:r>
      <w:r w:rsidR="002C330E" w:rsidRPr="00D5464D">
        <w:rPr>
          <w:rFonts w:eastAsia="Batang" w:cs="Times"/>
          <w:szCs w:val="24"/>
          <w:lang w:val="pt-BR" w:eastAsia="es-ES"/>
        </w:rPr>
        <w:t>penais</w:t>
      </w:r>
      <w:r w:rsidRPr="00D5464D">
        <w:rPr>
          <w:rFonts w:eastAsia="Batang" w:cs="Times"/>
          <w:szCs w:val="24"/>
          <w:lang w:val="pt-BR" w:eastAsia="es-ES"/>
        </w:rPr>
        <w:t xml:space="preserve"> iniciados </w:t>
      </w:r>
      <w:r w:rsidR="00470ADC" w:rsidRPr="00D5464D">
        <w:rPr>
          <w:rFonts w:eastAsia="Batang" w:cs="Times"/>
          <w:szCs w:val="24"/>
          <w:lang w:val="pt-BR" w:eastAsia="es-ES"/>
        </w:rPr>
        <w:t>depois</w:t>
      </w:r>
      <w:r w:rsidRPr="00D5464D">
        <w:rPr>
          <w:rFonts w:eastAsia="Batang" w:cs="Times"/>
          <w:szCs w:val="24"/>
          <w:lang w:val="pt-BR" w:eastAsia="es-ES"/>
        </w:rPr>
        <w:t xml:space="preserve"> </w:t>
      </w:r>
      <w:r w:rsidR="00E045D9" w:rsidRPr="00D5464D">
        <w:rPr>
          <w:rFonts w:eastAsia="Batang" w:cs="Times"/>
          <w:szCs w:val="24"/>
          <w:lang w:val="pt-BR" w:eastAsia="es-ES"/>
        </w:rPr>
        <w:t>dessa</w:t>
      </w:r>
      <w:r w:rsidR="00470ADC" w:rsidRPr="00D5464D">
        <w:rPr>
          <w:rFonts w:eastAsia="Batang" w:cs="Times"/>
          <w:szCs w:val="24"/>
          <w:lang w:val="pt-BR" w:eastAsia="es-ES"/>
        </w:rPr>
        <w:t xml:space="preserve"> data</w:t>
      </w:r>
      <w:r w:rsidR="00E045D9" w:rsidRPr="00D5464D">
        <w:rPr>
          <w:rFonts w:eastAsia="Batang" w:cs="Times"/>
          <w:szCs w:val="24"/>
          <w:lang w:val="pt-BR" w:eastAsia="es-ES"/>
        </w:rPr>
        <w:t xml:space="preserve"> e </w:t>
      </w:r>
      <w:r w:rsidRPr="00D5464D">
        <w:rPr>
          <w:rFonts w:eastAsia="Batang" w:cs="Times"/>
          <w:szCs w:val="24"/>
          <w:lang w:val="pt-BR" w:eastAsia="es-ES"/>
        </w:rPr>
        <w:t xml:space="preserve">que </w:t>
      </w:r>
      <w:r w:rsidR="00C91CB1" w:rsidRPr="00D5464D">
        <w:rPr>
          <w:rFonts w:eastAsia="Batang" w:cs="Times"/>
          <w:szCs w:val="24"/>
          <w:lang w:val="pt-BR" w:eastAsia="es-ES"/>
        </w:rPr>
        <w:t>constituíram</w:t>
      </w:r>
      <w:r w:rsidRPr="00D5464D">
        <w:rPr>
          <w:rFonts w:eastAsia="Batang" w:cs="Times"/>
          <w:szCs w:val="24"/>
          <w:lang w:val="pt-BR" w:eastAsia="es-ES"/>
        </w:rPr>
        <w:t xml:space="preserve"> </w:t>
      </w:r>
      <w:r w:rsidR="00470ADC" w:rsidRPr="00D5464D">
        <w:rPr>
          <w:rFonts w:eastAsia="Batang" w:cs="Times"/>
          <w:szCs w:val="24"/>
          <w:lang w:val="pt-BR" w:eastAsia="es-ES"/>
        </w:rPr>
        <w:t>eventuais</w:t>
      </w:r>
      <w:r w:rsidRPr="00D5464D">
        <w:rPr>
          <w:rFonts w:eastAsia="Batang" w:cs="Times"/>
          <w:szCs w:val="24"/>
          <w:lang w:val="pt-BR" w:eastAsia="es-ES"/>
        </w:rPr>
        <w:t xml:space="preserve"> viola</w:t>
      </w:r>
      <w:r w:rsidR="00470ADC" w:rsidRPr="00D5464D">
        <w:rPr>
          <w:rFonts w:eastAsia="Batang" w:cs="Times"/>
          <w:szCs w:val="24"/>
          <w:lang w:val="pt-BR" w:eastAsia="es-ES"/>
        </w:rPr>
        <w:t>ções</w:t>
      </w:r>
      <w:r w:rsidRPr="00D5464D">
        <w:rPr>
          <w:rFonts w:eastAsia="Batang" w:cs="Times"/>
          <w:szCs w:val="24"/>
          <w:lang w:val="pt-BR" w:eastAsia="es-ES"/>
        </w:rPr>
        <w:t xml:space="preserve"> específicas</w:t>
      </w:r>
      <w:r w:rsidR="00E045D9" w:rsidRPr="00D5464D">
        <w:rPr>
          <w:rFonts w:eastAsia="Batang" w:cs="Times"/>
          <w:szCs w:val="24"/>
          <w:lang w:val="pt-BR" w:eastAsia="es-ES"/>
        </w:rPr>
        <w:t xml:space="preserve"> e </w:t>
      </w:r>
      <w:r w:rsidR="00470ADC" w:rsidRPr="00D5464D">
        <w:rPr>
          <w:rFonts w:eastAsia="Batang" w:cs="Times"/>
          <w:szCs w:val="24"/>
          <w:lang w:val="pt-BR" w:eastAsia="es-ES"/>
        </w:rPr>
        <w:t>autônom</w:t>
      </w:r>
      <w:r w:rsidRPr="00D5464D">
        <w:rPr>
          <w:rFonts w:eastAsia="Batang" w:cs="Times"/>
          <w:szCs w:val="24"/>
          <w:lang w:val="pt-BR" w:eastAsia="es-ES"/>
        </w:rPr>
        <w:t>as de denega</w:t>
      </w:r>
      <w:r w:rsidR="00470ADC" w:rsidRPr="00D5464D">
        <w:rPr>
          <w:rFonts w:eastAsia="Batang" w:cs="Times"/>
          <w:szCs w:val="24"/>
          <w:lang w:val="pt-BR" w:eastAsia="es-ES"/>
        </w:rPr>
        <w:t>ção</w:t>
      </w:r>
      <w:r w:rsidRPr="00D5464D">
        <w:rPr>
          <w:rFonts w:eastAsia="Batang" w:cs="Times"/>
          <w:szCs w:val="24"/>
          <w:lang w:val="pt-BR" w:eastAsia="es-ES"/>
        </w:rPr>
        <w:t xml:space="preserve"> de </w:t>
      </w:r>
      <w:r w:rsidR="002C330E" w:rsidRPr="00D5464D">
        <w:rPr>
          <w:rFonts w:eastAsia="Batang" w:cs="Times"/>
          <w:szCs w:val="24"/>
          <w:lang w:val="pt-BR" w:eastAsia="es-ES"/>
        </w:rPr>
        <w:t>justiça</w:t>
      </w:r>
      <w:r w:rsidRPr="00D5464D">
        <w:rPr>
          <w:rFonts w:eastAsia="Batang" w:cs="Times"/>
          <w:szCs w:val="24"/>
          <w:lang w:val="pt-BR" w:eastAsia="es-ES"/>
        </w:rPr>
        <w:t>.</w:t>
      </w:r>
    </w:p>
    <w:p w14:paraId="48444383" w14:textId="77777777" w:rsidR="00246E8D" w:rsidRPr="00D5464D" w:rsidRDefault="00246E8D" w:rsidP="00140440">
      <w:pPr>
        <w:pStyle w:val="Prrafodelista"/>
        <w:contextualSpacing w:val="0"/>
        <w:rPr>
          <w:rFonts w:eastAsia="Batang" w:cs="Times"/>
          <w:szCs w:val="24"/>
          <w:lang w:val="pt-BR" w:eastAsia="es-ES"/>
        </w:rPr>
      </w:pPr>
    </w:p>
    <w:p w14:paraId="7DDEC563" w14:textId="43CB7027" w:rsidR="00246E8D" w:rsidRPr="00D5464D" w:rsidRDefault="00246E8D"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Adicionalmente,</w:t>
      </w:r>
      <w:r w:rsidR="00470ADC" w:rsidRPr="00D5464D">
        <w:rPr>
          <w:rFonts w:eastAsia="Batang" w:cs="Times"/>
          <w:szCs w:val="24"/>
          <w:lang w:val="pt-BR" w:eastAsia="es-ES"/>
        </w:rPr>
        <w:t xml:space="preserve"> o </w:t>
      </w:r>
      <w:r w:rsidRPr="00D5464D">
        <w:rPr>
          <w:rFonts w:eastAsia="Batang" w:cs="Times"/>
          <w:szCs w:val="24"/>
          <w:lang w:val="pt-BR" w:eastAsia="es-ES"/>
        </w:rPr>
        <w:t xml:space="preserve">Estado </w:t>
      </w:r>
      <w:r w:rsidR="00470ADC" w:rsidRPr="00D5464D">
        <w:rPr>
          <w:rFonts w:eastAsia="Batang" w:cs="Times"/>
          <w:szCs w:val="24"/>
          <w:lang w:val="pt-BR" w:eastAsia="es-ES"/>
        </w:rPr>
        <w:t>argumentou</w:t>
      </w:r>
      <w:r w:rsidRPr="00D5464D">
        <w:rPr>
          <w:rFonts w:eastAsia="Batang" w:cs="Times"/>
          <w:szCs w:val="24"/>
          <w:lang w:val="pt-BR" w:eastAsia="es-ES"/>
        </w:rPr>
        <w:t xml:space="preserve"> que</w:t>
      </w:r>
      <w:r w:rsidR="002C330E" w:rsidRPr="00D5464D">
        <w:rPr>
          <w:rFonts w:eastAsia="Batang" w:cs="Times"/>
          <w:szCs w:val="24"/>
          <w:lang w:val="pt-BR" w:eastAsia="es-ES"/>
        </w:rPr>
        <w:t xml:space="preserve"> a </w:t>
      </w:r>
      <w:r w:rsidRPr="00D5464D">
        <w:rPr>
          <w:rFonts w:eastAsia="Batang" w:cs="Times"/>
          <w:szCs w:val="24"/>
          <w:lang w:val="pt-BR" w:eastAsia="es-ES"/>
        </w:rPr>
        <w:t xml:space="preserve">Corte </w:t>
      </w:r>
      <w:r w:rsidR="00737270" w:rsidRPr="00D5464D">
        <w:rPr>
          <w:rFonts w:eastAsia="Batang" w:cs="Times"/>
          <w:szCs w:val="24"/>
          <w:lang w:val="pt-BR" w:eastAsia="es-ES"/>
        </w:rPr>
        <w:t>deveria</w:t>
      </w:r>
      <w:r w:rsidRPr="00D5464D">
        <w:rPr>
          <w:rFonts w:eastAsia="Batang" w:cs="Times"/>
          <w:szCs w:val="24"/>
          <w:lang w:val="pt-BR" w:eastAsia="es-ES"/>
        </w:rPr>
        <w:t xml:space="preserve"> decla</w:t>
      </w:r>
      <w:r w:rsidR="00350187" w:rsidRPr="00D5464D">
        <w:rPr>
          <w:rFonts w:eastAsia="Batang" w:cs="Times"/>
          <w:szCs w:val="24"/>
          <w:lang w:val="pt-BR" w:eastAsia="es-ES"/>
        </w:rPr>
        <w:t>rar-se</w:t>
      </w:r>
      <w:r w:rsidRPr="00D5464D">
        <w:rPr>
          <w:rFonts w:eastAsia="Batang" w:cs="Times"/>
          <w:szCs w:val="24"/>
          <w:lang w:val="pt-BR" w:eastAsia="es-ES"/>
        </w:rPr>
        <w:t xml:space="preserve"> in</w:t>
      </w:r>
      <w:r w:rsidR="00A1358C" w:rsidRPr="00D5464D">
        <w:rPr>
          <w:rFonts w:eastAsia="Batang" w:cs="Times"/>
          <w:szCs w:val="24"/>
          <w:lang w:val="pt-BR" w:eastAsia="es-ES"/>
        </w:rPr>
        <w:t>competente</w:t>
      </w:r>
      <w:r w:rsidRPr="00D5464D">
        <w:rPr>
          <w:rFonts w:eastAsia="Batang" w:cs="Times"/>
          <w:szCs w:val="24"/>
          <w:lang w:val="pt-BR" w:eastAsia="es-ES"/>
        </w:rPr>
        <w:t xml:space="preserve"> para </w:t>
      </w:r>
      <w:r w:rsidR="00470ADC" w:rsidRPr="00D5464D">
        <w:rPr>
          <w:rFonts w:eastAsia="Batang" w:cs="Times"/>
          <w:szCs w:val="24"/>
          <w:lang w:val="pt-BR" w:eastAsia="es-ES"/>
        </w:rPr>
        <w:t>conhecer</w:t>
      </w:r>
      <w:r w:rsidRPr="00D5464D">
        <w:rPr>
          <w:rFonts w:eastAsia="Batang" w:cs="Times"/>
          <w:szCs w:val="24"/>
          <w:lang w:val="pt-BR" w:eastAsia="es-ES"/>
        </w:rPr>
        <w:t xml:space="preserve"> de su</w:t>
      </w:r>
      <w:r w:rsidR="002C330E" w:rsidRPr="00D5464D">
        <w:rPr>
          <w:rFonts w:eastAsia="Batang" w:cs="Times"/>
          <w:szCs w:val="24"/>
          <w:lang w:val="pt-BR" w:eastAsia="es-ES"/>
        </w:rPr>
        <w:t>posta</w:t>
      </w:r>
      <w:r w:rsidRPr="00D5464D">
        <w:rPr>
          <w:rFonts w:eastAsia="Batang" w:cs="Times"/>
          <w:szCs w:val="24"/>
          <w:lang w:val="pt-BR" w:eastAsia="es-ES"/>
        </w:rPr>
        <w:t>s viola</w:t>
      </w:r>
      <w:r w:rsidR="00470ADC" w:rsidRPr="00D5464D">
        <w:rPr>
          <w:rFonts w:eastAsia="Batang" w:cs="Times"/>
          <w:szCs w:val="24"/>
          <w:lang w:val="pt-BR" w:eastAsia="es-ES"/>
        </w:rPr>
        <w:t>ções</w:t>
      </w:r>
      <w:r w:rsidRPr="00D5464D">
        <w:rPr>
          <w:rFonts w:eastAsia="Batang" w:cs="Times"/>
          <w:szCs w:val="24"/>
          <w:lang w:val="pt-BR" w:eastAsia="es-ES"/>
        </w:rPr>
        <w:t xml:space="preserve"> sucedidas antes de 25 de </w:t>
      </w:r>
      <w:r w:rsidR="002C330E" w:rsidRPr="00D5464D">
        <w:rPr>
          <w:rFonts w:eastAsia="Batang" w:cs="Times"/>
          <w:szCs w:val="24"/>
          <w:lang w:val="pt-BR" w:eastAsia="es-ES"/>
        </w:rPr>
        <w:t>setembro</w:t>
      </w:r>
      <w:r w:rsidRPr="00D5464D">
        <w:rPr>
          <w:rFonts w:eastAsia="Batang" w:cs="Times"/>
          <w:szCs w:val="24"/>
          <w:lang w:val="pt-BR" w:eastAsia="es-ES"/>
        </w:rPr>
        <w:t xml:space="preserve"> de 1992</w:t>
      </w:r>
      <w:r w:rsidR="004E078C" w:rsidRPr="00D5464D">
        <w:rPr>
          <w:rFonts w:eastAsia="Batang" w:cs="Times"/>
          <w:szCs w:val="24"/>
          <w:lang w:val="pt-BR" w:eastAsia="es-ES"/>
        </w:rPr>
        <w:t>,</w:t>
      </w:r>
      <w:r w:rsidRPr="00D5464D">
        <w:rPr>
          <w:rFonts w:eastAsia="Batang" w:cs="Times"/>
          <w:szCs w:val="24"/>
          <w:lang w:val="pt-BR" w:eastAsia="es-ES"/>
        </w:rPr>
        <w:t xml:space="preserve"> </w:t>
      </w:r>
      <w:r w:rsidR="00470ADC" w:rsidRPr="00D5464D">
        <w:rPr>
          <w:rFonts w:eastAsia="Batang" w:cs="Times"/>
          <w:szCs w:val="24"/>
          <w:lang w:val="pt-BR" w:eastAsia="es-ES"/>
        </w:rPr>
        <w:t xml:space="preserve">data </w:t>
      </w:r>
      <w:r w:rsidR="00F96DDC" w:rsidRPr="00D5464D">
        <w:rPr>
          <w:rFonts w:eastAsia="Batang" w:cs="Times"/>
          <w:szCs w:val="24"/>
          <w:lang w:val="pt-BR" w:eastAsia="es-ES"/>
        </w:rPr>
        <w:t>na qual o Brasil aderiu</w:t>
      </w:r>
      <w:r w:rsidR="00470ADC" w:rsidRPr="00D5464D">
        <w:rPr>
          <w:rFonts w:eastAsia="Batang" w:cs="Times"/>
          <w:szCs w:val="24"/>
          <w:lang w:val="pt-BR" w:eastAsia="es-ES"/>
        </w:rPr>
        <w:t xml:space="preserve"> à </w:t>
      </w:r>
      <w:r w:rsidRPr="00D5464D">
        <w:rPr>
          <w:rFonts w:eastAsia="Batang" w:cs="Times"/>
          <w:szCs w:val="24"/>
          <w:lang w:val="pt-BR" w:eastAsia="es-ES"/>
        </w:rPr>
        <w:t>Conven</w:t>
      </w:r>
      <w:r w:rsidR="00470ADC" w:rsidRPr="00D5464D">
        <w:rPr>
          <w:rFonts w:eastAsia="Batang" w:cs="Times"/>
          <w:szCs w:val="24"/>
          <w:lang w:val="pt-BR" w:eastAsia="es-ES"/>
        </w:rPr>
        <w:t>ção</w:t>
      </w:r>
      <w:r w:rsidRPr="00D5464D">
        <w:rPr>
          <w:rFonts w:eastAsia="Batang" w:cs="Times"/>
          <w:szCs w:val="24"/>
          <w:lang w:val="pt-BR" w:eastAsia="es-ES"/>
        </w:rPr>
        <w:t xml:space="preserve"> Americana</w:t>
      </w:r>
      <w:r w:rsidR="00A1358C" w:rsidRPr="00D5464D">
        <w:rPr>
          <w:rFonts w:eastAsia="Batang" w:cs="Times"/>
          <w:szCs w:val="24"/>
          <w:lang w:val="pt-BR" w:eastAsia="es-ES"/>
        </w:rPr>
        <w:t>, isto é,</w:t>
      </w:r>
      <w:r w:rsidR="00470ADC" w:rsidRPr="00D5464D">
        <w:rPr>
          <w:rFonts w:eastAsia="Batang" w:cs="Times"/>
          <w:szCs w:val="24"/>
          <w:lang w:val="pt-BR" w:eastAsia="es-ES"/>
        </w:rPr>
        <w:t xml:space="preserve"> os atos</w:t>
      </w:r>
      <w:r w:rsidRPr="00D5464D">
        <w:rPr>
          <w:rFonts w:eastAsia="Batang" w:cs="Times"/>
          <w:szCs w:val="24"/>
          <w:lang w:val="pt-BR" w:eastAsia="es-ES"/>
        </w:rPr>
        <w:t xml:space="preserve"> </w:t>
      </w:r>
      <w:r w:rsidR="002C330E" w:rsidRPr="00D5464D">
        <w:rPr>
          <w:rFonts w:eastAsia="Batang" w:cs="Times"/>
          <w:szCs w:val="24"/>
          <w:lang w:val="pt-BR" w:eastAsia="es-ES"/>
        </w:rPr>
        <w:t>suposta</w:t>
      </w:r>
      <w:r w:rsidRPr="00D5464D">
        <w:rPr>
          <w:rFonts w:eastAsia="Batang" w:cs="Times"/>
          <w:szCs w:val="24"/>
          <w:lang w:val="pt-BR" w:eastAsia="es-ES"/>
        </w:rPr>
        <w:t xml:space="preserve">mente </w:t>
      </w:r>
      <w:r w:rsidR="003C1A5A" w:rsidRPr="00D5464D">
        <w:rPr>
          <w:rFonts w:eastAsia="Batang" w:cs="Times"/>
          <w:szCs w:val="24"/>
          <w:lang w:val="pt-BR" w:eastAsia="es-ES"/>
        </w:rPr>
        <w:t xml:space="preserve">violadores </w:t>
      </w:r>
      <w:r w:rsidR="00470ADC" w:rsidRPr="00D5464D">
        <w:rPr>
          <w:rFonts w:eastAsia="Batang" w:cs="Times"/>
          <w:szCs w:val="24"/>
          <w:lang w:val="pt-BR" w:eastAsia="es-ES"/>
        </w:rPr>
        <w:t xml:space="preserve">da </w:t>
      </w:r>
      <w:r w:rsidRPr="00D5464D">
        <w:rPr>
          <w:rFonts w:eastAsia="Batang" w:cs="Times"/>
          <w:szCs w:val="24"/>
          <w:lang w:val="pt-BR" w:eastAsia="es-ES"/>
        </w:rPr>
        <w:t>Conven</w:t>
      </w:r>
      <w:r w:rsidR="00470ADC" w:rsidRPr="00D5464D">
        <w:rPr>
          <w:rFonts w:eastAsia="Batang" w:cs="Times"/>
          <w:szCs w:val="24"/>
          <w:lang w:val="pt-BR" w:eastAsia="es-ES"/>
        </w:rPr>
        <w:t>ção</w:t>
      </w:r>
      <w:r w:rsidRPr="00D5464D">
        <w:rPr>
          <w:rFonts w:eastAsia="Batang" w:cs="Times"/>
          <w:szCs w:val="24"/>
          <w:lang w:val="pt-BR" w:eastAsia="es-ES"/>
        </w:rPr>
        <w:t xml:space="preserve"> </w:t>
      </w:r>
      <w:r w:rsidR="00F96DDC" w:rsidRPr="00D5464D">
        <w:rPr>
          <w:rFonts w:eastAsia="Batang" w:cs="Times"/>
          <w:szCs w:val="24"/>
          <w:lang w:val="pt-BR" w:eastAsia="es-ES"/>
        </w:rPr>
        <w:t xml:space="preserve">ocorridos entre </w:t>
      </w:r>
      <w:r w:rsidR="00350187" w:rsidRPr="00D5464D">
        <w:rPr>
          <w:rFonts w:eastAsia="Batang" w:cs="Times"/>
          <w:szCs w:val="24"/>
          <w:lang w:val="pt-BR" w:eastAsia="es-ES"/>
        </w:rPr>
        <w:t xml:space="preserve">21 </w:t>
      </w:r>
      <w:r w:rsidR="00A1358C" w:rsidRPr="00D5464D">
        <w:rPr>
          <w:rFonts w:eastAsia="Batang" w:cs="Times"/>
          <w:szCs w:val="24"/>
          <w:lang w:val="pt-BR" w:eastAsia="es-ES"/>
        </w:rPr>
        <w:t>de dezembro</w:t>
      </w:r>
      <w:r w:rsidRPr="00D5464D">
        <w:rPr>
          <w:rFonts w:eastAsia="Batang" w:cs="Times"/>
          <w:szCs w:val="24"/>
          <w:lang w:val="pt-BR" w:eastAsia="es-ES"/>
        </w:rPr>
        <w:t xml:space="preserve"> de 1988</w:t>
      </w:r>
      <w:r w:rsidR="00470ADC" w:rsidRPr="00D5464D">
        <w:rPr>
          <w:rFonts w:eastAsia="Batang" w:cs="Times"/>
          <w:szCs w:val="24"/>
          <w:lang w:val="pt-BR" w:eastAsia="es-ES"/>
        </w:rPr>
        <w:t xml:space="preserve"> </w:t>
      </w:r>
      <w:r w:rsidR="00F96DDC" w:rsidRPr="00D5464D">
        <w:rPr>
          <w:rFonts w:eastAsia="Batang" w:cs="Times"/>
          <w:szCs w:val="24"/>
          <w:lang w:val="pt-BR" w:eastAsia="es-ES"/>
        </w:rPr>
        <w:t>e</w:t>
      </w:r>
      <w:r w:rsidR="00470ADC" w:rsidRPr="00D5464D">
        <w:rPr>
          <w:rFonts w:eastAsia="Batang" w:cs="Times"/>
          <w:szCs w:val="24"/>
          <w:lang w:val="pt-BR" w:eastAsia="es-ES"/>
        </w:rPr>
        <w:t xml:space="preserve"> </w:t>
      </w:r>
      <w:r w:rsidRPr="00D5464D">
        <w:rPr>
          <w:rFonts w:eastAsia="Batang" w:cs="Times"/>
          <w:szCs w:val="24"/>
          <w:lang w:val="pt-BR" w:eastAsia="es-ES"/>
        </w:rPr>
        <w:t xml:space="preserve">18 de </w:t>
      </w:r>
      <w:r w:rsidR="002C330E" w:rsidRPr="00D5464D">
        <w:rPr>
          <w:rFonts w:eastAsia="Batang" w:cs="Times"/>
          <w:szCs w:val="24"/>
          <w:lang w:val="pt-BR" w:eastAsia="es-ES"/>
        </w:rPr>
        <w:t>março</w:t>
      </w:r>
      <w:r w:rsidRPr="00D5464D">
        <w:rPr>
          <w:rFonts w:eastAsia="Batang" w:cs="Times"/>
          <w:szCs w:val="24"/>
          <w:lang w:val="pt-BR" w:eastAsia="es-ES"/>
        </w:rPr>
        <w:t xml:space="preserve"> de 1992. </w:t>
      </w:r>
    </w:p>
    <w:p w14:paraId="1A373BA5" w14:textId="77777777" w:rsidR="00D65024" w:rsidRPr="00D5464D" w:rsidRDefault="00D65024" w:rsidP="00D65024">
      <w:pPr>
        <w:tabs>
          <w:tab w:val="clear" w:pos="4419"/>
          <w:tab w:val="clear" w:pos="8838"/>
        </w:tabs>
        <w:jc w:val="both"/>
        <w:rPr>
          <w:rFonts w:eastAsia="Batang" w:cs="Times"/>
          <w:szCs w:val="24"/>
          <w:lang w:val="pt-BR" w:eastAsia="es-ES"/>
        </w:rPr>
      </w:pPr>
    </w:p>
    <w:p w14:paraId="5D590244" w14:textId="105AF4A8" w:rsidR="000A52D5" w:rsidRPr="00D5464D" w:rsidRDefault="00470AD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A </w:t>
      </w:r>
      <w:r w:rsidRPr="00D5464D">
        <w:rPr>
          <w:rFonts w:eastAsia="Batang" w:cs="Times"/>
          <w:b/>
          <w:i/>
          <w:szCs w:val="24"/>
          <w:lang w:val="pt-BR" w:eastAsia="es-ES"/>
        </w:rPr>
        <w:t>Comissão</w:t>
      </w:r>
      <w:r w:rsidR="000A52D5" w:rsidRPr="00D5464D">
        <w:rPr>
          <w:rFonts w:eastAsia="Batang" w:cs="Times"/>
          <w:szCs w:val="24"/>
          <w:lang w:val="pt-BR" w:eastAsia="es-ES"/>
        </w:rPr>
        <w:t xml:space="preserve"> </w:t>
      </w:r>
      <w:r w:rsidR="002C330E" w:rsidRPr="00D5464D">
        <w:rPr>
          <w:rFonts w:eastAsia="Batang" w:cs="Times"/>
          <w:szCs w:val="24"/>
          <w:lang w:val="pt-BR" w:eastAsia="es-ES"/>
        </w:rPr>
        <w:t>afirmou</w:t>
      </w:r>
      <w:r w:rsidR="000A52D5" w:rsidRPr="00D5464D">
        <w:rPr>
          <w:rFonts w:eastAsia="Batang" w:cs="Times"/>
          <w:szCs w:val="24"/>
          <w:lang w:val="pt-BR" w:eastAsia="es-ES"/>
        </w:rPr>
        <w:t xml:space="preserve"> que</w:t>
      </w:r>
      <w:r w:rsidR="00F96DDC" w:rsidRPr="00D5464D">
        <w:rPr>
          <w:rFonts w:eastAsia="Batang" w:cs="Times"/>
          <w:szCs w:val="24"/>
          <w:lang w:val="pt-BR" w:eastAsia="es-ES"/>
        </w:rPr>
        <w:t>,</w:t>
      </w:r>
      <w:r w:rsidRPr="00D5464D">
        <w:rPr>
          <w:rFonts w:eastAsia="Batang" w:cs="Times"/>
          <w:szCs w:val="24"/>
          <w:lang w:val="pt-BR" w:eastAsia="es-ES"/>
        </w:rPr>
        <w:t xml:space="preserve"> ao </w:t>
      </w:r>
      <w:r w:rsidR="000A52D5" w:rsidRPr="00D5464D">
        <w:rPr>
          <w:rFonts w:eastAsia="Batang" w:cs="Times"/>
          <w:szCs w:val="24"/>
          <w:lang w:val="pt-BR" w:eastAsia="es-ES"/>
        </w:rPr>
        <w:t>enviar</w:t>
      </w:r>
      <w:r w:rsidRPr="00D5464D">
        <w:rPr>
          <w:rFonts w:eastAsia="Batang" w:cs="Times"/>
          <w:szCs w:val="24"/>
          <w:lang w:val="pt-BR" w:eastAsia="es-ES"/>
        </w:rPr>
        <w:t xml:space="preserve"> o </w:t>
      </w:r>
      <w:r w:rsidR="000A52D5" w:rsidRPr="00D5464D">
        <w:rPr>
          <w:rFonts w:eastAsia="Batang" w:cs="Times"/>
          <w:szCs w:val="24"/>
          <w:lang w:val="pt-BR" w:eastAsia="es-ES"/>
        </w:rPr>
        <w:t>caso</w:t>
      </w:r>
      <w:r w:rsidRPr="00D5464D">
        <w:rPr>
          <w:rFonts w:eastAsia="Batang" w:cs="Times"/>
          <w:szCs w:val="24"/>
          <w:lang w:val="pt-BR" w:eastAsia="es-ES"/>
        </w:rPr>
        <w:t xml:space="preserve"> à </w:t>
      </w:r>
      <w:r w:rsidR="000A52D5" w:rsidRPr="00D5464D">
        <w:rPr>
          <w:rFonts w:eastAsia="Batang" w:cs="Times"/>
          <w:szCs w:val="24"/>
          <w:lang w:val="pt-BR" w:eastAsia="es-ES"/>
        </w:rPr>
        <w:t>Corte</w:t>
      </w:r>
      <w:r w:rsidR="00F96DDC" w:rsidRPr="00D5464D">
        <w:rPr>
          <w:rFonts w:eastAsia="Batang" w:cs="Times"/>
          <w:szCs w:val="24"/>
          <w:lang w:val="pt-BR" w:eastAsia="es-ES"/>
        </w:rPr>
        <w:t>,</w:t>
      </w:r>
      <w:r w:rsidR="000A52D5" w:rsidRPr="00D5464D">
        <w:rPr>
          <w:rFonts w:eastAsia="Batang" w:cs="Times"/>
          <w:szCs w:val="24"/>
          <w:lang w:val="pt-BR" w:eastAsia="es-ES"/>
        </w:rPr>
        <w:t xml:space="preserve"> </w:t>
      </w:r>
      <w:r w:rsidR="00E765C2" w:rsidRPr="00D5464D">
        <w:rPr>
          <w:rFonts w:eastAsia="Batang" w:cs="Times"/>
          <w:szCs w:val="24"/>
          <w:lang w:val="pt-BR" w:eastAsia="es-ES"/>
        </w:rPr>
        <w:t>espec</w:t>
      </w:r>
      <w:r w:rsidR="00F96DDC" w:rsidRPr="00D5464D">
        <w:rPr>
          <w:rFonts w:eastAsia="Batang" w:cs="Times"/>
          <w:szCs w:val="24"/>
          <w:lang w:val="pt-BR" w:eastAsia="es-ES"/>
        </w:rPr>
        <w:t>i</w:t>
      </w:r>
      <w:r w:rsidR="00E765C2" w:rsidRPr="00D5464D">
        <w:rPr>
          <w:rFonts w:eastAsia="Batang" w:cs="Times"/>
          <w:szCs w:val="24"/>
          <w:lang w:val="pt-BR" w:eastAsia="es-ES"/>
        </w:rPr>
        <w:t>fico</w:t>
      </w:r>
      <w:r w:rsidR="00C91CB1" w:rsidRPr="00D5464D">
        <w:rPr>
          <w:rFonts w:eastAsia="Batang" w:cs="Times"/>
          <w:szCs w:val="24"/>
          <w:lang w:val="pt-BR" w:eastAsia="es-ES"/>
        </w:rPr>
        <w:t>u</w:t>
      </w:r>
      <w:r w:rsidR="00F96DDC" w:rsidRPr="00D5464D">
        <w:rPr>
          <w:rFonts w:eastAsia="Batang" w:cs="Times"/>
          <w:szCs w:val="24"/>
          <w:lang w:val="pt-BR" w:eastAsia="es-ES"/>
        </w:rPr>
        <w:t xml:space="preserve"> </w:t>
      </w:r>
      <w:r w:rsidR="000A52D5" w:rsidRPr="00D5464D">
        <w:rPr>
          <w:rFonts w:eastAsia="Batang" w:cs="Times"/>
          <w:szCs w:val="24"/>
          <w:lang w:val="pt-BR" w:eastAsia="es-ES"/>
        </w:rPr>
        <w:t>que</w:t>
      </w:r>
      <w:r w:rsidR="00D14320" w:rsidRPr="00D5464D">
        <w:rPr>
          <w:rFonts w:eastAsia="Batang" w:cs="Times"/>
          <w:szCs w:val="24"/>
          <w:lang w:val="pt-BR" w:eastAsia="es-ES"/>
        </w:rPr>
        <w:t xml:space="preserve"> apenas </w:t>
      </w:r>
      <w:r w:rsidR="000A52D5" w:rsidRPr="00D5464D">
        <w:rPr>
          <w:rFonts w:eastAsia="Batang" w:cs="Times"/>
          <w:szCs w:val="24"/>
          <w:lang w:val="pt-BR" w:eastAsia="es-ES"/>
        </w:rPr>
        <w:t>in</w:t>
      </w:r>
      <w:r w:rsidR="00737270" w:rsidRPr="00D5464D">
        <w:rPr>
          <w:rFonts w:eastAsia="Batang" w:cs="Times"/>
          <w:szCs w:val="24"/>
          <w:lang w:val="pt-BR" w:eastAsia="es-ES"/>
        </w:rPr>
        <w:t>formava</w:t>
      </w:r>
      <w:r w:rsidR="000A52D5" w:rsidRPr="00D5464D">
        <w:rPr>
          <w:rFonts w:eastAsia="Batang" w:cs="Times"/>
          <w:szCs w:val="24"/>
          <w:lang w:val="pt-BR" w:eastAsia="es-ES"/>
        </w:rPr>
        <w:t xml:space="preserve"> sobre eventos que </w:t>
      </w:r>
      <w:r w:rsidR="002C330E" w:rsidRPr="00D5464D">
        <w:rPr>
          <w:rFonts w:eastAsia="Batang" w:cs="Times"/>
          <w:szCs w:val="24"/>
          <w:lang w:val="pt-BR" w:eastAsia="es-ES"/>
        </w:rPr>
        <w:t>ocorreram</w:t>
      </w:r>
      <w:r w:rsidR="000A52D5" w:rsidRPr="00D5464D">
        <w:rPr>
          <w:rFonts w:eastAsia="Batang" w:cs="Times"/>
          <w:szCs w:val="24"/>
          <w:lang w:val="pt-BR" w:eastAsia="es-ES"/>
        </w:rPr>
        <w:t xml:space="preserve"> o</w:t>
      </w:r>
      <w:r w:rsidR="00F96DDC" w:rsidRPr="00D5464D">
        <w:rPr>
          <w:rFonts w:eastAsia="Batang" w:cs="Times"/>
          <w:szCs w:val="24"/>
          <w:lang w:val="pt-BR" w:eastAsia="es-ES"/>
        </w:rPr>
        <w:t>u</w:t>
      </w:r>
      <w:r w:rsidR="000A52D5" w:rsidRPr="00D5464D">
        <w:rPr>
          <w:rFonts w:eastAsia="Batang" w:cs="Times"/>
          <w:szCs w:val="24"/>
          <w:lang w:val="pt-BR" w:eastAsia="es-ES"/>
        </w:rPr>
        <w:t xml:space="preserve"> </w:t>
      </w:r>
      <w:r w:rsidR="00E045D9" w:rsidRPr="00D5464D">
        <w:rPr>
          <w:rFonts w:eastAsia="Batang" w:cs="Times"/>
          <w:szCs w:val="24"/>
          <w:lang w:val="pt-BR" w:eastAsia="es-ES"/>
        </w:rPr>
        <w:t>continuaram</w:t>
      </w:r>
      <w:r w:rsidR="000A52D5" w:rsidRPr="00D5464D">
        <w:rPr>
          <w:rFonts w:eastAsia="Batang" w:cs="Times"/>
          <w:szCs w:val="24"/>
          <w:lang w:val="pt-BR" w:eastAsia="es-ES"/>
        </w:rPr>
        <w:t xml:space="preserve"> </w:t>
      </w:r>
      <w:r w:rsidR="00F96DDC" w:rsidRPr="00D5464D">
        <w:rPr>
          <w:rFonts w:eastAsia="Batang" w:cs="Times"/>
          <w:szCs w:val="24"/>
          <w:lang w:val="pt-BR" w:eastAsia="es-ES"/>
        </w:rPr>
        <w:t xml:space="preserve">ocorrendo </w:t>
      </w:r>
      <w:r w:rsidRPr="00D5464D">
        <w:rPr>
          <w:rFonts w:eastAsia="Batang" w:cs="Times"/>
          <w:szCs w:val="24"/>
          <w:lang w:val="pt-BR" w:eastAsia="es-ES"/>
        </w:rPr>
        <w:t>depois</w:t>
      </w:r>
      <w:r w:rsidR="00737270" w:rsidRPr="00D5464D">
        <w:rPr>
          <w:rFonts w:eastAsia="Batang" w:cs="Times"/>
          <w:szCs w:val="24"/>
          <w:lang w:val="pt-BR" w:eastAsia="es-ES"/>
        </w:rPr>
        <w:t xml:space="preserve"> de 1</w:t>
      </w:r>
      <w:r w:rsidR="000A52D5" w:rsidRPr="00D5464D">
        <w:rPr>
          <w:rFonts w:eastAsia="Batang" w:cs="Times"/>
          <w:szCs w:val="24"/>
          <w:lang w:val="pt-BR" w:eastAsia="es-ES"/>
        </w:rPr>
        <w:t xml:space="preserve">0 de </w:t>
      </w:r>
      <w:r w:rsidRPr="00D5464D">
        <w:rPr>
          <w:rFonts w:eastAsia="Batang" w:cs="Times"/>
          <w:szCs w:val="24"/>
          <w:lang w:val="pt-BR" w:eastAsia="es-ES"/>
        </w:rPr>
        <w:t>dezembro</w:t>
      </w:r>
      <w:r w:rsidR="000A52D5" w:rsidRPr="00D5464D">
        <w:rPr>
          <w:rFonts w:eastAsia="Batang" w:cs="Times"/>
          <w:szCs w:val="24"/>
          <w:lang w:val="pt-BR" w:eastAsia="es-ES"/>
        </w:rPr>
        <w:t xml:space="preserve"> de 1998, </w:t>
      </w:r>
      <w:r w:rsidRPr="00D5464D">
        <w:rPr>
          <w:rFonts w:eastAsia="Batang" w:cs="Times"/>
          <w:szCs w:val="24"/>
          <w:lang w:val="pt-BR" w:eastAsia="es-ES"/>
        </w:rPr>
        <w:t xml:space="preserve">data </w:t>
      </w:r>
      <w:r w:rsidR="00F96DDC" w:rsidRPr="00D5464D">
        <w:rPr>
          <w:rFonts w:eastAsia="Batang" w:cs="Times"/>
          <w:szCs w:val="24"/>
          <w:lang w:val="pt-BR" w:eastAsia="es-ES"/>
        </w:rPr>
        <w:t xml:space="preserve">na qual o </w:t>
      </w:r>
      <w:r w:rsidR="000A52D5" w:rsidRPr="00D5464D">
        <w:rPr>
          <w:rFonts w:eastAsia="Batang" w:cs="Times"/>
          <w:szCs w:val="24"/>
          <w:lang w:val="pt-BR" w:eastAsia="es-ES"/>
        </w:rPr>
        <w:t xml:space="preserve">Brasil </w:t>
      </w:r>
      <w:r w:rsidR="00E045D9" w:rsidRPr="00D5464D">
        <w:rPr>
          <w:rFonts w:eastAsia="Batang" w:cs="Times"/>
          <w:szCs w:val="24"/>
          <w:lang w:val="pt-BR" w:eastAsia="es-ES"/>
        </w:rPr>
        <w:t>aceitou</w:t>
      </w:r>
      <w:r w:rsidR="002C330E" w:rsidRPr="00D5464D">
        <w:rPr>
          <w:rFonts w:eastAsia="Batang" w:cs="Times"/>
          <w:szCs w:val="24"/>
          <w:lang w:val="pt-BR" w:eastAsia="es-ES"/>
        </w:rPr>
        <w:t xml:space="preserve"> a </w:t>
      </w:r>
      <w:r w:rsidRPr="00D5464D">
        <w:rPr>
          <w:rFonts w:eastAsia="Batang" w:cs="Times"/>
          <w:szCs w:val="24"/>
          <w:lang w:val="pt-BR" w:eastAsia="es-ES"/>
        </w:rPr>
        <w:t xml:space="preserve">competência da </w:t>
      </w:r>
      <w:r w:rsidR="000A52D5" w:rsidRPr="00D5464D">
        <w:rPr>
          <w:rFonts w:eastAsia="Batang" w:cs="Times"/>
          <w:szCs w:val="24"/>
          <w:lang w:val="pt-BR" w:eastAsia="es-ES"/>
        </w:rPr>
        <w:t xml:space="preserve">Corte. </w:t>
      </w:r>
      <w:r w:rsidR="00F96DDC" w:rsidRPr="00D5464D">
        <w:rPr>
          <w:rFonts w:eastAsia="Batang" w:cs="Times"/>
          <w:szCs w:val="24"/>
          <w:lang w:val="pt-BR" w:eastAsia="es-ES"/>
        </w:rPr>
        <w:t>Estes atos c</w:t>
      </w:r>
      <w:r w:rsidR="000A52D5" w:rsidRPr="00D5464D">
        <w:rPr>
          <w:rFonts w:eastAsia="Batang" w:cs="Times"/>
          <w:szCs w:val="24"/>
          <w:lang w:val="pt-BR" w:eastAsia="es-ES"/>
        </w:rPr>
        <w:t>onsisti</w:t>
      </w:r>
      <w:r w:rsidR="00350187" w:rsidRPr="00D5464D">
        <w:rPr>
          <w:rFonts w:eastAsia="Batang" w:cs="Times"/>
          <w:szCs w:val="24"/>
          <w:lang w:val="pt-BR" w:eastAsia="es-ES"/>
        </w:rPr>
        <w:t xml:space="preserve">riam </w:t>
      </w:r>
      <w:r w:rsidRPr="00D5464D">
        <w:rPr>
          <w:rFonts w:eastAsia="Batang" w:cs="Times"/>
          <w:szCs w:val="24"/>
          <w:lang w:val="pt-BR" w:eastAsia="es-ES"/>
        </w:rPr>
        <w:t>em ações</w:t>
      </w:r>
      <w:r w:rsidR="00E045D9" w:rsidRPr="00D5464D">
        <w:rPr>
          <w:rFonts w:eastAsia="Batang" w:cs="Times"/>
          <w:szCs w:val="24"/>
          <w:lang w:val="pt-BR" w:eastAsia="es-ES"/>
        </w:rPr>
        <w:t xml:space="preserve"> e </w:t>
      </w:r>
      <w:r w:rsidR="000A52D5" w:rsidRPr="00D5464D">
        <w:rPr>
          <w:rFonts w:eastAsia="Batang" w:cs="Times"/>
          <w:szCs w:val="24"/>
          <w:lang w:val="pt-BR" w:eastAsia="es-ES"/>
        </w:rPr>
        <w:t>o</w:t>
      </w:r>
      <w:r w:rsidR="002C330E" w:rsidRPr="00D5464D">
        <w:rPr>
          <w:rFonts w:eastAsia="Batang" w:cs="Times"/>
          <w:szCs w:val="24"/>
          <w:lang w:val="pt-BR" w:eastAsia="es-ES"/>
        </w:rPr>
        <w:t>missões</w:t>
      </w:r>
      <w:r w:rsidR="000A52D5" w:rsidRPr="00D5464D">
        <w:rPr>
          <w:rFonts w:eastAsia="Batang" w:cs="Times"/>
          <w:szCs w:val="24"/>
          <w:lang w:val="pt-BR" w:eastAsia="es-ES"/>
        </w:rPr>
        <w:t xml:space="preserve"> </w:t>
      </w:r>
      <w:r w:rsidR="002C330E" w:rsidRPr="00D5464D">
        <w:rPr>
          <w:rFonts w:eastAsia="Batang" w:cs="Times"/>
          <w:szCs w:val="24"/>
          <w:lang w:val="pt-BR" w:eastAsia="es-ES"/>
        </w:rPr>
        <w:t>a respeito</w:t>
      </w:r>
      <w:r w:rsidRPr="00D5464D">
        <w:rPr>
          <w:rFonts w:eastAsia="Batang" w:cs="Times"/>
          <w:szCs w:val="24"/>
          <w:lang w:val="pt-BR" w:eastAsia="es-ES"/>
        </w:rPr>
        <w:t xml:space="preserve"> da </w:t>
      </w:r>
      <w:r w:rsidR="000A52D5" w:rsidRPr="00D5464D">
        <w:rPr>
          <w:rFonts w:eastAsia="Batang" w:cs="Times"/>
          <w:szCs w:val="24"/>
          <w:lang w:val="pt-BR" w:eastAsia="es-ES"/>
        </w:rPr>
        <w:t>situa</w:t>
      </w:r>
      <w:r w:rsidRPr="00D5464D">
        <w:rPr>
          <w:rFonts w:eastAsia="Batang" w:cs="Times"/>
          <w:szCs w:val="24"/>
          <w:lang w:val="pt-BR" w:eastAsia="es-ES"/>
        </w:rPr>
        <w:t>ção</w:t>
      </w:r>
      <w:r w:rsidR="000A52D5" w:rsidRPr="00D5464D">
        <w:rPr>
          <w:rFonts w:eastAsia="Batang" w:cs="Times"/>
          <w:szCs w:val="24"/>
          <w:lang w:val="pt-BR" w:eastAsia="es-ES"/>
        </w:rPr>
        <w:t xml:space="preserve"> de </w:t>
      </w:r>
      <w:r w:rsidR="00E045D9" w:rsidRPr="00D5464D">
        <w:rPr>
          <w:rFonts w:eastAsia="Batang" w:cs="Times"/>
          <w:szCs w:val="24"/>
          <w:lang w:val="pt-BR" w:eastAsia="es-ES"/>
        </w:rPr>
        <w:t>trabalho</w:t>
      </w:r>
      <w:r w:rsidR="001B63D0" w:rsidRPr="00D5464D">
        <w:rPr>
          <w:rFonts w:eastAsia="Batang" w:cs="Times"/>
          <w:szCs w:val="24"/>
          <w:lang w:val="pt-BR" w:eastAsia="es-ES"/>
        </w:rPr>
        <w:t xml:space="preserve"> </w:t>
      </w:r>
      <w:r w:rsidR="00230C71" w:rsidRPr="00D5464D">
        <w:rPr>
          <w:rFonts w:eastAsia="Batang" w:cs="Times"/>
          <w:szCs w:val="24"/>
          <w:lang w:val="pt-BR" w:eastAsia="es-ES"/>
        </w:rPr>
        <w:t>forçado</w:t>
      </w:r>
      <w:r w:rsidR="000A52D5" w:rsidRPr="00D5464D">
        <w:rPr>
          <w:rFonts w:eastAsia="Batang" w:cs="Times"/>
          <w:szCs w:val="24"/>
          <w:lang w:val="pt-BR" w:eastAsia="es-ES"/>
        </w:rPr>
        <w:t xml:space="preserve">, </w:t>
      </w:r>
      <w:r w:rsidR="000B376D" w:rsidRPr="00D5464D">
        <w:rPr>
          <w:rFonts w:eastAsia="Batang" w:cs="Times"/>
          <w:szCs w:val="24"/>
          <w:lang w:val="pt-BR" w:eastAsia="es-ES"/>
        </w:rPr>
        <w:t>servidão</w:t>
      </w:r>
      <w:r w:rsidR="000A52D5" w:rsidRPr="00D5464D">
        <w:rPr>
          <w:rFonts w:eastAsia="Batang" w:cs="Times"/>
          <w:szCs w:val="24"/>
          <w:lang w:val="pt-BR" w:eastAsia="es-ES"/>
        </w:rPr>
        <w:t xml:space="preserve"> por </w:t>
      </w:r>
      <w:r w:rsidRPr="00D5464D">
        <w:rPr>
          <w:rFonts w:eastAsia="Batang" w:cs="Times"/>
          <w:szCs w:val="24"/>
          <w:lang w:val="pt-BR" w:eastAsia="es-ES"/>
        </w:rPr>
        <w:t>dívida</w:t>
      </w:r>
      <w:r w:rsidR="000A52D5" w:rsidRPr="00D5464D">
        <w:rPr>
          <w:rFonts w:eastAsia="Batang" w:cs="Times"/>
          <w:szCs w:val="24"/>
          <w:lang w:val="pt-BR" w:eastAsia="es-ES"/>
        </w:rPr>
        <w:t>s</w:t>
      </w:r>
      <w:r w:rsidR="00E045D9" w:rsidRPr="00D5464D">
        <w:rPr>
          <w:rFonts w:eastAsia="Batang" w:cs="Times"/>
          <w:szCs w:val="24"/>
          <w:lang w:val="pt-BR" w:eastAsia="es-ES"/>
        </w:rPr>
        <w:t xml:space="preserve"> e </w:t>
      </w:r>
      <w:r w:rsidR="000A52D5" w:rsidRPr="00D5464D">
        <w:rPr>
          <w:rFonts w:eastAsia="Batang" w:cs="Times"/>
          <w:szCs w:val="24"/>
          <w:lang w:val="pt-BR" w:eastAsia="es-ES"/>
        </w:rPr>
        <w:t xml:space="preserve">formas </w:t>
      </w:r>
      <w:r w:rsidR="006665EF" w:rsidRPr="00D5464D">
        <w:rPr>
          <w:rFonts w:eastAsia="Batang" w:cs="Times"/>
          <w:szCs w:val="24"/>
          <w:lang w:val="pt-BR" w:eastAsia="es-ES"/>
        </w:rPr>
        <w:t>análogas</w:t>
      </w:r>
      <w:r w:rsidR="00350187" w:rsidRPr="00D5464D">
        <w:rPr>
          <w:rFonts w:eastAsia="Batang" w:cs="Times"/>
          <w:szCs w:val="24"/>
          <w:lang w:val="pt-BR" w:eastAsia="es-ES"/>
        </w:rPr>
        <w:t xml:space="preserve"> </w:t>
      </w:r>
      <w:r w:rsidRPr="00D5464D">
        <w:rPr>
          <w:rFonts w:eastAsia="Batang" w:cs="Times"/>
          <w:szCs w:val="24"/>
          <w:lang w:val="pt-BR" w:eastAsia="es-ES"/>
        </w:rPr>
        <w:t xml:space="preserve">à </w:t>
      </w:r>
      <w:r w:rsidR="000B376D" w:rsidRPr="00D5464D">
        <w:rPr>
          <w:rFonts w:eastAsia="Batang" w:cs="Times"/>
          <w:szCs w:val="24"/>
          <w:lang w:val="pt-BR" w:eastAsia="es-ES"/>
        </w:rPr>
        <w:t>escravidão</w:t>
      </w:r>
      <w:r w:rsidR="000A52D5" w:rsidRPr="00D5464D">
        <w:rPr>
          <w:rFonts w:eastAsia="Batang" w:cs="Times"/>
          <w:szCs w:val="24"/>
          <w:lang w:val="pt-BR" w:eastAsia="es-ES"/>
        </w:rPr>
        <w:t xml:space="preserve"> que</w:t>
      </w:r>
      <w:r w:rsidR="00791544" w:rsidRPr="00D5464D">
        <w:rPr>
          <w:rFonts w:eastAsia="Batang" w:cs="Times"/>
          <w:szCs w:val="24"/>
          <w:lang w:val="pt-BR" w:eastAsia="es-ES"/>
        </w:rPr>
        <w:t>,</w:t>
      </w:r>
      <w:r w:rsidR="000A52D5" w:rsidRPr="00D5464D">
        <w:rPr>
          <w:rFonts w:eastAsia="Batang" w:cs="Times"/>
          <w:szCs w:val="24"/>
          <w:lang w:val="pt-BR" w:eastAsia="es-ES"/>
        </w:rPr>
        <w:t xml:space="preserve"> </w:t>
      </w:r>
      <w:r w:rsidR="002C330E" w:rsidRPr="00D5464D">
        <w:rPr>
          <w:rFonts w:eastAsia="Batang" w:cs="Times"/>
          <w:szCs w:val="24"/>
          <w:lang w:val="pt-BR" w:eastAsia="es-ES"/>
        </w:rPr>
        <w:t>segundo</w:t>
      </w:r>
      <w:r w:rsidRPr="00D5464D">
        <w:rPr>
          <w:rFonts w:eastAsia="Batang" w:cs="Times"/>
          <w:szCs w:val="24"/>
          <w:lang w:val="pt-BR" w:eastAsia="es-ES"/>
        </w:rPr>
        <w:t xml:space="preserve"> o</w:t>
      </w:r>
      <w:r w:rsidR="002C330E" w:rsidRPr="00D5464D">
        <w:rPr>
          <w:rFonts w:eastAsia="Batang" w:cs="Times"/>
          <w:szCs w:val="24"/>
          <w:lang w:val="pt-BR" w:eastAsia="es-ES"/>
        </w:rPr>
        <w:t xml:space="preserve">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de Mérito</w:t>
      </w:r>
      <w:r w:rsidR="000A52D5" w:rsidRPr="00D5464D">
        <w:rPr>
          <w:rFonts w:eastAsia="Batang" w:cs="Times"/>
          <w:szCs w:val="24"/>
          <w:lang w:val="pt-BR" w:eastAsia="es-ES"/>
        </w:rPr>
        <w:t xml:space="preserve">, </w:t>
      </w:r>
      <w:r w:rsidRPr="00D5464D">
        <w:rPr>
          <w:rFonts w:eastAsia="Batang" w:cs="Times"/>
          <w:szCs w:val="24"/>
          <w:lang w:val="pt-BR" w:eastAsia="es-ES"/>
        </w:rPr>
        <w:t>foram</w:t>
      </w:r>
      <w:r w:rsidR="000A52D5" w:rsidRPr="00D5464D">
        <w:rPr>
          <w:rFonts w:eastAsia="Batang" w:cs="Times"/>
          <w:szCs w:val="24"/>
          <w:lang w:val="pt-BR" w:eastAsia="es-ES"/>
        </w:rPr>
        <w:t xml:space="preserve"> constatad</w:t>
      </w:r>
      <w:r w:rsidR="00F96DDC" w:rsidRPr="00D5464D">
        <w:rPr>
          <w:rFonts w:eastAsia="Batang" w:cs="Times"/>
          <w:szCs w:val="24"/>
          <w:lang w:val="pt-BR" w:eastAsia="es-ES"/>
        </w:rPr>
        <w:t>a</w:t>
      </w:r>
      <w:r w:rsidR="000A52D5" w:rsidRPr="00D5464D">
        <w:rPr>
          <w:rFonts w:eastAsia="Batang" w:cs="Times"/>
          <w:szCs w:val="24"/>
          <w:lang w:val="pt-BR" w:eastAsia="es-ES"/>
        </w:rPr>
        <w:t>s</w:t>
      </w:r>
      <w:r w:rsidRPr="00D5464D">
        <w:rPr>
          <w:rFonts w:eastAsia="Batang" w:cs="Times"/>
          <w:szCs w:val="24"/>
          <w:lang w:val="pt-BR" w:eastAsia="es-ES"/>
        </w:rPr>
        <w:t xml:space="preserve"> através da </w:t>
      </w:r>
      <w:r w:rsidR="000A52D5" w:rsidRPr="00D5464D">
        <w:rPr>
          <w:rFonts w:eastAsia="Batang" w:cs="Times"/>
          <w:szCs w:val="24"/>
          <w:lang w:val="pt-BR" w:eastAsia="es-ES"/>
        </w:rPr>
        <w:t>fiscaliza</w:t>
      </w:r>
      <w:r w:rsidRPr="00D5464D">
        <w:rPr>
          <w:rFonts w:eastAsia="Batang" w:cs="Times"/>
          <w:szCs w:val="24"/>
          <w:lang w:val="pt-BR" w:eastAsia="es-ES"/>
        </w:rPr>
        <w:t>ção</w:t>
      </w:r>
      <w:r w:rsidR="000A52D5" w:rsidRPr="00D5464D">
        <w:rPr>
          <w:rFonts w:eastAsia="Batang" w:cs="Times"/>
          <w:szCs w:val="24"/>
          <w:lang w:val="pt-BR" w:eastAsia="es-ES"/>
        </w:rPr>
        <w:t xml:space="preserve"> que </w:t>
      </w:r>
      <w:r w:rsidR="00E045D9" w:rsidRPr="00D5464D">
        <w:rPr>
          <w:rFonts w:eastAsia="Batang" w:cs="Times"/>
          <w:szCs w:val="24"/>
          <w:lang w:val="pt-BR" w:eastAsia="es-ES"/>
        </w:rPr>
        <w:t>teve</w:t>
      </w:r>
      <w:r w:rsidR="000A52D5" w:rsidRPr="00D5464D">
        <w:rPr>
          <w:rFonts w:eastAsia="Batang" w:cs="Times"/>
          <w:szCs w:val="24"/>
          <w:lang w:val="pt-BR" w:eastAsia="es-ES"/>
        </w:rPr>
        <w:t xml:space="preserve"> lugar</w:t>
      </w:r>
      <w:r w:rsidR="00E045D9" w:rsidRPr="00D5464D">
        <w:rPr>
          <w:rFonts w:eastAsia="Batang" w:cs="Times"/>
          <w:szCs w:val="24"/>
          <w:lang w:val="pt-BR" w:eastAsia="es-ES"/>
        </w:rPr>
        <w:t xml:space="preserve"> no </w:t>
      </w:r>
      <w:r w:rsidRPr="00D5464D">
        <w:rPr>
          <w:rFonts w:eastAsia="Batang" w:cs="Times"/>
          <w:szCs w:val="24"/>
          <w:lang w:val="pt-BR" w:eastAsia="es-ES"/>
        </w:rPr>
        <w:t xml:space="preserve">ano </w:t>
      </w:r>
      <w:r w:rsidR="000A52D5" w:rsidRPr="00D5464D">
        <w:rPr>
          <w:rFonts w:eastAsia="Batang" w:cs="Times"/>
          <w:szCs w:val="24"/>
          <w:lang w:val="pt-BR" w:eastAsia="es-ES"/>
        </w:rPr>
        <w:t xml:space="preserve">2000; </w:t>
      </w:r>
      <w:r w:rsidR="00F96DDC" w:rsidRPr="00D5464D">
        <w:rPr>
          <w:rFonts w:eastAsia="Batang" w:cs="Times"/>
          <w:szCs w:val="24"/>
          <w:lang w:val="pt-BR" w:eastAsia="es-ES"/>
        </w:rPr>
        <w:t xml:space="preserve">bem </w:t>
      </w:r>
      <w:r w:rsidR="000A52D5" w:rsidRPr="00D5464D">
        <w:rPr>
          <w:rFonts w:eastAsia="Batang" w:cs="Times"/>
          <w:szCs w:val="24"/>
          <w:lang w:val="pt-BR" w:eastAsia="es-ES"/>
        </w:rPr>
        <w:t>como</w:t>
      </w:r>
      <w:r w:rsidR="002C330E" w:rsidRPr="00D5464D">
        <w:rPr>
          <w:rFonts w:eastAsia="Batang" w:cs="Times"/>
          <w:szCs w:val="24"/>
          <w:lang w:val="pt-BR" w:eastAsia="es-ES"/>
        </w:rPr>
        <w:t xml:space="preserve"> as </w:t>
      </w:r>
      <w:r w:rsidRPr="00D5464D">
        <w:rPr>
          <w:rFonts w:eastAsia="Batang" w:cs="Times"/>
          <w:szCs w:val="24"/>
          <w:lang w:val="pt-BR" w:eastAsia="es-ES"/>
        </w:rPr>
        <w:t>ações</w:t>
      </w:r>
      <w:r w:rsidR="00E045D9" w:rsidRPr="00D5464D">
        <w:rPr>
          <w:rFonts w:eastAsia="Batang" w:cs="Times"/>
          <w:szCs w:val="24"/>
          <w:lang w:val="pt-BR" w:eastAsia="es-ES"/>
        </w:rPr>
        <w:t xml:space="preserve"> e </w:t>
      </w:r>
      <w:r w:rsidR="000A52D5" w:rsidRPr="00D5464D">
        <w:rPr>
          <w:rFonts w:eastAsia="Batang" w:cs="Times"/>
          <w:szCs w:val="24"/>
          <w:lang w:val="pt-BR" w:eastAsia="es-ES"/>
        </w:rPr>
        <w:t>o</w:t>
      </w:r>
      <w:r w:rsidR="002C330E" w:rsidRPr="00D5464D">
        <w:rPr>
          <w:rFonts w:eastAsia="Batang" w:cs="Times"/>
          <w:szCs w:val="24"/>
          <w:lang w:val="pt-BR" w:eastAsia="es-ES"/>
        </w:rPr>
        <w:t>missões</w:t>
      </w:r>
      <w:r w:rsidR="000A52D5" w:rsidRPr="00D5464D">
        <w:rPr>
          <w:rFonts w:eastAsia="Batang" w:cs="Times"/>
          <w:szCs w:val="24"/>
          <w:lang w:val="pt-BR" w:eastAsia="es-ES"/>
        </w:rPr>
        <w:t xml:space="preserve"> que </w:t>
      </w:r>
      <w:r w:rsidR="00F96DDC" w:rsidRPr="00D5464D">
        <w:rPr>
          <w:rFonts w:eastAsia="Batang" w:cs="Times"/>
          <w:szCs w:val="24"/>
          <w:lang w:val="pt-BR" w:eastAsia="es-ES"/>
        </w:rPr>
        <w:t xml:space="preserve">conduziram </w:t>
      </w:r>
      <w:r w:rsidRPr="00D5464D">
        <w:rPr>
          <w:rFonts w:eastAsia="Batang" w:cs="Times"/>
          <w:szCs w:val="24"/>
          <w:lang w:val="pt-BR" w:eastAsia="es-ES"/>
        </w:rPr>
        <w:t xml:space="preserve">à </w:t>
      </w:r>
      <w:r w:rsidR="002C330E" w:rsidRPr="00D5464D">
        <w:rPr>
          <w:rFonts w:eastAsia="Batang" w:cs="Times"/>
          <w:szCs w:val="24"/>
          <w:lang w:val="pt-BR" w:eastAsia="es-ES"/>
        </w:rPr>
        <w:t xml:space="preserve">impunidade </w:t>
      </w:r>
      <w:r w:rsidR="000A52D5" w:rsidRPr="00D5464D">
        <w:rPr>
          <w:rFonts w:eastAsia="Batang" w:cs="Times"/>
          <w:szCs w:val="24"/>
          <w:lang w:val="pt-BR" w:eastAsia="es-ES"/>
        </w:rPr>
        <w:t>de todos</w:t>
      </w:r>
      <w:r w:rsidR="002C330E" w:rsidRPr="00D5464D">
        <w:rPr>
          <w:rFonts w:eastAsia="Batang" w:cs="Times"/>
          <w:szCs w:val="24"/>
          <w:lang w:val="pt-BR" w:eastAsia="es-ES"/>
        </w:rPr>
        <w:t xml:space="preserve"> os fatos</w:t>
      </w:r>
      <w:r w:rsidR="000A52D5" w:rsidRPr="00D5464D">
        <w:rPr>
          <w:rFonts w:eastAsia="Batang" w:cs="Times"/>
          <w:szCs w:val="24"/>
          <w:lang w:val="pt-BR" w:eastAsia="es-ES"/>
        </w:rPr>
        <w:t>, situa</w:t>
      </w:r>
      <w:r w:rsidRPr="00D5464D">
        <w:rPr>
          <w:rFonts w:eastAsia="Batang" w:cs="Times"/>
          <w:szCs w:val="24"/>
          <w:lang w:val="pt-BR" w:eastAsia="es-ES"/>
        </w:rPr>
        <w:t>ção</w:t>
      </w:r>
      <w:r w:rsidR="000A52D5" w:rsidRPr="00D5464D">
        <w:rPr>
          <w:rFonts w:eastAsia="Batang" w:cs="Times"/>
          <w:szCs w:val="24"/>
          <w:lang w:val="pt-BR" w:eastAsia="es-ES"/>
        </w:rPr>
        <w:t xml:space="preserve"> que continu</w:t>
      </w:r>
      <w:r w:rsidR="00350187" w:rsidRPr="00D5464D">
        <w:rPr>
          <w:rFonts w:eastAsia="Batang" w:cs="Times"/>
          <w:szCs w:val="24"/>
          <w:lang w:val="pt-BR" w:eastAsia="es-ES"/>
        </w:rPr>
        <w:t xml:space="preserve">ava </w:t>
      </w:r>
      <w:r w:rsidR="000A52D5" w:rsidRPr="00D5464D">
        <w:rPr>
          <w:rFonts w:eastAsia="Batang" w:cs="Times"/>
          <w:szCs w:val="24"/>
          <w:lang w:val="pt-BR" w:eastAsia="es-ES"/>
        </w:rPr>
        <w:t>vigente</w:t>
      </w:r>
      <w:r w:rsidRPr="00D5464D">
        <w:rPr>
          <w:rFonts w:eastAsia="Batang" w:cs="Times"/>
          <w:szCs w:val="24"/>
          <w:lang w:val="pt-BR" w:eastAsia="es-ES"/>
        </w:rPr>
        <w:t xml:space="preserve"> </w:t>
      </w:r>
      <w:r w:rsidR="00F96DDC" w:rsidRPr="00D5464D">
        <w:rPr>
          <w:rFonts w:eastAsia="Batang" w:cs="Times"/>
          <w:szCs w:val="24"/>
          <w:lang w:val="pt-BR" w:eastAsia="es-ES"/>
        </w:rPr>
        <w:t>n</w:t>
      </w:r>
      <w:r w:rsidRPr="00D5464D">
        <w:rPr>
          <w:rFonts w:eastAsia="Batang" w:cs="Times"/>
          <w:szCs w:val="24"/>
          <w:lang w:val="pt-BR" w:eastAsia="es-ES"/>
        </w:rPr>
        <w:t xml:space="preserve">o </w:t>
      </w:r>
      <w:r w:rsidR="000A52D5" w:rsidRPr="00D5464D">
        <w:rPr>
          <w:rFonts w:eastAsia="Batang" w:cs="Times"/>
          <w:szCs w:val="24"/>
          <w:lang w:val="pt-BR" w:eastAsia="es-ES"/>
        </w:rPr>
        <w:t>momento</w:t>
      </w:r>
      <w:r w:rsidRPr="00D5464D">
        <w:rPr>
          <w:rFonts w:eastAsia="Batang" w:cs="Times"/>
          <w:szCs w:val="24"/>
          <w:lang w:val="pt-BR" w:eastAsia="es-ES"/>
        </w:rPr>
        <w:t xml:space="preserve"> da aceit</w:t>
      </w:r>
      <w:r w:rsidR="000A52D5" w:rsidRPr="00D5464D">
        <w:rPr>
          <w:rFonts w:eastAsia="Batang" w:cs="Times"/>
          <w:szCs w:val="24"/>
          <w:lang w:val="pt-BR" w:eastAsia="es-ES"/>
        </w:rPr>
        <w:t>a</w:t>
      </w:r>
      <w:r w:rsidRPr="00D5464D">
        <w:rPr>
          <w:rFonts w:eastAsia="Batang" w:cs="Times"/>
          <w:szCs w:val="24"/>
          <w:lang w:val="pt-BR" w:eastAsia="es-ES"/>
        </w:rPr>
        <w:t xml:space="preserve">ção da competência da </w:t>
      </w:r>
      <w:r w:rsidR="000A52D5" w:rsidRPr="00D5464D">
        <w:rPr>
          <w:rFonts w:eastAsia="Batang" w:cs="Times"/>
          <w:szCs w:val="24"/>
          <w:lang w:val="pt-BR" w:eastAsia="es-ES"/>
        </w:rPr>
        <w:t>Corte</w:t>
      </w:r>
      <w:r w:rsidR="00E045D9" w:rsidRPr="00D5464D">
        <w:rPr>
          <w:rFonts w:eastAsia="Batang" w:cs="Times"/>
          <w:szCs w:val="24"/>
          <w:lang w:val="pt-BR" w:eastAsia="es-ES"/>
        </w:rPr>
        <w:t xml:space="preserve"> e </w:t>
      </w:r>
      <w:r w:rsidR="003C1A5A" w:rsidRPr="00D5464D">
        <w:rPr>
          <w:rFonts w:eastAsia="Batang" w:cs="Times"/>
          <w:szCs w:val="24"/>
          <w:lang w:val="pt-BR" w:eastAsia="es-ES"/>
        </w:rPr>
        <w:t>depois dela</w:t>
      </w:r>
      <w:r w:rsidR="000A52D5" w:rsidRPr="00D5464D">
        <w:rPr>
          <w:rFonts w:eastAsia="Batang" w:cs="Times"/>
          <w:szCs w:val="24"/>
          <w:lang w:val="pt-BR" w:eastAsia="es-ES"/>
        </w:rPr>
        <w:t xml:space="preserve">, </w:t>
      </w:r>
      <w:r w:rsidR="00F96DDC" w:rsidRPr="00D5464D">
        <w:rPr>
          <w:rFonts w:eastAsia="Batang" w:cs="Times"/>
          <w:szCs w:val="24"/>
          <w:lang w:val="pt-BR" w:eastAsia="es-ES"/>
        </w:rPr>
        <w:t>incluindo</w:t>
      </w:r>
      <w:r w:rsidR="002C330E" w:rsidRPr="00D5464D">
        <w:rPr>
          <w:rFonts w:eastAsia="Batang" w:cs="Times"/>
          <w:szCs w:val="24"/>
          <w:lang w:val="pt-BR" w:eastAsia="es-ES"/>
        </w:rPr>
        <w:t xml:space="preserve"> </w:t>
      </w:r>
      <w:r w:rsidR="00E045D9" w:rsidRPr="00D5464D">
        <w:rPr>
          <w:rFonts w:eastAsia="Batang" w:cs="Times"/>
          <w:szCs w:val="24"/>
          <w:lang w:val="pt-BR" w:eastAsia="es-ES"/>
        </w:rPr>
        <w:t>o desaparecimento</w:t>
      </w:r>
      <w:r w:rsidR="000A52D5" w:rsidRPr="00D5464D">
        <w:rPr>
          <w:rFonts w:eastAsia="Batang" w:cs="Times"/>
          <w:szCs w:val="24"/>
          <w:lang w:val="pt-BR" w:eastAsia="es-ES"/>
        </w:rPr>
        <w:t xml:space="preserve"> de </w:t>
      </w:r>
      <w:r w:rsidR="008B075C" w:rsidRPr="00D5464D">
        <w:rPr>
          <w:rFonts w:eastAsia="Batang" w:cs="Times"/>
          <w:szCs w:val="24"/>
          <w:lang w:val="pt-BR" w:eastAsia="es-ES"/>
        </w:rPr>
        <w:t>Iron Canuto da Silva</w:t>
      </w:r>
      <w:r w:rsidR="00E045D9" w:rsidRPr="00D5464D">
        <w:rPr>
          <w:rFonts w:eastAsia="Batang" w:cs="Times"/>
          <w:szCs w:val="24"/>
          <w:lang w:val="pt-BR" w:eastAsia="es-ES"/>
        </w:rPr>
        <w:t xml:space="preserve"> e </w:t>
      </w:r>
      <w:r w:rsidR="00200C04" w:rsidRPr="00D5464D">
        <w:rPr>
          <w:rFonts w:eastAsia="Batang" w:cs="Times"/>
          <w:szCs w:val="24"/>
          <w:lang w:val="pt-BR" w:eastAsia="es-ES"/>
        </w:rPr>
        <w:t>Luis Ferreira da Cruz</w:t>
      </w:r>
      <w:r w:rsidR="000A52D5" w:rsidRPr="00D5464D">
        <w:rPr>
          <w:rFonts w:eastAsia="Batang" w:cs="Times"/>
          <w:szCs w:val="24"/>
          <w:lang w:val="pt-BR" w:eastAsia="es-ES"/>
        </w:rPr>
        <w:t>.</w:t>
      </w:r>
    </w:p>
    <w:p w14:paraId="3AB8C478" w14:textId="77777777" w:rsidR="000A52D5" w:rsidRPr="00D5464D" w:rsidRDefault="000A52D5" w:rsidP="00140440">
      <w:pPr>
        <w:tabs>
          <w:tab w:val="clear" w:pos="4419"/>
          <w:tab w:val="clear" w:pos="8838"/>
        </w:tabs>
        <w:jc w:val="both"/>
        <w:rPr>
          <w:rFonts w:eastAsia="Batang" w:cs="Times"/>
          <w:szCs w:val="24"/>
          <w:lang w:val="pt-BR" w:eastAsia="es-ES"/>
        </w:rPr>
      </w:pPr>
    </w:p>
    <w:p w14:paraId="5D55FA4C" w14:textId="6DA371DB" w:rsidR="000A52D5" w:rsidRPr="00D5464D" w:rsidRDefault="00737270"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Os </w:t>
      </w:r>
      <w:r w:rsidR="00EB1CE9" w:rsidRPr="00D5464D">
        <w:rPr>
          <w:rFonts w:eastAsia="Batang" w:cs="Times"/>
          <w:b/>
          <w:i/>
          <w:szCs w:val="24"/>
          <w:lang w:val="pt-BR" w:eastAsia="es-ES"/>
        </w:rPr>
        <w:t>representante</w:t>
      </w:r>
      <w:r w:rsidRPr="00D5464D">
        <w:rPr>
          <w:rFonts w:eastAsia="Batang" w:cs="Times"/>
          <w:b/>
          <w:i/>
          <w:szCs w:val="24"/>
          <w:lang w:val="pt-BR" w:eastAsia="es-ES"/>
        </w:rPr>
        <w:t>s</w:t>
      </w:r>
      <w:r w:rsidRPr="00D5464D">
        <w:rPr>
          <w:rFonts w:eastAsia="Batang" w:cs="Times"/>
          <w:szCs w:val="24"/>
          <w:lang w:val="pt-BR" w:eastAsia="es-ES"/>
        </w:rPr>
        <w:t xml:space="preserve"> </w:t>
      </w:r>
      <w:r w:rsidR="002C330E" w:rsidRPr="00D5464D">
        <w:rPr>
          <w:rFonts w:eastAsia="Batang" w:cs="Times"/>
          <w:szCs w:val="24"/>
          <w:lang w:val="pt-BR" w:eastAsia="es-ES"/>
        </w:rPr>
        <w:t>indicaram</w:t>
      </w:r>
      <w:r w:rsidR="000A52D5" w:rsidRPr="00D5464D">
        <w:rPr>
          <w:rFonts w:eastAsia="Batang" w:cs="Times"/>
          <w:szCs w:val="24"/>
          <w:lang w:val="pt-BR" w:eastAsia="es-ES"/>
        </w:rPr>
        <w:t xml:space="preserve"> que</w:t>
      </w:r>
      <w:r w:rsidR="00470ADC" w:rsidRPr="00D5464D">
        <w:rPr>
          <w:rFonts w:eastAsia="Batang" w:cs="Times"/>
          <w:szCs w:val="24"/>
          <w:lang w:val="pt-BR" w:eastAsia="es-ES"/>
        </w:rPr>
        <w:t xml:space="preserve"> o </w:t>
      </w:r>
      <w:r w:rsidR="000A52D5" w:rsidRPr="00D5464D">
        <w:rPr>
          <w:rFonts w:eastAsia="Batang" w:cs="Times"/>
          <w:szCs w:val="24"/>
          <w:lang w:val="pt-BR" w:eastAsia="es-ES"/>
        </w:rPr>
        <w:t>Estado</w:t>
      </w:r>
      <w:r w:rsidR="002C330E" w:rsidRPr="00D5464D">
        <w:rPr>
          <w:rFonts w:eastAsia="Batang" w:cs="Times"/>
          <w:szCs w:val="24"/>
          <w:lang w:val="pt-BR" w:eastAsia="es-ES"/>
        </w:rPr>
        <w:t xml:space="preserve"> faz</w:t>
      </w:r>
      <w:r w:rsidR="00E045D9" w:rsidRPr="00D5464D">
        <w:rPr>
          <w:rFonts w:eastAsia="Batang" w:cs="Times"/>
          <w:szCs w:val="24"/>
          <w:lang w:val="pt-BR" w:eastAsia="es-ES"/>
        </w:rPr>
        <w:t xml:space="preserve"> uma </w:t>
      </w:r>
      <w:r w:rsidR="000A52D5" w:rsidRPr="00D5464D">
        <w:rPr>
          <w:rFonts w:eastAsia="Batang" w:cs="Times"/>
          <w:szCs w:val="24"/>
          <w:lang w:val="pt-BR" w:eastAsia="es-ES"/>
        </w:rPr>
        <w:t>interpreta</w:t>
      </w:r>
      <w:r w:rsidR="00470ADC" w:rsidRPr="00D5464D">
        <w:rPr>
          <w:rFonts w:eastAsia="Batang" w:cs="Times"/>
          <w:szCs w:val="24"/>
          <w:lang w:val="pt-BR" w:eastAsia="es-ES"/>
        </w:rPr>
        <w:t>ção</w:t>
      </w:r>
      <w:r w:rsidR="000A52D5" w:rsidRPr="00D5464D">
        <w:rPr>
          <w:rFonts w:eastAsia="Batang" w:cs="Times"/>
          <w:szCs w:val="24"/>
          <w:lang w:val="pt-BR" w:eastAsia="es-ES"/>
        </w:rPr>
        <w:t xml:space="preserve"> </w:t>
      </w:r>
      <w:r w:rsidR="00C91CB1" w:rsidRPr="00D5464D">
        <w:rPr>
          <w:rFonts w:eastAsia="Batang" w:cs="Times"/>
          <w:szCs w:val="24"/>
          <w:lang w:val="pt-BR" w:eastAsia="es-ES"/>
        </w:rPr>
        <w:t>errônea</w:t>
      </w:r>
      <w:r w:rsidR="00470ADC" w:rsidRPr="00D5464D">
        <w:rPr>
          <w:rFonts w:eastAsia="Batang" w:cs="Times"/>
          <w:szCs w:val="24"/>
          <w:lang w:val="pt-BR" w:eastAsia="es-ES"/>
        </w:rPr>
        <w:t xml:space="preserve"> da </w:t>
      </w:r>
      <w:r w:rsidR="002C330E" w:rsidRPr="00D5464D">
        <w:rPr>
          <w:rFonts w:eastAsia="Batang" w:cs="Times"/>
          <w:szCs w:val="24"/>
          <w:lang w:val="pt-BR" w:eastAsia="es-ES"/>
        </w:rPr>
        <w:t xml:space="preserve">jurisprudência </w:t>
      </w:r>
      <w:r w:rsidR="00470ADC" w:rsidRPr="00D5464D">
        <w:rPr>
          <w:rFonts w:eastAsia="Batang" w:cs="Times"/>
          <w:szCs w:val="24"/>
          <w:lang w:val="pt-BR" w:eastAsia="es-ES"/>
        </w:rPr>
        <w:t xml:space="preserve">da </w:t>
      </w:r>
      <w:r w:rsidR="000A52D5" w:rsidRPr="00D5464D">
        <w:rPr>
          <w:rFonts w:eastAsia="Batang" w:cs="Times"/>
          <w:szCs w:val="24"/>
          <w:lang w:val="pt-BR" w:eastAsia="es-ES"/>
        </w:rPr>
        <w:t>Corte e ignora s</w:t>
      </w:r>
      <w:r w:rsidR="00F96DDC" w:rsidRPr="00D5464D">
        <w:rPr>
          <w:rFonts w:eastAsia="Batang" w:cs="Times"/>
          <w:szCs w:val="24"/>
          <w:lang w:val="pt-BR" w:eastAsia="es-ES"/>
        </w:rPr>
        <w:t>e</w:t>
      </w:r>
      <w:r w:rsidR="000A52D5" w:rsidRPr="00D5464D">
        <w:rPr>
          <w:rFonts w:eastAsia="Batang" w:cs="Times"/>
          <w:szCs w:val="24"/>
          <w:lang w:val="pt-BR" w:eastAsia="es-ES"/>
        </w:rPr>
        <w:t xml:space="preserve">us </w:t>
      </w:r>
      <w:r w:rsidR="002C330E" w:rsidRPr="00D5464D">
        <w:rPr>
          <w:rFonts w:eastAsia="Batang" w:cs="Times"/>
          <w:szCs w:val="24"/>
          <w:lang w:val="pt-BR" w:eastAsia="es-ES"/>
        </w:rPr>
        <w:t>pronunciamento</w:t>
      </w:r>
      <w:r w:rsidR="000A52D5" w:rsidRPr="00D5464D">
        <w:rPr>
          <w:rFonts w:eastAsia="Batang" w:cs="Times"/>
          <w:szCs w:val="24"/>
          <w:lang w:val="pt-BR" w:eastAsia="es-ES"/>
        </w:rPr>
        <w:t xml:space="preserve">s </w:t>
      </w:r>
      <w:r w:rsidR="00F96DDC" w:rsidRPr="00D5464D">
        <w:rPr>
          <w:rFonts w:eastAsia="Batang" w:cs="Times"/>
          <w:szCs w:val="24"/>
          <w:lang w:val="pt-BR" w:eastAsia="es-ES"/>
        </w:rPr>
        <w:t xml:space="preserve">anteriores </w:t>
      </w:r>
      <w:r w:rsidR="00470ADC" w:rsidRPr="00D5464D">
        <w:rPr>
          <w:rFonts w:eastAsia="Batang" w:cs="Times"/>
          <w:szCs w:val="24"/>
          <w:lang w:val="pt-BR" w:eastAsia="es-ES"/>
        </w:rPr>
        <w:t xml:space="preserve">em </w:t>
      </w:r>
      <w:r w:rsidR="000A52D5" w:rsidRPr="00D5464D">
        <w:rPr>
          <w:rFonts w:eastAsia="Batang" w:cs="Times"/>
          <w:szCs w:val="24"/>
          <w:lang w:val="pt-BR" w:eastAsia="es-ES"/>
        </w:rPr>
        <w:t xml:space="preserve">casos contenciosos contra </w:t>
      </w:r>
      <w:r w:rsidR="00F96DDC" w:rsidRPr="00D5464D">
        <w:rPr>
          <w:rFonts w:eastAsia="Batang" w:cs="Times"/>
          <w:szCs w:val="24"/>
          <w:lang w:val="pt-BR" w:eastAsia="es-ES"/>
        </w:rPr>
        <w:t xml:space="preserve">o </w:t>
      </w:r>
      <w:r w:rsidR="000A52D5" w:rsidRPr="00D5464D">
        <w:rPr>
          <w:rFonts w:eastAsia="Batang" w:cs="Times"/>
          <w:szCs w:val="24"/>
          <w:lang w:val="pt-BR" w:eastAsia="es-ES"/>
        </w:rPr>
        <w:t>Brasil,</w:t>
      </w:r>
      <w:r w:rsidR="002C330E" w:rsidRPr="00D5464D">
        <w:rPr>
          <w:rFonts w:eastAsia="Batang" w:cs="Times"/>
          <w:szCs w:val="24"/>
          <w:lang w:val="pt-BR" w:eastAsia="es-ES"/>
        </w:rPr>
        <w:t xml:space="preserve"> pois a </w:t>
      </w:r>
      <w:r w:rsidR="000A52D5" w:rsidRPr="00D5464D">
        <w:rPr>
          <w:rFonts w:eastAsia="Batang" w:cs="Times"/>
          <w:szCs w:val="24"/>
          <w:lang w:val="pt-BR" w:eastAsia="es-ES"/>
        </w:rPr>
        <w:t>Corte</w:t>
      </w:r>
      <w:r w:rsidR="00E045D9" w:rsidRPr="00D5464D">
        <w:rPr>
          <w:rFonts w:eastAsia="Batang" w:cs="Times"/>
          <w:szCs w:val="24"/>
          <w:lang w:val="pt-BR" w:eastAsia="es-ES"/>
        </w:rPr>
        <w:t xml:space="preserve"> já </w:t>
      </w:r>
      <w:r w:rsidR="00C91CB1" w:rsidRPr="00D5464D">
        <w:rPr>
          <w:rFonts w:eastAsia="Batang" w:cs="Times"/>
          <w:szCs w:val="24"/>
          <w:lang w:val="pt-BR" w:eastAsia="es-ES"/>
        </w:rPr>
        <w:t>definiu</w:t>
      </w:r>
      <w:r w:rsidR="000A52D5" w:rsidRPr="00D5464D">
        <w:rPr>
          <w:rFonts w:eastAsia="Batang" w:cs="Times"/>
          <w:szCs w:val="24"/>
          <w:lang w:val="pt-BR" w:eastAsia="es-ES"/>
        </w:rPr>
        <w:t xml:space="preserve"> que</w:t>
      </w:r>
      <w:r w:rsidR="00791544" w:rsidRPr="00D5464D">
        <w:rPr>
          <w:rFonts w:eastAsia="Batang" w:cs="Times"/>
          <w:szCs w:val="24"/>
          <w:lang w:val="pt-BR" w:eastAsia="es-ES"/>
        </w:rPr>
        <w:t>,</w:t>
      </w:r>
      <w:r w:rsidR="00470ADC" w:rsidRPr="00D5464D">
        <w:rPr>
          <w:rFonts w:eastAsia="Batang" w:cs="Times"/>
          <w:szCs w:val="24"/>
          <w:lang w:val="pt-BR" w:eastAsia="es-ES"/>
        </w:rPr>
        <w:t xml:space="preserve"> ao </w:t>
      </w:r>
      <w:r w:rsidR="000A52D5" w:rsidRPr="00D5464D">
        <w:rPr>
          <w:rFonts w:eastAsia="Batang" w:cs="Times"/>
          <w:szCs w:val="24"/>
          <w:lang w:val="pt-BR" w:eastAsia="es-ES"/>
        </w:rPr>
        <w:t>determinar</w:t>
      </w:r>
      <w:r w:rsidR="002C330E" w:rsidRPr="00D5464D">
        <w:rPr>
          <w:rFonts w:eastAsia="Batang" w:cs="Times"/>
          <w:szCs w:val="24"/>
          <w:lang w:val="pt-BR" w:eastAsia="es-ES"/>
        </w:rPr>
        <w:t xml:space="preserve"> se </w:t>
      </w:r>
      <w:r w:rsidR="00F96DDC" w:rsidRPr="00D5464D">
        <w:rPr>
          <w:rFonts w:eastAsia="Batang" w:cs="Times"/>
          <w:szCs w:val="24"/>
          <w:lang w:val="pt-BR" w:eastAsia="es-ES"/>
        </w:rPr>
        <w:t xml:space="preserve">possui </w:t>
      </w:r>
      <w:r w:rsidR="00470ADC" w:rsidRPr="00D5464D">
        <w:rPr>
          <w:rFonts w:eastAsia="Batang" w:cs="Times"/>
          <w:szCs w:val="24"/>
          <w:lang w:val="pt-BR" w:eastAsia="es-ES"/>
        </w:rPr>
        <w:t>competência</w:t>
      </w:r>
      <w:r w:rsidR="000A52D5" w:rsidRPr="00D5464D">
        <w:rPr>
          <w:rFonts w:eastAsia="Batang" w:cs="Times"/>
          <w:szCs w:val="24"/>
          <w:lang w:val="pt-BR" w:eastAsia="es-ES"/>
        </w:rPr>
        <w:t xml:space="preserve"> para examinar</w:t>
      </w:r>
      <w:r w:rsidR="00E045D9" w:rsidRPr="00D5464D">
        <w:rPr>
          <w:rFonts w:eastAsia="Batang" w:cs="Times"/>
          <w:szCs w:val="24"/>
          <w:lang w:val="pt-BR" w:eastAsia="es-ES"/>
        </w:rPr>
        <w:t xml:space="preserve"> um </w:t>
      </w:r>
      <w:r w:rsidR="000A52D5" w:rsidRPr="00D5464D">
        <w:rPr>
          <w:rFonts w:eastAsia="Batang" w:cs="Times"/>
          <w:szCs w:val="24"/>
          <w:lang w:val="pt-BR" w:eastAsia="es-ES"/>
        </w:rPr>
        <w:t>caso o</w:t>
      </w:r>
      <w:r w:rsidR="00F96DDC" w:rsidRPr="00D5464D">
        <w:rPr>
          <w:rFonts w:eastAsia="Batang" w:cs="Times"/>
          <w:szCs w:val="24"/>
          <w:lang w:val="pt-BR" w:eastAsia="es-ES"/>
        </w:rPr>
        <w:t>u</w:t>
      </w:r>
      <w:r w:rsidR="00E045D9" w:rsidRPr="00D5464D">
        <w:rPr>
          <w:rFonts w:eastAsia="Batang" w:cs="Times"/>
          <w:szCs w:val="24"/>
          <w:lang w:val="pt-BR" w:eastAsia="es-ES"/>
        </w:rPr>
        <w:t xml:space="preserve"> um </w:t>
      </w:r>
      <w:r w:rsidR="000A52D5" w:rsidRPr="00D5464D">
        <w:rPr>
          <w:rFonts w:eastAsia="Batang" w:cs="Times"/>
          <w:szCs w:val="24"/>
          <w:lang w:val="pt-BR" w:eastAsia="es-ES"/>
        </w:rPr>
        <w:t xml:space="preserve">aspecto </w:t>
      </w:r>
      <w:r w:rsidR="00470ADC" w:rsidRPr="00D5464D">
        <w:rPr>
          <w:rFonts w:eastAsia="Batang" w:cs="Times"/>
          <w:szCs w:val="24"/>
          <w:lang w:val="pt-BR" w:eastAsia="es-ES"/>
        </w:rPr>
        <w:t xml:space="preserve">do </w:t>
      </w:r>
      <w:r w:rsidR="002C330E" w:rsidRPr="00D5464D">
        <w:rPr>
          <w:rFonts w:eastAsia="Batang" w:cs="Times"/>
          <w:szCs w:val="24"/>
          <w:lang w:val="pt-BR" w:eastAsia="es-ES"/>
        </w:rPr>
        <w:t>mesm</w:t>
      </w:r>
      <w:r w:rsidR="000A52D5" w:rsidRPr="00D5464D">
        <w:rPr>
          <w:rFonts w:eastAsia="Batang" w:cs="Times"/>
          <w:szCs w:val="24"/>
          <w:lang w:val="pt-BR" w:eastAsia="es-ES"/>
        </w:rPr>
        <w:t>o,</w:t>
      </w:r>
      <w:r w:rsidR="00470ADC" w:rsidRPr="00D5464D">
        <w:rPr>
          <w:rFonts w:eastAsia="Batang" w:cs="Times"/>
          <w:szCs w:val="24"/>
          <w:lang w:val="pt-BR" w:eastAsia="es-ES"/>
        </w:rPr>
        <w:t xml:space="preserve"> deve </w:t>
      </w:r>
      <w:r w:rsidR="000A52D5" w:rsidRPr="00D5464D">
        <w:rPr>
          <w:rFonts w:eastAsia="Batang" w:cs="Times"/>
          <w:szCs w:val="24"/>
          <w:lang w:val="pt-BR" w:eastAsia="es-ES"/>
        </w:rPr>
        <w:t>considerar</w:t>
      </w:r>
      <w:r w:rsidR="002C330E" w:rsidRPr="00D5464D">
        <w:rPr>
          <w:rFonts w:eastAsia="Batang" w:cs="Times"/>
          <w:szCs w:val="24"/>
          <w:lang w:val="pt-BR" w:eastAsia="es-ES"/>
        </w:rPr>
        <w:t xml:space="preserve"> a </w:t>
      </w:r>
      <w:r w:rsidR="00470ADC" w:rsidRPr="00D5464D">
        <w:rPr>
          <w:rFonts w:eastAsia="Batang" w:cs="Times"/>
          <w:szCs w:val="24"/>
          <w:lang w:val="pt-BR" w:eastAsia="es-ES"/>
        </w:rPr>
        <w:t>data</w:t>
      </w:r>
      <w:r w:rsidR="000A52D5" w:rsidRPr="00D5464D">
        <w:rPr>
          <w:rFonts w:eastAsia="Batang" w:cs="Times"/>
          <w:szCs w:val="24"/>
          <w:lang w:val="pt-BR" w:eastAsia="es-ES"/>
        </w:rPr>
        <w:t xml:space="preserve"> de re</w:t>
      </w:r>
      <w:r w:rsidR="00470ADC" w:rsidRPr="00D5464D">
        <w:rPr>
          <w:rFonts w:eastAsia="Batang" w:cs="Times"/>
          <w:szCs w:val="24"/>
          <w:lang w:val="pt-BR" w:eastAsia="es-ES"/>
        </w:rPr>
        <w:t>conhecimento da competência</w:t>
      </w:r>
      <w:r w:rsidR="000A52D5" w:rsidRPr="00D5464D">
        <w:rPr>
          <w:rFonts w:eastAsia="Batang" w:cs="Times"/>
          <w:szCs w:val="24"/>
          <w:lang w:val="pt-BR" w:eastAsia="es-ES"/>
        </w:rPr>
        <w:t xml:space="preserve"> por parte </w:t>
      </w:r>
      <w:r w:rsidR="00470ADC" w:rsidRPr="00D5464D">
        <w:rPr>
          <w:rFonts w:eastAsia="Batang" w:cs="Times"/>
          <w:szCs w:val="24"/>
          <w:lang w:val="pt-BR" w:eastAsia="es-ES"/>
        </w:rPr>
        <w:t xml:space="preserve">do </w:t>
      </w:r>
      <w:r w:rsidR="000A52D5" w:rsidRPr="00D5464D">
        <w:rPr>
          <w:rFonts w:eastAsia="Batang" w:cs="Times"/>
          <w:szCs w:val="24"/>
          <w:lang w:val="pt-BR" w:eastAsia="es-ES"/>
        </w:rPr>
        <w:t xml:space="preserve">Estado, </w:t>
      </w:r>
      <w:r w:rsidR="00F96DDC" w:rsidRPr="00D5464D">
        <w:rPr>
          <w:rFonts w:eastAsia="Batang" w:cs="Times"/>
          <w:szCs w:val="24"/>
          <w:lang w:val="pt-BR" w:eastAsia="es-ES"/>
        </w:rPr>
        <w:t xml:space="preserve">bem como </w:t>
      </w:r>
      <w:r w:rsidR="002C330E" w:rsidRPr="00D5464D">
        <w:rPr>
          <w:rFonts w:eastAsia="Batang" w:cs="Times"/>
          <w:szCs w:val="24"/>
          <w:lang w:val="pt-BR" w:eastAsia="es-ES"/>
        </w:rPr>
        <w:t xml:space="preserve">os </w:t>
      </w:r>
      <w:r w:rsidR="00E045D9" w:rsidRPr="00D5464D">
        <w:rPr>
          <w:rFonts w:eastAsia="Batang" w:cs="Times"/>
          <w:szCs w:val="24"/>
          <w:lang w:val="pt-BR" w:eastAsia="es-ES"/>
        </w:rPr>
        <w:t>termo</w:t>
      </w:r>
      <w:r w:rsidR="000A52D5" w:rsidRPr="00D5464D">
        <w:rPr>
          <w:rFonts w:eastAsia="Batang" w:cs="Times"/>
          <w:szCs w:val="24"/>
          <w:lang w:val="pt-BR" w:eastAsia="es-ES"/>
        </w:rPr>
        <w:t>s</w:t>
      </w:r>
      <w:r w:rsidR="00470ADC" w:rsidRPr="00D5464D">
        <w:rPr>
          <w:rFonts w:eastAsia="Batang" w:cs="Times"/>
          <w:szCs w:val="24"/>
          <w:lang w:val="pt-BR" w:eastAsia="es-ES"/>
        </w:rPr>
        <w:t xml:space="preserve"> em </w:t>
      </w:r>
      <w:r w:rsidR="000A52D5" w:rsidRPr="00D5464D">
        <w:rPr>
          <w:rFonts w:eastAsia="Batang" w:cs="Times"/>
          <w:szCs w:val="24"/>
          <w:lang w:val="pt-BR" w:eastAsia="es-ES"/>
        </w:rPr>
        <w:t>que</w:t>
      </w:r>
      <w:r w:rsidR="00470ADC" w:rsidRPr="00D5464D">
        <w:rPr>
          <w:rFonts w:eastAsia="Batang" w:cs="Times"/>
          <w:szCs w:val="24"/>
          <w:lang w:val="pt-BR" w:eastAsia="es-ES"/>
        </w:rPr>
        <w:t xml:space="preserve"> foi </w:t>
      </w:r>
      <w:r w:rsidR="00F96DDC" w:rsidRPr="00D5464D">
        <w:rPr>
          <w:rFonts w:eastAsia="Batang" w:cs="Times"/>
          <w:szCs w:val="24"/>
          <w:lang w:val="pt-BR" w:eastAsia="es-ES"/>
        </w:rPr>
        <w:t>realizado</w:t>
      </w:r>
      <w:r w:rsidR="000A52D5" w:rsidRPr="00D5464D">
        <w:rPr>
          <w:rFonts w:eastAsia="Batang" w:cs="Times"/>
          <w:szCs w:val="24"/>
          <w:lang w:val="pt-BR" w:eastAsia="es-ES"/>
        </w:rPr>
        <w:t xml:space="preserve">. </w:t>
      </w:r>
      <w:r w:rsidR="00470ADC" w:rsidRPr="00D5464D">
        <w:rPr>
          <w:rFonts w:eastAsia="Batang" w:cs="Times"/>
          <w:szCs w:val="24"/>
          <w:lang w:val="pt-BR" w:eastAsia="es-ES"/>
        </w:rPr>
        <w:t>Ademais</w:t>
      </w:r>
      <w:r w:rsidR="000A52D5" w:rsidRPr="00D5464D">
        <w:rPr>
          <w:rFonts w:eastAsia="Batang" w:cs="Times"/>
          <w:szCs w:val="24"/>
          <w:lang w:val="pt-BR" w:eastAsia="es-ES"/>
        </w:rPr>
        <w:t>,</w:t>
      </w:r>
      <w:r w:rsidR="002C330E" w:rsidRPr="00D5464D">
        <w:rPr>
          <w:rFonts w:eastAsia="Batang" w:cs="Times"/>
          <w:szCs w:val="24"/>
          <w:lang w:val="pt-BR" w:eastAsia="es-ES"/>
        </w:rPr>
        <w:t xml:space="preserve"> os </w:t>
      </w:r>
      <w:r w:rsidR="00EB1CE9" w:rsidRPr="00D5464D">
        <w:rPr>
          <w:rFonts w:eastAsia="Batang" w:cs="Times"/>
          <w:szCs w:val="24"/>
          <w:lang w:val="pt-BR" w:eastAsia="es-ES"/>
        </w:rPr>
        <w:t>representante</w:t>
      </w:r>
      <w:r w:rsidR="000A52D5" w:rsidRPr="00D5464D">
        <w:rPr>
          <w:rFonts w:eastAsia="Batang" w:cs="Times"/>
          <w:szCs w:val="24"/>
          <w:lang w:val="pt-BR" w:eastAsia="es-ES"/>
        </w:rPr>
        <w:t xml:space="preserve">s </w:t>
      </w:r>
      <w:r w:rsidR="00470ADC" w:rsidRPr="00D5464D">
        <w:rPr>
          <w:rFonts w:eastAsia="Batang" w:cs="Times"/>
          <w:szCs w:val="24"/>
          <w:lang w:val="pt-BR" w:eastAsia="es-ES"/>
        </w:rPr>
        <w:t>alegaram</w:t>
      </w:r>
      <w:r w:rsidR="000A52D5" w:rsidRPr="00D5464D">
        <w:rPr>
          <w:rFonts w:eastAsia="Batang" w:cs="Times"/>
          <w:szCs w:val="24"/>
          <w:lang w:val="pt-BR" w:eastAsia="es-ES"/>
        </w:rPr>
        <w:t xml:space="preserve"> que</w:t>
      </w:r>
      <w:r w:rsidR="002C330E" w:rsidRPr="00D5464D">
        <w:rPr>
          <w:rFonts w:eastAsia="Batang" w:cs="Times"/>
          <w:szCs w:val="24"/>
          <w:lang w:val="pt-BR" w:eastAsia="es-ES"/>
        </w:rPr>
        <w:t xml:space="preserve"> a </w:t>
      </w:r>
      <w:r w:rsidR="000A52D5" w:rsidRPr="00D5464D">
        <w:rPr>
          <w:rFonts w:eastAsia="Batang" w:cs="Times"/>
          <w:szCs w:val="24"/>
          <w:lang w:val="pt-BR" w:eastAsia="es-ES"/>
        </w:rPr>
        <w:t xml:space="preserve">Corte </w:t>
      </w:r>
      <w:r w:rsidRPr="00D5464D">
        <w:rPr>
          <w:rFonts w:eastAsia="Batang" w:cs="Times"/>
          <w:szCs w:val="24"/>
          <w:lang w:val="pt-BR" w:eastAsia="es-ES"/>
        </w:rPr>
        <w:t>indicou</w:t>
      </w:r>
      <w:r w:rsidR="000A52D5" w:rsidRPr="00D5464D">
        <w:rPr>
          <w:rFonts w:eastAsia="Batang" w:cs="Times"/>
          <w:szCs w:val="24"/>
          <w:lang w:val="pt-BR" w:eastAsia="es-ES"/>
        </w:rPr>
        <w:t xml:space="preserve"> que </w:t>
      </w:r>
      <w:r w:rsidR="00F96DDC" w:rsidRPr="00D5464D">
        <w:rPr>
          <w:rFonts w:eastAsia="Batang" w:cs="Times"/>
          <w:szCs w:val="24"/>
          <w:lang w:val="pt-BR" w:eastAsia="es-ES"/>
        </w:rPr>
        <w:t xml:space="preserve">possui </w:t>
      </w:r>
      <w:r w:rsidR="00470ADC" w:rsidRPr="00D5464D">
        <w:rPr>
          <w:rFonts w:eastAsia="Batang" w:cs="Times"/>
          <w:szCs w:val="24"/>
          <w:lang w:val="pt-BR" w:eastAsia="es-ES"/>
        </w:rPr>
        <w:t>competência</w:t>
      </w:r>
      <w:r w:rsidR="000A52D5" w:rsidRPr="00D5464D">
        <w:rPr>
          <w:rFonts w:eastAsia="Batang" w:cs="Times"/>
          <w:szCs w:val="24"/>
          <w:lang w:val="pt-BR" w:eastAsia="es-ES"/>
        </w:rPr>
        <w:t xml:space="preserve"> para </w:t>
      </w:r>
      <w:r w:rsidR="00470ADC" w:rsidRPr="00D5464D">
        <w:rPr>
          <w:rFonts w:eastAsia="Batang" w:cs="Times"/>
          <w:szCs w:val="24"/>
          <w:lang w:val="pt-BR" w:eastAsia="es-ES"/>
        </w:rPr>
        <w:t xml:space="preserve">analisar </w:t>
      </w:r>
      <w:r w:rsidR="00D4095A" w:rsidRPr="00D5464D">
        <w:rPr>
          <w:rFonts w:eastAsia="Batang" w:cs="Times"/>
          <w:szCs w:val="24"/>
          <w:lang w:val="pt-BR" w:eastAsia="es-ES"/>
        </w:rPr>
        <w:t xml:space="preserve">fatos violadores </w:t>
      </w:r>
      <w:r w:rsidR="000A52D5" w:rsidRPr="00D5464D">
        <w:rPr>
          <w:rFonts w:eastAsia="Batang" w:cs="Times"/>
          <w:szCs w:val="24"/>
          <w:lang w:val="pt-BR" w:eastAsia="es-ES"/>
        </w:rPr>
        <w:t xml:space="preserve">que </w:t>
      </w:r>
      <w:r w:rsidR="00F96DDC" w:rsidRPr="00D5464D">
        <w:rPr>
          <w:rFonts w:eastAsia="Batang" w:cs="Times"/>
          <w:szCs w:val="24"/>
          <w:lang w:val="pt-BR" w:eastAsia="es-ES"/>
        </w:rPr>
        <w:t xml:space="preserve">apesar de iniciados </w:t>
      </w:r>
      <w:r w:rsidR="003C1A5A" w:rsidRPr="00D5464D">
        <w:rPr>
          <w:rFonts w:eastAsia="Batang" w:cs="Times"/>
          <w:szCs w:val="24"/>
          <w:lang w:val="pt-BR" w:eastAsia="es-ES"/>
        </w:rPr>
        <w:t>antes do</w:t>
      </w:r>
      <w:r w:rsidR="000A52D5" w:rsidRPr="00D5464D">
        <w:rPr>
          <w:rFonts w:eastAsia="Batang" w:cs="Times"/>
          <w:szCs w:val="24"/>
          <w:lang w:val="pt-BR" w:eastAsia="es-ES"/>
        </w:rPr>
        <w:t xml:space="preserve"> re</w:t>
      </w:r>
      <w:r w:rsidR="00470ADC" w:rsidRPr="00D5464D">
        <w:rPr>
          <w:rFonts w:eastAsia="Batang" w:cs="Times"/>
          <w:szCs w:val="24"/>
          <w:lang w:val="pt-BR" w:eastAsia="es-ES"/>
        </w:rPr>
        <w:t>conhecimento</w:t>
      </w:r>
      <w:r w:rsidR="000A52D5" w:rsidRPr="00D5464D">
        <w:rPr>
          <w:rFonts w:eastAsia="Batang" w:cs="Times"/>
          <w:szCs w:val="24"/>
          <w:lang w:val="pt-BR" w:eastAsia="es-ES"/>
        </w:rPr>
        <w:t xml:space="preserve"> de </w:t>
      </w:r>
      <w:r w:rsidR="00470ADC" w:rsidRPr="00D5464D">
        <w:rPr>
          <w:rFonts w:eastAsia="Batang" w:cs="Times"/>
          <w:szCs w:val="24"/>
          <w:lang w:val="pt-BR" w:eastAsia="es-ES"/>
        </w:rPr>
        <w:t xml:space="preserve">competência da </w:t>
      </w:r>
      <w:r w:rsidR="000A52D5" w:rsidRPr="00D5464D">
        <w:rPr>
          <w:rFonts w:eastAsia="Batang" w:cs="Times"/>
          <w:szCs w:val="24"/>
          <w:lang w:val="pt-BR" w:eastAsia="es-ES"/>
        </w:rPr>
        <w:t xml:space="preserve">Corte, </w:t>
      </w:r>
      <w:r w:rsidR="002C330E" w:rsidRPr="00D5464D">
        <w:rPr>
          <w:rFonts w:eastAsia="Batang" w:cs="Times"/>
          <w:szCs w:val="24"/>
          <w:lang w:val="pt-BR" w:eastAsia="es-ES"/>
        </w:rPr>
        <w:t>tenham</w:t>
      </w:r>
      <w:r w:rsidR="000A52D5" w:rsidRPr="00D5464D">
        <w:rPr>
          <w:rFonts w:eastAsia="Batang" w:cs="Times"/>
          <w:szCs w:val="24"/>
          <w:lang w:val="pt-BR" w:eastAsia="es-ES"/>
        </w:rPr>
        <w:t xml:space="preserve"> continuado o</w:t>
      </w:r>
      <w:r w:rsidR="00F96DDC" w:rsidRPr="00D5464D">
        <w:rPr>
          <w:rFonts w:eastAsia="Batang" w:cs="Times"/>
          <w:szCs w:val="24"/>
          <w:lang w:val="pt-BR" w:eastAsia="es-ES"/>
        </w:rPr>
        <w:t>u</w:t>
      </w:r>
      <w:r w:rsidR="000A52D5" w:rsidRPr="00D5464D">
        <w:rPr>
          <w:rFonts w:eastAsia="Batang" w:cs="Times"/>
          <w:szCs w:val="24"/>
          <w:lang w:val="pt-BR" w:eastAsia="es-ES"/>
        </w:rPr>
        <w:t xml:space="preserve"> permanecido</w:t>
      </w:r>
      <w:r w:rsidR="00470ADC" w:rsidRPr="00D5464D">
        <w:rPr>
          <w:rFonts w:eastAsia="Batang" w:cs="Times"/>
          <w:szCs w:val="24"/>
          <w:lang w:val="pt-BR" w:eastAsia="es-ES"/>
        </w:rPr>
        <w:t xml:space="preserve"> </w:t>
      </w:r>
      <w:r w:rsidR="003C1A5A" w:rsidRPr="00D5464D">
        <w:rPr>
          <w:rFonts w:eastAsia="Batang" w:cs="Times"/>
          <w:szCs w:val="24"/>
          <w:lang w:val="pt-BR" w:eastAsia="es-ES"/>
        </w:rPr>
        <w:t>após</w:t>
      </w:r>
      <w:r w:rsidR="00E045D9" w:rsidRPr="00D5464D">
        <w:rPr>
          <w:rFonts w:eastAsia="Batang" w:cs="Times"/>
          <w:szCs w:val="24"/>
          <w:lang w:val="pt-BR" w:eastAsia="es-ES"/>
        </w:rPr>
        <w:t xml:space="preserve"> </w:t>
      </w:r>
      <w:r w:rsidR="00B54FB3" w:rsidRPr="00D5464D">
        <w:rPr>
          <w:rFonts w:eastAsia="Batang" w:cs="Times"/>
          <w:szCs w:val="24"/>
          <w:lang w:val="pt-BR" w:eastAsia="es-ES"/>
        </w:rPr>
        <w:t>est</w:t>
      </w:r>
      <w:r w:rsidR="00F96DDC" w:rsidRPr="00D5464D">
        <w:rPr>
          <w:rFonts w:eastAsia="Batang" w:cs="Times"/>
          <w:szCs w:val="24"/>
          <w:lang w:val="pt-BR" w:eastAsia="es-ES"/>
        </w:rPr>
        <w:t>a data</w:t>
      </w:r>
      <w:r w:rsidR="000A52D5" w:rsidRPr="00D5464D">
        <w:rPr>
          <w:rFonts w:eastAsia="Batang" w:cs="Times"/>
          <w:szCs w:val="24"/>
          <w:lang w:val="pt-BR" w:eastAsia="es-ES"/>
        </w:rPr>
        <w:t>.</w:t>
      </w:r>
    </w:p>
    <w:p w14:paraId="4670131F" w14:textId="77777777" w:rsidR="000A52D5" w:rsidRPr="00D5464D" w:rsidRDefault="000A52D5" w:rsidP="00140440">
      <w:pPr>
        <w:tabs>
          <w:tab w:val="clear" w:pos="4419"/>
          <w:tab w:val="clear" w:pos="8838"/>
        </w:tabs>
        <w:jc w:val="both"/>
        <w:rPr>
          <w:rFonts w:eastAsia="Batang" w:cs="Times"/>
          <w:szCs w:val="24"/>
          <w:lang w:val="pt-BR" w:eastAsia="es-ES"/>
        </w:rPr>
      </w:pPr>
    </w:p>
    <w:p w14:paraId="549A5A1C" w14:textId="56B26F4B" w:rsidR="000A52D5" w:rsidRPr="00D5464D" w:rsidRDefault="00737270"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Os </w:t>
      </w:r>
      <w:r w:rsidR="00EB1CE9" w:rsidRPr="00D5464D">
        <w:rPr>
          <w:rFonts w:eastAsia="Batang" w:cs="Times"/>
          <w:szCs w:val="24"/>
          <w:lang w:val="pt-BR" w:eastAsia="es-ES"/>
        </w:rPr>
        <w:t>representante</w:t>
      </w:r>
      <w:r w:rsidRPr="00D5464D">
        <w:rPr>
          <w:rFonts w:eastAsia="Batang" w:cs="Times"/>
          <w:szCs w:val="24"/>
          <w:lang w:val="pt-BR" w:eastAsia="es-ES"/>
        </w:rPr>
        <w:t xml:space="preserve">s </w:t>
      </w:r>
      <w:r w:rsidR="00E045D9" w:rsidRPr="00D5464D">
        <w:rPr>
          <w:rFonts w:eastAsia="Batang" w:cs="Times"/>
          <w:szCs w:val="24"/>
          <w:lang w:val="pt-BR" w:eastAsia="es-ES"/>
        </w:rPr>
        <w:t>também</w:t>
      </w:r>
      <w:r w:rsidR="000A52D5" w:rsidRPr="00D5464D">
        <w:rPr>
          <w:rFonts w:eastAsia="Batang" w:cs="Times"/>
          <w:szCs w:val="24"/>
          <w:lang w:val="pt-BR" w:eastAsia="es-ES"/>
        </w:rPr>
        <w:t xml:space="preserve"> </w:t>
      </w:r>
      <w:r w:rsidR="00470ADC" w:rsidRPr="00D5464D">
        <w:rPr>
          <w:rFonts w:eastAsia="Batang" w:cs="Times"/>
          <w:szCs w:val="24"/>
          <w:lang w:val="pt-BR" w:eastAsia="es-ES"/>
        </w:rPr>
        <w:t>alegaram</w:t>
      </w:r>
      <w:r w:rsidR="000A52D5" w:rsidRPr="00D5464D">
        <w:rPr>
          <w:rFonts w:eastAsia="Batang" w:cs="Times"/>
          <w:szCs w:val="24"/>
          <w:lang w:val="pt-BR" w:eastAsia="es-ES"/>
        </w:rPr>
        <w:t xml:space="preserve"> que</w:t>
      </w:r>
      <w:r w:rsidR="002C330E" w:rsidRPr="00D5464D">
        <w:rPr>
          <w:rFonts w:eastAsia="Batang" w:cs="Times"/>
          <w:szCs w:val="24"/>
          <w:lang w:val="pt-BR" w:eastAsia="es-ES"/>
        </w:rPr>
        <w:t xml:space="preserve"> </w:t>
      </w:r>
      <w:r w:rsidR="00E045D9" w:rsidRPr="00D5464D">
        <w:rPr>
          <w:rFonts w:eastAsia="Batang" w:cs="Times"/>
          <w:szCs w:val="24"/>
          <w:lang w:val="pt-BR" w:eastAsia="es-ES"/>
        </w:rPr>
        <w:t>o desaparecimento forçado</w:t>
      </w:r>
      <w:r w:rsidR="000A52D5" w:rsidRPr="00D5464D">
        <w:rPr>
          <w:rFonts w:eastAsia="Batang" w:cs="Times"/>
          <w:szCs w:val="24"/>
          <w:lang w:val="pt-BR" w:eastAsia="es-ES"/>
        </w:rPr>
        <w:t xml:space="preserve"> de </w:t>
      </w:r>
      <w:r w:rsidR="00200C04" w:rsidRPr="00D5464D">
        <w:rPr>
          <w:rFonts w:eastAsia="Batang" w:cs="Times"/>
          <w:szCs w:val="24"/>
          <w:lang w:val="pt-BR" w:eastAsia="es-ES"/>
        </w:rPr>
        <w:t>Luis Ferreira da Cruz</w:t>
      </w:r>
      <w:r w:rsidR="000A52D5" w:rsidRPr="00D5464D">
        <w:rPr>
          <w:rFonts w:eastAsia="Batang" w:cs="Times"/>
          <w:szCs w:val="24"/>
          <w:lang w:val="pt-BR" w:eastAsia="es-ES"/>
        </w:rPr>
        <w:t xml:space="preserve">, </w:t>
      </w:r>
      <w:r w:rsidR="00F96DDC" w:rsidRPr="00D5464D">
        <w:rPr>
          <w:rFonts w:eastAsia="Batang" w:cs="Times"/>
          <w:szCs w:val="24"/>
          <w:lang w:val="pt-BR" w:eastAsia="es-ES"/>
        </w:rPr>
        <w:t xml:space="preserve">ocorrido </w:t>
      </w:r>
      <w:r w:rsidR="00470ADC" w:rsidRPr="00D5464D">
        <w:rPr>
          <w:rFonts w:eastAsia="Batang" w:cs="Times"/>
          <w:szCs w:val="24"/>
          <w:lang w:val="pt-BR" w:eastAsia="es-ES"/>
        </w:rPr>
        <w:t xml:space="preserve">em </w:t>
      </w:r>
      <w:r w:rsidR="000A52D5" w:rsidRPr="00D5464D">
        <w:rPr>
          <w:rFonts w:eastAsia="Batang" w:cs="Times"/>
          <w:szCs w:val="24"/>
          <w:lang w:val="pt-BR" w:eastAsia="es-ES"/>
        </w:rPr>
        <w:t xml:space="preserve">agosto de 1988, </w:t>
      </w:r>
      <w:r w:rsidR="00470ADC" w:rsidRPr="00D5464D">
        <w:rPr>
          <w:rFonts w:eastAsia="Batang" w:cs="Times"/>
          <w:szCs w:val="24"/>
          <w:lang w:val="pt-BR" w:eastAsia="es-ES"/>
        </w:rPr>
        <w:t>continuou</w:t>
      </w:r>
      <w:r w:rsidR="000A52D5" w:rsidRPr="00D5464D">
        <w:rPr>
          <w:rFonts w:eastAsia="Batang" w:cs="Times"/>
          <w:szCs w:val="24"/>
          <w:lang w:val="pt-BR" w:eastAsia="es-ES"/>
        </w:rPr>
        <w:t xml:space="preserve"> </w:t>
      </w:r>
      <w:r w:rsidR="00117B9D" w:rsidRPr="00D5464D">
        <w:rPr>
          <w:rFonts w:eastAsia="Batang" w:cs="Times"/>
          <w:szCs w:val="24"/>
          <w:lang w:val="pt-BR" w:eastAsia="es-ES"/>
        </w:rPr>
        <w:t>após</w:t>
      </w:r>
      <w:r w:rsidRPr="00D5464D">
        <w:rPr>
          <w:rFonts w:eastAsia="Batang" w:cs="Times"/>
          <w:szCs w:val="24"/>
          <w:lang w:val="pt-BR" w:eastAsia="es-ES"/>
        </w:rPr>
        <w:t xml:space="preserve"> 1</w:t>
      </w:r>
      <w:r w:rsidR="000A52D5" w:rsidRPr="00D5464D">
        <w:rPr>
          <w:rFonts w:eastAsia="Batang" w:cs="Times"/>
          <w:szCs w:val="24"/>
          <w:lang w:val="pt-BR" w:eastAsia="es-ES"/>
        </w:rPr>
        <w:t xml:space="preserve">0 de </w:t>
      </w:r>
      <w:r w:rsidR="00470ADC" w:rsidRPr="00D5464D">
        <w:rPr>
          <w:rFonts w:eastAsia="Batang" w:cs="Times"/>
          <w:szCs w:val="24"/>
          <w:lang w:val="pt-BR" w:eastAsia="es-ES"/>
        </w:rPr>
        <w:t>dezembro</w:t>
      </w:r>
      <w:r w:rsidR="000A52D5" w:rsidRPr="00D5464D">
        <w:rPr>
          <w:rFonts w:eastAsia="Batang" w:cs="Times"/>
          <w:szCs w:val="24"/>
          <w:lang w:val="pt-BR" w:eastAsia="es-ES"/>
        </w:rPr>
        <w:t xml:space="preserve"> de 1998</w:t>
      </w:r>
      <w:r w:rsidR="00E045D9" w:rsidRPr="00D5464D">
        <w:rPr>
          <w:rFonts w:eastAsia="Batang" w:cs="Times"/>
          <w:szCs w:val="24"/>
          <w:lang w:val="pt-BR" w:eastAsia="es-ES"/>
        </w:rPr>
        <w:t xml:space="preserve"> e </w:t>
      </w:r>
      <w:r w:rsidR="000A52D5" w:rsidRPr="00D5464D">
        <w:rPr>
          <w:rFonts w:eastAsia="Batang" w:cs="Times"/>
          <w:szCs w:val="24"/>
          <w:lang w:val="pt-BR" w:eastAsia="es-ES"/>
        </w:rPr>
        <w:t>se perpetuo</w:t>
      </w:r>
      <w:r w:rsidR="00F96DDC" w:rsidRPr="00D5464D">
        <w:rPr>
          <w:rFonts w:eastAsia="Batang" w:cs="Times"/>
          <w:szCs w:val="24"/>
          <w:lang w:val="pt-BR" w:eastAsia="es-ES"/>
        </w:rPr>
        <w:t>u</w:t>
      </w:r>
      <w:r w:rsidR="000A52D5" w:rsidRPr="00D5464D">
        <w:rPr>
          <w:rFonts w:eastAsia="Batang" w:cs="Times"/>
          <w:szCs w:val="24"/>
          <w:lang w:val="pt-BR" w:eastAsia="es-ES"/>
        </w:rPr>
        <w:t xml:space="preserve"> </w:t>
      </w:r>
      <w:r w:rsidR="002C330E" w:rsidRPr="00D5464D">
        <w:rPr>
          <w:rFonts w:eastAsia="Batang" w:cs="Times"/>
          <w:szCs w:val="24"/>
          <w:lang w:val="pt-BR" w:eastAsia="es-ES"/>
        </w:rPr>
        <w:t>até</w:t>
      </w:r>
      <w:r w:rsidR="00470ADC" w:rsidRPr="00D5464D">
        <w:rPr>
          <w:rFonts w:eastAsia="Batang" w:cs="Times"/>
          <w:szCs w:val="24"/>
          <w:lang w:val="pt-BR" w:eastAsia="es-ES"/>
        </w:rPr>
        <w:t xml:space="preserve"> o </w:t>
      </w:r>
      <w:r w:rsidR="000A52D5" w:rsidRPr="00D5464D">
        <w:rPr>
          <w:rFonts w:eastAsia="Batang" w:cs="Times"/>
          <w:szCs w:val="24"/>
          <w:lang w:val="pt-BR" w:eastAsia="es-ES"/>
        </w:rPr>
        <w:t>presente,</w:t>
      </w:r>
      <w:r w:rsidR="002C330E" w:rsidRPr="00D5464D">
        <w:rPr>
          <w:rFonts w:eastAsia="Batang" w:cs="Times"/>
          <w:szCs w:val="24"/>
          <w:lang w:val="pt-BR" w:eastAsia="es-ES"/>
        </w:rPr>
        <w:t xml:space="preserve"> </w:t>
      </w:r>
      <w:r w:rsidR="00F96DDC" w:rsidRPr="00D5464D">
        <w:rPr>
          <w:rFonts w:eastAsia="Batang" w:cs="Times"/>
          <w:szCs w:val="24"/>
          <w:lang w:val="pt-BR" w:eastAsia="es-ES"/>
        </w:rPr>
        <w:t xml:space="preserve">de maneira </w:t>
      </w:r>
      <w:r w:rsidR="002C330E" w:rsidRPr="00D5464D">
        <w:rPr>
          <w:rFonts w:eastAsia="Batang" w:cs="Times"/>
          <w:szCs w:val="24"/>
          <w:lang w:val="pt-BR" w:eastAsia="es-ES"/>
        </w:rPr>
        <w:t xml:space="preserve">que </w:t>
      </w:r>
      <w:r w:rsidR="00470ADC" w:rsidRPr="00D5464D">
        <w:rPr>
          <w:rFonts w:eastAsia="Batang" w:cs="Times"/>
          <w:szCs w:val="24"/>
          <w:lang w:val="pt-BR" w:eastAsia="es-ES"/>
        </w:rPr>
        <w:t xml:space="preserve">o </w:t>
      </w:r>
      <w:r w:rsidR="000A52D5" w:rsidRPr="00D5464D">
        <w:rPr>
          <w:rFonts w:eastAsia="Batang" w:cs="Times"/>
          <w:szCs w:val="24"/>
          <w:lang w:val="pt-BR" w:eastAsia="es-ES"/>
        </w:rPr>
        <w:t>Estado</w:t>
      </w:r>
      <w:r w:rsidR="00EB1CE9" w:rsidRPr="00D5464D">
        <w:rPr>
          <w:rFonts w:eastAsia="Batang" w:cs="Times"/>
          <w:szCs w:val="24"/>
          <w:lang w:val="pt-BR" w:eastAsia="es-ES"/>
        </w:rPr>
        <w:t xml:space="preserve"> </w:t>
      </w:r>
      <w:r w:rsidR="00F96DDC" w:rsidRPr="00D5464D">
        <w:rPr>
          <w:rFonts w:eastAsia="Batang" w:cs="Times"/>
          <w:szCs w:val="24"/>
          <w:lang w:val="pt-BR" w:eastAsia="es-ES"/>
        </w:rPr>
        <w:t xml:space="preserve">continua </w:t>
      </w:r>
      <w:r w:rsidR="00350187" w:rsidRPr="00D5464D">
        <w:rPr>
          <w:rFonts w:eastAsia="Batang" w:cs="Times"/>
          <w:szCs w:val="24"/>
          <w:lang w:val="pt-BR" w:eastAsia="es-ES"/>
        </w:rPr>
        <w:t>in</w:t>
      </w:r>
      <w:r w:rsidR="00C91CB1" w:rsidRPr="00D5464D">
        <w:rPr>
          <w:rFonts w:eastAsia="Batang" w:cs="Times"/>
          <w:szCs w:val="24"/>
          <w:lang w:val="pt-BR" w:eastAsia="es-ES"/>
        </w:rPr>
        <w:t>correndo</w:t>
      </w:r>
      <w:r w:rsidR="00470ADC" w:rsidRPr="00D5464D">
        <w:rPr>
          <w:rFonts w:eastAsia="Batang" w:cs="Times"/>
          <w:szCs w:val="24"/>
          <w:lang w:val="pt-BR" w:eastAsia="es-ES"/>
        </w:rPr>
        <w:t xml:space="preserve"> em </w:t>
      </w:r>
      <w:r w:rsidR="002C330E" w:rsidRPr="00D5464D">
        <w:rPr>
          <w:rFonts w:eastAsia="Batang" w:cs="Times"/>
          <w:szCs w:val="24"/>
          <w:lang w:val="pt-BR" w:eastAsia="es-ES"/>
        </w:rPr>
        <w:t xml:space="preserve">responsabilidade </w:t>
      </w:r>
      <w:r w:rsidR="000A52D5" w:rsidRPr="00D5464D">
        <w:rPr>
          <w:rFonts w:eastAsia="Batang" w:cs="Times"/>
          <w:szCs w:val="24"/>
          <w:lang w:val="pt-BR" w:eastAsia="es-ES"/>
        </w:rPr>
        <w:t>internacional por o</w:t>
      </w:r>
      <w:r w:rsidR="002C330E" w:rsidRPr="00D5464D">
        <w:rPr>
          <w:rFonts w:eastAsia="Batang" w:cs="Times"/>
          <w:szCs w:val="24"/>
          <w:lang w:val="pt-BR" w:eastAsia="es-ES"/>
        </w:rPr>
        <w:t>missão</w:t>
      </w:r>
      <w:r w:rsidR="000A52D5" w:rsidRPr="00D5464D">
        <w:rPr>
          <w:rFonts w:eastAsia="Batang" w:cs="Times"/>
          <w:szCs w:val="24"/>
          <w:lang w:val="pt-BR" w:eastAsia="es-ES"/>
        </w:rPr>
        <w:t xml:space="preserve"> de </w:t>
      </w:r>
      <w:r w:rsidR="00E045D9" w:rsidRPr="00D5464D">
        <w:rPr>
          <w:rFonts w:eastAsia="Batang" w:cs="Times"/>
          <w:szCs w:val="24"/>
          <w:lang w:val="pt-BR" w:eastAsia="es-ES"/>
        </w:rPr>
        <w:t>seu dever</w:t>
      </w:r>
      <w:r w:rsidR="000A52D5" w:rsidRPr="00D5464D">
        <w:rPr>
          <w:rFonts w:eastAsia="Batang" w:cs="Times"/>
          <w:szCs w:val="24"/>
          <w:lang w:val="pt-BR" w:eastAsia="es-ES"/>
        </w:rPr>
        <w:t xml:space="preserve"> de </w:t>
      </w:r>
      <w:r w:rsidR="002C330E" w:rsidRPr="00D5464D">
        <w:rPr>
          <w:rFonts w:eastAsia="Batang" w:cs="Times"/>
          <w:szCs w:val="24"/>
          <w:lang w:val="pt-BR" w:eastAsia="es-ES"/>
        </w:rPr>
        <w:t xml:space="preserve">garantia </w:t>
      </w:r>
      <w:r w:rsidR="00470ADC" w:rsidRPr="00D5464D">
        <w:rPr>
          <w:rFonts w:eastAsia="Batang" w:cs="Times"/>
          <w:szCs w:val="24"/>
          <w:lang w:val="pt-BR" w:eastAsia="es-ES"/>
        </w:rPr>
        <w:t xml:space="preserve">ao </w:t>
      </w:r>
      <w:r w:rsidR="000A52D5" w:rsidRPr="00D5464D">
        <w:rPr>
          <w:rFonts w:eastAsia="Batang" w:cs="Times"/>
          <w:szCs w:val="24"/>
          <w:lang w:val="pt-BR" w:eastAsia="es-ES"/>
        </w:rPr>
        <w:t>n</w:t>
      </w:r>
      <w:r w:rsidR="00F96DDC" w:rsidRPr="00D5464D">
        <w:rPr>
          <w:rFonts w:eastAsia="Batang" w:cs="Times"/>
          <w:szCs w:val="24"/>
          <w:lang w:val="pt-BR" w:eastAsia="es-ES"/>
        </w:rPr>
        <w:t>ã</w:t>
      </w:r>
      <w:r w:rsidR="000A52D5" w:rsidRPr="00D5464D">
        <w:rPr>
          <w:rFonts w:eastAsia="Batang" w:cs="Times"/>
          <w:szCs w:val="24"/>
          <w:lang w:val="pt-BR" w:eastAsia="es-ES"/>
        </w:rPr>
        <w:t xml:space="preserve">o realizar </w:t>
      </w:r>
      <w:r w:rsidR="00470ADC" w:rsidRPr="00D5464D">
        <w:rPr>
          <w:rFonts w:eastAsia="Batang" w:cs="Times"/>
          <w:szCs w:val="24"/>
          <w:lang w:val="pt-BR" w:eastAsia="es-ES"/>
        </w:rPr>
        <w:t>ações</w:t>
      </w:r>
      <w:r w:rsidR="000A52D5" w:rsidRPr="00D5464D">
        <w:rPr>
          <w:rFonts w:eastAsia="Batang" w:cs="Times"/>
          <w:szCs w:val="24"/>
          <w:lang w:val="pt-BR" w:eastAsia="es-ES"/>
        </w:rPr>
        <w:t xml:space="preserve"> </w:t>
      </w:r>
      <w:r w:rsidR="00470ADC" w:rsidRPr="00D5464D">
        <w:rPr>
          <w:rFonts w:eastAsia="Batang" w:cs="Times"/>
          <w:szCs w:val="24"/>
          <w:lang w:val="pt-BR" w:eastAsia="es-ES"/>
        </w:rPr>
        <w:t>efetiv</w:t>
      </w:r>
      <w:r w:rsidR="000A52D5" w:rsidRPr="00D5464D">
        <w:rPr>
          <w:rFonts w:eastAsia="Batang" w:cs="Times"/>
          <w:szCs w:val="24"/>
          <w:lang w:val="pt-BR" w:eastAsia="es-ES"/>
        </w:rPr>
        <w:t>as para encontrar</w:t>
      </w:r>
      <w:r w:rsidR="00470ADC" w:rsidRPr="00D5464D">
        <w:rPr>
          <w:rFonts w:eastAsia="Batang" w:cs="Times"/>
          <w:szCs w:val="24"/>
          <w:lang w:val="pt-BR" w:eastAsia="es-ES"/>
        </w:rPr>
        <w:t xml:space="preserve"> </w:t>
      </w:r>
      <w:r w:rsidR="00F96DDC" w:rsidRPr="00D5464D">
        <w:rPr>
          <w:rFonts w:eastAsia="Batang" w:cs="Times"/>
          <w:szCs w:val="24"/>
          <w:lang w:val="pt-BR" w:eastAsia="es-ES"/>
        </w:rPr>
        <w:t>a</w:t>
      </w:r>
      <w:r w:rsidR="00470ADC" w:rsidRPr="00D5464D">
        <w:rPr>
          <w:rFonts w:eastAsia="Batang" w:cs="Times"/>
          <w:szCs w:val="24"/>
          <w:lang w:val="pt-BR" w:eastAsia="es-ES"/>
        </w:rPr>
        <w:t xml:space="preserve"> </w:t>
      </w:r>
      <w:r w:rsidR="002C330E" w:rsidRPr="00D5464D">
        <w:rPr>
          <w:rFonts w:eastAsia="Batang" w:cs="Times"/>
          <w:szCs w:val="24"/>
          <w:lang w:val="pt-BR" w:eastAsia="es-ES"/>
        </w:rPr>
        <w:t>suposta</w:t>
      </w:r>
      <w:r w:rsidR="000A52D5" w:rsidRPr="00D5464D">
        <w:rPr>
          <w:rFonts w:eastAsia="Batang" w:cs="Times"/>
          <w:szCs w:val="24"/>
          <w:lang w:val="pt-BR" w:eastAsia="es-ES"/>
        </w:rPr>
        <w:t xml:space="preserve"> </w:t>
      </w:r>
      <w:r w:rsidR="00E045D9" w:rsidRPr="00D5464D">
        <w:rPr>
          <w:rFonts w:eastAsia="Batang" w:cs="Times"/>
          <w:szCs w:val="24"/>
          <w:lang w:val="pt-BR" w:eastAsia="es-ES"/>
        </w:rPr>
        <w:t>vítima</w:t>
      </w:r>
      <w:r w:rsidR="000A52D5" w:rsidRPr="00D5464D">
        <w:rPr>
          <w:rFonts w:eastAsia="Batang" w:cs="Times"/>
          <w:szCs w:val="24"/>
          <w:lang w:val="pt-BR" w:eastAsia="es-ES"/>
        </w:rPr>
        <w:t>.</w:t>
      </w:r>
    </w:p>
    <w:p w14:paraId="407FD9CF" w14:textId="77777777" w:rsidR="00B13CD7" w:rsidRPr="00D5464D" w:rsidRDefault="00B13CD7" w:rsidP="00140440">
      <w:pPr>
        <w:pStyle w:val="Prrafodelista"/>
        <w:contextualSpacing w:val="0"/>
        <w:rPr>
          <w:rFonts w:eastAsia="Batang" w:cs="Times"/>
          <w:szCs w:val="24"/>
          <w:lang w:val="pt-BR" w:eastAsia="es-ES"/>
        </w:rPr>
      </w:pPr>
    </w:p>
    <w:p w14:paraId="03D3BAC9" w14:textId="25D37954" w:rsidR="00B13CD7" w:rsidRPr="00D5464D" w:rsidRDefault="00B13CD7"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Adicionalmente,</w:t>
      </w:r>
      <w:r w:rsidR="002C330E" w:rsidRPr="00D5464D">
        <w:rPr>
          <w:rFonts w:eastAsia="Batang" w:cs="Times"/>
          <w:szCs w:val="24"/>
          <w:lang w:val="pt-BR" w:eastAsia="es-ES"/>
        </w:rPr>
        <w:t xml:space="preserve"> os </w:t>
      </w:r>
      <w:r w:rsidR="00EB1CE9" w:rsidRPr="00D5464D">
        <w:rPr>
          <w:rFonts w:eastAsia="Batang" w:cs="Times"/>
          <w:szCs w:val="24"/>
          <w:lang w:val="pt-BR" w:eastAsia="es-ES"/>
        </w:rPr>
        <w:t>representante</w:t>
      </w:r>
      <w:r w:rsidRPr="00D5464D">
        <w:rPr>
          <w:rFonts w:eastAsia="Batang" w:cs="Times"/>
          <w:szCs w:val="24"/>
          <w:lang w:val="pt-BR" w:eastAsia="es-ES"/>
        </w:rPr>
        <w:t xml:space="preserve">s </w:t>
      </w:r>
      <w:r w:rsidR="00470ADC" w:rsidRPr="00D5464D">
        <w:rPr>
          <w:rFonts w:eastAsia="Batang" w:cs="Times"/>
          <w:szCs w:val="24"/>
          <w:lang w:val="pt-BR" w:eastAsia="es-ES"/>
        </w:rPr>
        <w:t>alegaram</w:t>
      </w:r>
      <w:r w:rsidRPr="00D5464D">
        <w:rPr>
          <w:rFonts w:eastAsia="Batang" w:cs="Times"/>
          <w:szCs w:val="24"/>
          <w:lang w:val="pt-BR" w:eastAsia="es-ES"/>
        </w:rPr>
        <w:t xml:space="preserve"> viola</w:t>
      </w:r>
      <w:r w:rsidR="00470ADC" w:rsidRPr="00D5464D">
        <w:rPr>
          <w:rFonts w:eastAsia="Batang" w:cs="Times"/>
          <w:szCs w:val="24"/>
          <w:lang w:val="pt-BR" w:eastAsia="es-ES"/>
        </w:rPr>
        <w:t>ções</w:t>
      </w:r>
      <w:r w:rsidRPr="00D5464D">
        <w:rPr>
          <w:rFonts w:eastAsia="Batang" w:cs="Times"/>
          <w:szCs w:val="24"/>
          <w:lang w:val="pt-BR" w:eastAsia="es-ES"/>
        </w:rPr>
        <w:t xml:space="preserve"> derivadas</w:t>
      </w:r>
      <w:r w:rsidR="00470ADC" w:rsidRPr="00D5464D">
        <w:rPr>
          <w:rFonts w:eastAsia="Batang" w:cs="Times"/>
          <w:szCs w:val="24"/>
          <w:lang w:val="pt-BR" w:eastAsia="es-ES"/>
        </w:rPr>
        <w:t xml:space="preserve"> da </w:t>
      </w:r>
      <w:r w:rsidRPr="00D5464D">
        <w:rPr>
          <w:rFonts w:eastAsia="Batang" w:cs="Times"/>
          <w:szCs w:val="24"/>
          <w:lang w:val="pt-BR" w:eastAsia="es-ES"/>
        </w:rPr>
        <w:t>falta de investiga</w:t>
      </w:r>
      <w:r w:rsidR="00470ADC" w:rsidRPr="00D5464D">
        <w:rPr>
          <w:rFonts w:eastAsia="Batang" w:cs="Times"/>
          <w:szCs w:val="24"/>
          <w:lang w:val="pt-BR" w:eastAsia="es-ES"/>
        </w:rPr>
        <w:t>ção</w:t>
      </w:r>
      <w:r w:rsidRPr="00D5464D">
        <w:rPr>
          <w:rFonts w:eastAsia="Batang" w:cs="Times"/>
          <w:szCs w:val="24"/>
          <w:lang w:val="pt-BR" w:eastAsia="es-ES"/>
        </w:rPr>
        <w:t xml:space="preserve"> sobre </w:t>
      </w:r>
      <w:r w:rsidR="00E045D9" w:rsidRPr="00D5464D">
        <w:rPr>
          <w:rFonts w:eastAsia="Batang" w:cs="Times"/>
          <w:szCs w:val="24"/>
          <w:lang w:val="pt-BR" w:eastAsia="es-ES"/>
        </w:rPr>
        <w:t>trabalho</w:t>
      </w:r>
      <w:r w:rsidRPr="00D5464D">
        <w:rPr>
          <w:rFonts w:eastAsia="Batang" w:cs="Times"/>
          <w:szCs w:val="24"/>
          <w:lang w:val="pt-BR" w:eastAsia="es-ES"/>
        </w:rPr>
        <w:t xml:space="preserve"> </w:t>
      </w:r>
      <w:r w:rsidR="004F1CC2" w:rsidRPr="00D5464D">
        <w:rPr>
          <w:rFonts w:eastAsia="Batang" w:cs="Times"/>
          <w:szCs w:val="24"/>
          <w:lang w:val="pt-BR" w:eastAsia="es-ES"/>
        </w:rPr>
        <w:t>escravo</w:t>
      </w:r>
      <w:r w:rsidR="00E045D9" w:rsidRPr="00D5464D">
        <w:rPr>
          <w:rFonts w:eastAsia="Batang" w:cs="Times"/>
          <w:szCs w:val="24"/>
          <w:lang w:val="pt-BR" w:eastAsia="es-ES"/>
        </w:rPr>
        <w:t xml:space="preserve"> e desaparecimentos forçados na </w:t>
      </w:r>
      <w:r w:rsidR="00D809F0" w:rsidRPr="00D5464D">
        <w:rPr>
          <w:rFonts w:eastAsia="Batang" w:cs="Times"/>
          <w:szCs w:val="24"/>
          <w:lang w:val="pt-BR" w:eastAsia="es-ES"/>
        </w:rPr>
        <w:t>Fazenda</w:t>
      </w:r>
      <w:r w:rsidRPr="00D5464D">
        <w:rPr>
          <w:rFonts w:eastAsia="Batang" w:cs="Times"/>
          <w:szCs w:val="24"/>
          <w:lang w:val="pt-BR" w:eastAsia="es-ES"/>
        </w:rPr>
        <w:t xml:space="preserve"> Brasil Verde</w:t>
      </w:r>
      <w:r w:rsidR="00470ADC" w:rsidRPr="00D5464D">
        <w:rPr>
          <w:rFonts w:eastAsia="Batang" w:cs="Times"/>
          <w:szCs w:val="24"/>
          <w:lang w:val="pt-BR" w:eastAsia="es-ES"/>
        </w:rPr>
        <w:t xml:space="preserve"> </w:t>
      </w:r>
      <w:r w:rsidR="00117B9D" w:rsidRPr="00D5464D">
        <w:rPr>
          <w:rFonts w:eastAsia="Batang" w:cs="Times"/>
          <w:szCs w:val="24"/>
          <w:lang w:val="pt-BR" w:eastAsia="es-ES"/>
        </w:rPr>
        <w:t>anteriores</w:t>
      </w:r>
      <w:r w:rsidR="00470ADC" w:rsidRPr="00D5464D">
        <w:rPr>
          <w:rFonts w:eastAsia="Batang" w:cs="Times"/>
          <w:szCs w:val="24"/>
          <w:lang w:val="pt-BR" w:eastAsia="es-ES"/>
        </w:rPr>
        <w:t xml:space="preserve"> </w:t>
      </w:r>
      <w:r w:rsidRPr="00D5464D">
        <w:rPr>
          <w:rFonts w:eastAsia="Batang" w:cs="Times"/>
          <w:szCs w:val="24"/>
          <w:lang w:val="pt-BR" w:eastAsia="es-ES"/>
        </w:rPr>
        <w:t xml:space="preserve">a 1998. </w:t>
      </w:r>
      <w:r w:rsidR="002C330E" w:rsidRPr="00D5464D">
        <w:rPr>
          <w:rFonts w:eastAsia="Batang" w:cs="Times"/>
          <w:szCs w:val="24"/>
          <w:lang w:val="pt-BR" w:eastAsia="es-ES"/>
        </w:rPr>
        <w:t>Indicaram</w:t>
      </w:r>
      <w:r w:rsidRPr="00D5464D">
        <w:rPr>
          <w:rFonts w:eastAsia="Batang" w:cs="Times"/>
          <w:szCs w:val="24"/>
          <w:lang w:val="pt-BR" w:eastAsia="es-ES"/>
        </w:rPr>
        <w:t xml:space="preserve"> que</w:t>
      </w:r>
      <w:r w:rsidR="00470ADC" w:rsidRPr="00D5464D">
        <w:rPr>
          <w:rFonts w:eastAsia="Batang" w:cs="Times"/>
          <w:szCs w:val="24"/>
          <w:lang w:val="pt-BR" w:eastAsia="es-ES"/>
        </w:rPr>
        <w:t xml:space="preserve"> o </w:t>
      </w:r>
      <w:r w:rsidRPr="00D5464D">
        <w:rPr>
          <w:rFonts w:eastAsia="Batang" w:cs="Times"/>
          <w:szCs w:val="24"/>
          <w:lang w:val="pt-BR" w:eastAsia="es-ES"/>
        </w:rPr>
        <w:t>Estado</w:t>
      </w:r>
      <w:r w:rsidR="00470ADC" w:rsidRPr="00D5464D">
        <w:rPr>
          <w:rFonts w:eastAsia="Batang" w:cs="Times"/>
          <w:szCs w:val="24"/>
          <w:lang w:val="pt-BR" w:eastAsia="es-ES"/>
        </w:rPr>
        <w:t xml:space="preserve"> é </w:t>
      </w:r>
      <w:r w:rsidR="002C330E" w:rsidRPr="00D5464D">
        <w:rPr>
          <w:rFonts w:eastAsia="Batang" w:cs="Times"/>
          <w:szCs w:val="24"/>
          <w:lang w:val="pt-BR" w:eastAsia="es-ES"/>
        </w:rPr>
        <w:t xml:space="preserve">responsável pela </w:t>
      </w:r>
      <w:r w:rsidRPr="00D5464D">
        <w:rPr>
          <w:rFonts w:eastAsia="Batang" w:cs="Times"/>
          <w:szCs w:val="24"/>
          <w:lang w:val="pt-BR" w:eastAsia="es-ES"/>
        </w:rPr>
        <w:t>falta de investiga</w:t>
      </w:r>
      <w:r w:rsidR="00470ADC" w:rsidRPr="00D5464D">
        <w:rPr>
          <w:rFonts w:eastAsia="Batang" w:cs="Times"/>
          <w:szCs w:val="24"/>
          <w:lang w:val="pt-BR" w:eastAsia="es-ES"/>
        </w:rPr>
        <w:t xml:space="preserve">ção </w:t>
      </w:r>
      <w:r w:rsidR="00350187" w:rsidRPr="00D5464D">
        <w:rPr>
          <w:rFonts w:eastAsia="Batang" w:cs="Times"/>
          <w:szCs w:val="24"/>
          <w:lang w:val="pt-BR" w:eastAsia="es-ES"/>
        </w:rPr>
        <w:t>quanto</w:t>
      </w:r>
      <w:r w:rsidR="00470ADC" w:rsidRPr="00D5464D">
        <w:rPr>
          <w:rFonts w:eastAsia="Batang" w:cs="Times"/>
          <w:szCs w:val="24"/>
          <w:lang w:val="pt-BR" w:eastAsia="es-ES"/>
        </w:rPr>
        <w:t xml:space="preserve"> à denúncia </w:t>
      </w:r>
      <w:r w:rsidRPr="00D5464D">
        <w:rPr>
          <w:rFonts w:eastAsia="Batang" w:cs="Times"/>
          <w:szCs w:val="24"/>
          <w:lang w:val="pt-BR" w:eastAsia="es-ES"/>
        </w:rPr>
        <w:t xml:space="preserve">por </w:t>
      </w:r>
      <w:r w:rsidR="00E045D9" w:rsidRPr="00D5464D">
        <w:rPr>
          <w:rFonts w:eastAsia="Batang" w:cs="Times"/>
          <w:szCs w:val="24"/>
          <w:lang w:val="pt-BR" w:eastAsia="es-ES"/>
        </w:rPr>
        <w:t>trabalho</w:t>
      </w:r>
      <w:r w:rsidRPr="00D5464D">
        <w:rPr>
          <w:rFonts w:eastAsia="Batang" w:cs="Times"/>
          <w:szCs w:val="24"/>
          <w:lang w:val="pt-BR" w:eastAsia="es-ES"/>
        </w:rPr>
        <w:t xml:space="preserve"> </w:t>
      </w:r>
      <w:r w:rsidR="004F1CC2" w:rsidRPr="00D5464D">
        <w:rPr>
          <w:rFonts w:eastAsia="Batang" w:cs="Times"/>
          <w:szCs w:val="24"/>
          <w:lang w:val="pt-BR" w:eastAsia="es-ES"/>
        </w:rPr>
        <w:t>escravo</w:t>
      </w:r>
      <w:r w:rsidR="00E045D9" w:rsidRPr="00D5464D">
        <w:rPr>
          <w:rFonts w:eastAsia="Batang" w:cs="Times"/>
          <w:szCs w:val="24"/>
          <w:lang w:val="pt-BR" w:eastAsia="es-ES"/>
        </w:rPr>
        <w:t xml:space="preserve"> e desaparecimentos forçados</w:t>
      </w:r>
      <w:r w:rsidRPr="00D5464D">
        <w:rPr>
          <w:rFonts w:eastAsia="Batang" w:cs="Times"/>
          <w:szCs w:val="24"/>
          <w:lang w:val="pt-BR" w:eastAsia="es-ES"/>
        </w:rPr>
        <w:t xml:space="preserve"> de 1988, reiterada</w:t>
      </w:r>
      <w:r w:rsidR="00470ADC" w:rsidRPr="00D5464D">
        <w:rPr>
          <w:rFonts w:eastAsia="Batang" w:cs="Times"/>
          <w:szCs w:val="24"/>
          <w:lang w:val="pt-BR" w:eastAsia="es-ES"/>
        </w:rPr>
        <w:t xml:space="preserve"> em </w:t>
      </w:r>
      <w:r w:rsidRPr="00D5464D">
        <w:rPr>
          <w:rFonts w:eastAsia="Batang" w:cs="Times"/>
          <w:szCs w:val="24"/>
          <w:lang w:val="pt-BR" w:eastAsia="es-ES"/>
        </w:rPr>
        <w:t xml:space="preserve">1992, </w:t>
      </w:r>
      <w:r w:rsidR="00470ADC" w:rsidRPr="00D5464D">
        <w:rPr>
          <w:rFonts w:eastAsia="Batang" w:cs="Times"/>
          <w:szCs w:val="24"/>
          <w:lang w:val="pt-BR" w:eastAsia="es-ES"/>
        </w:rPr>
        <w:t>assim</w:t>
      </w:r>
      <w:r w:rsidRPr="00D5464D">
        <w:rPr>
          <w:rFonts w:eastAsia="Batang" w:cs="Times"/>
          <w:szCs w:val="24"/>
          <w:lang w:val="pt-BR" w:eastAsia="es-ES"/>
        </w:rPr>
        <w:t xml:space="preserve"> como</w:t>
      </w:r>
      <w:r w:rsidR="002C330E" w:rsidRPr="00D5464D">
        <w:rPr>
          <w:rFonts w:eastAsia="Batang" w:cs="Times"/>
          <w:szCs w:val="24"/>
          <w:lang w:val="pt-BR" w:eastAsia="es-ES"/>
        </w:rPr>
        <w:t xml:space="preserve"> pelas </w:t>
      </w:r>
      <w:r w:rsidR="0031040E" w:rsidRPr="00D5464D">
        <w:rPr>
          <w:rFonts w:eastAsia="Batang" w:cs="Times"/>
          <w:szCs w:val="24"/>
          <w:lang w:val="pt-BR" w:eastAsia="es-ES"/>
        </w:rPr>
        <w:t>fiscalizações</w:t>
      </w:r>
      <w:r w:rsidR="00470ADC" w:rsidRPr="00D5464D">
        <w:rPr>
          <w:rFonts w:eastAsia="Batang" w:cs="Times"/>
          <w:szCs w:val="24"/>
          <w:lang w:val="pt-BR" w:eastAsia="es-ES"/>
        </w:rPr>
        <w:t xml:space="preserve"> dos anos</w:t>
      </w:r>
      <w:r w:rsidRPr="00D5464D">
        <w:rPr>
          <w:rFonts w:eastAsia="Batang" w:cs="Times"/>
          <w:szCs w:val="24"/>
          <w:lang w:val="pt-BR" w:eastAsia="es-ES"/>
        </w:rPr>
        <w:t xml:space="preserve"> de 1989, 1993</w:t>
      </w:r>
      <w:r w:rsidR="00E045D9" w:rsidRPr="00D5464D">
        <w:rPr>
          <w:rFonts w:eastAsia="Batang" w:cs="Times"/>
          <w:szCs w:val="24"/>
          <w:lang w:val="pt-BR" w:eastAsia="es-ES"/>
        </w:rPr>
        <w:t xml:space="preserve"> e </w:t>
      </w:r>
      <w:r w:rsidRPr="00D5464D">
        <w:rPr>
          <w:rFonts w:eastAsia="Batang" w:cs="Times"/>
          <w:szCs w:val="24"/>
          <w:lang w:val="pt-BR" w:eastAsia="es-ES"/>
        </w:rPr>
        <w:t>1996, que evidenci</w:t>
      </w:r>
      <w:r w:rsidR="00350187" w:rsidRPr="00D5464D">
        <w:rPr>
          <w:rFonts w:eastAsia="Batang" w:cs="Times"/>
          <w:szCs w:val="24"/>
          <w:lang w:val="pt-BR" w:eastAsia="es-ES"/>
        </w:rPr>
        <w:t xml:space="preserve">aram </w:t>
      </w:r>
      <w:r w:rsidR="002C330E" w:rsidRPr="00D5464D">
        <w:rPr>
          <w:rFonts w:eastAsia="Batang" w:cs="Times"/>
          <w:szCs w:val="24"/>
          <w:lang w:val="pt-BR" w:eastAsia="es-ES"/>
        </w:rPr>
        <w:t xml:space="preserve">a </w:t>
      </w:r>
      <w:r w:rsidR="00E045D9" w:rsidRPr="00D5464D">
        <w:rPr>
          <w:rFonts w:eastAsia="Batang" w:cs="Times"/>
          <w:szCs w:val="24"/>
          <w:lang w:val="pt-BR" w:eastAsia="es-ES"/>
        </w:rPr>
        <w:t>existência</w:t>
      </w:r>
      <w:r w:rsidRPr="00D5464D">
        <w:rPr>
          <w:rFonts w:eastAsia="Batang" w:cs="Times"/>
          <w:szCs w:val="24"/>
          <w:lang w:val="pt-BR" w:eastAsia="es-ES"/>
        </w:rPr>
        <w:t xml:space="preserve"> de </w:t>
      </w:r>
      <w:r w:rsidR="00E045D9" w:rsidRPr="00D5464D">
        <w:rPr>
          <w:rFonts w:eastAsia="Batang" w:cs="Times"/>
          <w:szCs w:val="24"/>
          <w:lang w:val="pt-BR" w:eastAsia="es-ES"/>
        </w:rPr>
        <w:t>trabalho</w:t>
      </w:r>
      <w:r w:rsidRPr="00D5464D">
        <w:rPr>
          <w:rFonts w:eastAsia="Batang" w:cs="Times"/>
          <w:szCs w:val="24"/>
          <w:lang w:val="pt-BR" w:eastAsia="es-ES"/>
        </w:rPr>
        <w:t xml:space="preserve"> </w:t>
      </w:r>
      <w:r w:rsidR="004F1CC2" w:rsidRPr="00D5464D">
        <w:rPr>
          <w:rFonts w:eastAsia="Batang" w:cs="Times"/>
          <w:szCs w:val="24"/>
          <w:lang w:val="pt-BR" w:eastAsia="es-ES"/>
        </w:rPr>
        <w:t>escravo</w:t>
      </w:r>
      <w:r w:rsidR="00E045D9" w:rsidRPr="00D5464D">
        <w:rPr>
          <w:rFonts w:eastAsia="Batang" w:cs="Times"/>
          <w:szCs w:val="24"/>
          <w:lang w:val="pt-BR" w:eastAsia="es-ES"/>
        </w:rPr>
        <w:t xml:space="preserve"> na </w:t>
      </w:r>
      <w:r w:rsidR="00D809F0" w:rsidRPr="00D5464D">
        <w:rPr>
          <w:rFonts w:eastAsia="Batang" w:cs="Times"/>
          <w:szCs w:val="24"/>
          <w:lang w:val="pt-BR" w:eastAsia="es-ES"/>
        </w:rPr>
        <w:t>fazenda</w:t>
      </w:r>
      <w:r w:rsidRPr="00D5464D">
        <w:rPr>
          <w:rFonts w:eastAsia="Batang" w:cs="Times"/>
          <w:szCs w:val="24"/>
          <w:lang w:val="pt-BR" w:eastAsia="es-ES"/>
        </w:rPr>
        <w:t>.</w:t>
      </w:r>
    </w:p>
    <w:p w14:paraId="6CB169AA" w14:textId="77777777" w:rsidR="000A52D5" w:rsidRPr="00D5464D" w:rsidRDefault="000A52D5" w:rsidP="00140440">
      <w:pPr>
        <w:tabs>
          <w:tab w:val="clear" w:pos="4419"/>
          <w:tab w:val="clear" w:pos="8838"/>
        </w:tabs>
        <w:jc w:val="both"/>
        <w:rPr>
          <w:rFonts w:eastAsia="Batang" w:cs="Times"/>
          <w:szCs w:val="24"/>
          <w:lang w:val="pt-BR" w:eastAsia="es-ES"/>
        </w:rPr>
      </w:pPr>
    </w:p>
    <w:p w14:paraId="6D2F84E2" w14:textId="5A86BF33" w:rsidR="000A52D5" w:rsidRPr="00D5464D" w:rsidRDefault="000A52D5" w:rsidP="000A20C1">
      <w:pPr>
        <w:pStyle w:val="Ttulo3"/>
        <w:rPr>
          <w:lang w:val="pt-BR" w:eastAsia="es-ES"/>
        </w:rPr>
      </w:pPr>
      <w:bookmarkStart w:id="102" w:name="_Toc460432974"/>
      <w:bookmarkStart w:id="103" w:name="_Toc460441905"/>
      <w:bookmarkStart w:id="104" w:name="_Toc462750725"/>
      <w:bookmarkStart w:id="105" w:name="_Toc462751049"/>
      <w:bookmarkStart w:id="106" w:name="_Toc464813901"/>
      <w:bookmarkStart w:id="107" w:name="_Toc468433862"/>
      <w:r w:rsidRPr="00D5464D">
        <w:rPr>
          <w:lang w:val="pt-BR" w:eastAsia="es-ES"/>
        </w:rPr>
        <w:t>D.2. Considera</w:t>
      </w:r>
      <w:r w:rsidR="00470ADC" w:rsidRPr="00D5464D">
        <w:rPr>
          <w:lang w:val="pt-BR" w:eastAsia="es-ES"/>
        </w:rPr>
        <w:t xml:space="preserve">ções da </w:t>
      </w:r>
      <w:r w:rsidRPr="00D5464D">
        <w:rPr>
          <w:lang w:val="pt-BR" w:eastAsia="es-ES"/>
        </w:rPr>
        <w:t>Corte</w:t>
      </w:r>
      <w:bookmarkEnd w:id="102"/>
      <w:bookmarkEnd w:id="103"/>
      <w:bookmarkEnd w:id="104"/>
      <w:bookmarkEnd w:id="105"/>
      <w:bookmarkEnd w:id="106"/>
      <w:bookmarkEnd w:id="107"/>
    </w:p>
    <w:p w14:paraId="5309C21E" w14:textId="77777777" w:rsidR="000A52D5" w:rsidRPr="00D5464D" w:rsidRDefault="000A52D5" w:rsidP="00140440">
      <w:pPr>
        <w:tabs>
          <w:tab w:val="clear" w:pos="4419"/>
          <w:tab w:val="clear" w:pos="8838"/>
        </w:tabs>
        <w:jc w:val="both"/>
        <w:rPr>
          <w:rFonts w:eastAsia="Batang" w:cs="Times"/>
          <w:szCs w:val="24"/>
          <w:lang w:val="pt-BR" w:eastAsia="es-ES"/>
        </w:rPr>
      </w:pPr>
    </w:p>
    <w:p w14:paraId="3868E805" w14:textId="52C1D7F7" w:rsidR="000A52D5" w:rsidRPr="00D5464D" w:rsidRDefault="00AB4663" w:rsidP="00D1095F">
      <w:pPr>
        <w:numPr>
          <w:ilvl w:val="0"/>
          <w:numId w:val="1"/>
        </w:numPr>
        <w:tabs>
          <w:tab w:val="clear" w:pos="4419"/>
          <w:tab w:val="clear" w:pos="8838"/>
        </w:tabs>
        <w:jc w:val="both"/>
        <w:rPr>
          <w:rFonts w:eastAsia="Batang" w:cs="Times"/>
          <w:szCs w:val="24"/>
          <w:lang w:val="pt-BR" w:eastAsia="es-ES"/>
        </w:rPr>
      </w:pPr>
      <w:r w:rsidRPr="00D5464D">
        <w:rPr>
          <w:szCs w:val="20"/>
          <w:lang w:val="pt-BR"/>
        </w:rPr>
        <w:t xml:space="preserve">O </w:t>
      </w:r>
      <w:r w:rsidR="00335CCC" w:rsidRPr="00D5464D">
        <w:rPr>
          <w:szCs w:val="20"/>
          <w:lang w:val="pt-BR"/>
        </w:rPr>
        <w:t>Brasil re</w:t>
      </w:r>
      <w:r w:rsidR="00470ADC" w:rsidRPr="00D5464D">
        <w:rPr>
          <w:szCs w:val="20"/>
          <w:lang w:val="pt-BR"/>
        </w:rPr>
        <w:t>conheceu</w:t>
      </w:r>
      <w:r w:rsidR="002C330E" w:rsidRPr="00D5464D">
        <w:rPr>
          <w:szCs w:val="20"/>
          <w:lang w:val="pt-BR"/>
        </w:rPr>
        <w:t xml:space="preserve"> a </w:t>
      </w:r>
      <w:r w:rsidR="00470ADC" w:rsidRPr="00D5464D">
        <w:rPr>
          <w:szCs w:val="20"/>
          <w:lang w:val="pt-BR"/>
        </w:rPr>
        <w:t>competência</w:t>
      </w:r>
      <w:r w:rsidR="00335CCC" w:rsidRPr="00D5464D">
        <w:rPr>
          <w:szCs w:val="20"/>
          <w:lang w:val="pt-BR"/>
        </w:rPr>
        <w:t xml:space="preserve"> contenciosa</w:t>
      </w:r>
      <w:r w:rsidR="00470ADC" w:rsidRPr="00D5464D">
        <w:rPr>
          <w:szCs w:val="20"/>
          <w:lang w:val="pt-BR"/>
        </w:rPr>
        <w:t xml:space="preserve"> da </w:t>
      </w:r>
      <w:r w:rsidR="00335CCC" w:rsidRPr="00D5464D">
        <w:rPr>
          <w:szCs w:val="20"/>
          <w:lang w:val="pt-BR"/>
        </w:rPr>
        <w:t>Corte Interamericana</w:t>
      </w:r>
      <w:r w:rsidR="00C91CB1" w:rsidRPr="00D5464D">
        <w:rPr>
          <w:szCs w:val="20"/>
          <w:lang w:val="pt-BR"/>
        </w:rPr>
        <w:t xml:space="preserve"> em 1</w:t>
      </w:r>
      <w:r w:rsidR="00335CCC" w:rsidRPr="00D5464D">
        <w:rPr>
          <w:szCs w:val="20"/>
          <w:lang w:val="pt-BR"/>
        </w:rPr>
        <w:t xml:space="preserve">0 de </w:t>
      </w:r>
      <w:r w:rsidR="00470ADC" w:rsidRPr="00D5464D">
        <w:rPr>
          <w:szCs w:val="20"/>
          <w:lang w:val="pt-BR"/>
        </w:rPr>
        <w:t>dezembro</w:t>
      </w:r>
      <w:r w:rsidR="00335CCC" w:rsidRPr="00D5464D">
        <w:rPr>
          <w:szCs w:val="20"/>
          <w:lang w:val="pt-BR"/>
        </w:rPr>
        <w:t xml:space="preserve"> de 1998</w:t>
      </w:r>
      <w:r w:rsidR="00E045D9" w:rsidRPr="00D5464D">
        <w:rPr>
          <w:szCs w:val="20"/>
          <w:lang w:val="pt-BR"/>
        </w:rPr>
        <w:t xml:space="preserve"> e</w:t>
      </w:r>
      <w:r w:rsidRPr="00D5464D">
        <w:rPr>
          <w:szCs w:val="20"/>
          <w:lang w:val="pt-BR"/>
        </w:rPr>
        <w:t>,</w:t>
      </w:r>
      <w:r w:rsidR="00E045D9" w:rsidRPr="00D5464D">
        <w:rPr>
          <w:szCs w:val="20"/>
          <w:lang w:val="pt-BR"/>
        </w:rPr>
        <w:t xml:space="preserve"> </w:t>
      </w:r>
      <w:r w:rsidR="00470ADC" w:rsidRPr="00D5464D">
        <w:rPr>
          <w:szCs w:val="20"/>
          <w:lang w:val="pt-BR"/>
        </w:rPr>
        <w:t xml:space="preserve">em </w:t>
      </w:r>
      <w:r w:rsidR="00737270" w:rsidRPr="00D5464D">
        <w:rPr>
          <w:szCs w:val="20"/>
          <w:lang w:val="pt-BR"/>
        </w:rPr>
        <w:t>sua declaração</w:t>
      </w:r>
      <w:r w:rsidRPr="00D5464D">
        <w:rPr>
          <w:szCs w:val="20"/>
          <w:lang w:val="pt-BR"/>
        </w:rPr>
        <w:t>,</w:t>
      </w:r>
      <w:r w:rsidR="00335CCC" w:rsidRPr="00D5464D">
        <w:rPr>
          <w:szCs w:val="20"/>
          <w:lang w:val="pt-BR"/>
        </w:rPr>
        <w:t xml:space="preserve"> </w:t>
      </w:r>
      <w:r w:rsidR="005F3480" w:rsidRPr="00D5464D">
        <w:rPr>
          <w:szCs w:val="20"/>
          <w:lang w:val="pt-BR"/>
        </w:rPr>
        <w:t>afirmou</w:t>
      </w:r>
      <w:r w:rsidR="00335CCC" w:rsidRPr="00D5464D">
        <w:rPr>
          <w:szCs w:val="20"/>
          <w:lang w:val="pt-BR"/>
        </w:rPr>
        <w:t xml:space="preserve"> que</w:t>
      </w:r>
      <w:r w:rsidR="00470ADC" w:rsidRPr="00D5464D">
        <w:rPr>
          <w:szCs w:val="20"/>
          <w:lang w:val="pt-BR"/>
        </w:rPr>
        <w:t xml:space="preserve"> o </w:t>
      </w:r>
      <w:r w:rsidR="00335CCC" w:rsidRPr="00D5464D">
        <w:rPr>
          <w:szCs w:val="20"/>
          <w:lang w:val="pt-BR"/>
        </w:rPr>
        <w:t xml:space="preserve">Tribunal </w:t>
      </w:r>
      <w:r w:rsidR="00E045D9" w:rsidRPr="00D5464D">
        <w:rPr>
          <w:szCs w:val="20"/>
          <w:lang w:val="pt-BR"/>
        </w:rPr>
        <w:t>teria</w:t>
      </w:r>
      <w:r w:rsidR="00335CCC" w:rsidRPr="00D5464D">
        <w:rPr>
          <w:szCs w:val="20"/>
          <w:lang w:val="pt-BR"/>
        </w:rPr>
        <w:t xml:space="preserve"> </w:t>
      </w:r>
      <w:r w:rsidR="00470ADC" w:rsidRPr="00D5464D">
        <w:rPr>
          <w:szCs w:val="20"/>
          <w:lang w:val="pt-BR"/>
        </w:rPr>
        <w:t>competência</w:t>
      </w:r>
      <w:r w:rsidR="00335CCC" w:rsidRPr="00D5464D">
        <w:rPr>
          <w:szCs w:val="20"/>
          <w:lang w:val="pt-BR"/>
        </w:rPr>
        <w:t xml:space="preserve"> </w:t>
      </w:r>
      <w:r w:rsidR="00117B9D" w:rsidRPr="00D5464D">
        <w:rPr>
          <w:szCs w:val="20"/>
          <w:lang w:val="pt-BR"/>
        </w:rPr>
        <w:t xml:space="preserve">sobre </w:t>
      </w:r>
      <w:r w:rsidR="00335CCC" w:rsidRPr="00D5464D">
        <w:rPr>
          <w:szCs w:val="20"/>
          <w:lang w:val="pt-BR"/>
        </w:rPr>
        <w:t>“</w:t>
      </w:r>
      <w:r w:rsidR="002C330E" w:rsidRPr="00D5464D">
        <w:rPr>
          <w:szCs w:val="20"/>
          <w:lang w:val="pt-BR"/>
        </w:rPr>
        <w:t>fatos</w:t>
      </w:r>
      <w:r w:rsidR="00335CCC" w:rsidRPr="00D5464D">
        <w:rPr>
          <w:szCs w:val="20"/>
          <w:lang w:val="pt-BR"/>
        </w:rPr>
        <w:t xml:space="preserve"> posteriores” a </w:t>
      </w:r>
      <w:r w:rsidR="00470ADC" w:rsidRPr="00D5464D">
        <w:rPr>
          <w:szCs w:val="20"/>
          <w:lang w:val="pt-BR"/>
        </w:rPr>
        <w:t>este</w:t>
      </w:r>
      <w:r w:rsidR="00335CCC" w:rsidRPr="00D5464D">
        <w:rPr>
          <w:szCs w:val="20"/>
          <w:lang w:val="pt-BR"/>
        </w:rPr>
        <w:t xml:space="preserve"> re</w:t>
      </w:r>
      <w:r w:rsidR="00470ADC" w:rsidRPr="00D5464D">
        <w:rPr>
          <w:szCs w:val="20"/>
          <w:lang w:val="pt-BR"/>
        </w:rPr>
        <w:t>conhecimento</w:t>
      </w:r>
      <w:r w:rsidRPr="00D5464D">
        <w:rPr>
          <w:szCs w:val="20"/>
          <w:lang w:val="pt-BR"/>
        </w:rPr>
        <w:t>.</w:t>
      </w:r>
      <w:r w:rsidR="00335CCC" w:rsidRPr="00D5464D">
        <w:rPr>
          <w:rStyle w:val="Refdenotaalpie"/>
          <w:lang w:val="pt-BR"/>
        </w:rPr>
        <w:footnoteReference w:id="43"/>
      </w:r>
      <w:r w:rsidR="00C91CB1" w:rsidRPr="00D5464D">
        <w:rPr>
          <w:szCs w:val="20"/>
          <w:lang w:val="pt-BR"/>
        </w:rPr>
        <w:t xml:space="preserve"> Com </w:t>
      </w:r>
      <w:r w:rsidR="00335CCC" w:rsidRPr="00D5464D">
        <w:rPr>
          <w:szCs w:val="20"/>
          <w:lang w:val="pt-BR"/>
        </w:rPr>
        <w:t>base</w:t>
      </w:r>
      <w:r w:rsidRPr="00D5464D">
        <w:rPr>
          <w:szCs w:val="20"/>
          <w:lang w:val="pt-BR"/>
        </w:rPr>
        <w:t xml:space="preserve"> no</w:t>
      </w:r>
      <w:r w:rsidR="002C330E" w:rsidRPr="00D5464D">
        <w:rPr>
          <w:szCs w:val="20"/>
          <w:lang w:val="pt-BR"/>
        </w:rPr>
        <w:t xml:space="preserve"> anterior</w:t>
      </w:r>
      <w:r w:rsidR="00E045D9" w:rsidRPr="00D5464D">
        <w:rPr>
          <w:szCs w:val="20"/>
          <w:lang w:val="pt-BR"/>
        </w:rPr>
        <w:t xml:space="preserve"> e no </w:t>
      </w:r>
      <w:r w:rsidR="002C330E" w:rsidRPr="00D5464D">
        <w:rPr>
          <w:szCs w:val="20"/>
          <w:lang w:val="pt-BR"/>
        </w:rPr>
        <w:t>princípio</w:t>
      </w:r>
      <w:r w:rsidR="00335CCC" w:rsidRPr="00D5464D">
        <w:rPr>
          <w:szCs w:val="20"/>
          <w:lang w:val="pt-BR"/>
        </w:rPr>
        <w:t xml:space="preserve"> de irretro</w:t>
      </w:r>
      <w:r w:rsidR="00470ADC" w:rsidRPr="00D5464D">
        <w:rPr>
          <w:szCs w:val="20"/>
          <w:lang w:val="pt-BR"/>
        </w:rPr>
        <w:t>ativ</w:t>
      </w:r>
      <w:r w:rsidR="00E765C2" w:rsidRPr="00D5464D">
        <w:rPr>
          <w:szCs w:val="20"/>
          <w:lang w:val="pt-BR"/>
        </w:rPr>
        <w:t>idade,</w:t>
      </w:r>
      <w:r w:rsidR="002C330E" w:rsidRPr="00D5464D">
        <w:rPr>
          <w:szCs w:val="20"/>
          <w:lang w:val="pt-BR"/>
        </w:rPr>
        <w:t xml:space="preserve"> a </w:t>
      </w:r>
      <w:r w:rsidR="00335CCC" w:rsidRPr="00D5464D">
        <w:rPr>
          <w:szCs w:val="20"/>
          <w:lang w:val="pt-BR"/>
        </w:rPr>
        <w:t xml:space="preserve">Corte </w:t>
      </w:r>
      <w:r w:rsidR="00737270" w:rsidRPr="00D5464D">
        <w:rPr>
          <w:szCs w:val="20"/>
          <w:lang w:val="pt-BR"/>
        </w:rPr>
        <w:t>não pode</w:t>
      </w:r>
      <w:r w:rsidR="00335CCC" w:rsidRPr="00D5464D">
        <w:rPr>
          <w:szCs w:val="20"/>
          <w:lang w:val="pt-BR"/>
        </w:rPr>
        <w:t xml:space="preserve"> </w:t>
      </w:r>
      <w:r w:rsidR="00470ADC" w:rsidRPr="00D5464D">
        <w:rPr>
          <w:szCs w:val="20"/>
          <w:lang w:val="pt-BR"/>
        </w:rPr>
        <w:t>exercer</w:t>
      </w:r>
      <w:r w:rsidR="00335CCC" w:rsidRPr="00D5464D">
        <w:rPr>
          <w:szCs w:val="20"/>
          <w:lang w:val="pt-BR"/>
        </w:rPr>
        <w:t xml:space="preserve"> </w:t>
      </w:r>
      <w:r w:rsidR="00E045D9" w:rsidRPr="00D5464D">
        <w:rPr>
          <w:szCs w:val="20"/>
          <w:lang w:val="pt-BR"/>
        </w:rPr>
        <w:t>sua competência</w:t>
      </w:r>
      <w:r w:rsidR="00335CCC" w:rsidRPr="00D5464D">
        <w:rPr>
          <w:szCs w:val="20"/>
          <w:lang w:val="pt-BR"/>
        </w:rPr>
        <w:t xml:space="preserve"> contenciosa para aplicar</w:t>
      </w:r>
      <w:r w:rsidR="002C330E" w:rsidRPr="00D5464D">
        <w:rPr>
          <w:szCs w:val="20"/>
          <w:lang w:val="pt-BR"/>
        </w:rPr>
        <w:t xml:space="preserve"> a </w:t>
      </w:r>
      <w:r w:rsidR="00335CCC" w:rsidRPr="00D5464D">
        <w:rPr>
          <w:szCs w:val="20"/>
          <w:lang w:val="pt-BR"/>
        </w:rPr>
        <w:t>Conven</w:t>
      </w:r>
      <w:r w:rsidR="00470ADC" w:rsidRPr="00D5464D">
        <w:rPr>
          <w:szCs w:val="20"/>
          <w:lang w:val="pt-BR"/>
        </w:rPr>
        <w:t>ção</w:t>
      </w:r>
      <w:r w:rsidR="00E045D9" w:rsidRPr="00D5464D">
        <w:rPr>
          <w:szCs w:val="20"/>
          <w:lang w:val="pt-BR"/>
        </w:rPr>
        <w:t xml:space="preserve"> e </w:t>
      </w:r>
      <w:r w:rsidR="00335CCC" w:rsidRPr="00D5464D">
        <w:rPr>
          <w:szCs w:val="20"/>
          <w:lang w:val="pt-BR"/>
        </w:rPr>
        <w:t>declarar</w:t>
      </w:r>
      <w:r w:rsidR="00E045D9" w:rsidRPr="00D5464D">
        <w:rPr>
          <w:szCs w:val="20"/>
          <w:lang w:val="pt-BR"/>
        </w:rPr>
        <w:t xml:space="preserve"> uma </w:t>
      </w:r>
      <w:r w:rsidR="00335CCC" w:rsidRPr="00D5464D">
        <w:rPr>
          <w:szCs w:val="20"/>
          <w:lang w:val="pt-BR"/>
        </w:rPr>
        <w:t>viola</w:t>
      </w:r>
      <w:r w:rsidR="00470ADC" w:rsidRPr="00D5464D">
        <w:rPr>
          <w:szCs w:val="20"/>
          <w:lang w:val="pt-BR"/>
        </w:rPr>
        <w:t>ção</w:t>
      </w:r>
      <w:r w:rsidR="00335CCC" w:rsidRPr="00D5464D">
        <w:rPr>
          <w:szCs w:val="20"/>
          <w:lang w:val="pt-BR"/>
        </w:rPr>
        <w:t xml:space="preserve"> a </w:t>
      </w:r>
      <w:r w:rsidR="00350187" w:rsidRPr="00D5464D">
        <w:rPr>
          <w:szCs w:val="20"/>
          <w:lang w:val="pt-BR"/>
        </w:rPr>
        <w:t>suas normas</w:t>
      </w:r>
      <w:r w:rsidR="00335CCC" w:rsidRPr="00D5464D">
        <w:rPr>
          <w:szCs w:val="20"/>
          <w:lang w:val="pt-BR"/>
        </w:rPr>
        <w:t xml:space="preserve"> </w:t>
      </w:r>
      <w:r w:rsidR="00470ADC" w:rsidRPr="00D5464D">
        <w:rPr>
          <w:szCs w:val="20"/>
          <w:lang w:val="pt-BR"/>
        </w:rPr>
        <w:t>quando</w:t>
      </w:r>
      <w:r w:rsidR="002C330E" w:rsidRPr="00D5464D">
        <w:rPr>
          <w:szCs w:val="20"/>
          <w:lang w:val="pt-BR"/>
        </w:rPr>
        <w:t xml:space="preserve"> os fatos</w:t>
      </w:r>
      <w:r w:rsidR="00335CCC" w:rsidRPr="00D5464D">
        <w:rPr>
          <w:szCs w:val="20"/>
          <w:lang w:val="pt-BR"/>
        </w:rPr>
        <w:t xml:space="preserve"> alegados o</w:t>
      </w:r>
      <w:r w:rsidRPr="00D5464D">
        <w:rPr>
          <w:szCs w:val="20"/>
          <w:lang w:val="pt-BR"/>
        </w:rPr>
        <w:t>u</w:t>
      </w:r>
      <w:r w:rsidR="002C330E" w:rsidRPr="00D5464D">
        <w:rPr>
          <w:szCs w:val="20"/>
          <w:lang w:val="pt-BR"/>
        </w:rPr>
        <w:t xml:space="preserve"> a </w:t>
      </w:r>
      <w:r w:rsidR="00470ADC" w:rsidRPr="00D5464D">
        <w:rPr>
          <w:szCs w:val="20"/>
          <w:lang w:val="pt-BR"/>
        </w:rPr>
        <w:t>conduta</w:t>
      </w:r>
      <w:r w:rsidR="00335CCC" w:rsidRPr="00D5464D">
        <w:rPr>
          <w:szCs w:val="20"/>
          <w:lang w:val="pt-BR"/>
        </w:rPr>
        <w:t xml:space="preserve"> </w:t>
      </w:r>
      <w:r w:rsidR="00470ADC" w:rsidRPr="00D5464D">
        <w:rPr>
          <w:szCs w:val="20"/>
          <w:lang w:val="pt-BR"/>
        </w:rPr>
        <w:t xml:space="preserve">do </w:t>
      </w:r>
      <w:r w:rsidR="00335CCC" w:rsidRPr="00D5464D">
        <w:rPr>
          <w:szCs w:val="20"/>
          <w:lang w:val="pt-BR"/>
        </w:rPr>
        <w:t xml:space="preserve">Estado que </w:t>
      </w:r>
      <w:r w:rsidR="00C91CB1" w:rsidRPr="00D5464D">
        <w:rPr>
          <w:szCs w:val="20"/>
          <w:lang w:val="pt-BR"/>
        </w:rPr>
        <w:t>poderiam</w:t>
      </w:r>
      <w:r w:rsidR="00335CCC" w:rsidRPr="00D5464D">
        <w:rPr>
          <w:szCs w:val="20"/>
          <w:lang w:val="pt-BR"/>
        </w:rPr>
        <w:t xml:space="preserve"> </w:t>
      </w:r>
      <w:r w:rsidRPr="00D5464D">
        <w:rPr>
          <w:szCs w:val="20"/>
          <w:lang w:val="pt-BR"/>
        </w:rPr>
        <w:t xml:space="preserve">representar </w:t>
      </w:r>
      <w:r w:rsidR="00E045D9" w:rsidRPr="00D5464D">
        <w:rPr>
          <w:szCs w:val="20"/>
          <w:lang w:val="pt-BR"/>
        </w:rPr>
        <w:t>sua responsabilidade</w:t>
      </w:r>
      <w:r w:rsidR="002C330E" w:rsidRPr="00D5464D">
        <w:rPr>
          <w:szCs w:val="20"/>
          <w:lang w:val="pt-BR"/>
        </w:rPr>
        <w:t xml:space="preserve"> </w:t>
      </w:r>
      <w:r w:rsidR="00335CCC" w:rsidRPr="00D5464D">
        <w:rPr>
          <w:szCs w:val="20"/>
          <w:lang w:val="pt-BR"/>
        </w:rPr>
        <w:t>internacional</w:t>
      </w:r>
      <w:r w:rsidR="002C330E" w:rsidRPr="00D5464D">
        <w:rPr>
          <w:szCs w:val="20"/>
          <w:lang w:val="pt-BR"/>
        </w:rPr>
        <w:t xml:space="preserve"> são </w:t>
      </w:r>
      <w:r w:rsidR="00335CCC" w:rsidRPr="00D5464D">
        <w:rPr>
          <w:szCs w:val="20"/>
          <w:lang w:val="pt-BR"/>
        </w:rPr>
        <w:t xml:space="preserve">anteriores a </w:t>
      </w:r>
      <w:r w:rsidR="00470ADC" w:rsidRPr="00D5464D">
        <w:rPr>
          <w:szCs w:val="20"/>
          <w:lang w:val="pt-BR"/>
        </w:rPr>
        <w:t>este</w:t>
      </w:r>
      <w:r w:rsidR="00335CCC" w:rsidRPr="00D5464D">
        <w:rPr>
          <w:szCs w:val="20"/>
          <w:lang w:val="pt-BR"/>
        </w:rPr>
        <w:t xml:space="preserve"> re</w:t>
      </w:r>
      <w:r w:rsidR="00470ADC" w:rsidRPr="00D5464D">
        <w:rPr>
          <w:szCs w:val="20"/>
          <w:lang w:val="pt-BR"/>
        </w:rPr>
        <w:t>conhecimento da competência</w:t>
      </w:r>
      <w:r w:rsidRPr="00D5464D">
        <w:rPr>
          <w:szCs w:val="20"/>
          <w:lang w:val="pt-BR"/>
        </w:rPr>
        <w:t>.</w:t>
      </w:r>
      <w:r w:rsidR="00335CCC" w:rsidRPr="00D5464D">
        <w:rPr>
          <w:rStyle w:val="Refdenotaalpie"/>
          <w:lang w:val="pt-BR"/>
        </w:rPr>
        <w:footnoteReference w:id="44"/>
      </w:r>
      <w:r w:rsidR="00D1095F" w:rsidRPr="00D5464D">
        <w:rPr>
          <w:rFonts w:eastAsia="Batang" w:cs="Times"/>
          <w:szCs w:val="24"/>
          <w:lang w:val="pt-BR" w:eastAsia="es-ES"/>
        </w:rPr>
        <w:t xml:space="preserve"> </w:t>
      </w:r>
      <w:r w:rsidR="00350187" w:rsidRPr="00D5464D">
        <w:rPr>
          <w:rFonts w:eastAsia="Batang" w:cs="Times"/>
          <w:szCs w:val="24"/>
          <w:lang w:val="pt-BR" w:eastAsia="es-ES"/>
        </w:rPr>
        <w:t xml:space="preserve">Por </w:t>
      </w:r>
      <w:r w:rsidRPr="00D5464D">
        <w:rPr>
          <w:rFonts w:eastAsia="Batang" w:cs="Times"/>
          <w:szCs w:val="24"/>
          <w:lang w:val="pt-BR" w:eastAsia="es-ES"/>
        </w:rPr>
        <w:t xml:space="preserve">essa razão, permanecem </w:t>
      </w:r>
      <w:r w:rsidR="00470ADC" w:rsidRPr="00D5464D">
        <w:rPr>
          <w:rFonts w:eastAsia="Batang" w:cs="Times"/>
          <w:szCs w:val="24"/>
          <w:lang w:val="pt-BR" w:eastAsia="es-ES"/>
        </w:rPr>
        <w:t>fora da competência</w:t>
      </w:r>
      <w:r w:rsidR="000A52D5" w:rsidRPr="00D5464D">
        <w:rPr>
          <w:rFonts w:eastAsia="Batang" w:cs="Times"/>
          <w:szCs w:val="24"/>
          <w:lang w:val="pt-BR" w:eastAsia="es-ES"/>
        </w:rPr>
        <w:t xml:space="preserve"> </w:t>
      </w:r>
      <w:r w:rsidR="00470ADC" w:rsidRPr="00D5464D">
        <w:rPr>
          <w:rFonts w:eastAsia="Batang" w:cs="Times"/>
          <w:szCs w:val="24"/>
          <w:lang w:val="pt-BR" w:eastAsia="es-ES"/>
        </w:rPr>
        <w:t xml:space="preserve">do </w:t>
      </w:r>
      <w:r w:rsidR="000A52D5" w:rsidRPr="00D5464D">
        <w:rPr>
          <w:rFonts w:eastAsia="Batang" w:cs="Times"/>
          <w:szCs w:val="24"/>
          <w:lang w:val="pt-BR" w:eastAsia="es-ES"/>
        </w:rPr>
        <w:t>Tribunal</w:t>
      </w:r>
      <w:r w:rsidR="002C330E" w:rsidRPr="00D5464D">
        <w:rPr>
          <w:rFonts w:eastAsia="Batang" w:cs="Times"/>
          <w:szCs w:val="24"/>
          <w:lang w:val="pt-BR" w:eastAsia="es-ES"/>
        </w:rPr>
        <w:t xml:space="preserve"> os fatos</w:t>
      </w:r>
      <w:r w:rsidR="000A52D5" w:rsidRPr="00D5464D">
        <w:rPr>
          <w:rFonts w:eastAsia="Batang" w:cs="Times"/>
          <w:szCs w:val="24"/>
          <w:lang w:val="pt-BR" w:eastAsia="es-ES"/>
        </w:rPr>
        <w:t xml:space="preserve"> </w:t>
      </w:r>
      <w:r w:rsidR="002C330E" w:rsidRPr="00D5464D">
        <w:rPr>
          <w:rFonts w:eastAsia="Batang" w:cs="Times"/>
          <w:szCs w:val="24"/>
          <w:lang w:val="pt-BR" w:eastAsia="es-ES"/>
        </w:rPr>
        <w:t>ocorrid</w:t>
      </w:r>
      <w:r w:rsidR="000A52D5" w:rsidRPr="00D5464D">
        <w:rPr>
          <w:rFonts w:eastAsia="Batang" w:cs="Times"/>
          <w:szCs w:val="24"/>
          <w:lang w:val="pt-BR" w:eastAsia="es-ES"/>
        </w:rPr>
        <w:t>os antes d</w:t>
      </w:r>
      <w:r w:rsidRPr="00D5464D">
        <w:rPr>
          <w:rFonts w:eastAsia="Batang" w:cs="Times"/>
          <w:szCs w:val="24"/>
          <w:lang w:val="pt-BR" w:eastAsia="es-ES"/>
        </w:rPr>
        <w:t xml:space="preserve">o reconhecimento da competência contenciosa da Corte por parte do </w:t>
      </w:r>
      <w:r w:rsidR="000A52D5" w:rsidRPr="00D5464D">
        <w:rPr>
          <w:rFonts w:eastAsia="Batang" w:cs="Times"/>
          <w:szCs w:val="24"/>
          <w:lang w:val="pt-BR" w:eastAsia="es-ES"/>
        </w:rPr>
        <w:t>Brasil.</w:t>
      </w:r>
    </w:p>
    <w:p w14:paraId="2B99C99B" w14:textId="77777777" w:rsidR="000A52D5" w:rsidRPr="00D5464D" w:rsidRDefault="000A52D5" w:rsidP="00140440">
      <w:pPr>
        <w:tabs>
          <w:tab w:val="clear" w:pos="4419"/>
          <w:tab w:val="clear" w:pos="8838"/>
        </w:tabs>
        <w:jc w:val="both"/>
        <w:rPr>
          <w:rFonts w:eastAsia="Batang" w:cs="Times"/>
          <w:szCs w:val="24"/>
          <w:u w:val="single"/>
          <w:lang w:val="pt-BR" w:eastAsia="es-ES"/>
        </w:rPr>
      </w:pPr>
    </w:p>
    <w:p w14:paraId="45D80537" w14:textId="263A0C0A" w:rsidR="000A52D5" w:rsidRPr="00D5464D" w:rsidRDefault="00AB4663" w:rsidP="008E79CF">
      <w:pPr>
        <w:numPr>
          <w:ilvl w:val="0"/>
          <w:numId w:val="1"/>
        </w:numPr>
        <w:tabs>
          <w:tab w:val="clear" w:pos="4419"/>
          <w:tab w:val="clear" w:pos="8838"/>
        </w:tabs>
        <w:jc w:val="both"/>
        <w:rPr>
          <w:rFonts w:eastAsia="Batang" w:cs="Times"/>
          <w:szCs w:val="24"/>
          <w:lang w:val="pt-BR" w:eastAsia="es-ES"/>
        </w:rPr>
      </w:pPr>
      <w:r w:rsidRPr="00D5464D">
        <w:rPr>
          <w:spacing w:val="-3"/>
          <w:szCs w:val="20"/>
          <w:lang w:val="pt-BR"/>
        </w:rPr>
        <w:t>De outro modo</w:t>
      </w:r>
      <w:r w:rsidR="00A1358C" w:rsidRPr="00D5464D">
        <w:rPr>
          <w:spacing w:val="-3"/>
          <w:szCs w:val="20"/>
          <w:lang w:val="pt-BR"/>
        </w:rPr>
        <w:t>,</w:t>
      </w:r>
      <w:r w:rsidR="00470ADC" w:rsidRPr="00D5464D">
        <w:rPr>
          <w:spacing w:val="-3"/>
          <w:szCs w:val="20"/>
          <w:lang w:val="pt-BR"/>
        </w:rPr>
        <w:t xml:space="preserve"> em </w:t>
      </w:r>
      <w:r w:rsidR="00E045D9" w:rsidRPr="00D5464D">
        <w:rPr>
          <w:spacing w:val="-3"/>
          <w:szCs w:val="20"/>
          <w:lang w:val="pt-BR"/>
        </w:rPr>
        <w:t>sua jurisprudência</w:t>
      </w:r>
      <w:r w:rsidR="002C330E" w:rsidRPr="00D5464D">
        <w:rPr>
          <w:spacing w:val="-3"/>
          <w:szCs w:val="20"/>
          <w:lang w:val="pt-BR"/>
        </w:rPr>
        <w:t xml:space="preserve"> </w:t>
      </w:r>
      <w:r w:rsidR="008E79CF" w:rsidRPr="00D5464D">
        <w:rPr>
          <w:spacing w:val="-3"/>
          <w:szCs w:val="20"/>
          <w:lang w:val="pt-BR"/>
        </w:rPr>
        <w:t>constante</w:t>
      </w:r>
      <w:r w:rsidRPr="00D5464D">
        <w:rPr>
          <w:spacing w:val="-3"/>
          <w:szCs w:val="20"/>
          <w:lang w:val="pt-BR"/>
        </w:rPr>
        <w:t>,</w:t>
      </w:r>
      <w:r w:rsidR="008E79CF" w:rsidRPr="00D5464D">
        <w:rPr>
          <w:spacing w:val="-3"/>
          <w:szCs w:val="20"/>
          <w:lang w:val="pt-BR"/>
        </w:rPr>
        <w:t xml:space="preserve"> este Tribunal </w:t>
      </w:r>
      <w:r w:rsidR="002C330E" w:rsidRPr="00D5464D">
        <w:rPr>
          <w:spacing w:val="-3"/>
          <w:szCs w:val="20"/>
          <w:lang w:val="pt-BR"/>
        </w:rPr>
        <w:t>estabeleceu</w:t>
      </w:r>
      <w:r w:rsidR="008E79CF" w:rsidRPr="00D5464D">
        <w:rPr>
          <w:spacing w:val="-3"/>
          <w:szCs w:val="20"/>
          <w:lang w:val="pt-BR"/>
        </w:rPr>
        <w:t xml:space="preserve"> que</w:t>
      </w:r>
      <w:r w:rsidR="002C330E" w:rsidRPr="00D5464D">
        <w:rPr>
          <w:spacing w:val="-3"/>
          <w:szCs w:val="20"/>
          <w:lang w:val="pt-BR"/>
        </w:rPr>
        <w:t xml:space="preserve"> os </w:t>
      </w:r>
      <w:r w:rsidR="00470ADC" w:rsidRPr="00D5464D">
        <w:rPr>
          <w:spacing w:val="-3"/>
          <w:szCs w:val="20"/>
          <w:lang w:val="pt-BR"/>
        </w:rPr>
        <w:t>atos</w:t>
      </w:r>
      <w:r w:rsidR="008E79CF" w:rsidRPr="00D5464D">
        <w:rPr>
          <w:spacing w:val="-3"/>
          <w:szCs w:val="20"/>
          <w:lang w:val="pt-BR"/>
        </w:rPr>
        <w:t xml:space="preserve"> de </w:t>
      </w:r>
      <w:r w:rsidR="00470ADC" w:rsidRPr="00D5464D">
        <w:rPr>
          <w:spacing w:val="-3"/>
          <w:szCs w:val="20"/>
          <w:lang w:val="pt-BR"/>
        </w:rPr>
        <w:t>caráter</w:t>
      </w:r>
      <w:r w:rsidR="008E79CF" w:rsidRPr="00D5464D">
        <w:rPr>
          <w:spacing w:val="-3"/>
          <w:szCs w:val="20"/>
          <w:lang w:val="pt-BR"/>
        </w:rPr>
        <w:t xml:space="preserve"> </w:t>
      </w:r>
      <w:r w:rsidR="00470ADC" w:rsidRPr="00D5464D">
        <w:rPr>
          <w:spacing w:val="-3"/>
          <w:szCs w:val="20"/>
          <w:lang w:val="pt-BR"/>
        </w:rPr>
        <w:t>contínuo</w:t>
      </w:r>
      <w:r w:rsidR="00350187" w:rsidRPr="00D5464D">
        <w:rPr>
          <w:spacing w:val="-3"/>
          <w:szCs w:val="20"/>
          <w:lang w:val="pt-BR"/>
        </w:rPr>
        <w:t xml:space="preserve"> ou permanente </w:t>
      </w:r>
      <w:r w:rsidR="008E79CF" w:rsidRPr="00D5464D">
        <w:rPr>
          <w:rStyle w:val="apple-style-span"/>
          <w:color w:val="000000"/>
          <w:szCs w:val="20"/>
          <w:lang w:val="pt-BR"/>
        </w:rPr>
        <w:t xml:space="preserve">se </w:t>
      </w:r>
      <w:r w:rsidR="00E045D9" w:rsidRPr="00D5464D">
        <w:rPr>
          <w:rStyle w:val="apple-style-span"/>
          <w:color w:val="000000"/>
          <w:szCs w:val="20"/>
          <w:lang w:val="pt-BR"/>
        </w:rPr>
        <w:t>e</w:t>
      </w:r>
      <w:r w:rsidRPr="00D5464D">
        <w:rPr>
          <w:rStyle w:val="apple-style-span"/>
          <w:color w:val="000000"/>
          <w:szCs w:val="20"/>
          <w:lang w:val="pt-BR"/>
        </w:rPr>
        <w:t>s</w:t>
      </w:r>
      <w:r w:rsidR="00E045D9" w:rsidRPr="00D5464D">
        <w:rPr>
          <w:rStyle w:val="apple-style-span"/>
          <w:color w:val="000000"/>
          <w:szCs w:val="20"/>
          <w:lang w:val="pt-BR"/>
        </w:rPr>
        <w:t>tende</w:t>
      </w:r>
      <w:r w:rsidRPr="00D5464D">
        <w:rPr>
          <w:rStyle w:val="apple-style-span"/>
          <w:color w:val="000000"/>
          <w:szCs w:val="20"/>
          <w:lang w:val="pt-BR"/>
        </w:rPr>
        <w:t>m</w:t>
      </w:r>
      <w:r w:rsidR="008E79CF" w:rsidRPr="00D5464D">
        <w:rPr>
          <w:rStyle w:val="apple-style-span"/>
          <w:color w:val="000000"/>
          <w:szCs w:val="20"/>
          <w:lang w:val="pt-BR"/>
        </w:rPr>
        <w:t xml:space="preserve"> durante todo</w:t>
      </w:r>
      <w:r w:rsidR="00470ADC" w:rsidRPr="00D5464D">
        <w:rPr>
          <w:rStyle w:val="apple-style-span"/>
          <w:color w:val="000000"/>
          <w:szCs w:val="20"/>
          <w:lang w:val="pt-BR"/>
        </w:rPr>
        <w:t xml:space="preserve"> o </w:t>
      </w:r>
      <w:r w:rsidR="00E045D9" w:rsidRPr="00D5464D">
        <w:rPr>
          <w:rStyle w:val="apple-style-span"/>
          <w:color w:val="000000"/>
          <w:szCs w:val="20"/>
          <w:lang w:val="pt-BR"/>
        </w:rPr>
        <w:t xml:space="preserve">tempo no </w:t>
      </w:r>
      <w:r w:rsidR="00470ADC" w:rsidRPr="00D5464D">
        <w:rPr>
          <w:rStyle w:val="apple-style-span"/>
          <w:color w:val="000000"/>
          <w:szCs w:val="20"/>
          <w:lang w:val="pt-BR"/>
        </w:rPr>
        <w:t>qual o</w:t>
      </w:r>
      <w:r w:rsidR="002C330E" w:rsidRPr="00D5464D">
        <w:rPr>
          <w:rStyle w:val="apple-style-span"/>
          <w:color w:val="000000"/>
          <w:szCs w:val="20"/>
          <w:lang w:val="pt-BR"/>
        </w:rPr>
        <w:t xml:space="preserve"> fato </w:t>
      </w:r>
      <w:r w:rsidR="008E79CF" w:rsidRPr="00D5464D">
        <w:rPr>
          <w:rStyle w:val="apple-style-span"/>
          <w:color w:val="000000"/>
          <w:szCs w:val="20"/>
          <w:lang w:val="pt-BR"/>
        </w:rPr>
        <w:t>contin</w:t>
      </w:r>
      <w:r w:rsidRPr="00D5464D">
        <w:rPr>
          <w:rStyle w:val="apple-style-span"/>
          <w:color w:val="000000"/>
          <w:szCs w:val="20"/>
          <w:lang w:val="pt-BR"/>
        </w:rPr>
        <w:t>u</w:t>
      </w:r>
      <w:r w:rsidR="008E79CF" w:rsidRPr="00D5464D">
        <w:rPr>
          <w:rStyle w:val="apple-style-span"/>
          <w:color w:val="000000"/>
          <w:szCs w:val="20"/>
          <w:lang w:val="pt-BR"/>
        </w:rPr>
        <w:t>a, mantendo</w:t>
      </w:r>
      <w:r w:rsidRPr="00D5464D">
        <w:rPr>
          <w:rStyle w:val="apple-style-span"/>
          <w:color w:val="000000"/>
          <w:szCs w:val="20"/>
          <w:lang w:val="pt-BR"/>
        </w:rPr>
        <w:t>-</w:t>
      </w:r>
      <w:r w:rsidR="008E79CF" w:rsidRPr="00D5464D">
        <w:rPr>
          <w:rStyle w:val="apple-style-span"/>
          <w:color w:val="000000"/>
          <w:szCs w:val="20"/>
          <w:lang w:val="pt-BR"/>
        </w:rPr>
        <w:t xml:space="preserve">se </w:t>
      </w:r>
      <w:r w:rsidR="00230C71" w:rsidRPr="00D5464D">
        <w:rPr>
          <w:rStyle w:val="apple-style-span"/>
          <w:color w:val="000000"/>
          <w:szCs w:val="20"/>
          <w:lang w:val="pt-BR"/>
        </w:rPr>
        <w:t xml:space="preserve">sua </w:t>
      </w:r>
      <w:r w:rsidR="00117B9D" w:rsidRPr="00D5464D">
        <w:rPr>
          <w:rStyle w:val="apple-style-span"/>
          <w:color w:val="000000"/>
          <w:szCs w:val="20"/>
          <w:lang w:val="pt-BR"/>
        </w:rPr>
        <w:t>desconformidade</w:t>
      </w:r>
      <w:r w:rsidR="00470ADC" w:rsidRPr="00D5464D">
        <w:rPr>
          <w:rStyle w:val="apple-style-span"/>
          <w:color w:val="000000"/>
          <w:szCs w:val="20"/>
          <w:lang w:val="pt-BR"/>
        </w:rPr>
        <w:t xml:space="preserve"> com</w:t>
      </w:r>
      <w:r w:rsidR="002C330E" w:rsidRPr="00D5464D">
        <w:rPr>
          <w:rStyle w:val="apple-style-span"/>
          <w:color w:val="000000"/>
          <w:szCs w:val="20"/>
          <w:lang w:val="pt-BR"/>
        </w:rPr>
        <w:t xml:space="preserve"> a obrigação</w:t>
      </w:r>
      <w:r w:rsidR="008E79CF" w:rsidRPr="00D5464D">
        <w:rPr>
          <w:rStyle w:val="apple-style-span"/>
          <w:color w:val="000000"/>
          <w:szCs w:val="20"/>
          <w:lang w:val="pt-BR"/>
        </w:rPr>
        <w:t xml:space="preserve"> internacional</w:t>
      </w:r>
      <w:r w:rsidR="00C91CB1" w:rsidRPr="00D5464D">
        <w:rPr>
          <w:rStyle w:val="apple-style-span"/>
          <w:color w:val="000000"/>
          <w:szCs w:val="20"/>
          <w:lang w:val="pt-BR"/>
        </w:rPr>
        <w:t xml:space="preserve">. Em </w:t>
      </w:r>
      <w:r w:rsidR="00470ADC" w:rsidRPr="00D5464D">
        <w:rPr>
          <w:szCs w:val="20"/>
          <w:lang w:val="pt-BR"/>
        </w:rPr>
        <w:t>concordância com</w:t>
      </w:r>
      <w:r w:rsidR="00C91CB1" w:rsidRPr="00D5464D">
        <w:rPr>
          <w:szCs w:val="20"/>
          <w:lang w:val="pt-BR"/>
        </w:rPr>
        <w:t xml:space="preserve"> o </w:t>
      </w:r>
      <w:r w:rsidR="008E79CF" w:rsidRPr="00D5464D">
        <w:rPr>
          <w:szCs w:val="20"/>
          <w:lang w:val="pt-BR"/>
        </w:rPr>
        <w:t>anterior,</w:t>
      </w:r>
      <w:r w:rsidR="002C330E" w:rsidRPr="00D5464D">
        <w:rPr>
          <w:szCs w:val="20"/>
          <w:lang w:val="pt-BR"/>
        </w:rPr>
        <w:t xml:space="preserve"> a </w:t>
      </w:r>
      <w:r w:rsidR="008E79CF" w:rsidRPr="00D5464D">
        <w:rPr>
          <w:szCs w:val="20"/>
          <w:lang w:val="pt-BR"/>
        </w:rPr>
        <w:t xml:space="preserve">Corte </w:t>
      </w:r>
      <w:r w:rsidR="00E045D9" w:rsidRPr="00D5464D">
        <w:rPr>
          <w:szCs w:val="20"/>
          <w:lang w:val="pt-BR"/>
        </w:rPr>
        <w:t>recorda</w:t>
      </w:r>
      <w:r w:rsidR="008E79CF" w:rsidRPr="00D5464D">
        <w:rPr>
          <w:szCs w:val="20"/>
          <w:lang w:val="pt-BR"/>
        </w:rPr>
        <w:t xml:space="preserve"> que</w:t>
      </w:r>
      <w:r w:rsidR="00470ADC" w:rsidRPr="00D5464D">
        <w:rPr>
          <w:szCs w:val="20"/>
          <w:lang w:val="pt-BR"/>
        </w:rPr>
        <w:t xml:space="preserve"> o caráter</w:t>
      </w:r>
      <w:r w:rsidR="008E79CF" w:rsidRPr="00D5464D">
        <w:rPr>
          <w:szCs w:val="20"/>
          <w:lang w:val="pt-BR"/>
        </w:rPr>
        <w:t xml:space="preserve"> </w:t>
      </w:r>
      <w:r w:rsidR="00470ADC" w:rsidRPr="00D5464D">
        <w:rPr>
          <w:szCs w:val="20"/>
          <w:lang w:val="pt-BR"/>
        </w:rPr>
        <w:t>contínuo</w:t>
      </w:r>
      <w:r w:rsidR="00350187" w:rsidRPr="00D5464D">
        <w:rPr>
          <w:szCs w:val="20"/>
          <w:lang w:val="pt-BR"/>
        </w:rPr>
        <w:t xml:space="preserve"> ou permanente </w:t>
      </w:r>
      <w:r w:rsidR="00470ADC" w:rsidRPr="00D5464D">
        <w:rPr>
          <w:szCs w:val="20"/>
          <w:lang w:val="pt-BR"/>
        </w:rPr>
        <w:t>d</w:t>
      </w:r>
      <w:r w:rsidR="00E045D9" w:rsidRPr="00D5464D">
        <w:rPr>
          <w:szCs w:val="20"/>
          <w:lang w:val="pt-BR"/>
        </w:rPr>
        <w:t>o desaparecimento forçado</w:t>
      </w:r>
      <w:r w:rsidR="008E79CF" w:rsidRPr="00D5464D">
        <w:rPr>
          <w:szCs w:val="20"/>
          <w:lang w:val="pt-BR"/>
        </w:rPr>
        <w:t xml:space="preserve"> de </w:t>
      </w:r>
      <w:r w:rsidR="002C330E" w:rsidRPr="00D5464D">
        <w:rPr>
          <w:szCs w:val="20"/>
          <w:lang w:val="pt-BR"/>
        </w:rPr>
        <w:t>pessoa</w:t>
      </w:r>
      <w:r w:rsidR="008E79CF" w:rsidRPr="00D5464D">
        <w:rPr>
          <w:szCs w:val="20"/>
          <w:lang w:val="pt-BR"/>
        </w:rPr>
        <w:t>s</w:t>
      </w:r>
      <w:r w:rsidR="002C330E" w:rsidRPr="00D5464D">
        <w:rPr>
          <w:szCs w:val="20"/>
          <w:lang w:val="pt-BR"/>
        </w:rPr>
        <w:t xml:space="preserve"> foi </w:t>
      </w:r>
      <w:r w:rsidR="008E79CF" w:rsidRPr="00D5464D">
        <w:rPr>
          <w:szCs w:val="20"/>
          <w:lang w:val="pt-BR"/>
        </w:rPr>
        <w:t>re</w:t>
      </w:r>
      <w:r w:rsidR="00470ADC" w:rsidRPr="00D5464D">
        <w:rPr>
          <w:szCs w:val="20"/>
          <w:lang w:val="pt-BR"/>
        </w:rPr>
        <w:t>conhecido</w:t>
      </w:r>
      <w:r w:rsidR="008E79CF" w:rsidRPr="00D5464D">
        <w:rPr>
          <w:szCs w:val="20"/>
          <w:lang w:val="pt-BR"/>
        </w:rPr>
        <w:t xml:space="preserve"> de </w:t>
      </w:r>
      <w:r w:rsidR="002C330E" w:rsidRPr="00D5464D">
        <w:rPr>
          <w:szCs w:val="20"/>
          <w:lang w:val="pt-BR"/>
        </w:rPr>
        <w:t>maneira</w:t>
      </w:r>
      <w:r w:rsidR="008E79CF" w:rsidRPr="00D5464D">
        <w:rPr>
          <w:szCs w:val="20"/>
          <w:lang w:val="pt-BR"/>
        </w:rPr>
        <w:t xml:space="preserve"> reiterada</w:t>
      </w:r>
      <w:r w:rsidR="002C330E" w:rsidRPr="00D5464D">
        <w:rPr>
          <w:szCs w:val="20"/>
          <w:lang w:val="pt-BR"/>
        </w:rPr>
        <w:t xml:space="preserve"> pelo </w:t>
      </w:r>
      <w:r w:rsidR="00E765C2" w:rsidRPr="00D5464D">
        <w:rPr>
          <w:szCs w:val="20"/>
          <w:lang w:val="pt-BR"/>
        </w:rPr>
        <w:t>Direito Internacional</w:t>
      </w:r>
      <w:r w:rsidR="00470ADC" w:rsidRPr="00D5464D">
        <w:rPr>
          <w:szCs w:val="20"/>
          <w:lang w:val="pt-BR"/>
        </w:rPr>
        <w:t xml:space="preserve"> dos Direito</w:t>
      </w:r>
      <w:r w:rsidR="008E79CF" w:rsidRPr="00D5464D">
        <w:rPr>
          <w:szCs w:val="20"/>
          <w:lang w:val="pt-BR"/>
        </w:rPr>
        <w:t>s Humanos,</w:t>
      </w:r>
      <w:r w:rsidR="00E045D9" w:rsidRPr="00D5464D">
        <w:rPr>
          <w:szCs w:val="20"/>
          <w:lang w:val="pt-BR"/>
        </w:rPr>
        <w:t xml:space="preserve"> no </w:t>
      </w:r>
      <w:r w:rsidR="00470ADC" w:rsidRPr="00D5464D">
        <w:rPr>
          <w:szCs w:val="20"/>
          <w:lang w:val="pt-BR"/>
        </w:rPr>
        <w:t xml:space="preserve">qual o ato </w:t>
      </w:r>
      <w:r w:rsidR="008E79CF" w:rsidRPr="00D5464D">
        <w:rPr>
          <w:szCs w:val="20"/>
          <w:lang w:val="pt-BR"/>
        </w:rPr>
        <w:t xml:space="preserve">de </w:t>
      </w:r>
      <w:r w:rsidR="00470ADC" w:rsidRPr="00D5464D">
        <w:rPr>
          <w:szCs w:val="20"/>
          <w:lang w:val="pt-BR"/>
        </w:rPr>
        <w:t>desaparecimento</w:t>
      </w:r>
      <w:r w:rsidR="00E045D9" w:rsidRPr="00D5464D">
        <w:rPr>
          <w:szCs w:val="20"/>
          <w:lang w:val="pt-BR"/>
        </w:rPr>
        <w:t xml:space="preserve"> e sua execução</w:t>
      </w:r>
      <w:r w:rsidR="008E79CF" w:rsidRPr="00D5464D">
        <w:rPr>
          <w:szCs w:val="20"/>
          <w:lang w:val="pt-BR"/>
        </w:rPr>
        <w:t xml:space="preserve"> </w:t>
      </w:r>
      <w:r w:rsidR="002C330E" w:rsidRPr="00D5464D">
        <w:rPr>
          <w:szCs w:val="20"/>
          <w:lang w:val="pt-BR"/>
        </w:rPr>
        <w:t>iniciam</w:t>
      </w:r>
      <w:r w:rsidR="00470ADC" w:rsidRPr="00D5464D">
        <w:rPr>
          <w:szCs w:val="20"/>
          <w:lang w:val="pt-BR"/>
        </w:rPr>
        <w:t xml:space="preserve"> com</w:t>
      </w:r>
      <w:r w:rsidR="002C330E" w:rsidRPr="00D5464D">
        <w:rPr>
          <w:szCs w:val="20"/>
          <w:lang w:val="pt-BR"/>
        </w:rPr>
        <w:t xml:space="preserve"> a </w:t>
      </w:r>
      <w:r w:rsidR="008E79CF" w:rsidRPr="00D5464D">
        <w:rPr>
          <w:szCs w:val="20"/>
          <w:lang w:val="pt-BR"/>
        </w:rPr>
        <w:t>priva</w:t>
      </w:r>
      <w:r w:rsidR="00470ADC" w:rsidRPr="00D5464D">
        <w:rPr>
          <w:szCs w:val="20"/>
          <w:lang w:val="pt-BR"/>
        </w:rPr>
        <w:t xml:space="preserve">ção da </w:t>
      </w:r>
      <w:r w:rsidR="002C330E" w:rsidRPr="00D5464D">
        <w:rPr>
          <w:szCs w:val="20"/>
          <w:lang w:val="pt-BR"/>
        </w:rPr>
        <w:t xml:space="preserve">liberdade </w:t>
      </w:r>
      <w:r w:rsidR="00470ADC" w:rsidRPr="00D5464D">
        <w:rPr>
          <w:szCs w:val="20"/>
          <w:lang w:val="pt-BR"/>
        </w:rPr>
        <w:t xml:space="preserve">da </w:t>
      </w:r>
      <w:r w:rsidR="002C330E" w:rsidRPr="00D5464D">
        <w:rPr>
          <w:szCs w:val="20"/>
          <w:lang w:val="pt-BR"/>
        </w:rPr>
        <w:t>pessoa</w:t>
      </w:r>
      <w:r w:rsidR="00E045D9" w:rsidRPr="00D5464D">
        <w:rPr>
          <w:szCs w:val="20"/>
          <w:lang w:val="pt-BR"/>
        </w:rPr>
        <w:t xml:space="preserve"> e </w:t>
      </w:r>
      <w:r w:rsidR="002C330E" w:rsidRPr="00D5464D">
        <w:rPr>
          <w:szCs w:val="20"/>
          <w:lang w:val="pt-BR"/>
        </w:rPr>
        <w:t xml:space="preserve">a </w:t>
      </w:r>
      <w:r w:rsidR="008E79CF" w:rsidRPr="00D5464D">
        <w:rPr>
          <w:szCs w:val="20"/>
          <w:lang w:val="pt-BR"/>
        </w:rPr>
        <w:t>sub</w:t>
      </w:r>
      <w:r w:rsidR="002C330E" w:rsidRPr="00D5464D">
        <w:rPr>
          <w:szCs w:val="20"/>
          <w:lang w:val="pt-BR"/>
        </w:rPr>
        <w:t>se</w:t>
      </w:r>
      <w:r w:rsidRPr="00D5464D">
        <w:rPr>
          <w:szCs w:val="20"/>
          <w:lang w:val="pt-BR"/>
        </w:rPr>
        <w:t>que</w:t>
      </w:r>
      <w:r w:rsidR="002C330E" w:rsidRPr="00D5464D">
        <w:rPr>
          <w:szCs w:val="20"/>
          <w:lang w:val="pt-BR"/>
        </w:rPr>
        <w:t>nte</w:t>
      </w:r>
      <w:r w:rsidR="008E79CF" w:rsidRPr="00D5464D">
        <w:rPr>
          <w:szCs w:val="20"/>
          <w:lang w:val="pt-BR"/>
        </w:rPr>
        <w:t xml:space="preserve"> falta de informa</w:t>
      </w:r>
      <w:r w:rsidR="00470ADC" w:rsidRPr="00D5464D">
        <w:rPr>
          <w:szCs w:val="20"/>
          <w:lang w:val="pt-BR"/>
        </w:rPr>
        <w:t>ção</w:t>
      </w:r>
      <w:r w:rsidR="008E79CF" w:rsidRPr="00D5464D">
        <w:rPr>
          <w:szCs w:val="20"/>
          <w:lang w:val="pt-BR"/>
        </w:rPr>
        <w:t xml:space="preserve"> sobre </w:t>
      </w:r>
      <w:r w:rsidR="00A1358C" w:rsidRPr="00D5464D">
        <w:rPr>
          <w:szCs w:val="20"/>
          <w:lang w:val="pt-BR"/>
        </w:rPr>
        <w:t>seu destino</w:t>
      </w:r>
      <w:r w:rsidR="00470ADC" w:rsidRPr="00D5464D">
        <w:rPr>
          <w:szCs w:val="20"/>
          <w:lang w:val="pt-BR"/>
        </w:rPr>
        <w:t>, e</w:t>
      </w:r>
      <w:r w:rsidR="008E79CF" w:rsidRPr="00D5464D">
        <w:rPr>
          <w:szCs w:val="20"/>
          <w:lang w:val="pt-BR"/>
        </w:rPr>
        <w:t xml:space="preserve"> permanece </w:t>
      </w:r>
      <w:r w:rsidR="002C330E" w:rsidRPr="00D5464D">
        <w:rPr>
          <w:szCs w:val="20"/>
          <w:lang w:val="pt-BR"/>
        </w:rPr>
        <w:t>até</w:t>
      </w:r>
      <w:r w:rsidR="008E79CF" w:rsidRPr="00D5464D">
        <w:rPr>
          <w:szCs w:val="20"/>
          <w:lang w:val="pt-BR"/>
        </w:rPr>
        <w:t xml:space="preserve"> </w:t>
      </w:r>
      <w:r w:rsidRPr="00D5464D">
        <w:rPr>
          <w:szCs w:val="20"/>
          <w:lang w:val="pt-BR"/>
        </w:rPr>
        <w:t xml:space="preserve">que não </w:t>
      </w:r>
      <w:r w:rsidR="008E79CF" w:rsidRPr="00D5464D">
        <w:rPr>
          <w:szCs w:val="20"/>
          <w:lang w:val="pt-BR"/>
        </w:rPr>
        <w:t xml:space="preserve">se </w:t>
      </w:r>
      <w:r w:rsidR="00470ADC" w:rsidRPr="00D5464D">
        <w:rPr>
          <w:szCs w:val="20"/>
          <w:lang w:val="pt-BR"/>
        </w:rPr>
        <w:t xml:space="preserve">conheça o </w:t>
      </w:r>
      <w:r w:rsidR="002C330E" w:rsidRPr="00D5464D">
        <w:rPr>
          <w:szCs w:val="20"/>
          <w:lang w:val="pt-BR"/>
        </w:rPr>
        <w:t>paradeiro</w:t>
      </w:r>
      <w:r w:rsidR="00470ADC" w:rsidRPr="00D5464D">
        <w:rPr>
          <w:szCs w:val="20"/>
          <w:lang w:val="pt-BR"/>
        </w:rPr>
        <w:t xml:space="preserve"> da </w:t>
      </w:r>
      <w:r w:rsidR="002C330E" w:rsidRPr="00D5464D">
        <w:rPr>
          <w:szCs w:val="20"/>
          <w:lang w:val="pt-BR"/>
        </w:rPr>
        <w:t>pessoa</w:t>
      </w:r>
      <w:r w:rsidR="008E79CF" w:rsidRPr="00D5464D">
        <w:rPr>
          <w:szCs w:val="20"/>
          <w:lang w:val="pt-BR"/>
        </w:rPr>
        <w:t xml:space="preserve"> desaparecida</w:t>
      </w:r>
      <w:r w:rsidR="00E045D9" w:rsidRPr="00D5464D">
        <w:rPr>
          <w:szCs w:val="20"/>
          <w:lang w:val="pt-BR"/>
        </w:rPr>
        <w:t xml:space="preserve"> e </w:t>
      </w:r>
      <w:r w:rsidR="002C330E" w:rsidRPr="00D5464D">
        <w:rPr>
          <w:szCs w:val="20"/>
          <w:lang w:val="pt-BR"/>
        </w:rPr>
        <w:t>os fatos</w:t>
      </w:r>
      <w:r w:rsidR="008E79CF" w:rsidRPr="00D5464D">
        <w:rPr>
          <w:szCs w:val="20"/>
          <w:lang w:val="pt-BR"/>
        </w:rPr>
        <w:t xml:space="preserve"> </w:t>
      </w:r>
      <w:r w:rsidR="00737270" w:rsidRPr="00D5464D">
        <w:rPr>
          <w:szCs w:val="20"/>
          <w:lang w:val="pt-BR"/>
        </w:rPr>
        <w:t>não tenha</w:t>
      </w:r>
      <w:r w:rsidR="002C330E" w:rsidRPr="00D5464D">
        <w:rPr>
          <w:szCs w:val="20"/>
          <w:lang w:val="pt-BR"/>
        </w:rPr>
        <w:t>m</w:t>
      </w:r>
      <w:r w:rsidR="008E79CF" w:rsidRPr="00D5464D">
        <w:rPr>
          <w:szCs w:val="20"/>
          <w:lang w:val="pt-BR"/>
        </w:rPr>
        <w:t xml:space="preserve"> sido esclarecidos</w:t>
      </w:r>
      <w:r w:rsidRPr="00D5464D">
        <w:rPr>
          <w:szCs w:val="20"/>
          <w:lang w:val="pt-BR"/>
        </w:rPr>
        <w:t>.</w:t>
      </w:r>
      <w:r w:rsidR="000A52D5" w:rsidRPr="00D5464D">
        <w:rPr>
          <w:rFonts w:eastAsia="Batang" w:cs="Times"/>
          <w:szCs w:val="24"/>
          <w:vertAlign w:val="superscript"/>
          <w:lang w:val="pt-BR" w:eastAsia="es-ES"/>
        </w:rPr>
        <w:footnoteReference w:id="45"/>
      </w:r>
      <w:r w:rsidR="000A52D5" w:rsidRPr="00D5464D">
        <w:rPr>
          <w:rFonts w:eastAsia="Batang" w:cs="Times"/>
          <w:szCs w:val="24"/>
          <w:lang w:val="pt-BR" w:eastAsia="es-ES"/>
        </w:rPr>
        <w:t xml:space="preserve"> </w:t>
      </w:r>
      <w:r w:rsidR="00230C71" w:rsidRPr="00D5464D">
        <w:rPr>
          <w:rFonts w:eastAsia="Batang" w:cs="Times"/>
          <w:szCs w:val="24"/>
          <w:lang w:val="pt-BR" w:eastAsia="es-ES"/>
        </w:rPr>
        <w:t>Portanto,</w:t>
      </w:r>
      <w:r w:rsidR="002C330E" w:rsidRPr="00D5464D">
        <w:rPr>
          <w:rFonts w:eastAsia="Batang" w:cs="Times"/>
          <w:szCs w:val="24"/>
          <w:lang w:val="pt-BR" w:eastAsia="es-ES"/>
        </w:rPr>
        <w:t xml:space="preserve"> a </w:t>
      </w:r>
      <w:r w:rsidR="000A52D5" w:rsidRPr="00D5464D">
        <w:rPr>
          <w:rFonts w:eastAsia="Batang" w:cs="Times"/>
          <w:szCs w:val="24"/>
          <w:lang w:val="pt-BR" w:eastAsia="es-ES"/>
        </w:rPr>
        <w:t>Corte</w:t>
      </w:r>
      <w:r w:rsidR="00470ADC" w:rsidRPr="00D5464D">
        <w:rPr>
          <w:rFonts w:eastAsia="Batang" w:cs="Times"/>
          <w:szCs w:val="24"/>
          <w:lang w:val="pt-BR" w:eastAsia="es-ES"/>
        </w:rPr>
        <w:t xml:space="preserve"> é </w:t>
      </w:r>
      <w:r w:rsidR="00A1358C" w:rsidRPr="00D5464D">
        <w:rPr>
          <w:rFonts w:eastAsia="Batang" w:cs="Times"/>
          <w:szCs w:val="24"/>
          <w:lang w:val="pt-BR" w:eastAsia="es-ES"/>
        </w:rPr>
        <w:t>competente</w:t>
      </w:r>
      <w:r w:rsidR="000A52D5" w:rsidRPr="00D5464D">
        <w:rPr>
          <w:rFonts w:eastAsia="Batang" w:cs="Times"/>
          <w:szCs w:val="24"/>
          <w:lang w:val="pt-BR" w:eastAsia="es-ES"/>
        </w:rPr>
        <w:t xml:space="preserve"> para </w:t>
      </w:r>
      <w:r w:rsidR="00470ADC" w:rsidRPr="00D5464D">
        <w:rPr>
          <w:rFonts w:eastAsia="Batang" w:cs="Times"/>
          <w:szCs w:val="24"/>
          <w:lang w:val="pt-BR" w:eastAsia="es-ES"/>
        </w:rPr>
        <w:t>analisar</w:t>
      </w:r>
      <w:r w:rsidR="002C330E" w:rsidRPr="00D5464D">
        <w:rPr>
          <w:rFonts w:eastAsia="Batang" w:cs="Times"/>
          <w:szCs w:val="24"/>
          <w:lang w:val="pt-BR" w:eastAsia="es-ES"/>
        </w:rPr>
        <w:t xml:space="preserve"> </w:t>
      </w:r>
      <w:r w:rsidRPr="00D5464D">
        <w:rPr>
          <w:rFonts w:eastAsia="Batang" w:cs="Times"/>
          <w:szCs w:val="24"/>
          <w:lang w:val="pt-BR" w:eastAsia="es-ES"/>
        </w:rPr>
        <w:t>o</w:t>
      </w:r>
      <w:r w:rsidR="002C330E" w:rsidRPr="00D5464D">
        <w:rPr>
          <w:rFonts w:eastAsia="Batang" w:cs="Times"/>
          <w:szCs w:val="24"/>
          <w:lang w:val="pt-BR" w:eastAsia="es-ES"/>
        </w:rPr>
        <w:t xml:space="preserve"> </w:t>
      </w:r>
      <w:r w:rsidR="000A52D5" w:rsidRPr="00D5464D">
        <w:rPr>
          <w:rFonts w:eastAsia="Batang" w:cs="Times"/>
          <w:szCs w:val="24"/>
          <w:lang w:val="pt-BR" w:eastAsia="es-ES"/>
        </w:rPr>
        <w:t>alegad</w:t>
      </w:r>
      <w:r w:rsidR="00E045D9" w:rsidRPr="00D5464D">
        <w:rPr>
          <w:rFonts w:eastAsia="Batang" w:cs="Times"/>
          <w:szCs w:val="24"/>
          <w:lang w:val="pt-BR" w:eastAsia="es-ES"/>
        </w:rPr>
        <w:t>o desaparecimento forçado</w:t>
      </w:r>
      <w:r w:rsidR="000A52D5" w:rsidRPr="00D5464D">
        <w:rPr>
          <w:rFonts w:eastAsia="Batang" w:cs="Times"/>
          <w:szCs w:val="24"/>
          <w:lang w:val="pt-BR" w:eastAsia="es-ES"/>
        </w:rPr>
        <w:t xml:space="preserve"> de </w:t>
      </w:r>
      <w:r w:rsidR="00200C04" w:rsidRPr="00D5464D">
        <w:rPr>
          <w:rFonts w:eastAsia="Batang" w:cs="Times"/>
          <w:szCs w:val="24"/>
          <w:lang w:val="pt-BR" w:eastAsia="es-ES"/>
        </w:rPr>
        <w:t xml:space="preserve">Luis Ferreira </w:t>
      </w:r>
      <w:r w:rsidR="00701BB2" w:rsidRPr="00D5464D">
        <w:rPr>
          <w:rFonts w:eastAsia="Batang" w:cs="Times"/>
          <w:szCs w:val="24"/>
          <w:lang w:val="pt-BR" w:eastAsia="es-ES"/>
        </w:rPr>
        <w:t xml:space="preserve">da Cruz </w:t>
      </w:r>
      <w:r w:rsidR="00B13CD7" w:rsidRPr="00D5464D">
        <w:rPr>
          <w:rFonts w:eastAsia="Batang" w:cs="Times"/>
          <w:szCs w:val="24"/>
          <w:lang w:val="pt-BR" w:eastAsia="es-ES"/>
        </w:rPr>
        <w:t xml:space="preserve">e </w:t>
      </w:r>
      <w:r w:rsidRPr="00D5464D">
        <w:rPr>
          <w:rFonts w:eastAsia="Batang" w:cs="Times"/>
          <w:szCs w:val="24"/>
          <w:lang w:val="pt-BR" w:eastAsia="es-ES"/>
        </w:rPr>
        <w:t xml:space="preserve">de </w:t>
      </w:r>
      <w:r w:rsidR="008B075C" w:rsidRPr="00D5464D">
        <w:rPr>
          <w:rFonts w:eastAsia="Batang" w:cs="Times"/>
          <w:szCs w:val="24"/>
          <w:lang w:val="pt-BR" w:eastAsia="es-ES"/>
        </w:rPr>
        <w:t>Iron Canuto da Silva</w:t>
      </w:r>
      <w:r w:rsidR="00B13CD7" w:rsidRPr="00D5464D">
        <w:rPr>
          <w:rFonts w:eastAsia="Batang" w:cs="Times"/>
          <w:szCs w:val="24"/>
          <w:lang w:val="pt-BR" w:eastAsia="es-ES"/>
        </w:rPr>
        <w:t xml:space="preserve"> </w:t>
      </w:r>
      <w:r w:rsidR="000A52D5" w:rsidRPr="00D5464D">
        <w:rPr>
          <w:rFonts w:eastAsia="Batang" w:cs="Times"/>
          <w:szCs w:val="24"/>
          <w:lang w:val="pt-BR" w:eastAsia="es-ES"/>
        </w:rPr>
        <w:t xml:space="preserve">a partir </w:t>
      </w:r>
      <w:r w:rsidR="00470ADC" w:rsidRPr="00D5464D">
        <w:rPr>
          <w:rFonts w:eastAsia="Batang" w:cs="Times"/>
          <w:szCs w:val="24"/>
          <w:lang w:val="pt-BR" w:eastAsia="es-ES"/>
        </w:rPr>
        <w:t xml:space="preserve">do </w:t>
      </w:r>
      <w:r w:rsidR="000A52D5" w:rsidRPr="00D5464D">
        <w:rPr>
          <w:rFonts w:eastAsia="Batang" w:cs="Times"/>
          <w:szCs w:val="24"/>
          <w:lang w:val="pt-BR" w:eastAsia="es-ES"/>
        </w:rPr>
        <w:t>re</w:t>
      </w:r>
      <w:r w:rsidR="00470ADC" w:rsidRPr="00D5464D">
        <w:rPr>
          <w:rFonts w:eastAsia="Batang" w:cs="Times"/>
          <w:szCs w:val="24"/>
          <w:lang w:val="pt-BR" w:eastAsia="es-ES"/>
        </w:rPr>
        <w:t>conhecimento</w:t>
      </w:r>
      <w:r w:rsidR="000A52D5" w:rsidRPr="00D5464D">
        <w:rPr>
          <w:rFonts w:eastAsia="Batang" w:cs="Times"/>
          <w:szCs w:val="24"/>
          <w:lang w:val="pt-BR" w:eastAsia="es-ES"/>
        </w:rPr>
        <w:t xml:space="preserve"> de </w:t>
      </w:r>
      <w:r w:rsidR="00E045D9" w:rsidRPr="00D5464D">
        <w:rPr>
          <w:rFonts w:eastAsia="Batang" w:cs="Times"/>
          <w:szCs w:val="24"/>
          <w:lang w:val="pt-BR" w:eastAsia="es-ES"/>
        </w:rPr>
        <w:t>sua competência</w:t>
      </w:r>
      <w:r w:rsidR="000A52D5" w:rsidRPr="00D5464D">
        <w:rPr>
          <w:rFonts w:eastAsia="Batang" w:cs="Times"/>
          <w:szCs w:val="24"/>
          <w:lang w:val="pt-BR" w:eastAsia="es-ES"/>
        </w:rPr>
        <w:t xml:space="preserve"> contenciosa </w:t>
      </w:r>
      <w:r w:rsidRPr="00D5464D">
        <w:rPr>
          <w:rFonts w:eastAsia="Batang" w:cs="Times"/>
          <w:szCs w:val="24"/>
          <w:lang w:val="pt-BR" w:eastAsia="es-ES"/>
        </w:rPr>
        <w:t>realizado pelo Brasil.</w:t>
      </w:r>
    </w:p>
    <w:p w14:paraId="0B4CFAE1" w14:textId="77777777" w:rsidR="000A52D5" w:rsidRPr="00D5464D" w:rsidRDefault="000A52D5" w:rsidP="00140440">
      <w:pPr>
        <w:tabs>
          <w:tab w:val="clear" w:pos="4419"/>
          <w:tab w:val="clear" w:pos="8838"/>
        </w:tabs>
        <w:jc w:val="both"/>
        <w:rPr>
          <w:rFonts w:eastAsia="Batang" w:cs="Times"/>
          <w:szCs w:val="24"/>
          <w:lang w:val="pt-BR" w:eastAsia="es-ES"/>
        </w:rPr>
      </w:pPr>
    </w:p>
    <w:p w14:paraId="234152CC" w14:textId="265D0912" w:rsidR="000A52D5" w:rsidRPr="00D5464D" w:rsidRDefault="000A52D5"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Adicionalmente,</w:t>
      </w:r>
      <w:r w:rsidR="00470ADC" w:rsidRPr="00D5464D">
        <w:rPr>
          <w:rFonts w:eastAsia="Batang" w:cs="Times"/>
          <w:szCs w:val="24"/>
          <w:lang w:val="pt-BR" w:eastAsia="es-ES"/>
        </w:rPr>
        <w:t xml:space="preserve"> o </w:t>
      </w:r>
      <w:r w:rsidRPr="00D5464D">
        <w:rPr>
          <w:rFonts w:eastAsia="Batang" w:cs="Times"/>
          <w:szCs w:val="24"/>
          <w:lang w:val="pt-BR" w:eastAsia="es-ES"/>
        </w:rPr>
        <w:t xml:space="preserve">Tribunal </w:t>
      </w:r>
      <w:r w:rsidR="002C330E" w:rsidRPr="00D5464D">
        <w:rPr>
          <w:rFonts w:eastAsia="Batang" w:cs="Times"/>
          <w:szCs w:val="24"/>
          <w:lang w:val="pt-BR" w:eastAsia="es-ES"/>
        </w:rPr>
        <w:t>pode</w:t>
      </w:r>
      <w:r w:rsidRPr="00D5464D">
        <w:rPr>
          <w:rFonts w:eastAsia="Batang" w:cs="Times"/>
          <w:szCs w:val="24"/>
          <w:lang w:val="pt-BR" w:eastAsia="es-ES"/>
        </w:rPr>
        <w:t xml:space="preserve"> examinar</w:t>
      </w:r>
      <w:r w:rsidR="00E045D9" w:rsidRPr="00D5464D">
        <w:rPr>
          <w:rFonts w:eastAsia="Batang" w:cs="Times"/>
          <w:szCs w:val="24"/>
          <w:lang w:val="pt-BR" w:eastAsia="es-ES"/>
        </w:rPr>
        <w:t xml:space="preserve"> e </w:t>
      </w:r>
      <w:r w:rsidR="002C330E" w:rsidRPr="00D5464D">
        <w:rPr>
          <w:rFonts w:eastAsia="Batang" w:cs="Times"/>
          <w:szCs w:val="24"/>
          <w:lang w:val="pt-BR" w:eastAsia="es-ES"/>
        </w:rPr>
        <w:t>pronunciar-se</w:t>
      </w:r>
      <w:r w:rsidRPr="00D5464D">
        <w:rPr>
          <w:rFonts w:eastAsia="Batang" w:cs="Times"/>
          <w:szCs w:val="24"/>
          <w:lang w:val="pt-BR" w:eastAsia="es-ES"/>
        </w:rPr>
        <w:t xml:space="preserve"> sobre</w:t>
      </w:r>
      <w:r w:rsidR="002C330E" w:rsidRPr="00D5464D">
        <w:rPr>
          <w:rFonts w:eastAsia="Batang" w:cs="Times"/>
          <w:szCs w:val="24"/>
          <w:lang w:val="pt-BR" w:eastAsia="es-ES"/>
        </w:rPr>
        <w:t xml:space="preserve"> as </w:t>
      </w:r>
      <w:r w:rsidR="00470ADC" w:rsidRPr="00D5464D">
        <w:rPr>
          <w:rFonts w:eastAsia="Batang" w:cs="Times"/>
          <w:szCs w:val="24"/>
          <w:lang w:val="pt-BR" w:eastAsia="es-ES"/>
        </w:rPr>
        <w:t>demais</w:t>
      </w:r>
      <w:r w:rsidRPr="00D5464D">
        <w:rPr>
          <w:rFonts w:eastAsia="Batang" w:cs="Times"/>
          <w:szCs w:val="24"/>
          <w:lang w:val="pt-BR" w:eastAsia="es-ES"/>
        </w:rPr>
        <w:t xml:space="preserve"> viola</w:t>
      </w:r>
      <w:r w:rsidR="00470ADC" w:rsidRPr="00D5464D">
        <w:rPr>
          <w:rFonts w:eastAsia="Batang" w:cs="Times"/>
          <w:szCs w:val="24"/>
          <w:lang w:val="pt-BR" w:eastAsia="es-ES"/>
        </w:rPr>
        <w:t>ções</w:t>
      </w:r>
      <w:r w:rsidRPr="00D5464D">
        <w:rPr>
          <w:rFonts w:eastAsia="Batang" w:cs="Times"/>
          <w:szCs w:val="24"/>
          <w:lang w:val="pt-BR" w:eastAsia="es-ES"/>
        </w:rPr>
        <w:t xml:space="preserve"> alegadas que se fund</w:t>
      </w:r>
      <w:r w:rsidR="00AB4663" w:rsidRPr="00D5464D">
        <w:rPr>
          <w:rFonts w:eastAsia="Batang" w:cs="Times"/>
          <w:szCs w:val="24"/>
          <w:lang w:val="pt-BR" w:eastAsia="es-ES"/>
        </w:rPr>
        <w:t>amentem</w:t>
      </w:r>
      <w:r w:rsidR="00470ADC" w:rsidRPr="00D5464D">
        <w:rPr>
          <w:rFonts w:eastAsia="Batang" w:cs="Times"/>
          <w:szCs w:val="24"/>
          <w:lang w:val="pt-BR" w:eastAsia="es-ES"/>
        </w:rPr>
        <w:t xml:space="preserve"> em </w:t>
      </w:r>
      <w:r w:rsidR="002C330E" w:rsidRPr="00D5464D">
        <w:rPr>
          <w:rFonts w:eastAsia="Batang" w:cs="Times"/>
          <w:szCs w:val="24"/>
          <w:lang w:val="pt-BR" w:eastAsia="es-ES"/>
        </w:rPr>
        <w:t>fatos</w:t>
      </w:r>
      <w:r w:rsidRPr="00D5464D">
        <w:rPr>
          <w:rFonts w:eastAsia="Batang" w:cs="Times"/>
          <w:szCs w:val="24"/>
          <w:lang w:val="pt-BR" w:eastAsia="es-ES"/>
        </w:rPr>
        <w:t xml:space="preserve"> que </w:t>
      </w:r>
      <w:r w:rsidR="002C330E" w:rsidRPr="00D5464D">
        <w:rPr>
          <w:rFonts w:eastAsia="Batang" w:cs="Times"/>
          <w:szCs w:val="24"/>
          <w:lang w:val="pt-BR" w:eastAsia="es-ES"/>
        </w:rPr>
        <w:t>ocorreram</w:t>
      </w:r>
      <w:r w:rsidRPr="00D5464D">
        <w:rPr>
          <w:rFonts w:eastAsia="Batang" w:cs="Times"/>
          <w:szCs w:val="24"/>
          <w:lang w:val="pt-BR" w:eastAsia="es-ES"/>
        </w:rPr>
        <w:t xml:space="preserve"> a partir</w:t>
      </w:r>
      <w:r w:rsidR="00737270" w:rsidRPr="00D5464D">
        <w:rPr>
          <w:rFonts w:eastAsia="Batang" w:cs="Times"/>
          <w:szCs w:val="24"/>
          <w:lang w:val="pt-BR" w:eastAsia="es-ES"/>
        </w:rPr>
        <w:t xml:space="preserve"> de 1</w:t>
      </w:r>
      <w:r w:rsidRPr="00D5464D">
        <w:rPr>
          <w:rFonts w:eastAsia="Batang" w:cs="Times"/>
          <w:szCs w:val="24"/>
          <w:lang w:val="pt-BR" w:eastAsia="es-ES"/>
        </w:rPr>
        <w:t xml:space="preserve">0 de </w:t>
      </w:r>
      <w:r w:rsidR="00470ADC" w:rsidRPr="00D5464D">
        <w:rPr>
          <w:rFonts w:eastAsia="Batang" w:cs="Times"/>
          <w:szCs w:val="24"/>
          <w:lang w:val="pt-BR" w:eastAsia="es-ES"/>
        </w:rPr>
        <w:t>dezembro</w:t>
      </w:r>
      <w:r w:rsidRPr="00D5464D">
        <w:rPr>
          <w:rFonts w:eastAsia="Batang" w:cs="Times"/>
          <w:szCs w:val="24"/>
          <w:lang w:val="pt-BR" w:eastAsia="es-ES"/>
        </w:rPr>
        <w:t xml:space="preserve"> de 1998. </w:t>
      </w:r>
      <w:r w:rsidR="00AB4663" w:rsidRPr="00D5464D">
        <w:rPr>
          <w:rFonts w:eastAsia="Batang" w:cs="Times"/>
          <w:szCs w:val="24"/>
          <w:lang w:val="pt-BR" w:eastAsia="es-ES"/>
        </w:rPr>
        <w:t>Em virtude d</w:t>
      </w:r>
      <w:r w:rsidR="00C91CB1" w:rsidRPr="00D5464D">
        <w:rPr>
          <w:rFonts w:eastAsia="Batang" w:cs="Times"/>
          <w:szCs w:val="24"/>
          <w:lang w:val="pt-BR" w:eastAsia="es-ES"/>
        </w:rPr>
        <w:t xml:space="preserve">o </w:t>
      </w:r>
      <w:r w:rsidRPr="00D5464D">
        <w:rPr>
          <w:rFonts w:eastAsia="Batang" w:cs="Times"/>
          <w:szCs w:val="24"/>
          <w:lang w:val="pt-BR" w:eastAsia="es-ES"/>
        </w:rPr>
        <w:t>anterior,</w:t>
      </w:r>
      <w:r w:rsidR="002C330E" w:rsidRPr="00D5464D">
        <w:rPr>
          <w:rFonts w:eastAsia="Batang" w:cs="Times"/>
          <w:szCs w:val="24"/>
          <w:lang w:val="pt-BR" w:eastAsia="es-ES"/>
        </w:rPr>
        <w:t xml:space="preserve"> a </w:t>
      </w:r>
      <w:r w:rsidRPr="00D5464D">
        <w:rPr>
          <w:rFonts w:eastAsia="Batang" w:cs="Times"/>
          <w:szCs w:val="24"/>
          <w:lang w:val="pt-BR" w:eastAsia="es-ES"/>
        </w:rPr>
        <w:t xml:space="preserve">Corte </w:t>
      </w:r>
      <w:r w:rsidR="00E045D9" w:rsidRPr="00D5464D">
        <w:rPr>
          <w:rFonts w:eastAsia="Batang" w:cs="Times"/>
          <w:szCs w:val="24"/>
          <w:lang w:val="pt-BR" w:eastAsia="es-ES"/>
        </w:rPr>
        <w:t xml:space="preserve">tem </w:t>
      </w:r>
      <w:r w:rsidR="00470ADC" w:rsidRPr="00D5464D">
        <w:rPr>
          <w:rFonts w:eastAsia="Batang" w:cs="Times"/>
          <w:szCs w:val="24"/>
          <w:lang w:val="pt-BR" w:eastAsia="es-ES"/>
        </w:rPr>
        <w:t>competência</w:t>
      </w:r>
      <w:r w:rsidRPr="00D5464D">
        <w:rPr>
          <w:rFonts w:eastAsia="Batang" w:cs="Times"/>
          <w:szCs w:val="24"/>
          <w:lang w:val="pt-BR" w:eastAsia="es-ES"/>
        </w:rPr>
        <w:t xml:space="preserve"> para </w:t>
      </w:r>
      <w:r w:rsidR="00470ADC" w:rsidRPr="00D5464D">
        <w:rPr>
          <w:rFonts w:eastAsia="Batang" w:cs="Times"/>
          <w:szCs w:val="24"/>
          <w:lang w:val="pt-BR" w:eastAsia="es-ES"/>
        </w:rPr>
        <w:t>analisar</w:t>
      </w:r>
      <w:r w:rsidR="002C330E" w:rsidRPr="00D5464D">
        <w:rPr>
          <w:rFonts w:eastAsia="Batang" w:cs="Times"/>
          <w:szCs w:val="24"/>
          <w:lang w:val="pt-BR" w:eastAsia="es-ES"/>
        </w:rPr>
        <w:t xml:space="preserve"> os </w:t>
      </w:r>
      <w:r w:rsidRPr="00D5464D">
        <w:rPr>
          <w:rFonts w:eastAsia="Batang" w:cs="Times"/>
          <w:szCs w:val="24"/>
          <w:lang w:val="pt-BR" w:eastAsia="es-ES"/>
        </w:rPr>
        <w:t>su</w:t>
      </w:r>
      <w:r w:rsidR="002C330E" w:rsidRPr="00D5464D">
        <w:rPr>
          <w:rFonts w:eastAsia="Batang" w:cs="Times"/>
          <w:szCs w:val="24"/>
          <w:lang w:val="pt-BR" w:eastAsia="es-ES"/>
        </w:rPr>
        <w:t>posto</w:t>
      </w:r>
      <w:r w:rsidRPr="00D5464D">
        <w:rPr>
          <w:rFonts w:eastAsia="Batang" w:cs="Times"/>
          <w:szCs w:val="24"/>
          <w:lang w:val="pt-BR" w:eastAsia="es-ES"/>
        </w:rPr>
        <w:t xml:space="preserve">s </w:t>
      </w:r>
      <w:r w:rsidR="002C330E" w:rsidRPr="00D5464D">
        <w:rPr>
          <w:rFonts w:eastAsia="Batang" w:cs="Times"/>
          <w:szCs w:val="24"/>
          <w:lang w:val="pt-BR" w:eastAsia="es-ES"/>
        </w:rPr>
        <w:t>fatos</w:t>
      </w:r>
      <w:r w:rsidR="00E045D9" w:rsidRPr="00D5464D">
        <w:rPr>
          <w:rFonts w:eastAsia="Batang" w:cs="Times"/>
          <w:szCs w:val="24"/>
          <w:lang w:val="pt-BR" w:eastAsia="es-ES"/>
        </w:rPr>
        <w:t xml:space="preserve"> e </w:t>
      </w:r>
      <w:r w:rsidRPr="00D5464D">
        <w:rPr>
          <w:rFonts w:eastAsia="Batang" w:cs="Times"/>
          <w:szCs w:val="24"/>
          <w:lang w:val="pt-BR" w:eastAsia="es-ES"/>
        </w:rPr>
        <w:t>o</w:t>
      </w:r>
      <w:r w:rsidR="002C330E" w:rsidRPr="00D5464D">
        <w:rPr>
          <w:rFonts w:eastAsia="Batang" w:cs="Times"/>
          <w:szCs w:val="24"/>
          <w:lang w:val="pt-BR" w:eastAsia="es-ES"/>
        </w:rPr>
        <w:t>missões</w:t>
      </w:r>
      <w:r w:rsidRPr="00D5464D">
        <w:rPr>
          <w:rFonts w:eastAsia="Batang" w:cs="Times"/>
          <w:szCs w:val="24"/>
          <w:lang w:val="pt-BR" w:eastAsia="es-ES"/>
        </w:rPr>
        <w:t xml:space="preserve"> </w:t>
      </w:r>
      <w:r w:rsidR="00470ADC" w:rsidRPr="00D5464D">
        <w:rPr>
          <w:rFonts w:eastAsia="Batang" w:cs="Times"/>
          <w:szCs w:val="24"/>
          <w:lang w:val="pt-BR" w:eastAsia="es-ES"/>
        </w:rPr>
        <w:t xml:space="preserve">do </w:t>
      </w:r>
      <w:r w:rsidRPr="00D5464D">
        <w:rPr>
          <w:rFonts w:eastAsia="Batang" w:cs="Times"/>
          <w:szCs w:val="24"/>
          <w:lang w:val="pt-BR" w:eastAsia="es-ES"/>
        </w:rPr>
        <w:t xml:space="preserve">Estado </w:t>
      </w:r>
      <w:r w:rsidR="0010513B" w:rsidRPr="00D5464D">
        <w:rPr>
          <w:rFonts w:eastAsia="Batang" w:cs="Times"/>
          <w:szCs w:val="24"/>
          <w:lang w:val="pt-BR" w:eastAsia="es-ES"/>
        </w:rPr>
        <w:t xml:space="preserve">que </w:t>
      </w:r>
      <w:r w:rsidR="00E045D9" w:rsidRPr="00D5464D">
        <w:rPr>
          <w:rFonts w:eastAsia="Batang" w:cs="Times"/>
          <w:szCs w:val="24"/>
          <w:lang w:val="pt-BR" w:eastAsia="es-ES"/>
        </w:rPr>
        <w:t>tiveram</w:t>
      </w:r>
      <w:r w:rsidR="0010513B" w:rsidRPr="00D5464D">
        <w:rPr>
          <w:rFonts w:eastAsia="Batang" w:cs="Times"/>
          <w:szCs w:val="24"/>
          <w:lang w:val="pt-BR" w:eastAsia="es-ES"/>
        </w:rPr>
        <w:t xml:space="preserve"> lugar</w:t>
      </w:r>
      <w:r w:rsidR="00E045D9" w:rsidRPr="00D5464D">
        <w:rPr>
          <w:rFonts w:eastAsia="Batang" w:cs="Times"/>
          <w:szCs w:val="24"/>
          <w:lang w:val="pt-BR" w:eastAsia="es-ES"/>
        </w:rPr>
        <w:t xml:space="preserve"> </w:t>
      </w:r>
      <w:r w:rsidR="00AB4663" w:rsidRPr="00D5464D">
        <w:rPr>
          <w:rFonts w:eastAsia="Batang" w:cs="Times"/>
          <w:szCs w:val="24"/>
          <w:lang w:val="pt-BR" w:eastAsia="es-ES"/>
        </w:rPr>
        <w:t xml:space="preserve">durante </w:t>
      </w:r>
      <w:r w:rsidR="00E045D9" w:rsidRPr="00D5464D">
        <w:rPr>
          <w:rFonts w:eastAsia="Batang" w:cs="Times"/>
          <w:szCs w:val="24"/>
          <w:lang w:val="pt-BR" w:eastAsia="es-ES"/>
        </w:rPr>
        <w:t xml:space="preserve">as </w:t>
      </w:r>
      <w:r w:rsidR="00325360" w:rsidRPr="00D5464D">
        <w:rPr>
          <w:rFonts w:eastAsia="Batang" w:cs="Times"/>
          <w:szCs w:val="24"/>
          <w:lang w:val="pt-BR" w:eastAsia="es-ES"/>
        </w:rPr>
        <w:t>investiga</w:t>
      </w:r>
      <w:r w:rsidR="00470ADC" w:rsidRPr="00D5464D">
        <w:rPr>
          <w:rFonts w:eastAsia="Batang" w:cs="Times"/>
          <w:szCs w:val="24"/>
          <w:lang w:val="pt-BR" w:eastAsia="es-ES"/>
        </w:rPr>
        <w:t>ções</w:t>
      </w:r>
      <w:r w:rsidR="00E045D9" w:rsidRPr="00D5464D">
        <w:rPr>
          <w:rFonts w:eastAsia="Batang" w:cs="Times"/>
          <w:szCs w:val="24"/>
          <w:lang w:val="pt-BR" w:eastAsia="es-ES"/>
        </w:rPr>
        <w:t xml:space="preserve"> e </w:t>
      </w:r>
      <w:r w:rsidR="002C330E" w:rsidRPr="00D5464D">
        <w:rPr>
          <w:rFonts w:eastAsia="Batang" w:cs="Times"/>
          <w:szCs w:val="24"/>
          <w:lang w:val="pt-BR" w:eastAsia="es-ES"/>
        </w:rPr>
        <w:t>processo</w:t>
      </w:r>
      <w:r w:rsidR="00325360" w:rsidRPr="00D5464D">
        <w:rPr>
          <w:rFonts w:eastAsia="Batang" w:cs="Times"/>
          <w:szCs w:val="24"/>
          <w:lang w:val="pt-BR" w:eastAsia="es-ES"/>
        </w:rPr>
        <w:t xml:space="preserve">s </w:t>
      </w:r>
      <w:r w:rsidR="003A6950" w:rsidRPr="00D5464D">
        <w:rPr>
          <w:rFonts w:eastAsia="Batang" w:cs="Times"/>
          <w:szCs w:val="24"/>
          <w:lang w:val="pt-BR" w:eastAsia="es-ES"/>
        </w:rPr>
        <w:t xml:space="preserve">relacionados à </w:t>
      </w:r>
      <w:r w:rsidR="00AB4663" w:rsidRPr="00D5464D">
        <w:rPr>
          <w:rFonts w:eastAsia="Batang" w:cs="Times"/>
          <w:szCs w:val="24"/>
          <w:lang w:val="pt-BR" w:eastAsia="es-ES"/>
        </w:rPr>
        <w:t xml:space="preserve">fiscalização </w:t>
      </w:r>
      <w:r w:rsidR="00325360" w:rsidRPr="00D5464D">
        <w:rPr>
          <w:rFonts w:eastAsia="Batang" w:cs="Times"/>
          <w:szCs w:val="24"/>
          <w:lang w:val="pt-BR" w:eastAsia="es-ES"/>
        </w:rPr>
        <w:t>realizada</w:t>
      </w:r>
      <w:r w:rsidR="00E045D9" w:rsidRPr="00D5464D">
        <w:rPr>
          <w:rFonts w:eastAsia="Batang" w:cs="Times"/>
          <w:szCs w:val="24"/>
          <w:lang w:val="pt-BR" w:eastAsia="es-ES"/>
        </w:rPr>
        <w:t xml:space="preserve"> na </w:t>
      </w:r>
      <w:r w:rsidR="00D809F0" w:rsidRPr="00D5464D">
        <w:rPr>
          <w:rFonts w:eastAsia="Batang" w:cs="Times"/>
          <w:szCs w:val="24"/>
          <w:lang w:val="pt-BR" w:eastAsia="es-ES"/>
        </w:rPr>
        <w:t>Fazenda</w:t>
      </w:r>
      <w:r w:rsidR="00325360" w:rsidRPr="00D5464D">
        <w:rPr>
          <w:rFonts w:eastAsia="Batang" w:cs="Times"/>
          <w:szCs w:val="24"/>
          <w:lang w:val="pt-BR" w:eastAsia="es-ES"/>
        </w:rPr>
        <w:t xml:space="preserve"> Brasil Verde</w:t>
      </w:r>
      <w:r w:rsidR="00470ADC" w:rsidRPr="00D5464D">
        <w:rPr>
          <w:rFonts w:eastAsia="Batang" w:cs="Times"/>
          <w:szCs w:val="24"/>
          <w:lang w:val="pt-BR" w:eastAsia="es-ES"/>
        </w:rPr>
        <w:t xml:space="preserve"> em </w:t>
      </w:r>
      <w:r w:rsidR="0010513B" w:rsidRPr="00D5464D">
        <w:rPr>
          <w:rFonts w:eastAsia="Batang" w:cs="Times"/>
          <w:szCs w:val="24"/>
          <w:lang w:val="pt-BR" w:eastAsia="es-ES"/>
        </w:rPr>
        <w:t xml:space="preserve">1997, </w:t>
      </w:r>
      <w:r w:rsidR="008833F0" w:rsidRPr="00D5464D">
        <w:rPr>
          <w:rFonts w:eastAsia="Batang" w:cs="Times"/>
          <w:szCs w:val="24"/>
          <w:lang w:val="pt-BR" w:eastAsia="es-ES"/>
        </w:rPr>
        <w:t xml:space="preserve">e que tenham </w:t>
      </w:r>
      <w:r w:rsidR="002C330E" w:rsidRPr="00D5464D">
        <w:rPr>
          <w:rFonts w:eastAsia="Batang" w:cs="Times"/>
          <w:szCs w:val="24"/>
          <w:lang w:val="pt-BR" w:eastAsia="es-ES"/>
        </w:rPr>
        <w:t>ocorrid</w:t>
      </w:r>
      <w:r w:rsidR="0010513B" w:rsidRPr="00D5464D">
        <w:rPr>
          <w:rFonts w:eastAsia="Batang" w:cs="Times"/>
          <w:szCs w:val="24"/>
          <w:lang w:val="pt-BR" w:eastAsia="es-ES"/>
        </w:rPr>
        <w:t>o</w:t>
      </w:r>
      <w:r w:rsidR="00470ADC" w:rsidRPr="00D5464D">
        <w:rPr>
          <w:rFonts w:eastAsia="Batang" w:cs="Times"/>
          <w:szCs w:val="24"/>
          <w:lang w:val="pt-BR" w:eastAsia="es-ES"/>
        </w:rPr>
        <w:t xml:space="preserve"> </w:t>
      </w:r>
      <w:r w:rsidR="00EC6DEC" w:rsidRPr="00D5464D">
        <w:rPr>
          <w:rFonts w:eastAsia="Batang" w:cs="Times"/>
          <w:szCs w:val="24"/>
          <w:lang w:val="pt-BR" w:eastAsia="es-ES"/>
        </w:rPr>
        <w:t>após</w:t>
      </w:r>
      <w:r w:rsidR="00A94737" w:rsidRPr="00D5464D">
        <w:rPr>
          <w:rFonts w:eastAsia="Batang" w:cs="Times"/>
          <w:szCs w:val="24"/>
          <w:lang w:val="pt-BR" w:eastAsia="es-ES"/>
        </w:rPr>
        <w:t xml:space="preserve"> </w:t>
      </w:r>
      <w:r w:rsidR="00470ADC" w:rsidRPr="00D5464D">
        <w:rPr>
          <w:rFonts w:eastAsia="Batang" w:cs="Times"/>
          <w:szCs w:val="24"/>
          <w:lang w:val="pt-BR" w:eastAsia="es-ES"/>
        </w:rPr>
        <w:t xml:space="preserve">o </w:t>
      </w:r>
      <w:r w:rsidR="0010513B" w:rsidRPr="00D5464D">
        <w:rPr>
          <w:rFonts w:eastAsia="Batang" w:cs="Times"/>
          <w:szCs w:val="24"/>
          <w:lang w:val="pt-BR" w:eastAsia="es-ES"/>
        </w:rPr>
        <w:t>re</w:t>
      </w:r>
      <w:r w:rsidR="00470ADC" w:rsidRPr="00D5464D">
        <w:rPr>
          <w:rFonts w:eastAsia="Batang" w:cs="Times"/>
          <w:szCs w:val="24"/>
          <w:lang w:val="pt-BR" w:eastAsia="es-ES"/>
        </w:rPr>
        <w:t>conhecimento</w:t>
      </w:r>
      <w:r w:rsidR="0010513B" w:rsidRPr="00D5464D">
        <w:rPr>
          <w:rFonts w:eastAsia="Batang" w:cs="Times"/>
          <w:szCs w:val="24"/>
          <w:lang w:val="pt-BR" w:eastAsia="es-ES"/>
        </w:rPr>
        <w:t xml:space="preserve"> </w:t>
      </w:r>
      <w:r w:rsidR="00470ADC" w:rsidRPr="00D5464D">
        <w:rPr>
          <w:rFonts w:eastAsia="Batang" w:cs="Times"/>
          <w:szCs w:val="24"/>
          <w:lang w:val="pt-BR" w:eastAsia="es-ES"/>
        </w:rPr>
        <w:t>da competência</w:t>
      </w:r>
      <w:r w:rsidR="0010513B" w:rsidRPr="00D5464D">
        <w:rPr>
          <w:rFonts w:eastAsia="Batang" w:cs="Times"/>
          <w:szCs w:val="24"/>
          <w:lang w:val="pt-BR" w:eastAsia="es-ES"/>
        </w:rPr>
        <w:t xml:space="preserve"> contenciosa </w:t>
      </w:r>
      <w:r w:rsidR="00470ADC" w:rsidRPr="00D5464D">
        <w:rPr>
          <w:rFonts w:eastAsia="Batang" w:cs="Times"/>
          <w:szCs w:val="24"/>
          <w:lang w:val="pt-BR" w:eastAsia="es-ES"/>
        </w:rPr>
        <w:t xml:space="preserve">do </w:t>
      </w:r>
      <w:r w:rsidR="0010513B" w:rsidRPr="00D5464D">
        <w:rPr>
          <w:rFonts w:eastAsia="Batang" w:cs="Times"/>
          <w:szCs w:val="24"/>
          <w:lang w:val="pt-BR" w:eastAsia="es-ES"/>
        </w:rPr>
        <w:t>Tribunal</w:t>
      </w:r>
      <w:r w:rsidR="008833F0" w:rsidRPr="00D5464D">
        <w:rPr>
          <w:rFonts w:eastAsia="Batang" w:cs="Times"/>
          <w:szCs w:val="24"/>
          <w:lang w:val="pt-BR" w:eastAsia="es-ES"/>
        </w:rPr>
        <w:t xml:space="preserve"> por parte do Brasil</w:t>
      </w:r>
      <w:r w:rsidR="00A96B35" w:rsidRPr="00D5464D">
        <w:rPr>
          <w:rFonts w:eastAsia="Batang" w:cs="Times"/>
          <w:szCs w:val="24"/>
          <w:lang w:val="pt-BR" w:eastAsia="es-ES"/>
        </w:rPr>
        <w:t>,</w:t>
      </w:r>
      <w:r w:rsidR="00470ADC" w:rsidRPr="00D5464D">
        <w:rPr>
          <w:rFonts w:eastAsia="Batang" w:cs="Times"/>
          <w:szCs w:val="24"/>
          <w:lang w:val="pt-BR" w:eastAsia="es-ES"/>
        </w:rPr>
        <w:t xml:space="preserve"> </w:t>
      </w:r>
      <w:r w:rsidR="008833F0" w:rsidRPr="00D5464D">
        <w:rPr>
          <w:rFonts w:eastAsia="Batang" w:cs="Times"/>
          <w:szCs w:val="24"/>
          <w:lang w:val="pt-BR" w:eastAsia="es-ES"/>
        </w:rPr>
        <w:t xml:space="preserve">assim como </w:t>
      </w:r>
      <w:r w:rsidR="002C330E" w:rsidRPr="00D5464D">
        <w:rPr>
          <w:rFonts w:eastAsia="Batang" w:cs="Times"/>
          <w:szCs w:val="24"/>
          <w:lang w:val="pt-BR" w:eastAsia="es-ES"/>
        </w:rPr>
        <w:t>os fatos</w:t>
      </w:r>
      <w:r w:rsidR="000F2F35" w:rsidRPr="00D5464D">
        <w:rPr>
          <w:rFonts w:eastAsia="Batang" w:cs="Times"/>
          <w:szCs w:val="24"/>
          <w:lang w:val="pt-BR" w:eastAsia="es-ES"/>
        </w:rPr>
        <w:t xml:space="preserve"> relacionados</w:t>
      </w:r>
      <w:r w:rsidR="00470ADC" w:rsidRPr="00D5464D">
        <w:rPr>
          <w:rFonts w:eastAsia="Batang" w:cs="Times"/>
          <w:szCs w:val="24"/>
          <w:lang w:val="pt-BR" w:eastAsia="es-ES"/>
        </w:rPr>
        <w:t xml:space="preserve"> </w:t>
      </w:r>
      <w:r w:rsidR="008833F0" w:rsidRPr="00D5464D">
        <w:rPr>
          <w:rFonts w:eastAsia="Batang" w:cs="Times"/>
          <w:szCs w:val="24"/>
          <w:lang w:val="pt-BR" w:eastAsia="es-ES"/>
        </w:rPr>
        <w:t>à</w:t>
      </w:r>
      <w:r w:rsidR="002C330E" w:rsidRPr="00D5464D">
        <w:rPr>
          <w:rFonts w:eastAsia="Batang" w:cs="Times"/>
          <w:szCs w:val="24"/>
          <w:lang w:val="pt-BR" w:eastAsia="es-ES"/>
        </w:rPr>
        <w:t xml:space="preserve"> </w:t>
      </w:r>
      <w:r w:rsidR="00AB4663" w:rsidRPr="00D5464D">
        <w:rPr>
          <w:rFonts w:eastAsia="Batang" w:cs="Times"/>
          <w:szCs w:val="24"/>
          <w:lang w:val="pt-BR" w:eastAsia="es-ES"/>
        </w:rPr>
        <w:t>fiscalização</w:t>
      </w:r>
      <w:r w:rsidR="000F2F35" w:rsidRPr="00D5464D">
        <w:rPr>
          <w:rFonts w:eastAsia="Batang" w:cs="Times"/>
          <w:szCs w:val="24"/>
          <w:lang w:val="pt-BR" w:eastAsia="es-ES"/>
        </w:rPr>
        <w:t xml:space="preserve"> </w:t>
      </w:r>
      <w:r w:rsidR="00325360" w:rsidRPr="00D5464D">
        <w:rPr>
          <w:rFonts w:eastAsia="Batang" w:cs="Times"/>
          <w:szCs w:val="24"/>
          <w:lang w:val="pt-BR" w:eastAsia="es-ES"/>
        </w:rPr>
        <w:t>realizada</w:t>
      </w:r>
      <w:r w:rsidR="00E045D9" w:rsidRPr="00D5464D">
        <w:rPr>
          <w:rFonts w:eastAsia="Batang" w:cs="Times"/>
          <w:szCs w:val="24"/>
          <w:lang w:val="pt-BR" w:eastAsia="es-ES"/>
        </w:rPr>
        <w:t xml:space="preserve"> no </w:t>
      </w:r>
      <w:r w:rsidR="00470ADC" w:rsidRPr="00D5464D">
        <w:rPr>
          <w:rFonts w:eastAsia="Batang" w:cs="Times"/>
          <w:szCs w:val="24"/>
          <w:lang w:val="pt-BR" w:eastAsia="es-ES"/>
        </w:rPr>
        <w:t xml:space="preserve">ano </w:t>
      </w:r>
      <w:r w:rsidR="00325360" w:rsidRPr="00D5464D">
        <w:rPr>
          <w:rFonts w:eastAsia="Batang" w:cs="Times"/>
          <w:szCs w:val="24"/>
          <w:lang w:val="pt-BR" w:eastAsia="es-ES"/>
        </w:rPr>
        <w:t>2000</w:t>
      </w:r>
      <w:r w:rsidR="00E045D9" w:rsidRPr="00D5464D">
        <w:rPr>
          <w:rFonts w:eastAsia="Batang" w:cs="Times"/>
          <w:szCs w:val="24"/>
          <w:lang w:val="pt-BR" w:eastAsia="es-ES"/>
        </w:rPr>
        <w:t xml:space="preserve"> e </w:t>
      </w:r>
      <w:r w:rsidR="002C330E" w:rsidRPr="00D5464D">
        <w:rPr>
          <w:rFonts w:eastAsia="Batang" w:cs="Times"/>
          <w:szCs w:val="24"/>
          <w:lang w:val="pt-BR" w:eastAsia="es-ES"/>
        </w:rPr>
        <w:t>os processo</w:t>
      </w:r>
      <w:r w:rsidR="00325360" w:rsidRPr="00D5464D">
        <w:rPr>
          <w:rFonts w:eastAsia="Batang" w:cs="Times"/>
          <w:szCs w:val="24"/>
          <w:lang w:val="pt-BR" w:eastAsia="es-ES"/>
        </w:rPr>
        <w:t>s iniciados</w:t>
      </w:r>
      <w:r w:rsidR="00FF1290" w:rsidRPr="00D5464D">
        <w:rPr>
          <w:rFonts w:eastAsia="Batang" w:cs="Times"/>
          <w:szCs w:val="24"/>
          <w:lang w:val="pt-BR" w:eastAsia="es-ES"/>
        </w:rPr>
        <w:t xml:space="preserve"> </w:t>
      </w:r>
      <w:r w:rsidR="00EC6DEC" w:rsidRPr="00D5464D">
        <w:rPr>
          <w:rFonts w:eastAsia="Batang" w:cs="Times"/>
          <w:szCs w:val="24"/>
          <w:lang w:val="pt-BR" w:eastAsia="es-ES"/>
        </w:rPr>
        <w:t>depois d</w:t>
      </w:r>
      <w:r w:rsidR="00325360" w:rsidRPr="00D5464D">
        <w:rPr>
          <w:rFonts w:eastAsia="Batang" w:cs="Times"/>
          <w:szCs w:val="24"/>
          <w:lang w:val="pt-BR" w:eastAsia="es-ES"/>
        </w:rPr>
        <w:t>esta</w:t>
      </w:r>
      <w:r w:rsidR="00C91CB1" w:rsidRPr="00D5464D">
        <w:rPr>
          <w:rFonts w:eastAsia="Batang" w:cs="Times"/>
          <w:szCs w:val="24"/>
          <w:lang w:val="pt-BR" w:eastAsia="es-ES"/>
        </w:rPr>
        <w:t xml:space="preserve">. Com </w:t>
      </w:r>
      <w:r w:rsidRPr="00D5464D">
        <w:rPr>
          <w:rFonts w:eastAsia="Batang" w:cs="Times"/>
          <w:szCs w:val="24"/>
          <w:lang w:val="pt-BR" w:eastAsia="es-ES"/>
        </w:rPr>
        <w:t>base</w:t>
      </w:r>
      <w:r w:rsidR="00A1358C" w:rsidRPr="00D5464D">
        <w:rPr>
          <w:rFonts w:eastAsia="Batang" w:cs="Times"/>
          <w:szCs w:val="24"/>
          <w:lang w:val="pt-BR" w:eastAsia="es-ES"/>
        </w:rPr>
        <w:t xml:space="preserve"> no </w:t>
      </w:r>
      <w:r w:rsidRPr="00D5464D">
        <w:rPr>
          <w:rFonts w:eastAsia="Batang" w:cs="Times"/>
          <w:szCs w:val="24"/>
          <w:lang w:val="pt-BR" w:eastAsia="es-ES"/>
        </w:rPr>
        <w:t xml:space="preserve">anterior, este Tribunal reafirma </w:t>
      </w:r>
      <w:r w:rsidR="00E045D9" w:rsidRPr="00D5464D">
        <w:rPr>
          <w:rFonts w:eastAsia="Batang" w:cs="Times"/>
          <w:szCs w:val="24"/>
          <w:lang w:val="pt-BR" w:eastAsia="es-ES"/>
        </w:rPr>
        <w:t>sua jurisprudência</w:t>
      </w:r>
      <w:r w:rsidR="002C330E" w:rsidRPr="00D5464D">
        <w:rPr>
          <w:rFonts w:eastAsia="Batang" w:cs="Times"/>
          <w:szCs w:val="24"/>
          <w:lang w:val="pt-BR" w:eastAsia="es-ES"/>
        </w:rPr>
        <w:t xml:space="preserve"> </w:t>
      </w:r>
      <w:r w:rsidRPr="00D5464D">
        <w:rPr>
          <w:rFonts w:eastAsia="Batang" w:cs="Times"/>
          <w:szCs w:val="24"/>
          <w:lang w:val="pt-BR" w:eastAsia="es-ES"/>
        </w:rPr>
        <w:t>constante sobre</w:t>
      </w:r>
      <w:r w:rsidR="00470ADC" w:rsidRPr="00D5464D">
        <w:rPr>
          <w:rFonts w:eastAsia="Batang" w:cs="Times"/>
          <w:szCs w:val="24"/>
          <w:lang w:val="pt-BR" w:eastAsia="es-ES"/>
        </w:rPr>
        <w:t xml:space="preserve"> esse </w:t>
      </w:r>
      <w:r w:rsidRPr="00D5464D">
        <w:rPr>
          <w:rFonts w:eastAsia="Batang" w:cs="Times"/>
          <w:szCs w:val="24"/>
          <w:lang w:val="pt-BR" w:eastAsia="es-ES"/>
        </w:rPr>
        <w:t>tema</w:t>
      </w:r>
      <w:r w:rsidR="00E045D9" w:rsidRPr="00D5464D">
        <w:rPr>
          <w:rFonts w:eastAsia="Batang" w:cs="Times"/>
          <w:szCs w:val="24"/>
          <w:lang w:val="pt-BR" w:eastAsia="es-ES"/>
        </w:rPr>
        <w:t xml:space="preserve"> e </w:t>
      </w:r>
      <w:r w:rsidR="008833F0" w:rsidRPr="00D5464D">
        <w:rPr>
          <w:rFonts w:eastAsia="Batang" w:cs="Times"/>
          <w:szCs w:val="24"/>
          <w:lang w:val="pt-BR" w:eastAsia="es-ES"/>
        </w:rPr>
        <w:t xml:space="preserve">considera </w:t>
      </w:r>
      <w:r w:rsidRPr="00D5464D">
        <w:rPr>
          <w:rFonts w:eastAsia="Batang" w:cs="Times"/>
          <w:szCs w:val="24"/>
          <w:lang w:val="pt-BR" w:eastAsia="es-ES"/>
        </w:rPr>
        <w:t>parcialmente fundada</w:t>
      </w:r>
      <w:r w:rsidR="002C330E" w:rsidRPr="00D5464D">
        <w:rPr>
          <w:rFonts w:eastAsia="Batang" w:cs="Times"/>
          <w:szCs w:val="24"/>
          <w:lang w:val="pt-BR" w:eastAsia="es-ES"/>
        </w:rPr>
        <w:t xml:space="preserve"> a </w:t>
      </w:r>
      <w:r w:rsidR="00470ADC" w:rsidRPr="00D5464D">
        <w:rPr>
          <w:rFonts w:eastAsia="Batang" w:cs="Times"/>
          <w:szCs w:val="24"/>
          <w:lang w:val="pt-BR" w:eastAsia="es-ES"/>
        </w:rPr>
        <w:t>exceção</w:t>
      </w:r>
      <w:r w:rsidRPr="00D5464D">
        <w:rPr>
          <w:rFonts w:eastAsia="Batang" w:cs="Times"/>
          <w:szCs w:val="24"/>
          <w:lang w:val="pt-BR" w:eastAsia="es-ES"/>
        </w:rPr>
        <w:t xml:space="preserve"> preliminar.</w:t>
      </w:r>
    </w:p>
    <w:p w14:paraId="1C121369" w14:textId="77777777" w:rsidR="000A52D5" w:rsidRPr="00D5464D" w:rsidRDefault="000A52D5" w:rsidP="00140440">
      <w:pPr>
        <w:tabs>
          <w:tab w:val="clear" w:pos="4419"/>
          <w:tab w:val="clear" w:pos="8838"/>
        </w:tabs>
        <w:jc w:val="both"/>
        <w:rPr>
          <w:rFonts w:eastAsia="Batang" w:cs="Times"/>
          <w:szCs w:val="24"/>
          <w:lang w:val="pt-BR" w:eastAsia="es-ES"/>
        </w:rPr>
      </w:pPr>
    </w:p>
    <w:p w14:paraId="7C7F5891" w14:textId="3B8592D5" w:rsidR="000A52D5" w:rsidRPr="00D5464D" w:rsidRDefault="000A52D5" w:rsidP="00F306D7">
      <w:pPr>
        <w:pStyle w:val="Ttulo2"/>
        <w:numPr>
          <w:ilvl w:val="0"/>
          <w:numId w:val="15"/>
        </w:numPr>
        <w:rPr>
          <w:rFonts w:eastAsia="Batang"/>
          <w:lang w:val="pt-BR" w:eastAsia="es-ES"/>
        </w:rPr>
      </w:pPr>
      <w:bookmarkStart w:id="108" w:name="_Toc468433863"/>
      <w:r w:rsidRPr="00D5464D">
        <w:rPr>
          <w:rFonts w:eastAsia="Batang"/>
          <w:lang w:val="pt-BR" w:eastAsia="es-ES"/>
        </w:rPr>
        <w:t>Alegada in</w:t>
      </w:r>
      <w:r w:rsidR="00470ADC" w:rsidRPr="00D5464D">
        <w:rPr>
          <w:rFonts w:eastAsia="Batang"/>
          <w:lang w:val="pt-BR" w:eastAsia="es-ES"/>
        </w:rPr>
        <w:t>competência</w:t>
      </w:r>
      <w:r w:rsidRPr="00D5464D">
        <w:rPr>
          <w:rFonts w:eastAsia="Batang"/>
          <w:lang w:val="pt-BR" w:eastAsia="es-ES"/>
        </w:rPr>
        <w:t xml:space="preserve"> ratione materiae por viola</w:t>
      </w:r>
      <w:r w:rsidR="00470ADC" w:rsidRPr="00D5464D">
        <w:rPr>
          <w:rFonts w:eastAsia="Batang"/>
          <w:lang w:val="pt-BR" w:eastAsia="es-ES"/>
        </w:rPr>
        <w:t xml:space="preserve">ção ao </w:t>
      </w:r>
      <w:r w:rsidR="002C330E" w:rsidRPr="00D5464D">
        <w:rPr>
          <w:rFonts w:eastAsia="Batang"/>
          <w:lang w:val="pt-BR" w:eastAsia="es-ES"/>
        </w:rPr>
        <w:t>princípio</w:t>
      </w:r>
      <w:r w:rsidRPr="00D5464D">
        <w:rPr>
          <w:rFonts w:eastAsia="Batang"/>
          <w:lang w:val="pt-BR" w:eastAsia="es-ES"/>
        </w:rPr>
        <w:t xml:space="preserve"> de </w:t>
      </w:r>
      <w:r w:rsidR="00351C4B" w:rsidRPr="00D5464D">
        <w:rPr>
          <w:rFonts w:eastAsia="Batang"/>
          <w:lang w:val="pt-BR" w:eastAsia="es-ES"/>
        </w:rPr>
        <w:t>subsidiariedade</w:t>
      </w:r>
      <w:r w:rsidR="00CC3591" w:rsidRPr="00D5464D">
        <w:rPr>
          <w:rFonts w:eastAsia="Batang"/>
          <w:lang w:val="pt-BR" w:eastAsia="es-ES"/>
        </w:rPr>
        <w:t xml:space="preserve"> </w:t>
      </w:r>
      <w:r w:rsidR="00470ADC" w:rsidRPr="00D5464D">
        <w:rPr>
          <w:rFonts w:eastAsia="Batang"/>
          <w:lang w:val="pt-BR" w:eastAsia="es-ES"/>
        </w:rPr>
        <w:t xml:space="preserve">do </w:t>
      </w:r>
      <w:r w:rsidRPr="00D5464D">
        <w:rPr>
          <w:rFonts w:eastAsia="Batang"/>
          <w:lang w:val="pt-BR" w:eastAsia="es-ES"/>
        </w:rPr>
        <w:t>sistema interamericano</w:t>
      </w:r>
      <w:bookmarkEnd w:id="108"/>
      <w:r w:rsidRPr="00D5464D">
        <w:rPr>
          <w:rFonts w:eastAsia="Batang"/>
          <w:lang w:val="pt-BR" w:eastAsia="es-ES"/>
        </w:rPr>
        <w:t xml:space="preserve"> </w:t>
      </w:r>
    </w:p>
    <w:p w14:paraId="3C75A012" w14:textId="77777777" w:rsidR="000A52D5" w:rsidRPr="00D5464D" w:rsidRDefault="000A52D5" w:rsidP="00140440">
      <w:pPr>
        <w:tabs>
          <w:tab w:val="clear" w:pos="4419"/>
          <w:tab w:val="clear" w:pos="8838"/>
        </w:tabs>
        <w:jc w:val="both"/>
        <w:rPr>
          <w:rFonts w:eastAsia="Batang" w:cs="Times"/>
          <w:szCs w:val="24"/>
          <w:lang w:val="pt-BR" w:eastAsia="es-ES"/>
        </w:rPr>
      </w:pPr>
    </w:p>
    <w:p w14:paraId="078AB3E0" w14:textId="39D6A0D0" w:rsidR="000A52D5" w:rsidRPr="00D5464D" w:rsidRDefault="004E598D" w:rsidP="000A20C1">
      <w:pPr>
        <w:pStyle w:val="Ttulo3"/>
        <w:rPr>
          <w:lang w:val="pt-BR" w:eastAsia="es-ES"/>
        </w:rPr>
      </w:pPr>
      <w:bookmarkStart w:id="109" w:name="_Toc460432976"/>
      <w:bookmarkStart w:id="110" w:name="_Toc460441907"/>
      <w:bookmarkStart w:id="111" w:name="_Toc462750727"/>
      <w:bookmarkStart w:id="112" w:name="_Toc462751051"/>
      <w:bookmarkStart w:id="113" w:name="_Toc464813903"/>
      <w:bookmarkStart w:id="114" w:name="_Toc468433864"/>
      <w:r w:rsidRPr="00D5464D">
        <w:rPr>
          <w:lang w:val="pt-BR" w:eastAsia="es-ES"/>
        </w:rPr>
        <w:t>E</w:t>
      </w:r>
      <w:r w:rsidR="000A52D5" w:rsidRPr="00D5464D">
        <w:rPr>
          <w:lang w:val="pt-BR" w:eastAsia="es-ES"/>
        </w:rPr>
        <w:t xml:space="preserve">.1. </w:t>
      </w:r>
      <w:r w:rsidR="00470ADC" w:rsidRPr="00D5464D">
        <w:rPr>
          <w:lang w:val="pt-BR" w:eastAsia="es-ES"/>
        </w:rPr>
        <w:t>Alegações</w:t>
      </w:r>
      <w:r w:rsidR="00246E8D" w:rsidRPr="00D5464D">
        <w:rPr>
          <w:lang w:val="pt-BR" w:eastAsia="es-ES"/>
        </w:rPr>
        <w:t xml:space="preserve"> </w:t>
      </w:r>
      <w:r w:rsidR="00470ADC" w:rsidRPr="00D5464D">
        <w:rPr>
          <w:lang w:val="pt-BR" w:eastAsia="es-ES"/>
        </w:rPr>
        <w:t xml:space="preserve">do </w:t>
      </w:r>
      <w:r w:rsidR="00246E8D" w:rsidRPr="00D5464D">
        <w:rPr>
          <w:lang w:val="pt-BR" w:eastAsia="es-ES"/>
        </w:rPr>
        <w:t>Estado,</w:t>
      </w:r>
      <w:r w:rsidR="000A52D5" w:rsidRPr="00D5464D">
        <w:rPr>
          <w:lang w:val="pt-BR" w:eastAsia="es-ES"/>
        </w:rPr>
        <w:t xml:space="preserve"> observa</w:t>
      </w:r>
      <w:r w:rsidR="00470ADC" w:rsidRPr="00D5464D">
        <w:rPr>
          <w:lang w:val="pt-BR" w:eastAsia="es-ES"/>
        </w:rPr>
        <w:t>ções da Comissão</w:t>
      </w:r>
      <w:r w:rsidR="00E045D9" w:rsidRPr="00D5464D">
        <w:rPr>
          <w:lang w:val="pt-BR" w:eastAsia="es-ES"/>
        </w:rPr>
        <w:t xml:space="preserve"> e </w:t>
      </w:r>
      <w:r w:rsidR="00470ADC" w:rsidRPr="00D5464D">
        <w:rPr>
          <w:lang w:val="pt-BR" w:eastAsia="es-ES"/>
        </w:rPr>
        <w:t xml:space="preserve">dos </w:t>
      </w:r>
      <w:r w:rsidR="00EB1CE9" w:rsidRPr="00D5464D">
        <w:rPr>
          <w:lang w:val="pt-BR" w:eastAsia="es-ES"/>
        </w:rPr>
        <w:t>representante</w:t>
      </w:r>
      <w:r w:rsidR="000A52D5" w:rsidRPr="00D5464D">
        <w:rPr>
          <w:lang w:val="pt-BR" w:eastAsia="es-ES"/>
        </w:rPr>
        <w:t>s</w:t>
      </w:r>
      <w:bookmarkEnd w:id="109"/>
      <w:bookmarkEnd w:id="110"/>
      <w:bookmarkEnd w:id="111"/>
      <w:bookmarkEnd w:id="112"/>
      <w:bookmarkEnd w:id="113"/>
      <w:bookmarkEnd w:id="114"/>
    </w:p>
    <w:p w14:paraId="20D3180B" w14:textId="77777777" w:rsidR="00D65024" w:rsidRPr="00D5464D" w:rsidRDefault="00D65024" w:rsidP="00D65024">
      <w:pPr>
        <w:tabs>
          <w:tab w:val="clear" w:pos="4419"/>
          <w:tab w:val="clear" w:pos="8838"/>
        </w:tabs>
        <w:jc w:val="both"/>
        <w:rPr>
          <w:rFonts w:eastAsia="Batang" w:cs="Times"/>
          <w:szCs w:val="24"/>
          <w:lang w:val="pt-BR" w:eastAsia="es-ES"/>
        </w:rPr>
      </w:pPr>
    </w:p>
    <w:p w14:paraId="37D9DF1A" w14:textId="4B90D6E3" w:rsidR="000A52D5" w:rsidRPr="00D5464D" w:rsidRDefault="00470AD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O </w:t>
      </w:r>
      <w:r w:rsidR="000A52D5" w:rsidRPr="00D5464D">
        <w:rPr>
          <w:rFonts w:eastAsia="Batang" w:cs="Times"/>
          <w:b/>
          <w:i/>
          <w:szCs w:val="24"/>
          <w:lang w:val="pt-BR" w:eastAsia="es-ES"/>
        </w:rPr>
        <w:t>Estado</w:t>
      </w:r>
      <w:r w:rsidR="000A52D5" w:rsidRPr="00D5464D">
        <w:rPr>
          <w:rFonts w:eastAsia="Batang" w:cs="Times"/>
          <w:szCs w:val="24"/>
          <w:lang w:val="pt-BR" w:eastAsia="es-ES"/>
        </w:rPr>
        <w:t xml:space="preserve"> </w:t>
      </w:r>
      <w:r w:rsidR="00350187" w:rsidRPr="00D5464D">
        <w:rPr>
          <w:rFonts w:eastAsia="Batang" w:cs="Times"/>
          <w:szCs w:val="24"/>
          <w:lang w:val="pt-BR" w:eastAsia="es-ES"/>
        </w:rPr>
        <w:t>expôs</w:t>
      </w:r>
      <w:r w:rsidR="000A52D5" w:rsidRPr="00D5464D">
        <w:rPr>
          <w:rFonts w:eastAsia="Batang" w:cs="Times"/>
          <w:szCs w:val="24"/>
          <w:lang w:val="pt-BR" w:eastAsia="es-ES"/>
        </w:rPr>
        <w:t xml:space="preserve"> que</w:t>
      </w:r>
      <w:r w:rsidR="002C330E" w:rsidRPr="00D5464D">
        <w:rPr>
          <w:rFonts w:eastAsia="Batang" w:cs="Times"/>
          <w:szCs w:val="24"/>
          <w:lang w:val="pt-BR" w:eastAsia="es-ES"/>
        </w:rPr>
        <w:t xml:space="preserve"> os </w:t>
      </w:r>
      <w:r w:rsidR="000A52D5" w:rsidRPr="00D5464D">
        <w:rPr>
          <w:rFonts w:eastAsia="Batang" w:cs="Times"/>
          <w:szCs w:val="24"/>
          <w:lang w:val="pt-BR" w:eastAsia="es-ES"/>
        </w:rPr>
        <w:t xml:space="preserve">recursos </w:t>
      </w:r>
      <w:r w:rsidR="002C330E" w:rsidRPr="00D5464D">
        <w:rPr>
          <w:rFonts w:eastAsia="Batang" w:cs="Times"/>
          <w:szCs w:val="24"/>
          <w:lang w:val="pt-BR" w:eastAsia="es-ES"/>
        </w:rPr>
        <w:t>judiciais</w:t>
      </w:r>
      <w:r w:rsidR="000A52D5" w:rsidRPr="00D5464D">
        <w:rPr>
          <w:rFonts w:eastAsia="Batang" w:cs="Times"/>
          <w:szCs w:val="24"/>
          <w:lang w:val="pt-BR" w:eastAsia="es-ES"/>
        </w:rPr>
        <w:t xml:space="preserve"> internos </w:t>
      </w:r>
      <w:r w:rsidRPr="00D5464D">
        <w:rPr>
          <w:rFonts w:eastAsia="Batang" w:cs="Times"/>
          <w:szCs w:val="24"/>
          <w:lang w:val="pt-BR" w:eastAsia="es-ES"/>
        </w:rPr>
        <w:t>foram</w:t>
      </w:r>
      <w:r w:rsidR="000A52D5" w:rsidRPr="00D5464D">
        <w:rPr>
          <w:rFonts w:eastAsia="Batang" w:cs="Times"/>
          <w:szCs w:val="24"/>
          <w:lang w:val="pt-BR" w:eastAsia="es-ES"/>
        </w:rPr>
        <w:t xml:space="preserve"> </w:t>
      </w:r>
      <w:r w:rsidRPr="00D5464D">
        <w:rPr>
          <w:rFonts w:eastAsia="Batang" w:cs="Times"/>
          <w:szCs w:val="24"/>
          <w:lang w:val="pt-BR" w:eastAsia="es-ES"/>
        </w:rPr>
        <w:t>devidamente</w:t>
      </w:r>
      <w:r w:rsidR="000A52D5" w:rsidRPr="00D5464D">
        <w:rPr>
          <w:rFonts w:eastAsia="Batang" w:cs="Times"/>
          <w:szCs w:val="24"/>
          <w:lang w:val="pt-BR" w:eastAsia="es-ES"/>
        </w:rPr>
        <w:t xml:space="preserve"> </w:t>
      </w:r>
      <w:r w:rsidR="00BF18E0" w:rsidRPr="00D5464D">
        <w:rPr>
          <w:rFonts w:eastAsia="Batang" w:cs="Times"/>
          <w:szCs w:val="24"/>
          <w:lang w:val="pt-BR" w:eastAsia="es-ES"/>
        </w:rPr>
        <w:t>concluídos</w:t>
      </w:r>
      <w:r w:rsidR="002C330E" w:rsidRPr="00D5464D">
        <w:rPr>
          <w:rFonts w:eastAsia="Batang" w:cs="Times"/>
          <w:szCs w:val="24"/>
          <w:lang w:val="pt-BR" w:eastAsia="es-ES"/>
        </w:rPr>
        <w:t xml:space="preserve"> pelas </w:t>
      </w:r>
      <w:r w:rsidR="000A52D5" w:rsidRPr="00D5464D">
        <w:rPr>
          <w:rFonts w:eastAsia="Batang" w:cs="Times"/>
          <w:szCs w:val="24"/>
          <w:lang w:val="pt-BR" w:eastAsia="es-ES"/>
        </w:rPr>
        <w:t xml:space="preserve">autoridades </w:t>
      </w:r>
      <w:r w:rsidR="00A1358C" w:rsidRPr="00D5464D">
        <w:rPr>
          <w:rFonts w:eastAsia="Batang" w:cs="Times"/>
          <w:szCs w:val="24"/>
          <w:lang w:val="pt-BR" w:eastAsia="es-ES"/>
        </w:rPr>
        <w:t>competente</w:t>
      </w:r>
      <w:r w:rsidR="000A52D5" w:rsidRPr="00D5464D">
        <w:rPr>
          <w:rFonts w:eastAsia="Batang" w:cs="Times"/>
          <w:szCs w:val="24"/>
          <w:lang w:val="pt-BR" w:eastAsia="es-ES"/>
        </w:rPr>
        <w:t>s</w:t>
      </w:r>
      <w:r w:rsidR="00E045D9" w:rsidRPr="00D5464D">
        <w:rPr>
          <w:rFonts w:eastAsia="Batang" w:cs="Times"/>
          <w:szCs w:val="24"/>
          <w:lang w:val="pt-BR" w:eastAsia="es-ES"/>
        </w:rPr>
        <w:t xml:space="preserve"> e </w:t>
      </w:r>
      <w:r w:rsidR="000A52D5" w:rsidRPr="00D5464D">
        <w:rPr>
          <w:rFonts w:eastAsia="Batang" w:cs="Times"/>
          <w:szCs w:val="24"/>
          <w:lang w:val="pt-BR" w:eastAsia="es-ES"/>
        </w:rPr>
        <w:t>que</w:t>
      </w:r>
      <w:r w:rsidRPr="00D5464D">
        <w:rPr>
          <w:rFonts w:eastAsia="Batang" w:cs="Times"/>
          <w:szCs w:val="24"/>
          <w:lang w:val="pt-BR" w:eastAsia="es-ES"/>
        </w:rPr>
        <w:t xml:space="preserve"> </w:t>
      </w:r>
      <w:r w:rsidR="00A47282" w:rsidRPr="00D5464D">
        <w:rPr>
          <w:rFonts w:eastAsia="Batang" w:cs="Times"/>
          <w:szCs w:val="24"/>
          <w:lang w:val="pt-BR" w:eastAsia="es-ES"/>
        </w:rPr>
        <w:t>a discordância</w:t>
      </w:r>
      <w:r w:rsidRPr="00D5464D">
        <w:rPr>
          <w:rFonts w:eastAsia="Batang" w:cs="Times"/>
          <w:szCs w:val="24"/>
          <w:lang w:val="pt-BR" w:eastAsia="es-ES"/>
        </w:rPr>
        <w:t xml:space="preserve"> dos </w:t>
      </w:r>
      <w:r w:rsidR="00EB1CE9" w:rsidRPr="00D5464D">
        <w:rPr>
          <w:rFonts w:eastAsia="Batang" w:cs="Times"/>
          <w:szCs w:val="24"/>
          <w:lang w:val="pt-BR" w:eastAsia="es-ES"/>
        </w:rPr>
        <w:t>representante</w:t>
      </w:r>
      <w:r w:rsidR="000A52D5" w:rsidRPr="00D5464D">
        <w:rPr>
          <w:rFonts w:eastAsia="Batang" w:cs="Times"/>
          <w:szCs w:val="24"/>
          <w:lang w:val="pt-BR" w:eastAsia="es-ES"/>
        </w:rPr>
        <w:t xml:space="preserve">s </w:t>
      </w:r>
      <w:r w:rsidR="00A47282" w:rsidRPr="00D5464D">
        <w:rPr>
          <w:rFonts w:eastAsia="Batang" w:cs="Times"/>
          <w:szCs w:val="24"/>
          <w:lang w:val="pt-BR" w:eastAsia="es-ES"/>
        </w:rPr>
        <w:t>em relação às</w:t>
      </w:r>
      <w:r w:rsidR="002C330E" w:rsidRPr="00D5464D">
        <w:rPr>
          <w:rFonts w:eastAsia="Batang" w:cs="Times"/>
          <w:szCs w:val="24"/>
          <w:lang w:val="pt-BR" w:eastAsia="es-ES"/>
        </w:rPr>
        <w:t xml:space="preserve"> </w:t>
      </w:r>
      <w:r w:rsidRPr="00D5464D">
        <w:rPr>
          <w:rFonts w:eastAsia="Batang" w:cs="Times"/>
          <w:szCs w:val="24"/>
          <w:lang w:val="pt-BR" w:eastAsia="es-ES"/>
        </w:rPr>
        <w:t>conclusões</w:t>
      </w:r>
      <w:r w:rsidR="00E045D9" w:rsidRPr="00D5464D">
        <w:rPr>
          <w:rFonts w:eastAsia="Batang" w:cs="Times"/>
          <w:szCs w:val="24"/>
          <w:lang w:val="pt-BR" w:eastAsia="es-ES"/>
        </w:rPr>
        <w:t xml:space="preserve"> </w:t>
      </w:r>
      <w:r w:rsidR="00A47282" w:rsidRPr="00D5464D">
        <w:rPr>
          <w:rFonts w:eastAsia="Batang" w:cs="Times"/>
          <w:szCs w:val="24"/>
          <w:lang w:val="pt-BR" w:eastAsia="es-ES"/>
        </w:rPr>
        <w:t>a que</w:t>
      </w:r>
      <w:r w:rsidR="000A52D5" w:rsidRPr="00D5464D">
        <w:rPr>
          <w:rFonts w:eastAsia="Batang" w:cs="Times"/>
          <w:szCs w:val="24"/>
          <w:lang w:val="pt-BR" w:eastAsia="es-ES"/>
        </w:rPr>
        <w:t xml:space="preserve"> </w:t>
      </w:r>
      <w:r w:rsidR="00BF18E0" w:rsidRPr="00D5464D">
        <w:rPr>
          <w:rFonts w:eastAsia="Batang" w:cs="Times"/>
          <w:szCs w:val="24"/>
          <w:lang w:val="pt-BR" w:eastAsia="es-ES"/>
        </w:rPr>
        <w:t xml:space="preserve">chegaram as autoridades </w:t>
      </w:r>
      <w:r w:rsidR="00737270" w:rsidRPr="00D5464D">
        <w:rPr>
          <w:rFonts w:eastAsia="Batang" w:cs="Times"/>
          <w:szCs w:val="24"/>
          <w:lang w:val="pt-BR" w:eastAsia="es-ES"/>
        </w:rPr>
        <w:t>não é</w:t>
      </w:r>
      <w:r w:rsidRPr="00D5464D">
        <w:rPr>
          <w:rFonts w:eastAsia="Batang" w:cs="Times"/>
          <w:szCs w:val="24"/>
          <w:lang w:val="pt-BR" w:eastAsia="es-ES"/>
        </w:rPr>
        <w:t xml:space="preserve"> </w:t>
      </w:r>
      <w:r w:rsidR="000A52D5" w:rsidRPr="00D5464D">
        <w:rPr>
          <w:rFonts w:eastAsia="Batang" w:cs="Times"/>
          <w:szCs w:val="24"/>
          <w:lang w:val="pt-BR" w:eastAsia="es-ES"/>
        </w:rPr>
        <w:t>suficiente para acudir</w:t>
      </w:r>
      <w:r w:rsidRPr="00D5464D">
        <w:rPr>
          <w:rFonts w:eastAsia="Batang" w:cs="Times"/>
          <w:szCs w:val="24"/>
          <w:lang w:val="pt-BR" w:eastAsia="es-ES"/>
        </w:rPr>
        <w:t xml:space="preserve"> ao </w:t>
      </w:r>
      <w:r w:rsidR="000A52D5" w:rsidRPr="00D5464D">
        <w:rPr>
          <w:rFonts w:eastAsia="Batang" w:cs="Times"/>
          <w:szCs w:val="24"/>
          <w:lang w:val="pt-BR" w:eastAsia="es-ES"/>
        </w:rPr>
        <w:t xml:space="preserve">sistema interamericano. </w:t>
      </w:r>
      <w:r w:rsidRPr="00D5464D">
        <w:rPr>
          <w:rFonts w:eastAsia="Batang" w:cs="Times"/>
          <w:szCs w:val="24"/>
          <w:lang w:val="pt-BR" w:eastAsia="es-ES"/>
        </w:rPr>
        <w:t>Ademais</w:t>
      </w:r>
      <w:r w:rsidR="000A52D5" w:rsidRPr="00D5464D">
        <w:rPr>
          <w:rFonts w:eastAsia="Batang" w:cs="Times"/>
          <w:szCs w:val="24"/>
          <w:lang w:val="pt-BR" w:eastAsia="es-ES"/>
        </w:rPr>
        <w:t>,</w:t>
      </w:r>
      <w:r w:rsidRPr="00D5464D">
        <w:rPr>
          <w:rFonts w:eastAsia="Batang" w:cs="Times"/>
          <w:szCs w:val="24"/>
          <w:lang w:val="pt-BR" w:eastAsia="es-ES"/>
        </w:rPr>
        <w:t xml:space="preserve"> o </w:t>
      </w:r>
      <w:r w:rsidR="000A52D5" w:rsidRPr="00D5464D">
        <w:rPr>
          <w:rFonts w:eastAsia="Batang" w:cs="Times"/>
          <w:szCs w:val="24"/>
          <w:lang w:val="pt-BR" w:eastAsia="es-ES"/>
        </w:rPr>
        <w:t xml:space="preserve">Estado </w:t>
      </w:r>
      <w:r w:rsidR="005F3480" w:rsidRPr="00D5464D">
        <w:rPr>
          <w:rFonts w:eastAsia="Batang" w:cs="Times"/>
          <w:szCs w:val="24"/>
          <w:lang w:val="pt-BR" w:eastAsia="es-ES"/>
        </w:rPr>
        <w:t>afirmou</w:t>
      </w:r>
      <w:r w:rsidR="000A52D5" w:rsidRPr="00D5464D">
        <w:rPr>
          <w:rFonts w:eastAsia="Batang" w:cs="Times"/>
          <w:szCs w:val="24"/>
          <w:lang w:val="pt-BR" w:eastAsia="es-ES"/>
        </w:rPr>
        <w:t xml:space="preserve"> que</w:t>
      </w:r>
      <w:r w:rsidR="00D14320" w:rsidRPr="00D5464D">
        <w:rPr>
          <w:rFonts w:eastAsia="Batang" w:cs="Times"/>
          <w:szCs w:val="24"/>
          <w:lang w:val="pt-BR" w:eastAsia="es-ES"/>
        </w:rPr>
        <w:t xml:space="preserve"> apenas </w:t>
      </w:r>
      <w:r w:rsidR="00E045D9" w:rsidRPr="00D5464D">
        <w:rPr>
          <w:rFonts w:eastAsia="Batang" w:cs="Times"/>
          <w:szCs w:val="24"/>
          <w:lang w:val="pt-BR" w:eastAsia="es-ES"/>
        </w:rPr>
        <w:t xml:space="preserve">na </w:t>
      </w:r>
      <w:r w:rsidR="000A52D5" w:rsidRPr="00D5464D">
        <w:rPr>
          <w:rFonts w:eastAsia="Batang" w:cs="Times"/>
          <w:szCs w:val="24"/>
          <w:lang w:val="pt-BR" w:eastAsia="es-ES"/>
        </w:rPr>
        <w:t>hipó</w:t>
      </w:r>
      <w:r w:rsidR="00E045D9" w:rsidRPr="00D5464D">
        <w:rPr>
          <w:rFonts w:eastAsia="Batang" w:cs="Times"/>
          <w:szCs w:val="24"/>
          <w:lang w:val="pt-BR" w:eastAsia="es-ES"/>
        </w:rPr>
        <w:t>tese</w:t>
      </w:r>
      <w:r w:rsidR="000A52D5" w:rsidRPr="00D5464D">
        <w:rPr>
          <w:rFonts w:eastAsia="Batang" w:cs="Times"/>
          <w:szCs w:val="24"/>
          <w:lang w:val="pt-BR" w:eastAsia="es-ES"/>
        </w:rPr>
        <w:t xml:space="preserve"> </w:t>
      </w:r>
      <w:r w:rsidR="00BF18E0" w:rsidRPr="00D5464D">
        <w:rPr>
          <w:rFonts w:eastAsia="Batang" w:cs="Times"/>
          <w:szCs w:val="24"/>
          <w:lang w:val="pt-BR" w:eastAsia="es-ES"/>
        </w:rPr>
        <w:t xml:space="preserve">de </w:t>
      </w:r>
      <w:r w:rsidR="000A52D5" w:rsidRPr="00D5464D">
        <w:rPr>
          <w:rFonts w:eastAsia="Batang" w:cs="Times"/>
          <w:szCs w:val="24"/>
          <w:lang w:val="pt-BR" w:eastAsia="es-ES"/>
        </w:rPr>
        <w:t>que</w:t>
      </w:r>
      <w:r w:rsidRPr="00D5464D">
        <w:rPr>
          <w:rFonts w:eastAsia="Batang" w:cs="Times"/>
          <w:szCs w:val="24"/>
          <w:lang w:val="pt-BR" w:eastAsia="es-ES"/>
        </w:rPr>
        <w:t xml:space="preserve"> o esgotamento</w:t>
      </w:r>
      <w:r w:rsidR="000A52D5" w:rsidRPr="00D5464D">
        <w:rPr>
          <w:rFonts w:eastAsia="Batang" w:cs="Times"/>
          <w:szCs w:val="24"/>
          <w:lang w:val="pt-BR" w:eastAsia="es-ES"/>
        </w:rPr>
        <w:t xml:space="preserve"> </w:t>
      </w:r>
      <w:r w:rsidRPr="00D5464D">
        <w:rPr>
          <w:rFonts w:eastAsia="Batang" w:cs="Times"/>
          <w:szCs w:val="24"/>
          <w:lang w:val="pt-BR" w:eastAsia="es-ES"/>
        </w:rPr>
        <w:t xml:space="preserve">do </w:t>
      </w:r>
      <w:r w:rsidR="000A52D5" w:rsidRPr="00D5464D">
        <w:rPr>
          <w:rFonts w:eastAsia="Batang" w:cs="Times"/>
          <w:szCs w:val="24"/>
          <w:lang w:val="pt-BR" w:eastAsia="es-ES"/>
        </w:rPr>
        <w:t>recurso interno n</w:t>
      </w:r>
      <w:r w:rsidR="00BF18E0" w:rsidRPr="00D5464D">
        <w:rPr>
          <w:rFonts w:eastAsia="Batang" w:cs="Times"/>
          <w:szCs w:val="24"/>
          <w:lang w:val="pt-BR" w:eastAsia="es-ES"/>
        </w:rPr>
        <w:t>ã</w:t>
      </w:r>
      <w:r w:rsidR="000A52D5" w:rsidRPr="00D5464D">
        <w:rPr>
          <w:rFonts w:eastAsia="Batang" w:cs="Times"/>
          <w:szCs w:val="24"/>
          <w:lang w:val="pt-BR" w:eastAsia="es-ES"/>
        </w:rPr>
        <w:t>o</w:t>
      </w:r>
      <w:r w:rsidR="002C330E" w:rsidRPr="00D5464D">
        <w:rPr>
          <w:rFonts w:eastAsia="Batang" w:cs="Times"/>
          <w:szCs w:val="24"/>
          <w:lang w:val="pt-BR" w:eastAsia="es-ES"/>
        </w:rPr>
        <w:t xml:space="preserve"> lev</w:t>
      </w:r>
      <w:r w:rsidR="000A52D5" w:rsidRPr="00D5464D">
        <w:rPr>
          <w:rFonts w:eastAsia="Batang" w:cs="Times"/>
          <w:szCs w:val="24"/>
          <w:lang w:val="pt-BR" w:eastAsia="es-ES"/>
        </w:rPr>
        <w:t>e a</w:t>
      </w:r>
      <w:r w:rsidR="00E045D9" w:rsidRPr="00D5464D">
        <w:rPr>
          <w:rFonts w:eastAsia="Batang" w:cs="Times"/>
          <w:szCs w:val="24"/>
          <w:lang w:val="pt-BR" w:eastAsia="es-ES"/>
        </w:rPr>
        <w:t xml:space="preserve"> um </w:t>
      </w:r>
      <w:r w:rsidR="00BF18E0" w:rsidRPr="00D5464D">
        <w:rPr>
          <w:rFonts w:eastAsia="Batang" w:cs="Times"/>
          <w:szCs w:val="24"/>
          <w:lang w:val="pt-BR" w:eastAsia="es-ES"/>
        </w:rPr>
        <w:t xml:space="preserve">julgamento </w:t>
      </w:r>
      <w:r w:rsidR="000A52D5" w:rsidRPr="00D5464D">
        <w:rPr>
          <w:rFonts w:eastAsia="Batang" w:cs="Times"/>
          <w:szCs w:val="24"/>
          <w:lang w:val="pt-BR" w:eastAsia="es-ES"/>
        </w:rPr>
        <w:t>conclusivo</w:t>
      </w:r>
      <w:r w:rsidRPr="00D5464D">
        <w:rPr>
          <w:rFonts w:eastAsia="Batang" w:cs="Times"/>
          <w:szCs w:val="24"/>
          <w:lang w:val="pt-BR" w:eastAsia="es-ES"/>
        </w:rPr>
        <w:t xml:space="preserve"> </w:t>
      </w:r>
      <w:r w:rsidR="00A47282" w:rsidRPr="00D5464D">
        <w:rPr>
          <w:rFonts w:eastAsia="Batang" w:cs="Times"/>
          <w:szCs w:val="24"/>
          <w:lang w:val="pt-BR" w:eastAsia="es-ES"/>
        </w:rPr>
        <w:t>pela</w:t>
      </w:r>
      <w:r w:rsidRPr="00D5464D">
        <w:rPr>
          <w:rFonts w:eastAsia="Batang" w:cs="Times"/>
          <w:szCs w:val="24"/>
          <w:lang w:val="pt-BR" w:eastAsia="es-ES"/>
        </w:rPr>
        <w:t xml:space="preserve"> autoridade </w:t>
      </w:r>
      <w:r w:rsidR="00A1358C" w:rsidRPr="00D5464D">
        <w:rPr>
          <w:rFonts w:eastAsia="Batang" w:cs="Times"/>
          <w:szCs w:val="24"/>
          <w:lang w:val="pt-BR" w:eastAsia="es-ES"/>
        </w:rPr>
        <w:t>competente</w:t>
      </w:r>
      <w:r w:rsidR="000A52D5" w:rsidRPr="00D5464D">
        <w:rPr>
          <w:rFonts w:eastAsia="Batang" w:cs="Times"/>
          <w:szCs w:val="24"/>
          <w:lang w:val="pt-BR" w:eastAsia="es-ES"/>
        </w:rPr>
        <w:t xml:space="preserve"> sobre</w:t>
      </w:r>
      <w:r w:rsidR="002C330E" w:rsidRPr="00D5464D">
        <w:rPr>
          <w:rFonts w:eastAsia="Batang" w:cs="Times"/>
          <w:szCs w:val="24"/>
          <w:lang w:val="pt-BR" w:eastAsia="es-ES"/>
        </w:rPr>
        <w:t xml:space="preserve"> a </w:t>
      </w:r>
      <w:r w:rsidR="00E045D9" w:rsidRPr="00D5464D">
        <w:rPr>
          <w:rFonts w:eastAsia="Batang" w:cs="Times"/>
          <w:szCs w:val="24"/>
          <w:lang w:val="pt-BR" w:eastAsia="es-ES"/>
        </w:rPr>
        <w:t>existência</w:t>
      </w:r>
      <w:r w:rsidR="000A52D5" w:rsidRPr="00D5464D">
        <w:rPr>
          <w:rFonts w:eastAsia="Batang" w:cs="Times"/>
          <w:szCs w:val="24"/>
          <w:lang w:val="pt-BR" w:eastAsia="es-ES"/>
        </w:rPr>
        <w:t xml:space="preserve"> o</w:t>
      </w:r>
      <w:r w:rsidR="00BF18E0" w:rsidRPr="00D5464D">
        <w:rPr>
          <w:rFonts w:eastAsia="Batang" w:cs="Times"/>
          <w:szCs w:val="24"/>
          <w:lang w:val="pt-BR" w:eastAsia="es-ES"/>
        </w:rPr>
        <w:t>u</w:t>
      </w:r>
      <w:r w:rsidR="000A52D5" w:rsidRPr="00D5464D">
        <w:rPr>
          <w:rFonts w:eastAsia="Batang" w:cs="Times"/>
          <w:szCs w:val="24"/>
          <w:lang w:val="pt-BR" w:eastAsia="es-ES"/>
        </w:rPr>
        <w:t xml:space="preserve"> n</w:t>
      </w:r>
      <w:r w:rsidR="00BF18E0" w:rsidRPr="00D5464D">
        <w:rPr>
          <w:rFonts w:eastAsia="Batang" w:cs="Times"/>
          <w:szCs w:val="24"/>
          <w:lang w:val="pt-BR" w:eastAsia="es-ES"/>
        </w:rPr>
        <w:t>ã</w:t>
      </w:r>
      <w:r w:rsidR="000A52D5" w:rsidRPr="00D5464D">
        <w:rPr>
          <w:rFonts w:eastAsia="Batang" w:cs="Times"/>
          <w:szCs w:val="24"/>
          <w:lang w:val="pt-BR" w:eastAsia="es-ES"/>
        </w:rPr>
        <w:t>o de</w:t>
      </w:r>
      <w:r w:rsidR="00E045D9" w:rsidRPr="00D5464D">
        <w:rPr>
          <w:rFonts w:eastAsia="Batang" w:cs="Times"/>
          <w:szCs w:val="24"/>
          <w:lang w:val="pt-BR" w:eastAsia="es-ES"/>
        </w:rPr>
        <w:t xml:space="preserve"> uma </w:t>
      </w:r>
      <w:r w:rsidR="002C330E" w:rsidRPr="00D5464D">
        <w:rPr>
          <w:rFonts w:eastAsia="Batang" w:cs="Times"/>
          <w:szCs w:val="24"/>
          <w:lang w:val="pt-BR" w:eastAsia="es-ES"/>
        </w:rPr>
        <w:t>suposta</w:t>
      </w:r>
      <w:r w:rsidR="000A52D5" w:rsidRPr="00D5464D">
        <w:rPr>
          <w:rFonts w:eastAsia="Batang" w:cs="Times"/>
          <w:szCs w:val="24"/>
          <w:lang w:val="pt-BR" w:eastAsia="es-ES"/>
        </w:rPr>
        <w:t xml:space="preserve"> viola</w:t>
      </w:r>
      <w:r w:rsidRPr="00D5464D">
        <w:rPr>
          <w:rFonts w:eastAsia="Batang" w:cs="Times"/>
          <w:szCs w:val="24"/>
          <w:lang w:val="pt-BR" w:eastAsia="es-ES"/>
        </w:rPr>
        <w:t>ção</w:t>
      </w:r>
      <w:r w:rsidR="000A52D5" w:rsidRPr="00D5464D">
        <w:rPr>
          <w:rFonts w:eastAsia="Batang" w:cs="Times"/>
          <w:szCs w:val="24"/>
          <w:lang w:val="pt-BR" w:eastAsia="es-ES"/>
        </w:rPr>
        <w:t xml:space="preserve"> </w:t>
      </w:r>
      <w:r w:rsidR="002C330E" w:rsidRPr="00D5464D">
        <w:rPr>
          <w:rFonts w:eastAsia="Batang" w:cs="Times"/>
          <w:szCs w:val="24"/>
          <w:lang w:val="pt-BR" w:eastAsia="es-ES"/>
        </w:rPr>
        <w:t>pode</w:t>
      </w:r>
      <w:r w:rsidR="00BF18E0" w:rsidRPr="00D5464D">
        <w:rPr>
          <w:rFonts w:eastAsia="Batang" w:cs="Times"/>
          <w:szCs w:val="24"/>
          <w:lang w:val="pt-BR" w:eastAsia="es-ES"/>
        </w:rPr>
        <w:t>-se</w:t>
      </w:r>
      <w:r w:rsidR="000A52D5" w:rsidRPr="00D5464D">
        <w:rPr>
          <w:rFonts w:eastAsia="Batang" w:cs="Times"/>
          <w:szCs w:val="24"/>
          <w:lang w:val="pt-BR" w:eastAsia="es-ES"/>
        </w:rPr>
        <w:t xml:space="preserve"> acudir</w:t>
      </w:r>
      <w:r w:rsidRPr="00D5464D">
        <w:rPr>
          <w:rFonts w:eastAsia="Batang" w:cs="Times"/>
          <w:szCs w:val="24"/>
          <w:lang w:val="pt-BR" w:eastAsia="es-ES"/>
        </w:rPr>
        <w:t xml:space="preserve"> ao </w:t>
      </w:r>
      <w:r w:rsidR="00BF18E0" w:rsidRPr="00D5464D">
        <w:rPr>
          <w:rFonts w:eastAsia="Batang" w:cs="Times"/>
          <w:szCs w:val="24"/>
          <w:lang w:val="pt-BR" w:eastAsia="es-ES"/>
        </w:rPr>
        <w:t>S</w:t>
      </w:r>
      <w:r w:rsidR="000A52D5" w:rsidRPr="00D5464D">
        <w:rPr>
          <w:rFonts w:eastAsia="Batang" w:cs="Times"/>
          <w:szCs w:val="24"/>
          <w:lang w:val="pt-BR" w:eastAsia="es-ES"/>
        </w:rPr>
        <w:t xml:space="preserve">istema </w:t>
      </w:r>
      <w:r w:rsidR="00BF18E0" w:rsidRPr="00D5464D">
        <w:rPr>
          <w:rFonts w:eastAsia="Batang" w:cs="Times"/>
          <w:szCs w:val="24"/>
          <w:lang w:val="pt-BR" w:eastAsia="es-ES"/>
        </w:rPr>
        <w:t>I</w:t>
      </w:r>
      <w:r w:rsidR="000A52D5" w:rsidRPr="00D5464D">
        <w:rPr>
          <w:rFonts w:eastAsia="Batang" w:cs="Times"/>
          <w:szCs w:val="24"/>
          <w:lang w:val="pt-BR" w:eastAsia="es-ES"/>
        </w:rPr>
        <w:t xml:space="preserve">nteramericano. </w:t>
      </w:r>
      <w:r w:rsidR="002C330E" w:rsidRPr="00D5464D">
        <w:rPr>
          <w:rFonts w:eastAsia="Batang" w:cs="Times"/>
          <w:szCs w:val="24"/>
          <w:lang w:val="pt-BR" w:eastAsia="es-ES"/>
        </w:rPr>
        <w:t>Afirmou</w:t>
      </w:r>
      <w:r w:rsidR="000A52D5" w:rsidRPr="00D5464D">
        <w:rPr>
          <w:rFonts w:eastAsia="Batang" w:cs="Times"/>
          <w:szCs w:val="24"/>
          <w:lang w:val="pt-BR" w:eastAsia="es-ES"/>
        </w:rPr>
        <w:t xml:space="preserve"> que </w:t>
      </w:r>
      <w:r w:rsidR="00BF18E0" w:rsidRPr="00D5464D">
        <w:rPr>
          <w:rFonts w:eastAsia="Batang" w:cs="Times"/>
          <w:szCs w:val="24"/>
          <w:lang w:val="pt-BR" w:eastAsia="es-ES"/>
        </w:rPr>
        <w:t xml:space="preserve">caso assumisse </w:t>
      </w:r>
      <w:r w:rsidRPr="00D5464D">
        <w:rPr>
          <w:rFonts w:eastAsia="Batang" w:cs="Times"/>
          <w:szCs w:val="24"/>
          <w:lang w:val="pt-BR" w:eastAsia="es-ES"/>
        </w:rPr>
        <w:t>competência</w:t>
      </w:r>
      <w:r w:rsidR="002C330E" w:rsidRPr="00D5464D">
        <w:rPr>
          <w:rFonts w:eastAsia="Batang" w:cs="Times"/>
          <w:szCs w:val="24"/>
          <w:lang w:val="pt-BR" w:eastAsia="es-ES"/>
        </w:rPr>
        <w:t xml:space="preserve"> a </w:t>
      </w:r>
      <w:r w:rsidR="000A52D5" w:rsidRPr="00D5464D">
        <w:rPr>
          <w:rFonts w:eastAsia="Batang" w:cs="Times"/>
          <w:szCs w:val="24"/>
          <w:lang w:val="pt-BR" w:eastAsia="es-ES"/>
        </w:rPr>
        <w:t xml:space="preserve">Corte </w:t>
      </w:r>
      <w:r w:rsidR="00737270" w:rsidRPr="00D5464D">
        <w:rPr>
          <w:rFonts w:eastAsia="Batang" w:cs="Times"/>
          <w:szCs w:val="24"/>
          <w:lang w:val="pt-BR" w:eastAsia="es-ES"/>
        </w:rPr>
        <w:t xml:space="preserve">estaria </w:t>
      </w:r>
      <w:r w:rsidR="00EB1CE9" w:rsidRPr="00D5464D">
        <w:rPr>
          <w:rFonts w:eastAsia="Batang" w:cs="Times"/>
          <w:szCs w:val="24"/>
          <w:lang w:val="pt-BR" w:eastAsia="es-ES"/>
        </w:rPr>
        <w:t>substitu</w:t>
      </w:r>
      <w:r w:rsidR="00BF18E0" w:rsidRPr="00D5464D">
        <w:rPr>
          <w:rFonts w:eastAsia="Batang" w:cs="Times"/>
          <w:szCs w:val="24"/>
          <w:lang w:val="pt-BR" w:eastAsia="es-ES"/>
        </w:rPr>
        <w:t>in</w:t>
      </w:r>
      <w:r w:rsidR="000A52D5" w:rsidRPr="00D5464D">
        <w:rPr>
          <w:rFonts w:eastAsia="Batang" w:cs="Times"/>
          <w:szCs w:val="24"/>
          <w:lang w:val="pt-BR" w:eastAsia="es-ES"/>
        </w:rPr>
        <w:t>do</w:t>
      </w:r>
      <w:r w:rsidR="00E045D9" w:rsidRPr="00D5464D">
        <w:rPr>
          <w:rFonts w:eastAsia="Batang" w:cs="Times"/>
          <w:szCs w:val="24"/>
          <w:lang w:val="pt-BR" w:eastAsia="es-ES"/>
        </w:rPr>
        <w:t xml:space="preserve"> </w:t>
      </w:r>
      <w:r w:rsidR="00BF18E0" w:rsidRPr="00D5464D">
        <w:rPr>
          <w:rFonts w:eastAsia="Batang" w:cs="Times"/>
          <w:szCs w:val="24"/>
          <w:lang w:val="pt-BR" w:eastAsia="es-ES"/>
        </w:rPr>
        <w:t>a</w:t>
      </w:r>
      <w:r w:rsidR="00E045D9" w:rsidRPr="00D5464D">
        <w:rPr>
          <w:rFonts w:eastAsia="Batang" w:cs="Times"/>
          <w:szCs w:val="24"/>
          <w:lang w:val="pt-BR" w:eastAsia="es-ES"/>
        </w:rPr>
        <w:t xml:space="preserve">s </w:t>
      </w:r>
      <w:r w:rsidR="000A52D5" w:rsidRPr="00D5464D">
        <w:rPr>
          <w:rFonts w:eastAsia="Batang" w:cs="Times"/>
          <w:szCs w:val="24"/>
          <w:lang w:val="pt-BR" w:eastAsia="es-ES"/>
        </w:rPr>
        <w:t xml:space="preserve">autoridades </w:t>
      </w:r>
      <w:r w:rsidR="002C330E" w:rsidRPr="00D5464D">
        <w:rPr>
          <w:rFonts w:eastAsia="Batang" w:cs="Times"/>
          <w:szCs w:val="24"/>
          <w:lang w:val="pt-BR" w:eastAsia="es-ES"/>
        </w:rPr>
        <w:t>nacionais</w:t>
      </w:r>
      <w:r w:rsidR="00E045D9" w:rsidRPr="00D5464D">
        <w:rPr>
          <w:rFonts w:eastAsia="Batang" w:cs="Times"/>
          <w:szCs w:val="24"/>
          <w:lang w:val="pt-BR" w:eastAsia="es-ES"/>
        </w:rPr>
        <w:t xml:space="preserve"> e </w:t>
      </w:r>
      <w:r w:rsidR="00C91CB1" w:rsidRPr="00D5464D">
        <w:rPr>
          <w:rFonts w:eastAsia="Batang" w:cs="Times"/>
          <w:szCs w:val="24"/>
          <w:lang w:val="pt-BR" w:eastAsia="es-ES"/>
        </w:rPr>
        <w:t>atuando</w:t>
      </w:r>
      <w:r w:rsidR="000A52D5" w:rsidRPr="00D5464D">
        <w:rPr>
          <w:rFonts w:eastAsia="Batang" w:cs="Times"/>
          <w:szCs w:val="24"/>
          <w:lang w:val="pt-BR" w:eastAsia="es-ES"/>
        </w:rPr>
        <w:t xml:space="preserve"> como</w:t>
      </w:r>
      <w:r w:rsidR="00E045D9" w:rsidRPr="00D5464D">
        <w:rPr>
          <w:rFonts w:eastAsia="Batang" w:cs="Times"/>
          <w:szCs w:val="24"/>
          <w:lang w:val="pt-BR" w:eastAsia="es-ES"/>
        </w:rPr>
        <w:t xml:space="preserve"> uma </w:t>
      </w:r>
      <w:r w:rsidRPr="00D5464D">
        <w:rPr>
          <w:rFonts w:eastAsia="Batang" w:cs="Times"/>
          <w:szCs w:val="24"/>
          <w:lang w:val="pt-BR" w:eastAsia="es-ES"/>
        </w:rPr>
        <w:t xml:space="preserve">espécie </w:t>
      </w:r>
      <w:r w:rsidR="000A52D5" w:rsidRPr="00D5464D">
        <w:rPr>
          <w:rFonts w:eastAsia="Batang" w:cs="Times"/>
          <w:szCs w:val="24"/>
          <w:lang w:val="pt-BR" w:eastAsia="es-ES"/>
        </w:rPr>
        <w:t>de “corte de apela</w:t>
      </w:r>
      <w:r w:rsidRPr="00D5464D">
        <w:rPr>
          <w:rFonts w:eastAsia="Batang" w:cs="Times"/>
          <w:szCs w:val="24"/>
          <w:lang w:val="pt-BR" w:eastAsia="es-ES"/>
        </w:rPr>
        <w:t>ções</w:t>
      </w:r>
      <w:r w:rsidR="000A52D5" w:rsidRPr="00D5464D">
        <w:rPr>
          <w:rFonts w:eastAsia="Batang" w:cs="Times"/>
          <w:szCs w:val="24"/>
          <w:lang w:val="pt-BR" w:eastAsia="es-ES"/>
        </w:rPr>
        <w:t xml:space="preserve"> de </w:t>
      </w:r>
      <w:r w:rsidR="00230C71" w:rsidRPr="00D5464D">
        <w:rPr>
          <w:rFonts w:eastAsia="Batang" w:cs="Times"/>
          <w:szCs w:val="24"/>
          <w:lang w:val="pt-BR" w:eastAsia="es-ES"/>
        </w:rPr>
        <w:t>quarta</w:t>
      </w:r>
      <w:r w:rsidR="000A52D5" w:rsidRPr="00D5464D">
        <w:rPr>
          <w:rFonts w:eastAsia="Batang" w:cs="Times"/>
          <w:szCs w:val="24"/>
          <w:lang w:val="pt-BR" w:eastAsia="es-ES"/>
        </w:rPr>
        <w:t xml:space="preserve"> </w:t>
      </w:r>
      <w:r w:rsidR="002C330E" w:rsidRPr="00D5464D">
        <w:rPr>
          <w:rFonts w:eastAsia="Batang" w:cs="Times"/>
          <w:szCs w:val="24"/>
          <w:lang w:val="pt-BR" w:eastAsia="es-ES"/>
        </w:rPr>
        <w:t>instância</w:t>
      </w:r>
      <w:r w:rsidR="000A52D5" w:rsidRPr="00D5464D">
        <w:rPr>
          <w:rFonts w:eastAsia="Batang" w:cs="Times"/>
          <w:szCs w:val="24"/>
          <w:lang w:val="pt-BR" w:eastAsia="es-ES"/>
        </w:rPr>
        <w:t xml:space="preserve"> nacional”. </w:t>
      </w:r>
      <w:r w:rsidR="00BF18E0" w:rsidRPr="00D5464D">
        <w:rPr>
          <w:rFonts w:eastAsia="Batang" w:cs="Times"/>
          <w:szCs w:val="24"/>
          <w:lang w:val="pt-BR" w:eastAsia="es-ES"/>
        </w:rPr>
        <w:t>Além disso</w:t>
      </w:r>
      <w:r w:rsidR="000A52D5" w:rsidRPr="00D5464D">
        <w:rPr>
          <w:rFonts w:eastAsia="Batang" w:cs="Times"/>
          <w:szCs w:val="24"/>
          <w:lang w:val="pt-BR" w:eastAsia="es-ES"/>
        </w:rPr>
        <w:t xml:space="preserve">, </w:t>
      </w:r>
      <w:r w:rsidR="00C91CB1" w:rsidRPr="00D5464D">
        <w:rPr>
          <w:rFonts w:eastAsia="Batang" w:cs="Times"/>
          <w:szCs w:val="24"/>
          <w:lang w:val="pt-BR" w:eastAsia="es-ES"/>
        </w:rPr>
        <w:t>afirmou</w:t>
      </w:r>
      <w:r w:rsidR="000A52D5" w:rsidRPr="00D5464D">
        <w:rPr>
          <w:rFonts w:eastAsia="Batang" w:cs="Times"/>
          <w:szCs w:val="24"/>
          <w:lang w:val="pt-BR" w:eastAsia="es-ES"/>
        </w:rPr>
        <w:t xml:space="preserve"> que </w:t>
      </w:r>
      <w:r w:rsidR="00BF18E0" w:rsidRPr="00D5464D">
        <w:rPr>
          <w:rFonts w:eastAsia="Batang" w:cs="Times"/>
          <w:szCs w:val="24"/>
          <w:lang w:val="pt-BR" w:eastAsia="es-ES"/>
        </w:rPr>
        <w:t xml:space="preserve">diversos recursos internos </w:t>
      </w:r>
      <w:r w:rsidRPr="00D5464D">
        <w:rPr>
          <w:rFonts w:eastAsia="Batang" w:cs="Times"/>
          <w:szCs w:val="24"/>
          <w:lang w:val="pt-BR" w:eastAsia="es-ES"/>
        </w:rPr>
        <w:t>foram</w:t>
      </w:r>
      <w:r w:rsidR="000A52D5" w:rsidRPr="00D5464D">
        <w:rPr>
          <w:rFonts w:eastAsia="Batang" w:cs="Times"/>
          <w:szCs w:val="24"/>
          <w:lang w:val="pt-BR" w:eastAsia="es-ES"/>
        </w:rPr>
        <w:t xml:space="preserve"> </w:t>
      </w:r>
      <w:r w:rsidR="002C330E" w:rsidRPr="00D5464D">
        <w:rPr>
          <w:rFonts w:eastAsia="Batang" w:cs="Times"/>
          <w:szCs w:val="24"/>
          <w:lang w:val="pt-BR" w:eastAsia="es-ES"/>
        </w:rPr>
        <w:t>interpost</w:t>
      </w:r>
      <w:r w:rsidR="000A52D5" w:rsidRPr="00D5464D">
        <w:rPr>
          <w:rFonts w:eastAsia="Batang" w:cs="Times"/>
          <w:szCs w:val="24"/>
          <w:lang w:val="pt-BR" w:eastAsia="es-ES"/>
        </w:rPr>
        <w:t>os</w:t>
      </w:r>
      <w:r w:rsidRPr="00D5464D">
        <w:rPr>
          <w:rFonts w:eastAsia="Batang" w:cs="Times"/>
          <w:szCs w:val="24"/>
          <w:lang w:val="pt-BR" w:eastAsia="es-ES"/>
        </w:rPr>
        <w:t xml:space="preserve"> em </w:t>
      </w:r>
      <w:r w:rsidR="00BF18E0" w:rsidRPr="00D5464D">
        <w:rPr>
          <w:rFonts w:eastAsia="Batang" w:cs="Times"/>
          <w:szCs w:val="24"/>
          <w:lang w:val="pt-BR" w:eastAsia="es-ES"/>
        </w:rPr>
        <w:t xml:space="preserve">diferentes </w:t>
      </w:r>
      <w:r w:rsidR="000A52D5" w:rsidRPr="00D5464D">
        <w:rPr>
          <w:rFonts w:eastAsia="Batang" w:cs="Times"/>
          <w:szCs w:val="24"/>
          <w:lang w:val="pt-BR" w:eastAsia="es-ES"/>
        </w:rPr>
        <w:t xml:space="preserve">momentos </w:t>
      </w:r>
      <w:r w:rsidR="00E045D9" w:rsidRPr="00D5464D">
        <w:rPr>
          <w:rFonts w:eastAsia="Batang" w:cs="Times"/>
          <w:szCs w:val="24"/>
          <w:lang w:val="pt-BR" w:eastAsia="es-ES"/>
        </w:rPr>
        <w:t xml:space="preserve">e </w:t>
      </w:r>
      <w:r w:rsidR="00BF18E0" w:rsidRPr="00D5464D">
        <w:rPr>
          <w:rFonts w:eastAsia="Batang" w:cs="Times"/>
          <w:szCs w:val="24"/>
          <w:lang w:val="pt-BR" w:eastAsia="es-ES"/>
        </w:rPr>
        <w:t xml:space="preserve">devidamente </w:t>
      </w:r>
      <w:r w:rsidR="000A52D5" w:rsidRPr="00D5464D">
        <w:rPr>
          <w:rFonts w:eastAsia="Batang" w:cs="Times"/>
          <w:szCs w:val="24"/>
          <w:lang w:val="pt-BR" w:eastAsia="es-ES"/>
        </w:rPr>
        <w:t>tramitados para investigar su</w:t>
      </w:r>
      <w:r w:rsidR="002C330E" w:rsidRPr="00D5464D">
        <w:rPr>
          <w:rFonts w:eastAsia="Batang" w:cs="Times"/>
          <w:szCs w:val="24"/>
          <w:lang w:val="pt-BR" w:eastAsia="es-ES"/>
        </w:rPr>
        <w:t>posta</w:t>
      </w:r>
      <w:r w:rsidR="000A52D5" w:rsidRPr="00D5464D">
        <w:rPr>
          <w:rFonts w:eastAsia="Batang" w:cs="Times"/>
          <w:szCs w:val="24"/>
          <w:lang w:val="pt-BR" w:eastAsia="es-ES"/>
        </w:rPr>
        <w:t>s viola</w:t>
      </w:r>
      <w:r w:rsidRPr="00D5464D">
        <w:rPr>
          <w:rFonts w:eastAsia="Batang" w:cs="Times"/>
          <w:szCs w:val="24"/>
          <w:lang w:val="pt-BR" w:eastAsia="es-ES"/>
        </w:rPr>
        <w:t>ções</w:t>
      </w:r>
      <w:r w:rsidR="000A52D5" w:rsidRPr="00D5464D">
        <w:rPr>
          <w:rFonts w:eastAsia="Batang" w:cs="Times"/>
          <w:szCs w:val="24"/>
          <w:lang w:val="pt-BR" w:eastAsia="es-ES"/>
        </w:rPr>
        <w:t xml:space="preserve"> de </w:t>
      </w:r>
      <w:r w:rsidRPr="00D5464D">
        <w:rPr>
          <w:rFonts w:eastAsia="Batang" w:cs="Times"/>
          <w:szCs w:val="24"/>
          <w:lang w:val="pt-BR" w:eastAsia="es-ES"/>
        </w:rPr>
        <w:t>direito</w:t>
      </w:r>
      <w:r w:rsidR="000A52D5" w:rsidRPr="00D5464D">
        <w:rPr>
          <w:rFonts w:eastAsia="Batang" w:cs="Times"/>
          <w:szCs w:val="24"/>
          <w:lang w:val="pt-BR" w:eastAsia="es-ES"/>
        </w:rPr>
        <w:t xml:space="preserve">s humanos contra </w:t>
      </w:r>
      <w:r w:rsidR="00E045D9" w:rsidRPr="00D5464D">
        <w:rPr>
          <w:rFonts w:eastAsia="Batang" w:cs="Times"/>
          <w:szCs w:val="24"/>
          <w:lang w:val="pt-BR" w:eastAsia="es-ES"/>
        </w:rPr>
        <w:t>trabalhadores</w:t>
      </w:r>
      <w:r w:rsidRPr="00D5464D">
        <w:rPr>
          <w:rFonts w:eastAsia="Batang" w:cs="Times"/>
          <w:szCs w:val="24"/>
          <w:lang w:val="pt-BR" w:eastAsia="es-ES"/>
        </w:rPr>
        <w:t xml:space="preserve"> da </w:t>
      </w:r>
      <w:r w:rsidR="00D809F0" w:rsidRPr="00D5464D">
        <w:rPr>
          <w:rFonts w:eastAsia="Batang" w:cs="Times"/>
          <w:szCs w:val="24"/>
          <w:lang w:val="pt-BR" w:eastAsia="es-ES"/>
        </w:rPr>
        <w:t>Fazenda</w:t>
      </w:r>
      <w:r w:rsidR="000A52D5" w:rsidRPr="00D5464D">
        <w:rPr>
          <w:rFonts w:eastAsia="Batang" w:cs="Times"/>
          <w:szCs w:val="24"/>
          <w:lang w:val="pt-BR" w:eastAsia="es-ES"/>
        </w:rPr>
        <w:t xml:space="preserve"> Brasil Verde</w:t>
      </w:r>
      <w:r w:rsidRPr="00D5464D">
        <w:rPr>
          <w:rFonts w:eastAsia="Batang" w:cs="Times"/>
          <w:szCs w:val="24"/>
          <w:lang w:val="pt-BR" w:eastAsia="es-ES"/>
        </w:rPr>
        <w:t xml:space="preserve"> e</w:t>
      </w:r>
      <w:r w:rsidR="000A52D5" w:rsidRPr="00D5464D">
        <w:rPr>
          <w:rFonts w:eastAsia="Batang" w:cs="Times"/>
          <w:szCs w:val="24"/>
          <w:lang w:val="pt-BR" w:eastAsia="es-ES"/>
        </w:rPr>
        <w:t xml:space="preserve"> que todos</w:t>
      </w:r>
      <w:r w:rsidRPr="00D5464D">
        <w:rPr>
          <w:rFonts w:eastAsia="Batang" w:cs="Times"/>
          <w:szCs w:val="24"/>
          <w:lang w:val="pt-BR" w:eastAsia="es-ES"/>
        </w:rPr>
        <w:t xml:space="preserve"> ele</w:t>
      </w:r>
      <w:r w:rsidR="000A52D5" w:rsidRPr="00D5464D">
        <w:rPr>
          <w:rFonts w:eastAsia="Batang" w:cs="Times"/>
          <w:szCs w:val="24"/>
          <w:lang w:val="pt-BR" w:eastAsia="es-ES"/>
        </w:rPr>
        <w:t xml:space="preserve">s </w:t>
      </w:r>
      <w:r w:rsidRPr="00D5464D">
        <w:rPr>
          <w:rFonts w:eastAsia="Batang" w:cs="Times"/>
          <w:szCs w:val="24"/>
          <w:lang w:val="pt-BR" w:eastAsia="es-ES"/>
        </w:rPr>
        <w:t>foram</w:t>
      </w:r>
      <w:r w:rsidR="000A52D5" w:rsidRPr="00D5464D">
        <w:rPr>
          <w:rFonts w:eastAsia="Batang" w:cs="Times"/>
          <w:szCs w:val="24"/>
          <w:lang w:val="pt-BR" w:eastAsia="es-ES"/>
        </w:rPr>
        <w:t xml:space="preserve"> </w:t>
      </w:r>
      <w:r w:rsidR="00BF18E0" w:rsidRPr="00D5464D">
        <w:rPr>
          <w:rFonts w:eastAsia="Batang" w:cs="Times"/>
          <w:szCs w:val="24"/>
          <w:lang w:val="pt-BR" w:eastAsia="es-ES"/>
        </w:rPr>
        <w:t xml:space="preserve">instruídos </w:t>
      </w:r>
      <w:r w:rsidR="00E045D9" w:rsidRPr="00D5464D">
        <w:rPr>
          <w:rFonts w:eastAsia="Batang" w:cs="Times"/>
          <w:szCs w:val="24"/>
          <w:lang w:val="pt-BR" w:eastAsia="es-ES"/>
        </w:rPr>
        <w:t xml:space="preserve">e </w:t>
      </w:r>
      <w:r w:rsidR="002C330E" w:rsidRPr="00D5464D">
        <w:rPr>
          <w:rFonts w:eastAsia="Batang" w:cs="Times"/>
          <w:szCs w:val="24"/>
          <w:lang w:val="pt-BR" w:eastAsia="es-ES"/>
        </w:rPr>
        <w:t>lev</w:t>
      </w:r>
      <w:r w:rsidR="000A52D5" w:rsidRPr="00D5464D">
        <w:rPr>
          <w:rFonts w:eastAsia="Batang" w:cs="Times"/>
          <w:szCs w:val="24"/>
          <w:lang w:val="pt-BR" w:eastAsia="es-ES"/>
        </w:rPr>
        <w:t xml:space="preserve">ados a </w:t>
      </w:r>
      <w:r w:rsidR="00E045D9" w:rsidRPr="00D5464D">
        <w:rPr>
          <w:rFonts w:eastAsia="Batang" w:cs="Times"/>
          <w:szCs w:val="24"/>
          <w:lang w:val="pt-BR" w:eastAsia="es-ES"/>
        </w:rPr>
        <w:t>termo</w:t>
      </w:r>
      <w:r w:rsidR="002C330E" w:rsidRPr="00D5464D">
        <w:rPr>
          <w:rFonts w:eastAsia="Batang" w:cs="Times"/>
          <w:szCs w:val="24"/>
          <w:lang w:val="pt-BR" w:eastAsia="es-ES"/>
        </w:rPr>
        <w:t xml:space="preserve"> pelas </w:t>
      </w:r>
      <w:r w:rsidR="000A52D5" w:rsidRPr="00D5464D">
        <w:rPr>
          <w:rFonts w:eastAsia="Batang" w:cs="Times"/>
          <w:szCs w:val="24"/>
          <w:lang w:val="pt-BR" w:eastAsia="es-ES"/>
        </w:rPr>
        <w:t xml:space="preserve">autoridades </w:t>
      </w:r>
      <w:r w:rsidR="00A1358C" w:rsidRPr="00D5464D">
        <w:rPr>
          <w:rFonts w:eastAsia="Batang" w:cs="Times"/>
          <w:szCs w:val="24"/>
          <w:lang w:val="pt-BR" w:eastAsia="es-ES"/>
        </w:rPr>
        <w:t>competente</w:t>
      </w:r>
      <w:r w:rsidR="000A52D5" w:rsidRPr="00D5464D">
        <w:rPr>
          <w:rFonts w:eastAsia="Batang" w:cs="Times"/>
          <w:szCs w:val="24"/>
          <w:lang w:val="pt-BR" w:eastAsia="es-ES"/>
        </w:rPr>
        <w:t xml:space="preserve">s. </w:t>
      </w:r>
    </w:p>
    <w:p w14:paraId="3C50B5D9" w14:textId="77777777" w:rsidR="000A52D5" w:rsidRPr="00D5464D" w:rsidRDefault="000A52D5" w:rsidP="00140440">
      <w:pPr>
        <w:tabs>
          <w:tab w:val="clear" w:pos="4419"/>
          <w:tab w:val="clear" w:pos="8838"/>
        </w:tabs>
        <w:jc w:val="both"/>
        <w:rPr>
          <w:rFonts w:eastAsia="Batang" w:cs="Times"/>
          <w:szCs w:val="24"/>
          <w:lang w:val="pt-BR" w:eastAsia="es-ES"/>
        </w:rPr>
      </w:pPr>
    </w:p>
    <w:p w14:paraId="7F5D11A8" w14:textId="483C03C6" w:rsidR="000A52D5" w:rsidRPr="00D5464D" w:rsidRDefault="000A52D5"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Finalmente,</w:t>
      </w:r>
      <w:r w:rsidR="00470ADC" w:rsidRPr="00D5464D">
        <w:rPr>
          <w:rFonts w:eastAsia="Batang" w:cs="Times"/>
          <w:szCs w:val="24"/>
          <w:lang w:val="pt-BR" w:eastAsia="es-ES"/>
        </w:rPr>
        <w:t xml:space="preserve"> o </w:t>
      </w:r>
      <w:r w:rsidRPr="00D5464D">
        <w:rPr>
          <w:rFonts w:eastAsia="Batang" w:cs="Times"/>
          <w:szCs w:val="24"/>
          <w:lang w:val="pt-BR" w:eastAsia="es-ES"/>
        </w:rPr>
        <w:t xml:space="preserve">Estado </w:t>
      </w:r>
      <w:r w:rsidR="005F3480" w:rsidRPr="00D5464D">
        <w:rPr>
          <w:rFonts w:eastAsia="Batang" w:cs="Times"/>
          <w:szCs w:val="24"/>
          <w:lang w:val="pt-BR" w:eastAsia="es-ES"/>
        </w:rPr>
        <w:t>afirmou</w:t>
      </w:r>
      <w:r w:rsidRPr="00D5464D">
        <w:rPr>
          <w:rFonts w:eastAsia="Batang" w:cs="Times"/>
          <w:szCs w:val="24"/>
          <w:lang w:val="pt-BR" w:eastAsia="es-ES"/>
        </w:rPr>
        <w:t xml:space="preserve"> que</w:t>
      </w:r>
      <w:r w:rsidR="00737270" w:rsidRPr="00D5464D">
        <w:rPr>
          <w:rFonts w:eastAsia="Batang" w:cs="Times"/>
          <w:szCs w:val="24"/>
          <w:lang w:val="pt-BR" w:eastAsia="es-ES"/>
        </w:rPr>
        <w:t xml:space="preserve"> houve </w:t>
      </w:r>
      <w:r w:rsidR="00E045D9" w:rsidRPr="00D5464D">
        <w:rPr>
          <w:rFonts w:eastAsia="Batang" w:cs="Times"/>
          <w:szCs w:val="24"/>
          <w:lang w:val="pt-BR" w:eastAsia="es-ES"/>
        </w:rPr>
        <w:t xml:space="preserve">um </w:t>
      </w:r>
      <w:r w:rsidR="00470ADC" w:rsidRPr="00D5464D">
        <w:rPr>
          <w:rFonts w:eastAsia="Batang" w:cs="Times"/>
          <w:szCs w:val="24"/>
          <w:lang w:val="pt-BR" w:eastAsia="es-ES"/>
        </w:rPr>
        <w:t>adequad</w:t>
      </w:r>
      <w:r w:rsidRPr="00D5464D">
        <w:rPr>
          <w:rFonts w:eastAsia="Batang" w:cs="Times"/>
          <w:szCs w:val="24"/>
          <w:lang w:val="pt-BR" w:eastAsia="es-ES"/>
        </w:rPr>
        <w:t xml:space="preserve">o </w:t>
      </w:r>
      <w:r w:rsidR="00E045D9" w:rsidRPr="00D5464D">
        <w:rPr>
          <w:rFonts w:eastAsia="Batang" w:cs="Times"/>
          <w:szCs w:val="24"/>
          <w:lang w:val="pt-BR" w:eastAsia="es-ES"/>
        </w:rPr>
        <w:t>funcionamento</w:t>
      </w:r>
      <w:r w:rsidR="00470ADC" w:rsidRPr="00D5464D">
        <w:rPr>
          <w:rFonts w:eastAsia="Batang" w:cs="Times"/>
          <w:szCs w:val="24"/>
          <w:lang w:val="pt-BR" w:eastAsia="es-ES"/>
        </w:rPr>
        <w:t xml:space="preserve"> das </w:t>
      </w:r>
      <w:r w:rsidR="002C330E" w:rsidRPr="00D5464D">
        <w:rPr>
          <w:rFonts w:eastAsia="Batang" w:cs="Times"/>
          <w:szCs w:val="24"/>
          <w:lang w:val="pt-BR" w:eastAsia="es-ES"/>
        </w:rPr>
        <w:t>instância</w:t>
      </w:r>
      <w:r w:rsidRPr="00D5464D">
        <w:rPr>
          <w:rFonts w:eastAsia="Batang" w:cs="Times"/>
          <w:szCs w:val="24"/>
          <w:lang w:val="pt-BR" w:eastAsia="es-ES"/>
        </w:rPr>
        <w:t xml:space="preserve">s </w:t>
      </w:r>
      <w:r w:rsidR="00EB07FC" w:rsidRPr="00D5464D">
        <w:rPr>
          <w:rFonts w:eastAsia="Batang" w:cs="Times"/>
          <w:szCs w:val="24"/>
          <w:lang w:val="pt-BR" w:eastAsia="es-ES"/>
        </w:rPr>
        <w:t xml:space="preserve">internas </w:t>
      </w:r>
      <w:r w:rsidRPr="00D5464D">
        <w:rPr>
          <w:rFonts w:eastAsia="Batang" w:cs="Times"/>
          <w:szCs w:val="24"/>
          <w:lang w:val="pt-BR" w:eastAsia="es-ES"/>
        </w:rPr>
        <w:t>para</w:t>
      </w:r>
      <w:r w:rsidR="002C330E" w:rsidRPr="00D5464D">
        <w:rPr>
          <w:rFonts w:eastAsia="Batang" w:cs="Times"/>
          <w:szCs w:val="24"/>
          <w:lang w:val="pt-BR" w:eastAsia="es-ES"/>
        </w:rPr>
        <w:t xml:space="preserve"> a </w:t>
      </w:r>
      <w:r w:rsidRPr="00D5464D">
        <w:rPr>
          <w:rFonts w:eastAsia="Batang" w:cs="Times"/>
          <w:szCs w:val="24"/>
          <w:lang w:val="pt-BR" w:eastAsia="es-ES"/>
        </w:rPr>
        <w:t>repara</w:t>
      </w:r>
      <w:r w:rsidR="00470ADC" w:rsidRPr="00D5464D">
        <w:rPr>
          <w:rFonts w:eastAsia="Batang" w:cs="Times"/>
          <w:szCs w:val="24"/>
          <w:lang w:val="pt-BR" w:eastAsia="es-ES"/>
        </w:rPr>
        <w:t>ção</w:t>
      </w:r>
      <w:r w:rsidRPr="00D5464D">
        <w:rPr>
          <w:rFonts w:eastAsia="Batang" w:cs="Times"/>
          <w:szCs w:val="24"/>
          <w:lang w:val="pt-BR" w:eastAsia="es-ES"/>
        </w:rPr>
        <w:t xml:space="preserve"> por d</w:t>
      </w:r>
      <w:r w:rsidR="00470ADC" w:rsidRPr="00D5464D">
        <w:rPr>
          <w:rFonts w:eastAsia="Batang" w:cs="Times"/>
          <w:szCs w:val="24"/>
          <w:lang w:val="pt-BR" w:eastAsia="es-ES"/>
        </w:rPr>
        <w:t>anos</w:t>
      </w:r>
      <w:r w:rsidRPr="00D5464D">
        <w:rPr>
          <w:rFonts w:eastAsia="Batang" w:cs="Times"/>
          <w:szCs w:val="24"/>
          <w:lang w:val="pt-BR" w:eastAsia="es-ES"/>
        </w:rPr>
        <w:t xml:space="preserve"> </w:t>
      </w:r>
      <w:r w:rsidR="00737270" w:rsidRPr="00D5464D">
        <w:rPr>
          <w:rFonts w:eastAsia="Batang" w:cs="Times"/>
          <w:szCs w:val="24"/>
          <w:lang w:val="pt-BR" w:eastAsia="es-ES"/>
        </w:rPr>
        <w:t>materiais</w:t>
      </w:r>
      <w:r w:rsidRPr="00D5464D">
        <w:rPr>
          <w:rFonts w:eastAsia="Batang" w:cs="Times"/>
          <w:szCs w:val="24"/>
          <w:lang w:val="pt-BR" w:eastAsia="es-ES"/>
        </w:rPr>
        <w:t xml:space="preserve"> </w:t>
      </w:r>
      <w:r w:rsidR="00737270" w:rsidRPr="00D5464D">
        <w:rPr>
          <w:rFonts w:eastAsia="Batang" w:cs="Times"/>
          <w:szCs w:val="24"/>
          <w:lang w:val="pt-BR" w:eastAsia="es-ES"/>
        </w:rPr>
        <w:t>sofridos</w:t>
      </w:r>
      <w:r w:rsidR="002C330E" w:rsidRPr="00D5464D">
        <w:rPr>
          <w:rFonts w:eastAsia="Batang" w:cs="Times"/>
          <w:szCs w:val="24"/>
          <w:lang w:val="pt-BR" w:eastAsia="es-ES"/>
        </w:rPr>
        <w:t xml:space="preserve"> pelos </w:t>
      </w:r>
      <w:r w:rsidR="00E045D9" w:rsidRPr="00D5464D">
        <w:rPr>
          <w:rFonts w:eastAsia="Batang" w:cs="Times"/>
          <w:szCs w:val="24"/>
          <w:lang w:val="pt-BR" w:eastAsia="es-ES"/>
        </w:rPr>
        <w:t>trabalhadores</w:t>
      </w:r>
      <w:r w:rsidR="00470ADC" w:rsidRPr="00D5464D">
        <w:rPr>
          <w:rFonts w:eastAsia="Batang" w:cs="Times"/>
          <w:szCs w:val="24"/>
          <w:lang w:val="pt-BR" w:eastAsia="es-ES"/>
        </w:rPr>
        <w:t xml:space="preserve"> da </w:t>
      </w:r>
      <w:r w:rsidR="00D809F0" w:rsidRPr="00D5464D">
        <w:rPr>
          <w:rFonts w:eastAsia="Batang" w:cs="Times"/>
          <w:szCs w:val="24"/>
          <w:lang w:val="pt-BR" w:eastAsia="es-ES"/>
        </w:rPr>
        <w:t>Fazenda</w:t>
      </w:r>
      <w:r w:rsidRPr="00D5464D">
        <w:rPr>
          <w:rFonts w:eastAsia="Batang" w:cs="Times"/>
          <w:szCs w:val="24"/>
          <w:lang w:val="pt-BR" w:eastAsia="es-ES"/>
        </w:rPr>
        <w:t xml:space="preserve"> Brasil Verde</w:t>
      </w:r>
      <w:r w:rsidR="00470ADC" w:rsidRPr="00D5464D">
        <w:rPr>
          <w:rFonts w:eastAsia="Batang" w:cs="Times"/>
          <w:szCs w:val="24"/>
          <w:lang w:val="pt-BR" w:eastAsia="es-ES"/>
        </w:rPr>
        <w:t xml:space="preserve"> e</w:t>
      </w:r>
      <w:r w:rsidRPr="00D5464D">
        <w:rPr>
          <w:rFonts w:eastAsia="Batang" w:cs="Times"/>
          <w:szCs w:val="24"/>
          <w:lang w:val="pt-BR" w:eastAsia="es-ES"/>
        </w:rPr>
        <w:t xml:space="preserve"> precis</w:t>
      </w:r>
      <w:r w:rsidR="00BF18E0" w:rsidRPr="00D5464D">
        <w:rPr>
          <w:rFonts w:eastAsia="Batang" w:cs="Times"/>
          <w:szCs w:val="24"/>
          <w:lang w:val="pt-BR" w:eastAsia="es-ES"/>
        </w:rPr>
        <w:t>ou</w:t>
      </w:r>
      <w:r w:rsidRPr="00D5464D">
        <w:rPr>
          <w:rFonts w:eastAsia="Batang" w:cs="Times"/>
          <w:szCs w:val="24"/>
          <w:lang w:val="pt-BR" w:eastAsia="es-ES"/>
        </w:rPr>
        <w:t xml:space="preserve"> que</w:t>
      </w:r>
      <w:r w:rsidR="002C330E" w:rsidRPr="00D5464D">
        <w:rPr>
          <w:rFonts w:eastAsia="Batang" w:cs="Times"/>
          <w:szCs w:val="24"/>
          <w:lang w:val="pt-BR" w:eastAsia="es-ES"/>
        </w:rPr>
        <w:t xml:space="preserve"> a </w:t>
      </w:r>
      <w:r w:rsidRPr="00D5464D">
        <w:rPr>
          <w:rFonts w:eastAsia="Batang" w:cs="Times"/>
          <w:szCs w:val="24"/>
          <w:lang w:val="pt-BR" w:eastAsia="es-ES"/>
        </w:rPr>
        <w:t xml:space="preserve">Corte </w:t>
      </w:r>
      <w:r w:rsidR="002C330E" w:rsidRPr="00D5464D">
        <w:rPr>
          <w:rFonts w:eastAsia="Batang" w:cs="Times"/>
          <w:szCs w:val="24"/>
          <w:lang w:val="pt-BR" w:eastAsia="es-ES"/>
        </w:rPr>
        <w:t xml:space="preserve">não possui </w:t>
      </w:r>
      <w:r w:rsidR="00470ADC" w:rsidRPr="00D5464D">
        <w:rPr>
          <w:rFonts w:eastAsia="Batang" w:cs="Times"/>
          <w:szCs w:val="24"/>
          <w:lang w:val="pt-BR" w:eastAsia="es-ES"/>
        </w:rPr>
        <w:t>competência</w:t>
      </w:r>
      <w:r w:rsidRPr="00D5464D">
        <w:rPr>
          <w:rFonts w:eastAsia="Batang" w:cs="Times"/>
          <w:szCs w:val="24"/>
          <w:lang w:val="pt-BR" w:eastAsia="es-ES"/>
        </w:rPr>
        <w:t xml:space="preserve"> para </w:t>
      </w:r>
      <w:r w:rsidR="002C330E" w:rsidRPr="00D5464D">
        <w:rPr>
          <w:rFonts w:eastAsia="Batang" w:cs="Times"/>
          <w:szCs w:val="24"/>
          <w:lang w:val="pt-BR" w:eastAsia="es-ES"/>
        </w:rPr>
        <w:t>pronunciar-se</w:t>
      </w:r>
      <w:r w:rsidRPr="00D5464D">
        <w:rPr>
          <w:rFonts w:eastAsia="Batang" w:cs="Times"/>
          <w:szCs w:val="24"/>
          <w:lang w:val="pt-BR" w:eastAsia="es-ES"/>
        </w:rPr>
        <w:t xml:space="preserve"> sobre</w:t>
      </w:r>
      <w:r w:rsidR="002C330E" w:rsidRPr="00D5464D">
        <w:rPr>
          <w:rFonts w:eastAsia="Batang" w:cs="Times"/>
          <w:szCs w:val="24"/>
          <w:lang w:val="pt-BR" w:eastAsia="es-ES"/>
        </w:rPr>
        <w:t xml:space="preserve"> a solicitação </w:t>
      </w:r>
      <w:r w:rsidRPr="00D5464D">
        <w:rPr>
          <w:rFonts w:eastAsia="Batang" w:cs="Times"/>
          <w:szCs w:val="24"/>
          <w:lang w:val="pt-BR" w:eastAsia="es-ES"/>
        </w:rPr>
        <w:t>de repara</w:t>
      </w:r>
      <w:r w:rsidR="00470ADC" w:rsidRPr="00D5464D">
        <w:rPr>
          <w:rFonts w:eastAsia="Batang" w:cs="Times"/>
          <w:szCs w:val="24"/>
          <w:lang w:val="pt-BR" w:eastAsia="es-ES"/>
        </w:rPr>
        <w:t>ção</w:t>
      </w:r>
      <w:r w:rsidRPr="00D5464D">
        <w:rPr>
          <w:rFonts w:eastAsia="Batang" w:cs="Times"/>
          <w:szCs w:val="24"/>
          <w:lang w:val="pt-BR" w:eastAsia="es-ES"/>
        </w:rPr>
        <w:t xml:space="preserve"> por d</w:t>
      </w:r>
      <w:r w:rsidR="00470ADC" w:rsidRPr="00D5464D">
        <w:rPr>
          <w:rFonts w:eastAsia="Batang" w:cs="Times"/>
          <w:szCs w:val="24"/>
          <w:lang w:val="pt-BR" w:eastAsia="es-ES"/>
        </w:rPr>
        <w:t>anos</w:t>
      </w:r>
      <w:r w:rsidRPr="00D5464D">
        <w:rPr>
          <w:rFonts w:eastAsia="Batang" w:cs="Times"/>
          <w:szCs w:val="24"/>
          <w:lang w:val="pt-BR" w:eastAsia="es-ES"/>
        </w:rPr>
        <w:t xml:space="preserve"> </w:t>
      </w:r>
      <w:r w:rsidR="00737270" w:rsidRPr="00D5464D">
        <w:rPr>
          <w:rFonts w:eastAsia="Batang" w:cs="Times"/>
          <w:szCs w:val="24"/>
          <w:lang w:val="pt-BR" w:eastAsia="es-ES"/>
        </w:rPr>
        <w:t>materiais</w:t>
      </w:r>
      <w:r w:rsidRPr="00D5464D">
        <w:rPr>
          <w:rFonts w:eastAsia="Batang" w:cs="Times"/>
          <w:szCs w:val="24"/>
          <w:lang w:val="pt-BR" w:eastAsia="es-ES"/>
        </w:rPr>
        <w:t>.</w:t>
      </w:r>
    </w:p>
    <w:p w14:paraId="665D2F87" w14:textId="77777777" w:rsidR="00D65024" w:rsidRPr="00D5464D" w:rsidRDefault="00D65024" w:rsidP="00D65024">
      <w:pPr>
        <w:tabs>
          <w:tab w:val="clear" w:pos="4419"/>
          <w:tab w:val="clear" w:pos="8838"/>
        </w:tabs>
        <w:jc w:val="both"/>
        <w:rPr>
          <w:rFonts w:eastAsia="Batang" w:cs="Times"/>
          <w:szCs w:val="24"/>
          <w:lang w:val="pt-BR" w:eastAsia="es-ES"/>
        </w:rPr>
      </w:pPr>
    </w:p>
    <w:p w14:paraId="06390D72" w14:textId="1D876E73" w:rsidR="000A52D5" w:rsidRPr="00D5464D" w:rsidRDefault="00470AD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A </w:t>
      </w:r>
      <w:r w:rsidRPr="00D5464D">
        <w:rPr>
          <w:rFonts w:eastAsia="Batang" w:cs="Times"/>
          <w:b/>
          <w:i/>
          <w:szCs w:val="24"/>
          <w:lang w:val="pt-BR" w:eastAsia="es-ES"/>
        </w:rPr>
        <w:t>Comissão</w:t>
      </w:r>
      <w:r w:rsidR="000A52D5" w:rsidRPr="00D5464D">
        <w:rPr>
          <w:rFonts w:eastAsia="Batang" w:cs="Times"/>
          <w:szCs w:val="24"/>
          <w:lang w:val="pt-BR" w:eastAsia="es-ES"/>
        </w:rPr>
        <w:t xml:space="preserve"> </w:t>
      </w:r>
      <w:r w:rsidR="002C330E" w:rsidRPr="00D5464D">
        <w:rPr>
          <w:rFonts w:eastAsia="Batang" w:cs="Times"/>
          <w:szCs w:val="24"/>
          <w:lang w:val="pt-BR" w:eastAsia="es-ES"/>
        </w:rPr>
        <w:t>afirmou</w:t>
      </w:r>
      <w:r w:rsidR="000A52D5" w:rsidRPr="00D5464D">
        <w:rPr>
          <w:rFonts w:eastAsia="Batang" w:cs="Times"/>
          <w:szCs w:val="24"/>
          <w:lang w:val="pt-BR" w:eastAsia="es-ES"/>
        </w:rPr>
        <w:t xml:space="preserve"> que correspon</w:t>
      </w:r>
      <w:r w:rsidRPr="00D5464D">
        <w:rPr>
          <w:rFonts w:eastAsia="Batang" w:cs="Times"/>
          <w:szCs w:val="24"/>
          <w:lang w:val="pt-BR" w:eastAsia="es-ES"/>
        </w:rPr>
        <w:t xml:space="preserve">dia à </w:t>
      </w:r>
      <w:r w:rsidR="000A52D5" w:rsidRPr="00D5464D">
        <w:rPr>
          <w:rFonts w:eastAsia="Batang" w:cs="Times"/>
          <w:szCs w:val="24"/>
          <w:lang w:val="pt-BR" w:eastAsia="es-ES"/>
        </w:rPr>
        <w:t xml:space="preserve">Corte </w:t>
      </w:r>
      <w:r w:rsidRPr="00D5464D">
        <w:rPr>
          <w:rFonts w:eastAsia="Batang" w:cs="Times"/>
          <w:szCs w:val="24"/>
          <w:lang w:val="pt-BR" w:eastAsia="es-ES"/>
        </w:rPr>
        <w:t>analisar</w:t>
      </w:r>
      <w:r w:rsidR="00BF18E0" w:rsidRPr="00D5464D">
        <w:rPr>
          <w:rFonts w:eastAsia="Batang" w:cs="Times"/>
          <w:szCs w:val="24"/>
          <w:lang w:val="pt-BR" w:eastAsia="es-ES"/>
        </w:rPr>
        <w:t>,</w:t>
      </w:r>
      <w:r w:rsidR="00E045D9" w:rsidRPr="00D5464D">
        <w:rPr>
          <w:rFonts w:eastAsia="Batang" w:cs="Times"/>
          <w:szCs w:val="24"/>
          <w:lang w:val="pt-BR" w:eastAsia="es-ES"/>
        </w:rPr>
        <w:t xml:space="preserve"> no </w:t>
      </w:r>
      <w:r w:rsidRPr="00D5464D">
        <w:rPr>
          <w:rFonts w:eastAsia="Batang" w:cs="Times"/>
          <w:szCs w:val="24"/>
          <w:lang w:val="pt-BR" w:eastAsia="es-ES"/>
        </w:rPr>
        <w:t>mérito</w:t>
      </w:r>
      <w:r w:rsidR="00BF18E0" w:rsidRPr="00D5464D">
        <w:rPr>
          <w:rFonts w:eastAsia="Batang" w:cs="Times"/>
          <w:szCs w:val="24"/>
          <w:lang w:val="pt-BR" w:eastAsia="es-ES"/>
        </w:rPr>
        <w:t>,</w:t>
      </w:r>
      <w:r w:rsidR="002C330E" w:rsidRPr="00D5464D">
        <w:rPr>
          <w:rFonts w:eastAsia="Batang" w:cs="Times"/>
          <w:szCs w:val="24"/>
          <w:lang w:val="pt-BR" w:eastAsia="es-ES"/>
        </w:rPr>
        <w:t xml:space="preserve"> se os processo</w:t>
      </w:r>
      <w:r w:rsidR="000A52D5" w:rsidRPr="00D5464D">
        <w:rPr>
          <w:rFonts w:eastAsia="Batang" w:cs="Times"/>
          <w:szCs w:val="24"/>
          <w:lang w:val="pt-BR" w:eastAsia="es-ES"/>
        </w:rPr>
        <w:t xml:space="preserve">s internos </w:t>
      </w:r>
      <w:r w:rsidR="00C91CB1" w:rsidRPr="00D5464D">
        <w:rPr>
          <w:rFonts w:eastAsia="Batang" w:cs="Times"/>
          <w:szCs w:val="24"/>
          <w:lang w:val="pt-BR" w:eastAsia="es-ES"/>
        </w:rPr>
        <w:t>constituíram</w:t>
      </w:r>
      <w:r w:rsidR="00E045D9" w:rsidRPr="00D5464D">
        <w:rPr>
          <w:rFonts w:eastAsia="Batang" w:cs="Times"/>
          <w:szCs w:val="24"/>
          <w:lang w:val="pt-BR" w:eastAsia="es-ES"/>
        </w:rPr>
        <w:t xml:space="preserve"> um </w:t>
      </w:r>
      <w:r w:rsidR="002C330E" w:rsidRPr="00D5464D">
        <w:rPr>
          <w:rFonts w:eastAsia="Batang" w:cs="Times"/>
          <w:szCs w:val="24"/>
          <w:lang w:val="pt-BR" w:eastAsia="es-ES"/>
        </w:rPr>
        <w:t xml:space="preserve">meio </w:t>
      </w:r>
      <w:r w:rsidR="00A1358C" w:rsidRPr="00D5464D">
        <w:rPr>
          <w:rFonts w:eastAsia="Batang" w:cs="Times"/>
          <w:szCs w:val="24"/>
          <w:lang w:val="pt-BR" w:eastAsia="es-ES"/>
        </w:rPr>
        <w:t xml:space="preserve">idôneo </w:t>
      </w:r>
      <w:r w:rsidR="00E045D9" w:rsidRPr="00D5464D">
        <w:rPr>
          <w:rFonts w:eastAsia="Batang" w:cs="Times"/>
          <w:szCs w:val="24"/>
          <w:lang w:val="pt-BR" w:eastAsia="es-ES"/>
        </w:rPr>
        <w:t xml:space="preserve">e </w:t>
      </w:r>
      <w:r w:rsidR="000A52D5" w:rsidRPr="00D5464D">
        <w:rPr>
          <w:rFonts w:eastAsia="Batang" w:cs="Times"/>
          <w:szCs w:val="24"/>
          <w:lang w:val="pt-BR" w:eastAsia="es-ES"/>
        </w:rPr>
        <w:t xml:space="preserve">eficaz para </w:t>
      </w:r>
      <w:r w:rsidRPr="00D5464D">
        <w:rPr>
          <w:rFonts w:eastAsia="Batang" w:cs="Times"/>
          <w:szCs w:val="24"/>
          <w:lang w:val="pt-BR" w:eastAsia="es-ES"/>
        </w:rPr>
        <w:t>alcança</w:t>
      </w:r>
      <w:r w:rsidR="000A52D5" w:rsidRPr="00D5464D">
        <w:rPr>
          <w:rFonts w:eastAsia="Batang" w:cs="Times"/>
          <w:szCs w:val="24"/>
          <w:lang w:val="pt-BR" w:eastAsia="es-ES"/>
        </w:rPr>
        <w:t>r</w:t>
      </w:r>
      <w:r w:rsidR="002C330E" w:rsidRPr="00D5464D">
        <w:rPr>
          <w:rFonts w:eastAsia="Batang" w:cs="Times"/>
          <w:szCs w:val="24"/>
          <w:lang w:val="pt-BR" w:eastAsia="es-ES"/>
        </w:rPr>
        <w:t xml:space="preserve"> a proteção</w:t>
      </w:r>
      <w:r w:rsidR="000A52D5" w:rsidRPr="00D5464D">
        <w:rPr>
          <w:rFonts w:eastAsia="Batang" w:cs="Times"/>
          <w:szCs w:val="24"/>
          <w:lang w:val="pt-BR" w:eastAsia="es-ES"/>
        </w:rPr>
        <w:t xml:space="preserve"> judicial frente</w:t>
      </w:r>
      <w:r w:rsidR="00E045D9" w:rsidRPr="00D5464D">
        <w:rPr>
          <w:rFonts w:eastAsia="Batang" w:cs="Times"/>
          <w:szCs w:val="24"/>
          <w:lang w:val="pt-BR" w:eastAsia="es-ES"/>
        </w:rPr>
        <w:t xml:space="preserve"> aos </w:t>
      </w:r>
      <w:r w:rsidRPr="00D5464D">
        <w:rPr>
          <w:rFonts w:eastAsia="Batang" w:cs="Times"/>
          <w:szCs w:val="24"/>
          <w:lang w:val="pt-BR" w:eastAsia="es-ES"/>
        </w:rPr>
        <w:t>direito</w:t>
      </w:r>
      <w:r w:rsidR="000A52D5" w:rsidRPr="00D5464D">
        <w:rPr>
          <w:rFonts w:eastAsia="Batang" w:cs="Times"/>
          <w:szCs w:val="24"/>
          <w:lang w:val="pt-BR" w:eastAsia="es-ES"/>
        </w:rPr>
        <w:t>s violados,</w:t>
      </w:r>
      <w:r w:rsidR="002C330E" w:rsidRPr="00D5464D">
        <w:rPr>
          <w:rFonts w:eastAsia="Batang" w:cs="Times"/>
          <w:szCs w:val="24"/>
          <w:lang w:val="pt-BR" w:eastAsia="es-ES"/>
        </w:rPr>
        <w:t xml:space="preserve"> </w:t>
      </w:r>
      <w:r w:rsidR="00BF18E0" w:rsidRPr="00D5464D">
        <w:rPr>
          <w:rFonts w:eastAsia="Batang" w:cs="Times"/>
          <w:szCs w:val="24"/>
          <w:lang w:val="pt-BR" w:eastAsia="es-ES"/>
        </w:rPr>
        <w:t xml:space="preserve">de maneira </w:t>
      </w:r>
      <w:r w:rsidR="002C330E" w:rsidRPr="00D5464D">
        <w:rPr>
          <w:rFonts w:eastAsia="Batang" w:cs="Times"/>
          <w:szCs w:val="24"/>
          <w:lang w:val="pt-BR" w:eastAsia="es-ES"/>
        </w:rPr>
        <w:t xml:space="preserve">que a </w:t>
      </w:r>
      <w:r w:rsidR="000A52D5" w:rsidRPr="00D5464D">
        <w:rPr>
          <w:rFonts w:eastAsia="Batang" w:cs="Times"/>
          <w:szCs w:val="24"/>
          <w:lang w:val="pt-BR" w:eastAsia="es-ES"/>
        </w:rPr>
        <w:t>alega</w:t>
      </w:r>
      <w:r w:rsidRPr="00D5464D">
        <w:rPr>
          <w:rFonts w:eastAsia="Batang" w:cs="Times"/>
          <w:szCs w:val="24"/>
          <w:lang w:val="pt-BR" w:eastAsia="es-ES"/>
        </w:rPr>
        <w:t>ção</w:t>
      </w:r>
      <w:r w:rsidR="000A52D5" w:rsidRPr="00D5464D">
        <w:rPr>
          <w:rFonts w:eastAsia="Batang" w:cs="Times"/>
          <w:szCs w:val="24"/>
          <w:lang w:val="pt-BR" w:eastAsia="es-ES"/>
        </w:rPr>
        <w:t xml:space="preserve"> </w:t>
      </w:r>
      <w:r w:rsidRPr="00D5464D">
        <w:rPr>
          <w:rFonts w:eastAsia="Batang" w:cs="Times"/>
          <w:szCs w:val="24"/>
          <w:lang w:val="pt-BR" w:eastAsia="es-ES"/>
        </w:rPr>
        <w:t xml:space="preserve">do </w:t>
      </w:r>
      <w:r w:rsidR="000A52D5" w:rsidRPr="00D5464D">
        <w:rPr>
          <w:rFonts w:eastAsia="Batang" w:cs="Times"/>
          <w:szCs w:val="24"/>
          <w:lang w:val="pt-BR" w:eastAsia="es-ES"/>
        </w:rPr>
        <w:t>Estado n</w:t>
      </w:r>
      <w:r w:rsidR="00BF18E0" w:rsidRPr="00D5464D">
        <w:rPr>
          <w:rFonts w:eastAsia="Batang" w:cs="Times"/>
          <w:szCs w:val="24"/>
          <w:lang w:val="pt-BR" w:eastAsia="es-ES"/>
        </w:rPr>
        <w:t>ã</w:t>
      </w:r>
      <w:r w:rsidR="000A52D5" w:rsidRPr="00D5464D">
        <w:rPr>
          <w:rFonts w:eastAsia="Batang" w:cs="Times"/>
          <w:szCs w:val="24"/>
          <w:lang w:val="pt-BR" w:eastAsia="es-ES"/>
        </w:rPr>
        <w:t>o po</w:t>
      </w:r>
      <w:r w:rsidRPr="00D5464D">
        <w:rPr>
          <w:rFonts w:eastAsia="Batang" w:cs="Times"/>
          <w:szCs w:val="24"/>
          <w:lang w:val="pt-BR" w:eastAsia="es-ES"/>
        </w:rPr>
        <w:t>d</w:t>
      </w:r>
      <w:r w:rsidR="00BF18E0" w:rsidRPr="00D5464D">
        <w:rPr>
          <w:rFonts w:eastAsia="Batang" w:cs="Times"/>
          <w:szCs w:val="24"/>
          <w:lang w:val="pt-BR" w:eastAsia="es-ES"/>
        </w:rPr>
        <w:t>er</w:t>
      </w:r>
      <w:r w:rsidRPr="00D5464D">
        <w:rPr>
          <w:rFonts w:eastAsia="Batang" w:cs="Times"/>
          <w:szCs w:val="24"/>
          <w:lang w:val="pt-BR" w:eastAsia="es-ES"/>
        </w:rPr>
        <w:t>ia</w:t>
      </w:r>
      <w:r w:rsidR="000A52D5" w:rsidRPr="00D5464D">
        <w:rPr>
          <w:rFonts w:eastAsia="Batang" w:cs="Times"/>
          <w:szCs w:val="24"/>
          <w:lang w:val="pt-BR" w:eastAsia="es-ES"/>
        </w:rPr>
        <w:t xml:space="preserve"> ser </w:t>
      </w:r>
      <w:r w:rsidR="00737270" w:rsidRPr="00D5464D">
        <w:rPr>
          <w:rFonts w:eastAsia="Batang" w:cs="Times"/>
          <w:szCs w:val="24"/>
          <w:lang w:val="pt-BR" w:eastAsia="es-ES"/>
        </w:rPr>
        <w:t>resolvid</w:t>
      </w:r>
      <w:r w:rsidR="000A52D5" w:rsidRPr="00D5464D">
        <w:rPr>
          <w:rFonts w:eastAsia="Batang" w:cs="Times"/>
          <w:szCs w:val="24"/>
          <w:lang w:val="pt-BR" w:eastAsia="es-ES"/>
        </w:rPr>
        <w:t xml:space="preserve">a como </w:t>
      </w:r>
      <w:r w:rsidRPr="00D5464D">
        <w:rPr>
          <w:rFonts w:eastAsia="Batang" w:cs="Times"/>
          <w:szCs w:val="24"/>
          <w:lang w:val="pt-BR" w:eastAsia="es-ES"/>
        </w:rPr>
        <w:t>exceção</w:t>
      </w:r>
      <w:r w:rsidR="000A52D5" w:rsidRPr="00D5464D">
        <w:rPr>
          <w:rFonts w:eastAsia="Batang" w:cs="Times"/>
          <w:szCs w:val="24"/>
          <w:lang w:val="pt-BR" w:eastAsia="es-ES"/>
        </w:rPr>
        <w:t xml:space="preserve"> preliminar.</w:t>
      </w:r>
    </w:p>
    <w:p w14:paraId="55C583E9" w14:textId="77777777" w:rsidR="000A52D5" w:rsidRPr="00D5464D" w:rsidRDefault="000A52D5" w:rsidP="00140440">
      <w:pPr>
        <w:tabs>
          <w:tab w:val="clear" w:pos="4419"/>
          <w:tab w:val="clear" w:pos="8838"/>
        </w:tabs>
        <w:jc w:val="both"/>
        <w:rPr>
          <w:rFonts w:eastAsia="Batang" w:cs="Times"/>
          <w:szCs w:val="24"/>
          <w:lang w:val="pt-BR" w:eastAsia="es-ES"/>
        </w:rPr>
      </w:pPr>
    </w:p>
    <w:p w14:paraId="15627603" w14:textId="4169ACA7" w:rsidR="000A52D5" w:rsidRPr="00D5464D" w:rsidRDefault="00737270"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Os </w:t>
      </w:r>
      <w:r w:rsidR="00EB1CE9" w:rsidRPr="00D5464D">
        <w:rPr>
          <w:rFonts w:eastAsia="Batang" w:cs="Times"/>
          <w:b/>
          <w:i/>
          <w:szCs w:val="24"/>
          <w:lang w:val="pt-BR" w:eastAsia="es-ES"/>
        </w:rPr>
        <w:t>representante</w:t>
      </w:r>
      <w:r w:rsidRPr="00D5464D">
        <w:rPr>
          <w:rFonts w:eastAsia="Batang" w:cs="Times"/>
          <w:b/>
          <w:i/>
          <w:szCs w:val="24"/>
          <w:lang w:val="pt-BR" w:eastAsia="es-ES"/>
        </w:rPr>
        <w:t>s</w:t>
      </w:r>
      <w:r w:rsidRPr="00D5464D">
        <w:rPr>
          <w:rFonts w:eastAsia="Batang" w:cs="Times"/>
          <w:szCs w:val="24"/>
          <w:lang w:val="pt-BR" w:eastAsia="es-ES"/>
        </w:rPr>
        <w:t xml:space="preserve"> </w:t>
      </w:r>
      <w:r w:rsidR="002C330E" w:rsidRPr="00D5464D">
        <w:rPr>
          <w:rFonts w:eastAsia="Batang" w:cs="Times"/>
          <w:szCs w:val="24"/>
          <w:lang w:val="pt-BR" w:eastAsia="es-ES"/>
        </w:rPr>
        <w:t>afirmaram</w:t>
      </w:r>
      <w:r w:rsidR="000A52D5" w:rsidRPr="00D5464D">
        <w:rPr>
          <w:rFonts w:eastAsia="Batang" w:cs="Times"/>
          <w:szCs w:val="24"/>
          <w:lang w:val="pt-BR" w:eastAsia="es-ES"/>
        </w:rPr>
        <w:t xml:space="preserve"> que</w:t>
      </w:r>
      <w:r w:rsidR="00A47282" w:rsidRPr="00D5464D">
        <w:rPr>
          <w:rFonts w:eastAsia="Batang" w:cs="Times"/>
          <w:szCs w:val="24"/>
          <w:lang w:val="pt-BR" w:eastAsia="es-ES"/>
        </w:rPr>
        <w:t>,</w:t>
      </w:r>
      <w:r w:rsidR="000A52D5" w:rsidRPr="00D5464D">
        <w:rPr>
          <w:rFonts w:eastAsia="Batang" w:cs="Times"/>
          <w:szCs w:val="24"/>
          <w:lang w:val="pt-BR" w:eastAsia="es-ES"/>
        </w:rPr>
        <w:t xml:space="preserve"> para que </w:t>
      </w:r>
      <w:r w:rsidR="00BF18E0" w:rsidRPr="00D5464D">
        <w:rPr>
          <w:rFonts w:eastAsia="Batang" w:cs="Times"/>
          <w:szCs w:val="24"/>
          <w:lang w:val="pt-BR" w:eastAsia="es-ES"/>
        </w:rPr>
        <w:t xml:space="preserve">uma </w:t>
      </w:r>
      <w:r w:rsidR="00470ADC" w:rsidRPr="00D5464D">
        <w:rPr>
          <w:rFonts w:eastAsia="Batang" w:cs="Times"/>
          <w:szCs w:val="24"/>
          <w:lang w:val="pt-BR" w:eastAsia="es-ES"/>
        </w:rPr>
        <w:t>exceção</w:t>
      </w:r>
      <w:r w:rsidR="000A52D5" w:rsidRPr="00D5464D">
        <w:rPr>
          <w:rFonts w:eastAsia="Batang" w:cs="Times"/>
          <w:szCs w:val="24"/>
          <w:lang w:val="pt-BR" w:eastAsia="es-ES"/>
        </w:rPr>
        <w:t xml:space="preserve"> preliminar</w:t>
      </w:r>
      <w:r w:rsidR="00470ADC" w:rsidRPr="00D5464D">
        <w:rPr>
          <w:rFonts w:eastAsia="Batang" w:cs="Times"/>
          <w:szCs w:val="24"/>
          <w:lang w:val="pt-BR" w:eastAsia="es-ES"/>
        </w:rPr>
        <w:t xml:space="preserve"> d</w:t>
      </w:r>
      <w:r w:rsidR="00BF18E0" w:rsidRPr="00D5464D">
        <w:rPr>
          <w:rFonts w:eastAsia="Batang" w:cs="Times"/>
          <w:szCs w:val="24"/>
          <w:lang w:val="pt-BR" w:eastAsia="es-ES"/>
        </w:rPr>
        <w:t>e</w:t>
      </w:r>
      <w:r w:rsidR="00470ADC" w:rsidRPr="00D5464D">
        <w:rPr>
          <w:rFonts w:eastAsia="Batang" w:cs="Times"/>
          <w:szCs w:val="24"/>
          <w:lang w:val="pt-BR" w:eastAsia="es-ES"/>
        </w:rPr>
        <w:t xml:space="preserve"> </w:t>
      </w:r>
      <w:r w:rsidR="00230C71" w:rsidRPr="00D5464D">
        <w:rPr>
          <w:rFonts w:eastAsia="Batang" w:cs="Times"/>
          <w:szCs w:val="24"/>
          <w:lang w:val="pt-BR" w:eastAsia="es-ES"/>
        </w:rPr>
        <w:t>quarta</w:t>
      </w:r>
      <w:r w:rsidR="000A52D5" w:rsidRPr="00D5464D">
        <w:rPr>
          <w:rFonts w:eastAsia="Batang" w:cs="Times"/>
          <w:szCs w:val="24"/>
          <w:lang w:val="pt-BR" w:eastAsia="es-ES"/>
        </w:rPr>
        <w:t xml:space="preserve"> </w:t>
      </w:r>
      <w:r w:rsidR="002C330E" w:rsidRPr="00D5464D">
        <w:rPr>
          <w:rFonts w:eastAsia="Batang" w:cs="Times"/>
          <w:szCs w:val="24"/>
          <w:lang w:val="pt-BR" w:eastAsia="es-ES"/>
        </w:rPr>
        <w:t>instância</w:t>
      </w:r>
      <w:r w:rsidR="00BF18E0" w:rsidRPr="00D5464D">
        <w:rPr>
          <w:rFonts w:eastAsia="Batang" w:cs="Times"/>
          <w:szCs w:val="24"/>
          <w:lang w:val="pt-BR" w:eastAsia="es-ES"/>
        </w:rPr>
        <w:t xml:space="preserve"> tenha efeito</w:t>
      </w:r>
      <w:r w:rsidR="000A52D5" w:rsidRPr="00D5464D">
        <w:rPr>
          <w:rFonts w:eastAsia="Batang" w:cs="Times"/>
          <w:szCs w:val="24"/>
          <w:lang w:val="pt-BR" w:eastAsia="es-ES"/>
        </w:rPr>
        <w:t>,</w:t>
      </w:r>
      <w:r w:rsidR="00470ADC" w:rsidRPr="00D5464D">
        <w:rPr>
          <w:rFonts w:eastAsia="Batang" w:cs="Times"/>
          <w:szCs w:val="24"/>
          <w:lang w:val="pt-BR" w:eastAsia="es-ES"/>
        </w:rPr>
        <w:t xml:space="preserve"> é </w:t>
      </w:r>
      <w:r w:rsidR="002C330E" w:rsidRPr="00D5464D">
        <w:rPr>
          <w:rFonts w:eastAsia="Batang" w:cs="Times"/>
          <w:szCs w:val="24"/>
          <w:lang w:val="pt-BR" w:eastAsia="es-ES"/>
        </w:rPr>
        <w:t>necessári</w:t>
      </w:r>
      <w:r w:rsidR="000A52D5" w:rsidRPr="00D5464D">
        <w:rPr>
          <w:rFonts w:eastAsia="Batang" w:cs="Times"/>
          <w:szCs w:val="24"/>
          <w:lang w:val="pt-BR" w:eastAsia="es-ES"/>
        </w:rPr>
        <w:t>o que</w:t>
      </w:r>
      <w:r w:rsidR="002C330E" w:rsidRPr="00D5464D">
        <w:rPr>
          <w:rFonts w:eastAsia="Batang" w:cs="Times"/>
          <w:szCs w:val="24"/>
          <w:lang w:val="pt-BR" w:eastAsia="es-ES"/>
        </w:rPr>
        <w:t xml:space="preserve"> a </w:t>
      </w:r>
      <w:r w:rsidR="000A52D5" w:rsidRPr="00D5464D">
        <w:rPr>
          <w:rFonts w:eastAsia="Batang" w:cs="Times"/>
          <w:szCs w:val="24"/>
          <w:lang w:val="pt-BR" w:eastAsia="es-ES"/>
        </w:rPr>
        <w:t>representa</w:t>
      </w:r>
      <w:r w:rsidR="00470ADC" w:rsidRPr="00D5464D">
        <w:rPr>
          <w:rFonts w:eastAsia="Batang" w:cs="Times"/>
          <w:szCs w:val="24"/>
          <w:lang w:val="pt-BR" w:eastAsia="es-ES"/>
        </w:rPr>
        <w:t xml:space="preserve">ção das </w:t>
      </w:r>
      <w:r w:rsidR="00E045D9" w:rsidRPr="00D5464D">
        <w:rPr>
          <w:rFonts w:eastAsia="Batang" w:cs="Times"/>
          <w:szCs w:val="24"/>
          <w:lang w:val="pt-BR" w:eastAsia="es-ES"/>
        </w:rPr>
        <w:t>vítima</w:t>
      </w:r>
      <w:r w:rsidR="000A52D5" w:rsidRPr="00D5464D">
        <w:rPr>
          <w:rFonts w:eastAsia="Batang" w:cs="Times"/>
          <w:szCs w:val="24"/>
          <w:lang w:val="pt-BR" w:eastAsia="es-ES"/>
        </w:rPr>
        <w:t>s solicite</w:t>
      </w:r>
      <w:r w:rsidR="00470ADC" w:rsidRPr="00D5464D">
        <w:rPr>
          <w:rFonts w:eastAsia="Batang" w:cs="Times"/>
          <w:szCs w:val="24"/>
          <w:lang w:val="pt-BR" w:eastAsia="es-ES"/>
        </w:rPr>
        <w:t xml:space="preserve"> à </w:t>
      </w:r>
      <w:r w:rsidR="000A52D5" w:rsidRPr="00D5464D">
        <w:rPr>
          <w:rFonts w:eastAsia="Batang" w:cs="Times"/>
          <w:szCs w:val="24"/>
          <w:lang w:val="pt-BR" w:eastAsia="es-ES"/>
        </w:rPr>
        <w:t>Corte</w:t>
      </w:r>
      <w:r w:rsidR="002C330E" w:rsidRPr="00D5464D">
        <w:rPr>
          <w:rFonts w:eastAsia="Batang" w:cs="Times"/>
          <w:szCs w:val="24"/>
          <w:lang w:val="pt-BR" w:eastAsia="es-ES"/>
        </w:rPr>
        <w:t xml:space="preserve"> fazer</w:t>
      </w:r>
      <w:r w:rsidR="00E045D9" w:rsidRPr="00D5464D">
        <w:rPr>
          <w:rFonts w:eastAsia="Batang" w:cs="Times"/>
          <w:szCs w:val="24"/>
          <w:lang w:val="pt-BR" w:eastAsia="es-ES"/>
        </w:rPr>
        <w:t xml:space="preserve"> uma </w:t>
      </w:r>
      <w:r w:rsidR="002C330E" w:rsidRPr="00D5464D">
        <w:rPr>
          <w:rFonts w:eastAsia="Batang" w:cs="Times"/>
          <w:szCs w:val="24"/>
          <w:lang w:val="pt-BR" w:eastAsia="es-ES"/>
        </w:rPr>
        <w:t>revisão</w:t>
      </w:r>
      <w:r w:rsidR="00470ADC" w:rsidRPr="00D5464D">
        <w:rPr>
          <w:rFonts w:eastAsia="Batang" w:cs="Times"/>
          <w:szCs w:val="24"/>
          <w:lang w:val="pt-BR" w:eastAsia="es-ES"/>
        </w:rPr>
        <w:t xml:space="preserve"> das </w:t>
      </w:r>
      <w:r w:rsidR="002C330E" w:rsidRPr="00D5464D">
        <w:rPr>
          <w:rFonts w:eastAsia="Batang" w:cs="Times"/>
          <w:szCs w:val="24"/>
          <w:lang w:val="pt-BR" w:eastAsia="es-ES"/>
        </w:rPr>
        <w:t>sentença</w:t>
      </w:r>
      <w:r w:rsidR="000A52D5" w:rsidRPr="00D5464D">
        <w:rPr>
          <w:rFonts w:eastAsia="Batang" w:cs="Times"/>
          <w:szCs w:val="24"/>
          <w:lang w:val="pt-BR" w:eastAsia="es-ES"/>
        </w:rPr>
        <w:t xml:space="preserve">s internas </w:t>
      </w:r>
      <w:r w:rsidR="00E045D9" w:rsidRPr="00D5464D">
        <w:rPr>
          <w:rFonts w:eastAsia="Batang" w:cs="Times"/>
          <w:szCs w:val="24"/>
          <w:lang w:val="pt-BR" w:eastAsia="es-ES"/>
        </w:rPr>
        <w:t>unicamente</w:t>
      </w:r>
      <w:r w:rsidR="000A52D5" w:rsidRPr="00D5464D">
        <w:rPr>
          <w:rFonts w:eastAsia="Batang" w:cs="Times"/>
          <w:szCs w:val="24"/>
          <w:lang w:val="pt-BR" w:eastAsia="es-ES"/>
        </w:rPr>
        <w:t xml:space="preserve"> sobre</w:t>
      </w:r>
      <w:r w:rsidR="002C330E" w:rsidRPr="00D5464D">
        <w:rPr>
          <w:rFonts w:eastAsia="Batang" w:cs="Times"/>
          <w:szCs w:val="24"/>
          <w:lang w:val="pt-BR" w:eastAsia="es-ES"/>
        </w:rPr>
        <w:t xml:space="preserve"> a </w:t>
      </w:r>
      <w:r w:rsidR="000A52D5" w:rsidRPr="00D5464D">
        <w:rPr>
          <w:rFonts w:eastAsia="Batang" w:cs="Times"/>
          <w:szCs w:val="24"/>
          <w:lang w:val="pt-BR" w:eastAsia="es-ES"/>
        </w:rPr>
        <w:t>in</w:t>
      </w:r>
      <w:r w:rsidR="00230C71" w:rsidRPr="00D5464D">
        <w:rPr>
          <w:rFonts w:eastAsia="Batang" w:cs="Times"/>
          <w:szCs w:val="24"/>
          <w:lang w:val="pt-BR" w:eastAsia="es-ES"/>
        </w:rPr>
        <w:t>corret</w:t>
      </w:r>
      <w:r w:rsidR="000A52D5" w:rsidRPr="00D5464D">
        <w:rPr>
          <w:rFonts w:eastAsia="Batang" w:cs="Times"/>
          <w:szCs w:val="24"/>
          <w:lang w:val="pt-BR" w:eastAsia="es-ES"/>
        </w:rPr>
        <w:t>a aprecia</w:t>
      </w:r>
      <w:r w:rsidR="00470ADC" w:rsidRPr="00D5464D">
        <w:rPr>
          <w:rFonts w:eastAsia="Batang" w:cs="Times"/>
          <w:szCs w:val="24"/>
          <w:lang w:val="pt-BR" w:eastAsia="es-ES"/>
        </w:rPr>
        <w:t xml:space="preserve">ção das </w:t>
      </w:r>
      <w:r w:rsidR="002C330E" w:rsidRPr="00D5464D">
        <w:rPr>
          <w:rFonts w:eastAsia="Batang" w:cs="Times"/>
          <w:szCs w:val="24"/>
          <w:lang w:val="pt-BR" w:eastAsia="es-ES"/>
        </w:rPr>
        <w:t>prova</w:t>
      </w:r>
      <w:r w:rsidR="000A52D5" w:rsidRPr="00D5464D">
        <w:rPr>
          <w:rFonts w:eastAsia="Batang" w:cs="Times"/>
          <w:szCs w:val="24"/>
          <w:lang w:val="pt-BR" w:eastAsia="es-ES"/>
        </w:rPr>
        <w:t>s,</w:t>
      </w:r>
      <w:r w:rsidR="00470ADC" w:rsidRPr="00D5464D">
        <w:rPr>
          <w:rFonts w:eastAsia="Batang" w:cs="Times"/>
          <w:szCs w:val="24"/>
          <w:lang w:val="pt-BR" w:eastAsia="es-ES"/>
        </w:rPr>
        <w:t xml:space="preserve"> dos </w:t>
      </w:r>
      <w:r w:rsidR="002C330E" w:rsidRPr="00D5464D">
        <w:rPr>
          <w:rFonts w:eastAsia="Batang" w:cs="Times"/>
          <w:szCs w:val="24"/>
          <w:lang w:val="pt-BR" w:eastAsia="es-ES"/>
        </w:rPr>
        <w:t>fatos</w:t>
      </w:r>
      <w:r w:rsidR="000A52D5" w:rsidRPr="00D5464D">
        <w:rPr>
          <w:rFonts w:eastAsia="Batang" w:cs="Times"/>
          <w:szCs w:val="24"/>
          <w:lang w:val="pt-BR" w:eastAsia="es-ES"/>
        </w:rPr>
        <w:t xml:space="preserve"> o</w:t>
      </w:r>
      <w:r w:rsidR="00BF18E0" w:rsidRPr="00D5464D">
        <w:rPr>
          <w:rFonts w:eastAsia="Batang" w:cs="Times"/>
          <w:szCs w:val="24"/>
          <w:lang w:val="pt-BR" w:eastAsia="es-ES"/>
        </w:rPr>
        <w:t>u</w:t>
      </w:r>
      <w:r w:rsidR="000A52D5" w:rsidRPr="00D5464D">
        <w:rPr>
          <w:rFonts w:eastAsia="Batang" w:cs="Times"/>
          <w:szCs w:val="24"/>
          <w:lang w:val="pt-BR" w:eastAsia="es-ES"/>
        </w:rPr>
        <w:t xml:space="preserve"> </w:t>
      </w:r>
      <w:r w:rsidR="00470ADC" w:rsidRPr="00D5464D">
        <w:rPr>
          <w:rFonts w:eastAsia="Batang" w:cs="Times"/>
          <w:szCs w:val="24"/>
          <w:lang w:val="pt-BR" w:eastAsia="es-ES"/>
        </w:rPr>
        <w:t>do direito</w:t>
      </w:r>
      <w:r w:rsidR="000A52D5" w:rsidRPr="00D5464D">
        <w:rPr>
          <w:rFonts w:eastAsia="Batang" w:cs="Times"/>
          <w:szCs w:val="24"/>
          <w:lang w:val="pt-BR" w:eastAsia="es-ES"/>
        </w:rPr>
        <w:t xml:space="preserve"> interno. </w:t>
      </w:r>
      <w:r w:rsidR="00EB1CE9" w:rsidRPr="00D5464D">
        <w:rPr>
          <w:rFonts w:eastAsia="Batang" w:cs="Times"/>
          <w:szCs w:val="24"/>
          <w:lang w:val="pt-BR" w:eastAsia="es-ES"/>
        </w:rPr>
        <w:t>Afirmaram</w:t>
      </w:r>
      <w:r w:rsidR="000A52D5" w:rsidRPr="00D5464D">
        <w:rPr>
          <w:rFonts w:eastAsia="Batang" w:cs="Times"/>
          <w:szCs w:val="24"/>
          <w:lang w:val="pt-BR" w:eastAsia="es-ES"/>
        </w:rPr>
        <w:t xml:space="preserve"> que n</w:t>
      </w:r>
      <w:r w:rsidR="00BF18E0" w:rsidRPr="00D5464D">
        <w:rPr>
          <w:rFonts w:eastAsia="Batang" w:cs="Times"/>
          <w:szCs w:val="24"/>
          <w:lang w:val="pt-BR" w:eastAsia="es-ES"/>
        </w:rPr>
        <w:t>ã</w:t>
      </w:r>
      <w:r w:rsidR="000A52D5" w:rsidRPr="00D5464D">
        <w:rPr>
          <w:rFonts w:eastAsia="Batang" w:cs="Times"/>
          <w:szCs w:val="24"/>
          <w:lang w:val="pt-BR" w:eastAsia="es-ES"/>
        </w:rPr>
        <w:t xml:space="preserve">o </w:t>
      </w:r>
      <w:r w:rsidR="00A1358C" w:rsidRPr="00D5464D">
        <w:rPr>
          <w:rFonts w:eastAsia="Batang" w:cs="Times"/>
          <w:szCs w:val="24"/>
          <w:lang w:val="pt-BR" w:eastAsia="es-ES"/>
        </w:rPr>
        <w:t>solicitaram</w:t>
      </w:r>
      <w:r w:rsidR="00470ADC" w:rsidRPr="00D5464D">
        <w:rPr>
          <w:rFonts w:eastAsia="Batang" w:cs="Times"/>
          <w:szCs w:val="24"/>
          <w:lang w:val="pt-BR" w:eastAsia="es-ES"/>
        </w:rPr>
        <w:t xml:space="preserve"> à </w:t>
      </w:r>
      <w:r w:rsidR="000A52D5" w:rsidRPr="00D5464D">
        <w:rPr>
          <w:rFonts w:eastAsia="Batang" w:cs="Times"/>
          <w:szCs w:val="24"/>
          <w:lang w:val="pt-BR" w:eastAsia="es-ES"/>
        </w:rPr>
        <w:t>Corte</w:t>
      </w:r>
      <w:r w:rsidR="002C330E" w:rsidRPr="00D5464D">
        <w:rPr>
          <w:rFonts w:eastAsia="Batang" w:cs="Times"/>
          <w:szCs w:val="24"/>
          <w:lang w:val="pt-BR" w:eastAsia="es-ES"/>
        </w:rPr>
        <w:t xml:space="preserve"> a revisão</w:t>
      </w:r>
      <w:r w:rsidR="000A52D5" w:rsidRPr="00D5464D">
        <w:rPr>
          <w:rFonts w:eastAsia="Batang" w:cs="Times"/>
          <w:szCs w:val="24"/>
          <w:lang w:val="pt-BR" w:eastAsia="es-ES"/>
        </w:rPr>
        <w:t xml:space="preserve"> de </w:t>
      </w:r>
      <w:r w:rsidR="00470ADC" w:rsidRPr="00D5464D">
        <w:rPr>
          <w:rFonts w:eastAsia="Batang" w:cs="Times"/>
          <w:szCs w:val="24"/>
          <w:lang w:val="pt-BR" w:eastAsia="es-ES"/>
        </w:rPr>
        <w:t>decisões</w:t>
      </w:r>
      <w:r w:rsidR="000A52D5" w:rsidRPr="00D5464D">
        <w:rPr>
          <w:rFonts w:eastAsia="Batang" w:cs="Times"/>
          <w:szCs w:val="24"/>
          <w:lang w:val="pt-BR" w:eastAsia="es-ES"/>
        </w:rPr>
        <w:t xml:space="preserve"> internas </w:t>
      </w:r>
      <w:r w:rsidR="00BF18E0" w:rsidRPr="00D5464D">
        <w:rPr>
          <w:rFonts w:eastAsia="Batang" w:cs="Times"/>
          <w:szCs w:val="24"/>
          <w:lang w:val="pt-BR" w:eastAsia="es-ES"/>
        </w:rPr>
        <w:t xml:space="preserve">proferidas </w:t>
      </w:r>
      <w:r w:rsidR="002C330E" w:rsidRPr="00D5464D">
        <w:rPr>
          <w:rFonts w:eastAsia="Batang" w:cs="Times"/>
          <w:szCs w:val="24"/>
          <w:lang w:val="pt-BR" w:eastAsia="es-ES"/>
        </w:rPr>
        <w:t xml:space="preserve">pelos </w:t>
      </w:r>
      <w:r w:rsidR="00E045D9" w:rsidRPr="00D5464D">
        <w:rPr>
          <w:rFonts w:eastAsia="Batang" w:cs="Times"/>
          <w:szCs w:val="24"/>
          <w:lang w:val="pt-BR" w:eastAsia="es-ES"/>
        </w:rPr>
        <w:t>tribunais</w:t>
      </w:r>
      <w:r w:rsidR="000A52D5" w:rsidRPr="00D5464D">
        <w:rPr>
          <w:rFonts w:eastAsia="Batang" w:cs="Times"/>
          <w:szCs w:val="24"/>
          <w:lang w:val="pt-BR" w:eastAsia="es-ES"/>
        </w:rPr>
        <w:t xml:space="preserve"> </w:t>
      </w:r>
      <w:r w:rsidR="00470ADC" w:rsidRPr="00D5464D">
        <w:rPr>
          <w:rFonts w:eastAsia="Batang" w:cs="Times"/>
          <w:szCs w:val="24"/>
          <w:lang w:val="pt-BR" w:eastAsia="es-ES"/>
        </w:rPr>
        <w:t xml:space="preserve">do </w:t>
      </w:r>
      <w:r w:rsidR="000A52D5" w:rsidRPr="00D5464D">
        <w:rPr>
          <w:rFonts w:eastAsia="Batang" w:cs="Times"/>
          <w:szCs w:val="24"/>
          <w:lang w:val="pt-BR" w:eastAsia="es-ES"/>
        </w:rPr>
        <w:t>Estado,</w:t>
      </w:r>
      <w:r w:rsidR="002C330E" w:rsidRPr="00D5464D">
        <w:rPr>
          <w:rFonts w:eastAsia="Batang" w:cs="Times"/>
          <w:szCs w:val="24"/>
          <w:lang w:val="pt-BR" w:eastAsia="es-ES"/>
        </w:rPr>
        <w:t xml:space="preserve"> mas </w:t>
      </w:r>
      <w:r w:rsidR="00C91CB1" w:rsidRPr="00D5464D">
        <w:rPr>
          <w:rFonts w:eastAsia="Batang" w:cs="Times"/>
          <w:szCs w:val="24"/>
          <w:lang w:val="pt-BR" w:eastAsia="es-ES"/>
        </w:rPr>
        <w:t>questionam</w:t>
      </w:r>
      <w:r w:rsidR="002C330E" w:rsidRPr="00D5464D">
        <w:rPr>
          <w:rFonts w:eastAsia="Batang" w:cs="Times"/>
          <w:szCs w:val="24"/>
          <w:lang w:val="pt-BR" w:eastAsia="es-ES"/>
        </w:rPr>
        <w:t xml:space="preserve"> as</w:t>
      </w:r>
      <w:r w:rsidR="00E765C2" w:rsidRPr="00D5464D">
        <w:rPr>
          <w:rFonts w:eastAsia="Batang" w:cs="Times"/>
          <w:szCs w:val="24"/>
          <w:lang w:val="pt-BR" w:eastAsia="es-ES"/>
        </w:rPr>
        <w:t xml:space="preserve"> falhas </w:t>
      </w:r>
      <w:r w:rsidR="000A52D5" w:rsidRPr="00D5464D">
        <w:rPr>
          <w:rFonts w:eastAsia="Batang" w:cs="Times"/>
          <w:szCs w:val="24"/>
          <w:lang w:val="pt-BR" w:eastAsia="es-ES"/>
        </w:rPr>
        <w:t xml:space="preserve">de diferentes </w:t>
      </w:r>
      <w:r w:rsidRPr="00D5464D">
        <w:rPr>
          <w:rFonts w:eastAsia="Batang" w:cs="Times"/>
          <w:szCs w:val="24"/>
          <w:lang w:val="pt-BR" w:eastAsia="es-ES"/>
        </w:rPr>
        <w:t>ator</w:t>
      </w:r>
      <w:r w:rsidR="000A52D5" w:rsidRPr="00D5464D">
        <w:rPr>
          <w:rFonts w:eastAsia="Batang" w:cs="Times"/>
          <w:szCs w:val="24"/>
          <w:lang w:val="pt-BR" w:eastAsia="es-ES"/>
        </w:rPr>
        <w:t>es esta</w:t>
      </w:r>
      <w:r w:rsidR="00E045D9" w:rsidRPr="00D5464D">
        <w:rPr>
          <w:rFonts w:eastAsia="Batang" w:cs="Times"/>
          <w:szCs w:val="24"/>
          <w:lang w:val="pt-BR" w:eastAsia="es-ES"/>
        </w:rPr>
        <w:t>tais</w:t>
      </w:r>
      <w:r w:rsidR="000A52D5" w:rsidRPr="00D5464D">
        <w:rPr>
          <w:rFonts w:eastAsia="Batang" w:cs="Times"/>
          <w:szCs w:val="24"/>
          <w:lang w:val="pt-BR" w:eastAsia="es-ES"/>
        </w:rPr>
        <w:t xml:space="preserve"> que </w:t>
      </w:r>
      <w:r w:rsidR="00BF18E0" w:rsidRPr="00D5464D">
        <w:rPr>
          <w:rFonts w:eastAsia="Batang" w:cs="Times"/>
          <w:szCs w:val="24"/>
          <w:lang w:val="pt-BR" w:eastAsia="es-ES"/>
        </w:rPr>
        <w:t xml:space="preserve">resultaram </w:t>
      </w:r>
      <w:r w:rsidR="00470ADC" w:rsidRPr="00D5464D">
        <w:rPr>
          <w:rFonts w:eastAsia="Batang" w:cs="Times"/>
          <w:szCs w:val="24"/>
          <w:lang w:val="pt-BR" w:eastAsia="es-ES"/>
        </w:rPr>
        <w:t xml:space="preserve">em </w:t>
      </w:r>
      <w:r w:rsidR="000A52D5" w:rsidRPr="00D5464D">
        <w:rPr>
          <w:rFonts w:eastAsia="Batang" w:cs="Times"/>
          <w:szCs w:val="24"/>
          <w:lang w:val="pt-BR" w:eastAsia="es-ES"/>
        </w:rPr>
        <w:t>viola</w:t>
      </w:r>
      <w:r w:rsidR="00470ADC" w:rsidRPr="00D5464D">
        <w:rPr>
          <w:rFonts w:eastAsia="Batang" w:cs="Times"/>
          <w:szCs w:val="24"/>
          <w:lang w:val="pt-BR" w:eastAsia="es-ES"/>
        </w:rPr>
        <w:t>ções ao dever</w:t>
      </w:r>
      <w:r w:rsidR="000A52D5" w:rsidRPr="00D5464D">
        <w:rPr>
          <w:rFonts w:eastAsia="Batang" w:cs="Times"/>
          <w:szCs w:val="24"/>
          <w:lang w:val="pt-BR" w:eastAsia="es-ES"/>
        </w:rPr>
        <w:t xml:space="preserve"> de </w:t>
      </w:r>
      <w:r w:rsidR="002C330E" w:rsidRPr="00D5464D">
        <w:rPr>
          <w:rFonts w:eastAsia="Batang" w:cs="Times"/>
          <w:szCs w:val="24"/>
          <w:lang w:val="pt-BR" w:eastAsia="es-ES"/>
        </w:rPr>
        <w:t>proteção</w:t>
      </w:r>
      <w:r w:rsidR="000A52D5" w:rsidRPr="00D5464D">
        <w:rPr>
          <w:rFonts w:eastAsia="Batang" w:cs="Times"/>
          <w:szCs w:val="24"/>
          <w:lang w:val="pt-BR" w:eastAsia="es-ES"/>
        </w:rPr>
        <w:t xml:space="preserve"> judicial </w:t>
      </w:r>
      <w:r w:rsidR="00470ADC" w:rsidRPr="00D5464D">
        <w:rPr>
          <w:rFonts w:eastAsia="Batang" w:cs="Times"/>
          <w:szCs w:val="24"/>
          <w:lang w:val="pt-BR" w:eastAsia="es-ES"/>
        </w:rPr>
        <w:t>efetiv</w:t>
      </w:r>
      <w:r w:rsidR="000A52D5" w:rsidRPr="00D5464D">
        <w:rPr>
          <w:rFonts w:eastAsia="Batang" w:cs="Times"/>
          <w:szCs w:val="24"/>
          <w:lang w:val="pt-BR" w:eastAsia="es-ES"/>
        </w:rPr>
        <w:t>a</w:t>
      </w:r>
      <w:r w:rsidR="00E045D9" w:rsidRPr="00D5464D">
        <w:rPr>
          <w:rFonts w:eastAsia="Batang" w:cs="Times"/>
          <w:szCs w:val="24"/>
          <w:lang w:val="pt-BR" w:eastAsia="es-ES"/>
        </w:rPr>
        <w:t xml:space="preserve"> e </w:t>
      </w:r>
      <w:r w:rsidR="00BF18E0" w:rsidRPr="00D5464D">
        <w:rPr>
          <w:rFonts w:eastAsia="Batang" w:cs="Times"/>
          <w:szCs w:val="24"/>
          <w:lang w:val="pt-BR" w:eastAsia="es-ES"/>
        </w:rPr>
        <w:t xml:space="preserve">de </w:t>
      </w:r>
      <w:r w:rsidR="002C330E" w:rsidRPr="00D5464D">
        <w:rPr>
          <w:rFonts w:eastAsia="Batang" w:cs="Times"/>
          <w:szCs w:val="24"/>
          <w:lang w:val="pt-BR" w:eastAsia="es-ES"/>
        </w:rPr>
        <w:t>garantias</w:t>
      </w:r>
      <w:r w:rsidR="000A52D5" w:rsidRPr="00D5464D">
        <w:rPr>
          <w:rFonts w:eastAsia="Batang" w:cs="Times"/>
          <w:szCs w:val="24"/>
          <w:lang w:val="pt-BR" w:eastAsia="es-ES"/>
        </w:rPr>
        <w:t xml:space="preserve"> </w:t>
      </w:r>
      <w:r w:rsidR="002C330E" w:rsidRPr="00D5464D">
        <w:rPr>
          <w:rFonts w:eastAsia="Batang" w:cs="Times"/>
          <w:szCs w:val="24"/>
          <w:lang w:val="pt-BR" w:eastAsia="es-ES"/>
        </w:rPr>
        <w:t>judiciais</w:t>
      </w:r>
      <w:r w:rsidR="0010513B" w:rsidRPr="00D5464D">
        <w:rPr>
          <w:rFonts w:eastAsia="Batang" w:cs="Times"/>
          <w:szCs w:val="24"/>
          <w:lang w:val="pt-BR" w:eastAsia="es-ES"/>
        </w:rPr>
        <w:t>,</w:t>
      </w:r>
      <w:r w:rsidR="002C330E" w:rsidRPr="00D5464D">
        <w:rPr>
          <w:rFonts w:eastAsia="Batang" w:cs="Times"/>
          <w:szCs w:val="24"/>
          <w:lang w:val="pt-BR" w:eastAsia="es-ES"/>
        </w:rPr>
        <w:t xml:space="preserve"> a </w:t>
      </w:r>
      <w:r w:rsidR="000A52D5" w:rsidRPr="00D5464D">
        <w:rPr>
          <w:rFonts w:eastAsia="Batang" w:cs="Times"/>
          <w:szCs w:val="24"/>
          <w:lang w:val="pt-BR" w:eastAsia="es-ES"/>
        </w:rPr>
        <w:t xml:space="preserve">falta de medidas </w:t>
      </w:r>
      <w:r w:rsidR="00350187" w:rsidRPr="00D5464D">
        <w:rPr>
          <w:rFonts w:eastAsia="Batang" w:cs="Times"/>
          <w:szCs w:val="24"/>
          <w:lang w:val="pt-BR" w:eastAsia="es-ES"/>
        </w:rPr>
        <w:t>idônea</w:t>
      </w:r>
      <w:r w:rsidR="000A52D5" w:rsidRPr="00D5464D">
        <w:rPr>
          <w:rFonts w:eastAsia="Batang" w:cs="Times"/>
          <w:szCs w:val="24"/>
          <w:lang w:val="pt-BR" w:eastAsia="es-ES"/>
        </w:rPr>
        <w:t>s</w:t>
      </w:r>
      <w:r w:rsidR="00E045D9" w:rsidRPr="00D5464D">
        <w:rPr>
          <w:rFonts w:eastAsia="Batang" w:cs="Times"/>
          <w:szCs w:val="24"/>
          <w:lang w:val="pt-BR" w:eastAsia="es-ES"/>
        </w:rPr>
        <w:t xml:space="preserve"> e </w:t>
      </w:r>
      <w:r w:rsidR="00470ADC" w:rsidRPr="00D5464D">
        <w:rPr>
          <w:rFonts w:eastAsia="Batang" w:cs="Times"/>
          <w:szCs w:val="24"/>
          <w:lang w:val="pt-BR" w:eastAsia="es-ES"/>
        </w:rPr>
        <w:t>efetiv</w:t>
      </w:r>
      <w:r w:rsidR="000A52D5" w:rsidRPr="00D5464D">
        <w:rPr>
          <w:rFonts w:eastAsia="Batang" w:cs="Times"/>
          <w:szCs w:val="24"/>
          <w:lang w:val="pt-BR" w:eastAsia="es-ES"/>
        </w:rPr>
        <w:t>as para prevenir</w:t>
      </w:r>
      <w:r w:rsidR="002C330E" w:rsidRPr="00D5464D">
        <w:rPr>
          <w:rFonts w:eastAsia="Batang" w:cs="Times"/>
          <w:szCs w:val="24"/>
          <w:lang w:val="pt-BR" w:eastAsia="es-ES"/>
        </w:rPr>
        <w:t xml:space="preserve"> a </w:t>
      </w:r>
      <w:r w:rsidR="000A52D5" w:rsidRPr="00D5464D">
        <w:rPr>
          <w:rFonts w:eastAsia="Batang" w:cs="Times"/>
          <w:szCs w:val="24"/>
          <w:lang w:val="pt-BR" w:eastAsia="es-ES"/>
        </w:rPr>
        <w:t>viola</w:t>
      </w:r>
      <w:r w:rsidR="00470ADC" w:rsidRPr="00D5464D">
        <w:rPr>
          <w:rFonts w:eastAsia="Batang" w:cs="Times"/>
          <w:szCs w:val="24"/>
          <w:lang w:val="pt-BR" w:eastAsia="es-ES"/>
        </w:rPr>
        <w:t>ção</w:t>
      </w:r>
      <w:r w:rsidR="000A52D5" w:rsidRPr="00D5464D">
        <w:rPr>
          <w:rFonts w:eastAsia="Batang" w:cs="Times"/>
          <w:szCs w:val="24"/>
          <w:lang w:val="pt-BR" w:eastAsia="es-ES"/>
        </w:rPr>
        <w:t xml:space="preserve"> de </w:t>
      </w:r>
      <w:r w:rsidR="00470ADC" w:rsidRPr="00D5464D">
        <w:rPr>
          <w:rFonts w:eastAsia="Batang" w:cs="Times"/>
          <w:szCs w:val="24"/>
          <w:lang w:val="pt-BR" w:eastAsia="es-ES"/>
        </w:rPr>
        <w:t>direito</w:t>
      </w:r>
      <w:r w:rsidR="000A52D5" w:rsidRPr="00D5464D">
        <w:rPr>
          <w:rFonts w:eastAsia="Batang" w:cs="Times"/>
          <w:szCs w:val="24"/>
          <w:lang w:val="pt-BR" w:eastAsia="es-ES"/>
        </w:rPr>
        <w:t>s humanos</w:t>
      </w:r>
      <w:r w:rsidR="00470ADC" w:rsidRPr="00D5464D">
        <w:rPr>
          <w:rFonts w:eastAsia="Batang" w:cs="Times"/>
          <w:szCs w:val="24"/>
          <w:lang w:val="pt-BR" w:eastAsia="es-ES"/>
        </w:rPr>
        <w:t xml:space="preserve"> das </w:t>
      </w:r>
      <w:r w:rsidR="00E045D9" w:rsidRPr="00D5464D">
        <w:rPr>
          <w:rFonts w:eastAsia="Batang" w:cs="Times"/>
          <w:szCs w:val="24"/>
          <w:lang w:val="pt-BR" w:eastAsia="es-ES"/>
        </w:rPr>
        <w:t>vítima</w:t>
      </w:r>
      <w:r w:rsidR="000A52D5" w:rsidRPr="00D5464D">
        <w:rPr>
          <w:rFonts w:eastAsia="Batang" w:cs="Times"/>
          <w:szCs w:val="24"/>
          <w:lang w:val="pt-BR" w:eastAsia="es-ES"/>
        </w:rPr>
        <w:t xml:space="preserve">s, </w:t>
      </w:r>
      <w:r w:rsidR="00BF18E0" w:rsidRPr="00D5464D">
        <w:rPr>
          <w:rFonts w:eastAsia="Batang" w:cs="Times"/>
          <w:szCs w:val="24"/>
          <w:lang w:val="pt-BR" w:eastAsia="es-ES"/>
        </w:rPr>
        <w:t xml:space="preserve">bem </w:t>
      </w:r>
      <w:r w:rsidR="000A52D5" w:rsidRPr="00D5464D">
        <w:rPr>
          <w:rFonts w:eastAsia="Batang" w:cs="Times"/>
          <w:szCs w:val="24"/>
          <w:lang w:val="pt-BR" w:eastAsia="es-ES"/>
        </w:rPr>
        <w:t>como</w:t>
      </w:r>
      <w:r w:rsidR="002C330E" w:rsidRPr="00D5464D">
        <w:rPr>
          <w:rFonts w:eastAsia="Batang" w:cs="Times"/>
          <w:szCs w:val="24"/>
          <w:lang w:val="pt-BR" w:eastAsia="es-ES"/>
        </w:rPr>
        <w:t xml:space="preserve"> a </w:t>
      </w:r>
      <w:r w:rsidR="00470ADC" w:rsidRPr="00D5464D">
        <w:rPr>
          <w:rFonts w:eastAsia="Batang" w:cs="Times"/>
          <w:szCs w:val="24"/>
          <w:lang w:val="pt-BR" w:eastAsia="es-ES"/>
        </w:rPr>
        <w:t>ausência</w:t>
      </w:r>
      <w:r w:rsidR="0010513B" w:rsidRPr="00D5464D">
        <w:rPr>
          <w:rFonts w:eastAsia="Batang" w:cs="Times"/>
          <w:szCs w:val="24"/>
          <w:lang w:val="pt-BR" w:eastAsia="es-ES"/>
        </w:rPr>
        <w:t xml:space="preserve"> de </w:t>
      </w:r>
      <w:r w:rsidR="00470ADC" w:rsidRPr="00D5464D">
        <w:rPr>
          <w:rFonts w:eastAsia="Batang" w:cs="Times"/>
          <w:szCs w:val="24"/>
          <w:lang w:val="pt-BR" w:eastAsia="es-ES"/>
        </w:rPr>
        <w:t xml:space="preserve">assistência </w:t>
      </w:r>
      <w:r w:rsidR="000A52D5" w:rsidRPr="00D5464D">
        <w:rPr>
          <w:rFonts w:eastAsia="Batang" w:cs="Times"/>
          <w:szCs w:val="24"/>
          <w:lang w:val="pt-BR" w:eastAsia="es-ES"/>
        </w:rPr>
        <w:t xml:space="preserve">integral </w:t>
      </w:r>
      <w:r w:rsidR="0010513B" w:rsidRPr="00D5464D">
        <w:rPr>
          <w:rFonts w:eastAsia="Batang" w:cs="Times"/>
          <w:szCs w:val="24"/>
          <w:lang w:val="pt-BR" w:eastAsia="es-ES"/>
        </w:rPr>
        <w:t>a</w:t>
      </w:r>
      <w:r w:rsidR="000A52D5" w:rsidRPr="00D5464D">
        <w:rPr>
          <w:rFonts w:eastAsia="Batang" w:cs="Times"/>
          <w:szCs w:val="24"/>
          <w:lang w:val="pt-BR" w:eastAsia="es-ES"/>
        </w:rPr>
        <w:t xml:space="preserve"> </w:t>
      </w:r>
      <w:r w:rsidR="00BF18E0" w:rsidRPr="00D5464D">
        <w:rPr>
          <w:rFonts w:eastAsia="Batang" w:cs="Times"/>
          <w:szCs w:val="24"/>
          <w:lang w:val="pt-BR" w:eastAsia="es-ES"/>
        </w:rPr>
        <w:t>elas</w:t>
      </w:r>
      <w:r w:rsidR="000A52D5" w:rsidRPr="00D5464D">
        <w:rPr>
          <w:rFonts w:eastAsia="Batang" w:cs="Times"/>
          <w:szCs w:val="24"/>
          <w:lang w:val="pt-BR" w:eastAsia="es-ES"/>
        </w:rPr>
        <w:t xml:space="preserve">, </w:t>
      </w:r>
      <w:r w:rsidR="00BF18E0" w:rsidRPr="00D5464D">
        <w:rPr>
          <w:rFonts w:eastAsia="Batang" w:cs="Times"/>
          <w:szCs w:val="24"/>
          <w:lang w:val="pt-BR" w:eastAsia="es-ES"/>
        </w:rPr>
        <w:t xml:space="preserve">o que se configura </w:t>
      </w:r>
      <w:r w:rsidR="000A52D5" w:rsidRPr="00D5464D">
        <w:rPr>
          <w:rFonts w:eastAsia="Batang" w:cs="Times"/>
          <w:szCs w:val="24"/>
          <w:lang w:val="pt-BR" w:eastAsia="es-ES"/>
        </w:rPr>
        <w:t>viola</w:t>
      </w:r>
      <w:r w:rsidR="00470ADC" w:rsidRPr="00D5464D">
        <w:rPr>
          <w:rFonts w:eastAsia="Batang" w:cs="Times"/>
          <w:szCs w:val="24"/>
          <w:lang w:val="pt-BR" w:eastAsia="es-ES"/>
        </w:rPr>
        <w:t>ções</w:t>
      </w:r>
      <w:r w:rsidR="000A52D5" w:rsidRPr="00D5464D">
        <w:rPr>
          <w:rFonts w:eastAsia="Batang" w:cs="Times"/>
          <w:szCs w:val="24"/>
          <w:lang w:val="pt-BR" w:eastAsia="es-ES"/>
        </w:rPr>
        <w:t xml:space="preserve"> específicas</w:t>
      </w:r>
      <w:r w:rsidR="00470ADC" w:rsidRPr="00D5464D">
        <w:rPr>
          <w:rFonts w:eastAsia="Batang" w:cs="Times"/>
          <w:szCs w:val="24"/>
          <w:lang w:val="pt-BR" w:eastAsia="es-ES"/>
        </w:rPr>
        <w:t xml:space="preserve"> à </w:t>
      </w:r>
      <w:r w:rsidR="000A52D5" w:rsidRPr="00D5464D">
        <w:rPr>
          <w:rFonts w:eastAsia="Batang" w:cs="Times"/>
          <w:szCs w:val="24"/>
          <w:lang w:val="pt-BR" w:eastAsia="es-ES"/>
        </w:rPr>
        <w:t>Conven</w:t>
      </w:r>
      <w:r w:rsidR="00470ADC" w:rsidRPr="00D5464D">
        <w:rPr>
          <w:rFonts w:eastAsia="Batang" w:cs="Times"/>
          <w:szCs w:val="24"/>
          <w:lang w:val="pt-BR" w:eastAsia="es-ES"/>
        </w:rPr>
        <w:t>ção</w:t>
      </w:r>
      <w:r w:rsidR="000A52D5" w:rsidRPr="00D5464D">
        <w:rPr>
          <w:rFonts w:eastAsia="Batang" w:cs="Times"/>
          <w:szCs w:val="24"/>
          <w:lang w:val="pt-BR" w:eastAsia="es-ES"/>
        </w:rPr>
        <w:t xml:space="preserve">. </w:t>
      </w:r>
    </w:p>
    <w:p w14:paraId="7D5607EF" w14:textId="77777777" w:rsidR="000A52D5" w:rsidRPr="00D5464D" w:rsidRDefault="000A52D5" w:rsidP="00140440">
      <w:pPr>
        <w:tabs>
          <w:tab w:val="clear" w:pos="4419"/>
          <w:tab w:val="clear" w:pos="8838"/>
        </w:tabs>
        <w:jc w:val="both"/>
        <w:rPr>
          <w:rFonts w:eastAsia="Batang" w:cs="Times"/>
          <w:szCs w:val="24"/>
          <w:lang w:val="pt-BR" w:eastAsia="es-ES"/>
        </w:rPr>
      </w:pPr>
    </w:p>
    <w:p w14:paraId="687B5A87" w14:textId="746AC6F2" w:rsidR="000A52D5" w:rsidRPr="00D5464D" w:rsidRDefault="000A52D5"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Finalmente,</w:t>
      </w:r>
      <w:r w:rsidR="002C330E" w:rsidRPr="00D5464D">
        <w:rPr>
          <w:rFonts w:eastAsia="Batang" w:cs="Times"/>
          <w:szCs w:val="24"/>
          <w:lang w:val="pt-BR" w:eastAsia="es-ES"/>
        </w:rPr>
        <w:t xml:space="preserve"> os </w:t>
      </w:r>
      <w:r w:rsidR="00EB1CE9" w:rsidRPr="00D5464D">
        <w:rPr>
          <w:rFonts w:eastAsia="Batang" w:cs="Times"/>
          <w:szCs w:val="24"/>
          <w:lang w:val="pt-BR" w:eastAsia="es-ES"/>
        </w:rPr>
        <w:t>representante</w:t>
      </w:r>
      <w:r w:rsidRPr="00D5464D">
        <w:rPr>
          <w:rFonts w:eastAsia="Batang" w:cs="Times"/>
          <w:szCs w:val="24"/>
          <w:lang w:val="pt-BR" w:eastAsia="es-ES"/>
        </w:rPr>
        <w:t xml:space="preserve">s </w:t>
      </w:r>
      <w:r w:rsidR="002C330E" w:rsidRPr="00D5464D">
        <w:rPr>
          <w:rFonts w:eastAsia="Batang" w:cs="Times"/>
          <w:szCs w:val="24"/>
          <w:lang w:val="pt-BR" w:eastAsia="es-ES"/>
        </w:rPr>
        <w:t>afirmaram</w:t>
      </w:r>
      <w:r w:rsidRPr="00D5464D">
        <w:rPr>
          <w:rFonts w:eastAsia="Batang" w:cs="Times"/>
          <w:szCs w:val="24"/>
          <w:lang w:val="pt-BR" w:eastAsia="es-ES"/>
        </w:rPr>
        <w:t xml:space="preserve"> que</w:t>
      </w:r>
      <w:r w:rsidR="002C330E" w:rsidRPr="00D5464D">
        <w:rPr>
          <w:rFonts w:eastAsia="Batang" w:cs="Times"/>
          <w:szCs w:val="24"/>
          <w:lang w:val="pt-BR" w:eastAsia="es-ES"/>
        </w:rPr>
        <w:t xml:space="preserve"> a </w:t>
      </w:r>
      <w:r w:rsidRPr="00D5464D">
        <w:rPr>
          <w:rFonts w:eastAsia="Batang" w:cs="Times"/>
          <w:szCs w:val="24"/>
          <w:lang w:val="pt-BR" w:eastAsia="es-ES"/>
        </w:rPr>
        <w:t xml:space="preserve">Corte </w:t>
      </w:r>
      <w:r w:rsidR="00470ADC" w:rsidRPr="00D5464D">
        <w:rPr>
          <w:rFonts w:eastAsia="Batang" w:cs="Times"/>
          <w:szCs w:val="24"/>
          <w:lang w:val="pt-BR" w:eastAsia="es-ES"/>
        </w:rPr>
        <w:t>dever</w:t>
      </w:r>
      <w:r w:rsidRPr="00D5464D">
        <w:rPr>
          <w:rFonts w:eastAsia="Batang" w:cs="Times"/>
          <w:szCs w:val="24"/>
          <w:lang w:val="pt-BR" w:eastAsia="es-ES"/>
        </w:rPr>
        <w:t xml:space="preserve">á </w:t>
      </w:r>
      <w:r w:rsidR="00470ADC" w:rsidRPr="00D5464D">
        <w:rPr>
          <w:rFonts w:eastAsia="Batang" w:cs="Times"/>
          <w:szCs w:val="24"/>
          <w:lang w:val="pt-BR" w:eastAsia="es-ES"/>
        </w:rPr>
        <w:t>analisar</w:t>
      </w:r>
      <w:r w:rsidR="00E045D9" w:rsidRPr="00D5464D">
        <w:rPr>
          <w:rFonts w:eastAsia="Batang" w:cs="Times"/>
          <w:szCs w:val="24"/>
          <w:lang w:val="pt-BR" w:eastAsia="es-ES"/>
        </w:rPr>
        <w:t xml:space="preserve"> no </w:t>
      </w:r>
      <w:r w:rsidRPr="00D5464D">
        <w:rPr>
          <w:rFonts w:eastAsia="Batang" w:cs="Times"/>
          <w:szCs w:val="24"/>
          <w:lang w:val="pt-BR" w:eastAsia="es-ES"/>
        </w:rPr>
        <w:t>presente caso</w:t>
      </w:r>
      <w:r w:rsidR="002C330E" w:rsidRPr="00D5464D">
        <w:rPr>
          <w:rFonts w:eastAsia="Batang" w:cs="Times"/>
          <w:szCs w:val="24"/>
          <w:lang w:val="pt-BR" w:eastAsia="es-ES"/>
        </w:rPr>
        <w:t xml:space="preserve"> se</w:t>
      </w:r>
      <w:r w:rsidR="00BF18E0" w:rsidRPr="00D5464D">
        <w:rPr>
          <w:rFonts w:eastAsia="Batang" w:cs="Times"/>
          <w:szCs w:val="24"/>
          <w:lang w:val="pt-BR" w:eastAsia="es-ES"/>
        </w:rPr>
        <w:t>,</w:t>
      </w:r>
      <w:r w:rsidR="002C330E" w:rsidRPr="00D5464D">
        <w:rPr>
          <w:rFonts w:eastAsia="Batang" w:cs="Times"/>
          <w:szCs w:val="24"/>
          <w:lang w:val="pt-BR" w:eastAsia="es-ES"/>
        </w:rPr>
        <w:t xml:space="preserve"> </w:t>
      </w:r>
      <w:r w:rsidR="00470ADC" w:rsidRPr="00D5464D">
        <w:rPr>
          <w:rFonts w:eastAsia="Batang" w:cs="Times"/>
          <w:szCs w:val="24"/>
          <w:lang w:val="pt-BR" w:eastAsia="es-ES"/>
        </w:rPr>
        <w:t>efetiv</w:t>
      </w:r>
      <w:r w:rsidRPr="00D5464D">
        <w:rPr>
          <w:rFonts w:eastAsia="Batang" w:cs="Times"/>
          <w:szCs w:val="24"/>
          <w:lang w:val="pt-BR" w:eastAsia="es-ES"/>
        </w:rPr>
        <w:t>amente</w:t>
      </w:r>
      <w:r w:rsidR="00BF18E0" w:rsidRPr="00D5464D">
        <w:rPr>
          <w:rFonts w:eastAsia="Batang" w:cs="Times"/>
          <w:szCs w:val="24"/>
          <w:lang w:val="pt-BR" w:eastAsia="es-ES"/>
        </w:rPr>
        <w:t>,</w:t>
      </w:r>
      <w:r w:rsidRPr="00D5464D">
        <w:rPr>
          <w:rFonts w:eastAsia="Batang" w:cs="Times"/>
          <w:szCs w:val="24"/>
          <w:lang w:val="pt-BR" w:eastAsia="es-ES"/>
        </w:rPr>
        <w:t xml:space="preserve"> </w:t>
      </w:r>
      <w:r w:rsidR="00BF18E0" w:rsidRPr="00D5464D">
        <w:rPr>
          <w:rFonts w:eastAsia="Batang" w:cs="Times"/>
          <w:szCs w:val="24"/>
          <w:lang w:val="pt-BR" w:eastAsia="es-ES"/>
        </w:rPr>
        <w:t xml:space="preserve">ocorreram </w:t>
      </w:r>
      <w:r w:rsidRPr="00D5464D">
        <w:rPr>
          <w:rFonts w:eastAsia="Batang" w:cs="Times"/>
          <w:szCs w:val="24"/>
          <w:lang w:val="pt-BR" w:eastAsia="es-ES"/>
        </w:rPr>
        <w:t>viola</w:t>
      </w:r>
      <w:r w:rsidR="00470ADC" w:rsidRPr="00D5464D">
        <w:rPr>
          <w:rFonts w:eastAsia="Batang" w:cs="Times"/>
          <w:szCs w:val="24"/>
          <w:lang w:val="pt-BR" w:eastAsia="es-ES"/>
        </w:rPr>
        <w:t xml:space="preserve">ções à </w:t>
      </w:r>
      <w:r w:rsidR="002C330E" w:rsidRPr="00D5464D">
        <w:rPr>
          <w:rFonts w:eastAsia="Batang" w:cs="Times"/>
          <w:szCs w:val="24"/>
          <w:lang w:val="pt-BR" w:eastAsia="es-ES"/>
        </w:rPr>
        <w:t>proteção</w:t>
      </w:r>
      <w:r w:rsidRPr="00D5464D">
        <w:rPr>
          <w:rFonts w:eastAsia="Batang" w:cs="Times"/>
          <w:szCs w:val="24"/>
          <w:lang w:val="pt-BR" w:eastAsia="es-ES"/>
        </w:rPr>
        <w:t xml:space="preserve"> judicial</w:t>
      </w:r>
      <w:r w:rsidR="00E045D9" w:rsidRPr="00D5464D">
        <w:rPr>
          <w:rFonts w:eastAsia="Batang" w:cs="Times"/>
          <w:szCs w:val="24"/>
          <w:lang w:val="pt-BR" w:eastAsia="es-ES"/>
        </w:rPr>
        <w:t xml:space="preserve"> e às </w:t>
      </w:r>
      <w:r w:rsidR="002C330E" w:rsidRPr="00D5464D">
        <w:rPr>
          <w:rFonts w:eastAsia="Batang" w:cs="Times"/>
          <w:szCs w:val="24"/>
          <w:lang w:val="pt-BR" w:eastAsia="es-ES"/>
        </w:rPr>
        <w:t>garantias</w:t>
      </w:r>
      <w:r w:rsidRPr="00D5464D">
        <w:rPr>
          <w:rFonts w:eastAsia="Batang" w:cs="Times"/>
          <w:szCs w:val="24"/>
          <w:lang w:val="pt-BR" w:eastAsia="es-ES"/>
        </w:rPr>
        <w:t xml:space="preserve"> </w:t>
      </w:r>
      <w:r w:rsidR="00470ADC" w:rsidRPr="00D5464D">
        <w:rPr>
          <w:rFonts w:eastAsia="Batang" w:cs="Times"/>
          <w:szCs w:val="24"/>
          <w:lang w:val="pt-BR" w:eastAsia="es-ES"/>
        </w:rPr>
        <w:t>do devido</w:t>
      </w:r>
      <w:r w:rsidRPr="00D5464D">
        <w:rPr>
          <w:rFonts w:eastAsia="Batang" w:cs="Times"/>
          <w:szCs w:val="24"/>
          <w:lang w:val="pt-BR" w:eastAsia="es-ES"/>
        </w:rPr>
        <w:t xml:space="preserve"> </w:t>
      </w:r>
      <w:r w:rsidR="002C330E" w:rsidRPr="00D5464D">
        <w:rPr>
          <w:rFonts w:eastAsia="Batang" w:cs="Times"/>
          <w:szCs w:val="24"/>
          <w:lang w:val="pt-BR" w:eastAsia="es-ES"/>
        </w:rPr>
        <w:t>processo</w:t>
      </w:r>
      <w:r w:rsidRPr="00D5464D">
        <w:rPr>
          <w:rFonts w:eastAsia="Batang" w:cs="Times"/>
          <w:szCs w:val="24"/>
          <w:lang w:val="pt-BR" w:eastAsia="es-ES"/>
        </w:rPr>
        <w:t xml:space="preserve">, </w:t>
      </w:r>
      <w:r w:rsidR="00E045D9" w:rsidRPr="00D5464D">
        <w:rPr>
          <w:rFonts w:eastAsia="Batang" w:cs="Times"/>
          <w:szCs w:val="24"/>
          <w:lang w:val="pt-BR" w:eastAsia="es-ES"/>
        </w:rPr>
        <w:t>incluindo</w:t>
      </w:r>
      <w:r w:rsidR="002C330E" w:rsidRPr="00D5464D">
        <w:rPr>
          <w:rFonts w:eastAsia="Batang" w:cs="Times"/>
          <w:szCs w:val="24"/>
          <w:lang w:val="pt-BR" w:eastAsia="es-ES"/>
        </w:rPr>
        <w:t xml:space="preserve"> a </w:t>
      </w:r>
      <w:r w:rsidRPr="00D5464D">
        <w:rPr>
          <w:rFonts w:eastAsia="Batang" w:cs="Times"/>
          <w:szCs w:val="24"/>
          <w:lang w:val="pt-BR" w:eastAsia="es-ES"/>
        </w:rPr>
        <w:t>valora</w:t>
      </w:r>
      <w:r w:rsidR="00470ADC" w:rsidRPr="00D5464D">
        <w:rPr>
          <w:rFonts w:eastAsia="Batang" w:cs="Times"/>
          <w:szCs w:val="24"/>
          <w:lang w:val="pt-BR" w:eastAsia="es-ES"/>
        </w:rPr>
        <w:t>ção</w:t>
      </w:r>
      <w:r w:rsidRPr="00D5464D">
        <w:rPr>
          <w:rFonts w:eastAsia="Batang" w:cs="Times"/>
          <w:szCs w:val="24"/>
          <w:lang w:val="pt-BR" w:eastAsia="es-ES"/>
        </w:rPr>
        <w:t xml:space="preserve"> sobre</w:t>
      </w:r>
      <w:r w:rsidR="002C330E" w:rsidRPr="00D5464D">
        <w:rPr>
          <w:rFonts w:eastAsia="Batang" w:cs="Times"/>
          <w:szCs w:val="24"/>
          <w:lang w:val="pt-BR" w:eastAsia="es-ES"/>
        </w:rPr>
        <w:t xml:space="preserve"> as </w:t>
      </w:r>
      <w:r w:rsidRPr="00D5464D">
        <w:rPr>
          <w:rFonts w:eastAsia="Batang" w:cs="Times"/>
          <w:szCs w:val="24"/>
          <w:lang w:val="pt-BR" w:eastAsia="es-ES"/>
        </w:rPr>
        <w:t>causas que</w:t>
      </w:r>
      <w:r w:rsidR="002C330E" w:rsidRPr="00D5464D">
        <w:rPr>
          <w:rFonts w:eastAsia="Batang" w:cs="Times"/>
          <w:szCs w:val="24"/>
          <w:lang w:val="pt-BR" w:eastAsia="es-ES"/>
        </w:rPr>
        <w:t xml:space="preserve"> </w:t>
      </w:r>
      <w:r w:rsidR="00E045D9" w:rsidRPr="00D5464D">
        <w:rPr>
          <w:rFonts w:eastAsia="Batang" w:cs="Times"/>
          <w:szCs w:val="24"/>
          <w:lang w:val="pt-BR" w:eastAsia="es-ES"/>
        </w:rPr>
        <w:t>levaram</w:t>
      </w:r>
      <w:r w:rsidR="00470ADC" w:rsidRPr="00D5464D">
        <w:rPr>
          <w:rFonts w:eastAsia="Batang" w:cs="Times"/>
          <w:szCs w:val="24"/>
          <w:lang w:val="pt-BR" w:eastAsia="es-ES"/>
        </w:rPr>
        <w:t xml:space="preserve"> ao </w:t>
      </w:r>
      <w:r w:rsidRPr="00D5464D">
        <w:rPr>
          <w:rFonts w:eastAsia="Batang" w:cs="Times"/>
          <w:szCs w:val="24"/>
          <w:lang w:val="pt-BR" w:eastAsia="es-ES"/>
        </w:rPr>
        <w:t>atraso</w:t>
      </w:r>
      <w:r w:rsidR="00E045D9" w:rsidRPr="00D5464D">
        <w:rPr>
          <w:rFonts w:eastAsia="Batang" w:cs="Times"/>
          <w:szCs w:val="24"/>
          <w:lang w:val="pt-BR" w:eastAsia="es-ES"/>
        </w:rPr>
        <w:t xml:space="preserve"> na </w:t>
      </w:r>
      <w:r w:rsidRPr="00D5464D">
        <w:rPr>
          <w:rFonts w:eastAsia="Batang" w:cs="Times"/>
          <w:szCs w:val="24"/>
          <w:lang w:val="pt-BR" w:eastAsia="es-ES"/>
        </w:rPr>
        <w:t>investiga</w:t>
      </w:r>
      <w:r w:rsidR="00470ADC" w:rsidRPr="00D5464D">
        <w:rPr>
          <w:rFonts w:eastAsia="Batang" w:cs="Times"/>
          <w:szCs w:val="24"/>
          <w:lang w:val="pt-BR" w:eastAsia="es-ES"/>
        </w:rPr>
        <w:t>ção</w:t>
      </w:r>
      <w:r w:rsidR="00E045D9" w:rsidRPr="00D5464D">
        <w:rPr>
          <w:rFonts w:eastAsia="Batang" w:cs="Times"/>
          <w:szCs w:val="24"/>
          <w:lang w:val="pt-BR" w:eastAsia="es-ES"/>
        </w:rPr>
        <w:t xml:space="preserve"> e </w:t>
      </w:r>
      <w:r w:rsidR="00470ADC" w:rsidRPr="00D5464D">
        <w:rPr>
          <w:rFonts w:eastAsia="Batang" w:cs="Times"/>
          <w:szCs w:val="24"/>
          <w:lang w:val="pt-BR" w:eastAsia="es-ES"/>
        </w:rPr>
        <w:t xml:space="preserve">à </w:t>
      </w:r>
      <w:r w:rsidRPr="00D5464D">
        <w:rPr>
          <w:rFonts w:eastAsia="Batang" w:cs="Times"/>
          <w:szCs w:val="24"/>
          <w:lang w:val="pt-BR" w:eastAsia="es-ES"/>
        </w:rPr>
        <w:t xml:space="preserve">eventual </w:t>
      </w:r>
      <w:r w:rsidR="004233D4" w:rsidRPr="00D5464D">
        <w:rPr>
          <w:rFonts w:eastAsia="Batang" w:cs="Times"/>
          <w:szCs w:val="24"/>
          <w:lang w:val="pt-BR" w:eastAsia="es-ES"/>
        </w:rPr>
        <w:t xml:space="preserve">confirmação </w:t>
      </w:r>
      <w:r w:rsidR="00470ADC" w:rsidRPr="00D5464D">
        <w:rPr>
          <w:rFonts w:eastAsia="Batang" w:cs="Times"/>
          <w:szCs w:val="24"/>
          <w:lang w:val="pt-BR" w:eastAsia="es-ES"/>
        </w:rPr>
        <w:t xml:space="preserve">da </w:t>
      </w:r>
      <w:r w:rsidR="002C330E" w:rsidRPr="00D5464D">
        <w:rPr>
          <w:rFonts w:eastAsia="Batang" w:cs="Times"/>
          <w:szCs w:val="24"/>
          <w:lang w:val="pt-BR" w:eastAsia="es-ES"/>
        </w:rPr>
        <w:t>prescrição</w:t>
      </w:r>
      <w:r w:rsidRPr="00D5464D">
        <w:rPr>
          <w:rFonts w:eastAsia="Batang" w:cs="Times"/>
          <w:szCs w:val="24"/>
          <w:lang w:val="pt-BR" w:eastAsia="es-ES"/>
        </w:rPr>
        <w:t xml:space="preserve">, </w:t>
      </w:r>
      <w:r w:rsidR="00470ADC" w:rsidRPr="00D5464D">
        <w:rPr>
          <w:rFonts w:eastAsia="Batang" w:cs="Times"/>
          <w:szCs w:val="24"/>
          <w:lang w:val="pt-BR" w:eastAsia="es-ES"/>
        </w:rPr>
        <w:t>cuj</w:t>
      </w:r>
      <w:r w:rsidR="00A1358C" w:rsidRPr="00D5464D">
        <w:rPr>
          <w:rFonts w:eastAsia="Batang" w:cs="Times"/>
          <w:szCs w:val="24"/>
          <w:lang w:val="pt-BR" w:eastAsia="es-ES"/>
        </w:rPr>
        <w:t>a análise</w:t>
      </w:r>
      <w:r w:rsidRPr="00D5464D">
        <w:rPr>
          <w:rFonts w:eastAsia="Batang" w:cs="Times"/>
          <w:szCs w:val="24"/>
          <w:lang w:val="pt-BR" w:eastAsia="es-ES"/>
        </w:rPr>
        <w:t xml:space="preserve"> corresponde</w:t>
      </w:r>
      <w:r w:rsidR="00470ADC" w:rsidRPr="00D5464D">
        <w:rPr>
          <w:rFonts w:eastAsia="Batang" w:cs="Times"/>
          <w:szCs w:val="24"/>
          <w:lang w:val="pt-BR" w:eastAsia="es-ES"/>
        </w:rPr>
        <w:t xml:space="preserve"> </w:t>
      </w:r>
      <w:r w:rsidR="00A47282" w:rsidRPr="00D5464D">
        <w:rPr>
          <w:rFonts w:eastAsia="Batang" w:cs="Times"/>
          <w:szCs w:val="24"/>
          <w:lang w:val="pt-BR" w:eastAsia="es-ES"/>
        </w:rPr>
        <w:t>à análise</w:t>
      </w:r>
      <w:r w:rsidRPr="00D5464D">
        <w:rPr>
          <w:rFonts w:eastAsia="Batang" w:cs="Times"/>
          <w:szCs w:val="24"/>
          <w:lang w:val="pt-BR" w:eastAsia="es-ES"/>
        </w:rPr>
        <w:t xml:space="preserve"> de </w:t>
      </w:r>
      <w:r w:rsidR="00470ADC" w:rsidRPr="00D5464D">
        <w:rPr>
          <w:rFonts w:eastAsia="Batang" w:cs="Times"/>
          <w:szCs w:val="24"/>
          <w:lang w:val="pt-BR" w:eastAsia="es-ES"/>
        </w:rPr>
        <w:t>mérito</w:t>
      </w:r>
      <w:r w:rsidRPr="00D5464D">
        <w:rPr>
          <w:rFonts w:eastAsia="Batang" w:cs="Times"/>
          <w:szCs w:val="24"/>
          <w:lang w:val="pt-BR" w:eastAsia="es-ES"/>
        </w:rPr>
        <w:t>.</w:t>
      </w:r>
      <w:r w:rsidR="00FF1290" w:rsidRPr="00D5464D">
        <w:rPr>
          <w:rFonts w:eastAsia="Batang" w:cs="Times"/>
          <w:szCs w:val="24"/>
          <w:lang w:val="pt-BR" w:eastAsia="es-ES"/>
        </w:rPr>
        <w:t xml:space="preserve"> </w:t>
      </w:r>
      <w:r w:rsidRPr="00D5464D">
        <w:rPr>
          <w:rFonts w:eastAsia="Batang" w:cs="Times"/>
          <w:szCs w:val="24"/>
          <w:lang w:val="pt-BR" w:eastAsia="es-ES"/>
        </w:rPr>
        <w:t xml:space="preserve"> </w:t>
      </w:r>
    </w:p>
    <w:p w14:paraId="5F4CCCE0" w14:textId="40CAC963" w:rsidR="000A52D5" w:rsidRPr="00D5464D" w:rsidRDefault="00FF1290" w:rsidP="00140440">
      <w:p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 </w:t>
      </w:r>
      <w:r w:rsidR="000A52D5" w:rsidRPr="00D5464D">
        <w:rPr>
          <w:rFonts w:eastAsia="Batang" w:cs="Times"/>
          <w:szCs w:val="24"/>
          <w:lang w:val="pt-BR" w:eastAsia="es-ES"/>
        </w:rPr>
        <w:t xml:space="preserve"> </w:t>
      </w:r>
    </w:p>
    <w:p w14:paraId="205C936E" w14:textId="78133A5C" w:rsidR="000A52D5" w:rsidRPr="00D5464D" w:rsidRDefault="00DA56A4" w:rsidP="000A20C1">
      <w:pPr>
        <w:pStyle w:val="Ttulo3"/>
        <w:rPr>
          <w:lang w:val="pt-BR" w:eastAsia="es-ES"/>
        </w:rPr>
      </w:pPr>
      <w:bookmarkStart w:id="115" w:name="_Toc460432977"/>
      <w:bookmarkStart w:id="116" w:name="_Toc460441908"/>
      <w:bookmarkStart w:id="117" w:name="_Toc462750728"/>
      <w:bookmarkStart w:id="118" w:name="_Toc462751052"/>
      <w:bookmarkStart w:id="119" w:name="_Toc464813904"/>
      <w:bookmarkStart w:id="120" w:name="_Toc468433865"/>
      <w:r w:rsidRPr="00D5464D">
        <w:rPr>
          <w:lang w:val="pt-BR" w:eastAsia="es-ES"/>
        </w:rPr>
        <w:t>E</w:t>
      </w:r>
      <w:r w:rsidR="000A52D5" w:rsidRPr="00D5464D">
        <w:rPr>
          <w:lang w:val="pt-BR" w:eastAsia="es-ES"/>
        </w:rPr>
        <w:t>.2. Considera</w:t>
      </w:r>
      <w:r w:rsidR="00470ADC" w:rsidRPr="00D5464D">
        <w:rPr>
          <w:lang w:val="pt-BR" w:eastAsia="es-ES"/>
        </w:rPr>
        <w:t xml:space="preserve">ções da </w:t>
      </w:r>
      <w:r w:rsidR="000A52D5" w:rsidRPr="00D5464D">
        <w:rPr>
          <w:lang w:val="pt-BR" w:eastAsia="es-ES"/>
        </w:rPr>
        <w:t>Corte</w:t>
      </w:r>
      <w:bookmarkEnd w:id="115"/>
      <w:bookmarkEnd w:id="116"/>
      <w:bookmarkEnd w:id="117"/>
      <w:bookmarkEnd w:id="118"/>
      <w:bookmarkEnd w:id="119"/>
      <w:bookmarkEnd w:id="120"/>
    </w:p>
    <w:p w14:paraId="096C9DD8" w14:textId="77777777" w:rsidR="00D65024" w:rsidRPr="00D5464D" w:rsidRDefault="00D65024" w:rsidP="00D65024">
      <w:pPr>
        <w:tabs>
          <w:tab w:val="clear" w:pos="4419"/>
          <w:tab w:val="clear" w:pos="8838"/>
        </w:tabs>
        <w:jc w:val="both"/>
        <w:rPr>
          <w:rFonts w:eastAsia="Batang" w:cs="Times"/>
          <w:szCs w:val="24"/>
          <w:lang w:val="pt-BR" w:eastAsia="es-ES"/>
        </w:rPr>
      </w:pPr>
    </w:p>
    <w:p w14:paraId="3A2CBE3C" w14:textId="4D489E6F" w:rsidR="000A52D5" w:rsidRPr="00D5464D" w:rsidRDefault="00470AD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O </w:t>
      </w:r>
      <w:r w:rsidR="000A52D5" w:rsidRPr="00D5464D">
        <w:rPr>
          <w:rFonts w:eastAsia="Batang" w:cs="Times"/>
          <w:szCs w:val="24"/>
          <w:lang w:val="pt-BR" w:eastAsia="es-ES"/>
        </w:rPr>
        <w:t xml:space="preserve">Tribunal </w:t>
      </w:r>
      <w:r w:rsidR="002C330E" w:rsidRPr="00D5464D">
        <w:rPr>
          <w:rFonts w:eastAsia="Batang" w:cs="Times"/>
          <w:szCs w:val="24"/>
          <w:lang w:val="pt-BR" w:eastAsia="es-ES"/>
        </w:rPr>
        <w:t>estabeleceu</w:t>
      </w:r>
      <w:r w:rsidR="000A52D5" w:rsidRPr="00D5464D">
        <w:rPr>
          <w:rFonts w:eastAsia="Batang" w:cs="Times"/>
          <w:szCs w:val="24"/>
          <w:lang w:val="pt-BR" w:eastAsia="es-ES"/>
        </w:rPr>
        <w:t xml:space="preserve"> que</w:t>
      </w:r>
      <w:r w:rsidR="002C330E" w:rsidRPr="00D5464D">
        <w:rPr>
          <w:rFonts w:eastAsia="Batang" w:cs="Times"/>
          <w:szCs w:val="24"/>
          <w:lang w:val="pt-BR" w:eastAsia="es-ES"/>
        </w:rPr>
        <w:t xml:space="preserve"> a jurisdição</w:t>
      </w:r>
      <w:r w:rsidR="000A52D5" w:rsidRPr="00D5464D">
        <w:rPr>
          <w:rFonts w:eastAsia="Batang" w:cs="Times"/>
          <w:szCs w:val="24"/>
          <w:lang w:val="pt-BR" w:eastAsia="es-ES"/>
        </w:rPr>
        <w:t xml:space="preserve"> internacional </w:t>
      </w:r>
      <w:r w:rsidR="004233D4" w:rsidRPr="00D5464D">
        <w:rPr>
          <w:rFonts w:eastAsia="Batang" w:cs="Times"/>
          <w:szCs w:val="24"/>
          <w:lang w:val="pt-BR" w:eastAsia="es-ES"/>
        </w:rPr>
        <w:t>possui</w:t>
      </w:r>
      <w:r w:rsidR="00E045D9" w:rsidRPr="00D5464D">
        <w:rPr>
          <w:rFonts w:eastAsia="Batang" w:cs="Times"/>
          <w:szCs w:val="24"/>
          <w:lang w:val="pt-BR" w:eastAsia="es-ES"/>
        </w:rPr>
        <w:t xml:space="preserve"> </w:t>
      </w:r>
      <w:r w:rsidRPr="00D5464D">
        <w:rPr>
          <w:rFonts w:eastAsia="Batang" w:cs="Times"/>
          <w:szCs w:val="24"/>
          <w:lang w:val="pt-BR" w:eastAsia="es-ES"/>
        </w:rPr>
        <w:t>caráter</w:t>
      </w:r>
      <w:r w:rsidR="000A52D5" w:rsidRPr="00D5464D">
        <w:rPr>
          <w:rFonts w:eastAsia="Batang" w:cs="Times"/>
          <w:szCs w:val="24"/>
          <w:lang w:val="pt-BR" w:eastAsia="es-ES"/>
        </w:rPr>
        <w:t xml:space="preserve"> </w:t>
      </w:r>
      <w:r w:rsidR="00C91CB1" w:rsidRPr="00D5464D">
        <w:rPr>
          <w:rFonts w:eastAsia="Batang" w:cs="Times"/>
          <w:szCs w:val="24"/>
          <w:lang w:val="pt-BR" w:eastAsia="es-ES"/>
        </w:rPr>
        <w:t>coadjuvante</w:t>
      </w:r>
      <w:r w:rsidR="00E045D9" w:rsidRPr="00D5464D">
        <w:rPr>
          <w:rFonts w:eastAsia="Batang" w:cs="Times"/>
          <w:szCs w:val="24"/>
          <w:lang w:val="pt-BR" w:eastAsia="es-ES"/>
        </w:rPr>
        <w:t xml:space="preserve"> e </w:t>
      </w:r>
      <w:r w:rsidR="000A52D5" w:rsidRPr="00D5464D">
        <w:rPr>
          <w:rFonts w:eastAsia="Batang" w:cs="Times"/>
          <w:szCs w:val="24"/>
          <w:lang w:val="pt-BR" w:eastAsia="es-ES"/>
        </w:rPr>
        <w:t>complementar</w:t>
      </w:r>
      <w:r w:rsidR="004233D4" w:rsidRPr="00D5464D">
        <w:rPr>
          <w:rFonts w:eastAsia="Batang" w:cs="Times"/>
          <w:szCs w:val="24"/>
          <w:lang w:val="pt-BR" w:eastAsia="es-ES"/>
        </w:rPr>
        <w:t>,</w:t>
      </w:r>
      <w:r w:rsidR="000A52D5" w:rsidRPr="00D5464D">
        <w:rPr>
          <w:rFonts w:eastAsia="Batang" w:cs="Times"/>
          <w:szCs w:val="24"/>
          <w:vertAlign w:val="superscript"/>
          <w:lang w:val="pt-BR" w:eastAsia="es-ES"/>
        </w:rPr>
        <w:footnoteReference w:id="46"/>
      </w:r>
      <w:r w:rsidR="000A52D5" w:rsidRPr="00D5464D">
        <w:rPr>
          <w:rFonts w:eastAsia="Batang" w:cs="Times"/>
          <w:szCs w:val="24"/>
          <w:lang w:val="pt-BR" w:eastAsia="es-ES"/>
        </w:rPr>
        <w:t xml:space="preserve"> </w:t>
      </w:r>
      <w:r w:rsidR="002C330E" w:rsidRPr="00D5464D">
        <w:rPr>
          <w:rFonts w:eastAsia="Batang" w:cs="Times"/>
          <w:szCs w:val="24"/>
          <w:lang w:val="pt-BR" w:eastAsia="es-ES"/>
        </w:rPr>
        <w:t xml:space="preserve">razão pela </w:t>
      </w:r>
      <w:r w:rsidRPr="00D5464D">
        <w:rPr>
          <w:rFonts w:eastAsia="Batang" w:cs="Times"/>
          <w:szCs w:val="24"/>
          <w:lang w:val="pt-BR" w:eastAsia="es-ES"/>
        </w:rPr>
        <w:t xml:space="preserve">qual </w:t>
      </w:r>
      <w:r w:rsidR="000A52D5" w:rsidRPr="00D5464D">
        <w:rPr>
          <w:rFonts w:eastAsia="Batang" w:cs="Times"/>
          <w:szCs w:val="24"/>
          <w:lang w:val="pt-BR" w:eastAsia="es-ES"/>
        </w:rPr>
        <w:t>n</w:t>
      </w:r>
      <w:r w:rsidR="004233D4" w:rsidRPr="00D5464D">
        <w:rPr>
          <w:rFonts w:eastAsia="Batang" w:cs="Times"/>
          <w:szCs w:val="24"/>
          <w:lang w:val="pt-BR" w:eastAsia="es-ES"/>
        </w:rPr>
        <w:t>ã</w:t>
      </w:r>
      <w:r w:rsidR="000A52D5" w:rsidRPr="00D5464D">
        <w:rPr>
          <w:rFonts w:eastAsia="Batang" w:cs="Times"/>
          <w:szCs w:val="24"/>
          <w:lang w:val="pt-BR" w:eastAsia="es-ES"/>
        </w:rPr>
        <w:t xml:space="preserve">o </w:t>
      </w:r>
      <w:r w:rsidR="00737270" w:rsidRPr="00D5464D">
        <w:rPr>
          <w:rFonts w:eastAsia="Batang" w:cs="Times"/>
          <w:szCs w:val="24"/>
          <w:lang w:val="pt-BR" w:eastAsia="es-ES"/>
        </w:rPr>
        <w:t>desempenh</w:t>
      </w:r>
      <w:r w:rsidR="000A52D5" w:rsidRPr="00D5464D">
        <w:rPr>
          <w:rFonts w:eastAsia="Batang" w:cs="Times"/>
          <w:szCs w:val="24"/>
          <w:lang w:val="pt-BR" w:eastAsia="es-ES"/>
        </w:rPr>
        <w:t>a fun</w:t>
      </w:r>
      <w:r w:rsidRPr="00D5464D">
        <w:rPr>
          <w:rFonts w:eastAsia="Batang" w:cs="Times"/>
          <w:szCs w:val="24"/>
          <w:lang w:val="pt-BR" w:eastAsia="es-ES"/>
        </w:rPr>
        <w:t>ções</w:t>
      </w:r>
      <w:r w:rsidR="000A52D5" w:rsidRPr="00D5464D">
        <w:rPr>
          <w:rFonts w:eastAsia="Batang" w:cs="Times"/>
          <w:szCs w:val="24"/>
          <w:lang w:val="pt-BR" w:eastAsia="es-ES"/>
        </w:rPr>
        <w:t xml:space="preserve"> de tribunal de “</w:t>
      </w:r>
      <w:r w:rsidR="00230C71" w:rsidRPr="00D5464D">
        <w:rPr>
          <w:rFonts w:eastAsia="Batang" w:cs="Times"/>
          <w:szCs w:val="24"/>
          <w:lang w:val="pt-BR" w:eastAsia="es-ES"/>
        </w:rPr>
        <w:t>quarta</w:t>
      </w:r>
      <w:r w:rsidR="000A52D5" w:rsidRPr="00D5464D">
        <w:rPr>
          <w:rFonts w:eastAsia="Batang" w:cs="Times"/>
          <w:szCs w:val="24"/>
          <w:lang w:val="pt-BR" w:eastAsia="es-ES"/>
        </w:rPr>
        <w:t xml:space="preserve"> </w:t>
      </w:r>
      <w:r w:rsidR="002C330E" w:rsidRPr="00D5464D">
        <w:rPr>
          <w:rFonts w:eastAsia="Batang" w:cs="Times"/>
          <w:szCs w:val="24"/>
          <w:lang w:val="pt-BR" w:eastAsia="es-ES"/>
        </w:rPr>
        <w:t>instância</w:t>
      </w:r>
      <w:r w:rsidR="000A52D5" w:rsidRPr="00D5464D">
        <w:rPr>
          <w:rFonts w:eastAsia="Batang" w:cs="Times"/>
          <w:szCs w:val="24"/>
          <w:lang w:val="pt-BR" w:eastAsia="es-ES"/>
        </w:rPr>
        <w:t>”,</w:t>
      </w:r>
      <w:r w:rsidR="002C330E" w:rsidRPr="00D5464D">
        <w:rPr>
          <w:rFonts w:eastAsia="Batang" w:cs="Times"/>
          <w:szCs w:val="24"/>
          <w:lang w:val="pt-BR" w:eastAsia="es-ES"/>
        </w:rPr>
        <w:t xml:space="preserve"> nem </w:t>
      </w:r>
      <w:r w:rsidRPr="00D5464D">
        <w:rPr>
          <w:rFonts w:eastAsia="Batang" w:cs="Times"/>
          <w:szCs w:val="24"/>
          <w:lang w:val="pt-BR" w:eastAsia="es-ES"/>
        </w:rPr>
        <w:t>é</w:t>
      </w:r>
      <w:r w:rsidR="00E045D9" w:rsidRPr="00D5464D">
        <w:rPr>
          <w:rFonts w:eastAsia="Batang" w:cs="Times"/>
          <w:szCs w:val="24"/>
          <w:lang w:val="pt-BR" w:eastAsia="es-ES"/>
        </w:rPr>
        <w:t xml:space="preserve"> um </w:t>
      </w:r>
      <w:r w:rsidR="000A52D5" w:rsidRPr="00D5464D">
        <w:rPr>
          <w:rFonts w:eastAsia="Batang" w:cs="Times"/>
          <w:szCs w:val="24"/>
          <w:lang w:val="pt-BR" w:eastAsia="es-ES"/>
        </w:rPr>
        <w:t>tribunal de al</w:t>
      </w:r>
      <w:r w:rsidR="004233D4" w:rsidRPr="00D5464D">
        <w:rPr>
          <w:rFonts w:eastAsia="Batang" w:cs="Times"/>
          <w:szCs w:val="24"/>
          <w:lang w:val="pt-BR" w:eastAsia="es-ES"/>
        </w:rPr>
        <w:t>ç</w:t>
      </w:r>
      <w:r w:rsidR="000A52D5" w:rsidRPr="00D5464D">
        <w:rPr>
          <w:rFonts w:eastAsia="Batang" w:cs="Times"/>
          <w:szCs w:val="24"/>
          <w:lang w:val="pt-BR" w:eastAsia="es-ES"/>
        </w:rPr>
        <w:t>ada o</w:t>
      </w:r>
      <w:r w:rsidR="004233D4" w:rsidRPr="00D5464D">
        <w:rPr>
          <w:rFonts w:eastAsia="Batang" w:cs="Times"/>
          <w:szCs w:val="24"/>
          <w:lang w:val="pt-BR" w:eastAsia="es-ES"/>
        </w:rPr>
        <w:t>u</w:t>
      </w:r>
      <w:r w:rsidR="000A52D5" w:rsidRPr="00D5464D">
        <w:rPr>
          <w:rFonts w:eastAsia="Batang" w:cs="Times"/>
          <w:szCs w:val="24"/>
          <w:lang w:val="pt-BR" w:eastAsia="es-ES"/>
        </w:rPr>
        <w:t xml:space="preserve"> de apela</w:t>
      </w:r>
      <w:r w:rsidRPr="00D5464D">
        <w:rPr>
          <w:rFonts w:eastAsia="Batang" w:cs="Times"/>
          <w:szCs w:val="24"/>
          <w:lang w:val="pt-BR" w:eastAsia="es-ES"/>
        </w:rPr>
        <w:t>ção</w:t>
      </w:r>
      <w:r w:rsidR="000A52D5" w:rsidRPr="00D5464D">
        <w:rPr>
          <w:rFonts w:eastAsia="Batang" w:cs="Times"/>
          <w:szCs w:val="24"/>
          <w:lang w:val="pt-BR" w:eastAsia="es-ES"/>
        </w:rPr>
        <w:t xml:space="preserve"> para dirimir</w:t>
      </w:r>
      <w:r w:rsidR="002C330E" w:rsidRPr="00D5464D">
        <w:rPr>
          <w:rFonts w:eastAsia="Batang" w:cs="Times"/>
          <w:szCs w:val="24"/>
          <w:lang w:val="pt-BR" w:eastAsia="es-ES"/>
        </w:rPr>
        <w:t xml:space="preserve"> os </w:t>
      </w:r>
      <w:r w:rsidR="000A52D5" w:rsidRPr="00D5464D">
        <w:rPr>
          <w:rFonts w:eastAsia="Batang" w:cs="Times"/>
          <w:szCs w:val="24"/>
          <w:lang w:val="pt-BR" w:eastAsia="es-ES"/>
        </w:rPr>
        <w:t>des</w:t>
      </w:r>
      <w:r w:rsidRPr="00D5464D">
        <w:rPr>
          <w:rFonts w:eastAsia="Batang" w:cs="Times"/>
          <w:szCs w:val="24"/>
          <w:lang w:val="pt-BR" w:eastAsia="es-ES"/>
        </w:rPr>
        <w:t>acordo</w:t>
      </w:r>
      <w:r w:rsidR="000A52D5" w:rsidRPr="00D5464D">
        <w:rPr>
          <w:rFonts w:eastAsia="Batang" w:cs="Times"/>
          <w:szCs w:val="24"/>
          <w:lang w:val="pt-BR" w:eastAsia="es-ES"/>
        </w:rPr>
        <w:t xml:space="preserve">s </w:t>
      </w:r>
      <w:r w:rsidR="004233D4" w:rsidRPr="00D5464D">
        <w:rPr>
          <w:rFonts w:eastAsia="Batang" w:cs="Times"/>
          <w:szCs w:val="24"/>
          <w:lang w:val="pt-BR" w:eastAsia="es-ES"/>
        </w:rPr>
        <w:t>d</w:t>
      </w:r>
      <w:r w:rsidR="002C330E" w:rsidRPr="00D5464D">
        <w:rPr>
          <w:rFonts w:eastAsia="Batang" w:cs="Times"/>
          <w:szCs w:val="24"/>
          <w:lang w:val="pt-BR" w:eastAsia="es-ES"/>
        </w:rPr>
        <w:t xml:space="preserve">as </w:t>
      </w:r>
      <w:r w:rsidR="000A52D5" w:rsidRPr="00D5464D">
        <w:rPr>
          <w:rFonts w:eastAsia="Batang" w:cs="Times"/>
          <w:szCs w:val="24"/>
          <w:lang w:val="pt-BR" w:eastAsia="es-ES"/>
        </w:rPr>
        <w:t xml:space="preserve">partes sobre </w:t>
      </w:r>
      <w:r w:rsidR="00A47282" w:rsidRPr="00D5464D">
        <w:rPr>
          <w:rFonts w:eastAsia="Batang" w:cs="Times"/>
          <w:szCs w:val="24"/>
          <w:lang w:val="pt-BR" w:eastAsia="es-ES"/>
        </w:rPr>
        <w:t xml:space="preserve">os </w:t>
      </w:r>
      <w:r w:rsidR="000A52D5" w:rsidRPr="00D5464D">
        <w:rPr>
          <w:rFonts w:eastAsia="Batang" w:cs="Times"/>
          <w:szCs w:val="24"/>
          <w:lang w:val="pt-BR" w:eastAsia="es-ES"/>
        </w:rPr>
        <w:t>alcances</w:t>
      </w:r>
      <w:r w:rsidRPr="00D5464D">
        <w:rPr>
          <w:rFonts w:eastAsia="Batang" w:cs="Times"/>
          <w:szCs w:val="24"/>
          <w:lang w:val="pt-BR" w:eastAsia="es-ES"/>
        </w:rPr>
        <w:t xml:space="preserve"> d</w:t>
      </w:r>
      <w:r w:rsidR="004233D4" w:rsidRPr="00D5464D">
        <w:rPr>
          <w:rFonts w:eastAsia="Batang" w:cs="Times"/>
          <w:szCs w:val="24"/>
          <w:lang w:val="pt-BR" w:eastAsia="es-ES"/>
        </w:rPr>
        <w:t>e</w:t>
      </w:r>
      <w:r w:rsidRPr="00D5464D">
        <w:rPr>
          <w:rFonts w:eastAsia="Batang" w:cs="Times"/>
          <w:szCs w:val="24"/>
          <w:lang w:val="pt-BR" w:eastAsia="es-ES"/>
        </w:rPr>
        <w:t xml:space="preserve"> </w:t>
      </w:r>
      <w:r w:rsidR="000A52D5" w:rsidRPr="00D5464D">
        <w:rPr>
          <w:rFonts w:eastAsia="Batang" w:cs="Times"/>
          <w:szCs w:val="24"/>
          <w:lang w:val="pt-BR" w:eastAsia="es-ES"/>
        </w:rPr>
        <w:t>valora</w:t>
      </w:r>
      <w:r w:rsidRPr="00D5464D">
        <w:rPr>
          <w:rFonts w:eastAsia="Batang" w:cs="Times"/>
          <w:szCs w:val="24"/>
          <w:lang w:val="pt-BR" w:eastAsia="es-ES"/>
        </w:rPr>
        <w:t>ção</w:t>
      </w:r>
      <w:r w:rsidR="000A52D5" w:rsidRPr="00D5464D">
        <w:rPr>
          <w:rFonts w:eastAsia="Batang" w:cs="Times"/>
          <w:szCs w:val="24"/>
          <w:lang w:val="pt-BR" w:eastAsia="es-ES"/>
        </w:rPr>
        <w:t xml:space="preserve"> </w:t>
      </w:r>
      <w:r w:rsidR="00A47282" w:rsidRPr="00D5464D">
        <w:rPr>
          <w:rFonts w:eastAsia="Batang" w:cs="Times"/>
          <w:szCs w:val="24"/>
          <w:lang w:val="pt-BR" w:eastAsia="es-ES"/>
        </w:rPr>
        <w:t>da</w:t>
      </w:r>
      <w:r w:rsidR="000A52D5" w:rsidRPr="00D5464D">
        <w:rPr>
          <w:rFonts w:eastAsia="Batang" w:cs="Times"/>
          <w:szCs w:val="24"/>
          <w:lang w:val="pt-BR" w:eastAsia="es-ES"/>
        </w:rPr>
        <w:t xml:space="preserve"> </w:t>
      </w:r>
      <w:r w:rsidR="002C330E" w:rsidRPr="00D5464D">
        <w:rPr>
          <w:rFonts w:eastAsia="Batang" w:cs="Times"/>
          <w:szCs w:val="24"/>
          <w:lang w:val="pt-BR" w:eastAsia="es-ES"/>
        </w:rPr>
        <w:t>prova</w:t>
      </w:r>
      <w:r w:rsidR="000A52D5" w:rsidRPr="00D5464D">
        <w:rPr>
          <w:rFonts w:eastAsia="Batang" w:cs="Times"/>
          <w:szCs w:val="24"/>
          <w:lang w:val="pt-BR" w:eastAsia="es-ES"/>
        </w:rPr>
        <w:t xml:space="preserve"> o</w:t>
      </w:r>
      <w:r w:rsidR="004233D4" w:rsidRPr="00D5464D">
        <w:rPr>
          <w:rFonts w:eastAsia="Batang" w:cs="Times"/>
          <w:szCs w:val="24"/>
          <w:lang w:val="pt-BR" w:eastAsia="es-ES"/>
        </w:rPr>
        <w:t>u</w:t>
      </w:r>
      <w:r w:rsidRPr="00D5464D">
        <w:rPr>
          <w:rFonts w:eastAsia="Batang" w:cs="Times"/>
          <w:szCs w:val="24"/>
          <w:lang w:val="pt-BR" w:eastAsia="es-ES"/>
        </w:rPr>
        <w:t xml:space="preserve"> d</w:t>
      </w:r>
      <w:r w:rsidR="004233D4" w:rsidRPr="00D5464D">
        <w:rPr>
          <w:rFonts w:eastAsia="Batang" w:cs="Times"/>
          <w:szCs w:val="24"/>
          <w:lang w:val="pt-BR" w:eastAsia="es-ES"/>
        </w:rPr>
        <w:t>e</w:t>
      </w:r>
      <w:r w:rsidRPr="00D5464D">
        <w:rPr>
          <w:rFonts w:eastAsia="Batang" w:cs="Times"/>
          <w:szCs w:val="24"/>
          <w:lang w:val="pt-BR" w:eastAsia="es-ES"/>
        </w:rPr>
        <w:t xml:space="preserve"> </w:t>
      </w:r>
      <w:r w:rsidR="000A52D5" w:rsidRPr="00D5464D">
        <w:rPr>
          <w:rFonts w:eastAsia="Batang" w:cs="Times"/>
          <w:szCs w:val="24"/>
          <w:lang w:val="pt-BR" w:eastAsia="es-ES"/>
        </w:rPr>
        <w:t>aplica</w:t>
      </w:r>
      <w:r w:rsidRPr="00D5464D">
        <w:rPr>
          <w:rFonts w:eastAsia="Batang" w:cs="Times"/>
          <w:szCs w:val="24"/>
          <w:lang w:val="pt-BR" w:eastAsia="es-ES"/>
        </w:rPr>
        <w:t>ção</w:t>
      </w:r>
      <w:r w:rsidR="000A52D5" w:rsidRPr="00D5464D">
        <w:rPr>
          <w:rFonts w:eastAsia="Batang" w:cs="Times"/>
          <w:szCs w:val="24"/>
          <w:lang w:val="pt-BR" w:eastAsia="es-ES"/>
        </w:rPr>
        <w:t xml:space="preserve"> </w:t>
      </w:r>
      <w:r w:rsidRPr="00D5464D">
        <w:rPr>
          <w:rFonts w:eastAsia="Batang" w:cs="Times"/>
          <w:szCs w:val="24"/>
          <w:lang w:val="pt-BR" w:eastAsia="es-ES"/>
        </w:rPr>
        <w:t>do direito</w:t>
      </w:r>
      <w:r w:rsidR="000A52D5" w:rsidRPr="00D5464D">
        <w:rPr>
          <w:rFonts w:eastAsia="Batang" w:cs="Times"/>
          <w:szCs w:val="24"/>
          <w:lang w:val="pt-BR" w:eastAsia="es-ES"/>
        </w:rPr>
        <w:t xml:space="preserve"> interno</w:t>
      </w:r>
      <w:r w:rsidRPr="00D5464D">
        <w:rPr>
          <w:rFonts w:eastAsia="Batang" w:cs="Times"/>
          <w:szCs w:val="24"/>
          <w:lang w:val="pt-BR" w:eastAsia="es-ES"/>
        </w:rPr>
        <w:t xml:space="preserve"> em </w:t>
      </w:r>
      <w:r w:rsidR="000A52D5" w:rsidRPr="00D5464D">
        <w:rPr>
          <w:rFonts w:eastAsia="Batang" w:cs="Times"/>
          <w:szCs w:val="24"/>
          <w:lang w:val="pt-BR" w:eastAsia="es-ES"/>
        </w:rPr>
        <w:t>aspectos que n</w:t>
      </w:r>
      <w:r w:rsidR="004233D4" w:rsidRPr="00D5464D">
        <w:rPr>
          <w:rFonts w:eastAsia="Batang" w:cs="Times"/>
          <w:szCs w:val="24"/>
          <w:lang w:val="pt-BR" w:eastAsia="es-ES"/>
        </w:rPr>
        <w:t>ã</w:t>
      </w:r>
      <w:r w:rsidR="000A52D5" w:rsidRPr="00D5464D">
        <w:rPr>
          <w:rFonts w:eastAsia="Batang" w:cs="Times"/>
          <w:szCs w:val="24"/>
          <w:lang w:val="pt-BR" w:eastAsia="es-ES"/>
        </w:rPr>
        <w:t xml:space="preserve">o </w:t>
      </w:r>
      <w:r w:rsidR="00350187" w:rsidRPr="00D5464D">
        <w:rPr>
          <w:rFonts w:eastAsia="Batang" w:cs="Times"/>
          <w:szCs w:val="24"/>
          <w:lang w:val="pt-BR" w:eastAsia="es-ES"/>
        </w:rPr>
        <w:t>estejam</w:t>
      </w:r>
      <w:r w:rsidR="000A52D5" w:rsidRPr="00D5464D">
        <w:rPr>
          <w:rFonts w:eastAsia="Batang" w:cs="Times"/>
          <w:szCs w:val="24"/>
          <w:lang w:val="pt-BR" w:eastAsia="es-ES"/>
        </w:rPr>
        <w:t xml:space="preserve"> </w:t>
      </w:r>
      <w:r w:rsidRPr="00D5464D">
        <w:rPr>
          <w:rFonts w:eastAsia="Batang" w:cs="Times"/>
          <w:szCs w:val="24"/>
          <w:lang w:val="pt-BR" w:eastAsia="es-ES"/>
        </w:rPr>
        <w:t>diret</w:t>
      </w:r>
      <w:r w:rsidR="000A52D5" w:rsidRPr="00D5464D">
        <w:rPr>
          <w:rFonts w:eastAsia="Batang" w:cs="Times"/>
          <w:szCs w:val="24"/>
          <w:lang w:val="pt-BR" w:eastAsia="es-ES"/>
        </w:rPr>
        <w:t>amente relacionados</w:t>
      </w:r>
      <w:r w:rsidRPr="00D5464D">
        <w:rPr>
          <w:rFonts w:eastAsia="Batang" w:cs="Times"/>
          <w:szCs w:val="24"/>
          <w:lang w:val="pt-BR" w:eastAsia="es-ES"/>
        </w:rPr>
        <w:t xml:space="preserve"> com o cumprimento</w:t>
      </w:r>
      <w:r w:rsidR="000A52D5" w:rsidRPr="00D5464D">
        <w:rPr>
          <w:rFonts w:eastAsia="Batang" w:cs="Times"/>
          <w:szCs w:val="24"/>
          <w:lang w:val="pt-BR" w:eastAsia="es-ES"/>
        </w:rPr>
        <w:t xml:space="preserve"> de </w:t>
      </w:r>
      <w:r w:rsidR="002C330E" w:rsidRPr="00D5464D">
        <w:rPr>
          <w:rFonts w:eastAsia="Batang" w:cs="Times"/>
          <w:szCs w:val="24"/>
          <w:lang w:val="pt-BR" w:eastAsia="es-ES"/>
        </w:rPr>
        <w:t>obrigações</w:t>
      </w:r>
      <w:r w:rsidR="000A52D5" w:rsidRPr="00D5464D">
        <w:rPr>
          <w:rFonts w:eastAsia="Batang" w:cs="Times"/>
          <w:szCs w:val="24"/>
          <w:lang w:val="pt-BR" w:eastAsia="es-ES"/>
        </w:rPr>
        <w:t xml:space="preserve"> </w:t>
      </w:r>
      <w:r w:rsidR="002C330E" w:rsidRPr="00D5464D">
        <w:rPr>
          <w:rFonts w:eastAsia="Batang" w:cs="Times"/>
          <w:szCs w:val="24"/>
          <w:lang w:val="pt-BR" w:eastAsia="es-ES"/>
        </w:rPr>
        <w:t>internacionais</w:t>
      </w:r>
      <w:r w:rsidRPr="00D5464D">
        <w:rPr>
          <w:rFonts w:eastAsia="Batang" w:cs="Times"/>
          <w:szCs w:val="24"/>
          <w:lang w:val="pt-BR" w:eastAsia="es-ES"/>
        </w:rPr>
        <w:t xml:space="preserve"> em direito</w:t>
      </w:r>
      <w:r w:rsidR="000A52D5" w:rsidRPr="00D5464D">
        <w:rPr>
          <w:rFonts w:eastAsia="Batang" w:cs="Times"/>
          <w:szCs w:val="24"/>
          <w:lang w:val="pt-BR" w:eastAsia="es-ES"/>
        </w:rPr>
        <w:t>s humanos</w:t>
      </w:r>
      <w:r w:rsidR="004233D4" w:rsidRPr="00D5464D">
        <w:rPr>
          <w:rFonts w:eastAsia="Batang" w:cs="Times"/>
          <w:szCs w:val="24"/>
          <w:lang w:val="pt-BR" w:eastAsia="es-ES"/>
        </w:rPr>
        <w:t>.</w:t>
      </w:r>
      <w:r w:rsidR="000A52D5" w:rsidRPr="00D5464D">
        <w:rPr>
          <w:rFonts w:eastAsia="Batang" w:cs="Times"/>
          <w:szCs w:val="24"/>
          <w:vertAlign w:val="superscript"/>
          <w:lang w:val="pt-BR" w:eastAsia="es-ES"/>
        </w:rPr>
        <w:footnoteReference w:id="47"/>
      </w:r>
    </w:p>
    <w:p w14:paraId="4935273D" w14:textId="77777777" w:rsidR="00D65024" w:rsidRPr="00D5464D" w:rsidRDefault="00D65024" w:rsidP="00D65024">
      <w:pPr>
        <w:tabs>
          <w:tab w:val="clear" w:pos="4419"/>
          <w:tab w:val="clear" w:pos="8838"/>
        </w:tabs>
        <w:jc w:val="both"/>
        <w:rPr>
          <w:rFonts w:eastAsia="Batang" w:cs="Times"/>
          <w:szCs w:val="24"/>
          <w:lang w:val="pt-BR" w:eastAsia="es-ES"/>
        </w:rPr>
      </w:pPr>
    </w:p>
    <w:p w14:paraId="290EF4C0" w14:textId="658CA060" w:rsidR="000A52D5" w:rsidRPr="00D5464D" w:rsidRDefault="00470AD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A </w:t>
      </w:r>
      <w:r w:rsidR="000A52D5" w:rsidRPr="00D5464D">
        <w:rPr>
          <w:rFonts w:eastAsia="Batang" w:cs="Times"/>
          <w:szCs w:val="24"/>
          <w:lang w:val="pt-BR" w:eastAsia="es-ES"/>
        </w:rPr>
        <w:t xml:space="preserve">Corte </w:t>
      </w:r>
      <w:r w:rsidR="00E045D9" w:rsidRPr="00D5464D">
        <w:rPr>
          <w:rFonts w:eastAsia="Batang" w:cs="Times"/>
          <w:szCs w:val="24"/>
          <w:lang w:val="pt-BR" w:eastAsia="es-ES"/>
        </w:rPr>
        <w:t>recorda</w:t>
      </w:r>
      <w:r w:rsidR="000A52D5" w:rsidRPr="00D5464D">
        <w:rPr>
          <w:rFonts w:eastAsia="Batang" w:cs="Times"/>
          <w:szCs w:val="24"/>
          <w:lang w:val="pt-BR" w:eastAsia="es-ES"/>
        </w:rPr>
        <w:t xml:space="preserve"> que</w:t>
      </w:r>
      <w:r w:rsidR="004233D4" w:rsidRPr="00D5464D">
        <w:rPr>
          <w:rFonts w:eastAsia="Batang" w:cs="Times"/>
          <w:szCs w:val="24"/>
          <w:lang w:val="pt-BR" w:eastAsia="es-ES"/>
        </w:rPr>
        <w:t>,</w:t>
      </w:r>
      <w:r w:rsidR="000A52D5" w:rsidRPr="00D5464D">
        <w:rPr>
          <w:rFonts w:eastAsia="Batang" w:cs="Times"/>
          <w:szCs w:val="24"/>
          <w:lang w:val="pt-BR" w:eastAsia="es-ES"/>
        </w:rPr>
        <w:t xml:space="preserve"> </w:t>
      </w:r>
      <w:r w:rsidR="002C330E" w:rsidRPr="00D5464D">
        <w:rPr>
          <w:rFonts w:eastAsia="Batang" w:cs="Times"/>
          <w:szCs w:val="24"/>
          <w:lang w:val="pt-BR" w:eastAsia="es-ES"/>
        </w:rPr>
        <w:t>independente</w:t>
      </w:r>
      <w:r w:rsidR="000A52D5" w:rsidRPr="00D5464D">
        <w:rPr>
          <w:rFonts w:eastAsia="Batang" w:cs="Times"/>
          <w:szCs w:val="24"/>
          <w:lang w:val="pt-BR" w:eastAsia="es-ES"/>
        </w:rPr>
        <w:t>mente de que</w:t>
      </w:r>
      <w:r w:rsidRPr="00D5464D">
        <w:rPr>
          <w:rFonts w:eastAsia="Batang" w:cs="Times"/>
          <w:szCs w:val="24"/>
          <w:lang w:val="pt-BR" w:eastAsia="es-ES"/>
        </w:rPr>
        <w:t xml:space="preserve"> o </w:t>
      </w:r>
      <w:r w:rsidR="000A52D5" w:rsidRPr="00D5464D">
        <w:rPr>
          <w:rFonts w:eastAsia="Batang" w:cs="Times"/>
          <w:szCs w:val="24"/>
          <w:lang w:val="pt-BR" w:eastAsia="es-ES"/>
        </w:rPr>
        <w:t>Estado defina</w:t>
      </w:r>
      <w:r w:rsidR="00E045D9" w:rsidRPr="00D5464D">
        <w:rPr>
          <w:rFonts w:eastAsia="Batang" w:cs="Times"/>
          <w:szCs w:val="24"/>
          <w:lang w:val="pt-BR" w:eastAsia="es-ES"/>
        </w:rPr>
        <w:t xml:space="preserve"> um </w:t>
      </w:r>
      <w:r w:rsidR="004233D4" w:rsidRPr="00D5464D">
        <w:rPr>
          <w:rFonts w:eastAsia="Batang" w:cs="Times"/>
          <w:szCs w:val="24"/>
          <w:lang w:val="pt-BR" w:eastAsia="es-ES"/>
        </w:rPr>
        <w:t>argumento c</w:t>
      </w:r>
      <w:r w:rsidR="000A52D5" w:rsidRPr="00D5464D">
        <w:rPr>
          <w:rFonts w:eastAsia="Batang" w:cs="Times"/>
          <w:szCs w:val="24"/>
          <w:lang w:val="pt-BR" w:eastAsia="es-ES"/>
        </w:rPr>
        <w:t>omo “</w:t>
      </w:r>
      <w:r w:rsidRPr="00D5464D">
        <w:rPr>
          <w:rFonts w:eastAsia="Batang" w:cs="Times"/>
          <w:szCs w:val="24"/>
          <w:lang w:val="pt-BR" w:eastAsia="es-ES"/>
        </w:rPr>
        <w:t>exceção</w:t>
      </w:r>
      <w:r w:rsidR="000A52D5" w:rsidRPr="00D5464D">
        <w:rPr>
          <w:rFonts w:eastAsia="Batang" w:cs="Times"/>
          <w:szCs w:val="24"/>
          <w:lang w:val="pt-BR" w:eastAsia="es-ES"/>
        </w:rPr>
        <w:t xml:space="preserve"> preliminar”,</w:t>
      </w:r>
      <w:r w:rsidR="002C330E" w:rsidRPr="00D5464D">
        <w:rPr>
          <w:rFonts w:eastAsia="Batang" w:cs="Times"/>
          <w:szCs w:val="24"/>
          <w:lang w:val="pt-BR" w:eastAsia="es-ES"/>
        </w:rPr>
        <w:t xml:space="preserve"> se </w:t>
      </w:r>
      <w:r w:rsidRPr="00D5464D">
        <w:rPr>
          <w:rFonts w:eastAsia="Batang" w:cs="Times"/>
          <w:szCs w:val="24"/>
          <w:lang w:val="pt-BR" w:eastAsia="es-ES"/>
        </w:rPr>
        <w:t>ao analisar</w:t>
      </w:r>
      <w:r w:rsidR="00E045D9" w:rsidRPr="00D5464D">
        <w:rPr>
          <w:rFonts w:eastAsia="Batang" w:cs="Times"/>
          <w:szCs w:val="24"/>
          <w:lang w:val="pt-BR" w:eastAsia="es-ES"/>
        </w:rPr>
        <w:t xml:space="preserve"> tais </w:t>
      </w:r>
      <w:r w:rsidR="004233D4" w:rsidRPr="00D5464D">
        <w:rPr>
          <w:rFonts w:eastAsia="Batang" w:cs="Times"/>
          <w:szCs w:val="24"/>
          <w:lang w:val="pt-BR" w:eastAsia="es-ES"/>
        </w:rPr>
        <w:t xml:space="preserve">argumentos </w:t>
      </w:r>
      <w:r w:rsidR="00C91CB1" w:rsidRPr="00D5464D">
        <w:rPr>
          <w:rFonts w:eastAsia="Batang" w:cs="Times"/>
          <w:szCs w:val="24"/>
          <w:lang w:val="pt-BR" w:eastAsia="es-ES"/>
        </w:rPr>
        <w:t xml:space="preserve">for </w:t>
      </w:r>
      <w:r w:rsidR="002C330E" w:rsidRPr="00D5464D">
        <w:rPr>
          <w:rFonts w:eastAsia="Batang" w:cs="Times"/>
          <w:szCs w:val="24"/>
          <w:lang w:val="pt-BR" w:eastAsia="es-ES"/>
        </w:rPr>
        <w:t>necessári</w:t>
      </w:r>
      <w:r w:rsidR="000A52D5" w:rsidRPr="00D5464D">
        <w:rPr>
          <w:rFonts w:eastAsia="Batang" w:cs="Times"/>
          <w:szCs w:val="24"/>
          <w:lang w:val="pt-BR" w:eastAsia="es-ES"/>
        </w:rPr>
        <w:t xml:space="preserve">o </w:t>
      </w:r>
      <w:r w:rsidR="00A47282" w:rsidRPr="00D5464D">
        <w:rPr>
          <w:rFonts w:eastAsia="Batang" w:cs="Times"/>
          <w:szCs w:val="24"/>
          <w:lang w:val="pt-BR" w:eastAsia="es-ES"/>
        </w:rPr>
        <w:t>adentrar previamente n</w:t>
      </w:r>
      <w:r w:rsidRPr="00D5464D">
        <w:rPr>
          <w:rFonts w:eastAsia="Batang" w:cs="Times"/>
          <w:szCs w:val="24"/>
          <w:lang w:val="pt-BR" w:eastAsia="es-ES"/>
        </w:rPr>
        <w:t>o mérito</w:t>
      </w:r>
      <w:r w:rsidR="000A52D5" w:rsidRPr="00D5464D">
        <w:rPr>
          <w:rFonts w:eastAsia="Batang" w:cs="Times"/>
          <w:szCs w:val="24"/>
          <w:lang w:val="pt-BR" w:eastAsia="es-ES"/>
        </w:rPr>
        <w:t xml:space="preserve"> de</w:t>
      </w:r>
      <w:r w:rsidR="00E045D9" w:rsidRPr="00D5464D">
        <w:rPr>
          <w:rFonts w:eastAsia="Batang" w:cs="Times"/>
          <w:szCs w:val="24"/>
          <w:lang w:val="pt-BR" w:eastAsia="es-ES"/>
        </w:rPr>
        <w:t xml:space="preserve"> um </w:t>
      </w:r>
      <w:r w:rsidR="000A52D5" w:rsidRPr="00D5464D">
        <w:rPr>
          <w:rFonts w:eastAsia="Batang" w:cs="Times"/>
          <w:szCs w:val="24"/>
          <w:lang w:val="pt-BR" w:eastAsia="es-ES"/>
        </w:rPr>
        <w:t>caso,</w:t>
      </w:r>
      <w:r w:rsidR="004233D4" w:rsidRPr="00D5464D">
        <w:rPr>
          <w:rFonts w:eastAsia="Batang" w:cs="Times"/>
          <w:szCs w:val="24"/>
          <w:lang w:val="pt-BR" w:eastAsia="es-ES"/>
        </w:rPr>
        <w:t xml:space="preserve"> estas alegações </w:t>
      </w:r>
      <w:r w:rsidR="000A52D5" w:rsidRPr="00D5464D">
        <w:rPr>
          <w:rFonts w:eastAsia="Batang" w:cs="Times"/>
          <w:szCs w:val="24"/>
          <w:lang w:val="pt-BR" w:eastAsia="es-ES"/>
        </w:rPr>
        <w:t>perde</w:t>
      </w:r>
      <w:r w:rsidR="00350187" w:rsidRPr="00D5464D">
        <w:rPr>
          <w:rFonts w:eastAsia="Batang" w:cs="Times"/>
          <w:szCs w:val="24"/>
          <w:lang w:val="pt-BR" w:eastAsia="es-ES"/>
        </w:rPr>
        <w:t xml:space="preserve">m </w:t>
      </w:r>
      <w:r w:rsidR="00E045D9" w:rsidRPr="00D5464D">
        <w:rPr>
          <w:rFonts w:eastAsia="Batang" w:cs="Times"/>
          <w:szCs w:val="24"/>
          <w:lang w:val="pt-BR" w:eastAsia="es-ES"/>
        </w:rPr>
        <w:t>seu caráter</w:t>
      </w:r>
      <w:r w:rsidR="000A52D5" w:rsidRPr="00D5464D">
        <w:rPr>
          <w:rFonts w:eastAsia="Batang" w:cs="Times"/>
          <w:szCs w:val="24"/>
          <w:lang w:val="pt-BR" w:eastAsia="es-ES"/>
        </w:rPr>
        <w:t xml:space="preserve"> preliminar</w:t>
      </w:r>
      <w:r w:rsidR="00E045D9" w:rsidRPr="00D5464D">
        <w:rPr>
          <w:rFonts w:eastAsia="Batang" w:cs="Times"/>
          <w:szCs w:val="24"/>
          <w:lang w:val="pt-BR" w:eastAsia="es-ES"/>
        </w:rPr>
        <w:t xml:space="preserve"> e </w:t>
      </w:r>
      <w:r w:rsidR="00737270" w:rsidRPr="00D5464D">
        <w:rPr>
          <w:rFonts w:eastAsia="Batang" w:cs="Times"/>
          <w:szCs w:val="24"/>
          <w:lang w:val="pt-BR" w:eastAsia="es-ES"/>
        </w:rPr>
        <w:t xml:space="preserve">não </w:t>
      </w:r>
      <w:r w:rsidR="00A1358C" w:rsidRPr="00D5464D">
        <w:rPr>
          <w:rFonts w:eastAsia="Batang" w:cs="Times"/>
          <w:szCs w:val="24"/>
          <w:lang w:val="pt-BR" w:eastAsia="es-ES"/>
        </w:rPr>
        <w:t>podem</w:t>
      </w:r>
      <w:r w:rsidR="000A52D5" w:rsidRPr="00D5464D">
        <w:rPr>
          <w:rFonts w:eastAsia="Batang" w:cs="Times"/>
          <w:szCs w:val="24"/>
          <w:lang w:val="pt-BR" w:eastAsia="es-ES"/>
        </w:rPr>
        <w:t xml:space="preserve"> ser </w:t>
      </w:r>
      <w:r w:rsidRPr="00D5464D">
        <w:rPr>
          <w:rFonts w:eastAsia="Batang" w:cs="Times"/>
          <w:szCs w:val="24"/>
          <w:lang w:val="pt-BR" w:eastAsia="es-ES"/>
        </w:rPr>
        <w:t>analisad</w:t>
      </w:r>
      <w:r w:rsidR="004233D4" w:rsidRPr="00D5464D">
        <w:rPr>
          <w:rFonts w:eastAsia="Batang" w:cs="Times"/>
          <w:szCs w:val="24"/>
          <w:lang w:val="pt-BR" w:eastAsia="es-ES"/>
        </w:rPr>
        <w:t>a</w:t>
      </w:r>
      <w:r w:rsidR="000A52D5" w:rsidRPr="00D5464D">
        <w:rPr>
          <w:rFonts w:eastAsia="Batang" w:cs="Times"/>
          <w:szCs w:val="24"/>
          <w:lang w:val="pt-BR" w:eastAsia="es-ES"/>
        </w:rPr>
        <w:t xml:space="preserve">s como </w:t>
      </w:r>
      <w:r w:rsidR="00E045D9" w:rsidRPr="00D5464D">
        <w:rPr>
          <w:rFonts w:eastAsia="Batang" w:cs="Times"/>
          <w:szCs w:val="24"/>
          <w:lang w:val="pt-BR" w:eastAsia="es-ES"/>
        </w:rPr>
        <w:t>tais</w:t>
      </w:r>
      <w:r w:rsidR="004233D4" w:rsidRPr="00D5464D">
        <w:rPr>
          <w:rFonts w:eastAsia="Batang" w:cs="Times"/>
          <w:szCs w:val="24"/>
          <w:lang w:val="pt-BR" w:eastAsia="es-ES"/>
        </w:rPr>
        <w:t>.</w:t>
      </w:r>
      <w:r w:rsidR="000A52D5" w:rsidRPr="00D5464D">
        <w:rPr>
          <w:rFonts w:eastAsia="Batang" w:cs="Times"/>
          <w:szCs w:val="24"/>
          <w:vertAlign w:val="superscript"/>
          <w:lang w:val="pt-BR" w:eastAsia="es-ES"/>
        </w:rPr>
        <w:footnoteReference w:id="48"/>
      </w:r>
      <w:r w:rsidR="000A52D5" w:rsidRPr="00D5464D">
        <w:rPr>
          <w:rFonts w:eastAsia="Batang" w:cs="Times"/>
          <w:szCs w:val="24"/>
          <w:lang w:val="pt-BR" w:eastAsia="es-ES"/>
        </w:rPr>
        <w:t xml:space="preserve"> </w:t>
      </w:r>
    </w:p>
    <w:p w14:paraId="3DD020AC" w14:textId="77777777" w:rsidR="003C0330" w:rsidRPr="00D5464D" w:rsidRDefault="003C0330" w:rsidP="00140440">
      <w:pPr>
        <w:tabs>
          <w:tab w:val="clear" w:pos="4419"/>
          <w:tab w:val="clear" w:pos="8838"/>
        </w:tabs>
        <w:jc w:val="both"/>
        <w:rPr>
          <w:rFonts w:eastAsia="Batang" w:cs="Times"/>
          <w:szCs w:val="24"/>
          <w:lang w:val="pt-BR" w:eastAsia="es-ES"/>
        </w:rPr>
      </w:pPr>
    </w:p>
    <w:p w14:paraId="748245CA" w14:textId="76A02E55" w:rsidR="000A52D5" w:rsidRPr="00D5464D" w:rsidRDefault="00EB07F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E</w:t>
      </w:r>
      <w:r w:rsidR="003C0330" w:rsidRPr="00D5464D">
        <w:rPr>
          <w:rFonts w:eastAsia="Batang" w:cs="Times"/>
          <w:szCs w:val="24"/>
          <w:lang w:val="pt-BR" w:eastAsia="es-ES"/>
        </w:rPr>
        <w:t xml:space="preserve">sta Corte </w:t>
      </w:r>
      <w:r w:rsidR="002C330E" w:rsidRPr="00D5464D">
        <w:rPr>
          <w:rFonts w:eastAsia="Batang" w:cs="Times"/>
          <w:szCs w:val="24"/>
          <w:lang w:val="pt-BR" w:eastAsia="es-ES"/>
        </w:rPr>
        <w:t>estabeleceu</w:t>
      </w:r>
      <w:r w:rsidR="003C0330" w:rsidRPr="00D5464D">
        <w:rPr>
          <w:rFonts w:eastAsia="Batang" w:cs="Times"/>
          <w:szCs w:val="24"/>
          <w:lang w:val="pt-BR" w:eastAsia="es-ES"/>
        </w:rPr>
        <w:t xml:space="preserve"> que</w:t>
      </w:r>
      <w:r w:rsidR="00A47282" w:rsidRPr="00D5464D">
        <w:rPr>
          <w:rFonts w:eastAsia="Batang" w:cs="Times"/>
          <w:szCs w:val="24"/>
          <w:lang w:val="pt-BR" w:eastAsia="es-ES"/>
        </w:rPr>
        <w:t>,</w:t>
      </w:r>
      <w:r w:rsidR="003C0330" w:rsidRPr="00D5464D">
        <w:rPr>
          <w:rFonts w:eastAsia="Batang" w:cs="Times"/>
          <w:szCs w:val="24"/>
          <w:lang w:val="pt-BR" w:eastAsia="es-ES"/>
        </w:rPr>
        <w:t xml:space="preserve"> para que</w:t>
      </w:r>
      <w:r w:rsidR="002C330E" w:rsidRPr="00D5464D">
        <w:rPr>
          <w:rFonts w:eastAsia="Batang" w:cs="Times"/>
          <w:szCs w:val="24"/>
          <w:lang w:val="pt-BR" w:eastAsia="es-ES"/>
        </w:rPr>
        <w:t xml:space="preserve"> a </w:t>
      </w:r>
      <w:r w:rsidR="00470ADC" w:rsidRPr="00D5464D">
        <w:rPr>
          <w:rFonts w:eastAsia="Batang" w:cs="Times"/>
          <w:szCs w:val="24"/>
          <w:lang w:val="pt-BR" w:eastAsia="es-ES"/>
        </w:rPr>
        <w:t>exceção</w:t>
      </w:r>
      <w:r w:rsidR="003C0330" w:rsidRPr="00D5464D">
        <w:rPr>
          <w:rFonts w:eastAsia="Batang" w:cs="Times"/>
          <w:szCs w:val="24"/>
          <w:lang w:val="pt-BR" w:eastAsia="es-ES"/>
        </w:rPr>
        <w:t xml:space="preserve"> de </w:t>
      </w:r>
      <w:r w:rsidR="00230C71" w:rsidRPr="00D5464D">
        <w:rPr>
          <w:rFonts w:eastAsia="Batang" w:cs="Times"/>
          <w:szCs w:val="24"/>
          <w:lang w:val="pt-BR" w:eastAsia="es-ES"/>
        </w:rPr>
        <w:t>quarta</w:t>
      </w:r>
      <w:r w:rsidR="003C0330" w:rsidRPr="00D5464D">
        <w:rPr>
          <w:rFonts w:eastAsia="Batang" w:cs="Times"/>
          <w:szCs w:val="24"/>
          <w:lang w:val="pt-BR" w:eastAsia="es-ES"/>
        </w:rPr>
        <w:t xml:space="preserve"> </w:t>
      </w:r>
      <w:r w:rsidR="002C330E" w:rsidRPr="00D5464D">
        <w:rPr>
          <w:rFonts w:eastAsia="Batang" w:cs="Times"/>
          <w:szCs w:val="24"/>
          <w:lang w:val="pt-BR" w:eastAsia="es-ES"/>
        </w:rPr>
        <w:t xml:space="preserve">instância seja </w:t>
      </w:r>
      <w:r w:rsidR="003C0330" w:rsidRPr="00D5464D">
        <w:rPr>
          <w:rFonts w:eastAsia="Batang" w:cs="Times"/>
          <w:szCs w:val="24"/>
          <w:lang w:val="pt-BR" w:eastAsia="es-ES"/>
        </w:rPr>
        <w:t xml:space="preserve">procedente, </w:t>
      </w:r>
      <w:r w:rsidR="00737270" w:rsidRPr="00D5464D">
        <w:rPr>
          <w:rFonts w:eastAsia="Batang" w:cs="Times"/>
          <w:szCs w:val="24"/>
          <w:lang w:val="pt-BR" w:eastAsia="es-ES"/>
        </w:rPr>
        <w:t xml:space="preserve">“é </w:t>
      </w:r>
      <w:r w:rsidR="002C330E" w:rsidRPr="00D5464D">
        <w:rPr>
          <w:rFonts w:eastAsia="Batang" w:cs="Times"/>
          <w:szCs w:val="24"/>
          <w:lang w:val="pt-BR" w:eastAsia="es-ES"/>
        </w:rPr>
        <w:t>necessári</w:t>
      </w:r>
      <w:r w:rsidR="003C0330" w:rsidRPr="00D5464D">
        <w:rPr>
          <w:rFonts w:eastAsia="Batang" w:cs="Times"/>
          <w:szCs w:val="24"/>
          <w:lang w:val="pt-BR" w:eastAsia="es-ES"/>
        </w:rPr>
        <w:t>o que</w:t>
      </w:r>
      <w:r w:rsidR="00470ADC" w:rsidRPr="00D5464D">
        <w:rPr>
          <w:rFonts w:eastAsia="Batang" w:cs="Times"/>
          <w:szCs w:val="24"/>
          <w:lang w:val="pt-BR" w:eastAsia="es-ES"/>
        </w:rPr>
        <w:t xml:space="preserve"> o </w:t>
      </w:r>
      <w:r w:rsidR="00A1358C" w:rsidRPr="00D5464D">
        <w:rPr>
          <w:rFonts w:eastAsia="Batang" w:cs="Times"/>
          <w:szCs w:val="24"/>
          <w:lang w:val="pt-BR" w:eastAsia="es-ES"/>
        </w:rPr>
        <w:t>solicitante</w:t>
      </w:r>
      <w:r w:rsidR="003C0330" w:rsidRPr="00D5464D">
        <w:rPr>
          <w:rFonts w:eastAsia="Batang" w:cs="Times"/>
          <w:szCs w:val="24"/>
          <w:lang w:val="pt-BR" w:eastAsia="es-ES"/>
        </w:rPr>
        <w:t xml:space="preserve"> busque </w:t>
      </w:r>
      <w:r w:rsidR="00A47282" w:rsidRPr="00D5464D">
        <w:rPr>
          <w:rFonts w:eastAsia="Batang" w:cs="Times"/>
          <w:szCs w:val="24"/>
          <w:lang w:val="pt-BR" w:eastAsia="es-ES"/>
        </w:rPr>
        <w:t>n</w:t>
      </w:r>
      <w:r w:rsidR="002C330E" w:rsidRPr="00D5464D">
        <w:rPr>
          <w:rFonts w:eastAsia="Batang" w:cs="Times"/>
          <w:szCs w:val="24"/>
          <w:lang w:val="pt-BR" w:eastAsia="es-ES"/>
        </w:rPr>
        <w:t xml:space="preserve">a </w:t>
      </w:r>
      <w:r w:rsidR="003C0330" w:rsidRPr="00D5464D">
        <w:rPr>
          <w:rFonts w:eastAsia="Batang" w:cs="Times"/>
          <w:szCs w:val="24"/>
          <w:lang w:val="pt-BR" w:eastAsia="es-ES"/>
        </w:rPr>
        <w:t xml:space="preserve">Corte </w:t>
      </w:r>
      <w:r w:rsidR="00A47282" w:rsidRPr="00D5464D">
        <w:rPr>
          <w:rFonts w:eastAsia="Batang" w:cs="Times"/>
          <w:szCs w:val="24"/>
          <w:lang w:val="pt-BR" w:eastAsia="es-ES"/>
        </w:rPr>
        <w:t>a revisão d</w:t>
      </w:r>
      <w:r w:rsidR="00EB1CE9" w:rsidRPr="00D5464D">
        <w:rPr>
          <w:rFonts w:eastAsia="Batang" w:cs="Times"/>
          <w:szCs w:val="24"/>
          <w:lang w:val="pt-BR" w:eastAsia="es-ES"/>
        </w:rPr>
        <w:t>a decisão</w:t>
      </w:r>
      <w:r w:rsidR="003C0330" w:rsidRPr="00D5464D">
        <w:rPr>
          <w:rFonts w:eastAsia="Batang" w:cs="Times"/>
          <w:szCs w:val="24"/>
          <w:lang w:val="pt-BR" w:eastAsia="es-ES"/>
        </w:rPr>
        <w:t xml:space="preserve"> de</w:t>
      </w:r>
      <w:r w:rsidR="00E045D9" w:rsidRPr="00D5464D">
        <w:rPr>
          <w:rFonts w:eastAsia="Batang" w:cs="Times"/>
          <w:szCs w:val="24"/>
          <w:lang w:val="pt-BR" w:eastAsia="es-ES"/>
        </w:rPr>
        <w:t xml:space="preserve"> um </w:t>
      </w:r>
      <w:r w:rsidR="003C0330" w:rsidRPr="00D5464D">
        <w:rPr>
          <w:rFonts w:eastAsia="Batang" w:cs="Times"/>
          <w:szCs w:val="24"/>
          <w:lang w:val="pt-BR" w:eastAsia="es-ES"/>
        </w:rPr>
        <w:t>tribunal interno</w:t>
      </w:r>
      <w:r w:rsidR="00470ADC" w:rsidRPr="00D5464D">
        <w:rPr>
          <w:rFonts w:eastAsia="Batang" w:cs="Times"/>
          <w:szCs w:val="24"/>
          <w:lang w:val="pt-BR" w:eastAsia="es-ES"/>
        </w:rPr>
        <w:t xml:space="preserve"> em </w:t>
      </w:r>
      <w:r w:rsidR="00E045D9" w:rsidRPr="00D5464D">
        <w:rPr>
          <w:rFonts w:eastAsia="Batang" w:cs="Times"/>
          <w:szCs w:val="24"/>
          <w:lang w:val="pt-BR" w:eastAsia="es-ES"/>
        </w:rPr>
        <w:t xml:space="preserve">virtude </w:t>
      </w:r>
      <w:r w:rsidR="003C0330" w:rsidRPr="00D5464D">
        <w:rPr>
          <w:rFonts w:eastAsia="Batang" w:cs="Times"/>
          <w:szCs w:val="24"/>
          <w:lang w:val="pt-BR" w:eastAsia="es-ES"/>
        </w:rPr>
        <w:t>de su</w:t>
      </w:r>
      <w:r w:rsidR="004233D4" w:rsidRPr="00D5464D">
        <w:rPr>
          <w:rFonts w:eastAsia="Batang" w:cs="Times"/>
          <w:szCs w:val="24"/>
          <w:lang w:val="pt-BR" w:eastAsia="es-ES"/>
        </w:rPr>
        <w:t>a</w:t>
      </w:r>
      <w:r w:rsidR="003C0330" w:rsidRPr="00D5464D">
        <w:rPr>
          <w:rFonts w:eastAsia="Batang" w:cs="Times"/>
          <w:szCs w:val="24"/>
          <w:lang w:val="pt-BR" w:eastAsia="es-ES"/>
        </w:rPr>
        <w:t xml:space="preserve"> in</w:t>
      </w:r>
      <w:r w:rsidR="00230C71" w:rsidRPr="00D5464D">
        <w:rPr>
          <w:rFonts w:eastAsia="Batang" w:cs="Times"/>
          <w:szCs w:val="24"/>
          <w:lang w:val="pt-BR" w:eastAsia="es-ES"/>
        </w:rPr>
        <w:t>corret</w:t>
      </w:r>
      <w:r w:rsidR="003C0330" w:rsidRPr="00D5464D">
        <w:rPr>
          <w:rFonts w:eastAsia="Batang" w:cs="Times"/>
          <w:szCs w:val="24"/>
          <w:lang w:val="pt-BR" w:eastAsia="es-ES"/>
        </w:rPr>
        <w:t>a aprecia</w:t>
      </w:r>
      <w:r w:rsidR="00470ADC" w:rsidRPr="00D5464D">
        <w:rPr>
          <w:rFonts w:eastAsia="Batang" w:cs="Times"/>
          <w:szCs w:val="24"/>
          <w:lang w:val="pt-BR" w:eastAsia="es-ES"/>
        </w:rPr>
        <w:t xml:space="preserve">ção da </w:t>
      </w:r>
      <w:r w:rsidR="002C330E" w:rsidRPr="00D5464D">
        <w:rPr>
          <w:rFonts w:eastAsia="Batang" w:cs="Times"/>
          <w:szCs w:val="24"/>
          <w:lang w:val="pt-BR" w:eastAsia="es-ES"/>
        </w:rPr>
        <w:t>prova</w:t>
      </w:r>
      <w:r w:rsidR="003C0330" w:rsidRPr="00D5464D">
        <w:rPr>
          <w:rFonts w:eastAsia="Batang" w:cs="Times"/>
          <w:szCs w:val="24"/>
          <w:lang w:val="pt-BR" w:eastAsia="es-ES"/>
        </w:rPr>
        <w:t>,</w:t>
      </w:r>
      <w:r w:rsidR="002C330E" w:rsidRPr="00D5464D">
        <w:rPr>
          <w:rFonts w:eastAsia="Batang" w:cs="Times"/>
          <w:szCs w:val="24"/>
          <w:lang w:val="pt-BR" w:eastAsia="es-ES"/>
        </w:rPr>
        <w:t xml:space="preserve"> </w:t>
      </w:r>
      <w:r w:rsidR="004233D4" w:rsidRPr="00D5464D">
        <w:rPr>
          <w:rFonts w:eastAsia="Batang" w:cs="Times"/>
          <w:szCs w:val="24"/>
          <w:lang w:val="pt-BR" w:eastAsia="es-ES"/>
        </w:rPr>
        <w:t>d</w:t>
      </w:r>
      <w:r w:rsidR="002C330E" w:rsidRPr="00D5464D">
        <w:rPr>
          <w:rFonts w:eastAsia="Batang" w:cs="Times"/>
          <w:szCs w:val="24"/>
          <w:lang w:val="pt-BR" w:eastAsia="es-ES"/>
        </w:rPr>
        <w:t>os fatos</w:t>
      </w:r>
      <w:r w:rsidR="003C0330" w:rsidRPr="00D5464D">
        <w:rPr>
          <w:rFonts w:eastAsia="Batang" w:cs="Times"/>
          <w:szCs w:val="24"/>
          <w:lang w:val="pt-BR" w:eastAsia="es-ES"/>
        </w:rPr>
        <w:t xml:space="preserve"> o</w:t>
      </w:r>
      <w:r w:rsidR="004233D4" w:rsidRPr="00D5464D">
        <w:rPr>
          <w:rFonts w:eastAsia="Batang" w:cs="Times"/>
          <w:szCs w:val="24"/>
          <w:lang w:val="pt-BR" w:eastAsia="es-ES"/>
        </w:rPr>
        <w:t>u</w:t>
      </w:r>
      <w:r w:rsidR="00470ADC" w:rsidRPr="00D5464D">
        <w:rPr>
          <w:rFonts w:eastAsia="Batang" w:cs="Times"/>
          <w:szCs w:val="24"/>
          <w:lang w:val="pt-BR" w:eastAsia="es-ES"/>
        </w:rPr>
        <w:t xml:space="preserve"> </w:t>
      </w:r>
      <w:r w:rsidR="004233D4" w:rsidRPr="00D5464D">
        <w:rPr>
          <w:rFonts w:eastAsia="Batang" w:cs="Times"/>
          <w:szCs w:val="24"/>
          <w:lang w:val="pt-BR" w:eastAsia="es-ES"/>
        </w:rPr>
        <w:t>d</w:t>
      </w:r>
      <w:r w:rsidR="00470ADC" w:rsidRPr="00D5464D">
        <w:rPr>
          <w:rFonts w:eastAsia="Batang" w:cs="Times"/>
          <w:szCs w:val="24"/>
          <w:lang w:val="pt-BR" w:eastAsia="es-ES"/>
        </w:rPr>
        <w:t>o direito</w:t>
      </w:r>
      <w:r w:rsidR="003C0330" w:rsidRPr="00D5464D">
        <w:rPr>
          <w:rFonts w:eastAsia="Batang" w:cs="Times"/>
          <w:szCs w:val="24"/>
          <w:lang w:val="pt-BR" w:eastAsia="es-ES"/>
        </w:rPr>
        <w:t xml:space="preserve"> interno,</w:t>
      </w:r>
      <w:r w:rsidR="002C330E" w:rsidRPr="00D5464D">
        <w:rPr>
          <w:rFonts w:eastAsia="Batang" w:cs="Times"/>
          <w:szCs w:val="24"/>
          <w:lang w:val="pt-BR" w:eastAsia="es-ES"/>
        </w:rPr>
        <w:t xml:space="preserve"> sem </w:t>
      </w:r>
      <w:r w:rsidR="003C0330" w:rsidRPr="00D5464D">
        <w:rPr>
          <w:rFonts w:eastAsia="Batang" w:cs="Times"/>
          <w:szCs w:val="24"/>
          <w:lang w:val="pt-BR" w:eastAsia="es-ES"/>
        </w:rPr>
        <w:t>que,</w:t>
      </w:r>
      <w:r w:rsidR="00470ADC" w:rsidRPr="00D5464D">
        <w:rPr>
          <w:rFonts w:eastAsia="Batang" w:cs="Times"/>
          <w:szCs w:val="24"/>
          <w:lang w:val="pt-BR" w:eastAsia="es-ES"/>
        </w:rPr>
        <w:t xml:space="preserve"> </w:t>
      </w:r>
      <w:r w:rsidR="004233D4" w:rsidRPr="00D5464D">
        <w:rPr>
          <w:rFonts w:eastAsia="Batang" w:cs="Times"/>
          <w:szCs w:val="24"/>
          <w:lang w:val="pt-BR" w:eastAsia="es-ES"/>
        </w:rPr>
        <w:t xml:space="preserve">por sua vez, seja alegado </w:t>
      </w:r>
      <w:r w:rsidR="003C0330" w:rsidRPr="00D5464D">
        <w:rPr>
          <w:rFonts w:eastAsia="Batang" w:cs="Times"/>
          <w:szCs w:val="24"/>
          <w:lang w:val="pt-BR" w:eastAsia="es-ES"/>
        </w:rPr>
        <w:t xml:space="preserve">que tal </w:t>
      </w:r>
      <w:r w:rsidR="00470ADC" w:rsidRPr="00D5464D">
        <w:rPr>
          <w:rFonts w:eastAsia="Batang" w:cs="Times"/>
          <w:szCs w:val="24"/>
          <w:lang w:val="pt-BR" w:eastAsia="es-ES"/>
        </w:rPr>
        <w:t>decisão</w:t>
      </w:r>
      <w:r w:rsidR="003C0330" w:rsidRPr="00D5464D">
        <w:rPr>
          <w:rFonts w:eastAsia="Batang" w:cs="Times"/>
          <w:szCs w:val="24"/>
          <w:lang w:val="pt-BR" w:eastAsia="es-ES"/>
        </w:rPr>
        <w:t xml:space="preserve"> </w:t>
      </w:r>
      <w:r w:rsidR="00230C71" w:rsidRPr="00D5464D">
        <w:rPr>
          <w:rFonts w:eastAsia="Batang" w:cs="Times"/>
          <w:szCs w:val="24"/>
          <w:lang w:val="pt-BR" w:eastAsia="es-ES"/>
        </w:rPr>
        <w:t>incorreu</w:t>
      </w:r>
      <w:r w:rsidR="00470ADC" w:rsidRPr="00D5464D">
        <w:rPr>
          <w:rFonts w:eastAsia="Batang" w:cs="Times"/>
          <w:szCs w:val="24"/>
          <w:lang w:val="pt-BR" w:eastAsia="es-ES"/>
        </w:rPr>
        <w:t xml:space="preserve"> em</w:t>
      </w:r>
      <w:r w:rsidR="00E045D9" w:rsidRPr="00D5464D">
        <w:rPr>
          <w:rFonts w:eastAsia="Batang" w:cs="Times"/>
          <w:szCs w:val="24"/>
          <w:lang w:val="pt-BR" w:eastAsia="es-ES"/>
        </w:rPr>
        <w:t xml:space="preserve"> uma </w:t>
      </w:r>
      <w:r w:rsidR="003C0330" w:rsidRPr="00D5464D">
        <w:rPr>
          <w:rFonts w:eastAsia="Batang" w:cs="Times"/>
          <w:szCs w:val="24"/>
          <w:lang w:val="pt-BR" w:eastAsia="es-ES"/>
        </w:rPr>
        <w:t>viola</w:t>
      </w:r>
      <w:r w:rsidR="00470ADC" w:rsidRPr="00D5464D">
        <w:rPr>
          <w:rFonts w:eastAsia="Batang" w:cs="Times"/>
          <w:szCs w:val="24"/>
          <w:lang w:val="pt-BR" w:eastAsia="es-ES"/>
        </w:rPr>
        <w:t>ção</w:t>
      </w:r>
      <w:r w:rsidR="003C0330" w:rsidRPr="00D5464D">
        <w:rPr>
          <w:rFonts w:eastAsia="Batang" w:cs="Times"/>
          <w:szCs w:val="24"/>
          <w:lang w:val="pt-BR" w:eastAsia="es-ES"/>
        </w:rPr>
        <w:t xml:space="preserve"> de tratados </w:t>
      </w:r>
      <w:r w:rsidR="002C330E" w:rsidRPr="00D5464D">
        <w:rPr>
          <w:rFonts w:eastAsia="Batang" w:cs="Times"/>
          <w:szCs w:val="24"/>
          <w:lang w:val="pt-BR" w:eastAsia="es-ES"/>
        </w:rPr>
        <w:t>internacionais</w:t>
      </w:r>
      <w:r w:rsidR="003C0330" w:rsidRPr="00D5464D">
        <w:rPr>
          <w:rFonts w:eastAsia="Batang" w:cs="Times"/>
          <w:szCs w:val="24"/>
          <w:lang w:val="pt-BR" w:eastAsia="es-ES"/>
        </w:rPr>
        <w:t xml:space="preserve"> </w:t>
      </w:r>
      <w:r w:rsidR="002C330E" w:rsidRPr="00D5464D">
        <w:rPr>
          <w:rFonts w:eastAsia="Batang" w:cs="Times"/>
          <w:szCs w:val="24"/>
          <w:lang w:val="pt-BR" w:eastAsia="es-ES"/>
        </w:rPr>
        <w:t>a respeito</w:t>
      </w:r>
      <w:r w:rsidR="00470ADC" w:rsidRPr="00D5464D">
        <w:rPr>
          <w:rFonts w:eastAsia="Batang" w:cs="Times"/>
          <w:szCs w:val="24"/>
          <w:lang w:val="pt-BR" w:eastAsia="es-ES"/>
        </w:rPr>
        <w:t xml:space="preserve"> dos </w:t>
      </w:r>
      <w:r w:rsidR="004233D4" w:rsidRPr="00D5464D">
        <w:rPr>
          <w:rFonts w:eastAsia="Batang" w:cs="Times"/>
          <w:szCs w:val="24"/>
          <w:lang w:val="pt-BR" w:eastAsia="es-ES"/>
        </w:rPr>
        <w:t>quais</w:t>
      </w:r>
      <w:r w:rsidR="003C0330" w:rsidRPr="00D5464D">
        <w:rPr>
          <w:rFonts w:eastAsia="Batang" w:cs="Times"/>
          <w:szCs w:val="24"/>
          <w:lang w:val="pt-BR" w:eastAsia="es-ES"/>
        </w:rPr>
        <w:t xml:space="preserve"> </w:t>
      </w:r>
      <w:r w:rsidR="00470ADC" w:rsidRPr="00D5464D">
        <w:rPr>
          <w:rFonts w:eastAsia="Batang" w:cs="Times"/>
          <w:szCs w:val="24"/>
          <w:lang w:val="pt-BR" w:eastAsia="es-ES"/>
        </w:rPr>
        <w:t xml:space="preserve">o </w:t>
      </w:r>
      <w:r w:rsidR="003C0330" w:rsidRPr="00D5464D">
        <w:rPr>
          <w:rFonts w:eastAsia="Batang" w:cs="Times"/>
          <w:szCs w:val="24"/>
          <w:lang w:val="pt-BR" w:eastAsia="es-ES"/>
        </w:rPr>
        <w:t>Tribunal</w:t>
      </w:r>
      <w:r w:rsidR="004233D4" w:rsidRPr="00D5464D">
        <w:rPr>
          <w:rFonts w:eastAsia="Batang" w:cs="Times"/>
          <w:szCs w:val="24"/>
          <w:lang w:val="pt-BR" w:eastAsia="es-ES"/>
        </w:rPr>
        <w:t xml:space="preserve"> tenha competência</w:t>
      </w:r>
      <w:r w:rsidR="003C0330" w:rsidRPr="00D5464D">
        <w:rPr>
          <w:rFonts w:eastAsia="Batang" w:cs="Times"/>
          <w:szCs w:val="24"/>
          <w:lang w:val="pt-BR" w:eastAsia="es-ES"/>
        </w:rPr>
        <w:t xml:space="preserve">”. </w:t>
      </w:r>
      <w:r w:rsidR="004233D4" w:rsidRPr="00D5464D">
        <w:rPr>
          <w:rFonts w:eastAsia="Batang" w:cs="Times"/>
          <w:szCs w:val="24"/>
          <w:lang w:val="pt-BR" w:eastAsia="es-ES"/>
        </w:rPr>
        <w:t>Outrossim</w:t>
      </w:r>
      <w:r w:rsidR="003C0330" w:rsidRPr="00D5464D">
        <w:rPr>
          <w:rFonts w:eastAsia="Batang" w:cs="Times"/>
          <w:szCs w:val="24"/>
          <w:lang w:val="pt-BR" w:eastAsia="es-ES"/>
        </w:rPr>
        <w:t xml:space="preserve">, este Tribunal </w:t>
      </w:r>
      <w:r w:rsidR="002C330E" w:rsidRPr="00D5464D">
        <w:rPr>
          <w:rFonts w:eastAsia="Batang" w:cs="Times"/>
          <w:szCs w:val="24"/>
          <w:lang w:val="pt-BR" w:eastAsia="es-ES"/>
        </w:rPr>
        <w:t>estabeleceu</w:t>
      </w:r>
      <w:r w:rsidR="003C0330" w:rsidRPr="00D5464D">
        <w:rPr>
          <w:rFonts w:eastAsia="Batang" w:cs="Times"/>
          <w:szCs w:val="24"/>
          <w:lang w:val="pt-BR" w:eastAsia="es-ES"/>
        </w:rPr>
        <w:t xml:space="preserve"> que</w:t>
      </w:r>
      <w:r w:rsidRPr="00D5464D">
        <w:rPr>
          <w:rFonts w:eastAsia="Batang" w:cs="Times"/>
          <w:szCs w:val="24"/>
          <w:lang w:val="pt-BR" w:eastAsia="es-ES"/>
        </w:rPr>
        <w:t>,</w:t>
      </w:r>
      <w:r w:rsidR="00470ADC" w:rsidRPr="00D5464D">
        <w:rPr>
          <w:rFonts w:eastAsia="Batang" w:cs="Times"/>
          <w:szCs w:val="24"/>
          <w:lang w:val="pt-BR" w:eastAsia="es-ES"/>
        </w:rPr>
        <w:t xml:space="preserve"> ao </w:t>
      </w:r>
      <w:r w:rsidR="003C0330" w:rsidRPr="00D5464D">
        <w:rPr>
          <w:rFonts w:eastAsia="Batang" w:cs="Times"/>
          <w:szCs w:val="24"/>
          <w:lang w:val="pt-BR" w:eastAsia="es-ES"/>
        </w:rPr>
        <w:t>valo</w:t>
      </w:r>
      <w:r w:rsidR="00350187" w:rsidRPr="00D5464D">
        <w:rPr>
          <w:rFonts w:eastAsia="Batang" w:cs="Times"/>
          <w:szCs w:val="24"/>
          <w:lang w:val="pt-BR" w:eastAsia="es-ES"/>
        </w:rPr>
        <w:t>rar</w:t>
      </w:r>
      <w:r w:rsidR="00470ADC" w:rsidRPr="00D5464D">
        <w:rPr>
          <w:rFonts w:eastAsia="Batang" w:cs="Times"/>
          <w:szCs w:val="24"/>
          <w:lang w:val="pt-BR" w:eastAsia="es-ES"/>
        </w:rPr>
        <w:t xml:space="preserve"> o cumprimento</w:t>
      </w:r>
      <w:r w:rsidR="003C0330" w:rsidRPr="00D5464D">
        <w:rPr>
          <w:rFonts w:eastAsia="Batang" w:cs="Times"/>
          <w:szCs w:val="24"/>
          <w:lang w:val="pt-BR" w:eastAsia="es-ES"/>
        </w:rPr>
        <w:t xml:space="preserve"> de </w:t>
      </w:r>
      <w:r w:rsidR="00470ADC" w:rsidRPr="00D5464D">
        <w:rPr>
          <w:rFonts w:eastAsia="Batang" w:cs="Times"/>
          <w:szCs w:val="24"/>
          <w:lang w:val="pt-BR" w:eastAsia="es-ES"/>
        </w:rPr>
        <w:t>certa</w:t>
      </w:r>
      <w:r w:rsidR="003C0330" w:rsidRPr="00D5464D">
        <w:rPr>
          <w:rFonts w:eastAsia="Batang" w:cs="Times"/>
          <w:szCs w:val="24"/>
          <w:lang w:val="pt-BR" w:eastAsia="es-ES"/>
        </w:rPr>
        <w:t xml:space="preserve">s </w:t>
      </w:r>
      <w:r w:rsidR="002C330E" w:rsidRPr="00D5464D">
        <w:rPr>
          <w:rFonts w:eastAsia="Batang" w:cs="Times"/>
          <w:szCs w:val="24"/>
          <w:lang w:val="pt-BR" w:eastAsia="es-ES"/>
        </w:rPr>
        <w:t>obrigações</w:t>
      </w:r>
      <w:r w:rsidR="003C0330" w:rsidRPr="00D5464D">
        <w:rPr>
          <w:rFonts w:eastAsia="Batang" w:cs="Times"/>
          <w:szCs w:val="24"/>
          <w:lang w:val="pt-BR" w:eastAsia="es-ES"/>
        </w:rPr>
        <w:t xml:space="preserve"> </w:t>
      </w:r>
      <w:r w:rsidR="002C330E" w:rsidRPr="00D5464D">
        <w:rPr>
          <w:rFonts w:eastAsia="Batang" w:cs="Times"/>
          <w:szCs w:val="24"/>
          <w:lang w:val="pt-BR" w:eastAsia="es-ES"/>
        </w:rPr>
        <w:t>internacionais</w:t>
      </w:r>
      <w:r w:rsidRPr="00D5464D">
        <w:rPr>
          <w:rFonts w:eastAsia="Batang" w:cs="Times"/>
          <w:szCs w:val="24"/>
          <w:lang w:val="pt-BR" w:eastAsia="es-ES"/>
        </w:rPr>
        <w:t>,</w:t>
      </w:r>
      <w:r w:rsidR="003C0330" w:rsidRPr="00D5464D">
        <w:rPr>
          <w:rFonts w:eastAsia="Batang" w:cs="Times"/>
          <w:szCs w:val="24"/>
          <w:lang w:val="pt-BR" w:eastAsia="es-ES"/>
        </w:rPr>
        <w:t xml:space="preserve"> </w:t>
      </w:r>
      <w:r w:rsidR="002C330E" w:rsidRPr="00D5464D">
        <w:rPr>
          <w:rFonts w:eastAsia="Batang" w:cs="Times"/>
          <w:szCs w:val="24"/>
          <w:lang w:val="pt-BR" w:eastAsia="es-ES"/>
        </w:rPr>
        <w:t>pode</w:t>
      </w:r>
      <w:r w:rsidR="003C0330" w:rsidRPr="00D5464D">
        <w:rPr>
          <w:rFonts w:eastAsia="Batang" w:cs="Times"/>
          <w:szCs w:val="24"/>
          <w:lang w:val="pt-BR" w:eastAsia="es-ES"/>
        </w:rPr>
        <w:t xml:space="preserve"> </w:t>
      </w:r>
      <w:r w:rsidR="00A47282" w:rsidRPr="00D5464D">
        <w:rPr>
          <w:rFonts w:eastAsia="Batang" w:cs="Times"/>
          <w:szCs w:val="24"/>
          <w:lang w:val="pt-BR" w:eastAsia="es-ES"/>
        </w:rPr>
        <w:t xml:space="preserve">se </w:t>
      </w:r>
      <w:r w:rsidR="003C0330" w:rsidRPr="00D5464D">
        <w:rPr>
          <w:rFonts w:eastAsia="Batang" w:cs="Times"/>
          <w:szCs w:val="24"/>
          <w:lang w:val="pt-BR" w:eastAsia="es-ES"/>
        </w:rPr>
        <w:t>d</w:t>
      </w:r>
      <w:r w:rsidR="00C91CB1" w:rsidRPr="00D5464D">
        <w:rPr>
          <w:rFonts w:eastAsia="Batang" w:cs="Times"/>
          <w:szCs w:val="24"/>
          <w:lang w:val="pt-BR" w:eastAsia="es-ES"/>
        </w:rPr>
        <w:t xml:space="preserve">ar </w:t>
      </w:r>
      <w:r w:rsidR="00E045D9" w:rsidRPr="00D5464D">
        <w:rPr>
          <w:rFonts w:eastAsia="Batang" w:cs="Times"/>
          <w:szCs w:val="24"/>
          <w:lang w:val="pt-BR" w:eastAsia="es-ES"/>
        </w:rPr>
        <w:t xml:space="preserve">uma </w:t>
      </w:r>
      <w:r w:rsidR="003C0330" w:rsidRPr="00D5464D">
        <w:rPr>
          <w:rFonts w:eastAsia="Batang" w:cs="Times"/>
          <w:szCs w:val="24"/>
          <w:lang w:val="pt-BR" w:eastAsia="es-ES"/>
        </w:rPr>
        <w:t>intrínseca inter</w:t>
      </w:r>
      <w:r w:rsidR="004233D4" w:rsidRPr="00D5464D">
        <w:rPr>
          <w:rFonts w:eastAsia="Batang" w:cs="Times"/>
          <w:szCs w:val="24"/>
          <w:lang w:val="pt-BR" w:eastAsia="es-ES"/>
        </w:rPr>
        <w:t>-r</w:t>
      </w:r>
      <w:r w:rsidR="003C0330" w:rsidRPr="00D5464D">
        <w:rPr>
          <w:rFonts w:eastAsia="Batang" w:cs="Times"/>
          <w:szCs w:val="24"/>
          <w:lang w:val="pt-BR" w:eastAsia="es-ES"/>
        </w:rPr>
        <w:t>ela</w:t>
      </w:r>
      <w:r w:rsidR="00470ADC" w:rsidRPr="00D5464D">
        <w:rPr>
          <w:rFonts w:eastAsia="Batang" w:cs="Times"/>
          <w:szCs w:val="24"/>
          <w:lang w:val="pt-BR" w:eastAsia="es-ES"/>
        </w:rPr>
        <w:t>ção</w:t>
      </w:r>
      <w:r w:rsidR="003C0330" w:rsidRPr="00D5464D">
        <w:rPr>
          <w:rFonts w:eastAsia="Batang" w:cs="Times"/>
          <w:szCs w:val="24"/>
          <w:lang w:val="pt-BR" w:eastAsia="es-ES"/>
        </w:rPr>
        <w:t xml:space="preserve"> entre</w:t>
      </w:r>
      <w:r w:rsidR="00230C71" w:rsidRPr="00D5464D">
        <w:rPr>
          <w:rFonts w:eastAsia="Batang" w:cs="Times"/>
          <w:szCs w:val="24"/>
          <w:lang w:val="pt-BR" w:eastAsia="es-ES"/>
        </w:rPr>
        <w:t xml:space="preserve"> a análise</w:t>
      </w:r>
      <w:r w:rsidR="003C0330" w:rsidRPr="00D5464D">
        <w:rPr>
          <w:rFonts w:eastAsia="Batang" w:cs="Times"/>
          <w:szCs w:val="24"/>
          <w:lang w:val="pt-BR" w:eastAsia="es-ES"/>
        </w:rPr>
        <w:t xml:space="preserve"> d</w:t>
      </w:r>
      <w:r w:rsidR="004233D4" w:rsidRPr="00D5464D">
        <w:rPr>
          <w:rFonts w:eastAsia="Batang" w:cs="Times"/>
          <w:szCs w:val="24"/>
          <w:lang w:val="pt-BR" w:eastAsia="es-ES"/>
        </w:rPr>
        <w:t>o</w:t>
      </w:r>
      <w:r w:rsidR="003C0330" w:rsidRPr="00D5464D">
        <w:rPr>
          <w:rFonts w:eastAsia="Batang" w:cs="Times"/>
          <w:szCs w:val="24"/>
          <w:lang w:val="pt-BR" w:eastAsia="es-ES"/>
        </w:rPr>
        <w:t xml:space="preserve"> </w:t>
      </w:r>
      <w:r w:rsidR="00E765C2" w:rsidRPr="00D5464D">
        <w:rPr>
          <w:rFonts w:eastAsia="Batang" w:cs="Times"/>
          <w:szCs w:val="24"/>
          <w:lang w:val="pt-BR" w:eastAsia="es-ES"/>
        </w:rPr>
        <w:t>Direito Internacional</w:t>
      </w:r>
      <w:r w:rsidR="00E045D9" w:rsidRPr="00D5464D">
        <w:rPr>
          <w:rFonts w:eastAsia="Batang" w:cs="Times"/>
          <w:szCs w:val="24"/>
          <w:lang w:val="pt-BR" w:eastAsia="es-ES"/>
        </w:rPr>
        <w:t xml:space="preserve"> e </w:t>
      </w:r>
      <w:r w:rsidR="003C0330" w:rsidRPr="00D5464D">
        <w:rPr>
          <w:rFonts w:eastAsia="Batang" w:cs="Times"/>
          <w:szCs w:val="24"/>
          <w:lang w:val="pt-BR" w:eastAsia="es-ES"/>
        </w:rPr>
        <w:t>d</w:t>
      </w:r>
      <w:r w:rsidR="004233D4" w:rsidRPr="00D5464D">
        <w:rPr>
          <w:rFonts w:eastAsia="Batang" w:cs="Times"/>
          <w:szCs w:val="24"/>
          <w:lang w:val="pt-BR" w:eastAsia="es-ES"/>
        </w:rPr>
        <w:t>o</w:t>
      </w:r>
      <w:r w:rsidR="003C0330" w:rsidRPr="00D5464D">
        <w:rPr>
          <w:rFonts w:eastAsia="Batang" w:cs="Times"/>
          <w:szCs w:val="24"/>
          <w:lang w:val="pt-BR" w:eastAsia="es-ES"/>
        </w:rPr>
        <w:t xml:space="preserve"> </w:t>
      </w:r>
      <w:r w:rsidR="00470ADC" w:rsidRPr="00D5464D">
        <w:rPr>
          <w:rFonts w:eastAsia="Batang" w:cs="Times"/>
          <w:szCs w:val="24"/>
          <w:lang w:val="pt-BR" w:eastAsia="es-ES"/>
        </w:rPr>
        <w:t>direito</w:t>
      </w:r>
      <w:r w:rsidR="003C0330" w:rsidRPr="00D5464D">
        <w:rPr>
          <w:rFonts w:eastAsia="Batang" w:cs="Times"/>
          <w:szCs w:val="24"/>
          <w:lang w:val="pt-BR" w:eastAsia="es-ES"/>
        </w:rPr>
        <w:t xml:space="preserve"> interno. </w:t>
      </w:r>
      <w:r w:rsidR="00230C71" w:rsidRPr="00D5464D">
        <w:rPr>
          <w:rFonts w:eastAsia="Batang" w:cs="Times"/>
          <w:szCs w:val="24"/>
          <w:lang w:val="pt-BR" w:eastAsia="es-ES"/>
        </w:rPr>
        <w:t>Portanto,</w:t>
      </w:r>
      <w:r w:rsidR="002C330E" w:rsidRPr="00D5464D">
        <w:rPr>
          <w:rFonts w:eastAsia="Batang" w:cs="Times"/>
          <w:szCs w:val="24"/>
          <w:lang w:val="pt-BR" w:eastAsia="es-ES"/>
        </w:rPr>
        <w:t xml:space="preserve"> a </w:t>
      </w:r>
      <w:r w:rsidR="003C0330" w:rsidRPr="00D5464D">
        <w:rPr>
          <w:rFonts w:eastAsia="Batang" w:cs="Times"/>
          <w:szCs w:val="24"/>
          <w:lang w:val="pt-BR" w:eastAsia="es-ES"/>
        </w:rPr>
        <w:t>determina</w:t>
      </w:r>
      <w:r w:rsidR="00470ADC" w:rsidRPr="00D5464D">
        <w:rPr>
          <w:rFonts w:eastAsia="Batang" w:cs="Times"/>
          <w:szCs w:val="24"/>
          <w:lang w:val="pt-BR" w:eastAsia="es-ES"/>
        </w:rPr>
        <w:t>ção</w:t>
      </w:r>
      <w:r w:rsidR="003C0330" w:rsidRPr="00D5464D">
        <w:rPr>
          <w:rFonts w:eastAsia="Batang" w:cs="Times"/>
          <w:szCs w:val="24"/>
          <w:lang w:val="pt-BR" w:eastAsia="es-ES"/>
        </w:rPr>
        <w:t xml:space="preserve"> de</w:t>
      </w:r>
      <w:r w:rsidR="002C330E" w:rsidRPr="00D5464D">
        <w:rPr>
          <w:rFonts w:eastAsia="Batang" w:cs="Times"/>
          <w:szCs w:val="24"/>
          <w:lang w:val="pt-BR" w:eastAsia="es-ES"/>
        </w:rPr>
        <w:t xml:space="preserve"> se as </w:t>
      </w:r>
      <w:r w:rsidR="00470ADC" w:rsidRPr="00D5464D">
        <w:rPr>
          <w:rFonts w:eastAsia="Batang" w:cs="Times"/>
          <w:szCs w:val="24"/>
          <w:lang w:val="pt-BR" w:eastAsia="es-ES"/>
        </w:rPr>
        <w:t>atuações</w:t>
      </w:r>
      <w:r w:rsidR="003C0330" w:rsidRPr="00D5464D">
        <w:rPr>
          <w:rFonts w:eastAsia="Batang" w:cs="Times"/>
          <w:szCs w:val="24"/>
          <w:lang w:val="pt-BR" w:eastAsia="es-ES"/>
        </w:rPr>
        <w:t xml:space="preserve"> de </w:t>
      </w:r>
      <w:r w:rsidR="002C330E" w:rsidRPr="00D5464D">
        <w:rPr>
          <w:rFonts w:eastAsia="Batang" w:cs="Times"/>
          <w:szCs w:val="24"/>
          <w:lang w:val="pt-BR" w:eastAsia="es-ES"/>
        </w:rPr>
        <w:t>órgão</w:t>
      </w:r>
      <w:r w:rsidR="003C0330" w:rsidRPr="00D5464D">
        <w:rPr>
          <w:rFonts w:eastAsia="Batang" w:cs="Times"/>
          <w:szCs w:val="24"/>
          <w:lang w:val="pt-BR" w:eastAsia="es-ES"/>
        </w:rPr>
        <w:t xml:space="preserve">s </w:t>
      </w:r>
      <w:r w:rsidR="002C330E" w:rsidRPr="00D5464D">
        <w:rPr>
          <w:rFonts w:eastAsia="Batang" w:cs="Times"/>
          <w:szCs w:val="24"/>
          <w:lang w:val="pt-BR" w:eastAsia="es-ES"/>
        </w:rPr>
        <w:t>judiciais</w:t>
      </w:r>
      <w:r w:rsidR="003C0330" w:rsidRPr="00D5464D">
        <w:rPr>
          <w:rFonts w:eastAsia="Batang" w:cs="Times"/>
          <w:szCs w:val="24"/>
          <w:lang w:val="pt-BR" w:eastAsia="es-ES"/>
        </w:rPr>
        <w:t xml:space="preserve"> </w:t>
      </w:r>
      <w:r w:rsidR="00A1358C" w:rsidRPr="00D5464D">
        <w:rPr>
          <w:rFonts w:eastAsia="Batang" w:cs="Times"/>
          <w:szCs w:val="24"/>
          <w:lang w:val="pt-BR" w:eastAsia="es-ES"/>
        </w:rPr>
        <w:t>constituem</w:t>
      </w:r>
      <w:r w:rsidR="003C0330" w:rsidRPr="00D5464D">
        <w:rPr>
          <w:rFonts w:eastAsia="Batang" w:cs="Times"/>
          <w:szCs w:val="24"/>
          <w:lang w:val="pt-BR" w:eastAsia="es-ES"/>
        </w:rPr>
        <w:t xml:space="preserve"> o</w:t>
      </w:r>
      <w:r w:rsidR="004233D4" w:rsidRPr="00D5464D">
        <w:rPr>
          <w:rFonts w:eastAsia="Batang" w:cs="Times"/>
          <w:szCs w:val="24"/>
          <w:lang w:val="pt-BR" w:eastAsia="es-ES"/>
        </w:rPr>
        <w:t xml:space="preserve">u não </w:t>
      </w:r>
      <w:r w:rsidR="00E045D9" w:rsidRPr="00D5464D">
        <w:rPr>
          <w:rFonts w:eastAsia="Batang" w:cs="Times"/>
          <w:szCs w:val="24"/>
          <w:lang w:val="pt-BR" w:eastAsia="es-ES"/>
        </w:rPr>
        <w:t xml:space="preserve">uma </w:t>
      </w:r>
      <w:r w:rsidR="003C0330" w:rsidRPr="00D5464D">
        <w:rPr>
          <w:rFonts w:eastAsia="Batang" w:cs="Times"/>
          <w:szCs w:val="24"/>
          <w:lang w:val="pt-BR" w:eastAsia="es-ES"/>
        </w:rPr>
        <w:t>viola</w:t>
      </w:r>
      <w:r w:rsidR="00470ADC" w:rsidRPr="00D5464D">
        <w:rPr>
          <w:rFonts w:eastAsia="Batang" w:cs="Times"/>
          <w:szCs w:val="24"/>
          <w:lang w:val="pt-BR" w:eastAsia="es-ES"/>
        </w:rPr>
        <w:t xml:space="preserve">ção das </w:t>
      </w:r>
      <w:r w:rsidR="002C330E" w:rsidRPr="00D5464D">
        <w:rPr>
          <w:rFonts w:eastAsia="Batang" w:cs="Times"/>
          <w:szCs w:val="24"/>
          <w:lang w:val="pt-BR" w:eastAsia="es-ES"/>
        </w:rPr>
        <w:t>obrigações</w:t>
      </w:r>
      <w:r w:rsidR="003C0330" w:rsidRPr="00D5464D">
        <w:rPr>
          <w:rFonts w:eastAsia="Batang" w:cs="Times"/>
          <w:szCs w:val="24"/>
          <w:lang w:val="pt-BR" w:eastAsia="es-ES"/>
        </w:rPr>
        <w:t xml:space="preserve"> </w:t>
      </w:r>
      <w:r w:rsidR="002C330E" w:rsidRPr="00D5464D">
        <w:rPr>
          <w:rFonts w:eastAsia="Batang" w:cs="Times"/>
          <w:szCs w:val="24"/>
          <w:lang w:val="pt-BR" w:eastAsia="es-ES"/>
        </w:rPr>
        <w:t>internacionais</w:t>
      </w:r>
      <w:r w:rsidR="003C0330" w:rsidRPr="00D5464D">
        <w:rPr>
          <w:rFonts w:eastAsia="Batang" w:cs="Times"/>
          <w:szCs w:val="24"/>
          <w:lang w:val="pt-BR" w:eastAsia="es-ES"/>
        </w:rPr>
        <w:t xml:space="preserve"> </w:t>
      </w:r>
      <w:r w:rsidR="00470ADC" w:rsidRPr="00D5464D">
        <w:rPr>
          <w:rFonts w:eastAsia="Batang" w:cs="Times"/>
          <w:szCs w:val="24"/>
          <w:lang w:val="pt-BR" w:eastAsia="es-ES"/>
        </w:rPr>
        <w:t xml:space="preserve">do </w:t>
      </w:r>
      <w:r w:rsidR="003C0330" w:rsidRPr="00D5464D">
        <w:rPr>
          <w:rFonts w:eastAsia="Batang" w:cs="Times"/>
          <w:szCs w:val="24"/>
          <w:lang w:val="pt-BR" w:eastAsia="es-ES"/>
        </w:rPr>
        <w:t xml:space="preserve">Estado </w:t>
      </w:r>
      <w:r w:rsidR="002C330E" w:rsidRPr="00D5464D">
        <w:rPr>
          <w:rFonts w:eastAsia="Batang" w:cs="Times"/>
          <w:szCs w:val="24"/>
          <w:lang w:val="pt-BR" w:eastAsia="es-ES"/>
        </w:rPr>
        <w:t>pode</w:t>
      </w:r>
      <w:r w:rsidR="003C0330" w:rsidRPr="00D5464D">
        <w:rPr>
          <w:rFonts w:eastAsia="Batang" w:cs="Times"/>
          <w:szCs w:val="24"/>
          <w:lang w:val="pt-BR" w:eastAsia="es-ES"/>
        </w:rPr>
        <w:t xml:space="preserve"> </w:t>
      </w:r>
      <w:r w:rsidR="00E045D9" w:rsidRPr="00D5464D">
        <w:rPr>
          <w:rFonts w:eastAsia="Batang" w:cs="Times"/>
          <w:szCs w:val="24"/>
          <w:lang w:val="pt-BR" w:eastAsia="es-ES"/>
        </w:rPr>
        <w:t>conduzir</w:t>
      </w:r>
      <w:r w:rsidR="003C0330" w:rsidRPr="00D5464D">
        <w:rPr>
          <w:rFonts w:eastAsia="Batang" w:cs="Times"/>
          <w:szCs w:val="24"/>
          <w:lang w:val="pt-BR" w:eastAsia="es-ES"/>
        </w:rPr>
        <w:t xml:space="preserve"> </w:t>
      </w:r>
      <w:r w:rsidR="002C330E" w:rsidRPr="00D5464D">
        <w:rPr>
          <w:rFonts w:eastAsia="Batang" w:cs="Times"/>
          <w:szCs w:val="24"/>
          <w:lang w:val="pt-BR" w:eastAsia="es-ES"/>
        </w:rPr>
        <w:t xml:space="preserve">a </w:t>
      </w:r>
      <w:r w:rsidR="003C0330" w:rsidRPr="00D5464D">
        <w:rPr>
          <w:rFonts w:eastAsia="Batang" w:cs="Times"/>
          <w:szCs w:val="24"/>
          <w:lang w:val="pt-BR" w:eastAsia="es-ES"/>
        </w:rPr>
        <w:t xml:space="preserve">Corte </w:t>
      </w:r>
      <w:r w:rsidR="00A47282" w:rsidRPr="00D5464D">
        <w:rPr>
          <w:rFonts w:eastAsia="Batang" w:cs="Times"/>
          <w:szCs w:val="24"/>
          <w:lang w:val="pt-BR" w:eastAsia="es-ES"/>
        </w:rPr>
        <w:t xml:space="preserve">a </w:t>
      </w:r>
      <w:r w:rsidR="003C0330" w:rsidRPr="00D5464D">
        <w:rPr>
          <w:rFonts w:eastAsia="Batang" w:cs="Times"/>
          <w:szCs w:val="24"/>
          <w:lang w:val="pt-BR" w:eastAsia="es-ES"/>
        </w:rPr>
        <w:t>examinar</w:t>
      </w:r>
      <w:r w:rsidR="002C330E" w:rsidRPr="00D5464D">
        <w:rPr>
          <w:rFonts w:eastAsia="Batang" w:cs="Times"/>
          <w:szCs w:val="24"/>
          <w:lang w:val="pt-BR" w:eastAsia="es-ES"/>
        </w:rPr>
        <w:t xml:space="preserve"> os </w:t>
      </w:r>
      <w:r w:rsidR="003C0330" w:rsidRPr="00D5464D">
        <w:rPr>
          <w:rFonts w:eastAsia="Batang" w:cs="Times"/>
          <w:szCs w:val="24"/>
          <w:lang w:val="pt-BR" w:eastAsia="es-ES"/>
        </w:rPr>
        <w:t xml:space="preserve">respectivos </w:t>
      </w:r>
      <w:r w:rsidR="002C330E" w:rsidRPr="00D5464D">
        <w:rPr>
          <w:rFonts w:eastAsia="Batang" w:cs="Times"/>
          <w:szCs w:val="24"/>
          <w:lang w:val="pt-BR" w:eastAsia="es-ES"/>
        </w:rPr>
        <w:t>processo</w:t>
      </w:r>
      <w:r w:rsidR="003C0330" w:rsidRPr="00D5464D">
        <w:rPr>
          <w:rFonts w:eastAsia="Batang" w:cs="Times"/>
          <w:szCs w:val="24"/>
          <w:lang w:val="pt-BR" w:eastAsia="es-ES"/>
        </w:rPr>
        <w:t>s internos</w:t>
      </w:r>
      <w:r w:rsidR="00A47282" w:rsidRPr="00D5464D">
        <w:rPr>
          <w:rFonts w:eastAsia="Batang" w:cs="Times"/>
          <w:szCs w:val="24"/>
          <w:lang w:val="pt-BR" w:eastAsia="es-ES"/>
        </w:rPr>
        <w:t>, a fim de</w:t>
      </w:r>
      <w:r w:rsidR="003C0330" w:rsidRPr="00D5464D">
        <w:rPr>
          <w:rFonts w:eastAsia="Batang" w:cs="Times"/>
          <w:szCs w:val="24"/>
          <w:lang w:val="pt-BR" w:eastAsia="es-ES"/>
        </w:rPr>
        <w:t xml:space="preserve"> </w:t>
      </w:r>
      <w:r w:rsidR="00470ADC" w:rsidRPr="00D5464D">
        <w:rPr>
          <w:rFonts w:eastAsia="Batang" w:cs="Times"/>
          <w:szCs w:val="24"/>
          <w:lang w:val="pt-BR" w:eastAsia="es-ES"/>
        </w:rPr>
        <w:t>estabelece</w:t>
      </w:r>
      <w:r w:rsidR="003C0330" w:rsidRPr="00D5464D">
        <w:rPr>
          <w:rFonts w:eastAsia="Batang" w:cs="Times"/>
          <w:szCs w:val="24"/>
          <w:lang w:val="pt-BR" w:eastAsia="es-ES"/>
        </w:rPr>
        <w:t>r su</w:t>
      </w:r>
      <w:r w:rsidR="004233D4" w:rsidRPr="00D5464D">
        <w:rPr>
          <w:rFonts w:eastAsia="Batang" w:cs="Times"/>
          <w:szCs w:val="24"/>
          <w:lang w:val="pt-BR" w:eastAsia="es-ES"/>
        </w:rPr>
        <w:t>a</w:t>
      </w:r>
      <w:r w:rsidR="003C0330" w:rsidRPr="00D5464D">
        <w:rPr>
          <w:rFonts w:eastAsia="Batang" w:cs="Times"/>
          <w:szCs w:val="24"/>
          <w:lang w:val="pt-BR" w:eastAsia="es-ES"/>
        </w:rPr>
        <w:t xml:space="preserve"> </w:t>
      </w:r>
      <w:r w:rsidR="00350187" w:rsidRPr="00D5464D">
        <w:rPr>
          <w:rFonts w:eastAsia="Batang" w:cs="Times"/>
          <w:szCs w:val="24"/>
          <w:lang w:val="pt-BR" w:eastAsia="es-ES"/>
        </w:rPr>
        <w:t xml:space="preserve">compatibilidade </w:t>
      </w:r>
      <w:r w:rsidR="00470ADC" w:rsidRPr="00D5464D">
        <w:rPr>
          <w:rFonts w:eastAsia="Batang" w:cs="Times"/>
          <w:szCs w:val="24"/>
          <w:lang w:val="pt-BR" w:eastAsia="es-ES"/>
        </w:rPr>
        <w:t>com</w:t>
      </w:r>
      <w:r w:rsidR="002C330E" w:rsidRPr="00D5464D">
        <w:rPr>
          <w:rFonts w:eastAsia="Batang" w:cs="Times"/>
          <w:szCs w:val="24"/>
          <w:lang w:val="pt-BR" w:eastAsia="es-ES"/>
        </w:rPr>
        <w:t xml:space="preserve"> a </w:t>
      </w:r>
      <w:r w:rsidR="003C0330" w:rsidRPr="00D5464D">
        <w:rPr>
          <w:rFonts w:eastAsia="Batang" w:cs="Times"/>
          <w:szCs w:val="24"/>
          <w:lang w:val="pt-BR" w:eastAsia="es-ES"/>
        </w:rPr>
        <w:t>Conven</w:t>
      </w:r>
      <w:r w:rsidR="00470ADC" w:rsidRPr="00D5464D">
        <w:rPr>
          <w:rFonts w:eastAsia="Batang" w:cs="Times"/>
          <w:szCs w:val="24"/>
          <w:lang w:val="pt-BR" w:eastAsia="es-ES"/>
        </w:rPr>
        <w:t>ção</w:t>
      </w:r>
      <w:r w:rsidR="003C0330" w:rsidRPr="00D5464D">
        <w:rPr>
          <w:rFonts w:eastAsia="Batang" w:cs="Times"/>
          <w:szCs w:val="24"/>
          <w:lang w:val="pt-BR" w:eastAsia="es-ES"/>
        </w:rPr>
        <w:t xml:space="preserve"> Americana</w:t>
      </w:r>
      <w:r w:rsidR="004233D4" w:rsidRPr="00D5464D">
        <w:rPr>
          <w:rFonts w:eastAsia="Batang" w:cs="Times"/>
          <w:szCs w:val="24"/>
          <w:lang w:val="pt-BR" w:eastAsia="es-ES"/>
        </w:rPr>
        <w:t>.</w:t>
      </w:r>
      <w:r w:rsidR="003C0330" w:rsidRPr="00D5464D">
        <w:rPr>
          <w:rStyle w:val="Refdenotaalpie"/>
          <w:rFonts w:eastAsia="Batang"/>
          <w:lang w:val="pt-BR" w:eastAsia="es-ES"/>
        </w:rPr>
        <w:footnoteReference w:id="49"/>
      </w:r>
    </w:p>
    <w:p w14:paraId="44BC5862" w14:textId="77777777" w:rsidR="000A52D5" w:rsidRPr="00D5464D" w:rsidRDefault="000A52D5" w:rsidP="00140440">
      <w:pPr>
        <w:tabs>
          <w:tab w:val="clear" w:pos="4419"/>
          <w:tab w:val="clear" w:pos="8838"/>
        </w:tabs>
        <w:jc w:val="both"/>
        <w:rPr>
          <w:rFonts w:eastAsia="Batang" w:cs="Times"/>
          <w:szCs w:val="24"/>
          <w:lang w:val="pt-BR" w:eastAsia="es-ES"/>
        </w:rPr>
      </w:pPr>
    </w:p>
    <w:p w14:paraId="08978724" w14:textId="7A1E5A80" w:rsidR="000A52D5" w:rsidRPr="00D5464D" w:rsidRDefault="00470AD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No </w:t>
      </w:r>
      <w:r w:rsidR="000A52D5" w:rsidRPr="00D5464D">
        <w:rPr>
          <w:rFonts w:eastAsia="Batang" w:cs="Times"/>
          <w:szCs w:val="24"/>
          <w:lang w:val="pt-BR" w:eastAsia="es-ES"/>
        </w:rPr>
        <w:t xml:space="preserve">presente </w:t>
      </w:r>
      <w:r w:rsidR="007105B1" w:rsidRPr="00D5464D">
        <w:rPr>
          <w:rFonts w:eastAsia="Batang" w:cs="Times"/>
          <w:szCs w:val="24"/>
          <w:lang w:val="pt-BR" w:eastAsia="es-ES"/>
        </w:rPr>
        <w:t>caso</w:t>
      </w:r>
      <w:r w:rsidR="004233D4" w:rsidRPr="00D5464D">
        <w:rPr>
          <w:rFonts w:eastAsia="Batang" w:cs="Times"/>
          <w:szCs w:val="24"/>
          <w:lang w:val="pt-BR" w:eastAsia="es-ES"/>
        </w:rPr>
        <w:t>,</w:t>
      </w:r>
      <w:r w:rsidR="002C330E" w:rsidRPr="00D5464D">
        <w:rPr>
          <w:rFonts w:eastAsia="Batang" w:cs="Times"/>
          <w:szCs w:val="24"/>
          <w:lang w:val="pt-BR" w:eastAsia="es-ES"/>
        </w:rPr>
        <w:t xml:space="preserve"> nem a </w:t>
      </w:r>
      <w:r w:rsidRPr="00D5464D">
        <w:rPr>
          <w:rFonts w:eastAsia="Batang" w:cs="Times"/>
          <w:szCs w:val="24"/>
          <w:lang w:val="pt-BR" w:eastAsia="es-ES"/>
        </w:rPr>
        <w:t>Comissão</w:t>
      </w:r>
      <w:r w:rsidR="002C330E" w:rsidRPr="00D5464D">
        <w:rPr>
          <w:rFonts w:eastAsia="Batang" w:cs="Times"/>
          <w:szCs w:val="24"/>
          <w:lang w:val="pt-BR" w:eastAsia="es-ES"/>
        </w:rPr>
        <w:t xml:space="preserve"> nem os </w:t>
      </w:r>
      <w:r w:rsidR="00EB1CE9" w:rsidRPr="00D5464D">
        <w:rPr>
          <w:rFonts w:eastAsia="Batang" w:cs="Times"/>
          <w:szCs w:val="24"/>
          <w:lang w:val="pt-BR" w:eastAsia="es-ES"/>
        </w:rPr>
        <w:t>representante</w:t>
      </w:r>
      <w:r w:rsidR="000A52D5" w:rsidRPr="00D5464D">
        <w:rPr>
          <w:rFonts w:eastAsia="Batang" w:cs="Times"/>
          <w:szCs w:val="24"/>
          <w:lang w:val="pt-BR" w:eastAsia="es-ES"/>
        </w:rPr>
        <w:t xml:space="preserve">s </w:t>
      </w:r>
      <w:r w:rsidR="00A1358C" w:rsidRPr="00D5464D">
        <w:rPr>
          <w:rFonts w:eastAsia="Batang" w:cs="Times"/>
          <w:szCs w:val="24"/>
          <w:lang w:val="pt-BR" w:eastAsia="es-ES"/>
        </w:rPr>
        <w:t>solicitaram</w:t>
      </w:r>
      <w:r w:rsidR="002C330E" w:rsidRPr="00D5464D">
        <w:rPr>
          <w:rFonts w:eastAsia="Batang" w:cs="Times"/>
          <w:szCs w:val="24"/>
          <w:lang w:val="pt-BR" w:eastAsia="es-ES"/>
        </w:rPr>
        <w:t xml:space="preserve"> a revisão</w:t>
      </w:r>
      <w:r w:rsidR="000A52D5" w:rsidRPr="00D5464D">
        <w:rPr>
          <w:rFonts w:eastAsia="Batang" w:cs="Times"/>
          <w:szCs w:val="24"/>
          <w:lang w:val="pt-BR" w:eastAsia="es-ES"/>
        </w:rPr>
        <w:t xml:space="preserve"> de </w:t>
      </w:r>
      <w:r w:rsidRPr="00D5464D">
        <w:rPr>
          <w:rFonts w:eastAsia="Batang" w:cs="Times"/>
          <w:szCs w:val="24"/>
          <w:lang w:val="pt-BR" w:eastAsia="es-ES"/>
        </w:rPr>
        <w:t>decisões</w:t>
      </w:r>
      <w:r w:rsidR="000A52D5" w:rsidRPr="00D5464D">
        <w:rPr>
          <w:rFonts w:eastAsia="Batang" w:cs="Times"/>
          <w:szCs w:val="24"/>
          <w:lang w:val="pt-BR" w:eastAsia="es-ES"/>
        </w:rPr>
        <w:t xml:space="preserve"> internas relacionada</w:t>
      </w:r>
      <w:r w:rsidR="003E2627" w:rsidRPr="00D5464D">
        <w:rPr>
          <w:rFonts w:eastAsia="Batang" w:cs="Times"/>
          <w:szCs w:val="24"/>
          <w:lang w:val="pt-BR" w:eastAsia="es-ES"/>
        </w:rPr>
        <w:t>s</w:t>
      </w:r>
      <w:r w:rsidRPr="00D5464D">
        <w:rPr>
          <w:rFonts w:eastAsia="Batang" w:cs="Times"/>
          <w:szCs w:val="24"/>
          <w:lang w:val="pt-BR" w:eastAsia="es-ES"/>
        </w:rPr>
        <w:t xml:space="preserve"> com </w:t>
      </w:r>
      <w:r w:rsidR="000A52D5" w:rsidRPr="00D5464D">
        <w:rPr>
          <w:rFonts w:eastAsia="Batang" w:cs="Times"/>
          <w:szCs w:val="24"/>
          <w:lang w:val="pt-BR" w:eastAsia="es-ES"/>
        </w:rPr>
        <w:t>valora</w:t>
      </w:r>
      <w:r w:rsidRPr="00D5464D">
        <w:rPr>
          <w:rFonts w:eastAsia="Batang" w:cs="Times"/>
          <w:szCs w:val="24"/>
          <w:lang w:val="pt-BR" w:eastAsia="es-ES"/>
        </w:rPr>
        <w:t>ção</w:t>
      </w:r>
      <w:r w:rsidR="000A52D5" w:rsidRPr="00D5464D">
        <w:rPr>
          <w:rFonts w:eastAsia="Batang" w:cs="Times"/>
          <w:szCs w:val="24"/>
          <w:lang w:val="pt-BR" w:eastAsia="es-ES"/>
        </w:rPr>
        <w:t xml:space="preserve"> de </w:t>
      </w:r>
      <w:r w:rsidR="002C330E" w:rsidRPr="00D5464D">
        <w:rPr>
          <w:rFonts w:eastAsia="Batang" w:cs="Times"/>
          <w:szCs w:val="24"/>
          <w:lang w:val="pt-BR" w:eastAsia="es-ES"/>
        </w:rPr>
        <w:t>prova</w:t>
      </w:r>
      <w:r w:rsidR="000A52D5" w:rsidRPr="00D5464D">
        <w:rPr>
          <w:rFonts w:eastAsia="Batang" w:cs="Times"/>
          <w:szCs w:val="24"/>
          <w:lang w:val="pt-BR" w:eastAsia="es-ES"/>
        </w:rPr>
        <w:t>s,</w:t>
      </w:r>
      <w:r w:rsidRPr="00D5464D">
        <w:rPr>
          <w:rFonts w:eastAsia="Batang" w:cs="Times"/>
          <w:szCs w:val="24"/>
          <w:lang w:val="pt-BR" w:eastAsia="es-ES"/>
        </w:rPr>
        <w:t xml:space="preserve"> dos </w:t>
      </w:r>
      <w:r w:rsidR="002C330E" w:rsidRPr="00D5464D">
        <w:rPr>
          <w:rFonts w:eastAsia="Batang" w:cs="Times"/>
          <w:szCs w:val="24"/>
          <w:lang w:val="pt-BR" w:eastAsia="es-ES"/>
        </w:rPr>
        <w:t>fatos</w:t>
      </w:r>
      <w:r w:rsidR="000A52D5" w:rsidRPr="00D5464D">
        <w:rPr>
          <w:rFonts w:eastAsia="Batang" w:cs="Times"/>
          <w:szCs w:val="24"/>
          <w:lang w:val="pt-BR" w:eastAsia="es-ES"/>
        </w:rPr>
        <w:t xml:space="preserve"> o</w:t>
      </w:r>
      <w:r w:rsidR="004233D4" w:rsidRPr="00D5464D">
        <w:rPr>
          <w:rFonts w:eastAsia="Batang" w:cs="Times"/>
          <w:szCs w:val="24"/>
          <w:lang w:val="pt-BR" w:eastAsia="es-ES"/>
        </w:rPr>
        <w:t>u</w:t>
      </w:r>
      <w:r w:rsidR="002C330E" w:rsidRPr="00D5464D">
        <w:rPr>
          <w:rFonts w:eastAsia="Batang" w:cs="Times"/>
          <w:szCs w:val="24"/>
          <w:lang w:val="pt-BR" w:eastAsia="es-ES"/>
        </w:rPr>
        <w:t xml:space="preserve"> </w:t>
      </w:r>
      <w:r w:rsidR="004233D4" w:rsidRPr="00D5464D">
        <w:rPr>
          <w:rFonts w:eastAsia="Batang" w:cs="Times"/>
          <w:szCs w:val="24"/>
          <w:lang w:val="pt-BR" w:eastAsia="es-ES"/>
        </w:rPr>
        <w:t>d</w:t>
      </w:r>
      <w:r w:rsidR="002C330E" w:rsidRPr="00D5464D">
        <w:rPr>
          <w:rFonts w:eastAsia="Batang" w:cs="Times"/>
          <w:szCs w:val="24"/>
          <w:lang w:val="pt-BR" w:eastAsia="es-ES"/>
        </w:rPr>
        <w:t xml:space="preserve">a </w:t>
      </w:r>
      <w:r w:rsidR="000A52D5" w:rsidRPr="00D5464D">
        <w:rPr>
          <w:rFonts w:eastAsia="Batang" w:cs="Times"/>
          <w:szCs w:val="24"/>
          <w:lang w:val="pt-BR" w:eastAsia="es-ES"/>
        </w:rPr>
        <w:t>aplica</w:t>
      </w:r>
      <w:r w:rsidRPr="00D5464D">
        <w:rPr>
          <w:rFonts w:eastAsia="Batang" w:cs="Times"/>
          <w:szCs w:val="24"/>
          <w:lang w:val="pt-BR" w:eastAsia="es-ES"/>
        </w:rPr>
        <w:t>ção</w:t>
      </w:r>
      <w:r w:rsidR="000A52D5" w:rsidRPr="00D5464D">
        <w:rPr>
          <w:rFonts w:eastAsia="Batang" w:cs="Times"/>
          <w:szCs w:val="24"/>
          <w:lang w:val="pt-BR" w:eastAsia="es-ES"/>
        </w:rPr>
        <w:t xml:space="preserve"> </w:t>
      </w:r>
      <w:r w:rsidRPr="00D5464D">
        <w:rPr>
          <w:rFonts w:eastAsia="Batang" w:cs="Times"/>
          <w:szCs w:val="24"/>
          <w:lang w:val="pt-BR" w:eastAsia="es-ES"/>
        </w:rPr>
        <w:t>do direito</w:t>
      </w:r>
      <w:r w:rsidR="000A52D5" w:rsidRPr="00D5464D">
        <w:rPr>
          <w:rFonts w:eastAsia="Batang" w:cs="Times"/>
          <w:szCs w:val="24"/>
          <w:lang w:val="pt-BR" w:eastAsia="es-ES"/>
        </w:rPr>
        <w:t xml:space="preserve"> interno</w:t>
      </w:r>
      <w:r w:rsidR="00A1358C" w:rsidRPr="00D5464D">
        <w:rPr>
          <w:rFonts w:eastAsia="Batang" w:cs="Times"/>
          <w:szCs w:val="24"/>
          <w:lang w:val="pt-BR" w:eastAsia="es-ES"/>
        </w:rPr>
        <w:t xml:space="preserve">. A </w:t>
      </w:r>
      <w:r w:rsidR="000A52D5" w:rsidRPr="00D5464D">
        <w:rPr>
          <w:rFonts w:eastAsia="Batang" w:cs="Times"/>
          <w:szCs w:val="24"/>
          <w:lang w:val="pt-BR" w:eastAsia="es-ES"/>
        </w:rPr>
        <w:t>Corte considera que</w:t>
      </w:r>
      <w:r w:rsidRPr="00D5464D">
        <w:rPr>
          <w:rFonts w:eastAsia="Batang" w:cs="Times"/>
          <w:szCs w:val="24"/>
          <w:lang w:val="pt-BR" w:eastAsia="es-ES"/>
        </w:rPr>
        <w:t xml:space="preserve"> é </w:t>
      </w:r>
      <w:r w:rsidR="000A52D5" w:rsidRPr="00D5464D">
        <w:rPr>
          <w:rFonts w:eastAsia="Batang" w:cs="Times"/>
          <w:szCs w:val="24"/>
          <w:lang w:val="pt-BR" w:eastAsia="es-ES"/>
        </w:rPr>
        <w:t xml:space="preserve">objeto de </w:t>
      </w:r>
      <w:r w:rsidRPr="00D5464D">
        <w:rPr>
          <w:rFonts w:eastAsia="Batang" w:cs="Times"/>
          <w:szCs w:val="24"/>
          <w:lang w:val="pt-BR" w:eastAsia="es-ES"/>
        </w:rPr>
        <w:t>estudo</w:t>
      </w:r>
      <w:r w:rsidR="000A52D5" w:rsidRPr="00D5464D">
        <w:rPr>
          <w:rFonts w:eastAsia="Batang" w:cs="Times"/>
          <w:szCs w:val="24"/>
          <w:lang w:val="pt-BR" w:eastAsia="es-ES"/>
        </w:rPr>
        <w:t xml:space="preserve"> de </w:t>
      </w:r>
      <w:r w:rsidRPr="00D5464D">
        <w:rPr>
          <w:rFonts w:eastAsia="Batang" w:cs="Times"/>
          <w:szCs w:val="24"/>
          <w:lang w:val="pt-BR" w:eastAsia="es-ES"/>
        </w:rPr>
        <w:t>mérito</w:t>
      </w:r>
      <w:r w:rsidR="000A52D5" w:rsidRPr="00D5464D">
        <w:rPr>
          <w:rFonts w:eastAsia="Batang" w:cs="Times"/>
          <w:szCs w:val="24"/>
          <w:lang w:val="pt-BR" w:eastAsia="es-ES"/>
        </w:rPr>
        <w:t xml:space="preserve"> </w:t>
      </w:r>
      <w:r w:rsidR="00350187" w:rsidRPr="00D5464D">
        <w:rPr>
          <w:rFonts w:eastAsia="Batang" w:cs="Times"/>
          <w:szCs w:val="24"/>
          <w:lang w:val="pt-BR" w:eastAsia="es-ES"/>
        </w:rPr>
        <w:t>analisa</w:t>
      </w:r>
      <w:r w:rsidR="000A52D5" w:rsidRPr="00D5464D">
        <w:rPr>
          <w:rFonts w:eastAsia="Batang" w:cs="Times"/>
          <w:szCs w:val="24"/>
          <w:lang w:val="pt-BR" w:eastAsia="es-ES"/>
        </w:rPr>
        <w:t>r</w:t>
      </w:r>
      <w:r w:rsidR="00C516FE" w:rsidRPr="00D5464D">
        <w:rPr>
          <w:rFonts w:eastAsia="Batang" w:cs="Times"/>
          <w:szCs w:val="24"/>
          <w:lang w:val="pt-BR" w:eastAsia="es-ES"/>
        </w:rPr>
        <w:t xml:space="preserve">, </w:t>
      </w:r>
      <w:r w:rsidRPr="00D5464D">
        <w:rPr>
          <w:rFonts w:eastAsia="Batang" w:cs="Times"/>
          <w:szCs w:val="24"/>
          <w:lang w:val="pt-BR" w:eastAsia="es-ES"/>
        </w:rPr>
        <w:t>de acordo com</w:t>
      </w:r>
      <w:r w:rsidR="002C330E" w:rsidRPr="00D5464D">
        <w:rPr>
          <w:rFonts w:eastAsia="Batang" w:cs="Times"/>
          <w:szCs w:val="24"/>
          <w:lang w:val="pt-BR" w:eastAsia="es-ES"/>
        </w:rPr>
        <w:t xml:space="preserve"> a </w:t>
      </w:r>
      <w:r w:rsidR="00C516FE" w:rsidRPr="00D5464D">
        <w:rPr>
          <w:rFonts w:eastAsia="Batang" w:cs="Times"/>
          <w:szCs w:val="24"/>
          <w:lang w:val="pt-BR" w:eastAsia="es-ES"/>
        </w:rPr>
        <w:t>Conven</w:t>
      </w:r>
      <w:r w:rsidRPr="00D5464D">
        <w:rPr>
          <w:rFonts w:eastAsia="Batang" w:cs="Times"/>
          <w:szCs w:val="24"/>
          <w:lang w:val="pt-BR" w:eastAsia="es-ES"/>
        </w:rPr>
        <w:t>ção</w:t>
      </w:r>
      <w:r w:rsidR="00C516FE" w:rsidRPr="00D5464D">
        <w:rPr>
          <w:rFonts w:eastAsia="Batang" w:cs="Times"/>
          <w:szCs w:val="24"/>
          <w:lang w:val="pt-BR" w:eastAsia="es-ES"/>
        </w:rPr>
        <w:t xml:space="preserve"> Americana</w:t>
      </w:r>
      <w:r w:rsidR="00E045D9" w:rsidRPr="00D5464D">
        <w:rPr>
          <w:rFonts w:eastAsia="Batang" w:cs="Times"/>
          <w:szCs w:val="24"/>
          <w:lang w:val="pt-BR" w:eastAsia="es-ES"/>
        </w:rPr>
        <w:t xml:space="preserve"> e </w:t>
      </w:r>
      <w:r w:rsidRPr="00D5464D">
        <w:rPr>
          <w:rFonts w:eastAsia="Batang" w:cs="Times"/>
          <w:szCs w:val="24"/>
          <w:lang w:val="pt-BR" w:eastAsia="es-ES"/>
        </w:rPr>
        <w:t xml:space="preserve">o </w:t>
      </w:r>
      <w:r w:rsidR="00E765C2" w:rsidRPr="00D5464D">
        <w:rPr>
          <w:rFonts w:eastAsia="Batang" w:cs="Times"/>
          <w:szCs w:val="24"/>
          <w:lang w:val="pt-BR" w:eastAsia="es-ES"/>
        </w:rPr>
        <w:t>Direito Internacional</w:t>
      </w:r>
      <w:r w:rsidR="00C516FE" w:rsidRPr="00D5464D">
        <w:rPr>
          <w:rFonts w:eastAsia="Batang" w:cs="Times"/>
          <w:szCs w:val="24"/>
          <w:lang w:val="pt-BR" w:eastAsia="es-ES"/>
        </w:rPr>
        <w:t>,</w:t>
      </w:r>
      <w:r w:rsidR="002C330E" w:rsidRPr="00D5464D">
        <w:rPr>
          <w:rFonts w:eastAsia="Batang" w:cs="Times"/>
          <w:szCs w:val="24"/>
          <w:lang w:val="pt-BR" w:eastAsia="es-ES"/>
        </w:rPr>
        <w:t xml:space="preserve"> as alegações </w:t>
      </w:r>
      <w:r w:rsidR="00F06A18" w:rsidRPr="00D5464D">
        <w:rPr>
          <w:rFonts w:eastAsia="Batang" w:cs="Times"/>
          <w:szCs w:val="24"/>
          <w:lang w:val="pt-BR" w:eastAsia="es-ES"/>
        </w:rPr>
        <w:t>esta</w:t>
      </w:r>
      <w:r w:rsidR="00E045D9" w:rsidRPr="00D5464D">
        <w:rPr>
          <w:rFonts w:eastAsia="Batang" w:cs="Times"/>
          <w:szCs w:val="24"/>
          <w:lang w:val="pt-BR" w:eastAsia="es-ES"/>
        </w:rPr>
        <w:t>tais</w:t>
      </w:r>
      <w:r w:rsidR="00F06A18" w:rsidRPr="00D5464D">
        <w:rPr>
          <w:rFonts w:eastAsia="Batang" w:cs="Times"/>
          <w:szCs w:val="24"/>
          <w:lang w:val="pt-BR" w:eastAsia="es-ES"/>
        </w:rPr>
        <w:t xml:space="preserve"> </w:t>
      </w:r>
      <w:r w:rsidR="004233D4" w:rsidRPr="00D5464D">
        <w:rPr>
          <w:rFonts w:eastAsia="Batang" w:cs="Times"/>
          <w:szCs w:val="24"/>
          <w:lang w:val="pt-BR" w:eastAsia="es-ES"/>
        </w:rPr>
        <w:t xml:space="preserve">sobre </w:t>
      </w:r>
      <w:r w:rsidR="002C330E" w:rsidRPr="00D5464D">
        <w:rPr>
          <w:rFonts w:eastAsia="Batang" w:cs="Times"/>
          <w:szCs w:val="24"/>
          <w:lang w:val="pt-BR" w:eastAsia="es-ES"/>
        </w:rPr>
        <w:t>se os processo</w:t>
      </w:r>
      <w:r w:rsidR="000A52D5" w:rsidRPr="00D5464D">
        <w:rPr>
          <w:rFonts w:eastAsia="Batang" w:cs="Times"/>
          <w:szCs w:val="24"/>
          <w:lang w:val="pt-BR" w:eastAsia="es-ES"/>
        </w:rPr>
        <w:t xml:space="preserve">s </w:t>
      </w:r>
      <w:r w:rsidR="002C330E" w:rsidRPr="00D5464D">
        <w:rPr>
          <w:rFonts w:eastAsia="Batang" w:cs="Times"/>
          <w:szCs w:val="24"/>
          <w:lang w:val="pt-BR" w:eastAsia="es-ES"/>
        </w:rPr>
        <w:t>judiciais</w:t>
      </w:r>
      <w:r w:rsidR="000A52D5" w:rsidRPr="00D5464D">
        <w:rPr>
          <w:rFonts w:eastAsia="Batang" w:cs="Times"/>
          <w:szCs w:val="24"/>
          <w:lang w:val="pt-BR" w:eastAsia="es-ES"/>
        </w:rPr>
        <w:t xml:space="preserve"> internos </w:t>
      </w:r>
      <w:r w:rsidRPr="00D5464D">
        <w:rPr>
          <w:rFonts w:eastAsia="Batang" w:cs="Times"/>
          <w:szCs w:val="24"/>
          <w:lang w:val="pt-BR" w:eastAsia="es-ES"/>
        </w:rPr>
        <w:t>foram</w:t>
      </w:r>
      <w:r w:rsidR="000A52D5" w:rsidRPr="00D5464D">
        <w:rPr>
          <w:rFonts w:eastAsia="Batang" w:cs="Times"/>
          <w:szCs w:val="24"/>
          <w:lang w:val="pt-BR" w:eastAsia="es-ES"/>
        </w:rPr>
        <w:t xml:space="preserve"> </w:t>
      </w:r>
      <w:r w:rsidR="002C330E" w:rsidRPr="00D5464D">
        <w:rPr>
          <w:rFonts w:eastAsia="Batang" w:cs="Times"/>
          <w:szCs w:val="24"/>
          <w:lang w:val="pt-BR" w:eastAsia="es-ES"/>
        </w:rPr>
        <w:t>idôneos</w:t>
      </w:r>
      <w:r w:rsidR="00E045D9" w:rsidRPr="00D5464D">
        <w:rPr>
          <w:rFonts w:eastAsia="Batang" w:cs="Times"/>
          <w:szCs w:val="24"/>
          <w:lang w:val="pt-BR" w:eastAsia="es-ES"/>
        </w:rPr>
        <w:t xml:space="preserve"> e eficazes</w:t>
      </w:r>
      <w:r w:rsidRPr="00D5464D">
        <w:rPr>
          <w:rFonts w:eastAsia="Batang" w:cs="Times"/>
          <w:szCs w:val="24"/>
          <w:lang w:val="pt-BR" w:eastAsia="es-ES"/>
        </w:rPr>
        <w:t xml:space="preserve"> e</w:t>
      </w:r>
      <w:r w:rsidR="002C330E" w:rsidRPr="00D5464D">
        <w:rPr>
          <w:rFonts w:eastAsia="Batang" w:cs="Times"/>
          <w:szCs w:val="24"/>
          <w:lang w:val="pt-BR" w:eastAsia="es-ES"/>
        </w:rPr>
        <w:t xml:space="preserve"> se os </w:t>
      </w:r>
      <w:r w:rsidR="000A52D5" w:rsidRPr="00D5464D">
        <w:rPr>
          <w:rFonts w:eastAsia="Batang" w:cs="Times"/>
          <w:szCs w:val="24"/>
          <w:lang w:val="pt-BR" w:eastAsia="es-ES"/>
        </w:rPr>
        <w:t xml:space="preserve">recursos </w:t>
      </w:r>
      <w:r w:rsidRPr="00D5464D">
        <w:rPr>
          <w:rFonts w:eastAsia="Batang" w:cs="Times"/>
          <w:szCs w:val="24"/>
          <w:lang w:val="pt-BR" w:eastAsia="es-ES"/>
        </w:rPr>
        <w:t>foram</w:t>
      </w:r>
      <w:r w:rsidR="000A52D5" w:rsidRPr="00D5464D">
        <w:rPr>
          <w:rFonts w:eastAsia="Batang" w:cs="Times"/>
          <w:szCs w:val="24"/>
          <w:lang w:val="pt-BR" w:eastAsia="es-ES"/>
        </w:rPr>
        <w:t xml:space="preserve"> tramitados</w:t>
      </w:r>
      <w:r w:rsidR="00E045D9" w:rsidRPr="00D5464D">
        <w:rPr>
          <w:rFonts w:eastAsia="Batang" w:cs="Times"/>
          <w:szCs w:val="24"/>
          <w:lang w:val="pt-BR" w:eastAsia="es-ES"/>
        </w:rPr>
        <w:t xml:space="preserve"> e </w:t>
      </w:r>
      <w:r w:rsidR="00350187" w:rsidRPr="00D5464D">
        <w:rPr>
          <w:rFonts w:eastAsia="Batang" w:cs="Times"/>
          <w:szCs w:val="24"/>
          <w:lang w:val="pt-BR" w:eastAsia="es-ES"/>
        </w:rPr>
        <w:t>resolvido</w:t>
      </w:r>
      <w:r w:rsidR="000A52D5" w:rsidRPr="00D5464D">
        <w:rPr>
          <w:rFonts w:eastAsia="Batang" w:cs="Times"/>
          <w:szCs w:val="24"/>
          <w:lang w:val="pt-BR" w:eastAsia="es-ES"/>
        </w:rPr>
        <w:t xml:space="preserve">s </w:t>
      </w:r>
      <w:r w:rsidRPr="00D5464D">
        <w:rPr>
          <w:rFonts w:eastAsia="Batang" w:cs="Times"/>
          <w:szCs w:val="24"/>
          <w:lang w:val="pt-BR" w:eastAsia="es-ES"/>
        </w:rPr>
        <w:t>devidamente</w:t>
      </w:r>
      <w:r w:rsidR="000A52D5" w:rsidRPr="00D5464D">
        <w:rPr>
          <w:rFonts w:eastAsia="Batang" w:cs="Times"/>
          <w:szCs w:val="24"/>
          <w:lang w:val="pt-BR" w:eastAsia="es-ES"/>
        </w:rPr>
        <w:t xml:space="preserve">. </w:t>
      </w:r>
      <w:r w:rsidR="00350187" w:rsidRPr="00D5464D">
        <w:rPr>
          <w:rFonts w:eastAsia="Batang" w:cs="Times"/>
          <w:szCs w:val="24"/>
          <w:lang w:val="pt-BR" w:eastAsia="es-ES"/>
        </w:rPr>
        <w:t xml:space="preserve">Além disso, </w:t>
      </w:r>
      <w:r w:rsidRPr="00D5464D">
        <w:rPr>
          <w:rFonts w:eastAsia="Batang" w:cs="Times"/>
          <w:szCs w:val="24"/>
          <w:lang w:val="pt-BR" w:eastAsia="es-ES"/>
        </w:rPr>
        <w:t>dever</w:t>
      </w:r>
      <w:r w:rsidR="000A52D5" w:rsidRPr="00D5464D">
        <w:rPr>
          <w:rFonts w:eastAsia="Batang" w:cs="Times"/>
          <w:szCs w:val="24"/>
          <w:lang w:val="pt-BR" w:eastAsia="es-ES"/>
        </w:rPr>
        <w:t xml:space="preserve">á </w:t>
      </w:r>
      <w:r w:rsidR="00350187" w:rsidRPr="00D5464D">
        <w:rPr>
          <w:rFonts w:eastAsia="Batang" w:cs="Times"/>
          <w:szCs w:val="24"/>
          <w:lang w:val="pt-BR" w:eastAsia="es-ES"/>
        </w:rPr>
        <w:t>analis</w:t>
      </w:r>
      <w:r w:rsidR="00C91CB1" w:rsidRPr="00D5464D">
        <w:rPr>
          <w:rFonts w:eastAsia="Batang" w:cs="Times"/>
          <w:szCs w:val="24"/>
          <w:lang w:val="pt-BR" w:eastAsia="es-ES"/>
        </w:rPr>
        <w:t xml:space="preserve">ar-se </w:t>
      </w:r>
      <w:r w:rsidR="00E045D9" w:rsidRPr="00D5464D">
        <w:rPr>
          <w:rFonts w:eastAsia="Batang" w:cs="Times"/>
          <w:szCs w:val="24"/>
          <w:lang w:val="pt-BR" w:eastAsia="es-ES"/>
        </w:rPr>
        <w:t xml:space="preserve">no </w:t>
      </w:r>
      <w:r w:rsidRPr="00D5464D">
        <w:rPr>
          <w:rFonts w:eastAsia="Batang" w:cs="Times"/>
          <w:szCs w:val="24"/>
          <w:lang w:val="pt-BR" w:eastAsia="es-ES"/>
        </w:rPr>
        <w:t>mérito</w:t>
      </w:r>
      <w:r w:rsidR="002C330E" w:rsidRPr="00D5464D">
        <w:rPr>
          <w:rFonts w:eastAsia="Batang" w:cs="Times"/>
          <w:szCs w:val="24"/>
          <w:lang w:val="pt-BR" w:eastAsia="es-ES"/>
        </w:rPr>
        <w:t xml:space="preserve"> se </w:t>
      </w:r>
      <w:r w:rsidRPr="00D5464D">
        <w:rPr>
          <w:rFonts w:eastAsia="Batang" w:cs="Times"/>
          <w:szCs w:val="24"/>
          <w:lang w:val="pt-BR" w:eastAsia="es-ES"/>
        </w:rPr>
        <w:t xml:space="preserve">o </w:t>
      </w:r>
      <w:r w:rsidR="002C330E" w:rsidRPr="00D5464D">
        <w:rPr>
          <w:rFonts w:eastAsia="Batang" w:cs="Times"/>
          <w:szCs w:val="24"/>
          <w:lang w:val="pt-BR" w:eastAsia="es-ES"/>
        </w:rPr>
        <w:t>pagamento f</w:t>
      </w:r>
      <w:r w:rsidR="004233D4" w:rsidRPr="00D5464D">
        <w:rPr>
          <w:rFonts w:eastAsia="Batang" w:cs="Times"/>
          <w:szCs w:val="24"/>
          <w:lang w:val="pt-BR" w:eastAsia="es-ES"/>
        </w:rPr>
        <w:t>ei</w:t>
      </w:r>
      <w:r w:rsidR="002C330E" w:rsidRPr="00D5464D">
        <w:rPr>
          <w:rFonts w:eastAsia="Batang" w:cs="Times"/>
          <w:szCs w:val="24"/>
          <w:lang w:val="pt-BR" w:eastAsia="es-ES"/>
        </w:rPr>
        <w:t xml:space="preserve">to </w:t>
      </w:r>
      <w:r w:rsidR="000A52D5" w:rsidRPr="00D5464D">
        <w:rPr>
          <w:rFonts w:eastAsia="Batang" w:cs="Times"/>
          <w:szCs w:val="24"/>
          <w:lang w:val="pt-BR" w:eastAsia="es-ES"/>
        </w:rPr>
        <w:t>por repara</w:t>
      </w:r>
      <w:r w:rsidRPr="00D5464D">
        <w:rPr>
          <w:rFonts w:eastAsia="Batang" w:cs="Times"/>
          <w:szCs w:val="24"/>
          <w:lang w:val="pt-BR" w:eastAsia="es-ES"/>
        </w:rPr>
        <w:t>ção</w:t>
      </w:r>
      <w:r w:rsidR="000A52D5" w:rsidRPr="00D5464D">
        <w:rPr>
          <w:rFonts w:eastAsia="Batang" w:cs="Times"/>
          <w:szCs w:val="24"/>
          <w:lang w:val="pt-BR" w:eastAsia="es-ES"/>
        </w:rPr>
        <w:t xml:space="preserve"> de d</w:t>
      </w:r>
      <w:r w:rsidRPr="00D5464D">
        <w:rPr>
          <w:rFonts w:eastAsia="Batang" w:cs="Times"/>
          <w:szCs w:val="24"/>
          <w:lang w:val="pt-BR" w:eastAsia="es-ES"/>
        </w:rPr>
        <w:t>anos</w:t>
      </w:r>
      <w:r w:rsidR="000A52D5" w:rsidRPr="00D5464D">
        <w:rPr>
          <w:rFonts w:eastAsia="Batang" w:cs="Times"/>
          <w:szCs w:val="24"/>
          <w:lang w:val="pt-BR" w:eastAsia="es-ES"/>
        </w:rPr>
        <w:t xml:space="preserve"> </w:t>
      </w:r>
      <w:r w:rsidR="00737270" w:rsidRPr="00D5464D">
        <w:rPr>
          <w:rFonts w:eastAsia="Batang" w:cs="Times"/>
          <w:szCs w:val="24"/>
          <w:lang w:val="pt-BR" w:eastAsia="es-ES"/>
        </w:rPr>
        <w:t>materiais</w:t>
      </w:r>
      <w:r w:rsidRPr="00D5464D">
        <w:rPr>
          <w:rFonts w:eastAsia="Batang" w:cs="Times"/>
          <w:szCs w:val="24"/>
          <w:lang w:val="pt-BR" w:eastAsia="es-ES"/>
        </w:rPr>
        <w:t xml:space="preserve"> foi </w:t>
      </w:r>
      <w:r w:rsidR="000A52D5" w:rsidRPr="00D5464D">
        <w:rPr>
          <w:rFonts w:eastAsia="Batang" w:cs="Times"/>
          <w:szCs w:val="24"/>
          <w:lang w:val="pt-BR" w:eastAsia="es-ES"/>
        </w:rPr>
        <w:t>suficiente</w:t>
      </w:r>
      <w:r w:rsidR="00E045D9" w:rsidRPr="00D5464D">
        <w:rPr>
          <w:rFonts w:eastAsia="Batang" w:cs="Times"/>
          <w:szCs w:val="24"/>
          <w:lang w:val="pt-BR" w:eastAsia="es-ES"/>
        </w:rPr>
        <w:t xml:space="preserve"> e </w:t>
      </w:r>
      <w:r w:rsidR="002C330E" w:rsidRPr="00D5464D">
        <w:rPr>
          <w:rFonts w:eastAsia="Batang" w:cs="Times"/>
          <w:szCs w:val="24"/>
          <w:lang w:val="pt-BR" w:eastAsia="es-ES"/>
        </w:rPr>
        <w:t xml:space="preserve">se </w:t>
      </w:r>
      <w:r w:rsidR="00737270" w:rsidRPr="00D5464D">
        <w:rPr>
          <w:rFonts w:eastAsia="Batang" w:cs="Times"/>
          <w:szCs w:val="24"/>
          <w:lang w:val="pt-BR" w:eastAsia="es-ES"/>
        </w:rPr>
        <w:t>existiram</w:t>
      </w:r>
      <w:r w:rsidRPr="00D5464D">
        <w:rPr>
          <w:rFonts w:eastAsia="Batang" w:cs="Times"/>
          <w:szCs w:val="24"/>
          <w:lang w:val="pt-BR" w:eastAsia="es-ES"/>
        </w:rPr>
        <w:t xml:space="preserve"> atos</w:t>
      </w:r>
      <w:r w:rsidR="00E045D9" w:rsidRPr="00D5464D">
        <w:rPr>
          <w:rFonts w:eastAsia="Batang" w:cs="Times"/>
          <w:szCs w:val="24"/>
          <w:lang w:val="pt-BR" w:eastAsia="es-ES"/>
        </w:rPr>
        <w:t xml:space="preserve"> e </w:t>
      </w:r>
      <w:r w:rsidR="000A52D5" w:rsidRPr="00D5464D">
        <w:rPr>
          <w:rFonts w:eastAsia="Batang" w:cs="Times"/>
          <w:szCs w:val="24"/>
          <w:lang w:val="pt-BR" w:eastAsia="es-ES"/>
        </w:rPr>
        <w:t>o</w:t>
      </w:r>
      <w:r w:rsidR="002C330E" w:rsidRPr="00D5464D">
        <w:rPr>
          <w:rFonts w:eastAsia="Batang" w:cs="Times"/>
          <w:szCs w:val="24"/>
          <w:lang w:val="pt-BR" w:eastAsia="es-ES"/>
        </w:rPr>
        <w:t>missões</w:t>
      </w:r>
      <w:r w:rsidR="000A52D5" w:rsidRPr="00D5464D">
        <w:rPr>
          <w:rFonts w:eastAsia="Batang" w:cs="Times"/>
          <w:szCs w:val="24"/>
          <w:lang w:val="pt-BR" w:eastAsia="es-ES"/>
        </w:rPr>
        <w:t xml:space="preserve"> </w:t>
      </w:r>
      <w:r w:rsidR="00A1358C" w:rsidRPr="00D5464D">
        <w:rPr>
          <w:rFonts w:eastAsia="Batang" w:cs="Times"/>
          <w:szCs w:val="24"/>
          <w:lang w:val="pt-BR" w:eastAsia="es-ES"/>
        </w:rPr>
        <w:t>violatóri</w:t>
      </w:r>
      <w:r w:rsidR="000A52D5" w:rsidRPr="00D5464D">
        <w:rPr>
          <w:rFonts w:eastAsia="Batang" w:cs="Times"/>
          <w:szCs w:val="24"/>
          <w:lang w:val="pt-BR" w:eastAsia="es-ES"/>
        </w:rPr>
        <w:t xml:space="preserve">as de </w:t>
      </w:r>
      <w:r w:rsidR="002C330E" w:rsidRPr="00D5464D">
        <w:rPr>
          <w:rFonts w:eastAsia="Batang" w:cs="Times"/>
          <w:szCs w:val="24"/>
          <w:lang w:val="pt-BR" w:eastAsia="es-ES"/>
        </w:rPr>
        <w:t>garantias</w:t>
      </w:r>
      <w:r w:rsidR="000A52D5" w:rsidRPr="00D5464D">
        <w:rPr>
          <w:rFonts w:eastAsia="Batang" w:cs="Times"/>
          <w:szCs w:val="24"/>
          <w:lang w:val="pt-BR" w:eastAsia="es-ES"/>
        </w:rPr>
        <w:t xml:space="preserve"> de </w:t>
      </w:r>
      <w:r w:rsidRPr="00D5464D">
        <w:rPr>
          <w:rFonts w:eastAsia="Batang" w:cs="Times"/>
          <w:szCs w:val="24"/>
          <w:lang w:val="pt-BR" w:eastAsia="es-ES"/>
        </w:rPr>
        <w:t xml:space="preserve">acesso à </w:t>
      </w:r>
      <w:r w:rsidR="002C330E" w:rsidRPr="00D5464D">
        <w:rPr>
          <w:rFonts w:eastAsia="Batang" w:cs="Times"/>
          <w:szCs w:val="24"/>
          <w:lang w:val="pt-BR" w:eastAsia="es-ES"/>
        </w:rPr>
        <w:t>justiça</w:t>
      </w:r>
      <w:r w:rsidR="000A52D5" w:rsidRPr="00D5464D">
        <w:rPr>
          <w:rFonts w:eastAsia="Batang" w:cs="Times"/>
          <w:szCs w:val="24"/>
          <w:lang w:val="pt-BR" w:eastAsia="es-ES"/>
        </w:rPr>
        <w:t xml:space="preserve"> que </w:t>
      </w:r>
      <w:r w:rsidR="00C91CB1" w:rsidRPr="00D5464D">
        <w:rPr>
          <w:rFonts w:eastAsia="Batang" w:cs="Times"/>
          <w:szCs w:val="24"/>
          <w:lang w:val="pt-BR" w:eastAsia="es-ES"/>
        </w:rPr>
        <w:t>poderiam</w:t>
      </w:r>
      <w:r w:rsidR="000A52D5" w:rsidRPr="00D5464D">
        <w:rPr>
          <w:rFonts w:eastAsia="Batang" w:cs="Times"/>
          <w:szCs w:val="24"/>
          <w:lang w:val="pt-BR" w:eastAsia="es-ES"/>
        </w:rPr>
        <w:t xml:space="preserve"> </w:t>
      </w:r>
      <w:r w:rsidR="00A1358C" w:rsidRPr="00D5464D">
        <w:rPr>
          <w:rFonts w:eastAsia="Batang" w:cs="Times"/>
          <w:szCs w:val="24"/>
          <w:lang w:val="pt-BR" w:eastAsia="es-ES"/>
        </w:rPr>
        <w:t>gerar</w:t>
      </w:r>
      <w:r w:rsidR="000A52D5" w:rsidRPr="00D5464D">
        <w:rPr>
          <w:rFonts w:eastAsia="Batang" w:cs="Times"/>
          <w:szCs w:val="24"/>
          <w:lang w:val="pt-BR" w:eastAsia="es-ES"/>
        </w:rPr>
        <w:t xml:space="preserve"> </w:t>
      </w:r>
      <w:r w:rsidR="002C330E" w:rsidRPr="00D5464D">
        <w:rPr>
          <w:rFonts w:eastAsia="Batang" w:cs="Times"/>
          <w:szCs w:val="24"/>
          <w:lang w:val="pt-BR" w:eastAsia="es-ES"/>
        </w:rPr>
        <w:t xml:space="preserve">responsabilidade </w:t>
      </w:r>
      <w:r w:rsidR="000A52D5" w:rsidRPr="00D5464D">
        <w:rPr>
          <w:rFonts w:eastAsia="Batang" w:cs="Times"/>
          <w:szCs w:val="24"/>
          <w:lang w:val="pt-BR" w:eastAsia="es-ES"/>
        </w:rPr>
        <w:t>internacional</w:t>
      </w:r>
      <w:r w:rsidRPr="00D5464D">
        <w:rPr>
          <w:rFonts w:eastAsia="Batang" w:cs="Times"/>
          <w:szCs w:val="24"/>
          <w:lang w:val="pt-BR" w:eastAsia="es-ES"/>
        </w:rPr>
        <w:t xml:space="preserve"> ao </w:t>
      </w:r>
      <w:r w:rsidR="000A52D5" w:rsidRPr="00D5464D">
        <w:rPr>
          <w:rFonts w:eastAsia="Batang" w:cs="Times"/>
          <w:szCs w:val="24"/>
          <w:lang w:val="pt-BR" w:eastAsia="es-ES"/>
        </w:rPr>
        <w:t xml:space="preserve">Estado. </w:t>
      </w:r>
      <w:r w:rsidR="004233D4" w:rsidRPr="00D5464D">
        <w:rPr>
          <w:rFonts w:eastAsia="Batang" w:cs="Times"/>
          <w:szCs w:val="24"/>
          <w:lang w:val="pt-BR" w:eastAsia="es-ES"/>
        </w:rPr>
        <w:t xml:space="preserve">Em razão do </w:t>
      </w:r>
      <w:r w:rsidR="000A52D5" w:rsidRPr="00D5464D">
        <w:rPr>
          <w:rFonts w:eastAsia="Batang" w:cs="Times"/>
          <w:szCs w:val="24"/>
          <w:lang w:val="pt-BR" w:eastAsia="es-ES"/>
        </w:rPr>
        <w:t>anterior,</w:t>
      </w:r>
      <w:r w:rsidR="002C330E" w:rsidRPr="00D5464D">
        <w:rPr>
          <w:rFonts w:eastAsia="Batang" w:cs="Times"/>
          <w:szCs w:val="24"/>
          <w:lang w:val="pt-BR" w:eastAsia="es-ES"/>
        </w:rPr>
        <w:t xml:space="preserve"> a </w:t>
      </w:r>
      <w:r w:rsidR="000A52D5" w:rsidRPr="00D5464D">
        <w:rPr>
          <w:rFonts w:eastAsia="Batang" w:cs="Times"/>
          <w:szCs w:val="24"/>
          <w:lang w:val="pt-BR" w:eastAsia="es-ES"/>
        </w:rPr>
        <w:t xml:space="preserve">Corte </w:t>
      </w:r>
      <w:r w:rsidR="004233D4" w:rsidRPr="00D5464D">
        <w:rPr>
          <w:rFonts w:eastAsia="Batang" w:cs="Times"/>
          <w:szCs w:val="24"/>
          <w:lang w:val="pt-BR" w:eastAsia="es-ES"/>
        </w:rPr>
        <w:t xml:space="preserve">rejeita </w:t>
      </w:r>
      <w:r w:rsidR="002C330E" w:rsidRPr="00D5464D">
        <w:rPr>
          <w:rFonts w:eastAsia="Batang" w:cs="Times"/>
          <w:szCs w:val="24"/>
          <w:lang w:val="pt-BR" w:eastAsia="es-ES"/>
        </w:rPr>
        <w:t xml:space="preserve">a </w:t>
      </w:r>
      <w:r w:rsidR="000A52D5" w:rsidRPr="00D5464D">
        <w:rPr>
          <w:rFonts w:eastAsia="Batang" w:cs="Times"/>
          <w:szCs w:val="24"/>
          <w:lang w:val="pt-BR" w:eastAsia="es-ES"/>
        </w:rPr>
        <w:t xml:space="preserve">presente </w:t>
      </w:r>
      <w:r w:rsidRPr="00D5464D">
        <w:rPr>
          <w:rFonts w:eastAsia="Batang" w:cs="Times"/>
          <w:szCs w:val="24"/>
          <w:lang w:val="pt-BR" w:eastAsia="es-ES"/>
        </w:rPr>
        <w:t>exceção</w:t>
      </w:r>
      <w:r w:rsidR="000A52D5" w:rsidRPr="00D5464D">
        <w:rPr>
          <w:rFonts w:eastAsia="Batang" w:cs="Times"/>
          <w:szCs w:val="24"/>
          <w:lang w:val="pt-BR" w:eastAsia="es-ES"/>
        </w:rPr>
        <w:t xml:space="preserve"> preliminar. </w:t>
      </w:r>
    </w:p>
    <w:p w14:paraId="382813E5" w14:textId="77777777" w:rsidR="000A52D5" w:rsidRPr="00D5464D" w:rsidRDefault="000A52D5" w:rsidP="00140440">
      <w:pPr>
        <w:tabs>
          <w:tab w:val="clear" w:pos="4419"/>
          <w:tab w:val="clear" w:pos="8838"/>
        </w:tabs>
        <w:jc w:val="both"/>
        <w:rPr>
          <w:rFonts w:eastAsia="Batang" w:cs="Times"/>
          <w:szCs w:val="24"/>
          <w:u w:val="single"/>
          <w:lang w:val="pt-BR" w:eastAsia="es-ES"/>
        </w:rPr>
      </w:pPr>
    </w:p>
    <w:p w14:paraId="74900B49" w14:textId="16153250" w:rsidR="000A52D5" w:rsidRPr="00D5464D" w:rsidRDefault="000A52D5" w:rsidP="00F306D7">
      <w:pPr>
        <w:pStyle w:val="Ttulo2"/>
        <w:numPr>
          <w:ilvl w:val="0"/>
          <w:numId w:val="15"/>
        </w:numPr>
        <w:rPr>
          <w:rFonts w:eastAsia="Batang"/>
          <w:lang w:val="pt-BR" w:eastAsia="es-ES"/>
        </w:rPr>
      </w:pPr>
      <w:bookmarkStart w:id="121" w:name="_Toc468433866"/>
      <w:r w:rsidRPr="00D5464D">
        <w:rPr>
          <w:rFonts w:eastAsia="Batang"/>
          <w:lang w:val="pt-BR" w:eastAsia="es-ES"/>
        </w:rPr>
        <w:t>Alegada in</w:t>
      </w:r>
      <w:r w:rsidR="00470ADC" w:rsidRPr="00D5464D">
        <w:rPr>
          <w:rFonts w:eastAsia="Batang"/>
          <w:lang w:val="pt-BR" w:eastAsia="es-ES"/>
        </w:rPr>
        <w:t>competência</w:t>
      </w:r>
      <w:r w:rsidRPr="00D5464D">
        <w:rPr>
          <w:rFonts w:eastAsia="Batang"/>
          <w:lang w:val="pt-BR" w:eastAsia="es-ES"/>
        </w:rPr>
        <w:t xml:space="preserve"> ratione materiae relativa a </w:t>
      </w:r>
      <w:r w:rsidR="002C330E" w:rsidRPr="00D5464D">
        <w:rPr>
          <w:rFonts w:eastAsia="Batang"/>
          <w:lang w:val="pt-BR" w:eastAsia="es-ES"/>
        </w:rPr>
        <w:t>suposta</w:t>
      </w:r>
      <w:r w:rsidRPr="00D5464D">
        <w:rPr>
          <w:rFonts w:eastAsia="Batang"/>
          <w:lang w:val="pt-BR" w:eastAsia="es-ES"/>
        </w:rPr>
        <w:t>s viola</w:t>
      </w:r>
      <w:r w:rsidR="00470ADC" w:rsidRPr="00D5464D">
        <w:rPr>
          <w:rFonts w:eastAsia="Batang"/>
          <w:lang w:val="pt-BR" w:eastAsia="es-ES"/>
        </w:rPr>
        <w:t xml:space="preserve">ções da </w:t>
      </w:r>
      <w:r w:rsidR="002C330E" w:rsidRPr="00D5464D">
        <w:rPr>
          <w:rFonts w:eastAsia="Batang"/>
          <w:lang w:val="pt-BR" w:eastAsia="es-ES"/>
        </w:rPr>
        <w:t>proibição</w:t>
      </w:r>
      <w:r w:rsidRPr="00D5464D">
        <w:rPr>
          <w:rFonts w:eastAsia="Batang"/>
          <w:lang w:val="pt-BR" w:eastAsia="es-ES"/>
        </w:rPr>
        <w:t xml:space="preserve"> </w:t>
      </w:r>
      <w:r w:rsidR="00470ADC" w:rsidRPr="00D5464D">
        <w:rPr>
          <w:rFonts w:eastAsia="Batang"/>
          <w:lang w:val="pt-BR" w:eastAsia="es-ES"/>
        </w:rPr>
        <w:t xml:space="preserve">do </w:t>
      </w:r>
      <w:r w:rsidRPr="00D5464D">
        <w:rPr>
          <w:rFonts w:eastAsia="Batang"/>
          <w:lang w:val="pt-BR" w:eastAsia="es-ES"/>
        </w:rPr>
        <w:t xml:space="preserve">tráfico de </w:t>
      </w:r>
      <w:r w:rsidR="002C330E" w:rsidRPr="00D5464D">
        <w:rPr>
          <w:rFonts w:eastAsia="Batang"/>
          <w:lang w:val="pt-BR" w:eastAsia="es-ES"/>
        </w:rPr>
        <w:t>pessoa</w:t>
      </w:r>
      <w:r w:rsidRPr="00D5464D">
        <w:rPr>
          <w:rFonts w:eastAsia="Batang"/>
          <w:lang w:val="pt-BR" w:eastAsia="es-ES"/>
        </w:rPr>
        <w:t>s</w:t>
      </w:r>
      <w:bookmarkEnd w:id="121"/>
    </w:p>
    <w:p w14:paraId="550DDA37" w14:textId="77777777" w:rsidR="000A52D5" w:rsidRPr="00D5464D" w:rsidRDefault="000A52D5" w:rsidP="00140440">
      <w:pPr>
        <w:tabs>
          <w:tab w:val="clear" w:pos="4419"/>
          <w:tab w:val="clear" w:pos="8838"/>
        </w:tabs>
        <w:jc w:val="both"/>
        <w:rPr>
          <w:rFonts w:eastAsia="Batang" w:cs="Times"/>
          <w:szCs w:val="24"/>
          <w:lang w:val="pt-BR" w:eastAsia="es-ES"/>
        </w:rPr>
      </w:pPr>
    </w:p>
    <w:p w14:paraId="0F796300" w14:textId="43FF40FC" w:rsidR="000A52D5" w:rsidRPr="00D5464D" w:rsidRDefault="003D4561" w:rsidP="000A20C1">
      <w:pPr>
        <w:pStyle w:val="Ttulo3"/>
        <w:rPr>
          <w:lang w:val="pt-BR" w:eastAsia="es-ES"/>
        </w:rPr>
      </w:pPr>
      <w:bookmarkStart w:id="122" w:name="_Toc460432979"/>
      <w:bookmarkStart w:id="123" w:name="_Toc460441910"/>
      <w:bookmarkStart w:id="124" w:name="_Toc462750730"/>
      <w:bookmarkStart w:id="125" w:name="_Toc462751054"/>
      <w:bookmarkStart w:id="126" w:name="_Toc464813906"/>
      <w:bookmarkStart w:id="127" w:name="_Toc468433867"/>
      <w:r w:rsidRPr="00D5464D">
        <w:rPr>
          <w:lang w:val="pt-BR" w:eastAsia="es-ES"/>
        </w:rPr>
        <w:t>F</w:t>
      </w:r>
      <w:r w:rsidR="000A52D5" w:rsidRPr="00D5464D">
        <w:rPr>
          <w:lang w:val="pt-BR" w:eastAsia="es-ES"/>
        </w:rPr>
        <w:t xml:space="preserve">.1. </w:t>
      </w:r>
      <w:r w:rsidR="00470ADC" w:rsidRPr="00D5464D">
        <w:rPr>
          <w:lang w:val="pt-BR" w:eastAsia="es-ES"/>
        </w:rPr>
        <w:t>Alegações</w:t>
      </w:r>
      <w:r w:rsidR="00246E8D" w:rsidRPr="00D5464D">
        <w:rPr>
          <w:lang w:val="pt-BR" w:eastAsia="es-ES"/>
        </w:rPr>
        <w:t xml:space="preserve"> </w:t>
      </w:r>
      <w:r w:rsidR="00470ADC" w:rsidRPr="00D5464D">
        <w:rPr>
          <w:lang w:val="pt-BR" w:eastAsia="es-ES"/>
        </w:rPr>
        <w:t xml:space="preserve">do </w:t>
      </w:r>
      <w:r w:rsidR="00246E8D" w:rsidRPr="00D5464D">
        <w:rPr>
          <w:lang w:val="pt-BR" w:eastAsia="es-ES"/>
        </w:rPr>
        <w:t>Estado,</w:t>
      </w:r>
      <w:r w:rsidR="000A52D5" w:rsidRPr="00D5464D">
        <w:rPr>
          <w:lang w:val="pt-BR" w:eastAsia="es-ES"/>
        </w:rPr>
        <w:t xml:space="preserve"> observa</w:t>
      </w:r>
      <w:r w:rsidR="00470ADC" w:rsidRPr="00D5464D">
        <w:rPr>
          <w:lang w:val="pt-BR" w:eastAsia="es-ES"/>
        </w:rPr>
        <w:t>ções da Comissão</w:t>
      </w:r>
      <w:r w:rsidR="00E045D9" w:rsidRPr="00D5464D">
        <w:rPr>
          <w:lang w:val="pt-BR" w:eastAsia="es-ES"/>
        </w:rPr>
        <w:t xml:space="preserve"> e </w:t>
      </w:r>
      <w:r w:rsidR="00470ADC" w:rsidRPr="00D5464D">
        <w:rPr>
          <w:lang w:val="pt-BR" w:eastAsia="es-ES"/>
        </w:rPr>
        <w:t xml:space="preserve">dos </w:t>
      </w:r>
      <w:r w:rsidR="00EB1CE9" w:rsidRPr="00D5464D">
        <w:rPr>
          <w:lang w:val="pt-BR" w:eastAsia="es-ES"/>
        </w:rPr>
        <w:t>representante</w:t>
      </w:r>
      <w:r w:rsidR="000A52D5" w:rsidRPr="00D5464D">
        <w:rPr>
          <w:lang w:val="pt-BR" w:eastAsia="es-ES"/>
        </w:rPr>
        <w:t>s</w:t>
      </w:r>
      <w:bookmarkEnd w:id="122"/>
      <w:bookmarkEnd w:id="123"/>
      <w:bookmarkEnd w:id="124"/>
      <w:bookmarkEnd w:id="125"/>
      <w:bookmarkEnd w:id="126"/>
      <w:bookmarkEnd w:id="127"/>
    </w:p>
    <w:p w14:paraId="1E597139" w14:textId="77777777" w:rsidR="00D65024" w:rsidRPr="00D5464D" w:rsidRDefault="00D65024" w:rsidP="00D65024">
      <w:pPr>
        <w:tabs>
          <w:tab w:val="clear" w:pos="4419"/>
          <w:tab w:val="clear" w:pos="8838"/>
        </w:tabs>
        <w:jc w:val="both"/>
        <w:rPr>
          <w:rFonts w:eastAsia="Batang" w:cs="Times"/>
          <w:szCs w:val="24"/>
          <w:lang w:val="pt-BR" w:eastAsia="es-ES"/>
        </w:rPr>
      </w:pPr>
    </w:p>
    <w:p w14:paraId="71A88804" w14:textId="1F3558F7" w:rsidR="000A52D5" w:rsidRPr="00D5464D" w:rsidRDefault="00470AD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O </w:t>
      </w:r>
      <w:r w:rsidR="000A52D5" w:rsidRPr="00D5464D">
        <w:rPr>
          <w:rFonts w:eastAsia="Batang" w:cs="Times"/>
          <w:b/>
          <w:i/>
          <w:szCs w:val="24"/>
          <w:lang w:val="pt-BR" w:eastAsia="es-ES"/>
        </w:rPr>
        <w:t>Estado</w:t>
      </w:r>
      <w:r w:rsidR="000A52D5" w:rsidRPr="00D5464D">
        <w:rPr>
          <w:rFonts w:eastAsia="Batang" w:cs="Times"/>
          <w:szCs w:val="24"/>
          <w:lang w:val="pt-BR" w:eastAsia="es-ES"/>
        </w:rPr>
        <w:t xml:space="preserve"> </w:t>
      </w:r>
      <w:r w:rsidR="00350187" w:rsidRPr="00D5464D">
        <w:rPr>
          <w:rFonts w:eastAsia="Batang" w:cs="Times"/>
          <w:szCs w:val="24"/>
          <w:lang w:val="pt-BR" w:eastAsia="es-ES"/>
        </w:rPr>
        <w:t>expôs</w:t>
      </w:r>
      <w:r w:rsidR="000A52D5" w:rsidRPr="00D5464D">
        <w:rPr>
          <w:rFonts w:eastAsia="Batang" w:cs="Times"/>
          <w:szCs w:val="24"/>
          <w:lang w:val="pt-BR" w:eastAsia="es-ES"/>
        </w:rPr>
        <w:t xml:space="preserve"> que</w:t>
      </w:r>
      <w:r w:rsidR="002C330E" w:rsidRPr="00D5464D">
        <w:rPr>
          <w:rFonts w:eastAsia="Batang" w:cs="Times"/>
          <w:szCs w:val="24"/>
          <w:lang w:val="pt-BR" w:eastAsia="es-ES"/>
        </w:rPr>
        <w:t xml:space="preserve"> nem a </w:t>
      </w:r>
      <w:r w:rsidRPr="00D5464D">
        <w:rPr>
          <w:rFonts w:eastAsia="Batang" w:cs="Times"/>
          <w:szCs w:val="24"/>
          <w:lang w:val="pt-BR" w:eastAsia="es-ES"/>
        </w:rPr>
        <w:t>Comissão</w:t>
      </w:r>
      <w:r w:rsidR="002C330E" w:rsidRPr="00D5464D">
        <w:rPr>
          <w:rFonts w:eastAsia="Batang" w:cs="Times"/>
          <w:szCs w:val="24"/>
          <w:lang w:val="pt-BR" w:eastAsia="es-ES"/>
        </w:rPr>
        <w:t xml:space="preserve"> nem a </w:t>
      </w:r>
      <w:r w:rsidR="000A52D5" w:rsidRPr="00D5464D">
        <w:rPr>
          <w:rFonts w:eastAsia="Batang" w:cs="Times"/>
          <w:szCs w:val="24"/>
          <w:lang w:val="pt-BR" w:eastAsia="es-ES"/>
        </w:rPr>
        <w:t xml:space="preserve">Corte </w:t>
      </w:r>
      <w:r w:rsidR="001F7A76" w:rsidRPr="00D5464D">
        <w:rPr>
          <w:rFonts w:eastAsia="Batang" w:cs="Times"/>
          <w:szCs w:val="24"/>
          <w:lang w:val="pt-BR" w:eastAsia="es-ES"/>
        </w:rPr>
        <w:t xml:space="preserve">possuem </w:t>
      </w:r>
      <w:r w:rsidRPr="00D5464D">
        <w:rPr>
          <w:rFonts w:eastAsia="Batang" w:cs="Times"/>
          <w:szCs w:val="24"/>
          <w:lang w:val="pt-BR" w:eastAsia="es-ES"/>
        </w:rPr>
        <w:t>competência</w:t>
      </w:r>
      <w:r w:rsidR="000A52D5" w:rsidRPr="00D5464D">
        <w:rPr>
          <w:rFonts w:eastAsia="Batang" w:cs="Times"/>
          <w:szCs w:val="24"/>
          <w:lang w:val="pt-BR" w:eastAsia="es-ES"/>
        </w:rPr>
        <w:t xml:space="preserve"> para </w:t>
      </w:r>
      <w:r w:rsidR="00737270" w:rsidRPr="00D5464D">
        <w:rPr>
          <w:rFonts w:eastAsia="Batang" w:cs="Times"/>
          <w:szCs w:val="24"/>
          <w:lang w:val="pt-BR" w:eastAsia="es-ES"/>
        </w:rPr>
        <w:t>processar</w:t>
      </w:r>
      <w:r w:rsidR="000A52D5" w:rsidRPr="00D5464D">
        <w:rPr>
          <w:rFonts w:eastAsia="Batang" w:cs="Times"/>
          <w:szCs w:val="24"/>
          <w:lang w:val="pt-BR" w:eastAsia="es-ES"/>
        </w:rPr>
        <w:t xml:space="preserve"> peti</w:t>
      </w:r>
      <w:r w:rsidRPr="00D5464D">
        <w:rPr>
          <w:rFonts w:eastAsia="Batang" w:cs="Times"/>
          <w:szCs w:val="24"/>
          <w:lang w:val="pt-BR" w:eastAsia="es-ES"/>
        </w:rPr>
        <w:t>ções</w:t>
      </w:r>
      <w:r w:rsidR="000A52D5" w:rsidRPr="00D5464D">
        <w:rPr>
          <w:rFonts w:eastAsia="Batang" w:cs="Times"/>
          <w:szCs w:val="24"/>
          <w:lang w:val="pt-BR" w:eastAsia="es-ES"/>
        </w:rPr>
        <w:t xml:space="preserve"> </w:t>
      </w:r>
      <w:r w:rsidR="002C330E" w:rsidRPr="00D5464D">
        <w:rPr>
          <w:rFonts w:eastAsia="Batang" w:cs="Times"/>
          <w:szCs w:val="24"/>
          <w:lang w:val="pt-BR" w:eastAsia="es-ES"/>
        </w:rPr>
        <w:t>individuais</w:t>
      </w:r>
      <w:r w:rsidR="000A52D5" w:rsidRPr="00D5464D">
        <w:rPr>
          <w:rFonts w:eastAsia="Batang" w:cs="Times"/>
          <w:szCs w:val="24"/>
          <w:lang w:val="pt-BR" w:eastAsia="es-ES"/>
        </w:rPr>
        <w:t xml:space="preserve"> que alegu</w:t>
      </w:r>
      <w:r w:rsidR="00877C28" w:rsidRPr="00D5464D">
        <w:rPr>
          <w:rFonts w:eastAsia="Batang" w:cs="Times"/>
          <w:szCs w:val="24"/>
          <w:lang w:val="pt-BR" w:eastAsia="es-ES"/>
        </w:rPr>
        <w:t xml:space="preserve">em a </w:t>
      </w:r>
      <w:r w:rsidR="000A52D5" w:rsidRPr="00D5464D">
        <w:rPr>
          <w:rFonts w:eastAsia="Batang" w:cs="Times"/>
          <w:szCs w:val="24"/>
          <w:lang w:val="pt-BR" w:eastAsia="es-ES"/>
        </w:rPr>
        <w:t>su</w:t>
      </w:r>
      <w:r w:rsidR="002C330E" w:rsidRPr="00D5464D">
        <w:rPr>
          <w:rFonts w:eastAsia="Batang" w:cs="Times"/>
          <w:szCs w:val="24"/>
          <w:lang w:val="pt-BR" w:eastAsia="es-ES"/>
        </w:rPr>
        <w:t>posta</w:t>
      </w:r>
      <w:r w:rsidR="000A52D5" w:rsidRPr="00D5464D">
        <w:rPr>
          <w:rFonts w:eastAsia="Batang" w:cs="Times"/>
          <w:szCs w:val="24"/>
          <w:lang w:val="pt-BR" w:eastAsia="es-ES"/>
        </w:rPr>
        <w:t xml:space="preserve"> viola</w:t>
      </w:r>
      <w:r w:rsidRPr="00D5464D">
        <w:rPr>
          <w:rFonts w:eastAsia="Batang" w:cs="Times"/>
          <w:szCs w:val="24"/>
          <w:lang w:val="pt-BR" w:eastAsia="es-ES"/>
        </w:rPr>
        <w:t>ção</w:t>
      </w:r>
      <w:r w:rsidR="000A52D5" w:rsidRPr="00D5464D">
        <w:rPr>
          <w:rFonts w:eastAsia="Batang" w:cs="Times"/>
          <w:szCs w:val="24"/>
          <w:lang w:val="pt-BR" w:eastAsia="es-ES"/>
        </w:rPr>
        <w:t xml:space="preserve"> de </w:t>
      </w:r>
      <w:r w:rsidRPr="00D5464D">
        <w:rPr>
          <w:rFonts w:eastAsia="Batang" w:cs="Times"/>
          <w:szCs w:val="24"/>
          <w:lang w:val="pt-BR" w:eastAsia="es-ES"/>
        </w:rPr>
        <w:t>compromissos</w:t>
      </w:r>
      <w:r w:rsidR="000A52D5" w:rsidRPr="00D5464D">
        <w:rPr>
          <w:rFonts w:eastAsia="Batang" w:cs="Times"/>
          <w:szCs w:val="24"/>
          <w:lang w:val="pt-BR" w:eastAsia="es-ES"/>
        </w:rPr>
        <w:t xml:space="preserve"> </w:t>
      </w:r>
      <w:r w:rsidR="002C330E" w:rsidRPr="00D5464D">
        <w:rPr>
          <w:rFonts w:eastAsia="Batang" w:cs="Times"/>
          <w:szCs w:val="24"/>
          <w:lang w:val="pt-BR" w:eastAsia="es-ES"/>
        </w:rPr>
        <w:t>internacionais</w:t>
      </w:r>
      <w:r w:rsidR="000A52D5" w:rsidRPr="00D5464D">
        <w:rPr>
          <w:rFonts w:eastAsia="Batang" w:cs="Times"/>
          <w:szCs w:val="24"/>
          <w:lang w:val="pt-BR" w:eastAsia="es-ES"/>
        </w:rPr>
        <w:t xml:space="preserve"> </w:t>
      </w:r>
      <w:r w:rsidR="00E045D9" w:rsidRPr="00D5464D">
        <w:rPr>
          <w:rFonts w:eastAsia="Batang" w:cs="Times"/>
          <w:szCs w:val="24"/>
          <w:lang w:val="pt-BR" w:eastAsia="es-ES"/>
        </w:rPr>
        <w:t>assumid</w:t>
      </w:r>
      <w:r w:rsidR="00877C28" w:rsidRPr="00D5464D">
        <w:rPr>
          <w:rFonts w:eastAsia="Batang" w:cs="Times"/>
          <w:szCs w:val="24"/>
          <w:lang w:val="pt-BR" w:eastAsia="es-ES"/>
        </w:rPr>
        <w:t xml:space="preserve">os pelo </w:t>
      </w:r>
      <w:r w:rsidR="000A52D5" w:rsidRPr="00D5464D">
        <w:rPr>
          <w:rFonts w:eastAsia="Batang" w:cs="Times"/>
          <w:szCs w:val="24"/>
          <w:lang w:val="pt-BR" w:eastAsia="es-ES"/>
        </w:rPr>
        <w:t xml:space="preserve">Brasil para </w:t>
      </w:r>
      <w:r w:rsidR="00E045D9" w:rsidRPr="00D5464D">
        <w:rPr>
          <w:rFonts w:eastAsia="Batang" w:cs="Times"/>
          <w:szCs w:val="24"/>
          <w:lang w:val="pt-BR" w:eastAsia="es-ES"/>
        </w:rPr>
        <w:t>proibir</w:t>
      </w:r>
      <w:r w:rsidRPr="00D5464D">
        <w:rPr>
          <w:rFonts w:eastAsia="Batang" w:cs="Times"/>
          <w:szCs w:val="24"/>
          <w:lang w:val="pt-BR" w:eastAsia="es-ES"/>
        </w:rPr>
        <w:t xml:space="preserve"> o </w:t>
      </w:r>
      <w:r w:rsidR="000A52D5" w:rsidRPr="00D5464D">
        <w:rPr>
          <w:rFonts w:eastAsia="Batang" w:cs="Times"/>
          <w:szCs w:val="24"/>
          <w:lang w:val="pt-BR" w:eastAsia="es-ES"/>
        </w:rPr>
        <w:t xml:space="preserve">tráfico de </w:t>
      </w:r>
      <w:r w:rsidR="002C330E" w:rsidRPr="00D5464D">
        <w:rPr>
          <w:rFonts w:eastAsia="Batang" w:cs="Times"/>
          <w:szCs w:val="24"/>
          <w:lang w:val="pt-BR" w:eastAsia="es-ES"/>
        </w:rPr>
        <w:t>pessoa</w:t>
      </w:r>
      <w:r w:rsidR="000A52D5" w:rsidRPr="00D5464D">
        <w:rPr>
          <w:rFonts w:eastAsia="Batang" w:cs="Times"/>
          <w:szCs w:val="24"/>
          <w:lang w:val="pt-BR" w:eastAsia="es-ES"/>
        </w:rPr>
        <w:t xml:space="preserve">s, </w:t>
      </w:r>
      <w:r w:rsidR="002C330E" w:rsidRPr="00D5464D">
        <w:rPr>
          <w:rFonts w:eastAsia="Batang" w:cs="Times"/>
          <w:szCs w:val="24"/>
          <w:lang w:val="pt-BR" w:eastAsia="es-ES"/>
        </w:rPr>
        <w:t xml:space="preserve">posto </w:t>
      </w:r>
      <w:r w:rsidR="000A52D5" w:rsidRPr="00D5464D">
        <w:rPr>
          <w:rFonts w:eastAsia="Batang" w:cs="Times"/>
          <w:szCs w:val="24"/>
          <w:lang w:val="pt-BR" w:eastAsia="es-ES"/>
        </w:rPr>
        <w:t>que</w:t>
      </w:r>
      <w:r w:rsidR="002C330E" w:rsidRPr="00D5464D">
        <w:rPr>
          <w:rFonts w:eastAsia="Batang" w:cs="Times"/>
          <w:szCs w:val="24"/>
          <w:lang w:val="pt-BR" w:eastAsia="es-ES"/>
        </w:rPr>
        <w:t xml:space="preserve"> a </w:t>
      </w:r>
      <w:r w:rsidRPr="00D5464D">
        <w:rPr>
          <w:rFonts w:eastAsia="Batang" w:cs="Times"/>
          <w:szCs w:val="24"/>
          <w:lang w:val="pt-BR" w:eastAsia="es-ES"/>
        </w:rPr>
        <w:t xml:space="preserve">competência da </w:t>
      </w:r>
      <w:r w:rsidR="000A52D5" w:rsidRPr="00D5464D">
        <w:rPr>
          <w:rFonts w:eastAsia="Batang" w:cs="Times"/>
          <w:szCs w:val="24"/>
          <w:lang w:val="pt-BR" w:eastAsia="es-ES"/>
        </w:rPr>
        <w:t>Corte se limita</w:t>
      </w:r>
      <w:r w:rsidRPr="00D5464D">
        <w:rPr>
          <w:rFonts w:eastAsia="Batang" w:cs="Times"/>
          <w:szCs w:val="24"/>
          <w:lang w:val="pt-BR" w:eastAsia="es-ES"/>
        </w:rPr>
        <w:t xml:space="preserve"> ao exame</w:t>
      </w:r>
      <w:r w:rsidR="000A52D5" w:rsidRPr="00D5464D">
        <w:rPr>
          <w:rFonts w:eastAsia="Batang" w:cs="Times"/>
          <w:szCs w:val="24"/>
          <w:lang w:val="pt-BR" w:eastAsia="es-ES"/>
        </w:rPr>
        <w:t xml:space="preserve"> de su</w:t>
      </w:r>
      <w:r w:rsidR="002C330E" w:rsidRPr="00D5464D">
        <w:rPr>
          <w:rFonts w:eastAsia="Batang" w:cs="Times"/>
          <w:szCs w:val="24"/>
          <w:lang w:val="pt-BR" w:eastAsia="es-ES"/>
        </w:rPr>
        <w:t>posta</w:t>
      </w:r>
      <w:r w:rsidR="000A52D5" w:rsidRPr="00D5464D">
        <w:rPr>
          <w:rFonts w:eastAsia="Batang" w:cs="Times"/>
          <w:szCs w:val="24"/>
          <w:lang w:val="pt-BR" w:eastAsia="es-ES"/>
        </w:rPr>
        <w:t>s viola</w:t>
      </w:r>
      <w:r w:rsidRPr="00D5464D">
        <w:rPr>
          <w:rFonts w:eastAsia="Batang" w:cs="Times"/>
          <w:szCs w:val="24"/>
          <w:lang w:val="pt-BR" w:eastAsia="es-ES"/>
        </w:rPr>
        <w:t xml:space="preserve">ções à </w:t>
      </w:r>
      <w:r w:rsidR="002C330E" w:rsidRPr="00D5464D">
        <w:rPr>
          <w:rFonts w:eastAsia="Batang" w:cs="Times"/>
          <w:szCs w:val="24"/>
          <w:lang w:val="pt-BR" w:eastAsia="es-ES"/>
        </w:rPr>
        <w:t>proibição</w:t>
      </w:r>
      <w:r w:rsidRPr="00D5464D">
        <w:rPr>
          <w:rFonts w:eastAsia="Batang" w:cs="Times"/>
          <w:szCs w:val="24"/>
          <w:lang w:val="pt-BR" w:eastAsia="es-ES"/>
        </w:rPr>
        <w:t xml:space="preserve"> ao </w:t>
      </w:r>
      <w:r w:rsidR="000A52D5" w:rsidRPr="00D5464D">
        <w:rPr>
          <w:rFonts w:eastAsia="Batang" w:cs="Times"/>
          <w:szCs w:val="24"/>
          <w:lang w:val="pt-BR" w:eastAsia="es-ES"/>
        </w:rPr>
        <w:t xml:space="preserve">tráfico de </w:t>
      </w:r>
      <w:r w:rsidR="004F1CC2" w:rsidRPr="00D5464D">
        <w:rPr>
          <w:rFonts w:eastAsia="Batang" w:cs="Times"/>
          <w:szCs w:val="24"/>
          <w:lang w:val="pt-BR" w:eastAsia="es-ES"/>
        </w:rPr>
        <w:t>escravo</w:t>
      </w:r>
      <w:r w:rsidR="000A52D5" w:rsidRPr="00D5464D">
        <w:rPr>
          <w:rFonts w:eastAsia="Batang" w:cs="Times"/>
          <w:szCs w:val="24"/>
          <w:lang w:val="pt-BR" w:eastAsia="es-ES"/>
        </w:rPr>
        <w:t>s</w:t>
      </w:r>
      <w:r w:rsidR="00E045D9" w:rsidRPr="00D5464D">
        <w:rPr>
          <w:rFonts w:eastAsia="Batang" w:cs="Times"/>
          <w:szCs w:val="24"/>
          <w:lang w:val="pt-BR" w:eastAsia="es-ES"/>
        </w:rPr>
        <w:t xml:space="preserve"> e </w:t>
      </w:r>
      <w:r w:rsidR="000A52D5" w:rsidRPr="00D5464D">
        <w:rPr>
          <w:rFonts w:eastAsia="Batang" w:cs="Times"/>
          <w:szCs w:val="24"/>
          <w:lang w:val="pt-BR" w:eastAsia="es-ES"/>
        </w:rPr>
        <w:t xml:space="preserve">de </w:t>
      </w:r>
      <w:r w:rsidR="002C330E" w:rsidRPr="00D5464D">
        <w:rPr>
          <w:rFonts w:eastAsia="Batang" w:cs="Times"/>
          <w:szCs w:val="24"/>
          <w:lang w:val="pt-BR" w:eastAsia="es-ES"/>
        </w:rPr>
        <w:t>mulher</w:t>
      </w:r>
      <w:r w:rsidR="000A52D5" w:rsidRPr="00D5464D">
        <w:rPr>
          <w:rFonts w:eastAsia="Batang" w:cs="Times"/>
          <w:szCs w:val="24"/>
          <w:lang w:val="pt-BR" w:eastAsia="es-ES"/>
        </w:rPr>
        <w:t xml:space="preserve">es, </w:t>
      </w:r>
      <w:r w:rsidRPr="00D5464D">
        <w:rPr>
          <w:rFonts w:eastAsia="Batang" w:cs="Times"/>
          <w:szCs w:val="24"/>
          <w:lang w:val="pt-BR" w:eastAsia="es-ES"/>
        </w:rPr>
        <w:t>estabelecid</w:t>
      </w:r>
      <w:r w:rsidR="000A52D5" w:rsidRPr="00D5464D">
        <w:rPr>
          <w:rFonts w:eastAsia="Batang" w:cs="Times"/>
          <w:szCs w:val="24"/>
          <w:lang w:val="pt-BR" w:eastAsia="es-ES"/>
        </w:rPr>
        <w:t>as</w:t>
      </w:r>
      <w:r w:rsidR="00E045D9" w:rsidRPr="00D5464D">
        <w:rPr>
          <w:rFonts w:eastAsia="Batang" w:cs="Times"/>
          <w:szCs w:val="24"/>
          <w:lang w:val="pt-BR" w:eastAsia="es-ES"/>
        </w:rPr>
        <w:t xml:space="preserve"> no </w:t>
      </w:r>
      <w:r w:rsidRPr="00D5464D">
        <w:rPr>
          <w:rFonts w:eastAsia="Batang" w:cs="Times"/>
          <w:szCs w:val="24"/>
          <w:lang w:val="pt-BR" w:eastAsia="es-ES"/>
        </w:rPr>
        <w:t>artigo</w:t>
      </w:r>
      <w:r w:rsidR="000A52D5" w:rsidRPr="00D5464D">
        <w:rPr>
          <w:rFonts w:eastAsia="Batang" w:cs="Times"/>
          <w:szCs w:val="24"/>
          <w:lang w:val="pt-BR" w:eastAsia="es-ES"/>
        </w:rPr>
        <w:t xml:space="preserve"> 6</w:t>
      </w:r>
      <w:r w:rsidRPr="00D5464D">
        <w:rPr>
          <w:rFonts w:eastAsia="Batang" w:cs="Times"/>
          <w:szCs w:val="24"/>
          <w:lang w:val="pt-BR" w:eastAsia="es-ES"/>
        </w:rPr>
        <w:t xml:space="preserve"> da </w:t>
      </w:r>
      <w:r w:rsidR="000A52D5" w:rsidRPr="00D5464D">
        <w:rPr>
          <w:rFonts w:eastAsia="Batang" w:cs="Times"/>
          <w:szCs w:val="24"/>
          <w:lang w:val="pt-BR" w:eastAsia="es-ES"/>
        </w:rPr>
        <w:t>Conven</w:t>
      </w:r>
      <w:r w:rsidRPr="00D5464D">
        <w:rPr>
          <w:rFonts w:eastAsia="Batang" w:cs="Times"/>
          <w:szCs w:val="24"/>
          <w:lang w:val="pt-BR" w:eastAsia="es-ES"/>
        </w:rPr>
        <w:t>ção</w:t>
      </w:r>
      <w:r w:rsidR="000A52D5" w:rsidRPr="00D5464D">
        <w:rPr>
          <w:rFonts w:eastAsia="Batang" w:cs="Times"/>
          <w:szCs w:val="24"/>
          <w:lang w:val="pt-BR" w:eastAsia="es-ES"/>
        </w:rPr>
        <w:t xml:space="preserve"> Americana, </w:t>
      </w:r>
      <w:r w:rsidRPr="00D5464D">
        <w:rPr>
          <w:rFonts w:eastAsia="Batang" w:cs="Times"/>
          <w:szCs w:val="24"/>
          <w:lang w:val="pt-BR" w:eastAsia="es-ES"/>
        </w:rPr>
        <w:t>cuja</w:t>
      </w:r>
      <w:r w:rsidR="000A52D5" w:rsidRPr="00D5464D">
        <w:rPr>
          <w:rFonts w:eastAsia="Batang" w:cs="Times"/>
          <w:szCs w:val="24"/>
          <w:lang w:val="pt-BR" w:eastAsia="es-ES"/>
        </w:rPr>
        <w:t xml:space="preserve"> </w:t>
      </w:r>
      <w:r w:rsidR="002C330E" w:rsidRPr="00D5464D">
        <w:rPr>
          <w:rFonts w:eastAsia="Batang" w:cs="Times"/>
          <w:szCs w:val="24"/>
          <w:lang w:val="pt-BR" w:eastAsia="es-ES"/>
        </w:rPr>
        <w:t>infração</w:t>
      </w:r>
      <w:r w:rsidR="000A52D5" w:rsidRPr="00D5464D">
        <w:rPr>
          <w:rFonts w:eastAsia="Batang" w:cs="Times"/>
          <w:szCs w:val="24"/>
          <w:lang w:val="pt-BR" w:eastAsia="es-ES"/>
        </w:rPr>
        <w:t xml:space="preserve"> </w:t>
      </w:r>
      <w:r w:rsidR="00737270" w:rsidRPr="00D5464D">
        <w:rPr>
          <w:rFonts w:eastAsia="Batang" w:cs="Times"/>
          <w:szCs w:val="24"/>
          <w:lang w:val="pt-BR" w:eastAsia="es-ES"/>
        </w:rPr>
        <w:t>não foi</w:t>
      </w:r>
      <w:r w:rsidR="002C330E" w:rsidRPr="00D5464D">
        <w:rPr>
          <w:rFonts w:eastAsia="Batang" w:cs="Times"/>
          <w:szCs w:val="24"/>
          <w:lang w:val="pt-BR" w:eastAsia="es-ES"/>
        </w:rPr>
        <w:t xml:space="preserve"> </w:t>
      </w:r>
      <w:r w:rsidR="000A52D5" w:rsidRPr="00D5464D">
        <w:rPr>
          <w:rFonts w:eastAsia="Batang" w:cs="Times"/>
          <w:szCs w:val="24"/>
          <w:lang w:val="pt-BR" w:eastAsia="es-ES"/>
        </w:rPr>
        <w:t>alegada</w:t>
      </w:r>
      <w:r w:rsidR="002C330E" w:rsidRPr="00D5464D">
        <w:rPr>
          <w:rFonts w:eastAsia="Batang" w:cs="Times"/>
          <w:szCs w:val="24"/>
          <w:lang w:val="pt-BR" w:eastAsia="es-ES"/>
        </w:rPr>
        <w:t xml:space="preserve"> pela </w:t>
      </w:r>
      <w:r w:rsidRPr="00D5464D">
        <w:rPr>
          <w:rFonts w:eastAsia="Batang" w:cs="Times"/>
          <w:szCs w:val="24"/>
          <w:lang w:val="pt-BR" w:eastAsia="es-ES"/>
        </w:rPr>
        <w:t>Comissão</w:t>
      </w:r>
      <w:r w:rsidR="000A52D5" w:rsidRPr="00D5464D">
        <w:rPr>
          <w:rFonts w:eastAsia="Batang" w:cs="Times"/>
          <w:szCs w:val="24"/>
          <w:lang w:val="pt-BR" w:eastAsia="es-ES"/>
        </w:rPr>
        <w:t xml:space="preserve"> </w:t>
      </w:r>
      <w:r w:rsidR="00877C28" w:rsidRPr="00D5464D">
        <w:rPr>
          <w:rFonts w:eastAsia="Batang" w:cs="Times"/>
          <w:szCs w:val="24"/>
          <w:lang w:val="pt-BR" w:eastAsia="es-ES"/>
        </w:rPr>
        <w:t xml:space="preserve">nem </w:t>
      </w:r>
      <w:r w:rsidR="00737270" w:rsidRPr="00D5464D">
        <w:rPr>
          <w:rFonts w:eastAsia="Batang" w:cs="Times"/>
          <w:szCs w:val="24"/>
          <w:lang w:val="pt-BR" w:eastAsia="es-ES"/>
        </w:rPr>
        <w:t xml:space="preserve">pelos </w:t>
      </w:r>
      <w:r w:rsidR="00EB1CE9" w:rsidRPr="00D5464D">
        <w:rPr>
          <w:rFonts w:eastAsia="Batang" w:cs="Times"/>
          <w:szCs w:val="24"/>
          <w:lang w:val="pt-BR" w:eastAsia="es-ES"/>
        </w:rPr>
        <w:t>representante</w:t>
      </w:r>
      <w:r w:rsidR="00737270" w:rsidRPr="00D5464D">
        <w:rPr>
          <w:rFonts w:eastAsia="Batang" w:cs="Times"/>
          <w:szCs w:val="24"/>
          <w:lang w:val="pt-BR" w:eastAsia="es-ES"/>
        </w:rPr>
        <w:t xml:space="preserve">s </w:t>
      </w:r>
      <w:r w:rsidR="00E045D9" w:rsidRPr="00D5464D">
        <w:rPr>
          <w:rFonts w:eastAsia="Batang" w:cs="Times"/>
          <w:szCs w:val="24"/>
          <w:lang w:val="pt-BR" w:eastAsia="es-ES"/>
        </w:rPr>
        <w:t xml:space="preserve">no </w:t>
      </w:r>
      <w:r w:rsidR="000A52D5" w:rsidRPr="00D5464D">
        <w:rPr>
          <w:rFonts w:eastAsia="Batang" w:cs="Times"/>
          <w:szCs w:val="24"/>
          <w:lang w:val="pt-BR" w:eastAsia="es-ES"/>
        </w:rPr>
        <w:t xml:space="preserve">presente </w:t>
      </w:r>
      <w:r w:rsidR="00877C28" w:rsidRPr="00D5464D">
        <w:rPr>
          <w:rFonts w:eastAsia="Batang" w:cs="Times"/>
          <w:szCs w:val="24"/>
          <w:lang w:val="pt-BR" w:eastAsia="es-ES"/>
        </w:rPr>
        <w:t>caso</w:t>
      </w:r>
      <w:r w:rsidR="000A52D5" w:rsidRPr="00D5464D">
        <w:rPr>
          <w:rFonts w:eastAsia="Batang" w:cs="Times"/>
          <w:szCs w:val="24"/>
          <w:lang w:val="pt-BR" w:eastAsia="es-ES"/>
        </w:rPr>
        <w:t xml:space="preserve">. </w:t>
      </w:r>
      <w:r w:rsidR="00877C28" w:rsidRPr="00D5464D">
        <w:rPr>
          <w:rFonts w:eastAsia="Batang" w:cs="Times"/>
          <w:szCs w:val="24"/>
          <w:lang w:val="pt-BR" w:eastAsia="es-ES"/>
        </w:rPr>
        <w:t xml:space="preserve">Em atenção ao </w:t>
      </w:r>
      <w:r w:rsidR="000A52D5" w:rsidRPr="00D5464D">
        <w:rPr>
          <w:rFonts w:eastAsia="Batang" w:cs="Times"/>
          <w:szCs w:val="24"/>
          <w:lang w:val="pt-BR" w:eastAsia="es-ES"/>
        </w:rPr>
        <w:t xml:space="preserve">anterior, </w:t>
      </w:r>
      <w:r w:rsidRPr="00D5464D">
        <w:rPr>
          <w:rFonts w:eastAsia="Batang" w:cs="Times"/>
          <w:szCs w:val="24"/>
          <w:lang w:val="pt-BR" w:eastAsia="es-ES"/>
        </w:rPr>
        <w:t>considerou</w:t>
      </w:r>
      <w:r w:rsidR="000A52D5" w:rsidRPr="00D5464D">
        <w:rPr>
          <w:rFonts w:eastAsia="Batang" w:cs="Times"/>
          <w:szCs w:val="24"/>
          <w:lang w:val="pt-BR" w:eastAsia="es-ES"/>
        </w:rPr>
        <w:t xml:space="preserve"> que</w:t>
      </w:r>
      <w:r w:rsidR="002C330E" w:rsidRPr="00D5464D">
        <w:rPr>
          <w:rFonts w:eastAsia="Batang" w:cs="Times"/>
          <w:szCs w:val="24"/>
          <w:lang w:val="pt-BR" w:eastAsia="es-ES"/>
        </w:rPr>
        <w:t xml:space="preserve"> a </w:t>
      </w:r>
      <w:r w:rsidR="000A52D5" w:rsidRPr="00D5464D">
        <w:rPr>
          <w:rFonts w:eastAsia="Batang" w:cs="Times"/>
          <w:szCs w:val="24"/>
          <w:lang w:val="pt-BR" w:eastAsia="es-ES"/>
        </w:rPr>
        <w:t xml:space="preserve">Corte </w:t>
      </w:r>
      <w:r w:rsidR="002C330E" w:rsidRPr="00D5464D">
        <w:rPr>
          <w:rFonts w:eastAsia="Batang" w:cs="Times"/>
          <w:szCs w:val="24"/>
          <w:lang w:val="pt-BR" w:eastAsia="es-ES"/>
        </w:rPr>
        <w:t xml:space="preserve">não possui </w:t>
      </w:r>
      <w:r w:rsidRPr="00D5464D">
        <w:rPr>
          <w:rFonts w:eastAsia="Batang" w:cs="Times"/>
          <w:szCs w:val="24"/>
          <w:lang w:val="pt-BR" w:eastAsia="es-ES"/>
        </w:rPr>
        <w:t>competência</w:t>
      </w:r>
      <w:r w:rsidR="000A52D5" w:rsidRPr="00D5464D">
        <w:rPr>
          <w:rFonts w:eastAsia="Batang" w:cs="Times"/>
          <w:szCs w:val="24"/>
          <w:lang w:val="pt-BR" w:eastAsia="es-ES"/>
        </w:rPr>
        <w:t xml:space="preserve"> para </w:t>
      </w:r>
      <w:r w:rsidRPr="00D5464D">
        <w:rPr>
          <w:rFonts w:eastAsia="Batang" w:cs="Times"/>
          <w:szCs w:val="24"/>
          <w:lang w:val="pt-BR" w:eastAsia="es-ES"/>
        </w:rPr>
        <w:t>analisar</w:t>
      </w:r>
      <w:r w:rsidR="00877C28" w:rsidRPr="00D5464D">
        <w:rPr>
          <w:rFonts w:eastAsia="Batang" w:cs="Times"/>
          <w:szCs w:val="24"/>
          <w:lang w:val="pt-BR" w:eastAsia="es-ES"/>
        </w:rPr>
        <w:t>,</w:t>
      </w:r>
      <w:r w:rsidR="00E045D9" w:rsidRPr="00D5464D">
        <w:rPr>
          <w:rFonts w:eastAsia="Batang" w:cs="Times"/>
          <w:szCs w:val="24"/>
          <w:lang w:val="pt-BR" w:eastAsia="es-ES"/>
        </w:rPr>
        <w:t xml:space="preserve"> no </w:t>
      </w:r>
      <w:r w:rsidRPr="00D5464D">
        <w:rPr>
          <w:rFonts w:eastAsia="Batang" w:cs="Times"/>
          <w:szCs w:val="24"/>
          <w:lang w:val="pt-BR" w:eastAsia="es-ES"/>
        </w:rPr>
        <w:t>mérito</w:t>
      </w:r>
      <w:r w:rsidR="00877C28" w:rsidRPr="00D5464D">
        <w:rPr>
          <w:rFonts w:eastAsia="Batang" w:cs="Times"/>
          <w:szCs w:val="24"/>
          <w:lang w:val="pt-BR" w:eastAsia="es-ES"/>
        </w:rPr>
        <w:t>,</w:t>
      </w:r>
      <w:r w:rsidR="002C330E" w:rsidRPr="00D5464D">
        <w:rPr>
          <w:rFonts w:eastAsia="Batang" w:cs="Times"/>
          <w:szCs w:val="24"/>
          <w:lang w:val="pt-BR" w:eastAsia="es-ES"/>
        </w:rPr>
        <w:t xml:space="preserve"> a </w:t>
      </w:r>
      <w:r w:rsidR="000A52D5" w:rsidRPr="00D5464D">
        <w:rPr>
          <w:rFonts w:eastAsia="Batang" w:cs="Times"/>
          <w:szCs w:val="24"/>
          <w:lang w:val="pt-BR" w:eastAsia="es-ES"/>
        </w:rPr>
        <w:t>su</w:t>
      </w:r>
      <w:r w:rsidR="002C330E" w:rsidRPr="00D5464D">
        <w:rPr>
          <w:rFonts w:eastAsia="Batang" w:cs="Times"/>
          <w:szCs w:val="24"/>
          <w:lang w:val="pt-BR" w:eastAsia="es-ES"/>
        </w:rPr>
        <w:t>posta</w:t>
      </w:r>
      <w:r w:rsidR="000A52D5" w:rsidRPr="00D5464D">
        <w:rPr>
          <w:rFonts w:eastAsia="Batang" w:cs="Times"/>
          <w:szCs w:val="24"/>
          <w:lang w:val="pt-BR" w:eastAsia="es-ES"/>
        </w:rPr>
        <w:t xml:space="preserve"> viola</w:t>
      </w:r>
      <w:r w:rsidRPr="00D5464D">
        <w:rPr>
          <w:rFonts w:eastAsia="Batang" w:cs="Times"/>
          <w:szCs w:val="24"/>
          <w:lang w:val="pt-BR" w:eastAsia="es-ES"/>
        </w:rPr>
        <w:t>ção dos compromissos</w:t>
      </w:r>
      <w:r w:rsidR="000A52D5" w:rsidRPr="00D5464D">
        <w:rPr>
          <w:rFonts w:eastAsia="Batang" w:cs="Times"/>
          <w:szCs w:val="24"/>
          <w:lang w:val="pt-BR" w:eastAsia="es-ES"/>
        </w:rPr>
        <w:t xml:space="preserve"> </w:t>
      </w:r>
      <w:r w:rsidR="002C330E" w:rsidRPr="00D5464D">
        <w:rPr>
          <w:rFonts w:eastAsia="Batang" w:cs="Times"/>
          <w:szCs w:val="24"/>
          <w:lang w:val="pt-BR" w:eastAsia="es-ES"/>
        </w:rPr>
        <w:t>internacionais</w:t>
      </w:r>
      <w:r w:rsidR="000A52D5" w:rsidRPr="00D5464D">
        <w:rPr>
          <w:rFonts w:eastAsia="Batang" w:cs="Times"/>
          <w:szCs w:val="24"/>
          <w:lang w:val="pt-BR" w:eastAsia="es-ES"/>
        </w:rPr>
        <w:t xml:space="preserve"> </w:t>
      </w:r>
      <w:r w:rsidR="00E045D9" w:rsidRPr="00D5464D">
        <w:rPr>
          <w:rFonts w:eastAsia="Batang" w:cs="Times"/>
          <w:szCs w:val="24"/>
          <w:lang w:val="pt-BR" w:eastAsia="es-ES"/>
        </w:rPr>
        <w:t>assumid</w:t>
      </w:r>
      <w:r w:rsidR="000A52D5" w:rsidRPr="00D5464D">
        <w:rPr>
          <w:rFonts w:eastAsia="Batang" w:cs="Times"/>
          <w:szCs w:val="24"/>
          <w:lang w:val="pt-BR" w:eastAsia="es-ES"/>
        </w:rPr>
        <w:t>os</w:t>
      </w:r>
      <w:r w:rsidR="002C330E" w:rsidRPr="00D5464D">
        <w:rPr>
          <w:rFonts w:eastAsia="Batang" w:cs="Times"/>
          <w:szCs w:val="24"/>
          <w:lang w:val="pt-BR" w:eastAsia="es-ES"/>
        </w:rPr>
        <w:t xml:space="preserve"> pelo </w:t>
      </w:r>
      <w:r w:rsidR="000A52D5" w:rsidRPr="00D5464D">
        <w:rPr>
          <w:rFonts w:eastAsia="Batang" w:cs="Times"/>
          <w:szCs w:val="24"/>
          <w:lang w:val="pt-BR" w:eastAsia="es-ES"/>
        </w:rPr>
        <w:t>Estado</w:t>
      </w:r>
      <w:r w:rsidRPr="00D5464D">
        <w:rPr>
          <w:rFonts w:eastAsia="Batang" w:cs="Times"/>
          <w:szCs w:val="24"/>
          <w:lang w:val="pt-BR" w:eastAsia="es-ES"/>
        </w:rPr>
        <w:t xml:space="preserve"> em </w:t>
      </w:r>
      <w:r w:rsidR="002C330E" w:rsidRPr="00D5464D">
        <w:rPr>
          <w:rFonts w:eastAsia="Batang" w:cs="Times"/>
          <w:szCs w:val="24"/>
          <w:lang w:val="pt-BR" w:eastAsia="es-ES"/>
        </w:rPr>
        <w:t xml:space="preserve">matéria </w:t>
      </w:r>
      <w:r w:rsidR="000A52D5" w:rsidRPr="00D5464D">
        <w:rPr>
          <w:rFonts w:eastAsia="Batang" w:cs="Times"/>
          <w:szCs w:val="24"/>
          <w:lang w:val="pt-BR" w:eastAsia="es-ES"/>
        </w:rPr>
        <w:t>de preven</w:t>
      </w:r>
      <w:r w:rsidRPr="00D5464D">
        <w:rPr>
          <w:rFonts w:eastAsia="Batang" w:cs="Times"/>
          <w:szCs w:val="24"/>
          <w:lang w:val="pt-BR" w:eastAsia="es-ES"/>
        </w:rPr>
        <w:t>ção</w:t>
      </w:r>
      <w:r w:rsidR="00E045D9" w:rsidRPr="00D5464D">
        <w:rPr>
          <w:rFonts w:eastAsia="Batang" w:cs="Times"/>
          <w:szCs w:val="24"/>
          <w:lang w:val="pt-BR" w:eastAsia="es-ES"/>
        </w:rPr>
        <w:t xml:space="preserve"> e </w:t>
      </w:r>
      <w:r w:rsidR="000A52D5" w:rsidRPr="00D5464D">
        <w:rPr>
          <w:rFonts w:eastAsia="Batang" w:cs="Times"/>
          <w:szCs w:val="24"/>
          <w:lang w:val="pt-BR" w:eastAsia="es-ES"/>
        </w:rPr>
        <w:t>combate</w:t>
      </w:r>
      <w:r w:rsidRPr="00D5464D">
        <w:rPr>
          <w:rFonts w:eastAsia="Batang" w:cs="Times"/>
          <w:szCs w:val="24"/>
          <w:lang w:val="pt-BR" w:eastAsia="es-ES"/>
        </w:rPr>
        <w:t xml:space="preserve"> ao </w:t>
      </w:r>
      <w:r w:rsidR="000A52D5" w:rsidRPr="00D5464D">
        <w:rPr>
          <w:rFonts w:eastAsia="Batang" w:cs="Times"/>
          <w:szCs w:val="24"/>
          <w:lang w:val="pt-BR" w:eastAsia="es-ES"/>
        </w:rPr>
        <w:t xml:space="preserve">tráfico de </w:t>
      </w:r>
      <w:r w:rsidR="002C330E" w:rsidRPr="00D5464D">
        <w:rPr>
          <w:rFonts w:eastAsia="Batang" w:cs="Times"/>
          <w:szCs w:val="24"/>
          <w:lang w:val="pt-BR" w:eastAsia="es-ES"/>
        </w:rPr>
        <w:t>pessoa</w:t>
      </w:r>
      <w:r w:rsidR="000A52D5" w:rsidRPr="00D5464D">
        <w:rPr>
          <w:rFonts w:eastAsia="Batang" w:cs="Times"/>
          <w:szCs w:val="24"/>
          <w:lang w:val="pt-BR" w:eastAsia="es-ES"/>
        </w:rPr>
        <w:t>s.</w:t>
      </w:r>
      <w:r w:rsidR="00FF1290" w:rsidRPr="00D5464D">
        <w:rPr>
          <w:rFonts w:eastAsia="Batang" w:cs="Times"/>
          <w:szCs w:val="24"/>
          <w:lang w:val="pt-BR" w:eastAsia="es-ES"/>
        </w:rPr>
        <w:t xml:space="preserve"> </w:t>
      </w:r>
    </w:p>
    <w:p w14:paraId="546A0DB2" w14:textId="77777777" w:rsidR="00D65024" w:rsidRPr="00D5464D" w:rsidRDefault="00D65024" w:rsidP="00D65024">
      <w:pPr>
        <w:tabs>
          <w:tab w:val="clear" w:pos="4419"/>
          <w:tab w:val="clear" w:pos="8838"/>
        </w:tabs>
        <w:jc w:val="both"/>
        <w:rPr>
          <w:rFonts w:eastAsia="Batang" w:cs="Times"/>
          <w:szCs w:val="24"/>
          <w:lang w:val="pt-BR" w:eastAsia="es-ES"/>
        </w:rPr>
      </w:pPr>
    </w:p>
    <w:p w14:paraId="1567BD21" w14:textId="4C7D9C04" w:rsidR="000A52D5" w:rsidRPr="00D5464D" w:rsidRDefault="00470AD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A </w:t>
      </w:r>
      <w:r w:rsidRPr="00D5464D">
        <w:rPr>
          <w:rFonts w:eastAsia="Batang" w:cs="Times"/>
          <w:b/>
          <w:i/>
          <w:szCs w:val="24"/>
          <w:lang w:val="pt-BR" w:eastAsia="es-ES"/>
        </w:rPr>
        <w:t>Comissão</w:t>
      </w:r>
      <w:r w:rsidR="000A52D5" w:rsidRPr="00D5464D">
        <w:rPr>
          <w:rFonts w:eastAsia="Batang" w:cs="Times"/>
          <w:szCs w:val="24"/>
          <w:lang w:val="pt-BR" w:eastAsia="es-ES"/>
        </w:rPr>
        <w:t xml:space="preserve"> </w:t>
      </w:r>
      <w:r w:rsidR="00877C28" w:rsidRPr="00D5464D">
        <w:rPr>
          <w:rFonts w:eastAsia="Batang" w:cs="Times"/>
          <w:szCs w:val="24"/>
          <w:lang w:val="pt-BR" w:eastAsia="es-ES"/>
        </w:rPr>
        <w:t xml:space="preserve">esclareceu </w:t>
      </w:r>
      <w:r w:rsidR="000A52D5" w:rsidRPr="00D5464D">
        <w:rPr>
          <w:rFonts w:eastAsia="Batang" w:cs="Times"/>
          <w:szCs w:val="24"/>
          <w:lang w:val="pt-BR" w:eastAsia="es-ES"/>
        </w:rPr>
        <w:t xml:space="preserve">que </w:t>
      </w:r>
      <w:r w:rsidR="00121008" w:rsidRPr="00D5464D">
        <w:rPr>
          <w:rFonts w:eastAsia="Batang" w:cs="Times"/>
          <w:szCs w:val="24"/>
          <w:lang w:val="pt-BR" w:eastAsia="es-ES"/>
        </w:rPr>
        <w:t>concorda</w:t>
      </w:r>
      <w:r w:rsidRPr="00D5464D">
        <w:rPr>
          <w:rFonts w:eastAsia="Batang" w:cs="Times"/>
          <w:szCs w:val="24"/>
          <w:lang w:val="pt-BR" w:eastAsia="es-ES"/>
        </w:rPr>
        <w:t xml:space="preserve"> com o </w:t>
      </w:r>
      <w:r w:rsidR="000A52D5" w:rsidRPr="00D5464D">
        <w:rPr>
          <w:rFonts w:eastAsia="Batang" w:cs="Times"/>
          <w:szCs w:val="24"/>
          <w:lang w:val="pt-BR" w:eastAsia="es-ES"/>
        </w:rPr>
        <w:t>Estado</w:t>
      </w:r>
      <w:r w:rsidRPr="00D5464D">
        <w:rPr>
          <w:rFonts w:eastAsia="Batang" w:cs="Times"/>
          <w:szCs w:val="24"/>
          <w:lang w:val="pt-BR" w:eastAsia="es-ES"/>
        </w:rPr>
        <w:t xml:space="preserve"> </w:t>
      </w:r>
      <w:r w:rsidR="00BA3497" w:rsidRPr="00D5464D">
        <w:rPr>
          <w:rFonts w:eastAsia="Batang" w:cs="Times"/>
          <w:szCs w:val="24"/>
          <w:lang w:val="pt-BR" w:eastAsia="es-ES"/>
        </w:rPr>
        <w:t xml:space="preserve">em relação </w:t>
      </w:r>
      <w:r w:rsidR="000A52D5" w:rsidRPr="00D5464D">
        <w:rPr>
          <w:rFonts w:eastAsia="Batang" w:cs="Times"/>
          <w:szCs w:val="24"/>
          <w:lang w:val="pt-BR" w:eastAsia="es-ES"/>
        </w:rPr>
        <w:t>a que</w:t>
      </w:r>
      <w:r w:rsidR="002C330E" w:rsidRPr="00D5464D">
        <w:rPr>
          <w:rFonts w:eastAsia="Batang" w:cs="Times"/>
          <w:szCs w:val="24"/>
          <w:lang w:val="pt-BR" w:eastAsia="es-ES"/>
        </w:rPr>
        <w:t xml:space="preserve"> a </w:t>
      </w:r>
      <w:r w:rsidRPr="00D5464D">
        <w:rPr>
          <w:rFonts w:eastAsia="Batang" w:cs="Times"/>
          <w:szCs w:val="24"/>
          <w:lang w:val="pt-BR" w:eastAsia="es-ES"/>
        </w:rPr>
        <w:t>competência</w:t>
      </w:r>
      <w:r w:rsidR="000A52D5" w:rsidRPr="00D5464D">
        <w:rPr>
          <w:rFonts w:eastAsia="Batang" w:cs="Times"/>
          <w:szCs w:val="24"/>
          <w:lang w:val="pt-BR" w:eastAsia="es-ES"/>
        </w:rPr>
        <w:t xml:space="preserve"> contenciosa</w:t>
      </w:r>
      <w:r w:rsidRPr="00D5464D">
        <w:rPr>
          <w:rFonts w:eastAsia="Batang" w:cs="Times"/>
          <w:szCs w:val="24"/>
          <w:lang w:val="pt-BR" w:eastAsia="es-ES"/>
        </w:rPr>
        <w:t xml:space="preserve"> da </w:t>
      </w:r>
      <w:r w:rsidR="000A52D5" w:rsidRPr="00D5464D">
        <w:rPr>
          <w:rFonts w:eastAsia="Batang" w:cs="Times"/>
          <w:szCs w:val="24"/>
          <w:lang w:val="pt-BR" w:eastAsia="es-ES"/>
        </w:rPr>
        <w:t>Corte está limitada</w:t>
      </w:r>
      <w:r w:rsidRPr="00D5464D">
        <w:rPr>
          <w:rFonts w:eastAsia="Batang" w:cs="Times"/>
          <w:szCs w:val="24"/>
          <w:lang w:val="pt-BR" w:eastAsia="es-ES"/>
        </w:rPr>
        <w:t xml:space="preserve"> à </w:t>
      </w:r>
      <w:r w:rsidR="000A52D5" w:rsidRPr="00D5464D">
        <w:rPr>
          <w:rFonts w:eastAsia="Batang" w:cs="Times"/>
          <w:szCs w:val="24"/>
          <w:lang w:val="pt-BR" w:eastAsia="es-ES"/>
        </w:rPr>
        <w:t>Conven</w:t>
      </w:r>
      <w:r w:rsidRPr="00D5464D">
        <w:rPr>
          <w:rFonts w:eastAsia="Batang" w:cs="Times"/>
          <w:szCs w:val="24"/>
          <w:lang w:val="pt-BR" w:eastAsia="es-ES"/>
        </w:rPr>
        <w:t>ção</w:t>
      </w:r>
      <w:r w:rsidR="00E045D9" w:rsidRPr="00D5464D">
        <w:rPr>
          <w:rFonts w:eastAsia="Batang" w:cs="Times"/>
          <w:szCs w:val="24"/>
          <w:lang w:val="pt-BR" w:eastAsia="es-ES"/>
        </w:rPr>
        <w:t xml:space="preserve"> e aos </w:t>
      </w:r>
      <w:r w:rsidR="000A52D5" w:rsidRPr="00D5464D">
        <w:rPr>
          <w:rFonts w:eastAsia="Batang" w:cs="Times"/>
          <w:szCs w:val="24"/>
          <w:lang w:val="pt-BR" w:eastAsia="es-ES"/>
        </w:rPr>
        <w:t xml:space="preserve">instrumentos </w:t>
      </w:r>
      <w:r w:rsidR="00877C28" w:rsidRPr="00D5464D">
        <w:rPr>
          <w:rFonts w:eastAsia="Batang" w:cs="Times"/>
          <w:szCs w:val="24"/>
          <w:lang w:val="pt-BR" w:eastAsia="es-ES"/>
        </w:rPr>
        <w:t>n</w:t>
      </w:r>
      <w:r w:rsidRPr="00D5464D">
        <w:rPr>
          <w:rFonts w:eastAsia="Batang" w:cs="Times"/>
          <w:szCs w:val="24"/>
          <w:lang w:val="pt-BR" w:eastAsia="es-ES"/>
        </w:rPr>
        <w:t>o âmbito</w:t>
      </w:r>
      <w:r w:rsidR="000A52D5" w:rsidRPr="00D5464D">
        <w:rPr>
          <w:rFonts w:eastAsia="Batang" w:cs="Times"/>
          <w:szCs w:val="24"/>
          <w:lang w:val="pt-BR" w:eastAsia="es-ES"/>
        </w:rPr>
        <w:t xml:space="preserve"> interamericano</w:t>
      </w:r>
      <w:r w:rsidR="00BA3497" w:rsidRPr="00D5464D">
        <w:rPr>
          <w:rFonts w:eastAsia="Batang" w:cs="Times"/>
          <w:szCs w:val="24"/>
          <w:lang w:val="pt-BR" w:eastAsia="es-ES"/>
        </w:rPr>
        <w:t>. Entretanto</w:t>
      </w:r>
      <w:r w:rsidR="000A52D5" w:rsidRPr="00D5464D">
        <w:rPr>
          <w:rFonts w:eastAsia="Batang" w:cs="Times"/>
          <w:szCs w:val="24"/>
          <w:lang w:val="pt-BR" w:eastAsia="es-ES"/>
        </w:rPr>
        <w:t xml:space="preserve">, </w:t>
      </w:r>
      <w:r w:rsidR="00121008" w:rsidRPr="00D5464D">
        <w:rPr>
          <w:rFonts w:eastAsia="Batang" w:cs="Times"/>
          <w:szCs w:val="24"/>
          <w:lang w:val="pt-BR" w:eastAsia="es-ES"/>
        </w:rPr>
        <w:t>registrou</w:t>
      </w:r>
      <w:r w:rsidR="000A52D5" w:rsidRPr="00D5464D">
        <w:rPr>
          <w:rFonts w:eastAsia="Batang" w:cs="Times"/>
          <w:szCs w:val="24"/>
          <w:lang w:val="pt-BR" w:eastAsia="es-ES"/>
        </w:rPr>
        <w:t xml:space="preserve"> que</w:t>
      </w:r>
      <w:r w:rsidRPr="00D5464D">
        <w:rPr>
          <w:rFonts w:eastAsia="Batang" w:cs="Times"/>
          <w:szCs w:val="24"/>
          <w:lang w:val="pt-BR" w:eastAsia="es-ES"/>
        </w:rPr>
        <w:t xml:space="preserve"> </w:t>
      </w:r>
      <w:r w:rsidR="00877C28" w:rsidRPr="00D5464D">
        <w:rPr>
          <w:rFonts w:eastAsia="Batang" w:cs="Times"/>
          <w:szCs w:val="24"/>
          <w:lang w:val="pt-BR" w:eastAsia="es-ES"/>
        </w:rPr>
        <w:t xml:space="preserve">isso não significa </w:t>
      </w:r>
      <w:r w:rsidR="000A52D5" w:rsidRPr="00D5464D">
        <w:rPr>
          <w:rFonts w:eastAsia="Batang" w:cs="Times"/>
          <w:szCs w:val="24"/>
          <w:lang w:val="pt-BR" w:eastAsia="es-ES"/>
        </w:rPr>
        <w:t>que</w:t>
      </w:r>
      <w:r w:rsidR="002C330E" w:rsidRPr="00D5464D">
        <w:rPr>
          <w:rFonts w:eastAsia="Batang" w:cs="Times"/>
          <w:szCs w:val="24"/>
          <w:lang w:val="pt-BR" w:eastAsia="es-ES"/>
        </w:rPr>
        <w:t xml:space="preserve"> seja impossível</w:t>
      </w:r>
      <w:r w:rsidR="000A52D5" w:rsidRPr="00D5464D">
        <w:rPr>
          <w:rFonts w:eastAsia="Batang" w:cs="Times"/>
          <w:szCs w:val="24"/>
          <w:lang w:val="pt-BR" w:eastAsia="es-ES"/>
        </w:rPr>
        <w:t xml:space="preserve"> caracterizar</w:t>
      </w:r>
      <w:r w:rsidR="00E045D9" w:rsidRPr="00D5464D">
        <w:rPr>
          <w:rFonts w:eastAsia="Batang" w:cs="Times"/>
          <w:szCs w:val="24"/>
          <w:lang w:val="pt-BR" w:eastAsia="es-ES"/>
        </w:rPr>
        <w:t xml:space="preserve"> uma </w:t>
      </w:r>
      <w:r w:rsidR="000A52D5" w:rsidRPr="00D5464D">
        <w:rPr>
          <w:rFonts w:eastAsia="Batang" w:cs="Times"/>
          <w:szCs w:val="24"/>
          <w:lang w:val="pt-BR" w:eastAsia="es-ES"/>
        </w:rPr>
        <w:t>viola</w:t>
      </w:r>
      <w:r w:rsidRPr="00D5464D">
        <w:rPr>
          <w:rFonts w:eastAsia="Batang" w:cs="Times"/>
          <w:szCs w:val="24"/>
          <w:lang w:val="pt-BR" w:eastAsia="es-ES"/>
        </w:rPr>
        <w:t>ção</w:t>
      </w:r>
      <w:r w:rsidR="000A52D5" w:rsidRPr="00D5464D">
        <w:rPr>
          <w:rFonts w:eastAsia="Batang" w:cs="Times"/>
          <w:szCs w:val="24"/>
          <w:lang w:val="pt-BR" w:eastAsia="es-ES"/>
        </w:rPr>
        <w:t xml:space="preserve"> específica de </w:t>
      </w:r>
      <w:r w:rsidRPr="00D5464D">
        <w:rPr>
          <w:rFonts w:eastAsia="Batang" w:cs="Times"/>
          <w:szCs w:val="24"/>
          <w:lang w:val="pt-BR" w:eastAsia="es-ES"/>
        </w:rPr>
        <w:t>direito</w:t>
      </w:r>
      <w:r w:rsidR="000A52D5" w:rsidRPr="00D5464D">
        <w:rPr>
          <w:rFonts w:eastAsia="Batang" w:cs="Times"/>
          <w:szCs w:val="24"/>
          <w:lang w:val="pt-BR" w:eastAsia="es-ES"/>
        </w:rPr>
        <w:t xml:space="preserve">s humanos de </w:t>
      </w:r>
      <w:r w:rsidRPr="00D5464D">
        <w:rPr>
          <w:rFonts w:eastAsia="Batang" w:cs="Times"/>
          <w:szCs w:val="24"/>
          <w:lang w:val="pt-BR" w:eastAsia="es-ES"/>
        </w:rPr>
        <w:t xml:space="preserve">acordo com </w:t>
      </w:r>
      <w:r w:rsidR="000A52D5" w:rsidRPr="00D5464D">
        <w:rPr>
          <w:rFonts w:eastAsia="Batang" w:cs="Times"/>
          <w:szCs w:val="24"/>
          <w:lang w:val="pt-BR" w:eastAsia="es-ES"/>
        </w:rPr>
        <w:t>su</w:t>
      </w:r>
      <w:r w:rsidR="00877C28" w:rsidRPr="00D5464D">
        <w:rPr>
          <w:rFonts w:eastAsia="Batang" w:cs="Times"/>
          <w:szCs w:val="24"/>
          <w:lang w:val="pt-BR" w:eastAsia="es-ES"/>
        </w:rPr>
        <w:t>a</w:t>
      </w:r>
      <w:r w:rsidR="000A52D5" w:rsidRPr="00D5464D">
        <w:rPr>
          <w:rFonts w:eastAsia="Batang" w:cs="Times"/>
          <w:szCs w:val="24"/>
          <w:lang w:val="pt-BR" w:eastAsia="es-ES"/>
        </w:rPr>
        <w:t>s defini</w:t>
      </w:r>
      <w:r w:rsidRPr="00D5464D">
        <w:rPr>
          <w:rFonts w:eastAsia="Batang" w:cs="Times"/>
          <w:szCs w:val="24"/>
          <w:lang w:val="pt-BR" w:eastAsia="es-ES"/>
        </w:rPr>
        <w:t xml:space="preserve">ções em </w:t>
      </w:r>
      <w:r w:rsidR="002C330E" w:rsidRPr="00D5464D">
        <w:rPr>
          <w:rFonts w:eastAsia="Batang" w:cs="Times"/>
          <w:szCs w:val="24"/>
          <w:lang w:val="pt-BR" w:eastAsia="es-ES"/>
        </w:rPr>
        <w:t>outros</w:t>
      </w:r>
      <w:r w:rsidR="000A52D5" w:rsidRPr="00D5464D">
        <w:rPr>
          <w:rFonts w:eastAsia="Batang" w:cs="Times"/>
          <w:szCs w:val="24"/>
          <w:lang w:val="pt-BR" w:eastAsia="es-ES"/>
        </w:rPr>
        <w:t xml:space="preserve"> instrumentos </w:t>
      </w:r>
      <w:r w:rsidR="002C330E" w:rsidRPr="00D5464D">
        <w:rPr>
          <w:rFonts w:eastAsia="Batang" w:cs="Times"/>
          <w:szCs w:val="24"/>
          <w:lang w:val="pt-BR" w:eastAsia="es-ES"/>
        </w:rPr>
        <w:t>internacionais</w:t>
      </w:r>
      <w:r w:rsidR="000A52D5" w:rsidRPr="00D5464D">
        <w:rPr>
          <w:rFonts w:eastAsia="Batang" w:cs="Times"/>
          <w:szCs w:val="24"/>
          <w:lang w:val="pt-BR" w:eastAsia="es-ES"/>
        </w:rPr>
        <w:t xml:space="preserve">, </w:t>
      </w:r>
      <w:r w:rsidR="002C330E" w:rsidRPr="00D5464D">
        <w:rPr>
          <w:rFonts w:eastAsia="Batang" w:cs="Times"/>
          <w:szCs w:val="24"/>
          <w:lang w:val="pt-BR" w:eastAsia="es-ES"/>
        </w:rPr>
        <w:t>sempre</w:t>
      </w:r>
      <w:r w:rsidR="000A52D5" w:rsidRPr="00D5464D">
        <w:rPr>
          <w:rFonts w:eastAsia="Batang" w:cs="Times"/>
          <w:szCs w:val="24"/>
          <w:lang w:val="pt-BR" w:eastAsia="es-ES"/>
        </w:rPr>
        <w:t xml:space="preserve"> que</w:t>
      </w:r>
      <w:r w:rsidRPr="00D5464D">
        <w:rPr>
          <w:rFonts w:eastAsia="Batang" w:cs="Times"/>
          <w:szCs w:val="24"/>
          <w:lang w:val="pt-BR" w:eastAsia="es-ES"/>
        </w:rPr>
        <w:t xml:space="preserve"> essa </w:t>
      </w:r>
      <w:r w:rsidR="000A52D5" w:rsidRPr="00D5464D">
        <w:rPr>
          <w:rFonts w:eastAsia="Batang" w:cs="Times"/>
          <w:szCs w:val="24"/>
          <w:lang w:val="pt-BR" w:eastAsia="es-ES"/>
        </w:rPr>
        <w:t>situa</w:t>
      </w:r>
      <w:r w:rsidRPr="00D5464D">
        <w:rPr>
          <w:rFonts w:eastAsia="Batang" w:cs="Times"/>
          <w:szCs w:val="24"/>
          <w:lang w:val="pt-BR" w:eastAsia="es-ES"/>
        </w:rPr>
        <w:t>ção</w:t>
      </w:r>
      <w:r w:rsidR="000A52D5" w:rsidRPr="00D5464D">
        <w:rPr>
          <w:rFonts w:eastAsia="Batang" w:cs="Times"/>
          <w:szCs w:val="24"/>
          <w:lang w:val="pt-BR" w:eastAsia="es-ES"/>
        </w:rPr>
        <w:t xml:space="preserve"> </w:t>
      </w:r>
      <w:r w:rsidR="00350187" w:rsidRPr="00D5464D">
        <w:rPr>
          <w:rFonts w:eastAsia="Batang" w:cs="Times"/>
          <w:szCs w:val="24"/>
          <w:lang w:val="pt-BR" w:eastAsia="es-ES"/>
        </w:rPr>
        <w:t>viole</w:t>
      </w:r>
      <w:r w:rsidR="002C330E" w:rsidRPr="00D5464D">
        <w:rPr>
          <w:rFonts w:eastAsia="Batang" w:cs="Times"/>
          <w:szCs w:val="24"/>
          <w:lang w:val="pt-BR" w:eastAsia="es-ES"/>
        </w:rPr>
        <w:t xml:space="preserve"> a </w:t>
      </w:r>
      <w:r w:rsidR="000A52D5" w:rsidRPr="00D5464D">
        <w:rPr>
          <w:rFonts w:eastAsia="Batang" w:cs="Times"/>
          <w:szCs w:val="24"/>
          <w:lang w:val="pt-BR" w:eastAsia="es-ES"/>
        </w:rPr>
        <w:t>Conven</w:t>
      </w:r>
      <w:r w:rsidRPr="00D5464D">
        <w:rPr>
          <w:rFonts w:eastAsia="Batang" w:cs="Times"/>
          <w:szCs w:val="24"/>
          <w:lang w:val="pt-BR" w:eastAsia="es-ES"/>
        </w:rPr>
        <w:t>ção</w:t>
      </w:r>
      <w:r w:rsidR="00E045D9" w:rsidRPr="00D5464D">
        <w:rPr>
          <w:rFonts w:eastAsia="Batang" w:cs="Times"/>
          <w:szCs w:val="24"/>
          <w:lang w:val="pt-BR" w:eastAsia="es-ES"/>
        </w:rPr>
        <w:t xml:space="preserve"> ou </w:t>
      </w:r>
      <w:r w:rsidR="002C330E" w:rsidRPr="00D5464D">
        <w:rPr>
          <w:rFonts w:eastAsia="Batang" w:cs="Times"/>
          <w:szCs w:val="24"/>
          <w:lang w:val="pt-BR" w:eastAsia="es-ES"/>
        </w:rPr>
        <w:t>outros</w:t>
      </w:r>
      <w:r w:rsidR="000A52D5" w:rsidRPr="00D5464D">
        <w:rPr>
          <w:rFonts w:eastAsia="Batang" w:cs="Times"/>
          <w:szCs w:val="24"/>
          <w:lang w:val="pt-BR" w:eastAsia="es-ES"/>
        </w:rPr>
        <w:t xml:space="preserve"> instrumentos interamericanos </w:t>
      </w:r>
      <w:r w:rsidRPr="00D5464D">
        <w:rPr>
          <w:rFonts w:eastAsia="Batang" w:cs="Times"/>
          <w:szCs w:val="24"/>
          <w:lang w:val="pt-BR" w:eastAsia="es-ES"/>
        </w:rPr>
        <w:t>aplicáveis</w:t>
      </w:r>
      <w:r w:rsidR="000A52D5" w:rsidRPr="00D5464D">
        <w:rPr>
          <w:rFonts w:eastAsia="Batang" w:cs="Times"/>
          <w:szCs w:val="24"/>
          <w:lang w:val="pt-BR" w:eastAsia="es-ES"/>
        </w:rPr>
        <w:t xml:space="preserve">, como </w:t>
      </w:r>
      <w:r w:rsidR="002C330E" w:rsidRPr="00D5464D">
        <w:rPr>
          <w:rFonts w:eastAsia="Batang" w:cs="Times"/>
          <w:szCs w:val="24"/>
          <w:lang w:val="pt-BR" w:eastAsia="es-ES"/>
        </w:rPr>
        <w:t>ocorre</w:t>
      </w:r>
      <w:r w:rsidR="00EB1CE9" w:rsidRPr="00D5464D">
        <w:rPr>
          <w:rFonts w:eastAsia="Batang" w:cs="Times"/>
          <w:szCs w:val="24"/>
          <w:lang w:val="pt-BR" w:eastAsia="es-ES"/>
        </w:rPr>
        <w:t xml:space="preserve">, por </w:t>
      </w:r>
      <w:r w:rsidRPr="00D5464D">
        <w:rPr>
          <w:rFonts w:eastAsia="Batang" w:cs="Times"/>
          <w:szCs w:val="24"/>
          <w:lang w:val="pt-BR" w:eastAsia="es-ES"/>
        </w:rPr>
        <w:t>exemplo</w:t>
      </w:r>
      <w:r w:rsidR="000A52D5" w:rsidRPr="00D5464D">
        <w:rPr>
          <w:rFonts w:eastAsia="Batang" w:cs="Times"/>
          <w:szCs w:val="24"/>
          <w:lang w:val="pt-BR" w:eastAsia="es-ES"/>
        </w:rPr>
        <w:t>,</w:t>
      </w:r>
      <w:r w:rsidRPr="00D5464D">
        <w:rPr>
          <w:rFonts w:eastAsia="Batang" w:cs="Times"/>
          <w:szCs w:val="24"/>
          <w:lang w:val="pt-BR" w:eastAsia="es-ES"/>
        </w:rPr>
        <w:t xml:space="preserve"> em </w:t>
      </w:r>
      <w:r w:rsidR="000A52D5" w:rsidRPr="00D5464D">
        <w:rPr>
          <w:rFonts w:eastAsia="Batang" w:cs="Times"/>
          <w:szCs w:val="24"/>
          <w:lang w:val="pt-BR" w:eastAsia="es-ES"/>
        </w:rPr>
        <w:t xml:space="preserve">casos de </w:t>
      </w:r>
      <w:r w:rsidR="00350187" w:rsidRPr="00D5464D">
        <w:rPr>
          <w:rFonts w:eastAsia="Batang" w:cs="Times"/>
          <w:szCs w:val="24"/>
          <w:lang w:val="pt-BR" w:eastAsia="es-ES"/>
        </w:rPr>
        <w:t>genocídio</w:t>
      </w:r>
      <w:r w:rsidR="000A52D5" w:rsidRPr="00D5464D">
        <w:rPr>
          <w:rFonts w:eastAsia="Batang" w:cs="Times"/>
          <w:szCs w:val="24"/>
          <w:lang w:val="pt-BR" w:eastAsia="es-ES"/>
        </w:rPr>
        <w:t>, viola</w:t>
      </w:r>
      <w:r w:rsidRPr="00D5464D">
        <w:rPr>
          <w:rFonts w:eastAsia="Batang" w:cs="Times"/>
          <w:szCs w:val="24"/>
          <w:lang w:val="pt-BR" w:eastAsia="es-ES"/>
        </w:rPr>
        <w:t>ção</w:t>
      </w:r>
      <w:r w:rsidR="000A52D5" w:rsidRPr="00D5464D">
        <w:rPr>
          <w:rFonts w:eastAsia="Batang" w:cs="Times"/>
          <w:szCs w:val="24"/>
          <w:lang w:val="pt-BR" w:eastAsia="es-ES"/>
        </w:rPr>
        <w:t xml:space="preserve"> sexual, </w:t>
      </w:r>
      <w:r w:rsidR="00A1358C" w:rsidRPr="00D5464D">
        <w:rPr>
          <w:rFonts w:eastAsia="Batang" w:cs="Times"/>
          <w:szCs w:val="24"/>
          <w:lang w:val="pt-BR" w:eastAsia="es-ES"/>
        </w:rPr>
        <w:t>recrutamento</w:t>
      </w:r>
      <w:r w:rsidR="000A52D5" w:rsidRPr="00D5464D">
        <w:rPr>
          <w:rFonts w:eastAsia="Batang" w:cs="Times"/>
          <w:szCs w:val="24"/>
          <w:lang w:val="pt-BR" w:eastAsia="es-ES"/>
        </w:rPr>
        <w:t xml:space="preserve"> de </w:t>
      </w:r>
      <w:r w:rsidR="002C330E" w:rsidRPr="00D5464D">
        <w:rPr>
          <w:rFonts w:eastAsia="Batang" w:cs="Times"/>
          <w:szCs w:val="24"/>
          <w:lang w:val="pt-BR" w:eastAsia="es-ES"/>
        </w:rPr>
        <w:t>crianças</w:t>
      </w:r>
      <w:r w:rsidR="000A52D5" w:rsidRPr="00D5464D">
        <w:rPr>
          <w:rFonts w:eastAsia="Batang" w:cs="Times"/>
          <w:szCs w:val="24"/>
          <w:lang w:val="pt-BR" w:eastAsia="es-ES"/>
        </w:rPr>
        <w:t xml:space="preserve">, entre </w:t>
      </w:r>
      <w:r w:rsidR="002C330E" w:rsidRPr="00D5464D">
        <w:rPr>
          <w:rFonts w:eastAsia="Batang" w:cs="Times"/>
          <w:szCs w:val="24"/>
          <w:lang w:val="pt-BR" w:eastAsia="es-ES"/>
        </w:rPr>
        <w:t>outros</w:t>
      </w:r>
      <w:r w:rsidR="00DF7130" w:rsidRPr="00D5464D">
        <w:rPr>
          <w:rFonts w:eastAsia="Batang" w:cs="Times"/>
          <w:szCs w:val="24"/>
          <w:lang w:val="pt-BR" w:eastAsia="es-ES"/>
        </w:rPr>
        <w:t>,</w:t>
      </w:r>
      <w:r w:rsidR="000A52D5" w:rsidRPr="00D5464D">
        <w:rPr>
          <w:rFonts w:eastAsia="Batang" w:cs="Times"/>
          <w:szCs w:val="24"/>
          <w:lang w:val="pt-BR" w:eastAsia="es-ES"/>
        </w:rPr>
        <w:t xml:space="preserve"> </w:t>
      </w:r>
      <w:r w:rsidR="00E045D9" w:rsidRPr="00D5464D">
        <w:rPr>
          <w:rFonts w:eastAsia="Batang" w:cs="Times"/>
          <w:szCs w:val="24"/>
          <w:lang w:val="pt-BR" w:eastAsia="es-ES"/>
        </w:rPr>
        <w:t xml:space="preserve">incluindo uma </w:t>
      </w:r>
      <w:r w:rsidR="000A52D5" w:rsidRPr="00D5464D">
        <w:rPr>
          <w:rFonts w:eastAsia="Batang" w:cs="Times"/>
          <w:szCs w:val="24"/>
          <w:lang w:val="pt-BR" w:eastAsia="es-ES"/>
        </w:rPr>
        <w:t>situa</w:t>
      </w:r>
      <w:r w:rsidRPr="00D5464D">
        <w:rPr>
          <w:rFonts w:eastAsia="Batang" w:cs="Times"/>
          <w:szCs w:val="24"/>
          <w:lang w:val="pt-BR" w:eastAsia="es-ES"/>
        </w:rPr>
        <w:t>ção</w:t>
      </w:r>
      <w:r w:rsidR="000A52D5" w:rsidRPr="00D5464D">
        <w:rPr>
          <w:rFonts w:eastAsia="Batang" w:cs="Times"/>
          <w:szCs w:val="24"/>
          <w:lang w:val="pt-BR" w:eastAsia="es-ES"/>
        </w:rPr>
        <w:t xml:space="preserve"> de tráfico de </w:t>
      </w:r>
      <w:r w:rsidR="002C330E" w:rsidRPr="00D5464D">
        <w:rPr>
          <w:rFonts w:eastAsia="Batang" w:cs="Times"/>
          <w:szCs w:val="24"/>
          <w:lang w:val="pt-BR" w:eastAsia="es-ES"/>
        </w:rPr>
        <w:t>pessoa</w:t>
      </w:r>
      <w:r w:rsidR="000A52D5" w:rsidRPr="00D5464D">
        <w:rPr>
          <w:rFonts w:eastAsia="Batang" w:cs="Times"/>
          <w:szCs w:val="24"/>
          <w:lang w:val="pt-BR" w:eastAsia="es-ES"/>
        </w:rPr>
        <w:t xml:space="preserve">s que </w:t>
      </w:r>
      <w:r w:rsidR="00877C28" w:rsidRPr="00D5464D">
        <w:rPr>
          <w:rFonts w:eastAsia="Batang" w:cs="Times"/>
          <w:szCs w:val="24"/>
          <w:lang w:val="pt-BR" w:eastAsia="es-ES"/>
        </w:rPr>
        <w:t xml:space="preserve">significa, </w:t>
      </w:r>
      <w:r w:rsidR="00230C71" w:rsidRPr="00D5464D">
        <w:rPr>
          <w:rFonts w:eastAsia="Batang" w:cs="Times"/>
          <w:szCs w:val="24"/>
          <w:lang w:val="pt-BR" w:eastAsia="es-ES"/>
        </w:rPr>
        <w:t>necessariamente</w:t>
      </w:r>
      <w:r w:rsidR="00877C28" w:rsidRPr="00D5464D">
        <w:rPr>
          <w:rFonts w:eastAsia="Batang" w:cs="Times"/>
          <w:szCs w:val="24"/>
          <w:lang w:val="pt-BR" w:eastAsia="es-ES"/>
        </w:rPr>
        <w:t>,</w:t>
      </w:r>
      <w:r w:rsidR="000A52D5" w:rsidRPr="00D5464D">
        <w:rPr>
          <w:rFonts w:eastAsia="Batang" w:cs="Times"/>
          <w:szCs w:val="24"/>
          <w:lang w:val="pt-BR" w:eastAsia="es-ES"/>
        </w:rPr>
        <w:t xml:space="preserve"> viola</w:t>
      </w:r>
      <w:r w:rsidRPr="00D5464D">
        <w:rPr>
          <w:rFonts w:eastAsia="Batang" w:cs="Times"/>
          <w:szCs w:val="24"/>
          <w:lang w:val="pt-BR" w:eastAsia="es-ES"/>
        </w:rPr>
        <w:t>ções</w:t>
      </w:r>
      <w:r w:rsidR="000A52D5" w:rsidRPr="00D5464D">
        <w:rPr>
          <w:rFonts w:eastAsia="Batang" w:cs="Times"/>
          <w:szCs w:val="24"/>
          <w:lang w:val="pt-BR" w:eastAsia="es-ES"/>
        </w:rPr>
        <w:t xml:space="preserve"> de </w:t>
      </w:r>
      <w:r w:rsidRPr="00D5464D">
        <w:rPr>
          <w:rFonts w:eastAsia="Batang" w:cs="Times"/>
          <w:szCs w:val="24"/>
          <w:lang w:val="pt-BR" w:eastAsia="es-ES"/>
        </w:rPr>
        <w:t>direito</w:t>
      </w:r>
      <w:r w:rsidR="000A52D5" w:rsidRPr="00D5464D">
        <w:rPr>
          <w:rFonts w:eastAsia="Batang" w:cs="Times"/>
          <w:szCs w:val="24"/>
          <w:lang w:val="pt-BR" w:eastAsia="es-ES"/>
        </w:rPr>
        <w:t>s previstos</w:t>
      </w:r>
      <w:r w:rsidR="00E045D9" w:rsidRPr="00D5464D">
        <w:rPr>
          <w:rFonts w:eastAsia="Batang" w:cs="Times"/>
          <w:szCs w:val="24"/>
          <w:lang w:val="pt-BR" w:eastAsia="es-ES"/>
        </w:rPr>
        <w:t xml:space="preserve"> na </w:t>
      </w:r>
      <w:r w:rsidR="000A52D5" w:rsidRPr="00D5464D">
        <w:rPr>
          <w:rFonts w:eastAsia="Batang" w:cs="Times"/>
          <w:szCs w:val="24"/>
          <w:lang w:val="pt-BR" w:eastAsia="es-ES"/>
        </w:rPr>
        <w:t>Conven</w:t>
      </w:r>
      <w:r w:rsidRPr="00D5464D">
        <w:rPr>
          <w:rFonts w:eastAsia="Batang" w:cs="Times"/>
          <w:szCs w:val="24"/>
          <w:lang w:val="pt-BR" w:eastAsia="es-ES"/>
        </w:rPr>
        <w:t>ção</w:t>
      </w:r>
      <w:r w:rsidR="000A52D5" w:rsidRPr="00D5464D">
        <w:rPr>
          <w:rFonts w:eastAsia="Batang" w:cs="Times"/>
          <w:szCs w:val="24"/>
          <w:lang w:val="pt-BR" w:eastAsia="es-ES"/>
        </w:rPr>
        <w:t>.</w:t>
      </w:r>
    </w:p>
    <w:p w14:paraId="47CF54FC" w14:textId="77777777" w:rsidR="000A52D5" w:rsidRPr="00D5464D" w:rsidRDefault="000A52D5" w:rsidP="00140440">
      <w:pPr>
        <w:tabs>
          <w:tab w:val="clear" w:pos="4419"/>
          <w:tab w:val="clear" w:pos="8838"/>
        </w:tabs>
        <w:jc w:val="both"/>
        <w:rPr>
          <w:rFonts w:eastAsia="Batang" w:cs="Times"/>
          <w:szCs w:val="24"/>
          <w:lang w:val="pt-BR" w:eastAsia="es-ES"/>
        </w:rPr>
      </w:pPr>
    </w:p>
    <w:p w14:paraId="77FC11A6" w14:textId="7BF38D2F" w:rsidR="000A52D5" w:rsidRPr="00D5464D" w:rsidRDefault="00737270"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Os </w:t>
      </w:r>
      <w:r w:rsidR="00EB1CE9" w:rsidRPr="00D5464D">
        <w:rPr>
          <w:rFonts w:eastAsia="Batang" w:cs="Times"/>
          <w:b/>
          <w:i/>
          <w:szCs w:val="24"/>
          <w:lang w:val="pt-BR" w:eastAsia="es-ES"/>
        </w:rPr>
        <w:t>representante</w:t>
      </w:r>
      <w:r w:rsidRPr="00D5464D">
        <w:rPr>
          <w:rFonts w:eastAsia="Batang" w:cs="Times"/>
          <w:b/>
          <w:i/>
          <w:szCs w:val="24"/>
          <w:lang w:val="pt-BR" w:eastAsia="es-ES"/>
        </w:rPr>
        <w:t>s</w:t>
      </w:r>
      <w:r w:rsidRPr="00D5464D">
        <w:rPr>
          <w:rFonts w:eastAsia="Batang" w:cs="Times"/>
          <w:szCs w:val="24"/>
          <w:lang w:val="pt-BR" w:eastAsia="es-ES"/>
        </w:rPr>
        <w:t xml:space="preserve"> </w:t>
      </w:r>
      <w:r w:rsidR="002C330E" w:rsidRPr="00D5464D">
        <w:rPr>
          <w:rFonts w:eastAsia="Batang" w:cs="Times"/>
          <w:szCs w:val="24"/>
          <w:lang w:val="pt-BR" w:eastAsia="es-ES"/>
        </w:rPr>
        <w:t>afirmaram</w:t>
      </w:r>
      <w:r w:rsidR="00470ADC" w:rsidRPr="00D5464D">
        <w:rPr>
          <w:rFonts w:eastAsia="Batang" w:cs="Times"/>
          <w:szCs w:val="24"/>
          <w:lang w:val="pt-BR" w:eastAsia="es-ES"/>
        </w:rPr>
        <w:t xml:space="preserve"> o critério</w:t>
      </w:r>
      <w:r w:rsidR="000A52D5" w:rsidRPr="00D5464D">
        <w:rPr>
          <w:rFonts w:eastAsia="Batang" w:cs="Times"/>
          <w:szCs w:val="24"/>
          <w:lang w:val="pt-BR" w:eastAsia="es-ES"/>
        </w:rPr>
        <w:t xml:space="preserve"> reiterado</w:t>
      </w:r>
      <w:r w:rsidR="00470ADC" w:rsidRPr="00D5464D">
        <w:rPr>
          <w:rFonts w:eastAsia="Batang" w:cs="Times"/>
          <w:szCs w:val="24"/>
          <w:lang w:val="pt-BR" w:eastAsia="es-ES"/>
        </w:rPr>
        <w:t xml:space="preserve"> da </w:t>
      </w:r>
      <w:r w:rsidR="000A52D5" w:rsidRPr="00D5464D">
        <w:rPr>
          <w:rFonts w:eastAsia="Batang" w:cs="Times"/>
          <w:szCs w:val="24"/>
          <w:lang w:val="pt-BR" w:eastAsia="es-ES"/>
        </w:rPr>
        <w:t xml:space="preserve">Corte </w:t>
      </w:r>
      <w:r w:rsidR="00877C28" w:rsidRPr="00D5464D">
        <w:rPr>
          <w:rFonts w:eastAsia="Batang" w:cs="Times"/>
          <w:szCs w:val="24"/>
          <w:lang w:val="pt-BR" w:eastAsia="es-ES"/>
        </w:rPr>
        <w:t>no sentido de</w:t>
      </w:r>
      <w:r w:rsidR="000A52D5" w:rsidRPr="00D5464D">
        <w:rPr>
          <w:rFonts w:eastAsia="Batang" w:cs="Times"/>
          <w:szCs w:val="24"/>
          <w:lang w:val="pt-BR" w:eastAsia="es-ES"/>
        </w:rPr>
        <w:t xml:space="preserve"> que</w:t>
      </w:r>
      <w:r w:rsidR="00DF7130" w:rsidRPr="00D5464D">
        <w:rPr>
          <w:rFonts w:eastAsia="Batang" w:cs="Times"/>
          <w:szCs w:val="24"/>
          <w:lang w:val="pt-BR" w:eastAsia="es-ES"/>
        </w:rPr>
        <w:t>,</w:t>
      </w:r>
      <w:r w:rsidR="00470ADC" w:rsidRPr="00D5464D">
        <w:rPr>
          <w:rFonts w:eastAsia="Batang" w:cs="Times"/>
          <w:szCs w:val="24"/>
          <w:lang w:val="pt-BR" w:eastAsia="es-ES"/>
        </w:rPr>
        <w:t xml:space="preserve"> ao </w:t>
      </w:r>
      <w:r w:rsidR="000A52D5" w:rsidRPr="00D5464D">
        <w:rPr>
          <w:rFonts w:eastAsia="Batang" w:cs="Times"/>
          <w:szCs w:val="24"/>
          <w:lang w:val="pt-BR" w:eastAsia="es-ES"/>
        </w:rPr>
        <w:t>examinar</w:t>
      </w:r>
      <w:r w:rsidR="002C330E" w:rsidRPr="00D5464D">
        <w:rPr>
          <w:rFonts w:eastAsia="Batang" w:cs="Times"/>
          <w:szCs w:val="24"/>
          <w:lang w:val="pt-BR" w:eastAsia="es-ES"/>
        </w:rPr>
        <w:t xml:space="preserve"> a </w:t>
      </w:r>
      <w:r w:rsidR="00350187" w:rsidRPr="00D5464D">
        <w:rPr>
          <w:rFonts w:eastAsia="Batang" w:cs="Times"/>
          <w:szCs w:val="24"/>
          <w:lang w:val="pt-BR" w:eastAsia="es-ES"/>
        </w:rPr>
        <w:t xml:space="preserve">compatibilidade </w:t>
      </w:r>
      <w:r w:rsidR="00470ADC" w:rsidRPr="00D5464D">
        <w:rPr>
          <w:rFonts w:eastAsia="Batang" w:cs="Times"/>
          <w:szCs w:val="24"/>
          <w:lang w:val="pt-BR" w:eastAsia="es-ES"/>
        </w:rPr>
        <w:t>das conduta</w:t>
      </w:r>
      <w:r w:rsidR="000A52D5" w:rsidRPr="00D5464D">
        <w:rPr>
          <w:rFonts w:eastAsia="Batang" w:cs="Times"/>
          <w:szCs w:val="24"/>
          <w:lang w:val="pt-BR" w:eastAsia="es-ES"/>
        </w:rPr>
        <w:t>s o</w:t>
      </w:r>
      <w:r w:rsidR="00877C28" w:rsidRPr="00D5464D">
        <w:rPr>
          <w:rFonts w:eastAsia="Batang" w:cs="Times"/>
          <w:szCs w:val="24"/>
          <w:lang w:val="pt-BR" w:eastAsia="es-ES"/>
        </w:rPr>
        <w:t>u</w:t>
      </w:r>
      <w:r w:rsidR="000A52D5" w:rsidRPr="00D5464D">
        <w:rPr>
          <w:rFonts w:eastAsia="Batang" w:cs="Times"/>
          <w:szCs w:val="24"/>
          <w:lang w:val="pt-BR" w:eastAsia="es-ES"/>
        </w:rPr>
        <w:t xml:space="preserve"> normas esta</w:t>
      </w:r>
      <w:r w:rsidR="00E045D9" w:rsidRPr="00D5464D">
        <w:rPr>
          <w:rFonts w:eastAsia="Batang" w:cs="Times"/>
          <w:szCs w:val="24"/>
          <w:lang w:val="pt-BR" w:eastAsia="es-ES"/>
        </w:rPr>
        <w:t>tais</w:t>
      </w:r>
      <w:r w:rsidR="00470ADC" w:rsidRPr="00D5464D">
        <w:rPr>
          <w:rFonts w:eastAsia="Batang" w:cs="Times"/>
          <w:szCs w:val="24"/>
          <w:lang w:val="pt-BR" w:eastAsia="es-ES"/>
        </w:rPr>
        <w:t xml:space="preserve"> com</w:t>
      </w:r>
      <w:r w:rsidR="002C330E" w:rsidRPr="00D5464D">
        <w:rPr>
          <w:rFonts w:eastAsia="Batang" w:cs="Times"/>
          <w:szCs w:val="24"/>
          <w:lang w:val="pt-BR" w:eastAsia="es-ES"/>
        </w:rPr>
        <w:t xml:space="preserve"> a </w:t>
      </w:r>
      <w:r w:rsidR="000A52D5" w:rsidRPr="00D5464D">
        <w:rPr>
          <w:rFonts w:eastAsia="Batang" w:cs="Times"/>
          <w:szCs w:val="24"/>
          <w:lang w:val="pt-BR" w:eastAsia="es-ES"/>
        </w:rPr>
        <w:t>Conven</w:t>
      </w:r>
      <w:r w:rsidR="00470ADC" w:rsidRPr="00D5464D">
        <w:rPr>
          <w:rFonts w:eastAsia="Batang" w:cs="Times"/>
          <w:szCs w:val="24"/>
          <w:lang w:val="pt-BR" w:eastAsia="es-ES"/>
        </w:rPr>
        <w:t>ção</w:t>
      </w:r>
      <w:r w:rsidR="000A52D5" w:rsidRPr="00D5464D">
        <w:rPr>
          <w:rFonts w:eastAsia="Batang" w:cs="Times"/>
          <w:szCs w:val="24"/>
          <w:lang w:val="pt-BR" w:eastAsia="es-ES"/>
        </w:rPr>
        <w:t xml:space="preserve">, </w:t>
      </w:r>
      <w:r w:rsidR="00121008" w:rsidRPr="00D5464D">
        <w:rPr>
          <w:rFonts w:eastAsia="Batang" w:cs="Times"/>
          <w:szCs w:val="24"/>
          <w:lang w:val="pt-BR" w:eastAsia="es-ES"/>
        </w:rPr>
        <w:t xml:space="preserve">este Tribunal </w:t>
      </w:r>
      <w:r w:rsidR="002C330E" w:rsidRPr="00D5464D">
        <w:rPr>
          <w:rFonts w:eastAsia="Batang" w:cs="Times"/>
          <w:szCs w:val="24"/>
          <w:lang w:val="pt-BR" w:eastAsia="es-ES"/>
        </w:rPr>
        <w:t>pode</w:t>
      </w:r>
      <w:r w:rsidR="000A52D5" w:rsidRPr="00D5464D">
        <w:rPr>
          <w:rFonts w:eastAsia="Batang" w:cs="Times"/>
          <w:szCs w:val="24"/>
          <w:lang w:val="pt-BR" w:eastAsia="es-ES"/>
        </w:rPr>
        <w:t xml:space="preserve"> interpretar</w:t>
      </w:r>
      <w:r w:rsidR="002C330E" w:rsidRPr="00D5464D">
        <w:rPr>
          <w:rFonts w:eastAsia="Batang" w:cs="Times"/>
          <w:szCs w:val="24"/>
          <w:lang w:val="pt-BR" w:eastAsia="es-ES"/>
        </w:rPr>
        <w:t xml:space="preserve"> as obrigações</w:t>
      </w:r>
      <w:r w:rsidR="00E045D9" w:rsidRPr="00D5464D">
        <w:rPr>
          <w:rFonts w:eastAsia="Batang" w:cs="Times"/>
          <w:szCs w:val="24"/>
          <w:lang w:val="pt-BR" w:eastAsia="es-ES"/>
        </w:rPr>
        <w:t xml:space="preserve"> e </w:t>
      </w:r>
      <w:r w:rsidR="002C330E" w:rsidRPr="00D5464D">
        <w:rPr>
          <w:rFonts w:eastAsia="Batang" w:cs="Times"/>
          <w:szCs w:val="24"/>
          <w:lang w:val="pt-BR" w:eastAsia="es-ES"/>
        </w:rPr>
        <w:t xml:space="preserve">os </w:t>
      </w:r>
      <w:r w:rsidR="00470ADC" w:rsidRPr="00D5464D">
        <w:rPr>
          <w:rFonts w:eastAsia="Batang" w:cs="Times"/>
          <w:szCs w:val="24"/>
          <w:lang w:val="pt-BR" w:eastAsia="es-ES"/>
        </w:rPr>
        <w:t>direito</w:t>
      </w:r>
      <w:r w:rsidR="000A52D5" w:rsidRPr="00D5464D">
        <w:rPr>
          <w:rFonts w:eastAsia="Batang" w:cs="Times"/>
          <w:szCs w:val="24"/>
          <w:lang w:val="pt-BR" w:eastAsia="es-ES"/>
        </w:rPr>
        <w:t xml:space="preserve">s </w:t>
      </w:r>
      <w:r w:rsidR="00470ADC" w:rsidRPr="00D5464D">
        <w:rPr>
          <w:rFonts w:eastAsia="Batang" w:cs="Times"/>
          <w:szCs w:val="24"/>
          <w:lang w:val="pt-BR" w:eastAsia="es-ES"/>
        </w:rPr>
        <w:t>contidos</w:t>
      </w:r>
      <w:r w:rsidR="00E045D9" w:rsidRPr="00D5464D">
        <w:rPr>
          <w:rFonts w:eastAsia="Batang" w:cs="Times"/>
          <w:szCs w:val="24"/>
          <w:lang w:val="pt-BR" w:eastAsia="es-ES"/>
        </w:rPr>
        <w:t xml:space="preserve"> neste </w:t>
      </w:r>
      <w:r w:rsidR="000A52D5" w:rsidRPr="00D5464D">
        <w:rPr>
          <w:rFonts w:eastAsia="Batang" w:cs="Times"/>
          <w:szCs w:val="24"/>
          <w:lang w:val="pt-BR" w:eastAsia="es-ES"/>
        </w:rPr>
        <w:t>instrumento</w:t>
      </w:r>
      <w:r w:rsidR="00470ADC" w:rsidRPr="00D5464D">
        <w:rPr>
          <w:rFonts w:eastAsia="Batang" w:cs="Times"/>
          <w:szCs w:val="24"/>
          <w:lang w:val="pt-BR" w:eastAsia="es-ES"/>
        </w:rPr>
        <w:t xml:space="preserve"> à </w:t>
      </w:r>
      <w:r w:rsidR="000A52D5" w:rsidRPr="00D5464D">
        <w:rPr>
          <w:rFonts w:eastAsia="Batang" w:cs="Times"/>
          <w:szCs w:val="24"/>
          <w:lang w:val="pt-BR" w:eastAsia="es-ES"/>
        </w:rPr>
        <w:t xml:space="preserve">luz de </w:t>
      </w:r>
      <w:r w:rsidR="002C330E" w:rsidRPr="00D5464D">
        <w:rPr>
          <w:rFonts w:eastAsia="Batang" w:cs="Times"/>
          <w:szCs w:val="24"/>
          <w:lang w:val="pt-BR" w:eastAsia="es-ES"/>
        </w:rPr>
        <w:t>outros</w:t>
      </w:r>
      <w:r w:rsidR="000A52D5" w:rsidRPr="00D5464D">
        <w:rPr>
          <w:rFonts w:eastAsia="Batang" w:cs="Times"/>
          <w:szCs w:val="24"/>
          <w:lang w:val="pt-BR" w:eastAsia="es-ES"/>
        </w:rPr>
        <w:t xml:space="preserve"> tratados. </w:t>
      </w:r>
      <w:r w:rsidR="00877C28" w:rsidRPr="00D5464D">
        <w:rPr>
          <w:rFonts w:eastAsia="Batang" w:cs="Times"/>
          <w:szCs w:val="24"/>
          <w:lang w:val="pt-BR" w:eastAsia="es-ES"/>
        </w:rPr>
        <w:t>Além disso</w:t>
      </w:r>
      <w:r w:rsidR="000A52D5" w:rsidRPr="00D5464D">
        <w:rPr>
          <w:rFonts w:eastAsia="Batang" w:cs="Times"/>
          <w:szCs w:val="24"/>
          <w:lang w:val="pt-BR" w:eastAsia="es-ES"/>
        </w:rPr>
        <w:t xml:space="preserve">, </w:t>
      </w:r>
      <w:r w:rsidR="002C330E" w:rsidRPr="00D5464D">
        <w:rPr>
          <w:rFonts w:eastAsia="Batang" w:cs="Times"/>
          <w:szCs w:val="24"/>
          <w:lang w:val="pt-BR" w:eastAsia="es-ES"/>
        </w:rPr>
        <w:t>indicaram</w:t>
      </w:r>
      <w:r w:rsidR="000A52D5" w:rsidRPr="00D5464D">
        <w:rPr>
          <w:rFonts w:eastAsia="Batang" w:cs="Times"/>
          <w:szCs w:val="24"/>
          <w:lang w:val="pt-BR" w:eastAsia="es-ES"/>
        </w:rPr>
        <w:t xml:space="preserve"> que </w:t>
      </w:r>
      <w:r w:rsidR="00470ADC" w:rsidRPr="00D5464D">
        <w:rPr>
          <w:rFonts w:eastAsia="Batang" w:cs="Times"/>
          <w:szCs w:val="24"/>
          <w:lang w:val="pt-BR" w:eastAsia="es-ES"/>
        </w:rPr>
        <w:t xml:space="preserve">alegam </w:t>
      </w:r>
      <w:r w:rsidR="000A52D5" w:rsidRPr="00D5464D">
        <w:rPr>
          <w:rFonts w:eastAsia="Batang" w:cs="Times"/>
          <w:szCs w:val="24"/>
          <w:lang w:val="pt-BR" w:eastAsia="es-ES"/>
        </w:rPr>
        <w:t>viola</w:t>
      </w:r>
      <w:r w:rsidR="00470ADC" w:rsidRPr="00D5464D">
        <w:rPr>
          <w:rFonts w:eastAsia="Batang" w:cs="Times"/>
          <w:szCs w:val="24"/>
          <w:lang w:val="pt-BR" w:eastAsia="es-ES"/>
        </w:rPr>
        <w:t>ções</w:t>
      </w:r>
      <w:r w:rsidR="000A52D5" w:rsidRPr="00D5464D">
        <w:rPr>
          <w:rFonts w:eastAsia="Batang" w:cs="Times"/>
          <w:szCs w:val="24"/>
          <w:lang w:val="pt-BR" w:eastAsia="es-ES"/>
        </w:rPr>
        <w:t xml:space="preserve"> específicas</w:t>
      </w:r>
      <w:r w:rsidR="00470ADC" w:rsidRPr="00D5464D">
        <w:rPr>
          <w:rFonts w:eastAsia="Batang" w:cs="Times"/>
          <w:szCs w:val="24"/>
          <w:lang w:val="pt-BR" w:eastAsia="es-ES"/>
        </w:rPr>
        <w:t xml:space="preserve"> em </w:t>
      </w:r>
      <w:r w:rsidR="00E045D9" w:rsidRPr="00D5464D">
        <w:rPr>
          <w:rFonts w:eastAsia="Batang" w:cs="Times"/>
          <w:szCs w:val="24"/>
          <w:lang w:val="pt-BR" w:eastAsia="es-ES"/>
        </w:rPr>
        <w:t xml:space="preserve">virtude </w:t>
      </w:r>
      <w:r w:rsidR="00470ADC" w:rsidRPr="00D5464D">
        <w:rPr>
          <w:rFonts w:eastAsia="Batang" w:cs="Times"/>
          <w:szCs w:val="24"/>
          <w:lang w:val="pt-BR" w:eastAsia="es-ES"/>
        </w:rPr>
        <w:t xml:space="preserve">da </w:t>
      </w:r>
      <w:r w:rsidR="000A52D5" w:rsidRPr="00D5464D">
        <w:rPr>
          <w:rFonts w:eastAsia="Batang" w:cs="Times"/>
          <w:szCs w:val="24"/>
          <w:lang w:val="pt-BR" w:eastAsia="es-ES"/>
        </w:rPr>
        <w:t>o</w:t>
      </w:r>
      <w:r w:rsidR="002C330E" w:rsidRPr="00D5464D">
        <w:rPr>
          <w:rFonts w:eastAsia="Batang" w:cs="Times"/>
          <w:szCs w:val="24"/>
          <w:lang w:val="pt-BR" w:eastAsia="es-ES"/>
        </w:rPr>
        <w:t>missão</w:t>
      </w:r>
      <w:r w:rsidR="000A52D5" w:rsidRPr="00D5464D">
        <w:rPr>
          <w:rFonts w:eastAsia="Batang" w:cs="Times"/>
          <w:szCs w:val="24"/>
          <w:lang w:val="pt-BR" w:eastAsia="es-ES"/>
        </w:rPr>
        <w:t xml:space="preserve"> </w:t>
      </w:r>
      <w:r w:rsidR="00470ADC" w:rsidRPr="00D5464D">
        <w:rPr>
          <w:rFonts w:eastAsia="Batang" w:cs="Times"/>
          <w:szCs w:val="24"/>
          <w:lang w:val="pt-BR" w:eastAsia="es-ES"/>
        </w:rPr>
        <w:t>do dever</w:t>
      </w:r>
      <w:r w:rsidR="000A52D5" w:rsidRPr="00D5464D">
        <w:rPr>
          <w:rFonts w:eastAsia="Batang" w:cs="Times"/>
          <w:szCs w:val="24"/>
          <w:lang w:val="pt-BR" w:eastAsia="es-ES"/>
        </w:rPr>
        <w:t xml:space="preserve"> de </w:t>
      </w:r>
      <w:r w:rsidR="002C330E" w:rsidRPr="00D5464D">
        <w:rPr>
          <w:rFonts w:eastAsia="Batang" w:cs="Times"/>
          <w:szCs w:val="24"/>
          <w:lang w:val="pt-BR" w:eastAsia="es-ES"/>
        </w:rPr>
        <w:t xml:space="preserve">garantia </w:t>
      </w:r>
      <w:r w:rsidR="00470ADC" w:rsidRPr="00D5464D">
        <w:rPr>
          <w:rFonts w:eastAsia="Batang" w:cs="Times"/>
          <w:szCs w:val="24"/>
          <w:lang w:val="pt-BR" w:eastAsia="es-ES"/>
        </w:rPr>
        <w:t xml:space="preserve">do </w:t>
      </w:r>
      <w:r w:rsidR="000A52D5" w:rsidRPr="00D5464D">
        <w:rPr>
          <w:rFonts w:eastAsia="Batang" w:cs="Times"/>
          <w:szCs w:val="24"/>
          <w:lang w:val="pt-BR" w:eastAsia="es-ES"/>
        </w:rPr>
        <w:t xml:space="preserve">Estado </w:t>
      </w:r>
      <w:r w:rsidR="00121008" w:rsidRPr="00D5464D">
        <w:rPr>
          <w:rFonts w:eastAsia="Batang" w:cs="Times"/>
          <w:szCs w:val="24"/>
          <w:lang w:val="pt-BR" w:eastAsia="es-ES"/>
        </w:rPr>
        <w:t xml:space="preserve">a </w:t>
      </w:r>
      <w:r w:rsidR="002C330E" w:rsidRPr="00D5464D">
        <w:rPr>
          <w:rFonts w:eastAsia="Batang" w:cs="Times"/>
          <w:szCs w:val="24"/>
          <w:lang w:val="pt-BR" w:eastAsia="es-ES"/>
        </w:rPr>
        <w:t>respeito</w:t>
      </w:r>
      <w:r w:rsidR="00470ADC" w:rsidRPr="00D5464D">
        <w:rPr>
          <w:rFonts w:eastAsia="Batang" w:cs="Times"/>
          <w:szCs w:val="24"/>
          <w:lang w:val="pt-BR" w:eastAsia="es-ES"/>
        </w:rPr>
        <w:t xml:space="preserve"> </w:t>
      </w:r>
      <w:r w:rsidR="00121008" w:rsidRPr="00D5464D">
        <w:rPr>
          <w:rFonts w:eastAsia="Batang" w:cs="Times"/>
          <w:szCs w:val="24"/>
          <w:lang w:val="pt-BR" w:eastAsia="es-ES"/>
        </w:rPr>
        <w:t>da</w:t>
      </w:r>
      <w:r w:rsidR="00470ADC" w:rsidRPr="00D5464D">
        <w:rPr>
          <w:rFonts w:eastAsia="Batang" w:cs="Times"/>
          <w:szCs w:val="24"/>
          <w:lang w:val="pt-BR" w:eastAsia="es-ES"/>
        </w:rPr>
        <w:t xml:space="preserve"> </w:t>
      </w:r>
      <w:r w:rsidR="002C330E" w:rsidRPr="00D5464D">
        <w:rPr>
          <w:rFonts w:eastAsia="Batang" w:cs="Times"/>
          <w:szCs w:val="24"/>
          <w:lang w:val="pt-BR" w:eastAsia="es-ES"/>
        </w:rPr>
        <w:t>proibição</w:t>
      </w:r>
      <w:r w:rsidR="00470ADC" w:rsidRPr="00D5464D">
        <w:rPr>
          <w:rFonts w:eastAsia="Batang" w:cs="Times"/>
          <w:szCs w:val="24"/>
          <w:lang w:val="pt-BR" w:eastAsia="es-ES"/>
        </w:rPr>
        <w:t xml:space="preserve"> da </w:t>
      </w:r>
      <w:r w:rsidR="000B376D" w:rsidRPr="00D5464D">
        <w:rPr>
          <w:rFonts w:eastAsia="Batang" w:cs="Times"/>
          <w:szCs w:val="24"/>
          <w:lang w:val="pt-BR" w:eastAsia="es-ES"/>
        </w:rPr>
        <w:t>escravidão</w:t>
      </w:r>
      <w:r w:rsidR="000A52D5" w:rsidRPr="00D5464D">
        <w:rPr>
          <w:rFonts w:eastAsia="Batang" w:cs="Times"/>
          <w:szCs w:val="24"/>
          <w:lang w:val="pt-BR" w:eastAsia="es-ES"/>
        </w:rPr>
        <w:t>,</w:t>
      </w:r>
      <w:r w:rsidR="00470ADC" w:rsidRPr="00D5464D">
        <w:rPr>
          <w:rFonts w:eastAsia="Batang" w:cs="Times"/>
          <w:szCs w:val="24"/>
          <w:lang w:val="pt-BR" w:eastAsia="es-ES"/>
        </w:rPr>
        <w:t xml:space="preserve"> da </w:t>
      </w:r>
      <w:r w:rsidR="000B376D" w:rsidRPr="00D5464D">
        <w:rPr>
          <w:rFonts w:eastAsia="Batang" w:cs="Times"/>
          <w:szCs w:val="24"/>
          <w:lang w:val="pt-BR" w:eastAsia="es-ES"/>
        </w:rPr>
        <w:t>servidão</w:t>
      </w:r>
      <w:r w:rsidR="00E045D9" w:rsidRPr="00D5464D">
        <w:rPr>
          <w:rFonts w:eastAsia="Batang" w:cs="Times"/>
          <w:szCs w:val="24"/>
          <w:lang w:val="pt-BR" w:eastAsia="es-ES"/>
        </w:rPr>
        <w:t xml:space="preserve"> e </w:t>
      </w:r>
      <w:r w:rsidR="00470ADC" w:rsidRPr="00D5464D">
        <w:rPr>
          <w:rFonts w:eastAsia="Batang" w:cs="Times"/>
          <w:szCs w:val="24"/>
          <w:lang w:val="pt-BR" w:eastAsia="es-ES"/>
        </w:rPr>
        <w:t xml:space="preserve">do </w:t>
      </w:r>
      <w:r w:rsidR="000A52D5" w:rsidRPr="00D5464D">
        <w:rPr>
          <w:rFonts w:eastAsia="Batang" w:cs="Times"/>
          <w:szCs w:val="24"/>
          <w:lang w:val="pt-BR" w:eastAsia="es-ES"/>
        </w:rPr>
        <w:t xml:space="preserve">tráfico de </w:t>
      </w:r>
      <w:r w:rsidR="002C330E" w:rsidRPr="00D5464D">
        <w:rPr>
          <w:rFonts w:eastAsia="Batang" w:cs="Times"/>
          <w:szCs w:val="24"/>
          <w:lang w:val="pt-BR" w:eastAsia="es-ES"/>
        </w:rPr>
        <w:t>pessoa</w:t>
      </w:r>
      <w:r w:rsidR="000A52D5" w:rsidRPr="00D5464D">
        <w:rPr>
          <w:rFonts w:eastAsia="Batang" w:cs="Times"/>
          <w:szCs w:val="24"/>
          <w:lang w:val="pt-BR" w:eastAsia="es-ES"/>
        </w:rPr>
        <w:t>s (</w:t>
      </w:r>
      <w:r w:rsidR="00470ADC" w:rsidRPr="00D5464D">
        <w:rPr>
          <w:rFonts w:eastAsia="Batang" w:cs="Times"/>
          <w:szCs w:val="24"/>
          <w:lang w:val="pt-BR" w:eastAsia="es-ES"/>
        </w:rPr>
        <w:t>artigo</w:t>
      </w:r>
      <w:r w:rsidR="000A52D5" w:rsidRPr="00D5464D">
        <w:rPr>
          <w:rFonts w:eastAsia="Batang" w:cs="Times"/>
          <w:szCs w:val="24"/>
          <w:lang w:val="pt-BR" w:eastAsia="es-ES"/>
        </w:rPr>
        <w:t xml:space="preserve"> 6</w:t>
      </w:r>
      <w:r w:rsidR="00470ADC" w:rsidRPr="00D5464D">
        <w:rPr>
          <w:rFonts w:eastAsia="Batang" w:cs="Times"/>
          <w:szCs w:val="24"/>
          <w:lang w:val="pt-BR" w:eastAsia="es-ES"/>
        </w:rPr>
        <w:t xml:space="preserve"> da </w:t>
      </w:r>
      <w:r w:rsidR="000A52D5" w:rsidRPr="00D5464D">
        <w:rPr>
          <w:rFonts w:eastAsia="Batang" w:cs="Times"/>
          <w:szCs w:val="24"/>
          <w:lang w:val="pt-BR" w:eastAsia="es-ES"/>
        </w:rPr>
        <w:t>Conven</w:t>
      </w:r>
      <w:r w:rsidR="00470ADC" w:rsidRPr="00D5464D">
        <w:rPr>
          <w:rFonts w:eastAsia="Batang" w:cs="Times"/>
          <w:szCs w:val="24"/>
          <w:lang w:val="pt-BR" w:eastAsia="es-ES"/>
        </w:rPr>
        <w:t>ção</w:t>
      </w:r>
      <w:r w:rsidR="000A52D5" w:rsidRPr="00D5464D">
        <w:rPr>
          <w:rFonts w:eastAsia="Batang" w:cs="Times"/>
          <w:szCs w:val="24"/>
          <w:lang w:val="pt-BR" w:eastAsia="es-ES"/>
        </w:rPr>
        <w:t>),</w:t>
      </w:r>
      <w:r w:rsidR="00470ADC" w:rsidRPr="00D5464D">
        <w:rPr>
          <w:rFonts w:eastAsia="Batang" w:cs="Times"/>
          <w:szCs w:val="24"/>
          <w:lang w:val="pt-BR" w:eastAsia="es-ES"/>
        </w:rPr>
        <w:t xml:space="preserve"> em </w:t>
      </w:r>
      <w:r w:rsidR="000A52D5" w:rsidRPr="00D5464D">
        <w:rPr>
          <w:rFonts w:eastAsia="Batang" w:cs="Times"/>
          <w:szCs w:val="24"/>
          <w:lang w:val="pt-BR" w:eastAsia="es-ES"/>
        </w:rPr>
        <w:t>rela</w:t>
      </w:r>
      <w:r w:rsidR="00470ADC" w:rsidRPr="00D5464D">
        <w:rPr>
          <w:rFonts w:eastAsia="Batang" w:cs="Times"/>
          <w:szCs w:val="24"/>
          <w:lang w:val="pt-BR" w:eastAsia="es-ES"/>
        </w:rPr>
        <w:t xml:space="preserve">ção </w:t>
      </w:r>
      <w:r w:rsidR="00877C28" w:rsidRPr="00D5464D">
        <w:rPr>
          <w:rFonts w:eastAsia="Batang" w:cs="Times"/>
          <w:szCs w:val="24"/>
          <w:lang w:val="pt-BR" w:eastAsia="es-ES"/>
        </w:rPr>
        <w:t>a</w:t>
      </w:r>
      <w:r w:rsidR="002C330E" w:rsidRPr="00D5464D">
        <w:rPr>
          <w:rFonts w:eastAsia="Batang" w:cs="Times"/>
          <w:szCs w:val="24"/>
          <w:lang w:val="pt-BR" w:eastAsia="es-ES"/>
        </w:rPr>
        <w:t xml:space="preserve">os </w:t>
      </w:r>
      <w:r w:rsidR="00470ADC" w:rsidRPr="00D5464D">
        <w:rPr>
          <w:rFonts w:eastAsia="Batang" w:cs="Times"/>
          <w:szCs w:val="24"/>
          <w:lang w:val="pt-BR" w:eastAsia="es-ES"/>
        </w:rPr>
        <w:t>direito</w:t>
      </w:r>
      <w:r w:rsidR="000A52D5" w:rsidRPr="00D5464D">
        <w:rPr>
          <w:rFonts w:eastAsia="Batang" w:cs="Times"/>
          <w:szCs w:val="24"/>
          <w:lang w:val="pt-BR" w:eastAsia="es-ES"/>
        </w:rPr>
        <w:t>s</w:t>
      </w:r>
      <w:r w:rsidR="00470ADC" w:rsidRPr="00D5464D">
        <w:rPr>
          <w:rFonts w:eastAsia="Batang" w:cs="Times"/>
          <w:szCs w:val="24"/>
          <w:lang w:val="pt-BR" w:eastAsia="es-ES"/>
        </w:rPr>
        <w:t xml:space="preserve"> d</w:t>
      </w:r>
      <w:r w:rsidR="00877C28" w:rsidRPr="00D5464D">
        <w:rPr>
          <w:rFonts w:eastAsia="Batang" w:cs="Times"/>
          <w:szCs w:val="24"/>
          <w:lang w:val="pt-BR" w:eastAsia="es-ES"/>
        </w:rPr>
        <w:t>e</w:t>
      </w:r>
      <w:r w:rsidR="00470ADC" w:rsidRPr="00D5464D">
        <w:rPr>
          <w:rFonts w:eastAsia="Batang" w:cs="Times"/>
          <w:szCs w:val="24"/>
          <w:lang w:val="pt-BR" w:eastAsia="es-ES"/>
        </w:rPr>
        <w:t xml:space="preserve"> </w:t>
      </w:r>
      <w:r w:rsidR="002C330E" w:rsidRPr="00D5464D">
        <w:rPr>
          <w:rFonts w:eastAsia="Batang" w:cs="Times"/>
          <w:szCs w:val="24"/>
          <w:lang w:val="pt-BR" w:eastAsia="es-ES"/>
        </w:rPr>
        <w:t xml:space="preserve">personalidade </w:t>
      </w:r>
      <w:r w:rsidR="000A52D5" w:rsidRPr="00D5464D">
        <w:rPr>
          <w:rFonts w:eastAsia="Batang" w:cs="Times"/>
          <w:szCs w:val="24"/>
          <w:lang w:val="pt-BR" w:eastAsia="es-ES"/>
        </w:rPr>
        <w:t xml:space="preserve">jurídica, </w:t>
      </w:r>
      <w:r w:rsidR="002C330E" w:rsidRPr="00D5464D">
        <w:rPr>
          <w:rFonts w:eastAsia="Batang" w:cs="Times"/>
          <w:szCs w:val="24"/>
          <w:lang w:val="pt-BR" w:eastAsia="es-ES"/>
        </w:rPr>
        <w:t>integridade pessoa</w:t>
      </w:r>
      <w:r w:rsidR="000A52D5" w:rsidRPr="00D5464D">
        <w:rPr>
          <w:rFonts w:eastAsia="Batang" w:cs="Times"/>
          <w:szCs w:val="24"/>
          <w:lang w:val="pt-BR" w:eastAsia="es-ES"/>
        </w:rPr>
        <w:t xml:space="preserve">l, </w:t>
      </w:r>
      <w:r w:rsidR="002C330E" w:rsidRPr="00D5464D">
        <w:rPr>
          <w:rFonts w:eastAsia="Batang" w:cs="Times"/>
          <w:szCs w:val="24"/>
          <w:lang w:val="pt-BR" w:eastAsia="es-ES"/>
        </w:rPr>
        <w:t>liberdade pessoa</w:t>
      </w:r>
      <w:r w:rsidR="000A52D5" w:rsidRPr="00D5464D">
        <w:rPr>
          <w:rFonts w:eastAsia="Batang" w:cs="Times"/>
          <w:szCs w:val="24"/>
          <w:lang w:val="pt-BR" w:eastAsia="es-ES"/>
        </w:rPr>
        <w:t>l, vida privada, honra</w:t>
      </w:r>
      <w:r w:rsidR="00E045D9" w:rsidRPr="00D5464D">
        <w:rPr>
          <w:rFonts w:eastAsia="Batang" w:cs="Times"/>
          <w:szCs w:val="24"/>
          <w:lang w:val="pt-BR" w:eastAsia="es-ES"/>
        </w:rPr>
        <w:t xml:space="preserve"> e </w:t>
      </w:r>
      <w:r w:rsidR="000A52D5" w:rsidRPr="00D5464D">
        <w:rPr>
          <w:rFonts w:eastAsia="Batang" w:cs="Times"/>
          <w:szCs w:val="24"/>
          <w:lang w:val="pt-BR" w:eastAsia="es-ES"/>
        </w:rPr>
        <w:t>dig</w:t>
      </w:r>
      <w:r w:rsidRPr="00D5464D">
        <w:rPr>
          <w:rFonts w:eastAsia="Batang" w:cs="Times"/>
          <w:szCs w:val="24"/>
          <w:lang w:val="pt-BR" w:eastAsia="es-ES"/>
        </w:rPr>
        <w:t xml:space="preserve">nidade, </w:t>
      </w:r>
      <w:r w:rsidR="000A52D5" w:rsidRPr="00D5464D">
        <w:rPr>
          <w:rFonts w:eastAsia="Batang" w:cs="Times"/>
          <w:szCs w:val="24"/>
          <w:lang w:val="pt-BR" w:eastAsia="es-ES"/>
        </w:rPr>
        <w:t>circula</w:t>
      </w:r>
      <w:r w:rsidR="00470ADC" w:rsidRPr="00D5464D">
        <w:rPr>
          <w:rFonts w:eastAsia="Batang" w:cs="Times"/>
          <w:szCs w:val="24"/>
          <w:lang w:val="pt-BR" w:eastAsia="es-ES"/>
        </w:rPr>
        <w:t>ção</w:t>
      </w:r>
      <w:r w:rsidR="00E045D9" w:rsidRPr="00D5464D">
        <w:rPr>
          <w:rFonts w:eastAsia="Batang" w:cs="Times"/>
          <w:szCs w:val="24"/>
          <w:lang w:val="pt-BR" w:eastAsia="es-ES"/>
        </w:rPr>
        <w:t xml:space="preserve"> e </w:t>
      </w:r>
      <w:r w:rsidR="002C330E" w:rsidRPr="00D5464D">
        <w:rPr>
          <w:rFonts w:eastAsia="Batang" w:cs="Times"/>
          <w:szCs w:val="24"/>
          <w:lang w:val="pt-BR" w:eastAsia="es-ES"/>
        </w:rPr>
        <w:t>residência</w:t>
      </w:r>
      <w:r w:rsidR="000A52D5" w:rsidRPr="00D5464D">
        <w:rPr>
          <w:rFonts w:eastAsia="Batang" w:cs="Times"/>
          <w:szCs w:val="24"/>
          <w:lang w:val="pt-BR" w:eastAsia="es-ES"/>
        </w:rPr>
        <w:t>,</w:t>
      </w:r>
      <w:r w:rsidR="00470ADC" w:rsidRPr="00D5464D">
        <w:rPr>
          <w:rFonts w:eastAsia="Batang" w:cs="Times"/>
          <w:szCs w:val="24"/>
          <w:lang w:val="pt-BR" w:eastAsia="es-ES"/>
        </w:rPr>
        <w:t xml:space="preserve"> em </w:t>
      </w:r>
      <w:r w:rsidR="002C330E" w:rsidRPr="00D5464D">
        <w:rPr>
          <w:rFonts w:eastAsia="Batang" w:cs="Times"/>
          <w:szCs w:val="24"/>
          <w:lang w:val="pt-BR" w:eastAsia="es-ES"/>
        </w:rPr>
        <w:t>prejuízo</w:t>
      </w:r>
      <w:r w:rsidR="00470ADC" w:rsidRPr="00D5464D">
        <w:rPr>
          <w:rFonts w:eastAsia="Batang" w:cs="Times"/>
          <w:szCs w:val="24"/>
          <w:lang w:val="pt-BR" w:eastAsia="es-ES"/>
        </w:rPr>
        <w:t xml:space="preserve"> das </w:t>
      </w:r>
      <w:r w:rsidR="00E045D9" w:rsidRPr="00D5464D">
        <w:rPr>
          <w:rFonts w:eastAsia="Batang" w:cs="Times"/>
          <w:szCs w:val="24"/>
          <w:lang w:val="pt-BR" w:eastAsia="es-ES"/>
        </w:rPr>
        <w:t>vítima</w:t>
      </w:r>
      <w:r w:rsidR="000A52D5" w:rsidRPr="00D5464D">
        <w:rPr>
          <w:rFonts w:eastAsia="Batang" w:cs="Times"/>
          <w:szCs w:val="24"/>
          <w:lang w:val="pt-BR" w:eastAsia="es-ES"/>
        </w:rPr>
        <w:t xml:space="preserve">s que se </w:t>
      </w:r>
      <w:r w:rsidR="00470ADC" w:rsidRPr="00D5464D">
        <w:rPr>
          <w:rFonts w:eastAsia="Batang" w:cs="Times"/>
          <w:szCs w:val="24"/>
          <w:lang w:val="pt-BR" w:eastAsia="es-ES"/>
        </w:rPr>
        <w:t>encontravam</w:t>
      </w:r>
      <w:r w:rsidR="00E045D9" w:rsidRPr="00D5464D">
        <w:rPr>
          <w:rFonts w:eastAsia="Batang" w:cs="Times"/>
          <w:szCs w:val="24"/>
          <w:lang w:val="pt-BR" w:eastAsia="es-ES"/>
        </w:rPr>
        <w:t xml:space="preserve"> na </w:t>
      </w:r>
      <w:r w:rsidR="00D809F0" w:rsidRPr="00D5464D">
        <w:rPr>
          <w:rFonts w:eastAsia="Batang" w:cs="Times"/>
          <w:szCs w:val="24"/>
          <w:lang w:val="pt-BR" w:eastAsia="es-ES"/>
        </w:rPr>
        <w:t>Fazenda</w:t>
      </w:r>
      <w:r w:rsidR="000A52D5" w:rsidRPr="00D5464D">
        <w:rPr>
          <w:rFonts w:eastAsia="Batang" w:cs="Times"/>
          <w:szCs w:val="24"/>
          <w:lang w:val="pt-BR" w:eastAsia="es-ES"/>
        </w:rPr>
        <w:t xml:space="preserve"> Brasil Verde </w:t>
      </w:r>
      <w:r w:rsidR="00470ADC" w:rsidRPr="00D5464D">
        <w:rPr>
          <w:rFonts w:eastAsia="Batang" w:cs="Times"/>
          <w:szCs w:val="24"/>
          <w:lang w:val="pt-BR" w:eastAsia="es-ES"/>
        </w:rPr>
        <w:t>depois</w:t>
      </w:r>
      <w:r w:rsidR="000A52D5" w:rsidRPr="00D5464D">
        <w:rPr>
          <w:rFonts w:eastAsia="Batang" w:cs="Times"/>
          <w:szCs w:val="24"/>
          <w:lang w:val="pt-BR" w:eastAsia="es-ES"/>
        </w:rPr>
        <w:t xml:space="preserve"> de </w:t>
      </w:r>
      <w:r w:rsidR="00470ADC" w:rsidRPr="00D5464D">
        <w:rPr>
          <w:rFonts w:eastAsia="Batang" w:cs="Times"/>
          <w:szCs w:val="24"/>
          <w:lang w:val="pt-BR" w:eastAsia="es-ES"/>
        </w:rPr>
        <w:t>dezembro</w:t>
      </w:r>
      <w:r w:rsidR="000A52D5" w:rsidRPr="00D5464D">
        <w:rPr>
          <w:rFonts w:eastAsia="Batang" w:cs="Times"/>
          <w:szCs w:val="24"/>
          <w:lang w:val="pt-BR" w:eastAsia="es-ES"/>
        </w:rPr>
        <w:t xml:space="preserve"> de 1998.</w:t>
      </w:r>
      <w:r w:rsidR="000A52D5" w:rsidRPr="00D5464D">
        <w:rPr>
          <w:rFonts w:eastAsia="Batang" w:cs="Times"/>
          <w:b/>
          <w:szCs w:val="24"/>
          <w:lang w:val="pt-BR" w:eastAsia="es-ES"/>
        </w:rPr>
        <w:t xml:space="preserve"> </w:t>
      </w:r>
    </w:p>
    <w:p w14:paraId="1C3DFFCC" w14:textId="77777777" w:rsidR="000A52D5" w:rsidRPr="00D5464D" w:rsidRDefault="000A52D5" w:rsidP="00140440">
      <w:pPr>
        <w:tabs>
          <w:tab w:val="clear" w:pos="4419"/>
          <w:tab w:val="clear" w:pos="8838"/>
        </w:tabs>
        <w:jc w:val="both"/>
        <w:rPr>
          <w:rFonts w:eastAsia="Batang" w:cs="Times"/>
          <w:szCs w:val="24"/>
          <w:lang w:val="pt-BR" w:eastAsia="es-ES"/>
        </w:rPr>
      </w:pPr>
    </w:p>
    <w:p w14:paraId="118AFD91" w14:textId="58EB9AF7" w:rsidR="000A52D5" w:rsidRPr="00D5464D" w:rsidRDefault="003D4561" w:rsidP="000A20C1">
      <w:pPr>
        <w:pStyle w:val="Ttulo3"/>
        <w:rPr>
          <w:lang w:val="pt-BR" w:eastAsia="es-ES"/>
        </w:rPr>
      </w:pPr>
      <w:bookmarkStart w:id="128" w:name="_Toc460432980"/>
      <w:bookmarkStart w:id="129" w:name="_Toc460441911"/>
      <w:bookmarkStart w:id="130" w:name="_Toc462750731"/>
      <w:bookmarkStart w:id="131" w:name="_Toc462751055"/>
      <w:bookmarkStart w:id="132" w:name="_Toc464813907"/>
      <w:bookmarkStart w:id="133" w:name="_Toc468433868"/>
      <w:r w:rsidRPr="00D5464D">
        <w:rPr>
          <w:lang w:val="pt-BR" w:eastAsia="es-ES"/>
        </w:rPr>
        <w:t>F</w:t>
      </w:r>
      <w:r w:rsidR="000A52D5" w:rsidRPr="00D5464D">
        <w:rPr>
          <w:lang w:val="pt-BR" w:eastAsia="es-ES"/>
        </w:rPr>
        <w:t>.2. Considera</w:t>
      </w:r>
      <w:r w:rsidR="00470ADC" w:rsidRPr="00D5464D">
        <w:rPr>
          <w:lang w:val="pt-BR" w:eastAsia="es-ES"/>
        </w:rPr>
        <w:t xml:space="preserve">ções da </w:t>
      </w:r>
      <w:r w:rsidR="000A52D5" w:rsidRPr="00D5464D">
        <w:rPr>
          <w:lang w:val="pt-BR" w:eastAsia="es-ES"/>
        </w:rPr>
        <w:t>Corte</w:t>
      </w:r>
      <w:bookmarkEnd w:id="128"/>
      <w:bookmarkEnd w:id="129"/>
      <w:bookmarkEnd w:id="130"/>
      <w:bookmarkEnd w:id="131"/>
      <w:bookmarkEnd w:id="132"/>
      <w:bookmarkEnd w:id="133"/>
    </w:p>
    <w:p w14:paraId="0AB2AF4F" w14:textId="77777777" w:rsidR="000A52D5" w:rsidRPr="00D5464D" w:rsidRDefault="000A52D5" w:rsidP="00140440">
      <w:pPr>
        <w:tabs>
          <w:tab w:val="clear" w:pos="4419"/>
          <w:tab w:val="clear" w:pos="8838"/>
        </w:tabs>
        <w:jc w:val="both"/>
        <w:rPr>
          <w:rFonts w:eastAsia="Batang" w:cs="Times"/>
          <w:szCs w:val="24"/>
          <w:lang w:val="pt-BR" w:eastAsia="es-ES"/>
        </w:rPr>
      </w:pPr>
    </w:p>
    <w:p w14:paraId="03FC1A7B" w14:textId="4C790AFC" w:rsidR="00004D55" w:rsidRPr="00D5464D" w:rsidRDefault="00877C28"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É</w:t>
      </w:r>
      <w:r w:rsidR="007D4FBC" w:rsidRPr="00D5464D">
        <w:rPr>
          <w:rFonts w:eastAsia="Batang" w:cs="Times"/>
          <w:szCs w:val="24"/>
          <w:lang w:val="pt-BR" w:eastAsia="es-ES"/>
        </w:rPr>
        <w:t xml:space="preserve"> </w:t>
      </w:r>
      <w:r w:rsidR="0096613B" w:rsidRPr="00D5464D">
        <w:rPr>
          <w:rFonts w:eastAsia="Batang" w:cs="Times"/>
          <w:szCs w:val="24"/>
          <w:lang w:val="pt-BR" w:eastAsia="es-ES"/>
        </w:rPr>
        <w:t>importante observar que</w:t>
      </w:r>
      <w:r w:rsidR="00211DB5" w:rsidRPr="00D5464D">
        <w:rPr>
          <w:rFonts w:eastAsia="Batang" w:cs="Times"/>
          <w:szCs w:val="24"/>
          <w:lang w:val="pt-BR" w:eastAsia="es-ES"/>
        </w:rPr>
        <w:t>,</w:t>
      </w:r>
      <w:r w:rsidR="00E045D9" w:rsidRPr="00D5464D">
        <w:rPr>
          <w:rFonts w:eastAsia="Batang" w:cs="Times"/>
          <w:szCs w:val="24"/>
          <w:lang w:val="pt-BR" w:eastAsia="es-ES"/>
        </w:rPr>
        <w:t xml:space="preserve"> no </w:t>
      </w:r>
      <w:r w:rsidR="00004D55" w:rsidRPr="00D5464D">
        <w:rPr>
          <w:rFonts w:eastAsia="Batang" w:cs="Times"/>
          <w:szCs w:val="24"/>
          <w:lang w:val="pt-BR" w:eastAsia="es-ES"/>
        </w:rPr>
        <w:t>presente caso,</w:t>
      </w:r>
      <w:r w:rsidR="002C330E" w:rsidRPr="00D5464D">
        <w:rPr>
          <w:rFonts w:eastAsia="Batang" w:cs="Times"/>
          <w:szCs w:val="24"/>
          <w:lang w:val="pt-BR" w:eastAsia="es-ES"/>
        </w:rPr>
        <w:t xml:space="preserve"> nem a </w:t>
      </w:r>
      <w:r w:rsidR="00470ADC" w:rsidRPr="00D5464D">
        <w:rPr>
          <w:rFonts w:eastAsia="Batang" w:cs="Times"/>
          <w:szCs w:val="24"/>
          <w:lang w:val="pt-BR" w:eastAsia="es-ES"/>
        </w:rPr>
        <w:t>Comissão</w:t>
      </w:r>
      <w:r w:rsidR="002C330E" w:rsidRPr="00D5464D">
        <w:rPr>
          <w:rFonts w:eastAsia="Batang" w:cs="Times"/>
          <w:szCs w:val="24"/>
          <w:lang w:val="pt-BR" w:eastAsia="es-ES"/>
        </w:rPr>
        <w:t xml:space="preserve"> nem os </w:t>
      </w:r>
      <w:r w:rsidR="00EB1CE9" w:rsidRPr="00D5464D">
        <w:rPr>
          <w:rFonts w:eastAsia="Batang" w:cs="Times"/>
          <w:szCs w:val="24"/>
          <w:lang w:val="pt-BR" w:eastAsia="es-ES"/>
        </w:rPr>
        <w:t>representante</w:t>
      </w:r>
      <w:r w:rsidR="00004D55" w:rsidRPr="00D5464D">
        <w:rPr>
          <w:rFonts w:eastAsia="Batang" w:cs="Times"/>
          <w:szCs w:val="24"/>
          <w:lang w:val="pt-BR" w:eastAsia="es-ES"/>
        </w:rPr>
        <w:t xml:space="preserve">s </w:t>
      </w:r>
      <w:r w:rsidR="00A1358C" w:rsidRPr="00D5464D">
        <w:rPr>
          <w:rFonts w:eastAsia="Batang" w:cs="Times"/>
          <w:szCs w:val="24"/>
          <w:lang w:val="pt-BR" w:eastAsia="es-ES"/>
        </w:rPr>
        <w:t>solicitaram</w:t>
      </w:r>
      <w:r w:rsidR="00470ADC" w:rsidRPr="00D5464D">
        <w:rPr>
          <w:rFonts w:eastAsia="Batang" w:cs="Times"/>
          <w:szCs w:val="24"/>
          <w:lang w:val="pt-BR" w:eastAsia="es-ES"/>
        </w:rPr>
        <w:t xml:space="preserve"> à </w:t>
      </w:r>
      <w:r w:rsidR="00004D55" w:rsidRPr="00D5464D">
        <w:rPr>
          <w:rFonts w:eastAsia="Batang" w:cs="Times"/>
          <w:szCs w:val="24"/>
          <w:lang w:val="pt-BR" w:eastAsia="es-ES"/>
        </w:rPr>
        <w:t>Corte que</w:t>
      </w:r>
      <w:r w:rsidR="00470ADC" w:rsidRPr="00D5464D">
        <w:rPr>
          <w:rFonts w:eastAsia="Batang" w:cs="Times"/>
          <w:szCs w:val="24"/>
          <w:lang w:val="pt-BR" w:eastAsia="es-ES"/>
        </w:rPr>
        <w:t xml:space="preserve"> o </w:t>
      </w:r>
      <w:r w:rsidR="00004D55" w:rsidRPr="00D5464D">
        <w:rPr>
          <w:rFonts w:eastAsia="Batang" w:cs="Times"/>
          <w:szCs w:val="24"/>
          <w:lang w:val="pt-BR" w:eastAsia="es-ES"/>
        </w:rPr>
        <w:t>Estado</w:t>
      </w:r>
      <w:r w:rsidR="002C330E" w:rsidRPr="00D5464D">
        <w:rPr>
          <w:rFonts w:eastAsia="Batang" w:cs="Times"/>
          <w:szCs w:val="24"/>
          <w:lang w:val="pt-BR" w:eastAsia="es-ES"/>
        </w:rPr>
        <w:t xml:space="preserve"> seja </w:t>
      </w:r>
      <w:r w:rsidR="00004D55" w:rsidRPr="00D5464D">
        <w:rPr>
          <w:rFonts w:eastAsia="Batang" w:cs="Times"/>
          <w:szCs w:val="24"/>
          <w:lang w:val="pt-BR" w:eastAsia="es-ES"/>
        </w:rPr>
        <w:t xml:space="preserve">declarado </w:t>
      </w:r>
      <w:r w:rsidR="002C330E" w:rsidRPr="00D5464D">
        <w:rPr>
          <w:rFonts w:eastAsia="Batang" w:cs="Times"/>
          <w:szCs w:val="24"/>
          <w:lang w:val="pt-BR" w:eastAsia="es-ES"/>
        </w:rPr>
        <w:t xml:space="preserve">responsável </w:t>
      </w:r>
      <w:r w:rsidR="00004D55" w:rsidRPr="00D5464D">
        <w:rPr>
          <w:rFonts w:eastAsia="Batang" w:cs="Times"/>
          <w:szCs w:val="24"/>
          <w:lang w:val="pt-BR" w:eastAsia="es-ES"/>
        </w:rPr>
        <w:t xml:space="preserve">por </w:t>
      </w:r>
      <w:r w:rsidR="00737270" w:rsidRPr="00D5464D">
        <w:rPr>
          <w:rFonts w:eastAsia="Batang" w:cs="Times"/>
          <w:szCs w:val="24"/>
          <w:lang w:val="pt-BR" w:eastAsia="es-ES"/>
        </w:rPr>
        <w:t>possíveis</w:t>
      </w:r>
      <w:r w:rsidR="002C330E" w:rsidRPr="00D5464D">
        <w:rPr>
          <w:rFonts w:eastAsia="Batang" w:cs="Times"/>
          <w:szCs w:val="24"/>
          <w:lang w:val="pt-BR" w:eastAsia="es-ES"/>
        </w:rPr>
        <w:t xml:space="preserve"> </w:t>
      </w:r>
      <w:r w:rsidR="00004D55" w:rsidRPr="00D5464D">
        <w:rPr>
          <w:rFonts w:eastAsia="Batang" w:cs="Times"/>
          <w:szCs w:val="24"/>
          <w:lang w:val="pt-BR" w:eastAsia="es-ES"/>
        </w:rPr>
        <w:t>viola</w:t>
      </w:r>
      <w:r w:rsidR="00470ADC" w:rsidRPr="00D5464D">
        <w:rPr>
          <w:rFonts w:eastAsia="Batang" w:cs="Times"/>
          <w:szCs w:val="24"/>
          <w:lang w:val="pt-BR" w:eastAsia="es-ES"/>
        </w:rPr>
        <w:t>ções</w:t>
      </w:r>
      <w:r w:rsidR="00004D55" w:rsidRPr="00D5464D">
        <w:rPr>
          <w:rFonts w:eastAsia="Batang" w:cs="Times"/>
          <w:szCs w:val="24"/>
          <w:lang w:val="pt-BR" w:eastAsia="es-ES"/>
        </w:rPr>
        <w:t xml:space="preserve"> a </w:t>
      </w:r>
      <w:r w:rsidR="00470ADC" w:rsidRPr="00D5464D">
        <w:rPr>
          <w:rFonts w:eastAsia="Batang" w:cs="Times"/>
          <w:szCs w:val="24"/>
          <w:lang w:val="pt-BR" w:eastAsia="es-ES"/>
        </w:rPr>
        <w:t>compromissos</w:t>
      </w:r>
      <w:r w:rsidR="00004D55" w:rsidRPr="00D5464D">
        <w:rPr>
          <w:rFonts w:eastAsia="Batang" w:cs="Times"/>
          <w:szCs w:val="24"/>
          <w:lang w:val="pt-BR" w:eastAsia="es-ES"/>
        </w:rPr>
        <w:t xml:space="preserve"> </w:t>
      </w:r>
      <w:r w:rsidR="002C330E" w:rsidRPr="00D5464D">
        <w:rPr>
          <w:rFonts w:eastAsia="Batang" w:cs="Times"/>
          <w:szCs w:val="24"/>
          <w:lang w:val="pt-BR" w:eastAsia="es-ES"/>
        </w:rPr>
        <w:t>internacionais</w:t>
      </w:r>
      <w:r w:rsidR="00004D55" w:rsidRPr="00D5464D">
        <w:rPr>
          <w:rFonts w:eastAsia="Batang" w:cs="Times"/>
          <w:szCs w:val="24"/>
          <w:lang w:val="pt-BR" w:eastAsia="es-ES"/>
        </w:rPr>
        <w:t xml:space="preserve"> </w:t>
      </w:r>
      <w:r w:rsidR="00E045D9" w:rsidRPr="00D5464D">
        <w:rPr>
          <w:rFonts w:eastAsia="Batang" w:cs="Times"/>
          <w:szCs w:val="24"/>
          <w:lang w:val="pt-BR" w:eastAsia="es-ES"/>
        </w:rPr>
        <w:t>assumid</w:t>
      </w:r>
      <w:r w:rsidR="00004D55" w:rsidRPr="00D5464D">
        <w:rPr>
          <w:rFonts w:eastAsia="Batang" w:cs="Times"/>
          <w:szCs w:val="24"/>
          <w:lang w:val="pt-BR" w:eastAsia="es-ES"/>
        </w:rPr>
        <w:t xml:space="preserve">os </w:t>
      </w:r>
      <w:r w:rsidRPr="00D5464D">
        <w:rPr>
          <w:rFonts w:eastAsia="Batang" w:cs="Times"/>
          <w:szCs w:val="24"/>
          <w:lang w:val="pt-BR" w:eastAsia="es-ES"/>
        </w:rPr>
        <w:t xml:space="preserve">pelo </w:t>
      </w:r>
      <w:r w:rsidR="00004D55" w:rsidRPr="00D5464D">
        <w:rPr>
          <w:rFonts w:eastAsia="Batang" w:cs="Times"/>
          <w:szCs w:val="24"/>
          <w:lang w:val="pt-BR" w:eastAsia="es-ES"/>
        </w:rPr>
        <w:t>Brasil</w:t>
      </w:r>
      <w:r w:rsidR="00470ADC" w:rsidRPr="00D5464D">
        <w:rPr>
          <w:rFonts w:eastAsia="Batang" w:cs="Times"/>
          <w:szCs w:val="24"/>
          <w:lang w:val="pt-BR" w:eastAsia="es-ES"/>
        </w:rPr>
        <w:t xml:space="preserve"> em </w:t>
      </w:r>
      <w:r w:rsidR="00004D55" w:rsidRPr="00D5464D">
        <w:rPr>
          <w:rFonts w:eastAsia="Batang" w:cs="Times"/>
          <w:szCs w:val="24"/>
          <w:lang w:val="pt-BR" w:eastAsia="es-ES"/>
        </w:rPr>
        <w:t>rela</w:t>
      </w:r>
      <w:r w:rsidR="00470ADC" w:rsidRPr="00D5464D">
        <w:rPr>
          <w:rFonts w:eastAsia="Batang" w:cs="Times"/>
          <w:szCs w:val="24"/>
          <w:lang w:val="pt-BR" w:eastAsia="es-ES"/>
        </w:rPr>
        <w:t xml:space="preserve">ção </w:t>
      </w:r>
      <w:r w:rsidRPr="00D5464D">
        <w:rPr>
          <w:rFonts w:eastAsia="Batang" w:cs="Times"/>
          <w:szCs w:val="24"/>
          <w:lang w:val="pt-BR" w:eastAsia="es-ES"/>
        </w:rPr>
        <w:t>a</w:t>
      </w:r>
      <w:r w:rsidR="00470ADC" w:rsidRPr="00D5464D">
        <w:rPr>
          <w:rFonts w:eastAsia="Batang" w:cs="Times"/>
          <w:szCs w:val="24"/>
          <w:lang w:val="pt-BR" w:eastAsia="es-ES"/>
        </w:rPr>
        <w:t xml:space="preserve"> </w:t>
      </w:r>
      <w:r w:rsidR="002C330E" w:rsidRPr="00D5464D">
        <w:rPr>
          <w:rFonts w:eastAsia="Batang" w:cs="Times"/>
          <w:szCs w:val="24"/>
          <w:lang w:val="pt-BR" w:eastAsia="es-ES"/>
        </w:rPr>
        <w:t>outros</w:t>
      </w:r>
      <w:r w:rsidR="00004D55" w:rsidRPr="00D5464D">
        <w:rPr>
          <w:rFonts w:eastAsia="Batang" w:cs="Times"/>
          <w:szCs w:val="24"/>
          <w:lang w:val="pt-BR" w:eastAsia="es-ES"/>
        </w:rPr>
        <w:t xml:space="preserve"> tratados </w:t>
      </w:r>
      <w:r w:rsidR="002C330E" w:rsidRPr="00D5464D">
        <w:rPr>
          <w:rFonts w:eastAsia="Batang" w:cs="Times"/>
          <w:szCs w:val="24"/>
          <w:lang w:val="pt-BR" w:eastAsia="es-ES"/>
        </w:rPr>
        <w:t>internacionais</w:t>
      </w:r>
      <w:r w:rsidR="00004D55" w:rsidRPr="00D5464D">
        <w:rPr>
          <w:rFonts w:eastAsia="Batang" w:cs="Times"/>
          <w:szCs w:val="24"/>
          <w:lang w:val="pt-BR" w:eastAsia="es-ES"/>
        </w:rPr>
        <w:t>.</w:t>
      </w:r>
    </w:p>
    <w:p w14:paraId="79909DAC" w14:textId="77777777" w:rsidR="00004D55" w:rsidRPr="00D5464D" w:rsidRDefault="00004D55" w:rsidP="00140440">
      <w:pPr>
        <w:pStyle w:val="Prrafodelista"/>
        <w:rPr>
          <w:rFonts w:eastAsia="Batang" w:cs="Times"/>
          <w:szCs w:val="24"/>
          <w:lang w:val="pt-BR" w:eastAsia="es-ES"/>
        </w:rPr>
      </w:pPr>
      <w:bookmarkStart w:id="134" w:name="_Ref405769555"/>
    </w:p>
    <w:p w14:paraId="3BFDCA24" w14:textId="3F6288D2" w:rsidR="00004D55" w:rsidRPr="00D5464D" w:rsidRDefault="00470AD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De acordo com o artigo</w:t>
      </w:r>
      <w:r w:rsidR="000A52D5" w:rsidRPr="00D5464D">
        <w:rPr>
          <w:rFonts w:eastAsia="Batang" w:cs="Times"/>
          <w:szCs w:val="24"/>
          <w:lang w:val="pt-BR" w:eastAsia="es-ES"/>
        </w:rPr>
        <w:t xml:space="preserve"> 29.b)</w:t>
      </w:r>
      <w:r w:rsidRPr="00D5464D">
        <w:rPr>
          <w:rFonts w:eastAsia="Batang" w:cs="Times"/>
          <w:szCs w:val="24"/>
          <w:lang w:val="pt-BR" w:eastAsia="es-ES"/>
        </w:rPr>
        <w:t xml:space="preserve"> da </w:t>
      </w:r>
      <w:r w:rsidR="000A52D5" w:rsidRPr="00D5464D">
        <w:rPr>
          <w:rFonts w:eastAsia="Batang" w:cs="Times"/>
          <w:szCs w:val="24"/>
          <w:lang w:val="pt-BR" w:eastAsia="es-ES"/>
        </w:rPr>
        <w:t>Conven</w:t>
      </w:r>
      <w:r w:rsidRPr="00D5464D">
        <w:rPr>
          <w:rFonts w:eastAsia="Batang" w:cs="Times"/>
          <w:szCs w:val="24"/>
          <w:lang w:val="pt-BR" w:eastAsia="es-ES"/>
        </w:rPr>
        <w:t>ção</w:t>
      </w:r>
      <w:r w:rsidR="000A52D5" w:rsidRPr="00D5464D">
        <w:rPr>
          <w:rFonts w:eastAsia="Batang" w:cs="Times"/>
          <w:szCs w:val="24"/>
          <w:lang w:val="pt-BR" w:eastAsia="es-ES"/>
        </w:rPr>
        <w:t xml:space="preserve"> Americana</w:t>
      </w:r>
      <w:r w:rsidR="00E045D9" w:rsidRPr="00D5464D">
        <w:rPr>
          <w:rFonts w:eastAsia="Batang" w:cs="Times"/>
          <w:szCs w:val="24"/>
          <w:lang w:val="pt-BR" w:eastAsia="es-ES"/>
        </w:rPr>
        <w:t xml:space="preserve"> e </w:t>
      </w:r>
      <w:r w:rsidR="002C330E" w:rsidRPr="00D5464D">
        <w:rPr>
          <w:rFonts w:eastAsia="Batang" w:cs="Times"/>
          <w:szCs w:val="24"/>
          <w:lang w:val="pt-BR" w:eastAsia="es-ES"/>
        </w:rPr>
        <w:t>as regras</w:t>
      </w:r>
      <w:r w:rsidR="000A52D5" w:rsidRPr="00D5464D">
        <w:rPr>
          <w:rFonts w:eastAsia="Batang" w:cs="Times"/>
          <w:szCs w:val="24"/>
          <w:lang w:val="pt-BR" w:eastAsia="es-ES"/>
        </w:rPr>
        <w:t xml:space="preserve"> </w:t>
      </w:r>
      <w:r w:rsidR="002C330E" w:rsidRPr="00D5464D">
        <w:rPr>
          <w:rFonts w:eastAsia="Batang" w:cs="Times"/>
          <w:szCs w:val="24"/>
          <w:lang w:val="pt-BR" w:eastAsia="es-ES"/>
        </w:rPr>
        <w:t xml:space="preserve">gerais </w:t>
      </w:r>
      <w:r w:rsidR="000A52D5" w:rsidRPr="00D5464D">
        <w:rPr>
          <w:rFonts w:eastAsia="Batang" w:cs="Times"/>
          <w:szCs w:val="24"/>
          <w:lang w:val="pt-BR" w:eastAsia="es-ES"/>
        </w:rPr>
        <w:t>de interpreta</w:t>
      </w:r>
      <w:r w:rsidRPr="00D5464D">
        <w:rPr>
          <w:rFonts w:eastAsia="Batang" w:cs="Times"/>
          <w:szCs w:val="24"/>
          <w:lang w:val="pt-BR" w:eastAsia="es-ES"/>
        </w:rPr>
        <w:t xml:space="preserve">ção dos </w:t>
      </w:r>
      <w:r w:rsidR="000A52D5" w:rsidRPr="00D5464D">
        <w:rPr>
          <w:rFonts w:eastAsia="Batang" w:cs="Times"/>
          <w:szCs w:val="24"/>
          <w:lang w:val="pt-BR" w:eastAsia="es-ES"/>
        </w:rPr>
        <w:t xml:space="preserve">tratados </w:t>
      </w:r>
      <w:r w:rsidR="00877C28" w:rsidRPr="00D5464D">
        <w:rPr>
          <w:rFonts w:eastAsia="Batang" w:cs="Times"/>
          <w:szCs w:val="24"/>
          <w:lang w:val="pt-BR" w:eastAsia="es-ES"/>
        </w:rPr>
        <w:t xml:space="preserve">estabelecidas </w:t>
      </w:r>
      <w:r w:rsidR="00E045D9" w:rsidRPr="00D5464D">
        <w:rPr>
          <w:rFonts w:eastAsia="Batang" w:cs="Times"/>
          <w:szCs w:val="24"/>
          <w:lang w:val="pt-BR" w:eastAsia="es-ES"/>
        </w:rPr>
        <w:t xml:space="preserve">na </w:t>
      </w:r>
      <w:r w:rsidR="000A52D5" w:rsidRPr="00D5464D">
        <w:rPr>
          <w:rFonts w:eastAsia="Batang" w:cs="Times"/>
          <w:szCs w:val="24"/>
          <w:lang w:val="pt-BR" w:eastAsia="es-ES"/>
        </w:rPr>
        <w:t>Conven</w:t>
      </w:r>
      <w:r w:rsidRPr="00D5464D">
        <w:rPr>
          <w:rFonts w:eastAsia="Batang" w:cs="Times"/>
          <w:szCs w:val="24"/>
          <w:lang w:val="pt-BR" w:eastAsia="es-ES"/>
        </w:rPr>
        <w:t>ção</w:t>
      </w:r>
      <w:r w:rsidR="000A52D5" w:rsidRPr="00D5464D">
        <w:rPr>
          <w:rFonts w:eastAsia="Batang" w:cs="Times"/>
          <w:szCs w:val="24"/>
          <w:lang w:val="pt-BR" w:eastAsia="es-ES"/>
        </w:rPr>
        <w:t xml:space="preserve"> de Viena sobre</w:t>
      </w:r>
      <w:r w:rsidRPr="00D5464D">
        <w:rPr>
          <w:rFonts w:eastAsia="Batang" w:cs="Times"/>
          <w:szCs w:val="24"/>
          <w:lang w:val="pt-BR" w:eastAsia="es-ES"/>
        </w:rPr>
        <w:t xml:space="preserve"> o Direito dos </w:t>
      </w:r>
      <w:r w:rsidR="000A52D5" w:rsidRPr="00D5464D">
        <w:rPr>
          <w:rFonts w:eastAsia="Batang" w:cs="Times"/>
          <w:szCs w:val="24"/>
          <w:lang w:val="pt-BR" w:eastAsia="es-ES"/>
        </w:rPr>
        <w:t>Tratados,</w:t>
      </w:r>
      <w:r w:rsidR="002C330E" w:rsidRPr="00D5464D">
        <w:rPr>
          <w:rFonts w:eastAsia="Batang" w:cs="Times"/>
          <w:szCs w:val="24"/>
          <w:lang w:val="pt-BR" w:eastAsia="es-ES"/>
        </w:rPr>
        <w:t xml:space="preserve"> a </w:t>
      </w:r>
      <w:r w:rsidR="000A52D5" w:rsidRPr="00D5464D">
        <w:rPr>
          <w:rFonts w:eastAsia="Batang" w:cs="Times"/>
          <w:szCs w:val="24"/>
          <w:lang w:val="pt-BR" w:eastAsia="es-ES"/>
        </w:rPr>
        <w:t>Conven</w:t>
      </w:r>
      <w:r w:rsidRPr="00D5464D">
        <w:rPr>
          <w:rFonts w:eastAsia="Batang" w:cs="Times"/>
          <w:szCs w:val="24"/>
          <w:lang w:val="pt-BR" w:eastAsia="es-ES"/>
        </w:rPr>
        <w:t>ção</w:t>
      </w:r>
      <w:r w:rsidR="000A52D5" w:rsidRPr="00D5464D">
        <w:rPr>
          <w:rFonts w:eastAsia="Batang" w:cs="Times"/>
          <w:szCs w:val="24"/>
          <w:lang w:val="pt-BR" w:eastAsia="es-ES"/>
        </w:rPr>
        <w:t xml:space="preserve"> Americana </w:t>
      </w:r>
      <w:r w:rsidR="002C330E" w:rsidRPr="00D5464D">
        <w:rPr>
          <w:rFonts w:eastAsia="Batang" w:cs="Times"/>
          <w:szCs w:val="24"/>
          <w:lang w:val="pt-BR" w:eastAsia="es-ES"/>
        </w:rPr>
        <w:t>pode</w:t>
      </w:r>
      <w:r w:rsidR="000A52D5" w:rsidRPr="00D5464D">
        <w:rPr>
          <w:rFonts w:eastAsia="Batang" w:cs="Times"/>
          <w:szCs w:val="24"/>
          <w:lang w:val="pt-BR" w:eastAsia="es-ES"/>
        </w:rPr>
        <w:t xml:space="preserve"> ser interpretada</w:t>
      </w:r>
      <w:r w:rsidRPr="00D5464D">
        <w:rPr>
          <w:rFonts w:eastAsia="Batang" w:cs="Times"/>
          <w:szCs w:val="24"/>
          <w:lang w:val="pt-BR" w:eastAsia="es-ES"/>
        </w:rPr>
        <w:t xml:space="preserve"> em </w:t>
      </w:r>
      <w:r w:rsidR="000A52D5" w:rsidRPr="00D5464D">
        <w:rPr>
          <w:rFonts w:eastAsia="Batang" w:cs="Times"/>
          <w:szCs w:val="24"/>
          <w:lang w:val="pt-BR" w:eastAsia="es-ES"/>
        </w:rPr>
        <w:t>rela</w:t>
      </w:r>
      <w:r w:rsidRPr="00D5464D">
        <w:rPr>
          <w:rFonts w:eastAsia="Batang" w:cs="Times"/>
          <w:szCs w:val="24"/>
          <w:lang w:val="pt-BR" w:eastAsia="es-ES"/>
        </w:rPr>
        <w:t xml:space="preserve">ção </w:t>
      </w:r>
      <w:r w:rsidR="00877C28" w:rsidRPr="00D5464D">
        <w:rPr>
          <w:rFonts w:eastAsia="Batang" w:cs="Times"/>
          <w:szCs w:val="24"/>
          <w:lang w:val="pt-BR" w:eastAsia="es-ES"/>
        </w:rPr>
        <w:t>a</w:t>
      </w:r>
      <w:r w:rsidRPr="00D5464D">
        <w:rPr>
          <w:rFonts w:eastAsia="Batang" w:cs="Times"/>
          <w:szCs w:val="24"/>
          <w:lang w:val="pt-BR" w:eastAsia="es-ES"/>
        </w:rPr>
        <w:t xml:space="preserve"> </w:t>
      </w:r>
      <w:r w:rsidR="002C330E" w:rsidRPr="00D5464D">
        <w:rPr>
          <w:rFonts w:eastAsia="Batang" w:cs="Times"/>
          <w:szCs w:val="24"/>
          <w:lang w:val="pt-BR" w:eastAsia="es-ES"/>
        </w:rPr>
        <w:t>outros</w:t>
      </w:r>
      <w:r w:rsidR="000A52D5" w:rsidRPr="00D5464D">
        <w:rPr>
          <w:rFonts w:eastAsia="Batang" w:cs="Times"/>
          <w:szCs w:val="24"/>
          <w:lang w:val="pt-BR" w:eastAsia="es-ES"/>
        </w:rPr>
        <w:t xml:space="preserve"> instrumentos </w:t>
      </w:r>
      <w:r w:rsidR="002C330E" w:rsidRPr="00D5464D">
        <w:rPr>
          <w:rFonts w:eastAsia="Batang" w:cs="Times"/>
          <w:szCs w:val="24"/>
          <w:lang w:val="pt-BR" w:eastAsia="es-ES"/>
        </w:rPr>
        <w:t>internacionais</w:t>
      </w:r>
      <w:bookmarkStart w:id="135" w:name="_ftnref1"/>
      <w:r w:rsidR="00877C28" w:rsidRPr="00D5464D">
        <w:rPr>
          <w:rFonts w:eastAsia="Batang" w:cs="Times"/>
          <w:szCs w:val="24"/>
          <w:lang w:val="pt-BR" w:eastAsia="es-ES"/>
        </w:rPr>
        <w:t>.</w:t>
      </w:r>
      <w:r w:rsidR="000A52D5" w:rsidRPr="00D5464D">
        <w:rPr>
          <w:rFonts w:eastAsia="Batang" w:cs="Times"/>
          <w:szCs w:val="24"/>
          <w:vertAlign w:val="superscript"/>
          <w:lang w:val="pt-BR" w:eastAsia="es-ES"/>
        </w:rPr>
        <w:footnoteReference w:id="50"/>
      </w:r>
      <w:bookmarkEnd w:id="135"/>
      <w:r w:rsidR="000A52D5" w:rsidRPr="00D5464D">
        <w:rPr>
          <w:rFonts w:eastAsia="Batang" w:cs="Times"/>
          <w:szCs w:val="24"/>
          <w:lang w:val="pt-BR" w:eastAsia="es-ES"/>
        </w:rPr>
        <w:t xml:space="preserve"> </w:t>
      </w:r>
      <w:r w:rsidR="00230C71" w:rsidRPr="00D5464D">
        <w:rPr>
          <w:rFonts w:eastAsia="Batang" w:cs="Times"/>
          <w:szCs w:val="24"/>
          <w:lang w:val="pt-BR" w:eastAsia="es-ES"/>
        </w:rPr>
        <w:t>Portanto,</w:t>
      </w:r>
      <w:r w:rsidRPr="00D5464D">
        <w:rPr>
          <w:rFonts w:eastAsia="Batang" w:cs="Times"/>
          <w:szCs w:val="24"/>
          <w:lang w:val="pt-BR" w:eastAsia="es-ES"/>
        </w:rPr>
        <w:t xml:space="preserve"> ao </w:t>
      </w:r>
      <w:r w:rsidR="000A52D5" w:rsidRPr="00D5464D">
        <w:rPr>
          <w:rFonts w:eastAsia="Batang" w:cs="Times"/>
          <w:szCs w:val="24"/>
          <w:lang w:val="pt-BR" w:eastAsia="es-ES"/>
        </w:rPr>
        <w:t>examinar</w:t>
      </w:r>
      <w:r w:rsidR="002C330E" w:rsidRPr="00D5464D">
        <w:rPr>
          <w:rFonts w:eastAsia="Batang" w:cs="Times"/>
          <w:szCs w:val="24"/>
          <w:lang w:val="pt-BR" w:eastAsia="es-ES"/>
        </w:rPr>
        <w:t xml:space="preserve"> a </w:t>
      </w:r>
      <w:r w:rsidR="00350187" w:rsidRPr="00D5464D">
        <w:rPr>
          <w:rFonts w:eastAsia="Batang" w:cs="Times"/>
          <w:szCs w:val="24"/>
          <w:lang w:val="pt-BR" w:eastAsia="es-ES"/>
        </w:rPr>
        <w:t xml:space="preserve">compatibilidade </w:t>
      </w:r>
      <w:r w:rsidRPr="00D5464D">
        <w:rPr>
          <w:rFonts w:eastAsia="Batang" w:cs="Times"/>
          <w:szCs w:val="24"/>
          <w:lang w:val="pt-BR" w:eastAsia="es-ES"/>
        </w:rPr>
        <w:t>das conduta</w:t>
      </w:r>
      <w:r w:rsidR="000A52D5" w:rsidRPr="00D5464D">
        <w:rPr>
          <w:rFonts w:eastAsia="Batang" w:cs="Times"/>
          <w:szCs w:val="24"/>
          <w:lang w:val="pt-BR" w:eastAsia="es-ES"/>
        </w:rPr>
        <w:t>s o</w:t>
      </w:r>
      <w:r w:rsidR="00877C28" w:rsidRPr="00D5464D">
        <w:rPr>
          <w:rFonts w:eastAsia="Batang" w:cs="Times"/>
          <w:szCs w:val="24"/>
          <w:lang w:val="pt-BR" w:eastAsia="es-ES"/>
        </w:rPr>
        <w:t>u</w:t>
      </w:r>
      <w:r w:rsidR="000A52D5" w:rsidRPr="00D5464D">
        <w:rPr>
          <w:rFonts w:eastAsia="Batang" w:cs="Times"/>
          <w:szCs w:val="24"/>
          <w:lang w:val="pt-BR" w:eastAsia="es-ES"/>
        </w:rPr>
        <w:t xml:space="preserve"> normas esta</w:t>
      </w:r>
      <w:r w:rsidR="00E045D9" w:rsidRPr="00D5464D">
        <w:rPr>
          <w:rFonts w:eastAsia="Batang" w:cs="Times"/>
          <w:szCs w:val="24"/>
          <w:lang w:val="pt-BR" w:eastAsia="es-ES"/>
        </w:rPr>
        <w:t>tais</w:t>
      </w:r>
      <w:r w:rsidRPr="00D5464D">
        <w:rPr>
          <w:rFonts w:eastAsia="Batang" w:cs="Times"/>
          <w:szCs w:val="24"/>
          <w:lang w:val="pt-BR" w:eastAsia="es-ES"/>
        </w:rPr>
        <w:t xml:space="preserve"> com</w:t>
      </w:r>
      <w:r w:rsidR="002C330E" w:rsidRPr="00D5464D">
        <w:rPr>
          <w:rFonts w:eastAsia="Batang" w:cs="Times"/>
          <w:szCs w:val="24"/>
          <w:lang w:val="pt-BR" w:eastAsia="es-ES"/>
        </w:rPr>
        <w:t xml:space="preserve"> a </w:t>
      </w:r>
      <w:r w:rsidR="000A52D5" w:rsidRPr="00D5464D">
        <w:rPr>
          <w:rFonts w:eastAsia="Batang" w:cs="Times"/>
          <w:szCs w:val="24"/>
          <w:lang w:val="pt-BR" w:eastAsia="es-ES"/>
        </w:rPr>
        <w:t>Conven</w:t>
      </w:r>
      <w:r w:rsidRPr="00D5464D">
        <w:rPr>
          <w:rFonts w:eastAsia="Batang" w:cs="Times"/>
          <w:szCs w:val="24"/>
          <w:lang w:val="pt-BR" w:eastAsia="es-ES"/>
        </w:rPr>
        <w:t>ção</w:t>
      </w:r>
      <w:r w:rsidR="000A52D5" w:rsidRPr="00D5464D">
        <w:rPr>
          <w:rFonts w:eastAsia="Batang" w:cs="Times"/>
          <w:szCs w:val="24"/>
          <w:lang w:val="pt-BR" w:eastAsia="es-ES"/>
        </w:rPr>
        <w:t>,</w:t>
      </w:r>
      <w:r w:rsidR="002C330E" w:rsidRPr="00D5464D">
        <w:rPr>
          <w:rFonts w:eastAsia="Batang" w:cs="Times"/>
          <w:szCs w:val="24"/>
          <w:lang w:val="pt-BR" w:eastAsia="es-ES"/>
        </w:rPr>
        <w:t xml:space="preserve"> a </w:t>
      </w:r>
      <w:r w:rsidR="000A52D5" w:rsidRPr="00D5464D">
        <w:rPr>
          <w:rFonts w:eastAsia="Batang" w:cs="Times"/>
          <w:szCs w:val="24"/>
          <w:lang w:val="pt-BR" w:eastAsia="es-ES"/>
        </w:rPr>
        <w:t xml:space="preserve">Corte </w:t>
      </w:r>
      <w:r w:rsidR="002C330E" w:rsidRPr="00D5464D">
        <w:rPr>
          <w:rFonts w:eastAsia="Batang" w:cs="Times"/>
          <w:szCs w:val="24"/>
          <w:lang w:val="pt-BR" w:eastAsia="es-ES"/>
        </w:rPr>
        <w:t>pode</w:t>
      </w:r>
      <w:r w:rsidR="000A52D5" w:rsidRPr="00D5464D">
        <w:rPr>
          <w:rFonts w:eastAsia="Batang" w:cs="Times"/>
          <w:szCs w:val="24"/>
          <w:lang w:val="pt-BR" w:eastAsia="es-ES"/>
        </w:rPr>
        <w:t xml:space="preserve"> interpretar</w:t>
      </w:r>
      <w:r w:rsidR="00211DB5" w:rsidRPr="00D5464D">
        <w:rPr>
          <w:rFonts w:eastAsia="Batang" w:cs="Times"/>
          <w:szCs w:val="24"/>
          <w:lang w:val="pt-BR" w:eastAsia="es-ES"/>
        </w:rPr>
        <w:t>,</w:t>
      </w:r>
      <w:r w:rsidRPr="00D5464D">
        <w:rPr>
          <w:rFonts w:eastAsia="Batang" w:cs="Times"/>
          <w:szCs w:val="24"/>
          <w:lang w:val="pt-BR" w:eastAsia="es-ES"/>
        </w:rPr>
        <w:t xml:space="preserve"> à </w:t>
      </w:r>
      <w:r w:rsidR="000A52D5" w:rsidRPr="00D5464D">
        <w:rPr>
          <w:rFonts w:eastAsia="Batang" w:cs="Times"/>
          <w:szCs w:val="24"/>
          <w:lang w:val="pt-BR" w:eastAsia="es-ES"/>
        </w:rPr>
        <w:t xml:space="preserve">luz de </w:t>
      </w:r>
      <w:r w:rsidR="002C330E" w:rsidRPr="00D5464D">
        <w:rPr>
          <w:rFonts w:eastAsia="Batang" w:cs="Times"/>
          <w:szCs w:val="24"/>
          <w:lang w:val="pt-BR" w:eastAsia="es-ES"/>
        </w:rPr>
        <w:t>outros</w:t>
      </w:r>
      <w:r w:rsidR="000A52D5" w:rsidRPr="00D5464D">
        <w:rPr>
          <w:rFonts w:eastAsia="Batang" w:cs="Times"/>
          <w:szCs w:val="24"/>
          <w:lang w:val="pt-BR" w:eastAsia="es-ES"/>
        </w:rPr>
        <w:t xml:space="preserve"> tratados</w:t>
      </w:r>
      <w:r w:rsidR="00211DB5" w:rsidRPr="00D5464D">
        <w:rPr>
          <w:rFonts w:eastAsia="Batang" w:cs="Times"/>
          <w:szCs w:val="24"/>
          <w:lang w:val="pt-BR" w:eastAsia="es-ES"/>
        </w:rPr>
        <w:t>,</w:t>
      </w:r>
      <w:r w:rsidR="002C330E" w:rsidRPr="00D5464D">
        <w:rPr>
          <w:rFonts w:eastAsia="Batang" w:cs="Times"/>
          <w:szCs w:val="24"/>
          <w:lang w:val="pt-BR" w:eastAsia="es-ES"/>
        </w:rPr>
        <w:t xml:space="preserve"> as obrigações</w:t>
      </w:r>
      <w:r w:rsidR="00E045D9" w:rsidRPr="00D5464D">
        <w:rPr>
          <w:rFonts w:eastAsia="Batang" w:cs="Times"/>
          <w:szCs w:val="24"/>
          <w:lang w:val="pt-BR" w:eastAsia="es-ES"/>
        </w:rPr>
        <w:t xml:space="preserve"> e </w:t>
      </w:r>
      <w:r w:rsidR="002C330E" w:rsidRPr="00D5464D">
        <w:rPr>
          <w:rFonts w:eastAsia="Batang" w:cs="Times"/>
          <w:szCs w:val="24"/>
          <w:lang w:val="pt-BR" w:eastAsia="es-ES"/>
        </w:rPr>
        <w:t xml:space="preserve">os </w:t>
      </w:r>
      <w:r w:rsidRPr="00D5464D">
        <w:rPr>
          <w:rFonts w:eastAsia="Batang" w:cs="Times"/>
          <w:szCs w:val="24"/>
          <w:lang w:val="pt-BR" w:eastAsia="es-ES"/>
        </w:rPr>
        <w:t>direito</w:t>
      </w:r>
      <w:r w:rsidR="000A52D5" w:rsidRPr="00D5464D">
        <w:rPr>
          <w:rFonts w:eastAsia="Batang" w:cs="Times"/>
          <w:szCs w:val="24"/>
          <w:lang w:val="pt-BR" w:eastAsia="es-ES"/>
        </w:rPr>
        <w:t xml:space="preserve">s </w:t>
      </w:r>
      <w:r w:rsidRPr="00D5464D">
        <w:rPr>
          <w:rFonts w:eastAsia="Batang" w:cs="Times"/>
          <w:szCs w:val="24"/>
          <w:lang w:val="pt-BR" w:eastAsia="es-ES"/>
        </w:rPr>
        <w:t>contidos</w:t>
      </w:r>
      <w:r w:rsidR="00E045D9" w:rsidRPr="00D5464D">
        <w:rPr>
          <w:rFonts w:eastAsia="Batang" w:cs="Times"/>
          <w:szCs w:val="24"/>
          <w:lang w:val="pt-BR" w:eastAsia="es-ES"/>
        </w:rPr>
        <w:t xml:space="preserve"> neste </w:t>
      </w:r>
      <w:r w:rsidR="000A52D5" w:rsidRPr="00D5464D">
        <w:rPr>
          <w:rFonts w:eastAsia="Batang" w:cs="Times"/>
          <w:szCs w:val="24"/>
          <w:lang w:val="pt-BR" w:eastAsia="es-ES"/>
        </w:rPr>
        <w:t>instrumento.</w:t>
      </w:r>
      <w:r w:rsidR="00350187" w:rsidRPr="00D5464D">
        <w:rPr>
          <w:rFonts w:eastAsia="Batang" w:cs="Times"/>
          <w:szCs w:val="24"/>
          <w:lang w:val="pt-BR" w:eastAsia="es-ES"/>
        </w:rPr>
        <w:t xml:space="preserve"> </w:t>
      </w:r>
      <w:r w:rsidR="00877C28" w:rsidRPr="00D5464D">
        <w:rPr>
          <w:rFonts w:eastAsia="Batang" w:cs="Times"/>
          <w:szCs w:val="24"/>
          <w:lang w:val="pt-BR" w:eastAsia="es-ES"/>
        </w:rPr>
        <w:t xml:space="preserve">Isso significa </w:t>
      </w:r>
      <w:r w:rsidR="000A52D5" w:rsidRPr="00D5464D">
        <w:rPr>
          <w:rFonts w:eastAsia="Batang" w:cs="Times"/>
          <w:szCs w:val="24"/>
          <w:lang w:val="pt-BR" w:eastAsia="es-ES"/>
        </w:rPr>
        <w:t>que</w:t>
      </w:r>
      <w:r w:rsidR="002C330E" w:rsidRPr="00D5464D">
        <w:rPr>
          <w:rFonts w:eastAsia="Batang" w:cs="Times"/>
          <w:szCs w:val="24"/>
          <w:lang w:val="pt-BR" w:eastAsia="es-ES"/>
        </w:rPr>
        <w:t xml:space="preserve"> a </w:t>
      </w:r>
      <w:r w:rsidR="000A52D5" w:rsidRPr="00D5464D">
        <w:rPr>
          <w:rFonts w:eastAsia="Batang" w:cs="Times"/>
          <w:szCs w:val="24"/>
          <w:lang w:val="pt-BR" w:eastAsia="es-ES"/>
        </w:rPr>
        <w:t xml:space="preserve">Corte </w:t>
      </w:r>
      <w:r w:rsidR="002C330E" w:rsidRPr="00D5464D">
        <w:rPr>
          <w:rFonts w:eastAsia="Batang" w:cs="Times"/>
          <w:szCs w:val="24"/>
          <w:lang w:val="pt-BR" w:eastAsia="es-ES"/>
        </w:rPr>
        <w:t>pode</w:t>
      </w:r>
      <w:r w:rsidR="000A52D5" w:rsidRPr="00D5464D">
        <w:rPr>
          <w:rFonts w:eastAsia="Batang" w:cs="Times"/>
          <w:szCs w:val="24"/>
          <w:lang w:val="pt-BR" w:eastAsia="es-ES"/>
        </w:rPr>
        <w:t xml:space="preserve"> observar</w:t>
      </w:r>
      <w:r w:rsidR="002C330E" w:rsidRPr="00D5464D">
        <w:rPr>
          <w:rFonts w:eastAsia="Batang" w:cs="Times"/>
          <w:szCs w:val="24"/>
          <w:lang w:val="pt-BR" w:eastAsia="es-ES"/>
        </w:rPr>
        <w:t xml:space="preserve"> as </w:t>
      </w:r>
      <w:r w:rsidR="00C91CB1" w:rsidRPr="00D5464D">
        <w:rPr>
          <w:rFonts w:eastAsia="Batang" w:cs="Times"/>
          <w:szCs w:val="24"/>
          <w:lang w:val="pt-BR" w:eastAsia="es-ES"/>
        </w:rPr>
        <w:t>regulamentações</w:t>
      </w:r>
      <w:r w:rsidR="000A52D5" w:rsidRPr="00D5464D">
        <w:rPr>
          <w:rFonts w:eastAsia="Batang" w:cs="Times"/>
          <w:szCs w:val="24"/>
          <w:lang w:val="pt-BR" w:eastAsia="es-ES"/>
        </w:rPr>
        <w:t xml:space="preserve"> de normas </w:t>
      </w:r>
      <w:r w:rsidR="002C330E" w:rsidRPr="00D5464D">
        <w:rPr>
          <w:rFonts w:eastAsia="Batang" w:cs="Times"/>
          <w:szCs w:val="24"/>
          <w:lang w:val="pt-BR" w:eastAsia="es-ES"/>
        </w:rPr>
        <w:t>internacionais</w:t>
      </w:r>
      <w:r w:rsidR="000A52D5" w:rsidRPr="00D5464D">
        <w:rPr>
          <w:rFonts w:eastAsia="Batang" w:cs="Times"/>
          <w:szCs w:val="24"/>
          <w:lang w:val="pt-BR" w:eastAsia="es-ES"/>
        </w:rPr>
        <w:t xml:space="preserve"> concretas relativas</w:t>
      </w:r>
      <w:r w:rsidRPr="00D5464D">
        <w:rPr>
          <w:rFonts w:eastAsia="Batang" w:cs="Times"/>
          <w:szCs w:val="24"/>
          <w:lang w:val="pt-BR" w:eastAsia="es-ES"/>
        </w:rPr>
        <w:t xml:space="preserve"> à </w:t>
      </w:r>
      <w:r w:rsidR="002C330E" w:rsidRPr="00D5464D">
        <w:rPr>
          <w:rFonts w:eastAsia="Batang" w:cs="Times"/>
          <w:szCs w:val="24"/>
          <w:lang w:val="pt-BR" w:eastAsia="es-ES"/>
        </w:rPr>
        <w:t>proibição</w:t>
      </w:r>
      <w:r w:rsidRPr="00D5464D">
        <w:rPr>
          <w:rFonts w:eastAsia="Batang" w:cs="Times"/>
          <w:szCs w:val="24"/>
          <w:lang w:val="pt-BR" w:eastAsia="es-ES"/>
        </w:rPr>
        <w:t xml:space="preserve"> da </w:t>
      </w:r>
      <w:r w:rsidR="000B376D" w:rsidRPr="00D5464D">
        <w:rPr>
          <w:rFonts w:eastAsia="Batang" w:cs="Times"/>
          <w:szCs w:val="24"/>
          <w:lang w:val="pt-BR" w:eastAsia="es-ES"/>
        </w:rPr>
        <w:t>escravidão</w:t>
      </w:r>
      <w:r w:rsidR="000A52D5" w:rsidRPr="00D5464D">
        <w:rPr>
          <w:rFonts w:eastAsia="Batang" w:cs="Times"/>
          <w:szCs w:val="24"/>
          <w:lang w:val="pt-BR" w:eastAsia="es-ES"/>
        </w:rPr>
        <w:t>,</w:t>
      </w:r>
      <w:r w:rsidRPr="00D5464D">
        <w:rPr>
          <w:rFonts w:eastAsia="Batang" w:cs="Times"/>
          <w:szCs w:val="24"/>
          <w:lang w:val="pt-BR" w:eastAsia="es-ES"/>
        </w:rPr>
        <w:t xml:space="preserve"> da </w:t>
      </w:r>
      <w:r w:rsidR="000B376D" w:rsidRPr="00D5464D">
        <w:rPr>
          <w:rFonts w:eastAsia="Batang" w:cs="Times"/>
          <w:szCs w:val="24"/>
          <w:lang w:val="pt-BR" w:eastAsia="es-ES"/>
        </w:rPr>
        <w:t>servidão</w:t>
      </w:r>
      <w:r w:rsidR="00E045D9" w:rsidRPr="00D5464D">
        <w:rPr>
          <w:rFonts w:eastAsia="Batang" w:cs="Times"/>
          <w:szCs w:val="24"/>
          <w:lang w:val="pt-BR" w:eastAsia="es-ES"/>
        </w:rPr>
        <w:t xml:space="preserve"> e </w:t>
      </w:r>
      <w:r w:rsidRPr="00D5464D">
        <w:rPr>
          <w:rFonts w:eastAsia="Batang" w:cs="Times"/>
          <w:szCs w:val="24"/>
          <w:lang w:val="pt-BR" w:eastAsia="es-ES"/>
        </w:rPr>
        <w:t xml:space="preserve">do </w:t>
      </w:r>
      <w:r w:rsidR="000A52D5" w:rsidRPr="00D5464D">
        <w:rPr>
          <w:rFonts w:eastAsia="Batang" w:cs="Times"/>
          <w:szCs w:val="24"/>
          <w:lang w:val="pt-BR" w:eastAsia="es-ES"/>
        </w:rPr>
        <w:t xml:space="preserve">tráfico de </w:t>
      </w:r>
      <w:r w:rsidR="002C330E" w:rsidRPr="00D5464D">
        <w:rPr>
          <w:rFonts w:eastAsia="Batang" w:cs="Times"/>
          <w:szCs w:val="24"/>
          <w:lang w:val="pt-BR" w:eastAsia="es-ES"/>
        </w:rPr>
        <w:t>pessoa</w:t>
      </w:r>
      <w:r w:rsidR="000A52D5" w:rsidRPr="00D5464D">
        <w:rPr>
          <w:rFonts w:eastAsia="Batang" w:cs="Times"/>
          <w:szCs w:val="24"/>
          <w:lang w:val="pt-BR" w:eastAsia="es-ES"/>
        </w:rPr>
        <w:t>s, para dar aplica</w:t>
      </w:r>
      <w:r w:rsidRPr="00D5464D">
        <w:rPr>
          <w:rFonts w:eastAsia="Batang" w:cs="Times"/>
          <w:szCs w:val="24"/>
          <w:lang w:val="pt-BR" w:eastAsia="es-ES"/>
        </w:rPr>
        <w:t>ção</w:t>
      </w:r>
      <w:r w:rsidR="000A52D5" w:rsidRPr="00D5464D">
        <w:rPr>
          <w:rFonts w:eastAsia="Batang" w:cs="Times"/>
          <w:szCs w:val="24"/>
          <w:lang w:val="pt-BR" w:eastAsia="es-ES"/>
        </w:rPr>
        <w:t xml:space="preserve"> específica</w:t>
      </w:r>
      <w:r w:rsidRPr="00D5464D">
        <w:rPr>
          <w:rFonts w:eastAsia="Batang" w:cs="Times"/>
          <w:szCs w:val="24"/>
          <w:lang w:val="pt-BR" w:eastAsia="es-ES"/>
        </w:rPr>
        <w:t xml:space="preserve"> à </w:t>
      </w:r>
      <w:r w:rsidR="000A52D5" w:rsidRPr="00D5464D">
        <w:rPr>
          <w:rFonts w:eastAsia="Batang" w:cs="Times"/>
          <w:szCs w:val="24"/>
          <w:lang w:val="pt-BR" w:eastAsia="es-ES"/>
        </w:rPr>
        <w:t>normativa convencional</w:t>
      </w:r>
      <w:r w:rsidR="00E045D9" w:rsidRPr="00D5464D">
        <w:rPr>
          <w:rFonts w:eastAsia="Batang" w:cs="Times"/>
          <w:szCs w:val="24"/>
          <w:lang w:val="pt-BR" w:eastAsia="es-ES"/>
        </w:rPr>
        <w:t xml:space="preserve"> na </w:t>
      </w:r>
      <w:r w:rsidR="000A52D5" w:rsidRPr="00D5464D">
        <w:rPr>
          <w:rFonts w:eastAsia="Batang" w:cs="Times"/>
          <w:szCs w:val="24"/>
          <w:lang w:val="pt-BR" w:eastAsia="es-ES"/>
        </w:rPr>
        <w:t>defini</w:t>
      </w:r>
      <w:r w:rsidRPr="00D5464D">
        <w:rPr>
          <w:rFonts w:eastAsia="Batang" w:cs="Times"/>
          <w:szCs w:val="24"/>
          <w:lang w:val="pt-BR" w:eastAsia="es-ES"/>
        </w:rPr>
        <w:t xml:space="preserve">ção dos </w:t>
      </w:r>
      <w:r w:rsidR="000A52D5" w:rsidRPr="00D5464D">
        <w:rPr>
          <w:rFonts w:eastAsia="Batang" w:cs="Times"/>
          <w:szCs w:val="24"/>
          <w:lang w:val="pt-BR" w:eastAsia="es-ES"/>
        </w:rPr>
        <w:t>alcances</w:t>
      </w:r>
      <w:r w:rsidRPr="00D5464D">
        <w:rPr>
          <w:rFonts w:eastAsia="Batang" w:cs="Times"/>
          <w:szCs w:val="24"/>
          <w:lang w:val="pt-BR" w:eastAsia="es-ES"/>
        </w:rPr>
        <w:t xml:space="preserve"> das </w:t>
      </w:r>
      <w:r w:rsidR="002C330E" w:rsidRPr="00D5464D">
        <w:rPr>
          <w:rFonts w:eastAsia="Batang" w:cs="Times"/>
          <w:szCs w:val="24"/>
          <w:lang w:val="pt-BR" w:eastAsia="es-ES"/>
        </w:rPr>
        <w:t>obrigações</w:t>
      </w:r>
      <w:r w:rsidR="000A52D5" w:rsidRPr="00D5464D">
        <w:rPr>
          <w:rFonts w:eastAsia="Batang" w:cs="Times"/>
          <w:szCs w:val="24"/>
          <w:lang w:val="pt-BR" w:eastAsia="es-ES"/>
        </w:rPr>
        <w:t xml:space="preserve"> esta</w:t>
      </w:r>
      <w:r w:rsidR="00E045D9" w:rsidRPr="00D5464D">
        <w:rPr>
          <w:rFonts w:eastAsia="Batang" w:cs="Times"/>
          <w:szCs w:val="24"/>
          <w:lang w:val="pt-BR" w:eastAsia="es-ES"/>
        </w:rPr>
        <w:t>tais</w:t>
      </w:r>
      <w:r w:rsidR="00877C28" w:rsidRPr="00D5464D">
        <w:rPr>
          <w:rFonts w:eastAsia="Batang" w:cs="Times"/>
          <w:szCs w:val="24"/>
          <w:lang w:val="pt-BR" w:eastAsia="es-ES"/>
        </w:rPr>
        <w:t>.</w:t>
      </w:r>
      <w:r w:rsidR="000A52D5" w:rsidRPr="00D5464D">
        <w:rPr>
          <w:rFonts w:eastAsia="Batang" w:cs="Times"/>
          <w:szCs w:val="24"/>
          <w:vertAlign w:val="superscript"/>
          <w:lang w:val="pt-BR" w:eastAsia="es-ES"/>
        </w:rPr>
        <w:footnoteReference w:id="51"/>
      </w:r>
      <w:r w:rsidR="000A52D5" w:rsidRPr="00D5464D">
        <w:rPr>
          <w:rFonts w:eastAsia="Batang" w:cs="Times"/>
          <w:szCs w:val="24"/>
          <w:lang w:val="pt-BR" w:eastAsia="es-ES"/>
        </w:rPr>
        <w:t xml:space="preserve"> </w:t>
      </w:r>
      <w:r w:rsidR="00230C71" w:rsidRPr="00D5464D">
        <w:rPr>
          <w:rFonts w:eastAsia="Batang" w:cs="Times"/>
          <w:szCs w:val="24"/>
          <w:lang w:val="pt-BR" w:eastAsia="es-ES"/>
        </w:rPr>
        <w:t>Portanto,</w:t>
      </w:r>
      <w:r w:rsidR="00004D55" w:rsidRPr="00D5464D">
        <w:rPr>
          <w:rFonts w:eastAsia="Batang" w:cs="Times"/>
          <w:szCs w:val="24"/>
          <w:lang w:val="pt-BR" w:eastAsia="es-ES"/>
        </w:rPr>
        <w:t xml:space="preserve"> carece de </w:t>
      </w:r>
      <w:r w:rsidR="00121008" w:rsidRPr="00D5464D">
        <w:rPr>
          <w:rFonts w:eastAsia="Batang" w:cs="Times"/>
          <w:szCs w:val="24"/>
          <w:lang w:val="pt-BR" w:eastAsia="es-ES"/>
        </w:rPr>
        <w:t>fundamentação</w:t>
      </w:r>
      <w:r w:rsidR="002C330E" w:rsidRPr="00D5464D">
        <w:rPr>
          <w:rFonts w:eastAsia="Batang" w:cs="Times"/>
          <w:szCs w:val="24"/>
          <w:lang w:val="pt-BR" w:eastAsia="es-ES"/>
        </w:rPr>
        <w:t xml:space="preserve"> a </w:t>
      </w:r>
      <w:r w:rsidR="00004D55" w:rsidRPr="00D5464D">
        <w:rPr>
          <w:rFonts w:eastAsia="Batang" w:cs="Times"/>
          <w:szCs w:val="24"/>
          <w:lang w:val="pt-BR" w:eastAsia="es-ES"/>
        </w:rPr>
        <w:t>alega</w:t>
      </w:r>
      <w:r w:rsidRPr="00D5464D">
        <w:rPr>
          <w:rFonts w:eastAsia="Batang" w:cs="Times"/>
          <w:szCs w:val="24"/>
          <w:lang w:val="pt-BR" w:eastAsia="es-ES"/>
        </w:rPr>
        <w:t>ção</w:t>
      </w:r>
      <w:r w:rsidR="00004D55" w:rsidRPr="00D5464D">
        <w:rPr>
          <w:rFonts w:eastAsia="Batang" w:cs="Times"/>
          <w:szCs w:val="24"/>
          <w:lang w:val="pt-BR" w:eastAsia="es-ES"/>
        </w:rPr>
        <w:t xml:space="preserve"> de in</w:t>
      </w:r>
      <w:r w:rsidRPr="00D5464D">
        <w:rPr>
          <w:rFonts w:eastAsia="Batang" w:cs="Times"/>
          <w:szCs w:val="24"/>
          <w:lang w:val="pt-BR" w:eastAsia="es-ES"/>
        </w:rPr>
        <w:t>competência</w:t>
      </w:r>
      <w:r w:rsidR="00004D55" w:rsidRPr="00D5464D">
        <w:rPr>
          <w:rFonts w:eastAsia="Batang" w:cs="Times"/>
          <w:szCs w:val="24"/>
          <w:lang w:val="pt-BR" w:eastAsia="es-ES"/>
        </w:rPr>
        <w:t xml:space="preserve"> formulada</w:t>
      </w:r>
      <w:r w:rsidR="002C330E" w:rsidRPr="00D5464D">
        <w:rPr>
          <w:rFonts w:eastAsia="Batang" w:cs="Times"/>
          <w:szCs w:val="24"/>
          <w:lang w:val="pt-BR" w:eastAsia="es-ES"/>
        </w:rPr>
        <w:t xml:space="preserve"> pelo </w:t>
      </w:r>
      <w:r w:rsidR="00004D55" w:rsidRPr="00D5464D">
        <w:rPr>
          <w:rFonts w:eastAsia="Batang" w:cs="Times"/>
          <w:szCs w:val="24"/>
          <w:lang w:val="pt-BR" w:eastAsia="es-ES"/>
        </w:rPr>
        <w:t>Estado,</w:t>
      </w:r>
      <w:r w:rsidR="002C330E" w:rsidRPr="00D5464D">
        <w:rPr>
          <w:rFonts w:eastAsia="Batang" w:cs="Times"/>
          <w:szCs w:val="24"/>
          <w:lang w:val="pt-BR" w:eastAsia="es-ES"/>
        </w:rPr>
        <w:t xml:space="preserve"> pois a </w:t>
      </w:r>
      <w:r w:rsidR="00F06A18" w:rsidRPr="00D5464D">
        <w:rPr>
          <w:rFonts w:eastAsia="Batang" w:cs="Times"/>
          <w:szCs w:val="24"/>
          <w:lang w:val="pt-BR" w:eastAsia="es-ES"/>
        </w:rPr>
        <w:t>interpreta</w:t>
      </w:r>
      <w:r w:rsidRPr="00D5464D">
        <w:rPr>
          <w:rFonts w:eastAsia="Batang" w:cs="Times"/>
          <w:szCs w:val="24"/>
          <w:lang w:val="pt-BR" w:eastAsia="es-ES"/>
        </w:rPr>
        <w:t>ção</w:t>
      </w:r>
      <w:r w:rsidR="00F06A18" w:rsidRPr="00D5464D">
        <w:rPr>
          <w:rFonts w:eastAsia="Batang" w:cs="Times"/>
          <w:szCs w:val="24"/>
          <w:lang w:val="pt-BR" w:eastAsia="es-ES"/>
        </w:rPr>
        <w:t xml:space="preserve"> </w:t>
      </w:r>
      <w:r w:rsidRPr="00D5464D">
        <w:rPr>
          <w:rFonts w:eastAsia="Batang" w:cs="Times"/>
          <w:szCs w:val="24"/>
          <w:lang w:val="pt-BR" w:eastAsia="es-ES"/>
        </w:rPr>
        <w:t xml:space="preserve">do </w:t>
      </w:r>
      <w:r w:rsidR="00F06A18" w:rsidRPr="00D5464D">
        <w:rPr>
          <w:rFonts w:eastAsia="Batang" w:cs="Times"/>
          <w:szCs w:val="24"/>
          <w:lang w:val="pt-BR" w:eastAsia="es-ES"/>
        </w:rPr>
        <w:t xml:space="preserve">alcance </w:t>
      </w:r>
      <w:r w:rsidRPr="00D5464D">
        <w:rPr>
          <w:rFonts w:eastAsia="Batang" w:cs="Times"/>
          <w:szCs w:val="24"/>
          <w:lang w:val="pt-BR" w:eastAsia="es-ES"/>
        </w:rPr>
        <w:t>do artigo</w:t>
      </w:r>
      <w:r w:rsidR="00004D55" w:rsidRPr="00D5464D">
        <w:rPr>
          <w:rFonts w:eastAsia="Batang" w:cs="Times"/>
          <w:szCs w:val="24"/>
          <w:lang w:val="pt-BR" w:eastAsia="es-ES"/>
        </w:rPr>
        <w:t xml:space="preserve"> 6</w:t>
      </w:r>
      <w:r w:rsidRPr="00D5464D">
        <w:rPr>
          <w:rFonts w:eastAsia="Batang" w:cs="Times"/>
          <w:szCs w:val="24"/>
          <w:lang w:val="pt-BR" w:eastAsia="es-ES"/>
        </w:rPr>
        <w:t xml:space="preserve"> da </w:t>
      </w:r>
      <w:r w:rsidR="00004D55" w:rsidRPr="00D5464D">
        <w:rPr>
          <w:rFonts w:eastAsia="Batang" w:cs="Times"/>
          <w:szCs w:val="24"/>
          <w:lang w:val="pt-BR" w:eastAsia="es-ES"/>
        </w:rPr>
        <w:t>Conven</w:t>
      </w:r>
      <w:r w:rsidRPr="00D5464D">
        <w:rPr>
          <w:rFonts w:eastAsia="Batang" w:cs="Times"/>
          <w:szCs w:val="24"/>
          <w:lang w:val="pt-BR" w:eastAsia="es-ES"/>
        </w:rPr>
        <w:t>ção</w:t>
      </w:r>
      <w:r w:rsidR="00004D55" w:rsidRPr="00D5464D">
        <w:rPr>
          <w:rFonts w:eastAsia="Batang" w:cs="Times"/>
          <w:szCs w:val="24"/>
          <w:lang w:val="pt-BR" w:eastAsia="es-ES"/>
        </w:rPr>
        <w:t xml:space="preserve"> </w:t>
      </w:r>
      <w:r w:rsidR="00737270" w:rsidRPr="00D5464D">
        <w:rPr>
          <w:rFonts w:eastAsia="Batang" w:cs="Times"/>
          <w:szCs w:val="24"/>
          <w:lang w:val="pt-BR" w:eastAsia="es-ES"/>
        </w:rPr>
        <w:t>não é</w:t>
      </w:r>
      <w:r w:rsidRPr="00D5464D">
        <w:rPr>
          <w:rFonts w:eastAsia="Batang" w:cs="Times"/>
          <w:szCs w:val="24"/>
          <w:lang w:val="pt-BR" w:eastAsia="es-ES"/>
        </w:rPr>
        <w:t xml:space="preserve"> </w:t>
      </w:r>
      <w:r w:rsidR="002C330E" w:rsidRPr="00D5464D">
        <w:rPr>
          <w:rFonts w:eastAsia="Batang" w:cs="Times"/>
          <w:szCs w:val="24"/>
          <w:lang w:val="pt-BR" w:eastAsia="es-ES"/>
        </w:rPr>
        <w:t xml:space="preserve">matéria </w:t>
      </w:r>
      <w:r w:rsidR="00004D55" w:rsidRPr="00D5464D">
        <w:rPr>
          <w:rFonts w:eastAsia="Batang" w:cs="Times"/>
          <w:szCs w:val="24"/>
          <w:lang w:val="pt-BR" w:eastAsia="es-ES"/>
        </w:rPr>
        <w:t>de</w:t>
      </w:r>
      <w:r w:rsidR="00E045D9" w:rsidRPr="00D5464D">
        <w:rPr>
          <w:rFonts w:eastAsia="Batang" w:cs="Times"/>
          <w:szCs w:val="24"/>
          <w:lang w:val="pt-BR" w:eastAsia="es-ES"/>
        </w:rPr>
        <w:t xml:space="preserve"> uma </w:t>
      </w:r>
      <w:r w:rsidRPr="00D5464D">
        <w:rPr>
          <w:rFonts w:eastAsia="Batang" w:cs="Times"/>
          <w:szCs w:val="24"/>
          <w:lang w:val="pt-BR" w:eastAsia="es-ES"/>
        </w:rPr>
        <w:t>exceção</w:t>
      </w:r>
      <w:r w:rsidR="00004D55" w:rsidRPr="00D5464D">
        <w:rPr>
          <w:rFonts w:eastAsia="Batang" w:cs="Times"/>
          <w:szCs w:val="24"/>
          <w:lang w:val="pt-BR" w:eastAsia="es-ES"/>
        </w:rPr>
        <w:t xml:space="preserve"> preliminar,</w:t>
      </w:r>
      <w:r w:rsidR="002C330E" w:rsidRPr="00D5464D">
        <w:rPr>
          <w:rFonts w:eastAsia="Batang" w:cs="Times"/>
          <w:szCs w:val="24"/>
          <w:lang w:val="pt-BR" w:eastAsia="es-ES"/>
        </w:rPr>
        <w:t xml:space="preserve"> mas </w:t>
      </w:r>
      <w:r w:rsidR="00F06A18" w:rsidRPr="00D5464D">
        <w:rPr>
          <w:rFonts w:eastAsia="Batang" w:cs="Times"/>
          <w:szCs w:val="24"/>
          <w:lang w:val="pt-BR" w:eastAsia="es-ES"/>
        </w:rPr>
        <w:t>corresponde</w:t>
      </w:r>
      <w:r w:rsidRPr="00D5464D">
        <w:rPr>
          <w:rFonts w:eastAsia="Batang" w:cs="Times"/>
          <w:szCs w:val="24"/>
          <w:lang w:val="pt-BR" w:eastAsia="es-ES"/>
        </w:rPr>
        <w:t xml:space="preserve"> </w:t>
      </w:r>
      <w:r w:rsidR="00121008" w:rsidRPr="00D5464D">
        <w:rPr>
          <w:rFonts w:eastAsia="Batang" w:cs="Times"/>
          <w:szCs w:val="24"/>
          <w:lang w:val="pt-BR" w:eastAsia="es-ES"/>
        </w:rPr>
        <w:t>à análise</w:t>
      </w:r>
      <w:r w:rsidR="00F06A18" w:rsidRPr="00D5464D">
        <w:rPr>
          <w:rFonts w:eastAsia="Batang" w:cs="Times"/>
          <w:szCs w:val="24"/>
          <w:lang w:val="pt-BR" w:eastAsia="es-ES"/>
        </w:rPr>
        <w:t xml:space="preserve"> </w:t>
      </w:r>
      <w:r w:rsidR="00004D55" w:rsidRPr="00D5464D">
        <w:rPr>
          <w:rFonts w:eastAsia="Batang" w:cs="Times"/>
          <w:szCs w:val="24"/>
          <w:lang w:val="pt-BR" w:eastAsia="es-ES"/>
        </w:rPr>
        <w:t xml:space="preserve">de </w:t>
      </w:r>
      <w:r w:rsidRPr="00D5464D">
        <w:rPr>
          <w:rFonts w:eastAsia="Batang" w:cs="Times"/>
          <w:szCs w:val="24"/>
          <w:lang w:val="pt-BR" w:eastAsia="es-ES"/>
        </w:rPr>
        <w:t>mérito</w:t>
      </w:r>
      <w:r w:rsidR="00F06A18" w:rsidRPr="00D5464D">
        <w:rPr>
          <w:rFonts w:eastAsia="Batang" w:cs="Times"/>
          <w:szCs w:val="24"/>
          <w:lang w:val="pt-BR" w:eastAsia="es-ES"/>
        </w:rPr>
        <w:t xml:space="preserve"> </w:t>
      </w:r>
      <w:r w:rsidRPr="00D5464D">
        <w:rPr>
          <w:rFonts w:eastAsia="Batang" w:cs="Times"/>
          <w:szCs w:val="24"/>
          <w:lang w:val="pt-BR" w:eastAsia="es-ES"/>
        </w:rPr>
        <w:t xml:space="preserve">do </w:t>
      </w:r>
      <w:r w:rsidR="00F06A18" w:rsidRPr="00D5464D">
        <w:rPr>
          <w:rFonts w:eastAsia="Batang" w:cs="Times"/>
          <w:szCs w:val="24"/>
          <w:lang w:val="pt-BR" w:eastAsia="es-ES"/>
        </w:rPr>
        <w:t>caso</w:t>
      </w:r>
      <w:r w:rsidR="00004D55" w:rsidRPr="00D5464D">
        <w:rPr>
          <w:rFonts w:eastAsia="Batang" w:cs="Times"/>
          <w:szCs w:val="24"/>
          <w:lang w:val="pt-BR" w:eastAsia="es-ES"/>
        </w:rPr>
        <w:t>.</w:t>
      </w:r>
    </w:p>
    <w:p w14:paraId="1240AE42" w14:textId="77777777" w:rsidR="000A52D5" w:rsidRPr="00D5464D" w:rsidRDefault="000A52D5" w:rsidP="00140440">
      <w:pPr>
        <w:tabs>
          <w:tab w:val="clear" w:pos="4419"/>
          <w:tab w:val="clear" w:pos="8838"/>
        </w:tabs>
        <w:jc w:val="both"/>
        <w:rPr>
          <w:rFonts w:eastAsia="Batang" w:cs="Times"/>
          <w:szCs w:val="24"/>
          <w:lang w:val="pt-BR" w:eastAsia="es-ES"/>
        </w:rPr>
      </w:pPr>
    </w:p>
    <w:p w14:paraId="5669D206" w14:textId="58504AC9" w:rsidR="000A52D5" w:rsidRPr="00D5464D" w:rsidRDefault="00877C28"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Em virtude do </w:t>
      </w:r>
      <w:r w:rsidR="00C91CB1" w:rsidRPr="00D5464D">
        <w:rPr>
          <w:rFonts w:eastAsia="Batang" w:cs="Times"/>
          <w:szCs w:val="24"/>
          <w:lang w:val="pt-BR" w:eastAsia="es-ES"/>
        </w:rPr>
        <w:t>anterior</w:t>
      </w:r>
      <w:r w:rsidR="000A52D5" w:rsidRPr="00D5464D">
        <w:rPr>
          <w:rFonts w:eastAsia="Batang" w:cs="Times"/>
          <w:szCs w:val="24"/>
          <w:lang w:val="pt-BR" w:eastAsia="es-ES"/>
        </w:rPr>
        <w:t>,</w:t>
      </w:r>
      <w:r w:rsidR="002C330E" w:rsidRPr="00D5464D">
        <w:rPr>
          <w:rFonts w:eastAsia="Batang" w:cs="Times"/>
          <w:szCs w:val="24"/>
          <w:lang w:val="pt-BR" w:eastAsia="es-ES"/>
        </w:rPr>
        <w:t xml:space="preserve"> a </w:t>
      </w:r>
      <w:r w:rsidR="000A52D5" w:rsidRPr="00D5464D">
        <w:rPr>
          <w:rFonts w:eastAsia="Batang" w:cs="Times"/>
          <w:szCs w:val="24"/>
          <w:lang w:val="pt-BR" w:eastAsia="es-ES"/>
        </w:rPr>
        <w:t xml:space="preserve">Corte </w:t>
      </w:r>
      <w:r w:rsidRPr="00D5464D">
        <w:rPr>
          <w:rFonts w:eastAsia="Batang" w:cs="Times"/>
          <w:szCs w:val="24"/>
          <w:lang w:val="pt-BR" w:eastAsia="es-ES"/>
        </w:rPr>
        <w:t xml:space="preserve">rejeita </w:t>
      </w:r>
      <w:r w:rsidR="002C330E" w:rsidRPr="00D5464D">
        <w:rPr>
          <w:rFonts w:eastAsia="Batang" w:cs="Times"/>
          <w:szCs w:val="24"/>
          <w:lang w:val="pt-BR" w:eastAsia="es-ES"/>
        </w:rPr>
        <w:t xml:space="preserve">a </w:t>
      </w:r>
      <w:r w:rsidR="000A52D5" w:rsidRPr="00D5464D">
        <w:rPr>
          <w:rFonts w:eastAsia="Batang" w:cs="Times"/>
          <w:szCs w:val="24"/>
          <w:lang w:val="pt-BR" w:eastAsia="es-ES"/>
        </w:rPr>
        <w:t xml:space="preserve">presente </w:t>
      </w:r>
      <w:r w:rsidR="00470ADC" w:rsidRPr="00D5464D">
        <w:rPr>
          <w:rFonts w:eastAsia="Batang" w:cs="Times"/>
          <w:szCs w:val="24"/>
          <w:lang w:val="pt-BR" w:eastAsia="es-ES"/>
        </w:rPr>
        <w:t>exceção</w:t>
      </w:r>
      <w:r w:rsidR="000A52D5" w:rsidRPr="00D5464D">
        <w:rPr>
          <w:rFonts w:eastAsia="Batang" w:cs="Times"/>
          <w:szCs w:val="24"/>
          <w:lang w:val="pt-BR" w:eastAsia="es-ES"/>
        </w:rPr>
        <w:t xml:space="preserve"> preliminar.</w:t>
      </w:r>
      <w:bookmarkEnd w:id="134"/>
      <w:r w:rsidR="00FF1290" w:rsidRPr="00D5464D">
        <w:rPr>
          <w:rFonts w:eastAsia="Batang" w:cs="Times"/>
          <w:szCs w:val="24"/>
          <w:lang w:val="pt-BR" w:eastAsia="es-ES"/>
        </w:rPr>
        <w:t xml:space="preserve"> </w:t>
      </w:r>
      <w:r w:rsidR="00FF1290" w:rsidRPr="00D5464D">
        <w:rPr>
          <w:rFonts w:eastAsia="Batang" w:cs="Times"/>
          <w:szCs w:val="24"/>
          <w:u w:val="single"/>
          <w:lang w:val="pt-BR" w:eastAsia="es-ES"/>
        </w:rPr>
        <w:t xml:space="preserve"> </w:t>
      </w:r>
    </w:p>
    <w:p w14:paraId="34AB04ED" w14:textId="77777777" w:rsidR="00B13CD7" w:rsidRPr="00D5464D" w:rsidRDefault="00B13CD7" w:rsidP="00140440">
      <w:pPr>
        <w:tabs>
          <w:tab w:val="clear" w:pos="4419"/>
          <w:tab w:val="clear" w:pos="8838"/>
        </w:tabs>
        <w:jc w:val="both"/>
        <w:rPr>
          <w:rFonts w:eastAsia="Batang" w:cs="Times"/>
          <w:szCs w:val="24"/>
          <w:lang w:val="pt-BR" w:eastAsia="es-ES"/>
        </w:rPr>
      </w:pPr>
    </w:p>
    <w:p w14:paraId="1FE8BC49" w14:textId="2E617375" w:rsidR="000A52D5" w:rsidRPr="00D5464D" w:rsidRDefault="000A52D5" w:rsidP="00F306D7">
      <w:pPr>
        <w:pStyle w:val="Ttulo2"/>
        <w:numPr>
          <w:ilvl w:val="0"/>
          <w:numId w:val="15"/>
        </w:numPr>
        <w:rPr>
          <w:rFonts w:eastAsia="Batang"/>
          <w:lang w:val="pt-BR" w:eastAsia="es-ES"/>
        </w:rPr>
      </w:pPr>
      <w:bookmarkStart w:id="136" w:name="_Toc468433869"/>
      <w:r w:rsidRPr="00D5464D">
        <w:rPr>
          <w:rFonts w:eastAsia="Batang"/>
          <w:lang w:val="pt-BR" w:eastAsia="es-ES"/>
        </w:rPr>
        <w:t>Alegada in</w:t>
      </w:r>
      <w:r w:rsidR="00470ADC" w:rsidRPr="00D5464D">
        <w:rPr>
          <w:rFonts w:eastAsia="Batang"/>
          <w:lang w:val="pt-BR" w:eastAsia="es-ES"/>
        </w:rPr>
        <w:t>competência</w:t>
      </w:r>
      <w:r w:rsidRPr="00D5464D">
        <w:rPr>
          <w:rFonts w:eastAsia="Batang"/>
          <w:lang w:val="pt-BR" w:eastAsia="es-ES"/>
        </w:rPr>
        <w:t xml:space="preserve"> ratione materiae sobre su</w:t>
      </w:r>
      <w:r w:rsidR="002C330E" w:rsidRPr="00D5464D">
        <w:rPr>
          <w:rFonts w:eastAsia="Batang"/>
          <w:lang w:val="pt-BR" w:eastAsia="es-ES"/>
        </w:rPr>
        <w:t>posta</w:t>
      </w:r>
      <w:r w:rsidRPr="00D5464D">
        <w:rPr>
          <w:rFonts w:eastAsia="Batang"/>
          <w:lang w:val="pt-BR" w:eastAsia="es-ES"/>
        </w:rPr>
        <w:t>s viola</w:t>
      </w:r>
      <w:r w:rsidR="00470ADC" w:rsidRPr="00D5464D">
        <w:rPr>
          <w:rFonts w:eastAsia="Batang"/>
          <w:lang w:val="pt-BR" w:eastAsia="es-ES"/>
        </w:rPr>
        <w:t>ções</w:t>
      </w:r>
      <w:r w:rsidRPr="00D5464D">
        <w:rPr>
          <w:rFonts w:eastAsia="Batang"/>
          <w:lang w:val="pt-BR" w:eastAsia="es-ES"/>
        </w:rPr>
        <w:t xml:space="preserve"> de </w:t>
      </w:r>
      <w:r w:rsidR="00351C4B" w:rsidRPr="00D5464D">
        <w:rPr>
          <w:rFonts w:eastAsia="Batang"/>
          <w:lang w:val="pt-BR" w:eastAsia="es-ES"/>
        </w:rPr>
        <w:t>direitos trabalhistas</w:t>
      </w:r>
      <w:bookmarkEnd w:id="136"/>
    </w:p>
    <w:p w14:paraId="3E8BFB3C" w14:textId="77777777" w:rsidR="000A52D5" w:rsidRPr="00D5464D" w:rsidRDefault="000A52D5" w:rsidP="00140440">
      <w:pPr>
        <w:tabs>
          <w:tab w:val="clear" w:pos="4419"/>
          <w:tab w:val="clear" w:pos="8838"/>
        </w:tabs>
        <w:jc w:val="both"/>
        <w:rPr>
          <w:rFonts w:eastAsia="Batang" w:cs="Times"/>
          <w:b/>
          <w:szCs w:val="24"/>
          <w:lang w:val="pt-BR" w:eastAsia="es-ES"/>
        </w:rPr>
      </w:pPr>
    </w:p>
    <w:p w14:paraId="1B3207EA" w14:textId="4790BC25" w:rsidR="000A52D5" w:rsidRPr="00D5464D" w:rsidRDefault="005428E8" w:rsidP="000A20C1">
      <w:pPr>
        <w:pStyle w:val="Ttulo3"/>
        <w:rPr>
          <w:lang w:val="pt-BR" w:eastAsia="es-ES"/>
        </w:rPr>
      </w:pPr>
      <w:bookmarkStart w:id="137" w:name="_Toc460432982"/>
      <w:bookmarkStart w:id="138" w:name="_Toc460441913"/>
      <w:bookmarkStart w:id="139" w:name="_Toc462750733"/>
      <w:bookmarkStart w:id="140" w:name="_Toc462751057"/>
      <w:bookmarkStart w:id="141" w:name="_Toc464813909"/>
      <w:bookmarkStart w:id="142" w:name="_Toc468433870"/>
      <w:r w:rsidRPr="00D5464D">
        <w:rPr>
          <w:lang w:val="pt-BR" w:eastAsia="es-ES"/>
        </w:rPr>
        <w:t>G</w:t>
      </w:r>
      <w:r w:rsidR="000A52D5" w:rsidRPr="00D5464D">
        <w:rPr>
          <w:lang w:val="pt-BR" w:eastAsia="es-ES"/>
        </w:rPr>
        <w:t xml:space="preserve">.1. </w:t>
      </w:r>
      <w:r w:rsidR="00470ADC" w:rsidRPr="00D5464D">
        <w:rPr>
          <w:lang w:val="pt-BR" w:eastAsia="es-ES"/>
        </w:rPr>
        <w:t>Alegações</w:t>
      </w:r>
      <w:r w:rsidR="00246E8D" w:rsidRPr="00D5464D">
        <w:rPr>
          <w:lang w:val="pt-BR" w:eastAsia="es-ES"/>
        </w:rPr>
        <w:t xml:space="preserve"> </w:t>
      </w:r>
      <w:r w:rsidR="00470ADC" w:rsidRPr="00D5464D">
        <w:rPr>
          <w:lang w:val="pt-BR" w:eastAsia="es-ES"/>
        </w:rPr>
        <w:t xml:space="preserve">do </w:t>
      </w:r>
      <w:r w:rsidR="00246E8D" w:rsidRPr="00D5464D">
        <w:rPr>
          <w:lang w:val="pt-BR" w:eastAsia="es-ES"/>
        </w:rPr>
        <w:t>Estado,</w:t>
      </w:r>
      <w:r w:rsidR="000A52D5" w:rsidRPr="00D5464D">
        <w:rPr>
          <w:lang w:val="pt-BR" w:eastAsia="es-ES"/>
        </w:rPr>
        <w:t xml:space="preserve"> observa</w:t>
      </w:r>
      <w:r w:rsidR="00470ADC" w:rsidRPr="00D5464D">
        <w:rPr>
          <w:lang w:val="pt-BR" w:eastAsia="es-ES"/>
        </w:rPr>
        <w:t>ções da Comissão</w:t>
      </w:r>
      <w:r w:rsidR="00E045D9" w:rsidRPr="00D5464D">
        <w:rPr>
          <w:lang w:val="pt-BR" w:eastAsia="es-ES"/>
        </w:rPr>
        <w:t xml:space="preserve"> e </w:t>
      </w:r>
      <w:r w:rsidR="00470ADC" w:rsidRPr="00D5464D">
        <w:rPr>
          <w:lang w:val="pt-BR" w:eastAsia="es-ES"/>
        </w:rPr>
        <w:t xml:space="preserve">dos </w:t>
      </w:r>
      <w:r w:rsidR="00EB1CE9" w:rsidRPr="00D5464D">
        <w:rPr>
          <w:lang w:val="pt-BR" w:eastAsia="es-ES"/>
        </w:rPr>
        <w:t>representante</w:t>
      </w:r>
      <w:r w:rsidR="000A52D5" w:rsidRPr="00D5464D">
        <w:rPr>
          <w:lang w:val="pt-BR" w:eastAsia="es-ES"/>
        </w:rPr>
        <w:t>s</w:t>
      </w:r>
      <w:bookmarkEnd w:id="137"/>
      <w:bookmarkEnd w:id="138"/>
      <w:bookmarkEnd w:id="139"/>
      <w:bookmarkEnd w:id="140"/>
      <w:bookmarkEnd w:id="141"/>
      <w:bookmarkEnd w:id="142"/>
    </w:p>
    <w:p w14:paraId="282204AD" w14:textId="77777777" w:rsidR="00D65024" w:rsidRPr="00D5464D" w:rsidRDefault="00D65024" w:rsidP="00D65024">
      <w:pPr>
        <w:tabs>
          <w:tab w:val="clear" w:pos="4419"/>
          <w:tab w:val="clear" w:pos="8838"/>
        </w:tabs>
        <w:jc w:val="both"/>
        <w:rPr>
          <w:rFonts w:eastAsia="Batang" w:cs="Times"/>
          <w:szCs w:val="24"/>
          <w:lang w:val="pt-BR" w:eastAsia="es-ES"/>
        </w:rPr>
      </w:pPr>
    </w:p>
    <w:p w14:paraId="144C2200" w14:textId="11245FB8" w:rsidR="000A52D5" w:rsidRPr="00D5464D" w:rsidRDefault="00470AD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O </w:t>
      </w:r>
      <w:r w:rsidR="000A52D5" w:rsidRPr="00D5464D">
        <w:rPr>
          <w:rFonts w:eastAsia="Batang" w:cs="Times"/>
          <w:b/>
          <w:i/>
          <w:szCs w:val="24"/>
          <w:lang w:val="pt-BR" w:eastAsia="es-ES"/>
        </w:rPr>
        <w:t>Estado</w:t>
      </w:r>
      <w:r w:rsidR="000A52D5" w:rsidRPr="00D5464D">
        <w:rPr>
          <w:rFonts w:eastAsia="Batang" w:cs="Times"/>
          <w:szCs w:val="24"/>
          <w:lang w:val="pt-BR" w:eastAsia="es-ES"/>
        </w:rPr>
        <w:t xml:space="preserve"> </w:t>
      </w:r>
      <w:r w:rsidRPr="00D5464D">
        <w:rPr>
          <w:rFonts w:eastAsia="Batang" w:cs="Times"/>
          <w:szCs w:val="24"/>
          <w:lang w:val="pt-BR" w:eastAsia="es-ES"/>
        </w:rPr>
        <w:t>argumentou</w:t>
      </w:r>
      <w:r w:rsidR="000A52D5" w:rsidRPr="00D5464D">
        <w:rPr>
          <w:rFonts w:eastAsia="Batang" w:cs="Times"/>
          <w:szCs w:val="24"/>
          <w:lang w:val="pt-BR" w:eastAsia="es-ES"/>
        </w:rPr>
        <w:t xml:space="preserve"> que: i)</w:t>
      </w:r>
      <w:r w:rsidRPr="00D5464D">
        <w:rPr>
          <w:rFonts w:eastAsia="Batang" w:cs="Times"/>
          <w:szCs w:val="24"/>
          <w:lang w:val="pt-BR" w:eastAsia="es-ES"/>
        </w:rPr>
        <w:t xml:space="preserve"> o </w:t>
      </w:r>
      <w:r w:rsidR="000A52D5" w:rsidRPr="00D5464D">
        <w:rPr>
          <w:rFonts w:eastAsia="Batang" w:cs="Times"/>
          <w:szCs w:val="24"/>
          <w:lang w:val="pt-BR" w:eastAsia="es-ES"/>
        </w:rPr>
        <w:t>Protocolo Adicional</w:t>
      </w:r>
      <w:r w:rsidRPr="00D5464D">
        <w:rPr>
          <w:rFonts w:eastAsia="Batang" w:cs="Times"/>
          <w:szCs w:val="24"/>
          <w:lang w:val="pt-BR" w:eastAsia="es-ES"/>
        </w:rPr>
        <w:t xml:space="preserve"> à </w:t>
      </w:r>
      <w:r w:rsidR="000A52D5" w:rsidRPr="00D5464D">
        <w:rPr>
          <w:rFonts w:eastAsia="Batang" w:cs="Times"/>
          <w:szCs w:val="24"/>
          <w:lang w:val="pt-BR" w:eastAsia="es-ES"/>
        </w:rPr>
        <w:t>Conven</w:t>
      </w:r>
      <w:r w:rsidRPr="00D5464D">
        <w:rPr>
          <w:rFonts w:eastAsia="Batang" w:cs="Times"/>
          <w:szCs w:val="24"/>
          <w:lang w:val="pt-BR" w:eastAsia="es-ES"/>
        </w:rPr>
        <w:t>ção</w:t>
      </w:r>
      <w:r w:rsidR="000A52D5" w:rsidRPr="00D5464D">
        <w:rPr>
          <w:rFonts w:eastAsia="Batang" w:cs="Times"/>
          <w:szCs w:val="24"/>
          <w:lang w:val="pt-BR" w:eastAsia="es-ES"/>
        </w:rPr>
        <w:t xml:space="preserve"> Americana</w:t>
      </w:r>
      <w:r w:rsidRPr="00D5464D">
        <w:rPr>
          <w:rFonts w:eastAsia="Batang" w:cs="Times"/>
          <w:szCs w:val="24"/>
          <w:lang w:val="pt-BR" w:eastAsia="es-ES"/>
        </w:rPr>
        <w:t xml:space="preserve"> em </w:t>
      </w:r>
      <w:r w:rsidR="002C330E" w:rsidRPr="00D5464D">
        <w:rPr>
          <w:rFonts w:eastAsia="Batang" w:cs="Times"/>
          <w:szCs w:val="24"/>
          <w:lang w:val="pt-BR" w:eastAsia="es-ES"/>
        </w:rPr>
        <w:t xml:space="preserve">matéria </w:t>
      </w:r>
      <w:r w:rsidR="000A52D5" w:rsidRPr="00D5464D">
        <w:rPr>
          <w:rFonts w:eastAsia="Batang" w:cs="Times"/>
          <w:szCs w:val="24"/>
          <w:lang w:val="pt-BR" w:eastAsia="es-ES"/>
        </w:rPr>
        <w:t xml:space="preserve">de </w:t>
      </w:r>
      <w:r w:rsidRPr="00D5464D">
        <w:rPr>
          <w:rFonts w:eastAsia="Batang" w:cs="Times"/>
          <w:szCs w:val="24"/>
          <w:lang w:val="pt-BR" w:eastAsia="es-ES"/>
        </w:rPr>
        <w:t>Direito</w:t>
      </w:r>
      <w:r w:rsidR="000A52D5" w:rsidRPr="00D5464D">
        <w:rPr>
          <w:rFonts w:eastAsia="Batang" w:cs="Times"/>
          <w:szCs w:val="24"/>
          <w:lang w:val="pt-BR" w:eastAsia="es-ES"/>
        </w:rPr>
        <w:t xml:space="preserve">s </w:t>
      </w:r>
      <w:r w:rsidRPr="00D5464D">
        <w:rPr>
          <w:rFonts w:eastAsia="Batang" w:cs="Times"/>
          <w:szCs w:val="24"/>
          <w:lang w:val="pt-BR" w:eastAsia="es-ES"/>
        </w:rPr>
        <w:t>Econômic</w:t>
      </w:r>
      <w:r w:rsidR="000A52D5" w:rsidRPr="00D5464D">
        <w:rPr>
          <w:rFonts w:eastAsia="Batang" w:cs="Times"/>
          <w:szCs w:val="24"/>
          <w:lang w:val="pt-BR" w:eastAsia="es-ES"/>
        </w:rPr>
        <w:t xml:space="preserve">os, </w:t>
      </w:r>
      <w:r w:rsidR="002C330E" w:rsidRPr="00D5464D">
        <w:rPr>
          <w:rFonts w:eastAsia="Batang" w:cs="Times"/>
          <w:szCs w:val="24"/>
          <w:lang w:val="pt-BR" w:eastAsia="es-ES"/>
        </w:rPr>
        <w:t>Sociais</w:t>
      </w:r>
      <w:r w:rsidR="00E045D9" w:rsidRPr="00D5464D">
        <w:rPr>
          <w:rFonts w:eastAsia="Batang" w:cs="Times"/>
          <w:szCs w:val="24"/>
          <w:lang w:val="pt-BR" w:eastAsia="es-ES"/>
        </w:rPr>
        <w:t xml:space="preserve"> e </w:t>
      </w:r>
      <w:r w:rsidRPr="00D5464D">
        <w:rPr>
          <w:rFonts w:eastAsia="Batang" w:cs="Times"/>
          <w:szCs w:val="24"/>
          <w:lang w:val="pt-BR" w:eastAsia="es-ES"/>
        </w:rPr>
        <w:t>Culturais</w:t>
      </w:r>
      <w:r w:rsidR="000A52D5" w:rsidRPr="00D5464D">
        <w:rPr>
          <w:rFonts w:eastAsia="Batang" w:cs="Times"/>
          <w:szCs w:val="24"/>
          <w:lang w:val="pt-BR" w:eastAsia="es-ES"/>
        </w:rPr>
        <w:t xml:space="preserve"> (Protocolo de San Salvador) </w:t>
      </w:r>
      <w:r w:rsidR="002C330E" w:rsidRPr="00D5464D">
        <w:rPr>
          <w:rFonts w:eastAsia="Batang" w:cs="Times"/>
          <w:szCs w:val="24"/>
          <w:lang w:val="pt-BR" w:eastAsia="es-ES"/>
        </w:rPr>
        <w:t>afirma</w:t>
      </w:r>
      <w:r w:rsidR="00121008" w:rsidRPr="00D5464D">
        <w:rPr>
          <w:rFonts w:eastAsia="Batang" w:cs="Times"/>
          <w:szCs w:val="24"/>
          <w:lang w:val="pt-BR" w:eastAsia="es-ES"/>
        </w:rPr>
        <w:t>,</w:t>
      </w:r>
      <w:r w:rsidR="002C330E" w:rsidRPr="00D5464D">
        <w:rPr>
          <w:rFonts w:eastAsia="Batang" w:cs="Times"/>
          <w:szCs w:val="24"/>
          <w:lang w:val="pt-BR" w:eastAsia="es-ES"/>
        </w:rPr>
        <w:t xml:space="preserve"> </w:t>
      </w:r>
      <w:r w:rsidR="000A52D5" w:rsidRPr="00D5464D">
        <w:rPr>
          <w:rFonts w:eastAsia="Batang" w:cs="Times"/>
          <w:szCs w:val="24"/>
          <w:lang w:val="pt-BR" w:eastAsia="es-ES"/>
        </w:rPr>
        <w:t>de forma clara</w:t>
      </w:r>
      <w:r w:rsidR="00121008" w:rsidRPr="00D5464D">
        <w:rPr>
          <w:rFonts w:eastAsia="Batang" w:cs="Times"/>
          <w:szCs w:val="24"/>
          <w:lang w:val="pt-BR" w:eastAsia="es-ES"/>
        </w:rPr>
        <w:t>,</w:t>
      </w:r>
      <w:r w:rsidR="000A52D5" w:rsidRPr="00D5464D">
        <w:rPr>
          <w:rFonts w:eastAsia="Batang" w:cs="Times"/>
          <w:szCs w:val="24"/>
          <w:lang w:val="pt-BR" w:eastAsia="es-ES"/>
        </w:rPr>
        <w:t xml:space="preserve"> que </w:t>
      </w:r>
      <w:r w:rsidR="002C330E" w:rsidRPr="00D5464D">
        <w:rPr>
          <w:rFonts w:eastAsia="Batang" w:cs="Times"/>
          <w:szCs w:val="24"/>
          <w:lang w:val="pt-BR" w:eastAsia="es-ES"/>
        </w:rPr>
        <w:t xml:space="preserve">apenas os </w:t>
      </w:r>
      <w:r w:rsidRPr="00D5464D">
        <w:rPr>
          <w:rFonts w:eastAsia="Batang" w:cs="Times"/>
          <w:szCs w:val="24"/>
          <w:lang w:val="pt-BR" w:eastAsia="es-ES"/>
        </w:rPr>
        <w:t>direito</w:t>
      </w:r>
      <w:r w:rsidR="000A52D5" w:rsidRPr="00D5464D">
        <w:rPr>
          <w:rFonts w:eastAsia="Batang" w:cs="Times"/>
          <w:szCs w:val="24"/>
          <w:lang w:val="pt-BR" w:eastAsia="es-ES"/>
        </w:rPr>
        <w:t xml:space="preserve">s de </w:t>
      </w:r>
      <w:r w:rsidR="00737270" w:rsidRPr="00D5464D">
        <w:rPr>
          <w:rFonts w:eastAsia="Batang" w:cs="Times"/>
          <w:szCs w:val="24"/>
          <w:lang w:val="pt-BR" w:eastAsia="es-ES"/>
        </w:rPr>
        <w:t>associação</w:t>
      </w:r>
      <w:r w:rsidR="000A52D5" w:rsidRPr="00D5464D">
        <w:rPr>
          <w:rFonts w:eastAsia="Batang" w:cs="Times"/>
          <w:szCs w:val="24"/>
          <w:lang w:val="pt-BR" w:eastAsia="es-ES"/>
        </w:rPr>
        <w:t xml:space="preserve"> sindical</w:t>
      </w:r>
      <w:r w:rsidR="00E045D9" w:rsidRPr="00D5464D">
        <w:rPr>
          <w:rFonts w:eastAsia="Batang" w:cs="Times"/>
          <w:szCs w:val="24"/>
          <w:lang w:val="pt-BR" w:eastAsia="es-ES"/>
        </w:rPr>
        <w:t xml:space="preserve"> e </w:t>
      </w:r>
      <w:r w:rsidR="000A52D5" w:rsidRPr="00D5464D">
        <w:rPr>
          <w:rFonts w:eastAsia="Batang" w:cs="Times"/>
          <w:szCs w:val="24"/>
          <w:lang w:val="pt-BR" w:eastAsia="es-ES"/>
        </w:rPr>
        <w:t>educa</w:t>
      </w:r>
      <w:r w:rsidRPr="00D5464D">
        <w:rPr>
          <w:rFonts w:eastAsia="Batang" w:cs="Times"/>
          <w:szCs w:val="24"/>
          <w:lang w:val="pt-BR" w:eastAsia="es-ES"/>
        </w:rPr>
        <w:t>ção</w:t>
      </w:r>
      <w:r w:rsidR="000A52D5" w:rsidRPr="00D5464D">
        <w:rPr>
          <w:rFonts w:eastAsia="Batang" w:cs="Times"/>
          <w:szCs w:val="24"/>
          <w:lang w:val="pt-BR" w:eastAsia="es-ES"/>
        </w:rPr>
        <w:t xml:space="preserve"> </w:t>
      </w:r>
      <w:r w:rsidR="00230C71" w:rsidRPr="00D5464D">
        <w:rPr>
          <w:rFonts w:eastAsia="Batang" w:cs="Times"/>
          <w:szCs w:val="24"/>
          <w:lang w:val="pt-BR" w:eastAsia="es-ES"/>
        </w:rPr>
        <w:t xml:space="preserve">podem </w:t>
      </w:r>
      <w:r w:rsidR="000A52D5" w:rsidRPr="00D5464D">
        <w:rPr>
          <w:rFonts w:eastAsia="Batang" w:cs="Times"/>
          <w:szCs w:val="24"/>
          <w:lang w:val="pt-BR" w:eastAsia="es-ES"/>
        </w:rPr>
        <w:t xml:space="preserve">estar </w:t>
      </w:r>
      <w:r w:rsidR="00E045D9" w:rsidRPr="00D5464D">
        <w:rPr>
          <w:rFonts w:eastAsia="Batang" w:cs="Times"/>
          <w:szCs w:val="24"/>
          <w:lang w:val="pt-BR" w:eastAsia="es-ES"/>
        </w:rPr>
        <w:t>sujeito</w:t>
      </w:r>
      <w:r w:rsidR="000A52D5" w:rsidRPr="00D5464D">
        <w:rPr>
          <w:rFonts w:eastAsia="Batang" w:cs="Times"/>
          <w:szCs w:val="24"/>
          <w:lang w:val="pt-BR" w:eastAsia="es-ES"/>
        </w:rPr>
        <w:t>s</w:t>
      </w:r>
      <w:r w:rsidRPr="00D5464D">
        <w:rPr>
          <w:rFonts w:eastAsia="Batang" w:cs="Times"/>
          <w:szCs w:val="24"/>
          <w:lang w:val="pt-BR" w:eastAsia="es-ES"/>
        </w:rPr>
        <w:t xml:space="preserve"> ao </w:t>
      </w:r>
      <w:r w:rsidR="000A52D5" w:rsidRPr="00D5464D">
        <w:rPr>
          <w:rFonts w:eastAsia="Batang" w:cs="Times"/>
          <w:szCs w:val="24"/>
          <w:lang w:val="pt-BR" w:eastAsia="es-ES"/>
        </w:rPr>
        <w:t>sistema de peti</w:t>
      </w:r>
      <w:r w:rsidRPr="00D5464D">
        <w:rPr>
          <w:rFonts w:eastAsia="Batang" w:cs="Times"/>
          <w:szCs w:val="24"/>
          <w:lang w:val="pt-BR" w:eastAsia="es-ES"/>
        </w:rPr>
        <w:t>ções</w:t>
      </w:r>
      <w:r w:rsidR="000A52D5" w:rsidRPr="00D5464D">
        <w:rPr>
          <w:rFonts w:eastAsia="Batang" w:cs="Times"/>
          <w:szCs w:val="24"/>
          <w:lang w:val="pt-BR" w:eastAsia="es-ES"/>
        </w:rPr>
        <w:t xml:space="preserve"> </w:t>
      </w:r>
      <w:r w:rsidR="002C330E" w:rsidRPr="00D5464D">
        <w:rPr>
          <w:rFonts w:eastAsia="Batang" w:cs="Times"/>
          <w:szCs w:val="24"/>
          <w:lang w:val="pt-BR" w:eastAsia="es-ES"/>
        </w:rPr>
        <w:t>individuais</w:t>
      </w:r>
      <w:r w:rsidR="000A52D5" w:rsidRPr="00D5464D">
        <w:rPr>
          <w:rFonts w:eastAsia="Batang" w:cs="Times"/>
          <w:szCs w:val="24"/>
          <w:lang w:val="pt-BR" w:eastAsia="es-ES"/>
        </w:rPr>
        <w:t xml:space="preserve"> regula</w:t>
      </w:r>
      <w:r w:rsidR="00540D2A" w:rsidRPr="00D5464D">
        <w:rPr>
          <w:rFonts w:eastAsia="Batang" w:cs="Times"/>
          <w:szCs w:val="24"/>
          <w:lang w:val="pt-BR" w:eastAsia="es-ES"/>
        </w:rPr>
        <w:t>menta</w:t>
      </w:r>
      <w:r w:rsidR="000A52D5" w:rsidRPr="00D5464D">
        <w:rPr>
          <w:rFonts w:eastAsia="Batang" w:cs="Times"/>
          <w:szCs w:val="24"/>
          <w:lang w:val="pt-BR" w:eastAsia="es-ES"/>
        </w:rPr>
        <w:t>dos</w:t>
      </w:r>
      <w:r w:rsidR="002C330E" w:rsidRPr="00D5464D">
        <w:rPr>
          <w:rFonts w:eastAsia="Batang" w:cs="Times"/>
          <w:szCs w:val="24"/>
          <w:lang w:val="pt-BR" w:eastAsia="es-ES"/>
        </w:rPr>
        <w:t xml:space="preserve"> pela </w:t>
      </w:r>
      <w:r w:rsidR="000A52D5" w:rsidRPr="00D5464D">
        <w:rPr>
          <w:rFonts w:eastAsia="Batang" w:cs="Times"/>
          <w:szCs w:val="24"/>
          <w:lang w:val="pt-BR" w:eastAsia="es-ES"/>
        </w:rPr>
        <w:t>Conven</w:t>
      </w:r>
      <w:r w:rsidR="00EA1DD2" w:rsidRPr="00D5464D">
        <w:rPr>
          <w:rFonts w:eastAsia="Batang" w:cs="Times"/>
          <w:szCs w:val="24"/>
          <w:lang w:val="pt-BR" w:eastAsia="es-ES"/>
        </w:rPr>
        <w:t>ção</w:t>
      </w:r>
      <w:r w:rsidRPr="00D5464D">
        <w:rPr>
          <w:rFonts w:eastAsia="Batang" w:cs="Times"/>
          <w:szCs w:val="24"/>
          <w:lang w:val="pt-BR" w:eastAsia="es-ES"/>
        </w:rPr>
        <w:t xml:space="preserve"> e</w:t>
      </w:r>
      <w:r w:rsidR="000A52D5" w:rsidRPr="00D5464D">
        <w:rPr>
          <w:rFonts w:eastAsia="Batang" w:cs="Times"/>
          <w:szCs w:val="24"/>
          <w:lang w:val="pt-BR" w:eastAsia="es-ES"/>
        </w:rPr>
        <w:t xml:space="preserve"> ii)</w:t>
      </w:r>
      <w:r w:rsidR="002C330E" w:rsidRPr="00D5464D">
        <w:rPr>
          <w:rFonts w:eastAsia="Batang" w:cs="Times"/>
          <w:szCs w:val="24"/>
          <w:lang w:val="pt-BR" w:eastAsia="es-ES"/>
        </w:rPr>
        <w:t xml:space="preserve"> os fatos</w:t>
      </w:r>
      <w:r w:rsidR="000A52D5" w:rsidRPr="00D5464D">
        <w:rPr>
          <w:rFonts w:eastAsia="Batang" w:cs="Times"/>
          <w:szCs w:val="24"/>
          <w:lang w:val="pt-BR" w:eastAsia="es-ES"/>
        </w:rPr>
        <w:t xml:space="preserve"> verificados</w:t>
      </w:r>
      <w:r w:rsidR="00E045D9" w:rsidRPr="00D5464D">
        <w:rPr>
          <w:rFonts w:eastAsia="Batang" w:cs="Times"/>
          <w:szCs w:val="24"/>
          <w:lang w:val="pt-BR" w:eastAsia="es-ES"/>
        </w:rPr>
        <w:t xml:space="preserve"> na </w:t>
      </w:r>
      <w:r w:rsidR="00D809F0" w:rsidRPr="00D5464D">
        <w:rPr>
          <w:rFonts w:eastAsia="Batang" w:cs="Times"/>
          <w:szCs w:val="24"/>
          <w:lang w:val="pt-BR" w:eastAsia="es-ES"/>
        </w:rPr>
        <w:t>Fazenda</w:t>
      </w:r>
      <w:r w:rsidR="000A52D5" w:rsidRPr="00D5464D">
        <w:rPr>
          <w:rFonts w:eastAsia="Batang" w:cs="Times"/>
          <w:szCs w:val="24"/>
          <w:lang w:val="pt-BR" w:eastAsia="es-ES"/>
        </w:rPr>
        <w:t xml:space="preserve"> Brasil Verde </w:t>
      </w:r>
      <w:r w:rsidR="00540D2A" w:rsidRPr="00D5464D">
        <w:rPr>
          <w:rFonts w:eastAsia="Batang" w:cs="Times"/>
          <w:szCs w:val="24"/>
          <w:lang w:val="pt-BR" w:eastAsia="es-ES"/>
        </w:rPr>
        <w:t xml:space="preserve">aludem </w:t>
      </w:r>
      <w:r w:rsidR="000A52D5" w:rsidRPr="00D5464D">
        <w:rPr>
          <w:rFonts w:eastAsia="Batang" w:cs="Times"/>
          <w:szCs w:val="24"/>
          <w:lang w:val="pt-BR" w:eastAsia="es-ES"/>
        </w:rPr>
        <w:t>a situa</w:t>
      </w:r>
      <w:r w:rsidRPr="00D5464D">
        <w:rPr>
          <w:rFonts w:eastAsia="Batang" w:cs="Times"/>
          <w:szCs w:val="24"/>
          <w:lang w:val="pt-BR" w:eastAsia="es-ES"/>
        </w:rPr>
        <w:t>ções</w:t>
      </w:r>
      <w:r w:rsidR="000A52D5" w:rsidRPr="00D5464D">
        <w:rPr>
          <w:rFonts w:eastAsia="Batang" w:cs="Times"/>
          <w:szCs w:val="24"/>
          <w:lang w:val="pt-BR" w:eastAsia="es-ES"/>
        </w:rPr>
        <w:t xml:space="preserve"> de viola</w:t>
      </w:r>
      <w:r w:rsidRPr="00D5464D">
        <w:rPr>
          <w:rFonts w:eastAsia="Batang" w:cs="Times"/>
          <w:szCs w:val="24"/>
          <w:lang w:val="pt-BR" w:eastAsia="es-ES"/>
        </w:rPr>
        <w:t>ção ao direito</w:t>
      </w:r>
      <w:r w:rsidR="000A52D5" w:rsidRPr="00D5464D">
        <w:rPr>
          <w:rFonts w:eastAsia="Batang" w:cs="Times"/>
          <w:szCs w:val="24"/>
          <w:lang w:val="pt-BR" w:eastAsia="es-ES"/>
        </w:rPr>
        <w:t xml:space="preserve"> a condi</w:t>
      </w:r>
      <w:r w:rsidRPr="00D5464D">
        <w:rPr>
          <w:rFonts w:eastAsia="Batang" w:cs="Times"/>
          <w:szCs w:val="24"/>
          <w:lang w:val="pt-BR" w:eastAsia="es-ES"/>
        </w:rPr>
        <w:t>ções</w:t>
      </w:r>
      <w:r w:rsidR="000A52D5" w:rsidRPr="00D5464D">
        <w:rPr>
          <w:rFonts w:eastAsia="Batang" w:cs="Times"/>
          <w:szCs w:val="24"/>
          <w:lang w:val="pt-BR" w:eastAsia="es-ES"/>
        </w:rPr>
        <w:t xml:space="preserve"> justas, equitativas</w:t>
      </w:r>
      <w:r w:rsidR="00E045D9" w:rsidRPr="00D5464D">
        <w:rPr>
          <w:rFonts w:eastAsia="Batang" w:cs="Times"/>
          <w:szCs w:val="24"/>
          <w:lang w:val="pt-BR" w:eastAsia="es-ES"/>
        </w:rPr>
        <w:t xml:space="preserve"> e </w:t>
      </w:r>
      <w:r w:rsidR="00C91CB1" w:rsidRPr="00D5464D">
        <w:rPr>
          <w:rFonts w:eastAsia="Batang" w:cs="Times"/>
          <w:szCs w:val="24"/>
          <w:lang w:val="pt-BR" w:eastAsia="es-ES"/>
        </w:rPr>
        <w:t>satisfatória</w:t>
      </w:r>
      <w:r w:rsidR="000A52D5" w:rsidRPr="00D5464D">
        <w:rPr>
          <w:rFonts w:eastAsia="Batang" w:cs="Times"/>
          <w:szCs w:val="24"/>
          <w:lang w:val="pt-BR" w:eastAsia="es-ES"/>
        </w:rPr>
        <w:t xml:space="preserve">s de </w:t>
      </w:r>
      <w:r w:rsidR="00E045D9" w:rsidRPr="00D5464D">
        <w:rPr>
          <w:rFonts w:eastAsia="Batang" w:cs="Times"/>
          <w:szCs w:val="24"/>
          <w:lang w:val="pt-BR" w:eastAsia="es-ES"/>
        </w:rPr>
        <w:t>trabalho</w:t>
      </w:r>
      <w:r w:rsidR="000A52D5" w:rsidRPr="00D5464D">
        <w:rPr>
          <w:rFonts w:eastAsia="Batang" w:cs="Times"/>
          <w:szCs w:val="24"/>
          <w:lang w:val="pt-BR" w:eastAsia="es-ES"/>
        </w:rPr>
        <w:t>,</w:t>
      </w:r>
      <w:r w:rsidR="002C330E" w:rsidRPr="00D5464D">
        <w:rPr>
          <w:rFonts w:eastAsia="Batang" w:cs="Times"/>
          <w:szCs w:val="24"/>
          <w:lang w:val="pt-BR" w:eastAsia="es-ES"/>
        </w:rPr>
        <w:t xml:space="preserve"> </w:t>
      </w:r>
      <w:r w:rsidR="00540D2A" w:rsidRPr="00D5464D">
        <w:rPr>
          <w:rFonts w:eastAsia="Batang" w:cs="Times"/>
          <w:szCs w:val="24"/>
          <w:lang w:val="pt-BR" w:eastAsia="es-ES"/>
        </w:rPr>
        <w:t>o</w:t>
      </w:r>
      <w:r w:rsidR="002C330E" w:rsidRPr="00D5464D">
        <w:rPr>
          <w:rFonts w:eastAsia="Batang" w:cs="Times"/>
          <w:szCs w:val="24"/>
          <w:lang w:val="pt-BR" w:eastAsia="es-ES"/>
        </w:rPr>
        <w:t xml:space="preserve">s </w:t>
      </w:r>
      <w:r w:rsidRPr="00D5464D">
        <w:rPr>
          <w:rFonts w:eastAsia="Batang" w:cs="Times"/>
          <w:szCs w:val="24"/>
          <w:lang w:val="pt-BR" w:eastAsia="es-ES"/>
        </w:rPr>
        <w:t>quais</w:t>
      </w:r>
      <w:r w:rsidR="000A52D5" w:rsidRPr="00D5464D">
        <w:rPr>
          <w:rFonts w:eastAsia="Batang" w:cs="Times"/>
          <w:szCs w:val="24"/>
          <w:lang w:val="pt-BR" w:eastAsia="es-ES"/>
        </w:rPr>
        <w:t xml:space="preserve"> </w:t>
      </w:r>
      <w:r w:rsidR="00350187" w:rsidRPr="00D5464D">
        <w:rPr>
          <w:rFonts w:eastAsia="Batang" w:cs="Times"/>
          <w:szCs w:val="24"/>
          <w:lang w:val="pt-BR" w:eastAsia="es-ES"/>
        </w:rPr>
        <w:t>estariam</w:t>
      </w:r>
      <w:r w:rsidR="000A52D5" w:rsidRPr="00D5464D">
        <w:rPr>
          <w:rFonts w:eastAsia="Batang" w:cs="Times"/>
          <w:szCs w:val="24"/>
          <w:lang w:val="pt-BR" w:eastAsia="es-ES"/>
        </w:rPr>
        <w:t xml:space="preserve"> regula</w:t>
      </w:r>
      <w:r w:rsidR="00540D2A" w:rsidRPr="00D5464D">
        <w:rPr>
          <w:rFonts w:eastAsia="Batang" w:cs="Times"/>
          <w:szCs w:val="24"/>
          <w:lang w:val="pt-BR" w:eastAsia="es-ES"/>
        </w:rPr>
        <w:t xml:space="preserve">mentados </w:t>
      </w:r>
      <w:r w:rsidR="00E045D9" w:rsidRPr="00D5464D">
        <w:rPr>
          <w:rFonts w:eastAsia="Batang" w:cs="Times"/>
          <w:szCs w:val="24"/>
          <w:lang w:val="pt-BR" w:eastAsia="es-ES"/>
        </w:rPr>
        <w:t xml:space="preserve">no </w:t>
      </w:r>
      <w:r w:rsidRPr="00D5464D">
        <w:rPr>
          <w:rFonts w:eastAsia="Batang" w:cs="Times"/>
          <w:szCs w:val="24"/>
          <w:lang w:val="pt-BR" w:eastAsia="es-ES"/>
        </w:rPr>
        <w:t>artigo</w:t>
      </w:r>
      <w:r w:rsidR="000A52D5" w:rsidRPr="00D5464D">
        <w:rPr>
          <w:rFonts w:eastAsia="Batang" w:cs="Times"/>
          <w:szCs w:val="24"/>
          <w:lang w:val="pt-BR" w:eastAsia="es-ES"/>
        </w:rPr>
        <w:t xml:space="preserve"> 7 </w:t>
      </w:r>
      <w:r w:rsidRPr="00D5464D">
        <w:rPr>
          <w:rFonts w:eastAsia="Batang" w:cs="Times"/>
          <w:szCs w:val="24"/>
          <w:lang w:val="pt-BR" w:eastAsia="es-ES"/>
        </w:rPr>
        <w:t xml:space="preserve">do </w:t>
      </w:r>
      <w:r w:rsidR="000A52D5" w:rsidRPr="00D5464D">
        <w:rPr>
          <w:rFonts w:eastAsia="Batang" w:cs="Times"/>
          <w:szCs w:val="24"/>
          <w:lang w:val="pt-BR" w:eastAsia="es-ES"/>
        </w:rPr>
        <w:t>Protocolo de San Salvador</w:t>
      </w:r>
      <w:r w:rsidRPr="00D5464D">
        <w:rPr>
          <w:rFonts w:eastAsia="Batang" w:cs="Times"/>
          <w:szCs w:val="24"/>
          <w:lang w:val="pt-BR" w:eastAsia="es-ES"/>
        </w:rPr>
        <w:t>, e</w:t>
      </w:r>
      <w:r w:rsidR="000A52D5" w:rsidRPr="00D5464D">
        <w:rPr>
          <w:rFonts w:eastAsia="Batang" w:cs="Times"/>
          <w:szCs w:val="24"/>
          <w:lang w:val="pt-BR" w:eastAsia="es-ES"/>
        </w:rPr>
        <w:t xml:space="preserve"> n</w:t>
      </w:r>
      <w:r w:rsidR="00540D2A" w:rsidRPr="00D5464D">
        <w:rPr>
          <w:rFonts w:eastAsia="Batang" w:cs="Times"/>
          <w:szCs w:val="24"/>
          <w:lang w:val="pt-BR" w:eastAsia="es-ES"/>
        </w:rPr>
        <w:t>ã</w:t>
      </w:r>
      <w:r w:rsidR="000A52D5" w:rsidRPr="00D5464D">
        <w:rPr>
          <w:rFonts w:eastAsia="Batang" w:cs="Times"/>
          <w:szCs w:val="24"/>
          <w:lang w:val="pt-BR" w:eastAsia="es-ES"/>
        </w:rPr>
        <w:t>o</w:t>
      </w:r>
      <w:r w:rsidR="00E045D9" w:rsidRPr="00D5464D">
        <w:rPr>
          <w:rFonts w:eastAsia="Batang" w:cs="Times"/>
          <w:szCs w:val="24"/>
          <w:lang w:val="pt-BR" w:eastAsia="es-ES"/>
        </w:rPr>
        <w:t xml:space="preserve"> no </w:t>
      </w:r>
      <w:r w:rsidRPr="00D5464D">
        <w:rPr>
          <w:rFonts w:eastAsia="Batang" w:cs="Times"/>
          <w:szCs w:val="24"/>
          <w:lang w:val="pt-BR" w:eastAsia="es-ES"/>
        </w:rPr>
        <w:t>artigo</w:t>
      </w:r>
      <w:r w:rsidR="000A52D5" w:rsidRPr="00D5464D">
        <w:rPr>
          <w:rFonts w:eastAsia="Batang" w:cs="Times"/>
          <w:szCs w:val="24"/>
          <w:lang w:val="pt-BR" w:eastAsia="es-ES"/>
        </w:rPr>
        <w:t xml:space="preserve"> 6</w:t>
      </w:r>
      <w:r w:rsidRPr="00D5464D">
        <w:rPr>
          <w:rFonts w:eastAsia="Batang" w:cs="Times"/>
          <w:szCs w:val="24"/>
          <w:lang w:val="pt-BR" w:eastAsia="es-ES"/>
        </w:rPr>
        <w:t xml:space="preserve"> da </w:t>
      </w:r>
      <w:r w:rsidR="000A52D5" w:rsidRPr="00D5464D">
        <w:rPr>
          <w:rFonts w:eastAsia="Batang" w:cs="Times"/>
          <w:szCs w:val="24"/>
          <w:lang w:val="pt-BR" w:eastAsia="es-ES"/>
        </w:rPr>
        <w:t>Conven</w:t>
      </w:r>
      <w:r w:rsidRPr="00D5464D">
        <w:rPr>
          <w:rFonts w:eastAsia="Batang" w:cs="Times"/>
          <w:szCs w:val="24"/>
          <w:lang w:val="pt-BR" w:eastAsia="es-ES"/>
        </w:rPr>
        <w:t>ção</w:t>
      </w:r>
      <w:r w:rsidR="000A52D5" w:rsidRPr="00D5464D">
        <w:rPr>
          <w:rFonts w:eastAsia="Batang" w:cs="Times"/>
          <w:szCs w:val="24"/>
          <w:lang w:val="pt-BR" w:eastAsia="es-ES"/>
        </w:rPr>
        <w:t xml:space="preserve"> Americana. </w:t>
      </w:r>
      <w:r w:rsidR="00F76C08" w:rsidRPr="00D5464D">
        <w:rPr>
          <w:rFonts w:eastAsia="Batang" w:cs="Times"/>
          <w:szCs w:val="24"/>
          <w:lang w:val="pt-BR" w:eastAsia="es-ES"/>
        </w:rPr>
        <w:t>Sob este argumento</w:t>
      </w:r>
      <w:r w:rsidR="000A52D5" w:rsidRPr="00D5464D">
        <w:rPr>
          <w:rFonts w:eastAsia="Batang" w:cs="Times"/>
          <w:szCs w:val="24"/>
          <w:lang w:val="pt-BR" w:eastAsia="es-ES"/>
        </w:rPr>
        <w:t>,</w:t>
      </w:r>
      <w:r w:rsidRPr="00D5464D">
        <w:rPr>
          <w:rFonts w:eastAsia="Batang" w:cs="Times"/>
          <w:szCs w:val="24"/>
          <w:lang w:val="pt-BR" w:eastAsia="es-ES"/>
        </w:rPr>
        <w:t xml:space="preserve"> o </w:t>
      </w:r>
      <w:r w:rsidR="000A52D5" w:rsidRPr="00D5464D">
        <w:rPr>
          <w:rFonts w:eastAsia="Batang" w:cs="Times"/>
          <w:szCs w:val="24"/>
          <w:lang w:val="pt-BR" w:eastAsia="es-ES"/>
        </w:rPr>
        <w:t xml:space="preserve">Estado </w:t>
      </w:r>
      <w:r w:rsidR="005F3480" w:rsidRPr="00D5464D">
        <w:rPr>
          <w:rFonts w:eastAsia="Batang" w:cs="Times"/>
          <w:szCs w:val="24"/>
          <w:lang w:val="pt-BR" w:eastAsia="es-ES"/>
        </w:rPr>
        <w:t>afirmou</w:t>
      </w:r>
      <w:r w:rsidR="000A52D5" w:rsidRPr="00D5464D">
        <w:rPr>
          <w:rFonts w:eastAsia="Batang" w:cs="Times"/>
          <w:szCs w:val="24"/>
          <w:lang w:val="pt-BR" w:eastAsia="es-ES"/>
        </w:rPr>
        <w:t xml:space="preserve"> que</w:t>
      </w:r>
      <w:r w:rsidR="00211DB5" w:rsidRPr="00D5464D">
        <w:rPr>
          <w:rFonts w:eastAsia="Batang" w:cs="Times"/>
          <w:szCs w:val="24"/>
          <w:lang w:val="pt-BR" w:eastAsia="es-ES"/>
        </w:rPr>
        <w:t xml:space="preserve">, </w:t>
      </w:r>
      <w:r w:rsidR="00F76C08" w:rsidRPr="00D5464D">
        <w:rPr>
          <w:rFonts w:eastAsia="Batang" w:cs="Times"/>
          <w:szCs w:val="24"/>
          <w:lang w:val="pt-BR" w:eastAsia="es-ES"/>
        </w:rPr>
        <w:t>como</w:t>
      </w:r>
      <w:r w:rsidR="00FF1290" w:rsidRPr="00D5464D">
        <w:rPr>
          <w:rFonts w:eastAsia="Batang" w:cs="Times"/>
          <w:szCs w:val="24"/>
          <w:lang w:val="pt-BR" w:eastAsia="es-ES"/>
        </w:rPr>
        <w:t xml:space="preserve"> </w:t>
      </w:r>
      <w:r w:rsidR="002C330E" w:rsidRPr="00D5464D">
        <w:rPr>
          <w:rFonts w:eastAsia="Batang" w:cs="Times"/>
          <w:szCs w:val="24"/>
          <w:lang w:val="pt-BR" w:eastAsia="es-ES"/>
        </w:rPr>
        <w:t>os fatos</w:t>
      </w:r>
      <w:r w:rsidR="000A52D5" w:rsidRPr="00D5464D">
        <w:rPr>
          <w:rFonts w:eastAsia="Batang" w:cs="Times"/>
          <w:szCs w:val="24"/>
          <w:lang w:val="pt-BR" w:eastAsia="es-ES"/>
        </w:rPr>
        <w:t xml:space="preserve"> </w:t>
      </w:r>
      <w:r w:rsidRPr="00D5464D">
        <w:rPr>
          <w:rFonts w:eastAsia="Batang" w:cs="Times"/>
          <w:szCs w:val="24"/>
          <w:lang w:val="pt-BR" w:eastAsia="es-ES"/>
        </w:rPr>
        <w:t xml:space="preserve">do </w:t>
      </w:r>
      <w:r w:rsidR="000A52D5" w:rsidRPr="00D5464D">
        <w:rPr>
          <w:rFonts w:eastAsia="Batang" w:cs="Times"/>
          <w:szCs w:val="24"/>
          <w:lang w:val="pt-BR" w:eastAsia="es-ES"/>
        </w:rPr>
        <w:t xml:space="preserve">presente caso </w:t>
      </w:r>
      <w:r w:rsidR="00540D2A" w:rsidRPr="00D5464D">
        <w:rPr>
          <w:rFonts w:eastAsia="Batang" w:cs="Times"/>
          <w:szCs w:val="24"/>
          <w:lang w:val="pt-BR" w:eastAsia="es-ES"/>
        </w:rPr>
        <w:t xml:space="preserve">não se referem a </w:t>
      </w:r>
      <w:r w:rsidR="000A52D5" w:rsidRPr="00D5464D">
        <w:rPr>
          <w:rFonts w:eastAsia="Batang" w:cs="Times"/>
          <w:szCs w:val="24"/>
          <w:lang w:val="pt-BR" w:eastAsia="es-ES"/>
        </w:rPr>
        <w:t xml:space="preserve">aspectos de </w:t>
      </w:r>
      <w:r w:rsidR="00737270" w:rsidRPr="00D5464D">
        <w:rPr>
          <w:rFonts w:eastAsia="Batang" w:cs="Times"/>
          <w:szCs w:val="24"/>
          <w:lang w:val="pt-BR" w:eastAsia="es-ES"/>
        </w:rPr>
        <w:t>associação</w:t>
      </w:r>
      <w:r w:rsidR="000A52D5" w:rsidRPr="00D5464D">
        <w:rPr>
          <w:rFonts w:eastAsia="Batang" w:cs="Times"/>
          <w:szCs w:val="24"/>
          <w:lang w:val="pt-BR" w:eastAsia="es-ES"/>
        </w:rPr>
        <w:t xml:space="preserve"> sindical o</w:t>
      </w:r>
      <w:r w:rsidR="00540D2A" w:rsidRPr="00D5464D">
        <w:rPr>
          <w:rFonts w:eastAsia="Batang" w:cs="Times"/>
          <w:szCs w:val="24"/>
          <w:lang w:val="pt-BR" w:eastAsia="es-ES"/>
        </w:rPr>
        <w:t>u</w:t>
      </w:r>
      <w:r w:rsidR="000A52D5" w:rsidRPr="00D5464D">
        <w:rPr>
          <w:rFonts w:eastAsia="Batang" w:cs="Times"/>
          <w:szCs w:val="24"/>
          <w:lang w:val="pt-BR" w:eastAsia="es-ES"/>
        </w:rPr>
        <w:t xml:space="preserve"> educa</w:t>
      </w:r>
      <w:r w:rsidRPr="00D5464D">
        <w:rPr>
          <w:rFonts w:eastAsia="Batang" w:cs="Times"/>
          <w:szCs w:val="24"/>
          <w:lang w:val="pt-BR" w:eastAsia="es-ES"/>
        </w:rPr>
        <w:t>ção</w:t>
      </w:r>
      <w:r w:rsidR="000A52D5" w:rsidRPr="00D5464D">
        <w:rPr>
          <w:rFonts w:eastAsia="Batang" w:cs="Times"/>
          <w:szCs w:val="24"/>
          <w:lang w:val="pt-BR" w:eastAsia="es-ES"/>
        </w:rPr>
        <w:t>,</w:t>
      </w:r>
      <w:r w:rsidR="002C330E" w:rsidRPr="00D5464D">
        <w:rPr>
          <w:rFonts w:eastAsia="Batang" w:cs="Times"/>
          <w:szCs w:val="24"/>
          <w:lang w:val="pt-BR" w:eastAsia="es-ES"/>
        </w:rPr>
        <w:t xml:space="preserve"> a </w:t>
      </w:r>
      <w:r w:rsidR="000A52D5" w:rsidRPr="00D5464D">
        <w:rPr>
          <w:rFonts w:eastAsia="Batang" w:cs="Times"/>
          <w:szCs w:val="24"/>
          <w:lang w:val="pt-BR" w:eastAsia="es-ES"/>
        </w:rPr>
        <w:t xml:space="preserve">Corte </w:t>
      </w:r>
      <w:r w:rsidR="002C330E" w:rsidRPr="00D5464D">
        <w:rPr>
          <w:rFonts w:eastAsia="Batang" w:cs="Times"/>
          <w:szCs w:val="24"/>
          <w:lang w:val="pt-BR" w:eastAsia="es-ES"/>
        </w:rPr>
        <w:t xml:space="preserve">não possui </w:t>
      </w:r>
      <w:r w:rsidRPr="00D5464D">
        <w:rPr>
          <w:rFonts w:eastAsia="Batang" w:cs="Times"/>
          <w:szCs w:val="24"/>
          <w:lang w:val="pt-BR" w:eastAsia="es-ES"/>
        </w:rPr>
        <w:t>competência</w:t>
      </w:r>
      <w:r w:rsidR="000A52D5" w:rsidRPr="00D5464D">
        <w:rPr>
          <w:rFonts w:eastAsia="Batang" w:cs="Times"/>
          <w:szCs w:val="24"/>
          <w:lang w:val="pt-BR" w:eastAsia="es-ES"/>
        </w:rPr>
        <w:t xml:space="preserve"> para </w:t>
      </w:r>
      <w:r w:rsidR="00540D2A" w:rsidRPr="00D5464D">
        <w:rPr>
          <w:rFonts w:eastAsia="Batang" w:cs="Times"/>
          <w:szCs w:val="24"/>
          <w:lang w:val="pt-BR" w:eastAsia="es-ES"/>
        </w:rPr>
        <w:t>analis</w:t>
      </w:r>
      <w:r w:rsidR="00F76C08" w:rsidRPr="00D5464D">
        <w:rPr>
          <w:rFonts w:eastAsia="Batang" w:cs="Times"/>
          <w:szCs w:val="24"/>
          <w:lang w:val="pt-BR" w:eastAsia="es-ES"/>
        </w:rPr>
        <w:t>á</w:t>
      </w:r>
      <w:r w:rsidR="00540D2A" w:rsidRPr="00D5464D">
        <w:rPr>
          <w:rFonts w:eastAsia="Batang" w:cs="Times"/>
          <w:szCs w:val="24"/>
          <w:lang w:val="pt-BR" w:eastAsia="es-ES"/>
        </w:rPr>
        <w:t>-l</w:t>
      </w:r>
      <w:r w:rsidR="000A52D5" w:rsidRPr="00D5464D">
        <w:rPr>
          <w:rFonts w:eastAsia="Batang" w:cs="Times"/>
          <w:szCs w:val="24"/>
          <w:lang w:val="pt-BR" w:eastAsia="es-ES"/>
        </w:rPr>
        <w:t>os.</w:t>
      </w:r>
      <w:r w:rsidR="00FF1290" w:rsidRPr="00D5464D">
        <w:rPr>
          <w:rFonts w:eastAsia="Batang" w:cs="Times"/>
          <w:szCs w:val="24"/>
          <w:lang w:val="pt-BR" w:eastAsia="es-ES"/>
        </w:rPr>
        <w:t xml:space="preserve"> </w:t>
      </w:r>
      <w:r w:rsidR="000A52D5" w:rsidRPr="00D5464D">
        <w:rPr>
          <w:rFonts w:eastAsia="Batang" w:cs="Times"/>
          <w:szCs w:val="24"/>
          <w:lang w:val="pt-BR" w:eastAsia="es-ES"/>
        </w:rPr>
        <w:t xml:space="preserve"> </w:t>
      </w:r>
    </w:p>
    <w:p w14:paraId="00EF0F56" w14:textId="77777777" w:rsidR="00D65024" w:rsidRPr="00D5464D" w:rsidRDefault="00D65024" w:rsidP="00D65024">
      <w:pPr>
        <w:tabs>
          <w:tab w:val="clear" w:pos="4419"/>
          <w:tab w:val="clear" w:pos="8838"/>
        </w:tabs>
        <w:jc w:val="both"/>
        <w:rPr>
          <w:rFonts w:eastAsia="Batang" w:cs="Times"/>
          <w:szCs w:val="24"/>
          <w:lang w:val="pt-BR" w:eastAsia="es-ES"/>
        </w:rPr>
      </w:pPr>
    </w:p>
    <w:p w14:paraId="53659C0B" w14:textId="4E4D2587" w:rsidR="000A52D5" w:rsidRPr="00D5464D" w:rsidRDefault="00470AD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A </w:t>
      </w:r>
      <w:r w:rsidRPr="00D5464D">
        <w:rPr>
          <w:rFonts w:eastAsia="Batang" w:cs="Times"/>
          <w:b/>
          <w:i/>
          <w:szCs w:val="24"/>
          <w:lang w:val="pt-BR" w:eastAsia="es-ES"/>
        </w:rPr>
        <w:t>Comissão</w:t>
      </w:r>
      <w:r w:rsidR="000A52D5" w:rsidRPr="00D5464D">
        <w:rPr>
          <w:rFonts w:eastAsia="Batang" w:cs="Times"/>
          <w:szCs w:val="24"/>
          <w:lang w:val="pt-BR" w:eastAsia="es-ES"/>
        </w:rPr>
        <w:t xml:space="preserve"> </w:t>
      </w:r>
      <w:r w:rsidR="002C330E" w:rsidRPr="00D5464D">
        <w:rPr>
          <w:rFonts w:eastAsia="Batang" w:cs="Times"/>
          <w:szCs w:val="24"/>
          <w:lang w:val="pt-BR" w:eastAsia="es-ES"/>
        </w:rPr>
        <w:t>afirmou</w:t>
      </w:r>
      <w:r w:rsidR="000A52D5" w:rsidRPr="00D5464D">
        <w:rPr>
          <w:rFonts w:eastAsia="Batang" w:cs="Times"/>
          <w:szCs w:val="24"/>
          <w:lang w:val="pt-BR" w:eastAsia="es-ES"/>
        </w:rPr>
        <w:t xml:space="preserve"> que</w:t>
      </w:r>
      <w:r w:rsidR="002C330E" w:rsidRPr="00D5464D">
        <w:rPr>
          <w:rFonts w:eastAsia="Batang" w:cs="Times"/>
          <w:szCs w:val="24"/>
          <w:lang w:val="pt-BR" w:eastAsia="es-ES"/>
        </w:rPr>
        <w:t xml:space="preserve"> as alegações </w:t>
      </w:r>
      <w:r w:rsidRPr="00D5464D">
        <w:rPr>
          <w:rFonts w:eastAsia="Batang" w:cs="Times"/>
          <w:szCs w:val="24"/>
          <w:lang w:val="pt-BR" w:eastAsia="es-ES"/>
        </w:rPr>
        <w:t xml:space="preserve">do </w:t>
      </w:r>
      <w:r w:rsidR="000A52D5" w:rsidRPr="00D5464D">
        <w:rPr>
          <w:rFonts w:eastAsia="Batang" w:cs="Times"/>
          <w:szCs w:val="24"/>
          <w:lang w:val="pt-BR" w:eastAsia="es-ES"/>
        </w:rPr>
        <w:t xml:space="preserve">Estado se </w:t>
      </w:r>
      <w:r w:rsidR="00737270" w:rsidRPr="00D5464D">
        <w:rPr>
          <w:rFonts w:eastAsia="Batang" w:cs="Times"/>
          <w:szCs w:val="24"/>
          <w:lang w:val="pt-BR" w:eastAsia="es-ES"/>
        </w:rPr>
        <w:t>sustentam</w:t>
      </w:r>
      <w:r w:rsidR="00E045D9" w:rsidRPr="00D5464D">
        <w:rPr>
          <w:rFonts w:eastAsia="Batang" w:cs="Times"/>
          <w:szCs w:val="24"/>
          <w:lang w:val="pt-BR" w:eastAsia="es-ES"/>
        </w:rPr>
        <w:t xml:space="preserve"> no </w:t>
      </w:r>
      <w:r w:rsidR="002C330E" w:rsidRPr="00D5464D">
        <w:rPr>
          <w:rFonts w:eastAsia="Batang" w:cs="Times"/>
          <w:szCs w:val="24"/>
          <w:lang w:val="pt-BR" w:eastAsia="es-ES"/>
        </w:rPr>
        <w:t xml:space="preserve">fato </w:t>
      </w:r>
      <w:r w:rsidR="000A52D5" w:rsidRPr="00D5464D">
        <w:rPr>
          <w:rFonts w:eastAsia="Batang" w:cs="Times"/>
          <w:szCs w:val="24"/>
          <w:lang w:val="pt-BR" w:eastAsia="es-ES"/>
        </w:rPr>
        <w:t>de que n</w:t>
      </w:r>
      <w:r w:rsidR="00540D2A" w:rsidRPr="00D5464D">
        <w:rPr>
          <w:rFonts w:eastAsia="Batang" w:cs="Times"/>
          <w:szCs w:val="24"/>
          <w:lang w:val="pt-BR" w:eastAsia="es-ES"/>
        </w:rPr>
        <w:t>ã</w:t>
      </w:r>
      <w:r w:rsidR="000A52D5" w:rsidRPr="00D5464D">
        <w:rPr>
          <w:rFonts w:eastAsia="Batang" w:cs="Times"/>
          <w:szCs w:val="24"/>
          <w:lang w:val="pt-BR" w:eastAsia="es-ES"/>
        </w:rPr>
        <w:t xml:space="preserve">o </w:t>
      </w:r>
      <w:r w:rsidR="00540D2A" w:rsidRPr="00D5464D">
        <w:rPr>
          <w:rFonts w:eastAsia="Batang" w:cs="Times"/>
          <w:szCs w:val="24"/>
          <w:lang w:val="pt-BR" w:eastAsia="es-ES"/>
        </w:rPr>
        <w:t xml:space="preserve">teria sido violado </w:t>
      </w:r>
      <w:r w:rsidRPr="00D5464D">
        <w:rPr>
          <w:rFonts w:eastAsia="Batang" w:cs="Times"/>
          <w:szCs w:val="24"/>
          <w:lang w:val="pt-BR" w:eastAsia="es-ES"/>
        </w:rPr>
        <w:t>o artigo</w:t>
      </w:r>
      <w:r w:rsidR="000A52D5" w:rsidRPr="00D5464D">
        <w:rPr>
          <w:rFonts w:eastAsia="Batang" w:cs="Times"/>
          <w:szCs w:val="24"/>
          <w:lang w:val="pt-BR" w:eastAsia="es-ES"/>
        </w:rPr>
        <w:t xml:space="preserve"> 6</w:t>
      </w:r>
      <w:r w:rsidRPr="00D5464D">
        <w:rPr>
          <w:rFonts w:eastAsia="Batang" w:cs="Times"/>
          <w:szCs w:val="24"/>
          <w:lang w:val="pt-BR" w:eastAsia="es-ES"/>
        </w:rPr>
        <w:t xml:space="preserve"> da </w:t>
      </w:r>
      <w:r w:rsidR="000A52D5" w:rsidRPr="00D5464D">
        <w:rPr>
          <w:rFonts w:eastAsia="Batang" w:cs="Times"/>
          <w:szCs w:val="24"/>
          <w:lang w:val="pt-BR" w:eastAsia="es-ES"/>
        </w:rPr>
        <w:t>Conven</w:t>
      </w:r>
      <w:r w:rsidRPr="00D5464D">
        <w:rPr>
          <w:rFonts w:eastAsia="Batang" w:cs="Times"/>
          <w:szCs w:val="24"/>
          <w:lang w:val="pt-BR" w:eastAsia="es-ES"/>
        </w:rPr>
        <w:t>ção</w:t>
      </w:r>
      <w:r w:rsidR="000A52D5" w:rsidRPr="00D5464D">
        <w:rPr>
          <w:rFonts w:eastAsia="Batang" w:cs="Times"/>
          <w:szCs w:val="24"/>
          <w:lang w:val="pt-BR" w:eastAsia="es-ES"/>
        </w:rPr>
        <w:t>, aspecto que</w:t>
      </w:r>
      <w:r w:rsidRPr="00D5464D">
        <w:rPr>
          <w:rFonts w:eastAsia="Batang" w:cs="Times"/>
          <w:szCs w:val="24"/>
          <w:lang w:val="pt-BR" w:eastAsia="es-ES"/>
        </w:rPr>
        <w:t xml:space="preserve"> é</w:t>
      </w:r>
      <w:r w:rsidR="00E045D9" w:rsidRPr="00D5464D">
        <w:rPr>
          <w:rFonts w:eastAsia="Batang" w:cs="Times"/>
          <w:szCs w:val="24"/>
          <w:lang w:val="pt-BR" w:eastAsia="es-ES"/>
        </w:rPr>
        <w:t xml:space="preserve"> </w:t>
      </w:r>
      <w:r w:rsidR="000A52D5" w:rsidRPr="00D5464D">
        <w:rPr>
          <w:rFonts w:eastAsia="Batang" w:cs="Times"/>
          <w:szCs w:val="24"/>
          <w:lang w:val="pt-BR" w:eastAsia="es-ES"/>
        </w:rPr>
        <w:t xml:space="preserve">tema de </w:t>
      </w:r>
      <w:r w:rsidRPr="00D5464D">
        <w:rPr>
          <w:rFonts w:eastAsia="Batang" w:cs="Times"/>
          <w:szCs w:val="24"/>
          <w:lang w:val="pt-BR" w:eastAsia="es-ES"/>
        </w:rPr>
        <w:t>mérito</w:t>
      </w:r>
      <w:r w:rsidR="000A52D5" w:rsidRPr="00D5464D">
        <w:rPr>
          <w:rFonts w:eastAsia="Batang" w:cs="Times"/>
          <w:szCs w:val="24"/>
          <w:lang w:val="pt-BR" w:eastAsia="es-ES"/>
        </w:rPr>
        <w:t xml:space="preserve">. </w:t>
      </w:r>
      <w:r w:rsidRPr="00D5464D">
        <w:rPr>
          <w:rFonts w:eastAsia="Batang" w:cs="Times"/>
          <w:szCs w:val="24"/>
          <w:lang w:val="pt-BR" w:eastAsia="es-ES"/>
        </w:rPr>
        <w:t>Ademais</w:t>
      </w:r>
      <w:r w:rsidR="000A52D5" w:rsidRPr="00D5464D">
        <w:rPr>
          <w:rFonts w:eastAsia="Batang" w:cs="Times"/>
          <w:szCs w:val="24"/>
          <w:lang w:val="pt-BR" w:eastAsia="es-ES"/>
        </w:rPr>
        <w:t xml:space="preserve">, </w:t>
      </w:r>
      <w:r w:rsidR="002C330E" w:rsidRPr="00D5464D">
        <w:rPr>
          <w:rFonts w:eastAsia="Batang" w:cs="Times"/>
          <w:szCs w:val="24"/>
          <w:lang w:val="pt-BR" w:eastAsia="es-ES"/>
        </w:rPr>
        <w:t>observou</w:t>
      </w:r>
      <w:r w:rsidR="000A52D5" w:rsidRPr="00D5464D">
        <w:rPr>
          <w:rFonts w:eastAsia="Batang" w:cs="Times"/>
          <w:szCs w:val="24"/>
          <w:lang w:val="pt-BR" w:eastAsia="es-ES"/>
        </w:rPr>
        <w:t xml:space="preserve"> que</w:t>
      </w:r>
      <w:r w:rsidR="00540D2A" w:rsidRPr="00D5464D">
        <w:rPr>
          <w:rFonts w:eastAsia="Batang" w:cs="Times"/>
          <w:szCs w:val="24"/>
          <w:lang w:val="pt-BR" w:eastAsia="es-ES"/>
        </w:rPr>
        <w:t>, em diversos casos,</w:t>
      </w:r>
      <w:r w:rsidR="002C330E" w:rsidRPr="00D5464D">
        <w:rPr>
          <w:rFonts w:eastAsia="Batang" w:cs="Times"/>
          <w:szCs w:val="24"/>
          <w:lang w:val="pt-BR" w:eastAsia="es-ES"/>
        </w:rPr>
        <w:t xml:space="preserve"> a </w:t>
      </w:r>
      <w:r w:rsidR="000A52D5" w:rsidRPr="00D5464D">
        <w:rPr>
          <w:rFonts w:eastAsia="Batang" w:cs="Times"/>
          <w:szCs w:val="24"/>
          <w:lang w:val="pt-BR" w:eastAsia="es-ES"/>
        </w:rPr>
        <w:t>Corte</w:t>
      </w:r>
      <w:r w:rsidRPr="00D5464D">
        <w:rPr>
          <w:rFonts w:eastAsia="Batang" w:cs="Times"/>
          <w:szCs w:val="24"/>
          <w:lang w:val="pt-BR" w:eastAsia="es-ES"/>
        </w:rPr>
        <w:t xml:space="preserve"> </w:t>
      </w:r>
      <w:r w:rsidR="002C330E" w:rsidRPr="00D5464D">
        <w:rPr>
          <w:rFonts w:eastAsia="Batang" w:cs="Times"/>
          <w:szCs w:val="24"/>
          <w:lang w:val="pt-BR" w:eastAsia="es-ES"/>
        </w:rPr>
        <w:t>estabeleceu</w:t>
      </w:r>
      <w:r w:rsidR="000A52D5" w:rsidRPr="00D5464D">
        <w:rPr>
          <w:rFonts w:eastAsia="Batang" w:cs="Times"/>
          <w:szCs w:val="24"/>
          <w:lang w:val="pt-BR" w:eastAsia="es-ES"/>
        </w:rPr>
        <w:t xml:space="preserve"> </w:t>
      </w:r>
      <w:r w:rsidR="00540D2A" w:rsidRPr="00D5464D">
        <w:rPr>
          <w:rFonts w:eastAsia="Batang" w:cs="Times"/>
          <w:szCs w:val="24"/>
          <w:lang w:val="pt-BR" w:eastAsia="es-ES"/>
        </w:rPr>
        <w:t xml:space="preserve">a </w:t>
      </w:r>
      <w:r w:rsidRPr="00D5464D">
        <w:rPr>
          <w:rFonts w:eastAsia="Batang" w:cs="Times"/>
          <w:szCs w:val="24"/>
          <w:lang w:val="pt-BR" w:eastAsia="es-ES"/>
        </w:rPr>
        <w:t>conexão</w:t>
      </w:r>
      <w:r w:rsidR="000A52D5" w:rsidRPr="00D5464D">
        <w:rPr>
          <w:rFonts w:eastAsia="Batang" w:cs="Times"/>
          <w:szCs w:val="24"/>
          <w:lang w:val="pt-BR" w:eastAsia="es-ES"/>
        </w:rPr>
        <w:t xml:space="preserve"> entre</w:t>
      </w:r>
      <w:r w:rsidRPr="00D5464D">
        <w:rPr>
          <w:rFonts w:eastAsia="Batang" w:cs="Times"/>
          <w:szCs w:val="24"/>
          <w:lang w:val="pt-BR" w:eastAsia="es-ES"/>
        </w:rPr>
        <w:t xml:space="preserve"> certos</w:t>
      </w:r>
      <w:r w:rsidR="000A52D5" w:rsidRPr="00D5464D">
        <w:rPr>
          <w:rFonts w:eastAsia="Batang" w:cs="Times"/>
          <w:szCs w:val="24"/>
          <w:lang w:val="pt-BR" w:eastAsia="es-ES"/>
        </w:rPr>
        <w:t xml:space="preserve"> </w:t>
      </w:r>
      <w:r w:rsidRPr="00D5464D">
        <w:rPr>
          <w:rFonts w:eastAsia="Batang" w:cs="Times"/>
          <w:szCs w:val="24"/>
          <w:lang w:val="pt-BR" w:eastAsia="es-ES"/>
        </w:rPr>
        <w:t>direito</w:t>
      </w:r>
      <w:r w:rsidR="000A52D5" w:rsidRPr="00D5464D">
        <w:rPr>
          <w:rFonts w:eastAsia="Batang" w:cs="Times"/>
          <w:szCs w:val="24"/>
          <w:lang w:val="pt-BR" w:eastAsia="es-ES"/>
        </w:rPr>
        <w:t xml:space="preserve">s </w:t>
      </w:r>
      <w:r w:rsidRPr="00D5464D">
        <w:rPr>
          <w:rFonts w:eastAsia="Batang" w:cs="Times"/>
          <w:szCs w:val="24"/>
          <w:lang w:val="pt-BR" w:eastAsia="es-ES"/>
        </w:rPr>
        <w:t>econômic</w:t>
      </w:r>
      <w:r w:rsidR="000A52D5" w:rsidRPr="00D5464D">
        <w:rPr>
          <w:rFonts w:eastAsia="Batang" w:cs="Times"/>
          <w:szCs w:val="24"/>
          <w:lang w:val="pt-BR" w:eastAsia="es-ES"/>
        </w:rPr>
        <w:t xml:space="preserve">os, </w:t>
      </w:r>
      <w:r w:rsidR="002C330E" w:rsidRPr="00D5464D">
        <w:rPr>
          <w:rFonts w:eastAsia="Batang" w:cs="Times"/>
          <w:szCs w:val="24"/>
          <w:lang w:val="pt-BR" w:eastAsia="es-ES"/>
        </w:rPr>
        <w:t>sociais</w:t>
      </w:r>
      <w:r w:rsidR="00E045D9" w:rsidRPr="00D5464D">
        <w:rPr>
          <w:rFonts w:eastAsia="Batang" w:cs="Times"/>
          <w:szCs w:val="24"/>
          <w:lang w:val="pt-BR" w:eastAsia="es-ES"/>
        </w:rPr>
        <w:t xml:space="preserve"> e </w:t>
      </w:r>
      <w:r w:rsidRPr="00D5464D">
        <w:rPr>
          <w:rFonts w:eastAsia="Batang" w:cs="Times"/>
          <w:szCs w:val="24"/>
          <w:lang w:val="pt-BR" w:eastAsia="es-ES"/>
        </w:rPr>
        <w:t>culturais, e</w:t>
      </w:r>
      <w:r w:rsidR="000A52D5" w:rsidRPr="00D5464D">
        <w:rPr>
          <w:rFonts w:eastAsia="Batang" w:cs="Times"/>
          <w:szCs w:val="24"/>
          <w:lang w:val="pt-BR" w:eastAsia="es-ES"/>
        </w:rPr>
        <w:t xml:space="preserve"> </w:t>
      </w:r>
      <w:r w:rsidRPr="00D5464D">
        <w:rPr>
          <w:rFonts w:eastAsia="Batang" w:cs="Times"/>
          <w:szCs w:val="24"/>
          <w:lang w:val="pt-BR" w:eastAsia="es-ES"/>
        </w:rPr>
        <w:t>direito</w:t>
      </w:r>
      <w:r w:rsidR="000A52D5" w:rsidRPr="00D5464D">
        <w:rPr>
          <w:rFonts w:eastAsia="Batang" w:cs="Times"/>
          <w:szCs w:val="24"/>
          <w:lang w:val="pt-BR" w:eastAsia="es-ES"/>
        </w:rPr>
        <w:t xml:space="preserve">s tradicionalmente </w:t>
      </w:r>
      <w:r w:rsidRPr="00D5464D">
        <w:rPr>
          <w:rFonts w:eastAsia="Batang" w:cs="Times"/>
          <w:szCs w:val="24"/>
          <w:lang w:val="pt-BR" w:eastAsia="es-ES"/>
        </w:rPr>
        <w:t>conhecido</w:t>
      </w:r>
      <w:r w:rsidR="000A52D5" w:rsidRPr="00D5464D">
        <w:rPr>
          <w:rFonts w:eastAsia="Batang" w:cs="Times"/>
          <w:szCs w:val="24"/>
          <w:lang w:val="pt-BR" w:eastAsia="es-ES"/>
        </w:rPr>
        <w:t xml:space="preserve">s como </w:t>
      </w:r>
      <w:r w:rsidRPr="00D5464D">
        <w:rPr>
          <w:rFonts w:eastAsia="Batang" w:cs="Times"/>
          <w:szCs w:val="24"/>
          <w:lang w:val="pt-BR" w:eastAsia="es-ES"/>
        </w:rPr>
        <w:t>civis</w:t>
      </w:r>
      <w:r w:rsidR="00E045D9" w:rsidRPr="00D5464D">
        <w:rPr>
          <w:rFonts w:eastAsia="Batang" w:cs="Times"/>
          <w:szCs w:val="24"/>
          <w:lang w:val="pt-BR" w:eastAsia="es-ES"/>
        </w:rPr>
        <w:t xml:space="preserve"> e </w:t>
      </w:r>
      <w:r w:rsidR="000A52D5" w:rsidRPr="00D5464D">
        <w:rPr>
          <w:rFonts w:eastAsia="Batang" w:cs="Times"/>
          <w:szCs w:val="24"/>
          <w:lang w:val="pt-BR" w:eastAsia="es-ES"/>
        </w:rPr>
        <w:t>políticos.</w:t>
      </w:r>
    </w:p>
    <w:p w14:paraId="7C203F50" w14:textId="77777777" w:rsidR="000A52D5" w:rsidRPr="00D5464D" w:rsidRDefault="000A52D5" w:rsidP="00140440">
      <w:pPr>
        <w:tabs>
          <w:tab w:val="clear" w:pos="4419"/>
          <w:tab w:val="clear" w:pos="8838"/>
        </w:tabs>
        <w:jc w:val="both"/>
        <w:rPr>
          <w:rFonts w:eastAsia="Batang" w:cs="Times"/>
          <w:szCs w:val="24"/>
          <w:lang w:val="pt-BR" w:eastAsia="es-ES"/>
        </w:rPr>
      </w:pPr>
    </w:p>
    <w:p w14:paraId="7C29E0C9" w14:textId="345B60DE" w:rsidR="000A52D5" w:rsidRPr="00D5464D" w:rsidRDefault="00737270"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Os </w:t>
      </w:r>
      <w:r w:rsidR="00EB1CE9" w:rsidRPr="00D5464D">
        <w:rPr>
          <w:rFonts w:eastAsia="Batang" w:cs="Times"/>
          <w:b/>
          <w:i/>
          <w:szCs w:val="24"/>
          <w:lang w:val="pt-BR" w:eastAsia="es-ES"/>
        </w:rPr>
        <w:t>representante</w:t>
      </w:r>
      <w:r w:rsidRPr="00D5464D">
        <w:rPr>
          <w:rFonts w:eastAsia="Batang" w:cs="Times"/>
          <w:b/>
          <w:i/>
          <w:szCs w:val="24"/>
          <w:lang w:val="pt-BR" w:eastAsia="es-ES"/>
        </w:rPr>
        <w:t>s</w:t>
      </w:r>
      <w:r w:rsidRPr="00D5464D">
        <w:rPr>
          <w:rFonts w:eastAsia="Batang" w:cs="Times"/>
          <w:szCs w:val="24"/>
          <w:lang w:val="pt-BR" w:eastAsia="es-ES"/>
        </w:rPr>
        <w:t xml:space="preserve"> </w:t>
      </w:r>
      <w:r w:rsidR="002C330E" w:rsidRPr="00D5464D">
        <w:rPr>
          <w:rFonts w:eastAsia="Batang" w:cs="Times"/>
          <w:szCs w:val="24"/>
          <w:lang w:val="pt-BR" w:eastAsia="es-ES"/>
        </w:rPr>
        <w:t>indicaram</w:t>
      </w:r>
      <w:r w:rsidR="000A52D5" w:rsidRPr="00D5464D">
        <w:rPr>
          <w:rFonts w:eastAsia="Batang" w:cs="Times"/>
          <w:szCs w:val="24"/>
          <w:lang w:val="pt-BR" w:eastAsia="es-ES"/>
        </w:rPr>
        <w:t xml:space="preserve"> que</w:t>
      </w:r>
      <w:r w:rsidR="00470ADC" w:rsidRPr="00D5464D">
        <w:rPr>
          <w:rFonts w:eastAsia="Batang" w:cs="Times"/>
          <w:szCs w:val="24"/>
          <w:lang w:val="pt-BR" w:eastAsia="es-ES"/>
        </w:rPr>
        <w:t xml:space="preserve"> o </w:t>
      </w:r>
      <w:r w:rsidR="000A52D5" w:rsidRPr="00D5464D">
        <w:rPr>
          <w:rFonts w:eastAsia="Batang" w:cs="Times"/>
          <w:szCs w:val="24"/>
          <w:lang w:val="pt-BR" w:eastAsia="es-ES"/>
        </w:rPr>
        <w:t xml:space="preserve">Estado </w:t>
      </w:r>
      <w:r w:rsidRPr="00D5464D">
        <w:rPr>
          <w:rFonts w:eastAsia="Batang" w:cs="Times"/>
          <w:szCs w:val="24"/>
          <w:lang w:val="pt-BR" w:eastAsia="es-ES"/>
        </w:rPr>
        <w:t>reconheceu</w:t>
      </w:r>
      <w:r w:rsidR="000A52D5" w:rsidRPr="00D5464D">
        <w:rPr>
          <w:rFonts w:eastAsia="Batang" w:cs="Times"/>
          <w:szCs w:val="24"/>
          <w:lang w:val="pt-BR" w:eastAsia="es-ES"/>
        </w:rPr>
        <w:t xml:space="preserve"> que</w:t>
      </w:r>
      <w:r w:rsidR="00540D2A" w:rsidRPr="00D5464D">
        <w:rPr>
          <w:rFonts w:eastAsia="Batang" w:cs="Times"/>
          <w:szCs w:val="24"/>
          <w:lang w:val="pt-BR" w:eastAsia="es-ES"/>
        </w:rPr>
        <w:t>,</w:t>
      </w:r>
      <w:r w:rsidR="00470ADC" w:rsidRPr="00D5464D">
        <w:rPr>
          <w:rFonts w:eastAsia="Batang" w:cs="Times"/>
          <w:szCs w:val="24"/>
          <w:lang w:val="pt-BR" w:eastAsia="es-ES"/>
        </w:rPr>
        <w:t xml:space="preserve"> em certa</w:t>
      </w:r>
      <w:r w:rsidR="000A52D5" w:rsidRPr="00D5464D">
        <w:rPr>
          <w:rFonts w:eastAsia="Batang" w:cs="Times"/>
          <w:szCs w:val="24"/>
          <w:lang w:val="pt-BR" w:eastAsia="es-ES"/>
        </w:rPr>
        <w:t xml:space="preserve">s </w:t>
      </w:r>
      <w:r w:rsidR="00470ADC" w:rsidRPr="00D5464D">
        <w:rPr>
          <w:rFonts w:eastAsia="Batang" w:cs="Times"/>
          <w:szCs w:val="24"/>
          <w:lang w:val="pt-BR" w:eastAsia="es-ES"/>
        </w:rPr>
        <w:t>circunstâncias</w:t>
      </w:r>
      <w:r w:rsidR="00540D2A" w:rsidRPr="00D5464D">
        <w:rPr>
          <w:rFonts w:eastAsia="Batang" w:cs="Times"/>
          <w:szCs w:val="24"/>
          <w:lang w:val="pt-BR" w:eastAsia="es-ES"/>
        </w:rPr>
        <w:t>,</w:t>
      </w:r>
      <w:r w:rsidR="002C330E" w:rsidRPr="00D5464D">
        <w:rPr>
          <w:rFonts w:eastAsia="Batang" w:cs="Times"/>
          <w:szCs w:val="24"/>
          <w:lang w:val="pt-BR" w:eastAsia="es-ES"/>
        </w:rPr>
        <w:t xml:space="preserve"> a </w:t>
      </w:r>
      <w:r w:rsidR="000A52D5" w:rsidRPr="00D5464D">
        <w:rPr>
          <w:rFonts w:eastAsia="Batang" w:cs="Times"/>
          <w:szCs w:val="24"/>
          <w:lang w:val="pt-BR" w:eastAsia="es-ES"/>
        </w:rPr>
        <w:t xml:space="preserve">Corte </w:t>
      </w:r>
      <w:r w:rsidR="00230C71" w:rsidRPr="00D5464D">
        <w:rPr>
          <w:rFonts w:eastAsia="Batang" w:cs="Times"/>
          <w:szCs w:val="24"/>
          <w:lang w:val="pt-BR" w:eastAsia="es-ES"/>
        </w:rPr>
        <w:t>analisou</w:t>
      </w:r>
      <w:r w:rsidR="000A52D5" w:rsidRPr="00D5464D">
        <w:rPr>
          <w:rFonts w:eastAsia="Batang" w:cs="Times"/>
          <w:szCs w:val="24"/>
          <w:lang w:val="pt-BR" w:eastAsia="es-ES"/>
        </w:rPr>
        <w:t xml:space="preserve"> aspectos atinentes</w:t>
      </w:r>
      <w:r w:rsidR="00E045D9" w:rsidRPr="00D5464D">
        <w:rPr>
          <w:rFonts w:eastAsia="Batang" w:cs="Times"/>
          <w:szCs w:val="24"/>
          <w:lang w:val="pt-BR" w:eastAsia="es-ES"/>
        </w:rPr>
        <w:t xml:space="preserve"> aos </w:t>
      </w:r>
      <w:r w:rsidR="00470ADC" w:rsidRPr="00D5464D">
        <w:rPr>
          <w:rFonts w:eastAsia="Batang" w:cs="Times"/>
          <w:szCs w:val="24"/>
          <w:lang w:val="pt-BR" w:eastAsia="es-ES"/>
        </w:rPr>
        <w:t>direito</w:t>
      </w:r>
      <w:r w:rsidR="000A52D5" w:rsidRPr="00D5464D">
        <w:rPr>
          <w:rFonts w:eastAsia="Batang" w:cs="Times"/>
          <w:szCs w:val="24"/>
          <w:lang w:val="pt-BR" w:eastAsia="es-ES"/>
        </w:rPr>
        <w:t xml:space="preserve">s </w:t>
      </w:r>
      <w:r w:rsidR="00470ADC" w:rsidRPr="00D5464D">
        <w:rPr>
          <w:rFonts w:eastAsia="Batang" w:cs="Times"/>
          <w:szCs w:val="24"/>
          <w:lang w:val="pt-BR" w:eastAsia="es-ES"/>
        </w:rPr>
        <w:t>econômic</w:t>
      </w:r>
      <w:r w:rsidR="000A52D5" w:rsidRPr="00D5464D">
        <w:rPr>
          <w:rFonts w:eastAsia="Batang" w:cs="Times"/>
          <w:szCs w:val="24"/>
          <w:lang w:val="pt-BR" w:eastAsia="es-ES"/>
        </w:rPr>
        <w:t xml:space="preserve">os, </w:t>
      </w:r>
      <w:r w:rsidR="002C330E" w:rsidRPr="00D5464D">
        <w:rPr>
          <w:rFonts w:eastAsia="Batang" w:cs="Times"/>
          <w:szCs w:val="24"/>
          <w:lang w:val="pt-BR" w:eastAsia="es-ES"/>
        </w:rPr>
        <w:t>sociais</w:t>
      </w:r>
      <w:r w:rsidR="00E045D9" w:rsidRPr="00D5464D">
        <w:rPr>
          <w:rFonts w:eastAsia="Batang" w:cs="Times"/>
          <w:szCs w:val="24"/>
          <w:lang w:val="pt-BR" w:eastAsia="es-ES"/>
        </w:rPr>
        <w:t xml:space="preserve"> e </w:t>
      </w:r>
      <w:r w:rsidR="00470ADC" w:rsidRPr="00D5464D">
        <w:rPr>
          <w:rFonts w:eastAsia="Batang" w:cs="Times"/>
          <w:szCs w:val="24"/>
          <w:lang w:val="pt-BR" w:eastAsia="es-ES"/>
        </w:rPr>
        <w:t>culturais</w:t>
      </w:r>
      <w:r w:rsidR="000A52D5" w:rsidRPr="00D5464D">
        <w:rPr>
          <w:rFonts w:eastAsia="Batang" w:cs="Times"/>
          <w:szCs w:val="24"/>
          <w:lang w:val="pt-BR" w:eastAsia="es-ES"/>
        </w:rPr>
        <w:t xml:space="preserve"> para</w:t>
      </w:r>
      <w:r w:rsidR="00E045D9" w:rsidRPr="00D5464D">
        <w:rPr>
          <w:rFonts w:eastAsia="Batang" w:cs="Times"/>
          <w:szCs w:val="24"/>
          <w:lang w:val="pt-BR" w:eastAsia="es-ES"/>
        </w:rPr>
        <w:t xml:space="preserve"> um</w:t>
      </w:r>
      <w:r w:rsidR="00540D2A" w:rsidRPr="00D5464D">
        <w:rPr>
          <w:rFonts w:eastAsia="Batang" w:cs="Times"/>
          <w:szCs w:val="24"/>
          <w:lang w:val="pt-BR" w:eastAsia="es-ES"/>
        </w:rPr>
        <w:t>a</w:t>
      </w:r>
      <w:r w:rsidR="00E045D9" w:rsidRPr="00D5464D">
        <w:rPr>
          <w:rFonts w:eastAsia="Batang" w:cs="Times"/>
          <w:szCs w:val="24"/>
          <w:lang w:val="pt-BR" w:eastAsia="es-ES"/>
        </w:rPr>
        <w:t xml:space="preserve"> </w:t>
      </w:r>
      <w:r w:rsidR="002C330E" w:rsidRPr="00D5464D">
        <w:rPr>
          <w:rFonts w:eastAsia="Batang" w:cs="Times"/>
          <w:szCs w:val="24"/>
          <w:lang w:val="pt-BR" w:eastAsia="es-ES"/>
        </w:rPr>
        <w:t>melhor</w:t>
      </w:r>
      <w:r w:rsidR="000A52D5" w:rsidRPr="00D5464D">
        <w:rPr>
          <w:rFonts w:eastAsia="Batang" w:cs="Times"/>
          <w:szCs w:val="24"/>
          <w:lang w:val="pt-BR" w:eastAsia="es-ES"/>
        </w:rPr>
        <w:t xml:space="preserve"> </w:t>
      </w:r>
      <w:r w:rsidR="00470ADC" w:rsidRPr="00D5464D">
        <w:rPr>
          <w:rFonts w:eastAsia="Batang" w:cs="Times"/>
          <w:szCs w:val="24"/>
          <w:lang w:val="pt-BR" w:eastAsia="es-ES"/>
        </w:rPr>
        <w:t xml:space="preserve">análise das </w:t>
      </w:r>
      <w:r w:rsidR="000A52D5" w:rsidRPr="00D5464D">
        <w:rPr>
          <w:rFonts w:eastAsia="Batang" w:cs="Times"/>
          <w:szCs w:val="24"/>
          <w:lang w:val="pt-BR" w:eastAsia="es-ES"/>
        </w:rPr>
        <w:t>viola</w:t>
      </w:r>
      <w:r w:rsidR="00470ADC" w:rsidRPr="00D5464D">
        <w:rPr>
          <w:rFonts w:eastAsia="Batang" w:cs="Times"/>
          <w:szCs w:val="24"/>
          <w:lang w:val="pt-BR" w:eastAsia="es-ES"/>
        </w:rPr>
        <w:t>ções dos artigo</w:t>
      </w:r>
      <w:r w:rsidR="000A52D5" w:rsidRPr="00D5464D">
        <w:rPr>
          <w:rFonts w:eastAsia="Batang" w:cs="Times"/>
          <w:szCs w:val="24"/>
          <w:lang w:val="pt-BR" w:eastAsia="es-ES"/>
        </w:rPr>
        <w:t>s 4, 5</w:t>
      </w:r>
      <w:r w:rsidR="00E045D9" w:rsidRPr="00D5464D">
        <w:rPr>
          <w:rFonts w:eastAsia="Batang" w:cs="Times"/>
          <w:szCs w:val="24"/>
          <w:lang w:val="pt-BR" w:eastAsia="es-ES"/>
        </w:rPr>
        <w:t xml:space="preserve"> e </w:t>
      </w:r>
      <w:r w:rsidR="000A52D5" w:rsidRPr="00D5464D">
        <w:rPr>
          <w:rFonts w:eastAsia="Batang" w:cs="Times"/>
          <w:szCs w:val="24"/>
          <w:lang w:val="pt-BR" w:eastAsia="es-ES"/>
        </w:rPr>
        <w:t>19</w:t>
      </w:r>
      <w:r w:rsidR="00470ADC" w:rsidRPr="00D5464D">
        <w:rPr>
          <w:rFonts w:eastAsia="Batang" w:cs="Times"/>
          <w:szCs w:val="24"/>
          <w:lang w:val="pt-BR" w:eastAsia="es-ES"/>
        </w:rPr>
        <w:t xml:space="preserve"> da </w:t>
      </w:r>
      <w:r w:rsidR="000A52D5" w:rsidRPr="00D5464D">
        <w:rPr>
          <w:rFonts w:eastAsia="Batang" w:cs="Times"/>
          <w:szCs w:val="24"/>
          <w:lang w:val="pt-BR" w:eastAsia="es-ES"/>
        </w:rPr>
        <w:t>Conven</w:t>
      </w:r>
      <w:r w:rsidR="00470ADC" w:rsidRPr="00D5464D">
        <w:rPr>
          <w:rFonts w:eastAsia="Batang" w:cs="Times"/>
          <w:szCs w:val="24"/>
          <w:lang w:val="pt-BR" w:eastAsia="es-ES"/>
        </w:rPr>
        <w:t>ção</w:t>
      </w:r>
      <w:r w:rsidR="000A52D5" w:rsidRPr="00D5464D">
        <w:rPr>
          <w:rFonts w:eastAsia="Batang" w:cs="Times"/>
          <w:szCs w:val="24"/>
          <w:lang w:val="pt-BR" w:eastAsia="es-ES"/>
        </w:rPr>
        <w:t xml:space="preserve">. </w:t>
      </w:r>
      <w:r w:rsidR="00350187" w:rsidRPr="00D5464D">
        <w:rPr>
          <w:rFonts w:eastAsia="Batang" w:cs="Times"/>
          <w:szCs w:val="24"/>
          <w:lang w:val="pt-BR" w:eastAsia="es-ES"/>
        </w:rPr>
        <w:t xml:space="preserve">Além disso, </w:t>
      </w:r>
      <w:r w:rsidR="002C330E" w:rsidRPr="00D5464D">
        <w:rPr>
          <w:rFonts w:eastAsia="Batang" w:cs="Times"/>
          <w:szCs w:val="24"/>
          <w:lang w:val="pt-BR" w:eastAsia="es-ES"/>
        </w:rPr>
        <w:t>solicitaram</w:t>
      </w:r>
      <w:r w:rsidR="000A52D5" w:rsidRPr="00D5464D">
        <w:rPr>
          <w:rFonts w:eastAsia="Batang" w:cs="Times"/>
          <w:szCs w:val="24"/>
          <w:lang w:val="pt-BR" w:eastAsia="es-ES"/>
        </w:rPr>
        <w:t xml:space="preserve"> que esta </w:t>
      </w:r>
      <w:r w:rsidR="00470ADC" w:rsidRPr="00D5464D">
        <w:rPr>
          <w:rFonts w:eastAsia="Batang" w:cs="Times"/>
          <w:szCs w:val="24"/>
          <w:lang w:val="pt-BR" w:eastAsia="es-ES"/>
        </w:rPr>
        <w:t>exceção</w:t>
      </w:r>
      <w:r w:rsidR="000A52D5" w:rsidRPr="00D5464D">
        <w:rPr>
          <w:rFonts w:eastAsia="Batang" w:cs="Times"/>
          <w:szCs w:val="24"/>
          <w:lang w:val="pt-BR" w:eastAsia="es-ES"/>
        </w:rPr>
        <w:t xml:space="preserve"> preliminar </w:t>
      </w:r>
      <w:r w:rsidR="00540D2A" w:rsidRPr="00D5464D">
        <w:rPr>
          <w:rFonts w:eastAsia="Batang" w:cs="Times"/>
          <w:szCs w:val="24"/>
          <w:lang w:val="pt-BR" w:eastAsia="es-ES"/>
        </w:rPr>
        <w:t xml:space="preserve">seja rejeitada porque não foi </w:t>
      </w:r>
      <w:r w:rsidR="000A52D5" w:rsidRPr="00D5464D">
        <w:rPr>
          <w:rFonts w:eastAsia="Batang" w:cs="Times"/>
          <w:szCs w:val="24"/>
          <w:lang w:val="pt-BR" w:eastAsia="es-ES"/>
        </w:rPr>
        <w:t>reclamad</w:t>
      </w:r>
      <w:r w:rsidR="00540D2A" w:rsidRPr="00D5464D">
        <w:rPr>
          <w:rFonts w:eastAsia="Batang" w:cs="Times"/>
          <w:szCs w:val="24"/>
          <w:lang w:val="pt-BR" w:eastAsia="es-ES"/>
        </w:rPr>
        <w:t>a</w:t>
      </w:r>
      <w:r w:rsidR="002C330E" w:rsidRPr="00D5464D">
        <w:rPr>
          <w:rFonts w:eastAsia="Batang" w:cs="Times"/>
          <w:szCs w:val="24"/>
          <w:lang w:val="pt-BR" w:eastAsia="es-ES"/>
        </w:rPr>
        <w:t xml:space="preserve"> </w:t>
      </w:r>
      <w:r w:rsidR="00540D2A" w:rsidRPr="00D5464D">
        <w:rPr>
          <w:rFonts w:eastAsia="Batang" w:cs="Times"/>
          <w:szCs w:val="24"/>
          <w:lang w:val="pt-BR" w:eastAsia="es-ES"/>
        </w:rPr>
        <w:t>um</w:t>
      </w:r>
      <w:r w:rsidR="002C330E" w:rsidRPr="00D5464D">
        <w:rPr>
          <w:rFonts w:eastAsia="Batang" w:cs="Times"/>
          <w:szCs w:val="24"/>
          <w:lang w:val="pt-BR" w:eastAsia="es-ES"/>
        </w:rPr>
        <w:t xml:space="preserve">a </w:t>
      </w:r>
      <w:r w:rsidR="000A52D5" w:rsidRPr="00D5464D">
        <w:rPr>
          <w:rFonts w:eastAsia="Batang" w:cs="Times"/>
          <w:szCs w:val="24"/>
          <w:lang w:val="pt-BR" w:eastAsia="es-ES"/>
        </w:rPr>
        <w:t>viola</w:t>
      </w:r>
      <w:r w:rsidR="00470ADC" w:rsidRPr="00D5464D">
        <w:rPr>
          <w:rFonts w:eastAsia="Batang" w:cs="Times"/>
          <w:szCs w:val="24"/>
          <w:lang w:val="pt-BR" w:eastAsia="es-ES"/>
        </w:rPr>
        <w:t>ção</w:t>
      </w:r>
      <w:r w:rsidR="000A52D5" w:rsidRPr="00D5464D">
        <w:rPr>
          <w:rFonts w:eastAsia="Batang" w:cs="Times"/>
          <w:szCs w:val="24"/>
          <w:lang w:val="pt-BR" w:eastAsia="es-ES"/>
        </w:rPr>
        <w:t xml:space="preserve"> específica</w:t>
      </w:r>
      <w:r w:rsidR="00470ADC" w:rsidRPr="00D5464D">
        <w:rPr>
          <w:rFonts w:eastAsia="Batang" w:cs="Times"/>
          <w:szCs w:val="24"/>
          <w:lang w:val="pt-BR" w:eastAsia="es-ES"/>
        </w:rPr>
        <w:t xml:space="preserve"> ao </w:t>
      </w:r>
      <w:r w:rsidR="000A52D5" w:rsidRPr="00D5464D">
        <w:rPr>
          <w:rFonts w:eastAsia="Batang" w:cs="Times"/>
          <w:szCs w:val="24"/>
          <w:lang w:val="pt-BR" w:eastAsia="es-ES"/>
        </w:rPr>
        <w:t xml:space="preserve">Protocolo de San Salvador. </w:t>
      </w:r>
    </w:p>
    <w:p w14:paraId="6DA1819E" w14:textId="77777777" w:rsidR="000A52D5" w:rsidRPr="00D5464D" w:rsidRDefault="000A52D5" w:rsidP="00140440">
      <w:pPr>
        <w:tabs>
          <w:tab w:val="clear" w:pos="4419"/>
          <w:tab w:val="clear" w:pos="8838"/>
        </w:tabs>
        <w:jc w:val="both"/>
        <w:rPr>
          <w:rFonts w:eastAsia="Batang" w:cs="Times"/>
          <w:szCs w:val="24"/>
          <w:lang w:val="pt-BR" w:eastAsia="es-ES"/>
        </w:rPr>
      </w:pPr>
    </w:p>
    <w:p w14:paraId="67F67B50" w14:textId="27193FE8" w:rsidR="000A52D5" w:rsidRPr="00D5464D" w:rsidRDefault="00C374F2" w:rsidP="000A20C1">
      <w:pPr>
        <w:pStyle w:val="Ttulo3"/>
        <w:rPr>
          <w:lang w:val="pt-BR" w:eastAsia="es-ES"/>
        </w:rPr>
      </w:pPr>
      <w:bookmarkStart w:id="143" w:name="_Toc460432983"/>
      <w:bookmarkStart w:id="144" w:name="_Toc460441914"/>
      <w:bookmarkStart w:id="145" w:name="_Toc462750734"/>
      <w:bookmarkStart w:id="146" w:name="_Toc462751058"/>
      <w:bookmarkStart w:id="147" w:name="_Toc464813910"/>
      <w:bookmarkStart w:id="148" w:name="_Toc468433871"/>
      <w:r w:rsidRPr="00D5464D">
        <w:rPr>
          <w:lang w:val="pt-BR" w:eastAsia="es-ES"/>
        </w:rPr>
        <w:t>G</w:t>
      </w:r>
      <w:r w:rsidR="000A52D5" w:rsidRPr="00D5464D">
        <w:rPr>
          <w:lang w:val="pt-BR" w:eastAsia="es-ES"/>
        </w:rPr>
        <w:t>.2. Considera</w:t>
      </w:r>
      <w:r w:rsidR="00470ADC" w:rsidRPr="00D5464D">
        <w:rPr>
          <w:lang w:val="pt-BR" w:eastAsia="es-ES"/>
        </w:rPr>
        <w:t xml:space="preserve">ções da </w:t>
      </w:r>
      <w:r w:rsidR="000A52D5" w:rsidRPr="00D5464D">
        <w:rPr>
          <w:lang w:val="pt-BR" w:eastAsia="es-ES"/>
        </w:rPr>
        <w:t>Corte</w:t>
      </w:r>
      <w:bookmarkEnd w:id="143"/>
      <w:bookmarkEnd w:id="144"/>
      <w:bookmarkEnd w:id="145"/>
      <w:bookmarkEnd w:id="146"/>
      <w:bookmarkEnd w:id="147"/>
      <w:bookmarkEnd w:id="148"/>
    </w:p>
    <w:p w14:paraId="01037A50" w14:textId="77777777" w:rsidR="00D65024" w:rsidRPr="00D5464D" w:rsidRDefault="00D65024" w:rsidP="00D65024">
      <w:pPr>
        <w:tabs>
          <w:tab w:val="clear" w:pos="4419"/>
          <w:tab w:val="clear" w:pos="8838"/>
        </w:tabs>
        <w:jc w:val="both"/>
        <w:rPr>
          <w:rFonts w:eastAsia="Batang" w:cs="Times"/>
          <w:szCs w:val="24"/>
          <w:lang w:val="pt-BR" w:eastAsia="es-ES"/>
        </w:rPr>
      </w:pPr>
    </w:p>
    <w:p w14:paraId="05878FF8" w14:textId="71D547B3" w:rsidR="000A52D5" w:rsidRPr="00D5464D" w:rsidRDefault="00470AD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A </w:t>
      </w:r>
      <w:r w:rsidR="000A52D5" w:rsidRPr="00D5464D">
        <w:rPr>
          <w:rFonts w:eastAsia="Batang" w:cs="Times"/>
          <w:szCs w:val="24"/>
          <w:lang w:val="pt-BR" w:eastAsia="es-ES"/>
        </w:rPr>
        <w:t xml:space="preserve">Corte considera que </w:t>
      </w:r>
      <w:r w:rsidR="00540D2A" w:rsidRPr="00D5464D">
        <w:rPr>
          <w:rFonts w:eastAsia="Batang" w:cs="Times"/>
          <w:szCs w:val="24"/>
          <w:lang w:val="pt-BR" w:eastAsia="es-ES"/>
        </w:rPr>
        <w:t xml:space="preserve">a eventual violação de disposições do Protocolo de San Salvador </w:t>
      </w:r>
      <w:r w:rsidR="00737270" w:rsidRPr="00D5464D">
        <w:rPr>
          <w:rFonts w:eastAsia="Batang" w:cs="Times"/>
          <w:szCs w:val="24"/>
          <w:lang w:val="pt-BR" w:eastAsia="es-ES"/>
        </w:rPr>
        <w:t>não é</w:t>
      </w:r>
      <w:r w:rsidRPr="00D5464D">
        <w:rPr>
          <w:rFonts w:eastAsia="Batang" w:cs="Times"/>
          <w:szCs w:val="24"/>
          <w:lang w:val="pt-BR" w:eastAsia="es-ES"/>
        </w:rPr>
        <w:t xml:space="preserve"> </w:t>
      </w:r>
      <w:r w:rsidR="000A52D5" w:rsidRPr="00D5464D">
        <w:rPr>
          <w:rFonts w:eastAsia="Batang" w:cs="Times"/>
          <w:szCs w:val="24"/>
          <w:lang w:val="pt-BR" w:eastAsia="es-ES"/>
        </w:rPr>
        <w:t xml:space="preserve">objeto </w:t>
      </w:r>
      <w:r w:rsidRPr="00D5464D">
        <w:rPr>
          <w:rFonts w:eastAsia="Batang" w:cs="Times"/>
          <w:szCs w:val="24"/>
          <w:lang w:val="pt-BR" w:eastAsia="es-ES"/>
        </w:rPr>
        <w:t xml:space="preserve">do </w:t>
      </w:r>
      <w:r w:rsidR="002C330E" w:rsidRPr="00D5464D">
        <w:rPr>
          <w:rFonts w:eastAsia="Batang" w:cs="Times"/>
          <w:szCs w:val="24"/>
          <w:lang w:val="pt-BR" w:eastAsia="es-ES"/>
        </w:rPr>
        <w:t>litígio</w:t>
      </w:r>
      <w:r w:rsidR="000A52D5" w:rsidRPr="00D5464D">
        <w:rPr>
          <w:rFonts w:eastAsia="Batang" w:cs="Times"/>
          <w:szCs w:val="24"/>
          <w:lang w:val="pt-BR" w:eastAsia="es-ES"/>
        </w:rPr>
        <w:t xml:space="preserve">. </w:t>
      </w:r>
      <w:r w:rsidR="00350187" w:rsidRPr="00D5464D">
        <w:rPr>
          <w:rFonts w:eastAsia="Batang" w:cs="Times"/>
          <w:szCs w:val="24"/>
          <w:lang w:val="pt-BR" w:eastAsia="es-ES"/>
        </w:rPr>
        <w:t xml:space="preserve">Além disso, </w:t>
      </w:r>
      <w:r w:rsidR="002C330E" w:rsidRPr="00D5464D">
        <w:rPr>
          <w:rFonts w:eastAsia="Batang" w:cs="Times"/>
          <w:szCs w:val="24"/>
          <w:lang w:val="pt-BR" w:eastAsia="es-ES"/>
        </w:rPr>
        <w:t xml:space="preserve">a </w:t>
      </w:r>
      <w:r w:rsidR="000A52D5" w:rsidRPr="00D5464D">
        <w:rPr>
          <w:rFonts w:eastAsia="Batang" w:cs="Times"/>
          <w:szCs w:val="24"/>
          <w:lang w:val="pt-BR" w:eastAsia="es-ES"/>
        </w:rPr>
        <w:t>viola</w:t>
      </w:r>
      <w:r w:rsidRPr="00D5464D">
        <w:rPr>
          <w:rFonts w:eastAsia="Batang" w:cs="Times"/>
          <w:szCs w:val="24"/>
          <w:lang w:val="pt-BR" w:eastAsia="es-ES"/>
        </w:rPr>
        <w:t>ção</w:t>
      </w:r>
      <w:r w:rsidR="000A52D5" w:rsidRPr="00D5464D">
        <w:rPr>
          <w:rFonts w:eastAsia="Batang" w:cs="Times"/>
          <w:szCs w:val="24"/>
          <w:lang w:val="pt-BR" w:eastAsia="es-ES"/>
        </w:rPr>
        <w:t xml:space="preserve"> o</w:t>
      </w:r>
      <w:r w:rsidR="00540D2A" w:rsidRPr="00D5464D">
        <w:rPr>
          <w:rFonts w:eastAsia="Batang" w:cs="Times"/>
          <w:szCs w:val="24"/>
          <w:lang w:val="pt-BR" w:eastAsia="es-ES"/>
        </w:rPr>
        <w:t xml:space="preserve">u não </w:t>
      </w:r>
      <w:r w:rsidRPr="00D5464D">
        <w:rPr>
          <w:rFonts w:eastAsia="Batang" w:cs="Times"/>
          <w:szCs w:val="24"/>
          <w:lang w:val="pt-BR" w:eastAsia="es-ES"/>
        </w:rPr>
        <w:t>ao artigo</w:t>
      </w:r>
      <w:r w:rsidR="000A52D5" w:rsidRPr="00D5464D">
        <w:rPr>
          <w:rFonts w:eastAsia="Batang" w:cs="Times"/>
          <w:szCs w:val="24"/>
          <w:lang w:val="pt-BR" w:eastAsia="es-ES"/>
        </w:rPr>
        <w:t xml:space="preserve"> 6</w:t>
      </w:r>
      <w:r w:rsidRPr="00D5464D">
        <w:rPr>
          <w:rFonts w:eastAsia="Batang" w:cs="Times"/>
          <w:szCs w:val="24"/>
          <w:lang w:val="pt-BR" w:eastAsia="es-ES"/>
        </w:rPr>
        <w:t xml:space="preserve"> da </w:t>
      </w:r>
      <w:r w:rsidR="000A52D5" w:rsidRPr="00D5464D">
        <w:rPr>
          <w:rFonts w:eastAsia="Batang" w:cs="Times"/>
          <w:szCs w:val="24"/>
          <w:lang w:val="pt-BR" w:eastAsia="es-ES"/>
        </w:rPr>
        <w:t>Conven</w:t>
      </w:r>
      <w:r w:rsidRPr="00D5464D">
        <w:rPr>
          <w:rFonts w:eastAsia="Batang" w:cs="Times"/>
          <w:szCs w:val="24"/>
          <w:lang w:val="pt-BR" w:eastAsia="es-ES"/>
        </w:rPr>
        <w:t>ção</w:t>
      </w:r>
      <w:r w:rsidR="000A52D5" w:rsidRPr="00D5464D">
        <w:rPr>
          <w:rFonts w:eastAsia="Batang" w:cs="Times"/>
          <w:szCs w:val="24"/>
          <w:lang w:val="pt-BR" w:eastAsia="es-ES"/>
        </w:rPr>
        <w:t xml:space="preserve"> corresponde</w:t>
      </w:r>
      <w:r w:rsidRPr="00D5464D">
        <w:rPr>
          <w:rFonts w:eastAsia="Batang" w:cs="Times"/>
          <w:szCs w:val="24"/>
          <w:lang w:val="pt-BR" w:eastAsia="es-ES"/>
        </w:rPr>
        <w:t xml:space="preserve"> ao mérito</w:t>
      </w:r>
      <w:r w:rsidR="00E045D9" w:rsidRPr="00D5464D">
        <w:rPr>
          <w:rFonts w:eastAsia="Batang" w:cs="Times"/>
          <w:szCs w:val="24"/>
          <w:lang w:val="pt-BR" w:eastAsia="es-ES"/>
        </w:rPr>
        <w:t xml:space="preserve"> e </w:t>
      </w:r>
      <w:r w:rsidR="00737270" w:rsidRPr="00D5464D">
        <w:rPr>
          <w:rFonts w:eastAsia="Batang" w:cs="Times"/>
          <w:szCs w:val="24"/>
          <w:lang w:val="pt-BR" w:eastAsia="es-ES"/>
        </w:rPr>
        <w:t>não é</w:t>
      </w:r>
      <w:r w:rsidRPr="00D5464D">
        <w:rPr>
          <w:rFonts w:eastAsia="Batang" w:cs="Times"/>
          <w:szCs w:val="24"/>
          <w:lang w:val="pt-BR" w:eastAsia="es-ES"/>
        </w:rPr>
        <w:t xml:space="preserve"> </w:t>
      </w:r>
      <w:r w:rsidR="002C330E" w:rsidRPr="00D5464D">
        <w:rPr>
          <w:rFonts w:eastAsia="Batang" w:cs="Times"/>
          <w:szCs w:val="24"/>
          <w:lang w:val="pt-BR" w:eastAsia="es-ES"/>
        </w:rPr>
        <w:t xml:space="preserve">matéria </w:t>
      </w:r>
      <w:r w:rsidR="00B93681" w:rsidRPr="00D5464D">
        <w:rPr>
          <w:rFonts w:eastAsia="Batang" w:cs="Times"/>
          <w:szCs w:val="24"/>
          <w:lang w:val="pt-BR" w:eastAsia="es-ES"/>
        </w:rPr>
        <w:t>de</w:t>
      </w:r>
      <w:r w:rsidR="000A52D5" w:rsidRPr="00D5464D">
        <w:rPr>
          <w:rFonts w:eastAsia="Batang" w:cs="Times"/>
          <w:szCs w:val="24"/>
          <w:lang w:val="pt-BR" w:eastAsia="es-ES"/>
        </w:rPr>
        <w:t xml:space="preserve"> </w:t>
      </w:r>
      <w:r w:rsidRPr="00D5464D">
        <w:rPr>
          <w:rFonts w:eastAsia="Batang" w:cs="Times"/>
          <w:szCs w:val="24"/>
          <w:lang w:val="pt-BR" w:eastAsia="es-ES"/>
        </w:rPr>
        <w:t>exceção</w:t>
      </w:r>
      <w:r w:rsidR="000A52D5" w:rsidRPr="00D5464D">
        <w:rPr>
          <w:rFonts w:eastAsia="Batang" w:cs="Times"/>
          <w:szCs w:val="24"/>
          <w:lang w:val="pt-BR" w:eastAsia="es-ES"/>
        </w:rPr>
        <w:t xml:space="preserve"> preliminar. </w:t>
      </w:r>
      <w:r w:rsidR="00350187" w:rsidRPr="00D5464D">
        <w:rPr>
          <w:rFonts w:eastAsia="Batang" w:cs="Times"/>
          <w:szCs w:val="24"/>
          <w:lang w:val="pt-BR" w:eastAsia="es-ES"/>
        </w:rPr>
        <w:t xml:space="preserve">Por isso, </w:t>
      </w:r>
      <w:r w:rsidR="002C330E" w:rsidRPr="00D5464D">
        <w:rPr>
          <w:rFonts w:eastAsia="Batang" w:cs="Times"/>
          <w:szCs w:val="24"/>
          <w:lang w:val="pt-BR" w:eastAsia="es-ES"/>
        </w:rPr>
        <w:t xml:space="preserve">a </w:t>
      </w:r>
      <w:r w:rsidR="000A52D5" w:rsidRPr="00D5464D">
        <w:rPr>
          <w:rFonts w:eastAsia="Batang" w:cs="Times"/>
          <w:szCs w:val="24"/>
          <w:lang w:val="pt-BR" w:eastAsia="es-ES"/>
        </w:rPr>
        <w:t xml:space="preserve">Corte </w:t>
      </w:r>
      <w:r w:rsidR="00540D2A" w:rsidRPr="00D5464D">
        <w:rPr>
          <w:rFonts w:eastAsia="Batang" w:cs="Times"/>
          <w:szCs w:val="24"/>
          <w:lang w:val="pt-BR" w:eastAsia="es-ES"/>
        </w:rPr>
        <w:t xml:space="preserve">rejeita </w:t>
      </w:r>
      <w:r w:rsidR="002C330E" w:rsidRPr="00D5464D">
        <w:rPr>
          <w:rFonts w:eastAsia="Batang" w:cs="Times"/>
          <w:szCs w:val="24"/>
          <w:lang w:val="pt-BR" w:eastAsia="es-ES"/>
        </w:rPr>
        <w:t xml:space="preserve">a </w:t>
      </w:r>
      <w:r w:rsidR="000A52D5" w:rsidRPr="00D5464D">
        <w:rPr>
          <w:rFonts w:eastAsia="Batang" w:cs="Times"/>
          <w:szCs w:val="24"/>
          <w:lang w:val="pt-BR" w:eastAsia="es-ES"/>
        </w:rPr>
        <w:t xml:space="preserve">presente </w:t>
      </w:r>
      <w:r w:rsidRPr="00D5464D">
        <w:rPr>
          <w:rFonts w:eastAsia="Batang" w:cs="Times"/>
          <w:szCs w:val="24"/>
          <w:lang w:val="pt-BR" w:eastAsia="es-ES"/>
        </w:rPr>
        <w:t>exceção</w:t>
      </w:r>
      <w:r w:rsidR="000A52D5" w:rsidRPr="00D5464D">
        <w:rPr>
          <w:rFonts w:eastAsia="Batang" w:cs="Times"/>
          <w:szCs w:val="24"/>
          <w:lang w:val="pt-BR" w:eastAsia="es-ES"/>
        </w:rPr>
        <w:t xml:space="preserve"> preliminar.</w:t>
      </w:r>
      <w:r w:rsidR="00FF1290" w:rsidRPr="00D5464D">
        <w:rPr>
          <w:rFonts w:eastAsia="Batang" w:cs="Times"/>
          <w:szCs w:val="24"/>
          <w:lang w:val="pt-BR" w:eastAsia="es-ES"/>
        </w:rPr>
        <w:t xml:space="preserve"> </w:t>
      </w:r>
    </w:p>
    <w:p w14:paraId="3CAAC149" w14:textId="77777777" w:rsidR="000A52D5" w:rsidRPr="00D5464D" w:rsidRDefault="000A52D5" w:rsidP="00140440">
      <w:pPr>
        <w:tabs>
          <w:tab w:val="clear" w:pos="4419"/>
          <w:tab w:val="clear" w:pos="8838"/>
        </w:tabs>
        <w:jc w:val="both"/>
        <w:rPr>
          <w:rFonts w:eastAsia="Batang" w:cs="Times"/>
          <w:b/>
          <w:i/>
          <w:szCs w:val="24"/>
          <w:lang w:val="pt-BR" w:eastAsia="es-ES"/>
        </w:rPr>
      </w:pPr>
      <w:r w:rsidRPr="00D5464D">
        <w:rPr>
          <w:rFonts w:eastAsia="Batang" w:cs="Times"/>
          <w:szCs w:val="24"/>
          <w:lang w:val="pt-BR" w:eastAsia="es-ES"/>
        </w:rPr>
        <w:t xml:space="preserve"> </w:t>
      </w:r>
    </w:p>
    <w:p w14:paraId="7DC5DD17" w14:textId="34C411FE" w:rsidR="000A52D5" w:rsidRPr="00D5464D" w:rsidRDefault="000A52D5" w:rsidP="00F306D7">
      <w:pPr>
        <w:pStyle w:val="Ttulo2"/>
        <w:numPr>
          <w:ilvl w:val="0"/>
          <w:numId w:val="15"/>
        </w:numPr>
        <w:rPr>
          <w:rFonts w:eastAsia="Batang"/>
          <w:lang w:val="pt-BR" w:eastAsia="es-ES"/>
        </w:rPr>
      </w:pPr>
      <w:bookmarkStart w:id="149" w:name="_Toc468433872"/>
      <w:r w:rsidRPr="00D5464D">
        <w:rPr>
          <w:rFonts w:eastAsia="Batang"/>
          <w:lang w:val="pt-BR" w:eastAsia="es-ES"/>
        </w:rPr>
        <w:t xml:space="preserve">Alegada falta de </w:t>
      </w:r>
      <w:r w:rsidR="00470ADC" w:rsidRPr="00D5464D">
        <w:rPr>
          <w:rFonts w:eastAsia="Batang"/>
          <w:lang w:val="pt-BR" w:eastAsia="es-ES"/>
        </w:rPr>
        <w:t>esgotamento</w:t>
      </w:r>
      <w:r w:rsidRPr="00D5464D">
        <w:rPr>
          <w:rFonts w:eastAsia="Batang"/>
          <w:lang w:val="pt-BR" w:eastAsia="es-ES"/>
        </w:rPr>
        <w:t xml:space="preserve"> </w:t>
      </w:r>
      <w:r w:rsidR="002C330E" w:rsidRPr="00D5464D">
        <w:rPr>
          <w:rFonts w:eastAsia="Batang"/>
          <w:lang w:val="pt-BR" w:eastAsia="es-ES"/>
        </w:rPr>
        <w:t>prévio</w:t>
      </w:r>
      <w:r w:rsidR="00470ADC" w:rsidRPr="00D5464D">
        <w:rPr>
          <w:rFonts w:eastAsia="Batang"/>
          <w:lang w:val="pt-BR" w:eastAsia="es-ES"/>
        </w:rPr>
        <w:t xml:space="preserve"> dos </w:t>
      </w:r>
      <w:r w:rsidRPr="00D5464D">
        <w:rPr>
          <w:rFonts w:eastAsia="Batang"/>
          <w:lang w:val="pt-BR" w:eastAsia="es-ES"/>
        </w:rPr>
        <w:t>recursos internos</w:t>
      </w:r>
      <w:bookmarkEnd w:id="149"/>
    </w:p>
    <w:p w14:paraId="2ABFB7D0" w14:textId="77777777" w:rsidR="000A52D5" w:rsidRPr="00D5464D" w:rsidRDefault="000A52D5" w:rsidP="00140440">
      <w:pPr>
        <w:tabs>
          <w:tab w:val="clear" w:pos="4419"/>
          <w:tab w:val="clear" w:pos="8838"/>
        </w:tabs>
        <w:jc w:val="both"/>
        <w:rPr>
          <w:rFonts w:eastAsia="Batang" w:cs="Times"/>
          <w:b/>
          <w:szCs w:val="24"/>
          <w:lang w:val="pt-BR" w:eastAsia="es-ES"/>
        </w:rPr>
      </w:pPr>
    </w:p>
    <w:p w14:paraId="17FB752A" w14:textId="7D8C2F88" w:rsidR="000A52D5" w:rsidRPr="00D5464D" w:rsidRDefault="009C182B" w:rsidP="000A20C1">
      <w:pPr>
        <w:pStyle w:val="Ttulo3"/>
        <w:rPr>
          <w:lang w:val="pt-BR" w:eastAsia="es-ES"/>
        </w:rPr>
      </w:pPr>
      <w:bookmarkStart w:id="150" w:name="_Toc460432985"/>
      <w:bookmarkStart w:id="151" w:name="_Toc460441916"/>
      <w:bookmarkStart w:id="152" w:name="_Toc462750736"/>
      <w:bookmarkStart w:id="153" w:name="_Toc462751060"/>
      <w:bookmarkStart w:id="154" w:name="_Toc464813912"/>
      <w:bookmarkStart w:id="155" w:name="_Toc468433873"/>
      <w:r w:rsidRPr="00D5464D">
        <w:rPr>
          <w:lang w:val="pt-BR" w:eastAsia="es-ES"/>
        </w:rPr>
        <w:t>H</w:t>
      </w:r>
      <w:r w:rsidR="000A52D5" w:rsidRPr="00D5464D">
        <w:rPr>
          <w:lang w:val="pt-BR" w:eastAsia="es-ES"/>
        </w:rPr>
        <w:t xml:space="preserve">.1. </w:t>
      </w:r>
      <w:r w:rsidR="00470ADC" w:rsidRPr="00D5464D">
        <w:rPr>
          <w:lang w:val="pt-BR" w:eastAsia="es-ES"/>
        </w:rPr>
        <w:t>Alegações</w:t>
      </w:r>
      <w:r w:rsidR="00246E8D" w:rsidRPr="00D5464D">
        <w:rPr>
          <w:lang w:val="pt-BR" w:eastAsia="es-ES"/>
        </w:rPr>
        <w:t xml:space="preserve"> </w:t>
      </w:r>
      <w:r w:rsidR="00470ADC" w:rsidRPr="00D5464D">
        <w:rPr>
          <w:lang w:val="pt-BR" w:eastAsia="es-ES"/>
        </w:rPr>
        <w:t xml:space="preserve">do </w:t>
      </w:r>
      <w:r w:rsidR="00246E8D" w:rsidRPr="00D5464D">
        <w:rPr>
          <w:lang w:val="pt-BR" w:eastAsia="es-ES"/>
        </w:rPr>
        <w:t>Estado,</w:t>
      </w:r>
      <w:r w:rsidR="000A52D5" w:rsidRPr="00D5464D">
        <w:rPr>
          <w:lang w:val="pt-BR" w:eastAsia="es-ES"/>
        </w:rPr>
        <w:t xml:space="preserve"> observa</w:t>
      </w:r>
      <w:r w:rsidR="00470ADC" w:rsidRPr="00D5464D">
        <w:rPr>
          <w:lang w:val="pt-BR" w:eastAsia="es-ES"/>
        </w:rPr>
        <w:t>ções da Comissão</w:t>
      </w:r>
      <w:r w:rsidR="00E045D9" w:rsidRPr="00D5464D">
        <w:rPr>
          <w:lang w:val="pt-BR" w:eastAsia="es-ES"/>
        </w:rPr>
        <w:t xml:space="preserve"> e </w:t>
      </w:r>
      <w:r w:rsidR="00470ADC" w:rsidRPr="00D5464D">
        <w:rPr>
          <w:lang w:val="pt-BR" w:eastAsia="es-ES"/>
        </w:rPr>
        <w:t xml:space="preserve">dos </w:t>
      </w:r>
      <w:r w:rsidR="00EB1CE9" w:rsidRPr="00D5464D">
        <w:rPr>
          <w:lang w:val="pt-BR" w:eastAsia="es-ES"/>
        </w:rPr>
        <w:t>representante</w:t>
      </w:r>
      <w:r w:rsidR="000A52D5" w:rsidRPr="00D5464D">
        <w:rPr>
          <w:lang w:val="pt-BR" w:eastAsia="es-ES"/>
        </w:rPr>
        <w:t>s</w:t>
      </w:r>
      <w:bookmarkEnd w:id="150"/>
      <w:bookmarkEnd w:id="151"/>
      <w:bookmarkEnd w:id="152"/>
      <w:bookmarkEnd w:id="153"/>
      <w:bookmarkEnd w:id="154"/>
      <w:bookmarkEnd w:id="155"/>
    </w:p>
    <w:p w14:paraId="6AF30587" w14:textId="77777777" w:rsidR="00D65024" w:rsidRPr="00D5464D" w:rsidRDefault="00D65024" w:rsidP="00D65024">
      <w:pPr>
        <w:tabs>
          <w:tab w:val="clear" w:pos="4419"/>
          <w:tab w:val="clear" w:pos="8838"/>
        </w:tabs>
        <w:jc w:val="both"/>
        <w:rPr>
          <w:rFonts w:eastAsia="Batang" w:cs="Times"/>
          <w:szCs w:val="24"/>
          <w:lang w:val="pt-BR" w:eastAsia="es-ES"/>
        </w:rPr>
      </w:pPr>
    </w:p>
    <w:p w14:paraId="0AAF5D26" w14:textId="535FFBDB" w:rsidR="000A52D5" w:rsidRPr="00D5464D" w:rsidRDefault="00470AD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O </w:t>
      </w:r>
      <w:r w:rsidR="000A52D5" w:rsidRPr="00D5464D">
        <w:rPr>
          <w:rFonts w:eastAsia="Batang" w:cs="Times"/>
          <w:b/>
          <w:i/>
          <w:szCs w:val="24"/>
          <w:lang w:val="pt-BR" w:eastAsia="es-ES"/>
        </w:rPr>
        <w:t>Estado</w:t>
      </w:r>
      <w:r w:rsidR="000A52D5" w:rsidRPr="00D5464D">
        <w:rPr>
          <w:rFonts w:eastAsia="Batang" w:cs="Times"/>
          <w:szCs w:val="24"/>
          <w:lang w:val="pt-BR" w:eastAsia="es-ES"/>
        </w:rPr>
        <w:t xml:space="preserve"> </w:t>
      </w:r>
      <w:r w:rsidR="002C330E" w:rsidRPr="00D5464D">
        <w:rPr>
          <w:rFonts w:eastAsia="Batang" w:cs="Times"/>
          <w:szCs w:val="24"/>
          <w:lang w:val="pt-BR" w:eastAsia="es-ES"/>
        </w:rPr>
        <w:t>afirmou</w:t>
      </w:r>
      <w:r w:rsidR="000A52D5" w:rsidRPr="00D5464D">
        <w:rPr>
          <w:rFonts w:eastAsia="Batang" w:cs="Times"/>
          <w:szCs w:val="24"/>
          <w:lang w:val="pt-BR" w:eastAsia="es-ES"/>
        </w:rPr>
        <w:t xml:space="preserve"> que </w:t>
      </w:r>
      <w:r w:rsidR="005967F4" w:rsidRPr="00D5464D">
        <w:rPr>
          <w:rFonts w:eastAsia="Batang" w:cs="Times"/>
          <w:szCs w:val="24"/>
          <w:lang w:val="pt-BR" w:eastAsia="es-ES"/>
        </w:rPr>
        <w:t>deve ser concedida</w:t>
      </w:r>
      <w:r w:rsidR="00540D2A" w:rsidRPr="00D5464D">
        <w:rPr>
          <w:rFonts w:eastAsia="Batang" w:cs="Times"/>
          <w:szCs w:val="24"/>
          <w:lang w:val="pt-BR" w:eastAsia="es-ES"/>
        </w:rPr>
        <w:t xml:space="preserve"> </w:t>
      </w:r>
      <w:r w:rsidR="002C330E" w:rsidRPr="00D5464D">
        <w:rPr>
          <w:rFonts w:eastAsia="Batang" w:cs="Times"/>
          <w:szCs w:val="24"/>
          <w:lang w:val="pt-BR" w:eastAsia="es-ES"/>
        </w:rPr>
        <w:t xml:space="preserve">a oportunidade </w:t>
      </w:r>
      <w:r w:rsidR="00995CEC" w:rsidRPr="00D5464D">
        <w:rPr>
          <w:rFonts w:eastAsia="Batang" w:cs="Times"/>
          <w:szCs w:val="24"/>
          <w:lang w:val="pt-BR" w:eastAsia="es-ES"/>
        </w:rPr>
        <w:t>para que este promova</w:t>
      </w:r>
      <w:r w:rsidR="002C330E" w:rsidRPr="00D5464D">
        <w:rPr>
          <w:rFonts w:eastAsia="Batang" w:cs="Times"/>
          <w:szCs w:val="24"/>
          <w:lang w:val="pt-BR" w:eastAsia="es-ES"/>
        </w:rPr>
        <w:t xml:space="preserve"> os </w:t>
      </w:r>
      <w:r w:rsidR="000A52D5" w:rsidRPr="00D5464D">
        <w:rPr>
          <w:rFonts w:eastAsia="Batang" w:cs="Times"/>
          <w:szCs w:val="24"/>
          <w:lang w:val="pt-BR" w:eastAsia="es-ES"/>
        </w:rPr>
        <w:t xml:space="preserve">recursos internos </w:t>
      </w:r>
      <w:r w:rsidR="00995CEC" w:rsidRPr="00D5464D">
        <w:rPr>
          <w:rFonts w:eastAsia="Batang" w:cs="Times"/>
          <w:szCs w:val="24"/>
          <w:lang w:val="pt-BR" w:eastAsia="es-ES"/>
        </w:rPr>
        <w:t>voltados a</w:t>
      </w:r>
      <w:r w:rsidR="000A52D5" w:rsidRPr="00D5464D">
        <w:rPr>
          <w:rFonts w:eastAsia="Batang" w:cs="Times"/>
          <w:szCs w:val="24"/>
          <w:lang w:val="pt-BR" w:eastAsia="es-ES"/>
        </w:rPr>
        <w:t xml:space="preserve"> re</w:t>
      </w:r>
      <w:r w:rsidRPr="00D5464D">
        <w:rPr>
          <w:rFonts w:eastAsia="Batang" w:cs="Times"/>
          <w:szCs w:val="24"/>
          <w:lang w:val="pt-BR" w:eastAsia="es-ES"/>
        </w:rPr>
        <w:t>conhecer</w:t>
      </w:r>
      <w:r w:rsidR="00E045D9" w:rsidRPr="00D5464D">
        <w:rPr>
          <w:rFonts w:eastAsia="Batang" w:cs="Times"/>
          <w:szCs w:val="24"/>
          <w:lang w:val="pt-BR" w:eastAsia="es-ES"/>
        </w:rPr>
        <w:t xml:space="preserve"> e </w:t>
      </w:r>
      <w:r w:rsidR="000A52D5" w:rsidRPr="00D5464D">
        <w:rPr>
          <w:rFonts w:eastAsia="Batang" w:cs="Times"/>
          <w:szCs w:val="24"/>
          <w:lang w:val="pt-BR" w:eastAsia="es-ES"/>
        </w:rPr>
        <w:t>reparar</w:t>
      </w:r>
      <w:r w:rsidR="002C330E" w:rsidRPr="00D5464D">
        <w:rPr>
          <w:rFonts w:eastAsia="Batang" w:cs="Times"/>
          <w:szCs w:val="24"/>
          <w:lang w:val="pt-BR" w:eastAsia="es-ES"/>
        </w:rPr>
        <w:t xml:space="preserve"> os </w:t>
      </w:r>
      <w:r w:rsidR="000A52D5" w:rsidRPr="00D5464D">
        <w:rPr>
          <w:rFonts w:eastAsia="Batang" w:cs="Times"/>
          <w:szCs w:val="24"/>
          <w:lang w:val="pt-BR" w:eastAsia="es-ES"/>
        </w:rPr>
        <w:t>d</w:t>
      </w:r>
      <w:r w:rsidRPr="00D5464D">
        <w:rPr>
          <w:rFonts w:eastAsia="Batang" w:cs="Times"/>
          <w:szCs w:val="24"/>
          <w:lang w:val="pt-BR" w:eastAsia="es-ES"/>
        </w:rPr>
        <w:t>anos</w:t>
      </w:r>
      <w:r w:rsidR="000A52D5" w:rsidRPr="00D5464D">
        <w:rPr>
          <w:rFonts w:eastAsia="Batang" w:cs="Times"/>
          <w:szCs w:val="24"/>
          <w:lang w:val="pt-BR" w:eastAsia="es-ES"/>
        </w:rPr>
        <w:t xml:space="preserve"> causados</w:t>
      </w:r>
      <w:r w:rsidR="00E045D9" w:rsidRPr="00D5464D">
        <w:rPr>
          <w:rFonts w:eastAsia="Batang" w:cs="Times"/>
          <w:szCs w:val="24"/>
          <w:lang w:val="pt-BR" w:eastAsia="es-ES"/>
        </w:rPr>
        <w:t xml:space="preserve"> às vítima</w:t>
      </w:r>
      <w:r w:rsidR="000A52D5" w:rsidRPr="00D5464D">
        <w:rPr>
          <w:rFonts w:eastAsia="Batang" w:cs="Times"/>
          <w:szCs w:val="24"/>
          <w:lang w:val="pt-BR" w:eastAsia="es-ES"/>
        </w:rPr>
        <w:t>s</w:t>
      </w:r>
      <w:r w:rsidR="005D52FB" w:rsidRPr="00D5464D">
        <w:rPr>
          <w:rFonts w:eastAsia="Batang" w:cs="Times"/>
          <w:szCs w:val="24"/>
          <w:lang w:val="pt-BR" w:eastAsia="es-ES"/>
        </w:rPr>
        <w:t>,</w:t>
      </w:r>
      <w:r w:rsidR="002C330E" w:rsidRPr="00D5464D">
        <w:rPr>
          <w:rFonts w:eastAsia="Batang" w:cs="Times"/>
          <w:szCs w:val="24"/>
          <w:lang w:val="pt-BR" w:eastAsia="es-ES"/>
        </w:rPr>
        <w:t xml:space="preserve"> </w:t>
      </w:r>
      <w:r w:rsidR="00540D2A" w:rsidRPr="00D5464D">
        <w:rPr>
          <w:rFonts w:eastAsia="Batang" w:cs="Times"/>
          <w:szCs w:val="24"/>
          <w:lang w:val="pt-BR" w:eastAsia="es-ES"/>
        </w:rPr>
        <w:t xml:space="preserve">de modo </w:t>
      </w:r>
      <w:r w:rsidR="002C330E" w:rsidRPr="00D5464D">
        <w:rPr>
          <w:rFonts w:eastAsia="Batang" w:cs="Times"/>
          <w:szCs w:val="24"/>
          <w:lang w:val="pt-BR" w:eastAsia="es-ES"/>
        </w:rPr>
        <w:t>que a suposta</w:t>
      </w:r>
      <w:r w:rsidR="000A52D5" w:rsidRPr="00D5464D">
        <w:rPr>
          <w:rFonts w:eastAsia="Batang" w:cs="Times"/>
          <w:szCs w:val="24"/>
          <w:lang w:val="pt-BR" w:eastAsia="es-ES"/>
        </w:rPr>
        <w:t xml:space="preserve"> </w:t>
      </w:r>
      <w:r w:rsidR="00E045D9" w:rsidRPr="00D5464D">
        <w:rPr>
          <w:rFonts w:eastAsia="Batang" w:cs="Times"/>
          <w:szCs w:val="24"/>
          <w:lang w:val="pt-BR" w:eastAsia="es-ES"/>
        </w:rPr>
        <w:t>vítima</w:t>
      </w:r>
      <w:r w:rsidR="000A52D5" w:rsidRPr="00D5464D">
        <w:rPr>
          <w:rFonts w:eastAsia="Batang" w:cs="Times"/>
          <w:szCs w:val="24"/>
          <w:lang w:val="pt-BR" w:eastAsia="es-ES"/>
        </w:rPr>
        <w:t xml:space="preserve"> o</w:t>
      </w:r>
      <w:r w:rsidR="00540D2A" w:rsidRPr="00D5464D">
        <w:rPr>
          <w:rFonts w:eastAsia="Batang" w:cs="Times"/>
          <w:szCs w:val="24"/>
          <w:lang w:val="pt-BR" w:eastAsia="es-ES"/>
        </w:rPr>
        <w:t>u</w:t>
      </w:r>
      <w:r w:rsidR="00E045D9" w:rsidRPr="00D5464D">
        <w:rPr>
          <w:rFonts w:eastAsia="Batang" w:cs="Times"/>
          <w:szCs w:val="24"/>
          <w:lang w:val="pt-BR" w:eastAsia="es-ES"/>
        </w:rPr>
        <w:t xml:space="preserve"> seu </w:t>
      </w:r>
      <w:r w:rsidR="00EB1CE9" w:rsidRPr="00D5464D">
        <w:rPr>
          <w:rFonts w:eastAsia="Batang" w:cs="Times"/>
          <w:szCs w:val="24"/>
          <w:lang w:val="pt-BR" w:eastAsia="es-ES"/>
        </w:rPr>
        <w:t>representante</w:t>
      </w:r>
      <w:r w:rsidR="00E045D9" w:rsidRPr="00D5464D">
        <w:rPr>
          <w:rFonts w:eastAsia="Batang" w:cs="Times"/>
          <w:szCs w:val="24"/>
          <w:lang w:val="pt-BR" w:eastAsia="es-ES"/>
        </w:rPr>
        <w:t xml:space="preserve"> </w:t>
      </w:r>
      <w:r w:rsidR="00737270" w:rsidRPr="00D5464D">
        <w:rPr>
          <w:rFonts w:eastAsia="Batang" w:cs="Times"/>
          <w:szCs w:val="24"/>
          <w:lang w:val="pt-BR" w:eastAsia="es-ES"/>
        </w:rPr>
        <w:t xml:space="preserve">não </w:t>
      </w:r>
      <w:r w:rsidR="00230C71" w:rsidRPr="00D5464D">
        <w:rPr>
          <w:rFonts w:eastAsia="Batang" w:cs="Times"/>
          <w:szCs w:val="24"/>
          <w:lang w:val="pt-BR" w:eastAsia="es-ES"/>
        </w:rPr>
        <w:t xml:space="preserve">podem </w:t>
      </w:r>
      <w:r w:rsidR="000A52D5" w:rsidRPr="00D5464D">
        <w:rPr>
          <w:rFonts w:eastAsia="Batang" w:cs="Times"/>
          <w:szCs w:val="24"/>
          <w:lang w:val="pt-BR" w:eastAsia="es-ES"/>
        </w:rPr>
        <w:t xml:space="preserve">buscar </w:t>
      </w:r>
      <w:r w:rsidRPr="00D5464D">
        <w:rPr>
          <w:rFonts w:eastAsia="Batang" w:cs="Times"/>
          <w:szCs w:val="24"/>
          <w:lang w:val="pt-BR" w:eastAsia="es-ES"/>
        </w:rPr>
        <w:t>diret</w:t>
      </w:r>
      <w:r w:rsidR="000A52D5" w:rsidRPr="00D5464D">
        <w:rPr>
          <w:rFonts w:eastAsia="Batang" w:cs="Times"/>
          <w:szCs w:val="24"/>
          <w:lang w:val="pt-BR" w:eastAsia="es-ES"/>
        </w:rPr>
        <w:t>amente</w:t>
      </w:r>
      <w:r w:rsidR="002C330E" w:rsidRPr="00D5464D">
        <w:rPr>
          <w:rFonts w:eastAsia="Batang" w:cs="Times"/>
          <w:szCs w:val="24"/>
          <w:lang w:val="pt-BR" w:eastAsia="es-ES"/>
        </w:rPr>
        <w:t xml:space="preserve"> a </w:t>
      </w:r>
      <w:r w:rsidR="000A52D5" w:rsidRPr="00D5464D">
        <w:rPr>
          <w:rFonts w:eastAsia="Batang" w:cs="Times"/>
          <w:szCs w:val="24"/>
          <w:lang w:val="pt-BR" w:eastAsia="es-ES"/>
        </w:rPr>
        <w:t xml:space="preserve">tutela </w:t>
      </w:r>
      <w:r w:rsidR="00230C71" w:rsidRPr="00D5464D">
        <w:rPr>
          <w:rFonts w:eastAsia="Batang" w:cs="Times"/>
          <w:szCs w:val="24"/>
          <w:lang w:val="pt-BR" w:eastAsia="es-ES"/>
        </w:rPr>
        <w:t>jurisdicional</w:t>
      </w:r>
      <w:r w:rsidR="000A52D5" w:rsidRPr="00D5464D">
        <w:rPr>
          <w:rFonts w:eastAsia="Batang" w:cs="Times"/>
          <w:szCs w:val="24"/>
          <w:lang w:val="pt-BR" w:eastAsia="es-ES"/>
        </w:rPr>
        <w:t xml:space="preserve"> internacional</w:t>
      </w:r>
      <w:r w:rsidR="002C330E" w:rsidRPr="00D5464D">
        <w:rPr>
          <w:rFonts w:eastAsia="Batang" w:cs="Times"/>
          <w:szCs w:val="24"/>
          <w:lang w:val="pt-BR" w:eastAsia="es-ES"/>
        </w:rPr>
        <w:t xml:space="preserve"> sem </w:t>
      </w:r>
      <w:r w:rsidR="000A52D5" w:rsidRPr="00D5464D">
        <w:rPr>
          <w:rFonts w:eastAsia="Batang" w:cs="Times"/>
          <w:szCs w:val="24"/>
          <w:lang w:val="pt-BR" w:eastAsia="es-ES"/>
        </w:rPr>
        <w:t xml:space="preserve">antes </w:t>
      </w:r>
      <w:r w:rsidR="005D52FB" w:rsidRPr="00D5464D">
        <w:rPr>
          <w:rFonts w:eastAsia="Batang" w:cs="Times"/>
          <w:szCs w:val="24"/>
          <w:lang w:val="pt-BR" w:eastAsia="es-ES"/>
        </w:rPr>
        <w:t>acudir</w:t>
      </w:r>
      <w:r w:rsidRPr="00D5464D">
        <w:rPr>
          <w:rFonts w:eastAsia="Batang" w:cs="Times"/>
          <w:szCs w:val="24"/>
          <w:lang w:val="pt-BR" w:eastAsia="es-ES"/>
        </w:rPr>
        <w:t xml:space="preserve"> ao direito</w:t>
      </w:r>
      <w:r w:rsidR="000A52D5" w:rsidRPr="00D5464D">
        <w:rPr>
          <w:rFonts w:eastAsia="Batang" w:cs="Times"/>
          <w:szCs w:val="24"/>
          <w:lang w:val="pt-BR" w:eastAsia="es-ES"/>
        </w:rPr>
        <w:t xml:space="preserve"> interno. </w:t>
      </w:r>
      <w:r w:rsidR="00A1358C" w:rsidRPr="00D5464D">
        <w:rPr>
          <w:rFonts w:eastAsia="Batang" w:cs="Times"/>
          <w:szCs w:val="24"/>
          <w:lang w:val="pt-BR" w:eastAsia="es-ES"/>
        </w:rPr>
        <w:t>Por outr</w:t>
      </w:r>
      <w:r w:rsidR="00540D2A" w:rsidRPr="00D5464D">
        <w:rPr>
          <w:rFonts w:eastAsia="Batang" w:cs="Times"/>
          <w:szCs w:val="24"/>
          <w:lang w:val="pt-BR" w:eastAsia="es-ES"/>
        </w:rPr>
        <w:t>a parte</w:t>
      </w:r>
      <w:r w:rsidR="00A1358C" w:rsidRPr="00D5464D">
        <w:rPr>
          <w:rFonts w:eastAsia="Batang" w:cs="Times"/>
          <w:szCs w:val="24"/>
          <w:lang w:val="pt-BR" w:eastAsia="es-ES"/>
        </w:rPr>
        <w:t>,</w:t>
      </w:r>
      <w:r w:rsidRPr="00D5464D">
        <w:rPr>
          <w:rFonts w:eastAsia="Batang" w:cs="Times"/>
          <w:szCs w:val="24"/>
          <w:lang w:val="pt-BR" w:eastAsia="es-ES"/>
        </w:rPr>
        <w:t xml:space="preserve"> o </w:t>
      </w:r>
      <w:r w:rsidR="000A52D5" w:rsidRPr="00D5464D">
        <w:rPr>
          <w:rFonts w:eastAsia="Batang" w:cs="Times"/>
          <w:szCs w:val="24"/>
          <w:lang w:val="pt-BR" w:eastAsia="es-ES"/>
        </w:rPr>
        <w:t xml:space="preserve">Estado </w:t>
      </w:r>
      <w:r w:rsidR="00540D2A" w:rsidRPr="00D5464D">
        <w:rPr>
          <w:rFonts w:eastAsia="Batang" w:cs="Times"/>
          <w:szCs w:val="24"/>
          <w:lang w:val="pt-BR" w:eastAsia="es-ES"/>
        </w:rPr>
        <w:t xml:space="preserve">aduziu </w:t>
      </w:r>
      <w:r w:rsidR="002C330E" w:rsidRPr="00D5464D">
        <w:rPr>
          <w:rFonts w:eastAsia="Batang" w:cs="Times"/>
          <w:szCs w:val="24"/>
          <w:lang w:val="pt-BR" w:eastAsia="es-ES"/>
        </w:rPr>
        <w:t xml:space="preserve">a </w:t>
      </w:r>
      <w:r w:rsidR="00E045D9" w:rsidRPr="00D5464D">
        <w:rPr>
          <w:rFonts w:eastAsia="Batang" w:cs="Times"/>
          <w:szCs w:val="24"/>
          <w:lang w:val="pt-BR" w:eastAsia="es-ES"/>
        </w:rPr>
        <w:t>existência</w:t>
      </w:r>
      <w:r w:rsidR="000A52D5" w:rsidRPr="00D5464D">
        <w:rPr>
          <w:rFonts w:eastAsia="Batang" w:cs="Times"/>
          <w:szCs w:val="24"/>
          <w:lang w:val="pt-BR" w:eastAsia="es-ES"/>
        </w:rPr>
        <w:t xml:space="preserve"> de recursos internos </w:t>
      </w:r>
      <w:r w:rsidRPr="00D5464D">
        <w:rPr>
          <w:rFonts w:eastAsia="Batang" w:cs="Times"/>
          <w:szCs w:val="24"/>
          <w:lang w:val="pt-BR" w:eastAsia="es-ES"/>
        </w:rPr>
        <w:t>adequad</w:t>
      </w:r>
      <w:r w:rsidR="000A52D5" w:rsidRPr="00D5464D">
        <w:rPr>
          <w:rFonts w:eastAsia="Batang" w:cs="Times"/>
          <w:szCs w:val="24"/>
          <w:lang w:val="pt-BR" w:eastAsia="es-ES"/>
        </w:rPr>
        <w:t>os para</w:t>
      </w:r>
      <w:r w:rsidR="002C330E" w:rsidRPr="00D5464D">
        <w:rPr>
          <w:rFonts w:eastAsia="Batang" w:cs="Times"/>
          <w:szCs w:val="24"/>
          <w:lang w:val="pt-BR" w:eastAsia="es-ES"/>
        </w:rPr>
        <w:t xml:space="preserve"> a proteção</w:t>
      </w:r>
      <w:r w:rsidR="000A52D5" w:rsidRPr="00D5464D">
        <w:rPr>
          <w:rFonts w:eastAsia="Batang" w:cs="Times"/>
          <w:szCs w:val="24"/>
          <w:lang w:val="pt-BR" w:eastAsia="es-ES"/>
        </w:rPr>
        <w:t xml:space="preserve"> de todos</w:t>
      </w:r>
      <w:r w:rsidR="002C330E" w:rsidRPr="00D5464D">
        <w:rPr>
          <w:rFonts w:eastAsia="Batang" w:cs="Times"/>
          <w:szCs w:val="24"/>
          <w:lang w:val="pt-BR" w:eastAsia="es-ES"/>
        </w:rPr>
        <w:t xml:space="preserve"> os </w:t>
      </w:r>
      <w:r w:rsidRPr="00D5464D">
        <w:rPr>
          <w:rFonts w:eastAsia="Batang" w:cs="Times"/>
          <w:szCs w:val="24"/>
          <w:lang w:val="pt-BR" w:eastAsia="es-ES"/>
        </w:rPr>
        <w:t>direito</w:t>
      </w:r>
      <w:r w:rsidR="000A52D5" w:rsidRPr="00D5464D">
        <w:rPr>
          <w:rFonts w:eastAsia="Batang" w:cs="Times"/>
          <w:szCs w:val="24"/>
          <w:lang w:val="pt-BR" w:eastAsia="es-ES"/>
        </w:rPr>
        <w:t>s su</w:t>
      </w:r>
      <w:r w:rsidR="002C330E" w:rsidRPr="00D5464D">
        <w:rPr>
          <w:rFonts w:eastAsia="Batang" w:cs="Times"/>
          <w:szCs w:val="24"/>
          <w:lang w:val="pt-BR" w:eastAsia="es-ES"/>
        </w:rPr>
        <w:t>posta</w:t>
      </w:r>
      <w:r w:rsidR="000A52D5" w:rsidRPr="00D5464D">
        <w:rPr>
          <w:rFonts w:eastAsia="Batang" w:cs="Times"/>
          <w:szCs w:val="24"/>
          <w:lang w:val="pt-BR" w:eastAsia="es-ES"/>
        </w:rPr>
        <w:t xml:space="preserve">mente </w:t>
      </w:r>
      <w:r w:rsidR="00E765C2" w:rsidRPr="00D5464D">
        <w:rPr>
          <w:rFonts w:eastAsia="Batang" w:cs="Times"/>
          <w:szCs w:val="24"/>
          <w:lang w:val="pt-BR" w:eastAsia="es-ES"/>
        </w:rPr>
        <w:t>violado</w:t>
      </w:r>
      <w:r w:rsidR="000A52D5" w:rsidRPr="00D5464D">
        <w:rPr>
          <w:rFonts w:eastAsia="Batang" w:cs="Times"/>
          <w:szCs w:val="24"/>
          <w:lang w:val="pt-BR" w:eastAsia="es-ES"/>
        </w:rPr>
        <w:t>s</w:t>
      </w:r>
      <w:r w:rsidR="00E045D9" w:rsidRPr="00D5464D">
        <w:rPr>
          <w:rFonts w:eastAsia="Batang" w:cs="Times"/>
          <w:szCs w:val="24"/>
          <w:lang w:val="pt-BR" w:eastAsia="es-ES"/>
        </w:rPr>
        <w:t xml:space="preserve"> e </w:t>
      </w:r>
      <w:r w:rsidR="000A52D5" w:rsidRPr="00D5464D">
        <w:rPr>
          <w:rFonts w:eastAsia="Batang" w:cs="Times"/>
          <w:szCs w:val="24"/>
          <w:lang w:val="pt-BR" w:eastAsia="es-ES"/>
        </w:rPr>
        <w:t xml:space="preserve">para </w:t>
      </w:r>
      <w:r w:rsidR="00DB02D3" w:rsidRPr="00D5464D">
        <w:rPr>
          <w:rStyle w:val="nfasis"/>
          <w:rFonts w:cs="Arial"/>
          <w:bCs/>
          <w:i w:val="0"/>
          <w:iCs w:val="0"/>
          <w:color w:val="6A6A6A"/>
          <w:shd w:val="clear" w:color="auto" w:fill="FFFFFF"/>
          <w:lang w:val="pt-BR"/>
        </w:rPr>
        <w:t>obtenção</w:t>
      </w:r>
      <w:r w:rsidR="00DB02D3" w:rsidRPr="00D5464D">
        <w:rPr>
          <w:rStyle w:val="apple-converted-space"/>
          <w:rFonts w:cs="Arial"/>
          <w:color w:val="545454"/>
          <w:shd w:val="clear" w:color="auto" w:fill="FFFFFF"/>
          <w:lang w:val="pt-BR"/>
        </w:rPr>
        <w:t> </w:t>
      </w:r>
      <w:r w:rsidR="00DB02D3" w:rsidRPr="00D5464D">
        <w:rPr>
          <w:rFonts w:cs="Arial"/>
          <w:color w:val="545454"/>
          <w:shd w:val="clear" w:color="auto" w:fill="FFFFFF"/>
          <w:lang w:val="pt-BR"/>
        </w:rPr>
        <w:t>de</w:t>
      </w:r>
      <w:r w:rsidR="000A52D5" w:rsidRPr="00D5464D">
        <w:rPr>
          <w:rFonts w:eastAsia="Batang" w:cs="Times"/>
          <w:szCs w:val="24"/>
          <w:lang w:val="pt-BR" w:eastAsia="es-ES"/>
        </w:rPr>
        <w:t xml:space="preserve"> todas</w:t>
      </w:r>
      <w:r w:rsidR="002C330E" w:rsidRPr="00D5464D">
        <w:rPr>
          <w:rFonts w:eastAsia="Batang" w:cs="Times"/>
          <w:szCs w:val="24"/>
          <w:lang w:val="pt-BR" w:eastAsia="es-ES"/>
        </w:rPr>
        <w:t xml:space="preserve"> as </w:t>
      </w:r>
      <w:r w:rsidR="000A52D5" w:rsidRPr="00D5464D">
        <w:rPr>
          <w:rFonts w:eastAsia="Batang" w:cs="Times"/>
          <w:szCs w:val="24"/>
          <w:lang w:val="pt-BR" w:eastAsia="es-ES"/>
        </w:rPr>
        <w:t>repara</w:t>
      </w:r>
      <w:r w:rsidRPr="00D5464D">
        <w:rPr>
          <w:rFonts w:eastAsia="Batang" w:cs="Times"/>
          <w:szCs w:val="24"/>
          <w:lang w:val="pt-BR" w:eastAsia="es-ES"/>
        </w:rPr>
        <w:t>ções</w:t>
      </w:r>
      <w:r w:rsidR="000A52D5" w:rsidRPr="00D5464D">
        <w:rPr>
          <w:rFonts w:eastAsia="Batang" w:cs="Times"/>
          <w:szCs w:val="24"/>
          <w:lang w:val="pt-BR" w:eastAsia="es-ES"/>
        </w:rPr>
        <w:t xml:space="preserve"> derivadas </w:t>
      </w:r>
      <w:r w:rsidR="00E045D9" w:rsidRPr="00D5464D">
        <w:rPr>
          <w:rFonts w:eastAsia="Batang" w:cs="Times"/>
          <w:szCs w:val="24"/>
          <w:lang w:val="pt-BR" w:eastAsia="es-ES"/>
        </w:rPr>
        <w:t>desta</w:t>
      </w:r>
      <w:r w:rsidR="000A52D5" w:rsidRPr="00D5464D">
        <w:rPr>
          <w:rFonts w:eastAsia="Batang" w:cs="Times"/>
          <w:szCs w:val="24"/>
          <w:lang w:val="pt-BR" w:eastAsia="es-ES"/>
        </w:rPr>
        <w:t>s viola</w:t>
      </w:r>
      <w:r w:rsidRPr="00D5464D">
        <w:rPr>
          <w:rFonts w:eastAsia="Batang" w:cs="Times"/>
          <w:szCs w:val="24"/>
          <w:lang w:val="pt-BR" w:eastAsia="es-ES"/>
        </w:rPr>
        <w:t>ções; e</w:t>
      </w:r>
      <w:r w:rsidR="000A52D5" w:rsidRPr="00D5464D">
        <w:rPr>
          <w:rFonts w:eastAsia="Batang" w:cs="Times"/>
          <w:szCs w:val="24"/>
          <w:lang w:val="pt-BR" w:eastAsia="es-ES"/>
        </w:rPr>
        <w:t xml:space="preserve"> </w:t>
      </w:r>
      <w:r w:rsidR="002C330E" w:rsidRPr="00D5464D">
        <w:rPr>
          <w:rFonts w:eastAsia="Batang" w:cs="Times"/>
          <w:szCs w:val="24"/>
          <w:lang w:val="pt-BR" w:eastAsia="es-ES"/>
        </w:rPr>
        <w:t>afirmou</w:t>
      </w:r>
      <w:r w:rsidR="000A52D5" w:rsidRPr="00D5464D">
        <w:rPr>
          <w:rFonts w:eastAsia="Batang" w:cs="Times"/>
          <w:szCs w:val="24"/>
          <w:lang w:val="pt-BR" w:eastAsia="es-ES"/>
        </w:rPr>
        <w:t xml:space="preserve"> que</w:t>
      </w:r>
      <w:r w:rsidR="002C330E" w:rsidRPr="00D5464D">
        <w:rPr>
          <w:rFonts w:eastAsia="Batang" w:cs="Times"/>
          <w:szCs w:val="24"/>
          <w:lang w:val="pt-BR" w:eastAsia="es-ES"/>
        </w:rPr>
        <w:t xml:space="preserve"> os </w:t>
      </w:r>
      <w:r w:rsidR="00EB1CE9" w:rsidRPr="00D5464D">
        <w:rPr>
          <w:rFonts w:eastAsia="Batang" w:cs="Times"/>
          <w:szCs w:val="24"/>
          <w:lang w:val="pt-BR" w:eastAsia="es-ES"/>
        </w:rPr>
        <w:t>representante</w:t>
      </w:r>
      <w:r w:rsidR="000A52D5" w:rsidRPr="00D5464D">
        <w:rPr>
          <w:rFonts w:eastAsia="Batang" w:cs="Times"/>
          <w:szCs w:val="24"/>
          <w:lang w:val="pt-BR" w:eastAsia="es-ES"/>
        </w:rPr>
        <w:t xml:space="preserve">s </w:t>
      </w:r>
      <w:r w:rsidR="002C330E" w:rsidRPr="00D5464D">
        <w:rPr>
          <w:rFonts w:eastAsia="Batang" w:cs="Times"/>
          <w:szCs w:val="24"/>
          <w:lang w:val="pt-BR" w:eastAsia="es-ES"/>
        </w:rPr>
        <w:t>puderam</w:t>
      </w:r>
      <w:r w:rsidRPr="00D5464D">
        <w:rPr>
          <w:rFonts w:eastAsia="Batang" w:cs="Times"/>
          <w:szCs w:val="24"/>
          <w:lang w:val="pt-BR" w:eastAsia="es-ES"/>
        </w:rPr>
        <w:t>, e ainda</w:t>
      </w:r>
      <w:r w:rsidR="000A52D5" w:rsidRPr="00D5464D">
        <w:rPr>
          <w:rFonts w:eastAsia="Batang" w:cs="Times"/>
          <w:szCs w:val="24"/>
          <w:lang w:val="pt-BR" w:eastAsia="es-ES"/>
        </w:rPr>
        <w:t xml:space="preserve"> </w:t>
      </w:r>
      <w:r w:rsidR="00EB1CE9" w:rsidRPr="00D5464D">
        <w:rPr>
          <w:rFonts w:eastAsia="Batang" w:cs="Times"/>
          <w:szCs w:val="24"/>
          <w:lang w:val="pt-BR" w:eastAsia="es-ES"/>
        </w:rPr>
        <w:t>podem</w:t>
      </w:r>
      <w:r w:rsidR="000A52D5" w:rsidRPr="00D5464D">
        <w:rPr>
          <w:rFonts w:eastAsia="Batang" w:cs="Times"/>
          <w:szCs w:val="24"/>
          <w:lang w:val="pt-BR" w:eastAsia="es-ES"/>
        </w:rPr>
        <w:t>, promover</w:t>
      </w:r>
      <w:r w:rsidRPr="00D5464D">
        <w:rPr>
          <w:rFonts w:eastAsia="Batang" w:cs="Times"/>
          <w:szCs w:val="24"/>
          <w:lang w:val="pt-BR" w:eastAsia="es-ES"/>
        </w:rPr>
        <w:t xml:space="preserve"> estes </w:t>
      </w:r>
      <w:r w:rsidR="000A52D5" w:rsidRPr="00D5464D">
        <w:rPr>
          <w:rFonts w:eastAsia="Batang" w:cs="Times"/>
          <w:szCs w:val="24"/>
          <w:lang w:val="pt-BR" w:eastAsia="es-ES"/>
        </w:rPr>
        <w:t>recursos internos,</w:t>
      </w:r>
      <w:r w:rsidR="002C330E" w:rsidRPr="00D5464D">
        <w:rPr>
          <w:rFonts w:eastAsia="Batang" w:cs="Times"/>
          <w:szCs w:val="24"/>
          <w:lang w:val="pt-BR" w:eastAsia="es-ES"/>
        </w:rPr>
        <w:t xml:space="preserve"> o que </w:t>
      </w:r>
      <w:r w:rsidR="00540D2A" w:rsidRPr="00D5464D">
        <w:rPr>
          <w:rFonts w:eastAsia="Batang" w:cs="Times"/>
          <w:szCs w:val="24"/>
          <w:lang w:val="pt-BR" w:eastAsia="es-ES"/>
        </w:rPr>
        <w:t>até a presente</w:t>
      </w:r>
      <w:r w:rsidRPr="00D5464D">
        <w:rPr>
          <w:rFonts w:eastAsia="Batang" w:cs="Times"/>
          <w:szCs w:val="24"/>
          <w:lang w:val="pt-BR" w:eastAsia="es-ES"/>
        </w:rPr>
        <w:t xml:space="preserve"> data</w:t>
      </w:r>
      <w:r w:rsidR="000A52D5" w:rsidRPr="00D5464D">
        <w:rPr>
          <w:rFonts w:eastAsia="Batang" w:cs="Times"/>
          <w:szCs w:val="24"/>
          <w:lang w:val="pt-BR" w:eastAsia="es-ES"/>
        </w:rPr>
        <w:t xml:space="preserve"> </w:t>
      </w:r>
      <w:r w:rsidR="00540D2A" w:rsidRPr="00D5464D">
        <w:rPr>
          <w:rFonts w:eastAsia="Batang" w:cs="Times"/>
          <w:szCs w:val="24"/>
          <w:lang w:val="pt-BR" w:eastAsia="es-ES"/>
        </w:rPr>
        <w:t>não ocorreu</w:t>
      </w:r>
      <w:r w:rsidR="000A52D5" w:rsidRPr="00D5464D">
        <w:rPr>
          <w:rFonts w:eastAsia="Batang" w:cs="Times"/>
          <w:szCs w:val="24"/>
          <w:lang w:val="pt-BR" w:eastAsia="es-ES"/>
        </w:rPr>
        <w:t xml:space="preserve">. </w:t>
      </w:r>
    </w:p>
    <w:p w14:paraId="4CC04D28" w14:textId="77777777" w:rsidR="00D65024" w:rsidRPr="00D5464D" w:rsidRDefault="00D65024" w:rsidP="00D65024">
      <w:pPr>
        <w:tabs>
          <w:tab w:val="clear" w:pos="4419"/>
          <w:tab w:val="clear" w:pos="8838"/>
        </w:tabs>
        <w:jc w:val="both"/>
        <w:rPr>
          <w:rFonts w:eastAsia="Batang" w:cs="Times"/>
          <w:szCs w:val="24"/>
          <w:lang w:val="pt-BR" w:eastAsia="es-ES"/>
        </w:rPr>
      </w:pPr>
    </w:p>
    <w:p w14:paraId="6B736270" w14:textId="7111A3A8" w:rsidR="000A52D5" w:rsidRPr="00D5464D" w:rsidRDefault="00470AD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O </w:t>
      </w:r>
      <w:r w:rsidR="000A52D5" w:rsidRPr="00D5464D">
        <w:rPr>
          <w:rFonts w:eastAsia="Batang" w:cs="Times"/>
          <w:szCs w:val="24"/>
          <w:lang w:val="pt-BR" w:eastAsia="es-ES"/>
        </w:rPr>
        <w:t xml:space="preserve">Estado </w:t>
      </w:r>
      <w:r w:rsidR="00E045D9" w:rsidRPr="00D5464D">
        <w:rPr>
          <w:rFonts w:eastAsia="Batang" w:cs="Times"/>
          <w:szCs w:val="24"/>
          <w:lang w:val="pt-BR" w:eastAsia="es-ES"/>
        </w:rPr>
        <w:t>também</w:t>
      </w:r>
      <w:r w:rsidR="000A52D5" w:rsidRPr="00D5464D">
        <w:rPr>
          <w:rFonts w:eastAsia="Batang" w:cs="Times"/>
          <w:szCs w:val="24"/>
          <w:lang w:val="pt-BR" w:eastAsia="es-ES"/>
        </w:rPr>
        <w:t xml:space="preserve"> </w:t>
      </w:r>
      <w:r w:rsidR="002C330E" w:rsidRPr="00D5464D">
        <w:rPr>
          <w:rFonts w:eastAsia="Batang" w:cs="Times"/>
          <w:szCs w:val="24"/>
          <w:lang w:val="pt-BR" w:eastAsia="es-ES"/>
        </w:rPr>
        <w:t xml:space="preserve">solicitou a </w:t>
      </w:r>
      <w:r w:rsidR="000A52D5" w:rsidRPr="00D5464D">
        <w:rPr>
          <w:rFonts w:eastAsia="Batang" w:cs="Times"/>
          <w:szCs w:val="24"/>
          <w:lang w:val="pt-BR" w:eastAsia="es-ES"/>
        </w:rPr>
        <w:t>in</w:t>
      </w:r>
      <w:r w:rsidRPr="00D5464D">
        <w:rPr>
          <w:rFonts w:eastAsia="Batang" w:cs="Times"/>
          <w:szCs w:val="24"/>
          <w:lang w:val="pt-BR" w:eastAsia="es-ES"/>
        </w:rPr>
        <w:t>admissibilidade</w:t>
      </w:r>
      <w:r w:rsidR="000A52D5" w:rsidRPr="00D5464D">
        <w:rPr>
          <w:rFonts w:eastAsia="Batang" w:cs="Times"/>
          <w:szCs w:val="24"/>
          <w:lang w:val="pt-BR" w:eastAsia="es-ES"/>
        </w:rPr>
        <w:t xml:space="preserve"> </w:t>
      </w:r>
      <w:r w:rsidRPr="00D5464D">
        <w:rPr>
          <w:rFonts w:eastAsia="Batang" w:cs="Times"/>
          <w:szCs w:val="24"/>
          <w:lang w:val="pt-BR" w:eastAsia="es-ES"/>
        </w:rPr>
        <w:t xml:space="preserve">do </w:t>
      </w:r>
      <w:r w:rsidR="000A52D5" w:rsidRPr="00D5464D">
        <w:rPr>
          <w:rFonts w:eastAsia="Batang" w:cs="Times"/>
          <w:szCs w:val="24"/>
          <w:lang w:val="pt-BR" w:eastAsia="es-ES"/>
        </w:rPr>
        <w:t>caso</w:t>
      </w:r>
      <w:r w:rsidRPr="00D5464D">
        <w:rPr>
          <w:rFonts w:eastAsia="Batang" w:cs="Times"/>
          <w:szCs w:val="24"/>
          <w:lang w:val="pt-BR" w:eastAsia="es-ES"/>
        </w:rPr>
        <w:t xml:space="preserve"> </w:t>
      </w:r>
      <w:r w:rsidR="00350187" w:rsidRPr="00D5464D">
        <w:rPr>
          <w:rFonts w:eastAsia="Batang" w:cs="Times"/>
          <w:szCs w:val="24"/>
          <w:lang w:val="pt-BR" w:eastAsia="es-ES"/>
        </w:rPr>
        <w:t>quanto</w:t>
      </w:r>
      <w:r w:rsidR="00E045D9" w:rsidRPr="00D5464D">
        <w:rPr>
          <w:rFonts w:eastAsia="Batang" w:cs="Times"/>
          <w:szCs w:val="24"/>
          <w:lang w:val="pt-BR" w:eastAsia="es-ES"/>
        </w:rPr>
        <w:t xml:space="preserve"> às </w:t>
      </w:r>
      <w:r w:rsidR="000A52D5" w:rsidRPr="00D5464D">
        <w:rPr>
          <w:rFonts w:eastAsia="Batang" w:cs="Times"/>
          <w:szCs w:val="24"/>
          <w:lang w:val="pt-BR" w:eastAsia="es-ES"/>
        </w:rPr>
        <w:t>peti</w:t>
      </w:r>
      <w:r w:rsidRPr="00D5464D">
        <w:rPr>
          <w:rFonts w:eastAsia="Batang" w:cs="Times"/>
          <w:szCs w:val="24"/>
          <w:lang w:val="pt-BR" w:eastAsia="es-ES"/>
        </w:rPr>
        <w:t>ções</w:t>
      </w:r>
      <w:r w:rsidR="000A52D5" w:rsidRPr="00D5464D">
        <w:rPr>
          <w:rFonts w:eastAsia="Batang" w:cs="Times"/>
          <w:szCs w:val="24"/>
          <w:lang w:val="pt-BR" w:eastAsia="es-ES"/>
        </w:rPr>
        <w:t xml:space="preserve"> de repara</w:t>
      </w:r>
      <w:r w:rsidRPr="00D5464D">
        <w:rPr>
          <w:rFonts w:eastAsia="Batang" w:cs="Times"/>
          <w:szCs w:val="24"/>
          <w:lang w:val="pt-BR" w:eastAsia="es-ES"/>
        </w:rPr>
        <w:t>ção</w:t>
      </w:r>
      <w:r w:rsidR="000A52D5" w:rsidRPr="00D5464D">
        <w:rPr>
          <w:rFonts w:eastAsia="Batang" w:cs="Times"/>
          <w:szCs w:val="24"/>
          <w:lang w:val="pt-BR" w:eastAsia="es-ES"/>
        </w:rPr>
        <w:t xml:space="preserve"> por d</w:t>
      </w:r>
      <w:r w:rsidRPr="00D5464D">
        <w:rPr>
          <w:rFonts w:eastAsia="Batang" w:cs="Times"/>
          <w:szCs w:val="24"/>
          <w:lang w:val="pt-BR" w:eastAsia="es-ES"/>
        </w:rPr>
        <w:t>anos</w:t>
      </w:r>
      <w:r w:rsidR="000A52D5" w:rsidRPr="00D5464D">
        <w:rPr>
          <w:rFonts w:eastAsia="Batang" w:cs="Times"/>
          <w:szCs w:val="24"/>
          <w:lang w:val="pt-BR" w:eastAsia="es-ES"/>
        </w:rPr>
        <w:t xml:space="preserve"> </w:t>
      </w:r>
      <w:r w:rsidR="00737270" w:rsidRPr="00D5464D">
        <w:rPr>
          <w:rFonts w:eastAsia="Batang" w:cs="Times"/>
          <w:szCs w:val="24"/>
          <w:lang w:val="pt-BR" w:eastAsia="es-ES"/>
        </w:rPr>
        <w:t>materiais</w:t>
      </w:r>
      <w:r w:rsidR="00E045D9" w:rsidRPr="00D5464D">
        <w:rPr>
          <w:rFonts w:eastAsia="Batang" w:cs="Times"/>
          <w:szCs w:val="24"/>
          <w:lang w:val="pt-BR" w:eastAsia="es-ES"/>
        </w:rPr>
        <w:t xml:space="preserve"> e </w:t>
      </w:r>
      <w:r w:rsidR="00A1358C" w:rsidRPr="00D5464D">
        <w:rPr>
          <w:rFonts w:eastAsia="Batang" w:cs="Times"/>
          <w:szCs w:val="24"/>
          <w:lang w:val="pt-BR" w:eastAsia="es-ES"/>
        </w:rPr>
        <w:t>morais</w:t>
      </w:r>
      <w:r w:rsidR="000A52D5" w:rsidRPr="00D5464D">
        <w:rPr>
          <w:rFonts w:eastAsia="Batang" w:cs="Times"/>
          <w:szCs w:val="24"/>
          <w:lang w:val="pt-BR" w:eastAsia="es-ES"/>
        </w:rPr>
        <w:t xml:space="preserve">. </w:t>
      </w:r>
    </w:p>
    <w:p w14:paraId="739D3546" w14:textId="77777777" w:rsidR="00D65024" w:rsidRPr="00D5464D" w:rsidRDefault="00D65024" w:rsidP="00D65024">
      <w:pPr>
        <w:tabs>
          <w:tab w:val="clear" w:pos="4419"/>
          <w:tab w:val="clear" w:pos="8838"/>
        </w:tabs>
        <w:jc w:val="both"/>
        <w:rPr>
          <w:rFonts w:eastAsia="Batang" w:cs="Times"/>
          <w:szCs w:val="24"/>
          <w:lang w:val="pt-BR" w:eastAsia="es-ES"/>
        </w:rPr>
      </w:pPr>
    </w:p>
    <w:p w14:paraId="0710AB24" w14:textId="69B73A18" w:rsidR="000A52D5" w:rsidRPr="00D5464D" w:rsidRDefault="00470AD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A </w:t>
      </w:r>
      <w:r w:rsidRPr="00D5464D">
        <w:rPr>
          <w:rFonts w:eastAsia="Batang" w:cs="Times"/>
          <w:b/>
          <w:i/>
          <w:szCs w:val="24"/>
          <w:lang w:val="pt-BR" w:eastAsia="es-ES"/>
        </w:rPr>
        <w:t>Comissão</w:t>
      </w:r>
      <w:r w:rsidR="000A52D5" w:rsidRPr="00D5464D">
        <w:rPr>
          <w:rFonts w:eastAsia="Batang" w:cs="Times"/>
          <w:szCs w:val="24"/>
          <w:lang w:val="pt-BR" w:eastAsia="es-ES"/>
        </w:rPr>
        <w:t xml:space="preserve"> </w:t>
      </w:r>
      <w:r w:rsidR="00350187" w:rsidRPr="00D5464D">
        <w:rPr>
          <w:rFonts w:eastAsia="Batang" w:cs="Times"/>
          <w:szCs w:val="24"/>
          <w:lang w:val="pt-BR" w:eastAsia="es-ES"/>
        </w:rPr>
        <w:t>expôs</w:t>
      </w:r>
      <w:r w:rsidR="000A52D5" w:rsidRPr="00D5464D">
        <w:rPr>
          <w:rFonts w:eastAsia="Batang" w:cs="Times"/>
          <w:szCs w:val="24"/>
          <w:lang w:val="pt-BR" w:eastAsia="es-ES"/>
        </w:rPr>
        <w:t xml:space="preserve"> que</w:t>
      </w:r>
      <w:r w:rsidRPr="00D5464D">
        <w:rPr>
          <w:rFonts w:eastAsia="Batang" w:cs="Times"/>
          <w:szCs w:val="24"/>
          <w:lang w:val="pt-BR" w:eastAsia="es-ES"/>
        </w:rPr>
        <w:t xml:space="preserve"> o </w:t>
      </w:r>
      <w:r w:rsidR="000A52D5" w:rsidRPr="00D5464D">
        <w:rPr>
          <w:rFonts w:eastAsia="Batang" w:cs="Times"/>
          <w:szCs w:val="24"/>
          <w:lang w:val="pt-BR" w:eastAsia="es-ES"/>
        </w:rPr>
        <w:t xml:space="preserve">requisito de </w:t>
      </w:r>
      <w:r w:rsidRPr="00D5464D">
        <w:rPr>
          <w:rFonts w:eastAsia="Batang" w:cs="Times"/>
          <w:szCs w:val="24"/>
          <w:lang w:val="pt-BR" w:eastAsia="es-ES"/>
        </w:rPr>
        <w:t xml:space="preserve">esgotamento dos </w:t>
      </w:r>
      <w:r w:rsidR="000A52D5" w:rsidRPr="00D5464D">
        <w:rPr>
          <w:rFonts w:eastAsia="Batang" w:cs="Times"/>
          <w:szCs w:val="24"/>
          <w:lang w:val="pt-BR" w:eastAsia="es-ES"/>
        </w:rPr>
        <w:t>recursos internos previsto</w:t>
      </w:r>
      <w:r w:rsidR="00E045D9" w:rsidRPr="00D5464D">
        <w:rPr>
          <w:rFonts w:eastAsia="Batang" w:cs="Times"/>
          <w:szCs w:val="24"/>
          <w:lang w:val="pt-BR" w:eastAsia="es-ES"/>
        </w:rPr>
        <w:t xml:space="preserve"> no </w:t>
      </w:r>
      <w:r w:rsidRPr="00D5464D">
        <w:rPr>
          <w:rFonts w:eastAsia="Batang" w:cs="Times"/>
          <w:szCs w:val="24"/>
          <w:lang w:val="pt-BR" w:eastAsia="es-ES"/>
        </w:rPr>
        <w:t>artigo</w:t>
      </w:r>
      <w:r w:rsidR="000A52D5" w:rsidRPr="00D5464D">
        <w:rPr>
          <w:rFonts w:eastAsia="Batang" w:cs="Times"/>
          <w:szCs w:val="24"/>
          <w:lang w:val="pt-BR" w:eastAsia="es-ES"/>
        </w:rPr>
        <w:t xml:space="preserve"> 46.1</w:t>
      </w:r>
      <w:r w:rsidRPr="00D5464D">
        <w:rPr>
          <w:rFonts w:eastAsia="Batang" w:cs="Times"/>
          <w:szCs w:val="24"/>
          <w:lang w:val="pt-BR" w:eastAsia="es-ES"/>
        </w:rPr>
        <w:t xml:space="preserve"> da </w:t>
      </w:r>
      <w:r w:rsidR="000A52D5" w:rsidRPr="00D5464D">
        <w:rPr>
          <w:rFonts w:eastAsia="Batang" w:cs="Times"/>
          <w:szCs w:val="24"/>
          <w:lang w:val="pt-BR" w:eastAsia="es-ES"/>
        </w:rPr>
        <w:t>Conven</w:t>
      </w:r>
      <w:r w:rsidRPr="00D5464D">
        <w:rPr>
          <w:rFonts w:eastAsia="Batang" w:cs="Times"/>
          <w:szCs w:val="24"/>
          <w:lang w:val="pt-BR" w:eastAsia="es-ES"/>
        </w:rPr>
        <w:t>ção</w:t>
      </w:r>
      <w:r w:rsidR="000A52D5" w:rsidRPr="00D5464D">
        <w:rPr>
          <w:rFonts w:eastAsia="Batang" w:cs="Times"/>
          <w:szCs w:val="24"/>
          <w:lang w:val="pt-BR" w:eastAsia="es-ES"/>
        </w:rPr>
        <w:t xml:space="preserve"> está relacionado</w:t>
      </w:r>
      <w:r w:rsidRPr="00D5464D">
        <w:rPr>
          <w:rFonts w:eastAsia="Batang" w:cs="Times"/>
          <w:szCs w:val="24"/>
          <w:lang w:val="pt-BR" w:eastAsia="es-ES"/>
        </w:rPr>
        <w:t xml:space="preserve"> </w:t>
      </w:r>
      <w:r w:rsidR="00443B57" w:rsidRPr="00D5464D">
        <w:rPr>
          <w:rFonts w:eastAsia="Batang" w:cs="Times"/>
          <w:szCs w:val="24"/>
          <w:lang w:val="pt-BR" w:eastAsia="es-ES"/>
        </w:rPr>
        <w:t>a</w:t>
      </w:r>
      <w:r w:rsidR="002C330E" w:rsidRPr="00D5464D">
        <w:rPr>
          <w:rFonts w:eastAsia="Batang" w:cs="Times"/>
          <w:szCs w:val="24"/>
          <w:lang w:val="pt-BR" w:eastAsia="es-ES"/>
        </w:rPr>
        <w:t>os fatos</w:t>
      </w:r>
      <w:r w:rsidR="000A52D5" w:rsidRPr="00D5464D">
        <w:rPr>
          <w:rFonts w:eastAsia="Batang" w:cs="Times"/>
          <w:szCs w:val="24"/>
          <w:lang w:val="pt-BR" w:eastAsia="es-ES"/>
        </w:rPr>
        <w:t xml:space="preserve"> alegados que </w:t>
      </w:r>
      <w:r w:rsidR="00E045D9" w:rsidRPr="00D5464D">
        <w:rPr>
          <w:rFonts w:eastAsia="Batang" w:cs="Times"/>
          <w:szCs w:val="24"/>
          <w:lang w:val="pt-BR" w:eastAsia="es-ES"/>
        </w:rPr>
        <w:t>violam</w:t>
      </w:r>
      <w:r w:rsidR="000A52D5" w:rsidRPr="00D5464D">
        <w:rPr>
          <w:rFonts w:eastAsia="Batang" w:cs="Times"/>
          <w:szCs w:val="24"/>
          <w:lang w:val="pt-BR" w:eastAsia="es-ES"/>
        </w:rPr>
        <w:t xml:space="preserve"> </w:t>
      </w:r>
      <w:r w:rsidRPr="00D5464D">
        <w:rPr>
          <w:rFonts w:eastAsia="Batang" w:cs="Times"/>
          <w:szCs w:val="24"/>
          <w:lang w:val="pt-BR" w:eastAsia="es-ES"/>
        </w:rPr>
        <w:t>direito</w:t>
      </w:r>
      <w:r w:rsidR="000A52D5" w:rsidRPr="00D5464D">
        <w:rPr>
          <w:rFonts w:eastAsia="Batang" w:cs="Times"/>
          <w:szCs w:val="24"/>
          <w:lang w:val="pt-BR" w:eastAsia="es-ES"/>
        </w:rPr>
        <w:t>s humanos</w:t>
      </w:r>
      <w:r w:rsidR="00A1358C" w:rsidRPr="00D5464D">
        <w:rPr>
          <w:rFonts w:eastAsia="Batang" w:cs="Times"/>
          <w:szCs w:val="24"/>
          <w:lang w:val="pt-BR" w:eastAsia="es-ES"/>
        </w:rPr>
        <w:t xml:space="preserve">. A </w:t>
      </w:r>
      <w:r w:rsidR="002C330E" w:rsidRPr="00D5464D">
        <w:rPr>
          <w:rFonts w:eastAsia="Batang" w:cs="Times"/>
          <w:szCs w:val="24"/>
          <w:lang w:val="pt-BR" w:eastAsia="es-ES"/>
        </w:rPr>
        <w:t>pretensão</w:t>
      </w:r>
      <w:r w:rsidRPr="00D5464D">
        <w:rPr>
          <w:rFonts w:eastAsia="Batang" w:cs="Times"/>
          <w:szCs w:val="24"/>
          <w:lang w:val="pt-BR" w:eastAsia="es-ES"/>
        </w:rPr>
        <w:t xml:space="preserve"> dos </w:t>
      </w:r>
      <w:r w:rsidR="00EB1CE9" w:rsidRPr="00D5464D">
        <w:rPr>
          <w:rFonts w:eastAsia="Batang" w:cs="Times"/>
          <w:szCs w:val="24"/>
          <w:lang w:val="pt-BR" w:eastAsia="es-ES"/>
        </w:rPr>
        <w:t>representante</w:t>
      </w:r>
      <w:r w:rsidR="000A52D5" w:rsidRPr="00D5464D">
        <w:rPr>
          <w:rFonts w:eastAsia="Batang" w:cs="Times"/>
          <w:szCs w:val="24"/>
          <w:lang w:val="pt-BR" w:eastAsia="es-ES"/>
        </w:rPr>
        <w:t>s sobre</w:t>
      </w:r>
      <w:r w:rsidR="002C330E" w:rsidRPr="00D5464D">
        <w:rPr>
          <w:rFonts w:eastAsia="Batang" w:cs="Times"/>
          <w:szCs w:val="24"/>
          <w:lang w:val="pt-BR" w:eastAsia="es-ES"/>
        </w:rPr>
        <w:t xml:space="preserve"> as indenizações</w:t>
      </w:r>
      <w:r w:rsidR="000A52D5" w:rsidRPr="00D5464D">
        <w:rPr>
          <w:rFonts w:eastAsia="Batang" w:cs="Times"/>
          <w:szCs w:val="24"/>
          <w:lang w:val="pt-BR" w:eastAsia="es-ES"/>
        </w:rPr>
        <w:t xml:space="preserve"> ordenadas</w:t>
      </w:r>
      <w:r w:rsidR="002C330E" w:rsidRPr="00D5464D">
        <w:rPr>
          <w:rFonts w:eastAsia="Batang" w:cs="Times"/>
          <w:szCs w:val="24"/>
          <w:lang w:val="pt-BR" w:eastAsia="es-ES"/>
        </w:rPr>
        <w:t xml:space="preserve"> pela </w:t>
      </w:r>
      <w:r w:rsidR="000A52D5" w:rsidRPr="00D5464D">
        <w:rPr>
          <w:rFonts w:eastAsia="Batang" w:cs="Times"/>
          <w:szCs w:val="24"/>
          <w:lang w:val="pt-BR" w:eastAsia="es-ES"/>
        </w:rPr>
        <w:t>Corte surge</w:t>
      </w:r>
      <w:r w:rsidRPr="00D5464D">
        <w:rPr>
          <w:rFonts w:eastAsia="Batang" w:cs="Times"/>
          <w:szCs w:val="24"/>
          <w:lang w:val="pt-BR" w:eastAsia="es-ES"/>
        </w:rPr>
        <w:t xml:space="preserve"> da </w:t>
      </w:r>
      <w:r w:rsidR="000A52D5" w:rsidRPr="00D5464D">
        <w:rPr>
          <w:rFonts w:eastAsia="Batang" w:cs="Times"/>
          <w:szCs w:val="24"/>
          <w:lang w:val="pt-BR" w:eastAsia="es-ES"/>
        </w:rPr>
        <w:t>declara</w:t>
      </w:r>
      <w:r w:rsidRPr="00D5464D">
        <w:rPr>
          <w:rFonts w:eastAsia="Batang" w:cs="Times"/>
          <w:szCs w:val="24"/>
          <w:lang w:val="pt-BR" w:eastAsia="es-ES"/>
        </w:rPr>
        <w:t>ção</w:t>
      </w:r>
      <w:r w:rsidR="000A52D5" w:rsidRPr="00D5464D">
        <w:rPr>
          <w:rFonts w:eastAsia="Batang" w:cs="Times"/>
          <w:szCs w:val="24"/>
          <w:lang w:val="pt-BR" w:eastAsia="es-ES"/>
        </w:rPr>
        <w:t xml:space="preserve"> de </w:t>
      </w:r>
      <w:r w:rsidR="002C330E" w:rsidRPr="00D5464D">
        <w:rPr>
          <w:rFonts w:eastAsia="Batang" w:cs="Times"/>
          <w:szCs w:val="24"/>
          <w:lang w:val="pt-BR" w:eastAsia="es-ES"/>
        </w:rPr>
        <w:t xml:space="preserve">responsabilidade </w:t>
      </w:r>
      <w:r w:rsidRPr="00D5464D">
        <w:rPr>
          <w:rFonts w:eastAsia="Batang" w:cs="Times"/>
          <w:szCs w:val="24"/>
          <w:lang w:val="pt-BR" w:eastAsia="es-ES"/>
        </w:rPr>
        <w:t xml:space="preserve">do </w:t>
      </w:r>
      <w:r w:rsidR="000A52D5" w:rsidRPr="00D5464D">
        <w:rPr>
          <w:rFonts w:eastAsia="Batang" w:cs="Times"/>
          <w:szCs w:val="24"/>
          <w:lang w:val="pt-BR" w:eastAsia="es-ES"/>
        </w:rPr>
        <w:t>Estado</w:t>
      </w:r>
      <w:r w:rsidRPr="00D5464D">
        <w:rPr>
          <w:rFonts w:eastAsia="Batang" w:cs="Times"/>
          <w:szCs w:val="24"/>
          <w:lang w:val="pt-BR" w:eastAsia="es-ES"/>
        </w:rPr>
        <w:t xml:space="preserve"> em questão</w:t>
      </w:r>
      <w:r w:rsidR="000A52D5" w:rsidRPr="00D5464D">
        <w:rPr>
          <w:rFonts w:eastAsia="Batang" w:cs="Times"/>
          <w:szCs w:val="24"/>
          <w:lang w:val="pt-BR" w:eastAsia="es-ES"/>
        </w:rPr>
        <w:t>,</w:t>
      </w:r>
      <w:r w:rsidR="002C330E" w:rsidRPr="00D5464D">
        <w:rPr>
          <w:rFonts w:eastAsia="Batang" w:cs="Times"/>
          <w:szCs w:val="24"/>
          <w:lang w:val="pt-BR" w:eastAsia="es-ES"/>
        </w:rPr>
        <w:t xml:space="preserve"> o que </w:t>
      </w:r>
      <w:r w:rsidRPr="00D5464D">
        <w:rPr>
          <w:rFonts w:eastAsia="Batang" w:cs="Times"/>
          <w:szCs w:val="24"/>
          <w:lang w:val="pt-BR" w:eastAsia="es-ES"/>
        </w:rPr>
        <w:t>constitui</w:t>
      </w:r>
      <w:r w:rsidR="00E045D9" w:rsidRPr="00D5464D">
        <w:rPr>
          <w:rFonts w:eastAsia="Batang" w:cs="Times"/>
          <w:szCs w:val="24"/>
          <w:lang w:val="pt-BR" w:eastAsia="es-ES"/>
        </w:rPr>
        <w:t xml:space="preserve"> uma </w:t>
      </w:r>
      <w:r w:rsidRPr="00D5464D">
        <w:rPr>
          <w:rFonts w:eastAsia="Batang" w:cs="Times"/>
          <w:szCs w:val="24"/>
          <w:lang w:val="pt-BR" w:eastAsia="es-ES"/>
        </w:rPr>
        <w:t>consequência</w:t>
      </w:r>
      <w:r w:rsidR="000A52D5" w:rsidRPr="00D5464D">
        <w:rPr>
          <w:rFonts w:eastAsia="Batang" w:cs="Times"/>
          <w:szCs w:val="24"/>
          <w:lang w:val="pt-BR" w:eastAsia="es-ES"/>
        </w:rPr>
        <w:t xml:space="preserve"> automática de</w:t>
      </w:r>
      <w:r w:rsidR="00443B57" w:rsidRPr="00D5464D">
        <w:rPr>
          <w:rFonts w:eastAsia="Batang" w:cs="Times"/>
          <w:szCs w:val="24"/>
          <w:lang w:val="pt-BR" w:eastAsia="es-ES"/>
        </w:rPr>
        <w:t>st</w:t>
      </w:r>
      <w:r w:rsidR="000A52D5" w:rsidRPr="00D5464D">
        <w:rPr>
          <w:rFonts w:eastAsia="Batang" w:cs="Times"/>
          <w:szCs w:val="24"/>
          <w:lang w:val="pt-BR" w:eastAsia="es-ES"/>
        </w:rPr>
        <w:t>a responsabil</w:t>
      </w:r>
      <w:r w:rsidR="00E765C2" w:rsidRPr="00D5464D">
        <w:rPr>
          <w:rFonts w:eastAsia="Batang" w:cs="Times"/>
          <w:szCs w:val="24"/>
          <w:lang w:val="pt-BR" w:eastAsia="es-ES"/>
        </w:rPr>
        <w:t>idade.</w:t>
      </w:r>
      <w:r w:rsidR="00A1358C" w:rsidRPr="00D5464D">
        <w:rPr>
          <w:rFonts w:eastAsia="Batang" w:cs="Times"/>
          <w:szCs w:val="24"/>
          <w:lang w:val="pt-BR" w:eastAsia="es-ES"/>
        </w:rPr>
        <w:t xml:space="preserve"> A </w:t>
      </w:r>
      <w:r w:rsidR="000A52D5" w:rsidRPr="00D5464D">
        <w:rPr>
          <w:rFonts w:eastAsia="Batang" w:cs="Times"/>
          <w:szCs w:val="24"/>
          <w:lang w:val="pt-BR" w:eastAsia="es-ES"/>
        </w:rPr>
        <w:t>Conven</w:t>
      </w:r>
      <w:r w:rsidRPr="00D5464D">
        <w:rPr>
          <w:rFonts w:eastAsia="Batang" w:cs="Times"/>
          <w:szCs w:val="24"/>
          <w:lang w:val="pt-BR" w:eastAsia="es-ES"/>
        </w:rPr>
        <w:t>ção</w:t>
      </w:r>
      <w:r w:rsidR="000A52D5" w:rsidRPr="00D5464D">
        <w:rPr>
          <w:rFonts w:eastAsia="Batang" w:cs="Times"/>
          <w:szCs w:val="24"/>
          <w:lang w:val="pt-BR" w:eastAsia="es-ES"/>
        </w:rPr>
        <w:t xml:space="preserve"> n</w:t>
      </w:r>
      <w:r w:rsidR="00443B57" w:rsidRPr="00D5464D">
        <w:rPr>
          <w:rFonts w:eastAsia="Batang" w:cs="Times"/>
          <w:szCs w:val="24"/>
          <w:lang w:val="pt-BR" w:eastAsia="es-ES"/>
        </w:rPr>
        <w:t>ã</w:t>
      </w:r>
      <w:r w:rsidR="000A52D5" w:rsidRPr="00D5464D">
        <w:rPr>
          <w:rFonts w:eastAsia="Batang" w:cs="Times"/>
          <w:szCs w:val="24"/>
          <w:lang w:val="pt-BR" w:eastAsia="es-ES"/>
        </w:rPr>
        <w:t xml:space="preserve">o </w:t>
      </w:r>
      <w:r w:rsidR="00350187" w:rsidRPr="00D5464D">
        <w:rPr>
          <w:rFonts w:eastAsia="Batang" w:cs="Times"/>
          <w:szCs w:val="24"/>
          <w:lang w:val="pt-BR" w:eastAsia="es-ES"/>
        </w:rPr>
        <w:t>prevê</w:t>
      </w:r>
      <w:r w:rsidR="000A52D5" w:rsidRPr="00D5464D">
        <w:rPr>
          <w:rFonts w:eastAsia="Batang" w:cs="Times"/>
          <w:szCs w:val="24"/>
          <w:lang w:val="pt-BR" w:eastAsia="es-ES"/>
        </w:rPr>
        <w:t xml:space="preserve"> </w:t>
      </w:r>
      <w:r w:rsidR="00A1358C" w:rsidRPr="00D5464D">
        <w:rPr>
          <w:rFonts w:eastAsia="Batang" w:cs="Times"/>
          <w:szCs w:val="24"/>
          <w:lang w:val="pt-BR" w:eastAsia="es-ES"/>
        </w:rPr>
        <w:t>quais</w:t>
      </w:r>
      <w:r w:rsidR="00BC2C43" w:rsidRPr="00D5464D">
        <w:rPr>
          <w:rFonts w:eastAsia="Batang" w:cs="Times"/>
          <w:szCs w:val="24"/>
          <w:lang w:val="pt-BR" w:eastAsia="es-ES"/>
        </w:rPr>
        <w:t xml:space="preserve"> </w:t>
      </w:r>
      <w:r w:rsidR="000A52D5" w:rsidRPr="00D5464D">
        <w:rPr>
          <w:rFonts w:eastAsia="Batang" w:cs="Times"/>
          <w:szCs w:val="24"/>
          <w:lang w:val="pt-BR" w:eastAsia="es-ES"/>
        </w:rPr>
        <w:t xml:space="preserve">mecanismos </w:t>
      </w:r>
      <w:r w:rsidRPr="00D5464D">
        <w:rPr>
          <w:rFonts w:eastAsia="Batang" w:cs="Times"/>
          <w:szCs w:val="24"/>
          <w:lang w:val="pt-BR" w:eastAsia="es-ES"/>
        </w:rPr>
        <w:t>adicionais</w:t>
      </w:r>
      <w:r w:rsidR="000A52D5" w:rsidRPr="00D5464D">
        <w:rPr>
          <w:rFonts w:eastAsia="Batang" w:cs="Times"/>
          <w:szCs w:val="24"/>
          <w:lang w:val="pt-BR" w:eastAsia="es-ES"/>
        </w:rPr>
        <w:t xml:space="preserve"> </w:t>
      </w:r>
      <w:r w:rsidRPr="00D5464D">
        <w:rPr>
          <w:rFonts w:eastAsia="Batang" w:cs="Times"/>
          <w:szCs w:val="24"/>
          <w:lang w:val="pt-BR" w:eastAsia="es-ES"/>
        </w:rPr>
        <w:t>devem</w:t>
      </w:r>
      <w:r w:rsidR="000A52D5" w:rsidRPr="00D5464D">
        <w:rPr>
          <w:rFonts w:eastAsia="Batang" w:cs="Times"/>
          <w:szCs w:val="24"/>
          <w:lang w:val="pt-BR" w:eastAsia="es-ES"/>
        </w:rPr>
        <w:t xml:space="preserve"> ser </w:t>
      </w:r>
      <w:r w:rsidRPr="00D5464D">
        <w:rPr>
          <w:rFonts w:eastAsia="Batang" w:cs="Times"/>
          <w:szCs w:val="24"/>
          <w:lang w:val="pt-BR" w:eastAsia="es-ES"/>
        </w:rPr>
        <w:t>esgotado</w:t>
      </w:r>
      <w:r w:rsidR="000A52D5" w:rsidRPr="00D5464D">
        <w:rPr>
          <w:rFonts w:eastAsia="Batang" w:cs="Times"/>
          <w:szCs w:val="24"/>
          <w:lang w:val="pt-BR" w:eastAsia="es-ES"/>
        </w:rPr>
        <w:t>s para que</w:t>
      </w:r>
      <w:r w:rsidR="002C330E" w:rsidRPr="00D5464D">
        <w:rPr>
          <w:rFonts w:eastAsia="Batang" w:cs="Times"/>
          <w:szCs w:val="24"/>
          <w:lang w:val="pt-BR" w:eastAsia="es-ES"/>
        </w:rPr>
        <w:t xml:space="preserve"> as </w:t>
      </w:r>
      <w:r w:rsidR="00E045D9" w:rsidRPr="00D5464D">
        <w:rPr>
          <w:rFonts w:eastAsia="Batang" w:cs="Times"/>
          <w:szCs w:val="24"/>
          <w:lang w:val="pt-BR" w:eastAsia="es-ES"/>
        </w:rPr>
        <w:t>vítima</w:t>
      </w:r>
      <w:r w:rsidR="000A52D5" w:rsidRPr="00D5464D">
        <w:rPr>
          <w:rFonts w:eastAsia="Batang" w:cs="Times"/>
          <w:szCs w:val="24"/>
          <w:lang w:val="pt-BR" w:eastAsia="es-ES"/>
        </w:rPr>
        <w:t xml:space="preserve">s </w:t>
      </w:r>
      <w:r w:rsidR="00737270" w:rsidRPr="00D5464D">
        <w:rPr>
          <w:rFonts w:eastAsia="Batang" w:cs="Times"/>
          <w:szCs w:val="24"/>
          <w:lang w:val="pt-BR" w:eastAsia="es-ES"/>
        </w:rPr>
        <w:t>possam</w:t>
      </w:r>
      <w:r w:rsidR="000A52D5" w:rsidRPr="00D5464D">
        <w:rPr>
          <w:rFonts w:eastAsia="Batang" w:cs="Times"/>
          <w:szCs w:val="24"/>
          <w:lang w:val="pt-BR" w:eastAsia="es-ES"/>
        </w:rPr>
        <w:t xml:space="preserve"> </w:t>
      </w:r>
      <w:r w:rsidR="002C330E" w:rsidRPr="00D5464D">
        <w:rPr>
          <w:rFonts w:eastAsia="Batang" w:cs="Times"/>
          <w:szCs w:val="24"/>
          <w:lang w:val="pt-BR" w:eastAsia="es-ES"/>
        </w:rPr>
        <w:t>obter</w:t>
      </w:r>
      <w:r w:rsidR="00E045D9" w:rsidRPr="00D5464D">
        <w:rPr>
          <w:rFonts w:eastAsia="Batang" w:cs="Times"/>
          <w:szCs w:val="24"/>
          <w:lang w:val="pt-BR" w:eastAsia="es-ES"/>
        </w:rPr>
        <w:t xml:space="preserve"> uma </w:t>
      </w:r>
      <w:r w:rsidR="002C330E" w:rsidRPr="00D5464D">
        <w:rPr>
          <w:rFonts w:eastAsia="Batang" w:cs="Times"/>
          <w:szCs w:val="24"/>
          <w:lang w:val="pt-BR" w:eastAsia="es-ES"/>
        </w:rPr>
        <w:t>indenização</w:t>
      </w:r>
      <w:r w:rsidR="00A1358C" w:rsidRPr="00D5464D">
        <w:rPr>
          <w:rFonts w:eastAsia="Batang" w:cs="Times"/>
          <w:szCs w:val="24"/>
          <w:lang w:val="pt-BR" w:eastAsia="es-ES"/>
        </w:rPr>
        <w:t xml:space="preserve">. A </w:t>
      </w:r>
      <w:r w:rsidRPr="00D5464D">
        <w:rPr>
          <w:rFonts w:eastAsia="Batang" w:cs="Times"/>
          <w:szCs w:val="24"/>
          <w:lang w:val="pt-BR" w:eastAsia="es-ES"/>
        </w:rPr>
        <w:t>Comissão</w:t>
      </w:r>
      <w:r w:rsidR="000A52D5" w:rsidRPr="00D5464D">
        <w:rPr>
          <w:rFonts w:eastAsia="Batang" w:cs="Times"/>
          <w:szCs w:val="24"/>
          <w:lang w:val="pt-BR" w:eastAsia="es-ES"/>
        </w:rPr>
        <w:t xml:space="preserve"> </w:t>
      </w:r>
      <w:r w:rsidR="002C330E" w:rsidRPr="00D5464D">
        <w:rPr>
          <w:rFonts w:eastAsia="Batang" w:cs="Times"/>
          <w:szCs w:val="24"/>
          <w:lang w:val="pt-BR" w:eastAsia="es-ES"/>
        </w:rPr>
        <w:t>afirmou</w:t>
      </w:r>
      <w:r w:rsidR="000A52D5" w:rsidRPr="00D5464D">
        <w:rPr>
          <w:rFonts w:eastAsia="Batang" w:cs="Times"/>
          <w:szCs w:val="24"/>
          <w:lang w:val="pt-BR" w:eastAsia="es-ES"/>
        </w:rPr>
        <w:t xml:space="preserve"> que</w:t>
      </w:r>
      <w:r w:rsidR="00E045D9" w:rsidRPr="00D5464D">
        <w:rPr>
          <w:rFonts w:eastAsia="Batang" w:cs="Times"/>
          <w:szCs w:val="24"/>
          <w:lang w:val="pt-BR" w:eastAsia="es-ES"/>
        </w:rPr>
        <w:t xml:space="preserve"> uma </w:t>
      </w:r>
      <w:r w:rsidR="002C330E" w:rsidRPr="00D5464D">
        <w:rPr>
          <w:rFonts w:eastAsia="Batang" w:cs="Times"/>
          <w:szCs w:val="24"/>
          <w:lang w:val="pt-BR" w:eastAsia="es-ES"/>
        </w:rPr>
        <w:t>obrigação</w:t>
      </w:r>
      <w:r w:rsidR="000A52D5" w:rsidRPr="00D5464D">
        <w:rPr>
          <w:rFonts w:eastAsia="Batang" w:cs="Times"/>
          <w:szCs w:val="24"/>
          <w:lang w:val="pt-BR" w:eastAsia="es-ES"/>
        </w:rPr>
        <w:t xml:space="preserve"> de </w:t>
      </w:r>
      <w:r w:rsidR="00350187" w:rsidRPr="00D5464D">
        <w:rPr>
          <w:rFonts w:eastAsia="Batang" w:cs="Times"/>
          <w:szCs w:val="24"/>
          <w:lang w:val="pt-BR" w:eastAsia="es-ES"/>
        </w:rPr>
        <w:t>esgotar</w:t>
      </w:r>
      <w:r w:rsidR="002C330E" w:rsidRPr="00D5464D">
        <w:rPr>
          <w:rFonts w:eastAsia="Batang" w:cs="Times"/>
          <w:szCs w:val="24"/>
          <w:lang w:val="pt-BR" w:eastAsia="es-ES"/>
        </w:rPr>
        <w:t xml:space="preserve"> os </w:t>
      </w:r>
      <w:r w:rsidR="000A52D5" w:rsidRPr="00D5464D">
        <w:rPr>
          <w:rFonts w:eastAsia="Batang" w:cs="Times"/>
          <w:szCs w:val="24"/>
          <w:lang w:val="pt-BR" w:eastAsia="es-ES"/>
        </w:rPr>
        <w:t>recursos</w:t>
      </w:r>
      <w:r w:rsidR="00443B57" w:rsidRPr="00D5464D">
        <w:rPr>
          <w:rFonts w:eastAsia="Batang" w:cs="Times"/>
          <w:szCs w:val="24"/>
          <w:lang w:val="pt-BR" w:eastAsia="es-ES"/>
        </w:rPr>
        <w:t>,</w:t>
      </w:r>
      <w:r w:rsidR="000A52D5" w:rsidRPr="00D5464D">
        <w:rPr>
          <w:rFonts w:eastAsia="Batang" w:cs="Times"/>
          <w:szCs w:val="24"/>
          <w:lang w:val="pt-BR" w:eastAsia="es-ES"/>
        </w:rPr>
        <w:t xml:space="preserve"> como</w:t>
      </w:r>
      <w:r w:rsidRPr="00D5464D">
        <w:rPr>
          <w:rFonts w:eastAsia="Batang" w:cs="Times"/>
          <w:szCs w:val="24"/>
          <w:lang w:val="pt-BR" w:eastAsia="es-ES"/>
        </w:rPr>
        <w:t xml:space="preserve"> foi </w:t>
      </w:r>
      <w:r w:rsidR="002C330E" w:rsidRPr="00D5464D">
        <w:rPr>
          <w:rFonts w:eastAsia="Batang" w:cs="Times"/>
          <w:szCs w:val="24"/>
          <w:lang w:val="pt-BR" w:eastAsia="es-ES"/>
        </w:rPr>
        <w:t>propost</w:t>
      </w:r>
      <w:r w:rsidR="000A52D5" w:rsidRPr="00D5464D">
        <w:rPr>
          <w:rFonts w:eastAsia="Batang" w:cs="Times"/>
          <w:szCs w:val="24"/>
          <w:lang w:val="pt-BR" w:eastAsia="es-ES"/>
        </w:rPr>
        <w:t>a</w:t>
      </w:r>
      <w:r w:rsidR="002C330E" w:rsidRPr="00D5464D">
        <w:rPr>
          <w:rFonts w:eastAsia="Batang" w:cs="Times"/>
          <w:szCs w:val="24"/>
          <w:lang w:val="pt-BR" w:eastAsia="es-ES"/>
        </w:rPr>
        <w:t xml:space="preserve"> pelo </w:t>
      </w:r>
      <w:r w:rsidR="000A52D5" w:rsidRPr="00D5464D">
        <w:rPr>
          <w:rFonts w:eastAsia="Batang" w:cs="Times"/>
          <w:szCs w:val="24"/>
          <w:lang w:val="pt-BR" w:eastAsia="es-ES"/>
        </w:rPr>
        <w:t>Estado,</w:t>
      </w:r>
      <w:r w:rsidR="00230C71" w:rsidRPr="00D5464D">
        <w:rPr>
          <w:rFonts w:eastAsia="Batang" w:cs="Times"/>
          <w:szCs w:val="24"/>
          <w:lang w:val="pt-BR" w:eastAsia="es-ES"/>
        </w:rPr>
        <w:t xml:space="preserve"> não apenas</w:t>
      </w:r>
      <w:r w:rsidR="000A52D5" w:rsidRPr="00D5464D">
        <w:rPr>
          <w:rFonts w:eastAsia="Batang" w:cs="Times"/>
          <w:szCs w:val="24"/>
          <w:lang w:val="pt-BR" w:eastAsia="es-ES"/>
        </w:rPr>
        <w:t xml:space="preserve"> coloc</w:t>
      </w:r>
      <w:r w:rsidR="00E765C2" w:rsidRPr="00D5464D">
        <w:rPr>
          <w:rFonts w:eastAsia="Batang" w:cs="Times"/>
          <w:szCs w:val="24"/>
          <w:lang w:val="pt-BR" w:eastAsia="es-ES"/>
        </w:rPr>
        <w:t xml:space="preserve">aria </w:t>
      </w:r>
      <w:r w:rsidR="00E045D9" w:rsidRPr="00D5464D">
        <w:rPr>
          <w:rFonts w:eastAsia="Batang" w:cs="Times"/>
          <w:szCs w:val="24"/>
          <w:lang w:val="pt-BR" w:eastAsia="es-ES"/>
        </w:rPr>
        <w:t xml:space="preserve">uma </w:t>
      </w:r>
      <w:r w:rsidR="000A52D5" w:rsidRPr="00D5464D">
        <w:rPr>
          <w:rFonts w:eastAsia="Batang" w:cs="Times"/>
          <w:szCs w:val="24"/>
          <w:lang w:val="pt-BR" w:eastAsia="es-ES"/>
        </w:rPr>
        <w:t xml:space="preserve">carga </w:t>
      </w:r>
      <w:r w:rsidR="00C91CB1" w:rsidRPr="00D5464D">
        <w:rPr>
          <w:rFonts w:eastAsia="Batang" w:cs="Times"/>
          <w:szCs w:val="24"/>
          <w:lang w:val="pt-BR" w:eastAsia="es-ES"/>
        </w:rPr>
        <w:t>desproporcional</w:t>
      </w:r>
      <w:r w:rsidR="000A52D5" w:rsidRPr="00D5464D">
        <w:rPr>
          <w:rFonts w:eastAsia="Batang" w:cs="Times"/>
          <w:szCs w:val="24"/>
          <w:lang w:val="pt-BR" w:eastAsia="es-ES"/>
        </w:rPr>
        <w:t xml:space="preserve"> sobre</w:t>
      </w:r>
      <w:r w:rsidR="002C330E" w:rsidRPr="00D5464D">
        <w:rPr>
          <w:rFonts w:eastAsia="Batang" w:cs="Times"/>
          <w:szCs w:val="24"/>
          <w:lang w:val="pt-BR" w:eastAsia="es-ES"/>
        </w:rPr>
        <w:t xml:space="preserve"> as </w:t>
      </w:r>
      <w:r w:rsidR="00E045D9" w:rsidRPr="00D5464D">
        <w:rPr>
          <w:rFonts w:eastAsia="Batang" w:cs="Times"/>
          <w:szCs w:val="24"/>
          <w:lang w:val="pt-BR" w:eastAsia="es-ES"/>
        </w:rPr>
        <w:t>vítima</w:t>
      </w:r>
      <w:r w:rsidR="000A52D5" w:rsidRPr="00D5464D">
        <w:rPr>
          <w:rFonts w:eastAsia="Batang" w:cs="Times"/>
          <w:szCs w:val="24"/>
          <w:lang w:val="pt-BR" w:eastAsia="es-ES"/>
        </w:rPr>
        <w:t>s,</w:t>
      </w:r>
      <w:r w:rsidR="002C330E" w:rsidRPr="00D5464D">
        <w:rPr>
          <w:rFonts w:eastAsia="Batang" w:cs="Times"/>
          <w:szCs w:val="24"/>
          <w:lang w:val="pt-BR" w:eastAsia="es-ES"/>
        </w:rPr>
        <w:t xml:space="preserve"> mas </w:t>
      </w:r>
      <w:r w:rsidR="00E045D9" w:rsidRPr="00D5464D">
        <w:rPr>
          <w:rFonts w:eastAsia="Batang" w:cs="Times"/>
          <w:szCs w:val="24"/>
          <w:lang w:val="pt-BR" w:eastAsia="es-ES"/>
        </w:rPr>
        <w:t>também</w:t>
      </w:r>
      <w:r w:rsidR="000A52D5" w:rsidRPr="00D5464D">
        <w:rPr>
          <w:rFonts w:eastAsia="Batang" w:cs="Times"/>
          <w:szCs w:val="24"/>
          <w:lang w:val="pt-BR" w:eastAsia="es-ES"/>
        </w:rPr>
        <w:t xml:space="preserve"> </w:t>
      </w:r>
      <w:r w:rsidR="00E045D9" w:rsidRPr="00D5464D">
        <w:rPr>
          <w:rFonts w:eastAsia="Batang" w:cs="Times"/>
          <w:szCs w:val="24"/>
          <w:lang w:val="pt-BR" w:eastAsia="es-ES"/>
        </w:rPr>
        <w:t xml:space="preserve">seria </w:t>
      </w:r>
      <w:r w:rsidR="00C91CB1" w:rsidRPr="00D5464D">
        <w:rPr>
          <w:rFonts w:eastAsia="Batang" w:cs="Times"/>
          <w:szCs w:val="24"/>
          <w:lang w:val="pt-BR" w:eastAsia="es-ES"/>
        </w:rPr>
        <w:t>contrári</w:t>
      </w:r>
      <w:r w:rsidR="00443B57" w:rsidRPr="00D5464D">
        <w:rPr>
          <w:rFonts w:eastAsia="Batang" w:cs="Times"/>
          <w:szCs w:val="24"/>
          <w:lang w:val="pt-BR" w:eastAsia="es-ES"/>
        </w:rPr>
        <w:t>a</w:t>
      </w:r>
      <w:r w:rsidR="00C91CB1" w:rsidRPr="00D5464D">
        <w:rPr>
          <w:rFonts w:eastAsia="Batang" w:cs="Times"/>
          <w:szCs w:val="24"/>
          <w:lang w:val="pt-BR" w:eastAsia="es-ES"/>
        </w:rPr>
        <w:t xml:space="preserve"> </w:t>
      </w:r>
      <w:r w:rsidRPr="00D5464D">
        <w:rPr>
          <w:rFonts w:eastAsia="Batang" w:cs="Times"/>
          <w:szCs w:val="24"/>
          <w:lang w:val="pt-BR" w:eastAsia="es-ES"/>
        </w:rPr>
        <w:t xml:space="preserve">ao </w:t>
      </w:r>
      <w:r w:rsidR="000A52D5" w:rsidRPr="00D5464D">
        <w:rPr>
          <w:rFonts w:eastAsia="Batang" w:cs="Times"/>
          <w:szCs w:val="24"/>
          <w:lang w:val="pt-BR" w:eastAsia="es-ES"/>
        </w:rPr>
        <w:t>previsto</w:t>
      </w:r>
      <w:r w:rsidR="00E045D9" w:rsidRPr="00D5464D">
        <w:rPr>
          <w:rFonts w:eastAsia="Batang" w:cs="Times"/>
          <w:szCs w:val="24"/>
          <w:lang w:val="pt-BR" w:eastAsia="es-ES"/>
        </w:rPr>
        <w:t xml:space="preserve"> na </w:t>
      </w:r>
      <w:r w:rsidR="000A52D5" w:rsidRPr="00D5464D">
        <w:rPr>
          <w:rFonts w:eastAsia="Batang" w:cs="Times"/>
          <w:szCs w:val="24"/>
          <w:lang w:val="pt-BR" w:eastAsia="es-ES"/>
        </w:rPr>
        <w:t>Conven</w:t>
      </w:r>
      <w:r w:rsidRPr="00D5464D">
        <w:rPr>
          <w:rFonts w:eastAsia="Batang" w:cs="Times"/>
          <w:szCs w:val="24"/>
          <w:lang w:val="pt-BR" w:eastAsia="es-ES"/>
        </w:rPr>
        <w:t>ção</w:t>
      </w:r>
      <w:r w:rsidR="00E045D9" w:rsidRPr="00D5464D">
        <w:rPr>
          <w:rFonts w:eastAsia="Batang" w:cs="Times"/>
          <w:szCs w:val="24"/>
          <w:lang w:val="pt-BR" w:eastAsia="es-ES"/>
        </w:rPr>
        <w:t xml:space="preserve"> e </w:t>
      </w:r>
      <w:r w:rsidR="008452C0" w:rsidRPr="00D5464D">
        <w:rPr>
          <w:rFonts w:eastAsia="Batang" w:cs="Times"/>
          <w:szCs w:val="24"/>
          <w:lang w:val="pt-BR" w:eastAsia="es-ES"/>
        </w:rPr>
        <w:t xml:space="preserve">à </w:t>
      </w:r>
      <w:r w:rsidR="005326C7" w:rsidRPr="00D5464D">
        <w:rPr>
          <w:rFonts w:eastAsia="Batang" w:cs="Times"/>
          <w:szCs w:val="24"/>
          <w:lang w:val="pt-BR" w:eastAsia="es-ES"/>
        </w:rPr>
        <w:t xml:space="preserve">própria </w:t>
      </w:r>
      <w:r w:rsidR="008452C0" w:rsidRPr="00D5464D">
        <w:rPr>
          <w:rFonts w:eastAsia="Batang" w:cs="Times"/>
          <w:szCs w:val="24"/>
          <w:lang w:val="pt-BR" w:eastAsia="es-ES"/>
        </w:rPr>
        <w:t>razão de ser</w:t>
      </w:r>
      <w:r w:rsidR="000A52D5" w:rsidRPr="00D5464D">
        <w:rPr>
          <w:rFonts w:eastAsia="Batang" w:cs="Times"/>
          <w:szCs w:val="24"/>
          <w:lang w:val="pt-BR" w:eastAsia="es-ES"/>
        </w:rPr>
        <w:t xml:space="preserve">, tanto </w:t>
      </w:r>
      <w:r w:rsidRPr="00D5464D">
        <w:rPr>
          <w:rFonts w:eastAsia="Batang" w:cs="Times"/>
          <w:szCs w:val="24"/>
          <w:lang w:val="pt-BR" w:eastAsia="es-ES"/>
        </w:rPr>
        <w:t xml:space="preserve">do </w:t>
      </w:r>
      <w:r w:rsidR="000A52D5" w:rsidRPr="00D5464D">
        <w:rPr>
          <w:rFonts w:eastAsia="Batang" w:cs="Times"/>
          <w:szCs w:val="24"/>
          <w:lang w:val="pt-BR" w:eastAsia="es-ES"/>
        </w:rPr>
        <w:t xml:space="preserve">requisito de </w:t>
      </w:r>
      <w:r w:rsidRPr="00D5464D">
        <w:rPr>
          <w:rFonts w:eastAsia="Batang" w:cs="Times"/>
          <w:szCs w:val="24"/>
          <w:lang w:val="pt-BR" w:eastAsia="es-ES"/>
        </w:rPr>
        <w:t xml:space="preserve">esgotamento dos </w:t>
      </w:r>
      <w:r w:rsidR="000A52D5" w:rsidRPr="00D5464D">
        <w:rPr>
          <w:rFonts w:eastAsia="Batang" w:cs="Times"/>
          <w:szCs w:val="24"/>
          <w:lang w:val="pt-BR" w:eastAsia="es-ES"/>
        </w:rPr>
        <w:t>recursos internos como</w:t>
      </w:r>
      <w:r w:rsidRPr="00D5464D">
        <w:rPr>
          <w:rFonts w:eastAsia="Batang" w:cs="Times"/>
          <w:szCs w:val="24"/>
          <w:lang w:val="pt-BR" w:eastAsia="es-ES"/>
        </w:rPr>
        <w:t xml:space="preserve"> da </w:t>
      </w:r>
      <w:r w:rsidR="002C330E" w:rsidRPr="00D5464D">
        <w:rPr>
          <w:rFonts w:eastAsia="Batang" w:cs="Times"/>
          <w:szCs w:val="24"/>
          <w:lang w:val="pt-BR" w:eastAsia="es-ES"/>
        </w:rPr>
        <w:t>instituição</w:t>
      </w:r>
      <w:r w:rsidRPr="00D5464D">
        <w:rPr>
          <w:rFonts w:eastAsia="Batang" w:cs="Times"/>
          <w:szCs w:val="24"/>
          <w:lang w:val="pt-BR" w:eastAsia="es-ES"/>
        </w:rPr>
        <w:t xml:space="preserve"> da </w:t>
      </w:r>
      <w:r w:rsidR="002C330E" w:rsidRPr="00D5464D">
        <w:rPr>
          <w:rFonts w:eastAsia="Batang" w:cs="Times"/>
          <w:szCs w:val="24"/>
          <w:lang w:val="pt-BR" w:eastAsia="es-ES"/>
        </w:rPr>
        <w:t>indenização</w:t>
      </w:r>
      <w:r w:rsidR="000A52D5" w:rsidRPr="00D5464D">
        <w:rPr>
          <w:rFonts w:eastAsia="Batang" w:cs="Times"/>
          <w:szCs w:val="24"/>
          <w:lang w:val="pt-BR" w:eastAsia="es-ES"/>
        </w:rPr>
        <w:t xml:space="preserve">. </w:t>
      </w:r>
      <w:r w:rsidRPr="00D5464D">
        <w:rPr>
          <w:rFonts w:eastAsia="Batang" w:cs="Times"/>
          <w:szCs w:val="24"/>
          <w:lang w:val="pt-BR" w:eastAsia="es-ES"/>
        </w:rPr>
        <w:t>Ademais</w:t>
      </w:r>
      <w:r w:rsidR="000A52D5" w:rsidRPr="00D5464D">
        <w:rPr>
          <w:rFonts w:eastAsia="Batang" w:cs="Times"/>
          <w:szCs w:val="24"/>
          <w:lang w:val="pt-BR" w:eastAsia="es-ES"/>
        </w:rPr>
        <w:t xml:space="preserve">, </w:t>
      </w:r>
      <w:r w:rsidR="005F3480" w:rsidRPr="00D5464D">
        <w:rPr>
          <w:rFonts w:eastAsia="Batang" w:cs="Times"/>
          <w:szCs w:val="24"/>
          <w:lang w:val="pt-BR" w:eastAsia="es-ES"/>
        </w:rPr>
        <w:t>afirmou</w:t>
      </w:r>
      <w:r w:rsidR="000A52D5" w:rsidRPr="00D5464D">
        <w:rPr>
          <w:rFonts w:eastAsia="Batang" w:cs="Times"/>
          <w:szCs w:val="24"/>
          <w:lang w:val="pt-BR" w:eastAsia="es-ES"/>
        </w:rPr>
        <w:t xml:space="preserve"> que</w:t>
      </w:r>
      <w:r w:rsidRPr="00D5464D">
        <w:rPr>
          <w:rFonts w:eastAsia="Batang" w:cs="Times"/>
          <w:szCs w:val="24"/>
          <w:lang w:val="pt-BR" w:eastAsia="es-ES"/>
        </w:rPr>
        <w:t xml:space="preserve"> </w:t>
      </w:r>
      <w:r w:rsidR="00350187" w:rsidRPr="00D5464D">
        <w:rPr>
          <w:rFonts w:eastAsia="Batang" w:cs="Times"/>
          <w:szCs w:val="24"/>
          <w:lang w:val="pt-BR" w:eastAsia="es-ES"/>
        </w:rPr>
        <w:t>a alegação</w:t>
      </w:r>
      <w:r w:rsidR="000A52D5" w:rsidRPr="00D5464D">
        <w:rPr>
          <w:rFonts w:eastAsia="Batang" w:cs="Times"/>
          <w:szCs w:val="24"/>
          <w:lang w:val="pt-BR" w:eastAsia="es-ES"/>
        </w:rPr>
        <w:t xml:space="preserve"> </w:t>
      </w:r>
      <w:r w:rsidRPr="00D5464D">
        <w:rPr>
          <w:rFonts w:eastAsia="Batang" w:cs="Times"/>
          <w:szCs w:val="24"/>
          <w:lang w:val="pt-BR" w:eastAsia="es-ES"/>
        </w:rPr>
        <w:t xml:space="preserve">do </w:t>
      </w:r>
      <w:r w:rsidR="000A52D5" w:rsidRPr="00D5464D">
        <w:rPr>
          <w:rFonts w:eastAsia="Batang" w:cs="Times"/>
          <w:szCs w:val="24"/>
          <w:lang w:val="pt-BR" w:eastAsia="es-ES"/>
        </w:rPr>
        <w:t>Estado</w:t>
      </w:r>
      <w:r w:rsidRPr="00D5464D">
        <w:rPr>
          <w:rFonts w:eastAsia="Batang" w:cs="Times"/>
          <w:szCs w:val="24"/>
          <w:lang w:val="pt-BR" w:eastAsia="es-ES"/>
        </w:rPr>
        <w:t xml:space="preserve"> é extemporâne</w:t>
      </w:r>
      <w:r w:rsidR="00443B57" w:rsidRPr="00D5464D">
        <w:rPr>
          <w:rFonts w:eastAsia="Batang" w:cs="Times"/>
          <w:szCs w:val="24"/>
          <w:lang w:val="pt-BR" w:eastAsia="es-ES"/>
        </w:rPr>
        <w:t>a</w:t>
      </w:r>
      <w:r w:rsidR="000A52D5" w:rsidRPr="00D5464D">
        <w:rPr>
          <w:rFonts w:eastAsia="Batang" w:cs="Times"/>
          <w:szCs w:val="24"/>
          <w:lang w:val="pt-BR" w:eastAsia="es-ES"/>
        </w:rPr>
        <w:t xml:space="preserve">, </w:t>
      </w:r>
      <w:r w:rsidR="00443B57" w:rsidRPr="00D5464D">
        <w:rPr>
          <w:rFonts w:eastAsia="Batang" w:cs="Times"/>
          <w:szCs w:val="24"/>
          <w:lang w:val="pt-BR" w:eastAsia="es-ES"/>
        </w:rPr>
        <w:t xml:space="preserve">pois </w:t>
      </w:r>
      <w:r w:rsidR="00230C71" w:rsidRPr="00D5464D">
        <w:rPr>
          <w:rFonts w:eastAsia="Batang" w:cs="Times"/>
          <w:szCs w:val="24"/>
          <w:lang w:val="pt-BR" w:eastAsia="es-ES"/>
        </w:rPr>
        <w:t>a análise</w:t>
      </w:r>
      <w:r w:rsidR="00BC2C43" w:rsidRPr="00D5464D">
        <w:rPr>
          <w:rFonts w:eastAsia="Batang" w:cs="Times"/>
          <w:szCs w:val="24"/>
          <w:lang w:val="pt-BR" w:eastAsia="es-ES"/>
        </w:rPr>
        <w:t xml:space="preserve"> </w:t>
      </w:r>
      <w:r w:rsidRPr="00D5464D">
        <w:rPr>
          <w:rFonts w:eastAsia="Batang" w:cs="Times"/>
          <w:szCs w:val="24"/>
          <w:lang w:val="pt-BR" w:eastAsia="es-ES"/>
        </w:rPr>
        <w:t xml:space="preserve">do esgotamento dos </w:t>
      </w:r>
      <w:r w:rsidR="000A52D5" w:rsidRPr="00D5464D">
        <w:rPr>
          <w:rFonts w:eastAsia="Batang" w:cs="Times"/>
          <w:szCs w:val="24"/>
          <w:lang w:val="pt-BR" w:eastAsia="es-ES"/>
        </w:rPr>
        <w:t xml:space="preserve">recursos internos </w:t>
      </w:r>
      <w:r w:rsidR="00BC2C43" w:rsidRPr="00D5464D">
        <w:rPr>
          <w:rFonts w:eastAsia="Batang" w:cs="Times"/>
          <w:szCs w:val="24"/>
          <w:lang w:val="pt-BR" w:eastAsia="es-ES"/>
        </w:rPr>
        <w:t>corresponde</w:t>
      </w:r>
      <w:r w:rsidRPr="00D5464D">
        <w:rPr>
          <w:rFonts w:eastAsia="Batang" w:cs="Times"/>
          <w:szCs w:val="24"/>
          <w:lang w:val="pt-BR" w:eastAsia="es-ES"/>
        </w:rPr>
        <w:t xml:space="preserve"> à </w:t>
      </w:r>
      <w:r w:rsidR="00BC2C43" w:rsidRPr="00D5464D">
        <w:rPr>
          <w:rFonts w:eastAsia="Batang" w:cs="Times"/>
          <w:szCs w:val="24"/>
          <w:lang w:val="pt-BR" w:eastAsia="es-ES"/>
        </w:rPr>
        <w:t>etapa</w:t>
      </w:r>
      <w:r w:rsidR="000A52D5" w:rsidRPr="00D5464D">
        <w:rPr>
          <w:rFonts w:eastAsia="Batang" w:cs="Times"/>
          <w:szCs w:val="24"/>
          <w:lang w:val="pt-BR" w:eastAsia="es-ES"/>
        </w:rPr>
        <w:t xml:space="preserve"> de </w:t>
      </w:r>
      <w:r w:rsidRPr="00D5464D">
        <w:rPr>
          <w:rFonts w:eastAsia="Batang" w:cs="Times"/>
          <w:szCs w:val="24"/>
          <w:lang w:val="pt-BR" w:eastAsia="es-ES"/>
        </w:rPr>
        <w:t>admissibilidade</w:t>
      </w:r>
      <w:r w:rsidR="00326762" w:rsidRPr="00D5464D">
        <w:rPr>
          <w:rFonts w:eastAsia="Batang" w:cs="Times"/>
          <w:szCs w:val="24"/>
          <w:lang w:val="pt-BR" w:eastAsia="es-ES"/>
        </w:rPr>
        <w:t xml:space="preserve"> </w:t>
      </w:r>
      <w:r w:rsidRPr="00D5464D">
        <w:rPr>
          <w:rFonts w:eastAsia="Batang" w:cs="Times"/>
          <w:szCs w:val="24"/>
          <w:lang w:val="pt-BR" w:eastAsia="es-ES"/>
        </w:rPr>
        <w:t xml:space="preserve">do </w:t>
      </w:r>
      <w:r w:rsidR="00326762" w:rsidRPr="00D5464D">
        <w:rPr>
          <w:rFonts w:eastAsia="Batang" w:cs="Times"/>
          <w:szCs w:val="24"/>
          <w:lang w:val="pt-BR" w:eastAsia="es-ES"/>
        </w:rPr>
        <w:t>caso</w:t>
      </w:r>
      <w:r w:rsidRPr="00D5464D">
        <w:rPr>
          <w:rFonts w:eastAsia="Batang" w:cs="Times"/>
          <w:szCs w:val="24"/>
          <w:lang w:val="pt-BR" w:eastAsia="es-ES"/>
        </w:rPr>
        <w:t xml:space="preserve"> perante a Comissão</w:t>
      </w:r>
      <w:r w:rsidR="000A52D5" w:rsidRPr="00D5464D">
        <w:rPr>
          <w:rFonts w:eastAsia="Batang" w:cs="Times"/>
          <w:szCs w:val="24"/>
          <w:lang w:val="pt-BR" w:eastAsia="es-ES"/>
        </w:rPr>
        <w:t xml:space="preserve">. </w:t>
      </w:r>
    </w:p>
    <w:p w14:paraId="25822C64" w14:textId="77777777" w:rsidR="000A52D5" w:rsidRPr="00D5464D" w:rsidRDefault="000A52D5" w:rsidP="00140440">
      <w:pPr>
        <w:tabs>
          <w:tab w:val="clear" w:pos="4419"/>
          <w:tab w:val="clear" w:pos="8838"/>
        </w:tabs>
        <w:jc w:val="both"/>
        <w:rPr>
          <w:rFonts w:eastAsia="Batang" w:cs="Times"/>
          <w:szCs w:val="24"/>
          <w:lang w:val="pt-BR" w:eastAsia="es-ES"/>
        </w:rPr>
      </w:pPr>
    </w:p>
    <w:p w14:paraId="0DEDC788" w14:textId="0D3889A2" w:rsidR="000A52D5" w:rsidRPr="00D5464D" w:rsidRDefault="00737270"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Os </w:t>
      </w:r>
      <w:r w:rsidR="00EB1CE9" w:rsidRPr="00D5464D">
        <w:rPr>
          <w:rFonts w:eastAsia="Batang" w:cs="Times"/>
          <w:b/>
          <w:i/>
          <w:szCs w:val="24"/>
          <w:lang w:val="pt-BR" w:eastAsia="es-ES"/>
        </w:rPr>
        <w:t>representante</w:t>
      </w:r>
      <w:r w:rsidRPr="00D5464D">
        <w:rPr>
          <w:rFonts w:eastAsia="Batang" w:cs="Times"/>
          <w:b/>
          <w:i/>
          <w:szCs w:val="24"/>
          <w:lang w:val="pt-BR" w:eastAsia="es-ES"/>
        </w:rPr>
        <w:t>s</w:t>
      </w:r>
      <w:r w:rsidRPr="00D5464D">
        <w:rPr>
          <w:rFonts w:eastAsia="Batang" w:cs="Times"/>
          <w:szCs w:val="24"/>
          <w:lang w:val="pt-BR" w:eastAsia="es-ES"/>
        </w:rPr>
        <w:t xml:space="preserve"> </w:t>
      </w:r>
      <w:r w:rsidR="002C330E" w:rsidRPr="00D5464D">
        <w:rPr>
          <w:rFonts w:eastAsia="Batang" w:cs="Times"/>
          <w:szCs w:val="24"/>
          <w:lang w:val="pt-BR" w:eastAsia="es-ES"/>
        </w:rPr>
        <w:t>afirmaram</w:t>
      </w:r>
      <w:r w:rsidR="000A52D5" w:rsidRPr="00D5464D">
        <w:rPr>
          <w:rFonts w:eastAsia="Batang" w:cs="Times"/>
          <w:szCs w:val="24"/>
          <w:lang w:val="pt-BR" w:eastAsia="es-ES"/>
        </w:rPr>
        <w:t xml:space="preserve"> que</w:t>
      </w:r>
      <w:r w:rsidR="002C330E" w:rsidRPr="00D5464D">
        <w:rPr>
          <w:rFonts w:eastAsia="Batang" w:cs="Times"/>
          <w:szCs w:val="24"/>
          <w:lang w:val="pt-BR" w:eastAsia="es-ES"/>
        </w:rPr>
        <w:t xml:space="preserve"> a </w:t>
      </w:r>
      <w:r w:rsidR="000A52D5" w:rsidRPr="00D5464D">
        <w:rPr>
          <w:rFonts w:eastAsia="Batang" w:cs="Times"/>
          <w:szCs w:val="24"/>
          <w:lang w:val="pt-BR" w:eastAsia="es-ES"/>
        </w:rPr>
        <w:t>Corte</w:t>
      </w:r>
      <w:r w:rsidR="00BC2C43" w:rsidRPr="00D5464D">
        <w:rPr>
          <w:rFonts w:eastAsia="Batang" w:cs="Times"/>
          <w:szCs w:val="24"/>
          <w:lang w:val="pt-BR" w:eastAsia="es-ES"/>
        </w:rPr>
        <w:t>,</w:t>
      </w:r>
      <w:r w:rsidR="000A52D5" w:rsidRPr="00D5464D">
        <w:rPr>
          <w:rFonts w:eastAsia="Batang" w:cs="Times"/>
          <w:szCs w:val="24"/>
          <w:lang w:val="pt-BR" w:eastAsia="es-ES"/>
        </w:rPr>
        <w:t xml:space="preserve"> de forma cont</w:t>
      </w:r>
      <w:r w:rsidR="008452C0" w:rsidRPr="00D5464D">
        <w:rPr>
          <w:rFonts w:eastAsia="Batang" w:cs="Times"/>
          <w:szCs w:val="24"/>
          <w:lang w:val="pt-BR" w:eastAsia="es-ES"/>
        </w:rPr>
        <w:t>í</w:t>
      </w:r>
      <w:r w:rsidR="000A52D5" w:rsidRPr="00D5464D">
        <w:rPr>
          <w:rFonts w:eastAsia="Batang" w:cs="Times"/>
          <w:szCs w:val="24"/>
          <w:lang w:val="pt-BR" w:eastAsia="es-ES"/>
        </w:rPr>
        <w:t>nua</w:t>
      </w:r>
      <w:r w:rsidR="00BC2C43" w:rsidRPr="00D5464D">
        <w:rPr>
          <w:rFonts w:eastAsia="Batang" w:cs="Times"/>
          <w:szCs w:val="24"/>
          <w:lang w:val="pt-BR" w:eastAsia="es-ES"/>
        </w:rPr>
        <w:t>,</w:t>
      </w:r>
      <w:r w:rsidR="002C330E" w:rsidRPr="00D5464D">
        <w:rPr>
          <w:rFonts w:eastAsia="Batang" w:cs="Times"/>
          <w:szCs w:val="24"/>
          <w:lang w:val="pt-BR" w:eastAsia="es-ES"/>
        </w:rPr>
        <w:t xml:space="preserve"> tem argumentado </w:t>
      </w:r>
      <w:r w:rsidR="000A52D5" w:rsidRPr="00D5464D">
        <w:rPr>
          <w:rFonts w:eastAsia="Batang" w:cs="Times"/>
          <w:szCs w:val="24"/>
          <w:lang w:val="pt-BR" w:eastAsia="es-ES"/>
        </w:rPr>
        <w:t>que</w:t>
      </w:r>
      <w:r w:rsidR="00470ADC" w:rsidRPr="00D5464D">
        <w:rPr>
          <w:rFonts w:eastAsia="Batang" w:cs="Times"/>
          <w:szCs w:val="24"/>
          <w:lang w:val="pt-BR" w:eastAsia="es-ES"/>
        </w:rPr>
        <w:t xml:space="preserve"> o </w:t>
      </w:r>
      <w:r w:rsidR="000A52D5" w:rsidRPr="00D5464D">
        <w:rPr>
          <w:rFonts w:eastAsia="Batang" w:cs="Times"/>
          <w:szCs w:val="24"/>
          <w:lang w:val="pt-BR" w:eastAsia="es-ES"/>
        </w:rPr>
        <w:t xml:space="preserve">momento </w:t>
      </w:r>
      <w:r w:rsidR="002C330E" w:rsidRPr="00D5464D">
        <w:rPr>
          <w:rFonts w:eastAsia="Batang" w:cs="Times"/>
          <w:szCs w:val="24"/>
          <w:lang w:val="pt-BR" w:eastAsia="es-ES"/>
        </w:rPr>
        <w:t xml:space="preserve">processual </w:t>
      </w:r>
      <w:r w:rsidR="000A52D5" w:rsidRPr="00D5464D">
        <w:rPr>
          <w:rFonts w:eastAsia="Batang" w:cs="Times"/>
          <w:szCs w:val="24"/>
          <w:lang w:val="pt-BR" w:eastAsia="es-ES"/>
        </w:rPr>
        <w:t>oportuno para que</w:t>
      </w:r>
      <w:r w:rsidR="00470ADC" w:rsidRPr="00D5464D">
        <w:rPr>
          <w:rFonts w:eastAsia="Batang" w:cs="Times"/>
          <w:szCs w:val="24"/>
          <w:lang w:val="pt-BR" w:eastAsia="es-ES"/>
        </w:rPr>
        <w:t xml:space="preserve"> o </w:t>
      </w:r>
      <w:r w:rsidR="000A52D5" w:rsidRPr="00D5464D">
        <w:rPr>
          <w:rFonts w:eastAsia="Batang" w:cs="Times"/>
          <w:szCs w:val="24"/>
          <w:lang w:val="pt-BR" w:eastAsia="es-ES"/>
        </w:rPr>
        <w:t xml:space="preserve">Estado </w:t>
      </w:r>
      <w:r w:rsidR="00443B57" w:rsidRPr="00D5464D">
        <w:rPr>
          <w:rFonts w:eastAsia="Batang" w:cs="Times"/>
          <w:szCs w:val="24"/>
          <w:lang w:val="pt-BR" w:eastAsia="es-ES"/>
        </w:rPr>
        <w:t>a</w:t>
      </w:r>
      <w:r w:rsidR="000A52D5" w:rsidRPr="00D5464D">
        <w:rPr>
          <w:rFonts w:eastAsia="Batang" w:cs="Times"/>
          <w:szCs w:val="24"/>
          <w:lang w:val="pt-BR" w:eastAsia="es-ES"/>
        </w:rPr>
        <w:t>presente</w:t>
      </w:r>
      <w:r w:rsidR="00E045D9" w:rsidRPr="00D5464D">
        <w:rPr>
          <w:rFonts w:eastAsia="Batang" w:cs="Times"/>
          <w:szCs w:val="24"/>
          <w:lang w:val="pt-BR" w:eastAsia="es-ES"/>
        </w:rPr>
        <w:t xml:space="preserve"> uma </w:t>
      </w:r>
      <w:r w:rsidR="00470ADC" w:rsidRPr="00D5464D">
        <w:rPr>
          <w:rFonts w:eastAsia="Batang" w:cs="Times"/>
          <w:szCs w:val="24"/>
          <w:lang w:val="pt-BR" w:eastAsia="es-ES"/>
        </w:rPr>
        <w:t>exceção</w:t>
      </w:r>
      <w:r w:rsidR="000A52D5" w:rsidRPr="00D5464D">
        <w:rPr>
          <w:rFonts w:eastAsia="Batang" w:cs="Times"/>
          <w:szCs w:val="24"/>
          <w:lang w:val="pt-BR" w:eastAsia="es-ES"/>
        </w:rPr>
        <w:t xml:space="preserve"> preliminar por falta de </w:t>
      </w:r>
      <w:r w:rsidR="00470ADC" w:rsidRPr="00D5464D">
        <w:rPr>
          <w:rFonts w:eastAsia="Batang" w:cs="Times"/>
          <w:szCs w:val="24"/>
          <w:lang w:val="pt-BR" w:eastAsia="es-ES"/>
        </w:rPr>
        <w:t xml:space="preserve">esgotamento dos </w:t>
      </w:r>
      <w:r w:rsidR="000A52D5" w:rsidRPr="00D5464D">
        <w:rPr>
          <w:rFonts w:eastAsia="Batang" w:cs="Times"/>
          <w:szCs w:val="24"/>
          <w:lang w:val="pt-BR" w:eastAsia="es-ES"/>
        </w:rPr>
        <w:t>recursos internos</w:t>
      </w:r>
      <w:r w:rsidR="00470ADC" w:rsidRPr="00D5464D">
        <w:rPr>
          <w:rFonts w:eastAsia="Batang" w:cs="Times"/>
          <w:szCs w:val="24"/>
          <w:lang w:val="pt-BR" w:eastAsia="es-ES"/>
        </w:rPr>
        <w:t xml:space="preserve"> é</w:t>
      </w:r>
      <w:r w:rsidR="002C330E" w:rsidRPr="00D5464D">
        <w:rPr>
          <w:rFonts w:eastAsia="Batang" w:cs="Times"/>
          <w:szCs w:val="24"/>
          <w:lang w:val="pt-BR" w:eastAsia="es-ES"/>
        </w:rPr>
        <w:t xml:space="preserve"> a </w:t>
      </w:r>
      <w:r w:rsidR="000A52D5" w:rsidRPr="00D5464D">
        <w:rPr>
          <w:rFonts w:eastAsia="Batang" w:cs="Times"/>
          <w:szCs w:val="24"/>
          <w:lang w:val="pt-BR" w:eastAsia="es-ES"/>
        </w:rPr>
        <w:t xml:space="preserve">fase de </w:t>
      </w:r>
      <w:r w:rsidR="00470ADC" w:rsidRPr="00D5464D">
        <w:rPr>
          <w:rFonts w:eastAsia="Batang" w:cs="Times"/>
          <w:szCs w:val="24"/>
          <w:lang w:val="pt-BR" w:eastAsia="es-ES"/>
        </w:rPr>
        <w:t>admissibilidade</w:t>
      </w:r>
      <w:r w:rsidR="000A52D5" w:rsidRPr="00D5464D">
        <w:rPr>
          <w:rFonts w:eastAsia="Batang" w:cs="Times"/>
          <w:szCs w:val="24"/>
          <w:lang w:val="pt-BR" w:eastAsia="es-ES"/>
        </w:rPr>
        <w:t xml:space="preserve"> </w:t>
      </w:r>
      <w:r w:rsidR="00470ADC" w:rsidRPr="00D5464D">
        <w:rPr>
          <w:rFonts w:eastAsia="Batang" w:cs="Times"/>
          <w:szCs w:val="24"/>
          <w:lang w:val="pt-BR" w:eastAsia="es-ES"/>
        </w:rPr>
        <w:t xml:space="preserve">do </w:t>
      </w:r>
      <w:r w:rsidR="002C330E" w:rsidRPr="00D5464D">
        <w:rPr>
          <w:rFonts w:eastAsia="Batang" w:cs="Times"/>
          <w:szCs w:val="24"/>
          <w:lang w:val="pt-BR" w:eastAsia="es-ES"/>
        </w:rPr>
        <w:t>procedimento</w:t>
      </w:r>
      <w:r w:rsidR="00470ADC" w:rsidRPr="00D5464D">
        <w:rPr>
          <w:rFonts w:eastAsia="Batang" w:cs="Times"/>
          <w:szCs w:val="24"/>
          <w:lang w:val="pt-BR" w:eastAsia="es-ES"/>
        </w:rPr>
        <w:t xml:space="preserve"> perante a Comissão</w:t>
      </w:r>
      <w:r w:rsidR="000A52D5" w:rsidRPr="00D5464D">
        <w:rPr>
          <w:rFonts w:eastAsia="Batang" w:cs="Times"/>
          <w:szCs w:val="24"/>
          <w:lang w:val="pt-BR" w:eastAsia="es-ES"/>
        </w:rPr>
        <w:t xml:space="preserve">, antes de </w:t>
      </w:r>
      <w:r w:rsidR="00470ADC" w:rsidRPr="00D5464D">
        <w:rPr>
          <w:rFonts w:eastAsia="Batang" w:cs="Times"/>
          <w:szCs w:val="24"/>
          <w:lang w:val="pt-BR" w:eastAsia="es-ES"/>
        </w:rPr>
        <w:t>qualquer</w:t>
      </w:r>
      <w:r w:rsidR="000A52D5" w:rsidRPr="00D5464D">
        <w:rPr>
          <w:rFonts w:eastAsia="Batang" w:cs="Times"/>
          <w:szCs w:val="24"/>
          <w:lang w:val="pt-BR" w:eastAsia="es-ES"/>
        </w:rPr>
        <w:t xml:space="preserve"> considera</w:t>
      </w:r>
      <w:r w:rsidR="00470ADC" w:rsidRPr="00D5464D">
        <w:rPr>
          <w:rFonts w:eastAsia="Batang" w:cs="Times"/>
          <w:szCs w:val="24"/>
          <w:lang w:val="pt-BR" w:eastAsia="es-ES"/>
        </w:rPr>
        <w:t xml:space="preserve">ção </w:t>
      </w:r>
      <w:r w:rsidR="00350187" w:rsidRPr="00D5464D">
        <w:rPr>
          <w:rFonts w:eastAsia="Batang" w:cs="Times"/>
          <w:szCs w:val="24"/>
          <w:lang w:val="pt-BR" w:eastAsia="es-ES"/>
        </w:rPr>
        <w:t>quanto</w:t>
      </w:r>
      <w:r w:rsidR="00470ADC" w:rsidRPr="00D5464D">
        <w:rPr>
          <w:rFonts w:eastAsia="Batang" w:cs="Times"/>
          <w:szCs w:val="24"/>
          <w:lang w:val="pt-BR" w:eastAsia="es-ES"/>
        </w:rPr>
        <w:t xml:space="preserve"> ao mérito</w:t>
      </w:r>
      <w:r w:rsidR="000A52D5" w:rsidRPr="00D5464D">
        <w:rPr>
          <w:rFonts w:eastAsia="Batang" w:cs="Times"/>
          <w:szCs w:val="24"/>
          <w:lang w:val="pt-BR" w:eastAsia="es-ES"/>
        </w:rPr>
        <w:t xml:space="preserve">. </w:t>
      </w:r>
      <w:r w:rsidR="00E045D9" w:rsidRPr="00D5464D">
        <w:rPr>
          <w:rFonts w:eastAsia="Batang" w:cs="Times"/>
          <w:szCs w:val="24"/>
          <w:lang w:val="pt-BR" w:eastAsia="es-ES"/>
        </w:rPr>
        <w:t>Também</w:t>
      </w:r>
      <w:r w:rsidR="000A52D5" w:rsidRPr="00D5464D">
        <w:rPr>
          <w:rFonts w:eastAsia="Batang" w:cs="Times"/>
          <w:szCs w:val="24"/>
          <w:lang w:val="pt-BR" w:eastAsia="es-ES"/>
        </w:rPr>
        <w:t xml:space="preserve"> </w:t>
      </w:r>
      <w:r w:rsidR="002C330E" w:rsidRPr="00D5464D">
        <w:rPr>
          <w:rFonts w:eastAsia="Batang" w:cs="Times"/>
          <w:szCs w:val="24"/>
          <w:lang w:val="pt-BR" w:eastAsia="es-ES"/>
        </w:rPr>
        <w:t>indicaram</w:t>
      </w:r>
      <w:r w:rsidR="000A52D5" w:rsidRPr="00D5464D">
        <w:rPr>
          <w:rFonts w:eastAsia="Batang" w:cs="Times"/>
          <w:szCs w:val="24"/>
          <w:lang w:val="pt-BR" w:eastAsia="es-ES"/>
        </w:rPr>
        <w:t xml:space="preserve"> que</w:t>
      </w:r>
      <w:r w:rsidR="002C330E" w:rsidRPr="00D5464D">
        <w:rPr>
          <w:rFonts w:eastAsia="Batang" w:cs="Times"/>
          <w:szCs w:val="24"/>
          <w:lang w:val="pt-BR" w:eastAsia="es-ES"/>
        </w:rPr>
        <w:t xml:space="preserve"> a </w:t>
      </w:r>
      <w:r w:rsidR="000A52D5" w:rsidRPr="00D5464D">
        <w:rPr>
          <w:rFonts w:eastAsia="Batang" w:cs="Times"/>
          <w:szCs w:val="24"/>
          <w:lang w:val="pt-BR" w:eastAsia="es-ES"/>
        </w:rPr>
        <w:t>Corte</w:t>
      </w:r>
      <w:r w:rsidR="002C330E" w:rsidRPr="00D5464D">
        <w:rPr>
          <w:rFonts w:eastAsia="Batang" w:cs="Times"/>
          <w:szCs w:val="24"/>
          <w:lang w:val="pt-BR" w:eastAsia="es-ES"/>
        </w:rPr>
        <w:t xml:space="preserve"> foi </w:t>
      </w:r>
      <w:r w:rsidR="00C91CB1" w:rsidRPr="00D5464D">
        <w:rPr>
          <w:rFonts w:eastAsia="Batang" w:cs="Times"/>
          <w:szCs w:val="24"/>
          <w:lang w:val="pt-BR" w:eastAsia="es-ES"/>
        </w:rPr>
        <w:t>consistente</w:t>
      </w:r>
      <w:r w:rsidR="00E045D9" w:rsidRPr="00D5464D">
        <w:rPr>
          <w:rFonts w:eastAsia="Batang" w:cs="Times"/>
          <w:szCs w:val="24"/>
          <w:lang w:val="pt-BR" w:eastAsia="es-ES"/>
        </w:rPr>
        <w:t xml:space="preserve"> no </w:t>
      </w:r>
      <w:r w:rsidR="000A52D5" w:rsidRPr="00D5464D">
        <w:rPr>
          <w:rFonts w:eastAsia="Batang" w:cs="Times"/>
          <w:szCs w:val="24"/>
          <w:lang w:val="pt-BR" w:eastAsia="es-ES"/>
        </w:rPr>
        <w:t>sentido de que</w:t>
      </w:r>
      <w:r w:rsidR="002C330E" w:rsidRPr="00D5464D">
        <w:rPr>
          <w:rFonts w:eastAsia="Batang" w:cs="Times"/>
          <w:szCs w:val="24"/>
          <w:lang w:val="pt-BR" w:eastAsia="es-ES"/>
        </w:rPr>
        <w:t xml:space="preserve"> a </w:t>
      </w:r>
      <w:r w:rsidR="00470ADC" w:rsidRPr="00D5464D">
        <w:rPr>
          <w:rFonts w:eastAsia="Batang" w:cs="Times"/>
          <w:szCs w:val="24"/>
          <w:lang w:val="pt-BR" w:eastAsia="es-ES"/>
        </w:rPr>
        <w:t>Comissão</w:t>
      </w:r>
      <w:r w:rsidR="000A52D5" w:rsidRPr="00D5464D">
        <w:rPr>
          <w:rFonts w:eastAsia="Batang" w:cs="Times"/>
          <w:szCs w:val="24"/>
          <w:lang w:val="pt-BR" w:eastAsia="es-ES"/>
        </w:rPr>
        <w:t xml:space="preserve"> </w:t>
      </w:r>
      <w:r w:rsidR="00E045D9" w:rsidRPr="00D5464D">
        <w:rPr>
          <w:rFonts w:eastAsia="Batang" w:cs="Times"/>
          <w:szCs w:val="24"/>
          <w:lang w:val="pt-BR" w:eastAsia="es-ES"/>
        </w:rPr>
        <w:t xml:space="preserve">tem </w:t>
      </w:r>
      <w:r w:rsidR="00470ADC" w:rsidRPr="00D5464D">
        <w:rPr>
          <w:rFonts w:eastAsia="Batang" w:cs="Times"/>
          <w:szCs w:val="24"/>
          <w:lang w:val="pt-BR" w:eastAsia="es-ES"/>
        </w:rPr>
        <w:t>autonomia</w:t>
      </w:r>
      <w:r w:rsidR="000A52D5" w:rsidRPr="00D5464D">
        <w:rPr>
          <w:rFonts w:eastAsia="Batang" w:cs="Times"/>
          <w:szCs w:val="24"/>
          <w:lang w:val="pt-BR" w:eastAsia="es-ES"/>
        </w:rPr>
        <w:t xml:space="preserve"> e </w:t>
      </w:r>
      <w:r w:rsidR="002C330E" w:rsidRPr="00D5464D">
        <w:rPr>
          <w:rFonts w:eastAsia="Batang" w:cs="Times"/>
          <w:szCs w:val="24"/>
          <w:lang w:val="pt-BR" w:eastAsia="es-ES"/>
        </w:rPr>
        <w:t>independência</w:t>
      </w:r>
      <w:r w:rsidR="00E045D9" w:rsidRPr="00D5464D">
        <w:rPr>
          <w:rFonts w:eastAsia="Batang" w:cs="Times"/>
          <w:szCs w:val="24"/>
          <w:lang w:val="pt-BR" w:eastAsia="es-ES"/>
        </w:rPr>
        <w:t xml:space="preserve"> no </w:t>
      </w:r>
      <w:r w:rsidR="00470ADC" w:rsidRPr="00D5464D">
        <w:rPr>
          <w:rFonts w:eastAsia="Batang" w:cs="Times"/>
          <w:szCs w:val="24"/>
          <w:lang w:val="pt-BR" w:eastAsia="es-ES"/>
        </w:rPr>
        <w:t>exercício</w:t>
      </w:r>
      <w:r w:rsidR="000A52D5" w:rsidRPr="00D5464D">
        <w:rPr>
          <w:rFonts w:eastAsia="Batang" w:cs="Times"/>
          <w:szCs w:val="24"/>
          <w:lang w:val="pt-BR" w:eastAsia="es-ES"/>
        </w:rPr>
        <w:t xml:space="preserve"> de s</w:t>
      </w:r>
      <w:r w:rsidR="00443B57" w:rsidRPr="00D5464D">
        <w:rPr>
          <w:rFonts w:eastAsia="Batang" w:cs="Times"/>
          <w:szCs w:val="24"/>
          <w:lang w:val="pt-BR" w:eastAsia="es-ES"/>
        </w:rPr>
        <w:t>e</w:t>
      </w:r>
      <w:r w:rsidR="000A52D5" w:rsidRPr="00D5464D">
        <w:rPr>
          <w:rFonts w:eastAsia="Batang" w:cs="Times"/>
          <w:szCs w:val="24"/>
          <w:lang w:val="pt-BR" w:eastAsia="es-ES"/>
        </w:rPr>
        <w:t>u man</w:t>
      </w:r>
      <w:r w:rsidR="00470ADC" w:rsidRPr="00D5464D">
        <w:rPr>
          <w:rFonts w:eastAsia="Batang" w:cs="Times"/>
          <w:szCs w:val="24"/>
          <w:lang w:val="pt-BR" w:eastAsia="es-ES"/>
        </w:rPr>
        <w:t>da</w:t>
      </w:r>
      <w:r w:rsidR="00443B57" w:rsidRPr="00D5464D">
        <w:rPr>
          <w:rFonts w:eastAsia="Batang" w:cs="Times"/>
          <w:szCs w:val="24"/>
          <w:lang w:val="pt-BR" w:eastAsia="es-ES"/>
        </w:rPr>
        <w:t>t</w:t>
      </w:r>
      <w:r w:rsidR="00470ADC" w:rsidRPr="00D5464D">
        <w:rPr>
          <w:rFonts w:eastAsia="Batang" w:cs="Times"/>
          <w:szCs w:val="24"/>
          <w:lang w:val="pt-BR" w:eastAsia="es-ES"/>
        </w:rPr>
        <w:t>o</w:t>
      </w:r>
      <w:r w:rsidR="000A52D5" w:rsidRPr="00D5464D">
        <w:rPr>
          <w:rFonts w:eastAsia="Batang" w:cs="Times"/>
          <w:szCs w:val="24"/>
          <w:lang w:val="pt-BR" w:eastAsia="es-ES"/>
        </w:rPr>
        <w:t xml:space="preserve"> convencional,</w:t>
      </w:r>
      <w:r w:rsidR="00470ADC" w:rsidRPr="00D5464D">
        <w:rPr>
          <w:rFonts w:eastAsia="Batang" w:cs="Times"/>
          <w:szCs w:val="24"/>
          <w:lang w:val="pt-BR" w:eastAsia="es-ES"/>
        </w:rPr>
        <w:t xml:space="preserve"> ao analisar</w:t>
      </w:r>
      <w:r w:rsidR="002C330E" w:rsidRPr="00D5464D">
        <w:rPr>
          <w:rFonts w:eastAsia="Batang" w:cs="Times"/>
          <w:szCs w:val="24"/>
          <w:lang w:val="pt-BR" w:eastAsia="es-ES"/>
        </w:rPr>
        <w:t xml:space="preserve"> as </w:t>
      </w:r>
      <w:r w:rsidR="000A52D5" w:rsidRPr="00D5464D">
        <w:rPr>
          <w:rFonts w:eastAsia="Batang" w:cs="Times"/>
          <w:szCs w:val="24"/>
          <w:lang w:val="pt-BR" w:eastAsia="es-ES"/>
        </w:rPr>
        <w:t>peti</w:t>
      </w:r>
      <w:r w:rsidR="00470ADC" w:rsidRPr="00D5464D">
        <w:rPr>
          <w:rFonts w:eastAsia="Batang" w:cs="Times"/>
          <w:szCs w:val="24"/>
          <w:lang w:val="pt-BR" w:eastAsia="es-ES"/>
        </w:rPr>
        <w:t>ções</w:t>
      </w:r>
      <w:r w:rsidR="000A52D5" w:rsidRPr="00D5464D">
        <w:rPr>
          <w:rFonts w:eastAsia="Batang" w:cs="Times"/>
          <w:szCs w:val="24"/>
          <w:lang w:val="pt-BR" w:eastAsia="es-ES"/>
        </w:rPr>
        <w:t xml:space="preserve"> </w:t>
      </w:r>
      <w:r w:rsidR="002C330E" w:rsidRPr="00D5464D">
        <w:rPr>
          <w:rFonts w:eastAsia="Batang" w:cs="Times"/>
          <w:szCs w:val="24"/>
          <w:lang w:val="pt-BR" w:eastAsia="es-ES"/>
        </w:rPr>
        <w:t>submetida</w:t>
      </w:r>
      <w:r w:rsidR="000A52D5" w:rsidRPr="00D5464D">
        <w:rPr>
          <w:rFonts w:eastAsia="Batang" w:cs="Times"/>
          <w:szCs w:val="24"/>
          <w:lang w:val="pt-BR" w:eastAsia="es-ES"/>
        </w:rPr>
        <w:t xml:space="preserve">s a </w:t>
      </w:r>
      <w:r w:rsidRPr="00D5464D">
        <w:rPr>
          <w:rFonts w:eastAsia="Batang" w:cs="Times"/>
          <w:szCs w:val="24"/>
          <w:lang w:val="pt-BR" w:eastAsia="es-ES"/>
        </w:rPr>
        <w:t>seu conhecimento</w:t>
      </w:r>
      <w:r w:rsidR="00470ADC" w:rsidRPr="00D5464D">
        <w:rPr>
          <w:rFonts w:eastAsia="Batang" w:cs="Times"/>
          <w:szCs w:val="24"/>
          <w:lang w:val="pt-BR" w:eastAsia="es-ES"/>
        </w:rPr>
        <w:t>; e</w:t>
      </w:r>
      <w:r w:rsidR="00D66306" w:rsidRPr="00D5464D">
        <w:rPr>
          <w:rFonts w:eastAsia="Batang" w:cs="Times"/>
          <w:szCs w:val="24"/>
          <w:lang w:val="pt-BR" w:eastAsia="es-ES"/>
        </w:rPr>
        <w:t>,</w:t>
      </w:r>
      <w:r w:rsidR="000A52D5" w:rsidRPr="00D5464D">
        <w:rPr>
          <w:rFonts w:eastAsia="Batang" w:cs="Times"/>
          <w:szCs w:val="24"/>
          <w:lang w:val="pt-BR" w:eastAsia="es-ES"/>
        </w:rPr>
        <w:t xml:space="preserve"> </w:t>
      </w:r>
      <w:r w:rsidR="00443B57" w:rsidRPr="00D5464D">
        <w:rPr>
          <w:rFonts w:eastAsia="Batang" w:cs="Times"/>
          <w:szCs w:val="24"/>
          <w:lang w:val="pt-BR" w:eastAsia="es-ES"/>
        </w:rPr>
        <w:t>p</w:t>
      </w:r>
      <w:r w:rsidRPr="00D5464D">
        <w:rPr>
          <w:rFonts w:eastAsia="Batang" w:cs="Times"/>
          <w:szCs w:val="24"/>
          <w:lang w:val="pt-BR" w:eastAsia="es-ES"/>
        </w:rPr>
        <w:t>or sua vez</w:t>
      </w:r>
      <w:r w:rsidR="000A52D5" w:rsidRPr="00D5464D">
        <w:rPr>
          <w:rFonts w:eastAsia="Batang" w:cs="Times"/>
          <w:szCs w:val="24"/>
          <w:lang w:val="pt-BR" w:eastAsia="es-ES"/>
        </w:rPr>
        <w:t>,</w:t>
      </w:r>
      <w:r w:rsidR="002C330E" w:rsidRPr="00D5464D">
        <w:rPr>
          <w:rFonts w:eastAsia="Batang" w:cs="Times"/>
          <w:szCs w:val="24"/>
          <w:lang w:val="pt-BR" w:eastAsia="es-ES"/>
        </w:rPr>
        <w:t xml:space="preserve"> a </w:t>
      </w:r>
      <w:r w:rsidR="000A52D5" w:rsidRPr="00D5464D">
        <w:rPr>
          <w:rFonts w:eastAsia="Batang" w:cs="Times"/>
          <w:szCs w:val="24"/>
          <w:lang w:val="pt-BR" w:eastAsia="es-ES"/>
        </w:rPr>
        <w:t xml:space="preserve">Corte </w:t>
      </w:r>
      <w:r w:rsidR="00E045D9" w:rsidRPr="00D5464D">
        <w:rPr>
          <w:rFonts w:eastAsia="Batang" w:cs="Times"/>
          <w:szCs w:val="24"/>
          <w:lang w:val="pt-BR" w:eastAsia="es-ES"/>
        </w:rPr>
        <w:t xml:space="preserve">tem </w:t>
      </w:r>
      <w:r w:rsidR="00230C71" w:rsidRPr="00D5464D">
        <w:rPr>
          <w:rFonts w:eastAsia="Batang" w:cs="Times"/>
          <w:szCs w:val="24"/>
          <w:lang w:val="pt-BR" w:eastAsia="es-ES"/>
        </w:rPr>
        <w:t>atribuições</w:t>
      </w:r>
      <w:r w:rsidR="000A52D5" w:rsidRPr="00D5464D">
        <w:rPr>
          <w:rFonts w:eastAsia="Batang" w:cs="Times"/>
          <w:szCs w:val="24"/>
          <w:lang w:val="pt-BR" w:eastAsia="es-ES"/>
        </w:rPr>
        <w:t xml:space="preserve"> para </w:t>
      </w:r>
      <w:r w:rsidR="00470ADC" w:rsidRPr="00D5464D">
        <w:rPr>
          <w:rFonts w:eastAsia="Batang" w:cs="Times"/>
          <w:szCs w:val="24"/>
          <w:lang w:val="pt-BR" w:eastAsia="es-ES"/>
        </w:rPr>
        <w:t>realizar</w:t>
      </w:r>
      <w:r w:rsidR="00E045D9" w:rsidRPr="00D5464D">
        <w:rPr>
          <w:rFonts w:eastAsia="Batang" w:cs="Times"/>
          <w:szCs w:val="24"/>
          <w:lang w:val="pt-BR" w:eastAsia="es-ES"/>
        </w:rPr>
        <w:t xml:space="preserve"> um </w:t>
      </w:r>
      <w:r w:rsidR="00470ADC" w:rsidRPr="00D5464D">
        <w:rPr>
          <w:rFonts w:eastAsia="Batang" w:cs="Times"/>
          <w:szCs w:val="24"/>
          <w:lang w:val="pt-BR" w:eastAsia="es-ES"/>
        </w:rPr>
        <w:t xml:space="preserve">controle </w:t>
      </w:r>
      <w:r w:rsidR="000A52D5" w:rsidRPr="00D5464D">
        <w:rPr>
          <w:rFonts w:eastAsia="Batang" w:cs="Times"/>
          <w:szCs w:val="24"/>
          <w:lang w:val="pt-BR" w:eastAsia="es-ES"/>
        </w:rPr>
        <w:t xml:space="preserve">de </w:t>
      </w:r>
      <w:r w:rsidR="002C330E" w:rsidRPr="00D5464D">
        <w:rPr>
          <w:rFonts w:eastAsia="Batang" w:cs="Times"/>
          <w:szCs w:val="24"/>
          <w:lang w:val="pt-BR" w:eastAsia="es-ES"/>
        </w:rPr>
        <w:t xml:space="preserve">legalidade </w:t>
      </w:r>
      <w:r w:rsidR="00470ADC" w:rsidRPr="00D5464D">
        <w:rPr>
          <w:rFonts w:eastAsia="Batang" w:cs="Times"/>
          <w:szCs w:val="24"/>
          <w:lang w:val="pt-BR" w:eastAsia="es-ES"/>
        </w:rPr>
        <w:t>das atuações da Comissão</w:t>
      </w:r>
      <w:r w:rsidR="000A52D5" w:rsidRPr="00D5464D">
        <w:rPr>
          <w:rFonts w:eastAsia="Batang" w:cs="Times"/>
          <w:szCs w:val="24"/>
          <w:lang w:val="pt-BR" w:eastAsia="es-ES"/>
        </w:rPr>
        <w:t xml:space="preserve">, </w:t>
      </w:r>
      <w:r w:rsidR="002C330E" w:rsidRPr="00D5464D">
        <w:rPr>
          <w:rFonts w:eastAsia="Batang" w:cs="Times"/>
          <w:szCs w:val="24"/>
          <w:lang w:val="pt-BR" w:eastAsia="es-ES"/>
        </w:rPr>
        <w:t>mas</w:t>
      </w:r>
      <w:r w:rsidR="00470ADC" w:rsidRPr="00D5464D">
        <w:rPr>
          <w:rFonts w:eastAsia="Batang" w:cs="Times"/>
          <w:szCs w:val="24"/>
          <w:lang w:val="pt-BR" w:eastAsia="es-ES"/>
        </w:rPr>
        <w:t xml:space="preserve"> </w:t>
      </w:r>
      <w:r w:rsidR="00443B57" w:rsidRPr="00D5464D">
        <w:rPr>
          <w:rFonts w:eastAsia="Batang" w:cs="Times"/>
          <w:szCs w:val="24"/>
          <w:lang w:val="pt-BR" w:eastAsia="es-ES"/>
        </w:rPr>
        <w:t xml:space="preserve">isso não </w:t>
      </w:r>
      <w:r w:rsidR="00E045D9" w:rsidRPr="00D5464D">
        <w:rPr>
          <w:rFonts w:eastAsia="Batang" w:cs="Times"/>
          <w:szCs w:val="24"/>
          <w:lang w:val="pt-BR" w:eastAsia="es-ES"/>
        </w:rPr>
        <w:t>supõe</w:t>
      </w:r>
      <w:r w:rsidR="00443B57" w:rsidRPr="00D5464D">
        <w:rPr>
          <w:rFonts w:eastAsia="Batang" w:cs="Times"/>
          <w:szCs w:val="24"/>
          <w:lang w:val="pt-BR" w:eastAsia="es-ES"/>
        </w:rPr>
        <w:t>,</w:t>
      </w:r>
      <w:r w:rsidR="00E045D9" w:rsidRPr="00D5464D">
        <w:rPr>
          <w:rFonts w:eastAsia="Batang" w:cs="Times"/>
          <w:szCs w:val="24"/>
          <w:lang w:val="pt-BR" w:eastAsia="es-ES"/>
        </w:rPr>
        <w:t xml:space="preserve"> </w:t>
      </w:r>
      <w:r w:rsidR="00230C71" w:rsidRPr="00D5464D">
        <w:rPr>
          <w:rFonts w:eastAsia="Batang" w:cs="Times"/>
          <w:szCs w:val="24"/>
          <w:lang w:val="pt-BR" w:eastAsia="es-ES"/>
        </w:rPr>
        <w:t>necessariamente</w:t>
      </w:r>
      <w:r w:rsidR="00443B57" w:rsidRPr="00D5464D">
        <w:rPr>
          <w:rFonts w:eastAsia="Batang" w:cs="Times"/>
          <w:szCs w:val="24"/>
          <w:lang w:val="pt-BR" w:eastAsia="es-ES"/>
        </w:rPr>
        <w:t>,</w:t>
      </w:r>
      <w:r w:rsidR="00E045D9" w:rsidRPr="00D5464D">
        <w:rPr>
          <w:rFonts w:eastAsia="Batang" w:cs="Times"/>
          <w:szCs w:val="24"/>
          <w:lang w:val="pt-BR" w:eastAsia="es-ES"/>
        </w:rPr>
        <w:t xml:space="preserve"> uma </w:t>
      </w:r>
      <w:r w:rsidR="002C330E" w:rsidRPr="00D5464D">
        <w:rPr>
          <w:rFonts w:eastAsia="Batang" w:cs="Times"/>
          <w:szCs w:val="24"/>
          <w:lang w:val="pt-BR" w:eastAsia="es-ES"/>
        </w:rPr>
        <w:t>revisão</w:t>
      </w:r>
      <w:r w:rsidR="000A52D5" w:rsidRPr="00D5464D">
        <w:rPr>
          <w:rFonts w:eastAsia="Batang" w:cs="Times"/>
          <w:szCs w:val="24"/>
          <w:lang w:val="pt-BR" w:eastAsia="es-ES"/>
        </w:rPr>
        <w:t xml:space="preserve"> </w:t>
      </w:r>
      <w:r w:rsidR="00470ADC" w:rsidRPr="00D5464D">
        <w:rPr>
          <w:rFonts w:eastAsia="Batang" w:cs="Times"/>
          <w:szCs w:val="24"/>
          <w:lang w:val="pt-BR" w:eastAsia="es-ES"/>
        </w:rPr>
        <w:t xml:space="preserve">do </w:t>
      </w:r>
      <w:r w:rsidR="002C330E" w:rsidRPr="00D5464D">
        <w:rPr>
          <w:rFonts w:eastAsia="Batang" w:cs="Times"/>
          <w:szCs w:val="24"/>
          <w:lang w:val="pt-BR" w:eastAsia="es-ES"/>
        </w:rPr>
        <w:t>procedimento</w:t>
      </w:r>
      <w:r w:rsidR="000A52D5" w:rsidRPr="00D5464D">
        <w:rPr>
          <w:rFonts w:eastAsia="Batang" w:cs="Times"/>
          <w:szCs w:val="24"/>
          <w:lang w:val="pt-BR" w:eastAsia="es-ES"/>
        </w:rPr>
        <w:t xml:space="preserve">, </w:t>
      </w:r>
      <w:r w:rsidR="00443B57" w:rsidRPr="00D5464D">
        <w:rPr>
          <w:rFonts w:eastAsia="Batang" w:cs="Times"/>
          <w:szCs w:val="24"/>
          <w:lang w:val="pt-BR" w:eastAsia="es-ES"/>
        </w:rPr>
        <w:t xml:space="preserve">exceto se existir </w:t>
      </w:r>
      <w:r w:rsidR="00350187" w:rsidRPr="00D5464D">
        <w:rPr>
          <w:rFonts w:eastAsia="Batang" w:cs="Times"/>
          <w:szCs w:val="24"/>
          <w:lang w:val="pt-BR" w:eastAsia="es-ES"/>
        </w:rPr>
        <w:t>erro</w:t>
      </w:r>
      <w:r w:rsidR="000A52D5" w:rsidRPr="00D5464D">
        <w:rPr>
          <w:rFonts w:eastAsia="Batang" w:cs="Times"/>
          <w:szCs w:val="24"/>
          <w:lang w:val="pt-BR" w:eastAsia="es-ES"/>
        </w:rPr>
        <w:t xml:space="preserve"> grave que </w:t>
      </w:r>
      <w:r w:rsidR="00350187" w:rsidRPr="00D5464D">
        <w:rPr>
          <w:rFonts w:eastAsia="Batang" w:cs="Times"/>
          <w:szCs w:val="24"/>
          <w:lang w:val="pt-BR" w:eastAsia="es-ES"/>
        </w:rPr>
        <w:t>viole</w:t>
      </w:r>
      <w:r w:rsidR="00470ADC" w:rsidRPr="00D5464D">
        <w:rPr>
          <w:rFonts w:eastAsia="Batang" w:cs="Times"/>
          <w:szCs w:val="24"/>
          <w:lang w:val="pt-BR" w:eastAsia="es-ES"/>
        </w:rPr>
        <w:t xml:space="preserve"> o direito</w:t>
      </w:r>
      <w:r w:rsidR="000A52D5" w:rsidRPr="00D5464D">
        <w:rPr>
          <w:rFonts w:eastAsia="Batang" w:cs="Times"/>
          <w:szCs w:val="24"/>
          <w:lang w:val="pt-BR" w:eastAsia="es-ES"/>
        </w:rPr>
        <w:t xml:space="preserve"> de </w:t>
      </w:r>
      <w:r w:rsidR="00470ADC" w:rsidRPr="00D5464D">
        <w:rPr>
          <w:rFonts w:eastAsia="Batang" w:cs="Times"/>
          <w:szCs w:val="24"/>
          <w:lang w:val="pt-BR" w:eastAsia="es-ES"/>
        </w:rPr>
        <w:t xml:space="preserve">defesa das </w:t>
      </w:r>
      <w:r w:rsidR="000A52D5" w:rsidRPr="00D5464D">
        <w:rPr>
          <w:rFonts w:eastAsia="Batang" w:cs="Times"/>
          <w:szCs w:val="24"/>
          <w:lang w:val="pt-BR" w:eastAsia="es-ES"/>
        </w:rPr>
        <w:t>partes</w:t>
      </w:r>
      <w:r w:rsidR="00C91CB1" w:rsidRPr="00D5464D">
        <w:rPr>
          <w:rFonts w:eastAsia="Batang" w:cs="Times"/>
          <w:szCs w:val="24"/>
          <w:lang w:val="pt-BR" w:eastAsia="es-ES"/>
        </w:rPr>
        <w:t xml:space="preserve">. Os </w:t>
      </w:r>
      <w:r w:rsidR="00EB1CE9" w:rsidRPr="00D5464D">
        <w:rPr>
          <w:rFonts w:eastAsia="Batang" w:cs="Times"/>
          <w:szCs w:val="24"/>
          <w:lang w:val="pt-BR" w:eastAsia="es-ES"/>
        </w:rPr>
        <w:t>representante</w:t>
      </w:r>
      <w:r w:rsidR="000A52D5" w:rsidRPr="00D5464D">
        <w:rPr>
          <w:rFonts w:eastAsia="Batang" w:cs="Times"/>
          <w:szCs w:val="24"/>
          <w:lang w:val="pt-BR" w:eastAsia="es-ES"/>
        </w:rPr>
        <w:t xml:space="preserve">s </w:t>
      </w:r>
      <w:r w:rsidR="00A1358C" w:rsidRPr="00D5464D">
        <w:rPr>
          <w:rFonts w:eastAsia="Batang" w:cs="Times"/>
          <w:szCs w:val="24"/>
          <w:lang w:val="pt-BR" w:eastAsia="es-ES"/>
        </w:rPr>
        <w:t>destacaram</w:t>
      </w:r>
      <w:r w:rsidR="000A52D5" w:rsidRPr="00D5464D">
        <w:rPr>
          <w:rFonts w:eastAsia="Batang" w:cs="Times"/>
          <w:szCs w:val="24"/>
          <w:lang w:val="pt-BR" w:eastAsia="es-ES"/>
        </w:rPr>
        <w:t xml:space="preserve"> que</w:t>
      </w:r>
      <w:r w:rsidR="00470ADC" w:rsidRPr="00D5464D">
        <w:rPr>
          <w:rFonts w:eastAsia="Batang" w:cs="Times"/>
          <w:szCs w:val="24"/>
          <w:lang w:val="pt-BR" w:eastAsia="es-ES"/>
        </w:rPr>
        <w:t xml:space="preserve"> o </w:t>
      </w:r>
      <w:r w:rsidR="000A52D5" w:rsidRPr="00D5464D">
        <w:rPr>
          <w:rFonts w:eastAsia="Batang" w:cs="Times"/>
          <w:szCs w:val="24"/>
          <w:lang w:val="pt-BR" w:eastAsia="es-ES"/>
        </w:rPr>
        <w:t>Estado,</w:t>
      </w:r>
      <w:r w:rsidR="00470ADC" w:rsidRPr="00D5464D">
        <w:rPr>
          <w:rFonts w:eastAsia="Batang" w:cs="Times"/>
          <w:szCs w:val="24"/>
          <w:lang w:val="pt-BR" w:eastAsia="es-ES"/>
        </w:rPr>
        <w:t xml:space="preserve"> ao</w:t>
      </w:r>
      <w:r w:rsidR="002C330E" w:rsidRPr="00D5464D">
        <w:rPr>
          <w:rFonts w:eastAsia="Batang" w:cs="Times"/>
          <w:szCs w:val="24"/>
          <w:lang w:val="pt-BR" w:eastAsia="es-ES"/>
        </w:rPr>
        <w:t xml:space="preserve"> apresentar seu escrito </w:t>
      </w:r>
      <w:r w:rsidR="000A52D5" w:rsidRPr="00D5464D">
        <w:rPr>
          <w:rFonts w:eastAsia="Batang" w:cs="Times"/>
          <w:szCs w:val="24"/>
          <w:lang w:val="pt-BR" w:eastAsia="es-ES"/>
        </w:rPr>
        <w:t>de contesta</w:t>
      </w:r>
      <w:r w:rsidR="00470ADC" w:rsidRPr="00D5464D">
        <w:rPr>
          <w:rFonts w:eastAsia="Batang" w:cs="Times"/>
          <w:szCs w:val="24"/>
          <w:lang w:val="pt-BR" w:eastAsia="es-ES"/>
        </w:rPr>
        <w:t xml:space="preserve">ção perante a </w:t>
      </w:r>
      <w:r w:rsidR="000A52D5" w:rsidRPr="00D5464D">
        <w:rPr>
          <w:rFonts w:eastAsia="Batang" w:cs="Times"/>
          <w:szCs w:val="24"/>
          <w:lang w:val="pt-BR" w:eastAsia="es-ES"/>
        </w:rPr>
        <w:t>Corte, n</w:t>
      </w:r>
      <w:r w:rsidR="00443B57" w:rsidRPr="00D5464D">
        <w:rPr>
          <w:rFonts w:eastAsia="Batang" w:cs="Times"/>
          <w:szCs w:val="24"/>
          <w:lang w:val="pt-BR" w:eastAsia="es-ES"/>
        </w:rPr>
        <w:t>ã</w:t>
      </w:r>
      <w:r w:rsidR="000A52D5" w:rsidRPr="00D5464D">
        <w:rPr>
          <w:rFonts w:eastAsia="Batang" w:cs="Times"/>
          <w:szCs w:val="24"/>
          <w:lang w:val="pt-BR" w:eastAsia="es-ES"/>
        </w:rPr>
        <w:t xml:space="preserve">o </w:t>
      </w:r>
      <w:r w:rsidR="002C330E" w:rsidRPr="00D5464D">
        <w:rPr>
          <w:rFonts w:eastAsia="Batang" w:cs="Times"/>
          <w:szCs w:val="24"/>
          <w:lang w:val="pt-BR" w:eastAsia="es-ES"/>
        </w:rPr>
        <w:t xml:space="preserve">afirmou a </w:t>
      </w:r>
      <w:r w:rsidR="00E045D9" w:rsidRPr="00D5464D">
        <w:rPr>
          <w:rFonts w:eastAsia="Batang" w:cs="Times"/>
          <w:szCs w:val="24"/>
          <w:lang w:val="pt-BR" w:eastAsia="es-ES"/>
        </w:rPr>
        <w:t>existência</w:t>
      </w:r>
      <w:r w:rsidR="000A52D5" w:rsidRPr="00D5464D">
        <w:rPr>
          <w:rFonts w:eastAsia="Batang" w:cs="Times"/>
          <w:szCs w:val="24"/>
          <w:lang w:val="pt-BR" w:eastAsia="es-ES"/>
        </w:rPr>
        <w:t xml:space="preserve"> de</w:t>
      </w:r>
      <w:r w:rsidR="00E045D9" w:rsidRPr="00D5464D">
        <w:rPr>
          <w:rFonts w:eastAsia="Batang" w:cs="Times"/>
          <w:szCs w:val="24"/>
          <w:lang w:val="pt-BR" w:eastAsia="es-ES"/>
        </w:rPr>
        <w:t xml:space="preserve"> um </w:t>
      </w:r>
      <w:r w:rsidR="00350187" w:rsidRPr="00D5464D">
        <w:rPr>
          <w:rFonts w:eastAsia="Batang" w:cs="Times"/>
          <w:szCs w:val="24"/>
          <w:lang w:val="pt-BR" w:eastAsia="es-ES"/>
        </w:rPr>
        <w:t>erro</w:t>
      </w:r>
      <w:r w:rsidR="000A52D5" w:rsidRPr="00D5464D">
        <w:rPr>
          <w:rFonts w:eastAsia="Batang" w:cs="Times"/>
          <w:szCs w:val="24"/>
          <w:lang w:val="pt-BR" w:eastAsia="es-ES"/>
        </w:rPr>
        <w:t xml:space="preserve"> grave o</w:t>
      </w:r>
      <w:r w:rsidR="00443B57" w:rsidRPr="00D5464D">
        <w:rPr>
          <w:rFonts w:eastAsia="Batang" w:cs="Times"/>
          <w:szCs w:val="24"/>
          <w:lang w:val="pt-BR" w:eastAsia="es-ES"/>
        </w:rPr>
        <w:t>u</w:t>
      </w:r>
      <w:r w:rsidR="00470ADC" w:rsidRPr="00D5464D">
        <w:rPr>
          <w:rFonts w:eastAsia="Batang" w:cs="Times"/>
          <w:szCs w:val="24"/>
          <w:lang w:val="pt-BR" w:eastAsia="es-ES"/>
        </w:rPr>
        <w:t xml:space="preserve"> o </w:t>
      </w:r>
      <w:r w:rsidR="002C330E" w:rsidRPr="00D5464D">
        <w:rPr>
          <w:rFonts w:eastAsia="Batang" w:cs="Times"/>
          <w:szCs w:val="24"/>
          <w:lang w:val="pt-BR" w:eastAsia="es-ES"/>
        </w:rPr>
        <w:t>descumprimento</w:t>
      </w:r>
      <w:r w:rsidR="000A52D5" w:rsidRPr="00D5464D">
        <w:rPr>
          <w:rFonts w:eastAsia="Batang" w:cs="Times"/>
          <w:szCs w:val="24"/>
          <w:lang w:val="pt-BR" w:eastAsia="es-ES"/>
        </w:rPr>
        <w:t xml:space="preserve"> de </w:t>
      </w:r>
      <w:r w:rsidR="00443B57" w:rsidRPr="00D5464D">
        <w:rPr>
          <w:rFonts w:eastAsia="Batang" w:cs="Times"/>
          <w:szCs w:val="24"/>
          <w:lang w:val="pt-BR" w:eastAsia="es-ES"/>
        </w:rPr>
        <w:t xml:space="preserve">nenhum </w:t>
      </w:r>
      <w:r w:rsidR="000A52D5" w:rsidRPr="00D5464D">
        <w:rPr>
          <w:rFonts w:eastAsia="Batang" w:cs="Times"/>
          <w:szCs w:val="24"/>
          <w:lang w:val="pt-BR" w:eastAsia="es-ES"/>
        </w:rPr>
        <w:t xml:space="preserve">requisito de </w:t>
      </w:r>
      <w:r w:rsidR="002C330E" w:rsidRPr="00D5464D">
        <w:rPr>
          <w:rFonts w:eastAsia="Batang" w:cs="Times"/>
          <w:szCs w:val="24"/>
          <w:lang w:val="pt-BR" w:eastAsia="es-ES"/>
        </w:rPr>
        <w:t>procedência</w:t>
      </w:r>
      <w:r w:rsidR="000A52D5" w:rsidRPr="00D5464D">
        <w:rPr>
          <w:rFonts w:eastAsia="Batang" w:cs="Times"/>
          <w:szCs w:val="24"/>
          <w:lang w:val="pt-BR" w:eastAsia="es-ES"/>
        </w:rPr>
        <w:t xml:space="preserve"> que </w:t>
      </w:r>
      <w:r w:rsidR="00443B57" w:rsidRPr="00D5464D">
        <w:rPr>
          <w:rFonts w:eastAsia="Batang" w:cs="Times"/>
          <w:szCs w:val="24"/>
          <w:lang w:val="pt-BR" w:eastAsia="es-ES"/>
        </w:rPr>
        <w:t xml:space="preserve">violasse </w:t>
      </w:r>
      <w:r w:rsidR="00470ADC" w:rsidRPr="00D5464D">
        <w:rPr>
          <w:rFonts w:eastAsia="Batang" w:cs="Times"/>
          <w:szCs w:val="24"/>
          <w:lang w:val="pt-BR" w:eastAsia="es-ES"/>
        </w:rPr>
        <w:t>o direito</w:t>
      </w:r>
      <w:r w:rsidR="000A52D5" w:rsidRPr="00D5464D">
        <w:rPr>
          <w:rFonts w:eastAsia="Batang" w:cs="Times"/>
          <w:szCs w:val="24"/>
          <w:lang w:val="pt-BR" w:eastAsia="es-ES"/>
        </w:rPr>
        <w:t xml:space="preserve"> de </w:t>
      </w:r>
      <w:r w:rsidR="00470ADC" w:rsidRPr="00D5464D">
        <w:rPr>
          <w:rFonts w:eastAsia="Batang" w:cs="Times"/>
          <w:szCs w:val="24"/>
          <w:lang w:val="pt-BR" w:eastAsia="es-ES"/>
        </w:rPr>
        <w:t>defesa</w:t>
      </w:r>
      <w:r w:rsidR="000A52D5" w:rsidRPr="00D5464D">
        <w:rPr>
          <w:rFonts w:eastAsia="Batang" w:cs="Times"/>
          <w:szCs w:val="24"/>
          <w:lang w:val="pt-BR" w:eastAsia="es-ES"/>
        </w:rPr>
        <w:t xml:space="preserve"> </w:t>
      </w:r>
      <w:r w:rsidR="00470ADC" w:rsidRPr="00D5464D">
        <w:rPr>
          <w:rFonts w:eastAsia="Batang" w:cs="Times"/>
          <w:szCs w:val="24"/>
          <w:lang w:val="pt-BR" w:eastAsia="es-ES"/>
        </w:rPr>
        <w:t xml:space="preserve">do </w:t>
      </w:r>
      <w:r w:rsidR="000A52D5" w:rsidRPr="00D5464D">
        <w:rPr>
          <w:rFonts w:eastAsia="Batang" w:cs="Times"/>
          <w:szCs w:val="24"/>
          <w:lang w:val="pt-BR" w:eastAsia="es-ES"/>
        </w:rPr>
        <w:t>Estado,</w:t>
      </w:r>
      <w:r w:rsidR="002C330E" w:rsidRPr="00D5464D">
        <w:rPr>
          <w:rFonts w:eastAsia="Batang" w:cs="Times"/>
          <w:szCs w:val="24"/>
          <w:lang w:val="pt-BR" w:eastAsia="es-ES"/>
        </w:rPr>
        <w:t xml:space="preserve"> mas </w:t>
      </w:r>
      <w:r w:rsidR="000A52D5" w:rsidRPr="00D5464D">
        <w:rPr>
          <w:rFonts w:eastAsia="Batang" w:cs="Times"/>
          <w:szCs w:val="24"/>
          <w:lang w:val="pt-BR" w:eastAsia="es-ES"/>
        </w:rPr>
        <w:t xml:space="preserve">se </w:t>
      </w:r>
      <w:r w:rsidR="00A1358C" w:rsidRPr="00D5464D">
        <w:rPr>
          <w:rFonts w:eastAsia="Batang" w:cs="Times"/>
          <w:szCs w:val="24"/>
          <w:lang w:val="pt-BR" w:eastAsia="es-ES"/>
        </w:rPr>
        <w:t>limitou</w:t>
      </w:r>
      <w:r w:rsidR="000A52D5" w:rsidRPr="00D5464D">
        <w:rPr>
          <w:rFonts w:eastAsia="Batang" w:cs="Times"/>
          <w:szCs w:val="24"/>
          <w:lang w:val="pt-BR" w:eastAsia="es-ES"/>
        </w:rPr>
        <w:t xml:space="preserve"> a mostrar s</w:t>
      </w:r>
      <w:r w:rsidR="00443B57" w:rsidRPr="00D5464D">
        <w:rPr>
          <w:rFonts w:eastAsia="Batang" w:cs="Times"/>
          <w:szCs w:val="24"/>
          <w:lang w:val="pt-BR" w:eastAsia="es-ES"/>
        </w:rPr>
        <w:t>e</w:t>
      </w:r>
      <w:r w:rsidR="000A52D5" w:rsidRPr="00D5464D">
        <w:rPr>
          <w:rFonts w:eastAsia="Batang" w:cs="Times"/>
          <w:szCs w:val="24"/>
          <w:lang w:val="pt-BR" w:eastAsia="es-ES"/>
        </w:rPr>
        <w:t>u des</w:t>
      </w:r>
      <w:r w:rsidR="00470ADC" w:rsidRPr="00D5464D">
        <w:rPr>
          <w:rFonts w:eastAsia="Batang" w:cs="Times"/>
          <w:szCs w:val="24"/>
          <w:lang w:val="pt-BR" w:eastAsia="es-ES"/>
        </w:rPr>
        <w:t xml:space="preserve">acordo </w:t>
      </w:r>
      <w:r w:rsidR="00350187" w:rsidRPr="00D5464D">
        <w:rPr>
          <w:rFonts w:eastAsia="Batang" w:cs="Times"/>
          <w:szCs w:val="24"/>
          <w:lang w:val="pt-BR" w:eastAsia="es-ES"/>
        </w:rPr>
        <w:t xml:space="preserve">em relação à </w:t>
      </w:r>
      <w:r w:rsidRPr="00D5464D">
        <w:rPr>
          <w:rFonts w:eastAsia="Batang" w:cs="Times"/>
          <w:szCs w:val="24"/>
          <w:lang w:val="pt-BR" w:eastAsia="es-ES"/>
        </w:rPr>
        <w:t>atuação</w:t>
      </w:r>
      <w:r w:rsidR="00470ADC" w:rsidRPr="00D5464D">
        <w:rPr>
          <w:rFonts w:eastAsia="Batang" w:cs="Times"/>
          <w:szCs w:val="24"/>
          <w:lang w:val="pt-BR" w:eastAsia="es-ES"/>
        </w:rPr>
        <w:t xml:space="preserve"> da Comissão</w:t>
      </w:r>
      <w:r w:rsidR="000A52D5" w:rsidRPr="00D5464D">
        <w:rPr>
          <w:rFonts w:eastAsia="Batang" w:cs="Times"/>
          <w:szCs w:val="24"/>
          <w:lang w:val="pt-BR" w:eastAsia="es-ES"/>
        </w:rPr>
        <w:t>,</w:t>
      </w:r>
      <w:r w:rsidR="002C330E" w:rsidRPr="00D5464D">
        <w:rPr>
          <w:rFonts w:eastAsia="Batang" w:cs="Times"/>
          <w:szCs w:val="24"/>
          <w:lang w:val="pt-BR" w:eastAsia="es-ES"/>
        </w:rPr>
        <w:t xml:space="preserve"> o que faz </w:t>
      </w:r>
      <w:r w:rsidR="000A52D5" w:rsidRPr="00D5464D">
        <w:rPr>
          <w:rFonts w:eastAsia="Batang" w:cs="Times"/>
          <w:szCs w:val="24"/>
          <w:lang w:val="pt-BR" w:eastAsia="es-ES"/>
        </w:rPr>
        <w:t>concluir que n</w:t>
      </w:r>
      <w:r w:rsidR="00443B57" w:rsidRPr="00D5464D">
        <w:rPr>
          <w:rFonts w:eastAsia="Batang" w:cs="Times"/>
          <w:szCs w:val="24"/>
          <w:lang w:val="pt-BR" w:eastAsia="es-ES"/>
        </w:rPr>
        <w:t>ã</w:t>
      </w:r>
      <w:r w:rsidR="000A52D5" w:rsidRPr="00D5464D">
        <w:rPr>
          <w:rFonts w:eastAsia="Batang" w:cs="Times"/>
          <w:szCs w:val="24"/>
          <w:lang w:val="pt-BR" w:eastAsia="es-ES"/>
        </w:rPr>
        <w:t xml:space="preserve">o </w:t>
      </w:r>
      <w:r w:rsidR="002C330E" w:rsidRPr="00D5464D">
        <w:rPr>
          <w:rFonts w:eastAsia="Batang" w:cs="Times"/>
          <w:szCs w:val="24"/>
          <w:lang w:val="pt-BR" w:eastAsia="es-ES"/>
        </w:rPr>
        <w:t>interpôs</w:t>
      </w:r>
      <w:r w:rsidR="000A52D5" w:rsidRPr="00D5464D">
        <w:rPr>
          <w:rFonts w:eastAsia="Batang" w:cs="Times"/>
          <w:szCs w:val="24"/>
          <w:lang w:val="pt-BR" w:eastAsia="es-ES"/>
        </w:rPr>
        <w:t xml:space="preserve"> esta </w:t>
      </w:r>
      <w:r w:rsidR="00470ADC" w:rsidRPr="00D5464D">
        <w:rPr>
          <w:rFonts w:eastAsia="Batang" w:cs="Times"/>
          <w:szCs w:val="24"/>
          <w:lang w:val="pt-BR" w:eastAsia="es-ES"/>
        </w:rPr>
        <w:t>exceção</w:t>
      </w:r>
      <w:r w:rsidR="000A52D5" w:rsidRPr="00D5464D">
        <w:rPr>
          <w:rFonts w:eastAsia="Batang" w:cs="Times"/>
          <w:szCs w:val="24"/>
          <w:lang w:val="pt-BR" w:eastAsia="es-ES"/>
        </w:rPr>
        <w:t xml:space="preserve"> de </w:t>
      </w:r>
      <w:r w:rsidR="002C330E" w:rsidRPr="00D5464D">
        <w:rPr>
          <w:rFonts w:eastAsia="Batang" w:cs="Times"/>
          <w:szCs w:val="24"/>
          <w:lang w:val="pt-BR" w:eastAsia="es-ES"/>
        </w:rPr>
        <w:t>maneira</w:t>
      </w:r>
      <w:r w:rsidR="000A52D5" w:rsidRPr="00D5464D">
        <w:rPr>
          <w:rFonts w:eastAsia="Batang" w:cs="Times"/>
          <w:szCs w:val="24"/>
          <w:lang w:val="pt-BR" w:eastAsia="es-ES"/>
        </w:rPr>
        <w:t xml:space="preserve"> </w:t>
      </w:r>
      <w:r w:rsidR="00470ADC" w:rsidRPr="00D5464D">
        <w:rPr>
          <w:rFonts w:eastAsia="Batang" w:cs="Times"/>
          <w:szCs w:val="24"/>
          <w:lang w:val="pt-BR" w:eastAsia="es-ES"/>
        </w:rPr>
        <w:t>adequad</w:t>
      </w:r>
      <w:r w:rsidR="000A52D5" w:rsidRPr="00D5464D">
        <w:rPr>
          <w:rFonts w:eastAsia="Batang" w:cs="Times"/>
          <w:szCs w:val="24"/>
          <w:lang w:val="pt-BR" w:eastAsia="es-ES"/>
        </w:rPr>
        <w:t xml:space="preserve">a, </w:t>
      </w:r>
      <w:r w:rsidR="00443B57" w:rsidRPr="00D5464D">
        <w:rPr>
          <w:rFonts w:eastAsia="Batang" w:cs="Times"/>
          <w:szCs w:val="24"/>
          <w:lang w:val="pt-BR" w:eastAsia="es-ES"/>
        </w:rPr>
        <w:t xml:space="preserve">visto que </w:t>
      </w:r>
      <w:r w:rsidR="00470ADC" w:rsidRPr="00D5464D">
        <w:rPr>
          <w:rFonts w:eastAsia="Batang" w:cs="Times"/>
          <w:szCs w:val="24"/>
          <w:lang w:val="pt-BR" w:eastAsia="es-ES"/>
        </w:rPr>
        <w:t>ess</w:t>
      </w:r>
      <w:r w:rsidR="00443B57" w:rsidRPr="00D5464D">
        <w:rPr>
          <w:rFonts w:eastAsia="Batang" w:cs="Times"/>
          <w:szCs w:val="24"/>
          <w:lang w:val="pt-BR" w:eastAsia="es-ES"/>
        </w:rPr>
        <w:t>a</w:t>
      </w:r>
      <w:r w:rsidR="00470ADC" w:rsidRPr="00D5464D">
        <w:rPr>
          <w:rFonts w:eastAsia="Batang" w:cs="Times"/>
          <w:szCs w:val="24"/>
          <w:lang w:val="pt-BR" w:eastAsia="es-ES"/>
        </w:rPr>
        <w:t xml:space="preserve"> análise</w:t>
      </w:r>
      <w:r w:rsidR="000A52D5" w:rsidRPr="00D5464D">
        <w:rPr>
          <w:rFonts w:eastAsia="Batang" w:cs="Times"/>
          <w:szCs w:val="24"/>
          <w:lang w:val="pt-BR" w:eastAsia="es-ES"/>
        </w:rPr>
        <w:t xml:space="preserve"> </w:t>
      </w:r>
      <w:r w:rsidR="002C330E" w:rsidRPr="00D5464D">
        <w:rPr>
          <w:rFonts w:eastAsia="Batang" w:cs="Times"/>
          <w:szCs w:val="24"/>
          <w:lang w:val="pt-BR" w:eastAsia="es-ES"/>
        </w:rPr>
        <w:t>ocorre</w:t>
      </w:r>
      <w:r w:rsidR="00E045D9" w:rsidRPr="00D5464D">
        <w:rPr>
          <w:rFonts w:eastAsia="Batang" w:cs="Times"/>
          <w:szCs w:val="24"/>
          <w:lang w:val="pt-BR" w:eastAsia="es-ES"/>
        </w:rPr>
        <w:t xml:space="preserve"> no </w:t>
      </w:r>
      <w:r w:rsidR="000A52D5" w:rsidRPr="00D5464D">
        <w:rPr>
          <w:rFonts w:eastAsia="Batang" w:cs="Times"/>
          <w:szCs w:val="24"/>
          <w:lang w:val="pt-BR" w:eastAsia="es-ES"/>
        </w:rPr>
        <w:t>momento</w:t>
      </w:r>
      <w:r w:rsidR="00470ADC" w:rsidRPr="00D5464D">
        <w:rPr>
          <w:rFonts w:eastAsia="Batang" w:cs="Times"/>
          <w:szCs w:val="24"/>
          <w:lang w:val="pt-BR" w:eastAsia="es-ES"/>
        </w:rPr>
        <w:t xml:space="preserve"> em </w:t>
      </w:r>
      <w:r w:rsidR="000A52D5" w:rsidRPr="00D5464D">
        <w:rPr>
          <w:rFonts w:eastAsia="Batang" w:cs="Times"/>
          <w:szCs w:val="24"/>
          <w:lang w:val="pt-BR" w:eastAsia="es-ES"/>
        </w:rPr>
        <w:t>que</w:t>
      </w:r>
      <w:r w:rsidR="002C330E" w:rsidRPr="00D5464D">
        <w:rPr>
          <w:rFonts w:eastAsia="Batang" w:cs="Times"/>
          <w:szCs w:val="24"/>
          <w:lang w:val="pt-BR" w:eastAsia="es-ES"/>
        </w:rPr>
        <w:t xml:space="preserve"> a </w:t>
      </w:r>
      <w:r w:rsidR="00470ADC" w:rsidRPr="00D5464D">
        <w:rPr>
          <w:rFonts w:eastAsia="Batang" w:cs="Times"/>
          <w:szCs w:val="24"/>
          <w:lang w:val="pt-BR" w:eastAsia="es-ES"/>
        </w:rPr>
        <w:t>Comissão</w:t>
      </w:r>
      <w:r w:rsidR="000A52D5" w:rsidRPr="00D5464D">
        <w:rPr>
          <w:rFonts w:eastAsia="Batang" w:cs="Times"/>
          <w:szCs w:val="24"/>
          <w:lang w:val="pt-BR" w:eastAsia="es-ES"/>
        </w:rPr>
        <w:t xml:space="preserve"> determina</w:t>
      </w:r>
      <w:r w:rsidR="002C330E" w:rsidRPr="00D5464D">
        <w:rPr>
          <w:rFonts w:eastAsia="Batang" w:cs="Times"/>
          <w:szCs w:val="24"/>
          <w:lang w:val="pt-BR" w:eastAsia="es-ES"/>
        </w:rPr>
        <w:t xml:space="preserve"> a </w:t>
      </w:r>
      <w:r w:rsidR="00470ADC" w:rsidRPr="00D5464D">
        <w:rPr>
          <w:rFonts w:eastAsia="Batang" w:cs="Times"/>
          <w:szCs w:val="24"/>
          <w:lang w:val="pt-BR" w:eastAsia="es-ES"/>
        </w:rPr>
        <w:t>admissibilidade</w:t>
      </w:r>
      <w:r w:rsidR="000A52D5" w:rsidRPr="00D5464D">
        <w:rPr>
          <w:rFonts w:eastAsia="Batang" w:cs="Times"/>
          <w:szCs w:val="24"/>
          <w:lang w:val="pt-BR" w:eastAsia="es-ES"/>
        </w:rPr>
        <w:t xml:space="preserve"> </w:t>
      </w:r>
      <w:r w:rsidR="00470ADC" w:rsidRPr="00D5464D">
        <w:rPr>
          <w:rFonts w:eastAsia="Batang" w:cs="Times"/>
          <w:szCs w:val="24"/>
          <w:lang w:val="pt-BR" w:eastAsia="es-ES"/>
        </w:rPr>
        <w:t xml:space="preserve">do </w:t>
      </w:r>
      <w:r w:rsidR="000A52D5" w:rsidRPr="00D5464D">
        <w:rPr>
          <w:rFonts w:eastAsia="Batang" w:cs="Times"/>
          <w:szCs w:val="24"/>
          <w:lang w:val="pt-BR" w:eastAsia="es-ES"/>
        </w:rPr>
        <w:t xml:space="preserve">caso. </w:t>
      </w:r>
    </w:p>
    <w:p w14:paraId="760C5FA7" w14:textId="77777777" w:rsidR="000A52D5" w:rsidRPr="00D5464D" w:rsidRDefault="000A52D5" w:rsidP="00140440">
      <w:pPr>
        <w:tabs>
          <w:tab w:val="clear" w:pos="4419"/>
          <w:tab w:val="clear" w:pos="8838"/>
        </w:tabs>
        <w:jc w:val="both"/>
        <w:rPr>
          <w:rFonts w:eastAsia="Batang" w:cs="Times"/>
          <w:szCs w:val="24"/>
          <w:lang w:val="pt-BR" w:eastAsia="es-ES"/>
        </w:rPr>
      </w:pPr>
    </w:p>
    <w:p w14:paraId="53BE9329" w14:textId="5E995D5E" w:rsidR="000A52D5" w:rsidRPr="00D5464D" w:rsidRDefault="004D310D" w:rsidP="000A20C1">
      <w:pPr>
        <w:pStyle w:val="Ttulo3"/>
        <w:rPr>
          <w:lang w:val="pt-BR" w:eastAsia="es-ES"/>
        </w:rPr>
      </w:pPr>
      <w:bookmarkStart w:id="156" w:name="_Toc460432986"/>
      <w:bookmarkStart w:id="157" w:name="_Toc460441917"/>
      <w:bookmarkStart w:id="158" w:name="_Toc462750737"/>
      <w:bookmarkStart w:id="159" w:name="_Toc462751061"/>
      <w:bookmarkStart w:id="160" w:name="_Toc464813913"/>
      <w:bookmarkStart w:id="161" w:name="_Toc468433874"/>
      <w:r w:rsidRPr="00D5464D">
        <w:rPr>
          <w:lang w:val="pt-BR" w:eastAsia="es-ES"/>
        </w:rPr>
        <w:t>H</w:t>
      </w:r>
      <w:r w:rsidR="000A52D5" w:rsidRPr="00D5464D">
        <w:rPr>
          <w:lang w:val="pt-BR" w:eastAsia="es-ES"/>
        </w:rPr>
        <w:t>.2. Considera</w:t>
      </w:r>
      <w:r w:rsidR="00470ADC" w:rsidRPr="00D5464D">
        <w:rPr>
          <w:lang w:val="pt-BR" w:eastAsia="es-ES"/>
        </w:rPr>
        <w:t xml:space="preserve">ções da </w:t>
      </w:r>
      <w:r w:rsidR="000A52D5" w:rsidRPr="00D5464D">
        <w:rPr>
          <w:lang w:val="pt-BR" w:eastAsia="es-ES"/>
        </w:rPr>
        <w:t>Corte</w:t>
      </w:r>
      <w:bookmarkEnd w:id="156"/>
      <w:bookmarkEnd w:id="157"/>
      <w:bookmarkEnd w:id="158"/>
      <w:bookmarkEnd w:id="159"/>
      <w:bookmarkEnd w:id="160"/>
      <w:bookmarkEnd w:id="161"/>
    </w:p>
    <w:p w14:paraId="32D44501" w14:textId="77777777" w:rsidR="00D65024" w:rsidRPr="00D5464D" w:rsidRDefault="00D65024" w:rsidP="00D65024">
      <w:pPr>
        <w:tabs>
          <w:tab w:val="clear" w:pos="4419"/>
          <w:tab w:val="clear" w:pos="8838"/>
        </w:tabs>
        <w:jc w:val="both"/>
        <w:rPr>
          <w:rFonts w:eastAsia="Batang" w:cs="Times"/>
          <w:szCs w:val="24"/>
          <w:lang w:val="pt-BR" w:eastAsia="es-ES"/>
        </w:rPr>
      </w:pPr>
    </w:p>
    <w:p w14:paraId="64B79A46" w14:textId="48E40AF5" w:rsidR="000A52D5" w:rsidRPr="00D5464D" w:rsidRDefault="00470AD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A </w:t>
      </w:r>
      <w:r w:rsidR="000A52D5" w:rsidRPr="00D5464D">
        <w:rPr>
          <w:rFonts w:eastAsia="Batang" w:cs="Times"/>
          <w:szCs w:val="24"/>
          <w:lang w:val="pt-BR" w:eastAsia="es-ES"/>
        </w:rPr>
        <w:t xml:space="preserve">Corte </w:t>
      </w:r>
      <w:r w:rsidR="00737270" w:rsidRPr="00D5464D">
        <w:rPr>
          <w:rFonts w:eastAsia="Batang" w:cs="Times"/>
          <w:szCs w:val="24"/>
          <w:lang w:val="pt-BR" w:eastAsia="es-ES"/>
        </w:rPr>
        <w:t>desenvolveu</w:t>
      </w:r>
      <w:r w:rsidR="000A52D5" w:rsidRPr="00D5464D">
        <w:rPr>
          <w:rFonts w:eastAsia="Batang" w:cs="Times"/>
          <w:szCs w:val="24"/>
          <w:lang w:val="pt-BR" w:eastAsia="es-ES"/>
        </w:rPr>
        <w:t xml:space="preserve"> pautas claras para </w:t>
      </w:r>
      <w:r w:rsidRPr="00D5464D">
        <w:rPr>
          <w:rFonts w:eastAsia="Batang" w:cs="Times"/>
          <w:szCs w:val="24"/>
          <w:lang w:val="pt-BR" w:eastAsia="es-ES"/>
        </w:rPr>
        <w:t>analisar</w:t>
      </w:r>
      <w:r w:rsidR="00E045D9" w:rsidRPr="00D5464D">
        <w:rPr>
          <w:rFonts w:eastAsia="Batang" w:cs="Times"/>
          <w:szCs w:val="24"/>
          <w:lang w:val="pt-BR" w:eastAsia="es-ES"/>
        </w:rPr>
        <w:t xml:space="preserve"> uma </w:t>
      </w:r>
      <w:r w:rsidRPr="00D5464D">
        <w:rPr>
          <w:rFonts w:eastAsia="Batang" w:cs="Times"/>
          <w:szCs w:val="24"/>
          <w:lang w:val="pt-BR" w:eastAsia="es-ES"/>
        </w:rPr>
        <w:t>exceção</w:t>
      </w:r>
      <w:r w:rsidR="00A1358C" w:rsidRPr="00D5464D">
        <w:rPr>
          <w:rFonts w:eastAsia="Batang" w:cs="Times"/>
          <w:szCs w:val="24"/>
          <w:lang w:val="pt-BR" w:eastAsia="es-ES"/>
        </w:rPr>
        <w:t xml:space="preserve"> </w:t>
      </w:r>
      <w:r w:rsidR="00443B57" w:rsidRPr="00D5464D">
        <w:rPr>
          <w:rFonts w:eastAsia="Batang" w:cs="Times"/>
          <w:szCs w:val="24"/>
          <w:lang w:val="pt-BR" w:eastAsia="es-ES"/>
        </w:rPr>
        <w:t xml:space="preserve">preliminar </w:t>
      </w:r>
      <w:r w:rsidR="00A1358C" w:rsidRPr="00D5464D">
        <w:rPr>
          <w:rFonts w:eastAsia="Batang" w:cs="Times"/>
          <w:szCs w:val="24"/>
          <w:lang w:val="pt-BR" w:eastAsia="es-ES"/>
        </w:rPr>
        <w:t>baseada</w:t>
      </w:r>
      <w:r w:rsidRPr="00D5464D">
        <w:rPr>
          <w:rFonts w:eastAsia="Batang" w:cs="Times"/>
          <w:szCs w:val="24"/>
          <w:lang w:val="pt-BR" w:eastAsia="es-ES"/>
        </w:rPr>
        <w:t xml:space="preserve"> em</w:t>
      </w:r>
      <w:r w:rsidR="00E045D9" w:rsidRPr="00D5464D">
        <w:rPr>
          <w:rFonts w:eastAsia="Batang" w:cs="Times"/>
          <w:szCs w:val="24"/>
          <w:lang w:val="pt-BR" w:eastAsia="es-ES"/>
        </w:rPr>
        <w:t xml:space="preserve"> um </w:t>
      </w:r>
      <w:r w:rsidR="002C330E" w:rsidRPr="00D5464D">
        <w:rPr>
          <w:rFonts w:eastAsia="Batang" w:cs="Times"/>
          <w:szCs w:val="24"/>
          <w:lang w:val="pt-BR" w:eastAsia="es-ES"/>
        </w:rPr>
        <w:t>suposto descumprimento</w:t>
      </w:r>
      <w:r w:rsidR="000A52D5" w:rsidRPr="00D5464D">
        <w:rPr>
          <w:rFonts w:eastAsia="Batang" w:cs="Times"/>
          <w:szCs w:val="24"/>
          <w:lang w:val="pt-BR" w:eastAsia="es-ES"/>
        </w:rPr>
        <w:t xml:space="preserve"> </w:t>
      </w:r>
      <w:r w:rsidRPr="00D5464D">
        <w:rPr>
          <w:rFonts w:eastAsia="Batang" w:cs="Times"/>
          <w:szCs w:val="24"/>
          <w:lang w:val="pt-BR" w:eastAsia="es-ES"/>
        </w:rPr>
        <w:t xml:space="preserve">do </w:t>
      </w:r>
      <w:r w:rsidR="000A52D5" w:rsidRPr="00D5464D">
        <w:rPr>
          <w:rFonts w:eastAsia="Batang" w:cs="Times"/>
          <w:szCs w:val="24"/>
          <w:lang w:val="pt-BR" w:eastAsia="es-ES"/>
        </w:rPr>
        <w:t xml:space="preserve">requisito de </w:t>
      </w:r>
      <w:r w:rsidRPr="00D5464D">
        <w:rPr>
          <w:rFonts w:eastAsia="Batang" w:cs="Times"/>
          <w:szCs w:val="24"/>
          <w:lang w:val="pt-BR" w:eastAsia="es-ES"/>
        </w:rPr>
        <w:t xml:space="preserve">esgotamento dos </w:t>
      </w:r>
      <w:r w:rsidR="000A52D5" w:rsidRPr="00D5464D">
        <w:rPr>
          <w:rFonts w:eastAsia="Batang" w:cs="Times"/>
          <w:szCs w:val="24"/>
          <w:lang w:val="pt-BR" w:eastAsia="es-ES"/>
        </w:rPr>
        <w:t xml:space="preserve">recursos internos. </w:t>
      </w:r>
      <w:r w:rsidR="002C330E" w:rsidRPr="00D5464D">
        <w:rPr>
          <w:rFonts w:eastAsia="Batang" w:cs="Times"/>
          <w:szCs w:val="24"/>
          <w:lang w:val="pt-BR" w:eastAsia="es-ES"/>
        </w:rPr>
        <w:t>Primeiro</w:t>
      </w:r>
      <w:r w:rsidR="000A52D5" w:rsidRPr="00D5464D">
        <w:rPr>
          <w:rFonts w:eastAsia="Batang" w:cs="Times"/>
          <w:szCs w:val="24"/>
          <w:lang w:val="pt-BR" w:eastAsia="es-ES"/>
        </w:rPr>
        <w:t>,</w:t>
      </w:r>
      <w:r w:rsidR="002C330E" w:rsidRPr="00D5464D">
        <w:rPr>
          <w:rFonts w:eastAsia="Batang" w:cs="Times"/>
          <w:szCs w:val="24"/>
          <w:lang w:val="pt-BR" w:eastAsia="es-ES"/>
        </w:rPr>
        <w:t xml:space="preserve"> a </w:t>
      </w:r>
      <w:r w:rsidR="000A52D5" w:rsidRPr="00D5464D">
        <w:rPr>
          <w:rFonts w:eastAsia="Batang" w:cs="Times"/>
          <w:szCs w:val="24"/>
          <w:lang w:val="pt-BR" w:eastAsia="es-ES"/>
        </w:rPr>
        <w:t xml:space="preserve">Corte </w:t>
      </w:r>
      <w:r w:rsidR="00C91CB1" w:rsidRPr="00D5464D">
        <w:rPr>
          <w:rFonts w:eastAsia="Batang" w:cs="Times"/>
          <w:szCs w:val="24"/>
          <w:lang w:val="pt-BR" w:eastAsia="es-ES"/>
        </w:rPr>
        <w:t>interpretou</w:t>
      </w:r>
      <w:r w:rsidR="002C330E" w:rsidRPr="00D5464D">
        <w:rPr>
          <w:rFonts w:eastAsia="Batang" w:cs="Times"/>
          <w:szCs w:val="24"/>
          <w:lang w:val="pt-BR" w:eastAsia="es-ES"/>
        </w:rPr>
        <w:t xml:space="preserve"> a </w:t>
      </w:r>
      <w:r w:rsidRPr="00D5464D">
        <w:rPr>
          <w:rFonts w:eastAsia="Batang" w:cs="Times"/>
          <w:szCs w:val="24"/>
          <w:lang w:val="pt-BR" w:eastAsia="es-ES"/>
        </w:rPr>
        <w:t>exceção</w:t>
      </w:r>
      <w:r w:rsidR="000A52D5" w:rsidRPr="00D5464D">
        <w:rPr>
          <w:rFonts w:eastAsia="Batang" w:cs="Times"/>
          <w:szCs w:val="24"/>
          <w:lang w:val="pt-BR" w:eastAsia="es-ES"/>
        </w:rPr>
        <w:t xml:space="preserve"> como</w:t>
      </w:r>
      <w:r w:rsidR="00E045D9" w:rsidRPr="00D5464D">
        <w:rPr>
          <w:rFonts w:eastAsia="Batang" w:cs="Times"/>
          <w:szCs w:val="24"/>
          <w:lang w:val="pt-BR" w:eastAsia="es-ES"/>
        </w:rPr>
        <w:t xml:space="preserve"> uma </w:t>
      </w:r>
      <w:r w:rsidRPr="00D5464D">
        <w:rPr>
          <w:rFonts w:eastAsia="Batang" w:cs="Times"/>
          <w:szCs w:val="24"/>
          <w:lang w:val="pt-BR" w:eastAsia="es-ES"/>
        </w:rPr>
        <w:t>defesa</w:t>
      </w:r>
      <w:r w:rsidR="000A52D5" w:rsidRPr="00D5464D">
        <w:rPr>
          <w:rFonts w:eastAsia="Batang" w:cs="Times"/>
          <w:szCs w:val="24"/>
          <w:lang w:val="pt-BR" w:eastAsia="es-ES"/>
        </w:rPr>
        <w:t xml:space="preserve"> </w:t>
      </w:r>
      <w:r w:rsidRPr="00D5464D">
        <w:rPr>
          <w:rFonts w:eastAsia="Batang" w:cs="Times"/>
          <w:szCs w:val="24"/>
          <w:lang w:val="pt-BR" w:eastAsia="es-ES"/>
        </w:rPr>
        <w:t xml:space="preserve">disponível </w:t>
      </w:r>
      <w:r w:rsidR="000A52D5" w:rsidRPr="00D5464D">
        <w:rPr>
          <w:rFonts w:eastAsia="Batang" w:cs="Times"/>
          <w:szCs w:val="24"/>
          <w:lang w:val="pt-BR" w:eastAsia="es-ES"/>
        </w:rPr>
        <w:t>para</w:t>
      </w:r>
      <w:r w:rsidRPr="00D5464D">
        <w:rPr>
          <w:rFonts w:eastAsia="Batang" w:cs="Times"/>
          <w:szCs w:val="24"/>
          <w:lang w:val="pt-BR" w:eastAsia="es-ES"/>
        </w:rPr>
        <w:t xml:space="preserve"> o </w:t>
      </w:r>
      <w:r w:rsidR="000A52D5" w:rsidRPr="00D5464D">
        <w:rPr>
          <w:rFonts w:eastAsia="Batang" w:cs="Times"/>
          <w:szCs w:val="24"/>
          <w:lang w:val="pt-BR" w:eastAsia="es-ES"/>
        </w:rPr>
        <w:t>Estado</w:t>
      </w:r>
      <w:r w:rsidRPr="00D5464D">
        <w:rPr>
          <w:rFonts w:eastAsia="Batang" w:cs="Times"/>
          <w:szCs w:val="24"/>
          <w:lang w:val="pt-BR" w:eastAsia="es-ES"/>
        </w:rPr>
        <w:t xml:space="preserve"> e</w:t>
      </w:r>
      <w:r w:rsidR="00BD7905" w:rsidRPr="00D5464D">
        <w:rPr>
          <w:rFonts w:eastAsia="Batang" w:cs="Times"/>
          <w:szCs w:val="24"/>
          <w:lang w:val="pt-BR" w:eastAsia="es-ES"/>
        </w:rPr>
        <w:t>,</w:t>
      </w:r>
      <w:r w:rsidR="000A52D5" w:rsidRPr="00D5464D">
        <w:rPr>
          <w:rFonts w:eastAsia="Batang" w:cs="Times"/>
          <w:szCs w:val="24"/>
          <w:lang w:val="pt-BR" w:eastAsia="es-ES"/>
        </w:rPr>
        <w:t xml:space="preserve"> como tal, </w:t>
      </w:r>
      <w:r w:rsidR="00BD7905" w:rsidRPr="00D5464D">
        <w:rPr>
          <w:rFonts w:eastAsia="Batang" w:cs="Times"/>
          <w:szCs w:val="24"/>
          <w:lang w:val="pt-BR" w:eastAsia="es-ES"/>
        </w:rPr>
        <w:t xml:space="preserve">a faculdade de renúncia </w:t>
      </w:r>
      <w:r w:rsidR="000A52D5" w:rsidRPr="00D5464D">
        <w:rPr>
          <w:rFonts w:eastAsia="Batang" w:cs="Times"/>
          <w:szCs w:val="24"/>
          <w:lang w:val="pt-BR" w:eastAsia="es-ES"/>
        </w:rPr>
        <w:t>a</w:t>
      </w:r>
      <w:r w:rsidRPr="00D5464D">
        <w:rPr>
          <w:rFonts w:eastAsia="Batang" w:cs="Times"/>
          <w:szCs w:val="24"/>
          <w:lang w:val="pt-BR" w:eastAsia="es-ES"/>
        </w:rPr>
        <w:t xml:space="preserve"> ela,</w:t>
      </w:r>
      <w:r w:rsidR="00737270" w:rsidRPr="00D5464D">
        <w:rPr>
          <w:rFonts w:eastAsia="Batang" w:cs="Times"/>
          <w:szCs w:val="24"/>
          <w:lang w:val="pt-BR" w:eastAsia="es-ES"/>
        </w:rPr>
        <w:t xml:space="preserve"> </w:t>
      </w:r>
      <w:r w:rsidR="002C330E" w:rsidRPr="00D5464D">
        <w:rPr>
          <w:rFonts w:eastAsia="Batang" w:cs="Times"/>
          <w:szCs w:val="24"/>
          <w:lang w:val="pt-BR" w:eastAsia="es-ES"/>
        </w:rPr>
        <w:t xml:space="preserve">seja </w:t>
      </w:r>
      <w:r w:rsidRPr="00D5464D">
        <w:rPr>
          <w:rFonts w:eastAsia="Batang" w:cs="Times"/>
          <w:szCs w:val="24"/>
          <w:lang w:val="pt-BR" w:eastAsia="es-ES"/>
        </w:rPr>
        <w:t>expressa</w:t>
      </w:r>
      <w:r w:rsidR="000A52D5" w:rsidRPr="00D5464D">
        <w:rPr>
          <w:rFonts w:eastAsia="Batang" w:cs="Times"/>
          <w:szCs w:val="24"/>
          <w:lang w:val="pt-BR" w:eastAsia="es-ES"/>
        </w:rPr>
        <w:t xml:space="preserve"> o</w:t>
      </w:r>
      <w:r w:rsidR="00443B57" w:rsidRPr="00D5464D">
        <w:rPr>
          <w:rFonts w:eastAsia="Batang" w:cs="Times"/>
          <w:szCs w:val="24"/>
          <w:lang w:val="pt-BR" w:eastAsia="es-ES"/>
        </w:rPr>
        <w:t>u</w:t>
      </w:r>
      <w:r w:rsidR="000A52D5" w:rsidRPr="00D5464D">
        <w:rPr>
          <w:rFonts w:eastAsia="Batang" w:cs="Times"/>
          <w:szCs w:val="24"/>
          <w:lang w:val="pt-BR" w:eastAsia="es-ES"/>
        </w:rPr>
        <w:t xml:space="preserve"> </w:t>
      </w:r>
      <w:r w:rsidR="00E045D9" w:rsidRPr="00D5464D">
        <w:rPr>
          <w:rFonts w:eastAsia="Batang" w:cs="Times"/>
          <w:szCs w:val="24"/>
          <w:lang w:val="pt-BR" w:eastAsia="es-ES"/>
        </w:rPr>
        <w:t>tacitamente</w:t>
      </w:r>
      <w:r w:rsidR="000A52D5" w:rsidRPr="00D5464D">
        <w:rPr>
          <w:rFonts w:eastAsia="Batang" w:cs="Times"/>
          <w:szCs w:val="24"/>
          <w:lang w:val="pt-BR" w:eastAsia="es-ES"/>
        </w:rPr>
        <w:t xml:space="preserve">. Segundo, esta </w:t>
      </w:r>
      <w:r w:rsidRPr="00D5464D">
        <w:rPr>
          <w:rFonts w:eastAsia="Batang" w:cs="Times"/>
          <w:szCs w:val="24"/>
          <w:lang w:val="pt-BR" w:eastAsia="es-ES"/>
        </w:rPr>
        <w:t xml:space="preserve">exceção deve </w:t>
      </w:r>
      <w:r w:rsidR="00443B57" w:rsidRPr="00D5464D">
        <w:rPr>
          <w:rFonts w:eastAsia="Batang" w:cs="Times"/>
          <w:szCs w:val="24"/>
          <w:lang w:val="pt-BR" w:eastAsia="es-ES"/>
        </w:rPr>
        <w:t xml:space="preserve">ser apresentada </w:t>
      </w:r>
      <w:r w:rsidR="000A52D5" w:rsidRPr="00D5464D">
        <w:rPr>
          <w:rFonts w:eastAsia="Batang" w:cs="Times"/>
          <w:szCs w:val="24"/>
          <w:lang w:val="pt-BR" w:eastAsia="es-ES"/>
        </w:rPr>
        <w:t>oportunamente</w:t>
      </w:r>
      <w:r w:rsidR="00443B57" w:rsidRPr="00D5464D">
        <w:rPr>
          <w:rFonts w:eastAsia="Batang" w:cs="Times"/>
          <w:szCs w:val="24"/>
          <w:lang w:val="pt-BR" w:eastAsia="es-ES"/>
        </w:rPr>
        <w:t>,</w:t>
      </w:r>
      <w:r w:rsidRPr="00D5464D">
        <w:rPr>
          <w:rFonts w:eastAsia="Batang" w:cs="Times"/>
          <w:szCs w:val="24"/>
          <w:lang w:val="pt-BR" w:eastAsia="es-ES"/>
        </w:rPr>
        <w:t xml:space="preserve"> com o </w:t>
      </w:r>
      <w:r w:rsidR="000A52D5" w:rsidRPr="00D5464D">
        <w:rPr>
          <w:rFonts w:eastAsia="Batang" w:cs="Times"/>
          <w:szCs w:val="24"/>
          <w:lang w:val="pt-BR" w:eastAsia="es-ES"/>
        </w:rPr>
        <w:t>propósito de que</w:t>
      </w:r>
      <w:r w:rsidRPr="00D5464D">
        <w:rPr>
          <w:rFonts w:eastAsia="Batang" w:cs="Times"/>
          <w:szCs w:val="24"/>
          <w:lang w:val="pt-BR" w:eastAsia="es-ES"/>
        </w:rPr>
        <w:t xml:space="preserve"> o </w:t>
      </w:r>
      <w:r w:rsidR="000A52D5" w:rsidRPr="00D5464D">
        <w:rPr>
          <w:rFonts w:eastAsia="Batang" w:cs="Times"/>
          <w:szCs w:val="24"/>
          <w:lang w:val="pt-BR" w:eastAsia="es-ES"/>
        </w:rPr>
        <w:t xml:space="preserve">Estado </w:t>
      </w:r>
      <w:r w:rsidR="002C330E" w:rsidRPr="00D5464D">
        <w:rPr>
          <w:rFonts w:eastAsia="Batang" w:cs="Times"/>
          <w:szCs w:val="24"/>
          <w:lang w:val="pt-BR" w:eastAsia="es-ES"/>
        </w:rPr>
        <w:t>possa</w:t>
      </w:r>
      <w:r w:rsidR="000A52D5" w:rsidRPr="00D5464D">
        <w:rPr>
          <w:rFonts w:eastAsia="Batang" w:cs="Times"/>
          <w:szCs w:val="24"/>
          <w:lang w:val="pt-BR" w:eastAsia="es-ES"/>
        </w:rPr>
        <w:t xml:space="preserve"> </w:t>
      </w:r>
      <w:r w:rsidRPr="00D5464D">
        <w:rPr>
          <w:rFonts w:eastAsia="Batang" w:cs="Times"/>
          <w:szCs w:val="24"/>
          <w:lang w:val="pt-BR" w:eastAsia="es-ES"/>
        </w:rPr>
        <w:t>exercer</w:t>
      </w:r>
      <w:r w:rsidR="000A52D5" w:rsidRPr="00D5464D">
        <w:rPr>
          <w:rFonts w:eastAsia="Batang" w:cs="Times"/>
          <w:szCs w:val="24"/>
          <w:lang w:val="pt-BR" w:eastAsia="es-ES"/>
        </w:rPr>
        <w:t xml:space="preserve"> </w:t>
      </w:r>
      <w:r w:rsidR="00E045D9" w:rsidRPr="00D5464D">
        <w:rPr>
          <w:rFonts w:eastAsia="Batang" w:cs="Times"/>
          <w:szCs w:val="24"/>
          <w:lang w:val="pt-BR" w:eastAsia="es-ES"/>
        </w:rPr>
        <w:t>seu direito</w:t>
      </w:r>
      <w:r w:rsidRPr="00D5464D">
        <w:rPr>
          <w:rFonts w:eastAsia="Batang" w:cs="Times"/>
          <w:szCs w:val="24"/>
          <w:lang w:val="pt-BR" w:eastAsia="es-ES"/>
        </w:rPr>
        <w:t xml:space="preserve"> à defesa</w:t>
      </w:r>
      <w:r w:rsidR="000A52D5" w:rsidRPr="00D5464D">
        <w:rPr>
          <w:rFonts w:eastAsia="Batang" w:cs="Times"/>
          <w:szCs w:val="24"/>
          <w:lang w:val="pt-BR" w:eastAsia="es-ES"/>
        </w:rPr>
        <w:t xml:space="preserve">. </w:t>
      </w:r>
      <w:r w:rsidR="00E045D9" w:rsidRPr="00D5464D">
        <w:rPr>
          <w:rFonts w:eastAsia="Batang" w:cs="Times"/>
          <w:szCs w:val="24"/>
          <w:lang w:val="pt-BR" w:eastAsia="es-ES"/>
        </w:rPr>
        <w:t>Terceiro</w:t>
      </w:r>
      <w:r w:rsidR="000A52D5" w:rsidRPr="00D5464D">
        <w:rPr>
          <w:rFonts w:eastAsia="Batang" w:cs="Times"/>
          <w:szCs w:val="24"/>
          <w:lang w:val="pt-BR" w:eastAsia="es-ES"/>
        </w:rPr>
        <w:t>,</w:t>
      </w:r>
      <w:r w:rsidR="002C330E" w:rsidRPr="00D5464D">
        <w:rPr>
          <w:rFonts w:eastAsia="Batang" w:cs="Times"/>
          <w:szCs w:val="24"/>
          <w:lang w:val="pt-BR" w:eastAsia="es-ES"/>
        </w:rPr>
        <w:t xml:space="preserve"> a </w:t>
      </w:r>
      <w:r w:rsidR="000A52D5" w:rsidRPr="00D5464D">
        <w:rPr>
          <w:rFonts w:eastAsia="Batang" w:cs="Times"/>
          <w:szCs w:val="24"/>
          <w:lang w:val="pt-BR" w:eastAsia="es-ES"/>
        </w:rPr>
        <w:t xml:space="preserve">Corte </w:t>
      </w:r>
      <w:r w:rsidR="002C330E" w:rsidRPr="00D5464D">
        <w:rPr>
          <w:rFonts w:eastAsia="Batang" w:cs="Times"/>
          <w:szCs w:val="24"/>
          <w:lang w:val="pt-BR" w:eastAsia="es-ES"/>
        </w:rPr>
        <w:t>afirmou</w:t>
      </w:r>
      <w:r w:rsidR="000A52D5" w:rsidRPr="00D5464D">
        <w:rPr>
          <w:rFonts w:eastAsia="Batang" w:cs="Times"/>
          <w:szCs w:val="24"/>
          <w:lang w:val="pt-BR" w:eastAsia="es-ES"/>
        </w:rPr>
        <w:t xml:space="preserve"> que</w:t>
      </w:r>
      <w:r w:rsidRPr="00D5464D">
        <w:rPr>
          <w:rFonts w:eastAsia="Batang" w:cs="Times"/>
          <w:szCs w:val="24"/>
          <w:lang w:val="pt-BR" w:eastAsia="es-ES"/>
        </w:rPr>
        <w:t xml:space="preserve"> o </w:t>
      </w:r>
      <w:r w:rsidR="000A52D5" w:rsidRPr="00D5464D">
        <w:rPr>
          <w:rFonts w:eastAsia="Batang" w:cs="Times"/>
          <w:szCs w:val="24"/>
          <w:lang w:val="pt-BR" w:eastAsia="es-ES"/>
        </w:rPr>
        <w:t xml:space="preserve">Estado que </w:t>
      </w:r>
      <w:r w:rsidR="00443B57" w:rsidRPr="00D5464D">
        <w:rPr>
          <w:rFonts w:eastAsia="Batang" w:cs="Times"/>
          <w:szCs w:val="24"/>
          <w:lang w:val="pt-BR" w:eastAsia="es-ES"/>
        </w:rPr>
        <w:t>a</w:t>
      </w:r>
      <w:r w:rsidR="000A52D5" w:rsidRPr="00D5464D">
        <w:rPr>
          <w:rFonts w:eastAsia="Batang" w:cs="Times"/>
          <w:szCs w:val="24"/>
          <w:lang w:val="pt-BR" w:eastAsia="es-ES"/>
        </w:rPr>
        <w:t xml:space="preserve">presenta esta </w:t>
      </w:r>
      <w:r w:rsidRPr="00D5464D">
        <w:rPr>
          <w:rFonts w:eastAsia="Batang" w:cs="Times"/>
          <w:szCs w:val="24"/>
          <w:lang w:val="pt-BR" w:eastAsia="es-ES"/>
        </w:rPr>
        <w:t xml:space="preserve">exceção deve </w:t>
      </w:r>
      <w:r w:rsidR="000A52D5" w:rsidRPr="00D5464D">
        <w:rPr>
          <w:rFonts w:eastAsia="Batang" w:cs="Times"/>
          <w:szCs w:val="24"/>
          <w:lang w:val="pt-BR" w:eastAsia="es-ES"/>
        </w:rPr>
        <w:t>especificar</w:t>
      </w:r>
      <w:r w:rsidR="002C330E" w:rsidRPr="00D5464D">
        <w:rPr>
          <w:rFonts w:eastAsia="Batang" w:cs="Times"/>
          <w:szCs w:val="24"/>
          <w:lang w:val="pt-BR" w:eastAsia="es-ES"/>
        </w:rPr>
        <w:t xml:space="preserve"> os </w:t>
      </w:r>
      <w:r w:rsidR="000A52D5" w:rsidRPr="00D5464D">
        <w:rPr>
          <w:rFonts w:eastAsia="Batang" w:cs="Times"/>
          <w:szCs w:val="24"/>
          <w:lang w:val="pt-BR" w:eastAsia="es-ES"/>
        </w:rPr>
        <w:t>recursos internos que</w:t>
      </w:r>
      <w:r w:rsidRPr="00D5464D">
        <w:rPr>
          <w:rFonts w:eastAsia="Batang" w:cs="Times"/>
          <w:szCs w:val="24"/>
          <w:lang w:val="pt-BR" w:eastAsia="es-ES"/>
        </w:rPr>
        <w:t xml:space="preserve"> ainda</w:t>
      </w:r>
      <w:r w:rsidR="000A52D5" w:rsidRPr="00D5464D">
        <w:rPr>
          <w:rFonts w:eastAsia="Batang" w:cs="Times"/>
          <w:szCs w:val="24"/>
          <w:lang w:val="pt-BR" w:eastAsia="es-ES"/>
        </w:rPr>
        <w:t xml:space="preserve"> </w:t>
      </w:r>
      <w:r w:rsidR="00443B57" w:rsidRPr="00D5464D">
        <w:rPr>
          <w:rFonts w:eastAsia="Batang" w:cs="Times"/>
          <w:szCs w:val="24"/>
          <w:lang w:val="pt-BR" w:eastAsia="es-ES"/>
        </w:rPr>
        <w:t xml:space="preserve">não foram esgotados </w:t>
      </w:r>
      <w:r w:rsidR="00E045D9" w:rsidRPr="00D5464D">
        <w:rPr>
          <w:rFonts w:eastAsia="Batang" w:cs="Times"/>
          <w:szCs w:val="24"/>
          <w:lang w:val="pt-BR" w:eastAsia="es-ES"/>
        </w:rPr>
        <w:t xml:space="preserve">e </w:t>
      </w:r>
      <w:r w:rsidR="00350187" w:rsidRPr="00D5464D">
        <w:rPr>
          <w:rFonts w:eastAsia="Batang" w:cs="Times"/>
          <w:szCs w:val="24"/>
          <w:lang w:val="pt-BR" w:eastAsia="es-ES"/>
        </w:rPr>
        <w:t>demonstr</w:t>
      </w:r>
      <w:r w:rsidRPr="00D5464D">
        <w:rPr>
          <w:rFonts w:eastAsia="Batang" w:cs="Times"/>
          <w:szCs w:val="24"/>
          <w:lang w:val="pt-BR" w:eastAsia="es-ES"/>
        </w:rPr>
        <w:t>ar</w:t>
      </w:r>
      <w:r w:rsidR="000A52D5" w:rsidRPr="00D5464D">
        <w:rPr>
          <w:rFonts w:eastAsia="Batang" w:cs="Times"/>
          <w:szCs w:val="24"/>
          <w:lang w:val="pt-BR" w:eastAsia="es-ES"/>
        </w:rPr>
        <w:t xml:space="preserve"> que</w:t>
      </w:r>
      <w:r w:rsidRPr="00D5464D">
        <w:rPr>
          <w:rFonts w:eastAsia="Batang" w:cs="Times"/>
          <w:szCs w:val="24"/>
          <w:lang w:val="pt-BR" w:eastAsia="es-ES"/>
        </w:rPr>
        <w:t xml:space="preserve"> estes </w:t>
      </w:r>
      <w:r w:rsidR="000A52D5" w:rsidRPr="00D5464D">
        <w:rPr>
          <w:rFonts w:eastAsia="Batang" w:cs="Times"/>
          <w:szCs w:val="24"/>
          <w:lang w:val="pt-BR" w:eastAsia="es-ES"/>
        </w:rPr>
        <w:t>recursos</w:t>
      </w:r>
      <w:r w:rsidR="002C330E" w:rsidRPr="00D5464D">
        <w:rPr>
          <w:rFonts w:eastAsia="Batang" w:cs="Times"/>
          <w:szCs w:val="24"/>
          <w:lang w:val="pt-BR" w:eastAsia="es-ES"/>
        </w:rPr>
        <w:t xml:space="preserve"> são </w:t>
      </w:r>
      <w:r w:rsidRPr="00D5464D">
        <w:rPr>
          <w:rFonts w:eastAsia="Batang" w:cs="Times"/>
          <w:szCs w:val="24"/>
          <w:lang w:val="pt-BR" w:eastAsia="es-ES"/>
        </w:rPr>
        <w:t xml:space="preserve">aplicáveis </w:t>
      </w:r>
      <w:r w:rsidR="00E045D9" w:rsidRPr="00D5464D">
        <w:rPr>
          <w:rFonts w:eastAsia="Batang" w:cs="Times"/>
          <w:szCs w:val="24"/>
          <w:lang w:val="pt-BR" w:eastAsia="es-ES"/>
        </w:rPr>
        <w:t xml:space="preserve">e </w:t>
      </w:r>
      <w:r w:rsidRPr="00D5464D">
        <w:rPr>
          <w:rFonts w:eastAsia="Batang" w:cs="Times"/>
          <w:szCs w:val="24"/>
          <w:lang w:val="pt-BR" w:eastAsia="es-ES"/>
        </w:rPr>
        <w:t>efetiv</w:t>
      </w:r>
      <w:r w:rsidR="000A52D5" w:rsidRPr="00D5464D">
        <w:rPr>
          <w:rFonts w:eastAsia="Batang" w:cs="Times"/>
          <w:szCs w:val="24"/>
          <w:lang w:val="pt-BR" w:eastAsia="es-ES"/>
        </w:rPr>
        <w:t>os</w:t>
      </w:r>
      <w:r w:rsidR="00443B57" w:rsidRPr="00D5464D">
        <w:rPr>
          <w:rFonts w:eastAsia="Batang" w:cs="Times"/>
          <w:szCs w:val="24"/>
          <w:lang w:val="pt-BR" w:eastAsia="es-ES"/>
        </w:rPr>
        <w:t>.</w:t>
      </w:r>
      <w:r w:rsidR="000A52D5" w:rsidRPr="00D5464D">
        <w:rPr>
          <w:rFonts w:eastAsia="Batang" w:cs="Times"/>
          <w:szCs w:val="24"/>
          <w:vertAlign w:val="superscript"/>
          <w:lang w:val="pt-BR" w:eastAsia="es-ES"/>
        </w:rPr>
        <w:footnoteReference w:id="52"/>
      </w:r>
    </w:p>
    <w:p w14:paraId="1DCC5414" w14:textId="77777777" w:rsidR="00D65024" w:rsidRPr="00D5464D" w:rsidRDefault="00D65024" w:rsidP="00D65024">
      <w:pPr>
        <w:tabs>
          <w:tab w:val="clear" w:pos="4419"/>
          <w:tab w:val="clear" w:pos="8838"/>
        </w:tabs>
        <w:jc w:val="both"/>
        <w:rPr>
          <w:rFonts w:eastAsia="Batang" w:cs="Times"/>
          <w:szCs w:val="24"/>
          <w:lang w:val="pt-BR" w:eastAsia="es-ES"/>
        </w:rPr>
      </w:pPr>
    </w:p>
    <w:p w14:paraId="74F038B6" w14:textId="17DBEA70" w:rsidR="000A52D5" w:rsidRPr="00D5464D" w:rsidRDefault="00470AD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A </w:t>
      </w:r>
      <w:r w:rsidR="000A52D5" w:rsidRPr="00D5464D">
        <w:rPr>
          <w:rFonts w:eastAsia="Batang" w:cs="Times"/>
          <w:szCs w:val="24"/>
          <w:lang w:val="pt-BR" w:eastAsia="es-ES"/>
        </w:rPr>
        <w:t xml:space="preserve">Corte </w:t>
      </w:r>
      <w:r w:rsidR="00737270" w:rsidRPr="00D5464D">
        <w:rPr>
          <w:rFonts w:eastAsia="Batang" w:cs="Times"/>
          <w:szCs w:val="24"/>
          <w:lang w:val="pt-BR" w:eastAsia="es-ES"/>
        </w:rPr>
        <w:t>indicou</w:t>
      </w:r>
      <w:r w:rsidR="000A52D5" w:rsidRPr="00D5464D">
        <w:rPr>
          <w:rFonts w:eastAsia="Batang" w:cs="Times"/>
          <w:szCs w:val="24"/>
          <w:lang w:val="pt-BR" w:eastAsia="es-ES"/>
        </w:rPr>
        <w:t xml:space="preserve"> que</w:t>
      </w:r>
      <w:r w:rsidRPr="00D5464D">
        <w:rPr>
          <w:rFonts w:eastAsia="Batang" w:cs="Times"/>
          <w:szCs w:val="24"/>
          <w:lang w:val="pt-BR" w:eastAsia="es-ES"/>
        </w:rPr>
        <w:t xml:space="preserve"> o artigo</w:t>
      </w:r>
      <w:r w:rsidR="000A52D5" w:rsidRPr="00D5464D">
        <w:rPr>
          <w:rFonts w:eastAsia="Batang" w:cs="Times"/>
          <w:szCs w:val="24"/>
          <w:lang w:val="pt-BR" w:eastAsia="es-ES"/>
        </w:rPr>
        <w:t xml:space="preserve"> 46.1.a)</w:t>
      </w:r>
      <w:r w:rsidRPr="00D5464D">
        <w:rPr>
          <w:rFonts w:eastAsia="Batang" w:cs="Times"/>
          <w:szCs w:val="24"/>
          <w:lang w:val="pt-BR" w:eastAsia="es-ES"/>
        </w:rPr>
        <w:t xml:space="preserve"> da </w:t>
      </w:r>
      <w:r w:rsidR="00EC61F2" w:rsidRPr="00D5464D">
        <w:rPr>
          <w:rFonts w:eastAsia="Batang" w:cs="Times"/>
          <w:szCs w:val="24"/>
          <w:lang w:val="pt-BR" w:eastAsia="es-ES"/>
        </w:rPr>
        <w:t>Convenção</w:t>
      </w:r>
      <w:r w:rsidR="000A52D5" w:rsidRPr="00D5464D">
        <w:rPr>
          <w:rFonts w:eastAsia="Batang" w:cs="Times"/>
          <w:szCs w:val="24"/>
          <w:lang w:val="pt-BR" w:eastAsia="es-ES"/>
        </w:rPr>
        <w:t xml:space="preserve"> </w:t>
      </w:r>
      <w:r w:rsidRPr="00D5464D">
        <w:rPr>
          <w:rFonts w:eastAsia="Batang" w:cs="Times"/>
          <w:szCs w:val="24"/>
          <w:lang w:val="pt-BR" w:eastAsia="es-ES"/>
        </w:rPr>
        <w:t>dispõe</w:t>
      </w:r>
      <w:r w:rsidR="000A52D5" w:rsidRPr="00D5464D">
        <w:rPr>
          <w:rFonts w:eastAsia="Batang" w:cs="Times"/>
          <w:szCs w:val="24"/>
          <w:lang w:val="pt-BR" w:eastAsia="es-ES"/>
        </w:rPr>
        <w:t xml:space="preserve"> que</w:t>
      </w:r>
      <w:r w:rsidR="00471B33" w:rsidRPr="00D5464D">
        <w:rPr>
          <w:rFonts w:eastAsia="Batang" w:cs="Times"/>
          <w:szCs w:val="24"/>
          <w:lang w:val="pt-BR" w:eastAsia="es-ES"/>
        </w:rPr>
        <w:t>,</w:t>
      </w:r>
      <w:r w:rsidR="000A52D5" w:rsidRPr="00D5464D">
        <w:rPr>
          <w:rFonts w:eastAsia="Batang" w:cs="Times"/>
          <w:szCs w:val="24"/>
          <w:lang w:val="pt-BR" w:eastAsia="es-ES"/>
        </w:rPr>
        <w:t xml:space="preserve"> para determinar</w:t>
      </w:r>
      <w:r w:rsidR="002C330E" w:rsidRPr="00D5464D">
        <w:rPr>
          <w:rFonts w:eastAsia="Batang" w:cs="Times"/>
          <w:szCs w:val="24"/>
          <w:lang w:val="pt-BR" w:eastAsia="es-ES"/>
        </w:rPr>
        <w:t xml:space="preserve"> a </w:t>
      </w:r>
      <w:r w:rsidRPr="00D5464D">
        <w:rPr>
          <w:rFonts w:eastAsia="Batang" w:cs="Times"/>
          <w:szCs w:val="24"/>
          <w:lang w:val="pt-BR" w:eastAsia="es-ES"/>
        </w:rPr>
        <w:t>admissibilidade</w:t>
      </w:r>
      <w:r w:rsidR="000A52D5" w:rsidRPr="00D5464D">
        <w:rPr>
          <w:rFonts w:eastAsia="Batang" w:cs="Times"/>
          <w:szCs w:val="24"/>
          <w:lang w:val="pt-BR" w:eastAsia="es-ES"/>
        </w:rPr>
        <w:t xml:space="preserve"> de</w:t>
      </w:r>
      <w:r w:rsidR="00E045D9" w:rsidRPr="00D5464D">
        <w:rPr>
          <w:rFonts w:eastAsia="Batang" w:cs="Times"/>
          <w:szCs w:val="24"/>
          <w:lang w:val="pt-BR" w:eastAsia="es-ES"/>
        </w:rPr>
        <w:t xml:space="preserve"> uma </w:t>
      </w:r>
      <w:r w:rsidR="000A52D5" w:rsidRPr="00D5464D">
        <w:rPr>
          <w:rFonts w:eastAsia="Batang" w:cs="Times"/>
          <w:szCs w:val="24"/>
          <w:lang w:val="pt-BR" w:eastAsia="es-ES"/>
        </w:rPr>
        <w:t>peti</w:t>
      </w:r>
      <w:r w:rsidR="00EC61F2" w:rsidRPr="00D5464D">
        <w:rPr>
          <w:rFonts w:eastAsia="Batang" w:cs="Times"/>
          <w:szCs w:val="24"/>
          <w:lang w:val="pt-BR" w:eastAsia="es-ES"/>
        </w:rPr>
        <w:t xml:space="preserve">ção </w:t>
      </w:r>
      <w:r w:rsidR="000A52D5" w:rsidRPr="00D5464D">
        <w:rPr>
          <w:rFonts w:eastAsia="Batang" w:cs="Times"/>
          <w:szCs w:val="24"/>
          <w:lang w:val="pt-BR" w:eastAsia="es-ES"/>
        </w:rPr>
        <w:t>o</w:t>
      </w:r>
      <w:r w:rsidR="00EC61F2" w:rsidRPr="00D5464D">
        <w:rPr>
          <w:rFonts w:eastAsia="Batang" w:cs="Times"/>
          <w:szCs w:val="24"/>
          <w:lang w:val="pt-BR" w:eastAsia="es-ES"/>
        </w:rPr>
        <w:t>u</w:t>
      </w:r>
      <w:r w:rsidR="000A52D5" w:rsidRPr="00D5464D">
        <w:rPr>
          <w:rFonts w:eastAsia="Batang" w:cs="Times"/>
          <w:szCs w:val="24"/>
          <w:lang w:val="pt-BR" w:eastAsia="es-ES"/>
        </w:rPr>
        <w:t xml:space="preserve"> comunica</w:t>
      </w:r>
      <w:r w:rsidR="00EC61F2" w:rsidRPr="00D5464D">
        <w:rPr>
          <w:rFonts w:eastAsia="Batang" w:cs="Times"/>
          <w:szCs w:val="24"/>
          <w:lang w:val="pt-BR" w:eastAsia="es-ES"/>
        </w:rPr>
        <w:t xml:space="preserve">ção </w:t>
      </w:r>
      <w:r w:rsidR="002C330E" w:rsidRPr="00D5464D">
        <w:rPr>
          <w:rFonts w:eastAsia="Batang" w:cs="Times"/>
          <w:szCs w:val="24"/>
          <w:lang w:val="pt-BR" w:eastAsia="es-ES"/>
        </w:rPr>
        <w:t xml:space="preserve">apresentada </w:t>
      </w:r>
      <w:r w:rsidRPr="00D5464D">
        <w:rPr>
          <w:rFonts w:eastAsia="Batang" w:cs="Times"/>
          <w:szCs w:val="24"/>
          <w:lang w:val="pt-BR" w:eastAsia="es-ES"/>
        </w:rPr>
        <w:t xml:space="preserve">perante a </w:t>
      </w:r>
      <w:r w:rsidR="000A52D5" w:rsidRPr="00D5464D">
        <w:rPr>
          <w:rFonts w:eastAsia="Batang" w:cs="Times"/>
          <w:szCs w:val="24"/>
          <w:lang w:val="pt-BR" w:eastAsia="es-ES"/>
        </w:rPr>
        <w:t>Comis</w:t>
      </w:r>
      <w:r w:rsidR="00EC61F2" w:rsidRPr="00D5464D">
        <w:rPr>
          <w:rFonts w:eastAsia="Batang" w:cs="Times"/>
          <w:szCs w:val="24"/>
          <w:lang w:val="pt-BR" w:eastAsia="es-ES"/>
        </w:rPr>
        <w:t>são</w:t>
      </w:r>
      <w:r w:rsidR="000A52D5" w:rsidRPr="00D5464D">
        <w:rPr>
          <w:rFonts w:eastAsia="Batang" w:cs="Times"/>
          <w:szCs w:val="24"/>
          <w:lang w:val="pt-BR" w:eastAsia="es-ES"/>
        </w:rPr>
        <w:t xml:space="preserve">, </w:t>
      </w:r>
      <w:r w:rsidRPr="00D5464D">
        <w:rPr>
          <w:rFonts w:eastAsia="Batang" w:cs="Times"/>
          <w:szCs w:val="24"/>
          <w:lang w:val="pt-BR" w:eastAsia="es-ES"/>
        </w:rPr>
        <w:t>de acordo com</w:t>
      </w:r>
      <w:r w:rsidR="002C330E" w:rsidRPr="00D5464D">
        <w:rPr>
          <w:rFonts w:eastAsia="Batang" w:cs="Times"/>
          <w:szCs w:val="24"/>
          <w:lang w:val="pt-BR" w:eastAsia="es-ES"/>
        </w:rPr>
        <w:t xml:space="preserve"> os </w:t>
      </w:r>
      <w:r w:rsidR="00EC61F2" w:rsidRPr="00D5464D">
        <w:rPr>
          <w:rFonts w:eastAsia="Batang" w:cs="Times"/>
          <w:szCs w:val="24"/>
          <w:lang w:val="pt-BR" w:eastAsia="es-ES"/>
        </w:rPr>
        <w:t xml:space="preserve">artigos </w:t>
      </w:r>
      <w:r w:rsidR="000A52D5" w:rsidRPr="00D5464D">
        <w:rPr>
          <w:rFonts w:eastAsia="Batang" w:cs="Times"/>
          <w:szCs w:val="24"/>
          <w:lang w:val="pt-BR" w:eastAsia="es-ES"/>
        </w:rPr>
        <w:t>44</w:t>
      </w:r>
      <w:r w:rsidR="002C330E" w:rsidRPr="00D5464D">
        <w:rPr>
          <w:rFonts w:eastAsia="Batang" w:cs="Times"/>
          <w:szCs w:val="24"/>
          <w:lang w:val="pt-BR" w:eastAsia="es-ES"/>
        </w:rPr>
        <w:t xml:space="preserve"> e 4</w:t>
      </w:r>
      <w:r w:rsidR="000A52D5" w:rsidRPr="00D5464D">
        <w:rPr>
          <w:rFonts w:eastAsia="Batang" w:cs="Times"/>
          <w:szCs w:val="24"/>
          <w:lang w:val="pt-BR" w:eastAsia="es-ES"/>
        </w:rPr>
        <w:t>5</w:t>
      </w:r>
      <w:r w:rsidRPr="00D5464D">
        <w:rPr>
          <w:rFonts w:eastAsia="Batang" w:cs="Times"/>
          <w:szCs w:val="24"/>
          <w:lang w:val="pt-BR" w:eastAsia="es-ES"/>
        </w:rPr>
        <w:t xml:space="preserve"> da </w:t>
      </w:r>
      <w:r w:rsidR="00EC61F2" w:rsidRPr="00D5464D">
        <w:rPr>
          <w:rFonts w:eastAsia="Batang" w:cs="Times"/>
          <w:szCs w:val="24"/>
          <w:lang w:val="pt-BR" w:eastAsia="es-ES"/>
        </w:rPr>
        <w:t>Convenção</w:t>
      </w:r>
      <w:r w:rsidR="000A52D5" w:rsidRPr="00D5464D">
        <w:rPr>
          <w:rFonts w:eastAsia="Batang" w:cs="Times"/>
          <w:szCs w:val="24"/>
          <w:lang w:val="pt-BR" w:eastAsia="es-ES"/>
        </w:rPr>
        <w:t>,</w:t>
      </w:r>
      <w:r w:rsidRPr="00D5464D">
        <w:rPr>
          <w:rFonts w:eastAsia="Batang" w:cs="Times"/>
          <w:szCs w:val="24"/>
          <w:lang w:val="pt-BR" w:eastAsia="es-ES"/>
        </w:rPr>
        <w:t xml:space="preserve"> é </w:t>
      </w:r>
      <w:r w:rsidR="002C330E" w:rsidRPr="00D5464D">
        <w:rPr>
          <w:rFonts w:eastAsia="Batang" w:cs="Times"/>
          <w:szCs w:val="24"/>
          <w:lang w:val="pt-BR" w:eastAsia="es-ES"/>
        </w:rPr>
        <w:t>necessári</w:t>
      </w:r>
      <w:r w:rsidR="000A52D5" w:rsidRPr="00D5464D">
        <w:rPr>
          <w:rFonts w:eastAsia="Batang" w:cs="Times"/>
          <w:szCs w:val="24"/>
          <w:lang w:val="pt-BR" w:eastAsia="es-ES"/>
        </w:rPr>
        <w:t xml:space="preserve">o que </w:t>
      </w:r>
      <w:r w:rsidR="002C330E" w:rsidRPr="00D5464D">
        <w:rPr>
          <w:rFonts w:eastAsia="Batang" w:cs="Times"/>
          <w:szCs w:val="24"/>
          <w:lang w:val="pt-BR" w:eastAsia="es-ES"/>
        </w:rPr>
        <w:t>tenham</w:t>
      </w:r>
      <w:r w:rsidR="000A52D5" w:rsidRPr="00D5464D">
        <w:rPr>
          <w:rFonts w:eastAsia="Batang" w:cs="Times"/>
          <w:szCs w:val="24"/>
          <w:lang w:val="pt-BR" w:eastAsia="es-ES"/>
        </w:rPr>
        <w:t xml:space="preserve"> </w:t>
      </w:r>
      <w:r w:rsidR="00EC61F2" w:rsidRPr="00D5464D">
        <w:rPr>
          <w:rFonts w:eastAsia="Batang" w:cs="Times"/>
          <w:szCs w:val="24"/>
          <w:lang w:val="pt-BR" w:eastAsia="es-ES"/>
        </w:rPr>
        <w:t xml:space="preserve">sido </w:t>
      </w:r>
      <w:r w:rsidR="002C330E" w:rsidRPr="00D5464D">
        <w:rPr>
          <w:rFonts w:eastAsia="Batang" w:cs="Times"/>
          <w:szCs w:val="24"/>
          <w:lang w:val="pt-BR" w:eastAsia="es-ES"/>
        </w:rPr>
        <w:t>interpost</w:t>
      </w:r>
      <w:r w:rsidR="000A52D5" w:rsidRPr="00D5464D">
        <w:rPr>
          <w:rFonts w:eastAsia="Batang" w:cs="Times"/>
          <w:szCs w:val="24"/>
          <w:lang w:val="pt-BR" w:eastAsia="es-ES"/>
        </w:rPr>
        <w:t>o</w:t>
      </w:r>
      <w:r w:rsidR="00EC61F2" w:rsidRPr="00D5464D">
        <w:rPr>
          <w:rFonts w:eastAsia="Batang" w:cs="Times"/>
          <w:szCs w:val="24"/>
          <w:lang w:val="pt-BR" w:eastAsia="es-ES"/>
        </w:rPr>
        <w:t>s</w:t>
      </w:r>
      <w:r w:rsidR="00E045D9" w:rsidRPr="00D5464D">
        <w:rPr>
          <w:rFonts w:eastAsia="Batang" w:cs="Times"/>
          <w:szCs w:val="24"/>
          <w:lang w:val="pt-BR" w:eastAsia="es-ES"/>
        </w:rPr>
        <w:t xml:space="preserve"> e </w:t>
      </w:r>
      <w:r w:rsidRPr="00D5464D">
        <w:rPr>
          <w:rFonts w:eastAsia="Batang" w:cs="Times"/>
          <w:szCs w:val="24"/>
          <w:lang w:val="pt-BR" w:eastAsia="es-ES"/>
        </w:rPr>
        <w:t>esgotado</w:t>
      </w:r>
      <w:r w:rsidR="00EC61F2" w:rsidRPr="00D5464D">
        <w:rPr>
          <w:rFonts w:eastAsia="Batang" w:cs="Times"/>
          <w:szCs w:val="24"/>
          <w:lang w:val="pt-BR" w:eastAsia="es-ES"/>
        </w:rPr>
        <w:t>s</w:t>
      </w:r>
      <w:r w:rsidR="002C330E" w:rsidRPr="00D5464D">
        <w:rPr>
          <w:rFonts w:eastAsia="Batang" w:cs="Times"/>
          <w:szCs w:val="24"/>
          <w:lang w:val="pt-BR" w:eastAsia="es-ES"/>
        </w:rPr>
        <w:t xml:space="preserve"> os </w:t>
      </w:r>
      <w:r w:rsidR="000A52D5" w:rsidRPr="00D5464D">
        <w:rPr>
          <w:rFonts w:eastAsia="Batang" w:cs="Times"/>
          <w:szCs w:val="24"/>
          <w:lang w:val="pt-BR" w:eastAsia="es-ES"/>
        </w:rPr>
        <w:t>recursos</w:t>
      </w:r>
      <w:r w:rsidRPr="00D5464D">
        <w:rPr>
          <w:rFonts w:eastAsia="Batang" w:cs="Times"/>
          <w:szCs w:val="24"/>
          <w:lang w:val="pt-BR" w:eastAsia="es-ES"/>
        </w:rPr>
        <w:t xml:space="preserve"> da </w:t>
      </w:r>
      <w:r w:rsidR="000A52D5" w:rsidRPr="00D5464D">
        <w:rPr>
          <w:rFonts w:eastAsia="Batang" w:cs="Times"/>
          <w:szCs w:val="24"/>
          <w:lang w:val="pt-BR" w:eastAsia="es-ES"/>
        </w:rPr>
        <w:t>jurisdi</w:t>
      </w:r>
      <w:r w:rsidR="00EC61F2" w:rsidRPr="00D5464D">
        <w:rPr>
          <w:rFonts w:eastAsia="Batang" w:cs="Times"/>
          <w:szCs w:val="24"/>
          <w:lang w:val="pt-BR" w:eastAsia="es-ES"/>
        </w:rPr>
        <w:t xml:space="preserve">ção </w:t>
      </w:r>
      <w:r w:rsidR="000A52D5" w:rsidRPr="00D5464D">
        <w:rPr>
          <w:rFonts w:eastAsia="Batang" w:cs="Times"/>
          <w:szCs w:val="24"/>
          <w:lang w:val="pt-BR" w:eastAsia="es-ES"/>
        </w:rPr>
        <w:t xml:space="preserve">interna, </w:t>
      </w:r>
      <w:r w:rsidR="00EC61F2" w:rsidRPr="00D5464D">
        <w:rPr>
          <w:rFonts w:eastAsia="Batang" w:cs="Times"/>
          <w:szCs w:val="24"/>
          <w:lang w:val="pt-BR" w:eastAsia="es-ES"/>
        </w:rPr>
        <w:t xml:space="preserve">de acordo com </w:t>
      </w:r>
      <w:r w:rsidR="00E045D9" w:rsidRPr="00D5464D">
        <w:rPr>
          <w:rFonts w:eastAsia="Batang" w:cs="Times"/>
          <w:szCs w:val="24"/>
          <w:lang w:val="pt-BR" w:eastAsia="es-ES"/>
        </w:rPr>
        <w:t xml:space="preserve">os </w:t>
      </w:r>
      <w:r w:rsidR="002C330E" w:rsidRPr="00D5464D">
        <w:rPr>
          <w:rFonts w:eastAsia="Batang" w:cs="Times"/>
          <w:szCs w:val="24"/>
          <w:lang w:val="pt-BR" w:eastAsia="es-ES"/>
        </w:rPr>
        <w:t>princípio</w:t>
      </w:r>
      <w:r w:rsidR="000A52D5" w:rsidRPr="00D5464D">
        <w:rPr>
          <w:rFonts w:eastAsia="Batang" w:cs="Times"/>
          <w:szCs w:val="24"/>
          <w:lang w:val="pt-BR" w:eastAsia="es-ES"/>
        </w:rPr>
        <w:t xml:space="preserve">s </w:t>
      </w:r>
      <w:r w:rsidRPr="00D5464D">
        <w:rPr>
          <w:rFonts w:eastAsia="Batang" w:cs="Times"/>
          <w:szCs w:val="24"/>
          <w:lang w:val="pt-BR" w:eastAsia="es-ES"/>
        </w:rPr>
        <w:t xml:space="preserve">do </w:t>
      </w:r>
      <w:r w:rsidR="00E765C2" w:rsidRPr="00D5464D">
        <w:rPr>
          <w:rFonts w:eastAsia="Batang" w:cs="Times"/>
          <w:szCs w:val="24"/>
          <w:lang w:val="pt-BR" w:eastAsia="es-ES"/>
        </w:rPr>
        <w:t>Direito Internacional</w:t>
      </w:r>
      <w:r w:rsidR="000A52D5" w:rsidRPr="00D5464D">
        <w:rPr>
          <w:rFonts w:eastAsia="Batang" w:cs="Times"/>
          <w:szCs w:val="24"/>
          <w:lang w:val="pt-BR" w:eastAsia="es-ES"/>
        </w:rPr>
        <w:t xml:space="preserve"> </w:t>
      </w:r>
      <w:r w:rsidR="002C330E" w:rsidRPr="00D5464D">
        <w:rPr>
          <w:rFonts w:eastAsia="Batang" w:cs="Times"/>
          <w:szCs w:val="24"/>
          <w:lang w:val="pt-BR" w:eastAsia="es-ES"/>
        </w:rPr>
        <w:t>geral</w:t>
      </w:r>
      <w:r w:rsidR="000A52D5" w:rsidRPr="00D5464D">
        <w:rPr>
          <w:rFonts w:eastAsia="Batang" w:cs="Times"/>
          <w:szCs w:val="24"/>
          <w:lang w:val="pt-BR" w:eastAsia="es-ES"/>
        </w:rPr>
        <w:t>mente re</w:t>
      </w:r>
      <w:r w:rsidRPr="00D5464D">
        <w:rPr>
          <w:rFonts w:eastAsia="Batang" w:cs="Times"/>
          <w:szCs w:val="24"/>
          <w:lang w:val="pt-BR" w:eastAsia="es-ES"/>
        </w:rPr>
        <w:t>conhecido</w:t>
      </w:r>
      <w:r w:rsidR="000A52D5" w:rsidRPr="00D5464D">
        <w:rPr>
          <w:rFonts w:eastAsia="Batang" w:cs="Times"/>
          <w:szCs w:val="24"/>
          <w:lang w:val="pt-BR" w:eastAsia="es-ES"/>
        </w:rPr>
        <w:t>s</w:t>
      </w:r>
      <w:r w:rsidR="00EC61F2" w:rsidRPr="00D5464D">
        <w:rPr>
          <w:rFonts w:eastAsia="Batang" w:cs="Times"/>
          <w:szCs w:val="24"/>
          <w:lang w:val="pt-BR" w:eastAsia="es-ES"/>
        </w:rPr>
        <w:t>.</w:t>
      </w:r>
      <w:r w:rsidR="000A52D5" w:rsidRPr="00D5464D">
        <w:rPr>
          <w:rFonts w:eastAsia="Batang" w:cs="Times"/>
          <w:szCs w:val="24"/>
          <w:vertAlign w:val="superscript"/>
          <w:lang w:val="pt-BR" w:eastAsia="es-ES"/>
        </w:rPr>
        <w:footnoteReference w:id="53"/>
      </w:r>
      <w:r w:rsidR="000A52D5" w:rsidRPr="00D5464D">
        <w:rPr>
          <w:rFonts w:eastAsia="Batang" w:cs="Times"/>
          <w:szCs w:val="24"/>
          <w:lang w:val="pt-BR" w:eastAsia="es-ES"/>
        </w:rPr>
        <w:t xml:space="preserve"> </w:t>
      </w:r>
    </w:p>
    <w:p w14:paraId="3EBC9C39" w14:textId="77777777" w:rsidR="000A52D5" w:rsidRPr="00D5464D" w:rsidRDefault="000A52D5" w:rsidP="00140440">
      <w:pPr>
        <w:tabs>
          <w:tab w:val="clear" w:pos="4419"/>
          <w:tab w:val="clear" w:pos="8838"/>
        </w:tabs>
        <w:jc w:val="both"/>
        <w:rPr>
          <w:rFonts w:eastAsia="Batang" w:cs="Times"/>
          <w:szCs w:val="24"/>
          <w:lang w:val="pt-BR" w:eastAsia="es-ES"/>
        </w:rPr>
      </w:pPr>
    </w:p>
    <w:p w14:paraId="64C20528" w14:textId="7A1E737B" w:rsidR="000A52D5" w:rsidRPr="00D5464D" w:rsidRDefault="00230C71"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Portanto,</w:t>
      </w:r>
      <w:r w:rsidR="000A52D5" w:rsidRPr="00D5464D">
        <w:rPr>
          <w:rFonts w:eastAsia="Batang" w:cs="Times"/>
          <w:szCs w:val="24"/>
          <w:lang w:val="pt-BR" w:eastAsia="es-ES"/>
        </w:rPr>
        <w:t xml:space="preserve"> durante</w:t>
      </w:r>
      <w:r w:rsidR="002C330E" w:rsidRPr="00D5464D">
        <w:rPr>
          <w:rFonts w:eastAsia="Batang" w:cs="Times"/>
          <w:szCs w:val="24"/>
          <w:lang w:val="pt-BR" w:eastAsia="es-ES"/>
        </w:rPr>
        <w:t xml:space="preserve"> a </w:t>
      </w:r>
      <w:r w:rsidR="000A52D5" w:rsidRPr="00D5464D">
        <w:rPr>
          <w:rFonts w:eastAsia="Batang" w:cs="Times"/>
          <w:szCs w:val="24"/>
          <w:lang w:val="pt-BR" w:eastAsia="es-ES"/>
        </w:rPr>
        <w:t xml:space="preserve">etapa de </w:t>
      </w:r>
      <w:r w:rsidR="00470ADC" w:rsidRPr="00D5464D">
        <w:rPr>
          <w:rFonts w:eastAsia="Batang" w:cs="Times"/>
          <w:szCs w:val="24"/>
          <w:lang w:val="pt-BR" w:eastAsia="es-ES"/>
        </w:rPr>
        <w:t>admissibilidade</w:t>
      </w:r>
      <w:r w:rsidR="000A52D5" w:rsidRPr="00D5464D">
        <w:rPr>
          <w:rFonts w:eastAsia="Batang" w:cs="Times"/>
          <w:szCs w:val="24"/>
          <w:lang w:val="pt-BR" w:eastAsia="es-ES"/>
        </w:rPr>
        <w:t xml:space="preserve"> </w:t>
      </w:r>
      <w:r w:rsidR="00470ADC" w:rsidRPr="00D5464D">
        <w:rPr>
          <w:rFonts w:eastAsia="Batang" w:cs="Times"/>
          <w:szCs w:val="24"/>
          <w:lang w:val="pt-BR" w:eastAsia="es-ES"/>
        </w:rPr>
        <w:t xml:space="preserve">do </w:t>
      </w:r>
      <w:r w:rsidR="00B36EBC" w:rsidRPr="00D5464D">
        <w:rPr>
          <w:rFonts w:eastAsia="Batang" w:cs="Times"/>
          <w:szCs w:val="24"/>
          <w:lang w:val="pt-BR" w:eastAsia="es-ES"/>
        </w:rPr>
        <w:t>caso</w:t>
      </w:r>
      <w:r w:rsidR="00470ADC" w:rsidRPr="00D5464D">
        <w:rPr>
          <w:rFonts w:eastAsia="Batang" w:cs="Times"/>
          <w:szCs w:val="24"/>
          <w:lang w:val="pt-BR" w:eastAsia="es-ES"/>
        </w:rPr>
        <w:t xml:space="preserve"> perante a Comissão</w:t>
      </w:r>
      <w:r w:rsidR="00EC61F2" w:rsidRPr="00D5464D">
        <w:rPr>
          <w:rFonts w:eastAsia="Batang" w:cs="Times"/>
          <w:szCs w:val="24"/>
          <w:lang w:val="pt-BR" w:eastAsia="es-ES"/>
        </w:rPr>
        <w:t>,</w:t>
      </w:r>
      <w:r w:rsidR="00470ADC" w:rsidRPr="00D5464D">
        <w:rPr>
          <w:rFonts w:eastAsia="Batang" w:cs="Times"/>
          <w:szCs w:val="24"/>
          <w:lang w:val="pt-BR" w:eastAsia="es-ES"/>
        </w:rPr>
        <w:t xml:space="preserve"> o </w:t>
      </w:r>
      <w:r w:rsidR="000A52D5" w:rsidRPr="00D5464D">
        <w:rPr>
          <w:rFonts w:eastAsia="Batang" w:cs="Times"/>
          <w:szCs w:val="24"/>
          <w:lang w:val="pt-BR" w:eastAsia="es-ES"/>
        </w:rPr>
        <w:t>Estado</w:t>
      </w:r>
      <w:r w:rsidR="00470ADC" w:rsidRPr="00D5464D">
        <w:rPr>
          <w:rFonts w:eastAsia="Batang" w:cs="Times"/>
          <w:szCs w:val="24"/>
          <w:lang w:val="pt-BR" w:eastAsia="es-ES"/>
        </w:rPr>
        <w:t xml:space="preserve"> deve </w:t>
      </w:r>
      <w:r w:rsidR="000A52D5" w:rsidRPr="00D5464D">
        <w:rPr>
          <w:rFonts w:eastAsia="Batang" w:cs="Times"/>
          <w:szCs w:val="24"/>
          <w:lang w:val="pt-BR" w:eastAsia="es-ES"/>
        </w:rPr>
        <w:t>precisar claramente</w:t>
      </w:r>
      <w:r w:rsidR="002C330E" w:rsidRPr="00D5464D">
        <w:rPr>
          <w:rFonts w:eastAsia="Batang" w:cs="Times"/>
          <w:szCs w:val="24"/>
          <w:lang w:val="pt-BR" w:eastAsia="es-ES"/>
        </w:rPr>
        <w:t xml:space="preserve"> os </w:t>
      </w:r>
      <w:r w:rsidR="000A52D5" w:rsidRPr="00D5464D">
        <w:rPr>
          <w:rFonts w:eastAsia="Batang" w:cs="Times"/>
          <w:szCs w:val="24"/>
          <w:lang w:val="pt-BR" w:eastAsia="es-ES"/>
        </w:rPr>
        <w:t xml:space="preserve">recursos que, a </w:t>
      </w:r>
      <w:r w:rsidR="00350187" w:rsidRPr="00D5464D">
        <w:rPr>
          <w:rFonts w:eastAsia="Batang" w:cs="Times"/>
          <w:szCs w:val="24"/>
          <w:lang w:val="pt-BR" w:eastAsia="es-ES"/>
        </w:rPr>
        <w:t>seu critério</w:t>
      </w:r>
      <w:r w:rsidR="000A52D5" w:rsidRPr="00D5464D">
        <w:rPr>
          <w:rFonts w:eastAsia="Batang" w:cs="Times"/>
          <w:szCs w:val="24"/>
          <w:lang w:val="pt-BR" w:eastAsia="es-ES"/>
        </w:rPr>
        <w:t xml:space="preserve">, </w:t>
      </w:r>
      <w:r w:rsidR="00EC61F2" w:rsidRPr="00D5464D">
        <w:rPr>
          <w:rFonts w:eastAsia="Batang" w:cs="Times"/>
          <w:szCs w:val="24"/>
          <w:lang w:val="pt-BR" w:eastAsia="es-ES"/>
        </w:rPr>
        <w:t xml:space="preserve">ainda </w:t>
      </w:r>
      <w:r w:rsidRPr="00D5464D">
        <w:rPr>
          <w:rFonts w:eastAsia="Batang" w:cs="Times"/>
          <w:szCs w:val="24"/>
          <w:lang w:val="pt-BR" w:eastAsia="es-ES"/>
        </w:rPr>
        <w:t>não foram</w:t>
      </w:r>
      <w:r w:rsidR="000A52D5" w:rsidRPr="00D5464D">
        <w:rPr>
          <w:rFonts w:eastAsia="Batang" w:cs="Times"/>
          <w:szCs w:val="24"/>
          <w:lang w:val="pt-BR" w:eastAsia="es-ES"/>
        </w:rPr>
        <w:t xml:space="preserve"> </w:t>
      </w:r>
      <w:r w:rsidR="00470ADC" w:rsidRPr="00D5464D">
        <w:rPr>
          <w:rFonts w:eastAsia="Batang" w:cs="Times"/>
          <w:szCs w:val="24"/>
          <w:lang w:val="pt-BR" w:eastAsia="es-ES"/>
        </w:rPr>
        <w:t>esgotado</w:t>
      </w:r>
      <w:r w:rsidR="000A52D5" w:rsidRPr="00D5464D">
        <w:rPr>
          <w:rFonts w:eastAsia="Batang" w:cs="Times"/>
          <w:szCs w:val="24"/>
          <w:lang w:val="pt-BR" w:eastAsia="es-ES"/>
        </w:rPr>
        <w:t xml:space="preserve">s </w:t>
      </w:r>
      <w:r w:rsidR="00EC61F2" w:rsidRPr="00D5464D">
        <w:rPr>
          <w:rFonts w:eastAsia="Batang" w:cs="Times"/>
          <w:szCs w:val="24"/>
          <w:lang w:val="pt-BR" w:eastAsia="es-ES"/>
        </w:rPr>
        <w:t>di</w:t>
      </w:r>
      <w:r w:rsidR="000A52D5" w:rsidRPr="00D5464D">
        <w:rPr>
          <w:rFonts w:eastAsia="Batang" w:cs="Times"/>
          <w:szCs w:val="24"/>
          <w:lang w:val="pt-BR" w:eastAsia="es-ES"/>
        </w:rPr>
        <w:t xml:space="preserve">ante </w:t>
      </w:r>
      <w:r w:rsidR="00BD7905" w:rsidRPr="00D5464D">
        <w:rPr>
          <w:rFonts w:eastAsia="Batang" w:cs="Times"/>
          <w:szCs w:val="24"/>
          <w:lang w:val="pt-BR" w:eastAsia="es-ES"/>
        </w:rPr>
        <w:t>d</w:t>
      </w:r>
      <w:r w:rsidR="002C330E" w:rsidRPr="00D5464D">
        <w:rPr>
          <w:rFonts w:eastAsia="Batang" w:cs="Times"/>
          <w:szCs w:val="24"/>
          <w:lang w:val="pt-BR" w:eastAsia="es-ES"/>
        </w:rPr>
        <w:t xml:space="preserve">a necessidade </w:t>
      </w:r>
      <w:r w:rsidR="000A52D5" w:rsidRPr="00D5464D">
        <w:rPr>
          <w:rFonts w:eastAsia="Batang" w:cs="Times"/>
          <w:szCs w:val="24"/>
          <w:lang w:val="pt-BR" w:eastAsia="es-ES"/>
        </w:rPr>
        <w:t>de salvaguardar</w:t>
      </w:r>
      <w:r w:rsidR="00470ADC" w:rsidRPr="00D5464D">
        <w:rPr>
          <w:rFonts w:eastAsia="Batang" w:cs="Times"/>
          <w:szCs w:val="24"/>
          <w:lang w:val="pt-BR" w:eastAsia="es-ES"/>
        </w:rPr>
        <w:t xml:space="preserve"> o </w:t>
      </w:r>
      <w:r w:rsidR="002C330E" w:rsidRPr="00D5464D">
        <w:rPr>
          <w:rFonts w:eastAsia="Batang" w:cs="Times"/>
          <w:szCs w:val="24"/>
          <w:lang w:val="pt-BR" w:eastAsia="es-ES"/>
        </w:rPr>
        <w:t>princípio</w:t>
      </w:r>
      <w:r w:rsidR="000A52D5" w:rsidRPr="00D5464D">
        <w:rPr>
          <w:rFonts w:eastAsia="Batang" w:cs="Times"/>
          <w:szCs w:val="24"/>
          <w:lang w:val="pt-BR" w:eastAsia="es-ES"/>
        </w:rPr>
        <w:t xml:space="preserve"> de </w:t>
      </w:r>
      <w:r w:rsidR="002C330E" w:rsidRPr="00D5464D">
        <w:rPr>
          <w:rFonts w:eastAsia="Batang" w:cs="Times"/>
          <w:szCs w:val="24"/>
          <w:lang w:val="pt-BR" w:eastAsia="es-ES"/>
        </w:rPr>
        <w:t xml:space="preserve">igualdade processual </w:t>
      </w:r>
      <w:r w:rsidR="000A52D5" w:rsidRPr="00D5464D">
        <w:rPr>
          <w:rFonts w:eastAsia="Batang" w:cs="Times"/>
          <w:szCs w:val="24"/>
          <w:lang w:val="pt-BR" w:eastAsia="es-ES"/>
        </w:rPr>
        <w:t>entre</w:t>
      </w:r>
      <w:r w:rsidR="002C330E" w:rsidRPr="00D5464D">
        <w:rPr>
          <w:rFonts w:eastAsia="Batang" w:cs="Times"/>
          <w:szCs w:val="24"/>
          <w:lang w:val="pt-BR" w:eastAsia="es-ES"/>
        </w:rPr>
        <w:t xml:space="preserve"> as </w:t>
      </w:r>
      <w:r w:rsidR="000A52D5" w:rsidRPr="00D5464D">
        <w:rPr>
          <w:rFonts w:eastAsia="Batang" w:cs="Times"/>
          <w:szCs w:val="24"/>
          <w:lang w:val="pt-BR" w:eastAsia="es-ES"/>
        </w:rPr>
        <w:t>partes que</w:t>
      </w:r>
      <w:r w:rsidR="00470ADC" w:rsidRPr="00D5464D">
        <w:rPr>
          <w:rFonts w:eastAsia="Batang" w:cs="Times"/>
          <w:szCs w:val="24"/>
          <w:lang w:val="pt-BR" w:eastAsia="es-ES"/>
        </w:rPr>
        <w:t xml:space="preserve"> deve </w:t>
      </w:r>
      <w:r w:rsidR="00EB1CE9" w:rsidRPr="00D5464D">
        <w:rPr>
          <w:rFonts w:eastAsia="Batang" w:cs="Times"/>
          <w:szCs w:val="24"/>
          <w:lang w:val="pt-BR" w:eastAsia="es-ES"/>
        </w:rPr>
        <w:t>reger</w:t>
      </w:r>
      <w:r w:rsidR="000A52D5" w:rsidRPr="00D5464D">
        <w:rPr>
          <w:rFonts w:eastAsia="Batang" w:cs="Times"/>
          <w:szCs w:val="24"/>
          <w:lang w:val="pt-BR" w:eastAsia="es-ES"/>
        </w:rPr>
        <w:t xml:space="preserve"> todo</w:t>
      </w:r>
      <w:r w:rsidR="00470ADC" w:rsidRPr="00D5464D">
        <w:rPr>
          <w:rFonts w:eastAsia="Batang" w:cs="Times"/>
          <w:szCs w:val="24"/>
          <w:lang w:val="pt-BR" w:eastAsia="es-ES"/>
        </w:rPr>
        <w:t xml:space="preserve"> o </w:t>
      </w:r>
      <w:r w:rsidR="002C330E" w:rsidRPr="00D5464D">
        <w:rPr>
          <w:rFonts w:eastAsia="Batang" w:cs="Times"/>
          <w:szCs w:val="24"/>
          <w:lang w:val="pt-BR" w:eastAsia="es-ES"/>
        </w:rPr>
        <w:t>procedimento</w:t>
      </w:r>
      <w:r w:rsidR="00350187" w:rsidRPr="00D5464D">
        <w:rPr>
          <w:rFonts w:eastAsia="Batang" w:cs="Times"/>
          <w:szCs w:val="24"/>
          <w:lang w:val="pt-BR" w:eastAsia="es-ES"/>
        </w:rPr>
        <w:t xml:space="preserve"> perante o </w:t>
      </w:r>
      <w:r w:rsidR="00EC61F2" w:rsidRPr="00D5464D">
        <w:rPr>
          <w:rFonts w:eastAsia="Batang" w:cs="Times"/>
          <w:szCs w:val="24"/>
          <w:lang w:val="pt-BR" w:eastAsia="es-ES"/>
        </w:rPr>
        <w:t>S</w:t>
      </w:r>
      <w:r w:rsidR="00350187" w:rsidRPr="00D5464D">
        <w:rPr>
          <w:rFonts w:eastAsia="Batang" w:cs="Times"/>
          <w:szCs w:val="24"/>
          <w:lang w:val="pt-BR" w:eastAsia="es-ES"/>
        </w:rPr>
        <w:t>istema</w:t>
      </w:r>
      <w:r w:rsidR="000A52D5" w:rsidRPr="00D5464D">
        <w:rPr>
          <w:rFonts w:eastAsia="Batang" w:cs="Times"/>
          <w:szCs w:val="24"/>
          <w:lang w:val="pt-BR" w:eastAsia="es-ES"/>
        </w:rPr>
        <w:t xml:space="preserve"> Interamericano</w:t>
      </w:r>
      <w:r w:rsidR="00EC61F2" w:rsidRPr="00D5464D">
        <w:rPr>
          <w:rFonts w:eastAsia="Batang" w:cs="Times"/>
          <w:szCs w:val="24"/>
          <w:lang w:val="pt-BR" w:eastAsia="es-ES"/>
        </w:rPr>
        <w:t>.</w:t>
      </w:r>
      <w:r w:rsidR="000A52D5" w:rsidRPr="00D5464D">
        <w:rPr>
          <w:rFonts w:eastAsia="Batang" w:cs="Times"/>
          <w:szCs w:val="24"/>
          <w:vertAlign w:val="superscript"/>
          <w:lang w:val="pt-BR" w:eastAsia="es-ES"/>
        </w:rPr>
        <w:footnoteReference w:id="54"/>
      </w:r>
      <w:r w:rsidR="000A52D5" w:rsidRPr="00D5464D">
        <w:rPr>
          <w:rFonts w:eastAsia="Batang" w:cs="Times"/>
          <w:szCs w:val="24"/>
          <w:lang w:val="pt-BR" w:eastAsia="es-ES"/>
        </w:rPr>
        <w:t xml:space="preserve"> Como</w:t>
      </w:r>
      <w:r w:rsidR="002C330E" w:rsidRPr="00D5464D">
        <w:rPr>
          <w:rFonts w:eastAsia="Batang" w:cs="Times"/>
          <w:szCs w:val="24"/>
          <w:lang w:val="pt-BR" w:eastAsia="es-ES"/>
        </w:rPr>
        <w:t xml:space="preserve"> a </w:t>
      </w:r>
      <w:r w:rsidR="000A52D5" w:rsidRPr="00D5464D">
        <w:rPr>
          <w:rFonts w:eastAsia="Batang" w:cs="Times"/>
          <w:szCs w:val="24"/>
          <w:lang w:val="pt-BR" w:eastAsia="es-ES"/>
        </w:rPr>
        <w:t xml:space="preserve">Corte </w:t>
      </w:r>
      <w:r w:rsidR="002C330E" w:rsidRPr="00D5464D">
        <w:rPr>
          <w:rFonts w:eastAsia="Batang" w:cs="Times"/>
          <w:szCs w:val="24"/>
          <w:lang w:val="pt-BR" w:eastAsia="es-ES"/>
        </w:rPr>
        <w:t>estabeleceu</w:t>
      </w:r>
      <w:r w:rsidR="000A52D5" w:rsidRPr="00D5464D">
        <w:rPr>
          <w:rFonts w:eastAsia="Batang" w:cs="Times"/>
          <w:szCs w:val="24"/>
          <w:lang w:val="pt-BR" w:eastAsia="es-ES"/>
        </w:rPr>
        <w:t xml:space="preserve"> de </w:t>
      </w:r>
      <w:r w:rsidR="002C330E" w:rsidRPr="00D5464D">
        <w:rPr>
          <w:rFonts w:eastAsia="Batang" w:cs="Times"/>
          <w:szCs w:val="24"/>
          <w:lang w:val="pt-BR" w:eastAsia="es-ES"/>
        </w:rPr>
        <w:t>maneira</w:t>
      </w:r>
      <w:r w:rsidR="000A52D5" w:rsidRPr="00D5464D">
        <w:rPr>
          <w:rFonts w:eastAsia="Batang" w:cs="Times"/>
          <w:szCs w:val="24"/>
          <w:lang w:val="pt-BR" w:eastAsia="es-ES"/>
        </w:rPr>
        <w:t xml:space="preserve"> reiterada, </w:t>
      </w:r>
      <w:r w:rsidR="00737270" w:rsidRPr="00D5464D">
        <w:rPr>
          <w:rFonts w:eastAsia="Batang" w:cs="Times"/>
          <w:szCs w:val="24"/>
          <w:lang w:val="pt-BR" w:eastAsia="es-ES"/>
        </w:rPr>
        <w:t>não é</w:t>
      </w:r>
      <w:r w:rsidR="00470ADC" w:rsidRPr="00D5464D">
        <w:rPr>
          <w:rFonts w:eastAsia="Batang" w:cs="Times"/>
          <w:szCs w:val="24"/>
          <w:lang w:val="pt-BR" w:eastAsia="es-ES"/>
        </w:rPr>
        <w:t xml:space="preserve"> </w:t>
      </w:r>
      <w:r w:rsidR="00E045D9" w:rsidRPr="00D5464D">
        <w:rPr>
          <w:rFonts w:eastAsia="Batang" w:cs="Times"/>
          <w:szCs w:val="24"/>
          <w:lang w:val="pt-BR" w:eastAsia="es-ES"/>
        </w:rPr>
        <w:t>tarefa</w:t>
      </w:r>
      <w:r w:rsidR="00470ADC" w:rsidRPr="00D5464D">
        <w:rPr>
          <w:rFonts w:eastAsia="Batang" w:cs="Times"/>
          <w:szCs w:val="24"/>
          <w:lang w:val="pt-BR" w:eastAsia="es-ES"/>
        </w:rPr>
        <w:t xml:space="preserve"> deste </w:t>
      </w:r>
      <w:r w:rsidR="000A52D5" w:rsidRPr="00D5464D">
        <w:rPr>
          <w:rFonts w:eastAsia="Batang" w:cs="Times"/>
          <w:szCs w:val="24"/>
          <w:lang w:val="pt-BR" w:eastAsia="es-ES"/>
        </w:rPr>
        <w:t>Tribunal,</w:t>
      </w:r>
      <w:r w:rsidR="002C330E" w:rsidRPr="00D5464D">
        <w:rPr>
          <w:rFonts w:eastAsia="Batang" w:cs="Times"/>
          <w:szCs w:val="24"/>
          <w:lang w:val="pt-BR" w:eastAsia="es-ES"/>
        </w:rPr>
        <w:t xml:space="preserve"> nem </w:t>
      </w:r>
      <w:r w:rsidR="00470ADC" w:rsidRPr="00D5464D">
        <w:rPr>
          <w:rFonts w:eastAsia="Batang" w:cs="Times"/>
          <w:szCs w:val="24"/>
          <w:lang w:val="pt-BR" w:eastAsia="es-ES"/>
        </w:rPr>
        <w:t xml:space="preserve">da </w:t>
      </w:r>
      <w:r w:rsidR="000A52D5" w:rsidRPr="00D5464D">
        <w:rPr>
          <w:rFonts w:eastAsia="Batang" w:cs="Times"/>
          <w:szCs w:val="24"/>
          <w:lang w:val="pt-BR" w:eastAsia="es-ES"/>
        </w:rPr>
        <w:t>Comis</w:t>
      </w:r>
      <w:r w:rsidR="00EC61F2" w:rsidRPr="00D5464D">
        <w:rPr>
          <w:rFonts w:eastAsia="Batang" w:cs="Times"/>
          <w:szCs w:val="24"/>
          <w:lang w:val="pt-BR" w:eastAsia="es-ES"/>
        </w:rPr>
        <w:t>são</w:t>
      </w:r>
      <w:r w:rsidR="000A52D5" w:rsidRPr="00D5464D">
        <w:rPr>
          <w:rFonts w:eastAsia="Batang" w:cs="Times"/>
          <w:szCs w:val="24"/>
          <w:lang w:val="pt-BR" w:eastAsia="es-ES"/>
        </w:rPr>
        <w:t>, identificar</w:t>
      </w:r>
      <w:r w:rsidR="00350187" w:rsidRPr="00D5464D">
        <w:rPr>
          <w:rFonts w:eastAsia="Batang" w:cs="Times"/>
          <w:szCs w:val="24"/>
          <w:lang w:val="pt-BR" w:eastAsia="es-ES"/>
        </w:rPr>
        <w:t xml:space="preserve"> </w:t>
      </w:r>
      <w:r w:rsidR="00350187" w:rsidRPr="00D5464D">
        <w:rPr>
          <w:rFonts w:eastAsia="Batang" w:cs="Times"/>
          <w:i/>
          <w:szCs w:val="24"/>
          <w:lang w:val="pt-BR" w:eastAsia="es-ES"/>
        </w:rPr>
        <w:t>ex officio</w:t>
      </w:r>
      <w:r w:rsidR="000A52D5" w:rsidRPr="00D5464D">
        <w:rPr>
          <w:rFonts w:eastAsia="Batang" w:cs="Times"/>
          <w:szCs w:val="24"/>
          <w:lang w:val="pt-BR" w:eastAsia="es-ES"/>
        </w:rPr>
        <w:t xml:space="preserve"> </w:t>
      </w:r>
      <w:r w:rsidR="00EC61F2" w:rsidRPr="00D5464D">
        <w:rPr>
          <w:rFonts w:eastAsia="Batang" w:cs="Times"/>
          <w:szCs w:val="24"/>
          <w:lang w:val="pt-BR" w:eastAsia="es-ES"/>
        </w:rPr>
        <w:t xml:space="preserve">quais </w:t>
      </w:r>
      <w:r w:rsidR="002C330E" w:rsidRPr="00D5464D">
        <w:rPr>
          <w:rFonts w:eastAsia="Batang" w:cs="Times"/>
          <w:szCs w:val="24"/>
          <w:lang w:val="pt-BR" w:eastAsia="es-ES"/>
        </w:rPr>
        <w:t xml:space="preserve">são os </w:t>
      </w:r>
      <w:r w:rsidR="000A52D5" w:rsidRPr="00D5464D">
        <w:rPr>
          <w:rFonts w:eastAsia="Batang" w:cs="Times"/>
          <w:szCs w:val="24"/>
          <w:lang w:val="pt-BR" w:eastAsia="es-ES"/>
        </w:rPr>
        <w:t xml:space="preserve">recursos internos </w:t>
      </w:r>
      <w:r w:rsidR="002C330E" w:rsidRPr="00D5464D">
        <w:rPr>
          <w:rFonts w:eastAsia="Batang" w:cs="Times"/>
          <w:szCs w:val="24"/>
          <w:lang w:val="pt-BR" w:eastAsia="es-ES"/>
        </w:rPr>
        <w:t>pendente</w:t>
      </w:r>
      <w:r w:rsidR="000A52D5" w:rsidRPr="00D5464D">
        <w:rPr>
          <w:rFonts w:eastAsia="Batang" w:cs="Times"/>
          <w:szCs w:val="24"/>
          <w:lang w:val="pt-BR" w:eastAsia="es-ES"/>
        </w:rPr>
        <w:t xml:space="preserve">s de </w:t>
      </w:r>
      <w:r w:rsidR="00470ADC" w:rsidRPr="00D5464D">
        <w:rPr>
          <w:rFonts w:eastAsia="Batang" w:cs="Times"/>
          <w:szCs w:val="24"/>
          <w:lang w:val="pt-BR" w:eastAsia="es-ES"/>
        </w:rPr>
        <w:t>esgotamento</w:t>
      </w:r>
      <w:r w:rsidR="000A52D5" w:rsidRPr="00D5464D">
        <w:rPr>
          <w:rFonts w:eastAsia="Batang" w:cs="Times"/>
          <w:szCs w:val="24"/>
          <w:lang w:val="pt-BR" w:eastAsia="es-ES"/>
        </w:rPr>
        <w:t>,</w:t>
      </w:r>
      <w:r w:rsidR="00470ADC" w:rsidRPr="00D5464D">
        <w:rPr>
          <w:rFonts w:eastAsia="Batang" w:cs="Times"/>
          <w:szCs w:val="24"/>
          <w:lang w:val="pt-BR" w:eastAsia="es-ES"/>
        </w:rPr>
        <w:t xml:space="preserve"> em </w:t>
      </w:r>
      <w:r w:rsidR="00EC61F2" w:rsidRPr="00D5464D">
        <w:rPr>
          <w:rFonts w:eastAsia="Batang" w:cs="Times"/>
          <w:szCs w:val="24"/>
          <w:lang w:val="pt-BR" w:eastAsia="es-ES"/>
        </w:rPr>
        <w:t>razão de não ser competência de ó</w:t>
      </w:r>
      <w:r w:rsidR="000A52D5" w:rsidRPr="00D5464D">
        <w:rPr>
          <w:rFonts w:eastAsia="Batang" w:cs="Times"/>
          <w:szCs w:val="24"/>
          <w:lang w:val="pt-BR" w:eastAsia="es-ES"/>
        </w:rPr>
        <w:t>rg</w:t>
      </w:r>
      <w:r w:rsidR="00EC61F2" w:rsidRPr="00D5464D">
        <w:rPr>
          <w:rFonts w:eastAsia="Batang" w:cs="Times"/>
          <w:szCs w:val="24"/>
          <w:lang w:val="pt-BR" w:eastAsia="es-ES"/>
        </w:rPr>
        <w:t xml:space="preserve">ãos </w:t>
      </w:r>
      <w:r w:rsidR="002C330E" w:rsidRPr="00D5464D">
        <w:rPr>
          <w:rFonts w:eastAsia="Batang" w:cs="Times"/>
          <w:szCs w:val="24"/>
          <w:lang w:val="pt-BR" w:eastAsia="es-ES"/>
        </w:rPr>
        <w:t>internacionais</w:t>
      </w:r>
      <w:r w:rsidR="000A52D5" w:rsidRPr="00D5464D">
        <w:rPr>
          <w:rFonts w:eastAsia="Batang" w:cs="Times"/>
          <w:szCs w:val="24"/>
          <w:lang w:val="pt-BR" w:eastAsia="es-ES"/>
        </w:rPr>
        <w:t xml:space="preserve"> </w:t>
      </w:r>
      <w:r w:rsidR="00EB1CE9" w:rsidRPr="00D5464D">
        <w:rPr>
          <w:rFonts w:eastAsia="Batang" w:cs="Times"/>
          <w:szCs w:val="24"/>
          <w:lang w:val="pt-BR" w:eastAsia="es-ES"/>
        </w:rPr>
        <w:t>sanar</w:t>
      </w:r>
      <w:r w:rsidR="002C330E" w:rsidRPr="00D5464D">
        <w:rPr>
          <w:rFonts w:eastAsia="Batang" w:cs="Times"/>
          <w:szCs w:val="24"/>
          <w:lang w:val="pt-BR" w:eastAsia="es-ES"/>
        </w:rPr>
        <w:t xml:space="preserve"> a </w:t>
      </w:r>
      <w:r w:rsidR="000A52D5" w:rsidRPr="00D5464D">
        <w:rPr>
          <w:rFonts w:eastAsia="Batang" w:cs="Times"/>
          <w:szCs w:val="24"/>
          <w:lang w:val="pt-BR" w:eastAsia="es-ES"/>
        </w:rPr>
        <w:t>falta de preci</w:t>
      </w:r>
      <w:r w:rsidR="00EC61F2" w:rsidRPr="00D5464D">
        <w:rPr>
          <w:rFonts w:eastAsia="Batang" w:cs="Times"/>
          <w:szCs w:val="24"/>
          <w:lang w:val="pt-BR" w:eastAsia="es-ES"/>
        </w:rPr>
        <w:t xml:space="preserve">são </w:t>
      </w:r>
      <w:r w:rsidR="00470ADC" w:rsidRPr="00D5464D">
        <w:rPr>
          <w:rFonts w:eastAsia="Batang" w:cs="Times"/>
          <w:szCs w:val="24"/>
          <w:lang w:val="pt-BR" w:eastAsia="es-ES"/>
        </w:rPr>
        <w:t>d</w:t>
      </w:r>
      <w:r w:rsidR="00EC61F2" w:rsidRPr="00D5464D">
        <w:rPr>
          <w:rFonts w:eastAsia="Batang" w:cs="Times"/>
          <w:szCs w:val="24"/>
          <w:lang w:val="pt-BR" w:eastAsia="es-ES"/>
        </w:rPr>
        <w:t>a</w:t>
      </w:r>
      <w:r w:rsidR="00470ADC" w:rsidRPr="00D5464D">
        <w:rPr>
          <w:rFonts w:eastAsia="Batang" w:cs="Times"/>
          <w:szCs w:val="24"/>
          <w:lang w:val="pt-BR" w:eastAsia="es-ES"/>
        </w:rPr>
        <w:t>s alegações</w:t>
      </w:r>
      <w:r w:rsidR="000A52D5" w:rsidRPr="00D5464D">
        <w:rPr>
          <w:rFonts w:eastAsia="Batang" w:cs="Times"/>
          <w:szCs w:val="24"/>
          <w:lang w:val="pt-BR" w:eastAsia="es-ES"/>
        </w:rPr>
        <w:t xml:space="preserve"> </w:t>
      </w:r>
      <w:r w:rsidR="00470ADC" w:rsidRPr="00D5464D">
        <w:rPr>
          <w:rFonts w:eastAsia="Batang" w:cs="Times"/>
          <w:szCs w:val="24"/>
          <w:lang w:val="pt-BR" w:eastAsia="es-ES"/>
        </w:rPr>
        <w:t xml:space="preserve">do </w:t>
      </w:r>
      <w:r w:rsidR="000A52D5" w:rsidRPr="00D5464D">
        <w:rPr>
          <w:rFonts w:eastAsia="Batang" w:cs="Times"/>
          <w:szCs w:val="24"/>
          <w:lang w:val="pt-BR" w:eastAsia="es-ES"/>
        </w:rPr>
        <w:t>Estado</w:t>
      </w:r>
      <w:r w:rsidR="00EC61F2" w:rsidRPr="00D5464D">
        <w:rPr>
          <w:rFonts w:eastAsia="Batang" w:cs="Times"/>
          <w:szCs w:val="24"/>
          <w:lang w:val="pt-BR" w:eastAsia="es-ES"/>
        </w:rPr>
        <w:t>.</w:t>
      </w:r>
      <w:r w:rsidR="000A52D5" w:rsidRPr="00D5464D">
        <w:rPr>
          <w:rFonts w:eastAsia="Batang" w:cs="Times"/>
          <w:szCs w:val="24"/>
          <w:vertAlign w:val="superscript"/>
          <w:lang w:val="pt-BR" w:eastAsia="es-ES"/>
        </w:rPr>
        <w:footnoteReference w:id="55"/>
      </w:r>
      <w:r w:rsidR="000A52D5" w:rsidRPr="00D5464D">
        <w:rPr>
          <w:rFonts w:eastAsia="Batang" w:cs="Times"/>
          <w:szCs w:val="24"/>
          <w:lang w:val="pt-BR" w:eastAsia="es-ES"/>
        </w:rPr>
        <w:t xml:space="preserve"> </w:t>
      </w:r>
      <w:r w:rsidR="00350187" w:rsidRPr="00D5464D">
        <w:rPr>
          <w:rFonts w:eastAsia="Batang" w:cs="Times"/>
          <w:szCs w:val="24"/>
          <w:lang w:val="pt-BR" w:eastAsia="es-ES"/>
        </w:rPr>
        <w:t xml:space="preserve">Além disso, </w:t>
      </w:r>
      <w:r w:rsidR="002C330E" w:rsidRPr="00D5464D">
        <w:rPr>
          <w:rFonts w:eastAsia="Batang" w:cs="Times"/>
          <w:szCs w:val="24"/>
          <w:lang w:val="pt-BR" w:eastAsia="es-ES"/>
        </w:rPr>
        <w:t xml:space="preserve">os </w:t>
      </w:r>
      <w:r w:rsidR="000A52D5" w:rsidRPr="00D5464D">
        <w:rPr>
          <w:rFonts w:eastAsia="Batang" w:cs="Times"/>
          <w:szCs w:val="24"/>
          <w:lang w:val="pt-BR" w:eastAsia="es-ES"/>
        </w:rPr>
        <w:t xml:space="preserve">argumentos que </w:t>
      </w:r>
      <w:r w:rsidR="00EC61F2" w:rsidRPr="00D5464D">
        <w:rPr>
          <w:rFonts w:eastAsia="Batang" w:cs="Times"/>
          <w:szCs w:val="24"/>
          <w:lang w:val="pt-BR" w:eastAsia="es-ES"/>
        </w:rPr>
        <w:t xml:space="preserve">dão </w:t>
      </w:r>
      <w:r w:rsidR="00470ADC" w:rsidRPr="00D5464D">
        <w:rPr>
          <w:rFonts w:eastAsia="Batang" w:cs="Times"/>
          <w:szCs w:val="24"/>
          <w:lang w:val="pt-BR" w:eastAsia="es-ES"/>
        </w:rPr>
        <w:t xml:space="preserve">conteúdo à </w:t>
      </w:r>
      <w:r w:rsidR="000A52D5" w:rsidRPr="00D5464D">
        <w:rPr>
          <w:rFonts w:eastAsia="Batang" w:cs="Times"/>
          <w:szCs w:val="24"/>
          <w:lang w:val="pt-BR" w:eastAsia="es-ES"/>
        </w:rPr>
        <w:t>exce</w:t>
      </w:r>
      <w:r w:rsidR="00EC61F2" w:rsidRPr="00D5464D">
        <w:rPr>
          <w:rFonts w:eastAsia="Batang" w:cs="Times"/>
          <w:szCs w:val="24"/>
          <w:lang w:val="pt-BR" w:eastAsia="es-ES"/>
        </w:rPr>
        <w:t xml:space="preserve">ção </w:t>
      </w:r>
      <w:r w:rsidR="000A52D5" w:rsidRPr="00D5464D">
        <w:rPr>
          <w:rFonts w:eastAsia="Batang" w:cs="Times"/>
          <w:szCs w:val="24"/>
          <w:lang w:val="pt-BR" w:eastAsia="es-ES"/>
        </w:rPr>
        <w:t xml:space="preserve">preliminar </w:t>
      </w:r>
      <w:r w:rsidR="002C330E" w:rsidRPr="00D5464D">
        <w:rPr>
          <w:rFonts w:eastAsia="Batang" w:cs="Times"/>
          <w:szCs w:val="24"/>
          <w:lang w:val="pt-BR" w:eastAsia="es-ES"/>
        </w:rPr>
        <w:t>interpost</w:t>
      </w:r>
      <w:r w:rsidR="000A52D5" w:rsidRPr="00D5464D">
        <w:rPr>
          <w:rFonts w:eastAsia="Batang" w:cs="Times"/>
          <w:szCs w:val="24"/>
          <w:lang w:val="pt-BR" w:eastAsia="es-ES"/>
        </w:rPr>
        <w:t>a</w:t>
      </w:r>
      <w:r w:rsidR="002C330E" w:rsidRPr="00D5464D">
        <w:rPr>
          <w:rFonts w:eastAsia="Batang" w:cs="Times"/>
          <w:szCs w:val="24"/>
          <w:lang w:val="pt-BR" w:eastAsia="es-ES"/>
        </w:rPr>
        <w:t xml:space="preserve"> pelo </w:t>
      </w:r>
      <w:r w:rsidR="000A52D5" w:rsidRPr="00D5464D">
        <w:rPr>
          <w:rFonts w:eastAsia="Batang" w:cs="Times"/>
          <w:szCs w:val="24"/>
          <w:lang w:val="pt-BR" w:eastAsia="es-ES"/>
        </w:rPr>
        <w:t>Estado</w:t>
      </w:r>
      <w:r w:rsidR="00470ADC" w:rsidRPr="00D5464D">
        <w:rPr>
          <w:rFonts w:eastAsia="Batang" w:cs="Times"/>
          <w:szCs w:val="24"/>
          <w:lang w:val="pt-BR" w:eastAsia="es-ES"/>
        </w:rPr>
        <w:t xml:space="preserve"> perante a </w:t>
      </w:r>
      <w:r w:rsidR="000A52D5" w:rsidRPr="00D5464D">
        <w:rPr>
          <w:rFonts w:eastAsia="Batang" w:cs="Times"/>
          <w:szCs w:val="24"/>
          <w:lang w:val="pt-BR" w:eastAsia="es-ES"/>
        </w:rPr>
        <w:t>Comi</w:t>
      </w:r>
      <w:r w:rsidR="00EC61F2" w:rsidRPr="00D5464D">
        <w:rPr>
          <w:rFonts w:eastAsia="Batang" w:cs="Times"/>
          <w:szCs w:val="24"/>
          <w:lang w:val="pt-BR" w:eastAsia="es-ES"/>
        </w:rPr>
        <w:t xml:space="preserve">ssão </w:t>
      </w:r>
      <w:r w:rsidR="000A52D5" w:rsidRPr="00D5464D">
        <w:rPr>
          <w:rFonts w:eastAsia="Batang" w:cs="Times"/>
          <w:szCs w:val="24"/>
          <w:lang w:val="pt-BR" w:eastAsia="es-ES"/>
        </w:rPr>
        <w:t>durante</w:t>
      </w:r>
      <w:r w:rsidR="002C330E" w:rsidRPr="00D5464D">
        <w:rPr>
          <w:rFonts w:eastAsia="Batang" w:cs="Times"/>
          <w:szCs w:val="24"/>
          <w:lang w:val="pt-BR" w:eastAsia="es-ES"/>
        </w:rPr>
        <w:t xml:space="preserve"> a </w:t>
      </w:r>
      <w:r w:rsidR="000A52D5" w:rsidRPr="00D5464D">
        <w:rPr>
          <w:rFonts w:eastAsia="Batang" w:cs="Times"/>
          <w:szCs w:val="24"/>
          <w:lang w:val="pt-BR" w:eastAsia="es-ES"/>
        </w:rPr>
        <w:t xml:space="preserve">etapa de </w:t>
      </w:r>
      <w:r w:rsidR="00470ADC" w:rsidRPr="00D5464D">
        <w:rPr>
          <w:rFonts w:eastAsia="Batang" w:cs="Times"/>
          <w:szCs w:val="24"/>
          <w:lang w:val="pt-BR" w:eastAsia="es-ES"/>
        </w:rPr>
        <w:t>admissibilidade</w:t>
      </w:r>
      <w:r w:rsidR="000A52D5" w:rsidRPr="00D5464D">
        <w:rPr>
          <w:rFonts w:eastAsia="Batang" w:cs="Times"/>
          <w:szCs w:val="24"/>
          <w:lang w:val="pt-BR" w:eastAsia="es-ES"/>
        </w:rPr>
        <w:t xml:space="preserve"> </w:t>
      </w:r>
      <w:r w:rsidR="00470ADC" w:rsidRPr="00D5464D">
        <w:rPr>
          <w:rFonts w:eastAsia="Batang" w:cs="Times"/>
          <w:szCs w:val="24"/>
          <w:lang w:val="pt-BR" w:eastAsia="es-ES"/>
        </w:rPr>
        <w:t>devem</w:t>
      </w:r>
      <w:r w:rsidR="000A52D5" w:rsidRPr="00D5464D">
        <w:rPr>
          <w:rFonts w:eastAsia="Batang" w:cs="Times"/>
          <w:szCs w:val="24"/>
          <w:lang w:val="pt-BR" w:eastAsia="es-ES"/>
        </w:rPr>
        <w:t xml:space="preserve"> corresponder </w:t>
      </w:r>
      <w:r w:rsidR="00EC61F2" w:rsidRPr="00D5464D">
        <w:rPr>
          <w:rFonts w:eastAsia="Batang" w:cs="Times"/>
          <w:szCs w:val="24"/>
          <w:lang w:val="pt-BR" w:eastAsia="es-ES"/>
        </w:rPr>
        <w:t>à</w:t>
      </w:r>
      <w:r w:rsidR="00470ADC" w:rsidRPr="00D5464D">
        <w:rPr>
          <w:rFonts w:eastAsia="Batang" w:cs="Times"/>
          <w:szCs w:val="24"/>
          <w:lang w:val="pt-BR" w:eastAsia="es-ES"/>
        </w:rPr>
        <w:t>queles</w:t>
      </w:r>
      <w:r w:rsidR="000A52D5" w:rsidRPr="00D5464D">
        <w:rPr>
          <w:rFonts w:eastAsia="Batang" w:cs="Times"/>
          <w:szCs w:val="24"/>
          <w:lang w:val="pt-BR" w:eastAsia="es-ES"/>
        </w:rPr>
        <w:t xml:space="preserve"> </w:t>
      </w:r>
      <w:r w:rsidR="00EC61F2" w:rsidRPr="00D5464D">
        <w:rPr>
          <w:rFonts w:eastAsia="Batang" w:cs="Times"/>
          <w:szCs w:val="24"/>
          <w:lang w:val="pt-BR" w:eastAsia="es-ES"/>
        </w:rPr>
        <w:t xml:space="preserve">apresentados </w:t>
      </w:r>
      <w:r w:rsidR="00470ADC" w:rsidRPr="00D5464D">
        <w:rPr>
          <w:rFonts w:eastAsia="Batang" w:cs="Times"/>
          <w:szCs w:val="24"/>
          <w:lang w:val="pt-BR" w:eastAsia="es-ES"/>
        </w:rPr>
        <w:t xml:space="preserve">perante a </w:t>
      </w:r>
      <w:r w:rsidR="000A52D5" w:rsidRPr="00D5464D">
        <w:rPr>
          <w:rFonts w:eastAsia="Batang" w:cs="Times"/>
          <w:szCs w:val="24"/>
          <w:lang w:val="pt-BR" w:eastAsia="es-ES"/>
        </w:rPr>
        <w:t>Corte</w:t>
      </w:r>
      <w:r w:rsidR="00EC61F2" w:rsidRPr="00D5464D">
        <w:rPr>
          <w:rFonts w:eastAsia="Batang" w:cs="Times"/>
          <w:szCs w:val="24"/>
          <w:lang w:val="pt-BR" w:eastAsia="es-ES"/>
        </w:rPr>
        <w:t>.</w:t>
      </w:r>
      <w:r w:rsidR="000A52D5" w:rsidRPr="00D5464D">
        <w:rPr>
          <w:rFonts w:eastAsia="Batang" w:cs="Times"/>
          <w:szCs w:val="24"/>
          <w:vertAlign w:val="superscript"/>
          <w:lang w:val="pt-BR" w:eastAsia="es-ES"/>
        </w:rPr>
        <w:footnoteReference w:id="56"/>
      </w:r>
      <w:r w:rsidR="000A52D5" w:rsidRPr="00D5464D">
        <w:rPr>
          <w:rFonts w:eastAsia="Batang" w:cs="Times"/>
          <w:szCs w:val="24"/>
          <w:lang w:val="pt-BR" w:eastAsia="es-ES"/>
        </w:rPr>
        <w:t xml:space="preserve"> </w:t>
      </w:r>
    </w:p>
    <w:p w14:paraId="5F89552A" w14:textId="77777777" w:rsidR="00D65024" w:rsidRPr="00D5464D" w:rsidRDefault="00D65024" w:rsidP="00D65024">
      <w:pPr>
        <w:tabs>
          <w:tab w:val="clear" w:pos="4419"/>
          <w:tab w:val="clear" w:pos="8838"/>
        </w:tabs>
        <w:jc w:val="both"/>
        <w:rPr>
          <w:rFonts w:eastAsia="Batang" w:cs="Times"/>
          <w:szCs w:val="24"/>
          <w:lang w:val="pt-BR" w:eastAsia="es-ES"/>
        </w:rPr>
      </w:pPr>
    </w:p>
    <w:p w14:paraId="5310076A" w14:textId="009A69CC" w:rsidR="000A52D5" w:rsidRPr="00D5464D" w:rsidRDefault="00EC61F2"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À</w:t>
      </w:r>
      <w:r w:rsidR="002C330E" w:rsidRPr="00D5464D">
        <w:rPr>
          <w:rFonts w:eastAsia="Batang" w:cs="Times"/>
          <w:szCs w:val="24"/>
          <w:lang w:val="pt-BR" w:eastAsia="es-ES"/>
        </w:rPr>
        <w:t xml:space="preserve"> margem </w:t>
      </w:r>
      <w:r w:rsidR="00470ADC" w:rsidRPr="00D5464D">
        <w:rPr>
          <w:rFonts w:eastAsia="Batang" w:cs="Times"/>
          <w:szCs w:val="24"/>
          <w:lang w:val="pt-BR" w:eastAsia="es-ES"/>
        </w:rPr>
        <w:t xml:space="preserve">das </w:t>
      </w:r>
      <w:r w:rsidR="002C330E" w:rsidRPr="00D5464D">
        <w:rPr>
          <w:rFonts w:eastAsia="Batang" w:cs="Times"/>
          <w:szCs w:val="24"/>
          <w:lang w:val="pt-BR" w:eastAsia="es-ES"/>
        </w:rPr>
        <w:t>razões</w:t>
      </w:r>
      <w:r w:rsidR="000A52D5" w:rsidRPr="00D5464D">
        <w:rPr>
          <w:rFonts w:eastAsia="Batang" w:cs="Times"/>
          <w:szCs w:val="24"/>
          <w:lang w:val="pt-BR" w:eastAsia="es-ES"/>
        </w:rPr>
        <w:t xml:space="preserve"> alega</w:t>
      </w:r>
      <w:r w:rsidRPr="00D5464D">
        <w:rPr>
          <w:rFonts w:eastAsia="Batang" w:cs="Times"/>
          <w:szCs w:val="24"/>
          <w:lang w:val="pt-BR" w:eastAsia="es-ES"/>
        </w:rPr>
        <w:t>das</w:t>
      </w:r>
      <w:r w:rsidR="00470ADC" w:rsidRPr="00D5464D">
        <w:rPr>
          <w:rFonts w:eastAsia="Batang" w:cs="Times"/>
          <w:szCs w:val="24"/>
          <w:lang w:val="pt-BR" w:eastAsia="es-ES"/>
        </w:rPr>
        <w:t xml:space="preserve"> </w:t>
      </w:r>
      <w:r w:rsidRPr="00D5464D">
        <w:rPr>
          <w:rFonts w:eastAsia="Batang" w:cs="Times"/>
          <w:szCs w:val="24"/>
          <w:lang w:val="pt-BR" w:eastAsia="es-ES"/>
        </w:rPr>
        <w:t>pel</w:t>
      </w:r>
      <w:r w:rsidR="00470ADC" w:rsidRPr="00D5464D">
        <w:rPr>
          <w:rFonts w:eastAsia="Batang" w:cs="Times"/>
          <w:szCs w:val="24"/>
          <w:lang w:val="pt-BR" w:eastAsia="es-ES"/>
        </w:rPr>
        <w:t xml:space="preserve">o </w:t>
      </w:r>
      <w:r w:rsidR="000A52D5" w:rsidRPr="00D5464D">
        <w:rPr>
          <w:rFonts w:eastAsia="Batang" w:cs="Times"/>
          <w:szCs w:val="24"/>
          <w:lang w:val="pt-BR" w:eastAsia="es-ES"/>
        </w:rPr>
        <w:t>Estado</w:t>
      </w:r>
      <w:r w:rsidR="00470ADC" w:rsidRPr="00D5464D">
        <w:rPr>
          <w:rFonts w:eastAsia="Batang" w:cs="Times"/>
          <w:szCs w:val="24"/>
          <w:lang w:val="pt-BR" w:eastAsia="es-ES"/>
        </w:rPr>
        <w:t xml:space="preserve"> perante a </w:t>
      </w:r>
      <w:r w:rsidR="000A52D5" w:rsidRPr="00D5464D">
        <w:rPr>
          <w:rFonts w:eastAsia="Batang" w:cs="Times"/>
          <w:szCs w:val="24"/>
          <w:lang w:val="pt-BR" w:eastAsia="es-ES"/>
        </w:rPr>
        <w:t>Corte, relacionadas</w:t>
      </w:r>
      <w:r w:rsidR="00470ADC" w:rsidRPr="00D5464D">
        <w:rPr>
          <w:rFonts w:eastAsia="Batang" w:cs="Times"/>
          <w:szCs w:val="24"/>
          <w:lang w:val="pt-BR" w:eastAsia="es-ES"/>
        </w:rPr>
        <w:t xml:space="preserve"> com</w:t>
      </w:r>
      <w:r w:rsidR="002C330E" w:rsidRPr="00D5464D">
        <w:rPr>
          <w:rFonts w:eastAsia="Batang" w:cs="Times"/>
          <w:szCs w:val="24"/>
          <w:lang w:val="pt-BR" w:eastAsia="es-ES"/>
        </w:rPr>
        <w:t xml:space="preserve"> a </w:t>
      </w:r>
      <w:r w:rsidR="00470ADC" w:rsidRPr="00D5464D">
        <w:rPr>
          <w:rFonts w:eastAsia="Batang" w:cs="Times"/>
          <w:szCs w:val="24"/>
          <w:lang w:val="pt-BR" w:eastAsia="es-ES"/>
        </w:rPr>
        <w:t>exceção</w:t>
      </w:r>
      <w:r w:rsidR="000A52D5" w:rsidRPr="00D5464D">
        <w:rPr>
          <w:rFonts w:eastAsia="Batang" w:cs="Times"/>
          <w:szCs w:val="24"/>
          <w:lang w:val="pt-BR" w:eastAsia="es-ES"/>
        </w:rPr>
        <w:t xml:space="preserve"> preliminar sobre</w:t>
      </w:r>
      <w:r w:rsidR="002C330E" w:rsidRPr="00D5464D">
        <w:rPr>
          <w:rFonts w:eastAsia="Batang" w:cs="Times"/>
          <w:szCs w:val="24"/>
          <w:lang w:val="pt-BR" w:eastAsia="es-ES"/>
        </w:rPr>
        <w:t xml:space="preserve"> a </w:t>
      </w:r>
      <w:r w:rsidR="000A52D5" w:rsidRPr="00D5464D">
        <w:rPr>
          <w:rFonts w:eastAsia="Batang" w:cs="Times"/>
          <w:szCs w:val="24"/>
          <w:lang w:val="pt-BR" w:eastAsia="es-ES"/>
        </w:rPr>
        <w:t xml:space="preserve">falta de </w:t>
      </w:r>
      <w:r w:rsidR="00470ADC" w:rsidRPr="00D5464D">
        <w:rPr>
          <w:rFonts w:eastAsia="Batang" w:cs="Times"/>
          <w:szCs w:val="24"/>
          <w:lang w:val="pt-BR" w:eastAsia="es-ES"/>
        </w:rPr>
        <w:t xml:space="preserve">esgotamento dos </w:t>
      </w:r>
      <w:r w:rsidR="000A52D5" w:rsidRPr="00D5464D">
        <w:rPr>
          <w:rFonts w:eastAsia="Batang" w:cs="Times"/>
          <w:szCs w:val="24"/>
          <w:lang w:val="pt-BR" w:eastAsia="es-ES"/>
        </w:rPr>
        <w:t xml:space="preserve">recursos internos, </w:t>
      </w:r>
      <w:r w:rsidRPr="00D5464D">
        <w:rPr>
          <w:rFonts w:eastAsia="Batang" w:cs="Times"/>
          <w:szCs w:val="24"/>
          <w:lang w:val="pt-BR" w:eastAsia="es-ES"/>
        </w:rPr>
        <w:t xml:space="preserve">a Corte </w:t>
      </w:r>
      <w:r w:rsidR="000A52D5" w:rsidRPr="00D5464D">
        <w:rPr>
          <w:rFonts w:eastAsia="Batang" w:cs="Times"/>
          <w:szCs w:val="24"/>
          <w:lang w:val="pt-BR" w:eastAsia="es-ES"/>
        </w:rPr>
        <w:t>coincide</w:t>
      </w:r>
      <w:r w:rsidR="00470ADC" w:rsidRPr="00D5464D">
        <w:rPr>
          <w:rFonts w:eastAsia="Batang" w:cs="Times"/>
          <w:szCs w:val="24"/>
          <w:lang w:val="pt-BR" w:eastAsia="es-ES"/>
        </w:rPr>
        <w:t xml:space="preserve"> </w:t>
      </w:r>
      <w:r w:rsidR="00737270" w:rsidRPr="00D5464D">
        <w:rPr>
          <w:rFonts w:eastAsia="Batang" w:cs="Times"/>
          <w:szCs w:val="24"/>
          <w:lang w:val="pt-BR" w:eastAsia="es-ES"/>
        </w:rPr>
        <w:t>com o exposto</w:t>
      </w:r>
      <w:r w:rsidR="002C330E" w:rsidRPr="00D5464D">
        <w:rPr>
          <w:rFonts w:eastAsia="Batang" w:cs="Times"/>
          <w:szCs w:val="24"/>
          <w:lang w:val="pt-BR" w:eastAsia="es-ES"/>
        </w:rPr>
        <w:t xml:space="preserve"> pela </w:t>
      </w:r>
      <w:r w:rsidR="00470ADC" w:rsidRPr="00D5464D">
        <w:rPr>
          <w:rFonts w:eastAsia="Batang" w:cs="Times"/>
          <w:szCs w:val="24"/>
          <w:lang w:val="pt-BR" w:eastAsia="es-ES"/>
        </w:rPr>
        <w:t>Comissão</w:t>
      </w:r>
      <w:r w:rsidR="000A52D5" w:rsidRPr="00D5464D">
        <w:rPr>
          <w:rFonts w:eastAsia="Batang" w:cs="Times"/>
          <w:szCs w:val="24"/>
          <w:lang w:val="pt-BR" w:eastAsia="es-ES"/>
        </w:rPr>
        <w:t>,</w:t>
      </w:r>
      <w:r w:rsidR="002C330E" w:rsidRPr="00D5464D">
        <w:rPr>
          <w:rFonts w:eastAsia="Batang" w:cs="Times"/>
          <w:szCs w:val="24"/>
          <w:lang w:val="pt-BR" w:eastAsia="es-ES"/>
        </w:rPr>
        <w:t xml:space="preserve"> pois </w:t>
      </w:r>
      <w:r w:rsidR="000A52D5" w:rsidRPr="00D5464D">
        <w:rPr>
          <w:rFonts w:eastAsia="Batang" w:cs="Times"/>
          <w:szCs w:val="24"/>
          <w:lang w:val="pt-BR" w:eastAsia="es-ES"/>
        </w:rPr>
        <w:t>observa que</w:t>
      </w:r>
      <w:r w:rsidR="00470ADC" w:rsidRPr="00D5464D">
        <w:rPr>
          <w:rFonts w:eastAsia="Batang" w:cs="Times"/>
          <w:szCs w:val="24"/>
          <w:lang w:val="pt-BR" w:eastAsia="es-ES"/>
        </w:rPr>
        <w:t xml:space="preserve"> </w:t>
      </w:r>
      <w:r w:rsidRPr="00D5464D">
        <w:rPr>
          <w:rFonts w:eastAsia="Batang" w:cs="Times"/>
          <w:szCs w:val="24"/>
          <w:lang w:val="pt-BR" w:eastAsia="es-ES"/>
        </w:rPr>
        <w:t>n</w:t>
      </w:r>
      <w:r w:rsidR="00470ADC" w:rsidRPr="00D5464D">
        <w:rPr>
          <w:rFonts w:eastAsia="Batang" w:cs="Times"/>
          <w:szCs w:val="24"/>
          <w:lang w:val="pt-BR" w:eastAsia="es-ES"/>
        </w:rPr>
        <w:t xml:space="preserve">o </w:t>
      </w:r>
      <w:r w:rsidR="000A52D5" w:rsidRPr="00D5464D">
        <w:rPr>
          <w:rFonts w:eastAsia="Batang" w:cs="Times"/>
          <w:szCs w:val="24"/>
          <w:lang w:val="pt-BR" w:eastAsia="es-ES"/>
        </w:rPr>
        <w:t>momento de contestar</w:t>
      </w:r>
      <w:r w:rsidR="002C330E" w:rsidRPr="00D5464D">
        <w:rPr>
          <w:rFonts w:eastAsia="Batang" w:cs="Times"/>
          <w:szCs w:val="24"/>
          <w:lang w:val="pt-BR" w:eastAsia="es-ES"/>
        </w:rPr>
        <w:t xml:space="preserve"> a </w:t>
      </w:r>
      <w:r w:rsidR="000A52D5" w:rsidRPr="00D5464D">
        <w:rPr>
          <w:rFonts w:eastAsia="Batang" w:cs="Times"/>
          <w:szCs w:val="24"/>
          <w:lang w:val="pt-BR" w:eastAsia="es-ES"/>
        </w:rPr>
        <w:t>peti</w:t>
      </w:r>
      <w:r w:rsidR="00470ADC" w:rsidRPr="00D5464D">
        <w:rPr>
          <w:rFonts w:eastAsia="Batang" w:cs="Times"/>
          <w:szCs w:val="24"/>
          <w:lang w:val="pt-BR" w:eastAsia="es-ES"/>
        </w:rPr>
        <w:t>ção perante a Comissão</w:t>
      </w:r>
      <w:r w:rsidRPr="00D5464D">
        <w:rPr>
          <w:rFonts w:eastAsia="Batang" w:cs="Times"/>
          <w:szCs w:val="24"/>
          <w:lang w:val="pt-BR" w:eastAsia="es-ES"/>
        </w:rPr>
        <w:t>,</w:t>
      </w:r>
      <w:r w:rsidR="002C330E" w:rsidRPr="00D5464D">
        <w:rPr>
          <w:rFonts w:eastAsia="Batang" w:cs="Times"/>
          <w:szCs w:val="24"/>
          <w:lang w:val="pt-BR" w:eastAsia="es-ES"/>
        </w:rPr>
        <w:t xml:space="preserve"> a </w:t>
      </w:r>
      <w:r w:rsidR="000233C0" w:rsidRPr="00D5464D">
        <w:rPr>
          <w:rFonts w:eastAsia="Batang" w:cs="Times"/>
          <w:szCs w:val="24"/>
          <w:lang w:val="pt-BR" w:eastAsia="es-ES"/>
        </w:rPr>
        <w:t>única men</w:t>
      </w:r>
      <w:r w:rsidR="00470ADC" w:rsidRPr="00D5464D">
        <w:rPr>
          <w:rFonts w:eastAsia="Batang" w:cs="Times"/>
          <w:szCs w:val="24"/>
          <w:lang w:val="pt-BR" w:eastAsia="es-ES"/>
        </w:rPr>
        <w:t>ção</w:t>
      </w:r>
      <w:r w:rsidR="000233C0" w:rsidRPr="00D5464D">
        <w:rPr>
          <w:rFonts w:eastAsia="Batang" w:cs="Times"/>
          <w:szCs w:val="24"/>
          <w:lang w:val="pt-BR" w:eastAsia="es-ES"/>
        </w:rPr>
        <w:t xml:space="preserve"> </w:t>
      </w:r>
      <w:r w:rsidRPr="00D5464D">
        <w:rPr>
          <w:rFonts w:eastAsia="Batang" w:cs="Times"/>
          <w:szCs w:val="24"/>
          <w:lang w:val="pt-BR" w:eastAsia="es-ES"/>
        </w:rPr>
        <w:t>d</w:t>
      </w:r>
      <w:r w:rsidR="00470ADC" w:rsidRPr="00D5464D">
        <w:rPr>
          <w:rFonts w:eastAsia="Batang" w:cs="Times"/>
          <w:szCs w:val="24"/>
          <w:lang w:val="pt-BR" w:eastAsia="es-ES"/>
        </w:rPr>
        <w:t xml:space="preserve">o </w:t>
      </w:r>
      <w:r w:rsidR="000A52D5" w:rsidRPr="00D5464D">
        <w:rPr>
          <w:rFonts w:eastAsia="Batang" w:cs="Times"/>
          <w:szCs w:val="24"/>
          <w:lang w:val="pt-BR" w:eastAsia="es-ES"/>
        </w:rPr>
        <w:t xml:space="preserve">Estado </w:t>
      </w:r>
      <w:r w:rsidR="00470ADC" w:rsidRPr="00D5464D">
        <w:rPr>
          <w:rFonts w:eastAsia="Batang" w:cs="Times"/>
          <w:szCs w:val="24"/>
          <w:lang w:val="pt-BR" w:eastAsia="es-ES"/>
        </w:rPr>
        <w:t xml:space="preserve">sobre o esgotamento dos </w:t>
      </w:r>
      <w:r w:rsidR="000233C0" w:rsidRPr="00D5464D">
        <w:rPr>
          <w:rFonts w:eastAsia="Batang" w:cs="Times"/>
          <w:szCs w:val="24"/>
          <w:lang w:val="pt-BR" w:eastAsia="es-ES"/>
        </w:rPr>
        <w:t>recursos internos</w:t>
      </w:r>
      <w:r w:rsidR="00470ADC" w:rsidRPr="00D5464D">
        <w:rPr>
          <w:rFonts w:eastAsia="Batang" w:cs="Times"/>
          <w:szCs w:val="24"/>
          <w:lang w:val="pt-BR" w:eastAsia="es-ES"/>
        </w:rPr>
        <w:t xml:space="preserve"> foi </w:t>
      </w:r>
      <w:r w:rsidR="000A52D5" w:rsidRPr="00D5464D">
        <w:rPr>
          <w:rFonts w:eastAsia="Batang" w:cs="Times"/>
          <w:szCs w:val="24"/>
          <w:lang w:val="pt-BR" w:eastAsia="es-ES"/>
        </w:rPr>
        <w:t xml:space="preserve">que </w:t>
      </w:r>
      <w:r w:rsidR="00470ADC" w:rsidRPr="00D5464D">
        <w:rPr>
          <w:rFonts w:eastAsia="Batang" w:cs="Times"/>
          <w:szCs w:val="24"/>
          <w:lang w:val="pt-BR" w:eastAsia="es-ES"/>
        </w:rPr>
        <w:t xml:space="preserve">“a </w:t>
      </w:r>
      <w:r w:rsidR="000A52D5" w:rsidRPr="00D5464D">
        <w:rPr>
          <w:rFonts w:eastAsia="Batang" w:cs="Times"/>
          <w:szCs w:val="24"/>
          <w:lang w:val="pt-BR" w:eastAsia="es-ES"/>
        </w:rPr>
        <w:t>demora</w:t>
      </w:r>
      <w:r w:rsidR="00470ADC" w:rsidRPr="00D5464D">
        <w:rPr>
          <w:rFonts w:eastAsia="Batang" w:cs="Times"/>
          <w:szCs w:val="24"/>
          <w:lang w:val="pt-BR" w:eastAsia="es-ES"/>
        </w:rPr>
        <w:t xml:space="preserve"> da </w:t>
      </w:r>
      <w:r w:rsidR="00737270" w:rsidRPr="00D5464D">
        <w:rPr>
          <w:rFonts w:eastAsia="Batang" w:cs="Times"/>
          <w:szCs w:val="24"/>
          <w:lang w:val="pt-BR" w:eastAsia="es-ES"/>
        </w:rPr>
        <w:t>ação</w:t>
      </w:r>
      <w:r w:rsidR="000A52D5" w:rsidRPr="00D5464D">
        <w:rPr>
          <w:rFonts w:eastAsia="Batang" w:cs="Times"/>
          <w:szCs w:val="24"/>
          <w:lang w:val="pt-BR" w:eastAsia="es-ES"/>
        </w:rPr>
        <w:t xml:space="preserve"> penal se </w:t>
      </w:r>
      <w:r w:rsidR="002C330E" w:rsidRPr="00D5464D">
        <w:rPr>
          <w:rFonts w:eastAsia="Batang" w:cs="Times"/>
          <w:szCs w:val="24"/>
          <w:lang w:val="pt-BR" w:eastAsia="es-ES"/>
        </w:rPr>
        <w:t xml:space="preserve">justificava pela </w:t>
      </w:r>
      <w:r w:rsidR="00E045D9" w:rsidRPr="00D5464D">
        <w:rPr>
          <w:rFonts w:eastAsia="Batang" w:cs="Times"/>
          <w:szCs w:val="24"/>
          <w:lang w:val="pt-BR" w:eastAsia="es-ES"/>
        </w:rPr>
        <w:t xml:space="preserve">complexidade e </w:t>
      </w:r>
      <w:r w:rsidR="000A52D5" w:rsidRPr="00D5464D">
        <w:rPr>
          <w:rFonts w:eastAsia="Batang" w:cs="Times"/>
          <w:szCs w:val="24"/>
          <w:lang w:val="pt-BR" w:eastAsia="es-ES"/>
        </w:rPr>
        <w:t>modifica</w:t>
      </w:r>
      <w:r w:rsidR="00470ADC" w:rsidRPr="00D5464D">
        <w:rPr>
          <w:rFonts w:eastAsia="Batang" w:cs="Times"/>
          <w:szCs w:val="24"/>
          <w:lang w:val="pt-BR" w:eastAsia="es-ES"/>
        </w:rPr>
        <w:t xml:space="preserve">ção da </w:t>
      </w:r>
      <w:r w:rsidR="002C330E" w:rsidRPr="00D5464D">
        <w:rPr>
          <w:rFonts w:eastAsia="Batang" w:cs="Times"/>
          <w:szCs w:val="24"/>
          <w:lang w:val="pt-BR" w:eastAsia="es-ES"/>
        </w:rPr>
        <w:t xml:space="preserve">jurisprudência </w:t>
      </w:r>
      <w:r w:rsidR="000A52D5" w:rsidRPr="00D5464D">
        <w:rPr>
          <w:rFonts w:eastAsia="Batang" w:cs="Times"/>
          <w:szCs w:val="24"/>
          <w:lang w:val="pt-BR" w:eastAsia="es-ES"/>
        </w:rPr>
        <w:t xml:space="preserve">para </w:t>
      </w:r>
      <w:r w:rsidR="00470ADC" w:rsidRPr="00D5464D">
        <w:rPr>
          <w:rFonts w:eastAsia="Batang" w:cs="Times"/>
          <w:szCs w:val="24"/>
          <w:lang w:val="pt-BR" w:eastAsia="es-ES"/>
        </w:rPr>
        <w:t>conhecer</w:t>
      </w:r>
      <w:r w:rsidR="002C330E" w:rsidRPr="00D5464D">
        <w:rPr>
          <w:rFonts w:eastAsia="Batang" w:cs="Times"/>
          <w:szCs w:val="24"/>
          <w:lang w:val="pt-BR" w:eastAsia="es-ES"/>
        </w:rPr>
        <w:t xml:space="preserve"> </w:t>
      </w:r>
      <w:r w:rsidR="004B0B89" w:rsidRPr="00D5464D">
        <w:rPr>
          <w:rFonts w:eastAsia="Batang" w:cs="Times"/>
          <w:szCs w:val="24"/>
          <w:lang w:val="pt-BR" w:eastAsia="es-ES"/>
        </w:rPr>
        <w:t>d</w:t>
      </w:r>
      <w:r w:rsidR="002C330E" w:rsidRPr="00D5464D">
        <w:rPr>
          <w:rFonts w:eastAsia="Batang" w:cs="Times"/>
          <w:szCs w:val="24"/>
          <w:lang w:val="pt-BR" w:eastAsia="es-ES"/>
        </w:rPr>
        <w:t>os processo</w:t>
      </w:r>
      <w:r w:rsidR="000A52D5" w:rsidRPr="00D5464D">
        <w:rPr>
          <w:rFonts w:eastAsia="Batang" w:cs="Times"/>
          <w:szCs w:val="24"/>
          <w:lang w:val="pt-BR" w:eastAsia="es-ES"/>
        </w:rPr>
        <w:t>s vinculados</w:t>
      </w:r>
      <w:r w:rsidR="00470ADC" w:rsidRPr="00D5464D">
        <w:rPr>
          <w:rFonts w:eastAsia="Batang" w:cs="Times"/>
          <w:szCs w:val="24"/>
          <w:lang w:val="pt-BR" w:eastAsia="es-ES"/>
        </w:rPr>
        <w:t xml:space="preserve"> </w:t>
      </w:r>
      <w:r w:rsidR="004B0B89" w:rsidRPr="00D5464D">
        <w:rPr>
          <w:rFonts w:eastAsia="Batang" w:cs="Times"/>
          <w:szCs w:val="24"/>
          <w:lang w:val="pt-BR" w:eastAsia="es-ES"/>
        </w:rPr>
        <w:t>à</w:t>
      </w:r>
      <w:r w:rsidR="00470ADC" w:rsidRPr="00D5464D">
        <w:rPr>
          <w:rFonts w:eastAsia="Batang" w:cs="Times"/>
          <w:szCs w:val="24"/>
          <w:lang w:val="pt-BR" w:eastAsia="es-ES"/>
        </w:rPr>
        <w:t xml:space="preserve"> </w:t>
      </w:r>
      <w:r w:rsidR="002C330E" w:rsidRPr="00D5464D">
        <w:rPr>
          <w:rFonts w:eastAsia="Batang" w:cs="Times"/>
          <w:szCs w:val="24"/>
          <w:lang w:val="pt-BR" w:eastAsia="es-ES"/>
        </w:rPr>
        <w:t>submissão</w:t>
      </w:r>
      <w:r w:rsidR="000A52D5" w:rsidRPr="00D5464D">
        <w:rPr>
          <w:rFonts w:eastAsia="Batang" w:cs="Times"/>
          <w:szCs w:val="24"/>
          <w:lang w:val="pt-BR" w:eastAsia="es-ES"/>
        </w:rPr>
        <w:t xml:space="preserve"> </w:t>
      </w:r>
      <w:r w:rsidR="004B0B89" w:rsidRPr="00D5464D">
        <w:rPr>
          <w:rFonts w:eastAsia="Batang" w:cs="Times"/>
          <w:szCs w:val="24"/>
          <w:lang w:val="pt-BR" w:eastAsia="es-ES"/>
        </w:rPr>
        <w:t xml:space="preserve">[de pessoas] </w:t>
      </w:r>
      <w:r w:rsidR="000A52D5" w:rsidRPr="00D5464D">
        <w:rPr>
          <w:rFonts w:eastAsia="Batang" w:cs="Times"/>
          <w:szCs w:val="24"/>
          <w:lang w:val="pt-BR" w:eastAsia="es-ES"/>
        </w:rPr>
        <w:t>a condi</w:t>
      </w:r>
      <w:r w:rsidR="00470ADC" w:rsidRPr="00D5464D">
        <w:rPr>
          <w:rFonts w:eastAsia="Batang" w:cs="Times"/>
          <w:szCs w:val="24"/>
          <w:lang w:val="pt-BR" w:eastAsia="es-ES"/>
        </w:rPr>
        <w:t>ções</w:t>
      </w:r>
      <w:r w:rsidR="000A52D5" w:rsidRPr="00D5464D">
        <w:rPr>
          <w:rFonts w:eastAsia="Batang" w:cs="Times"/>
          <w:szCs w:val="24"/>
          <w:lang w:val="pt-BR" w:eastAsia="es-ES"/>
        </w:rPr>
        <w:t xml:space="preserve"> </w:t>
      </w:r>
      <w:r w:rsidR="006665EF" w:rsidRPr="00D5464D">
        <w:rPr>
          <w:rFonts w:eastAsia="Batang" w:cs="Times"/>
          <w:szCs w:val="24"/>
          <w:lang w:val="pt-BR" w:eastAsia="es-ES"/>
        </w:rPr>
        <w:t>análogas</w:t>
      </w:r>
      <w:r w:rsidR="00350187" w:rsidRPr="00D5464D">
        <w:rPr>
          <w:rFonts w:eastAsia="Batang" w:cs="Times"/>
          <w:szCs w:val="24"/>
          <w:lang w:val="pt-BR" w:eastAsia="es-ES"/>
        </w:rPr>
        <w:t xml:space="preserve"> </w:t>
      </w:r>
      <w:r w:rsidR="00470ADC" w:rsidRPr="00D5464D">
        <w:rPr>
          <w:rFonts w:eastAsia="Batang" w:cs="Times"/>
          <w:szCs w:val="24"/>
          <w:lang w:val="pt-BR" w:eastAsia="es-ES"/>
        </w:rPr>
        <w:t xml:space="preserve">à </w:t>
      </w:r>
      <w:r w:rsidR="000B376D" w:rsidRPr="00D5464D">
        <w:rPr>
          <w:rFonts w:eastAsia="Batang" w:cs="Times"/>
          <w:szCs w:val="24"/>
          <w:lang w:val="pt-BR" w:eastAsia="es-ES"/>
        </w:rPr>
        <w:t>escravidão</w:t>
      </w:r>
      <w:r w:rsidR="000A52D5" w:rsidRPr="00D5464D">
        <w:rPr>
          <w:rFonts w:eastAsia="Batang" w:cs="Times"/>
          <w:szCs w:val="24"/>
          <w:lang w:val="pt-BR" w:eastAsia="es-ES"/>
        </w:rPr>
        <w:t>”</w:t>
      </w:r>
      <w:r w:rsidR="00462B9E" w:rsidRPr="00D5464D">
        <w:rPr>
          <w:rFonts w:eastAsia="Batang" w:cs="Times"/>
          <w:szCs w:val="24"/>
          <w:lang w:val="pt-BR" w:eastAsia="es-ES"/>
        </w:rPr>
        <w:t>;</w:t>
      </w:r>
      <w:r w:rsidR="002C330E" w:rsidRPr="00D5464D">
        <w:rPr>
          <w:rFonts w:eastAsia="Batang" w:cs="Times"/>
          <w:szCs w:val="24"/>
          <w:lang w:val="pt-BR" w:eastAsia="es-ES"/>
        </w:rPr>
        <w:t xml:space="preserve"> sem </w:t>
      </w:r>
      <w:r w:rsidR="00462B9E" w:rsidRPr="00D5464D">
        <w:rPr>
          <w:rFonts w:eastAsia="Batang" w:cs="Times"/>
          <w:szCs w:val="24"/>
          <w:lang w:val="pt-BR" w:eastAsia="es-ES"/>
        </w:rPr>
        <w:t xml:space="preserve">que posteriormente </w:t>
      </w:r>
      <w:r w:rsidR="00737270" w:rsidRPr="00D5464D">
        <w:rPr>
          <w:rFonts w:eastAsia="Batang" w:cs="Times"/>
          <w:szCs w:val="24"/>
          <w:lang w:val="pt-BR" w:eastAsia="es-ES"/>
        </w:rPr>
        <w:t xml:space="preserve">apresentasse </w:t>
      </w:r>
      <w:r w:rsidR="002C330E" w:rsidRPr="00D5464D">
        <w:rPr>
          <w:rFonts w:eastAsia="Batang" w:cs="Times"/>
          <w:szCs w:val="24"/>
          <w:lang w:val="pt-BR" w:eastAsia="es-ES"/>
        </w:rPr>
        <w:t xml:space="preserve">mais </w:t>
      </w:r>
      <w:r w:rsidR="00462B9E" w:rsidRPr="00D5464D">
        <w:rPr>
          <w:rFonts w:eastAsia="Batang" w:cs="Times"/>
          <w:szCs w:val="24"/>
          <w:lang w:val="pt-BR" w:eastAsia="es-ES"/>
        </w:rPr>
        <w:t>argumentos</w:t>
      </w:r>
      <w:r w:rsidR="00470ADC" w:rsidRPr="00D5464D">
        <w:rPr>
          <w:rFonts w:eastAsia="Batang" w:cs="Times"/>
          <w:szCs w:val="24"/>
          <w:lang w:val="pt-BR" w:eastAsia="es-ES"/>
        </w:rPr>
        <w:t xml:space="preserve"> </w:t>
      </w:r>
      <w:r w:rsidR="00C91CB1" w:rsidRPr="00D5464D">
        <w:rPr>
          <w:rFonts w:eastAsia="Batang" w:cs="Times"/>
          <w:szCs w:val="24"/>
          <w:lang w:val="pt-BR" w:eastAsia="es-ES"/>
        </w:rPr>
        <w:t>a respeito</w:t>
      </w:r>
      <w:r w:rsidR="000A52D5" w:rsidRPr="00D5464D">
        <w:rPr>
          <w:rFonts w:eastAsia="Batang" w:cs="Times"/>
          <w:szCs w:val="24"/>
          <w:lang w:val="pt-BR" w:eastAsia="es-ES"/>
        </w:rPr>
        <w:t>.</w:t>
      </w:r>
      <w:r w:rsidR="00462B9E" w:rsidRPr="00D5464D">
        <w:rPr>
          <w:rFonts w:eastAsia="Batang" w:cs="Times"/>
          <w:szCs w:val="24"/>
          <w:lang w:val="pt-BR" w:eastAsia="es-ES"/>
        </w:rPr>
        <w:t xml:space="preserve"> </w:t>
      </w:r>
    </w:p>
    <w:p w14:paraId="6C8F517C" w14:textId="77777777" w:rsidR="00D65024" w:rsidRPr="00D5464D" w:rsidRDefault="000A52D5" w:rsidP="00D65024">
      <w:pPr>
        <w:tabs>
          <w:tab w:val="clear" w:pos="4419"/>
          <w:tab w:val="clear" w:pos="8838"/>
        </w:tabs>
        <w:jc w:val="both"/>
        <w:rPr>
          <w:rFonts w:eastAsia="Batang" w:cs="Times"/>
          <w:i/>
          <w:szCs w:val="24"/>
          <w:lang w:val="pt-BR" w:eastAsia="es-ES"/>
        </w:rPr>
      </w:pPr>
      <w:r w:rsidRPr="00D5464D">
        <w:rPr>
          <w:rFonts w:eastAsia="Batang" w:cs="Times"/>
          <w:szCs w:val="24"/>
          <w:lang w:val="pt-BR" w:eastAsia="es-ES"/>
        </w:rPr>
        <w:t xml:space="preserve"> </w:t>
      </w:r>
    </w:p>
    <w:p w14:paraId="7F6C5BE8" w14:textId="3ED97740" w:rsidR="000A52D5" w:rsidRPr="00D5464D" w:rsidRDefault="00470ADC" w:rsidP="00140440">
      <w:pPr>
        <w:numPr>
          <w:ilvl w:val="0"/>
          <w:numId w:val="1"/>
        </w:numPr>
        <w:tabs>
          <w:tab w:val="clear" w:pos="4419"/>
          <w:tab w:val="clear" w:pos="8838"/>
        </w:tabs>
        <w:jc w:val="both"/>
        <w:rPr>
          <w:rFonts w:eastAsia="Batang" w:cs="Times"/>
          <w:i/>
          <w:szCs w:val="24"/>
          <w:lang w:val="pt-BR" w:eastAsia="es-ES"/>
        </w:rPr>
      </w:pPr>
      <w:r w:rsidRPr="00D5464D">
        <w:rPr>
          <w:rFonts w:eastAsia="Batang" w:cs="Times"/>
          <w:szCs w:val="24"/>
          <w:lang w:val="pt-BR" w:eastAsia="es-ES"/>
        </w:rPr>
        <w:t xml:space="preserve">A </w:t>
      </w:r>
      <w:r w:rsidR="000A52D5" w:rsidRPr="00D5464D">
        <w:rPr>
          <w:rFonts w:eastAsia="Batang" w:cs="Times"/>
          <w:szCs w:val="24"/>
          <w:lang w:val="pt-BR" w:eastAsia="es-ES"/>
        </w:rPr>
        <w:t>Corte considera que</w:t>
      </w:r>
      <w:r w:rsidRPr="00D5464D">
        <w:rPr>
          <w:rFonts w:eastAsia="Batang" w:cs="Times"/>
          <w:szCs w:val="24"/>
          <w:lang w:val="pt-BR" w:eastAsia="es-ES"/>
        </w:rPr>
        <w:t xml:space="preserve"> </w:t>
      </w:r>
      <w:r w:rsidR="00EC61F2" w:rsidRPr="00D5464D">
        <w:rPr>
          <w:rFonts w:eastAsia="Batang" w:cs="Times"/>
          <w:szCs w:val="24"/>
          <w:lang w:val="pt-BR" w:eastAsia="es-ES"/>
        </w:rPr>
        <w:t xml:space="preserve">a afirmação do </w:t>
      </w:r>
      <w:r w:rsidR="000A52D5" w:rsidRPr="00D5464D">
        <w:rPr>
          <w:rFonts w:eastAsia="Batang" w:cs="Times"/>
          <w:szCs w:val="24"/>
          <w:lang w:val="pt-BR" w:eastAsia="es-ES"/>
        </w:rPr>
        <w:t>Estado</w:t>
      </w:r>
      <w:r w:rsidRPr="00D5464D">
        <w:rPr>
          <w:rFonts w:eastAsia="Batang" w:cs="Times"/>
          <w:szCs w:val="24"/>
          <w:lang w:val="pt-BR" w:eastAsia="es-ES"/>
        </w:rPr>
        <w:t xml:space="preserve"> perante a Comissão</w:t>
      </w:r>
      <w:r w:rsidR="000A52D5" w:rsidRPr="00D5464D">
        <w:rPr>
          <w:rFonts w:eastAsia="Batang" w:cs="Times"/>
          <w:szCs w:val="24"/>
          <w:lang w:val="pt-BR" w:eastAsia="es-ES"/>
        </w:rPr>
        <w:t xml:space="preserve"> n</w:t>
      </w:r>
      <w:r w:rsidR="00EC61F2" w:rsidRPr="00D5464D">
        <w:rPr>
          <w:rFonts w:eastAsia="Batang" w:cs="Times"/>
          <w:szCs w:val="24"/>
          <w:lang w:val="pt-BR" w:eastAsia="es-ES"/>
        </w:rPr>
        <w:t>ã</w:t>
      </w:r>
      <w:r w:rsidR="000A52D5" w:rsidRPr="00D5464D">
        <w:rPr>
          <w:rFonts w:eastAsia="Batang" w:cs="Times"/>
          <w:szCs w:val="24"/>
          <w:lang w:val="pt-BR" w:eastAsia="es-ES"/>
        </w:rPr>
        <w:t xml:space="preserve">o </w:t>
      </w:r>
      <w:r w:rsidR="00A1358C" w:rsidRPr="00D5464D">
        <w:rPr>
          <w:rFonts w:eastAsia="Batang" w:cs="Times"/>
          <w:szCs w:val="24"/>
          <w:lang w:val="pt-BR" w:eastAsia="es-ES"/>
        </w:rPr>
        <w:t xml:space="preserve">cumpre </w:t>
      </w:r>
      <w:r w:rsidR="002C330E" w:rsidRPr="00D5464D">
        <w:rPr>
          <w:rFonts w:eastAsia="Batang" w:cs="Times"/>
          <w:szCs w:val="24"/>
          <w:lang w:val="pt-BR" w:eastAsia="es-ES"/>
        </w:rPr>
        <w:t xml:space="preserve">os </w:t>
      </w:r>
      <w:r w:rsidR="000A52D5" w:rsidRPr="00D5464D">
        <w:rPr>
          <w:rFonts w:eastAsia="Batang" w:cs="Times"/>
          <w:szCs w:val="24"/>
          <w:lang w:val="pt-BR" w:eastAsia="es-ES"/>
        </w:rPr>
        <w:t>requisitos de</w:t>
      </w:r>
      <w:r w:rsidR="00E045D9" w:rsidRPr="00D5464D">
        <w:rPr>
          <w:rFonts w:eastAsia="Batang" w:cs="Times"/>
          <w:szCs w:val="24"/>
          <w:lang w:val="pt-BR" w:eastAsia="es-ES"/>
        </w:rPr>
        <w:t xml:space="preserve"> uma </w:t>
      </w:r>
      <w:r w:rsidRPr="00D5464D">
        <w:rPr>
          <w:rFonts w:eastAsia="Batang" w:cs="Times"/>
          <w:szCs w:val="24"/>
          <w:lang w:val="pt-BR" w:eastAsia="es-ES"/>
        </w:rPr>
        <w:t>exceção</w:t>
      </w:r>
      <w:r w:rsidR="000A52D5" w:rsidRPr="00D5464D">
        <w:rPr>
          <w:rFonts w:eastAsia="Batang" w:cs="Times"/>
          <w:szCs w:val="24"/>
          <w:lang w:val="pt-BR" w:eastAsia="es-ES"/>
        </w:rPr>
        <w:t xml:space="preserve"> preliminar de falta de </w:t>
      </w:r>
      <w:r w:rsidRPr="00D5464D">
        <w:rPr>
          <w:rFonts w:eastAsia="Batang" w:cs="Times"/>
          <w:szCs w:val="24"/>
          <w:lang w:val="pt-BR" w:eastAsia="es-ES"/>
        </w:rPr>
        <w:t>esgotamento</w:t>
      </w:r>
      <w:r w:rsidR="000A52D5" w:rsidRPr="00D5464D">
        <w:rPr>
          <w:rFonts w:eastAsia="Batang" w:cs="Times"/>
          <w:szCs w:val="24"/>
          <w:lang w:val="pt-BR" w:eastAsia="es-ES"/>
        </w:rPr>
        <w:t xml:space="preserve"> de recursos internos (</w:t>
      </w:r>
      <w:r w:rsidR="002C330E" w:rsidRPr="00D5464D">
        <w:rPr>
          <w:rFonts w:eastAsia="Batang" w:cs="Times"/>
          <w:szCs w:val="24"/>
          <w:lang w:val="pt-BR" w:eastAsia="es-ES"/>
        </w:rPr>
        <w:t>par.</w:t>
      </w:r>
      <w:r w:rsidR="000A52D5" w:rsidRPr="00D5464D">
        <w:rPr>
          <w:rFonts w:eastAsia="Batang" w:cs="Times"/>
          <w:szCs w:val="24"/>
          <w:lang w:val="pt-BR" w:eastAsia="es-ES"/>
        </w:rPr>
        <w:t xml:space="preserve"> </w:t>
      </w:r>
      <w:r w:rsidR="006665F5" w:rsidRPr="00D5464D">
        <w:rPr>
          <w:rFonts w:eastAsia="Batang" w:cs="Times"/>
          <w:szCs w:val="24"/>
          <w:lang w:val="pt-BR" w:eastAsia="es-ES"/>
        </w:rPr>
        <w:t>89</w:t>
      </w:r>
      <w:r w:rsidR="00EC61F2" w:rsidRPr="00D5464D">
        <w:rPr>
          <w:rFonts w:eastAsia="Batang" w:cs="Times"/>
          <w:i/>
          <w:szCs w:val="24"/>
          <w:lang w:val="pt-BR" w:eastAsia="es-ES"/>
        </w:rPr>
        <w:t xml:space="preserve"> supra</w:t>
      </w:r>
      <w:r w:rsidR="000A52D5" w:rsidRPr="00D5464D">
        <w:rPr>
          <w:rFonts w:eastAsia="Batang" w:cs="Times"/>
          <w:szCs w:val="24"/>
          <w:lang w:val="pt-BR" w:eastAsia="es-ES"/>
        </w:rPr>
        <w:t>).</w:t>
      </w:r>
      <w:r w:rsidR="002C330E" w:rsidRPr="00D5464D">
        <w:rPr>
          <w:rFonts w:eastAsia="Batang" w:cs="Times"/>
          <w:b/>
          <w:szCs w:val="24"/>
          <w:lang w:val="pt-BR" w:eastAsia="es-ES"/>
        </w:rPr>
        <w:t xml:space="preserve"> </w:t>
      </w:r>
      <w:r w:rsidR="004B0B89" w:rsidRPr="00D5464D">
        <w:rPr>
          <w:rFonts w:eastAsia="Batang" w:cs="Times"/>
          <w:szCs w:val="24"/>
          <w:lang w:val="pt-BR" w:eastAsia="es-ES"/>
        </w:rPr>
        <w:t xml:space="preserve">Isso </w:t>
      </w:r>
      <w:r w:rsidR="000A52D5" w:rsidRPr="00D5464D">
        <w:rPr>
          <w:rFonts w:eastAsia="Batang" w:cs="Times"/>
          <w:szCs w:val="24"/>
          <w:lang w:val="pt-BR" w:eastAsia="es-ES"/>
        </w:rPr>
        <w:t xml:space="preserve">porque </w:t>
      </w:r>
      <w:r w:rsidR="00EC61F2" w:rsidRPr="00D5464D">
        <w:rPr>
          <w:rFonts w:eastAsia="Batang" w:cs="Times"/>
          <w:szCs w:val="24"/>
          <w:lang w:val="pt-BR" w:eastAsia="es-ES"/>
        </w:rPr>
        <w:t xml:space="preserve">não </w:t>
      </w:r>
      <w:r w:rsidR="00E765C2" w:rsidRPr="00D5464D">
        <w:rPr>
          <w:rFonts w:eastAsia="Batang" w:cs="Times"/>
          <w:szCs w:val="24"/>
          <w:lang w:val="pt-BR" w:eastAsia="es-ES"/>
        </w:rPr>
        <w:t>espec</w:t>
      </w:r>
      <w:r w:rsidR="00EC61F2" w:rsidRPr="00D5464D">
        <w:rPr>
          <w:rFonts w:eastAsia="Batang" w:cs="Times"/>
          <w:szCs w:val="24"/>
          <w:lang w:val="pt-BR" w:eastAsia="es-ES"/>
        </w:rPr>
        <w:t>i</w:t>
      </w:r>
      <w:r w:rsidR="00E765C2" w:rsidRPr="00D5464D">
        <w:rPr>
          <w:rFonts w:eastAsia="Batang" w:cs="Times"/>
          <w:szCs w:val="24"/>
          <w:lang w:val="pt-BR" w:eastAsia="es-ES"/>
        </w:rPr>
        <w:t>fico</w:t>
      </w:r>
      <w:r w:rsidR="00C91CB1" w:rsidRPr="00D5464D">
        <w:rPr>
          <w:rFonts w:eastAsia="Batang" w:cs="Times"/>
          <w:szCs w:val="24"/>
          <w:lang w:val="pt-BR" w:eastAsia="es-ES"/>
        </w:rPr>
        <w:t>u</w:t>
      </w:r>
      <w:r w:rsidR="00EC61F2" w:rsidRPr="00D5464D">
        <w:rPr>
          <w:rFonts w:eastAsia="Batang" w:cs="Times"/>
          <w:szCs w:val="24"/>
          <w:lang w:val="pt-BR" w:eastAsia="es-ES"/>
        </w:rPr>
        <w:t xml:space="preserve"> </w:t>
      </w:r>
      <w:r w:rsidR="002C330E" w:rsidRPr="00D5464D">
        <w:rPr>
          <w:rFonts w:eastAsia="Batang" w:cs="Times"/>
          <w:szCs w:val="24"/>
          <w:lang w:val="pt-BR" w:eastAsia="es-ES"/>
        </w:rPr>
        <w:t xml:space="preserve">os </w:t>
      </w:r>
      <w:r w:rsidR="000A52D5" w:rsidRPr="00D5464D">
        <w:rPr>
          <w:rFonts w:eastAsia="Batang" w:cs="Times"/>
          <w:szCs w:val="24"/>
          <w:lang w:val="pt-BR" w:eastAsia="es-ES"/>
        </w:rPr>
        <w:t xml:space="preserve">recursos internos </w:t>
      </w:r>
      <w:r w:rsidR="002C330E" w:rsidRPr="00D5464D">
        <w:rPr>
          <w:rFonts w:eastAsia="Batang" w:cs="Times"/>
          <w:szCs w:val="24"/>
          <w:lang w:val="pt-BR" w:eastAsia="es-ES"/>
        </w:rPr>
        <w:t>pendente</w:t>
      </w:r>
      <w:r w:rsidR="000A52D5" w:rsidRPr="00D5464D">
        <w:rPr>
          <w:rFonts w:eastAsia="Batang" w:cs="Times"/>
          <w:szCs w:val="24"/>
          <w:lang w:val="pt-BR" w:eastAsia="es-ES"/>
        </w:rPr>
        <w:t xml:space="preserve">s de </w:t>
      </w:r>
      <w:r w:rsidRPr="00D5464D">
        <w:rPr>
          <w:rFonts w:eastAsia="Batang" w:cs="Times"/>
          <w:szCs w:val="24"/>
          <w:lang w:val="pt-BR" w:eastAsia="es-ES"/>
        </w:rPr>
        <w:t>esgotamento</w:t>
      </w:r>
      <w:r w:rsidR="000A52D5" w:rsidRPr="00D5464D">
        <w:rPr>
          <w:rFonts w:eastAsia="Batang" w:cs="Times"/>
          <w:szCs w:val="24"/>
          <w:lang w:val="pt-BR" w:eastAsia="es-ES"/>
        </w:rPr>
        <w:t xml:space="preserve"> o</w:t>
      </w:r>
      <w:r w:rsidR="00EC61F2" w:rsidRPr="00D5464D">
        <w:rPr>
          <w:rFonts w:eastAsia="Batang" w:cs="Times"/>
          <w:szCs w:val="24"/>
          <w:lang w:val="pt-BR" w:eastAsia="es-ES"/>
        </w:rPr>
        <w:t>u</w:t>
      </w:r>
      <w:r w:rsidR="000A52D5" w:rsidRPr="00D5464D">
        <w:rPr>
          <w:rFonts w:eastAsia="Batang" w:cs="Times"/>
          <w:szCs w:val="24"/>
          <w:lang w:val="pt-BR" w:eastAsia="es-ES"/>
        </w:rPr>
        <w:t xml:space="preserve"> que </w:t>
      </w:r>
      <w:r w:rsidRPr="00D5464D">
        <w:rPr>
          <w:rFonts w:eastAsia="Batang" w:cs="Times"/>
          <w:szCs w:val="24"/>
          <w:lang w:val="pt-BR" w:eastAsia="es-ES"/>
        </w:rPr>
        <w:t xml:space="preserve">estavam em </w:t>
      </w:r>
      <w:r w:rsidR="000A52D5" w:rsidRPr="00D5464D">
        <w:rPr>
          <w:rFonts w:eastAsia="Batang" w:cs="Times"/>
          <w:szCs w:val="24"/>
          <w:lang w:val="pt-BR" w:eastAsia="es-ES"/>
        </w:rPr>
        <w:t>curso,</w:t>
      </w:r>
      <w:r w:rsidR="002C330E" w:rsidRPr="00D5464D">
        <w:rPr>
          <w:rFonts w:eastAsia="Batang" w:cs="Times"/>
          <w:szCs w:val="24"/>
          <w:lang w:val="pt-BR" w:eastAsia="es-ES"/>
        </w:rPr>
        <w:t xml:space="preserve"> nem </w:t>
      </w:r>
      <w:r w:rsidR="00350187" w:rsidRPr="00D5464D">
        <w:rPr>
          <w:rFonts w:eastAsia="Batang" w:cs="Times"/>
          <w:szCs w:val="24"/>
          <w:lang w:val="pt-BR" w:eastAsia="es-ES"/>
        </w:rPr>
        <w:t>expôs</w:t>
      </w:r>
      <w:r w:rsidR="002C330E" w:rsidRPr="00D5464D">
        <w:rPr>
          <w:rFonts w:eastAsia="Batang" w:cs="Times"/>
          <w:szCs w:val="24"/>
          <w:lang w:val="pt-BR" w:eastAsia="es-ES"/>
        </w:rPr>
        <w:t xml:space="preserve"> as razões pelas </w:t>
      </w:r>
      <w:r w:rsidR="00C35476" w:rsidRPr="00D5464D">
        <w:rPr>
          <w:rFonts w:eastAsia="Batang" w:cs="Times"/>
          <w:szCs w:val="24"/>
          <w:lang w:val="pt-BR" w:eastAsia="es-ES"/>
        </w:rPr>
        <w:t>quais</w:t>
      </w:r>
      <w:r w:rsidR="000A52D5" w:rsidRPr="00D5464D">
        <w:rPr>
          <w:rFonts w:eastAsia="Batang" w:cs="Times"/>
          <w:szCs w:val="24"/>
          <w:lang w:val="pt-BR" w:eastAsia="es-ES"/>
        </w:rPr>
        <w:t xml:space="preserve"> </w:t>
      </w:r>
      <w:r w:rsidRPr="00D5464D">
        <w:rPr>
          <w:rFonts w:eastAsia="Batang" w:cs="Times"/>
          <w:szCs w:val="24"/>
          <w:lang w:val="pt-BR" w:eastAsia="es-ES"/>
        </w:rPr>
        <w:t>considerava</w:t>
      </w:r>
      <w:r w:rsidR="000A52D5" w:rsidRPr="00D5464D">
        <w:rPr>
          <w:rFonts w:eastAsia="Batang" w:cs="Times"/>
          <w:szCs w:val="24"/>
          <w:lang w:val="pt-BR" w:eastAsia="es-ES"/>
        </w:rPr>
        <w:t xml:space="preserve"> que</w:t>
      </w:r>
      <w:r w:rsidRPr="00D5464D">
        <w:rPr>
          <w:rFonts w:eastAsia="Batang" w:cs="Times"/>
          <w:szCs w:val="24"/>
          <w:lang w:val="pt-BR" w:eastAsia="es-ES"/>
        </w:rPr>
        <w:t xml:space="preserve"> eram </w:t>
      </w:r>
      <w:r w:rsidR="000A52D5" w:rsidRPr="00D5464D">
        <w:rPr>
          <w:rFonts w:eastAsia="Batang" w:cs="Times"/>
          <w:szCs w:val="24"/>
          <w:lang w:val="pt-BR" w:eastAsia="es-ES"/>
        </w:rPr>
        <w:t>procedentes</w:t>
      </w:r>
      <w:r w:rsidR="00E045D9" w:rsidRPr="00D5464D">
        <w:rPr>
          <w:rFonts w:eastAsia="Batang" w:cs="Times"/>
          <w:szCs w:val="24"/>
          <w:lang w:val="pt-BR" w:eastAsia="es-ES"/>
        </w:rPr>
        <w:t xml:space="preserve"> e </w:t>
      </w:r>
      <w:r w:rsidRPr="00D5464D">
        <w:rPr>
          <w:rFonts w:eastAsia="Batang" w:cs="Times"/>
          <w:szCs w:val="24"/>
          <w:lang w:val="pt-BR" w:eastAsia="es-ES"/>
        </w:rPr>
        <w:t>efetiv</w:t>
      </w:r>
      <w:r w:rsidR="000A52D5" w:rsidRPr="00D5464D">
        <w:rPr>
          <w:rFonts w:eastAsia="Batang" w:cs="Times"/>
          <w:szCs w:val="24"/>
          <w:lang w:val="pt-BR" w:eastAsia="es-ES"/>
        </w:rPr>
        <w:t xml:space="preserve">os. </w:t>
      </w:r>
      <w:r w:rsidR="00230C71" w:rsidRPr="00D5464D">
        <w:rPr>
          <w:rFonts w:eastAsia="Batang" w:cs="Times"/>
          <w:szCs w:val="24"/>
          <w:lang w:val="pt-BR" w:eastAsia="es-ES"/>
        </w:rPr>
        <w:t>Portanto,</w:t>
      </w:r>
      <w:r w:rsidR="002C330E" w:rsidRPr="00D5464D">
        <w:rPr>
          <w:rFonts w:eastAsia="Batang" w:cs="Times"/>
          <w:szCs w:val="24"/>
          <w:lang w:val="pt-BR" w:eastAsia="es-ES"/>
        </w:rPr>
        <w:t xml:space="preserve"> a </w:t>
      </w:r>
      <w:r w:rsidR="000A52D5" w:rsidRPr="00D5464D">
        <w:rPr>
          <w:rFonts w:eastAsia="Batang" w:cs="Times"/>
          <w:szCs w:val="24"/>
          <w:lang w:val="pt-BR" w:eastAsia="es-ES"/>
        </w:rPr>
        <w:t>Corte considera improcedente</w:t>
      </w:r>
      <w:r w:rsidR="002C330E" w:rsidRPr="00D5464D">
        <w:rPr>
          <w:rFonts w:eastAsia="Batang" w:cs="Times"/>
          <w:szCs w:val="24"/>
          <w:lang w:val="pt-BR" w:eastAsia="es-ES"/>
        </w:rPr>
        <w:t xml:space="preserve"> a </w:t>
      </w:r>
      <w:r w:rsidRPr="00D5464D">
        <w:rPr>
          <w:rFonts w:eastAsia="Batang" w:cs="Times"/>
          <w:szCs w:val="24"/>
          <w:lang w:val="pt-BR" w:eastAsia="es-ES"/>
        </w:rPr>
        <w:t>exceção</w:t>
      </w:r>
      <w:r w:rsidR="000A52D5" w:rsidRPr="00D5464D">
        <w:rPr>
          <w:rFonts w:eastAsia="Batang" w:cs="Times"/>
          <w:szCs w:val="24"/>
          <w:lang w:val="pt-BR" w:eastAsia="es-ES"/>
        </w:rPr>
        <w:t xml:space="preserve"> preliminar. </w:t>
      </w:r>
    </w:p>
    <w:p w14:paraId="7B0ED521" w14:textId="77777777" w:rsidR="000A52D5" w:rsidRPr="00D5464D" w:rsidRDefault="000A52D5" w:rsidP="00140440">
      <w:pPr>
        <w:tabs>
          <w:tab w:val="clear" w:pos="4419"/>
          <w:tab w:val="clear" w:pos="8838"/>
        </w:tabs>
        <w:jc w:val="both"/>
        <w:rPr>
          <w:rFonts w:eastAsia="Batang" w:cs="Times"/>
          <w:i/>
          <w:szCs w:val="24"/>
          <w:lang w:val="pt-BR" w:eastAsia="es-ES"/>
        </w:rPr>
      </w:pPr>
      <w:r w:rsidRPr="00D5464D">
        <w:rPr>
          <w:rFonts w:eastAsia="Batang" w:cs="Times"/>
          <w:i/>
          <w:szCs w:val="24"/>
          <w:lang w:val="pt-BR" w:eastAsia="es-ES"/>
        </w:rPr>
        <w:t xml:space="preserve"> </w:t>
      </w:r>
    </w:p>
    <w:p w14:paraId="03134AF4" w14:textId="146CC254" w:rsidR="000A52D5" w:rsidRPr="00D5464D" w:rsidRDefault="000A52D5" w:rsidP="00F306D7">
      <w:pPr>
        <w:pStyle w:val="Ttulo2"/>
        <w:numPr>
          <w:ilvl w:val="0"/>
          <w:numId w:val="15"/>
        </w:numPr>
        <w:rPr>
          <w:rFonts w:eastAsia="Batang"/>
          <w:lang w:val="pt-BR" w:eastAsia="es-ES"/>
        </w:rPr>
      </w:pPr>
      <w:bookmarkStart w:id="162" w:name="_Toc468433875"/>
      <w:r w:rsidRPr="00D5464D">
        <w:rPr>
          <w:rFonts w:eastAsia="Batang"/>
          <w:lang w:val="pt-BR" w:eastAsia="es-ES"/>
        </w:rPr>
        <w:t xml:space="preserve">Alegada </w:t>
      </w:r>
      <w:r w:rsidR="002C330E" w:rsidRPr="00D5464D">
        <w:rPr>
          <w:rFonts w:eastAsia="Batang"/>
          <w:lang w:val="pt-BR" w:eastAsia="es-ES"/>
        </w:rPr>
        <w:t>prescrição</w:t>
      </w:r>
      <w:r w:rsidR="00470ADC" w:rsidRPr="00D5464D">
        <w:rPr>
          <w:rFonts w:eastAsia="Batang"/>
          <w:lang w:val="pt-BR" w:eastAsia="es-ES"/>
        </w:rPr>
        <w:t xml:space="preserve"> </w:t>
      </w:r>
      <w:r w:rsidR="00020A06" w:rsidRPr="00D5464D">
        <w:rPr>
          <w:rFonts w:eastAsia="Batang"/>
          <w:lang w:val="pt-BR" w:eastAsia="es-ES"/>
        </w:rPr>
        <w:t xml:space="preserve">do pedido de </w:t>
      </w:r>
      <w:r w:rsidRPr="00D5464D">
        <w:rPr>
          <w:rFonts w:eastAsia="Batang"/>
          <w:lang w:val="pt-BR" w:eastAsia="es-ES"/>
        </w:rPr>
        <w:t>repara</w:t>
      </w:r>
      <w:r w:rsidR="00470ADC" w:rsidRPr="00D5464D">
        <w:rPr>
          <w:rFonts w:eastAsia="Batang"/>
          <w:lang w:val="pt-BR" w:eastAsia="es-ES"/>
        </w:rPr>
        <w:t>ção</w:t>
      </w:r>
      <w:r w:rsidRPr="00D5464D">
        <w:rPr>
          <w:rFonts w:eastAsia="Batang"/>
          <w:lang w:val="pt-BR" w:eastAsia="es-ES"/>
        </w:rPr>
        <w:t xml:space="preserve"> </w:t>
      </w:r>
      <w:r w:rsidR="00020A06" w:rsidRPr="00D5464D">
        <w:rPr>
          <w:rFonts w:eastAsia="Batang"/>
          <w:lang w:val="pt-BR" w:eastAsia="es-ES"/>
        </w:rPr>
        <w:t>por</w:t>
      </w:r>
      <w:r w:rsidRPr="00D5464D">
        <w:rPr>
          <w:rFonts w:eastAsia="Batang"/>
          <w:lang w:val="pt-BR" w:eastAsia="es-ES"/>
        </w:rPr>
        <w:t xml:space="preserve"> d</w:t>
      </w:r>
      <w:r w:rsidR="00470ADC" w:rsidRPr="00D5464D">
        <w:rPr>
          <w:rFonts w:eastAsia="Batang"/>
          <w:lang w:val="pt-BR" w:eastAsia="es-ES"/>
        </w:rPr>
        <w:t>anos</w:t>
      </w:r>
      <w:r w:rsidRPr="00D5464D">
        <w:rPr>
          <w:rFonts w:eastAsia="Batang"/>
          <w:lang w:val="pt-BR" w:eastAsia="es-ES"/>
        </w:rPr>
        <w:t xml:space="preserve"> </w:t>
      </w:r>
      <w:r w:rsidR="00A1358C" w:rsidRPr="00D5464D">
        <w:rPr>
          <w:rFonts w:eastAsia="Batang"/>
          <w:lang w:val="pt-BR" w:eastAsia="es-ES"/>
        </w:rPr>
        <w:t>morais</w:t>
      </w:r>
      <w:r w:rsidR="00E045D9" w:rsidRPr="00D5464D">
        <w:rPr>
          <w:rFonts w:eastAsia="Batang"/>
          <w:lang w:val="pt-BR" w:eastAsia="es-ES"/>
        </w:rPr>
        <w:t xml:space="preserve"> e </w:t>
      </w:r>
      <w:r w:rsidR="00737270" w:rsidRPr="00D5464D">
        <w:rPr>
          <w:rFonts w:eastAsia="Batang"/>
          <w:lang w:val="pt-BR" w:eastAsia="es-ES"/>
        </w:rPr>
        <w:t>materiais</w:t>
      </w:r>
      <w:r w:rsidR="00020A06" w:rsidRPr="00D5464D">
        <w:rPr>
          <w:rFonts w:eastAsia="Batang"/>
          <w:lang w:val="pt-BR" w:eastAsia="es-ES"/>
        </w:rPr>
        <w:t xml:space="preserve"> apresentado perante a Comissão</w:t>
      </w:r>
      <w:bookmarkEnd w:id="162"/>
    </w:p>
    <w:p w14:paraId="162F1EC7" w14:textId="77777777" w:rsidR="000A52D5" w:rsidRPr="00D5464D" w:rsidRDefault="000A52D5" w:rsidP="00140440">
      <w:pPr>
        <w:tabs>
          <w:tab w:val="clear" w:pos="4419"/>
          <w:tab w:val="clear" w:pos="8838"/>
        </w:tabs>
        <w:jc w:val="both"/>
        <w:rPr>
          <w:rFonts w:eastAsia="Batang" w:cs="Times"/>
          <w:b/>
          <w:szCs w:val="24"/>
          <w:lang w:val="pt-BR" w:eastAsia="es-ES"/>
        </w:rPr>
      </w:pPr>
    </w:p>
    <w:p w14:paraId="28BC6B40" w14:textId="70D2E302" w:rsidR="000A52D5" w:rsidRPr="00D5464D" w:rsidRDefault="004D310D" w:rsidP="000A20C1">
      <w:pPr>
        <w:pStyle w:val="Ttulo3"/>
        <w:rPr>
          <w:lang w:val="pt-BR" w:eastAsia="es-ES"/>
        </w:rPr>
      </w:pPr>
      <w:bookmarkStart w:id="163" w:name="_Toc460432988"/>
      <w:bookmarkStart w:id="164" w:name="_Toc460441919"/>
      <w:bookmarkStart w:id="165" w:name="_Toc462750739"/>
      <w:bookmarkStart w:id="166" w:name="_Toc462751063"/>
      <w:bookmarkStart w:id="167" w:name="_Toc464813915"/>
      <w:bookmarkStart w:id="168" w:name="_Toc468433876"/>
      <w:r w:rsidRPr="00D5464D">
        <w:rPr>
          <w:lang w:val="pt-BR" w:eastAsia="es-ES"/>
        </w:rPr>
        <w:t>I</w:t>
      </w:r>
      <w:r w:rsidR="000A52D5" w:rsidRPr="00D5464D">
        <w:rPr>
          <w:lang w:val="pt-BR" w:eastAsia="es-ES"/>
        </w:rPr>
        <w:t xml:space="preserve">.1. </w:t>
      </w:r>
      <w:r w:rsidR="00470ADC" w:rsidRPr="00D5464D">
        <w:rPr>
          <w:lang w:val="pt-BR" w:eastAsia="es-ES"/>
        </w:rPr>
        <w:t>Alegações</w:t>
      </w:r>
      <w:r w:rsidR="00246E8D" w:rsidRPr="00D5464D">
        <w:rPr>
          <w:lang w:val="pt-BR" w:eastAsia="es-ES"/>
        </w:rPr>
        <w:t xml:space="preserve"> </w:t>
      </w:r>
      <w:r w:rsidR="00470ADC" w:rsidRPr="00D5464D">
        <w:rPr>
          <w:lang w:val="pt-BR" w:eastAsia="es-ES"/>
        </w:rPr>
        <w:t xml:space="preserve">do </w:t>
      </w:r>
      <w:r w:rsidR="00246E8D" w:rsidRPr="00D5464D">
        <w:rPr>
          <w:lang w:val="pt-BR" w:eastAsia="es-ES"/>
        </w:rPr>
        <w:t>Estado,</w:t>
      </w:r>
      <w:r w:rsidR="000A52D5" w:rsidRPr="00D5464D">
        <w:rPr>
          <w:lang w:val="pt-BR" w:eastAsia="es-ES"/>
        </w:rPr>
        <w:t xml:space="preserve"> observa</w:t>
      </w:r>
      <w:r w:rsidR="00470ADC" w:rsidRPr="00D5464D">
        <w:rPr>
          <w:lang w:val="pt-BR" w:eastAsia="es-ES"/>
        </w:rPr>
        <w:t>ções da Comissão</w:t>
      </w:r>
      <w:r w:rsidR="00E045D9" w:rsidRPr="00D5464D">
        <w:rPr>
          <w:lang w:val="pt-BR" w:eastAsia="es-ES"/>
        </w:rPr>
        <w:t xml:space="preserve"> e </w:t>
      </w:r>
      <w:r w:rsidR="00470ADC" w:rsidRPr="00D5464D">
        <w:rPr>
          <w:lang w:val="pt-BR" w:eastAsia="es-ES"/>
        </w:rPr>
        <w:t xml:space="preserve">dos </w:t>
      </w:r>
      <w:r w:rsidR="00EB1CE9" w:rsidRPr="00D5464D">
        <w:rPr>
          <w:lang w:val="pt-BR" w:eastAsia="es-ES"/>
        </w:rPr>
        <w:t>representante</w:t>
      </w:r>
      <w:r w:rsidR="000A52D5" w:rsidRPr="00D5464D">
        <w:rPr>
          <w:lang w:val="pt-BR" w:eastAsia="es-ES"/>
        </w:rPr>
        <w:t>s</w:t>
      </w:r>
      <w:bookmarkEnd w:id="163"/>
      <w:bookmarkEnd w:id="164"/>
      <w:bookmarkEnd w:id="165"/>
      <w:bookmarkEnd w:id="166"/>
      <w:bookmarkEnd w:id="167"/>
      <w:bookmarkEnd w:id="168"/>
    </w:p>
    <w:p w14:paraId="35A51234" w14:textId="77777777" w:rsidR="00D65024" w:rsidRPr="00D5464D" w:rsidRDefault="00D65024" w:rsidP="00D65024">
      <w:pPr>
        <w:tabs>
          <w:tab w:val="clear" w:pos="4419"/>
          <w:tab w:val="clear" w:pos="8838"/>
        </w:tabs>
        <w:jc w:val="both"/>
        <w:rPr>
          <w:rFonts w:eastAsia="Batang" w:cs="Times"/>
          <w:szCs w:val="24"/>
          <w:lang w:val="pt-BR" w:eastAsia="es-ES"/>
        </w:rPr>
      </w:pPr>
    </w:p>
    <w:p w14:paraId="2DD62E9D" w14:textId="20794AC6" w:rsidR="000A52D5" w:rsidRPr="00D5464D" w:rsidRDefault="00470AD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O </w:t>
      </w:r>
      <w:r w:rsidR="000A52D5" w:rsidRPr="00D5464D">
        <w:rPr>
          <w:rFonts w:eastAsia="Batang" w:cs="Times"/>
          <w:b/>
          <w:i/>
          <w:szCs w:val="24"/>
          <w:lang w:val="pt-BR" w:eastAsia="es-ES"/>
        </w:rPr>
        <w:t>Estado</w:t>
      </w:r>
      <w:r w:rsidR="000A52D5" w:rsidRPr="00D5464D">
        <w:rPr>
          <w:rFonts w:eastAsia="Batang" w:cs="Times"/>
          <w:szCs w:val="24"/>
          <w:lang w:val="pt-BR" w:eastAsia="es-ES"/>
        </w:rPr>
        <w:t xml:space="preserve"> </w:t>
      </w:r>
      <w:r w:rsidRPr="00D5464D">
        <w:rPr>
          <w:rFonts w:eastAsia="Batang" w:cs="Times"/>
          <w:szCs w:val="24"/>
          <w:lang w:val="pt-BR" w:eastAsia="es-ES"/>
        </w:rPr>
        <w:t>argumentou</w:t>
      </w:r>
      <w:r w:rsidR="000A52D5" w:rsidRPr="00D5464D">
        <w:rPr>
          <w:rFonts w:eastAsia="Batang" w:cs="Times"/>
          <w:szCs w:val="24"/>
          <w:lang w:val="pt-BR" w:eastAsia="es-ES"/>
        </w:rPr>
        <w:t xml:space="preserve"> que</w:t>
      </w:r>
      <w:r w:rsidR="00E045D9" w:rsidRPr="00D5464D">
        <w:rPr>
          <w:rFonts w:eastAsia="Batang" w:cs="Times"/>
          <w:szCs w:val="24"/>
          <w:lang w:val="pt-BR" w:eastAsia="es-ES"/>
        </w:rPr>
        <w:t xml:space="preserve"> </w:t>
      </w:r>
      <w:r w:rsidR="000A52D5" w:rsidRPr="00D5464D">
        <w:rPr>
          <w:rFonts w:eastAsia="Batang" w:cs="Times"/>
          <w:szCs w:val="24"/>
          <w:lang w:val="pt-BR" w:eastAsia="es-ES"/>
        </w:rPr>
        <w:t xml:space="preserve">caso </w:t>
      </w:r>
      <w:r w:rsidR="002C330E" w:rsidRPr="00D5464D">
        <w:rPr>
          <w:rFonts w:eastAsia="Batang" w:cs="Times"/>
          <w:szCs w:val="24"/>
          <w:lang w:val="pt-BR" w:eastAsia="es-ES"/>
        </w:rPr>
        <w:t xml:space="preserve">a </w:t>
      </w:r>
      <w:r w:rsidR="000A52D5" w:rsidRPr="00D5464D">
        <w:rPr>
          <w:rFonts w:eastAsia="Batang" w:cs="Times"/>
          <w:szCs w:val="24"/>
          <w:lang w:val="pt-BR" w:eastAsia="es-ES"/>
        </w:rPr>
        <w:t xml:space="preserve">Corte considere que </w:t>
      </w:r>
      <w:r w:rsidR="00C35476" w:rsidRPr="00D5464D">
        <w:rPr>
          <w:rFonts w:eastAsia="Batang" w:cs="Times"/>
          <w:szCs w:val="24"/>
          <w:lang w:val="pt-BR" w:eastAsia="es-ES"/>
        </w:rPr>
        <w:t xml:space="preserve">o </w:t>
      </w:r>
      <w:r w:rsidR="000A52D5" w:rsidRPr="00D5464D">
        <w:rPr>
          <w:rFonts w:eastAsia="Batang" w:cs="Times"/>
          <w:szCs w:val="24"/>
          <w:lang w:val="pt-BR" w:eastAsia="es-ES"/>
        </w:rPr>
        <w:t>Brasil</w:t>
      </w:r>
      <w:r w:rsidR="00350187" w:rsidRPr="00D5464D">
        <w:rPr>
          <w:rFonts w:eastAsia="Batang" w:cs="Times"/>
          <w:szCs w:val="24"/>
          <w:lang w:val="pt-BR" w:eastAsia="es-ES"/>
        </w:rPr>
        <w:t xml:space="preserve"> não conta</w:t>
      </w:r>
      <w:r w:rsidRPr="00D5464D">
        <w:rPr>
          <w:rFonts w:eastAsia="Batang" w:cs="Times"/>
          <w:szCs w:val="24"/>
          <w:lang w:val="pt-BR" w:eastAsia="es-ES"/>
        </w:rPr>
        <w:t xml:space="preserve"> com </w:t>
      </w:r>
      <w:r w:rsidR="000A52D5" w:rsidRPr="00D5464D">
        <w:rPr>
          <w:rFonts w:eastAsia="Batang" w:cs="Times"/>
          <w:szCs w:val="24"/>
          <w:lang w:val="pt-BR" w:eastAsia="es-ES"/>
        </w:rPr>
        <w:t xml:space="preserve">recursos internos </w:t>
      </w:r>
      <w:r w:rsidRPr="00D5464D">
        <w:rPr>
          <w:rFonts w:eastAsia="Batang" w:cs="Times"/>
          <w:szCs w:val="24"/>
          <w:lang w:val="pt-BR" w:eastAsia="es-ES"/>
        </w:rPr>
        <w:t>adequad</w:t>
      </w:r>
      <w:r w:rsidR="000A52D5" w:rsidRPr="00D5464D">
        <w:rPr>
          <w:rFonts w:eastAsia="Batang" w:cs="Times"/>
          <w:szCs w:val="24"/>
          <w:lang w:val="pt-BR" w:eastAsia="es-ES"/>
        </w:rPr>
        <w:t>os para promover</w:t>
      </w:r>
      <w:r w:rsidR="002C330E" w:rsidRPr="00D5464D">
        <w:rPr>
          <w:rFonts w:eastAsia="Batang" w:cs="Times"/>
          <w:szCs w:val="24"/>
          <w:lang w:val="pt-BR" w:eastAsia="es-ES"/>
        </w:rPr>
        <w:t xml:space="preserve"> a </w:t>
      </w:r>
      <w:r w:rsidR="000A52D5" w:rsidRPr="00D5464D">
        <w:rPr>
          <w:rFonts w:eastAsia="Batang" w:cs="Times"/>
          <w:szCs w:val="24"/>
          <w:lang w:val="pt-BR" w:eastAsia="es-ES"/>
        </w:rPr>
        <w:t>repara</w:t>
      </w:r>
      <w:r w:rsidRPr="00D5464D">
        <w:rPr>
          <w:rFonts w:eastAsia="Batang" w:cs="Times"/>
          <w:szCs w:val="24"/>
          <w:lang w:val="pt-BR" w:eastAsia="es-ES"/>
        </w:rPr>
        <w:t>ção</w:t>
      </w:r>
      <w:r w:rsidR="000A52D5" w:rsidRPr="00D5464D">
        <w:rPr>
          <w:rFonts w:eastAsia="Batang" w:cs="Times"/>
          <w:szCs w:val="24"/>
          <w:lang w:val="pt-BR" w:eastAsia="es-ES"/>
        </w:rPr>
        <w:t xml:space="preserve"> de d</w:t>
      </w:r>
      <w:r w:rsidRPr="00D5464D">
        <w:rPr>
          <w:rFonts w:eastAsia="Batang" w:cs="Times"/>
          <w:szCs w:val="24"/>
          <w:lang w:val="pt-BR" w:eastAsia="es-ES"/>
        </w:rPr>
        <w:t>anos</w:t>
      </w:r>
      <w:r w:rsidR="000A52D5" w:rsidRPr="00D5464D">
        <w:rPr>
          <w:rFonts w:eastAsia="Batang" w:cs="Times"/>
          <w:szCs w:val="24"/>
          <w:lang w:val="pt-BR" w:eastAsia="es-ES"/>
        </w:rPr>
        <w:t xml:space="preserve"> </w:t>
      </w:r>
      <w:r w:rsidR="00A1358C" w:rsidRPr="00D5464D">
        <w:rPr>
          <w:rFonts w:eastAsia="Batang" w:cs="Times"/>
          <w:szCs w:val="24"/>
          <w:lang w:val="pt-BR" w:eastAsia="es-ES"/>
        </w:rPr>
        <w:t>morais</w:t>
      </w:r>
      <w:r w:rsidR="00E045D9" w:rsidRPr="00D5464D">
        <w:rPr>
          <w:rFonts w:eastAsia="Batang" w:cs="Times"/>
          <w:szCs w:val="24"/>
          <w:lang w:val="pt-BR" w:eastAsia="es-ES"/>
        </w:rPr>
        <w:t xml:space="preserve"> e </w:t>
      </w:r>
      <w:r w:rsidR="00737270" w:rsidRPr="00D5464D">
        <w:rPr>
          <w:rFonts w:eastAsia="Batang" w:cs="Times"/>
          <w:szCs w:val="24"/>
          <w:lang w:val="pt-BR" w:eastAsia="es-ES"/>
        </w:rPr>
        <w:t>materiais</w:t>
      </w:r>
      <w:r w:rsidR="000A52D5" w:rsidRPr="00D5464D">
        <w:rPr>
          <w:rFonts w:eastAsia="Batang" w:cs="Times"/>
          <w:szCs w:val="24"/>
          <w:lang w:val="pt-BR" w:eastAsia="es-ES"/>
        </w:rPr>
        <w:t xml:space="preserve">, será </w:t>
      </w:r>
      <w:r w:rsidR="002C330E" w:rsidRPr="00D5464D">
        <w:rPr>
          <w:rFonts w:eastAsia="Batang" w:cs="Times"/>
          <w:szCs w:val="24"/>
          <w:lang w:val="pt-BR" w:eastAsia="es-ES"/>
        </w:rPr>
        <w:t>necessári</w:t>
      </w:r>
      <w:r w:rsidR="000A52D5" w:rsidRPr="00D5464D">
        <w:rPr>
          <w:rFonts w:eastAsia="Batang" w:cs="Times"/>
          <w:szCs w:val="24"/>
          <w:lang w:val="pt-BR" w:eastAsia="es-ES"/>
        </w:rPr>
        <w:t>o que re</w:t>
      </w:r>
      <w:r w:rsidRPr="00D5464D">
        <w:rPr>
          <w:rFonts w:eastAsia="Batang" w:cs="Times"/>
          <w:szCs w:val="24"/>
          <w:lang w:val="pt-BR" w:eastAsia="es-ES"/>
        </w:rPr>
        <w:t>conheça</w:t>
      </w:r>
      <w:r w:rsidR="002C330E" w:rsidRPr="00D5464D">
        <w:rPr>
          <w:rFonts w:eastAsia="Batang" w:cs="Times"/>
          <w:szCs w:val="24"/>
          <w:lang w:val="pt-BR" w:eastAsia="es-ES"/>
        </w:rPr>
        <w:t xml:space="preserve"> a prescrição</w:t>
      </w:r>
      <w:r w:rsidR="000A52D5" w:rsidRPr="00D5464D">
        <w:rPr>
          <w:rFonts w:eastAsia="Batang" w:cs="Times"/>
          <w:szCs w:val="24"/>
          <w:lang w:val="pt-BR" w:eastAsia="es-ES"/>
        </w:rPr>
        <w:t xml:space="preserve"> </w:t>
      </w:r>
      <w:r w:rsidR="00E045D9" w:rsidRPr="00D5464D">
        <w:rPr>
          <w:rFonts w:eastAsia="Batang" w:cs="Times"/>
          <w:szCs w:val="24"/>
          <w:lang w:val="pt-BR" w:eastAsia="es-ES"/>
        </w:rPr>
        <w:t>dessa</w:t>
      </w:r>
      <w:r w:rsidRPr="00D5464D">
        <w:rPr>
          <w:rFonts w:eastAsia="Batang" w:cs="Times"/>
          <w:szCs w:val="24"/>
          <w:lang w:val="pt-BR" w:eastAsia="es-ES"/>
        </w:rPr>
        <w:t xml:space="preserve">s </w:t>
      </w:r>
      <w:r w:rsidR="002C330E" w:rsidRPr="00D5464D">
        <w:rPr>
          <w:rFonts w:eastAsia="Batang" w:cs="Times"/>
          <w:szCs w:val="24"/>
          <w:lang w:val="pt-BR" w:eastAsia="es-ES"/>
        </w:rPr>
        <w:t>pretensões</w:t>
      </w:r>
      <w:r w:rsidR="000A52D5" w:rsidRPr="00D5464D">
        <w:rPr>
          <w:rFonts w:eastAsia="Batang" w:cs="Times"/>
          <w:szCs w:val="24"/>
          <w:lang w:val="pt-BR" w:eastAsia="es-ES"/>
        </w:rPr>
        <w:t xml:space="preserve"> </w:t>
      </w:r>
      <w:r w:rsidR="002C330E" w:rsidRPr="00D5464D">
        <w:rPr>
          <w:rFonts w:eastAsia="Batang" w:cs="Times"/>
          <w:szCs w:val="24"/>
          <w:lang w:val="pt-BR" w:eastAsia="es-ES"/>
        </w:rPr>
        <w:t>a respeito</w:t>
      </w:r>
      <w:r w:rsidRPr="00D5464D">
        <w:rPr>
          <w:rFonts w:eastAsia="Batang" w:cs="Times"/>
          <w:szCs w:val="24"/>
          <w:lang w:val="pt-BR" w:eastAsia="es-ES"/>
        </w:rPr>
        <w:t xml:space="preserve"> das </w:t>
      </w:r>
      <w:r w:rsidR="00737270" w:rsidRPr="00D5464D">
        <w:rPr>
          <w:rFonts w:eastAsia="Batang" w:cs="Times"/>
          <w:szCs w:val="24"/>
          <w:lang w:val="pt-BR" w:eastAsia="es-ES"/>
        </w:rPr>
        <w:t>possíveis</w:t>
      </w:r>
      <w:r w:rsidR="002C330E" w:rsidRPr="00D5464D">
        <w:rPr>
          <w:rFonts w:eastAsia="Batang" w:cs="Times"/>
          <w:szCs w:val="24"/>
          <w:lang w:val="pt-BR" w:eastAsia="es-ES"/>
        </w:rPr>
        <w:t xml:space="preserve"> </w:t>
      </w:r>
      <w:r w:rsidR="000A52D5" w:rsidRPr="00D5464D">
        <w:rPr>
          <w:rFonts w:eastAsia="Batang" w:cs="Times"/>
          <w:szCs w:val="24"/>
          <w:lang w:val="pt-BR" w:eastAsia="es-ES"/>
        </w:rPr>
        <w:t>viola</w:t>
      </w:r>
      <w:r w:rsidRPr="00D5464D">
        <w:rPr>
          <w:rFonts w:eastAsia="Batang" w:cs="Times"/>
          <w:szCs w:val="24"/>
          <w:lang w:val="pt-BR" w:eastAsia="es-ES"/>
        </w:rPr>
        <w:t>ções</w:t>
      </w:r>
      <w:r w:rsidR="000A52D5" w:rsidRPr="00D5464D">
        <w:rPr>
          <w:rFonts w:eastAsia="Batang" w:cs="Times"/>
          <w:szCs w:val="24"/>
          <w:lang w:val="pt-BR" w:eastAsia="es-ES"/>
        </w:rPr>
        <w:t xml:space="preserve"> </w:t>
      </w:r>
      <w:r w:rsidR="002C330E" w:rsidRPr="00D5464D">
        <w:rPr>
          <w:rFonts w:eastAsia="Batang" w:cs="Times"/>
          <w:szCs w:val="24"/>
          <w:lang w:val="pt-BR" w:eastAsia="es-ES"/>
        </w:rPr>
        <w:t>ocorrid</w:t>
      </w:r>
      <w:r w:rsidR="000A52D5" w:rsidRPr="00D5464D">
        <w:rPr>
          <w:rFonts w:eastAsia="Batang" w:cs="Times"/>
          <w:szCs w:val="24"/>
          <w:lang w:val="pt-BR" w:eastAsia="es-ES"/>
        </w:rPr>
        <w:t>as</w:t>
      </w:r>
      <w:r w:rsidRPr="00D5464D">
        <w:rPr>
          <w:rFonts w:eastAsia="Batang" w:cs="Times"/>
          <w:szCs w:val="24"/>
          <w:lang w:val="pt-BR" w:eastAsia="es-ES"/>
        </w:rPr>
        <w:t xml:space="preserve"> em </w:t>
      </w:r>
      <w:r w:rsidR="000A52D5" w:rsidRPr="00D5464D">
        <w:rPr>
          <w:rFonts w:eastAsia="Batang" w:cs="Times"/>
          <w:szCs w:val="24"/>
          <w:lang w:val="pt-BR" w:eastAsia="es-ES"/>
        </w:rPr>
        <w:t>1988, 1992, 1996</w:t>
      </w:r>
      <w:r w:rsidR="00E045D9" w:rsidRPr="00D5464D">
        <w:rPr>
          <w:rFonts w:eastAsia="Batang" w:cs="Times"/>
          <w:szCs w:val="24"/>
          <w:lang w:val="pt-BR" w:eastAsia="es-ES"/>
        </w:rPr>
        <w:t xml:space="preserve"> e </w:t>
      </w:r>
      <w:r w:rsidR="000A52D5" w:rsidRPr="00D5464D">
        <w:rPr>
          <w:rFonts w:eastAsia="Batang" w:cs="Times"/>
          <w:szCs w:val="24"/>
          <w:lang w:val="pt-BR" w:eastAsia="es-ES"/>
        </w:rPr>
        <w:t>1997</w:t>
      </w:r>
      <w:r w:rsidR="00A1358C" w:rsidRPr="00D5464D">
        <w:rPr>
          <w:rFonts w:eastAsia="Batang" w:cs="Times"/>
          <w:szCs w:val="24"/>
          <w:lang w:val="pt-BR" w:eastAsia="es-ES"/>
        </w:rPr>
        <w:t xml:space="preserve">. A </w:t>
      </w:r>
      <w:r w:rsidR="002C330E" w:rsidRPr="00D5464D">
        <w:rPr>
          <w:rFonts w:eastAsia="Batang" w:cs="Times"/>
          <w:szCs w:val="24"/>
          <w:lang w:val="pt-BR" w:eastAsia="es-ES"/>
        </w:rPr>
        <w:t>pretensão</w:t>
      </w:r>
      <w:r w:rsidR="000A52D5" w:rsidRPr="00D5464D">
        <w:rPr>
          <w:rFonts w:eastAsia="Batang" w:cs="Times"/>
          <w:szCs w:val="24"/>
          <w:lang w:val="pt-BR" w:eastAsia="es-ES"/>
        </w:rPr>
        <w:t xml:space="preserve"> de repara</w:t>
      </w:r>
      <w:r w:rsidRPr="00D5464D">
        <w:rPr>
          <w:rFonts w:eastAsia="Batang" w:cs="Times"/>
          <w:szCs w:val="24"/>
          <w:lang w:val="pt-BR" w:eastAsia="es-ES"/>
        </w:rPr>
        <w:t>ção</w:t>
      </w:r>
      <w:r w:rsidR="000A52D5" w:rsidRPr="00D5464D">
        <w:rPr>
          <w:rFonts w:eastAsia="Batang" w:cs="Times"/>
          <w:szCs w:val="24"/>
          <w:lang w:val="pt-BR" w:eastAsia="es-ES"/>
        </w:rPr>
        <w:t xml:space="preserve"> por d</w:t>
      </w:r>
      <w:r w:rsidRPr="00D5464D">
        <w:rPr>
          <w:rFonts w:eastAsia="Batang" w:cs="Times"/>
          <w:szCs w:val="24"/>
          <w:lang w:val="pt-BR" w:eastAsia="es-ES"/>
        </w:rPr>
        <w:t>anos</w:t>
      </w:r>
      <w:r w:rsidR="000A52D5" w:rsidRPr="00D5464D">
        <w:rPr>
          <w:rFonts w:eastAsia="Batang" w:cs="Times"/>
          <w:szCs w:val="24"/>
          <w:lang w:val="pt-BR" w:eastAsia="es-ES"/>
        </w:rPr>
        <w:t xml:space="preserve"> </w:t>
      </w:r>
      <w:r w:rsidR="00A1358C" w:rsidRPr="00D5464D">
        <w:rPr>
          <w:rFonts w:eastAsia="Batang" w:cs="Times"/>
          <w:szCs w:val="24"/>
          <w:lang w:val="pt-BR" w:eastAsia="es-ES"/>
        </w:rPr>
        <w:t>morais</w:t>
      </w:r>
      <w:r w:rsidR="00E045D9" w:rsidRPr="00D5464D">
        <w:rPr>
          <w:rFonts w:eastAsia="Batang" w:cs="Times"/>
          <w:szCs w:val="24"/>
          <w:lang w:val="pt-BR" w:eastAsia="es-ES"/>
        </w:rPr>
        <w:t xml:space="preserve"> e </w:t>
      </w:r>
      <w:r w:rsidR="00737270" w:rsidRPr="00D5464D">
        <w:rPr>
          <w:rFonts w:eastAsia="Batang" w:cs="Times"/>
          <w:szCs w:val="24"/>
          <w:lang w:val="pt-BR" w:eastAsia="es-ES"/>
        </w:rPr>
        <w:t>materiais</w:t>
      </w:r>
      <w:r w:rsidR="000A52D5" w:rsidRPr="00D5464D">
        <w:rPr>
          <w:rFonts w:eastAsia="Batang" w:cs="Times"/>
          <w:szCs w:val="24"/>
          <w:lang w:val="pt-BR" w:eastAsia="es-ES"/>
        </w:rPr>
        <w:t xml:space="preserve"> </w:t>
      </w:r>
      <w:r w:rsidR="002C330E" w:rsidRPr="00D5464D">
        <w:rPr>
          <w:rFonts w:eastAsia="Batang" w:cs="Times"/>
          <w:szCs w:val="24"/>
          <w:lang w:val="pt-BR" w:eastAsia="es-ES"/>
        </w:rPr>
        <w:t>a respeito</w:t>
      </w:r>
      <w:r w:rsidR="000A52D5" w:rsidRPr="00D5464D">
        <w:rPr>
          <w:rFonts w:eastAsia="Batang" w:cs="Times"/>
          <w:szCs w:val="24"/>
          <w:lang w:val="pt-BR" w:eastAsia="es-ES"/>
        </w:rPr>
        <w:t xml:space="preserve"> de </w:t>
      </w:r>
      <w:r w:rsidR="002C330E" w:rsidRPr="00D5464D">
        <w:rPr>
          <w:rFonts w:eastAsia="Batang" w:cs="Times"/>
          <w:szCs w:val="24"/>
          <w:lang w:val="pt-BR" w:eastAsia="es-ES"/>
        </w:rPr>
        <w:t>suposta</w:t>
      </w:r>
      <w:r w:rsidR="000A52D5" w:rsidRPr="00D5464D">
        <w:rPr>
          <w:rFonts w:eastAsia="Batang" w:cs="Times"/>
          <w:szCs w:val="24"/>
          <w:lang w:val="pt-BR" w:eastAsia="es-ES"/>
        </w:rPr>
        <w:t>s viola</w:t>
      </w:r>
      <w:r w:rsidRPr="00D5464D">
        <w:rPr>
          <w:rFonts w:eastAsia="Batang" w:cs="Times"/>
          <w:szCs w:val="24"/>
          <w:lang w:val="pt-BR" w:eastAsia="es-ES"/>
        </w:rPr>
        <w:t>ções</w:t>
      </w:r>
      <w:r w:rsidR="000A52D5" w:rsidRPr="00D5464D">
        <w:rPr>
          <w:rFonts w:eastAsia="Batang" w:cs="Times"/>
          <w:szCs w:val="24"/>
          <w:lang w:val="pt-BR" w:eastAsia="es-ES"/>
        </w:rPr>
        <w:t xml:space="preserve"> </w:t>
      </w:r>
      <w:r w:rsidR="002C330E" w:rsidRPr="00D5464D">
        <w:rPr>
          <w:rFonts w:eastAsia="Batang" w:cs="Times"/>
          <w:szCs w:val="24"/>
          <w:lang w:val="pt-BR" w:eastAsia="es-ES"/>
        </w:rPr>
        <w:t>ocorrid</w:t>
      </w:r>
      <w:r w:rsidR="000A52D5" w:rsidRPr="00D5464D">
        <w:rPr>
          <w:rFonts w:eastAsia="Batang" w:cs="Times"/>
          <w:szCs w:val="24"/>
          <w:lang w:val="pt-BR" w:eastAsia="es-ES"/>
        </w:rPr>
        <w:t>as</w:t>
      </w:r>
      <w:r w:rsidR="00E045D9" w:rsidRPr="00D5464D">
        <w:rPr>
          <w:rFonts w:eastAsia="Batang" w:cs="Times"/>
          <w:szCs w:val="24"/>
          <w:lang w:val="pt-BR" w:eastAsia="es-ES"/>
        </w:rPr>
        <w:t xml:space="preserve"> na </w:t>
      </w:r>
      <w:r w:rsidR="00D809F0" w:rsidRPr="00D5464D">
        <w:rPr>
          <w:rFonts w:eastAsia="Batang" w:cs="Times"/>
          <w:szCs w:val="24"/>
          <w:lang w:val="pt-BR" w:eastAsia="es-ES"/>
        </w:rPr>
        <w:t>Fazenda</w:t>
      </w:r>
      <w:r w:rsidR="000A52D5" w:rsidRPr="00D5464D">
        <w:rPr>
          <w:rFonts w:eastAsia="Batang" w:cs="Times"/>
          <w:szCs w:val="24"/>
          <w:lang w:val="pt-BR" w:eastAsia="es-ES"/>
        </w:rPr>
        <w:t xml:space="preserve"> Brasil Verde</w:t>
      </w:r>
      <w:r w:rsidRPr="00D5464D">
        <w:rPr>
          <w:rFonts w:eastAsia="Batang" w:cs="Times"/>
          <w:szCs w:val="24"/>
          <w:lang w:val="pt-BR" w:eastAsia="es-ES"/>
        </w:rPr>
        <w:t xml:space="preserve"> em </w:t>
      </w:r>
      <w:r w:rsidR="000A52D5" w:rsidRPr="00D5464D">
        <w:rPr>
          <w:rFonts w:eastAsia="Batang" w:cs="Times"/>
          <w:szCs w:val="24"/>
          <w:lang w:val="pt-BR" w:eastAsia="es-ES"/>
        </w:rPr>
        <w:t>1989</w:t>
      </w:r>
      <w:r w:rsidRPr="00D5464D">
        <w:rPr>
          <w:rFonts w:eastAsia="Batang" w:cs="Times"/>
          <w:szCs w:val="24"/>
          <w:lang w:val="pt-BR" w:eastAsia="es-ES"/>
        </w:rPr>
        <w:t xml:space="preserve"> foi </w:t>
      </w:r>
      <w:r w:rsidR="000A52D5" w:rsidRPr="00D5464D">
        <w:rPr>
          <w:rFonts w:eastAsia="Batang" w:cs="Times"/>
          <w:szCs w:val="24"/>
          <w:lang w:val="pt-BR" w:eastAsia="es-ES"/>
        </w:rPr>
        <w:t>formulada</w:t>
      </w:r>
      <w:r w:rsidRPr="00D5464D">
        <w:rPr>
          <w:rFonts w:eastAsia="Batang" w:cs="Times"/>
          <w:szCs w:val="24"/>
          <w:lang w:val="pt-BR" w:eastAsia="es-ES"/>
        </w:rPr>
        <w:t xml:space="preserve"> à Comissão</w:t>
      </w:r>
      <w:r w:rsidR="000A52D5" w:rsidRPr="00D5464D">
        <w:rPr>
          <w:rFonts w:eastAsia="Batang" w:cs="Times"/>
          <w:szCs w:val="24"/>
          <w:lang w:val="pt-BR" w:eastAsia="es-ES"/>
        </w:rPr>
        <w:t xml:space="preserve"> 10 </w:t>
      </w:r>
      <w:r w:rsidRPr="00D5464D">
        <w:rPr>
          <w:rFonts w:eastAsia="Batang" w:cs="Times"/>
          <w:szCs w:val="24"/>
          <w:lang w:val="pt-BR" w:eastAsia="es-ES"/>
        </w:rPr>
        <w:t>anos</w:t>
      </w:r>
      <w:r w:rsidR="000A52D5" w:rsidRPr="00D5464D">
        <w:rPr>
          <w:rFonts w:eastAsia="Batang" w:cs="Times"/>
          <w:szCs w:val="24"/>
          <w:lang w:val="pt-BR" w:eastAsia="es-ES"/>
        </w:rPr>
        <w:t xml:space="preserve"> </w:t>
      </w:r>
      <w:r w:rsidRPr="00D5464D">
        <w:rPr>
          <w:rFonts w:eastAsia="Batang" w:cs="Times"/>
          <w:szCs w:val="24"/>
          <w:lang w:val="pt-BR" w:eastAsia="es-ES"/>
        </w:rPr>
        <w:t>depois</w:t>
      </w:r>
      <w:r w:rsidR="000A52D5" w:rsidRPr="00D5464D">
        <w:rPr>
          <w:rFonts w:eastAsia="Batang" w:cs="Times"/>
          <w:szCs w:val="24"/>
          <w:lang w:val="pt-BR" w:eastAsia="es-ES"/>
        </w:rPr>
        <w:t xml:space="preserve"> de que </w:t>
      </w:r>
      <w:r w:rsidR="002C330E" w:rsidRPr="00D5464D">
        <w:rPr>
          <w:rFonts w:eastAsia="Batang" w:cs="Times"/>
          <w:szCs w:val="24"/>
          <w:lang w:val="pt-BR" w:eastAsia="es-ES"/>
        </w:rPr>
        <w:t>ocorreram os fatos</w:t>
      </w:r>
      <w:r w:rsidR="000A52D5" w:rsidRPr="00D5464D">
        <w:rPr>
          <w:rFonts w:eastAsia="Batang" w:cs="Times"/>
          <w:szCs w:val="24"/>
          <w:lang w:val="pt-BR" w:eastAsia="es-ES"/>
        </w:rPr>
        <w:t>;</w:t>
      </w:r>
      <w:r w:rsidR="002C330E" w:rsidRPr="00D5464D">
        <w:rPr>
          <w:rFonts w:eastAsia="Batang" w:cs="Times"/>
          <w:szCs w:val="24"/>
          <w:lang w:val="pt-BR" w:eastAsia="es-ES"/>
        </w:rPr>
        <w:t xml:space="preserve"> a </w:t>
      </w:r>
      <w:r w:rsidR="000A52D5" w:rsidRPr="00D5464D">
        <w:rPr>
          <w:rFonts w:eastAsia="Batang" w:cs="Times"/>
          <w:szCs w:val="24"/>
          <w:lang w:val="pt-BR" w:eastAsia="es-ES"/>
        </w:rPr>
        <w:t xml:space="preserve">de 1992, 5 </w:t>
      </w:r>
      <w:r w:rsidRPr="00D5464D">
        <w:rPr>
          <w:rFonts w:eastAsia="Batang" w:cs="Times"/>
          <w:szCs w:val="24"/>
          <w:lang w:val="pt-BR" w:eastAsia="es-ES"/>
        </w:rPr>
        <w:t>anos</w:t>
      </w:r>
      <w:r w:rsidR="00E045D9" w:rsidRPr="00D5464D">
        <w:rPr>
          <w:rFonts w:eastAsia="Batang" w:cs="Times"/>
          <w:szCs w:val="24"/>
          <w:lang w:val="pt-BR" w:eastAsia="es-ES"/>
        </w:rPr>
        <w:t xml:space="preserve"> e </w:t>
      </w:r>
      <w:r w:rsidR="000A52D5" w:rsidRPr="00D5464D">
        <w:rPr>
          <w:rFonts w:eastAsia="Batang" w:cs="Times"/>
          <w:szCs w:val="24"/>
          <w:lang w:val="pt-BR" w:eastAsia="es-ES"/>
        </w:rPr>
        <w:t xml:space="preserve">8 meses </w:t>
      </w:r>
      <w:r w:rsidRPr="00D5464D">
        <w:rPr>
          <w:rFonts w:eastAsia="Batang" w:cs="Times"/>
          <w:szCs w:val="24"/>
          <w:lang w:val="pt-BR" w:eastAsia="es-ES"/>
        </w:rPr>
        <w:t>depois</w:t>
      </w:r>
      <w:r w:rsidR="000A52D5" w:rsidRPr="00D5464D">
        <w:rPr>
          <w:rFonts w:eastAsia="Batang" w:cs="Times"/>
          <w:szCs w:val="24"/>
          <w:lang w:val="pt-BR" w:eastAsia="es-ES"/>
        </w:rPr>
        <w:t>;</w:t>
      </w:r>
      <w:r w:rsidR="002C330E" w:rsidRPr="00D5464D">
        <w:rPr>
          <w:rFonts w:eastAsia="Batang" w:cs="Times"/>
          <w:szCs w:val="24"/>
          <w:lang w:val="pt-BR" w:eastAsia="es-ES"/>
        </w:rPr>
        <w:t xml:space="preserve"> a </w:t>
      </w:r>
      <w:r w:rsidR="000A52D5" w:rsidRPr="00D5464D">
        <w:rPr>
          <w:rFonts w:eastAsia="Batang" w:cs="Times"/>
          <w:szCs w:val="24"/>
          <w:lang w:val="pt-BR" w:eastAsia="es-ES"/>
        </w:rPr>
        <w:t xml:space="preserve">de 1996, 2 </w:t>
      </w:r>
      <w:r w:rsidRPr="00D5464D">
        <w:rPr>
          <w:rFonts w:eastAsia="Batang" w:cs="Times"/>
          <w:szCs w:val="24"/>
          <w:lang w:val="pt-BR" w:eastAsia="es-ES"/>
        </w:rPr>
        <w:t>anos</w:t>
      </w:r>
      <w:r w:rsidR="000A52D5" w:rsidRPr="00D5464D">
        <w:rPr>
          <w:rFonts w:eastAsia="Batang" w:cs="Times"/>
          <w:szCs w:val="24"/>
          <w:lang w:val="pt-BR" w:eastAsia="es-ES"/>
        </w:rPr>
        <w:t xml:space="preserve"> </w:t>
      </w:r>
      <w:r w:rsidRPr="00D5464D">
        <w:rPr>
          <w:rFonts w:eastAsia="Batang" w:cs="Times"/>
          <w:szCs w:val="24"/>
          <w:lang w:val="pt-BR" w:eastAsia="es-ES"/>
        </w:rPr>
        <w:t>depois</w:t>
      </w:r>
      <w:r w:rsidR="00A1358C" w:rsidRPr="00D5464D">
        <w:rPr>
          <w:rFonts w:eastAsia="Batang" w:cs="Times"/>
          <w:szCs w:val="24"/>
          <w:lang w:val="pt-BR" w:eastAsia="es-ES"/>
        </w:rPr>
        <w:t xml:space="preserve">. A </w:t>
      </w:r>
      <w:r w:rsidR="002C330E" w:rsidRPr="00D5464D">
        <w:rPr>
          <w:rFonts w:eastAsia="Batang" w:cs="Times"/>
          <w:szCs w:val="24"/>
          <w:lang w:val="pt-BR" w:eastAsia="es-ES"/>
        </w:rPr>
        <w:t>pretensão</w:t>
      </w:r>
      <w:r w:rsidR="000A52D5" w:rsidRPr="00D5464D">
        <w:rPr>
          <w:rFonts w:eastAsia="Batang" w:cs="Times"/>
          <w:szCs w:val="24"/>
          <w:lang w:val="pt-BR" w:eastAsia="es-ES"/>
        </w:rPr>
        <w:t xml:space="preserve"> </w:t>
      </w:r>
      <w:r w:rsidR="00737270" w:rsidRPr="00D5464D">
        <w:rPr>
          <w:rFonts w:eastAsia="Batang" w:cs="Times"/>
          <w:szCs w:val="24"/>
          <w:lang w:val="pt-BR" w:eastAsia="es-ES"/>
        </w:rPr>
        <w:t>pecuniári</w:t>
      </w:r>
      <w:r w:rsidR="000A52D5" w:rsidRPr="00D5464D">
        <w:rPr>
          <w:rFonts w:eastAsia="Batang" w:cs="Times"/>
          <w:szCs w:val="24"/>
          <w:lang w:val="pt-BR" w:eastAsia="es-ES"/>
        </w:rPr>
        <w:t xml:space="preserve">a </w:t>
      </w:r>
      <w:r w:rsidR="00C35476" w:rsidRPr="00D5464D">
        <w:rPr>
          <w:rFonts w:eastAsia="Batang" w:cs="Times"/>
          <w:szCs w:val="24"/>
          <w:lang w:val="pt-BR" w:eastAsia="es-ES"/>
        </w:rPr>
        <w:t xml:space="preserve">foi interposta </w:t>
      </w:r>
      <w:r w:rsidRPr="00D5464D">
        <w:rPr>
          <w:rFonts w:eastAsia="Batang" w:cs="Times"/>
          <w:szCs w:val="24"/>
          <w:lang w:val="pt-BR" w:eastAsia="es-ES"/>
        </w:rPr>
        <w:t xml:space="preserve">perante a Comissão </w:t>
      </w:r>
      <w:r w:rsidR="00350187" w:rsidRPr="00D5464D">
        <w:rPr>
          <w:rFonts w:eastAsia="Batang" w:cs="Times"/>
          <w:szCs w:val="24"/>
          <w:lang w:val="pt-BR" w:eastAsia="es-ES"/>
        </w:rPr>
        <w:t>quanto</w:t>
      </w:r>
      <w:r w:rsidR="00E045D9" w:rsidRPr="00D5464D">
        <w:rPr>
          <w:rFonts w:eastAsia="Batang" w:cs="Times"/>
          <w:szCs w:val="24"/>
          <w:lang w:val="pt-BR" w:eastAsia="es-ES"/>
        </w:rPr>
        <w:t xml:space="preserve"> aos </w:t>
      </w:r>
      <w:r w:rsidR="002C330E" w:rsidRPr="00D5464D">
        <w:rPr>
          <w:rFonts w:eastAsia="Batang" w:cs="Times"/>
          <w:szCs w:val="24"/>
          <w:lang w:val="pt-BR" w:eastAsia="es-ES"/>
        </w:rPr>
        <w:t>fatos</w:t>
      </w:r>
      <w:r w:rsidR="000A52D5" w:rsidRPr="00D5464D">
        <w:rPr>
          <w:rFonts w:eastAsia="Batang" w:cs="Times"/>
          <w:szCs w:val="24"/>
          <w:lang w:val="pt-BR" w:eastAsia="es-ES"/>
        </w:rPr>
        <w:t xml:space="preserve"> </w:t>
      </w:r>
      <w:r w:rsidR="002C330E" w:rsidRPr="00D5464D">
        <w:rPr>
          <w:rFonts w:eastAsia="Batang" w:cs="Times"/>
          <w:szCs w:val="24"/>
          <w:lang w:val="pt-BR" w:eastAsia="es-ES"/>
        </w:rPr>
        <w:t>ocorrid</w:t>
      </w:r>
      <w:r w:rsidR="000A52D5" w:rsidRPr="00D5464D">
        <w:rPr>
          <w:rFonts w:eastAsia="Batang" w:cs="Times"/>
          <w:szCs w:val="24"/>
          <w:lang w:val="pt-BR" w:eastAsia="es-ES"/>
        </w:rPr>
        <w:t>os</w:t>
      </w:r>
      <w:r w:rsidRPr="00D5464D">
        <w:rPr>
          <w:rFonts w:eastAsia="Batang" w:cs="Times"/>
          <w:szCs w:val="24"/>
          <w:lang w:val="pt-BR" w:eastAsia="es-ES"/>
        </w:rPr>
        <w:t xml:space="preserve"> em </w:t>
      </w:r>
      <w:r w:rsidR="000A52D5" w:rsidRPr="00D5464D">
        <w:rPr>
          <w:rFonts w:eastAsia="Batang" w:cs="Times"/>
          <w:szCs w:val="24"/>
          <w:lang w:val="pt-BR" w:eastAsia="es-ES"/>
        </w:rPr>
        <w:t xml:space="preserve">1997, </w:t>
      </w:r>
      <w:r w:rsidR="002C330E" w:rsidRPr="00D5464D">
        <w:rPr>
          <w:rFonts w:eastAsia="Batang" w:cs="Times"/>
          <w:szCs w:val="24"/>
          <w:lang w:val="pt-BR" w:eastAsia="es-ES"/>
        </w:rPr>
        <w:t xml:space="preserve">mais </w:t>
      </w:r>
      <w:r w:rsidR="000A52D5" w:rsidRPr="00D5464D">
        <w:rPr>
          <w:rFonts w:eastAsia="Batang" w:cs="Times"/>
          <w:szCs w:val="24"/>
          <w:lang w:val="pt-BR" w:eastAsia="es-ES"/>
        </w:rPr>
        <w:t>de 1</w:t>
      </w:r>
      <w:r w:rsidRPr="00D5464D">
        <w:rPr>
          <w:rFonts w:eastAsia="Batang" w:cs="Times"/>
          <w:szCs w:val="24"/>
          <w:lang w:val="pt-BR" w:eastAsia="es-ES"/>
        </w:rPr>
        <w:t xml:space="preserve"> ano</w:t>
      </w:r>
      <w:r w:rsidR="00E045D9" w:rsidRPr="00D5464D">
        <w:rPr>
          <w:rFonts w:eastAsia="Batang" w:cs="Times"/>
          <w:szCs w:val="24"/>
          <w:lang w:val="pt-BR" w:eastAsia="es-ES"/>
        </w:rPr>
        <w:t xml:space="preserve"> e </w:t>
      </w:r>
      <w:r w:rsidR="000A52D5" w:rsidRPr="00D5464D">
        <w:rPr>
          <w:rFonts w:eastAsia="Batang" w:cs="Times"/>
          <w:szCs w:val="24"/>
          <w:lang w:val="pt-BR" w:eastAsia="es-ES"/>
        </w:rPr>
        <w:t xml:space="preserve">4 meses </w:t>
      </w:r>
      <w:r w:rsidRPr="00D5464D">
        <w:rPr>
          <w:rFonts w:eastAsia="Batang" w:cs="Times"/>
          <w:szCs w:val="24"/>
          <w:lang w:val="pt-BR" w:eastAsia="es-ES"/>
        </w:rPr>
        <w:t>depois</w:t>
      </w:r>
      <w:r w:rsidR="000A52D5" w:rsidRPr="00D5464D">
        <w:rPr>
          <w:rFonts w:eastAsia="Batang" w:cs="Times"/>
          <w:szCs w:val="24"/>
          <w:lang w:val="pt-BR" w:eastAsia="es-ES"/>
        </w:rPr>
        <w:t xml:space="preserve">. </w:t>
      </w:r>
      <w:r w:rsidR="00350187" w:rsidRPr="00D5464D">
        <w:rPr>
          <w:rFonts w:eastAsia="Batang" w:cs="Times"/>
          <w:szCs w:val="24"/>
          <w:lang w:val="pt-BR" w:eastAsia="es-ES"/>
        </w:rPr>
        <w:t xml:space="preserve">Por isso, </w:t>
      </w:r>
      <w:r w:rsidR="002C330E" w:rsidRPr="00D5464D">
        <w:rPr>
          <w:rFonts w:eastAsia="Batang" w:cs="Times"/>
          <w:szCs w:val="24"/>
          <w:lang w:val="pt-BR" w:eastAsia="es-ES"/>
        </w:rPr>
        <w:t>a pretensão</w:t>
      </w:r>
      <w:r w:rsidR="000A52D5" w:rsidRPr="00D5464D">
        <w:rPr>
          <w:rFonts w:eastAsia="Batang" w:cs="Times"/>
          <w:szCs w:val="24"/>
          <w:lang w:val="pt-BR" w:eastAsia="es-ES"/>
        </w:rPr>
        <w:t xml:space="preserve"> de repara</w:t>
      </w:r>
      <w:r w:rsidRPr="00D5464D">
        <w:rPr>
          <w:rFonts w:eastAsia="Batang" w:cs="Times"/>
          <w:szCs w:val="24"/>
          <w:lang w:val="pt-BR" w:eastAsia="es-ES"/>
        </w:rPr>
        <w:t>ção</w:t>
      </w:r>
      <w:r w:rsidR="000A52D5" w:rsidRPr="00D5464D">
        <w:rPr>
          <w:rFonts w:eastAsia="Batang" w:cs="Times"/>
          <w:szCs w:val="24"/>
          <w:lang w:val="pt-BR" w:eastAsia="es-ES"/>
        </w:rPr>
        <w:t xml:space="preserve"> </w:t>
      </w:r>
      <w:r w:rsidR="00737270" w:rsidRPr="00D5464D">
        <w:rPr>
          <w:rFonts w:eastAsia="Batang" w:cs="Times"/>
          <w:szCs w:val="24"/>
          <w:lang w:val="pt-BR" w:eastAsia="es-ES"/>
        </w:rPr>
        <w:t>pecuniári</w:t>
      </w:r>
      <w:r w:rsidR="000A52D5" w:rsidRPr="00D5464D">
        <w:rPr>
          <w:rFonts w:eastAsia="Batang" w:cs="Times"/>
          <w:szCs w:val="24"/>
          <w:lang w:val="pt-BR" w:eastAsia="es-ES"/>
        </w:rPr>
        <w:t xml:space="preserve">a </w:t>
      </w:r>
      <w:r w:rsidR="002C330E" w:rsidRPr="00D5464D">
        <w:rPr>
          <w:rFonts w:eastAsia="Batang" w:cs="Times"/>
          <w:szCs w:val="24"/>
          <w:lang w:val="pt-BR" w:eastAsia="es-ES"/>
        </w:rPr>
        <w:t>a respeito</w:t>
      </w:r>
      <w:r w:rsidR="000A52D5" w:rsidRPr="00D5464D">
        <w:rPr>
          <w:rFonts w:eastAsia="Batang" w:cs="Times"/>
          <w:szCs w:val="24"/>
          <w:lang w:val="pt-BR" w:eastAsia="es-ES"/>
        </w:rPr>
        <w:t xml:space="preserve"> </w:t>
      </w:r>
      <w:r w:rsidR="00E045D9" w:rsidRPr="00D5464D">
        <w:rPr>
          <w:rFonts w:eastAsia="Batang" w:cs="Times"/>
          <w:szCs w:val="24"/>
          <w:lang w:val="pt-BR" w:eastAsia="es-ES"/>
        </w:rPr>
        <w:t>dessa</w:t>
      </w:r>
      <w:r w:rsidRPr="00D5464D">
        <w:rPr>
          <w:rFonts w:eastAsia="Batang" w:cs="Times"/>
          <w:szCs w:val="24"/>
          <w:lang w:val="pt-BR" w:eastAsia="es-ES"/>
        </w:rPr>
        <w:t xml:space="preserve">s </w:t>
      </w:r>
      <w:r w:rsidR="002C330E" w:rsidRPr="00D5464D">
        <w:rPr>
          <w:rFonts w:eastAsia="Batang" w:cs="Times"/>
          <w:szCs w:val="24"/>
          <w:lang w:val="pt-BR" w:eastAsia="es-ES"/>
        </w:rPr>
        <w:t>suposta</w:t>
      </w:r>
      <w:r w:rsidR="000A52D5" w:rsidRPr="00D5464D">
        <w:rPr>
          <w:rFonts w:eastAsia="Batang" w:cs="Times"/>
          <w:szCs w:val="24"/>
          <w:lang w:val="pt-BR" w:eastAsia="es-ES"/>
        </w:rPr>
        <w:t>s viola</w:t>
      </w:r>
      <w:r w:rsidRPr="00D5464D">
        <w:rPr>
          <w:rFonts w:eastAsia="Batang" w:cs="Times"/>
          <w:szCs w:val="24"/>
          <w:lang w:val="pt-BR" w:eastAsia="es-ES"/>
        </w:rPr>
        <w:t>ções</w:t>
      </w:r>
      <w:r w:rsidR="000A52D5" w:rsidRPr="00D5464D">
        <w:rPr>
          <w:rFonts w:eastAsia="Batang" w:cs="Times"/>
          <w:szCs w:val="24"/>
          <w:lang w:val="pt-BR" w:eastAsia="es-ES"/>
        </w:rPr>
        <w:t xml:space="preserve"> </w:t>
      </w:r>
      <w:r w:rsidRPr="00D5464D">
        <w:rPr>
          <w:rFonts w:eastAsia="Batang" w:cs="Times"/>
          <w:szCs w:val="24"/>
          <w:lang w:val="pt-BR" w:eastAsia="es-ES"/>
        </w:rPr>
        <w:t>devem</w:t>
      </w:r>
      <w:r w:rsidR="000A52D5" w:rsidRPr="00D5464D">
        <w:rPr>
          <w:rFonts w:eastAsia="Batang" w:cs="Times"/>
          <w:szCs w:val="24"/>
          <w:lang w:val="pt-BR" w:eastAsia="es-ES"/>
        </w:rPr>
        <w:t xml:space="preserve"> </w:t>
      </w:r>
      <w:r w:rsidR="00C35476" w:rsidRPr="00D5464D">
        <w:rPr>
          <w:rFonts w:eastAsia="Batang" w:cs="Times"/>
          <w:szCs w:val="24"/>
          <w:lang w:val="pt-BR" w:eastAsia="es-ES"/>
        </w:rPr>
        <w:t xml:space="preserve">ser consideradas </w:t>
      </w:r>
      <w:r w:rsidR="000A52D5" w:rsidRPr="00D5464D">
        <w:rPr>
          <w:rFonts w:eastAsia="Batang" w:cs="Times"/>
          <w:szCs w:val="24"/>
          <w:lang w:val="pt-BR" w:eastAsia="es-ES"/>
        </w:rPr>
        <w:t>prescritas</w:t>
      </w:r>
      <w:r w:rsidR="00EB1CE9" w:rsidRPr="00D5464D">
        <w:rPr>
          <w:rFonts w:eastAsia="Batang" w:cs="Times"/>
          <w:szCs w:val="24"/>
          <w:lang w:val="pt-BR" w:eastAsia="es-ES"/>
        </w:rPr>
        <w:t xml:space="preserve">, por </w:t>
      </w:r>
      <w:r w:rsidR="00C35476" w:rsidRPr="00D5464D">
        <w:rPr>
          <w:rFonts w:eastAsia="Batang" w:cs="Times"/>
          <w:szCs w:val="24"/>
          <w:lang w:val="pt-BR" w:eastAsia="es-ES"/>
        </w:rPr>
        <w:t xml:space="preserve">haver </w:t>
      </w:r>
      <w:r w:rsidR="00A1358C" w:rsidRPr="00D5464D">
        <w:rPr>
          <w:rFonts w:eastAsia="Batang" w:cs="Times"/>
          <w:szCs w:val="24"/>
          <w:lang w:val="pt-BR" w:eastAsia="es-ES"/>
        </w:rPr>
        <w:t>transcorrido</w:t>
      </w:r>
      <w:r w:rsidRPr="00D5464D">
        <w:rPr>
          <w:rFonts w:eastAsia="Batang" w:cs="Times"/>
          <w:szCs w:val="24"/>
          <w:lang w:val="pt-BR" w:eastAsia="es-ES"/>
        </w:rPr>
        <w:t xml:space="preserve"> o</w:t>
      </w:r>
      <w:r w:rsidR="002C330E" w:rsidRPr="00D5464D">
        <w:rPr>
          <w:rFonts w:eastAsia="Batang" w:cs="Times"/>
          <w:szCs w:val="24"/>
          <w:lang w:val="pt-BR" w:eastAsia="es-ES"/>
        </w:rPr>
        <w:t xml:space="preserve"> prazo</w:t>
      </w:r>
      <w:r w:rsidR="000A52D5" w:rsidRPr="00D5464D">
        <w:rPr>
          <w:rFonts w:eastAsia="Batang" w:cs="Times"/>
          <w:szCs w:val="24"/>
          <w:lang w:val="pt-BR" w:eastAsia="es-ES"/>
        </w:rPr>
        <w:t xml:space="preserve"> de </w:t>
      </w:r>
      <w:r w:rsidR="002C330E" w:rsidRPr="00D5464D">
        <w:rPr>
          <w:rFonts w:eastAsia="Batang" w:cs="Times"/>
          <w:szCs w:val="24"/>
          <w:lang w:val="pt-BR" w:eastAsia="es-ES"/>
        </w:rPr>
        <w:t>prescrição</w:t>
      </w:r>
      <w:r w:rsidR="000A52D5" w:rsidRPr="00D5464D">
        <w:rPr>
          <w:rFonts w:eastAsia="Batang" w:cs="Times"/>
          <w:szCs w:val="24"/>
          <w:lang w:val="pt-BR" w:eastAsia="es-ES"/>
        </w:rPr>
        <w:t xml:space="preserve"> de 6 meses para </w:t>
      </w:r>
      <w:r w:rsidR="00C35476" w:rsidRPr="00D5464D">
        <w:rPr>
          <w:rFonts w:eastAsia="Batang" w:cs="Times"/>
          <w:szCs w:val="24"/>
          <w:lang w:val="pt-BR" w:eastAsia="es-ES"/>
        </w:rPr>
        <w:t>a apresentação d</w:t>
      </w:r>
      <w:r w:rsidRPr="00D5464D">
        <w:rPr>
          <w:rFonts w:eastAsia="Batang" w:cs="Times"/>
          <w:szCs w:val="24"/>
          <w:lang w:val="pt-BR" w:eastAsia="es-ES"/>
        </w:rPr>
        <w:t xml:space="preserve">o </w:t>
      </w:r>
      <w:r w:rsidR="000A52D5" w:rsidRPr="00D5464D">
        <w:rPr>
          <w:rFonts w:eastAsia="Batang" w:cs="Times"/>
          <w:szCs w:val="24"/>
          <w:lang w:val="pt-BR" w:eastAsia="es-ES"/>
        </w:rPr>
        <w:t>caso</w:t>
      </w:r>
      <w:r w:rsidRPr="00D5464D">
        <w:rPr>
          <w:rFonts w:eastAsia="Batang" w:cs="Times"/>
          <w:szCs w:val="24"/>
          <w:lang w:val="pt-BR" w:eastAsia="es-ES"/>
        </w:rPr>
        <w:t xml:space="preserve"> perante a Comissão</w:t>
      </w:r>
      <w:r w:rsidR="000A52D5" w:rsidRPr="00D5464D">
        <w:rPr>
          <w:rFonts w:eastAsia="Batang" w:cs="Times"/>
          <w:szCs w:val="24"/>
          <w:lang w:val="pt-BR" w:eastAsia="es-ES"/>
        </w:rPr>
        <w:t>.</w:t>
      </w:r>
    </w:p>
    <w:p w14:paraId="439C876F" w14:textId="77777777" w:rsidR="00D65024" w:rsidRPr="00D5464D" w:rsidRDefault="00D65024" w:rsidP="00D65024">
      <w:pPr>
        <w:tabs>
          <w:tab w:val="clear" w:pos="4419"/>
          <w:tab w:val="clear" w:pos="8838"/>
        </w:tabs>
        <w:jc w:val="both"/>
        <w:rPr>
          <w:rFonts w:eastAsia="Batang" w:cs="Times"/>
          <w:szCs w:val="24"/>
          <w:lang w:val="pt-BR" w:eastAsia="es-ES"/>
        </w:rPr>
      </w:pPr>
    </w:p>
    <w:p w14:paraId="2C3399AE" w14:textId="45D8407D" w:rsidR="000A52D5" w:rsidRPr="00D5464D" w:rsidRDefault="00470AD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A </w:t>
      </w:r>
      <w:r w:rsidRPr="00D5464D">
        <w:rPr>
          <w:rFonts w:eastAsia="Batang" w:cs="Times"/>
          <w:b/>
          <w:i/>
          <w:szCs w:val="24"/>
          <w:lang w:val="pt-BR" w:eastAsia="es-ES"/>
        </w:rPr>
        <w:t>Comissão</w:t>
      </w:r>
      <w:r w:rsidR="000A52D5" w:rsidRPr="00D5464D">
        <w:rPr>
          <w:rFonts w:eastAsia="Batang" w:cs="Times"/>
          <w:szCs w:val="24"/>
          <w:lang w:val="pt-BR" w:eastAsia="es-ES"/>
        </w:rPr>
        <w:t xml:space="preserve"> </w:t>
      </w:r>
      <w:r w:rsidR="005F3480" w:rsidRPr="00D5464D">
        <w:rPr>
          <w:rFonts w:eastAsia="Batang" w:cs="Times"/>
          <w:szCs w:val="24"/>
          <w:lang w:val="pt-BR" w:eastAsia="es-ES"/>
        </w:rPr>
        <w:t>afirmou</w:t>
      </w:r>
      <w:r w:rsidR="000A52D5" w:rsidRPr="00D5464D">
        <w:rPr>
          <w:rFonts w:eastAsia="Batang" w:cs="Times"/>
          <w:szCs w:val="24"/>
          <w:lang w:val="pt-BR" w:eastAsia="es-ES"/>
        </w:rPr>
        <w:t xml:space="preserve"> que</w:t>
      </w:r>
      <w:r w:rsidRPr="00D5464D">
        <w:rPr>
          <w:rFonts w:eastAsia="Batang" w:cs="Times"/>
          <w:szCs w:val="24"/>
          <w:lang w:val="pt-BR" w:eastAsia="es-ES"/>
        </w:rPr>
        <w:t xml:space="preserve"> o </w:t>
      </w:r>
      <w:r w:rsidR="000A52D5" w:rsidRPr="00D5464D">
        <w:rPr>
          <w:rFonts w:eastAsia="Batang" w:cs="Times"/>
          <w:szCs w:val="24"/>
          <w:lang w:val="pt-BR" w:eastAsia="es-ES"/>
        </w:rPr>
        <w:t>Estado parte</w:t>
      </w:r>
      <w:r w:rsidRPr="00D5464D">
        <w:rPr>
          <w:rFonts w:eastAsia="Batang" w:cs="Times"/>
          <w:szCs w:val="24"/>
          <w:lang w:val="pt-BR" w:eastAsia="es-ES"/>
        </w:rPr>
        <w:t xml:space="preserve"> da </w:t>
      </w:r>
      <w:r w:rsidR="00350187" w:rsidRPr="00D5464D">
        <w:rPr>
          <w:rFonts w:eastAsia="Batang" w:cs="Times"/>
          <w:szCs w:val="24"/>
          <w:lang w:val="pt-BR" w:eastAsia="es-ES"/>
        </w:rPr>
        <w:t>premissa</w:t>
      </w:r>
      <w:r w:rsidR="000A52D5" w:rsidRPr="00D5464D">
        <w:rPr>
          <w:rFonts w:eastAsia="Batang" w:cs="Times"/>
          <w:szCs w:val="24"/>
          <w:lang w:val="pt-BR" w:eastAsia="es-ES"/>
        </w:rPr>
        <w:t xml:space="preserve"> de que</w:t>
      </w:r>
      <w:r w:rsidRPr="00D5464D">
        <w:rPr>
          <w:rFonts w:eastAsia="Batang" w:cs="Times"/>
          <w:szCs w:val="24"/>
          <w:lang w:val="pt-BR" w:eastAsia="es-ES"/>
        </w:rPr>
        <w:t xml:space="preserve"> é </w:t>
      </w:r>
      <w:r w:rsidR="002C330E" w:rsidRPr="00D5464D">
        <w:rPr>
          <w:rFonts w:eastAsia="Batang" w:cs="Times"/>
          <w:szCs w:val="24"/>
          <w:lang w:val="pt-BR" w:eastAsia="es-ES"/>
        </w:rPr>
        <w:t>necessári</w:t>
      </w:r>
      <w:r w:rsidR="000A52D5" w:rsidRPr="00D5464D">
        <w:rPr>
          <w:rFonts w:eastAsia="Batang" w:cs="Times"/>
          <w:szCs w:val="24"/>
          <w:lang w:val="pt-BR" w:eastAsia="es-ES"/>
        </w:rPr>
        <w:t xml:space="preserve">o </w:t>
      </w:r>
      <w:r w:rsidR="00350187" w:rsidRPr="00D5464D">
        <w:rPr>
          <w:rFonts w:eastAsia="Batang" w:cs="Times"/>
          <w:szCs w:val="24"/>
          <w:lang w:val="pt-BR" w:eastAsia="es-ES"/>
        </w:rPr>
        <w:t>esgotar</w:t>
      </w:r>
      <w:r w:rsidR="000A52D5" w:rsidRPr="00D5464D">
        <w:rPr>
          <w:rFonts w:eastAsia="Batang" w:cs="Times"/>
          <w:szCs w:val="24"/>
          <w:lang w:val="pt-BR" w:eastAsia="es-ES"/>
        </w:rPr>
        <w:t xml:space="preserve"> recursos internos específicos sobre </w:t>
      </w:r>
      <w:r w:rsidR="002C330E" w:rsidRPr="00D5464D">
        <w:rPr>
          <w:rFonts w:eastAsia="Batang" w:cs="Times"/>
          <w:szCs w:val="24"/>
          <w:lang w:val="pt-BR" w:eastAsia="es-ES"/>
        </w:rPr>
        <w:t xml:space="preserve">indenizações </w:t>
      </w:r>
      <w:r w:rsidR="00C35476" w:rsidRPr="00D5464D">
        <w:rPr>
          <w:rFonts w:eastAsia="Batang" w:cs="Times"/>
          <w:szCs w:val="24"/>
          <w:lang w:val="pt-BR" w:eastAsia="es-ES"/>
        </w:rPr>
        <w:t xml:space="preserve">quando </w:t>
      </w:r>
      <w:r w:rsidRPr="00D5464D">
        <w:rPr>
          <w:rFonts w:eastAsia="Batang" w:cs="Times"/>
          <w:szCs w:val="24"/>
          <w:lang w:val="pt-BR" w:eastAsia="es-ES"/>
        </w:rPr>
        <w:t xml:space="preserve">o </w:t>
      </w:r>
      <w:r w:rsidR="000A52D5" w:rsidRPr="00D5464D">
        <w:rPr>
          <w:rFonts w:eastAsia="Batang" w:cs="Times"/>
          <w:szCs w:val="24"/>
          <w:lang w:val="pt-BR" w:eastAsia="es-ES"/>
        </w:rPr>
        <w:t>objetivo</w:t>
      </w:r>
      <w:r w:rsidRPr="00D5464D">
        <w:rPr>
          <w:rFonts w:eastAsia="Batang" w:cs="Times"/>
          <w:szCs w:val="24"/>
          <w:lang w:val="pt-BR" w:eastAsia="es-ES"/>
        </w:rPr>
        <w:t xml:space="preserve"> é </w:t>
      </w:r>
      <w:r w:rsidR="002C330E" w:rsidRPr="00D5464D">
        <w:rPr>
          <w:rFonts w:eastAsia="Batang" w:cs="Times"/>
          <w:szCs w:val="24"/>
          <w:lang w:val="pt-BR" w:eastAsia="es-ES"/>
        </w:rPr>
        <w:t>obter</w:t>
      </w:r>
      <w:r w:rsidR="00E045D9" w:rsidRPr="00D5464D">
        <w:rPr>
          <w:rFonts w:eastAsia="Batang" w:cs="Times"/>
          <w:szCs w:val="24"/>
          <w:lang w:val="pt-BR" w:eastAsia="es-ES"/>
        </w:rPr>
        <w:t xml:space="preserve"> uma </w:t>
      </w:r>
      <w:r w:rsidR="000A52D5" w:rsidRPr="00D5464D">
        <w:rPr>
          <w:rFonts w:eastAsia="Batang" w:cs="Times"/>
          <w:szCs w:val="24"/>
          <w:lang w:val="pt-BR" w:eastAsia="es-ES"/>
        </w:rPr>
        <w:t>repara</w:t>
      </w:r>
      <w:r w:rsidRPr="00D5464D">
        <w:rPr>
          <w:rFonts w:eastAsia="Batang" w:cs="Times"/>
          <w:szCs w:val="24"/>
          <w:lang w:val="pt-BR" w:eastAsia="es-ES"/>
        </w:rPr>
        <w:t>ção</w:t>
      </w:r>
      <w:r w:rsidR="00E045D9" w:rsidRPr="00D5464D">
        <w:rPr>
          <w:rFonts w:eastAsia="Batang" w:cs="Times"/>
          <w:szCs w:val="24"/>
          <w:lang w:val="pt-BR" w:eastAsia="es-ES"/>
        </w:rPr>
        <w:t xml:space="preserve"> no </w:t>
      </w:r>
      <w:r w:rsidRPr="00D5464D">
        <w:rPr>
          <w:rFonts w:eastAsia="Batang" w:cs="Times"/>
          <w:szCs w:val="24"/>
          <w:lang w:val="pt-BR" w:eastAsia="es-ES"/>
        </w:rPr>
        <w:t>âmbito</w:t>
      </w:r>
      <w:r w:rsidR="000A52D5" w:rsidRPr="00D5464D">
        <w:rPr>
          <w:rFonts w:eastAsia="Batang" w:cs="Times"/>
          <w:szCs w:val="24"/>
          <w:lang w:val="pt-BR" w:eastAsia="es-ES"/>
        </w:rPr>
        <w:t xml:space="preserve"> internacional. De </w:t>
      </w:r>
      <w:r w:rsidRPr="00D5464D">
        <w:rPr>
          <w:rFonts w:eastAsia="Batang" w:cs="Times"/>
          <w:szCs w:val="24"/>
          <w:lang w:val="pt-BR" w:eastAsia="es-ES"/>
        </w:rPr>
        <w:t>acordo com</w:t>
      </w:r>
      <w:r w:rsidR="002C330E" w:rsidRPr="00D5464D">
        <w:rPr>
          <w:rFonts w:eastAsia="Batang" w:cs="Times"/>
          <w:szCs w:val="24"/>
          <w:lang w:val="pt-BR" w:eastAsia="es-ES"/>
        </w:rPr>
        <w:t xml:space="preserve"> a </w:t>
      </w:r>
      <w:r w:rsidRPr="00D5464D">
        <w:rPr>
          <w:rFonts w:eastAsia="Batang" w:cs="Times"/>
          <w:szCs w:val="24"/>
          <w:lang w:val="pt-BR" w:eastAsia="es-ES"/>
        </w:rPr>
        <w:t>Comissão</w:t>
      </w:r>
      <w:r w:rsidR="00C35476" w:rsidRPr="00D5464D">
        <w:rPr>
          <w:rFonts w:eastAsia="Batang" w:cs="Times"/>
          <w:szCs w:val="24"/>
          <w:lang w:val="pt-BR" w:eastAsia="es-ES"/>
        </w:rPr>
        <w:t>,</w:t>
      </w:r>
      <w:r w:rsidR="000A52D5" w:rsidRPr="00D5464D">
        <w:rPr>
          <w:rFonts w:eastAsia="Batang" w:cs="Times"/>
          <w:szCs w:val="24"/>
          <w:lang w:val="pt-BR" w:eastAsia="es-ES"/>
        </w:rPr>
        <w:t xml:space="preserve"> </w:t>
      </w:r>
      <w:r w:rsidR="00737270" w:rsidRPr="00D5464D">
        <w:rPr>
          <w:rFonts w:eastAsia="Batang" w:cs="Times"/>
          <w:szCs w:val="24"/>
          <w:lang w:val="pt-BR" w:eastAsia="es-ES"/>
        </w:rPr>
        <w:t>não é</w:t>
      </w:r>
      <w:r w:rsidRPr="00D5464D">
        <w:rPr>
          <w:rFonts w:eastAsia="Batang" w:cs="Times"/>
          <w:szCs w:val="24"/>
          <w:lang w:val="pt-BR" w:eastAsia="es-ES"/>
        </w:rPr>
        <w:t xml:space="preserve"> </w:t>
      </w:r>
      <w:r w:rsidR="002C330E" w:rsidRPr="00D5464D">
        <w:rPr>
          <w:rFonts w:eastAsia="Batang" w:cs="Times"/>
          <w:szCs w:val="24"/>
          <w:lang w:val="pt-BR" w:eastAsia="es-ES"/>
        </w:rPr>
        <w:t>necessári</w:t>
      </w:r>
      <w:r w:rsidR="000A52D5" w:rsidRPr="00D5464D">
        <w:rPr>
          <w:rFonts w:eastAsia="Batang" w:cs="Times"/>
          <w:szCs w:val="24"/>
          <w:lang w:val="pt-BR" w:eastAsia="es-ES"/>
        </w:rPr>
        <w:t xml:space="preserve">o </w:t>
      </w:r>
      <w:r w:rsidR="00350187" w:rsidRPr="00D5464D">
        <w:rPr>
          <w:rFonts w:eastAsia="Batang" w:cs="Times"/>
          <w:szCs w:val="24"/>
          <w:lang w:val="pt-BR" w:eastAsia="es-ES"/>
        </w:rPr>
        <w:t>esgotar</w:t>
      </w:r>
      <w:r w:rsidR="000A52D5" w:rsidRPr="00D5464D">
        <w:rPr>
          <w:rFonts w:eastAsia="Batang" w:cs="Times"/>
          <w:szCs w:val="24"/>
          <w:lang w:val="pt-BR" w:eastAsia="es-ES"/>
        </w:rPr>
        <w:t xml:space="preserve"> recursos </w:t>
      </w:r>
      <w:r w:rsidR="002C330E" w:rsidRPr="00D5464D">
        <w:rPr>
          <w:rFonts w:eastAsia="Batang" w:cs="Times"/>
          <w:szCs w:val="24"/>
          <w:lang w:val="pt-BR" w:eastAsia="es-ES"/>
        </w:rPr>
        <w:t>independente</w:t>
      </w:r>
      <w:r w:rsidR="000A52D5" w:rsidRPr="00D5464D">
        <w:rPr>
          <w:rFonts w:eastAsia="Batang" w:cs="Times"/>
          <w:szCs w:val="24"/>
          <w:lang w:val="pt-BR" w:eastAsia="es-ES"/>
        </w:rPr>
        <w:t xml:space="preserve">s para </w:t>
      </w:r>
      <w:r w:rsidR="002C330E" w:rsidRPr="00D5464D">
        <w:rPr>
          <w:rFonts w:eastAsia="Batang" w:cs="Times"/>
          <w:szCs w:val="24"/>
          <w:lang w:val="pt-BR" w:eastAsia="es-ES"/>
        </w:rPr>
        <w:t>obter</w:t>
      </w:r>
      <w:r w:rsidR="00E045D9" w:rsidRPr="00D5464D">
        <w:rPr>
          <w:rFonts w:eastAsia="Batang" w:cs="Times"/>
          <w:szCs w:val="24"/>
          <w:lang w:val="pt-BR" w:eastAsia="es-ES"/>
        </w:rPr>
        <w:t xml:space="preserve"> uma </w:t>
      </w:r>
      <w:r w:rsidR="000A52D5" w:rsidRPr="00D5464D">
        <w:rPr>
          <w:rFonts w:eastAsia="Batang" w:cs="Times"/>
          <w:szCs w:val="24"/>
          <w:lang w:val="pt-BR" w:eastAsia="es-ES"/>
        </w:rPr>
        <w:t>repara</w:t>
      </w:r>
      <w:r w:rsidRPr="00D5464D">
        <w:rPr>
          <w:rFonts w:eastAsia="Batang" w:cs="Times"/>
          <w:szCs w:val="24"/>
          <w:lang w:val="pt-BR" w:eastAsia="es-ES"/>
        </w:rPr>
        <w:t>ção</w:t>
      </w:r>
      <w:r w:rsidR="000A52D5" w:rsidRPr="00D5464D">
        <w:rPr>
          <w:rFonts w:eastAsia="Batang" w:cs="Times"/>
          <w:szCs w:val="24"/>
          <w:lang w:val="pt-BR" w:eastAsia="es-ES"/>
        </w:rPr>
        <w:t>, especialmente</w:t>
      </w:r>
      <w:r w:rsidR="002C330E" w:rsidRPr="00D5464D">
        <w:rPr>
          <w:rFonts w:eastAsia="Batang" w:cs="Times"/>
          <w:szCs w:val="24"/>
          <w:lang w:val="pt-BR" w:eastAsia="es-ES"/>
        </w:rPr>
        <w:t xml:space="preserve"> se </w:t>
      </w:r>
      <w:r w:rsidRPr="00D5464D">
        <w:rPr>
          <w:rFonts w:eastAsia="Batang" w:cs="Times"/>
          <w:szCs w:val="24"/>
          <w:lang w:val="pt-BR" w:eastAsia="es-ES"/>
        </w:rPr>
        <w:t>foram</w:t>
      </w:r>
      <w:r w:rsidR="000A52D5" w:rsidRPr="00D5464D">
        <w:rPr>
          <w:rFonts w:eastAsia="Batang" w:cs="Times"/>
          <w:szCs w:val="24"/>
          <w:lang w:val="pt-BR" w:eastAsia="es-ES"/>
        </w:rPr>
        <w:t xml:space="preserve"> </w:t>
      </w:r>
      <w:r w:rsidRPr="00D5464D">
        <w:rPr>
          <w:rFonts w:eastAsia="Batang" w:cs="Times"/>
          <w:szCs w:val="24"/>
          <w:lang w:val="pt-BR" w:eastAsia="es-ES"/>
        </w:rPr>
        <w:t>esgotado</w:t>
      </w:r>
      <w:r w:rsidR="000A52D5" w:rsidRPr="00D5464D">
        <w:rPr>
          <w:rFonts w:eastAsia="Batang" w:cs="Times"/>
          <w:szCs w:val="24"/>
          <w:lang w:val="pt-BR" w:eastAsia="es-ES"/>
        </w:rPr>
        <w:t xml:space="preserve">s </w:t>
      </w:r>
      <w:r w:rsidR="002C330E" w:rsidRPr="00D5464D">
        <w:rPr>
          <w:rFonts w:eastAsia="Batang" w:cs="Times"/>
          <w:szCs w:val="24"/>
          <w:lang w:val="pt-BR" w:eastAsia="es-ES"/>
        </w:rPr>
        <w:t>outros</w:t>
      </w:r>
      <w:r w:rsidR="000A52D5" w:rsidRPr="00D5464D">
        <w:rPr>
          <w:rFonts w:eastAsia="Batang" w:cs="Times"/>
          <w:szCs w:val="24"/>
          <w:lang w:val="pt-BR" w:eastAsia="es-ES"/>
        </w:rPr>
        <w:t xml:space="preserve"> meios,</w:t>
      </w:r>
      <w:r w:rsidR="002C330E" w:rsidRPr="00D5464D">
        <w:rPr>
          <w:rFonts w:eastAsia="Batang" w:cs="Times"/>
          <w:szCs w:val="24"/>
          <w:lang w:val="pt-BR" w:eastAsia="es-ES"/>
        </w:rPr>
        <w:t xml:space="preserve"> </w:t>
      </w:r>
      <w:r w:rsidR="00C35476" w:rsidRPr="00D5464D">
        <w:rPr>
          <w:rFonts w:eastAsia="Batang" w:cs="Times"/>
          <w:szCs w:val="24"/>
          <w:lang w:val="pt-BR" w:eastAsia="es-ES"/>
        </w:rPr>
        <w:t xml:space="preserve">de maneira </w:t>
      </w:r>
      <w:r w:rsidR="002C330E" w:rsidRPr="00D5464D">
        <w:rPr>
          <w:rFonts w:eastAsia="Batang" w:cs="Times"/>
          <w:szCs w:val="24"/>
          <w:lang w:val="pt-BR" w:eastAsia="es-ES"/>
        </w:rPr>
        <w:t xml:space="preserve">que a </w:t>
      </w:r>
      <w:r w:rsidRPr="00D5464D">
        <w:rPr>
          <w:rFonts w:eastAsia="Batang" w:cs="Times"/>
          <w:szCs w:val="24"/>
          <w:lang w:val="pt-BR" w:eastAsia="es-ES"/>
        </w:rPr>
        <w:t xml:space="preserve">exceção deve </w:t>
      </w:r>
      <w:r w:rsidR="00C35476" w:rsidRPr="00D5464D">
        <w:rPr>
          <w:rFonts w:eastAsia="Batang" w:cs="Times"/>
          <w:szCs w:val="24"/>
          <w:lang w:val="pt-BR" w:eastAsia="es-ES"/>
        </w:rPr>
        <w:t xml:space="preserve">ser considerada </w:t>
      </w:r>
      <w:r w:rsidR="000A52D5" w:rsidRPr="00D5464D">
        <w:rPr>
          <w:rFonts w:eastAsia="Batang" w:cs="Times"/>
          <w:szCs w:val="24"/>
          <w:lang w:val="pt-BR" w:eastAsia="es-ES"/>
        </w:rPr>
        <w:t>improcedente.</w:t>
      </w:r>
    </w:p>
    <w:p w14:paraId="529B8486" w14:textId="77777777" w:rsidR="000A52D5" w:rsidRPr="00D5464D" w:rsidRDefault="000A52D5" w:rsidP="00140440">
      <w:pPr>
        <w:tabs>
          <w:tab w:val="clear" w:pos="4419"/>
          <w:tab w:val="clear" w:pos="8838"/>
        </w:tabs>
        <w:jc w:val="both"/>
        <w:rPr>
          <w:rFonts w:eastAsia="Batang" w:cs="Times"/>
          <w:szCs w:val="24"/>
          <w:lang w:val="pt-BR" w:eastAsia="es-ES"/>
        </w:rPr>
      </w:pPr>
    </w:p>
    <w:p w14:paraId="3337DA21" w14:textId="51908DF6" w:rsidR="000A52D5" w:rsidRPr="00D5464D" w:rsidRDefault="00C35476"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No tocante </w:t>
      </w:r>
      <w:r w:rsidR="00470ADC" w:rsidRPr="00D5464D">
        <w:rPr>
          <w:rFonts w:eastAsia="Batang" w:cs="Times"/>
          <w:szCs w:val="24"/>
          <w:lang w:val="pt-BR" w:eastAsia="es-ES"/>
        </w:rPr>
        <w:t xml:space="preserve">à </w:t>
      </w:r>
      <w:r w:rsidR="002C330E" w:rsidRPr="00D5464D">
        <w:rPr>
          <w:rFonts w:eastAsia="Batang" w:cs="Times"/>
          <w:szCs w:val="24"/>
          <w:lang w:val="pt-BR" w:eastAsia="es-ES"/>
        </w:rPr>
        <w:t>prescrição</w:t>
      </w:r>
      <w:r w:rsidR="00470ADC" w:rsidRPr="00D5464D">
        <w:rPr>
          <w:rFonts w:eastAsia="Batang" w:cs="Times"/>
          <w:szCs w:val="24"/>
          <w:lang w:val="pt-BR" w:eastAsia="es-ES"/>
        </w:rPr>
        <w:t xml:space="preserve"> das </w:t>
      </w:r>
      <w:r w:rsidR="002C330E" w:rsidRPr="00D5464D">
        <w:rPr>
          <w:rFonts w:eastAsia="Batang" w:cs="Times"/>
          <w:szCs w:val="24"/>
          <w:lang w:val="pt-BR" w:eastAsia="es-ES"/>
        </w:rPr>
        <w:t>pretensões</w:t>
      </w:r>
      <w:r w:rsidR="000A52D5" w:rsidRPr="00D5464D">
        <w:rPr>
          <w:rFonts w:eastAsia="Batang" w:cs="Times"/>
          <w:szCs w:val="24"/>
          <w:lang w:val="pt-BR" w:eastAsia="es-ES"/>
        </w:rPr>
        <w:t xml:space="preserve"> de investiga</w:t>
      </w:r>
      <w:r w:rsidR="00470ADC" w:rsidRPr="00D5464D">
        <w:rPr>
          <w:rFonts w:eastAsia="Batang" w:cs="Times"/>
          <w:szCs w:val="24"/>
          <w:lang w:val="pt-BR" w:eastAsia="es-ES"/>
        </w:rPr>
        <w:t>ção</w:t>
      </w:r>
      <w:r w:rsidR="000A52D5" w:rsidRPr="00D5464D">
        <w:rPr>
          <w:rFonts w:eastAsia="Batang" w:cs="Times"/>
          <w:szCs w:val="24"/>
          <w:lang w:val="pt-BR" w:eastAsia="es-ES"/>
        </w:rPr>
        <w:t xml:space="preserve"> penal,</w:t>
      </w:r>
      <w:r w:rsidR="002C330E" w:rsidRPr="00D5464D">
        <w:rPr>
          <w:rFonts w:eastAsia="Batang" w:cs="Times"/>
          <w:szCs w:val="24"/>
          <w:lang w:val="pt-BR" w:eastAsia="es-ES"/>
        </w:rPr>
        <w:t xml:space="preserve"> a </w:t>
      </w:r>
      <w:r w:rsidR="00470ADC" w:rsidRPr="00D5464D">
        <w:rPr>
          <w:rFonts w:eastAsia="Batang" w:cs="Times"/>
          <w:szCs w:val="24"/>
          <w:lang w:val="pt-BR" w:eastAsia="es-ES"/>
        </w:rPr>
        <w:t>Comissão</w:t>
      </w:r>
      <w:r w:rsidR="000A52D5" w:rsidRPr="00D5464D">
        <w:rPr>
          <w:rFonts w:eastAsia="Batang" w:cs="Times"/>
          <w:szCs w:val="24"/>
          <w:lang w:val="pt-BR" w:eastAsia="es-ES"/>
        </w:rPr>
        <w:t xml:space="preserve"> </w:t>
      </w:r>
      <w:r w:rsidR="002C330E" w:rsidRPr="00D5464D">
        <w:rPr>
          <w:rFonts w:eastAsia="Batang" w:cs="Times"/>
          <w:szCs w:val="24"/>
          <w:lang w:val="pt-BR" w:eastAsia="es-ES"/>
        </w:rPr>
        <w:t>reiterou</w:t>
      </w:r>
      <w:r w:rsidR="000A52D5" w:rsidRPr="00D5464D">
        <w:rPr>
          <w:rFonts w:eastAsia="Batang" w:cs="Times"/>
          <w:szCs w:val="24"/>
          <w:lang w:val="pt-BR" w:eastAsia="es-ES"/>
        </w:rPr>
        <w:t xml:space="preserve"> que</w:t>
      </w:r>
      <w:r w:rsidR="00470ADC" w:rsidRPr="00D5464D">
        <w:rPr>
          <w:rFonts w:eastAsia="Batang" w:cs="Times"/>
          <w:szCs w:val="24"/>
          <w:lang w:val="pt-BR" w:eastAsia="es-ES"/>
        </w:rPr>
        <w:t xml:space="preserve"> o </w:t>
      </w:r>
      <w:r w:rsidR="000A52D5" w:rsidRPr="00D5464D">
        <w:rPr>
          <w:rFonts w:eastAsia="Batang" w:cs="Times"/>
          <w:szCs w:val="24"/>
          <w:lang w:val="pt-BR" w:eastAsia="es-ES"/>
        </w:rPr>
        <w:t xml:space="preserve">Estado </w:t>
      </w:r>
      <w:r w:rsidRPr="00D5464D">
        <w:rPr>
          <w:rFonts w:eastAsia="Batang" w:cs="Times"/>
          <w:szCs w:val="24"/>
          <w:lang w:val="pt-BR" w:eastAsia="es-ES"/>
        </w:rPr>
        <w:t xml:space="preserve">tinha conhecimento </w:t>
      </w:r>
      <w:r w:rsidR="00470ADC" w:rsidRPr="00D5464D">
        <w:rPr>
          <w:rFonts w:eastAsia="Batang" w:cs="Times"/>
          <w:szCs w:val="24"/>
          <w:lang w:val="pt-BR" w:eastAsia="es-ES"/>
        </w:rPr>
        <w:t xml:space="preserve">da </w:t>
      </w:r>
      <w:r w:rsidR="000A52D5" w:rsidRPr="00D5464D">
        <w:rPr>
          <w:rFonts w:eastAsia="Batang" w:cs="Times"/>
          <w:szCs w:val="24"/>
          <w:lang w:val="pt-BR" w:eastAsia="es-ES"/>
        </w:rPr>
        <w:t>situa</w:t>
      </w:r>
      <w:r w:rsidR="00470ADC" w:rsidRPr="00D5464D">
        <w:rPr>
          <w:rFonts w:eastAsia="Batang" w:cs="Times"/>
          <w:szCs w:val="24"/>
          <w:lang w:val="pt-BR" w:eastAsia="es-ES"/>
        </w:rPr>
        <w:t>ção</w:t>
      </w:r>
      <w:r w:rsidR="00E045D9" w:rsidRPr="00D5464D">
        <w:rPr>
          <w:rFonts w:eastAsia="Batang" w:cs="Times"/>
          <w:szCs w:val="24"/>
          <w:lang w:val="pt-BR" w:eastAsia="es-ES"/>
        </w:rPr>
        <w:t xml:space="preserve"> na </w:t>
      </w:r>
      <w:r w:rsidR="00D809F0" w:rsidRPr="00D5464D">
        <w:rPr>
          <w:rFonts w:eastAsia="Batang" w:cs="Times"/>
          <w:szCs w:val="24"/>
          <w:lang w:val="pt-BR" w:eastAsia="es-ES"/>
        </w:rPr>
        <w:t>Fazenda</w:t>
      </w:r>
      <w:r w:rsidR="000A52D5" w:rsidRPr="00D5464D">
        <w:rPr>
          <w:rFonts w:eastAsia="Batang" w:cs="Times"/>
          <w:szCs w:val="24"/>
          <w:lang w:val="pt-BR" w:eastAsia="es-ES"/>
        </w:rPr>
        <w:t xml:space="preserve"> Brasil Verde,</w:t>
      </w:r>
      <w:r w:rsidR="002C330E" w:rsidRPr="00D5464D">
        <w:rPr>
          <w:rFonts w:eastAsia="Batang" w:cs="Times"/>
          <w:szCs w:val="24"/>
          <w:lang w:val="pt-BR" w:eastAsia="es-ES"/>
        </w:rPr>
        <w:t xml:space="preserve"> sem ter</w:t>
      </w:r>
      <w:r w:rsidR="000A52D5" w:rsidRPr="00D5464D">
        <w:rPr>
          <w:rFonts w:eastAsia="Batang" w:cs="Times"/>
          <w:szCs w:val="24"/>
          <w:lang w:val="pt-BR" w:eastAsia="es-ES"/>
        </w:rPr>
        <w:t xml:space="preserve"> realizado</w:t>
      </w:r>
      <w:r w:rsidR="00E045D9" w:rsidRPr="00D5464D">
        <w:rPr>
          <w:rFonts w:eastAsia="Batang" w:cs="Times"/>
          <w:szCs w:val="24"/>
          <w:lang w:val="pt-BR" w:eastAsia="es-ES"/>
        </w:rPr>
        <w:t xml:space="preserve"> uma </w:t>
      </w:r>
      <w:r w:rsidR="000A52D5" w:rsidRPr="00D5464D">
        <w:rPr>
          <w:rFonts w:eastAsia="Batang" w:cs="Times"/>
          <w:szCs w:val="24"/>
          <w:lang w:val="pt-BR" w:eastAsia="es-ES"/>
        </w:rPr>
        <w:t>investiga</w:t>
      </w:r>
      <w:r w:rsidR="00470ADC" w:rsidRPr="00D5464D">
        <w:rPr>
          <w:rFonts w:eastAsia="Batang" w:cs="Times"/>
          <w:szCs w:val="24"/>
          <w:lang w:val="pt-BR" w:eastAsia="es-ES"/>
        </w:rPr>
        <w:t>ção</w:t>
      </w:r>
      <w:r w:rsidR="000A52D5" w:rsidRPr="00D5464D">
        <w:rPr>
          <w:rFonts w:eastAsia="Batang" w:cs="Times"/>
          <w:szCs w:val="24"/>
          <w:lang w:val="pt-BR" w:eastAsia="es-ES"/>
        </w:rPr>
        <w:t xml:space="preserve"> penal que </w:t>
      </w:r>
      <w:r w:rsidR="00737270" w:rsidRPr="00D5464D">
        <w:rPr>
          <w:rFonts w:eastAsia="Batang" w:cs="Times"/>
          <w:szCs w:val="24"/>
          <w:lang w:val="pt-BR" w:eastAsia="es-ES"/>
        </w:rPr>
        <w:t>pudesse</w:t>
      </w:r>
      <w:r w:rsidR="000A52D5" w:rsidRPr="00D5464D">
        <w:rPr>
          <w:rFonts w:eastAsia="Batang" w:cs="Times"/>
          <w:szCs w:val="24"/>
          <w:lang w:val="pt-BR" w:eastAsia="es-ES"/>
        </w:rPr>
        <w:t xml:space="preserve"> </w:t>
      </w:r>
      <w:r w:rsidRPr="00D5464D">
        <w:rPr>
          <w:rFonts w:eastAsia="Batang" w:cs="Times"/>
          <w:szCs w:val="24"/>
          <w:lang w:val="pt-BR" w:eastAsia="es-ES"/>
        </w:rPr>
        <w:t xml:space="preserve">ser considerada </w:t>
      </w:r>
      <w:r w:rsidR="000A52D5" w:rsidRPr="00D5464D">
        <w:rPr>
          <w:rFonts w:eastAsia="Batang" w:cs="Times"/>
          <w:szCs w:val="24"/>
          <w:lang w:val="pt-BR" w:eastAsia="es-ES"/>
        </w:rPr>
        <w:t xml:space="preserve">eficaz; </w:t>
      </w:r>
      <w:r w:rsidR="00470ADC" w:rsidRPr="00D5464D">
        <w:rPr>
          <w:rFonts w:eastAsia="Batang" w:cs="Times"/>
          <w:szCs w:val="24"/>
          <w:lang w:val="pt-BR" w:eastAsia="es-ES"/>
        </w:rPr>
        <w:t>ademais</w:t>
      </w:r>
      <w:r w:rsidR="000A52D5" w:rsidRPr="00D5464D">
        <w:rPr>
          <w:rFonts w:eastAsia="Batang" w:cs="Times"/>
          <w:szCs w:val="24"/>
          <w:lang w:val="pt-BR" w:eastAsia="es-ES"/>
        </w:rPr>
        <w:t xml:space="preserve">, </w:t>
      </w:r>
      <w:r w:rsidR="00E765C2" w:rsidRPr="00D5464D">
        <w:rPr>
          <w:rFonts w:eastAsia="Batang" w:cs="Times"/>
          <w:szCs w:val="24"/>
          <w:lang w:val="pt-BR" w:eastAsia="es-ES"/>
        </w:rPr>
        <w:t>considerou</w:t>
      </w:r>
      <w:r w:rsidR="000A52D5" w:rsidRPr="00D5464D">
        <w:rPr>
          <w:rFonts w:eastAsia="Batang" w:cs="Times"/>
          <w:szCs w:val="24"/>
          <w:lang w:val="pt-BR" w:eastAsia="es-ES"/>
        </w:rPr>
        <w:t xml:space="preserve"> que</w:t>
      </w:r>
      <w:r w:rsidR="00230C71" w:rsidRPr="00D5464D">
        <w:rPr>
          <w:rFonts w:eastAsia="Batang" w:cs="Times"/>
          <w:szCs w:val="24"/>
          <w:lang w:val="pt-BR" w:eastAsia="es-ES"/>
        </w:rPr>
        <w:t xml:space="preserve"> a análise</w:t>
      </w:r>
      <w:r w:rsidR="00470ADC" w:rsidRPr="00D5464D">
        <w:rPr>
          <w:rFonts w:eastAsia="Batang" w:cs="Times"/>
          <w:szCs w:val="24"/>
          <w:lang w:val="pt-BR" w:eastAsia="es-ES"/>
        </w:rPr>
        <w:t xml:space="preserve"> da</w:t>
      </w:r>
      <w:r w:rsidR="002C330E" w:rsidRPr="00D5464D">
        <w:rPr>
          <w:rFonts w:eastAsia="Batang" w:cs="Times"/>
          <w:szCs w:val="24"/>
          <w:lang w:val="pt-BR" w:eastAsia="es-ES"/>
        </w:rPr>
        <w:t xml:space="preserve"> apresentação</w:t>
      </w:r>
      <w:r w:rsidR="000A52D5" w:rsidRPr="00D5464D">
        <w:rPr>
          <w:rFonts w:eastAsia="Batang" w:cs="Times"/>
          <w:szCs w:val="24"/>
          <w:lang w:val="pt-BR" w:eastAsia="es-ES"/>
        </w:rPr>
        <w:t xml:space="preserve"> oportuna</w:t>
      </w:r>
      <w:r w:rsidR="00470ADC" w:rsidRPr="00D5464D">
        <w:rPr>
          <w:rFonts w:eastAsia="Batang" w:cs="Times"/>
          <w:szCs w:val="24"/>
          <w:lang w:val="pt-BR" w:eastAsia="es-ES"/>
        </w:rPr>
        <w:t xml:space="preserve"> da </w:t>
      </w:r>
      <w:r w:rsidR="000A52D5" w:rsidRPr="00D5464D">
        <w:rPr>
          <w:rFonts w:eastAsia="Batang" w:cs="Times"/>
          <w:szCs w:val="24"/>
          <w:lang w:val="pt-BR" w:eastAsia="es-ES"/>
        </w:rPr>
        <w:t>peti</w:t>
      </w:r>
      <w:r w:rsidR="00470ADC" w:rsidRPr="00D5464D">
        <w:rPr>
          <w:rFonts w:eastAsia="Batang" w:cs="Times"/>
          <w:szCs w:val="24"/>
          <w:lang w:val="pt-BR" w:eastAsia="es-ES"/>
        </w:rPr>
        <w:t xml:space="preserve">ção deve </w:t>
      </w:r>
      <w:r w:rsidR="000A52D5" w:rsidRPr="00D5464D">
        <w:rPr>
          <w:rFonts w:eastAsia="Batang" w:cs="Times"/>
          <w:szCs w:val="24"/>
          <w:lang w:val="pt-BR" w:eastAsia="es-ES"/>
        </w:rPr>
        <w:t>ser</w:t>
      </w:r>
      <w:r w:rsidR="002C330E" w:rsidRPr="00D5464D">
        <w:rPr>
          <w:rFonts w:eastAsia="Batang" w:cs="Times"/>
          <w:szCs w:val="24"/>
          <w:lang w:val="pt-BR" w:eastAsia="es-ES"/>
        </w:rPr>
        <w:t xml:space="preserve"> </w:t>
      </w:r>
      <w:r w:rsidRPr="00D5464D">
        <w:rPr>
          <w:rFonts w:eastAsia="Batang" w:cs="Times"/>
          <w:szCs w:val="24"/>
          <w:lang w:val="pt-BR" w:eastAsia="es-ES"/>
        </w:rPr>
        <w:t xml:space="preserve">feita </w:t>
      </w:r>
      <w:r w:rsidR="00350187" w:rsidRPr="00D5464D">
        <w:rPr>
          <w:rFonts w:eastAsia="Batang" w:cs="Times"/>
          <w:szCs w:val="24"/>
          <w:lang w:val="pt-BR" w:eastAsia="es-ES"/>
        </w:rPr>
        <w:t>quanto</w:t>
      </w:r>
      <w:r w:rsidR="00470ADC" w:rsidRPr="00D5464D">
        <w:rPr>
          <w:rFonts w:eastAsia="Batang" w:cs="Times"/>
          <w:szCs w:val="24"/>
          <w:lang w:val="pt-BR" w:eastAsia="es-ES"/>
        </w:rPr>
        <w:t xml:space="preserve"> ao </w:t>
      </w:r>
      <w:r w:rsidR="000A52D5" w:rsidRPr="00D5464D">
        <w:rPr>
          <w:rFonts w:eastAsia="Batang" w:cs="Times"/>
          <w:szCs w:val="24"/>
          <w:lang w:val="pt-BR" w:eastAsia="es-ES"/>
        </w:rPr>
        <w:t>caso</w:t>
      </w:r>
      <w:r w:rsidR="00470ADC" w:rsidRPr="00D5464D">
        <w:rPr>
          <w:rFonts w:eastAsia="Batang" w:cs="Times"/>
          <w:szCs w:val="24"/>
          <w:lang w:val="pt-BR" w:eastAsia="es-ES"/>
        </w:rPr>
        <w:t xml:space="preserve"> em </w:t>
      </w:r>
      <w:r w:rsidR="00737270" w:rsidRPr="00D5464D">
        <w:rPr>
          <w:rFonts w:eastAsia="Batang" w:cs="Times"/>
          <w:szCs w:val="24"/>
          <w:lang w:val="pt-BR" w:eastAsia="es-ES"/>
        </w:rPr>
        <w:t>seu conjunto</w:t>
      </w:r>
      <w:r w:rsidRPr="00D5464D">
        <w:rPr>
          <w:rFonts w:eastAsia="Batang" w:cs="Times"/>
          <w:szCs w:val="24"/>
          <w:lang w:val="pt-BR" w:eastAsia="es-ES"/>
        </w:rPr>
        <w:t>,</w:t>
      </w:r>
      <w:r w:rsidR="00E045D9" w:rsidRPr="00D5464D">
        <w:rPr>
          <w:rFonts w:eastAsia="Batang" w:cs="Times"/>
          <w:szCs w:val="24"/>
          <w:lang w:val="pt-BR" w:eastAsia="es-ES"/>
        </w:rPr>
        <w:t xml:space="preserve"> e </w:t>
      </w:r>
      <w:r w:rsidR="000A52D5" w:rsidRPr="00D5464D">
        <w:rPr>
          <w:rFonts w:eastAsia="Batang" w:cs="Times"/>
          <w:szCs w:val="24"/>
          <w:lang w:val="pt-BR" w:eastAsia="es-ES"/>
        </w:rPr>
        <w:t>n</w:t>
      </w:r>
      <w:r w:rsidRPr="00D5464D">
        <w:rPr>
          <w:rFonts w:eastAsia="Batang" w:cs="Times"/>
          <w:szCs w:val="24"/>
          <w:lang w:val="pt-BR" w:eastAsia="es-ES"/>
        </w:rPr>
        <w:t>ã</w:t>
      </w:r>
      <w:r w:rsidR="000A52D5" w:rsidRPr="00D5464D">
        <w:rPr>
          <w:rFonts w:eastAsia="Batang" w:cs="Times"/>
          <w:szCs w:val="24"/>
          <w:lang w:val="pt-BR" w:eastAsia="es-ES"/>
        </w:rPr>
        <w:t>o</w:t>
      </w:r>
      <w:r w:rsidR="00470ADC" w:rsidRPr="00D5464D">
        <w:rPr>
          <w:rFonts w:eastAsia="Batang" w:cs="Times"/>
          <w:szCs w:val="24"/>
          <w:lang w:val="pt-BR" w:eastAsia="es-ES"/>
        </w:rPr>
        <w:t xml:space="preserve"> com </w:t>
      </w:r>
      <w:r w:rsidR="000A52D5" w:rsidRPr="00D5464D">
        <w:rPr>
          <w:rFonts w:eastAsia="Batang" w:cs="Times"/>
          <w:szCs w:val="24"/>
          <w:lang w:val="pt-BR" w:eastAsia="es-ES"/>
        </w:rPr>
        <w:t>base</w:t>
      </w:r>
      <w:r w:rsidR="00470ADC" w:rsidRPr="00D5464D">
        <w:rPr>
          <w:rFonts w:eastAsia="Batang" w:cs="Times"/>
          <w:szCs w:val="24"/>
          <w:lang w:val="pt-BR" w:eastAsia="es-ES"/>
        </w:rPr>
        <w:t xml:space="preserve"> em </w:t>
      </w:r>
      <w:r w:rsidR="002C330E" w:rsidRPr="00D5464D">
        <w:rPr>
          <w:rFonts w:eastAsia="Batang" w:cs="Times"/>
          <w:szCs w:val="24"/>
          <w:lang w:val="pt-BR" w:eastAsia="es-ES"/>
        </w:rPr>
        <w:t>fatos</w:t>
      </w:r>
      <w:r w:rsidR="000A52D5" w:rsidRPr="00D5464D">
        <w:rPr>
          <w:rFonts w:eastAsia="Batang" w:cs="Times"/>
          <w:szCs w:val="24"/>
          <w:lang w:val="pt-BR" w:eastAsia="es-ES"/>
        </w:rPr>
        <w:t xml:space="preserve"> </w:t>
      </w:r>
      <w:r w:rsidR="00A1358C" w:rsidRPr="00D5464D">
        <w:rPr>
          <w:rFonts w:eastAsia="Batang" w:cs="Times"/>
          <w:szCs w:val="24"/>
          <w:lang w:val="pt-BR" w:eastAsia="es-ES"/>
        </w:rPr>
        <w:t>isolad</w:t>
      </w:r>
      <w:r w:rsidR="000A52D5" w:rsidRPr="00D5464D">
        <w:rPr>
          <w:rFonts w:eastAsia="Batang" w:cs="Times"/>
          <w:szCs w:val="24"/>
          <w:lang w:val="pt-BR" w:eastAsia="es-ES"/>
        </w:rPr>
        <w:t>os.</w:t>
      </w:r>
    </w:p>
    <w:p w14:paraId="00B7E87A" w14:textId="77777777" w:rsidR="000A52D5" w:rsidRPr="00D5464D" w:rsidRDefault="000A52D5" w:rsidP="00140440">
      <w:pPr>
        <w:tabs>
          <w:tab w:val="clear" w:pos="4419"/>
          <w:tab w:val="clear" w:pos="8838"/>
        </w:tabs>
        <w:jc w:val="both"/>
        <w:rPr>
          <w:rFonts w:eastAsia="Batang" w:cs="Times"/>
          <w:szCs w:val="24"/>
          <w:lang w:val="pt-BR" w:eastAsia="es-ES"/>
        </w:rPr>
      </w:pPr>
    </w:p>
    <w:p w14:paraId="2A5E448C" w14:textId="097D2102" w:rsidR="000A52D5" w:rsidRPr="00D5464D" w:rsidRDefault="00737270"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Os </w:t>
      </w:r>
      <w:r w:rsidR="00EB1CE9" w:rsidRPr="00D5464D">
        <w:rPr>
          <w:rFonts w:eastAsia="Batang" w:cs="Times"/>
          <w:b/>
          <w:i/>
          <w:szCs w:val="24"/>
          <w:lang w:val="pt-BR" w:eastAsia="es-ES"/>
        </w:rPr>
        <w:t>representante</w:t>
      </w:r>
      <w:r w:rsidRPr="00D5464D">
        <w:rPr>
          <w:rFonts w:eastAsia="Batang" w:cs="Times"/>
          <w:b/>
          <w:i/>
          <w:szCs w:val="24"/>
          <w:lang w:val="pt-BR" w:eastAsia="es-ES"/>
        </w:rPr>
        <w:t>s</w:t>
      </w:r>
      <w:r w:rsidRPr="00D5464D">
        <w:rPr>
          <w:rFonts w:eastAsia="Batang" w:cs="Times"/>
          <w:szCs w:val="24"/>
          <w:lang w:val="pt-BR" w:eastAsia="es-ES"/>
        </w:rPr>
        <w:t xml:space="preserve"> </w:t>
      </w:r>
      <w:r w:rsidR="002C330E" w:rsidRPr="00D5464D">
        <w:rPr>
          <w:rFonts w:eastAsia="Batang" w:cs="Times"/>
          <w:szCs w:val="24"/>
          <w:lang w:val="pt-BR" w:eastAsia="es-ES"/>
        </w:rPr>
        <w:t>afirmaram</w:t>
      </w:r>
      <w:r w:rsidR="000A52D5" w:rsidRPr="00D5464D">
        <w:rPr>
          <w:rFonts w:eastAsia="Batang" w:cs="Times"/>
          <w:szCs w:val="24"/>
          <w:lang w:val="pt-BR" w:eastAsia="es-ES"/>
        </w:rPr>
        <w:t xml:space="preserve"> que</w:t>
      </w:r>
      <w:r w:rsidR="002C330E" w:rsidRPr="00D5464D">
        <w:rPr>
          <w:rFonts w:eastAsia="Batang" w:cs="Times"/>
          <w:szCs w:val="24"/>
          <w:lang w:val="pt-BR" w:eastAsia="es-ES"/>
        </w:rPr>
        <w:t xml:space="preserve"> a pretensão</w:t>
      </w:r>
      <w:r w:rsidR="000A52D5" w:rsidRPr="00D5464D">
        <w:rPr>
          <w:rFonts w:eastAsia="Batang" w:cs="Times"/>
          <w:szCs w:val="24"/>
          <w:lang w:val="pt-BR" w:eastAsia="es-ES"/>
        </w:rPr>
        <w:t xml:space="preserve"> </w:t>
      </w:r>
      <w:r w:rsidR="00470ADC" w:rsidRPr="00D5464D">
        <w:rPr>
          <w:rFonts w:eastAsia="Batang" w:cs="Times"/>
          <w:szCs w:val="24"/>
          <w:lang w:val="pt-BR" w:eastAsia="es-ES"/>
        </w:rPr>
        <w:t xml:space="preserve">do </w:t>
      </w:r>
      <w:r w:rsidR="000A52D5" w:rsidRPr="00D5464D">
        <w:rPr>
          <w:rFonts w:eastAsia="Batang" w:cs="Times"/>
          <w:szCs w:val="24"/>
          <w:lang w:val="pt-BR" w:eastAsia="es-ES"/>
        </w:rPr>
        <w:t xml:space="preserve">Estado carece de </w:t>
      </w:r>
      <w:r w:rsidR="005A1649" w:rsidRPr="00D5464D">
        <w:rPr>
          <w:rFonts w:eastAsia="Batang" w:cs="Times"/>
          <w:szCs w:val="24"/>
          <w:lang w:val="pt-BR" w:eastAsia="es-ES"/>
        </w:rPr>
        <w:t>fundamento</w:t>
      </w:r>
      <w:r w:rsidR="002C330E" w:rsidRPr="00D5464D">
        <w:rPr>
          <w:rFonts w:eastAsia="Batang" w:cs="Times"/>
          <w:szCs w:val="24"/>
          <w:lang w:val="pt-BR" w:eastAsia="es-ES"/>
        </w:rPr>
        <w:t xml:space="preserve"> e a </w:t>
      </w:r>
      <w:r w:rsidR="00470ADC" w:rsidRPr="00D5464D">
        <w:rPr>
          <w:rFonts w:eastAsia="Batang" w:cs="Times"/>
          <w:szCs w:val="24"/>
          <w:lang w:val="pt-BR" w:eastAsia="es-ES"/>
        </w:rPr>
        <w:t>exceção</w:t>
      </w:r>
      <w:r w:rsidR="000A52D5" w:rsidRPr="00D5464D">
        <w:rPr>
          <w:rFonts w:eastAsia="Batang" w:cs="Times"/>
          <w:szCs w:val="24"/>
          <w:lang w:val="pt-BR" w:eastAsia="es-ES"/>
        </w:rPr>
        <w:t xml:space="preserve"> </w:t>
      </w:r>
      <w:r w:rsidR="00350187" w:rsidRPr="00D5464D">
        <w:rPr>
          <w:rFonts w:eastAsia="Batang" w:cs="Times"/>
          <w:szCs w:val="24"/>
          <w:lang w:val="pt-BR" w:eastAsia="es-ES"/>
        </w:rPr>
        <w:t>propost</w:t>
      </w:r>
      <w:r w:rsidR="000A52D5" w:rsidRPr="00D5464D">
        <w:rPr>
          <w:rFonts w:eastAsia="Batang" w:cs="Times"/>
          <w:szCs w:val="24"/>
          <w:lang w:val="pt-BR" w:eastAsia="es-ES"/>
        </w:rPr>
        <w:t>a</w:t>
      </w:r>
      <w:r w:rsidR="00C35476" w:rsidRPr="00D5464D">
        <w:rPr>
          <w:rFonts w:eastAsia="Batang" w:cs="Times"/>
          <w:szCs w:val="24"/>
          <w:lang w:val="pt-BR" w:eastAsia="es-ES"/>
        </w:rPr>
        <w:t xml:space="preserve"> deve ser </w:t>
      </w:r>
      <w:r w:rsidR="005A1649" w:rsidRPr="00D5464D">
        <w:rPr>
          <w:rFonts w:eastAsia="Batang" w:cs="Times"/>
          <w:szCs w:val="24"/>
          <w:lang w:val="pt-BR" w:eastAsia="es-ES"/>
        </w:rPr>
        <w:t>rejeitada</w:t>
      </w:r>
      <w:r w:rsidR="000A52D5" w:rsidRPr="00D5464D">
        <w:rPr>
          <w:rFonts w:eastAsia="Batang" w:cs="Times"/>
          <w:szCs w:val="24"/>
          <w:lang w:val="pt-BR" w:eastAsia="es-ES"/>
        </w:rPr>
        <w:t xml:space="preserve">, dado que </w:t>
      </w:r>
      <w:r w:rsidR="00C35476" w:rsidRPr="00D5464D">
        <w:rPr>
          <w:rFonts w:eastAsia="Batang" w:cs="Times"/>
          <w:szCs w:val="24"/>
          <w:lang w:val="pt-BR" w:eastAsia="es-ES"/>
        </w:rPr>
        <w:t xml:space="preserve">não </w:t>
      </w:r>
      <w:r w:rsidR="005A1649" w:rsidRPr="00D5464D">
        <w:rPr>
          <w:rFonts w:eastAsia="Batang" w:cs="Times"/>
          <w:szCs w:val="24"/>
          <w:lang w:val="pt-BR" w:eastAsia="es-ES"/>
        </w:rPr>
        <w:t xml:space="preserve">foi promovida </w:t>
      </w:r>
      <w:r w:rsidR="00E045D9" w:rsidRPr="00D5464D">
        <w:rPr>
          <w:rFonts w:eastAsia="Batang" w:cs="Times"/>
          <w:szCs w:val="24"/>
          <w:lang w:val="pt-BR" w:eastAsia="es-ES"/>
        </w:rPr>
        <w:t xml:space="preserve">no </w:t>
      </w:r>
      <w:r w:rsidR="000A52D5" w:rsidRPr="00D5464D">
        <w:rPr>
          <w:rFonts w:eastAsia="Batang" w:cs="Times"/>
          <w:szCs w:val="24"/>
          <w:lang w:val="pt-BR" w:eastAsia="es-ES"/>
        </w:rPr>
        <w:t xml:space="preserve">momento </w:t>
      </w:r>
      <w:r w:rsidR="002C330E" w:rsidRPr="00D5464D">
        <w:rPr>
          <w:rFonts w:eastAsia="Batang" w:cs="Times"/>
          <w:szCs w:val="24"/>
          <w:lang w:val="pt-BR" w:eastAsia="es-ES"/>
        </w:rPr>
        <w:t xml:space="preserve">processual </w:t>
      </w:r>
      <w:r w:rsidR="000A52D5" w:rsidRPr="00D5464D">
        <w:rPr>
          <w:rFonts w:eastAsia="Batang" w:cs="Times"/>
          <w:szCs w:val="24"/>
          <w:lang w:val="pt-BR" w:eastAsia="es-ES"/>
        </w:rPr>
        <w:t>oportuno</w:t>
      </w:r>
      <w:r w:rsidR="00E045D9" w:rsidRPr="00D5464D">
        <w:rPr>
          <w:rFonts w:eastAsia="Batang" w:cs="Times"/>
          <w:szCs w:val="24"/>
          <w:lang w:val="pt-BR" w:eastAsia="es-ES"/>
        </w:rPr>
        <w:t xml:space="preserve"> e </w:t>
      </w:r>
      <w:r w:rsidR="002C330E" w:rsidRPr="00D5464D">
        <w:rPr>
          <w:rFonts w:eastAsia="Batang" w:cs="Times"/>
          <w:szCs w:val="24"/>
          <w:lang w:val="pt-BR" w:eastAsia="es-ES"/>
        </w:rPr>
        <w:t>sustenta</w:t>
      </w:r>
      <w:r w:rsidR="000A52D5" w:rsidRPr="00D5464D">
        <w:rPr>
          <w:rFonts w:eastAsia="Batang" w:cs="Times"/>
          <w:szCs w:val="24"/>
          <w:lang w:val="pt-BR" w:eastAsia="es-ES"/>
        </w:rPr>
        <w:t xml:space="preserve"> su</w:t>
      </w:r>
      <w:r w:rsidR="00C35476" w:rsidRPr="00D5464D">
        <w:rPr>
          <w:rFonts w:eastAsia="Batang" w:cs="Times"/>
          <w:szCs w:val="24"/>
          <w:lang w:val="pt-BR" w:eastAsia="es-ES"/>
        </w:rPr>
        <w:t>a</w:t>
      </w:r>
      <w:r w:rsidR="000A52D5" w:rsidRPr="00D5464D">
        <w:rPr>
          <w:rFonts w:eastAsia="Batang" w:cs="Times"/>
          <w:szCs w:val="24"/>
          <w:lang w:val="pt-BR" w:eastAsia="es-ES"/>
        </w:rPr>
        <w:t xml:space="preserve"> argumenta</w:t>
      </w:r>
      <w:r w:rsidR="00470ADC" w:rsidRPr="00D5464D">
        <w:rPr>
          <w:rFonts w:eastAsia="Batang" w:cs="Times"/>
          <w:szCs w:val="24"/>
          <w:lang w:val="pt-BR" w:eastAsia="es-ES"/>
        </w:rPr>
        <w:t>ção</w:t>
      </w:r>
      <w:r w:rsidR="00E045D9" w:rsidRPr="00D5464D">
        <w:rPr>
          <w:rFonts w:eastAsia="Batang" w:cs="Times"/>
          <w:szCs w:val="24"/>
          <w:lang w:val="pt-BR" w:eastAsia="es-ES"/>
        </w:rPr>
        <w:t xml:space="preserve"> na </w:t>
      </w:r>
      <w:r w:rsidR="000A52D5" w:rsidRPr="00D5464D">
        <w:rPr>
          <w:rFonts w:eastAsia="Batang" w:cs="Times"/>
          <w:szCs w:val="24"/>
          <w:lang w:val="pt-BR" w:eastAsia="es-ES"/>
        </w:rPr>
        <w:t xml:space="preserve">falta de </w:t>
      </w:r>
      <w:r w:rsidR="00470ADC" w:rsidRPr="00D5464D">
        <w:rPr>
          <w:rFonts w:eastAsia="Batang" w:cs="Times"/>
          <w:szCs w:val="24"/>
          <w:lang w:val="pt-BR" w:eastAsia="es-ES"/>
        </w:rPr>
        <w:t xml:space="preserve">esgotamento dos </w:t>
      </w:r>
      <w:r w:rsidR="000A52D5" w:rsidRPr="00D5464D">
        <w:rPr>
          <w:rFonts w:eastAsia="Batang" w:cs="Times"/>
          <w:szCs w:val="24"/>
          <w:lang w:val="pt-BR" w:eastAsia="es-ES"/>
        </w:rPr>
        <w:t xml:space="preserve">recursos internos. </w:t>
      </w:r>
    </w:p>
    <w:p w14:paraId="7D78797C" w14:textId="77777777" w:rsidR="000A52D5" w:rsidRPr="00D5464D" w:rsidRDefault="000A52D5" w:rsidP="00140440">
      <w:pPr>
        <w:tabs>
          <w:tab w:val="clear" w:pos="4419"/>
          <w:tab w:val="clear" w:pos="8838"/>
        </w:tabs>
        <w:jc w:val="both"/>
        <w:rPr>
          <w:rFonts w:eastAsia="Batang" w:cs="Times"/>
          <w:szCs w:val="24"/>
          <w:lang w:val="pt-BR" w:eastAsia="es-ES"/>
        </w:rPr>
      </w:pPr>
    </w:p>
    <w:p w14:paraId="11D99275" w14:textId="633E86F4" w:rsidR="000A52D5" w:rsidRPr="00D5464D" w:rsidRDefault="004D310D" w:rsidP="000A20C1">
      <w:pPr>
        <w:pStyle w:val="Ttulo3"/>
        <w:rPr>
          <w:lang w:val="pt-BR" w:eastAsia="es-ES"/>
        </w:rPr>
      </w:pPr>
      <w:bookmarkStart w:id="169" w:name="_Toc460432989"/>
      <w:bookmarkStart w:id="170" w:name="_Toc460441920"/>
      <w:bookmarkStart w:id="171" w:name="_Toc462750740"/>
      <w:bookmarkStart w:id="172" w:name="_Toc462751064"/>
      <w:bookmarkStart w:id="173" w:name="_Toc464813916"/>
      <w:bookmarkStart w:id="174" w:name="_Toc468433877"/>
      <w:r w:rsidRPr="00D5464D">
        <w:rPr>
          <w:lang w:val="pt-BR" w:eastAsia="es-ES"/>
        </w:rPr>
        <w:t>I</w:t>
      </w:r>
      <w:r w:rsidR="000A52D5" w:rsidRPr="00D5464D">
        <w:rPr>
          <w:lang w:val="pt-BR" w:eastAsia="es-ES"/>
        </w:rPr>
        <w:t>.2. Considera</w:t>
      </w:r>
      <w:r w:rsidR="00470ADC" w:rsidRPr="00D5464D">
        <w:rPr>
          <w:lang w:val="pt-BR" w:eastAsia="es-ES"/>
        </w:rPr>
        <w:t xml:space="preserve">ções da </w:t>
      </w:r>
      <w:r w:rsidR="000A52D5" w:rsidRPr="00D5464D">
        <w:rPr>
          <w:lang w:val="pt-BR" w:eastAsia="es-ES"/>
        </w:rPr>
        <w:t>Corte</w:t>
      </w:r>
      <w:bookmarkEnd w:id="169"/>
      <w:bookmarkEnd w:id="170"/>
      <w:bookmarkEnd w:id="171"/>
      <w:bookmarkEnd w:id="172"/>
      <w:bookmarkEnd w:id="173"/>
      <w:bookmarkEnd w:id="174"/>
    </w:p>
    <w:p w14:paraId="44698867" w14:textId="77777777" w:rsidR="00D65024" w:rsidRPr="00D5464D" w:rsidRDefault="000A52D5" w:rsidP="00D65024">
      <w:pPr>
        <w:tabs>
          <w:tab w:val="clear" w:pos="4419"/>
          <w:tab w:val="clear" w:pos="8838"/>
        </w:tabs>
        <w:jc w:val="both"/>
        <w:rPr>
          <w:rFonts w:eastAsia="Batang" w:cs="Times"/>
          <w:szCs w:val="24"/>
          <w:lang w:val="pt-BR" w:eastAsia="es-ES"/>
        </w:rPr>
      </w:pPr>
      <w:r w:rsidRPr="00D5464D">
        <w:rPr>
          <w:rFonts w:eastAsia="Batang" w:cs="Times"/>
          <w:szCs w:val="24"/>
          <w:lang w:val="pt-BR" w:eastAsia="es-ES"/>
        </w:rPr>
        <w:t xml:space="preserve"> </w:t>
      </w:r>
    </w:p>
    <w:p w14:paraId="0595F3F6" w14:textId="1C267553" w:rsidR="000A52D5" w:rsidRPr="00D5464D" w:rsidRDefault="00470ADC" w:rsidP="00140440">
      <w:pPr>
        <w:numPr>
          <w:ilvl w:val="0"/>
          <w:numId w:val="1"/>
        </w:numPr>
        <w:tabs>
          <w:tab w:val="clear" w:pos="4419"/>
          <w:tab w:val="clear" w:pos="8838"/>
        </w:tabs>
        <w:jc w:val="both"/>
        <w:rPr>
          <w:rFonts w:eastAsia="Batang" w:cs="Times"/>
          <w:szCs w:val="24"/>
          <w:lang w:val="pt-BR" w:eastAsia="es-ES"/>
        </w:rPr>
      </w:pPr>
      <w:r w:rsidRPr="00D5464D">
        <w:rPr>
          <w:rFonts w:eastAsia="Batang" w:cs="Times"/>
          <w:szCs w:val="24"/>
          <w:lang w:val="pt-BR" w:eastAsia="es-ES"/>
        </w:rPr>
        <w:t>A exceção</w:t>
      </w:r>
      <w:r w:rsidR="000A52D5" w:rsidRPr="00D5464D">
        <w:rPr>
          <w:rFonts w:eastAsia="Batang" w:cs="Times"/>
          <w:szCs w:val="24"/>
          <w:lang w:val="pt-BR" w:eastAsia="es-ES"/>
        </w:rPr>
        <w:t xml:space="preserve"> preliminar</w:t>
      </w:r>
      <w:r w:rsidRPr="00D5464D">
        <w:rPr>
          <w:rFonts w:eastAsia="Batang" w:cs="Times"/>
          <w:szCs w:val="24"/>
          <w:lang w:val="pt-BR" w:eastAsia="es-ES"/>
        </w:rPr>
        <w:t xml:space="preserve"> sob análise</w:t>
      </w:r>
      <w:r w:rsidR="000A52D5" w:rsidRPr="00D5464D">
        <w:rPr>
          <w:rFonts w:eastAsia="Batang" w:cs="Times"/>
          <w:szCs w:val="24"/>
          <w:lang w:val="pt-BR" w:eastAsia="es-ES"/>
        </w:rPr>
        <w:t xml:space="preserve"> </w:t>
      </w:r>
      <w:r w:rsidR="00737270" w:rsidRPr="00D5464D">
        <w:rPr>
          <w:rFonts w:eastAsia="Batang" w:cs="Times"/>
          <w:szCs w:val="24"/>
          <w:lang w:val="pt-BR" w:eastAsia="es-ES"/>
        </w:rPr>
        <w:t>não foi</w:t>
      </w:r>
      <w:r w:rsidRPr="00D5464D">
        <w:rPr>
          <w:rFonts w:eastAsia="Batang" w:cs="Times"/>
          <w:szCs w:val="24"/>
          <w:lang w:val="pt-BR" w:eastAsia="es-ES"/>
        </w:rPr>
        <w:t xml:space="preserve"> </w:t>
      </w:r>
      <w:r w:rsidR="002C330E" w:rsidRPr="00D5464D">
        <w:rPr>
          <w:rFonts w:eastAsia="Batang" w:cs="Times"/>
          <w:szCs w:val="24"/>
          <w:lang w:val="pt-BR" w:eastAsia="es-ES"/>
        </w:rPr>
        <w:t>interpost</w:t>
      </w:r>
      <w:r w:rsidR="000A52D5" w:rsidRPr="00D5464D">
        <w:rPr>
          <w:rFonts w:eastAsia="Batang" w:cs="Times"/>
          <w:szCs w:val="24"/>
          <w:lang w:val="pt-BR" w:eastAsia="es-ES"/>
        </w:rPr>
        <w:t>a</w:t>
      </w:r>
      <w:r w:rsidR="002C330E" w:rsidRPr="00D5464D">
        <w:rPr>
          <w:rFonts w:eastAsia="Batang" w:cs="Times"/>
          <w:szCs w:val="24"/>
          <w:lang w:val="pt-BR" w:eastAsia="es-ES"/>
        </w:rPr>
        <w:t xml:space="preserve"> pelo </w:t>
      </w:r>
      <w:r w:rsidR="000A52D5" w:rsidRPr="00D5464D">
        <w:rPr>
          <w:rFonts w:eastAsia="Batang" w:cs="Times"/>
          <w:szCs w:val="24"/>
          <w:lang w:val="pt-BR" w:eastAsia="es-ES"/>
        </w:rPr>
        <w:t>Estado durante</w:t>
      </w:r>
      <w:r w:rsidRPr="00D5464D">
        <w:rPr>
          <w:rFonts w:eastAsia="Batang" w:cs="Times"/>
          <w:szCs w:val="24"/>
          <w:lang w:val="pt-BR" w:eastAsia="es-ES"/>
        </w:rPr>
        <w:t xml:space="preserve"> o </w:t>
      </w:r>
      <w:r w:rsidR="00E045D9" w:rsidRPr="00D5464D">
        <w:rPr>
          <w:rFonts w:eastAsia="Batang" w:cs="Times"/>
          <w:szCs w:val="24"/>
          <w:lang w:val="pt-BR" w:eastAsia="es-ES"/>
        </w:rPr>
        <w:t>trâmite</w:t>
      </w:r>
      <w:r w:rsidR="000A52D5" w:rsidRPr="00D5464D">
        <w:rPr>
          <w:rFonts w:eastAsia="Batang" w:cs="Times"/>
          <w:szCs w:val="24"/>
          <w:lang w:val="pt-BR" w:eastAsia="es-ES"/>
        </w:rPr>
        <w:t xml:space="preserve"> de </w:t>
      </w:r>
      <w:r w:rsidRPr="00D5464D">
        <w:rPr>
          <w:rFonts w:eastAsia="Batang" w:cs="Times"/>
          <w:szCs w:val="24"/>
          <w:lang w:val="pt-BR" w:eastAsia="es-ES"/>
        </w:rPr>
        <w:t xml:space="preserve">admissibilidade da </w:t>
      </w:r>
      <w:r w:rsidR="000A52D5" w:rsidRPr="00D5464D">
        <w:rPr>
          <w:rFonts w:eastAsia="Batang" w:cs="Times"/>
          <w:szCs w:val="24"/>
          <w:lang w:val="pt-BR" w:eastAsia="es-ES"/>
        </w:rPr>
        <w:t>peti</w:t>
      </w:r>
      <w:r w:rsidRPr="00D5464D">
        <w:rPr>
          <w:rFonts w:eastAsia="Batang" w:cs="Times"/>
          <w:szCs w:val="24"/>
          <w:lang w:val="pt-BR" w:eastAsia="es-ES"/>
        </w:rPr>
        <w:t>ção perante a Comissão</w:t>
      </w:r>
      <w:r w:rsidR="00A1358C" w:rsidRPr="00D5464D">
        <w:rPr>
          <w:rFonts w:eastAsia="Batang" w:cs="Times"/>
          <w:szCs w:val="24"/>
          <w:lang w:val="pt-BR" w:eastAsia="es-ES"/>
        </w:rPr>
        <w:t xml:space="preserve">. </w:t>
      </w:r>
      <w:r w:rsidR="00E765C2" w:rsidRPr="00D5464D">
        <w:rPr>
          <w:rFonts w:eastAsia="Batang" w:cs="Times"/>
          <w:szCs w:val="24"/>
          <w:lang w:val="pt-BR" w:eastAsia="es-ES"/>
        </w:rPr>
        <w:t>Nesse sentido</w:t>
      </w:r>
      <w:r w:rsidR="000A52D5" w:rsidRPr="00D5464D">
        <w:rPr>
          <w:rFonts w:eastAsia="Batang" w:cs="Times"/>
          <w:szCs w:val="24"/>
          <w:lang w:val="pt-BR" w:eastAsia="es-ES"/>
        </w:rPr>
        <w:t>,</w:t>
      </w:r>
      <w:r w:rsidRPr="00D5464D">
        <w:rPr>
          <w:rFonts w:eastAsia="Batang" w:cs="Times"/>
          <w:szCs w:val="24"/>
          <w:lang w:val="pt-BR" w:eastAsia="es-ES"/>
        </w:rPr>
        <w:t xml:space="preserve"> é extemporâne</w:t>
      </w:r>
      <w:r w:rsidR="002443D0" w:rsidRPr="00D5464D">
        <w:rPr>
          <w:rFonts w:eastAsia="Batang" w:cs="Times"/>
          <w:szCs w:val="24"/>
          <w:lang w:val="pt-BR" w:eastAsia="es-ES"/>
        </w:rPr>
        <w:t>a</w:t>
      </w:r>
      <w:r w:rsidRPr="00D5464D">
        <w:rPr>
          <w:rFonts w:eastAsia="Batang" w:cs="Times"/>
          <w:szCs w:val="24"/>
          <w:lang w:val="pt-BR" w:eastAsia="es-ES"/>
        </w:rPr>
        <w:t xml:space="preserve"> </w:t>
      </w:r>
      <w:r w:rsidR="005A1649" w:rsidRPr="00D5464D">
        <w:rPr>
          <w:rFonts w:eastAsia="Batang" w:cs="Times"/>
          <w:szCs w:val="24"/>
          <w:lang w:val="pt-BR" w:eastAsia="es-ES"/>
        </w:rPr>
        <w:t xml:space="preserve">uma vez </w:t>
      </w:r>
      <w:r w:rsidR="00EE5C0A" w:rsidRPr="00D5464D">
        <w:rPr>
          <w:rFonts w:eastAsia="Batang" w:cs="Times"/>
          <w:szCs w:val="24"/>
          <w:lang w:val="pt-BR" w:eastAsia="es-ES"/>
        </w:rPr>
        <w:t xml:space="preserve">que </w:t>
      </w:r>
      <w:r w:rsidR="00737270" w:rsidRPr="00D5464D">
        <w:rPr>
          <w:rFonts w:eastAsia="Batang" w:cs="Times"/>
          <w:szCs w:val="24"/>
          <w:lang w:val="pt-BR" w:eastAsia="es-ES"/>
        </w:rPr>
        <w:t>não foi</w:t>
      </w:r>
      <w:r w:rsidRPr="00D5464D">
        <w:rPr>
          <w:rFonts w:eastAsia="Batang" w:cs="Times"/>
          <w:szCs w:val="24"/>
          <w:lang w:val="pt-BR" w:eastAsia="es-ES"/>
        </w:rPr>
        <w:t xml:space="preserve"> </w:t>
      </w:r>
      <w:r w:rsidR="00EE5C0A" w:rsidRPr="00D5464D">
        <w:rPr>
          <w:rFonts w:eastAsia="Batang" w:cs="Times"/>
          <w:szCs w:val="24"/>
          <w:lang w:val="pt-BR" w:eastAsia="es-ES"/>
        </w:rPr>
        <w:t>alegada</w:t>
      </w:r>
      <w:r w:rsidR="00E045D9" w:rsidRPr="00D5464D">
        <w:rPr>
          <w:rFonts w:eastAsia="Batang" w:cs="Times"/>
          <w:szCs w:val="24"/>
          <w:lang w:val="pt-BR" w:eastAsia="es-ES"/>
        </w:rPr>
        <w:t xml:space="preserve"> no </w:t>
      </w:r>
      <w:r w:rsidR="000A52D5" w:rsidRPr="00D5464D">
        <w:rPr>
          <w:rFonts w:eastAsia="Batang" w:cs="Times"/>
          <w:szCs w:val="24"/>
          <w:lang w:val="pt-BR" w:eastAsia="es-ES"/>
        </w:rPr>
        <w:t xml:space="preserve">momento </w:t>
      </w:r>
      <w:r w:rsidR="002C330E" w:rsidRPr="00D5464D">
        <w:rPr>
          <w:rFonts w:eastAsia="Batang" w:cs="Times"/>
          <w:szCs w:val="24"/>
          <w:lang w:val="pt-BR" w:eastAsia="es-ES"/>
        </w:rPr>
        <w:t xml:space="preserve">processual </w:t>
      </w:r>
      <w:r w:rsidR="000A52D5" w:rsidRPr="00D5464D">
        <w:rPr>
          <w:rFonts w:eastAsia="Batang" w:cs="Times"/>
          <w:szCs w:val="24"/>
          <w:lang w:val="pt-BR" w:eastAsia="es-ES"/>
        </w:rPr>
        <w:t xml:space="preserve">oportuno. </w:t>
      </w:r>
      <w:r w:rsidR="00230C71" w:rsidRPr="00D5464D">
        <w:rPr>
          <w:rFonts w:eastAsia="Batang" w:cs="Times"/>
          <w:bCs/>
          <w:szCs w:val="24"/>
          <w:lang w:val="pt-BR" w:eastAsia="es-ES"/>
        </w:rPr>
        <w:t>Portanto,</w:t>
      </w:r>
      <w:r w:rsidR="002C330E" w:rsidRPr="00D5464D">
        <w:rPr>
          <w:rFonts w:eastAsia="Batang" w:cs="Times"/>
          <w:bCs/>
          <w:szCs w:val="24"/>
          <w:lang w:val="pt-BR" w:eastAsia="es-ES"/>
        </w:rPr>
        <w:t xml:space="preserve"> a </w:t>
      </w:r>
      <w:r w:rsidR="000A52D5" w:rsidRPr="00D5464D">
        <w:rPr>
          <w:rFonts w:eastAsia="Batang" w:cs="Times"/>
          <w:bCs/>
          <w:szCs w:val="24"/>
          <w:lang w:val="pt-BR" w:eastAsia="es-ES"/>
        </w:rPr>
        <w:t xml:space="preserve">Corte </w:t>
      </w:r>
      <w:r w:rsidR="00C35476" w:rsidRPr="00D5464D">
        <w:rPr>
          <w:rFonts w:eastAsia="Batang" w:cs="Times"/>
          <w:bCs/>
          <w:szCs w:val="24"/>
          <w:lang w:val="pt-BR" w:eastAsia="es-ES"/>
        </w:rPr>
        <w:t>rejeita est</w:t>
      </w:r>
      <w:r w:rsidR="002C330E" w:rsidRPr="00D5464D">
        <w:rPr>
          <w:rFonts w:eastAsia="Batang" w:cs="Times"/>
          <w:bCs/>
          <w:szCs w:val="24"/>
          <w:lang w:val="pt-BR" w:eastAsia="es-ES"/>
        </w:rPr>
        <w:t xml:space="preserve">a </w:t>
      </w:r>
      <w:r w:rsidRPr="00D5464D">
        <w:rPr>
          <w:rFonts w:eastAsia="Batang" w:cs="Times"/>
          <w:bCs/>
          <w:szCs w:val="24"/>
          <w:lang w:val="pt-BR" w:eastAsia="es-ES"/>
        </w:rPr>
        <w:t>exceção</w:t>
      </w:r>
      <w:r w:rsidR="000A52D5" w:rsidRPr="00D5464D">
        <w:rPr>
          <w:rFonts w:eastAsia="Batang" w:cs="Times"/>
          <w:bCs/>
          <w:szCs w:val="24"/>
          <w:lang w:val="pt-BR" w:eastAsia="es-ES"/>
        </w:rPr>
        <w:t xml:space="preserve"> preliminar.</w:t>
      </w:r>
    </w:p>
    <w:p w14:paraId="64BCDBE3" w14:textId="77777777" w:rsidR="00BA1ACF" w:rsidRPr="00D5464D" w:rsidRDefault="00BA1ACF" w:rsidP="00140440">
      <w:pPr>
        <w:tabs>
          <w:tab w:val="clear" w:pos="4419"/>
          <w:tab w:val="clear" w:pos="8838"/>
        </w:tabs>
        <w:jc w:val="both"/>
        <w:rPr>
          <w:rFonts w:eastAsia="Batang" w:cs="Times"/>
          <w:szCs w:val="24"/>
          <w:lang w:val="pt-BR"/>
        </w:rPr>
      </w:pPr>
      <w:bookmarkStart w:id="175" w:name="_Toc404770059"/>
      <w:bookmarkStart w:id="176" w:name="_Toc416164798"/>
      <w:bookmarkStart w:id="177" w:name="_Toc315133577"/>
      <w:bookmarkStart w:id="178" w:name="_Toc316919762"/>
      <w:bookmarkStart w:id="179" w:name="_Toc329703867"/>
      <w:bookmarkStart w:id="180" w:name="_Toc336638904"/>
      <w:bookmarkStart w:id="181" w:name="_Toc359314424"/>
      <w:bookmarkStart w:id="182" w:name="_Toc361671574"/>
      <w:bookmarkStart w:id="183" w:name="_Toc361671994"/>
      <w:bookmarkStart w:id="184" w:name="_Toc361732791"/>
      <w:bookmarkStart w:id="185" w:name="_Toc361732834"/>
      <w:bookmarkStart w:id="186" w:name="_Toc362456865"/>
      <w:bookmarkStart w:id="187" w:name="_Toc365021394"/>
      <w:bookmarkStart w:id="188" w:name="_Toc369076780"/>
      <w:bookmarkStart w:id="189" w:name="_Toc369989372"/>
      <w:bookmarkStart w:id="190" w:name="_Toc369989459"/>
      <w:bookmarkStart w:id="191" w:name="_Toc36998974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3C4C8428" w14:textId="5628C8E6" w:rsidR="00BA1ACF" w:rsidRPr="00D5464D" w:rsidRDefault="00BA1ACF" w:rsidP="00140440">
      <w:pPr>
        <w:keepNext/>
        <w:keepLines/>
        <w:tabs>
          <w:tab w:val="clear" w:pos="4419"/>
          <w:tab w:val="clear" w:pos="8838"/>
        </w:tabs>
        <w:jc w:val="center"/>
        <w:outlineLvl w:val="0"/>
        <w:rPr>
          <w:rFonts w:eastAsia="Times New Roman" w:cs="Verdana"/>
          <w:b/>
          <w:bCs/>
          <w:caps/>
          <w:snapToGrid w:val="0"/>
          <w:szCs w:val="20"/>
          <w:lang w:val="pt-BR" w:eastAsia="es-ES"/>
        </w:rPr>
      </w:pPr>
      <w:bookmarkStart w:id="192" w:name="_Toc468433878"/>
      <w:r w:rsidRPr="00D5464D">
        <w:rPr>
          <w:rFonts w:eastAsia="Times New Roman" w:cs="Verdana"/>
          <w:b/>
          <w:bCs/>
          <w:caps/>
          <w:snapToGrid w:val="0"/>
          <w:szCs w:val="20"/>
          <w:lang w:val="pt-BR" w:eastAsia="es-ES"/>
        </w:rPr>
        <w:t>V</w:t>
      </w:r>
      <w:r w:rsidRPr="00D5464D">
        <w:rPr>
          <w:rFonts w:eastAsia="Times New Roman" w:cs="Verdana"/>
          <w:b/>
          <w:bCs/>
          <w:caps/>
          <w:snapToGrid w:val="0"/>
          <w:szCs w:val="20"/>
          <w:lang w:val="pt-BR" w:eastAsia="es-ES"/>
        </w:rPr>
        <w:br/>
      </w:r>
      <w:r w:rsidR="002C330E" w:rsidRPr="00D5464D">
        <w:rPr>
          <w:rFonts w:eastAsia="Times New Roman" w:cs="Verdana"/>
          <w:b/>
          <w:bCs/>
          <w:caps/>
          <w:snapToGrid w:val="0"/>
          <w:szCs w:val="20"/>
          <w:lang w:val="pt-BR" w:eastAsia="es-ES"/>
        </w:rPr>
        <w:t>PROVA</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5E76D390" w14:textId="77777777" w:rsidR="00BA1ACF" w:rsidRPr="00D5464D" w:rsidRDefault="00BA1ACF" w:rsidP="00140440">
      <w:pPr>
        <w:tabs>
          <w:tab w:val="clear" w:pos="4419"/>
          <w:tab w:val="clear" w:pos="8838"/>
        </w:tabs>
        <w:jc w:val="both"/>
        <w:rPr>
          <w:rFonts w:eastAsia="Batang" w:cs="Times"/>
          <w:szCs w:val="24"/>
          <w:lang w:val="pt-BR" w:eastAsia="es-ES"/>
        </w:rPr>
      </w:pPr>
    </w:p>
    <w:p w14:paraId="0F9F1DC6" w14:textId="576A1970" w:rsidR="00BA1ACF" w:rsidRPr="00D5464D" w:rsidRDefault="002C330E" w:rsidP="00F306D7">
      <w:pPr>
        <w:pStyle w:val="Ttulo2"/>
        <w:numPr>
          <w:ilvl w:val="0"/>
          <w:numId w:val="16"/>
        </w:numPr>
        <w:rPr>
          <w:rFonts w:eastAsia="Batang"/>
          <w:lang w:val="pt-BR" w:eastAsia="es-ES"/>
        </w:rPr>
      </w:pPr>
      <w:bookmarkStart w:id="193" w:name="_Toc400025662"/>
      <w:bookmarkStart w:id="194" w:name="_Toc400031342"/>
      <w:bookmarkStart w:id="195" w:name="_Toc400035794"/>
      <w:bookmarkStart w:id="196" w:name="_Toc400116405"/>
      <w:bookmarkStart w:id="197" w:name="_Toc400118176"/>
      <w:bookmarkStart w:id="198" w:name="_Toc359314425"/>
      <w:bookmarkStart w:id="199" w:name="_Toc361671575"/>
      <w:bookmarkStart w:id="200" w:name="_Toc361671995"/>
      <w:bookmarkStart w:id="201" w:name="_Toc361732792"/>
      <w:bookmarkStart w:id="202" w:name="_Toc361732835"/>
      <w:bookmarkStart w:id="203" w:name="_Toc362456866"/>
      <w:bookmarkStart w:id="204" w:name="_Toc365021395"/>
      <w:bookmarkStart w:id="205" w:name="_Toc369076781"/>
      <w:bookmarkStart w:id="206" w:name="_Toc369989373"/>
      <w:bookmarkStart w:id="207" w:name="_Toc369989460"/>
      <w:bookmarkStart w:id="208" w:name="_Toc369989741"/>
      <w:bookmarkStart w:id="209" w:name="_Toc404770060"/>
      <w:bookmarkStart w:id="210" w:name="_Toc416164799"/>
      <w:bookmarkStart w:id="211" w:name="_Toc460432993"/>
      <w:bookmarkStart w:id="212" w:name="_Toc460441924"/>
      <w:bookmarkStart w:id="213" w:name="_Toc468433879"/>
      <w:bookmarkEnd w:id="193"/>
      <w:bookmarkEnd w:id="194"/>
      <w:bookmarkEnd w:id="195"/>
      <w:bookmarkEnd w:id="196"/>
      <w:bookmarkEnd w:id="197"/>
      <w:r w:rsidRPr="00D5464D">
        <w:rPr>
          <w:rFonts w:eastAsia="Batang"/>
          <w:lang w:val="pt-BR" w:eastAsia="es-ES"/>
        </w:rPr>
        <w:t>Prova</w:t>
      </w:r>
      <w:r w:rsidR="00BA1ACF" w:rsidRPr="00D5464D">
        <w:rPr>
          <w:rFonts w:eastAsia="Batang"/>
          <w:lang w:val="pt-BR" w:eastAsia="es-ES"/>
        </w:rPr>
        <w:t xml:space="preserve"> documental, </w:t>
      </w:r>
      <w:r w:rsidR="00E045D9" w:rsidRPr="00D5464D">
        <w:rPr>
          <w:rFonts w:eastAsia="Batang"/>
          <w:lang w:val="pt-BR" w:eastAsia="es-ES"/>
        </w:rPr>
        <w:t xml:space="preserve">testemunhal e </w:t>
      </w:r>
      <w:r w:rsidR="00BA1ACF" w:rsidRPr="00D5464D">
        <w:rPr>
          <w:rFonts w:eastAsia="Batang"/>
          <w:lang w:val="pt-BR" w:eastAsia="es-ES"/>
        </w:rPr>
        <w:t>pericial</w:t>
      </w:r>
      <w:bookmarkStart w:id="214" w:name="_Ref305145673"/>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6645DBF7" w14:textId="77777777" w:rsidR="00BA1ACF" w:rsidRPr="00D5464D" w:rsidRDefault="00BA1ACF" w:rsidP="00140440">
      <w:pPr>
        <w:tabs>
          <w:tab w:val="clear" w:pos="4419"/>
          <w:tab w:val="clear" w:pos="8838"/>
        </w:tabs>
        <w:jc w:val="both"/>
        <w:rPr>
          <w:rFonts w:eastAsia="Batang" w:cs="Times"/>
          <w:szCs w:val="24"/>
          <w:lang w:val="pt-BR"/>
        </w:rPr>
      </w:pPr>
    </w:p>
    <w:p w14:paraId="211484EC" w14:textId="0A6FB7D0" w:rsidR="00B81840" w:rsidRPr="00D5464D" w:rsidRDefault="00BA1ACF" w:rsidP="00140440">
      <w:pPr>
        <w:numPr>
          <w:ilvl w:val="0"/>
          <w:numId w:val="1"/>
        </w:numPr>
        <w:tabs>
          <w:tab w:val="clear" w:pos="4419"/>
          <w:tab w:val="clear" w:pos="8838"/>
        </w:tabs>
        <w:jc w:val="both"/>
        <w:rPr>
          <w:rFonts w:eastAsia="Batang" w:cs="Times"/>
          <w:szCs w:val="24"/>
          <w:lang w:val="pt-BR"/>
        </w:rPr>
      </w:pPr>
      <w:r w:rsidRPr="00D5464D">
        <w:rPr>
          <w:rFonts w:eastAsia="Batang" w:cs="Times"/>
          <w:szCs w:val="24"/>
          <w:lang w:val="pt-BR" w:eastAsia="es-ES"/>
        </w:rPr>
        <w:t xml:space="preserve">Este Tribunal </w:t>
      </w:r>
      <w:r w:rsidR="002C330E" w:rsidRPr="00D5464D">
        <w:rPr>
          <w:rFonts w:eastAsia="Batang" w:cs="Times"/>
          <w:szCs w:val="24"/>
          <w:lang w:val="pt-BR" w:eastAsia="es-ES"/>
        </w:rPr>
        <w:t>recebeu</w:t>
      </w:r>
      <w:r w:rsidRPr="00D5464D">
        <w:rPr>
          <w:rFonts w:eastAsia="Batang" w:cs="Times"/>
          <w:szCs w:val="24"/>
          <w:lang w:val="pt-BR" w:eastAsia="es-ES"/>
        </w:rPr>
        <w:t xml:space="preserve"> diversos d</w:t>
      </w:r>
      <w:r w:rsidRPr="00D5464D">
        <w:rPr>
          <w:rFonts w:eastAsia="Batang" w:cs="Times"/>
          <w:szCs w:val="24"/>
          <w:lang w:val="pt-BR"/>
        </w:rPr>
        <w:t>o</w:t>
      </w:r>
      <w:r w:rsidRPr="00D5464D">
        <w:rPr>
          <w:rFonts w:eastAsia="Batang" w:cs="Times"/>
          <w:szCs w:val="24"/>
          <w:lang w:val="pt-BR" w:eastAsia="es-ES"/>
        </w:rPr>
        <w:t>c</w:t>
      </w:r>
      <w:r w:rsidRPr="00D5464D">
        <w:rPr>
          <w:rFonts w:eastAsia="Batang" w:cs="Times"/>
          <w:szCs w:val="24"/>
          <w:lang w:val="pt-BR"/>
        </w:rPr>
        <w:t>umentos</w:t>
      </w:r>
      <w:r w:rsidR="002C330E" w:rsidRPr="00D5464D">
        <w:rPr>
          <w:rFonts w:eastAsia="Batang" w:cs="Times"/>
          <w:szCs w:val="24"/>
          <w:lang w:val="pt-BR"/>
        </w:rPr>
        <w:t xml:space="preserve"> apresentados </w:t>
      </w:r>
      <w:r w:rsidRPr="00D5464D">
        <w:rPr>
          <w:rFonts w:eastAsia="Calibri" w:cs="Verdana"/>
          <w:spacing w:val="-2"/>
          <w:szCs w:val="20"/>
          <w:lang w:val="pt-BR" w:eastAsia="es-MX"/>
        </w:rPr>
        <w:t xml:space="preserve">como </w:t>
      </w:r>
      <w:r w:rsidR="002C330E" w:rsidRPr="00D5464D">
        <w:rPr>
          <w:rFonts w:eastAsia="Calibri" w:cs="Verdana"/>
          <w:spacing w:val="-2"/>
          <w:szCs w:val="20"/>
          <w:lang w:val="pt-BR" w:eastAsia="es-MX"/>
        </w:rPr>
        <w:t>prova</w:t>
      </w:r>
      <w:r w:rsidR="002C330E" w:rsidRPr="00D5464D">
        <w:rPr>
          <w:rFonts w:eastAsia="Batang" w:cs="Times"/>
          <w:szCs w:val="24"/>
          <w:lang w:val="pt-BR"/>
        </w:rPr>
        <w:t xml:space="preserve"> pela </w:t>
      </w:r>
      <w:r w:rsidR="00470ADC" w:rsidRPr="00D5464D">
        <w:rPr>
          <w:rFonts w:eastAsia="Batang" w:cs="Times"/>
          <w:szCs w:val="24"/>
          <w:lang w:val="pt-BR"/>
        </w:rPr>
        <w:t>Comissão</w:t>
      </w:r>
      <w:r w:rsidR="00E045D9" w:rsidRPr="00D5464D">
        <w:rPr>
          <w:rFonts w:eastAsia="Batang" w:cs="Times"/>
          <w:szCs w:val="24"/>
          <w:lang w:val="pt-BR"/>
        </w:rPr>
        <w:t xml:space="preserve"> e </w:t>
      </w:r>
      <w:r w:rsidR="00C35476" w:rsidRPr="00D5464D">
        <w:rPr>
          <w:rFonts w:eastAsia="Batang" w:cs="Times"/>
          <w:szCs w:val="24"/>
          <w:lang w:val="pt-BR"/>
        </w:rPr>
        <w:t>pel</w:t>
      </w:r>
      <w:r w:rsidR="002C330E" w:rsidRPr="00D5464D">
        <w:rPr>
          <w:rFonts w:eastAsia="Batang" w:cs="Times"/>
          <w:szCs w:val="24"/>
          <w:lang w:val="pt-BR"/>
        </w:rPr>
        <w:t xml:space="preserve">as </w:t>
      </w:r>
      <w:r w:rsidRPr="00D5464D">
        <w:rPr>
          <w:rFonts w:eastAsia="Batang" w:cs="Times"/>
          <w:szCs w:val="24"/>
          <w:lang w:val="pt-BR"/>
        </w:rPr>
        <w:t xml:space="preserve">partes, </w:t>
      </w:r>
      <w:r w:rsidR="00C35476" w:rsidRPr="00D5464D">
        <w:rPr>
          <w:rFonts w:eastAsia="Batang" w:cs="Times"/>
          <w:szCs w:val="24"/>
          <w:lang w:val="pt-BR"/>
        </w:rPr>
        <w:t xml:space="preserve">juntamente com </w:t>
      </w:r>
      <w:r w:rsidR="00230C71" w:rsidRPr="00D5464D">
        <w:rPr>
          <w:rFonts w:eastAsia="Batang" w:cs="Times"/>
          <w:szCs w:val="24"/>
          <w:lang w:val="pt-BR"/>
        </w:rPr>
        <w:t>seus escritos</w:t>
      </w:r>
      <w:r w:rsidRPr="00D5464D">
        <w:rPr>
          <w:rFonts w:eastAsia="Batang" w:cs="Times"/>
          <w:szCs w:val="24"/>
          <w:lang w:val="pt-BR"/>
        </w:rPr>
        <w:t xml:space="preserve"> </w:t>
      </w:r>
      <w:r w:rsidR="002C330E" w:rsidRPr="00D5464D">
        <w:rPr>
          <w:rFonts w:eastAsia="Batang" w:cs="Times"/>
          <w:szCs w:val="24"/>
          <w:lang w:val="pt-BR"/>
        </w:rPr>
        <w:t>principais</w:t>
      </w:r>
      <w:r w:rsidRPr="00D5464D">
        <w:rPr>
          <w:rFonts w:eastAsia="Batang" w:cs="Times"/>
          <w:szCs w:val="24"/>
          <w:lang w:val="pt-BR"/>
        </w:rPr>
        <w:t xml:space="preserve"> (</w:t>
      </w:r>
      <w:r w:rsidR="002C330E" w:rsidRPr="00D5464D">
        <w:rPr>
          <w:rFonts w:eastAsia="Batang" w:cs="Times"/>
          <w:szCs w:val="24"/>
          <w:lang w:val="pt-BR"/>
        </w:rPr>
        <w:t>pars.</w:t>
      </w:r>
      <w:r w:rsidRPr="00D5464D">
        <w:rPr>
          <w:rFonts w:eastAsia="Batang" w:cs="Times"/>
          <w:szCs w:val="24"/>
          <w:lang w:val="pt-BR"/>
        </w:rPr>
        <w:t xml:space="preserve"> </w:t>
      </w:r>
      <w:r w:rsidR="00D21AFC" w:rsidRPr="00D5464D">
        <w:rPr>
          <w:rFonts w:eastAsia="Batang" w:cs="Times"/>
          <w:szCs w:val="24"/>
          <w:lang w:val="pt-BR"/>
        </w:rPr>
        <w:t>3, 6</w:t>
      </w:r>
      <w:r w:rsidR="00E045D9" w:rsidRPr="00D5464D">
        <w:rPr>
          <w:rFonts w:eastAsia="Batang" w:cs="Times"/>
          <w:szCs w:val="24"/>
          <w:lang w:val="pt-BR"/>
        </w:rPr>
        <w:t xml:space="preserve"> e </w:t>
      </w:r>
      <w:r w:rsidR="00D21AFC" w:rsidRPr="00D5464D">
        <w:rPr>
          <w:rFonts w:eastAsia="Batang" w:cs="Times"/>
          <w:szCs w:val="24"/>
          <w:lang w:val="pt-BR"/>
        </w:rPr>
        <w:t>7</w:t>
      </w:r>
      <w:r w:rsidR="00C35476" w:rsidRPr="00D5464D">
        <w:rPr>
          <w:rFonts w:eastAsia="Batang" w:cs="Times"/>
          <w:i/>
          <w:szCs w:val="24"/>
          <w:lang w:val="pt-BR"/>
        </w:rPr>
        <w:t xml:space="preserve"> supra</w:t>
      </w:r>
      <w:r w:rsidR="00D21AFC" w:rsidRPr="00D5464D">
        <w:rPr>
          <w:rFonts w:eastAsia="Batang" w:cs="Times"/>
          <w:szCs w:val="24"/>
          <w:lang w:val="pt-BR"/>
        </w:rPr>
        <w:t xml:space="preserve">). </w:t>
      </w:r>
      <w:r w:rsidR="00C35476" w:rsidRPr="00D5464D">
        <w:rPr>
          <w:rFonts w:eastAsia="Batang" w:cs="Times"/>
          <w:szCs w:val="24"/>
          <w:lang w:val="pt-BR"/>
        </w:rPr>
        <w:t>Além disso</w:t>
      </w:r>
      <w:r w:rsidRPr="00D5464D">
        <w:rPr>
          <w:rFonts w:eastAsia="Batang" w:cs="Times"/>
          <w:szCs w:val="24"/>
          <w:lang w:val="pt-BR"/>
        </w:rPr>
        <w:t>,</w:t>
      </w:r>
      <w:r w:rsidR="002C330E" w:rsidRPr="00D5464D">
        <w:rPr>
          <w:rFonts w:eastAsia="Batang" w:cs="Times"/>
          <w:szCs w:val="24"/>
          <w:lang w:val="pt-BR"/>
        </w:rPr>
        <w:t xml:space="preserve"> a </w:t>
      </w:r>
      <w:r w:rsidRPr="00D5464D">
        <w:rPr>
          <w:rFonts w:eastAsia="Batang" w:cs="Times"/>
          <w:szCs w:val="24"/>
          <w:lang w:val="pt-BR"/>
        </w:rPr>
        <w:t xml:space="preserve">Corte </w:t>
      </w:r>
      <w:r w:rsidR="002C330E" w:rsidRPr="00D5464D">
        <w:rPr>
          <w:rFonts w:eastAsia="Batang" w:cs="Times"/>
          <w:szCs w:val="24"/>
          <w:lang w:val="pt-BR"/>
        </w:rPr>
        <w:t xml:space="preserve">recebeu as </w:t>
      </w:r>
      <w:r w:rsidR="00350187" w:rsidRPr="00D5464D">
        <w:rPr>
          <w:rFonts w:eastAsia="Batang" w:cs="Times"/>
          <w:szCs w:val="24"/>
          <w:lang w:val="pt-BR"/>
        </w:rPr>
        <w:t>declarações prestadas</w:t>
      </w:r>
      <w:r w:rsidR="00737270" w:rsidRPr="00D5464D">
        <w:rPr>
          <w:rFonts w:eastAsia="Batang" w:cs="Times"/>
          <w:szCs w:val="24"/>
          <w:lang w:val="pt-BR"/>
        </w:rPr>
        <w:t xml:space="preserve"> perante agente dotado</w:t>
      </w:r>
      <w:r w:rsidR="00470ADC" w:rsidRPr="00D5464D">
        <w:rPr>
          <w:rFonts w:eastAsia="Batang" w:cs="Times"/>
          <w:szCs w:val="24"/>
          <w:lang w:val="pt-BR"/>
        </w:rPr>
        <w:t xml:space="preserve"> de fé pública</w:t>
      </w:r>
      <w:r w:rsidRPr="00D5464D">
        <w:rPr>
          <w:rFonts w:eastAsia="Batang" w:cs="Times"/>
          <w:szCs w:val="24"/>
          <w:lang w:val="pt-BR"/>
        </w:rPr>
        <w:t xml:space="preserve"> </w:t>
      </w:r>
      <w:r w:rsidRPr="00D5464D">
        <w:rPr>
          <w:rFonts w:eastAsia="Batang" w:cs="Times"/>
          <w:i/>
          <w:szCs w:val="24"/>
          <w:lang w:val="pt-BR"/>
        </w:rPr>
        <w:t>(</w:t>
      </w:r>
      <w:r w:rsidR="00BC7B3C" w:rsidRPr="00D5464D">
        <w:rPr>
          <w:rFonts w:eastAsia="Batang" w:cs="Times"/>
          <w:i/>
          <w:szCs w:val="24"/>
          <w:lang w:val="pt-BR"/>
        </w:rPr>
        <w:t>affidavit</w:t>
      </w:r>
      <w:r w:rsidRPr="00D5464D">
        <w:rPr>
          <w:rFonts w:eastAsia="Batang" w:cs="Times"/>
          <w:i/>
          <w:szCs w:val="24"/>
          <w:lang w:val="pt-BR"/>
        </w:rPr>
        <w:t>)</w:t>
      </w:r>
      <w:r w:rsidRPr="00D5464D">
        <w:rPr>
          <w:rFonts w:eastAsia="Batang" w:cs="Times"/>
          <w:szCs w:val="24"/>
          <w:lang w:val="pt-BR"/>
        </w:rPr>
        <w:t xml:space="preserve"> </w:t>
      </w:r>
      <w:r w:rsidR="006B6971" w:rsidRPr="00D5464D">
        <w:rPr>
          <w:rFonts w:eastAsia="Batang" w:cs="Times"/>
          <w:szCs w:val="24"/>
          <w:lang w:val="pt-BR"/>
        </w:rPr>
        <w:t xml:space="preserve">por </w:t>
      </w:r>
      <w:r w:rsidR="00750080" w:rsidRPr="00D5464D">
        <w:rPr>
          <w:rFonts w:cs="Verdana"/>
          <w:iCs/>
          <w:szCs w:val="20"/>
          <w:lang w:val="pt-BR"/>
        </w:rPr>
        <w:t>Maria do Socorro Canuto</w:t>
      </w:r>
      <w:r w:rsidR="0010513B" w:rsidRPr="00D5464D">
        <w:rPr>
          <w:rFonts w:cs="Verdana"/>
          <w:iCs/>
          <w:szCs w:val="20"/>
          <w:lang w:val="pt-BR"/>
        </w:rPr>
        <w:t>,</w:t>
      </w:r>
      <w:r w:rsidR="00606616" w:rsidRPr="00D5464D">
        <w:rPr>
          <w:rFonts w:cs="Verdana"/>
          <w:b/>
          <w:iCs/>
          <w:szCs w:val="20"/>
          <w:lang w:val="pt-BR"/>
        </w:rPr>
        <w:t xml:space="preserve"> </w:t>
      </w:r>
      <w:r w:rsidR="00606616" w:rsidRPr="00D5464D">
        <w:rPr>
          <w:rFonts w:cs="Verdana"/>
          <w:iCs/>
          <w:szCs w:val="20"/>
          <w:lang w:val="pt-BR"/>
        </w:rPr>
        <w:t>José Armando Fraga Diniz Guerra</w:t>
      </w:r>
      <w:r w:rsidR="0010513B" w:rsidRPr="00D5464D">
        <w:rPr>
          <w:rFonts w:cs="Verdana"/>
          <w:iCs/>
          <w:szCs w:val="20"/>
          <w:lang w:val="pt-BR"/>
        </w:rPr>
        <w:t>,</w:t>
      </w:r>
      <w:r w:rsidR="00606616" w:rsidRPr="00D5464D">
        <w:rPr>
          <w:rFonts w:cs="Verdana"/>
          <w:b/>
          <w:iCs/>
          <w:szCs w:val="20"/>
          <w:lang w:val="pt-BR"/>
        </w:rPr>
        <w:t xml:space="preserve"> </w:t>
      </w:r>
      <w:r w:rsidR="00170062" w:rsidRPr="00D5464D">
        <w:rPr>
          <w:rFonts w:cs="Verdana"/>
          <w:iCs/>
          <w:szCs w:val="20"/>
          <w:lang w:val="pt-BR"/>
        </w:rPr>
        <w:t>Ricardo Rezende Figueira</w:t>
      </w:r>
      <w:r w:rsidR="0010513B" w:rsidRPr="00D5464D">
        <w:rPr>
          <w:rFonts w:cs="Verdana"/>
          <w:iCs/>
          <w:szCs w:val="20"/>
          <w:lang w:val="pt-BR"/>
        </w:rPr>
        <w:t>,</w:t>
      </w:r>
      <w:r w:rsidR="00170062" w:rsidRPr="00D5464D">
        <w:rPr>
          <w:rFonts w:cs="Verdana"/>
          <w:iCs/>
          <w:szCs w:val="20"/>
          <w:lang w:val="pt-BR"/>
        </w:rPr>
        <w:t xml:space="preserve"> Valderez Maria Monte Rodrigues</w:t>
      </w:r>
      <w:r w:rsidR="0010513B" w:rsidRPr="00D5464D">
        <w:rPr>
          <w:rFonts w:cs="Verdana"/>
          <w:iCs/>
          <w:szCs w:val="20"/>
          <w:lang w:val="pt-BR"/>
        </w:rPr>
        <w:t>,</w:t>
      </w:r>
      <w:r w:rsidR="00A1358C" w:rsidRPr="00D5464D">
        <w:rPr>
          <w:rFonts w:cs="Verdana"/>
          <w:iCs/>
          <w:szCs w:val="20"/>
          <w:lang w:val="pt-BR"/>
        </w:rPr>
        <w:t xml:space="preserve"> Carlos </w:t>
      </w:r>
      <w:r w:rsidR="00170062" w:rsidRPr="00D5464D">
        <w:rPr>
          <w:rFonts w:cs="Verdana"/>
          <w:iCs/>
          <w:szCs w:val="20"/>
          <w:lang w:val="pt-BR"/>
        </w:rPr>
        <w:t>Enrique Borildo Haddad</w:t>
      </w:r>
      <w:r w:rsidR="0010513B" w:rsidRPr="00D5464D">
        <w:rPr>
          <w:rFonts w:cs="Verdana"/>
          <w:iCs/>
          <w:szCs w:val="20"/>
          <w:lang w:val="pt-BR"/>
        </w:rPr>
        <w:t>,</w:t>
      </w:r>
      <w:r w:rsidR="00170062" w:rsidRPr="00D5464D">
        <w:rPr>
          <w:rFonts w:cs="Verdana"/>
          <w:iCs/>
          <w:szCs w:val="20"/>
          <w:lang w:val="pt-BR"/>
        </w:rPr>
        <w:t xml:space="preserve"> Luis </w:t>
      </w:r>
      <w:r w:rsidR="005A1649" w:rsidRPr="00D5464D">
        <w:rPr>
          <w:rFonts w:cs="Verdana"/>
          <w:iCs/>
          <w:szCs w:val="20"/>
          <w:lang w:val="pt-BR"/>
        </w:rPr>
        <w:t xml:space="preserve">Antônio </w:t>
      </w:r>
      <w:r w:rsidR="00170062" w:rsidRPr="00D5464D">
        <w:rPr>
          <w:rFonts w:cs="Verdana"/>
          <w:iCs/>
          <w:szCs w:val="20"/>
          <w:lang w:val="pt-BR"/>
        </w:rPr>
        <w:t>Camargo de Melo</w:t>
      </w:r>
      <w:r w:rsidR="0010513B" w:rsidRPr="00D5464D">
        <w:rPr>
          <w:rFonts w:cs="Verdana"/>
          <w:iCs/>
          <w:szCs w:val="20"/>
          <w:lang w:val="pt-BR"/>
        </w:rPr>
        <w:t>,</w:t>
      </w:r>
      <w:r w:rsidR="00170062" w:rsidRPr="00D5464D">
        <w:rPr>
          <w:rFonts w:cs="Verdana"/>
          <w:iCs/>
          <w:szCs w:val="20"/>
          <w:lang w:val="pt-BR"/>
        </w:rPr>
        <w:t xml:space="preserve"> Mike Dottridge</w:t>
      </w:r>
      <w:r w:rsidR="0010513B" w:rsidRPr="00D5464D">
        <w:rPr>
          <w:rFonts w:cs="Verdana"/>
          <w:iCs/>
          <w:szCs w:val="20"/>
          <w:lang w:val="pt-BR"/>
        </w:rPr>
        <w:t>,</w:t>
      </w:r>
      <w:r w:rsidR="00170062" w:rsidRPr="00D5464D">
        <w:rPr>
          <w:rFonts w:cs="Verdana"/>
          <w:iCs/>
          <w:szCs w:val="20"/>
          <w:lang w:val="pt-BR"/>
        </w:rPr>
        <w:t xml:space="preserve"> Marcus Menezes Barberino Mendes</w:t>
      </w:r>
      <w:r w:rsidR="0010513B" w:rsidRPr="00D5464D">
        <w:rPr>
          <w:rFonts w:cs="Verdana"/>
          <w:iCs/>
          <w:szCs w:val="20"/>
          <w:lang w:val="pt-BR"/>
        </w:rPr>
        <w:t>,</w:t>
      </w:r>
      <w:r w:rsidR="00170062" w:rsidRPr="00D5464D">
        <w:rPr>
          <w:rFonts w:cs="Verdana"/>
          <w:iCs/>
          <w:szCs w:val="20"/>
          <w:lang w:val="pt-BR"/>
        </w:rPr>
        <w:t xml:space="preserve"> Michael Freitas Mohallem</w:t>
      </w:r>
      <w:r w:rsidR="0010513B" w:rsidRPr="00D5464D">
        <w:rPr>
          <w:rFonts w:cs="Verdana"/>
          <w:iCs/>
          <w:szCs w:val="20"/>
          <w:lang w:val="pt-BR"/>
        </w:rPr>
        <w:t>,</w:t>
      </w:r>
      <w:r w:rsidR="00170062" w:rsidRPr="00D5464D">
        <w:rPr>
          <w:rFonts w:cs="Verdana"/>
          <w:iCs/>
          <w:szCs w:val="20"/>
          <w:lang w:val="pt-BR"/>
        </w:rPr>
        <w:t xml:space="preserve"> Silvio Beltramelli Neto</w:t>
      </w:r>
      <w:r w:rsidR="0010513B" w:rsidRPr="00D5464D">
        <w:rPr>
          <w:rFonts w:cs="Verdana"/>
          <w:iCs/>
          <w:szCs w:val="20"/>
          <w:lang w:val="pt-BR"/>
        </w:rPr>
        <w:t>,</w:t>
      </w:r>
      <w:r w:rsidR="00170062" w:rsidRPr="00D5464D">
        <w:rPr>
          <w:rFonts w:cs="Verdana"/>
          <w:iCs/>
          <w:szCs w:val="20"/>
          <w:lang w:val="pt-BR"/>
        </w:rPr>
        <w:t xml:space="preserve"> Jonas Ratier Moreno</w:t>
      </w:r>
      <w:r w:rsidR="0010513B" w:rsidRPr="00D5464D">
        <w:rPr>
          <w:rFonts w:cs="Verdana"/>
          <w:iCs/>
          <w:szCs w:val="20"/>
          <w:lang w:val="pt-BR"/>
        </w:rPr>
        <w:t>,</w:t>
      </w:r>
      <w:r w:rsidR="00170062" w:rsidRPr="00D5464D">
        <w:rPr>
          <w:rFonts w:cs="Verdana"/>
          <w:iCs/>
          <w:szCs w:val="20"/>
          <w:lang w:val="pt-BR"/>
        </w:rPr>
        <w:t xml:space="preserve"> Marcelo Gonçalves Campos</w:t>
      </w:r>
      <w:r w:rsidR="0010513B" w:rsidRPr="00D5464D">
        <w:rPr>
          <w:rFonts w:cs="Verdana"/>
          <w:iCs/>
          <w:szCs w:val="20"/>
          <w:lang w:val="pt-BR"/>
        </w:rPr>
        <w:t>,</w:t>
      </w:r>
      <w:r w:rsidR="00170062" w:rsidRPr="00D5464D">
        <w:rPr>
          <w:rFonts w:cs="Verdana"/>
          <w:iCs/>
          <w:szCs w:val="20"/>
          <w:lang w:val="pt-BR"/>
        </w:rPr>
        <w:t xml:space="preserve"> Marinalva Dantas</w:t>
      </w:r>
      <w:r w:rsidR="00E045D9" w:rsidRPr="00D5464D">
        <w:rPr>
          <w:rFonts w:cs="Verdana"/>
          <w:iCs/>
          <w:szCs w:val="20"/>
          <w:lang w:val="pt-BR"/>
        </w:rPr>
        <w:t xml:space="preserve"> e </w:t>
      </w:r>
      <w:r w:rsidR="00170062" w:rsidRPr="00D5464D">
        <w:rPr>
          <w:rFonts w:cs="Verdana"/>
          <w:iCs/>
          <w:szCs w:val="20"/>
          <w:lang w:val="pt-BR"/>
        </w:rPr>
        <w:t>Patricia Souto Audi</w:t>
      </w:r>
      <w:r w:rsidR="00FA2450" w:rsidRPr="00D5464D">
        <w:rPr>
          <w:rFonts w:eastAsia="Batang" w:cs="Times"/>
          <w:szCs w:val="24"/>
          <w:lang w:val="pt-BR"/>
        </w:rPr>
        <w:t xml:space="preserve">. </w:t>
      </w:r>
    </w:p>
    <w:p w14:paraId="2B3C24AE" w14:textId="77777777" w:rsidR="00B81840" w:rsidRPr="00D5464D" w:rsidRDefault="00B81840" w:rsidP="00140440">
      <w:pPr>
        <w:tabs>
          <w:tab w:val="clear" w:pos="4419"/>
          <w:tab w:val="clear" w:pos="8838"/>
        </w:tabs>
        <w:jc w:val="both"/>
        <w:rPr>
          <w:rFonts w:eastAsia="Batang" w:cs="Times"/>
          <w:szCs w:val="24"/>
          <w:lang w:val="pt-BR"/>
        </w:rPr>
      </w:pPr>
    </w:p>
    <w:p w14:paraId="3D5803F9" w14:textId="3B78BE75" w:rsidR="00B81840" w:rsidRPr="00D5464D" w:rsidRDefault="00230C71" w:rsidP="00140440">
      <w:pPr>
        <w:numPr>
          <w:ilvl w:val="0"/>
          <w:numId w:val="1"/>
        </w:numPr>
        <w:tabs>
          <w:tab w:val="clear" w:pos="4419"/>
          <w:tab w:val="clear" w:pos="8838"/>
        </w:tabs>
        <w:jc w:val="both"/>
        <w:rPr>
          <w:rFonts w:eastAsia="Batang" w:cs="Times"/>
          <w:szCs w:val="24"/>
          <w:lang w:val="pt-BR"/>
        </w:rPr>
      </w:pPr>
      <w:r w:rsidRPr="00D5464D">
        <w:rPr>
          <w:rFonts w:eastAsia="Batang" w:cs="Times"/>
          <w:szCs w:val="24"/>
          <w:lang w:val="pt-BR"/>
        </w:rPr>
        <w:t xml:space="preserve">Quanto </w:t>
      </w:r>
      <w:r w:rsidR="00470ADC" w:rsidRPr="00D5464D">
        <w:rPr>
          <w:rFonts w:eastAsia="Batang" w:cs="Times"/>
          <w:szCs w:val="24"/>
          <w:lang w:val="pt-BR"/>
        </w:rPr>
        <w:t xml:space="preserve">à </w:t>
      </w:r>
      <w:r w:rsidR="002C330E" w:rsidRPr="00D5464D">
        <w:rPr>
          <w:rFonts w:eastAsia="Batang" w:cs="Times"/>
          <w:szCs w:val="24"/>
          <w:lang w:val="pt-BR"/>
        </w:rPr>
        <w:t>prova oferecida</w:t>
      </w:r>
      <w:r w:rsidR="00FA2450" w:rsidRPr="00D5464D">
        <w:rPr>
          <w:rFonts w:eastAsia="Batang" w:cs="Times"/>
          <w:szCs w:val="24"/>
          <w:lang w:val="pt-BR"/>
        </w:rPr>
        <w:t xml:space="preserve"> durante</w:t>
      </w:r>
      <w:r w:rsidR="002C330E" w:rsidRPr="00D5464D">
        <w:rPr>
          <w:rFonts w:eastAsia="Batang" w:cs="Times"/>
          <w:szCs w:val="24"/>
          <w:lang w:val="pt-BR"/>
        </w:rPr>
        <w:t xml:space="preserve"> a </w:t>
      </w:r>
      <w:r w:rsidR="00470ADC" w:rsidRPr="00D5464D">
        <w:rPr>
          <w:rFonts w:eastAsia="Batang" w:cs="Times"/>
          <w:szCs w:val="24"/>
          <w:lang w:val="pt-BR"/>
        </w:rPr>
        <w:t>audiência</w:t>
      </w:r>
      <w:r w:rsidR="00FA2450" w:rsidRPr="00D5464D">
        <w:rPr>
          <w:rFonts w:eastAsia="Batang" w:cs="Times"/>
          <w:szCs w:val="24"/>
          <w:lang w:val="pt-BR"/>
        </w:rPr>
        <w:t xml:space="preserve"> pública,</w:t>
      </w:r>
      <w:r w:rsidR="002C330E" w:rsidRPr="00D5464D">
        <w:rPr>
          <w:rFonts w:eastAsia="Batang" w:cs="Times"/>
          <w:szCs w:val="24"/>
          <w:lang w:val="pt-BR"/>
        </w:rPr>
        <w:t xml:space="preserve"> a </w:t>
      </w:r>
      <w:r w:rsidR="00FA2450" w:rsidRPr="00D5464D">
        <w:rPr>
          <w:rFonts w:eastAsia="Batang" w:cs="Times"/>
          <w:szCs w:val="24"/>
          <w:lang w:val="pt-BR"/>
        </w:rPr>
        <w:t xml:space="preserve">Corte </w:t>
      </w:r>
      <w:r w:rsidR="00C35476" w:rsidRPr="00D5464D">
        <w:rPr>
          <w:rFonts w:eastAsia="Batang" w:cs="Times"/>
          <w:szCs w:val="24"/>
          <w:lang w:val="pt-BR"/>
        </w:rPr>
        <w:t xml:space="preserve">recebeu </w:t>
      </w:r>
      <w:r w:rsidR="002C330E" w:rsidRPr="00D5464D">
        <w:rPr>
          <w:rFonts w:eastAsia="Batang" w:cs="Times"/>
          <w:szCs w:val="24"/>
          <w:lang w:val="pt-BR"/>
        </w:rPr>
        <w:t xml:space="preserve">as </w:t>
      </w:r>
      <w:r w:rsidR="00C35476" w:rsidRPr="00D5464D">
        <w:rPr>
          <w:rFonts w:eastAsia="Batang" w:cs="Times"/>
          <w:szCs w:val="24"/>
          <w:lang w:val="pt-BR"/>
        </w:rPr>
        <w:t>declarações</w:t>
      </w:r>
      <w:r w:rsidR="00FA2450" w:rsidRPr="00D5464D">
        <w:rPr>
          <w:rFonts w:eastAsia="Batang" w:cs="Times"/>
          <w:szCs w:val="24"/>
          <w:lang w:val="pt-BR"/>
        </w:rPr>
        <w:t xml:space="preserve"> </w:t>
      </w:r>
      <w:r w:rsidR="00737270" w:rsidRPr="00D5464D">
        <w:rPr>
          <w:rFonts w:eastAsia="Batang" w:cs="Times"/>
          <w:szCs w:val="24"/>
          <w:lang w:val="pt-BR"/>
        </w:rPr>
        <w:t>testemunhais</w:t>
      </w:r>
      <w:r w:rsidR="00FA2450" w:rsidRPr="00D5464D">
        <w:rPr>
          <w:rFonts w:eastAsia="Batang" w:cs="Times"/>
          <w:szCs w:val="24"/>
          <w:lang w:val="pt-BR"/>
        </w:rPr>
        <w:t xml:space="preserve"> de Leonardo Sakamoto</w:t>
      </w:r>
      <w:r w:rsidR="00E045D9" w:rsidRPr="00D5464D">
        <w:rPr>
          <w:rFonts w:eastAsia="Batang" w:cs="Times"/>
          <w:szCs w:val="24"/>
          <w:lang w:val="pt-BR"/>
        </w:rPr>
        <w:t xml:space="preserve"> e </w:t>
      </w:r>
      <w:r w:rsidR="00FA2450" w:rsidRPr="00D5464D">
        <w:rPr>
          <w:rFonts w:eastAsia="Batang" w:cs="Times"/>
          <w:szCs w:val="24"/>
          <w:lang w:val="pt-BR"/>
        </w:rPr>
        <w:t>Ana Paula de Souza</w:t>
      </w:r>
      <w:r w:rsidR="00470ADC" w:rsidRPr="00D5464D">
        <w:rPr>
          <w:rFonts w:eastAsia="Batang" w:cs="Times"/>
          <w:szCs w:val="24"/>
          <w:lang w:val="pt-BR"/>
        </w:rPr>
        <w:t xml:space="preserve"> e</w:t>
      </w:r>
      <w:r w:rsidR="002C330E" w:rsidRPr="00D5464D">
        <w:rPr>
          <w:rFonts w:eastAsia="Batang" w:cs="Times"/>
          <w:szCs w:val="24"/>
          <w:lang w:val="pt-BR"/>
        </w:rPr>
        <w:t xml:space="preserve"> </w:t>
      </w:r>
      <w:r w:rsidR="00C91CB1" w:rsidRPr="00D5464D">
        <w:rPr>
          <w:rFonts w:eastAsia="Batang" w:cs="Times"/>
          <w:szCs w:val="24"/>
          <w:lang w:val="pt-BR"/>
        </w:rPr>
        <w:t>as perícias</w:t>
      </w:r>
      <w:r w:rsidR="00293FFD" w:rsidRPr="00D5464D">
        <w:rPr>
          <w:rFonts w:eastAsia="Batang" w:cs="Times"/>
          <w:szCs w:val="24"/>
          <w:lang w:val="pt-BR"/>
        </w:rPr>
        <w:t xml:space="preserve"> de César Rodríguez Gara</w:t>
      </w:r>
      <w:r w:rsidR="00B56FD0" w:rsidRPr="00D5464D">
        <w:rPr>
          <w:rFonts w:eastAsia="Batang" w:cs="Times"/>
          <w:szCs w:val="24"/>
          <w:lang w:val="pt-BR"/>
        </w:rPr>
        <w:t>v</w:t>
      </w:r>
      <w:r w:rsidR="00293FFD" w:rsidRPr="00D5464D">
        <w:rPr>
          <w:rFonts w:eastAsia="Batang" w:cs="Times"/>
          <w:szCs w:val="24"/>
          <w:lang w:val="pt-BR"/>
        </w:rPr>
        <w:t>ito</w:t>
      </w:r>
      <w:r w:rsidR="0010513B" w:rsidRPr="00D5464D">
        <w:rPr>
          <w:rFonts w:eastAsia="Batang" w:cs="Times"/>
          <w:szCs w:val="24"/>
          <w:lang w:val="pt-BR"/>
        </w:rPr>
        <w:t>,</w:t>
      </w:r>
      <w:r w:rsidR="00293FFD" w:rsidRPr="00D5464D">
        <w:rPr>
          <w:rFonts w:eastAsia="Batang" w:cs="Times"/>
          <w:szCs w:val="24"/>
          <w:lang w:val="pt-BR"/>
        </w:rPr>
        <w:t xml:space="preserve"> Raquel Dodge</w:t>
      </w:r>
      <w:r w:rsidR="0010513B" w:rsidRPr="00D5464D">
        <w:rPr>
          <w:rFonts w:eastAsia="Batang" w:cs="Times"/>
          <w:szCs w:val="24"/>
          <w:lang w:val="pt-BR"/>
        </w:rPr>
        <w:t>,</w:t>
      </w:r>
      <w:r w:rsidR="00FA2450" w:rsidRPr="00D5464D">
        <w:rPr>
          <w:rFonts w:eastAsia="Batang" w:cs="Times"/>
          <w:szCs w:val="24"/>
          <w:lang w:val="pt-BR"/>
        </w:rPr>
        <w:t xml:space="preserve"> Ana Carolina Alves Araujo Román</w:t>
      </w:r>
      <w:r w:rsidR="00E045D9" w:rsidRPr="00D5464D">
        <w:rPr>
          <w:rFonts w:eastAsia="Batang" w:cs="Times"/>
          <w:szCs w:val="24"/>
          <w:lang w:val="pt-BR"/>
        </w:rPr>
        <w:t xml:space="preserve"> e </w:t>
      </w:r>
      <w:r w:rsidR="00FA2450" w:rsidRPr="00D5464D">
        <w:rPr>
          <w:rFonts w:eastAsia="Batang" w:cs="Times"/>
          <w:szCs w:val="24"/>
          <w:lang w:val="pt-BR"/>
        </w:rPr>
        <w:t xml:space="preserve">Jean Allain. </w:t>
      </w:r>
    </w:p>
    <w:p w14:paraId="749D3C59" w14:textId="77777777" w:rsidR="00B81840" w:rsidRPr="00D5464D" w:rsidRDefault="00B81840" w:rsidP="00140440">
      <w:pPr>
        <w:jc w:val="both"/>
        <w:rPr>
          <w:rFonts w:eastAsia="Batang" w:cs="Times"/>
          <w:szCs w:val="24"/>
          <w:lang w:val="pt-BR"/>
        </w:rPr>
      </w:pPr>
    </w:p>
    <w:p w14:paraId="4F211AD1" w14:textId="2E30BB79" w:rsidR="00FA2450" w:rsidRPr="00D5464D" w:rsidRDefault="00350187" w:rsidP="00140440">
      <w:pPr>
        <w:numPr>
          <w:ilvl w:val="0"/>
          <w:numId w:val="1"/>
        </w:numPr>
        <w:tabs>
          <w:tab w:val="clear" w:pos="4419"/>
          <w:tab w:val="clear" w:pos="8838"/>
        </w:tabs>
        <w:jc w:val="both"/>
        <w:rPr>
          <w:rFonts w:eastAsia="Batang" w:cs="Times"/>
          <w:szCs w:val="20"/>
          <w:lang w:val="pt-BR"/>
        </w:rPr>
      </w:pPr>
      <w:r w:rsidRPr="00D5464D">
        <w:rPr>
          <w:rFonts w:eastAsia="Batang" w:cs="Times"/>
          <w:szCs w:val="20"/>
          <w:lang w:val="pt-BR"/>
        </w:rPr>
        <w:t xml:space="preserve">Além disso, </w:t>
      </w:r>
      <w:r w:rsidR="00FA2450" w:rsidRPr="00D5464D">
        <w:rPr>
          <w:rFonts w:eastAsia="Batang" w:cs="Times"/>
          <w:szCs w:val="20"/>
          <w:lang w:val="pt-BR"/>
        </w:rPr>
        <w:t>durante</w:t>
      </w:r>
      <w:r w:rsidR="002C330E" w:rsidRPr="00D5464D">
        <w:rPr>
          <w:rFonts w:eastAsia="Batang" w:cs="Times"/>
          <w:szCs w:val="20"/>
          <w:lang w:val="pt-BR"/>
        </w:rPr>
        <w:t xml:space="preserve"> a </w:t>
      </w:r>
      <w:r w:rsidR="00470ADC" w:rsidRPr="00D5464D">
        <w:rPr>
          <w:rFonts w:eastAsia="Batang" w:cs="Times"/>
          <w:szCs w:val="20"/>
          <w:lang w:val="pt-BR"/>
        </w:rPr>
        <w:t>diligência</w:t>
      </w:r>
      <w:r w:rsidR="00FA2450" w:rsidRPr="00D5464D">
        <w:rPr>
          <w:rFonts w:eastAsia="Batang" w:cs="Times"/>
          <w:szCs w:val="20"/>
          <w:lang w:val="pt-BR"/>
        </w:rPr>
        <w:t xml:space="preserve"> </w:t>
      </w:r>
      <w:r w:rsidR="00FA2450" w:rsidRPr="00D5464D">
        <w:rPr>
          <w:rFonts w:eastAsia="Batang" w:cs="Times"/>
          <w:i/>
          <w:szCs w:val="20"/>
          <w:lang w:val="pt-BR"/>
        </w:rPr>
        <w:t>in situ</w:t>
      </w:r>
      <w:r w:rsidR="002C330E" w:rsidRPr="00D5464D">
        <w:rPr>
          <w:rFonts w:eastAsia="Batang" w:cs="Times"/>
          <w:i/>
          <w:szCs w:val="20"/>
          <w:lang w:val="pt-BR"/>
        </w:rPr>
        <w:t xml:space="preserve"> </w:t>
      </w:r>
      <w:r w:rsidR="002C330E" w:rsidRPr="00D5464D">
        <w:rPr>
          <w:rFonts w:eastAsia="Batang" w:cs="Times"/>
          <w:szCs w:val="20"/>
          <w:lang w:val="pt-BR"/>
        </w:rPr>
        <w:t>a</w:t>
      </w:r>
      <w:r w:rsidR="002C330E" w:rsidRPr="00D5464D">
        <w:rPr>
          <w:rFonts w:eastAsia="Batang" w:cs="Times"/>
          <w:i/>
          <w:szCs w:val="20"/>
          <w:lang w:val="pt-BR"/>
        </w:rPr>
        <w:t xml:space="preserve"> </w:t>
      </w:r>
      <w:r w:rsidR="00FA2450" w:rsidRPr="00D5464D">
        <w:rPr>
          <w:rFonts w:eastAsia="Batang" w:cs="Times"/>
          <w:szCs w:val="20"/>
          <w:lang w:val="pt-BR"/>
        </w:rPr>
        <w:t>Cor</w:t>
      </w:r>
      <w:r w:rsidR="00B81840" w:rsidRPr="00D5464D">
        <w:rPr>
          <w:rFonts w:eastAsia="Batang" w:cs="Times"/>
          <w:szCs w:val="20"/>
          <w:lang w:val="pt-BR"/>
        </w:rPr>
        <w:t xml:space="preserve">te </w:t>
      </w:r>
      <w:r w:rsidR="00C35476" w:rsidRPr="00D5464D">
        <w:rPr>
          <w:rFonts w:eastAsia="Batang" w:cs="Times"/>
          <w:szCs w:val="20"/>
          <w:lang w:val="pt-BR"/>
        </w:rPr>
        <w:t xml:space="preserve">recebeu </w:t>
      </w:r>
      <w:r w:rsidR="002C330E" w:rsidRPr="00D5464D">
        <w:rPr>
          <w:rFonts w:eastAsia="Batang" w:cs="Times"/>
          <w:szCs w:val="20"/>
          <w:lang w:val="pt-BR"/>
        </w:rPr>
        <w:t xml:space="preserve">as </w:t>
      </w:r>
      <w:r w:rsidR="00B81840" w:rsidRPr="00D5464D">
        <w:rPr>
          <w:rFonts w:eastAsia="Batang" w:cs="Times"/>
          <w:szCs w:val="20"/>
          <w:lang w:val="pt-BR"/>
        </w:rPr>
        <w:t>declara</w:t>
      </w:r>
      <w:r w:rsidR="00470ADC" w:rsidRPr="00D5464D">
        <w:rPr>
          <w:rFonts w:eastAsia="Batang" w:cs="Times"/>
          <w:szCs w:val="20"/>
          <w:lang w:val="pt-BR"/>
        </w:rPr>
        <w:t>ções</w:t>
      </w:r>
      <w:r w:rsidR="00B81840" w:rsidRPr="00D5464D">
        <w:rPr>
          <w:rFonts w:eastAsia="Batang" w:cs="Times"/>
          <w:szCs w:val="20"/>
          <w:lang w:val="pt-BR"/>
        </w:rPr>
        <w:t xml:space="preserve"> de </w:t>
      </w:r>
      <w:r w:rsidR="00B81840" w:rsidRPr="00D5464D">
        <w:rPr>
          <w:szCs w:val="20"/>
          <w:lang w:val="pt-BR"/>
        </w:rPr>
        <w:t xml:space="preserve">Marcos </w:t>
      </w:r>
      <w:r w:rsidR="00F92F6A" w:rsidRPr="00D5464D">
        <w:rPr>
          <w:rFonts w:cs="Verdana"/>
          <w:iCs/>
          <w:szCs w:val="20"/>
          <w:lang w:val="pt-BR"/>
        </w:rPr>
        <w:t>Antônio</w:t>
      </w:r>
      <w:r w:rsidR="00F92F6A" w:rsidRPr="00D5464D">
        <w:rPr>
          <w:szCs w:val="20"/>
          <w:lang w:val="pt-BR"/>
        </w:rPr>
        <w:t xml:space="preserve"> </w:t>
      </w:r>
      <w:r w:rsidR="00B81840" w:rsidRPr="00D5464D">
        <w:rPr>
          <w:szCs w:val="20"/>
          <w:lang w:val="pt-BR"/>
        </w:rPr>
        <w:t>Lima</w:t>
      </w:r>
      <w:r w:rsidR="0010513B" w:rsidRPr="00D5464D">
        <w:rPr>
          <w:szCs w:val="20"/>
          <w:lang w:val="pt-BR"/>
        </w:rPr>
        <w:t>,</w:t>
      </w:r>
      <w:r w:rsidR="00293FFD" w:rsidRPr="00D5464D">
        <w:rPr>
          <w:szCs w:val="20"/>
          <w:lang w:val="pt-BR"/>
        </w:rPr>
        <w:t xml:space="preserve"> Francisco Fabiano Leandro</w:t>
      </w:r>
      <w:r w:rsidR="0010513B" w:rsidRPr="00D5464D">
        <w:rPr>
          <w:szCs w:val="20"/>
          <w:lang w:val="pt-BR"/>
        </w:rPr>
        <w:t>,</w:t>
      </w:r>
      <w:r w:rsidR="00B81840" w:rsidRPr="00D5464D">
        <w:rPr>
          <w:szCs w:val="20"/>
          <w:lang w:val="pt-BR"/>
        </w:rPr>
        <w:t xml:space="preserve"> Rogerio Felix</w:t>
      </w:r>
      <w:r w:rsidR="00293FFD" w:rsidRPr="00D5464D">
        <w:rPr>
          <w:szCs w:val="20"/>
          <w:lang w:val="pt-BR"/>
        </w:rPr>
        <w:t xml:space="preserve"> Silva</w:t>
      </w:r>
      <w:r w:rsidR="0010513B" w:rsidRPr="00D5464D">
        <w:rPr>
          <w:szCs w:val="20"/>
          <w:lang w:val="pt-BR"/>
        </w:rPr>
        <w:t>,</w:t>
      </w:r>
      <w:r w:rsidR="00B81840" w:rsidRPr="00D5464D">
        <w:rPr>
          <w:szCs w:val="20"/>
          <w:lang w:val="pt-BR"/>
        </w:rPr>
        <w:t xml:space="preserve"> Francisco das </w:t>
      </w:r>
      <w:r w:rsidR="00D54143" w:rsidRPr="00D5464D">
        <w:rPr>
          <w:szCs w:val="20"/>
          <w:lang w:val="pt-BR"/>
        </w:rPr>
        <w:t xml:space="preserve">Chagas </w:t>
      </w:r>
      <w:r w:rsidR="00B81840" w:rsidRPr="00D5464D">
        <w:rPr>
          <w:szCs w:val="20"/>
          <w:lang w:val="pt-BR"/>
        </w:rPr>
        <w:t>Bastos Sousa</w:t>
      </w:r>
      <w:r w:rsidR="00E045D9" w:rsidRPr="00D5464D">
        <w:rPr>
          <w:szCs w:val="20"/>
          <w:lang w:val="pt-BR"/>
        </w:rPr>
        <w:t xml:space="preserve"> e </w:t>
      </w:r>
      <w:r w:rsidR="00F92F6A" w:rsidRPr="00D5464D">
        <w:rPr>
          <w:rFonts w:cs="Verdana"/>
          <w:iCs/>
          <w:szCs w:val="20"/>
          <w:lang w:val="pt-BR"/>
        </w:rPr>
        <w:t>Antônio</w:t>
      </w:r>
      <w:r w:rsidR="00F92F6A" w:rsidRPr="00D5464D">
        <w:rPr>
          <w:szCs w:val="20"/>
          <w:lang w:val="pt-BR"/>
        </w:rPr>
        <w:t xml:space="preserve"> </w:t>
      </w:r>
      <w:r w:rsidR="00B81840" w:rsidRPr="00D5464D">
        <w:rPr>
          <w:szCs w:val="20"/>
          <w:lang w:val="pt-BR"/>
        </w:rPr>
        <w:t>Francisco da Silva,</w:t>
      </w:r>
      <w:r w:rsidR="00470ADC" w:rsidRPr="00D5464D">
        <w:rPr>
          <w:szCs w:val="20"/>
          <w:lang w:val="pt-BR"/>
        </w:rPr>
        <w:t xml:space="preserve"> </w:t>
      </w:r>
      <w:r w:rsidR="00F92F6A" w:rsidRPr="00D5464D">
        <w:rPr>
          <w:szCs w:val="20"/>
          <w:lang w:val="pt-BR"/>
        </w:rPr>
        <w:t xml:space="preserve">na </w:t>
      </w:r>
      <w:r w:rsidR="00470ADC" w:rsidRPr="00D5464D">
        <w:rPr>
          <w:szCs w:val="20"/>
          <w:lang w:val="pt-BR"/>
        </w:rPr>
        <w:t xml:space="preserve">qualidade </w:t>
      </w:r>
      <w:r w:rsidR="00B81840" w:rsidRPr="00D5464D">
        <w:rPr>
          <w:szCs w:val="20"/>
          <w:lang w:val="pt-BR"/>
        </w:rPr>
        <w:t xml:space="preserve">de </w:t>
      </w:r>
      <w:r w:rsidR="002C330E" w:rsidRPr="00D5464D">
        <w:rPr>
          <w:szCs w:val="20"/>
          <w:lang w:val="pt-BR"/>
        </w:rPr>
        <w:t>suposta</w:t>
      </w:r>
      <w:r w:rsidR="00B81840" w:rsidRPr="00D5464D">
        <w:rPr>
          <w:szCs w:val="20"/>
          <w:lang w:val="pt-BR"/>
        </w:rPr>
        <w:t xml:space="preserve">s </w:t>
      </w:r>
      <w:r w:rsidR="00E045D9" w:rsidRPr="00D5464D">
        <w:rPr>
          <w:szCs w:val="20"/>
          <w:lang w:val="pt-BR"/>
        </w:rPr>
        <w:t>vítima</w:t>
      </w:r>
      <w:r w:rsidR="00B81840" w:rsidRPr="00D5464D">
        <w:rPr>
          <w:szCs w:val="20"/>
          <w:lang w:val="pt-BR"/>
        </w:rPr>
        <w:t>s</w:t>
      </w:r>
      <w:r w:rsidR="00750080" w:rsidRPr="00D5464D">
        <w:rPr>
          <w:szCs w:val="20"/>
          <w:lang w:val="pt-BR"/>
        </w:rPr>
        <w:t xml:space="preserve">. </w:t>
      </w:r>
      <w:r w:rsidR="00470ADC" w:rsidRPr="00D5464D">
        <w:rPr>
          <w:szCs w:val="20"/>
          <w:lang w:val="pt-BR"/>
        </w:rPr>
        <w:t>Ademais</w:t>
      </w:r>
      <w:r w:rsidR="00750080" w:rsidRPr="00D5464D">
        <w:rPr>
          <w:szCs w:val="20"/>
          <w:lang w:val="pt-BR"/>
        </w:rPr>
        <w:t xml:space="preserve">, </w:t>
      </w:r>
      <w:r w:rsidR="002C330E" w:rsidRPr="00D5464D">
        <w:rPr>
          <w:szCs w:val="20"/>
          <w:lang w:val="pt-BR"/>
        </w:rPr>
        <w:t xml:space="preserve">recebeu as </w:t>
      </w:r>
      <w:r w:rsidR="00750080" w:rsidRPr="00D5464D">
        <w:rPr>
          <w:szCs w:val="20"/>
          <w:lang w:val="pt-BR"/>
        </w:rPr>
        <w:t>declara</w:t>
      </w:r>
      <w:r w:rsidR="00470ADC" w:rsidRPr="00D5464D">
        <w:rPr>
          <w:szCs w:val="20"/>
          <w:lang w:val="pt-BR"/>
        </w:rPr>
        <w:t>ções</w:t>
      </w:r>
      <w:r w:rsidR="00750080" w:rsidRPr="00D5464D">
        <w:rPr>
          <w:szCs w:val="20"/>
          <w:lang w:val="pt-BR"/>
        </w:rPr>
        <w:t xml:space="preserve"> de André Esposito Roston</w:t>
      </w:r>
      <w:r w:rsidR="0010513B" w:rsidRPr="00D5464D">
        <w:rPr>
          <w:szCs w:val="20"/>
          <w:lang w:val="pt-BR"/>
        </w:rPr>
        <w:t>,</w:t>
      </w:r>
      <w:r w:rsidR="00750080" w:rsidRPr="00D5464D">
        <w:rPr>
          <w:szCs w:val="20"/>
          <w:lang w:val="pt-BR"/>
        </w:rPr>
        <w:t xml:space="preserve"> Silvio Silva Brasil</w:t>
      </w:r>
      <w:r w:rsidR="0010513B" w:rsidRPr="00D5464D">
        <w:rPr>
          <w:szCs w:val="20"/>
          <w:lang w:val="pt-BR"/>
        </w:rPr>
        <w:t>,</w:t>
      </w:r>
      <w:r w:rsidR="00750080" w:rsidRPr="00D5464D">
        <w:rPr>
          <w:szCs w:val="20"/>
          <w:lang w:val="pt-BR"/>
        </w:rPr>
        <w:t xml:space="preserve"> Lél</w:t>
      </w:r>
      <w:r w:rsidR="00B9532C" w:rsidRPr="00D5464D">
        <w:rPr>
          <w:szCs w:val="20"/>
          <w:lang w:val="pt-BR"/>
        </w:rPr>
        <w:t>i</w:t>
      </w:r>
      <w:r w:rsidR="00750080" w:rsidRPr="00D5464D">
        <w:rPr>
          <w:szCs w:val="20"/>
          <w:lang w:val="pt-BR"/>
        </w:rPr>
        <w:t>o Bentes</w:t>
      </w:r>
      <w:r w:rsidR="0010513B" w:rsidRPr="00D5464D">
        <w:rPr>
          <w:szCs w:val="20"/>
          <w:lang w:val="pt-BR"/>
        </w:rPr>
        <w:t>,</w:t>
      </w:r>
      <w:r w:rsidR="00750080" w:rsidRPr="00D5464D">
        <w:rPr>
          <w:szCs w:val="20"/>
          <w:lang w:val="pt-BR"/>
        </w:rPr>
        <w:t xml:space="preserve"> Oswaldo José Barbosa Silva</w:t>
      </w:r>
      <w:r w:rsidR="00E045D9" w:rsidRPr="00D5464D">
        <w:rPr>
          <w:szCs w:val="20"/>
          <w:lang w:val="pt-BR"/>
        </w:rPr>
        <w:t xml:space="preserve"> e </w:t>
      </w:r>
      <w:r w:rsidR="00750080" w:rsidRPr="00D5464D">
        <w:rPr>
          <w:szCs w:val="20"/>
          <w:lang w:val="pt-BR"/>
        </w:rPr>
        <w:t>Christiane Vieira Nogueira,</w:t>
      </w:r>
      <w:r w:rsidR="00470ADC" w:rsidRPr="00D5464D">
        <w:rPr>
          <w:szCs w:val="20"/>
          <w:lang w:val="pt-BR"/>
        </w:rPr>
        <w:t xml:space="preserve"> </w:t>
      </w:r>
      <w:r w:rsidR="00F92F6A" w:rsidRPr="00D5464D">
        <w:rPr>
          <w:szCs w:val="20"/>
          <w:lang w:val="pt-BR"/>
        </w:rPr>
        <w:t xml:space="preserve">na </w:t>
      </w:r>
      <w:r w:rsidR="00470ADC" w:rsidRPr="00D5464D">
        <w:rPr>
          <w:szCs w:val="20"/>
          <w:lang w:val="pt-BR"/>
        </w:rPr>
        <w:t xml:space="preserve">qualidade </w:t>
      </w:r>
      <w:r w:rsidR="00750080" w:rsidRPr="00D5464D">
        <w:rPr>
          <w:szCs w:val="20"/>
          <w:lang w:val="pt-BR"/>
        </w:rPr>
        <w:t>de d</w:t>
      </w:r>
      <w:r w:rsidR="00293FFD" w:rsidRPr="00D5464D">
        <w:rPr>
          <w:szCs w:val="20"/>
          <w:lang w:val="pt-BR"/>
        </w:rPr>
        <w:t>eclarantes a título informativo</w:t>
      </w:r>
      <w:r w:rsidR="00B81840" w:rsidRPr="00D5464D">
        <w:rPr>
          <w:szCs w:val="20"/>
          <w:lang w:val="pt-BR"/>
        </w:rPr>
        <w:t>.</w:t>
      </w:r>
    </w:p>
    <w:p w14:paraId="440EA0C3" w14:textId="77777777" w:rsidR="00BA1ACF" w:rsidRPr="00D5464D" w:rsidRDefault="00BA1ACF" w:rsidP="00140440">
      <w:pPr>
        <w:tabs>
          <w:tab w:val="clear" w:pos="4419"/>
          <w:tab w:val="clear" w:pos="8838"/>
        </w:tabs>
        <w:jc w:val="both"/>
        <w:rPr>
          <w:rFonts w:eastAsia="Batang" w:cs="Times"/>
          <w:szCs w:val="24"/>
          <w:lang w:val="pt-BR"/>
        </w:rPr>
      </w:pPr>
    </w:p>
    <w:p w14:paraId="003A34B5" w14:textId="58B4214C" w:rsidR="00BA1ACF" w:rsidRPr="00D5464D" w:rsidRDefault="00470ADC" w:rsidP="00F306D7">
      <w:pPr>
        <w:pStyle w:val="Ttulo2"/>
        <w:numPr>
          <w:ilvl w:val="0"/>
          <w:numId w:val="16"/>
        </w:numPr>
        <w:rPr>
          <w:rFonts w:eastAsia="Batang"/>
          <w:lang w:val="pt-BR" w:eastAsia="es-ES"/>
        </w:rPr>
      </w:pPr>
      <w:bookmarkStart w:id="215" w:name="_Toc359314426"/>
      <w:bookmarkStart w:id="216" w:name="_Toc361671576"/>
      <w:bookmarkStart w:id="217" w:name="_Toc361671996"/>
      <w:bookmarkStart w:id="218" w:name="_Toc361732793"/>
      <w:bookmarkStart w:id="219" w:name="_Toc361732836"/>
      <w:bookmarkStart w:id="220" w:name="_Toc362456867"/>
      <w:bookmarkStart w:id="221" w:name="_Toc365021396"/>
      <w:bookmarkStart w:id="222" w:name="_Toc404770061"/>
      <w:bookmarkStart w:id="223" w:name="_Toc369076782"/>
      <w:bookmarkStart w:id="224" w:name="_Toc369989374"/>
      <w:bookmarkStart w:id="225" w:name="_Toc369989461"/>
      <w:bookmarkStart w:id="226" w:name="_Toc369989742"/>
      <w:bookmarkStart w:id="227" w:name="_Toc416164800"/>
      <w:bookmarkStart w:id="228" w:name="_Toc460432994"/>
      <w:bookmarkStart w:id="229" w:name="_Toc460441925"/>
      <w:bookmarkStart w:id="230" w:name="_Toc468433880"/>
      <w:bookmarkEnd w:id="214"/>
      <w:r w:rsidRPr="00D5464D">
        <w:rPr>
          <w:rFonts w:eastAsia="Batang"/>
          <w:lang w:val="pt-BR" w:eastAsia="es-ES"/>
        </w:rPr>
        <w:t>Admiss</w:t>
      </w:r>
      <w:r w:rsidR="00D4095A" w:rsidRPr="00D5464D">
        <w:rPr>
          <w:rFonts w:eastAsia="Batang"/>
          <w:lang w:val="pt-BR" w:eastAsia="es-ES"/>
        </w:rPr>
        <w:t>ibilidade</w:t>
      </w:r>
      <w:r w:rsidRPr="00D5464D">
        <w:rPr>
          <w:rFonts w:eastAsia="Batang"/>
          <w:lang w:val="pt-BR" w:eastAsia="es-ES"/>
        </w:rPr>
        <w:t xml:space="preserve"> da </w:t>
      </w:r>
      <w:r w:rsidR="002C330E" w:rsidRPr="00D5464D">
        <w:rPr>
          <w:rFonts w:eastAsia="Batang"/>
          <w:lang w:val="pt-BR" w:eastAsia="es-ES"/>
        </w:rPr>
        <w:t>prova</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5404AB64" w14:textId="77777777" w:rsidR="00BA1ACF" w:rsidRPr="00D5464D" w:rsidRDefault="00BA1ACF" w:rsidP="00140440">
      <w:pPr>
        <w:tabs>
          <w:tab w:val="clear" w:pos="4419"/>
          <w:tab w:val="clear" w:pos="8838"/>
        </w:tabs>
        <w:jc w:val="both"/>
        <w:rPr>
          <w:rFonts w:eastAsia="Batang" w:cs="Times"/>
          <w:szCs w:val="24"/>
          <w:lang w:val="pt-BR"/>
        </w:rPr>
      </w:pPr>
    </w:p>
    <w:p w14:paraId="522FF88A" w14:textId="116E34D5" w:rsidR="00BA1ACF" w:rsidRPr="00D5464D" w:rsidRDefault="00BA1ACF" w:rsidP="00140440">
      <w:pPr>
        <w:numPr>
          <w:ilvl w:val="0"/>
          <w:numId w:val="1"/>
        </w:numPr>
        <w:tabs>
          <w:tab w:val="clear" w:pos="4419"/>
          <w:tab w:val="clear" w:pos="8838"/>
        </w:tabs>
        <w:jc w:val="both"/>
        <w:rPr>
          <w:rFonts w:eastAsia="Batang" w:cs="Times"/>
          <w:szCs w:val="24"/>
          <w:lang w:val="pt-BR"/>
        </w:rPr>
      </w:pPr>
      <w:r w:rsidRPr="00D5464D">
        <w:rPr>
          <w:rFonts w:eastAsia="Batang" w:cs="Times"/>
          <w:szCs w:val="24"/>
          <w:lang w:val="pt-BR"/>
        </w:rPr>
        <w:t>Este Tribunal admite</w:t>
      </w:r>
      <w:r w:rsidR="002C330E" w:rsidRPr="00D5464D">
        <w:rPr>
          <w:rFonts w:eastAsia="Batang" w:cs="Times"/>
          <w:szCs w:val="24"/>
          <w:lang w:val="pt-BR"/>
        </w:rPr>
        <w:t xml:space="preserve"> os </w:t>
      </w:r>
      <w:r w:rsidRPr="00D5464D">
        <w:rPr>
          <w:rFonts w:eastAsia="Batang" w:cs="Times"/>
          <w:szCs w:val="24"/>
          <w:lang w:val="pt-BR"/>
        </w:rPr>
        <w:t>documentos</w:t>
      </w:r>
      <w:r w:rsidR="002C330E" w:rsidRPr="00D5464D">
        <w:rPr>
          <w:rFonts w:eastAsia="Batang" w:cs="Times"/>
          <w:szCs w:val="24"/>
          <w:lang w:val="pt-BR"/>
        </w:rPr>
        <w:t xml:space="preserve"> apresentados</w:t>
      </w:r>
      <w:r w:rsidR="00E045D9" w:rsidRPr="00D5464D">
        <w:rPr>
          <w:rFonts w:eastAsia="Batang" w:cs="Times"/>
          <w:szCs w:val="24"/>
          <w:lang w:val="pt-BR"/>
        </w:rPr>
        <w:t xml:space="preserve"> na </w:t>
      </w:r>
      <w:r w:rsidR="00470ADC" w:rsidRPr="00D5464D">
        <w:rPr>
          <w:rFonts w:eastAsia="Batang" w:cs="Times"/>
          <w:szCs w:val="20"/>
          <w:lang w:val="pt-BR"/>
        </w:rPr>
        <w:t xml:space="preserve">devida </w:t>
      </w:r>
      <w:r w:rsidR="002C330E" w:rsidRPr="00D5464D">
        <w:rPr>
          <w:rFonts w:eastAsia="Batang" w:cs="Times"/>
          <w:szCs w:val="20"/>
          <w:lang w:val="pt-BR"/>
        </w:rPr>
        <w:t xml:space="preserve">oportunidade processual pelas </w:t>
      </w:r>
      <w:r w:rsidRPr="00D5464D">
        <w:rPr>
          <w:rFonts w:eastAsia="Batang" w:cs="Times"/>
          <w:szCs w:val="20"/>
          <w:lang w:val="pt-BR"/>
        </w:rPr>
        <w:t>partes</w:t>
      </w:r>
      <w:r w:rsidR="00E045D9" w:rsidRPr="00D5464D">
        <w:rPr>
          <w:rFonts w:eastAsia="Batang" w:cs="Times"/>
          <w:szCs w:val="20"/>
          <w:lang w:val="pt-BR"/>
        </w:rPr>
        <w:t xml:space="preserve"> e </w:t>
      </w:r>
      <w:r w:rsidR="005F1029" w:rsidRPr="00D5464D">
        <w:rPr>
          <w:rFonts w:eastAsia="Batang" w:cs="Times"/>
          <w:szCs w:val="20"/>
          <w:lang w:val="pt-BR"/>
        </w:rPr>
        <w:t>pel</w:t>
      </w:r>
      <w:r w:rsidR="002C330E" w:rsidRPr="00D5464D">
        <w:rPr>
          <w:rFonts w:eastAsia="Batang" w:cs="Times"/>
          <w:szCs w:val="20"/>
          <w:lang w:val="pt-BR"/>
        </w:rPr>
        <w:t xml:space="preserve">a </w:t>
      </w:r>
      <w:r w:rsidR="00470ADC" w:rsidRPr="00D5464D">
        <w:rPr>
          <w:rFonts w:eastAsia="Batang" w:cs="Times"/>
          <w:szCs w:val="20"/>
          <w:lang w:val="pt-BR"/>
        </w:rPr>
        <w:t>Comissão e</w:t>
      </w:r>
      <w:r w:rsidRPr="00D5464D">
        <w:rPr>
          <w:rFonts w:eastAsia="Batang" w:cs="Times"/>
          <w:szCs w:val="20"/>
          <w:lang w:val="pt-BR"/>
        </w:rPr>
        <w:t xml:space="preserve"> </w:t>
      </w:r>
      <w:r w:rsidR="00470ADC" w:rsidRPr="00D5464D">
        <w:rPr>
          <w:rFonts w:eastAsia="Batang" w:cs="Times"/>
          <w:szCs w:val="20"/>
          <w:lang w:val="pt-BR"/>
        </w:rPr>
        <w:t>cuja</w:t>
      </w:r>
      <w:r w:rsidRPr="00D5464D">
        <w:rPr>
          <w:rFonts w:eastAsia="Batang" w:cs="Times"/>
          <w:szCs w:val="20"/>
          <w:lang w:val="pt-BR"/>
        </w:rPr>
        <w:t xml:space="preserve"> </w:t>
      </w:r>
      <w:r w:rsidR="00BC7B3C" w:rsidRPr="00D5464D">
        <w:rPr>
          <w:rFonts w:eastAsia="Batang" w:cs="Times"/>
          <w:szCs w:val="20"/>
          <w:lang w:val="pt-BR"/>
        </w:rPr>
        <w:t>admissibilidade</w:t>
      </w:r>
      <w:r w:rsidRPr="00D5464D">
        <w:rPr>
          <w:rFonts w:eastAsia="Batang" w:cs="Times"/>
          <w:szCs w:val="20"/>
          <w:lang w:val="pt-BR"/>
        </w:rPr>
        <w:t xml:space="preserve"> </w:t>
      </w:r>
      <w:r w:rsidR="00737270" w:rsidRPr="00D5464D">
        <w:rPr>
          <w:rFonts w:eastAsia="Batang" w:cs="Times"/>
          <w:szCs w:val="20"/>
          <w:lang w:val="pt-BR"/>
        </w:rPr>
        <w:t>não foi</w:t>
      </w:r>
      <w:r w:rsidR="00470ADC" w:rsidRPr="00D5464D">
        <w:rPr>
          <w:rFonts w:eastAsia="Batang" w:cs="Times"/>
          <w:szCs w:val="20"/>
          <w:lang w:val="pt-BR"/>
        </w:rPr>
        <w:t xml:space="preserve"> </w:t>
      </w:r>
      <w:r w:rsidRPr="00D5464D">
        <w:rPr>
          <w:rFonts w:eastAsia="Batang" w:cs="Times"/>
          <w:szCs w:val="20"/>
          <w:lang w:val="pt-BR"/>
        </w:rPr>
        <w:t>controvertida</w:t>
      </w:r>
      <w:r w:rsidR="002C330E" w:rsidRPr="00D5464D">
        <w:rPr>
          <w:rFonts w:eastAsia="Batang" w:cs="Times"/>
          <w:szCs w:val="20"/>
          <w:lang w:val="pt-BR"/>
        </w:rPr>
        <w:t xml:space="preserve"> nem </w:t>
      </w:r>
      <w:r w:rsidRPr="00D5464D">
        <w:rPr>
          <w:rFonts w:eastAsia="Batang" w:cs="Times"/>
          <w:szCs w:val="20"/>
          <w:lang w:val="pt-BR"/>
        </w:rPr>
        <w:t>objetada</w:t>
      </w:r>
      <w:r w:rsidR="005F1029" w:rsidRPr="00D5464D">
        <w:rPr>
          <w:rFonts w:eastAsia="Batang" w:cs="Times"/>
          <w:szCs w:val="20"/>
          <w:lang w:val="pt-BR"/>
        </w:rPr>
        <w:t>.</w:t>
      </w:r>
      <w:r w:rsidRPr="00D5464D">
        <w:rPr>
          <w:rFonts w:eastAsia="Batang" w:cs="Times New Roman"/>
          <w:szCs w:val="20"/>
          <w:vertAlign w:val="superscript"/>
          <w:lang w:val="pt-BR"/>
        </w:rPr>
        <w:footnoteReference w:id="57"/>
      </w:r>
      <w:r w:rsidRPr="00D5464D">
        <w:rPr>
          <w:rFonts w:eastAsia="Times New Roman" w:cs="Times"/>
          <w:szCs w:val="20"/>
          <w:lang w:val="pt-BR"/>
        </w:rPr>
        <w:t xml:space="preserve"> </w:t>
      </w:r>
    </w:p>
    <w:p w14:paraId="155EACDD" w14:textId="77777777" w:rsidR="00BA1ACF" w:rsidRPr="00D5464D" w:rsidRDefault="00BA1ACF" w:rsidP="00140440">
      <w:pPr>
        <w:tabs>
          <w:tab w:val="clear" w:pos="4419"/>
          <w:tab w:val="clear" w:pos="8838"/>
        </w:tabs>
        <w:jc w:val="both"/>
        <w:rPr>
          <w:rFonts w:eastAsia="Batang" w:cs="Times"/>
          <w:szCs w:val="24"/>
          <w:lang w:val="pt-BR"/>
        </w:rPr>
      </w:pPr>
      <w:r w:rsidRPr="00D5464D">
        <w:rPr>
          <w:rFonts w:eastAsia="Times New Roman" w:cs="Times"/>
          <w:szCs w:val="20"/>
          <w:lang w:val="pt-BR"/>
        </w:rPr>
        <w:t xml:space="preserve"> </w:t>
      </w:r>
    </w:p>
    <w:p w14:paraId="6C1A4EE2" w14:textId="6F68D105" w:rsidR="00BA1ACF" w:rsidRPr="00D5464D" w:rsidRDefault="005F1029" w:rsidP="00140440">
      <w:pPr>
        <w:numPr>
          <w:ilvl w:val="0"/>
          <w:numId w:val="1"/>
        </w:numPr>
        <w:tabs>
          <w:tab w:val="clear" w:pos="4419"/>
          <w:tab w:val="clear" w:pos="8838"/>
        </w:tabs>
        <w:jc w:val="both"/>
        <w:rPr>
          <w:rFonts w:eastAsia="Batang" w:cs="Times"/>
          <w:szCs w:val="24"/>
          <w:lang w:val="pt-BR"/>
        </w:rPr>
      </w:pPr>
      <w:r w:rsidRPr="00D5464D">
        <w:rPr>
          <w:rFonts w:eastAsia="Batang" w:cs="Times"/>
          <w:szCs w:val="20"/>
          <w:lang w:val="pt-BR"/>
        </w:rPr>
        <w:t xml:space="preserve">Em relação a </w:t>
      </w:r>
      <w:r w:rsidR="00470ADC" w:rsidRPr="00D5464D">
        <w:rPr>
          <w:rFonts w:eastAsia="Batang" w:cs="Times"/>
          <w:szCs w:val="20"/>
          <w:lang w:val="pt-BR"/>
        </w:rPr>
        <w:t xml:space="preserve">alguns </w:t>
      </w:r>
      <w:r w:rsidR="00BA1ACF" w:rsidRPr="00D5464D">
        <w:rPr>
          <w:rFonts w:eastAsia="Batang" w:cs="Times"/>
          <w:szCs w:val="20"/>
          <w:lang w:val="pt-BR"/>
        </w:rPr>
        <w:t xml:space="preserve">documentos </w:t>
      </w:r>
      <w:r w:rsidR="002C330E" w:rsidRPr="00D5464D">
        <w:rPr>
          <w:rFonts w:eastAsia="Batang" w:cs="Times"/>
          <w:szCs w:val="20"/>
          <w:lang w:val="pt-BR"/>
        </w:rPr>
        <w:t>indicado</w:t>
      </w:r>
      <w:r w:rsidR="00BA1ACF" w:rsidRPr="00D5464D">
        <w:rPr>
          <w:rFonts w:eastAsia="Batang" w:cs="Times"/>
          <w:szCs w:val="20"/>
          <w:lang w:val="pt-BR"/>
        </w:rPr>
        <w:t xml:space="preserve">s por </w:t>
      </w:r>
      <w:r w:rsidR="002C330E" w:rsidRPr="00D5464D">
        <w:rPr>
          <w:rFonts w:eastAsia="Batang" w:cs="Times"/>
          <w:szCs w:val="20"/>
          <w:lang w:val="pt-BR"/>
        </w:rPr>
        <w:t xml:space="preserve">meio </w:t>
      </w:r>
      <w:r w:rsidR="00BA1ACF" w:rsidRPr="00D5464D">
        <w:rPr>
          <w:rFonts w:eastAsia="Batang" w:cs="Times"/>
          <w:szCs w:val="20"/>
          <w:lang w:val="pt-BR"/>
        </w:rPr>
        <w:t>de</w:t>
      </w:r>
      <w:r w:rsidR="00E765C2" w:rsidRPr="00D5464D">
        <w:rPr>
          <w:rFonts w:eastAsia="Batang" w:cs="Times"/>
          <w:szCs w:val="20"/>
          <w:lang w:val="pt-BR"/>
        </w:rPr>
        <w:t xml:space="preserve"> link</w:t>
      </w:r>
      <w:r w:rsidR="00BA1ACF" w:rsidRPr="00D5464D">
        <w:rPr>
          <w:rFonts w:eastAsia="Batang" w:cs="Times"/>
          <w:szCs w:val="20"/>
          <w:lang w:val="pt-BR"/>
        </w:rPr>
        <w:t xml:space="preserve">s </w:t>
      </w:r>
      <w:r w:rsidR="00A1358C" w:rsidRPr="00D5464D">
        <w:rPr>
          <w:rFonts w:eastAsia="Batang" w:cs="Times"/>
          <w:szCs w:val="20"/>
          <w:lang w:val="pt-BR"/>
        </w:rPr>
        <w:t>eletrônic</w:t>
      </w:r>
      <w:r w:rsidR="00BA1ACF" w:rsidRPr="00D5464D">
        <w:rPr>
          <w:rFonts w:eastAsia="Batang" w:cs="Times"/>
          <w:szCs w:val="20"/>
          <w:lang w:val="pt-BR"/>
        </w:rPr>
        <w:t>os,</w:t>
      </w:r>
      <w:r w:rsidR="002C330E" w:rsidRPr="00D5464D">
        <w:rPr>
          <w:rFonts w:eastAsia="Batang" w:cs="Times"/>
          <w:szCs w:val="20"/>
          <w:lang w:val="pt-BR"/>
        </w:rPr>
        <w:t xml:space="preserve"> a </w:t>
      </w:r>
      <w:r w:rsidR="00BA1ACF" w:rsidRPr="00D5464D">
        <w:rPr>
          <w:rFonts w:eastAsia="Batang" w:cs="Times"/>
          <w:szCs w:val="20"/>
          <w:lang w:val="pt-BR"/>
        </w:rPr>
        <w:t xml:space="preserve">Corte </w:t>
      </w:r>
      <w:r w:rsidR="002C330E" w:rsidRPr="00D5464D">
        <w:rPr>
          <w:rFonts w:eastAsia="Batang" w:cs="Times"/>
          <w:szCs w:val="20"/>
          <w:lang w:val="pt-BR"/>
        </w:rPr>
        <w:t>estabeleceu</w:t>
      </w:r>
      <w:r w:rsidR="00BA1ACF" w:rsidRPr="00D5464D">
        <w:rPr>
          <w:rFonts w:eastAsia="Batang" w:cs="Times"/>
          <w:szCs w:val="20"/>
          <w:lang w:val="pt-BR"/>
        </w:rPr>
        <w:t xml:space="preserve"> que,</w:t>
      </w:r>
      <w:r w:rsidR="002C330E" w:rsidRPr="00D5464D">
        <w:rPr>
          <w:rFonts w:eastAsia="Batang" w:cs="Times"/>
          <w:szCs w:val="20"/>
          <w:lang w:val="pt-BR"/>
        </w:rPr>
        <w:t xml:space="preserve"> se</w:t>
      </w:r>
      <w:r w:rsidR="00E045D9" w:rsidRPr="00D5464D">
        <w:rPr>
          <w:rFonts w:eastAsia="Batang" w:cs="Times"/>
          <w:szCs w:val="20"/>
          <w:lang w:val="pt-BR"/>
        </w:rPr>
        <w:t xml:space="preserve"> uma </w:t>
      </w:r>
      <w:r w:rsidR="00BA1ACF" w:rsidRPr="00D5464D">
        <w:rPr>
          <w:rFonts w:eastAsia="Batang" w:cs="Times"/>
          <w:szCs w:val="20"/>
          <w:lang w:val="pt-BR"/>
        </w:rPr>
        <w:t>parte o</w:t>
      </w:r>
      <w:r w:rsidRPr="00D5464D">
        <w:rPr>
          <w:rFonts w:eastAsia="Batang" w:cs="Times"/>
          <w:szCs w:val="20"/>
          <w:lang w:val="pt-BR"/>
        </w:rPr>
        <w:t>u</w:t>
      </w:r>
      <w:r w:rsidR="002C330E" w:rsidRPr="00D5464D">
        <w:rPr>
          <w:rFonts w:eastAsia="Batang" w:cs="Times"/>
          <w:szCs w:val="20"/>
          <w:lang w:val="pt-BR"/>
        </w:rPr>
        <w:t xml:space="preserve"> a </w:t>
      </w:r>
      <w:r w:rsidR="00470ADC" w:rsidRPr="00D5464D">
        <w:rPr>
          <w:rFonts w:eastAsia="Batang" w:cs="Times"/>
          <w:szCs w:val="20"/>
          <w:lang w:val="pt-BR"/>
        </w:rPr>
        <w:t>Comissão</w:t>
      </w:r>
      <w:r w:rsidR="00BA1ACF" w:rsidRPr="00D5464D">
        <w:rPr>
          <w:rFonts w:eastAsia="Batang" w:cs="Times"/>
          <w:szCs w:val="20"/>
          <w:lang w:val="pt-BR"/>
        </w:rPr>
        <w:t xml:space="preserve"> proporciona</w:t>
      </w:r>
      <w:r w:rsidR="00470ADC" w:rsidRPr="00D5464D">
        <w:rPr>
          <w:rFonts w:eastAsia="Batang" w:cs="Times"/>
          <w:szCs w:val="20"/>
          <w:lang w:val="pt-BR"/>
        </w:rPr>
        <w:t xml:space="preserve"> </w:t>
      </w:r>
      <w:r w:rsidRPr="00D5464D">
        <w:rPr>
          <w:rFonts w:eastAsia="Batang" w:cs="Times"/>
          <w:szCs w:val="20"/>
          <w:lang w:val="pt-BR"/>
        </w:rPr>
        <w:t>pel</w:t>
      </w:r>
      <w:r w:rsidR="00470ADC" w:rsidRPr="00D5464D">
        <w:rPr>
          <w:rFonts w:eastAsia="Batang" w:cs="Times"/>
          <w:szCs w:val="20"/>
          <w:lang w:val="pt-BR"/>
        </w:rPr>
        <w:t xml:space="preserve">o </w:t>
      </w:r>
      <w:r w:rsidR="00BA1ACF" w:rsidRPr="00D5464D">
        <w:rPr>
          <w:rFonts w:eastAsia="Batang" w:cs="Times"/>
          <w:szCs w:val="20"/>
          <w:lang w:val="pt-BR"/>
        </w:rPr>
        <w:t>menos</w:t>
      </w:r>
      <w:r w:rsidR="00470ADC" w:rsidRPr="00D5464D">
        <w:rPr>
          <w:rFonts w:eastAsia="Batang" w:cs="Times"/>
          <w:szCs w:val="20"/>
          <w:lang w:val="pt-BR"/>
        </w:rPr>
        <w:t xml:space="preserve"> o </w:t>
      </w:r>
      <w:r w:rsidR="00C91CB1" w:rsidRPr="00D5464D">
        <w:rPr>
          <w:rFonts w:eastAsia="Batang" w:cs="Times"/>
          <w:szCs w:val="20"/>
          <w:lang w:val="pt-BR"/>
        </w:rPr>
        <w:t>link eletrônico</w:t>
      </w:r>
      <w:r w:rsidR="00BA1ACF" w:rsidRPr="00D5464D">
        <w:rPr>
          <w:rFonts w:eastAsia="Batang" w:cs="Times"/>
          <w:szCs w:val="20"/>
          <w:lang w:val="pt-BR"/>
        </w:rPr>
        <w:t xml:space="preserve"> </w:t>
      </w:r>
      <w:r w:rsidR="00470ADC" w:rsidRPr="00D5464D">
        <w:rPr>
          <w:rFonts w:eastAsia="Batang" w:cs="Times"/>
          <w:szCs w:val="20"/>
          <w:lang w:val="pt-BR"/>
        </w:rPr>
        <w:t>diret</w:t>
      </w:r>
      <w:r w:rsidR="00BA1ACF" w:rsidRPr="00D5464D">
        <w:rPr>
          <w:rFonts w:eastAsia="Batang" w:cs="Times"/>
          <w:szCs w:val="20"/>
          <w:lang w:val="pt-BR"/>
        </w:rPr>
        <w:t xml:space="preserve">o </w:t>
      </w:r>
      <w:r w:rsidR="00470ADC" w:rsidRPr="00D5464D">
        <w:rPr>
          <w:rFonts w:eastAsia="Batang" w:cs="Times"/>
          <w:szCs w:val="20"/>
          <w:lang w:val="pt-BR"/>
        </w:rPr>
        <w:t xml:space="preserve">do </w:t>
      </w:r>
      <w:r w:rsidR="00BA1ACF" w:rsidRPr="00D5464D">
        <w:rPr>
          <w:rFonts w:eastAsia="Batang" w:cs="Times"/>
          <w:szCs w:val="20"/>
          <w:lang w:val="pt-BR"/>
        </w:rPr>
        <w:t xml:space="preserve">documento que cita como </w:t>
      </w:r>
      <w:r w:rsidR="002C330E" w:rsidRPr="00D5464D">
        <w:rPr>
          <w:rFonts w:eastAsia="Batang" w:cs="Times"/>
          <w:szCs w:val="20"/>
          <w:lang w:val="pt-BR"/>
        </w:rPr>
        <w:t>prova</w:t>
      </w:r>
      <w:r w:rsidR="00E045D9" w:rsidRPr="00D5464D">
        <w:rPr>
          <w:rFonts w:eastAsia="Batang" w:cs="Times"/>
          <w:szCs w:val="20"/>
          <w:lang w:val="pt-BR"/>
        </w:rPr>
        <w:t xml:space="preserve"> e </w:t>
      </w:r>
      <w:r w:rsidR="00470ADC" w:rsidRPr="00D5464D">
        <w:rPr>
          <w:rFonts w:eastAsia="Batang" w:cs="Times"/>
          <w:szCs w:val="20"/>
          <w:lang w:val="pt-BR"/>
        </w:rPr>
        <w:t xml:space="preserve">é </w:t>
      </w:r>
      <w:r w:rsidR="002C330E" w:rsidRPr="00D5464D">
        <w:rPr>
          <w:rFonts w:eastAsia="Batang" w:cs="Times"/>
          <w:szCs w:val="20"/>
          <w:lang w:val="pt-BR"/>
        </w:rPr>
        <w:t xml:space="preserve">possível </w:t>
      </w:r>
      <w:r w:rsidRPr="00D5464D">
        <w:rPr>
          <w:rFonts w:eastAsia="Batang" w:cs="Times"/>
          <w:szCs w:val="20"/>
          <w:lang w:val="pt-BR"/>
        </w:rPr>
        <w:t xml:space="preserve">ter acesso </w:t>
      </w:r>
      <w:r w:rsidR="00BA1ACF" w:rsidRPr="00D5464D">
        <w:rPr>
          <w:rFonts w:eastAsia="Batang" w:cs="Times"/>
          <w:szCs w:val="20"/>
          <w:lang w:val="pt-BR"/>
        </w:rPr>
        <w:t xml:space="preserve">a </w:t>
      </w:r>
      <w:r w:rsidR="00350187" w:rsidRPr="00D5464D">
        <w:rPr>
          <w:rFonts w:eastAsia="Batang" w:cs="Times"/>
          <w:szCs w:val="20"/>
          <w:lang w:val="pt-BR"/>
        </w:rPr>
        <w:t>este</w:t>
      </w:r>
      <w:r w:rsidR="00BA1ACF" w:rsidRPr="00D5464D">
        <w:rPr>
          <w:rFonts w:eastAsia="Batang" w:cs="Times"/>
          <w:szCs w:val="20"/>
          <w:lang w:val="pt-BR"/>
        </w:rPr>
        <w:t xml:space="preserve">, </w:t>
      </w:r>
      <w:r w:rsidRPr="00D5464D">
        <w:rPr>
          <w:rFonts w:eastAsia="Batang" w:cs="Times"/>
          <w:szCs w:val="20"/>
          <w:lang w:val="pt-BR"/>
        </w:rPr>
        <w:t xml:space="preserve">não se vê </w:t>
      </w:r>
      <w:r w:rsidR="00470ADC" w:rsidRPr="00D5464D">
        <w:rPr>
          <w:rFonts w:eastAsia="Batang" w:cs="Times"/>
          <w:szCs w:val="20"/>
          <w:lang w:val="pt-BR"/>
        </w:rPr>
        <w:t>afeta</w:t>
      </w:r>
      <w:r w:rsidR="00BA1ACF" w:rsidRPr="00D5464D">
        <w:rPr>
          <w:rFonts w:eastAsia="Batang" w:cs="Times"/>
          <w:szCs w:val="20"/>
          <w:lang w:val="pt-BR"/>
        </w:rPr>
        <w:t>da</w:t>
      </w:r>
      <w:r w:rsidR="002C330E" w:rsidRPr="00D5464D">
        <w:rPr>
          <w:rFonts w:eastAsia="Batang" w:cs="Times"/>
          <w:szCs w:val="20"/>
          <w:lang w:val="pt-BR"/>
        </w:rPr>
        <w:t xml:space="preserve"> a segurança</w:t>
      </w:r>
      <w:r w:rsidR="00BA1ACF" w:rsidRPr="00D5464D">
        <w:rPr>
          <w:rFonts w:eastAsia="Batang" w:cs="Times"/>
          <w:szCs w:val="20"/>
          <w:lang w:val="pt-BR"/>
        </w:rPr>
        <w:t xml:space="preserve"> jurídica</w:t>
      </w:r>
      <w:r w:rsidR="002C330E" w:rsidRPr="00D5464D">
        <w:rPr>
          <w:rFonts w:eastAsia="Batang" w:cs="Times"/>
          <w:szCs w:val="20"/>
          <w:lang w:val="pt-BR"/>
        </w:rPr>
        <w:t xml:space="preserve"> nem </w:t>
      </w:r>
      <w:r w:rsidR="00470ADC" w:rsidRPr="00D5464D">
        <w:rPr>
          <w:rFonts w:eastAsia="Batang" w:cs="Times"/>
          <w:szCs w:val="20"/>
          <w:lang w:val="pt-BR"/>
        </w:rPr>
        <w:t>o equilíbrio</w:t>
      </w:r>
      <w:r w:rsidR="00BA1ACF" w:rsidRPr="00D5464D">
        <w:rPr>
          <w:rFonts w:eastAsia="Batang" w:cs="Times"/>
          <w:szCs w:val="20"/>
          <w:lang w:val="pt-BR"/>
        </w:rPr>
        <w:t xml:space="preserve"> </w:t>
      </w:r>
      <w:r w:rsidR="002C330E" w:rsidRPr="00D5464D">
        <w:rPr>
          <w:rFonts w:eastAsia="Batang" w:cs="Times"/>
          <w:szCs w:val="20"/>
          <w:lang w:val="pt-BR"/>
        </w:rPr>
        <w:t>processual</w:t>
      </w:r>
      <w:r w:rsidRPr="00D5464D">
        <w:rPr>
          <w:rFonts w:eastAsia="Batang" w:cs="Times"/>
          <w:szCs w:val="20"/>
          <w:lang w:val="pt-BR"/>
        </w:rPr>
        <w:t>,</w:t>
      </w:r>
      <w:r w:rsidR="002C330E" w:rsidRPr="00D5464D">
        <w:rPr>
          <w:rFonts w:eastAsia="Batang" w:cs="Times"/>
          <w:szCs w:val="20"/>
          <w:lang w:val="pt-BR"/>
        </w:rPr>
        <w:t xml:space="preserve"> </w:t>
      </w:r>
      <w:r w:rsidR="00BA1ACF" w:rsidRPr="00D5464D">
        <w:rPr>
          <w:rFonts w:eastAsia="Batang" w:cs="Times"/>
          <w:szCs w:val="20"/>
          <w:lang w:val="pt-BR"/>
        </w:rPr>
        <w:t>porque</w:t>
      </w:r>
      <w:r w:rsidR="00470ADC" w:rsidRPr="00D5464D">
        <w:rPr>
          <w:rFonts w:eastAsia="Batang" w:cs="Times"/>
          <w:szCs w:val="20"/>
          <w:lang w:val="pt-BR"/>
        </w:rPr>
        <w:t xml:space="preserve"> </w:t>
      </w:r>
      <w:r w:rsidRPr="00D5464D">
        <w:rPr>
          <w:rFonts w:eastAsia="Batang" w:cs="Times"/>
          <w:szCs w:val="20"/>
          <w:lang w:val="pt-BR"/>
        </w:rPr>
        <w:t xml:space="preserve">o documento </w:t>
      </w:r>
      <w:r w:rsidR="00470ADC" w:rsidRPr="00D5464D">
        <w:rPr>
          <w:rFonts w:eastAsia="Batang" w:cs="Times"/>
          <w:szCs w:val="20"/>
          <w:lang w:val="pt-BR"/>
        </w:rPr>
        <w:t xml:space="preserve">é </w:t>
      </w:r>
      <w:r w:rsidR="002C330E" w:rsidRPr="00D5464D">
        <w:rPr>
          <w:rFonts w:eastAsia="Batang" w:cs="Times"/>
          <w:szCs w:val="20"/>
          <w:lang w:val="pt-BR"/>
        </w:rPr>
        <w:t>imediat</w:t>
      </w:r>
      <w:r w:rsidR="00BA1ACF" w:rsidRPr="00D5464D">
        <w:rPr>
          <w:rFonts w:eastAsia="Batang" w:cs="Times"/>
          <w:szCs w:val="20"/>
          <w:lang w:val="pt-BR"/>
        </w:rPr>
        <w:t>amente localiz</w:t>
      </w:r>
      <w:r w:rsidR="00350187" w:rsidRPr="00D5464D">
        <w:rPr>
          <w:rFonts w:eastAsia="Batang" w:cs="Times"/>
          <w:szCs w:val="20"/>
          <w:lang w:val="pt-BR"/>
        </w:rPr>
        <w:t xml:space="preserve">ável </w:t>
      </w:r>
      <w:r w:rsidR="002C330E" w:rsidRPr="00D5464D">
        <w:rPr>
          <w:rFonts w:eastAsia="Batang" w:cs="Times"/>
          <w:szCs w:val="20"/>
          <w:lang w:val="pt-BR"/>
        </w:rPr>
        <w:t xml:space="preserve">pela </w:t>
      </w:r>
      <w:r w:rsidR="00BA1ACF" w:rsidRPr="00D5464D">
        <w:rPr>
          <w:rFonts w:eastAsia="Batang" w:cs="Times"/>
          <w:szCs w:val="20"/>
          <w:lang w:val="pt-BR"/>
        </w:rPr>
        <w:t>Corte</w:t>
      </w:r>
      <w:r w:rsidR="00E045D9" w:rsidRPr="00D5464D">
        <w:rPr>
          <w:rFonts w:eastAsia="Batang" w:cs="Times"/>
          <w:szCs w:val="20"/>
          <w:lang w:val="pt-BR"/>
        </w:rPr>
        <w:t xml:space="preserve"> e </w:t>
      </w:r>
      <w:r w:rsidR="002C330E" w:rsidRPr="00D5464D">
        <w:rPr>
          <w:rFonts w:eastAsia="Batang" w:cs="Times"/>
          <w:szCs w:val="20"/>
          <w:lang w:val="pt-BR"/>
        </w:rPr>
        <w:t>pelas outra</w:t>
      </w:r>
      <w:r w:rsidR="00BA1ACF" w:rsidRPr="00D5464D">
        <w:rPr>
          <w:rFonts w:eastAsia="Batang" w:cs="Times"/>
          <w:szCs w:val="20"/>
          <w:lang w:val="pt-BR"/>
        </w:rPr>
        <w:t>s partes</w:t>
      </w:r>
      <w:r w:rsidRPr="00D5464D">
        <w:rPr>
          <w:rFonts w:eastAsia="Batang" w:cs="Times"/>
          <w:szCs w:val="20"/>
          <w:lang w:val="pt-BR"/>
        </w:rPr>
        <w:t>.</w:t>
      </w:r>
      <w:r w:rsidR="00BA1ACF" w:rsidRPr="00D5464D">
        <w:rPr>
          <w:rFonts w:eastAsia="Batang" w:cs="Times New Roman"/>
          <w:szCs w:val="20"/>
          <w:vertAlign w:val="superscript"/>
          <w:lang w:val="pt-BR"/>
        </w:rPr>
        <w:footnoteReference w:id="58"/>
      </w:r>
      <w:r w:rsidR="00A1358C" w:rsidRPr="00D5464D">
        <w:rPr>
          <w:rFonts w:eastAsia="Batang" w:cs="Times"/>
          <w:szCs w:val="20"/>
          <w:lang w:val="pt-BR"/>
        </w:rPr>
        <w:t xml:space="preserve"> Em consequência</w:t>
      </w:r>
      <w:r w:rsidRPr="00D5464D">
        <w:rPr>
          <w:rFonts w:eastAsia="Batang" w:cs="Times"/>
          <w:szCs w:val="20"/>
          <w:lang w:val="pt-BR"/>
        </w:rPr>
        <w:t>,</w:t>
      </w:r>
      <w:r w:rsidR="002C330E" w:rsidRPr="00D5464D">
        <w:rPr>
          <w:rFonts w:eastAsia="Batang" w:cs="Times"/>
          <w:szCs w:val="24"/>
          <w:lang w:val="pt-BR"/>
        </w:rPr>
        <w:t xml:space="preserve"> a </w:t>
      </w:r>
      <w:r w:rsidR="00A1358C" w:rsidRPr="00D5464D">
        <w:rPr>
          <w:rFonts w:eastAsia="Batang" w:cs="Times"/>
          <w:szCs w:val="24"/>
          <w:lang w:val="pt-BR"/>
        </w:rPr>
        <w:t>Corte considera</w:t>
      </w:r>
      <w:r w:rsidR="00BA1ACF" w:rsidRPr="00D5464D">
        <w:rPr>
          <w:rFonts w:eastAsia="Batang" w:cs="Times"/>
          <w:szCs w:val="24"/>
          <w:lang w:val="pt-BR"/>
        </w:rPr>
        <w:t xml:space="preserve"> pertinente admitir</w:t>
      </w:r>
      <w:r w:rsidR="002C330E" w:rsidRPr="00D5464D">
        <w:rPr>
          <w:rFonts w:eastAsia="Batang" w:cs="Times"/>
          <w:szCs w:val="24"/>
          <w:lang w:val="pt-BR"/>
        </w:rPr>
        <w:t xml:space="preserve"> os </w:t>
      </w:r>
      <w:r w:rsidR="00BA1ACF" w:rsidRPr="00D5464D">
        <w:rPr>
          <w:rFonts w:eastAsia="Batang" w:cs="Times"/>
          <w:szCs w:val="24"/>
          <w:lang w:val="pt-BR"/>
        </w:rPr>
        <w:t xml:space="preserve">documentos que </w:t>
      </w:r>
      <w:r w:rsidR="00470ADC" w:rsidRPr="00D5464D">
        <w:rPr>
          <w:rFonts w:eastAsia="Batang" w:cs="Times"/>
          <w:szCs w:val="24"/>
          <w:lang w:val="pt-BR"/>
        </w:rPr>
        <w:t>foram</w:t>
      </w:r>
      <w:r w:rsidR="00BA1ACF" w:rsidRPr="00D5464D">
        <w:rPr>
          <w:rFonts w:eastAsia="Batang" w:cs="Times"/>
          <w:szCs w:val="24"/>
          <w:lang w:val="pt-BR"/>
        </w:rPr>
        <w:t xml:space="preserve"> </w:t>
      </w:r>
      <w:r w:rsidR="002C330E" w:rsidRPr="00D5464D">
        <w:rPr>
          <w:rFonts w:eastAsia="Batang" w:cs="Times"/>
          <w:szCs w:val="24"/>
          <w:lang w:val="pt-BR"/>
        </w:rPr>
        <w:t>indicado</w:t>
      </w:r>
      <w:r w:rsidR="00BA1ACF" w:rsidRPr="00D5464D">
        <w:rPr>
          <w:rFonts w:eastAsia="Batang" w:cs="Times"/>
          <w:szCs w:val="24"/>
          <w:lang w:val="pt-BR"/>
        </w:rPr>
        <w:t xml:space="preserve">s por </w:t>
      </w:r>
      <w:r w:rsidR="002C330E" w:rsidRPr="00D5464D">
        <w:rPr>
          <w:rFonts w:eastAsia="Batang" w:cs="Times"/>
          <w:szCs w:val="24"/>
          <w:lang w:val="pt-BR"/>
        </w:rPr>
        <w:t xml:space="preserve">meio </w:t>
      </w:r>
      <w:r w:rsidR="00BA1ACF" w:rsidRPr="00D5464D">
        <w:rPr>
          <w:rFonts w:eastAsia="Batang" w:cs="Times"/>
          <w:szCs w:val="24"/>
          <w:lang w:val="pt-BR"/>
        </w:rPr>
        <w:t>de</w:t>
      </w:r>
      <w:r w:rsidR="00E765C2" w:rsidRPr="00D5464D">
        <w:rPr>
          <w:rFonts w:eastAsia="Batang" w:cs="Times"/>
          <w:szCs w:val="24"/>
          <w:lang w:val="pt-BR"/>
        </w:rPr>
        <w:t xml:space="preserve"> link</w:t>
      </w:r>
      <w:r w:rsidR="00BA1ACF" w:rsidRPr="00D5464D">
        <w:rPr>
          <w:rFonts w:eastAsia="Batang" w:cs="Times"/>
          <w:szCs w:val="24"/>
          <w:lang w:val="pt-BR"/>
        </w:rPr>
        <w:t xml:space="preserve">s </w:t>
      </w:r>
      <w:r w:rsidR="00A1358C" w:rsidRPr="00D5464D">
        <w:rPr>
          <w:rFonts w:eastAsia="Batang" w:cs="Times"/>
          <w:szCs w:val="24"/>
          <w:lang w:val="pt-BR"/>
        </w:rPr>
        <w:t>eletrônic</w:t>
      </w:r>
      <w:r w:rsidR="00BA1ACF" w:rsidRPr="00D5464D">
        <w:rPr>
          <w:rFonts w:eastAsia="Batang" w:cs="Times"/>
          <w:szCs w:val="24"/>
          <w:lang w:val="pt-BR"/>
        </w:rPr>
        <w:t>os</w:t>
      </w:r>
      <w:r w:rsidR="00E045D9" w:rsidRPr="00D5464D">
        <w:rPr>
          <w:rFonts w:eastAsia="Batang" w:cs="Times"/>
          <w:szCs w:val="24"/>
          <w:lang w:val="pt-BR"/>
        </w:rPr>
        <w:t xml:space="preserve"> no </w:t>
      </w:r>
      <w:r w:rsidR="00BA1ACF" w:rsidRPr="00D5464D">
        <w:rPr>
          <w:rFonts w:eastAsia="Batang" w:cs="Times"/>
          <w:szCs w:val="24"/>
          <w:lang w:val="pt-BR"/>
        </w:rPr>
        <w:t>presente caso.</w:t>
      </w:r>
    </w:p>
    <w:p w14:paraId="48512192" w14:textId="77777777" w:rsidR="00B81840" w:rsidRPr="00D5464D" w:rsidRDefault="00B81840" w:rsidP="00140440">
      <w:pPr>
        <w:pStyle w:val="Prrafodelista"/>
        <w:contextualSpacing w:val="0"/>
        <w:rPr>
          <w:rFonts w:eastAsia="Batang" w:cs="Times"/>
          <w:szCs w:val="24"/>
          <w:lang w:val="pt-BR"/>
        </w:rPr>
      </w:pPr>
    </w:p>
    <w:p w14:paraId="6B81C669" w14:textId="4BED8926" w:rsidR="00B16F60" w:rsidRPr="00D5464D" w:rsidRDefault="00230C71" w:rsidP="00140440">
      <w:pPr>
        <w:numPr>
          <w:ilvl w:val="0"/>
          <w:numId w:val="1"/>
        </w:numPr>
        <w:tabs>
          <w:tab w:val="clear" w:pos="4419"/>
          <w:tab w:val="clear" w:pos="8838"/>
        </w:tabs>
        <w:jc w:val="both"/>
        <w:rPr>
          <w:rFonts w:eastAsia="Batang" w:cs="Times"/>
          <w:szCs w:val="24"/>
          <w:lang w:val="pt-BR"/>
        </w:rPr>
      </w:pPr>
      <w:r w:rsidRPr="00D5464D">
        <w:rPr>
          <w:rFonts w:eastAsia="Batang" w:cs="Times"/>
          <w:szCs w:val="24"/>
          <w:lang w:val="pt-BR"/>
        </w:rPr>
        <w:t xml:space="preserve">Quanto </w:t>
      </w:r>
      <w:r w:rsidR="00E045D9" w:rsidRPr="00D5464D">
        <w:rPr>
          <w:rFonts w:eastAsia="Batang" w:cs="Times"/>
          <w:szCs w:val="24"/>
          <w:lang w:val="pt-BR"/>
        </w:rPr>
        <w:t xml:space="preserve">às </w:t>
      </w:r>
      <w:r w:rsidR="00350187" w:rsidRPr="00D5464D">
        <w:rPr>
          <w:rFonts w:eastAsia="Batang" w:cs="Times"/>
          <w:szCs w:val="24"/>
          <w:lang w:val="pt-BR"/>
        </w:rPr>
        <w:t>declarações prestadas</w:t>
      </w:r>
      <w:r w:rsidR="00737270" w:rsidRPr="00D5464D">
        <w:rPr>
          <w:rFonts w:eastAsia="Batang" w:cs="Times"/>
          <w:szCs w:val="24"/>
          <w:lang w:val="pt-BR"/>
        </w:rPr>
        <w:t xml:space="preserve"> perante agente dotado</w:t>
      </w:r>
      <w:r w:rsidR="00470ADC" w:rsidRPr="00D5464D">
        <w:rPr>
          <w:rFonts w:eastAsia="Batang" w:cs="Times"/>
          <w:szCs w:val="24"/>
          <w:lang w:val="pt-BR"/>
        </w:rPr>
        <w:t xml:space="preserve"> de fé pública</w:t>
      </w:r>
      <w:r w:rsidR="005F1029" w:rsidRPr="00D5464D">
        <w:rPr>
          <w:rFonts w:eastAsia="Batang" w:cs="Times"/>
          <w:szCs w:val="24"/>
          <w:lang w:val="pt-BR"/>
        </w:rPr>
        <w:t>,</w:t>
      </w:r>
      <w:r w:rsidR="002C330E" w:rsidRPr="00D5464D">
        <w:rPr>
          <w:rFonts w:eastAsia="Batang" w:cs="Times"/>
          <w:szCs w:val="24"/>
          <w:lang w:val="pt-BR"/>
        </w:rPr>
        <w:t xml:space="preserve"> a </w:t>
      </w:r>
      <w:r w:rsidR="00B81840" w:rsidRPr="00D5464D">
        <w:rPr>
          <w:rFonts w:eastAsia="Batang" w:cs="Times"/>
          <w:szCs w:val="24"/>
          <w:lang w:val="pt-BR"/>
        </w:rPr>
        <w:t xml:space="preserve">Corte </w:t>
      </w:r>
      <w:r w:rsidR="00E045D9" w:rsidRPr="00D5464D">
        <w:rPr>
          <w:rFonts w:eastAsia="Batang" w:cs="Times"/>
          <w:szCs w:val="24"/>
          <w:lang w:val="pt-BR"/>
        </w:rPr>
        <w:t>constatou</w:t>
      </w:r>
      <w:r w:rsidR="00B81840" w:rsidRPr="00D5464D">
        <w:rPr>
          <w:rFonts w:eastAsia="Batang" w:cs="Times"/>
          <w:szCs w:val="24"/>
          <w:lang w:val="pt-BR"/>
        </w:rPr>
        <w:t xml:space="preserve"> que</w:t>
      </w:r>
      <w:r w:rsidR="00984AA7" w:rsidRPr="00D5464D">
        <w:rPr>
          <w:rFonts w:eastAsia="Batang" w:cs="Times"/>
          <w:szCs w:val="24"/>
          <w:lang w:val="pt-BR"/>
        </w:rPr>
        <w:t>,</w:t>
      </w:r>
      <w:r w:rsidR="00737270" w:rsidRPr="00D5464D">
        <w:rPr>
          <w:rFonts w:eastAsia="Batang" w:cs="Times"/>
          <w:szCs w:val="24"/>
          <w:lang w:val="pt-BR"/>
        </w:rPr>
        <w:t xml:space="preserve"> apesar </w:t>
      </w:r>
      <w:r w:rsidR="00B81840" w:rsidRPr="00D5464D">
        <w:rPr>
          <w:rFonts w:eastAsia="Batang" w:cs="Times"/>
          <w:szCs w:val="24"/>
          <w:lang w:val="pt-BR"/>
        </w:rPr>
        <w:t xml:space="preserve">de </w:t>
      </w:r>
      <w:r w:rsidR="002C330E" w:rsidRPr="00D5464D">
        <w:rPr>
          <w:rFonts w:eastAsia="Batang" w:cs="Times"/>
          <w:szCs w:val="24"/>
          <w:lang w:val="pt-BR"/>
        </w:rPr>
        <w:t>ter</w:t>
      </w:r>
      <w:r w:rsidR="00B81840" w:rsidRPr="00D5464D">
        <w:rPr>
          <w:rFonts w:eastAsia="Batang" w:cs="Times"/>
          <w:szCs w:val="24"/>
          <w:lang w:val="pt-BR"/>
        </w:rPr>
        <w:t xml:space="preserve"> sido </w:t>
      </w:r>
      <w:r w:rsidR="002C330E" w:rsidRPr="00D5464D">
        <w:rPr>
          <w:rFonts w:eastAsia="Batang" w:cs="Times"/>
          <w:szCs w:val="24"/>
          <w:lang w:val="pt-BR"/>
        </w:rPr>
        <w:t>oferecid</w:t>
      </w:r>
      <w:r w:rsidR="00B81840" w:rsidRPr="00D5464D">
        <w:rPr>
          <w:rFonts w:eastAsia="Batang" w:cs="Times"/>
          <w:szCs w:val="24"/>
          <w:lang w:val="pt-BR"/>
        </w:rPr>
        <w:t>a</w:t>
      </w:r>
      <w:r w:rsidR="00E045D9" w:rsidRPr="00D5464D">
        <w:rPr>
          <w:rFonts w:eastAsia="Batang" w:cs="Times"/>
          <w:szCs w:val="24"/>
          <w:lang w:val="pt-BR"/>
        </w:rPr>
        <w:t xml:space="preserve"> na </w:t>
      </w:r>
      <w:r w:rsidR="00470ADC" w:rsidRPr="00D5464D">
        <w:rPr>
          <w:rFonts w:eastAsia="Batang" w:cs="Times"/>
          <w:szCs w:val="24"/>
          <w:lang w:val="pt-BR"/>
        </w:rPr>
        <w:t xml:space="preserve">devida </w:t>
      </w:r>
      <w:r w:rsidR="002C330E" w:rsidRPr="00D5464D">
        <w:rPr>
          <w:rFonts w:eastAsia="Batang" w:cs="Times"/>
          <w:szCs w:val="24"/>
          <w:lang w:val="pt-BR"/>
        </w:rPr>
        <w:t>oportunidade</w:t>
      </w:r>
      <w:r w:rsidR="00E045D9" w:rsidRPr="00D5464D">
        <w:rPr>
          <w:rFonts w:eastAsia="Batang" w:cs="Times"/>
          <w:szCs w:val="24"/>
          <w:lang w:val="pt-BR"/>
        </w:rPr>
        <w:t xml:space="preserve"> e </w:t>
      </w:r>
      <w:r w:rsidR="00B81840" w:rsidRPr="00D5464D">
        <w:rPr>
          <w:rFonts w:eastAsia="Batang" w:cs="Times"/>
          <w:szCs w:val="24"/>
          <w:lang w:val="pt-BR"/>
        </w:rPr>
        <w:t>solicitada</w:t>
      </w:r>
      <w:r w:rsidR="00E045D9" w:rsidRPr="00D5464D">
        <w:rPr>
          <w:rFonts w:eastAsia="Batang" w:cs="Times"/>
          <w:szCs w:val="24"/>
          <w:lang w:val="pt-BR"/>
        </w:rPr>
        <w:t xml:space="preserve"> na </w:t>
      </w:r>
      <w:r w:rsidR="00B81840" w:rsidRPr="00D5464D">
        <w:rPr>
          <w:rFonts w:eastAsia="Batang" w:cs="Times"/>
          <w:szCs w:val="24"/>
          <w:lang w:val="pt-BR"/>
        </w:rPr>
        <w:t>Resolu</w:t>
      </w:r>
      <w:r w:rsidR="00470ADC" w:rsidRPr="00D5464D">
        <w:rPr>
          <w:rFonts w:eastAsia="Batang" w:cs="Times"/>
          <w:szCs w:val="24"/>
          <w:lang w:val="pt-BR"/>
        </w:rPr>
        <w:t>ção</w:t>
      </w:r>
      <w:r w:rsidR="00B81840" w:rsidRPr="00D5464D">
        <w:rPr>
          <w:rFonts w:eastAsia="Batang" w:cs="Times"/>
          <w:szCs w:val="24"/>
          <w:lang w:val="pt-BR"/>
        </w:rPr>
        <w:t xml:space="preserve"> </w:t>
      </w:r>
      <w:r w:rsidR="00470ADC" w:rsidRPr="00D5464D">
        <w:rPr>
          <w:rFonts w:eastAsia="Batang" w:cs="Times"/>
          <w:szCs w:val="24"/>
          <w:lang w:val="pt-BR"/>
        </w:rPr>
        <w:t xml:space="preserve">do </w:t>
      </w:r>
      <w:r w:rsidR="00A1358C" w:rsidRPr="00D5464D">
        <w:rPr>
          <w:rFonts w:eastAsia="Batang" w:cs="Times"/>
          <w:szCs w:val="24"/>
          <w:lang w:val="pt-BR"/>
        </w:rPr>
        <w:t>Presidente</w:t>
      </w:r>
      <w:r w:rsidR="00B81840" w:rsidRPr="00D5464D">
        <w:rPr>
          <w:rFonts w:eastAsia="Batang" w:cs="Times"/>
          <w:szCs w:val="24"/>
          <w:lang w:val="pt-BR"/>
        </w:rPr>
        <w:t xml:space="preserve"> de </w:t>
      </w:r>
      <w:r w:rsidR="00350187" w:rsidRPr="00D5464D">
        <w:rPr>
          <w:rFonts w:eastAsia="Batang" w:cs="Times"/>
          <w:szCs w:val="24"/>
          <w:lang w:val="pt-BR"/>
        </w:rPr>
        <w:t xml:space="preserve">11 </w:t>
      </w:r>
      <w:r w:rsidR="00A1358C" w:rsidRPr="00D5464D">
        <w:rPr>
          <w:rFonts w:eastAsia="Batang" w:cs="Times"/>
          <w:szCs w:val="24"/>
          <w:lang w:val="pt-BR"/>
        </w:rPr>
        <w:t>de dezembro</w:t>
      </w:r>
      <w:r w:rsidR="00B81840" w:rsidRPr="00D5464D">
        <w:rPr>
          <w:rFonts w:eastAsia="Batang" w:cs="Times"/>
          <w:szCs w:val="24"/>
          <w:lang w:val="pt-BR"/>
        </w:rPr>
        <w:t xml:space="preserve"> de 2015 (</w:t>
      </w:r>
      <w:r w:rsidR="00C85EA9" w:rsidRPr="00D5464D">
        <w:rPr>
          <w:rFonts w:eastAsia="Batang" w:cs="Times"/>
          <w:szCs w:val="24"/>
          <w:lang w:val="pt-BR"/>
        </w:rPr>
        <w:t xml:space="preserve">par. </w:t>
      </w:r>
      <w:r w:rsidR="00D036E7" w:rsidRPr="00D5464D">
        <w:rPr>
          <w:rFonts w:eastAsia="Batang" w:cs="Times"/>
          <w:szCs w:val="24"/>
          <w:lang w:val="pt-BR"/>
        </w:rPr>
        <w:t>9</w:t>
      </w:r>
      <w:r w:rsidR="00D036E7" w:rsidRPr="00D5464D">
        <w:rPr>
          <w:rFonts w:eastAsia="Batang" w:cs="Times"/>
          <w:i/>
          <w:szCs w:val="24"/>
          <w:lang w:val="pt-BR"/>
        </w:rPr>
        <w:t xml:space="preserve"> supra)</w:t>
      </w:r>
      <w:r w:rsidR="00B81840" w:rsidRPr="00D5464D">
        <w:rPr>
          <w:rFonts w:eastAsia="Batang" w:cs="Times"/>
          <w:szCs w:val="24"/>
          <w:lang w:val="pt-BR"/>
        </w:rPr>
        <w:t>,</w:t>
      </w:r>
      <w:r w:rsidR="002C330E" w:rsidRPr="00D5464D">
        <w:rPr>
          <w:rFonts w:eastAsia="Batang" w:cs="Times"/>
          <w:szCs w:val="24"/>
          <w:lang w:val="pt-BR"/>
        </w:rPr>
        <w:t xml:space="preserve"> os </w:t>
      </w:r>
      <w:r w:rsidR="00EB1CE9" w:rsidRPr="00D5464D">
        <w:rPr>
          <w:rFonts w:eastAsia="Batang" w:cs="Times"/>
          <w:szCs w:val="24"/>
          <w:lang w:val="pt-BR"/>
        </w:rPr>
        <w:t>representante</w:t>
      </w:r>
      <w:r w:rsidR="00B81840" w:rsidRPr="00D5464D">
        <w:rPr>
          <w:rFonts w:eastAsia="Batang" w:cs="Times"/>
          <w:szCs w:val="24"/>
          <w:lang w:val="pt-BR"/>
        </w:rPr>
        <w:t>s n</w:t>
      </w:r>
      <w:r w:rsidR="005F1029" w:rsidRPr="00D5464D">
        <w:rPr>
          <w:rFonts w:eastAsia="Batang" w:cs="Times"/>
          <w:szCs w:val="24"/>
          <w:lang w:val="pt-BR"/>
        </w:rPr>
        <w:t>ã</w:t>
      </w:r>
      <w:r w:rsidR="00B81840" w:rsidRPr="00D5464D">
        <w:rPr>
          <w:rFonts w:eastAsia="Batang" w:cs="Times"/>
          <w:szCs w:val="24"/>
          <w:lang w:val="pt-BR"/>
        </w:rPr>
        <w:t xml:space="preserve">o </w:t>
      </w:r>
      <w:r w:rsidR="00C91CB1" w:rsidRPr="00D5464D">
        <w:rPr>
          <w:rFonts w:eastAsia="Batang" w:cs="Times"/>
          <w:szCs w:val="24"/>
          <w:lang w:val="pt-BR"/>
        </w:rPr>
        <w:t>apresentaram</w:t>
      </w:r>
      <w:r w:rsidR="00350187" w:rsidRPr="00D5464D">
        <w:rPr>
          <w:rFonts w:eastAsia="Batang" w:cs="Times"/>
          <w:szCs w:val="24"/>
          <w:lang w:val="pt-BR"/>
        </w:rPr>
        <w:t xml:space="preserve"> </w:t>
      </w:r>
      <w:r w:rsidR="002C330E" w:rsidRPr="00D5464D">
        <w:rPr>
          <w:rFonts w:eastAsia="Batang" w:cs="Times"/>
          <w:szCs w:val="24"/>
          <w:lang w:val="pt-BR"/>
        </w:rPr>
        <w:t xml:space="preserve">a </w:t>
      </w:r>
      <w:r w:rsidR="00606616" w:rsidRPr="00D5464D">
        <w:rPr>
          <w:rFonts w:eastAsia="Batang" w:cs="Times"/>
          <w:szCs w:val="24"/>
          <w:lang w:val="pt-BR"/>
        </w:rPr>
        <w:t>declara</w:t>
      </w:r>
      <w:r w:rsidR="00470ADC" w:rsidRPr="00D5464D">
        <w:rPr>
          <w:rFonts w:eastAsia="Batang" w:cs="Times"/>
          <w:szCs w:val="24"/>
          <w:lang w:val="pt-BR"/>
        </w:rPr>
        <w:t>ção</w:t>
      </w:r>
      <w:r w:rsidR="00737270" w:rsidRPr="00D5464D">
        <w:rPr>
          <w:rFonts w:eastAsia="Batang" w:cs="Times"/>
          <w:szCs w:val="24"/>
          <w:lang w:val="pt-BR"/>
        </w:rPr>
        <w:t xml:space="preserve"> perante agente dotado</w:t>
      </w:r>
      <w:r w:rsidR="00470ADC" w:rsidRPr="00D5464D">
        <w:rPr>
          <w:rFonts w:eastAsia="Batang" w:cs="Times"/>
          <w:szCs w:val="24"/>
          <w:lang w:val="pt-BR"/>
        </w:rPr>
        <w:t xml:space="preserve"> de fé pública</w:t>
      </w:r>
      <w:r w:rsidR="00B81840" w:rsidRPr="00D5464D">
        <w:rPr>
          <w:rFonts w:eastAsia="Batang" w:cs="Times"/>
          <w:szCs w:val="24"/>
          <w:lang w:val="pt-BR"/>
        </w:rPr>
        <w:t xml:space="preserve"> de </w:t>
      </w:r>
      <w:r w:rsidR="00B81840" w:rsidRPr="00D5464D">
        <w:rPr>
          <w:rFonts w:cs="Verdana"/>
          <w:iCs/>
          <w:szCs w:val="20"/>
          <w:lang w:val="pt-BR"/>
        </w:rPr>
        <w:t>José Batista Gonçalves Afonso</w:t>
      </w:r>
      <w:r w:rsidR="00606616" w:rsidRPr="00D5464D">
        <w:rPr>
          <w:rFonts w:cs="Verdana"/>
          <w:iCs/>
          <w:szCs w:val="20"/>
          <w:lang w:val="pt-BR"/>
        </w:rPr>
        <w:t>,</w:t>
      </w:r>
      <w:r w:rsidR="002C330E" w:rsidRPr="00D5464D">
        <w:rPr>
          <w:rFonts w:cs="Verdana"/>
          <w:iCs/>
          <w:szCs w:val="20"/>
          <w:lang w:val="pt-BR"/>
        </w:rPr>
        <w:t xml:space="preserve"> </w:t>
      </w:r>
      <w:r w:rsidR="005F1029" w:rsidRPr="00D5464D">
        <w:rPr>
          <w:rFonts w:cs="Verdana"/>
          <w:iCs/>
          <w:szCs w:val="20"/>
          <w:lang w:val="pt-BR"/>
        </w:rPr>
        <w:t xml:space="preserve">tampouco </w:t>
      </w:r>
      <w:r w:rsidR="00470ADC" w:rsidRPr="00D5464D">
        <w:rPr>
          <w:rFonts w:cs="Verdana"/>
          <w:iCs/>
          <w:szCs w:val="20"/>
          <w:lang w:val="pt-BR"/>
        </w:rPr>
        <w:t xml:space="preserve">o </w:t>
      </w:r>
      <w:r w:rsidR="00606616" w:rsidRPr="00D5464D">
        <w:rPr>
          <w:rFonts w:cs="Verdana"/>
          <w:iCs/>
          <w:szCs w:val="20"/>
          <w:lang w:val="pt-BR"/>
        </w:rPr>
        <w:t xml:space="preserve">Estado </w:t>
      </w:r>
      <w:r w:rsidR="00C91CB1" w:rsidRPr="00D5464D">
        <w:rPr>
          <w:rFonts w:cs="Verdana"/>
          <w:iCs/>
          <w:szCs w:val="20"/>
          <w:lang w:val="pt-BR"/>
        </w:rPr>
        <w:t>apresentou</w:t>
      </w:r>
      <w:r w:rsidR="002C330E" w:rsidRPr="00D5464D">
        <w:rPr>
          <w:rFonts w:cs="Verdana"/>
          <w:iCs/>
          <w:szCs w:val="20"/>
          <w:lang w:val="pt-BR"/>
        </w:rPr>
        <w:t xml:space="preserve"> a </w:t>
      </w:r>
      <w:r w:rsidR="00606616" w:rsidRPr="00D5464D">
        <w:rPr>
          <w:rFonts w:cs="Verdana"/>
          <w:iCs/>
          <w:szCs w:val="20"/>
          <w:lang w:val="pt-BR"/>
        </w:rPr>
        <w:t>declara</w:t>
      </w:r>
      <w:r w:rsidR="00470ADC" w:rsidRPr="00D5464D">
        <w:rPr>
          <w:rFonts w:cs="Verdana"/>
          <w:iCs/>
          <w:szCs w:val="20"/>
          <w:lang w:val="pt-BR"/>
        </w:rPr>
        <w:t>ção</w:t>
      </w:r>
      <w:r w:rsidR="00606616" w:rsidRPr="00D5464D">
        <w:rPr>
          <w:rFonts w:cs="Verdana"/>
          <w:iCs/>
          <w:szCs w:val="20"/>
          <w:lang w:val="pt-BR"/>
        </w:rPr>
        <w:t xml:space="preserve"> de </w:t>
      </w:r>
      <w:r w:rsidR="00B81840" w:rsidRPr="00D5464D">
        <w:rPr>
          <w:rFonts w:cs="Verdana"/>
          <w:iCs/>
          <w:szCs w:val="20"/>
          <w:lang w:val="pt-BR"/>
        </w:rPr>
        <w:t>Dasalete Canuto Watanabe</w:t>
      </w:r>
      <w:r w:rsidR="00606616" w:rsidRPr="00D5464D">
        <w:rPr>
          <w:rFonts w:cs="Verdana"/>
          <w:iCs/>
          <w:szCs w:val="20"/>
          <w:lang w:val="pt-BR"/>
        </w:rPr>
        <w:t xml:space="preserve">. </w:t>
      </w:r>
    </w:p>
    <w:p w14:paraId="6CA5AB52" w14:textId="77777777" w:rsidR="00B16F60" w:rsidRPr="00D5464D" w:rsidRDefault="00B16F60" w:rsidP="00140440">
      <w:pPr>
        <w:pStyle w:val="Prrafodelista"/>
        <w:contextualSpacing w:val="0"/>
        <w:rPr>
          <w:rFonts w:cs="Verdana"/>
          <w:iCs/>
          <w:szCs w:val="20"/>
          <w:lang w:val="pt-BR"/>
        </w:rPr>
      </w:pPr>
    </w:p>
    <w:p w14:paraId="2AAA4853" w14:textId="3177E593" w:rsidR="00B81840" w:rsidRPr="00D5464D" w:rsidRDefault="005F1029" w:rsidP="00140440">
      <w:pPr>
        <w:numPr>
          <w:ilvl w:val="0"/>
          <w:numId w:val="1"/>
        </w:numPr>
        <w:tabs>
          <w:tab w:val="clear" w:pos="4419"/>
          <w:tab w:val="clear" w:pos="8838"/>
        </w:tabs>
        <w:jc w:val="both"/>
        <w:rPr>
          <w:rFonts w:eastAsia="Batang" w:cs="Times"/>
          <w:szCs w:val="24"/>
          <w:lang w:val="pt-BR"/>
        </w:rPr>
      </w:pPr>
      <w:r w:rsidRPr="00D5464D">
        <w:rPr>
          <w:rFonts w:cs="Verdana"/>
          <w:iCs/>
          <w:szCs w:val="20"/>
          <w:lang w:val="pt-BR"/>
        </w:rPr>
        <w:t>Por outra parte</w:t>
      </w:r>
      <w:r w:rsidR="00A1358C" w:rsidRPr="00D5464D">
        <w:rPr>
          <w:rFonts w:cs="Verdana"/>
          <w:iCs/>
          <w:szCs w:val="20"/>
          <w:lang w:val="pt-BR"/>
        </w:rPr>
        <w:t>,</w:t>
      </w:r>
      <w:r w:rsidR="002C330E" w:rsidRPr="00D5464D">
        <w:rPr>
          <w:rFonts w:cs="Verdana"/>
          <w:iCs/>
          <w:szCs w:val="20"/>
          <w:lang w:val="pt-BR"/>
        </w:rPr>
        <w:t xml:space="preserve"> a </w:t>
      </w:r>
      <w:r w:rsidR="00A1358C" w:rsidRPr="00D5464D">
        <w:rPr>
          <w:rFonts w:cs="Verdana"/>
          <w:iCs/>
          <w:szCs w:val="20"/>
          <w:lang w:val="pt-BR"/>
        </w:rPr>
        <w:t>Corte considera</w:t>
      </w:r>
      <w:r w:rsidR="00416610" w:rsidRPr="00D5464D">
        <w:rPr>
          <w:rFonts w:cs="Verdana"/>
          <w:iCs/>
          <w:szCs w:val="20"/>
          <w:lang w:val="pt-BR"/>
        </w:rPr>
        <w:t xml:space="preserve"> pertinente declarar in</w:t>
      </w:r>
      <w:r w:rsidR="00470ADC" w:rsidRPr="00D5464D">
        <w:rPr>
          <w:rFonts w:cs="Verdana"/>
          <w:iCs/>
          <w:szCs w:val="20"/>
          <w:lang w:val="pt-BR"/>
        </w:rPr>
        <w:t>admissível</w:t>
      </w:r>
      <w:r w:rsidR="002C330E" w:rsidRPr="00D5464D">
        <w:rPr>
          <w:rFonts w:cs="Verdana"/>
          <w:iCs/>
          <w:szCs w:val="20"/>
          <w:lang w:val="pt-BR"/>
        </w:rPr>
        <w:t xml:space="preserve"> a </w:t>
      </w:r>
      <w:r w:rsidR="00350187" w:rsidRPr="00D5464D">
        <w:rPr>
          <w:rFonts w:cs="Verdana"/>
          <w:iCs/>
          <w:szCs w:val="20"/>
          <w:lang w:val="pt-BR"/>
        </w:rPr>
        <w:t>declaração prestada perante</w:t>
      </w:r>
      <w:r w:rsidR="00737270" w:rsidRPr="00D5464D">
        <w:rPr>
          <w:rFonts w:cs="Verdana"/>
          <w:iCs/>
          <w:szCs w:val="20"/>
          <w:lang w:val="pt-BR"/>
        </w:rPr>
        <w:t xml:space="preserve"> agente dotado</w:t>
      </w:r>
      <w:r w:rsidR="00470ADC" w:rsidRPr="00D5464D">
        <w:rPr>
          <w:rFonts w:cs="Verdana"/>
          <w:iCs/>
          <w:szCs w:val="20"/>
          <w:lang w:val="pt-BR"/>
        </w:rPr>
        <w:t xml:space="preserve"> de fé pública</w:t>
      </w:r>
      <w:r w:rsidR="00416610" w:rsidRPr="00D5464D">
        <w:rPr>
          <w:rFonts w:cs="Verdana"/>
          <w:iCs/>
          <w:szCs w:val="20"/>
          <w:lang w:val="pt-BR"/>
        </w:rPr>
        <w:t xml:space="preserve"> </w:t>
      </w:r>
      <w:r w:rsidR="00984AA7" w:rsidRPr="00D5464D">
        <w:rPr>
          <w:rFonts w:cs="Verdana"/>
          <w:iCs/>
          <w:szCs w:val="20"/>
          <w:lang w:val="pt-BR"/>
        </w:rPr>
        <w:t xml:space="preserve">por </w:t>
      </w:r>
      <w:r w:rsidR="00416610" w:rsidRPr="00D5464D">
        <w:rPr>
          <w:rFonts w:cs="Verdana"/>
          <w:iCs/>
          <w:szCs w:val="20"/>
          <w:lang w:val="pt-BR"/>
        </w:rPr>
        <w:t>M</w:t>
      </w:r>
      <w:r w:rsidR="00E765C2" w:rsidRPr="00D5464D">
        <w:rPr>
          <w:rFonts w:cs="Verdana"/>
          <w:iCs/>
          <w:szCs w:val="20"/>
          <w:lang w:val="pt-BR"/>
        </w:rPr>
        <w:t xml:space="preserve">aria </w:t>
      </w:r>
      <w:r w:rsidR="00416610" w:rsidRPr="00D5464D">
        <w:rPr>
          <w:rFonts w:cs="Verdana"/>
          <w:iCs/>
          <w:szCs w:val="20"/>
          <w:lang w:val="pt-BR"/>
        </w:rPr>
        <w:t>Gorete Canuto</w:t>
      </w:r>
      <w:r w:rsidR="00470ADC" w:rsidRPr="00D5464D">
        <w:rPr>
          <w:rFonts w:cs="Verdana"/>
          <w:iCs/>
          <w:szCs w:val="20"/>
          <w:lang w:val="pt-BR"/>
        </w:rPr>
        <w:t>,</w:t>
      </w:r>
      <w:r w:rsidR="00737270" w:rsidRPr="00D5464D">
        <w:rPr>
          <w:rFonts w:cs="Verdana"/>
          <w:iCs/>
          <w:szCs w:val="20"/>
          <w:lang w:val="pt-BR"/>
        </w:rPr>
        <w:t xml:space="preserve"> já </w:t>
      </w:r>
      <w:r w:rsidR="00B81840" w:rsidRPr="00D5464D">
        <w:rPr>
          <w:rFonts w:cs="Verdana"/>
          <w:iCs/>
          <w:szCs w:val="20"/>
          <w:lang w:val="pt-BR"/>
        </w:rPr>
        <w:t xml:space="preserve">que </w:t>
      </w:r>
      <w:r w:rsidR="00737270" w:rsidRPr="00D5464D">
        <w:rPr>
          <w:rFonts w:cs="Verdana"/>
          <w:iCs/>
          <w:szCs w:val="20"/>
          <w:lang w:val="pt-BR"/>
        </w:rPr>
        <w:t>não foi</w:t>
      </w:r>
      <w:r w:rsidR="00470ADC" w:rsidRPr="00D5464D">
        <w:rPr>
          <w:rFonts w:cs="Verdana"/>
          <w:iCs/>
          <w:szCs w:val="20"/>
          <w:lang w:val="pt-BR"/>
        </w:rPr>
        <w:t xml:space="preserve"> </w:t>
      </w:r>
      <w:r w:rsidR="002C330E" w:rsidRPr="00D5464D">
        <w:rPr>
          <w:rFonts w:cs="Verdana"/>
          <w:iCs/>
          <w:szCs w:val="20"/>
          <w:lang w:val="pt-BR"/>
        </w:rPr>
        <w:t>oferecid</w:t>
      </w:r>
      <w:r w:rsidR="00750080" w:rsidRPr="00D5464D">
        <w:rPr>
          <w:rFonts w:cs="Verdana"/>
          <w:iCs/>
          <w:szCs w:val="20"/>
          <w:lang w:val="pt-BR"/>
        </w:rPr>
        <w:t>a</w:t>
      </w:r>
      <w:r w:rsidR="002C330E" w:rsidRPr="00D5464D">
        <w:rPr>
          <w:rFonts w:cs="Verdana"/>
          <w:iCs/>
          <w:szCs w:val="20"/>
          <w:lang w:val="pt-BR"/>
        </w:rPr>
        <w:t xml:space="preserve"> pelo </w:t>
      </w:r>
      <w:r w:rsidR="0007001D" w:rsidRPr="00D5464D">
        <w:rPr>
          <w:rFonts w:cs="Verdana"/>
          <w:iCs/>
          <w:szCs w:val="20"/>
          <w:lang w:val="pt-BR"/>
        </w:rPr>
        <w:t>Estado</w:t>
      </w:r>
      <w:r w:rsidR="00E045D9" w:rsidRPr="00D5464D">
        <w:rPr>
          <w:rFonts w:cs="Verdana"/>
          <w:iCs/>
          <w:szCs w:val="20"/>
          <w:lang w:val="pt-BR"/>
        </w:rPr>
        <w:t xml:space="preserve"> no </w:t>
      </w:r>
      <w:r w:rsidR="00750080" w:rsidRPr="00D5464D">
        <w:rPr>
          <w:rFonts w:cs="Verdana"/>
          <w:iCs/>
          <w:szCs w:val="20"/>
          <w:lang w:val="pt-BR"/>
        </w:rPr>
        <w:t xml:space="preserve">momento </w:t>
      </w:r>
      <w:r w:rsidR="002C330E" w:rsidRPr="00D5464D">
        <w:rPr>
          <w:rFonts w:cs="Verdana"/>
          <w:iCs/>
          <w:szCs w:val="20"/>
          <w:lang w:val="pt-BR"/>
        </w:rPr>
        <w:t xml:space="preserve">processual </w:t>
      </w:r>
      <w:r w:rsidR="00750080" w:rsidRPr="00D5464D">
        <w:rPr>
          <w:rFonts w:cs="Verdana"/>
          <w:iCs/>
          <w:szCs w:val="20"/>
          <w:lang w:val="pt-BR"/>
        </w:rPr>
        <w:t>oportuno</w:t>
      </w:r>
      <w:r w:rsidR="00704971" w:rsidRPr="00D5464D">
        <w:rPr>
          <w:rFonts w:cs="Verdana"/>
          <w:iCs/>
          <w:szCs w:val="20"/>
          <w:lang w:val="pt-BR"/>
        </w:rPr>
        <w:t>,</w:t>
      </w:r>
      <w:r w:rsidR="002C330E" w:rsidRPr="00D5464D">
        <w:rPr>
          <w:rFonts w:cs="Verdana"/>
          <w:iCs/>
          <w:szCs w:val="20"/>
          <w:lang w:val="pt-BR"/>
        </w:rPr>
        <w:t xml:space="preserve"> nem </w:t>
      </w:r>
      <w:r w:rsidR="00B81840" w:rsidRPr="00D5464D">
        <w:rPr>
          <w:rFonts w:cs="Verdana"/>
          <w:iCs/>
          <w:szCs w:val="20"/>
          <w:lang w:val="pt-BR"/>
        </w:rPr>
        <w:t>requerida</w:t>
      </w:r>
      <w:r w:rsidR="00E045D9" w:rsidRPr="00D5464D">
        <w:rPr>
          <w:rFonts w:cs="Verdana"/>
          <w:iCs/>
          <w:szCs w:val="20"/>
          <w:lang w:val="pt-BR"/>
        </w:rPr>
        <w:t xml:space="preserve"> na </w:t>
      </w:r>
      <w:r w:rsidR="00B81840" w:rsidRPr="00D5464D">
        <w:rPr>
          <w:rFonts w:cs="Verdana"/>
          <w:iCs/>
          <w:szCs w:val="20"/>
          <w:lang w:val="pt-BR"/>
        </w:rPr>
        <w:t>Resolu</w:t>
      </w:r>
      <w:r w:rsidR="00470ADC" w:rsidRPr="00D5464D">
        <w:rPr>
          <w:rFonts w:cs="Verdana"/>
          <w:iCs/>
          <w:szCs w:val="20"/>
          <w:lang w:val="pt-BR"/>
        </w:rPr>
        <w:t>ção</w:t>
      </w:r>
      <w:r w:rsidR="00B81840" w:rsidRPr="00D5464D">
        <w:rPr>
          <w:rFonts w:cs="Verdana"/>
          <w:iCs/>
          <w:szCs w:val="20"/>
          <w:lang w:val="pt-BR"/>
        </w:rPr>
        <w:t xml:space="preserve"> </w:t>
      </w:r>
      <w:r w:rsidR="00470ADC" w:rsidRPr="00D5464D">
        <w:rPr>
          <w:rFonts w:cs="Verdana"/>
          <w:iCs/>
          <w:szCs w:val="20"/>
          <w:lang w:val="pt-BR"/>
        </w:rPr>
        <w:t xml:space="preserve">do </w:t>
      </w:r>
      <w:r w:rsidR="00A1358C" w:rsidRPr="00D5464D">
        <w:rPr>
          <w:rFonts w:cs="Verdana"/>
          <w:iCs/>
          <w:szCs w:val="20"/>
          <w:lang w:val="pt-BR"/>
        </w:rPr>
        <w:t>Presidente</w:t>
      </w:r>
      <w:r w:rsidR="00D13A2D" w:rsidRPr="00D5464D">
        <w:rPr>
          <w:rFonts w:cs="Verdana"/>
          <w:iCs/>
          <w:szCs w:val="20"/>
          <w:lang w:val="pt-BR"/>
        </w:rPr>
        <w:t xml:space="preserve"> </w:t>
      </w:r>
      <w:r w:rsidR="00D13A2D" w:rsidRPr="00D5464D">
        <w:rPr>
          <w:rFonts w:eastAsia="Batang" w:cs="Times"/>
          <w:szCs w:val="24"/>
          <w:lang w:val="pt-BR"/>
        </w:rPr>
        <w:t xml:space="preserve">de </w:t>
      </w:r>
      <w:r w:rsidR="00350187" w:rsidRPr="00D5464D">
        <w:rPr>
          <w:rFonts w:eastAsia="Batang" w:cs="Times"/>
          <w:szCs w:val="24"/>
          <w:lang w:val="pt-BR"/>
        </w:rPr>
        <w:t xml:space="preserve">11 </w:t>
      </w:r>
      <w:r w:rsidR="00A1358C" w:rsidRPr="00D5464D">
        <w:rPr>
          <w:rFonts w:eastAsia="Batang" w:cs="Times"/>
          <w:szCs w:val="24"/>
          <w:lang w:val="pt-BR"/>
        </w:rPr>
        <w:t>de dezembro</w:t>
      </w:r>
      <w:r w:rsidR="00D13A2D" w:rsidRPr="00D5464D">
        <w:rPr>
          <w:rFonts w:eastAsia="Batang" w:cs="Times"/>
          <w:szCs w:val="24"/>
          <w:lang w:val="pt-BR"/>
        </w:rPr>
        <w:t xml:space="preserve"> de 2015</w:t>
      </w:r>
      <w:r w:rsidR="00416610" w:rsidRPr="00D5464D">
        <w:rPr>
          <w:rFonts w:eastAsia="Batang" w:cs="Times"/>
          <w:szCs w:val="24"/>
          <w:lang w:val="pt-BR"/>
        </w:rPr>
        <w:t xml:space="preserve"> o</w:t>
      </w:r>
      <w:r w:rsidRPr="00D5464D">
        <w:rPr>
          <w:rFonts w:eastAsia="Batang" w:cs="Times"/>
          <w:szCs w:val="24"/>
          <w:lang w:val="pt-BR"/>
        </w:rPr>
        <w:t>u</w:t>
      </w:r>
      <w:r w:rsidR="00E045D9" w:rsidRPr="00D5464D">
        <w:rPr>
          <w:rFonts w:eastAsia="Batang" w:cs="Times"/>
          <w:szCs w:val="24"/>
          <w:lang w:val="pt-BR"/>
        </w:rPr>
        <w:t xml:space="preserve"> na </w:t>
      </w:r>
      <w:r w:rsidR="00416610" w:rsidRPr="00D5464D">
        <w:rPr>
          <w:rFonts w:eastAsia="Batang" w:cs="Times"/>
          <w:szCs w:val="24"/>
          <w:lang w:val="pt-BR"/>
        </w:rPr>
        <w:t>Resolu</w:t>
      </w:r>
      <w:r w:rsidR="00470ADC" w:rsidRPr="00D5464D">
        <w:rPr>
          <w:rFonts w:eastAsia="Batang" w:cs="Times"/>
          <w:szCs w:val="24"/>
          <w:lang w:val="pt-BR"/>
        </w:rPr>
        <w:t xml:space="preserve">ção da </w:t>
      </w:r>
      <w:r w:rsidR="00416610" w:rsidRPr="00D5464D">
        <w:rPr>
          <w:rFonts w:eastAsia="Batang" w:cs="Times"/>
          <w:szCs w:val="24"/>
          <w:lang w:val="pt-BR"/>
        </w:rPr>
        <w:t xml:space="preserve">Corte de 15 de </w:t>
      </w:r>
      <w:r w:rsidR="00470ADC" w:rsidRPr="00D5464D">
        <w:rPr>
          <w:rFonts w:eastAsia="Batang" w:cs="Times"/>
          <w:szCs w:val="24"/>
          <w:lang w:val="pt-BR"/>
        </w:rPr>
        <w:t>fevereiro</w:t>
      </w:r>
      <w:r w:rsidR="00416610" w:rsidRPr="00D5464D">
        <w:rPr>
          <w:rFonts w:eastAsia="Batang" w:cs="Times"/>
          <w:szCs w:val="24"/>
          <w:lang w:val="pt-BR"/>
        </w:rPr>
        <w:t xml:space="preserve"> de 2016</w:t>
      </w:r>
      <w:r w:rsidR="00B81840" w:rsidRPr="00D5464D">
        <w:rPr>
          <w:rFonts w:cs="Verdana"/>
          <w:iCs/>
          <w:szCs w:val="20"/>
          <w:lang w:val="pt-BR"/>
        </w:rPr>
        <w:t>.</w:t>
      </w:r>
    </w:p>
    <w:p w14:paraId="61A56268" w14:textId="77777777" w:rsidR="00DF3CB1" w:rsidRPr="00D5464D" w:rsidRDefault="00DF3CB1" w:rsidP="00140440">
      <w:pPr>
        <w:pStyle w:val="Prrafodelista"/>
        <w:contextualSpacing w:val="0"/>
        <w:rPr>
          <w:rFonts w:eastAsia="Batang" w:cs="Times"/>
          <w:szCs w:val="24"/>
          <w:lang w:val="pt-BR"/>
        </w:rPr>
      </w:pPr>
    </w:p>
    <w:p w14:paraId="20BD09D9" w14:textId="135442CE" w:rsidR="00BA1ACF" w:rsidRPr="00D5464D" w:rsidRDefault="00350187" w:rsidP="00140440">
      <w:pPr>
        <w:numPr>
          <w:ilvl w:val="0"/>
          <w:numId w:val="1"/>
        </w:numPr>
        <w:tabs>
          <w:tab w:val="clear" w:pos="4419"/>
          <w:tab w:val="clear" w:pos="8838"/>
        </w:tabs>
        <w:jc w:val="both"/>
        <w:rPr>
          <w:rFonts w:eastAsia="Batang" w:cs="Times"/>
          <w:szCs w:val="20"/>
          <w:lang w:val="pt-BR"/>
        </w:rPr>
      </w:pPr>
      <w:r w:rsidRPr="00D5464D">
        <w:rPr>
          <w:rFonts w:eastAsia="Batang" w:cs="Times"/>
          <w:szCs w:val="20"/>
          <w:lang w:val="pt-BR"/>
        </w:rPr>
        <w:t xml:space="preserve">Além disso, </w:t>
      </w:r>
      <w:r w:rsidR="002C330E" w:rsidRPr="00D5464D">
        <w:rPr>
          <w:rFonts w:eastAsia="Batang" w:cs="Times"/>
          <w:szCs w:val="20"/>
          <w:lang w:val="pt-BR"/>
        </w:rPr>
        <w:t xml:space="preserve">os </w:t>
      </w:r>
      <w:r w:rsidR="00EB1CE9" w:rsidRPr="00D5464D">
        <w:rPr>
          <w:rFonts w:eastAsia="Batang" w:cs="Times"/>
          <w:szCs w:val="20"/>
          <w:lang w:val="pt-BR"/>
        </w:rPr>
        <w:t>representante</w:t>
      </w:r>
      <w:r w:rsidR="00DF3CB1" w:rsidRPr="00D5464D">
        <w:rPr>
          <w:rFonts w:eastAsia="Batang" w:cs="Times"/>
          <w:szCs w:val="20"/>
          <w:lang w:val="pt-BR"/>
        </w:rPr>
        <w:t xml:space="preserve">s </w:t>
      </w:r>
      <w:r w:rsidR="002C330E" w:rsidRPr="00D5464D">
        <w:rPr>
          <w:rFonts w:eastAsia="Batang" w:cs="Times"/>
          <w:szCs w:val="20"/>
          <w:lang w:val="pt-BR"/>
        </w:rPr>
        <w:t>afirmaram</w:t>
      </w:r>
      <w:r w:rsidR="00DF3CB1" w:rsidRPr="00D5464D">
        <w:rPr>
          <w:rFonts w:eastAsia="Batang" w:cs="Times"/>
          <w:szCs w:val="20"/>
          <w:lang w:val="pt-BR"/>
        </w:rPr>
        <w:t xml:space="preserve"> que</w:t>
      </w:r>
      <w:r w:rsidR="002C330E" w:rsidRPr="00D5464D">
        <w:rPr>
          <w:rFonts w:eastAsia="Batang" w:cs="Times"/>
          <w:szCs w:val="20"/>
          <w:lang w:val="pt-BR"/>
        </w:rPr>
        <w:t xml:space="preserve"> a </w:t>
      </w:r>
      <w:r w:rsidR="00DF3CB1" w:rsidRPr="00D5464D">
        <w:rPr>
          <w:rFonts w:eastAsia="Batang" w:cs="Times"/>
          <w:szCs w:val="20"/>
          <w:lang w:val="pt-BR"/>
        </w:rPr>
        <w:t>declara</w:t>
      </w:r>
      <w:r w:rsidR="00470ADC" w:rsidRPr="00D5464D">
        <w:rPr>
          <w:rFonts w:eastAsia="Batang" w:cs="Times"/>
          <w:szCs w:val="20"/>
          <w:lang w:val="pt-BR"/>
        </w:rPr>
        <w:t xml:space="preserve">ção perante a </w:t>
      </w:r>
      <w:r w:rsidR="00C91CB1" w:rsidRPr="00D5464D">
        <w:rPr>
          <w:rFonts w:eastAsia="Batang" w:cs="Times"/>
          <w:szCs w:val="20"/>
          <w:lang w:val="pt-BR"/>
        </w:rPr>
        <w:t xml:space="preserve">Polícia </w:t>
      </w:r>
      <w:r w:rsidR="002172CB" w:rsidRPr="00D5464D">
        <w:rPr>
          <w:rFonts w:eastAsia="Batang" w:cs="Times"/>
          <w:szCs w:val="20"/>
          <w:lang w:val="pt-BR"/>
        </w:rPr>
        <w:t>Federal</w:t>
      </w:r>
      <w:r w:rsidR="00DF3CB1" w:rsidRPr="00D5464D">
        <w:rPr>
          <w:rFonts w:eastAsia="Batang" w:cs="Times"/>
          <w:szCs w:val="20"/>
          <w:lang w:val="pt-BR"/>
        </w:rPr>
        <w:t xml:space="preserve"> de Maria do Socorro Canuto </w:t>
      </w:r>
      <w:r w:rsidR="00E045D9" w:rsidRPr="00D5464D">
        <w:rPr>
          <w:rFonts w:eastAsia="Batang" w:cs="Times"/>
          <w:szCs w:val="20"/>
          <w:lang w:val="pt-BR"/>
        </w:rPr>
        <w:t xml:space="preserve">seria </w:t>
      </w:r>
      <w:r w:rsidR="00DF3CB1" w:rsidRPr="00D5464D">
        <w:rPr>
          <w:rFonts w:eastAsia="Batang" w:cs="Times"/>
          <w:szCs w:val="20"/>
          <w:lang w:val="pt-BR"/>
        </w:rPr>
        <w:t>fra</w:t>
      </w:r>
      <w:r w:rsidR="005F1029" w:rsidRPr="00D5464D">
        <w:rPr>
          <w:rFonts w:eastAsia="Batang" w:cs="Times"/>
          <w:szCs w:val="20"/>
          <w:lang w:val="pt-BR"/>
        </w:rPr>
        <w:t>u</w:t>
      </w:r>
      <w:r w:rsidR="00DF3CB1" w:rsidRPr="00D5464D">
        <w:rPr>
          <w:rFonts w:eastAsia="Batang" w:cs="Times"/>
          <w:szCs w:val="20"/>
          <w:lang w:val="pt-BR"/>
        </w:rPr>
        <w:t>dulenta</w:t>
      </w:r>
      <w:r w:rsidR="00E045D9" w:rsidRPr="00D5464D">
        <w:rPr>
          <w:rFonts w:eastAsia="Batang" w:cs="Times"/>
          <w:szCs w:val="20"/>
          <w:lang w:val="pt-BR"/>
        </w:rPr>
        <w:t xml:space="preserve"> já </w:t>
      </w:r>
      <w:r w:rsidR="00DF3CB1" w:rsidRPr="00D5464D">
        <w:rPr>
          <w:rFonts w:eastAsia="Batang" w:cs="Times"/>
          <w:szCs w:val="20"/>
          <w:lang w:val="pt-BR"/>
        </w:rPr>
        <w:t xml:space="preserve">que, </w:t>
      </w:r>
      <w:r w:rsidR="005F1029" w:rsidRPr="00D5464D">
        <w:rPr>
          <w:rFonts w:eastAsia="Batang" w:cs="Times"/>
          <w:szCs w:val="20"/>
          <w:lang w:val="pt-BR"/>
        </w:rPr>
        <w:t>em sua opinião, a</w:t>
      </w:r>
      <w:r w:rsidR="00DF3CB1" w:rsidRPr="00D5464D">
        <w:rPr>
          <w:rFonts w:eastAsia="Batang" w:cs="Times"/>
          <w:szCs w:val="20"/>
          <w:lang w:val="pt-BR"/>
        </w:rPr>
        <w:t>present</w:t>
      </w:r>
      <w:r w:rsidRPr="00D5464D">
        <w:rPr>
          <w:rFonts w:eastAsia="Batang" w:cs="Times"/>
          <w:szCs w:val="20"/>
          <w:lang w:val="pt-BR"/>
        </w:rPr>
        <w:t xml:space="preserve">ava </w:t>
      </w:r>
      <w:r w:rsidR="00A1358C" w:rsidRPr="00D5464D">
        <w:rPr>
          <w:rFonts w:eastAsia="Batang" w:cs="Times"/>
          <w:szCs w:val="20"/>
          <w:lang w:val="pt-BR"/>
        </w:rPr>
        <w:t>contradições</w:t>
      </w:r>
      <w:r w:rsidR="007F1767" w:rsidRPr="00D5464D">
        <w:rPr>
          <w:rFonts w:eastAsia="Batang" w:cs="Times"/>
          <w:szCs w:val="20"/>
          <w:lang w:val="pt-BR"/>
        </w:rPr>
        <w:t xml:space="preserve"> </w:t>
      </w:r>
      <w:r w:rsidR="00DF3CB1" w:rsidRPr="00D5464D">
        <w:rPr>
          <w:rFonts w:eastAsia="Batang" w:cs="Times"/>
          <w:szCs w:val="20"/>
          <w:lang w:val="pt-BR"/>
        </w:rPr>
        <w:t xml:space="preserve">e </w:t>
      </w:r>
      <w:r w:rsidR="00EB1CE9" w:rsidRPr="00D5464D">
        <w:rPr>
          <w:rFonts w:eastAsia="Batang" w:cs="Times"/>
          <w:szCs w:val="20"/>
          <w:lang w:val="pt-BR"/>
        </w:rPr>
        <w:t>inconsistência</w:t>
      </w:r>
      <w:r w:rsidR="00DF3CB1" w:rsidRPr="00D5464D">
        <w:rPr>
          <w:rFonts w:eastAsia="Batang" w:cs="Times"/>
          <w:szCs w:val="20"/>
          <w:lang w:val="pt-BR"/>
        </w:rPr>
        <w:t>s</w:t>
      </w:r>
      <w:r w:rsidR="00EB1CE9" w:rsidRPr="00D5464D">
        <w:rPr>
          <w:rFonts w:eastAsia="Batang" w:cs="Times"/>
          <w:szCs w:val="20"/>
          <w:lang w:val="pt-BR"/>
        </w:rPr>
        <w:t xml:space="preserve">, </w:t>
      </w:r>
      <w:r w:rsidR="005F1029" w:rsidRPr="00D5464D">
        <w:rPr>
          <w:rFonts w:eastAsia="Batang" w:cs="Times"/>
          <w:szCs w:val="20"/>
          <w:lang w:val="pt-BR"/>
        </w:rPr>
        <w:t xml:space="preserve">de modo </w:t>
      </w:r>
      <w:r w:rsidR="00A1358C" w:rsidRPr="00D5464D">
        <w:rPr>
          <w:rFonts w:eastAsia="Batang" w:cs="Times"/>
          <w:szCs w:val="20"/>
          <w:lang w:val="pt-BR"/>
        </w:rPr>
        <w:t xml:space="preserve">que </w:t>
      </w:r>
      <w:r w:rsidR="002C330E" w:rsidRPr="00D5464D">
        <w:rPr>
          <w:rFonts w:eastAsia="Batang" w:cs="Times"/>
          <w:szCs w:val="20"/>
          <w:lang w:val="pt-BR"/>
        </w:rPr>
        <w:t>solicitaram</w:t>
      </w:r>
      <w:r w:rsidR="00470ADC" w:rsidRPr="00D5464D">
        <w:rPr>
          <w:rFonts w:eastAsia="Batang" w:cs="Times"/>
          <w:szCs w:val="20"/>
          <w:lang w:val="pt-BR"/>
        </w:rPr>
        <w:t xml:space="preserve"> à </w:t>
      </w:r>
      <w:r w:rsidR="00DF3CB1" w:rsidRPr="00D5464D">
        <w:rPr>
          <w:rFonts w:eastAsia="Batang" w:cs="Times"/>
          <w:szCs w:val="20"/>
          <w:lang w:val="pt-BR"/>
        </w:rPr>
        <w:t xml:space="preserve">Corte </w:t>
      </w:r>
      <w:r w:rsidR="00A1358C" w:rsidRPr="00D5464D">
        <w:rPr>
          <w:rFonts w:eastAsia="Batang" w:cs="Times"/>
          <w:szCs w:val="20"/>
          <w:lang w:val="pt-BR"/>
        </w:rPr>
        <w:t>rejeita</w:t>
      </w:r>
      <w:r w:rsidR="00DF3CB1" w:rsidRPr="00D5464D">
        <w:rPr>
          <w:rFonts w:eastAsia="Batang" w:cs="Times"/>
          <w:szCs w:val="20"/>
          <w:lang w:val="pt-BR"/>
        </w:rPr>
        <w:t xml:space="preserve">r </w:t>
      </w:r>
      <w:r w:rsidR="00470ADC" w:rsidRPr="00D5464D">
        <w:rPr>
          <w:rFonts w:eastAsia="Batang" w:cs="Times"/>
          <w:szCs w:val="20"/>
          <w:lang w:val="pt-BR"/>
        </w:rPr>
        <w:t>esta</w:t>
      </w:r>
      <w:r w:rsidR="00DF3CB1" w:rsidRPr="00D5464D">
        <w:rPr>
          <w:rFonts w:eastAsia="Batang" w:cs="Times"/>
          <w:szCs w:val="20"/>
          <w:lang w:val="pt-BR"/>
        </w:rPr>
        <w:t xml:space="preserve"> declara</w:t>
      </w:r>
      <w:r w:rsidR="00470ADC" w:rsidRPr="00D5464D">
        <w:rPr>
          <w:rFonts w:eastAsia="Batang" w:cs="Times"/>
          <w:szCs w:val="20"/>
          <w:lang w:val="pt-BR"/>
        </w:rPr>
        <w:t>ção</w:t>
      </w:r>
      <w:r w:rsidR="00A1358C" w:rsidRPr="00D5464D">
        <w:rPr>
          <w:rFonts w:eastAsia="Batang" w:cs="Times"/>
          <w:szCs w:val="20"/>
          <w:lang w:val="pt-BR"/>
        </w:rPr>
        <w:t xml:space="preserve">. A </w:t>
      </w:r>
      <w:r w:rsidR="001E3513" w:rsidRPr="00D5464D">
        <w:rPr>
          <w:szCs w:val="20"/>
          <w:lang w:val="pt-BR"/>
        </w:rPr>
        <w:t xml:space="preserve">Corte considera que </w:t>
      </w:r>
      <w:r w:rsidR="00470ADC" w:rsidRPr="00D5464D">
        <w:rPr>
          <w:szCs w:val="20"/>
          <w:lang w:val="pt-BR"/>
        </w:rPr>
        <w:t>esta</w:t>
      </w:r>
      <w:r w:rsidR="001E3513" w:rsidRPr="00D5464D">
        <w:rPr>
          <w:szCs w:val="20"/>
          <w:lang w:val="pt-BR"/>
        </w:rPr>
        <w:t>s observa</w:t>
      </w:r>
      <w:r w:rsidR="00470ADC" w:rsidRPr="00D5464D">
        <w:rPr>
          <w:szCs w:val="20"/>
          <w:lang w:val="pt-BR"/>
        </w:rPr>
        <w:t>ções</w:t>
      </w:r>
      <w:r w:rsidR="001E3513" w:rsidRPr="00D5464D">
        <w:rPr>
          <w:szCs w:val="20"/>
          <w:lang w:val="pt-BR"/>
        </w:rPr>
        <w:t xml:space="preserve"> se </w:t>
      </w:r>
      <w:r w:rsidRPr="00D5464D">
        <w:rPr>
          <w:szCs w:val="20"/>
          <w:lang w:val="pt-BR"/>
        </w:rPr>
        <w:t>referem</w:t>
      </w:r>
      <w:r w:rsidR="00470ADC" w:rsidRPr="00D5464D">
        <w:rPr>
          <w:szCs w:val="20"/>
          <w:lang w:val="pt-BR"/>
        </w:rPr>
        <w:t xml:space="preserve"> ao conteúdo</w:t>
      </w:r>
      <w:r w:rsidR="00E045D9" w:rsidRPr="00D5464D">
        <w:rPr>
          <w:szCs w:val="20"/>
          <w:lang w:val="pt-BR"/>
        </w:rPr>
        <w:t xml:space="preserve"> e </w:t>
      </w:r>
      <w:r w:rsidR="005F1029" w:rsidRPr="00D5464D">
        <w:rPr>
          <w:szCs w:val="20"/>
          <w:lang w:val="pt-BR"/>
        </w:rPr>
        <w:t xml:space="preserve">ao </w:t>
      </w:r>
      <w:r w:rsidR="001E3513" w:rsidRPr="00D5464D">
        <w:rPr>
          <w:szCs w:val="20"/>
          <w:lang w:val="pt-BR"/>
        </w:rPr>
        <w:t xml:space="preserve">valor </w:t>
      </w:r>
      <w:r w:rsidR="002C330E" w:rsidRPr="00D5464D">
        <w:rPr>
          <w:szCs w:val="20"/>
          <w:lang w:val="pt-BR"/>
        </w:rPr>
        <w:t>probatório</w:t>
      </w:r>
      <w:r w:rsidR="001E3513" w:rsidRPr="00D5464D">
        <w:rPr>
          <w:szCs w:val="20"/>
          <w:lang w:val="pt-BR"/>
        </w:rPr>
        <w:t xml:space="preserve"> </w:t>
      </w:r>
      <w:r w:rsidR="00470ADC" w:rsidRPr="00D5464D">
        <w:rPr>
          <w:szCs w:val="20"/>
          <w:lang w:val="pt-BR"/>
        </w:rPr>
        <w:t xml:space="preserve">do </w:t>
      </w:r>
      <w:r w:rsidR="00E045D9" w:rsidRPr="00D5464D">
        <w:rPr>
          <w:szCs w:val="20"/>
          <w:lang w:val="pt-BR"/>
        </w:rPr>
        <w:t xml:space="preserve">testemunho e </w:t>
      </w:r>
      <w:r w:rsidR="001E3513" w:rsidRPr="00D5464D">
        <w:rPr>
          <w:szCs w:val="20"/>
          <w:lang w:val="pt-BR"/>
        </w:rPr>
        <w:t>n</w:t>
      </w:r>
      <w:r w:rsidR="005F1029" w:rsidRPr="00D5464D">
        <w:rPr>
          <w:szCs w:val="20"/>
          <w:lang w:val="pt-BR"/>
        </w:rPr>
        <w:t xml:space="preserve">ão significam </w:t>
      </w:r>
      <w:r w:rsidR="00E045D9" w:rsidRPr="00D5464D">
        <w:rPr>
          <w:szCs w:val="20"/>
          <w:lang w:val="pt-BR"/>
        </w:rPr>
        <w:t xml:space="preserve">uma </w:t>
      </w:r>
      <w:r w:rsidR="001E3513" w:rsidRPr="00D5464D">
        <w:rPr>
          <w:szCs w:val="20"/>
          <w:lang w:val="pt-BR"/>
        </w:rPr>
        <w:t>obje</w:t>
      </w:r>
      <w:r w:rsidR="00470ADC" w:rsidRPr="00D5464D">
        <w:rPr>
          <w:szCs w:val="20"/>
          <w:lang w:val="pt-BR"/>
        </w:rPr>
        <w:t xml:space="preserve">ção à admissão </w:t>
      </w:r>
      <w:r w:rsidR="00E045D9" w:rsidRPr="00D5464D">
        <w:rPr>
          <w:szCs w:val="20"/>
          <w:lang w:val="pt-BR"/>
        </w:rPr>
        <w:t>desta</w:t>
      </w:r>
      <w:r w:rsidR="001E3513" w:rsidRPr="00D5464D">
        <w:rPr>
          <w:szCs w:val="20"/>
          <w:lang w:val="pt-BR"/>
        </w:rPr>
        <w:t xml:space="preserve"> </w:t>
      </w:r>
      <w:r w:rsidR="002C330E" w:rsidRPr="00D5464D">
        <w:rPr>
          <w:szCs w:val="20"/>
          <w:lang w:val="pt-BR"/>
        </w:rPr>
        <w:t>prova</w:t>
      </w:r>
      <w:r w:rsidR="005F1029" w:rsidRPr="00D5464D">
        <w:rPr>
          <w:szCs w:val="20"/>
          <w:lang w:val="pt-BR"/>
        </w:rPr>
        <w:t>.</w:t>
      </w:r>
      <w:r w:rsidR="001E3513" w:rsidRPr="00D5464D">
        <w:rPr>
          <w:rStyle w:val="Refdenotaalpie"/>
          <w:lang w:val="pt-BR"/>
        </w:rPr>
        <w:footnoteReference w:id="59"/>
      </w:r>
      <w:r w:rsidR="001E3513" w:rsidRPr="00D5464D">
        <w:rPr>
          <w:szCs w:val="20"/>
          <w:lang w:val="pt-BR"/>
        </w:rPr>
        <w:t xml:space="preserve"> Adicionalmente,</w:t>
      </w:r>
      <w:r w:rsidR="002C330E" w:rsidRPr="00D5464D">
        <w:rPr>
          <w:szCs w:val="20"/>
          <w:lang w:val="pt-BR"/>
        </w:rPr>
        <w:t xml:space="preserve"> as </w:t>
      </w:r>
      <w:r w:rsidR="001E3513" w:rsidRPr="00D5464D">
        <w:rPr>
          <w:szCs w:val="20"/>
          <w:lang w:val="pt-BR"/>
        </w:rPr>
        <w:t>obje</w:t>
      </w:r>
      <w:r w:rsidR="00470ADC" w:rsidRPr="00D5464D">
        <w:rPr>
          <w:szCs w:val="20"/>
          <w:lang w:val="pt-BR"/>
        </w:rPr>
        <w:t xml:space="preserve">ções dos </w:t>
      </w:r>
      <w:r w:rsidR="00EB1CE9" w:rsidRPr="00D5464D">
        <w:rPr>
          <w:szCs w:val="20"/>
          <w:lang w:val="pt-BR"/>
        </w:rPr>
        <w:t>representante</w:t>
      </w:r>
      <w:r w:rsidR="001E3513" w:rsidRPr="00D5464D">
        <w:rPr>
          <w:szCs w:val="20"/>
          <w:lang w:val="pt-BR"/>
        </w:rPr>
        <w:t>s</w:t>
      </w:r>
      <w:r w:rsidR="00470ADC" w:rsidRPr="00D5464D">
        <w:rPr>
          <w:szCs w:val="20"/>
          <w:lang w:val="pt-BR"/>
        </w:rPr>
        <w:t xml:space="preserve"> </w:t>
      </w:r>
      <w:r w:rsidRPr="00D5464D">
        <w:rPr>
          <w:szCs w:val="20"/>
          <w:lang w:val="pt-BR"/>
        </w:rPr>
        <w:t>quanto</w:t>
      </w:r>
      <w:r w:rsidR="00470ADC" w:rsidRPr="00D5464D">
        <w:rPr>
          <w:szCs w:val="20"/>
          <w:lang w:val="pt-BR"/>
        </w:rPr>
        <w:t xml:space="preserve"> à </w:t>
      </w:r>
      <w:r w:rsidR="00C91CB1" w:rsidRPr="00D5464D">
        <w:rPr>
          <w:szCs w:val="20"/>
          <w:lang w:val="pt-BR"/>
        </w:rPr>
        <w:t>falsidade</w:t>
      </w:r>
      <w:r w:rsidR="00470ADC" w:rsidRPr="00D5464D">
        <w:rPr>
          <w:szCs w:val="20"/>
          <w:lang w:val="pt-BR"/>
        </w:rPr>
        <w:t xml:space="preserve"> da </w:t>
      </w:r>
      <w:r w:rsidR="001E3513" w:rsidRPr="00D5464D">
        <w:rPr>
          <w:szCs w:val="20"/>
          <w:lang w:val="pt-BR"/>
        </w:rPr>
        <w:t>declara</w:t>
      </w:r>
      <w:r w:rsidR="00470ADC" w:rsidRPr="00D5464D">
        <w:rPr>
          <w:szCs w:val="20"/>
          <w:lang w:val="pt-BR"/>
        </w:rPr>
        <w:t xml:space="preserve">ção é </w:t>
      </w:r>
      <w:r w:rsidR="002C330E" w:rsidRPr="00D5464D">
        <w:rPr>
          <w:szCs w:val="20"/>
          <w:lang w:val="pt-BR"/>
        </w:rPr>
        <w:t xml:space="preserve">matéria </w:t>
      </w:r>
      <w:r w:rsidR="006D75F8" w:rsidRPr="00D5464D">
        <w:rPr>
          <w:szCs w:val="20"/>
          <w:lang w:val="pt-BR"/>
        </w:rPr>
        <w:t>de</w:t>
      </w:r>
      <w:r w:rsidR="00470ADC" w:rsidRPr="00D5464D">
        <w:rPr>
          <w:szCs w:val="20"/>
          <w:lang w:val="pt-BR"/>
        </w:rPr>
        <w:t xml:space="preserve"> </w:t>
      </w:r>
      <w:r w:rsidR="002C330E" w:rsidRPr="00D5464D">
        <w:rPr>
          <w:szCs w:val="20"/>
          <w:lang w:val="pt-BR"/>
        </w:rPr>
        <w:t>jurisdição</w:t>
      </w:r>
      <w:r w:rsidR="001E3513" w:rsidRPr="00D5464D">
        <w:rPr>
          <w:szCs w:val="20"/>
          <w:lang w:val="pt-BR"/>
        </w:rPr>
        <w:t xml:space="preserve"> interna</w:t>
      </w:r>
      <w:r w:rsidR="00E045D9" w:rsidRPr="00D5464D">
        <w:rPr>
          <w:szCs w:val="20"/>
          <w:lang w:val="pt-BR"/>
        </w:rPr>
        <w:t xml:space="preserve"> e </w:t>
      </w:r>
      <w:r w:rsidR="005F1029" w:rsidRPr="00D5464D">
        <w:rPr>
          <w:szCs w:val="20"/>
          <w:lang w:val="pt-BR"/>
        </w:rPr>
        <w:t xml:space="preserve">não é </w:t>
      </w:r>
      <w:r w:rsidR="001E3513" w:rsidRPr="00D5464D">
        <w:rPr>
          <w:szCs w:val="20"/>
          <w:lang w:val="pt-BR"/>
        </w:rPr>
        <w:t xml:space="preserve">procedente excluir </w:t>
      </w:r>
      <w:r w:rsidR="002C330E" w:rsidRPr="00D5464D">
        <w:rPr>
          <w:szCs w:val="20"/>
          <w:lang w:val="pt-BR"/>
        </w:rPr>
        <w:t>prova</w:t>
      </w:r>
      <w:r w:rsidR="001E3513" w:rsidRPr="00D5464D">
        <w:rPr>
          <w:szCs w:val="20"/>
          <w:lang w:val="pt-BR"/>
        </w:rPr>
        <w:t xml:space="preserve"> a partir de su</w:t>
      </w:r>
      <w:r w:rsidR="005F1029" w:rsidRPr="00D5464D">
        <w:rPr>
          <w:szCs w:val="20"/>
          <w:lang w:val="pt-BR"/>
        </w:rPr>
        <w:t>a</w:t>
      </w:r>
      <w:r w:rsidR="001E3513" w:rsidRPr="00D5464D">
        <w:rPr>
          <w:szCs w:val="20"/>
          <w:lang w:val="pt-BR"/>
        </w:rPr>
        <w:t xml:space="preserve"> </w:t>
      </w:r>
      <w:r w:rsidR="00EB1CE9" w:rsidRPr="00D5464D">
        <w:rPr>
          <w:szCs w:val="20"/>
          <w:lang w:val="pt-BR"/>
        </w:rPr>
        <w:t>inconsistência</w:t>
      </w:r>
      <w:r w:rsidR="00470ADC" w:rsidRPr="00D5464D">
        <w:rPr>
          <w:szCs w:val="20"/>
          <w:lang w:val="pt-BR"/>
        </w:rPr>
        <w:t xml:space="preserve"> com</w:t>
      </w:r>
      <w:r w:rsidR="002C330E" w:rsidRPr="00D5464D">
        <w:rPr>
          <w:szCs w:val="20"/>
          <w:lang w:val="pt-BR"/>
        </w:rPr>
        <w:t xml:space="preserve"> a</w:t>
      </w:r>
      <w:r w:rsidR="00E045D9" w:rsidRPr="00D5464D">
        <w:rPr>
          <w:szCs w:val="20"/>
          <w:lang w:val="pt-BR"/>
        </w:rPr>
        <w:t xml:space="preserve"> versão </w:t>
      </w:r>
      <w:r w:rsidR="00470ADC" w:rsidRPr="00D5464D">
        <w:rPr>
          <w:szCs w:val="20"/>
          <w:lang w:val="pt-BR"/>
        </w:rPr>
        <w:t xml:space="preserve">dos </w:t>
      </w:r>
      <w:r w:rsidR="002C330E" w:rsidRPr="00D5464D">
        <w:rPr>
          <w:szCs w:val="20"/>
          <w:lang w:val="pt-BR"/>
        </w:rPr>
        <w:t>fatos</w:t>
      </w:r>
      <w:r w:rsidR="001E3513" w:rsidRPr="00D5464D">
        <w:rPr>
          <w:szCs w:val="20"/>
          <w:lang w:val="pt-BR"/>
        </w:rPr>
        <w:t xml:space="preserve"> </w:t>
      </w:r>
      <w:r w:rsidR="00E045D9" w:rsidRPr="00D5464D">
        <w:rPr>
          <w:szCs w:val="20"/>
          <w:lang w:val="pt-BR"/>
        </w:rPr>
        <w:t>sustentad</w:t>
      </w:r>
      <w:r w:rsidR="001E3513" w:rsidRPr="00D5464D">
        <w:rPr>
          <w:szCs w:val="20"/>
          <w:lang w:val="pt-BR"/>
        </w:rPr>
        <w:t>a por</w:t>
      </w:r>
      <w:r w:rsidR="00E045D9" w:rsidRPr="00D5464D">
        <w:rPr>
          <w:szCs w:val="20"/>
          <w:lang w:val="pt-BR"/>
        </w:rPr>
        <w:t xml:space="preserve"> uma </w:t>
      </w:r>
      <w:r w:rsidR="00470ADC" w:rsidRPr="00D5464D">
        <w:rPr>
          <w:szCs w:val="20"/>
          <w:lang w:val="pt-BR"/>
        </w:rPr>
        <w:t xml:space="preserve">das </w:t>
      </w:r>
      <w:r w:rsidR="001E3513" w:rsidRPr="00D5464D">
        <w:rPr>
          <w:szCs w:val="20"/>
          <w:lang w:val="pt-BR"/>
        </w:rPr>
        <w:t>partes,</w:t>
      </w:r>
      <w:r w:rsidR="002C330E" w:rsidRPr="00D5464D">
        <w:rPr>
          <w:szCs w:val="20"/>
          <w:lang w:val="pt-BR"/>
        </w:rPr>
        <w:t xml:space="preserve"> pois </w:t>
      </w:r>
      <w:r w:rsidR="005F1029" w:rsidRPr="00D5464D">
        <w:rPr>
          <w:szCs w:val="20"/>
          <w:lang w:val="pt-BR"/>
        </w:rPr>
        <w:t xml:space="preserve">isso </w:t>
      </w:r>
      <w:r w:rsidR="001E3513" w:rsidRPr="00D5464D">
        <w:rPr>
          <w:szCs w:val="20"/>
          <w:lang w:val="pt-BR"/>
        </w:rPr>
        <w:t>implic</w:t>
      </w:r>
      <w:r w:rsidR="00E765C2" w:rsidRPr="00D5464D">
        <w:rPr>
          <w:szCs w:val="20"/>
          <w:lang w:val="pt-BR"/>
        </w:rPr>
        <w:t xml:space="preserve">aria </w:t>
      </w:r>
      <w:r w:rsidR="00470ADC" w:rsidRPr="00D5464D">
        <w:rPr>
          <w:szCs w:val="20"/>
          <w:lang w:val="pt-BR"/>
        </w:rPr>
        <w:t>assumir</w:t>
      </w:r>
      <w:r w:rsidR="005F1029" w:rsidRPr="00D5464D">
        <w:rPr>
          <w:szCs w:val="20"/>
          <w:lang w:val="pt-BR"/>
        </w:rPr>
        <w:t xml:space="preserve"> esta versão</w:t>
      </w:r>
      <w:r w:rsidR="001E3513" w:rsidRPr="00D5464D">
        <w:rPr>
          <w:szCs w:val="20"/>
          <w:lang w:val="pt-BR"/>
        </w:rPr>
        <w:t xml:space="preserve"> como </w:t>
      </w:r>
      <w:r w:rsidR="00470ADC" w:rsidRPr="00D5464D">
        <w:rPr>
          <w:szCs w:val="20"/>
          <w:lang w:val="pt-BR"/>
        </w:rPr>
        <w:t>certa</w:t>
      </w:r>
      <w:r w:rsidR="001E3513" w:rsidRPr="00D5464D">
        <w:rPr>
          <w:szCs w:val="20"/>
          <w:lang w:val="pt-BR"/>
        </w:rPr>
        <w:t xml:space="preserve"> antes de </w:t>
      </w:r>
      <w:r w:rsidR="005F1029" w:rsidRPr="00D5464D">
        <w:rPr>
          <w:szCs w:val="20"/>
          <w:lang w:val="pt-BR"/>
        </w:rPr>
        <w:t xml:space="preserve">realizar </w:t>
      </w:r>
      <w:r w:rsidR="002C330E" w:rsidRPr="00D5464D">
        <w:rPr>
          <w:szCs w:val="20"/>
          <w:lang w:val="pt-BR"/>
        </w:rPr>
        <w:t xml:space="preserve">a </w:t>
      </w:r>
      <w:r w:rsidR="00737270" w:rsidRPr="00D5464D">
        <w:rPr>
          <w:szCs w:val="20"/>
          <w:lang w:val="pt-BR"/>
        </w:rPr>
        <w:t>avaliação</w:t>
      </w:r>
      <w:r w:rsidR="001E3513" w:rsidRPr="00D5464D">
        <w:rPr>
          <w:szCs w:val="20"/>
          <w:lang w:val="pt-BR"/>
        </w:rPr>
        <w:t xml:space="preserve"> </w:t>
      </w:r>
      <w:r w:rsidR="00470ADC" w:rsidRPr="00D5464D">
        <w:rPr>
          <w:szCs w:val="20"/>
          <w:lang w:val="pt-BR"/>
        </w:rPr>
        <w:t>correspondente</w:t>
      </w:r>
      <w:r w:rsidR="005F1029" w:rsidRPr="00D5464D">
        <w:rPr>
          <w:szCs w:val="20"/>
          <w:lang w:val="pt-BR"/>
        </w:rPr>
        <w:t>.</w:t>
      </w:r>
      <w:r w:rsidR="00A8426B" w:rsidRPr="00D5464D">
        <w:rPr>
          <w:rStyle w:val="Refdenotaalpie"/>
          <w:lang w:val="pt-BR"/>
        </w:rPr>
        <w:footnoteReference w:id="60"/>
      </w:r>
      <w:r w:rsidR="00A1358C" w:rsidRPr="00D5464D">
        <w:rPr>
          <w:szCs w:val="20"/>
          <w:lang w:val="pt-BR"/>
        </w:rPr>
        <w:t xml:space="preserve"> Em consequência</w:t>
      </w:r>
      <w:r w:rsidR="001E3513" w:rsidRPr="00D5464D">
        <w:rPr>
          <w:szCs w:val="20"/>
          <w:lang w:val="pt-BR"/>
        </w:rPr>
        <w:t>,</w:t>
      </w:r>
      <w:r w:rsidR="002C330E" w:rsidRPr="00D5464D">
        <w:rPr>
          <w:szCs w:val="20"/>
          <w:lang w:val="pt-BR"/>
        </w:rPr>
        <w:t xml:space="preserve"> a </w:t>
      </w:r>
      <w:r w:rsidR="00A1358C" w:rsidRPr="00D5464D">
        <w:rPr>
          <w:szCs w:val="20"/>
          <w:lang w:val="pt-BR"/>
        </w:rPr>
        <w:t>Corte considera</w:t>
      </w:r>
      <w:r w:rsidR="001E3513" w:rsidRPr="00D5464D">
        <w:rPr>
          <w:szCs w:val="20"/>
          <w:lang w:val="pt-BR"/>
        </w:rPr>
        <w:t xml:space="preserve"> pertinente admitir</w:t>
      </w:r>
      <w:r w:rsidR="002C330E" w:rsidRPr="00D5464D">
        <w:rPr>
          <w:szCs w:val="20"/>
          <w:lang w:val="pt-BR"/>
        </w:rPr>
        <w:t xml:space="preserve"> a </w:t>
      </w:r>
      <w:r w:rsidR="001E3513" w:rsidRPr="00D5464D">
        <w:rPr>
          <w:szCs w:val="20"/>
          <w:lang w:val="pt-BR"/>
        </w:rPr>
        <w:t>declara</w:t>
      </w:r>
      <w:r w:rsidR="00470ADC" w:rsidRPr="00D5464D">
        <w:rPr>
          <w:szCs w:val="20"/>
          <w:lang w:val="pt-BR"/>
        </w:rPr>
        <w:t>ção</w:t>
      </w:r>
      <w:r w:rsidR="001E3513" w:rsidRPr="00D5464D">
        <w:rPr>
          <w:szCs w:val="20"/>
          <w:lang w:val="pt-BR"/>
        </w:rPr>
        <w:t xml:space="preserve"> de Maria do Socorro Canuto</w:t>
      </w:r>
      <w:r w:rsidR="00E045D9" w:rsidRPr="00D5464D">
        <w:rPr>
          <w:szCs w:val="20"/>
          <w:lang w:val="pt-BR"/>
        </w:rPr>
        <w:t xml:space="preserve"> e </w:t>
      </w:r>
      <w:r w:rsidR="005F1029" w:rsidRPr="00D5464D">
        <w:rPr>
          <w:szCs w:val="20"/>
          <w:lang w:val="pt-BR"/>
        </w:rPr>
        <w:t xml:space="preserve">a </w:t>
      </w:r>
      <w:r w:rsidR="001E3513" w:rsidRPr="00D5464D">
        <w:rPr>
          <w:szCs w:val="20"/>
          <w:lang w:val="pt-BR"/>
        </w:rPr>
        <w:t>consider</w:t>
      </w:r>
      <w:r w:rsidR="005F1029" w:rsidRPr="00D5464D">
        <w:rPr>
          <w:szCs w:val="20"/>
          <w:lang w:val="pt-BR"/>
        </w:rPr>
        <w:t>ar</w:t>
      </w:r>
      <w:r w:rsidR="00737270" w:rsidRPr="00D5464D">
        <w:rPr>
          <w:szCs w:val="20"/>
          <w:lang w:val="pt-BR"/>
        </w:rPr>
        <w:t xml:space="preserve">á </w:t>
      </w:r>
      <w:r w:rsidR="00E045D9" w:rsidRPr="00D5464D">
        <w:rPr>
          <w:szCs w:val="20"/>
          <w:lang w:val="pt-BR"/>
        </w:rPr>
        <w:t xml:space="preserve">no </w:t>
      </w:r>
      <w:r w:rsidR="001E3513" w:rsidRPr="00D5464D">
        <w:rPr>
          <w:szCs w:val="20"/>
          <w:lang w:val="pt-BR"/>
        </w:rPr>
        <w:t xml:space="preserve">marco </w:t>
      </w:r>
      <w:r w:rsidR="00470ADC" w:rsidRPr="00D5464D">
        <w:rPr>
          <w:szCs w:val="20"/>
          <w:lang w:val="pt-BR"/>
        </w:rPr>
        <w:t xml:space="preserve">do </w:t>
      </w:r>
      <w:r w:rsidR="001E3513" w:rsidRPr="00D5464D">
        <w:rPr>
          <w:szCs w:val="20"/>
          <w:lang w:val="pt-BR"/>
        </w:rPr>
        <w:t xml:space="preserve">conjunto </w:t>
      </w:r>
      <w:r w:rsidR="00470ADC" w:rsidRPr="00D5464D">
        <w:rPr>
          <w:szCs w:val="20"/>
          <w:lang w:val="pt-BR"/>
        </w:rPr>
        <w:t xml:space="preserve">do </w:t>
      </w:r>
      <w:r w:rsidR="001E3513" w:rsidRPr="00D5464D">
        <w:rPr>
          <w:szCs w:val="20"/>
          <w:lang w:val="pt-BR"/>
        </w:rPr>
        <w:t xml:space="preserve">acervo </w:t>
      </w:r>
      <w:r w:rsidR="002C330E" w:rsidRPr="00D5464D">
        <w:rPr>
          <w:szCs w:val="20"/>
          <w:lang w:val="pt-BR"/>
        </w:rPr>
        <w:t>probatório</w:t>
      </w:r>
      <w:r w:rsidR="00DC1BE8" w:rsidRPr="00D5464D">
        <w:rPr>
          <w:szCs w:val="20"/>
          <w:lang w:val="pt-BR"/>
        </w:rPr>
        <w:t>.</w:t>
      </w:r>
    </w:p>
    <w:p w14:paraId="1310C849" w14:textId="77777777" w:rsidR="00952C89" w:rsidRPr="00D5464D" w:rsidRDefault="00952C89" w:rsidP="00140440">
      <w:pPr>
        <w:tabs>
          <w:tab w:val="clear" w:pos="4419"/>
          <w:tab w:val="clear" w:pos="8838"/>
        </w:tabs>
        <w:jc w:val="both"/>
        <w:rPr>
          <w:rFonts w:eastAsia="Batang" w:cs="Times"/>
          <w:szCs w:val="24"/>
          <w:lang w:val="pt-BR"/>
        </w:rPr>
      </w:pPr>
    </w:p>
    <w:p w14:paraId="05E05CB5" w14:textId="0C8869C6" w:rsidR="00BA1ACF" w:rsidRPr="00D5464D" w:rsidRDefault="00C91CB1" w:rsidP="00F306D7">
      <w:pPr>
        <w:pStyle w:val="Ttulo2"/>
        <w:numPr>
          <w:ilvl w:val="0"/>
          <w:numId w:val="16"/>
        </w:numPr>
        <w:rPr>
          <w:rFonts w:eastAsia="Batang"/>
          <w:lang w:val="pt-BR" w:eastAsia="es-ES"/>
        </w:rPr>
      </w:pPr>
      <w:bookmarkStart w:id="231" w:name="_Toc468433881"/>
      <w:r w:rsidRPr="00D5464D">
        <w:rPr>
          <w:rFonts w:eastAsia="Batang"/>
          <w:lang w:val="pt-BR" w:eastAsia="es-ES"/>
        </w:rPr>
        <w:t>Apreciação da prova</w:t>
      </w:r>
      <w:bookmarkEnd w:id="231"/>
    </w:p>
    <w:p w14:paraId="0B514A79" w14:textId="77777777" w:rsidR="00BA1ACF" w:rsidRPr="00D5464D" w:rsidRDefault="00BA1ACF" w:rsidP="00140440">
      <w:pPr>
        <w:tabs>
          <w:tab w:val="clear" w:pos="4419"/>
          <w:tab w:val="clear" w:pos="8838"/>
        </w:tabs>
        <w:jc w:val="both"/>
        <w:rPr>
          <w:rFonts w:eastAsia="Batang" w:cs="Times"/>
          <w:szCs w:val="24"/>
          <w:lang w:val="pt-BR"/>
        </w:rPr>
      </w:pPr>
    </w:p>
    <w:p w14:paraId="48A2B8B5" w14:textId="18F2F03A" w:rsidR="00BA1ACF" w:rsidRPr="00D5464D" w:rsidRDefault="00737270" w:rsidP="00140440">
      <w:pPr>
        <w:numPr>
          <w:ilvl w:val="0"/>
          <w:numId w:val="1"/>
        </w:numPr>
        <w:tabs>
          <w:tab w:val="clear" w:pos="4419"/>
          <w:tab w:val="clear" w:pos="8838"/>
        </w:tabs>
        <w:jc w:val="both"/>
        <w:rPr>
          <w:rFonts w:eastAsia="Batang" w:cs="Times"/>
          <w:szCs w:val="24"/>
          <w:lang w:val="pt-BR"/>
        </w:rPr>
      </w:pPr>
      <w:r w:rsidRPr="00D5464D">
        <w:rPr>
          <w:rFonts w:eastAsia="Batang" w:cs="Times"/>
          <w:szCs w:val="24"/>
          <w:lang w:val="pt-BR"/>
        </w:rPr>
        <w:t>Com base</w:t>
      </w:r>
      <w:r w:rsidR="00A1358C" w:rsidRPr="00D5464D">
        <w:rPr>
          <w:rFonts w:eastAsia="Batang" w:cs="Times"/>
          <w:szCs w:val="24"/>
          <w:lang w:val="pt-BR"/>
        </w:rPr>
        <w:t xml:space="preserve"> no </w:t>
      </w:r>
      <w:r w:rsidR="00470ADC" w:rsidRPr="00D5464D">
        <w:rPr>
          <w:rFonts w:eastAsia="Batang" w:cs="Times"/>
          <w:szCs w:val="24"/>
          <w:lang w:val="pt-BR"/>
        </w:rPr>
        <w:t>estabelecid</w:t>
      </w:r>
      <w:r w:rsidR="00BA1ACF" w:rsidRPr="00D5464D">
        <w:rPr>
          <w:rFonts w:eastAsia="Batang" w:cs="Times"/>
          <w:szCs w:val="24"/>
          <w:lang w:val="pt-BR"/>
        </w:rPr>
        <w:t>o</w:t>
      </w:r>
      <w:r w:rsidR="00E045D9" w:rsidRPr="00D5464D">
        <w:rPr>
          <w:rFonts w:eastAsia="Batang" w:cs="Times"/>
          <w:szCs w:val="24"/>
          <w:lang w:val="pt-BR"/>
        </w:rPr>
        <w:t xml:space="preserve"> nos </w:t>
      </w:r>
      <w:r w:rsidR="00470ADC" w:rsidRPr="00D5464D">
        <w:rPr>
          <w:rFonts w:eastAsia="Batang" w:cs="Times"/>
          <w:szCs w:val="24"/>
          <w:lang w:val="pt-BR"/>
        </w:rPr>
        <w:t>artigo</w:t>
      </w:r>
      <w:r w:rsidR="00BA1ACF" w:rsidRPr="00D5464D">
        <w:rPr>
          <w:rFonts w:eastAsia="Batang" w:cs="Times"/>
          <w:szCs w:val="24"/>
          <w:lang w:val="pt-BR"/>
        </w:rPr>
        <w:t>s 46, 47, 48, 50, 51, 57</w:t>
      </w:r>
      <w:r w:rsidR="00E045D9" w:rsidRPr="00D5464D">
        <w:rPr>
          <w:rFonts w:eastAsia="Batang" w:cs="Times"/>
          <w:szCs w:val="24"/>
          <w:lang w:val="pt-BR"/>
        </w:rPr>
        <w:t xml:space="preserve"> e </w:t>
      </w:r>
      <w:r w:rsidR="00BA1ACF" w:rsidRPr="00D5464D">
        <w:rPr>
          <w:rFonts w:eastAsia="Batang" w:cs="Times"/>
          <w:szCs w:val="24"/>
          <w:lang w:val="pt-BR"/>
        </w:rPr>
        <w:t xml:space="preserve">58 </w:t>
      </w:r>
      <w:r w:rsidR="00470ADC" w:rsidRPr="00D5464D">
        <w:rPr>
          <w:rFonts w:eastAsia="Batang" w:cs="Times"/>
          <w:szCs w:val="24"/>
          <w:lang w:val="pt-BR"/>
        </w:rPr>
        <w:t xml:space="preserve">do </w:t>
      </w:r>
      <w:r w:rsidR="002C330E" w:rsidRPr="00D5464D">
        <w:rPr>
          <w:rFonts w:eastAsia="Batang" w:cs="Times"/>
          <w:szCs w:val="24"/>
          <w:lang w:val="pt-BR"/>
        </w:rPr>
        <w:t>Regulamento</w:t>
      </w:r>
      <w:r w:rsidR="00BA1ACF" w:rsidRPr="00D5464D">
        <w:rPr>
          <w:rFonts w:eastAsia="Batang" w:cs="Times"/>
          <w:szCs w:val="24"/>
          <w:lang w:val="pt-BR"/>
        </w:rPr>
        <w:t xml:space="preserve">, </w:t>
      </w:r>
      <w:r w:rsidR="00470ADC" w:rsidRPr="00D5464D">
        <w:rPr>
          <w:rFonts w:eastAsia="Batang" w:cs="Times"/>
          <w:szCs w:val="24"/>
          <w:lang w:val="pt-BR"/>
        </w:rPr>
        <w:t>assim</w:t>
      </w:r>
      <w:r w:rsidR="00BA1ACF" w:rsidRPr="00D5464D">
        <w:rPr>
          <w:rFonts w:eastAsia="Batang" w:cs="Times"/>
          <w:szCs w:val="24"/>
          <w:lang w:val="pt-BR"/>
        </w:rPr>
        <w:t xml:space="preserve"> como</w:t>
      </w:r>
      <w:r w:rsidR="00470ADC" w:rsidRPr="00D5464D">
        <w:rPr>
          <w:rFonts w:eastAsia="Batang" w:cs="Times"/>
          <w:szCs w:val="24"/>
          <w:lang w:val="pt-BR"/>
        </w:rPr>
        <w:t xml:space="preserve"> em </w:t>
      </w:r>
      <w:r w:rsidR="00E045D9" w:rsidRPr="00D5464D">
        <w:rPr>
          <w:rFonts w:eastAsia="Batang" w:cs="Times"/>
          <w:szCs w:val="24"/>
          <w:lang w:val="pt-BR"/>
        </w:rPr>
        <w:t xml:space="preserve">sua </w:t>
      </w:r>
      <w:r w:rsidR="00A367EB" w:rsidRPr="00D5464D">
        <w:rPr>
          <w:rFonts w:eastAsia="Batang" w:cs="Times"/>
          <w:szCs w:val="24"/>
          <w:lang w:val="pt-BR"/>
        </w:rPr>
        <w:t xml:space="preserve">consolidada </w:t>
      </w:r>
      <w:r w:rsidR="00E045D9" w:rsidRPr="00D5464D">
        <w:rPr>
          <w:rFonts w:eastAsia="Batang" w:cs="Times"/>
          <w:szCs w:val="24"/>
          <w:lang w:val="pt-BR"/>
        </w:rPr>
        <w:t>jurisprudência</w:t>
      </w:r>
      <w:r w:rsidR="002C330E" w:rsidRPr="00D5464D">
        <w:rPr>
          <w:rFonts w:eastAsia="Batang" w:cs="Times"/>
          <w:szCs w:val="24"/>
          <w:lang w:val="pt-BR"/>
        </w:rPr>
        <w:t xml:space="preserve"> a respeito</w:t>
      </w:r>
      <w:r w:rsidR="00470ADC" w:rsidRPr="00D5464D">
        <w:rPr>
          <w:rFonts w:eastAsia="Batang" w:cs="Times"/>
          <w:szCs w:val="24"/>
          <w:lang w:val="pt-BR"/>
        </w:rPr>
        <w:t xml:space="preserve"> da </w:t>
      </w:r>
      <w:r w:rsidR="002C330E" w:rsidRPr="00D5464D">
        <w:rPr>
          <w:rFonts w:eastAsia="Batang" w:cs="Times"/>
          <w:szCs w:val="24"/>
          <w:lang w:val="pt-BR"/>
        </w:rPr>
        <w:t>prova</w:t>
      </w:r>
      <w:r w:rsidR="00E045D9" w:rsidRPr="00D5464D">
        <w:rPr>
          <w:rFonts w:eastAsia="Batang" w:cs="Times"/>
          <w:szCs w:val="24"/>
          <w:lang w:val="pt-BR"/>
        </w:rPr>
        <w:t xml:space="preserve"> e sua apreciação</w:t>
      </w:r>
      <w:r w:rsidR="00BA1ACF" w:rsidRPr="00D5464D">
        <w:rPr>
          <w:rFonts w:eastAsia="Batang" w:cs="Times"/>
          <w:szCs w:val="24"/>
          <w:lang w:val="pt-BR"/>
        </w:rPr>
        <w:t>,</w:t>
      </w:r>
      <w:r w:rsidR="002C330E" w:rsidRPr="00D5464D">
        <w:rPr>
          <w:rFonts w:eastAsia="Batang" w:cs="Times"/>
          <w:szCs w:val="24"/>
          <w:lang w:val="pt-BR"/>
        </w:rPr>
        <w:t xml:space="preserve"> a </w:t>
      </w:r>
      <w:r w:rsidR="00BA1ACF" w:rsidRPr="00D5464D">
        <w:rPr>
          <w:rFonts w:eastAsia="Batang" w:cs="Times"/>
          <w:szCs w:val="24"/>
          <w:lang w:val="pt-BR"/>
        </w:rPr>
        <w:t>Corte examinará</w:t>
      </w:r>
      <w:r w:rsidR="00E045D9" w:rsidRPr="00D5464D">
        <w:rPr>
          <w:rFonts w:eastAsia="Batang" w:cs="Times"/>
          <w:szCs w:val="24"/>
          <w:lang w:val="pt-BR"/>
        </w:rPr>
        <w:t xml:space="preserve"> e </w:t>
      </w:r>
      <w:r w:rsidR="00BA1ACF" w:rsidRPr="00D5464D">
        <w:rPr>
          <w:rFonts w:eastAsia="Batang" w:cs="Times"/>
          <w:szCs w:val="24"/>
          <w:lang w:val="pt-BR"/>
        </w:rPr>
        <w:t>valorará</w:t>
      </w:r>
      <w:r w:rsidR="002C330E" w:rsidRPr="00D5464D">
        <w:rPr>
          <w:rFonts w:eastAsia="Batang" w:cs="Times"/>
          <w:szCs w:val="24"/>
          <w:lang w:val="pt-BR"/>
        </w:rPr>
        <w:t xml:space="preserve"> os </w:t>
      </w:r>
      <w:r w:rsidR="00BA1ACF" w:rsidRPr="00D5464D">
        <w:rPr>
          <w:rFonts w:eastAsia="Batang" w:cs="Times"/>
          <w:szCs w:val="24"/>
          <w:lang w:val="pt-BR"/>
        </w:rPr>
        <w:t xml:space="preserve">elementos </w:t>
      </w:r>
      <w:r w:rsidR="002C330E" w:rsidRPr="00D5464D">
        <w:rPr>
          <w:rFonts w:eastAsia="Batang" w:cs="Times"/>
          <w:szCs w:val="24"/>
          <w:lang w:val="pt-BR"/>
        </w:rPr>
        <w:t>probatório</w:t>
      </w:r>
      <w:r w:rsidR="00BA1ACF" w:rsidRPr="00D5464D">
        <w:rPr>
          <w:rFonts w:eastAsia="Batang" w:cs="Times"/>
          <w:szCs w:val="24"/>
          <w:lang w:val="pt-BR"/>
        </w:rPr>
        <w:t xml:space="preserve">s </w:t>
      </w:r>
      <w:r w:rsidR="00470ADC" w:rsidRPr="00D5464D">
        <w:rPr>
          <w:rFonts w:eastAsia="Batang" w:cs="Times"/>
          <w:szCs w:val="24"/>
          <w:lang w:val="pt-BR"/>
        </w:rPr>
        <w:t>documentais</w:t>
      </w:r>
      <w:r w:rsidR="00BA1ACF" w:rsidRPr="00D5464D">
        <w:rPr>
          <w:rFonts w:eastAsia="Batang" w:cs="Times"/>
          <w:szCs w:val="24"/>
          <w:lang w:val="pt-BR"/>
        </w:rPr>
        <w:t xml:space="preserve"> </w:t>
      </w:r>
      <w:r w:rsidR="00350187" w:rsidRPr="00D5464D">
        <w:rPr>
          <w:rFonts w:eastAsia="Batang" w:cs="Times"/>
          <w:szCs w:val="24"/>
          <w:lang w:val="pt-BR"/>
        </w:rPr>
        <w:t>remetido</w:t>
      </w:r>
      <w:r w:rsidR="00BA1ACF" w:rsidRPr="00D5464D">
        <w:rPr>
          <w:rFonts w:eastAsia="Batang" w:cs="Times"/>
          <w:szCs w:val="24"/>
          <w:lang w:val="pt-BR"/>
        </w:rPr>
        <w:t>s</w:t>
      </w:r>
      <w:r w:rsidR="002C330E" w:rsidRPr="00D5464D">
        <w:rPr>
          <w:rFonts w:eastAsia="Batang" w:cs="Times"/>
          <w:szCs w:val="24"/>
          <w:lang w:val="pt-BR"/>
        </w:rPr>
        <w:t xml:space="preserve"> pelas </w:t>
      </w:r>
      <w:r w:rsidR="00BA1ACF" w:rsidRPr="00D5464D">
        <w:rPr>
          <w:rFonts w:eastAsia="Batang" w:cs="Times"/>
          <w:szCs w:val="24"/>
          <w:lang w:val="pt-BR"/>
        </w:rPr>
        <w:t>partes</w:t>
      </w:r>
      <w:r w:rsidR="00E045D9" w:rsidRPr="00D5464D">
        <w:rPr>
          <w:rFonts w:eastAsia="Batang" w:cs="Times"/>
          <w:szCs w:val="24"/>
          <w:lang w:val="pt-BR"/>
        </w:rPr>
        <w:t xml:space="preserve"> e </w:t>
      </w:r>
      <w:r w:rsidR="005F1029" w:rsidRPr="00D5464D">
        <w:rPr>
          <w:rFonts w:eastAsia="Batang" w:cs="Times"/>
          <w:szCs w:val="24"/>
          <w:lang w:val="pt-BR"/>
        </w:rPr>
        <w:t>pel</w:t>
      </w:r>
      <w:r w:rsidR="002C330E" w:rsidRPr="00D5464D">
        <w:rPr>
          <w:rFonts w:eastAsia="Batang" w:cs="Times"/>
          <w:szCs w:val="24"/>
          <w:lang w:val="pt-BR"/>
        </w:rPr>
        <w:t xml:space="preserve">a </w:t>
      </w:r>
      <w:r w:rsidR="00470ADC" w:rsidRPr="00D5464D">
        <w:rPr>
          <w:rFonts w:eastAsia="Batang" w:cs="Times"/>
          <w:szCs w:val="24"/>
          <w:lang w:val="pt-BR"/>
        </w:rPr>
        <w:t>Comissão</w:t>
      </w:r>
      <w:r w:rsidR="00BA1ACF" w:rsidRPr="00D5464D">
        <w:rPr>
          <w:rFonts w:eastAsia="Batang" w:cs="Times"/>
          <w:szCs w:val="24"/>
          <w:lang w:val="pt-BR"/>
        </w:rPr>
        <w:t>,</w:t>
      </w:r>
      <w:r w:rsidR="002C330E" w:rsidRPr="00D5464D">
        <w:rPr>
          <w:rFonts w:eastAsia="Batang" w:cs="Times"/>
          <w:szCs w:val="24"/>
          <w:lang w:val="pt-BR"/>
        </w:rPr>
        <w:t xml:space="preserve"> as </w:t>
      </w:r>
      <w:r w:rsidR="00BA1ACF" w:rsidRPr="00D5464D">
        <w:rPr>
          <w:rFonts w:eastAsia="Batang" w:cs="Times"/>
          <w:szCs w:val="24"/>
          <w:lang w:val="pt-BR"/>
        </w:rPr>
        <w:t>declara</w:t>
      </w:r>
      <w:r w:rsidR="00470ADC" w:rsidRPr="00D5464D">
        <w:rPr>
          <w:rFonts w:eastAsia="Batang" w:cs="Times"/>
          <w:szCs w:val="24"/>
          <w:lang w:val="pt-BR"/>
        </w:rPr>
        <w:t>ções</w:t>
      </w:r>
      <w:r w:rsidR="00BA1ACF" w:rsidRPr="00D5464D">
        <w:rPr>
          <w:rFonts w:eastAsia="Batang" w:cs="Times"/>
          <w:szCs w:val="24"/>
          <w:lang w:val="pt-BR"/>
        </w:rPr>
        <w:t xml:space="preserve">, </w:t>
      </w:r>
      <w:r w:rsidR="00E045D9" w:rsidRPr="00D5464D">
        <w:rPr>
          <w:rFonts w:eastAsia="Batang" w:cs="Times"/>
          <w:szCs w:val="24"/>
          <w:lang w:val="pt-BR"/>
        </w:rPr>
        <w:t>testemunho</w:t>
      </w:r>
      <w:r w:rsidR="00BA1ACF" w:rsidRPr="00D5464D">
        <w:rPr>
          <w:rFonts w:eastAsia="Batang" w:cs="Times"/>
          <w:szCs w:val="24"/>
          <w:lang w:val="pt-BR"/>
        </w:rPr>
        <w:t>s</w:t>
      </w:r>
      <w:r w:rsidR="00E045D9" w:rsidRPr="00D5464D">
        <w:rPr>
          <w:rFonts w:eastAsia="Batang" w:cs="Times"/>
          <w:szCs w:val="24"/>
          <w:lang w:val="pt-BR"/>
        </w:rPr>
        <w:t xml:space="preserve"> e </w:t>
      </w:r>
      <w:r w:rsidR="00470ADC" w:rsidRPr="00D5464D">
        <w:rPr>
          <w:rFonts w:eastAsia="Batang" w:cs="Times"/>
          <w:szCs w:val="24"/>
          <w:lang w:val="pt-BR"/>
        </w:rPr>
        <w:t>pareceres</w:t>
      </w:r>
      <w:r w:rsidR="00BA1ACF" w:rsidRPr="00D5464D">
        <w:rPr>
          <w:rFonts w:eastAsia="Batang" w:cs="Times"/>
          <w:szCs w:val="24"/>
          <w:lang w:val="pt-BR"/>
        </w:rPr>
        <w:t xml:space="preserve"> </w:t>
      </w:r>
      <w:r w:rsidR="002C330E" w:rsidRPr="00D5464D">
        <w:rPr>
          <w:rFonts w:eastAsia="Batang" w:cs="Times"/>
          <w:szCs w:val="24"/>
          <w:lang w:val="pt-BR"/>
        </w:rPr>
        <w:t>periciais</w:t>
      </w:r>
      <w:r w:rsidR="00BA1ACF" w:rsidRPr="00D5464D">
        <w:rPr>
          <w:rFonts w:eastAsia="Batang" w:cs="Times"/>
          <w:szCs w:val="24"/>
          <w:lang w:val="pt-BR"/>
        </w:rPr>
        <w:t>,</w:t>
      </w:r>
      <w:r w:rsidR="00470ADC" w:rsidRPr="00D5464D">
        <w:rPr>
          <w:rFonts w:eastAsia="Batang" w:cs="Times"/>
          <w:szCs w:val="24"/>
          <w:lang w:val="pt-BR"/>
        </w:rPr>
        <w:t xml:space="preserve"> ao estabelece</w:t>
      </w:r>
      <w:r w:rsidR="00BA1ACF" w:rsidRPr="00D5464D">
        <w:rPr>
          <w:rFonts w:eastAsia="Batang" w:cs="Times"/>
          <w:szCs w:val="24"/>
          <w:lang w:val="pt-BR"/>
        </w:rPr>
        <w:t>r</w:t>
      </w:r>
      <w:r w:rsidR="002C330E" w:rsidRPr="00D5464D">
        <w:rPr>
          <w:rFonts w:eastAsia="Batang" w:cs="Times"/>
          <w:szCs w:val="24"/>
          <w:lang w:val="pt-BR"/>
        </w:rPr>
        <w:t xml:space="preserve"> os fatos</w:t>
      </w:r>
      <w:r w:rsidR="00BA1ACF" w:rsidRPr="00D5464D">
        <w:rPr>
          <w:rFonts w:eastAsia="Batang" w:cs="Times"/>
          <w:szCs w:val="24"/>
          <w:lang w:val="pt-BR"/>
        </w:rPr>
        <w:t xml:space="preserve"> </w:t>
      </w:r>
      <w:r w:rsidR="00470ADC" w:rsidRPr="00D5464D">
        <w:rPr>
          <w:rFonts w:eastAsia="Batang" w:cs="Times"/>
          <w:szCs w:val="24"/>
          <w:lang w:val="pt-BR"/>
        </w:rPr>
        <w:t xml:space="preserve">do </w:t>
      </w:r>
      <w:r w:rsidR="00BA1ACF" w:rsidRPr="00D5464D">
        <w:rPr>
          <w:rFonts w:eastAsia="Batang" w:cs="Times"/>
          <w:szCs w:val="24"/>
          <w:lang w:val="pt-BR"/>
        </w:rPr>
        <w:t>caso</w:t>
      </w:r>
      <w:r w:rsidR="00E045D9" w:rsidRPr="00D5464D">
        <w:rPr>
          <w:rFonts w:eastAsia="Batang" w:cs="Times"/>
          <w:szCs w:val="24"/>
          <w:lang w:val="pt-BR"/>
        </w:rPr>
        <w:t xml:space="preserve"> e </w:t>
      </w:r>
      <w:r w:rsidR="002C330E" w:rsidRPr="00D5464D">
        <w:rPr>
          <w:rFonts w:eastAsia="Batang" w:cs="Times"/>
          <w:szCs w:val="24"/>
          <w:lang w:val="pt-BR"/>
        </w:rPr>
        <w:t>pronunciar-se</w:t>
      </w:r>
      <w:r w:rsidR="00BA1ACF" w:rsidRPr="00D5464D">
        <w:rPr>
          <w:rFonts w:eastAsia="Batang" w:cs="Times"/>
          <w:szCs w:val="24"/>
          <w:lang w:val="pt-BR"/>
        </w:rPr>
        <w:t xml:space="preserve"> sobre</w:t>
      </w:r>
      <w:r w:rsidR="00470ADC" w:rsidRPr="00D5464D">
        <w:rPr>
          <w:rFonts w:eastAsia="Batang" w:cs="Times"/>
          <w:szCs w:val="24"/>
          <w:lang w:val="pt-BR"/>
        </w:rPr>
        <w:t xml:space="preserve"> o mérito</w:t>
      </w:r>
      <w:r w:rsidR="00BA1ACF" w:rsidRPr="00D5464D">
        <w:rPr>
          <w:rFonts w:eastAsia="Batang" w:cs="Times"/>
          <w:szCs w:val="24"/>
          <w:lang w:val="pt-BR"/>
        </w:rPr>
        <w:t>. Para</w:t>
      </w:r>
      <w:r w:rsidR="00470ADC" w:rsidRPr="00D5464D">
        <w:rPr>
          <w:rFonts w:eastAsia="Batang" w:cs="Times"/>
          <w:szCs w:val="24"/>
          <w:lang w:val="pt-BR"/>
        </w:rPr>
        <w:t xml:space="preserve"> </w:t>
      </w:r>
      <w:r w:rsidR="005F1029" w:rsidRPr="00D5464D">
        <w:rPr>
          <w:rFonts w:eastAsia="Batang" w:cs="Times"/>
          <w:szCs w:val="24"/>
          <w:lang w:val="pt-BR"/>
        </w:rPr>
        <w:t xml:space="preserve">isso, </w:t>
      </w:r>
      <w:r w:rsidR="00A367EB" w:rsidRPr="00D5464D">
        <w:rPr>
          <w:rFonts w:eastAsia="Batang" w:cs="Times"/>
          <w:szCs w:val="24"/>
          <w:lang w:val="pt-BR"/>
        </w:rPr>
        <w:t>submete-se</w:t>
      </w:r>
      <w:r w:rsidR="00E045D9" w:rsidRPr="00D5464D">
        <w:rPr>
          <w:rFonts w:eastAsia="Batang" w:cs="Times"/>
          <w:szCs w:val="24"/>
          <w:lang w:val="pt-BR"/>
        </w:rPr>
        <w:t xml:space="preserve"> aos </w:t>
      </w:r>
      <w:r w:rsidR="002C330E" w:rsidRPr="00D5464D">
        <w:rPr>
          <w:rFonts w:eastAsia="Batang" w:cs="Times"/>
          <w:szCs w:val="24"/>
          <w:lang w:val="pt-BR"/>
        </w:rPr>
        <w:t>princípio</w:t>
      </w:r>
      <w:r w:rsidR="00BA1ACF" w:rsidRPr="00D5464D">
        <w:rPr>
          <w:rFonts w:eastAsia="Batang" w:cs="Times"/>
          <w:szCs w:val="24"/>
          <w:lang w:val="pt-BR"/>
        </w:rPr>
        <w:t>s</w:t>
      </w:r>
      <w:r w:rsidR="00470ADC" w:rsidRPr="00D5464D">
        <w:rPr>
          <w:rFonts w:eastAsia="Batang" w:cs="Times"/>
          <w:szCs w:val="24"/>
          <w:lang w:val="pt-BR"/>
        </w:rPr>
        <w:t xml:space="preserve"> da </w:t>
      </w:r>
      <w:r w:rsidR="002C330E" w:rsidRPr="00D5464D">
        <w:rPr>
          <w:rFonts w:eastAsia="Batang" w:cs="Times"/>
          <w:szCs w:val="24"/>
          <w:lang w:val="pt-BR"/>
        </w:rPr>
        <w:t>crítica sã</w:t>
      </w:r>
      <w:r w:rsidR="00BA1ACF" w:rsidRPr="00D5464D">
        <w:rPr>
          <w:rFonts w:eastAsia="Batang" w:cs="Times"/>
          <w:szCs w:val="24"/>
          <w:lang w:val="pt-BR"/>
        </w:rPr>
        <w:t xml:space="preserve">, dentro </w:t>
      </w:r>
      <w:r w:rsidR="00470ADC" w:rsidRPr="00D5464D">
        <w:rPr>
          <w:rFonts w:eastAsia="Batang" w:cs="Times"/>
          <w:szCs w:val="24"/>
          <w:lang w:val="pt-BR"/>
        </w:rPr>
        <w:t xml:space="preserve">do </w:t>
      </w:r>
      <w:r w:rsidR="00BA1ACF" w:rsidRPr="00D5464D">
        <w:rPr>
          <w:rFonts w:eastAsia="Batang" w:cs="Times"/>
          <w:szCs w:val="24"/>
          <w:lang w:val="pt-BR"/>
        </w:rPr>
        <w:t xml:space="preserve">marco normativo </w:t>
      </w:r>
      <w:r w:rsidR="00470ADC" w:rsidRPr="00D5464D">
        <w:rPr>
          <w:rFonts w:eastAsia="Batang" w:cs="Times"/>
          <w:szCs w:val="24"/>
          <w:lang w:val="pt-BR"/>
        </w:rPr>
        <w:t>correspondente</w:t>
      </w:r>
      <w:r w:rsidR="00BA1ACF" w:rsidRPr="00D5464D">
        <w:rPr>
          <w:rFonts w:eastAsia="Batang" w:cs="Times"/>
          <w:szCs w:val="24"/>
          <w:lang w:val="pt-BR"/>
        </w:rPr>
        <w:t xml:space="preserve">, </w:t>
      </w:r>
      <w:r w:rsidR="00A367EB" w:rsidRPr="00D5464D">
        <w:rPr>
          <w:rFonts w:eastAsia="Batang" w:cs="Times"/>
          <w:szCs w:val="24"/>
          <w:lang w:val="pt-BR"/>
        </w:rPr>
        <w:t>levando</w:t>
      </w:r>
      <w:r w:rsidR="00470ADC" w:rsidRPr="00D5464D">
        <w:rPr>
          <w:rFonts w:eastAsia="Batang" w:cs="Times"/>
          <w:szCs w:val="24"/>
          <w:lang w:val="pt-BR"/>
        </w:rPr>
        <w:t xml:space="preserve"> em </w:t>
      </w:r>
      <w:r w:rsidR="005F1029" w:rsidRPr="00D5464D">
        <w:rPr>
          <w:rFonts w:eastAsia="Batang" w:cs="Times"/>
          <w:szCs w:val="24"/>
          <w:lang w:val="pt-BR"/>
        </w:rPr>
        <w:t xml:space="preserve">consideração </w:t>
      </w:r>
      <w:r w:rsidR="00470ADC" w:rsidRPr="00D5464D">
        <w:rPr>
          <w:rFonts w:eastAsia="Batang" w:cs="Times"/>
          <w:szCs w:val="24"/>
          <w:lang w:val="pt-BR"/>
        </w:rPr>
        <w:t xml:space="preserve">o </w:t>
      </w:r>
      <w:r w:rsidR="00BA1ACF" w:rsidRPr="00D5464D">
        <w:rPr>
          <w:rFonts w:eastAsia="Batang" w:cs="Times"/>
          <w:szCs w:val="24"/>
          <w:lang w:val="pt-BR"/>
        </w:rPr>
        <w:t xml:space="preserve">conjunto </w:t>
      </w:r>
      <w:r w:rsidR="00470ADC" w:rsidRPr="00D5464D">
        <w:rPr>
          <w:rFonts w:eastAsia="Batang" w:cs="Times"/>
          <w:szCs w:val="24"/>
          <w:lang w:val="pt-BR"/>
        </w:rPr>
        <w:t xml:space="preserve">do </w:t>
      </w:r>
      <w:r w:rsidR="00BA1ACF" w:rsidRPr="00D5464D">
        <w:rPr>
          <w:rFonts w:eastAsia="Batang" w:cs="Times"/>
          <w:szCs w:val="24"/>
          <w:lang w:val="pt-BR"/>
        </w:rPr>
        <w:t xml:space="preserve">acervo </w:t>
      </w:r>
      <w:r w:rsidR="002C330E" w:rsidRPr="00D5464D">
        <w:rPr>
          <w:rFonts w:eastAsia="Batang" w:cs="Times"/>
          <w:szCs w:val="24"/>
          <w:lang w:val="pt-BR"/>
        </w:rPr>
        <w:t>probatório</w:t>
      </w:r>
      <w:r w:rsidR="00E045D9" w:rsidRPr="00D5464D">
        <w:rPr>
          <w:rFonts w:eastAsia="Batang" w:cs="Times"/>
          <w:szCs w:val="24"/>
          <w:lang w:val="pt-BR"/>
        </w:rPr>
        <w:t xml:space="preserve"> e</w:t>
      </w:r>
      <w:r w:rsidR="00C91CB1" w:rsidRPr="00D5464D">
        <w:rPr>
          <w:rFonts w:eastAsia="Batang" w:cs="Times"/>
          <w:szCs w:val="24"/>
          <w:lang w:val="pt-BR"/>
        </w:rPr>
        <w:t xml:space="preserve"> </w:t>
      </w:r>
      <w:r w:rsidR="005F1029" w:rsidRPr="00D5464D">
        <w:rPr>
          <w:rFonts w:eastAsia="Batang" w:cs="Times"/>
          <w:szCs w:val="24"/>
          <w:lang w:val="pt-BR"/>
        </w:rPr>
        <w:t xml:space="preserve">as alegações da </w:t>
      </w:r>
      <w:r w:rsidR="00BA1ACF" w:rsidRPr="00D5464D">
        <w:rPr>
          <w:rFonts w:eastAsia="Batang" w:cs="Times"/>
          <w:szCs w:val="24"/>
          <w:lang w:val="pt-BR"/>
        </w:rPr>
        <w:t>causa</w:t>
      </w:r>
      <w:r w:rsidR="005F1029" w:rsidRPr="00D5464D">
        <w:rPr>
          <w:rFonts w:eastAsia="Batang" w:cs="Times"/>
          <w:szCs w:val="24"/>
          <w:lang w:val="pt-BR"/>
        </w:rPr>
        <w:t>.</w:t>
      </w:r>
      <w:r w:rsidR="00BA1ACF" w:rsidRPr="00D5464D">
        <w:rPr>
          <w:rFonts w:eastAsia="Batang" w:cs="Times New Roman"/>
          <w:szCs w:val="20"/>
          <w:vertAlign w:val="superscript"/>
          <w:lang w:val="pt-BR"/>
        </w:rPr>
        <w:footnoteReference w:id="61"/>
      </w:r>
      <w:r w:rsidR="00BA1ACF" w:rsidRPr="00D5464D">
        <w:rPr>
          <w:rFonts w:eastAsia="Batang" w:cs="Times"/>
          <w:szCs w:val="24"/>
          <w:lang w:val="pt-BR"/>
        </w:rPr>
        <w:t xml:space="preserve"> </w:t>
      </w:r>
      <w:r w:rsidR="00350187" w:rsidRPr="00D5464D">
        <w:rPr>
          <w:rFonts w:eastAsia="Batang" w:cs="Times"/>
          <w:szCs w:val="24"/>
          <w:lang w:val="pt-BR"/>
        </w:rPr>
        <w:t xml:space="preserve">Além disso, </w:t>
      </w:r>
      <w:r w:rsidR="005F1029" w:rsidRPr="00D5464D">
        <w:rPr>
          <w:rFonts w:eastAsia="Batang" w:cs="Times"/>
          <w:szCs w:val="24"/>
          <w:lang w:val="pt-BR"/>
        </w:rPr>
        <w:t>de acordo com a</w:t>
      </w:r>
      <w:r w:rsidR="00470ADC" w:rsidRPr="00D5464D">
        <w:rPr>
          <w:rFonts w:eastAsia="Batang" w:cs="Times"/>
          <w:szCs w:val="24"/>
          <w:lang w:val="pt-BR"/>
        </w:rPr>
        <w:t xml:space="preserve"> </w:t>
      </w:r>
      <w:r w:rsidR="002C330E" w:rsidRPr="00D5464D">
        <w:rPr>
          <w:rFonts w:eastAsia="Batang" w:cs="Times"/>
          <w:szCs w:val="24"/>
          <w:lang w:val="pt-BR"/>
        </w:rPr>
        <w:t xml:space="preserve">jurisprudência </w:t>
      </w:r>
      <w:r w:rsidR="00470ADC" w:rsidRPr="00D5464D">
        <w:rPr>
          <w:rFonts w:eastAsia="Batang" w:cs="Times"/>
          <w:szCs w:val="24"/>
          <w:lang w:val="pt-BR"/>
        </w:rPr>
        <w:t xml:space="preserve">deste </w:t>
      </w:r>
      <w:r w:rsidR="00BA1ACF" w:rsidRPr="00D5464D">
        <w:rPr>
          <w:rFonts w:eastAsia="Batang" w:cs="Times"/>
          <w:szCs w:val="24"/>
          <w:lang w:val="pt-BR"/>
        </w:rPr>
        <w:t>Tribunal,</w:t>
      </w:r>
      <w:r w:rsidR="002C330E" w:rsidRPr="00D5464D">
        <w:rPr>
          <w:rFonts w:eastAsia="Batang" w:cs="Times"/>
          <w:szCs w:val="24"/>
          <w:lang w:val="pt-BR"/>
        </w:rPr>
        <w:t xml:space="preserve"> as </w:t>
      </w:r>
      <w:r w:rsidR="00350187" w:rsidRPr="00D5464D">
        <w:rPr>
          <w:rFonts w:eastAsia="Batang" w:cs="Times"/>
          <w:szCs w:val="24"/>
          <w:lang w:val="pt-BR"/>
        </w:rPr>
        <w:t>declarações prestadas</w:t>
      </w:r>
      <w:r w:rsidR="002C330E" w:rsidRPr="00D5464D">
        <w:rPr>
          <w:rFonts w:eastAsia="Batang" w:cs="Times"/>
          <w:szCs w:val="24"/>
          <w:lang w:val="pt-BR"/>
        </w:rPr>
        <w:t xml:space="preserve"> pelas suposta</w:t>
      </w:r>
      <w:r w:rsidR="00A00142" w:rsidRPr="00D5464D">
        <w:rPr>
          <w:rFonts w:eastAsia="Batang" w:cs="Times"/>
          <w:szCs w:val="24"/>
          <w:lang w:val="pt-BR"/>
        </w:rPr>
        <w:t>s</w:t>
      </w:r>
      <w:r w:rsidR="00BA1ACF" w:rsidRPr="00D5464D">
        <w:rPr>
          <w:rFonts w:eastAsia="Batang" w:cs="Times"/>
          <w:szCs w:val="24"/>
          <w:lang w:val="pt-BR"/>
        </w:rPr>
        <w:t xml:space="preserve"> </w:t>
      </w:r>
      <w:r w:rsidR="00E045D9" w:rsidRPr="00D5464D">
        <w:rPr>
          <w:rFonts w:eastAsia="Batang" w:cs="Times"/>
          <w:szCs w:val="24"/>
          <w:lang w:val="pt-BR"/>
        </w:rPr>
        <w:t>vítima</w:t>
      </w:r>
      <w:r w:rsidR="00A00142" w:rsidRPr="00D5464D">
        <w:rPr>
          <w:rFonts w:eastAsia="Batang" w:cs="Times"/>
          <w:szCs w:val="24"/>
          <w:lang w:val="pt-BR"/>
        </w:rPr>
        <w:t>s</w:t>
      </w:r>
      <w:r w:rsidR="00BA1ACF" w:rsidRPr="00D5464D">
        <w:rPr>
          <w:rFonts w:eastAsia="Batang" w:cs="Times"/>
          <w:szCs w:val="24"/>
          <w:lang w:val="pt-BR"/>
        </w:rPr>
        <w:t xml:space="preserve"> </w:t>
      </w:r>
      <w:r w:rsidRPr="00D5464D">
        <w:rPr>
          <w:rFonts w:eastAsia="Batang" w:cs="Times"/>
          <w:szCs w:val="24"/>
          <w:lang w:val="pt-BR"/>
        </w:rPr>
        <w:t xml:space="preserve">não </w:t>
      </w:r>
      <w:r w:rsidR="00230C71" w:rsidRPr="00D5464D">
        <w:rPr>
          <w:rFonts w:eastAsia="Batang" w:cs="Times"/>
          <w:szCs w:val="24"/>
          <w:lang w:val="pt-BR"/>
        </w:rPr>
        <w:t xml:space="preserve">podem </w:t>
      </w:r>
      <w:r w:rsidR="00BA1ACF" w:rsidRPr="00D5464D">
        <w:rPr>
          <w:rFonts w:eastAsia="Batang" w:cs="Times"/>
          <w:szCs w:val="24"/>
          <w:lang w:val="pt-BR"/>
        </w:rPr>
        <w:t>ser valorada</w:t>
      </w:r>
      <w:r w:rsidR="00A00142" w:rsidRPr="00D5464D">
        <w:rPr>
          <w:rFonts w:eastAsia="Batang" w:cs="Times"/>
          <w:szCs w:val="24"/>
          <w:lang w:val="pt-BR"/>
        </w:rPr>
        <w:t>s</w:t>
      </w:r>
      <w:r w:rsidR="00BA1ACF" w:rsidRPr="00D5464D">
        <w:rPr>
          <w:rFonts w:eastAsia="Batang" w:cs="Times"/>
          <w:szCs w:val="24"/>
          <w:lang w:val="pt-BR"/>
        </w:rPr>
        <w:t xml:space="preserve"> </w:t>
      </w:r>
      <w:r w:rsidR="00470ADC" w:rsidRPr="00D5464D">
        <w:rPr>
          <w:rFonts w:eastAsia="Batang" w:cs="Times"/>
          <w:szCs w:val="24"/>
          <w:lang w:val="pt-BR"/>
        </w:rPr>
        <w:t>isoladamente</w:t>
      </w:r>
      <w:r w:rsidR="005F1029" w:rsidRPr="00D5464D">
        <w:rPr>
          <w:rFonts w:eastAsia="Batang" w:cs="Times"/>
          <w:szCs w:val="24"/>
          <w:lang w:val="pt-BR"/>
        </w:rPr>
        <w:t>,</w:t>
      </w:r>
      <w:r w:rsidR="002C330E" w:rsidRPr="00D5464D">
        <w:rPr>
          <w:rFonts w:eastAsia="Batang" w:cs="Times"/>
          <w:szCs w:val="24"/>
          <w:lang w:val="pt-BR"/>
        </w:rPr>
        <w:t xml:space="preserve"> mas </w:t>
      </w:r>
      <w:r w:rsidR="00BA1ACF" w:rsidRPr="00D5464D">
        <w:rPr>
          <w:rFonts w:eastAsia="Batang" w:cs="Times"/>
          <w:szCs w:val="24"/>
          <w:lang w:val="pt-BR"/>
        </w:rPr>
        <w:t xml:space="preserve">dentro </w:t>
      </w:r>
      <w:r w:rsidR="00470ADC" w:rsidRPr="00D5464D">
        <w:rPr>
          <w:rFonts w:eastAsia="Batang" w:cs="Times"/>
          <w:szCs w:val="24"/>
          <w:lang w:val="pt-BR"/>
        </w:rPr>
        <w:t xml:space="preserve">do </w:t>
      </w:r>
      <w:r w:rsidR="00BA1ACF" w:rsidRPr="00D5464D">
        <w:rPr>
          <w:rFonts w:eastAsia="Batang" w:cs="Times"/>
          <w:szCs w:val="24"/>
          <w:lang w:val="pt-BR"/>
        </w:rPr>
        <w:t>conjunto</w:t>
      </w:r>
      <w:r w:rsidR="00470ADC" w:rsidRPr="00D5464D">
        <w:rPr>
          <w:rFonts w:eastAsia="Batang" w:cs="Times"/>
          <w:szCs w:val="24"/>
          <w:lang w:val="pt-BR"/>
        </w:rPr>
        <w:t xml:space="preserve"> das </w:t>
      </w:r>
      <w:r w:rsidR="002C330E" w:rsidRPr="00D5464D">
        <w:rPr>
          <w:rFonts w:eastAsia="Batang" w:cs="Times"/>
          <w:szCs w:val="24"/>
          <w:lang w:val="pt-BR"/>
        </w:rPr>
        <w:t>prova</w:t>
      </w:r>
      <w:r w:rsidR="00BA1ACF" w:rsidRPr="00D5464D">
        <w:rPr>
          <w:rFonts w:eastAsia="Batang" w:cs="Times"/>
          <w:szCs w:val="24"/>
          <w:lang w:val="pt-BR"/>
        </w:rPr>
        <w:t xml:space="preserve">s </w:t>
      </w:r>
      <w:r w:rsidR="00470ADC" w:rsidRPr="00D5464D">
        <w:rPr>
          <w:rFonts w:eastAsia="Batang" w:cs="Times"/>
          <w:szCs w:val="24"/>
          <w:lang w:val="pt-BR"/>
        </w:rPr>
        <w:t xml:space="preserve">do </w:t>
      </w:r>
      <w:r w:rsidR="002C330E" w:rsidRPr="00D5464D">
        <w:rPr>
          <w:rFonts w:eastAsia="Batang" w:cs="Times"/>
          <w:szCs w:val="24"/>
          <w:lang w:val="pt-BR"/>
        </w:rPr>
        <w:t>processo</w:t>
      </w:r>
      <w:r w:rsidR="00BA1ACF" w:rsidRPr="00D5464D">
        <w:rPr>
          <w:rFonts w:eastAsia="Batang" w:cs="Times"/>
          <w:szCs w:val="24"/>
          <w:lang w:val="pt-BR"/>
        </w:rPr>
        <w:t>,</w:t>
      </w:r>
      <w:r w:rsidR="00E045D9" w:rsidRPr="00D5464D">
        <w:rPr>
          <w:rFonts w:eastAsia="Batang" w:cs="Times"/>
          <w:szCs w:val="24"/>
          <w:lang w:val="pt-BR"/>
        </w:rPr>
        <w:t xml:space="preserve"> na </w:t>
      </w:r>
      <w:r w:rsidR="00BA1ACF" w:rsidRPr="00D5464D">
        <w:rPr>
          <w:rFonts w:eastAsia="Batang" w:cs="Times"/>
          <w:szCs w:val="24"/>
          <w:lang w:val="pt-BR"/>
        </w:rPr>
        <w:t>medida</w:t>
      </w:r>
      <w:r w:rsidR="00470ADC" w:rsidRPr="00D5464D">
        <w:rPr>
          <w:rFonts w:eastAsia="Batang" w:cs="Times"/>
          <w:szCs w:val="24"/>
          <w:lang w:val="pt-BR"/>
        </w:rPr>
        <w:t xml:space="preserve"> em </w:t>
      </w:r>
      <w:r w:rsidR="00BA1ACF" w:rsidRPr="00D5464D">
        <w:rPr>
          <w:rFonts w:eastAsia="Batang" w:cs="Times"/>
          <w:szCs w:val="24"/>
          <w:lang w:val="pt-BR"/>
        </w:rPr>
        <w:t xml:space="preserve">que </w:t>
      </w:r>
      <w:r w:rsidR="00230C71" w:rsidRPr="00D5464D">
        <w:rPr>
          <w:rFonts w:eastAsia="Batang" w:cs="Times"/>
          <w:szCs w:val="24"/>
          <w:lang w:val="pt-BR"/>
        </w:rPr>
        <w:t xml:space="preserve">podem </w:t>
      </w:r>
      <w:r w:rsidR="00BA1ACF" w:rsidRPr="00D5464D">
        <w:rPr>
          <w:rFonts w:eastAsia="Batang" w:cs="Times"/>
          <w:szCs w:val="24"/>
          <w:lang w:val="pt-BR"/>
        </w:rPr>
        <w:t xml:space="preserve">proporcionar </w:t>
      </w:r>
      <w:r w:rsidR="002C330E" w:rsidRPr="00D5464D">
        <w:rPr>
          <w:rFonts w:eastAsia="Batang" w:cs="Times"/>
          <w:szCs w:val="24"/>
          <w:lang w:val="pt-BR"/>
        </w:rPr>
        <w:t xml:space="preserve">maior </w:t>
      </w:r>
      <w:r w:rsidR="00BA1ACF" w:rsidRPr="00D5464D">
        <w:rPr>
          <w:rFonts w:eastAsia="Batang" w:cs="Times"/>
          <w:szCs w:val="24"/>
          <w:lang w:val="pt-BR"/>
        </w:rPr>
        <w:t>informa</w:t>
      </w:r>
      <w:r w:rsidR="00470ADC" w:rsidRPr="00D5464D">
        <w:rPr>
          <w:rFonts w:eastAsia="Batang" w:cs="Times"/>
          <w:szCs w:val="24"/>
          <w:lang w:val="pt-BR"/>
        </w:rPr>
        <w:t>ção</w:t>
      </w:r>
      <w:r w:rsidR="00BA1ACF" w:rsidRPr="00D5464D">
        <w:rPr>
          <w:rFonts w:eastAsia="Batang" w:cs="Times"/>
          <w:szCs w:val="24"/>
          <w:lang w:val="pt-BR"/>
        </w:rPr>
        <w:t xml:space="preserve"> sobre</w:t>
      </w:r>
      <w:r w:rsidR="002C330E" w:rsidRPr="00D5464D">
        <w:rPr>
          <w:rFonts w:eastAsia="Batang" w:cs="Times"/>
          <w:szCs w:val="24"/>
          <w:lang w:val="pt-BR"/>
        </w:rPr>
        <w:t xml:space="preserve"> as suposta</w:t>
      </w:r>
      <w:r w:rsidR="00BA1ACF" w:rsidRPr="00D5464D">
        <w:rPr>
          <w:rFonts w:eastAsia="Batang" w:cs="Times"/>
          <w:szCs w:val="24"/>
          <w:lang w:val="pt-BR"/>
        </w:rPr>
        <w:t>s viola</w:t>
      </w:r>
      <w:r w:rsidR="00470ADC" w:rsidRPr="00D5464D">
        <w:rPr>
          <w:rFonts w:eastAsia="Batang" w:cs="Times"/>
          <w:szCs w:val="24"/>
          <w:lang w:val="pt-BR"/>
        </w:rPr>
        <w:t>ções</w:t>
      </w:r>
      <w:r w:rsidR="00E045D9" w:rsidRPr="00D5464D">
        <w:rPr>
          <w:rFonts w:eastAsia="Batang" w:cs="Times"/>
          <w:szCs w:val="24"/>
          <w:lang w:val="pt-BR"/>
        </w:rPr>
        <w:t xml:space="preserve"> e suas consequências</w:t>
      </w:r>
      <w:r w:rsidR="005F1029" w:rsidRPr="00D5464D">
        <w:rPr>
          <w:rFonts w:eastAsia="Batang" w:cs="Times"/>
          <w:szCs w:val="24"/>
          <w:lang w:val="pt-BR"/>
        </w:rPr>
        <w:t>.</w:t>
      </w:r>
      <w:r w:rsidR="00BA1ACF" w:rsidRPr="00D5464D">
        <w:rPr>
          <w:rFonts w:eastAsia="Batang" w:cs="Times New Roman"/>
          <w:szCs w:val="20"/>
          <w:vertAlign w:val="superscript"/>
          <w:lang w:val="pt-BR"/>
        </w:rPr>
        <w:footnoteReference w:id="62"/>
      </w:r>
    </w:p>
    <w:p w14:paraId="2594CCCD" w14:textId="77777777" w:rsidR="00BA1ACF" w:rsidRPr="00D5464D" w:rsidRDefault="00BA1ACF" w:rsidP="00140440">
      <w:pPr>
        <w:tabs>
          <w:tab w:val="clear" w:pos="4419"/>
          <w:tab w:val="clear" w:pos="8838"/>
        </w:tabs>
        <w:jc w:val="both"/>
        <w:rPr>
          <w:rFonts w:eastAsia="Batang" w:cs="Times"/>
          <w:szCs w:val="24"/>
          <w:lang w:val="pt-BR"/>
        </w:rPr>
      </w:pPr>
    </w:p>
    <w:p w14:paraId="58818E2B" w14:textId="77777777" w:rsidR="0003391C" w:rsidRPr="00D5464D" w:rsidRDefault="0003391C" w:rsidP="0039404C">
      <w:pPr>
        <w:keepNext/>
        <w:keepLines/>
        <w:tabs>
          <w:tab w:val="clear" w:pos="4419"/>
          <w:tab w:val="clear" w:pos="8838"/>
        </w:tabs>
        <w:jc w:val="center"/>
        <w:outlineLvl w:val="0"/>
        <w:rPr>
          <w:rFonts w:eastAsia="Times New Roman" w:cs="Verdana"/>
          <w:b/>
          <w:bCs/>
          <w:caps/>
          <w:snapToGrid w:val="0"/>
          <w:szCs w:val="20"/>
          <w:lang w:val="pt-BR" w:eastAsia="es-ES"/>
        </w:rPr>
      </w:pPr>
      <w:bookmarkStart w:id="232" w:name="_Toc460432467"/>
      <w:bookmarkStart w:id="233" w:name="_Toc468433882"/>
      <w:r w:rsidRPr="00D5464D">
        <w:rPr>
          <w:rFonts w:eastAsia="Times New Roman" w:cs="Verdana"/>
          <w:b/>
          <w:bCs/>
          <w:caps/>
          <w:snapToGrid w:val="0"/>
          <w:szCs w:val="20"/>
          <w:lang w:val="pt-BR" w:eastAsia="es-ES"/>
        </w:rPr>
        <w:t>V</w:t>
      </w:r>
      <w:r w:rsidR="00F672B7" w:rsidRPr="00D5464D">
        <w:rPr>
          <w:rFonts w:eastAsia="Times New Roman" w:cs="Verdana"/>
          <w:b/>
          <w:bCs/>
          <w:caps/>
          <w:snapToGrid w:val="0"/>
          <w:szCs w:val="20"/>
          <w:lang w:val="pt-BR" w:eastAsia="es-ES"/>
        </w:rPr>
        <w:t>I</w:t>
      </w:r>
      <w:bookmarkEnd w:id="232"/>
      <w:bookmarkEnd w:id="233"/>
    </w:p>
    <w:p w14:paraId="7D37DC36" w14:textId="2C72E5D2" w:rsidR="0003391C" w:rsidRPr="00D5464D" w:rsidRDefault="002C330E" w:rsidP="0039404C">
      <w:pPr>
        <w:keepNext/>
        <w:keepLines/>
        <w:tabs>
          <w:tab w:val="clear" w:pos="4419"/>
          <w:tab w:val="clear" w:pos="8838"/>
        </w:tabs>
        <w:jc w:val="center"/>
        <w:outlineLvl w:val="0"/>
        <w:rPr>
          <w:rFonts w:eastAsia="Times New Roman" w:cs="Verdana"/>
          <w:b/>
          <w:bCs/>
          <w:caps/>
          <w:snapToGrid w:val="0"/>
          <w:szCs w:val="20"/>
          <w:lang w:val="pt-BR" w:eastAsia="es-ES"/>
        </w:rPr>
      </w:pPr>
      <w:bookmarkStart w:id="234" w:name="_Toc468433883"/>
      <w:r w:rsidRPr="00D5464D">
        <w:rPr>
          <w:rFonts w:eastAsia="Times New Roman" w:cs="Verdana"/>
          <w:b/>
          <w:bCs/>
          <w:caps/>
          <w:snapToGrid w:val="0"/>
          <w:szCs w:val="20"/>
          <w:lang w:val="pt-BR" w:eastAsia="es-ES"/>
        </w:rPr>
        <w:t>FATOS</w:t>
      </w:r>
      <w:bookmarkEnd w:id="234"/>
      <w:r w:rsidR="00F27346" w:rsidRPr="00D5464D">
        <w:rPr>
          <w:rFonts w:eastAsia="Times New Roman" w:cs="Verdana"/>
          <w:b/>
          <w:bCs/>
          <w:caps/>
          <w:snapToGrid w:val="0"/>
          <w:szCs w:val="20"/>
          <w:lang w:val="pt-BR" w:eastAsia="es-ES"/>
        </w:rPr>
        <w:t xml:space="preserve"> </w:t>
      </w:r>
    </w:p>
    <w:p w14:paraId="63080697" w14:textId="77777777" w:rsidR="003D08A4" w:rsidRPr="00D5464D" w:rsidRDefault="003D08A4" w:rsidP="003D08A4">
      <w:pPr>
        <w:pStyle w:val="Prrafodelista"/>
        <w:ind w:left="0"/>
        <w:contextualSpacing w:val="0"/>
        <w:rPr>
          <w:rFonts w:cs="Tahoma"/>
          <w:szCs w:val="20"/>
          <w:lang w:val="pt-BR"/>
        </w:rPr>
      </w:pPr>
      <w:bookmarkStart w:id="235" w:name="_Toc383161743"/>
    </w:p>
    <w:p w14:paraId="45F1BC2D" w14:textId="07FD10B9" w:rsidR="003D08A4" w:rsidRPr="00D5464D" w:rsidRDefault="00470ADC" w:rsidP="003D08A4">
      <w:pPr>
        <w:pStyle w:val="Prrafodelista"/>
        <w:numPr>
          <w:ilvl w:val="0"/>
          <w:numId w:val="1"/>
        </w:numPr>
        <w:contextualSpacing w:val="0"/>
        <w:rPr>
          <w:rFonts w:cs="Tahoma"/>
          <w:szCs w:val="20"/>
          <w:lang w:val="pt-BR"/>
        </w:rPr>
      </w:pPr>
      <w:r w:rsidRPr="00D5464D">
        <w:rPr>
          <w:rFonts w:cs="Tahoma"/>
          <w:szCs w:val="20"/>
          <w:lang w:val="pt-BR"/>
        </w:rPr>
        <w:t xml:space="preserve">No </w:t>
      </w:r>
      <w:r w:rsidR="00575B45" w:rsidRPr="00D5464D">
        <w:rPr>
          <w:rFonts w:cs="Tahoma"/>
          <w:szCs w:val="20"/>
          <w:lang w:val="pt-BR"/>
        </w:rPr>
        <w:t xml:space="preserve">presente capítulo </w:t>
      </w:r>
      <w:r w:rsidR="005F1029" w:rsidRPr="00D5464D">
        <w:rPr>
          <w:rFonts w:cs="Tahoma"/>
          <w:szCs w:val="20"/>
          <w:lang w:val="pt-BR"/>
        </w:rPr>
        <w:t xml:space="preserve">serão expostos </w:t>
      </w:r>
      <w:r w:rsidRPr="00D5464D">
        <w:rPr>
          <w:rFonts w:cs="Tahoma"/>
          <w:szCs w:val="20"/>
          <w:lang w:val="pt-BR"/>
        </w:rPr>
        <w:t xml:space="preserve">o </w:t>
      </w:r>
      <w:r w:rsidR="0002225D" w:rsidRPr="00D5464D">
        <w:rPr>
          <w:rFonts w:cs="Tahoma"/>
          <w:szCs w:val="20"/>
          <w:lang w:val="pt-BR"/>
        </w:rPr>
        <w:t xml:space="preserve">contexto </w:t>
      </w:r>
      <w:r w:rsidR="00350187" w:rsidRPr="00D5464D">
        <w:rPr>
          <w:rFonts w:cs="Tahoma"/>
          <w:szCs w:val="20"/>
          <w:lang w:val="pt-BR"/>
        </w:rPr>
        <w:t xml:space="preserve">referente </w:t>
      </w:r>
      <w:r w:rsidRPr="00D5464D">
        <w:rPr>
          <w:rFonts w:cs="Tahoma"/>
          <w:szCs w:val="20"/>
          <w:lang w:val="pt-BR"/>
        </w:rPr>
        <w:t xml:space="preserve">ao </w:t>
      </w:r>
      <w:r w:rsidR="0002225D" w:rsidRPr="00D5464D">
        <w:rPr>
          <w:rFonts w:cs="Tahoma"/>
          <w:szCs w:val="20"/>
          <w:lang w:val="pt-BR"/>
        </w:rPr>
        <w:t>caso</w:t>
      </w:r>
      <w:r w:rsidR="00E045D9" w:rsidRPr="00D5464D">
        <w:rPr>
          <w:rFonts w:cs="Tahoma"/>
          <w:szCs w:val="20"/>
          <w:lang w:val="pt-BR"/>
        </w:rPr>
        <w:t xml:space="preserve"> e </w:t>
      </w:r>
      <w:r w:rsidR="002C330E" w:rsidRPr="00D5464D">
        <w:rPr>
          <w:rFonts w:cs="Tahoma"/>
          <w:szCs w:val="20"/>
          <w:lang w:val="pt-BR"/>
        </w:rPr>
        <w:t>os fatos</w:t>
      </w:r>
      <w:r w:rsidR="00575B45" w:rsidRPr="00D5464D">
        <w:rPr>
          <w:rFonts w:cs="Tahoma"/>
          <w:szCs w:val="20"/>
          <w:lang w:val="pt-BR"/>
        </w:rPr>
        <w:t xml:space="preserve"> </w:t>
      </w:r>
      <w:r w:rsidR="0002225D" w:rsidRPr="00D5464D">
        <w:rPr>
          <w:rFonts w:cs="Tahoma"/>
          <w:szCs w:val="20"/>
          <w:lang w:val="pt-BR"/>
        </w:rPr>
        <w:t>concretos</w:t>
      </w:r>
      <w:r w:rsidR="00575B45" w:rsidRPr="00D5464D">
        <w:rPr>
          <w:rFonts w:cs="Tahoma"/>
          <w:szCs w:val="20"/>
          <w:lang w:val="pt-BR"/>
        </w:rPr>
        <w:t xml:space="preserve"> </w:t>
      </w:r>
      <w:r w:rsidR="00D87E31" w:rsidRPr="00D5464D">
        <w:rPr>
          <w:rFonts w:cs="Times New Roman"/>
          <w:szCs w:val="20"/>
          <w:lang w:val="pt-BR"/>
        </w:rPr>
        <w:t>dentro</w:t>
      </w:r>
      <w:r w:rsidRPr="00D5464D">
        <w:rPr>
          <w:rFonts w:cs="Times New Roman"/>
          <w:szCs w:val="20"/>
          <w:lang w:val="pt-BR"/>
        </w:rPr>
        <w:t xml:space="preserve"> da competência</w:t>
      </w:r>
      <w:r w:rsidR="00D87E31" w:rsidRPr="00D5464D">
        <w:rPr>
          <w:rFonts w:cs="Times New Roman"/>
          <w:szCs w:val="20"/>
          <w:lang w:val="pt-BR"/>
        </w:rPr>
        <w:t xml:space="preserve"> temporal</w:t>
      </w:r>
      <w:r w:rsidRPr="00D5464D">
        <w:rPr>
          <w:rFonts w:cs="Times New Roman"/>
          <w:szCs w:val="20"/>
          <w:lang w:val="pt-BR"/>
        </w:rPr>
        <w:t xml:space="preserve"> da </w:t>
      </w:r>
      <w:r w:rsidR="00D87E31" w:rsidRPr="00D5464D">
        <w:rPr>
          <w:rFonts w:cs="Times New Roman"/>
          <w:szCs w:val="20"/>
          <w:lang w:val="pt-BR"/>
        </w:rPr>
        <w:t>Corte</w:t>
      </w:r>
      <w:r w:rsidR="00575B45" w:rsidRPr="00D5464D">
        <w:rPr>
          <w:rFonts w:cs="Times New Roman"/>
          <w:szCs w:val="20"/>
          <w:lang w:val="pt-BR"/>
        </w:rPr>
        <w:t>.</w:t>
      </w:r>
    </w:p>
    <w:p w14:paraId="65CCE4B6" w14:textId="77777777" w:rsidR="003D08A4" w:rsidRPr="00D5464D" w:rsidRDefault="003D08A4" w:rsidP="003D08A4">
      <w:pPr>
        <w:pStyle w:val="Prrafodelista"/>
        <w:ind w:left="0"/>
        <w:contextualSpacing w:val="0"/>
        <w:rPr>
          <w:rFonts w:cs="Tahoma"/>
          <w:szCs w:val="20"/>
          <w:lang w:val="pt-BR"/>
        </w:rPr>
      </w:pPr>
    </w:p>
    <w:p w14:paraId="006EF635" w14:textId="3E5B16EC" w:rsidR="0003391C" w:rsidRPr="00D5464D" w:rsidRDefault="002C330E" w:rsidP="003D08A4">
      <w:pPr>
        <w:pStyle w:val="Prrafodelista"/>
        <w:numPr>
          <w:ilvl w:val="0"/>
          <w:numId w:val="1"/>
        </w:numPr>
        <w:contextualSpacing w:val="0"/>
        <w:rPr>
          <w:rFonts w:cs="Tahoma"/>
          <w:szCs w:val="20"/>
          <w:lang w:val="pt-BR"/>
        </w:rPr>
      </w:pPr>
      <w:r w:rsidRPr="00D5464D">
        <w:rPr>
          <w:lang w:val="pt-BR"/>
        </w:rPr>
        <w:t>Os fatos</w:t>
      </w:r>
      <w:r w:rsidR="00575B45" w:rsidRPr="00D5464D">
        <w:rPr>
          <w:lang w:val="pt-BR"/>
        </w:rPr>
        <w:t xml:space="preserve"> anteriores</w:t>
      </w:r>
      <w:r w:rsidR="00470ADC" w:rsidRPr="00D5464D">
        <w:rPr>
          <w:lang w:val="pt-BR"/>
        </w:rPr>
        <w:t xml:space="preserve"> à data</w:t>
      </w:r>
      <w:r w:rsidR="00575B45" w:rsidRPr="00D5464D">
        <w:rPr>
          <w:lang w:val="pt-BR"/>
        </w:rPr>
        <w:t xml:space="preserve"> de ratifica</w:t>
      </w:r>
      <w:r w:rsidR="00470ADC" w:rsidRPr="00D5464D">
        <w:rPr>
          <w:lang w:val="pt-BR"/>
        </w:rPr>
        <w:t>ção da competência</w:t>
      </w:r>
      <w:r w:rsidR="00575B45" w:rsidRPr="00D5464D">
        <w:rPr>
          <w:lang w:val="pt-BR"/>
        </w:rPr>
        <w:t xml:space="preserve"> contenciosa</w:t>
      </w:r>
      <w:r w:rsidR="00470ADC" w:rsidRPr="00D5464D">
        <w:rPr>
          <w:lang w:val="pt-BR"/>
        </w:rPr>
        <w:t xml:space="preserve"> da </w:t>
      </w:r>
      <w:r w:rsidR="00575B45" w:rsidRPr="00D5464D">
        <w:rPr>
          <w:lang w:val="pt-BR"/>
        </w:rPr>
        <w:t>Corte por parte d</w:t>
      </w:r>
      <w:r w:rsidR="005F1029" w:rsidRPr="00D5464D">
        <w:rPr>
          <w:lang w:val="pt-BR"/>
        </w:rPr>
        <w:t>o</w:t>
      </w:r>
      <w:r w:rsidR="00575B45" w:rsidRPr="00D5464D">
        <w:rPr>
          <w:lang w:val="pt-BR"/>
        </w:rPr>
        <w:t xml:space="preserve"> </w:t>
      </w:r>
      <w:r w:rsidR="00024FCB" w:rsidRPr="00D5464D">
        <w:rPr>
          <w:lang w:val="pt-BR"/>
        </w:rPr>
        <w:t>Brasil</w:t>
      </w:r>
      <w:r w:rsidR="00575B45" w:rsidRPr="00D5464D">
        <w:rPr>
          <w:lang w:val="pt-BR"/>
        </w:rPr>
        <w:t xml:space="preserve"> (</w:t>
      </w:r>
      <w:r w:rsidR="00024FCB" w:rsidRPr="00D5464D">
        <w:rPr>
          <w:lang w:val="pt-BR"/>
        </w:rPr>
        <w:t xml:space="preserve">10 de </w:t>
      </w:r>
      <w:r w:rsidR="00470ADC" w:rsidRPr="00D5464D">
        <w:rPr>
          <w:lang w:val="pt-BR"/>
        </w:rPr>
        <w:t>dezembro</w:t>
      </w:r>
      <w:r w:rsidR="00024FCB" w:rsidRPr="00D5464D">
        <w:rPr>
          <w:lang w:val="pt-BR"/>
        </w:rPr>
        <w:t xml:space="preserve"> de 1998</w:t>
      </w:r>
      <w:r w:rsidR="00575B45" w:rsidRPr="00D5464D">
        <w:rPr>
          <w:lang w:val="pt-BR"/>
        </w:rPr>
        <w:t xml:space="preserve">) </w:t>
      </w:r>
      <w:r w:rsidR="00E045D9" w:rsidRPr="00D5464D">
        <w:rPr>
          <w:lang w:val="pt-BR"/>
        </w:rPr>
        <w:t>unicamente</w:t>
      </w:r>
      <w:r w:rsidR="00575B45" w:rsidRPr="00D5464D">
        <w:rPr>
          <w:lang w:val="pt-BR"/>
        </w:rPr>
        <w:t xml:space="preserve"> </w:t>
      </w:r>
      <w:r w:rsidR="005F1029" w:rsidRPr="00D5464D">
        <w:rPr>
          <w:lang w:val="pt-BR"/>
        </w:rPr>
        <w:t xml:space="preserve">são enunciados </w:t>
      </w:r>
      <w:r w:rsidR="00575B45" w:rsidRPr="00D5464D">
        <w:rPr>
          <w:lang w:val="pt-BR"/>
        </w:rPr>
        <w:t xml:space="preserve">como parte </w:t>
      </w:r>
      <w:r w:rsidR="00470ADC" w:rsidRPr="00D5464D">
        <w:rPr>
          <w:lang w:val="pt-BR"/>
        </w:rPr>
        <w:t xml:space="preserve">do </w:t>
      </w:r>
      <w:r w:rsidR="00927115" w:rsidRPr="00D5464D">
        <w:rPr>
          <w:lang w:val="pt-BR"/>
        </w:rPr>
        <w:t>contexto</w:t>
      </w:r>
      <w:r w:rsidR="00E045D9" w:rsidRPr="00D5464D">
        <w:rPr>
          <w:lang w:val="pt-BR"/>
        </w:rPr>
        <w:t xml:space="preserve"> e </w:t>
      </w:r>
      <w:r w:rsidR="00470ADC" w:rsidRPr="00D5464D">
        <w:rPr>
          <w:lang w:val="pt-BR"/>
        </w:rPr>
        <w:t xml:space="preserve">dos </w:t>
      </w:r>
      <w:r w:rsidR="00575B45" w:rsidRPr="00D5464D">
        <w:rPr>
          <w:lang w:val="pt-BR"/>
        </w:rPr>
        <w:t xml:space="preserve">antecedentes </w:t>
      </w:r>
      <w:r w:rsidR="00470ADC" w:rsidRPr="00D5464D">
        <w:rPr>
          <w:lang w:val="pt-BR"/>
        </w:rPr>
        <w:t xml:space="preserve">do </w:t>
      </w:r>
      <w:r w:rsidR="00575B45" w:rsidRPr="00D5464D">
        <w:rPr>
          <w:lang w:val="pt-BR"/>
        </w:rPr>
        <w:t>caso.</w:t>
      </w:r>
      <w:bookmarkEnd w:id="235"/>
    </w:p>
    <w:p w14:paraId="3BE80BCC" w14:textId="77777777" w:rsidR="003D08A4" w:rsidRPr="00D5464D" w:rsidRDefault="003D08A4" w:rsidP="003D08A4">
      <w:pPr>
        <w:pStyle w:val="Prrafodelista"/>
        <w:ind w:left="0"/>
        <w:contextualSpacing w:val="0"/>
        <w:rPr>
          <w:rFonts w:cs="Tahoma"/>
          <w:szCs w:val="20"/>
          <w:lang w:val="pt-BR"/>
        </w:rPr>
      </w:pPr>
    </w:p>
    <w:p w14:paraId="501961F5" w14:textId="77777777" w:rsidR="0003391C" w:rsidRPr="00D5464D" w:rsidRDefault="0003391C" w:rsidP="00F306D7">
      <w:pPr>
        <w:pStyle w:val="Ttulo2"/>
        <w:numPr>
          <w:ilvl w:val="0"/>
          <w:numId w:val="17"/>
        </w:numPr>
        <w:rPr>
          <w:rFonts w:cs="Arial"/>
          <w:lang w:val="pt-BR"/>
        </w:rPr>
      </w:pPr>
      <w:bookmarkStart w:id="236" w:name="_Toc468433884"/>
      <w:r w:rsidRPr="00D5464D">
        <w:rPr>
          <w:rFonts w:eastAsia="Batang"/>
          <w:lang w:val="pt-BR" w:eastAsia="es-ES"/>
        </w:rPr>
        <w:t>Contexto</w:t>
      </w:r>
      <w:bookmarkEnd w:id="236"/>
    </w:p>
    <w:p w14:paraId="78CFD8EE" w14:textId="77777777" w:rsidR="0008427B" w:rsidRPr="00D5464D" w:rsidRDefault="0008427B" w:rsidP="00140440">
      <w:pPr>
        <w:pStyle w:val="Prrafodelista"/>
        <w:autoSpaceDE w:val="0"/>
        <w:autoSpaceDN w:val="0"/>
        <w:adjustRightInd w:val="0"/>
        <w:contextualSpacing w:val="0"/>
        <w:rPr>
          <w:rFonts w:cs="Arial"/>
          <w:i/>
          <w:szCs w:val="20"/>
          <w:lang w:val="pt-BR"/>
        </w:rPr>
      </w:pPr>
    </w:p>
    <w:p w14:paraId="58C21600" w14:textId="5B5CD81F" w:rsidR="0003391C" w:rsidRPr="00D5464D" w:rsidRDefault="0003391C" w:rsidP="00217CA8">
      <w:pPr>
        <w:pStyle w:val="Ttulo3"/>
        <w:rPr>
          <w:lang w:val="pt-BR"/>
        </w:rPr>
      </w:pPr>
      <w:bookmarkStart w:id="237" w:name="_Toc460432999"/>
      <w:bookmarkStart w:id="238" w:name="_Toc460441930"/>
      <w:bookmarkStart w:id="239" w:name="_Toc462750748"/>
      <w:bookmarkStart w:id="240" w:name="_Toc462751072"/>
      <w:bookmarkStart w:id="241" w:name="_Toc464813924"/>
      <w:bookmarkStart w:id="242" w:name="_Toc468433885"/>
      <w:r w:rsidRPr="00D5464D">
        <w:rPr>
          <w:lang w:val="pt-BR"/>
        </w:rPr>
        <w:t>A.1</w:t>
      </w:r>
      <w:r w:rsidR="00CB7E29" w:rsidRPr="00D5464D">
        <w:rPr>
          <w:lang w:val="pt-BR"/>
        </w:rPr>
        <w:t>.</w:t>
      </w:r>
      <w:r w:rsidRPr="00D5464D">
        <w:rPr>
          <w:lang w:val="pt-BR"/>
        </w:rPr>
        <w:t xml:space="preserve"> </w:t>
      </w:r>
      <w:r w:rsidR="002C330E" w:rsidRPr="00D5464D">
        <w:rPr>
          <w:lang w:val="pt-BR"/>
        </w:rPr>
        <w:t xml:space="preserve">História </w:t>
      </w:r>
      <w:r w:rsidR="00470ADC" w:rsidRPr="00D5464D">
        <w:rPr>
          <w:lang w:val="pt-BR"/>
        </w:rPr>
        <w:t xml:space="preserve">do </w:t>
      </w:r>
      <w:r w:rsidR="00E045D9" w:rsidRPr="00D5464D">
        <w:rPr>
          <w:lang w:val="pt-BR"/>
        </w:rPr>
        <w:t>trabalho</w:t>
      </w:r>
      <w:r w:rsidRPr="00D5464D">
        <w:rPr>
          <w:lang w:val="pt-BR"/>
        </w:rPr>
        <w:t xml:space="preserve"> </w:t>
      </w:r>
      <w:r w:rsidR="004F1CC2" w:rsidRPr="00D5464D">
        <w:rPr>
          <w:lang w:val="pt-BR"/>
        </w:rPr>
        <w:t>escravo</w:t>
      </w:r>
      <w:r w:rsidR="006665EF" w:rsidRPr="00D5464D">
        <w:rPr>
          <w:lang w:val="pt-BR"/>
        </w:rPr>
        <w:t xml:space="preserve"> no Brasil</w:t>
      </w:r>
      <w:bookmarkEnd w:id="237"/>
      <w:bookmarkEnd w:id="238"/>
      <w:bookmarkEnd w:id="239"/>
      <w:bookmarkEnd w:id="240"/>
      <w:bookmarkEnd w:id="241"/>
      <w:bookmarkEnd w:id="242"/>
    </w:p>
    <w:p w14:paraId="7FE563A8" w14:textId="77777777" w:rsidR="00D65024" w:rsidRPr="00D5464D" w:rsidRDefault="00D65024" w:rsidP="00D65024">
      <w:pPr>
        <w:pStyle w:val="Prrafodelista"/>
        <w:autoSpaceDE w:val="0"/>
        <w:autoSpaceDN w:val="0"/>
        <w:adjustRightInd w:val="0"/>
        <w:ind w:left="0"/>
        <w:contextualSpacing w:val="0"/>
        <w:rPr>
          <w:rFonts w:cs="Arial"/>
          <w:szCs w:val="20"/>
          <w:lang w:val="pt-BR"/>
        </w:rPr>
      </w:pPr>
    </w:p>
    <w:p w14:paraId="3C391E92" w14:textId="0C41D114" w:rsidR="0003391C" w:rsidRPr="00D5464D" w:rsidRDefault="00470ADC" w:rsidP="00140440">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 xml:space="preserve">O </w:t>
      </w:r>
      <w:r w:rsidR="0003391C" w:rsidRPr="00D5464D">
        <w:rPr>
          <w:rFonts w:cs="Arial"/>
          <w:szCs w:val="20"/>
          <w:lang w:val="pt-BR"/>
        </w:rPr>
        <w:t>com</w:t>
      </w:r>
      <w:r w:rsidR="003E22C8" w:rsidRPr="00D5464D">
        <w:rPr>
          <w:rFonts w:cs="Arial"/>
          <w:szCs w:val="20"/>
          <w:lang w:val="pt-BR"/>
        </w:rPr>
        <w:t>é</w:t>
      </w:r>
      <w:r w:rsidR="0003391C" w:rsidRPr="00D5464D">
        <w:rPr>
          <w:rFonts w:cs="Arial"/>
          <w:szCs w:val="20"/>
          <w:lang w:val="pt-BR"/>
        </w:rPr>
        <w:t xml:space="preserve">rcio de </w:t>
      </w:r>
      <w:r w:rsidR="004F1CC2" w:rsidRPr="00D5464D">
        <w:rPr>
          <w:rFonts w:cs="Arial"/>
          <w:szCs w:val="20"/>
          <w:lang w:val="pt-BR"/>
        </w:rPr>
        <w:t>escravo</w:t>
      </w:r>
      <w:r w:rsidR="0003391C" w:rsidRPr="00D5464D">
        <w:rPr>
          <w:rFonts w:cs="Arial"/>
          <w:szCs w:val="20"/>
          <w:lang w:val="pt-BR"/>
        </w:rPr>
        <w:t xml:space="preserve">s </w:t>
      </w:r>
      <w:r w:rsidR="003E22C8" w:rsidRPr="00D5464D">
        <w:rPr>
          <w:rFonts w:cs="Arial"/>
          <w:szCs w:val="20"/>
          <w:lang w:val="pt-BR"/>
        </w:rPr>
        <w:t xml:space="preserve">esteve </w:t>
      </w:r>
      <w:r w:rsidR="00230C71" w:rsidRPr="00D5464D">
        <w:rPr>
          <w:rFonts w:cs="Arial"/>
          <w:szCs w:val="20"/>
          <w:lang w:val="pt-BR"/>
        </w:rPr>
        <w:t>historicamente</w:t>
      </w:r>
      <w:r w:rsidR="0003391C" w:rsidRPr="00D5464D">
        <w:rPr>
          <w:rFonts w:cs="Arial"/>
          <w:szCs w:val="20"/>
          <w:lang w:val="pt-BR"/>
        </w:rPr>
        <w:t xml:space="preserve"> ligado</w:t>
      </w:r>
      <w:r w:rsidRPr="00D5464D">
        <w:rPr>
          <w:rFonts w:cs="Arial"/>
          <w:szCs w:val="20"/>
          <w:lang w:val="pt-BR"/>
        </w:rPr>
        <w:t xml:space="preserve"> ao </w:t>
      </w:r>
      <w:r w:rsidR="00E045D9" w:rsidRPr="00D5464D">
        <w:rPr>
          <w:rFonts w:cs="Arial"/>
          <w:szCs w:val="20"/>
          <w:lang w:val="pt-BR"/>
        </w:rPr>
        <w:t>trabalho</w:t>
      </w:r>
      <w:r w:rsidR="001B63D0" w:rsidRPr="00D5464D">
        <w:rPr>
          <w:rFonts w:cs="Arial"/>
          <w:szCs w:val="20"/>
          <w:lang w:val="pt-BR"/>
        </w:rPr>
        <w:t xml:space="preserve"> </w:t>
      </w:r>
      <w:r w:rsidR="00230C71" w:rsidRPr="00D5464D">
        <w:rPr>
          <w:rFonts w:cs="Arial"/>
          <w:szCs w:val="20"/>
          <w:lang w:val="pt-BR"/>
        </w:rPr>
        <w:t>forçado</w:t>
      </w:r>
      <w:r w:rsidR="006665EF" w:rsidRPr="00D5464D">
        <w:rPr>
          <w:rFonts w:cs="Arial"/>
          <w:szCs w:val="20"/>
          <w:lang w:val="pt-BR"/>
        </w:rPr>
        <w:t xml:space="preserve"> no Brasil</w:t>
      </w:r>
      <w:r w:rsidR="00E045D9" w:rsidRPr="00D5464D">
        <w:rPr>
          <w:rFonts w:cs="Arial"/>
          <w:szCs w:val="20"/>
          <w:lang w:val="pt-BR"/>
        </w:rPr>
        <w:t xml:space="preserve"> e </w:t>
      </w:r>
      <w:r w:rsidR="003E22C8" w:rsidRPr="00D5464D">
        <w:rPr>
          <w:rFonts w:cs="Arial"/>
          <w:szCs w:val="20"/>
          <w:lang w:val="pt-BR"/>
        </w:rPr>
        <w:t>à</w:t>
      </w:r>
      <w:r w:rsidR="002C330E" w:rsidRPr="00D5464D">
        <w:rPr>
          <w:rFonts w:cs="Arial"/>
          <w:szCs w:val="20"/>
          <w:lang w:val="pt-BR"/>
        </w:rPr>
        <w:t xml:space="preserve"> </w:t>
      </w:r>
      <w:r w:rsidR="0003391C" w:rsidRPr="00D5464D">
        <w:rPr>
          <w:rFonts w:cs="Arial"/>
          <w:szCs w:val="20"/>
          <w:lang w:val="pt-BR"/>
        </w:rPr>
        <w:t>coloniza</w:t>
      </w:r>
      <w:r w:rsidRPr="00D5464D">
        <w:rPr>
          <w:rFonts w:cs="Arial"/>
          <w:szCs w:val="20"/>
          <w:lang w:val="pt-BR"/>
        </w:rPr>
        <w:t>ção</w:t>
      </w:r>
      <w:r w:rsidR="0003391C" w:rsidRPr="00D5464D">
        <w:rPr>
          <w:rFonts w:cs="Arial"/>
          <w:szCs w:val="20"/>
          <w:lang w:val="pt-BR"/>
        </w:rPr>
        <w:t xml:space="preserve"> portuguesa. </w:t>
      </w:r>
      <w:r w:rsidR="003E22C8" w:rsidRPr="00D5464D">
        <w:rPr>
          <w:rFonts w:cs="Arial"/>
          <w:szCs w:val="20"/>
          <w:lang w:val="pt-BR"/>
        </w:rPr>
        <w:t xml:space="preserve">Na </w:t>
      </w:r>
      <w:r w:rsidR="002C330E" w:rsidRPr="00D5464D">
        <w:rPr>
          <w:rFonts w:cs="Arial"/>
          <w:szCs w:val="20"/>
          <w:lang w:val="pt-BR"/>
        </w:rPr>
        <w:t xml:space="preserve">metade </w:t>
      </w:r>
      <w:r w:rsidRPr="00D5464D">
        <w:rPr>
          <w:rFonts w:cs="Arial"/>
          <w:szCs w:val="20"/>
          <w:lang w:val="pt-BR"/>
        </w:rPr>
        <w:t xml:space="preserve">do </w:t>
      </w:r>
      <w:r w:rsidR="002C330E" w:rsidRPr="00D5464D">
        <w:rPr>
          <w:rFonts w:cs="Arial"/>
          <w:szCs w:val="20"/>
          <w:lang w:val="pt-BR"/>
        </w:rPr>
        <w:t xml:space="preserve">século </w:t>
      </w:r>
      <w:r w:rsidR="0003391C" w:rsidRPr="00D5464D">
        <w:rPr>
          <w:rFonts w:cs="Arial"/>
          <w:szCs w:val="20"/>
          <w:lang w:val="pt-BR"/>
        </w:rPr>
        <w:t>XVIII</w:t>
      </w:r>
      <w:r w:rsidR="003E22C8" w:rsidRPr="00D5464D">
        <w:rPr>
          <w:rFonts w:cs="Arial"/>
          <w:szCs w:val="20"/>
          <w:lang w:val="pt-BR"/>
        </w:rPr>
        <w:t>,</w:t>
      </w:r>
      <w:r w:rsidR="0003391C" w:rsidRPr="00D5464D">
        <w:rPr>
          <w:rFonts w:cs="Arial"/>
          <w:szCs w:val="20"/>
          <w:lang w:val="pt-BR"/>
        </w:rPr>
        <w:t xml:space="preserve"> </w:t>
      </w:r>
      <w:r w:rsidR="00737270" w:rsidRPr="00D5464D">
        <w:rPr>
          <w:rFonts w:cs="Arial"/>
          <w:szCs w:val="20"/>
          <w:lang w:val="pt-BR"/>
        </w:rPr>
        <w:t>ao redor</w:t>
      </w:r>
      <w:r w:rsidR="0003391C" w:rsidRPr="00D5464D">
        <w:rPr>
          <w:rFonts w:cs="Arial"/>
          <w:szCs w:val="20"/>
          <w:lang w:val="pt-BR"/>
        </w:rPr>
        <w:t xml:space="preserve"> </w:t>
      </w:r>
      <w:r w:rsidRPr="00D5464D">
        <w:rPr>
          <w:rFonts w:cs="Arial"/>
          <w:szCs w:val="20"/>
          <w:lang w:val="pt-BR"/>
        </w:rPr>
        <w:t>d</w:t>
      </w:r>
      <w:r w:rsidR="003E22C8" w:rsidRPr="00D5464D">
        <w:rPr>
          <w:rFonts w:cs="Arial"/>
          <w:szCs w:val="20"/>
          <w:lang w:val="pt-BR"/>
        </w:rPr>
        <w:t>e</w:t>
      </w:r>
      <w:r w:rsidRPr="00D5464D">
        <w:rPr>
          <w:rFonts w:cs="Arial"/>
          <w:szCs w:val="20"/>
          <w:lang w:val="pt-BR"/>
        </w:rPr>
        <w:t xml:space="preserve"> </w:t>
      </w:r>
      <w:r w:rsidR="0003391C" w:rsidRPr="00D5464D">
        <w:rPr>
          <w:rFonts w:cs="Arial"/>
          <w:szCs w:val="20"/>
          <w:lang w:val="pt-BR"/>
        </w:rPr>
        <w:t>40%</w:t>
      </w:r>
      <w:r w:rsidRPr="00D5464D">
        <w:rPr>
          <w:rFonts w:cs="Arial"/>
          <w:szCs w:val="20"/>
          <w:lang w:val="pt-BR"/>
        </w:rPr>
        <w:t xml:space="preserve"> da </w:t>
      </w:r>
      <w:r w:rsidR="002C330E" w:rsidRPr="00D5464D">
        <w:rPr>
          <w:rFonts w:cs="Arial"/>
          <w:szCs w:val="20"/>
          <w:lang w:val="pt-BR"/>
        </w:rPr>
        <w:t>população</w:t>
      </w:r>
      <w:r w:rsidR="0003391C" w:rsidRPr="00D5464D">
        <w:rPr>
          <w:rFonts w:cs="Arial"/>
          <w:szCs w:val="20"/>
          <w:lang w:val="pt-BR"/>
        </w:rPr>
        <w:t xml:space="preserve"> </w:t>
      </w:r>
      <w:r w:rsidR="003E22C8" w:rsidRPr="00D5464D">
        <w:rPr>
          <w:rFonts w:cs="Arial"/>
          <w:szCs w:val="20"/>
          <w:lang w:val="pt-BR"/>
        </w:rPr>
        <w:t>escravi</w:t>
      </w:r>
      <w:r w:rsidR="0003391C" w:rsidRPr="00D5464D">
        <w:rPr>
          <w:rFonts w:cs="Arial"/>
          <w:szCs w:val="20"/>
          <w:lang w:val="pt-BR"/>
        </w:rPr>
        <w:t>zada</w:t>
      </w:r>
      <w:r w:rsidR="006665EF" w:rsidRPr="00D5464D">
        <w:rPr>
          <w:rFonts w:cs="Arial"/>
          <w:szCs w:val="20"/>
          <w:lang w:val="pt-BR"/>
        </w:rPr>
        <w:t xml:space="preserve"> no Brasil</w:t>
      </w:r>
      <w:r w:rsidR="0003391C" w:rsidRPr="00D5464D">
        <w:rPr>
          <w:rFonts w:cs="Arial"/>
          <w:szCs w:val="20"/>
          <w:lang w:val="pt-BR"/>
        </w:rPr>
        <w:t xml:space="preserve"> </w:t>
      </w:r>
      <w:r w:rsidRPr="00D5464D">
        <w:rPr>
          <w:rFonts w:cs="Arial"/>
          <w:szCs w:val="20"/>
          <w:lang w:val="pt-BR"/>
        </w:rPr>
        <w:t>estava</w:t>
      </w:r>
      <w:r w:rsidR="0003391C" w:rsidRPr="00D5464D">
        <w:rPr>
          <w:rFonts w:cs="Arial"/>
          <w:szCs w:val="20"/>
          <w:lang w:val="pt-BR"/>
        </w:rPr>
        <w:t xml:space="preserve"> </w:t>
      </w:r>
      <w:r w:rsidR="00737270" w:rsidRPr="00D5464D">
        <w:rPr>
          <w:rFonts w:cs="Arial"/>
          <w:szCs w:val="20"/>
          <w:lang w:val="pt-BR"/>
        </w:rPr>
        <w:t>envolvida</w:t>
      </w:r>
      <w:r w:rsidR="00E045D9" w:rsidRPr="00D5464D">
        <w:rPr>
          <w:rFonts w:cs="Arial"/>
          <w:szCs w:val="20"/>
          <w:lang w:val="pt-BR"/>
        </w:rPr>
        <w:t xml:space="preserve"> no </w:t>
      </w:r>
      <w:r w:rsidR="0003391C" w:rsidRPr="00D5464D">
        <w:rPr>
          <w:rFonts w:cs="Arial"/>
          <w:szCs w:val="20"/>
          <w:lang w:val="pt-BR"/>
        </w:rPr>
        <w:t>cultivo de ca</w:t>
      </w:r>
      <w:r w:rsidR="00350187" w:rsidRPr="00D5464D">
        <w:rPr>
          <w:rFonts w:cs="Arial"/>
          <w:szCs w:val="20"/>
          <w:lang w:val="pt-BR"/>
        </w:rPr>
        <w:t>n</w:t>
      </w:r>
      <w:r w:rsidR="0003391C" w:rsidRPr="00D5464D">
        <w:rPr>
          <w:rFonts w:cs="Arial"/>
          <w:szCs w:val="20"/>
          <w:lang w:val="pt-BR"/>
        </w:rPr>
        <w:t xml:space="preserve">a de </w:t>
      </w:r>
      <w:r w:rsidR="00E045D9" w:rsidRPr="00D5464D">
        <w:rPr>
          <w:rFonts w:cs="Arial"/>
          <w:szCs w:val="20"/>
          <w:lang w:val="pt-BR"/>
        </w:rPr>
        <w:t>açúcar</w:t>
      </w:r>
      <w:r w:rsidR="00C91CB1" w:rsidRPr="00D5464D">
        <w:rPr>
          <w:rFonts w:cs="Arial"/>
          <w:szCs w:val="20"/>
          <w:lang w:val="pt-BR"/>
        </w:rPr>
        <w:t>. Em 1</w:t>
      </w:r>
      <w:r w:rsidR="0003391C" w:rsidRPr="00D5464D">
        <w:rPr>
          <w:rFonts w:cs="Arial"/>
          <w:szCs w:val="20"/>
          <w:lang w:val="pt-BR"/>
        </w:rPr>
        <w:t>850</w:t>
      </w:r>
      <w:r w:rsidR="0069534A" w:rsidRPr="00D5464D">
        <w:rPr>
          <w:rFonts w:cs="Arial"/>
          <w:szCs w:val="20"/>
          <w:lang w:val="pt-BR"/>
        </w:rPr>
        <w:t>,</w:t>
      </w:r>
      <w:r w:rsidRPr="00D5464D">
        <w:rPr>
          <w:rFonts w:cs="Arial"/>
          <w:szCs w:val="20"/>
          <w:lang w:val="pt-BR"/>
        </w:rPr>
        <w:t xml:space="preserve"> foi </w:t>
      </w:r>
      <w:r w:rsidR="0003391C" w:rsidRPr="00D5464D">
        <w:rPr>
          <w:rFonts w:cs="Arial"/>
          <w:szCs w:val="20"/>
          <w:lang w:val="pt-BR"/>
        </w:rPr>
        <w:t>abolido</w:t>
      </w:r>
      <w:r w:rsidRPr="00D5464D">
        <w:rPr>
          <w:rFonts w:cs="Arial"/>
          <w:szCs w:val="20"/>
          <w:lang w:val="pt-BR"/>
        </w:rPr>
        <w:t xml:space="preserve"> o </w:t>
      </w:r>
      <w:r w:rsidR="003E22C8" w:rsidRPr="00D5464D">
        <w:rPr>
          <w:rFonts w:cs="Arial"/>
          <w:szCs w:val="20"/>
          <w:lang w:val="pt-BR"/>
        </w:rPr>
        <w:t>comé</w:t>
      </w:r>
      <w:r w:rsidR="0003391C" w:rsidRPr="00D5464D">
        <w:rPr>
          <w:rFonts w:cs="Arial"/>
          <w:szCs w:val="20"/>
          <w:lang w:val="pt-BR"/>
        </w:rPr>
        <w:t xml:space="preserve">rcio </w:t>
      </w:r>
      <w:r w:rsidR="003E22C8" w:rsidRPr="00D5464D">
        <w:rPr>
          <w:rFonts w:cs="Arial"/>
          <w:szCs w:val="20"/>
          <w:lang w:val="pt-BR"/>
        </w:rPr>
        <w:t>transnacional</w:t>
      </w:r>
      <w:r w:rsidR="0003391C" w:rsidRPr="00D5464D">
        <w:rPr>
          <w:rFonts w:cs="Arial"/>
          <w:szCs w:val="20"/>
          <w:lang w:val="pt-BR"/>
        </w:rPr>
        <w:t xml:space="preserve"> de </w:t>
      </w:r>
      <w:r w:rsidR="004F1CC2" w:rsidRPr="00D5464D">
        <w:rPr>
          <w:rFonts w:cs="Arial"/>
          <w:szCs w:val="20"/>
          <w:lang w:val="pt-BR"/>
        </w:rPr>
        <w:t>escravo</w:t>
      </w:r>
      <w:r w:rsidR="0003391C" w:rsidRPr="00D5464D">
        <w:rPr>
          <w:rFonts w:cs="Arial"/>
          <w:szCs w:val="20"/>
          <w:lang w:val="pt-BR"/>
        </w:rPr>
        <w:t>s,</w:t>
      </w:r>
      <w:r w:rsidR="002C330E" w:rsidRPr="00D5464D">
        <w:rPr>
          <w:rFonts w:cs="Arial"/>
          <w:szCs w:val="20"/>
          <w:lang w:val="pt-BR"/>
        </w:rPr>
        <w:t xml:space="preserve"> o que </w:t>
      </w:r>
      <w:r w:rsidR="0003391C" w:rsidRPr="00D5464D">
        <w:rPr>
          <w:rFonts w:cs="Arial"/>
          <w:szCs w:val="20"/>
          <w:lang w:val="pt-BR"/>
        </w:rPr>
        <w:t>fortalec</w:t>
      </w:r>
      <w:r w:rsidR="003E22C8" w:rsidRPr="00D5464D">
        <w:rPr>
          <w:rFonts w:cs="Arial"/>
          <w:szCs w:val="20"/>
          <w:lang w:val="pt-BR"/>
        </w:rPr>
        <w:t xml:space="preserve">eu </w:t>
      </w:r>
      <w:r w:rsidRPr="00D5464D">
        <w:rPr>
          <w:rFonts w:cs="Arial"/>
          <w:szCs w:val="20"/>
          <w:lang w:val="pt-BR"/>
        </w:rPr>
        <w:t xml:space="preserve">o </w:t>
      </w:r>
      <w:r w:rsidR="002C330E" w:rsidRPr="00D5464D">
        <w:rPr>
          <w:rFonts w:cs="Arial"/>
          <w:szCs w:val="20"/>
          <w:lang w:val="pt-BR"/>
        </w:rPr>
        <w:t>movimento</w:t>
      </w:r>
      <w:r w:rsidR="0003391C" w:rsidRPr="00D5464D">
        <w:rPr>
          <w:rFonts w:cs="Arial"/>
          <w:szCs w:val="20"/>
          <w:lang w:val="pt-BR"/>
        </w:rPr>
        <w:t xml:space="preserve"> que </w:t>
      </w:r>
      <w:r w:rsidRPr="00D5464D">
        <w:rPr>
          <w:rFonts w:cs="Arial"/>
          <w:szCs w:val="20"/>
          <w:lang w:val="pt-BR"/>
        </w:rPr>
        <w:t>buscava</w:t>
      </w:r>
      <w:r w:rsidR="002C330E" w:rsidRPr="00D5464D">
        <w:rPr>
          <w:rFonts w:cs="Arial"/>
          <w:szCs w:val="20"/>
          <w:lang w:val="pt-BR"/>
        </w:rPr>
        <w:t xml:space="preserve"> a </w:t>
      </w:r>
      <w:r w:rsidR="0003391C" w:rsidRPr="00D5464D">
        <w:rPr>
          <w:rFonts w:cs="Arial"/>
          <w:szCs w:val="20"/>
          <w:lang w:val="pt-BR"/>
        </w:rPr>
        <w:t>aboli</w:t>
      </w:r>
      <w:r w:rsidRPr="00D5464D">
        <w:rPr>
          <w:rFonts w:cs="Arial"/>
          <w:szCs w:val="20"/>
          <w:lang w:val="pt-BR"/>
        </w:rPr>
        <w:t xml:space="preserve">ção da </w:t>
      </w:r>
      <w:r w:rsidR="000B376D" w:rsidRPr="00D5464D">
        <w:rPr>
          <w:rFonts w:cs="Arial"/>
          <w:szCs w:val="20"/>
          <w:lang w:val="pt-BR"/>
        </w:rPr>
        <w:t>escravidão</w:t>
      </w:r>
      <w:r w:rsidR="0003391C" w:rsidRPr="00D5464D">
        <w:rPr>
          <w:rFonts w:cs="Arial"/>
          <w:szCs w:val="20"/>
          <w:lang w:val="pt-BR"/>
        </w:rPr>
        <w:t>; posteriormente,</w:t>
      </w:r>
      <w:r w:rsidRPr="00D5464D">
        <w:rPr>
          <w:rFonts w:cs="Arial"/>
          <w:szCs w:val="20"/>
          <w:lang w:val="pt-BR"/>
        </w:rPr>
        <w:t xml:space="preserve"> em </w:t>
      </w:r>
      <w:r w:rsidR="0003391C" w:rsidRPr="00D5464D">
        <w:rPr>
          <w:rFonts w:cs="Arial"/>
          <w:szCs w:val="20"/>
          <w:lang w:val="pt-BR"/>
        </w:rPr>
        <w:t>1888</w:t>
      </w:r>
      <w:r w:rsidR="003E22C8" w:rsidRPr="00D5464D">
        <w:rPr>
          <w:rFonts w:cs="Arial"/>
          <w:szCs w:val="20"/>
          <w:lang w:val="pt-BR"/>
        </w:rPr>
        <w:t>,</w:t>
      </w:r>
      <w:r w:rsidR="002C330E" w:rsidRPr="00D5464D">
        <w:rPr>
          <w:rFonts w:cs="Arial"/>
          <w:szCs w:val="20"/>
          <w:lang w:val="pt-BR"/>
        </w:rPr>
        <w:t xml:space="preserve"> a </w:t>
      </w:r>
      <w:r w:rsidR="000B376D" w:rsidRPr="00D5464D">
        <w:rPr>
          <w:rFonts w:cs="Arial"/>
          <w:szCs w:val="20"/>
          <w:lang w:val="pt-BR"/>
        </w:rPr>
        <w:t>escravidão</w:t>
      </w:r>
      <w:r w:rsidRPr="00D5464D">
        <w:rPr>
          <w:rFonts w:cs="Arial"/>
          <w:szCs w:val="20"/>
          <w:lang w:val="pt-BR"/>
        </w:rPr>
        <w:t xml:space="preserve"> foi </w:t>
      </w:r>
      <w:r w:rsidR="0003391C" w:rsidRPr="00D5464D">
        <w:rPr>
          <w:rFonts w:cs="Arial"/>
          <w:szCs w:val="20"/>
          <w:lang w:val="pt-BR"/>
        </w:rPr>
        <w:t>legalmente abolida</w:t>
      </w:r>
      <w:r w:rsidR="006665EF" w:rsidRPr="00D5464D">
        <w:rPr>
          <w:rFonts w:cs="Arial"/>
          <w:szCs w:val="20"/>
          <w:lang w:val="pt-BR"/>
        </w:rPr>
        <w:t xml:space="preserve"> no Brasil</w:t>
      </w:r>
      <w:r w:rsidR="0003391C" w:rsidRPr="00D5464D">
        <w:rPr>
          <w:rFonts w:cs="Arial"/>
          <w:szCs w:val="20"/>
          <w:lang w:val="pt-BR"/>
        </w:rPr>
        <w:t xml:space="preserve">. </w:t>
      </w:r>
    </w:p>
    <w:p w14:paraId="76569A6E" w14:textId="77777777" w:rsidR="0003391C" w:rsidRPr="00D5464D" w:rsidRDefault="0003391C" w:rsidP="00140440">
      <w:pPr>
        <w:pStyle w:val="Prrafodelista"/>
        <w:autoSpaceDE w:val="0"/>
        <w:autoSpaceDN w:val="0"/>
        <w:adjustRightInd w:val="0"/>
        <w:ind w:left="0"/>
        <w:contextualSpacing w:val="0"/>
        <w:rPr>
          <w:rFonts w:cs="Arial"/>
          <w:szCs w:val="20"/>
          <w:lang w:val="pt-BR"/>
        </w:rPr>
      </w:pPr>
    </w:p>
    <w:p w14:paraId="736F7488" w14:textId="51D38C7B" w:rsidR="0003391C" w:rsidRPr="00D5464D" w:rsidRDefault="0003391C" w:rsidP="00140440">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Apesar</w:t>
      </w:r>
      <w:r w:rsidR="00470ADC" w:rsidRPr="00D5464D">
        <w:rPr>
          <w:rFonts w:cs="Arial"/>
          <w:szCs w:val="20"/>
          <w:lang w:val="pt-BR"/>
        </w:rPr>
        <w:t xml:space="preserve"> da </w:t>
      </w:r>
      <w:r w:rsidRPr="00D5464D">
        <w:rPr>
          <w:rFonts w:cs="Arial"/>
          <w:szCs w:val="20"/>
          <w:lang w:val="pt-BR"/>
        </w:rPr>
        <w:t>aboli</w:t>
      </w:r>
      <w:r w:rsidR="00470ADC" w:rsidRPr="00D5464D">
        <w:rPr>
          <w:rFonts w:cs="Arial"/>
          <w:szCs w:val="20"/>
          <w:lang w:val="pt-BR"/>
        </w:rPr>
        <w:t>ção</w:t>
      </w:r>
      <w:r w:rsidRPr="00D5464D">
        <w:rPr>
          <w:rFonts w:cs="Arial"/>
          <w:szCs w:val="20"/>
          <w:lang w:val="pt-BR"/>
        </w:rPr>
        <w:t xml:space="preserve"> legal,</w:t>
      </w:r>
      <w:r w:rsidR="002C330E" w:rsidRPr="00D5464D">
        <w:rPr>
          <w:rFonts w:cs="Arial"/>
          <w:szCs w:val="20"/>
          <w:lang w:val="pt-BR"/>
        </w:rPr>
        <w:t xml:space="preserve"> a </w:t>
      </w:r>
      <w:r w:rsidRPr="00D5464D">
        <w:rPr>
          <w:rFonts w:cs="Arial"/>
          <w:szCs w:val="20"/>
          <w:lang w:val="pt-BR"/>
        </w:rPr>
        <w:t>pobreza</w:t>
      </w:r>
      <w:r w:rsidR="00E045D9" w:rsidRPr="00D5464D">
        <w:rPr>
          <w:rFonts w:cs="Arial"/>
          <w:szCs w:val="20"/>
          <w:lang w:val="pt-BR"/>
        </w:rPr>
        <w:t xml:space="preserve"> e </w:t>
      </w:r>
      <w:r w:rsidR="002C330E" w:rsidRPr="00D5464D">
        <w:rPr>
          <w:rFonts w:cs="Arial"/>
          <w:szCs w:val="20"/>
          <w:lang w:val="pt-BR"/>
        </w:rPr>
        <w:t xml:space="preserve">a </w:t>
      </w:r>
      <w:r w:rsidRPr="00D5464D">
        <w:rPr>
          <w:rFonts w:cs="Arial"/>
          <w:szCs w:val="20"/>
          <w:lang w:val="pt-BR"/>
        </w:rPr>
        <w:t>concentra</w:t>
      </w:r>
      <w:r w:rsidR="00470ADC" w:rsidRPr="00D5464D">
        <w:rPr>
          <w:rFonts w:cs="Arial"/>
          <w:szCs w:val="20"/>
          <w:lang w:val="pt-BR"/>
        </w:rPr>
        <w:t xml:space="preserve">ção da </w:t>
      </w:r>
      <w:r w:rsidR="002C330E" w:rsidRPr="00D5464D">
        <w:rPr>
          <w:rFonts w:cs="Arial"/>
          <w:szCs w:val="20"/>
          <w:lang w:val="pt-BR"/>
        </w:rPr>
        <w:t>propriedade</w:t>
      </w:r>
      <w:r w:rsidR="00470ADC" w:rsidRPr="00D5464D">
        <w:rPr>
          <w:rFonts w:cs="Arial"/>
          <w:szCs w:val="20"/>
          <w:lang w:val="pt-BR"/>
        </w:rPr>
        <w:t xml:space="preserve"> das </w:t>
      </w:r>
      <w:r w:rsidR="00E045D9" w:rsidRPr="00D5464D">
        <w:rPr>
          <w:rFonts w:cs="Arial"/>
          <w:szCs w:val="20"/>
          <w:lang w:val="pt-BR"/>
        </w:rPr>
        <w:t>terra</w:t>
      </w:r>
      <w:r w:rsidRPr="00D5464D">
        <w:rPr>
          <w:rFonts w:cs="Arial"/>
          <w:szCs w:val="20"/>
          <w:lang w:val="pt-BR"/>
        </w:rPr>
        <w:t xml:space="preserve">s </w:t>
      </w:r>
      <w:r w:rsidR="00470ADC" w:rsidRPr="00D5464D">
        <w:rPr>
          <w:rFonts w:cs="Arial"/>
          <w:szCs w:val="20"/>
          <w:lang w:val="pt-BR"/>
        </w:rPr>
        <w:t>foram</w:t>
      </w:r>
      <w:r w:rsidRPr="00D5464D">
        <w:rPr>
          <w:rFonts w:cs="Arial"/>
          <w:szCs w:val="20"/>
          <w:lang w:val="pt-BR"/>
        </w:rPr>
        <w:t xml:space="preserve"> causas </w:t>
      </w:r>
      <w:r w:rsidR="00737270" w:rsidRPr="00D5464D">
        <w:rPr>
          <w:rFonts w:cs="Arial"/>
          <w:szCs w:val="20"/>
          <w:lang w:val="pt-BR"/>
        </w:rPr>
        <w:t>estruturais</w:t>
      </w:r>
      <w:r w:rsidRPr="00D5464D">
        <w:rPr>
          <w:rFonts w:cs="Arial"/>
          <w:szCs w:val="20"/>
          <w:lang w:val="pt-BR"/>
        </w:rPr>
        <w:t xml:space="preserve"> que </w:t>
      </w:r>
      <w:r w:rsidR="00A1358C" w:rsidRPr="00D5464D">
        <w:rPr>
          <w:rFonts w:cs="Arial"/>
          <w:szCs w:val="20"/>
          <w:lang w:val="pt-BR"/>
        </w:rPr>
        <w:t>provocaram</w:t>
      </w:r>
      <w:r w:rsidR="002C330E" w:rsidRPr="00D5464D">
        <w:rPr>
          <w:rFonts w:cs="Arial"/>
          <w:szCs w:val="20"/>
          <w:lang w:val="pt-BR"/>
        </w:rPr>
        <w:t xml:space="preserve"> </w:t>
      </w:r>
      <w:r w:rsidR="00E765C2" w:rsidRPr="00D5464D">
        <w:rPr>
          <w:rFonts w:cs="Arial"/>
          <w:szCs w:val="20"/>
          <w:lang w:val="pt-BR"/>
        </w:rPr>
        <w:t xml:space="preserve">a </w:t>
      </w:r>
      <w:r w:rsidR="0069534A" w:rsidRPr="00D5464D">
        <w:rPr>
          <w:rFonts w:cs="Arial"/>
          <w:szCs w:val="20"/>
          <w:lang w:val="pt-BR"/>
        </w:rPr>
        <w:t xml:space="preserve">continuidade </w:t>
      </w:r>
      <w:r w:rsidR="00470ADC" w:rsidRPr="00D5464D">
        <w:rPr>
          <w:rFonts w:cs="Arial"/>
          <w:szCs w:val="20"/>
          <w:lang w:val="pt-BR"/>
        </w:rPr>
        <w:t xml:space="preserve">do </w:t>
      </w:r>
      <w:r w:rsidR="00E045D9" w:rsidRPr="00D5464D">
        <w:rPr>
          <w:rFonts w:cs="Arial"/>
          <w:szCs w:val="20"/>
          <w:lang w:val="pt-BR"/>
        </w:rPr>
        <w:t>trabalho</w:t>
      </w:r>
      <w:r w:rsidRPr="00D5464D">
        <w:rPr>
          <w:rFonts w:cs="Arial"/>
          <w:szCs w:val="20"/>
          <w:lang w:val="pt-BR"/>
        </w:rPr>
        <w:t xml:space="preserve"> </w:t>
      </w:r>
      <w:r w:rsidR="004F1CC2" w:rsidRPr="00D5464D">
        <w:rPr>
          <w:rFonts w:cs="Arial"/>
          <w:szCs w:val="20"/>
          <w:lang w:val="pt-BR"/>
        </w:rPr>
        <w:t>escravo</w:t>
      </w:r>
      <w:r w:rsidR="006665EF" w:rsidRPr="00D5464D">
        <w:rPr>
          <w:rFonts w:cs="Arial"/>
          <w:szCs w:val="20"/>
          <w:lang w:val="pt-BR"/>
        </w:rPr>
        <w:t xml:space="preserve"> no Brasil</w:t>
      </w:r>
      <w:r w:rsidR="003E22C8" w:rsidRPr="00D5464D">
        <w:rPr>
          <w:rFonts w:cs="Arial"/>
          <w:szCs w:val="20"/>
          <w:lang w:val="pt-BR"/>
        </w:rPr>
        <w:t>.</w:t>
      </w:r>
      <w:r w:rsidRPr="00D5464D">
        <w:rPr>
          <w:rStyle w:val="Refdenotaalpie"/>
          <w:rFonts w:cs="Arial"/>
          <w:lang w:val="pt-BR"/>
        </w:rPr>
        <w:footnoteReference w:id="63"/>
      </w:r>
      <w:r w:rsidR="00C91CB1" w:rsidRPr="00D5464D">
        <w:rPr>
          <w:rFonts w:cs="Arial"/>
          <w:szCs w:val="20"/>
          <w:lang w:val="pt-BR"/>
        </w:rPr>
        <w:t xml:space="preserve"> Ao </w:t>
      </w:r>
      <w:r w:rsidRPr="00D5464D">
        <w:rPr>
          <w:rFonts w:cs="Arial"/>
          <w:szCs w:val="20"/>
          <w:lang w:val="pt-BR"/>
        </w:rPr>
        <w:t>n</w:t>
      </w:r>
      <w:r w:rsidR="003E22C8" w:rsidRPr="00D5464D">
        <w:rPr>
          <w:rFonts w:cs="Arial"/>
          <w:szCs w:val="20"/>
          <w:lang w:val="pt-BR"/>
        </w:rPr>
        <w:t>ã</w:t>
      </w:r>
      <w:r w:rsidRPr="00D5464D">
        <w:rPr>
          <w:rFonts w:cs="Arial"/>
          <w:szCs w:val="20"/>
          <w:lang w:val="pt-BR"/>
        </w:rPr>
        <w:t>o</w:t>
      </w:r>
      <w:r w:rsidR="00E045D9" w:rsidRPr="00D5464D">
        <w:rPr>
          <w:rFonts w:cs="Arial"/>
          <w:szCs w:val="20"/>
          <w:lang w:val="pt-BR"/>
        </w:rPr>
        <w:t xml:space="preserve"> ter</w:t>
      </w:r>
      <w:r w:rsidR="003E22C8" w:rsidRPr="00D5464D">
        <w:rPr>
          <w:rFonts w:cs="Arial"/>
          <w:szCs w:val="20"/>
          <w:lang w:val="pt-BR"/>
        </w:rPr>
        <w:t>em</w:t>
      </w:r>
      <w:r w:rsidR="00E045D9" w:rsidRPr="00D5464D">
        <w:rPr>
          <w:rFonts w:cs="Arial"/>
          <w:szCs w:val="20"/>
          <w:lang w:val="pt-BR"/>
        </w:rPr>
        <w:t xml:space="preserve"> terra</w:t>
      </w:r>
      <w:r w:rsidRPr="00D5464D">
        <w:rPr>
          <w:rFonts w:cs="Arial"/>
          <w:szCs w:val="20"/>
          <w:lang w:val="pt-BR"/>
        </w:rPr>
        <w:t>s</w:t>
      </w:r>
      <w:r w:rsidR="00230C71" w:rsidRPr="00D5464D">
        <w:rPr>
          <w:rFonts w:cs="Arial"/>
          <w:szCs w:val="20"/>
          <w:lang w:val="pt-BR"/>
        </w:rPr>
        <w:t xml:space="preserve"> própria</w:t>
      </w:r>
      <w:r w:rsidRPr="00D5464D">
        <w:rPr>
          <w:rFonts w:cs="Arial"/>
          <w:szCs w:val="20"/>
          <w:lang w:val="pt-BR"/>
        </w:rPr>
        <w:t>s</w:t>
      </w:r>
      <w:r w:rsidR="002C330E" w:rsidRPr="00D5464D">
        <w:rPr>
          <w:rFonts w:cs="Arial"/>
          <w:szCs w:val="20"/>
          <w:lang w:val="pt-BR"/>
        </w:rPr>
        <w:t xml:space="preserve"> nem </w:t>
      </w:r>
      <w:r w:rsidR="00B73A8A" w:rsidRPr="00D5464D">
        <w:rPr>
          <w:rFonts w:cs="Arial"/>
          <w:szCs w:val="20"/>
          <w:lang w:val="pt-BR"/>
        </w:rPr>
        <w:t>situa</w:t>
      </w:r>
      <w:r w:rsidR="00470ADC" w:rsidRPr="00D5464D">
        <w:rPr>
          <w:rFonts w:cs="Arial"/>
          <w:szCs w:val="20"/>
          <w:lang w:val="pt-BR"/>
        </w:rPr>
        <w:t>ções</w:t>
      </w:r>
      <w:r w:rsidR="00B73A8A" w:rsidRPr="00D5464D">
        <w:rPr>
          <w:rFonts w:cs="Arial"/>
          <w:szCs w:val="20"/>
          <w:lang w:val="pt-BR"/>
        </w:rPr>
        <w:t xml:space="preserve"> </w:t>
      </w:r>
      <w:r w:rsidR="003E22C8" w:rsidRPr="00D5464D">
        <w:rPr>
          <w:rFonts w:cs="Arial"/>
          <w:szCs w:val="20"/>
          <w:lang w:val="pt-BR"/>
        </w:rPr>
        <w:t xml:space="preserve">de trabalho </w:t>
      </w:r>
      <w:r w:rsidRPr="00D5464D">
        <w:rPr>
          <w:rFonts w:cs="Arial"/>
          <w:szCs w:val="20"/>
          <w:lang w:val="pt-BR"/>
        </w:rPr>
        <w:t>est</w:t>
      </w:r>
      <w:r w:rsidR="00E045D9" w:rsidRPr="00D5464D">
        <w:rPr>
          <w:rFonts w:cs="Arial"/>
          <w:szCs w:val="20"/>
          <w:lang w:val="pt-BR"/>
        </w:rPr>
        <w:t>áveis</w:t>
      </w:r>
      <w:r w:rsidR="003E22C8" w:rsidRPr="00D5464D">
        <w:rPr>
          <w:rFonts w:cs="Arial"/>
          <w:szCs w:val="20"/>
          <w:lang w:val="pt-BR"/>
        </w:rPr>
        <w:t>,</w:t>
      </w:r>
      <w:r w:rsidR="00E045D9" w:rsidRPr="00D5464D">
        <w:rPr>
          <w:rFonts w:cs="Arial"/>
          <w:szCs w:val="20"/>
          <w:lang w:val="pt-BR"/>
        </w:rPr>
        <w:t xml:space="preserve"> </w:t>
      </w:r>
      <w:r w:rsidR="002C330E" w:rsidRPr="00D5464D">
        <w:rPr>
          <w:rFonts w:cs="Arial"/>
          <w:szCs w:val="20"/>
          <w:lang w:val="pt-BR"/>
        </w:rPr>
        <w:t>muito</w:t>
      </w:r>
      <w:r w:rsidRPr="00D5464D">
        <w:rPr>
          <w:rFonts w:cs="Arial"/>
          <w:szCs w:val="20"/>
          <w:lang w:val="pt-BR"/>
        </w:rPr>
        <w:t xml:space="preserve">s </w:t>
      </w:r>
      <w:r w:rsidR="00E045D9" w:rsidRPr="00D5464D">
        <w:rPr>
          <w:rFonts w:cs="Arial"/>
          <w:szCs w:val="20"/>
          <w:lang w:val="pt-BR"/>
        </w:rPr>
        <w:t>trabalhadores</w:t>
      </w:r>
      <w:r w:rsidR="006665EF" w:rsidRPr="00D5464D">
        <w:rPr>
          <w:rFonts w:cs="Arial"/>
          <w:szCs w:val="20"/>
          <w:lang w:val="pt-BR"/>
        </w:rPr>
        <w:t xml:space="preserve"> no Brasil</w:t>
      </w:r>
      <w:r w:rsidRPr="00D5464D">
        <w:rPr>
          <w:rFonts w:cs="Arial"/>
          <w:szCs w:val="20"/>
          <w:lang w:val="pt-BR"/>
        </w:rPr>
        <w:t xml:space="preserve"> se s</w:t>
      </w:r>
      <w:r w:rsidR="003E22C8" w:rsidRPr="00D5464D">
        <w:rPr>
          <w:rFonts w:cs="Arial"/>
          <w:szCs w:val="20"/>
          <w:lang w:val="pt-BR"/>
        </w:rPr>
        <w:t xml:space="preserve">ubmetiam </w:t>
      </w:r>
      <w:r w:rsidRPr="00D5464D">
        <w:rPr>
          <w:rFonts w:cs="Arial"/>
          <w:szCs w:val="20"/>
          <w:lang w:val="pt-BR"/>
        </w:rPr>
        <w:t>a situa</w:t>
      </w:r>
      <w:r w:rsidR="00470ADC" w:rsidRPr="00D5464D">
        <w:rPr>
          <w:rFonts w:cs="Arial"/>
          <w:szCs w:val="20"/>
          <w:lang w:val="pt-BR"/>
        </w:rPr>
        <w:t>ções</w:t>
      </w:r>
      <w:r w:rsidRPr="00D5464D">
        <w:rPr>
          <w:rFonts w:cs="Arial"/>
          <w:szCs w:val="20"/>
          <w:lang w:val="pt-BR"/>
        </w:rPr>
        <w:t xml:space="preserve"> de </w:t>
      </w:r>
      <w:r w:rsidR="00230C71" w:rsidRPr="00D5464D">
        <w:rPr>
          <w:rFonts w:cs="Arial"/>
          <w:szCs w:val="20"/>
          <w:lang w:val="pt-BR"/>
        </w:rPr>
        <w:t>exploração</w:t>
      </w:r>
      <w:r w:rsidR="003E22C8" w:rsidRPr="00D5464D">
        <w:rPr>
          <w:rFonts w:cs="Arial"/>
          <w:szCs w:val="20"/>
          <w:lang w:val="pt-BR"/>
        </w:rPr>
        <w:t>,</w:t>
      </w:r>
      <w:r w:rsidRPr="00D5464D">
        <w:rPr>
          <w:rFonts w:cs="Arial"/>
          <w:szCs w:val="20"/>
          <w:lang w:val="pt-BR"/>
        </w:rPr>
        <w:t xml:space="preserve"> </w:t>
      </w:r>
      <w:r w:rsidR="00470ADC" w:rsidRPr="00D5464D">
        <w:rPr>
          <w:rFonts w:cs="Arial"/>
          <w:szCs w:val="20"/>
          <w:lang w:val="pt-BR"/>
        </w:rPr>
        <w:t>aceit</w:t>
      </w:r>
      <w:r w:rsidRPr="00D5464D">
        <w:rPr>
          <w:rFonts w:cs="Arial"/>
          <w:szCs w:val="20"/>
          <w:lang w:val="pt-BR"/>
        </w:rPr>
        <w:t>ando</w:t>
      </w:r>
      <w:r w:rsidR="00470ADC" w:rsidRPr="00D5464D">
        <w:rPr>
          <w:rFonts w:cs="Arial"/>
          <w:szCs w:val="20"/>
          <w:lang w:val="pt-BR"/>
        </w:rPr>
        <w:t xml:space="preserve"> o </w:t>
      </w:r>
      <w:r w:rsidR="002C330E" w:rsidRPr="00D5464D">
        <w:rPr>
          <w:rFonts w:cs="Arial"/>
          <w:szCs w:val="20"/>
          <w:lang w:val="pt-BR"/>
        </w:rPr>
        <w:t>risco</w:t>
      </w:r>
      <w:r w:rsidRPr="00D5464D">
        <w:rPr>
          <w:rFonts w:cs="Arial"/>
          <w:szCs w:val="20"/>
          <w:lang w:val="pt-BR"/>
        </w:rPr>
        <w:t xml:space="preserve"> de </w:t>
      </w:r>
      <w:r w:rsidR="00176FD5" w:rsidRPr="00D5464D">
        <w:rPr>
          <w:rFonts w:cs="Arial"/>
          <w:szCs w:val="20"/>
          <w:lang w:val="pt-BR"/>
        </w:rPr>
        <w:t xml:space="preserve">submeter-se a </w:t>
      </w:r>
      <w:r w:rsidRPr="00D5464D">
        <w:rPr>
          <w:rFonts w:cs="Arial"/>
          <w:szCs w:val="20"/>
          <w:lang w:val="pt-BR"/>
        </w:rPr>
        <w:t>condi</w:t>
      </w:r>
      <w:r w:rsidR="00470ADC" w:rsidRPr="00D5464D">
        <w:rPr>
          <w:rFonts w:cs="Arial"/>
          <w:szCs w:val="20"/>
          <w:lang w:val="pt-BR"/>
        </w:rPr>
        <w:t>ções</w:t>
      </w:r>
      <w:r w:rsidRPr="00D5464D">
        <w:rPr>
          <w:rFonts w:cs="Arial"/>
          <w:szCs w:val="20"/>
          <w:lang w:val="pt-BR"/>
        </w:rPr>
        <w:t xml:space="preserve"> de </w:t>
      </w:r>
      <w:r w:rsidR="00E045D9" w:rsidRPr="00D5464D">
        <w:rPr>
          <w:rFonts w:cs="Arial"/>
          <w:szCs w:val="20"/>
          <w:lang w:val="pt-BR"/>
        </w:rPr>
        <w:t>trabalho</w:t>
      </w:r>
      <w:r w:rsidRPr="00D5464D">
        <w:rPr>
          <w:rFonts w:cs="Arial"/>
          <w:szCs w:val="20"/>
          <w:lang w:val="pt-BR"/>
        </w:rPr>
        <w:t xml:space="preserve"> </w:t>
      </w:r>
      <w:r w:rsidR="00350187" w:rsidRPr="00D5464D">
        <w:rPr>
          <w:rFonts w:cs="Arial"/>
          <w:szCs w:val="20"/>
          <w:lang w:val="pt-BR"/>
        </w:rPr>
        <w:t>desuman</w:t>
      </w:r>
      <w:r w:rsidRPr="00D5464D">
        <w:rPr>
          <w:rFonts w:cs="Arial"/>
          <w:szCs w:val="20"/>
          <w:lang w:val="pt-BR"/>
        </w:rPr>
        <w:t>as</w:t>
      </w:r>
      <w:r w:rsidR="00E045D9" w:rsidRPr="00D5464D">
        <w:rPr>
          <w:rFonts w:cs="Arial"/>
          <w:szCs w:val="20"/>
          <w:lang w:val="pt-BR"/>
        </w:rPr>
        <w:t xml:space="preserve"> e </w:t>
      </w:r>
      <w:r w:rsidRPr="00D5464D">
        <w:rPr>
          <w:rFonts w:cs="Arial"/>
          <w:szCs w:val="20"/>
          <w:lang w:val="pt-BR"/>
        </w:rPr>
        <w:t>degradantes.</w:t>
      </w:r>
      <w:r w:rsidR="00E045D9" w:rsidRPr="00D5464D">
        <w:rPr>
          <w:rFonts w:cs="Arial"/>
          <w:szCs w:val="20"/>
          <w:lang w:val="pt-BR"/>
        </w:rPr>
        <w:t xml:space="preserve"> </w:t>
      </w:r>
      <w:r w:rsidR="003E22C8" w:rsidRPr="00D5464D">
        <w:rPr>
          <w:rFonts w:cs="Arial"/>
          <w:szCs w:val="20"/>
          <w:lang w:val="pt-BR"/>
        </w:rPr>
        <w:t xml:space="preserve">Durante as </w:t>
      </w:r>
      <w:r w:rsidRPr="00D5464D">
        <w:rPr>
          <w:rFonts w:cs="Arial"/>
          <w:szCs w:val="20"/>
          <w:lang w:val="pt-BR"/>
        </w:rPr>
        <w:t>décadas de 1960</w:t>
      </w:r>
      <w:r w:rsidR="00E045D9" w:rsidRPr="00D5464D">
        <w:rPr>
          <w:rFonts w:cs="Arial"/>
          <w:szCs w:val="20"/>
          <w:lang w:val="pt-BR"/>
        </w:rPr>
        <w:t xml:space="preserve"> e </w:t>
      </w:r>
      <w:r w:rsidRPr="00D5464D">
        <w:rPr>
          <w:rFonts w:cs="Arial"/>
          <w:szCs w:val="20"/>
          <w:lang w:val="pt-BR"/>
        </w:rPr>
        <w:t>1970</w:t>
      </w:r>
      <w:r w:rsidR="003E22C8" w:rsidRPr="00D5464D">
        <w:rPr>
          <w:rFonts w:cs="Arial"/>
          <w:szCs w:val="20"/>
          <w:lang w:val="pt-BR"/>
        </w:rPr>
        <w:t>,</w:t>
      </w:r>
      <w:r w:rsidR="00470ADC" w:rsidRPr="00D5464D">
        <w:rPr>
          <w:rFonts w:cs="Arial"/>
          <w:szCs w:val="20"/>
          <w:lang w:val="pt-BR"/>
        </w:rPr>
        <w:t xml:space="preserve"> o </w:t>
      </w:r>
      <w:r w:rsidR="00E045D9" w:rsidRPr="00D5464D">
        <w:rPr>
          <w:rFonts w:cs="Arial"/>
          <w:szCs w:val="20"/>
          <w:lang w:val="pt-BR"/>
        </w:rPr>
        <w:t>trabalho</w:t>
      </w:r>
      <w:r w:rsidRPr="00D5464D">
        <w:rPr>
          <w:rFonts w:cs="Arial"/>
          <w:szCs w:val="20"/>
          <w:lang w:val="pt-BR"/>
        </w:rPr>
        <w:t xml:space="preserve"> </w:t>
      </w:r>
      <w:r w:rsidR="004F1CC2" w:rsidRPr="00D5464D">
        <w:rPr>
          <w:rFonts w:cs="Arial"/>
          <w:szCs w:val="20"/>
          <w:lang w:val="pt-BR"/>
        </w:rPr>
        <w:t>escravo</w:t>
      </w:r>
      <w:r w:rsidR="006665EF" w:rsidRPr="00D5464D">
        <w:rPr>
          <w:rFonts w:cs="Arial"/>
          <w:szCs w:val="20"/>
          <w:lang w:val="pt-BR"/>
        </w:rPr>
        <w:t xml:space="preserve"> no Brasil</w:t>
      </w:r>
      <w:r w:rsidRPr="00D5464D">
        <w:rPr>
          <w:rFonts w:cs="Arial"/>
          <w:szCs w:val="20"/>
          <w:lang w:val="pt-BR"/>
        </w:rPr>
        <w:t xml:space="preserve"> </w:t>
      </w:r>
      <w:r w:rsidR="00470ADC" w:rsidRPr="00D5464D">
        <w:rPr>
          <w:rFonts w:cs="Arial"/>
          <w:szCs w:val="20"/>
          <w:lang w:val="pt-BR"/>
        </w:rPr>
        <w:t>aumentou</w:t>
      </w:r>
      <w:r w:rsidRPr="00D5464D">
        <w:rPr>
          <w:rFonts w:cs="Arial"/>
          <w:szCs w:val="20"/>
          <w:lang w:val="pt-BR"/>
        </w:rPr>
        <w:t xml:space="preserve"> </w:t>
      </w:r>
      <w:r w:rsidR="00470ADC" w:rsidRPr="00D5464D">
        <w:rPr>
          <w:rFonts w:cs="Arial"/>
          <w:szCs w:val="20"/>
          <w:lang w:val="pt-BR"/>
        </w:rPr>
        <w:t xml:space="preserve">devido à </w:t>
      </w:r>
      <w:r w:rsidR="00230C71" w:rsidRPr="00D5464D">
        <w:rPr>
          <w:rFonts w:cs="Arial"/>
          <w:szCs w:val="20"/>
          <w:lang w:val="pt-BR"/>
        </w:rPr>
        <w:t>expansão</w:t>
      </w:r>
      <w:r w:rsidRPr="00D5464D">
        <w:rPr>
          <w:rFonts w:cs="Arial"/>
          <w:szCs w:val="20"/>
          <w:lang w:val="pt-BR"/>
        </w:rPr>
        <w:t xml:space="preserve"> de técnicas </w:t>
      </w:r>
      <w:r w:rsidR="002C330E" w:rsidRPr="00D5464D">
        <w:rPr>
          <w:rFonts w:cs="Arial"/>
          <w:szCs w:val="20"/>
          <w:lang w:val="pt-BR"/>
        </w:rPr>
        <w:t xml:space="preserve">mais </w:t>
      </w:r>
      <w:r w:rsidRPr="00D5464D">
        <w:rPr>
          <w:rFonts w:cs="Arial"/>
          <w:szCs w:val="20"/>
          <w:lang w:val="pt-BR"/>
        </w:rPr>
        <w:t xml:space="preserve">modernas de </w:t>
      </w:r>
      <w:r w:rsidR="00E045D9" w:rsidRPr="00D5464D">
        <w:rPr>
          <w:rFonts w:cs="Arial"/>
          <w:szCs w:val="20"/>
          <w:lang w:val="pt-BR"/>
        </w:rPr>
        <w:t>trabalho</w:t>
      </w:r>
      <w:r w:rsidRPr="00D5464D">
        <w:rPr>
          <w:rFonts w:cs="Arial"/>
          <w:szCs w:val="20"/>
          <w:lang w:val="pt-BR"/>
        </w:rPr>
        <w:t xml:space="preserve"> rural</w:t>
      </w:r>
      <w:r w:rsidR="00AE53DD" w:rsidRPr="00D5464D">
        <w:rPr>
          <w:rFonts w:cs="Arial"/>
          <w:szCs w:val="20"/>
          <w:lang w:val="pt-BR"/>
        </w:rPr>
        <w:t>,</w:t>
      </w:r>
      <w:r w:rsidRPr="00D5464D">
        <w:rPr>
          <w:rFonts w:cs="Arial"/>
          <w:szCs w:val="20"/>
          <w:lang w:val="pt-BR"/>
        </w:rPr>
        <w:t xml:space="preserve"> que reque</w:t>
      </w:r>
      <w:r w:rsidR="00350187" w:rsidRPr="00D5464D">
        <w:rPr>
          <w:rFonts w:cs="Arial"/>
          <w:szCs w:val="20"/>
          <w:lang w:val="pt-BR"/>
        </w:rPr>
        <w:t xml:space="preserve">riam </w:t>
      </w:r>
      <w:r w:rsidR="00E045D9" w:rsidRPr="00D5464D">
        <w:rPr>
          <w:rFonts w:cs="Arial"/>
          <w:szCs w:val="20"/>
          <w:lang w:val="pt-BR"/>
        </w:rPr>
        <w:t xml:space="preserve">um </w:t>
      </w:r>
      <w:r w:rsidR="002C330E" w:rsidRPr="00D5464D">
        <w:rPr>
          <w:rFonts w:cs="Arial"/>
          <w:szCs w:val="20"/>
          <w:lang w:val="pt-BR"/>
        </w:rPr>
        <w:t xml:space="preserve">maior </w:t>
      </w:r>
      <w:r w:rsidRPr="00D5464D">
        <w:rPr>
          <w:rFonts w:cs="Arial"/>
          <w:szCs w:val="20"/>
          <w:lang w:val="pt-BR"/>
        </w:rPr>
        <w:t xml:space="preserve">número de </w:t>
      </w:r>
      <w:r w:rsidR="00E045D9" w:rsidRPr="00D5464D">
        <w:rPr>
          <w:rFonts w:cs="Arial"/>
          <w:szCs w:val="20"/>
          <w:lang w:val="pt-BR"/>
        </w:rPr>
        <w:t>trabalhadores</w:t>
      </w:r>
      <w:r w:rsidR="003E22C8" w:rsidRPr="00D5464D">
        <w:rPr>
          <w:rFonts w:cs="Arial"/>
          <w:szCs w:val="20"/>
          <w:lang w:val="pt-BR"/>
        </w:rPr>
        <w:t>.</w:t>
      </w:r>
      <w:r w:rsidRPr="00D5464D">
        <w:rPr>
          <w:rStyle w:val="Refdenotaalpie"/>
          <w:rFonts w:cs="Arial"/>
          <w:lang w:val="pt-BR"/>
        </w:rPr>
        <w:footnoteReference w:id="64"/>
      </w:r>
      <w:r w:rsidR="00A1358C" w:rsidRPr="00D5464D">
        <w:rPr>
          <w:rFonts w:cs="Arial"/>
          <w:szCs w:val="20"/>
          <w:lang w:val="pt-BR"/>
        </w:rPr>
        <w:t xml:space="preserve"> </w:t>
      </w:r>
      <w:r w:rsidR="003E22C8" w:rsidRPr="00D5464D">
        <w:rPr>
          <w:rFonts w:cs="Arial"/>
          <w:szCs w:val="20"/>
          <w:lang w:val="pt-BR"/>
        </w:rPr>
        <w:t>Em</w:t>
      </w:r>
      <w:r w:rsidR="00A1358C" w:rsidRPr="00D5464D">
        <w:rPr>
          <w:rFonts w:cs="Arial"/>
          <w:szCs w:val="20"/>
          <w:lang w:val="pt-BR"/>
        </w:rPr>
        <w:t xml:space="preserve"> </w:t>
      </w:r>
      <w:r w:rsidR="00350187" w:rsidRPr="00D5464D">
        <w:rPr>
          <w:rFonts w:cs="Arial"/>
          <w:szCs w:val="20"/>
          <w:lang w:val="pt-BR"/>
        </w:rPr>
        <w:t>meados</w:t>
      </w:r>
      <w:r w:rsidRPr="00D5464D">
        <w:rPr>
          <w:rFonts w:cs="Arial"/>
          <w:szCs w:val="20"/>
          <w:lang w:val="pt-BR"/>
        </w:rPr>
        <w:t xml:space="preserve"> </w:t>
      </w:r>
      <w:r w:rsidR="00470ADC" w:rsidRPr="00D5464D">
        <w:rPr>
          <w:rFonts w:cs="Arial"/>
          <w:szCs w:val="20"/>
          <w:lang w:val="pt-BR"/>
        </w:rPr>
        <w:t xml:space="preserve">do </w:t>
      </w:r>
      <w:r w:rsidR="002C330E" w:rsidRPr="00D5464D">
        <w:rPr>
          <w:rFonts w:cs="Arial"/>
          <w:szCs w:val="20"/>
          <w:lang w:val="pt-BR"/>
        </w:rPr>
        <w:t xml:space="preserve">século </w:t>
      </w:r>
      <w:r w:rsidRPr="00D5464D">
        <w:rPr>
          <w:rFonts w:cs="Arial"/>
          <w:szCs w:val="20"/>
          <w:lang w:val="pt-BR"/>
        </w:rPr>
        <w:t>XX</w:t>
      </w:r>
      <w:r w:rsidR="003E22C8" w:rsidRPr="00D5464D">
        <w:rPr>
          <w:rFonts w:cs="Arial"/>
          <w:szCs w:val="20"/>
          <w:lang w:val="pt-BR"/>
        </w:rPr>
        <w:t>,</w:t>
      </w:r>
      <w:r w:rsidRPr="00D5464D">
        <w:rPr>
          <w:rFonts w:cs="Arial"/>
          <w:szCs w:val="20"/>
          <w:lang w:val="pt-BR"/>
        </w:rPr>
        <w:t xml:space="preserve"> </w:t>
      </w:r>
      <w:r w:rsidR="003E22C8" w:rsidRPr="00D5464D">
        <w:rPr>
          <w:rFonts w:cs="Arial"/>
          <w:szCs w:val="20"/>
          <w:lang w:val="pt-BR"/>
        </w:rPr>
        <w:t xml:space="preserve">intensificou-se </w:t>
      </w:r>
      <w:r w:rsidR="002C330E" w:rsidRPr="00D5464D">
        <w:rPr>
          <w:rFonts w:cs="Arial"/>
          <w:szCs w:val="20"/>
          <w:lang w:val="pt-BR"/>
        </w:rPr>
        <w:t xml:space="preserve">a </w:t>
      </w:r>
      <w:r w:rsidRPr="00D5464D">
        <w:rPr>
          <w:rFonts w:cs="Arial"/>
          <w:szCs w:val="20"/>
          <w:lang w:val="pt-BR"/>
        </w:rPr>
        <w:t>industrializa</w:t>
      </w:r>
      <w:r w:rsidR="00470ADC" w:rsidRPr="00D5464D">
        <w:rPr>
          <w:rFonts w:cs="Arial"/>
          <w:szCs w:val="20"/>
          <w:lang w:val="pt-BR"/>
        </w:rPr>
        <w:t>ção</w:t>
      </w:r>
      <w:r w:rsidR="00E045D9" w:rsidRPr="00D5464D">
        <w:rPr>
          <w:rFonts w:cs="Arial"/>
          <w:szCs w:val="20"/>
          <w:lang w:val="pt-BR"/>
        </w:rPr>
        <w:t xml:space="preserve"> na </w:t>
      </w:r>
      <w:r w:rsidR="003E22C8" w:rsidRPr="00D5464D">
        <w:rPr>
          <w:rFonts w:cs="Arial"/>
          <w:szCs w:val="20"/>
          <w:lang w:val="pt-BR"/>
        </w:rPr>
        <w:t xml:space="preserve">região </w:t>
      </w:r>
      <w:r w:rsidRPr="00D5464D">
        <w:rPr>
          <w:rFonts w:cs="Arial"/>
          <w:szCs w:val="20"/>
          <w:lang w:val="pt-BR"/>
        </w:rPr>
        <w:t>amaz</w:t>
      </w:r>
      <w:r w:rsidR="003E22C8" w:rsidRPr="00D5464D">
        <w:rPr>
          <w:rFonts w:cs="Arial"/>
          <w:szCs w:val="20"/>
          <w:lang w:val="pt-BR"/>
        </w:rPr>
        <w:t>ô</w:t>
      </w:r>
      <w:r w:rsidRPr="00D5464D">
        <w:rPr>
          <w:rFonts w:cs="Arial"/>
          <w:szCs w:val="20"/>
          <w:lang w:val="pt-BR"/>
        </w:rPr>
        <w:t>nica</w:t>
      </w:r>
      <w:r w:rsidR="003E22C8" w:rsidRPr="00D5464D">
        <w:rPr>
          <w:rFonts w:cs="Arial"/>
          <w:szCs w:val="20"/>
          <w:lang w:val="pt-BR"/>
        </w:rPr>
        <w:t>,</w:t>
      </w:r>
      <w:r w:rsidRPr="00D5464D">
        <w:rPr>
          <w:rStyle w:val="Refdenotaalpie"/>
          <w:rFonts w:cs="Arial"/>
          <w:lang w:val="pt-BR"/>
        </w:rPr>
        <w:footnoteReference w:id="65"/>
      </w:r>
      <w:r w:rsidR="00470ADC" w:rsidRPr="00D5464D">
        <w:rPr>
          <w:rFonts w:cs="Arial"/>
          <w:szCs w:val="20"/>
          <w:lang w:val="pt-BR"/>
        </w:rPr>
        <w:t xml:space="preserve"> e</w:t>
      </w:r>
      <w:r w:rsidRPr="00D5464D">
        <w:rPr>
          <w:rFonts w:cs="Arial"/>
          <w:szCs w:val="20"/>
          <w:lang w:val="pt-BR"/>
        </w:rPr>
        <w:t xml:space="preserve"> </w:t>
      </w:r>
      <w:r w:rsidR="00470ADC" w:rsidRPr="00D5464D">
        <w:rPr>
          <w:rFonts w:cs="Arial"/>
          <w:szCs w:val="20"/>
          <w:lang w:val="pt-BR"/>
        </w:rPr>
        <w:t>o fenômeno</w:t>
      </w:r>
      <w:r w:rsidRPr="00D5464D">
        <w:rPr>
          <w:rFonts w:cs="Arial"/>
          <w:szCs w:val="20"/>
          <w:lang w:val="pt-BR"/>
        </w:rPr>
        <w:t xml:space="preserve"> de </w:t>
      </w:r>
      <w:r w:rsidR="00230C71" w:rsidRPr="00D5464D">
        <w:rPr>
          <w:rFonts w:cs="Arial"/>
          <w:szCs w:val="20"/>
          <w:lang w:val="pt-BR"/>
        </w:rPr>
        <w:t>posse</w:t>
      </w:r>
      <w:r w:rsidRPr="00D5464D">
        <w:rPr>
          <w:rFonts w:cs="Arial"/>
          <w:szCs w:val="20"/>
          <w:lang w:val="pt-BR"/>
        </w:rPr>
        <w:t xml:space="preserve"> ilegal</w:t>
      </w:r>
      <w:r w:rsidR="00E045D9" w:rsidRPr="00D5464D">
        <w:rPr>
          <w:rFonts w:cs="Arial"/>
          <w:szCs w:val="20"/>
          <w:lang w:val="pt-BR"/>
        </w:rPr>
        <w:t xml:space="preserve"> e </w:t>
      </w:r>
      <w:r w:rsidRPr="00D5464D">
        <w:rPr>
          <w:rFonts w:cs="Arial"/>
          <w:szCs w:val="20"/>
          <w:lang w:val="pt-BR"/>
        </w:rPr>
        <w:t>adjudica</w:t>
      </w:r>
      <w:r w:rsidR="00470ADC" w:rsidRPr="00D5464D">
        <w:rPr>
          <w:rFonts w:cs="Arial"/>
          <w:szCs w:val="20"/>
          <w:lang w:val="pt-BR"/>
        </w:rPr>
        <w:t>ção</w:t>
      </w:r>
      <w:r w:rsidRPr="00D5464D">
        <w:rPr>
          <w:rFonts w:cs="Arial"/>
          <w:szCs w:val="20"/>
          <w:lang w:val="pt-BR"/>
        </w:rPr>
        <w:t xml:space="preserve"> descontrolada de </w:t>
      </w:r>
      <w:r w:rsidR="00E045D9" w:rsidRPr="00D5464D">
        <w:rPr>
          <w:rFonts w:cs="Arial"/>
          <w:szCs w:val="20"/>
          <w:lang w:val="pt-BR"/>
        </w:rPr>
        <w:t>terra</w:t>
      </w:r>
      <w:r w:rsidRPr="00D5464D">
        <w:rPr>
          <w:rFonts w:cs="Arial"/>
          <w:szCs w:val="20"/>
          <w:lang w:val="pt-BR"/>
        </w:rPr>
        <w:t>s públicas</w:t>
      </w:r>
      <w:r w:rsidR="00176FD5" w:rsidRPr="00D5464D">
        <w:rPr>
          <w:rFonts w:cs="Arial"/>
          <w:szCs w:val="20"/>
          <w:lang w:val="pt-BR"/>
        </w:rPr>
        <w:t xml:space="preserve"> foi favorecido</w:t>
      </w:r>
      <w:r w:rsidRPr="00D5464D">
        <w:rPr>
          <w:rFonts w:cs="Arial"/>
          <w:szCs w:val="20"/>
          <w:lang w:val="pt-BR"/>
        </w:rPr>
        <w:t>, propiciando</w:t>
      </w:r>
      <w:r w:rsidR="00470ADC" w:rsidRPr="00D5464D">
        <w:rPr>
          <w:rFonts w:cs="Arial"/>
          <w:szCs w:val="20"/>
          <w:lang w:val="pt-BR"/>
        </w:rPr>
        <w:t xml:space="preserve"> com </w:t>
      </w:r>
      <w:r w:rsidR="003E22C8" w:rsidRPr="00D5464D">
        <w:rPr>
          <w:rFonts w:cs="Arial"/>
          <w:szCs w:val="20"/>
          <w:lang w:val="pt-BR"/>
        </w:rPr>
        <w:t xml:space="preserve">isso </w:t>
      </w:r>
      <w:r w:rsidR="002C330E" w:rsidRPr="00D5464D">
        <w:rPr>
          <w:rFonts w:cs="Arial"/>
          <w:szCs w:val="20"/>
          <w:lang w:val="pt-BR"/>
        </w:rPr>
        <w:t xml:space="preserve">a </w:t>
      </w:r>
      <w:r w:rsidRPr="00D5464D">
        <w:rPr>
          <w:rFonts w:cs="Arial"/>
          <w:szCs w:val="20"/>
          <w:lang w:val="pt-BR"/>
        </w:rPr>
        <w:t>consolida</w:t>
      </w:r>
      <w:r w:rsidR="00470ADC" w:rsidRPr="00D5464D">
        <w:rPr>
          <w:rFonts w:cs="Arial"/>
          <w:szCs w:val="20"/>
          <w:lang w:val="pt-BR"/>
        </w:rPr>
        <w:t>ção</w:t>
      </w:r>
      <w:r w:rsidRPr="00D5464D">
        <w:rPr>
          <w:rFonts w:cs="Arial"/>
          <w:szCs w:val="20"/>
          <w:lang w:val="pt-BR"/>
        </w:rPr>
        <w:t xml:space="preserve"> de </w:t>
      </w:r>
      <w:r w:rsidR="002C330E" w:rsidRPr="00D5464D">
        <w:rPr>
          <w:rFonts w:cs="Arial"/>
          <w:szCs w:val="20"/>
          <w:lang w:val="pt-BR"/>
        </w:rPr>
        <w:t>prática</w:t>
      </w:r>
      <w:r w:rsidRPr="00D5464D">
        <w:rPr>
          <w:rFonts w:cs="Arial"/>
          <w:szCs w:val="20"/>
          <w:lang w:val="pt-BR"/>
        </w:rPr>
        <w:t xml:space="preserve">s de </w:t>
      </w:r>
      <w:r w:rsidR="00E045D9" w:rsidRPr="00D5464D">
        <w:rPr>
          <w:rFonts w:cs="Arial"/>
          <w:szCs w:val="20"/>
          <w:lang w:val="pt-BR"/>
        </w:rPr>
        <w:t>trabalho</w:t>
      </w:r>
      <w:r w:rsidRPr="00D5464D">
        <w:rPr>
          <w:rFonts w:cs="Arial"/>
          <w:szCs w:val="20"/>
          <w:lang w:val="pt-BR"/>
        </w:rPr>
        <w:t xml:space="preserve"> </w:t>
      </w:r>
      <w:r w:rsidR="004F1CC2" w:rsidRPr="00D5464D">
        <w:rPr>
          <w:rFonts w:cs="Arial"/>
          <w:szCs w:val="20"/>
          <w:lang w:val="pt-BR"/>
        </w:rPr>
        <w:t>escravo</w:t>
      </w:r>
      <w:r w:rsidR="00470ADC" w:rsidRPr="00D5464D">
        <w:rPr>
          <w:rFonts w:cs="Arial"/>
          <w:szCs w:val="20"/>
          <w:lang w:val="pt-BR"/>
        </w:rPr>
        <w:t xml:space="preserve"> em </w:t>
      </w:r>
      <w:r w:rsidR="00D809F0" w:rsidRPr="00D5464D">
        <w:rPr>
          <w:rFonts w:cs="Arial"/>
          <w:szCs w:val="20"/>
          <w:lang w:val="pt-BR"/>
        </w:rPr>
        <w:t>fazenda</w:t>
      </w:r>
      <w:r w:rsidRPr="00D5464D">
        <w:rPr>
          <w:rFonts w:cs="Arial"/>
          <w:szCs w:val="20"/>
          <w:lang w:val="pt-BR"/>
        </w:rPr>
        <w:t>s de empresas privadas o</w:t>
      </w:r>
      <w:r w:rsidR="003E22C8" w:rsidRPr="00D5464D">
        <w:rPr>
          <w:rFonts w:cs="Arial"/>
          <w:szCs w:val="20"/>
          <w:lang w:val="pt-BR"/>
        </w:rPr>
        <w:t>u</w:t>
      </w:r>
      <w:r w:rsidRPr="00D5464D">
        <w:rPr>
          <w:rFonts w:cs="Arial"/>
          <w:szCs w:val="20"/>
          <w:lang w:val="pt-BR"/>
        </w:rPr>
        <w:t xml:space="preserve"> empresas familiares </w:t>
      </w:r>
      <w:r w:rsidR="00230C71" w:rsidRPr="00D5464D">
        <w:rPr>
          <w:rFonts w:cs="Arial"/>
          <w:szCs w:val="20"/>
          <w:lang w:val="pt-BR"/>
        </w:rPr>
        <w:t>possui</w:t>
      </w:r>
      <w:r w:rsidRPr="00D5464D">
        <w:rPr>
          <w:rFonts w:cs="Arial"/>
          <w:szCs w:val="20"/>
          <w:lang w:val="pt-BR"/>
        </w:rPr>
        <w:t xml:space="preserve">doras de </w:t>
      </w:r>
      <w:r w:rsidR="00470ADC" w:rsidRPr="00D5464D">
        <w:rPr>
          <w:rFonts w:cs="Arial"/>
          <w:szCs w:val="20"/>
          <w:lang w:val="pt-BR"/>
        </w:rPr>
        <w:t>ampla</w:t>
      </w:r>
      <w:r w:rsidRPr="00D5464D">
        <w:rPr>
          <w:rFonts w:cs="Arial"/>
          <w:szCs w:val="20"/>
          <w:lang w:val="pt-BR"/>
        </w:rPr>
        <w:t>s ex</w:t>
      </w:r>
      <w:r w:rsidR="00E045D9" w:rsidRPr="00D5464D">
        <w:rPr>
          <w:rFonts w:cs="Arial"/>
          <w:szCs w:val="20"/>
          <w:lang w:val="pt-BR"/>
        </w:rPr>
        <w:t>tensões</w:t>
      </w:r>
      <w:r w:rsidRPr="00D5464D">
        <w:rPr>
          <w:rFonts w:cs="Arial"/>
          <w:szCs w:val="20"/>
          <w:lang w:val="pt-BR"/>
        </w:rPr>
        <w:t xml:space="preserve"> de </w:t>
      </w:r>
      <w:r w:rsidR="003E22C8" w:rsidRPr="00D5464D">
        <w:rPr>
          <w:rFonts w:cs="Arial"/>
          <w:szCs w:val="20"/>
          <w:lang w:val="pt-BR"/>
        </w:rPr>
        <w:t>terra.</w:t>
      </w:r>
      <w:r w:rsidRPr="00D5464D">
        <w:rPr>
          <w:rStyle w:val="Refdenotaalpie"/>
          <w:rFonts w:cs="Arial"/>
          <w:lang w:val="pt-BR"/>
        </w:rPr>
        <w:footnoteReference w:id="66"/>
      </w:r>
      <w:r w:rsidR="00A1358C" w:rsidRPr="00D5464D">
        <w:rPr>
          <w:rFonts w:cs="Times New Roman"/>
          <w:szCs w:val="20"/>
          <w:lang w:val="pt-BR"/>
        </w:rPr>
        <w:t xml:space="preserve"> Neste</w:t>
      </w:r>
      <w:r w:rsidR="00E045D9" w:rsidRPr="00D5464D">
        <w:rPr>
          <w:rFonts w:cs="Times New Roman"/>
          <w:szCs w:val="20"/>
          <w:lang w:val="pt-BR"/>
        </w:rPr>
        <w:t xml:space="preserve"> </w:t>
      </w:r>
      <w:r w:rsidRPr="00D5464D">
        <w:rPr>
          <w:rFonts w:cs="Arial"/>
          <w:szCs w:val="20"/>
          <w:lang w:val="pt-BR"/>
        </w:rPr>
        <w:t xml:space="preserve">contexto </w:t>
      </w:r>
      <w:r w:rsidR="00737270" w:rsidRPr="00D5464D">
        <w:rPr>
          <w:rFonts w:cs="Arial"/>
          <w:szCs w:val="20"/>
          <w:lang w:val="pt-BR"/>
        </w:rPr>
        <w:t>existiu</w:t>
      </w:r>
      <w:r w:rsidR="00E045D9" w:rsidRPr="00D5464D">
        <w:rPr>
          <w:rFonts w:cs="Arial"/>
          <w:szCs w:val="20"/>
          <w:lang w:val="pt-BR"/>
        </w:rPr>
        <w:t xml:space="preserve"> uma </w:t>
      </w:r>
      <w:r w:rsidR="00470ADC" w:rsidRPr="00D5464D">
        <w:rPr>
          <w:rFonts w:cs="Arial"/>
          <w:szCs w:val="20"/>
          <w:lang w:val="pt-BR"/>
        </w:rPr>
        <w:t>ausência</w:t>
      </w:r>
      <w:r w:rsidRPr="00D5464D">
        <w:rPr>
          <w:rFonts w:cs="Arial"/>
          <w:szCs w:val="20"/>
          <w:lang w:val="pt-BR"/>
        </w:rPr>
        <w:t xml:space="preserve"> de </w:t>
      </w:r>
      <w:r w:rsidR="00470ADC" w:rsidRPr="00D5464D">
        <w:rPr>
          <w:rFonts w:cs="Arial"/>
          <w:szCs w:val="20"/>
          <w:lang w:val="pt-BR"/>
        </w:rPr>
        <w:t xml:space="preserve">controle </w:t>
      </w:r>
      <w:r w:rsidR="00B73A8A" w:rsidRPr="00D5464D">
        <w:rPr>
          <w:rFonts w:cs="Arial"/>
          <w:szCs w:val="20"/>
          <w:lang w:val="pt-BR"/>
        </w:rPr>
        <w:t>estatal</w:t>
      </w:r>
      <w:r w:rsidR="00E045D9" w:rsidRPr="00D5464D">
        <w:rPr>
          <w:rFonts w:cs="Arial"/>
          <w:szCs w:val="20"/>
          <w:lang w:val="pt-BR"/>
        </w:rPr>
        <w:t xml:space="preserve"> na </w:t>
      </w:r>
      <w:r w:rsidR="002C330E" w:rsidRPr="00D5464D">
        <w:rPr>
          <w:rFonts w:cs="Arial"/>
          <w:szCs w:val="20"/>
          <w:lang w:val="pt-BR"/>
        </w:rPr>
        <w:t>região</w:t>
      </w:r>
      <w:r w:rsidRPr="00D5464D">
        <w:rPr>
          <w:rFonts w:cs="Arial"/>
          <w:szCs w:val="20"/>
          <w:lang w:val="pt-BR"/>
        </w:rPr>
        <w:t xml:space="preserve"> norte d</w:t>
      </w:r>
      <w:r w:rsidR="003E22C8" w:rsidRPr="00D5464D">
        <w:rPr>
          <w:rFonts w:cs="Arial"/>
          <w:szCs w:val="20"/>
          <w:lang w:val="pt-BR"/>
        </w:rPr>
        <w:t>o</w:t>
      </w:r>
      <w:r w:rsidRPr="00D5464D">
        <w:rPr>
          <w:rFonts w:cs="Arial"/>
          <w:szCs w:val="20"/>
          <w:lang w:val="pt-BR"/>
        </w:rPr>
        <w:t xml:space="preserve"> Brasil,</w:t>
      </w:r>
      <w:r w:rsidR="00470ADC" w:rsidRPr="00D5464D">
        <w:rPr>
          <w:rFonts w:cs="Arial"/>
          <w:szCs w:val="20"/>
          <w:lang w:val="pt-BR"/>
        </w:rPr>
        <w:t xml:space="preserve"> onde</w:t>
      </w:r>
      <w:r w:rsidRPr="00D5464D">
        <w:rPr>
          <w:rFonts w:cs="Arial"/>
          <w:szCs w:val="20"/>
          <w:lang w:val="pt-BR"/>
        </w:rPr>
        <w:t xml:space="preserve"> </w:t>
      </w:r>
      <w:r w:rsidR="00470ADC" w:rsidRPr="00D5464D">
        <w:rPr>
          <w:rFonts w:cs="Arial"/>
          <w:szCs w:val="20"/>
          <w:lang w:val="pt-BR"/>
        </w:rPr>
        <w:t>algumas</w:t>
      </w:r>
      <w:r w:rsidRPr="00D5464D">
        <w:rPr>
          <w:rFonts w:cs="Arial"/>
          <w:szCs w:val="20"/>
          <w:lang w:val="pt-BR"/>
        </w:rPr>
        <w:t xml:space="preserve"> autoridades </w:t>
      </w:r>
      <w:r w:rsidR="00E045D9" w:rsidRPr="00D5464D">
        <w:rPr>
          <w:rFonts w:cs="Arial"/>
          <w:szCs w:val="20"/>
          <w:lang w:val="pt-BR"/>
        </w:rPr>
        <w:t>regionais</w:t>
      </w:r>
      <w:r w:rsidRPr="00D5464D">
        <w:rPr>
          <w:rFonts w:cs="Arial"/>
          <w:szCs w:val="20"/>
          <w:lang w:val="pt-BR"/>
        </w:rPr>
        <w:t xml:space="preserve"> </w:t>
      </w:r>
      <w:r w:rsidR="00E045D9" w:rsidRPr="00D5464D">
        <w:rPr>
          <w:rFonts w:cs="Arial"/>
          <w:szCs w:val="20"/>
          <w:lang w:val="pt-BR"/>
        </w:rPr>
        <w:t xml:space="preserve">teriam </w:t>
      </w:r>
      <w:r w:rsidR="003E22C8" w:rsidRPr="00D5464D">
        <w:rPr>
          <w:rFonts w:cs="Arial"/>
          <w:szCs w:val="20"/>
          <w:lang w:val="pt-BR"/>
        </w:rPr>
        <w:t xml:space="preserve">se </w:t>
      </w:r>
      <w:r w:rsidR="00B36EBC" w:rsidRPr="00D5464D">
        <w:rPr>
          <w:rFonts w:cs="Arial"/>
          <w:szCs w:val="20"/>
          <w:lang w:val="pt-BR"/>
        </w:rPr>
        <w:t>convertido</w:t>
      </w:r>
      <w:r w:rsidR="00470ADC" w:rsidRPr="00D5464D">
        <w:rPr>
          <w:rFonts w:cs="Arial"/>
          <w:szCs w:val="20"/>
          <w:lang w:val="pt-BR"/>
        </w:rPr>
        <w:t xml:space="preserve"> em </w:t>
      </w:r>
      <w:r w:rsidRPr="00D5464D">
        <w:rPr>
          <w:rFonts w:cs="Arial"/>
          <w:szCs w:val="20"/>
          <w:lang w:val="pt-BR"/>
        </w:rPr>
        <w:t>aliadas</w:t>
      </w:r>
      <w:r w:rsidR="00470ADC" w:rsidRPr="00D5464D">
        <w:rPr>
          <w:rFonts w:cs="Arial"/>
          <w:szCs w:val="20"/>
          <w:lang w:val="pt-BR"/>
        </w:rPr>
        <w:t xml:space="preserve"> dos </w:t>
      </w:r>
      <w:r w:rsidR="00A64010" w:rsidRPr="00D5464D">
        <w:rPr>
          <w:rFonts w:cs="Arial"/>
          <w:szCs w:val="20"/>
          <w:lang w:val="pt-BR"/>
        </w:rPr>
        <w:t>fazendeiro</w:t>
      </w:r>
      <w:r w:rsidRPr="00D5464D">
        <w:rPr>
          <w:rFonts w:cs="Arial"/>
          <w:szCs w:val="20"/>
          <w:lang w:val="pt-BR"/>
        </w:rPr>
        <w:t>s</w:t>
      </w:r>
      <w:r w:rsidR="003E22C8" w:rsidRPr="00D5464D">
        <w:rPr>
          <w:rFonts w:cs="Arial"/>
          <w:szCs w:val="20"/>
          <w:lang w:val="pt-BR"/>
        </w:rPr>
        <w:t>.</w:t>
      </w:r>
      <w:r w:rsidRPr="00D5464D">
        <w:rPr>
          <w:rStyle w:val="Refdenotaalpie"/>
          <w:rFonts w:cs="Arial"/>
          <w:lang w:val="pt-BR"/>
        </w:rPr>
        <w:footnoteReference w:id="67"/>
      </w:r>
      <w:r w:rsidRPr="00D5464D">
        <w:rPr>
          <w:rFonts w:cs="Arial"/>
          <w:szCs w:val="20"/>
          <w:lang w:val="pt-BR"/>
        </w:rPr>
        <w:t xml:space="preserve"> </w:t>
      </w:r>
      <w:r w:rsidR="003E22C8" w:rsidRPr="00D5464D">
        <w:rPr>
          <w:rFonts w:cs="Arial"/>
          <w:szCs w:val="20"/>
          <w:lang w:val="pt-BR"/>
        </w:rPr>
        <w:t>N</w:t>
      </w:r>
      <w:r w:rsidR="00470ADC" w:rsidRPr="00D5464D">
        <w:rPr>
          <w:rFonts w:cs="Arial"/>
          <w:szCs w:val="20"/>
          <w:lang w:val="pt-BR"/>
        </w:rPr>
        <w:t xml:space="preserve">o ano </w:t>
      </w:r>
      <w:r w:rsidR="003E22C8" w:rsidRPr="00D5464D">
        <w:rPr>
          <w:rFonts w:cs="Arial"/>
          <w:szCs w:val="20"/>
          <w:lang w:val="pt-BR"/>
        </w:rPr>
        <w:t xml:space="preserve">de </w:t>
      </w:r>
      <w:r w:rsidRPr="00D5464D">
        <w:rPr>
          <w:rFonts w:cs="Arial"/>
          <w:szCs w:val="20"/>
          <w:lang w:val="pt-BR"/>
        </w:rPr>
        <w:t>1995</w:t>
      </w:r>
      <w:r w:rsidR="006E6FEE" w:rsidRPr="00D5464D">
        <w:rPr>
          <w:rFonts w:cs="Arial"/>
          <w:szCs w:val="20"/>
          <w:lang w:val="pt-BR"/>
        </w:rPr>
        <w:t>,</w:t>
      </w:r>
      <w:r w:rsidR="00470ADC" w:rsidRPr="00D5464D">
        <w:rPr>
          <w:rFonts w:cs="Arial"/>
          <w:szCs w:val="20"/>
          <w:lang w:val="pt-BR"/>
        </w:rPr>
        <w:t xml:space="preserve"> o </w:t>
      </w:r>
      <w:r w:rsidRPr="00D5464D">
        <w:rPr>
          <w:rFonts w:cs="Arial"/>
          <w:szCs w:val="20"/>
          <w:lang w:val="pt-BR"/>
        </w:rPr>
        <w:t xml:space="preserve">Estado </w:t>
      </w:r>
      <w:r w:rsidR="00470ADC" w:rsidRPr="00D5464D">
        <w:rPr>
          <w:rFonts w:cs="Arial"/>
          <w:szCs w:val="20"/>
          <w:lang w:val="pt-BR"/>
        </w:rPr>
        <w:t>começou</w:t>
      </w:r>
      <w:r w:rsidRPr="00D5464D">
        <w:rPr>
          <w:rFonts w:cs="Arial"/>
          <w:szCs w:val="20"/>
          <w:lang w:val="pt-BR"/>
        </w:rPr>
        <w:t xml:space="preserve"> a re</w:t>
      </w:r>
      <w:r w:rsidR="00470ADC" w:rsidRPr="00D5464D">
        <w:rPr>
          <w:rFonts w:cs="Arial"/>
          <w:szCs w:val="20"/>
          <w:lang w:val="pt-BR"/>
        </w:rPr>
        <w:t>conhecer</w:t>
      </w:r>
      <w:r w:rsidRPr="00D5464D">
        <w:rPr>
          <w:rFonts w:cs="Arial"/>
          <w:szCs w:val="20"/>
          <w:lang w:val="pt-BR"/>
        </w:rPr>
        <w:t xml:space="preserve"> oficialmente</w:t>
      </w:r>
      <w:r w:rsidR="002C330E" w:rsidRPr="00D5464D">
        <w:rPr>
          <w:rFonts w:cs="Arial"/>
          <w:szCs w:val="20"/>
          <w:lang w:val="pt-BR"/>
        </w:rPr>
        <w:t xml:space="preserve"> a </w:t>
      </w:r>
      <w:r w:rsidR="00E045D9" w:rsidRPr="00D5464D">
        <w:rPr>
          <w:rFonts w:cs="Arial"/>
          <w:szCs w:val="20"/>
          <w:lang w:val="pt-BR"/>
        </w:rPr>
        <w:t>existência</w:t>
      </w:r>
      <w:r w:rsidRPr="00D5464D">
        <w:rPr>
          <w:rFonts w:cs="Arial"/>
          <w:szCs w:val="20"/>
          <w:lang w:val="pt-BR"/>
        </w:rPr>
        <w:t xml:space="preserve"> de </w:t>
      </w:r>
      <w:r w:rsidR="00E045D9" w:rsidRPr="00D5464D">
        <w:rPr>
          <w:rFonts w:cs="Arial"/>
          <w:szCs w:val="20"/>
          <w:lang w:val="pt-BR"/>
        </w:rPr>
        <w:t>trabalho</w:t>
      </w:r>
      <w:r w:rsidRPr="00D5464D">
        <w:rPr>
          <w:rFonts w:cs="Arial"/>
          <w:szCs w:val="20"/>
          <w:lang w:val="pt-BR"/>
        </w:rPr>
        <w:t xml:space="preserve"> </w:t>
      </w:r>
      <w:r w:rsidR="004F1CC2" w:rsidRPr="00D5464D">
        <w:rPr>
          <w:rFonts w:cs="Arial"/>
          <w:szCs w:val="20"/>
          <w:lang w:val="pt-BR"/>
        </w:rPr>
        <w:t>escravo</w:t>
      </w:r>
      <w:r w:rsidR="006665EF" w:rsidRPr="00D5464D">
        <w:rPr>
          <w:rFonts w:cs="Arial"/>
          <w:szCs w:val="20"/>
          <w:lang w:val="pt-BR"/>
        </w:rPr>
        <w:t xml:space="preserve"> no Brasil</w:t>
      </w:r>
      <w:r w:rsidR="003E22C8" w:rsidRPr="00D5464D">
        <w:rPr>
          <w:rFonts w:cs="Arial"/>
          <w:szCs w:val="20"/>
          <w:lang w:val="pt-BR"/>
        </w:rPr>
        <w:t>.</w:t>
      </w:r>
      <w:r w:rsidRPr="00D5464D">
        <w:rPr>
          <w:rStyle w:val="Refdenotaalpie"/>
          <w:rFonts w:cs="Arial"/>
          <w:lang w:val="pt-BR"/>
        </w:rPr>
        <w:footnoteReference w:id="68"/>
      </w:r>
      <w:r w:rsidRPr="00D5464D">
        <w:rPr>
          <w:rFonts w:cs="Arial"/>
          <w:szCs w:val="20"/>
          <w:lang w:val="pt-BR"/>
        </w:rPr>
        <w:t xml:space="preserve"> </w:t>
      </w:r>
      <w:r w:rsidR="002C330E" w:rsidRPr="00D5464D">
        <w:rPr>
          <w:rFonts w:cs="Arial"/>
          <w:szCs w:val="20"/>
          <w:lang w:val="pt-BR"/>
        </w:rPr>
        <w:t xml:space="preserve">Segundo a </w:t>
      </w:r>
      <w:r w:rsidRPr="00D5464D">
        <w:rPr>
          <w:rFonts w:cs="Arial"/>
          <w:szCs w:val="20"/>
          <w:lang w:val="pt-BR"/>
        </w:rPr>
        <w:t>OIT</w:t>
      </w:r>
      <w:r w:rsidR="00D85BC5" w:rsidRPr="00D5464D">
        <w:rPr>
          <w:rFonts w:cs="Arial"/>
          <w:szCs w:val="20"/>
          <w:lang w:val="pt-BR"/>
        </w:rPr>
        <w:t>,</w:t>
      </w:r>
      <w:r w:rsidR="00470ADC" w:rsidRPr="00D5464D">
        <w:rPr>
          <w:rFonts w:cs="Arial"/>
          <w:szCs w:val="20"/>
          <w:lang w:val="pt-BR"/>
        </w:rPr>
        <w:t xml:space="preserve"> em </w:t>
      </w:r>
      <w:r w:rsidRPr="00D5464D">
        <w:rPr>
          <w:rFonts w:cs="Arial"/>
          <w:szCs w:val="20"/>
          <w:lang w:val="pt-BR"/>
        </w:rPr>
        <w:t xml:space="preserve">2010 </w:t>
      </w:r>
      <w:r w:rsidR="00E045D9" w:rsidRPr="00D5464D">
        <w:rPr>
          <w:rFonts w:cs="Arial"/>
          <w:szCs w:val="20"/>
          <w:lang w:val="pt-BR"/>
        </w:rPr>
        <w:t xml:space="preserve">existiam no </w:t>
      </w:r>
      <w:r w:rsidRPr="00D5464D">
        <w:rPr>
          <w:rFonts w:cs="Arial"/>
          <w:szCs w:val="20"/>
          <w:lang w:val="pt-BR"/>
        </w:rPr>
        <w:t xml:space="preserve">mundo 12.3 </w:t>
      </w:r>
      <w:r w:rsidR="002C330E" w:rsidRPr="00D5464D">
        <w:rPr>
          <w:rFonts w:cs="Arial"/>
          <w:szCs w:val="20"/>
          <w:lang w:val="pt-BR"/>
        </w:rPr>
        <w:t>milhões</w:t>
      </w:r>
      <w:r w:rsidRPr="00D5464D">
        <w:rPr>
          <w:rFonts w:cs="Arial"/>
          <w:szCs w:val="20"/>
          <w:lang w:val="pt-BR"/>
        </w:rPr>
        <w:t xml:space="preserve"> de </w:t>
      </w:r>
      <w:r w:rsidR="002C330E" w:rsidRPr="00D5464D">
        <w:rPr>
          <w:rFonts w:cs="Arial"/>
          <w:szCs w:val="20"/>
          <w:lang w:val="pt-BR"/>
        </w:rPr>
        <w:t>pessoa</w:t>
      </w:r>
      <w:r w:rsidRPr="00D5464D">
        <w:rPr>
          <w:rFonts w:cs="Arial"/>
          <w:szCs w:val="20"/>
          <w:lang w:val="pt-BR"/>
        </w:rPr>
        <w:t xml:space="preserve">s </w:t>
      </w:r>
      <w:r w:rsidR="002C330E" w:rsidRPr="00D5464D">
        <w:rPr>
          <w:rFonts w:cs="Arial"/>
          <w:szCs w:val="20"/>
          <w:lang w:val="pt-BR"/>
        </w:rPr>
        <w:t>submetida</w:t>
      </w:r>
      <w:r w:rsidRPr="00D5464D">
        <w:rPr>
          <w:rFonts w:cs="Arial"/>
          <w:szCs w:val="20"/>
          <w:lang w:val="pt-BR"/>
        </w:rPr>
        <w:t xml:space="preserve">s a </w:t>
      </w:r>
      <w:r w:rsidR="00E045D9" w:rsidRPr="00D5464D">
        <w:rPr>
          <w:rFonts w:cs="Arial"/>
          <w:szCs w:val="20"/>
          <w:lang w:val="pt-BR"/>
        </w:rPr>
        <w:t>trabalho</w:t>
      </w:r>
      <w:r w:rsidR="001B63D0" w:rsidRPr="00D5464D">
        <w:rPr>
          <w:rFonts w:cs="Arial"/>
          <w:szCs w:val="20"/>
          <w:lang w:val="pt-BR"/>
        </w:rPr>
        <w:t xml:space="preserve"> </w:t>
      </w:r>
      <w:r w:rsidR="00230C71" w:rsidRPr="00D5464D">
        <w:rPr>
          <w:rFonts w:cs="Arial"/>
          <w:szCs w:val="20"/>
          <w:lang w:val="pt-BR"/>
        </w:rPr>
        <w:t>forçado</w:t>
      </w:r>
      <w:r w:rsidRPr="00D5464D">
        <w:rPr>
          <w:rFonts w:cs="Arial"/>
          <w:szCs w:val="20"/>
          <w:lang w:val="pt-BR"/>
        </w:rPr>
        <w:t>, 25.000</w:t>
      </w:r>
      <w:r w:rsidR="00470ADC" w:rsidRPr="00D5464D">
        <w:rPr>
          <w:rFonts w:cs="Arial"/>
          <w:szCs w:val="20"/>
          <w:lang w:val="pt-BR"/>
        </w:rPr>
        <w:t xml:space="preserve"> das quais</w:t>
      </w:r>
      <w:r w:rsidRPr="00D5464D">
        <w:rPr>
          <w:rFonts w:cs="Arial"/>
          <w:szCs w:val="20"/>
          <w:lang w:val="pt-BR"/>
        </w:rPr>
        <w:t xml:space="preserve"> </w:t>
      </w:r>
      <w:r w:rsidR="00350187" w:rsidRPr="00D5464D">
        <w:rPr>
          <w:rFonts w:cs="Arial"/>
          <w:szCs w:val="20"/>
          <w:lang w:val="pt-BR"/>
        </w:rPr>
        <w:t>estariam</w:t>
      </w:r>
      <w:r w:rsidR="006665EF" w:rsidRPr="00D5464D">
        <w:rPr>
          <w:rFonts w:cs="Arial"/>
          <w:szCs w:val="20"/>
          <w:lang w:val="pt-BR"/>
        </w:rPr>
        <w:t xml:space="preserve"> no Brasil</w:t>
      </w:r>
      <w:r w:rsidR="003E22C8" w:rsidRPr="00D5464D">
        <w:rPr>
          <w:rFonts w:cs="Arial"/>
          <w:szCs w:val="20"/>
          <w:lang w:val="pt-BR"/>
        </w:rPr>
        <w:t>.</w:t>
      </w:r>
      <w:r w:rsidRPr="00D5464D">
        <w:rPr>
          <w:rStyle w:val="Refdenotaalpie"/>
          <w:rFonts w:cs="Arial"/>
          <w:lang w:val="pt-BR"/>
        </w:rPr>
        <w:footnoteReference w:id="69"/>
      </w:r>
      <w:r w:rsidRPr="00D5464D">
        <w:rPr>
          <w:rFonts w:cs="Times New Roman"/>
          <w:szCs w:val="20"/>
          <w:lang w:val="pt-BR"/>
        </w:rPr>
        <w:t xml:space="preserve"> </w:t>
      </w:r>
    </w:p>
    <w:p w14:paraId="15D667F1" w14:textId="77777777" w:rsidR="0003391C" w:rsidRPr="00D5464D" w:rsidRDefault="0003391C" w:rsidP="00140440">
      <w:pPr>
        <w:pStyle w:val="Prrafodelista"/>
        <w:contextualSpacing w:val="0"/>
        <w:rPr>
          <w:rFonts w:cs="Arial"/>
          <w:szCs w:val="20"/>
          <w:lang w:val="pt-BR"/>
        </w:rPr>
      </w:pPr>
    </w:p>
    <w:p w14:paraId="5D5E36A1" w14:textId="13DC0770" w:rsidR="0003391C" w:rsidRPr="00D5464D" w:rsidRDefault="0003391C" w:rsidP="008622F3">
      <w:pPr>
        <w:pStyle w:val="Ttulo3"/>
        <w:rPr>
          <w:lang w:val="pt-BR"/>
        </w:rPr>
      </w:pPr>
      <w:bookmarkStart w:id="243" w:name="_Toc460433000"/>
      <w:bookmarkStart w:id="244" w:name="_Toc460441931"/>
      <w:bookmarkStart w:id="245" w:name="_Toc462750749"/>
      <w:bookmarkStart w:id="246" w:name="_Toc462751073"/>
      <w:bookmarkStart w:id="247" w:name="_Toc464813925"/>
      <w:bookmarkStart w:id="248" w:name="_Toc468433886"/>
      <w:r w:rsidRPr="00D5464D">
        <w:rPr>
          <w:lang w:val="pt-BR"/>
        </w:rPr>
        <w:t>A.2</w:t>
      </w:r>
      <w:r w:rsidR="00CB7E29" w:rsidRPr="00D5464D">
        <w:rPr>
          <w:lang w:val="pt-BR"/>
        </w:rPr>
        <w:t>.</w:t>
      </w:r>
      <w:r w:rsidRPr="00D5464D">
        <w:rPr>
          <w:lang w:val="pt-BR"/>
        </w:rPr>
        <w:t xml:space="preserve"> Características </w:t>
      </w:r>
      <w:r w:rsidR="00470ADC" w:rsidRPr="00D5464D">
        <w:rPr>
          <w:lang w:val="pt-BR"/>
        </w:rPr>
        <w:t xml:space="preserve">do </w:t>
      </w:r>
      <w:r w:rsidR="00E045D9" w:rsidRPr="00D5464D">
        <w:rPr>
          <w:lang w:val="pt-BR"/>
        </w:rPr>
        <w:t>trabalho</w:t>
      </w:r>
      <w:r w:rsidRPr="00D5464D">
        <w:rPr>
          <w:lang w:val="pt-BR"/>
        </w:rPr>
        <w:t xml:space="preserve"> </w:t>
      </w:r>
      <w:r w:rsidR="004F1CC2" w:rsidRPr="00D5464D">
        <w:rPr>
          <w:lang w:val="pt-BR"/>
        </w:rPr>
        <w:t>escravo</w:t>
      </w:r>
      <w:r w:rsidR="006665EF" w:rsidRPr="00D5464D">
        <w:rPr>
          <w:lang w:val="pt-BR"/>
        </w:rPr>
        <w:t xml:space="preserve"> no Brasil</w:t>
      </w:r>
      <w:bookmarkEnd w:id="243"/>
      <w:bookmarkEnd w:id="244"/>
      <w:bookmarkEnd w:id="245"/>
      <w:bookmarkEnd w:id="246"/>
      <w:bookmarkEnd w:id="247"/>
      <w:bookmarkEnd w:id="248"/>
    </w:p>
    <w:p w14:paraId="35440581" w14:textId="77777777" w:rsidR="00D65024" w:rsidRPr="00D5464D" w:rsidRDefault="00D65024" w:rsidP="00D65024">
      <w:pPr>
        <w:pStyle w:val="Prrafodelista"/>
        <w:autoSpaceDE w:val="0"/>
        <w:autoSpaceDN w:val="0"/>
        <w:adjustRightInd w:val="0"/>
        <w:ind w:left="0"/>
        <w:contextualSpacing w:val="0"/>
        <w:rPr>
          <w:rFonts w:cs="Times New Roman"/>
          <w:szCs w:val="20"/>
          <w:lang w:val="pt-BR"/>
        </w:rPr>
      </w:pPr>
    </w:p>
    <w:p w14:paraId="1F8E113F" w14:textId="3C5E0E7E" w:rsidR="0003391C" w:rsidRPr="00D5464D" w:rsidRDefault="00470ADC" w:rsidP="00140440">
      <w:pPr>
        <w:pStyle w:val="Prrafodelista"/>
        <w:numPr>
          <w:ilvl w:val="0"/>
          <w:numId w:val="1"/>
        </w:numPr>
        <w:autoSpaceDE w:val="0"/>
        <w:autoSpaceDN w:val="0"/>
        <w:adjustRightInd w:val="0"/>
        <w:contextualSpacing w:val="0"/>
        <w:rPr>
          <w:rFonts w:cs="Times New Roman"/>
          <w:szCs w:val="20"/>
          <w:lang w:val="pt-BR"/>
        </w:rPr>
      </w:pPr>
      <w:r w:rsidRPr="00D5464D">
        <w:rPr>
          <w:rFonts w:cs="Arial"/>
          <w:szCs w:val="20"/>
          <w:lang w:val="pt-BR"/>
        </w:rPr>
        <w:t xml:space="preserve">A </w:t>
      </w:r>
      <w:r w:rsidR="002C330E" w:rsidRPr="00D5464D">
        <w:rPr>
          <w:rFonts w:cs="Arial"/>
          <w:szCs w:val="20"/>
          <w:lang w:val="pt-BR"/>
        </w:rPr>
        <w:t xml:space="preserve">maior </w:t>
      </w:r>
      <w:r w:rsidRPr="00D5464D">
        <w:rPr>
          <w:rFonts w:cs="Arial"/>
          <w:szCs w:val="20"/>
          <w:lang w:val="pt-BR"/>
        </w:rPr>
        <w:t xml:space="preserve">quantidade </w:t>
      </w:r>
      <w:r w:rsidR="0003391C" w:rsidRPr="00D5464D">
        <w:rPr>
          <w:rFonts w:cs="Arial"/>
          <w:szCs w:val="20"/>
          <w:lang w:val="pt-BR"/>
        </w:rPr>
        <w:t xml:space="preserve">de </w:t>
      </w:r>
      <w:r w:rsidR="00E045D9" w:rsidRPr="00D5464D">
        <w:rPr>
          <w:rFonts w:cs="Arial"/>
          <w:szCs w:val="20"/>
          <w:lang w:val="pt-BR"/>
        </w:rPr>
        <w:t>vítima</w:t>
      </w:r>
      <w:r w:rsidR="0003391C" w:rsidRPr="00D5464D">
        <w:rPr>
          <w:rFonts w:cs="Arial"/>
          <w:szCs w:val="20"/>
          <w:lang w:val="pt-BR"/>
        </w:rPr>
        <w:t xml:space="preserve">s de </w:t>
      </w:r>
      <w:r w:rsidR="00E045D9" w:rsidRPr="00D5464D">
        <w:rPr>
          <w:rFonts w:cs="Arial"/>
          <w:szCs w:val="20"/>
          <w:lang w:val="pt-BR"/>
        </w:rPr>
        <w:t>trabalho</w:t>
      </w:r>
      <w:r w:rsidR="0003391C" w:rsidRPr="00D5464D">
        <w:rPr>
          <w:rFonts w:cs="Arial"/>
          <w:szCs w:val="20"/>
          <w:lang w:val="pt-BR"/>
        </w:rPr>
        <w:t xml:space="preserve"> </w:t>
      </w:r>
      <w:r w:rsidR="004F1CC2" w:rsidRPr="00D5464D">
        <w:rPr>
          <w:rFonts w:cs="Arial"/>
          <w:szCs w:val="20"/>
          <w:lang w:val="pt-BR"/>
        </w:rPr>
        <w:t>escravo</w:t>
      </w:r>
      <w:r w:rsidR="006665EF" w:rsidRPr="00D5464D">
        <w:rPr>
          <w:rFonts w:cs="Arial"/>
          <w:szCs w:val="20"/>
          <w:lang w:val="pt-BR"/>
        </w:rPr>
        <w:t xml:space="preserve"> no Brasil</w:t>
      </w:r>
      <w:r w:rsidR="002C330E" w:rsidRPr="00D5464D">
        <w:rPr>
          <w:rFonts w:cs="Arial"/>
          <w:szCs w:val="20"/>
          <w:lang w:val="pt-BR"/>
        </w:rPr>
        <w:t xml:space="preserve"> são </w:t>
      </w:r>
      <w:r w:rsidR="00E045D9" w:rsidRPr="00D5464D">
        <w:rPr>
          <w:rFonts w:cs="Arial"/>
          <w:szCs w:val="20"/>
          <w:lang w:val="pt-BR"/>
        </w:rPr>
        <w:t>trabalhadores</w:t>
      </w:r>
      <w:r w:rsidR="0003391C" w:rsidRPr="00D5464D">
        <w:rPr>
          <w:rFonts w:cs="Arial"/>
          <w:szCs w:val="20"/>
          <w:lang w:val="pt-BR"/>
        </w:rPr>
        <w:t xml:space="preserve"> </w:t>
      </w:r>
      <w:r w:rsidR="00230C71" w:rsidRPr="00D5464D">
        <w:rPr>
          <w:rFonts w:cs="Arial"/>
          <w:szCs w:val="20"/>
          <w:lang w:val="pt-BR"/>
        </w:rPr>
        <w:t>originário</w:t>
      </w:r>
      <w:r w:rsidR="0003391C" w:rsidRPr="00D5464D">
        <w:rPr>
          <w:rFonts w:cs="Arial"/>
          <w:szCs w:val="20"/>
          <w:lang w:val="pt-BR"/>
        </w:rPr>
        <w:t>s</w:t>
      </w:r>
      <w:r w:rsidRPr="00D5464D">
        <w:rPr>
          <w:rFonts w:cs="Arial"/>
          <w:szCs w:val="20"/>
          <w:lang w:val="pt-BR"/>
        </w:rPr>
        <w:t xml:space="preserve"> das </w:t>
      </w:r>
      <w:r w:rsidR="002C330E" w:rsidRPr="00D5464D">
        <w:rPr>
          <w:rFonts w:cs="Arial"/>
          <w:szCs w:val="20"/>
          <w:lang w:val="pt-BR"/>
        </w:rPr>
        <w:t>regiões</w:t>
      </w:r>
      <w:r w:rsidR="0003391C" w:rsidRPr="00D5464D">
        <w:rPr>
          <w:rFonts w:cs="Arial"/>
          <w:szCs w:val="20"/>
          <w:lang w:val="pt-BR"/>
        </w:rPr>
        <w:t xml:space="preserve"> norte</w:t>
      </w:r>
      <w:r w:rsidR="00E045D9" w:rsidRPr="00D5464D">
        <w:rPr>
          <w:rFonts w:cs="Arial"/>
          <w:szCs w:val="20"/>
          <w:lang w:val="pt-BR"/>
        </w:rPr>
        <w:t xml:space="preserve"> e </w:t>
      </w:r>
      <w:r w:rsidR="0003391C" w:rsidRPr="00D5464D">
        <w:rPr>
          <w:rFonts w:cs="Arial"/>
          <w:szCs w:val="20"/>
          <w:lang w:val="pt-BR"/>
        </w:rPr>
        <w:t>nor</w:t>
      </w:r>
      <w:r w:rsidR="00D2372C" w:rsidRPr="00D5464D">
        <w:rPr>
          <w:rFonts w:cs="Arial"/>
          <w:szCs w:val="20"/>
          <w:lang w:val="pt-BR"/>
        </w:rPr>
        <w:t>d</w:t>
      </w:r>
      <w:r w:rsidR="0003391C" w:rsidRPr="00D5464D">
        <w:rPr>
          <w:rFonts w:cs="Arial"/>
          <w:szCs w:val="20"/>
          <w:lang w:val="pt-BR"/>
        </w:rPr>
        <w:t>este,</w:t>
      </w:r>
      <w:r w:rsidRPr="00D5464D">
        <w:rPr>
          <w:rFonts w:cs="Arial"/>
          <w:szCs w:val="20"/>
          <w:lang w:val="pt-BR"/>
        </w:rPr>
        <w:t xml:space="preserve"> dos </w:t>
      </w:r>
      <w:r w:rsidR="0003391C" w:rsidRPr="00D5464D">
        <w:rPr>
          <w:rFonts w:cs="Arial"/>
          <w:szCs w:val="20"/>
          <w:lang w:val="pt-BR"/>
        </w:rPr>
        <w:t xml:space="preserve">estados que se </w:t>
      </w:r>
      <w:r w:rsidR="00737270" w:rsidRPr="00D5464D">
        <w:rPr>
          <w:rFonts w:cs="Arial"/>
          <w:szCs w:val="20"/>
          <w:lang w:val="pt-BR"/>
        </w:rPr>
        <w:t>caracterizam</w:t>
      </w:r>
      <w:r w:rsidR="0003391C" w:rsidRPr="00D5464D">
        <w:rPr>
          <w:rFonts w:cs="Arial"/>
          <w:szCs w:val="20"/>
          <w:lang w:val="pt-BR"/>
        </w:rPr>
        <w:t xml:space="preserve"> por ser</w:t>
      </w:r>
      <w:r w:rsidR="00D2372C" w:rsidRPr="00D5464D">
        <w:rPr>
          <w:rFonts w:cs="Arial"/>
          <w:szCs w:val="20"/>
          <w:lang w:val="pt-BR"/>
        </w:rPr>
        <w:t>em</w:t>
      </w:r>
      <w:r w:rsidR="002C330E" w:rsidRPr="00D5464D">
        <w:rPr>
          <w:rFonts w:cs="Arial"/>
          <w:szCs w:val="20"/>
          <w:lang w:val="pt-BR"/>
        </w:rPr>
        <w:t xml:space="preserve"> os mais </w:t>
      </w:r>
      <w:r w:rsidR="0003391C" w:rsidRPr="00D5464D">
        <w:rPr>
          <w:rFonts w:cs="Arial"/>
          <w:szCs w:val="20"/>
          <w:lang w:val="pt-BR"/>
        </w:rPr>
        <w:t>pobres,</w:t>
      </w:r>
      <w:r w:rsidRPr="00D5464D">
        <w:rPr>
          <w:rFonts w:cs="Arial"/>
          <w:szCs w:val="20"/>
          <w:lang w:val="pt-BR"/>
        </w:rPr>
        <w:t xml:space="preserve"> com </w:t>
      </w:r>
      <w:r w:rsidR="00E045D9" w:rsidRPr="00D5464D">
        <w:rPr>
          <w:rFonts w:cs="Arial"/>
          <w:szCs w:val="20"/>
          <w:lang w:val="pt-BR"/>
        </w:rPr>
        <w:t>maiores</w:t>
      </w:r>
      <w:r w:rsidR="0003391C" w:rsidRPr="00D5464D">
        <w:rPr>
          <w:rFonts w:cs="Arial"/>
          <w:szCs w:val="20"/>
          <w:lang w:val="pt-BR"/>
        </w:rPr>
        <w:t xml:space="preserve"> índices de analfabetismo</w:t>
      </w:r>
      <w:r w:rsidR="00E045D9" w:rsidRPr="00D5464D">
        <w:rPr>
          <w:rFonts w:cs="Arial"/>
          <w:szCs w:val="20"/>
          <w:lang w:val="pt-BR"/>
        </w:rPr>
        <w:t xml:space="preserve"> e </w:t>
      </w:r>
      <w:r w:rsidR="0003391C" w:rsidRPr="00D5464D">
        <w:rPr>
          <w:rFonts w:cs="Arial"/>
          <w:szCs w:val="20"/>
          <w:lang w:val="pt-BR"/>
        </w:rPr>
        <w:t xml:space="preserve">de </w:t>
      </w:r>
      <w:r w:rsidR="00A1358C" w:rsidRPr="00D5464D">
        <w:rPr>
          <w:rFonts w:cs="Arial"/>
          <w:szCs w:val="20"/>
          <w:lang w:val="pt-BR"/>
        </w:rPr>
        <w:t>emprego</w:t>
      </w:r>
      <w:r w:rsidR="0003391C" w:rsidRPr="00D5464D">
        <w:rPr>
          <w:rFonts w:cs="Arial"/>
          <w:szCs w:val="20"/>
          <w:lang w:val="pt-BR"/>
        </w:rPr>
        <w:t xml:space="preserve"> rural: Maranhão, Piauí</w:t>
      </w:r>
      <w:r w:rsidR="00E045D9" w:rsidRPr="00D5464D">
        <w:rPr>
          <w:rFonts w:cs="Arial"/>
          <w:szCs w:val="20"/>
          <w:lang w:val="pt-BR"/>
        </w:rPr>
        <w:t xml:space="preserve"> e </w:t>
      </w:r>
      <w:r w:rsidR="0003391C" w:rsidRPr="00D5464D">
        <w:rPr>
          <w:rFonts w:cs="Arial"/>
          <w:szCs w:val="20"/>
          <w:lang w:val="pt-BR"/>
        </w:rPr>
        <w:t>Tocantins</w:t>
      </w:r>
      <w:r w:rsidR="00B36EBC" w:rsidRPr="00D5464D">
        <w:rPr>
          <w:rFonts w:cs="Arial"/>
          <w:szCs w:val="20"/>
          <w:lang w:val="pt-BR"/>
        </w:rPr>
        <w:t>,</w:t>
      </w:r>
      <w:r w:rsidR="0003391C" w:rsidRPr="00D5464D">
        <w:rPr>
          <w:rStyle w:val="Refdenotaalpie"/>
          <w:rFonts w:cs="Arial"/>
          <w:lang w:val="pt-BR"/>
        </w:rPr>
        <w:footnoteReference w:id="70"/>
      </w:r>
      <w:r w:rsidR="00B36EBC" w:rsidRPr="00D5464D">
        <w:rPr>
          <w:rFonts w:cs="Arial"/>
          <w:szCs w:val="20"/>
          <w:lang w:val="pt-BR"/>
        </w:rPr>
        <w:t xml:space="preserve"> entre </w:t>
      </w:r>
      <w:r w:rsidR="002C330E" w:rsidRPr="00D5464D">
        <w:rPr>
          <w:rFonts w:cs="Arial"/>
          <w:szCs w:val="20"/>
          <w:lang w:val="pt-BR"/>
        </w:rPr>
        <w:t>outros</w:t>
      </w:r>
      <w:r w:rsidR="00C91CB1" w:rsidRPr="00D5464D">
        <w:rPr>
          <w:rFonts w:cs="Arial"/>
          <w:szCs w:val="20"/>
          <w:lang w:val="pt-BR"/>
        </w:rPr>
        <w:t xml:space="preserve">. Os </w:t>
      </w:r>
      <w:r w:rsidR="00E045D9" w:rsidRPr="00D5464D">
        <w:rPr>
          <w:rFonts w:cs="Arial"/>
          <w:szCs w:val="20"/>
          <w:lang w:val="pt-BR"/>
        </w:rPr>
        <w:t>trabalhadores</w:t>
      </w:r>
      <w:r w:rsidR="0003391C" w:rsidRPr="00D5464D">
        <w:rPr>
          <w:rFonts w:cs="Arial"/>
          <w:szCs w:val="20"/>
          <w:lang w:val="pt-BR"/>
        </w:rPr>
        <w:t xml:space="preserve"> provenientes </w:t>
      </w:r>
      <w:r w:rsidR="00E045D9" w:rsidRPr="00D5464D">
        <w:rPr>
          <w:rFonts w:cs="Arial"/>
          <w:szCs w:val="20"/>
          <w:lang w:val="pt-BR"/>
        </w:rPr>
        <w:t>deste</w:t>
      </w:r>
      <w:r w:rsidRPr="00D5464D">
        <w:rPr>
          <w:rFonts w:cs="Arial"/>
          <w:szCs w:val="20"/>
          <w:lang w:val="pt-BR"/>
        </w:rPr>
        <w:t xml:space="preserve">s </w:t>
      </w:r>
      <w:r w:rsidR="0003391C" w:rsidRPr="00D5464D">
        <w:rPr>
          <w:rFonts w:cs="Arial"/>
          <w:szCs w:val="20"/>
          <w:lang w:val="pt-BR"/>
        </w:rPr>
        <w:t xml:space="preserve">estados se </w:t>
      </w:r>
      <w:r w:rsidR="00C91CB1" w:rsidRPr="00D5464D">
        <w:rPr>
          <w:rFonts w:cs="Arial"/>
          <w:szCs w:val="20"/>
          <w:lang w:val="pt-BR"/>
        </w:rPr>
        <w:t>dirigem</w:t>
      </w:r>
      <w:r w:rsidR="00E045D9" w:rsidRPr="00D5464D">
        <w:rPr>
          <w:rFonts w:cs="Arial"/>
          <w:szCs w:val="20"/>
          <w:lang w:val="pt-BR"/>
        </w:rPr>
        <w:t xml:space="preserve"> aos </w:t>
      </w:r>
      <w:r w:rsidR="0003391C" w:rsidRPr="00D5464D">
        <w:rPr>
          <w:rFonts w:cs="Arial"/>
          <w:szCs w:val="20"/>
          <w:lang w:val="pt-BR"/>
        </w:rPr>
        <w:t>estados</w:t>
      </w:r>
      <w:r w:rsidRPr="00D5464D">
        <w:rPr>
          <w:rFonts w:cs="Arial"/>
          <w:szCs w:val="20"/>
          <w:lang w:val="pt-BR"/>
        </w:rPr>
        <w:t xml:space="preserve"> com </w:t>
      </w:r>
      <w:r w:rsidR="002C330E" w:rsidRPr="00D5464D">
        <w:rPr>
          <w:rFonts w:cs="Arial"/>
          <w:szCs w:val="20"/>
          <w:lang w:val="pt-BR"/>
        </w:rPr>
        <w:t xml:space="preserve">maior </w:t>
      </w:r>
      <w:r w:rsidR="0003391C" w:rsidRPr="00D5464D">
        <w:rPr>
          <w:rFonts w:cs="Arial"/>
          <w:szCs w:val="20"/>
          <w:lang w:val="pt-BR"/>
        </w:rPr>
        <w:t xml:space="preserve">demanda de </w:t>
      </w:r>
      <w:r w:rsidR="00E045D9" w:rsidRPr="00D5464D">
        <w:rPr>
          <w:rFonts w:cs="Arial"/>
          <w:szCs w:val="20"/>
          <w:lang w:val="pt-BR"/>
        </w:rPr>
        <w:t>trabalho</w:t>
      </w:r>
      <w:r w:rsidR="0003391C" w:rsidRPr="00D5464D">
        <w:rPr>
          <w:rFonts w:cs="Arial"/>
          <w:szCs w:val="20"/>
          <w:lang w:val="pt-BR"/>
        </w:rPr>
        <w:t xml:space="preserve"> </w:t>
      </w:r>
      <w:r w:rsidR="004F1CC2" w:rsidRPr="00D5464D">
        <w:rPr>
          <w:rFonts w:cs="Arial"/>
          <w:szCs w:val="20"/>
          <w:lang w:val="pt-BR"/>
        </w:rPr>
        <w:t>escravo</w:t>
      </w:r>
      <w:r w:rsidR="0003391C" w:rsidRPr="00D5464D">
        <w:rPr>
          <w:rFonts w:cs="Arial"/>
          <w:szCs w:val="20"/>
          <w:lang w:val="pt-BR"/>
        </w:rPr>
        <w:t xml:space="preserve">: Pará, Mato Grosso, </w:t>
      </w:r>
      <w:r w:rsidR="00D85BC5" w:rsidRPr="00D5464D">
        <w:rPr>
          <w:rFonts w:cs="Arial"/>
          <w:szCs w:val="20"/>
          <w:lang w:val="pt-BR"/>
        </w:rPr>
        <w:t>Maranhão</w:t>
      </w:r>
      <w:r w:rsidR="00E045D9" w:rsidRPr="00D5464D">
        <w:rPr>
          <w:rFonts w:cs="Arial"/>
          <w:szCs w:val="20"/>
          <w:lang w:val="pt-BR"/>
        </w:rPr>
        <w:t xml:space="preserve"> e </w:t>
      </w:r>
      <w:r w:rsidR="0003391C" w:rsidRPr="00D5464D">
        <w:rPr>
          <w:rFonts w:cs="Arial"/>
          <w:szCs w:val="20"/>
          <w:lang w:val="pt-BR"/>
        </w:rPr>
        <w:t>Tocantins</w:t>
      </w:r>
      <w:r w:rsidR="00D2372C" w:rsidRPr="00D5464D">
        <w:rPr>
          <w:rFonts w:cs="Arial"/>
          <w:szCs w:val="20"/>
          <w:lang w:val="pt-BR"/>
        </w:rPr>
        <w:t>.</w:t>
      </w:r>
      <w:r w:rsidR="0003391C" w:rsidRPr="00D5464D">
        <w:rPr>
          <w:rStyle w:val="Refdenotaalpie"/>
          <w:rFonts w:cs="Arial"/>
          <w:lang w:val="pt-BR"/>
        </w:rPr>
        <w:footnoteReference w:id="71"/>
      </w:r>
      <w:r w:rsidR="00C91CB1" w:rsidRPr="00D5464D">
        <w:rPr>
          <w:rFonts w:cs="Arial"/>
          <w:szCs w:val="20"/>
          <w:lang w:val="pt-BR"/>
        </w:rPr>
        <w:t xml:space="preserve"> As </w:t>
      </w:r>
      <w:r w:rsidRPr="00D5464D">
        <w:rPr>
          <w:rFonts w:cs="Arial"/>
          <w:szCs w:val="20"/>
          <w:lang w:val="pt-BR"/>
        </w:rPr>
        <w:t>ativ</w:t>
      </w:r>
      <w:r w:rsidR="0003391C" w:rsidRPr="00D5464D">
        <w:rPr>
          <w:rFonts w:cs="Arial"/>
          <w:szCs w:val="20"/>
          <w:lang w:val="pt-BR"/>
        </w:rPr>
        <w:t>idades</w:t>
      </w:r>
      <w:r w:rsidRPr="00D5464D">
        <w:rPr>
          <w:rFonts w:cs="Arial"/>
          <w:szCs w:val="20"/>
          <w:lang w:val="pt-BR"/>
        </w:rPr>
        <w:t xml:space="preserve"> </w:t>
      </w:r>
      <w:r w:rsidR="00D2372C" w:rsidRPr="00D5464D">
        <w:rPr>
          <w:rFonts w:cs="Arial"/>
          <w:szCs w:val="20"/>
          <w:lang w:val="pt-BR"/>
        </w:rPr>
        <w:t xml:space="preserve">que </w:t>
      </w:r>
      <w:r w:rsidR="002C330E" w:rsidRPr="00D5464D">
        <w:rPr>
          <w:rFonts w:cs="Arial"/>
          <w:szCs w:val="20"/>
          <w:lang w:val="pt-BR"/>
        </w:rPr>
        <w:t xml:space="preserve">mais </w:t>
      </w:r>
      <w:r w:rsidR="00350187" w:rsidRPr="00D5464D">
        <w:rPr>
          <w:rFonts w:cs="Arial"/>
          <w:szCs w:val="20"/>
          <w:lang w:val="pt-BR"/>
        </w:rPr>
        <w:t>emprega</w:t>
      </w:r>
      <w:r w:rsidR="00D2372C" w:rsidRPr="00D5464D">
        <w:rPr>
          <w:rFonts w:cs="Arial"/>
          <w:szCs w:val="20"/>
          <w:lang w:val="pt-BR"/>
        </w:rPr>
        <w:t>m</w:t>
      </w:r>
      <w:r w:rsidR="00350187" w:rsidRPr="00D5464D">
        <w:rPr>
          <w:rFonts w:cs="Arial"/>
          <w:szCs w:val="20"/>
          <w:lang w:val="pt-BR"/>
        </w:rPr>
        <w:t xml:space="preserve"> </w:t>
      </w:r>
      <w:r w:rsidR="00E045D9" w:rsidRPr="00D5464D">
        <w:rPr>
          <w:rFonts w:cs="Arial"/>
          <w:szCs w:val="20"/>
          <w:lang w:val="pt-BR"/>
        </w:rPr>
        <w:t>trabalho</w:t>
      </w:r>
      <w:r w:rsidR="0003391C" w:rsidRPr="00D5464D">
        <w:rPr>
          <w:rFonts w:cs="Arial"/>
          <w:szCs w:val="20"/>
          <w:lang w:val="pt-BR"/>
        </w:rPr>
        <w:t xml:space="preserve"> </w:t>
      </w:r>
      <w:r w:rsidR="004F1CC2" w:rsidRPr="00D5464D">
        <w:rPr>
          <w:rFonts w:cs="Arial"/>
          <w:szCs w:val="20"/>
          <w:lang w:val="pt-BR"/>
        </w:rPr>
        <w:t>escravo</w:t>
      </w:r>
      <w:r w:rsidR="002C330E" w:rsidRPr="00D5464D">
        <w:rPr>
          <w:rFonts w:cs="Arial"/>
          <w:szCs w:val="20"/>
          <w:lang w:val="pt-BR"/>
        </w:rPr>
        <w:t xml:space="preserve"> são a </w:t>
      </w:r>
      <w:r w:rsidR="00D2372C" w:rsidRPr="00D5464D">
        <w:rPr>
          <w:rFonts w:cs="Arial"/>
          <w:szCs w:val="20"/>
          <w:lang w:val="pt-BR"/>
        </w:rPr>
        <w:t>criação de gado</w:t>
      </w:r>
      <w:r w:rsidR="0003391C" w:rsidRPr="00D5464D">
        <w:rPr>
          <w:rFonts w:cs="Arial"/>
          <w:szCs w:val="20"/>
          <w:lang w:val="pt-BR"/>
        </w:rPr>
        <w:t>,</w:t>
      </w:r>
      <w:r w:rsidR="002C330E" w:rsidRPr="00D5464D">
        <w:rPr>
          <w:rFonts w:cs="Arial"/>
          <w:szCs w:val="20"/>
          <w:lang w:val="pt-BR"/>
        </w:rPr>
        <w:t xml:space="preserve"> a </w:t>
      </w:r>
      <w:r w:rsidR="0003391C" w:rsidRPr="00D5464D">
        <w:rPr>
          <w:rFonts w:cs="Arial"/>
          <w:szCs w:val="20"/>
          <w:lang w:val="pt-BR"/>
        </w:rPr>
        <w:t xml:space="preserve">agricultura </w:t>
      </w:r>
      <w:r w:rsidR="00D2372C" w:rsidRPr="00D5464D">
        <w:rPr>
          <w:rFonts w:cs="Arial"/>
          <w:szCs w:val="20"/>
          <w:lang w:val="pt-BR"/>
        </w:rPr>
        <w:t>em</w:t>
      </w:r>
      <w:r w:rsidR="0003391C" w:rsidRPr="00D5464D">
        <w:rPr>
          <w:rFonts w:cs="Arial"/>
          <w:szCs w:val="20"/>
          <w:lang w:val="pt-BR"/>
        </w:rPr>
        <w:t xml:space="preserve"> </w:t>
      </w:r>
      <w:r w:rsidR="002C330E" w:rsidRPr="00D5464D">
        <w:rPr>
          <w:rFonts w:cs="Arial"/>
          <w:szCs w:val="20"/>
          <w:lang w:val="pt-BR"/>
        </w:rPr>
        <w:t xml:space="preserve">grande </w:t>
      </w:r>
      <w:r w:rsidR="0003391C" w:rsidRPr="00D5464D">
        <w:rPr>
          <w:rFonts w:cs="Arial"/>
          <w:szCs w:val="20"/>
          <w:lang w:val="pt-BR"/>
        </w:rPr>
        <w:t>escala,</w:t>
      </w:r>
      <w:r w:rsidR="002C330E" w:rsidRPr="00D5464D">
        <w:rPr>
          <w:rFonts w:cs="Arial"/>
          <w:szCs w:val="20"/>
          <w:lang w:val="pt-BR"/>
        </w:rPr>
        <w:t xml:space="preserve"> </w:t>
      </w:r>
      <w:r w:rsidR="005326C7" w:rsidRPr="00D5464D">
        <w:rPr>
          <w:rFonts w:cs="Arial"/>
          <w:szCs w:val="20"/>
          <w:lang w:val="pt-BR"/>
        </w:rPr>
        <w:t>o</w:t>
      </w:r>
      <w:r w:rsidR="002C330E" w:rsidRPr="00D5464D">
        <w:rPr>
          <w:rFonts w:cs="Arial"/>
          <w:szCs w:val="20"/>
          <w:lang w:val="pt-BR"/>
        </w:rPr>
        <w:t xml:space="preserve"> </w:t>
      </w:r>
      <w:r w:rsidR="0003391C" w:rsidRPr="00D5464D">
        <w:rPr>
          <w:rFonts w:cs="Arial"/>
          <w:szCs w:val="20"/>
          <w:lang w:val="pt-BR"/>
        </w:rPr>
        <w:t>de</w:t>
      </w:r>
      <w:r w:rsidR="00D2372C" w:rsidRPr="00D5464D">
        <w:rPr>
          <w:rFonts w:cs="Arial"/>
          <w:szCs w:val="20"/>
          <w:lang w:val="pt-BR"/>
        </w:rPr>
        <w:t xml:space="preserve">smatamento </w:t>
      </w:r>
      <w:r w:rsidR="00E045D9" w:rsidRPr="00D5464D">
        <w:rPr>
          <w:rFonts w:cs="Arial"/>
          <w:szCs w:val="20"/>
          <w:lang w:val="pt-BR"/>
        </w:rPr>
        <w:t xml:space="preserve">e </w:t>
      </w:r>
      <w:r w:rsidR="002C330E" w:rsidRPr="00D5464D">
        <w:rPr>
          <w:rFonts w:cs="Arial"/>
          <w:szCs w:val="20"/>
          <w:lang w:val="pt-BR"/>
        </w:rPr>
        <w:t xml:space="preserve">a </w:t>
      </w:r>
      <w:r w:rsidR="00230C71" w:rsidRPr="00D5464D">
        <w:rPr>
          <w:rFonts w:cs="Arial"/>
          <w:szCs w:val="20"/>
          <w:lang w:val="pt-BR"/>
        </w:rPr>
        <w:t>exploração</w:t>
      </w:r>
      <w:r w:rsidR="0003391C" w:rsidRPr="00D5464D">
        <w:rPr>
          <w:rFonts w:cs="Arial"/>
          <w:szCs w:val="20"/>
          <w:lang w:val="pt-BR"/>
        </w:rPr>
        <w:t xml:space="preserve"> de </w:t>
      </w:r>
      <w:r w:rsidR="00D2372C" w:rsidRPr="00D5464D">
        <w:rPr>
          <w:rFonts w:cs="Arial"/>
          <w:szCs w:val="20"/>
          <w:lang w:val="pt-BR"/>
        </w:rPr>
        <w:t>carvão.</w:t>
      </w:r>
      <w:r w:rsidR="0003391C" w:rsidRPr="00D5464D">
        <w:rPr>
          <w:rStyle w:val="Refdenotaalpie"/>
          <w:rFonts w:cs="Arial"/>
          <w:lang w:val="pt-BR"/>
        </w:rPr>
        <w:footnoteReference w:id="72"/>
      </w:r>
    </w:p>
    <w:p w14:paraId="28385124" w14:textId="77777777" w:rsidR="0003391C" w:rsidRPr="00D5464D" w:rsidRDefault="0003391C" w:rsidP="00140440">
      <w:pPr>
        <w:pStyle w:val="Prrafodelista"/>
        <w:autoSpaceDE w:val="0"/>
        <w:autoSpaceDN w:val="0"/>
        <w:adjustRightInd w:val="0"/>
        <w:ind w:left="0"/>
        <w:contextualSpacing w:val="0"/>
        <w:rPr>
          <w:rFonts w:cs="Times New Roman"/>
          <w:szCs w:val="20"/>
          <w:lang w:val="pt-BR"/>
        </w:rPr>
      </w:pPr>
    </w:p>
    <w:p w14:paraId="138DA5DA" w14:textId="29A61967" w:rsidR="0003391C" w:rsidRPr="00D5464D" w:rsidRDefault="00D2372C" w:rsidP="00140440">
      <w:pPr>
        <w:pStyle w:val="Prrafodelista"/>
        <w:numPr>
          <w:ilvl w:val="0"/>
          <w:numId w:val="1"/>
        </w:numPr>
        <w:autoSpaceDE w:val="0"/>
        <w:autoSpaceDN w:val="0"/>
        <w:adjustRightInd w:val="0"/>
        <w:contextualSpacing w:val="0"/>
        <w:rPr>
          <w:rFonts w:cs="Times New Roman"/>
          <w:szCs w:val="20"/>
          <w:lang w:val="pt-BR"/>
        </w:rPr>
      </w:pPr>
      <w:r w:rsidRPr="00D5464D">
        <w:rPr>
          <w:rFonts w:cs="Arial"/>
          <w:szCs w:val="20"/>
          <w:lang w:val="pt-BR"/>
        </w:rPr>
        <w:t>O</w:t>
      </w:r>
      <w:r w:rsidR="0003391C" w:rsidRPr="00D5464D">
        <w:rPr>
          <w:rFonts w:cs="Arial"/>
          <w:szCs w:val="20"/>
          <w:lang w:val="pt-BR"/>
        </w:rPr>
        <w:t xml:space="preserve">s </w:t>
      </w:r>
      <w:r w:rsidR="00E045D9" w:rsidRPr="00D5464D">
        <w:rPr>
          <w:rFonts w:cs="Arial"/>
          <w:szCs w:val="20"/>
          <w:lang w:val="pt-BR"/>
        </w:rPr>
        <w:t>trabalhadores</w:t>
      </w:r>
      <w:r w:rsidR="0003391C" w:rsidRPr="00D5464D">
        <w:rPr>
          <w:rFonts w:cs="Arial"/>
          <w:szCs w:val="20"/>
          <w:lang w:val="pt-BR"/>
        </w:rPr>
        <w:t>,</w:t>
      </w:r>
      <w:r w:rsidR="00470ADC" w:rsidRPr="00D5464D">
        <w:rPr>
          <w:rFonts w:cs="Arial"/>
          <w:szCs w:val="20"/>
          <w:lang w:val="pt-BR"/>
        </w:rPr>
        <w:t xml:space="preserve"> em </w:t>
      </w:r>
      <w:r w:rsidR="00737270" w:rsidRPr="00D5464D">
        <w:rPr>
          <w:rFonts w:cs="Arial"/>
          <w:szCs w:val="20"/>
          <w:lang w:val="pt-BR"/>
        </w:rPr>
        <w:t>sua maioria</w:t>
      </w:r>
      <w:r w:rsidR="0003391C" w:rsidRPr="00D5464D">
        <w:rPr>
          <w:rFonts w:cs="Arial"/>
          <w:szCs w:val="20"/>
          <w:lang w:val="pt-BR"/>
        </w:rPr>
        <w:t xml:space="preserve"> </w:t>
      </w:r>
      <w:r w:rsidR="00E045D9" w:rsidRPr="00D5464D">
        <w:rPr>
          <w:rFonts w:cs="Arial"/>
          <w:szCs w:val="20"/>
          <w:lang w:val="pt-BR"/>
        </w:rPr>
        <w:t>homens</w:t>
      </w:r>
      <w:r w:rsidR="0003391C" w:rsidRPr="00D5464D">
        <w:rPr>
          <w:rFonts w:cs="Arial"/>
          <w:szCs w:val="20"/>
          <w:lang w:val="pt-BR"/>
        </w:rPr>
        <w:t xml:space="preserve"> pobres</w:t>
      </w:r>
      <w:r w:rsidR="00951161" w:rsidRPr="00D5464D">
        <w:rPr>
          <w:rFonts w:cs="Arial"/>
          <w:szCs w:val="20"/>
          <w:lang w:val="pt-BR"/>
        </w:rPr>
        <w:t>,</w:t>
      </w:r>
      <w:r w:rsidR="0003391C" w:rsidRPr="00D5464D">
        <w:rPr>
          <w:rFonts w:cs="Arial"/>
          <w:szCs w:val="20"/>
          <w:lang w:val="pt-BR"/>
        </w:rPr>
        <w:t xml:space="preserve"> </w:t>
      </w:r>
      <w:r w:rsidR="00951161" w:rsidRPr="00D5464D">
        <w:rPr>
          <w:rFonts w:cs="Arial"/>
          <w:szCs w:val="20"/>
          <w:lang w:val="pt-BR"/>
        </w:rPr>
        <w:t>“</w:t>
      </w:r>
      <w:r w:rsidR="00C57C01" w:rsidRPr="00D5464D">
        <w:rPr>
          <w:rFonts w:cs="Arial"/>
          <w:szCs w:val="20"/>
          <w:lang w:val="pt-BR"/>
        </w:rPr>
        <w:t>afrodescendentes o</w:t>
      </w:r>
      <w:r w:rsidRPr="00D5464D">
        <w:rPr>
          <w:rFonts w:cs="Arial"/>
          <w:szCs w:val="20"/>
          <w:lang w:val="pt-BR"/>
        </w:rPr>
        <w:t>u</w:t>
      </w:r>
      <w:r w:rsidR="00C57C01" w:rsidRPr="00D5464D">
        <w:rPr>
          <w:rFonts w:cs="Arial"/>
          <w:szCs w:val="20"/>
          <w:lang w:val="pt-BR"/>
        </w:rPr>
        <w:t xml:space="preserve"> </w:t>
      </w:r>
      <w:r w:rsidRPr="00D5464D">
        <w:rPr>
          <w:rFonts w:cs="Arial"/>
          <w:szCs w:val="20"/>
          <w:lang w:val="pt-BR"/>
        </w:rPr>
        <w:t>mulatos</w:t>
      </w:r>
      <w:r w:rsidR="00951161" w:rsidRPr="00D5464D">
        <w:rPr>
          <w:rFonts w:cs="Arial"/>
          <w:szCs w:val="20"/>
          <w:lang w:val="pt-BR"/>
        </w:rPr>
        <w:t>”</w:t>
      </w:r>
      <w:r w:rsidRPr="00D5464D">
        <w:rPr>
          <w:rFonts w:cs="Arial"/>
          <w:szCs w:val="20"/>
          <w:lang w:val="pt-BR"/>
        </w:rPr>
        <w:t>,</w:t>
      </w:r>
      <w:r w:rsidR="00951161" w:rsidRPr="00D5464D">
        <w:rPr>
          <w:rStyle w:val="Refdenotaalpie"/>
          <w:lang w:val="pt-BR"/>
        </w:rPr>
        <w:footnoteReference w:id="73"/>
      </w:r>
      <w:r w:rsidR="00C57C01" w:rsidRPr="00D5464D">
        <w:rPr>
          <w:rFonts w:cs="Arial"/>
          <w:szCs w:val="20"/>
          <w:lang w:val="pt-BR"/>
        </w:rPr>
        <w:t xml:space="preserve"> </w:t>
      </w:r>
      <w:r w:rsidR="0003391C" w:rsidRPr="00D5464D">
        <w:rPr>
          <w:rFonts w:cs="Arial"/>
          <w:szCs w:val="20"/>
          <w:lang w:val="pt-BR"/>
        </w:rPr>
        <w:t>entre 18</w:t>
      </w:r>
      <w:r w:rsidR="00E045D9" w:rsidRPr="00D5464D">
        <w:rPr>
          <w:rFonts w:cs="Arial"/>
          <w:szCs w:val="20"/>
          <w:lang w:val="pt-BR"/>
        </w:rPr>
        <w:t xml:space="preserve"> e </w:t>
      </w:r>
      <w:r w:rsidR="0003391C" w:rsidRPr="00D5464D">
        <w:rPr>
          <w:rFonts w:cs="Arial"/>
          <w:szCs w:val="20"/>
          <w:lang w:val="pt-BR"/>
        </w:rPr>
        <w:t xml:space="preserve">40 </w:t>
      </w:r>
      <w:r w:rsidR="00470ADC" w:rsidRPr="00D5464D">
        <w:rPr>
          <w:rFonts w:cs="Arial"/>
          <w:szCs w:val="20"/>
          <w:lang w:val="pt-BR"/>
        </w:rPr>
        <w:t>anos</w:t>
      </w:r>
      <w:r w:rsidR="0003391C" w:rsidRPr="00D5464D">
        <w:rPr>
          <w:rFonts w:cs="Arial"/>
          <w:szCs w:val="20"/>
          <w:lang w:val="pt-BR"/>
        </w:rPr>
        <w:t xml:space="preserve"> de</w:t>
      </w:r>
      <w:r w:rsidR="00470ADC" w:rsidRPr="00D5464D">
        <w:rPr>
          <w:rFonts w:cs="Arial"/>
          <w:szCs w:val="20"/>
          <w:lang w:val="pt-BR"/>
        </w:rPr>
        <w:t xml:space="preserve"> idade</w:t>
      </w:r>
      <w:r w:rsidRPr="00D5464D">
        <w:rPr>
          <w:rFonts w:cs="Arial"/>
          <w:szCs w:val="20"/>
          <w:lang w:val="pt-BR"/>
        </w:rPr>
        <w:t>,</w:t>
      </w:r>
      <w:r w:rsidR="0003391C" w:rsidRPr="00D5464D">
        <w:rPr>
          <w:rStyle w:val="Refdenotaalpie"/>
          <w:rFonts w:cs="Arial"/>
          <w:lang w:val="pt-BR"/>
        </w:rPr>
        <w:footnoteReference w:id="74"/>
      </w:r>
      <w:r w:rsidR="002C330E" w:rsidRPr="00D5464D">
        <w:rPr>
          <w:rFonts w:cs="Arial"/>
          <w:szCs w:val="20"/>
          <w:lang w:val="pt-BR"/>
        </w:rPr>
        <w:t xml:space="preserve"> são </w:t>
      </w:r>
      <w:r w:rsidRPr="00D5464D">
        <w:rPr>
          <w:rFonts w:cs="Arial"/>
          <w:szCs w:val="20"/>
          <w:lang w:val="pt-BR"/>
        </w:rPr>
        <w:t>recruta</w:t>
      </w:r>
      <w:r w:rsidR="0003391C" w:rsidRPr="00D5464D">
        <w:rPr>
          <w:rFonts w:cs="Arial"/>
          <w:szCs w:val="20"/>
          <w:lang w:val="pt-BR"/>
        </w:rPr>
        <w:t>dos</w:t>
      </w:r>
      <w:r w:rsidR="00470ADC" w:rsidRPr="00D5464D">
        <w:rPr>
          <w:rFonts w:cs="Arial"/>
          <w:szCs w:val="20"/>
          <w:lang w:val="pt-BR"/>
        </w:rPr>
        <w:t xml:space="preserve"> em </w:t>
      </w:r>
      <w:r w:rsidR="0003391C" w:rsidRPr="00D5464D">
        <w:rPr>
          <w:rFonts w:cs="Arial"/>
          <w:szCs w:val="20"/>
          <w:lang w:val="pt-BR"/>
        </w:rPr>
        <w:t>s</w:t>
      </w:r>
      <w:r w:rsidRPr="00D5464D">
        <w:rPr>
          <w:rFonts w:cs="Arial"/>
          <w:szCs w:val="20"/>
          <w:lang w:val="pt-BR"/>
        </w:rPr>
        <w:t>e</w:t>
      </w:r>
      <w:r w:rsidR="0003391C" w:rsidRPr="00D5464D">
        <w:rPr>
          <w:rFonts w:cs="Arial"/>
          <w:szCs w:val="20"/>
          <w:lang w:val="pt-BR"/>
        </w:rPr>
        <w:t xml:space="preserve">us estados de </w:t>
      </w:r>
      <w:r w:rsidR="002C330E" w:rsidRPr="00D5464D">
        <w:rPr>
          <w:rFonts w:cs="Arial"/>
          <w:szCs w:val="20"/>
          <w:lang w:val="pt-BR"/>
        </w:rPr>
        <w:t xml:space="preserve">origem </w:t>
      </w:r>
      <w:r w:rsidRPr="00D5464D">
        <w:rPr>
          <w:rFonts w:cs="Arial"/>
          <w:szCs w:val="20"/>
          <w:lang w:val="pt-BR"/>
        </w:rPr>
        <w:t xml:space="preserve">por </w:t>
      </w:r>
      <w:r w:rsidR="006C57DD" w:rsidRPr="00D5464D">
        <w:rPr>
          <w:rFonts w:cs="Arial"/>
          <w:szCs w:val="20"/>
          <w:lang w:val="pt-BR"/>
        </w:rPr>
        <w:t>“</w:t>
      </w:r>
      <w:r w:rsidR="00996473" w:rsidRPr="00D5464D">
        <w:rPr>
          <w:rFonts w:cs="Arial"/>
          <w:szCs w:val="20"/>
          <w:lang w:val="pt-BR"/>
        </w:rPr>
        <w:t>gatos</w:t>
      </w:r>
      <w:r w:rsidR="006C57DD" w:rsidRPr="00D5464D">
        <w:rPr>
          <w:rFonts w:cs="Arial"/>
          <w:szCs w:val="20"/>
          <w:lang w:val="pt-BR"/>
        </w:rPr>
        <w:t>”</w:t>
      </w:r>
      <w:r w:rsidRPr="00D5464D">
        <w:rPr>
          <w:rFonts w:cs="Arial"/>
          <w:i/>
          <w:szCs w:val="20"/>
          <w:lang w:val="pt-BR"/>
        </w:rPr>
        <w:t>,</w:t>
      </w:r>
      <w:r w:rsidR="0003391C" w:rsidRPr="00D5464D">
        <w:rPr>
          <w:rStyle w:val="Refdenotaalpie"/>
          <w:rFonts w:cs="Arial"/>
          <w:lang w:val="pt-BR"/>
        </w:rPr>
        <w:footnoteReference w:id="75"/>
      </w:r>
      <w:r w:rsidR="0003391C" w:rsidRPr="00D5464D">
        <w:rPr>
          <w:rFonts w:cs="Arial"/>
          <w:szCs w:val="20"/>
          <w:lang w:val="pt-BR"/>
        </w:rPr>
        <w:t xml:space="preserve"> para </w:t>
      </w:r>
      <w:r w:rsidR="00E045D9" w:rsidRPr="00D5464D">
        <w:rPr>
          <w:rFonts w:cs="Arial"/>
          <w:szCs w:val="20"/>
          <w:lang w:val="pt-BR"/>
        </w:rPr>
        <w:t>trabalh</w:t>
      </w:r>
      <w:r w:rsidR="0003391C" w:rsidRPr="00D5464D">
        <w:rPr>
          <w:rFonts w:cs="Arial"/>
          <w:szCs w:val="20"/>
          <w:lang w:val="pt-BR"/>
        </w:rPr>
        <w:t>ar</w:t>
      </w:r>
      <w:r w:rsidR="00470ADC" w:rsidRPr="00D5464D">
        <w:rPr>
          <w:rFonts w:cs="Arial"/>
          <w:szCs w:val="20"/>
          <w:lang w:val="pt-BR"/>
        </w:rPr>
        <w:t xml:space="preserve"> em </w:t>
      </w:r>
      <w:r w:rsidR="0003391C" w:rsidRPr="00D5464D">
        <w:rPr>
          <w:rFonts w:cs="Arial"/>
          <w:szCs w:val="20"/>
          <w:lang w:val="pt-BR"/>
        </w:rPr>
        <w:t xml:space="preserve">estados </w:t>
      </w:r>
      <w:r w:rsidRPr="00D5464D">
        <w:rPr>
          <w:rFonts w:cs="Arial"/>
          <w:szCs w:val="20"/>
          <w:lang w:val="pt-BR"/>
        </w:rPr>
        <w:t>distantes</w:t>
      </w:r>
      <w:r w:rsidR="0003391C" w:rsidRPr="00D5464D">
        <w:rPr>
          <w:rFonts w:cs="Arial"/>
          <w:szCs w:val="20"/>
          <w:lang w:val="pt-BR"/>
        </w:rPr>
        <w:t>,</w:t>
      </w:r>
      <w:r w:rsidR="00470ADC" w:rsidRPr="00D5464D">
        <w:rPr>
          <w:rFonts w:cs="Arial"/>
          <w:szCs w:val="20"/>
          <w:lang w:val="pt-BR"/>
        </w:rPr>
        <w:t xml:space="preserve"> com</w:t>
      </w:r>
      <w:r w:rsidR="002C330E" w:rsidRPr="00D5464D">
        <w:rPr>
          <w:rFonts w:cs="Arial"/>
          <w:szCs w:val="20"/>
          <w:lang w:val="pt-BR"/>
        </w:rPr>
        <w:t xml:space="preserve"> a </w:t>
      </w:r>
      <w:r w:rsidR="00A1358C" w:rsidRPr="00D5464D">
        <w:rPr>
          <w:rFonts w:cs="Arial"/>
          <w:szCs w:val="20"/>
          <w:lang w:val="pt-BR"/>
        </w:rPr>
        <w:t>promessa</w:t>
      </w:r>
      <w:r w:rsidR="0003391C" w:rsidRPr="00D5464D">
        <w:rPr>
          <w:rFonts w:cs="Arial"/>
          <w:szCs w:val="20"/>
          <w:lang w:val="pt-BR"/>
        </w:rPr>
        <w:t xml:space="preserve"> de </w:t>
      </w:r>
      <w:r w:rsidR="00E045D9" w:rsidRPr="00D5464D">
        <w:rPr>
          <w:rFonts w:cs="Arial"/>
          <w:szCs w:val="20"/>
          <w:lang w:val="pt-BR"/>
        </w:rPr>
        <w:t>salário</w:t>
      </w:r>
      <w:r w:rsidR="0003391C" w:rsidRPr="00D5464D">
        <w:rPr>
          <w:rFonts w:cs="Arial"/>
          <w:szCs w:val="20"/>
          <w:lang w:val="pt-BR"/>
        </w:rPr>
        <w:t>s atr</w:t>
      </w:r>
      <w:r w:rsidR="00470ADC" w:rsidRPr="00D5464D">
        <w:rPr>
          <w:rFonts w:cs="Arial"/>
          <w:szCs w:val="20"/>
          <w:lang w:val="pt-BR"/>
        </w:rPr>
        <w:t>ativ</w:t>
      </w:r>
      <w:r w:rsidR="0003391C" w:rsidRPr="00D5464D">
        <w:rPr>
          <w:rFonts w:cs="Arial"/>
          <w:szCs w:val="20"/>
          <w:lang w:val="pt-BR"/>
        </w:rPr>
        <w:t>os</w:t>
      </w:r>
      <w:r w:rsidRPr="00D5464D">
        <w:rPr>
          <w:rFonts w:cs="Arial"/>
          <w:szCs w:val="20"/>
          <w:lang w:val="pt-BR"/>
        </w:rPr>
        <w:t>.</w:t>
      </w:r>
      <w:r w:rsidR="0003391C" w:rsidRPr="00D5464D">
        <w:rPr>
          <w:rStyle w:val="Refdenotaalpie"/>
          <w:rFonts w:cs="Arial"/>
          <w:lang w:val="pt-BR"/>
        </w:rPr>
        <w:footnoteReference w:id="76"/>
      </w:r>
      <w:r w:rsidR="00C91CB1" w:rsidRPr="00D5464D">
        <w:rPr>
          <w:rFonts w:cs="Times New Roman"/>
          <w:szCs w:val="20"/>
          <w:lang w:val="pt-BR"/>
        </w:rPr>
        <w:t xml:space="preserve"> Ao </w:t>
      </w:r>
      <w:r w:rsidR="00737270" w:rsidRPr="00D5464D">
        <w:rPr>
          <w:rFonts w:cs="Arial"/>
          <w:szCs w:val="20"/>
          <w:lang w:val="pt-BR"/>
        </w:rPr>
        <w:t>chegar</w:t>
      </w:r>
      <w:r w:rsidRPr="00D5464D">
        <w:rPr>
          <w:rFonts w:cs="Arial"/>
          <w:szCs w:val="20"/>
          <w:lang w:val="pt-BR"/>
        </w:rPr>
        <w:t>em</w:t>
      </w:r>
      <w:r w:rsidR="00E045D9" w:rsidRPr="00D5464D">
        <w:rPr>
          <w:rFonts w:cs="Arial"/>
          <w:szCs w:val="20"/>
          <w:lang w:val="pt-BR"/>
        </w:rPr>
        <w:t xml:space="preserve"> às </w:t>
      </w:r>
      <w:r w:rsidR="00D809F0" w:rsidRPr="00D5464D">
        <w:rPr>
          <w:rFonts w:cs="Arial"/>
          <w:szCs w:val="20"/>
          <w:lang w:val="pt-BR"/>
        </w:rPr>
        <w:t>fazenda</w:t>
      </w:r>
      <w:r w:rsidR="0003391C" w:rsidRPr="00D5464D">
        <w:rPr>
          <w:rFonts w:cs="Arial"/>
          <w:szCs w:val="20"/>
          <w:lang w:val="pt-BR"/>
        </w:rPr>
        <w:t>s,</w:t>
      </w:r>
      <w:r w:rsidR="002C330E" w:rsidRPr="00D5464D">
        <w:rPr>
          <w:rFonts w:cs="Arial"/>
          <w:szCs w:val="20"/>
          <w:lang w:val="pt-BR"/>
        </w:rPr>
        <w:t xml:space="preserve"> os </w:t>
      </w:r>
      <w:r w:rsidR="00E045D9" w:rsidRPr="00D5464D">
        <w:rPr>
          <w:rFonts w:cs="Arial"/>
          <w:szCs w:val="20"/>
          <w:lang w:val="pt-BR"/>
        </w:rPr>
        <w:t>trabalhadores</w:t>
      </w:r>
      <w:r w:rsidR="002C330E" w:rsidRPr="00D5464D">
        <w:rPr>
          <w:rFonts w:cs="Arial"/>
          <w:szCs w:val="20"/>
          <w:lang w:val="pt-BR"/>
        </w:rPr>
        <w:t xml:space="preserve"> são </w:t>
      </w:r>
      <w:r w:rsidR="0003391C" w:rsidRPr="00D5464D">
        <w:rPr>
          <w:rFonts w:cs="Arial"/>
          <w:szCs w:val="20"/>
          <w:lang w:val="pt-BR"/>
        </w:rPr>
        <w:t>informados de que</w:t>
      </w:r>
      <w:r w:rsidR="00470ADC" w:rsidRPr="00D5464D">
        <w:rPr>
          <w:rFonts w:cs="Arial"/>
          <w:szCs w:val="20"/>
          <w:lang w:val="pt-BR"/>
        </w:rPr>
        <w:t xml:space="preserve"> estão em dívida com </w:t>
      </w:r>
      <w:r w:rsidR="0003391C" w:rsidRPr="00D5464D">
        <w:rPr>
          <w:rFonts w:cs="Arial"/>
          <w:szCs w:val="20"/>
          <w:lang w:val="pt-BR"/>
        </w:rPr>
        <w:t>s</w:t>
      </w:r>
      <w:r w:rsidRPr="00D5464D">
        <w:rPr>
          <w:rFonts w:cs="Arial"/>
          <w:szCs w:val="20"/>
          <w:lang w:val="pt-BR"/>
        </w:rPr>
        <w:t>e</w:t>
      </w:r>
      <w:r w:rsidR="0003391C" w:rsidRPr="00D5464D">
        <w:rPr>
          <w:rFonts w:cs="Arial"/>
          <w:szCs w:val="20"/>
          <w:lang w:val="pt-BR"/>
        </w:rPr>
        <w:t xml:space="preserve">us </w:t>
      </w:r>
      <w:r w:rsidRPr="00D5464D">
        <w:rPr>
          <w:rFonts w:cs="Arial"/>
          <w:szCs w:val="20"/>
          <w:lang w:val="pt-BR"/>
        </w:rPr>
        <w:t>contratantes</w:t>
      </w:r>
      <w:r w:rsidR="0003391C" w:rsidRPr="00D5464D">
        <w:rPr>
          <w:rFonts w:cs="Arial"/>
          <w:szCs w:val="20"/>
          <w:lang w:val="pt-BR"/>
        </w:rPr>
        <w:t xml:space="preserve"> por s</w:t>
      </w:r>
      <w:r w:rsidRPr="00D5464D">
        <w:rPr>
          <w:rFonts w:cs="Arial"/>
          <w:szCs w:val="20"/>
          <w:lang w:val="pt-BR"/>
        </w:rPr>
        <w:t>e</w:t>
      </w:r>
      <w:r w:rsidR="0003391C" w:rsidRPr="00D5464D">
        <w:rPr>
          <w:rFonts w:cs="Arial"/>
          <w:szCs w:val="20"/>
          <w:lang w:val="pt-BR"/>
        </w:rPr>
        <w:t>u transporte, alimenta</w:t>
      </w:r>
      <w:r w:rsidR="00470ADC" w:rsidRPr="00D5464D">
        <w:rPr>
          <w:rFonts w:cs="Arial"/>
          <w:szCs w:val="20"/>
          <w:lang w:val="pt-BR"/>
        </w:rPr>
        <w:t>ção</w:t>
      </w:r>
      <w:r w:rsidR="00E045D9" w:rsidRPr="00D5464D">
        <w:rPr>
          <w:rFonts w:cs="Arial"/>
          <w:szCs w:val="20"/>
          <w:lang w:val="pt-BR"/>
        </w:rPr>
        <w:t xml:space="preserve"> e </w:t>
      </w:r>
      <w:r w:rsidR="0003391C" w:rsidRPr="00D5464D">
        <w:rPr>
          <w:rFonts w:cs="Arial"/>
          <w:szCs w:val="20"/>
          <w:lang w:val="pt-BR"/>
        </w:rPr>
        <w:t>hospeda</w:t>
      </w:r>
      <w:r w:rsidRPr="00D5464D">
        <w:rPr>
          <w:rFonts w:cs="Arial"/>
          <w:szCs w:val="20"/>
          <w:lang w:val="pt-BR"/>
        </w:rPr>
        <w:t>gem</w:t>
      </w:r>
      <w:r w:rsidR="00C91CB1" w:rsidRPr="00D5464D">
        <w:rPr>
          <w:rFonts w:cs="Arial"/>
          <w:szCs w:val="20"/>
          <w:lang w:val="pt-BR"/>
        </w:rPr>
        <w:t xml:space="preserve">. Os </w:t>
      </w:r>
      <w:r w:rsidR="00E045D9" w:rsidRPr="00D5464D">
        <w:rPr>
          <w:rFonts w:cs="Arial"/>
          <w:szCs w:val="20"/>
          <w:lang w:val="pt-BR"/>
        </w:rPr>
        <w:t>salário</w:t>
      </w:r>
      <w:r w:rsidR="0003391C" w:rsidRPr="00D5464D">
        <w:rPr>
          <w:rFonts w:cs="Arial"/>
          <w:szCs w:val="20"/>
          <w:lang w:val="pt-BR"/>
        </w:rPr>
        <w:t>s prometidos</w:t>
      </w:r>
      <w:r w:rsidR="002C330E" w:rsidRPr="00D5464D">
        <w:rPr>
          <w:rFonts w:cs="Arial"/>
          <w:szCs w:val="20"/>
          <w:lang w:val="pt-BR"/>
        </w:rPr>
        <w:t xml:space="preserve"> são reduzido</w:t>
      </w:r>
      <w:r w:rsidR="0003391C" w:rsidRPr="00D5464D">
        <w:rPr>
          <w:rFonts w:cs="Arial"/>
          <w:szCs w:val="20"/>
          <w:lang w:val="pt-BR"/>
        </w:rPr>
        <w:t>s</w:t>
      </w:r>
      <w:r w:rsidR="00E045D9" w:rsidRPr="00D5464D">
        <w:rPr>
          <w:rFonts w:cs="Arial"/>
          <w:szCs w:val="20"/>
          <w:lang w:val="pt-BR"/>
        </w:rPr>
        <w:t xml:space="preserve"> e </w:t>
      </w:r>
      <w:r w:rsidRPr="00D5464D">
        <w:rPr>
          <w:rFonts w:cs="Arial"/>
          <w:szCs w:val="20"/>
          <w:lang w:val="pt-BR"/>
        </w:rPr>
        <w:t xml:space="preserve">não cobrem </w:t>
      </w:r>
      <w:r w:rsidR="002C330E" w:rsidRPr="00D5464D">
        <w:rPr>
          <w:rFonts w:cs="Arial"/>
          <w:szCs w:val="20"/>
          <w:lang w:val="pt-BR"/>
        </w:rPr>
        <w:t>os</w:t>
      </w:r>
      <w:r w:rsidR="00E045D9" w:rsidRPr="00D5464D">
        <w:rPr>
          <w:rFonts w:cs="Arial"/>
          <w:szCs w:val="20"/>
          <w:lang w:val="pt-BR"/>
        </w:rPr>
        <w:t xml:space="preserve"> custos já assumid</w:t>
      </w:r>
      <w:r w:rsidR="0003391C" w:rsidRPr="00D5464D">
        <w:rPr>
          <w:rFonts w:cs="Arial"/>
          <w:szCs w:val="20"/>
          <w:lang w:val="pt-BR"/>
        </w:rPr>
        <w:t>os</w:t>
      </w:r>
      <w:r w:rsidR="00C91CB1" w:rsidRPr="00D5464D">
        <w:rPr>
          <w:rFonts w:cs="Arial"/>
          <w:szCs w:val="20"/>
          <w:lang w:val="pt-BR"/>
        </w:rPr>
        <w:t xml:space="preserve">. Em </w:t>
      </w:r>
      <w:r w:rsidR="00470ADC" w:rsidRPr="00D5464D">
        <w:rPr>
          <w:rFonts w:cs="Arial"/>
          <w:szCs w:val="20"/>
          <w:lang w:val="pt-BR"/>
        </w:rPr>
        <w:t xml:space="preserve">alguns </w:t>
      </w:r>
      <w:r w:rsidR="0003391C" w:rsidRPr="00D5464D">
        <w:rPr>
          <w:rFonts w:cs="Arial"/>
          <w:szCs w:val="20"/>
          <w:lang w:val="pt-BR"/>
        </w:rPr>
        <w:t>casos</w:t>
      </w:r>
      <w:r w:rsidRPr="00D5464D">
        <w:rPr>
          <w:rFonts w:cs="Arial"/>
          <w:szCs w:val="20"/>
          <w:lang w:val="pt-BR"/>
        </w:rPr>
        <w:t>,</w:t>
      </w:r>
      <w:r w:rsidR="002C330E" w:rsidRPr="00D5464D">
        <w:rPr>
          <w:rFonts w:cs="Arial"/>
          <w:szCs w:val="20"/>
          <w:lang w:val="pt-BR"/>
        </w:rPr>
        <w:t xml:space="preserve"> os </w:t>
      </w:r>
      <w:r w:rsidR="00E045D9" w:rsidRPr="00D5464D">
        <w:rPr>
          <w:rFonts w:cs="Arial"/>
          <w:szCs w:val="20"/>
          <w:lang w:val="pt-BR"/>
        </w:rPr>
        <w:t>trabalhadores</w:t>
      </w:r>
      <w:r w:rsidR="0003391C" w:rsidRPr="00D5464D">
        <w:rPr>
          <w:rFonts w:cs="Arial"/>
          <w:szCs w:val="20"/>
          <w:lang w:val="pt-BR"/>
        </w:rPr>
        <w:t xml:space="preserve"> se </w:t>
      </w:r>
      <w:r w:rsidRPr="00D5464D">
        <w:rPr>
          <w:rFonts w:cs="Arial"/>
          <w:szCs w:val="20"/>
          <w:lang w:val="pt-BR"/>
        </w:rPr>
        <w:t xml:space="preserve">endividam </w:t>
      </w:r>
      <w:r w:rsidR="0003391C" w:rsidRPr="00D5464D">
        <w:rPr>
          <w:rFonts w:cs="Arial"/>
          <w:szCs w:val="20"/>
          <w:lang w:val="pt-BR"/>
        </w:rPr>
        <w:t xml:space="preserve">cada vez </w:t>
      </w:r>
      <w:r w:rsidR="002C330E" w:rsidRPr="00D5464D">
        <w:rPr>
          <w:rFonts w:cs="Arial"/>
          <w:szCs w:val="20"/>
          <w:lang w:val="pt-BR"/>
        </w:rPr>
        <w:t>mais</w:t>
      </w:r>
      <w:r w:rsidRPr="00D5464D">
        <w:rPr>
          <w:rFonts w:cs="Arial"/>
          <w:szCs w:val="20"/>
          <w:lang w:val="pt-BR"/>
        </w:rPr>
        <w:t xml:space="preserve">, pois </w:t>
      </w:r>
      <w:r w:rsidR="00E045D9" w:rsidRPr="00D5464D">
        <w:rPr>
          <w:rFonts w:cs="Arial"/>
          <w:szCs w:val="20"/>
          <w:lang w:val="pt-BR"/>
        </w:rPr>
        <w:t>têm</w:t>
      </w:r>
      <w:r w:rsidR="0003391C" w:rsidRPr="00D5464D">
        <w:rPr>
          <w:rFonts w:cs="Arial"/>
          <w:szCs w:val="20"/>
          <w:lang w:val="pt-BR"/>
        </w:rPr>
        <w:t xml:space="preserve"> </w:t>
      </w:r>
      <w:r w:rsidRPr="00D5464D">
        <w:rPr>
          <w:rFonts w:cs="Arial"/>
          <w:szCs w:val="20"/>
          <w:lang w:val="pt-BR"/>
        </w:rPr>
        <w:t>d</w:t>
      </w:r>
      <w:r w:rsidR="0003391C" w:rsidRPr="00D5464D">
        <w:rPr>
          <w:rFonts w:cs="Arial"/>
          <w:szCs w:val="20"/>
          <w:lang w:val="pt-BR"/>
        </w:rPr>
        <w:t>e comprar t</w:t>
      </w:r>
      <w:r w:rsidRPr="00D5464D">
        <w:rPr>
          <w:rFonts w:cs="Arial"/>
          <w:szCs w:val="20"/>
          <w:lang w:val="pt-BR"/>
        </w:rPr>
        <w:t>u</w:t>
      </w:r>
      <w:r w:rsidR="0003391C" w:rsidRPr="00D5464D">
        <w:rPr>
          <w:rFonts w:cs="Arial"/>
          <w:szCs w:val="20"/>
          <w:lang w:val="pt-BR"/>
        </w:rPr>
        <w:t>do</w:t>
      </w:r>
      <w:r w:rsidR="002C330E" w:rsidRPr="00D5464D">
        <w:rPr>
          <w:rFonts w:cs="Arial"/>
          <w:szCs w:val="20"/>
          <w:lang w:val="pt-BR"/>
        </w:rPr>
        <w:t xml:space="preserve"> o que </w:t>
      </w:r>
      <w:r w:rsidR="00230C71" w:rsidRPr="00D5464D">
        <w:rPr>
          <w:rFonts w:cs="Arial"/>
          <w:szCs w:val="20"/>
          <w:lang w:val="pt-BR"/>
        </w:rPr>
        <w:t>necessitam</w:t>
      </w:r>
      <w:r w:rsidR="00E045D9" w:rsidRPr="00D5464D">
        <w:rPr>
          <w:rFonts w:cs="Arial"/>
          <w:szCs w:val="20"/>
          <w:lang w:val="pt-BR"/>
        </w:rPr>
        <w:t xml:space="preserve"> n</w:t>
      </w:r>
      <w:r w:rsidRPr="00D5464D">
        <w:rPr>
          <w:rFonts w:cs="Arial"/>
          <w:szCs w:val="20"/>
          <w:lang w:val="pt-BR"/>
        </w:rPr>
        <w:t xml:space="preserve">os armazéns </w:t>
      </w:r>
      <w:r w:rsidR="00470ADC" w:rsidRPr="00D5464D">
        <w:rPr>
          <w:rFonts w:cs="Arial"/>
          <w:szCs w:val="20"/>
          <w:lang w:val="pt-BR"/>
        </w:rPr>
        <w:t xml:space="preserve">das </w:t>
      </w:r>
      <w:r w:rsidR="00D809F0" w:rsidRPr="00D5464D">
        <w:rPr>
          <w:rFonts w:cs="Arial"/>
          <w:szCs w:val="20"/>
          <w:lang w:val="pt-BR"/>
        </w:rPr>
        <w:t>fazenda</w:t>
      </w:r>
      <w:r w:rsidR="0003391C" w:rsidRPr="00D5464D">
        <w:rPr>
          <w:rFonts w:cs="Arial"/>
          <w:szCs w:val="20"/>
          <w:lang w:val="pt-BR"/>
        </w:rPr>
        <w:t xml:space="preserve">s, </w:t>
      </w:r>
      <w:r w:rsidR="00F36464" w:rsidRPr="00D5464D">
        <w:rPr>
          <w:rFonts w:cs="Arial"/>
          <w:szCs w:val="20"/>
          <w:lang w:val="pt-BR"/>
        </w:rPr>
        <w:t>a</w:t>
      </w:r>
      <w:r w:rsidR="0003391C" w:rsidRPr="00D5464D">
        <w:rPr>
          <w:rFonts w:cs="Arial"/>
          <w:szCs w:val="20"/>
          <w:lang w:val="pt-BR"/>
        </w:rPr>
        <w:t xml:space="preserve"> pre</w:t>
      </w:r>
      <w:r w:rsidRPr="00D5464D">
        <w:rPr>
          <w:rFonts w:cs="Arial"/>
          <w:szCs w:val="20"/>
          <w:lang w:val="pt-BR"/>
        </w:rPr>
        <w:t>ç</w:t>
      </w:r>
      <w:r w:rsidR="0003391C" w:rsidRPr="00D5464D">
        <w:rPr>
          <w:rFonts w:cs="Arial"/>
          <w:szCs w:val="20"/>
          <w:lang w:val="pt-BR"/>
        </w:rPr>
        <w:t xml:space="preserve">os </w:t>
      </w:r>
      <w:r w:rsidR="006C57DD" w:rsidRPr="00D5464D">
        <w:rPr>
          <w:rFonts w:cs="Arial"/>
          <w:szCs w:val="20"/>
          <w:lang w:val="pt-BR"/>
        </w:rPr>
        <w:t>elevados</w:t>
      </w:r>
      <w:r w:rsidR="0003391C" w:rsidRPr="00D5464D">
        <w:rPr>
          <w:rFonts w:cs="Arial"/>
          <w:szCs w:val="20"/>
          <w:lang w:val="pt-BR"/>
        </w:rPr>
        <w:t>. Su</w:t>
      </w:r>
      <w:r w:rsidRPr="00D5464D">
        <w:rPr>
          <w:rFonts w:cs="Arial"/>
          <w:szCs w:val="20"/>
          <w:lang w:val="pt-BR"/>
        </w:rPr>
        <w:t>a</w:t>
      </w:r>
      <w:r w:rsidR="0003391C" w:rsidRPr="00D5464D">
        <w:rPr>
          <w:rFonts w:cs="Arial"/>
          <w:szCs w:val="20"/>
          <w:lang w:val="pt-BR"/>
        </w:rPr>
        <w:t xml:space="preserve"> </w:t>
      </w:r>
      <w:r w:rsidR="00470ADC" w:rsidRPr="00D5464D">
        <w:rPr>
          <w:rFonts w:cs="Arial"/>
          <w:szCs w:val="20"/>
          <w:lang w:val="pt-BR"/>
        </w:rPr>
        <w:t>dívida</w:t>
      </w:r>
      <w:r w:rsidR="0003391C" w:rsidRPr="00D5464D">
        <w:rPr>
          <w:rFonts w:cs="Arial"/>
          <w:szCs w:val="20"/>
          <w:lang w:val="pt-BR"/>
        </w:rPr>
        <w:t xml:space="preserve"> aumenta tanto que nunca </w:t>
      </w:r>
      <w:r w:rsidR="00230C71" w:rsidRPr="00D5464D">
        <w:rPr>
          <w:rFonts w:cs="Arial"/>
          <w:szCs w:val="20"/>
          <w:lang w:val="pt-BR"/>
        </w:rPr>
        <w:t xml:space="preserve">podem </w:t>
      </w:r>
      <w:r w:rsidR="0003391C" w:rsidRPr="00D5464D">
        <w:rPr>
          <w:rFonts w:cs="Arial"/>
          <w:szCs w:val="20"/>
          <w:lang w:val="pt-BR"/>
        </w:rPr>
        <w:t>pag</w:t>
      </w:r>
      <w:r w:rsidR="00737270" w:rsidRPr="00D5464D">
        <w:rPr>
          <w:rFonts w:cs="Arial"/>
          <w:szCs w:val="20"/>
          <w:lang w:val="pt-BR"/>
        </w:rPr>
        <w:t xml:space="preserve">á-la </w:t>
      </w:r>
      <w:r w:rsidR="00E045D9" w:rsidRPr="00D5464D">
        <w:rPr>
          <w:rFonts w:cs="Arial"/>
          <w:szCs w:val="20"/>
          <w:lang w:val="pt-BR"/>
        </w:rPr>
        <w:t xml:space="preserve">e </w:t>
      </w:r>
      <w:r w:rsidR="0003391C" w:rsidRPr="00D5464D">
        <w:rPr>
          <w:rFonts w:cs="Arial"/>
          <w:szCs w:val="20"/>
          <w:lang w:val="pt-BR"/>
        </w:rPr>
        <w:t>se v</w:t>
      </w:r>
      <w:r w:rsidRPr="00D5464D">
        <w:rPr>
          <w:rFonts w:cs="Arial"/>
          <w:szCs w:val="20"/>
          <w:lang w:val="pt-BR"/>
        </w:rPr>
        <w:t xml:space="preserve">eem </w:t>
      </w:r>
      <w:r w:rsidR="002C330E" w:rsidRPr="00D5464D">
        <w:rPr>
          <w:rFonts w:cs="Arial"/>
          <w:szCs w:val="20"/>
          <w:lang w:val="pt-BR"/>
        </w:rPr>
        <w:t>obrigad</w:t>
      </w:r>
      <w:r w:rsidR="0003391C" w:rsidRPr="00D5464D">
        <w:rPr>
          <w:rFonts w:cs="Arial"/>
          <w:szCs w:val="20"/>
          <w:lang w:val="pt-BR"/>
        </w:rPr>
        <w:t xml:space="preserve">os a continuar </w:t>
      </w:r>
      <w:r w:rsidR="00EB1CE9" w:rsidRPr="00D5464D">
        <w:rPr>
          <w:rFonts w:cs="Arial"/>
          <w:szCs w:val="20"/>
          <w:lang w:val="pt-BR"/>
        </w:rPr>
        <w:t>trabalhando</w:t>
      </w:r>
      <w:r w:rsidRPr="00D5464D">
        <w:rPr>
          <w:rFonts w:cs="Arial"/>
          <w:szCs w:val="20"/>
          <w:lang w:val="pt-BR"/>
        </w:rPr>
        <w:t>.</w:t>
      </w:r>
      <w:r w:rsidR="0003391C" w:rsidRPr="00D5464D">
        <w:rPr>
          <w:rStyle w:val="Refdenotaalpie"/>
          <w:rFonts w:cs="Arial"/>
          <w:lang w:val="pt-BR"/>
        </w:rPr>
        <w:footnoteReference w:id="77"/>
      </w:r>
      <w:r w:rsidR="0003391C" w:rsidRPr="00D5464D">
        <w:rPr>
          <w:rFonts w:cs="Arial"/>
          <w:szCs w:val="20"/>
          <w:lang w:val="pt-BR"/>
        </w:rPr>
        <w:t xml:space="preserve"> </w:t>
      </w:r>
    </w:p>
    <w:p w14:paraId="3C205285" w14:textId="77777777" w:rsidR="0003391C" w:rsidRPr="00D5464D" w:rsidRDefault="0003391C" w:rsidP="00140440">
      <w:pPr>
        <w:pStyle w:val="Prrafodelista"/>
        <w:contextualSpacing w:val="0"/>
        <w:rPr>
          <w:rFonts w:cs="Times New Roman"/>
          <w:szCs w:val="20"/>
          <w:lang w:val="pt-BR"/>
        </w:rPr>
      </w:pPr>
    </w:p>
    <w:p w14:paraId="3F0A863E" w14:textId="0C982E1D" w:rsidR="0003391C" w:rsidRPr="00D5464D" w:rsidRDefault="00D2372C" w:rsidP="00140440">
      <w:pPr>
        <w:pStyle w:val="Prrafodelista"/>
        <w:numPr>
          <w:ilvl w:val="0"/>
          <w:numId w:val="1"/>
        </w:numPr>
        <w:autoSpaceDE w:val="0"/>
        <w:autoSpaceDN w:val="0"/>
        <w:adjustRightInd w:val="0"/>
        <w:contextualSpacing w:val="0"/>
        <w:rPr>
          <w:rFonts w:cs="Times New Roman"/>
          <w:szCs w:val="20"/>
          <w:lang w:val="pt-BR"/>
        </w:rPr>
      </w:pPr>
      <w:r w:rsidRPr="00D5464D">
        <w:rPr>
          <w:rFonts w:cs="Times New Roman"/>
          <w:szCs w:val="20"/>
          <w:lang w:val="pt-BR"/>
        </w:rPr>
        <w:t>O</w:t>
      </w:r>
      <w:r w:rsidR="0003391C" w:rsidRPr="00D5464D">
        <w:rPr>
          <w:rFonts w:cs="Times New Roman"/>
          <w:szCs w:val="20"/>
          <w:lang w:val="pt-BR"/>
        </w:rPr>
        <w:t xml:space="preserve">s </w:t>
      </w:r>
      <w:r w:rsidR="00E045D9" w:rsidRPr="00D5464D">
        <w:rPr>
          <w:rFonts w:cs="Times New Roman"/>
          <w:szCs w:val="20"/>
          <w:lang w:val="pt-BR"/>
        </w:rPr>
        <w:t>trabalhadores</w:t>
      </w:r>
      <w:r w:rsidR="0003391C" w:rsidRPr="00D5464D">
        <w:rPr>
          <w:rFonts w:cs="Times New Roman"/>
          <w:szCs w:val="20"/>
          <w:lang w:val="pt-BR"/>
        </w:rPr>
        <w:t xml:space="preserve"> normalmente</w:t>
      </w:r>
      <w:r w:rsidR="002C330E" w:rsidRPr="00D5464D">
        <w:rPr>
          <w:rFonts w:cs="Times New Roman"/>
          <w:szCs w:val="20"/>
          <w:lang w:val="pt-BR"/>
        </w:rPr>
        <w:t xml:space="preserve"> são </w:t>
      </w:r>
      <w:r w:rsidR="0003391C" w:rsidRPr="00D5464D">
        <w:rPr>
          <w:rFonts w:cs="Times New Roman"/>
          <w:szCs w:val="20"/>
          <w:lang w:val="pt-BR"/>
        </w:rPr>
        <w:t xml:space="preserve">vigiados por </w:t>
      </w:r>
      <w:r w:rsidR="00C91CB1" w:rsidRPr="00D5464D">
        <w:rPr>
          <w:rFonts w:cs="Times New Roman"/>
          <w:szCs w:val="20"/>
          <w:lang w:val="pt-BR"/>
        </w:rPr>
        <w:t>guarda</w:t>
      </w:r>
      <w:r w:rsidR="0003391C" w:rsidRPr="00D5464D">
        <w:rPr>
          <w:rFonts w:cs="Times New Roman"/>
          <w:szCs w:val="20"/>
          <w:lang w:val="pt-BR"/>
        </w:rPr>
        <w:t>s armados que n</w:t>
      </w:r>
      <w:r w:rsidRPr="00D5464D">
        <w:rPr>
          <w:rFonts w:cs="Times New Roman"/>
          <w:szCs w:val="20"/>
          <w:lang w:val="pt-BR"/>
        </w:rPr>
        <w:t>ã</w:t>
      </w:r>
      <w:r w:rsidR="0003391C" w:rsidRPr="00D5464D">
        <w:rPr>
          <w:rFonts w:cs="Times New Roman"/>
          <w:szCs w:val="20"/>
          <w:lang w:val="pt-BR"/>
        </w:rPr>
        <w:t>o</w:t>
      </w:r>
      <w:r w:rsidR="002C330E" w:rsidRPr="00D5464D">
        <w:rPr>
          <w:rFonts w:cs="Times New Roman"/>
          <w:szCs w:val="20"/>
          <w:lang w:val="pt-BR"/>
        </w:rPr>
        <w:t xml:space="preserve"> lhes </w:t>
      </w:r>
      <w:r w:rsidR="00E045D9" w:rsidRPr="00D5464D">
        <w:rPr>
          <w:rFonts w:cs="Times New Roman"/>
          <w:szCs w:val="20"/>
          <w:lang w:val="pt-BR"/>
        </w:rPr>
        <w:t>permitem</w:t>
      </w:r>
      <w:r w:rsidR="0003391C" w:rsidRPr="00D5464D">
        <w:rPr>
          <w:rFonts w:cs="Times New Roman"/>
          <w:szCs w:val="20"/>
          <w:lang w:val="pt-BR"/>
        </w:rPr>
        <w:t xml:space="preserve"> </w:t>
      </w:r>
      <w:r w:rsidR="002C330E" w:rsidRPr="00D5464D">
        <w:rPr>
          <w:rFonts w:cs="Times New Roman"/>
          <w:szCs w:val="20"/>
          <w:lang w:val="pt-BR"/>
        </w:rPr>
        <w:t>sair</w:t>
      </w:r>
      <w:r w:rsidR="00470ADC" w:rsidRPr="00D5464D">
        <w:rPr>
          <w:rFonts w:cs="Times New Roman"/>
          <w:szCs w:val="20"/>
          <w:lang w:val="pt-BR"/>
        </w:rPr>
        <w:t xml:space="preserve"> das </w:t>
      </w:r>
      <w:r w:rsidR="00D809F0" w:rsidRPr="00D5464D">
        <w:rPr>
          <w:rFonts w:cs="Times New Roman"/>
          <w:szCs w:val="20"/>
          <w:lang w:val="pt-BR"/>
        </w:rPr>
        <w:t>fazenda</w:t>
      </w:r>
      <w:r w:rsidR="0003391C" w:rsidRPr="00D5464D">
        <w:rPr>
          <w:rFonts w:cs="Times New Roman"/>
          <w:szCs w:val="20"/>
          <w:lang w:val="pt-BR"/>
        </w:rPr>
        <w:t>s.</w:t>
      </w:r>
      <w:r w:rsidR="002C330E" w:rsidRPr="00D5464D">
        <w:rPr>
          <w:rFonts w:cs="Times New Roman"/>
          <w:szCs w:val="20"/>
          <w:lang w:val="pt-BR"/>
        </w:rPr>
        <w:t xml:space="preserve"> </w:t>
      </w:r>
      <w:r w:rsidRPr="00D5464D">
        <w:rPr>
          <w:rFonts w:cs="Times New Roman"/>
          <w:szCs w:val="20"/>
          <w:lang w:val="pt-BR"/>
        </w:rPr>
        <w:t xml:space="preserve">Caso tentem </w:t>
      </w:r>
      <w:r w:rsidR="00E045D9" w:rsidRPr="00D5464D">
        <w:rPr>
          <w:rFonts w:cs="Times New Roman"/>
          <w:szCs w:val="20"/>
          <w:lang w:val="pt-BR"/>
        </w:rPr>
        <w:t>fugir</w:t>
      </w:r>
      <w:r w:rsidRPr="00D5464D">
        <w:rPr>
          <w:rFonts w:cs="Times New Roman"/>
          <w:szCs w:val="20"/>
          <w:lang w:val="pt-BR"/>
        </w:rPr>
        <w:t>,</w:t>
      </w:r>
      <w:r w:rsidR="00E045D9" w:rsidRPr="00D5464D">
        <w:rPr>
          <w:rFonts w:cs="Times New Roman"/>
          <w:szCs w:val="20"/>
          <w:lang w:val="pt-BR"/>
        </w:rPr>
        <w:t xml:space="preserve"> </w:t>
      </w:r>
      <w:r w:rsidRPr="00D5464D">
        <w:rPr>
          <w:rFonts w:cs="Times New Roman"/>
          <w:szCs w:val="20"/>
          <w:lang w:val="pt-BR"/>
        </w:rPr>
        <w:t xml:space="preserve">normalmente </w:t>
      </w:r>
      <w:r w:rsidR="002C330E" w:rsidRPr="00D5464D">
        <w:rPr>
          <w:rFonts w:cs="Times New Roman"/>
          <w:szCs w:val="20"/>
          <w:lang w:val="pt-BR"/>
        </w:rPr>
        <w:t xml:space="preserve">são </w:t>
      </w:r>
      <w:r w:rsidR="0003391C" w:rsidRPr="00D5464D">
        <w:rPr>
          <w:rFonts w:cs="Times New Roman"/>
          <w:szCs w:val="20"/>
          <w:lang w:val="pt-BR"/>
        </w:rPr>
        <w:t>agredidos</w:t>
      </w:r>
      <w:r w:rsidR="00EA1DD2" w:rsidRPr="00D5464D">
        <w:rPr>
          <w:rFonts w:cs="Times New Roman"/>
          <w:szCs w:val="20"/>
          <w:lang w:val="pt-BR"/>
        </w:rPr>
        <w:t>.</w:t>
      </w:r>
      <w:r w:rsidR="0003391C" w:rsidRPr="00D5464D">
        <w:rPr>
          <w:rStyle w:val="Refdenotaalpie"/>
          <w:lang w:val="pt-BR"/>
        </w:rPr>
        <w:footnoteReference w:id="78"/>
      </w:r>
      <w:r w:rsidR="0003391C" w:rsidRPr="00D5464D">
        <w:rPr>
          <w:rFonts w:cs="Times New Roman"/>
          <w:szCs w:val="20"/>
          <w:lang w:val="pt-BR"/>
        </w:rPr>
        <w:t xml:space="preserve"> </w:t>
      </w:r>
      <w:r w:rsidR="00470ADC" w:rsidRPr="00D5464D">
        <w:rPr>
          <w:rFonts w:cs="Times New Roman"/>
          <w:szCs w:val="20"/>
          <w:lang w:val="pt-BR"/>
        </w:rPr>
        <w:t>Ademais</w:t>
      </w:r>
      <w:r w:rsidR="0003391C" w:rsidRPr="00D5464D">
        <w:rPr>
          <w:rFonts w:cs="Times New Roman"/>
          <w:szCs w:val="20"/>
          <w:lang w:val="pt-BR"/>
        </w:rPr>
        <w:t>,</w:t>
      </w:r>
      <w:r w:rsidR="002C330E" w:rsidRPr="00D5464D">
        <w:rPr>
          <w:rFonts w:cs="Times New Roman"/>
          <w:szCs w:val="20"/>
          <w:lang w:val="pt-BR"/>
        </w:rPr>
        <w:t xml:space="preserve"> a </w:t>
      </w:r>
      <w:r w:rsidR="0003391C" w:rsidRPr="00D5464D">
        <w:rPr>
          <w:rFonts w:cs="Times New Roman"/>
          <w:szCs w:val="20"/>
          <w:lang w:val="pt-BR"/>
        </w:rPr>
        <w:t>localiza</w:t>
      </w:r>
      <w:r w:rsidR="00470ADC" w:rsidRPr="00D5464D">
        <w:rPr>
          <w:rFonts w:cs="Times New Roman"/>
          <w:szCs w:val="20"/>
          <w:lang w:val="pt-BR"/>
        </w:rPr>
        <w:t>ção</w:t>
      </w:r>
      <w:r w:rsidR="0003391C" w:rsidRPr="00D5464D">
        <w:rPr>
          <w:rFonts w:cs="Times New Roman"/>
          <w:szCs w:val="20"/>
          <w:lang w:val="pt-BR"/>
        </w:rPr>
        <w:t xml:space="preserve"> geográfica</w:t>
      </w:r>
      <w:r w:rsidR="00470ADC" w:rsidRPr="00D5464D">
        <w:rPr>
          <w:rFonts w:cs="Times New Roman"/>
          <w:szCs w:val="20"/>
          <w:lang w:val="pt-BR"/>
        </w:rPr>
        <w:t xml:space="preserve"> das </w:t>
      </w:r>
      <w:r w:rsidR="00D809F0" w:rsidRPr="00D5464D">
        <w:rPr>
          <w:rFonts w:cs="Times New Roman"/>
          <w:szCs w:val="20"/>
          <w:lang w:val="pt-BR"/>
        </w:rPr>
        <w:t>fazenda</w:t>
      </w:r>
      <w:r w:rsidR="0003391C" w:rsidRPr="00D5464D">
        <w:rPr>
          <w:rFonts w:cs="Times New Roman"/>
          <w:szCs w:val="20"/>
          <w:lang w:val="pt-BR"/>
        </w:rPr>
        <w:t xml:space="preserve">s </w:t>
      </w:r>
      <w:r w:rsidR="002C330E" w:rsidRPr="00D5464D">
        <w:rPr>
          <w:rFonts w:cs="Times New Roman"/>
          <w:szCs w:val="20"/>
          <w:lang w:val="pt-BR"/>
        </w:rPr>
        <w:t>pode</w:t>
      </w:r>
      <w:r w:rsidR="0003391C" w:rsidRPr="00D5464D">
        <w:rPr>
          <w:rFonts w:cs="Times New Roman"/>
          <w:szCs w:val="20"/>
          <w:lang w:val="pt-BR"/>
        </w:rPr>
        <w:t xml:space="preserve"> ser</w:t>
      </w:r>
      <w:r w:rsidRPr="00D5464D">
        <w:rPr>
          <w:rFonts w:cs="Times New Roman"/>
          <w:szCs w:val="20"/>
          <w:lang w:val="pt-BR"/>
        </w:rPr>
        <w:t>,</w:t>
      </w:r>
      <w:r w:rsidR="0003391C" w:rsidRPr="00D5464D">
        <w:rPr>
          <w:rFonts w:cs="Times New Roman"/>
          <w:szCs w:val="20"/>
          <w:lang w:val="pt-BR"/>
        </w:rPr>
        <w:t xml:space="preserve"> por </w:t>
      </w:r>
      <w:r w:rsidR="002C330E" w:rsidRPr="00D5464D">
        <w:rPr>
          <w:rFonts w:cs="Times New Roman"/>
          <w:szCs w:val="20"/>
          <w:lang w:val="pt-BR"/>
        </w:rPr>
        <w:t>si mesm</w:t>
      </w:r>
      <w:r w:rsidR="0003391C" w:rsidRPr="00D5464D">
        <w:rPr>
          <w:rFonts w:cs="Times New Roman"/>
          <w:szCs w:val="20"/>
          <w:lang w:val="pt-BR"/>
        </w:rPr>
        <w:t>a</w:t>
      </w:r>
      <w:r w:rsidRPr="00D5464D">
        <w:rPr>
          <w:rFonts w:cs="Times New Roman"/>
          <w:szCs w:val="20"/>
          <w:lang w:val="pt-BR"/>
        </w:rPr>
        <w:t>,</w:t>
      </w:r>
      <w:r w:rsidR="00E045D9" w:rsidRPr="00D5464D">
        <w:rPr>
          <w:rFonts w:cs="Times New Roman"/>
          <w:szCs w:val="20"/>
          <w:lang w:val="pt-BR"/>
        </w:rPr>
        <w:t xml:space="preserve"> um </w:t>
      </w:r>
      <w:r w:rsidR="0003391C" w:rsidRPr="00D5464D">
        <w:rPr>
          <w:rFonts w:cs="Times New Roman"/>
          <w:szCs w:val="20"/>
          <w:lang w:val="pt-BR"/>
        </w:rPr>
        <w:t>elemento que limita</w:t>
      </w:r>
      <w:r w:rsidR="002C330E" w:rsidRPr="00D5464D">
        <w:rPr>
          <w:rFonts w:cs="Times New Roman"/>
          <w:szCs w:val="20"/>
          <w:lang w:val="pt-BR"/>
        </w:rPr>
        <w:t xml:space="preserve"> a liberdade </w:t>
      </w:r>
      <w:r w:rsidR="00470ADC" w:rsidRPr="00D5464D">
        <w:rPr>
          <w:rFonts w:cs="Times New Roman"/>
          <w:szCs w:val="20"/>
          <w:lang w:val="pt-BR"/>
        </w:rPr>
        <w:t xml:space="preserve">dos </w:t>
      </w:r>
      <w:r w:rsidR="00E045D9" w:rsidRPr="00D5464D">
        <w:rPr>
          <w:rFonts w:cs="Times New Roman"/>
          <w:szCs w:val="20"/>
          <w:lang w:val="pt-BR"/>
        </w:rPr>
        <w:t>trabalhadores</w:t>
      </w:r>
      <w:r w:rsidR="004865E0" w:rsidRPr="00D5464D">
        <w:rPr>
          <w:rFonts w:cs="Times New Roman"/>
          <w:szCs w:val="20"/>
          <w:lang w:val="pt-BR"/>
        </w:rPr>
        <w:t>,</w:t>
      </w:r>
      <w:r w:rsidR="0003391C" w:rsidRPr="00D5464D">
        <w:rPr>
          <w:rFonts w:cs="Times New Roman"/>
          <w:szCs w:val="20"/>
          <w:lang w:val="pt-BR"/>
        </w:rPr>
        <w:t xml:space="preserve"> </w:t>
      </w:r>
      <w:r w:rsidR="002C330E" w:rsidRPr="00D5464D">
        <w:rPr>
          <w:rFonts w:cs="Times New Roman"/>
          <w:szCs w:val="20"/>
          <w:lang w:val="pt-BR"/>
        </w:rPr>
        <w:t xml:space="preserve">posto </w:t>
      </w:r>
      <w:r w:rsidR="0003391C" w:rsidRPr="00D5464D">
        <w:rPr>
          <w:rFonts w:cs="Times New Roman"/>
          <w:szCs w:val="20"/>
          <w:lang w:val="pt-BR"/>
        </w:rPr>
        <w:t xml:space="preserve">que </w:t>
      </w:r>
      <w:r w:rsidR="002C330E" w:rsidRPr="00D5464D">
        <w:rPr>
          <w:rFonts w:cs="Times New Roman"/>
          <w:szCs w:val="20"/>
          <w:lang w:val="pt-BR"/>
        </w:rPr>
        <w:t>muita</w:t>
      </w:r>
      <w:r w:rsidR="0003391C" w:rsidRPr="00D5464D">
        <w:rPr>
          <w:rFonts w:cs="Times New Roman"/>
          <w:szCs w:val="20"/>
          <w:lang w:val="pt-BR"/>
        </w:rPr>
        <w:t xml:space="preserve">s </w:t>
      </w:r>
      <w:r w:rsidR="00E045D9" w:rsidRPr="00D5464D">
        <w:rPr>
          <w:rFonts w:cs="Times New Roman"/>
          <w:szCs w:val="20"/>
          <w:lang w:val="pt-BR"/>
        </w:rPr>
        <w:t>vezes</w:t>
      </w:r>
      <w:r w:rsidR="00470ADC" w:rsidRPr="00D5464D">
        <w:rPr>
          <w:rFonts w:cs="Times New Roman"/>
          <w:szCs w:val="20"/>
          <w:lang w:val="pt-BR"/>
        </w:rPr>
        <w:t xml:space="preserve"> o acesso</w:t>
      </w:r>
      <w:r w:rsidR="0003391C" w:rsidRPr="00D5464D">
        <w:rPr>
          <w:rFonts w:cs="Times New Roman"/>
          <w:szCs w:val="20"/>
          <w:lang w:val="pt-BR"/>
        </w:rPr>
        <w:t xml:space="preserve"> a centros urbanos</w:t>
      </w:r>
      <w:r w:rsidR="00470ADC" w:rsidRPr="00D5464D">
        <w:rPr>
          <w:rFonts w:cs="Times New Roman"/>
          <w:szCs w:val="20"/>
          <w:lang w:val="pt-BR"/>
        </w:rPr>
        <w:t xml:space="preserve"> é quase </w:t>
      </w:r>
      <w:r w:rsidR="002C330E" w:rsidRPr="00D5464D">
        <w:rPr>
          <w:rFonts w:cs="Times New Roman"/>
          <w:szCs w:val="20"/>
          <w:lang w:val="pt-BR"/>
        </w:rPr>
        <w:t>impossível</w:t>
      </w:r>
      <w:r w:rsidR="0003391C" w:rsidRPr="00D5464D">
        <w:rPr>
          <w:rFonts w:cs="Times New Roman"/>
          <w:szCs w:val="20"/>
          <w:lang w:val="pt-BR"/>
        </w:rPr>
        <w:t xml:space="preserve">, </w:t>
      </w:r>
      <w:r w:rsidR="00470ADC" w:rsidRPr="00D5464D">
        <w:rPr>
          <w:rFonts w:cs="Times New Roman"/>
          <w:szCs w:val="20"/>
          <w:lang w:val="pt-BR"/>
        </w:rPr>
        <w:t>devido</w:t>
      </w:r>
      <w:r w:rsidR="0003391C" w:rsidRPr="00D5464D">
        <w:rPr>
          <w:rFonts w:cs="Times New Roman"/>
          <w:szCs w:val="20"/>
          <w:lang w:val="pt-BR"/>
        </w:rPr>
        <w:t xml:space="preserve"> </w:t>
      </w:r>
      <w:r w:rsidR="00350187" w:rsidRPr="00D5464D">
        <w:rPr>
          <w:rFonts w:cs="Times New Roman"/>
          <w:szCs w:val="20"/>
          <w:lang w:val="pt-BR"/>
        </w:rPr>
        <w:t xml:space="preserve">não apenas </w:t>
      </w:r>
      <w:r w:rsidR="00470ADC" w:rsidRPr="00D5464D">
        <w:rPr>
          <w:rFonts w:cs="Times New Roman"/>
          <w:szCs w:val="20"/>
          <w:lang w:val="pt-BR"/>
        </w:rPr>
        <w:t xml:space="preserve">à </w:t>
      </w:r>
      <w:r w:rsidR="008C484D" w:rsidRPr="00D5464D">
        <w:rPr>
          <w:rFonts w:cs="Times New Roman"/>
          <w:szCs w:val="20"/>
          <w:lang w:val="pt-BR"/>
        </w:rPr>
        <w:t>distância</w:t>
      </w:r>
      <w:r w:rsidR="002C330E" w:rsidRPr="00D5464D">
        <w:rPr>
          <w:rFonts w:cs="Times New Roman"/>
          <w:szCs w:val="20"/>
          <w:lang w:val="pt-BR"/>
        </w:rPr>
        <w:t xml:space="preserve"> mas </w:t>
      </w:r>
      <w:r w:rsidR="00E045D9" w:rsidRPr="00D5464D">
        <w:rPr>
          <w:rFonts w:cs="Times New Roman"/>
          <w:szCs w:val="20"/>
          <w:lang w:val="pt-BR"/>
        </w:rPr>
        <w:t>também</w:t>
      </w:r>
      <w:r w:rsidR="00470ADC" w:rsidRPr="00D5464D">
        <w:rPr>
          <w:rFonts w:cs="Times New Roman"/>
          <w:szCs w:val="20"/>
          <w:lang w:val="pt-BR"/>
        </w:rPr>
        <w:t xml:space="preserve"> à </w:t>
      </w:r>
      <w:r w:rsidR="0003391C" w:rsidRPr="00D5464D">
        <w:rPr>
          <w:rFonts w:cs="Times New Roman"/>
          <w:szCs w:val="20"/>
          <w:lang w:val="pt-BR"/>
        </w:rPr>
        <w:t>precariedad</w:t>
      </w:r>
      <w:r w:rsidRPr="00D5464D">
        <w:rPr>
          <w:rFonts w:cs="Times New Roman"/>
          <w:szCs w:val="20"/>
          <w:lang w:val="pt-BR"/>
        </w:rPr>
        <w:t>e</w:t>
      </w:r>
      <w:r w:rsidR="00470ADC" w:rsidRPr="00D5464D">
        <w:rPr>
          <w:rFonts w:cs="Times New Roman"/>
          <w:szCs w:val="20"/>
          <w:lang w:val="pt-BR"/>
        </w:rPr>
        <w:t xml:space="preserve"> das </w:t>
      </w:r>
      <w:r w:rsidR="00E045D9" w:rsidRPr="00D5464D">
        <w:rPr>
          <w:rFonts w:cs="Times New Roman"/>
          <w:szCs w:val="20"/>
          <w:lang w:val="pt-BR"/>
        </w:rPr>
        <w:t>via</w:t>
      </w:r>
      <w:r w:rsidR="0003391C" w:rsidRPr="00D5464D">
        <w:rPr>
          <w:rFonts w:cs="Times New Roman"/>
          <w:szCs w:val="20"/>
          <w:lang w:val="pt-BR"/>
        </w:rPr>
        <w:t xml:space="preserve">s de </w:t>
      </w:r>
      <w:r w:rsidR="00470ADC" w:rsidRPr="00D5464D">
        <w:rPr>
          <w:rFonts w:cs="Times New Roman"/>
          <w:szCs w:val="20"/>
          <w:lang w:val="pt-BR"/>
        </w:rPr>
        <w:t>acesso</w:t>
      </w:r>
      <w:r w:rsidRPr="00D5464D">
        <w:rPr>
          <w:rFonts w:cs="Times New Roman"/>
          <w:szCs w:val="20"/>
          <w:lang w:val="pt-BR"/>
        </w:rPr>
        <w:t>.</w:t>
      </w:r>
      <w:r w:rsidR="0003391C" w:rsidRPr="00D5464D">
        <w:rPr>
          <w:rStyle w:val="Refdenotaalpie"/>
          <w:lang w:val="pt-BR"/>
        </w:rPr>
        <w:footnoteReference w:id="79"/>
      </w:r>
      <w:r w:rsidR="0003391C" w:rsidRPr="00D5464D">
        <w:rPr>
          <w:rFonts w:cs="Times New Roman"/>
          <w:szCs w:val="20"/>
          <w:lang w:val="pt-BR"/>
        </w:rPr>
        <w:t xml:space="preserve"> </w:t>
      </w:r>
      <w:r w:rsidR="00470ADC" w:rsidRPr="00D5464D">
        <w:rPr>
          <w:rFonts w:cs="Times New Roman"/>
          <w:szCs w:val="20"/>
          <w:lang w:val="pt-BR"/>
        </w:rPr>
        <w:t xml:space="preserve">Alguns </w:t>
      </w:r>
      <w:r w:rsidR="00E045D9" w:rsidRPr="00D5464D">
        <w:rPr>
          <w:rFonts w:cs="Times New Roman"/>
          <w:szCs w:val="20"/>
          <w:lang w:val="pt-BR"/>
        </w:rPr>
        <w:t>trabalhadores</w:t>
      </w:r>
      <w:r w:rsidR="0003391C" w:rsidRPr="00D5464D">
        <w:rPr>
          <w:rFonts w:cs="Times New Roman"/>
          <w:szCs w:val="20"/>
          <w:lang w:val="pt-BR"/>
        </w:rPr>
        <w:t xml:space="preserve"> </w:t>
      </w:r>
      <w:r w:rsidR="00230C71" w:rsidRPr="00D5464D">
        <w:rPr>
          <w:rFonts w:cs="Times New Roman"/>
          <w:szCs w:val="20"/>
          <w:lang w:val="pt-BR"/>
        </w:rPr>
        <w:t>sofrem</w:t>
      </w:r>
      <w:r w:rsidR="0003391C" w:rsidRPr="00D5464D">
        <w:rPr>
          <w:rFonts w:cs="Times New Roman"/>
          <w:szCs w:val="20"/>
          <w:lang w:val="pt-BR"/>
        </w:rPr>
        <w:t xml:space="preserve"> abuso físico, sexual</w:t>
      </w:r>
      <w:r w:rsidR="00E045D9" w:rsidRPr="00D5464D">
        <w:rPr>
          <w:rFonts w:cs="Times New Roman"/>
          <w:szCs w:val="20"/>
          <w:lang w:val="pt-BR"/>
        </w:rPr>
        <w:t xml:space="preserve"> e </w:t>
      </w:r>
      <w:r w:rsidR="0003391C" w:rsidRPr="00D5464D">
        <w:rPr>
          <w:rFonts w:cs="Times New Roman"/>
          <w:szCs w:val="20"/>
          <w:lang w:val="pt-BR"/>
        </w:rPr>
        <w:t>verbal</w:t>
      </w:r>
      <w:r w:rsidR="00EB1CE9" w:rsidRPr="00D5464D">
        <w:rPr>
          <w:rFonts w:cs="Times New Roman"/>
          <w:szCs w:val="20"/>
          <w:lang w:val="pt-BR"/>
        </w:rPr>
        <w:t xml:space="preserve">, além </w:t>
      </w:r>
      <w:r w:rsidR="00350187" w:rsidRPr="00D5464D">
        <w:rPr>
          <w:rFonts w:cs="Times New Roman"/>
          <w:szCs w:val="20"/>
          <w:lang w:val="pt-BR"/>
        </w:rPr>
        <w:t xml:space="preserve">de </w:t>
      </w:r>
      <w:r w:rsidR="00E045D9" w:rsidRPr="00D5464D">
        <w:rPr>
          <w:rFonts w:cs="Times New Roman"/>
          <w:szCs w:val="20"/>
          <w:lang w:val="pt-BR"/>
        </w:rPr>
        <w:t>trabalh</w:t>
      </w:r>
      <w:r w:rsidR="0003391C" w:rsidRPr="00D5464D">
        <w:rPr>
          <w:rFonts w:cs="Times New Roman"/>
          <w:szCs w:val="20"/>
          <w:lang w:val="pt-BR"/>
        </w:rPr>
        <w:t>ar</w:t>
      </w:r>
      <w:r w:rsidRPr="00D5464D">
        <w:rPr>
          <w:rFonts w:cs="Times New Roman"/>
          <w:szCs w:val="20"/>
          <w:lang w:val="pt-BR"/>
        </w:rPr>
        <w:t>em</w:t>
      </w:r>
      <w:r w:rsidR="00470ADC" w:rsidRPr="00D5464D">
        <w:rPr>
          <w:rFonts w:cs="Times New Roman"/>
          <w:szCs w:val="20"/>
          <w:lang w:val="pt-BR"/>
        </w:rPr>
        <w:t xml:space="preserve"> em </w:t>
      </w:r>
      <w:r w:rsidR="0003391C" w:rsidRPr="00D5464D">
        <w:rPr>
          <w:rFonts w:cs="Times New Roman"/>
          <w:szCs w:val="20"/>
          <w:lang w:val="pt-BR"/>
        </w:rPr>
        <w:t>condi</w:t>
      </w:r>
      <w:r w:rsidR="00470ADC" w:rsidRPr="00D5464D">
        <w:rPr>
          <w:rFonts w:cs="Times New Roman"/>
          <w:szCs w:val="20"/>
          <w:lang w:val="pt-BR"/>
        </w:rPr>
        <w:t>ções</w:t>
      </w:r>
      <w:r w:rsidR="0003391C" w:rsidRPr="00D5464D">
        <w:rPr>
          <w:rFonts w:cs="Times New Roman"/>
          <w:szCs w:val="20"/>
          <w:lang w:val="pt-BR"/>
        </w:rPr>
        <w:t xml:space="preserve"> </w:t>
      </w:r>
      <w:r w:rsidR="002C330E" w:rsidRPr="00D5464D">
        <w:rPr>
          <w:rFonts w:cs="Times New Roman"/>
          <w:szCs w:val="20"/>
          <w:lang w:val="pt-BR"/>
        </w:rPr>
        <w:t>perigo</w:t>
      </w:r>
      <w:r w:rsidR="0003391C" w:rsidRPr="00D5464D">
        <w:rPr>
          <w:rFonts w:cs="Times New Roman"/>
          <w:szCs w:val="20"/>
          <w:lang w:val="pt-BR"/>
        </w:rPr>
        <w:t>sas</w:t>
      </w:r>
      <w:r w:rsidR="00F36464" w:rsidRPr="00D5464D">
        <w:rPr>
          <w:rFonts w:cs="Times New Roman"/>
          <w:szCs w:val="20"/>
          <w:lang w:val="pt-BR"/>
        </w:rPr>
        <w:t>,</w:t>
      </w:r>
      <w:r w:rsidRPr="00D5464D">
        <w:rPr>
          <w:rFonts w:cs="Times New Roman"/>
          <w:szCs w:val="20"/>
          <w:lang w:val="pt-BR"/>
        </w:rPr>
        <w:t xml:space="preserve"> anti-higiênicas</w:t>
      </w:r>
      <w:r w:rsidR="00E045D9" w:rsidRPr="00D5464D">
        <w:rPr>
          <w:rFonts w:cs="Times New Roman"/>
          <w:szCs w:val="20"/>
          <w:lang w:val="pt-BR"/>
        </w:rPr>
        <w:t xml:space="preserve"> e </w:t>
      </w:r>
      <w:r w:rsidR="00F36464" w:rsidRPr="00D5464D">
        <w:rPr>
          <w:rFonts w:cs="Times New Roman"/>
          <w:szCs w:val="20"/>
          <w:lang w:val="pt-BR"/>
        </w:rPr>
        <w:t>degradantes</w:t>
      </w:r>
      <w:r w:rsidRPr="00D5464D">
        <w:rPr>
          <w:rFonts w:cs="Times New Roman"/>
          <w:szCs w:val="20"/>
          <w:lang w:val="pt-BR"/>
        </w:rPr>
        <w:t>.</w:t>
      </w:r>
      <w:r w:rsidR="0003391C" w:rsidRPr="00D5464D">
        <w:rPr>
          <w:rStyle w:val="Refdenotaalpie"/>
          <w:lang w:val="pt-BR"/>
        </w:rPr>
        <w:footnoteReference w:id="80"/>
      </w:r>
      <w:r w:rsidR="0003391C" w:rsidRPr="00D5464D">
        <w:rPr>
          <w:rFonts w:cs="Times New Roman"/>
          <w:szCs w:val="20"/>
          <w:lang w:val="pt-BR"/>
        </w:rPr>
        <w:t xml:space="preserve"> </w:t>
      </w:r>
      <w:r w:rsidR="00470ADC" w:rsidRPr="00D5464D">
        <w:rPr>
          <w:rFonts w:cs="Times New Roman"/>
          <w:szCs w:val="20"/>
          <w:lang w:val="pt-BR"/>
        </w:rPr>
        <w:t>Devido</w:t>
      </w:r>
      <w:r w:rsidR="0003391C" w:rsidRPr="00D5464D">
        <w:rPr>
          <w:rFonts w:cs="Times New Roman"/>
          <w:szCs w:val="20"/>
          <w:lang w:val="pt-BR"/>
        </w:rPr>
        <w:t xml:space="preserve"> </w:t>
      </w:r>
      <w:r w:rsidRPr="00D5464D">
        <w:rPr>
          <w:rFonts w:cs="Times New Roman"/>
          <w:szCs w:val="20"/>
          <w:lang w:val="pt-BR"/>
        </w:rPr>
        <w:t>à</w:t>
      </w:r>
      <w:r w:rsidR="0003391C" w:rsidRPr="00D5464D">
        <w:rPr>
          <w:rFonts w:cs="Times New Roman"/>
          <w:szCs w:val="20"/>
          <w:lang w:val="pt-BR"/>
        </w:rPr>
        <w:t xml:space="preserve"> su</w:t>
      </w:r>
      <w:r w:rsidRPr="00D5464D">
        <w:rPr>
          <w:rFonts w:cs="Times New Roman"/>
          <w:szCs w:val="20"/>
          <w:lang w:val="pt-BR"/>
        </w:rPr>
        <w:t>a</w:t>
      </w:r>
      <w:r w:rsidR="0003391C" w:rsidRPr="00D5464D">
        <w:rPr>
          <w:rFonts w:cs="Times New Roman"/>
          <w:szCs w:val="20"/>
          <w:lang w:val="pt-BR"/>
        </w:rPr>
        <w:t xml:space="preserve"> </w:t>
      </w:r>
      <w:r w:rsidR="0098265D" w:rsidRPr="00D5464D">
        <w:rPr>
          <w:rFonts w:cs="Times New Roman"/>
          <w:szCs w:val="20"/>
          <w:lang w:val="pt-BR"/>
        </w:rPr>
        <w:t>condi</w:t>
      </w:r>
      <w:r w:rsidR="0098265D" w:rsidRPr="00D5464D">
        <w:rPr>
          <w:rFonts w:cs="Arial"/>
          <w:szCs w:val="20"/>
          <w:lang w:val="pt-BR"/>
        </w:rPr>
        <w:t>çã</w:t>
      </w:r>
      <w:r w:rsidR="0098265D" w:rsidRPr="00D5464D">
        <w:rPr>
          <w:rFonts w:cs="Times New Roman"/>
          <w:szCs w:val="20"/>
          <w:lang w:val="pt-BR"/>
        </w:rPr>
        <w:t xml:space="preserve">o de </w:t>
      </w:r>
      <w:r w:rsidR="0003391C" w:rsidRPr="00D5464D">
        <w:rPr>
          <w:rFonts w:cs="Times New Roman"/>
          <w:szCs w:val="20"/>
          <w:lang w:val="pt-BR"/>
        </w:rPr>
        <w:t xml:space="preserve">extrema pobreza, </w:t>
      </w:r>
      <w:r w:rsidR="00737270" w:rsidRPr="00D5464D">
        <w:rPr>
          <w:rFonts w:cs="Times New Roman"/>
          <w:szCs w:val="20"/>
          <w:lang w:val="pt-BR"/>
        </w:rPr>
        <w:t xml:space="preserve">sua situação </w:t>
      </w:r>
      <w:r w:rsidR="0003391C" w:rsidRPr="00D5464D">
        <w:rPr>
          <w:rFonts w:cs="Times New Roman"/>
          <w:szCs w:val="20"/>
          <w:lang w:val="pt-BR"/>
        </w:rPr>
        <w:t xml:space="preserve">de </w:t>
      </w:r>
      <w:r w:rsidR="00E045D9" w:rsidRPr="00D5464D">
        <w:rPr>
          <w:rFonts w:cs="Times New Roman"/>
          <w:szCs w:val="20"/>
          <w:lang w:val="pt-BR"/>
        </w:rPr>
        <w:t xml:space="preserve">vulnerabilidade e </w:t>
      </w:r>
      <w:r w:rsidR="0003391C" w:rsidRPr="00D5464D">
        <w:rPr>
          <w:rFonts w:cs="Times New Roman"/>
          <w:szCs w:val="20"/>
          <w:lang w:val="pt-BR"/>
        </w:rPr>
        <w:t>s</w:t>
      </w:r>
      <w:r w:rsidRPr="00D5464D">
        <w:rPr>
          <w:rFonts w:cs="Times New Roman"/>
          <w:szCs w:val="20"/>
          <w:lang w:val="pt-BR"/>
        </w:rPr>
        <w:t>e</w:t>
      </w:r>
      <w:r w:rsidR="0003391C" w:rsidRPr="00D5464D">
        <w:rPr>
          <w:rFonts w:cs="Times New Roman"/>
          <w:szCs w:val="20"/>
          <w:lang w:val="pt-BR"/>
        </w:rPr>
        <w:t xml:space="preserve">u </w:t>
      </w:r>
      <w:r w:rsidR="00A1358C" w:rsidRPr="00D5464D">
        <w:rPr>
          <w:rFonts w:cs="Times New Roman"/>
          <w:szCs w:val="20"/>
          <w:lang w:val="pt-BR"/>
        </w:rPr>
        <w:t>desespero</w:t>
      </w:r>
      <w:r w:rsidR="0003391C" w:rsidRPr="00D5464D">
        <w:rPr>
          <w:rFonts w:cs="Times New Roman"/>
          <w:szCs w:val="20"/>
          <w:lang w:val="pt-BR"/>
        </w:rPr>
        <w:t xml:space="preserve"> por </w:t>
      </w:r>
      <w:r w:rsidR="00E045D9" w:rsidRPr="00D5464D">
        <w:rPr>
          <w:rFonts w:cs="Times New Roman"/>
          <w:szCs w:val="20"/>
          <w:lang w:val="pt-BR"/>
        </w:rPr>
        <w:t>trabalh</w:t>
      </w:r>
      <w:r w:rsidR="0003391C" w:rsidRPr="00D5464D">
        <w:rPr>
          <w:rFonts w:cs="Times New Roman"/>
          <w:szCs w:val="20"/>
          <w:lang w:val="pt-BR"/>
        </w:rPr>
        <w:t>ar,</w:t>
      </w:r>
      <w:r w:rsidR="002C330E" w:rsidRPr="00D5464D">
        <w:rPr>
          <w:rFonts w:cs="Times New Roman"/>
          <w:szCs w:val="20"/>
          <w:lang w:val="pt-BR"/>
        </w:rPr>
        <w:t xml:space="preserve"> os </w:t>
      </w:r>
      <w:r w:rsidR="00E045D9" w:rsidRPr="00D5464D">
        <w:rPr>
          <w:rFonts w:cs="Times New Roman"/>
          <w:szCs w:val="20"/>
          <w:lang w:val="pt-BR"/>
        </w:rPr>
        <w:t>trabalhadores</w:t>
      </w:r>
      <w:r w:rsidR="00F36464" w:rsidRPr="00D5464D">
        <w:rPr>
          <w:rFonts w:cs="Times New Roman"/>
          <w:szCs w:val="20"/>
          <w:lang w:val="pt-BR"/>
        </w:rPr>
        <w:t xml:space="preserve"> </w:t>
      </w:r>
      <w:r w:rsidR="002C330E" w:rsidRPr="00D5464D">
        <w:rPr>
          <w:rFonts w:cs="Times New Roman"/>
          <w:szCs w:val="20"/>
          <w:lang w:val="pt-BR"/>
        </w:rPr>
        <w:t>muita</w:t>
      </w:r>
      <w:r w:rsidR="00F36464" w:rsidRPr="00D5464D">
        <w:rPr>
          <w:rFonts w:cs="Times New Roman"/>
          <w:szCs w:val="20"/>
          <w:lang w:val="pt-BR"/>
        </w:rPr>
        <w:t xml:space="preserve">s </w:t>
      </w:r>
      <w:r w:rsidR="00E045D9" w:rsidRPr="00D5464D">
        <w:rPr>
          <w:rFonts w:cs="Times New Roman"/>
          <w:szCs w:val="20"/>
          <w:lang w:val="pt-BR"/>
        </w:rPr>
        <w:t>vezes</w:t>
      </w:r>
      <w:r w:rsidR="0003391C" w:rsidRPr="00D5464D">
        <w:rPr>
          <w:rFonts w:cs="Times New Roman"/>
          <w:szCs w:val="20"/>
          <w:lang w:val="pt-BR"/>
        </w:rPr>
        <w:t xml:space="preserve"> </w:t>
      </w:r>
      <w:r w:rsidR="00470ADC" w:rsidRPr="00D5464D">
        <w:rPr>
          <w:rFonts w:cs="Times New Roman"/>
          <w:szCs w:val="20"/>
          <w:lang w:val="pt-BR"/>
        </w:rPr>
        <w:t>aceit</w:t>
      </w:r>
      <w:r w:rsidR="0003391C" w:rsidRPr="00D5464D">
        <w:rPr>
          <w:rFonts w:cs="Times New Roman"/>
          <w:szCs w:val="20"/>
          <w:lang w:val="pt-BR"/>
        </w:rPr>
        <w:t>a</w:t>
      </w:r>
      <w:r w:rsidRPr="00D5464D">
        <w:rPr>
          <w:rFonts w:cs="Times New Roman"/>
          <w:szCs w:val="20"/>
          <w:lang w:val="pt-BR"/>
        </w:rPr>
        <w:t>m</w:t>
      </w:r>
      <w:r w:rsidR="002C330E" w:rsidRPr="00D5464D">
        <w:rPr>
          <w:rFonts w:cs="Times New Roman"/>
          <w:szCs w:val="20"/>
          <w:lang w:val="pt-BR"/>
        </w:rPr>
        <w:t xml:space="preserve"> as </w:t>
      </w:r>
      <w:r w:rsidR="0003391C" w:rsidRPr="00D5464D">
        <w:rPr>
          <w:rFonts w:cs="Times New Roman"/>
          <w:szCs w:val="20"/>
          <w:lang w:val="pt-BR"/>
        </w:rPr>
        <w:t>condi</w:t>
      </w:r>
      <w:r w:rsidR="00470ADC" w:rsidRPr="00D5464D">
        <w:rPr>
          <w:rFonts w:cs="Times New Roman"/>
          <w:szCs w:val="20"/>
          <w:lang w:val="pt-BR"/>
        </w:rPr>
        <w:t>ções</w:t>
      </w:r>
      <w:r w:rsidR="0003391C" w:rsidRPr="00D5464D">
        <w:rPr>
          <w:rFonts w:cs="Times New Roman"/>
          <w:szCs w:val="20"/>
          <w:lang w:val="pt-BR"/>
        </w:rPr>
        <w:t xml:space="preserve"> de </w:t>
      </w:r>
      <w:r w:rsidR="00E045D9" w:rsidRPr="00D5464D">
        <w:rPr>
          <w:rFonts w:cs="Times New Roman"/>
          <w:szCs w:val="20"/>
          <w:lang w:val="pt-BR"/>
        </w:rPr>
        <w:t>trabalho</w:t>
      </w:r>
      <w:r w:rsidR="00B73A8A" w:rsidRPr="00D5464D">
        <w:rPr>
          <w:rFonts w:cs="Times New Roman"/>
          <w:szCs w:val="20"/>
          <w:lang w:val="pt-BR"/>
        </w:rPr>
        <w:t xml:space="preserve"> antes descritas</w:t>
      </w:r>
      <w:r w:rsidRPr="00D5464D">
        <w:rPr>
          <w:rFonts w:cs="Times New Roman"/>
          <w:szCs w:val="20"/>
          <w:lang w:val="pt-BR"/>
        </w:rPr>
        <w:t>.</w:t>
      </w:r>
      <w:r w:rsidR="0003391C" w:rsidRPr="00D5464D">
        <w:rPr>
          <w:rStyle w:val="Refdenotaalpie"/>
          <w:lang w:val="pt-BR"/>
        </w:rPr>
        <w:footnoteReference w:id="81"/>
      </w:r>
    </w:p>
    <w:p w14:paraId="11CCCEC5" w14:textId="77777777" w:rsidR="0003391C" w:rsidRPr="00D5464D" w:rsidRDefault="0003391C" w:rsidP="00140440">
      <w:pPr>
        <w:pStyle w:val="Prrafodelista"/>
        <w:autoSpaceDE w:val="0"/>
        <w:autoSpaceDN w:val="0"/>
        <w:adjustRightInd w:val="0"/>
        <w:ind w:left="0"/>
        <w:contextualSpacing w:val="0"/>
        <w:rPr>
          <w:rFonts w:cs="Times New Roman"/>
          <w:szCs w:val="20"/>
          <w:lang w:val="pt-BR"/>
        </w:rPr>
      </w:pPr>
    </w:p>
    <w:p w14:paraId="792511A9" w14:textId="099E11F9" w:rsidR="0003391C" w:rsidRPr="00D5464D" w:rsidRDefault="00100D71" w:rsidP="00140440">
      <w:pPr>
        <w:pStyle w:val="Prrafodelista"/>
        <w:numPr>
          <w:ilvl w:val="0"/>
          <w:numId w:val="1"/>
        </w:numPr>
        <w:autoSpaceDE w:val="0"/>
        <w:autoSpaceDN w:val="0"/>
        <w:adjustRightInd w:val="0"/>
        <w:contextualSpacing w:val="0"/>
        <w:rPr>
          <w:rFonts w:cs="Times New Roman"/>
          <w:szCs w:val="20"/>
          <w:lang w:val="pt-BR"/>
        </w:rPr>
      </w:pPr>
      <w:r w:rsidRPr="00D5464D">
        <w:rPr>
          <w:rFonts w:cs="Arial"/>
          <w:szCs w:val="20"/>
          <w:lang w:val="pt-BR"/>
        </w:rPr>
        <w:t xml:space="preserve">No tocante </w:t>
      </w:r>
      <w:r w:rsidR="00E045D9" w:rsidRPr="00D5464D">
        <w:rPr>
          <w:rFonts w:cs="Arial"/>
          <w:szCs w:val="20"/>
          <w:lang w:val="pt-BR"/>
        </w:rPr>
        <w:t xml:space="preserve">às </w:t>
      </w:r>
      <w:r w:rsidR="0003391C" w:rsidRPr="00D5464D">
        <w:rPr>
          <w:rFonts w:cs="Arial"/>
          <w:szCs w:val="20"/>
          <w:lang w:val="pt-BR"/>
        </w:rPr>
        <w:t>investiga</w:t>
      </w:r>
      <w:r w:rsidR="00470ADC" w:rsidRPr="00D5464D">
        <w:rPr>
          <w:rFonts w:cs="Arial"/>
          <w:szCs w:val="20"/>
          <w:lang w:val="pt-BR"/>
        </w:rPr>
        <w:t>ções</w:t>
      </w:r>
      <w:r w:rsidR="0003391C" w:rsidRPr="00D5464D">
        <w:rPr>
          <w:rFonts w:cs="Arial"/>
          <w:szCs w:val="20"/>
          <w:lang w:val="pt-BR"/>
        </w:rPr>
        <w:t xml:space="preserve"> por</w:t>
      </w:r>
      <w:r w:rsidR="00470ADC" w:rsidRPr="00D5464D">
        <w:rPr>
          <w:rFonts w:cs="Arial"/>
          <w:szCs w:val="20"/>
          <w:lang w:val="pt-BR"/>
        </w:rPr>
        <w:t xml:space="preserve"> estes </w:t>
      </w:r>
      <w:r w:rsidR="002C330E" w:rsidRPr="00D5464D">
        <w:rPr>
          <w:rFonts w:cs="Arial"/>
          <w:szCs w:val="20"/>
          <w:lang w:val="pt-BR"/>
        </w:rPr>
        <w:t>fatos</w:t>
      </w:r>
      <w:r w:rsidR="0003391C" w:rsidRPr="00D5464D">
        <w:rPr>
          <w:rFonts w:cs="Arial"/>
          <w:szCs w:val="20"/>
          <w:lang w:val="pt-BR"/>
        </w:rPr>
        <w:t xml:space="preserve">, de </w:t>
      </w:r>
      <w:r w:rsidR="00470ADC" w:rsidRPr="00D5464D">
        <w:rPr>
          <w:rFonts w:cs="Arial"/>
          <w:szCs w:val="20"/>
          <w:lang w:val="pt-BR"/>
        </w:rPr>
        <w:t>acordo com</w:t>
      </w:r>
      <w:r w:rsidR="002C330E" w:rsidRPr="00D5464D">
        <w:rPr>
          <w:rFonts w:cs="Arial"/>
          <w:szCs w:val="20"/>
          <w:lang w:val="pt-BR"/>
        </w:rPr>
        <w:t xml:space="preserve"> a </w:t>
      </w:r>
      <w:r w:rsidR="0003391C" w:rsidRPr="00D5464D">
        <w:rPr>
          <w:rFonts w:cs="Arial"/>
          <w:szCs w:val="20"/>
          <w:lang w:val="pt-BR"/>
        </w:rPr>
        <w:t>OIT</w:t>
      </w:r>
      <w:r w:rsidRPr="00D5464D">
        <w:rPr>
          <w:rFonts w:cs="Arial"/>
          <w:szCs w:val="20"/>
          <w:lang w:val="pt-BR"/>
        </w:rPr>
        <w:t>,</w:t>
      </w:r>
      <w:r w:rsidR="002C330E" w:rsidRPr="00D5464D">
        <w:rPr>
          <w:rFonts w:cs="Arial"/>
          <w:szCs w:val="20"/>
          <w:lang w:val="pt-BR"/>
        </w:rPr>
        <w:t xml:space="preserve"> a impunida</w:t>
      </w:r>
      <w:r w:rsidR="00E045D9" w:rsidRPr="00D5464D">
        <w:rPr>
          <w:rFonts w:cs="Arial"/>
          <w:szCs w:val="20"/>
          <w:lang w:val="pt-BR"/>
        </w:rPr>
        <w:t>d</w:t>
      </w:r>
      <w:r w:rsidRPr="00D5464D">
        <w:rPr>
          <w:rFonts w:cs="Arial"/>
          <w:szCs w:val="20"/>
          <w:lang w:val="pt-BR"/>
        </w:rPr>
        <w:t>e da</w:t>
      </w:r>
      <w:r w:rsidR="00470ADC" w:rsidRPr="00D5464D">
        <w:rPr>
          <w:rFonts w:cs="Arial"/>
          <w:szCs w:val="20"/>
          <w:lang w:val="pt-BR"/>
        </w:rPr>
        <w:t xml:space="preserve"> </w:t>
      </w:r>
      <w:r w:rsidR="002C330E" w:rsidRPr="00D5464D">
        <w:rPr>
          <w:rFonts w:cs="Arial"/>
          <w:szCs w:val="20"/>
          <w:lang w:val="pt-BR"/>
        </w:rPr>
        <w:t>submissão</w:t>
      </w:r>
      <w:r w:rsidR="0003391C" w:rsidRPr="00D5464D">
        <w:rPr>
          <w:rFonts w:cs="Arial"/>
          <w:szCs w:val="20"/>
          <w:lang w:val="pt-BR"/>
        </w:rPr>
        <w:t xml:space="preserve"> a </w:t>
      </w:r>
      <w:r w:rsidR="00E045D9" w:rsidRPr="00D5464D">
        <w:rPr>
          <w:rFonts w:cs="Arial"/>
          <w:szCs w:val="20"/>
          <w:lang w:val="pt-BR"/>
        </w:rPr>
        <w:t>trabalho</w:t>
      </w:r>
      <w:r w:rsidR="0003391C" w:rsidRPr="00D5464D">
        <w:rPr>
          <w:rFonts w:cs="Arial"/>
          <w:szCs w:val="20"/>
          <w:lang w:val="pt-BR"/>
        </w:rPr>
        <w:t xml:space="preserve"> </w:t>
      </w:r>
      <w:r w:rsidR="004F1CC2" w:rsidRPr="00D5464D">
        <w:rPr>
          <w:rFonts w:cs="Arial"/>
          <w:szCs w:val="20"/>
          <w:lang w:val="pt-BR"/>
        </w:rPr>
        <w:t>escravo</w:t>
      </w:r>
      <w:r w:rsidR="0003391C" w:rsidRPr="00D5464D">
        <w:rPr>
          <w:rFonts w:cs="Arial"/>
          <w:szCs w:val="20"/>
          <w:lang w:val="pt-BR"/>
        </w:rPr>
        <w:t xml:space="preserve"> se</w:t>
      </w:r>
      <w:r w:rsidR="00470ADC" w:rsidRPr="00D5464D">
        <w:rPr>
          <w:rFonts w:cs="Arial"/>
          <w:szCs w:val="20"/>
          <w:lang w:val="pt-BR"/>
        </w:rPr>
        <w:t xml:space="preserve"> deve à </w:t>
      </w:r>
      <w:r w:rsidR="0003391C" w:rsidRPr="00D5464D">
        <w:rPr>
          <w:rFonts w:cs="Arial"/>
          <w:szCs w:val="20"/>
          <w:lang w:val="pt-BR"/>
        </w:rPr>
        <w:t>articula</w:t>
      </w:r>
      <w:r w:rsidR="00470ADC" w:rsidRPr="00D5464D">
        <w:rPr>
          <w:rFonts w:cs="Arial"/>
          <w:szCs w:val="20"/>
          <w:lang w:val="pt-BR"/>
        </w:rPr>
        <w:t xml:space="preserve">ção dos </w:t>
      </w:r>
      <w:r w:rsidRPr="00D5464D">
        <w:rPr>
          <w:rFonts w:cs="Arial"/>
          <w:szCs w:val="20"/>
          <w:lang w:val="pt-BR"/>
        </w:rPr>
        <w:t>fazendeiros</w:t>
      </w:r>
      <w:r w:rsidR="00470ADC" w:rsidRPr="00D5464D">
        <w:rPr>
          <w:rFonts w:cs="Arial"/>
          <w:szCs w:val="20"/>
          <w:lang w:val="pt-BR"/>
        </w:rPr>
        <w:t xml:space="preserve"> com </w:t>
      </w:r>
      <w:r w:rsidR="002C330E" w:rsidRPr="00D5464D">
        <w:rPr>
          <w:rFonts w:cs="Arial"/>
          <w:szCs w:val="20"/>
          <w:lang w:val="pt-BR"/>
        </w:rPr>
        <w:t>setores</w:t>
      </w:r>
      <w:r w:rsidR="00470ADC" w:rsidRPr="00D5464D">
        <w:rPr>
          <w:rFonts w:cs="Arial"/>
          <w:szCs w:val="20"/>
          <w:lang w:val="pt-BR"/>
        </w:rPr>
        <w:t xml:space="preserve"> dos </w:t>
      </w:r>
      <w:r w:rsidR="0003391C" w:rsidRPr="00D5464D">
        <w:rPr>
          <w:rFonts w:cs="Arial"/>
          <w:szCs w:val="20"/>
          <w:lang w:val="pt-BR"/>
        </w:rPr>
        <w:t>poderes</w:t>
      </w:r>
      <w:r w:rsidR="000D4EF8" w:rsidRPr="00D5464D">
        <w:rPr>
          <w:rFonts w:cs="Arial"/>
          <w:szCs w:val="20"/>
          <w:lang w:val="pt-BR"/>
        </w:rPr>
        <w:t xml:space="preserve"> </w:t>
      </w:r>
      <w:r w:rsidR="00C91CB1" w:rsidRPr="00D5464D">
        <w:rPr>
          <w:rFonts w:cs="Arial"/>
          <w:szCs w:val="20"/>
          <w:lang w:val="pt-BR"/>
        </w:rPr>
        <w:t>federais</w:t>
      </w:r>
      <w:r w:rsidR="0003391C" w:rsidRPr="00D5464D">
        <w:rPr>
          <w:rFonts w:cs="Arial"/>
          <w:szCs w:val="20"/>
          <w:lang w:val="pt-BR"/>
        </w:rPr>
        <w:t>, estadua</w:t>
      </w:r>
      <w:r w:rsidRPr="00D5464D">
        <w:rPr>
          <w:rFonts w:cs="Arial"/>
          <w:szCs w:val="20"/>
          <w:lang w:val="pt-BR"/>
        </w:rPr>
        <w:t>i</w:t>
      </w:r>
      <w:r w:rsidR="0003391C" w:rsidRPr="00D5464D">
        <w:rPr>
          <w:rFonts w:cs="Arial"/>
          <w:szCs w:val="20"/>
          <w:lang w:val="pt-BR"/>
        </w:rPr>
        <w:t>s</w:t>
      </w:r>
      <w:r w:rsidR="00E045D9" w:rsidRPr="00D5464D">
        <w:rPr>
          <w:rFonts w:cs="Arial"/>
          <w:szCs w:val="20"/>
          <w:lang w:val="pt-BR"/>
        </w:rPr>
        <w:t xml:space="preserve"> e </w:t>
      </w:r>
      <w:r w:rsidR="00A1358C" w:rsidRPr="00D5464D">
        <w:rPr>
          <w:rFonts w:cs="Arial"/>
          <w:szCs w:val="20"/>
          <w:lang w:val="pt-BR"/>
        </w:rPr>
        <w:t>municipais</w:t>
      </w:r>
      <w:r w:rsidR="006665EF" w:rsidRPr="00D5464D">
        <w:rPr>
          <w:rFonts w:cs="Arial"/>
          <w:szCs w:val="20"/>
          <w:lang w:val="pt-BR"/>
        </w:rPr>
        <w:t xml:space="preserve"> no Brasil</w:t>
      </w:r>
      <w:r w:rsidR="0003391C" w:rsidRPr="00D5464D">
        <w:rPr>
          <w:rFonts w:cs="Arial"/>
          <w:szCs w:val="20"/>
          <w:lang w:val="pt-BR"/>
        </w:rPr>
        <w:t xml:space="preserve">. </w:t>
      </w:r>
      <w:r w:rsidR="002C330E" w:rsidRPr="00D5464D">
        <w:rPr>
          <w:rFonts w:cs="Arial"/>
          <w:szCs w:val="20"/>
          <w:lang w:val="pt-BR"/>
        </w:rPr>
        <w:t>Muito</w:t>
      </w:r>
      <w:r w:rsidR="0003391C" w:rsidRPr="00D5464D">
        <w:rPr>
          <w:rFonts w:cs="Arial"/>
          <w:szCs w:val="20"/>
          <w:lang w:val="pt-BR"/>
        </w:rPr>
        <w:t xml:space="preserve">s </w:t>
      </w:r>
      <w:r w:rsidRPr="00D5464D">
        <w:rPr>
          <w:rFonts w:cs="Arial"/>
          <w:szCs w:val="20"/>
          <w:lang w:val="pt-BR"/>
        </w:rPr>
        <w:t>fazendeiros</w:t>
      </w:r>
      <w:r w:rsidR="0003391C" w:rsidRPr="00D5464D">
        <w:rPr>
          <w:rFonts w:cs="Arial"/>
          <w:szCs w:val="20"/>
          <w:lang w:val="pt-BR"/>
        </w:rPr>
        <w:t xml:space="preserve"> </w:t>
      </w:r>
      <w:r w:rsidR="00A1358C" w:rsidRPr="00D5464D">
        <w:rPr>
          <w:rFonts w:cs="Arial"/>
          <w:szCs w:val="20"/>
          <w:lang w:val="pt-BR"/>
        </w:rPr>
        <w:t>exercem</w:t>
      </w:r>
      <w:r w:rsidR="0003391C" w:rsidRPr="00D5464D">
        <w:rPr>
          <w:rFonts w:cs="Arial"/>
          <w:szCs w:val="20"/>
          <w:lang w:val="pt-BR"/>
        </w:rPr>
        <w:t xml:space="preserve"> </w:t>
      </w:r>
      <w:r w:rsidR="00230C71" w:rsidRPr="00D5464D">
        <w:rPr>
          <w:rFonts w:cs="Arial"/>
          <w:szCs w:val="20"/>
          <w:lang w:val="pt-BR"/>
        </w:rPr>
        <w:t xml:space="preserve">domínio </w:t>
      </w:r>
      <w:r w:rsidR="0003391C" w:rsidRPr="00D5464D">
        <w:rPr>
          <w:rFonts w:cs="Arial"/>
          <w:szCs w:val="20"/>
          <w:lang w:val="pt-BR"/>
        </w:rPr>
        <w:t xml:space="preserve">e </w:t>
      </w:r>
      <w:r w:rsidR="00E045D9" w:rsidRPr="00D5464D">
        <w:rPr>
          <w:rFonts w:cs="Arial"/>
          <w:szCs w:val="20"/>
          <w:lang w:val="pt-BR"/>
        </w:rPr>
        <w:t>influência</w:t>
      </w:r>
      <w:r w:rsidR="00470ADC" w:rsidRPr="00D5464D">
        <w:rPr>
          <w:rFonts w:cs="Arial"/>
          <w:szCs w:val="20"/>
          <w:lang w:val="pt-BR"/>
        </w:rPr>
        <w:t xml:space="preserve"> em </w:t>
      </w:r>
      <w:r w:rsidR="0003391C" w:rsidRPr="00D5464D">
        <w:rPr>
          <w:rFonts w:cs="Arial"/>
          <w:szCs w:val="20"/>
          <w:lang w:val="pt-BR"/>
        </w:rPr>
        <w:t xml:space="preserve">diferentes </w:t>
      </w:r>
      <w:r w:rsidR="002C330E" w:rsidRPr="00D5464D">
        <w:rPr>
          <w:rFonts w:cs="Arial"/>
          <w:szCs w:val="20"/>
          <w:lang w:val="pt-BR"/>
        </w:rPr>
        <w:t>instância</w:t>
      </w:r>
      <w:r w:rsidR="0003391C" w:rsidRPr="00D5464D">
        <w:rPr>
          <w:rFonts w:cs="Arial"/>
          <w:szCs w:val="20"/>
          <w:lang w:val="pt-BR"/>
        </w:rPr>
        <w:t xml:space="preserve">s </w:t>
      </w:r>
      <w:r w:rsidR="00470ADC" w:rsidRPr="00D5464D">
        <w:rPr>
          <w:rFonts w:cs="Arial"/>
          <w:szCs w:val="20"/>
          <w:lang w:val="pt-BR"/>
        </w:rPr>
        <w:t xml:space="preserve">do </w:t>
      </w:r>
      <w:r w:rsidR="0003391C" w:rsidRPr="00D5464D">
        <w:rPr>
          <w:rFonts w:cs="Arial"/>
          <w:szCs w:val="20"/>
          <w:lang w:val="pt-BR"/>
        </w:rPr>
        <w:t>poder nacional</w:t>
      </w:r>
      <w:r w:rsidR="00470ADC" w:rsidRPr="00D5464D">
        <w:rPr>
          <w:rFonts w:cs="Arial"/>
          <w:szCs w:val="20"/>
          <w:lang w:val="pt-BR"/>
        </w:rPr>
        <w:t>,</w:t>
      </w:r>
      <w:r w:rsidR="00737270" w:rsidRPr="00D5464D">
        <w:rPr>
          <w:rFonts w:cs="Arial"/>
          <w:szCs w:val="20"/>
          <w:lang w:val="pt-BR"/>
        </w:rPr>
        <w:t xml:space="preserve"> </w:t>
      </w:r>
      <w:r w:rsidR="002C330E" w:rsidRPr="00D5464D">
        <w:rPr>
          <w:rFonts w:cs="Arial"/>
          <w:szCs w:val="20"/>
          <w:lang w:val="pt-BR"/>
        </w:rPr>
        <w:t xml:space="preserve">seja </w:t>
      </w:r>
      <w:r w:rsidR="0003391C" w:rsidRPr="00D5464D">
        <w:rPr>
          <w:rFonts w:cs="Arial"/>
          <w:szCs w:val="20"/>
          <w:lang w:val="pt-BR"/>
        </w:rPr>
        <w:t xml:space="preserve">de forma </w:t>
      </w:r>
      <w:r w:rsidR="00470ADC" w:rsidRPr="00D5464D">
        <w:rPr>
          <w:rFonts w:cs="Arial"/>
          <w:szCs w:val="20"/>
          <w:lang w:val="pt-BR"/>
        </w:rPr>
        <w:t>diret</w:t>
      </w:r>
      <w:r w:rsidR="0003391C" w:rsidRPr="00D5464D">
        <w:rPr>
          <w:rFonts w:cs="Arial"/>
          <w:szCs w:val="20"/>
          <w:lang w:val="pt-BR"/>
        </w:rPr>
        <w:t>a o</w:t>
      </w:r>
      <w:r w:rsidRPr="00D5464D">
        <w:rPr>
          <w:rFonts w:cs="Arial"/>
          <w:szCs w:val="20"/>
          <w:lang w:val="pt-BR"/>
        </w:rPr>
        <w:t>u</w:t>
      </w:r>
      <w:r w:rsidR="0003391C" w:rsidRPr="00D5464D">
        <w:rPr>
          <w:rFonts w:cs="Arial"/>
          <w:szCs w:val="20"/>
          <w:lang w:val="pt-BR"/>
        </w:rPr>
        <w:t xml:space="preserve"> in</w:t>
      </w:r>
      <w:r w:rsidR="00470ADC" w:rsidRPr="00D5464D">
        <w:rPr>
          <w:rFonts w:cs="Arial"/>
          <w:szCs w:val="20"/>
          <w:lang w:val="pt-BR"/>
        </w:rPr>
        <w:t>diret</w:t>
      </w:r>
      <w:r w:rsidR="0003391C" w:rsidRPr="00D5464D">
        <w:rPr>
          <w:rFonts w:cs="Arial"/>
          <w:szCs w:val="20"/>
          <w:lang w:val="pt-BR"/>
        </w:rPr>
        <w:t>a</w:t>
      </w:r>
      <w:r w:rsidRPr="00D5464D">
        <w:rPr>
          <w:rFonts w:cs="Arial"/>
          <w:szCs w:val="20"/>
          <w:lang w:val="pt-BR"/>
        </w:rPr>
        <w:t>.</w:t>
      </w:r>
      <w:r w:rsidR="0003391C" w:rsidRPr="00D5464D">
        <w:rPr>
          <w:rStyle w:val="Refdenotaalpie"/>
          <w:rFonts w:cs="Arial"/>
          <w:lang w:val="pt-BR"/>
        </w:rPr>
        <w:footnoteReference w:id="82"/>
      </w:r>
      <w:r w:rsidR="0003391C" w:rsidRPr="00D5464D">
        <w:rPr>
          <w:rFonts w:cs="Arial"/>
          <w:szCs w:val="20"/>
          <w:lang w:val="pt-BR"/>
        </w:rPr>
        <w:t xml:space="preserve"> </w:t>
      </w:r>
    </w:p>
    <w:p w14:paraId="1E238625" w14:textId="77777777" w:rsidR="0003391C" w:rsidRPr="00D5464D" w:rsidRDefault="0003391C" w:rsidP="00140440">
      <w:pPr>
        <w:pStyle w:val="Prrafodelista"/>
        <w:autoSpaceDE w:val="0"/>
        <w:autoSpaceDN w:val="0"/>
        <w:adjustRightInd w:val="0"/>
        <w:ind w:left="0"/>
        <w:contextualSpacing w:val="0"/>
        <w:rPr>
          <w:rFonts w:cs="Times New Roman"/>
          <w:szCs w:val="20"/>
          <w:lang w:val="pt-BR"/>
        </w:rPr>
      </w:pPr>
    </w:p>
    <w:p w14:paraId="53DDF5C2" w14:textId="7B1615EC" w:rsidR="0003391C" w:rsidRPr="00D5464D" w:rsidRDefault="0003391C" w:rsidP="008622F3">
      <w:pPr>
        <w:pStyle w:val="Ttulo3"/>
        <w:rPr>
          <w:lang w:val="pt-BR"/>
        </w:rPr>
      </w:pPr>
      <w:bookmarkStart w:id="249" w:name="_Toc460433001"/>
      <w:bookmarkStart w:id="250" w:name="_Toc460441932"/>
      <w:bookmarkStart w:id="251" w:name="_Toc462750750"/>
      <w:bookmarkStart w:id="252" w:name="_Toc462751074"/>
      <w:bookmarkStart w:id="253" w:name="_Toc464813926"/>
      <w:bookmarkStart w:id="254" w:name="_Toc468433887"/>
      <w:r w:rsidRPr="00D5464D">
        <w:rPr>
          <w:lang w:val="pt-BR"/>
        </w:rPr>
        <w:t>A.3</w:t>
      </w:r>
      <w:r w:rsidR="00CB7E29" w:rsidRPr="00D5464D">
        <w:rPr>
          <w:lang w:val="pt-BR"/>
        </w:rPr>
        <w:t>.</w:t>
      </w:r>
      <w:r w:rsidRPr="00D5464D">
        <w:rPr>
          <w:lang w:val="pt-BR"/>
        </w:rPr>
        <w:t xml:space="preserve"> Medidas </w:t>
      </w:r>
      <w:r w:rsidR="00470ADC" w:rsidRPr="00D5464D">
        <w:rPr>
          <w:lang w:val="pt-BR"/>
        </w:rPr>
        <w:t>adot</w:t>
      </w:r>
      <w:r w:rsidRPr="00D5464D">
        <w:rPr>
          <w:lang w:val="pt-BR"/>
        </w:rPr>
        <w:t>adas</w:t>
      </w:r>
      <w:r w:rsidR="002C330E" w:rsidRPr="00D5464D">
        <w:rPr>
          <w:lang w:val="pt-BR"/>
        </w:rPr>
        <w:t xml:space="preserve"> pelo </w:t>
      </w:r>
      <w:r w:rsidRPr="00D5464D">
        <w:rPr>
          <w:lang w:val="pt-BR"/>
        </w:rPr>
        <w:t>Estado</w:t>
      </w:r>
      <w:bookmarkEnd w:id="249"/>
      <w:bookmarkEnd w:id="250"/>
      <w:bookmarkEnd w:id="251"/>
      <w:bookmarkEnd w:id="252"/>
      <w:bookmarkEnd w:id="253"/>
      <w:bookmarkEnd w:id="254"/>
    </w:p>
    <w:p w14:paraId="0529F5C9" w14:textId="77777777" w:rsidR="0003391C" w:rsidRPr="00D5464D" w:rsidRDefault="0003391C" w:rsidP="00140440">
      <w:pPr>
        <w:pStyle w:val="Prrafodelista"/>
        <w:contextualSpacing w:val="0"/>
        <w:rPr>
          <w:rFonts w:cs="Times New Roman"/>
          <w:szCs w:val="20"/>
          <w:lang w:val="pt-BR"/>
        </w:rPr>
      </w:pPr>
    </w:p>
    <w:p w14:paraId="35C6DF7C" w14:textId="2F7FFD76" w:rsidR="000D47F8" w:rsidRPr="00D5464D" w:rsidRDefault="0003391C" w:rsidP="00140440">
      <w:pPr>
        <w:pStyle w:val="Prrafodelista"/>
        <w:numPr>
          <w:ilvl w:val="0"/>
          <w:numId w:val="1"/>
        </w:numPr>
        <w:autoSpaceDE w:val="0"/>
        <w:autoSpaceDN w:val="0"/>
        <w:adjustRightInd w:val="0"/>
        <w:contextualSpacing w:val="0"/>
        <w:rPr>
          <w:rFonts w:eastAsia="Batang" w:cs="Times"/>
          <w:szCs w:val="24"/>
          <w:lang w:val="pt-BR"/>
        </w:rPr>
      </w:pPr>
      <w:r w:rsidRPr="00D5464D">
        <w:rPr>
          <w:rFonts w:cs="Arial"/>
          <w:szCs w:val="20"/>
          <w:lang w:val="pt-BR"/>
        </w:rPr>
        <w:t>A partir de 1995,</w:t>
      </w:r>
      <w:r w:rsidR="00470ADC" w:rsidRPr="00D5464D">
        <w:rPr>
          <w:rFonts w:cs="Arial"/>
          <w:szCs w:val="20"/>
          <w:lang w:val="pt-BR"/>
        </w:rPr>
        <w:t xml:space="preserve"> o </w:t>
      </w:r>
      <w:r w:rsidRPr="00D5464D">
        <w:rPr>
          <w:rFonts w:cs="Arial"/>
          <w:szCs w:val="20"/>
          <w:lang w:val="pt-BR"/>
        </w:rPr>
        <w:t xml:space="preserve">Estado </w:t>
      </w:r>
      <w:r w:rsidR="00470ADC" w:rsidRPr="00D5464D">
        <w:rPr>
          <w:rFonts w:cs="Arial"/>
          <w:szCs w:val="20"/>
          <w:lang w:val="pt-BR"/>
        </w:rPr>
        <w:t>brasileir</w:t>
      </w:r>
      <w:r w:rsidRPr="00D5464D">
        <w:rPr>
          <w:rFonts w:cs="Arial"/>
          <w:szCs w:val="20"/>
          <w:lang w:val="pt-BR"/>
        </w:rPr>
        <w:t>o re</w:t>
      </w:r>
      <w:r w:rsidR="00470ADC" w:rsidRPr="00D5464D">
        <w:rPr>
          <w:rFonts w:cs="Arial"/>
          <w:szCs w:val="20"/>
          <w:lang w:val="pt-BR"/>
        </w:rPr>
        <w:t>conheceu</w:t>
      </w:r>
      <w:r w:rsidR="002C330E" w:rsidRPr="00D5464D">
        <w:rPr>
          <w:rFonts w:cs="Arial"/>
          <w:szCs w:val="20"/>
          <w:lang w:val="pt-BR"/>
        </w:rPr>
        <w:t xml:space="preserve"> a </w:t>
      </w:r>
      <w:r w:rsidR="00E045D9" w:rsidRPr="00D5464D">
        <w:rPr>
          <w:rFonts w:cs="Arial"/>
          <w:szCs w:val="20"/>
          <w:lang w:val="pt-BR"/>
        </w:rPr>
        <w:t>existência</w:t>
      </w:r>
      <w:r w:rsidRPr="00D5464D">
        <w:rPr>
          <w:rFonts w:cs="Arial"/>
          <w:szCs w:val="20"/>
          <w:lang w:val="pt-BR"/>
        </w:rPr>
        <w:t xml:space="preserve"> de </w:t>
      </w:r>
      <w:r w:rsidR="00E045D9" w:rsidRPr="00D5464D">
        <w:rPr>
          <w:rFonts w:cs="Arial"/>
          <w:szCs w:val="20"/>
          <w:lang w:val="pt-BR"/>
        </w:rPr>
        <w:t>trabalho</w:t>
      </w:r>
      <w:r w:rsidRPr="00D5464D">
        <w:rPr>
          <w:rFonts w:cs="Arial"/>
          <w:szCs w:val="20"/>
          <w:lang w:val="pt-BR"/>
        </w:rPr>
        <w:t xml:space="preserve"> </w:t>
      </w:r>
      <w:r w:rsidR="004F1CC2" w:rsidRPr="00D5464D">
        <w:rPr>
          <w:rFonts w:cs="Arial"/>
          <w:szCs w:val="20"/>
          <w:lang w:val="pt-BR"/>
        </w:rPr>
        <w:t>escravo</w:t>
      </w:r>
      <w:r w:rsidR="00E045D9" w:rsidRPr="00D5464D">
        <w:rPr>
          <w:rFonts w:cs="Arial"/>
          <w:szCs w:val="20"/>
          <w:lang w:val="pt-BR"/>
        </w:rPr>
        <w:t xml:space="preserve"> e </w:t>
      </w:r>
      <w:r w:rsidR="00A1358C" w:rsidRPr="00D5464D">
        <w:rPr>
          <w:rFonts w:cs="Arial"/>
          <w:szCs w:val="20"/>
          <w:lang w:val="pt-BR"/>
        </w:rPr>
        <w:t>passou</w:t>
      </w:r>
      <w:r w:rsidR="00A95E5E" w:rsidRPr="00D5464D">
        <w:rPr>
          <w:rFonts w:cs="Arial"/>
          <w:szCs w:val="20"/>
          <w:lang w:val="pt-BR"/>
        </w:rPr>
        <w:t xml:space="preserve"> a tomar </w:t>
      </w:r>
      <w:r w:rsidRPr="00D5464D">
        <w:rPr>
          <w:rFonts w:cs="Arial"/>
          <w:szCs w:val="20"/>
          <w:lang w:val="pt-BR"/>
        </w:rPr>
        <w:t xml:space="preserve">medidas </w:t>
      </w:r>
      <w:r w:rsidR="00B45119" w:rsidRPr="00D5464D">
        <w:rPr>
          <w:rFonts w:cs="Arial"/>
          <w:szCs w:val="20"/>
          <w:lang w:val="pt-BR"/>
        </w:rPr>
        <w:t>voltada</w:t>
      </w:r>
      <w:r w:rsidR="006C57DD" w:rsidRPr="00D5464D">
        <w:rPr>
          <w:rFonts w:cs="Arial"/>
          <w:szCs w:val="20"/>
          <w:lang w:val="pt-BR"/>
        </w:rPr>
        <w:t>s</w:t>
      </w:r>
      <w:r w:rsidR="00FF1290" w:rsidRPr="00D5464D">
        <w:rPr>
          <w:rFonts w:cs="Arial"/>
          <w:szCs w:val="20"/>
          <w:lang w:val="pt-BR"/>
        </w:rPr>
        <w:t xml:space="preserve"> </w:t>
      </w:r>
      <w:r w:rsidRPr="00D5464D">
        <w:rPr>
          <w:rFonts w:cs="Arial"/>
          <w:szCs w:val="20"/>
          <w:lang w:val="pt-BR"/>
        </w:rPr>
        <w:t xml:space="preserve">a </w:t>
      </w:r>
      <w:r w:rsidR="00100D71" w:rsidRPr="00D5464D">
        <w:rPr>
          <w:rFonts w:cs="Arial"/>
          <w:szCs w:val="20"/>
          <w:lang w:val="pt-BR"/>
        </w:rPr>
        <w:t>combat</w:t>
      </w:r>
      <w:r w:rsidR="00B45119" w:rsidRPr="00D5464D">
        <w:rPr>
          <w:rFonts w:cs="Arial"/>
          <w:szCs w:val="20"/>
          <w:lang w:val="pt-BR"/>
        </w:rPr>
        <w:t>ê</w:t>
      </w:r>
      <w:r w:rsidR="00100D71" w:rsidRPr="00D5464D">
        <w:rPr>
          <w:rFonts w:cs="Arial"/>
          <w:szCs w:val="20"/>
          <w:lang w:val="pt-BR"/>
        </w:rPr>
        <w:t>-</w:t>
      </w:r>
      <w:r w:rsidRPr="00D5464D">
        <w:rPr>
          <w:rFonts w:cs="Arial"/>
          <w:szCs w:val="20"/>
          <w:lang w:val="pt-BR"/>
        </w:rPr>
        <w:t>lo</w:t>
      </w:r>
      <w:r w:rsidR="00100D71" w:rsidRPr="00D5464D">
        <w:rPr>
          <w:rFonts w:cs="Arial"/>
          <w:szCs w:val="20"/>
          <w:lang w:val="pt-BR"/>
        </w:rPr>
        <w:t>.</w:t>
      </w:r>
      <w:r w:rsidRPr="00D5464D">
        <w:rPr>
          <w:rStyle w:val="Refdenotaalpie"/>
          <w:rFonts w:cs="Arial"/>
          <w:lang w:val="pt-BR"/>
        </w:rPr>
        <w:footnoteReference w:id="83"/>
      </w:r>
      <w:r w:rsidRPr="00D5464D">
        <w:rPr>
          <w:rFonts w:cs="Arial"/>
          <w:szCs w:val="20"/>
          <w:lang w:val="pt-BR"/>
        </w:rPr>
        <w:t xml:space="preserve"> </w:t>
      </w:r>
    </w:p>
    <w:p w14:paraId="29786C1E" w14:textId="77777777" w:rsidR="000D47F8" w:rsidRPr="00D5464D" w:rsidRDefault="000D47F8" w:rsidP="00140440">
      <w:pPr>
        <w:pStyle w:val="Prrafodelista"/>
        <w:autoSpaceDE w:val="0"/>
        <w:autoSpaceDN w:val="0"/>
        <w:adjustRightInd w:val="0"/>
        <w:ind w:left="0"/>
        <w:contextualSpacing w:val="0"/>
        <w:rPr>
          <w:rFonts w:eastAsia="Batang" w:cs="Times"/>
          <w:szCs w:val="24"/>
          <w:lang w:val="pt-BR"/>
        </w:rPr>
      </w:pPr>
    </w:p>
    <w:p w14:paraId="0BD88D19" w14:textId="50A91983" w:rsidR="00B130B5" w:rsidRPr="00D5464D" w:rsidRDefault="00350187" w:rsidP="00140440">
      <w:pPr>
        <w:pStyle w:val="Prrafodelista"/>
        <w:numPr>
          <w:ilvl w:val="0"/>
          <w:numId w:val="1"/>
        </w:numPr>
        <w:autoSpaceDE w:val="0"/>
        <w:autoSpaceDN w:val="0"/>
        <w:adjustRightInd w:val="0"/>
        <w:contextualSpacing w:val="0"/>
        <w:rPr>
          <w:rFonts w:eastAsia="Batang" w:cs="Times"/>
          <w:szCs w:val="24"/>
          <w:lang w:val="pt-BR"/>
        </w:rPr>
      </w:pPr>
      <w:r w:rsidRPr="00D5464D">
        <w:rPr>
          <w:rFonts w:cs="Arial"/>
          <w:szCs w:val="20"/>
          <w:lang w:val="pt-BR"/>
        </w:rPr>
        <w:t xml:space="preserve">Para isso, </w:t>
      </w:r>
      <w:r w:rsidR="00A56B1B" w:rsidRPr="00D5464D">
        <w:rPr>
          <w:rFonts w:cs="Arial"/>
          <w:szCs w:val="20"/>
          <w:lang w:val="pt-BR"/>
        </w:rPr>
        <w:t>e</w:t>
      </w:r>
      <w:r w:rsidR="0003391C" w:rsidRPr="00D5464D">
        <w:rPr>
          <w:rFonts w:cs="Arial"/>
          <w:szCs w:val="20"/>
          <w:lang w:val="pt-BR"/>
        </w:rPr>
        <w:t xml:space="preserve">ntre </w:t>
      </w:r>
      <w:r w:rsidR="002C330E" w:rsidRPr="00D5464D">
        <w:rPr>
          <w:rFonts w:cs="Arial"/>
          <w:szCs w:val="20"/>
          <w:lang w:val="pt-BR"/>
        </w:rPr>
        <w:t>outra</w:t>
      </w:r>
      <w:r w:rsidR="0003391C" w:rsidRPr="00D5464D">
        <w:rPr>
          <w:rFonts w:cs="Arial"/>
          <w:szCs w:val="20"/>
          <w:lang w:val="pt-BR"/>
        </w:rPr>
        <w:t xml:space="preserve">s medidas, </w:t>
      </w:r>
      <w:r w:rsidR="00B45119" w:rsidRPr="00D5464D">
        <w:rPr>
          <w:rFonts w:eastAsia="Batang" w:cs="Times"/>
          <w:szCs w:val="24"/>
          <w:lang w:val="pt-BR"/>
        </w:rPr>
        <w:t xml:space="preserve">promulgou </w:t>
      </w:r>
      <w:r w:rsidR="00470ADC" w:rsidRPr="00D5464D">
        <w:rPr>
          <w:rFonts w:eastAsia="Batang" w:cs="Times"/>
          <w:szCs w:val="24"/>
          <w:lang w:val="pt-BR"/>
        </w:rPr>
        <w:t xml:space="preserve">o </w:t>
      </w:r>
      <w:r w:rsidR="00EC0B4B" w:rsidRPr="00D5464D">
        <w:rPr>
          <w:rFonts w:eastAsia="Batang" w:cs="Times"/>
          <w:szCs w:val="24"/>
          <w:lang w:val="pt-BR"/>
        </w:rPr>
        <w:t>Decreto número 1.538,</w:t>
      </w:r>
      <w:r w:rsidR="002C330E" w:rsidRPr="00D5464D">
        <w:rPr>
          <w:rFonts w:eastAsia="Batang" w:cs="Times"/>
          <w:szCs w:val="24"/>
          <w:lang w:val="pt-BR"/>
        </w:rPr>
        <w:t xml:space="preserve"> </w:t>
      </w:r>
      <w:r w:rsidR="00100D71" w:rsidRPr="00D5464D">
        <w:rPr>
          <w:rFonts w:eastAsia="Batang" w:cs="Times"/>
          <w:szCs w:val="24"/>
          <w:lang w:val="pt-BR"/>
        </w:rPr>
        <w:t xml:space="preserve">através do qual </w:t>
      </w:r>
      <w:r w:rsidR="00470ADC" w:rsidRPr="00D5464D">
        <w:rPr>
          <w:rFonts w:eastAsia="Batang" w:cs="Times"/>
          <w:szCs w:val="24"/>
          <w:lang w:val="pt-BR"/>
        </w:rPr>
        <w:t xml:space="preserve">criou o </w:t>
      </w:r>
      <w:r w:rsidR="00EC0B4B" w:rsidRPr="00D5464D">
        <w:rPr>
          <w:rFonts w:eastAsia="Batang" w:cs="Times"/>
          <w:szCs w:val="24"/>
          <w:lang w:val="pt-BR"/>
        </w:rPr>
        <w:t>Grupo Interministerial para Erradicar</w:t>
      </w:r>
      <w:r w:rsidR="00470ADC" w:rsidRPr="00D5464D">
        <w:rPr>
          <w:rFonts w:eastAsia="Batang" w:cs="Times"/>
          <w:szCs w:val="24"/>
          <w:lang w:val="pt-BR"/>
        </w:rPr>
        <w:t xml:space="preserve"> o </w:t>
      </w:r>
      <w:r w:rsidR="00E045D9" w:rsidRPr="00D5464D">
        <w:rPr>
          <w:rFonts w:eastAsia="Batang" w:cs="Times"/>
          <w:szCs w:val="24"/>
          <w:lang w:val="pt-BR"/>
        </w:rPr>
        <w:t>Trabalho</w:t>
      </w:r>
      <w:r w:rsidR="001B63D0" w:rsidRPr="00D5464D">
        <w:rPr>
          <w:rFonts w:eastAsia="Batang" w:cs="Times"/>
          <w:szCs w:val="24"/>
          <w:lang w:val="pt-BR"/>
        </w:rPr>
        <w:t xml:space="preserve"> </w:t>
      </w:r>
      <w:r w:rsidR="00230C71" w:rsidRPr="00D5464D">
        <w:rPr>
          <w:rFonts w:eastAsia="Batang" w:cs="Times"/>
          <w:szCs w:val="24"/>
          <w:lang w:val="pt-BR"/>
        </w:rPr>
        <w:t>Forçado</w:t>
      </w:r>
      <w:r w:rsidR="00EC0B4B" w:rsidRPr="00D5464D">
        <w:rPr>
          <w:rFonts w:eastAsia="Batang" w:cs="Times"/>
          <w:szCs w:val="24"/>
          <w:lang w:val="pt-BR"/>
        </w:rPr>
        <w:t xml:space="preserve"> (GERTRAF), integrado por diversos </w:t>
      </w:r>
      <w:r w:rsidR="002C330E" w:rsidRPr="00D5464D">
        <w:rPr>
          <w:rFonts w:eastAsia="Batang" w:cs="Times"/>
          <w:szCs w:val="24"/>
          <w:lang w:val="pt-BR"/>
        </w:rPr>
        <w:t>ministério</w:t>
      </w:r>
      <w:r w:rsidR="00EC0B4B" w:rsidRPr="00D5464D">
        <w:rPr>
          <w:rFonts w:eastAsia="Batang" w:cs="Times"/>
          <w:szCs w:val="24"/>
          <w:lang w:val="pt-BR"/>
        </w:rPr>
        <w:t>s</w:t>
      </w:r>
      <w:r w:rsidR="00E045D9" w:rsidRPr="00D5464D">
        <w:rPr>
          <w:rFonts w:eastAsia="Batang" w:cs="Times"/>
          <w:szCs w:val="24"/>
          <w:lang w:val="pt-BR"/>
        </w:rPr>
        <w:t xml:space="preserve"> e </w:t>
      </w:r>
      <w:r w:rsidR="00470ADC" w:rsidRPr="00D5464D">
        <w:rPr>
          <w:rFonts w:eastAsia="Batang" w:cs="Times"/>
          <w:szCs w:val="24"/>
          <w:lang w:val="pt-BR"/>
        </w:rPr>
        <w:t>coordenad</w:t>
      </w:r>
      <w:r w:rsidR="00EC0B4B" w:rsidRPr="00D5464D">
        <w:rPr>
          <w:rFonts w:eastAsia="Batang" w:cs="Times"/>
          <w:szCs w:val="24"/>
          <w:lang w:val="pt-BR"/>
        </w:rPr>
        <w:t>o</w:t>
      </w:r>
      <w:r w:rsidR="002C330E" w:rsidRPr="00D5464D">
        <w:rPr>
          <w:rFonts w:eastAsia="Batang" w:cs="Times"/>
          <w:szCs w:val="24"/>
          <w:lang w:val="pt-BR"/>
        </w:rPr>
        <w:t xml:space="preserve"> pelo Ministério</w:t>
      </w:r>
      <w:r w:rsidR="00EC0B4B" w:rsidRPr="00D5464D">
        <w:rPr>
          <w:rFonts w:eastAsia="Batang" w:cs="Times"/>
          <w:szCs w:val="24"/>
          <w:lang w:val="pt-BR"/>
        </w:rPr>
        <w:t xml:space="preserve"> </w:t>
      </w:r>
      <w:r w:rsidR="00470ADC" w:rsidRPr="00D5464D">
        <w:rPr>
          <w:rFonts w:eastAsia="Batang" w:cs="Times"/>
          <w:szCs w:val="24"/>
          <w:lang w:val="pt-BR"/>
        </w:rPr>
        <w:t xml:space="preserve">do </w:t>
      </w:r>
      <w:r w:rsidR="00E045D9" w:rsidRPr="00D5464D">
        <w:rPr>
          <w:rFonts w:eastAsia="Batang" w:cs="Times"/>
          <w:szCs w:val="24"/>
          <w:lang w:val="pt-BR"/>
        </w:rPr>
        <w:t>Trabalho</w:t>
      </w:r>
      <w:r w:rsidR="00EC0B4B" w:rsidRPr="00D5464D">
        <w:rPr>
          <w:rFonts w:eastAsia="Batang" w:cs="Times"/>
          <w:szCs w:val="24"/>
          <w:lang w:val="pt-BR"/>
        </w:rPr>
        <w:t>,</w:t>
      </w:r>
      <w:r w:rsidR="00470ADC" w:rsidRPr="00D5464D">
        <w:rPr>
          <w:rFonts w:eastAsia="Batang" w:cs="Times"/>
          <w:szCs w:val="24"/>
          <w:lang w:val="pt-BR"/>
        </w:rPr>
        <w:t xml:space="preserve"> com</w:t>
      </w:r>
      <w:r w:rsidR="002C330E" w:rsidRPr="00D5464D">
        <w:rPr>
          <w:rFonts w:eastAsia="Batang" w:cs="Times"/>
          <w:szCs w:val="24"/>
          <w:lang w:val="pt-BR"/>
        </w:rPr>
        <w:t xml:space="preserve"> a </w:t>
      </w:r>
      <w:r w:rsidR="00EC0B4B" w:rsidRPr="00D5464D">
        <w:rPr>
          <w:rFonts w:eastAsia="Batang" w:cs="Times"/>
          <w:szCs w:val="24"/>
          <w:lang w:val="pt-BR"/>
        </w:rPr>
        <w:t>participa</w:t>
      </w:r>
      <w:r w:rsidR="00470ADC" w:rsidRPr="00D5464D">
        <w:rPr>
          <w:rFonts w:eastAsia="Batang" w:cs="Times"/>
          <w:szCs w:val="24"/>
          <w:lang w:val="pt-BR"/>
        </w:rPr>
        <w:t>ção</w:t>
      </w:r>
      <w:r w:rsidR="00EC0B4B" w:rsidRPr="00D5464D">
        <w:rPr>
          <w:rFonts w:eastAsia="Batang" w:cs="Times"/>
          <w:szCs w:val="24"/>
          <w:lang w:val="pt-BR"/>
        </w:rPr>
        <w:t xml:space="preserve"> de </w:t>
      </w:r>
      <w:r w:rsidR="00E045D9" w:rsidRPr="00D5464D">
        <w:rPr>
          <w:rFonts w:eastAsia="Batang" w:cs="Times"/>
          <w:szCs w:val="24"/>
          <w:lang w:val="pt-BR"/>
        </w:rPr>
        <w:t>várias</w:t>
      </w:r>
      <w:r w:rsidR="00EC0B4B" w:rsidRPr="00D5464D">
        <w:rPr>
          <w:rFonts w:eastAsia="Batang" w:cs="Times"/>
          <w:szCs w:val="24"/>
          <w:lang w:val="pt-BR"/>
        </w:rPr>
        <w:t xml:space="preserve"> entidades, </w:t>
      </w:r>
      <w:r w:rsidR="002C330E" w:rsidRPr="00D5464D">
        <w:rPr>
          <w:rFonts w:eastAsia="Batang" w:cs="Times"/>
          <w:szCs w:val="24"/>
          <w:lang w:val="pt-BR"/>
        </w:rPr>
        <w:t>instituições</w:t>
      </w:r>
      <w:r w:rsidR="00470ADC" w:rsidRPr="00D5464D">
        <w:rPr>
          <w:rFonts w:eastAsia="Batang" w:cs="Times"/>
          <w:szCs w:val="24"/>
          <w:lang w:val="pt-BR"/>
        </w:rPr>
        <w:t xml:space="preserve"> e</w:t>
      </w:r>
      <w:r w:rsidR="002C330E" w:rsidRPr="00D5464D">
        <w:rPr>
          <w:rFonts w:eastAsia="Batang" w:cs="Times"/>
          <w:szCs w:val="24"/>
          <w:lang w:val="pt-BR"/>
        </w:rPr>
        <w:t xml:space="preserve"> </w:t>
      </w:r>
      <w:r w:rsidR="00100D71" w:rsidRPr="00D5464D">
        <w:rPr>
          <w:rFonts w:eastAsia="Batang" w:cs="Times"/>
          <w:szCs w:val="24"/>
          <w:lang w:val="pt-BR"/>
        </w:rPr>
        <w:t>d</w:t>
      </w:r>
      <w:r w:rsidR="002C330E" w:rsidRPr="00D5464D">
        <w:rPr>
          <w:rFonts w:eastAsia="Batang" w:cs="Times"/>
          <w:szCs w:val="24"/>
          <w:lang w:val="pt-BR"/>
        </w:rPr>
        <w:t xml:space="preserve">a própria </w:t>
      </w:r>
      <w:r w:rsidR="00EC0B4B" w:rsidRPr="00D5464D">
        <w:rPr>
          <w:rFonts w:eastAsia="Batang" w:cs="Times"/>
          <w:szCs w:val="24"/>
          <w:lang w:val="pt-BR"/>
        </w:rPr>
        <w:t>Organiza</w:t>
      </w:r>
      <w:r w:rsidR="00470ADC" w:rsidRPr="00D5464D">
        <w:rPr>
          <w:rFonts w:eastAsia="Batang" w:cs="Times"/>
          <w:szCs w:val="24"/>
          <w:lang w:val="pt-BR"/>
        </w:rPr>
        <w:t>ção</w:t>
      </w:r>
      <w:r w:rsidR="00EC0B4B" w:rsidRPr="00D5464D">
        <w:rPr>
          <w:rFonts w:eastAsia="Batang" w:cs="Times"/>
          <w:szCs w:val="24"/>
          <w:lang w:val="pt-BR"/>
        </w:rPr>
        <w:t xml:space="preserve"> Internacional </w:t>
      </w:r>
      <w:r w:rsidR="00470ADC" w:rsidRPr="00D5464D">
        <w:rPr>
          <w:rFonts w:eastAsia="Batang" w:cs="Times"/>
          <w:szCs w:val="24"/>
          <w:lang w:val="pt-BR"/>
        </w:rPr>
        <w:t xml:space="preserve">do </w:t>
      </w:r>
      <w:r w:rsidR="00E045D9" w:rsidRPr="00D5464D">
        <w:rPr>
          <w:rFonts w:eastAsia="Batang" w:cs="Times"/>
          <w:szCs w:val="24"/>
          <w:lang w:val="pt-BR"/>
        </w:rPr>
        <w:t>Trabalho</w:t>
      </w:r>
      <w:r w:rsidR="00EC0B4B" w:rsidRPr="00D5464D">
        <w:rPr>
          <w:rFonts w:eastAsia="Batang" w:cs="Times"/>
          <w:szCs w:val="24"/>
          <w:lang w:val="pt-BR"/>
        </w:rPr>
        <w:t xml:space="preserve"> (OIT)</w:t>
      </w:r>
      <w:r w:rsidR="00A3249B" w:rsidRPr="00D5464D">
        <w:rPr>
          <w:rFonts w:eastAsia="Batang" w:cs="Times"/>
          <w:szCs w:val="24"/>
          <w:lang w:val="pt-BR"/>
        </w:rPr>
        <w:t xml:space="preserve">. </w:t>
      </w:r>
      <w:r w:rsidRPr="00D5464D">
        <w:rPr>
          <w:rFonts w:eastAsia="Batang" w:cs="Times"/>
          <w:szCs w:val="24"/>
          <w:lang w:val="pt-BR"/>
        </w:rPr>
        <w:t xml:space="preserve">Além disso, </w:t>
      </w:r>
      <w:r w:rsidR="00470ADC" w:rsidRPr="00D5464D">
        <w:rPr>
          <w:rFonts w:eastAsia="Batang" w:cs="Times"/>
          <w:szCs w:val="24"/>
          <w:lang w:val="pt-BR"/>
        </w:rPr>
        <w:t>foi criad</w:t>
      </w:r>
      <w:r w:rsidR="00A3249B" w:rsidRPr="00D5464D">
        <w:rPr>
          <w:rFonts w:eastAsia="Batang" w:cs="Times"/>
          <w:szCs w:val="24"/>
          <w:lang w:val="pt-BR"/>
        </w:rPr>
        <w:t>o</w:t>
      </w:r>
      <w:r w:rsidR="00470ADC" w:rsidRPr="00D5464D">
        <w:rPr>
          <w:rFonts w:cs="Arial"/>
          <w:szCs w:val="20"/>
          <w:lang w:val="pt-BR"/>
        </w:rPr>
        <w:t xml:space="preserve"> o </w:t>
      </w:r>
      <w:r w:rsidR="00A56B1B" w:rsidRPr="00D5464D">
        <w:rPr>
          <w:rFonts w:cs="Arial"/>
          <w:szCs w:val="20"/>
          <w:lang w:val="pt-BR"/>
        </w:rPr>
        <w:t>“Grupo Especial de Fiscaliza</w:t>
      </w:r>
      <w:r w:rsidR="00470ADC" w:rsidRPr="00D5464D">
        <w:rPr>
          <w:rFonts w:cs="Arial"/>
          <w:szCs w:val="20"/>
          <w:lang w:val="pt-BR"/>
        </w:rPr>
        <w:t>ção</w:t>
      </w:r>
      <w:r w:rsidR="00A56B1B" w:rsidRPr="00D5464D">
        <w:rPr>
          <w:rFonts w:cs="Arial"/>
          <w:szCs w:val="20"/>
          <w:lang w:val="pt-BR"/>
        </w:rPr>
        <w:t xml:space="preserve"> Móv</w:t>
      </w:r>
      <w:r w:rsidR="00100D71" w:rsidRPr="00D5464D">
        <w:rPr>
          <w:rFonts w:cs="Arial"/>
          <w:szCs w:val="20"/>
          <w:lang w:val="pt-BR"/>
        </w:rPr>
        <w:t>e</w:t>
      </w:r>
      <w:r w:rsidR="00A56B1B" w:rsidRPr="00D5464D">
        <w:rPr>
          <w:rFonts w:cs="Arial"/>
          <w:szCs w:val="20"/>
          <w:lang w:val="pt-BR"/>
        </w:rPr>
        <w:t>l”</w:t>
      </w:r>
      <w:r w:rsidR="00100D71" w:rsidRPr="00D5464D">
        <w:rPr>
          <w:rFonts w:cs="Arial"/>
          <w:szCs w:val="20"/>
          <w:lang w:val="pt-BR"/>
        </w:rPr>
        <w:t>,</w:t>
      </w:r>
      <w:r w:rsidR="00470ADC" w:rsidRPr="00D5464D">
        <w:rPr>
          <w:rFonts w:cs="Arial"/>
          <w:szCs w:val="20"/>
          <w:lang w:val="pt-BR"/>
        </w:rPr>
        <w:t xml:space="preserve"> com </w:t>
      </w:r>
      <w:r w:rsidR="00230C71" w:rsidRPr="00D5464D">
        <w:rPr>
          <w:rFonts w:eastAsia="Batang" w:cs="Times"/>
          <w:szCs w:val="24"/>
          <w:lang w:val="pt-BR"/>
        </w:rPr>
        <w:t>atribuições</w:t>
      </w:r>
      <w:r w:rsidR="00A56B1B" w:rsidRPr="00D5464D">
        <w:rPr>
          <w:rFonts w:eastAsia="Batang" w:cs="Times"/>
          <w:szCs w:val="24"/>
          <w:lang w:val="pt-BR"/>
        </w:rPr>
        <w:t xml:space="preserve"> para </w:t>
      </w:r>
      <w:r w:rsidR="00470ADC" w:rsidRPr="00D5464D">
        <w:rPr>
          <w:rFonts w:eastAsia="Batang" w:cs="Times"/>
          <w:szCs w:val="24"/>
          <w:lang w:val="pt-BR"/>
        </w:rPr>
        <w:t xml:space="preserve">atuar em </w:t>
      </w:r>
      <w:r w:rsidR="00846555" w:rsidRPr="00D5464D">
        <w:rPr>
          <w:rFonts w:eastAsia="Batang" w:cs="Times"/>
          <w:szCs w:val="24"/>
          <w:lang w:val="pt-BR"/>
        </w:rPr>
        <w:t>zonas</w:t>
      </w:r>
      <w:r w:rsidR="00A56B1B" w:rsidRPr="00D5464D">
        <w:rPr>
          <w:rFonts w:eastAsia="Batang" w:cs="Times"/>
          <w:szCs w:val="24"/>
          <w:lang w:val="pt-BR"/>
        </w:rPr>
        <w:t xml:space="preserve"> </w:t>
      </w:r>
      <w:r w:rsidR="00E045D9" w:rsidRPr="00D5464D">
        <w:rPr>
          <w:rFonts w:eastAsia="Batang" w:cs="Times"/>
          <w:szCs w:val="24"/>
          <w:lang w:val="pt-BR"/>
        </w:rPr>
        <w:t>rurais</w:t>
      </w:r>
      <w:r w:rsidR="00A56B1B" w:rsidRPr="00D5464D">
        <w:rPr>
          <w:rFonts w:eastAsia="Batang" w:cs="Times"/>
          <w:szCs w:val="24"/>
          <w:lang w:val="pt-BR"/>
        </w:rPr>
        <w:t xml:space="preserve"> e investigar </w:t>
      </w:r>
      <w:r w:rsidR="00470ADC" w:rsidRPr="00D5464D">
        <w:rPr>
          <w:rFonts w:eastAsia="Batang" w:cs="Times"/>
          <w:szCs w:val="24"/>
          <w:lang w:val="pt-BR"/>
        </w:rPr>
        <w:t xml:space="preserve">denúncias </w:t>
      </w:r>
      <w:r w:rsidR="00A56B1B" w:rsidRPr="00D5464D">
        <w:rPr>
          <w:rFonts w:eastAsia="Batang" w:cs="Times"/>
          <w:szCs w:val="24"/>
          <w:lang w:val="pt-BR"/>
        </w:rPr>
        <w:t xml:space="preserve">de </w:t>
      </w:r>
      <w:r w:rsidR="00E045D9" w:rsidRPr="00D5464D">
        <w:rPr>
          <w:rFonts w:eastAsia="Batang" w:cs="Times"/>
          <w:szCs w:val="24"/>
          <w:lang w:val="pt-BR"/>
        </w:rPr>
        <w:t>trabalho</w:t>
      </w:r>
      <w:r w:rsidR="00A56B1B" w:rsidRPr="00D5464D">
        <w:rPr>
          <w:rFonts w:eastAsia="Batang" w:cs="Times"/>
          <w:szCs w:val="24"/>
          <w:lang w:val="pt-BR"/>
        </w:rPr>
        <w:t xml:space="preserve"> </w:t>
      </w:r>
      <w:r w:rsidR="004F1CC2" w:rsidRPr="00D5464D">
        <w:rPr>
          <w:rFonts w:eastAsia="Batang" w:cs="Times"/>
          <w:szCs w:val="24"/>
          <w:lang w:val="pt-BR"/>
        </w:rPr>
        <w:t>escravo</w:t>
      </w:r>
      <w:r w:rsidR="00A56B1B" w:rsidRPr="00D5464D">
        <w:rPr>
          <w:rFonts w:eastAsia="Batang" w:cs="Times"/>
          <w:szCs w:val="24"/>
          <w:lang w:val="pt-BR"/>
        </w:rPr>
        <w:t xml:space="preserve">, </w:t>
      </w:r>
      <w:r w:rsidR="00C91CB1" w:rsidRPr="00D5464D">
        <w:rPr>
          <w:rFonts w:eastAsia="Batang" w:cs="Times"/>
          <w:szCs w:val="24"/>
          <w:lang w:val="pt-BR"/>
        </w:rPr>
        <w:t>ap</w:t>
      </w:r>
      <w:r w:rsidR="00100D71" w:rsidRPr="00D5464D">
        <w:rPr>
          <w:rFonts w:eastAsia="Batang" w:cs="Times"/>
          <w:szCs w:val="24"/>
          <w:lang w:val="pt-BR"/>
        </w:rPr>
        <w:t xml:space="preserve">oiando </w:t>
      </w:r>
      <w:r w:rsidR="002C330E" w:rsidRPr="00D5464D">
        <w:rPr>
          <w:rFonts w:eastAsia="Batang" w:cs="Times"/>
          <w:szCs w:val="24"/>
          <w:lang w:val="pt-BR"/>
        </w:rPr>
        <w:t xml:space="preserve">as </w:t>
      </w:r>
      <w:r w:rsidR="00A56B1B" w:rsidRPr="00D5464D">
        <w:rPr>
          <w:rFonts w:eastAsia="Batang" w:cs="Times"/>
          <w:szCs w:val="24"/>
          <w:lang w:val="pt-BR"/>
        </w:rPr>
        <w:t>opera</w:t>
      </w:r>
      <w:r w:rsidR="00470ADC" w:rsidRPr="00D5464D">
        <w:rPr>
          <w:rFonts w:eastAsia="Batang" w:cs="Times"/>
          <w:szCs w:val="24"/>
          <w:lang w:val="pt-BR"/>
        </w:rPr>
        <w:t>ções</w:t>
      </w:r>
      <w:r w:rsidR="00A56B1B" w:rsidRPr="00D5464D">
        <w:rPr>
          <w:rFonts w:eastAsia="Batang" w:cs="Times"/>
          <w:szCs w:val="24"/>
          <w:lang w:val="pt-BR"/>
        </w:rPr>
        <w:t xml:space="preserve"> </w:t>
      </w:r>
      <w:r w:rsidR="00470ADC" w:rsidRPr="00D5464D">
        <w:rPr>
          <w:rFonts w:eastAsia="Batang" w:cs="Times"/>
          <w:szCs w:val="24"/>
          <w:lang w:val="pt-BR"/>
        </w:rPr>
        <w:t xml:space="preserve">do </w:t>
      </w:r>
      <w:r w:rsidR="00A56B1B" w:rsidRPr="00D5464D">
        <w:rPr>
          <w:rFonts w:eastAsia="Batang" w:cs="Times"/>
          <w:szCs w:val="24"/>
          <w:lang w:val="pt-BR"/>
        </w:rPr>
        <w:t>Grupo Interministerial para Erradicar</w:t>
      </w:r>
      <w:r w:rsidR="00470ADC" w:rsidRPr="00D5464D">
        <w:rPr>
          <w:rFonts w:eastAsia="Batang" w:cs="Times"/>
          <w:szCs w:val="24"/>
          <w:lang w:val="pt-BR"/>
        </w:rPr>
        <w:t xml:space="preserve"> o </w:t>
      </w:r>
      <w:r w:rsidR="00E045D9" w:rsidRPr="00D5464D">
        <w:rPr>
          <w:rFonts w:eastAsia="Batang" w:cs="Times"/>
          <w:szCs w:val="24"/>
          <w:lang w:val="pt-BR"/>
        </w:rPr>
        <w:t>Trabalho</w:t>
      </w:r>
      <w:r w:rsidR="001B63D0" w:rsidRPr="00D5464D">
        <w:rPr>
          <w:rFonts w:eastAsia="Batang" w:cs="Times"/>
          <w:szCs w:val="24"/>
          <w:lang w:val="pt-BR"/>
        </w:rPr>
        <w:t xml:space="preserve"> </w:t>
      </w:r>
      <w:r w:rsidR="00230C71" w:rsidRPr="00D5464D">
        <w:rPr>
          <w:rFonts w:eastAsia="Batang" w:cs="Times"/>
          <w:szCs w:val="24"/>
          <w:lang w:val="pt-BR"/>
        </w:rPr>
        <w:t>Forçado</w:t>
      </w:r>
      <w:r w:rsidR="00100D71" w:rsidRPr="00D5464D">
        <w:rPr>
          <w:rFonts w:eastAsia="Batang" w:cs="Times"/>
          <w:szCs w:val="24"/>
          <w:lang w:val="pt-BR"/>
        </w:rPr>
        <w:t>.</w:t>
      </w:r>
      <w:r w:rsidR="0003391C" w:rsidRPr="00D5464D">
        <w:rPr>
          <w:rStyle w:val="Refdenotaalpie"/>
          <w:rFonts w:cs="Arial"/>
          <w:lang w:val="pt-BR"/>
        </w:rPr>
        <w:footnoteReference w:id="84"/>
      </w:r>
    </w:p>
    <w:p w14:paraId="0DA9B587" w14:textId="77777777" w:rsidR="00B130B5" w:rsidRPr="00D5464D" w:rsidRDefault="00B130B5" w:rsidP="00140440">
      <w:pPr>
        <w:pStyle w:val="Prrafodelista"/>
        <w:autoSpaceDE w:val="0"/>
        <w:autoSpaceDN w:val="0"/>
        <w:adjustRightInd w:val="0"/>
        <w:ind w:left="0"/>
        <w:contextualSpacing w:val="0"/>
        <w:rPr>
          <w:rFonts w:eastAsia="Batang" w:cs="Times"/>
          <w:szCs w:val="24"/>
          <w:lang w:val="pt-BR"/>
        </w:rPr>
      </w:pPr>
    </w:p>
    <w:p w14:paraId="42A5AD6C" w14:textId="0934A440" w:rsidR="00B130B5" w:rsidRPr="00D5464D" w:rsidRDefault="00C91CB1" w:rsidP="00140440">
      <w:pPr>
        <w:pStyle w:val="Prrafodelista"/>
        <w:numPr>
          <w:ilvl w:val="0"/>
          <w:numId w:val="1"/>
        </w:numPr>
        <w:autoSpaceDE w:val="0"/>
        <w:autoSpaceDN w:val="0"/>
        <w:adjustRightInd w:val="0"/>
        <w:contextualSpacing w:val="0"/>
        <w:rPr>
          <w:rFonts w:eastAsia="Batang" w:cs="Times"/>
          <w:szCs w:val="24"/>
          <w:lang w:val="pt-BR"/>
        </w:rPr>
      </w:pPr>
      <w:r w:rsidRPr="00D5464D">
        <w:rPr>
          <w:rFonts w:cs="Times New Roman"/>
          <w:szCs w:val="20"/>
          <w:lang w:val="pt-BR"/>
        </w:rPr>
        <w:t xml:space="preserve">Em </w:t>
      </w:r>
      <w:r w:rsidR="0003391C" w:rsidRPr="00D5464D">
        <w:rPr>
          <w:rFonts w:cs="Times New Roman"/>
          <w:szCs w:val="20"/>
          <w:lang w:val="pt-BR"/>
        </w:rPr>
        <w:t xml:space="preserve">2002 </w:t>
      </w:r>
      <w:r w:rsidR="002C330E" w:rsidRPr="00D5464D">
        <w:rPr>
          <w:rFonts w:cs="Times New Roman"/>
          <w:szCs w:val="20"/>
          <w:lang w:val="pt-BR"/>
        </w:rPr>
        <w:t>realizou</w:t>
      </w:r>
      <w:r w:rsidR="00516087" w:rsidRPr="00D5464D">
        <w:rPr>
          <w:rFonts w:cs="Times New Roman"/>
          <w:szCs w:val="20"/>
          <w:lang w:val="pt-BR"/>
        </w:rPr>
        <w:t>,</w:t>
      </w:r>
      <w:r w:rsidR="0003391C" w:rsidRPr="00D5464D">
        <w:rPr>
          <w:rFonts w:cs="Times New Roman"/>
          <w:szCs w:val="20"/>
          <w:lang w:val="pt-BR"/>
        </w:rPr>
        <w:t xml:space="preserve"> junto</w:t>
      </w:r>
      <w:r w:rsidR="00470ADC" w:rsidRPr="00D5464D">
        <w:rPr>
          <w:rFonts w:cs="Times New Roman"/>
          <w:szCs w:val="20"/>
          <w:lang w:val="pt-BR"/>
        </w:rPr>
        <w:t xml:space="preserve"> com</w:t>
      </w:r>
      <w:r w:rsidR="002C330E" w:rsidRPr="00D5464D">
        <w:rPr>
          <w:rFonts w:cs="Times New Roman"/>
          <w:szCs w:val="20"/>
          <w:lang w:val="pt-BR"/>
        </w:rPr>
        <w:t xml:space="preserve"> a </w:t>
      </w:r>
      <w:r w:rsidR="0003391C" w:rsidRPr="00D5464D">
        <w:rPr>
          <w:rFonts w:cs="Times New Roman"/>
          <w:szCs w:val="20"/>
          <w:lang w:val="pt-BR"/>
        </w:rPr>
        <w:t>OIT</w:t>
      </w:r>
      <w:r w:rsidR="00516087" w:rsidRPr="00D5464D">
        <w:rPr>
          <w:rFonts w:cs="Times New Roman"/>
          <w:szCs w:val="20"/>
          <w:lang w:val="pt-BR"/>
        </w:rPr>
        <w:t>,</w:t>
      </w:r>
      <w:r w:rsidR="00470ADC" w:rsidRPr="00D5464D">
        <w:rPr>
          <w:rFonts w:cs="Times New Roman"/>
          <w:szCs w:val="20"/>
          <w:lang w:val="pt-BR"/>
        </w:rPr>
        <w:t xml:space="preserve"> o </w:t>
      </w:r>
      <w:r w:rsidR="002C330E" w:rsidRPr="00D5464D">
        <w:rPr>
          <w:rFonts w:cs="Times New Roman"/>
          <w:szCs w:val="20"/>
          <w:lang w:val="pt-BR"/>
        </w:rPr>
        <w:t>Projeto</w:t>
      </w:r>
      <w:r w:rsidR="0003391C" w:rsidRPr="00D5464D">
        <w:rPr>
          <w:rFonts w:cs="Times New Roman"/>
          <w:szCs w:val="20"/>
          <w:lang w:val="pt-BR"/>
        </w:rPr>
        <w:t xml:space="preserve"> de Coopera</w:t>
      </w:r>
      <w:r w:rsidR="00470ADC" w:rsidRPr="00D5464D">
        <w:rPr>
          <w:rFonts w:cs="Times New Roman"/>
          <w:szCs w:val="20"/>
          <w:lang w:val="pt-BR"/>
        </w:rPr>
        <w:t>ção</w:t>
      </w:r>
      <w:r w:rsidR="0003391C" w:rsidRPr="00D5464D">
        <w:rPr>
          <w:rFonts w:cs="Times New Roman"/>
          <w:szCs w:val="20"/>
          <w:lang w:val="pt-BR"/>
        </w:rPr>
        <w:t xml:space="preserve"> Técnica “Combate</w:t>
      </w:r>
      <w:r w:rsidR="00470ADC" w:rsidRPr="00D5464D">
        <w:rPr>
          <w:rFonts w:cs="Times New Roman"/>
          <w:szCs w:val="20"/>
          <w:lang w:val="pt-BR"/>
        </w:rPr>
        <w:t xml:space="preserve"> ao </w:t>
      </w:r>
      <w:r w:rsidR="00E045D9" w:rsidRPr="00D5464D">
        <w:rPr>
          <w:rFonts w:cs="Times New Roman"/>
          <w:szCs w:val="20"/>
          <w:lang w:val="pt-BR"/>
        </w:rPr>
        <w:t>Trabalho</w:t>
      </w:r>
      <w:r w:rsidR="0003391C" w:rsidRPr="00D5464D">
        <w:rPr>
          <w:rFonts w:cs="Times New Roman"/>
          <w:szCs w:val="20"/>
          <w:lang w:val="pt-BR"/>
        </w:rPr>
        <w:t xml:space="preserve"> </w:t>
      </w:r>
      <w:r w:rsidR="004F1CC2" w:rsidRPr="00D5464D">
        <w:rPr>
          <w:rFonts w:cs="Times New Roman"/>
          <w:szCs w:val="20"/>
          <w:lang w:val="pt-BR"/>
        </w:rPr>
        <w:t>Escravo</w:t>
      </w:r>
      <w:r w:rsidR="006665EF" w:rsidRPr="00D5464D">
        <w:rPr>
          <w:rFonts w:cs="Times New Roman"/>
          <w:szCs w:val="20"/>
          <w:lang w:val="pt-BR"/>
        </w:rPr>
        <w:t xml:space="preserve"> no Brasil</w:t>
      </w:r>
      <w:r w:rsidR="0003391C" w:rsidRPr="00D5464D">
        <w:rPr>
          <w:rFonts w:cs="Times New Roman"/>
          <w:szCs w:val="20"/>
          <w:lang w:val="pt-BR"/>
        </w:rPr>
        <w:t>”</w:t>
      </w:r>
      <w:r w:rsidR="0090341D" w:rsidRPr="00D5464D">
        <w:rPr>
          <w:rFonts w:cs="Times New Roman"/>
          <w:szCs w:val="20"/>
          <w:lang w:val="pt-BR"/>
        </w:rPr>
        <w:t>.</w:t>
      </w:r>
      <w:r w:rsidR="0003391C" w:rsidRPr="00D5464D">
        <w:rPr>
          <w:rStyle w:val="Refdenotaalpie"/>
          <w:lang w:val="pt-BR"/>
        </w:rPr>
        <w:footnoteReference w:id="85"/>
      </w:r>
      <w:r w:rsidR="000D47F8" w:rsidRPr="00D5464D">
        <w:rPr>
          <w:rFonts w:cs="Times New Roman"/>
          <w:szCs w:val="20"/>
          <w:lang w:val="pt-BR"/>
        </w:rPr>
        <w:t xml:space="preserve"> </w:t>
      </w:r>
      <w:r w:rsidR="00470ADC" w:rsidRPr="00D5464D">
        <w:rPr>
          <w:rFonts w:cs="Times New Roman"/>
          <w:szCs w:val="20"/>
          <w:lang w:val="pt-BR"/>
        </w:rPr>
        <w:t>Criou</w:t>
      </w:r>
      <w:r w:rsidR="002C330E" w:rsidRPr="00D5464D">
        <w:rPr>
          <w:rFonts w:cs="Times New Roman"/>
          <w:szCs w:val="20"/>
          <w:lang w:val="pt-BR"/>
        </w:rPr>
        <w:t xml:space="preserve"> a </w:t>
      </w:r>
      <w:r w:rsidR="00470ADC" w:rsidRPr="00D5464D">
        <w:rPr>
          <w:rFonts w:eastAsia="Batang" w:cs="Times"/>
          <w:szCs w:val="24"/>
          <w:lang w:val="pt-BR"/>
        </w:rPr>
        <w:t>Coordenação</w:t>
      </w:r>
      <w:r w:rsidR="00516087" w:rsidRPr="00D5464D">
        <w:rPr>
          <w:rFonts w:eastAsia="Batang" w:cs="Times"/>
          <w:szCs w:val="24"/>
          <w:lang w:val="pt-BR"/>
        </w:rPr>
        <w:t xml:space="preserve"> </w:t>
      </w:r>
      <w:r w:rsidR="00EC0B4B" w:rsidRPr="00D5464D">
        <w:rPr>
          <w:rFonts w:eastAsia="Batang" w:cs="Times"/>
          <w:szCs w:val="24"/>
          <w:lang w:val="pt-BR"/>
        </w:rPr>
        <w:t>Nacional de Erradica</w:t>
      </w:r>
      <w:r w:rsidR="00470ADC" w:rsidRPr="00D5464D">
        <w:rPr>
          <w:rFonts w:eastAsia="Batang" w:cs="Times"/>
          <w:szCs w:val="24"/>
          <w:lang w:val="pt-BR"/>
        </w:rPr>
        <w:t>ção</w:t>
      </w:r>
      <w:r w:rsidR="00EC0B4B" w:rsidRPr="00D5464D">
        <w:rPr>
          <w:rFonts w:eastAsia="Batang" w:cs="Times"/>
          <w:szCs w:val="24"/>
          <w:lang w:val="pt-BR"/>
        </w:rPr>
        <w:t xml:space="preserve"> </w:t>
      </w:r>
      <w:r w:rsidR="00470ADC" w:rsidRPr="00D5464D">
        <w:rPr>
          <w:rFonts w:eastAsia="Batang" w:cs="Times"/>
          <w:szCs w:val="24"/>
          <w:lang w:val="pt-BR"/>
        </w:rPr>
        <w:t xml:space="preserve">do </w:t>
      </w:r>
      <w:r w:rsidR="00E045D9" w:rsidRPr="00D5464D">
        <w:rPr>
          <w:rFonts w:eastAsia="Batang" w:cs="Times"/>
          <w:szCs w:val="24"/>
          <w:lang w:val="pt-BR"/>
        </w:rPr>
        <w:t>Trabalho</w:t>
      </w:r>
      <w:r w:rsidR="00EC0B4B" w:rsidRPr="00D5464D">
        <w:rPr>
          <w:rFonts w:eastAsia="Batang" w:cs="Times"/>
          <w:szCs w:val="24"/>
          <w:lang w:val="pt-BR"/>
        </w:rPr>
        <w:t xml:space="preserve"> </w:t>
      </w:r>
      <w:r w:rsidR="004F1CC2" w:rsidRPr="00D5464D">
        <w:rPr>
          <w:rFonts w:eastAsia="Batang" w:cs="Times"/>
          <w:szCs w:val="24"/>
          <w:lang w:val="pt-BR"/>
        </w:rPr>
        <w:t>Escravo</w:t>
      </w:r>
      <w:r w:rsidR="00B81F17" w:rsidRPr="00D5464D">
        <w:rPr>
          <w:rStyle w:val="Refdenotaalpie"/>
          <w:rFonts w:eastAsia="Batang"/>
          <w:lang w:val="pt-BR"/>
        </w:rPr>
        <w:footnoteReference w:id="86"/>
      </w:r>
      <w:r w:rsidR="00E045D9" w:rsidRPr="00D5464D">
        <w:rPr>
          <w:rFonts w:eastAsia="Batang" w:cs="Times"/>
          <w:szCs w:val="24"/>
          <w:lang w:val="pt-BR"/>
        </w:rPr>
        <w:t xml:space="preserve"> e </w:t>
      </w:r>
      <w:r w:rsidR="0090341D" w:rsidRPr="00D5464D">
        <w:rPr>
          <w:rFonts w:cs="Times New Roman"/>
          <w:szCs w:val="20"/>
          <w:lang w:val="pt-BR"/>
        </w:rPr>
        <w:t>lançou o</w:t>
      </w:r>
      <w:r w:rsidR="002C330E" w:rsidRPr="00D5464D">
        <w:rPr>
          <w:rFonts w:cs="Times New Roman"/>
          <w:szCs w:val="20"/>
          <w:lang w:val="pt-BR"/>
        </w:rPr>
        <w:t xml:space="preserve"> primeiro </w:t>
      </w:r>
      <w:r w:rsidR="002C330E" w:rsidRPr="00D5464D">
        <w:rPr>
          <w:rFonts w:cs="Arial"/>
          <w:szCs w:val="20"/>
          <w:lang w:val="pt-BR"/>
        </w:rPr>
        <w:t xml:space="preserve">Plano </w:t>
      </w:r>
      <w:r w:rsidR="0003391C" w:rsidRPr="00D5464D">
        <w:rPr>
          <w:rFonts w:cs="Arial"/>
          <w:szCs w:val="20"/>
          <w:lang w:val="pt-BR"/>
        </w:rPr>
        <w:t>Nacional para</w:t>
      </w:r>
      <w:r w:rsidR="002C330E" w:rsidRPr="00D5464D">
        <w:rPr>
          <w:rFonts w:cs="Arial"/>
          <w:szCs w:val="20"/>
          <w:lang w:val="pt-BR"/>
        </w:rPr>
        <w:t xml:space="preserve"> a </w:t>
      </w:r>
      <w:r w:rsidR="0090341D" w:rsidRPr="00D5464D">
        <w:rPr>
          <w:rFonts w:cs="Arial"/>
          <w:szCs w:val="20"/>
          <w:lang w:val="pt-BR"/>
        </w:rPr>
        <w:t>E</w:t>
      </w:r>
      <w:r w:rsidR="0003391C" w:rsidRPr="00D5464D">
        <w:rPr>
          <w:rFonts w:cs="Arial"/>
          <w:szCs w:val="20"/>
          <w:lang w:val="pt-BR"/>
        </w:rPr>
        <w:t>rradica</w:t>
      </w:r>
      <w:r w:rsidR="00470ADC" w:rsidRPr="00D5464D">
        <w:rPr>
          <w:rFonts w:cs="Arial"/>
          <w:szCs w:val="20"/>
          <w:lang w:val="pt-BR"/>
        </w:rPr>
        <w:t xml:space="preserve">ção da </w:t>
      </w:r>
      <w:r w:rsidR="0090341D" w:rsidRPr="00D5464D">
        <w:rPr>
          <w:rFonts w:cs="Arial"/>
          <w:szCs w:val="20"/>
          <w:lang w:val="pt-BR"/>
        </w:rPr>
        <w:t>E</w:t>
      </w:r>
      <w:r w:rsidR="000B376D" w:rsidRPr="00D5464D">
        <w:rPr>
          <w:rFonts w:cs="Arial"/>
          <w:szCs w:val="20"/>
          <w:lang w:val="pt-BR"/>
        </w:rPr>
        <w:t>scravidão</w:t>
      </w:r>
      <w:r w:rsidR="006665EF" w:rsidRPr="00D5464D">
        <w:rPr>
          <w:rFonts w:cs="Arial"/>
          <w:szCs w:val="20"/>
          <w:lang w:val="pt-BR"/>
        </w:rPr>
        <w:t xml:space="preserve"> no Brasil</w:t>
      </w:r>
      <w:r w:rsidR="0090341D" w:rsidRPr="00D5464D">
        <w:rPr>
          <w:rFonts w:cs="Arial"/>
          <w:szCs w:val="20"/>
          <w:lang w:val="pt-BR"/>
        </w:rPr>
        <w:t>.</w:t>
      </w:r>
      <w:r w:rsidR="0003391C" w:rsidRPr="00D5464D">
        <w:rPr>
          <w:rStyle w:val="Refdenotaalpie"/>
          <w:rFonts w:cs="Arial"/>
          <w:lang w:val="pt-BR"/>
        </w:rPr>
        <w:footnoteReference w:id="87"/>
      </w:r>
      <w:r w:rsidR="00FF1290" w:rsidRPr="00D5464D">
        <w:rPr>
          <w:rFonts w:cs="Arial"/>
          <w:szCs w:val="20"/>
          <w:lang w:val="pt-BR"/>
        </w:rPr>
        <w:t xml:space="preserve"> </w:t>
      </w:r>
      <w:r w:rsidR="0090341D" w:rsidRPr="00D5464D">
        <w:rPr>
          <w:rFonts w:cs="Arial"/>
          <w:szCs w:val="20"/>
          <w:lang w:val="pt-BR"/>
        </w:rPr>
        <w:t>Além disso</w:t>
      </w:r>
      <w:r w:rsidR="0003391C" w:rsidRPr="00D5464D">
        <w:rPr>
          <w:rFonts w:cs="Arial"/>
          <w:szCs w:val="20"/>
          <w:lang w:val="pt-BR"/>
        </w:rPr>
        <w:t xml:space="preserve">, </w:t>
      </w:r>
      <w:r w:rsidR="00B45119" w:rsidRPr="00D5464D">
        <w:rPr>
          <w:rFonts w:eastAsia="Batang" w:cs="Times"/>
          <w:szCs w:val="24"/>
          <w:lang w:val="pt-BR"/>
        </w:rPr>
        <w:t xml:space="preserve">promulgou </w:t>
      </w:r>
      <w:r w:rsidR="002C330E" w:rsidRPr="00D5464D">
        <w:rPr>
          <w:rFonts w:eastAsia="Batang" w:cs="Times"/>
          <w:szCs w:val="24"/>
          <w:lang w:val="pt-BR"/>
        </w:rPr>
        <w:t xml:space="preserve">a Lei </w:t>
      </w:r>
      <w:r w:rsidR="0022029E" w:rsidRPr="00D5464D">
        <w:rPr>
          <w:rFonts w:eastAsia="Batang" w:cs="Times"/>
          <w:szCs w:val="24"/>
          <w:lang w:val="pt-BR"/>
        </w:rPr>
        <w:t>número 10608/2002, relativ</w:t>
      </w:r>
      <w:r w:rsidR="006F33EB" w:rsidRPr="00D5464D">
        <w:rPr>
          <w:rFonts w:eastAsia="Batang" w:cs="Times"/>
          <w:szCs w:val="24"/>
          <w:lang w:val="pt-BR"/>
        </w:rPr>
        <w:t>a</w:t>
      </w:r>
      <w:r w:rsidR="00470ADC" w:rsidRPr="00D5464D">
        <w:rPr>
          <w:rFonts w:eastAsia="Batang" w:cs="Times"/>
          <w:szCs w:val="24"/>
          <w:lang w:val="pt-BR"/>
        </w:rPr>
        <w:t xml:space="preserve"> ao </w:t>
      </w:r>
      <w:r w:rsidR="0022029E" w:rsidRPr="00D5464D">
        <w:rPr>
          <w:rFonts w:eastAsia="Batang" w:cs="Times"/>
          <w:szCs w:val="24"/>
          <w:lang w:val="pt-BR"/>
        </w:rPr>
        <w:t>seguro des</w:t>
      </w:r>
      <w:r w:rsidR="00A1358C" w:rsidRPr="00D5464D">
        <w:rPr>
          <w:rFonts w:eastAsia="Batang" w:cs="Times"/>
          <w:szCs w:val="24"/>
          <w:lang w:val="pt-BR"/>
        </w:rPr>
        <w:t>emprego</w:t>
      </w:r>
      <w:r w:rsidR="0022029E" w:rsidRPr="00D5464D">
        <w:rPr>
          <w:rFonts w:eastAsia="Batang" w:cs="Times"/>
          <w:szCs w:val="24"/>
          <w:lang w:val="pt-BR"/>
        </w:rPr>
        <w:t xml:space="preserve"> de </w:t>
      </w:r>
      <w:r w:rsidR="00E045D9" w:rsidRPr="00D5464D">
        <w:rPr>
          <w:rFonts w:eastAsia="Batang" w:cs="Times"/>
          <w:szCs w:val="24"/>
          <w:lang w:val="pt-BR"/>
        </w:rPr>
        <w:t>trabalhadores</w:t>
      </w:r>
      <w:r w:rsidR="0022029E" w:rsidRPr="00D5464D">
        <w:rPr>
          <w:rFonts w:eastAsia="Batang" w:cs="Times"/>
          <w:szCs w:val="24"/>
          <w:lang w:val="pt-BR"/>
        </w:rPr>
        <w:t xml:space="preserve"> </w:t>
      </w:r>
      <w:r w:rsidR="0090341D" w:rsidRPr="00D5464D">
        <w:rPr>
          <w:rFonts w:eastAsia="Batang" w:cs="Times"/>
          <w:szCs w:val="24"/>
          <w:lang w:val="pt-BR"/>
        </w:rPr>
        <w:t>resgatado</w:t>
      </w:r>
      <w:r w:rsidR="0022029E" w:rsidRPr="00D5464D">
        <w:rPr>
          <w:rFonts w:eastAsia="Batang" w:cs="Times"/>
          <w:szCs w:val="24"/>
          <w:lang w:val="pt-BR"/>
        </w:rPr>
        <w:t>s</w:t>
      </w:r>
      <w:r w:rsidR="00470ADC" w:rsidRPr="00D5464D">
        <w:rPr>
          <w:rFonts w:eastAsia="Batang" w:cs="Times"/>
          <w:szCs w:val="24"/>
          <w:lang w:val="pt-BR"/>
        </w:rPr>
        <w:t xml:space="preserve"> sob o </w:t>
      </w:r>
      <w:r w:rsidR="002C330E" w:rsidRPr="00D5464D">
        <w:rPr>
          <w:rFonts w:eastAsia="Batang" w:cs="Times"/>
          <w:szCs w:val="24"/>
          <w:lang w:val="pt-BR"/>
        </w:rPr>
        <w:t>regime</w:t>
      </w:r>
      <w:r w:rsidR="0022029E" w:rsidRPr="00D5464D">
        <w:rPr>
          <w:rFonts w:eastAsia="Batang" w:cs="Times"/>
          <w:szCs w:val="24"/>
          <w:lang w:val="pt-BR"/>
        </w:rPr>
        <w:t xml:space="preserve"> de </w:t>
      </w:r>
      <w:r w:rsidR="00E045D9" w:rsidRPr="00D5464D">
        <w:rPr>
          <w:rFonts w:eastAsia="Batang" w:cs="Times"/>
          <w:szCs w:val="24"/>
          <w:lang w:val="pt-BR"/>
        </w:rPr>
        <w:t>trabalho</w:t>
      </w:r>
      <w:r w:rsidR="001B63D0" w:rsidRPr="00D5464D">
        <w:rPr>
          <w:rFonts w:eastAsia="Batang" w:cs="Times"/>
          <w:szCs w:val="24"/>
          <w:lang w:val="pt-BR"/>
        </w:rPr>
        <w:t xml:space="preserve"> </w:t>
      </w:r>
      <w:r w:rsidR="00230C71" w:rsidRPr="00D5464D">
        <w:rPr>
          <w:rFonts w:eastAsia="Batang" w:cs="Times"/>
          <w:szCs w:val="24"/>
          <w:lang w:val="pt-BR"/>
        </w:rPr>
        <w:t>forçado</w:t>
      </w:r>
      <w:r w:rsidR="0022029E" w:rsidRPr="00D5464D">
        <w:rPr>
          <w:rFonts w:eastAsia="Batang" w:cs="Times"/>
          <w:szCs w:val="24"/>
          <w:lang w:val="pt-BR"/>
        </w:rPr>
        <w:t xml:space="preserve"> o</w:t>
      </w:r>
      <w:r w:rsidR="0090341D" w:rsidRPr="00D5464D">
        <w:rPr>
          <w:rFonts w:eastAsia="Batang" w:cs="Times"/>
          <w:szCs w:val="24"/>
          <w:lang w:val="pt-BR"/>
        </w:rPr>
        <w:t>u</w:t>
      </w:r>
      <w:r w:rsidR="0022029E" w:rsidRPr="00D5464D">
        <w:rPr>
          <w:rFonts w:eastAsia="Batang" w:cs="Times"/>
          <w:szCs w:val="24"/>
          <w:lang w:val="pt-BR"/>
        </w:rPr>
        <w:t xml:space="preserve"> condi</w:t>
      </w:r>
      <w:r w:rsidR="00470ADC" w:rsidRPr="00D5464D">
        <w:rPr>
          <w:rFonts w:eastAsia="Batang" w:cs="Times"/>
          <w:szCs w:val="24"/>
          <w:lang w:val="pt-BR"/>
        </w:rPr>
        <w:t>ção</w:t>
      </w:r>
      <w:r w:rsidR="0022029E" w:rsidRPr="00D5464D">
        <w:rPr>
          <w:rFonts w:eastAsia="Batang" w:cs="Times"/>
          <w:szCs w:val="24"/>
          <w:lang w:val="pt-BR"/>
        </w:rPr>
        <w:t xml:space="preserve"> análoga</w:t>
      </w:r>
      <w:r w:rsidR="00470ADC" w:rsidRPr="00D5464D">
        <w:rPr>
          <w:rFonts w:eastAsia="Batang" w:cs="Times"/>
          <w:szCs w:val="24"/>
          <w:lang w:val="pt-BR"/>
        </w:rPr>
        <w:t xml:space="preserve"> à </w:t>
      </w:r>
      <w:r w:rsidR="0022029E" w:rsidRPr="00D5464D">
        <w:rPr>
          <w:rFonts w:eastAsia="Batang" w:cs="Times"/>
          <w:szCs w:val="24"/>
          <w:lang w:val="pt-BR"/>
        </w:rPr>
        <w:t xml:space="preserve">de </w:t>
      </w:r>
      <w:r w:rsidR="004F1CC2" w:rsidRPr="00D5464D">
        <w:rPr>
          <w:rFonts w:eastAsia="Batang" w:cs="Times"/>
          <w:szCs w:val="24"/>
          <w:lang w:val="pt-BR"/>
        </w:rPr>
        <w:t>escravo</w:t>
      </w:r>
      <w:r w:rsidR="0090341D" w:rsidRPr="00D5464D">
        <w:rPr>
          <w:rFonts w:eastAsia="Batang" w:cs="Times"/>
          <w:szCs w:val="24"/>
          <w:lang w:val="pt-BR"/>
        </w:rPr>
        <w:t>.</w:t>
      </w:r>
      <w:r w:rsidR="00CD01BD" w:rsidRPr="00D5464D">
        <w:rPr>
          <w:rStyle w:val="Refdenotaalpie"/>
          <w:rFonts w:eastAsia="Batang"/>
          <w:lang w:val="pt-BR"/>
        </w:rPr>
        <w:footnoteReference w:id="88"/>
      </w:r>
      <w:r w:rsidR="00B130B5" w:rsidRPr="00D5464D">
        <w:rPr>
          <w:rFonts w:eastAsia="Batang" w:cs="Times"/>
          <w:b/>
          <w:szCs w:val="24"/>
          <w:lang w:val="pt-BR"/>
        </w:rPr>
        <w:t xml:space="preserve"> </w:t>
      </w:r>
    </w:p>
    <w:p w14:paraId="68FAD69B" w14:textId="77777777" w:rsidR="00B130B5" w:rsidRPr="00D5464D" w:rsidRDefault="00B130B5" w:rsidP="00140440">
      <w:pPr>
        <w:pStyle w:val="Prrafodelista"/>
        <w:autoSpaceDE w:val="0"/>
        <w:autoSpaceDN w:val="0"/>
        <w:adjustRightInd w:val="0"/>
        <w:ind w:left="0"/>
        <w:contextualSpacing w:val="0"/>
        <w:rPr>
          <w:rFonts w:eastAsia="Batang" w:cs="Times"/>
          <w:szCs w:val="24"/>
          <w:lang w:val="pt-BR"/>
        </w:rPr>
      </w:pPr>
    </w:p>
    <w:p w14:paraId="7A07F85C" w14:textId="7E2CB815" w:rsidR="00B130B5" w:rsidRPr="00D5464D" w:rsidRDefault="00C91CB1" w:rsidP="00140440">
      <w:pPr>
        <w:pStyle w:val="Prrafodelista"/>
        <w:numPr>
          <w:ilvl w:val="0"/>
          <w:numId w:val="1"/>
        </w:numPr>
        <w:autoSpaceDE w:val="0"/>
        <w:autoSpaceDN w:val="0"/>
        <w:adjustRightInd w:val="0"/>
        <w:contextualSpacing w:val="0"/>
        <w:rPr>
          <w:rFonts w:eastAsia="Batang" w:cs="Times"/>
          <w:szCs w:val="24"/>
          <w:lang w:val="pt-BR"/>
        </w:rPr>
      </w:pPr>
      <w:r w:rsidRPr="00D5464D">
        <w:rPr>
          <w:rFonts w:eastAsia="Batang" w:cs="Times"/>
          <w:szCs w:val="24"/>
          <w:lang w:val="pt-BR"/>
        </w:rPr>
        <w:t xml:space="preserve">Em </w:t>
      </w:r>
      <w:r w:rsidR="0022029E" w:rsidRPr="00D5464D">
        <w:rPr>
          <w:rFonts w:eastAsia="Batang" w:cs="Times"/>
          <w:szCs w:val="24"/>
          <w:lang w:val="pt-BR"/>
        </w:rPr>
        <w:t>2003</w:t>
      </w:r>
      <w:r w:rsidR="0090341D" w:rsidRPr="00D5464D">
        <w:rPr>
          <w:rFonts w:eastAsia="Batang" w:cs="Times"/>
          <w:szCs w:val="24"/>
          <w:lang w:val="pt-BR"/>
        </w:rPr>
        <w:t>,</w:t>
      </w:r>
      <w:r w:rsidR="0022029E" w:rsidRPr="00D5464D">
        <w:rPr>
          <w:rFonts w:eastAsia="Batang" w:cs="Times"/>
          <w:szCs w:val="24"/>
          <w:lang w:val="pt-BR"/>
        </w:rPr>
        <w:t xml:space="preserve"> </w:t>
      </w:r>
      <w:r w:rsidR="00470ADC" w:rsidRPr="00D5464D">
        <w:rPr>
          <w:rFonts w:eastAsia="Batang" w:cs="Times"/>
          <w:szCs w:val="24"/>
          <w:lang w:val="pt-BR"/>
        </w:rPr>
        <w:t>aprovou</w:t>
      </w:r>
      <w:r w:rsidR="002C330E" w:rsidRPr="00D5464D">
        <w:rPr>
          <w:rFonts w:eastAsia="Batang" w:cs="Times"/>
          <w:szCs w:val="24"/>
          <w:lang w:val="pt-BR"/>
        </w:rPr>
        <w:t xml:space="preserve"> a Lei </w:t>
      </w:r>
      <w:r w:rsidR="0022029E" w:rsidRPr="00D5464D">
        <w:rPr>
          <w:rFonts w:eastAsia="Batang" w:cs="Times"/>
          <w:szCs w:val="24"/>
          <w:lang w:val="pt-BR"/>
        </w:rPr>
        <w:t>número 10803/2003,</w:t>
      </w:r>
      <w:r w:rsidR="002C330E" w:rsidRPr="00D5464D">
        <w:rPr>
          <w:rFonts w:eastAsia="Batang" w:cs="Times"/>
          <w:szCs w:val="24"/>
          <w:lang w:val="pt-BR"/>
        </w:rPr>
        <w:t xml:space="preserve"> </w:t>
      </w:r>
      <w:r w:rsidR="0090341D" w:rsidRPr="00D5464D">
        <w:rPr>
          <w:rFonts w:eastAsia="Batang" w:cs="Times"/>
          <w:szCs w:val="24"/>
          <w:lang w:val="pt-BR"/>
        </w:rPr>
        <w:t xml:space="preserve">através da qual </w:t>
      </w:r>
      <w:r w:rsidR="002C330E" w:rsidRPr="00D5464D">
        <w:rPr>
          <w:rFonts w:eastAsia="Batang" w:cs="Times"/>
          <w:szCs w:val="24"/>
          <w:lang w:val="pt-BR"/>
        </w:rPr>
        <w:t xml:space="preserve">modificou a </w:t>
      </w:r>
      <w:r w:rsidR="0022029E" w:rsidRPr="00D5464D">
        <w:rPr>
          <w:rFonts w:eastAsia="Batang" w:cs="Times"/>
          <w:szCs w:val="24"/>
          <w:lang w:val="pt-BR"/>
        </w:rPr>
        <w:t>red</w:t>
      </w:r>
      <w:r w:rsidR="00737270" w:rsidRPr="00D5464D">
        <w:rPr>
          <w:rFonts w:eastAsia="Batang" w:cs="Times"/>
          <w:szCs w:val="24"/>
          <w:lang w:val="pt-BR"/>
        </w:rPr>
        <w:t>ação</w:t>
      </w:r>
      <w:r w:rsidR="0022029E" w:rsidRPr="00D5464D">
        <w:rPr>
          <w:rFonts w:eastAsia="Batang" w:cs="Times"/>
          <w:szCs w:val="24"/>
          <w:lang w:val="pt-BR"/>
        </w:rPr>
        <w:t xml:space="preserve"> </w:t>
      </w:r>
      <w:r w:rsidR="00470ADC" w:rsidRPr="00D5464D">
        <w:rPr>
          <w:rFonts w:eastAsia="Batang" w:cs="Times"/>
          <w:szCs w:val="24"/>
          <w:lang w:val="pt-BR"/>
        </w:rPr>
        <w:t>do artigo</w:t>
      </w:r>
      <w:r w:rsidR="0022029E" w:rsidRPr="00D5464D">
        <w:rPr>
          <w:rFonts w:eastAsia="Batang" w:cs="Times"/>
          <w:szCs w:val="24"/>
          <w:lang w:val="pt-BR"/>
        </w:rPr>
        <w:t xml:space="preserve"> 149 </w:t>
      </w:r>
      <w:r w:rsidR="00470ADC" w:rsidRPr="00D5464D">
        <w:rPr>
          <w:rFonts w:eastAsia="Batang" w:cs="Times"/>
          <w:szCs w:val="24"/>
          <w:lang w:val="pt-BR"/>
        </w:rPr>
        <w:t xml:space="preserve">do </w:t>
      </w:r>
      <w:r w:rsidR="00BE60E8" w:rsidRPr="00D5464D">
        <w:rPr>
          <w:rFonts w:eastAsia="Batang" w:cs="Times"/>
          <w:szCs w:val="24"/>
          <w:lang w:val="pt-BR"/>
        </w:rPr>
        <w:t xml:space="preserve">Código Penal </w:t>
      </w:r>
      <w:r w:rsidR="00470ADC" w:rsidRPr="00D5464D">
        <w:rPr>
          <w:rFonts w:eastAsia="Batang" w:cs="Times"/>
          <w:szCs w:val="24"/>
          <w:lang w:val="pt-BR"/>
        </w:rPr>
        <w:t>brasileir</w:t>
      </w:r>
      <w:r w:rsidR="00BE60E8" w:rsidRPr="00D5464D">
        <w:rPr>
          <w:rFonts w:eastAsia="Batang" w:cs="Times"/>
          <w:szCs w:val="24"/>
          <w:lang w:val="pt-BR"/>
        </w:rPr>
        <w:t>o</w:t>
      </w:r>
      <w:r w:rsidR="00846555" w:rsidRPr="00D5464D">
        <w:rPr>
          <w:rFonts w:eastAsia="Batang" w:cs="Times"/>
          <w:szCs w:val="24"/>
          <w:lang w:val="pt-BR"/>
        </w:rPr>
        <w:t>.</w:t>
      </w:r>
      <w:r w:rsidR="0022029E" w:rsidRPr="00D5464D">
        <w:rPr>
          <w:rFonts w:eastAsia="Batang" w:cs="Times"/>
          <w:szCs w:val="24"/>
          <w:lang w:val="pt-BR"/>
        </w:rPr>
        <w:t xml:space="preserve"> </w:t>
      </w:r>
      <w:r w:rsidRPr="00D5464D">
        <w:rPr>
          <w:rFonts w:eastAsia="Batang" w:cs="Times"/>
          <w:szCs w:val="24"/>
          <w:lang w:val="pt-BR"/>
        </w:rPr>
        <w:t>Definiu</w:t>
      </w:r>
      <w:r w:rsidR="00470ADC" w:rsidRPr="00D5464D">
        <w:rPr>
          <w:rFonts w:eastAsia="Batang" w:cs="Times"/>
          <w:szCs w:val="24"/>
          <w:lang w:val="pt-BR"/>
        </w:rPr>
        <w:t xml:space="preserve"> o conceito</w:t>
      </w:r>
      <w:r w:rsidR="0022029E" w:rsidRPr="00D5464D">
        <w:rPr>
          <w:rFonts w:eastAsia="Batang" w:cs="Times"/>
          <w:szCs w:val="24"/>
          <w:lang w:val="pt-BR"/>
        </w:rPr>
        <w:t xml:space="preserve"> de </w:t>
      </w:r>
      <w:r w:rsidR="00E045D9" w:rsidRPr="00D5464D">
        <w:rPr>
          <w:rFonts w:eastAsia="Batang" w:cs="Times"/>
          <w:szCs w:val="24"/>
          <w:lang w:val="pt-BR"/>
        </w:rPr>
        <w:t>trabalho</w:t>
      </w:r>
      <w:r w:rsidR="0022029E" w:rsidRPr="00D5464D">
        <w:rPr>
          <w:rFonts w:eastAsia="Batang" w:cs="Times"/>
          <w:szCs w:val="24"/>
          <w:lang w:val="pt-BR"/>
        </w:rPr>
        <w:t xml:space="preserve"> </w:t>
      </w:r>
      <w:r w:rsidR="004F1CC2" w:rsidRPr="00D5464D">
        <w:rPr>
          <w:rFonts w:eastAsia="Batang" w:cs="Times"/>
          <w:szCs w:val="24"/>
          <w:lang w:val="pt-BR"/>
        </w:rPr>
        <w:t>escravo</w:t>
      </w:r>
      <w:r w:rsidR="0022029E" w:rsidRPr="00D5464D">
        <w:rPr>
          <w:rFonts w:eastAsia="Batang" w:cs="Times"/>
          <w:szCs w:val="24"/>
          <w:lang w:val="pt-BR"/>
        </w:rPr>
        <w:t xml:space="preserve"> </w:t>
      </w:r>
      <w:r w:rsidR="00470ADC" w:rsidRPr="00D5464D">
        <w:rPr>
          <w:rFonts w:eastAsia="Batang" w:cs="Times"/>
          <w:szCs w:val="24"/>
          <w:lang w:val="pt-BR"/>
        </w:rPr>
        <w:t>contemporâneo</w:t>
      </w:r>
      <w:r w:rsidR="0022029E" w:rsidRPr="00D5464D">
        <w:rPr>
          <w:rFonts w:eastAsia="Batang" w:cs="Times"/>
          <w:szCs w:val="24"/>
          <w:lang w:val="pt-BR"/>
        </w:rPr>
        <w:t xml:space="preserve">, precisando </w:t>
      </w:r>
      <w:r w:rsidR="00470ADC" w:rsidRPr="00D5464D">
        <w:rPr>
          <w:rFonts w:eastAsia="Batang" w:cs="Times"/>
          <w:szCs w:val="24"/>
          <w:lang w:val="pt-BR"/>
        </w:rPr>
        <w:t>conduta</w:t>
      </w:r>
      <w:r w:rsidR="0022029E" w:rsidRPr="00D5464D">
        <w:rPr>
          <w:rFonts w:eastAsia="Batang" w:cs="Times"/>
          <w:szCs w:val="24"/>
          <w:lang w:val="pt-BR"/>
        </w:rPr>
        <w:t xml:space="preserve">s de </w:t>
      </w:r>
      <w:r w:rsidR="000B376D" w:rsidRPr="00D5464D">
        <w:rPr>
          <w:rFonts w:eastAsia="Batang" w:cs="Times"/>
          <w:szCs w:val="24"/>
          <w:lang w:val="pt-BR"/>
        </w:rPr>
        <w:t>escravidão</w:t>
      </w:r>
      <w:r w:rsidR="0022029E" w:rsidRPr="00D5464D">
        <w:rPr>
          <w:rFonts w:eastAsia="Batang" w:cs="Times"/>
          <w:szCs w:val="24"/>
          <w:lang w:val="pt-BR"/>
        </w:rPr>
        <w:t xml:space="preserve"> por </w:t>
      </w:r>
      <w:r w:rsidR="00470ADC" w:rsidRPr="00D5464D">
        <w:rPr>
          <w:rFonts w:eastAsia="Batang" w:cs="Times"/>
          <w:szCs w:val="24"/>
          <w:lang w:val="pt-BR"/>
        </w:rPr>
        <w:t>dívida</w:t>
      </w:r>
      <w:r w:rsidR="00EB1CE9" w:rsidRPr="00D5464D">
        <w:rPr>
          <w:rFonts w:eastAsia="Batang" w:cs="Times"/>
          <w:szCs w:val="24"/>
          <w:lang w:val="pt-BR"/>
        </w:rPr>
        <w:t xml:space="preserve">, por </w:t>
      </w:r>
      <w:r w:rsidR="0022029E" w:rsidRPr="00D5464D">
        <w:rPr>
          <w:rFonts w:eastAsia="Batang" w:cs="Times"/>
          <w:szCs w:val="24"/>
          <w:lang w:val="pt-BR"/>
        </w:rPr>
        <w:t xml:space="preserve">jornada </w:t>
      </w:r>
      <w:r w:rsidR="00737270" w:rsidRPr="00D5464D">
        <w:rPr>
          <w:rFonts w:eastAsia="Batang" w:cs="Times"/>
          <w:szCs w:val="24"/>
          <w:lang w:val="pt-BR"/>
        </w:rPr>
        <w:t>exaustiv</w:t>
      </w:r>
      <w:r w:rsidR="0022029E" w:rsidRPr="00D5464D">
        <w:rPr>
          <w:rFonts w:eastAsia="Batang" w:cs="Times"/>
          <w:szCs w:val="24"/>
          <w:lang w:val="pt-BR"/>
        </w:rPr>
        <w:t>a</w:t>
      </w:r>
      <w:r w:rsidR="00E045D9" w:rsidRPr="00D5464D">
        <w:rPr>
          <w:rFonts w:eastAsia="Batang" w:cs="Times"/>
          <w:szCs w:val="24"/>
          <w:lang w:val="pt-BR"/>
        </w:rPr>
        <w:t xml:space="preserve"> e </w:t>
      </w:r>
      <w:r w:rsidR="0022029E" w:rsidRPr="00D5464D">
        <w:rPr>
          <w:rFonts w:eastAsia="Batang" w:cs="Times"/>
          <w:szCs w:val="24"/>
          <w:lang w:val="pt-BR"/>
        </w:rPr>
        <w:t>condi</w:t>
      </w:r>
      <w:r w:rsidR="00470ADC" w:rsidRPr="00D5464D">
        <w:rPr>
          <w:rFonts w:eastAsia="Batang" w:cs="Times"/>
          <w:szCs w:val="24"/>
          <w:lang w:val="pt-BR"/>
        </w:rPr>
        <w:t>ções</w:t>
      </w:r>
      <w:r w:rsidR="0022029E" w:rsidRPr="00D5464D">
        <w:rPr>
          <w:rFonts w:eastAsia="Batang" w:cs="Times"/>
          <w:szCs w:val="24"/>
          <w:lang w:val="pt-BR"/>
        </w:rPr>
        <w:t xml:space="preserve"> degradantes</w:t>
      </w:r>
      <w:r w:rsidR="0090341D" w:rsidRPr="00D5464D">
        <w:rPr>
          <w:rFonts w:eastAsia="Batang" w:cs="Times"/>
          <w:szCs w:val="24"/>
          <w:lang w:val="pt-BR"/>
        </w:rPr>
        <w:t>.</w:t>
      </w:r>
      <w:r w:rsidR="00FA2412" w:rsidRPr="00D5464D">
        <w:rPr>
          <w:rStyle w:val="Refdenotaalpie"/>
          <w:rFonts w:eastAsia="Batang"/>
          <w:lang w:val="pt-BR"/>
        </w:rPr>
        <w:footnoteReference w:id="89"/>
      </w:r>
      <w:r w:rsidR="000D47F8" w:rsidRPr="00D5464D">
        <w:rPr>
          <w:rFonts w:eastAsia="Batang" w:cs="Times"/>
          <w:szCs w:val="24"/>
          <w:lang w:val="pt-BR"/>
        </w:rPr>
        <w:t xml:space="preserve"> </w:t>
      </w:r>
      <w:r w:rsidR="00EA1DD2" w:rsidRPr="00D5464D">
        <w:rPr>
          <w:rFonts w:eastAsia="Batang" w:cs="Times"/>
          <w:szCs w:val="24"/>
          <w:lang w:val="pt-BR"/>
        </w:rPr>
        <w:t xml:space="preserve">Emitiu as Portarias nº </w:t>
      </w:r>
      <w:r w:rsidR="0022029E" w:rsidRPr="00D5464D">
        <w:rPr>
          <w:rFonts w:eastAsia="Batang" w:cs="Times"/>
          <w:szCs w:val="24"/>
          <w:lang w:val="pt-BR"/>
        </w:rPr>
        <w:t>540</w:t>
      </w:r>
      <w:r w:rsidR="00516087" w:rsidRPr="00D5464D">
        <w:rPr>
          <w:rFonts w:eastAsia="Batang" w:cs="Times"/>
          <w:szCs w:val="24"/>
          <w:lang w:val="pt-BR"/>
        </w:rPr>
        <w:t>,</w:t>
      </w:r>
      <w:r w:rsidR="0022029E" w:rsidRPr="00D5464D">
        <w:rPr>
          <w:rFonts w:eastAsia="Batang" w:cs="Times"/>
          <w:szCs w:val="24"/>
          <w:lang w:val="pt-BR"/>
        </w:rPr>
        <w:t xml:space="preserve"> de 15 de </w:t>
      </w:r>
      <w:r w:rsidR="002C330E" w:rsidRPr="00D5464D">
        <w:rPr>
          <w:rFonts w:eastAsia="Batang" w:cs="Times"/>
          <w:szCs w:val="24"/>
          <w:lang w:val="pt-BR"/>
        </w:rPr>
        <w:t>outubro</w:t>
      </w:r>
      <w:r w:rsidR="0022029E" w:rsidRPr="00D5464D">
        <w:rPr>
          <w:rFonts w:eastAsia="Batang" w:cs="Times"/>
          <w:szCs w:val="24"/>
          <w:lang w:val="pt-BR"/>
        </w:rPr>
        <w:t xml:space="preserve"> de 2004</w:t>
      </w:r>
      <w:r w:rsidR="00470ADC" w:rsidRPr="00D5464D">
        <w:rPr>
          <w:rFonts w:eastAsia="Batang" w:cs="Times"/>
          <w:szCs w:val="24"/>
          <w:lang w:val="pt-BR"/>
        </w:rPr>
        <w:t>, e</w:t>
      </w:r>
      <w:r w:rsidR="0022029E" w:rsidRPr="00D5464D">
        <w:rPr>
          <w:rFonts w:eastAsia="Batang" w:cs="Times"/>
          <w:szCs w:val="24"/>
          <w:lang w:val="pt-BR"/>
        </w:rPr>
        <w:t xml:space="preserve"> </w:t>
      </w:r>
      <w:r w:rsidR="00EA1DD2" w:rsidRPr="00D5464D">
        <w:rPr>
          <w:rFonts w:eastAsia="Batang" w:cs="Times"/>
          <w:szCs w:val="24"/>
          <w:lang w:val="pt-BR"/>
        </w:rPr>
        <w:t xml:space="preserve">nº </w:t>
      </w:r>
      <w:r w:rsidR="0022029E" w:rsidRPr="00D5464D">
        <w:rPr>
          <w:rFonts w:eastAsia="Batang" w:cs="Times"/>
          <w:szCs w:val="24"/>
          <w:lang w:val="pt-BR"/>
        </w:rPr>
        <w:t>2</w:t>
      </w:r>
      <w:r w:rsidR="00516087" w:rsidRPr="00D5464D">
        <w:rPr>
          <w:rFonts w:eastAsia="Batang" w:cs="Times"/>
          <w:szCs w:val="24"/>
          <w:lang w:val="pt-BR"/>
        </w:rPr>
        <w:t>,</w:t>
      </w:r>
      <w:r w:rsidR="0022029E" w:rsidRPr="00D5464D">
        <w:rPr>
          <w:rFonts w:eastAsia="Batang" w:cs="Times"/>
          <w:szCs w:val="24"/>
          <w:lang w:val="pt-BR"/>
        </w:rPr>
        <w:t xml:space="preserve"> de 12 de</w:t>
      </w:r>
      <w:r w:rsidR="002C330E" w:rsidRPr="00D5464D">
        <w:rPr>
          <w:rFonts w:eastAsia="Batang" w:cs="Times"/>
          <w:szCs w:val="24"/>
          <w:lang w:val="pt-BR"/>
        </w:rPr>
        <w:t xml:space="preserve"> maio </w:t>
      </w:r>
      <w:r w:rsidR="0022029E" w:rsidRPr="00D5464D">
        <w:rPr>
          <w:rFonts w:eastAsia="Batang" w:cs="Times"/>
          <w:szCs w:val="24"/>
          <w:lang w:val="pt-BR"/>
        </w:rPr>
        <w:t>de 2011</w:t>
      </w:r>
      <w:r w:rsidR="00FE030D" w:rsidRPr="00D5464D">
        <w:rPr>
          <w:rFonts w:eastAsia="Batang" w:cs="Times"/>
          <w:szCs w:val="24"/>
          <w:lang w:val="pt-BR"/>
        </w:rPr>
        <w:t>,</w:t>
      </w:r>
      <w:r w:rsidR="002C330E" w:rsidRPr="00D5464D">
        <w:rPr>
          <w:rFonts w:eastAsia="Batang" w:cs="Times"/>
          <w:szCs w:val="24"/>
          <w:lang w:val="pt-BR"/>
        </w:rPr>
        <w:t xml:space="preserve"> </w:t>
      </w:r>
      <w:r w:rsidR="0090341D" w:rsidRPr="00D5464D">
        <w:rPr>
          <w:rFonts w:eastAsia="Batang" w:cs="Times"/>
          <w:szCs w:val="24"/>
          <w:lang w:val="pt-BR"/>
        </w:rPr>
        <w:t xml:space="preserve">através das quais instituiu </w:t>
      </w:r>
      <w:r w:rsidR="00470ADC" w:rsidRPr="00D5464D">
        <w:rPr>
          <w:rFonts w:eastAsia="Batang" w:cs="Times"/>
          <w:szCs w:val="24"/>
          <w:lang w:val="pt-BR"/>
        </w:rPr>
        <w:t xml:space="preserve">o </w:t>
      </w:r>
      <w:r w:rsidR="0022029E" w:rsidRPr="00D5464D">
        <w:rPr>
          <w:rFonts w:eastAsia="Batang" w:cs="Times"/>
          <w:szCs w:val="24"/>
          <w:lang w:val="pt-BR"/>
        </w:rPr>
        <w:t xml:space="preserve">Registro de </w:t>
      </w:r>
      <w:r w:rsidR="00230C71" w:rsidRPr="00D5464D">
        <w:rPr>
          <w:rFonts w:eastAsia="Batang" w:cs="Times"/>
          <w:szCs w:val="24"/>
          <w:lang w:val="pt-BR"/>
        </w:rPr>
        <w:t>Empregad</w:t>
      </w:r>
      <w:r w:rsidR="0022029E" w:rsidRPr="00D5464D">
        <w:rPr>
          <w:rFonts w:eastAsia="Batang" w:cs="Times"/>
          <w:szCs w:val="24"/>
          <w:lang w:val="pt-BR"/>
        </w:rPr>
        <w:t>ores Infr</w:t>
      </w:r>
      <w:r w:rsidR="00737270" w:rsidRPr="00D5464D">
        <w:rPr>
          <w:rFonts w:eastAsia="Batang" w:cs="Times"/>
          <w:szCs w:val="24"/>
          <w:lang w:val="pt-BR"/>
        </w:rPr>
        <w:t>ator</w:t>
      </w:r>
      <w:r w:rsidR="0022029E" w:rsidRPr="00D5464D">
        <w:rPr>
          <w:rFonts w:eastAsia="Batang" w:cs="Times"/>
          <w:szCs w:val="24"/>
          <w:lang w:val="pt-BR"/>
        </w:rPr>
        <w:t>es (</w:t>
      </w:r>
      <w:r w:rsidR="002C330E" w:rsidRPr="00D5464D">
        <w:rPr>
          <w:rFonts w:eastAsia="Batang" w:cs="Times"/>
          <w:szCs w:val="24"/>
          <w:lang w:val="pt-BR"/>
        </w:rPr>
        <w:t xml:space="preserve">chamada </w:t>
      </w:r>
      <w:r w:rsidR="00FE030D" w:rsidRPr="00D5464D">
        <w:rPr>
          <w:rFonts w:eastAsia="Batang" w:cs="Times"/>
          <w:szCs w:val="24"/>
          <w:lang w:val="pt-BR"/>
        </w:rPr>
        <w:t>“</w:t>
      </w:r>
      <w:r w:rsidR="00516087" w:rsidRPr="00D5464D">
        <w:rPr>
          <w:rFonts w:eastAsia="Batang" w:cs="Times"/>
          <w:szCs w:val="24"/>
          <w:lang w:val="pt-BR"/>
        </w:rPr>
        <w:t>l</w:t>
      </w:r>
      <w:r w:rsidR="0022029E" w:rsidRPr="00D5464D">
        <w:rPr>
          <w:rFonts w:eastAsia="Batang" w:cs="Times"/>
          <w:szCs w:val="24"/>
          <w:lang w:val="pt-BR"/>
        </w:rPr>
        <w:t xml:space="preserve">ista </w:t>
      </w:r>
      <w:r w:rsidR="00516087" w:rsidRPr="00D5464D">
        <w:rPr>
          <w:rFonts w:eastAsia="Batang" w:cs="Times"/>
          <w:szCs w:val="24"/>
          <w:lang w:val="pt-BR"/>
        </w:rPr>
        <w:t>s</w:t>
      </w:r>
      <w:r w:rsidR="0022029E" w:rsidRPr="00D5464D">
        <w:rPr>
          <w:rFonts w:eastAsia="Batang" w:cs="Times"/>
          <w:szCs w:val="24"/>
          <w:lang w:val="pt-BR"/>
        </w:rPr>
        <w:t>uja</w:t>
      </w:r>
      <w:r w:rsidR="00FE030D" w:rsidRPr="00D5464D">
        <w:rPr>
          <w:rFonts w:eastAsia="Batang" w:cs="Times"/>
          <w:szCs w:val="24"/>
          <w:lang w:val="pt-BR"/>
        </w:rPr>
        <w:t>”</w:t>
      </w:r>
      <w:r w:rsidR="0022029E" w:rsidRPr="00D5464D">
        <w:rPr>
          <w:rFonts w:eastAsia="Batang" w:cs="Times"/>
          <w:szCs w:val="24"/>
          <w:lang w:val="pt-BR"/>
        </w:rPr>
        <w:t>), que con</w:t>
      </w:r>
      <w:r w:rsidR="00E045D9" w:rsidRPr="00D5464D">
        <w:rPr>
          <w:rFonts w:eastAsia="Batang" w:cs="Times"/>
          <w:szCs w:val="24"/>
          <w:lang w:val="pt-BR"/>
        </w:rPr>
        <w:t xml:space="preserve">tem </w:t>
      </w:r>
      <w:r w:rsidR="002C330E" w:rsidRPr="00D5464D">
        <w:rPr>
          <w:rFonts w:eastAsia="Batang" w:cs="Times"/>
          <w:szCs w:val="24"/>
          <w:lang w:val="pt-BR"/>
        </w:rPr>
        <w:t>os nome</w:t>
      </w:r>
      <w:r w:rsidR="0022029E" w:rsidRPr="00D5464D">
        <w:rPr>
          <w:rFonts w:eastAsia="Batang" w:cs="Times"/>
          <w:szCs w:val="24"/>
          <w:lang w:val="pt-BR"/>
        </w:rPr>
        <w:t>s</w:t>
      </w:r>
      <w:r w:rsidR="00470ADC" w:rsidRPr="00D5464D">
        <w:rPr>
          <w:rFonts w:eastAsia="Batang" w:cs="Times"/>
          <w:szCs w:val="24"/>
          <w:lang w:val="pt-BR"/>
        </w:rPr>
        <w:t xml:space="preserve"> dos </w:t>
      </w:r>
      <w:r w:rsidR="0022029E" w:rsidRPr="00D5464D">
        <w:rPr>
          <w:rFonts w:eastAsia="Batang" w:cs="Times"/>
          <w:szCs w:val="24"/>
          <w:lang w:val="pt-BR"/>
        </w:rPr>
        <w:t>infr</w:t>
      </w:r>
      <w:r w:rsidR="00737270" w:rsidRPr="00D5464D">
        <w:rPr>
          <w:rFonts w:eastAsia="Batang" w:cs="Times"/>
          <w:szCs w:val="24"/>
          <w:lang w:val="pt-BR"/>
        </w:rPr>
        <w:t>ator</w:t>
      </w:r>
      <w:r w:rsidR="0022029E" w:rsidRPr="00D5464D">
        <w:rPr>
          <w:rFonts w:eastAsia="Batang" w:cs="Times"/>
          <w:szCs w:val="24"/>
          <w:lang w:val="pt-BR"/>
        </w:rPr>
        <w:t xml:space="preserve">es por </w:t>
      </w:r>
      <w:r w:rsidR="00E045D9" w:rsidRPr="00D5464D">
        <w:rPr>
          <w:rFonts w:eastAsia="Batang" w:cs="Times"/>
          <w:szCs w:val="24"/>
          <w:lang w:val="pt-BR"/>
        </w:rPr>
        <w:t>empregar</w:t>
      </w:r>
      <w:r w:rsidR="0022029E" w:rsidRPr="00D5464D">
        <w:rPr>
          <w:rFonts w:eastAsia="Batang" w:cs="Times"/>
          <w:szCs w:val="24"/>
          <w:lang w:val="pt-BR"/>
        </w:rPr>
        <w:t xml:space="preserve"> </w:t>
      </w:r>
      <w:r w:rsidR="00E045D9" w:rsidRPr="00D5464D">
        <w:rPr>
          <w:rFonts w:eastAsia="Batang" w:cs="Times"/>
          <w:szCs w:val="24"/>
          <w:lang w:val="pt-BR"/>
        </w:rPr>
        <w:t>trabalhadores</w:t>
      </w:r>
      <w:r w:rsidR="00470ADC" w:rsidRPr="00D5464D">
        <w:rPr>
          <w:rFonts w:eastAsia="Batang" w:cs="Times"/>
          <w:szCs w:val="24"/>
          <w:lang w:val="pt-BR"/>
        </w:rPr>
        <w:t xml:space="preserve"> em </w:t>
      </w:r>
      <w:r w:rsidR="0022029E" w:rsidRPr="00D5464D">
        <w:rPr>
          <w:rFonts w:eastAsia="Batang" w:cs="Times"/>
          <w:szCs w:val="24"/>
          <w:lang w:val="pt-BR"/>
        </w:rPr>
        <w:t>condi</w:t>
      </w:r>
      <w:r w:rsidR="00470ADC" w:rsidRPr="00D5464D">
        <w:rPr>
          <w:rFonts w:eastAsia="Batang" w:cs="Times"/>
          <w:szCs w:val="24"/>
          <w:lang w:val="pt-BR"/>
        </w:rPr>
        <w:t>ções</w:t>
      </w:r>
      <w:r w:rsidR="0022029E" w:rsidRPr="00D5464D">
        <w:rPr>
          <w:rFonts w:eastAsia="Batang" w:cs="Times"/>
          <w:szCs w:val="24"/>
          <w:lang w:val="pt-BR"/>
        </w:rPr>
        <w:t xml:space="preserve"> de </w:t>
      </w:r>
      <w:r w:rsidR="000B376D" w:rsidRPr="00D5464D">
        <w:rPr>
          <w:rFonts w:eastAsia="Batang" w:cs="Times"/>
          <w:szCs w:val="24"/>
          <w:lang w:val="pt-BR"/>
        </w:rPr>
        <w:t>escravidão</w:t>
      </w:r>
      <w:r w:rsidR="006F33EB" w:rsidRPr="00D5464D">
        <w:rPr>
          <w:rFonts w:eastAsia="Batang" w:cs="Times"/>
          <w:szCs w:val="24"/>
          <w:lang w:val="pt-BR"/>
        </w:rPr>
        <w:t>,</w:t>
      </w:r>
      <w:r w:rsidR="0022029E" w:rsidRPr="00D5464D">
        <w:rPr>
          <w:rFonts w:eastAsia="Batang" w:cs="Times"/>
          <w:szCs w:val="24"/>
          <w:lang w:val="pt-BR"/>
        </w:rPr>
        <w:t xml:space="preserve"> para</w:t>
      </w:r>
      <w:r w:rsidR="002C330E" w:rsidRPr="00D5464D">
        <w:rPr>
          <w:rFonts w:eastAsia="Batang" w:cs="Times"/>
          <w:szCs w:val="24"/>
          <w:lang w:val="pt-BR"/>
        </w:rPr>
        <w:t xml:space="preserve"> a </w:t>
      </w:r>
      <w:r w:rsidR="0022029E" w:rsidRPr="00D5464D">
        <w:rPr>
          <w:rFonts w:eastAsia="Batang" w:cs="Times"/>
          <w:szCs w:val="24"/>
          <w:lang w:val="pt-BR"/>
        </w:rPr>
        <w:t xml:space="preserve">consulta </w:t>
      </w:r>
      <w:r w:rsidR="006F33EB" w:rsidRPr="00D5464D">
        <w:rPr>
          <w:rFonts w:eastAsia="Batang" w:cs="Times"/>
          <w:szCs w:val="24"/>
          <w:lang w:val="pt-BR"/>
        </w:rPr>
        <w:t xml:space="preserve">por parte </w:t>
      </w:r>
      <w:r w:rsidR="0022029E" w:rsidRPr="00D5464D">
        <w:rPr>
          <w:rFonts w:eastAsia="Batang" w:cs="Times"/>
          <w:szCs w:val="24"/>
          <w:lang w:val="pt-BR"/>
        </w:rPr>
        <w:t xml:space="preserve">de </w:t>
      </w:r>
      <w:r w:rsidR="002C330E" w:rsidRPr="00D5464D">
        <w:rPr>
          <w:rFonts w:eastAsia="Batang" w:cs="Times"/>
          <w:szCs w:val="24"/>
          <w:lang w:val="pt-BR"/>
        </w:rPr>
        <w:t>instituições</w:t>
      </w:r>
      <w:r w:rsidR="0022029E" w:rsidRPr="00D5464D">
        <w:rPr>
          <w:rFonts w:eastAsia="Batang" w:cs="Times"/>
          <w:szCs w:val="24"/>
          <w:lang w:val="pt-BR"/>
        </w:rPr>
        <w:t xml:space="preserve"> </w:t>
      </w:r>
      <w:r w:rsidR="00470ADC" w:rsidRPr="00D5464D">
        <w:rPr>
          <w:rFonts w:eastAsia="Batang" w:cs="Times"/>
          <w:szCs w:val="24"/>
          <w:lang w:val="pt-BR"/>
        </w:rPr>
        <w:t>financeira</w:t>
      </w:r>
      <w:r w:rsidR="0022029E" w:rsidRPr="00D5464D">
        <w:rPr>
          <w:rFonts w:eastAsia="Batang" w:cs="Times"/>
          <w:szCs w:val="24"/>
          <w:lang w:val="pt-BR"/>
        </w:rPr>
        <w:t>s</w:t>
      </w:r>
      <w:r w:rsidR="00470ADC" w:rsidRPr="00D5464D">
        <w:rPr>
          <w:rFonts w:eastAsia="Batang" w:cs="Times"/>
          <w:szCs w:val="24"/>
          <w:lang w:val="pt-BR"/>
        </w:rPr>
        <w:t xml:space="preserve"> em </w:t>
      </w:r>
      <w:r w:rsidR="0022029E" w:rsidRPr="00D5464D">
        <w:rPr>
          <w:rFonts w:eastAsia="Batang" w:cs="Times"/>
          <w:szCs w:val="24"/>
          <w:lang w:val="pt-BR"/>
        </w:rPr>
        <w:t xml:space="preserve">casos de </w:t>
      </w:r>
      <w:r w:rsidR="0090341D" w:rsidRPr="00D5464D">
        <w:rPr>
          <w:rFonts w:eastAsia="Batang" w:cs="Times"/>
          <w:szCs w:val="24"/>
          <w:lang w:val="pt-BR"/>
        </w:rPr>
        <w:t xml:space="preserve">pedidos </w:t>
      </w:r>
      <w:r w:rsidR="0022029E" w:rsidRPr="00D5464D">
        <w:rPr>
          <w:rFonts w:eastAsia="Batang" w:cs="Times"/>
          <w:szCs w:val="24"/>
          <w:lang w:val="pt-BR"/>
        </w:rPr>
        <w:t>de créditos</w:t>
      </w:r>
      <w:r w:rsidR="0090341D" w:rsidRPr="00D5464D">
        <w:rPr>
          <w:rFonts w:eastAsia="Batang" w:cs="Times"/>
          <w:szCs w:val="24"/>
          <w:lang w:val="pt-BR"/>
        </w:rPr>
        <w:t>.</w:t>
      </w:r>
      <w:r w:rsidR="0003391C" w:rsidRPr="00D5464D">
        <w:rPr>
          <w:rStyle w:val="Refdenotaalpie"/>
          <w:rFonts w:cs="Arial"/>
          <w:bCs/>
          <w:lang w:val="pt-BR"/>
        </w:rPr>
        <w:footnoteReference w:id="90"/>
      </w:r>
      <w:r w:rsidR="00FE030D" w:rsidRPr="00D5464D">
        <w:rPr>
          <w:rFonts w:cs="Arial"/>
          <w:bCs/>
          <w:szCs w:val="20"/>
          <w:lang w:val="pt-BR"/>
        </w:rPr>
        <w:t xml:space="preserve"> </w:t>
      </w:r>
      <w:r w:rsidR="00470ADC" w:rsidRPr="00D5464D">
        <w:rPr>
          <w:rFonts w:cs="Arial"/>
          <w:bCs/>
          <w:szCs w:val="20"/>
          <w:lang w:val="pt-BR"/>
        </w:rPr>
        <w:t>Ademais</w:t>
      </w:r>
      <w:r w:rsidR="0022029E" w:rsidRPr="00D5464D">
        <w:rPr>
          <w:rFonts w:eastAsia="Batang" w:cs="Times"/>
          <w:szCs w:val="24"/>
          <w:lang w:val="pt-BR"/>
        </w:rPr>
        <w:t>,</w:t>
      </w:r>
      <w:r w:rsidR="002C330E" w:rsidRPr="00D5464D">
        <w:rPr>
          <w:rFonts w:eastAsia="Batang" w:cs="Times"/>
          <w:szCs w:val="24"/>
          <w:lang w:val="pt-BR"/>
        </w:rPr>
        <w:t xml:space="preserve"> em </w:t>
      </w:r>
      <w:r w:rsidR="00350187" w:rsidRPr="00D5464D">
        <w:rPr>
          <w:rFonts w:eastAsia="Batang" w:cs="Times"/>
          <w:szCs w:val="24"/>
          <w:lang w:val="pt-BR"/>
        </w:rPr>
        <w:t xml:space="preserve">31 </w:t>
      </w:r>
      <w:r w:rsidR="00A1358C" w:rsidRPr="00D5464D">
        <w:rPr>
          <w:rFonts w:eastAsia="Batang" w:cs="Times"/>
          <w:szCs w:val="24"/>
          <w:lang w:val="pt-BR"/>
        </w:rPr>
        <w:t>de julho</w:t>
      </w:r>
      <w:r w:rsidR="000D47F8" w:rsidRPr="00D5464D">
        <w:rPr>
          <w:rFonts w:eastAsia="Batang" w:cs="Times"/>
          <w:szCs w:val="24"/>
          <w:lang w:val="pt-BR"/>
        </w:rPr>
        <w:t xml:space="preserve"> de 2003</w:t>
      </w:r>
      <w:r w:rsidR="0090341D" w:rsidRPr="00D5464D">
        <w:rPr>
          <w:rFonts w:eastAsia="Batang" w:cs="Times"/>
          <w:szCs w:val="24"/>
          <w:lang w:val="pt-BR"/>
        </w:rPr>
        <w:t>,</w:t>
      </w:r>
      <w:r w:rsidR="000D47F8" w:rsidRPr="00D5464D">
        <w:rPr>
          <w:rFonts w:eastAsia="Batang" w:cs="Times"/>
          <w:szCs w:val="24"/>
          <w:lang w:val="pt-BR"/>
        </w:rPr>
        <w:t xml:space="preserve"> </w:t>
      </w:r>
      <w:r w:rsidR="0090341D" w:rsidRPr="00D5464D">
        <w:rPr>
          <w:rFonts w:eastAsia="Batang" w:cs="Times"/>
          <w:szCs w:val="24"/>
          <w:lang w:val="pt-BR"/>
        </w:rPr>
        <w:t xml:space="preserve">criou </w:t>
      </w:r>
      <w:r w:rsidR="002C330E" w:rsidRPr="00D5464D">
        <w:rPr>
          <w:rFonts w:eastAsia="Batang" w:cs="Times"/>
          <w:szCs w:val="24"/>
          <w:lang w:val="pt-BR"/>
        </w:rPr>
        <w:t xml:space="preserve">a </w:t>
      </w:r>
      <w:r w:rsidR="00470ADC" w:rsidRPr="00D5464D">
        <w:rPr>
          <w:rFonts w:eastAsia="Batang" w:cs="Times"/>
          <w:szCs w:val="24"/>
          <w:lang w:val="pt-BR"/>
        </w:rPr>
        <w:t>Comissão</w:t>
      </w:r>
      <w:r w:rsidR="0022029E" w:rsidRPr="00D5464D">
        <w:rPr>
          <w:rFonts w:eastAsia="Batang" w:cs="Times"/>
          <w:szCs w:val="24"/>
          <w:lang w:val="pt-BR"/>
        </w:rPr>
        <w:t xml:space="preserve"> Nacional para</w:t>
      </w:r>
      <w:r w:rsidR="002C330E" w:rsidRPr="00D5464D">
        <w:rPr>
          <w:rFonts w:eastAsia="Batang" w:cs="Times"/>
          <w:szCs w:val="24"/>
          <w:lang w:val="pt-BR"/>
        </w:rPr>
        <w:t xml:space="preserve"> a </w:t>
      </w:r>
      <w:r w:rsidR="0022029E" w:rsidRPr="00D5464D">
        <w:rPr>
          <w:rFonts w:eastAsia="Batang" w:cs="Times"/>
          <w:szCs w:val="24"/>
          <w:lang w:val="pt-BR"/>
        </w:rPr>
        <w:t>Erradica</w:t>
      </w:r>
      <w:r w:rsidR="00470ADC" w:rsidRPr="00D5464D">
        <w:rPr>
          <w:rFonts w:eastAsia="Batang" w:cs="Times"/>
          <w:szCs w:val="24"/>
          <w:lang w:val="pt-BR"/>
        </w:rPr>
        <w:t>ção</w:t>
      </w:r>
      <w:r w:rsidR="0022029E" w:rsidRPr="00D5464D">
        <w:rPr>
          <w:rFonts w:eastAsia="Batang" w:cs="Times"/>
          <w:szCs w:val="24"/>
          <w:lang w:val="pt-BR"/>
        </w:rPr>
        <w:t xml:space="preserve"> </w:t>
      </w:r>
      <w:r w:rsidR="00470ADC" w:rsidRPr="00D5464D">
        <w:rPr>
          <w:rFonts w:eastAsia="Batang" w:cs="Times"/>
          <w:szCs w:val="24"/>
          <w:lang w:val="pt-BR"/>
        </w:rPr>
        <w:t xml:space="preserve">do </w:t>
      </w:r>
      <w:r w:rsidR="00E045D9" w:rsidRPr="00D5464D">
        <w:rPr>
          <w:rFonts w:eastAsia="Batang" w:cs="Times"/>
          <w:szCs w:val="24"/>
          <w:lang w:val="pt-BR"/>
        </w:rPr>
        <w:t>Trabalho</w:t>
      </w:r>
      <w:r w:rsidR="0022029E" w:rsidRPr="00D5464D">
        <w:rPr>
          <w:rFonts w:eastAsia="Batang" w:cs="Times"/>
          <w:szCs w:val="24"/>
          <w:lang w:val="pt-BR"/>
        </w:rPr>
        <w:t xml:space="preserve"> </w:t>
      </w:r>
      <w:r w:rsidR="004F1CC2" w:rsidRPr="00D5464D">
        <w:rPr>
          <w:rFonts w:eastAsia="Batang" w:cs="Times"/>
          <w:szCs w:val="24"/>
          <w:lang w:val="pt-BR"/>
        </w:rPr>
        <w:t>Escravo</w:t>
      </w:r>
      <w:r w:rsidR="0022029E" w:rsidRPr="00D5464D">
        <w:rPr>
          <w:rFonts w:eastAsia="Batang" w:cs="Times"/>
          <w:szCs w:val="24"/>
          <w:lang w:val="pt-BR"/>
        </w:rPr>
        <w:t xml:space="preserve"> (CONATRAE), que </w:t>
      </w:r>
      <w:r w:rsidRPr="00D5464D">
        <w:rPr>
          <w:rFonts w:eastAsia="Batang" w:cs="Times"/>
          <w:szCs w:val="24"/>
          <w:lang w:val="pt-BR"/>
        </w:rPr>
        <w:t>substituiu</w:t>
      </w:r>
      <w:r w:rsidR="00470ADC" w:rsidRPr="00D5464D">
        <w:rPr>
          <w:rFonts w:eastAsia="Batang" w:cs="Times"/>
          <w:szCs w:val="24"/>
          <w:lang w:val="pt-BR"/>
        </w:rPr>
        <w:t xml:space="preserve"> o </w:t>
      </w:r>
      <w:r w:rsidR="0022029E" w:rsidRPr="00D5464D">
        <w:rPr>
          <w:rFonts w:eastAsia="Batang" w:cs="Times"/>
          <w:szCs w:val="24"/>
          <w:lang w:val="pt-BR"/>
        </w:rPr>
        <w:t>Grupo Interministerial para Erradicar</w:t>
      </w:r>
      <w:r w:rsidR="00470ADC" w:rsidRPr="00D5464D">
        <w:rPr>
          <w:rFonts w:eastAsia="Batang" w:cs="Times"/>
          <w:szCs w:val="24"/>
          <w:lang w:val="pt-BR"/>
        </w:rPr>
        <w:t xml:space="preserve"> o </w:t>
      </w:r>
      <w:r w:rsidR="00E045D9" w:rsidRPr="00D5464D">
        <w:rPr>
          <w:rFonts w:eastAsia="Batang" w:cs="Times"/>
          <w:szCs w:val="24"/>
          <w:lang w:val="pt-BR"/>
        </w:rPr>
        <w:t>Trabalho</w:t>
      </w:r>
      <w:r w:rsidR="001B63D0" w:rsidRPr="00D5464D">
        <w:rPr>
          <w:rFonts w:eastAsia="Batang" w:cs="Times"/>
          <w:szCs w:val="24"/>
          <w:lang w:val="pt-BR"/>
        </w:rPr>
        <w:t xml:space="preserve"> </w:t>
      </w:r>
      <w:r w:rsidR="0090341D" w:rsidRPr="00D5464D">
        <w:rPr>
          <w:rFonts w:eastAsia="Batang" w:cs="Times"/>
          <w:szCs w:val="24"/>
          <w:lang w:val="pt-BR"/>
        </w:rPr>
        <w:t>F</w:t>
      </w:r>
      <w:r w:rsidR="00230C71" w:rsidRPr="00D5464D">
        <w:rPr>
          <w:rFonts w:eastAsia="Batang" w:cs="Times"/>
          <w:szCs w:val="24"/>
          <w:lang w:val="pt-BR"/>
        </w:rPr>
        <w:t>orçado</w:t>
      </w:r>
      <w:r w:rsidR="0022029E" w:rsidRPr="00D5464D">
        <w:rPr>
          <w:rFonts w:eastAsia="Batang" w:cs="Times"/>
          <w:szCs w:val="24"/>
          <w:lang w:val="pt-BR"/>
        </w:rPr>
        <w:t xml:space="preserve"> (GERTRAF), </w:t>
      </w:r>
      <w:r w:rsidR="0090341D" w:rsidRPr="00D5464D">
        <w:rPr>
          <w:rFonts w:eastAsia="Batang" w:cs="Times"/>
          <w:szCs w:val="24"/>
          <w:lang w:val="pt-BR"/>
        </w:rPr>
        <w:t xml:space="preserve">instituído </w:t>
      </w:r>
      <w:r w:rsidR="00470ADC" w:rsidRPr="00D5464D">
        <w:rPr>
          <w:rFonts w:eastAsia="Batang" w:cs="Times"/>
          <w:szCs w:val="24"/>
          <w:lang w:val="pt-BR"/>
        </w:rPr>
        <w:t xml:space="preserve">em </w:t>
      </w:r>
      <w:r w:rsidR="0022029E" w:rsidRPr="00D5464D">
        <w:rPr>
          <w:rFonts w:eastAsia="Batang" w:cs="Times"/>
          <w:szCs w:val="24"/>
          <w:lang w:val="pt-BR"/>
        </w:rPr>
        <w:t>1995</w:t>
      </w:r>
      <w:r w:rsidR="00D358F7" w:rsidRPr="00D5464D">
        <w:rPr>
          <w:rFonts w:eastAsia="Batang" w:cs="Times"/>
          <w:szCs w:val="24"/>
          <w:lang w:val="pt-BR"/>
        </w:rPr>
        <w:t>. E</w:t>
      </w:r>
      <w:r w:rsidR="0022029E" w:rsidRPr="00D5464D">
        <w:rPr>
          <w:rFonts w:eastAsia="Batang" w:cs="Times"/>
          <w:szCs w:val="24"/>
          <w:lang w:val="pt-BR"/>
        </w:rPr>
        <w:t xml:space="preserve">sta </w:t>
      </w:r>
      <w:r w:rsidR="00470ADC" w:rsidRPr="00D5464D">
        <w:rPr>
          <w:rFonts w:eastAsia="Batang" w:cs="Times"/>
          <w:szCs w:val="24"/>
          <w:lang w:val="pt-BR"/>
        </w:rPr>
        <w:t>comissão</w:t>
      </w:r>
      <w:r w:rsidR="0022029E" w:rsidRPr="00D5464D">
        <w:rPr>
          <w:rFonts w:eastAsia="Batang" w:cs="Times"/>
          <w:szCs w:val="24"/>
          <w:lang w:val="pt-BR"/>
        </w:rPr>
        <w:t xml:space="preserve"> incorpor</w:t>
      </w:r>
      <w:r w:rsidR="0090341D" w:rsidRPr="00D5464D">
        <w:rPr>
          <w:rFonts w:eastAsia="Batang" w:cs="Times"/>
          <w:szCs w:val="24"/>
          <w:lang w:val="pt-BR"/>
        </w:rPr>
        <w:t>ou</w:t>
      </w:r>
      <w:r w:rsidR="002C330E" w:rsidRPr="00D5464D">
        <w:rPr>
          <w:rFonts w:eastAsia="Batang" w:cs="Times"/>
          <w:szCs w:val="24"/>
          <w:lang w:val="pt-BR"/>
        </w:rPr>
        <w:t xml:space="preserve"> a </w:t>
      </w:r>
      <w:r w:rsidR="0022029E" w:rsidRPr="00D5464D">
        <w:rPr>
          <w:rFonts w:eastAsia="Batang" w:cs="Times"/>
          <w:szCs w:val="24"/>
          <w:lang w:val="pt-BR"/>
        </w:rPr>
        <w:t>participa</w:t>
      </w:r>
      <w:r w:rsidR="00470ADC" w:rsidRPr="00D5464D">
        <w:rPr>
          <w:rFonts w:eastAsia="Batang" w:cs="Times"/>
          <w:szCs w:val="24"/>
          <w:lang w:val="pt-BR"/>
        </w:rPr>
        <w:t>ção</w:t>
      </w:r>
      <w:r w:rsidR="0022029E" w:rsidRPr="00D5464D">
        <w:rPr>
          <w:rFonts w:eastAsia="Batang" w:cs="Times"/>
          <w:szCs w:val="24"/>
          <w:lang w:val="pt-BR"/>
        </w:rPr>
        <w:t xml:space="preserve"> de</w:t>
      </w:r>
      <w:r w:rsidR="00E045D9" w:rsidRPr="00D5464D">
        <w:rPr>
          <w:rFonts w:eastAsia="Batang" w:cs="Times"/>
          <w:szCs w:val="24"/>
          <w:lang w:val="pt-BR"/>
        </w:rPr>
        <w:t xml:space="preserve"> um </w:t>
      </w:r>
      <w:r w:rsidR="002C330E" w:rsidRPr="00D5464D">
        <w:rPr>
          <w:rFonts w:eastAsia="Batang" w:cs="Times"/>
          <w:szCs w:val="24"/>
          <w:lang w:val="pt-BR"/>
        </w:rPr>
        <w:t xml:space="preserve">maior </w:t>
      </w:r>
      <w:r w:rsidR="0022029E" w:rsidRPr="00D5464D">
        <w:rPr>
          <w:rFonts w:eastAsia="Batang" w:cs="Times"/>
          <w:szCs w:val="24"/>
          <w:lang w:val="pt-BR"/>
        </w:rPr>
        <w:t xml:space="preserve">número de </w:t>
      </w:r>
      <w:r w:rsidR="002C330E" w:rsidRPr="00D5464D">
        <w:rPr>
          <w:rFonts w:eastAsia="Batang" w:cs="Times"/>
          <w:szCs w:val="24"/>
          <w:lang w:val="pt-BR"/>
        </w:rPr>
        <w:t>instituições</w:t>
      </w:r>
      <w:r w:rsidR="0022029E" w:rsidRPr="00D5464D">
        <w:rPr>
          <w:rFonts w:eastAsia="Batang" w:cs="Times"/>
          <w:szCs w:val="24"/>
          <w:lang w:val="pt-BR"/>
        </w:rPr>
        <w:t xml:space="preserve"> </w:t>
      </w:r>
      <w:r w:rsidR="00470ADC" w:rsidRPr="00D5464D">
        <w:rPr>
          <w:rFonts w:eastAsia="Batang" w:cs="Times"/>
          <w:szCs w:val="24"/>
          <w:lang w:val="pt-BR"/>
        </w:rPr>
        <w:t xml:space="preserve">do </w:t>
      </w:r>
      <w:r w:rsidR="0022029E" w:rsidRPr="00D5464D">
        <w:rPr>
          <w:rFonts w:eastAsia="Batang" w:cs="Times"/>
          <w:szCs w:val="24"/>
          <w:lang w:val="pt-BR"/>
        </w:rPr>
        <w:t xml:space="preserve">Estado </w:t>
      </w:r>
      <w:r w:rsidR="00470ADC" w:rsidRPr="00D5464D">
        <w:rPr>
          <w:rFonts w:eastAsia="Batang" w:cs="Times"/>
          <w:szCs w:val="24"/>
          <w:lang w:val="pt-BR"/>
        </w:rPr>
        <w:t>brasileir</w:t>
      </w:r>
      <w:r w:rsidR="0022029E" w:rsidRPr="00D5464D">
        <w:rPr>
          <w:rFonts w:eastAsia="Batang" w:cs="Times"/>
          <w:szCs w:val="24"/>
          <w:lang w:val="pt-BR"/>
        </w:rPr>
        <w:t>o</w:t>
      </w:r>
      <w:r w:rsidR="00E045D9" w:rsidRPr="00D5464D">
        <w:rPr>
          <w:rFonts w:eastAsia="Batang" w:cs="Times"/>
          <w:szCs w:val="24"/>
          <w:lang w:val="pt-BR"/>
        </w:rPr>
        <w:t xml:space="preserve"> e </w:t>
      </w:r>
      <w:r w:rsidR="0090341D" w:rsidRPr="00D5464D">
        <w:rPr>
          <w:rFonts w:eastAsia="Batang" w:cs="Times"/>
          <w:szCs w:val="24"/>
          <w:lang w:val="pt-BR"/>
        </w:rPr>
        <w:t xml:space="preserve">de </w:t>
      </w:r>
      <w:r w:rsidR="002C330E" w:rsidRPr="00D5464D">
        <w:rPr>
          <w:rFonts w:eastAsia="Batang" w:cs="Times"/>
          <w:szCs w:val="24"/>
          <w:lang w:val="pt-BR"/>
        </w:rPr>
        <w:t>membro</w:t>
      </w:r>
      <w:r w:rsidR="0022029E" w:rsidRPr="00D5464D">
        <w:rPr>
          <w:rFonts w:eastAsia="Batang" w:cs="Times"/>
          <w:szCs w:val="24"/>
          <w:lang w:val="pt-BR"/>
        </w:rPr>
        <w:t>s</w:t>
      </w:r>
      <w:r w:rsidR="00470ADC" w:rsidRPr="00D5464D">
        <w:rPr>
          <w:rFonts w:eastAsia="Batang" w:cs="Times"/>
          <w:szCs w:val="24"/>
          <w:lang w:val="pt-BR"/>
        </w:rPr>
        <w:t xml:space="preserve"> da </w:t>
      </w:r>
      <w:r w:rsidR="002C330E" w:rsidRPr="00D5464D">
        <w:rPr>
          <w:rFonts w:eastAsia="Batang" w:cs="Times"/>
          <w:szCs w:val="24"/>
          <w:lang w:val="pt-BR"/>
        </w:rPr>
        <w:t xml:space="preserve">sociedade </w:t>
      </w:r>
      <w:r w:rsidR="0022029E" w:rsidRPr="00D5464D">
        <w:rPr>
          <w:rFonts w:eastAsia="Batang" w:cs="Times"/>
          <w:szCs w:val="24"/>
          <w:lang w:val="pt-BR"/>
        </w:rPr>
        <w:t>civil,</w:t>
      </w:r>
      <w:r w:rsidR="00470ADC" w:rsidRPr="00D5464D">
        <w:rPr>
          <w:rFonts w:eastAsia="Batang" w:cs="Times"/>
          <w:szCs w:val="24"/>
          <w:lang w:val="pt-BR"/>
        </w:rPr>
        <w:t xml:space="preserve"> com</w:t>
      </w:r>
      <w:r w:rsidR="002C330E" w:rsidRPr="00D5464D">
        <w:rPr>
          <w:rFonts w:eastAsia="Batang" w:cs="Times"/>
          <w:szCs w:val="24"/>
          <w:lang w:val="pt-BR"/>
        </w:rPr>
        <w:t xml:space="preserve"> a </w:t>
      </w:r>
      <w:r w:rsidR="00470ADC" w:rsidRPr="00D5464D">
        <w:rPr>
          <w:rFonts w:eastAsia="Batang" w:cs="Times"/>
          <w:szCs w:val="24"/>
          <w:lang w:val="pt-BR"/>
        </w:rPr>
        <w:t xml:space="preserve">finalidade </w:t>
      </w:r>
      <w:r w:rsidR="0022029E" w:rsidRPr="00D5464D">
        <w:rPr>
          <w:rFonts w:eastAsia="Batang" w:cs="Times"/>
          <w:szCs w:val="24"/>
          <w:lang w:val="pt-BR"/>
        </w:rPr>
        <w:t xml:space="preserve">de articular políticas públicas para </w:t>
      </w:r>
      <w:r w:rsidR="00470ADC" w:rsidRPr="00D5464D">
        <w:rPr>
          <w:rFonts w:eastAsia="Batang" w:cs="Times"/>
          <w:szCs w:val="24"/>
          <w:lang w:val="pt-BR"/>
        </w:rPr>
        <w:t xml:space="preserve">combater o </w:t>
      </w:r>
      <w:r w:rsidR="00E045D9" w:rsidRPr="00D5464D">
        <w:rPr>
          <w:rFonts w:eastAsia="Batang" w:cs="Times"/>
          <w:szCs w:val="24"/>
          <w:lang w:val="pt-BR"/>
        </w:rPr>
        <w:t>trabalho</w:t>
      </w:r>
      <w:r w:rsidR="0022029E" w:rsidRPr="00D5464D">
        <w:rPr>
          <w:rFonts w:eastAsia="Batang" w:cs="Times"/>
          <w:szCs w:val="24"/>
          <w:lang w:val="pt-BR"/>
        </w:rPr>
        <w:t xml:space="preserve"> </w:t>
      </w:r>
      <w:r w:rsidR="004F1CC2" w:rsidRPr="00D5464D">
        <w:rPr>
          <w:rFonts w:eastAsia="Batang" w:cs="Times"/>
          <w:szCs w:val="24"/>
          <w:lang w:val="pt-BR"/>
        </w:rPr>
        <w:t>escravo</w:t>
      </w:r>
      <w:r w:rsidR="0022029E" w:rsidRPr="00D5464D">
        <w:rPr>
          <w:rFonts w:eastAsia="Batang" w:cs="Times"/>
          <w:szCs w:val="24"/>
          <w:lang w:val="pt-BR"/>
        </w:rPr>
        <w:t>.</w:t>
      </w:r>
    </w:p>
    <w:p w14:paraId="1ECFCB86" w14:textId="77777777" w:rsidR="00B130B5" w:rsidRPr="00D5464D" w:rsidRDefault="00B130B5" w:rsidP="00140440">
      <w:pPr>
        <w:pStyle w:val="Prrafodelista"/>
        <w:autoSpaceDE w:val="0"/>
        <w:autoSpaceDN w:val="0"/>
        <w:adjustRightInd w:val="0"/>
        <w:ind w:left="0"/>
        <w:contextualSpacing w:val="0"/>
        <w:rPr>
          <w:rFonts w:eastAsia="Batang" w:cs="Times"/>
          <w:szCs w:val="24"/>
          <w:lang w:val="pt-BR"/>
        </w:rPr>
      </w:pPr>
    </w:p>
    <w:p w14:paraId="24BF8EF3" w14:textId="0C0F0D9D" w:rsidR="00B130B5" w:rsidRPr="00D5464D" w:rsidRDefault="00D65024" w:rsidP="00140440">
      <w:pPr>
        <w:pStyle w:val="Prrafodelista"/>
        <w:numPr>
          <w:ilvl w:val="0"/>
          <w:numId w:val="1"/>
        </w:numPr>
        <w:autoSpaceDE w:val="0"/>
        <w:autoSpaceDN w:val="0"/>
        <w:adjustRightInd w:val="0"/>
        <w:contextualSpacing w:val="0"/>
        <w:rPr>
          <w:rFonts w:eastAsia="Batang" w:cs="Times"/>
          <w:szCs w:val="24"/>
          <w:lang w:val="pt-BR"/>
        </w:rPr>
      </w:pPr>
      <w:r w:rsidRPr="00D5464D">
        <w:rPr>
          <w:rFonts w:eastAsia="Batang" w:cs="Times"/>
          <w:szCs w:val="24"/>
          <w:lang w:val="pt-BR"/>
        </w:rPr>
        <w:t>E</w:t>
      </w:r>
      <w:r w:rsidR="00470ADC" w:rsidRPr="00D5464D">
        <w:rPr>
          <w:rFonts w:eastAsia="Batang" w:cs="Times"/>
          <w:szCs w:val="24"/>
          <w:lang w:val="pt-BR"/>
        </w:rPr>
        <w:t>m dezembro</w:t>
      </w:r>
      <w:r w:rsidR="00ED71C3" w:rsidRPr="00D5464D">
        <w:rPr>
          <w:rFonts w:eastAsia="Batang" w:cs="Times"/>
          <w:szCs w:val="24"/>
          <w:lang w:val="pt-BR"/>
        </w:rPr>
        <w:t xml:space="preserve"> de 2007</w:t>
      </w:r>
      <w:r w:rsidR="0090341D" w:rsidRPr="00D5464D">
        <w:rPr>
          <w:rFonts w:eastAsia="Batang" w:cs="Times"/>
          <w:szCs w:val="24"/>
          <w:lang w:val="pt-BR"/>
        </w:rPr>
        <w:t>,</w:t>
      </w:r>
      <w:r w:rsidR="00470ADC" w:rsidRPr="00D5464D">
        <w:rPr>
          <w:rFonts w:eastAsia="Batang" w:cs="Times"/>
          <w:szCs w:val="24"/>
          <w:lang w:val="pt-BR"/>
        </w:rPr>
        <w:t xml:space="preserve"> o </w:t>
      </w:r>
      <w:r w:rsidR="00ED71C3" w:rsidRPr="00D5464D">
        <w:rPr>
          <w:rFonts w:eastAsia="Batang" w:cs="Times"/>
          <w:szCs w:val="24"/>
          <w:lang w:val="pt-BR"/>
        </w:rPr>
        <w:t>Supremo Tribunal Federal d</w:t>
      </w:r>
      <w:r w:rsidR="0090341D" w:rsidRPr="00D5464D">
        <w:rPr>
          <w:rFonts w:eastAsia="Batang" w:cs="Times"/>
          <w:szCs w:val="24"/>
          <w:lang w:val="pt-BR"/>
        </w:rPr>
        <w:t>o</w:t>
      </w:r>
      <w:r w:rsidR="00ED71C3" w:rsidRPr="00D5464D">
        <w:rPr>
          <w:rFonts w:eastAsia="Batang" w:cs="Times"/>
          <w:szCs w:val="24"/>
          <w:lang w:val="pt-BR"/>
        </w:rPr>
        <w:t xml:space="preserve"> Brasil </w:t>
      </w:r>
      <w:r w:rsidR="00C91CB1" w:rsidRPr="00D5464D">
        <w:rPr>
          <w:rFonts w:eastAsia="Batang" w:cs="Times"/>
          <w:szCs w:val="24"/>
          <w:lang w:val="pt-BR"/>
        </w:rPr>
        <w:t>fixou</w:t>
      </w:r>
      <w:r w:rsidR="00E045D9" w:rsidRPr="00D5464D">
        <w:rPr>
          <w:rFonts w:eastAsia="Batang" w:cs="Times"/>
          <w:szCs w:val="24"/>
          <w:lang w:val="pt-BR"/>
        </w:rPr>
        <w:t xml:space="preserve"> </w:t>
      </w:r>
      <w:r w:rsidR="0090341D" w:rsidRPr="00D5464D">
        <w:rPr>
          <w:rFonts w:eastAsia="Batang" w:cs="Times"/>
          <w:szCs w:val="24"/>
          <w:lang w:val="pt-BR"/>
        </w:rPr>
        <w:t>o</w:t>
      </w:r>
      <w:r w:rsidR="00E045D9" w:rsidRPr="00D5464D">
        <w:rPr>
          <w:rFonts w:eastAsia="Batang" w:cs="Times"/>
          <w:szCs w:val="24"/>
          <w:lang w:val="pt-BR"/>
        </w:rPr>
        <w:t xml:space="preserve"> </w:t>
      </w:r>
      <w:r w:rsidR="00470ADC" w:rsidRPr="00D5464D">
        <w:rPr>
          <w:rFonts w:eastAsia="Batang" w:cs="Times"/>
          <w:szCs w:val="24"/>
          <w:lang w:val="pt-BR"/>
        </w:rPr>
        <w:t>critério</w:t>
      </w:r>
      <w:r w:rsidR="00ED71C3" w:rsidRPr="00D5464D">
        <w:rPr>
          <w:rFonts w:eastAsia="Batang" w:cs="Times"/>
          <w:szCs w:val="24"/>
          <w:lang w:val="pt-BR"/>
        </w:rPr>
        <w:t xml:space="preserve"> definitivo</w:t>
      </w:r>
      <w:r w:rsidR="00B45119" w:rsidRPr="00D5464D">
        <w:rPr>
          <w:rFonts w:eastAsia="Batang" w:cs="Times"/>
          <w:szCs w:val="24"/>
          <w:lang w:val="pt-BR"/>
        </w:rPr>
        <w:t>,</w:t>
      </w:r>
      <w:r w:rsidR="00E045D9" w:rsidRPr="00D5464D">
        <w:rPr>
          <w:rFonts w:eastAsia="Batang" w:cs="Times"/>
          <w:szCs w:val="24"/>
          <w:lang w:val="pt-BR"/>
        </w:rPr>
        <w:t xml:space="preserve"> no </w:t>
      </w:r>
      <w:r w:rsidR="0090341D" w:rsidRPr="00D5464D">
        <w:rPr>
          <w:rFonts w:eastAsia="Batang" w:cs="Times"/>
          <w:szCs w:val="24"/>
          <w:lang w:val="pt-BR"/>
        </w:rPr>
        <w:t>R</w:t>
      </w:r>
      <w:r w:rsidR="00ED71C3" w:rsidRPr="00D5464D">
        <w:rPr>
          <w:rFonts w:eastAsia="Batang" w:cs="Times"/>
          <w:szCs w:val="24"/>
          <w:lang w:val="pt-BR"/>
        </w:rPr>
        <w:t xml:space="preserve">ecurso </w:t>
      </w:r>
      <w:r w:rsidR="0090341D" w:rsidRPr="00D5464D">
        <w:rPr>
          <w:rFonts w:eastAsia="Batang" w:cs="Times"/>
          <w:szCs w:val="24"/>
          <w:lang w:val="pt-BR"/>
        </w:rPr>
        <w:t>E</w:t>
      </w:r>
      <w:r w:rsidR="00ED71C3" w:rsidRPr="00D5464D">
        <w:rPr>
          <w:rFonts w:eastAsia="Batang" w:cs="Times"/>
          <w:szCs w:val="24"/>
          <w:lang w:val="pt-BR"/>
        </w:rPr>
        <w:t>xtra</w:t>
      </w:r>
      <w:r w:rsidR="002C330E" w:rsidRPr="00D5464D">
        <w:rPr>
          <w:rFonts w:eastAsia="Batang" w:cs="Times"/>
          <w:szCs w:val="24"/>
          <w:lang w:val="pt-BR"/>
        </w:rPr>
        <w:t>ordinári</w:t>
      </w:r>
      <w:r w:rsidR="00ED71C3" w:rsidRPr="00D5464D">
        <w:rPr>
          <w:rFonts w:eastAsia="Batang" w:cs="Times"/>
          <w:szCs w:val="24"/>
          <w:lang w:val="pt-BR"/>
        </w:rPr>
        <w:t xml:space="preserve">o </w:t>
      </w:r>
      <w:r w:rsidR="00EA1DD2" w:rsidRPr="00D5464D">
        <w:rPr>
          <w:rFonts w:eastAsia="Batang" w:cs="Times"/>
          <w:szCs w:val="24"/>
          <w:lang w:val="pt-BR"/>
        </w:rPr>
        <w:t xml:space="preserve">nº </w:t>
      </w:r>
      <w:r w:rsidR="00ED71C3" w:rsidRPr="00D5464D">
        <w:rPr>
          <w:rFonts w:eastAsia="Batang" w:cs="Times"/>
          <w:szCs w:val="24"/>
          <w:lang w:val="pt-BR"/>
        </w:rPr>
        <w:t>RE</w:t>
      </w:r>
      <w:r w:rsidR="00EA1DD2" w:rsidRPr="00D5464D">
        <w:rPr>
          <w:rFonts w:eastAsia="Batang" w:cs="Times"/>
          <w:szCs w:val="24"/>
          <w:lang w:val="pt-BR"/>
        </w:rPr>
        <w:t xml:space="preserve"> </w:t>
      </w:r>
      <w:r w:rsidR="00ED71C3" w:rsidRPr="00D5464D">
        <w:rPr>
          <w:rFonts w:eastAsia="Batang" w:cs="Times"/>
          <w:szCs w:val="24"/>
          <w:lang w:val="pt-BR"/>
        </w:rPr>
        <w:t xml:space="preserve">398041, </w:t>
      </w:r>
      <w:r w:rsidR="00D92104" w:rsidRPr="00D5464D">
        <w:rPr>
          <w:rFonts w:eastAsia="Batang" w:cs="Times"/>
          <w:szCs w:val="24"/>
          <w:lang w:val="pt-BR"/>
        </w:rPr>
        <w:t xml:space="preserve">de </w:t>
      </w:r>
      <w:r w:rsidR="00ED71C3" w:rsidRPr="00D5464D">
        <w:rPr>
          <w:rFonts w:eastAsia="Batang" w:cs="Times"/>
          <w:szCs w:val="24"/>
          <w:lang w:val="pt-BR"/>
        </w:rPr>
        <w:t>que</w:t>
      </w:r>
      <w:r w:rsidR="002C330E" w:rsidRPr="00D5464D">
        <w:rPr>
          <w:rFonts w:eastAsia="Batang" w:cs="Times"/>
          <w:szCs w:val="24"/>
          <w:lang w:val="pt-BR"/>
        </w:rPr>
        <w:t xml:space="preserve"> a justiça</w:t>
      </w:r>
      <w:r w:rsidR="00ED71C3" w:rsidRPr="00D5464D">
        <w:rPr>
          <w:rFonts w:eastAsia="Batang" w:cs="Times"/>
          <w:szCs w:val="24"/>
          <w:lang w:val="pt-BR"/>
        </w:rPr>
        <w:t xml:space="preserve"> federal</w:t>
      </w:r>
      <w:r w:rsidR="00470ADC" w:rsidRPr="00D5464D">
        <w:rPr>
          <w:rFonts w:eastAsia="Batang" w:cs="Times"/>
          <w:szCs w:val="24"/>
          <w:lang w:val="pt-BR"/>
        </w:rPr>
        <w:t xml:space="preserve"> é</w:t>
      </w:r>
      <w:r w:rsidR="002C330E" w:rsidRPr="00D5464D">
        <w:rPr>
          <w:rFonts w:eastAsia="Batang" w:cs="Times"/>
          <w:szCs w:val="24"/>
          <w:lang w:val="pt-BR"/>
        </w:rPr>
        <w:t xml:space="preserve"> a instância</w:t>
      </w:r>
      <w:r w:rsidR="00ED71C3" w:rsidRPr="00D5464D">
        <w:rPr>
          <w:rFonts w:eastAsia="Batang" w:cs="Times"/>
          <w:szCs w:val="24"/>
          <w:lang w:val="pt-BR"/>
        </w:rPr>
        <w:t xml:space="preserve"> </w:t>
      </w:r>
      <w:r w:rsidR="00A1358C" w:rsidRPr="00D5464D">
        <w:rPr>
          <w:rFonts w:eastAsia="Batang" w:cs="Times"/>
          <w:szCs w:val="24"/>
          <w:lang w:val="pt-BR"/>
        </w:rPr>
        <w:t>competente</w:t>
      </w:r>
      <w:r w:rsidR="00ED71C3" w:rsidRPr="00D5464D">
        <w:rPr>
          <w:rFonts w:eastAsia="Batang" w:cs="Times"/>
          <w:szCs w:val="24"/>
          <w:lang w:val="pt-BR"/>
        </w:rPr>
        <w:t xml:space="preserve"> </w:t>
      </w:r>
      <w:r w:rsidR="00470ADC" w:rsidRPr="00D5464D">
        <w:rPr>
          <w:rFonts w:eastAsia="Batang" w:cs="Times"/>
          <w:szCs w:val="24"/>
          <w:lang w:val="pt-BR"/>
        </w:rPr>
        <w:t xml:space="preserve">do </w:t>
      </w:r>
      <w:r w:rsidR="00EB1CE9" w:rsidRPr="00D5464D">
        <w:rPr>
          <w:rFonts w:eastAsia="Batang" w:cs="Times"/>
          <w:szCs w:val="24"/>
          <w:lang w:val="pt-BR"/>
        </w:rPr>
        <w:t>Poder Judiciário</w:t>
      </w:r>
      <w:r w:rsidR="00ED71C3" w:rsidRPr="00D5464D">
        <w:rPr>
          <w:rFonts w:eastAsia="Batang" w:cs="Times"/>
          <w:szCs w:val="24"/>
          <w:lang w:val="pt-BR"/>
        </w:rPr>
        <w:t xml:space="preserve"> para </w:t>
      </w:r>
      <w:r w:rsidR="002C330E" w:rsidRPr="00D5464D">
        <w:rPr>
          <w:rFonts w:eastAsia="Batang" w:cs="Times"/>
          <w:szCs w:val="24"/>
          <w:lang w:val="pt-BR"/>
        </w:rPr>
        <w:t xml:space="preserve">julgar os </w:t>
      </w:r>
      <w:r w:rsidR="00ED71C3" w:rsidRPr="00D5464D">
        <w:rPr>
          <w:rFonts w:eastAsia="Batang" w:cs="Times"/>
          <w:szCs w:val="24"/>
          <w:lang w:val="pt-BR"/>
        </w:rPr>
        <w:t>delitos relativos a condi</w:t>
      </w:r>
      <w:r w:rsidR="00470ADC" w:rsidRPr="00D5464D">
        <w:rPr>
          <w:rFonts w:eastAsia="Batang" w:cs="Times"/>
          <w:szCs w:val="24"/>
          <w:lang w:val="pt-BR"/>
        </w:rPr>
        <w:t>ções</w:t>
      </w:r>
      <w:r w:rsidR="00ED71C3" w:rsidRPr="00D5464D">
        <w:rPr>
          <w:rFonts w:eastAsia="Batang" w:cs="Times"/>
          <w:szCs w:val="24"/>
          <w:lang w:val="pt-BR"/>
        </w:rPr>
        <w:t xml:space="preserve"> </w:t>
      </w:r>
      <w:r w:rsidR="006665EF" w:rsidRPr="00D5464D">
        <w:rPr>
          <w:rFonts w:eastAsia="Batang" w:cs="Times"/>
          <w:szCs w:val="24"/>
          <w:lang w:val="pt-BR"/>
        </w:rPr>
        <w:t>análogas</w:t>
      </w:r>
      <w:r w:rsidR="00350187" w:rsidRPr="00D5464D">
        <w:rPr>
          <w:rFonts w:eastAsia="Batang" w:cs="Times"/>
          <w:szCs w:val="24"/>
          <w:lang w:val="pt-BR"/>
        </w:rPr>
        <w:t xml:space="preserve"> </w:t>
      </w:r>
      <w:r w:rsidR="00E045D9" w:rsidRPr="00D5464D">
        <w:rPr>
          <w:rFonts w:eastAsia="Batang" w:cs="Times"/>
          <w:szCs w:val="24"/>
          <w:lang w:val="pt-BR"/>
        </w:rPr>
        <w:t xml:space="preserve">às </w:t>
      </w:r>
      <w:r w:rsidR="00ED71C3" w:rsidRPr="00D5464D">
        <w:rPr>
          <w:rFonts w:eastAsia="Batang" w:cs="Times"/>
          <w:szCs w:val="24"/>
          <w:lang w:val="pt-BR"/>
        </w:rPr>
        <w:t xml:space="preserve">de </w:t>
      </w:r>
      <w:r w:rsidR="004F1CC2" w:rsidRPr="00D5464D">
        <w:rPr>
          <w:rFonts w:eastAsia="Batang" w:cs="Times"/>
          <w:szCs w:val="24"/>
          <w:lang w:val="pt-BR"/>
        </w:rPr>
        <w:t>escravo</w:t>
      </w:r>
      <w:r w:rsidR="00ED71C3" w:rsidRPr="00D5464D">
        <w:rPr>
          <w:rFonts w:eastAsia="Batang" w:cs="Times"/>
          <w:szCs w:val="24"/>
          <w:lang w:val="pt-BR"/>
        </w:rPr>
        <w:t xml:space="preserve"> previsto</w:t>
      </w:r>
      <w:r w:rsidR="00E045D9" w:rsidRPr="00D5464D">
        <w:rPr>
          <w:rFonts w:eastAsia="Batang" w:cs="Times"/>
          <w:szCs w:val="24"/>
          <w:lang w:val="pt-BR"/>
        </w:rPr>
        <w:t xml:space="preserve"> no </w:t>
      </w:r>
      <w:r w:rsidR="00470ADC" w:rsidRPr="00D5464D">
        <w:rPr>
          <w:rFonts w:eastAsia="Batang" w:cs="Times"/>
          <w:szCs w:val="24"/>
          <w:lang w:val="pt-BR"/>
        </w:rPr>
        <w:t>artigo</w:t>
      </w:r>
      <w:r w:rsidR="00ED71C3" w:rsidRPr="00D5464D">
        <w:rPr>
          <w:rFonts w:eastAsia="Batang" w:cs="Times"/>
          <w:szCs w:val="24"/>
          <w:lang w:val="pt-BR"/>
        </w:rPr>
        <w:t xml:space="preserve"> 149 </w:t>
      </w:r>
      <w:r w:rsidR="00470ADC" w:rsidRPr="00D5464D">
        <w:rPr>
          <w:rFonts w:eastAsia="Batang" w:cs="Times"/>
          <w:szCs w:val="24"/>
          <w:lang w:val="pt-BR"/>
        </w:rPr>
        <w:t xml:space="preserve">do </w:t>
      </w:r>
      <w:r w:rsidR="00BE60E8" w:rsidRPr="00D5464D">
        <w:rPr>
          <w:rFonts w:eastAsia="Batang" w:cs="Times"/>
          <w:szCs w:val="24"/>
          <w:lang w:val="pt-BR"/>
        </w:rPr>
        <w:t xml:space="preserve">Código Penal </w:t>
      </w:r>
      <w:r w:rsidR="00470ADC" w:rsidRPr="00D5464D">
        <w:rPr>
          <w:rFonts w:eastAsia="Batang" w:cs="Times"/>
          <w:szCs w:val="24"/>
          <w:lang w:val="pt-BR"/>
        </w:rPr>
        <w:t>brasileir</w:t>
      </w:r>
      <w:r w:rsidR="00BE60E8" w:rsidRPr="00D5464D">
        <w:rPr>
          <w:rFonts w:eastAsia="Batang" w:cs="Times"/>
          <w:szCs w:val="24"/>
          <w:lang w:val="pt-BR"/>
        </w:rPr>
        <w:t>o</w:t>
      </w:r>
      <w:r w:rsidR="00ED71C3" w:rsidRPr="00D5464D">
        <w:rPr>
          <w:rFonts w:eastAsia="Batang" w:cs="Times"/>
          <w:szCs w:val="24"/>
          <w:lang w:val="pt-BR"/>
        </w:rPr>
        <w:t>.</w:t>
      </w:r>
    </w:p>
    <w:p w14:paraId="63DBCDC0" w14:textId="77777777" w:rsidR="00B130B5" w:rsidRPr="00D5464D" w:rsidRDefault="00B130B5" w:rsidP="00140440">
      <w:pPr>
        <w:pStyle w:val="Prrafodelista"/>
        <w:autoSpaceDE w:val="0"/>
        <w:autoSpaceDN w:val="0"/>
        <w:adjustRightInd w:val="0"/>
        <w:ind w:left="0"/>
        <w:contextualSpacing w:val="0"/>
        <w:rPr>
          <w:rFonts w:eastAsia="Batang" w:cs="Times"/>
          <w:szCs w:val="24"/>
          <w:lang w:val="pt-BR"/>
        </w:rPr>
      </w:pPr>
    </w:p>
    <w:p w14:paraId="027137EA" w14:textId="762E039D" w:rsidR="0003391C" w:rsidRPr="00D5464D" w:rsidRDefault="00D65024" w:rsidP="00140440">
      <w:pPr>
        <w:pStyle w:val="Prrafodelista"/>
        <w:numPr>
          <w:ilvl w:val="0"/>
          <w:numId w:val="1"/>
        </w:numPr>
        <w:autoSpaceDE w:val="0"/>
        <w:autoSpaceDN w:val="0"/>
        <w:adjustRightInd w:val="0"/>
        <w:contextualSpacing w:val="0"/>
        <w:rPr>
          <w:rFonts w:eastAsia="Batang" w:cs="Times"/>
          <w:szCs w:val="24"/>
          <w:lang w:val="pt-BR"/>
        </w:rPr>
      </w:pPr>
      <w:r w:rsidRPr="00D5464D">
        <w:rPr>
          <w:rFonts w:eastAsia="Batang" w:cs="Times"/>
          <w:szCs w:val="24"/>
          <w:lang w:val="pt-BR"/>
        </w:rPr>
        <w:t xml:space="preserve"> E</w:t>
      </w:r>
      <w:r w:rsidR="00470ADC" w:rsidRPr="00D5464D">
        <w:rPr>
          <w:rFonts w:eastAsia="Batang" w:cs="Times"/>
          <w:szCs w:val="24"/>
          <w:lang w:val="pt-BR"/>
        </w:rPr>
        <w:t xml:space="preserve">m </w:t>
      </w:r>
      <w:r w:rsidR="00ED71C3" w:rsidRPr="00D5464D">
        <w:rPr>
          <w:rFonts w:eastAsia="Batang" w:cs="Times"/>
          <w:szCs w:val="24"/>
          <w:lang w:val="pt-BR"/>
        </w:rPr>
        <w:t>2008</w:t>
      </w:r>
      <w:r w:rsidR="0090341D" w:rsidRPr="00D5464D">
        <w:rPr>
          <w:rFonts w:eastAsia="Batang" w:cs="Times"/>
          <w:szCs w:val="24"/>
          <w:lang w:val="pt-BR"/>
        </w:rPr>
        <w:t>,</w:t>
      </w:r>
      <w:r w:rsidR="00ED71C3" w:rsidRPr="00D5464D">
        <w:rPr>
          <w:rFonts w:eastAsia="Batang" w:cs="Times"/>
          <w:szCs w:val="24"/>
          <w:lang w:val="pt-BR"/>
        </w:rPr>
        <w:t xml:space="preserve"> </w:t>
      </w:r>
      <w:r w:rsidR="002C330E" w:rsidRPr="00D5464D">
        <w:rPr>
          <w:rFonts w:eastAsia="Batang" w:cs="Times"/>
          <w:szCs w:val="24"/>
          <w:lang w:val="pt-BR"/>
        </w:rPr>
        <w:t>implementou</w:t>
      </w:r>
      <w:r w:rsidR="00470ADC" w:rsidRPr="00D5464D">
        <w:rPr>
          <w:rFonts w:eastAsia="Batang" w:cs="Times"/>
          <w:szCs w:val="24"/>
          <w:lang w:val="pt-BR"/>
        </w:rPr>
        <w:t xml:space="preserve"> o </w:t>
      </w:r>
      <w:r w:rsidR="00ED71C3" w:rsidRPr="00D5464D">
        <w:rPr>
          <w:rFonts w:eastAsia="Batang" w:cs="Times"/>
          <w:szCs w:val="24"/>
          <w:lang w:val="pt-BR"/>
        </w:rPr>
        <w:t xml:space="preserve">Segundo </w:t>
      </w:r>
      <w:r w:rsidR="002C330E" w:rsidRPr="00D5464D">
        <w:rPr>
          <w:rFonts w:eastAsia="Batang" w:cs="Times"/>
          <w:szCs w:val="24"/>
          <w:lang w:val="pt-BR"/>
        </w:rPr>
        <w:t xml:space="preserve">Plano </w:t>
      </w:r>
      <w:r w:rsidR="00ED71C3" w:rsidRPr="00D5464D">
        <w:rPr>
          <w:rFonts w:eastAsia="Batang" w:cs="Times"/>
          <w:szCs w:val="24"/>
          <w:lang w:val="pt-BR"/>
        </w:rPr>
        <w:t>Nacional para</w:t>
      </w:r>
      <w:r w:rsidR="002C330E" w:rsidRPr="00D5464D">
        <w:rPr>
          <w:rFonts w:eastAsia="Batang" w:cs="Times"/>
          <w:szCs w:val="24"/>
          <w:lang w:val="pt-BR"/>
        </w:rPr>
        <w:t xml:space="preserve"> a </w:t>
      </w:r>
      <w:r w:rsidR="00ED71C3" w:rsidRPr="00D5464D">
        <w:rPr>
          <w:rFonts w:eastAsia="Batang" w:cs="Times"/>
          <w:szCs w:val="24"/>
          <w:lang w:val="pt-BR"/>
        </w:rPr>
        <w:t>Erradica</w:t>
      </w:r>
      <w:r w:rsidR="00470ADC" w:rsidRPr="00D5464D">
        <w:rPr>
          <w:rFonts w:eastAsia="Batang" w:cs="Times"/>
          <w:szCs w:val="24"/>
          <w:lang w:val="pt-BR"/>
        </w:rPr>
        <w:t>ção</w:t>
      </w:r>
      <w:r w:rsidR="00ED71C3" w:rsidRPr="00D5464D">
        <w:rPr>
          <w:rFonts w:eastAsia="Batang" w:cs="Times"/>
          <w:szCs w:val="24"/>
          <w:lang w:val="pt-BR"/>
        </w:rPr>
        <w:t xml:space="preserve"> </w:t>
      </w:r>
      <w:r w:rsidR="00470ADC" w:rsidRPr="00D5464D">
        <w:rPr>
          <w:rFonts w:eastAsia="Batang" w:cs="Times"/>
          <w:szCs w:val="24"/>
          <w:lang w:val="pt-BR"/>
        </w:rPr>
        <w:t xml:space="preserve">do </w:t>
      </w:r>
      <w:r w:rsidR="00E045D9" w:rsidRPr="00D5464D">
        <w:rPr>
          <w:rFonts w:eastAsia="Batang" w:cs="Times"/>
          <w:szCs w:val="24"/>
          <w:lang w:val="pt-BR"/>
        </w:rPr>
        <w:t>Trabalho</w:t>
      </w:r>
      <w:r w:rsidR="00ED71C3" w:rsidRPr="00D5464D">
        <w:rPr>
          <w:rFonts w:eastAsia="Batang" w:cs="Times"/>
          <w:szCs w:val="24"/>
          <w:lang w:val="pt-BR"/>
        </w:rPr>
        <w:t xml:space="preserve"> </w:t>
      </w:r>
      <w:r w:rsidR="004F1CC2" w:rsidRPr="00D5464D">
        <w:rPr>
          <w:rFonts w:eastAsia="Batang" w:cs="Times"/>
          <w:szCs w:val="24"/>
          <w:lang w:val="pt-BR"/>
        </w:rPr>
        <w:t>Escravo</w:t>
      </w:r>
      <w:r w:rsidR="0090341D" w:rsidRPr="00D5464D">
        <w:rPr>
          <w:rFonts w:eastAsia="Batang" w:cs="Times"/>
          <w:szCs w:val="24"/>
          <w:lang w:val="pt-BR"/>
        </w:rPr>
        <w:t>.</w:t>
      </w:r>
      <w:r w:rsidR="0003391C" w:rsidRPr="00D5464D">
        <w:rPr>
          <w:rStyle w:val="Refdenotaalpie"/>
          <w:rFonts w:cs="Arial"/>
          <w:lang w:val="pt-BR"/>
        </w:rPr>
        <w:footnoteReference w:id="91"/>
      </w:r>
      <w:r w:rsidR="00C91CB1" w:rsidRPr="00D5464D">
        <w:rPr>
          <w:rFonts w:cs="Arial"/>
          <w:szCs w:val="20"/>
          <w:lang w:val="pt-BR"/>
        </w:rPr>
        <w:t xml:space="preserve"> Em 2</w:t>
      </w:r>
      <w:r w:rsidR="00D92104" w:rsidRPr="00D5464D">
        <w:rPr>
          <w:rFonts w:eastAsia="Batang" w:cs="Times"/>
          <w:szCs w:val="24"/>
          <w:lang w:val="pt-BR"/>
        </w:rPr>
        <w:t>009</w:t>
      </w:r>
      <w:r w:rsidR="0090341D" w:rsidRPr="00D5464D">
        <w:rPr>
          <w:rFonts w:eastAsia="Batang" w:cs="Times"/>
          <w:szCs w:val="24"/>
          <w:lang w:val="pt-BR"/>
        </w:rPr>
        <w:t>,</w:t>
      </w:r>
      <w:r w:rsidR="00ED71C3" w:rsidRPr="00D5464D">
        <w:rPr>
          <w:rFonts w:eastAsia="Batang" w:cs="Times"/>
          <w:szCs w:val="24"/>
          <w:lang w:val="pt-BR"/>
        </w:rPr>
        <w:t xml:space="preserve"> </w:t>
      </w:r>
      <w:r w:rsidR="003E7E7F" w:rsidRPr="00D5464D">
        <w:rPr>
          <w:rFonts w:eastAsia="Batang" w:cs="Times"/>
          <w:szCs w:val="24"/>
          <w:lang w:val="pt-BR"/>
        </w:rPr>
        <w:t xml:space="preserve">promulgou </w:t>
      </w:r>
      <w:r w:rsidR="002C330E" w:rsidRPr="00D5464D">
        <w:rPr>
          <w:rFonts w:eastAsia="Batang" w:cs="Times"/>
          <w:szCs w:val="24"/>
          <w:lang w:val="pt-BR"/>
        </w:rPr>
        <w:t xml:space="preserve">a Lei </w:t>
      </w:r>
      <w:r w:rsidR="0090341D" w:rsidRPr="00D5464D">
        <w:rPr>
          <w:rFonts w:eastAsia="Batang" w:cs="Times"/>
          <w:szCs w:val="24"/>
          <w:lang w:val="pt-BR"/>
        </w:rPr>
        <w:t xml:space="preserve">número </w:t>
      </w:r>
      <w:r w:rsidR="000D47F8" w:rsidRPr="00D5464D">
        <w:rPr>
          <w:rFonts w:eastAsia="Batang" w:cs="Times"/>
          <w:szCs w:val="24"/>
          <w:lang w:val="pt-BR"/>
        </w:rPr>
        <w:t>12</w:t>
      </w:r>
      <w:r w:rsidR="003E7E7F" w:rsidRPr="00D5464D">
        <w:rPr>
          <w:rFonts w:eastAsia="Batang" w:cs="Times"/>
          <w:szCs w:val="24"/>
          <w:lang w:val="pt-BR"/>
        </w:rPr>
        <w:t>.</w:t>
      </w:r>
      <w:r w:rsidR="000D47F8" w:rsidRPr="00D5464D">
        <w:rPr>
          <w:rFonts w:eastAsia="Batang" w:cs="Times"/>
          <w:szCs w:val="24"/>
          <w:lang w:val="pt-BR"/>
        </w:rPr>
        <w:t>064</w:t>
      </w:r>
      <w:r w:rsidR="00D92104" w:rsidRPr="00D5464D">
        <w:rPr>
          <w:rFonts w:eastAsia="Batang" w:cs="Times"/>
          <w:szCs w:val="24"/>
          <w:lang w:val="pt-BR"/>
        </w:rPr>
        <w:t>/2009</w:t>
      </w:r>
      <w:r w:rsidR="0090341D" w:rsidRPr="00D5464D">
        <w:rPr>
          <w:rFonts w:eastAsia="Batang" w:cs="Times"/>
          <w:szCs w:val="24"/>
          <w:lang w:val="pt-BR"/>
        </w:rPr>
        <w:t>,</w:t>
      </w:r>
      <w:r w:rsidR="002C330E" w:rsidRPr="00D5464D">
        <w:rPr>
          <w:rFonts w:eastAsia="Batang" w:cs="Times"/>
          <w:szCs w:val="24"/>
          <w:lang w:val="pt-BR"/>
        </w:rPr>
        <w:t xml:space="preserve"> </w:t>
      </w:r>
      <w:r w:rsidR="0090341D" w:rsidRPr="00D5464D">
        <w:rPr>
          <w:rFonts w:eastAsia="Batang" w:cs="Times"/>
          <w:szCs w:val="24"/>
          <w:lang w:val="pt-BR"/>
        </w:rPr>
        <w:t xml:space="preserve">que </w:t>
      </w:r>
      <w:r w:rsidR="00470ADC" w:rsidRPr="00D5464D">
        <w:rPr>
          <w:rFonts w:eastAsia="Batang" w:cs="Times"/>
          <w:szCs w:val="24"/>
          <w:lang w:val="pt-BR"/>
        </w:rPr>
        <w:t>criou o Dia</w:t>
      </w:r>
      <w:r w:rsidR="00ED71C3" w:rsidRPr="00D5464D">
        <w:rPr>
          <w:rFonts w:eastAsia="Batang" w:cs="Times"/>
          <w:szCs w:val="24"/>
          <w:lang w:val="pt-BR"/>
        </w:rPr>
        <w:t xml:space="preserve"> Nacional de Combate</w:t>
      </w:r>
      <w:r w:rsidR="00470ADC" w:rsidRPr="00D5464D">
        <w:rPr>
          <w:rFonts w:eastAsia="Batang" w:cs="Times"/>
          <w:szCs w:val="24"/>
          <w:lang w:val="pt-BR"/>
        </w:rPr>
        <w:t xml:space="preserve"> ao </w:t>
      </w:r>
      <w:r w:rsidR="00E045D9" w:rsidRPr="00D5464D">
        <w:rPr>
          <w:rFonts w:eastAsia="Batang" w:cs="Times"/>
          <w:szCs w:val="24"/>
          <w:lang w:val="pt-BR"/>
        </w:rPr>
        <w:t>Trabalho</w:t>
      </w:r>
      <w:r w:rsidR="00ED71C3" w:rsidRPr="00D5464D">
        <w:rPr>
          <w:rFonts w:eastAsia="Batang" w:cs="Times"/>
          <w:szCs w:val="24"/>
          <w:lang w:val="pt-BR"/>
        </w:rPr>
        <w:t xml:space="preserve"> </w:t>
      </w:r>
      <w:r w:rsidR="004F1CC2" w:rsidRPr="00D5464D">
        <w:rPr>
          <w:rFonts w:eastAsia="Batang" w:cs="Times"/>
          <w:szCs w:val="24"/>
          <w:lang w:val="pt-BR"/>
        </w:rPr>
        <w:t>Escravo</w:t>
      </w:r>
      <w:r w:rsidR="00C91CB1" w:rsidRPr="00D5464D">
        <w:rPr>
          <w:rFonts w:eastAsia="Batang" w:cs="Times"/>
          <w:szCs w:val="24"/>
          <w:lang w:val="pt-BR"/>
        </w:rPr>
        <w:t>. Em 2</w:t>
      </w:r>
      <w:r w:rsidR="00D92104" w:rsidRPr="00D5464D">
        <w:rPr>
          <w:rFonts w:eastAsia="Batang" w:cs="Times"/>
          <w:szCs w:val="24"/>
          <w:lang w:val="pt-BR"/>
        </w:rPr>
        <w:t xml:space="preserve">2 de </w:t>
      </w:r>
      <w:r w:rsidR="002C330E" w:rsidRPr="00D5464D">
        <w:rPr>
          <w:rFonts w:eastAsia="Batang" w:cs="Times"/>
          <w:szCs w:val="24"/>
          <w:lang w:val="pt-BR"/>
        </w:rPr>
        <w:t>junho</w:t>
      </w:r>
      <w:r w:rsidR="00D92104" w:rsidRPr="00D5464D">
        <w:rPr>
          <w:rFonts w:eastAsia="Batang" w:cs="Times"/>
          <w:szCs w:val="24"/>
          <w:lang w:val="pt-BR"/>
        </w:rPr>
        <w:t xml:space="preserve"> de 2010</w:t>
      </w:r>
      <w:r w:rsidR="0090341D" w:rsidRPr="00D5464D">
        <w:rPr>
          <w:rFonts w:eastAsia="Batang" w:cs="Times"/>
          <w:szCs w:val="24"/>
          <w:lang w:val="pt-BR"/>
        </w:rPr>
        <w:t>,</w:t>
      </w:r>
      <w:r w:rsidR="00470ADC" w:rsidRPr="00D5464D">
        <w:rPr>
          <w:rFonts w:eastAsia="Batang" w:cs="Times"/>
          <w:szCs w:val="24"/>
          <w:lang w:val="pt-BR"/>
        </w:rPr>
        <w:t xml:space="preserve"> o </w:t>
      </w:r>
      <w:r w:rsidR="00D92104" w:rsidRPr="00D5464D">
        <w:rPr>
          <w:rFonts w:eastAsia="Batang" w:cs="Times"/>
          <w:szCs w:val="24"/>
          <w:lang w:val="pt-BR"/>
        </w:rPr>
        <w:t>Banco Central d</w:t>
      </w:r>
      <w:r w:rsidR="0090341D" w:rsidRPr="00D5464D">
        <w:rPr>
          <w:rFonts w:eastAsia="Batang" w:cs="Times"/>
          <w:szCs w:val="24"/>
          <w:lang w:val="pt-BR"/>
        </w:rPr>
        <w:t>o</w:t>
      </w:r>
      <w:r w:rsidR="00D92104" w:rsidRPr="00D5464D">
        <w:rPr>
          <w:rFonts w:eastAsia="Batang" w:cs="Times"/>
          <w:szCs w:val="24"/>
          <w:lang w:val="pt-BR"/>
        </w:rPr>
        <w:t xml:space="preserve"> Brasil </w:t>
      </w:r>
      <w:r w:rsidR="00470ADC" w:rsidRPr="00D5464D">
        <w:rPr>
          <w:rFonts w:eastAsia="Batang" w:cs="Times"/>
          <w:szCs w:val="24"/>
          <w:lang w:val="pt-BR"/>
        </w:rPr>
        <w:t>emitiu</w:t>
      </w:r>
      <w:r w:rsidR="002C330E" w:rsidRPr="00D5464D">
        <w:rPr>
          <w:rFonts w:eastAsia="Batang" w:cs="Times"/>
          <w:szCs w:val="24"/>
          <w:lang w:val="pt-BR"/>
        </w:rPr>
        <w:t xml:space="preserve"> a </w:t>
      </w:r>
      <w:r w:rsidR="0090341D" w:rsidRPr="00D5464D">
        <w:rPr>
          <w:rFonts w:eastAsia="Batang" w:cs="Times"/>
          <w:szCs w:val="24"/>
          <w:lang w:val="pt-BR"/>
        </w:rPr>
        <w:t>Portaria</w:t>
      </w:r>
      <w:r w:rsidR="00A1358C" w:rsidRPr="00D5464D">
        <w:rPr>
          <w:rFonts w:eastAsia="Batang" w:cs="Times"/>
          <w:szCs w:val="24"/>
          <w:lang w:val="pt-BR"/>
        </w:rPr>
        <w:t xml:space="preserve"> nº </w:t>
      </w:r>
      <w:r w:rsidR="00D92104" w:rsidRPr="00D5464D">
        <w:rPr>
          <w:rFonts w:eastAsia="Batang" w:cs="Times"/>
          <w:szCs w:val="24"/>
          <w:lang w:val="pt-BR"/>
        </w:rPr>
        <w:t>3876</w:t>
      </w:r>
      <w:r w:rsidR="009B5CAE" w:rsidRPr="00D5464D">
        <w:rPr>
          <w:rFonts w:eastAsia="Batang" w:cs="Times"/>
          <w:szCs w:val="24"/>
          <w:lang w:val="pt-BR"/>
        </w:rPr>
        <w:t>,</w:t>
      </w:r>
      <w:r w:rsidR="002C330E" w:rsidRPr="00D5464D">
        <w:rPr>
          <w:rFonts w:eastAsia="Batang" w:cs="Times"/>
          <w:szCs w:val="24"/>
          <w:lang w:val="pt-BR"/>
        </w:rPr>
        <w:t xml:space="preserve"> </w:t>
      </w:r>
      <w:r w:rsidR="00D92104" w:rsidRPr="00D5464D">
        <w:rPr>
          <w:rFonts w:eastAsia="Batang" w:cs="Times"/>
          <w:szCs w:val="24"/>
          <w:lang w:val="pt-BR"/>
        </w:rPr>
        <w:t xml:space="preserve">que </w:t>
      </w:r>
      <w:r w:rsidR="0090341D" w:rsidRPr="00D5464D">
        <w:rPr>
          <w:rFonts w:eastAsia="Batang" w:cs="Times"/>
          <w:szCs w:val="24"/>
          <w:lang w:val="pt-BR"/>
        </w:rPr>
        <w:t xml:space="preserve">proibiu </w:t>
      </w:r>
      <w:r w:rsidR="002C330E" w:rsidRPr="00D5464D">
        <w:rPr>
          <w:rFonts w:eastAsia="Batang" w:cs="Times"/>
          <w:szCs w:val="24"/>
          <w:lang w:val="pt-BR"/>
        </w:rPr>
        <w:t xml:space="preserve">a </w:t>
      </w:r>
      <w:r w:rsidR="00230C71" w:rsidRPr="00D5464D">
        <w:rPr>
          <w:rFonts w:eastAsia="Batang" w:cs="Times"/>
          <w:szCs w:val="24"/>
          <w:lang w:val="pt-BR"/>
        </w:rPr>
        <w:t>concessão</w:t>
      </w:r>
      <w:r w:rsidR="00ED71C3" w:rsidRPr="00D5464D">
        <w:rPr>
          <w:rFonts w:eastAsia="Batang" w:cs="Times"/>
          <w:szCs w:val="24"/>
          <w:lang w:val="pt-BR"/>
        </w:rPr>
        <w:t xml:space="preserve"> de crédito rural para </w:t>
      </w:r>
      <w:r w:rsidR="002C330E" w:rsidRPr="00D5464D">
        <w:rPr>
          <w:rFonts w:eastAsia="Batang" w:cs="Times"/>
          <w:szCs w:val="24"/>
          <w:lang w:val="pt-BR"/>
        </w:rPr>
        <w:t>pessoa</w:t>
      </w:r>
      <w:r w:rsidR="00ED71C3" w:rsidRPr="00D5464D">
        <w:rPr>
          <w:rFonts w:eastAsia="Batang" w:cs="Times"/>
          <w:szCs w:val="24"/>
          <w:lang w:val="pt-BR"/>
        </w:rPr>
        <w:t>s físicas</w:t>
      </w:r>
      <w:r w:rsidR="00E045D9" w:rsidRPr="00D5464D">
        <w:rPr>
          <w:rFonts w:eastAsia="Batang" w:cs="Times"/>
          <w:szCs w:val="24"/>
          <w:lang w:val="pt-BR"/>
        </w:rPr>
        <w:t xml:space="preserve"> e </w:t>
      </w:r>
      <w:r w:rsidR="00ED71C3" w:rsidRPr="00D5464D">
        <w:rPr>
          <w:rFonts w:eastAsia="Batang" w:cs="Times"/>
          <w:szCs w:val="24"/>
          <w:lang w:val="pt-BR"/>
        </w:rPr>
        <w:t>jurídicas inscritas</w:t>
      </w:r>
      <w:r w:rsidR="00E045D9" w:rsidRPr="00D5464D">
        <w:rPr>
          <w:rFonts w:eastAsia="Batang" w:cs="Times"/>
          <w:szCs w:val="24"/>
          <w:lang w:val="pt-BR"/>
        </w:rPr>
        <w:t xml:space="preserve"> no </w:t>
      </w:r>
      <w:r w:rsidR="00ED71C3" w:rsidRPr="00D5464D">
        <w:rPr>
          <w:rFonts w:eastAsia="Batang" w:cs="Times"/>
          <w:szCs w:val="24"/>
          <w:lang w:val="pt-BR"/>
        </w:rPr>
        <w:t xml:space="preserve">Registro de </w:t>
      </w:r>
      <w:r w:rsidR="00230C71" w:rsidRPr="00D5464D">
        <w:rPr>
          <w:rFonts w:eastAsia="Batang" w:cs="Times"/>
          <w:szCs w:val="24"/>
          <w:lang w:val="pt-BR"/>
        </w:rPr>
        <w:t>Empregad</w:t>
      </w:r>
      <w:r w:rsidR="00ED71C3" w:rsidRPr="00D5464D">
        <w:rPr>
          <w:rFonts w:eastAsia="Batang" w:cs="Times"/>
          <w:szCs w:val="24"/>
          <w:lang w:val="pt-BR"/>
        </w:rPr>
        <w:t>ores (</w:t>
      </w:r>
      <w:r w:rsidR="00EC29DB" w:rsidRPr="00D5464D">
        <w:rPr>
          <w:rFonts w:eastAsia="Batang" w:cs="Times"/>
          <w:szCs w:val="24"/>
          <w:lang w:val="pt-BR"/>
        </w:rPr>
        <w:t>“</w:t>
      </w:r>
      <w:r w:rsidR="00ED71C3" w:rsidRPr="00D5464D">
        <w:rPr>
          <w:rFonts w:eastAsia="Batang" w:cs="Times"/>
          <w:szCs w:val="24"/>
          <w:lang w:val="pt-BR"/>
        </w:rPr>
        <w:t>Lista Suja</w:t>
      </w:r>
      <w:r w:rsidR="00EC29DB" w:rsidRPr="00D5464D">
        <w:rPr>
          <w:rFonts w:eastAsia="Batang" w:cs="Times"/>
          <w:szCs w:val="24"/>
          <w:lang w:val="pt-BR"/>
        </w:rPr>
        <w:t>”</w:t>
      </w:r>
      <w:r w:rsidR="00ED71C3" w:rsidRPr="00D5464D">
        <w:rPr>
          <w:rFonts w:eastAsia="Batang" w:cs="Times"/>
          <w:szCs w:val="24"/>
          <w:lang w:val="pt-BR"/>
        </w:rPr>
        <w:t>) que man</w:t>
      </w:r>
      <w:r w:rsidR="00230C71" w:rsidRPr="00D5464D">
        <w:rPr>
          <w:rFonts w:eastAsia="Batang" w:cs="Times"/>
          <w:szCs w:val="24"/>
          <w:lang w:val="pt-BR"/>
        </w:rPr>
        <w:t>tivessem</w:t>
      </w:r>
      <w:r w:rsidR="00ED71C3" w:rsidRPr="00D5464D">
        <w:rPr>
          <w:rFonts w:eastAsia="Batang" w:cs="Times"/>
          <w:szCs w:val="24"/>
          <w:lang w:val="pt-BR"/>
        </w:rPr>
        <w:t xml:space="preserve"> </w:t>
      </w:r>
      <w:r w:rsidR="00E045D9" w:rsidRPr="00D5464D">
        <w:rPr>
          <w:rFonts w:eastAsia="Batang" w:cs="Times"/>
          <w:szCs w:val="24"/>
          <w:lang w:val="pt-BR"/>
        </w:rPr>
        <w:t>trabalhadores</w:t>
      </w:r>
      <w:r w:rsidR="00470ADC" w:rsidRPr="00D5464D">
        <w:rPr>
          <w:rFonts w:eastAsia="Batang" w:cs="Times"/>
          <w:szCs w:val="24"/>
          <w:lang w:val="pt-BR"/>
        </w:rPr>
        <w:t xml:space="preserve"> em </w:t>
      </w:r>
      <w:r w:rsidR="00ED71C3" w:rsidRPr="00D5464D">
        <w:rPr>
          <w:rFonts w:eastAsia="Batang" w:cs="Times"/>
          <w:szCs w:val="24"/>
          <w:lang w:val="pt-BR"/>
        </w:rPr>
        <w:t>condi</w:t>
      </w:r>
      <w:r w:rsidR="00470ADC" w:rsidRPr="00D5464D">
        <w:rPr>
          <w:rFonts w:eastAsia="Batang" w:cs="Times"/>
          <w:szCs w:val="24"/>
          <w:lang w:val="pt-BR"/>
        </w:rPr>
        <w:t>ções</w:t>
      </w:r>
      <w:r w:rsidR="00ED71C3" w:rsidRPr="00D5464D">
        <w:rPr>
          <w:rFonts w:eastAsia="Batang" w:cs="Times"/>
          <w:szCs w:val="24"/>
          <w:lang w:val="pt-BR"/>
        </w:rPr>
        <w:t xml:space="preserve"> </w:t>
      </w:r>
      <w:r w:rsidR="006665EF" w:rsidRPr="00D5464D">
        <w:rPr>
          <w:rFonts w:eastAsia="Batang" w:cs="Times"/>
          <w:szCs w:val="24"/>
          <w:lang w:val="pt-BR"/>
        </w:rPr>
        <w:t>análogas</w:t>
      </w:r>
      <w:r w:rsidR="00350187" w:rsidRPr="00D5464D">
        <w:rPr>
          <w:rFonts w:eastAsia="Batang" w:cs="Times"/>
          <w:szCs w:val="24"/>
          <w:lang w:val="pt-BR"/>
        </w:rPr>
        <w:t xml:space="preserve"> </w:t>
      </w:r>
      <w:r w:rsidR="0090341D" w:rsidRPr="00D5464D">
        <w:rPr>
          <w:rFonts w:eastAsia="Batang" w:cs="Times"/>
          <w:szCs w:val="24"/>
          <w:lang w:val="pt-BR"/>
        </w:rPr>
        <w:t>à de escravo.</w:t>
      </w:r>
      <w:r w:rsidR="00AE2300" w:rsidRPr="00D5464D">
        <w:rPr>
          <w:rStyle w:val="Refdenotaalpie"/>
          <w:rFonts w:eastAsia="Batang"/>
          <w:lang w:val="pt-BR"/>
        </w:rPr>
        <w:footnoteReference w:id="92"/>
      </w:r>
      <w:r w:rsidR="00C91CB1" w:rsidRPr="00D5464D">
        <w:rPr>
          <w:rFonts w:eastAsia="Batang" w:cs="Times"/>
          <w:szCs w:val="24"/>
          <w:lang w:val="pt-BR"/>
        </w:rPr>
        <w:t xml:space="preserve"> Em 5</w:t>
      </w:r>
      <w:r w:rsidR="00ED71C3" w:rsidRPr="00D5464D">
        <w:rPr>
          <w:rFonts w:eastAsia="Batang" w:cs="Times"/>
          <w:szCs w:val="24"/>
          <w:lang w:val="pt-BR"/>
        </w:rPr>
        <w:t xml:space="preserve"> de </w:t>
      </w:r>
      <w:r w:rsidR="002C330E" w:rsidRPr="00D5464D">
        <w:rPr>
          <w:rFonts w:eastAsia="Batang" w:cs="Times"/>
          <w:szCs w:val="24"/>
          <w:lang w:val="pt-BR"/>
        </w:rPr>
        <w:t>junho</w:t>
      </w:r>
      <w:r w:rsidR="00ED71C3" w:rsidRPr="00D5464D">
        <w:rPr>
          <w:rFonts w:eastAsia="Batang" w:cs="Times"/>
          <w:szCs w:val="24"/>
          <w:lang w:val="pt-BR"/>
        </w:rPr>
        <w:t xml:space="preserve"> de 2014</w:t>
      </w:r>
      <w:r w:rsidR="0090341D" w:rsidRPr="00D5464D">
        <w:rPr>
          <w:rFonts w:eastAsia="Batang" w:cs="Times"/>
          <w:szCs w:val="24"/>
          <w:lang w:val="pt-BR"/>
        </w:rPr>
        <w:t>,</w:t>
      </w:r>
      <w:r w:rsidR="008C11EE" w:rsidRPr="00D5464D">
        <w:rPr>
          <w:rFonts w:eastAsia="Batang" w:cs="Times"/>
          <w:szCs w:val="24"/>
          <w:lang w:val="pt-BR"/>
        </w:rPr>
        <w:t xml:space="preserve"> </w:t>
      </w:r>
      <w:r w:rsidR="0090341D" w:rsidRPr="00D5464D">
        <w:rPr>
          <w:rFonts w:eastAsia="Batang" w:cs="Times"/>
          <w:szCs w:val="24"/>
          <w:lang w:val="pt-BR"/>
        </w:rPr>
        <w:t xml:space="preserve">aprovou </w:t>
      </w:r>
      <w:r w:rsidR="002C330E" w:rsidRPr="00D5464D">
        <w:rPr>
          <w:rFonts w:eastAsia="Batang" w:cs="Times"/>
          <w:szCs w:val="24"/>
          <w:lang w:val="pt-BR"/>
        </w:rPr>
        <w:t xml:space="preserve">a </w:t>
      </w:r>
      <w:r w:rsidR="0090341D" w:rsidRPr="00D5464D">
        <w:rPr>
          <w:rFonts w:eastAsia="Batang" w:cs="Times"/>
          <w:szCs w:val="24"/>
          <w:lang w:val="pt-BR"/>
        </w:rPr>
        <w:t>E</w:t>
      </w:r>
      <w:r w:rsidR="00737270" w:rsidRPr="00D5464D">
        <w:rPr>
          <w:rFonts w:eastAsia="Batang" w:cs="Times"/>
          <w:szCs w:val="24"/>
          <w:lang w:val="pt-BR"/>
        </w:rPr>
        <w:t>menda</w:t>
      </w:r>
      <w:r w:rsidR="00ED71C3" w:rsidRPr="00D5464D">
        <w:rPr>
          <w:rFonts w:eastAsia="Batang" w:cs="Times"/>
          <w:szCs w:val="24"/>
          <w:lang w:val="pt-BR"/>
        </w:rPr>
        <w:t xml:space="preserve"> </w:t>
      </w:r>
      <w:r w:rsidR="0090341D" w:rsidRPr="00D5464D">
        <w:rPr>
          <w:rFonts w:eastAsia="Batang" w:cs="Times"/>
          <w:szCs w:val="24"/>
          <w:lang w:val="pt-BR"/>
        </w:rPr>
        <w:t>C</w:t>
      </w:r>
      <w:r w:rsidR="00ED71C3" w:rsidRPr="00D5464D">
        <w:rPr>
          <w:rFonts w:eastAsia="Batang" w:cs="Times"/>
          <w:szCs w:val="24"/>
          <w:lang w:val="pt-BR"/>
        </w:rPr>
        <w:t>onstitucional número 81</w:t>
      </w:r>
      <w:r w:rsidR="0090341D" w:rsidRPr="00D5464D">
        <w:rPr>
          <w:rFonts w:eastAsia="Batang" w:cs="Times"/>
          <w:szCs w:val="24"/>
          <w:lang w:val="pt-BR"/>
        </w:rPr>
        <w:t>,</w:t>
      </w:r>
      <w:r w:rsidR="00ED71C3" w:rsidRPr="00D5464D">
        <w:rPr>
          <w:rFonts w:eastAsia="Batang" w:cs="Times"/>
          <w:szCs w:val="24"/>
          <w:lang w:val="pt-BR"/>
        </w:rPr>
        <w:t xml:space="preserve"> que</w:t>
      </w:r>
      <w:r w:rsidR="00470ADC" w:rsidRPr="00D5464D">
        <w:rPr>
          <w:rFonts w:eastAsia="Batang" w:cs="Times"/>
          <w:szCs w:val="24"/>
          <w:lang w:val="pt-BR"/>
        </w:rPr>
        <w:t xml:space="preserve"> em</w:t>
      </w:r>
      <w:r w:rsidR="002C330E" w:rsidRPr="00D5464D">
        <w:rPr>
          <w:rFonts w:eastAsia="Batang" w:cs="Times"/>
          <w:szCs w:val="24"/>
          <w:lang w:val="pt-BR"/>
        </w:rPr>
        <w:t xml:space="preserve"> seu artigo </w:t>
      </w:r>
      <w:r w:rsidR="00ED71C3" w:rsidRPr="00D5464D">
        <w:rPr>
          <w:rFonts w:eastAsia="Batang" w:cs="Times"/>
          <w:szCs w:val="24"/>
          <w:lang w:val="pt-BR"/>
        </w:rPr>
        <w:t xml:space="preserve">243 </w:t>
      </w:r>
      <w:r w:rsidR="00470ADC" w:rsidRPr="00D5464D">
        <w:rPr>
          <w:rFonts w:eastAsia="Batang" w:cs="Times"/>
          <w:szCs w:val="24"/>
          <w:lang w:val="pt-BR"/>
        </w:rPr>
        <w:t>determinou</w:t>
      </w:r>
      <w:r w:rsidR="00ED71C3" w:rsidRPr="00D5464D">
        <w:rPr>
          <w:rFonts w:eastAsia="Batang" w:cs="Times"/>
          <w:szCs w:val="24"/>
          <w:lang w:val="pt-BR"/>
        </w:rPr>
        <w:t xml:space="preserve"> que</w:t>
      </w:r>
      <w:r w:rsidR="002C330E" w:rsidRPr="00D5464D">
        <w:rPr>
          <w:rFonts w:eastAsia="Batang" w:cs="Times"/>
          <w:szCs w:val="24"/>
          <w:lang w:val="pt-BR"/>
        </w:rPr>
        <w:t xml:space="preserve"> as propriedade</w:t>
      </w:r>
      <w:r w:rsidR="00ED71C3" w:rsidRPr="00D5464D">
        <w:rPr>
          <w:rFonts w:eastAsia="Batang" w:cs="Times"/>
          <w:szCs w:val="24"/>
          <w:lang w:val="pt-BR"/>
        </w:rPr>
        <w:t>s urbanas</w:t>
      </w:r>
      <w:r w:rsidR="00E045D9" w:rsidRPr="00D5464D">
        <w:rPr>
          <w:rFonts w:eastAsia="Batang" w:cs="Times"/>
          <w:szCs w:val="24"/>
          <w:lang w:val="pt-BR"/>
        </w:rPr>
        <w:t xml:space="preserve"> e rurais</w:t>
      </w:r>
      <w:r w:rsidR="00ED71C3" w:rsidRPr="00D5464D">
        <w:rPr>
          <w:rFonts w:eastAsia="Batang" w:cs="Times"/>
          <w:szCs w:val="24"/>
          <w:lang w:val="pt-BR"/>
        </w:rPr>
        <w:t xml:space="preserve"> de </w:t>
      </w:r>
      <w:r w:rsidR="00470ADC" w:rsidRPr="00D5464D">
        <w:rPr>
          <w:rFonts w:eastAsia="Batang" w:cs="Times"/>
          <w:szCs w:val="24"/>
          <w:lang w:val="pt-BR"/>
        </w:rPr>
        <w:t>qualquer</w:t>
      </w:r>
      <w:r w:rsidR="008C11EE" w:rsidRPr="00D5464D">
        <w:rPr>
          <w:rFonts w:eastAsia="Batang" w:cs="Times"/>
          <w:szCs w:val="24"/>
          <w:lang w:val="pt-BR"/>
        </w:rPr>
        <w:t xml:space="preserve"> </w:t>
      </w:r>
      <w:r w:rsidR="002C330E" w:rsidRPr="00D5464D">
        <w:rPr>
          <w:rFonts w:eastAsia="Batang" w:cs="Times"/>
          <w:szCs w:val="24"/>
          <w:lang w:val="pt-BR"/>
        </w:rPr>
        <w:t>região</w:t>
      </w:r>
      <w:r w:rsidR="008C11EE" w:rsidRPr="00D5464D">
        <w:rPr>
          <w:rFonts w:eastAsia="Batang" w:cs="Times"/>
          <w:szCs w:val="24"/>
          <w:lang w:val="pt-BR"/>
        </w:rPr>
        <w:t xml:space="preserve"> </w:t>
      </w:r>
      <w:r w:rsidR="00470ADC" w:rsidRPr="00D5464D">
        <w:rPr>
          <w:rFonts w:eastAsia="Batang" w:cs="Times"/>
          <w:szCs w:val="24"/>
          <w:lang w:val="pt-BR"/>
        </w:rPr>
        <w:t xml:space="preserve">do </w:t>
      </w:r>
      <w:r w:rsidR="008C11EE" w:rsidRPr="00D5464D">
        <w:rPr>
          <w:rFonts w:eastAsia="Batang" w:cs="Times"/>
          <w:szCs w:val="24"/>
          <w:lang w:val="pt-BR"/>
        </w:rPr>
        <w:t>país</w:t>
      </w:r>
      <w:r w:rsidR="00470ADC" w:rsidRPr="00D5464D">
        <w:rPr>
          <w:rFonts w:eastAsia="Batang" w:cs="Times"/>
          <w:szCs w:val="24"/>
          <w:lang w:val="pt-BR"/>
        </w:rPr>
        <w:t xml:space="preserve"> onde</w:t>
      </w:r>
      <w:r w:rsidR="008C11EE" w:rsidRPr="00D5464D">
        <w:rPr>
          <w:rFonts w:eastAsia="Batang" w:cs="Times"/>
          <w:szCs w:val="24"/>
          <w:lang w:val="pt-BR"/>
        </w:rPr>
        <w:t xml:space="preserve"> </w:t>
      </w:r>
      <w:r w:rsidR="00470ADC" w:rsidRPr="00D5464D">
        <w:rPr>
          <w:rFonts w:eastAsia="Batang" w:cs="Times"/>
          <w:szCs w:val="24"/>
          <w:lang w:val="pt-BR"/>
        </w:rPr>
        <w:t>for</w:t>
      </w:r>
      <w:r w:rsidR="0090341D" w:rsidRPr="00D5464D">
        <w:rPr>
          <w:rFonts w:eastAsia="Batang" w:cs="Times"/>
          <w:szCs w:val="24"/>
          <w:lang w:val="pt-BR"/>
        </w:rPr>
        <w:t>em</w:t>
      </w:r>
      <w:r w:rsidR="00ED71C3" w:rsidRPr="00D5464D">
        <w:rPr>
          <w:rFonts w:eastAsia="Batang" w:cs="Times"/>
          <w:szCs w:val="24"/>
          <w:lang w:val="pt-BR"/>
        </w:rPr>
        <w:t xml:space="preserve"> localizadas, entre </w:t>
      </w:r>
      <w:r w:rsidR="002C330E" w:rsidRPr="00D5464D">
        <w:rPr>
          <w:rFonts w:eastAsia="Batang" w:cs="Times"/>
          <w:szCs w:val="24"/>
          <w:lang w:val="pt-BR"/>
        </w:rPr>
        <w:t>outra</w:t>
      </w:r>
      <w:r w:rsidR="00ED71C3" w:rsidRPr="00D5464D">
        <w:rPr>
          <w:rFonts w:eastAsia="Batang" w:cs="Times"/>
          <w:szCs w:val="24"/>
          <w:lang w:val="pt-BR"/>
        </w:rPr>
        <w:t xml:space="preserve">s, </w:t>
      </w:r>
      <w:r w:rsidR="00230C71" w:rsidRPr="00D5464D">
        <w:rPr>
          <w:rFonts w:eastAsia="Batang" w:cs="Times"/>
          <w:szCs w:val="24"/>
          <w:lang w:val="pt-BR"/>
        </w:rPr>
        <w:t>exploração</w:t>
      </w:r>
      <w:r w:rsidR="00ED71C3" w:rsidRPr="00D5464D">
        <w:rPr>
          <w:rFonts w:eastAsia="Batang" w:cs="Times"/>
          <w:szCs w:val="24"/>
          <w:lang w:val="pt-BR"/>
        </w:rPr>
        <w:t xml:space="preserve"> de </w:t>
      </w:r>
      <w:r w:rsidR="00E045D9" w:rsidRPr="00D5464D">
        <w:rPr>
          <w:rFonts w:eastAsia="Batang" w:cs="Times"/>
          <w:szCs w:val="24"/>
          <w:lang w:val="pt-BR"/>
        </w:rPr>
        <w:t>trabalho</w:t>
      </w:r>
      <w:r w:rsidR="00ED71C3" w:rsidRPr="00D5464D">
        <w:rPr>
          <w:rFonts w:eastAsia="Batang" w:cs="Times"/>
          <w:szCs w:val="24"/>
          <w:lang w:val="pt-BR"/>
        </w:rPr>
        <w:t xml:space="preserve"> </w:t>
      </w:r>
      <w:r w:rsidR="004F1CC2" w:rsidRPr="00D5464D">
        <w:rPr>
          <w:rFonts w:eastAsia="Batang" w:cs="Times"/>
          <w:szCs w:val="24"/>
          <w:lang w:val="pt-BR"/>
        </w:rPr>
        <w:t>escravo</w:t>
      </w:r>
      <w:r w:rsidR="0090341D" w:rsidRPr="00D5464D">
        <w:rPr>
          <w:rFonts w:eastAsia="Batang" w:cs="Times"/>
          <w:szCs w:val="24"/>
          <w:lang w:val="pt-BR"/>
        </w:rPr>
        <w:t>,</w:t>
      </w:r>
      <w:r w:rsidR="00ED71C3" w:rsidRPr="00D5464D">
        <w:rPr>
          <w:rFonts w:eastAsia="Batang" w:cs="Times"/>
          <w:szCs w:val="24"/>
          <w:lang w:val="pt-BR"/>
        </w:rPr>
        <w:t xml:space="preserve"> </w:t>
      </w:r>
      <w:r w:rsidR="00737270" w:rsidRPr="00D5464D">
        <w:rPr>
          <w:rFonts w:eastAsia="Batang" w:cs="Times"/>
          <w:szCs w:val="24"/>
          <w:lang w:val="pt-BR"/>
        </w:rPr>
        <w:t>seriam</w:t>
      </w:r>
      <w:r w:rsidR="00ED71C3" w:rsidRPr="00D5464D">
        <w:rPr>
          <w:rFonts w:eastAsia="Batang" w:cs="Times"/>
          <w:szCs w:val="24"/>
          <w:lang w:val="pt-BR"/>
        </w:rPr>
        <w:t xml:space="preserve"> ex</w:t>
      </w:r>
      <w:r w:rsidR="00EB1CE9" w:rsidRPr="00D5464D">
        <w:rPr>
          <w:rFonts w:eastAsia="Batang" w:cs="Times"/>
          <w:szCs w:val="24"/>
          <w:lang w:val="pt-BR"/>
        </w:rPr>
        <w:t>pr</w:t>
      </w:r>
      <w:r w:rsidR="0090341D" w:rsidRPr="00D5464D">
        <w:rPr>
          <w:rFonts w:eastAsia="Batang" w:cs="Times"/>
          <w:szCs w:val="24"/>
          <w:lang w:val="pt-BR"/>
        </w:rPr>
        <w:t>o</w:t>
      </w:r>
      <w:r w:rsidR="00EB1CE9" w:rsidRPr="00D5464D">
        <w:rPr>
          <w:rFonts w:eastAsia="Batang" w:cs="Times"/>
          <w:szCs w:val="24"/>
          <w:lang w:val="pt-BR"/>
        </w:rPr>
        <w:t>pria</w:t>
      </w:r>
      <w:r w:rsidR="00ED71C3" w:rsidRPr="00D5464D">
        <w:rPr>
          <w:rFonts w:eastAsia="Batang" w:cs="Times"/>
          <w:szCs w:val="24"/>
          <w:lang w:val="pt-BR"/>
        </w:rPr>
        <w:t>das</w:t>
      </w:r>
      <w:r w:rsidR="0090341D" w:rsidRPr="00D5464D">
        <w:rPr>
          <w:rFonts w:eastAsia="Batang" w:cs="Times"/>
          <w:szCs w:val="24"/>
          <w:lang w:val="pt-BR"/>
        </w:rPr>
        <w:t>.</w:t>
      </w:r>
      <w:r w:rsidR="004A37D6" w:rsidRPr="00D5464D">
        <w:rPr>
          <w:rStyle w:val="Refdenotaalpie"/>
          <w:rFonts w:eastAsia="Batang"/>
          <w:lang w:val="pt-BR"/>
        </w:rPr>
        <w:footnoteReference w:id="93"/>
      </w:r>
    </w:p>
    <w:p w14:paraId="4C7AB478" w14:textId="77777777" w:rsidR="006C2FBE" w:rsidRPr="00D5464D" w:rsidRDefault="006C2FBE" w:rsidP="00140440">
      <w:pPr>
        <w:pStyle w:val="Prrafodelista"/>
        <w:autoSpaceDE w:val="0"/>
        <w:autoSpaceDN w:val="0"/>
        <w:adjustRightInd w:val="0"/>
        <w:ind w:left="0"/>
        <w:contextualSpacing w:val="0"/>
        <w:rPr>
          <w:rFonts w:eastAsia="Batang" w:cs="Times"/>
          <w:szCs w:val="24"/>
          <w:lang w:val="pt-BR"/>
        </w:rPr>
      </w:pPr>
    </w:p>
    <w:p w14:paraId="1A6A3CBC" w14:textId="33A0C303" w:rsidR="0003391C" w:rsidRPr="00D5464D" w:rsidRDefault="00350187" w:rsidP="00140440">
      <w:pPr>
        <w:pStyle w:val="Prrafodelista"/>
        <w:numPr>
          <w:ilvl w:val="0"/>
          <w:numId w:val="1"/>
        </w:numPr>
        <w:autoSpaceDE w:val="0"/>
        <w:autoSpaceDN w:val="0"/>
        <w:adjustRightInd w:val="0"/>
        <w:contextualSpacing w:val="0"/>
        <w:rPr>
          <w:rFonts w:cs="Times New Roman"/>
          <w:szCs w:val="20"/>
          <w:lang w:val="pt-BR"/>
        </w:rPr>
      </w:pPr>
      <w:r w:rsidRPr="00D5464D">
        <w:rPr>
          <w:rFonts w:cs="Arial"/>
          <w:szCs w:val="20"/>
          <w:lang w:val="pt-BR"/>
        </w:rPr>
        <w:t xml:space="preserve">Além disso, </w:t>
      </w:r>
      <w:r w:rsidR="00470ADC" w:rsidRPr="00D5464D">
        <w:rPr>
          <w:rFonts w:cs="Arial"/>
          <w:szCs w:val="20"/>
          <w:lang w:val="pt-BR"/>
        </w:rPr>
        <w:t xml:space="preserve">o </w:t>
      </w:r>
      <w:r w:rsidR="0003391C" w:rsidRPr="00D5464D">
        <w:rPr>
          <w:rFonts w:cs="Arial"/>
          <w:szCs w:val="20"/>
          <w:lang w:val="pt-BR"/>
        </w:rPr>
        <w:t xml:space="preserve">Estado </w:t>
      </w:r>
      <w:r w:rsidR="00470ADC" w:rsidRPr="00D5464D">
        <w:rPr>
          <w:rFonts w:cs="Arial"/>
          <w:szCs w:val="20"/>
          <w:lang w:val="pt-BR"/>
        </w:rPr>
        <w:t>brasileir</w:t>
      </w:r>
      <w:r w:rsidR="0003391C" w:rsidRPr="00D5464D">
        <w:rPr>
          <w:rFonts w:cs="Arial"/>
          <w:szCs w:val="20"/>
          <w:lang w:val="pt-BR"/>
        </w:rPr>
        <w:t xml:space="preserve">o </w:t>
      </w:r>
      <w:r w:rsidR="0090341D" w:rsidRPr="00D5464D">
        <w:rPr>
          <w:rFonts w:cs="Arial"/>
          <w:szCs w:val="20"/>
          <w:lang w:val="pt-BR"/>
        </w:rPr>
        <w:t xml:space="preserve">criou </w:t>
      </w:r>
      <w:r w:rsidR="0003391C" w:rsidRPr="00D5464D">
        <w:rPr>
          <w:rFonts w:cs="Arial"/>
          <w:szCs w:val="20"/>
          <w:lang w:val="pt-BR"/>
        </w:rPr>
        <w:t xml:space="preserve">cursos </w:t>
      </w:r>
      <w:r w:rsidR="00470ADC" w:rsidRPr="00D5464D">
        <w:rPr>
          <w:rFonts w:cs="Arial"/>
          <w:szCs w:val="20"/>
          <w:lang w:val="pt-BR"/>
        </w:rPr>
        <w:t>coordenad</w:t>
      </w:r>
      <w:r w:rsidR="0003391C" w:rsidRPr="00D5464D">
        <w:rPr>
          <w:rFonts w:cs="Arial"/>
          <w:szCs w:val="20"/>
          <w:lang w:val="pt-BR"/>
        </w:rPr>
        <w:t>os</w:t>
      </w:r>
      <w:r w:rsidR="002C330E" w:rsidRPr="00D5464D">
        <w:rPr>
          <w:rFonts w:cs="Arial"/>
          <w:szCs w:val="20"/>
          <w:lang w:val="pt-BR"/>
        </w:rPr>
        <w:t xml:space="preserve"> pela </w:t>
      </w:r>
      <w:r w:rsidR="0003391C" w:rsidRPr="00D5464D">
        <w:rPr>
          <w:rFonts w:cs="Arial"/>
          <w:szCs w:val="20"/>
          <w:lang w:val="pt-BR"/>
        </w:rPr>
        <w:t>CONATRAE</w:t>
      </w:r>
      <w:r w:rsidR="00470ADC" w:rsidRPr="00D5464D">
        <w:rPr>
          <w:rFonts w:cs="Arial"/>
          <w:szCs w:val="20"/>
          <w:lang w:val="pt-BR"/>
        </w:rPr>
        <w:t xml:space="preserve"> com o </w:t>
      </w:r>
      <w:r w:rsidR="003E7E7F" w:rsidRPr="00D5464D">
        <w:rPr>
          <w:rFonts w:cs="Arial"/>
          <w:szCs w:val="20"/>
          <w:lang w:val="pt-BR"/>
        </w:rPr>
        <w:t>objetivo</w:t>
      </w:r>
      <w:r w:rsidR="00470ADC" w:rsidRPr="00D5464D">
        <w:rPr>
          <w:rFonts w:cs="Arial"/>
          <w:szCs w:val="20"/>
          <w:lang w:val="pt-BR"/>
        </w:rPr>
        <w:t xml:space="preserve"> </w:t>
      </w:r>
      <w:r w:rsidR="0003391C" w:rsidRPr="00D5464D">
        <w:rPr>
          <w:rFonts w:cs="Arial"/>
          <w:szCs w:val="20"/>
          <w:lang w:val="pt-BR"/>
        </w:rPr>
        <w:t>de capacitar</w:t>
      </w:r>
      <w:r w:rsidR="00E045D9" w:rsidRPr="00D5464D">
        <w:rPr>
          <w:rFonts w:cs="Arial"/>
          <w:szCs w:val="20"/>
          <w:lang w:val="pt-BR"/>
        </w:rPr>
        <w:t xml:space="preserve"> e </w:t>
      </w:r>
      <w:r w:rsidR="0003391C" w:rsidRPr="00D5464D">
        <w:rPr>
          <w:rFonts w:cs="Arial"/>
          <w:szCs w:val="20"/>
          <w:lang w:val="pt-BR"/>
        </w:rPr>
        <w:t>sensibilizar</w:t>
      </w:r>
      <w:r w:rsidR="00FF1290" w:rsidRPr="00D5464D">
        <w:rPr>
          <w:rFonts w:cs="Arial"/>
          <w:szCs w:val="20"/>
          <w:lang w:val="pt-BR"/>
        </w:rPr>
        <w:t xml:space="preserve"> </w:t>
      </w:r>
      <w:r w:rsidR="0090341D" w:rsidRPr="00D5464D">
        <w:rPr>
          <w:rFonts w:cs="Arial"/>
          <w:szCs w:val="20"/>
          <w:lang w:val="pt-BR"/>
        </w:rPr>
        <w:t xml:space="preserve">juízes do trabalho e juízes federais </w:t>
      </w:r>
      <w:r w:rsidR="0003391C" w:rsidRPr="00D5464D">
        <w:rPr>
          <w:rFonts w:cs="Arial"/>
          <w:szCs w:val="20"/>
          <w:lang w:val="pt-BR"/>
        </w:rPr>
        <w:t>sobre</w:t>
      </w:r>
      <w:r w:rsidR="00470ADC" w:rsidRPr="00D5464D">
        <w:rPr>
          <w:rFonts w:cs="Arial"/>
          <w:szCs w:val="20"/>
          <w:lang w:val="pt-BR"/>
        </w:rPr>
        <w:t xml:space="preserve"> o </w:t>
      </w:r>
      <w:r w:rsidR="0003391C" w:rsidRPr="00D5464D">
        <w:rPr>
          <w:rFonts w:cs="Arial"/>
          <w:szCs w:val="20"/>
          <w:lang w:val="pt-BR"/>
        </w:rPr>
        <w:t>tema</w:t>
      </w:r>
      <w:r w:rsidR="0090341D" w:rsidRPr="00D5464D">
        <w:rPr>
          <w:rFonts w:cs="Arial"/>
          <w:szCs w:val="20"/>
          <w:lang w:val="pt-BR"/>
        </w:rPr>
        <w:t>.</w:t>
      </w:r>
      <w:r w:rsidR="0003391C" w:rsidRPr="00D5464D">
        <w:rPr>
          <w:rStyle w:val="Refdenotaalpie"/>
          <w:rFonts w:cs="Arial"/>
          <w:lang w:val="pt-BR"/>
        </w:rPr>
        <w:footnoteReference w:id="94"/>
      </w:r>
      <w:r w:rsidR="0003391C" w:rsidRPr="00D5464D">
        <w:rPr>
          <w:rFonts w:cs="Arial"/>
          <w:szCs w:val="20"/>
          <w:lang w:val="pt-BR"/>
        </w:rPr>
        <w:t xml:space="preserve"> </w:t>
      </w:r>
    </w:p>
    <w:p w14:paraId="78A8BA4E" w14:textId="77777777" w:rsidR="0003391C" w:rsidRPr="00D5464D" w:rsidRDefault="0003391C" w:rsidP="00140440">
      <w:pPr>
        <w:pStyle w:val="Prrafodelista"/>
        <w:contextualSpacing w:val="0"/>
        <w:rPr>
          <w:rFonts w:cs="Times New Roman"/>
          <w:szCs w:val="20"/>
          <w:lang w:val="pt-BR"/>
        </w:rPr>
      </w:pPr>
    </w:p>
    <w:p w14:paraId="7C004382" w14:textId="43EFAB63" w:rsidR="0003391C" w:rsidRPr="00D5464D" w:rsidRDefault="00CB7E29" w:rsidP="00EF4DFF">
      <w:pPr>
        <w:pStyle w:val="Ttulo2"/>
        <w:numPr>
          <w:ilvl w:val="0"/>
          <w:numId w:val="0"/>
        </w:numPr>
        <w:rPr>
          <w:rFonts w:eastAsia="Batang"/>
          <w:lang w:val="pt-BR" w:eastAsia="es-ES"/>
        </w:rPr>
      </w:pPr>
      <w:bookmarkStart w:id="255" w:name="_Toc464813927"/>
      <w:bookmarkStart w:id="256" w:name="_Toc468433888"/>
      <w:r w:rsidRPr="00D5464D">
        <w:rPr>
          <w:rFonts w:eastAsia="Batang"/>
          <w:lang w:val="pt-BR" w:eastAsia="es-ES"/>
        </w:rPr>
        <w:tab/>
      </w:r>
      <w:r w:rsidR="0014534A" w:rsidRPr="00D5464D">
        <w:rPr>
          <w:rFonts w:eastAsia="Batang"/>
          <w:lang w:val="pt-BR" w:eastAsia="es-ES"/>
        </w:rPr>
        <w:t>A.4</w:t>
      </w:r>
      <w:r w:rsidRPr="00D5464D">
        <w:rPr>
          <w:rFonts w:eastAsia="Batang"/>
          <w:lang w:val="pt-BR" w:eastAsia="es-ES"/>
        </w:rPr>
        <w:t>.</w:t>
      </w:r>
      <w:r w:rsidR="0014534A" w:rsidRPr="00D5464D">
        <w:rPr>
          <w:rFonts w:eastAsia="Batang"/>
          <w:lang w:val="pt-BR" w:eastAsia="es-ES"/>
        </w:rPr>
        <w:t xml:space="preserve"> </w:t>
      </w:r>
      <w:r w:rsidR="0003391C" w:rsidRPr="00D5464D">
        <w:rPr>
          <w:rFonts w:eastAsia="Batang"/>
          <w:lang w:val="pt-BR" w:eastAsia="es-ES"/>
        </w:rPr>
        <w:t>Legisla</w:t>
      </w:r>
      <w:r w:rsidR="00470ADC" w:rsidRPr="00D5464D">
        <w:rPr>
          <w:rFonts w:eastAsia="Batang"/>
          <w:lang w:val="pt-BR" w:eastAsia="es-ES"/>
        </w:rPr>
        <w:t>ção</w:t>
      </w:r>
      <w:r w:rsidR="0003391C" w:rsidRPr="00D5464D">
        <w:rPr>
          <w:rFonts w:eastAsia="Batang"/>
          <w:lang w:val="pt-BR" w:eastAsia="es-ES"/>
        </w:rPr>
        <w:t xml:space="preserve"> interna </w:t>
      </w:r>
      <w:r w:rsidR="00A1358C" w:rsidRPr="00D5464D">
        <w:rPr>
          <w:rFonts w:eastAsia="Batang"/>
          <w:lang w:val="pt-BR" w:eastAsia="es-ES"/>
        </w:rPr>
        <w:t>aplicável</w:t>
      </w:r>
      <w:bookmarkEnd w:id="255"/>
      <w:bookmarkEnd w:id="256"/>
    </w:p>
    <w:p w14:paraId="312AD820" w14:textId="77777777" w:rsidR="0003391C" w:rsidRPr="00D5464D" w:rsidRDefault="0003391C" w:rsidP="00140440">
      <w:pPr>
        <w:autoSpaceDE w:val="0"/>
        <w:autoSpaceDN w:val="0"/>
        <w:adjustRightInd w:val="0"/>
        <w:jc w:val="both"/>
        <w:rPr>
          <w:rFonts w:cs="Arial"/>
          <w:szCs w:val="20"/>
          <w:lang w:val="pt-BR"/>
        </w:rPr>
      </w:pPr>
    </w:p>
    <w:p w14:paraId="40EF9CB9" w14:textId="672F31E0" w:rsidR="00D65024" w:rsidRPr="00D5464D" w:rsidRDefault="00C91CB1" w:rsidP="00D65024">
      <w:pPr>
        <w:pStyle w:val="Prrafodelista"/>
        <w:numPr>
          <w:ilvl w:val="0"/>
          <w:numId w:val="1"/>
        </w:numPr>
        <w:autoSpaceDE w:val="0"/>
        <w:autoSpaceDN w:val="0"/>
        <w:adjustRightInd w:val="0"/>
        <w:contextualSpacing w:val="0"/>
        <w:rPr>
          <w:rFonts w:cs="Arial"/>
          <w:sz w:val="16"/>
          <w:szCs w:val="20"/>
          <w:lang w:val="pt-BR"/>
        </w:rPr>
      </w:pPr>
      <w:r w:rsidRPr="00D5464D">
        <w:rPr>
          <w:rFonts w:cs="Arial"/>
          <w:szCs w:val="20"/>
          <w:lang w:val="pt-BR"/>
        </w:rPr>
        <w:t xml:space="preserve">Em </w:t>
      </w:r>
      <w:r w:rsidR="00BE60E8" w:rsidRPr="00D5464D">
        <w:rPr>
          <w:rFonts w:cs="Arial"/>
          <w:szCs w:val="20"/>
          <w:lang w:val="pt-BR"/>
        </w:rPr>
        <w:t xml:space="preserve">1943 </w:t>
      </w:r>
      <w:r w:rsidR="005918BC" w:rsidRPr="00D5464D">
        <w:rPr>
          <w:rFonts w:cs="Arial"/>
          <w:szCs w:val="20"/>
          <w:lang w:val="pt-BR"/>
        </w:rPr>
        <w:t xml:space="preserve">foi adotada </w:t>
      </w:r>
      <w:r w:rsidR="002C330E" w:rsidRPr="00D5464D">
        <w:rPr>
          <w:rFonts w:cs="Arial"/>
          <w:szCs w:val="20"/>
          <w:lang w:val="pt-BR"/>
        </w:rPr>
        <w:t xml:space="preserve">a </w:t>
      </w:r>
      <w:r w:rsidR="00BE60E8" w:rsidRPr="00D5464D">
        <w:rPr>
          <w:rFonts w:cs="Arial"/>
          <w:szCs w:val="20"/>
          <w:lang w:val="pt-BR"/>
        </w:rPr>
        <w:t>Consolida</w:t>
      </w:r>
      <w:r w:rsidR="00470ADC" w:rsidRPr="00D5464D">
        <w:rPr>
          <w:rFonts w:cs="Arial"/>
          <w:szCs w:val="20"/>
          <w:lang w:val="pt-BR"/>
        </w:rPr>
        <w:t>ção</w:t>
      </w:r>
      <w:r w:rsidR="00BE60E8" w:rsidRPr="00D5464D">
        <w:rPr>
          <w:rFonts w:cs="Arial"/>
          <w:szCs w:val="20"/>
          <w:lang w:val="pt-BR"/>
        </w:rPr>
        <w:t xml:space="preserve"> de </w:t>
      </w:r>
      <w:r w:rsidR="002C330E" w:rsidRPr="00D5464D">
        <w:rPr>
          <w:rFonts w:cs="Arial"/>
          <w:szCs w:val="20"/>
          <w:lang w:val="pt-BR"/>
        </w:rPr>
        <w:t>Leis</w:t>
      </w:r>
      <w:r w:rsidR="00BE60E8" w:rsidRPr="00D5464D">
        <w:rPr>
          <w:rFonts w:cs="Arial"/>
          <w:szCs w:val="20"/>
          <w:lang w:val="pt-BR"/>
        </w:rPr>
        <w:t xml:space="preserve"> </w:t>
      </w:r>
      <w:r w:rsidR="00470ADC" w:rsidRPr="00D5464D">
        <w:rPr>
          <w:rFonts w:cs="Arial"/>
          <w:szCs w:val="20"/>
          <w:lang w:val="pt-BR"/>
        </w:rPr>
        <w:t xml:space="preserve">do </w:t>
      </w:r>
      <w:r w:rsidR="00E045D9" w:rsidRPr="00D5464D">
        <w:rPr>
          <w:rFonts w:cs="Arial"/>
          <w:szCs w:val="20"/>
          <w:lang w:val="pt-BR"/>
        </w:rPr>
        <w:t>Trabalho</w:t>
      </w:r>
      <w:r w:rsidR="00BE60E8" w:rsidRPr="00D5464D">
        <w:rPr>
          <w:rStyle w:val="Refdenotaalpie"/>
          <w:rFonts w:cs="Arial"/>
          <w:lang w:val="pt-BR"/>
        </w:rPr>
        <w:footnoteReference w:id="95"/>
      </w:r>
      <w:r w:rsidR="00E045D9" w:rsidRPr="00D5464D">
        <w:rPr>
          <w:rFonts w:cs="Arial"/>
          <w:szCs w:val="20"/>
          <w:lang w:val="pt-BR"/>
        </w:rPr>
        <w:t xml:space="preserve"> e</w:t>
      </w:r>
      <w:r w:rsidR="005918BC" w:rsidRPr="00D5464D">
        <w:rPr>
          <w:rFonts w:cs="Arial"/>
          <w:szCs w:val="20"/>
          <w:lang w:val="pt-BR"/>
        </w:rPr>
        <w:t>,</w:t>
      </w:r>
      <w:r w:rsidR="00E045D9" w:rsidRPr="00D5464D">
        <w:rPr>
          <w:rFonts w:cs="Arial"/>
          <w:szCs w:val="20"/>
          <w:lang w:val="pt-BR"/>
        </w:rPr>
        <w:t xml:space="preserve"> </w:t>
      </w:r>
      <w:r w:rsidR="00470ADC" w:rsidRPr="00D5464D">
        <w:rPr>
          <w:rFonts w:cs="Arial"/>
          <w:szCs w:val="20"/>
          <w:lang w:val="pt-BR"/>
        </w:rPr>
        <w:t xml:space="preserve">em </w:t>
      </w:r>
      <w:r w:rsidR="00BE60E8" w:rsidRPr="00D5464D">
        <w:rPr>
          <w:rFonts w:cs="Arial"/>
          <w:szCs w:val="20"/>
          <w:lang w:val="pt-BR"/>
        </w:rPr>
        <w:t>1973</w:t>
      </w:r>
      <w:r w:rsidR="005918BC" w:rsidRPr="00D5464D">
        <w:rPr>
          <w:rFonts w:cs="Arial"/>
          <w:szCs w:val="20"/>
          <w:lang w:val="pt-BR"/>
        </w:rPr>
        <w:t>,</w:t>
      </w:r>
      <w:r w:rsidR="00470ADC" w:rsidRPr="00D5464D">
        <w:rPr>
          <w:rFonts w:cs="Arial"/>
          <w:szCs w:val="20"/>
          <w:lang w:val="pt-BR"/>
        </w:rPr>
        <w:t xml:space="preserve"> o </w:t>
      </w:r>
      <w:r w:rsidR="00BE60E8" w:rsidRPr="00D5464D">
        <w:rPr>
          <w:rFonts w:cs="Arial"/>
          <w:szCs w:val="20"/>
          <w:lang w:val="pt-BR"/>
        </w:rPr>
        <w:t xml:space="preserve">Estatuto </w:t>
      </w:r>
      <w:r w:rsidR="00470ADC" w:rsidRPr="00D5464D">
        <w:rPr>
          <w:rFonts w:cs="Arial"/>
          <w:szCs w:val="20"/>
          <w:lang w:val="pt-BR"/>
        </w:rPr>
        <w:t xml:space="preserve">do </w:t>
      </w:r>
      <w:r w:rsidR="00E045D9" w:rsidRPr="00D5464D">
        <w:rPr>
          <w:rFonts w:cs="Arial"/>
          <w:szCs w:val="20"/>
          <w:lang w:val="pt-BR"/>
        </w:rPr>
        <w:t>Trabalh</w:t>
      </w:r>
      <w:r w:rsidR="00BE60E8" w:rsidRPr="00D5464D">
        <w:rPr>
          <w:rFonts w:cs="Arial"/>
          <w:szCs w:val="20"/>
          <w:lang w:val="pt-BR"/>
        </w:rPr>
        <w:t>ador Rural</w:t>
      </w:r>
      <w:r w:rsidR="005918BC" w:rsidRPr="00D5464D">
        <w:rPr>
          <w:rFonts w:cs="Arial"/>
          <w:szCs w:val="20"/>
          <w:lang w:val="pt-BR"/>
        </w:rPr>
        <w:t>.</w:t>
      </w:r>
      <w:r w:rsidR="00BE60E8" w:rsidRPr="00D5464D">
        <w:rPr>
          <w:rStyle w:val="Refdenotaalpie"/>
          <w:rFonts w:cs="Arial"/>
          <w:lang w:val="pt-BR"/>
        </w:rPr>
        <w:footnoteReference w:id="96"/>
      </w:r>
      <w:r w:rsidR="00BE60E8" w:rsidRPr="00D5464D">
        <w:rPr>
          <w:rFonts w:cs="Arial"/>
          <w:szCs w:val="20"/>
          <w:lang w:val="pt-BR"/>
        </w:rPr>
        <w:t xml:space="preserve"> Estas normas </w:t>
      </w:r>
      <w:r w:rsidR="005918BC" w:rsidRPr="00D5464D">
        <w:rPr>
          <w:rFonts w:cs="Arial"/>
          <w:szCs w:val="20"/>
          <w:lang w:val="pt-BR"/>
        </w:rPr>
        <w:t xml:space="preserve">não </w:t>
      </w:r>
      <w:r w:rsidR="00BE60E8" w:rsidRPr="00D5464D">
        <w:rPr>
          <w:rFonts w:cs="Arial"/>
          <w:szCs w:val="20"/>
          <w:lang w:val="pt-BR"/>
        </w:rPr>
        <w:t>contempl</w:t>
      </w:r>
      <w:r w:rsidR="00EB1CE9" w:rsidRPr="00D5464D">
        <w:rPr>
          <w:rFonts w:cs="Arial"/>
          <w:szCs w:val="20"/>
          <w:lang w:val="pt-BR"/>
        </w:rPr>
        <w:t xml:space="preserve">avam </w:t>
      </w:r>
      <w:r w:rsidR="00E045D9" w:rsidRPr="00D5464D">
        <w:rPr>
          <w:rFonts w:cs="Arial"/>
          <w:szCs w:val="20"/>
          <w:lang w:val="pt-BR"/>
        </w:rPr>
        <w:t xml:space="preserve">uma </w:t>
      </w:r>
      <w:r w:rsidR="002C330E" w:rsidRPr="00D5464D">
        <w:rPr>
          <w:rFonts w:cs="Arial"/>
          <w:szCs w:val="20"/>
          <w:lang w:val="pt-BR"/>
        </w:rPr>
        <w:t>proibição</w:t>
      </w:r>
      <w:r w:rsidR="00BE60E8" w:rsidRPr="00D5464D">
        <w:rPr>
          <w:rFonts w:cs="Arial"/>
          <w:szCs w:val="20"/>
          <w:lang w:val="pt-BR"/>
        </w:rPr>
        <w:t xml:space="preserve"> </w:t>
      </w:r>
      <w:r w:rsidR="00470ADC" w:rsidRPr="00D5464D">
        <w:rPr>
          <w:rFonts w:cs="Arial"/>
          <w:szCs w:val="20"/>
          <w:lang w:val="pt-BR"/>
        </w:rPr>
        <w:t>expressa</w:t>
      </w:r>
      <w:r w:rsidR="00BE60E8" w:rsidRPr="00D5464D">
        <w:rPr>
          <w:rFonts w:cs="Arial"/>
          <w:szCs w:val="20"/>
          <w:lang w:val="pt-BR"/>
        </w:rPr>
        <w:t xml:space="preserve"> </w:t>
      </w:r>
      <w:r w:rsidR="005918BC" w:rsidRPr="00D5464D">
        <w:rPr>
          <w:rFonts w:cs="Arial"/>
          <w:szCs w:val="20"/>
          <w:lang w:val="pt-BR"/>
        </w:rPr>
        <w:t>a</w:t>
      </w:r>
      <w:r w:rsidR="00470ADC" w:rsidRPr="00D5464D">
        <w:rPr>
          <w:rFonts w:cs="Arial"/>
          <w:szCs w:val="20"/>
          <w:lang w:val="pt-BR"/>
        </w:rPr>
        <w:t xml:space="preserve">o </w:t>
      </w:r>
      <w:r w:rsidR="00E045D9" w:rsidRPr="00D5464D">
        <w:rPr>
          <w:rFonts w:cs="Arial"/>
          <w:szCs w:val="20"/>
          <w:lang w:val="pt-BR"/>
        </w:rPr>
        <w:t>trabalho</w:t>
      </w:r>
      <w:r w:rsidR="00BE60E8" w:rsidRPr="00D5464D">
        <w:rPr>
          <w:rFonts w:cs="Arial"/>
          <w:szCs w:val="20"/>
          <w:lang w:val="pt-BR"/>
        </w:rPr>
        <w:t xml:space="preserve"> </w:t>
      </w:r>
      <w:r w:rsidR="004F1CC2" w:rsidRPr="00D5464D">
        <w:rPr>
          <w:rFonts w:cs="Arial"/>
          <w:szCs w:val="20"/>
          <w:lang w:val="pt-BR"/>
        </w:rPr>
        <w:t>escravo</w:t>
      </w:r>
      <w:r w:rsidR="00BE60E8" w:rsidRPr="00D5464D">
        <w:rPr>
          <w:rFonts w:cs="Arial"/>
          <w:szCs w:val="20"/>
          <w:lang w:val="pt-BR"/>
        </w:rPr>
        <w:t xml:space="preserve">, </w:t>
      </w:r>
      <w:r w:rsidR="002C330E" w:rsidRPr="00D5464D">
        <w:rPr>
          <w:rFonts w:cs="Arial"/>
          <w:szCs w:val="20"/>
          <w:lang w:val="pt-BR"/>
        </w:rPr>
        <w:t>mas</w:t>
      </w:r>
      <w:r w:rsidR="00BE60E8" w:rsidRPr="00D5464D">
        <w:rPr>
          <w:rFonts w:cs="Arial"/>
          <w:szCs w:val="20"/>
          <w:lang w:val="pt-BR"/>
        </w:rPr>
        <w:t xml:space="preserve"> </w:t>
      </w:r>
      <w:r w:rsidR="00350187" w:rsidRPr="00D5464D">
        <w:rPr>
          <w:rFonts w:cs="Arial"/>
          <w:szCs w:val="20"/>
          <w:lang w:val="pt-BR"/>
        </w:rPr>
        <w:t>estabeleciam</w:t>
      </w:r>
      <w:r w:rsidR="00BE60E8" w:rsidRPr="00D5464D">
        <w:rPr>
          <w:rFonts w:cs="Arial"/>
          <w:szCs w:val="20"/>
          <w:lang w:val="pt-BR"/>
        </w:rPr>
        <w:t xml:space="preserve"> infr</w:t>
      </w:r>
      <w:r w:rsidR="00470ADC" w:rsidRPr="00D5464D">
        <w:rPr>
          <w:rFonts w:cs="Arial"/>
          <w:szCs w:val="20"/>
          <w:lang w:val="pt-BR"/>
        </w:rPr>
        <w:t xml:space="preserve">ações em </w:t>
      </w:r>
      <w:r w:rsidR="002C330E" w:rsidRPr="00D5464D">
        <w:rPr>
          <w:rFonts w:cs="Arial"/>
          <w:szCs w:val="20"/>
          <w:lang w:val="pt-BR"/>
        </w:rPr>
        <w:t>matéri</w:t>
      </w:r>
      <w:r w:rsidR="005918BC" w:rsidRPr="00D5464D">
        <w:rPr>
          <w:rFonts w:cs="Arial"/>
          <w:szCs w:val="20"/>
          <w:lang w:val="pt-BR"/>
        </w:rPr>
        <w:t xml:space="preserve">a trabalhista </w:t>
      </w:r>
      <w:r w:rsidR="00BE60E8" w:rsidRPr="00D5464D">
        <w:rPr>
          <w:rFonts w:cs="Arial"/>
          <w:szCs w:val="20"/>
          <w:lang w:val="pt-BR"/>
        </w:rPr>
        <w:t xml:space="preserve">que </w:t>
      </w:r>
      <w:r w:rsidRPr="00D5464D">
        <w:rPr>
          <w:rFonts w:cs="Arial"/>
          <w:szCs w:val="20"/>
          <w:lang w:val="pt-BR"/>
        </w:rPr>
        <w:t>correspondiam</w:t>
      </w:r>
      <w:r w:rsidR="00470ADC" w:rsidRPr="00D5464D">
        <w:rPr>
          <w:rFonts w:cs="Arial"/>
          <w:szCs w:val="20"/>
          <w:lang w:val="pt-BR"/>
        </w:rPr>
        <w:t xml:space="preserve"> </w:t>
      </w:r>
      <w:r w:rsidR="005918BC" w:rsidRPr="00D5464D">
        <w:rPr>
          <w:rFonts w:cs="Arial"/>
          <w:szCs w:val="20"/>
          <w:lang w:val="pt-BR"/>
        </w:rPr>
        <w:t>às</w:t>
      </w:r>
      <w:r w:rsidR="002C330E" w:rsidRPr="00D5464D">
        <w:rPr>
          <w:rFonts w:cs="Arial"/>
          <w:szCs w:val="20"/>
          <w:lang w:val="pt-BR"/>
        </w:rPr>
        <w:t xml:space="preserve"> </w:t>
      </w:r>
      <w:r w:rsidR="00470ADC" w:rsidRPr="00D5464D">
        <w:rPr>
          <w:rFonts w:cs="Arial"/>
          <w:szCs w:val="20"/>
          <w:lang w:val="pt-BR"/>
        </w:rPr>
        <w:t>conduta</w:t>
      </w:r>
      <w:r w:rsidR="004A037C" w:rsidRPr="00D5464D">
        <w:rPr>
          <w:rFonts w:cs="Arial"/>
          <w:szCs w:val="20"/>
          <w:lang w:val="pt-BR"/>
        </w:rPr>
        <w:t>s</w:t>
      </w:r>
      <w:r w:rsidR="00D3407A" w:rsidRPr="00D5464D">
        <w:rPr>
          <w:rFonts w:cs="Arial"/>
          <w:szCs w:val="20"/>
          <w:lang w:val="pt-BR"/>
        </w:rPr>
        <w:t xml:space="preserve"> </w:t>
      </w:r>
      <w:r w:rsidR="00BE60E8" w:rsidRPr="00D5464D">
        <w:rPr>
          <w:rFonts w:cs="Arial"/>
          <w:szCs w:val="20"/>
          <w:lang w:val="pt-BR"/>
        </w:rPr>
        <w:t>que configur</w:t>
      </w:r>
      <w:r w:rsidR="00EB1CE9" w:rsidRPr="00D5464D">
        <w:rPr>
          <w:rFonts w:cs="Arial"/>
          <w:szCs w:val="20"/>
          <w:lang w:val="pt-BR"/>
        </w:rPr>
        <w:t xml:space="preserve">avam </w:t>
      </w:r>
      <w:r w:rsidR="00470ADC" w:rsidRPr="00D5464D">
        <w:rPr>
          <w:rFonts w:cs="Arial"/>
          <w:szCs w:val="20"/>
          <w:lang w:val="pt-BR"/>
        </w:rPr>
        <w:t xml:space="preserve">o </w:t>
      </w:r>
      <w:r w:rsidR="00E045D9" w:rsidRPr="00D5464D">
        <w:rPr>
          <w:rFonts w:cs="Arial"/>
          <w:szCs w:val="20"/>
          <w:lang w:val="pt-BR"/>
        </w:rPr>
        <w:t>trabalho</w:t>
      </w:r>
      <w:r w:rsidR="00BE60E8" w:rsidRPr="00D5464D">
        <w:rPr>
          <w:rFonts w:cs="Arial"/>
          <w:szCs w:val="20"/>
          <w:lang w:val="pt-BR"/>
        </w:rPr>
        <w:t xml:space="preserve"> </w:t>
      </w:r>
      <w:r w:rsidR="004F1CC2" w:rsidRPr="00D5464D">
        <w:rPr>
          <w:rFonts w:cs="Arial"/>
          <w:szCs w:val="20"/>
          <w:lang w:val="pt-BR"/>
        </w:rPr>
        <w:t>escravo</w:t>
      </w:r>
      <w:r w:rsidR="00BE60E8" w:rsidRPr="00D5464D">
        <w:rPr>
          <w:rFonts w:cs="Arial"/>
          <w:szCs w:val="20"/>
          <w:lang w:val="pt-BR"/>
        </w:rPr>
        <w:t xml:space="preserve">. </w:t>
      </w:r>
    </w:p>
    <w:p w14:paraId="4492650A" w14:textId="77777777" w:rsidR="00D65024" w:rsidRPr="00D5464D" w:rsidRDefault="00D65024" w:rsidP="00D65024">
      <w:pPr>
        <w:pStyle w:val="Prrafodelista"/>
        <w:autoSpaceDE w:val="0"/>
        <w:autoSpaceDN w:val="0"/>
        <w:adjustRightInd w:val="0"/>
        <w:ind w:left="0"/>
        <w:contextualSpacing w:val="0"/>
        <w:rPr>
          <w:rFonts w:cs="Arial"/>
          <w:szCs w:val="20"/>
          <w:lang w:val="pt-BR"/>
        </w:rPr>
      </w:pPr>
    </w:p>
    <w:p w14:paraId="4201810D" w14:textId="6CED12F7" w:rsidR="0003391C" w:rsidRPr="00D5464D" w:rsidRDefault="00D65024" w:rsidP="00D65024">
      <w:pPr>
        <w:pStyle w:val="Prrafodelista"/>
        <w:numPr>
          <w:ilvl w:val="0"/>
          <w:numId w:val="1"/>
        </w:numPr>
        <w:autoSpaceDE w:val="0"/>
        <w:autoSpaceDN w:val="0"/>
        <w:adjustRightInd w:val="0"/>
        <w:contextualSpacing w:val="0"/>
        <w:rPr>
          <w:rFonts w:cs="Arial"/>
          <w:sz w:val="16"/>
          <w:szCs w:val="20"/>
          <w:lang w:val="pt-BR"/>
        </w:rPr>
      </w:pPr>
      <w:r w:rsidRPr="00D5464D">
        <w:rPr>
          <w:rFonts w:cs="Arial"/>
          <w:szCs w:val="20"/>
          <w:lang w:val="pt-BR"/>
        </w:rPr>
        <w:t xml:space="preserve">O </w:t>
      </w:r>
      <w:r w:rsidR="00470ADC" w:rsidRPr="00D5464D">
        <w:rPr>
          <w:rFonts w:cs="Arial"/>
          <w:szCs w:val="20"/>
          <w:lang w:val="pt-BR"/>
        </w:rPr>
        <w:t>artigo</w:t>
      </w:r>
      <w:r w:rsidR="0003391C" w:rsidRPr="00D5464D">
        <w:rPr>
          <w:rFonts w:cs="Arial"/>
          <w:szCs w:val="20"/>
          <w:lang w:val="pt-BR"/>
        </w:rPr>
        <w:t xml:space="preserve"> 7</w:t>
      </w:r>
      <w:r w:rsidR="00470ADC" w:rsidRPr="00D5464D">
        <w:rPr>
          <w:rFonts w:cs="Arial"/>
          <w:szCs w:val="20"/>
          <w:lang w:val="pt-BR"/>
        </w:rPr>
        <w:t xml:space="preserve"> da Constituição</w:t>
      </w:r>
      <w:r w:rsidR="0003391C" w:rsidRPr="00D5464D">
        <w:rPr>
          <w:rFonts w:cs="Arial"/>
          <w:szCs w:val="20"/>
          <w:lang w:val="pt-BR"/>
        </w:rPr>
        <w:t xml:space="preserve"> </w:t>
      </w:r>
      <w:r w:rsidR="005918BC" w:rsidRPr="00D5464D">
        <w:rPr>
          <w:rFonts w:cs="Arial"/>
          <w:szCs w:val="20"/>
          <w:lang w:val="pt-BR"/>
        </w:rPr>
        <w:t xml:space="preserve">brasileira </w:t>
      </w:r>
      <w:r w:rsidR="0003391C" w:rsidRPr="00D5464D">
        <w:rPr>
          <w:rFonts w:cs="Arial"/>
          <w:szCs w:val="20"/>
          <w:lang w:val="pt-BR"/>
        </w:rPr>
        <w:t>de 1988 consagra</w:t>
      </w:r>
      <w:r w:rsidR="002C330E" w:rsidRPr="00D5464D">
        <w:rPr>
          <w:rFonts w:cs="Arial"/>
          <w:szCs w:val="20"/>
          <w:lang w:val="pt-BR"/>
        </w:rPr>
        <w:t xml:space="preserve"> os </w:t>
      </w:r>
      <w:r w:rsidR="00470ADC" w:rsidRPr="00D5464D">
        <w:rPr>
          <w:rFonts w:cs="Arial"/>
          <w:szCs w:val="20"/>
          <w:lang w:val="pt-BR"/>
        </w:rPr>
        <w:t>direito</w:t>
      </w:r>
      <w:r w:rsidR="0003391C" w:rsidRPr="00D5464D">
        <w:rPr>
          <w:rFonts w:cs="Arial"/>
          <w:szCs w:val="20"/>
          <w:lang w:val="pt-BR"/>
        </w:rPr>
        <w:t>s</w:t>
      </w:r>
      <w:r w:rsidR="00470ADC" w:rsidRPr="00D5464D">
        <w:rPr>
          <w:rFonts w:cs="Arial"/>
          <w:szCs w:val="20"/>
          <w:lang w:val="pt-BR"/>
        </w:rPr>
        <w:t xml:space="preserve"> dos </w:t>
      </w:r>
      <w:r w:rsidR="00E045D9" w:rsidRPr="00D5464D">
        <w:rPr>
          <w:rFonts w:cs="Arial"/>
          <w:szCs w:val="20"/>
          <w:lang w:val="pt-BR"/>
        </w:rPr>
        <w:t>trabalhadores</w:t>
      </w:r>
      <w:r w:rsidR="0003391C" w:rsidRPr="00D5464D">
        <w:rPr>
          <w:rFonts w:cs="Arial"/>
          <w:szCs w:val="20"/>
          <w:lang w:val="pt-BR"/>
        </w:rPr>
        <w:t xml:space="preserve"> urbanos</w:t>
      </w:r>
      <w:r w:rsidR="00E045D9" w:rsidRPr="00D5464D">
        <w:rPr>
          <w:rFonts w:cs="Arial"/>
          <w:szCs w:val="20"/>
          <w:lang w:val="pt-BR"/>
        </w:rPr>
        <w:t xml:space="preserve"> e rurais</w:t>
      </w:r>
      <w:r w:rsidR="005918BC" w:rsidRPr="00D5464D">
        <w:rPr>
          <w:rFonts w:cs="Arial"/>
          <w:szCs w:val="20"/>
          <w:lang w:val="pt-BR"/>
        </w:rPr>
        <w:t>.</w:t>
      </w:r>
      <w:r w:rsidR="0003391C" w:rsidRPr="00D5464D">
        <w:rPr>
          <w:rStyle w:val="Refdenotaalpie"/>
          <w:rFonts w:cs="Arial"/>
          <w:lang w:val="pt-BR"/>
        </w:rPr>
        <w:footnoteReference w:id="97"/>
      </w:r>
      <w:r w:rsidR="00A1358C" w:rsidRPr="00D5464D">
        <w:rPr>
          <w:rFonts w:cs="Arial"/>
          <w:szCs w:val="20"/>
          <w:lang w:val="pt-BR"/>
        </w:rPr>
        <w:t xml:space="preserve"> O </w:t>
      </w:r>
      <w:r w:rsidR="00470ADC" w:rsidRPr="00D5464D">
        <w:rPr>
          <w:rFonts w:cs="Arial"/>
          <w:szCs w:val="20"/>
          <w:lang w:val="pt-BR"/>
        </w:rPr>
        <w:t>artigo</w:t>
      </w:r>
      <w:r w:rsidR="0003391C" w:rsidRPr="00D5464D">
        <w:rPr>
          <w:rFonts w:cs="Arial"/>
          <w:szCs w:val="20"/>
          <w:lang w:val="pt-BR"/>
        </w:rPr>
        <w:t xml:space="preserve"> 149 </w:t>
      </w:r>
      <w:r w:rsidR="00470ADC" w:rsidRPr="00D5464D">
        <w:rPr>
          <w:rFonts w:cs="Arial"/>
          <w:szCs w:val="20"/>
          <w:lang w:val="pt-BR"/>
        </w:rPr>
        <w:t xml:space="preserve">do </w:t>
      </w:r>
      <w:r w:rsidR="00BE60E8" w:rsidRPr="00D5464D">
        <w:rPr>
          <w:rFonts w:cs="Arial"/>
          <w:szCs w:val="20"/>
          <w:lang w:val="pt-BR"/>
        </w:rPr>
        <w:t xml:space="preserve">Código Penal </w:t>
      </w:r>
      <w:r w:rsidR="00470ADC" w:rsidRPr="00D5464D">
        <w:rPr>
          <w:rFonts w:cs="Arial"/>
          <w:szCs w:val="20"/>
          <w:lang w:val="pt-BR"/>
        </w:rPr>
        <w:t>brasileir</w:t>
      </w:r>
      <w:r w:rsidR="00BE60E8" w:rsidRPr="00D5464D">
        <w:rPr>
          <w:rFonts w:cs="Arial"/>
          <w:szCs w:val="20"/>
          <w:lang w:val="pt-BR"/>
        </w:rPr>
        <w:t>o</w:t>
      </w:r>
      <w:r w:rsidR="005918BC" w:rsidRPr="00D5464D">
        <w:rPr>
          <w:rFonts w:cs="Arial"/>
          <w:szCs w:val="20"/>
          <w:lang w:val="pt-BR"/>
        </w:rPr>
        <w:t>,</w:t>
      </w:r>
      <w:r w:rsidR="0003391C" w:rsidRPr="00D5464D">
        <w:rPr>
          <w:rFonts w:cs="Arial"/>
          <w:szCs w:val="20"/>
          <w:lang w:val="pt-BR"/>
        </w:rPr>
        <w:t xml:space="preserve"> de 1940</w:t>
      </w:r>
      <w:r w:rsidR="005918BC" w:rsidRPr="00D5464D">
        <w:rPr>
          <w:rFonts w:cs="Arial"/>
          <w:szCs w:val="20"/>
          <w:lang w:val="pt-BR"/>
        </w:rPr>
        <w:t>,</w:t>
      </w:r>
      <w:r w:rsidR="0003391C" w:rsidRPr="00D5464D">
        <w:rPr>
          <w:rFonts w:cs="Arial"/>
          <w:szCs w:val="20"/>
          <w:lang w:val="pt-BR"/>
        </w:rPr>
        <w:t xml:space="preserve"> previ</w:t>
      </w:r>
      <w:r w:rsidR="005918BC" w:rsidRPr="00D5464D">
        <w:rPr>
          <w:rFonts w:cs="Arial"/>
          <w:szCs w:val="20"/>
          <w:lang w:val="pt-BR"/>
        </w:rPr>
        <w:t>u</w:t>
      </w:r>
      <w:r w:rsidR="00E765C2" w:rsidRPr="00D5464D">
        <w:rPr>
          <w:rFonts w:cs="Arial"/>
          <w:szCs w:val="20"/>
          <w:lang w:val="pt-BR"/>
        </w:rPr>
        <w:t xml:space="preserve"> pela primeira vez</w:t>
      </w:r>
      <w:r w:rsidR="0003391C" w:rsidRPr="00D5464D">
        <w:rPr>
          <w:rFonts w:cs="Arial"/>
          <w:szCs w:val="20"/>
          <w:lang w:val="pt-BR"/>
        </w:rPr>
        <w:t>, de forma genérica,</w:t>
      </w:r>
      <w:r w:rsidR="002C330E" w:rsidRPr="00D5464D">
        <w:rPr>
          <w:rFonts w:cs="Arial"/>
          <w:szCs w:val="20"/>
          <w:lang w:val="pt-BR"/>
        </w:rPr>
        <w:t xml:space="preserve"> a </w:t>
      </w:r>
      <w:r w:rsidR="00470ADC" w:rsidRPr="00D5464D">
        <w:rPr>
          <w:rFonts w:cs="Arial"/>
          <w:szCs w:val="20"/>
          <w:lang w:val="pt-BR"/>
        </w:rPr>
        <w:t>conduta</w:t>
      </w:r>
      <w:r w:rsidR="0003391C" w:rsidRPr="00D5464D">
        <w:rPr>
          <w:rFonts w:cs="Arial"/>
          <w:szCs w:val="20"/>
          <w:lang w:val="pt-BR"/>
        </w:rPr>
        <w:t xml:space="preserve"> de </w:t>
      </w:r>
      <w:r w:rsidR="00737270" w:rsidRPr="00D5464D">
        <w:rPr>
          <w:rFonts w:cs="Arial"/>
          <w:szCs w:val="20"/>
          <w:lang w:val="pt-BR"/>
        </w:rPr>
        <w:t>redução</w:t>
      </w:r>
      <w:r w:rsidR="0003391C" w:rsidRPr="00D5464D">
        <w:rPr>
          <w:rFonts w:cs="Arial"/>
          <w:szCs w:val="20"/>
          <w:lang w:val="pt-BR"/>
        </w:rPr>
        <w:t xml:space="preserve"> de</w:t>
      </w:r>
      <w:r w:rsidR="00E045D9" w:rsidRPr="00D5464D">
        <w:rPr>
          <w:rFonts w:cs="Arial"/>
          <w:szCs w:val="20"/>
          <w:lang w:val="pt-BR"/>
        </w:rPr>
        <w:t xml:space="preserve"> uma </w:t>
      </w:r>
      <w:r w:rsidR="002C330E" w:rsidRPr="00D5464D">
        <w:rPr>
          <w:rFonts w:cs="Arial"/>
          <w:szCs w:val="20"/>
          <w:lang w:val="pt-BR"/>
        </w:rPr>
        <w:t>pessoa</w:t>
      </w:r>
      <w:r w:rsidR="0003391C" w:rsidRPr="00D5464D">
        <w:rPr>
          <w:rFonts w:cs="Arial"/>
          <w:szCs w:val="20"/>
          <w:lang w:val="pt-BR"/>
        </w:rPr>
        <w:t xml:space="preserve"> a condi</w:t>
      </w:r>
      <w:r w:rsidR="00470ADC" w:rsidRPr="00D5464D">
        <w:rPr>
          <w:rFonts w:cs="Arial"/>
          <w:szCs w:val="20"/>
          <w:lang w:val="pt-BR"/>
        </w:rPr>
        <w:t>ções</w:t>
      </w:r>
      <w:r w:rsidR="0003391C" w:rsidRPr="00D5464D">
        <w:rPr>
          <w:rFonts w:cs="Arial"/>
          <w:szCs w:val="20"/>
          <w:lang w:val="pt-BR"/>
        </w:rPr>
        <w:t xml:space="preserve"> </w:t>
      </w:r>
      <w:r w:rsidR="006665EF" w:rsidRPr="00D5464D">
        <w:rPr>
          <w:rFonts w:cs="Arial"/>
          <w:szCs w:val="20"/>
          <w:lang w:val="pt-BR"/>
        </w:rPr>
        <w:t>análogas</w:t>
      </w:r>
      <w:r w:rsidR="00350187" w:rsidRPr="00D5464D">
        <w:rPr>
          <w:rFonts w:cs="Arial"/>
          <w:szCs w:val="20"/>
          <w:lang w:val="pt-BR"/>
        </w:rPr>
        <w:t xml:space="preserve"> </w:t>
      </w:r>
      <w:r w:rsidR="00470ADC" w:rsidRPr="00D5464D">
        <w:rPr>
          <w:rFonts w:cs="Arial"/>
          <w:szCs w:val="20"/>
          <w:lang w:val="pt-BR"/>
        </w:rPr>
        <w:t xml:space="preserve">à </w:t>
      </w:r>
      <w:r w:rsidR="00696CD2" w:rsidRPr="00D5464D">
        <w:rPr>
          <w:rFonts w:cs="Arial"/>
          <w:szCs w:val="20"/>
          <w:lang w:val="pt-BR"/>
        </w:rPr>
        <w:t xml:space="preserve">de </w:t>
      </w:r>
      <w:r w:rsidR="004F1CC2" w:rsidRPr="00D5464D">
        <w:rPr>
          <w:rFonts w:cs="Arial"/>
          <w:szCs w:val="20"/>
          <w:lang w:val="pt-BR"/>
        </w:rPr>
        <w:t>escravo</w:t>
      </w:r>
      <w:r w:rsidR="00E045D9" w:rsidRPr="00D5464D">
        <w:rPr>
          <w:rFonts w:cs="Arial"/>
          <w:szCs w:val="20"/>
          <w:lang w:val="pt-BR"/>
        </w:rPr>
        <w:t xml:space="preserve"> nos </w:t>
      </w:r>
      <w:r w:rsidR="002C330E" w:rsidRPr="00D5464D">
        <w:rPr>
          <w:rFonts w:cs="Arial"/>
          <w:szCs w:val="20"/>
          <w:lang w:val="pt-BR"/>
        </w:rPr>
        <w:t>seguinte</w:t>
      </w:r>
      <w:r w:rsidR="0003391C" w:rsidRPr="00D5464D">
        <w:rPr>
          <w:rFonts w:cs="Arial"/>
          <w:szCs w:val="20"/>
          <w:lang w:val="pt-BR"/>
        </w:rPr>
        <w:t xml:space="preserve">s </w:t>
      </w:r>
      <w:r w:rsidR="00E045D9" w:rsidRPr="00D5464D">
        <w:rPr>
          <w:rFonts w:cs="Arial"/>
          <w:szCs w:val="20"/>
          <w:lang w:val="pt-BR"/>
        </w:rPr>
        <w:t>termo</w:t>
      </w:r>
      <w:r w:rsidR="0003391C" w:rsidRPr="00D5464D">
        <w:rPr>
          <w:rFonts w:cs="Arial"/>
          <w:szCs w:val="20"/>
          <w:lang w:val="pt-BR"/>
        </w:rPr>
        <w:t xml:space="preserve">s: </w:t>
      </w:r>
    </w:p>
    <w:p w14:paraId="4EC09CD3" w14:textId="77777777" w:rsidR="0003391C" w:rsidRPr="00D5464D" w:rsidRDefault="0003391C" w:rsidP="00140440">
      <w:pPr>
        <w:pStyle w:val="Prrafodelista"/>
        <w:autoSpaceDE w:val="0"/>
        <w:autoSpaceDN w:val="0"/>
        <w:adjustRightInd w:val="0"/>
        <w:ind w:left="0"/>
        <w:contextualSpacing w:val="0"/>
        <w:rPr>
          <w:rFonts w:cs="Arial"/>
          <w:szCs w:val="20"/>
          <w:lang w:val="pt-BR"/>
        </w:rPr>
      </w:pPr>
    </w:p>
    <w:p w14:paraId="4E4D20F8" w14:textId="7DD32844" w:rsidR="0003391C" w:rsidRPr="00D5464D" w:rsidRDefault="0003391C" w:rsidP="00140440">
      <w:pPr>
        <w:pStyle w:val="Prrafodelista"/>
        <w:autoSpaceDE w:val="0"/>
        <w:autoSpaceDN w:val="0"/>
        <w:adjustRightInd w:val="0"/>
        <w:ind w:right="720"/>
        <w:contextualSpacing w:val="0"/>
        <w:rPr>
          <w:rFonts w:cs="Arial"/>
          <w:szCs w:val="20"/>
          <w:lang w:val="pt-BR"/>
        </w:rPr>
      </w:pPr>
      <w:r w:rsidRPr="00D5464D">
        <w:rPr>
          <w:rFonts w:cs="Arial"/>
          <w:sz w:val="16"/>
          <w:szCs w:val="20"/>
          <w:lang w:val="pt-BR"/>
        </w:rPr>
        <w:t>“</w:t>
      </w:r>
      <w:r w:rsidR="005918BC" w:rsidRPr="00D5464D">
        <w:rPr>
          <w:rFonts w:cs="Arial"/>
          <w:sz w:val="16"/>
          <w:szCs w:val="20"/>
          <w:lang w:val="pt-BR"/>
        </w:rPr>
        <w:t>Reduzir alguém a condição análoga à de escravo</w:t>
      </w:r>
      <w:r w:rsidRPr="00D5464D">
        <w:rPr>
          <w:rFonts w:cs="Arial"/>
          <w:sz w:val="16"/>
          <w:szCs w:val="20"/>
          <w:lang w:val="pt-BR"/>
        </w:rPr>
        <w:t xml:space="preserve">: </w:t>
      </w:r>
      <w:r w:rsidR="005918BC" w:rsidRPr="00D5464D">
        <w:rPr>
          <w:rFonts w:cs="Arial"/>
          <w:sz w:val="16"/>
          <w:szCs w:val="20"/>
          <w:lang w:val="pt-BR"/>
        </w:rPr>
        <w:t>Pena - reclusão, de 2 (dois) a 8 (oito) anos.</w:t>
      </w:r>
      <w:r w:rsidRPr="00D5464D">
        <w:rPr>
          <w:rFonts w:cs="Arial"/>
          <w:sz w:val="16"/>
          <w:szCs w:val="20"/>
          <w:lang w:val="pt-BR"/>
        </w:rPr>
        <w:t>”</w:t>
      </w:r>
      <w:r w:rsidRPr="00D5464D">
        <w:rPr>
          <w:rStyle w:val="Refdenotaalpie"/>
          <w:rFonts w:cs="Arial"/>
          <w:sz w:val="16"/>
          <w:lang w:val="pt-BR"/>
        </w:rPr>
        <w:footnoteReference w:id="98"/>
      </w:r>
      <w:r w:rsidRPr="00D5464D">
        <w:rPr>
          <w:rFonts w:cs="Times New Roman"/>
          <w:szCs w:val="20"/>
          <w:lang w:val="pt-BR"/>
        </w:rPr>
        <w:t xml:space="preserve"> </w:t>
      </w:r>
    </w:p>
    <w:p w14:paraId="7FF6AD85" w14:textId="77777777" w:rsidR="0003391C" w:rsidRPr="00D5464D" w:rsidRDefault="0003391C" w:rsidP="00140440">
      <w:pPr>
        <w:pStyle w:val="Prrafodelista"/>
        <w:autoSpaceDE w:val="0"/>
        <w:autoSpaceDN w:val="0"/>
        <w:adjustRightInd w:val="0"/>
        <w:ind w:left="0"/>
        <w:contextualSpacing w:val="0"/>
        <w:rPr>
          <w:rFonts w:cs="Arial"/>
          <w:szCs w:val="20"/>
          <w:lang w:val="pt-BR"/>
        </w:rPr>
      </w:pPr>
    </w:p>
    <w:p w14:paraId="356BC8F1" w14:textId="33B1E8DA" w:rsidR="0003391C" w:rsidRPr="00D5464D" w:rsidRDefault="00350187" w:rsidP="00140440">
      <w:pPr>
        <w:pStyle w:val="Prrafodelista"/>
        <w:numPr>
          <w:ilvl w:val="0"/>
          <w:numId w:val="1"/>
        </w:numPr>
        <w:autoSpaceDE w:val="0"/>
        <w:autoSpaceDN w:val="0"/>
        <w:adjustRightInd w:val="0"/>
        <w:contextualSpacing w:val="0"/>
        <w:rPr>
          <w:rFonts w:cs="Arial"/>
          <w:szCs w:val="20"/>
          <w:lang w:val="pt-BR"/>
        </w:rPr>
      </w:pPr>
      <w:r w:rsidRPr="00D5464D">
        <w:rPr>
          <w:rFonts w:cs="Times New Roman"/>
          <w:szCs w:val="20"/>
          <w:lang w:val="pt-BR"/>
        </w:rPr>
        <w:t xml:space="preserve">Além disso, </w:t>
      </w:r>
      <w:r w:rsidR="00470ADC" w:rsidRPr="00D5464D">
        <w:rPr>
          <w:rFonts w:cs="Times New Roman"/>
          <w:szCs w:val="20"/>
          <w:lang w:val="pt-BR"/>
        </w:rPr>
        <w:t>o artigo</w:t>
      </w:r>
      <w:r w:rsidR="0003391C" w:rsidRPr="00D5464D">
        <w:rPr>
          <w:rFonts w:cs="Times New Roman"/>
          <w:szCs w:val="20"/>
          <w:lang w:val="pt-BR"/>
        </w:rPr>
        <w:t xml:space="preserve"> </w:t>
      </w:r>
      <w:r w:rsidR="0003391C" w:rsidRPr="00D5464D">
        <w:rPr>
          <w:rFonts w:cs="Arial"/>
          <w:szCs w:val="20"/>
          <w:lang w:val="pt-BR"/>
        </w:rPr>
        <w:t xml:space="preserve">197 </w:t>
      </w:r>
      <w:r w:rsidR="00470ADC" w:rsidRPr="00D5464D">
        <w:rPr>
          <w:rFonts w:cs="Arial"/>
          <w:szCs w:val="20"/>
          <w:lang w:val="pt-BR"/>
        </w:rPr>
        <w:t xml:space="preserve">do </w:t>
      </w:r>
      <w:r w:rsidR="00BE60E8" w:rsidRPr="00D5464D">
        <w:rPr>
          <w:rFonts w:cs="Arial"/>
          <w:szCs w:val="20"/>
          <w:lang w:val="pt-BR"/>
        </w:rPr>
        <w:t xml:space="preserve">Código Penal </w:t>
      </w:r>
      <w:r w:rsidR="00470ADC" w:rsidRPr="00D5464D">
        <w:rPr>
          <w:rFonts w:cs="Arial"/>
          <w:szCs w:val="20"/>
          <w:lang w:val="pt-BR"/>
        </w:rPr>
        <w:t>brasileir</w:t>
      </w:r>
      <w:r w:rsidR="00BE60E8" w:rsidRPr="00D5464D">
        <w:rPr>
          <w:rFonts w:cs="Arial"/>
          <w:szCs w:val="20"/>
          <w:lang w:val="pt-BR"/>
        </w:rPr>
        <w:t>o</w:t>
      </w:r>
      <w:r w:rsidR="0003391C" w:rsidRPr="00D5464D">
        <w:rPr>
          <w:rFonts w:cs="Arial"/>
          <w:szCs w:val="20"/>
          <w:lang w:val="pt-BR"/>
        </w:rPr>
        <w:t xml:space="preserve"> contempl</w:t>
      </w:r>
      <w:r w:rsidRPr="00D5464D">
        <w:rPr>
          <w:rFonts w:cs="Arial"/>
          <w:szCs w:val="20"/>
          <w:lang w:val="pt-BR"/>
        </w:rPr>
        <w:t xml:space="preserve">ava </w:t>
      </w:r>
      <w:r w:rsidR="00470ADC" w:rsidRPr="00D5464D">
        <w:rPr>
          <w:rFonts w:cs="Arial"/>
          <w:szCs w:val="20"/>
          <w:lang w:val="pt-BR"/>
        </w:rPr>
        <w:t xml:space="preserve">o </w:t>
      </w:r>
      <w:r w:rsidR="0003391C" w:rsidRPr="00D5464D">
        <w:rPr>
          <w:rFonts w:cs="Arial"/>
          <w:szCs w:val="20"/>
          <w:lang w:val="pt-BR"/>
        </w:rPr>
        <w:t>delito de “atentado contra</w:t>
      </w:r>
      <w:r w:rsidR="002C330E" w:rsidRPr="00D5464D">
        <w:rPr>
          <w:rFonts w:cs="Arial"/>
          <w:szCs w:val="20"/>
          <w:lang w:val="pt-BR"/>
        </w:rPr>
        <w:t xml:space="preserve"> a liberdade </w:t>
      </w:r>
      <w:r w:rsidR="0003391C" w:rsidRPr="00D5464D">
        <w:rPr>
          <w:rFonts w:cs="Arial"/>
          <w:szCs w:val="20"/>
          <w:lang w:val="pt-BR"/>
        </w:rPr>
        <w:t xml:space="preserve">de </w:t>
      </w:r>
      <w:r w:rsidR="00E045D9" w:rsidRPr="00D5464D">
        <w:rPr>
          <w:rFonts w:cs="Arial"/>
          <w:szCs w:val="20"/>
          <w:lang w:val="pt-BR"/>
        </w:rPr>
        <w:t>trabalho</w:t>
      </w:r>
      <w:r w:rsidR="0003391C" w:rsidRPr="00D5464D">
        <w:rPr>
          <w:rFonts w:cs="Arial"/>
          <w:szCs w:val="20"/>
          <w:lang w:val="pt-BR"/>
        </w:rPr>
        <w:t>”</w:t>
      </w:r>
      <w:r w:rsidR="005918BC" w:rsidRPr="00D5464D">
        <w:rPr>
          <w:rFonts w:cs="Arial"/>
          <w:szCs w:val="20"/>
          <w:lang w:val="pt-BR"/>
        </w:rPr>
        <w:t>;</w:t>
      </w:r>
      <w:r w:rsidR="0003391C" w:rsidRPr="00D5464D">
        <w:rPr>
          <w:rStyle w:val="Refdenotaalpie"/>
          <w:rFonts w:cs="Arial"/>
          <w:lang w:val="pt-BR"/>
        </w:rPr>
        <w:footnoteReference w:id="99"/>
      </w:r>
      <w:r w:rsidR="00470ADC" w:rsidRPr="00D5464D">
        <w:rPr>
          <w:rFonts w:cs="Arial"/>
          <w:szCs w:val="20"/>
          <w:lang w:val="pt-BR"/>
        </w:rPr>
        <w:t xml:space="preserve"> e o artigo</w:t>
      </w:r>
      <w:r w:rsidR="0003391C" w:rsidRPr="00D5464D">
        <w:rPr>
          <w:rFonts w:cs="Arial"/>
          <w:szCs w:val="20"/>
          <w:lang w:val="pt-BR"/>
        </w:rPr>
        <w:t xml:space="preserve"> 207</w:t>
      </w:r>
      <w:r w:rsidR="0003391C" w:rsidRPr="00D5464D">
        <w:rPr>
          <w:rFonts w:cs="Times New Roman"/>
          <w:szCs w:val="20"/>
          <w:lang w:val="pt-BR"/>
        </w:rPr>
        <w:t xml:space="preserve"> </w:t>
      </w:r>
      <w:r w:rsidR="0003391C" w:rsidRPr="00D5464D">
        <w:rPr>
          <w:rFonts w:cs="Arial"/>
          <w:szCs w:val="20"/>
          <w:lang w:val="pt-BR"/>
        </w:rPr>
        <w:t>contempl</w:t>
      </w:r>
      <w:r w:rsidRPr="00D5464D">
        <w:rPr>
          <w:rFonts w:cs="Arial"/>
          <w:szCs w:val="20"/>
          <w:lang w:val="pt-BR"/>
        </w:rPr>
        <w:t xml:space="preserve">ava </w:t>
      </w:r>
      <w:r w:rsidR="00470ADC" w:rsidRPr="00D5464D">
        <w:rPr>
          <w:rFonts w:cs="Arial"/>
          <w:szCs w:val="20"/>
          <w:lang w:val="pt-BR"/>
        </w:rPr>
        <w:t xml:space="preserve">o </w:t>
      </w:r>
      <w:r w:rsidR="0003391C" w:rsidRPr="00D5464D">
        <w:rPr>
          <w:rFonts w:cs="Arial"/>
          <w:szCs w:val="20"/>
          <w:lang w:val="pt-BR"/>
        </w:rPr>
        <w:t>delito de “</w:t>
      </w:r>
      <w:r w:rsidR="005918BC" w:rsidRPr="00D5464D">
        <w:rPr>
          <w:rFonts w:cs="Arial"/>
          <w:bCs/>
          <w:szCs w:val="20"/>
          <w:lang w:val="pt-BR"/>
        </w:rPr>
        <w:t>Aliciamento de trabalhadores de um local para outro do território nacional</w:t>
      </w:r>
      <w:r w:rsidR="0003391C" w:rsidRPr="00D5464D">
        <w:rPr>
          <w:rFonts w:cs="Arial"/>
          <w:szCs w:val="20"/>
          <w:lang w:val="pt-BR"/>
        </w:rPr>
        <w:t>”</w:t>
      </w:r>
      <w:r w:rsidR="005918BC" w:rsidRPr="00D5464D">
        <w:rPr>
          <w:rFonts w:cs="Arial"/>
          <w:szCs w:val="20"/>
          <w:lang w:val="pt-BR"/>
        </w:rPr>
        <w:t>.</w:t>
      </w:r>
      <w:r w:rsidR="0003391C" w:rsidRPr="00D5464D">
        <w:rPr>
          <w:rStyle w:val="Refdenotaalpie"/>
          <w:rFonts w:cs="Arial"/>
          <w:lang w:val="pt-BR"/>
        </w:rPr>
        <w:footnoteReference w:id="100"/>
      </w:r>
      <w:r w:rsidR="00C91CB1" w:rsidRPr="00D5464D">
        <w:rPr>
          <w:rFonts w:cs="Arial"/>
          <w:szCs w:val="20"/>
          <w:lang w:val="pt-BR"/>
        </w:rPr>
        <w:t xml:space="preserve"> </w:t>
      </w:r>
      <w:r w:rsidR="005918BC" w:rsidRPr="00D5464D">
        <w:rPr>
          <w:rFonts w:cs="Arial"/>
          <w:szCs w:val="20"/>
          <w:lang w:val="pt-BR"/>
        </w:rPr>
        <w:t>N</w:t>
      </w:r>
      <w:r w:rsidR="00C91CB1" w:rsidRPr="00D5464D">
        <w:rPr>
          <w:rFonts w:cs="Arial"/>
          <w:szCs w:val="20"/>
          <w:lang w:val="pt-BR"/>
        </w:rPr>
        <w:t xml:space="preserve">o </w:t>
      </w:r>
      <w:r w:rsidR="0003391C" w:rsidRPr="00D5464D">
        <w:rPr>
          <w:rFonts w:cs="Times New Roman"/>
          <w:szCs w:val="20"/>
          <w:lang w:val="pt-BR"/>
        </w:rPr>
        <w:t>momento</w:t>
      </w:r>
      <w:r w:rsidR="00470ADC" w:rsidRPr="00D5464D">
        <w:rPr>
          <w:rFonts w:cs="Times New Roman"/>
          <w:szCs w:val="20"/>
          <w:lang w:val="pt-BR"/>
        </w:rPr>
        <w:t xml:space="preserve"> dos </w:t>
      </w:r>
      <w:r w:rsidR="002C330E" w:rsidRPr="00D5464D">
        <w:rPr>
          <w:rFonts w:cs="Times New Roman"/>
          <w:szCs w:val="20"/>
          <w:lang w:val="pt-BR"/>
        </w:rPr>
        <w:t>fatos</w:t>
      </w:r>
      <w:r w:rsidR="0003391C" w:rsidRPr="00D5464D">
        <w:rPr>
          <w:rFonts w:cs="Times New Roman"/>
          <w:szCs w:val="20"/>
          <w:lang w:val="pt-BR"/>
        </w:rPr>
        <w:t xml:space="preserve"> </w:t>
      </w:r>
      <w:r w:rsidR="00470ADC" w:rsidRPr="00D5464D">
        <w:rPr>
          <w:rFonts w:cs="Times New Roman"/>
          <w:szCs w:val="20"/>
          <w:lang w:val="pt-BR"/>
        </w:rPr>
        <w:t xml:space="preserve">do </w:t>
      </w:r>
      <w:r w:rsidR="0003391C" w:rsidRPr="00D5464D">
        <w:rPr>
          <w:rFonts w:cs="Times New Roman"/>
          <w:szCs w:val="20"/>
          <w:lang w:val="pt-BR"/>
        </w:rPr>
        <w:t>presente caso es</w:t>
      </w:r>
      <w:r w:rsidR="00EE2ADA" w:rsidRPr="00D5464D">
        <w:rPr>
          <w:rFonts w:cs="Times New Roman"/>
          <w:szCs w:val="20"/>
          <w:lang w:val="pt-BR"/>
        </w:rPr>
        <w:t>t</w:t>
      </w:r>
      <w:r w:rsidR="0003391C" w:rsidRPr="00D5464D">
        <w:rPr>
          <w:rFonts w:cs="Times New Roman"/>
          <w:szCs w:val="20"/>
          <w:lang w:val="pt-BR"/>
        </w:rPr>
        <w:t>a era</w:t>
      </w:r>
      <w:r w:rsidR="002C330E" w:rsidRPr="00D5464D">
        <w:rPr>
          <w:rFonts w:cs="Times New Roman"/>
          <w:szCs w:val="20"/>
          <w:lang w:val="pt-BR"/>
        </w:rPr>
        <w:t xml:space="preserve"> a </w:t>
      </w:r>
      <w:r w:rsidR="0003391C" w:rsidRPr="00D5464D">
        <w:rPr>
          <w:rFonts w:cs="Times New Roman"/>
          <w:szCs w:val="20"/>
          <w:lang w:val="pt-BR"/>
        </w:rPr>
        <w:t xml:space="preserve">normativa </w:t>
      </w:r>
      <w:r w:rsidR="00A1358C" w:rsidRPr="00D5464D">
        <w:rPr>
          <w:rFonts w:cs="Times New Roman"/>
          <w:szCs w:val="20"/>
          <w:lang w:val="pt-BR"/>
        </w:rPr>
        <w:t>aplicável</w:t>
      </w:r>
      <w:r w:rsidR="0003391C" w:rsidRPr="00D5464D">
        <w:rPr>
          <w:rFonts w:cs="Times New Roman"/>
          <w:szCs w:val="20"/>
          <w:lang w:val="pt-BR"/>
        </w:rPr>
        <w:t>.</w:t>
      </w:r>
      <w:r w:rsidR="0003391C" w:rsidRPr="00D5464D">
        <w:rPr>
          <w:rFonts w:cs="Arial"/>
          <w:sz w:val="16"/>
          <w:szCs w:val="20"/>
          <w:lang w:val="pt-BR"/>
        </w:rPr>
        <w:t xml:space="preserve"> </w:t>
      </w:r>
    </w:p>
    <w:p w14:paraId="0308A8AF" w14:textId="77777777" w:rsidR="0003391C" w:rsidRPr="00D5464D" w:rsidRDefault="0003391C" w:rsidP="00140440">
      <w:pPr>
        <w:pStyle w:val="Prrafodelista"/>
        <w:autoSpaceDE w:val="0"/>
        <w:autoSpaceDN w:val="0"/>
        <w:adjustRightInd w:val="0"/>
        <w:ind w:left="0"/>
        <w:contextualSpacing w:val="0"/>
        <w:rPr>
          <w:rFonts w:cs="Arial"/>
          <w:szCs w:val="20"/>
          <w:lang w:val="pt-BR"/>
        </w:rPr>
      </w:pPr>
    </w:p>
    <w:p w14:paraId="7E3C00F6" w14:textId="3529A50E" w:rsidR="0003391C" w:rsidRPr="00D5464D" w:rsidRDefault="00C91CB1" w:rsidP="00140440">
      <w:pPr>
        <w:pStyle w:val="Prrafodelista"/>
        <w:numPr>
          <w:ilvl w:val="0"/>
          <w:numId w:val="1"/>
        </w:numPr>
        <w:autoSpaceDE w:val="0"/>
        <w:autoSpaceDN w:val="0"/>
        <w:adjustRightInd w:val="0"/>
        <w:contextualSpacing w:val="0"/>
        <w:rPr>
          <w:rFonts w:cs="Arial"/>
          <w:sz w:val="16"/>
          <w:szCs w:val="20"/>
          <w:lang w:val="pt-BR"/>
        </w:rPr>
      </w:pPr>
      <w:r w:rsidRPr="00D5464D">
        <w:rPr>
          <w:rFonts w:cs="Arial"/>
          <w:szCs w:val="20"/>
          <w:lang w:val="pt-BR"/>
        </w:rPr>
        <w:t xml:space="preserve">Em </w:t>
      </w:r>
      <w:r w:rsidR="0003391C" w:rsidRPr="00D5464D">
        <w:rPr>
          <w:rFonts w:cs="Arial"/>
          <w:szCs w:val="20"/>
          <w:lang w:val="pt-BR"/>
        </w:rPr>
        <w:t>1994</w:t>
      </w:r>
      <w:r w:rsidR="005918BC" w:rsidRPr="00D5464D">
        <w:rPr>
          <w:rFonts w:cs="Arial"/>
          <w:szCs w:val="20"/>
          <w:lang w:val="pt-BR"/>
        </w:rPr>
        <w:t xml:space="preserve">, foi emitida </w:t>
      </w:r>
      <w:r w:rsidR="002C330E" w:rsidRPr="00D5464D">
        <w:rPr>
          <w:rFonts w:cs="Arial"/>
          <w:szCs w:val="20"/>
          <w:lang w:val="pt-BR"/>
        </w:rPr>
        <w:t>a primeira</w:t>
      </w:r>
      <w:r w:rsidR="0003391C" w:rsidRPr="00D5464D">
        <w:rPr>
          <w:rFonts w:cs="Arial"/>
          <w:szCs w:val="20"/>
          <w:lang w:val="pt-BR"/>
        </w:rPr>
        <w:t xml:space="preserve"> </w:t>
      </w:r>
      <w:r w:rsidR="002C330E" w:rsidRPr="00D5464D">
        <w:rPr>
          <w:rFonts w:cs="Arial"/>
          <w:szCs w:val="20"/>
          <w:lang w:val="pt-BR"/>
        </w:rPr>
        <w:t>Instrução</w:t>
      </w:r>
      <w:r w:rsidR="0003391C" w:rsidRPr="00D5464D">
        <w:rPr>
          <w:rFonts w:cs="Arial"/>
          <w:szCs w:val="20"/>
          <w:lang w:val="pt-BR"/>
        </w:rPr>
        <w:t xml:space="preserve"> Administrativa que </w:t>
      </w:r>
      <w:r w:rsidR="00737270" w:rsidRPr="00D5464D">
        <w:rPr>
          <w:rFonts w:cs="Arial"/>
          <w:szCs w:val="20"/>
          <w:lang w:val="pt-BR"/>
        </w:rPr>
        <w:t>estabelecia</w:t>
      </w:r>
      <w:r w:rsidR="00470ADC" w:rsidRPr="00D5464D">
        <w:rPr>
          <w:rFonts w:cs="Arial"/>
          <w:szCs w:val="20"/>
          <w:lang w:val="pt-BR"/>
        </w:rPr>
        <w:t xml:space="preserve"> o </w:t>
      </w:r>
      <w:r w:rsidR="002C330E" w:rsidRPr="00D5464D">
        <w:rPr>
          <w:rFonts w:cs="Arial"/>
          <w:szCs w:val="20"/>
          <w:lang w:val="pt-BR"/>
        </w:rPr>
        <w:t>procedimento</w:t>
      </w:r>
      <w:r w:rsidR="0003391C" w:rsidRPr="00D5464D">
        <w:rPr>
          <w:rFonts w:cs="Arial"/>
          <w:szCs w:val="20"/>
          <w:lang w:val="pt-BR"/>
        </w:rPr>
        <w:t xml:space="preserve"> </w:t>
      </w:r>
      <w:r w:rsidR="00470ADC" w:rsidRPr="00D5464D">
        <w:rPr>
          <w:rFonts w:cs="Arial"/>
          <w:szCs w:val="20"/>
          <w:lang w:val="pt-BR"/>
        </w:rPr>
        <w:t>adequad</w:t>
      </w:r>
      <w:r w:rsidR="0003391C" w:rsidRPr="00D5464D">
        <w:rPr>
          <w:rFonts w:cs="Arial"/>
          <w:szCs w:val="20"/>
          <w:lang w:val="pt-BR"/>
        </w:rPr>
        <w:t>o para realizar fiscaliza</w:t>
      </w:r>
      <w:r w:rsidR="00470ADC" w:rsidRPr="00D5464D">
        <w:rPr>
          <w:rFonts w:cs="Arial"/>
          <w:szCs w:val="20"/>
          <w:lang w:val="pt-BR"/>
        </w:rPr>
        <w:t>ções</w:t>
      </w:r>
      <w:r w:rsidR="0003391C" w:rsidRPr="00D5464D">
        <w:rPr>
          <w:rFonts w:cs="Arial"/>
          <w:szCs w:val="20"/>
          <w:lang w:val="pt-BR"/>
        </w:rPr>
        <w:t xml:space="preserve"> </w:t>
      </w:r>
      <w:r w:rsidR="005918BC" w:rsidRPr="00D5464D">
        <w:rPr>
          <w:rFonts w:cs="Arial"/>
          <w:szCs w:val="20"/>
          <w:lang w:val="pt-BR"/>
        </w:rPr>
        <w:t xml:space="preserve">trabalhistas </w:t>
      </w:r>
      <w:r w:rsidR="00470ADC" w:rsidRPr="00D5464D">
        <w:rPr>
          <w:rFonts w:cs="Arial"/>
          <w:szCs w:val="20"/>
          <w:lang w:val="pt-BR"/>
        </w:rPr>
        <w:t xml:space="preserve">em </w:t>
      </w:r>
      <w:r w:rsidR="0003391C" w:rsidRPr="00D5464D">
        <w:rPr>
          <w:rFonts w:cs="Arial"/>
          <w:szCs w:val="20"/>
          <w:lang w:val="pt-BR"/>
        </w:rPr>
        <w:t xml:space="preserve">contextos </w:t>
      </w:r>
      <w:r w:rsidR="00E045D9" w:rsidRPr="00D5464D">
        <w:rPr>
          <w:rFonts w:cs="Arial"/>
          <w:szCs w:val="20"/>
          <w:lang w:val="pt-BR"/>
        </w:rPr>
        <w:t xml:space="preserve">rurais e </w:t>
      </w:r>
      <w:r w:rsidR="00470ADC" w:rsidRPr="00D5464D">
        <w:rPr>
          <w:rFonts w:cs="Arial"/>
          <w:szCs w:val="20"/>
          <w:lang w:val="pt-BR"/>
        </w:rPr>
        <w:t>estabeleceu</w:t>
      </w:r>
      <w:r w:rsidR="002C330E" w:rsidRPr="00D5464D">
        <w:rPr>
          <w:rFonts w:cs="Arial"/>
          <w:szCs w:val="20"/>
          <w:lang w:val="pt-BR"/>
        </w:rPr>
        <w:t xml:space="preserve"> as </w:t>
      </w:r>
      <w:r w:rsidR="0003391C" w:rsidRPr="00D5464D">
        <w:rPr>
          <w:rFonts w:cs="Arial"/>
          <w:szCs w:val="20"/>
          <w:lang w:val="pt-BR"/>
        </w:rPr>
        <w:t>orienta</w:t>
      </w:r>
      <w:r w:rsidR="00470ADC" w:rsidRPr="00D5464D">
        <w:rPr>
          <w:rFonts w:cs="Arial"/>
          <w:szCs w:val="20"/>
          <w:lang w:val="pt-BR"/>
        </w:rPr>
        <w:t xml:space="preserve">ções </w:t>
      </w:r>
      <w:r w:rsidR="00350187" w:rsidRPr="00D5464D">
        <w:rPr>
          <w:rFonts w:cs="Arial"/>
          <w:szCs w:val="20"/>
          <w:lang w:val="pt-BR"/>
        </w:rPr>
        <w:t>quanto</w:t>
      </w:r>
      <w:r w:rsidR="00470ADC" w:rsidRPr="00D5464D">
        <w:rPr>
          <w:rFonts w:cs="Arial"/>
          <w:szCs w:val="20"/>
          <w:lang w:val="pt-BR"/>
        </w:rPr>
        <w:t xml:space="preserve"> ao </w:t>
      </w:r>
      <w:r w:rsidR="002C330E" w:rsidRPr="00D5464D">
        <w:rPr>
          <w:rFonts w:cs="Arial"/>
          <w:szCs w:val="20"/>
          <w:lang w:val="pt-BR"/>
        </w:rPr>
        <w:t>procedimento</w:t>
      </w:r>
      <w:r w:rsidR="0003391C" w:rsidRPr="00D5464D">
        <w:rPr>
          <w:rFonts w:cs="Arial"/>
          <w:szCs w:val="20"/>
          <w:lang w:val="pt-BR"/>
        </w:rPr>
        <w:t xml:space="preserve"> que </w:t>
      </w:r>
      <w:r w:rsidR="00470ADC" w:rsidRPr="00D5464D">
        <w:rPr>
          <w:rFonts w:cs="Arial"/>
          <w:szCs w:val="20"/>
          <w:lang w:val="pt-BR"/>
        </w:rPr>
        <w:t>dev</w:t>
      </w:r>
      <w:r w:rsidR="005918BC" w:rsidRPr="00D5464D">
        <w:rPr>
          <w:rFonts w:cs="Arial"/>
          <w:szCs w:val="20"/>
          <w:lang w:val="pt-BR"/>
        </w:rPr>
        <w:t>er</w:t>
      </w:r>
      <w:r w:rsidR="00470ADC" w:rsidRPr="00D5464D">
        <w:rPr>
          <w:rFonts w:cs="Arial"/>
          <w:szCs w:val="20"/>
          <w:lang w:val="pt-BR"/>
        </w:rPr>
        <w:t xml:space="preserve">ia </w:t>
      </w:r>
      <w:r w:rsidR="0003391C" w:rsidRPr="00D5464D">
        <w:rPr>
          <w:rFonts w:cs="Arial"/>
          <w:szCs w:val="20"/>
          <w:lang w:val="pt-BR"/>
        </w:rPr>
        <w:t xml:space="preserve">ser </w:t>
      </w:r>
      <w:r w:rsidR="00470ADC" w:rsidRPr="00D5464D">
        <w:rPr>
          <w:rFonts w:cs="Arial"/>
          <w:szCs w:val="20"/>
          <w:lang w:val="pt-BR"/>
        </w:rPr>
        <w:t>adot</w:t>
      </w:r>
      <w:r w:rsidR="0003391C" w:rsidRPr="00D5464D">
        <w:rPr>
          <w:rFonts w:cs="Arial"/>
          <w:szCs w:val="20"/>
          <w:lang w:val="pt-BR"/>
        </w:rPr>
        <w:t>ado</w:t>
      </w:r>
      <w:r w:rsidR="00470ADC" w:rsidRPr="00D5464D">
        <w:rPr>
          <w:rFonts w:cs="Arial"/>
          <w:szCs w:val="20"/>
          <w:lang w:val="pt-BR"/>
        </w:rPr>
        <w:t xml:space="preserve"> em </w:t>
      </w:r>
      <w:r w:rsidR="0003391C" w:rsidRPr="00D5464D">
        <w:rPr>
          <w:rFonts w:cs="Arial"/>
          <w:szCs w:val="20"/>
          <w:lang w:val="pt-BR"/>
        </w:rPr>
        <w:t xml:space="preserve">casos de </w:t>
      </w:r>
      <w:r w:rsidR="00E045D9" w:rsidRPr="00D5464D">
        <w:rPr>
          <w:rFonts w:cs="Arial"/>
          <w:szCs w:val="20"/>
          <w:lang w:val="pt-BR"/>
        </w:rPr>
        <w:t>trabalho</w:t>
      </w:r>
      <w:r w:rsidR="001B63D0" w:rsidRPr="00D5464D">
        <w:rPr>
          <w:rFonts w:cs="Arial"/>
          <w:szCs w:val="20"/>
          <w:lang w:val="pt-BR"/>
        </w:rPr>
        <w:t xml:space="preserve"> </w:t>
      </w:r>
      <w:r w:rsidR="00230C71" w:rsidRPr="00D5464D">
        <w:rPr>
          <w:rFonts w:cs="Arial"/>
          <w:szCs w:val="20"/>
          <w:lang w:val="pt-BR"/>
        </w:rPr>
        <w:t>forçado</w:t>
      </w:r>
      <w:r w:rsidR="00E045D9" w:rsidRPr="00D5464D">
        <w:rPr>
          <w:rFonts w:cs="Arial"/>
          <w:szCs w:val="20"/>
          <w:lang w:val="pt-BR"/>
        </w:rPr>
        <w:t xml:space="preserve"> e </w:t>
      </w:r>
      <w:r w:rsidR="002C330E" w:rsidRPr="00D5464D">
        <w:rPr>
          <w:rFonts w:cs="Arial"/>
          <w:szCs w:val="20"/>
          <w:lang w:val="pt-BR"/>
        </w:rPr>
        <w:t>outra</w:t>
      </w:r>
      <w:r w:rsidR="0003391C" w:rsidRPr="00D5464D">
        <w:rPr>
          <w:rFonts w:cs="Arial"/>
          <w:szCs w:val="20"/>
          <w:lang w:val="pt-BR"/>
        </w:rPr>
        <w:t>s situa</w:t>
      </w:r>
      <w:r w:rsidR="00470ADC" w:rsidRPr="00D5464D">
        <w:rPr>
          <w:rFonts w:cs="Arial"/>
          <w:szCs w:val="20"/>
          <w:lang w:val="pt-BR"/>
        </w:rPr>
        <w:t>ções</w:t>
      </w:r>
      <w:r w:rsidR="0003391C" w:rsidRPr="00D5464D">
        <w:rPr>
          <w:rFonts w:cs="Arial"/>
          <w:szCs w:val="20"/>
          <w:lang w:val="pt-BR"/>
        </w:rPr>
        <w:t xml:space="preserve"> que </w:t>
      </w:r>
      <w:r w:rsidR="005918BC" w:rsidRPr="00D5464D">
        <w:rPr>
          <w:rFonts w:cs="Arial"/>
          <w:szCs w:val="20"/>
          <w:lang w:val="pt-BR"/>
        </w:rPr>
        <w:t xml:space="preserve">pusessem </w:t>
      </w:r>
      <w:r w:rsidR="00470ADC" w:rsidRPr="00D5464D">
        <w:rPr>
          <w:rFonts w:cs="Arial"/>
          <w:szCs w:val="20"/>
          <w:lang w:val="pt-BR"/>
        </w:rPr>
        <w:t xml:space="preserve">em </w:t>
      </w:r>
      <w:r w:rsidR="002C330E" w:rsidRPr="00D5464D">
        <w:rPr>
          <w:rFonts w:cs="Arial"/>
          <w:szCs w:val="20"/>
          <w:lang w:val="pt-BR"/>
        </w:rPr>
        <w:t xml:space="preserve">risco a </w:t>
      </w:r>
      <w:r w:rsidR="0003391C" w:rsidRPr="00D5464D">
        <w:rPr>
          <w:rFonts w:cs="Arial"/>
          <w:szCs w:val="20"/>
          <w:lang w:val="pt-BR"/>
        </w:rPr>
        <w:t>vida o</w:t>
      </w:r>
      <w:r w:rsidR="005918BC" w:rsidRPr="00D5464D">
        <w:rPr>
          <w:rFonts w:cs="Arial"/>
          <w:szCs w:val="20"/>
          <w:lang w:val="pt-BR"/>
        </w:rPr>
        <w:t>u</w:t>
      </w:r>
      <w:r w:rsidR="002C330E" w:rsidRPr="00D5464D">
        <w:rPr>
          <w:rFonts w:cs="Arial"/>
          <w:szCs w:val="20"/>
          <w:lang w:val="pt-BR"/>
        </w:rPr>
        <w:t xml:space="preserve"> a saúde</w:t>
      </w:r>
      <w:r w:rsidR="00470ADC" w:rsidRPr="00D5464D">
        <w:rPr>
          <w:rFonts w:cs="Arial"/>
          <w:szCs w:val="20"/>
          <w:lang w:val="pt-BR"/>
        </w:rPr>
        <w:t xml:space="preserve"> dos </w:t>
      </w:r>
      <w:r w:rsidR="00E045D9" w:rsidRPr="00D5464D">
        <w:rPr>
          <w:rFonts w:cs="Arial"/>
          <w:szCs w:val="20"/>
          <w:lang w:val="pt-BR"/>
        </w:rPr>
        <w:t>trabalhadores</w:t>
      </w:r>
      <w:r w:rsidR="005918BC" w:rsidRPr="00D5464D">
        <w:rPr>
          <w:rFonts w:cs="Arial"/>
          <w:szCs w:val="20"/>
          <w:lang w:val="pt-BR"/>
        </w:rPr>
        <w:t>.</w:t>
      </w:r>
      <w:r w:rsidR="0003391C" w:rsidRPr="00D5464D">
        <w:rPr>
          <w:rStyle w:val="Refdenotaalpie"/>
          <w:rFonts w:cs="Arial"/>
          <w:lang w:val="pt-BR"/>
        </w:rPr>
        <w:footnoteReference w:id="101"/>
      </w:r>
      <w:r w:rsidR="0003391C" w:rsidRPr="00D5464D">
        <w:rPr>
          <w:rFonts w:cs="Arial"/>
          <w:szCs w:val="20"/>
          <w:lang w:val="pt-BR"/>
        </w:rPr>
        <w:t xml:space="preserve"> </w:t>
      </w:r>
      <w:r w:rsidR="00E006E8" w:rsidRPr="00D5464D">
        <w:rPr>
          <w:rFonts w:cs="Arial"/>
          <w:szCs w:val="20"/>
          <w:lang w:val="pt-BR"/>
        </w:rPr>
        <w:t>E</w:t>
      </w:r>
      <w:r w:rsidR="0003391C" w:rsidRPr="00D5464D">
        <w:rPr>
          <w:rFonts w:cs="Arial"/>
          <w:szCs w:val="20"/>
          <w:lang w:val="pt-BR"/>
        </w:rPr>
        <w:t>sta norma</w:t>
      </w:r>
      <w:r w:rsidR="00470ADC" w:rsidRPr="00D5464D">
        <w:rPr>
          <w:rFonts w:cs="Arial"/>
          <w:szCs w:val="20"/>
          <w:lang w:val="pt-BR"/>
        </w:rPr>
        <w:t xml:space="preserve"> foi </w:t>
      </w:r>
      <w:r w:rsidR="0003391C" w:rsidRPr="00D5464D">
        <w:rPr>
          <w:rFonts w:cs="Arial"/>
          <w:szCs w:val="20"/>
          <w:lang w:val="pt-BR"/>
        </w:rPr>
        <w:t>reformada</w:t>
      </w:r>
      <w:r w:rsidR="00470ADC" w:rsidRPr="00D5464D">
        <w:rPr>
          <w:rFonts w:cs="Arial"/>
          <w:szCs w:val="20"/>
          <w:lang w:val="pt-BR"/>
        </w:rPr>
        <w:t xml:space="preserve"> em </w:t>
      </w:r>
      <w:r w:rsidR="0003391C" w:rsidRPr="00D5464D">
        <w:rPr>
          <w:rFonts w:cs="Arial"/>
          <w:szCs w:val="20"/>
          <w:lang w:val="pt-BR"/>
        </w:rPr>
        <w:t>2006</w:t>
      </w:r>
      <w:r w:rsidR="00E045D9" w:rsidRPr="00D5464D">
        <w:rPr>
          <w:rFonts w:cs="Arial"/>
          <w:szCs w:val="20"/>
          <w:lang w:val="pt-BR"/>
        </w:rPr>
        <w:t xml:space="preserve"> e </w:t>
      </w:r>
      <w:r w:rsidR="005504F7" w:rsidRPr="00D5464D">
        <w:rPr>
          <w:rFonts w:cs="Arial"/>
          <w:szCs w:val="20"/>
          <w:lang w:val="pt-BR"/>
        </w:rPr>
        <w:t>2009</w:t>
      </w:r>
      <w:r w:rsidR="005918BC" w:rsidRPr="00D5464D">
        <w:rPr>
          <w:rFonts w:cs="Arial"/>
          <w:szCs w:val="20"/>
          <w:lang w:val="pt-BR"/>
        </w:rPr>
        <w:t>.</w:t>
      </w:r>
      <w:r w:rsidR="0003391C" w:rsidRPr="00D5464D">
        <w:rPr>
          <w:rStyle w:val="Refdenotaalpie"/>
          <w:rFonts w:cs="Arial"/>
          <w:lang w:val="pt-BR"/>
        </w:rPr>
        <w:footnoteReference w:id="102"/>
      </w:r>
      <w:r w:rsidR="0003391C" w:rsidRPr="00D5464D">
        <w:rPr>
          <w:rFonts w:cs="Arial"/>
          <w:szCs w:val="20"/>
          <w:lang w:val="pt-BR"/>
        </w:rPr>
        <w:t xml:space="preserve"> </w:t>
      </w:r>
    </w:p>
    <w:p w14:paraId="5EFDD0D5" w14:textId="77777777" w:rsidR="0003391C" w:rsidRPr="00D5464D" w:rsidRDefault="0003391C" w:rsidP="00140440">
      <w:pPr>
        <w:pStyle w:val="Prrafodelista"/>
        <w:contextualSpacing w:val="0"/>
        <w:rPr>
          <w:rFonts w:cs="Arial"/>
          <w:sz w:val="16"/>
          <w:szCs w:val="20"/>
          <w:lang w:val="pt-BR"/>
        </w:rPr>
      </w:pPr>
    </w:p>
    <w:p w14:paraId="4A4168B3" w14:textId="7FD5B113" w:rsidR="0003391C" w:rsidRPr="00D5464D" w:rsidRDefault="00B7763E" w:rsidP="00140440">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A</w:t>
      </w:r>
      <w:r w:rsidR="0003391C" w:rsidRPr="00D5464D">
        <w:rPr>
          <w:rFonts w:cs="Arial"/>
          <w:szCs w:val="20"/>
          <w:lang w:val="pt-BR"/>
        </w:rPr>
        <w:t xml:space="preserve"> </w:t>
      </w:r>
      <w:r w:rsidR="002C330E" w:rsidRPr="00D5464D">
        <w:rPr>
          <w:rFonts w:cs="Arial"/>
          <w:szCs w:val="20"/>
          <w:lang w:val="pt-BR"/>
        </w:rPr>
        <w:t>Lei</w:t>
      </w:r>
      <w:r w:rsidR="00A1358C" w:rsidRPr="00D5464D">
        <w:rPr>
          <w:rFonts w:cs="Arial"/>
          <w:szCs w:val="20"/>
          <w:lang w:val="pt-BR"/>
        </w:rPr>
        <w:t xml:space="preserve"> nº </w:t>
      </w:r>
      <w:r w:rsidR="0003391C" w:rsidRPr="00D5464D">
        <w:rPr>
          <w:rFonts w:cs="Arial"/>
          <w:szCs w:val="20"/>
          <w:lang w:val="pt-BR"/>
        </w:rPr>
        <w:t>10.803</w:t>
      </w:r>
      <w:r w:rsidRPr="00D5464D">
        <w:rPr>
          <w:rFonts w:cs="Arial"/>
          <w:szCs w:val="20"/>
          <w:lang w:val="pt-BR"/>
        </w:rPr>
        <w:t>,</w:t>
      </w:r>
      <w:r w:rsidR="0003391C" w:rsidRPr="00D5464D">
        <w:rPr>
          <w:rFonts w:cs="Arial"/>
          <w:szCs w:val="20"/>
          <w:lang w:val="pt-BR"/>
        </w:rPr>
        <w:t xml:space="preserve"> de 2003</w:t>
      </w:r>
      <w:r w:rsidRPr="00D5464D">
        <w:rPr>
          <w:rFonts w:cs="Arial"/>
          <w:szCs w:val="20"/>
          <w:lang w:val="pt-BR"/>
        </w:rPr>
        <w:t>,</w:t>
      </w:r>
      <w:r w:rsidR="0003391C" w:rsidRPr="00D5464D">
        <w:rPr>
          <w:rFonts w:cs="Arial"/>
          <w:szCs w:val="20"/>
          <w:lang w:val="pt-BR"/>
        </w:rPr>
        <w:t xml:space="preserve"> </w:t>
      </w:r>
      <w:r w:rsidR="002C330E" w:rsidRPr="00D5464D">
        <w:rPr>
          <w:rFonts w:cs="Arial"/>
          <w:szCs w:val="20"/>
          <w:lang w:val="pt-BR"/>
        </w:rPr>
        <w:t>modificou</w:t>
      </w:r>
      <w:r w:rsidR="00470ADC" w:rsidRPr="00D5464D">
        <w:rPr>
          <w:rFonts w:cs="Arial"/>
          <w:szCs w:val="20"/>
          <w:lang w:val="pt-BR"/>
        </w:rPr>
        <w:t xml:space="preserve"> o artigo</w:t>
      </w:r>
      <w:r w:rsidR="0003391C" w:rsidRPr="00D5464D">
        <w:rPr>
          <w:rFonts w:cs="Arial"/>
          <w:szCs w:val="20"/>
          <w:lang w:val="pt-BR"/>
        </w:rPr>
        <w:t xml:space="preserve"> 149 </w:t>
      </w:r>
      <w:r w:rsidR="00470ADC" w:rsidRPr="00D5464D">
        <w:rPr>
          <w:rFonts w:cs="Arial"/>
          <w:szCs w:val="20"/>
          <w:lang w:val="pt-BR"/>
        </w:rPr>
        <w:t xml:space="preserve">do </w:t>
      </w:r>
      <w:r w:rsidR="00BE60E8" w:rsidRPr="00D5464D">
        <w:rPr>
          <w:rFonts w:cs="Arial"/>
          <w:szCs w:val="20"/>
          <w:lang w:val="pt-BR"/>
        </w:rPr>
        <w:t xml:space="preserve">Código Penal </w:t>
      </w:r>
      <w:r w:rsidR="00470ADC" w:rsidRPr="00D5464D">
        <w:rPr>
          <w:rFonts w:cs="Arial"/>
          <w:szCs w:val="20"/>
          <w:lang w:val="pt-BR"/>
        </w:rPr>
        <w:t>brasileir</w:t>
      </w:r>
      <w:r w:rsidR="00BE60E8" w:rsidRPr="00D5464D">
        <w:rPr>
          <w:rFonts w:cs="Arial"/>
          <w:szCs w:val="20"/>
          <w:lang w:val="pt-BR"/>
        </w:rPr>
        <w:t>o</w:t>
      </w:r>
      <w:r w:rsidR="00470ADC" w:rsidRPr="00D5464D">
        <w:rPr>
          <w:rFonts w:cs="Arial"/>
          <w:szCs w:val="20"/>
          <w:lang w:val="pt-BR"/>
        </w:rPr>
        <w:t xml:space="preserve">, </w:t>
      </w:r>
      <w:r w:rsidRPr="00D5464D">
        <w:rPr>
          <w:rFonts w:cs="Arial"/>
          <w:szCs w:val="20"/>
          <w:lang w:val="pt-BR"/>
        </w:rPr>
        <w:t xml:space="preserve">que passou a tipificar </w:t>
      </w:r>
      <w:r w:rsidR="0003391C" w:rsidRPr="00D5464D">
        <w:rPr>
          <w:rFonts w:cs="Arial"/>
          <w:szCs w:val="20"/>
          <w:lang w:val="pt-BR"/>
        </w:rPr>
        <w:t xml:space="preserve">como delito toda </w:t>
      </w:r>
      <w:r w:rsidR="00470ADC" w:rsidRPr="00D5464D">
        <w:rPr>
          <w:rFonts w:cs="Arial"/>
          <w:szCs w:val="20"/>
          <w:lang w:val="pt-BR"/>
        </w:rPr>
        <w:t>conduta</w:t>
      </w:r>
      <w:r w:rsidR="0003391C" w:rsidRPr="00D5464D">
        <w:rPr>
          <w:rFonts w:cs="Arial"/>
          <w:szCs w:val="20"/>
          <w:lang w:val="pt-BR"/>
        </w:rPr>
        <w:t xml:space="preserve"> que </w:t>
      </w:r>
      <w:r w:rsidRPr="00D5464D">
        <w:rPr>
          <w:rFonts w:cs="Arial"/>
          <w:szCs w:val="20"/>
          <w:lang w:val="pt-BR"/>
        </w:rPr>
        <w:t xml:space="preserve">reduzisse </w:t>
      </w:r>
      <w:r w:rsidR="00E045D9" w:rsidRPr="00D5464D">
        <w:rPr>
          <w:rFonts w:cs="Arial"/>
          <w:szCs w:val="20"/>
          <w:lang w:val="pt-BR"/>
        </w:rPr>
        <w:t xml:space="preserve">uma </w:t>
      </w:r>
      <w:r w:rsidR="002C330E" w:rsidRPr="00D5464D">
        <w:rPr>
          <w:rFonts w:cs="Arial"/>
          <w:szCs w:val="20"/>
          <w:lang w:val="pt-BR"/>
        </w:rPr>
        <w:t>pessoa</w:t>
      </w:r>
      <w:r w:rsidR="0003391C" w:rsidRPr="00D5464D">
        <w:rPr>
          <w:rFonts w:cs="Arial"/>
          <w:szCs w:val="20"/>
          <w:lang w:val="pt-BR"/>
        </w:rPr>
        <w:t xml:space="preserve"> a condi</w:t>
      </w:r>
      <w:r w:rsidR="00470ADC" w:rsidRPr="00D5464D">
        <w:rPr>
          <w:rFonts w:cs="Arial"/>
          <w:szCs w:val="20"/>
          <w:lang w:val="pt-BR"/>
        </w:rPr>
        <w:t>ções</w:t>
      </w:r>
      <w:r w:rsidR="0003391C" w:rsidRPr="00D5464D">
        <w:rPr>
          <w:rFonts w:cs="Arial"/>
          <w:szCs w:val="20"/>
          <w:lang w:val="pt-BR"/>
        </w:rPr>
        <w:t xml:space="preserve"> </w:t>
      </w:r>
      <w:r w:rsidR="006665EF" w:rsidRPr="00D5464D">
        <w:rPr>
          <w:rFonts w:cs="Arial"/>
          <w:szCs w:val="20"/>
          <w:lang w:val="pt-BR"/>
        </w:rPr>
        <w:t>análogas</w:t>
      </w:r>
      <w:r w:rsidR="00350187" w:rsidRPr="00D5464D">
        <w:rPr>
          <w:rFonts w:cs="Arial"/>
          <w:szCs w:val="20"/>
          <w:lang w:val="pt-BR"/>
        </w:rPr>
        <w:t xml:space="preserve"> </w:t>
      </w:r>
      <w:r w:rsidR="00470ADC" w:rsidRPr="00D5464D">
        <w:rPr>
          <w:rFonts w:cs="Arial"/>
          <w:szCs w:val="20"/>
          <w:lang w:val="pt-BR"/>
        </w:rPr>
        <w:t xml:space="preserve">à </w:t>
      </w:r>
      <w:r w:rsidR="00696CD2" w:rsidRPr="00D5464D">
        <w:rPr>
          <w:rFonts w:cs="Arial"/>
          <w:szCs w:val="20"/>
          <w:lang w:val="pt-BR"/>
        </w:rPr>
        <w:t xml:space="preserve">de </w:t>
      </w:r>
      <w:r w:rsidR="004F1CC2" w:rsidRPr="00D5464D">
        <w:rPr>
          <w:rFonts w:cs="Arial"/>
          <w:szCs w:val="20"/>
          <w:lang w:val="pt-BR"/>
        </w:rPr>
        <w:t>escravo</w:t>
      </w:r>
      <w:r w:rsidR="0003391C" w:rsidRPr="00D5464D">
        <w:rPr>
          <w:rFonts w:cs="Arial"/>
          <w:szCs w:val="20"/>
          <w:lang w:val="pt-BR"/>
        </w:rPr>
        <w:t>,</w:t>
      </w:r>
      <w:r w:rsidR="00E045D9" w:rsidRPr="00D5464D">
        <w:rPr>
          <w:rFonts w:cs="Arial"/>
          <w:szCs w:val="20"/>
          <w:lang w:val="pt-BR"/>
        </w:rPr>
        <w:t xml:space="preserve"> nos </w:t>
      </w:r>
      <w:r w:rsidR="002C330E" w:rsidRPr="00D5464D">
        <w:rPr>
          <w:rFonts w:cs="Arial"/>
          <w:szCs w:val="20"/>
          <w:lang w:val="pt-BR"/>
        </w:rPr>
        <w:t>seguinte</w:t>
      </w:r>
      <w:r w:rsidR="0003391C" w:rsidRPr="00D5464D">
        <w:rPr>
          <w:rFonts w:cs="Arial"/>
          <w:szCs w:val="20"/>
          <w:lang w:val="pt-BR"/>
        </w:rPr>
        <w:t xml:space="preserve">s </w:t>
      </w:r>
      <w:r w:rsidR="00E045D9" w:rsidRPr="00D5464D">
        <w:rPr>
          <w:rFonts w:cs="Arial"/>
          <w:szCs w:val="20"/>
          <w:lang w:val="pt-BR"/>
        </w:rPr>
        <w:t>termo</w:t>
      </w:r>
      <w:r w:rsidR="0003391C" w:rsidRPr="00D5464D">
        <w:rPr>
          <w:rFonts w:cs="Arial"/>
          <w:szCs w:val="20"/>
          <w:lang w:val="pt-BR"/>
        </w:rPr>
        <w:t>s:</w:t>
      </w:r>
    </w:p>
    <w:p w14:paraId="4A5A7564" w14:textId="77777777" w:rsidR="0003391C" w:rsidRPr="00D5464D" w:rsidRDefault="0003391C" w:rsidP="00140440">
      <w:pPr>
        <w:pStyle w:val="Prrafodelista"/>
        <w:autoSpaceDE w:val="0"/>
        <w:autoSpaceDN w:val="0"/>
        <w:adjustRightInd w:val="0"/>
        <w:ind w:left="0"/>
        <w:contextualSpacing w:val="0"/>
        <w:rPr>
          <w:rFonts w:cs="Arial"/>
          <w:szCs w:val="20"/>
          <w:lang w:val="pt-BR"/>
        </w:rPr>
      </w:pPr>
    </w:p>
    <w:p w14:paraId="0B56596B" w14:textId="3D91A633" w:rsidR="0003391C" w:rsidRPr="00D5464D" w:rsidRDefault="00B7763E" w:rsidP="00140440">
      <w:pPr>
        <w:autoSpaceDE w:val="0"/>
        <w:autoSpaceDN w:val="0"/>
        <w:adjustRightInd w:val="0"/>
        <w:ind w:left="720" w:right="720"/>
        <w:jc w:val="both"/>
        <w:rPr>
          <w:rFonts w:cs="Times New Roman"/>
          <w:sz w:val="16"/>
          <w:szCs w:val="20"/>
          <w:lang w:val="pt-BR"/>
        </w:rPr>
      </w:pPr>
      <w:r w:rsidRPr="00D5464D">
        <w:rPr>
          <w:rFonts w:cs="Arial"/>
          <w:sz w:val="16"/>
          <w:szCs w:val="20"/>
          <w:lang w:val="pt-BR"/>
        </w:rPr>
        <w:t>Art. 149. Reduzir alguém a condição análoga à de escravo, quer submetendo-o a trabalhos forçados ou a jornada exaustiva, quer sujeitando-o a condições degradantes de trabalho, quer restringindo, por qualquer meio, sua locomoção em razão de dívida contraída com o empregador ou preposto:</w:t>
      </w:r>
    </w:p>
    <w:p w14:paraId="0AB11A6B" w14:textId="77777777" w:rsidR="00B130B5" w:rsidRPr="00D5464D" w:rsidRDefault="00B130B5" w:rsidP="00140440">
      <w:pPr>
        <w:autoSpaceDE w:val="0"/>
        <w:autoSpaceDN w:val="0"/>
        <w:adjustRightInd w:val="0"/>
        <w:ind w:left="720" w:right="720"/>
        <w:jc w:val="both"/>
        <w:rPr>
          <w:rFonts w:cs="Arial"/>
          <w:sz w:val="16"/>
          <w:szCs w:val="20"/>
          <w:lang w:val="pt-BR"/>
        </w:rPr>
      </w:pPr>
    </w:p>
    <w:p w14:paraId="474F255B" w14:textId="2A205E35" w:rsidR="0003391C" w:rsidRPr="00D5464D" w:rsidRDefault="00197D27" w:rsidP="00140440">
      <w:pPr>
        <w:autoSpaceDE w:val="0"/>
        <w:autoSpaceDN w:val="0"/>
        <w:adjustRightInd w:val="0"/>
        <w:ind w:left="720" w:right="720"/>
        <w:jc w:val="both"/>
        <w:rPr>
          <w:rFonts w:cs="Times New Roman"/>
          <w:sz w:val="16"/>
          <w:szCs w:val="20"/>
          <w:lang w:val="pt-BR"/>
        </w:rPr>
      </w:pPr>
      <w:r w:rsidRPr="00D5464D">
        <w:rPr>
          <w:rFonts w:cs="Arial"/>
          <w:sz w:val="16"/>
          <w:szCs w:val="20"/>
          <w:lang w:val="pt-BR"/>
        </w:rPr>
        <w:t>Pena - reclusão, de dois a oito anos, e multa, além da pena correspondente à violência.</w:t>
      </w:r>
    </w:p>
    <w:p w14:paraId="4258ED86" w14:textId="77777777" w:rsidR="0003391C" w:rsidRPr="00D5464D" w:rsidRDefault="0003391C" w:rsidP="00140440">
      <w:pPr>
        <w:autoSpaceDE w:val="0"/>
        <w:autoSpaceDN w:val="0"/>
        <w:adjustRightInd w:val="0"/>
        <w:ind w:left="720" w:right="720"/>
        <w:jc w:val="both"/>
        <w:rPr>
          <w:rFonts w:cs="Times New Roman"/>
          <w:sz w:val="16"/>
          <w:szCs w:val="20"/>
          <w:lang w:val="pt-BR"/>
        </w:rPr>
      </w:pPr>
    </w:p>
    <w:p w14:paraId="6A841301" w14:textId="0450DF10" w:rsidR="0003391C" w:rsidRPr="00D5464D" w:rsidRDefault="00197D27" w:rsidP="00140440">
      <w:pPr>
        <w:autoSpaceDE w:val="0"/>
        <w:autoSpaceDN w:val="0"/>
        <w:adjustRightInd w:val="0"/>
        <w:ind w:left="720" w:right="720"/>
        <w:jc w:val="both"/>
        <w:rPr>
          <w:rFonts w:cs="Arial"/>
          <w:sz w:val="16"/>
          <w:szCs w:val="20"/>
          <w:lang w:val="pt-BR"/>
        </w:rPr>
      </w:pPr>
      <w:r w:rsidRPr="00D5464D">
        <w:rPr>
          <w:rFonts w:cs="Arial"/>
          <w:sz w:val="16"/>
          <w:szCs w:val="20"/>
          <w:lang w:val="pt-BR"/>
        </w:rPr>
        <w:t>§ 1</w:t>
      </w:r>
      <w:r w:rsidRPr="00D5464D">
        <w:rPr>
          <w:rFonts w:cs="Arial"/>
          <w:sz w:val="16"/>
          <w:szCs w:val="20"/>
          <w:u w:val="single"/>
          <w:vertAlign w:val="superscript"/>
          <w:lang w:val="pt-BR"/>
        </w:rPr>
        <w:t>o</w:t>
      </w:r>
      <w:r w:rsidRPr="00D5464D">
        <w:rPr>
          <w:rFonts w:cs="Arial"/>
          <w:sz w:val="16"/>
          <w:szCs w:val="20"/>
          <w:lang w:val="pt-BR"/>
        </w:rPr>
        <w:t> Nas mesmas penas incorre quem:</w:t>
      </w:r>
    </w:p>
    <w:p w14:paraId="662DC0F8" w14:textId="77777777" w:rsidR="00197D27" w:rsidRPr="00D5464D" w:rsidRDefault="00197D27" w:rsidP="00140440">
      <w:pPr>
        <w:autoSpaceDE w:val="0"/>
        <w:autoSpaceDN w:val="0"/>
        <w:adjustRightInd w:val="0"/>
        <w:ind w:left="720" w:right="720"/>
        <w:jc w:val="both"/>
        <w:rPr>
          <w:rFonts w:cs="Arial"/>
          <w:sz w:val="16"/>
          <w:szCs w:val="20"/>
          <w:lang w:val="pt-BR"/>
        </w:rPr>
      </w:pPr>
    </w:p>
    <w:p w14:paraId="67DA0014" w14:textId="31371CD5" w:rsidR="0003391C" w:rsidRPr="00D5464D" w:rsidRDefault="00197D27" w:rsidP="00140440">
      <w:pPr>
        <w:autoSpaceDE w:val="0"/>
        <w:autoSpaceDN w:val="0"/>
        <w:adjustRightInd w:val="0"/>
        <w:ind w:left="720" w:right="720"/>
        <w:jc w:val="both"/>
        <w:rPr>
          <w:rFonts w:cs="Arial"/>
          <w:sz w:val="16"/>
          <w:szCs w:val="20"/>
          <w:lang w:val="pt-BR"/>
        </w:rPr>
      </w:pPr>
      <w:r w:rsidRPr="00D5464D">
        <w:rPr>
          <w:rFonts w:cs="Arial"/>
          <w:sz w:val="16"/>
          <w:szCs w:val="20"/>
          <w:lang w:val="pt-BR"/>
        </w:rPr>
        <w:t>I – cerceia o uso de qualquer meio de transporte por parte do trabalhador, com o fim de retê-lo no local de trabalho;</w:t>
      </w:r>
    </w:p>
    <w:p w14:paraId="46B9CC67" w14:textId="4675D83E" w:rsidR="0003391C" w:rsidRPr="00D5464D" w:rsidRDefault="00197D27" w:rsidP="00140440">
      <w:pPr>
        <w:autoSpaceDE w:val="0"/>
        <w:autoSpaceDN w:val="0"/>
        <w:adjustRightInd w:val="0"/>
        <w:ind w:left="720" w:right="720"/>
        <w:jc w:val="both"/>
        <w:rPr>
          <w:rFonts w:cs="Arial"/>
          <w:sz w:val="16"/>
          <w:szCs w:val="20"/>
          <w:lang w:val="pt-BR"/>
        </w:rPr>
      </w:pPr>
      <w:r w:rsidRPr="00D5464D">
        <w:rPr>
          <w:rFonts w:cs="Arial"/>
          <w:sz w:val="16"/>
          <w:szCs w:val="20"/>
          <w:lang w:val="pt-BR"/>
        </w:rPr>
        <w:t>II – mantém vigilância ostensiva no local de trabalho ou se apodera de documentos ou objetos pessoais do trabalhador, com o fim de retê-lo no local de trabalho.</w:t>
      </w:r>
    </w:p>
    <w:p w14:paraId="3434E7B6" w14:textId="77777777" w:rsidR="00197D27" w:rsidRPr="00D5464D" w:rsidRDefault="00197D27" w:rsidP="00140440">
      <w:pPr>
        <w:autoSpaceDE w:val="0"/>
        <w:autoSpaceDN w:val="0"/>
        <w:adjustRightInd w:val="0"/>
        <w:ind w:left="720" w:right="720"/>
        <w:jc w:val="both"/>
        <w:rPr>
          <w:rFonts w:cs="Arial"/>
          <w:sz w:val="16"/>
          <w:szCs w:val="20"/>
          <w:lang w:val="pt-BR"/>
        </w:rPr>
      </w:pPr>
    </w:p>
    <w:p w14:paraId="60E362EF" w14:textId="3C34DD68" w:rsidR="0003391C" w:rsidRPr="00D5464D" w:rsidRDefault="00197D27" w:rsidP="00140440">
      <w:pPr>
        <w:autoSpaceDE w:val="0"/>
        <w:autoSpaceDN w:val="0"/>
        <w:adjustRightInd w:val="0"/>
        <w:ind w:left="720" w:right="720"/>
        <w:jc w:val="both"/>
        <w:rPr>
          <w:rFonts w:cs="Arial"/>
          <w:sz w:val="16"/>
          <w:szCs w:val="20"/>
          <w:lang w:val="pt-BR"/>
        </w:rPr>
      </w:pPr>
      <w:r w:rsidRPr="00D5464D">
        <w:rPr>
          <w:rFonts w:cs="Arial"/>
          <w:sz w:val="16"/>
          <w:szCs w:val="20"/>
          <w:lang w:val="pt-BR"/>
        </w:rPr>
        <w:t>§ 2</w:t>
      </w:r>
      <w:r w:rsidRPr="00D5464D">
        <w:rPr>
          <w:rFonts w:cs="Arial"/>
          <w:sz w:val="16"/>
          <w:szCs w:val="20"/>
          <w:u w:val="single"/>
          <w:vertAlign w:val="superscript"/>
          <w:lang w:val="pt-BR"/>
        </w:rPr>
        <w:t>o</w:t>
      </w:r>
      <w:r w:rsidRPr="00D5464D">
        <w:rPr>
          <w:rFonts w:cs="Arial"/>
          <w:sz w:val="16"/>
          <w:szCs w:val="20"/>
          <w:lang w:val="pt-BR"/>
        </w:rPr>
        <w:t> A pena é aumentada de metade, se o crime é cometido:</w:t>
      </w:r>
      <w:r w:rsidR="0003391C" w:rsidRPr="00D5464D">
        <w:rPr>
          <w:rFonts w:cs="Arial"/>
          <w:sz w:val="16"/>
          <w:szCs w:val="20"/>
          <w:lang w:val="pt-BR"/>
        </w:rPr>
        <w:t xml:space="preserve"> </w:t>
      </w:r>
    </w:p>
    <w:p w14:paraId="0E574AA9" w14:textId="77777777" w:rsidR="0003391C" w:rsidRPr="00D5464D" w:rsidRDefault="0003391C" w:rsidP="00140440">
      <w:pPr>
        <w:autoSpaceDE w:val="0"/>
        <w:autoSpaceDN w:val="0"/>
        <w:adjustRightInd w:val="0"/>
        <w:ind w:left="720" w:right="720"/>
        <w:jc w:val="both"/>
        <w:rPr>
          <w:rFonts w:cs="Arial"/>
          <w:sz w:val="16"/>
          <w:szCs w:val="20"/>
          <w:lang w:val="pt-BR"/>
        </w:rPr>
      </w:pPr>
    </w:p>
    <w:p w14:paraId="21D7F1CB" w14:textId="1D2162C9" w:rsidR="00197D27" w:rsidRPr="00D5464D" w:rsidRDefault="00197D27" w:rsidP="00140440">
      <w:pPr>
        <w:autoSpaceDE w:val="0"/>
        <w:autoSpaceDN w:val="0"/>
        <w:adjustRightInd w:val="0"/>
        <w:ind w:left="720" w:right="720"/>
        <w:jc w:val="both"/>
        <w:rPr>
          <w:rFonts w:cs="Arial"/>
          <w:sz w:val="16"/>
          <w:szCs w:val="20"/>
          <w:lang w:val="pt-BR"/>
        </w:rPr>
      </w:pPr>
      <w:r w:rsidRPr="00D5464D">
        <w:rPr>
          <w:rFonts w:cs="Arial"/>
          <w:sz w:val="16"/>
          <w:szCs w:val="20"/>
          <w:lang w:val="pt-BR"/>
        </w:rPr>
        <w:t>I – contra criança ou adolescente;</w:t>
      </w:r>
      <w:r w:rsidR="00FF1290" w:rsidRPr="00D5464D">
        <w:rPr>
          <w:rFonts w:cs="Arial"/>
          <w:sz w:val="16"/>
          <w:szCs w:val="20"/>
          <w:lang w:val="pt-BR"/>
        </w:rPr>
        <w:t xml:space="preserve"> </w:t>
      </w:r>
    </w:p>
    <w:p w14:paraId="08E20F9B" w14:textId="7463BC2E" w:rsidR="0003391C" w:rsidRPr="00D5464D" w:rsidRDefault="00197D27" w:rsidP="00140440">
      <w:pPr>
        <w:autoSpaceDE w:val="0"/>
        <w:autoSpaceDN w:val="0"/>
        <w:adjustRightInd w:val="0"/>
        <w:ind w:left="720" w:right="720"/>
        <w:jc w:val="both"/>
        <w:rPr>
          <w:rFonts w:cs="Arial"/>
          <w:sz w:val="16"/>
          <w:szCs w:val="20"/>
          <w:lang w:val="pt-BR"/>
        </w:rPr>
      </w:pPr>
      <w:r w:rsidRPr="00D5464D">
        <w:rPr>
          <w:rFonts w:cs="Arial"/>
          <w:sz w:val="16"/>
          <w:szCs w:val="20"/>
          <w:lang w:val="pt-BR"/>
        </w:rPr>
        <w:t>II – por motivo de preconceito de raça, cor, etnia, religião ou origem. </w:t>
      </w:r>
    </w:p>
    <w:p w14:paraId="637D7324" w14:textId="77777777" w:rsidR="0003391C" w:rsidRPr="00D5464D" w:rsidRDefault="0003391C" w:rsidP="00140440">
      <w:pPr>
        <w:autoSpaceDE w:val="0"/>
        <w:autoSpaceDN w:val="0"/>
        <w:adjustRightInd w:val="0"/>
        <w:ind w:left="720" w:right="720"/>
        <w:jc w:val="both"/>
        <w:rPr>
          <w:rFonts w:cs="Arial"/>
          <w:szCs w:val="20"/>
          <w:lang w:val="pt-BR"/>
        </w:rPr>
      </w:pPr>
    </w:p>
    <w:p w14:paraId="5EB71101" w14:textId="6C7E3391" w:rsidR="0003391C" w:rsidRPr="00D5464D" w:rsidRDefault="00CB7E29" w:rsidP="00EF4DFF">
      <w:pPr>
        <w:pStyle w:val="Ttulo2"/>
        <w:numPr>
          <w:ilvl w:val="0"/>
          <w:numId w:val="0"/>
        </w:numPr>
        <w:rPr>
          <w:rFonts w:eastAsia="Batang"/>
          <w:lang w:val="pt-BR" w:eastAsia="es-ES"/>
        </w:rPr>
      </w:pPr>
      <w:bookmarkStart w:id="260" w:name="_Toc464813928"/>
      <w:bookmarkStart w:id="261" w:name="_Toc468433889"/>
      <w:r w:rsidRPr="00D5464D">
        <w:rPr>
          <w:rFonts w:eastAsia="Batang"/>
          <w:lang w:val="pt-BR" w:eastAsia="es-ES"/>
        </w:rPr>
        <w:tab/>
      </w:r>
      <w:r w:rsidR="0014534A" w:rsidRPr="00D5464D">
        <w:rPr>
          <w:rFonts w:eastAsia="Batang"/>
          <w:lang w:val="pt-BR" w:eastAsia="es-ES"/>
        </w:rPr>
        <w:t>A.5</w:t>
      </w:r>
      <w:r w:rsidRPr="00D5464D">
        <w:rPr>
          <w:rFonts w:eastAsia="Batang"/>
          <w:lang w:val="pt-BR" w:eastAsia="es-ES"/>
        </w:rPr>
        <w:t>.</w:t>
      </w:r>
      <w:r w:rsidR="0014534A" w:rsidRPr="00D5464D">
        <w:rPr>
          <w:rFonts w:eastAsia="Batang"/>
          <w:lang w:val="pt-BR" w:eastAsia="es-ES"/>
        </w:rPr>
        <w:t xml:space="preserve"> </w:t>
      </w:r>
      <w:r w:rsidR="00E93D34" w:rsidRPr="00D5464D">
        <w:rPr>
          <w:rFonts w:eastAsia="Batang"/>
          <w:lang w:val="pt-BR" w:eastAsia="es-ES"/>
        </w:rPr>
        <w:t>Antecedentes</w:t>
      </w:r>
      <w:bookmarkEnd w:id="260"/>
      <w:bookmarkEnd w:id="261"/>
    </w:p>
    <w:p w14:paraId="301446E7" w14:textId="77777777" w:rsidR="0003391C" w:rsidRPr="00D5464D" w:rsidRDefault="0003391C" w:rsidP="00140440">
      <w:pPr>
        <w:pStyle w:val="Prrafodelista"/>
        <w:contextualSpacing w:val="0"/>
        <w:rPr>
          <w:rFonts w:cs="Times New Roman"/>
          <w:szCs w:val="20"/>
          <w:lang w:val="pt-BR"/>
        </w:rPr>
      </w:pPr>
    </w:p>
    <w:p w14:paraId="14F0E935" w14:textId="4DBB6ABA" w:rsidR="0003391C" w:rsidRPr="00D5464D" w:rsidRDefault="0003391C" w:rsidP="008622F3">
      <w:pPr>
        <w:pStyle w:val="Ttulo3"/>
        <w:rPr>
          <w:lang w:val="pt-BR"/>
        </w:rPr>
      </w:pPr>
      <w:bookmarkStart w:id="262" w:name="_Toc460433004"/>
      <w:bookmarkStart w:id="263" w:name="_Toc460441935"/>
      <w:bookmarkStart w:id="264" w:name="_Toc462750753"/>
      <w:bookmarkStart w:id="265" w:name="_Toc462751077"/>
      <w:bookmarkStart w:id="266" w:name="_Toc464813929"/>
      <w:bookmarkStart w:id="267" w:name="_Toc468433890"/>
      <w:r w:rsidRPr="00D5464D">
        <w:rPr>
          <w:b w:val="0"/>
          <w:lang w:val="pt-BR"/>
        </w:rPr>
        <w:t>Sobre</w:t>
      </w:r>
      <w:r w:rsidR="002C330E" w:rsidRPr="00D5464D">
        <w:rPr>
          <w:b w:val="0"/>
          <w:lang w:val="pt-BR"/>
        </w:rPr>
        <w:t xml:space="preserve"> a </w:t>
      </w:r>
      <w:r w:rsidR="00D809F0" w:rsidRPr="00D5464D">
        <w:rPr>
          <w:b w:val="0"/>
          <w:lang w:val="pt-BR"/>
        </w:rPr>
        <w:t>Fazenda</w:t>
      </w:r>
      <w:r w:rsidRPr="00D5464D">
        <w:rPr>
          <w:b w:val="0"/>
          <w:lang w:val="pt-BR"/>
        </w:rPr>
        <w:t xml:space="preserve"> Brasil Verde</w:t>
      </w:r>
      <w:bookmarkEnd w:id="262"/>
      <w:bookmarkEnd w:id="263"/>
      <w:bookmarkEnd w:id="264"/>
      <w:bookmarkEnd w:id="265"/>
      <w:bookmarkEnd w:id="266"/>
      <w:bookmarkEnd w:id="267"/>
    </w:p>
    <w:p w14:paraId="5556DA60" w14:textId="77777777" w:rsidR="00D65024" w:rsidRPr="00D5464D" w:rsidRDefault="00D65024" w:rsidP="00D65024">
      <w:pPr>
        <w:pStyle w:val="Prrafodelista"/>
        <w:autoSpaceDE w:val="0"/>
        <w:autoSpaceDN w:val="0"/>
        <w:adjustRightInd w:val="0"/>
        <w:ind w:left="0"/>
        <w:contextualSpacing w:val="0"/>
        <w:rPr>
          <w:rFonts w:cs="Times New Roman"/>
          <w:szCs w:val="20"/>
          <w:lang w:val="pt-BR"/>
        </w:rPr>
      </w:pPr>
    </w:p>
    <w:p w14:paraId="26FE332B" w14:textId="7755F6B6" w:rsidR="0003391C" w:rsidRPr="00D5464D" w:rsidRDefault="00470ADC" w:rsidP="00140440">
      <w:pPr>
        <w:pStyle w:val="Prrafodelista"/>
        <w:numPr>
          <w:ilvl w:val="0"/>
          <w:numId w:val="1"/>
        </w:numPr>
        <w:autoSpaceDE w:val="0"/>
        <w:autoSpaceDN w:val="0"/>
        <w:adjustRightInd w:val="0"/>
        <w:contextualSpacing w:val="0"/>
        <w:rPr>
          <w:rFonts w:cs="Times New Roman"/>
          <w:szCs w:val="20"/>
          <w:lang w:val="pt-BR"/>
        </w:rPr>
      </w:pPr>
      <w:r w:rsidRPr="00D5464D">
        <w:rPr>
          <w:rFonts w:cs="Times New Roman"/>
          <w:szCs w:val="20"/>
          <w:lang w:val="pt-BR"/>
        </w:rPr>
        <w:t xml:space="preserve">A </w:t>
      </w:r>
      <w:r w:rsidR="00D809F0" w:rsidRPr="00D5464D">
        <w:rPr>
          <w:rFonts w:cs="Arial"/>
          <w:iCs/>
          <w:szCs w:val="20"/>
          <w:lang w:val="pt-BR"/>
        </w:rPr>
        <w:t>Fazenda</w:t>
      </w:r>
      <w:r w:rsidR="0003391C" w:rsidRPr="00D5464D">
        <w:rPr>
          <w:rFonts w:cs="Arial"/>
          <w:iCs/>
          <w:szCs w:val="20"/>
          <w:lang w:val="pt-BR"/>
        </w:rPr>
        <w:t xml:space="preserve"> Brasil Verde</w:t>
      </w:r>
      <w:r w:rsidR="0003391C" w:rsidRPr="00D5464D">
        <w:rPr>
          <w:rFonts w:cs="Arial"/>
          <w:i/>
          <w:iCs/>
          <w:szCs w:val="20"/>
          <w:lang w:val="pt-BR"/>
        </w:rPr>
        <w:t xml:space="preserve"> </w:t>
      </w:r>
      <w:r w:rsidR="00197D27" w:rsidRPr="00D5464D">
        <w:rPr>
          <w:rFonts w:cs="Arial"/>
          <w:iCs/>
          <w:szCs w:val="20"/>
          <w:lang w:val="pt-BR"/>
        </w:rPr>
        <w:t xml:space="preserve">está </w:t>
      </w:r>
      <w:r w:rsidR="00E045D9" w:rsidRPr="00D5464D">
        <w:rPr>
          <w:rFonts w:cs="Arial"/>
          <w:szCs w:val="20"/>
          <w:lang w:val="pt-BR"/>
        </w:rPr>
        <w:t>localizad</w:t>
      </w:r>
      <w:r w:rsidR="0003391C" w:rsidRPr="00D5464D">
        <w:rPr>
          <w:rFonts w:cs="Arial"/>
          <w:szCs w:val="20"/>
          <w:lang w:val="pt-BR"/>
        </w:rPr>
        <w:t>a</w:t>
      </w:r>
      <w:r w:rsidR="00E045D9" w:rsidRPr="00D5464D">
        <w:rPr>
          <w:rFonts w:cs="Arial"/>
          <w:szCs w:val="20"/>
          <w:lang w:val="pt-BR"/>
        </w:rPr>
        <w:t xml:space="preserve"> no </w:t>
      </w:r>
      <w:r w:rsidR="00230C71" w:rsidRPr="00D5464D">
        <w:rPr>
          <w:rFonts w:cs="Arial"/>
          <w:szCs w:val="20"/>
          <w:lang w:val="pt-BR"/>
        </w:rPr>
        <w:t>município</w:t>
      </w:r>
      <w:r w:rsidR="0003391C" w:rsidRPr="00D5464D">
        <w:rPr>
          <w:rFonts w:cs="Arial"/>
          <w:szCs w:val="20"/>
          <w:lang w:val="pt-BR"/>
        </w:rPr>
        <w:t xml:space="preserve"> de Sapucaia,</w:t>
      </w:r>
      <w:r w:rsidR="00E045D9" w:rsidRPr="00D5464D">
        <w:rPr>
          <w:rFonts w:cs="Arial"/>
          <w:szCs w:val="20"/>
          <w:lang w:val="pt-BR"/>
        </w:rPr>
        <w:t xml:space="preserve"> no sul </w:t>
      </w:r>
      <w:r w:rsidRPr="00D5464D">
        <w:rPr>
          <w:rFonts w:cs="Arial"/>
          <w:szCs w:val="20"/>
          <w:lang w:val="pt-BR"/>
        </w:rPr>
        <w:t xml:space="preserve">do </w:t>
      </w:r>
      <w:r w:rsidR="000077CB" w:rsidRPr="00D5464D">
        <w:rPr>
          <w:rFonts w:cs="Arial"/>
          <w:szCs w:val="20"/>
          <w:lang w:val="pt-BR"/>
        </w:rPr>
        <w:t>E</w:t>
      </w:r>
      <w:r w:rsidR="0003391C" w:rsidRPr="00D5464D">
        <w:rPr>
          <w:rFonts w:cs="Arial"/>
          <w:szCs w:val="20"/>
          <w:lang w:val="pt-BR"/>
        </w:rPr>
        <w:t>stado d</w:t>
      </w:r>
      <w:r w:rsidR="00197D27" w:rsidRPr="00D5464D">
        <w:rPr>
          <w:rFonts w:cs="Arial"/>
          <w:szCs w:val="20"/>
          <w:lang w:val="pt-BR"/>
        </w:rPr>
        <w:t>o</w:t>
      </w:r>
      <w:r w:rsidR="0003391C" w:rsidRPr="00D5464D">
        <w:rPr>
          <w:rFonts w:cs="Arial"/>
          <w:szCs w:val="20"/>
          <w:lang w:val="pt-BR"/>
        </w:rPr>
        <w:t xml:space="preserve"> Pará,</w:t>
      </w:r>
      <w:r w:rsidR="00E045D9" w:rsidRPr="00D5464D">
        <w:rPr>
          <w:rFonts w:cs="Arial"/>
          <w:szCs w:val="20"/>
          <w:lang w:val="pt-BR"/>
        </w:rPr>
        <w:t xml:space="preserve"> na </w:t>
      </w:r>
      <w:r w:rsidR="0003391C" w:rsidRPr="00D5464D">
        <w:rPr>
          <w:rFonts w:cs="Arial"/>
          <w:szCs w:val="20"/>
          <w:lang w:val="pt-BR"/>
        </w:rPr>
        <w:t xml:space="preserve">República </w:t>
      </w:r>
      <w:r w:rsidRPr="00D5464D">
        <w:rPr>
          <w:rFonts w:cs="Arial"/>
          <w:szCs w:val="20"/>
          <w:lang w:val="pt-BR"/>
        </w:rPr>
        <w:t>Federativa do Brasil</w:t>
      </w:r>
      <w:r w:rsidR="00197D27" w:rsidRPr="00D5464D">
        <w:rPr>
          <w:rFonts w:cs="Arial"/>
          <w:szCs w:val="20"/>
          <w:lang w:val="pt-BR"/>
        </w:rPr>
        <w:t>.</w:t>
      </w:r>
      <w:r w:rsidR="0003391C" w:rsidRPr="00D5464D">
        <w:rPr>
          <w:rStyle w:val="Refdenotaalpie"/>
          <w:rFonts w:cs="Arial"/>
          <w:lang w:val="pt-BR"/>
        </w:rPr>
        <w:footnoteReference w:id="103"/>
      </w:r>
      <w:r w:rsidR="00A1358C" w:rsidRPr="00D5464D">
        <w:rPr>
          <w:rFonts w:cs="Arial"/>
          <w:szCs w:val="20"/>
          <w:lang w:val="pt-BR"/>
        </w:rPr>
        <w:t xml:space="preserve"> </w:t>
      </w:r>
      <w:r w:rsidR="00197D27" w:rsidRPr="00D5464D">
        <w:rPr>
          <w:rFonts w:cs="Arial"/>
          <w:szCs w:val="20"/>
          <w:lang w:val="pt-BR"/>
        </w:rPr>
        <w:t>A</w:t>
      </w:r>
      <w:r w:rsidR="00A1358C" w:rsidRPr="00D5464D">
        <w:rPr>
          <w:rFonts w:cs="Arial"/>
          <w:szCs w:val="20"/>
          <w:lang w:val="pt-BR"/>
        </w:rPr>
        <w:t xml:space="preserve"> </w:t>
      </w:r>
      <w:r w:rsidR="0003391C" w:rsidRPr="00D5464D">
        <w:rPr>
          <w:rFonts w:cs="Arial"/>
          <w:szCs w:val="20"/>
          <w:lang w:val="pt-BR"/>
        </w:rPr>
        <w:t>área total</w:t>
      </w:r>
      <w:r w:rsidRPr="00D5464D">
        <w:rPr>
          <w:rFonts w:cs="Arial"/>
          <w:szCs w:val="20"/>
          <w:lang w:val="pt-BR"/>
        </w:rPr>
        <w:t xml:space="preserve"> da </w:t>
      </w:r>
      <w:r w:rsidR="00D809F0" w:rsidRPr="00D5464D">
        <w:rPr>
          <w:rFonts w:cs="Arial"/>
          <w:szCs w:val="20"/>
          <w:lang w:val="pt-BR"/>
        </w:rPr>
        <w:t>Fazenda</w:t>
      </w:r>
      <w:r w:rsidRPr="00D5464D">
        <w:rPr>
          <w:rFonts w:cs="Arial"/>
          <w:szCs w:val="20"/>
          <w:lang w:val="pt-BR"/>
        </w:rPr>
        <w:t xml:space="preserve"> é </w:t>
      </w:r>
      <w:r w:rsidR="0003391C" w:rsidRPr="00D5464D">
        <w:rPr>
          <w:rFonts w:cs="Arial"/>
          <w:szCs w:val="20"/>
          <w:lang w:val="pt-BR"/>
        </w:rPr>
        <w:t xml:space="preserve">de 1.780 </w:t>
      </w:r>
      <w:r w:rsidR="0003391C" w:rsidRPr="00D5464D">
        <w:rPr>
          <w:rFonts w:cs="Arial"/>
          <w:iCs/>
          <w:szCs w:val="20"/>
          <w:lang w:val="pt-BR"/>
        </w:rPr>
        <w:t>alqueires</w:t>
      </w:r>
      <w:r w:rsidR="0003391C" w:rsidRPr="00D5464D">
        <w:rPr>
          <w:rFonts w:cs="Arial"/>
          <w:i/>
          <w:iCs/>
          <w:szCs w:val="20"/>
          <w:lang w:val="pt-BR"/>
        </w:rPr>
        <w:t xml:space="preserve"> </w:t>
      </w:r>
      <w:r w:rsidR="0003391C" w:rsidRPr="00D5464D">
        <w:rPr>
          <w:rFonts w:cs="Arial"/>
          <w:szCs w:val="20"/>
          <w:lang w:val="pt-BR"/>
        </w:rPr>
        <w:t xml:space="preserve">(8.544 </w:t>
      </w:r>
      <w:r w:rsidR="00E765C2" w:rsidRPr="00D5464D">
        <w:rPr>
          <w:rFonts w:cs="Arial"/>
          <w:szCs w:val="20"/>
          <w:lang w:val="pt-BR"/>
        </w:rPr>
        <w:t>hectares</w:t>
      </w:r>
      <w:r w:rsidR="0003391C" w:rsidRPr="00D5464D">
        <w:rPr>
          <w:rFonts w:cs="Arial"/>
          <w:szCs w:val="20"/>
          <w:lang w:val="pt-BR"/>
        </w:rPr>
        <w:t>),</w:t>
      </w:r>
      <w:r w:rsidRPr="00D5464D">
        <w:rPr>
          <w:rFonts w:cs="Arial"/>
          <w:szCs w:val="20"/>
          <w:lang w:val="pt-BR"/>
        </w:rPr>
        <w:t xml:space="preserve"> onde</w:t>
      </w:r>
      <w:r w:rsidR="0003391C" w:rsidRPr="00D5464D">
        <w:rPr>
          <w:rFonts w:cs="Arial"/>
          <w:szCs w:val="20"/>
          <w:lang w:val="pt-BR"/>
        </w:rPr>
        <w:t xml:space="preserve"> se c</w:t>
      </w:r>
      <w:r w:rsidR="00350187" w:rsidRPr="00D5464D">
        <w:rPr>
          <w:rFonts w:cs="Arial"/>
          <w:szCs w:val="20"/>
          <w:lang w:val="pt-BR"/>
        </w:rPr>
        <w:t xml:space="preserve">riam </w:t>
      </w:r>
      <w:r w:rsidR="00E045D9" w:rsidRPr="00D5464D">
        <w:rPr>
          <w:rFonts w:cs="Arial"/>
          <w:szCs w:val="20"/>
          <w:lang w:val="pt-BR"/>
        </w:rPr>
        <w:t>cabeça</w:t>
      </w:r>
      <w:r w:rsidR="0003391C" w:rsidRPr="00D5464D">
        <w:rPr>
          <w:rFonts w:cs="Arial"/>
          <w:szCs w:val="20"/>
          <w:lang w:val="pt-BR"/>
        </w:rPr>
        <w:t>s de gado</w:t>
      </w:r>
      <w:r w:rsidR="00197D27" w:rsidRPr="00D5464D">
        <w:rPr>
          <w:rFonts w:cs="Arial"/>
          <w:szCs w:val="20"/>
          <w:lang w:val="pt-BR"/>
        </w:rPr>
        <w:t>.</w:t>
      </w:r>
      <w:r w:rsidR="0003391C" w:rsidRPr="00D5464D">
        <w:rPr>
          <w:rStyle w:val="Refdenotaalpie"/>
          <w:rFonts w:cs="Arial"/>
          <w:lang w:val="pt-BR"/>
        </w:rPr>
        <w:footnoteReference w:id="104"/>
      </w:r>
      <w:r w:rsidR="00A1358C" w:rsidRPr="00D5464D">
        <w:rPr>
          <w:rFonts w:cs="Times New Roman"/>
          <w:szCs w:val="20"/>
          <w:lang w:val="pt-BR"/>
        </w:rPr>
        <w:t xml:space="preserve"> O </w:t>
      </w:r>
      <w:r w:rsidR="00230C71" w:rsidRPr="00D5464D">
        <w:rPr>
          <w:rFonts w:cs="Arial"/>
          <w:szCs w:val="20"/>
          <w:lang w:val="pt-BR"/>
        </w:rPr>
        <w:t>proprietário</w:t>
      </w:r>
      <w:r w:rsidRPr="00D5464D">
        <w:rPr>
          <w:rFonts w:cs="Arial"/>
          <w:szCs w:val="20"/>
          <w:lang w:val="pt-BR"/>
        </w:rPr>
        <w:t xml:space="preserve"> da </w:t>
      </w:r>
      <w:r w:rsidR="00D809F0" w:rsidRPr="00D5464D">
        <w:rPr>
          <w:rFonts w:cs="Arial"/>
          <w:iCs/>
          <w:szCs w:val="20"/>
          <w:lang w:val="pt-BR"/>
        </w:rPr>
        <w:t>Fazenda</w:t>
      </w:r>
      <w:r w:rsidR="0003391C" w:rsidRPr="00D5464D">
        <w:rPr>
          <w:rFonts w:cs="Arial"/>
          <w:iCs/>
          <w:szCs w:val="20"/>
          <w:lang w:val="pt-BR"/>
        </w:rPr>
        <w:t xml:space="preserve"> Brasil Verde</w:t>
      </w:r>
      <w:r w:rsidR="00FF1290" w:rsidRPr="00D5464D">
        <w:rPr>
          <w:rFonts w:cs="Arial"/>
          <w:i/>
          <w:iCs/>
          <w:szCs w:val="20"/>
          <w:lang w:val="pt-BR"/>
        </w:rPr>
        <w:t xml:space="preserve"> </w:t>
      </w:r>
      <w:r w:rsidR="00E76758" w:rsidRPr="00D5464D">
        <w:rPr>
          <w:rFonts w:cs="Arial"/>
          <w:iCs/>
          <w:szCs w:val="20"/>
          <w:lang w:val="pt-BR"/>
        </w:rPr>
        <w:t xml:space="preserve">no </w:t>
      </w:r>
      <w:r w:rsidR="00B40811" w:rsidRPr="00D5464D">
        <w:rPr>
          <w:rFonts w:cs="Arial"/>
          <w:szCs w:val="20"/>
          <w:lang w:val="pt-BR"/>
        </w:rPr>
        <w:t>momento</w:t>
      </w:r>
      <w:r w:rsidRPr="00D5464D">
        <w:rPr>
          <w:rFonts w:cs="Arial"/>
          <w:szCs w:val="20"/>
          <w:lang w:val="pt-BR"/>
        </w:rPr>
        <w:t xml:space="preserve"> dos </w:t>
      </w:r>
      <w:r w:rsidR="002C330E" w:rsidRPr="00D5464D">
        <w:rPr>
          <w:rFonts w:cs="Arial"/>
          <w:szCs w:val="20"/>
          <w:lang w:val="pt-BR"/>
        </w:rPr>
        <w:t>fatos</w:t>
      </w:r>
      <w:r w:rsidR="00B40811" w:rsidRPr="00D5464D">
        <w:rPr>
          <w:rFonts w:cs="Arial"/>
          <w:szCs w:val="20"/>
          <w:lang w:val="pt-BR"/>
        </w:rPr>
        <w:t xml:space="preserve"> era </w:t>
      </w:r>
      <w:r w:rsidR="0003391C" w:rsidRPr="00D5464D">
        <w:rPr>
          <w:rFonts w:cs="Arial"/>
          <w:szCs w:val="20"/>
          <w:lang w:val="pt-BR"/>
        </w:rPr>
        <w:t>João Luis Quagliato Neto</w:t>
      </w:r>
      <w:r w:rsidR="00197D27" w:rsidRPr="00D5464D">
        <w:rPr>
          <w:rFonts w:cs="Arial"/>
          <w:szCs w:val="20"/>
          <w:lang w:val="pt-BR"/>
        </w:rPr>
        <w:t>.</w:t>
      </w:r>
      <w:r w:rsidR="0003391C" w:rsidRPr="00D5464D">
        <w:rPr>
          <w:rStyle w:val="Refdenotaalpie"/>
          <w:rFonts w:cs="Arial"/>
          <w:lang w:val="pt-BR"/>
        </w:rPr>
        <w:footnoteReference w:id="105"/>
      </w:r>
    </w:p>
    <w:p w14:paraId="1F9A82ED" w14:textId="35588319" w:rsidR="0003391C" w:rsidRPr="00D5464D" w:rsidRDefault="00470ADC" w:rsidP="008622F3">
      <w:pPr>
        <w:pStyle w:val="Ttulo3"/>
        <w:rPr>
          <w:b w:val="0"/>
          <w:lang w:val="pt-BR"/>
        </w:rPr>
      </w:pPr>
      <w:r w:rsidRPr="00D5464D">
        <w:rPr>
          <w:rFonts w:cs="Arial"/>
          <w:i w:val="0"/>
          <w:iCs/>
          <w:szCs w:val="20"/>
          <w:lang w:val="pt-BR"/>
        </w:rPr>
        <w:cr/>
      </w:r>
      <w:bookmarkStart w:id="268" w:name="_Toc468433891"/>
      <w:r w:rsidRPr="00D5464D">
        <w:rPr>
          <w:rFonts w:cs="Arial"/>
          <w:b w:val="0"/>
          <w:iCs/>
          <w:szCs w:val="20"/>
          <w:lang w:val="pt-BR"/>
        </w:rPr>
        <w:t xml:space="preserve">As </w:t>
      </w:r>
      <w:bookmarkStart w:id="269" w:name="_Toc460433005"/>
      <w:bookmarkStart w:id="270" w:name="_Toc460441936"/>
      <w:bookmarkStart w:id="271" w:name="_Toc462750754"/>
      <w:bookmarkStart w:id="272" w:name="_Toc462751078"/>
      <w:bookmarkStart w:id="273" w:name="_Toc464813930"/>
      <w:r w:rsidRPr="00D5464D">
        <w:rPr>
          <w:b w:val="0"/>
          <w:lang w:val="pt-BR"/>
        </w:rPr>
        <w:t>denúncias</w:t>
      </w:r>
      <w:r w:rsidR="002C330E" w:rsidRPr="00D5464D">
        <w:rPr>
          <w:b w:val="0"/>
          <w:lang w:val="pt-BR"/>
        </w:rPr>
        <w:t xml:space="preserve"> apresentadas </w:t>
      </w:r>
      <w:r w:rsidRPr="00D5464D">
        <w:rPr>
          <w:b w:val="0"/>
          <w:lang w:val="pt-BR"/>
        </w:rPr>
        <w:t>em dezembro</w:t>
      </w:r>
      <w:r w:rsidR="0003391C" w:rsidRPr="00D5464D">
        <w:rPr>
          <w:b w:val="0"/>
          <w:lang w:val="pt-BR"/>
        </w:rPr>
        <w:t xml:space="preserve"> de 1988</w:t>
      </w:r>
      <w:r w:rsidR="00E045D9" w:rsidRPr="00D5464D">
        <w:rPr>
          <w:b w:val="0"/>
          <w:lang w:val="pt-BR"/>
        </w:rPr>
        <w:t xml:space="preserve"> e </w:t>
      </w:r>
      <w:r w:rsidRPr="00D5464D">
        <w:rPr>
          <w:b w:val="0"/>
          <w:lang w:val="pt-BR"/>
        </w:rPr>
        <w:t>janeiro</w:t>
      </w:r>
      <w:r w:rsidR="0003391C" w:rsidRPr="00D5464D">
        <w:rPr>
          <w:b w:val="0"/>
          <w:lang w:val="pt-BR"/>
        </w:rPr>
        <w:t xml:space="preserve"> de 1989</w:t>
      </w:r>
      <w:bookmarkEnd w:id="268"/>
      <w:bookmarkEnd w:id="269"/>
      <w:bookmarkEnd w:id="270"/>
      <w:bookmarkEnd w:id="271"/>
      <w:bookmarkEnd w:id="272"/>
      <w:bookmarkEnd w:id="273"/>
    </w:p>
    <w:p w14:paraId="7DDDBA34" w14:textId="77777777" w:rsidR="00D65024" w:rsidRPr="00D5464D" w:rsidRDefault="00D65024" w:rsidP="00D65024">
      <w:pPr>
        <w:pStyle w:val="Prrafodelista"/>
        <w:autoSpaceDE w:val="0"/>
        <w:autoSpaceDN w:val="0"/>
        <w:adjustRightInd w:val="0"/>
        <w:ind w:left="0"/>
        <w:contextualSpacing w:val="0"/>
        <w:rPr>
          <w:rFonts w:cs="Times New Roman"/>
          <w:i/>
          <w:iCs/>
          <w:szCs w:val="20"/>
          <w:lang w:val="pt-BR"/>
        </w:rPr>
      </w:pPr>
    </w:p>
    <w:p w14:paraId="08D7FB01" w14:textId="7F5EBDD4" w:rsidR="0003391C" w:rsidRPr="00D5464D" w:rsidRDefault="00C91CB1" w:rsidP="00140440">
      <w:pPr>
        <w:pStyle w:val="Prrafodelista"/>
        <w:numPr>
          <w:ilvl w:val="0"/>
          <w:numId w:val="1"/>
        </w:numPr>
        <w:autoSpaceDE w:val="0"/>
        <w:autoSpaceDN w:val="0"/>
        <w:adjustRightInd w:val="0"/>
        <w:contextualSpacing w:val="0"/>
        <w:rPr>
          <w:rFonts w:cs="Times New Roman"/>
          <w:i/>
          <w:iCs/>
          <w:szCs w:val="20"/>
          <w:lang w:val="pt-BR"/>
        </w:rPr>
      </w:pPr>
      <w:r w:rsidRPr="00D5464D">
        <w:rPr>
          <w:rFonts w:cs="Times New Roman"/>
          <w:iCs/>
          <w:szCs w:val="20"/>
          <w:lang w:val="pt-BR"/>
        </w:rPr>
        <w:t>Em 2</w:t>
      </w:r>
      <w:r w:rsidR="00350187" w:rsidRPr="00D5464D">
        <w:rPr>
          <w:rFonts w:cs="Arial"/>
          <w:szCs w:val="20"/>
          <w:lang w:val="pt-BR"/>
        </w:rPr>
        <w:t xml:space="preserve">1 </w:t>
      </w:r>
      <w:r w:rsidR="00A1358C" w:rsidRPr="00D5464D">
        <w:rPr>
          <w:rFonts w:cs="Arial"/>
          <w:szCs w:val="20"/>
          <w:lang w:val="pt-BR"/>
        </w:rPr>
        <w:t>de dezembro</w:t>
      </w:r>
      <w:r w:rsidR="0003391C" w:rsidRPr="00D5464D">
        <w:rPr>
          <w:rFonts w:cs="Arial"/>
          <w:szCs w:val="20"/>
          <w:lang w:val="pt-BR"/>
        </w:rPr>
        <w:t xml:space="preserve"> de 1988</w:t>
      </w:r>
      <w:r w:rsidR="00197D27" w:rsidRPr="00D5464D">
        <w:rPr>
          <w:rFonts w:cs="Arial"/>
          <w:szCs w:val="20"/>
          <w:lang w:val="pt-BR"/>
        </w:rPr>
        <w:t>,</w:t>
      </w:r>
      <w:r w:rsidR="002C330E" w:rsidRPr="00D5464D">
        <w:rPr>
          <w:rFonts w:cs="Arial"/>
          <w:szCs w:val="20"/>
          <w:lang w:val="pt-BR"/>
        </w:rPr>
        <w:t xml:space="preserve"> a </w:t>
      </w:r>
      <w:r w:rsidR="00470ADC" w:rsidRPr="00D5464D">
        <w:rPr>
          <w:rFonts w:cs="Arial"/>
          <w:szCs w:val="20"/>
          <w:lang w:val="pt-BR"/>
        </w:rPr>
        <w:t>Comissão</w:t>
      </w:r>
      <w:r w:rsidR="0003391C" w:rsidRPr="00D5464D">
        <w:rPr>
          <w:rFonts w:cs="Arial"/>
          <w:szCs w:val="20"/>
          <w:lang w:val="pt-BR"/>
        </w:rPr>
        <w:t xml:space="preserve"> Pastoral</w:t>
      </w:r>
      <w:r w:rsidR="00470ADC" w:rsidRPr="00D5464D">
        <w:rPr>
          <w:rFonts w:cs="Arial"/>
          <w:szCs w:val="20"/>
          <w:lang w:val="pt-BR"/>
        </w:rPr>
        <w:t xml:space="preserve"> da </w:t>
      </w:r>
      <w:r w:rsidR="00E045D9" w:rsidRPr="00D5464D">
        <w:rPr>
          <w:rFonts w:cs="Arial"/>
          <w:szCs w:val="20"/>
          <w:lang w:val="pt-BR"/>
        </w:rPr>
        <w:t xml:space="preserve">Terra e </w:t>
      </w:r>
      <w:r w:rsidR="002C330E" w:rsidRPr="00D5464D">
        <w:rPr>
          <w:rFonts w:cs="Arial"/>
          <w:szCs w:val="20"/>
          <w:lang w:val="pt-BR"/>
        </w:rPr>
        <w:t xml:space="preserve">a </w:t>
      </w:r>
      <w:r w:rsidR="0003391C" w:rsidRPr="00D5464D">
        <w:rPr>
          <w:rFonts w:cs="Arial"/>
          <w:szCs w:val="20"/>
          <w:lang w:val="pt-BR"/>
        </w:rPr>
        <w:t>Di</w:t>
      </w:r>
      <w:r w:rsidR="00197D27" w:rsidRPr="00D5464D">
        <w:rPr>
          <w:rFonts w:cs="Arial"/>
          <w:szCs w:val="20"/>
          <w:lang w:val="pt-BR"/>
        </w:rPr>
        <w:t>o</w:t>
      </w:r>
      <w:r w:rsidR="0003391C" w:rsidRPr="00D5464D">
        <w:rPr>
          <w:rFonts w:cs="Arial"/>
          <w:szCs w:val="20"/>
          <w:lang w:val="pt-BR"/>
        </w:rPr>
        <w:t>ces</w:t>
      </w:r>
      <w:r w:rsidR="00197D27" w:rsidRPr="00D5464D">
        <w:rPr>
          <w:rFonts w:cs="Arial"/>
          <w:szCs w:val="20"/>
          <w:lang w:val="pt-BR"/>
        </w:rPr>
        <w:t xml:space="preserve">e </w:t>
      </w:r>
      <w:r w:rsidR="0003391C" w:rsidRPr="00D5464D">
        <w:rPr>
          <w:rFonts w:cs="Arial"/>
          <w:szCs w:val="20"/>
          <w:lang w:val="pt-BR"/>
        </w:rPr>
        <w:t>de</w:t>
      </w:r>
      <w:r w:rsidR="00197D27" w:rsidRPr="00D5464D">
        <w:rPr>
          <w:rFonts w:cs="Arial"/>
          <w:szCs w:val="20"/>
          <w:lang w:val="pt-BR"/>
        </w:rPr>
        <w:t xml:space="preserve"> Conceição de</w:t>
      </w:r>
      <w:r w:rsidR="0003391C" w:rsidRPr="00D5464D">
        <w:rPr>
          <w:rFonts w:cs="Arial"/>
          <w:szCs w:val="20"/>
          <w:lang w:val="pt-BR"/>
        </w:rPr>
        <w:t xml:space="preserve"> Araguaia, </w:t>
      </w:r>
      <w:r w:rsidR="009F361F" w:rsidRPr="00D5464D">
        <w:rPr>
          <w:rFonts w:cs="Arial"/>
          <w:szCs w:val="20"/>
          <w:lang w:val="pt-BR"/>
        </w:rPr>
        <w:t xml:space="preserve">acompanhados de </w:t>
      </w:r>
      <w:r w:rsidR="0003391C" w:rsidRPr="00D5464D">
        <w:rPr>
          <w:rFonts w:cs="Arial"/>
          <w:szCs w:val="20"/>
          <w:lang w:val="pt-BR"/>
        </w:rPr>
        <w:t>José Teodoro da Silva</w:t>
      </w:r>
      <w:r w:rsidR="00E045D9" w:rsidRPr="00D5464D">
        <w:rPr>
          <w:rFonts w:cs="Arial"/>
          <w:szCs w:val="20"/>
          <w:lang w:val="pt-BR"/>
        </w:rPr>
        <w:t xml:space="preserve"> e </w:t>
      </w:r>
      <w:r w:rsidR="0003391C" w:rsidRPr="00D5464D">
        <w:rPr>
          <w:rFonts w:cs="Arial"/>
          <w:szCs w:val="20"/>
          <w:lang w:val="pt-BR"/>
        </w:rPr>
        <w:t>Miguel Ferreira da Cruz,</w:t>
      </w:r>
      <w:r w:rsidR="002C330E" w:rsidRPr="00D5464D">
        <w:rPr>
          <w:rFonts w:cs="Arial"/>
          <w:szCs w:val="20"/>
          <w:lang w:val="pt-BR"/>
        </w:rPr>
        <w:t xml:space="preserve"> </w:t>
      </w:r>
      <w:r w:rsidR="009F361F" w:rsidRPr="00D5464D">
        <w:rPr>
          <w:rFonts w:cs="Arial"/>
          <w:szCs w:val="20"/>
          <w:lang w:val="pt-BR"/>
        </w:rPr>
        <w:t>respectivamente</w:t>
      </w:r>
      <w:r w:rsidR="001C3174" w:rsidRPr="00D5464D">
        <w:rPr>
          <w:rFonts w:cs="Arial"/>
          <w:szCs w:val="20"/>
          <w:lang w:val="pt-BR"/>
        </w:rPr>
        <w:t>,</w:t>
      </w:r>
      <w:r w:rsidR="009F361F" w:rsidRPr="00D5464D">
        <w:rPr>
          <w:rFonts w:cs="Arial"/>
          <w:szCs w:val="20"/>
          <w:lang w:val="pt-BR"/>
        </w:rPr>
        <w:t xml:space="preserve"> </w:t>
      </w:r>
      <w:r w:rsidR="002C330E" w:rsidRPr="00D5464D">
        <w:rPr>
          <w:rFonts w:cs="Arial"/>
          <w:szCs w:val="20"/>
          <w:lang w:val="pt-BR"/>
        </w:rPr>
        <w:t>pai</w:t>
      </w:r>
      <w:r w:rsidR="00E045D9" w:rsidRPr="00D5464D">
        <w:rPr>
          <w:rFonts w:cs="Arial"/>
          <w:szCs w:val="20"/>
          <w:lang w:val="pt-BR"/>
        </w:rPr>
        <w:t xml:space="preserve"> e </w:t>
      </w:r>
      <w:r w:rsidR="00350187" w:rsidRPr="00D5464D">
        <w:rPr>
          <w:rFonts w:cs="Arial"/>
          <w:szCs w:val="20"/>
          <w:lang w:val="pt-BR"/>
        </w:rPr>
        <w:t xml:space="preserve">irmão </w:t>
      </w:r>
      <w:r w:rsidR="0003391C" w:rsidRPr="00D5464D">
        <w:rPr>
          <w:rFonts w:cs="Arial"/>
          <w:szCs w:val="20"/>
          <w:lang w:val="pt-BR"/>
        </w:rPr>
        <w:t xml:space="preserve">de lron Canuto da Silva, de 17 </w:t>
      </w:r>
      <w:r w:rsidR="00470ADC" w:rsidRPr="00D5464D">
        <w:rPr>
          <w:rFonts w:cs="Arial"/>
          <w:szCs w:val="20"/>
          <w:lang w:val="pt-BR"/>
        </w:rPr>
        <w:t>anos, e</w:t>
      </w:r>
      <w:r w:rsidR="0003391C" w:rsidRPr="00D5464D">
        <w:rPr>
          <w:rFonts w:cs="Times New Roman"/>
          <w:szCs w:val="20"/>
          <w:lang w:val="pt-BR"/>
        </w:rPr>
        <w:t xml:space="preserve"> </w:t>
      </w:r>
      <w:r w:rsidR="009F361F" w:rsidRPr="00D5464D">
        <w:rPr>
          <w:rFonts w:cs="Times New Roman"/>
          <w:szCs w:val="20"/>
          <w:lang w:val="pt-BR"/>
        </w:rPr>
        <w:t xml:space="preserve">de </w:t>
      </w:r>
      <w:r w:rsidR="00200C04" w:rsidRPr="00D5464D">
        <w:rPr>
          <w:rFonts w:cs="Arial"/>
          <w:szCs w:val="20"/>
          <w:lang w:val="pt-BR"/>
        </w:rPr>
        <w:t xml:space="preserve">Luis Ferreira </w:t>
      </w:r>
      <w:r w:rsidR="00867094" w:rsidRPr="00D5464D">
        <w:rPr>
          <w:rFonts w:cs="Arial"/>
          <w:szCs w:val="20"/>
          <w:lang w:val="pt-BR"/>
        </w:rPr>
        <w:t>da Cruz</w:t>
      </w:r>
      <w:r w:rsidR="0003391C" w:rsidRPr="00D5464D">
        <w:rPr>
          <w:rFonts w:cs="Arial"/>
          <w:szCs w:val="20"/>
          <w:lang w:val="pt-BR"/>
        </w:rPr>
        <w:t xml:space="preserve">, de 16 </w:t>
      </w:r>
      <w:r w:rsidR="00470ADC" w:rsidRPr="00D5464D">
        <w:rPr>
          <w:rFonts w:cs="Arial"/>
          <w:szCs w:val="20"/>
          <w:lang w:val="pt-BR"/>
        </w:rPr>
        <w:t>anos</w:t>
      </w:r>
      <w:r w:rsidR="0003391C" w:rsidRPr="00D5464D">
        <w:rPr>
          <w:rFonts w:cs="Arial"/>
          <w:szCs w:val="20"/>
          <w:lang w:val="pt-BR"/>
        </w:rPr>
        <w:t xml:space="preserve">, </w:t>
      </w:r>
      <w:r w:rsidR="002C330E" w:rsidRPr="00D5464D">
        <w:rPr>
          <w:rFonts w:cs="Arial"/>
          <w:szCs w:val="20"/>
          <w:lang w:val="pt-BR"/>
        </w:rPr>
        <w:t>apresentaram</w:t>
      </w:r>
      <w:r w:rsidR="00E045D9" w:rsidRPr="00D5464D">
        <w:rPr>
          <w:rFonts w:cs="Arial"/>
          <w:szCs w:val="20"/>
          <w:lang w:val="pt-BR"/>
        </w:rPr>
        <w:t xml:space="preserve"> uma </w:t>
      </w:r>
      <w:r w:rsidR="00470ADC" w:rsidRPr="00D5464D">
        <w:rPr>
          <w:rFonts w:cs="Arial"/>
          <w:szCs w:val="20"/>
          <w:lang w:val="pt-BR"/>
        </w:rPr>
        <w:t xml:space="preserve">denúncia perante a </w:t>
      </w:r>
      <w:r w:rsidRPr="00D5464D">
        <w:rPr>
          <w:rFonts w:cs="Arial"/>
          <w:szCs w:val="20"/>
          <w:lang w:val="pt-BR"/>
        </w:rPr>
        <w:t xml:space="preserve">Polícia </w:t>
      </w:r>
      <w:r w:rsidR="0003391C" w:rsidRPr="00D5464D">
        <w:rPr>
          <w:rFonts w:cs="Arial"/>
          <w:szCs w:val="20"/>
          <w:lang w:val="pt-BR"/>
        </w:rPr>
        <w:t>Federal</w:t>
      </w:r>
      <w:r w:rsidR="002C330E" w:rsidRPr="00D5464D">
        <w:rPr>
          <w:rFonts w:cs="Arial"/>
          <w:szCs w:val="20"/>
          <w:lang w:val="pt-BR"/>
        </w:rPr>
        <w:t xml:space="preserve"> pela prática</w:t>
      </w:r>
      <w:r w:rsidR="0003391C" w:rsidRPr="00D5464D">
        <w:rPr>
          <w:rFonts w:cs="Arial"/>
          <w:szCs w:val="20"/>
          <w:lang w:val="pt-BR"/>
        </w:rPr>
        <w:t xml:space="preserve"> de </w:t>
      </w:r>
      <w:r w:rsidR="00E045D9" w:rsidRPr="00D5464D">
        <w:rPr>
          <w:rFonts w:cs="Arial"/>
          <w:szCs w:val="20"/>
          <w:lang w:val="pt-BR"/>
        </w:rPr>
        <w:t>trabalho</w:t>
      </w:r>
      <w:r w:rsidR="0003391C" w:rsidRPr="00D5464D">
        <w:rPr>
          <w:rFonts w:cs="Arial"/>
          <w:szCs w:val="20"/>
          <w:lang w:val="pt-BR"/>
        </w:rPr>
        <w:t xml:space="preserve"> </w:t>
      </w:r>
      <w:r w:rsidR="004F1CC2" w:rsidRPr="00D5464D">
        <w:rPr>
          <w:rFonts w:cs="Arial"/>
          <w:szCs w:val="20"/>
          <w:lang w:val="pt-BR"/>
        </w:rPr>
        <w:t>escravo</w:t>
      </w:r>
      <w:r w:rsidR="00E045D9" w:rsidRPr="00D5464D">
        <w:rPr>
          <w:rFonts w:cs="Arial"/>
          <w:szCs w:val="20"/>
          <w:lang w:val="pt-BR"/>
        </w:rPr>
        <w:t xml:space="preserve"> na </w:t>
      </w:r>
      <w:r w:rsidR="00D809F0" w:rsidRPr="00D5464D">
        <w:rPr>
          <w:rFonts w:cs="Arial"/>
          <w:iCs/>
          <w:szCs w:val="20"/>
          <w:lang w:val="pt-BR"/>
        </w:rPr>
        <w:t>Fazenda</w:t>
      </w:r>
      <w:r w:rsidR="0003391C" w:rsidRPr="00D5464D">
        <w:rPr>
          <w:rFonts w:cs="Arial"/>
          <w:iCs/>
          <w:szCs w:val="20"/>
          <w:lang w:val="pt-BR"/>
        </w:rPr>
        <w:t xml:space="preserve"> Brasil Verde</w:t>
      </w:r>
      <w:r w:rsidR="00470ADC" w:rsidRPr="00D5464D">
        <w:rPr>
          <w:rFonts w:cs="Arial"/>
          <w:iCs/>
          <w:szCs w:val="20"/>
          <w:lang w:val="pt-BR"/>
        </w:rPr>
        <w:t xml:space="preserve"> e</w:t>
      </w:r>
      <w:r w:rsidR="002C330E" w:rsidRPr="00D5464D">
        <w:rPr>
          <w:rFonts w:cs="Arial"/>
          <w:szCs w:val="20"/>
          <w:lang w:val="pt-BR"/>
        </w:rPr>
        <w:t xml:space="preserve"> pel</w:t>
      </w:r>
      <w:r w:rsidR="00E045D9" w:rsidRPr="00D5464D">
        <w:rPr>
          <w:rFonts w:cs="Arial"/>
          <w:szCs w:val="20"/>
          <w:lang w:val="pt-BR"/>
        </w:rPr>
        <w:t>o desaparecimento</w:t>
      </w:r>
      <w:r w:rsidR="00470ADC" w:rsidRPr="00D5464D">
        <w:rPr>
          <w:rFonts w:cs="Arial"/>
          <w:szCs w:val="20"/>
          <w:lang w:val="pt-BR"/>
        </w:rPr>
        <w:t xml:space="preserve"> dos </w:t>
      </w:r>
      <w:r w:rsidR="0003391C" w:rsidRPr="00D5464D">
        <w:rPr>
          <w:rFonts w:cs="Arial"/>
          <w:szCs w:val="20"/>
          <w:lang w:val="pt-BR"/>
        </w:rPr>
        <w:t>do</w:t>
      </w:r>
      <w:r w:rsidR="009F361F" w:rsidRPr="00D5464D">
        <w:rPr>
          <w:rFonts w:cs="Arial"/>
          <w:szCs w:val="20"/>
          <w:lang w:val="pt-BR"/>
        </w:rPr>
        <w:t>i</w:t>
      </w:r>
      <w:r w:rsidR="0003391C" w:rsidRPr="00D5464D">
        <w:rPr>
          <w:rFonts w:cs="Arial"/>
          <w:szCs w:val="20"/>
          <w:lang w:val="pt-BR"/>
        </w:rPr>
        <w:t xml:space="preserve">s </w:t>
      </w:r>
      <w:r w:rsidR="00E045D9" w:rsidRPr="00D5464D">
        <w:rPr>
          <w:rFonts w:cs="Arial"/>
          <w:szCs w:val="20"/>
          <w:lang w:val="pt-BR"/>
        </w:rPr>
        <w:t>jovens</w:t>
      </w:r>
      <w:r w:rsidR="009F361F" w:rsidRPr="00D5464D">
        <w:rPr>
          <w:rFonts w:cs="Arial"/>
          <w:szCs w:val="20"/>
          <w:lang w:val="pt-BR"/>
        </w:rPr>
        <w:t>.</w:t>
      </w:r>
      <w:r w:rsidR="0003391C" w:rsidRPr="00D5464D">
        <w:rPr>
          <w:rStyle w:val="Refdenotaalpie"/>
          <w:rFonts w:cs="Arial"/>
          <w:lang w:val="pt-BR"/>
        </w:rPr>
        <w:footnoteReference w:id="106"/>
      </w:r>
      <w:r w:rsidR="0003391C" w:rsidRPr="00D5464D">
        <w:rPr>
          <w:rFonts w:cs="Times New Roman"/>
          <w:szCs w:val="20"/>
          <w:lang w:val="pt-BR"/>
        </w:rPr>
        <w:t xml:space="preserve"> </w:t>
      </w:r>
    </w:p>
    <w:p w14:paraId="60C50A4C" w14:textId="77777777" w:rsidR="0003391C" w:rsidRPr="00D5464D" w:rsidRDefault="0003391C" w:rsidP="00140440">
      <w:pPr>
        <w:pStyle w:val="Prrafodelista"/>
        <w:autoSpaceDE w:val="0"/>
        <w:autoSpaceDN w:val="0"/>
        <w:adjustRightInd w:val="0"/>
        <w:ind w:left="0"/>
        <w:contextualSpacing w:val="0"/>
        <w:rPr>
          <w:rFonts w:cs="Times New Roman"/>
          <w:i/>
          <w:iCs/>
          <w:szCs w:val="20"/>
          <w:lang w:val="pt-BR"/>
        </w:rPr>
      </w:pPr>
    </w:p>
    <w:p w14:paraId="0228FF42" w14:textId="5975AB71" w:rsidR="0003391C" w:rsidRPr="00D5464D" w:rsidRDefault="0003391C" w:rsidP="00140440">
      <w:pPr>
        <w:pStyle w:val="Prrafodelista"/>
        <w:numPr>
          <w:ilvl w:val="0"/>
          <w:numId w:val="1"/>
        </w:numPr>
        <w:autoSpaceDE w:val="0"/>
        <w:autoSpaceDN w:val="0"/>
        <w:adjustRightInd w:val="0"/>
        <w:contextualSpacing w:val="0"/>
        <w:rPr>
          <w:rFonts w:cs="Times New Roman"/>
          <w:i/>
          <w:iCs/>
          <w:szCs w:val="20"/>
          <w:lang w:val="pt-BR"/>
        </w:rPr>
      </w:pPr>
      <w:r w:rsidRPr="00D5464D">
        <w:rPr>
          <w:rFonts w:cs="Arial"/>
          <w:szCs w:val="20"/>
          <w:lang w:val="pt-BR"/>
        </w:rPr>
        <w:t xml:space="preserve">De </w:t>
      </w:r>
      <w:r w:rsidR="00470ADC" w:rsidRPr="00D5464D">
        <w:rPr>
          <w:rFonts w:cs="Arial"/>
          <w:szCs w:val="20"/>
          <w:lang w:val="pt-BR"/>
        </w:rPr>
        <w:t>acordo com esta</w:t>
      </w:r>
      <w:r w:rsidRPr="00D5464D">
        <w:rPr>
          <w:rFonts w:cs="Arial"/>
          <w:szCs w:val="20"/>
          <w:lang w:val="pt-BR"/>
        </w:rPr>
        <w:t xml:space="preserve"> den</w:t>
      </w:r>
      <w:r w:rsidR="009F361F" w:rsidRPr="00D5464D">
        <w:rPr>
          <w:rFonts w:cs="Arial"/>
          <w:szCs w:val="20"/>
          <w:lang w:val="pt-BR"/>
        </w:rPr>
        <w:t>ú</w:t>
      </w:r>
      <w:r w:rsidRPr="00D5464D">
        <w:rPr>
          <w:rFonts w:cs="Arial"/>
          <w:szCs w:val="20"/>
          <w:lang w:val="pt-BR"/>
        </w:rPr>
        <w:t>ncia,</w:t>
      </w:r>
      <w:r w:rsidR="00470ADC" w:rsidRPr="00D5464D">
        <w:rPr>
          <w:rFonts w:cs="Arial"/>
          <w:szCs w:val="20"/>
          <w:lang w:val="pt-BR"/>
        </w:rPr>
        <w:t xml:space="preserve"> em </w:t>
      </w:r>
      <w:r w:rsidRPr="00D5464D">
        <w:rPr>
          <w:rFonts w:cs="Arial"/>
          <w:szCs w:val="20"/>
          <w:lang w:val="pt-BR"/>
        </w:rPr>
        <w:t>agosto de 1988</w:t>
      </w:r>
      <w:r w:rsidR="009F361F" w:rsidRPr="00D5464D">
        <w:rPr>
          <w:rFonts w:cs="Arial"/>
          <w:szCs w:val="20"/>
          <w:lang w:val="pt-BR"/>
        </w:rPr>
        <w:t>,</w:t>
      </w:r>
      <w:r w:rsidRPr="00D5464D">
        <w:rPr>
          <w:rFonts w:cs="Arial"/>
          <w:szCs w:val="20"/>
          <w:lang w:val="pt-BR"/>
        </w:rPr>
        <w:t xml:space="preserve"> lron Canuto</w:t>
      </w:r>
      <w:r w:rsidR="00E045D9" w:rsidRPr="00D5464D">
        <w:rPr>
          <w:rFonts w:cs="Arial"/>
          <w:szCs w:val="20"/>
          <w:lang w:val="pt-BR"/>
        </w:rPr>
        <w:t xml:space="preserve"> e </w:t>
      </w:r>
      <w:r w:rsidR="00200C04" w:rsidRPr="00D5464D">
        <w:rPr>
          <w:rFonts w:cs="Arial"/>
          <w:szCs w:val="20"/>
          <w:lang w:val="pt-BR"/>
        </w:rPr>
        <w:t>Luis Ferreira da Cruz</w:t>
      </w:r>
      <w:r w:rsidR="00737270" w:rsidRPr="00D5464D">
        <w:rPr>
          <w:rFonts w:cs="Arial"/>
          <w:szCs w:val="20"/>
          <w:lang w:val="pt-BR"/>
        </w:rPr>
        <w:t xml:space="preserve"> haviam </w:t>
      </w:r>
      <w:r w:rsidRPr="00D5464D">
        <w:rPr>
          <w:rFonts w:cs="Arial"/>
          <w:szCs w:val="20"/>
          <w:lang w:val="pt-BR"/>
        </w:rPr>
        <w:t>sido</w:t>
      </w:r>
      <w:r w:rsidR="002C330E" w:rsidRPr="00D5464D">
        <w:rPr>
          <w:rFonts w:cs="Arial"/>
          <w:szCs w:val="20"/>
          <w:lang w:val="pt-BR"/>
        </w:rPr>
        <w:t xml:space="preserve"> lev</w:t>
      </w:r>
      <w:r w:rsidRPr="00D5464D">
        <w:rPr>
          <w:rFonts w:cs="Arial"/>
          <w:szCs w:val="20"/>
          <w:lang w:val="pt-BR"/>
        </w:rPr>
        <w:t>ados desde A</w:t>
      </w:r>
      <w:r w:rsidR="005504F7" w:rsidRPr="00D5464D">
        <w:rPr>
          <w:rFonts w:cs="Arial"/>
          <w:szCs w:val="20"/>
          <w:lang w:val="pt-BR"/>
        </w:rPr>
        <w:t>ra</w:t>
      </w:r>
      <w:r w:rsidRPr="00D5464D">
        <w:rPr>
          <w:rFonts w:cs="Arial"/>
          <w:szCs w:val="20"/>
          <w:lang w:val="pt-BR"/>
        </w:rPr>
        <w:t>poema</w:t>
      </w:r>
      <w:r w:rsidRPr="00D5464D">
        <w:rPr>
          <w:rFonts w:cs="Times New Roman"/>
          <w:szCs w:val="20"/>
          <w:lang w:val="pt-BR"/>
        </w:rPr>
        <w:t xml:space="preserve"> </w:t>
      </w:r>
      <w:r w:rsidRPr="00D5464D">
        <w:rPr>
          <w:rFonts w:cs="Arial"/>
          <w:szCs w:val="20"/>
          <w:lang w:val="pt-BR"/>
        </w:rPr>
        <w:t>por</w:t>
      </w:r>
      <w:r w:rsidR="00E045D9" w:rsidRPr="00D5464D">
        <w:rPr>
          <w:rFonts w:cs="Arial"/>
          <w:szCs w:val="20"/>
          <w:lang w:val="pt-BR"/>
        </w:rPr>
        <w:t xml:space="preserve"> um </w:t>
      </w:r>
      <w:r w:rsidR="00C32FB5" w:rsidRPr="00D5464D">
        <w:rPr>
          <w:rFonts w:cs="Arial"/>
          <w:szCs w:val="20"/>
          <w:lang w:val="pt-BR"/>
        </w:rPr>
        <w:t xml:space="preserve">gato </w:t>
      </w:r>
      <w:r w:rsidRPr="00D5464D">
        <w:rPr>
          <w:rFonts w:cs="Arial"/>
          <w:szCs w:val="20"/>
          <w:lang w:val="pt-BR"/>
        </w:rPr>
        <w:t xml:space="preserve">para </w:t>
      </w:r>
      <w:r w:rsidR="00E045D9" w:rsidRPr="00D5464D">
        <w:rPr>
          <w:rFonts w:cs="Arial"/>
          <w:szCs w:val="20"/>
          <w:lang w:val="pt-BR"/>
        </w:rPr>
        <w:t>trabalh</w:t>
      </w:r>
      <w:r w:rsidRPr="00D5464D">
        <w:rPr>
          <w:rFonts w:cs="Arial"/>
          <w:szCs w:val="20"/>
          <w:lang w:val="pt-BR"/>
        </w:rPr>
        <w:t>ar por</w:t>
      </w:r>
      <w:r w:rsidR="00E045D9" w:rsidRPr="00D5464D">
        <w:rPr>
          <w:rFonts w:cs="Arial"/>
          <w:szCs w:val="20"/>
          <w:lang w:val="pt-BR"/>
        </w:rPr>
        <w:t xml:space="preserve"> um </w:t>
      </w:r>
      <w:r w:rsidRPr="00D5464D">
        <w:rPr>
          <w:rFonts w:cs="Arial"/>
          <w:szCs w:val="20"/>
          <w:lang w:val="pt-BR"/>
        </w:rPr>
        <w:t>per</w:t>
      </w:r>
      <w:r w:rsidR="00D363E9" w:rsidRPr="00D5464D">
        <w:rPr>
          <w:rFonts w:cs="Arial"/>
          <w:szCs w:val="20"/>
          <w:lang w:val="pt-BR"/>
        </w:rPr>
        <w:t>í</w:t>
      </w:r>
      <w:r w:rsidRPr="00D5464D">
        <w:rPr>
          <w:rFonts w:cs="Arial"/>
          <w:szCs w:val="20"/>
          <w:lang w:val="pt-BR"/>
        </w:rPr>
        <w:t xml:space="preserve">odo de 60 </w:t>
      </w:r>
      <w:r w:rsidR="00470ADC" w:rsidRPr="00D5464D">
        <w:rPr>
          <w:rFonts w:cs="Arial"/>
          <w:szCs w:val="20"/>
          <w:lang w:val="pt-BR"/>
        </w:rPr>
        <w:t>dia</w:t>
      </w:r>
      <w:r w:rsidRPr="00D5464D">
        <w:rPr>
          <w:rFonts w:cs="Arial"/>
          <w:szCs w:val="20"/>
          <w:lang w:val="pt-BR"/>
        </w:rPr>
        <w:t>s</w:t>
      </w:r>
      <w:r w:rsidR="00E045D9" w:rsidRPr="00D5464D">
        <w:rPr>
          <w:rFonts w:cs="Arial"/>
          <w:szCs w:val="20"/>
          <w:lang w:val="pt-BR"/>
        </w:rPr>
        <w:t xml:space="preserve"> na </w:t>
      </w:r>
      <w:r w:rsidR="00D809F0" w:rsidRPr="00D5464D">
        <w:rPr>
          <w:rFonts w:cs="Arial"/>
          <w:szCs w:val="20"/>
          <w:lang w:val="pt-BR"/>
        </w:rPr>
        <w:t>Fazenda</w:t>
      </w:r>
      <w:r w:rsidRPr="00D5464D">
        <w:rPr>
          <w:rFonts w:cs="Arial"/>
          <w:szCs w:val="20"/>
          <w:lang w:val="pt-BR"/>
        </w:rPr>
        <w:t xml:space="preserve"> Brasil Verde. </w:t>
      </w:r>
      <w:r w:rsidR="009F361F" w:rsidRPr="00D5464D">
        <w:rPr>
          <w:rFonts w:cs="Arial"/>
          <w:szCs w:val="20"/>
          <w:lang w:val="pt-BR"/>
        </w:rPr>
        <w:t>Outrossim</w:t>
      </w:r>
      <w:r w:rsidRPr="00D5464D">
        <w:rPr>
          <w:rFonts w:cs="Arial"/>
          <w:szCs w:val="20"/>
          <w:lang w:val="pt-BR"/>
        </w:rPr>
        <w:t>,</w:t>
      </w:r>
      <w:r w:rsidR="002C330E" w:rsidRPr="00D5464D">
        <w:rPr>
          <w:rFonts w:cs="Arial"/>
          <w:szCs w:val="20"/>
          <w:lang w:val="pt-BR"/>
        </w:rPr>
        <w:t xml:space="preserve"> a </w:t>
      </w:r>
      <w:r w:rsidR="00470ADC" w:rsidRPr="00D5464D">
        <w:rPr>
          <w:rFonts w:cs="Arial"/>
          <w:szCs w:val="20"/>
          <w:lang w:val="pt-BR"/>
        </w:rPr>
        <w:t xml:space="preserve">denúncia </w:t>
      </w:r>
      <w:r w:rsidR="00737270" w:rsidRPr="00D5464D">
        <w:rPr>
          <w:rFonts w:cs="Arial"/>
          <w:szCs w:val="20"/>
          <w:lang w:val="pt-BR"/>
        </w:rPr>
        <w:t>indic</w:t>
      </w:r>
      <w:r w:rsidR="00350187" w:rsidRPr="00D5464D">
        <w:rPr>
          <w:rFonts w:cs="Arial"/>
          <w:szCs w:val="20"/>
          <w:lang w:val="pt-BR"/>
        </w:rPr>
        <w:t xml:space="preserve">ava </w:t>
      </w:r>
      <w:r w:rsidRPr="00D5464D">
        <w:rPr>
          <w:rFonts w:cs="Arial"/>
          <w:szCs w:val="20"/>
          <w:lang w:val="pt-BR"/>
        </w:rPr>
        <w:t>que</w:t>
      </w:r>
      <w:r w:rsidR="00D363E9" w:rsidRPr="00D5464D">
        <w:rPr>
          <w:rFonts w:cs="Arial"/>
          <w:szCs w:val="20"/>
          <w:lang w:val="pt-BR"/>
        </w:rPr>
        <w:t>,</w:t>
      </w:r>
      <w:r w:rsidR="00470ADC" w:rsidRPr="00D5464D">
        <w:rPr>
          <w:rFonts w:cs="Arial"/>
          <w:szCs w:val="20"/>
          <w:lang w:val="pt-BR"/>
        </w:rPr>
        <w:t xml:space="preserve"> ao </w:t>
      </w:r>
      <w:r w:rsidR="002C330E" w:rsidRPr="00D5464D">
        <w:rPr>
          <w:rFonts w:cs="Arial"/>
          <w:szCs w:val="20"/>
          <w:lang w:val="pt-BR"/>
        </w:rPr>
        <w:t>tentar</w:t>
      </w:r>
      <w:r w:rsidR="009F361F" w:rsidRPr="00D5464D">
        <w:rPr>
          <w:rFonts w:cs="Arial"/>
          <w:szCs w:val="20"/>
          <w:lang w:val="pt-BR"/>
        </w:rPr>
        <w:t>em</w:t>
      </w:r>
      <w:r w:rsidRPr="00D5464D">
        <w:rPr>
          <w:rFonts w:cs="Arial"/>
          <w:szCs w:val="20"/>
          <w:lang w:val="pt-BR"/>
        </w:rPr>
        <w:t xml:space="preserve"> abandonar</w:t>
      </w:r>
      <w:r w:rsidR="002C330E" w:rsidRPr="00D5464D">
        <w:rPr>
          <w:rFonts w:cs="Arial"/>
          <w:szCs w:val="20"/>
          <w:lang w:val="pt-BR"/>
        </w:rPr>
        <w:t xml:space="preserve"> a </w:t>
      </w:r>
      <w:r w:rsidR="00D809F0" w:rsidRPr="00D5464D">
        <w:rPr>
          <w:rFonts w:cs="Arial"/>
          <w:szCs w:val="20"/>
          <w:lang w:val="pt-BR"/>
        </w:rPr>
        <w:t>Fazenda</w:t>
      </w:r>
      <w:r w:rsidRPr="00D5464D">
        <w:rPr>
          <w:rFonts w:cs="Arial"/>
          <w:szCs w:val="20"/>
          <w:lang w:val="pt-BR"/>
        </w:rPr>
        <w:t>,</w:t>
      </w:r>
      <w:r w:rsidR="002C330E" w:rsidRPr="00D5464D">
        <w:rPr>
          <w:rFonts w:cs="Arial"/>
          <w:szCs w:val="20"/>
          <w:lang w:val="pt-BR"/>
        </w:rPr>
        <w:t xml:space="preserve"> os </w:t>
      </w:r>
      <w:r w:rsidRPr="00D5464D">
        <w:rPr>
          <w:rFonts w:cs="Arial"/>
          <w:szCs w:val="20"/>
          <w:lang w:val="pt-BR"/>
        </w:rPr>
        <w:t>adolescentes</w:t>
      </w:r>
      <w:r w:rsidR="00737270" w:rsidRPr="00D5464D">
        <w:rPr>
          <w:rFonts w:cs="Arial"/>
          <w:szCs w:val="20"/>
          <w:lang w:val="pt-BR"/>
        </w:rPr>
        <w:t xml:space="preserve"> haviam </w:t>
      </w:r>
      <w:r w:rsidRPr="00D5464D">
        <w:rPr>
          <w:rFonts w:cs="Arial"/>
          <w:szCs w:val="20"/>
          <w:lang w:val="pt-BR"/>
        </w:rPr>
        <w:t>sido</w:t>
      </w:r>
      <w:r w:rsidR="004E2A57" w:rsidRPr="00D5464D">
        <w:rPr>
          <w:rFonts w:cs="Arial"/>
          <w:szCs w:val="20"/>
          <w:lang w:val="pt-BR"/>
        </w:rPr>
        <w:t xml:space="preserve"> forçados a regressar</w:t>
      </w:r>
      <w:r w:rsidRPr="00D5464D">
        <w:rPr>
          <w:rFonts w:cs="Times New Roman"/>
          <w:szCs w:val="20"/>
          <w:lang w:val="pt-BR"/>
        </w:rPr>
        <w:t xml:space="preserve">, </w:t>
      </w:r>
      <w:r w:rsidR="00470ADC" w:rsidRPr="00D5464D">
        <w:rPr>
          <w:rFonts w:cs="Arial"/>
          <w:szCs w:val="20"/>
          <w:lang w:val="pt-BR"/>
        </w:rPr>
        <w:t>ameaça</w:t>
      </w:r>
      <w:r w:rsidRPr="00D5464D">
        <w:rPr>
          <w:rFonts w:cs="Arial"/>
          <w:szCs w:val="20"/>
          <w:lang w:val="pt-BR"/>
        </w:rPr>
        <w:t>dos</w:t>
      </w:r>
      <w:r w:rsidR="00E045D9" w:rsidRPr="00D5464D">
        <w:rPr>
          <w:rFonts w:cs="Arial"/>
          <w:szCs w:val="20"/>
          <w:lang w:val="pt-BR"/>
        </w:rPr>
        <w:t xml:space="preserve"> e</w:t>
      </w:r>
      <w:r w:rsidR="009F361F" w:rsidRPr="00D5464D">
        <w:rPr>
          <w:rFonts w:cs="Arial"/>
          <w:szCs w:val="20"/>
          <w:lang w:val="pt-BR"/>
        </w:rPr>
        <w:t>,</w:t>
      </w:r>
      <w:r w:rsidR="00E045D9" w:rsidRPr="00D5464D">
        <w:rPr>
          <w:rFonts w:cs="Arial"/>
          <w:szCs w:val="20"/>
          <w:lang w:val="pt-BR"/>
        </w:rPr>
        <w:t xml:space="preserve"> </w:t>
      </w:r>
      <w:r w:rsidRPr="00D5464D">
        <w:rPr>
          <w:rFonts w:cs="Arial"/>
          <w:szCs w:val="20"/>
          <w:lang w:val="pt-BR"/>
        </w:rPr>
        <w:t>posteriormente</w:t>
      </w:r>
      <w:r w:rsidR="009F361F" w:rsidRPr="00D5464D">
        <w:rPr>
          <w:rFonts w:cs="Arial"/>
          <w:szCs w:val="20"/>
          <w:lang w:val="pt-BR"/>
        </w:rPr>
        <w:t>,</w:t>
      </w:r>
      <w:r w:rsidR="00E045D9" w:rsidRPr="00D5464D">
        <w:rPr>
          <w:rFonts w:cs="Arial"/>
          <w:szCs w:val="20"/>
          <w:lang w:val="pt-BR"/>
        </w:rPr>
        <w:t xml:space="preserve"> teriam </w:t>
      </w:r>
      <w:r w:rsidRPr="00D5464D">
        <w:rPr>
          <w:rFonts w:cs="Arial"/>
          <w:szCs w:val="20"/>
          <w:lang w:val="pt-BR"/>
        </w:rPr>
        <w:t>desaparecido,</w:t>
      </w:r>
      <w:r w:rsidR="002C330E" w:rsidRPr="00D5464D">
        <w:rPr>
          <w:rFonts w:cs="Arial"/>
          <w:szCs w:val="20"/>
          <w:lang w:val="pt-BR"/>
        </w:rPr>
        <w:t xml:space="preserve"> </w:t>
      </w:r>
      <w:r w:rsidR="009F361F" w:rsidRPr="00D5464D">
        <w:rPr>
          <w:rFonts w:cs="Arial"/>
          <w:szCs w:val="20"/>
          <w:lang w:val="pt-BR"/>
        </w:rPr>
        <w:t xml:space="preserve">de maneira </w:t>
      </w:r>
      <w:r w:rsidR="002C330E" w:rsidRPr="00D5464D">
        <w:rPr>
          <w:rFonts w:cs="Arial"/>
          <w:szCs w:val="20"/>
          <w:lang w:val="pt-BR"/>
        </w:rPr>
        <w:t xml:space="preserve">que </w:t>
      </w:r>
      <w:r w:rsidRPr="00D5464D">
        <w:rPr>
          <w:rFonts w:cs="Arial"/>
          <w:szCs w:val="20"/>
          <w:lang w:val="pt-BR"/>
        </w:rPr>
        <w:t>toda</w:t>
      </w:r>
      <w:r w:rsidR="002C330E" w:rsidRPr="00D5464D">
        <w:rPr>
          <w:rFonts w:cs="Arial"/>
          <w:szCs w:val="20"/>
          <w:lang w:val="pt-BR"/>
        </w:rPr>
        <w:t xml:space="preserve"> a </w:t>
      </w:r>
      <w:r w:rsidR="00470ADC" w:rsidRPr="00D5464D">
        <w:rPr>
          <w:rFonts w:cs="Arial"/>
          <w:szCs w:val="20"/>
          <w:lang w:val="pt-BR"/>
        </w:rPr>
        <w:t xml:space="preserve">família </w:t>
      </w:r>
      <w:r w:rsidR="00737270" w:rsidRPr="00D5464D">
        <w:rPr>
          <w:rFonts w:cs="Arial"/>
          <w:szCs w:val="20"/>
          <w:lang w:val="pt-BR"/>
        </w:rPr>
        <w:t xml:space="preserve">estaria </w:t>
      </w:r>
      <w:r w:rsidRPr="00D5464D">
        <w:rPr>
          <w:rFonts w:cs="Arial"/>
          <w:szCs w:val="20"/>
          <w:lang w:val="pt-BR"/>
        </w:rPr>
        <w:t xml:space="preserve">preocupada </w:t>
      </w:r>
      <w:r w:rsidR="00605B4F" w:rsidRPr="00D5464D">
        <w:rPr>
          <w:rFonts w:cs="Arial"/>
          <w:szCs w:val="20"/>
          <w:lang w:val="pt-BR"/>
        </w:rPr>
        <w:t xml:space="preserve">com </w:t>
      </w:r>
      <w:r w:rsidR="00470ADC" w:rsidRPr="00D5464D">
        <w:rPr>
          <w:rFonts w:cs="Arial"/>
          <w:szCs w:val="20"/>
          <w:lang w:val="pt-BR"/>
        </w:rPr>
        <w:t>ele</w:t>
      </w:r>
      <w:r w:rsidRPr="00D5464D">
        <w:rPr>
          <w:rFonts w:cs="Arial"/>
          <w:szCs w:val="20"/>
          <w:lang w:val="pt-BR"/>
        </w:rPr>
        <w:t>s</w:t>
      </w:r>
      <w:r w:rsidR="009F361F" w:rsidRPr="00D5464D">
        <w:rPr>
          <w:rFonts w:cs="Arial"/>
          <w:szCs w:val="20"/>
          <w:lang w:val="pt-BR"/>
        </w:rPr>
        <w:t>.</w:t>
      </w:r>
      <w:r w:rsidRPr="00D5464D">
        <w:rPr>
          <w:rStyle w:val="Refdenotaalpie"/>
          <w:rFonts w:cs="Arial"/>
          <w:lang w:val="pt-BR"/>
        </w:rPr>
        <w:footnoteReference w:id="107"/>
      </w:r>
      <w:r w:rsidRPr="00D5464D">
        <w:rPr>
          <w:rFonts w:cs="Arial"/>
          <w:szCs w:val="20"/>
          <w:lang w:val="pt-BR"/>
        </w:rPr>
        <w:t xml:space="preserve"> </w:t>
      </w:r>
    </w:p>
    <w:p w14:paraId="79D54982" w14:textId="77777777" w:rsidR="0003391C" w:rsidRPr="00D5464D" w:rsidRDefault="0003391C" w:rsidP="00140440">
      <w:pPr>
        <w:pStyle w:val="Prrafodelista"/>
        <w:autoSpaceDE w:val="0"/>
        <w:autoSpaceDN w:val="0"/>
        <w:adjustRightInd w:val="0"/>
        <w:ind w:left="0"/>
        <w:contextualSpacing w:val="0"/>
        <w:rPr>
          <w:rFonts w:cs="Times New Roman"/>
          <w:iCs/>
          <w:szCs w:val="20"/>
          <w:lang w:val="pt-BR"/>
        </w:rPr>
      </w:pPr>
    </w:p>
    <w:p w14:paraId="06720BD3" w14:textId="764B30DC" w:rsidR="0003391C" w:rsidRPr="00D5464D" w:rsidRDefault="009F361F" w:rsidP="00140440">
      <w:pPr>
        <w:pStyle w:val="Prrafodelista"/>
        <w:numPr>
          <w:ilvl w:val="0"/>
          <w:numId w:val="1"/>
        </w:numPr>
        <w:autoSpaceDE w:val="0"/>
        <w:autoSpaceDN w:val="0"/>
        <w:adjustRightInd w:val="0"/>
        <w:contextualSpacing w:val="0"/>
        <w:rPr>
          <w:rFonts w:cs="Times New Roman"/>
          <w:i/>
          <w:iCs/>
          <w:szCs w:val="20"/>
          <w:lang w:val="pt-BR"/>
        </w:rPr>
      </w:pPr>
      <w:r w:rsidRPr="00D5464D">
        <w:rPr>
          <w:rFonts w:cs="Arial"/>
          <w:szCs w:val="20"/>
          <w:lang w:val="pt-BR"/>
        </w:rPr>
        <w:t xml:space="preserve">Nesta </w:t>
      </w:r>
      <w:r w:rsidR="002C330E" w:rsidRPr="00D5464D">
        <w:rPr>
          <w:rFonts w:cs="Arial"/>
          <w:szCs w:val="20"/>
          <w:lang w:val="pt-BR"/>
        </w:rPr>
        <w:t>mesm</w:t>
      </w:r>
      <w:r w:rsidR="0003391C" w:rsidRPr="00D5464D">
        <w:rPr>
          <w:rFonts w:cs="Arial"/>
          <w:szCs w:val="20"/>
          <w:lang w:val="pt-BR"/>
        </w:rPr>
        <w:t xml:space="preserve">a </w:t>
      </w:r>
      <w:r w:rsidR="00470ADC" w:rsidRPr="00D5464D">
        <w:rPr>
          <w:rFonts w:cs="Arial"/>
          <w:szCs w:val="20"/>
          <w:lang w:val="pt-BR"/>
        </w:rPr>
        <w:t>data</w:t>
      </w:r>
      <w:r w:rsidRPr="00D5464D">
        <w:rPr>
          <w:rFonts w:cs="Arial"/>
          <w:szCs w:val="20"/>
          <w:lang w:val="pt-BR"/>
        </w:rPr>
        <w:t>,</w:t>
      </w:r>
      <w:r w:rsidR="0003391C" w:rsidRPr="00D5464D">
        <w:rPr>
          <w:rFonts w:cs="Arial"/>
          <w:szCs w:val="20"/>
          <w:lang w:val="pt-BR"/>
        </w:rPr>
        <w:t xml:space="preserve"> Adailton Martins dos Reis, </w:t>
      </w:r>
      <w:r w:rsidR="00E045D9" w:rsidRPr="00D5464D">
        <w:rPr>
          <w:rFonts w:cs="Arial"/>
          <w:szCs w:val="20"/>
          <w:lang w:val="pt-BR"/>
        </w:rPr>
        <w:t>trabalh</w:t>
      </w:r>
      <w:r w:rsidR="0003391C" w:rsidRPr="00D5464D">
        <w:rPr>
          <w:rFonts w:cs="Arial"/>
          <w:szCs w:val="20"/>
          <w:lang w:val="pt-BR"/>
        </w:rPr>
        <w:t xml:space="preserve">ador que </w:t>
      </w:r>
      <w:r w:rsidR="002C330E" w:rsidRPr="00D5464D">
        <w:rPr>
          <w:rFonts w:cs="Arial"/>
          <w:szCs w:val="20"/>
          <w:lang w:val="pt-BR"/>
        </w:rPr>
        <w:t>havia</w:t>
      </w:r>
      <w:r w:rsidR="0003391C" w:rsidRPr="00D5464D">
        <w:rPr>
          <w:rFonts w:cs="Arial"/>
          <w:szCs w:val="20"/>
          <w:lang w:val="pt-BR"/>
        </w:rPr>
        <w:t xml:space="preserve"> escapado</w:t>
      </w:r>
      <w:r w:rsidR="00470ADC" w:rsidRPr="00D5464D">
        <w:rPr>
          <w:rFonts w:cs="Arial"/>
          <w:szCs w:val="20"/>
          <w:lang w:val="pt-BR"/>
        </w:rPr>
        <w:t xml:space="preserve"> da </w:t>
      </w:r>
      <w:r w:rsidR="00D809F0" w:rsidRPr="00D5464D">
        <w:rPr>
          <w:rFonts w:cs="Arial"/>
          <w:szCs w:val="20"/>
          <w:lang w:val="pt-BR"/>
        </w:rPr>
        <w:t>Fazenda</w:t>
      </w:r>
      <w:r w:rsidR="0003391C" w:rsidRPr="00D5464D">
        <w:rPr>
          <w:rFonts w:cs="Arial"/>
          <w:szCs w:val="20"/>
          <w:lang w:val="pt-BR"/>
        </w:rPr>
        <w:t xml:space="preserve"> Brasil Verde</w:t>
      </w:r>
      <w:r w:rsidR="00D363E9" w:rsidRPr="00D5464D">
        <w:rPr>
          <w:rFonts w:cs="Arial"/>
          <w:szCs w:val="20"/>
          <w:lang w:val="pt-BR"/>
        </w:rPr>
        <w:t>,</w:t>
      </w:r>
      <w:r w:rsidR="0003391C" w:rsidRPr="00D5464D">
        <w:rPr>
          <w:rFonts w:cs="Arial"/>
          <w:i/>
          <w:iCs/>
          <w:szCs w:val="20"/>
          <w:lang w:val="pt-BR"/>
        </w:rPr>
        <w:t xml:space="preserve"> </w:t>
      </w:r>
      <w:r w:rsidR="00470ADC" w:rsidRPr="00D5464D">
        <w:rPr>
          <w:rFonts w:cs="Arial"/>
          <w:szCs w:val="20"/>
          <w:lang w:val="pt-BR"/>
        </w:rPr>
        <w:t>denunciou</w:t>
      </w:r>
      <w:r w:rsidR="00C91CB1" w:rsidRPr="00D5464D">
        <w:rPr>
          <w:rFonts w:cs="Arial"/>
          <w:szCs w:val="20"/>
          <w:lang w:val="pt-BR"/>
        </w:rPr>
        <w:t xml:space="preserve"> o </w:t>
      </w:r>
      <w:r w:rsidR="002C330E" w:rsidRPr="00D5464D">
        <w:rPr>
          <w:rFonts w:cs="Arial"/>
          <w:szCs w:val="20"/>
          <w:lang w:val="pt-BR"/>
        </w:rPr>
        <w:t>seguinte</w:t>
      </w:r>
      <w:r w:rsidR="0003391C" w:rsidRPr="00D5464D">
        <w:rPr>
          <w:rFonts w:cs="Arial"/>
          <w:szCs w:val="20"/>
          <w:lang w:val="pt-BR"/>
        </w:rPr>
        <w:t>:</w:t>
      </w:r>
    </w:p>
    <w:p w14:paraId="603C50FA" w14:textId="77777777" w:rsidR="0003391C" w:rsidRPr="00D5464D" w:rsidRDefault="0003391C" w:rsidP="00140440">
      <w:pPr>
        <w:autoSpaceDE w:val="0"/>
        <w:autoSpaceDN w:val="0"/>
        <w:adjustRightInd w:val="0"/>
        <w:jc w:val="both"/>
        <w:rPr>
          <w:rFonts w:cs="Arial"/>
          <w:szCs w:val="20"/>
          <w:lang w:val="pt-BR"/>
        </w:rPr>
      </w:pPr>
    </w:p>
    <w:p w14:paraId="04FB70EC" w14:textId="2A337BFB" w:rsidR="0003391C" w:rsidRPr="00D5464D" w:rsidRDefault="00E045D9" w:rsidP="00140440">
      <w:pPr>
        <w:autoSpaceDE w:val="0"/>
        <w:autoSpaceDN w:val="0"/>
        <w:adjustRightInd w:val="0"/>
        <w:ind w:left="720" w:right="720"/>
        <w:jc w:val="both"/>
        <w:rPr>
          <w:rFonts w:cs="Arial"/>
          <w:sz w:val="16"/>
          <w:szCs w:val="20"/>
          <w:lang w:val="pt-BR"/>
        </w:rPr>
      </w:pPr>
      <w:r w:rsidRPr="00D5464D">
        <w:rPr>
          <w:rFonts w:cs="Arial"/>
          <w:sz w:val="16"/>
          <w:szCs w:val="20"/>
          <w:lang w:val="pt-BR"/>
        </w:rPr>
        <w:t>Trabalh</w:t>
      </w:r>
      <w:r w:rsidR="009F361F" w:rsidRPr="00D5464D">
        <w:rPr>
          <w:rFonts w:cs="Arial"/>
          <w:sz w:val="16"/>
          <w:szCs w:val="20"/>
          <w:lang w:val="pt-BR"/>
        </w:rPr>
        <w:t>ei</w:t>
      </w:r>
      <w:r w:rsidRPr="00D5464D">
        <w:rPr>
          <w:rFonts w:cs="Arial"/>
          <w:sz w:val="16"/>
          <w:szCs w:val="20"/>
          <w:lang w:val="pt-BR"/>
        </w:rPr>
        <w:t xml:space="preserve"> na </w:t>
      </w:r>
      <w:r w:rsidR="00D809F0" w:rsidRPr="00D5464D">
        <w:rPr>
          <w:rFonts w:cs="Arial"/>
          <w:sz w:val="16"/>
          <w:szCs w:val="20"/>
          <w:lang w:val="pt-BR"/>
        </w:rPr>
        <w:t>fazenda</w:t>
      </w:r>
      <w:r w:rsidR="0003391C" w:rsidRPr="00D5464D">
        <w:rPr>
          <w:rFonts w:cs="Arial"/>
          <w:sz w:val="16"/>
          <w:szCs w:val="20"/>
          <w:lang w:val="pt-BR"/>
        </w:rPr>
        <w:t xml:space="preserve"> 30 </w:t>
      </w:r>
      <w:r w:rsidR="00470ADC" w:rsidRPr="00D5464D">
        <w:rPr>
          <w:rFonts w:cs="Arial"/>
          <w:sz w:val="16"/>
          <w:szCs w:val="20"/>
          <w:lang w:val="pt-BR"/>
        </w:rPr>
        <w:t>dia</w:t>
      </w:r>
      <w:r w:rsidR="0003391C" w:rsidRPr="00D5464D">
        <w:rPr>
          <w:rFonts w:cs="Arial"/>
          <w:sz w:val="16"/>
          <w:szCs w:val="20"/>
          <w:lang w:val="pt-BR"/>
        </w:rPr>
        <w:t xml:space="preserve">s, </w:t>
      </w:r>
      <w:r w:rsidR="00470ADC" w:rsidRPr="00D5464D">
        <w:rPr>
          <w:rFonts w:cs="Arial"/>
          <w:sz w:val="16"/>
          <w:szCs w:val="20"/>
          <w:lang w:val="pt-BR"/>
        </w:rPr>
        <w:t xml:space="preserve">aqui o </w:t>
      </w:r>
      <w:r w:rsidR="0003391C" w:rsidRPr="00D5464D">
        <w:rPr>
          <w:rFonts w:cs="Arial"/>
          <w:sz w:val="16"/>
          <w:szCs w:val="20"/>
          <w:lang w:val="pt-BR"/>
        </w:rPr>
        <w:t xml:space="preserve">[gato] me </w:t>
      </w:r>
      <w:r w:rsidR="00350187" w:rsidRPr="00D5464D">
        <w:rPr>
          <w:rFonts w:cs="Arial"/>
          <w:sz w:val="16"/>
          <w:szCs w:val="20"/>
          <w:lang w:val="pt-BR"/>
        </w:rPr>
        <w:t xml:space="preserve">garantiu </w:t>
      </w:r>
      <w:r w:rsidR="002C330E" w:rsidRPr="00D5464D">
        <w:rPr>
          <w:rFonts w:cs="Arial"/>
          <w:sz w:val="16"/>
          <w:szCs w:val="20"/>
          <w:lang w:val="pt-BR"/>
        </w:rPr>
        <w:t>muita</w:t>
      </w:r>
      <w:r w:rsidR="0003391C" w:rsidRPr="00D5464D">
        <w:rPr>
          <w:rFonts w:cs="Arial"/>
          <w:sz w:val="16"/>
          <w:szCs w:val="20"/>
          <w:lang w:val="pt-BR"/>
        </w:rPr>
        <w:t xml:space="preserve">s </w:t>
      </w:r>
      <w:r w:rsidR="00A1358C" w:rsidRPr="00D5464D">
        <w:rPr>
          <w:rFonts w:cs="Arial"/>
          <w:sz w:val="16"/>
          <w:szCs w:val="20"/>
          <w:lang w:val="pt-BR"/>
        </w:rPr>
        <w:t>coisas</w:t>
      </w:r>
      <w:r w:rsidRPr="00D5464D">
        <w:rPr>
          <w:rFonts w:cs="Arial"/>
          <w:sz w:val="16"/>
          <w:szCs w:val="20"/>
          <w:lang w:val="pt-BR"/>
        </w:rPr>
        <w:t xml:space="preserve"> e </w:t>
      </w:r>
      <w:r w:rsidR="009F361F" w:rsidRPr="00D5464D">
        <w:rPr>
          <w:rFonts w:cs="Arial"/>
          <w:sz w:val="16"/>
          <w:szCs w:val="20"/>
          <w:lang w:val="pt-BR"/>
        </w:rPr>
        <w:t xml:space="preserve">eu levei </w:t>
      </w:r>
      <w:r w:rsidR="0003391C" w:rsidRPr="00D5464D">
        <w:rPr>
          <w:rFonts w:cs="Arial"/>
          <w:sz w:val="16"/>
          <w:szCs w:val="20"/>
          <w:lang w:val="pt-BR"/>
        </w:rPr>
        <w:t>todos</w:t>
      </w:r>
      <w:r w:rsidR="002C330E" w:rsidRPr="00D5464D">
        <w:rPr>
          <w:rFonts w:cs="Arial"/>
          <w:sz w:val="16"/>
          <w:szCs w:val="20"/>
          <w:lang w:val="pt-BR"/>
        </w:rPr>
        <w:t xml:space="preserve"> os </w:t>
      </w:r>
      <w:r w:rsidR="009F361F" w:rsidRPr="00D5464D">
        <w:rPr>
          <w:rFonts w:cs="Arial"/>
          <w:sz w:val="16"/>
          <w:szCs w:val="20"/>
          <w:lang w:val="pt-BR"/>
        </w:rPr>
        <w:t xml:space="preserve">mantimentos </w:t>
      </w:r>
      <w:r w:rsidR="0003391C" w:rsidRPr="00D5464D">
        <w:rPr>
          <w:rFonts w:cs="Arial"/>
          <w:sz w:val="16"/>
          <w:szCs w:val="20"/>
          <w:lang w:val="pt-BR"/>
        </w:rPr>
        <w:t>para</w:t>
      </w:r>
      <w:r w:rsidR="00470ADC" w:rsidRPr="00D5464D">
        <w:rPr>
          <w:rFonts w:cs="Arial"/>
          <w:sz w:val="16"/>
          <w:szCs w:val="20"/>
          <w:lang w:val="pt-BR"/>
        </w:rPr>
        <w:t xml:space="preserve"> o </w:t>
      </w:r>
      <w:r w:rsidRPr="00D5464D">
        <w:rPr>
          <w:rFonts w:cs="Arial"/>
          <w:sz w:val="16"/>
          <w:szCs w:val="20"/>
          <w:lang w:val="pt-BR"/>
        </w:rPr>
        <w:t>trabalho e</w:t>
      </w:r>
      <w:r w:rsidR="00A1358C" w:rsidRPr="00D5464D">
        <w:rPr>
          <w:rFonts w:cs="Arial"/>
          <w:sz w:val="16"/>
          <w:szCs w:val="20"/>
          <w:lang w:val="pt-BR"/>
        </w:rPr>
        <w:t xml:space="preserve"> </w:t>
      </w:r>
      <w:r w:rsidR="00350187" w:rsidRPr="00D5464D">
        <w:rPr>
          <w:rFonts w:cs="Arial"/>
          <w:sz w:val="16"/>
          <w:szCs w:val="20"/>
          <w:lang w:val="pt-BR"/>
        </w:rPr>
        <w:t xml:space="preserve">chegando </w:t>
      </w:r>
      <w:r w:rsidR="0003391C" w:rsidRPr="00D5464D">
        <w:rPr>
          <w:rFonts w:cs="Arial"/>
          <w:sz w:val="16"/>
          <w:szCs w:val="20"/>
          <w:lang w:val="pt-BR"/>
        </w:rPr>
        <w:t>lá</w:t>
      </w:r>
      <w:r w:rsidR="00470ADC" w:rsidRPr="00D5464D">
        <w:rPr>
          <w:rFonts w:cs="Arial"/>
          <w:sz w:val="16"/>
          <w:szCs w:val="20"/>
          <w:lang w:val="pt-BR"/>
        </w:rPr>
        <w:t xml:space="preserve"> ele </w:t>
      </w:r>
      <w:r w:rsidR="0003391C" w:rsidRPr="00D5464D">
        <w:rPr>
          <w:rFonts w:cs="Arial"/>
          <w:sz w:val="16"/>
          <w:szCs w:val="20"/>
          <w:lang w:val="pt-BR"/>
        </w:rPr>
        <w:t xml:space="preserve">me </w:t>
      </w:r>
      <w:r w:rsidR="009F361F" w:rsidRPr="00D5464D">
        <w:rPr>
          <w:rFonts w:cs="Arial"/>
          <w:sz w:val="16"/>
          <w:szCs w:val="20"/>
          <w:lang w:val="pt-BR"/>
        </w:rPr>
        <w:t xml:space="preserve">jogou numa lama, roçando </w:t>
      </w:r>
      <w:r w:rsidR="0003391C" w:rsidRPr="00D5464D">
        <w:rPr>
          <w:rFonts w:cs="Arial"/>
          <w:sz w:val="16"/>
          <w:szCs w:val="20"/>
          <w:lang w:val="pt-BR"/>
        </w:rPr>
        <w:t>juquira</w:t>
      </w:r>
      <w:r w:rsidR="009F361F" w:rsidRPr="00D5464D">
        <w:rPr>
          <w:rFonts w:cs="Arial"/>
          <w:sz w:val="16"/>
          <w:szCs w:val="20"/>
          <w:lang w:val="pt-BR"/>
        </w:rPr>
        <w:t>,</w:t>
      </w:r>
      <w:r w:rsidR="0003391C" w:rsidRPr="00D5464D">
        <w:rPr>
          <w:rStyle w:val="Refdenotaalpie"/>
          <w:rFonts w:cs="Arial"/>
          <w:sz w:val="16"/>
          <w:lang w:val="pt-BR"/>
        </w:rPr>
        <w:footnoteReference w:id="108"/>
      </w:r>
      <w:r w:rsidR="0003391C" w:rsidRPr="00D5464D">
        <w:rPr>
          <w:rFonts w:cs="Arial"/>
          <w:sz w:val="16"/>
          <w:szCs w:val="20"/>
          <w:lang w:val="pt-BR"/>
        </w:rPr>
        <w:t xml:space="preserve"> </w:t>
      </w:r>
      <w:r w:rsidR="009F361F" w:rsidRPr="00D5464D">
        <w:rPr>
          <w:rFonts w:cs="Arial"/>
          <w:sz w:val="16"/>
          <w:szCs w:val="20"/>
          <w:lang w:val="pt-BR"/>
        </w:rPr>
        <w:t xml:space="preserve">morando num barraco </w:t>
      </w:r>
      <w:r w:rsidR="00A1358C" w:rsidRPr="00D5464D">
        <w:rPr>
          <w:rFonts w:cs="Arial"/>
          <w:sz w:val="16"/>
          <w:szCs w:val="20"/>
          <w:lang w:val="pt-BR"/>
        </w:rPr>
        <w:t>chei</w:t>
      </w:r>
      <w:r w:rsidR="009F361F" w:rsidRPr="00D5464D">
        <w:rPr>
          <w:rFonts w:cs="Arial"/>
          <w:sz w:val="16"/>
          <w:szCs w:val="20"/>
          <w:lang w:val="pt-BR"/>
        </w:rPr>
        <w:t>o</w:t>
      </w:r>
      <w:r w:rsidR="0003391C" w:rsidRPr="00D5464D">
        <w:rPr>
          <w:rFonts w:cs="Arial"/>
          <w:sz w:val="16"/>
          <w:szCs w:val="20"/>
          <w:lang w:val="pt-BR"/>
        </w:rPr>
        <w:t xml:space="preserve"> de</w:t>
      </w:r>
      <w:r w:rsidR="00C91CB1" w:rsidRPr="00D5464D">
        <w:rPr>
          <w:rFonts w:cs="Arial"/>
          <w:sz w:val="16"/>
          <w:szCs w:val="20"/>
          <w:lang w:val="pt-BR"/>
        </w:rPr>
        <w:t xml:space="preserve"> água</w:t>
      </w:r>
      <w:r w:rsidR="0003391C" w:rsidRPr="00D5464D">
        <w:rPr>
          <w:rFonts w:cs="Arial"/>
          <w:sz w:val="16"/>
          <w:szCs w:val="20"/>
          <w:lang w:val="pt-BR"/>
        </w:rPr>
        <w:t>, mi</w:t>
      </w:r>
      <w:r w:rsidR="009F361F" w:rsidRPr="00D5464D">
        <w:rPr>
          <w:rFonts w:cs="Arial"/>
          <w:sz w:val="16"/>
          <w:szCs w:val="20"/>
          <w:lang w:val="pt-BR"/>
        </w:rPr>
        <w:t>nha</w:t>
      </w:r>
      <w:r w:rsidR="0003391C" w:rsidRPr="00D5464D">
        <w:rPr>
          <w:rFonts w:cs="Arial"/>
          <w:sz w:val="16"/>
          <w:szCs w:val="20"/>
          <w:lang w:val="pt-BR"/>
        </w:rPr>
        <w:t xml:space="preserve"> esposa operada, mi</w:t>
      </w:r>
      <w:r w:rsidR="009F361F" w:rsidRPr="00D5464D">
        <w:rPr>
          <w:rFonts w:cs="Arial"/>
          <w:sz w:val="16"/>
          <w:szCs w:val="20"/>
          <w:lang w:val="pt-BR"/>
        </w:rPr>
        <w:t>nhas crianças adoeceram</w:t>
      </w:r>
      <w:r w:rsidR="0003391C" w:rsidRPr="00D5464D">
        <w:rPr>
          <w:rFonts w:cs="Arial"/>
          <w:sz w:val="16"/>
          <w:szCs w:val="20"/>
          <w:lang w:val="pt-BR"/>
        </w:rPr>
        <w:t>, era</w:t>
      </w:r>
      <w:r w:rsidR="00470ADC" w:rsidRPr="00D5464D">
        <w:rPr>
          <w:rFonts w:cs="Arial"/>
          <w:sz w:val="16"/>
          <w:szCs w:val="20"/>
          <w:lang w:val="pt-BR"/>
        </w:rPr>
        <w:t xml:space="preserve"> o </w:t>
      </w:r>
      <w:r w:rsidR="002C330E" w:rsidRPr="00D5464D">
        <w:rPr>
          <w:rFonts w:cs="Arial"/>
          <w:sz w:val="16"/>
          <w:szCs w:val="20"/>
          <w:lang w:val="pt-BR"/>
        </w:rPr>
        <w:t xml:space="preserve">maior </w:t>
      </w:r>
      <w:r w:rsidRPr="00D5464D">
        <w:rPr>
          <w:rFonts w:cs="Arial"/>
          <w:sz w:val="16"/>
          <w:szCs w:val="20"/>
          <w:lang w:val="pt-BR"/>
        </w:rPr>
        <w:t>sofrimento</w:t>
      </w:r>
      <w:r w:rsidR="0003391C" w:rsidRPr="00D5464D">
        <w:rPr>
          <w:rFonts w:cs="Arial"/>
          <w:sz w:val="16"/>
          <w:szCs w:val="20"/>
          <w:lang w:val="pt-BR"/>
        </w:rPr>
        <w:t xml:space="preserve">. </w:t>
      </w:r>
      <w:r w:rsidR="009F361F" w:rsidRPr="00D5464D">
        <w:rPr>
          <w:rFonts w:cs="Arial"/>
          <w:sz w:val="16"/>
          <w:szCs w:val="20"/>
          <w:lang w:val="pt-BR"/>
        </w:rPr>
        <w:t xml:space="preserve">Precisei </w:t>
      </w:r>
      <w:r w:rsidR="0003391C" w:rsidRPr="00D5464D">
        <w:rPr>
          <w:rFonts w:cs="Arial"/>
          <w:sz w:val="16"/>
          <w:szCs w:val="20"/>
          <w:lang w:val="pt-BR"/>
        </w:rPr>
        <w:t>comprar do</w:t>
      </w:r>
      <w:r w:rsidR="009F361F" w:rsidRPr="00D5464D">
        <w:rPr>
          <w:rFonts w:cs="Arial"/>
          <w:sz w:val="16"/>
          <w:szCs w:val="20"/>
          <w:lang w:val="pt-BR"/>
        </w:rPr>
        <w:t xml:space="preserve">is vidros de remédios </w:t>
      </w:r>
      <w:r w:rsidRPr="00D5464D">
        <w:rPr>
          <w:rFonts w:cs="Arial"/>
          <w:sz w:val="16"/>
          <w:szCs w:val="20"/>
          <w:lang w:val="pt-BR"/>
        </w:rPr>
        <w:t xml:space="preserve">e </w:t>
      </w:r>
      <w:r w:rsidR="0003391C" w:rsidRPr="00D5464D">
        <w:rPr>
          <w:rFonts w:cs="Arial"/>
          <w:sz w:val="16"/>
          <w:szCs w:val="20"/>
          <w:lang w:val="pt-BR"/>
        </w:rPr>
        <w:t>me cobrar</w:t>
      </w:r>
      <w:r w:rsidR="009F361F" w:rsidRPr="00D5464D">
        <w:rPr>
          <w:rFonts w:cs="Arial"/>
          <w:sz w:val="16"/>
          <w:szCs w:val="20"/>
          <w:lang w:val="pt-BR"/>
        </w:rPr>
        <w:t xml:space="preserve">am </w:t>
      </w:r>
      <w:r w:rsidR="0003391C" w:rsidRPr="00D5464D">
        <w:rPr>
          <w:rFonts w:cs="Arial"/>
          <w:sz w:val="16"/>
          <w:szCs w:val="20"/>
          <w:lang w:val="pt-BR"/>
        </w:rPr>
        <w:t>C</w:t>
      </w:r>
      <w:r w:rsidR="009F361F" w:rsidRPr="00D5464D">
        <w:rPr>
          <w:rFonts w:cs="Arial"/>
          <w:sz w:val="16"/>
          <w:szCs w:val="20"/>
          <w:lang w:val="pt-BR"/>
        </w:rPr>
        <w:t>z</w:t>
      </w:r>
      <w:r w:rsidR="0003391C" w:rsidRPr="00D5464D">
        <w:rPr>
          <w:rFonts w:cs="Arial"/>
          <w:sz w:val="16"/>
          <w:szCs w:val="20"/>
          <w:lang w:val="pt-BR"/>
        </w:rPr>
        <w:t xml:space="preserve">$ 3.000,00. </w:t>
      </w:r>
      <w:r w:rsidR="00470ADC" w:rsidRPr="00D5464D">
        <w:rPr>
          <w:rFonts w:cs="Arial"/>
          <w:sz w:val="16"/>
          <w:szCs w:val="20"/>
          <w:lang w:val="pt-BR"/>
        </w:rPr>
        <w:t>Quando</w:t>
      </w:r>
      <w:r w:rsidR="0003391C" w:rsidRPr="00D5464D">
        <w:rPr>
          <w:rFonts w:cs="Arial"/>
          <w:sz w:val="16"/>
          <w:szCs w:val="20"/>
          <w:lang w:val="pt-BR"/>
        </w:rPr>
        <w:t xml:space="preserve"> </w:t>
      </w:r>
      <w:r w:rsidR="009F361F" w:rsidRPr="00D5464D">
        <w:rPr>
          <w:rFonts w:cs="Arial"/>
          <w:sz w:val="16"/>
          <w:szCs w:val="20"/>
          <w:lang w:val="pt-BR"/>
        </w:rPr>
        <w:t xml:space="preserve">fui sair </w:t>
      </w:r>
      <w:r w:rsidR="00470ADC" w:rsidRPr="00D5464D">
        <w:rPr>
          <w:rFonts w:cs="Arial"/>
          <w:sz w:val="16"/>
          <w:szCs w:val="20"/>
          <w:lang w:val="pt-BR"/>
        </w:rPr>
        <w:t xml:space="preserve">da </w:t>
      </w:r>
      <w:r w:rsidR="00D809F0" w:rsidRPr="00D5464D">
        <w:rPr>
          <w:rFonts w:cs="Arial"/>
          <w:sz w:val="16"/>
          <w:szCs w:val="20"/>
          <w:lang w:val="pt-BR"/>
        </w:rPr>
        <w:t>fazenda</w:t>
      </w:r>
      <w:r w:rsidR="0003391C" w:rsidRPr="00D5464D">
        <w:rPr>
          <w:rFonts w:cs="Arial"/>
          <w:sz w:val="16"/>
          <w:szCs w:val="20"/>
          <w:lang w:val="pt-BR"/>
        </w:rPr>
        <w:t xml:space="preserve">, fui </w:t>
      </w:r>
      <w:r w:rsidR="009F361F" w:rsidRPr="00D5464D">
        <w:rPr>
          <w:rFonts w:cs="Arial"/>
          <w:sz w:val="16"/>
          <w:szCs w:val="20"/>
          <w:lang w:val="pt-BR"/>
        </w:rPr>
        <w:t xml:space="preserve">acertar </w:t>
      </w:r>
      <w:r w:rsidR="002C330E" w:rsidRPr="00D5464D">
        <w:rPr>
          <w:rFonts w:cs="Arial"/>
          <w:sz w:val="16"/>
          <w:szCs w:val="20"/>
          <w:lang w:val="pt-BR"/>
        </w:rPr>
        <w:t xml:space="preserve">a </w:t>
      </w:r>
      <w:r w:rsidR="00470ADC" w:rsidRPr="00D5464D">
        <w:rPr>
          <w:rFonts w:cs="Arial"/>
          <w:sz w:val="16"/>
          <w:szCs w:val="20"/>
          <w:lang w:val="pt-BR"/>
        </w:rPr>
        <w:t>conta</w:t>
      </w:r>
      <w:r w:rsidR="009F361F" w:rsidRPr="00D5464D">
        <w:rPr>
          <w:rFonts w:cs="Arial"/>
          <w:sz w:val="16"/>
          <w:szCs w:val="20"/>
          <w:lang w:val="pt-BR"/>
        </w:rPr>
        <w:t>, ainda fiquei devendo</w:t>
      </w:r>
      <w:r w:rsidR="00470ADC" w:rsidRPr="00D5464D">
        <w:rPr>
          <w:rFonts w:cs="Arial"/>
          <w:sz w:val="16"/>
          <w:szCs w:val="20"/>
          <w:lang w:val="pt-BR"/>
        </w:rPr>
        <w:t xml:space="preserve"> </w:t>
      </w:r>
      <w:r w:rsidR="0003391C" w:rsidRPr="00D5464D">
        <w:rPr>
          <w:rFonts w:cs="Arial"/>
          <w:sz w:val="16"/>
          <w:szCs w:val="20"/>
          <w:lang w:val="pt-BR"/>
        </w:rPr>
        <w:t>Cz$ 21.500</w:t>
      </w:r>
      <w:r w:rsidRPr="00D5464D">
        <w:rPr>
          <w:rFonts w:cs="Arial"/>
          <w:sz w:val="16"/>
          <w:szCs w:val="20"/>
          <w:lang w:val="pt-BR"/>
        </w:rPr>
        <w:t xml:space="preserve"> e </w:t>
      </w:r>
      <w:r w:rsidR="009F361F" w:rsidRPr="00D5464D">
        <w:rPr>
          <w:rFonts w:cs="Arial"/>
          <w:sz w:val="16"/>
          <w:szCs w:val="20"/>
          <w:lang w:val="pt-BR"/>
        </w:rPr>
        <w:t xml:space="preserve">aí precisei </w:t>
      </w:r>
      <w:r w:rsidR="0003391C" w:rsidRPr="00D5464D">
        <w:rPr>
          <w:rFonts w:cs="Arial"/>
          <w:sz w:val="16"/>
          <w:szCs w:val="20"/>
          <w:lang w:val="pt-BR"/>
        </w:rPr>
        <w:t>vender</w:t>
      </w:r>
      <w:r w:rsidRPr="00D5464D">
        <w:rPr>
          <w:rFonts w:cs="Arial"/>
          <w:sz w:val="16"/>
          <w:szCs w:val="20"/>
          <w:lang w:val="pt-BR"/>
        </w:rPr>
        <w:t xml:space="preserve"> </w:t>
      </w:r>
      <w:r w:rsidR="009F361F" w:rsidRPr="00D5464D">
        <w:rPr>
          <w:rFonts w:cs="Arial"/>
          <w:sz w:val="16"/>
          <w:szCs w:val="20"/>
          <w:lang w:val="pt-BR"/>
        </w:rPr>
        <w:t>1</w:t>
      </w:r>
      <w:r w:rsidRPr="00D5464D">
        <w:rPr>
          <w:rFonts w:cs="Arial"/>
          <w:sz w:val="16"/>
          <w:szCs w:val="20"/>
          <w:lang w:val="pt-BR"/>
        </w:rPr>
        <w:t xml:space="preserve"> </w:t>
      </w:r>
      <w:r w:rsidR="009F361F" w:rsidRPr="00D5464D">
        <w:rPr>
          <w:rFonts w:cs="Arial"/>
          <w:sz w:val="16"/>
          <w:szCs w:val="20"/>
          <w:lang w:val="pt-BR"/>
        </w:rPr>
        <w:t>rede</w:t>
      </w:r>
      <w:r w:rsidR="0003391C" w:rsidRPr="00D5464D">
        <w:rPr>
          <w:rFonts w:cs="Arial"/>
          <w:sz w:val="16"/>
          <w:szCs w:val="20"/>
          <w:lang w:val="pt-BR"/>
        </w:rPr>
        <w:t>,</w:t>
      </w:r>
      <w:r w:rsidRPr="00D5464D">
        <w:rPr>
          <w:rFonts w:cs="Arial"/>
          <w:sz w:val="16"/>
          <w:szCs w:val="20"/>
          <w:lang w:val="pt-BR"/>
        </w:rPr>
        <w:t xml:space="preserve"> </w:t>
      </w:r>
      <w:r w:rsidR="009F361F" w:rsidRPr="00D5464D">
        <w:rPr>
          <w:rFonts w:cs="Arial"/>
          <w:sz w:val="16"/>
          <w:szCs w:val="20"/>
          <w:lang w:val="pt-BR"/>
        </w:rPr>
        <w:t>1 colcha</w:t>
      </w:r>
      <w:r w:rsidR="0003391C" w:rsidRPr="00D5464D">
        <w:rPr>
          <w:rFonts w:cs="Arial"/>
          <w:sz w:val="16"/>
          <w:szCs w:val="20"/>
          <w:lang w:val="pt-BR"/>
        </w:rPr>
        <w:t>, 2 mach</w:t>
      </w:r>
      <w:r w:rsidR="009F361F" w:rsidRPr="00D5464D">
        <w:rPr>
          <w:rFonts w:cs="Arial"/>
          <w:sz w:val="16"/>
          <w:szCs w:val="20"/>
          <w:lang w:val="pt-BR"/>
        </w:rPr>
        <w:t>ado</w:t>
      </w:r>
      <w:r w:rsidR="0003391C" w:rsidRPr="00D5464D">
        <w:rPr>
          <w:rFonts w:cs="Arial"/>
          <w:sz w:val="16"/>
          <w:szCs w:val="20"/>
          <w:lang w:val="pt-BR"/>
        </w:rPr>
        <w:t xml:space="preserve">s, 2 </w:t>
      </w:r>
      <w:r w:rsidR="009F361F" w:rsidRPr="00D5464D">
        <w:rPr>
          <w:rFonts w:cs="Arial"/>
          <w:sz w:val="16"/>
          <w:szCs w:val="20"/>
          <w:lang w:val="pt-BR"/>
        </w:rPr>
        <w:t>panelas</w:t>
      </w:r>
      <w:r w:rsidR="0003391C" w:rsidRPr="00D5464D">
        <w:rPr>
          <w:rFonts w:cs="Arial"/>
          <w:sz w:val="16"/>
          <w:szCs w:val="20"/>
          <w:lang w:val="pt-BR"/>
        </w:rPr>
        <w:t>, p</w:t>
      </w:r>
      <w:r w:rsidR="009F361F" w:rsidRPr="00D5464D">
        <w:rPr>
          <w:rFonts w:cs="Arial"/>
          <w:sz w:val="16"/>
          <w:szCs w:val="20"/>
          <w:lang w:val="pt-BR"/>
        </w:rPr>
        <w:t>r</w:t>
      </w:r>
      <w:r w:rsidR="0003391C" w:rsidRPr="00D5464D">
        <w:rPr>
          <w:rFonts w:cs="Arial"/>
          <w:sz w:val="16"/>
          <w:szCs w:val="20"/>
          <w:lang w:val="pt-BR"/>
        </w:rPr>
        <w:t xml:space="preserve">atos, 2 </w:t>
      </w:r>
      <w:r w:rsidR="009F361F" w:rsidRPr="00D5464D">
        <w:rPr>
          <w:rFonts w:cs="Arial"/>
          <w:sz w:val="16"/>
          <w:szCs w:val="20"/>
          <w:lang w:val="pt-BR"/>
        </w:rPr>
        <w:t xml:space="preserve">colheres </w:t>
      </w:r>
      <w:r w:rsidR="00C0145B" w:rsidRPr="00D5464D">
        <w:rPr>
          <w:rFonts w:cs="Arial"/>
          <w:sz w:val="16"/>
          <w:szCs w:val="20"/>
          <w:lang w:val="pt-BR"/>
        </w:rPr>
        <w:t xml:space="preserve">[...] </w:t>
      </w:r>
      <w:r w:rsidRPr="00D5464D">
        <w:rPr>
          <w:rFonts w:cs="Arial"/>
          <w:sz w:val="16"/>
          <w:szCs w:val="20"/>
          <w:lang w:val="pt-BR"/>
        </w:rPr>
        <w:t xml:space="preserve">e </w:t>
      </w:r>
      <w:r w:rsidR="00470ADC" w:rsidRPr="00D5464D">
        <w:rPr>
          <w:rFonts w:cs="Arial"/>
          <w:sz w:val="16"/>
          <w:szCs w:val="20"/>
          <w:lang w:val="pt-BR"/>
        </w:rPr>
        <w:t>ainda</w:t>
      </w:r>
      <w:r w:rsidR="0003391C" w:rsidRPr="00D5464D">
        <w:rPr>
          <w:rFonts w:cs="Arial"/>
          <w:sz w:val="16"/>
          <w:szCs w:val="20"/>
          <w:lang w:val="pt-BR"/>
        </w:rPr>
        <w:t xml:space="preserve"> </w:t>
      </w:r>
      <w:r w:rsidR="00C0145B" w:rsidRPr="00D5464D">
        <w:rPr>
          <w:rFonts w:cs="Arial"/>
          <w:sz w:val="16"/>
          <w:szCs w:val="20"/>
          <w:lang w:val="pt-BR"/>
        </w:rPr>
        <w:t xml:space="preserve">fiquei devendo </w:t>
      </w:r>
      <w:r w:rsidR="0003391C" w:rsidRPr="00D5464D">
        <w:rPr>
          <w:rFonts w:cs="Arial"/>
          <w:sz w:val="16"/>
          <w:szCs w:val="20"/>
          <w:lang w:val="pt-BR"/>
        </w:rPr>
        <w:t>Cz$ 16.800</w:t>
      </w:r>
      <w:r w:rsidRPr="00D5464D">
        <w:rPr>
          <w:rFonts w:cs="Arial"/>
          <w:sz w:val="16"/>
          <w:szCs w:val="20"/>
          <w:lang w:val="pt-BR"/>
        </w:rPr>
        <w:t xml:space="preserve"> e </w:t>
      </w:r>
      <w:r w:rsidR="0003391C" w:rsidRPr="00D5464D">
        <w:rPr>
          <w:rFonts w:cs="Arial"/>
          <w:sz w:val="16"/>
          <w:szCs w:val="20"/>
          <w:lang w:val="pt-BR"/>
        </w:rPr>
        <w:t xml:space="preserve">saí </w:t>
      </w:r>
      <w:r w:rsidR="00A1358C" w:rsidRPr="00D5464D">
        <w:rPr>
          <w:rFonts w:cs="Arial"/>
          <w:sz w:val="16"/>
          <w:szCs w:val="20"/>
          <w:lang w:val="pt-BR"/>
        </w:rPr>
        <w:t>devendo</w:t>
      </w:r>
      <w:r w:rsidR="0003391C" w:rsidRPr="00D5464D">
        <w:rPr>
          <w:rFonts w:cs="Arial"/>
          <w:sz w:val="16"/>
          <w:szCs w:val="20"/>
          <w:lang w:val="pt-BR"/>
        </w:rPr>
        <w:t>.</w:t>
      </w:r>
    </w:p>
    <w:p w14:paraId="3D27C901" w14:textId="77777777" w:rsidR="0003391C" w:rsidRPr="00D5464D" w:rsidRDefault="0003391C" w:rsidP="00140440">
      <w:pPr>
        <w:autoSpaceDE w:val="0"/>
        <w:autoSpaceDN w:val="0"/>
        <w:adjustRightInd w:val="0"/>
        <w:ind w:left="720" w:right="720"/>
        <w:jc w:val="both"/>
        <w:rPr>
          <w:rFonts w:cs="Arial"/>
          <w:sz w:val="16"/>
          <w:szCs w:val="20"/>
          <w:lang w:val="pt-BR"/>
        </w:rPr>
      </w:pPr>
    </w:p>
    <w:p w14:paraId="3A56F8D7" w14:textId="24BC60AA" w:rsidR="0003391C" w:rsidRPr="00D5464D" w:rsidRDefault="0003391C" w:rsidP="00140440">
      <w:pPr>
        <w:autoSpaceDE w:val="0"/>
        <w:autoSpaceDN w:val="0"/>
        <w:adjustRightInd w:val="0"/>
        <w:ind w:left="720" w:right="720"/>
        <w:jc w:val="both"/>
        <w:rPr>
          <w:rFonts w:cs="Arial"/>
          <w:sz w:val="16"/>
          <w:szCs w:val="20"/>
          <w:lang w:val="pt-BR"/>
        </w:rPr>
      </w:pPr>
      <w:r w:rsidRPr="00D5464D">
        <w:rPr>
          <w:rFonts w:cs="Arial"/>
          <w:sz w:val="16"/>
          <w:szCs w:val="20"/>
          <w:lang w:val="pt-BR"/>
        </w:rPr>
        <w:t>[...]</w:t>
      </w:r>
      <w:r w:rsidR="00FF1290" w:rsidRPr="00D5464D">
        <w:rPr>
          <w:rFonts w:cs="Arial"/>
          <w:sz w:val="16"/>
          <w:szCs w:val="20"/>
          <w:lang w:val="pt-BR"/>
        </w:rPr>
        <w:t xml:space="preserve"> </w:t>
      </w:r>
      <w:r w:rsidRPr="00D5464D">
        <w:rPr>
          <w:rFonts w:cs="Arial"/>
          <w:sz w:val="16"/>
          <w:szCs w:val="20"/>
          <w:lang w:val="pt-BR"/>
        </w:rPr>
        <w:t xml:space="preserve">Durante todo este </w:t>
      </w:r>
      <w:r w:rsidR="00E045D9" w:rsidRPr="00D5464D">
        <w:rPr>
          <w:rFonts w:cs="Arial"/>
          <w:sz w:val="16"/>
          <w:szCs w:val="20"/>
          <w:lang w:val="pt-BR"/>
        </w:rPr>
        <w:t>tempo</w:t>
      </w:r>
      <w:r w:rsidRPr="00D5464D">
        <w:rPr>
          <w:rFonts w:cs="Arial"/>
          <w:sz w:val="16"/>
          <w:szCs w:val="20"/>
          <w:lang w:val="pt-BR"/>
        </w:rPr>
        <w:t xml:space="preserve"> </w:t>
      </w:r>
      <w:r w:rsidR="00C0145B" w:rsidRPr="00D5464D">
        <w:rPr>
          <w:rFonts w:cs="Arial"/>
          <w:sz w:val="16"/>
          <w:szCs w:val="20"/>
          <w:lang w:val="pt-BR"/>
        </w:rPr>
        <w:t xml:space="preserve">não peguei </w:t>
      </w:r>
      <w:r w:rsidRPr="00D5464D">
        <w:rPr>
          <w:rFonts w:cs="Arial"/>
          <w:sz w:val="16"/>
          <w:szCs w:val="20"/>
          <w:lang w:val="pt-BR"/>
        </w:rPr>
        <w:t xml:space="preserve">nada de </w:t>
      </w:r>
      <w:r w:rsidR="00737270" w:rsidRPr="00D5464D">
        <w:rPr>
          <w:rFonts w:cs="Arial"/>
          <w:sz w:val="16"/>
          <w:szCs w:val="20"/>
          <w:lang w:val="pt-BR"/>
        </w:rPr>
        <w:t>dinheiro</w:t>
      </w:r>
      <w:r w:rsidRPr="00D5464D">
        <w:rPr>
          <w:rFonts w:cs="Arial"/>
          <w:sz w:val="16"/>
          <w:szCs w:val="20"/>
          <w:lang w:val="pt-BR"/>
        </w:rPr>
        <w:t>.</w:t>
      </w:r>
    </w:p>
    <w:p w14:paraId="359522E7" w14:textId="77777777" w:rsidR="0003391C" w:rsidRPr="00D5464D" w:rsidRDefault="0003391C" w:rsidP="00140440">
      <w:pPr>
        <w:autoSpaceDE w:val="0"/>
        <w:autoSpaceDN w:val="0"/>
        <w:adjustRightInd w:val="0"/>
        <w:ind w:left="720" w:right="720"/>
        <w:jc w:val="both"/>
        <w:rPr>
          <w:rFonts w:cs="Arial"/>
          <w:sz w:val="16"/>
          <w:szCs w:val="20"/>
          <w:lang w:val="pt-BR"/>
        </w:rPr>
      </w:pPr>
    </w:p>
    <w:p w14:paraId="3568C6BE" w14:textId="6E14C6AB" w:rsidR="0003391C" w:rsidRPr="00D5464D" w:rsidRDefault="0003391C" w:rsidP="00140440">
      <w:pPr>
        <w:autoSpaceDE w:val="0"/>
        <w:autoSpaceDN w:val="0"/>
        <w:adjustRightInd w:val="0"/>
        <w:ind w:left="720" w:right="720"/>
        <w:jc w:val="both"/>
        <w:rPr>
          <w:rFonts w:cs="Arial"/>
          <w:sz w:val="16"/>
          <w:szCs w:val="20"/>
          <w:lang w:val="pt-BR"/>
        </w:rPr>
      </w:pPr>
      <w:r w:rsidRPr="00D5464D">
        <w:rPr>
          <w:rFonts w:cs="Arial"/>
          <w:sz w:val="16"/>
          <w:szCs w:val="20"/>
          <w:lang w:val="pt-BR"/>
        </w:rPr>
        <w:t>[…]</w:t>
      </w:r>
      <w:r w:rsidR="00B634D2" w:rsidRPr="00D5464D">
        <w:rPr>
          <w:rFonts w:cs="Arial"/>
          <w:sz w:val="16"/>
          <w:szCs w:val="20"/>
          <w:lang w:val="pt-BR"/>
        </w:rPr>
        <w:t xml:space="preserve"> </w:t>
      </w:r>
      <w:r w:rsidR="00470ADC" w:rsidRPr="00D5464D">
        <w:rPr>
          <w:rFonts w:cs="Arial"/>
          <w:sz w:val="16"/>
          <w:szCs w:val="20"/>
          <w:lang w:val="pt-BR"/>
        </w:rPr>
        <w:t>Quando</w:t>
      </w:r>
      <w:r w:rsidRPr="00D5464D">
        <w:rPr>
          <w:rFonts w:cs="Arial"/>
          <w:sz w:val="16"/>
          <w:szCs w:val="20"/>
          <w:lang w:val="pt-BR"/>
        </w:rPr>
        <w:t xml:space="preserve"> quer</w:t>
      </w:r>
      <w:r w:rsidR="00C0145B" w:rsidRPr="00D5464D">
        <w:rPr>
          <w:rFonts w:cs="Arial"/>
          <w:sz w:val="16"/>
          <w:szCs w:val="20"/>
          <w:lang w:val="pt-BR"/>
        </w:rPr>
        <w:t>ia vir embora</w:t>
      </w:r>
      <w:r w:rsidRPr="00D5464D">
        <w:rPr>
          <w:rFonts w:cs="Arial"/>
          <w:sz w:val="16"/>
          <w:szCs w:val="20"/>
          <w:lang w:val="pt-BR"/>
        </w:rPr>
        <w:t>,</w:t>
      </w:r>
      <w:r w:rsidR="00470ADC" w:rsidRPr="00D5464D">
        <w:rPr>
          <w:rFonts w:cs="Arial"/>
          <w:sz w:val="16"/>
          <w:szCs w:val="20"/>
          <w:lang w:val="pt-BR"/>
        </w:rPr>
        <w:t xml:space="preserve"> ele </w:t>
      </w:r>
      <w:r w:rsidR="00C0145B" w:rsidRPr="00D5464D">
        <w:rPr>
          <w:rFonts w:cs="Arial"/>
          <w:sz w:val="16"/>
          <w:szCs w:val="20"/>
          <w:lang w:val="pt-BR"/>
        </w:rPr>
        <w:t xml:space="preserve">não me ofereceu condição pra </w:t>
      </w:r>
      <w:r w:rsidR="002C330E" w:rsidRPr="00D5464D">
        <w:rPr>
          <w:rFonts w:cs="Arial"/>
          <w:sz w:val="16"/>
          <w:szCs w:val="20"/>
          <w:lang w:val="pt-BR"/>
        </w:rPr>
        <w:t>sair</w:t>
      </w:r>
      <w:r w:rsidR="00470ADC" w:rsidRPr="00D5464D">
        <w:rPr>
          <w:rFonts w:cs="Arial"/>
          <w:sz w:val="16"/>
          <w:szCs w:val="20"/>
          <w:lang w:val="pt-BR"/>
        </w:rPr>
        <w:t xml:space="preserve">, </w:t>
      </w:r>
      <w:r w:rsidR="00C0145B" w:rsidRPr="00D5464D">
        <w:rPr>
          <w:rFonts w:cs="Arial"/>
          <w:sz w:val="16"/>
          <w:szCs w:val="20"/>
          <w:lang w:val="pt-BR"/>
        </w:rPr>
        <w:t xml:space="preserve">eu fiquei a </w:t>
      </w:r>
      <w:r w:rsidR="002C330E" w:rsidRPr="00D5464D">
        <w:rPr>
          <w:rFonts w:cs="Arial"/>
          <w:sz w:val="16"/>
          <w:szCs w:val="20"/>
          <w:lang w:val="pt-BR"/>
        </w:rPr>
        <w:t>manhã</w:t>
      </w:r>
      <w:r w:rsidR="00470ADC" w:rsidRPr="00D5464D">
        <w:rPr>
          <w:rFonts w:cs="Arial"/>
          <w:sz w:val="16"/>
          <w:szCs w:val="20"/>
          <w:lang w:val="pt-BR"/>
        </w:rPr>
        <w:t xml:space="preserve"> </w:t>
      </w:r>
      <w:r w:rsidR="00C0145B" w:rsidRPr="00D5464D">
        <w:rPr>
          <w:rFonts w:cs="Arial"/>
          <w:sz w:val="16"/>
          <w:szCs w:val="20"/>
          <w:lang w:val="pt-BR"/>
        </w:rPr>
        <w:t xml:space="preserve">inteira levando </w:t>
      </w:r>
      <w:r w:rsidR="00230C71" w:rsidRPr="00D5464D">
        <w:rPr>
          <w:rFonts w:cs="Arial"/>
          <w:sz w:val="16"/>
          <w:szCs w:val="20"/>
          <w:lang w:val="pt-BR"/>
        </w:rPr>
        <w:t>chuva</w:t>
      </w:r>
      <w:r w:rsidRPr="00D5464D">
        <w:rPr>
          <w:rFonts w:cs="Arial"/>
          <w:sz w:val="16"/>
          <w:szCs w:val="20"/>
          <w:lang w:val="pt-BR"/>
        </w:rPr>
        <w:t>,</w:t>
      </w:r>
      <w:r w:rsidR="002C330E" w:rsidRPr="00D5464D">
        <w:rPr>
          <w:rFonts w:cs="Arial"/>
          <w:sz w:val="16"/>
          <w:szCs w:val="20"/>
          <w:lang w:val="pt-BR"/>
        </w:rPr>
        <w:t xml:space="preserve"> pois </w:t>
      </w:r>
      <w:r w:rsidR="00470ADC" w:rsidRPr="00D5464D">
        <w:rPr>
          <w:rFonts w:cs="Arial"/>
          <w:sz w:val="16"/>
          <w:szCs w:val="20"/>
          <w:lang w:val="pt-BR"/>
        </w:rPr>
        <w:t xml:space="preserve">o </w:t>
      </w:r>
      <w:r w:rsidRPr="00D5464D">
        <w:rPr>
          <w:rFonts w:cs="Arial"/>
          <w:sz w:val="16"/>
          <w:szCs w:val="20"/>
          <w:lang w:val="pt-BR"/>
        </w:rPr>
        <w:t xml:space="preserve">gerente Nelson nos </w:t>
      </w:r>
      <w:r w:rsidR="00470ADC" w:rsidRPr="00D5464D">
        <w:rPr>
          <w:rFonts w:cs="Arial"/>
          <w:sz w:val="16"/>
          <w:szCs w:val="20"/>
          <w:lang w:val="pt-BR"/>
        </w:rPr>
        <w:t xml:space="preserve">deixou </w:t>
      </w:r>
      <w:r w:rsidR="00605B4F" w:rsidRPr="00D5464D">
        <w:rPr>
          <w:rFonts w:cs="Arial"/>
          <w:sz w:val="16"/>
          <w:szCs w:val="20"/>
          <w:lang w:val="pt-BR"/>
        </w:rPr>
        <w:t xml:space="preserve">na beira </w:t>
      </w:r>
      <w:r w:rsidR="00470ADC" w:rsidRPr="00D5464D">
        <w:rPr>
          <w:rFonts w:cs="Arial"/>
          <w:sz w:val="16"/>
          <w:szCs w:val="20"/>
          <w:lang w:val="pt-BR"/>
        </w:rPr>
        <w:t xml:space="preserve">da </w:t>
      </w:r>
      <w:r w:rsidR="00EB1CE9" w:rsidRPr="00D5464D">
        <w:rPr>
          <w:rFonts w:cs="Arial"/>
          <w:sz w:val="16"/>
          <w:szCs w:val="20"/>
          <w:lang w:val="pt-BR"/>
        </w:rPr>
        <w:t>estrada</w:t>
      </w:r>
      <w:r w:rsidR="00E045D9" w:rsidRPr="00D5464D">
        <w:rPr>
          <w:rFonts w:cs="Arial"/>
          <w:sz w:val="16"/>
          <w:szCs w:val="20"/>
          <w:lang w:val="pt-BR"/>
        </w:rPr>
        <w:t xml:space="preserve"> na </w:t>
      </w:r>
      <w:r w:rsidR="00230C71" w:rsidRPr="00D5464D">
        <w:rPr>
          <w:rFonts w:cs="Arial"/>
          <w:sz w:val="16"/>
          <w:szCs w:val="20"/>
          <w:lang w:val="pt-BR"/>
        </w:rPr>
        <w:t>chuva</w:t>
      </w:r>
      <w:r w:rsidRPr="00D5464D">
        <w:rPr>
          <w:rFonts w:cs="Arial"/>
          <w:sz w:val="16"/>
          <w:szCs w:val="20"/>
          <w:lang w:val="pt-BR"/>
        </w:rPr>
        <w:t>,</w:t>
      </w:r>
      <w:r w:rsidR="00470ADC" w:rsidRPr="00D5464D">
        <w:rPr>
          <w:rFonts w:cs="Arial"/>
          <w:sz w:val="16"/>
          <w:szCs w:val="20"/>
          <w:lang w:val="pt-BR"/>
        </w:rPr>
        <w:t xml:space="preserve"> com </w:t>
      </w:r>
      <w:r w:rsidRPr="00D5464D">
        <w:rPr>
          <w:rFonts w:cs="Arial"/>
          <w:sz w:val="16"/>
          <w:szCs w:val="20"/>
          <w:lang w:val="pt-BR"/>
        </w:rPr>
        <w:t>[mi</w:t>
      </w:r>
      <w:r w:rsidR="00C0145B" w:rsidRPr="00D5464D">
        <w:rPr>
          <w:rFonts w:cs="Arial"/>
          <w:sz w:val="16"/>
          <w:szCs w:val="20"/>
          <w:lang w:val="pt-BR"/>
        </w:rPr>
        <w:t>nha</w:t>
      </w:r>
      <w:r w:rsidRPr="00D5464D">
        <w:rPr>
          <w:rFonts w:cs="Arial"/>
          <w:sz w:val="16"/>
          <w:szCs w:val="20"/>
          <w:lang w:val="pt-BR"/>
        </w:rPr>
        <w:t xml:space="preserve">] </w:t>
      </w:r>
      <w:r w:rsidR="002C330E" w:rsidRPr="00D5464D">
        <w:rPr>
          <w:rFonts w:cs="Arial"/>
          <w:sz w:val="16"/>
          <w:szCs w:val="20"/>
          <w:lang w:val="pt-BR"/>
        </w:rPr>
        <w:t>mulher</w:t>
      </w:r>
      <w:r w:rsidRPr="00D5464D">
        <w:rPr>
          <w:rFonts w:cs="Arial"/>
          <w:sz w:val="16"/>
          <w:szCs w:val="20"/>
          <w:lang w:val="pt-BR"/>
        </w:rPr>
        <w:t xml:space="preserve"> e </w:t>
      </w:r>
      <w:r w:rsidR="002C330E" w:rsidRPr="00D5464D">
        <w:rPr>
          <w:rFonts w:cs="Arial"/>
          <w:sz w:val="16"/>
          <w:szCs w:val="20"/>
          <w:lang w:val="pt-BR"/>
        </w:rPr>
        <w:t>filho</w:t>
      </w:r>
      <w:r w:rsidRPr="00D5464D">
        <w:rPr>
          <w:rFonts w:cs="Arial"/>
          <w:sz w:val="16"/>
          <w:szCs w:val="20"/>
          <w:lang w:val="pt-BR"/>
        </w:rPr>
        <w:t xml:space="preserve">s </w:t>
      </w:r>
      <w:r w:rsidR="00C0145B" w:rsidRPr="00D5464D">
        <w:rPr>
          <w:rFonts w:cs="Arial"/>
          <w:sz w:val="16"/>
          <w:szCs w:val="20"/>
          <w:lang w:val="pt-BR"/>
        </w:rPr>
        <w:t>doentes</w:t>
      </w:r>
      <w:r w:rsidRPr="00D5464D">
        <w:rPr>
          <w:rFonts w:cs="Arial"/>
          <w:sz w:val="16"/>
          <w:szCs w:val="20"/>
          <w:lang w:val="pt-BR"/>
        </w:rPr>
        <w:t>.</w:t>
      </w:r>
    </w:p>
    <w:p w14:paraId="0F9D442A" w14:textId="77777777" w:rsidR="0003391C" w:rsidRPr="00D5464D" w:rsidRDefault="0003391C" w:rsidP="00140440">
      <w:pPr>
        <w:autoSpaceDE w:val="0"/>
        <w:autoSpaceDN w:val="0"/>
        <w:adjustRightInd w:val="0"/>
        <w:ind w:left="720" w:right="720"/>
        <w:jc w:val="both"/>
        <w:rPr>
          <w:rFonts w:cs="Arial"/>
          <w:sz w:val="16"/>
          <w:szCs w:val="20"/>
          <w:lang w:val="pt-BR"/>
        </w:rPr>
      </w:pPr>
    </w:p>
    <w:p w14:paraId="1F4CAA45" w14:textId="05A898E6" w:rsidR="0003391C" w:rsidRPr="00D5464D" w:rsidRDefault="00470ADC" w:rsidP="00140440">
      <w:pPr>
        <w:autoSpaceDE w:val="0"/>
        <w:autoSpaceDN w:val="0"/>
        <w:adjustRightInd w:val="0"/>
        <w:ind w:left="720" w:right="720"/>
        <w:jc w:val="both"/>
        <w:rPr>
          <w:rFonts w:cs="Times New Roman"/>
          <w:sz w:val="16"/>
          <w:szCs w:val="20"/>
          <w:lang w:val="pt-BR"/>
        </w:rPr>
      </w:pPr>
      <w:r w:rsidRPr="00D5464D">
        <w:rPr>
          <w:rFonts w:cs="Arial"/>
          <w:sz w:val="16"/>
          <w:szCs w:val="20"/>
          <w:lang w:val="pt-BR"/>
        </w:rPr>
        <w:t xml:space="preserve">Na </w:t>
      </w:r>
      <w:r w:rsidR="00D809F0" w:rsidRPr="00D5464D">
        <w:rPr>
          <w:rFonts w:cs="Arial"/>
          <w:sz w:val="16"/>
          <w:szCs w:val="20"/>
          <w:lang w:val="pt-BR"/>
        </w:rPr>
        <w:t>fazenda</w:t>
      </w:r>
      <w:r w:rsidR="0003391C" w:rsidRPr="00D5464D">
        <w:rPr>
          <w:rFonts w:cs="Arial"/>
          <w:sz w:val="16"/>
          <w:szCs w:val="20"/>
          <w:lang w:val="pt-BR"/>
        </w:rPr>
        <w:t xml:space="preserve"> </w:t>
      </w:r>
      <w:r w:rsidR="00C0145B" w:rsidRPr="00D5464D">
        <w:rPr>
          <w:rFonts w:cs="Arial"/>
          <w:sz w:val="16"/>
          <w:szCs w:val="20"/>
          <w:lang w:val="pt-BR"/>
        </w:rPr>
        <w:t xml:space="preserve">a gente passa </w:t>
      </w:r>
      <w:r w:rsidR="002C330E" w:rsidRPr="00D5464D">
        <w:rPr>
          <w:rFonts w:cs="Arial"/>
          <w:sz w:val="16"/>
          <w:szCs w:val="20"/>
          <w:lang w:val="pt-BR"/>
        </w:rPr>
        <w:t>muita</w:t>
      </w:r>
      <w:r w:rsidR="0003391C" w:rsidRPr="00D5464D">
        <w:rPr>
          <w:rFonts w:cs="Arial"/>
          <w:sz w:val="16"/>
          <w:szCs w:val="20"/>
          <w:lang w:val="pt-BR"/>
        </w:rPr>
        <w:t xml:space="preserve"> </w:t>
      </w:r>
      <w:r w:rsidR="00350187" w:rsidRPr="00D5464D">
        <w:rPr>
          <w:rFonts w:cs="Arial"/>
          <w:sz w:val="16"/>
          <w:szCs w:val="20"/>
          <w:lang w:val="pt-BR"/>
        </w:rPr>
        <w:t>fome</w:t>
      </w:r>
      <w:r w:rsidRPr="00D5464D">
        <w:rPr>
          <w:rFonts w:cs="Arial"/>
          <w:sz w:val="16"/>
          <w:szCs w:val="20"/>
          <w:lang w:val="pt-BR"/>
        </w:rPr>
        <w:t xml:space="preserve"> e</w:t>
      </w:r>
      <w:r w:rsidR="002C330E" w:rsidRPr="00D5464D">
        <w:rPr>
          <w:rFonts w:cs="Arial"/>
          <w:sz w:val="16"/>
          <w:szCs w:val="20"/>
          <w:lang w:val="pt-BR"/>
        </w:rPr>
        <w:t xml:space="preserve"> os </w:t>
      </w:r>
      <w:r w:rsidR="00230C71" w:rsidRPr="00D5464D">
        <w:rPr>
          <w:rFonts w:cs="Arial"/>
          <w:sz w:val="16"/>
          <w:szCs w:val="20"/>
          <w:lang w:val="pt-BR"/>
        </w:rPr>
        <w:t>peões</w:t>
      </w:r>
      <w:r w:rsidR="0003391C" w:rsidRPr="00D5464D">
        <w:rPr>
          <w:rFonts w:cs="Arial"/>
          <w:sz w:val="16"/>
          <w:szCs w:val="20"/>
          <w:lang w:val="pt-BR"/>
        </w:rPr>
        <w:t xml:space="preserve"> </w:t>
      </w:r>
      <w:r w:rsidR="00E045D9" w:rsidRPr="00D5464D">
        <w:rPr>
          <w:rFonts w:cs="Arial"/>
          <w:sz w:val="16"/>
          <w:szCs w:val="20"/>
          <w:lang w:val="pt-BR"/>
        </w:rPr>
        <w:t xml:space="preserve">vivem </w:t>
      </w:r>
      <w:r w:rsidR="002C330E" w:rsidRPr="00D5464D">
        <w:rPr>
          <w:rFonts w:cs="Arial"/>
          <w:sz w:val="16"/>
          <w:szCs w:val="20"/>
          <w:lang w:val="pt-BR"/>
        </w:rPr>
        <w:t>muito</w:t>
      </w:r>
      <w:r w:rsidR="0003391C" w:rsidRPr="00D5464D">
        <w:rPr>
          <w:rFonts w:cs="Arial"/>
          <w:sz w:val="16"/>
          <w:szCs w:val="20"/>
          <w:lang w:val="pt-BR"/>
        </w:rPr>
        <w:t xml:space="preserve"> </w:t>
      </w:r>
      <w:r w:rsidR="00350187" w:rsidRPr="00D5464D">
        <w:rPr>
          <w:rFonts w:cs="Arial"/>
          <w:sz w:val="16"/>
          <w:szCs w:val="20"/>
          <w:lang w:val="pt-BR"/>
        </w:rPr>
        <w:t>humilha</w:t>
      </w:r>
      <w:r w:rsidR="0003391C" w:rsidRPr="00D5464D">
        <w:rPr>
          <w:rFonts w:cs="Arial"/>
          <w:sz w:val="16"/>
          <w:szCs w:val="20"/>
          <w:lang w:val="pt-BR"/>
        </w:rPr>
        <w:t xml:space="preserve">do[s], </w:t>
      </w:r>
      <w:r w:rsidR="00C0145B" w:rsidRPr="00D5464D">
        <w:rPr>
          <w:rFonts w:cs="Arial"/>
          <w:sz w:val="16"/>
          <w:szCs w:val="20"/>
          <w:lang w:val="pt-BR"/>
        </w:rPr>
        <w:t xml:space="preserve">tantas </w:t>
      </w:r>
      <w:r w:rsidR="00E045D9" w:rsidRPr="00D5464D">
        <w:rPr>
          <w:rFonts w:cs="Arial"/>
          <w:sz w:val="16"/>
          <w:szCs w:val="20"/>
          <w:lang w:val="pt-BR"/>
        </w:rPr>
        <w:t>vezes</w:t>
      </w:r>
      <w:r w:rsidR="0003391C" w:rsidRPr="00D5464D">
        <w:rPr>
          <w:rFonts w:cs="Arial"/>
          <w:sz w:val="16"/>
          <w:szCs w:val="20"/>
          <w:lang w:val="pt-BR"/>
        </w:rPr>
        <w:t xml:space="preserve"> </w:t>
      </w:r>
      <w:r w:rsidR="00C0145B" w:rsidRPr="00D5464D">
        <w:rPr>
          <w:rFonts w:cs="Arial"/>
          <w:sz w:val="16"/>
          <w:szCs w:val="20"/>
          <w:lang w:val="pt-BR"/>
        </w:rPr>
        <w:t xml:space="preserve">eu </w:t>
      </w:r>
      <w:r w:rsidR="00C91CB1" w:rsidRPr="00D5464D">
        <w:rPr>
          <w:rFonts w:cs="Arial"/>
          <w:sz w:val="16"/>
          <w:szCs w:val="20"/>
          <w:lang w:val="pt-BR"/>
        </w:rPr>
        <w:t xml:space="preserve">o </w:t>
      </w:r>
      <w:r w:rsidR="0003391C" w:rsidRPr="00D5464D">
        <w:rPr>
          <w:rFonts w:cs="Arial"/>
          <w:sz w:val="16"/>
          <w:szCs w:val="20"/>
          <w:lang w:val="pt-BR"/>
        </w:rPr>
        <w:t>vi</w:t>
      </w:r>
      <w:r w:rsidR="00C0145B" w:rsidRPr="00D5464D">
        <w:rPr>
          <w:rFonts w:cs="Arial"/>
          <w:sz w:val="16"/>
          <w:szCs w:val="20"/>
          <w:lang w:val="pt-BR"/>
        </w:rPr>
        <w:t xml:space="preserve"> </w:t>
      </w:r>
      <w:r w:rsidR="0003391C" w:rsidRPr="00D5464D">
        <w:rPr>
          <w:rFonts w:cs="Arial"/>
          <w:sz w:val="16"/>
          <w:szCs w:val="20"/>
          <w:lang w:val="pt-BR"/>
        </w:rPr>
        <w:t xml:space="preserve">prometendo </w:t>
      </w:r>
      <w:r w:rsidR="00C0145B" w:rsidRPr="00D5464D">
        <w:rPr>
          <w:rFonts w:cs="Arial"/>
          <w:sz w:val="16"/>
          <w:szCs w:val="20"/>
          <w:lang w:val="pt-BR"/>
        </w:rPr>
        <w:t xml:space="preserve">tiros para </w:t>
      </w:r>
      <w:r w:rsidR="00E045D9" w:rsidRPr="00D5464D">
        <w:rPr>
          <w:rFonts w:cs="Arial"/>
          <w:sz w:val="16"/>
          <w:szCs w:val="20"/>
          <w:lang w:val="pt-BR"/>
        </w:rPr>
        <w:t xml:space="preserve">os </w:t>
      </w:r>
      <w:r w:rsidR="00230C71" w:rsidRPr="00D5464D">
        <w:rPr>
          <w:rFonts w:cs="Arial"/>
          <w:sz w:val="16"/>
          <w:szCs w:val="20"/>
          <w:lang w:val="pt-BR"/>
        </w:rPr>
        <w:t>peões</w:t>
      </w:r>
      <w:r w:rsidR="0003391C" w:rsidRPr="00D5464D">
        <w:rPr>
          <w:rFonts w:cs="Arial"/>
          <w:sz w:val="16"/>
          <w:szCs w:val="20"/>
          <w:lang w:val="pt-BR"/>
        </w:rPr>
        <w:t>.</w:t>
      </w:r>
      <w:r w:rsidR="00E045D9" w:rsidRPr="00D5464D">
        <w:rPr>
          <w:rFonts w:cs="Arial"/>
          <w:sz w:val="16"/>
          <w:szCs w:val="20"/>
          <w:lang w:val="pt-BR"/>
        </w:rPr>
        <w:t xml:space="preserve"> </w:t>
      </w:r>
      <w:r w:rsidR="00C0145B" w:rsidRPr="00D5464D">
        <w:rPr>
          <w:rFonts w:cs="Arial"/>
          <w:sz w:val="16"/>
          <w:szCs w:val="20"/>
          <w:lang w:val="pt-BR"/>
        </w:rPr>
        <w:t>E</w:t>
      </w:r>
      <w:r w:rsidR="00E045D9" w:rsidRPr="00D5464D">
        <w:rPr>
          <w:rFonts w:cs="Arial"/>
          <w:sz w:val="16"/>
          <w:szCs w:val="20"/>
          <w:lang w:val="pt-BR"/>
        </w:rPr>
        <w:t xml:space="preserve"> </w:t>
      </w:r>
      <w:r w:rsidR="002C330E" w:rsidRPr="00D5464D">
        <w:rPr>
          <w:rFonts w:cs="Arial"/>
          <w:sz w:val="16"/>
          <w:szCs w:val="20"/>
          <w:lang w:val="pt-BR"/>
        </w:rPr>
        <w:t xml:space="preserve">a </w:t>
      </w:r>
      <w:r w:rsidR="0003391C" w:rsidRPr="00D5464D">
        <w:rPr>
          <w:rFonts w:cs="Arial"/>
          <w:sz w:val="16"/>
          <w:szCs w:val="20"/>
          <w:lang w:val="pt-BR"/>
        </w:rPr>
        <w:t>situa</w:t>
      </w:r>
      <w:r w:rsidRPr="00D5464D">
        <w:rPr>
          <w:rFonts w:cs="Arial"/>
          <w:sz w:val="16"/>
          <w:szCs w:val="20"/>
          <w:lang w:val="pt-BR"/>
        </w:rPr>
        <w:t>ção</w:t>
      </w:r>
      <w:r w:rsidR="0003391C" w:rsidRPr="00D5464D">
        <w:rPr>
          <w:rFonts w:cs="Arial"/>
          <w:sz w:val="16"/>
          <w:szCs w:val="20"/>
          <w:lang w:val="pt-BR"/>
        </w:rPr>
        <w:t xml:space="preserve"> contin</w:t>
      </w:r>
      <w:r w:rsidR="00C0145B" w:rsidRPr="00D5464D">
        <w:rPr>
          <w:rFonts w:cs="Arial"/>
          <w:sz w:val="16"/>
          <w:szCs w:val="20"/>
          <w:lang w:val="pt-BR"/>
        </w:rPr>
        <w:t>u</w:t>
      </w:r>
      <w:r w:rsidR="0003391C" w:rsidRPr="00D5464D">
        <w:rPr>
          <w:rFonts w:cs="Arial"/>
          <w:sz w:val="16"/>
          <w:szCs w:val="20"/>
          <w:lang w:val="pt-BR"/>
        </w:rPr>
        <w:t>a,</w:t>
      </w:r>
      <w:r w:rsidR="002C330E" w:rsidRPr="00D5464D">
        <w:rPr>
          <w:rFonts w:cs="Arial"/>
          <w:sz w:val="16"/>
          <w:szCs w:val="20"/>
          <w:lang w:val="pt-BR"/>
        </w:rPr>
        <w:t xml:space="preserve"> os </w:t>
      </w:r>
      <w:r w:rsidR="00230C71" w:rsidRPr="00D5464D">
        <w:rPr>
          <w:rFonts w:cs="Arial"/>
          <w:sz w:val="16"/>
          <w:szCs w:val="20"/>
          <w:lang w:val="pt-BR"/>
        </w:rPr>
        <w:t>peões</w:t>
      </w:r>
      <w:r w:rsidR="0003391C" w:rsidRPr="00D5464D">
        <w:rPr>
          <w:rFonts w:cs="Arial"/>
          <w:sz w:val="16"/>
          <w:szCs w:val="20"/>
          <w:lang w:val="pt-BR"/>
        </w:rPr>
        <w:t xml:space="preserve"> s</w:t>
      </w:r>
      <w:r w:rsidR="00C0145B" w:rsidRPr="00D5464D">
        <w:rPr>
          <w:rFonts w:cs="Arial"/>
          <w:sz w:val="16"/>
          <w:szCs w:val="20"/>
          <w:lang w:val="pt-BR"/>
        </w:rPr>
        <w:t>ó</w:t>
      </w:r>
      <w:r w:rsidR="0003391C" w:rsidRPr="00D5464D">
        <w:rPr>
          <w:rFonts w:cs="Arial"/>
          <w:sz w:val="16"/>
          <w:szCs w:val="20"/>
          <w:lang w:val="pt-BR"/>
        </w:rPr>
        <w:t xml:space="preserve"> </w:t>
      </w:r>
      <w:r w:rsidR="00EB1CE9" w:rsidRPr="00D5464D">
        <w:rPr>
          <w:rFonts w:cs="Arial"/>
          <w:sz w:val="16"/>
          <w:szCs w:val="20"/>
          <w:lang w:val="pt-BR"/>
        </w:rPr>
        <w:t>querem</w:t>
      </w:r>
      <w:r w:rsidR="0003391C" w:rsidRPr="00D5464D">
        <w:rPr>
          <w:rFonts w:cs="Arial"/>
          <w:sz w:val="16"/>
          <w:szCs w:val="20"/>
          <w:lang w:val="pt-BR"/>
        </w:rPr>
        <w:t xml:space="preserve"> </w:t>
      </w:r>
      <w:r w:rsidR="002C330E" w:rsidRPr="00D5464D">
        <w:rPr>
          <w:rFonts w:cs="Arial"/>
          <w:sz w:val="16"/>
          <w:szCs w:val="20"/>
          <w:lang w:val="pt-BR"/>
        </w:rPr>
        <w:t>sair</w:t>
      </w:r>
      <w:r w:rsidRPr="00D5464D">
        <w:rPr>
          <w:rFonts w:cs="Arial"/>
          <w:sz w:val="16"/>
          <w:szCs w:val="20"/>
          <w:lang w:val="pt-BR"/>
        </w:rPr>
        <w:t xml:space="preserve"> em </w:t>
      </w:r>
      <w:r w:rsidR="0003391C" w:rsidRPr="00D5464D">
        <w:rPr>
          <w:rFonts w:cs="Arial"/>
          <w:sz w:val="16"/>
          <w:szCs w:val="20"/>
          <w:lang w:val="pt-BR"/>
        </w:rPr>
        <w:t xml:space="preserve">paz, </w:t>
      </w:r>
      <w:r w:rsidR="00C0145B" w:rsidRPr="00D5464D">
        <w:rPr>
          <w:rFonts w:cs="Arial"/>
          <w:sz w:val="16"/>
          <w:szCs w:val="20"/>
          <w:lang w:val="pt-BR"/>
        </w:rPr>
        <w:t xml:space="preserve">precisam fugir, </w:t>
      </w:r>
      <w:r w:rsidRPr="00D5464D">
        <w:rPr>
          <w:rFonts w:cs="Arial"/>
          <w:sz w:val="16"/>
          <w:szCs w:val="20"/>
          <w:lang w:val="pt-BR"/>
        </w:rPr>
        <w:t>estes dia</w:t>
      </w:r>
      <w:r w:rsidR="0003391C" w:rsidRPr="00D5464D">
        <w:rPr>
          <w:rFonts w:cs="Arial"/>
          <w:sz w:val="16"/>
          <w:szCs w:val="20"/>
          <w:lang w:val="pt-BR"/>
        </w:rPr>
        <w:t xml:space="preserve">s </w:t>
      </w:r>
      <w:r w:rsidR="00C0145B" w:rsidRPr="00D5464D">
        <w:rPr>
          <w:rFonts w:cs="Arial"/>
          <w:sz w:val="16"/>
          <w:szCs w:val="20"/>
          <w:lang w:val="pt-BR"/>
        </w:rPr>
        <w:t xml:space="preserve">saíram </w:t>
      </w:r>
      <w:r w:rsidR="0003391C" w:rsidRPr="00D5464D">
        <w:rPr>
          <w:rFonts w:cs="Arial"/>
          <w:sz w:val="16"/>
          <w:szCs w:val="20"/>
          <w:lang w:val="pt-BR"/>
        </w:rPr>
        <w:t>7 fug</w:t>
      </w:r>
      <w:r w:rsidR="00C0145B" w:rsidRPr="00D5464D">
        <w:rPr>
          <w:rFonts w:cs="Arial"/>
          <w:sz w:val="16"/>
          <w:szCs w:val="20"/>
          <w:lang w:val="pt-BR"/>
        </w:rPr>
        <w:t>i</w:t>
      </w:r>
      <w:r w:rsidR="0003391C" w:rsidRPr="00D5464D">
        <w:rPr>
          <w:rFonts w:cs="Arial"/>
          <w:sz w:val="16"/>
          <w:szCs w:val="20"/>
          <w:lang w:val="pt-BR"/>
        </w:rPr>
        <w:t>dos</w:t>
      </w:r>
      <w:r w:rsidR="00E045D9" w:rsidRPr="00D5464D">
        <w:rPr>
          <w:rFonts w:cs="Arial"/>
          <w:sz w:val="16"/>
          <w:szCs w:val="20"/>
          <w:lang w:val="pt-BR"/>
        </w:rPr>
        <w:t xml:space="preserve"> </w:t>
      </w:r>
      <w:r w:rsidR="002C330E" w:rsidRPr="00D5464D">
        <w:rPr>
          <w:rFonts w:cs="Arial"/>
          <w:sz w:val="16"/>
          <w:szCs w:val="20"/>
          <w:lang w:val="pt-BR"/>
        </w:rPr>
        <w:t xml:space="preserve">sem </w:t>
      </w:r>
      <w:r w:rsidR="00737270" w:rsidRPr="00D5464D">
        <w:rPr>
          <w:rFonts w:cs="Arial"/>
          <w:sz w:val="16"/>
          <w:szCs w:val="20"/>
          <w:lang w:val="pt-BR"/>
        </w:rPr>
        <w:t>dinheiro</w:t>
      </w:r>
      <w:r w:rsidR="00C0145B" w:rsidRPr="00D5464D">
        <w:rPr>
          <w:rFonts w:cs="Arial"/>
          <w:sz w:val="16"/>
          <w:szCs w:val="20"/>
          <w:lang w:val="pt-BR"/>
        </w:rPr>
        <w:t>.</w:t>
      </w:r>
      <w:r w:rsidR="0003391C" w:rsidRPr="00D5464D">
        <w:rPr>
          <w:rStyle w:val="Refdenotaalpie"/>
          <w:rFonts w:cs="Arial"/>
          <w:sz w:val="16"/>
          <w:lang w:val="pt-BR"/>
        </w:rPr>
        <w:footnoteReference w:id="109"/>
      </w:r>
    </w:p>
    <w:p w14:paraId="4F7AA35D" w14:textId="77777777" w:rsidR="00D65024" w:rsidRPr="00D5464D" w:rsidRDefault="00D65024" w:rsidP="00D65024">
      <w:pPr>
        <w:pStyle w:val="Prrafodelista"/>
        <w:autoSpaceDE w:val="0"/>
        <w:autoSpaceDN w:val="0"/>
        <w:adjustRightInd w:val="0"/>
        <w:ind w:left="0"/>
        <w:contextualSpacing w:val="0"/>
        <w:rPr>
          <w:rFonts w:cs="Arial"/>
          <w:szCs w:val="20"/>
          <w:lang w:val="pt-BR"/>
        </w:rPr>
      </w:pPr>
    </w:p>
    <w:p w14:paraId="6230F0D6" w14:textId="1261D64F" w:rsidR="0003391C" w:rsidRPr="00D5464D" w:rsidRDefault="00C91CB1" w:rsidP="00140440">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Em 2</w:t>
      </w:r>
      <w:r w:rsidR="0003391C" w:rsidRPr="00D5464D">
        <w:rPr>
          <w:rFonts w:cs="Arial"/>
          <w:szCs w:val="20"/>
          <w:lang w:val="pt-BR"/>
        </w:rPr>
        <w:t xml:space="preserve">7 de </w:t>
      </w:r>
      <w:r w:rsidR="00470ADC" w:rsidRPr="00D5464D">
        <w:rPr>
          <w:rFonts w:cs="Arial"/>
          <w:szCs w:val="20"/>
          <w:lang w:val="pt-BR"/>
        </w:rPr>
        <w:t>dezembro</w:t>
      </w:r>
      <w:r w:rsidR="0003391C" w:rsidRPr="00D5464D">
        <w:rPr>
          <w:rFonts w:cs="Arial"/>
          <w:szCs w:val="20"/>
          <w:lang w:val="pt-BR"/>
        </w:rPr>
        <w:t xml:space="preserve"> de 1988</w:t>
      </w:r>
      <w:r w:rsidR="00C0145B" w:rsidRPr="00D5464D">
        <w:rPr>
          <w:rFonts w:cs="Arial"/>
          <w:szCs w:val="20"/>
          <w:lang w:val="pt-BR"/>
        </w:rPr>
        <w:t>,</w:t>
      </w:r>
      <w:r w:rsidR="002C330E" w:rsidRPr="00D5464D">
        <w:rPr>
          <w:rFonts w:cs="Arial"/>
          <w:szCs w:val="20"/>
          <w:lang w:val="pt-BR"/>
        </w:rPr>
        <w:t xml:space="preserve"> a senhora</w:t>
      </w:r>
      <w:r w:rsidR="0003391C" w:rsidRPr="00D5464D">
        <w:rPr>
          <w:rFonts w:cs="Arial"/>
          <w:szCs w:val="20"/>
          <w:lang w:val="pt-BR"/>
        </w:rPr>
        <w:t xml:space="preserve"> Maria Madalena Vindoura dos Santos, </w:t>
      </w:r>
      <w:r w:rsidR="00A1358C" w:rsidRPr="00D5464D">
        <w:rPr>
          <w:rFonts w:cs="Arial"/>
          <w:szCs w:val="20"/>
          <w:lang w:val="pt-BR"/>
        </w:rPr>
        <w:t>resid</w:t>
      </w:r>
      <w:r w:rsidR="00350187" w:rsidRPr="00D5464D">
        <w:rPr>
          <w:rFonts w:cs="Arial"/>
          <w:szCs w:val="20"/>
          <w:lang w:val="pt-BR"/>
        </w:rPr>
        <w:t xml:space="preserve">ente </w:t>
      </w:r>
      <w:r w:rsidR="00470ADC" w:rsidRPr="00D5464D">
        <w:rPr>
          <w:rFonts w:cs="Arial"/>
          <w:szCs w:val="20"/>
          <w:lang w:val="pt-BR"/>
        </w:rPr>
        <w:t xml:space="preserve">em </w:t>
      </w:r>
      <w:r w:rsidR="0003391C" w:rsidRPr="00D5464D">
        <w:rPr>
          <w:rFonts w:cs="Arial"/>
          <w:szCs w:val="20"/>
          <w:lang w:val="pt-BR"/>
        </w:rPr>
        <w:t xml:space="preserve">Arapoema, </w:t>
      </w:r>
      <w:r w:rsidR="00470ADC" w:rsidRPr="00D5464D">
        <w:rPr>
          <w:rFonts w:cs="Arial"/>
          <w:szCs w:val="20"/>
          <w:lang w:val="pt-BR"/>
        </w:rPr>
        <w:t>denunciou</w:t>
      </w:r>
      <w:r w:rsidR="00E045D9" w:rsidRPr="00D5464D">
        <w:rPr>
          <w:rFonts w:cs="Arial"/>
          <w:szCs w:val="20"/>
          <w:lang w:val="pt-BR"/>
        </w:rPr>
        <w:t xml:space="preserve"> uma </w:t>
      </w:r>
      <w:r w:rsidR="000E0361" w:rsidRPr="00D5464D">
        <w:rPr>
          <w:rFonts w:cs="Arial"/>
          <w:szCs w:val="20"/>
          <w:lang w:val="pt-BR"/>
        </w:rPr>
        <w:t>situa</w:t>
      </w:r>
      <w:r w:rsidR="00470ADC" w:rsidRPr="00D5464D">
        <w:rPr>
          <w:rFonts w:cs="Arial"/>
          <w:szCs w:val="20"/>
          <w:lang w:val="pt-BR"/>
        </w:rPr>
        <w:t>ção</w:t>
      </w:r>
      <w:r w:rsidR="000E0361" w:rsidRPr="00D5464D">
        <w:rPr>
          <w:rFonts w:cs="Arial"/>
          <w:szCs w:val="20"/>
          <w:lang w:val="pt-BR"/>
        </w:rPr>
        <w:t xml:space="preserve"> </w:t>
      </w:r>
      <w:r w:rsidR="005504F7" w:rsidRPr="00D5464D">
        <w:rPr>
          <w:rFonts w:cs="Arial"/>
          <w:szCs w:val="20"/>
          <w:lang w:val="pt-BR"/>
        </w:rPr>
        <w:t xml:space="preserve">similar </w:t>
      </w:r>
      <w:r w:rsidR="00A1358C" w:rsidRPr="00D5464D">
        <w:rPr>
          <w:rFonts w:cs="Arial"/>
          <w:szCs w:val="20"/>
          <w:lang w:val="pt-BR"/>
        </w:rPr>
        <w:t>envol</w:t>
      </w:r>
      <w:r w:rsidR="00E765C2" w:rsidRPr="00D5464D">
        <w:rPr>
          <w:rFonts w:cs="Arial"/>
          <w:szCs w:val="20"/>
          <w:lang w:val="pt-BR"/>
        </w:rPr>
        <w:t xml:space="preserve">vendo </w:t>
      </w:r>
      <w:r w:rsidR="002C330E" w:rsidRPr="00D5464D">
        <w:rPr>
          <w:rFonts w:cs="Arial"/>
          <w:szCs w:val="20"/>
          <w:lang w:val="pt-BR"/>
        </w:rPr>
        <w:t>seu esposo</w:t>
      </w:r>
      <w:r w:rsidR="000E0361" w:rsidRPr="00D5464D">
        <w:rPr>
          <w:rFonts w:cs="Arial"/>
          <w:szCs w:val="20"/>
          <w:lang w:val="pt-BR"/>
        </w:rPr>
        <w:t xml:space="preserve"> </w:t>
      </w:r>
      <w:r w:rsidR="0003391C" w:rsidRPr="00D5464D">
        <w:rPr>
          <w:rFonts w:cs="Arial"/>
          <w:szCs w:val="20"/>
          <w:lang w:val="pt-BR"/>
        </w:rPr>
        <w:t>José Soriano da Costa</w:t>
      </w:r>
      <w:r w:rsidR="00C0145B" w:rsidRPr="00D5464D">
        <w:rPr>
          <w:rFonts w:cs="Arial"/>
          <w:szCs w:val="20"/>
          <w:lang w:val="pt-BR"/>
        </w:rPr>
        <w:t>.</w:t>
      </w:r>
      <w:r w:rsidR="0003391C" w:rsidRPr="00D5464D">
        <w:rPr>
          <w:rStyle w:val="Refdenotaalpie"/>
          <w:rFonts w:cs="Arial"/>
          <w:lang w:val="pt-BR"/>
        </w:rPr>
        <w:footnoteReference w:id="110"/>
      </w:r>
      <w:r w:rsidR="0003391C" w:rsidRPr="00D5464D">
        <w:rPr>
          <w:rFonts w:cs="Arial"/>
          <w:szCs w:val="20"/>
          <w:lang w:val="pt-BR"/>
        </w:rPr>
        <w:t xml:space="preserve"> </w:t>
      </w:r>
    </w:p>
    <w:p w14:paraId="4917AA7C" w14:textId="77777777" w:rsidR="00D65024" w:rsidRPr="00D5464D" w:rsidRDefault="00D65024" w:rsidP="00D65024">
      <w:pPr>
        <w:pStyle w:val="Prrafodelista"/>
        <w:autoSpaceDE w:val="0"/>
        <w:autoSpaceDN w:val="0"/>
        <w:adjustRightInd w:val="0"/>
        <w:ind w:left="0"/>
        <w:contextualSpacing w:val="0"/>
        <w:rPr>
          <w:rFonts w:cs="Arial"/>
          <w:szCs w:val="20"/>
          <w:lang w:val="pt-BR"/>
        </w:rPr>
      </w:pPr>
    </w:p>
    <w:p w14:paraId="725CCD7C" w14:textId="70A567D9" w:rsidR="0003391C" w:rsidRPr="00D5464D" w:rsidRDefault="00C91CB1" w:rsidP="00140440">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Em 2</w:t>
      </w:r>
      <w:r w:rsidR="0003391C" w:rsidRPr="00D5464D">
        <w:rPr>
          <w:rFonts w:cs="Arial"/>
          <w:szCs w:val="20"/>
          <w:lang w:val="pt-BR"/>
        </w:rPr>
        <w:t xml:space="preserve">5 de </w:t>
      </w:r>
      <w:r w:rsidR="00470ADC" w:rsidRPr="00D5464D">
        <w:rPr>
          <w:rFonts w:cs="Arial"/>
          <w:szCs w:val="20"/>
          <w:lang w:val="pt-BR"/>
        </w:rPr>
        <w:t>janeiro</w:t>
      </w:r>
      <w:r w:rsidR="0003391C" w:rsidRPr="00D5464D">
        <w:rPr>
          <w:rFonts w:cs="Arial"/>
          <w:szCs w:val="20"/>
          <w:lang w:val="pt-BR"/>
        </w:rPr>
        <w:t xml:space="preserve"> de 1989</w:t>
      </w:r>
      <w:r w:rsidR="00C0145B" w:rsidRPr="00D5464D">
        <w:rPr>
          <w:rFonts w:cs="Arial"/>
          <w:szCs w:val="20"/>
          <w:lang w:val="pt-BR"/>
        </w:rPr>
        <w:t>,</w:t>
      </w:r>
      <w:r w:rsidR="002C330E" w:rsidRPr="00D5464D">
        <w:rPr>
          <w:rFonts w:cs="Arial"/>
          <w:szCs w:val="20"/>
          <w:lang w:val="pt-BR"/>
        </w:rPr>
        <w:t xml:space="preserve"> a </w:t>
      </w:r>
      <w:r w:rsidR="00470ADC" w:rsidRPr="00D5464D">
        <w:rPr>
          <w:rFonts w:cs="Arial"/>
          <w:szCs w:val="20"/>
          <w:lang w:val="pt-BR"/>
        </w:rPr>
        <w:t>Comissão</w:t>
      </w:r>
      <w:r w:rsidR="0003391C" w:rsidRPr="00D5464D">
        <w:rPr>
          <w:rFonts w:cs="Arial"/>
          <w:szCs w:val="20"/>
          <w:lang w:val="pt-BR"/>
        </w:rPr>
        <w:t xml:space="preserve"> Pastoral</w:t>
      </w:r>
      <w:r w:rsidR="00470ADC" w:rsidRPr="00D5464D">
        <w:rPr>
          <w:rFonts w:cs="Arial"/>
          <w:szCs w:val="20"/>
          <w:lang w:val="pt-BR"/>
        </w:rPr>
        <w:t xml:space="preserve"> da </w:t>
      </w:r>
      <w:r w:rsidR="00E045D9" w:rsidRPr="00D5464D">
        <w:rPr>
          <w:rFonts w:cs="Arial"/>
          <w:szCs w:val="20"/>
          <w:lang w:val="pt-BR"/>
        </w:rPr>
        <w:t>Terra</w:t>
      </w:r>
      <w:r w:rsidR="0003391C" w:rsidRPr="00D5464D">
        <w:rPr>
          <w:rFonts w:cs="Arial"/>
          <w:szCs w:val="20"/>
          <w:lang w:val="pt-BR"/>
        </w:rPr>
        <w:t xml:space="preserve"> </w:t>
      </w:r>
      <w:r w:rsidR="00737270" w:rsidRPr="00D5464D">
        <w:rPr>
          <w:rFonts w:cs="Arial"/>
          <w:szCs w:val="20"/>
          <w:lang w:val="pt-BR"/>
        </w:rPr>
        <w:t>enviou</w:t>
      </w:r>
      <w:r w:rsidR="00E045D9" w:rsidRPr="00D5464D">
        <w:rPr>
          <w:rFonts w:cs="Arial"/>
          <w:szCs w:val="20"/>
          <w:lang w:val="pt-BR"/>
        </w:rPr>
        <w:t xml:space="preserve"> uma </w:t>
      </w:r>
      <w:r w:rsidR="0003391C" w:rsidRPr="00D5464D">
        <w:rPr>
          <w:rFonts w:cs="Arial"/>
          <w:szCs w:val="20"/>
          <w:lang w:val="pt-BR"/>
        </w:rPr>
        <w:t>carta</w:t>
      </w:r>
      <w:r w:rsidR="00470ADC" w:rsidRPr="00D5464D">
        <w:rPr>
          <w:rFonts w:cs="Arial"/>
          <w:szCs w:val="20"/>
          <w:lang w:val="pt-BR"/>
        </w:rPr>
        <w:t xml:space="preserve"> ao Conselho</w:t>
      </w:r>
      <w:r w:rsidR="0003391C" w:rsidRPr="00D5464D">
        <w:rPr>
          <w:rFonts w:cs="Arial"/>
          <w:szCs w:val="20"/>
          <w:lang w:val="pt-BR"/>
        </w:rPr>
        <w:t xml:space="preserve"> de </w:t>
      </w:r>
      <w:r w:rsidR="00470ADC" w:rsidRPr="00D5464D">
        <w:rPr>
          <w:rFonts w:cs="Arial"/>
          <w:szCs w:val="20"/>
          <w:lang w:val="pt-BR"/>
        </w:rPr>
        <w:t>Defesa dos Direito</w:t>
      </w:r>
      <w:r w:rsidR="0003391C" w:rsidRPr="00D5464D">
        <w:rPr>
          <w:rFonts w:cs="Arial"/>
          <w:szCs w:val="20"/>
          <w:lang w:val="pt-BR"/>
        </w:rPr>
        <w:t>s</w:t>
      </w:r>
      <w:r w:rsidR="00470ADC" w:rsidRPr="00D5464D">
        <w:rPr>
          <w:rFonts w:cs="Arial"/>
          <w:szCs w:val="20"/>
          <w:lang w:val="pt-BR"/>
        </w:rPr>
        <w:t xml:space="preserve"> da </w:t>
      </w:r>
      <w:r w:rsidR="002C330E" w:rsidRPr="00D5464D">
        <w:rPr>
          <w:rFonts w:cs="Arial"/>
          <w:szCs w:val="20"/>
          <w:lang w:val="pt-BR"/>
        </w:rPr>
        <w:t>Pessoa</w:t>
      </w:r>
      <w:r w:rsidR="0003391C" w:rsidRPr="00D5464D">
        <w:rPr>
          <w:rFonts w:cs="Arial"/>
          <w:szCs w:val="20"/>
          <w:lang w:val="pt-BR"/>
        </w:rPr>
        <w:t xml:space="preserve"> Humana</w:t>
      </w:r>
      <w:r w:rsidR="00C0145B" w:rsidRPr="00D5464D">
        <w:rPr>
          <w:rFonts w:cs="Arial"/>
          <w:szCs w:val="20"/>
          <w:lang w:val="pt-BR"/>
        </w:rPr>
        <w:t xml:space="preserve"> (CDDPH), em </w:t>
      </w:r>
      <w:r w:rsidR="006665EF" w:rsidRPr="00D5464D">
        <w:rPr>
          <w:rFonts w:cs="Arial"/>
          <w:szCs w:val="20"/>
          <w:lang w:val="pt-BR"/>
        </w:rPr>
        <w:t>Bras</w:t>
      </w:r>
      <w:r w:rsidR="00C0145B" w:rsidRPr="00D5464D">
        <w:rPr>
          <w:rFonts w:cs="Arial"/>
          <w:szCs w:val="20"/>
          <w:lang w:val="pt-BR"/>
        </w:rPr>
        <w:t>í</w:t>
      </w:r>
      <w:r w:rsidR="006665EF" w:rsidRPr="00D5464D">
        <w:rPr>
          <w:rFonts w:cs="Arial"/>
          <w:szCs w:val="20"/>
          <w:lang w:val="pt-BR"/>
        </w:rPr>
        <w:t>l</w:t>
      </w:r>
      <w:r w:rsidR="0003391C" w:rsidRPr="00D5464D">
        <w:rPr>
          <w:rFonts w:cs="Arial"/>
          <w:szCs w:val="20"/>
          <w:lang w:val="pt-BR"/>
        </w:rPr>
        <w:t>ia, mediante</w:t>
      </w:r>
      <w:r w:rsidR="002C330E" w:rsidRPr="00D5464D">
        <w:rPr>
          <w:rFonts w:cs="Arial"/>
          <w:szCs w:val="20"/>
          <w:lang w:val="pt-BR"/>
        </w:rPr>
        <w:t xml:space="preserve"> a </w:t>
      </w:r>
      <w:r w:rsidR="00470ADC" w:rsidRPr="00D5464D">
        <w:rPr>
          <w:rFonts w:cs="Arial"/>
          <w:szCs w:val="20"/>
          <w:lang w:val="pt-BR"/>
        </w:rPr>
        <w:t>qual</w:t>
      </w:r>
      <w:r w:rsidR="00350187" w:rsidRPr="00D5464D">
        <w:rPr>
          <w:rFonts w:cs="Arial"/>
          <w:szCs w:val="20"/>
          <w:lang w:val="pt-BR"/>
        </w:rPr>
        <w:t xml:space="preserve"> remeteu</w:t>
      </w:r>
      <w:r w:rsidR="0003391C" w:rsidRPr="00D5464D">
        <w:rPr>
          <w:rFonts w:cs="Arial"/>
          <w:szCs w:val="20"/>
          <w:lang w:val="pt-BR"/>
        </w:rPr>
        <w:t xml:space="preserve"> </w:t>
      </w:r>
      <w:r w:rsidR="00470ADC" w:rsidRPr="00D5464D">
        <w:rPr>
          <w:rFonts w:cs="Arial"/>
          <w:szCs w:val="20"/>
          <w:lang w:val="pt-BR"/>
        </w:rPr>
        <w:t xml:space="preserve">denúncias </w:t>
      </w:r>
      <w:r w:rsidR="0003391C" w:rsidRPr="00D5464D">
        <w:rPr>
          <w:rFonts w:cs="Arial"/>
          <w:szCs w:val="20"/>
          <w:lang w:val="pt-BR"/>
        </w:rPr>
        <w:t xml:space="preserve">de </w:t>
      </w:r>
      <w:r w:rsidR="00E045D9" w:rsidRPr="00D5464D">
        <w:rPr>
          <w:rFonts w:cs="Arial"/>
          <w:szCs w:val="20"/>
          <w:lang w:val="pt-BR"/>
        </w:rPr>
        <w:t>trabalho</w:t>
      </w:r>
      <w:r w:rsidR="0003391C" w:rsidRPr="00D5464D">
        <w:rPr>
          <w:rFonts w:cs="Arial"/>
          <w:szCs w:val="20"/>
          <w:lang w:val="pt-BR"/>
        </w:rPr>
        <w:t xml:space="preserve"> </w:t>
      </w:r>
      <w:r w:rsidR="004F1CC2" w:rsidRPr="00D5464D">
        <w:rPr>
          <w:rFonts w:cs="Arial"/>
          <w:szCs w:val="20"/>
          <w:lang w:val="pt-BR"/>
        </w:rPr>
        <w:t>escravo</w:t>
      </w:r>
      <w:r w:rsidR="00E045D9" w:rsidRPr="00D5464D">
        <w:rPr>
          <w:rFonts w:cs="Arial"/>
          <w:szCs w:val="20"/>
          <w:lang w:val="pt-BR"/>
        </w:rPr>
        <w:t xml:space="preserve"> nas </w:t>
      </w:r>
      <w:r w:rsidR="00D809F0" w:rsidRPr="00D5464D">
        <w:rPr>
          <w:rFonts w:cs="Arial"/>
          <w:szCs w:val="20"/>
          <w:lang w:val="pt-BR"/>
        </w:rPr>
        <w:t>Fazenda</w:t>
      </w:r>
      <w:r w:rsidR="0003391C" w:rsidRPr="00D5464D">
        <w:rPr>
          <w:rFonts w:cs="Arial"/>
          <w:szCs w:val="20"/>
          <w:lang w:val="pt-BR"/>
        </w:rPr>
        <w:t>s Brasil Verde</w:t>
      </w:r>
      <w:r w:rsidR="00E045D9" w:rsidRPr="00D5464D">
        <w:rPr>
          <w:rFonts w:cs="Arial"/>
          <w:szCs w:val="20"/>
          <w:lang w:val="pt-BR"/>
        </w:rPr>
        <w:t xml:space="preserve"> e </w:t>
      </w:r>
      <w:r w:rsidR="0003391C" w:rsidRPr="00D5464D">
        <w:rPr>
          <w:rFonts w:cs="Arial"/>
          <w:szCs w:val="20"/>
          <w:lang w:val="pt-BR"/>
        </w:rPr>
        <w:t>Belauto</w:t>
      </w:r>
      <w:r w:rsidR="00A1358C" w:rsidRPr="00D5464D">
        <w:rPr>
          <w:rFonts w:cs="Arial"/>
          <w:szCs w:val="20"/>
          <w:lang w:val="pt-BR"/>
        </w:rPr>
        <w:t xml:space="preserve">. A </w:t>
      </w:r>
      <w:r w:rsidR="0003391C" w:rsidRPr="00D5464D">
        <w:rPr>
          <w:rFonts w:cs="Arial"/>
          <w:szCs w:val="20"/>
          <w:lang w:val="pt-BR"/>
        </w:rPr>
        <w:t xml:space="preserve">CPT </w:t>
      </w:r>
      <w:r w:rsidR="002C330E" w:rsidRPr="00D5464D">
        <w:rPr>
          <w:rFonts w:cs="Arial"/>
          <w:szCs w:val="20"/>
          <w:lang w:val="pt-BR"/>
        </w:rPr>
        <w:t>afirmou</w:t>
      </w:r>
      <w:r w:rsidR="0003391C" w:rsidRPr="00D5464D">
        <w:rPr>
          <w:rFonts w:cs="Arial"/>
          <w:szCs w:val="20"/>
          <w:lang w:val="pt-BR"/>
        </w:rPr>
        <w:t xml:space="preserve"> que</w:t>
      </w:r>
      <w:r w:rsidR="00E045D9" w:rsidRPr="00D5464D">
        <w:rPr>
          <w:rFonts w:cs="Arial"/>
          <w:szCs w:val="20"/>
          <w:lang w:val="pt-BR"/>
        </w:rPr>
        <w:t xml:space="preserve"> já </w:t>
      </w:r>
      <w:r w:rsidR="002C330E" w:rsidRPr="00D5464D">
        <w:rPr>
          <w:rFonts w:cs="Arial"/>
          <w:szCs w:val="20"/>
          <w:lang w:val="pt-BR"/>
        </w:rPr>
        <w:t>havia apresentado</w:t>
      </w:r>
      <w:r w:rsidR="00E045D9" w:rsidRPr="00D5464D">
        <w:rPr>
          <w:rFonts w:cs="Arial"/>
          <w:szCs w:val="20"/>
          <w:lang w:val="pt-BR"/>
        </w:rPr>
        <w:t xml:space="preserve"> uma </w:t>
      </w:r>
      <w:r w:rsidR="00470ADC" w:rsidRPr="00D5464D">
        <w:rPr>
          <w:rFonts w:cs="Arial"/>
          <w:szCs w:val="20"/>
          <w:lang w:val="pt-BR"/>
        </w:rPr>
        <w:t xml:space="preserve">denúncia </w:t>
      </w:r>
      <w:r w:rsidR="00350187" w:rsidRPr="00D5464D">
        <w:rPr>
          <w:rFonts w:cs="Arial"/>
          <w:szCs w:val="20"/>
          <w:lang w:val="pt-BR"/>
        </w:rPr>
        <w:t xml:space="preserve">em relação à </w:t>
      </w:r>
      <w:r w:rsidR="00D809F0" w:rsidRPr="00D5464D">
        <w:rPr>
          <w:rFonts w:cs="Arial"/>
          <w:szCs w:val="20"/>
          <w:lang w:val="pt-BR"/>
        </w:rPr>
        <w:t>Fazenda</w:t>
      </w:r>
      <w:r w:rsidR="0003391C" w:rsidRPr="00D5464D">
        <w:rPr>
          <w:rFonts w:cs="Arial"/>
          <w:szCs w:val="20"/>
          <w:lang w:val="pt-BR"/>
        </w:rPr>
        <w:t xml:space="preserve"> </w:t>
      </w:r>
      <w:r w:rsidR="0003391C" w:rsidRPr="00D5464D">
        <w:rPr>
          <w:rFonts w:cs="Arial"/>
          <w:iCs/>
          <w:szCs w:val="20"/>
          <w:lang w:val="pt-BR"/>
        </w:rPr>
        <w:t>Brasil Verde</w:t>
      </w:r>
      <w:r w:rsidR="002C330E" w:rsidRPr="00D5464D">
        <w:rPr>
          <w:rFonts w:cs="Arial"/>
          <w:i/>
          <w:iCs/>
          <w:szCs w:val="20"/>
          <w:lang w:val="pt-BR"/>
        </w:rPr>
        <w:t xml:space="preserve"> </w:t>
      </w:r>
      <w:r w:rsidR="002C330E" w:rsidRPr="00D5464D">
        <w:rPr>
          <w:rFonts w:cs="Arial"/>
          <w:iCs/>
          <w:szCs w:val="20"/>
          <w:lang w:val="pt-BR"/>
        </w:rPr>
        <w:t>em</w:t>
      </w:r>
      <w:r w:rsidR="002C330E" w:rsidRPr="00D5464D">
        <w:rPr>
          <w:rFonts w:cs="Arial"/>
          <w:i/>
          <w:iCs/>
          <w:szCs w:val="20"/>
          <w:lang w:val="pt-BR"/>
        </w:rPr>
        <w:t xml:space="preserve"> </w:t>
      </w:r>
      <w:r w:rsidR="00350187" w:rsidRPr="00D5464D">
        <w:rPr>
          <w:rFonts w:cs="Arial"/>
          <w:iCs/>
          <w:szCs w:val="20"/>
          <w:lang w:val="pt-BR"/>
        </w:rPr>
        <w:t>21</w:t>
      </w:r>
      <w:r w:rsidR="00350187" w:rsidRPr="00D5464D">
        <w:rPr>
          <w:rFonts w:cs="Arial"/>
          <w:i/>
          <w:iCs/>
          <w:szCs w:val="20"/>
          <w:lang w:val="pt-BR"/>
        </w:rPr>
        <w:t xml:space="preserve"> </w:t>
      </w:r>
      <w:r w:rsidR="00A1358C" w:rsidRPr="00D5464D">
        <w:rPr>
          <w:rFonts w:cs="Arial"/>
          <w:szCs w:val="20"/>
          <w:lang w:val="pt-BR"/>
        </w:rPr>
        <w:t>de dezembro</w:t>
      </w:r>
      <w:r w:rsidR="0003391C" w:rsidRPr="00D5464D">
        <w:rPr>
          <w:rFonts w:cs="Arial"/>
          <w:szCs w:val="20"/>
          <w:lang w:val="pt-BR"/>
        </w:rPr>
        <w:t xml:space="preserve"> de 1988</w:t>
      </w:r>
      <w:r w:rsidR="00470ADC" w:rsidRPr="00D5464D">
        <w:rPr>
          <w:rFonts w:cs="Arial"/>
          <w:szCs w:val="20"/>
          <w:lang w:val="pt-BR"/>
        </w:rPr>
        <w:t>, e</w:t>
      </w:r>
      <w:r w:rsidR="0003391C" w:rsidRPr="00D5464D">
        <w:rPr>
          <w:rFonts w:cs="Arial"/>
          <w:szCs w:val="20"/>
          <w:lang w:val="pt-BR"/>
        </w:rPr>
        <w:t xml:space="preserve"> </w:t>
      </w:r>
      <w:r w:rsidR="002C330E" w:rsidRPr="00D5464D">
        <w:rPr>
          <w:rFonts w:cs="Arial"/>
          <w:szCs w:val="20"/>
          <w:lang w:val="pt-BR"/>
        </w:rPr>
        <w:t>solicitou</w:t>
      </w:r>
      <w:r w:rsidR="0003391C" w:rsidRPr="00D5464D">
        <w:rPr>
          <w:rFonts w:cs="Arial"/>
          <w:szCs w:val="20"/>
          <w:lang w:val="pt-BR"/>
        </w:rPr>
        <w:t xml:space="preserve"> que </w:t>
      </w:r>
      <w:r w:rsidR="00470ADC" w:rsidRPr="00D5464D">
        <w:rPr>
          <w:rFonts w:cs="Arial"/>
          <w:szCs w:val="20"/>
          <w:lang w:val="pt-BR"/>
        </w:rPr>
        <w:t>fo</w:t>
      </w:r>
      <w:r w:rsidR="00C0145B" w:rsidRPr="00D5464D">
        <w:rPr>
          <w:rFonts w:cs="Arial"/>
          <w:szCs w:val="20"/>
          <w:lang w:val="pt-BR"/>
        </w:rPr>
        <w:t>sse</w:t>
      </w:r>
      <w:r w:rsidR="0003391C" w:rsidRPr="00D5464D">
        <w:rPr>
          <w:rFonts w:cs="Arial"/>
          <w:szCs w:val="20"/>
          <w:lang w:val="pt-BR"/>
        </w:rPr>
        <w:t xml:space="preserve"> re</w:t>
      </w:r>
      <w:r w:rsidR="00470ADC" w:rsidRPr="00D5464D">
        <w:rPr>
          <w:rFonts w:cs="Arial"/>
          <w:szCs w:val="20"/>
          <w:lang w:val="pt-BR"/>
        </w:rPr>
        <w:t>forçada</w:t>
      </w:r>
      <w:r w:rsidR="002C330E" w:rsidRPr="00D5464D">
        <w:rPr>
          <w:rFonts w:cs="Arial"/>
          <w:szCs w:val="20"/>
          <w:lang w:val="pt-BR"/>
        </w:rPr>
        <w:t xml:space="preserve"> a necessidade </w:t>
      </w:r>
      <w:r w:rsidR="0003391C" w:rsidRPr="00D5464D">
        <w:rPr>
          <w:rFonts w:cs="Arial"/>
          <w:szCs w:val="20"/>
          <w:lang w:val="pt-BR"/>
        </w:rPr>
        <w:t>de fiscaliza</w:t>
      </w:r>
      <w:r w:rsidR="00470ADC" w:rsidRPr="00D5464D">
        <w:rPr>
          <w:rFonts w:cs="Arial"/>
          <w:szCs w:val="20"/>
          <w:lang w:val="pt-BR"/>
        </w:rPr>
        <w:t xml:space="preserve">ção das </w:t>
      </w:r>
      <w:r w:rsidR="0003391C" w:rsidRPr="00D5464D">
        <w:rPr>
          <w:rFonts w:cs="Arial"/>
          <w:szCs w:val="20"/>
          <w:lang w:val="pt-BR"/>
        </w:rPr>
        <w:t>d</w:t>
      </w:r>
      <w:r w:rsidR="00C0145B" w:rsidRPr="00D5464D">
        <w:rPr>
          <w:rFonts w:cs="Arial"/>
          <w:szCs w:val="20"/>
          <w:lang w:val="pt-BR"/>
        </w:rPr>
        <w:t>ua</w:t>
      </w:r>
      <w:r w:rsidR="0003391C" w:rsidRPr="00D5464D">
        <w:rPr>
          <w:rFonts w:cs="Arial"/>
          <w:szCs w:val="20"/>
          <w:lang w:val="pt-BR"/>
        </w:rPr>
        <w:t xml:space="preserve">s </w:t>
      </w:r>
      <w:r w:rsidR="00D809F0" w:rsidRPr="00D5464D">
        <w:rPr>
          <w:rFonts w:cs="Arial"/>
          <w:szCs w:val="20"/>
          <w:lang w:val="pt-BR"/>
        </w:rPr>
        <w:t>Fazenda</w:t>
      </w:r>
      <w:r w:rsidR="0003391C" w:rsidRPr="00D5464D">
        <w:rPr>
          <w:rFonts w:cs="Arial"/>
          <w:szCs w:val="20"/>
          <w:lang w:val="pt-BR"/>
        </w:rPr>
        <w:t>s</w:t>
      </w:r>
      <w:r w:rsidR="00D363E9" w:rsidRPr="00D5464D">
        <w:rPr>
          <w:rFonts w:cs="Arial"/>
          <w:szCs w:val="20"/>
          <w:lang w:val="pt-BR"/>
        </w:rPr>
        <w:t>,</w:t>
      </w:r>
      <w:r w:rsidR="002C330E" w:rsidRPr="00D5464D">
        <w:rPr>
          <w:rFonts w:cs="Arial"/>
          <w:szCs w:val="20"/>
          <w:lang w:val="pt-BR"/>
        </w:rPr>
        <w:t xml:space="preserve"> pois</w:t>
      </w:r>
      <w:r w:rsidR="00737270" w:rsidRPr="00D5464D">
        <w:rPr>
          <w:rFonts w:cs="Arial"/>
          <w:szCs w:val="20"/>
          <w:lang w:val="pt-BR"/>
        </w:rPr>
        <w:t xml:space="preserve"> não era </w:t>
      </w:r>
      <w:r w:rsidR="002C330E" w:rsidRPr="00D5464D">
        <w:rPr>
          <w:rFonts w:cs="Arial"/>
          <w:szCs w:val="20"/>
          <w:lang w:val="pt-BR"/>
        </w:rPr>
        <w:t>a primeira</w:t>
      </w:r>
      <w:r w:rsidR="0003391C" w:rsidRPr="00D5464D">
        <w:rPr>
          <w:rFonts w:cs="Arial"/>
          <w:szCs w:val="20"/>
          <w:lang w:val="pt-BR"/>
        </w:rPr>
        <w:t xml:space="preserve"> vez que</w:t>
      </w:r>
      <w:r w:rsidR="00470ADC" w:rsidRPr="00D5464D">
        <w:rPr>
          <w:rFonts w:cs="Arial"/>
          <w:szCs w:val="20"/>
          <w:lang w:val="pt-BR"/>
        </w:rPr>
        <w:t xml:space="preserve"> </w:t>
      </w:r>
      <w:r w:rsidR="00C0145B" w:rsidRPr="00D5464D">
        <w:rPr>
          <w:rFonts w:cs="Arial"/>
          <w:szCs w:val="20"/>
          <w:lang w:val="pt-BR"/>
        </w:rPr>
        <w:t xml:space="preserve">as </w:t>
      </w:r>
      <w:r w:rsidR="0003391C" w:rsidRPr="00D5464D">
        <w:rPr>
          <w:rFonts w:cs="Arial"/>
          <w:szCs w:val="20"/>
          <w:lang w:val="pt-BR"/>
        </w:rPr>
        <w:t>denuncia</w:t>
      </w:r>
      <w:r w:rsidR="00C0145B" w:rsidRPr="00D5464D">
        <w:rPr>
          <w:rFonts w:cs="Arial"/>
          <w:szCs w:val="20"/>
          <w:lang w:val="pt-BR"/>
        </w:rPr>
        <w:t xml:space="preserve">vam </w:t>
      </w:r>
      <w:r w:rsidR="0003391C" w:rsidRPr="00D5464D">
        <w:rPr>
          <w:rFonts w:cs="Arial"/>
          <w:szCs w:val="20"/>
          <w:lang w:val="pt-BR"/>
        </w:rPr>
        <w:t xml:space="preserve">por </w:t>
      </w:r>
      <w:r w:rsidR="00737270" w:rsidRPr="00D5464D">
        <w:rPr>
          <w:rFonts w:cs="Arial"/>
          <w:szCs w:val="20"/>
          <w:lang w:val="pt-BR"/>
        </w:rPr>
        <w:t>praticar</w:t>
      </w:r>
      <w:r w:rsidR="0003391C" w:rsidRPr="00D5464D">
        <w:rPr>
          <w:rFonts w:cs="Arial"/>
          <w:szCs w:val="20"/>
          <w:lang w:val="pt-BR"/>
        </w:rPr>
        <w:t xml:space="preserve"> </w:t>
      </w:r>
      <w:r w:rsidR="00E045D9" w:rsidRPr="00D5464D">
        <w:rPr>
          <w:rFonts w:cs="Arial"/>
          <w:szCs w:val="20"/>
          <w:lang w:val="pt-BR"/>
        </w:rPr>
        <w:t>trabalho</w:t>
      </w:r>
      <w:r w:rsidR="0003391C" w:rsidRPr="00D5464D">
        <w:rPr>
          <w:rFonts w:cs="Arial"/>
          <w:szCs w:val="20"/>
          <w:lang w:val="pt-BR"/>
        </w:rPr>
        <w:t xml:space="preserve"> </w:t>
      </w:r>
      <w:r w:rsidR="004F1CC2" w:rsidRPr="00D5464D">
        <w:rPr>
          <w:rFonts w:cs="Arial"/>
          <w:bCs/>
          <w:szCs w:val="20"/>
          <w:lang w:val="pt-BR"/>
        </w:rPr>
        <w:t>escravo</w:t>
      </w:r>
      <w:r w:rsidR="00C0145B" w:rsidRPr="00D5464D">
        <w:rPr>
          <w:rFonts w:cs="Arial"/>
          <w:bCs/>
          <w:szCs w:val="20"/>
          <w:lang w:val="pt-BR"/>
        </w:rPr>
        <w:t>.</w:t>
      </w:r>
      <w:r w:rsidR="0003391C" w:rsidRPr="00D5464D">
        <w:rPr>
          <w:rStyle w:val="Refdenotaalpie"/>
          <w:rFonts w:cs="Arial"/>
          <w:bCs/>
          <w:lang w:val="pt-BR"/>
        </w:rPr>
        <w:footnoteReference w:id="111"/>
      </w:r>
    </w:p>
    <w:p w14:paraId="630C6B39" w14:textId="41062BB5" w:rsidR="0003391C" w:rsidRPr="00D5464D" w:rsidRDefault="00470ADC" w:rsidP="008622F3">
      <w:pPr>
        <w:pStyle w:val="Ttulo3"/>
        <w:rPr>
          <w:lang w:val="pt-BR"/>
        </w:rPr>
      </w:pPr>
      <w:r w:rsidRPr="00D5464D">
        <w:rPr>
          <w:rFonts w:cs="Arial"/>
          <w:szCs w:val="20"/>
          <w:lang w:val="pt-BR"/>
        </w:rPr>
        <w:cr/>
      </w:r>
      <w:bookmarkStart w:id="274" w:name="_Toc468433892"/>
      <w:r w:rsidRPr="00D5464D">
        <w:rPr>
          <w:rFonts w:cs="Arial"/>
          <w:b w:val="0"/>
          <w:szCs w:val="20"/>
          <w:lang w:val="pt-BR"/>
        </w:rPr>
        <w:t xml:space="preserve">A </w:t>
      </w:r>
      <w:bookmarkStart w:id="275" w:name="_Toc460433006"/>
      <w:bookmarkStart w:id="276" w:name="_Toc460441937"/>
      <w:bookmarkStart w:id="277" w:name="_Toc462750755"/>
      <w:bookmarkStart w:id="278" w:name="_Toc462751079"/>
      <w:bookmarkStart w:id="279" w:name="_Toc464813931"/>
      <w:r w:rsidR="0003391C" w:rsidRPr="00D5464D">
        <w:rPr>
          <w:b w:val="0"/>
          <w:lang w:val="pt-BR"/>
        </w:rPr>
        <w:t>visita</w:t>
      </w:r>
      <w:r w:rsidRPr="00D5464D">
        <w:rPr>
          <w:b w:val="0"/>
          <w:lang w:val="pt-BR"/>
        </w:rPr>
        <w:t xml:space="preserve"> à </w:t>
      </w:r>
      <w:r w:rsidR="00D809F0" w:rsidRPr="00D5464D">
        <w:rPr>
          <w:b w:val="0"/>
          <w:lang w:val="pt-BR"/>
        </w:rPr>
        <w:t>Fazenda</w:t>
      </w:r>
      <w:r w:rsidR="0003391C" w:rsidRPr="00D5464D">
        <w:rPr>
          <w:b w:val="0"/>
          <w:lang w:val="pt-BR"/>
        </w:rPr>
        <w:t xml:space="preserve"> Brasil Verde</w:t>
      </w:r>
      <w:r w:rsidRPr="00D5464D">
        <w:rPr>
          <w:b w:val="0"/>
          <w:lang w:val="pt-BR"/>
        </w:rPr>
        <w:t xml:space="preserve"> em </w:t>
      </w:r>
      <w:r w:rsidR="0003391C" w:rsidRPr="00D5464D">
        <w:rPr>
          <w:b w:val="0"/>
          <w:lang w:val="pt-BR"/>
        </w:rPr>
        <w:t>1989</w:t>
      </w:r>
      <w:bookmarkEnd w:id="274"/>
      <w:bookmarkEnd w:id="275"/>
      <w:bookmarkEnd w:id="276"/>
      <w:bookmarkEnd w:id="277"/>
      <w:bookmarkEnd w:id="278"/>
      <w:bookmarkEnd w:id="279"/>
    </w:p>
    <w:p w14:paraId="5C4092F1" w14:textId="77777777" w:rsidR="00D65024" w:rsidRPr="00D5464D" w:rsidRDefault="00D65024" w:rsidP="00D65024">
      <w:pPr>
        <w:pStyle w:val="Prrafodelista"/>
        <w:autoSpaceDE w:val="0"/>
        <w:autoSpaceDN w:val="0"/>
        <w:adjustRightInd w:val="0"/>
        <w:ind w:left="0"/>
        <w:contextualSpacing w:val="0"/>
        <w:rPr>
          <w:rFonts w:cs="Arial"/>
          <w:szCs w:val="20"/>
          <w:lang w:val="pt-BR"/>
        </w:rPr>
      </w:pPr>
    </w:p>
    <w:p w14:paraId="68B9A743" w14:textId="63298A5C" w:rsidR="0003391C" w:rsidRPr="00D5464D" w:rsidRDefault="00C91CB1" w:rsidP="00140440">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Em 2</w:t>
      </w:r>
      <w:r w:rsidR="0003391C" w:rsidRPr="00D5464D">
        <w:rPr>
          <w:rFonts w:cs="Arial"/>
          <w:szCs w:val="20"/>
          <w:lang w:val="pt-BR"/>
        </w:rPr>
        <w:t xml:space="preserve">0 de </w:t>
      </w:r>
      <w:r w:rsidR="00470ADC" w:rsidRPr="00D5464D">
        <w:rPr>
          <w:rFonts w:cs="Arial"/>
          <w:szCs w:val="20"/>
          <w:lang w:val="pt-BR"/>
        </w:rPr>
        <w:t>fevereiro</w:t>
      </w:r>
      <w:r w:rsidR="0003391C" w:rsidRPr="00D5464D">
        <w:rPr>
          <w:rFonts w:cs="Arial"/>
          <w:szCs w:val="20"/>
          <w:lang w:val="pt-BR"/>
        </w:rPr>
        <w:t xml:space="preserve"> de 1989</w:t>
      </w:r>
      <w:r w:rsidR="00996473" w:rsidRPr="00D5464D">
        <w:rPr>
          <w:rFonts w:cs="Arial"/>
          <w:szCs w:val="20"/>
          <w:lang w:val="pt-BR"/>
        </w:rPr>
        <w:t>,</w:t>
      </w:r>
      <w:r w:rsidR="002C330E" w:rsidRPr="00D5464D">
        <w:rPr>
          <w:rFonts w:cs="Arial"/>
          <w:szCs w:val="20"/>
          <w:lang w:val="pt-BR"/>
        </w:rPr>
        <w:t xml:space="preserve"> a </w:t>
      </w:r>
      <w:r w:rsidRPr="00D5464D">
        <w:rPr>
          <w:rFonts w:cs="Arial"/>
          <w:szCs w:val="20"/>
          <w:lang w:val="pt-BR"/>
        </w:rPr>
        <w:t xml:space="preserve">Polícia </w:t>
      </w:r>
      <w:r w:rsidR="0003391C" w:rsidRPr="00D5464D">
        <w:rPr>
          <w:rFonts w:cs="Arial"/>
          <w:szCs w:val="20"/>
          <w:lang w:val="pt-BR"/>
        </w:rPr>
        <w:t xml:space="preserve">Federal </w:t>
      </w:r>
      <w:r w:rsidR="002C330E" w:rsidRPr="00D5464D">
        <w:rPr>
          <w:rFonts w:cs="Arial"/>
          <w:szCs w:val="20"/>
          <w:lang w:val="pt-BR"/>
        </w:rPr>
        <w:t>realizou</w:t>
      </w:r>
      <w:r w:rsidR="00E045D9" w:rsidRPr="00D5464D">
        <w:rPr>
          <w:rFonts w:cs="Arial"/>
          <w:szCs w:val="20"/>
          <w:lang w:val="pt-BR"/>
        </w:rPr>
        <w:t xml:space="preserve"> uma </w:t>
      </w:r>
      <w:r w:rsidR="0003391C" w:rsidRPr="00D5464D">
        <w:rPr>
          <w:rFonts w:cs="Arial"/>
          <w:szCs w:val="20"/>
          <w:lang w:val="pt-BR"/>
        </w:rPr>
        <w:t>visita</w:t>
      </w:r>
      <w:r w:rsidR="00470ADC" w:rsidRPr="00D5464D">
        <w:rPr>
          <w:rFonts w:cs="Arial"/>
          <w:szCs w:val="20"/>
          <w:lang w:val="pt-BR"/>
        </w:rPr>
        <w:t xml:space="preserve"> à </w:t>
      </w:r>
      <w:r w:rsidR="00D809F0" w:rsidRPr="00D5464D">
        <w:rPr>
          <w:rFonts w:cs="Arial"/>
          <w:szCs w:val="20"/>
          <w:lang w:val="pt-BR"/>
        </w:rPr>
        <w:t>Fazenda</w:t>
      </w:r>
      <w:r w:rsidR="0003391C" w:rsidRPr="00D5464D">
        <w:rPr>
          <w:rFonts w:cs="Arial"/>
          <w:szCs w:val="20"/>
          <w:lang w:val="pt-BR"/>
        </w:rPr>
        <w:t xml:space="preserve"> Brasil Verde</w:t>
      </w:r>
      <w:r w:rsidR="00996473" w:rsidRPr="00D5464D">
        <w:rPr>
          <w:rFonts w:cs="Arial"/>
          <w:szCs w:val="20"/>
          <w:lang w:val="pt-BR"/>
        </w:rPr>
        <w:t>.</w:t>
      </w:r>
      <w:r w:rsidR="0003391C" w:rsidRPr="00D5464D">
        <w:rPr>
          <w:rStyle w:val="Refdenotaalpie"/>
          <w:rFonts w:cs="Arial"/>
          <w:lang w:val="pt-BR"/>
        </w:rPr>
        <w:footnoteReference w:id="112"/>
      </w:r>
      <w:r w:rsidRPr="00D5464D">
        <w:rPr>
          <w:rFonts w:cs="Arial"/>
          <w:szCs w:val="20"/>
          <w:lang w:val="pt-BR"/>
        </w:rPr>
        <w:t xml:space="preserve"> No </w:t>
      </w:r>
      <w:r w:rsidR="00350187" w:rsidRPr="00D5464D">
        <w:rPr>
          <w:rFonts w:cs="Arial"/>
          <w:szCs w:val="20"/>
          <w:lang w:val="pt-BR"/>
        </w:rPr>
        <w:t>relatório</w:t>
      </w:r>
      <w:r w:rsidR="002C330E" w:rsidRPr="00D5464D">
        <w:rPr>
          <w:rFonts w:cs="Arial"/>
          <w:szCs w:val="20"/>
          <w:lang w:val="pt-BR"/>
        </w:rPr>
        <w:t xml:space="preserve"> </w:t>
      </w:r>
      <w:r w:rsidR="00B634D2" w:rsidRPr="00D5464D">
        <w:rPr>
          <w:rFonts w:cs="Arial"/>
          <w:szCs w:val="20"/>
          <w:lang w:val="pt-BR"/>
        </w:rPr>
        <w:t>sobre</w:t>
      </w:r>
      <w:r w:rsidR="00470ADC" w:rsidRPr="00D5464D">
        <w:rPr>
          <w:rFonts w:cs="Arial"/>
          <w:szCs w:val="20"/>
          <w:lang w:val="pt-BR"/>
        </w:rPr>
        <w:t xml:space="preserve"> essa </w:t>
      </w:r>
      <w:r w:rsidR="00B634D2" w:rsidRPr="00D5464D">
        <w:rPr>
          <w:rFonts w:cs="Arial"/>
          <w:szCs w:val="20"/>
          <w:lang w:val="pt-BR"/>
        </w:rPr>
        <w:t xml:space="preserve">visita, de 24 de </w:t>
      </w:r>
      <w:r w:rsidR="00470ADC" w:rsidRPr="00D5464D">
        <w:rPr>
          <w:rFonts w:cs="Arial"/>
          <w:szCs w:val="20"/>
          <w:lang w:val="pt-BR"/>
        </w:rPr>
        <w:t>fevereiro</w:t>
      </w:r>
      <w:r w:rsidR="00B634D2" w:rsidRPr="00D5464D">
        <w:rPr>
          <w:rFonts w:cs="Arial"/>
          <w:szCs w:val="20"/>
          <w:lang w:val="pt-BR"/>
        </w:rPr>
        <w:t xml:space="preserve">, </w:t>
      </w:r>
      <w:r w:rsidR="002C330E" w:rsidRPr="00D5464D">
        <w:rPr>
          <w:rFonts w:cs="Arial"/>
          <w:szCs w:val="20"/>
          <w:lang w:val="pt-BR"/>
        </w:rPr>
        <w:t>afirmou</w:t>
      </w:r>
      <w:r w:rsidR="0003391C" w:rsidRPr="00D5464D">
        <w:rPr>
          <w:rFonts w:cs="Arial"/>
          <w:szCs w:val="20"/>
          <w:lang w:val="pt-BR"/>
        </w:rPr>
        <w:t xml:space="preserve"> que: i)</w:t>
      </w:r>
      <w:r w:rsidR="00E045D9" w:rsidRPr="00D5464D">
        <w:rPr>
          <w:rFonts w:cs="Arial"/>
          <w:szCs w:val="20"/>
          <w:lang w:val="pt-BR"/>
        </w:rPr>
        <w:t xml:space="preserve"> na </w:t>
      </w:r>
      <w:r w:rsidR="00D809F0" w:rsidRPr="00D5464D">
        <w:rPr>
          <w:rFonts w:cs="Arial"/>
          <w:szCs w:val="20"/>
          <w:lang w:val="pt-BR"/>
        </w:rPr>
        <w:t>Fazenda</w:t>
      </w:r>
      <w:r w:rsidR="00470ADC" w:rsidRPr="00D5464D">
        <w:rPr>
          <w:rFonts w:cs="Arial"/>
          <w:szCs w:val="20"/>
          <w:lang w:val="pt-BR"/>
        </w:rPr>
        <w:t xml:space="preserve"> o </w:t>
      </w:r>
      <w:r w:rsidR="00A1358C" w:rsidRPr="00D5464D">
        <w:rPr>
          <w:rFonts w:cs="Arial"/>
          <w:szCs w:val="20"/>
          <w:lang w:val="pt-BR"/>
        </w:rPr>
        <w:t>recrutamento</w:t>
      </w:r>
      <w:r w:rsidR="0003391C" w:rsidRPr="00D5464D">
        <w:rPr>
          <w:rFonts w:cs="Arial"/>
          <w:szCs w:val="20"/>
          <w:lang w:val="pt-BR"/>
        </w:rPr>
        <w:t xml:space="preserve"> de </w:t>
      </w:r>
      <w:r w:rsidR="00E045D9" w:rsidRPr="00D5464D">
        <w:rPr>
          <w:rFonts w:cs="Arial"/>
          <w:szCs w:val="20"/>
          <w:lang w:val="pt-BR"/>
        </w:rPr>
        <w:t>trabalhadores</w:t>
      </w:r>
      <w:r w:rsidR="0003391C" w:rsidRPr="00D5464D">
        <w:rPr>
          <w:rFonts w:cs="Arial"/>
          <w:szCs w:val="20"/>
          <w:lang w:val="pt-BR"/>
        </w:rPr>
        <w:t xml:space="preserve"> era </w:t>
      </w:r>
      <w:r w:rsidR="00996473" w:rsidRPr="00D5464D">
        <w:rPr>
          <w:rFonts w:cs="Arial"/>
          <w:szCs w:val="20"/>
          <w:lang w:val="pt-BR"/>
        </w:rPr>
        <w:t xml:space="preserve">constantemente </w:t>
      </w:r>
      <w:r w:rsidR="0003391C" w:rsidRPr="00D5464D">
        <w:rPr>
          <w:rFonts w:cs="Arial"/>
          <w:szCs w:val="20"/>
          <w:lang w:val="pt-BR"/>
        </w:rPr>
        <w:t>realizado</w:t>
      </w:r>
      <w:r w:rsidR="002C330E" w:rsidRPr="00D5464D">
        <w:rPr>
          <w:rFonts w:cs="Arial"/>
          <w:szCs w:val="20"/>
          <w:lang w:val="pt-BR"/>
        </w:rPr>
        <w:t xml:space="preserve"> pelos </w:t>
      </w:r>
      <w:r w:rsidR="00996473" w:rsidRPr="00D5464D">
        <w:rPr>
          <w:rFonts w:cs="Arial"/>
          <w:szCs w:val="20"/>
          <w:lang w:val="pt-BR"/>
        </w:rPr>
        <w:t>gatos</w:t>
      </w:r>
      <w:r w:rsidR="0003391C" w:rsidRPr="00D5464D">
        <w:rPr>
          <w:rFonts w:cs="Arial"/>
          <w:szCs w:val="20"/>
          <w:lang w:val="pt-BR"/>
        </w:rPr>
        <w:t xml:space="preserve">; ii) </w:t>
      </w:r>
      <w:r w:rsidR="00737270" w:rsidRPr="00D5464D">
        <w:rPr>
          <w:rFonts w:cs="Arial"/>
          <w:szCs w:val="20"/>
          <w:lang w:val="pt-BR"/>
        </w:rPr>
        <w:t xml:space="preserve">haviam </w:t>
      </w:r>
      <w:r w:rsidR="0003391C" w:rsidRPr="00D5464D">
        <w:rPr>
          <w:rFonts w:cs="Arial"/>
          <w:szCs w:val="20"/>
          <w:lang w:val="pt-BR"/>
        </w:rPr>
        <w:t xml:space="preserve">identificado </w:t>
      </w:r>
      <w:r w:rsidR="00470ADC" w:rsidRPr="00D5464D">
        <w:rPr>
          <w:rFonts w:cs="Arial"/>
          <w:szCs w:val="20"/>
          <w:lang w:val="pt-BR"/>
        </w:rPr>
        <w:t>quatro</w:t>
      </w:r>
      <w:r w:rsidR="0003391C" w:rsidRPr="00D5464D">
        <w:rPr>
          <w:rFonts w:cs="Arial"/>
          <w:szCs w:val="20"/>
          <w:lang w:val="pt-BR"/>
        </w:rPr>
        <w:t xml:space="preserve"> </w:t>
      </w:r>
      <w:r w:rsidR="00996473" w:rsidRPr="00D5464D">
        <w:rPr>
          <w:rFonts w:cs="Arial"/>
          <w:szCs w:val="20"/>
          <w:lang w:val="pt-BR"/>
        </w:rPr>
        <w:t>gatos</w:t>
      </w:r>
      <w:r w:rsidR="0003391C" w:rsidRPr="00D5464D">
        <w:rPr>
          <w:rFonts w:cs="Arial"/>
          <w:szCs w:val="20"/>
          <w:lang w:val="pt-BR"/>
        </w:rPr>
        <w:t xml:space="preserve"> que </w:t>
      </w:r>
      <w:r w:rsidR="00E045D9" w:rsidRPr="00D5464D">
        <w:rPr>
          <w:rFonts w:cs="Arial"/>
          <w:szCs w:val="20"/>
          <w:lang w:val="pt-BR"/>
        </w:rPr>
        <w:t>trabalh</w:t>
      </w:r>
      <w:r w:rsidR="00350187" w:rsidRPr="00D5464D">
        <w:rPr>
          <w:rFonts w:cs="Arial"/>
          <w:szCs w:val="20"/>
          <w:lang w:val="pt-BR"/>
        </w:rPr>
        <w:t xml:space="preserve">avam </w:t>
      </w:r>
      <w:r w:rsidR="00E045D9" w:rsidRPr="00D5464D">
        <w:rPr>
          <w:rFonts w:cs="Arial"/>
          <w:szCs w:val="20"/>
          <w:lang w:val="pt-BR"/>
        </w:rPr>
        <w:t xml:space="preserve">na </w:t>
      </w:r>
      <w:r w:rsidR="00D809F0" w:rsidRPr="00D5464D">
        <w:rPr>
          <w:rFonts w:cs="Arial"/>
          <w:szCs w:val="20"/>
          <w:lang w:val="pt-BR"/>
        </w:rPr>
        <w:t>Fazenda</w:t>
      </w:r>
      <w:r w:rsidR="0003391C" w:rsidRPr="00D5464D">
        <w:rPr>
          <w:rFonts w:cs="Arial"/>
          <w:szCs w:val="20"/>
          <w:lang w:val="pt-BR"/>
        </w:rPr>
        <w:t xml:space="preserve">; iii) </w:t>
      </w:r>
      <w:r w:rsidR="00737270" w:rsidRPr="00D5464D">
        <w:rPr>
          <w:rFonts w:cs="Arial"/>
          <w:szCs w:val="20"/>
          <w:lang w:val="pt-BR"/>
        </w:rPr>
        <w:t>um dos</w:t>
      </w:r>
      <w:r w:rsidR="00470ADC" w:rsidRPr="00D5464D">
        <w:rPr>
          <w:rFonts w:cs="Arial"/>
          <w:szCs w:val="20"/>
          <w:lang w:val="pt-BR"/>
        </w:rPr>
        <w:t xml:space="preserve"> </w:t>
      </w:r>
      <w:r w:rsidR="00996473" w:rsidRPr="00D5464D">
        <w:rPr>
          <w:rFonts w:cs="Arial"/>
          <w:szCs w:val="20"/>
          <w:lang w:val="pt-BR"/>
        </w:rPr>
        <w:t>gatos</w:t>
      </w:r>
      <w:r w:rsidR="0003391C" w:rsidRPr="00D5464D">
        <w:rPr>
          <w:rFonts w:cs="Arial"/>
          <w:szCs w:val="20"/>
          <w:lang w:val="pt-BR"/>
        </w:rPr>
        <w:t xml:space="preserve"> </w:t>
      </w:r>
      <w:r w:rsidR="002C330E" w:rsidRPr="00D5464D">
        <w:rPr>
          <w:rFonts w:cs="Arial"/>
          <w:szCs w:val="20"/>
          <w:lang w:val="pt-BR"/>
        </w:rPr>
        <w:t>havia</w:t>
      </w:r>
      <w:r w:rsidR="0003391C" w:rsidRPr="00D5464D">
        <w:rPr>
          <w:rFonts w:cs="Arial"/>
          <w:szCs w:val="20"/>
          <w:lang w:val="pt-BR"/>
        </w:rPr>
        <w:t xml:space="preserve"> fug</w:t>
      </w:r>
      <w:r w:rsidR="00996473" w:rsidRPr="00D5464D">
        <w:rPr>
          <w:rFonts w:cs="Arial"/>
          <w:szCs w:val="20"/>
          <w:lang w:val="pt-BR"/>
        </w:rPr>
        <w:t>i</w:t>
      </w:r>
      <w:r w:rsidR="0003391C" w:rsidRPr="00D5464D">
        <w:rPr>
          <w:rFonts w:cs="Arial"/>
          <w:szCs w:val="20"/>
          <w:lang w:val="pt-BR"/>
        </w:rPr>
        <w:t>do</w:t>
      </w:r>
      <w:r w:rsidR="00470ADC" w:rsidRPr="00D5464D">
        <w:rPr>
          <w:rFonts w:cs="Arial"/>
          <w:szCs w:val="20"/>
          <w:lang w:val="pt-BR"/>
        </w:rPr>
        <w:t xml:space="preserve"> ao</w:t>
      </w:r>
      <w:r w:rsidR="00A1358C" w:rsidRPr="00D5464D">
        <w:rPr>
          <w:rFonts w:cs="Arial"/>
          <w:szCs w:val="20"/>
          <w:lang w:val="pt-BR"/>
        </w:rPr>
        <w:t xml:space="preserve"> intei</w:t>
      </w:r>
      <w:r w:rsidR="00350187" w:rsidRPr="00D5464D">
        <w:rPr>
          <w:rFonts w:cs="Arial"/>
          <w:szCs w:val="20"/>
          <w:lang w:val="pt-BR"/>
        </w:rPr>
        <w:t>rar-se</w:t>
      </w:r>
      <w:r w:rsidR="0003391C" w:rsidRPr="00D5464D">
        <w:rPr>
          <w:rFonts w:cs="Arial"/>
          <w:szCs w:val="20"/>
          <w:lang w:val="pt-BR"/>
        </w:rPr>
        <w:t xml:space="preserve"> </w:t>
      </w:r>
      <w:r w:rsidR="00996473" w:rsidRPr="00D5464D">
        <w:rPr>
          <w:rFonts w:cs="Arial"/>
          <w:szCs w:val="20"/>
          <w:lang w:val="pt-BR"/>
        </w:rPr>
        <w:t xml:space="preserve">de </w:t>
      </w:r>
      <w:r w:rsidR="0003391C" w:rsidRPr="00D5464D">
        <w:rPr>
          <w:rFonts w:cs="Arial"/>
          <w:szCs w:val="20"/>
          <w:lang w:val="pt-BR"/>
        </w:rPr>
        <w:t>que</w:t>
      </w:r>
      <w:r w:rsidR="002C330E" w:rsidRPr="00D5464D">
        <w:rPr>
          <w:rFonts w:cs="Arial"/>
          <w:szCs w:val="20"/>
          <w:lang w:val="pt-BR"/>
        </w:rPr>
        <w:t xml:space="preserve"> a </w:t>
      </w:r>
      <w:r w:rsidRPr="00D5464D">
        <w:rPr>
          <w:rFonts w:cs="Arial"/>
          <w:szCs w:val="20"/>
          <w:lang w:val="pt-BR"/>
        </w:rPr>
        <w:t xml:space="preserve">Polícia </w:t>
      </w:r>
      <w:r w:rsidR="0003391C" w:rsidRPr="00D5464D">
        <w:rPr>
          <w:rFonts w:cs="Arial"/>
          <w:szCs w:val="20"/>
          <w:lang w:val="pt-BR"/>
        </w:rPr>
        <w:t xml:space="preserve">Federal </w:t>
      </w:r>
      <w:r w:rsidR="00470ADC" w:rsidRPr="00D5464D">
        <w:rPr>
          <w:rFonts w:cs="Arial"/>
          <w:szCs w:val="20"/>
          <w:lang w:val="pt-BR"/>
        </w:rPr>
        <w:t>estava</w:t>
      </w:r>
      <w:r w:rsidR="00E045D9" w:rsidRPr="00D5464D">
        <w:rPr>
          <w:rFonts w:cs="Arial"/>
          <w:szCs w:val="20"/>
          <w:lang w:val="pt-BR"/>
        </w:rPr>
        <w:t xml:space="preserve"> na </w:t>
      </w:r>
      <w:r w:rsidR="00996473" w:rsidRPr="00D5464D">
        <w:rPr>
          <w:rFonts w:cs="Arial"/>
          <w:szCs w:val="20"/>
          <w:lang w:val="pt-BR"/>
        </w:rPr>
        <w:t xml:space="preserve">região </w:t>
      </w:r>
      <w:r w:rsidR="00E045D9" w:rsidRPr="00D5464D">
        <w:rPr>
          <w:rFonts w:cs="Arial"/>
          <w:szCs w:val="20"/>
          <w:lang w:val="pt-BR"/>
        </w:rPr>
        <w:t xml:space="preserve">e </w:t>
      </w:r>
      <w:r w:rsidR="002C330E" w:rsidRPr="00D5464D">
        <w:rPr>
          <w:rFonts w:cs="Arial"/>
          <w:szCs w:val="20"/>
          <w:lang w:val="pt-BR"/>
        </w:rPr>
        <w:t xml:space="preserve">outro </w:t>
      </w:r>
      <w:r w:rsidR="00737270" w:rsidRPr="00D5464D">
        <w:rPr>
          <w:rFonts w:cs="Arial"/>
          <w:szCs w:val="20"/>
          <w:lang w:val="pt-BR"/>
        </w:rPr>
        <w:t>não havia</w:t>
      </w:r>
      <w:r w:rsidR="0003391C" w:rsidRPr="00D5464D">
        <w:rPr>
          <w:rFonts w:cs="Arial"/>
          <w:szCs w:val="20"/>
          <w:lang w:val="pt-BR"/>
        </w:rPr>
        <w:t xml:space="preserve"> sido </w:t>
      </w:r>
      <w:r w:rsidR="002C330E" w:rsidRPr="00D5464D">
        <w:rPr>
          <w:rFonts w:cs="Arial"/>
          <w:szCs w:val="20"/>
          <w:lang w:val="pt-BR"/>
        </w:rPr>
        <w:t xml:space="preserve">possível </w:t>
      </w:r>
      <w:r w:rsidR="0003391C" w:rsidRPr="00D5464D">
        <w:rPr>
          <w:rFonts w:cs="Arial"/>
          <w:szCs w:val="20"/>
          <w:lang w:val="pt-BR"/>
        </w:rPr>
        <w:t>encontrar; iv)</w:t>
      </w:r>
      <w:r w:rsidR="002C330E" w:rsidRPr="00D5464D">
        <w:rPr>
          <w:rFonts w:cs="Arial"/>
          <w:szCs w:val="20"/>
          <w:lang w:val="pt-BR"/>
        </w:rPr>
        <w:t xml:space="preserve"> os </w:t>
      </w:r>
      <w:r w:rsidR="00E045D9" w:rsidRPr="00D5464D">
        <w:rPr>
          <w:rFonts w:cs="Arial"/>
          <w:szCs w:val="20"/>
          <w:lang w:val="pt-BR"/>
        </w:rPr>
        <w:t>trabalhadores</w:t>
      </w:r>
      <w:r w:rsidR="0003391C" w:rsidRPr="00D5464D">
        <w:rPr>
          <w:rFonts w:cs="Arial"/>
          <w:szCs w:val="20"/>
          <w:lang w:val="pt-BR"/>
        </w:rPr>
        <w:t xml:space="preserve"> </w:t>
      </w:r>
      <w:r w:rsidR="002C330E" w:rsidRPr="00D5464D">
        <w:rPr>
          <w:rFonts w:cs="Arial"/>
          <w:szCs w:val="20"/>
          <w:lang w:val="pt-BR"/>
        </w:rPr>
        <w:t>afirmaram</w:t>
      </w:r>
      <w:r w:rsidR="0003391C" w:rsidRPr="00D5464D">
        <w:rPr>
          <w:rFonts w:cs="Arial"/>
          <w:szCs w:val="20"/>
          <w:lang w:val="pt-BR"/>
        </w:rPr>
        <w:t xml:space="preserve"> que </w:t>
      </w:r>
      <w:r w:rsidR="00470ADC" w:rsidRPr="00D5464D">
        <w:rPr>
          <w:rFonts w:cs="Arial"/>
          <w:szCs w:val="20"/>
          <w:lang w:val="pt-BR"/>
        </w:rPr>
        <w:t>desej</w:t>
      </w:r>
      <w:r w:rsidR="00350187" w:rsidRPr="00D5464D">
        <w:rPr>
          <w:rFonts w:cs="Arial"/>
          <w:szCs w:val="20"/>
          <w:lang w:val="pt-BR"/>
        </w:rPr>
        <w:t xml:space="preserve">avam </w:t>
      </w:r>
      <w:r w:rsidR="00E045D9" w:rsidRPr="00D5464D">
        <w:rPr>
          <w:rFonts w:cs="Arial"/>
          <w:szCs w:val="20"/>
          <w:lang w:val="pt-BR"/>
        </w:rPr>
        <w:t xml:space="preserve">um </w:t>
      </w:r>
      <w:r w:rsidR="002C330E" w:rsidRPr="00D5464D">
        <w:rPr>
          <w:rFonts w:cs="Arial"/>
          <w:szCs w:val="20"/>
          <w:lang w:val="pt-BR"/>
        </w:rPr>
        <w:t>melhor</w:t>
      </w:r>
      <w:r w:rsidR="0003391C" w:rsidRPr="00D5464D">
        <w:rPr>
          <w:rFonts w:cs="Arial"/>
          <w:szCs w:val="20"/>
          <w:lang w:val="pt-BR"/>
        </w:rPr>
        <w:t xml:space="preserve"> </w:t>
      </w:r>
      <w:r w:rsidR="00E045D9" w:rsidRPr="00D5464D">
        <w:rPr>
          <w:rFonts w:cs="Arial"/>
          <w:szCs w:val="20"/>
          <w:lang w:val="pt-BR"/>
        </w:rPr>
        <w:t>salário</w:t>
      </w:r>
      <w:r w:rsidR="0003391C" w:rsidRPr="00D5464D">
        <w:rPr>
          <w:rFonts w:cs="Arial"/>
          <w:szCs w:val="20"/>
          <w:lang w:val="pt-BR"/>
        </w:rPr>
        <w:t xml:space="preserve">, </w:t>
      </w:r>
      <w:r w:rsidR="002C330E" w:rsidRPr="00D5464D">
        <w:rPr>
          <w:rFonts w:cs="Arial"/>
          <w:szCs w:val="20"/>
          <w:lang w:val="pt-BR"/>
        </w:rPr>
        <w:t>mas</w:t>
      </w:r>
      <w:r w:rsidR="0003391C" w:rsidRPr="00D5464D">
        <w:rPr>
          <w:rFonts w:cs="Arial"/>
          <w:szCs w:val="20"/>
          <w:lang w:val="pt-BR"/>
        </w:rPr>
        <w:t xml:space="preserve"> que </w:t>
      </w:r>
      <w:r w:rsidR="00230C71" w:rsidRPr="00D5464D">
        <w:rPr>
          <w:rFonts w:cs="Arial"/>
          <w:szCs w:val="20"/>
          <w:lang w:val="pt-BR"/>
        </w:rPr>
        <w:t>aceitaram</w:t>
      </w:r>
      <w:r w:rsidR="00470ADC" w:rsidRPr="00D5464D">
        <w:rPr>
          <w:rFonts w:cs="Arial"/>
          <w:szCs w:val="20"/>
          <w:lang w:val="pt-BR"/>
        </w:rPr>
        <w:t xml:space="preserve"> o </w:t>
      </w:r>
      <w:r w:rsidR="00E045D9" w:rsidRPr="00D5464D">
        <w:rPr>
          <w:rFonts w:cs="Arial"/>
          <w:szCs w:val="20"/>
          <w:lang w:val="pt-BR"/>
        </w:rPr>
        <w:t>trabalho</w:t>
      </w:r>
      <w:r w:rsidR="0003391C" w:rsidRPr="00D5464D">
        <w:rPr>
          <w:rFonts w:cs="Arial"/>
          <w:szCs w:val="20"/>
          <w:lang w:val="pt-BR"/>
        </w:rPr>
        <w:t xml:space="preserve"> porque n</w:t>
      </w:r>
      <w:r w:rsidR="00996473" w:rsidRPr="00D5464D">
        <w:rPr>
          <w:rFonts w:cs="Arial"/>
          <w:szCs w:val="20"/>
          <w:lang w:val="pt-BR"/>
        </w:rPr>
        <w:t>ã</w:t>
      </w:r>
      <w:r w:rsidR="0003391C" w:rsidRPr="00D5464D">
        <w:rPr>
          <w:rFonts w:cs="Arial"/>
          <w:szCs w:val="20"/>
          <w:lang w:val="pt-BR"/>
        </w:rPr>
        <w:t xml:space="preserve">o </w:t>
      </w:r>
      <w:r w:rsidR="00E045D9" w:rsidRPr="00D5464D">
        <w:rPr>
          <w:rFonts w:cs="Arial"/>
          <w:szCs w:val="20"/>
          <w:lang w:val="pt-BR"/>
        </w:rPr>
        <w:t>encontraram</w:t>
      </w:r>
      <w:r w:rsidR="002C330E" w:rsidRPr="00D5464D">
        <w:rPr>
          <w:rFonts w:cs="Arial"/>
          <w:szCs w:val="20"/>
          <w:lang w:val="pt-BR"/>
        </w:rPr>
        <w:t xml:space="preserve"> outro</w:t>
      </w:r>
      <w:r w:rsidR="00E045D9" w:rsidRPr="00D5464D">
        <w:rPr>
          <w:rFonts w:cs="Arial"/>
          <w:szCs w:val="20"/>
          <w:lang w:val="pt-BR"/>
        </w:rPr>
        <w:t xml:space="preserve"> </w:t>
      </w:r>
      <w:r w:rsidR="00311C6D" w:rsidRPr="00D5464D">
        <w:rPr>
          <w:rFonts w:cs="Arial"/>
          <w:szCs w:val="20"/>
          <w:lang w:val="pt-BR"/>
        </w:rPr>
        <w:t>que</w:t>
      </w:r>
      <w:r w:rsidR="00FF1290" w:rsidRPr="00D5464D">
        <w:rPr>
          <w:rFonts w:cs="Arial"/>
          <w:szCs w:val="20"/>
          <w:lang w:val="pt-BR"/>
        </w:rPr>
        <w:t xml:space="preserve"> </w:t>
      </w:r>
      <w:r w:rsidR="0003391C" w:rsidRPr="00D5464D">
        <w:rPr>
          <w:rFonts w:cs="Arial"/>
          <w:szCs w:val="20"/>
          <w:lang w:val="pt-BR"/>
        </w:rPr>
        <w:t>paga</w:t>
      </w:r>
      <w:r w:rsidR="00996473" w:rsidRPr="00D5464D">
        <w:rPr>
          <w:rFonts w:cs="Arial"/>
          <w:szCs w:val="20"/>
          <w:lang w:val="pt-BR"/>
        </w:rPr>
        <w:t>sse</w:t>
      </w:r>
      <w:r w:rsidR="0003391C" w:rsidRPr="00D5464D">
        <w:rPr>
          <w:rFonts w:cs="Arial"/>
          <w:szCs w:val="20"/>
          <w:lang w:val="pt-BR"/>
        </w:rPr>
        <w:t xml:space="preserve"> </w:t>
      </w:r>
      <w:r w:rsidR="002C330E" w:rsidRPr="00D5464D">
        <w:rPr>
          <w:rFonts w:cs="Arial"/>
          <w:szCs w:val="20"/>
          <w:lang w:val="pt-BR"/>
        </w:rPr>
        <w:t>melhor</w:t>
      </w:r>
      <w:r w:rsidRPr="00D5464D">
        <w:rPr>
          <w:rFonts w:cs="Arial"/>
          <w:szCs w:val="20"/>
          <w:lang w:val="pt-BR"/>
        </w:rPr>
        <w:t xml:space="preserve">. Os </w:t>
      </w:r>
      <w:r w:rsidR="00E045D9" w:rsidRPr="00D5464D">
        <w:rPr>
          <w:rFonts w:cs="Arial"/>
          <w:szCs w:val="20"/>
          <w:lang w:val="pt-BR"/>
        </w:rPr>
        <w:t>trabalhadores</w:t>
      </w:r>
      <w:r w:rsidR="0003391C" w:rsidRPr="00D5464D">
        <w:rPr>
          <w:rFonts w:cs="Arial"/>
          <w:szCs w:val="20"/>
          <w:lang w:val="pt-BR"/>
        </w:rPr>
        <w:t xml:space="preserve"> </w:t>
      </w:r>
      <w:r w:rsidR="002C330E" w:rsidRPr="00D5464D">
        <w:rPr>
          <w:rFonts w:cs="Arial"/>
          <w:szCs w:val="20"/>
          <w:lang w:val="pt-BR"/>
        </w:rPr>
        <w:t>indicaram</w:t>
      </w:r>
      <w:r w:rsidR="0003391C" w:rsidRPr="00D5464D">
        <w:rPr>
          <w:rFonts w:cs="Arial"/>
          <w:szCs w:val="20"/>
          <w:lang w:val="pt-BR"/>
        </w:rPr>
        <w:t xml:space="preserve"> que </w:t>
      </w:r>
      <w:r w:rsidR="00E045D9" w:rsidRPr="00D5464D">
        <w:rPr>
          <w:rFonts w:cs="Arial"/>
          <w:szCs w:val="20"/>
          <w:lang w:val="pt-BR"/>
        </w:rPr>
        <w:t>tinham</w:t>
      </w:r>
      <w:r w:rsidR="0003391C" w:rsidRPr="00D5464D">
        <w:rPr>
          <w:rFonts w:cs="Arial"/>
          <w:szCs w:val="20"/>
          <w:lang w:val="pt-BR"/>
        </w:rPr>
        <w:t xml:space="preserve"> </w:t>
      </w:r>
      <w:r w:rsidR="002C330E" w:rsidRPr="00D5464D">
        <w:rPr>
          <w:rFonts w:cs="Arial"/>
          <w:szCs w:val="20"/>
          <w:lang w:val="pt-BR"/>
        </w:rPr>
        <w:t xml:space="preserve">liberdade </w:t>
      </w:r>
      <w:r w:rsidR="0003391C" w:rsidRPr="00D5464D">
        <w:rPr>
          <w:rFonts w:cs="Arial"/>
          <w:szCs w:val="20"/>
          <w:lang w:val="pt-BR"/>
        </w:rPr>
        <w:t xml:space="preserve">para </w:t>
      </w:r>
      <w:r w:rsidR="002C330E" w:rsidRPr="00D5464D">
        <w:rPr>
          <w:rFonts w:cs="Arial"/>
          <w:szCs w:val="20"/>
          <w:lang w:val="pt-BR"/>
        </w:rPr>
        <w:t>sair</w:t>
      </w:r>
      <w:r w:rsidR="00470ADC" w:rsidRPr="00D5464D">
        <w:rPr>
          <w:rFonts w:cs="Arial"/>
          <w:szCs w:val="20"/>
          <w:lang w:val="pt-BR"/>
        </w:rPr>
        <w:t xml:space="preserve"> da </w:t>
      </w:r>
      <w:r w:rsidR="00D809F0" w:rsidRPr="00D5464D">
        <w:rPr>
          <w:rFonts w:cs="Arial"/>
          <w:szCs w:val="20"/>
          <w:lang w:val="pt-BR"/>
        </w:rPr>
        <w:t>Fazenda</w:t>
      </w:r>
      <w:r w:rsidR="00996473" w:rsidRPr="00D5464D">
        <w:rPr>
          <w:rFonts w:cs="Arial"/>
          <w:szCs w:val="20"/>
          <w:lang w:val="pt-BR"/>
        </w:rPr>
        <w:t>.</w:t>
      </w:r>
      <w:r w:rsidR="0003391C" w:rsidRPr="00D5464D">
        <w:rPr>
          <w:rStyle w:val="Refdenotaalpie"/>
          <w:rFonts w:cs="Arial"/>
          <w:lang w:val="pt-BR"/>
        </w:rPr>
        <w:footnoteReference w:id="113"/>
      </w:r>
      <w:r w:rsidR="00FF1290" w:rsidRPr="00D5464D">
        <w:rPr>
          <w:rFonts w:cs="Arial"/>
          <w:szCs w:val="20"/>
          <w:lang w:val="pt-BR"/>
        </w:rPr>
        <w:t xml:space="preserve"> </w:t>
      </w:r>
    </w:p>
    <w:p w14:paraId="3552B2D9" w14:textId="77777777" w:rsidR="0003391C" w:rsidRPr="00D5464D" w:rsidRDefault="0003391C" w:rsidP="00140440">
      <w:pPr>
        <w:pStyle w:val="Prrafodelista"/>
        <w:autoSpaceDE w:val="0"/>
        <w:autoSpaceDN w:val="0"/>
        <w:adjustRightInd w:val="0"/>
        <w:ind w:left="0"/>
        <w:contextualSpacing w:val="0"/>
        <w:rPr>
          <w:rFonts w:cs="Arial"/>
          <w:szCs w:val="20"/>
          <w:lang w:val="pt-BR"/>
        </w:rPr>
      </w:pPr>
    </w:p>
    <w:p w14:paraId="40A3EBD3" w14:textId="1AF54A45" w:rsidR="0003391C" w:rsidRPr="00D5464D" w:rsidRDefault="00996473" w:rsidP="00140440">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O</w:t>
      </w:r>
      <w:r w:rsidR="002C330E" w:rsidRPr="00D5464D">
        <w:rPr>
          <w:rFonts w:cs="Arial"/>
          <w:szCs w:val="20"/>
          <w:lang w:val="pt-BR"/>
        </w:rPr>
        <w:t xml:space="preserve"> </w:t>
      </w:r>
      <w:r w:rsidR="00350187" w:rsidRPr="00D5464D">
        <w:rPr>
          <w:rFonts w:cs="Arial"/>
          <w:szCs w:val="20"/>
          <w:lang w:val="pt-BR"/>
        </w:rPr>
        <w:t>relatório</w:t>
      </w:r>
      <w:r w:rsidR="002C330E" w:rsidRPr="00D5464D">
        <w:rPr>
          <w:rFonts w:cs="Arial"/>
          <w:szCs w:val="20"/>
          <w:lang w:val="pt-BR"/>
        </w:rPr>
        <w:t xml:space="preserve"> afirmou</w:t>
      </w:r>
      <w:r w:rsidR="0003391C" w:rsidRPr="00D5464D">
        <w:rPr>
          <w:rFonts w:cs="Arial"/>
          <w:szCs w:val="20"/>
          <w:lang w:val="pt-BR"/>
        </w:rPr>
        <w:t xml:space="preserve"> que </w:t>
      </w:r>
      <w:r w:rsidRPr="00D5464D">
        <w:rPr>
          <w:rFonts w:cs="Arial"/>
          <w:szCs w:val="20"/>
          <w:lang w:val="pt-BR"/>
        </w:rPr>
        <w:t xml:space="preserve">não </w:t>
      </w:r>
      <w:r w:rsidR="00737270" w:rsidRPr="00D5464D">
        <w:rPr>
          <w:rFonts w:cs="Arial"/>
          <w:szCs w:val="20"/>
          <w:lang w:val="pt-BR"/>
        </w:rPr>
        <w:t xml:space="preserve">haviam </w:t>
      </w:r>
      <w:r w:rsidRPr="00D5464D">
        <w:rPr>
          <w:rFonts w:cs="Arial"/>
          <w:szCs w:val="20"/>
          <w:lang w:val="pt-BR"/>
        </w:rPr>
        <w:t xml:space="preserve">sido </w:t>
      </w:r>
      <w:r w:rsidR="0003391C" w:rsidRPr="00D5464D">
        <w:rPr>
          <w:rFonts w:cs="Arial"/>
          <w:szCs w:val="20"/>
          <w:lang w:val="pt-BR"/>
        </w:rPr>
        <w:t>observado</w:t>
      </w:r>
      <w:r w:rsidRPr="00D5464D">
        <w:rPr>
          <w:rFonts w:cs="Arial"/>
          <w:szCs w:val="20"/>
          <w:lang w:val="pt-BR"/>
        </w:rPr>
        <w:t>s</w:t>
      </w:r>
      <w:r w:rsidR="0003391C" w:rsidRPr="00D5464D">
        <w:rPr>
          <w:rFonts w:cs="Arial"/>
          <w:szCs w:val="20"/>
          <w:lang w:val="pt-BR"/>
        </w:rPr>
        <w:t xml:space="preserve"> </w:t>
      </w:r>
      <w:r w:rsidRPr="00D5464D">
        <w:rPr>
          <w:rFonts w:cs="Arial"/>
          <w:szCs w:val="20"/>
          <w:lang w:val="pt-BR"/>
        </w:rPr>
        <w:t xml:space="preserve">vestígios </w:t>
      </w:r>
      <w:r w:rsidR="0003391C" w:rsidRPr="00D5464D">
        <w:rPr>
          <w:rFonts w:cs="Arial"/>
          <w:szCs w:val="20"/>
          <w:lang w:val="pt-BR"/>
        </w:rPr>
        <w:t xml:space="preserve">de </w:t>
      </w:r>
      <w:r w:rsidR="00E045D9" w:rsidRPr="00D5464D">
        <w:rPr>
          <w:rFonts w:cs="Arial"/>
          <w:szCs w:val="20"/>
          <w:lang w:val="pt-BR"/>
        </w:rPr>
        <w:t>trabalho</w:t>
      </w:r>
      <w:r w:rsidR="0003391C" w:rsidRPr="00D5464D">
        <w:rPr>
          <w:rFonts w:cs="Arial"/>
          <w:szCs w:val="20"/>
          <w:lang w:val="pt-BR"/>
        </w:rPr>
        <w:t xml:space="preserve"> </w:t>
      </w:r>
      <w:r w:rsidR="004F1CC2" w:rsidRPr="00D5464D">
        <w:rPr>
          <w:rFonts w:cs="Arial"/>
          <w:szCs w:val="20"/>
          <w:lang w:val="pt-BR"/>
        </w:rPr>
        <w:t>escravo</w:t>
      </w:r>
      <w:r w:rsidR="00E045D9" w:rsidRPr="00D5464D">
        <w:rPr>
          <w:rFonts w:cs="Arial"/>
          <w:szCs w:val="20"/>
          <w:lang w:val="pt-BR"/>
        </w:rPr>
        <w:t xml:space="preserve"> na </w:t>
      </w:r>
      <w:r w:rsidR="00D809F0" w:rsidRPr="00D5464D">
        <w:rPr>
          <w:rFonts w:cs="Arial"/>
          <w:szCs w:val="20"/>
          <w:lang w:val="pt-BR"/>
        </w:rPr>
        <w:t>Fazenda</w:t>
      </w:r>
      <w:r w:rsidR="0003391C" w:rsidRPr="00D5464D">
        <w:rPr>
          <w:rFonts w:cs="Arial"/>
          <w:szCs w:val="20"/>
          <w:lang w:val="pt-BR"/>
        </w:rPr>
        <w:t xml:space="preserve"> Brasil Verde</w:t>
      </w:r>
      <w:r w:rsidR="0003391C" w:rsidRPr="00D5464D">
        <w:rPr>
          <w:rFonts w:cs="Times New Roman"/>
          <w:szCs w:val="20"/>
          <w:lang w:val="pt-BR"/>
        </w:rPr>
        <w:t xml:space="preserve">, </w:t>
      </w:r>
      <w:r w:rsidR="002C330E" w:rsidRPr="00D5464D">
        <w:rPr>
          <w:rFonts w:cs="Arial"/>
          <w:szCs w:val="20"/>
          <w:lang w:val="pt-BR"/>
        </w:rPr>
        <w:t>mas</w:t>
      </w:r>
      <w:r w:rsidR="0003391C" w:rsidRPr="00D5464D">
        <w:rPr>
          <w:rFonts w:cs="Arial"/>
          <w:szCs w:val="20"/>
          <w:lang w:val="pt-BR"/>
        </w:rPr>
        <w:t xml:space="preserve"> </w:t>
      </w:r>
      <w:r w:rsidR="00C91CB1" w:rsidRPr="00D5464D">
        <w:rPr>
          <w:rFonts w:cs="Arial"/>
          <w:szCs w:val="20"/>
          <w:lang w:val="pt-BR"/>
        </w:rPr>
        <w:t>corroborou</w:t>
      </w:r>
      <w:r w:rsidR="002C330E" w:rsidRPr="00D5464D">
        <w:rPr>
          <w:rFonts w:cs="Arial"/>
          <w:szCs w:val="20"/>
          <w:lang w:val="pt-BR"/>
        </w:rPr>
        <w:t xml:space="preserve"> a </w:t>
      </w:r>
      <w:r w:rsidR="00E045D9" w:rsidRPr="00D5464D">
        <w:rPr>
          <w:rFonts w:cs="Arial"/>
          <w:szCs w:val="20"/>
          <w:lang w:val="pt-BR"/>
        </w:rPr>
        <w:t>existência</w:t>
      </w:r>
      <w:r w:rsidR="0003391C" w:rsidRPr="00D5464D">
        <w:rPr>
          <w:rFonts w:cs="Arial"/>
          <w:szCs w:val="20"/>
          <w:lang w:val="pt-BR"/>
        </w:rPr>
        <w:t xml:space="preserve"> de</w:t>
      </w:r>
      <w:r w:rsidR="00A1358C" w:rsidRPr="00D5464D">
        <w:rPr>
          <w:rFonts w:cs="Arial"/>
          <w:szCs w:val="20"/>
          <w:lang w:val="pt-BR"/>
        </w:rPr>
        <w:t xml:space="preserve"> baixo</w:t>
      </w:r>
      <w:r w:rsidR="0003391C" w:rsidRPr="00D5464D">
        <w:rPr>
          <w:rFonts w:cs="Arial"/>
          <w:szCs w:val="20"/>
          <w:lang w:val="pt-BR"/>
        </w:rPr>
        <w:t xml:space="preserve">s </w:t>
      </w:r>
      <w:r w:rsidR="00E045D9" w:rsidRPr="00D5464D">
        <w:rPr>
          <w:rFonts w:cs="Arial"/>
          <w:szCs w:val="20"/>
          <w:lang w:val="pt-BR"/>
        </w:rPr>
        <w:t>salário</w:t>
      </w:r>
      <w:r w:rsidR="0003391C" w:rsidRPr="00D5464D">
        <w:rPr>
          <w:rFonts w:cs="Arial"/>
          <w:szCs w:val="20"/>
          <w:lang w:val="pt-BR"/>
        </w:rPr>
        <w:t>s e infr</w:t>
      </w:r>
      <w:r w:rsidR="00470ADC" w:rsidRPr="00D5464D">
        <w:rPr>
          <w:rFonts w:cs="Arial"/>
          <w:szCs w:val="20"/>
          <w:lang w:val="pt-BR"/>
        </w:rPr>
        <w:t xml:space="preserve">ações à </w:t>
      </w:r>
      <w:r w:rsidR="0003391C" w:rsidRPr="00D5464D">
        <w:rPr>
          <w:rFonts w:cs="Arial"/>
          <w:szCs w:val="20"/>
          <w:lang w:val="pt-BR"/>
        </w:rPr>
        <w:t>legisla</w:t>
      </w:r>
      <w:r w:rsidR="00470ADC" w:rsidRPr="00D5464D">
        <w:rPr>
          <w:rFonts w:cs="Arial"/>
          <w:szCs w:val="20"/>
          <w:lang w:val="pt-BR"/>
        </w:rPr>
        <w:t>ção</w:t>
      </w:r>
      <w:r w:rsidR="0003391C" w:rsidRPr="00D5464D">
        <w:rPr>
          <w:rFonts w:cs="Arial"/>
          <w:szCs w:val="20"/>
          <w:lang w:val="pt-BR"/>
        </w:rPr>
        <w:t xml:space="preserve"> </w:t>
      </w:r>
      <w:r w:rsidRPr="00D5464D">
        <w:rPr>
          <w:rFonts w:cs="Arial"/>
          <w:szCs w:val="20"/>
          <w:lang w:val="pt-BR"/>
        </w:rPr>
        <w:t>trabalhista</w:t>
      </w:r>
      <w:r w:rsidR="0003391C" w:rsidRPr="00D5464D">
        <w:rPr>
          <w:rFonts w:cs="Arial"/>
          <w:szCs w:val="20"/>
          <w:lang w:val="pt-BR"/>
        </w:rPr>
        <w:t xml:space="preserve">, </w:t>
      </w:r>
      <w:r w:rsidRPr="00D5464D">
        <w:rPr>
          <w:rFonts w:cs="Arial"/>
          <w:szCs w:val="20"/>
          <w:lang w:val="pt-BR"/>
        </w:rPr>
        <w:t xml:space="preserve">após </w:t>
      </w:r>
      <w:r w:rsidR="002C330E" w:rsidRPr="00D5464D">
        <w:rPr>
          <w:rFonts w:cs="Arial"/>
          <w:szCs w:val="20"/>
          <w:lang w:val="pt-BR"/>
        </w:rPr>
        <w:t>ter</w:t>
      </w:r>
      <w:r w:rsidR="0003391C" w:rsidRPr="00D5464D">
        <w:rPr>
          <w:rFonts w:cs="Arial"/>
          <w:szCs w:val="20"/>
          <w:lang w:val="pt-BR"/>
        </w:rPr>
        <w:t xml:space="preserve"> entrevistado 51 </w:t>
      </w:r>
      <w:r w:rsidR="00E045D9" w:rsidRPr="00D5464D">
        <w:rPr>
          <w:rFonts w:cs="Arial"/>
          <w:szCs w:val="20"/>
          <w:lang w:val="pt-BR"/>
        </w:rPr>
        <w:t>trabalhadores</w:t>
      </w:r>
      <w:r w:rsidR="0003391C" w:rsidRPr="00D5464D">
        <w:rPr>
          <w:rFonts w:cs="Times New Roman"/>
          <w:szCs w:val="20"/>
          <w:lang w:val="pt-BR"/>
        </w:rPr>
        <w:t xml:space="preserve">. </w:t>
      </w:r>
      <w:r w:rsidR="00470ADC" w:rsidRPr="00D5464D">
        <w:rPr>
          <w:rFonts w:cs="Arial"/>
          <w:szCs w:val="20"/>
          <w:lang w:val="pt-BR"/>
        </w:rPr>
        <w:t>Ademais</w:t>
      </w:r>
      <w:r w:rsidR="0003391C" w:rsidRPr="00D5464D">
        <w:rPr>
          <w:rFonts w:cs="Arial"/>
          <w:szCs w:val="20"/>
          <w:lang w:val="pt-BR"/>
        </w:rPr>
        <w:t>,</w:t>
      </w:r>
      <w:r w:rsidR="00470ADC" w:rsidRPr="00D5464D">
        <w:rPr>
          <w:rFonts w:cs="Arial"/>
          <w:szCs w:val="20"/>
          <w:lang w:val="pt-BR"/>
        </w:rPr>
        <w:t xml:space="preserve"> o</w:t>
      </w:r>
      <w:r w:rsidR="002C330E" w:rsidRPr="00D5464D">
        <w:rPr>
          <w:rFonts w:cs="Arial"/>
          <w:szCs w:val="20"/>
          <w:lang w:val="pt-BR"/>
        </w:rPr>
        <w:t xml:space="preserve"> </w:t>
      </w:r>
      <w:r w:rsidR="00350187" w:rsidRPr="00D5464D">
        <w:rPr>
          <w:rFonts w:cs="Arial"/>
          <w:szCs w:val="20"/>
          <w:lang w:val="pt-BR"/>
        </w:rPr>
        <w:t>relatório</w:t>
      </w:r>
      <w:r w:rsidR="002C330E" w:rsidRPr="00D5464D">
        <w:rPr>
          <w:rFonts w:cs="Arial"/>
          <w:szCs w:val="20"/>
          <w:lang w:val="pt-BR"/>
        </w:rPr>
        <w:t xml:space="preserve"> </w:t>
      </w:r>
      <w:r w:rsidR="00470ADC" w:rsidRPr="00D5464D">
        <w:rPr>
          <w:rFonts w:cs="Arial"/>
          <w:szCs w:val="20"/>
          <w:lang w:val="pt-BR"/>
        </w:rPr>
        <w:t>destacou</w:t>
      </w:r>
      <w:r w:rsidR="0003391C" w:rsidRPr="00D5464D">
        <w:rPr>
          <w:rFonts w:cs="Arial"/>
          <w:szCs w:val="20"/>
          <w:lang w:val="pt-BR"/>
        </w:rPr>
        <w:t xml:space="preserve"> que</w:t>
      </w:r>
      <w:r w:rsidR="002C330E" w:rsidRPr="00D5464D">
        <w:rPr>
          <w:rFonts w:cs="Arial"/>
          <w:szCs w:val="20"/>
          <w:lang w:val="pt-BR"/>
        </w:rPr>
        <w:t xml:space="preserve"> os </w:t>
      </w:r>
      <w:r w:rsidR="00E045D9" w:rsidRPr="00D5464D">
        <w:rPr>
          <w:rFonts w:cs="Arial"/>
          <w:iCs/>
          <w:szCs w:val="20"/>
          <w:lang w:val="pt-BR"/>
        </w:rPr>
        <w:t>trabalhadores</w:t>
      </w:r>
      <w:r w:rsidR="0003391C" w:rsidRPr="00D5464D">
        <w:rPr>
          <w:rFonts w:cs="Arial"/>
          <w:i/>
          <w:iCs/>
          <w:szCs w:val="20"/>
          <w:lang w:val="pt-BR"/>
        </w:rPr>
        <w:t xml:space="preserve"> </w:t>
      </w:r>
      <w:r w:rsidR="00737270" w:rsidRPr="00D5464D">
        <w:rPr>
          <w:rFonts w:cs="Arial"/>
          <w:szCs w:val="20"/>
          <w:lang w:val="pt-BR"/>
        </w:rPr>
        <w:t>informaram</w:t>
      </w:r>
      <w:r w:rsidR="0003391C" w:rsidRPr="00D5464D">
        <w:rPr>
          <w:rFonts w:cs="Arial"/>
          <w:szCs w:val="20"/>
          <w:lang w:val="pt-BR"/>
        </w:rPr>
        <w:t xml:space="preserve"> que lron Canuto</w:t>
      </w:r>
      <w:r w:rsidR="00E045D9" w:rsidRPr="00D5464D">
        <w:rPr>
          <w:rFonts w:cs="Arial"/>
          <w:szCs w:val="20"/>
          <w:lang w:val="pt-BR"/>
        </w:rPr>
        <w:t xml:space="preserve"> e </w:t>
      </w:r>
      <w:r w:rsidR="00200C04" w:rsidRPr="00D5464D">
        <w:rPr>
          <w:rFonts w:cs="Arial"/>
          <w:szCs w:val="20"/>
          <w:lang w:val="pt-BR"/>
        </w:rPr>
        <w:t>Luis Ferreira da Cruz</w:t>
      </w:r>
      <w:r w:rsidR="00737270" w:rsidRPr="00D5464D">
        <w:rPr>
          <w:rFonts w:cs="Arial"/>
          <w:szCs w:val="20"/>
          <w:lang w:val="pt-BR"/>
        </w:rPr>
        <w:t xml:space="preserve"> haviam </w:t>
      </w:r>
      <w:r w:rsidRPr="00D5464D">
        <w:rPr>
          <w:rFonts w:cs="Arial"/>
          <w:szCs w:val="20"/>
          <w:lang w:val="pt-BR"/>
        </w:rPr>
        <w:t>fugido para a</w:t>
      </w:r>
      <w:r w:rsidR="00470ADC" w:rsidRPr="00D5464D">
        <w:rPr>
          <w:rFonts w:cs="Arial"/>
          <w:szCs w:val="20"/>
          <w:lang w:val="pt-BR"/>
        </w:rPr>
        <w:t xml:space="preserve"> </w:t>
      </w:r>
      <w:r w:rsidR="00D809F0" w:rsidRPr="00D5464D">
        <w:rPr>
          <w:rFonts w:cs="Arial"/>
          <w:iCs/>
          <w:szCs w:val="20"/>
          <w:lang w:val="pt-BR"/>
        </w:rPr>
        <w:t>Fazenda</w:t>
      </w:r>
      <w:r w:rsidR="0003391C" w:rsidRPr="00D5464D">
        <w:rPr>
          <w:rFonts w:cs="Arial"/>
          <w:iCs/>
          <w:szCs w:val="20"/>
          <w:lang w:val="pt-BR"/>
        </w:rPr>
        <w:t xml:space="preserve"> Belém </w:t>
      </w:r>
      <w:r w:rsidR="003771CF" w:rsidRPr="00D5464D">
        <w:rPr>
          <w:rFonts w:cs="Arial"/>
          <w:iCs/>
          <w:szCs w:val="20"/>
          <w:lang w:val="pt-BR"/>
        </w:rPr>
        <w:t xml:space="preserve">e </w:t>
      </w:r>
      <w:r w:rsidR="002C330E" w:rsidRPr="00D5464D">
        <w:rPr>
          <w:rFonts w:cs="Arial"/>
          <w:iCs/>
          <w:szCs w:val="20"/>
          <w:lang w:val="pt-BR"/>
        </w:rPr>
        <w:t>indicaram</w:t>
      </w:r>
      <w:r w:rsidR="003771CF" w:rsidRPr="00D5464D">
        <w:rPr>
          <w:rFonts w:cs="Arial"/>
          <w:iCs/>
          <w:szCs w:val="20"/>
          <w:lang w:val="pt-BR"/>
        </w:rPr>
        <w:t xml:space="preserve"> </w:t>
      </w:r>
      <w:r w:rsidR="0003391C" w:rsidRPr="00D5464D">
        <w:rPr>
          <w:rFonts w:cs="Arial"/>
          <w:iCs/>
          <w:szCs w:val="20"/>
          <w:lang w:val="pt-BR"/>
        </w:rPr>
        <w:t>que era normal que</w:t>
      </w:r>
      <w:r w:rsidR="002C330E" w:rsidRPr="00D5464D">
        <w:rPr>
          <w:rFonts w:cs="Arial"/>
          <w:iCs/>
          <w:szCs w:val="20"/>
          <w:lang w:val="pt-BR"/>
        </w:rPr>
        <w:t xml:space="preserve"> os </w:t>
      </w:r>
      <w:r w:rsidR="00E045D9" w:rsidRPr="00D5464D">
        <w:rPr>
          <w:rFonts w:cs="Arial"/>
          <w:iCs/>
          <w:szCs w:val="20"/>
          <w:lang w:val="pt-BR"/>
        </w:rPr>
        <w:t>trabalhadores</w:t>
      </w:r>
      <w:r w:rsidR="0003391C" w:rsidRPr="00D5464D">
        <w:rPr>
          <w:rFonts w:cs="Arial"/>
          <w:iCs/>
          <w:szCs w:val="20"/>
          <w:lang w:val="pt-BR"/>
        </w:rPr>
        <w:t xml:space="preserve"> </w:t>
      </w:r>
      <w:r w:rsidRPr="00D5464D">
        <w:rPr>
          <w:rFonts w:cs="Arial"/>
          <w:iCs/>
          <w:szCs w:val="20"/>
          <w:lang w:val="pt-BR"/>
        </w:rPr>
        <w:t xml:space="preserve">fugissem </w:t>
      </w:r>
      <w:r w:rsidR="00470ADC" w:rsidRPr="00D5464D">
        <w:rPr>
          <w:rFonts w:cs="Arial"/>
          <w:szCs w:val="20"/>
          <w:lang w:val="pt-BR"/>
        </w:rPr>
        <w:t>devido</w:t>
      </w:r>
      <w:r w:rsidR="00E045D9" w:rsidRPr="00D5464D">
        <w:rPr>
          <w:rFonts w:cs="Arial"/>
          <w:szCs w:val="20"/>
          <w:lang w:val="pt-BR"/>
        </w:rPr>
        <w:t xml:space="preserve"> às </w:t>
      </w:r>
      <w:r w:rsidR="00470ADC" w:rsidRPr="00D5464D">
        <w:rPr>
          <w:rFonts w:cs="Arial"/>
          <w:szCs w:val="20"/>
          <w:lang w:val="pt-BR"/>
        </w:rPr>
        <w:t>dívida</w:t>
      </w:r>
      <w:r w:rsidR="0003391C" w:rsidRPr="00D5464D">
        <w:rPr>
          <w:rFonts w:cs="Arial"/>
          <w:szCs w:val="20"/>
          <w:lang w:val="pt-BR"/>
        </w:rPr>
        <w:t>s contraídas</w:t>
      </w:r>
      <w:r w:rsidR="00E045D9" w:rsidRPr="00D5464D">
        <w:rPr>
          <w:rFonts w:cs="Arial"/>
          <w:szCs w:val="20"/>
          <w:lang w:val="pt-BR"/>
        </w:rPr>
        <w:t xml:space="preserve"> na </w:t>
      </w:r>
      <w:r w:rsidR="00D809F0" w:rsidRPr="00D5464D">
        <w:rPr>
          <w:rFonts w:cs="Arial"/>
          <w:iCs/>
          <w:szCs w:val="20"/>
          <w:lang w:val="pt-BR"/>
        </w:rPr>
        <w:t>Fazenda</w:t>
      </w:r>
      <w:r w:rsidR="0003391C" w:rsidRPr="00D5464D">
        <w:rPr>
          <w:rFonts w:cs="Arial"/>
          <w:iCs/>
          <w:szCs w:val="20"/>
          <w:lang w:val="pt-BR"/>
        </w:rPr>
        <w:t xml:space="preserve"> Brasil Verde</w:t>
      </w:r>
      <w:r w:rsidRPr="00D5464D">
        <w:rPr>
          <w:rFonts w:cs="Arial"/>
          <w:iCs/>
          <w:szCs w:val="20"/>
          <w:lang w:val="pt-BR"/>
        </w:rPr>
        <w:t>.</w:t>
      </w:r>
      <w:r w:rsidR="0003391C" w:rsidRPr="00D5464D">
        <w:rPr>
          <w:rStyle w:val="Refdenotaalpie"/>
          <w:rFonts w:cs="Arial"/>
          <w:lang w:val="pt-BR"/>
        </w:rPr>
        <w:footnoteReference w:id="114"/>
      </w:r>
      <w:r w:rsidR="0003391C" w:rsidRPr="00D5464D">
        <w:rPr>
          <w:rFonts w:cs="Arial"/>
          <w:szCs w:val="20"/>
          <w:lang w:val="pt-BR"/>
        </w:rPr>
        <w:t xml:space="preserve"> N</w:t>
      </w:r>
      <w:r w:rsidRPr="00D5464D">
        <w:rPr>
          <w:rFonts w:cs="Arial"/>
          <w:szCs w:val="20"/>
          <w:lang w:val="pt-BR"/>
        </w:rPr>
        <w:t>ã</w:t>
      </w:r>
      <w:r w:rsidR="0003391C" w:rsidRPr="00D5464D">
        <w:rPr>
          <w:rFonts w:cs="Arial"/>
          <w:szCs w:val="20"/>
          <w:lang w:val="pt-BR"/>
        </w:rPr>
        <w:t xml:space="preserve">o </w:t>
      </w:r>
      <w:r w:rsidR="002C330E" w:rsidRPr="00D5464D">
        <w:rPr>
          <w:rFonts w:cs="Arial"/>
          <w:szCs w:val="20"/>
          <w:lang w:val="pt-BR"/>
        </w:rPr>
        <w:t xml:space="preserve">há </w:t>
      </w:r>
      <w:r w:rsidR="00311C6D" w:rsidRPr="00D5464D">
        <w:rPr>
          <w:rFonts w:cs="Arial"/>
          <w:szCs w:val="20"/>
          <w:lang w:val="pt-BR"/>
        </w:rPr>
        <w:t>registro</w:t>
      </w:r>
      <w:r w:rsidR="00E045D9" w:rsidRPr="00D5464D">
        <w:rPr>
          <w:rFonts w:cs="Arial"/>
          <w:szCs w:val="20"/>
          <w:lang w:val="pt-BR"/>
        </w:rPr>
        <w:t xml:space="preserve"> no</w:t>
      </w:r>
      <w:r w:rsidRPr="00D5464D">
        <w:rPr>
          <w:rFonts w:cs="Arial"/>
          <w:szCs w:val="20"/>
          <w:lang w:val="pt-BR"/>
        </w:rPr>
        <w:t xml:space="preserve">s autos </w:t>
      </w:r>
      <w:r w:rsidR="0003391C" w:rsidRPr="00D5464D">
        <w:rPr>
          <w:rFonts w:cs="Arial"/>
          <w:szCs w:val="20"/>
          <w:lang w:val="pt-BR"/>
        </w:rPr>
        <w:t xml:space="preserve">de que </w:t>
      </w:r>
      <w:r w:rsidR="00E045D9" w:rsidRPr="00D5464D">
        <w:rPr>
          <w:rFonts w:cs="Arial"/>
          <w:szCs w:val="20"/>
          <w:lang w:val="pt-BR"/>
        </w:rPr>
        <w:t xml:space="preserve">tenha </w:t>
      </w:r>
      <w:r w:rsidRPr="00D5464D">
        <w:rPr>
          <w:rFonts w:cs="Arial"/>
          <w:szCs w:val="20"/>
          <w:lang w:val="pt-BR"/>
        </w:rPr>
        <w:t xml:space="preserve">sido feita </w:t>
      </w:r>
      <w:r w:rsidR="00E045D9" w:rsidRPr="00D5464D">
        <w:rPr>
          <w:rFonts w:cs="Arial"/>
          <w:szCs w:val="20"/>
          <w:lang w:val="pt-BR"/>
        </w:rPr>
        <w:t xml:space="preserve">uma </w:t>
      </w:r>
      <w:r w:rsidR="0003391C" w:rsidRPr="00D5464D">
        <w:rPr>
          <w:rFonts w:cs="Arial"/>
          <w:szCs w:val="20"/>
          <w:lang w:val="pt-BR"/>
        </w:rPr>
        <w:t>lista</w:t>
      </w:r>
      <w:r w:rsidR="00470ADC" w:rsidRPr="00D5464D">
        <w:rPr>
          <w:rFonts w:cs="Arial"/>
          <w:szCs w:val="20"/>
          <w:lang w:val="pt-BR"/>
        </w:rPr>
        <w:t xml:space="preserve"> com o </w:t>
      </w:r>
      <w:r w:rsidR="002C330E" w:rsidRPr="00D5464D">
        <w:rPr>
          <w:rFonts w:cs="Arial"/>
          <w:szCs w:val="20"/>
          <w:lang w:val="pt-BR"/>
        </w:rPr>
        <w:t>nome</w:t>
      </w:r>
      <w:r w:rsidR="00470ADC" w:rsidRPr="00D5464D">
        <w:rPr>
          <w:rFonts w:cs="Arial"/>
          <w:szCs w:val="20"/>
          <w:lang w:val="pt-BR"/>
        </w:rPr>
        <w:t xml:space="preserve"> dos </w:t>
      </w:r>
      <w:r w:rsidR="00E045D9" w:rsidRPr="00D5464D">
        <w:rPr>
          <w:rFonts w:cs="Arial"/>
          <w:szCs w:val="20"/>
          <w:lang w:val="pt-BR"/>
        </w:rPr>
        <w:t>trabalhadores</w:t>
      </w:r>
      <w:r w:rsidR="0003391C" w:rsidRPr="00D5464D">
        <w:rPr>
          <w:rFonts w:cs="Arial"/>
          <w:szCs w:val="20"/>
          <w:lang w:val="pt-BR"/>
        </w:rPr>
        <w:t xml:space="preserve"> que se </w:t>
      </w:r>
      <w:r w:rsidR="00470ADC" w:rsidRPr="00D5464D">
        <w:rPr>
          <w:rFonts w:cs="Arial"/>
          <w:szCs w:val="20"/>
          <w:lang w:val="pt-BR"/>
        </w:rPr>
        <w:t xml:space="preserve">encontravam </w:t>
      </w:r>
      <w:r w:rsidRPr="00D5464D">
        <w:rPr>
          <w:rFonts w:cs="Arial"/>
          <w:szCs w:val="20"/>
          <w:lang w:val="pt-BR"/>
        </w:rPr>
        <w:t>n</w:t>
      </w:r>
      <w:r w:rsidR="00470ADC" w:rsidRPr="00D5464D">
        <w:rPr>
          <w:rFonts w:cs="Arial"/>
          <w:szCs w:val="20"/>
          <w:lang w:val="pt-BR"/>
        </w:rPr>
        <w:t xml:space="preserve">o </w:t>
      </w:r>
      <w:r w:rsidR="0003391C" w:rsidRPr="00D5464D">
        <w:rPr>
          <w:rFonts w:cs="Arial"/>
          <w:szCs w:val="20"/>
          <w:lang w:val="pt-BR"/>
        </w:rPr>
        <w:t>momento</w:t>
      </w:r>
      <w:r w:rsidR="00470ADC" w:rsidRPr="00D5464D">
        <w:rPr>
          <w:rFonts w:cs="Arial"/>
          <w:szCs w:val="20"/>
          <w:lang w:val="pt-BR"/>
        </w:rPr>
        <w:t xml:space="preserve"> da </w:t>
      </w:r>
      <w:r w:rsidR="0003391C" w:rsidRPr="00D5464D">
        <w:rPr>
          <w:rFonts w:cs="Arial"/>
          <w:szCs w:val="20"/>
          <w:lang w:val="pt-BR"/>
        </w:rPr>
        <w:t xml:space="preserve">visita. </w:t>
      </w:r>
    </w:p>
    <w:p w14:paraId="2D751804" w14:textId="0327A079" w:rsidR="0003391C" w:rsidRPr="00D5464D" w:rsidRDefault="00470ADC" w:rsidP="008622F3">
      <w:pPr>
        <w:pStyle w:val="Ttulo3"/>
        <w:rPr>
          <w:lang w:val="pt-BR"/>
        </w:rPr>
      </w:pPr>
      <w:r w:rsidRPr="00D5464D">
        <w:rPr>
          <w:rFonts w:cs="Arial"/>
          <w:szCs w:val="20"/>
          <w:lang w:val="pt-BR"/>
        </w:rPr>
        <w:cr/>
      </w:r>
      <w:bookmarkStart w:id="280" w:name="_Toc468433893"/>
      <w:r w:rsidRPr="00D5464D">
        <w:rPr>
          <w:rFonts w:cs="Arial"/>
          <w:b w:val="0"/>
          <w:szCs w:val="20"/>
          <w:lang w:val="pt-BR"/>
        </w:rPr>
        <w:t xml:space="preserve">A </w:t>
      </w:r>
      <w:bookmarkStart w:id="281" w:name="_Toc460433007"/>
      <w:bookmarkStart w:id="282" w:name="_Toc460441938"/>
      <w:bookmarkStart w:id="283" w:name="_Toc462750756"/>
      <w:bookmarkStart w:id="284" w:name="_Toc462751080"/>
      <w:bookmarkStart w:id="285" w:name="_Toc464813932"/>
      <w:r w:rsidRPr="00D5464D">
        <w:rPr>
          <w:b w:val="0"/>
          <w:lang w:val="pt-BR"/>
        </w:rPr>
        <w:t>denúncia</w:t>
      </w:r>
      <w:r w:rsidR="00E045D9" w:rsidRPr="00D5464D">
        <w:rPr>
          <w:b w:val="0"/>
          <w:lang w:val="pt-BR"/>
        </w:rPr>
        <w:t xml:space="preserve"> e </w:t>
      </w:r>
      <w:r w:rsidRPr="00D5464D">
        <w:rPr>
          <w:b w:val="0"/>
          <w:lang w:val="pt-BR"/>
        </w:rPr>
        <w:t xml:space="preserve">atuações em </w:t>
      </w:r>
      <w:r w:rsidR="0003391C" w:rsidRPr="00D5464D">
        <w:rPr>
          <w:b w:val="0"/>
          <w:lang w:val="pt-BR"/>
        </w:rPr>
        <w:t>1992</w:t>
      </w:r>
      <w:bookmarkEnd w:id="280"/>
      <w:bookmarkEnd w:id="281"/>
      <w:bookmarkEnd w:id="282"/>
      <w:bookmarkEnd w:id="283"/>
      <w:bookmarkEnd w:id="284"/>
      <w:bookmarkEnd w:id="285"/>
    </w:p>
    <w:p w14:paraId="19356679" w14:textId="77777777" w:rsidR="00D65024" w:rsidRPr="00D5464D" w:rsidRDefault="00D65024" w:rsidP="00D65024">
      <w:pPr>
        <w:pStyle w:val="Prrafodelista"/>
        <w:autoSpaceDE w:val="0"/>
        <w:autoSpaceDN w:val="0"/>
        <w:adjustRightInd w:val="0"/>
        <w:ind w:left="0"/>
        <w:contextualSpacing w:val="0"/>
        <w:rPr>
          <w:rFonts w:cs="Arial"/>
          <w:szCs w:val="20"/>
          <w:lang w:val="pt-BR"/>
        </w:rPr>
      </w:pPr>
    </w:p>
    <w:p w14:paraId="7958B20E" w14:textId="4620A5DD" w:rsidR="0003391C" w:rsidRPr="00D5464D" w:rsidRDefault="00C91CB1" w:rsidP="00140440">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Em 1</w:t>
      </w:r>
      <w:r w:rsidR="0003391C" w:rsidRPr="00D5464D">
        <w:rPr>
          <w:rFonts w:cs="Arial"/>
          <w:szCs w:val="20"/>
          <w:lang w:val="pt-BR"/>
        </w:rPr>
        <w:t xml:space="preserve">8 de </w:t>
      </w:r>
      <w:r w:rsidR="002C330E" w:rsidRPr="00D5464D">
        <w:rPr>
          <w:rFonts w:cs="Arial"/>
          <w:szCs w:val="20"/>
          <w:lang w:val="pt-BR"/>
        </w:rPr>
        <w:t>março</w:t>
      </w:r>
      <w:r w:rsidR="0003391C" w:rsidRPr="00D5464D">
        <w:rPr>
          <w:rFonts w:cs="Arial"/>
          <w:szCs w:val="20"/>
          <w:lang w:val="pt-BR"/>
        </w:rPr>
        <w:t xml:space="preserve"> de 1992</w:t>
      </w:r>
      <w:r w:rsidR="00996473" w:rsidRPr="00D5464D">
        <w:rPr>
          <w:rFonts w:cs="Arial"/>
          <w:szCs w:val="20"/>
          <w:lang w:val="pt-BR"/>
        </w:rPr>
        <w:t>,</w:t>
      </w:r>
      <w:r w:rsidR="002C330E" w:rsidRPr="00D5464D">
        <w:rPr>
          <w:rFonts w:cs="Arial"/>
          <w:szCs w:val="20"/>
          <w:lang w:val="pt-BR"/>
        </w:rPr>
        <w:t xml:space="preserve"> a </w:t>
      </w:r>
      <w:r w:rsidR="0003391C" w:rsidRPr="00D5464D">
        <w:rPr>
          <w:rFonts w:cs="Arial"/>
          <w:szCs w:val="20"/>
          <w:lang w:val="pt-BR"/>
        </w:rPr>
        <w:t xml:space="preserve">CPT </w:t>
      </w:r>
      <w:r w:rsidR="00737270" w:rsidRPr="00D5464D">
        <w:rPr>
          <w:rFonts w:cs="Arial"/>
          <w:szCs w:val="20"/>
          <w:lang w:val="pt-BR"/>
        </w:rPr>
        <w:t>enviou</w:t>
      </w:r>
      <w:r w:rsidR="00E045D9" w:rsidRPr="00D5464D">
        <w:rPr>
          <w:rFonts w:cs="Arial"/>
          <w:szCs w:val="20"/>
          <w:lang w:val="pt-BR"/>
        </w:rPr>
        <w:t xml:space="preserve"> um </w:t>
      </w:r>
      <w:r w:rsidR="002C330E" w:rsidRPr="00D5464D">
        <w:rPr>
          <w:rFonts w:cs="Arial"/>
          <w:szCs w:val="20"/>
          <w:lang w:val="pt-BR"/>
        </w:rPr>
        <w:t xml:space="preserve">ofício </w:t>
      </w:r>
      <w:r w:rsidR="00470ADC" w:rsidRPr="00D5464D">
        <w:rPr>
          <w:rFonts w:cs="Arial"/>
          <w:szCs w:val="20"/>
          <w:lang w:val="pt-BR"/>
        </w:rPr>
        <w:t xml:space="preserve">à </w:t>
      </w:r>
      <w:r w:rsidR="00EB1CE9" w:rsidRPr="00D5464D">
        <w:rPr>
          <w:rFonts w:cs="Arial"/>
          <w:szCs w:val="20"/>
          <w:lang w:val="pt-BR"/>
        </w:rPr>
        <w:t>Procuradoria</w:t>
      </w:r>
      <w:r w:rsidR="0003391C" w:rsidRPr="00D5464D">
        <w:rPr>
          <w:rFonts w:cs="Arial"/>
          <w:szCs w:val="20"/>
          <w:lang w:val="pt-BR"/>
        </w:rPr>
        <w:t xml:space="preserve"> </w:t>
      </w:r>
      <w:r w:rsidR="002C330E" w:rsidRPr="00D5464D">
        <w:rPr>
          <w:rFonts w:cs="Arial"/>
          <w:szCs w:val="20"/>
          <w:lang w:val="pt-BR"/>
        </w:rPr>
        <w:t>Geral</w:t>
      </w:r>
      <w:r w:rsidR="00470ADC" w:rsidRPr="00D5464D">
        <w:rPr>
          <w:rFonts w:cs="Arial"/>
          <w:szCs w:val="20"/>
          <w:lang w:val="pt-BR"/>
        </w:rPr>
        <w:t xml:space="preserve"> da </w:t>
      </w:r>
      <w:r w:rsidR="0003391C" w:rsidRPr="00D5464D">
        <w:rPr>
          <w:rFonts w:cs="Arial"/>
          <w:szCs w:val="20"/>
          <w:lang w:val="pt-BR"/>
        </w:rPr>
        <w:t>República (</w:t>
      </w:r>
      <w:r w:rsidR="00350187" w:rsidRPr="00D5464D">
        <w:rPr>
          <w:rFonts w:cs="Arial"/>
          <w:szCs w:val="20"/>
          <w:lang w:val="pt-BR"/>
        </w:rPr>
        <w:t>doravante denominad</w:t>
      </w:r>
      <w:r w:rsidR="00996473" w:rsidRPr="00D5464D">
        <w:rPr>
          <w:rFonts w:cs="Arial"/>
          <w:szCs w:val="20"/>
          <w:lang w:val="pt-BR"/>
        </w:rPr>
        <w:t>a</w:t>
      </w:r>
      <w:r w:rsidR="0003391C" w:rsidRPr="00D5464D">
        <w:rPr>
          <w:rFonts w:cs="Arial"/>
          <w:szCs w:val="20"/>
          <w:lang w:val="pt-BR"/>
        </w:rPr>
        <w:t xml:space="preserve"> "PGR"), </w:t>
      </w:r>
      <w:r w:rsidR="00996473" w:rsidRPr="00D5464D">
        <w:rPr>
          <w:rFonts w:cs="Arial"/>
          <w:szCs w:val="20"/>
          <w:lang w:val="pt-BR"/>
        </w:rPr>
        <w:t>a</w:t>
      </w:r>
      <w:r w:rsidR="0003391C" w:rsidRPr="00D5464D">
        <w:rPr>
          <w:rFonts w:cs="Arial"/>
          <w:szCs w:val="20"/>
          <w:lang w:val="pt-BR"/>
        </w:rPr>
        <w:t>present</w:t>
      </w:r>
      <w:r w:rsidR="00996473" w:rsidRPr="00D5464D">
        <w:rPr>
          <w:rFonts w:cs="Arial"/>
          <w:szCs w:val="20"/>
          <w:lang w:val="pt-BR"/>
        </w:rPr>
        <w:t>a</w:t>
      </w:r>
      <w:r w:rsidR="0003391C" w:rsidRPr="00D5464D">
        <w:rPr>
          <w:rFonts w:cs="Arial"/>
          <w:szCs w:val="20"/>
          <w:lang w:val="pt-BR"/>
        </w:rPr>
        <w:t>ndo</w:t>
      </w:r>
      <w:r w:rsidR="002C330E" w:rsidRPr="00D5464D">
        <w:rPr>
          <w:rFonts w:cs="Arial"/>
          <w:szCs w:val="20"/>
          <w:lang w:val="pt-BR"/>
        </w:rPr>
        <w:t xml:space="preserve"> as </w:t>
      </w:r>
      <w:r w:rsidR="00470ADC" w:rsidRPr="00D5464D">
        <w:rPr>
          <w:rFonts w:cs="Arial"/>
          <w:szCs w:val="20"/>
          <w:lang w:val="pt-BR"/>
        </w:rPr>
        <w:t xml:space="preserve">denúncias </w:t>
      </w:r>
      <w:r w:rsidRPr="00D5464D">
        <w:rPr>
          <w:rFonts w:cs="Arial"/>
          <w:szCs w:val="20"/>
          <w:lang w:val="pt-BR"/>
        </w:rPr>
        <w:t>feitas</w:t>
      </w:r>
      <w:r w:rsidR="00470ADC" w:rsidRPr="00D5464D">
        <w:rPr>
          <w:rFonts w:cs="Arial"/>
          <w:szCs w:val="20"/>
          <w:lang w:val="pt-BR"/>
        </w:rPr>
        <w:t xml:space="preserve"> perante a </w:t>
      </w:r>
      <w:r w:rsidRPr="00D5464D">
        <w:rPr>
          <w:rFonts w:cs="Arial"/>
          <w:szCs w:val="20"/>
          <w:lang w:val="pt-BR"/>
        </w:rPr>
        <w:t xml:space="preserve">Polícia </w:t>
      </w:r>
      <w:r w:rsidR="0003391C" w:rsidRPr="00D5464D">
        <w:rPr>
          <w:rFonts w:cs="Arial"/>
          <w:szCs w:val="20"/>
          <w:lang w:val="pt-BR"/>
        </w:rPr>
        <w:t>Federal</w:t>
      </w:r>
      <w:r w:rsidR="00470ADC" w:rsidRPr="00D5464D">
        <w:rPr>
          <w:rFonts w:cs="Arial"/>
          <w:szCs w:val="20"/>
          <w:lang w:val="pt-BR"/>
        </w:rPr>
        <w:t xml:space="preserve"> em dezembro</w:t>
      </w:r>
      <w:r w:rsidR="0003391C" w:rsidRPr="00D5464D">
        <w:rPr>
          <w:rFonts w:cs="Arial"/>
          <w:szCs w:val="20"/>
          <w:lang w:val="pt-BR"/>
        </w:rPr>
        <w:t xml:space="preserve"> de 1988</w:t>
      </w:r>
      <w:r w:rsidR="00E045D9" w:rsidRPr="00D5464D">
        <w:rPr>
          <w:rFonts w:cs="Arial"/>
          <w:szCs w:val="20"/>
          <w:lang w:val="pt-BR"/>
        </w:rPr>
        <w:t xml:space="preserve"> e </w:t>
      </w:r>
      <w:r w:rsidR="00996473" w:rsidRPr="00D5464D">
        <w:rPr>
          <w:rFonts w:cs="Arial"/>
          <w:szCs w:val="20"/>
          <w:lang w:val="pt-BR"/>
        </w:rPr>
        <w:t>per</w:t>
      </w:r>
      <w:r w:rsidR="0003391C" w:rsidRPr="00D5464D">
        <w:rPr>
          <w:rFonts w:cs="Arial"/>
          <w:szCs w:val="20"/>
          <w:lang w:val="pt-BR"/>
        </w:rPr>
        <w:t>ante</w:t>
      </w:r>
      <w:r w:rsidR="00470ADC" w:rsidRPr="00D5464D">
        <w:rPr>
          <w:rFonts w:cs="Arial"/>
          <w:szCs w:val="20"/>
          <w:lang w:val="pt-BR"/>
        </w:rPr>
        <w:t xml:space="preserve"> o Conselho</w:t>
      </w:r>
      <w:r w:rsidR="0003391C" w:rsidRPr="00D5464D">
        <w:rPr>
          <w:rFonts w:cs="Arial"/>
          <w:szCs w:val="20"/>
          <w:lang w:val="pt-BR"/>
        </w:rPr>
        <w:t xml:space="preserve"> de </w:t>
      </w:r>
      <w:r w:rsidR="00470ADC" w:rsidRPr="00D5464D">
        <w:rPr>
          <w:rFonts w:cs="Arial"/>
          <w:szCs w:val="20"/>
          <w:lang w:val="pt-BR"/>
        </w:rPr>
        <w:t>Defesa dos Direito</w:t>
      </w:r>
      <w:r w:rsidR="0003391C" w:rsidRPr="00D5464D">
        <w:rPr>
          <w:rFonts w:cs="Arial"/>
          <w:szCs w:val="20"/>
          <w:lang w:val="pt-BR"/>
        </w:rPr>
        <w:t>s</w:t>
      </w:r>
      <w:r w:rsidR="00470ADC" w:rsidRPr="00D5464D">
        <w:rPr>
          <w:rFonts w:cs="Arial"/>
          <w:szCs w:val="20"/>
          <w:lang w:val="pt-BR"/>
        </w:rPr>
        <w:t xml:space="preserve"> da </w:t>
      </w:r>
      <w:r w:rsidR="002C330E" w:rsidRPr="00D5464D">
        <w:rPr>
          <w:rFonts w:cs="Arial"/>
          <w:szCs w:val="20"/>
          <w:lang w:val="pt-BR"/>
        </w:rPr>
        <w:t>Pessoa</w:t>
      </w:r>
      <w:r w:rsidR="0003391C" w:rsidRPr="00D5464D">
        <w:rPr>
          <w:rFonts w:cs="Arial"/>
          <w:szCs w:val="20"/>
          <w:lang w:val="pt-BR"/>
        </w:rPr>
        <w:t xml:space="preserve"> Humana</w:t>
      </w:r>
      <w:r w:rsidR="00996473" w:rsidRPr="00D5464D">
        <w:rPr>
          <w:rFonts w:cs="Arial"/>
          <w:szCs w:val="20"/>
          <w:lang w:val="pt-BR"/>
        </w:rPr>
        <w:t>,</w:t>
      </w:r>
      <w:r w:rsidR="00470ADC" w:rsidRPr="00D5464D">
        <w:rPr>
          <w:rFonts w:cs="Arial"/>
          <w:szCs w:val="20"/>
          <w:lang w:val="pt-BR"/>
        </w:rPr>
        <w:t xml:space="preserve"> em janeiro</w:t>
      </w:r>
      <w:r w:rsidR="0003391C" w:rsidRPr="00D5464D">
        <w:rPr>
          <w:rFonts w:cs="Arial"/>
          <w:szCs w:val="20"/>
          <w:lang w:val="pt-BR"/>
        </w:rPr>
        <w:t xml:space="preserve"> de 1989, relacionadas</w:t>
      </w:r>
      <w:r w:rsidR="00470ADC" w:rsidRPr="00D5464D">
        <w:rPr>
          <w:rFonts w:cs="Arial"/>
          <w:szCs w:val="20"/>
          <w:lang w:val="pt-BR"/>
        </w:rPr>
        <w:t xml:space="preserve"> </w:t>
      </w:r>
      <w:r w:rsidR="00996473" w:rsidRPr="00D5464D">
        <w:rPr>
          <w:rFonts w:cs="Arial"/>
          <w:szCs w:val="20"/>
          <w:lang w:val="pt-BR"/>
        </w:rPr>
        <w:t>a</w:t>
      </w:r>
      <w:r w:rsidR="00470ADC" w:rsidRPr="00D5464D">
        <w:rPr>
          <w:rFonts w:cs="Arial"/>
          <w:szCs w:val="20"/>
          <w:lang w:val="pt-BR"/>
        </w:rPr>
        <w:t xml:space="preserve">o </w:t>
      </w:r>
      <w:r w:rsidR="00E045D9" w:rsidRPr="00D5464D">
        <w:rPr>
          <w:rFonts w:cs="Arial"/>
          <w:szCs w:val="20"/>
          <w:lang w:val="pt-BR"/>
        </w:rPr>
        <w:t>trabalho</w:t>
      </w:r>
      <w:r w:rsidR="0003391C" w:rsidRPr="00D5464D">
        <w:rPr>
          <w:rFonts w:cs="Arial"/>
          <w:szCs w:val="20"/>
          <w:lang w:val="pt-BR"/>
        </w:rPr>
        <w:t xml:space="preserve"> </w:t>
      </w:r>
      <w:r w:rsidR="004F1CC2" w:rsidRPr="00D5464D">
        <w:rPr>
          <w:rFonts w:cs="Arial"/>
          <w:szCs w:val="20"/>
          <w:lang w:val="pt-BR"/>
        </w:rPr>
        <w:t>escravo</w:t>
      </w:r>
      <w:r w:rsidR="00E045D9" w:rsidRPr="00D5464D">
        <w:rPr>
          <w:rFonts w:cs="Arial"/>
          <w:szCs w:val="20"/>
          <w:lang w:val="pt-BR"/>
        </w:rPr>
        <w:t xml:space="preserve"> na </w:t>
      </w:r>
      <w:r w:rsidR="00D809F0" w:rsidRPr="00D5464D">
        <w:rPr>
          <w:rFonts w:cs="Arial"/>
          <w:szCs w:val="20"/>
          <w:lang w:val="pt-BR"/>
        </w:rPr>
        <w:t>Fazenda</w:t>
      </w:r>
      <w:r w:rsidR="0003391C" w:rsidRPr="00D5464D">
        <w:rPr>
          <w:rFonts w:cs="Arial"/>
          <w:szCs w:val="20"/>
          <w:lang w:val="pt-BR"/>
        </w:rPr>
        <w:t xml:space="preserve"> Brasil Verde</w:t>
      </w:r>
      <w:r w:rsidR="00996473" w:rsidRPr="00D5464D">
        <w:rPr>
          <w:rFonts w:cs="Arial"/>
          <w:szCs w:val="20"/>
          <w:lang w:val="pt-BR"/>
        </w:rPr>
        <w:t xml:space="preserve"> e aos </w:t>
      </w:r>
      <w:r w:rsidR="00350187" w:rsidRPr="00D5464D">
        <w:rPr>
          <w:rFonts w:cs="Arial"/>
          <w:szCs w:val="20"/>
          <w:lang w:val="pt-BR"/>
        </w:rPr>
        <w:t>desaparecimentos</w:t>
      </w:r>
      <w:r w:rsidR="0003391C" w:rsidRPr="00D5464D">
        <w:rPr>
          <w:rFonts w:cs="Arial"/>
          <w:szCs w:val="20"/>
          <w:lang w:val="pt-BR"/>
        </w:rPr>
        <w:t xml:space="preserve"> de lron Canuto</w:t>
      </w:r>
      <w:r w:rsidR="00E045D9" w:rsidRPr="00D5464D">
        <w:rPr>
          <w:rFonts w:cs="Arial"/>
          <w:szCs w:val="20"/>
          <w:lang w:val="pt-BR"/>
        </w:rPr>
        <w:t xml:space="preserve"> e </w:t>
      </w:r>
      <w:r w:rsidR="00200C04" w:rsidRPr="00D5464D">
        <w:rPr>
          <w:rFonts w:cs="Arial"/>
          <w:szCs w:val="20"/>
          <w:lang w:val="pt-BR"/>
        </w:rPr>
        <w:t>Luis Ferreira da Cruz</w:t>
      </w:r>
      <w:r w:rsidR="00996473" w:rsidRPr="00D5464D">
        <w:rPr>
          <w:rFonts w:cs="Arial"/>
          <w:szCs w:val="20"/>
          <w:lang w:val="pt-BR"/>
        </w:rPr>
        <w:t>.</w:t>
      </w:r>
      <w:r w:rsidR="0003391C" w:rsidRPr="00D5464D">
        <w:rPr>
          <w:rStyle w:val="Refdenotaalpie"/>
          <w:rFonts w:cs="Arial"/>
          <w:lang w:val="pt-BR"/>
        </w:rPr>
        <w:footnoteReference w:id="115"/>
      </w:r>
      <w:r w:rsidR="0003391C" w:rsidRPr="00D5464D">
        <w:rPr>
          <w:rFonts w:cs="Arial"/>
          <w:szCs w:val="20"/>
          <w:lang w:val="pt-BR"/>
        </w:rPr>
        <w:t xml:space="preserve"> </w:t>
      </w:r>
    </w:p>
    <w:p w14:paraId="5AB3AD42" w14:textId="77777777" w:rsidR="0003391C" w:rsidRPr="00D5464D" w:rsidRDefault="0003391C" w:rsidP="00140440">
      <w:pPr>
        <w:pStyle w:val="Prrafodelista"/>
        <w:autoSpaceDE w:val="0"/>
        <w:autoSpaceDN w:val="0"/>
        <w:adjustRightInd w:val="0"/>
        <w:ind w:left="0"/>
        <w:contextualSpacing w:val="0"/>
        <w:rPr>
          <w:rFonts w:cs="Arial"/>
          <w:szCs w:val="20"/>
          <w:lang w:val="pt-BR"/>
        </w:rPr>
      </w:pPr>
    </w:p>
    <w:p w14:paraId="3A0AB40A" w14:textId="41374EC2" w:rsidR="0003391C" w:rsidRPr="00D5464D" w:rsidRDefault="00470ADC" w:rsidP="00140440">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Esta</w:t>
      </w:r>
      <w:r w:rsidR="0003391C" w:rsidRPr="00D5464D">
        <w:rPr>
          <w:rFonts w:cs="Arial"/>
          <w:szCs w:val="20"/>
          <w:lang w:val="pt-BR"/>
        </w:rPr>
        <w:t xml:space="preserve"> </w:t>
      </w:r>
      <w:r w:rsidRPr="00D5464D">
        <w:rPr>
          <w:rFonts w:cs="Arial"/>
          <w:szCs w:val="20"/>
          <w:lang w:val="pt-BR"/>
        </w:rPr>
        <w:t xml:space="preserve">denúncia foi </w:t>
      </w:r>
      <w:r w:rsidR="0003391C" w:rsidRPr="00D5464D">
        <w:rPr>
          <w:rFonts w:cs="Arial"/>
          <w:szCs w:val="20"/>
          <w:lang w:val="pt-BR"/>
        </w:rPr>
        <w:t>protocolizada</w:t>
      </w:r>
      <w:r w:rsidR="002C330E" w:rsidRPr="00D5464D">
        <w:rPr>
          <w:rFonts w:cs="Arial"/>
          <w:szCs w:val="20"/>
          <w:lang w:val="pt-BR"/>
        </w:rPr>
        <w:t xml:space="preserve"> em 2</w:t>
      </w:r>
      <w:r w:rsidR="0003391C" w:rsidRPr="00D5464D">
        <w:rPr>
          <w:rFonts w:cs="Arial"/>
          <w:szCs w:val="20"/>
          <w:lang w:val="pt-BR"/>
        </w:rPr>
        <w:t>2 de abril de 1992</w:t>
      </w:r>
      <w:r w:rsidR="00E045D9" w:rsidRPr="00D5464D">
        <w:rPr>
          <w:rFonts w:cs="Arial"/>
          <w:szCs w:val="20"/>
          <w:lang w:val="pt-BR"/>
        </w:rPr>
        <w:t xml:space="preserve"> e </w:t>
      </w:r>
      <w:r w:rsidR="002C330E" w:rsidRPr="00D5464D">
        <w:rPr>
          <w:rFonts w:cs="Arial"/>
          <w:szCs w:val="20"/>
          <w:lang w:val="pt-BR"/>
        </w:rPr>
        <w:t xml:space="preserve">a </w:t>
      </w:r>
      <w:r w:rsidR="00996473" w:rsidRPr="00D5464D">
        <w:rPr>
          <w:rFonts w:cs="Arial"/>
          <w:szCs w:val="20"/>
          <w:lang w:val="pt-BR"/>
        </w:rPr>
        <w:t>PGR instaurou</w:t>
      </w:r>
      <w:r w:rsidR="00E045D9" w:rsidRPr="00D5464D">
        <w:rPr>
          <w:rFonts w:cs="Arial"/>
          <w:szCs w:val="20"/>
          <w:lang w:val="pt-BR"/>
        </w:rPr>
        <w:t xml:space="preserve"> um </w:t>
      </w:r>
      <w:r w:rsidR="002C330E" w:rsidRPr="00D5464D">
        <w:rPr>
          <w:rFonts w:cs="Arial"/>
          <w:szCs w:val="20"/>
          <w:lang w:val="pt-BR"/>
        </w:rPr>
        <w:t>processo</w:t>
      </w:r>
      <w:r w:rsidR="0003391C" w:rsidRPr="00D5464D">
        <w:rPr>
          <w:rFonts w:cs="Arial"/>
          <w:szCs w:val="20"/>
          <w:lang w:val="pt-BR"/>
        </w:rPr>
        <w:t xml:space="preserve"> administrativo</w:t>
      </w:r>
      <w:r w:rsidR="00996473" w:rsidRPr="00D5464D">
        <w:rPr>
          <w:rFonts w:cs="Arial"/>
          <w:szCs w:val="20"/>
          <w:lang w:val="pt-BR"/>
        </w:rPr>
        <w:t>.</w:t>
      </w:r>
      <w:r w:rsidR="0003391C" w:rsidRPr="00D5464D">
        <w:rPr>
          <w:rStyle w:val="Refdenotaalpie"/>
          <w:rFonts w:cs="Arial"/>
          <w:lang w:val="pt-BR"/>
        </w:rPr>
        <w:footnoteReference w:id="116"/>
      </w:r>
      <w:r w:rsidR="00C91CB1" w:rsidRPr="00D5464D">
        <w:rPr>
          <w:rFonts w:cs="Arial"/>
          <w:szCs w:val="20"/>
          <w:lang w:val="pt-BR"/>
        </w:rPr>
        <w:t xml:space="preserve"> Em 4</w:t>
      </w:r>
      <w:r w:rsidR="0003391C" w:rsidRPr="00D5464D">
        <w:rPr>
          <w:rFonts w:cs="Arial"/>
          <w:szCs w:val="20"/>
          <w:lang w:val="pt-BR"/>
        </w:rPr>
        <w:t xml:space="preserve"> de </w:t>
      </w:r>
      <w:r w:rsidR="002C330E" w:rsidRPr="00D5464D">
        <w:rPr>
          <w:rFonts w:cs="Arial"/>
          <w:szCs w:val="20"/>
          <w:lang w:val="pt-BR"/>
        </w:rPr>
        <w:t>junho</w:t>
      </w:r>
      <w:r w:rsidR="0003391C" w:rsidRPr="00D5464D">
        <w:rPr>
          <w:rFonts w:cs="Arial"/>
          <w:szCs w:val="20"/>
          <w:lang w:val="pt-BR"/>
        </w:rPr>
        <w:t xml:space="preserve"> de 1992</w:t>
      </w:r>
      <w:r w:rsidR="00996473" w:rsidRPr="00D5464D">
        <w:rPr>
          <w:rFonts w:cs="Arial"/>
          <w:szCs w:val="20"/>
          <w:lang w:val="pt-BR"/>
        </w:rPr>
        <w:t>,</w:t>
      </w:r>
      <w:r w:rsidR="0003391C" w:rsidRPr="00D5464D">
        <w:rPr>
          <w:rFonts w:cs="Arial"/>
          <w:szCs w:val="20"/>
          <w:lang w:val="pt-BR"/>
        </w:rPr>
        <w:t xml:space="preserve"> </w:t>
      </w:r>
      <w:r w:rsidR="00A1358C" w:rsidRPr="00D5464D">
        <w:rPr>
          <w:rFonts w:cs="Arial"/>
          <w:szCs w:val="20"/>
          <w:lang w:val="pt-BR"/>
        </w:rPr>
        <w:t>requereu</w:t>
      </w:r>
      <w:r w:rsidRPr="00D5464D">
        <w:rPr>
          <w:rFonts w:cs="Arial"/>
          <w:szCs w:val="20"/>
          <w:lang w:val="pt-BR"/>
        </w:rPr>
        <w:t xml:space="preserve"> ao </w:t>
      </w:r>
      <w:r w:rsidR="0003391C" w:rsidRPr="00D5464D">
        <w:rPr>
          <w:rFonts w:cs="Arial"/>
          <w:szCs w:val="20"/>
          <w:lang w:val="pt-BR"/>
        </w:rPr>
        <w:t xml:space="preserve">Departamento de </w:t>
      </w:r>
      <w:r w:rsidR="00C91CB1" w:rsidRPr="00D5464D">
        <w:rPr>
          <w:rFonts w:cs="Arial"/>
          <w:szCs w:val="20"/>
          <w:lang w:val="pt-BR"/>
        </w:rPr>
        <w:t xml:space="preserve">Polícia </w:t>
      </w:r>
      <w:r w:rsidR="0003391C" w:rsidRPr="00D5464D">
        <w:rPr>
          <w:rFonts w:cs="Arial"/>
          <w:szCs w:val="20"/>
          <w:lang w:val="pt-BR"/>
        </w:rPr>
        <w:t>Federal informa</w:t>
      </w:r>
      <w:r w:rsidRPr="00D5464D">
        <w:rPr>
          <w:rFonts w:cs="Arial"/>
          <w:szCs w:val="20"/>
          <w:lang w:val="pt-BR"/>
        </w:rPr>
        <w:t xml:space="preserve">ção </w:t>
      </w:r>
      <w:r w:rsidR="00C91CB1" w:rsidRPr="00D5464D">
        <w:rPr>
          <w:rFonts w:cs="Arial"/>
          <w:szCs w:val="20"/>
          <w:lang w:val="pt-BR"/>
        </w:rPr>
        <w:t>a respeito</w:t>
      </w:r>
      <w:r w:rsidR="0003391C" w:rsidRPr="00D5464D">
        <w:rPr>
          <w:rStyle w:val="Refdenotaalpie"/>
          <w:rFonts w:cs="Arial"/>
          <w:lang w:val="pt-BR"/>
        </w:rPr>
        <w:footnoteReference w:id="117"/>
      </w:r>
      <w:r w:rsidR="00E045D9" w:rsidRPr="00D5464D">
        <w:rPr>
          <w:rFonts w:cs="Arial"/>
          <w:szCs w:val="20"/>
          <w:lang w:val="pt-BR"/>
        </w:rPr>
        <w:t xml:space="preserve"> e</w:t>
      </w:r>
      <w:r w:rsidR="00996473" w:rsidRPr="00D5464D">
        <w:rPr>
          <w:rFonts w:cs="Arial"/>
          <w:szCs w:val="20"/>
          <w:lang w:val="pt-BR"/>
        </w:rPr>
        <w:t>,</w:t>
      </w:r>
      <w:r w:rsidR="00E045D9" w:rsidRPr="00D5464D">
        <w:rPr>
          <w:rFonts w:cs="Arial"/>
          <w:szCs w:val="20"/>
          <w:lang w:val="pt-BR"/>
        </w:rPr>
        <w:t xml:space="preserve"> </w:t>
      </w:r>
      <w:r w:rsidR="002C330E" w:rsidRPr="00D5464D">
        <w:rPr>
          <w:rFonts w:cs="Arial"/>
          <w:szCs w:val="20"/>
          <w:lang w:val="pt-BR"/>
        </w:rPr>
        <w:t>em 2</w:t>
      </w:r>
      <w:r w:rsidR="0003391C" w:rsidRPr="00D5464D">
        <w:rPr>
          <w:rFonts w:cs="Arial"/>
          <w:szCs w:val="20"/>
          <w:lang w:val="pt-BR"/>
        </w:rPr>
        <w:t xml:space="preserve">2 de </w:t>
      </w:r>
      <w:r w:rsidR="002C330E" w:rsidRPr="00D5464D">
        <w:rPr>
          <w:rFonts w:cs="Arial"/>
          <w:szCs w:val="20"/>
          <w:lang w:val="pt-BR"/>
        </w:rPr>
        <w:t>setembro</w:t>
      </w:r>
      <w:r w:rsidR="0003391C" w:rsidRPr="00D5464D">
        <w:rPr>
          <w:rFonts w:cs="Arial"/>
          <w:szCs w:val="20"/>
          <w:lang w:val="pt-BR"/>
        </w:rPr>
        <w:t xml:space="preserve"> </w:t>
      </w:r>
      <w:r w:rsidRPr="00D5464D">
        <w:rPr>
          <w:rFonts w:cs="Arial"/>
          <w:szCs w:val="20"/>
          <w:lang w:val="pt-BR"/>
        </w:rPr>
        <w:t xml:space="preserve">do </w:t>
      </w:r>
      <w:r w:rsidR="002C330E" w:rsidRPr="00D5464D">
        <w:rPr>
          <w:rFonts w:cs="Arial"/>
          <w:szCs w:val="20"/>
          <w:lang w:val="pt-BR"/>
        </w:rPr>
        <w:t>mesm</w:t>
      </w:r>
      <w:r w:rsidR="0003391C" w:rsidRPr="00D5464D">
        <w:rPr>
          <w:rFonts w:cs="Arial"/>
          <w:szCs w:val="20"/>
          <w:lang w:val="pt-BR"/>
        </w:rPr>
        <w:t>o</w:t>
      </w:r>
      <w:r w:rsidRPr="00D5464D">
        <w:rPr>
          <w:rFonts w:cs="Arial"/>
          <w:szCs w:val="20"/>
          <w:lang w:val="pt-BR"/>
        </w:rPr>
        <w:t xml:space="preserve"> ano</w:t>
      </w:r>
      <w:r w:rsidR="00996473" w:rsidRPr="00D5464D">
        <w:rPr>
          <w:rFonts w:cs="Arial"/>
          <w:szCs w:val="20"/>
          <w:lang w:val="pt-BR"/>
        </w:rPr>
        <w:t>,</w:t>
      </w:r>
      <w:r w:rsidRPr="00D5464D">
        <w:rPr>
          <w:rFonts w:cs="Arial"/>
          <w:szCs w:val="20"/>
          <w:lang w:val="pt-BR"/>
        </w:rPr>
        <w:t xml:space="preserve"> </w:t>
      </w:r>
      <w:r w:rsidR="002C330E" w:rsidRPr="00D5464D">
        <w:rPr>
          <w:rFonts w:cs="Arial"/>
          <w:szCs w:val="20"/>
          <w:lang w:val="pt-BR"/>
        </w:rPr>
        <w:t>reiterou</w:t>
      </w:r>
      <w:r w:rsidR="0003391C" w:rsidRPr="00D5464D">
        <w:rPr>
          <w:rFonts w:cs="Arial"/>
          <w:szCs w:val="20"/>
          <w:lang w:val="pt-BR"/>
        </w:rPr>
        <w:t xml:space="preserve"> </w:t>
      </w:r>
      <w:r w:rsidRPr="00D5464D">
        <w:rPr>
          <w:rFonts w:cs="Arial"/>
          <w:szCs w:val="20"/>
          <w:lang w:val="pt-BR"/>
        </w:rPr>
        <w:t>est</w:t>
      </w:r>
      <w:r w:rsidR="00996473" w:rsidRPr="00D5464D">
        <w:rPr>
          <w:rFonts w:cs="Arial"/>
          <w:szCs w:val="20"/>
          <w:lang w:val="pt-BR"/>
        </w:rPr>
        <w:t>e</w:t>
      </w:r>
      <w:r w:rsidR="0003391C" w:rsidRPr="00D5464D">
        <w:rPr>
          <w:rFonts w:cs="Arial"/>
          <w:szCs w:val="20"/>
          <w:lang w:val="pt-BR"/>
        </w:rPr>
        <w:t xml:space="preserve"> </w:t>
      </w:r>
      <w:r w:rsidR="00C91CB1" w:rsidRPr="00D5464D">
        <w:rPr>
          <w:rFonts w:cs="Arial"/>
          <w:szCs w:val="20"/>
          <w:lang w:val="pt-BR"/>
        </w:rPr>
        <w:t>pedido</w:t>
      </w:r>
      <w:r w:rsidR="00996473" w:rsidRPr="00D5464D">
        <w:rPr>
          <w:rFonts w:cs="Arial"/>
          <w:szCs w:val="20"/>
          <w:lang w:val="pt-BR"/>
        </w:rPr>
        <w:t>.</w:t>
      </w:r>
      <w:r w:rsidR="0003391C" w:rsidRPr="00D5464D">
        <w:rPr>
          <w:rStyle w:val="Refdenotaalpie"/>
          <w:rFonts w:cs="Arial"/>
          <w:lang w:val="pt-BR"/>
        </w:rPr>
        <w:footnoteReference w:id="118"/>
      </w:r>
      <w:r w:rsidR="00C91CB1" w:rsidRPr="00D5464D">
        <w:rPr>
          <w:rFonts w:cs="Times New Roman"/>
          <w:szCs w:val="20"/>
          <w:lang w:val="pt-BR"/>
        </w:rPr>
        <w:t xml:space="preserve"> Em 7</w:t>
      </w:r>
      <w:r w:rsidR="0003391C" w:rsidRPr="00D5464D">
        <w:rPr>
          <w:rFonts w:cs="Arial"/>
          <w:szCs w:val="20"/>
          <w:lang w:val="pt-BR"/>
        </w:rPr>
        <w:t xml:space="preserve"> de </w:t>
      </w:r>
      <w:r w:rsidRPr="00D5464D">
        <w:rPr>
          <w:rFonts w:cs="Arial"/>
          <w:szCs w:val="20"/>
          <w:lang w:val="pt-BR"/>
        </w:rPr>
        <w:t>dezembro</w:t>
      </w:r>
      <w:r w:rsidR="0003391C" w:rsidRPr="00D5464D">
        <w:rPr>
          <w:rFonts w:cs="Arial"/>
          <w:szCs w:val="20"/>
          <w:lang w:val="pt-BR"/>
        </w:rPr>
        <w:t xml:space="preserve"> de 1992</w:t>
      </w:r>
      <w:r w:rsidR="00996473" w:rsidRPr="00D5464D">
        <w:rPr>
          <w:rFonts w:cs="Arial"/>
          <w:szCs w:val="20"/>
          <w:lang w:val="pt-BR"/>
        </w:rPr>
        <w:t>,</w:t>
      </w:r>
      <w:r w:rsidRPr="00D5464D">
        <w:rPr>
          <w:rFonts w:cs="Arial"/>
          <w:szCs w:val="20"/>
          <w:lang w:val="pt-BR"/>
        </w:rPr>
        <w:t xml:space="preserve"> o Coordenad</w:t>
      </w:r>
      <w:r w:rsidR="0003391C" w:rsidRPr="00D5464D">
        <w:rPr>
          <w:rFonts w:cs="Arial"/>
          <w:szCs w:val="20"/>
          <w:lang w:val="pt-BR"/>
        </w:rPr>
        <w:t xml:space="preserve">or Central </w:t>
      </w:r>
      <w:r w:rsidRPr="00D5464D">
        <w:rPr>
          <w:rFonts w:cs="Arial"/>
          <w:szCs w:val="20"/>
          <w:lang w:val="pt-BR"/>
        </w:rPr>
        <w:t xml:space="preserve">do </w:t>
      </w:r>
      <w:r w:rsidR="0003391C" w:rsidRPr="00D5464D">
        <w:rPr>
          <w:rFonts w:cs="Arial"/>
          <w:szCs w:val="20"/>
          <w:lang w:val="pt-BR"/>
        </w:rPr>
        <w:t xml:space="preserve">Departamento de </w:t>
      </w:r>
      <w:r w:rsidR="00C91CB1" w:rsidRPr="00D5464D">
        <w:rPr>
          <w:rFonts w:cs="Arial"/>
          <w:szCs w:val="20"/>
          <w:lang w:val="pt-BR"/>
        </w:rPr>
        <w:t xml:space="preserve">Polícia </w:t>
      </w:r>
      <w:r w:rsidR="0003391C" w:rsidRPr="00D5464D">
        <w:rPr>
          <w:rFonts w:cs="Arial"/>
          <w:szCs w:val="20"/>
          <w:lang w:val="pt-BR"/>
        </w:rPr>
        <w:t xml:space="preserve">Federal </w:t>
      </w:r>
      <w:r w:rsidR="00737270" w:rsidRPr="00D5464D">
        <w:rPr>
          <w:rFonts w:cs="Arial"/>
          <w:szCs w:val="20"/>
          <w:lang w:val="pt-BR"/>
        </w:rPr>
        <w:t>respondeu</w:t>
      </w:r>
      <w:r w:rsidR="0003391C" w:rsidRPr="00D5464D">
        <w:rPr>
          <w:rFonts w:cs="Arial"/>
          <w:szCs w:val="20"/>
          <w:lang w:val="pt-BR"/>
        </w:rPr>
        <w:t xml:space="preserve"> a </w:t>
      </w:r>
      <w:r w:rsidR="00996473" w:rsidRPr="00D5464D">
        <w:rPr>
          <w:rFonts w:cs="Arial"/>
          <w:szCs w:val="20"/>
          <w:lang w:val="pt-BR"/>
        </w:rPr>
        <w:t xml:space="preserve">este pedido </w:t>
      </w:r>
      <w:r w:rsidR="0003391C" w:rsidRPr="00D5464D">
        <w:rPr>
          <w:rFonts w:cs="Arial"/>
          <w:szCs w:val="20"/>
          <w:lang w:val="pt-BR"/>
        </w:rPr>
        <w:t xml:space="preserve">e </w:t>
      </w:r>
      <w:r w:rsidR="002C330E" w:rsidRPr="00D5464D">
        <w:rPr>
          <w:rFonts w:cs="Arial"/>
          <w:szCs w:val="20"/>
          <w:lang w:val="pt-BR"/>
        </w:rPr>
        <w:t>informou</w:t>
      </w:r>
      <w:r w:rsidR="0003391C" w:rsidRPr="00D5464D">
        <w:rPr>
          <w:rFonts w:cs="Arial"/>
          <w:szCs w:val="20"/>
          <w:lang w:val="pt-BR"/>
        </w:rPr>
        <w:t xml:space="preserve"> sobre</w:t>
      </w:r>
      <w:r w:rsidR="002C330E" w:rsidRPr="00D5464D">
        <w:rPr>
          <w:rFonts w:cs="Arial"/>
          <w:szCs w:val="20"/>
          <w:lang w:val="pt-BR"/>
        </w:rPr>
        <w:t xml:space="preserve"> as </w:t>
      </w:r>
      <w:r w:rsidRPr="00D5464D">
        <w:rPr>
          <w:rFonts w:cs="Arial"/>
          <w:szCs w:val="20"/>
          <w:lang w:val="pt-BR"/>
        </w:rPr>
        <w:t>diligência</w:t>
      </w:r>
      <w:r w:rsidR="0003391C" w:rsidRPr="00D5464D">
        <w:rPr>
          <w:rFonts w:cs="Arial"/>
          <w:szCs w:val="20"/>
          <w:lang w:val="pt-BR"/>
        </w:rPr>
        <w:t>s realizadas</w:t>
      </w:r>
      <w:r w:rsidR="00E045D9" w:rsidRPr="00D5464D">
        <w:rPr>
          <w:rFonts w:cs="Arial"/>
          <w:szCs w:val="20"/>
          <w:lang w:val="pt-BR"/>
        </w:rPr>
        <w:t xml:space="preserve"> na </w:t>
      </w:r>
      <w:r w:rsidR="00D809F0" w:rsidRPr="00D5464D">
        <w:rPr>
          <w:rFonts w:cs="Arial"/>
          <w:iCs/>
          <w:szCs w:val="20"/>
          <w:lang w:val="pt-BR"/>
        </w:rPr>
        <w:t>Fazenda</w:t>
      </w:r>
      <w:r w:rsidR="0003391C" w:rsidRPr="00D5464D">
        <w:rPr>
          <w:rFonts w:cs="Arial"/>
          <w:iCs/>
          <w:szCs w:val="20"/>
          <w:lang w:val="pt-BR"/>
        </w:rPr>
        <w:t xml:space="preserve"> Brasil Verde</w:t>
      </w:r>
      <w:r w:rsidRPr="00D5464D">
        <w:rPr>
          <w:rFonts w:cs="Arial"/>
          <w:i/>
          <w:iCs/>
          <w:szCs w:val="20"/>
          <w:lang w:val="pt-BR"/>
        </w:rPr>
        <w:t xml:space="preserve"> </w:t>
      </w:r>
      <w:r w:rsidRPr="00D5464D">
        <w:rPr>
          <w:rFonts w:cs="Arial"/>
          <w:iCs/>
          <w:szCs w:val="20"/>
          <w:lang w:val="pt-BR"/>
        </w:rPr>
        <w:t>em</w:t>
      </w:r>
      <w:r w:rsidRPr="00D5464D">
        <w:rPr>
          <w:rFonts w:cs="Arial"/>
          <w:i/>
          <w:iCs/>
          <w:szCs w:val="20"/>
          <w:lang w:val="pt-BR"/>
        </w:rPr>
        <w:t xml:space="preserve"> </w:t>
      </w:r>
      <w:r w:rsidR="0003391C" w:rsidRPr="00D5464D">
        <w:rPr>
          <w:rFonts w:cs="Arial"/>
          <w:szCs w:val="20"/>
          <w:lang w:val="pt-BR"/>
        </w:rPr>
        <w:t>1989</w:t>
      </w:r>
      <w:r w:rsidR="00996473" w:rsidRPr="00D5464D">
        <w:rPr>
          <w:rFonts w:cs="Arial"/>
          <w:szCs w:val="20"/>
          <w:lang w:val="pt-BR"/>
        </w:rPr>
        <w:t>.</w:t>
      </w:r>
      <w:r w:rsidR="0003391C" w:rsidRPr="00D5464D">
        <w:rPr>
          <w:rStyle w:val="Refdenotaalpie"/>
          <w:rFonts w:cs="Arial"/>
          <w:lang w:val="pt-BR"/>
        </w:rPr>
        <w:footnoteReference w:id="119"/>
      </w:r>
      <w:r w:rsidR="00A1358C" w:rsidRPr="00D5464D">
        <w:rPr>
          <w:rFonts w:cs="Arial"/>
          <w:szCs w:val="20"/>
          <w:lang w:val="pt-BR"/>
        </w:rPr>
        <w:t xml:space="preserve"> O </w:t>
      </w:r>
      <w:r w:rsidR="0003391C" w:rsidRPr="00D5464D">
        <w:rPr>
          <w:rFonts w:cs="Arial"/>
          <w:szCs w:val="20"/>
          <w:lang w:val="pt-BR"/>
        </w:rPr>
        <w:t xml:space="preserve">Departamento de </w:t>
      </w:r>
      <w:r w:rsidR="00C91CB1" w:rsidRPr="00D5464D">
        <w:rPr>
          <w:rFonts w:cs="Arial"/>
          <w:szCs w:val="20"/>
          <w:lang w:val="pt-BR"/>
        </w:rPr>
        <w:t xml:space="preserve">Polícia </w:t>
      </w:r>
      <w:r w:rsidR="0003391C" w:rsidRPr="00D5464D">
        <w:rPr>
          <w:rFonts w:cs="Arial"/>
          <w:szCs w:val="20"/>
          <w:lang w:val="pt-BR"/>
        </w:rPr>
        <w:t xml:space="preserve">Federal </w:t>
      </w:r>
      <w:r w:rsidR="002C330E" w:rsidRPr="00D5464D">
        <w:rPr>
          <w:rFonts w:cs="Arial"/>
          <w:szCs w:val="20"/>
          <w:lang w:val="pt-BR"/>
        </w:rPr>
        <w:t>informou</w:t>
      </w:r>
      <w:r w:rsidR="0003391C" w:rsidRPr="00D5464D">
        <w:rPr>
          <w:rFonts w:cs="Arial"/>
          <w:szCs w:val="20"/>
          <w:lang w:val="pt-BR"/>
        </w:rPr>
        <w:t xml:space="preserve"> que </w:t>
      </w:r>
      <w:r w:rsidR="00737270" w:rsidRPr="00D5464D">
        <w:rPr>
          <w:rFonts w:cs="Arial"/>
          <w:szCs w:val="20"/>
          <w:lang w:val="pt-BR"/>
        </w:rPr>
        <w:t>não havia</w:t>
      </w:r>
      <w:r w:rsidR="0003391C" w:rsidRPr="00D5464D">
        <w:rPr>
          <w:rFonts w:cs="Arial"/>
          <w:szCs w:val="20"/>
          <w:lang w:val="pt-BR"/>
        </w:rPr>
        <w:t xml:space="preserve"> sido constatada</w:t>
      </w:r>
      <w:r w:rsidR="002C330E" w:rsidRPr="00D5464D">
        <w:rPr>
          <w:rFonts w:cs="Arial"/>
          <w:szCs w:val="20"/>
          <w:lang w:val="pt-BR"/>
        </w:rPr>
        <w:t xml:space="preserve"> a presença </w:t>
      </w:r>
      <w:r w:rsidR="0003391C" w:rsidRPr="00D5464D">
        <w:rPr>
          <w:rFonts w:cs="Arial"/>
          <w:szCs w:val="20"/>
          <w:lang w:val="pt-BR"/>
        </w:rPr>
        <w:t xml:space="preserve">de </w:t>
      </w:r>
      <w:r w:rsidR="00E045D9" w:rsidRPr="00D5464D">
        <w:rPr>
          <w:rFonts w:cs="Arial"/>
          <w:szCs w:val="20"/>
          <w:lang w:val="pt-BR"/>
        </w:rPr>
        <w:t>trabalho</w:t>
      </w:r>
      <w:r w:rsidR="0003391C" w:rsidRPr="00D5464D">
        <w:rPr>
          <w:rFonts w:cs="Arial"/>
          <w:szCs w:val="20"/>
          <w:lang w:val="pt-BR"/>
        </w:rPr>
        <w:t xml:space="preserve"> </w:t>
      </w:r>
      <w:r w:rsidR="004F1CC2" w:rsidRPr="00D5464D">
        <w:rPr>
          <w:rFonts w:cs="Arial"/>
          <w:szCs w:val="20"/>
          <w:lang w:val="pt-BR"/>
        </w:rPr>
        <w:t>escravo</w:t>
      </w:r>
      <w:r w:rsidR="00E045D9" w:rsidRPr="00D5464D">
        <w:rPr>
          <w:rFonts w:cs="Arial"/>
          <w:szCs w:val="20"/>
          <w:lang w:val="pt-BR"/>
        </w:rPr>
        <w:t xml:space="preserve"> e </w:t>
      </w:r>
      <w:r w:rsidR="0003391C" w:rsidRPr="00D5464D">
        <w:rPr>
          <w:rFonts w:cs="Arial"/>
          <w:szCs w:val="20"/>
          <w:lang w:val="pt-BR"/>
        </w:rPr>
        <w:t>que</w:t>
      </w:r>
      <w:r w:rsidR="00FF1290" w:rsidRPr="00D5464D">
        <w:rPr>
          <w:rFonts w:cs="Arial"/>
          <w:szCs w:val="20"/>
          <w:lang w:val="pt-BR"/>
        </w:rPr>
        <w:t xml:space="preserve"> </w:t>
      </w:r>
      <w:r w:rsidR="002C330E" w:rsidRPr="00D5464D">
        <w:rPr>
          <w:rFonts w:cs="Arial"/>
          <w:szCs w:val="20"/>
          <w:lang w:val="pt-BR"/>
        </w:rPr>
        <w:t xml:space="preserve">a </w:t>
      </w:r>
      <w:r w:rsidR="0003391C" w:rsidRPr="00D5464D">
        <w:rPr>
          <w:rFonts w:cs="Arial"/>
          <w:szCs w:val="20"/>
          <w:lang w:val="pt-BR"/>
        </w:rPr>
        <w:t>investiga</w:t>
      </w:r>
      <w:r w:rsidRPr="00D5464D">
        <w:rPr>
          <w:rFonts w:cs="Arial"/>
          <w:szCs w:val="20"/>
          <w:lang w:val="pt-BR"/>
        </w:rPr>
        <w:t>ção</w:t>
      </w:r>
      <w:r w:rsidR="0003391C" w:rsidRPr="00D5464D">
        <w:rPr>
          <w:rFonts w:cs="Arial"/>
          <w:szCs w:val="20"/>
          <w:lang w:val="pt-BR"/>
        </w:rPr>
        <w:t xml:space="preserve"> </w:t>
      </w:r>
      <w:r w:rsidRPr="00D5464D">
        <w:rPr>
          <w:rFonts w:cs="Arial"/>
          <w:szCs w:val="20"/>
          <w:lang w:val="pt-BR"/>
        </w:rPr>
        <w:t>estava</w:t>
      </w:r>
      <w:r w:rsidR="0003391C" w:rsidRPr="00D5464D">
        <w:rPr>
          <w:rFonts w:cs="Arial"/>
          <w:szCs w:val="20"/>
          <w:lang w:val="pt-BR"/>
        </w:rPr>
        <w:t xml:space="preserve"> </w:t>
      </w:r>
      <w:r w:rsidR="002C330E" w:rsidRPr="00D5464D">
        <w:rPr>
          <w:rFonts w:cs="Arial"/>
          <w:szCs w:val="20"/>
          <w:lang w:val="pt-BR"/>
        </w:rPr>
        <w:t>sendo</w:t>
      </w:r>
      <w:r w:rsidR="0003391C" w:rsidRPr="00D5464D">
        <w:rPr>
          <w:rFonts w:cs="Arial"/>
          <w:szCs w:val="20"/>
          <w:lang w:val="pt-BR"/>
        </w:rPr>
        <w:t xml:space="preserve"> </w:t>
      </w:r>
      <w:r w:rsidRPr="00D5464D">
        <w:rPr>
          <w:rFonts w:cs="Arial"/>
          <w:szCs w:val="20"/>
          <w:lang w:val="pt-BR"/>
        </w:rPr>
        <w:t>acompanh</w:t>
      </w:r>
      <w:r w:rsidR="0003391C" w:rsidRPr="00D5464D">
        <w:rPr>
          <w:rFonts w:cs="Arial"/>
          <w:szCs w:val="20"/>
          <w:lang w:val="pt-BR"/>
        </w:rPr>
        <w:t>ad</w:t>
      </w:r>
      <w:r w:rsidR="003771CF" w:rsidRPr="00D5464D">
        <w:rPr>
          <w:rFonts w:cs="Arial"/>
          <w:szCs w:val="20"/>
          <w:lang w:val="pt-BR"/>
        </w:rPr>
        <w:t>a</w:t>
      </w:r>
      <w:r w:rsidR="002C330E" w:rsidRPr="00D5464D">
        <w:rPr>
          <w:rFonts w:cs="Arial"/>
          <w:szCs w:val="20"/>
          <w:lang w:val="pt-BR"/>
        </w:rPr>
        <w:t xml:space="preserve"> pela </w:t>
      </w:r>
      <w:r w:rsidR="0003391C" w:rsidRPr="00D5464D">
        <w:rPr>
          <w:rFonts w:cs="Arial"/>
          <w:szCs w:val="20"/>
          <w:lang w:val="pt-BR"/>
        </w:rPr>
        <w:t>Superin</w:t>
      </w:r>
      <w:r w:rsidR="00E045D9" w:rsidRPr="00D5464D">
        <w:rPr>
          <w:rFonts w:cs="Arial"/>
          <w:szCs w:val="20"/>
          <w:lang w:val="pt-BR"/>
        </w:rPr>
        <w:t>tendência</w:t>
      </w:r>
      <w:r w:rsidR="0003391C" w:rsidRPr="00D5464D">
        <w:rPr>
          <w:rFonts w:cs="Arial"/>
          <w:szCs w:val="20"/>
          <w:lang w:val="pt-BR"/>
        </w:rPr>
        <w:t xml:space="preserve"> </w:t>
      </w:r>
      <w:r w:rsidRPr="00D5464D">
        <w:rPr>
          <w:rFonts w:cs="Arial"/>
          <w:szCs w:val="20"/>
          <w:lang w:val="pt-BR"/>
        </w:rPr>
        <w:t xml:space="preserve">do </w:t>
      </w:r>
      <w:r w:rsidR="00996473" w:rsidRPr="00D5464D">
        <w:rPr>
          <w:rFonts w:cs="Arial"/>
          <w:szCs w:val="20"/>
          <w:lang w:val="pt-BR"/>
        </w:rPr>
        <w:t>E</w:t>
      </w:r>
      <w:r w:rsidR="0003391C" w:rsidRPr="00D5464D">
        <w:rPr>
          <w:rFonts w:cs="Arial"/>
          <w:szCs w:val="20"/>
          <w:lang w:val="pt-BR"/>
        </w:rPr>
        <w:t>stado d</w:t>
      </w:r>
      <w:r w:rsidR="00996473" w:rsidRPr="00D5464D">
        <w:rPr>
          <w:rFonts w:cs="Arial"/>
          <w:szCs w:val="20"/>
          <w:lang w:val="pt-BR"/>
        </w:rPr>
        <w:t>o</w:t>
      </w:r>
      <w:r w:rsidR="0003391C" w:rsidRPr="00D5464D">
        <w:rPr>
          <w:rFonts w:cs="Arial"/>
          <w:szCs w:val="20"/>
          <w:lang w:val="pt-BR"/>
        </w:rPr>
        <w:t xml:space="preserve"> Pará</w:t>
      </w:r>
      <w:r w:rsidR="001B2B79" w:rsidRPr="00D5464D">
        <w:rPr>
          <w:rFonts w:cs="Arial"/>
          <w:szCs w:val="20"/>
          <w:lang w:val="pt-BR"/>
        </w:rPr>
        <w:t>,</w:t>
      </w:r>
      <w:r w:rsidR="002C330E" w:rsidRPr="00D5464D">
        <w:rPr>
          <w:rFonts w:cs="Arial"/>
          <w:szCs w:val="20"/>
          <w:lang w:val="pt-BR"/>
        </w:rPr>
        <w:t xml:space="preserve"> sem </w:t>
      </w:r>
      <w:r w:rsidR="0003391C" w:rsidRPr="00D5464D">
        <w:rPr>
          <w:rFonts w:cs="Arial"/>
          <w:szCs w:val="20"/>
          <w:lang w:val="pt-BR"/>
        </w:rPr>
        <w:t xml:space="preserve">que </w:t>
      </w:r>
      <w:r w:rsidR="002C330E" w:rsidRPr="00D5464D">
        <w:rPr>
          <w:rFonts w:cs="Arial"/>
          <w:szCs w:val="20"/>
          <w:lang w:val="pt-BR"/>
        </w:rPr>
        <w:t>até</w:t>
      </w:r>
      <w:r w:rsidRPr="00D5464D">
        <w:rPr>
          <w:rFonts w:cs="Arial"/>
          <w:szCs w:val="20"/>
          <w:lang w:val="pt-BR"/>
        </w:rPr>
        <w:t xml:space="preserve"> </w:t>
      </w:r>
      <w:r w:rsidR="00996473" w:rsidRPr="00D5464D">
        <w:rPr>
          <w:rFonts w:cs="Arial"/>
          <w:szCs w:val="20"/>
          <w:lang w:val="pt-BR"/>
        </w:rPr>
        <w:t xml:space="preserve">aquele </w:t>
      </w:r>
      <w:r w:rsidR="0003391C" w:rsidRPr="00D5464D">
        <w:rPr>
          <w:rFonts w:cs="Arial"/>
          <w:szCs w:val="20"/>
          <w:lang w:val="pt-BR"/>
        </w:rPr>
        <w:t xml:space="preserve">momento </w:t>
      </w:r>
      <w:r w:rsidR="00E765C2" w:rsidRPr="00D5464D">
        <w:rPr>
          <w:rFonts w:cs="Arial"/>
          <w:szCs w:val="20"/>
          <w:lang w:val="pt-BR"/>
        </w:rPr>
        <w:t>existisse</w:t>
      </w:r>
      <w:r w:rsidR="003771CF" w:rsidRPr="00D5464D">
        <w:rPr>
          <w:rFonts w:cs="Arial"/>
          <w:szCs w:val="20"/>
          <w:lang w:val="pt-BR"/>
        </w:rPr>
        <w:t xml:space="preserve"> </w:t>
      </w:r>
      <w:r w:rsidR="00311C6D" w:rsidRPr="00D5464D">
        <w:rPr>
          <w:rFonts w:cs="Arial"/>
          <w:szCs w:val="20"/>
          <w:lang w:val="pt-BR"/>
        </w:rPr>
        <w:t>qualquer</w:t>
      </w:r>
      <w:r w:rsidR="00FF1290" w:rsidRPr="00D5464D">
        <w:rPr>
          <w:rFonts w:cs="Arial"/>
          <w:szCs w:val="20"/>
          <w:lang w:val="pt-BR"/>
        </w:rPr>
        <w:t xml:space="preserve"> </w:t>
      </w:r>
      <w:r w:rsidR="00EB1CE9" w:rsidRPr="00D5464D">
        <w:rPr>
          <w:rFonts w:cs="Arial"/>
          <w:szCs w:val="20"/>
          <w:lang w:val="pt-BR"/>
        </w:rPr>
        <w:t>novidade</w:t>
      </w:r>
      <w:r w:rsidR="003771CF" w:rsidRPr="00D5464D">
        <w:rPr>
          <w:rFonts w:cs="Arial"/>
          <w:szCs w:val="20"/>
          <w:lang w:val="pt-BR"/>
        </w:rPr>
        <w:t xml:space="preserve"> </w:t>
      </w:r>
      <w:r w:rsidR="0003391C" w:rsidRPr="00D5464D">
        <w:rPr>
          <w:rFonts w:cs="Arial"/>
          <w:bCs/>
          <w:szCs w:val="20"/>
          <w:lang w:val="pt-BR"/>
        </w:rPr>
        <w:t>significativa</w:t>
      </w:r>
      <w:r w:rsidR="00996473" w:rsidRPr="00D5464D">
        <w:rPr>
          <w:rFonts w:cs="Arial"/>
          <w:bCs/>
          <w:szCs w:val="20"/>
          <w:lang w:val="pt-BR"/>
        </w:rPr>
        <w:t>.</w:t>
      </w:r>
      <w:r w:rsidR="0003391C" w:rsidRPr="00D5464D">
        <w:rPr>
          <w:rStyle w:val="Refdenotaalpie"/>
          <w:rFonts w:cs="Arial"/>
          <w:bCs/>
          <w:lang w:val="pt-BR"/>
        </w:rPr>
        <w:footnoteReference w:id="120"/>
      </w:r>
    </w:p>
    <w:p w14:paraId="53B19554" w14:textId="36A24DBA" w:rsidR="0003391C" w:rsidRPr="00D5464D" w:rsidRDefault="00470ADC" w:rsidP="008622F3">
      <w:pPr>
        <w:pStyle w:val="Ttulo3"/>
        <w:rPr>
          <w:b w:val="0"/>
          <w:lang w:val="pt-BR"/>
        </w:rPr>
      </w:pPr>
      <w:r w:rsidRPr="00D5464D">
        <w:rPr>
          <w:rFonts w:cs="Arial"/>
          <w:szCs w:val="20"/>
          <w:lang w:val="pt-BR"/>
        </w:rPr>
        <w:cr/>
      </w:r>
      <w:bookmarkStart w:id="286" w:name="_Toc468433894"/>
      <w:r w:rsidRPr="00D5464D">
        <w:rPr>
          <w:rFonts w:cs="Arial"/>
          <w:b w:val="0"/>
          <w:szCs w:val="20"/>
          <w:lang w:val="pt-BR"/>
        </w:rPr>
        <w:t xml:space="preserve">A </w:t>
      </w:r>
      <w:bookmarkStart w:id="287" w:name="_Toc460433008"/>
      <w:bookmarkStart w:id="288" w:name="_Toc460441939"/>
      <w:bookmarkStart w:id="289" w:name="_Toc462750757"/>
      <w:bookmarkStart w:id="290" w:name="_Toc462751081"/>
      <w:bookmarkStart w:id="291" w:name="_Toc464813933"/>
      <w:r w:rsidR="0003391C" w:rsidRPr="00D5464D">
        <w:rPr>
          <w:b w:val="0"/>
          <w:lang w:val="pt-BR"/>
        </w:rPr>
        <w:t>visita</w:t>
      </w:r>
      <w:r w:rsidRPr="00D5464D">
        <w:rPr>
          <w:b w:val="0"/>
          <w:lang w:val="pt-BR"/>
        </w:rPr>
        <w:t xml:space="preserve"> à </w:t>
      </w:r>
      <w:r w:rsidR="00D809F0" w:rsidRPr="00D5464D">
        <w:rPr>
          <w:b w:val="0"/>
          <w:lang w:val="pt-BR"/>
        </w:rPr>
        <w:t>Fazenda</w:t>
      </w:r>
      <w:r w:rsidR="0003391C" w:rsidRPr="00D5464D">
        <w:rPr>
          <w:b w:val="0"/>
          <w:lang w:val="pt-BR"/>
        </w:rPr>
        <w:t xml:space="preserve"> Brasil Verde</w:t>
      </w:r>
      <w:r w:rsidR="00E045D9" w:rsidRPr="00D5464D">
        <w:rPr>
          <w:b w:val="0"/>
          <w:lang w:val="pt-BR"/>
        </w:rPr>
        <w:t xml:space="preserve"> e </w:t>
      </w:r>
      <w:r w:rsidR="002C330E" w:rsidRPr="00D5464D">
        <w:rPr>
          <w:b w:val="0"/>
          <w:lang w:val="pt-BR"/>
        </w:rPr>
        <w:t xml:space="preserve">as </w:t>
      </w:r>
      <w:r w:rsidRPr="00D5464D">
        <w:rPr>
          <w:b w:val="0"/>
          <w:lang w:val="pt-BR"/>
        </w:rPr>
        <w:t xml:space="preserve">atuações em </w:t>
      </w:r>
      <w:r w:rsidR="0003391C" w:rsidRPr="00D5464D">
        <w:rPr>
          <w:b w:val="0"/>
          <w:lang w:val="pt-BR"/>
        </w:rPr>
        <w:t>1993</w:t>
      </w:r>
      <w:bookmarkEnd w:id="286"/>
      <w:bookmarkEnd w:id="287"/>
      <w:bookmarkEnd w:id="288"/>
      <w:bookmarkEnd w:id="289"/>
      <w:bookmarkEnd w:id="290"/>
      <w:bookmarkEnd w:id="291"/>
      <w:r w:rsidR="0003391C" w:rsidRPr="00D5464D">
        <w:rPr>
          <w:b w:val="0"/>
          <w:lang w:val="pt-BR"/>
        </w:rPr>
        <w:t xml:space="preserve"> </w:t>
      </w:r>
    </w:p>
    <w:p w14:paraId="5F6A6756" w14:textId="77777777" w:rsidR="00D65024" w:rsidRPr="00D5464D" w:rsidRDefault="00D65024" w:rsidP="00D65024">
      <w:pPr>
        <w:pStyle w:val="Prrafodelista"/>
        <w:autoSpaceDE w:val="0"/>
        <w:autoSpaceDN w:val="0"/>
        <w:adjustRightInd w:val="0"/>
        <w:ind w:left="0"/>
        <w:contextualSpacing w:val="0"/>
        <w:rPr>
          <w:rFonts w:cs="Arial"/>
          <w:szCs w:val="20"/>
          <w:lang w:val="pt-BR"/>
        </w:rPr>
      </w:pPr>
    </w:p>
    <w:p w14:paraId="394FA03C" w14:textId="159C9201" w:rsidR="0003391C" w:rsidRPr="00D5464D" w:rsidRDefault="00C91CB1" w:rsidP="00140440">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Em 2</w:t>
      </w:r>
      <w:r w:rsidR="0003391C" w:rsidRPr="00D5464D">
        <w:rPr>
          <w:rFonts w:cs="Arial"/>
          <w:szCs w:val="20"/>
          <w:lang w:val="pt-BR"/>
        </w:rPr>
        <w:t xml:space="preserve"> de agosto de 1993</w:t>
      </w:r>
      <w:r w:rsidR="00996473" w:rsidRPr="00D5464D">
        <w:rPr>
          <w:rFonts w:cs="Arial"/>
          <w:szCs w:val="20"/>
          <w:lang w:val="pt-BR"/>
        </w:rPr>
        <w:t>,</w:t>
      </w:r>
      <w:r w:rsidR="002C330E" w:rsidRPr="00D5464D">
        <w:rPr>
          <w:rFonts w:cs="Arial"/>
          <w:szCs w:val="20"/>
          <w:lang w:val="pt-BR"/>
        </w:rPr>
        <w:t xml:space="preserve"> a </w:t>
      </w:r>
      <w:r w:rsidR="00631CD6" w:rsidRPr="00D5464D">
        <w:rPr>
          <w:rFonts w:cs="Arial"/>
          <w:szCs w:val="20"/>
          <w:lang w:val="pt-BR"/>
        </w:rPr>
        <w:t xml:space="preserve">Delegacia Regional do Trabalho </w:t>
      </w:r>
      <w:r w:rsidR="0003391C" w:rsidRPr="00D5464D">
        <w:rPr>
          <w:rFonts w:cs="Arial"/>
          <w:szCs w:val="20"/>
          <w:lang w:val="pt-BR"/>
        </w:rPr>
        <w:t>(</w:t>
      </w:r>
      <w:r w:rsidR="00350187" w:rsidRPr="00D5464D">
        <w:rPr>
          <w:rFonts w:cs="Arial"/>
          <w:szCs w:val="20"/>
          <w:lang w:val="pt-BR"/>
        </w:rPr>
        <w:t>doravante denominad</w:t>
      </w:r>
      <w:r w:rsidR="00996473" w:rsidRPr="00D5464D">
        <w:rPr>
          <w:rFonts w:cs="Arial"/>
          <w:szCs w:val="20"/>
          <w:lang w:val="pt-BR"/>
        </w:rPr>
        <w:t>a</w:t>
      </w:r>
      <w:r w:rsidR="0003391C" w:rsidRPr="00D5464D">
        <w:rPr>
          <w:rFonts w:cs="Arial"/>
          <w:szCs w:val="20"/>
          <w:lang w:val="pt-BR"/>
        </w:rPr>
        <w:t xml:space="preserve"> "DRT") </w:t>
      </w:r>
      <w:r w:rsidR="00470ADC" w:rsidRPr="00D5464D">
        <w:rPr>
          <w:rFonts w:cs="Arial"/>
          <w:szCs w:val="20"/>
          <w:lang w:val="pt-BR"/>
        </w:rPr>
        <w:t xml:space="preserve">do </w:t>
      </w:r>
      <w:r w:rsidR="00996473" w:rsidRPr="00D5464D">
        <w:rPr>
          <w:rFonts w:cs="Arial"/>
          <w:szCs w:val="20"/>
          <w:lang w:val="pt-BR"/>
        </w:rPr>
        <w:t>estado do Pará</w:t>
      </w:r>
      <w:r w:rsidR="0003391C" w:rsidRPr="00D5464D">
        <w:rPr>
          <w:rFonts w:cs="Arial"/>
          <w:szCs w:val="20"/>
          <w:lang w:val="pt-BR"/>
        </w:rPr>
        <w:t xml:space="preserve"> </w:t>
      </w:r>
      <w:r w:rsidR="002C330E" w:rsidRPr="00D5464D">
        <w:rPr>
          <w:rFonts w:cs="Arial"/>
          <w:szCs w:val="20"/>
          <w:lang w:val="pt-BR"/>
        </w:rPr>
        <w:t>informou</w:t>
      </w:r>
      <w:r w:rsidR="00470ADC" w:rsidRPr="00D5464D">
        <w:rPr>
          <w:rFonts w:cs="Arial"/>
          <w:szCs w:val="20"/>
          <w:lang w:val="pt-BR"/>
        </w:rPr>
        <w:t xml:space="preserve"> à </w:t>
      </w:r>
      <w:r w:rsidR="0003391C" w:rsidRPr="00D5464D">
        <w:rPr>
          <w:rFonts w:cs="Arial"/>
          <w:szCs w:val="20"/>
          <w:lang w:val="pt-BR"/>
        </w:rPr>
        <w:t>PGR que</w:t>
      </w:r>
      <w:r w:rsidR="00996473" w:rsidRPr="00D5464D">
        <w:rPr>
          <w:rFonts w:cs="Arial"/>
          <w:szCs w:val="20"/>
          <w:lang w:val="pt-BR"/>
        </w:rPr>
        <w:t>,</w:t>
      </w:r>
      <w:r w:rsidR="0003391C" w:rsidRPr="00D5464D">
        <w:rPr>
          <w:rFonts w:cs="Arial"/>
          <w:szCs w:val="20"/>
          <w:lang w:val="pt-BR"/>
        </w:rPr>
        <w:t xml:space="preserve"> </w:t>
      </w:r>
      <w:r w:rsidR="002C330E" w:rsidRPr="00D5464D">
        <w:rPr>
          <w:rFonts w:cs="Arial"/>
          <w:szCs w:val="20"/>
          <w:lang w:val="pt-BR"/>
        </w:rPr>
        <w:t>em 2</w:t>
      </w:r>
      <w:r w:rsidR="0003391C" w:rsidRPr="00D5464D">
        <w:rPr>
          <w:rFonts w:cs="Arial"/>
          <w:szCs w:val="20"/>
          <w:lang w:val="pt-BR"/>
        </w:rPr>
        <w:t xml:space="preserve">6 de </w:t>
      </w:r>
      <w:r w:rsidR="002C330E" w:rsidRPr="00D5464D">
        <w:rPr>
          <w:rFonts w:cs="Arial"/>
          <w:szCs w:val="20"/>
          <w:lang w:val="pt-BR"/>
        </w:rPr>
        <w:t>junho</w:t>
      </w:r>
      <w:r w:rsidR="00E045D9" w:rsidRPr="00D5464D">
        <w:rPr>
          <w:rFonts w:cs="Arial"/>
          <w:szCs w:val="20"/>
          <w:lang w:val="pt-BR"/>
        </w:rPr>
        <w:t xml:space="preserve"> e </w:t>
      </w:r>
      <w:r w:rsidR="002C330E" w:rsidRPr="00D5464D">
        <w:rPr>
          <w:rFonts w:cs="Arial"/>
          <w:szCs w:val="20"/>
          <w:lang w:val="pt-BR"/>
        </w:rPr>
        <w:t>em 3</w:t>
      </w:r>
      <w:r w:rsidR="0003391C" w:rsidRPr="00D5464D">
        <w:rPr>
          <w:rFonts w:cs="Arial"/>
          <w:szCs w:val="20"/>
          <w:lang w:val="pt-BR"/>
        </w:rPr>
        <w:t xml:space="preserve"> de </w:t>
      </w:r>
      <w:r w:rsidR="002C330E" w:rsidRPr="00D5464D">
        <w:rPr>
          <w:rFonts w:cs="Arial"/>
          <w:szCs w:val="20"/>
          <w:lang w:val="pt-BR"/>
        </w:rPr>
        <w:t>julho</w:t>
      </w:r>
      <w:r w:rsidR="0003391C" w:rsidRPr="00D5464D">
        <w:rPr>
          <w:rFonts w:cs="Arial"/>
          <w:szCs w:val="20"/>
          <w:lang w:val="pt-BR"/>
        </w:rPr>
        <w:t xml:space="preserve"> de 1993</w:t>
      </w:r>
      <w:r w:rsidR="00996473" w:rsidRPr="00D5464D">
        <w:rPr>
          <w:rFonts w:cs="Arial"/>
          <w:szCs w:val="20"/>
          <w:lang w:val="pt-BR"/>
        </w:rPr>
        <w:t>,</w:t>
      </w:r>
      <w:r w:rsidR="0003391C" w:rsidRPr="00D5464D">
        <w:rPr>
          <w:rFonts w:cs="Arial"/>
          <w:szCs w:val="20"/>
          <w:lang w:val="pt-BR"/>
        </w:rPr>
        <w:t xml:space="preserve"> </w:t>
      </w:r>
      <w:r w:rsidR="002C330E" w:rsidRPr="00D5464D">
        <w:rPr>
          <w:rFonts w:cs="Arial"/>
          <w:szCs w:val="20"/>
          <w:lang w:val="pt-BR"/>
        </w:rPr>
        <w:t>havia</w:t>
      </w:r>
      <w:r w:rsidR="0003391C" w:rsidRPr="00D5464D">
        <w:rPr>
          <w:rFonts w:cs="Arial"/>
          <w:szCs w:val="20"/>
          <w:lang w:val="pt-BR"/>
        </w:rPr>
        <w:t xml:space="preserve"> realizado visitas de fiscaliza</w:t>
      </w:r>
      <w:r w:rsidR="00470ADC" w:rsidRPr="00D5464D">
        <w:rPr>
          <w:rFonts w:cs="Arial"/>
          <w:szCs w:val="20"/>
          <w:lang w:val="pt-BR"/>
        </w:rPr>
        <w:t>ção</w:t>
      </w:r>
      <w:r w:rsidR="0003391C" w:rsidRPr="00D5464D">
        <w:rPr>
          <w:rFonts w:cs="Arial"/>
          <w:szCs w:val="20"/>
          <w:lang w:val="pt-BR"/>
        </w:rPr>
        <w:t xml:space="preserve"> a </w:t>
      </w:r>
      <w:r w:rsidR="00E045D9" w:rsidRPr="00D5464D">
        <w:rPr>
          <w:rFonts w:cs="Arial"/>
          <w:szCs w:val="20"/>
          <w:lang w:val="pt-BR"/>
        </w:rPr>
        <w:t>várias</w:t>
      </w:r>
      <w:r w:rsidR="0003391C" w:rsidRPr="00D5464D">
        <w:rPr>
          <w:rFonts w:cs="Arial"/>
          <w:szCs w:val="20"/>
          <w:lang w:val="pt-BR"/>
        </w:rPr>
        <w:t xml:space="preserve"> </w:t>
      </w:r>
      <w:r w:rsidR="00D809F0" w:rsidRPr="00D5464D">
        <w:rPr>
          <w:rFonts w:cs="Arial"/>
          <w:szCs w:val="20"/>
          <w:lang w:val="pt-BR"/>
        </w:rPr>
        <w:t>fazenda</w:t>
      </w:r>
      <w:r w:rsidR="0003391C" w:rsidRPr="00D5464D">
        <w:rPr>
          <w:rFonts w:cs="Arial"/>
          <w:szCs w:val="20"/>
          <w:lang w:val="pt-BR"/>
        </w:rPr>
        <w:t>s</w:t>
      </w:r>
      <w:r w:rsidR="00470ADC" w:rsidRPr="00D5464D">
        <w:rPr>
          <w:rFonts w:cs="Arial"/>
          <w:szCs w:val="20"/>
          <w:lang w:val="pt-BR"/>
        </w:rPr>
        <w:t xml:space="preserve"> com</w:t>
      </w:r>
      <w:r w:rsidR="002C330E" w:rsidRPr="00D5464D">
        <w:rPr>
          <w:rFonts w:cs="Arial"/>
          <w:szCs w:val="20"/>
          <w:lang w:val="pt-BR"/>
        </w:rPr>
        <w:t xml:space="preserve"> a presença </w:t>
      </w:r>
      <w:r w:rsidR="0003391C" w:rsidRPr="00D5464D">
        <w:rPr>
          <w:rFonts w:cs="Arial"/>
          <w:szCs w:val="20"/>
          <w:lang w:val="pt-BR"/>
        </w:rPr>
        <w:t xml:space="preserve">de </w:t>
      </w:r>
      <w:r w:rsidR="00470ADC" w:rsidRPr="00D5464D">
        <w:rPr>
          <w:rFonts w:cs="Arial"/>
          <w:szCs w:val="20"/>
          <w:lang w:val="pt-BR"/>
        </w:rPr>
        <w:t>quatro</w:t>
      </w:r>
      <w:r w:rsidR="0003391C" w:rsidRPr="00D5464D">
        <w:rPr>
          <w:rFonts w:cs="Arial"/>
          <w:szCs w:val="20"/>
          <w:lang w:val="pt-BR"/>
        </w:rPr>
        <w:t xml:space="preserve"> agentes </w:t>
      </w:r>
      <w:r w:rsidR="002C330E" w:rsidRPr="00D5464D">
        <w:rPr>
          <w:rFonts w:cs="Arial"/>
          <w:szCs w:val="20"/>
          <w:lang w:val="pt-BR"/>
        </w:rPr>
        <w:t>policiais</w:t>
      </w:r>
      <w:r w:rsidR="0003391C" w:rsidRPr="00D5464D">
        <w:rPr>
          <w:rFonts w:cs="Arial"/>
          <w:szCs w:val="20"/>
          <w:lang w:val="pt-BR"/>
        </w:rPr>
        <w:t xml:space="preserve"> </w:t>
      </w:r>
      <w:r w:rsidRPr="00D5464D">
        <w:rPr>
          <w:rFonts w:cs="Arial"/>
          <w:szCs w:val="20"/>
          <w:lang w:val="pt-BR"/>
        </w:rPr>
        <w:t>federais</w:t>
      </w:r>
      <w:r w:rsidR="0003391C" w:rsidRPr="00D5464D">
        <w:rPr>
          <w:rFonts w:cs="Arial"/>
          <w:szCs w:val="20"/>
          <w:lang w:val="pt-BR"/>
        </w:rPr>
        <w:t>, entre</w:t>
      </w:r>
      <w:r w:rsidR="00470ADC" w:rsidRPr="00D5464D">
        <w:rPr>
          <w:rFonts w:cs="Arial"/>
          <w:szCs w:val="20"/>
          <w:lang w:val="pt-BR"/>
        </w:rPr>
        <w:t xml:space="preserve"> ela</w:t>
      </w:r>
      <w:r w:rsidR="0003391C" w:rsidRPr="00D5464D">
        <w:rPr>
          <w:rFonts w:cs="Arial"/>
          <w:szCs w:val="20"/>
          <w:lang w:val="pt-BR"/>
        </w:rPr>
        <w:t>s</w:t>
      </w:r>
      <w:r w:rsidR="00470ADC" w:rsidRPr="00D5464D">
        <w:rPr>
          <w:rFonts w:cs="Arial"/>
          <w:szCs w:val="20"/>
          <w:lang w:val="pt-BR"/>
        </w:rPr>
        <w:t xml:space="preserve"> à </w:t>
      </w:r>
      <w:r w:rsidR="00D809F0" w:rsidRPr="00D5464D">
        <w:rPr>
          <w:rFonts w:cs="Arial"/>
          <w:szCs w:val="20"/>
          <w:lang w:val="pt-BR"/>
        </w:rPr>
        <w:t>Fazenda</w:t>
      </w:r>
      <w:r w:rsidR="0003391C" w:rsidRPr="00D5464D">
        <w:rPr>
          <w:rFonts w:cs="Arial"/>
          <w:szCs w:val="20"/>
          <w:lang w:val="pt-BR"/>
        </w:rPr>
        <w:t xml:space="preserve"> Brasil Verde</w:t>
      </w:r>
      <w:r w:rsidR="00996473" w:rsidRPr="00D5464D">
        <w:rPr>
          <w:rFonts w:cs="Arial"/>
          <w:szCs w:val="20"/>
          <w:lang w:val="pt-BR"/>
        </w:rPr>
        <w:t>.</w:t>
      </w:r>
      <w:r w:rsidR="0003391C" w:rsidRPr="00D5464D">
        <w:rPr>
          <w:rStyle w:val="Refdenotaalpie"/>
          <w:rFonts w:cs="Arial"/>
          <w:lang w:val="pt-BR"/>
        </w:rPr>
        <w:footnoteReference w:id="121"/>
      </w:r>
      <w:r w:rsidR="00A1358C" w:rsidRPr="00D5464D">
        <w:rPr>
          <w:rFonts w:cs="Arial"/>
          <w:szCs w:val="20"/>
          <w:lang w:val="pt-BR"/>
        </w:rPr>
        <w:t xml:space="preserve"> A </w:t>
      </w:r>
      <w:r w:rsidR="0003391C" w:rsidRPr="00D5464D">
        <w:rPr>
          <w:rFonts w:cs="Arial"/>
          <w:szCs w:val="20"/>
          <w:lang w:val="pt-BR"/>
        </w:rPr>
        <w:t xml:space="preserve">DRT </w:t>
      </w:r>
      <w:r w:rsidR="002C330E" w:rsidRPr="00D5464D">
        <w:rPr>
          <w:rFonts w:cs="Arial"/>
          <w:szCs w:val="20"/>
          <w:lang w:val="pt-BR"/>
        </w:rPr>
        <w:t>afirmou</w:t>
      </w:r>
      <w:r w:rsidR="0003391C" w:rsidRPr="00D5464D">
        <w:rPr>
          <w:rFonts w:cs="Arial"/>
          <w:szCs w:val="20"/>
          <w:lang w:val="pt-BR"/>
        </w:rPr>
        <w:t xml:space="preserve"> que n</w:t>
      </w:r>
      <w:r w:rsidR="00996473" w:rsidRPr="00D5464D">
        <w:rPr>
          <w:rFonts w:cs="Arial"/>
          <w:szCs w:val="20"/>
          <w:lang w:val="pt-BR"/>
        </w:rPr>
        <w:t>ã</w:t>
      </w:r>
      <w:r w:rsidR="0003391C" w:rsidRPr="00D5464D">
        <w:rPr>
          <w:rFonts w:cs="Arial"/>
          <w:szCs w:val="20"/>
          <w:lang w:val="pt-BR"/>
        </w:rPr>
        <w:t xml:space="preserve">o </w:t>
      </w:r>
      <w:r w:rsidR="002C330E" w:rsidRPr="00D5464D">
        <w:rPr>
          <w:rFonts w:cs="Arial"/>
          <w:szCs w:val="20"/>
          <w:lang w:val="pt-BR"/>
        </w:rPr>
        <w:t>havia</w:t>
      </w:r>
      <w:r w:rsidR="0003391C" w:rsidRPr="00D5464D">
        <w:rPr>
          <w:rFonts w:cs="Arial"/>
          <w:szCs w:val="20"/>
          <w:lang w:val="pt-BR"/>
        </w:rPr>
        <w:t xml:space="preserve"> encontrado </w:t>
      </w:r>
      <w:r w:rsidR="00311C6D" w:rsidRPr="00D5464D">
        <w:rPr>
          <w:rFonts w:cs="Arial"/>
          <w:szCs w:val="20"/>
          <w:lang w:val="pt-BR"/>
        </w:rPr>
        <w:t xml:space="preserve">a </w:t>
      </w:r>
      <w:r w:rsidR="0003391C" w:rsidRPr="00D5464D">
        <w:rPr>
          <w:rFonts w:cs="Arial"/>
          <w:szCs w:val="20"/>
          <w:lang w:val="pt-BR"/>
        </w:rPr>
        <w:t>configura</w:t>
      </w:r>
      <w:r w:rsidR="00311C6D" w:rsidRPr="00D5464D">
        <w:rPr>
          <w:rFonts w:cs="Arial"/>
          <w:szCs w:val="20"/>
          <w:lang w:val="pt-BR"/>
        </w:rPr>
        <w:t>ção</w:t>
      </w:r>
      <w:r w:rsidR="002C330E" w:rsidRPr="00D5464D">
        <w:rPr>
          <w:rFonts w:cs="Arial"/>
          <w:szCs w:val="20"/>
          <w:lang w:val="pt-BR"/>
        </w:rPr>
        <w:t xml:space="preserve"> </w:t>
      </w:r>
      <w:r w:rsidR="00311C6D" w:rsidRPr="00D5464D">
        <w:rPr>
          <w:rFonts w:cs="Arial"/>
          <w:szCs w:val="20"/>
          <w:lang w:val="pt-BR"/>
        </w:rPr>
        <w:t>d</w:t>
      </w:r>
      <w:r w:rsidR="002C330E" w:rsidRPr="00D5464D">
        <w:rPr>
          <w:rFonts w:cs="Arial"/>
          <w:szCs w:val="20"/>
          <w:lang w:val="pt-BR"/>
        </w:rPr>
        <w:t>a prática</w:t>
      </w:r>
      <w:r w:rsidR="0003391C" w:rsidRPr="00D5464D">
        <w:rPr>
          <w:rFonts w:cs="Arial"/>
          <w:szCs w:val="20"/>
          <w:lang w:val="pt-BR"/>
        </w:rPr>
        <w:t xml:space="preserve"> de </w:t>
      </w:r>
      <w:r w:rsidR="000B376D" w:rsidRPr="00D5464D">
        <w:rPr>
          <w:rFonts w:cs="Arial"/>
          <w:szCs w:val="20"/>
          <w:lang w:val="pt-BR"/>
        </w:rPr>
        <w:t>escravidão</w:t>
      </w:r>
      <w:r w:rsidR="0003391C" w:rsidRPr="00D5464D">
        <w:rPr>
          <w:rFonts w:cs="Arial"/>
          <w:szCs w:val="20"/>
          <w:lang w:val="pt-BR"/>
        </w:rPr>
        <w:t xml:space="preserve">, </w:t>
      </w:r>
      <w:r w:rsidR="002C330E" w:rsidRPr="00D5464D">
        <w:rPr>
          <w:rFonts w:cs="Arial"/>
          <w:szCs w:val="20"/>
          <w:lang w:val="pt-BR"/>
        </w:rPr>
        <w:t>mas</w:t>
      </w:r>
      <w:r w:rsidR="0003391C" w:rsidRPr="00D5464D">
        <w:rPr>
          <w:rFonts w:cs="Arial"/>
          <w:szCs w:val="20"/>
          <w:lang w:val="pt-BR"/>
        </w:rPr>
        <w:t xml:space="preserve"> que</w:t>
      </w:r>
      <w:r w:rsidR="00737270" w:rsidRPr="00D5464D">
        <w:rPr>
          <w:rFonts w:cs="Arial"/>
          <w:szCs w:val="20"/>
          <w:lang w:val="pt-BR"/>
        </w:rPr>
        <w:t xml:space="preserve"> haviam </w:t>
      </w:r>
      <w:r w:rsidR="0003391C" w:rsidRPr="00D5464D">
        <w:rPr>
          <w:rFonts w:cs="Arial"/>
          <w:szCs w:val="20"/>
          <w:lang w:val="pt-BR"/>
        </w:rPr>
        <w:t xml:space="preserve">sido encontrados 49 </w:t>
      </w:r>
      <w:r w:rsidR="00E045D9" w:rsidRPr="00D5464D">
        <w:rPr>
          <w:rFonts w:cs="Arial"/>
          <w:szCs w:val="20"/>
          <w:lang w:val="pt-BR"/>
        </w:rPr>
        <w:t>trabalhadores</w:t>
      </w:r>
      <w:r w:rsidR="002C330E" w:rsidRPr="00D5464D">
        <w:rPr>
          <w:rFonts w:cs="Arial"/>
          <w:szCs w:val="20"/>
          <w:lang w:val="pt-BR"/>
        </w:rPr>
        <w:t xml:space="preserve"> sem </w:t>
      </w:r>
      <w:r w:rsidR="00737270" w:rsidRPr="00D5464D">
        <w:rPr>
          <w:rFonts w:cs="Arial"/>
          <w:szCs w:val="20"/>
          <w:lang w:val="pt-BR"/>
        </w:rPr>
        <w:t>seus registros</w:t>
      </w:r>
      <w:r w:rsidR="0003391C" w:rsidRPr="00D5464D">
        <w:rPr>
          <w:rFonts w:cs="Arial"/>
          <w:szCs w:val="20"/>
          <w:lang w:val="pt-BR"/>
        </w:rPr>
        <w:t xml:space="preserve"> </w:t>
      </w:r>
      <w:r w:rsidR="00996473" w:rsidRPr="00D5464D">
        <w:rPr>
          <w:rFonts w:cs="Arial"/>
          <w:szCs w:val="20"/>
          <w:lang w:val="pt-BR"/>
        </w:rPr>
        <w:t xml:space="preserve">trabalhistas </w:t>
      </w:r>
      <w:r w:rsidR="00470ADC" w:rsidRPr="00D5464D">
        <w:rPr>
          <w:rFonts w:cs="Arial"/>
          <w:szCs w:val="20"/>
          <w:lang w:val="pt-BR"/>
        </w:rPr>
        <w:t xml:space="preserve">em </w:t>
      </w:r>
      <w:r w:rsidR="0003391C" w:rsidRPr="00D5464D">
        <w:rPr>
          <w:rFonts w:cs="Arial"/>
          <w:szCs w:val="20"/>
          <w:lang w:val="pt-BR"/>
        </w:rPr>
        <w:t>su</w:t>
      </w:r>
      <w:r w:rsidR="00996473" w:rsidRPr="00D5464D">
        <w:rPr>
          <w:rFonts w:cs="Arial"/>
          <w:szCs w:val="20"/>
          <w:lang w:val="pt-BR"/>
        </w:rPr>
        <w:t>a</w:t>
      </w:r>
      <w:r w:rsidR="0003391C" w:rsidRPr="00D5464D">
        <w:rPr>
          <w:rFonts w:cs="Arial"/>
          <w:szCs w:val="20"/>
          <w:lang w:val="pt-BR"/>
        </w:rPr>
        <w:t xml:space="preserve">s </w:t>
      </w:r>
      <w:r w:rsidR="00996473" w:rsidRPr="00D5464D">
        <w:rPr>
          <w:rFonts w:cs="Arial"/>
          <w:szCs w:val="20"/>
          <w:lang w:val="pt-BR"/>
        </w:rPr>
        <w:t xml:space="preserve">carteiras </w:t>
      </w:r>
      <w:r w:rsidR="0003391C" w:rsidRPr="00D5464D">
        <w:rPr>
          <w:rFonts w:cs="Arial"/>
          <w:szCs w:val="20"/>
          <w:lang w:val="pt-BR"/>
        </w:rPr>
        <w:t xml:space="preserve">de </w:t>
      </w:r>
      <w:r w:rsidR="00E045D9" w:rsidRPr="00D5464D">
        <w:rPr>
          <w:rFonts w:cs="Arial"/>
          <w:szCs w:val="20"/>
          <w:lang w:val="pt-BR"/>
        </w:rPr>
        <w:t>trabalho</w:t>
      </w:r>
      <w:r w:rsidR="0003391C" w:rsidRPr="00D5464D">
        <w:rPr>
          <w:rFonts w:cs="Arial"/>
          <w:szCs w:val="20"/>
          <w:lang w:val="pt-BR"/>
        </w:rPr>
        <w:t xml:space="preserve"> (CTPS). </w:t>
      </w:r>
      <w:r w:rsidR="00350187" w:rsidRPr="00D5464D">
        <w:rPr>
          <w:rFonts w:cs="Arial"/>
          <w:szCs w:val="20"/>
          <w:lang w:val="pt-BR"/>
        </w:rPr>
        <w:t xml:space="preserve">Além disso, </w:t>
      </w:r>
      <w:r w:rsidR="005F3480" w:rsidRPr="00D5464D">
        <w:rPr>
          <w:rFonts w:cs="Arial"/>
          <w:szCs w:val="20"/>
          <w:lang w:val="pt-BR"/>
        </w:rPr>
        <w:t>afirmou</w:t>
      </w:r>
      <w:r w:rsidR="0003391C" w:rsidRPr="00D5464D">
        <w:rPr>
          <w:rFonts w:cs="Arial"/>
          <w:szCs w:val="20"/>
          <w:lang w:val="pt-BR"/>
        </w:rPr>
        <w:t xml:space="preserve"> que</w:t>
      </w:r>
      <w:r w:rsidR="00E045D9" w:rsidRPr="00D5464D">
        <w:rPr>
          <w:rFonts w:cs="Arial"/>
          <w:szCs w:val="20"/>
          <w:lang w:val="pt-BR"/>
        </w:rPr>
        <w:t xml:space="preserve"> na </w:t>
      </w:r>
      <w:r w:rsidR="00470ADC" w:rsidRPr="00D5464D">
        <w:rPr>
          <w:rFonts w:cs="Arial"/>
          <w:szCs w:val="20"/>
          <w:lang w:val="pt-BR"/>
        </w:rPr>
        <w:t>diligência</w:t>
      </w:r>
      <w:r w:rsidR="0003391C" w:rsidRPr="00D5464D">
        <w:rPr>
          <w:rFonts w:cs="Arial"/>
          <w:szCs w:val="20"/>
          <w:lang w:val="pt-BR"/>
        </w:rPr>
        <w:t xml:space="preserve"> </w:t>
      </w:r>
      <w:r w:rsidR="002C330E" w:rsidRPr="00D5464D">
        <w:rPr>
          <w:rFonts w:cs="Arial"/>
          <w:szCs w:val="20"/>
          <w:lang w:val="pt-BR"/>
        </w:rPr>
        <w:t>havia</w:t>
      </w:r>
      <w:r w:rsidR="0003391C" w:rsidRPr="00D5464D">
        <w:rPr>
          <w:rFonts w:cs="Arial"/>
          <w:szCs w:val="20"/>
          <w:lang w:val="pt-BR"/>
        </w:rPr>
        <w:t xml:space="preserve"> determinado</w:t>
      </w:r>
      <w:r w:rsidR="00470ADC" w:rsidRPr="00D5464D">
        <w:rPr>
          <w:rFonts w:cs="Arial"/>
          <w:szCs w:val="20"/>
          <w:lang w:val="pt-BR"/>
        </w:rPr>
        <w:t xml:space="preserve"> o </w:t>
      </w:r>
      <w:r w:rsidR="0003391C" w:rsidRPr="00D5464D">
        <w:rPr>
          <w:rFonts w:cs="Arial"/>
          <w:szCs w:val="20"/>
          <w:lang w:val="pt-BR"/>
        </w:rPr>
        <w:t>retorno</w:t>
      </w:r>
      <w:r w:rsidR="00470ADC" w:rsidRPr="00D5464D">
        <w:rPr>
          <w:rFonts w:cs="Arial"/>
          <w:szCs w:val="20"/>
          <w:lang w:val="pt-BR"/>
        </w:rPr>
        <w:t xml:space="preserve"> ao </w:t>
      </w:r>
      <w:r w:rsidR="0003391C" w:rsidRPr="00D5464D">
        <w:rPr>
          <w:rFonts w:cs="Arial"/>
          <w:szCs w:val="20"/>
          <w:lang w:val="pt-BR"/>
        </w:rPr>
        <w:t xml:space="preserve">lugar de </w:t>
      </w:r>
      <w:r w:rsidR="002C330E" w:rsidRPr="00D5464D">
        <w:rPr>
          <w:rFonts w:cs="Arial"/>
          <w:szCs w:val="20"/>
          <w:lang w:val="pt-BR"/>
        </w:rPr>
        <w:t>origem</w:t>
      </w:r>
      <w:r w:rsidR="0003391C" w:rsidRPr="00D5464D">
        <w:rPr>
          <w:rFonts w:cs="Arial"/>
          <w:szCs w:val="20"/>
          <w:lang w:val="pt-BR"/>
        </w:rPr>
        <w:t xml:space="preserve"> de </w:t>
      </w:r>
      <w:r w:rsidR="00E045D9" w:rsidRPr="00D5464D">
        <w:rPr>
          <w:rFonts w:cs="Arial"/>
          <w:szCs w:val="20"/>
          <w:lang w:val="pt-BR"/>
        </w:rPr>
        <w:t>vários</w:t>
      </w:r>
      <w:r w:rsidR="0003391C" w:rsidRPr="00D5464D">
        <w:rPr>
          <w:rFonts w:cs="Arial"/>
          <w:szCs w:val="20"/>
          <w:lang w:val="pt-BR"/>
        </w:rPr>
        <w:t xml:space="preserve"> </w:t>
      </w:r>
      <w:r w:rsidR="00E045D9" w:rsidRPr="00D5464D">
        <w:rPr>
          <w:rFonts w:cs="Arial"/>
          <w:szCs w:val="20"/>
          <w:lang w:val="pt-BR"/>
        </w:rPr>
        <w:t>trabalhadores</w:t>
      </w:r>
      <w:r w:rsidR="0003391C" w:rsidRPr="00D5464D">
        <w:rPr>
          <w:rFonts w:cs="Arial"/>
          <w:szCs w:val="20"/>
          <w:lang w:val="pt-BR"/>
        </w:rPr>
        <w:t xml:space="preserve"> que</w:t>
      </w:r>
      <w:r w:rsidR="00737270" w:rsidRPr="00D5464D">
        <w:rPr>
          <w:rFonts w:cs="Arial"/>
          <w:szCs w:val="20"/>
          <w:lang w:val="pt-BR"/>
        </w:rPr>
        <w:t xml:space="preserve"> haviam </w:t>
      </w:r>
      <w:r w:rsidR="0003391C" w:rsidRPr="00D5464D">
        <w:rPr>
          <w:rFonts w:cs="Arial"/>
          <w:szCs w:val="20"/>
          <w:lang w:val="pt-BR"/>
        </w:rPr>
        <w:t>sido contratados irregularmente</w:t>
      </w:r>
      <w:r w:rsidR="00E045D9" w:rsidRPr="00D5464D">
        <w:rPr>
          <w:rFonts w:cs="Arial"/>
          <w:szCs w:val="20"/>
          <w:lang w:val="pt-BR"/>
        </w:rPr>
        <w:t xml:space="preserve"> e </w:t>
      </w:r>
      <w:r w:rsidR="0003391C" w:rsidRPr="00D5464D">
        <w:rPr>
          <w:rFonts w:cs="Arial"/>
          <w:szCs w:val="20"/>
          <w:lang w:val="pt-BR"/>
        </w:rPr>
        <w:t>que</w:t>
      </w:r>
      <w:r w:rsidR="00737270" w:rsidRPr="00D5464D">
        <w:rPr>
          <w:rFonts w:cs="Arial"/>
          <w:szCs w:val="20"/>
          <w:lang w:val="pt-BR"/>
        </w:rPr>
        <w:t xml:space="preserve"> haviam </w:t>
      </w:r>
      <w:r w:rsidR="0003391C" w:rsidRPr="00D5464D">
        <w:rPr>
          <w:rFonts w:cs="Arial"/>
          <w:szCs w:val="20"/>
          <w:lang w:val="pt-BR"/>
        </w:rPr>
        <w:t>manifestado</w:t>
      </w:r>
      <w:r w:rsidR="00470ADC" w:rsidRPr="00D5464D">
        <w:rPr>
          <w:rFonts w:cs="Arial"/>
          <w:szCs w:val="20"/>
          <w:lang w:val="pt-BR"/>
        </w:rPr>
        <w:t xml:space="preserve"> o</w:t>
      </w:r>
      <w:r w:rsidR="00737270" w:rsidRPr="00D5464D">
        <w:rPr>
          <w:rFonts w:cs="Arial"/>
          <w:szCs w:val="20"/>
          <w:lang w:val="pt-BR"/>
        </w:rPr>
        <w:t xml:space="preserve"> desejo </w:t>
      </w:r>
      <w:r w:rsidR="0003391C" w:rsidRPr="00D5464D">
        <w:rPr>
          <w:rFonts w:cs="Arial"/>
          <w:szCs w:val="20"/>
          <w:lang w:val="pt-BR"/>
        </w:rPr>
        <w:t xml:space="preserve">de </w:t>
      </w:r>
      <w:r w:rsidR="00470ADC" w:rsidRPr="00D5464D">
        <w:rPr>
          <w:rFonts w:cs="Arial"/>
          <w:szCs w:val="20"/>
          <w:lang w:val="pt-BR"/>
        </w:rPr>
        <w:t>deixar</w:t>
      </w:r>
      <w:r w:rsidR="002C330E" w:rsidRPr="00D5464D">
        <w:rPr>
          <w:rFonts w:cs="Arial"/>
          <w:szCs w:val="20"/>
          <w:lang w:val="pt-BR"/>
        </w:rPr>
        <w:t xml:space="preserve"> a </w:t>
      </w:r>
      <w:r w:rsidR="00D809F0" w:rsidRPr="00D5464D">
        <w:rPr>
          <w:rFonts w:cs="Arial"/>
          <w:szCs w:val="20"/>
          <w:lang w:val="pt-BR"/>
        </w:rPr>
        <w:t>Fazenda</w:t>
      </w:r>
      <w:r w:rsidR="00631CD6" w:rsidRPr="00D5464D">
        <w:rPr>
          <w:rFonts w:cs="Arial"/>
          <w:szCs w:val="20"/>
          <w:lang w:val="pt-BR"/>
        </w:rPr>
        <w:t>.</w:t>
      </w:r>
      <w:r w:rsidR="0003391C" w:rsidRPr="00D5464D">
        <w:rPr>
          <w:rStyle w:val="Refdenotaalpie"/>
          <w:rFonts w:cs="Arial"/>
          <w:lang w:val="pt-BR"/>
        </w:rPr>
        <w:footnoteReference w:id="122"/>
      </w:r>
      <w:r w:rsidR="00230C71" w:rsidRPr="00D5464D">
        <w:rPr>
          <w:rFonts w:cs="Arial"/>
          <w:szCs w:val="20"/>
          <w:lang w:val="pt-BR"/>
        </w:rPr>
        <w:t xml:space="preserve"> </w:t>
      </w:r>
      <w:r w:rsidR="00631CD6" w:rsidRPr="00D5464D">
        <w:rPr>
          <w:rFonts w:cs="Arial"/>
          <w:szCs w:val="20"/>
          <w:lang w:val="pt-BR"/>
        </w:rPr>
        <w:t>N</w:t>
      </w:r>
      <w:r w:rsidR="00230C71" w:rsidRPr="00D5464D">
        <w:rPr>
          <w:rFonts w:cs="Arial"/>
          <w:szCs w:val="20"/>
          <w:lang w:val="pt-BR"/>
        </w:rPr>
        <w:t>ão foram</w:t>
      </w:r>
      <w:r w:rsidR="0003391C" w:rsidRPr="00D5464D">
        <w:rPr>
          <w:rFonts w:cs="Arial"/>
          <w:szCs w:val="20"/>
          <w:lang w:val="pt-BR"/>
        </w:rPr>
        <w:t xml:space="preserve"> indicados</w:t>
      </w:r>
      <w:r w:rsidR="002C330E" w:rsidRPr="00D5464D">
        <w:rPr>
          <w:rFonts w:cs="Arial"/>
          <w:szCs w:val="20"/>
          <w:lang w:val="pt-BR"/>
        </w:rPr>
        <w:t xml:space="preserve"> os nome</w:t>
      </w:r>
      <w:r w:rsidR="0003391C" w:rsidRPr="00D5464D">
        <w:rPr>
          <w:rFonts w:cs="Arial"/>
          <w:szCs w:val="20"/>
          <w:lang w:val="pt-BR"/>
        </w:rPr>
        <w:t>s</w:t>
      </w:r>
      <w:r w:rsidR="00470ADC" w:rsidRPr="00D5464D">
        <w:rPr>
          <w:rFonts w:cs="Arial"/>
          <w:szCs w:val="20"/>
          <w:lang w:val="pt-BR"/>
        </w:rPr>
        <w:t xml:space="preserve"> dos </w:t>
      </w:r>
      <w:r w:rsidR="00E045D9" w:rsidRPr="00D5464D">
        <w:rPr>
          <w:rFonts w:cs="Arial"/>
          <w:szCs w:val="20"/>
          <w:lang w:val="pt-BR"/>
        </w:rPr>
        <w:t>trabalhadores</w:t>
      </w:r>
      <w:r w:rsidR="0003391C" w:rsidRPr="00D5464D">
        <w:rPr>
          <w:rFonts w:cs="Arial"/>
          <w:szCs w:val="20"/>
          <w:lang w:val="pt-BR"/>
        </w:rPr>
        <w:t xml:space="preserve"> </w:t>
      </w:r>
      <w:r w:rsidR="00631CD6" w:rsidRPr="00D5464D">
        <w:rPr>
          <w:rFonts w:cs="Arial"/>
          <w:szCs w:val="20"/>
          <w:lang w:val="pt-BR"/>
        </w:rPr>
        <w:t xml:space="preserve">sem </w:t>
      </w:r>
      <w:r w:rsidR="00737270" w:rsidRPr="00D5464D">
        <w:rPr>
          <w:rFonts w:cs="Arial"/>
          <w:szCs w:val="20"/>
          <w:lang w:val="pt-BR"/>
        </w:rPr>
        <w:t>registros</w:t>
      </w:r>
      <w:r w:rsidR="0003391C" w:rsidRPr="00D5464D">
        <w:rPr>
          <w:rFonts w:cs="Arial"/>
          <w:szCs w:val="20"/>
          <w:lang w:val="pt-BR"/>
        </w:rPr>
        <w:t xml:space="preserve"> </w:t>
      </w:r>
      <w:r w:rsidR="00631CD6" w:rsidRPr="00D5464D">
        <w:rPr>
          <w:rFonts w:cs="Arial"/>
          <w:szCs w:val="20"/>
          <w:lang w:val="pt-BR"/>
        </w:rPr>
        <w:t xml:space="preserve">trabalhistas </w:t>
      </w:r>
      <w:r w:rsidR="002C330E" w:rsidRPr="00D5464D">
        <w:rPr>
          <w:rFonts w:cs="Arial"/>
          <w:szCs w:val="20"/>
          <w:lang w:val="pt-BR"/>
        </w:rPr>
        <w:t xml:space="preserve">nem </w:t>
      </w:r>
      <w:r w:rsidR="00470ADC" w:rsidRPr="00D5464D">
        <w:rPr>
          <w:rFonts w:cs="Arial"/>
          <w:szCs w:val="20"/>
          <w:lang w:val="pt-BR"/>
        </w:rPr>
        <w:t xml:space="preserve">dos </w:t>
      </w:r>
      <w:r w:rsidR="0003391C" w:rsidRPr="00D5464D">
        <w:rPr>
          <w:rFonts w:cs="Arial"/>
          <w:szCs w:val="20"/>
          <w:lang w:val="pt-BR"/>
        </w:rPr>
        <w:t xml:space="preserve">que </w:t>
      </w:r>
      <w:r w:rsidR="00470ADC" w:rsidRPr="00D5464D">
        <w:rPr>
          <w:rFonts w:cs="Arial"/>
          <w:szCs w:val="20"/>
          <w:lang w:val="pt-BR"/>
        </w:rPr>
        <w:t>foram</w:t>
      </w:r>
      <w:r w:rsidR="0003391C" w:rsidRPr="00D5464D">
        <w:rPr>
          <w:rFonts w:cs="Arial"/>
          <w:szCs w:val="20"/>
          <w:lang w:val="pt-BR"/>
        </w:rPr>
        <w:t xml:space="preserve"> </w:t>
      </w:r>
      <w:r w:rsidR="00631CD6" w:rsidRPr="00D5464D">
        <w:rPr>
          <w:rFonts w:cs="Arial"/>
          <w:szCs w:val="20"/>
          <w:lang w:val="pt-BR"/>
        </w:rPr>
        <w:t xml:space="preserve">devolvidos </w:t>
      </w:r>
      <w:r w:rsidR="0003391C" w:rsidRPr="00D5464D">
        <w:rPr>
          <w:rFonts w:cs="Arial"/>
          <w:szCs w:val="20"/>
          <w:lang w:val="pt-BR"/>
        </w:rPr>
        <w:t xml:space="preserve">a </w:t>
      </w:r>
      <w:r w:rsidR="00737270" w:rsidRPr="00D5464D">
        <w:rPr>
          <w:rFonts w:cs="Arial"/>
          <w:szCs w:val="20"/>
          <w:lang w:val="pt-BR"/>
        </w:rPr>
        <w:t>seus lugares</w:t>
      </w:r>
      <w:r w:rsidR="0003391C" w:rsidRPr="00D5464D">
        <w:rPr>
          <w:rFonts w:cs="Arial"/>
          <w:szCs w:val="20"/>
          <w:lang w:val="pt-BR"/>
        </w:rPr>
        <w:t xml:space="preserve"> de </w:t>
      </w:r>
      <w:r w:rsidR="002C330E" w:rsidRPr="00D5464D">
        <w:rPr>
          <w:rFonts w:cs="Arial"/>
          <w:szCs w:val="20"/>
          <w:lang w:val="pt-BR"/>
        </w:rPr>
        <w:t>origem</w:t>
      </w:r>
      <w:r w:rsidR="0003391C" w:rsidRPr="00D5464D">
        <w:rPr>
          <w:rFonts w:cs="Arial"/>
          <w:szCs w:val="20"/>
          <w:lang w:val="pt-BR"/>
        </w:rPr>
        <w:t xml:space="preserve">. </w:t>
      </w:r>
    </w:p>
    <w:p w14:paraId="59974EE5" w14:textId="154871A8" w:rsidR="0003391C" w:rsidRPr="00D5464D" w:rsidRDefault="00470ADC" w:rsidP="008622F3">
      <w:pPr>
        <w:pStyle w:val="Ttulo3"/>
        <w:rPr>
          <w:b w:val="0"/>
          <w:lang w:val="pt-BR"/>
        </w:rPr>
      </w:pPr>
      <w:r w:rsidRPr="00D5464D">
        <w:rPr>
          <w:rFonts w:cs="Arial"/>
          <w:szCs w:val="20"/>
          <w:lang w:val="pt-BR"/>
        </w:rPr>
        <w:cr/>
      </w:r>
      <w:bookmarkStart w:id="292" w:name="_Toc468433895"/>
      <w:r w:rsidRPr="00D5464D">
        <w:rPr>
          <w:rFonts w:cs="Arial"/>
          <w:b w:val="0"/>
          <w:szCs w:val="20"/>
          <w:lang w:val="pt-BR"/>
        </w:rPr>
        <w:t xml:space="preserve">As </w:t>
      </w:r>
      <w:bookmarkStart w:id="293" w:name="_Toc460433009"/>
      <w:bookmarkStart w:id="294" w:name="_Toc460441940"/>
      <w:bookmarkStart w:id="295" w:name="_Toc462750758"/>
      <w:bookmarkStart w:id="296" w:name="_Toc462751082"/>
      <w:bookmarkStart w:id="297" w:name="_Toc464813934"/>
      <w:r w:rsidRPr="00D5464D">
        <w:rPr>
          <w:b w:val="0"/>
          <w:lang w:val="pt-BR"/>
        </w:rPr>
        <w:t>atuações</w:t>
      </w:r>
      <w:r w:rsidR="0003391C" w:rsidRPr="00D5464D">
        <w:rPr>
          <w:b w:val="0"/>
          <w:lang w:val="pt-BR"/>
        </w:rPr>
        <w:t xml:space="preserve"> realizadas</w:t>
      </w:r>
      <w:r w:rsidRPr="00D5464D">
        <w:rPr>
          <w:b w:val="0"/>
          <w:lang w:val="pt-BR"/>
        </w:rPr>
        <w:t xml:space="preserve"> em </w:t>
      </w:r>
      <w:r w:rsidR="0003391C" w:rsidRPr="00D5464D">
        <w:rPr>
          <w:b w:val="0"/>
          <w:lang w:val="pt-BR"/>
        </w:rPr>
        <w:t>1994</w:t>
      </w:r>
      <w:bookmarkEnd w:id="292"/>
      <w:bookmarkEnd w:id="293"/>
      <w:bookmarkEnd w:id="294"/>
      <w:bookmarkEnd w:id="295"/>
      <w:bookmarkEnd w:id="296"/>
      <w:bookmarkEnd w:id="297"/>
    </w:p>
    <w:p w14:paraId="2625C90A" w14:textId="77777777" w:rsidR="00D65024" w:rsidRPr="00D5464D" w:rsidRDefault="00D65024" w:rsidP="00D65024">
      <w:pPr>
        <w:pStyle w:val="Prrafodelista"/>
        <w:autoSpaceDE w:val="0"/>
        <w:autoSpaceDN w:val="0"/>
        <w:adjustRightInd w:val="0"/>
        <w:ind w:left="0"/>
        <w:contextualSpacing w:val="0"/>
        <w:rPr>
          <w:rFonts w:cs="Arial"/>
          <w:szCs w:val="20"/>
          <w:lang w:val="pt-BR"/>
        </w:rPr>
      </w:pPr>
    </w:p>
    <w:p w14:paraId="39230B05" w14:textId="2C0DB2CE" w:rsidR="0003391C" w:rsidRPr="00D5464D" w:rsidRDefault="00C91CB1" w:rsidP="00140440">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Em 2</w:t>
      </w:r>
      <w:r w:rsidR="0003391C" w:rsidRPr="00D5464D">
        <w:rPr>
          <w:rFonts w:cs="Arial"/>
          <w:szCs w:val="20"/>
          <w:lang w:val="pt-BR"/>
        </w:rPr>
        <w:t>5 de abril de 1994</w:t>
      </w:r>
      <w:r w:rsidR="00631CD6" w:rsidRPr="00D5464D">
        <w:rPr>
          <w:rFonts w:cs="Arial"/>
          <w:szCs w:val="20"/>
          <w:lang w:val="pt-BR"/>
        </w:rPr>
        <w:t>,</w:t>
      </w:r>
      <w:r w:rsidR="00470ADC" w:rsidRPr="00D5464D">
        <w:rPr>
          <w:rFonts w:cs="Arial"/>
          <w:szCs w:val="20"/>
          <w:lang w:val="pt-BR"/>
        </w:rPr>
        <w:t xml:space="preserve"> o </w:t>
      </w:r>
      <w:r w:rsidR="0003391C" w:rsidRPr="00D5464D">
        <w:rPr>
          <w:rFonts w:cs="Arial"/>
          <w:szCs w:val="20"/>
          <w:lang w:val="pt-BR"/>
        </w:rPr>
        <w:t xml:space="preserve">Subprocurador </w:t>
      </w:r>
      <w:r w:rsidR="002C330E" w:rsidRPr="00D5464D">
        <w:rPr>
          <w:rFonts w:cs="Arial"/>
          <w:szCs w:val="20"/>
          <w:lang w:val="pt-BR"/>
        </w:rPr>
        <w:t>Geral</w:t>
      </w:r>
      <w:r w:rsidR="00470ADC" w:rsidRPr="00D5464D">
        <w:rPr>
          <w:rFonts w:cs="Arial"/>
          <w:szCs w:val="20"/>
          <w:lang w:val="pt-BR"/>
        </w:rPr>
        <w:t xml:space="preserve"> da </w:t>
      </w:r>
      <w:r w:rsidR="0003391C" w:rsidRPr="00D5464D">
        <w:rPr>
          <w:rFonts w:cs="Arial"/>
          <w:szCs w:val="20"/>
          <w:lang w:val="pt-BR"/>
        </w:rPr>
        <w:t xml:space="preserve">República </w:t>
      </w:r>
      <w:r w:rsidR="00737270" w:rsidRPr="00D5464D">
        <w:rPr>
          <w:rFonts w:cs="Arial"/>
          <w:szCs w:val="20"/>
          <w:lang w:val="pt-BR"/>
        </w:rPr>
        <w:t>enviou</w:t>
      </w:r>
      <w:r w:rsidR="00E045D9" w:rsidRPr="00D5464D">
        <w:rPr>
          <w:rFonts w:cs="Arial"/>
          <w:szCs w:val="20"/>
          <w:lang w:val="pt-BR"/>
        </w:rPr>
        <w:t xml:space="preserve"> uma </w:t>
      </w:r>
      <w:r w:rsidR="0003391C" w:rsidRPr="00D5464D">
        <w:rPr>
          <w:rFonts w:cs="Arial"/>
          <w:szCs w:val="20"/>
          <w:lang w:val="pt-BR"/>
        </w:rPr>
        <w:t>carta</w:t>
      </w:r>
      <w:r w:rsidR="00470ADC" w:rsidRPr="00D5464D">
        <w:rPr>
          <w:rFonts w:cs="Arial"/>
          <w:szCs w:val="20"/>
          <w:lang w:val="pt-BR"/>
        </w:rPr>
        <w:t xml:space="preserve"> à </w:t>
      </w:r>
      <w:r w:rsidR="0003391C" w:rsidRPr="00D5464D">
        <w:rPr>
          <w:rFonts w:cs="Arial"/>
          <w:szCs w:val="20"/>
          <w:lang w:val="pt-BR"/>
        </w:rPr>
        <w:t>CPT</w:t>
      </w:r>
      <w:r w:rsidR="00631CD6" w:rsidRPr="00D5464D">
        <w:rPr>
          <w:rFonts w:cs="Arial"/>
          <w:szCs w:val="20"/>
          <w:lang w:val="pt-BR"/>
        </w:rPr>
        <w:t xml:space="preserve"> à</w:t>
      </w:r>
      <w:r w:rsidR="00470ADC" w:rsidRPr="00D5464D">
        <w:rPr>
          <w:rFonts w:cs="Arial"/>
          <w:szCs w:val="20"/>
          <w:lang w:val="pt-BR"/>
        </w:rPr>
        <w:t xml:space="preserve"> qual anexou</w:t>
      </w:r>
      <w:r w:rsidR="00E045D9" w:rsidRPr="00D5464D">
        <w:rPr>
          <w:rFonts w:cs="Arial"/>
          <w:szCs w:val="20"/>
          <w:lang w:val="pt-BR"/>
        </w:rPr>
        <w:t xml:space="preserve"> um </w:t>
      </w:r>
      <w:r w:rsidR="00350187" w:rsidRPr="00D5464D">
        <w:rPr>
          <w:rFonts w:cs="Arial"/>
          <w:szCs w:val="20"/>
          <w:lang w:val="pt-BR"/>
        </w:rPr>
        <w:t>relatório</w:t>
      </w:r>
      <w:r w:rsidR="002C330E" w:rsidRPr="00D5464D">
        <w:rPr>
          <w:rFonts w:cs="Arial"/>
          <w:szCs w:val="20"/>
          <w:lang w:val="pt-BR"/>
        </w:rPr>
        <w:t xml:space="preserve"> </w:t>
      </w:r>
      <w:r w:rsidR="0003391C" w:rsidRPr="00D5464D">
        <w:rPr>
          <w:rFonts w:cs="Arial"/>
          <w:szCs w:val="20"/>
          <w:lang w:val="pt-BR"/>
        </w:rPr>
        <w:t xml:space="preserve">de 29 de </w:t>
      </w:r>
      <w:r w:rsidR="002C330E" w:rsidRPr="00D5464D">
        <w:rPr>
          <w:rFonts w:cs="Arial"/>
          <w:szCs w:val="20"/>
          <w:lang w:val="pt-BR"/>
        </w:rPr>
        <w:t>março</w:t>
      </w:r>
      <w:r w:rsidR="0003391C" w:rsidRPr="00D5464D">
        <w:rPr>
          <w:rFonts w:cs="Arial"/>
          <w:szCs w:val="20"/>
          <w:lang w:val="pt-BR"/>
        </w:rPr>
        <w:t xml:space="preserve"> de 1994 </w:t>
      </w:r>
      <w:r w:rsidR="00631CD6" w:rsidRPr="00D5464D">
        <w:rPr>
          <w:rFonts w:cs="Arial"/>
          <w:szCs w:val="20"/>
          <w:lang w:val="pt-BR"/>
        </w:rPr>
        <w:t>sobre a</w:t>
      </w:r>
      <w:r w:rsidR="00E045D9" w:rsidRPr="00D5464D">
        <w:rPr>
          <w:rFonts w:cs="Arial"/>
          <w:szCs w:val="20"/>
          <w:lang w:val="pt-BR"/>
        </w:rPr>
        <w:t xml:space="preserve">s </w:t>
      </w:r>
      <w:r w:rsidR="0003391C" w:rsidRPr="00D5464D">
        <w:rPr>
          <w:rFonts w:cs="Arial"/>
          <w:szCs w:val="20"/>
          <w:lang w:val="pt-BR"/>
        </w:rPr>
        <w:t>visitas realizadas</w:t>
      </w:r>
      <w:r w:rsidR="00470ADC" w:rsidRPr="00D5464D">
        <w:rPr>
          <w:rFonts w:cs="Arial"/>
          <w:szCs w:val="20"/>
          <w:lang w:val="pt-BR"/>
        </w:rPr>
        <w:t xml:space="preserve"> à </w:t>
      </w:r>
      <w:r w:rsidR="00D809F0" w:rsidRPr="00D5464D">
        <w:rPr>
          <w:rFonts w:cs="Arial"/>
          <w:szCs w:val="20"/>
          <w:lang w:val="pt-BR"/>
        </w:rPr>
        <w:t>Fazenda</w:t>
      </w:r>
      <w:r w:rsidR="0003391C" w:rsidRPr="00D5464D">
        <w:rPr>
          <w:rFonts w:cs="Arial"/>
          <w:szCs w:val="20"/>
          <w:lang w:val="pt-BR"/>
        </w:rPr>
        <w:t xml:space="preserve"> Brasil Verde</w:t>
      </w:r>
      <w:r w:rsidR="00470ADC" w:rsidRPr="00D5464D">
        <w:rPr>
          <w:rFonts w:cs="Arial"/>
          <w:szCs w:val="20"/>
          <w:lang w:val="pt-BR"/>
        </w:rPr>
        <w:t xml:space="preserve"> em </w:t>
      </w:r>
      <w:r w:rsidR="0003391C" w:rsidRPr="00D5464D">
        <w:rPr>
          <w:rFonts w:cs="Arial"/>
          <w:szCs w:val="20"/>
          <w:lang w:val="pt-BR"/>
        </w:rPr>
        <w:t>1989</w:t>
      </w:r>
      <w:r w:rsidR="00E045D9" w:rsidRPr="00D5464D">
        <w:rPr>
          <w:rFonts w:cs="Arial"/>
          <w:szCs w:val="20"/>
          <w:lang w:val="pt-BR"/>
        </w:rPr>
        <w:t xml:space="preserve"> e </w:t>
      </w:r>
      <w:r w:rsidR="0003391C" w:rsidRPr="00D5464D">
        <w:rPr>
          <w:rFonts w:cs="Arial"/>
          <w:szCs w:val="20"/>
          <w:lang w:val="pt-BR"/>
        </w:rPr>
        <w:t>1993</w:t>
      </w:r>
      <w:r w:rsidR="00631CD6" w:rsidRPr="00D5464D">
        <w:rPr>
          <w:rFonts w:cs="Arial"/>
          <w:szCs w:val="20"/>
          <w:lang w:val="pt-BR"/>
        </w:rPr>
        <w:t>.</w:t>
      </w:r>
      <w:r w:rsidR="0003391C" w:rsidRPr="00D5464D">
        <w:rPr>
          <w:rStyle w:val="Refdenotaalpie"/>
          <w:rFonts w:cs="Arial"/>
          <w:lang w:val="pt-BR"/>
        </w:rPr>
        <w:footnoteReference w:id="123"/>
      </w:r>
      <w:r w:rsidR="0003391C" w:rsidRPr="00D5464D">
        <w:rPr>
          <w:rFonts w:cs="Arial"/>
          <w:szCs w:val="20"/>
          <w:lang w:val="pt-BR"/>
        </w:rPr>
        <w:t xml:space="preserve"> </w:t>
      </w:r>
    </w:p>
    <w:p w14:paraId="106A9224" w14:textId="77777777" w:rsidR="0003391C" w:rsidRPr="00D5464D" w:rsidRDefault="0003391C" w:rsidP="00140440">
      <w:pPr>
        <w:pStyle w:val="Prrafodelista"/>
        <w:autoSpaceDE w:val="0"/>
        <w:autoSpaceDN w:val="0"/>
        <w:adjustRightInd w:val="0"/>
        <w:ind w:left="0"/>
        <w:contextualSpacing w:val="0"/>
        <w:rPr>
          <w:rFonts w:cs="Arial"/>
          <w:szCs w:val="20"/>
          <w:lang w:val="pt-BR"/>
        </w:rPr>
      </w:pPr>
    </w:p>
    <w:p w14:paraId="637521F4" w14:textId="6FB37054" w:rsidR="0003391C" w:rsidRPr="00D5464D" w:rsidRDefault="00470ADC" w:rsidP="00140440">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Neste</w:t>
      </w:r>
      <w:r w:rsidR="002C330E" w:rsidRPr="00D5464D">
        <w:rPr>
          <w:rFonts w:cs="Arial"/>
          <w:szCs w:val="20"/>
          <w:lang w:val="pt-BR"/>
        </w:rPr>
        <w:t xml:space="preserve"> </w:t>
      </w:r>
      <w:r w:rsidR="00350187" w:rsidRPr="00D5464D">
        <w:rPr>
          <w:rFonts w:cs="Arial"/>
          <w:szCs w:val="20"/>
          <w:lang w:val="pt-BR"/>
        </w:rPr>
        <w:t>relatório</w:t>
      </w:r>
      <w:r w:rsidR="002C330E" w:rsidRPr="00D5464D">
        <w:rPr>
          <w:rFonts w:cs="Arial"/>
          <w:szCs w:val="20"/>
          <w:lang w:val="pt-BR"/>
        </w:rPr>
        <w:t xml:space="preserve"> </w:t>
      </w:r>
      <w:r w:rsidR="0003391C" w:rsidRPr="00D5464D">
        <w:rPr>
          <w:rFonts w:cs="Arial"/>
          <w:szCs w:val="20"/>
          <w:lang w:val="pt-BR"/>
        </w:rPr>
        <w:t xml:space="preserve">se </w:t>
      </w:r>
      <w:r w:rsidR="00737270" w:rsidRPr="00D5464D">
        <w:rPr>
          <w:rFonts w:cs="Arial"/>
          <w:szCs w:val="20"/>
          <w:lang w:val="pt-BR"/>
        </w:rPr>
        <w:t>indicava</w:t>
      </w:r>
      <w:r w:rsidR="0003391C" w:rsidRPr="00D5464D">
        <w:rPr>
          <w:rFonts w:cs="Arial"/>
          <w:szCs w:val="20"/>
          <w:lang w:val="pt-BR"/>
        </w:rPr>
        <w:t xml:space="preserve"> que</w:t>
      </w:r>
      <w:r w:rsidR="002C330E" w:rsidRPr="00D5464D">
        <w:rPr>
          <w:rFonts w:cs="Arial"/>
          <w:szCs w:val="20"/>
          <w:lang w:val="pt-BR"/>
        </w:rPr>
        <w:t xml:space="preserve"> a </w:t>
      </w:r>
      <w:r w:rsidR="00737270" w:rsidRPr="00D5464D">
        <w:rPr>
          <w:rFonts w:cs="Arial"/>
          <w:szCs w:val="20"/>
          <w:lang w:val="pt-BR"/>
        </w:rPr>
        <w:t>atuação</w:t>
      </w:r>
      <w:r w:rsidRPr="00D5464D">
        <w:rPr>
          <w:rFonts w:cs="Arial"/>
          <w:szCs w:val="20"/>
          <w:lang w:val="pt-BR"/>
        </w:rPr>
        <w:t xml:space="preserve"> da </w:t>
      </w:r>
      <w:r w:rsidR="00C91CB1" w:rsidRPr="00D5464D">
        <w:rPr>
          <w:rFonts w:cs="Arial"/>
          <w:szCs w:val="20"/>
          <w:lang w:val="pt-BR"/>
        </w:rPr>
        <w:t xml:space="preserve">Polícia </w:t>
      </w:r>
      <w:r w:rsidR="0003391C" w:rsidRPr="00D5464D">
        <w:rPr>
          <w:rFonts w:cs="Arial"/>
          <w:szCs w:val="20"/>
          <w:lang w:val="pt-BR"/>
        </w:rPr>
        <w:t>Federal</w:t>
      </w:r>
      <w:r w:rsidR="00F86BA8" w:rsidRPr="00D5464D">
        <w:rPr>
          <w:rFonts w:cs="Arial"/>
          <w:szCs w:val="20"/>
          <w:lang w:val="pt-BR"/>
        </w:rPr>
        <w:t>,</w:t>
      </w:r>
      <w:r w:rsidR="00E045D9" w:rsidRPr="00D5464D">
        <w:rPr>
          <w:rFonts w:cs="Arial"/>
          <w:szCs w:val="20"/>
          <w:lang w:val="pt-BR"/>
        </w:rPr>
        <w:t xml:space="preserve"> na </w:t>
      </w:r>
      <w:r w:rsidR="0003391C" w:rsidRPr="00D5464D">
        <w:rPr>
          <w:rFonts w:cs="Arial"/>
          <w:szCs w:val="20"/>
          <w:lang w:val="pt-BR"/>
        </w:rPr>
        <w:t>visita</w:t>
      </w:r>
      <w:r w:rsidR="00230C71" w:rsidRPr="00D5464D">
        <w:rPr>
          <w:rFonts w:cs="Arial"/>
          <w:szCs w:val="20"/>
          <w:lang w:val="pt-BR"/>
        </w:rPr>
        <w:t xml:space="preserve"> feita </w:t>
      </w:r>
      <w:r w:rsidRPr="00D5464D">
        <w:rPr>
          <w:rFonts w:cs="Arial"/>
          <w:szCs w:val="20"/>
          <w:lang w:val="pt-BR"/>
        </w:rPr>
        <w:t xml:space="preserve">à </w:t>
      </w:r>
      <w:r w:rsidR="00D809F0" w:rsidRPr="00D5464D">
        <w:rPr>
          <w:rFonts w:cs="Arial"/>
          <w:szCs w:val="20"/>
          <w:lang w:val="pt-BR"/>
        </w:rPr>
        <w:t>Fazenda</w:t>
      </w:r>
      <w:r w:rsidR="0003391C" w:rsidRPr="00D5464D">
        <w:rPr>
          <w:rFonts w:cs="Arial"/>
          <w:szCs w:val="20"/>
          <w:lang w:val="pt-BR"/>
        </w:rPr>
        <w:t xml:space="preserve"> Brasil Verde</w:t>
      </w:r>
      <w:r w:rsidRPr="00D5464D">
        <w:rPr>
          <w:rFonts w:cs="Arial"/>
          <w:szCs w:val="20"/>
          <w:lang w:val="pt-BR"/>
        </w:rPr>
        <w:t xml:space="preserve"> em </w:t>
      </w:r>
      <w:r w:rsidR="0003391C" w:rsidRPr="00D5464D">
        <w:rPr>
          <w:rFonts w:cs="Arial"/>
          <w:szCs w:val="20"/>
          <w:lang w:val="pt-BR"/>
        </w:rPr>
        <w:t>1989</w:t>
      </w:r>
      <w:r w:rsidR="0003391C" w:rsidRPr="00D5464D">
        <w:rPr>
          <w:rFonts w:cs="Arial"/>
          <w:iCs/>
          <w:szCs w:val="20"/>
          <w:lang w:val="pt-BR"/>
        </w:rPr>
        <w:t>,</w:t>
      </w:r>
      <w:r w:rsidR="0003391C" w:rsidRPr="00D5464D">
        <w:rPr>
          <w:rFonts w:cs="Arial"/>
          <w:i/>
          <w:iCs/>
          <w:szCs w:val="20"/>
          <w:lang w:val="pt-BR"/>
        </w:rPr>
        <w:t xml:space="preserve"> </w:t>
      </w:r>
      <w:r w:rsidR="002C330E" w:rsidRPr="00D5464D">
        <w:rPr>
          <w:rFonts w:cs="Arial"/>
          <w:szCs w:val="20"/>
          <w:lang w:val="pt-BR"/>
        </w:rPr>
        <w:t>havia</w:t>
      </w:r>
      <w:r w:rsidR="0003391C" w:rsidRPr="00D5464D">
        <w:rPr>
          <w:rFonts w:cs="Arial"/>
          <w:szCs w:val="20"/>
          <w:lang w:val="pt-BR"/>
        </w:rPr>
        <w:t xml:space="preserve"> sido insuficiente</w:t>
      </w:r>
      <w:r w:rsidR="00631CD6" w:rsidRPr="00D5464D">
        <w:rPr>
          <w:rFonts w:cs="Arial"/>
          <w:szCs w:val="20"/>
          <w:lang w:val="pt-BR"/>
        </w:rPr>
        <w:t>,</w:t>
      </w:r>
      <w:r w:rsidR="002C330E" w:rsidRPr="00D5464D">
        <w:rPr>
          <w:rFonts w:cs="Arial"/>
          <w:szCs w:val="20"/>
          <w:lang w:val="pt-BR"/>
        </w:rPr>
        <w:t xml:space="preserve"> pois </w:t>
      </w:r>
      <w:r w:rsidR="00737270" w:rsidRPr="00D5464D">
        <w:rPr>
          <w:rFonts w:cs="Arial"/>
          <w:szCs w:val="20"/>
          <w:lang w:val="pt-BR"/>
        </w:rPr>
        <w:t>não havia</w:t>
      </w:r>
      <w:r w:rsidR="0003391C" w:rsidRPr="00D5464D">
        <w:rPr>
          <w:rFonts w:cs="Arial"/>
          <w:szCs w:val="20"/>
          <w:lang w:val="pt-BR"/>
        </w:rPr>
        <w:t xml:space="preserve"> registrado</w:t>
      </w:r>
      <w:r w:rsidR="002C330E" w:rsidRPr="00D5464D">
        <w:rPr>
          <w:rFonts w:cs="Arial"/>
          <w:szCs w:val="20"/>
          <w:lang w:val="pt-BR"/>
        </w:rPr>
        <w:t xml:space="preserve"> as </w:t>
      </w:r>
      <w:r w:rsidR="0003391C" w:rsidRPr="00D5464D">
        <w:rPr>
          <w:rFonts w:cs="Arial"/>
          <w:szCs w:val="20"/>
          <w:lang w:val="pt-BR"/>
        </w:rPr>
        <w:t>declara</w:t>
      </w:r>
      <w:r w:rsidRPr="00D5464D">
        <w:rPr>
          <w:rFonts w:cs="Arial"/>
          <w:szCs w:val="20"/>
          <w:lang w:val="pt-BR"/>
        </w:rPr>
        <w:t xml:space="preserve">ções dos </w:t>
      </w:r>
      <w:r w:rsidR="00E045D9" w:rsidRPr="00D5464D">
        <w:rPr>
          <w:rFonts w:cs="Arial"/>
          <w:szCs w:val="20"/>
          <w:lang w:val="pt-BR"/>
        </w:rPr>
        <w:t>trabalhadores</w:t>
      </w:r>
      <w:r w:rsidR="0003391C" w:rsidRPr="00D5464D">
        <w:rPr>
          <w:rFonts w:cs="Arial"/>
          <w:szCs w:val="20"/>
          <w:lang w:val="pt-BR"/>
        </w:rPr>
        <w:t xml:space="preserve"> por escrito; tam</w:t>
      </w:r>
      <w:r w:rsidR="002C330E" w:rsidRPr="00D5464D">
        <w:rPr>
          <w:rFonts w:cs="Arial"/>
          <w:szCs w:val="20"/>
          <w:lang w:val="pt-BR"/>
        </w:rPr>
        <w:t>pouco havia</w:t>
      </w:r>
      <w:r w:rsidR="0003391C" w:rsidRPr="00D5464D">
        <w:rPr>
          <w:rFonts w:cs="Arial"/>
          <w:szCs w:val="20"/>
          <w:lang w:val="pt-BR"/>
        </w:rPr>
        <w:t xml:space="preserve"> </w:t>
      </w:r>
      <w:r w:rsidR="00631CD6" w:rsidRPr="00D5464D">
        <w:rPr>
          <w:rFonts w:cs="Arial"/>
          <w:szCs w:val="20"/>
          <w:lang w:val="pt-BR"/>
        </w:rPr>
        <w:t xml:space="preserve">elaborado </w:t>
      </w:r>
      <w:r w:rsidR="00E045D9" w:rsidRPr="00D5464D">
        <w:rPr>
          <w:rFonts w:cs="Arial"/>
          <w:szCs w:val="20"/>
          <w:lang w:val="pt-BR"/>
        </w:rPr>
        <w:t xml:space="preserve">uma </w:t>
      </w:r>
      <w:r w:rsidR="0003391C" w:rsidRPr="00D5464D">
        <w:rPr>
          <w:rFonts w:cs="Arial"/>
          <w:szCs w:val="20"/>
          <w:lang w:val="pt-BR"/>
        </w:rPr>
        <w:t>lista</w:t>
      </w:r>
      <w:r w:rsidRPr="00D5464D">
        <w:rPr>
          <w:rFonts w:cs="Arial"/>
          <w:szCs w:val="20"/>
          <w:lang w:val="pt-BR"/>
        </w:rPr>
        <w:t xml:space="preserve"> com o </w:t>
      </w:r>
      <w:r w:rsidR="002C330E" w:rsidRPr="00D5464D">
        <w:rPr>
          <w:rFonts w:cs="Arial"/>
          <w:szCs w:val="20"/>
          <w:lang w:val="pt-BR"/>
        </w:rPr>
        <w:t>nome</w:t>
      </w:r>
      <w:r w:rsidR="00E045D9" w:rsidRPr="00D5464D">
        <w:rPr>
          <w:rFonts w:cs="Arial"/>
          <w:szCs w:val="20"/>
          <w:lang w:val="pt-BR"/>
        </w:rPr>
        <w:t xml:space="preserve"> e </w:t>
      </w:r>
      <w:r w:rsidRPr="00D5464D">
        <w:rPr>
          <w:rFonts w:cs="Arial"/>
          <w:szCs w:val="20"/>
          <w:lang w:val="pt-BR"/>
        </w:rPr>
        <w:t>qualific</w:t>
      </w:r>
      <w:r w:rsidR="0003391C" w:rsidRPr="00D5464D">
        <w:rPr>
          <w:rFonts w:cs="Arial"/>
          <w:szCs w:val="20"/>
          <w:lang w:val="pt-BR"/>
        </w:rPr>
        <w:t>a</w:t>
      </w:r>
      <w:r w:rsidRPr="00D5464D">
        <w:rPr>
          <w:rFonts w:cs="Arial"/>
          <w:szCs w:val="20"/>
          <w:lang w:val="pt-BR"/>
        </w:rPr>
        <w:t xml:space="preserve">ção dos </w:t>
      </w:r>
      <w:r w:rsidR="002C330E" w:rsidRPr="00D5464D">
        <w:rPr>
          <w:rFonts w:cs="Arial"/>
          <w:szCs w:val="20"/>
          <w:lang w:val="pt-BR"/>
        </w:rPr>
        <w:t>mesm</w:t>
      </w:r>
      <w:r w:rsidR="0003391C" w:rsidRPr="00D5464D">
        <w:rPr>
          <w:rFonts w:cs="Arial"/>
          <w:szCs w:val="20"/>
          <w:lang w:val="pt-BR"/>
        </w:rPr>
        <w:t>os; n</w:t>
      </w:r>
      <w:r w:rsidR="00631CD6" w:rsidRPr="00D5464D">
        <w:rPr>
          <w:rFonts w:cs="Arial"/>
          <w:szCs w:val="20"/>
          <w:lang w:val="pt-BR"/>
        </w:rPr>
        <w:t>ã</w:t>
      </w:r>
      <w:r w:rsidR="0003391C" w:rsidRPr="00D5464D">
        <w:rPr>
          <w:rFonts w:cs="Arial"/>
          <w:szCs w:val="20"/>
          <w:lang w:val="pt-BR"/>
        </w:rPr>
        <w:t xml:space="preserve">o </w:t>
      </w:r>
      <w:r w:rsidR="002C330E" w:rsidRPr="00D5464D">
        <w:rPr>
          <w:rFonts w:cs="Arial"/>
          <w:szCs w:val="20"/>
          <w:lang w:val="pt-BR"/>
        </w:rPr>
        <w:t>havia</w:t>
      </w:r>
      <w:r w:rsidR="0003391C" w:rsidRPr="00D5464D">
        <w:rPr>
          <w:rFonts w:cs="Arial"/>
          <w:szCs w:val="20"/>
          <w:lang w:val="pt-BR"/>
        </w:rPr>
        <w:t xml:space="preserve"> tomado</w:t>
      </w:r>
      <w:r w:rsidR="002C330E" w:rsidRPr="00D5464D">
        <w:rPr>
          <w:rFonts w:cs="Arial"/>
          <w:szCs w:val="20"/>
          <w:lang w:val="pt-BR"/>
        </w:rPr>
        <w:t xml:space="preserve"> a </w:t>
      </w:r>
      <w:r w:rsidR="0003391C" w:rsidRPr="00D5464D">
        <w:rPr>
          <w:rFonts w:cs="Arial"/>
          <w:szCs w:val="20"/>
          <w:lang w:val="pt-BR"/>
        </w:rPr>
        <w:t>declara</w:t>
      </w:r>
      <w:r w:rsidRPr="00D5464D">
        <w:rPr>
          <w:rFonts w:cs="Arial"/>
          <w:szCs w:val="20"/>
          <w:lang w:val="pt-BR"/>
        </w:rPr>
        <w:t>ção</w:t>
      </w:r>
      <w:r w:rsidR="0003391C" w:rsidRPr="00D5464D">
        <w:rPr>
          <w:rFonts w:cs="Arial"/>
          <w:szCs w:val="20"/>
          <w:lang w:val="pt-BR"/>
        </w:rPr>
        <w:t xml:space="preserve"> </w:t>
      </w:r>
      <w:r w:rsidRPr="00D5464D">
        <w:rPr>
          <w:rFonts w:cs="Arial"/>
          <w:szCs w:val="20"/>
          <w:lang w:val="pt-BR"/>
        </w:rPr>
        <w:t xml:space="preserve">do </w:t>
      </w:r>
      <w:r w:rsidR="0003391C" w:rsidRPr="00D5464D">
        <w:rPr>
          <w:rFonts w:cs="Arial"/>
          <w:szCs w:val="20"/>
          <w:lang w:val="pt-BR"/>
        </w:rPr>
        <w:t>gerente</w:t>
      </w:r>
      <w:r w:rsidRPr="00D5464D">
        <w:rPr>
          <w:rFonts w:cs="Arial"/>
          <w:szCs w:val="20"/>
          <w:lang w:val="pt-BR"/>
        </w:rPr>
        <w:t xml:space="preserve"> da </w:t>
      </w:r>
      <w:r w:rsidR="00D809F0" w:rsidRPr="00D5464D">
        <w:rPr>
          <w:rFonts w:cs="Arial"/>
          <w:szCs w:val="20"/>
          <w:lang w:val="pt-BR"/>
        </w:rPr>
        <w:t>fazenda</w:t>
      </w:r>
      <w:r w:rsidR="0003391C" w:rsidRPr="00D5464D">
        <w:rPr>
          <w:rFonts w:cs="Arial"/>
          <w:szCs w:val="20"/>
          <w:lang w:val="pt-BR"/>
        </w:rPr>
        <w:t>;</w:t>
      </w:r>
      <w:r w:rsidR="002C330E" w:rsidRPr="00D5464D">
        <w:rPr>
          <w:rFonts w:cs="Arial"/>
          <w:szCs w:val="20"/>
          <w:lang w:val="pt-BR"/>
        </w:rPr>
        <w:t xml:space="preserve"> nem havia</w:t>
      </w:r>
      <w:r w:rsidR="0003391C" w:rsidRPr="00D5464D">
        <w:rPr>
          <w:rFonts w:cs="Arial"/>
          <w:szCs w:val="20"/>
          <w:lang w:val="pt-BR"/>
        </w:rPr>
        <w:t xml:space="preserve"> solicitado</w:t>
      </w:r>
      <w:r w:rsidR="002C330E" w:rsidRPr="00D5464D">
        <w:rPr>
          <w:rFonts w:cs="Arial"/>
          <w:szCs w:val="20"/>
          <w:lang w:val="pt-BR"/>
        </w:rPr>
        <w:t xml:space="preserve"> a apresentação</w:t>
      </w:r>
      <w:r w:rsidRPr="00D5464D">
        <w:rPr>
          <w:rFonts w:cs="Arial"/>
          <w:szCs w:val="20"/>
          <w:lang w:val="pt-BR"/>
        </w:rPr>
        <w:t xml:space="preserve"> dos </w:t>
      </w:r>
      <w:r w:rsidR="0003391C" w:rsidRPr="00D5464D">
        <w:rPr>
          <w:rFonts w:cs="Arial"/>
          <w:szCs w:val="20"/>
          <w:lang w:val="pt-BR"/>
        </w:rPr>
        <w:t xml:space="preserve">contratos de </w:t>
      </w:r>
      <w:r w:rsidR="00E045D9" w:rsidRPr="00D5464D">
        <w:rPr>
          <w:rFonts w:cs="Arial"/>
          <w:szCs w:val="20"/>
          <w:lang w:val="pt-BR"/>
        </w:rPr>
        <w:t>trabalho</w:t>
      </w:r>
      <w:r w:rsidR="00F86BA8" w:rsidRPr="00D5464D">
        <w:rPr>
          <w:rFonts w:cs="Arial"/>
          <w:szCs w:val="20"/>
          <w:lang w:val="pt-BR"/>
        </w:rPr>
        <w:t>.</w:t>
      </w:r>
      <w:r w:rsidR="0003391C" w:rsidRPr="00D5464D">
        <w:rPr>
          <w:rFonts w:cs="Arial"/>
          <w:szCs w:val="20"/>
          <w:lang w:val="pt-BR"/>
        </w:rPr>
        <w:t xml:space="preserve"> </w:t>
      </w:r>
      <w:r w:rsidRPr="00D5464D">
        <w:rPr>
          <w:rFonts w:cs="Arial"/>
          <w:szCs w:val="20"/>
          <w:lang w:val="pt-BR"/>
        </w:rPr>
        <w:t>Ademais</w:t>
      </w:r>
      <w:r w:rsidR="0003391C" w:rsidRPr="00D5464D">
        <w:rPr>
          <w:rFonts w:cs="Arial"/>
          <w:szCs w:val="20"/>
          <w:lang w:val="pt-BR"/>
        </w:rPr>
        <w:t>, n</w:t>
      </w:r>
      <w:r w:rsidR="00631CD6" w:rsidRPr="00D5464D">
        <w:rPr>
          <w:rFonts w:cs="Arial"/>
          <w:szCs w:val="20"/>
          <w:lang w:val="pt-BR"/>
        </w:rPr>
        <w:t>ã</w:t>
      </w:r>
      <w:r w:rsidR="0003391C" w:rsidRPr="00D5464D">
        <w:rPr>
          <w:rFonts w:cs="Arial"/>
          <w:szCs w:val="20"/>
          <w:lang w:val="pt-BR"/>
        </w:rPr>
        <w:t xml:space="preserve">o </w:t>
      </w:r>
      <w:r w:rsidR="002C330E" w:rsidRPr="00D5464D">
        <w:rPr>
          <w:rFonts w:cs="Arial"/>
          <w:szCs w:val="20"/>
          <w:lang w:val="pt-BR"/>
        </w:rPr>
        <w:t>havia</w:t>
      </w:r>
      <w:r w:rsidR="0003391C" w:rsidRPr="00D5464D">
        <w:rPr>
          <w:rFonts w:cs="Arial"/>
          <w:szCs w:val="20"/>
          <w:lang w:val="pt-BR"/>
        </w:rPr>
        <w:t xml:space="preserve"> </w:t>
      </w:r>
      <w:r w:rsidR="00631CD6" w:rsidRPr="00D5464D">
        <w:rPr>
          <w:rFonts w:cs="Arial"/>
          <w:szCs w:val="20"/>
          <w:lang w:val="pt-BR"/>
        </w:rPr>
        <w:t xml:space="preserve">diligenciado </w:t>
      </w:r>
      <w:r w:rsidR="002C330E" w:rsidRPr="00D5464D">
        <w:rPr>
          <w:rFonts w:cs="Arial"/>
          <w:szCs w:val="20"/>
          <w:lang w:val="pt-BR"/>
        </w:rPr>
        <w:t xml:space="preserve">a </w:t>
      </w:r>
      <w:r w:rsidRPr="00D5464D">
        <w:rPr>
          <w:rFonts w:cs="Arial"/>
          <w:szCs w:val="20"/>
          <w:lang w:val="pt-BR"/>
        </w:rPr>
        <w:t xml:space="preserve">busca dos </w:t>
      </w:r>
      <w:r w:rsidR="0003391C" w:rsidRPr="00D5464D">
        <w:rPr>
          <w:rFonts w:cs="Arial"/>
          <w:szCs w:val="20"/>
          <w:lang w:val="pt-BR"/>
        </w:rPr>
        <w:t>adolescentes desaparecidos</w:t>
      </w:r>
      <w:r w:rsidR="00E045D9" w:rsidRPr="00D5464D">
        <w:rPr>
          <w:rFonts w:cs="Arial"/>
          <w:szCs w:val="20"/>
          <w:lang w:val="pt-BR"/>
        </w:rPr>
        <w:t xml:space="preserve"> e </w:t>
      </w:r>
      <w:r w:rsidR="0003391C" w:rsidRPr="00D5464D">
        <w:rPr>
          <w:rFonts w:cs="Arial"/>
          <w:szCs w:val="20"/>
          <w:lang w:val="pt-BR"/>
        </w:rPr>
        <w:t>n</w:t>
      </w:r>
      <w:r w:rsidR="00631CD6" w:rsidRPr="00D5464D">
        <w:rPr>
          <w:rFonts w:cs="Arial"/>
          <w:szCs w:val="20"/>
          <w:lang w:val="pt-BR"/>
        </w:rPr>
        <w:t>ã</w:t>
      </w:r>
      <w:r w:rsidR="0003391C" w:rsidRPr="00D5464D">
        <w:rPr>
          <w:rFonts w:cs="Arial"/>
          <w:szCs w:val="20"/>
          <w:lang w:val="pt-BR"/>
        </w:rPr>
        <w:t xml:space="preserve">o </w:t>
      </w:r>
      <w:r w:rsidR="00737270" w:rsidRPr="00D5464D">
        <w:rPr>
          <w:rFonts w:cs="Arial"/>
          <w:szCs w:val="20"/>
          <w:lang w:val="pt-BR"/>
        </w:rPr>
        <w:t xml:space="preserve">haviam </w:t>
      </w:r>
      <w:r w:rsidR="00631CD6" w:rsidRPr="00D5464D">
        <w:rPr>
          <w:rFonts w:cs="Arial"/>
          <w:szCs w:val="20"/>
          <w:lang w:val="pt-BR"/>
        </w:rPr>
        <w:t xml:space="preserve">sido feitas buscas de </w:t>
      </w:r>
      <w:r w:rsidR="0003391C" w:rsidRPr="00D5464D">
        <w:rPr>
          <w:rFonts w:cs="Arial"/>
          <w:szCs w:val="20"/>
          <w:lang w:val="pt-BR"/>
        </w:rPr>
        <w:t>armas dentro</w:t>
      </w:r>
      <w:r w:rsidR="002C330E" w:rsidRPr="00D5464D">
        <w:rPr>
          <w:rFonts w:cs="Arial"/>
          <w:szCs w:val="20"/>
          <w:lang w:val="pt-BR"/>
        </w:rPr>
        <w:t xml:space="preserve"> </w:t>
      </w:r>
      <w:r w:rsidR="00631CD6" w:rsidRPr="00D5464D">
        <w:rPr>
          <w:rFonts w:cs="Arial"/>
          <w:szCs w:val="20"/>
          <w:lang w:val="pt-BR"/>
        </w:rPr>
        <w:t>d</w:t>
      </w:r>
      <w:r w:rsidR="002C330E" w:rsidRPr="00D5464D">
        <w:rPr>
          <w:rFonts w:cs="Arial"/>
          <w:szCs w:val="20"/>
          <w:lang w:val="pt-BR"/>
        </w:rPr>
        <w:t xml:space="preserve">a </w:t>
      </w:r>
      <w:r w:rsidR="00D809F0" w:rsidRPr="00D5464D">
        <w:rPr>
          <w:rFonts w:cs="Arial"/>
          <w:szCs w:val="20"/>
          <w:lang w:val="pt-BR"/>
        </w:rPr>
        <w:t>fazenda</w:t>
      </w:r>
      <w:r w:rsidR="0003391C" w:rsidRPr="00D5464D">
        <w:rPr>
          <w:rFonts w:cs="Arial"/>
          <w:szCs w:val="20"/>
          <w:lang w:val="pt-BR"/>
        </w:rPr>
        <w:t>,</w:t>
      </w:r>
      <w:r w:rsidR="002C330E" w:rsidRPr="00D5464D">
        <w:rPr>
          <w:rFonts w:cs="Arial"/>
          <w:szCs w:val="20"/>
          <w:lang w:val="pt-BR"/>
        </w:rPr>
        <w:t xml:space="preserve"> nem </w:t>
      </w:r>
      <w:r w:rsidR="0003391C" w:rsidRPr="00D5464D">
        <w:rPr>
          <w:rFonts w:cs="Arial"/>
          <w:szCs w:val="20"/>
          <w:lang w:val="pt-BR"/>
        </w:rPr>
        <w:t>verificado</w:t>
      </w:r>
      <w:r w:rsidR="002C330E" w:rsidRPr="00D5464D">
        <w:rPr>
          <w:rFonts w:cs="Arial"/>
          <w:szCs w:val="20"/>
          <w:lang w:val="pt-BR"/>
        </w:rPr>
        <w:t xml:space="preserve"> os </w:t>
      </w:r>
      <w:r w:rsidR="0003391C" w:rsidRPr="00D5464D">
        <w:rPr>
          <w:rFonts w:cs="Arial"/>
          <w:szCs w:val="20"/>
          <w:lang w:val="pt-BR"/>
        </w:rPr>
        <w:t>pre</w:t>
      </w:r>
      <w:r w:rsidR="00631CD6" w:rsidRPr="00D5464D">
        <w:rPr>
          <w:rFonts w:cs="Arial"/>
          <w:szCs w:val="20"/>
          <w:lang w:val="pt-BR"/>
        </w:rPr>
        <w:t>ç</w:t>
      </w:r>
      <w:r w:rsidR="0003391C" w:rsidRPr="00D5464D">
        <w:rPr>
          <w:rFonts w:cs="Arial"/>
          <w:szCs w:val="20"/>
          <w:lang w:val="pt-BR"/>
        </w:rPr>
        <w:t>os</w:t>
      </w:r>
      <w:r w:rsidRPr="00D5464D">
        <w:rPr>
          <w:rFonts w:cs="Arial"/>
          <w:szCs w:val="20"/>
          <w:lang w:val="pt-BR"/>
        </w:rPr>
        <w:t xml:space="preserve"> dos </w:t>
      </w:r>
      <w:r w:rsidR="002C330E" w:rsidRPr="00D5464D">
        <w:rPr>
          <w:rFonts w:cs="Arial"/>
          <w:szCs w:val="20"/>
          <w:lang w:val="pt-BR"/>
        </w:rPr>
        <w:t>produto</w:t>
      </w:r>
      <w:r w:rsidR="0003391C" w:rsidRPr="00D5464D">
        <w:rPr>
          <w:rFonts w:cs="Arial"/>
          <w:szCs w:val="20"/>
          <w:lang w:val="pt-BR"/>
        </w:rPr>
        <w:t xml:space="preserve">s </w:t>
      </w:r>
      <w:r w:rsidRPr="00D5464D">
        <w:rPr>
          <w:rFonts w:cs="Arial"/>
          <w:szCs w:val="20"/>
          <w:lang w:val="pt-BR"/>
        </w:rPr>
        <w:t xml:space="preserve">do </w:t>
      </w:r>
      <w:r w:rsidR="00C91CB1" w:rsidRPr="00D5464D">
        <w:rPr>
          <w:rFonts w:cs="Arial"/>
          <w:szCs w:val="20"/>
          <w:lang w:val="pt-BR"/>
        </w:rPr>
        <w:t>armazém</w:t>
      </w:r>
      <w:r w:rsidR="00631CD6" w:rsidRPr="00D5464D">
        <w:rPr>
          <w:rFonts w:cs="Arial"/>
          <w:szCs w:val="20"/>
          <w:lang w:val="pt-BR"/>
        </w:rPr>
        <w:t>.</w:t>
      </w:r>
      <w:r w:rsidR="0003391C" w:rsidRPr="00D5464D">
        <w:rPr>
          <w:rStyle w:val="Refdenotaalpie"/>
          <w:rFonts w:cs="Arial"/>
          <w:lang w:val="pt-BR"/>
        </w:rPr>
        <w:footnoteReference w:id="124"/>
      </w:r>
      <w:r w:rsidR="0003391C" w:rsidRPr="00D5464D">
        <w:rPr>
          <w:rFonts w:cs="Arial"/>
          <w:szCs w:val="20"/>
          <w:lang w:val="pt-BR"/>
        </w:rPr>
        <w:t xml:space="preserve"> </w:t>
      </w:r>
    </w:p>
    <w:p w14:paraId="472E3B7B" w14:textId="77777777" w:rsidR="00D65024" w:rsidRPr="00D5464D" w:rsidRDefault="00D65024" w:rsidP="00D65024">
      <w:pPr>
        <w:pStyle w:val="Prrafodelista"/>
        <w:autoSpaceDE w:val="0"/>
        <w:autoSpaceDN w:val="0"/>
        <w:adjustRightInd w:val="0"/>
        <w:ind w:left="0"/>
        <w:contextualSpacing w:val="0"/>
        <w:rPr>
          <w:rFonts w:cs="Arial"/>
          <w:szCs w:val="20"/>
          <w:lang w:val="pt-BR"/>
        </w:rPr>
      </w:pPr>
    </w:p>
    <w:p w14:paraId="030E353F" w14:textId="22AB0E86" w:rsidR="0003391C" w:rsidRPr="00D5464D" w:rsidRDefault="00470ADC" w:rsidP="00140440">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O</w:t>
      </w:r>
      <w:r w:rsidR="002C330E" w:rsidRPr="00D5464D">
        <w:rPr>
          <w:rFonts w:cs="Arial"/>
          <w:szCs w:val="20"/>
          <w:lang w:val="pt-BR"/>
        </w:rPr>
        <w:t xml:space="preserve"> </w:t>
      </w:r>
      <w:r w:rsidR="00350187" w:rsidRPr="00D5464D">
        <w:rPr>
          <w:rFonts w:cs="Arial"/>
          <w:szCs w:val="20"/>
          <w:lang w:val="pt-BR"/>
        </w:rPr>
        <w:t>relatório</w:t>
      </w:r>
      <w:r w:rsidR="002C330E" w:rsidRPr="00D5464D">
        <w:rPr>
          <w:rFonts w:cs="Arial"/>
          <w:szCs w:val="20"/>
          <w:lang w:val="pt-BR"/>
        </w:rPr>
        <w:t xml:space="preserve"> </w:t>
      </w:r>
      <w:r w:rsidR="0003391C" w:rsidRPr="00D5464D">
        <w:rPr>
          <w:rFonts w:cs="Arial"/>
          <w:szCs w:val="20"/>
          <w:lang w:val="pt-BR"/>
        </w:rPr>
        <w:t>agreg</w:t>
      </w:r>
      <w:r w:rsidR="00350187" w:rsidRPr="00D5464D">
        <w:rPr>
          <w:rFonts w:cs="Arial"/>
          <w:szCs w:val="20"/>
          <w:lang w:val="pt-BR"/>
        </w:rPr>
        <w:t xml:space="preserve">ava </w:t>
      </w:r>
      <w:r w:rsidR="0003391C" w:rsidRPr="00D5464D">
        <w:rPr>
          <w:rFonts w:cs="Arial"/>
          <w:szCs w:val="20"/>
          <w:lang w:val="pt-BR"/>
        </w:rPr>
        <w:t>que</w:t>
      </w:r>
      <w:r w:rsidR="002C330E" w:rsidRPr="00D5464D">
        <w:rPr>
          <w:rFonts w:cs="Arial"/>
          <w:szCs w:val="20"/>
          <w:lang w:val="pt-BR"/>
        </w:rPr>
        <w:t xml:space="preserve"> a </w:t>
      </w:r>
      <w:r w:rsidR="0003391C" w:rsidRPr="00D5464D">
        <w:rPr>
          <w:rFonts w:cs="Arial"/>
          <w:szCs w:val="20"/>
          <w:lang w:val="pt-BR"/>
        </w:rPr>
        <w:t xml:space="preserve">falta de </w:t>
      </w:r>
      <w:r w:rsidR="002C330E" w:rsidRPr="00D5464D">
        <w:rPr>
          <w:rFonts w:cs="Arial"/>
          <w:szCs w:val="20"/>
          <w:lang w:val="pt-BR"/>
        </w:rPr>
        <w:t>pagamento</w:t>
      </w:r>
      <w:r w:rsidR="0003391C" w:rsidRPr="00D5464D">
        <w:rPr>
          <w:rFonts w:cs="Arial"/>
          <w:szCs w:val="20"/>
          <w:lang w:val="pt-BR"/>
        </w:rPr>
        <w:t xml:space="preserve"> de </w:t>
      </w:r>
      <w:r w:rsidR="00E045D9" w:rsidRPr="00D5464D">
        <w:rPr>
          <w:rFonts w:cs="Arial"/>
          <w:szCs w:val="20"/>
          <w:lang w:val="pt-BR"/>
        </w:rPr>
        <w:t>salário</w:t>
      </w:r>
      <w:r w:rsidR="0003391C" w:rsidRPr="00D5464D">
        <w:rPr>
          <w:rFonts w:cs="Arial"/>
          <w:szCs w:val="20"/>
          <w:lang w:val="pt-BR"/>
        </w:rPr>
        <w:t>s,</w:t>
      </w:r>
      <w:r w:rsidR="002C330E" w:rsidRPr="00D5464D">
        <w:rPr>
          <w:rFonts w:cs="Arial"/>
          <w:szCs w:val="20"/>
          <w:lang w:val="pt-BR"/>
        </w:rPr>
        <w:t xml:space="preserve"> a </w:t>
      </w:r>
      <w:r w:rsidR="0003391C" w:rsidRPr="00D5464D">
        <w:rPr>
          <w:rFonts w:cs="Arial"/>
          <w:szCs w:val="20"/>
          <w:lang w:val="pt-BR"/>
        </w:rPr>
        <w:t xml:space="preserve">fuga </w:t>
      </w:r>
      <w:r w:rsidRPr="00D5464D">
        <w:rPr>
          <w:rFonts w:cs="Arial"/>
          <w:szCs w:val="20"/>
          <w:lang w:val="pt-BR"/>
        </w:rPr>
        <w:t xml:space="preserve">do </w:t>
      </w:r>
      <w:r w:rsidR="00DB1C1D" w:rsidRPr="00D5464D">
        <w:rPr>
          <w:rFonts w:cs="Arial"/>
          <w:szCs w:val="20"/>
          <w:lang w:val="pt-BR"/>
        </w:rPr>
        <w:t>gato</w:t>
      </w:r>
      <w:r w:rsidR="00DB1C1D" w:rsidRPr="00D5464D">
        <w:rPr>
          <w:rFonts w:cs="Arial"/>
          <w:i/>
          <w:szCs w:val="20"/>
          <w:lang w:val="pt-BR"/>
        </w:rPr>
        <w:t xml:space="preserve"> </w:t>
      </w:r>
      <w:r w:rsidR="002C330E" w:rsidRPr="00D5464D">
        <w:rPr>
          <w:rFonts w:cs="Arial"/>
          <w:szCs w:val="20"/>
          <w:lang w:val="pt-BR"/>
        </w:rPr>
        <w:t>enquanto</w:t>
      </w:r>
      <w:r w:rsidR="0003391C" w:rsidRPr="00D5464D">
        <w:rPr>
          <w:rFonts w:cs="Arial"/>
          <w:szCs w:val="20"/>
          <w:lang w:val="pt-BR"/>
        </w:rPr>
        <w:t xml:space="preserve"> se </w:t>
      </w:r>
      <w:r w:rsidR="00737270" w:rsidRPr="00D5464D">
        <w:rPr>
          <w:rFonts w:cs="Arial"/>
          <w:szCs w:val="20"/>
          <w:lang w:val="pt-BR"/>
        </w:rPr>
        <w:t xml:space="preserve">realizava </w:t>
      </w:r>
      <w:r w:rsidR="002C330E" w:rsidRPr="00D5464D">
        <w:rPr>
          <w:rFonts w:cs="Arial"/>
          <w:szCs w:val="20"/>
          <w:lang w:val="pt-BR"/>
        </w:rPr>
        <w:t xml:space="preserve">a </w:t>
      </w:r>
      <w:r w:rsidR="0003391C" w:rsidRPr="00D5464D">
        <w:rPr>
          <w:rFonts w:cs="Arial"/>
          <w:szCs w:val="20"/>
          <w:lang w:val="pt-BR"/>
        </w:rPr>
        <w:t>visita</w:t>
      </w:r>
      <w:r w:rsidR="00E045D9" w:rsidRPr="00D5464D">
        <w:rPr>
          <w:rFonts w:cs="Arial"/>
          <w:szCs w:val="20"/>
          <w:lang w:val="pt-BR"/>
        </w:rPr>
        <w:t xml:space="preserve"> e </w:t>
      </w:r>
      <w:r w:rsidR="002C330E" w:rsidRPr="00D5464D">
        <w:rPr>
          <w:rFonts w:cs="Arial"/>
          <w:szCs w:val="20"/>
          <w:lang w:val="pt-BR"/>
        </w:rPr>
        <w:t xml:space="preserve">a </w:t>
      </w:r>
      <w:r w:rsidRPr="00D5464D">
        <w:rPr>
          <w:rFonts w:cs="Arial"/>
          <w:szCs w:val="20"/>
          <w:lang w:val="pt-BR"/>
        </w:rPr>
        <w:t>controvérsia</w:t>
      </w:r>
      <w:r w:rsidR="0003391C" w:rsidRPr="00D5464D">
        <w:rPr>
          <w:rFonts w:cs="Arial"/>
          <w:szCs w:val="20"/>
          <w:lang w:val="pt-BR"/>
        </w:rPr>
        <w:t xml:space="preserve"> sobre</w:t>
      </w:r>
      <w:r w:rsidR="002C330E" w:rsidRPr="00D5464D">
        <w:rPr>
          <w:rFonts w:cs="Arial"/>
          <w:szCs w:val="20"/>
          <w:lang w:val="pt-BR"/>
        </w:rPr>
        <w:t xml:space="preserve"> a </w:t>
      </w:r>
      <w:r w:rsidR="0003391C" w:rsidRPr="00D5464D">
        <w:rPr>
          <w:rFonts w:cs="Arial"/>
          <w:szCs w:val="20"/>
          <w:lang w:val="pt-BR"/>
        </w:rPr>
        <w:t>fuga o</w:t>
      </w:r>
      <w:r w:rsidR="00631CD6" w:rsidRPr="00D5464D">
        <w:rPr>
          <w:rFonts w:cs="Arial"/>
          <w:szCs w:val="20"/>
          <w:lang w:val="pt-BR"/>
        </w:rPr>
        <w:t>u</w:t>
      </w:r>
      <w:r w:rsidR="0003391C" w:rsidRPr="00D5464D">
        <w:rPr>
          <w:rFonts w:cs="Arial"/>
          <w:szCs w:val="20"/>
          <w:lang w:val="pt-BR"/>
        </w:rPr>
        <w:t xml:space="preserve"> abandono de </w:t>
      </w:r>
      <w:r w:rsidR="002C330E" w:rsidRPr="00D5464D">
        <w:rPr>
          <w:rFonts w:cs="Arial"/>
          <w:szCs w:val="20"/>
          <w:lang w:val="pt-BR"/>
        </w:rPr>
        <w:t>serviço</w:t>
      </w:r>
      <w:r w:rsidRPr="00D5464D">
        <w:rPr>
          <w:rFonts w:cs="Arial"/>
          <w:szCs w:val="20"/>
          <w:lang w:val="pt-BR"/>
        </w:rPr>
        <w:t xml:space="preserve"> dos </w:t>
      </w:r>
      <w:r w:rsidR="00E045D9" w:rsidRPr="00D5464D">
        <w:rPr>
          <w:rFonts w:cs="Arial"/>
          <w:szCs w:val="20"/>
          <w:lang w:val="pt-BR"/>
        </w:rPr>
        <w:t>trabalhadores</w:t>
      </w:r>
      <w:r w:rsidR="0003391C" w:rsidRPr="00D5464D">
        <w:rPr>
          <w:rFonts w:cs="Arial"/>
          <w:szCs w:val="20"/>
          <w:lang w:val="pt-BR"/>
        </w:rPr>
        <w:t xml:space="preserve">, </w:t>
      </w:r>
      <w:r w:rsidR="002C330E" w:rsidRPr="00D5464D">
        <w:rPr>
          <w:rFonts w:cs="Arial"/>
          <w:szCs w:val="20"/>
          <w:lang w:val="pt-BR"/>
        </w:rPr>
        <w:t>justific</w:t>
      </w:r>
      <w:r w:rsidR="00350187" w:rsidRPr="00D5464D">
        <w:rPr>
          <w:rFonts w:cs="Arial"/>
          <w:szCs w:val="20"/>
          <w:lang w:val="pt-BR"/>
        </w:rPr>
        <w:t xml:space="preserve">avam </w:t>
      </w:r>
      <w:r w:rsidR="002C330E" w:rsidRPr="00D5464D">
        <w:rPr>
          <w:rFonts w:cs="Arial"/>
          <w:szCs w:val="20"/>
          <w:lang w:val="pt-BR"/>
        </w:rPr>
        <w:t xml:space="preserve">a </w:t>
      </w:r>
      <w:r w:rsidR="0003391C" w:rsidRPr="00D5464D">
        <w:rPr>
          <w:rFonts w:cs="Arial"/>
          <w:szCs w:val="20"/>
          <w:lang w:val="pt-BR"/>
        </w:rPr>
        <w:t>instaura</w:t>
      </w:r>
      <w:r w:rsidRPr="00D5464D">
        <w:rPr>
          <w:rFonts w:cs="Arial"/>
          <w:szCs w:val="20"/>
          <w:lang w:val="pt-BR"/>
        </w:rPr>
        <w:t>ção d</w:t>
      </w:r>
      <w:r w:rsidR="00631CD6" w:rsidRPr="00D5464D">
        <w:rPr>
          <w:rFonts w:cs="Arial"/>
          <w:szCs w:val="20"/>
          <w:lang w:val="pt-BR"/>
        </w:rPr>
        <w:t>e</w:t>
      </w:r>
      <w:r w:rsidRPr="00D5464D">
        <w:rPr>
          <w:rFonts w:cs="Arial"/>
          <w:szCs w:val="20"/>
          <w:lang w:val="pt-BR"/>
        </w:rPr>
        <w:t xml:space="preserve"> </w:t>
      </w:r>
      <w:r w:rsidR="0003391C" w:rsidRPr="00D5464D">
        <w:rPr>
          <w:rFonts w:cs="Arial"/>
          <w:szCs w:val="20"/>
          <w:lang w:val="pt-BR"/>
        </w:rPr>
        <w:t>investiga</w:t>
      </w:r>
      <w:r w:rsidRPr="00D5464D">
        <w:rPr>
          <w:rFonts w:cs="Arial"/>
          <w:szCs w:val="20"/>
          <w:lang w:val="pt-BR"/>
        </w:rPr>
        <w:t>ção</w:t>
      </w:r>
      <w:r w:rsidR="0003391C" w:rsidRPr="00D5464D">
        <w:rPr>
          <w:rFonts w:cs="Arial"/>
          <w:szCs w:val="20"/>
          <w:lang w:val="pt-BR"/>
        </w:rPr>
        <w:t xml:space="preserve"> policial para</w:t>
      </w:r>
      <w:r w:rsidR="002C330E" w:rsidRPr="00D5464D">
        <w:rPr>
          <w:rFonts w:cs="Arial"/>
          <w:szCs w:val="20"/>
          <w:lang w:val="pt-BR"/>
        </w:rPr>
        <w:t xml:space="preserve"> a</w:t>
      </w:r>
      <w:r w:rsidR="00C87EF3" w:rsidRPr="00D5464D">
        <w:rPr>
          <w:rFonts w:cs="Arial"/>
          <w:szCs w:val="20"/>
          <w:lang w:val="pt-BR"/>
        </w:rPr>
        <w:t>puração de</w:t>
      </w:r>
      <w:r w:rsidR="002C330E" w:rsidRPr="00D5464D">
        <w:rPr>
          <w:rFonts w:cs="Arial"/>
          <w:szCs w:val="20"/>
          <w:lang w:val="pt-BR"/>
        </w:rPr>
        <w:t xml:space="preserve"> </w:t>
      </w:r>
      <w:r w:rsidR="0003391C" w:rsidRPr="00D5464D">
        <w:rPr>
          <w:rFonts w:cs="Arial"/>
          <w:szCs w:val="20"/>
          <w:lang w:val="pt-BR"/>
        </w:rPr>
        <w:t xml:space="preserve">eventual </w:t>
      </w:r>
      <w:r w:rsidR="002C330E" w:rsidRPr="00D5464D">
        <w:rPr>
          <w:rFonts w:cs="Arial"/>
          <w:szCs w:val="20"/>
          <w:lang w:val="pt-BR"/>
        </w:rPr>
        <w:t>prática</w:t>
      </w:r>
      <w:r w:rsidR="0003391C" w:rsidRPr="00D5464D">
        <w:rPr>
          <w:rFonts w:cs="Arial"/>
          <w:szCs w:val="20"/>
          <w:lang w:val="pt-BR"/>
        </w:rPr>
        <w:t xml:space="preserve"> </w:t>
      </w:r>
      <w:r w:rsidRPr="00D5464D">
        <w:rPr>
          <w:rFonts w:cs="Arial"/>
          <w:szCs w:val="20"/>
          <w:lang w:val="pt-BR"/>
        </w:rPr>
        <w:t xml:space="preserve">do </w:t>
      </w:r>
      <w:r w:rsidR="0003391C" w:rsidRPr="00D5464D">
        <w:rPr>
          <w:rFonts w:cs="Arial"/>
          <w:szCs w:val="20"/>
          <w:lang w:val="pt-BR"/>
        </w:rPr>
        <w:t>delito contra</w:t>
      </w:r>
      <w:r w:rsidR="002C330E" w:rsidRPr="00D5464D">
        <w:rPr>
          <w:rFonts w:cs="Arial"/>
          <w:szCs w:val="20"/>
          <w:lang w:val="pt-BR"/>
        </w:rPr>
        <w:t xml:space="preserve"> a </w:t>
      </w:r>
      <w:r w:rsidR="0003391C" w:rsidRPr="00D5464D">
        <w:rPr>
          <w:rFonts w:cs="Arial"/>
          <w:szCs w:val="20"/>
          <w:lang w:val="pt-BR"/>
        </w:rPr>
        <w:t>organiza</w:t>
      </w:r>
      <w:r w:rsidRPr="00D5464D">
        <w:rPr>
          <w:rFonts w:cs="Arial"/>
          <w:szCs w:val="20"/>
          <w:lang w:val="pt-BR"/>
        </w:rPr>
        <w:t>ção</w:t>
      </w:r>
      <w:r w:rsidR="0003391C" w:rsidRPr="00D5464D">
        <w:rPr>
          <w:rFonts w:cs="Arial"/>
          <w:szCs w:val="20"/>
          <w:lang w:val="pt-BR"/>
        </w:rPr>
        <w:t xml:space="preserve"> </w:t>
      </w:r>
      <w:r w:rsidRPr="00D5464D">
        <w:rPr>
          <w:rFonts w:cs="Arial"/>
          <w:szCs w:val="20"/>
          <w:lang w:val="pt-BR"/>
        </w:rPr>
        <w:t xml:space="preserve">do </w:t>
      </w:r>
      <w:r w:rsidR="00E045D9" w:rsidRPr="00D5464D">
        <w:rPr>
          <w:rFonts w:cs="Arial"/>
          <w:szCs w:val="20"/>
          <w:lang w:val="pt-BR"/>
        </w:rPr>
        <w:t xml:space="preserve">trabalho e </w:t>
      </w:r>
      <w:r w:rsidR="0003391C" w:rsidRPr="00D5464D">
        <w:rPr>
          <w:rFonts w:cs="Arial"/>
          <w:szCs w:val="20"/>
          <w:lang w:val="pt-BR"/>
        </w:rPr>
        <w:t xml:space="preserve">de </w:t>
      </w:r>
      <w:r w:rsidR="00737270" w:rsidRPr="00D5464D">
        <w:rPr>
          <w:rFonts w:cs="Arial"/>
          <w:szCs w:val="20"/>
          <w:lang w:val="pt-BR"/>
        </w:rPr>
        <w:t>redução</w:t>
      </w:r>
      <w:r w:rsidR="0003391C" w:rsidRPr="00D5464D">
        <w:rPr>
          <w:rFonts w:cs="Arial"/>
          <w:szCs w:val="20"/>
          <w:lang w:val="pt-BR"/>
        </w:rPr>
        <w:t xml:space="preserve"> </w:t>
      </w:r>
      <w:r w:rsidR="00631CD6" w:rsidRPr="00D5464D">
        <w:rPr>
          <w:rFonts w:cs="Arial"/>
          <w:szCs w:val="20"/>
          <w:lang w:val="pt-BR"/>
        </w:rPr>
        <w:t>à</w:t>
      </w:r>
      <w:r w:rsidR="0003391C" w:rsidRPr="00D5464D">
        <w:rPr>
          <w:rFonts w:cs="Arial"/>
          <w:szCs w:val="20"/>
          <w:lang w:val="pt-BR"/>
        </w:rPr>
        <w:t xml:space="preserve"> condi</w:t>
      </w:r>
      <w:r w:rsidRPr="00D5464D">
        <w:rPr>
          <w:rFonts w:cs="Arial"/>
          <w:szCs w:val="20"/>
          <w:lang w:val="pt-BR"/>
        </w:rPr>
        <w:t>ção</w:t>
      </w:r>
      <w:r w:rsidR="0003391C" w:rsidRPr="00D5464D">
        <w:rPr>
          <w:rFonts w:cs="Arial"/>
          <w:szCs w:val="20"/>
          <w:lang w:val="pt-BR"/>
        </w:rPr>
        <w:t xml:space="preserve"> análoga</w:t>
      </w:r>
      <w:r w:rsidRPr="00D5464D">
        <w:rPr>
          <w:rFonts w:cs="Arial"/>
          <w:szCs w:val="20"/>
          <w:lang w:val="pt-BR"/>
        </w:rPr>
        <w:t xml:space="preserve"> à </w:t>
      </w:r>
      <w:r w:rsidR="00696CD2" w:rsidRPr="00D5464D">
        <w:rPr>
          <w:rFonts w:cs="Arial"/>
          <w:szCs w:val="20"/>
          <w:lang w:val="pt-BR"/>
        </w:rPr>
        <w:t xml:space="preserve">de </w:t>
      </w:r>
      <w:r w:rsidR="004F1CC2" w:rsidRPr="00D5464D">
        <w:rPr>
          <w:rFonts w:cs="Arial"/>
          <w:szCs w:val="20"/>
          <w:lang w:val="pt-BR"/>
        </w:rPr>
        <w:t>escravo</w:t>
      </w:r>
      <w:r w:rsidR="0003391C" w:rsidRPr="00D5464D">
        <w:rPr>
          <w:rFonts w:cs="Arial"/>
          <w:szCs w:val="20"/>
          <w:lang w:val="pt-BR"/>
        </w:rPr>
        <w:t>. N</w:t>
      </w:r>
      <w:r w:rsidR="00631CD6" w:rsidRPr="00D5464D">
        <w:rPr>
          <w:rFonts w:cs="Arial"/>
          <w:szCs w:val="20"/>
          <w:lang w:val="pt-BR"/>
        </w:rPr>
        <w:t>ã</w:t>
      </w:r>
      <w:r w:rsidR="0003391C" w:rsidRPr="00D5464D">
        <w:rPr>
          <w:rFonts w:cs="Arial"/>
          <w:szCs w:val="20"/>
          <w:lang w:val="pt-BR"/>
        </w:rPr>
        <w:t>o obstante</w:t>
      </w:r>
      <w:r w:rsidR="00C91CB1" w:rsidRPr="00D5464D">
        <w:rPr>
          <w:rFonts w:cs="Arial"/>
          <w:szCs w:val="20"/>
          <w:lang w:val="pt-BR"/>
        </w:rPr>
        <w:t xml:space="preserve"> o </w:t>
      </w:r>
      <w:r w:rsidR="0003391C" w:rsidRPr="00D5464D">
        <w:rPr>
          <w:rFonts w:cs="Arial"/>
          <w:szCs w:val="20"/>
          <w:lang w:val="pt-BR"/>
        </w:rPr>
        <w:t xml:space="preserve">anterior, </w:t>
      </w:r>
      <w:r w:rsidRPr="00D5464D">
        <w:rPr>
          <w:rFonts w:cs="Arial"/>
          <w:szCs w:val="20"/>
          <w:lang w:val="pt-BR"/>
        </w:rPr>
        <w:t>destacou</w:t>
      </w:r>
      <w:r w:rsidR="0003391C" w:rsidRPr="00D5464D">
        <w:rPr>
          <w:rFonts w:cs="Arial"/>
          <w:szCs w:val="20"/>
          <w:lang w:val="pt-BR"/>
        </w:rPr>
        <w:t xml:space="preserve"> que</w:t>
      </w:r>
      <w:r w:rsidR="002C330E" w:rsidRPr="00D5464D">
        <w:rPr>
          <w:rFonts w:cs="Arial"/>
          <w:szCs w:val="20"/>
          <w:lang w:val="pt-BR"/>
        </w:rPr>
        <w:t xml:space="preserve"> a maioria</w:t>
      </w:r>
      <w:r w:rsidRPr="00D5464D">
        <w:rPr>
          <w:rFonts w:cs="Arial"/>
          <w:szCs w:val="20"/>
          <w:lang w:val="pt-BR"/>
        </w:rPr>
        <w:t xml:space="preserve"> dos </w:t>
      </w:r>
      <w:r w:rsidR="0003391C" w:rsidRPr="00D5464D">
        <w:rPr>
          <w:rFonts w:cs="Arial"/>
          <w:szCs w:val="20"/>
          <w:lang w:val="pt-BR"/>
        </w:rPr>
        <w:t>delitos</w:t>
      </w:r>
      <w:r w:rsidR="00E045D9" w:rsidRPr="00D5464D">
        <w:rPr>
          <w:rFonts w:cs="Arial"/>
          <w:szCs w:val="20"/>
          <w:lang w:val="pt-BR"/>
        </w:rPr>
        <w:t xml:space="preserve"> já</w:t>
      </w:r>
      <w:r w:rsidR="00737270" w:rsidRPr="00D5464D">
        <w:rPr>
          <w:rFonts w:cs="Arial"/>
          <w:szCs w:val="20"/>
          <w:lang w:val="pt-BR"/>
        </w:rPr>
        <w:t xml:space="preserve"> haviam </w:t>
      </w:r>
      <w:r w:rsidR="00C87EF3" w:rsidRPr="00D5464D">
        <w:rPr>
          <w:rFonts w:cs="Arial"/>
          <w:szCs w:val="20"/>
          <w:lang w:val="pt-BR"/>
        </w:rPr>
        <w:t>prescrevido</w:t>
      </w:r>
      <w:r w:rsidR="0003391C" w:rsidRPr="00D5464D">
        <w:rPr>
          <w:rFonts w:cs="Arial"/>
          <w:szCs w:val="20"/>
          <w:lang w:val="pt-BR"/>
        </w:rPr>
        <w:t>. Sobre</w:t>
      </w:r>
      <w:r w:rsidRPr="00D5464D">
        <w:rPr>
          <w:rFonts w:cs="Arial"/>
          <w:szCs w:val="20"/>
          <w:lang w:val="pt-BR"/>
        </w:rPr>
        <w:t xml:space="preserve"> o </w:t>
      </w:r>
      <w:r w:rsidR="0003391C" w:rsidRPr="00D5464D">
        <w:rPr>
          <w:rFonts w:cs="Arial"/>
          <w:szCs w:val="20"/>
          <w:lang w:val="pt-BR"/>
        </w:rPr>
        <w:t>delito relacionado</w:t>
      </w:r>
      <w:r w:rsidRPr="00D5464D">
        <w:rPr>
          <w:rFonts w:cs="Arial"/>
          <w:szCs w:val="20"/>
          <w:lang w:val="pt-BR"/>
        </w:rPr>
        <w:t xml:space="preserve"> </w:t>
      </w:r>
      <w:r w:rsidR="00631CD6" w:rsidRPr="00D5464D">
        <w:rPr>
          <w:rFonts w:cs="Arial"/>
          <w:szCs w:val="20"/>
          <w:lang w:val="pt-BR"/>
        </w:rPr>
        <w:t>a</w:t>
      </w:r>
      <w:r w:rsidRPr="00D5464D">
        <w:rPr>
          <w:rFonts w:cs="Arial"/>
          <w:szCs w:val="20"/>
          <w:lang w:val="pt-BR"/>
        </w:rPr>
        <w:t xml:space="preserve"> </w:t>
      </w:r>
      <w:r w:rsidR="00F92BCF" w:rsidRPr="00D5464D">
        <w:rPr>
          <w:rFonts w:cs="Arial"/>
          <w:szCs w:val="20"/>
          <w:lang w:val="pt-BR"/>
        </w:rPr>
        <w:t xml:space="preserve">submissão a </w:t>
      </w:r>
      <w:r w:rsidR="0003391C" w:rsidRPr="00D5464D">
        <w:rPr>
          <w:rFonts w:cs="Arial"/>
          <w:szCs w:val="20"/>
          <w:lang w:val="pt-BR"/>
        </w:rPr>
        <w:t>condi</w:t>
      </w:r>
      <w:r w:rsidRPr="00D5464D">
        <w:rPr>
          <w:rFonts w:cs="Arial"/>
          <w:szCs w:val="20"/>
          <w:lang w:val="pt-BR"/>
        </w:rPr>
        <w:t>ções</w:t>
      </w:r>
      <w:r w:rsidR="0003391C" w:rsidRPr="00D5464D">
        <w:rPr>
          <w:rFonts w:cs="Arial"/>
          <w:szCs w:val="20"/>
          <w:lang w:val="pt-BR"/>
        </w:rPr>
        <w:t xml:space="preserve"> </w:t>
      </w:r>
      <w:r w:rsidR="006665EF" w:rsidRPr="00D5464D">
        <w:rPr>
          <w:rFonts w:cs="Arial"/>
          <w:szCs w:val="20"/>
          <w:lang w:val="pt-BR"/>
        </w:rPr>
        <w:t>análogas</w:t>
      </w:r>
      <w:r w:rsidR="00350187" w:rsidRPr="00D5464D">
        <w:rPr>
          <w:rFonts w:cs="Arial"/>
          <w:szCs w:val="20"/>
          <w:lang w:val="pt-BR"/>
        </w:rPr>
        <w:t xml:space="preserve"> </w:t>
      </w:r>
      <w:r w:rsidRPr="00D5464D">
        <w:rPr>
          <w:rFonts w:cs="Arial"/>
          <w:szCs w:val="20"/>
          <w:lang w:val="pt-BR"/>
        </w:rPr>
        <w:t xml:space="preserve">à </w:t>
      </w:r>
      <w:r w:rsidR="00696CD2" w:rsidRPr="00D5464D">
        <w:rPr>
          <w:rFonts w:cs="Arial"/>
          <w:szCs w:val="20"/>
          <w:lang w:val="pt-BR"/>
        </w:rPr>
        <w:t xml:space="preserve">de </w:t>
      </w:r>
      <w:r w:rsidR="004F1CC2" w:rsidRPr="00D5464D">
        <w:rPr>
          <w:rFonts w:cs="Arial"/>
          <w:szCs w:val="20"/>
          <w:lang w:val="pt-BR"/>
        </w:rPr>
        <w:t>escravo</w:t>
      </w:r>
      <w:r w:rsidR="00696CD2" w:rsidRPr="00D5464D">
        <w:rPr>
          <w:rFonts w:cs="Arial"/>
          <w:szCs w:val="20"/>
          <w:lang w:val="pt-BR"/>
        </w:rPr>
        <w:t xml:space="preserve"> </w:t>
      </w:r>
      <w:r w:rsidR="0003391C" w:rsidRPr="00D5464D">
        <w:rPr>
          <w:rFonts w:cs="Arial"/>
          <w:szCs w:val="20"/>
          <w:lang w:val="pt-BR"/>
        </w:rPr>
        <w:t>que</w:t>
      </w:r>
      <w:r w:rsidRPr="00D5464D">
        <w:rPr>
          <w:rFonts w:cs="Arial"/>
          <w:szCs w:val="20"/>
          <w:lang w:val="pt-BR"/>
        </w:rPr>
        <w:t xml:space="preserve"> ainda</w:t>
      </w:r>
      <w:r w:rsidR="0003391C" w:rsidRPr="00D5464D">
        <w:rPr>
          <w:rFonts w:cs="Arial"/>
          <w:szCs w:val="20"/>
          <w:lang w:val="pt-BR"/>
        </w:rPr>
        <w:t xml:space="preserve"> </w:t>
      </w:r>
      <w:r w:rsidR="00737270" w:rsidRPr="00D5464D">
        <w:rPr>
          <w:rFonts w:cs="Arial"/>
          <w:szCs w:val="20"/>
          <w:lang w:val="pt-BR"/>
        </w:rPr>
        <w:t xml:space="preserve">não </w:t>
      </w:r>
      <w:r w:rsidR="00F92BCF" w:rsidRPr="00D5464D">
        <w:rPr>
          <w:rFonts w:cs="Arial"/>
          <w:szCs w:val="20"/>
          <w:lang w:val="pt-BR"/>
        </w:rPr>
        <w:t>estava</w:t>
      </w:r>
      <w:r w:rsidR="006C57DD" w:rsidRPr="00D5464D">
        <w:rPr>
          <w:rFonts w:cs="Arial"/>
          <w:szCs w:val="20"/>
          <w:lang w:val="pt-BR"/>
        </w:rPr>
        <w:t xml:space="preserve"> </w:t>
      </w:r>
      <w:r w:rsidR="0003391C" w:rsidRPr="00D5464D">
        <w:rPr>
          <w:rFonts w:cs="Arial"/>
          <w:szCs w:val="20"/>
          <w:lang w:val="pt-BR"/>
        </w:rPr>
        <w:t xml:space="preserve">prescrito, era </w:t>
      </w:r>
      <w:r w:rsidR="00A1358C" w:rsidRPr="00D5464D">
        <w:rPr>
          <w:rFonts w:cs="Arial"/>
          <w:szCs w:val="20"/>
          <w:lang w:val="pt-BR"/>
        </w:rPr>
        <w:t>inviável</w:t>
      </w:r>
      <w:r w:rsidR="0003391C" w:rsidRPr="00D5464D">
        <w:rPr>
          <w:rFonts w:cs="Arial"/>
          <w:szCs w:val="20"/>
          <w:lang w:val="pt-BR"/>
        </w:rPr>
        <w:t xml:space="preserve"> com</w:t>
      </w:r>
      <w:r w:rsidR="002C330E" w:rsidRPr="00D5464D">
        <w:rPr>
          <w:rFonts w:cs="Arial"/>
          <w:szCs w:val="20"/>
          <w:lang w:val="pt-BR"/>
        </w:rPr>
        <w:t>provar</w:t>
      </w:r>
      <w:r w:rsidR="0003391C" w:rsidRPr="00D5464D">
        <w:rPr>
          <w:rFonts w:cs="Arial"/>
          <w:szCs w:val="20"/>
          <w:lang w:val="pt-BR"/>
        </w:rPr>
        <w:t xml:space="preserve"> su</w:t>
      </w:r>
      <w:r w:rsidR="00631CD6" w:rsidRPr="00D5464D">
        <w:rPr>
          <w:rFonts w:cs="Arial"/>
          <w:szCs w:val="20"/>
          <w:lang w:val="pt-BR"/>
        </w:rPr>
        <w:t>a</w:t>
      </w:r>
      <w:r w:rsidR="0003391C" w:rsidRPr="00D5464D">
        <w:rPr>
          <w:rFonts w:cs="Arial"/>
          <w:szCs w:val="20"/>
          <w:lang w:val="pt-BR"/>
        </w:rPr>
        <w:t xml:space="preserve"> </w:t>
      </w:r>
      <w:r w:rsidR="00E045D9" w:rsidRPr="00D5464D">
        <w:rPr>
          <w:rFonts w:cs="Arial"/>
          <w:szCs w:val="20"/>
          <w:lang w:val="pt-BR"/>
        </w:rPr>
        <w:t>existência</w:t>
      </w:r>
      <w:r w:rsidR="0003391C" w:rsidRPr="00D5464D">
        <w:rPr>
          <w:rFonts w:cs="Arial"/>
          <w:szCs w:val="20"/>
          <w:lang w:val="pt-BR"/>
        </w:rPr>
        <w:t xml:space="preserve"> </w:t>
      </w:r>
      <w:r w:rsidRPr="00D5464D">
        <w:rPr>
          <w:rFonts w:cs="Arial"/>
          <w:szCs w:val="20"/>
          <w:lang w:val="pt-BR"/>
        </w:rPr>
        <w:t>depois</w:t>
      </w:r>
      <w:r w:rsidR="0003391C" w:rsidRPr="00D5464D">
        <w:rPr>
          <w:rFonts w:cs="Arial"/>
          <w:szCs w:val="20"/>
          <w:lang w:val="pt-BR"/>
        </w:rPr>
        <w:t xml:space="preserve"> de </w:t>
      </w:r>
      <w:r w:rsidR="002C330E" w:rsidRPr="00D5464D">
        <w:rPr>
          <w:rFonts w:cs="Arial"/>
          <w:szCs w:val="20"/>
          <w:lang w:val="pt-BR"/>
        </w:rPr>
        <w:t xml:space="preserve">mais </w:t>
      </w:r>
      <w:r w:rsidR="0003391C" w:rsidRPr="00D5464D">
        <w:rPr>
          <w:rFonts w:cs="Arial"/>
          <w:szCs w:val="20"/>
          <w:lang w:val="pt-BR"/>
        </w:rPr>
        <w:t xml:space="preserve">de cinco </w:t>
      </w:r>
      <w:r w:rsidRPr="00D5464D">
        <w:rPr>
          <w:rFonts w:cs="Arial"/>
          <w:szCs w:val="20"/>
          <w:lang w:val="pt-BR"/>
        </w:rPr>
        <w:t>anos</w:t>
      </w:r>
      <w:r w:rsidR="0003391C" w:rsidRPr="00D5464D">
        <w:rPr>
          <w:rFonts w:cs="Arial"/>
          <w:szCs w:val="20"/>
          <w:lang w:val="pt-BR"/>
        </w:rPr>
        <w:t xml:space="preserve"> d</w:t>
      </w:r>
      <w:r w:rsidR="00631CD6" w:rsidRPr="00D5464D">
        <w:rPr>
          <w:rFonts w:cs="Arial"/>
          <w:szCs w:val="20"/>
          <w:lang w:val="pt-BR"/>
        </w:rPr>
        <w:t xml:space="preserve">a ocorrência </w:t>
      </w:r>
      <w:r w:rsidR="002C330E" w:rsidRPr="00D5464D">
        <w:rPr>
          <w:rFonts w:cs="Arial"/>
          <w:szCs w:val="20"/>
          <w:lang w:val="pt-BR"/>
        </w:rPr>
        <w:t>os fatos</w:t>
      </w:r>
      <w:r w:rsidR="0003391C" w:rsidRPr="00D5464D">
        <w:rPr>
          <w:rFonts w:cs="Arial"/>
          <w:szCs w:val="20"/>
          <w:lang w:val="pt-BR"/>
        </w:rPr>
        <w:t>.</w:t>
      </w:r>
      <w:r w:rsidR="0003391C" w:rsidRPr="00D5464D">
        <w:rPr>
          <w:rFonts w:cs="Times New Roman"/>
          <w:szCs w:val="20"/>
          <w:lang w:val="pt-BR"/>
        </w:rPr>
        <w:t xml:space="preserve"> </w:t>
      </w:r>
      <w:r w:rsidR="0003391C" w:rsidRPr="00D5464D">
        <w:rPr>
          <w:rFonts w:cs="Arial"/>
          <w:szCs w:val="20"/>
          <w:lang w:val="pt-BR"/>
        </w:rPr>
        <w:t>Finalmente</w:t>
      </w:r>
      <w:r w:rsidR="00631CD6" w:rsidRPr="00D5464D">
        <w:rPr>
          <w:rFonts w:cs="Arial"/>
          <w:szCs w:val="20"/>
          <w:lang w:val="pt-BR"/>
        </w:rPr>
        <w:t>,</w:t>
      </w:r>
      <w:r w:rsidR="0003391C" w:rsidRPr="00D5464D">
        <w:rPr>
          <w:rFonts w:cs="Arial"/>
          <w:szCs w:val="20"/>
          <w:lang w:val="pt-BR"/>
        </w:rPr>
        <w:t xml:space="preserve"> </w:t>
      </w:r>
      <w:r w:rsidRPr="00D5464D">
        <w:rPr>
          <w:rFonts w:cs="Arial"/>
          <w:szCs w:val="20"/>
          <w:lang w:val="pt-BR"/>
        </w:rPr>
        <w:t>destacou</w:t>
      </w:r>
      <w:r w:rsidR="0003391C" w:rsidRPr="00D5464D">
        <w:rPr>
          <w:rFonts w:cs="Arial"/>
          <w:szCs w:val="20"/>
          <w:lang w:val="pt-BR"/>
        </w:rPr>
        <w:t xml:space="preserve"> que</w:t>
      </w:r>
      <w:r w:rsidR="0045315A" w:rsidRPr="00D5464D">
        <w:rPr>
          <w:rFonts w:cs="Arial"/>
          <w:szCs w:val="20"/>
          <w:lang w:val="pt-BR"/>
        </w:rPr>
        <w:t>,</w:t>
      </w:r>
      <w:r w:rsidR="0003391C" w:rsidRPr="00D5464D">
        <w:rPr>
          <w:rFonts w:cs="Arial"/>
          <w:szCs w:val="20"/>
          <w:lang w:val="pt-BR"/>
        </w:rPr>
        <w:t xml:space="preserve"> </w:t>
      </w:r>
      <w:r w:rsidR="002C330E" w:rsidRPr="00D5464D">
        <w:rPr>
          <w:rFonts w:cs="Arial"/>
          <w:szCs w:val="20"/>
          <w:lang w:val="pt-BR"/>
        </w:rPr>
        <w:t>a respeito</w:t>
      </w:r>
      <w:r w:rsidRPr="00D5464D">
        <w:rPr>
          <w:rFonts w:cs="Arial"/>
          <w:szCs w:val="20"/>
          <w:lang w:val="pt-BR"/>
        </w:rPr>
        <w:t xml:space="preserve"> da </w:t>
      </w:r>
      <w:r w:rsidR="0003391C" w:rsidRPr="00D5464D">
        <w:rPr>
          <w:rFonts w:cs="Arial"/>
          <w:szCs w:val="20"/>
          <w:lang w:val="pt-BR"/>
        </w:rPr>
        <w:t>fiscaliza</w:t>
      </w:r>
      <w:r w:rsidRPr="00D5464D">
        <w:rPr>
          <w:rFonts w:cs="Arial"/>
          <w:szCs w:val="20"/>
          <w:lang w:val="pt-BR"/>
        </w:rPr>
        <w:t>ção</w:t>
      </w:r>
      <w:r w:rsidR="0003391C" w:rsidRPr="00D5464D">
        <w:rPr>
          <w:rFonts w:cs="Arial"/>
          <w:szCs w:val="20"/>
          <w:lang w:val="pt-BR"/>
        </w:rPr>
        <w:t xml:space="preserve"> de 1993</w:t>
      </w:r>
      <w:r w:rsidR="0045315A" w:rsidRPr="00D5464D">
        <w:rPr>
          <w:rFonts w:cs="Arial"/>
          <w:szCs w:val="20"/>
          <w:lang w:val="pt-BR"/>
        </w:rPr>
        <w:t>,</w:t>
      </w:r>
      <w:r w:rsidR="0003391C" w:rsidRPr="00D5464D">
        <w:rPr>
          <w:rFonts w:cs="Arial"/>
          <w:szCs w:val="20"/>
          <w:lang w:val="pt-BR"/>
        </w:rPr>
        <w:t xml:space="preserve"> n</w:t>
      </w:r>
      <w:r w:rsidR="00631CD6" w:rsidRPr="00D5464D">
        <w:rPr>
          <w:rFonts w:cs="Arial"/>
          <w:szCs w:val="20"/>
          <w:lang w:val="pt-BR"/>
        </w:rPr>
        <w:t>ã</w:t>
      </w:r>
      <w:r w:rsidR="0003391C" w:rsidRPr="00D5464D">
        <w:rPr>
          <w:rFonts w:cs="Arial"/>
          <w:szCs w:val="20"/>
          <w:lang w:val="pt-BR"/>
        </w:rPr>
        <w:t xml:space="preserve">o </w:t>
      </w:r>
      <w:r w:rsidR="00631CD6" w:rsidRPr="00D5464D">
        <w:rPr>
          <w:rFonts w:cs="Arial"/>
          <w:szCs w:val="20"/>
          <w:lang w:val="pt-BR"/>
        </w:rPr>
        <w:t xml:space="preserve">havia sido determinada a existência de </w:t>
      </w:r>
      <w:r w:rsidR="00E045D9" w:rsidRPr="00D5464D">
        <w:rPr>
          <w:rFonts w:cs="Arial"/>
          <w:szCs w:val="20"/>
          <w:lang w:val="pt-BR"/>
        </w:rPr>
        <w:t xml:space="preserve">uma </w:t>
      </w:r>
      <w:r w:rsidR="002C330E" w:rsidRPr="00D5464D">
        <w:rPr>
          <w:rFonts w:cs="Arial"/>
          <w:szCs w:val="20"/>
          <w:lang w:val="pt-BR"/>
        </w:rPr>
        <w:t>prática</w:t>
      </w:r>
      <w:r w:rsidR="0003391C" w:rsidRPr="00D5464D">
        <w:rPr>
          <w:rFonts w:cs="Arial"/>
          <w:szCs w:val="20"/>
          <w:lang w:val="pt-BR"/>
        </w:rPr>
        <w:t xml:space="preserve"> de </w:t>
      </w:r>
      <w:r w:rsidR="00E045D9" w:rsidRPr="00D5464D">
        <w:rPr>
          <w:rFonts w:cs="Arial"/>
          <w:szCs w:val="20"/>
          <w:lang w:val="pt-BR"/>
        </w:rPr>
        <w:t>trabalho</w:t>
      </w:r>
      <w:r w:rsidR="0003391C" w:rsidRPr="00D5464D">
        <w:rPr>
          <w:rFonts w:cs="Arial"/>
          <w:szCs w:val="20"/>
          <w:lang w:val="pt-BR"/>
        </w:rPr>
        <w:t xml:space="preserve"> </w:t>
      </w:r>
      <w:r w:rsidR="004F1CC2" w:rsidRPr="00D5464D">
        <w:rPr>
          <w:rFonts w:cs="Arial"/>
          <w:szCs w:val="20"/>
          <w:lang w:val="pt-BR"/>
        </w:rPr>
        <w:t>escravo</w:t>
      </w:r>
      <w:r w:rsidR="0003391C" w:rsidRPr="00D5464D">
        <w:rPr>
          <w:rFonts w:cs="Arial"/>
          <w:szCs w:val="20"/>
          <w:lang w:val="pt-BR"/>
        </w:rPr>
        <w:t xml:space="preserve">, </w:t>
      </w:r>
      <w:r w:rsidR="002C330E" w:rsidRPr="00D5464D">
        <w:rPr>
          <w:rFonts w:cs="Arial"/>
          <w:szCs w:val="20"/>
          <w:lang w:val="pt-BR"/>
        </w:rPr>
        <w:t>mas</w:t>
      </w:r>
      <w:r w:rsidR="0003391C" w:rsidRPr="00D5464D">
        <w:rPr>
          <w:rFonts w:cs="Arial"/>
          <w:szCs w:val="20"/>
          <w:lang w:val="pt-BR"/>
        </w:rPr>
        <w:t xml:space="preserve"> </w:t>
      </w:r>
      <w:r w:rsidR="002C330E" w:rsidRPr="00D5464D">
        <w:rPr>
          <w:rFonts w:cs="Arial"/>
          <w:szCs w:val="20"/>
          <w:lang w:val="pt-BR"/>
        </w:rPr>
        <w:t>si</w:t>
      </w:r>
      <w:r w:rsidR="00631CD6" w:rsidRPr="00D5464D">
        <w:rPr>
          <w:rFonts w:cs="Arial"/>
          <w:szCs w:val="20"/>
          <w:lang w:val="pt-BR"/>
        </w:rPr>
        <w:t>m</w:t>
      </w:r>
      <w:r w:rsidR="002C330E" w:rsidRPr="00D5464D">
        <w:rPr>
          <w:rFonts w:cs="Arial"/>
          <w:szCs w:val="20"/>
          <w:lang w:val="pt-BR"/>
        </w:rPr>
        <w:t xml:space="preserve"> a prática</w:t>
      </w:r>
      <w:r w:rsidR="0003391C" w:rsidRPr="00D5464D">
        <w:rPr>
          <w:rFonts w:cs="Arial"/>
          <w:szCs w:val="20"/>
          <w:lang w:val="pt-BR"/>
        </w:rPr>
        <w:t xml:space="preserve"> de </w:t>
      </w:r>
      <w:r w:rsidR="00A1358C" w:rsidRPr="00D5464D">
        <w:rPr>
          <w:rFonts w:cs="Arial"/>
          <w:szCs w:val="20"/>
          <w:lang w:val="pt-BR"/>
        </w:rPr>
        <w:t>recrutamento</w:t>
      </w:r>
      <w:r w:rsidR="0003391C" w:rsidRPr="00D5464D">
        <w:rPr>
          <w:rFonts w:cs="Arial"/>
          <w:szCs w:val="20"/>
          <w:lang w:val="pt-BR"/>
        </w:rPr>
        <w:t xml:space="preserve"> ilegal o</w:t>
      </w:r>
      <w:r w:rsidR="00631CD6" w:rsidRPr="00D5464D">
        <w:rPr>
          <w:rFonts w:cs="Arial"/>
          <w:szCs w:val="20"/>
          <w:lang w:val="pt-BR"/>
        </w:rPr>
        <w:t>u</w:t>
      </w:r>
      <w:r w:rsidR="0003391C" w:rsidRPr="00D5464D">
        <w:rPr>
          <w:rFonts w:cs="Arial"/>
          <w:szCs w:val="20"/>
          <w:lang w:val="pt-BR"/>
        </w:rPr>
        <w:t xml:space="preserve"> de frustra</w:t>
      </w:r>
      <w:r w:rsidRPr="00D5464D">
        <w:rPr>
          <w:rFonts w:cs="Arial"/>
          <w:szCs w:val="20"/>
          <w:lang w:val="pt-BR"/>
        </w:rPr>
        <w:t>ção</w:t>
      </w:r>
      <w:r w:rsidR="0003391C" w:rsidRPr="00D5464D">
        <w:rPr>
          <w:rFonts w:cs="Arial"/>
          <w:szCs w:val="20"/>
          <w:lang w:val="pt-BR"/>
        </w:rPr>
        <w:t xml:space="preserve"> de </w:t>
      </w:r>
      <w:r w:rsidR="00351C4B" w:rsidRPr="00D5464D">
        <w:rPr>
          <w:rFonts w:cs="Arial"/>
          <w:szCs w:val="20"/>
          <w:lang w:val="pt-BR"/>
        </w:rPr>
        <w:t>direitos trabalhistas</w:t>
      </w:r>
      <w:r w:rsidR="00631CD6" w:rsidRPr="00D5464D">
        <w:rPr>
          <w:rFonts w:cs="Arial"/>
          <w:szCs w:val="20"/>
          <w:lang w:val="pt-BR"/>
        </w:rPr>
        <w:t>.</w:t>
      </w:r>
      <w:r w:rsidR="0003391C" w:rsidRPr="00D5464D">
        <w:rPr>
          <w:rStyle w:val="Refdenotaalpie"/>
          <w:rFonts w:cs="Arial"/>
          <w:lang w:val="pt-BR"/>
        </w:rPr>
        <w:footnoteReference w:id="125"/>
      </w:r>
    </w:p>
    <w:p w14:paraId="2795EBAE" w14:textId="2F46B25B" w:rsidR="0003391C" w:rsidRPr="00D5464D" w:rsidRDefault="00470ADC" w:rsidP="008622F3">
      <w:pPr>
        <w:pStyle w:val="Ttulo3"/>
        <w:rPr>
          <w:b w:val="0"/>
          <w:lang w:val="pt-BR"/>
        </w:rPr>
      </w:pPr>
      <w:r w:rsidRPr="00D5464D">
        <w:rPr>
          <w:rFonts w:cs="Arial"/>
          <w:i w:val="0"/>
          <w:iCs/>
          <w:szCs w:val="20"/>
          <w:lang w:val="pt-BR"/>
        </w:rPr>
        <w:cr/>
      </w:r>
      <w:bookmarkStart w:id="298" w:name="_Toc468433896"/>
      <w:r w:rsidRPr="00D5464D">
        <w:rPr>
          <w:rFonts w:cs="Arial"/>
          <w:b w:val="0"/>
          <w:iCs/>
          <w:szCs w:val="20"/>
          <w:lang w:val="pt-BR"/>
        </w:rPr>
        <w:t xml:space="preserve">A </w:t>
      </w:r>
      <w:bookmarkStart w:id="299" w:name="_Toc460433010"/>
      <w:bookmarkStart w:id="300" w:name="_Toc460441941"/>
      <w:bookmarkStart w:id="301" w:name="_Toc462750759"/>
      <w:bookmarkStart w:id="302" w:name="_Toc462751083"/>
      <w:bookmarkStart w:id="303" w:name="_Toc464813935"/>
      <w:r w:rsidR="0003391C" w:rsidRPr="00D5464D">
        <w:rPr>
          <w:b w:val="0"/>
          <w:lang w:val="pt-BR"/>
        </w:rPr>
        <w:t>visita</w:t>
      </w:r>
      <w:r w:rsidRPr="00D5464D">
        <w:rPr>
          <w:b w:val="0"/>
          <w:lang w:val="pt-BR"/>
        </w:rPr>
        <w:t xml:space="preserve"> à </w:t>
      </w:r>
      <w:r w:rsidR="00D809F0" w:rsidRPr="00D5464D">
        <w:rPr>
          <w:b w:val="0"/>
          <w:lang w:val="pt-BR"/>
        </w:rPr>
        <w:t>Fazenda</w:t>
      </w:r>
      <w:r w:rsidR="0003391C" w:rsidRPr="00D5464D">
        <w:rPr>
          <w:b w:val="0"/>
          <w:lang w:val="pt-BR"/>
        </w:rPr>
        <w:t xml:space="preserve"> Brasil Verde</w:t>
      </w:r>
      <w:r w:rsidRPr="00D5464D">
        <w:rPr>
          <w:b w:val="0"/>
          <w:lang w:val="pt-BR"/>
        </w:rPr>
        <w:t xml:space="preserve"> em </w:t>
      </w:r>
      <w:r w:rsidR="0003391C" w:rsidRPr="00D5464D">
        <w:rPr>
          <w:b w:val="0"/>
          <w:lang w:val="pt-BR"/>
        </w:rPr>
        <w:t>1996</w:t>
      </w:r>
      <w:bookmarkEnd w:id="298"/>
      <w:bookmarkEnd w:id="299"/>
      <w:bookmarkEnd w:id="300"/>
      <w:bookmarkEnd w:id="301"/>
      <w:bookmarkEnd w:id="302"/>
      <w:bookmarkEnd w:id="303"/>
    </w:p>
    <w:p w14:paraId="093684EF" w14:textId="77777777" w:rsidR="00D65024" w:rsidRPr="00D5464D" w:rsidRDefault="00D65024" w:rsidP="00D65024">
      <w:pPr>
        <w:pStyle w:val="Prrafodelista"/>
        <w:autoSpaceDE w:val="0"/>
        <w:autoSpaceDN w:val="0"/>
        <w:adjustRightInd w:val="0"/>
        <w:ind w:left="0"/>
        <w:contextualSpacing w:val="0"/>
        <w:rPr>
          <w:rFonts w:cs="Arial"/>
          <w:szCs w:val="20"/>
          <w:lang w:val="pt-BR"/>
        </w:rPr>
      </w:pPr>
    </w:p>
    <w:p w14:paraId="54E93F2C" w14:textId="0ADE3D9E" w:rsidR="0003391C" w:rsidRPr="00D5464D" w:rsidRDefault="00C91CB1" w:rsidP="00140440">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Em 2</w:t>
      </w:r>
      <w:r w:rsidR="0003391C" w:rsidRPr="00D5464D">
        <w:rPr>
          <w:rFonts w:cs="Arial"/>
          <w:szCs w:val="20"/>
          <w:lang w:val="pt-BR"/>
        </w:rPr>
        <w:t xml:space="preserve">9 de </w:t>
      </w:r>
      <w:r w:rsidR="002C330E" w:rsidRPr="00D5464D">
        <w:rPr>
          <w:rFonts w:cs="Arial"/>
          <w:szCs w:val="20"/>
          <w:lang w:val="pt-BR"/>
        </w:rPr>
        <w:t>novembro</w:t>
      </w:r>
      <w:r w:rsidR="0003391C" w:rsidRPr="00D5464D">
        <w:rPr>
          <w:rFonts w:cs="Arial"/>
          <w:szCs w:val="20"/>
          <w:lang w:val="pt-BR"/>
        </w:rPr>
        <w:t xml:space="preserve"> de 1996</w:t>
      </w:r>
      <w:r w:rsidR="00631CD6" w:rsidRPr="00D5464D">
        <w:rPr>
          <w:rFonts w:cs="Arial"/>
          <w:szCs w:val="20"/>
          <w:lang w:val="pt-BR"/>
        </w:rPr>
        <w:t>,</w:t>
      </w:r>
      <w:r w:rsidR="00470ADC" w:rsidRPr="00D5464D">
        <w:rPr>
          <w:rFonts w:cs="Arial"/>
          <w:szCs w:val="20"/>
          <w:lang w:val="pt-BR"/>
        </w:rPr>
        <w:t xml:space="preserve"> o </w:t>
      </w:r>
      <w:r w:rsidR="0003391C" w:rsidRPr="00D5464D">
        <w:rPr>
          <w:rFonts w:cs="Arial"/>
          <w:szCs w:val="20"/>
          <w:lang w:val="pt-BR"/>
        </w:rPr>
        <w:t xml:space="preserve">Grupo </w:t>
      </w:r>
      <w:r w:rsidR="00631CD6" w:rsidRPr="00D5464D">
        <w:rPr>
          <w:rFonts w:cs="Arial"/>
          <w:szCs w:val="20"/>
          <w:lang w:val="pt-BR"/>
        </w:rPr>
        <w:t>Móvel</w:t>
      </w:r>
      <w:r w:rsidR="0003391C" w:rsidRPr="00D5464D">
        <w:rPr>
          <w:rFonts w:cs="Arial"/>
          <w:szCs w:val="20"/>
          <w:lang w:val="pt-BR"/>
        </w:rPr>
        <w:t xml:space="preserve"> </w:t>
      </w:r>
      <w:r w:rsidR="00470ADC" w:rsidRPr="00D5464D">
        <w:rPr>
          <w:rFonts w:cs="Arial"/>
          <w:szCs w:val="20"/>
          <w:lang w:val="pt-BR"/>
        </w:rPr>
        <w:t xml:space="preserve">do </w:t>
      </w:r>
      <w:r w:rsidR="002C330E" w:rsidRPr="00D5464D">
        <w:rPr>
          <w:rFonts w:cs="Arial"/>
          <w:szCs w:val="20"/>
          <w:lang w:val="pt-BR"/>
        </w:rPr>
        <w:t>Ministério</w:t>
      </w:r>
      <w:r w:rsidR="0003391C" w:rsidRPr="00D5464D">
        <w:rPr>
          <w:rFonts w:cs="Arial"/>
          <w:szCs w:val="20"/>
          <w:lang w:val="pt-BR"/>
        </w:rPr>
        <w:t xml:space="preserve"> </w:t>
      </w:r>
      <w:r w:rsidR="00470ADC" w:rsidRPr="00D5464D">
        <w:rPr>
          <w:rFonts w:cs="Arial"/>
          <w:szCs w:val="20"/>
          <w:lang w:val="pt-BR"/>
        </w:rPr>
        <w:t xml:space="preserve">do </w:t>
      </w:r>
      <w:r w:rsidR="00E045D9" w:rsidRPr="00D5464D">
        <w:rPr>
          <w:rFonts w:cs="Arial"/>
          <w:szCs w:val="20"/>
          <w:lang w:val="pt-BR"/>
        </w:rPr>
        <w:t>Trabalho</w:t>
      </w:r>
      <w:r w:rsidR="0003391C" w:rsidRPr="00D5464D">
        <w:rPr>
          <w:rFonts w:cs="Arial"/>
          <w:szCs w:val="20"/>
          <w:lang w:val="pt-BR"/>
        </w:rPr>
        <w:t xml:space="preserve"> </w:t>
      </w:r>
      <w:r w:rsidR="002C330E" w:rsidRPr="00D5464D">
        <w:rPr>
          <w:rFonts w:cs="Arial"/>
          <w:szCs w:val="20"/>
          <w:lang w:val="pt-BR"/>
        </w:rPr>
        <w:t>realizou</w:t>
      </w:r>
      <w:r w:rsidR="00E045D9" w:rsidRPr="00D5464D">
        <w:rPr>
          <w:rFonts w:cs="Arial"/>
          <w:szCs w:val="20"/>
          <w:lang w:val="pt-BR"/>
        </w:rPr>
        <w:t xml:space="preserve"> uma </w:t>
      </w:r>
      <w:r w:rsidR="0003391C" w:rsidRPr="00D5464D">
        <w:rPr>
          <w:rFonts w:cs="Arial"/>
          <w:szCs w:val="20"/>
          <w:lang w:val="pt-BR"/>
        </w:rPr>
        <w:t>fiscaliza</w:t>
      </w:r>
      <w:r w:rsidR="00470ADC" w:rsidRPr="00D5464D">
        <w:rPr>
          <w:rFonts w:cs="Arial"/>
          <w:szCs w:val="20"/>
          <w:lang w:val="pt-BR"/>
        </w:rPr>
        <w:t xml:space="preserve">ção à </w:t>
      </w:r>
      <w:r w:rsidR="00D809F0" w:rsidRPr="00D5464D">
        <w:rPr>
          <w:rFonts w:cs="Arial"/>
          <w:szCs w:val="20"/>
          <w:lang w:val="pt-BR"/>
        </w:rPr>
        <w:t>Fazenda</w:t>
      </w:r>
      <w:r w:rsidR="0003391C" w:rsidRPr="00D5464D">
        <w:rPr>
          <w:rFonts w:cs="Arial"/>
          <w:szCs w:val="20"/>
          <w:lang w:val="pt-BR"/>
        </w:rPr>
        <w:t xml:space="preserve"> Brasil Verde</w:t>
      </w:r>
      <w:r w:rsidR="002B1D76" w:rsidRPr="00D5464D">
        <w:rPr>
          <w:rFonts w:cs="Arial"/>
          <w:szCs w:val="20"/>
          <w:lang w:val="pt-BR"/>
        </w:rPr>
        <w:t>,</w:t>
      </w:r>
      <w:r w:rsidR="00E045D9" w:rsidRPr="00D5464D">
        <w:rPr>
          <w:rFonts w:cs="Arial"/>
          <w:i/>
          <w:iCs/>
          <w:szCs w:val="20"/>
          <w:lang w:val="pt-BR"/>
        </w:rPr>
        <w:t xml:space="preserve"> </w:t>
      </w:r>
      <w:r w:rsidR="00E045D9" w:rsidRPr="00D5464D">
        <w:rPr>
          <w:rFonts w:cs="Arial"/>
          <w:iCs/>
          <w:szCs w:val="20"/>
          <w:lang w:val="pt-BR"/>
        </w:rPr>
        <w:t>na</w:t>
      </w:r>
      <w:r w:rsidR="00E045D9" w:rsidRPr="00D5464D">
        <w:rPr>
          <w:rFonts w:cs="Arial"/>
          <w:i/>
          <w:iCs/>
          <w:szCs w:val="20"/>
          <w:lang w:val="pt-BR"/>
        </w:rPr>
        <w:t xml:space="preserve"> </w:t>
      </w:r>
      <w:r w:rsidR="00631CD6" w:rsidRPr="00D5464D">
        <w:rPr>
          <w:rFonts w:cs="Arial"/>
          <w:szCs w:val="20"/>
          <w:lang w:val="pt-BR"/>
        </w:rPr>
        <w:t>qual</w:t>
      </w:r>
      <w:r w:rsidR="0003391C" w:rsidRPr="00D5464D">
        <w:rPr>
          <w:rFonts w:cs="Arial"/>
          <w:szCs w:val="20"/>
          <w:lang w:val="pt-BR"/>
        </w:rPr>
        <w:t xml:space="preserve"> </w:t>
      </w:r>
      <w:r w:rsidR="00470ADC" w:rsidRPr="00D5464D">
        <w:rPr>
          <w:rFonts w:cs="Arial"/>
          <w:szCs w:val="20"/>
          <w:lang w:val="pt-BR"/>
        </w:rPr>
        <w:t>determinou</w:t>
      </w:r>
      <w:r w:rsidR="002C330E" w:rsidRPr="00D5464D">
        <w:rPr>
          <w:rFonts w:cs="Arial"/>
          <w:szCs w:val="20"/>
          <w:lang w:val="pt-BR"/>
        </w:rPr>
        <w:t xml:space="preserve"> a </w:t>
      </w:r>
      <w:r w:rsidR="00E045D9" w:rsidRPr="00D5464D">
        <w:rPr>
          <w:rFonts w:cs="Arial"/>
          <w:szCs w:val="20"/>
          <w:lang w:val="pt-BR"/>
        </w:rPr>
        <w:t>existência</w:t>
      </w:r>
      <w:r w:rsidR="0003391C" w:rsidRPr="00D5464D">
        <w:rPr>
          <w:rFonts w:cs="Arial"/>
          <w:szCs w:val="20"/>
          <w:lang w:val="pt-BR"/>
        </w:rPr>
        <w:t xml:space="preserve"> de irregularidades </w:t>
      </w:r>
      <w:r w:rsidRPr="00D5464D">
        <w:rPr>
          <w:rFonts w:cs="Arial"/>
          <w:szCs w:val="20"/>
          <w:lang w:val="pt-BR"/>
        </w:rPr>
        <w:t>consistente</w:t>
      </w:r>
      <w:r w:rsidR="0003391C" w:rsidRPr="00D5464D">
        <w:rPr>
          <w:rFonts w:cs="Arial"/>
          <w:szCs w:val="20"/>
          <w:lang w:val="pt-BR"/>
        </w:rPr>
        <w:t>s</w:t>
      </w:r>
      <w:r w:rsidR="00470ADC" w:rsidRPr="00D5464D">
        <w:rPr>
          <w:rFonts w:cs="Arial"/>
          <w:szCs w:val="20"/>
          <w:lang w:val="pt-BR"/>
        </w:rPr>
        <w:t xml:space="preserve"> em </w:t>
      </w:r>
      <w:r w:rsidR="0003391C" w:rsidRPr="00D5464D">
        <w:rPr>
          <w:rFonts w:cs="Arial"/>
          <w:szCs w:val="20"/>
          <w:lang w:val="pt-BR"/>
        </w:rPr>
        <w:t>falta de registro</w:t>
      </w:r>
      <w:r w:rsidR="00470ADC" w:rsidRPr="00D5464D">
        <w:rPr>
          <w:rFonts w:cs="Arial"/>
          <w:szCs w:val="20"/>
          <w:lang w:val="pt-BR"/>
        </w:rPr>
        <w:t xml:space="preserve"> dos </w:t>
      </w:r>
      <w:r w:rsidR="00230C71" w:rsidRPr="00D5464D">
        <w:rPr>
          <w:rFonts w:cs="Arial"/>
          <w:szCs w:val="20"/>
          <w:lang w:val="pt-BR"/>
        </w:rPr>
        <w:t>empregad</w:t>
      </w:r>
      <w:r w:rsidR="0003391C" w:rsidRPr="00D5464D">
        <w:rPr>
          <w:rFonts w:cs="Arial"/>
          <w:szCs w:val="20"/>
          <w:lang w:val="pt-BR"/>
        </w:rPr>
        <w:t>os</w:t>
      </w:r>
      <w:r w:rsidR="00E045D9" w:rsidRPr="00D5464D">
        <w:rPr>
          <w:rFonts w:cs="Arial"/>
          <w:szCs w:val="20"/>
          <w:lang w:val="pt-BR"/>
        </w:rPr>
        <w:t xml:space="preserve"> e,</w:t>
      </w:r>
      <w:r w:rsidR="00470ADC" w:rsidRPr="00D5464D">
        <w:rPr>
          <w:rFonts w:cs="Arial"/>
          <w:szCs w:val="20"/>
          <w:lang w:val="pt-BR"/>
        </w:rPr>
        <w:t xml:space="preserve"> em </w:t>
      </w:r>
      <w:r w:rsidR="002C330E" w:rsidRPr="00D5464D">
        <w:rPr>
          <w:rFonts w:cs="Arial"/>
          <w:szCs w:val="20"/>
          <w:lang w:val="pt-BR"/>
        </w:rPr>
        <w:t>geral</w:t>
      </w:r>
      <w:r w:rsidR="0003391C" w:rsidRPr="00D5464D">
        <w:rPr>
          <w:rFonts w:cs="Arial"/>
          <w:szCs w:val="20"/>
          <w:lang w:val="pt-BR"/>
        </w:rPr>
        <w:t>, condi</w:t>
      </w:r>
      <w:r w:rsidR="00470ADC" w:rsidRPr="00D5464D">
        <w:rPr>
          <w:rFonts w:cs="Arial"/>
          <w:szCs w:val="20"/>
          <w:lang w:val="pt-BR"/>
        </w:rPr>
        <w:t>ções</w:t>
      </w:r>
      <w:r w:rsidR="0003391C" w:rsidRPr="00D5464D">
        <w:rPr>
          <w:rFonts w:cs="Arial"/>
          <w:szCs w:val="20"/>
          <w:lang w:val="pt-BR"/>
        </w:rPr>
        <w:t xml:space="preserve"> </w:t>
      </w:r>
      <w:r w:rsidR="00470ADC" w:rsidRPr="00D5464D">
        <w:rPr>
          <w:rFonts w:cs="Arial"/>
          <w:szCs w:val="20"/>
          <w:lang w:val="pt-BR"/>
        </w:rPr>
        <w:t>contrárias</w:t>
      </w:r>
      <w:r w:rsidR="00E045D9" w:rsidRPr="00D5464D">
        <w:rPr>
          <w:rFonts w:cs="Arial"/>
          <w:szCs w:val="20"/>
          <w:lang w:val="pt-BR"/>
        </w:rPr>
        <w:t xml:space="preserve"> às </w:t>
      </w:r>
      <w:r w:rsidR="0003391C" w:rsidRPr="00D5464D">
        <w:rPr>
          <w:rFonts w:cs="Arial"/>
          <w:szCs w:val="20"/>
          <w:lang w:val="pt-BR"/>
        </w:rPr>
        <w:t>disposi</w:t>
      </w:r>
      <w:r w:rsidR="00470ADC" w:rsidRPr="00D5464D">
        <w:rPr>
          <w:rFonts w:cs="Arial"/>
          <w:szCs w:val="20"/>
          <w:lang w:val="pt-BR"/>
        </w:rPr>
        <w:t>ções</w:t>
      </w:r>
      <w:r w:rsidR="0003391C" w:rsidRPr="00D5464D">
        <w:rPr>
          <w:rFonts w:cs="Arial"/>
          <w:szCs w:val="20"/>
          <w:lang w:val="pt-BR"/>
        </w:rPr>
        <w:t xml:space="preserve"> </w:t>
      </w:r>
      <w:r w:rsidR="00631CD6" w:rsidRPr="00D5464D">
        <w:rPr>
          <w:rFonts w:cs="Arial"/>
          <w:szCs w:val="20"/>
          <w:lang w:val="pt-BR"/>
        </w:rPr>
        <w:t>trabalhistas.</w:t>
      </w:r>
      <w:r w:rsidR="0003391C" w:rsidRPr="00D5464D">
        <w:rPr>
          <w:rStyle w:val="Refdenotaalpie"/>
          <w:rFonts w:cs="Arial"/>
          <w:lang w:val="pt-BR"/>
        </w:rPr>
        <w:footnoteReference w:id="126"/>
      </w:r>
      <w:r w:rsidRPr="00D5464D">
        <w:rPr>
          <w:rFonts w:cs="Arial"/>
          <w:szCs w:val="20"/>
          <w:lang w:val="pt-BR"/>
        </w:rPr>
        <w:t xml:space="preserve"> </w:t>
      </w:r>
      <w:r w:rsidR="00631CD6" w:rsidRPr="00D5464D">
        <w:rPr>
          <w:rFonts w:cs="Arial"/>
          <w:szCs w:val="20"/>
          <w:lang w:val="pt-BR"/>
        </w:rPr>
        <w:t>N</w:t>
      </w:r>
      <w:r w:rsidRPr="00D5464D">
        <w:rPr>
          <w:rFonts w:cs="Arial"/>
          <w:szCs w:val="20"/>
          <w:lang w:val="pt-BR"/>
        </w:rPr>
        <w:t xml:space="preserve">o </w:t>
      </w:r>
      <w:r w:rsidR="0003391C" w:rsidRPr="00D5464D">
        <w:rPr>
          <w:rFonts w:cs="Arial"/>
          <w:szCs w:val="20"/>
          <w:lang w:val="pt-BR"/>
        </w:rPr>
        <w:t>momento</w:t>
      </w:r>
      <w:r w:rsidR="00470ADC" w:rsidRPr="00D5464D">
        <w:rPr>
          <w:rFonts w:cs="Arial"/>
          <w:szCs w:val="20"/>
          <w:lang w:val="pt-BR"/>
        </w:rPr>
        <w:t xml:space="preserve"> da </w:t>
      </w:r>
      <w:r w:rsidR="0003391C" w:rsidRPr="00D5464D">
        <w:rPr>
          <w:rFonts w:cs="Arial"/>
          <w:szCs w:val="20"/>
          <w:lang w:val="pt-BR"/>
        </w:rPr>
        <w:t>fiscaliza</w:t>
      </w:r>
      <w:r w:rsidR="00470ADC" w:rsidRPr="00D5464D">
        <w:rPr>
          <w:rFonts w:cs="Arial"/>
          <w:szCs w:val="20"/>
          <w:lang w:val="pt-BR"/>
        </w:rPr>
        <w:t>ção</w:t>
      </w:r>
      <w:r w:rsidR="0003391C" w:rsidRPr="00D5464D">
        <w:rPr>
          <w:rFonts w:cs="Arial"/>
          <w:szCs w:val="20"/>
          <w:lang w:val="pt-BR"/>
        </w:rPr>
        <w:t xml:space="preserve"> </w:t>
      </w:r>
      <w:r w:rsidR="00631CD6" w:rsidRPr="00D5464D">
        <w:rPr>
          <w:rFonts w:cs="Arial"/>
          <w:szCs w:val="20"/>
          <w:lang w:val="pt-BR"/>
        </w:rPr>
        <w:t xml:space="preserve">foram encontrados </w:t>
      </w:r>
      <w:r w:rsidR="0003391C" w:rsidRPr="00D5464D">
        <w:rPr>
          <w:rFonts w:cs="Arial"/>
          <w:szCs w:val="20"/>
          <w:lang w:val="pt-BR"/>
        </w:rPr>
        <w:t xml:space="preserve">78 </w:t>
      </w:r>
      <w:r w:rsidR="00E045D9" w:rsidRPr="00D5464D">
        <w:rPr>
          <w:rFonts w:cs="Arial"/>
          <w:szCs w:val="20"/>
          <w:lang w:val="pt-BR"/>
        </w:rPr>
        <w:t>trabalhadores</w:t>
      </w:r>
      <w:r w:rsidR="00470ADC" w:rsidRPr="00D5464D">
        <w:rPr>
          <w:rFonts w:cs="Arial"/>
          <w:szCs w:val="20"/>
          <w:lang w:val="pt-BR"/>
        </w:rPr>
        <w:t xml:space="preserve"> em ativ</w:t>
      </w:r>
      <w:r w:rsidR="00E765C2" w:rsidRPr="00D5464D">
        <w:rPr>
          <w:rFonts w:cs="Arial"/>
          <w:szCs w:val="20"/>
          <w:lang w:val="pt-BR"/>
        </w:rPr>
        <w:t>idade,</w:t>
      </w:r>
      <w:r w:rsidR="0003391C" w:rsidRPr="00D5464D">
        <w:rPr>
          <w:rFonts w:cs="Arial"/>
          <w:szCs w:val="20"/>
          <w:lang w:val="pt-BR"/>
        </w:rPr>
        <w:t xml:space="preserve"> </w:t>
      </w:r>
      <w:r w:rsidR="003D4341" w:rsidRPr="00D5464D">
        <w:rPr>
          <w:rFonts w:cs="Arial"/>
          <w:szCs w:val="20"/>
          <w:lang w:val="pt-BR"/>
        </w:rPr>
        <w:t xml:space="preserve">em relação aos </w:t>
      </w:r>
      <w:r w:rsidR="00470ADC" w:rsidRPr="00D5464D">
        <w:rPr>
          <w:rFonts w:cs="Arial"/>
          <w:szCs w:val="20"/>
          <w:lang w:val="pt-BR"/>
        </w:rPr>
        <w:t>quais</w:t>
      </w:r>
      <w:r w:rsidR="0003391C" w:rsidRPr="00D5464D">
        <w:rPr>
          <w:rFonts w:cs="Arial"/>
          <w:szCs w:val="20"/>
          <w:lang w:val="pt-BR"/>
        </w:rPr>
        <w:t xml:space="preserve"> </w:t>
      </w:r>
      <w:r w:rsidR="00631CD6" w:rsidRPr="00D5464D">
        <w:rPr>
          <w:rFonts w:cs="Arial"/>
          <w:szCs w:val="20"/>
          <w:lang w:val="pt-BR"/>
        </w:rPr>
        <w:t xml:space="preserve">foram expedidas </w:t>
      </w:r>
      <w:r w:rsidR="0003391C" w:rsidRPr="00D5464D">
        <w:rPr>
          <w:rFonts w:cs="Arial"/>
          <w:szCs w:val="20"/>
          <w:lang w:val="pt-BR"/>
        </w:rPr>
        <w:t xml:space="preserve">34 </w:t>
      </w:r>
      <w:r w:rsidR="00631CD6" w:rsidRPr="00D5464D">
        <w:rPr>
          <w:rFonts w:cs="Arial"/>
          <w:szCs w:val="20"/>
          <w:lang w:val="pt-BR"/>
        </w:rPr>
        <w:t xml:space="preserve">carteiras </w:t>
      </w:r>
      <w:r w:rsidR="0003391C" w:rsidRPr="00D5464D">
        <w:rPr>
          <w:rFonts w:cs="Arial"/>
          <w:szCs w:val="20"/>
          <w:lang w:val="pt-BR"/>
        </w:rPr>
        <w:t xml:space="preserve">de </w:t>
      </w:r>
      <w:r w:rsidR="00E045D9" w:rsidRPr="00D5464D">
        <w:rPr>
          <w:rFonts w:cs="Arial"/>
          <w:szCs w:val="20"/>
          <w:lang w:val="pt-BR"/>
        </w:rPr>
        <w:t>trabalho</w:t>
      </w:r>
      <w:r w:rsidR="0003391C" w:rsidRPr="00D5464D">
        <w:rPr>
          <w:rFonts w:cs="Arial"/>
          <w:szCs w:val="20"/>
          <w:lang w:val="pt-BR"/>
        </w:rPr>
        <w:t xml:space="preserve"> (CTPS)</w:t>
      </w:r>
      <w:r w:rsidR="00631CD6" w:rsidRPr="00D5464D">
        <w:rPr>
          <w:rFonts w:cs="Arial"/>
          <w:szCs w:val="20"/>
          <w:lang w:val="pt-BR"/>
        </w:rPr>
        <w:t>.</w:t>
      </w:r>
      <w:r w:rsidR="0003391C" w:rsidRPr="00D5464D">
        <w:rPr>
          <w:rStyle w:val="Refdenotaalpie"/>
          <w:rFonts w:cs="Arial"/>
          <w:lang w:val="pt-BR"/>
        </w:rPr>
        <w:footnoteReference w:id="127"/>
      </w:r>
      <w:r w:rsidR="0003391C" w:rsidRPr="00D5464D">
        <w:rPr>
          <w:rFonts w:cs="Arial"/>
          <w:szCs w:val="20"/>
          <w:lang w:val="pt-BR"/>
        </w:rPr>
        <w:t xml:space="preserve"> </w:t>
      </w:r>
    </w:p>
    <w:p w14:paraId="36D84F99" w14:textId="4364F151" w:rsidR="0003391C" w:rsidRPr="00D5464D" w:rsidRDefault="00470ADC" w:rsidP="008622F3">
      <w:pPr>
        <w:pStyle w:val="Ttulo3"/>
        <w:rPr>
          <w:b w:val="0"/>
          <w:lang w:val="pt-BR"/>
        </w:rPr>
      </w:pPr>
      <w:r w:rsidRPr="00D5464D">
        <w:rPr>
          <w:rFonts w:cs="Arial"/>
          <w:szCs w:val="20"/>
          <w:lang w:val="pt-BR"/>
        </w:rPr>
        <w:cr/>
      </w:r>
      <w:bookmarkStart w:id="304" w:name="_Toc468433897"/>
      <w:r w:rsidRPr="00D5464D">
        <w:rPr>
          <w:rFonts w:cs="Arial"/>
          <w:b w:val="0"/>
          <w:szCs w:val="20"/>
          <w:lang w:val="pt-BR"/>
        </w:rPr>
        <w:t xml:space="preserve">A </w:t>
      </w:r>
      <w:bookmarkStart w:id="305" w:name="_Toc460433011"/>
      <w:bookmarkStart w:id="306" w:name="_Toc460441942"/>
      <w:bookmarkStart w:id="307" w:name="_Toc462750760"/>
      <w:bookmarkStart w:id="308" w:name="_Toc462751084"/>
      <w:bookmarkStart w:id="309" w:name="_Toc464813936"/>
      <w:r w:rsidR="0003391C" w:rsidRPr="00D5464D">
        <w:rPr>
          <w:b w:val="0"/>
          <w:lang w:val="pt-BR"/>
        </w:rPr>
        <w:t>visita</w:t>
      </w:r>
      <w:r w:rsidRPr="00D5464D">
        <w:rPr>
          <w:b w:val="0"/>
          <w:lang w:val="pt-BR"/>
        </w:rPr>
        <w:t xml:space="preserve"> à </w:t>
      </w:r>
      <w:r w:rsidR="00D809F0" w:rsidRPr="00D5464D">
        <w:rPr>
          <w:b w:val="0"/>
          <w:lang w:val="pt-BR"/>
        </w:rPr>
        <w:t>Fazenda</w:t>
      </w:r>
      <w:r w:rsidR="0003391C" w:rsidRPr="00D5464D">
        <w:rPr>
          <w:b w:val="0"/>
          <w:lang w:val="pt-BR"/>
        </w:rPr>
        <w:t xml:space="preserve"> Brasil Verde</w:t>
      </w:r>
      <w:r w:rsidRPr="00D5464D">
        <w:rPr>
          <w:b w:val="0"/>
          <w:lang w:val="pt-BR"/>
        </w:rPr>
        <w:t xml:space="preserve"> em </w:t>
      </w:r>
      <w:r w:rsidR="0003391C" w:rsidRPr="00D5464D">
        <w:rPr>
          <w:b w:val="0"/>
          <w:lang w:val="pt-BR"/>
        </w:rPr>
        <w:t>1997</w:t>
      </w:r>
      <w:bookmarkEnd w:id="304"/>
      <w:bookmarkEnd w:id="305"/>
      <w:bookmarkEnd w:id="306"/>
      <w:bookmarkEnd w:id="307"/>
      <w:bookmarkEnd w:id="308"/>
      <w:bookmarkEnd w:id="309"/>
      <w:r w:rsidR="0003391C" w:rsidRPr="00D5464D">
        <w:rPr>
          <w:b w:val="0"/>
          <w:lang w:val="pt-BR"/>
        </w:rPr>
        <w:t xml:space="preserve"> </w:t>
      </w:r>
    </w:p>
    <w:p w14:paraId="267AF4AE" w14:textId="77777777" w:rsidR="00D65024" w:rsidRPr="00D5464D" w:rsidRDefault="00D65024" w:rsidP="00D65024">
      <w:pPr>
        <w:pStyle w:val="Prrafodelista"/>
        <w:autoSpaceDE w:val="0"/>
        <w:autoSpaceDN w:val="0"/>
        <w:adjustRightInd w:val="0"/>
        <w:ind w:left="0"/>
        <w:contextualSpacing w:val="0"/>
        <w:rPr>
          <w:rFonts w:cs="Arial"/>
          <w:szCs w:val="20"/>
          <w:lang w:val="pt-BR"/>
        </w:rPr>
      </w:pPr>
    </w:p>
    <w:p w14:paraId="76D2B54E" w14:textId="2063ADD9" w:rsidR="0003391C" w:rsidRPr="00D5464D" w:rsidRDefault="00C91CB1" w:rsidP="00140440">
      <w:pPr>
        <w:pStyle w:val="Prrafodelista"/>
        <w:numPr>
          <w:ilvl w:val="0"/>
          <w:numId w:val="1"/>
        </w:numPr>
        <w:autoSpaceDE w:val="0"/>
        <w:autoSpaceDN w:val="0"/>
        <w:adjustRightInd w:val="0"/>
        <w:contextualSpacing w:val="0"/>
        <w:rPr>
          <w:rFonts w:cs="Arial"/>
          <w:szCs w:val="20"/>
          <w:lang w:val="pt-BR"/>
        </w:rPr>
      </w:pPr>
      <w:r w:rsidRPr="00D5464D">
        <w:rPr>
          <w:rFonts w:cs="Arial"/>
          <w:iCs/>
          <w:szCs w:val="20"/>
          <w:lang w:val="pt-BR"/>
        </w:rPr>
        <w:t>Em 1</w:t>
      </w:r>
      <w:r w:rsidR="0003391C" w:rsidRPr="00D5464D">
        <w:rPr>
          <w:rFonts w:cs="Arial"/>
          <w:szCs w:val="20"/>
          <w:lang w:val="pt-BR"/>
        </w:rPr>
        <w:t xml:space="preserve">0 de </w:t>
      </w:r>
      <w:r w:rsidR="002C330E" w:rsidRPr="00D5464D">
        <w:rPr>
          <w:rFonts w:cs="Arial"/>
          <w:szCs w:val="20"/>
          <w:lang w:val="pt-BR"/>
        </w:rPr>
        <w:t>março</w:t>
      </w:r>
      <w:r w:rsidR="0003391C" w:rsidRPr="00D5464D">
        <w:rPr>
          <w:rFonts w:cs="Arial"/>
          <w:szCs w:val="20"/>
          <w:lang w:val="pt-BR"/>
        </w:rPr>
        <w:t xml:space="preserve"> de 1997</w:t>
      </w:r>
      <w:r w:rsidR="00C32FB5" w:rsidRPr="00D5464D">
        <w:rPr>
          <w:rFonts w:cs="Arial"/>
          <w:szCs w:val="20"/>
          <w:lang w:val="pt-BR"/>
        </w:rPr>
        <w:t>,</w:t>
      </w:r>
      <w:r w:rsidR="0003391C" w:rsidRPr="00D5464D">
        <w:rPr>
          <w:rFonts w:cs="Arial"/>
          <w:szCs w:val="20"/>
          <w:lang w:val="pt-BR"/>
        </w:rPr>
        <w:t xml:space="preserve"> José da Costa Oliveira</w:t>
      </w:r>
      <w:r w:rsidR="00E045D9" w:rsidRPr="00D5464D">
        <w:rPr>
          <w:rFonts w:cs="Arial"/>
          <w:szCs w:val="20"/>
          <w:lang w:val="pt-BR"/>
        </w:rPr>
        <w:t xml:space="preserve"> e </w:t>
      </w:r>
      <w:r w:rsidR="0003391C" w:rsidRPr="00D5464D">
        <w:rPr>
          <w:rFonts w:cs="Arial"/>
          <w:szCs w:val="20"/>
          <w:lang w:val="pt-BR"/>
        </w:rPr>
        <w:t xml:space="preserve">José Ferreira dos Santos </w:t>
      </w:r>
      <w:r w:rsidR="00230C71" w:rsidRPr="00D5464D">
        <w:rPr>
          <w:rFonts w:cs="Arial"/>
          <w:szCs w:val="20"/>
          <w:lang w:val="pt-BR"/>
        </w:rPr>
        <w:t>prestaram</w:t>
      </w:r>
      <w:r w:rsidR="00E045D9" w:rsidRPr="00D5464D">
        <w:rPr>
          <w:rFonts w:cs="Arial"/>
          <w:szCs w:val="20"/>
          <w:lang w:val="pt-BR"/>
        </w:rPr>
        <w:t xml:space="preserve"> uma </w:t>
      </w:r>
      <w:r w:rsidR="0003391C" w:rsidRPr="00D5464D">
        <w:rPr>
          <w:rFonts w:cs="Arial"/>
          <w:szCs w:val="20"/>
          <w:lang w:val="pt-BR"/>
        </w:rPr>
        <w:t>declara</w:t>
      </w:r>
      <w:r w:rsidR="00470ADC" w:rsidRPr="00D5464D">
        <w:rPr>
          <w:rFonts w:cs="Arial"/>
          <w:szCs w:val="20"/>
          <w:lang w:val="pt-BR"/>
        </w:rPr>
        <w:t>ção</w:t>
      </w:r>
      <w:r w:rsidR="0003391C" w:rsidRPr="00D5464D">
        <w:rPr>
          <w:rFonts w:cs="Arial"/>
          <w:szCs w:val="20"/>
          <w:lang w:val="pt-BR"/>
        </w:rPr>
        <w:t xml:space="preserve"> </w:t>
      </w:r>
      <w:r w:rsidR="00C32FB5" w:rsidRPr="00D5464D">
        <w:rPr>
          <w:rFonts w:cs="Arial"/>
          <w:szCs w:val="20"/>
          <w:lang w:val="pt-BR"/>
        </w:rPr>
        <w:t>per</w:t>
      </w:r>
      <w:r w:rsidR="0003391C" w:rsidRPr="00D5464D">
        <w:rPr>
          <w:rFonts w:cs="Arial"/>
          <w:szCs w:val="20"/>
          <w:lang w:val="pt-BR"/>
        </w:rPr>
        <w:t>ante</w:t>
      </w:r>
      <w:r w:rsidR="00470ADC" w:rsidRPr="00D5464D">
        <w:rPr>
          <w:rFonts w:cs="Arial"/>
          <w:szCs w:val="20"/>
          <w:lang w:val="pt-BR"/>
        </w:rPr>
        <w:t xml:space="preserve"> o </w:t>
      </w:r>
      <w:r w:rsidR="0003391C" w:rsidRPr="00D5464D">
        <w:rPr>
          <w:rFonts w:cs="Arial"/>
          <w:szCs w:val="20"/>
          <w:lang w:val="pt-BR"/>
        </w:rPr>
        <w:t xml:space="preserve">Departamento de </w:t>
      </w:r>
      <w:r w:rsidRPr="00D5464D">
        <w:rPr>
          <w:rFonts w:cs="Arial"/>
          <w:szCs w:val="20"/>
          <w:lang w:val="pt-BR"/>
        </w:rPr>
        <w:t xml:space="preserve">Polícia </w:t>
      </w:r>
      <w:r w:rsidR="0003391C" w:rsidRPr="00D5464D">
        <w:rPr>
          <w:rFonts w:cs="Arial"/>
          <w:szCs w:val="20"/>
          <w:lang w:val="pt-BR"/>
        </w:rPr>
        <w:t>Federal d</w:t>
      </w:r>
      <w:r w:rsidR="00C32FB5" w:rsidRPr="00D5464D">
        <w:rPr>
          <w:rFonts w:cs="Arial"/>
          <w:szCs w:val="20"/>
          <w:lang w:val="pt-BR"/>
        </w:rPr>
        <w:t>o</w:t>
      </w:r>
      <w:r w:rsidR="0003391C" w:rsidRPr="00D5464D">
        <w:rPr>
          <w:rFonts w:cs="Arial"/>
          <w:szCs w:val="20"/>
          <w:lang w:val="pt-BR"/>
        </w:rPr>
        <w:t xml:space="preserve"> Pará, Delega</w:t>
      </w:r>
      <w:r w:rsidR="00C32FB5" w:rsidRPr="00D5464D">
        <w:rPr>
          <w:rFonts w:cs="Arial"/>
          <w:szCs w:val="20"/>
          <w:lang w:val="pt-BR"/>
        </w:rPr>
        <w:t>cia</w:t>
      </w:r>
      <w:r w:rsidR="0003391C" w:rsidRPr="00D5464D">
        <w:rPr>
          <w:rFonts w:cs="Arial"/>
          <w:szCs w:val="20"/>
          <w:lang w:val="pt-BR"/>
        </w:rPr>
        <w:t xml:space="preserve"> de Marabá,</w:t>
      </w:r>
      <w:r w:rsidR="00E045D9" w:rsidRPr="00D5464D">
        <w:rPr>
          <w:rFonts w:cs="Arial"/>
          <w:szCs w:val="20"/>
          <w:lang w:val="pt-BR"/>
        </w:rPr>
        <w:t xml:space="preserve"> na </w:t>
      </w:r>
      <w:r w:rsidR="00470ADC" w:rsidRPr="00D5464D">
        <w:rPr>
          <w:rFonts w:cs="Arial"/>
          <w:szCs w:val="20"/>
          <w:lang w:val="pt-BR"/>
        </w:rPr>
        <w:t xml:space="preserve">qual </w:t>
      </w:r>
      <w:r w:rsidR="0003391C" w:rsidRPr="00D5464D">
        <w:rPr>
          <w:rFonts w:cs="Arial"/>
          <w:szCs w:val="20"/>
          <w:lang w:val="pt-BR"/>
        </w:rPr>
        <w:t>relat</w:t>
      </w:r>
      <w:r w:rsidR="00350187" w:rsidRPr="00D5464D">
        <w:rPr>
          <w:rFonts w:cs="Arial"/>
          <w:szCs w:val="20"/>
          <w:lang w:val="pt-BR"/>
        </w:rPr>
        <w:t xml:space="preserve">aram </w:t>
      </w:r>
      <w:r w:rsidR="002C330E" w:rsidRPr="00D5464D">
        <w:rPr>
          <w:rFonts w:cs="Arial"/>
          <w:szCs w:val="20"/>
          <w:lang w:val="pt-BR"/>
        </w:rPr>
        <w:t>ter</w:t>
      </w:r>
      <w:r w:rsidR="00C32FB5" w:rsidRPr="00D5464D">
        <w:rPr>
          <w:rFonts w:cs="Arial"/>
          <w:szCs w:val="20"/>
          <w:lang w:val="pt-BR"/>
        </w:rPr>
        <w:t>em</w:t>
      </w:r>
      <w:r w:rsidR="0003391C" w:rsidRPr="00D5464D">
        <w:rPr>
          <w:rFonts w:cs="Arial"/>
          <w:szCs w:val="20"/>
          <w:lang w:val="pt-BR"/>
        </w:rPr>
        <w:t xml:space="preserve"> </w:t>
      </w:r>
      <w:r w:rsidR="00E045D9" w:rsidRPr="00D5464D">
        <w:rPr>
          <w:rFonts w:cs="Arial"/>
          <w:szCs w:val="20"/>
          <w:lang w:val="pt-BR"/>
        </w:rPr>
        <w:t>trabalh</w:t>
      </w:r>
      <w:r w:rsidR="0003391C" w:rsidRPr="00D5464D">
        <w:rPr>
          <w:rFonts w:cs="Arial"/>
          <w:szCs w:val="20"/>
          <w:lang w:val="pt-BR"/>
        </w:rPr>
        <w:t>ado</w:t>
      </w:r>
      <w:r w:rsidR="00E045D9" w:rsidRPr="00D5464D">
        <w:rPr>
          <w:rFonts w:cs="Arial"/>
          <w:szCs w:val="20"/>
          <w:lang w:val="pt-BR"/>
        </w:rPr>
        <w:t xml:space="preserve"> e </w:t>
      </w:r>
      <w:r w:rsidR="0003391C" w:rsidRPr="00D5464D">
        <w:rPr>
          <w:rFonts w:cs="Arial"/>
          <w:szCs w:val="20"/>
          <w:lang w:val="pt-BR"/>
        </w:rPr>
        <w:t>escapado</w:t>
      </w:r>
      <w:r w:rsidR="00470ADC" w:rsidRPr="00D5464D">
        <w:rPr>
          <w:rFonts w:cs="Arial"/>
          <w:szCs w:val="20"/>
          <w:lang w:val="pt-BR"/>
        </w:rPr>
        <w:t xml:space="preserve"> da </w:t>
      </w:r>
      <w:r w:rsidR="00D809F0" w:rsidRPr="00D5464D">
        <w:rPr>
          <w:rFonts w:cs="Arial"/>
          <w:iCs/>
          <w:szCs w:val="20"/>
          <w:lang w:val="pt-BR"/>
        </w:rPr>
        <w:t>Fazenda</w:t>
      </w:r>
      <w:r w:rsidR="0003391C" w:rsidRPr="00D5464D">
        <w:rPr>
          <w:rFonts w:cs="Arial"/>
          <w:iCs/>
          <w:szCs w:val="20"/>
          <w:lang w:val="pt-BR"/>
        </w:rPr>
        <w:t xml:space="preserve"> Brasil Verde</w:t>
      </w:r>
      <w:r w:rsidR="00C32FB5" w:rsidRPr="00D5464D">
        <w:rPr>
          <w:rFonts w:cs="Arial"/>
          <w:iCs/>
          <w:szCs w:val="20"/>
          <w:lang w:val="pt-BR"/>
        </w:rPr>
        <w:t>.</w:t>
      </w:r>
      <w:r w:rsidR="0003391C" w:rsidRPr="00D5464D">
        <w:rPr>
          <w:rStyle w:val="Refdenotaalpie"/>
          <w:rFonts w:cs="Arial"/>
          <w:iCs/>
          <w:lang w:val="pt-BR"/>
        </w:rPr>
        <w:footnoteReference w:id="128"/>
      </w:r>
      <w:r w:rsidR="00A1358C" w:rsidRPr="00D5464D">
        <w:rPr>
          <w:rFonts w:cs="Arial"/>
          <w:iCs/>
          <w:szCs w:val="20"/>
          <w:lang w:val="pt-BR"/>
        </w:rPr>
        <w:t xml:space="preserve"> A </w:t>
      </w:r>
      <w:r w:rsidR="00737270" w:rsidRPr="00D5464D">
        <w:rPr>
          <w:rFonts w:cs="Arial"/>
          <w:iCs/>
          <w:szCs w:val="20"/>
          <w:lang w:val="pt-BR"/>
        </w:rPr>
        <w:t>este respeito</w:t>
      </w:r>
      <w:r w:rsidR="0003391C" w:rsidRPr="00D5464D">
        <w:rPr>
          <w:rFonts w:cs="Arial"/>
          <w:szCs w:val="20"/>
          <w:lang w:val="pt-BR"/>
        </w:rPr>
        <w:t xml:space="preserve">, José da Costa Oliveira </w:t>
      </w:r>
      <w:r w:rsidR="002C330E" w:rsidRPr="00D5464D">
        <w:rPr>
          <w:rFonts w:cs="Arial"/>
          <w:szCs w:val="20"/>
          <w:lang w:val="pt-BR"/>
        </w:rPr>
        <w:t>manifestou</w:t>
      </w:r>
      <w:r w:rsidR="0003391C" w:rsidRPr="00D5464D">
        <w:rPr>
          <w:rFonts w:cs="Arial"/>
          <w:szCs w:val="20"/>
          <w:lang w:val="pt-BR"/>
        </w:rPr>
        <w:t xml:space="preserve"> que</w:t>
      </w:r>
      <w:r w:rsidR="00470ADC" w:rsidRPr="00D5464D">
        <w:rPr>
          <w:rFonts w:cs="Arial"/>
          <w:szCs w:val="20"/>
          <w:lang w:val="pt-BR"/>
        </w:rPr>
        <w:t xml:space="preserve"> o </w:t>
      </w:r>
      <w:r w:rsidR="00DB1C1D" w:rsidRPr="00D5464D">
        <w:rPr>
          <w:rFonts w:cs="Arial"/>
          <w:szCs w:val="20"/>
          <w:lang w:val="pt-BR"/>
        </w:rPr>
        <w:t>gato</w:t>
      </w:r>
      <w:r w:rsidR="00DB1C1D" w:rsidRPr="00D5464D">
        <w:rPr>
          <w:rFonts w:cs="Arial"/>
          <w:i/>
          <w:szCs w:val="20"/>
          <w:lang w:val="pt-BR"/>
        </w:rPr>
        <w:t xml:space="preserve"> </w:t>
      </w:r>
      <w:r w:rsidR="0003391C" w:rsidRPr="00D5464D">
        <w:rPr>
          <w:rFonts w:cs="Arial"/>
          <w:szCs w:val="20"/>
          <w:lang w:val="pt-BR"/>
        </w:rPr>
        <w:t>Raimundo</w:t>
      </w:r>
      <w:r w:rsidRPr="00D5464D">
        <w:rPr>
          <w:rFonts w:cs="Arial"/>
          <w:szCs w:val="20"/>
          <w:lang w:val="pt-BR"/>
        </w:rPr>
        <w:t xml:space="preserve"> o </w:t>
      </w:r>
      <w:r w:rsidR="002C330E" w:rsidRPr="00D5464D">
        <w:rPr>
          <w:rFonts w:cs="Arial"/>
          <w:szCs w:val="20"/>
          <w:lang w:val="pt-BR"/>
        </w:rPr>
        <w:t>havia</w:t>
      </w:r>
      <w:r w:rsidR="0003391C" w:rsidRPr="00D5464D">
        <w:rPr>
          <w:rFonts w:cs="Arial"/>
          <w:szCs w:val="20"/>
          <w:lang w:val="pt-BR"/>
        </w:rPr>
        <w:t xml:space="preserve"> contratado para </w:t>
      </w:r>
      <w:r w:rsidR="00E045D9" w:rsidRPr="00D5464D">
        <w:rPr>
          <w:rFonts w:cs="Arial"/>
          <w:szCs w:val="20"/>
          <w:lang w:val="pt-BR"/>
        </w:rPr>
        <w:t>trabalh</w:t>
      </w:r>
      <w:r w:rsidR="0003391C" w:rsidRPr="00D5464D">
        <w:rPr>
          <w:rFonts w:cs="Arial"/>
          <w:szCs w:val="20"/>
          <w:lang w:val="pt-BR"/>
        </w:rPr>
        <w:t>ar</w:t>
      </w:r>
      <w:r w:rsidR="00E045D9" w:rsidRPr="00D5464D">
        <w:rPr>
          <w:rFonts w:cs="Arial"/>
          <w:szCs w:val="20"/>
          <w:lang w:val="pt-BR"/>
        </w:rPr>
        <w:t xml:space="preserve"> na </w:t>
      </w:r>
      <w:r w:rsidR="00D809F0" w:rsidRPr="00D5464D">
        <w:rPr>
          <w:rFonts w:cs="Arial"/>
          <w:szCs w:val="20"/>
          <w:lang w:val="pt-BR"/>
        </w:rPr>
        <w:t>Fazenda</w:t>
      </w:r>
      <w:r w:rsidR="00E045D9" w:rsidRPr="00D5464D">
        <w:rPr>
          <w:rFonts w:cs="Arial"/>
          <w:szCs w:val="20"/>
          <w:lang w:val="pt-BR"/>
        </w:rPr>
        <w:t xml:space="preserve"> e </w:t>
      </w:r>
      <w:r w:rsidR="0003391C" w:rsidRPr="00D5464D">
        <w:rPr>
          <w:rFonts w:cs="Arial"/>
          <w:szCs w:val="20"/>
          <w:lang w:val="pt-BR"/>
        </w:rPr>
        <w:t>que,</w:t>
      </w:r>
      <w:r w:rsidR="00470ADC" w:rsidRPr="00D5464D">
        <w:rPr>
          <w:rFonts w:cs="Arial"/>
          <w:szCs w:val="20"/>
          <w:lang w:val="pt-BR"/>
        </w:rPr>
        <w:t xml:space="preserve"> ao </w:t>
      </w:r>
      <w:r w:rsidR="00737270" w:rsidRPr="00D5464D">
        <w:rPr>
          <w:rFonts w:cs="Arial"/>
          <w:szCs w:val="20"/>
          <w:lang w:val="pt-BR"/>
        </w:rPr>
        <w:t>chegar</w:t>
      </w:r>
      <w:r w:rsidR="00470ADC" w:rsidRPr="00D5464D">
        <w:rPr>
          <w:rFonts w:cs="Arial"/>
          <w:szCs w:val="20"/>
          <w:lang w:val="pt-BR"/>
        </w:rPr>
        <w:t>,</w:t>
      </w:r>
      <w:r w:rsidR="00737270" w:rsidRPr="00D5464D">
        <w:rPr>
          <w:rFonts w:cs="Arial"/>
          <w:szCs w:val="20"/>
          <w:lang w:val="pt-BR"/>
        </w:rPr>
        <w:t xml:space="preserve"> já </w:t>
      </w:r>
      <w:r w:rsidR="00470ADC" w:rsidRPr="00D5464D">
        <w:rPr>
          <w:rFonts w:cs="Arial"/>
          <w:szCs w:val="20"/>
          <w:lang w:val="pt-BR"/>
        </w:rPr>
        <w:t xml:space="preserve">devia </w:t>
      </w:r>
      <w:r w:rsidR="00737270" w:rsidRPr="00D5464D">
        <w:rPr>
          <w:rFonts w:cs="Arial"/>
          <w:szCs w:val="20"/>
          <w:lang w:val="pt-BR"/>
        </w:rPr>
        <w:t>dinheiro</w:t>
      </w:r>
      <w:r w:rsidR="002C330E" w:rsidRPr="00D5464D">
        <w:rPr>
          <w:rFonts w:cs="Arial"/>
          <w:szCs w:val="20"/>
          <w:lang w:val="pt-BR"/>
        </w:rPr>
        <w:t xml:space="preserve"> pelos </w:t>
      </w:r>
      <w:r w:rsidR="0003391C" w:rsidRPr="00D5464D">
        <w:rPr>
          <w:rFonts w:cs="Arial"/>
          <w:szCs w:val="20"/>
          <w:lang w:val="pt-BR"/>
        </w:rPr>
        <w:t xml:space="preserve">gastos de </w:t>
      </w:r>
      <w:r w:rsidR="00E045D9" w:rsidRPr="00D5464D">
        <w:rPr>
          <w:rFonts w:cs="Arial"/>
          <w:szCs w:val="20"/>
          <w:lang w:val="pt-BR"/>
        </w:rPr>
        <w:t xml:space="preserve">hospedagem e </w:t>
      </w:r>
      <w:r w:rsidR="00C32FB5" w:rsidRPr="00D5464D">
        <w:rPr>
          <w:rFonts w:cs="Arial"/>
          <w:szCs w:val="20"/>
          <w:lang w:val="pt-BR"/>
        </w:rPr>
        <w:t xml:space="preserve">utensílios </w:t>
      </w:r>
      <w:r w:rsidR="0003391C" w:rsidRPr="00D5464D">
        <w:rPr>
          <w:rFonts w:cs="Arial"/>
          <w:szCs w:val="20"/>
          <w:lang w:val="pt-BR"/>
        </w:rPr>
        <w:t xml:space="preserve">de </w:t>
      </w:r>
      <w:r w:rsidR="00E045D9" w:rsidRPr="00D5464D">
        <w:rPr>
          <w:rFonts w:cs="Arial"/>
          <w:szCs w:val="20"/>
          <w:lang w:val="pt-BR"/>
        </w:rPr>
        <w:t>trabalho</w:t>
      </w:r>
      <w:r w:rsidR="0003391C" w:rsidRPr="00D5464D">
        <w:rPr>
          <w:rFonts w:cs="Arial"/>
          <w:szCs w:val="20"/>
          <w:lang w:val="pt-BR"/>
        </w:rPr>
        <w:t xml:space="preserve"> que </w:t>
      </w:r>
      <w:r w:rsidR="00470ADC" w:rsidRPr="00D5464D">
        <w:rPr>
          <w:rFonts w:cs="Arial"/>
          <w:szCs w:val="20"/>
          <w:lang w:val="pt-BR"/>
        </w:rPr>
        <w:t>foram</w:t>
      </w:r>
      <w:r w:rsidR="0003391C" w:rsidRPr="00D5464D">
        <w:rPr>
          <w:rFonts w:cs="Arial"/>
          <w:szCs w:val="20"/>
          <w:lang w:val="pt-BR"/>
        </w:rPr>
        <w:t xml:space="preserve"> proporcionados</w:t>
      </w:r>
      <w:r w:rsidR="002C330E" w:rsidRPr="00D5464D">
        <w:rPr>
          <w:rFonts w:cs="Arial"/>
          <w:szCs w:val="20"/>
          <w:lang w:val="pt-BR"/>
        </w:rPr>
        <w:t xml:space="preserve"> pelo </w:t>
      </w:r>
      <w:r w:rsidR="0003391C" w:rsidRPr="00D5464D">
        <w:rPr>
          <w:rFonts w:cs="Arial"/>
          <w:szCs w:val="20"/>
          <w:lang w:val="pt-BR"/>
        </w:rPr>
        <w:t>gato</w:t>
      </w:r>
      <w:r w:rsidR="00C32FB5" w:rsidRPr="00D5464D">
        <w:rPr>
          <w:rFonts w:cs="Arial"/>
          <w:szCs w:val="20"/>
          <w:lang w:val="pt-BR"/>
        </w:rPr>
        <w:t>.</w:t>
      </w:r>
      <w:r w:rsidR="0003391C" w:rsidRPr="00D5464D">
        <w:rPr>
          <w:rStyle w:val="Refdenotaalpie"/>
          <w:rFonts w:cs="Arial"/>
          <w:lang w:val="pt-BR"/>
        </w:rPr>
        <w:footnoteReference w:id="129"/>
      </w:r>
      <w:r w:rsidRPr="00D5464D">
        <w:rPr>
          <w:rFonts w:cs="Arial"/>
          <w:szCs w:val="20"/>
          <w:lang w:val="pt-BR"/>
        </w:rPr>
        <w:t xml:space="preserve"> Os </w:t>
      </w:r>
      <w:r w:rsidR="0003391C" w:rsidRPr="00D5464D">
        <w:rPr>
          <w:rFonts w:cs="Arial"/>
          <w:szCs w:val="20"/>
          <w:lang w:val="pt-BR"/>
        </w:rPr>
        <w:t xml:space="preserve">declarantes </w:t>
      </w:r>
      <w:r w:rsidR="00737270" w:rsidRPr="00D5464D">
        <w:rPr>
          <w:rFonts w:cs="Arial"/>
          <w:szCs w:val="20"/>
          <w:lang w:val="pt-BR"/>
        </w:rPr>
        <w:t>acrescentaram</w:t>
      </w:r>
      <w:r w:rsidR="0003391C" w:rsidRPr="00D5464D">
        <w:rPr>
          <w:rFonts w:cs="Arial"/>
          <w:szCs w:val="20"/>
          <w:lang w:val="pt-BR"/>
        </w:rPr>
        <w:t xml:space="preserve"> que</w:t>
      </w:r>
      <w:r w:rsidR="002C330E" w:rsidRPr="00D5464D">
        <w:rPr>
          <w:rFonts w:cs="Arial"/>
          <w:szCs w:val="20"/>
          <w:lang w:val="pt-BR"/>
        </w:rPr>
        <w:t xml:space="preserve"> os </w:t>
      </w:r>
      <w:r w:rsidR="00E045D9" w:rsidRPr="00D5464D">
        <w:rPr>
          <w:rFonts w:cs="Arial"/>
          <w:szCs w:val="20"/>
          <w:lang w:val="pt-BR"/>
        </w:rPr>
        <w:t>trabalhadores</w:t>
      </w:r>
      <w:r w:rsidR="00470ADC" w:rsidRPr="00D5464D">
        <w:rPr>
          <w:rFonts w:cs="Arial"/>
          <w:szCs w:val="20"/>
          <w:lang w:val="pt-BR"/>
        </w:rPr>
        <w:t xml:space="preserve"> eram ameaça</w:t>
      </w:r>
      <w:r w:rsidR="0003391C" w:rsidRPr="00D5464D">
        <w:rPr>
          <w:rFonts w:cs="Arial"/>
          <w:szCs w:val="20"/>
          <w:lang w:val="pt-BR"/>
        </w:rPr>
        <w:t xml:space="preserve">dos de </w:t>
      </w:r>
      <w:r w:rsidR="002C330E" w:rsidRPr="00D5464D">
        <w:rPr>
          <w:rFonts w:cs="Arial"/>
          <w:szCs w:val="20"/>
          <w:lang w:val="pt-BR"/>
        </w:rPr>
        <w:t>morte</w:t>
      </w:r>
      <w:r w:rsidR="00470ADC" w:rsidRPr="00D5464D">
        <w:rPr>
          <w:rFonts w:cs="Arial"/>
          <w:szCs w:val="20"/>
          <w:lang w:val="pt-BR"/>
        </w:rPr>
        <w:t xml:space="preserve"> </w:t>
      </w:r>
      <w:r w:rsidR="0003391C" w:rsidRPr="00D5464D">
        <w:rPr>
          <w:rFonts w:cs="Arial"/>
          <w:szCs w:val="20"/>
          <w:lang w:val="pt-BR"/>
        </w:rPr>
        <w:t>caso denuncia</w:t>
      </w:r>
      <w:r w:rsidR="00C32FB5" w:rsidRPr="00D5464D">
        <w:rPr>
          <w:rFonts w:cs="Arial"/>
          <w:szCs w:val="20"/>
          <w:lang w:val="pt-BR"/>
        </w:rPr>
        <w:t>ssem o</w:t>
      </w:r>
      <w:r w:rsidR="00470ADC" w:rsidRPr="00D5464D">
        <w:rPr>
          <w:rFonts w:cs="Arial"/>
          <w:szCs w:val="20"/>
          <w:lang w:val="pt-BR"/>
        </w:rPr>
        <w:t xml:space="preserve"> </w:t>
      </w:r>
      <w:r w:rsidR="00C32FB5" w:rsidRPr="00D5464D">
        <w:rPr>
          <w:rFonts w:cs="Arial"/>
          <w:szCs w:val="20"/>
          <w:lang w:val="pt-BR"/>
        </w:rPr>
        <w:t xml:space="preserve">gato </w:t>
      </w:r>
      <w:r w:rsidR="0003391C" w:rsidRPr="00D5464D">
        <w:rPr>
          <w:rFonts w:cs="Arial"/>
          <w:szCs w:val="20"/>
          <w:lang w:val="pt-BR"/>
        </w:rPr>
        <w:t>o</w:t>
      </w:r>
      <w:r w:rsidR="00C32FB5" w:rsidRPr="00D5464D">
        <w:rPr>
          <w:rFonts w:cs="Arial"/>
          <w:szCs w:val="20"/>
          <w:lang w:val="pt-BR"/>
        </w:rPr>
        <w:t>u</w:t>
      </w:r>
      <w:r w:rsidR="00470ADC" w:rsidRPr="00D5464D">
        <w:rPr>
          <w:rFonts w:cs="Arial"/>
          <w:szCs w:val="20"/>
          <w:lang w:val="pt-BR"/>
        </w:rPr>
        <w:t xml:space="preserve"> o </w:t>
      </w:r>
      <w:r w:rsidR="00A64010" w:rsidRPr="00D5464D">
        <w:rPr>
          <w:rFonts w:cs="Arial"/>
          <w:szCs w:val="20"/>
          <w:lang w:val="pt-BR"/>
        </w:rPr>
        <w:t>fazendeiro</w:t>
      </w:r>
      <w:r w:rsidR="0003391C" w:rsidRPr="00D5464D">
        <w:rPr>
          <w:rFonts w:cs="Arial"/>
          <w:szCs w:val="20"/>
          <w:lang w:val="pt-BR"/>
        </w:rPr>
        <w:t xml:space="preserve"> o</w:t>
      </w:r>
      <w:r w:rsidR="00C32FB5" w:rsidRPr="00D5464D">
        <w:rPr>
          <w:rFonts w:cs="Arial"/>
          <w:szCs w:val="20"/>
          <w:lang w:val="pt-BR"/>
        </w:rPr>
        <w:t>u</w:t>
      </w:r>
      <w:r w:rsidR="002C330E" w:rsidRPr="00D5464D">
        <w:rPr>
          <w:rFonts w:cs="Arial"/>
          <w:szCs w:val="20"/>
          <w:lang w:val="pt-BR"/>
        </w:rPr>
        <w:t xml:space="preserve"> se </w:t>
      </w:r>
      <w:r w:rsidRPr="00D5464D">
        <w:rPr>
          <w:rFonts w:cs="Arial"/>
          <w:szCs w:val="20"/>
          <w:lang w:val="pt-BR"/>
        </w:rPr>
        <w:t>tenta</w:t>
      </w:r>
      <w:r w:rsidR="00C32FB5" w:rsidRPr="00D5464D">
        <w:rPr>
          <w:rFonts w:cs="Arial"/>
          <w:szCs w:val="20"/>
          <w:lang w:val="pt-BR"/>
        </w:rPr>
        <w:t>ssem fugir</w:t>
      </w:r>
      <w:r w:rsidR="00470ADC" w:rsidRPr="00D5464D">
        <w:rPr>
          <w:rFonts w:cs="Arial"/>
          <w:szCs w:val="20"/>
          <w:lang w:val="pt-BR"/>
        </w:rPr>
        <w:t>, e</w:t>
      </w:r>
      <w:r w:rsidR="0003391C" w:rsidRPr="00D5464D">
        <w:rPr>
          <w:rFonts w:cs="Arial"/>
          <w:szCs w:val="20"/>
          <w:lang w:val="pt-BR"/>
        </w:rPr>
        <w:t xml:space="preserve"> que</w:t>
      </w:r>
      <w:r w:rsidR="002C330E" w:rsidRPr="00D5464D">
        <w:rPr>
          <w:rFonts w:cs="Arial"/>
          <w:szCs w:val="20"/>
          <w:lang w:val="pt-BR"/>
        </w:rPr>
        <w:t xml:space="preserve"> </w:t>
      </w:r>
      <w:r w:rsidR="00EA1DD2" w:rsidRPr="00D5464D">
        <w:rPr>
          <w:rFonts w:cs="Arial"/>
          <w:szCs w:val="20"/>
          <w:lang w:val="pt-BR"/>
        </w:rPr>
        <w:t>er</w:t>
      </w:r>
      <w:r w:rsidR="002C330E" w:rsidRPr="00D5464D">
        <w:rPr>
          <w:rFonts w:cs="Arial"/>
          <w:szCs w:val="20"/>
          <w:lang w:val="pt-BR"/>
        </w:rPr>
        <w:t>a prática</w:t>
      </w:r>
      <w:r w:rsidR="0003391C" w:rsidRPr="00D5464D">
        <w:rPr>
          <w:rFonts w:cs="Arial"/>
          <w:szCs w:val="20"/>
          <w:lang w:val="pt-BR"/>
        </w:rPr>
        <w:t xml:space="preserve"> </w:t>
      </w:r>
      <w:r w:rsidR="00470ADC" w:rsidRPr="00D5464D">
        <w:rPr>
          <w:rFonts w:cs="Arial"/>
          <w:szCs w:val="20"/>
          <w:lang w:val="pt-BR"/>
        </w:rPr>
        <w:t>comum</w:t>
      </w:r>
      <w:r w:rsidR="0003391C" w:rsidRPr="00D5464D">
        <w:rPr>
          <w:rFonts w:cs="Arial"/>
          <w:szCs w:val="20"/>
          <w:lang w:val="pt-BR"/>
        </w:rPr>
        <w:t xml:space="preserve"> esconder</w:t>
      </w:r>
      <w:r w:rsidR="00E045D9" w:rsidRPr="00D5464D">
        <w:rPr>
          <w:rFonts w:cs="Arial"/>
          <w:szCs w:val="20"/>
          <w:lang w:val="pt-BR"/>
        </w:rPr>
        <w:t xml:space="preserve"> aos trabalhadores</w:t>
      </w:r>
      <w:r w:rsidR="0003391C" w:rsidRPr="00D5464D">
        <w:rPr>
          <w:rFonts w:cs="Arial"/>
          <w:szCs w:val="20"/>
          <w:lang w:val="pt-BR"/>
        </w:rPr>
        <w:t xml:space="preserve"> </w:t>
      </w:r>
      <w:r w:rsidR="00470ADC" w:rsidRPr="00D5464D">
        <w:rPr>
          <w:rFonts w:cs="Arial"/>
          <w:szCs w:val="20"/>
          <w:lang w:val="pt-BR"/>
        </w:rPr>
        <w:t xml:space="preserve">quando o </w:t>
      </w:r>
      <w:r w:rsidR="002C330E" w:rsidRPr="00D5464D">
        <w:rPr>
          <w:rFonts w:cs="Arial"/>
          <w:szCs w:val="20"/>
          <w:lang w:val="pt-BR"/>
        </w:rPr>
        <w:t>Ministério</w:t>
      </w:r>
      <w:r w:rsidR="0003391C" w:rsidRPr="00D5464D">
        <w:rPr>
          <w:rFonts w:cs="Arial"/>
          <w:szCs w:val="20"/>
          <w:lang w:val="pt-BR"/>
        </w:rPr>
        <w:t xml:space="preserve"> d</w:t>
      </w:r>
      <w:r w:rsidR="00C32FB5" w:rsidRPr="00D5464D">
        <w:rPr>
          <w:rFonts w:cs="Arial"/>
          <w:szCs w:val="20"/>
          <w:lang w:val="pt-BR"/>
        </w:rPr>
        <w:t>o</w:t>
      </w:r>
      <w:r w:rsidR="0003391C" w:rsidRPr="00D5464D">
        <w:rPr>
          <w:rFonts w:cs="Arial"/>
          <w:szCs w:val="20"/>
          <w:lang w:val="pt-BR"/>
        </w:rPr>
        <w:t xml:space="preserve"> </w:t>
      </w:r>
      <w:r w:rsidR="00E045D9" w:rsidRPr="00D5464D">
        <w:rPr>
          <w:rFonts w:cs="Arial"/>
          <w:szCs w:val="20"/>
          <w:lang w:val="pt-BR"/>
        </w:rPr>
        <w:t>Trabalho</w:t>
      </w:r>
      <w:r w:rsidR="0003391C" w:rsidRPr="00D5464D">
        <w:rPr>
          <w:rFonts w:cs="Arial"/>
          <w:szCs w:val="20"/>
          <w:lang w:val="pt-BR"/>
        </w:rPr>
        <w:t xml:space="preserve"> </w:t>
      </w:r>
      <w:r w:rsidR="00737270" w:rsidRPr="00D5464D">
        <w:rPr>
          <w:rFonts w:cs="Arial"/>
          <w:szCs w:val="20"/>
          <w:lang w:val="pt-BR"/>
        </w:rPr>
        <w:t xml:space="preserve">realizava </w:t>
      </w:r>
      <w:r w:rsidR="0003391C" w:rsidRPr="00D5464D">
        <w:rPr>
          <w:rFonts w:cs="Arial"/>
          <w:szCs w:val="20"/>
          <w:lang w:val="pt-BR"/>
        </w:rPr>
        <w:t>fiscaliza</w:t>
      </w:r>
      <w:r w:rsidR="00470ADC" w:rsidRPr="00D5464D">
        <w:rPr>
          <w:rFonts w:cs="Arial"/>
          <w:szCs w:val="20"/>
          <w:lang w:val="pt-BR"/>
        </w:rPr>
        <w:t>ções</w:t>
      </w:r>
      <w:r w:rsidR="00C32FB5" w:rsidRPr="00D5464D">
        <w:rPr>
          <w:rFonts w:cs="Arial"/>
          <w:szCs w:val="20"/>
          <w:lang w:val="pt-BR"/>
        </w:rPr>
        <w:t>.</w:t>
      </w:r>
      <w:r w:rsidR="0003391C" w:rsidRPr="00D5464D">
        <w:rPr>
          <w:rStyle w:val="Refdenotaalpie"/>
          <w:rFonts w:cs="Arial"/>
          <w:lang w:val="pt-BR"/>
        </w:rPr>
        <w:footnoteReference w:id="130"/>
      </w:r>
      <w:r w:rsidR="0003391C" w:rsidRPr="00D5464D">
        <w:rPr>
          <w:rFonts w:cs="Arial"/>
          <w:szCs w:val="20"/>
          <w:lang w:val="pt-BR"/>
        </w:rPr>
        <w:t xml:space="preserve"> </w:t>
      </w:r>
    </w:p>
    <w:p w14:paraId="0C8260C2" w14:textId="77777777" w:rsidR="0003391C" w:rsidRPr="00D5464D" w:rsidRDefault="0003391C" w:rsidP="00140440">
      <w:pPr>
        <w:pStyle w:val="Prrafodelista"/>
        <w:autoSpaceDE w:val="0"/>
        <w:autoSpaceDN w:val="0"/>
        <w:adjustRightInd w:val="0"/>
        <w:ind w:left="0"/>
        <w:contextualSpacing w:val="0"/>
        <w:rPr>
          <w:rFonts w:cs="Arial"/>
          <w:szCs w:val="20"/>
          <w:lang w:val="pt-BR"/>
        </w:rPr>
      </w:pPr>
    </w:p>
    <w:p w14:paraId="00C6A9DA" w14:textId="3A7B55E5" w:rsidR="0003391C" w:rsidRPr="00D5464D" w:rsidRDefault="00737270" w:rsidP="00140440">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Com base</w:t>
      </w:r>
      <w:r w:rsidR="00E045D9" w:rsidRPr="00D5464D">
        <w:rPr>
          <w:rFonts w:cs="Arial"/>
          <w:szCs w:val="20"/>
          <w:lang w:val="pt-BR"/>
        </w:rPr>
        <w:t xml:space="preserve"> nesta </w:t>
      </w:r>
      <w:r w:rsidR="0003391C" w:rsidRPr="00D5464D">
        <w:rPr>
          <w:rFonts w:cs="Arial"/>
          <w:szCs w:val="20"/>
          <w:lang w:val="pt-BR"/>
        </w:rPr>
        <w:t>den</w:t>
      </w:r>
      <w:r w:rsidR="00A641AE" w:rsidRPr="00D5464D">
        <w:rPr>
          <w:rFonts w:cs="Arial"/>
          <w:szCs w:val="20"/>
          <w:lang w:val="pt-BR"/>
        </w:rPr>
        <w:t>ú</w:t>
      </w:r>
      <w:r w:rsidR="0003391C" w:rsidRPr="00D5464D">
        <w:rPr>
          <w:rFonts w:cs="Arial"/>
          <w:szCs w:val="20"/>
          <w:lang w:val="pt-BR"/>
        </w:rPr>
        <w:t>ncia,</w:t>
      </w:r>
      <w:r w:rsidR="00470ADC" w:rsidRPr="00D5464D">
        <w:rPr>
          <w:rFonts w:cs="Arial"/>
          <w:szCs w:val="20"/>
          <w:lang w:val="pt-BR"/>
        </w:rPr>
        <w:t xml:space="preserve"> o </w:t>
      </w:r>
      <w:r w:rsidR="0003391C" w:rsidRPr="00D5464D">
        <w:rPr>
          <w:rFonts w:cs="Arial"/>
          <w:szCs w:val="20"/>
          <w:lang w:val="pt-BR"/>
        </w:rPr>
        <w:t xml:space="preserve">Grupo </w:t>
      </w:r>
      <w:r w:rsidR="00631CD6" w:rsidRPr="00D5464D">
        <w:rPr>
          <w:rFonts w:cs="Arial"/>
          <w:szCs w:val="20"/>
          <w:lang w:val="pt-BR"/>
        </w:rPr>
        <w:t>Móvel</w:t>
      </w:r>
      <w:r w:rsidR="0003391C" w:rsidRPr="00D5464D">
        <w:rPr>
          <w:rFonts w:cs="Arial"/>
          <w:szCs w:val="20"/>
          <w:lang w:val="pt-BR"/>
        </w:rPr>
        <w:t xml:space="preserve"> </w:t>
      </w:r>
      <w:r w:rsidR="00470ADC" w:rsidRPr="00D5464D">
        <w:rPr>
          <w:rFonts w:cs="Arial"/>
          <w:szCs w:val="20"/>
          <w:lang w:val="pt-BR"/>
        </w:rPr>
        <w:t xml:space="preserve">do </w:t>
      </w:r>
      <w:r w:rsidR="002C330E" w:rsidRPr="00D5464D">
        <w:rPr>
          <w:rFonts w:cs="Arial"/>
          <w:szCs w:val="20"/>
          <w:lang w:val="pt-BR"/>
        </w:rPr>
        <w:t>Ministério</w:t>
      </w:r>
      <w:r w:rsidR="0003391C" w:rsidRPr="00D5464D">
        <w:rPr>
          <w:rFonts w:cs="Arial"/>
          <w:szCs w:val="20"/>
          <w:lang w:val="pt-BR"/>
        </w:rPr>
        <w:t xml:space="preserve"> </w:t>
      </w:r>
      <w:r w:rsidR="00470ADC" w:rsidRPr="00D5464D">
        <w:rPr>
          <w:rFonts w:cs="Arial"/>
          <w:szCs w:val="20"/>
          <w:lang w:val="pt-BR"/>
        </w:rPr>
        <w:t xml:space="preserve">do </w:t>
      </w:r>
      <w:r w:rsidR="00E045D9" w:rsidRPr="00D5464D">
        <w:rPr>
          <w:rFonts w:cs="Arial"/>
          <w:szCs w:val="20"/>
          <w:lang w:val="pt-BR"/>
        </w:rPr>
        <w:t>Trabalho</w:t>
      </w:r>
      <w:r w:rsidR="0003391C" w:rsidRPr="00D5464D">
        <w:rPr>
          <w:rFonts w:cs="Arial"/>
          <w:szCs w:val="20"/>
          <w:lang w:val="pt-BR"/>
        </w:rPr>
        <w:t xml:space="preserve"> </w:t>
      </w:r>
      <w:r w:rsidR="002C330E" w:rsidRPr="00D5464D">
        <w:rPr>
          <w:rFonts w:cs="Arial"/>
          <w:szCs w:val="20"/>
          <w:lang w:val="pt-BR"/>
        </w:rPr>
        <w:t>realizou</w:t>
      </w:r>
      <w:r w:rsidR="00E045D9" w:rsidRPr="00D5464D">
        <w:rPr>
          <w:rFonts w:cs="Arial"/>
          <w:szCs w:val="20"/>
          <w:lang w:val="pt-BR"/>
        </w:rPr>
        <w:t xml:space="preserve"> uma </w:t>
      </w:r>
      <w:r w:rsidR="002C330E" w:rsidRPr="00D5464D">
        <w:rPr>
          <w:rFonts w:cs="Arial"/>
          <w:szCs w:val="20"/>
          <w:lang w:val="pt-BR"/>
        </w:rPr>
        <w:t>nova</w:t>
      </w:r>
      <w:r w:rsidR="0003391C" w:rsidRPr="00D5464D">
        <w:rPr>
          <w:rFonts w:cs="Arial"/>
          <w:szCs w:val="20"/>
          <w:lang w:val="pt-BR"/>
        </w:rPr>
        <w:t xml:space="preserve"> visita de fiscaliza</w:t>
      </w:r>
      <w:r w:rsidR="00470ADC" w:rsidRPr="00D5464D">
        <w:rPr>
          <w:rFonts w:cs="Arial"/>
          <w:szCs w:val="20"/>
          <w:lang w:val="pt-BR"/>
        </w:rPr>
        <w:t xml:space="preserve">ção à </w:t>
      </w:r>
      <w:r w:rsidR="00D809F0" w:rsidRPr="00D5464D">
        <w:rPr>
          <w:rFonts w:cs="Arial"/>
          <w:szCs w:val="20"/>
          <w:lang w:val="pt-BR"/>
        </w:rPr>
        <w:t>Fazenda</w:t>
      </w:r>
      <w:r w:rsidR="0003391C" w:rsidRPr="00D5464D">
        <w:rPr>
          <w:rFonts w:cs="Arial"/>
          <w:szCs w:val="20"/>
          <w:lang w:val="pt-BR"/>
        </w:rPr>
        <w:t xml:space="preserve"> Brasil Ver</w:t>
      </w:r>
      <w:r w:rsidR="00E045D9" w:rsidRPr="00D5464D">
        <w:rPr>
          <w:rFonts w:cs="Arial"/>
          <w:szCs w:val="20"/>
          <w:lang w:val="pt-BR"/>
        </w:rPr>
        <w:t>d</w:t>
      </w:r>
      <w:r w:rsidR="00A641AE" w:rsidRPr="00D5464D">
        <w:rPr>
          <w:rFonts w:cs="Arial"/>
          <w:szCs w:val="20"/>
          <w:lang w:val="pt-BR"/>
        </w:rPr>
        <w:t>e n</w:t>
      </w:r>
      <w:r w:rsidR="00E045D9" w:rsidRPr="00D5464D">
        <w:rPr>
          <w:rFonts w:cs="Arial"/>
          <w:szCs w:val="20"/>
          <w:lang w:val="pt-BR"/>
        </w:rPr>
        <w:t xml:space="preserve">os </w:t>
      </w:r>
      <w:r w:rsidR="00470ADC" w:rsidRPr="00D5464D">
        <w:rPr>
          <w:rFonts w:cs="Arial"/>
          <w:szCs w:val="20"/>
          <w:lang w:val="pt-BR"/>
        </w:rPr>
        <w:t>dia</w:t>
      </w:r>
      <w:r w:rsidR="0003391C" w:rsidRPr="00D5464D">
        <w:rPr>
          <w:rFonts w:cs="Arial"/>
          <w:szCs w:val="20"/>
          <w:lang w:val="pt-BR"/>
        </w:rPr>
        <w:t>s 23, 28</w:t>
      </w:r>
      <w:r w:rsidR="00E045D9" w:rsidRPr="00D5464D">
        <w:rPr>
          <w:rFonts w:cs="Arial"/>
          <w:szCs w:val="20"/>
          <w:lang w:val="pt-BR"/>
        </w:rPr>
        <w:t xml:space="preserve"> e </w:t>
      </w:r>
      <w:r w:rsidR="0003391C" w:rsidRPr="00D5464D">
        <w:rPr>
          <w:rFonts w:cs="Arial"/>
          <w:szCs w:val="20"/>
          <w:lang w:val="pt-BR"/>
        </w:rPr>
        <w:t>29 de abril de 1997</w:t>
      </w:r>
      <w:r w:rsidR="00A641AE" w:rsidRPr="00D5464D">
        <w:rPr>
          <w:rFonts w:cs="Arial"/>
          <w:szCs w:val="20"/>
          <w:lang w:val="pt-BR"/>
        </w:rPr>
        <w:t>.</w:t>
      </w:r>
      <w:r w:rsidR="0003391C" w:rsidRPr="00D5464D">
        <w:rPr>
          <w:rStyle w:val="Refdenotaalpie"/>
          <w:rFonts w:cs="Arial"/>
          <w:lang w:val="pt-BR"/>
        </w:rPr>
        <w:footnoteReference w:id="131"/>
      </w:r>
      <w:r w:rsidR="00A1358C" w:rsidRPr="00D5464D">
        <w:rPr>
          <w:rFonts w:cs="Arial"/>
          <w:szCs w:val="20"/>
          <w:lang w:val="pt-BR"/>
        </w:rPr>
        <w:t xml:space="preserve"> O </w:t>
      </w:r>
      <w:r w:rsidR="00350187" w:rsidRPr="00D5464D">
        <w:rPr>
          <w:rFonts w:cs="Arial"/>
          <w:szCs w:val="20"/>
          <w:lang w:val="pt-BR"/>
        </w:rPr>
        <w:t>relatório</w:t>
      </w:r>
      <w:r w:rsidR="002C330E" w:rsidRPr="00D5464D">
        <w:rPr>
          <w:rFonts w:cs="Arial"/>
          <w:szCs w:val="20"/>
          <w:lang w:val="pt-BR"/>
        </w:rPr>
        <w:t xml:space="preserve"> </w:t>
      </w:r>
      <w:r w:rsidR="00470ADC" w:rsidRPr="00D5464D">
        <w:rPr>
          <w:rFonts w:cs="Arial"/>
          <w:szCs w:val="20"/>
          <w:lang w:val="pt-BR"/>
        </w:rPr>
        <w:t xml:space="preserve">da </w:t>
      </w:r>
      <w:r w:rsidR="0003391C" w:rsidRPr="00D5464D">
        <w:rPr>
          <w:rFonts w:cs="Arial"/>
          <w:szCs w:val="20"/>
          <w:lang w:val="pt-BR"/>
        </w:rPr>
        <w:t>visita de fiscaliza</w:t>
      </w:r>
      <w:r w:rsidR="00470ADC" w:rsidRPr="00D5464D">
        <w:rPr>
          <w:rFonts w:cs="Arial"/>
          <w:szCs w:val="20"/>
          <w:lang w:val="pt-BR"/>
        </w:rPr>
        <w:t>ção</w:t>
      </w:r>
      <w:r w:rsidR="0003391C" w:rsidRPr="00D5464D">
        <w:rPr>
          <w:rFonts w:cs="Arial"/>
          <w:szCs w:val="20"/>
          <w:lang w:val="pt-BR"/>
        </w:rPr>
        <w:t xml:space="preserve"> </w:t>
      </w:r>
      <w:r w:rsidR="00470ADC" w:rsidRPr="00D5464D">
        <w:rPr>
          <w:rFonts w:cs="Arial"/>
          <w:szCs w:val="20"/>
          <w:lang w:val="pt-BR"/>
        </w:rPr>
        <w:t xml:space="preserve">do </w:t>
      </w:r>
      <w:r w:rsidR="002C330E" w:rsidRPr="00D5464D">
        <w:rPr>
          <w:rFonts w:cs="Arial"/>
          <w:szCs w:val="20"/>
          <w:lang w:val="pt-BR"/>
        </w:rPr>
        <w:t>Ministério</w:t>
      </w:r>
      <w:r w:rsidR="0003391C" w:rsidRPr="00D5464D">
        <w:rPr>
          <w:rFonts w:cs="Arial"/>
          <w:szCs w:val="20"/>
          <w:lang w:val="pt-BR"/>
        </w:rPr>
        <w:t xml:space="preserve"> </w:t>
      </w:r>
      <w:r w:rsidR="00470ADC" w:rsidRPr="00D5464D">
        <w:rPr>
          <w:rFonts w:cs="Arial"/>
          <w:szCs w:val="20"/>
          <w:lang w:val="pt-BR"/>
        </w:rPr>
        <w:t xml:space="preserve">do </w:t>
      </w:r>
      <w:r w:rsidR="00E045D9" w:rsidRPr="00D5464D">
        <w:rPr>
          <w:rFonts w:cs="Arial"/>
          <w:szCs w:val="20"/>
          <w:lang w:val="pt-BR"/>
        </w:rPr>
        <w:t>Trabalho</w:t>
      </w:r>
      <w:r w:rsidR="0003391C" w:rsidRPr="00D5464D">
        <w:rPr>
          <w:rFonts w:cs="Arial"/>
          <w:szCs w:val="20"/>
          <w:lang w:val="pt-BR"/>
        </w:rPr>
        <w:t xml:space="preserve"> </w:t>
      </w:r>
      <w:r w:rsidR="00470ADC" w:rsidRPr="00D5464D">
        <w:rPr>
          <w:rFonts w:cs="Arial"/>
          <w:szCs w:val="20"/>
          <w:lang w:val="pt-BR"/>
        </w:rPr>
        <w:t>concluiu</w:t>
      </w:r>
      <w:r w:rsidR="0003391C" w:rsidRPr="00D5464D">
        <w:rPr>
          <w:rFonts w:cs="Arial"/>
          <w:szCs w:val="20"/>
          <w:lang w:val="pt-BR"/>
        </w:rPr>
        <w:t xml:space="preserve"> que: i)</w:t>
      </w:r>
      <w:r w:rsidR="002C330E" w:rsidRPr="00D5464D">
        <w:rPr>
          <w:rFonts w:cs="Arial"/>
          <w:szCs w:val="20"/>
          <w:lang w:val="pt-BR"/>
        </w:rPr>
        <w:t xml:space="preserve"> os </w:t>
      </w:r>
      <w:r w:rsidR="00E045D9" w:rsidRPr="00D5464D">
        <w:rPr>
          <w:rFonts w:cs="Arial"/>
          <w:szCs w:val="20"/>
          <w:lang w:val="pt-BR"/>
        </w:rPr>
        <w:t>trabalhadores</w:t>
      </w:r>
      <w:r w:rsidR="0003391C" w:rsidRPr="00D5464D">
        <w:rPr>
          <w:rFonts w:cs="Arial"/>
          <w:szCs w:val="20"/>
          <w:lang w:val="pt-BR"/>
        </w:rPr>
        <w:t xml:space="preserve"> se </w:t>
      </w:r>
      <w:r w:rsidR="00470ADC" w:rsidRPr="00D5464D">
        <w:rPr>
          <w:rFonts w:cs="Arial"/>
          <w:szCs w:val="20"/>
          <w:lang w:val="pt-BR"/>
        </w:rPr>
        <w:t>encontravam</w:t>
      </w:r>
      <w:r w:rsidR="0003391C" w:rsidRPr="00D5464D">
        <w:rPr>
          <w:rFonts w:cs="Arial"/>
          <w:szCs w:val="20"/>
          <w:lang w:val="pt-BR"/>
        </w:rPr>
        <w:t xml:space="preserve"> </w:t>
      </w:r>
      <w:r w:rsidR="00A641AE" w:rsidRPr="00D5464D">
        <w:rPr>
          <w:rFonts w:cs="Arial"/>
          <w:szCs w:val="20"/>
          <w:lang w:val="pt-BR"/>
        </w:rPr>
        <w:t xml:space="preserve">alojados em barracões </w:t>
      </w:r>
      <w:r w:rsidR="00470ADC" w:rsidRPr="00D5464D">
        <w:rPr>
          <w:rFonts w:cs="Arial"/>
          <w:szCs w:val="20"/>
          <w:lang w:val="pt-BR"/>
        </w:rPr>
        <w:t>coberto</w:t>
      </w:r>
      <w:r w:rsidR="0003391C" w:rsidRPr="00D5464D">
        <w:rPr>
          <w:rFonts w:cs="Arial"/>
          <w:szCs w:val="20"/>
          <w:lang w:val="pt-BR"/>
        </w:rPr>
        <w:t>s de plástico</w:t>
      </w:r>
      <w:r w:rsidR="00E045D9" w:rsidRPr="00D5464D">
        <w:rPr>
          <w:rFonts w:cs="Arial"/>
          <w:szCs w:val="20"/>
          <w:lang w:val="pt-BR"/>
        </w:rPr>
        <w:t xml:space="preserve"> e </w:t>
      </w:r>
      <w:r w:rsidR="00A641AE" w:rsidRPr="00D5464D">
        <w:rPr>
          <w:rFonts w:cs="Arial"/>
          <w:szCs w:val="20"/>
          <w:lang w:val="pt-BR"/>
        </w:rPr>
        <w:t xml:space="preserve">palha </w:t>
      </w:r>
      <w:r w:rsidR="00E045D9" w:rsidRPr="00D5464D">
        <w:rPr>
          <w:rFonts w:cs="Arial"/>
          <w:szCs w:val="20"/>
          <w:lang w:val="pt-BR"/>
        </w:rPr>
        <w:t xml:space="preserve">nos </w:t>
      </w:r>
      <w:r w:rsidR="0003391C" w:rsidRPr="00D5464D">
        <w:rPr>
          <w:rFonts w:cs="Arial"/>
          <w:szCs w:val="20"/>
          <w:lang w:val="pt-BR"/>
        </w:rPr>
        <w:t>qu</w:t>
      </w:r>
      <w:r w:rsidR="00A641AE" w:rsidRPr="00D5464D">
        <w:rPr>
          <w:rFonts w:cs="Arial"/>
          <w:szCs w:val="20"/>
          <w:lang w:val="pt-BR"/>
        </w:rPr>
        <w:t>ais</w:t>
      </w:r>
      <w:r w:rsidR="0003391C" w:rsidRPr="00D5464D">
        <w:rPr>
          <w:rFonts w:cs="Arial"/>
          <w:szCs w:val="20"/>
          <w:lang w:val="pt-BR"/>
        </w:rPr>
        <w:t xml:space="preserve"> </w:t>
      </w:r>
      <w:r w:rsidR="002C330E" w:rsidRPr="00D5464D">
        <w:rPr>
          <w:rFonts w:cs="Arial"/>
          <w:szCs w:val="20"/>
          <w:lang w:val="pt-BR"/>
        </w:rPr>
        <w:t>havia</w:t>
      </w:r>
      <w:r w:rsidR="00E045D9" w:rsidRPr="00D5464D">
        <w:rPr>
          <w:rFonts w:cs="Arial"/>
          <w:szCs w:val="20"/>
          <w:lang w:val="pt-BR"/>
        </w:rPr>
        <w:t xml:space="preserve"> uma </w:t>
      </w:r>
      <w:r w:rsidR="0003391C" w:rsidRPr="00D5464D">
        <w:rPr>
          <w:rFonts w:cs="Arial"/>
          <w:szCs w:val="20"/>
          <w:lang w:val="pt-BR"/>
        </w:rPr>
        <w:t xml:space="preserve">“total falta de higiene”; ii) </w:t>
      </w:r>
      <w:r w:rsidR="00E045D9" w:rsidRPr="00D5464D">
        <w:rPr>
          <w:rFonts w:cs="Arial"/>
          <w:szCs w:val="20"/>
          <w:lang w:val="pt-BR"/>
        </w:rPr>
        <w:t>vários</w:t>
      </w:r>
      <w:r w:rsidR="0003391C" w:rsidRPr="00D5464D">
        <w:rPr>
          <w:rFonts w:cs="Arial"/>
          <w:szCs w:val="20"/>
          <w:lang w:val="pt-BR"/>
        </w:rPr>
        <w:t xml:space="preserve"> </w:t>
      </w:r>
      <w:r w:rsidR="00E045D9" w:rsidRPr="00D5464D">
        <w:rPr>
          <w:rFonts w:cs="Arial"/>
          <w:szCs w:val="20"/>
          <w:lang w:val="pt-BR"/>
        </w:rPr>
        <w:t>trabalhadores</w:t>
      </w:r>
      <w:r w:rsidR="00470ADC" w:rsidRPr="00D5464D">
        <w:rPr>
          <w:rFonts w:cs="Arial"/>
          <w:szCs w:val="20"/>
          <w:lang w:val="pt-BR"/>
        </w:rPr>
        <w:t xml:space="preserve"> eram </w:t>
      </w:r>
      <w:r w:rsidR="0003391C" w:rsidRPr="00D5464D">
        <w:rPr>
          <w:rFonts w:cs="Arial"/>
          <w:szCs w:val="20"/>
          <w:lang w:val="pt-BR"/>
        </w:rPr>
        <w:t xml:space="preserve">portadores de </w:t>
      </w:r>
      <w:r w:rsidR="00A641AE" w:rsidRPr="00D5464D">
        <w:rPr>
          <w:rFonts w:cs="Arial"/>
          <w:szCs w:val="20"/>
          <w:lang w:val="pt-BR"/>
        </w:rPr>
        <w:t>doenças de pele</w:t>
      </w:r>
      <w:r w:rsidR="0003391C" w:rsidRPr="00D5464D">
        <w:rPr>
          <w:rFonts w:cs="Arial"/>
          <w:szCs w:val="20"/>
          <w:lang w:val="pt-BR"/>
        </w:rPr>
        <w:t>, n</w:t>
      </w:r>
      <w:r w:rsidR="00A641AE" w:rsidRPr="00D5464D">
        <w:rPr>
          <w:rFonts w:cs="Arial"/>
          <w:szCs w:val="20"/>
          <w:lang w:val="pt-BR"/>
        </w:rPr>
        <w:t>ã</w:t>
      </w:r>
      <w:r w:rsidR="0003391C" w:rsidRPr="00D5464D">
        <w:rPr>
          <w:rFonts w:cs="Arial"/>
          <w:szCs w:val="20"/>
          <w:lang w:val="pt-BR"/>
        </w:rPr>
        <w:t xml:space="preserve">o </w:t>
      </w:r>
      <w:r w:rsidR="00230C71" w:rsidRPr="00D5464D">
        <w:rPr>
          <w:rFonts w:cs="Arial"/>
          <w:szCs w:val="20"/>
          <w:lang w:val="pt-BR"/>
        </w:rPr>
        <w:t>recebiam</w:t>
      </w:r>
      <w:r w:rsidR="0003391C" w:rsidRPr="00D5464D">
        <w:rPr>
          <w:rFonts w:cs="Arial"/>
          <w:szCs w:val="20"/>
          <w:lang w:val="pt-BR"/>
        </w:rPr>
        <w:t xml:space="preserve"> </w:t>
      </w:r>
      <w:r w:rsidR="00470ADC" w:rsidRPr="00D5464D">
        <w:rPr>
          <w:rFonts w:cs="Arial"/>
          <w:szCs w:val="20"/>
          <w:lang w:val="pt-BR"/>
        </w:rPr>
        <w:t>atenção</w:t>
      </w:r>
      <w:r w:rsidR="0003391C" w:rsidRPr="00D5464D">
        <w:rPr>
          <w:rFonts w:cs="Arial"/>
          <w:szCs w:val="20"/>
          <w:lang w:val="pt-BR"/>
        </w:rPr>
        <w:t xml:space="preserve"> médica</w:t>
      </w:r>
      <w:r w:rsidR="00E045D9" w:rsidRPr="00D5464D">
        <w:rPr>
          <w:rFonts w:cs="Arial"/>
          <w:szCs w:val="20"/>
          <w:lang w:val="pt-BR"/>
        </w:rPr>
        <w:t xml:space="preserve"> e</w:t>
      </w:r>
      <w:r w:rsidR="00A1358C" w:rsidRPr="00D5464D">
        <w:rPr>
          <w:rFonts w:cs="Arial"/>
          <w:szCs w:val="20"/>
          <w:lang w:val="pt-BR"/>
        </w:rPr>
        <w:t xml:space="preserve"> a água</w:t>
      </w:r>
      <w:r w:rsidR="00230C71" w:rsidRPr="00D5464D">
        <w:rPr>
          <w:rFonts w:cs="Arial"/>
          <w:szCs w:val="20"/>
          <w:lang w:val="pt-BR"/>
        </w:rPr>
        <w:t xml:space="preserve"> </w:t>
      </w:r>
      <w:r w:rsidR="0003391C" w:rsidRPr="00D5464D">
        <w:rPr>
          <w:rFonts w:cs="Arial"/>
          <w:szCs w:val="20"/>
          <w:lang w:val="pt-BR"/>
        </w:rPr>
        <w:t xml:space="preserve">que </w:t>
      </w:r>
      <w:r w:rsidR="00A641AE" w:rsidRPr="00D5464D">
        <w:rPr>
          <w:rFonts w:cs="Arial"/>
          <w:szCs w:val="20"/>
          <w:lang w:val="pt-BR"/>
        </w:rPr>
        <w:t xml:space="preserve">ingeriam </w:t>
      </w:r>
      <w:r w:rsidRPr="00D5464D">
        <w:rPr>
          <w:rFonts w:cs="Arial"/>
          <w:szCs w:val="20"/>
          <w:lang w:val="pt-BR"/>
        </w:rPr>
        <w:t xml:space="preserve">não era </w:t>
      </w:r>
      <w:r w:rsidR="0003391C" w:rsidRPr="00D5464D">
        <w:rPr>
          <w:rFonts w:cs="Arial"/>
          <w:szCs w:val="20"/>
          <w:lang w:val="pt-BR"/>
        </w:rPr>
        <w:t>apta para</w:t>
      </w:r>
      <w:r w:rsidR="00470ADC" w:rsidRPr="00D5464D">
        <w:rPr>
          <w:rFonts w:cs="Arial"/>
          <w:szCs w:val="20"/>
          <w:lang w:val="pt-BR"/>
        </w:rPr>
        <w:t xml:space="preserve"> o </w:t>
      </w:r>
      <w:r w:rsidR="0003391C" w:rsidRPr="00D5464D">
        <w:rPr>
          <w:rFonts w:cs="Arial"/>
          <w:szCs w:val="20"/>
          <w:lang w:val="pt-BR"/>
        </w:rPr>
        <w:t>consumo humano; iii) todos</w:t>
      </w:r>
      <w:r w:rsidR="002C330E" w:rsidRPr="00D5464D">
        <w:rPr>
          <w:rFonts w:cs="Arial"/>
          <w:szCs w:val="20"/>
          <w:lang w:val="pt-BR"/>
        </w:rPr>
        <w:t xml:space="preserve"> os </w:t>
      </w:r>
      <w:r w:rsidR="00E045D9" w:rsidRPr="00D5464D">
        <w:rPr>
          <w:rFonts w:cs="Arial"/>
          <w:szCs w:val="20"/>
          <w:lang w:val="pt-BR"/>
        </w:rPr>
        <w:t>trabalhadores</w:t>
      </w:r>
      <w:r w:rsidRPr="00D5464D">
        <w:rPr>
          <w:rFonts w:cs="Arial"/>
          <w:szCs w:val="20"/>
          <w:lang w:val="pt-BR"/>
        </w:rPr>
        <w:t xml:space="preserve"> haviam sofr</w:t>
      </w:r>
      <w:r w:rsidR="0003391C" w:rsidRPr="00D5464D">
        <w:rPr>
          <w:rFonts w:cs="Arial"/>
          <w:szCs w:val="20"/>
          <w:lang w:val="pt-BR"/>
        </w:rPr>
        <w:t xml:space="preserve">ido </w:t>
      </w:r>
      <w:r w:rsidR="00470ADC" w:rsidRPr="00D5464D">
        <w:rPr>
          <w:rFonts w:cs="Arial"/>
          <w:szCs w:val="20"/>
          <w:lang w:val="pt-BR"/>
        </w:rPr>
        <w:t>ameaça</w:t>
      </w:r>
      <w:r w:rsidR="0003391C" w:rsidRPr="00D5464D">
        <w:rPr>
          <w:rFonts w:cs="Arial"/>
          <w:szCs w:val="20"/>
          <w:lang w:val="pt-BR"/>
        </w:rPr>
        <w:t>s, inclusive</w:t>
      </w:r>
      <w:r w:rsidR="00470ADC" w:rsidRPr="00D5464D">
        <w:rPr>
          <w:rFonts w:cs="Arial"/>
          <w:szCs w:val="20"/>
          <w:lang w:val="pt-BR"/>
        </w:rPr>
        <w:t xml:space="preserve"> com </w:t>
      </w:r>
      <w:r w:rsidR="0003391C" w:rsidRPr="00D5464D">
        <w:rPr>
          <w:rFonts w:cs="Arial"/>
          <w:szCs w:val="20"/>
          <w:lang w:val="pt-BR"/>
        </w:rPr>
        <w:t xml:space="preserve">armas de </w:t>
      </w:r>
      <w:r w:rsidR="00470ADC" w:rsidRPr="00D5464D">
        <w:rPr>
          <w:rFonts w:cs="Arial"/>
          <w:szCs w:val="20"/>
          <w:lang w:val="pt-BR"/>
        </w:rPr>
        <w:t>fogo, e</w:t>
      </w:r>
      <w:r w:rsidR="0003391C" w:rsidRPr="00D5464D">
        <w:rPr>
          <w:rFonts w:cs="Arial"/>
          <w:szCs w:val="20"/>
          <w:lang w:val="pt-BR"/>
        </w:rPr>
        <w:t xml:space="preserve"> iv) declar</w:t>
      </w:r>
      <w:r w:rsidR="00350187" w:rsidRPr="00D5464D">
        <w:rPr>
          <w:rFonts w:cs="Arial"/>
          <w:szCs w:val="20"/>
          <w:lang w:val="pt-BR"/>
        </w:rPr>
        <w:t xml:space="preserve">aram </w:t>
      </w:r>
      <w:r w:rsidRPr="00D5464D">
        <w:rPr>
          <w:rFonts w:cs="Arial"/>
          <w:szCs w:val="20"/>
          <w:lang w:val="pt-BR"/>
        </w:rPr>
        <w:t>não pode</w:t>
      </w:r>
      <w:r w:rsidR="0003391C" w:rsidRPr="00D5464D">
        <w:rPr>
          <w:rFonts w:cs="Arial"/>
          <w:szCs w:val="20"/>
          <w:lang w:val="pt-BR"/>
        </w:rPr>
        <w:t xml:space="preserve">r </w:t>
      </w:r>
      <w:r w:rsidR="002C330E" w:rsidRPr="00D5464D">
        <w:rPr>
          <w:rFonts w:cs="Arial"/>
          <w:szCs w:val="20"/>
          <w:lang w:val="pt-BR"/>
        </w:rPr>
        <w:t>sair</w:t>
      </w:r>
      <w:r w:rsidR="00470ADC" w:rsidRPr="00D5464D">
        <w:rPr>
          <w:rFonts w:cs="Arial"/>
          <w:szCs w:val="20"/>
          <w:lang w:val="pt-BR"/>
        </w:rPr>
        <w:t xml:space="preserve"> da </w:t>
      </w:r>
      <w:r w:rsidR="00D809F0" w:rsidRPr="00D5464D">
        <w:rPr>
          <w:rFonts w:cs="Arial"/>
          <w:szCs w:val="20"/>
          <w:lang w:val="pt-BR"/>
        </w:rPr>
        <w:t>Fazenda</w:t>
      </w:r>
      <w:r w:rsidR="00A641AE" w:rsidRPr="00D5464D">
        <w:rPr>
          <w:rFonts w:cs="Arial"/>
          <w:szCs w:val="20"/>
          <w:lang w:val="pt-BR"/>
        </w:rPr>
        <w:t>.</w:t>
      </w:r>
      <w:r w:rsidR="0003391C" w:rsidRPr="00D5464D">
        <w:rPr>
          <w:rStyle w:val="Refdenotaalpie"/>
          <w:rFonts w:cs="Arial"/>
          <w:lang w:val="pt-BR"/>
        </w:rPr>
        <w:footnoteReference w:id="132"/>
      </w:r>
      <w:r w:rsidR="0003391C" w:rsidRPr="00D5464D">
        <w:rPr>
          <w:rFonts w:cs="Times New Roman"/>
          <w:szCs w:val="20"/>
          <w:lang w:val="pt-BR"/>
        </w:rPr>
        <w:t xml:space="preserve"> </w:t>
      </w:r>
      <w:r w:rsidR="00350187" w:rsidRPr="00D5464D">
        <w:rPr>
          <w:rFonts w:cs="Arial"/>
          <w:szCs w:val="20"/>
          <w:lang w:val="pt-BR"/>
        </w:rPr>
        <w:t xml:space="preserve">Além disso, </w:t>
      </w:r>
      <w:r w:rsidR="0003391C" w:rsidRPr="00D5464D">
        <w:rPr>
          <w:rFonts w:cs="Arial"/>
          <w:szCs w:val="20"/>
          <w:lang w:val="pt-BR"/>
        </w:rPr>
        <w:t>com</w:t>
      </w:r>
      <w:r w:rsidR="00A1358C" w:rsidRPr="00D5464D">
        <w:rPr>
          <w:rFonts w:cs="Arial"/>
          <w:szCs w:val="20"/>
          <w:lang w:val="pt-BR"/>
        </w:rPr>
        <w:t>provou</w:t>
      </w:r>
      <w:r w:rsidR="002C330E" w:rsidRPr="00D5464D">
        <w:rPr>
          <w:rFonts w:cs="Arial"/>
          <w:szCs w:val="20"/>
          <w:lang w:val="pt-BR"/>
        </w:rPr>
        <w:t xml:space="preserve"> a prática</w:t>
      </w:r>
      <w:r w:rsidR="0003391C" w:rsidRPr="00D5464D">
        <w:rPr>
          <w:rFonts w:cs="Arial"/>
          <w:szCs w:val="20"/>
          <w:lang w:val="pt-BR"/>
        </w:rPr>
        <w:t xml:space="preserve"> de esconder </w:t>
      </w:r>
      <w:r w:rsidR="00E045D9" w:rsidRPr="00D5464D">
        <w:rPr>
          <w:rFonts w:cs="Arial"/>
          <w:szCs w:val="20"/>
          <w:lang w:val="pt-BR"/>
        </w:rPr>
        <w:t>trabalhadores</w:t>
      </w:r>
      <w:r w:rsidR="0003391C" w:rsidRPr="00D5464D">
        <w:rPr>
          <w:rFonts w:cs="Arial"/>
          <w:szCs w:val="20"/>
          <w:lang w:val="pt-BR"/>
        </w:rPr>
        <w:t xml:space="preserve"> </w:t>
      </w:r>
      <w:r w:rsidR="00470ADC" w:rsidRPr="00D5464D">
        <w:rPr>
          <w:rFonts w:cs="Arial"/>
          <w:szCs w:val="20"/>
          <w:lang w:val="pt-BR"/>
        </w:rPr>
        <w:t>quando</w:t>
      </w:r>
      <w:r w:rsidR="0003391C" w:rsidRPr="00D5464D">
        <w:rPr>
          <w:rFonts w:cs="Arial"/>
          <w:szCs w:val="20"/>
          <w:lang w:val="pt-BR"/>
        </w:rPr>
        <w:t xml:space="preserve"> se </w:t>
      </w:r>
      <w:r w:rsidR="002C330E" w:rsidRPr="00D5464D">
        <w:rPr>
          <w:rFonts w:cs="Arial"/>
          <w:szCs w:val="20"/>
          <w:lang w:val="pt-BR"/>
        </w:rPr>
        <w:t xml:space="preserve">realizam as </w:t>
      </w:r>
      <w:r w:rsidR="0003391C" w:rsidRPr="00D5464D">
        <w:rPr>
          <w:rFonts w:cs="Arial"/>
          <w:szCs w:val="20"/>
          <w:lang w:val="pt-BR"/>
        </w:rPr>
        <w:t>fiscaliza</w:t>
      </w:r>
      <w:r w:rsidR="00470ADC" w:rsidRPr="00D5464D">
        <w:rPr>
          <w:rFonts w:cs="Arial"/>
          <w:szCs w:val="20"/>
          <w:lang w:val="pt-BR"/>
        </w:rPr>
        <w:t>ções</w:t>
      </w:r>
      <w:r w:rsidR="00A641AE" w:rsidRPr="00D5464D">
        <w:rPr>
          <w:rFonts w:cs="Arial"/>
          <w:szCs w:val="20"/>
          <w:lang w:val="pt-BR"/>
        </w:rPr>
        <w:t>.</w:t>
      </w:r>
      <w:r w:rsidR="0003391C" w:rsidRPr="00D5464D">
        <w:rPr>
          <w:rStyle w:val="Refdenotaalpie"/>
          <w:rFonts w:cs="Arial"/>
          <w:lang w:val="pt-BR"/>
        </w:rPr>
        <w:footnoteReference w:id="133"/>
      </w:r>
      <w:r w:rsidR="00C91CB1" w:rsidRPr="00D5464D">
        <w:rPr>
          <w:rFonts w:cs="Arial"/>
          <w:szCs w:val="20"/>
          <w:lang w:val="pt-BR"/>
        </w:rPr>
        <w:t xml:space="preserve"> </w:t>
      </w:r>
      <w:r w:rsidR="00A641AE" w:rsidRPr="00D5464D">
        <w:rPr>
          <w:rFonts w:cs="Arial"/>
          <w:szCs w:val="20"/>
          <w:lang w:val="pt-BR"/>
        </w:rPr>
        <w:t>N</w:t>
      </w:r>
      <w:r w:rsidR="00C91CB1" w:rsidRPr="00D5464D">
        <w:rPr>
          <w:rFonts w:cs="Arial"/>
          <w:szCs w:val="20"/>
          <w:lang w:val="pt-BR"/>
        </w:rPr>
        <w:t xml:space="preserve">o </w:t>
      </w:r>
      <w:r w:rsidR="0003391C" w:rsidRPr="00D5464D">
        <w:rPr>
          <w:rFonts w:cs="Arial"/>
          <w:szCs w:val="20"/>
          <w:lang w:val="pt-BR"/>
        </w:rPr>
        <w:t>momento</w:t>
      </w:r>
      <w:r w:rsidR="00470ADC" w:rsidRPr="00D5464D">
        <w:rPr>
          <w:rFonts w:cs="Arial"/>
          <w:szCs w:val="20"/>
          <w:lang w:val="pt-BR"/>
        </w:rPr>
        <w:t xml:space="preserve"> da </w:t>
      </w:r>
      <w:r w:rsidR="0003391C" w:rsidRPr="00D5464D">
        <w:rPr>
          <w:rFonts w:cs="Arial"/>
          <w:szCs w:val="20"/>
          <w:lang w:val="pt-BR"/>
        </w:rPr>
        <w:t>fiscaliza</w:t>
      </w:r>
      <w:r w:rsidR="00470ADC" w:rsidRPr="00D5464D">
        <w:rPr>
          <w:rFonts w:cs="Arial"/>
          <w:szCs w:val="20"/>
          <w:lang w:val="pt-BR"/>
        </w:rPr>
        <w:t>ção</w:t>
      </w:r>
      <w:r w:rsidR="0003391C" w:rsidRPr="00D5464D">
        <w:rPr>
          <w:rFonts w:cs="Arial"/>
          <w:szCs w:val="20"/>
          <w:lang w:val="pt-BR"/>
        </w:rPr>
        <w:t xml:space="preserve"> </w:t>
      </w:r>
      <w:r w:rsidR="00A641AE" w:rsidRPr="00D5464D">
        <w:rPr>
          <w:rFonts w:cs="Arial"/>
          <w:szCs w:val="20"/>
          <w:lang w:val="pt-BR"/>
        </w:rPr>
        <w:t xml:space="preserve">foram encontradas </w:t>
      </w:r>
      <w:r w:rsidR="0003391C" w:rsidRPr="00D5464D">
        <w:rPr>
          <w:rFonts w:cs="Arial"/>
          <w:szCs w:val="20"/>
          <w:lang w:val="pt-BR"/>
        </w:rPr>
        <w:t xml:space="preserve">81 </w:t>
      </w:r>
      <w:r w:rsidR="002C330E" w:rsidRPr="00D5464D">
        <w:rPr>
          <w:rFonts w:cs="Arial"/>
          <w:szCs w:val="20"/>
          <w:lang w:val="pt-BR"/>
        </w:rPr>
        <w:t>pessoa</w:t>
      </w:r>
      <w:r w:rsidR="0003391C" w:rsidRPr="00D5464D">
        <w:rPr>
          <w:rFonts w:cs="Arial"/>
          <w:szCs w:val="20"/>
          <w:lang w:val="pt-BR"/>
        </w:rPr>
        <w:t>s</w:t>
      </w:r>
      <w:r w:rsidR="003D4341" w:rsidRPr="00D5464D">
        <w:rPr>
          <w:rFonts w:cs="Arial"/>
          <w:szCs w:val="20"/>
          <w:lang w:val="pt-BR"/>
        </w:rPr>
        <w:t xml:space="preserve">. </w:t>
      </w:r>
      <w:r w:rsidR="0003391C" w:rsidRPr="00D5464D">
        <w:rPr>
          <w:rFonts w:cs="Arial"/>
          <w:szCs w:val="20"/>
          <w:lang w:val="pt-BR"/>
        </w:rPr>
        <w:t>“</w:t>
      </w:r>
      <w:r w:rsidR="003D4341" w:rsidRPr="00D5464D">
        <w:rPr>
          <w:rFonts w:cs="Arial"/>
          <w:szCs w:val="20"/>
          <w:lang w:val="pt-BR"/>
        </w:rPr>
        <w:t>A</w:t>
      </w:r>
      <w:r w:rsidR="0003391C" w:rsidRPr="00D5464D">
        <w:rPr>
          <w:rFonts w:cs="Arial"/>
          <w:szCs w:val="20"/>
          <w:lang w:val="pt-BR"/>
        </w:rPr>
        <w:t xml:space="preserve">proximadamente 45” </w:t>
      </w:r>
      <w:r w:rsidR="003D4341" w:rsidRPr="00D5464D">
        <w:rPr>
          <w:rFonts w:cs="Arial"/>
          <w:szCs w:val="20"/>
          <w:lang w:val="pt-BR"/>
        </w:rPr>
        <w:t xml:space="preserve">dessas 81 pessoas não possuíam </w:t>
      </w:r>
      <w:r w:rsidR="00A641AE" w:rsidRPr="00D5464D">
        <w:rPr>
          <w:rFonts w:cs="Arial"/>
          <w:szCs w:val="20"/>
          <w:lang w:val="pt-BR"/>
        </w:rPr>
        <w:t>carteiras de trabalho</w:t>
      </w:r>
      <w:r w:rsidR="0003391C" w:rsidRPr="00D5464D">
        <w:rPr>
          <w:rFonts w:cs="Arial"/>
          <w:szCs w:val="20"/>
          <w:lang w:val="pt-BR"/>
        </w:rPr>
        <w:t xml:space="preserve"> (CTPS)</w:t>
      </w:r>
      <w:r w:rsidR="003D4341" w:rsidRPr="00D5464D">
        <w:rPr>
          <w:rFonts w:cs="Arial"/>
          <w:szCs w:val="20"/>
          <w:lang w:val="pt-BR"/>
        </w:rPr>
        <w:t xml:space="preserve"> e tiveram esse documento emitido naquele momento</w:t>
      </w:r>
      <w:r w:rsidR="00A641AE" w:rsidRPr="00D5464D">
        <w:rPr>
          <w:rFonts w:cs="Arial"/>
          <w:szCs w:val="20"/>
          <w:lang w:val="pt-BR"/>
        </w:rPr>
        <w:t>.</w:t>
      </w:r>
      <w:r w:rsidR="0003391C" w:rsidRPr="00D5464D">
        <w:rPr>
          <w:rStyle w:val="Refdenotaalpie"/>
          <w:rFonts w:cs="Arial"/>
          <w:lang w:val="pt-BR"/>
        </w:rPr>
        <w:footnoteReference w:id="134"/>
      </w:r>
    </w:p>
    <w:p w14:paraId="15AB7FC5" w14:textId="0E97BF63" w:rsidR="0003391C" w:rsidRPr="00D5464D" w:rsidRDefault="00470ADC" w:rsidP="008622F3">
      <w:pPr>
        <w:pStyle w:val="Ttulo3"/>
        <w:rPr>
          <w:iCs/>
          <w:lang w:val="pt-BR"/>
        </w:rPr>
      </w:pPr>
      <w:r w:rsidRPr="00D5464D">
        <w:rPr>
          <w:rFonts w:cs="Arial"/>
          <w:i w:val="0"/>
          <w:iCs/>
          <w:szCs w:val="20"/>
          <w:lang w:val="pt-BR"/>
        </w:rPr>
        <w:cr/>
      </w:r>
      <w:bookmarkStart w:id="310" w:name="_Toc468433898"/>
      <w:r w:rsidRPr="00D5464D">
        <w:rPr>
          <w:rFonts w:cs="Arial"/>
          <w:b w:val="0"/>
          <w:iCs/>
          <w:szCs w:val="20"/>
          <w:lang w:val="pt-BR"/>
        </w:rPr>
        <w:t xml:space="preserve">O </w:t>
      </w:r>
      <w:bookmarkStart w:id="311" w:name="_Toc460433012"/>
      <w:bookmarkStart w:id="312" w:name="_Toc460441943"/>
      <w:bookmarkStart w:id="313" w:name="_Toc462750761"/>
      <w:bookmarkStart w:id="314" w:name="_Toc462751085"/>
      <w:bookmarkStart w:id="315" w:name="_Toc464813937"/>
      <w:r w:rsidR="002C330E" w:rsidRPr="00D5464D">
        <w:rPr>
          <w:b w:val="0"/>
          <w:iCs/>
          <w:lang w:val="pt-BR"/>
        </w:rPr>
        <w:t>processo</w:t>
      </w:r>
      <w:r w:rsidR="0003391C" w:rsidRPr="00D5464D">
        <w:rPr>
          <w:b w:val="0"/>
          <w:iCs/>
          <w:lang w:val="pt-BR"/>
        </w:rPr>
        <w:t xml:space="preserve"> penal </w:t>
      </w:r>
      <w:r w:rsidR="0003391C" w:rsidRPr="00D5464D">
        <w:rPr>
          <w:b w:val="0"/>
          <w:lang w:val="pt-BR"/>
        </w:rPr>
        <w:t xml:space="preserve">contra Raimundo </w:t>
      </w:r>
      <w:r w:rsidR="00085F51" w:rsidRPr="00D5464D">
        <w:rPr>
          <w:b w:val="0"/>
          <w:lang w:val="pt-BR"/>
        </w:rPr>
        <w:t>Alves da Rocha</w:t>
      </w:r>
      <w:r w:rsidR="0003391C" w:rsidRPr="00D5464D">
        <w:rPr>
          <w:b w:val="0"/>
          <w:lang w:val="pt-BR"/>
        </w:rPr>
        <w:t xml:space="preserve">, </w:t>
      </w:r>
      <w:r w:rsidR="00E42F61" w:rsidRPr="00D5464D">
        <w:rPr>
          <w:b w:val="0"/>
          <w:lang w:val="pt-BR"/>
        </w:rPr>
        <w:t xml:space="preserve">Antônio </w:t>
      </w:r>
      <w:r w:rsidR="0003391C" w:rsidRPr="00D5464D">
        <w:rPr>
          <w:b w:val="0"/>
          <w:lang w:val="pt-BR"/>
        </w:rPr>
        <w:t>Alves Vieira</w:t>
      </w:r>
      <w:r w:rsidR="00E045D9" w:rsidRPr="00D5464D">
        <w:rPr>
          <w:b w:val="0"/>
          <w:lang w:val="pt-BR"/>
        </w:rPr>
        <w:t xml:space="preserve"> e </w:t>
      </w:r>
      <w:r w:rsidR="0003391C" w:rsidRPr="00D5464D">
        <w:rPr>
          <w:b w:val="0"/>
          <w:lang w:val="pt-BR"/>
        </w:rPr>
        <w:t>João Luiz Quagliato Neto</w:t>
      </w:r>
      <w:bookmarkEnd w:id="310"/>
      <w:bookmarkEnd w:id="311"/>
      <w:bookmarkEnd w:id="312"/>
      <w:bookmarkEnd w:id="313"/>
      <w:bookmarkEnd w:id="314"/>
      <w:bookmarkEnd w:id="315"/>
    </w:p>
    <w:p w14:paraId="6F516F5F" w14:textId="77777777" w:rsidR="0003391C" w:rsidRPr="00D5464D" w:rsidRDefault="0003391C" w:rsidP="00140440">
      <w:pPr>
        <w:autoSpaceDE w:val="0"/>
        <w:autoSpaceDN w:val="0"/>
        <w:adjustRightInd w:val="0"/>
        <w:jc w:val="both"/>
        <w:rPr>
          <w:rFonts w:cs="Arial"/>
          <w:szCs w:val="20"/>
          <w:lang w:val="pt-BR"/>
        </w:rPr>
      </w:pPr>
    </w:p>
    <w:p w14:paraId="222A824E" w14:textId="4CB468A0" w:rsidR="0003391C" w:rsidRPr="00D5464D" w:rsidRDefault="0003391C" w:rsidP="00140440">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 xml:space="preserve">Como </w:t>
      </w:r>
      <w:r w:rsidR="00470ADC" w:rsidRPr="00D5464D">
        <w:rPr>
          <w:rFonts w:cs="Arial"/>
          <w:szCs w:val="20"/>
          <w:lang w:val="pt-BR"/>
        </w:rPr>
        <w:t>consequência</w:t>
      </w:r>
      <w:r w:rsidRPr="00D5464D">
        <w:rPr>
          <w:rFonts w:cs="Arial"/>
          <w:szCs w:val="20"/>
          <w:lang w:val="pt-BR"/>
        </w:rPr>
        <w:t xml:space="preserve"> </w:t>
      </w:r>
      <w:r w:rsidR="00470ADC" w:rsidRPr="00D5464D">
        <w:rPr>
          <w:rFonts w:cs="Arial"/>
          <w:szCs w:val="20"/>
          <w:lang w:val="pt-BR"/>
        </w:rPr>
        <w:t>do</w:t>
      </w:r>
      <w:r w:rsidR="002C330E" w:rsidRPr="00D5464D">
        <w:rPr>
          <w:rFonts w:cs="Arial"/>
          <w:szCs w:val="20"/>
          <w:lang w:val="pt-BR"/>
        </w:rPr>
        <w:t xml:space="preserve"> </w:t>
      </w:r>
      <w:r w:rsidR="00350187" w:rsidRPr="00D5464D">
        <w:rPr>
          <w:rFonts w:cs="Arial"/>
          <w:szCs w:val="20"/>
          <w:lang w:val="pt-BR"/>
        </w:rPr>
        <w:t>relatório</w:t>
      </w:r>
      <w:r w:rsidR="002C330E" w:rsidRPr="00D5464D">
        <w:rPr>
          <w:rFonts w:cs="Arial"/>
          <w:szCs w:val="20"/>
          <w:lang w:val="pt-BR"/>
        </w:rPr>
        <w:t xml:space="preserve"> </w:t>
      </w:r>
      <w:r w:rsidR="00470ADC" w:rsidRPr="00D5464D">
        <w:rPr>
          <w:rFonts w:cs="Arial"/>
          <w:szCs w:val="20"/>
          <w:lang w:val="pt-BR"/>
        </w:rPr>
        <w:t xml:space="preserve">do </w:t>
      </w:r>
      <w:r w:rsidR="002C330E" w:rsidRPr="00D5464D">
        <w:rPr>
          <w:rFonts w:cs="Arial"/>
          <w:szCs w:val="20"/>
          <w:lang w:val="pt-BR"/>
        </w:rPr>
        <w:t>Ministério</w:t>
      </w:r>
      <w:r w:rsidRPr="00D5464D">
        <w:rPr>
          <w:rFonts w:cs="Arial"/>
          <w:szCs w:val="20"/>
          <w:lang w:val="pt-BR"/>
        </w:rPr>
        <w:t xml:space="preserve"> </w:t>
      </w:r>
      <w:r w:rsidR="00470ADC" w:rsidRPr="00D5464D">
        <w:rPr>
          <w:rFonts w:cs="Arial"/>
          <w:szCs w:val="20"/>
          <w:lang w:val="pt-BR"/>
        </w:rPr>
        <w:t xml:space="preserve">do </w:t>
      </w:r>
      <w:r w:rsidR="00E045D9" w:rsidRPr="00D5464D">
        <w:rPr>
          <w:rFonts w:cs="Arial"/>
          <w:szCs w:val="20"/>
          <w:lang w:val="pt-BR"/>
        </w:rPr>
        <w:t>Trabalho</w:t>
      </w:r>
      <w:r w:rsidR="00F57007" w:rsidRPr="00D5464D">
        <w:rPr>
          <w:rFonts w:cs="Arial"/>
          <w:szCs w:val="20"/>
          <w:lang w:val="pt-BR"/>
        </w:rPr>
        <w:t xml:space="preserve"> (</w:t>
      </w:r>
      <w:r w:rsidR="00C85EA9" w:rsidRPr="00D5464D">
        <w:rPr>
          <w:rFonts w:cs="Arial"/>
          <w:szCs w:val="20"/>
          <w:lang w:val="pt-BR"/>
        </w:rPr>
        <w:t xml:space="preserve">par. </w:t>
      </w:r>
      <w:r w:rsidR="00D036E7" w:rsidRPr="00D5464D">
        <w:rPr>
          <w:rFonts w:cs="Arial"/>
          <w:szCs w:val="20"/>
          <w:lang w:val="pt-BR"/>
        </w:rPr>
        <w:t>144</w:t>
      </w:r>
      <w:r w:rsidR="00D036E7" w:rsidRPr="00D5464D">
        <w:rPr>
          <w:rFonts w:cs="Arial"/>
          <w:i/>
          <w:szCs w:val="20"/>
          <w:lang w:val="pt-BR"/>
        </w:rPr>
        <w:t xml:space="preserve"> supra)</w:t>
      </w:r>
      <w:r w:rsidRPr="00D5464D">
        <w:rPr>
          <w:rFonts w:cs="Arial"/>
          <w:szCs w:val="20"/>
          <w:lang w:val="pt-BR"/>
        </w:rPr>
        <w:t>,</w:t>
      </w:r>
      <w:r w:rsidR="002C330E" w:rsidRPr="00D5464D">
        <w:rPr>
          <w:rFonts w:cs="Arial"/>
          <w:szCs w:val="20"/>
          <w:lang w:val="pt-BR"/>
        </w:rPr>
        <w:t xml:space="preserve"> em 3</w:t>
      </w:r>
      <w:r w:rsidRPr="00D5464D">
        <w:rPr>
          <w:rFonts w:cs="Arial"/>
          <w:szCs w:val="20"/>
          <w:lang w:val="pt-BR"/>
        </w:rPr>
        <w:t xml:space="preserve">0 de </w:t>
      </w:r>
      <w:r w:rsidR="002C330E" w:rsidRPr="00D5464D">
        <w:rPr>
          <w:rFonts w:cs="Arial"/>
          <w:szCs w:val="20"/>
          <w:lang w:val="pt-BR"/>
        </w:rPr>
        <w:t>junho</w:t>
      </w:r>
      <w:r w:rsidRPr="00D5464D">
        <w:rPr>
          <w:rFonts w:cs="Arial"/>
          <w:szCs w:val="20"/>
          <w:lang w:val="pt-BR"/>
        </w:rPr>
        <w:t xml:space="preserve"> de 1997</w:t>
      </w:r>
      <w:r w:rsidR="00470ADC" w:rsidRPr="00D5464D">
        <w:rPr>
          <w:rFonts w:cs="Arial"/>
          <w:szCs w:val="20"/>
          <w:lang w:val="pt-BR"/>
        </w:rPr>
        <w:t xml:space="preserve"> o </w:t>
      </w:r>
      <w:r w:rsidR="002C330E" w:rsidRPr="00D5464D">
        <w:rPr>
          <w:rFonts w:cs="Arial"/>
          <w:szCs w:val="20"/>
          <w:lang w:val="pt-BR"/>
        </w:rPr>
        <w:t>Ministério</w:t>
      </w:r>
      <w:r w:rsidRPr="00D5464D">
        <w:rPr>
          <w:rFonts w:cs="Arial"/>
          <w:szCs w:val="20"/>
          <w:lang w:val="pt-BR"/>
        </w:rPr>
        <w:t xml:space="preserve"> Público Federal </w:t>
      </w:r>
      <w:r w:rsidR="002C330E" w:rsidRPr="00D5464D">
        <w:rPr>
          <w:rFonts w:cs="Arial"/>
          <w:szCs w:val="20"/>
          <w:lang w:val="pt-BR"/>
        </w:rPr>
        <w:t>apresentou</w:t>
      </w:r>
      <w:r w:rsidR="00E045D9" w:rsidRPr="00D5464D">
        <w:rPr>
          <w:rFonts w:cs="Arial"/>
          <w:szCs w:val="20"/>
          <w:lang w:val="pt-BR"/>
        </w:rPr>
        <w:t xml:space="preserve"> uma </w:t>
      </w:r>
      <w:r w:rsidR="00470ADC" w:rsidRPr="00D5464D">
        <w:rPr>
          <w:rFonts w:cs="Arial"/>
          <w:szCs w:val="20"/>
          <w:lang w:val="pt-BR"/>
        </w:rPr>
        <w:t xml:space="preserve">denúncia </w:t>
      </w:r>
      <w:r w:rsidRPr="00D5464D">
        <w:rPr>
          <w:rFonts w:cs="Arial"/>
          <w:szCs w:val="20"/>
          <w:lang w:val="pt-BR"/>
        </w:rPr>
        <w:t xml:space="preserve">contra: a) Raimundo </w:t>
      </w:r>
      <w:r w:rsidR="00085F51" w:rsidRPr="00D5464D">
        <w:rPr>
          <w:rFonts w:cs="Arial"/>
          <w:szCs w:val="20"/>
          <w:lang w:val="pt-BR"/>
        </w:rPr>
        <w:t>Alves da Rocha</w:t>
      </w:r>
      <w:r w:rsidRPr="00D5464D">
        <w:rPr>
          <w:rFonts w:cs="Arial"/>
          <w:szCs w:val="20"/>
          <w:lang w:val="pt-BR"/>
        </w:rPr>
        <w:t>,</w:t>
      </w:r>
      <w:r w:rsidR="00996473" w:rsidRPr="00D5464D">
        <w:rPr>
          <w:rFonts w:cs="Arial"/>
          <w:szCs w:val="20"/>
          <w:lang w:val="pt-BR"/>
        </w:rPr>
        <w:t xml:space="preserve"> gato </w:t>
      </w:r>
      <w:r w:rsidRPr="00D5464D">
        <w:rPr>
          <w:rFonts w:cs="Arial"/>
          <w:szCs w:val="20"/>
          <w:lang w:val="pt-BR"/>
        </w:rPr>
        <w:t>o</w:t>
      </w:r>
      <w:r w:rsidR="00085F51" w:rsidRPr="00D5464D">
        <w:rPr>
          <w:rFonts w:cs="Arial"/>
          <w:szCs w:val="20"/>
          <w:lang w:val="pt-BR"/>
        </w:rPr>
        <w:t>u</w:t>
      </w:r>
      <w:r w:rsidRPr="00D5464D">
        <w:rPr>
          <w:rFonts w:cs="Arial"/>
          <w:szCs w:val="20"/>
          <w:lang w:val="pt-BR"/>
        </w:rPr>
        <w:t xml:space="preserve"> </w:t>
      </w:r>
      <w:r w:rsidR="00230C71" w:rsidRPr="00D5464D">
        <w:rPr>
          <w:rFonts w:cs="Arial"/>
          <w:szCs w:val="20"/>
          <w:lang w:val="pt-BR"/>
        </w:rPr>
        <w:t>empregad</w:t>
      </w:r>
      <w:r w:rsidRPr="00D5464D">
        <w:rPr>
          <w:rFonts w:cs="Arial"/>
          <w:szCs w:val="20"/>
          <w:lang w:val="pt-BR"/>
        </w:rPr>
        <w:t xml:space="preserve">or de </w:t>
      </w:r>
      <w:r w:rsidR="00E045D9" w:rsidRPr="00D5464D">
        <w:rPr>
          <w:rFonts w:cs="Arial"/>
          <w:szCs w:val="20"/>
          <w:lang w:val="pt-BR"/>
        </w:rPr>
        <w:t>trabalhadores</w:t>
      </w:r>
      <w:r w:rsidRPr="00D5464D">
        <w:rPr>
          <w:rFonts w:cs="Arial"/>
          <w:szCs w:val="20"/>
          <w:lang w:val="pt-BR"/>
        </w:rPr>
        <w:t xml:space="preserve"> </w:t>
      </w:r>
      <w:r w:rsidR="00E045D9" w:rsidRPr="00D5464D">
        <w:rPr>
          <w:rFonts w:cs="Arial"/>
          <w:szCs w:val="20"/>
          <w:lang w:val="pt-BR"/>
        </w:rPr>
        <w:t>rurais</w:t>
      </w:r>
      <w:r w:rsidRPr="00D5464D">
        <w:rPr>
          <w:rFonts w:cs="Arial"/>
          <w:szCs w:val="20"/>
          <w:lang w:val="pt-BR"/>
        </w:rPr>
        <w:t>,</w:t>
      </w:r>
      <w:r w:rsidR="002C330E" w:rsidRPr="00D5464D">
        <w:rPr>
          <w:rFonts w:cs="Arial"/>
          <w:szCs w:val="20"/>
          <w:lang w:val="pt-BR"/>
        </w:rPr>
        <w:t xml:space="preserve"> pelos </w:t>
      </w:r>
      <w:r w:rsidRPr="00D5464D">
        <w:rPr>
          <w:rFonts w:cs="Arial"/>
          <w:szCs w:val="20"/>
          <w:lang w:val="pt-BR"/>
        </w:rPr>
        <w:t>delitos previstos</w:t>
      </w:r>
      <w:r w:rsidR="00E045D9" w:rsidRPr="00D5464D">
        <w:rPr>
          <w:rFonts w:cs="Arial"/>
          <w:szCs w:val="20"/>
          <w:lang w:val="pt-BR"/>
        </w:rPr>
        <w:t xml:space="preserve"> nos </w:t>
      </w:r>
      <w:r w:rsidR="00470ADC" w:rsidRPr="00D5464D">
        <w:rPr>
          <w:rFonts w:cs="Arial"/>
          <w:szCs w:val="20"/>
          <w:lang w:val="pt-BR"/>
        </w:rPr>
        <w:t>artigo</w:t>
      </w:r>
      <w:r w:rsidRPr="00D5464D">
        <w:rPr>
          <w:rFonts w:cs="Arial"/>
          <w:szCs w:val="20"/>
          <w:lang w:val="pt-BR"/>
        </w:rPr>
        <w:t>s 149</w:t>
      </w:r>
      <w:r w:rsidR="00917270" w:rsidRPr="00D5464D">
        <w:rPr>
          <w:rFonts w:cs="Arial"/>
          <w:szCs w:val="20"/>
          <w:lang w:val="pt-BR"/>
        </w:rPr>
        <w:t xml:space="preserve"> (</w:t>
      </w:r>
      <w:r w:rsidR="00E045D9" w:rsidRPr="00D5464D">
        <w:rPr>
          <w:rFonts w:cs="Arial"/>
          <w:szCs w:val="20"/>
          <w:lang w:val="pt-BR"/>
        </w:rPr>
        <w:t>trabalho</w:t>
      </w:r>
      <w:r w:rsidR="00917270" w:rsidRPr="00D5464D">
        <w:rPr>
          <w:rFonts w:cs="Arial"/>
          <w:szCs w:val="20"/>
          <w:lang w:val="pt-BR"/>
        </w:rPr>
        <w:t xml:space="preserve"> </w:t>
      </w:r>
      <w:r w:rsidR="004F1CC2" w:rsidRPr="00D5464D">
        <w:rPr>
          <w:rFonts w:cs="Arial"/>
          <w:szCs w:val="20"/>
          <w:lang w:val="pt-BR"/>
        </w:rPr>
        <w:t>escravo</w:t>
      </w:r>
      <w:r w:rsidR="00917270" w:rsidRPr="00D5464D">
        <w:rPr>
          <w:rFonts w:cs="Arial"/>
          <w:szCs w:val="20"/>
          <w:lang w:val="pt-BR"/>
        </w:rPr>
        <w:t>)</w:t>
      </w:r>
      <w:r w:rsidRPr="00D5464D">
        <w:rPr>
          <w:rFonts w:cs="Arial"/>
          <w:szCs w:val="20"/>
          <w:lang w:val="pt-BR"/>
        </w:rPr>
        <w:t>, 197.1</w:t>
      </w:r>
      <w:r w:rsidR="00917270" w:rsidRPr="00D5464D">
        <w:rPr>
          <w:rFonts w:cs="Arial"/>
          <w:szCs w:val="20"/>
          <w:lang w:val="pt-BR"/>
        </w:rPr>
        <w:t xml:space="preserve"> (atentado contra</w:t>
      </w:r>
      <w:r w:rsidR="002C330E" w:rsidRPr="00D5464D">
        <w:rPr>
          <w:rFonts w:cs="Arial"/>
          <w:szCs w:val="20"/>
          <w:lang w:val="pt-BR"/>
        </w:rPr>
        <w:t xml:space="preserve"> a liberdade </w:t>
      </w:r>
      <w:r w:rsidR="00470ADC" w:rsidRPr="00D5464D">
        <w:rPr>
          <w:rFonts w:cs="Arial"/>
          <w:szCs w:val="20"/>
          <w:lang w:val="pt-BR"/>
        </w:rPr>
        <w:t xml:space="preserve">do </w:t>
      </w:r>
      <w:r w:rsidR="00E045D9" w:rsidRPr="00D5464D">
        <w:rPr>
          <w:rFonts w:cs="Arial"/>
          <w:szCs w:val="20"/>
          <w:lang w:val="pt-BR"/>
        </w:rPr>
        <w:t>trabalho</w:t>
      </w:r>
      <w:r w:rsidR="00917270" w:rsidRPr="00D5464D">
        <w:rPr>
          <w:rFonts w:cs="Arial"/>
          <w:szCs w:val="20"/>
          <w:lang w:val="pt-BR"/>
        </w:rPr>
        <w:t>)</w:t>
      </w:r>
      <w:r w:rsidR="00E045D9" w:rsidRPr="00D5464D">
        <w:rPr>
          <w:rFonts w:cs="Arial"/>
          <w:szCs w:val="20"/>
          <w:lang w:val="pt-BR"/>
        </w:rPr>
        <w:t xml:space="preserve"> e </w:t>
      </w:r>
      <w:r w:rsidRPr="00D5464D">
        <w:rPr>
          <w:rFonts w:cs="Arial"/>
          <w:szCs w:val="20"/>
          <w:lang w:val="pt-BR"/>
        </w:rPr>
        <w:t xml:space="preserve">207 </w:t>
      </w:r>
      <w:r w:rsidR="00917270" w:rsidRPr="00D5464D">
        <w:rPr>
          <w:rFonts w:cs="Arial"/>
          <w:szCs w:val="20"/>
          <w:lang w:val="pt-BR"/>
        </w:rPr>
        <w:t>(</w:t>
      </w:r>
      <w:r w:rsidR="00085F51" w:rsidRPr="00D5464D">
        <w:rPr>
          <w:rFonts w:cs="Arial"/>
          <w:szCs w:val="20"/>
          <w:lang w:val="pt-BR"/>
        </w:rPr>
        <w:t xml:space="preserve">aliciamento </w:t>
      </w:r>
      <w:r w:rsidR="00917270" w:rsidRPr="00D5464D">
        <w:rPr>
          <w:rFonts w:cs="Arial"/>
          <w:szCs w:val="20"/>
          <w:lang w:val="pt-BR"/>
        </w:rPr>
        <w:t xml:space="preserve">de </w:t>
      </w:r>
      <w:r w:rsidR="00E045D9" w:rsidRPr="00D5464D">
        <w:rPr>
          <w:rFonts w:cs="Arial"/>
          <w:szCs w:val="20"/>
          <w:lang w:val="pt-BR"/>
        </w:rPr>
        <w:t>trabalhadores</w:t>
      </w:r>
      <w:r w:rsidR="00917270" w:rsidRPr="00D5464D">
        <w:rPr>
          <w:rFonts w:cs="Arial"/>
          <w:szCs w:val="20"/>
          <w:lang w:val="pt-BR"/>
        </w:rPr>
        <w:t xml:space="preserve">) </w:t>
      </w:r>
      <w:r w:rsidR="00470ADC" w:rsidRPr="00D5464D">
        <w:rPr>
          <w:rFonts w:cs="Arial"/>
          <w:szCs w:val="20"/>
          <w:lang w:val="pt-BR"/>
        </w:rPr>
        <w:t xml:space="preserve">do </w:t>
      </w:r>
      <w:r w:rsidRPr="00D5464D">
        <w:rPr>
          <w:rFonts w:cs="Arial"/>
          <w:szCs w:val="20"/>
          <w:lang w:val="pt-BR"/>
        </w:rPr>
        <w:t>Código Penal</w:t>
      </w:r>
      <w:r w:rsidRPr="00D5464D">
        <w:rPr>
          <w:rFonts w:cs="Times New Roman"/>
          <w:szCs w:val="20"/>
          <w:lang w:val="pt-BR"/>
        </w:rPr>
        <w:t xml:space="preserve">; b) </w:t>
      </w:r>
      <w:r w:rsidR="007F4DCE" w:rsidRPr="00D5464D">
        <w:rPr>
          <w:rFonts w:cs="Arial"/>
          <w:szCs w:val="20"/>
          <w:lang w:val="pt-BR"/>
        </w:rPr>
        <w:t xml:space="preserve">Antônio </w:t>
      </w:r>
      <w:r w:rsidRPr="00D5464D">
        <w:rPr>
          <w:rFonts w:cs="Arial"/>
          <w:szCs w:val="20"/>
          <w:lang w:val="pt-BR"/>
        </w:rPr>
        <w:t>Alves Vieira, gerente</w:t>
      </w:r>
      <w:r w:rsidR="00470ADC" w:rsidRPr="00D5464D">
        <w:rPr>
          <w:rFonts w:cs="Arial"/>
          <w:szCs w:val="20"/>
          <w:lang w:val="pt-BR"/>
        </w:rPr>
        <w:t xml:space="preserve"> da </w:t>
      </w:r>
      <w:r w:rsidR="00D809F0" w:rsidRPr="00D5464D">
        <w:rPr>
          <w:rFonts w:cs="Arial"/>
          <w:szCs w:val="20"/>
          <w:lang w:val="pt-BR"/>
        </w:rPr>
        <w:t>Fazenda</w:t>
      </w:r>
      <w:r w:rsidRPr="00D5464D">
        <w:rPr>
          <w:rFonts w:cs="Arial"/>
          <w:szCs w:val="20"/>
          <w:lang w:val="pt-BR"/>
        </w:rPr>
        <w:t xml:space="preserve"> Brasil Verde,</w:t>
      </w:r>
      <w:r w:rsidR="002C330E" w:rsidRPr="00D5464D">
        <w:rPr>
          <w:rFonts w:cs="Arial"/>
          <w:szCs w:val="20"/>
          <w:lang w:val="pt-BR"/>
        </w:rPr>
        <w:t xml:space="preserve"> pelos </w:t>
      </w:r>
      <w:r w:rsidRPr="00D5464D">
        <w:rPr>
          <w:rFonts w:cs="Arial"/>
          <w:szCs w:val="20"/>
          <w:lang w:val="pt-BR"/>
        </w:rPr>
        <w:t>delitos previstos</w:t>
      </w:r>
      <w:r w:rsidR="00E045D9" w:rsidRPr="00D5464D">
        <w:rPr>
          <w:rFonts w:cs="Arial"/>
          <w:szCs w:val="20"/>
          <w:lang w:val="pt-BR"/>
        </w:rPr>
        <w:t xml:space="preserve"> nos </w:t>
      </w:r>
      <w:r w:rsidR="00470ADC" w:rsidRPr="00D5464D">
        <w:rPr>
          <w:rFonts w:cs="Arial"/>
          <w:szCs w:val="20"/>
          <w:lang w:val="pt-BR"/>
        </w:rPr>
        <w:t>artigo</w:t>
      </w:r>
      <w:r w:rsidRPr="00D5464D">
        <w:rPr>
          <w:rFonts w:cs="Arial"/>
          <w:szCs w:val="20"/>
          <w:lang w:val="pt-BR"/>
        </w:rPr>
        <w:t>s 149</w:t>
      </w:r>
      <w:r w:rsidR="00E045D9" w:rsidRPr="00D5464D">
        <w:rPr>
          <w:rFonts w:cs="Arial"/>
          <w:szCs w:val="20"/>
          <w:lang w:val="pt-BR"/>
        </w:rPr>
        <w:t xml:space="preserve"> e </w:t>
      </w:r>
      <w:r w:rsidRPr="00D5464D">
        <w:rPr>
          <w:rFonts w:cs="Arial"/>
          <w:szCs w:val="20"/>
          <w:lang w:val="pt-BR"/>
        </w:rPr>
        <w:t xml:space="preserve">197.1 </w:t>
      </w:r>
      <w:r w:rsidR="00470ADC" w:rsidRPr="00D5464D">
        <w:rPr>
          <w:rFonts w:cs="Arial"/>
          <w:szCs w:val="20"/>
          <w:lang w:val="pt-BR"/>
        </w:rPr>
        <w:t xml:space="preserve">do </w:t>
      </w:r>
      <w:r w:rsidRPr="00D5464D">
        <w:rPr>
          <w:rFonts w:cs="Arial"/>
          <w:szCs w:val="20"/>
          <w:lang w:val="pt-BR"/>
        </w:rPr>
        <w:t>Código Penal</w:t>
      </w:r>
      <w:r w:rsidR="00470ADC" w:rsidRPr="00D5464D">
        <w:rPr>
          <w:rFonts w:cs="Arial"/>
          <w:szCs w:val="20"/>
          <w:lang w:val="pt-BR"/>
        </w:rPr>
        <w:t xml:space="preserve"> e</w:t>
      </w:r>
      <w:r w:rsidRPr="00D5464D">
        <w:rPr>
          <w:rFonts w:cs="Times New Roman"/>
          <w:szCs w:val="20"/>
          <w:lang w:val="pt-BR"/>
        </w:rPr>
        <w:t xml:space="preserve"> c) </w:t>
      </w:r>
      <w:r w:rsidRPr="00D5464D">
        <w:rPr>
          <w:rFonts w:cs="Arial"/>
          <w:szCs w:val="20"/>
          <w:lang w:val="pt-BR"/>
        </w:rPr>
        <w:t xml:space="preserve">João Luiz Quagliato Neto, </w:t>
      </w:r>
      <w:r w:rsidR="00230C71" w:rsidRPr="00D5464D">
        <w:rPr>
          <w:rFonts w:cs="Arial"/>
          <w:szCs w:val="20"/>
          <w:lang w:val="pt-BR"/>
        </w:rPr>
        <w:t>proprietário</w:t>
      </w:r>
      <w:r w:rsidR="00470ADC" w:rsidRPr="00D5464D">
        <w:rPr>
          <w:rFonts w:cs="Arial"/>
          <w:szCs w:val="20"/>
          <w:lang w:val="pt-BR"/>
        </w:rPr>
        <w:t xml:space="preserve"> da </w:t>
      </w:r>
      <w:r w:rsidR="00D809F0" w:rsidRPr="00D5464D">
        <w:rPr>
          <w:rFonts w:cs="Arial"/>
          <w:szCs w:val="20"/>
          <w:lang w:val="pt-BR"/>
        </w:rPr>
        <w:t>Fazenda</w:t>
      </w:r>
      <w:r w:rsidRPr="00D5464D">
        <w:rPr>
          <w:rFonts w:cs="Arial"/>
          <w:szCs w:val="20"/>
          <w:lang w:val="pt-BR"/>
        </w:rPr>
        <w:t xml:space="preserve"> Brasil Verde,</w:t>
      </w:r>
      <w:r w:rsidR="002C330E" w:rsidRPr="00D5464D">
        <w:rPr>
          <w:rFonts w:cs="Arial"/>
          <w:szCs w:val="20"/>
          <w:lang w:val="pt-BR"/>
        </w:rPr>
        <w:t xml:space="preserve"> pelo </w:t>
      </w:r>
      <w:r w:rsidRPr="00D5464D">
        <w:rPr>
          <w:rFonts w:cs="Arial"/>
          <w:szCs w:val="20"/>
          <w:lang w:val="pt-BR"/>
        </w:rPr>
        <w:t>delito previsto</w:t>
      </w:r>
      <w:r w:rsidR="00E045D9" w:rsidRPr="00D5464D">
        <w:rPr>
          <w:rFonts w:cs="Arial"/>
          <w:szCs w:val="20"/>
          <w:lang w:val="pt-BR"/>
        </w:rPr>
        <w:t xml:space="preserve"> no </w:t>
      </w:r>
      <w:r w:rsidR="00470ADC" w:rsidRPr="00D5464D">
        <w:rPr>
          <w:rFonts w:cs="Arial"/>
          <w:szCs w:val="20"/>
          <w:lang w:val="pt-BR"/>
        </w:rPr>
        <w:t>artigo</w:t>
      </w:r>
      <w:r w:rsidR="003B1C45" w:rsidRPr="00D5464D">
        <w:rPr>
          <w:rFonts w:cs="Arial"/>
          <w:szCs w:val="20"/>
          <w:lang w:val="pt-BR"/>
        </w:rPr>
        <w:t xml:space="preserve"> 203</w:t>
      </w:r>
      <w:r w:rsidRPr="00D5464D">
        <w:rPr>
          <w:rFonts w:cs="Arial"/>
          <w:szCs w:val="20"/>
          <w:lang w:val="pt-BR"/>
        </w:rPr>
        <w:t xml:space="preserve"> </w:t>
      </w:r>
      <w:r w:rsidR="00190FF4" w:rsidRPr="00D5464D">
        <w:rPr>
          <w:rFonts w:cs="Arial"/>
          <w:szCs w:val="20"/>
          <w:lang w:val="pt-BR"/>
        </w:rPr>
        <w:t xml:space="preserve">(frustrar </w:t>
      </w:r>
      <w:r w:rsidR="00351C4B" w:rsidRPr="00D5464D">
        <w:rPr>
          <w:rFonts w:cs="Arial"/>
          <w:szCs w:val="20"/>
          <w:lang w:val="pt-BR"/>
        </w:rPr>
        <w:t>direitos trabalhistas</w:t>
      </w:r>
      <w:r w:rsidR="00190FF4" w:rsidRPr="00D5464D">
        <w:rPr>
          <w:rFonts w:cs="Arial"/>
          <w:szCs w:val="20"/>
          <w:lang w:val="pt-BR"/>
        </w:rPr>
        <w:t xml:space="preserve">) </w:t>
      </w:r>
      <w:r w:rsidR="00470ADC" w:rsidRPr="00D5464D">
        <w:rPr>
          <w:rFonts w:cs="Arial"/>
          <w:szCs w:val="20"/>
          <w:lang w:val="pt-BR"/>
        </w:rPr>
        <w:t xml:space="preserve">do </w:t>
      </w:r>
      <w:r w:rsidRPr="00D5464D">
        <w:rPr>
          <w:rFonts w:cs="Arial"/>
          <w:szCs w:val="20"/>
          <w:lang w:val="pt-BR"/>
        </w:rPr>
        <w:t>Código Penal</w:t>
      </w:r>
      <w:r w:rsidR="00085F51" w:rsidRPr="00D5464D">
        <w:rPr>
          <w:rFonts w:cs="Arial"/>
          <w:szCs w:val="20"/>
          <w:lang w:val="pt-BR"/>
        </w:rPr>
        <w:t>.</w:t>
      </w:r>
      <w:r w:rsidRPr="00D5464D">
        <w:rPr>
          <w:rStyle w:val="Refdenotaalpie"/>
          <w:rFonts w:cs="Arial"/>
          <w:lang w:val="pt-BR"/>
        </w:rPr>
        <w:footnoteReference w:id="135"/>
      </w:r>
      <w:r w:rsidR="00A1358C" w:rsidRPr="00D5464D">
        <w:rPr>
          <w:rFonts w:cs="Arial"/>
          <w:szCs w:val="20"/>
          <w:lang w:val="pt-BR"/>
        </w:rPr>
        <w:t xml:space="preserve"> Nesta</w:t>
      </w:r>
      <w:r w:rsidR="00E045D9" w:rsidRPr="00D5464D">
        <w:rPr>
          <w:rFonts w:cs="Arial"/>
          <w:szCs w:val="20"/>
          <w:lang w:val="pt-BR"/>
        </w:rPr>
        <w:t xml:space="preserve"> </w:t>
      </w:r>
      <w:r w:rsidR="00470ADC" w:rsidRPr="00D5464D">
        <w:rPr>
          <w:rFonts w:cs="Arial"/>
          <w:szCs w:val="20"/>
          <w:lang w:val="pt-BR"/>
        </w:rPr>
        <w:t xml:space="preserve">denúncia o </w:t>
      </w:r>
      <w:r w:rsidR="002C330E" w:rsidRPr="00D5464D">
        <w:rPr>
          <w:rFonts w:cs="Arial"/>
          <w:szCs w:val="20"/>
          <w:lang w:val="pt-BR"/>
        </w:rPr>
        <w:t>Ministério</w:t>
      </w:r>
      <w:r w:rsidRPr="00D5464D">
        <w:rPr>
          <w:rFonts w:cs="Arial"/>
          <w:szCs w:val="20"/>
          <w:lang w:val="pt-BR"/>
        </w:rPr>
        <w:t xml:space="preserve"> Público </w:t>
      </w:r>
      <w:r w:rsidR="00470ADC" w:rsidRPr="00D5464D">
        <w:rPr>
          <w:rFonts w:cs="Arial"/>
          <w:szCs w:val="20"/>
          <w:lang w:val="pt-BR"/>
        </w:rPr>
        <w:t>considerou</w:t>
      </w:r>
      <w:r w:rsidRPr="00D5464D">
        <w:rPr>
          <w:rFonts w:cs="Arial"/>
          <w:szCs w:val="20"/>
          <w:lang w:val="pt-BR"/>
        </w:rPr>
        <w:t xml:space="preserve"> que: </w:t>
      </w:r>
    </w:p>
    <w:p w14:paraId="46A67421" w14:textId="2B112B3C" w:rsidR="0003391C" w:rsidRPr="00D5464D" w:rsidRDefault="00470ADC" w:rsidP="00140440">
      <w:pPr>
        <w:autoSpaceDE w:val="0"/>
        <w:autoSpaceDN w:val="0"/>
        <w:adjustRightInd w:val="0"/>
        <w:ind w:left="720" w:right="720"/>
        <w:jc w:val="both"/>
        <w:rPr>
          <w:rFonts w:cs="Arial"/>
          <w:sz w:val="16"/>
          <w:szCs w:val="20"/>
          <w:lang w:val="pt-BR"/>
        </w:rPr>
      </w:pPr>
      <w:r w:rsidRPr="00D5464D">
        <w:rPr>
          <w:rFonts w:cs="Times New Roman"/>
          <w:szCs w:val="20"/>
          <w:lang w:val="pt-BR"/>
        </w:rPr>
        <w:cr/>
      </w:r>
      <w:r w:rsidRPr="00D5464D">
        <w:rPr>
          <w:rFonts w:cs="Times New Roman"/>
          <w:sz w:val="16"/>
          <w:szCs w:val="16"/>
          <w:lang w:val="pt-BR"/>
        </w:rPr>
        <w:t xml:space="preserve">A </w:t>
      </w:r>
      <w:r w:rsidR="00684409" w:rsidRPr="00D5464D">
        <w:rPr>
          <w:rFonts w:cs="Times New Roman"/>
          <w:sz w:val="16"/>
          <w:szCs w:val="16"/>
          <w:lang w:val="pt-BR"/>
        </w:rPr>
        <w:t>“</w:t>
      </w:r>
      <w:r w:rsidR="00D809F0" w:rsidRPr="00D5464D">
        <w:rPr>
          <w:rFonts w:cs="Arial"/>
          <w:iCs/>
          <w:sz w:val="16"/>
          <w:szCs w:val="20"/>
          <w:lang w:val="pt-BR"/>
        </w:rPr>
        <w:t>Fazenda</w:t>
      </w:r>
      <w:r w:rsidR="0003391C" w:rsidRPr="00D5464D">
        <w:rPr>
          <w:rFonts w:cs="Arial"/>
          <w:iCs/>
          <w:sz w:val="16"/>
          <w:szCs w:val="20"/>
          <w:lang w:val="pt-BR"/>
        </w:rPr>
        <w:t xml:space="preserve"> Brasil Verde</w:t>
      </w:r>
      <w:r w:rsidR="00684409" w:rsidRPr="00D5464D">
        <w:rPr>
          <w:rFonts w:cs="Arial"/>
          <w:iCs/>
          <w:sz w:val="16"/>
          <w:szCs w:val="20"/>
          <w:lang w:val="pt-BR"/>
        </w:rPr>
        <w:t>”</w:t>
      </w:r>
      <w:r w:rsidR="0003391C" w:rsidRPr="00D5464D">
        <w:rPr>
          <w:rFonts w:cs="Arial"/>
          <w:i/>
          <w:iCs/>
          <w:sz w:val="16"/>
          <w:szCs w:val="20"/>
          <w:lang w:val="pt-BR"/>
        </w:rPr>
        <w:t xml:space="preserve"> </w:t>
      </w:r>
      <w:r w:rsidR="0003391C" w:rsidRPr="00D5464D">
        <w:rPr>
          <w:rFonts w:cs="Arial"/>
          <w:sz w:val="16"/>
          <w:szCs w:val="20"/>
          <w:lang w:val="pt-BR"/>
        </w:rPr>
        <w:t xml:space="preserve">costuma contratar </w:t>
      </w:r>
      <w:r w:rsidR="00E045D9" w:rsidRPr="00D5464D">
        <w:rPr>
          <w:rFonts w:cs="Arial"/>
          <w:sz w:val="16"/>
          <w:szCs w:val="20"/>
          <w:lang w:val="pt-BR"/>
        </w:rPr>
        <w:t>trabalhadores</w:t>
      </w:r>
      <w:r w:rsidR="0003391C" w:rsidRPr="00D5464D">
        <w:rPr>
          <w:rFonts w:cs="Arial"/>
          <w:sz w:val="16"/>
          <w:szCs w:val="20"/>
          <w:lang w:val="pt-BR"/>
        </w:rPr>
        <w:t xml:space="preserve"> </w:t>
      </w:r>
      <w:r w:rsidR="00E045D9" w:rsidRPr="00D5464D">
        <w:rPr>
          <w:rFonts w:cs="Arial"/>
          <w:sz w:val="16"/>
          <w:szCs w:val="20"/>
          <w:lang w:val="pt-BR"/>
        </w:rPr>
        <w:t>rurais</w:t>
      </w:r>
      <w:r w:rsidR="00085F51" w:rsidRPr="00D5464D">
        <w:rPr>
          <w:rFonts w:cs="Arial"/>
          <w:sz w:val="16"/>
          <w:szCs w:val="20"/>
          <w:lang w:val="pt-BR"/>
        </w:rPr>
        <w:t>,</w:t>
      </w:r>
      <w:r w:rsidR="0003391C" w:rsidRPr="00D5464D">
        <w:rPr>
          <w:rFonts w:cs="Arial"/>
          <w:sz w:val="16"/>
          <w:szCs w:val="20"/>
          <w:lang w:val="pt-BR"/>
        </w:rPr>
        <w:t xml:space="preserve"> “</w:t>
      </w:r>
      <w:r w:rsidR="00230C71" w:rsidRPr="00D5464D">
        <w:rPr>
          <w:rFonts w:cs="Arial"/>
          <w:sz w:val="16"/>
          <w:szCs w:val="20"/>
          <w:lang w:val="pt-BR"/>
        </w:rPr>
        <w:t>peões</w:t>
      </w:r>
      <w:r w:rsidR="0003391C" w:rsidRPr="00D5464D">
        <w:rPr>
          <w:rFonts w:cs="Arial"/>
          <w:sz w:val="16"/>
          <w:szCs w:val="20"/>
          <w:lang w:val="pt-BR"/>
        </w:rPr>
        <w:t>”</w:t>
      </w:r>
      <w:r w:rsidR="00085F51" w:rsidRPr="00D5464D">
        <w:rPr>
          <w:rFonts w:cs="Arial"/>
          <w:sz w:val="16"/>
          <w:szCs w:val="20"/>
          <w:lang w:val="pt-BR"/>
        </w:rPr>
        <w:t xml:space="preserve">, para o </w:t>
      </w:r>
      <w:r w:rsidR="0003391C" w:rsidRPr="00D5464D">
        <w:rPr>
          <w:rFonts w:cs="Arial"/>
          <w:sz w:val="16"/>
          <w:szCs w:val="20"/>
          <w:lang w:val="pt-BR"/>
        </w:rPr>
        <w:t>corte d</w:t>
      </w:r>
      <w:r w:rsidR="00684409" w:rsidRPr="00D5464D">
        <w:rPr>
          <w:rFonts w:cs="Arial"/>
          <w:sz w:val="16"/>
          <w:szCs w:val="20"/>
          <w:lang w:val="pt-BR"/>
        </w:rPr>
        <w:t>a</w:t>
      </w:r>
      <w:r w:rsidR="0003391C" w:rsidRPr="00D5464D">
        <w:rPr>
          <w:rFonts w:cs="Arial"/>
          <w:sz w:val="16"/>
          <w:szCs w:val="20"/>
          <w:lang w:val="pt-BR"/>
        </w:rPr>
        <w:t xml:space="preserve"> juquira mediante</w:t>
      </w:r>
      <w:r w:rsidRPr="00D5464D">
        <w:rPr>
          <w:rFonts w:cs="Arial"/>
          <w:sz w:val="16"/>
          <w:szCs w:val="20"/>
          <w:lang w:val="pt-BR"/>
        </w:rPr>
        <w:t xml:space="preserve"> o </w:t>
      </w:r>
      <w:r w:rsidR="00085F51" w:rsidRPr="00D5464D">
        <w:rPr>
          <w:rFonts w:cs="Arial"/>
          <w:sz w:val="16"/>
          <w:szCs w:val="20"/>
          <w:lang w:val="pt-BR"/>
        </w:rPr>
        <w:t xml:space="preserve">aliciamento </w:t>
      </w:r>
      <w:r w:rsidRPr="00D5464D">
        <w:rPr>
          <w:rFonts w:cs="Arial"/>
          <w:sz w:val="16"/>
          <w:szCs w:val="20"/>
          <w:lang w:val="pt-BR"/>
        </w:rPr>
        <w:t xml:space="preserve">dos </w:t>
      </w:r>
      <w:r w:rsidR="002C330E" w:rsidRPr="00D5464D">
        <w:rPr>
          <w:rFonts w:cs="Arial"/>
          <w:sz w:val="16"/>
          <w:szCs w:val="20"/>
          <w:lang w:val="pt-BR"/>
        </w:rPr>
        <w:t>mesm</w:t>
      </w:r>
      <w:r w:rsidR="0003391C" w:rsidRPr="00D5464D">
        <w:rPr>
          <w:rFonts w:cs="Arial"/>
          <w:sz w:val="16"/>
          <w:szCs w:val="20"/>
          <w:lang w:val="pt-BR"/>
        </w:rPr>
        <w:t>os, como</w:t>
      </w:r>
      <w:r w:rsidR="002C330E" w:rsidRPr="00D5464D">
        <w:rPr>
          <w:rFonts w:cs="Arial"/>
          <w:sz w:val="16"/>
          <w:szCs w:val="20"/>
          <w:lang w:val="pt-BR"/>
        </w:rPr>
        <w:t xml:space="preserve"> os </w:t>
      </w:r>
      <w:r w:rsidR="0003391C" w:rsidRPr="00D5464D">
        <w:rPr>
          <w:rFonts w:cs="Arial"/>
          <w:sz w:val="16"/>
          <w:szCs w:val="20"/>
          <w:lang w:val="pt-BR"/>
        </w:rPr>
        <w:t>32 (</w:t>
      </w:r>
      <w:r w:rsidR="00E045D9" w:rsidRPr="00D5464D">
        <w:rPr>
          <w:rFonts w:cs="Arial"/>
          <w:sz w:val="16"/>
          <w:szCs w:val="20"/>
          <w:lang w:val="pt-BR"/>
        </w:rPr>
        <w:t xml:space="preserve">trinta e </w:t>
      </w:r>
      <w:r w:rsidR="0003391C" w:rsidRPr="00D5464D">
        <w:rPr>
          <w:rFonts w:cs="Arial"/>
          <w:sz w:val="16"/>
          <w:szCs w:val="20"/>
          <w:lang w:val="pt-BR"/>
        </w:rPr>
        <w:t>do</w:t>
      </w:r>
      <w:r w:rsidR="00684409" w:rsidRPr="00D5464D">
        <w:rPr>
          <w:rFonts w:cs="Arial"/>
          <w:sz w:val="16"/>
          <w:szCs w:val="20"/>
          <w:lang w:val="pt-BR"/>
        </w:rPr>
        <w:t>i</w:t>
      </w:r>
      <w:r w:rsidR="0003391C" w:rsidRPr="00D5464D">
        <w:rPr>
          <w:rFonts w:cs="Arial"/>
          <w:sz w:val="16"/>
          <w:szCs w:val="20"/>
          <w:lang w:val="pt-BR"/>
        </w:rPr>
        <w:t xml:space="preserve">s) </w:t>
      </w:r>
      <w:r w:rsidR="00E045D9" w:rsidRPr="00D5464D">
        <w:rPr>
          <w:rFonts w:cs="Arial"/>
          <w:sz w:val="16"/>
          <w:szCs w:val="20"/>
          <w:lang w:val="pt-BR"/>
        </w:rPr>
        <w:t>trabalhadores</w:t>
      </w:r>
      <w:r w:rsidR="0003391C" w:rsidRPr="00D5464D">
        <w:rPr>
          <w:rFonts w:cs="Arial"/>
          <w:sz w:val="16"/>
          <w:szCs w:val="20"/>
          <w:lang w:val="pt-BR"/>
        </w:rPr>
        <w:t xml:space="preserve"> </w:t>
      </w:r>
      <w:r w:rsidR="00085F51" w:rsidRPr="00D5464D">
        <w:rPr>
          <w:rFonts w:cs="Arial"/>
          <w:sz w:val="16"/>
          <w:szCs w:val="20"/>
          <w:lang w:val="pt-BR"/>
        </w:rPr>
        <w:t xml:space="preserve">convidados </w:t>
      </w:r>
      <w:r w:rsidR="0003391C" w:rsidRPr="00D5464D">
        <w:rPr>
          <w:rFonts w:cs="Arial"/>
          <w:sz w:val="16"/>
          <w:szCs w:val="20"/>
          <w:lang w:val="pt-BR"/>
        </w:rPr>
        <w:t>[...]</w:t>
      </w:r>
      <w:r w:rsidR="00E045D9" w:rsidRPr="00D5464D">
        <w:rPr>
          <w:rFonts w:cs="Arial"/>
          <w:sz w:val="16"/>
          <w:szCs w:val="20"/>
          <w:lang w:val="pt-BR"/>
        </w:rPr>
        <w:t xml:space="preserve"> no </w:t>
      </w:r>
      <w:r w:rsidR="00230C71" w:rsidRPr="00D5464D">
        <w:rPr>
          <w:rFonts w:cs="Arial"/>
          <w:sz w:val="16"/>
          <w:szCs w:val="20"/>
          <w:lang w:val="pt-BR"/>
        </w:rPr>
        <w:t>município</w:t>
      </w:r>
      <w:r w:rsidR="0003391C" w:rsidRPr="00D5464D">
        <w:rPr>
          <w:rFonts w:cs="Arial"/>
          <w:sz w:val="16"/>
          <w:szCs w:val="20"/>
          <w:lang w:val="pt-BR"/>
        </w:rPr>
        <w:t xml:space="preserve"> de Xinguara</w:t>
      </w:r>
      <w:r w:rsidR="00EB1CE9" w:rsidRPr="00D5464D">
        <w:rPr>
          <w:rFonts w:cs="Arial"/>
          <w:sz w:val="16"/>
          <w:szCs w:val="20"/>
          <w:lang w:val="pt-BR"/>
        </w:rPr>
        <w:t xml:space="preserve">, por </w:t>
      </w:r>
      <w:r w:rsidR="0003391C" w:rsidRPr="00D5464D">
        <w:rPr>
          <w:rFonts w:cs="Arial"/>
          <w:sz w:val="16"/>
          <w:szCs w:val="20"/>
          <w:lang w:val="pt-BR"/>
        </w:rPr>
        <w:t>[...]</w:t>
      </w:r>
      <w:r w:rsidR="00E045D9" w:rsidRPr="00D5464D">
        <w:rPr>
          <w:rFonts w:cs="Arial"/>
          <w:sz w:val="16"/>
          <w:szCs w:val="20"/>
          <w:lang w:val="pt-BR"/>
        </w:rPr>
        <w:t xml:space="preserve"> um </w:t>
      </w:r>
      <w:r w:rsidR="00085F51" w:rsidRPr="00D5464D">
        <w:rPr>
          <w:rFonts w:cs="Arial"/>
          <w:sz w:val="16"/>
          <w:szCs w:val="20"/>
          <w:lang w:val="pt-BR"/>
        </w:rPr>
        <w:t>empreiteiro</w:t>
      </w:r>
      <w:r w:rsidR="0003391C" w:rsidRPr="00D5464D">
        <w:rPr>
          <w:rFonts w:cs="Arial"/>
          <w:sz w:val="16"/>
          <w:szCs w:val="20"/>
          <w:lang w:val="pt-BR"/>
        </w:rPr>
        <w:t>,</w:t>
      </w:r>
      <w:r w:rsidR="00E045D9" w:rsidRPr="00D5464D">
        <w:rPr>
          <w:rFonts w:cs="Arial"/>
          <w:sz w:val="16"/>
          <w:szCs w:val="20"/>
          <w:lang w:val="pt-BR"/>
        </w:rPr>
        <w:t xml:space="preserve"> </w:t>
      </w:r>
      <w:r w:rsidR="00085F51" w:rsidRPr="00D5464D">
        <w:rPr>
          <w:rFonts w:cs="Arial"/>
          <w:i/>
          <w:sz w:val="16"/>
          <w:szCs w:val="20"/>
          <w:lang w:val="pt-BR"/>
        </w:rPr>
        <w:t>in casu</w:t>
      </w:r>
      <w:r w:rsidR="0003391C" w:rsidRPr="00D5464D">
        <w:rPr>
          <w:rFonts w:cs="Arial"/>
          <w:sz w:val="16"/>
          <w:szCs w:val="20"/>
          <w:lang w:val="pt-BR"/>
        </w:rPr>
        <w:t>,</w:t>
      </w:r>
      <w:r w:rsidRPr="00D5464D">
        <w:rPr>
          <w:rFonts w:cs="Arial"/>
          <w:sz w:val="16"/>
          <w:szCs w:val="20"/>
          <w:lang w:val="pt-BR"/>
        </w:rPr>
        <w:t xml:space="preserve"> o </w:t>
      </w:r>
      <w:r w:rsidR="0003391C" w:rsidRPr="00D5464D">
        <w:rPr>
          <w:rFonts w:cs="Arial"/>
          <w:sz w:val="16"/>
          <w:szCs w:val="20"/>
          <w:lang w:val="pt-BR"/>
        </w:rPr>
        <w:t>denunciado Raimundo A</w:t>
      </w:r>
      <w:r w:rsidR="00EA1DD2" w:rsidRPr="00D5464D">
        <w:rPr>
          <w:rFonts w:cs="Arial"/>
          <w:sz w:val="16"/>
          <w:szCs w:val="20"/>
          <w:lang w:val="pt-BR"/>
        </w:rPr>
        <w:t>l</w:t>
      </w:r>
      <w:r w:rsidR="0003391C" w:rsidRPr="00D5464D">
        <w:rPr>
          <w:rFonts w:cs="Arial"/>
          <w:sz w:val="16"/>
          <w:szCs w:val="20"/>
          <w:lang w:val="pt-BR"/>
        </w:rPr>
        <w:t>ves da Rocha, entre</w:t>
      </w:r>
      <w:r w:rsidR="002C330E" w:rsidRPr="00D5464D">
        <w:rPr>
          <w:rFonts w:cs="Arial"/>
          <w:sz w:val="16"/>
          <w:szCs w:val="20"/>
          <w:lang w:val="pt-BR"/>
        </w:rPr>
        <w:t xml:space="preserve"> 2</w:t>
      </w:r>
      <w:r w:rsidR="0003391C" w:rsidRPr="00D5464D">
        <w:rPr>
          <w:rFonts w:cs="Arial"/>
          <w:sz w:val="16"/>
          <w:szCs w:val="20"/>
          <w:lang w:val="pt-BR"/>
        </w:rPr>
        <w:t xml:space="preserve">4 de </w:t>
      </w:r>
      <w:r w:rsidR="002C330E" w:rsidRPr="00D5464D">
        <w:rPr>
          <w:rFonts w:cs="Arial"/>
          <w:sz w:val="16"/>
          <w:szCs w:val="20"/>
          <w:lang w:val="pt-BR"/>
        </w:rPr>
        <w:t>março</w:t>
      </w:r>
      <w:r w:rsidR="00E045D9" w:rsidRPr="00D5464D">
        <w:rPr>
          <w:rFonts w:cs="Arial"/>
          <w:sz w:val="16"/>
          <w:szCs w:val="20"/>
          <w:lang w:val="pt-BR"/>
        </w:rPr>
        <w:t xml:space="preserve"> e</w:t>
      </w:r>
      <w:r w:rsidR="00C91CB1" w:rsidRPr="00D5464D">
        <w:rPr>
          <w:rFonts w:cs="Arial"/>
          <w:sz w:val="16"/>
          <w:szCs w:val="20"/>
          <w:lang w:val="pt-BR"/>
        </w:rPr>
        <w:t xml:space="preserve"> 1</w:t>
      </w:r>
      <w:r w:rsidR="0003391C" w:rsidRPr="00D5464D">
        <w:rPr>
          <w:rFonts w:cs="Arial"/>
          <w:sz w:val="16"/>
          <w:szCs w:val="20"/>
          <w:lang w:val="pt-BR"/>
        </w:rPr>
        <w:t xml:space="preserve">4 de abril </w:t>
      </w:r>
      <w:r w:rsidRPr="00D5464D">
        <w:rPr>
          <w:rFonts w:cs="Arial"/>
          <w:sz w:val="16"/>
          <w:szCs w:val="20"/>
          <w:lang w:val="pt-BR"/>
        </w:rPr>
        <w:t xml:space="preserve">do </w:t>
      </w:r>
      <w:r w:rsidR="0003391C" w:rsidRPr="00D5464D">
        <w:rPr>
          <w:rFonts w:cs="Arial"/>
          <w:sz w:val="16"/>
          <w:szCs w:val="20"/>
          <w:lang w:val="pt-BR"/>
        </w:rPr>
        <w:t>presente</w:t>
      </w:r>
      <w:r w:rsidRPr="00D5464D">
        <w:rPr>
          <w:rFonts w:cs="Arial"/>
          <w:sz w:val="16"/>
          <w:szCs w:val="20"/>
          <w:lang w:val="pt-BR"/>
        </w:rPr>
        <w:t xml:space="preserve"> ano </w:t>
      </w:r>
      <w:r w:rsidR="0003391C" w:rsidRPr="00D5464D">
        <w:rPr>
          <w:rFonts w:cs="Arial"/>
          <w:sz w:val="16"/>
          <w:szCs w:val="20"/>
          <w:lang w:val="pt-BR"/>
        </w:rPr>
        <w:t xml:space="preserve">[...] para </w:t>
      </w:r>
      <w:r w:rsidR="00E045D9" w:rsidRPr="00D5464D">
        <w:rPr>
          <w:rFonts w:cs="Arial"/>
          <w:sz w:val="16"/>
          <w:szCs w:val="20"/>
          <w:lang w:val="pt-BR"/>
        </w:rPr>
        <w:t>trabalh</w:t>
      </w:r>
      <w:r w:rsidR="0003391C" w:rsidRPr="00D5464D">
        <w:rPr>
          <w:rFonts w:cs="Arial"/>
          <w:sz w:val="16"/>
          <w:szCs w:val="20"/>
          <w:lang w:val="pt-BR"/>
        </w:rPr>
        <w:t>ar</w:t>
      </w:r>
      <w:r w:rsidR="00684409" w:rsidRPr="00D5464D">
        <w:rPr>
          <w:rFonts w:cs="Arial"/>
          <w:sz w:val="16"/>
          <w:szCs w:val="20"/>
          <w:lang w:val="pt-BR"/>
        </w:rPr>
        <w:t>em</w:t>
      </w:r>
      <w:r w:rsidRPr="00D5464D">
        <w:rPr>
          <w:rFonts w:cs="Arial"/>
          <w:sz w:val="16"/>
          <w:szCs w:val="20"/>
          <w:lang w:val="pt-BR"/>
        </w:rPr>
        <w:t xml:space="preserve"> em</w:t>
      </w:r>
      <w:r w:rsidR="002C330E" w:rsidRPr="00D5464D">
        <w:rPr>
          <w:rFonts w:cs="Arial"/>
          <w:sz w:val="16"/>
          <w:szCs w:val="20"/>
          <w:lang w:val="pt-BR"/>
        </w:rPr>
        <w:t xml:space="preserve"> outra </w:t>
      </w:r>
      <w:r w:rsidR="00EB1CE9" w:rsidRPr="00D5464D">
        <w:rPr>
          <w:rFonts w:cs="Arial"/>
          <w:sz w:val="16"/>
          <w:szCs w:val="20"/>
          <w:lang w:val="pt-BR"/>
        </w:rPr>
        <w:t>localidade</w:t>
      </w:r>
      <w:r w:rsidR="0003391C" w:rsidRPr="00D5464D">
        <w:rPr>
          <w:rFonts w:cs="Arial"/>
          <w:sz w:val="16"/>
          <w:szCs w:val="20"/>
          <w:lang w:val="pt-BR"/>
        </w:rPr>
        <w:t xml:space="preserve"> </w:t>
      </w:r>
      <w:r w:rsidR="007F4DCE" w:rsidRPr="00D5464D">
        <w:rPr>
          <w:rFonts w:cs="Arial"/>
          <w:sz w:val="16"/>
          <w:szCs w:val="20"/>
          <w:lang w:val="pt-BR"/>
        </w:rPr>
        <w:t>em troca</w:t>
      </w:r>
      <w:r w:rsidR="00FF1290" w:rsidRPr="00D5464D">
        <w:rPr>
          <w:rFonts w:cs="Arial"/>
          <w:sz w:val="16"/>
          <w:szCs w:val="20"/>
          <w:lang w:val="pt-BR"/>
        </w:rPr>
        <w:t xml:space="preserve"> </w:t>
      </w:r>
      <w:r w:rsidR="0003391C" w:rsidRPr="00D5464D">
        <w:rPr>
          <w:rFonts w:cs="Arial"/>
          <w:sz w:val="16"/>
          <w:szCs w:val="20"/>
          <w:lang w:val="pt-BR"/>
        </w:rPr>
        <w:t xml:space="preserve">de </w:t>
      </w:r>
      <w:r w:rsidR="00E045D9" w:rsidRPr="00D5464D">
        <w:rPr>
          <w:rFonts w:cs="Arial"/>
          <w:sz w:val="16"/>
          <w:szCs w:val="20"/>
          <w:lang w:val="pt-BR"/>
        </w:rPr>
        <w:t>salário</w:t>
      </w:r>
      <w:r w:rsidR="0003391C" w:rsidRPr="00D5464D">
        <w:rPr>
          <w:rFonts w:cs="Arial"/>
          <w:sz w:val="16"/>
          <w:szCs w:val="20"/>
          <w:lang w:val="pt-BR"/>
        </w:rPr>
        <w:t xml:space="preserve">. Parte </w:t>
      </w:r>
      <w:r w:rsidR="00E045D9" w:rsidRPr="00D5464D">
        <w:rPr>
          <w:rFonts w:cs="Arial"/>
          <w:sz w:val="16"/>
          <w:szCs w:val="20"/>
          <w:lang w:val="pt-BR"/>
        </w:rPr>
        <w:t>deste</w:t>
      </w:r>
      <w:r w:rsidR="0003391C" w:rsidRPr="00D5464D">
        <w:rPr>
          <w:rFonts w:cs="Arial"/>
          <w:sz w:val="16"/>
          <w:szCs w:val="20"/>
          <w:lang w:val="pt-BR"/>
        </w:rPr>
        <w:t xml:space="preserve"> </w:t>
      </w:r>
      <w:r w:rsidRPr="00D5464D">
        <w:rPr>
          <w:rFonts w:cs="Arial"/>
          <w:sz w:val="16"/>
          <w:szCs w:val="20"/>
          <w:lang w:val="pt-BR"/>
        </w:rPr>
        <w:t xml:space="preserve">é </w:t>
      </w:r>
      <w:r w:rsidR="0003391C" w:rsidRPr="00D5464D">
        <w:rPr>
          <w:rFonts w:cs="Arial"/>
          <w:sz w:val="16"/>
          <w:szCs w:val="20"/>
          <w:lang w:val="pt-BR"/>
        </w:rPr>
        <w:t>ad</w:t>
      </w:r>
      <w:r w:rsidR="00684409" w:rsidRPr="00D5464D">
        <w:rPr>
          <w:rFonts w:cs="Arial"/>
          <w:sz w:val="16"/>
          <w:szCs w:val="20"/>
          <w:lang w:val="pt-BR"/>
        </w:rPr>
        <w:t>ian</w:t>
      </w:r>
      <w:r w:rsidR="0003391C" w:rsidRPr="00D5464D">
        <w:rPr>
          <w:rFonts w:cs="Arial"/>
          <w:sz w:val="16"/>
          <w:szCs w:val="20"/>
          <w:lang w:val="pt-BR"/>
        </w:rPr>
        <w:t xml:space="preserve">tado antes de </w:t>
      </w:r>
      <w:r w:rsidR="00737270" w:rsidRPr="00D5464D">
        <w:rPr>
          <w:rFonts w:cs="Arial"/>
          <w:sz w:val="16"/>
          <w:szCs w:val="20"/>
          <w:lang w:val="pt-BR"/>
        </w:rPr>
        <w:t>chegar</w:t>
      </w:r>
      <w:r w:rsidR="00684409" w:rsidRPr="00D5464D">
        <w:rPr>
          <w:rFonts w:cs="Arial"/>
          <w:sz w:val="16"/>
          <w:szCs w:val="20"/>
          <w:lang w:val="pt-BR"/>
        </w:rPr>
        <w:t>em</w:t>
      </w:r>
      <w:r w:rsidRPr="00D5464D">
        <w:rPr>
          <w:rFonts w:cs="Arial"/>
          <w:sz w:val="16"/>
          <w:szCs w:val="20"/>
          <w:lang w:val="pt-BR"/>
        </w:rPr>
        <w:t xml:space="preserve"> ao </w:t>
      </w:r>
      <w:r w:rsidR="0003391C" w:rsidRPr="00D5464D">
        <w:rPr>
          <w:rFonts w:cs="Arial"/>
          <w:sz w:val="16"/>
          <w:szCs w:val="20"/>
          <w:lang w:val="pt-BR"/>
        </w:rPr>
        <w:t xml:space="preserve">local de </w:t>
      </w:r>
      <w:r w:rsidR="00E045D9" w:rsidRPr="00D5464D">
        <w:rPr>
          <w:rFonts w:cs="Arial"/>
          <w:sz w:val="16"/>
          <w:szCs w:val="20"/>
          <w:lang w:val="pt-BR"/>
        </w:rPr>
        <w:t>trabalho</w:t>
      </w:r>
      <w:r w:rsidR="0003391C" w:rsidRPr="00D5464D">
        <w:rPr>
          <w:rFonts w:cs="Arial"/>
          <w:sz w:val="16"/>
          <w:szCs w:val="20"/>
          <w:lang w:val="pt-BR"/>
        </w:rPr>
        <w:t xml:space="preserve"> [...] </w:t>
      </w:r>
    </w:p>
    <w:p w14:paraId="7AC1EDE0" w14:textId="77777777" w:rsidR="0003391C" w:rsidRPr="00D5464D" w:rsidRDefault="0003391C" w:rsidP="00140440">
      <w:pPr>
        <w:autoSpaceDE w:val="0"/>
        <w:autoSpaceDN w:val="0"/>
        <w:adjustRightInd w:val="0"/>
        <w:ind w:left="720" w:right="720"/>
        <w:jc w:val="both"/>
        <w:rPr>
          <w:rFonts w:cs="Arial"/>
          <w:sz w:val="16"/>
          <w:szCs w:val="20"/>
          <w:lang w:val="pt-BR"/>
        </w:rPr>
      </w:pPr>
    </w:p>
    <w:p w14:paraId="7CCFAD0C" w14:textId="6C3795BA" w:rsidR="0003391C" w:rsidRPr="00D5464D" w:rsidRDefault="00684409" w:rsidP="00140440">
      <w:pPr>
        <w:autoSpaceDE w:val="0"/>
        <w:autoSpaceDN w:val="0"/>
        <w:adjustRightInd w:val="0"/>
        <w:ind w:left="720" w:right="720"/>
        <w:jc w:val="both"/>
        <w:rPr>
          <w:rFonts w:cs="Arial"/>
          <w:sz w:val="16"/>
          <w:szCs w:val="20"/>
          <w:lang w:val="pt-BR"/>
        </w:rPr>
      </w:pPr>
      <w:r w:rsidRPr="00D5464D">
        <w:rPr>
          <w:rFonts w:cs="Arial"/>
          <w:sz w:val="16"/>
          <w:szCs w:val="20"/>
          <w:lang w:val="pt-BR"/>
        </w:rPr>
        <w:t>Ao chegarem na</w:t>
      </w:r>
      <w:r w:rsidR="00470ADC" w:rsidRPr="00D5464D">
        <w:rPr>
          <w:rFonts w:cs="Arial"/>
          <w:sz w:val="16"/>
          <w:szCs w:val="20"/>
          <w:lang w:val="pt-BR"/>
        </w:rPr>
        <w:t xml:space="preserve"> </w:t>
      </w:r>
      <w:r w:rsidR="00D809F0" w:rsidRPr="00D5464D">
        <w:rPr>
          <w:rFonts w:cs="Arial"/>
          <w:sz w:val="16"/>
          <w:szCs w:val="20"/>
          <w:lang w:val="pt-BR"/>
        </w:rPr>
        <w:t>fazenda</w:t>
      </w:r>
      <w:r w:rsidR="0003391C" w:rsidRPr="00D5464D">
        <w:rPr>
          <w:rFonts w:cs="Arial"/>
          <w:sz w:val="16"/>
          <w:szCs w:val="20"/>
          <w:lang w:val="pt-BR"/>
        </w:rPr>
        <w:t>,</w:t>
      </w:r>
      <w:r w:rsidR="002C330E" w:rsidRPr="00D5464D">
        <w:rPr>
          <w:rFonts w:cs="Arial"/>
          <w:sz w:val="16"/>
          <w:szCs w:val="20"/>
          <w:lang w:val="pt-BR"/>
        </w:rPr>
        <w:t xml:space="preserve"> os </w:t>
      </w:r>
      <w:r w:rsidR="00E045D9" w:rsidRPr="00D5464D">
        <w:rPr>
          <w:rFonts w:cs="Arial"/>
          <w:sz w:val="16"/>
          <w:szCs w:val="20"/>
          <w:lang w:val="pt-BR"/>
        </w:rPr>
        <w:t>trabalhadores</w:t>
      </w:r>
      <w:r w:rsidR="002C330E" w:rsidRPr="00D5464D">
        <w:rPr>
          <w:rFonts w:cs="Arial"/>
          <w:sz w:val="16"/>
          <w:szCs w:val="20"/>
          <w:lang w:val="pt-BR"/>
        </w:rPr>
        <w:t xml:space="preserve"> são </w:t>
      </w:r>
      <w:r w:rsidR="0003391C" w:rsidRPr="00D5464D">
        <w:rPr>
          <w:rFonts w:cs="Arial"/>
          <w:sz w:val="16"/>
          <w:szCs w:val="20"/>
          <w:lang w:val="pt-BR"/>
        </w:rPr>
        <w:t>alojados</w:t>
      </w:r>
      <w:r w:rsidR="00470ADC" w:rsidRPr="00D5464D">
        <w:rPr>
          <w:rFonts w:cs="Arial"/>
          <w:sz w:val="16"/>
          <w:szCs w:val="20"/>
          <w:lang w:val="pt-BR"/>
        </w:rPr>
        <w:t xml:space="preserve"> em </w:t>
      </w:r>
      <w:r w:rsidRPr="00D5464D">
        <w:rPr>
          <w:rFonts w:cs="Arial"/>
          <w:sz w:val="16"/>
          <w:szCs w:val="20"/>
          <w:lang w:val="pt-BR"/>
        </w:rPr>
        <w:t xml:space="preserve">barracões </w:t>
      </w:r>
      <w:r w:rsidR="00350187" w:rsidRPr="00D5464D">
        <w:rPr>
          <w:rFonts w:cs="Arial"/>
          <w:sz w:val="16"/>
          <w:szCs w:val="20"/>
          <w:lang w:val="pt-BR"/>
        </w:rPr>
        <w:t>cobert</w:t>
      </w:r>
      <w:r w:rsidRPr="00D5464D">
        <w:rPr>
          <w:rFonts w:cs="Arial"/>
          <w:sz w:val="16"/>
          <w:szCs w:val="20"/>
          <w:lang w:val="pt-BR"/>
        </w:rPr>
        <w:t>o</w:t>
      </w:r>
      <w:r w:rsidR="0003391C" w:rsidRPr="00D5464D">
        <w:rPr>
          <w:rFonts w:cs="Arial"/>
          <w:sz w:val="16"/>
          <w:szCs w:val="20"/>
          <w:lang w:val="pt-BR"/>
        </w:rPr>
        <w:t>s de plástico</w:t>
      </w:r>
      <w:r w:rsidR="00E045D9" w:rsidRPr="00D5464D">
        <w:rPr>
          <w:rFonts w:cs="Arial"/>
          <w:sz w:val="16"/>
          <w:szCs w:val="20"/>
          <w:lang w:val="pt-BR"/>
        </w:rPr>
        <w:t xml:space="preserve"> e </w:t>
      </w:r>
      <w:r w:rsidR="0003391C" w:rsidRPr="00D5464D">
        <w:rPr>
          <w:rFonts w:cs="Arial"/>
          <w:sz w:val="16"/>
          <w:szCs w:val="20"/>
          <w:lang w:val="pt-BR"/>
        </w:rPr>
        <w:t>pa</w:t>
      </w:r>
      <w:r w:rsidRPr="00D5464D">
        <w:rPr>
          <w:rFonts w:cs="Arial"/>
          <w:sz w:val="16"/>
          <w:szCs w:val="20"/>
          <w:lang w:val="pt-BR"/>
        </w:rPr>
        <w:t>lh</w:t>
      </w:r>
      <w:r w:rsidR="0003391C" w:rsidRPr="00D5464D">
        <w:rPr>
          <w:rFonts w:cs="Arial"/>
          <w:sz w:val="16"/>
          <w:szCs w:val="20"/>
          <w:lang w:val="pt-BR"/>
        </w:rPr>
        <w:t>a,</w:t>
      </w:r>
      <w:r w:rsidR="002C330E" w:rsidRPr="00D5464D">
        <w:rPr>
          <w:rFonts w:cs="Arial"/>
          <w:sz w:val="16"/>
          <w:szCs w:val="20"/>
          <w:lang w:val="pt-BR"/>
        </w:rPr>
        <w:t xml:space="preserve"> sem proteção</w:t>
      </w:r>
      <w:r w:rsidR="0003391C" w:rsidRPr="00D5464D">
        <w:rPr>
          <w:rFonts w:cs="Arial"/>
          <w:sz w:val="16"/>
          <w:szCs w:val="20"/>
          <w:lang w:val="pt-BR"/>
        </w:rPr>
        <w:t xml:space="preserve"> lateral [...]</w:t>
      </w:r>
      <w:r w:rsidR="00A1358C" w:rsidRPr="00D5464D">
        <w:rPr>
          <w:rFonts w:cs="Arial"/>
          <w:sz w:val="16"/>
          <w:szCs w:val="20"/>
          <w:lang w:val="pt-BR"/>
        </w:rPr>
        <w:t xml:space="preserve"> a água</w:t>
      </w:r>
      <w:r w:rsidR="00230C71" w:rsidRPr="00D5464D">
        <w:rPr>
          <w:rFonts w:cs="Arial"/>
          <w:sz w:val="16"/>
          <w:szCs w:val="20"/>
          <w:lang w:val="pt-BR"/>
        </w:rPr>
        <w:t xml:space="preserve"> </w:t>
      </w:r>
      <w:r w:rsidRPr="00D5464D">
        <w:rPr>
          <w:rFonts w:cs="Arial"/>
          <w:sz w:val="16"/>
          <w:szCs w:val="20"/>
          <w:lang w:val="pt-BR"/>
        </w:rPr>
        <w:t xml:space="preserve">ingerida </w:t>
      </w:r>
      <w:r w:rsidR="0003391C" w:rsidRPr="00D5464D">
        <w:rPr>
          <w:rFonts w:cs="Arial"/>
          <w:sz w:val="16"/>
          <w:szCs w:val="20"/>
          <w:lang w:val="pt-BR"/>
        </w:rPr>
        <w:t xml:space="preserve">[...] </w:t>
      </w:r>
      <w:r w:rsidR="00737270" w:rsidRPr="00D5464D">
        <w:rPr>
          <w:rFonts w:cs="Arial"/>
          <w:sz w:val="16"/>
          <w:szCs w:val="20"/>
          <w:lang w:val="pt-BR"/>
        </w:rPr>
        <w:t>não é</w:t>
      </w:r>
      <w:r w:rsidR="00470ADC" w:rsidRPr="00D5464D">
        <w:rPr>
          <w:rFonts w:cs="Arial"/>
          <w:sz w:val="16"/>
          <w:szCs w:val="20"/>
          <w:lang w:val="pt-BR"/>
        </w:rPr>
        <w:t xml:space="preserve"> </w:t>
      </w:r>
      <w:r w:rsidR="002C330E" w:rsidRPr="00D5464D">
        <w:rPr>
          <w:rFonts w:cs="Arial"/>
          <w:sz w:val="16"/>
          <w:szCs w:val="20"/>
          <w:lang w:val="pt-BR"/>
        </w:rPr>
        <w:t xml:space="preserve">própria </w:t>
      </w:r>
      <w:r w:rsidR="0003391C" w:rsidRPr="00D5464D">
        <w:rPr>
          <w:rFonts w:cs="Arial"/>
          <w:sz w:val="16"/>
          <w:szCs w:val="20"/>
          <w:lang w:val="pt-BR"/>
        </w:rPr>
        <w:t>para consumo humano,</w:t>
      </w:r>
      <w:r w:rsidR="002C330E" w:rsidRPr="00D5464D">
        <w:rPr>
          <w:rFonts w:cs="Arial"/>
          <w:sz w:val="16"/>
          <w:szCs w:val="20"/>
          <w:lang w:val="pt-BR"/>
        </w:rPr>
        <w:t xml:space="preserve"> pois serve </w:t>
      </w:r>
      <w:r w:rsidR="0003391C" w:rsidRPr="00D5464D">
        <w:rPr>
          <w:rFonts w:cs="Arial"/>
          <w:sz w:val="16"/>
          <w:szCs w:val="20"/>
          <w:lang w:val="pt-BR"/>
        </w:rPr>
        <w:t>de local de ba</w:t>
      </w:r>
      <w:r w:rsidR="00350187" w:rsidRPr="00D5464D">
        <w:rPr>
          <w:rFonts w:cs="Arial"/>
          <w:sz w:val="16"/>
          <w:szCs w:val="20"/>
          <w:lang w:val="pt-BR"/>
        </w:rPr>
        <w:t>nh</w:t>
      </w:r>
      <w:r w:rsidR="0003391C" w:rsidRPr="00D5464D">
        <w:rPr>
          <w:rFonts w:cs="Arial"/>
          <w:sz w:val="16"/>
          <w:szCs w:val="20"/>
          <w:lang w:val="pt-BR"/>
        </w:rPr>
        <w:t>o</w:t>
      </w:r>
      <w:r w:rsidR="00E045D9" w:rsidRPr="00D5464D">
        <w:rPr>
          <w:rFonts w:cs="Arial"/>
          <w:sz w:val="16"/>
          <w:szCs w:val="20"/>
          <w:lang w:val="pt-BR"/>
        </w:rPr>
        <w:t xml:space="preserve"> e </w:t>
      </w:r>
      <w:r w:rsidR="0003391C" w:rsidRPr="00D5464D">
        <w:rPr>
          <w:rFonts w:cs="Arial"/>
          <w:sz w:val="16"/>
          <w:szCs w:val="20"/>
          <w:lang w:val="pt-BR"/>
        </w:rPr>
        <w:t>bebed</w:t>
      </w:r>
      <w:r w:rsidRPr="00D5464D">
        <w:rPr>
          <w:rFonts w:cs="Arial"/>
          <w:sz w:val="16"/>
          <w:szCs w:val="20"/>
          <w:lang w:val="pt-BR"/>
        </w:rPr>
        <w:t>ou</w:t>
      </w:r>
      <w:r w:rsidR="0003391C" w:rsidRPr="00D5464D">
        <w:rPr>
          <w:rFonts w:cs="Arial"/>
          <w:sz w:val="16"/>
          <w:szCs w:val="20"/>
          <w:lang w:val="pt-BR"/>
        </w:rPr>
        <w:t xml:space="preserve">ro </w:t>
      </w:r>
      <w:r w:rsidRPr="00D5464D">
        <w:rPr>
          <w:rFonts w:cs="Arial"/>
          <w:sz w:val="16"/>
          <w:szCs w:val="20"/>
          <w:lang w:val="pt-BR"/>
        </w:rPr>
        <w:t xml:space="preserve">para os </w:t>
      </w:r>
      <w:r w:rsidR="00E045D9" w:rsidRPr="00D5464D">
        <w:rPr>
          <w:rFonts w:cs="Arial"/>
          <w:sz w:val="16"/>
          <w:szCs w:val="20"/>
          <w:lang w:val="pt-BR"/>
        </w:rPr>
        <w:t>animais</w:t>
      </w:r>
      <w:r w:rsidR="00470ADC" w:rsidRPr="00D5464D">
        <w:rPr>
          <w:rFonts w:cs="Arial"/>
          <w:sz w:val="16"/>
          <w:szCs w:val="20"/>
          <w:lang w:val="pt-BR"/>
        </w:rPr>
        <w:t xml:space="preserve"> da </w:t>
      </w:r>
      <w:r w:rsidRPr="00D5464D">
        <w:rPr>
          <w:rFonts w:cs="Arial"/>
          <w:sz w:val="16"/>
          <w:szCs w:val="20"/>
          <w:lang w:val="pt-BR"/>
        </w:rPr>
        <w:t>F</w:t>
      </w:r>
      <w:r w:rsidR="00D809F0" w:rsidRPr="00D5464D">
        <w:rPr>
          <w:rFonts w:cs="Arial"/>
          <w:sz w:val="16"/>
          <w:szCs w:val="20"/>
          <w:lang w:val="pt-BR"/>
        </w:rPr>
        <w:t>azenda</w:t>
      </w:r>
      <w:r w:rsidR="0003391C" w:rsidRPr="00D5464D">
        <w:rPr>
          <w:rFonts w:cs="Arial"/>
          <w:sz w:val="16"/>
          <w:szCs w:val="20"/>
          <w:lang w:val="pt-BR"/>
        </w:rPr>
        <w:t xml:space="preserve"> [...]</w:t>
      </w:r>
      <w:r w:rsidR="002C330E" w:rsidRPr="00D5464D">
        <w:rPr>
          <w:rFonts w:cs="Arial"/>
          <w:sz w:val="16"/>
          <w:szCs w:val="20"/>
          <w:lang w:val="pt-BR"/>
        </w:rPr>
        <w:t xml:space="preserve"> a </w:t>
      </w:r>
      <w:r w:rsidR="0003391C" w:rsidRPr="00D5464D">
        <w:rPr>
          <w:rFonts w:cs="Arial"/>
          <w:sz w:val="16"/>
          <w:szCs w:val="20"/>
          <w:lang w:val="pt-BR"/>
        </w:rPr>
        <w:t>alimenta</w:t>
      </w:r>
      <w:r w:rsidR="00470ADC" w:rsidRPr="00D5464D">
        <w:rPr>
          <w:rFonts w:cs="Arial"/>
          <w:sz w:val="16"/>
          <w:szCs w:val="20"/>
          <w:lang w:val="pt-BR"/>
        </w:rPr>
        <w:t>ção</w:t>
      </w:r>
      <w:r w:rsidR="0003391C" w:rsidRPr="00D5464D">
        <w:rPr>
          <w:rFonts w:cs="Arial"/>
          <w:sz w:val="16"/>
          <w:szCs w:val="20"/>
          <w:lang w:val="pt-BR"/>
        </w:rPr>
        <w:t>, como</w:t>
      </w:r>
      <w:r w:rsidR="002C330E" w:rsidRPr="00D5464D">
        <w:rPr>
          <w:rFonts w:cs="Arial"/>
          <w:sz w:val="16"/>
          <w:szCs w:val="20"/>
          <w:lang w:val="pt-BR"/>
        </w:rPr>
        <w:t xml:space="preserve"> a </w:t>
      </w:r>
      <w:r w:rsidR="0003391C" w:rsidRPr="00D5464D">
        <w:rPr>
          <w:rFonts w:cs="Arial"/>
          <w:sz w:val="16"/>
          <w:szCs w:val="20"/>
          <w:lang w:val="pt-BR"/>
        </w:rPr>
        <w:t xml:space="preserve">carne </w:t>
      </w:r>
      <w:r w:rsidR="00470ADC" w:rsidRPr="00D5464D">
        <w:rPr>
          <w:rFonts w:cs="Arial"/>
          <w:sz w:val="16"/>
          <w:szCs w:val="20"/>
          <w:lang w:val="pt-BR"/>
        </w:rPr>
        <w:t>expost</w:t>
      </w:r>
      <w:r w:rsidR="0003391C" w:rsidRPr="00D5464D">
        <w:rPr>
          <w:rFonts w:cs="Arial"/>
          <w:sz w:val="16"/>
          <w:szCs w:val="20"/>
          <w:lang w:val="pt-BR"/>
        </w:rPr>
        <w:t>a</w:t>
      </w:r>
      <w:r w:rsidR="00E045D9" w:rsidRPr="00D5464D">
        <w:rPr>
          <w:rFonts w:cs="Arial"/>
          <w:sz w:val="16"/>
          <w:szCs w:val="20"/>
          <w:lang w:val="pt-BR"/>
        </w:rPr>
        <w:t xml:space="preserve"> aos </w:t>
      </w:r>
      <w:r w:rsidR="00A1358C" w:rsidRPr="00D5464D">
        <w:rPr>
          <w:rFonts w:cs="Arial"/>
          <w:sz w:val="16"/>
          <w:szCs w:val="20"/>
          <w:lang w:val="pt-BR"/>
        </w:rPr>
        <w:t>inseto</w:t>
      </w:r>
      <w:r w:rsidR="0003391C" w:rsidRPr="00D5464D">
        <w:rPr>
          <w:rFonts w:cs="Arial"/>
          <w:sz w:val="16"/>
          <w:szCs w:val="20"/>
          <w:lang w:val="pt-BR"/>
        </w:rPr>
        <w:t>s</w:t>
      </w:r>
      <w:r w:rsidR="00E045D9" w:rsidRPr="00D5464D">
        <w:rPr>
          <w:rFonts w:cs="Arial"/>
          <w:sz w:val="16"/>
          <w:szCs w:val="20"/>
          <w:lang w:val="pt-BR"/>
        </w:rPr>
        <w:t xml:space="preserve"> e </w:t>
      </w:r>
      <w:r w:rsidRPr="00D5464D">
        <w:rPr>
          <w:rFonts w:cs="Arial"/>
          <w:sz w:val="16"/>
          <w:szCs w:val="20"/>
          <w:lang w:val="pt-BR"/>
        </w:rPr>
        <w:t xml:space="preserve">intempéries, </w:t>
      </w:r>
      <w:r w:rsidR="00470ADC" w:rsidRPr="00D5464D">
        <w:rPr>
          <w:rFonts w:cs="Arial"/>
          <w:sz w:val="16"/>
          <w:szCs w:val="20"/>
          <w:lang w:val="pt-BR"/>
        </w:rPr>
        <w:t xml:space="preserve">é </w:t>
      </w:r>
      <w:r w:rsidRPr="00D5464D">
        <w:rPr>
          <w:rFonts w:cs="Arial"/>
          <w:sz w:val="16"/>
          <w:szCs w:val="20"/>
          <w:lang w:val="pt-BR"/>
        </w:rPr>
        <w:t>fornecida [</w:t>
      </w:r>
      <w:r w:rsidR="0003391C" w:rsidRPr="00D5464D">
        <w:rPr>
          <w:rFonts w:cs="Arial"/>
          <w:sz w:val="16"/>
          <w:szCs w:val="20"/>
          <w:lang w:val="pt-BR"/>
        </w:rPr>
        <w:t xml:space="preserve">por </w:t>
      </w:r>
      <w:r w:rsidRPr="00D5464D">
        <w:rPr>
          <w:rFonts w:cs="Arial"/>
          <w:sz w:val="16"/>
          <w:szCs w:val="20"/>
          <w:lang w:val="pt-BR"/>
        </w:rPr>
        <w:t>um dos</w:t>
      </w:r>
      <w:r w:rsidR="005504F7" w:rsidRPr="00D5464D">
        <w:rPr>
          <w:rFonts w:cs="Arial"/>
          <w:sz w:val="16"/>
          <w:szCs w:val="20"/>
          <w:lang w:val="pt-BR"/>
        </w:rPr>
        <w:t xml:space="preserve">] </w:t>
      </w:r>
      <w:r w:rsidR="0003391C" w:rsidRPr="00D5464D">
        <w:rPr>
          <w:rFonts w:cs="Arial"/>
          <w:sz w:val="16"/>
          <w:szCs w:val="20"/>
          <w:lang w:val="pt-BR"/>
        </w:rPr>
        <w:t>denunciado</w:t>
      </w:r>
      <w:r w:rsidR="005504F7" w:rsidRPr="00D5464D">
        <w:rPr>
          <w:rFonts w:cs="Arial"/>
          <w:sz w:val="16"/>
          <w:szCs w:val="20"/>
          <w:lang w:val="pt-BR"/>
        </w:rPr>
        <w:t>[s]</w:t>
      </w:r>
      <w:r w:rsidR="0003391C" w:rsidRPr="00D5464D">
        <w:rPr>
          <w:rFonts w:cs="Arial"/>
          <w:sz w:val="16"/>
          <w:szCs w:val="20"/>
          <w:lang w:val="pt-BR"/>
        </w:rPr>
        <w:t xml:space="preserve"> [...]</w:t>
      </w:r>
      <w:r w:rsidR="00470ADC" w:rsidRPr="00D5464D">
        <w:rPr>
          <w:rFonts w:cs="Arial"/>
          <w:sz w:val="16"/>
          <w:szCs w:val="20"/>
          <w:lang w:val="pt-BR"/>
        </w:rPr>
        <w:t xml:space="preserve"> </w:t>
      </w:r>
      <w:r w:rsidRPr="00D5464D">
        <w:rPr>
          <w:rFonts w:cs="Arial"/>
          <w:sz w:val="16"/>
          <w:szCs w:val="20"/>
          <w:lang w:val="pt-BR"/>
        </w:rPr>
        <w:t xml:space="preserve">sob </w:t>
      </w:r>
      <w:r w:rsidR="00470ADC" w:rsidRPr="00D5464D">
        <w:rPr>
          <w:rFonts w:cs="Arial"/>
          <w:sz w:val="16"/>
          <w:szCs w:val="20"/>
          <w:lang w:val="pt-BR"/>
        </w:rPr>
        <w:t xml:space="preserve">o </w:t>
      </w:r>
      <w:r w:rsidR="0003391C" w:rsidRPr="00D5464D">
        <w:rPr>
          <w:rFonts w:cs="Arial"/>
          <w:sz w:val="16"/>
          <w:szCs w:val="20"/>
          <w:lang w:val="pt-BR"/>
        </w:rPr>
        <w:t xml:space="preserve">sistema de </w:t>
      </w:r>
      <w:r w:rsidR="00190FF4" w:rsidRPr="00D5464D">
        <w:rPr>
          <w:rFonts w:cs="Arial"/>
          <w:iCs/>
          <w:sz w:val="16"/>
          <w:szCs w:val="20"/>
          <w:lang w:val="pt-BR"/>
        </w:rPr>
        <w:t>barracã</w:t>
      </w:r>
      <w:r w:rsidR="0003391C" w:rsidRPr="00D5464D">
        <w:rPr>
          <w:rFonts w:cs="Arial"/>
          <w:iCs/>
          <w:sz w:val="16"/>
          <w:szCs w:val="20"/>
          <w:lang w:val="pt-BR"/>
        </w:rPr>
        <w:t>o</w:t>
      </w:r>
      <w:r w:rsidR="00E045D9" w:rsidRPr="00D5464D">
        <w:rPr>
          <w:rFonts w:cs="Arial"/>
          <w:i/>
          <w:iCs/>
          <w:sz w:val="16"/>
          <w:szCs w:val="20"/>
          <w:lang w:val="pt-BR"/>
        </w:rPr>
        <w:t xml:space="preserve"> </w:t>
      </w:r>
      <w:r w:rsidR="00E045D9" w:rsidRPr="00D5464D">
        <w:rPr>
          <w:rFonts w:cs="Arial"/>
          <w:iCs/>
          <w:sz w:val="16"/>
          <w:szCs w:val="20"/>
          <w:lang w:val="pt-BR"/>
        </w:rPr>
        <w:t>e</w:t>
      </w:r>
      <w:r w:rsidR="00E045D9" w:rsidRPr="00D5464D">
        <w:rPr>
          <w:rFonts w:cs="Arial"/>
          <w:i/>
          <w:iCs/>
          <w:sz w:val="16"/>
          <w:szCs w:val="20"/>
          <w:lang w:val="pt-BR"/>
        </w:rPr>
        <w:t xml:space="preserve"> </w:t>
      </w:r>
      <w:r w:rsidR="0003391C" w:rsidRPr="00D5464D">
        <w:rPr>
          <w:rFonts w:cs="Arial"/>
          <w:sz w:val="16"/>
          <w:szCs w:val="20"/>
          <w:lang w:val="pt-BR"/>
        </w:rPr>
        <w:t>[...] interme</w:t>
      </w:r>
      <w:r w:rsidR="00470ADC" w:rsidRPr="00D5464D">
        <w:rPr>
          <w:rFonts w:cs="Arial"/>
          <w:sz w:val="16"/>
          <w:szCs w:val="20"/>
          <w:lang w:val="pt-BR"/>
        </w:rPr>
        <w:t>di</w:t>
      </w:r>
      <w:r w:rsidRPr="00D5464D">
        <w:rPr>
          <w:rFonts w:cs="Arial"/>
          <w:sz w:val="16"/>
          <w:szCs w:val="20"/>
          <w:lang w:val="pt-BR"/>
        </w:rPr>
        <w:t>ado pel</w:t>
      </w:r>
      <w:r w:rsidR="00470ADC" w:rsidRPr="00D5464D">
        <w:rPr>
          <w:rFonts w:cs="Arial"/>
          <w:sz w:val="16"/>
          <w:szCs w:val="20"/>
          <w:lang w:val="pt-BR"/>
        </w:rPr>
        <w:t xml:space="preserve">a </w:t>
      </w:r>
      <w:r w:rsidRPr="00D5464D">
        <w:rPr>
          <w:rFonts w:cs="Arial"/>
          <w:sz w:val="16"/>
          <w:szCs w:val="20"/>
          <w:lang w:val="pt-BR"/>
        </w:rPr>
        <w:t>F</w:t>
      </w:r>
      <w:r w:rsidR="00D809F0" w:rsidRPr="00D5464D">
        <w:rPr>
          <w:rFonts w:cs="Arial"/>
          <w:sz w:val="16"/>
          <w:szCs w:val="20"/>
          <w:lang w:val="pt-BR"/>
        </w:rPr>
        <w:t>azenda</w:t>
      </w:r>
      <w:r w:rsidR="00470ADC" w:rsidRPr="00D5464D">
        <w:rPr>
          <w:rFonts w:cs="Arial"/>
          <w:sz w:val="16"/>
          <w:szCs w:val="20"/>
          <w:lang w:val="pt-BR"/>
        </w:rPr>
        <w:t xml:space="preserve"> através</w:t>
      </w:r>
      <w:r w:rsidR="0003391C" w:rsidRPr="00D5464D">
        <w:rPr>
          <w:rFonts w:cs="Arial"/>
          <w:sz w:val="16"/>
          <w:szCs w:val="20"/>
          <w:lang w:val="pt-BR"/>
        </w:rPr>
        <w:t xml:space="preserve"> </w:t>
      </w:r>
      <w:r w:rsidR="00470ADC" w:rsidRPr="00D5464D">
        <w:rPr>
          <w:rFonts w:cs="Arial"/>
          <w:sz w:val="16"/>
          <w:szCs w:val="20"/>
          <w:lang w:val="pt-BR"/>
        </w:rPr>
        <w:t xml:space="preserve">do </w:t>
      </w:r>
      <w:r w:rsidR="0003391C" w:rsidRPr="00D5464D">
        <w:rPr>
          <w:rFonts w:cs="Arial"/>
          <w:sz w:val="16"/>
          <w:szCs w:val="20"/>
          <w:lang w:val="pt-BR"/>
        </w:rPr>
        <w:t>gerente [...] Ant</w:t>
      </w:r>
      <w:r w:rsidR="007F4DCE" w:rsidRPr="00D5464D">
        <w:rPr>
          <w:rFonts w:cs="Arial"/>
          <w:sz w:val="16"/>
          <w:szCs w:val="20"/>
          <w:lang w:val="pt-BR"/>
        </w:rPr>
        <w:t>ô</w:t>
      </w:r>
      <w:r w:rsidR="0003391C" w:rsidRPr="00D5464D">
        <w:rPr>
          <w:rFonts w:cs="Arial"/>
          <w:sz w:val="16"/>
          <w:szCs w:val="20"/>
          <w:lang w:val="pt-BR"/>
        </w:rPr>
        <w:t>nio Alves Vieira.</w:t>
      </w:r>
    </w:p>
    <w:p w14:paraId="462E9D2B" w14:textId="77777777" w:rsidR="0003391C" w:rsidRPr="00D5464D" w:rsidRDefault="0003391C" w:rsidP="00140440">
      <w:pPr>
        <w:autoSpaceDE w:val="0"/>
        <w:autoSpaceDN w:val="0"/>
        <w:adjustRightInd w:val="0"/>
        <w:ind w:left="720" w:right="720"/>
        <w:jc w:val="both"/>
        <w:rPr>
          <w:rFonts w:cs="Arial"/>
          <w:sz w:val="16"/>
          <w:szCs w:val="20"/>
          <w:lang w:val="pt-BR"/>
        </w:rPr>
      </w:pPr>
    </w:p>
    <w:p w14:paraId="0550658C" w14:textId="2B77EF8B" w:rsidR="0003391C" w:rsidRPr="00D5464D" w:rsidRDefault="00E045D9" w:rsidP="00140440">
      <w:pPr>
        <w:autoSpaceDE w:val="0"/>
        <w:autoSpaceDN w:val="0"/>
        <w:adjustRightInd w:val="0"/>
        <w:ind w:left="720" w:right="720"/>
        <w:jc w:val="both"/>
        <w:rPr>
          <w:rFonts w:cs="Arial"/>
          <w:sz w:val="16"/>
          <w:szCs w:val="20"/>
          <w:lang w:val="pt-BR"/>
        </w:rPr>
      </w:pPr>
      <w:r w:rsidRPr="00D5464D">
        <w:rPr>
          <w:rFonts w:cs="Arial"/>
          <w:sz w:val="16"/>
          <w:szCs w:val="20"/>
          <w:lang w:val="pt-BR"/>
        </w:rPr>
        <w:t>Vários</w:t>
      </w:r>
      <w:r w:rsidR="0003391C" w:rsidRPr="00D5464D">
        <w:rPr>
          <w:rFonts w:cs="Arial"/>
          <w:sz w:val="16"/>
          <w:szCs w:val="20"/>
          <w:lang w:val="pt-BR"/>
        </w:rPr>
        <w:t xml:space="preserve"> </w:t>
      </w:r>
      <w:r w:rsidRPr="00D5464D">
        <w:rPr>
          <w:rFonts w:cs="Arial"/>
          <w:sz w:val="16"/>
          <w:szCs w:val="20"/>
          <w:lang w:val="pt-BR"/>
        </w:rPr>
        <w:t>trabalhadores</w:t>
      </w:r>
      <w:r w:rsidR="0003391C" w:rsidRPr="00D5464D">
        <w:rPr>
          <w:rFonts w:cs="Arial"/>
          <w:sz w:val="16"/>
          <w:szCs w:val="20"/>
          <w:lang w:val="pt-BR"/>
        </w:rPr>
        <w:t xml:space="preserve"> [...] declar</w:t>
      </w:r>
      <w:r w:rsidR="00350187" w:rsidRPr="00D5464D">
        <w:rPr>
          <w:rFonts w:cs="Arial"/>
          <w:sz w:val="16"/>
          <w:szCs w:val="20"/>
          <w:lang w:val="pt-BR"/>
        </w:rPr>
        <w:t xml:space="preserve">aram </w:t>
      </w:r>
      <w:r w:rsidR="0003391C" w:rsidRPr="00D5464D">
        <w:rPr>
          <w:rFonts w:cs="Arial"/>
          <w:sz w:val="16"/>
          <w:szCs w:val="20"/>
          <w:lang w:val="pt-BR"/>
        </w:rPr>
        <w:t xml:space="preserve">que </w:t>
      </w:r>
      <w:r w:rsidR="003D1DA3" w:rsidRPr="00D5464D">
        <w:rPr>
          <w:rFonts w:cs="Arial"/>
          <w:sz w:val="16"/>
          <w:szCs w:val="20"/>
          <w:lang w:val="pt-BR"/>
        </w:rPr>
        <w:t xml:space="preserve">estarem </w:t>
      </w:r>
      <w:r w:rsidR="00737270" w:rsidRPr="00D5464D">
        <w:rPr>
          <w:rFonts w:cs="Arial"/>
          <w:sz w:val="16"/>
          <w:szCs w:val="20"/>
          <w:lang w:val="pt-BR"/>
        </w:rPr>
        <w:t>proibid</w:t>
      </w:r>
      <w:r w:rsidR="0003391C" w:rsidRPr="00D5464D">
        <w:rPr>
          <w:rFonts w:cs="Arial"/>
          <w:sz w:val="16"/>
          <w:szCs w:val="20"/>
          <w:lang w:val="pt-BR"/>
        </w:rPr>
        <w:t>o</w:t>
      </w:r>
      <w:r w:rsidR="003D1DA3" w:rsidRPr="00D5464D">
        <w:rPr>
          <w:rFonts w:cs="Arial"/>
          <w:sz w:val="16"/>
          <w:szCs w:val="20"/>
          <w:lang w:val="pt-BR"/>
        </w:rPr>
        <w:t>s de</w:t>
      </w:r>
      <w:r w:rsidR="0003391C" w:rsidRPr="00D5464D">
        <w:rPr>
          <w:rFonts w:cs="Arial"/>
          <w:sz w:val="16"/>
          <w:szCs w:val="20"/>
          <w:lang w:val="pt-BR"/>
        </w:rPr>
        <w:t xml:space="preserve"> </w:t>
      </w:r>
      <w:r w:rsidR="003D1DA3" w:rsidRPr="00D5464D">
        <w:rPr>
          <w:rFonts w:cs="Arial"/>
          <w:sz w:val="16"/>
          <w:szCs w:val="20"/>
          <w:lang w:val="pt-BR"/>
        </w:rPr>
        <w:t xml:space="preserve">saírem </w:t>
      </w:r>
      <w:r w:rsidR="00470ADC" w:rsidRPr="00D5464D">
        <w:rPr>
          <w:rFonts w:cs="Arial"/>
          <w:sz w:val="16"/>
          <w:szCs w:val="20"/>
          <w:lang w:val="pt-BR"/>
        </w:rPr>
        <w:t xml:space="preserve">da </w:t>
      </w:r>
      <w:r w:rsidR="003D1DA3" w:rsidRPr="00D5464D">
        <w:rPr>
          <w:rFonts w:cs="Arial"/>
          <w:sz w:val="16"/>
          <w:szCs w:val="20"/>
          <w:lang w:val="pt-BR"/>
        </w:rPr>
        <w:t>F</w:t>
      </w:r>
      <w:r w:rsidR="00D809F0" w:rsidRPr="00D5464D">
        <w:rPr>
          <w:rFonts w:cs="Arial"/>
          <w:sz w:val="16"/>
          <w:szCs w:val="20"/>
          <w:lang w:val="pt-BR"/>
        </w:rPr>
        <w:t>azenda</w:t>
      </w:r>
      <w:r w:rsidR="0003391C" w:rsidRPr="00D5464D">
        <w:rPr>
          <w:rFonts w:cs="Arial"/>
          <w:sz w:val="16"/>
          <w:szCs w:val="20"/>
          <w:lang w:val="pt-BR"/>
        </w:rPr>
        <w:t xml:space="preserve"> </w:t>
      </w:r>
      <w:r w:rsidR="002C330E" w:rsidRPr="00D5464D">
        <w:rPr>
          <w:rFonts w:cs="Arial"/>
          <w:sz w:val="16"/>
          <w:szCs w:val="20"/>
          <w:lang w:val="pt-BR"/>
        </w:rPr>
        <w:t>enquanto</w:t>
      </w:r>
      <w:r w:rsidR="0003391C" w:rsidRPr="00D5464D">
        <w:rPr>
          <w:rFonts w:cs="Arial"/>
          <w:sz w:val="16"/>
          <w:szCs w:val="20"/>
          <w:lang w:val="pt-BR"/>
        </w:rPr>
        <w:t xml:space="preserve"> </w:t>
      </w:r>
      <w:r w:rsidR="003D1DA3" w:rsidRPr="00D5464D">
        <w:rPr>
          <w:rFonts w:cs="Arial"/>
          <w:sz w:val="16"/>
          <w:szCs w:val="20"/>
          <w:lang w:val="pt-BR"/>
        </w:rPr>
        <w:t>houver débito</w:t>
      </w:r>
      <w:r w:rsidR="00470ADC" w:rsidRPr="00D5464D">
        <w:rPr>
          <w:rFonts w:cs="Arial"/>
          <w:sz w:val="16"/>
          <w:szCs w:val="20"/>
          <w:lang w:val="pt-BR"/>
        </w:rPr>
        <w:t xml:space="preserve"> sob </w:t>
      </w:r>
      <w:r w:rsidR="003D1DA3" w:rsidRPr="00D5464D">
        <w:rPr>
          <w:rFonts w:cs="Arial"/>
          <w:sz w:val="16"/>
          <w:szCs w:val="20"/>
          <w:lang w:val="pt-BR"/>
        </w:rPr>
        <w:t xml:space="preserve">pena de </w:t>
      </w:r>
      <w:r w:rsidR="00470ADC" w:rsidRPr="00D5464D">
        <w:rPr>
          <w:rFonts w:cs="Arial"/>
          <w:sz w:val="16"/>
          <w:szCs w:val="20"/>
          <w:lang w:val="pt-BR"/>
        </w:rPr>
        <w:t>ameaça</w:t>
      </w:r>
      <w:r w:rsidR="0003391C" w:rsidRPr="00D5464D">
        <w:rPr>
          <w:rFonts w:cs="Arial"/>
          <w:sz w:val="16"/>
          <w:szCs w:val="20"/>
          <w:lang w:val="pt-BR"/>
        </w:rPr>
        <w:t xml:space="preserve"> de </w:t>
      </w:r>
      <w:r w:rsidR="002C330E" w:rsidRPr="00D5464D">
        <w:rPr>
          <w:rFonts w:cs="Arial"/>
          <w:sz w:val="16"/>
          <w:szCs w:val="20"/>
          <w:lang w:val="pt-BR"/>
        </w:rPr>
        <w:t>morte</w:t>
      </w:r>
      <w:r w:rsidR="0003391C" w:rsidRPr="00D5464D">
        <w:rPr>
          <w:rFonts w:cs="Arial"/>
          <w:sz w:val="16"/>
          <w:szCs w:val="20"/>
          <w:lang w:val="pt-BR"/>
        </w:rPr>
        <w:t xml:space="preserve"> [...]</w:t>
      </w:r>
      <w:r w:rsidR="00470ADC" w:rsidRPr="00D5464D">
        <w:rPr>
          <w:rFonts w:cs="Arial"/>
          <w:sz w:val="16"/>
          <w:szCs w:val="20"/>
          <w:lang w:val="pt-BR"/>
        </w:rPr>
        <w:t xml:space="preserve"> ao </w:t>
      </w:r>
      <w:r w:rsidR="0003391C" w:rsidRPr="00D5464D">
        <w:rPr>
          <w:rFonts w:cs="Arial"/>
          <w:sz w:val="16"/>
          <w:szCs w:val="20"/>
          <w:lang w:val="pt-BR"/>
        </w:rPr>
        <w:t>adquirir</w:t>
      </w:r>
      <w:r w:rsidR="003D1DA3" w:rsidRPr="00D5464D">
        <w:rPr>
          <w:rFonts w:cs="Arial"/>
          <w:sz w:val="16"/>
          <w:szCs w:val="20"/>
          <w:lang w:val="pt-BR"/>
        </w:rPr>
        <w:t>em</w:t>
      </w:r>
      <w:r w:rsidR="002C330E" w:rsidRPr="00D5464D">
        <w:rPr>
          <w:rFonts w:cs="Arial"/>
          <w:sz w:val="16"/>
          <w:szCs w:val="20"/>
          <w:lang w:val="pt-BR"/>
        </w:rPr>
        <w:t xml:space="preserve"> os </w:t>
      </w:r>
      <w:r w:rsidR="0003391C" w:rsidRPr="00D5464D">
        <w:rPr>
          <w:rFonts w:cs="Arial"/>
          <w:sz w:val="16"/>
          <w:szCs w:val="20"/>
          <w:lang w:val="pt-BR"/>
        </w:rPr>
        <w:t xml:space="preserve">alimentos a </w:t>
      </w:r>
      <w:r w:rsidR="003D1DA3" w:rsidRPr="00D5464D">
        <w:rPr>
          <w:rFonts w:cs="Arial"/>
          <w:sz w:val="16"/>
          <w:szCs w:val="20"/>
          <w:lang w:val="pt-BR"/>
        </w:rPr>
        <w:t xml:space="preserve">preços </w:t>
      </w:r>
      <w:r w:rsidR="0003391C" w:rsidRPr="00D5464D">
        <w:rPr>
          <w:rFonts w:cs="Arial"/>
          <w:sz w:val="16"/>
          <w:szCs w:val="20"/>
          <w:lang w:val="pt-BR"/>
        </w:rPr>
        <w:t>exorbitantes [...]</w:t>
      </w:r>
      <w:r w:rsidRPr="00D5464D">
        <w:rPr>
          <w:rFonts w:cs="Arial"/>
          <w:sz w:val="16"/>
          <w:szCs w:val="20"/>
          <w:lang w:val="pt-BR"/>
        </w:rPr>
        <w:t xml:space="preserve"> e </w:t>
      </w:r>
      <w:r w:rsidR="0003391C" w:rsidRPr="00D5464D">
        <w:rPr>
          <w:rFonts w:cs="Arial"/>
          <w:sz w:val="16"/>
          <w:szCs w:val="20"/>
          <w:lang w:val="pt-BR"/>
        </w:rPr>
        <w:t xml:space="preserve">por </w:t>
      </w:r>
      <w:r w:rsidR="003D1DA3" w:rsidRPr="00D5464D">
        <w:rPr>
          <w:rFonts w:cs="Arial"/>
          <w:sz w:val="16"/>
          <w:szCs w:val="20"/>
          <w:lang w:val="pt-BR"/>
        </w:rPr>
        <w:t xml:space="preserve">já </w:t>
      </w:r>
      <w:r w:rsidR="0003391C" w:rsidRPr="00D5464D">
        <w:rPr>
          <w:rFonts w:cs="Arial"/>
          <w:sz w:val="16"/>
          <w:szCs w:val="20"/>
          <w:lang w:val="pt-BR"/>
        </w:rPr>
        <w:t>iniciar</w:t>
      </w:r>
      <w:r w:rsidR="003D1DA3" w:rsidRPr="00D5464D">
        <w:rPr>
          <w:rFonts w:cs="Arial"/>
          <w:sz w:val="16"/>
          <w:szCs w:val="20"/>
          <w:lang w:val="pt-BR"/>
        </w:rPr>
        <w:t>em</w:t>
      </w:r>
      <w:r w:rsidR="00470ADC" w:rsidRPr="00D5464D">
        <w:rPr>
          <w:rFonts w:cs="Arial"/>
          <w:sz w:val="16"/>
          <w:szCs w:val="20"/>
          <w:lang w:val="pt-BR"/>
        </w:rPr>
        <w:t xml:space="preserve"> o </w:t>
      </w:r>
      <w:r w:rsidRPr="00D5464D">
        <w:rPr>
          <w:rFonts w:cs="Arial"/>
          <w:sz w:val="16"/>
          <w:szCs w:val="20"/>
          <w:lang w:val="pt-BR"/>
        </w:rPr>
        <w:t>trabalho</w:t>
      </w:r>
      <w:r w:rsidR="00470ADC" w:rsidRPr="00D5464D">
        <w:rPr>
          <w:rFonts w:cs="Arial"/>
          <w:sz w:val="16"/>
          <w:szCs w:val="20"/>
          <w:lang w:val="pt-BR"/>
        </w:rPr>
        <w:t xml:space="preserve"> com</w:t>
      </w:r>
      <w:r w:rsidR="002C330E" w:rsidRPr="00D5464D">
        <w:rPr>
          <w:rFonts w:cs="Arial"/>
          <w:sz w:val="16"/>
          <w:szCs w:val="20"/>
          <w:lang w:val="pt-BR"/>
        </w:rPr>
        <w:t xml:space="preserve"> </w:t>
      </w:r>
      <w:r w:rsidR="003D1DA3" w:rsidRPr="00D5464D">
        <w:rPr>
          <w:rFonts w:cs="Arial"/>
          <w:sz w:val="16"/>
          <w:szCs w:val="20"/>
          <w:lang w:val="pt-BR"/>
        </w:rPr>
        <w:t xml:space="preserve">o débito </w:t>
      </w:r>
      <w:r w:rsidR="0003391C" w:rsidRPr="00D5464D">
        <w:rPr>
          <w:rFonts w:cs="Arial"/>
          <w:sz w:val="16"/>
          <w:szCs w:val="20"/>
          <w:lang w:val="pt-BR"/>
        </w:rPr>
        <w:t xml:space="preserve">proveniente </w:t>
      </w:r>
      <w:r w:rsidR="00470ADC" w:rsidRPr="00D5464D">
        <w:rPr>
          <w:rFonts w:cs="Arial"/>
          <w:sz w:val="16"/>
          <w:szCs w:val="20"/>
          <w:lang w:val="pt-BR"/>
        </w:rPr>
        <w:t xml:space="preserve">do </w:t>
      </w:r>
      <w:r w:rsidR="0003391C" w:rsidRPr="00D5464D">
        <w:rPr>
          <w:rFonts w:cs="Arial"/>
          <w:sz w:val="16"/>
          <w:szCs w:val="20"/>
          <w:lang w:val="pt-BR"/>
        </w:rPr>
        <w:t>hotel [...]</w:t>
      </w:r>
      <w:r w:rsidR="00470ADC" w:rsidRPr="00D5464D">
        <w:rPr>
          <w:rFonts w:cs="Arial"/>
          <w:sz w:val="16"/>
          <w:szCs w:val="20"/>
          <w:lang w:val="pt-BR"/>
        </w:rPr>
        <w:t xml:space="preserve"> o </w:t>
      </w:r>
      <w:r w:rsidR="003D1DA3" w:rsidRPr="00D5464D">
        <w:rPr>
          <w:rFonts w:cs="Arial"/>
          <w:sz w:val="16"/>
          <w:szCs w:val="20"/>
          <w:lang w:val="pt-BR"/>
        </w:rPr>
        <w:t xml:space="preserve">irrisório salário </w:t>
      </w:r>
      <w:r w:rsidR="0003391C" w:rsidRPr="00D5464D">
        <w:rPr>
          <w:rFonts w:cs="Arial"/>
          <w:sz w:val="16"/>
          <w:szCs w:val="20"/>
          <w:lang w:val="pt-BR"/>
        </w:rPr>
        <w:t xml:space="preserve">que </w:t>
      </w:r>
      <w:r w:rsidR="002C330E" w:rsidRPr="00D5464D">
        <w:rPr>
          <w:rFonts w:cs="Arial"/>
          <w:sz w:val="16"/>
          <w:szCs w:val="20"/>
          <w:lang w:val="pt-BR"/>
        </w:rPr>
        <w:t>recebe</w:t>
      </w:r>
      <w:r w:rsidR="00350187" w:rsidRPr="00D5464D">
        <w:rPr>
          <w:rFonts w:cs="Arial"/>
          <w:sz w:val="16"/>
          <w:szCs w:val="20"/>
          <w:lang w:val="pt-BR"/>
        </w:rPr>
        <w:t xml:space="preserve">riam </w:t>
      </w:r>
      <w:r w:rsidR="0003391C" w:rsidRPr="00D5464D">
        <w:rPr>
          <w:rFonts w:cs="Arial"/>
          <w:sz w:val="16"/>
          <w:szCs w:val="20"/>
          <w:lang w:val="pt-BR"/>
        </w:rPr>
        <w:t xml:space="preserve">nunca </w:t>
      </w:r>
      <w:r w:rsidRPr="00D5464D">
        <w:rPr>
          <w:rFonts w:cs="Arial"/>
          <w:sz w:val="16"/>
          <w:szCs w:val="20"/>
          <w:lang w:val="pt-BR"/>
        </w:rPr>
        <w:t xml:space="preserve">seria </w:t>
      </w:r>
      <w:r w:rsidR="0003391C" w:rsidRPr="00D5464D">
        <w:rPr>
          <w:rFonts w:cs="Arial"/>
          <w:sz w:val="16"/>
          <w:szCs w:val="20"/>
          <w:lang w:val="pt-BR"/>
        </w:rPr>
        <w:t>suficiente para pagar su</w:t>
      </w:r>
      <w:r w:rsidR="003D1DA3" w:rsidRPr="00D5464D">
        <w:rPr>
          <w:rFonts w:cs="Arial"/>
          <w:sz w:val="16"/>
          <w:szCs w:val="20"/>
          <w:lang w:val="pt-BR"/>
        </w:rPr>
        <w:t>a</w:t>
      </w:r>
      <w:r w:rsidR="0003391C" w:rsidRPr="00D5464D">
        <w:rPr>
          <w:rFonts w:cs="Arial"/>
          <w:sz w:val="16"/>
          <w:szCs w:val="20"/>
          <w:lang w:val="pt-BR"/>
        </w:rPr>
        <w:t xml:space="preserve">s </w:t>
      </w:r>
      <w:r w:rsidR="00470ADC" w:rsidRPr="00D5464D">
        <w:rPr>
          <w:rFonts w:cs="Arial"/>
          <w:sz w:val="16"/>
          <w:szCs w:val="20"/>
          <w:lang w:val="pt-BR"/>
        </w:rPr>
        <w:t>dívida</w:t>
      </w:r>
      <w:r w:rsidR="0003391C" w:rsidRPr="00D5464D">
        <w:rPr>
          <w:rFonts w:cs="Arial"/>
          <w:sz w:val="16"/>
          <w:szCs w:val="20"/>
          <w:lang w:val="pt-BR"/>
        </w:rPr>
        <w:t>s</w:t>
      </w:r>
      <w:r w:rsidR="00A1358C" w:rsidRPr="00D5464D">
        <w:rPr>
          <w:rFonts w:cs="Arial"/>
          <w:sz w:val="16"/>
          <w:szCs w:val="20"/>
          <w:lang w:val="pt-BR"/>
        </w:rPr>
        <w:t xml:space="preserve">. </w:t>
      </w:r>
      <w:r w:rsidR="003D1DA3" w:rsidRPr="00D5464D">
        <w:rPr>
          <w:rFonts w:cs="Arial"/>
          <w:sz w:val="16"/>
          <w:szCs w:val="20"/>
          <w:lang w:val="pt-BR"/>
        </w:rPr>
        <w:t>Enquanto isso</w:t>
      </w:r>
      <w:r w:rsidR="0003391C" w:rsidRPr="00D5464D">
        <w:rPr>
          <w:rFonts w:cs="Arial"/>
          <w:sz w:val="16"/>
          <w:szCs w:val="20"/>
          <w:lang w:val="pt-BR"/>
        </w:rPr>
        <w:t>,</w:t>
      </w:r>
      <w:r w:rsidR="00470ADC" w:rsidRPr="00D5464D">
        <w:rPr>
          <w:rFonts w:cs="Arial"/>
          <w:sz w:val="16"/>
          <w:szCs w:val="20"/>
          <w:lang w:val="pt-BR"/>
        </w:rPr>
        <w:t xml:space="preserve"> o </w:t>
      </w:r>
      <w:r w:rsidR="00230C71" w:rsidRPr="00D5464D">
        <w:rPr>
          <w:rFonts w:cs="Arial"/>
          <w:sz w:val="16"/>
          <w:szCs w:val="20"/>
          <w:lang w:val="pt-BR"/>
        </w:rPr>
        <w:t>proprietário</w:t>
      </w:r>
      <w:r w:rsidR="00470ADC" w:rsidRPr="00D5464D">
        <w:rPr>
          <w:rFonts w:cs="Arial"/>
          <w:sz w:val="16"/>
          <w:szCs w:val="20"/>
          <w:lang w:val="pt-BR"/>
        </w:rPr>
        <w:t xml:space="preserve"> da </w:t>
      </w:r>
      <w:r w:rsidR="003D1DA3" w:rsidRPr="00D5464D">
        <w:rPr>
          <w:rFonts w:cs="Arial"/>
          <w:sz w:val="16"/>
          <w:szCs w:val="20"/>
          <w:lang w:val="pt-BR"/>
        </w:rPr>
        <w:t>F</w:t>
      </w:r>
      <w:r w:rsidR="00D809F0" w:rsidRPr="00D5464D">
        <w:rPr>
          <w:rFonts w:cs="Arial"/>
          <w:sz w:val="16"/>
          <w:szCs w:val="20"/>
          <w:lang w:val="pt-BR"/>
        </w:rPr>
        <w:t>azenda</w:t>
      </w:r>
      <w:r w:rsidR="0003391C" w:rsidRPr="00D5464D">
        <w:rPr>
          <w:rFonts w:cs="Arial"/>
          <w:sz w:val="16"/>
          <w:szCs w:val="20"/>
          <w:lang w:val="pt-BR"/>
        </w:rPr>
        <w:t xml:space="preserve"> lucra</w:t>
      </w:r>
      <w:r w:rsidR="00470ADC" w:rsidRPr="00D5464D">
        <w:rPr>
          <w:rFonts w:cs="Arial"/>
          <w:sz w:val="16"/>
          <w:szCs w:val="20"/>
          <w:lang w:val="pt-BR"/>
        </w:rPr>
        <w:t xml:space="preserve"> ao </w:t>
      </w:r>
      <w:r w:rsidR="00737270" w:rsidRPr="00D5464D">
        <w:rPr>
          <w:rFonts w:cs="Arial"/>
          <w:sz w:val="16"/>
          <w:szCs w:val="20"/>
          <w:lang w:val="pt-BR"/>
        </w:rPr>
        <w:t>dispor</w:t>
      </w:r>
      <w:r w:rsidR="00470ADC" w:rsidRPr="00D5464D">
        <w:rPr>
          <w:rFonts w:cs="Arial"/>
          <w:sz w:val="16"/>
          <w:szCs w:val="20"/>
          <w:lang w:val="pt-BR"/>
        </w:rPr>
        <w:t xml:space="preserve"> d</w:t>
      </w:r>
      <w:r w:rsidR="003D1DA3" w:rsidRPr="00D5464D">
        <w:rPr>
          <w:rFonts w:cs="Arial"/>
          <w:sz w:val="16"/>
          <w:szCs w:val="20"/>
          <w:lang w:val="pt-BR"/>
        </w:rPr>
        <w:t>e</w:t>
      </w:r>
      <w:r w:rsidR="00470ADC" w:rsidRPr="00D5464D">
        <w:rPr>
          <w:rFonts w:cs="Arial"/>
          <w:sz w:val="16"/>
          <w:szCs w:val="20"/>
          <w:lang w:val="pt-BR"/>
        </w:rPr>
        <w:t xml:space="preserve"> </w:t>
      </w:r>
      <w:r w:rsidRPr="00D5464D">
        <w:rPr>
          <w:rFonts w:cs="Arial"/>
          <w:sz w:val="16"/>
          <w:szCs w:val="20"/>
          <w:lang w:val="pt-BR"/>
        </w:rPr>
        <w:t>trabalhadores</w:t>
      </w:r>
      <w:r w:rsidR="0003391C" w:rsidRPr="00D5464D">
        <w:rPr>
          <w:rFonts w:cs="Arial"/>
          <w:sz w:val="16"/>
          <w:szCs w:val="20"/>
          <w:lang w:val="pt-BR"/>
        </w:rPr>
        <w:t xml:space="preserve"> que n</w:t>
      </w:r>
      <w:r w:rsidR="003D1DA3" w:rsidRPr="00D5464D">
        <w:rPr>
          <w:rFonts w:cs="Arial"/>
          <w:sz w:val="16"/>
          <w:szCs w:val="20"/>
          <w:lang w:val="pt-BR"/>
        </w:rPr>
        <w:t>ã</w:t>
      </w:r>
      <w:r w:rsidR="0003391C" w:rsidRPr="00D5464D">
        <w:rPr>
          <w:rFonts w:cs="Arial"/>
          <w:sz w:val="16"/>
          <w:szCs w:val="20"/>
          <w:lang w:val="pt-BR"/>
        </w:rPr>
        <w:t xml:space="preserve">o </w:t>
      </w:r>
      <w:r w:rsidR="002C330E" w:rsidRPr="00D5464D">
        <w:rPr>
          <w:rFonts w:cs="Arial"/>
          <w:sz w:val="16"/>
          <w:szCs w:val="20"/>
          <w:lang w:val="pt-BR"/>
        </w:rPr>
        <w:t xml:space="preserve">recebem </w:t>
      </w:r>
      <w:r w:rsidR="003D1DA3" w:rsidRPr="00D5464D">
        <w:rPr>
          <w:rFonts w:cs="Arial"/>
          <w:sz w:val="16"/>
          <w:szCs w:val="20"/>
          <w:lang w:val="pt-BR"/>
        </w:rPr>
        <w:t xml:space="preserve">qualquer </w:t>
      </w:r>
      <w:r w:rsidRPr="00D5464D">
        <w:rPr>
          <w:rFonts w:cs="Arial"/>
          <w:sz w:val="16"/>
          <w:szCs w:val="20"/>
          <w:lang w:val="pt-BR"/>
        </w:rPr>
        <w:t>salário</w:t>
      </w:r>
      <w:r w:rsidR="002C330E" w:rsidRPr="00D5464D">
        <w:rPr>
          <w:rFonts w:cs="Arial"/>
          <w:sz w:val="16"/>
          <w:szCs w:val="20"/>
          <w:lang w:val="pt-BR"/>
        </w:rPr>
        <w:t xml:space="preserve"> pelo serviço</w:t>
      </w:r>
      <w:r w:rsidR="0003391C" w:rsidRPr="00D5464D">
        <w:rPr>
          <w:rFonts w:cs="Arial"/>
          <w:sz w:val="16"/>
          <w:szCs w:val="20"/>
          <w:lang w:val="pt-BR"/>
        </w:rPr>
        <w:t xml:space="preserve"> prestado [...]</w:t>
      </w:r>
    </w:p>
    <w:p w14:paraId="7854670D" w14:textId="77777777" w:rsidR="0003391C" w:rsidRPr="00D5464D" w:rsidRDefault="0003391C" w:rsidP="00140440">
      <w:pPr>
        <w:autoSpaceDE w:val="0"/>
        <w:autoSpaceDN w:val="0"/>
        <w:adjustRightInd w:val="0"/>
        <w:ind w:left="720" w:right="720"/>
        <w:jc w:val="both"/>
        <w:rPr>
          <w:rFonts w:cs="Arial"/>
          <w:sz w:val="16"/>
          <w:szCs w:val="20"/>
          <w:lang w:val="pt-BR"/>
        </w:rPr>
      </w:pPr>
    </w:p>
    <w:p w14:paraId="59024A98" w14:textId="332D725A" w:rsidR="0003391C" w:rsidRPr="00D5464D" w:rsidRDefault="0003391C" w:rsidP="00140440">
      <w:pPr>
        <w:autoSpaceDE w:val="0"/>
        <w:autoSpaceDN w:val="0"/>
        <w:adjustRightInd w:val="0"/>
        <w:ind w:left="720" w:right="720"/>
        <w:jc w:val="both"/>
        <w:rPr>
          <w:rFonts w:cs="Arial"/>
          <w:sz w:val="16"/>
          <w:szCs w:val="20"/>
          <w:lang w:val="pt-BR"/>
        </w:rPr>
      </w:pPr>
      <w:r w:rsidRPr="00D5464D">
        <w:rPr>
          <w:rFonts w:cs="Arial"/>
          <w:sz w:val="16"/>
          <w:szCs w:val="20"/>
          <w:lang w:val="pt-BR"/>
        </w:rPr>
        <w:t>[...]</w:t>
      </w:r>
      <w:r w:rsidR="003D1DA3" w:rsidRPr="00D5464D">
        <w:rPr>
          <w:rFonts w:cs="Arial"/>
          <w:sz w:val="16"/>
          <w:szCs w:val="20"/>
          <w:lang w:val="pt-BR"/>
        </w:rPr>
        <w:t xml:space="preserve"> o único caminho de saída </w:t>
      </w:r>
      <w:r w:rsidR="00470ADC" w:rsidRPr="00D5464D">
        <w:rPr>
          <w:rFonts w:cs="Arial"/>
          <w:sz w:val="16"/>
          <w:szCs w:val="20"/>
          <w:lang w:val="pt-BR"/>
        </w:rPr>
        <w:t xml:space="preserve">da </w:t>
      </w:r>
      <w:r w:rsidR="003D1DA3" w:rsidRPr="00D5464D">
        <w:rPr>
          <w:rFonts w:cs="Arial"/>
          <w:sz w:val="16"/>
          <w:szCs w:val="20"/>
          <w:lang w:val="pt-BR"/>
        </w:rPr>
        <w:t>F</w:t>
      </w:r>
      <w:r w:rsidR="00D809F0" w:rsidRPr="00D5464D">
        <w:rPr>
          <w:rFonts w:cs="Arial"/>
          <w:sz w:val="16"/>
          <w:szCs w:val="20"/>
          <w:lang w:val="pt-BR"/>
        </w:rPr>
        <w:t>azenda</w:t>
      </w:r>
      <w:r w:rsidRPr="00D5464D">
        <w:rPr>
          <w:rFonts w:cs="Arial"/>
          <w:sz w:val="16"/>
          <w:szCs w:val="20"/>
          <w:lang w:val="pt-BR"/>
        </w:rPr>
        <w:t xml:space="preserve"> </w:t>
      </w:r>
      <w:r w:rsidR="003D1DA3" w:rsidRPr="00D5464D">
        <w:rPr>
          <w:rFonts w:cs="Arial"/>
          <w:sz w:val="16"/>
          <w:szCs w:val="20"/>
          <w:lang w:val="pt-BR"/>
        </w:rPr>
        <w:t xml:space="preserve">é limítrofe dos prédios do escritório e da </w:t>
      </w:r>
      <w:r w:rsidRPr="00D5464D">
        <w:rPr>
          <w:rFonts w:cs="Arial"/>
          <w:sz w:val="16"/>
          <w:szCs w:val="20"/>
          <w:lang w:val="pt-BR"/>
        </w:rPr>
        <w:t xml:space="preserve">casa </w:t>
      </w:r>
      <w:r w:rsidR="00470ADC" w:rsidRPr="00D5464D">
        <w:rPr>
          <w:rFonts w:cs="Arial"/>
          <w:sz w:val="16"/>
          <w:szCs w:val="20"/>
          <w:lang w:val="pt-BR"/>
        </w:rPr>
        <w:t xml:space="preserve">do </w:t>
      </w:r>
      <w:r w:rsidRPr="00D5464D">
        <w:rPr>
          <w:rFonts w:cs="Arial"/>
          <w:sz w:val="16"/>
          <w:szCs w:val="20"/>
          <w:lang w:val="pt-BR"/>
        </w:rPr>
        <w:t>gerente</w:t>
      </w:r>
      <w:r w:rsidR="003D1DA3" w:rsidRPr="00D5464D">
        <w:rPr>
          <w:rFonts w:cs="Arial"/>
          <w:sz w:val="16"/>
          <w:szCs w:val="20"/>
          <w:lang w:val="pt-BR"/>
        </w:rPr>
        <w:t>,</w:t>
      </w:r>
      <w:r w:rsidRPr="00D5464D">
        <w:rPr>
          <w:rFonts w:cs="Arial"/>
          <w:sz w:val="16"/>
          <w:szCs w:val="20"/>
          <w:lang w:val="pt-BR"/>
        </w:rPr>
        <w:t xml:space="preserve"> </w:t>
      </w:r>
      <w:r w:rsidR="002C330E" w:rsidRPr="00D5464D">
        <w:rPr>
          <w:rFonts w:cs="Arial"/>
          <w:sz w:val="16"/>
          <w:szCs w:val="20"/>
          <w:lang w:val="pt-BR"/>
        </w:rPr>
        <w:t xml:space="preserve">que </w:t>
      </w:r>
      <w:r w:rsidRPr="00D5464D">
        <w:rPr>
          <w:rFonts w:cs="Arial"/>
          <w:sz w:val="16"/>
          <w:szCs w:val="20"/>
          <w:lang w:val="pt-BR"/>
        </w:rPr>
        <w:t>n</w:t>
      </w:r>
      <w:r w:rsidR="003D1DA3" w:rsidRPr="00D5464D">
        <w:rPr>
          <w:rFonts w:cs="Arial"/>
          <w:sz w:val="16"/>
          <w:szCs w:val="20"/>
          <w:lang w:val="pt-BR"/>
        </w:rPr>
        <w:t>ã</w:t>
      </w:r>
      <w:r w:rsidRPr="00D5464D">
        <w:rPr>
          <w:rFonts w:cs="Arial"/>
          <w:sz w:val="16"/>
          <w:szCs w:val="20"/>
          <w:lang w:val="pt-BR"/>
        </w:rPr>
        <w:t>o permite</w:t>
      </w:r>
      <w:r w:rsidR="002C330E" w:rsidRPr="00D5464D">
        <w:rPr>
          <w:rFonts w:cs="Arial"/>
          <w:sz w:val="16"/>
          <w:szCs w:val="20"/>
          <w:lang w:val="pt-BR"/>
        </w:rPr>
        <w:t xml:space="preserve"> a saída </w:t>
      </w:r>
      <w:r w:rsidR="00470ADC" w:rsidRPr="00D5464D">
        <w:rPr>
          <w:rFonts w:cs="Arial"/>
          <w:sz w:val="16"/>
          <w:szCs w:val="20"/>
          <w:lang w:val="pt-BR"/>
        </w:rPr>
        <w:t xml:space="preserve">dos </w:t>
      </w:r>
      <w:r w:rsidR="00E045D9" w:rsidRPr="00D5464D">
        <w:rPr>
          <w:rFonts w:cs="Arial"/>
          <w:sz w:val="16"/>
          <w:szCs w:val="20"/>
          <w:lang w:val="pt-BR"/>
        </w:rPr>
        <w:t>trabalhadores</w:t>
      </w:r>
      <w:r w:rsidRPr="00D5464D">
        <w:rPr>
          <w:rFonts w:cs="Arial"/>
          <w:sz w:val="16"/>
          <w:szCs w:val="20"/>
          <w:lang w:val="pt-BR"/>
        </w:rPr>
        <w:t xml:space="preserve"> [...]</w:t>
      </w:r>
    </w:p>
    <w:p w14:paraId="47F48036" w14:textId="77777777" w:rsidR="0003391C" w:rsidRPr="00D5464D" w:rsidRDefault="0003391C" w:rsidP="00140440">
      <w:pPr>
        <w:autoSpaceDE w:val="0"/>
        <w:autoSpaceDN w:val="0"/>
        <w:adjustRightInd w:val="0"/>
        <w:ind w:left="720" w:right="720"/>
        <w:jc w:val="both"/>
        <w:rPr>
          <w:rFonts w:cs="Arial"/>
          <w:sz w:val="16"/>
          <w:szCs w:val="20"/>
          <w:lang w:val="pt-BR"/>
        </w:rPr>
      </w:pPr>
    </w:p>
    <w:p w14:paraId="09E76D0A" w14:textId="114C29D8" w:rsidR="0003391C" w:rsidRPr="00D5464D" w:rsidRDefault="00BC7B3C" w:rsidP="00140440">
      <w:pPr>
        <w:autoSpaceDE w:val="0"/>
        <w:autoSpaceDN w:val="0"/>
        <w:adjustRightInd w:val="0"/>
        <w:ind w:left="720" w:right="720"/>
        <w:jc w:val="both"/>
        <w:rPr>
          <w:rFonts w:cs="Arial"/>
          <w:sz w:val="16"/>
          <w:szCs w:val="20"/>
          <w:lang w:val="pt-BR"/>
        </w:rPr>
      </w:pPr>
      <w:r w:rsidRPr="00D5464D">
        <w:rPr>
          <w:rFonts w:cs="Arial"/>
          <w:sz w:val="16"/>
          <w:szCs w:val="20"/>
          <w:lang w:val="pt-BR"/>
        </w:rPr>
        <w:t>Acrescente-se aos fatos</w:t>
      </w:r>
      <w:r w:rsidR="0003391C" w:rsidRPr="00D5464D">
        <w:rPr>
          <w:rFonts w:cs="Arial"/>
          <w:sz w:val="16"/>
          <w:szCs w:val="20"/>
          <w:lang w:val="pt-BR"/>
        </w:rPr>
        <w:t>,</w:t>
      </w:r>
      <w:r w:rsidR="002C330E" w:rsidRPr="00D5464D">
        <w:rPr>
          <w:rFonts w:cs="Arial"/>
          <w:sz w:val="16"/>
          <w:szCs w:val="20"/>
          <w:lang w:val="pt-BR"/>
        </w:rPr>
        <w:t xml:space="preserve"> a </w:t>
      </w:r>
      <w:r w:rsidRPr="00D5464D">
        <w:rPr>
          <w:rFonts w:cs="Arial"/>
          <w:sz w:val="16"/>
          <w:szCs w:val="20"/>
          <w:lang w:val="pt-BR"/>
        </w:rPr>
        <w:t xml:space="preserve">apreensão pela </w:t>
      </w:r>
      <w:r w:rsidR="0003391C" w:rsidRPr="00D5464D">
        <w:rPr>
          <w:rFonts w:cs="Arial"/>
          <w:sz w:val="16"/>
          <w:szCs w:val="20"/>
          <w:lang w:val="pt-BR"/>
        </w:rPr>
        <w:t>fiscaliza</w:t>
      </w:r>
      <w:r w:rsidR="00470ADC" w:rsidRPr="00D5464D">
        <w:rPr>
          <w:rFonts w:cs="Arial"/>
          <w:sz w:val="16"/>
          <w:szCs w:val="20"/>
          <w:lang w:val="pt-BR"/>
        </w:rPr>
        <w:t>ção</w:t>
      </w:r>
      <w:r w:rsidRPr="00D5464D">
        <w:rPr>
          <w:rFonts w:cs="Arial"/>
          <w:sz w:val="16"/>
          <w:szCs w:val="20"/>
          <w:lang w:val="pt-BR"/>
        </w:rPr>
        <w:t xml:space="preserve">, de um pedido </w:t>
      </w:r>
      <w:r w:rsidR="0003391C" w:rsidRPr="00D5464D">
        <w:rPr>
          <w:rFonts w:cs="Arial"/>
          <w:sz w:val="16"/>
          <w:szCs w:val="20"/>
          <w:lang w:val="pt-BR"/>
        </w:rPr>
        <w:t xml:space="preserve">aviso </w:t>
      </w:r>
      <w:r w:rsidR="002C330E" w:rsidRPr="00D5464D">
        <w:rPr>
          <w:rFonts w:cs="Arial"/>
          <w:sz w:val="16"/>
          <w:szCs w:val="20"/>
          <w:lang w:val="pt-BR"/>
        </w:rPr>
        <w:t>prévio</w:t>
      </w:r>
      <w:r w:rsidR="0003391C" w:rsidRPr="00D5464D">
        <w:rPr>
          <w:rFonts w:cs="Arial"/>
          <w:sz w:val="16"/>
          <w:szCs w:val="20"/>
          <w:lang w:val="pt-BR"/>
        </w:rPr>
        <w:t xml:space="preserve"> </w:t>
      </w:r>
      <w:r w:rsidRPr="00D5464D">
        <w:rPr>
          <w:rFonts w:cs="Arial"/>
          <w:sz w:val="16"/>
          <w:szCs w:val="20"/>
          <w:lang w:val="pt-BR"/>
        </w:rPr>
        <w:t xml:space="preserve">assinado por </w:t>
      </w:r>
      <w:r w:rsidR="00E045D9" w:rsidRPr="00D5464D">
        <w:rPr>
          <w:rFonts w:cs="Arial"/>
          <w:sz w:val="16"/>
          <w:szCs w:val="20"/>
          <w:lang w:val="pt-BR"/>
        </w:rPr>
        <w:t>um trabalh</w:t>
      </w:r>
      <w:r w:rsidR="0003391C" w:rsidRPr="00D5464D">
        <w:rPr>
          <w:rFonts w:cs="Arial"/>
          <w:sz w:val="16"/>
          <w:szCs w:val="20"/>
          <w:lang w:val="pt-BR"/>
        </w:rPr>
        <w:t>ador [...]</w:t>
      </w:r>
      <w:r w:rsidR="00E045D9" w:rsidRPr="00D5464D">
        <w:rPr>
          <w:rFonts w:cs="Arial"/>
          <w:sz w:val="16"/>
          <w:szCs w:val="20"/>
          <w:lang w:val="pt-BR"/>
        </w:rPr>
        <w:t xml:space="preserve"> e </w:t>
      </w:r>
      <w:r w:rsidR="0003391C" w:rsidRPr="00D5464D">
        <w:rPr>
          <w:rFonts w:cs="Arial"/>
          <w:sz w:val="16"/>
          <w:szCs w:val="20"/>
          <w:lang w:val="pt-BR"/>
        </w:rPr>
        <w:t>[</w:t>
      </w:r>
      <w:r w:rsidRPr="00D5464D">
        <w:rPr>
          <w:rFonts w:cs="Arial"/>
          <w:sz w:val="16"/>
          <w:szCs w:val="20"/>
          <w:lang w:val="pt-BR"/>
        </w:rPr>
        <w:t xml:space="preserve">foram </w:t>
      </w:r>
      <w:r w:rsidR="00E045D9" w:rsidRPr="00D5464D">
        <w:rPr>
          <w:rFonts w:cs="Arial"/>
          <w:sz w:val="16"/>
          <w:szCs w:val="20"/>
          <w:lang w:val="pt-BR"/>
        </w:rPr>
        <w:t>encontra</w:t>
      </w:r>
      <w:r w:rsidRPr="00D5464D">
        <w:rPr>
          <w:rFonts w:cs="Arial"/>
          <w:sz w:val="16"/>
          <w:szCs w:val="20"/>
          <w:lang w:val="pt-BR"/>
        </w:rPr>
        <w:t>das</w:t>
      </w:r>
      <w:r w:rsidR="0003391C" w:rsidRPr="00D5464D">
        <w:rPr>
          <w:rFonts w:cs="Arial"/>
          <w:sz w:val="16"/>
          <w:szCs w:val="20"/>
          <w:lang w:val="pt-BR"/>
        </w:rPr>
        <w:t xml:space="preserve">] </w:t>
      </w:r>
      <w:r w:rsidRPr="00D5464D">
        <w:rPr>
          <w:rFonts w:cs="Arial"/>
          <w:sz w:val="16"/>
          <w:szCs w:val="20"/>
          <w:lang w:val="pt-BR"/>
        </w:rPr>
        <w:t xml:space="preserve">diversas notas promissórias </w:t>
      </w:r>
      <w:r w:rsidR="00AF0F26" w:rsidRPr="00D5464D">
        <w:rPr>
          <w:rFonts w:cs="Arial"/>
          <w:sz w:val="16"/>
          <w:szCs w:val="20"/>
          <w:lang w:val="pt-BR"/>
        </w:rPr>
        <w:t>em branco</w:t>
      </w:r>
      <w:r w:rsidR="0003391C" w:rsidRPr="00D5464D">
        <w:rPr>
          <w:rFonts w:cs="Arial"/>
          <w:sz w:val="16"/>
          <w:szCs w:val="20"/>
          <w:lang w:val="pt-BR"/>
        </w:rPr>
        <w:t>,</w:t>
      </w:r>
      <w:r w:rsidR="00470ADC" w:rsidRPr="00D5464D">
        <w:rPr>
          <w:rFonts w:cs="Arial"/>
          <w:sz w:val="16"/>
          <w:szCs w:val="20"/>
          <w:lang w:val="pt-BR"/>
        </w:rPr>
        <w:t xml:space="preserve"> </w:t>
      </w:r>
      <w:r w:rsidRPr="00D5464D">
        <w:rPr>
          <w:rFonts w:cs="Arial"/>
          <w:sz w:val="16"/>
          <w:szCs w:val="20"/>
          <w:lang w:val="pt-BR"/>
        </w:rPr>
        <w:t xml:space="preserve">apenas </w:t>
      </w:r>
      <w:r w:rsidR="00470ADC" w:rsidRPr="00D5464D">
        <w:rPr>
          <w:rFonts w:cs="Arial"/>
          <w:sz w:val="16"/>
          <w:szCs w:val="20"/>
          <w:lang w:val="pt-BR"/>
        </w:rPr>
        <w:t>com</w:t>
      </w:r>
      <w:r w:rsidR="002C330E" w:rsidRPr="00D5464D">
        <w:rPr>
          <w:rFonts w:cs="Arial"/>
          <w:sz w:val="16"/>
          <w:szCs w:val="20"/>
          <w:lang w:val="pt-BR"/>
        </w:rPr>
        <w:t xml:space="preserve"> as </w:t>
      </w:r>
      <w:r w:rsidRPr="00D5464D">
        <w:rPr>
          <w:rFonts w:cs="Arial"/>
          <w:sz w:val="16"/>
          <w:szCs w:val="20"/>
          <w:lang w:val="pt-BR"/>
        </w:rPr>
        <w:t xml:space="preserve">assinaturas </w:t>
      </w:r>
      <w:r w:rsidR="00470ADC" w:rsidRPr="00D5464D">
        <w:rPr>
          <w:rFonts w:cs="Arial"/>
          <w:sz w:val="16"/>
          <w:szCs w:val="20"/>
          <w:lang w:val="pt-BR"/>
        </w:rPr>
        <w:t xml:space="preserve">dos </w:t>
      </w:r>
      <w:r w:rsidR="00E045D9" w:rsidRPr="00D5464D">
        <w:rPr>
          <w:rFonts w:cs="Arial"/>
          <w:sz w:val="16"/>
          <w:szCs w:val="20"/>
          <w:lang w:val="pt-BR"/>
        </w:rPr>
        <w:t>trabalhadores</w:t>
      </w:r>
      <w:r w:rsidR="0003391C" w:rsidRPr="00D5464D">
        <w:rPr>
          <w:rFonts w:cs="Arial"/>
          <w:sz w:val="16"/>
          <w:szCs w:val="20"/>
          <w:lang w:val="pt-BR"/>
        </w:rPr>
        <w:t>.</w:t>
      </w:r>
    </w:p>
    <w:p w14:paraId="0E4ECECF" w14:textId="77777777" w:rsidR="0003391C" w:rsidRPr="00D5464D" w:rsidRDefault="0003391C" w:rsidP="00140440">
      <w:pPr>
        <w:autoSpaceDE w:val="0"/>
        <w:autoSpaceDN w:val="0"/>
        <w:adjustRightInd w:val="0"/>
        <w:ind w:left="720" w:right="720"/>
        <w:jc w:val="both"/>
        <w:rPr>
          <w:rFonts w:cs="Arial"/>
          <w:sz w:val="16"/>
          <w:szCs w:val="20"/>
          <w:lang w:val="pt-BR"/>
        </w:rPr>
      </w:pPr>
    </w:p>
    <w:p w14:paraId="00609B31" w14:textId="684EB346" w:rsidR="0003391C" w:rsidRPr="00D5464D" w:rsidRDefault="0003391C" w:rsidP="00140440">
      <w:pPr>
        <w:autoSpaceDE w:val="0"/>
        <w:autoSpaceDN w:val="0"/>
        <w:adjustRightInd w:val="0"/>
        <w:ind w:left="720" w:right="720"/>
        <w:jc w:val="both"/>
        <w:rPr>
          <w:rFonts w:cs="Arial"/>
          <w:sz w:val="16"/>
          <w:szCs w:val="20"/>
          <w:lang w:val="pt-BR"/>
        </w:rPr>
      </w:pPr>
      <w:r w:rsidRPr="00D5464D">
        <w:rPr>
          <w:rFonts w:cs="Arial"/>
          <w:sz w:val="16"/>
          <w:szCs w:val="20"/>
          <w:lang w:val="pt-BR"/>
        </w:rPr>
        <w:t>[...]</w:t>
      </w:r>
      <w:r w:rsidR="00470ADC" w:rsidRPr="00D5464D">
        <w:rPr>
          <w:rFonts w:cs="Arial"/>
          <w:sz w:val="16"/>
          <w:szCs w:val="20"/>
          <w:lang w:val="pt-BR"/>
        </w:rPr>
        <w:t xml:space="preserve"> em dezembro</w:t>
      </w:r>
      <w:r w:rsidRPr="00D5464D">
        <w:rPr>
          <w:rFonts w:cs="Arial"/>
          <w:sz w:val="16"/>
          <w:szCs w:val="20"/>
          <w:lang w:val="pt-BR"/>
        </w:rPr>
        <w:t xml:space="preserve"> de 1996</w:t>
      </w:r>
      <w:r w:rsidR="00BC7B3C" w:rsidRPr="00D5464D">
        <w:rPr>
          <w:rFonts w:cs="Arial"/>
          <w:sz w:val="16"/>
          <w:szCs w:val="20"/>
          <w:lang w:val="pt-BR"/>
        </w:rPr>
        <w:t>,</w:t>
      </w:r>
      <w:r w:rsidRPr="00D5464D">
        <w:rPr>
          <w:rFonts w:cs="Arial"/>
          <w:sz w:val="16"/>
          <w:szCs w:val="20"/>
          <w:lang w:val="pt-BR"/>
        </w:rPr>
        <w:t xml:space="preserve"> </w:t>
      </w:r>
      <w:r w:rsidR="00470ADC" w:rsidRPr="00D5464D">
        <w:rPr>
          <w:rFonts w:cs="Arial"/>
          <w:sz w:val="16"/>
          <w:szCs w:val="20"/>
          <w:lang w:val="pt-BR"/>
        </w:rPr>
        <w:t>foram</w:t>
      </w:r>
      <w:r w:rsidRPr="00D5464D">
        <w:rPr>
          <w:rFonts w:cs="Arial"/>
          <w:sz w:val="16"/>
          <w:szCs w:val="20"/>
          <w:lang w:val="pt-BR"/>
        </w:rPr>
        <w:t xml:space="preserve"> constatadas</w:t>
      </w:r>
      <w:r w:rsidR="002C330E" w:rsidRPr="00D5464D">
        <w:rPr>
          <w:rFonts w:cs="Arial"/>
          <w:sz w:val="16"/>
          <w:szCs w:val="20"/>
          <w:lang w:val="pt-BR"/>
        </w:rPr>
        <w:t xml:space="preserve"> as mesm</w:t>
      </w:r>
      <w:r w:rsidRPr="00D5464D">
        <w:rPr>
          <w:rFonts w:cs="Arial"/>
          <w:sz w:val="16"/>
          <w:szCs w:val="20"/>
          <w:lang w:val="pt-BR"/>
        </w:rPr>
        <w:t>as irregularidades</w:t>
      </w:r>
      <w:r w:rsidR="002C330E" w:rsidRPr="00D5464D">
        <w:rPr>
          <w:rFonts w:cs="Arial"/>
          <w:sz w:val="16"/>
          <w:szCs w:val="20"/>
          <w:lang w:val="pt-BR"/>
        </w:rPr>
        <w:t xml:space="preserve"> pela </w:t>
      </w:r>
      <w:r w:rsidRPr="00D5464D">
        <w:rPr>
          <w:rFonts w:cs="Arial"/>
          <w:sz w:val="16"/>
          <w:szCs w:val="20"/>
          <w:lang w:val="pt-BR"/>
        </w:rPr>
        <w:t>fiscaliza</w:t>
      </w:r>
      <w:r w:rsidR="00470ADC" w:rsidRPr="00D5464D">
        <w:rPr>
          <w:rFonts w:cs="Arial"/>
          <w:sz w:val="16"/>
          <w:szCs w:val="20"/>
          <w:lang w:val="pt-BR"/>
        </w:rPr>
        <w:t>ção</w:t>
      </w:r>
      <w:r w:rsidRPr="00D5464D">
        <w:rPr>
          <w:rFonts w:cs="Arial"/>
          <w:sz w:val="16"/>
          <w:szCs w:val="20"/>
          <w:lang w:val="pt-BR"/>
        </w:rPr>
        <w:t xml:space="preserve">, </w:t>
      </w:r>
      <w:r w:rsidR="00470ADC" w:rsidRPr="00D5464D">
        <w:rPr>
          <w:rFonts w:cs="Arial"/>
          <w:sz w:val="16"/>
          <w:szCs w:val="20"/>
          <w:lang w:val="pt-BR"/>
        </w:rPr>
        <w:t>assim</w:t>
      </w:r>
      <w:r w:rsidRPr="00D5464D">
        <w:rPr>
          <w:rFonts w:cs="Arial"/>
          <w:sz w:val="16"/>
          <w:szCs w:val="20"/>
          <w:lang w:val="pt-BR"/>
        </w:rPr>
        <w:t xml:space="preserve"> como,</w:t>
      </w:r>
      <w:r w:rsidR="00470ADC" w:rsidRPr="00D5464D">
        <w:rPr>
          <w:rFonts w:cs="Arial"/>
          <w:sz w:val="16"/>
          <w:szCs w:val="20"/>
          <w:lang w:val="pt-BR"/>
        </w:rPr>
        <w:t xml:space="preserve"> em </w:t>
      </w:r>
      <w:r w:rsidRPr="00D5464D">
        <w:rPr>
          <w:rFonts w:cs="Arial"/>
          <w:sz w:val="16"/>
          <w:szCs w:val="20"/>
          <w:lang w:val="pt-BR"/>
        </w:rPr>
        <w:t>1989</w:t>
      </w:r>
      <w:r w:rsidR="00470ADC" w:rsidRPr="00D5464D">
        <w:rPr>
          <w:rFonts w:cs="Arial"/>
          <w:sz w:val="16"/>
          <w:szCs w:val="20"/>
          <w:lang w:val="pt-BR"/>
        </w:rPr>
        <w:t>,</w:t>
      </w:r>
      <w:r w:rsidR="00737270" w:rsidRPr="00D5464D">
        <w:rPr>
          <w:rFonts w:cs="Arial"/>
          <w:sz w:val="16"/>
          <w:szCs w:val="20"/>
          <w:lang w:val="pt-BR"/>
        </w:rPr>
        <w:t xml:space="preserve"> já </w:t>
      </w:r>
      <w:r w:rsidR="002C330E" w:rsidRPr="00D5464D">
        <w:rPr>
          <w:rFonts w:cs="Arial"/>
          <w:sz w:val="16"/>
          <w:szCs w:val="20"/>
          <w:lang w:val="pt-BR"/>
        </w:rPr>
        <w:t>havia</w:t>
      </w:r>
      <w:r w:rsidRPr="00D5464D">
        <w:rPr>
          <w:rFonts w:cs="Arial"/>
          <w:sz w:val="16"/>
          <w:szCs w:val="20"/>
          <w:lang w:val="pt-BR"/>
        </w:rPr>
        <w:t xml:space="preserve"> </w:t>
      </w:r>
      <w:r w:rsidR="00350187" w:rsidRPr="00D5464D">
        <w:rPr>
          <w:rFonts w:cs="Arial"/>
          <w:sz w:val="16"/>
          <w:szCs w:val="20"/>
          <w:lang w:val="pt-BR"/>
        </w:rPr>
        <w:t>notícias</w:t>
      </w:r>
      <w:r w:rsidRPr="00D5464D">
        <w:rPr>
          <w:rFonts w:cs="Arial"/>
          <w:sz w:val="16"/>
          <w:szCs w:val="20"/>
          <w:lang w:val="pt-BR"/>
        </w:rPr>
        <w:t xml:space="preserve"> de </w:t>
      </w:r>
      <w:r w:rsidR="00BC7B3C" w:rsidRPr="00D5464D">
        <w:rPr>
          <w:rFonts w:cs="Arial"/>
          <w:sz w:val="16"/>
          <w:szCs w:val="20"/>
          <w:lang w:val="pt-BR"/>
        </w:rPr>
        <w:t xml:space="preserve">crimes </w:t>
      </w:r>
      <w:r w:rsidRPr="00D5464D">
        <w:rPr>
          <w:rFonts w:cs="Arial"/>
          <w:sz w:val="16"/>
          <w:szCs w:val="20"/>
          <w:lang w:val="pt-BR"/>
        </w:rPr>
        <w:t>contra</w:t>
      </w:r>
      <w:r w:rsidR="002C330E" w:rsidRPr="00D5464D">
        <w:rPr>
          <w:rFonts w:cs="Arial"/>
          <w:sz w:val="16"/>
          <w:szCs w:val="20"/>
          <w:lang w:val="pt-BR"/>
        </w:rPr>
        <w:t xml:space="preserve"> a </w:t>
      </w:r>
      <w:r w:rsidRPr="00D5464D">
        <w:rPr>
          <w:rFonts w:cs="Arial"/>
          <w:sz w:val="16"/>
          <w:szCs w:val="20"/>
          <w:lang w:val="pt-BR"/>
        </w:rPr>
        <w:t>organiza</w:t>
      </w:r>
      <w:r w:rsidR="00470ADC" w:rsidRPr="00D5464D">
        <w:rPr>
          <w:rFonts w:cs="Arial"/>
          <w:sz w:val="16"/>
          <w:szCs w:val="20"/>
          <w:lang w:val="pt-BR"/>
        </w:rPr>
        <w:t>ção</w:t>
      </w:r>
      <w:r w:rsidRPr="00D5464D">
        <w:rPr>
          <w:rFonts w:cs="Arial"/>
          <w:sz w:val="16"/>
          <w:szCs w:val="20"/>
          <w:lang w:val="pt-BR"/>
        </w:rPr>
        <w:t xml:space="preserve"> </w:t>
      </w:r>
      <w:r w:rsidR="00470ADC" w:rsidRPr="00D5464D">
        <w:rPr>
          <w:rFonts w:cs="Arial"/>
          <w:sz w:val="16"/>
          <w:szCs w:val="20"/>
          <w:lang w:val="pt-BR"/>
        </w:rPr>
        <w:t xml:space="preserve">do </w:t>
      </w:r>
      <w:r w:rsidR="00E045D9" w:rsidRPr="00D5464D">
        <w:rPr>
          <w:rFonts w:cs="Arial"/>
          <w:sz w:val="16"/>
          <w:szCs w:val="20"/>
          <w:lang w:val="pt-BR"/>
        </w:rPr>
        <w:t xml:space="preserve">trabalho e </w:t>
      </w:r>
      <w:r w:rsidR="00737270" w:rsidRPr="00D5464D">
        <w:rPr>
          <w:rFonts w:cs="Arial"/>
          <w:sz w:val="16"/>
          <w:szCs w:val="20"/>
          <w:lang w:val="pt-BR"/>
        </w:rPr>
        <w:t>redução</w:t>
      </w:r>
      <w:r w:rsidRPr="00D5464D">
        <w:rPr>
          <w:rFonts w:cs="Arial"/>
          <w:sz w:val="16"/>
          <w:szCs w:val="20"/>
          <w:lang w:val="pt-BR"/>
        </w:rPr>
        <w:t xml:space="preserve"> </w:t>
      </w:r>
      <w:r w:rsidR="00BC7B3C" w:rsidRPr="00D5464D">
        <w:rPr>
          <w:rFonts w:cs="Arial"/>
          <w:sz w:val="16"/>
          <w:szCs w:val="20"/>
          <w:lang w:val="pt-BR"/>
        </w:rPr>
        <w:t>à</w:t>
      </w:r>
      <w:r w:rsidRPr="00D5464D">
        <w:rPr>
          <w:rFonts w:cs="Arial"/>
          <w:sz w:val="16"/>
          <w:szCs w:val="20"/>
          <w:lang w:val="pt-BR"/>
        </w:rPr>
        <w:t xml:space="preserve"> condi</w:t>
      </w:r>
      <w:r w:rsidR="00470ADC" w:rsidRPr="00D5464D">
        <w:rPr>
          <w:rFonts w:cs="Arial"/>
          <w:sz w:val="16"/>
          <w:szCs w:val="20"/>
          <w:lang w:val="pt-BR"/>
        </w:rPr>
        <w:t>ção</w:t>
      </w:r>
      <w:r w:rsidRPr="00D5464D">
        <w:rPr>
          <w:rFonts w:cs="Arial"/>
          <w:sz w:val="16"/>
          <w:szCs w:val="20"/>
          <w:lang w:val="pt-BR"/>
        </w:rPr>
        <w:t xml:space="preserve"> análoga</w:t>
      </w:r>
      <w:r w:rsidR="00470ADC" w:rsidRPr="00D5464D">
        <w:rPr>
          <w:rFonts w:cs="Arial"/>
          <w:sz w:val="16"/>
          <w:szCs w:val="20"/>
          <w:lang w:val="pt-BR"/>
        </w:rPr>
        <w:t xml:space="preserve"> à </w:t>
      </w:r>
      <w:r w:rsidR="00696CD2" w:rsidRPr="00D5464D">
        <w:rPr>
          <w:rFonts w:cs="Arial"/>
          <w:sz w:val="16"/>
          <w:szCs w:val="20"/>
          <w:lang w:val="pt-BR"/>
        </w:rPr>
        <w:t xml:space="preserve">de </w:t>
      </w:r>
      <w:r w:rsidR="004F1CC2" w:rsidRPr="00D5464D">
        <w:rPr>
          <w:rFonts w:cs="Arial"/>
          <w:sz w:val="16"/>
          <w:szCs w:val="20"/>
          <w:lang w:val="pt-BR"/>
        </w:rPr>
        <w:t>escravo</w:t>
      </w:r>
      <w:r w:rsidR="00A1358C" w:rsidRPr="00D5464D">
        <w:rPr>
          <w:rFonts w:cs="Arial"/>
          <w:sz w:val="16"/>
          <w:szCs w:val="20"/>
          <w:lang w:val="pt-BR"/>
        </w:rPr>
        <w:t xml:space="preserve">. </w:t>
      </w:r>
      <w:r w:rsidR="00BC7B3C" w:rsidRPr="00D5464D">
        <w:rPr>
          <w:rFonts w:cs="Arial"/>
          <w:sz w:val="16"/>
          <w:szCs w:val="20"/>
          <w:lang w:val="pt-BR"/>
        </w:rPr>
        <w:t xml:space="preserve">Pela não apuração </w:t>
      </w:r>
      <w:r w:rsidR="00A8241B" w:rsidRPr="00D5464D">
        <w:rPr>
          <w:rFonts w:cs="Arial"/>
          <w:sz w:val="16"/>
          <w:szCs w:val="20"/>
          <w:lang w:val="pt-BR"/>
        </w:rPr>
        <w:t xml:space="preserve">desse </w:t>
      </w:r>
      <w:r w:rsidR="002C330E" w:rsidRPr="00D5464D">
        <w:rPr>
          <w:rFonts w:cs="Arial"/>
          <w:sz w:val="16"/>
          <w:szCs w:val="20"/>
          <w:lang w:val="pt-BR"/>
        </w:rPr>
        <w:t>fato</w:t>
      </w:r>
      <w:r w:rsidR="00E045D9" w:rsidRPr="00D5464D">
        <w:rPr>
          <w:rFonts w:cs="Arial"/>
          <w:sz w:val="16"/>
          <w:szCs w:val="20"/>
          <w:lang w:val="pt-BR"/>
        </w:rPr>
        <w:t xml:space="preserve"> na época</w:t>
      </w:r>
      <w:r w:rsidR="002C330E" w:rsidRPr="00D5464D">
        <w:rPr>
          <w:rFonts w:cs="Arial"/>
          <w:sz w:val="16"/>
          <w:szCs w:val="20"/>
          <w:lang w:val="pt-BR"/>
        </w:rPr>
        <w:t xml:space="preserve"> própria</w:t>
      </w:r>
      <w:r w:rsidR="00E045D9" w:rsidRPr="00D5464D">
        <w:rPr>
          <w:rFonts w:cs="Arial"/>
          <w:sz w:val="16"/>
          <w:szCs w:val="20"/>
          <w:lang w:val="pt-BR"/>
        </w:rPr>
        <w:t xml:space="preserve"> e </w:t>
      </w:r>
      <w:r w:rsidR="002C330E" w:rsidRPr="00D5464D">
        <w:rPr>
          <w:rFonts w:cs="Arial"/>
          <w:sz w:val="16"/>
          <w:szCs w:val="20"/>
          <w:lang w:val="pt-BR"/>
        </w:rPr>
        <w:t>a prescrição</w:t>
      </w:r>
      <w:r w:rsidR="00470ADC" w:rsidRPr="00D5464D">
        <w:rPr>
          <w:rFonts w:cs="Arial"/>
          <w:sz w:val="16"/>
          <w:szCs w:val="20"/>
          <w:lang w:val="pt-BR"/>
        </w:rPr>
        <w:t xml:space="preserve"> dos demais</w:t>
      </w:r>
      <w:r w:rsidRPr="00D5464D">
        <w:rPr>
          <w:rFonts w:cs="Arial"/>
          <w:sz w:val="16"/>
          <w:szCs w:val="20"/>
          <w:lang w:val="pt-BR"/>
        </w:rPr>
        <w:t xml:space="preserve"> </w:t>
      </w:r>
      <w:r w:rsidR="00A8241B" w:rsidRPr="00D5464D">
        <w:rPr>
          <w:rFonts w:cs="Arial"/>
          <w:sz w:val="16"/>
          <w:szCs w:val="20"/>
          <w:lang w:val="pt-BR"/>
        </w:rPr>
        <w:t>crimes</w:t>
      </w:r>
      <w:r w:rsidRPr="00D5464D">
        <w:rPr>
          <w:rFonts w:cs="Arial"/>
          <w:sz w:val="16"/>
          <w:szCs w:val="20"/>
          <w:lang w:val="pt-BR"/>
        </w:rPr>
        <w:t xml:space="preserve">, </w:t>
      </w:r>
      <w:r w:rsidR="00470ADC" w:rsidRPr="00D5464D">
        <w:rPr>
          <w:rFonts w:cs="Arial"/>
          <w:sz w:val="16"/>
          <w:szCs w:val="20"/>
          <w:lang w:val="pt-BR"/>
        </w:rPr>
        <w:t>quando</w:t>
      </w:r>
      <w:r w:rsidR="002C330E" w:rsidRPr="00D5464D">
        <w:rPr>
          <w:rFonts w:cs="Arial"/>
          <w:sz w:val="16"/>
          <w:szCs w:val="20"/>
          <w:lang w:val="pt-BR"/>
        </w:rPr>
        <w:t xml:space="preserve"> os fatos</w:t>
      </w:r>
      <w:r w:rsidRPr="00D5464D">
        <w:rPr>
          <w:rFonts w:cs="Arial"/>
          <w:sz w:val="16"/>
          <w:szCs w:val="20"/>
          <w:lang w:val="pt-BR"/>
        </w:rPr>
        <w:t xml:space="preserve"> </w:t>
      </w:r>
      <w:r w:rsidR="002C330E" w:rsidRPr="00D5464D">
        <w:rPr>
          <w:rFonts w:cs="Arial"/>
          <w:sz w:val="16"/>
          <w:szCs w:val="20"/>
          <w:lang w:val="pt-BR"/>
        </w:rPr>
        <w:t>chegaram</w:t>
      </w:r>
      <w:r w:rsidRPr="00D5464D">
        <w:rPr>
          <w:rFonts w:cs="Arial"/>
          <w:sz w:val="16"/>
          <w:szCs w:val="20"/>
          <w:lang w:val="pt-BR"/>
        </w:rPr>
        <w:t xml:space="preserve"> a</w:t>
      </w:r>
      <w:r w:rsidR="00A8241B" w:rsidRPr="00D5464D">
        <w:rPr>
          <w:rFonts w:cs="Arial"/>
          <w:sz w:val="16"/>
          <w:szCs w:val="20"/>
          <w:lang w:val="pt-BR"/>
        </w:rPr>
        <w:t>o</w:t>
      </w:r>
      <w:r w:rsidRPr="00D5464D">
        <w:rPr>
          <w:rFonts w:cs="Arial"/>
          <w:sz w:val="16"/>
          <w:szCs w:val="20"/>
          <w:lang w:val="pt-BR"/>
        </w:rPr>
        <w:t xml:space="preserve"> </w:t>
      </w:r>
      <w:r w:rsidR="00470ADC" w:rsidRPr="00D5464D">
        <w:rPr>
          <w:rFonts w:cs="Arial"/>
          <w:sz w:val="16"/>
          <w:szCs w:val="20"/>
          <w:lang w:val="pt-BR"/>
        </w:rPr>
        <w:t>conhecimento</w:t>
      </w:r>
      <w:r w:rsidRPr="00D5464D">
        <w:rPr>
          <w:rFonts w:cs="Arial"/>
          <w:sz w:val="16"/>
          <w:szCs w:val="20"/>
          <w:lang w:val="pt-BR"/>
        </w:rPr>
        <w:t xml:space="preserve"> </w:t>
      </w:r>
      <w:r w:rsidR="00470ADC" w:rsidRPr="00D5464D">
        <w:rPr>
          <w:rFonts w:cs="Arial"/>
          <w:sz w:val="16"/>
          <w:szCs w:val="20"/>
          <w:lang w:val="pt-BR"/>
        </w:rPr>
        <w:t xml:space="preserve">do </w:t>
      </w:r>
      <w:r w:rsidR="002C330E" w:rsidRPr="00D5464D">
        <w:rPr>
          <w:rFonts w:cs="Arial"/>
          <w:sz w:val="16"/>
          <w:szCs w:val="20"/>
          <w:lang w:val="pt-BR"/>
        </w:rPr>
        <w:t>Ministério</w:t>
      </w:r>
      <w:r w:rsidRPr="00D5464D">
        <w:rPr>
          <w:rFonts w:cs="Arial"/>
          <w:sz w:val="16"/>
          <w:szCs w:val="20"/>
          <w:lang w:val="pt-BR"/>
        </w:rPr>
        <w:t xml:space="preserve"> Público Federal, </w:t>
      </w:r>
      <w:r w:rsidR="00A8241B" w:rsidRPr="00D5464D">
        <w:rPr>
          <w:rFonts w:cs="Arial"/>
          <w:sz w:val="16"/>
          <w:szCs w:val="20"/>
          <w:lang w:val="pt-BR"/>
        </w:rPr>
        <w:t xml:space="preserve">tornou-se </w:t>
      </w:r>
      <w:r w:rsidR="002C330E" w:rsidRPr="00D5464D">
        <w:rPr>
          <w:rFonts w:cs="Arial"/>
          <w:sz w:val="16"/>
          <w:szCs w:val="20"/>
          <w:lang w:val="pt-BR"/>
        </w:rPr>
        <w:t>impossível</w:t>
      </w:r>
      <w:r w:rsidRPr="00D5464D">
        <w:rPr>
          <w:rFonts w:cs="Arial"/>
          <w:sz w:val="16"/>
          <w:szCs w:val="20"/>
          <w:lang w:val="pt-BR"/>
        </w:rPr>
        <w:t xml:space="preserve"> </w:t>
      </w:r>
      <w:r w:rsidR="00A8241B" w:rsidRPr="00D5464D">
        <w:rPr>
          <w:rFonts w:cs="Arial"/>
          <w:sz w:val="16"/>
          <w:szCs w:val="20"/>
          <w:lang w:val="pt-BR"/>
        </w:rPr>
        <w:t>a proposição d</w:t>
      </w:r>
      <w:r w:rsidR="002C330E" w:rsidRPr="00D5464D">
        <w:rPr>
          <w:rFonts w:cs="Arial"/>
          <w:sz w:val="16"/>
          <w:szCs w:val="20"/>
          <w:lang w:val="pt-BR"/>
        </w:rPr>
        <w:t xml:space="preserve">a </w:t>
      </w:r>
      <w:r w:rsidR="00737270" w:rsidRPr="00D5464D">
        <w:rPr>
          <w:rFonts w:cs="Arial"/>
          <w:sz w:val="16"/>
          <w:szCs w:val="20"/>
          <w:lang w:val="pt-BR"/>
        </w:rPr>
        <w:t>ação</w:t>
      </w:r>
      <w:r w:rsidRPr="00D5464D">
        <w:rPr>
          <w:rFonts w:cs="Arial"/>
          <w:sz w:val="16"/>
          <w:szCs w:val="20"/>
          <w:lang w:val="pt-BR"/>
        </w:rPr>
        <w:t xml:space="preserve"> penal [...]</w:t>
      </w:r>
      <w:r w:rsidR="00470ADC" w:rsidRPr="00D5464D">
        <w:rPr>
          <w:rFonts w:cs="Arial"/>
          <w:sz w:val="16"/>
          <w:szCs w:val="20"/>
          <w:lang w:val="pt-BR"/>
        </w:rPr>
        <w:t xml:space="preserve"> o </w:t>
      </w:r>
      <w:r w:rsidR="00230C71" w:rsidRPr="00D5464D">
        <w:rPr>
          <w:rFonts w:cs="Arial"/>
          <w:sz w:val="16"/>
          <w:szCs w:val="20"/>
          <w:lang w:val="pt-BR"/>
        </w:rPr>
        <w:t>proprietário</w:t>
      </w:r>
      <w:r w:rsidR="00470ADC" w:rsidRPr="00D5464D">
        <w:rPr>
          <w:rFonts w:cs="Arial"/>
          <w:sz w:val="16"/>
          <w:szCs w:val="20"/>
          <w:lang w:val="pt-BR"/>
        </w:rPr>
        <w:t xml:space="preserve"> da </w:t>
      </w:r>
      <w:r w:rsidR="00D809F0" w:rsidRPr="00D5464D">
        <w:rPr>
          <w:rFonts w:cs="Arial"/>
          <w:sz w:val="16"/>
          <w:szCs w:val="20"/>
          <w:lang w:val="pt-BR"/>
        </w:rPr>
        <w:t>fazenda</w:t>
      </w:r>
      <w:r w:rsidRPr="00D5464D">
        <w:rPr>
          <w:rFonts w:cs="Arial"/>
          <w:sz w:val="16"/>
          <w:szCs w:val="20"/>
          <w:lang w:val="pt-BR"/>
        </w:rPr>
        <w:t xml:space="preserve">, </w:t>
      </w:r>
      <w:r w:rsidR="00E045D9" w:rsidRPr="00D5464D">
        <w:rPr>
          <w:rFonts w:cs="Arial"/>
          <w:sz w:val="16"/>
          <w:szCs w:val="20"/>
          <w:lang w:val="pt-BR"/>
        </w:rPr>
        <w:t>terceiro</w:t>
      </w:r>
      <w:r w:rsidRPr="00D5464D">
        <w:rPr>
          <w:rFonts w:cs="Arial"/>
          <w:sz w:val="16"/>
          <w:szCs w:val="20"/>
          <w:lang w:val="pt-BR"/>
        </w:rPr>
        <w:t xml:space="preserve"> denunciado, </w:t>
      </w:r>
      <w:r w:rsidR="00E045D9" w:rsidRPr="00D5464D">
        <w:rPr>
          <w:rFonts w:cs="Arial"/>
          <w:sz w:val="16"/>
          <w:szCs w:val="20"/>
          <w:lang w:val="pt-BR"/>
        </w:rPr>
        <w:t>tinha</w:t>
      </w:r>
      <w:r w:rsidRPr="00D5464D">
        <w:rPr>
          <w:rFonts w:cs="Arial"/>
          <w:sz w:val="16"/>
          <w:szCs w:val="20"/>
          <w:lang w:val="pt-BR"/>
        </w:rPr>
        <w:t xml:space="preserve"> plena </w:t>
      </w:r>
      <w:r w:rsidR="00E765C2" w:rsidRPr="00D5464D">
        <w:rPr>
          <w:rFonts w:cs="Arial"/>
          <w:sz w:val="16"/>
          <w:szCs w:val="20"/>
          <w:lang w:val="pt-BR"/>
        </w:rPr>
        <w:t>consciência</w:t>
      </w:r>
      <w:r w:rsidRPr="00D5464D">
        <w:rPr>
          <w:rFonts w:cs="Arial"/>
          <w:sz w:val="16"/>
          <w:szCs w:val="20"/>
          <w:lang w:val="pt-BR"/>
        </w:rPr>
        <w:t xml:space="preserve"> de que</w:t>
      </w:r>
      <w:r w:rsidR="009A3664" w:rsidRPr="00D5464D">
        <w:rPr>
          <w:rFonts w:cs="Arial"/>
          <w:sz w:val="16"/>
          <w:szCs w:val="20"/>
          <w:lang w:val="pt-BR"/>
        </w:rPr>
        <w:t>,</w:t>
      </w:r>
      <w:r w:rsidR="00A8241B" w:rsidRPr="00D5464D">
        <w:rPr>
          <w:rFonts w:cs="Arial"/>
          <w:sz w:val="16"/>
          <w:szCs w:val="20"/>
          <w:lang w:val="pt-BR"/>
        </w:rPr>
        <w:t xml:space="preserve"> no mínimo</w:t>
      </w:r>
      <w:r w:rsidRPr="00D5464D">
        <w:rPr>
          <w:rFonts w:cs="Arial"/>
          <w:sz w:val="16"/>
          <w:szCs w:val="20"/>
          <w:lang w:val="pt-BR"/>
        </w:rPr>
        <w:t xml:space="preserve">, </w:t>
      </w:r>
      <w:r w:rsidR="00737270" w:rsidRPr="00D5464D">
        <w:rPr>
          <w:rFonts w:cs="Arial"/>
          <w:sz w:val="16"/>
          <w:szCs w:val="20"/>
          <w:lang w:val="pt-BR"/>
        </w:rPr>
        <w:t xml:space="preserve">estaria </w:t>
      </w:r>
      <w:r w:rsidR="00C91CB1" w:rsidRPr="00D5464D">
        <w:rPr>
          <w:rFonts w:cs="Arial"/>
          <w:sz w:val="16"/>
          <w:szCs w:val="20"/>
          <w:lang w:val="pt-BR"/>
        </w:rPr>
        <w:t>cometendo</w:t>
      </w:r>
      <w:r w:rsidR="00E045D9" w:rsidRPr="00D5464D">
        <w:rPr>
          <w:rFonts w:cs="Arial"/>
          <w:sz w:val="16"/>
          <w:szCs w:val="20"/>
          <w:lang w:val="pt-BR"/>
        </w:rPr>
        <w:t xml:space="preserve"> um </w:t>
      </w:r>
      <w:r w:rsidRPr="00D5464D">
        <w:rPr>
          <w:rFonts w:cs="Arial"/>
          <w:sz w:val="16"/>
          <w:szCs w:val="20"/>
          <w:lang w:val="pt-BR"/>
        </w:rPr>
        <w:t>delito de frustra</w:t>
      </w:r>
      <w:r w:rsidR="00470ADC" w:rsidRPr="00D5464D">
        <w:rPr>
          <w:rFonts w:cs="Arial"/>
          <w:sz w:val="16"/>
          <w:szCs w:val="20"/>
          <w:lang w:val="pt-BR"/>
        </w:rPr>
        <w:t>ção</w:t>
      </w:r>
      <w:r w:rsidRPr="00D5464D">
        <w:rPr>
          <w:rFonts w:cs="Arial"/>
          <w:sz w:val="16"/>
          <w:szCs w:val="20"/>
          <w:lang w:val="pt-BR"/>
        </w:rPr>
        <w:t xml:space="preserve"> de </w:t>
      </w:r>
      <w:r w:rsidR="00470ADC" w:rsidRPr="00D5464D">
        <w:rPr>
          <w:rFonts w:cs="Arial"/>
          <w:sz w:val="16"/>
          <w:szCs w:val="20"/>
          <w:lang w:val="pt-BR"/>
        </w:rPr>
        <w:t>direito</w:t>
      </w:r>
      <w:r w:rsidRPr="00D5464D">
        <w:rPr>
          <w:rFonts w:cs="Arial"/>
          <w:sz w:val="16"/>
          <w:szCs w:val="20"/>
          <w:lang w:val="pt-BR"/>
        </w:rPr>
        <w:t>s</w:t>
      </w:r>
      <w:r w:rsidR="00470ADC" w:rsidRPr="00D5464D">
        <w:rPr>
          <w:rFonts w:cs="Arial"/>
          <w:sz w:val="16"/>
          <w:szCs w:val="20"/>
          <w:lang w:val="pt-BR"/>
        </w:rPr>
        <w:t xml:space="preserve"> </w:t>
      </w:r>
      <w:r w:rsidR="00E045D9" w:rsidRPr="00D5464D">
        <w:rPr>
          <w:rFonts w:cs="Arial"/>
          <w:sz w:val="16"/>
          <w:szCs w:val="20"/>
          <w:lang w:val="pt-BR"/>
        </w:rPr>
        <w:t>trabalh</w:t>
      </w:r>
      <w:r w:rsidR="00A8241B" w:rsidRPr="00D5464D">
        <w:rPr>
          <w:rFonts w:cs="Arial"/>
          <w:sz w:val="16"/>
          <w:szCs w:val="20"/>
          <w:lang w:val="pt-BR"/>
        </w:rPr>
        <w:t>istas</w:t>
      </w:r>
      <w:r w:rsidRPr="00D5464D">
        <w:rPr>
          <w:rFonts w:cs="Arial"/>
          <w:sz w:val="16"/>
          <w:szCs w:val="20"/>
          <w:lang w:val="pt-BR"/>
        </w:rPr>
        <w:t>, mediante fraude</w:t>
      </w:r>
      <w:r w:rsidR="00A8241B" w:rsidRPr="00D5464D">
        <w:rPr>
          <w:rFonts w:cs="Arial"/>
          <w:sz w:val="16"/>
          <w:szCs w:val="20"/>
          <w:lang w:val="pt-BR"/>
        </w:rPr>
        <w:t>.</w:t>
      </w:r>
      <w:r w:rsidRPr="00D5464D">
        <w:rPr>
          <w:rStyle w:val="Refdenotaalpie"/>
          <w:rFonts w:cs="Arial"/>
          <w:sz w:val="16"/>
          <w:lang w:val="pt-BR"/>
        </w:rPr>
        <w:footnoteReference w:id="136"/>
      </w:r>
    </w:p>
    <w:p w14:paraId="152E5EED" w14:textId="77777777" w:rsidR="0003391C" w:rsidRPr="00D5464D" w:rsidRDefault="0003391C" w:rsidP="00140440">
      <w:pPr>
        <w:autoSpaceDE w:val="0"/>
        <w:autoSpaceDN w:val="0"/>
        <w:adjustRightInd w:val="0"/>
        <w:jc w:val="both"/>
        <w:rPr>
          <w:rFonts w:cs="Times New Roman"/>
          <w:szCs w:val="20"/>
          <w:lang w:val="pt-BR"/>
        </w:rPr>
      </w:pPr>
    </w:p>
    <w:p w14:paraId="2EFC5F73" w14:textId="1B956965" w:rsidR="0003391C" w:rsidRPr="00D5464D" w:rsidRDefault="009A3664" w:rsidP="00140440">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Considerando que</w:t>
      </w:r>
      <w:r w:rsidR="00FF1290" w:rsidRPr="00D5464D">
        <w:rPr>
          <w:rFonts w:cs="Arial"/>
          <w:szCs w:val="20"/>
          <w:lang w:val="pt-BR"/>
        </w:rPr>
        <w:t xml:space="preserve"> </w:t>
      </w:r>
      <w:r w:rsidR="002C330E" w:rsidRPr="00D5464D">
        <w:rPr>
          <w:rFonts w:cs="Arial"/>
          <w:szCs w:val="20"/>
          <w:lang w:val="pt-BR"/>
        </w:rPr>
        <w:t xml:space="preserve">a </w:t>
      </w:r>
      <w:r w:rsidR="0003391C" w:rsidRPr="00D5464D">
        <w:rPr>
          <w:rFonts w:cs="Arial"/>
          <w:szCs w:val="20"/>
          <w:lang w:val="pt-BR"/>
        </w:rPr>
        <w:t>pena prevista para</w:t>
      </w:r>
      <w:r w:rsidR="00470ADC" w:rsidRPr="00D5464D">
        <w:rPr>
          <w:rFonts w:cs="Arial"/>
          <w:szCs w:val="20"/>
          <w:lang w:val="pt-BR"/>
        </w:rPr>
        <w:t xml:space="preserve"> o </w:t>
      </w:r>
      <w:r w:rsidR="0003391C" w:rsidRPr="00D5464D">
        <w:rPr>
          <w:rFonts w:cs="Arial"/>
          <w:szCs w:val="20"/>
          <w:lang w:val="pt-BR"/>
        </w:rPr>
        <w:t xml:space="preserve">delito </w:t>
      </w:r>
      <w:r w:rsidR="00470ADC" w:rsidRPr="00D5464D">
        <w:rPr>
          <w:rFonts w:cs="Arial"/>
          <w:szCs w:val="20"/>
          <w:lang w:val="pt-BR"/>
        </w:rPr>
        <w:t xml:space="preserve">do </w:t>
      </w:r>
      <w:r w:rsidR="0059204E" w:rsidRPr="00D5464D">
        <w:rPr>
          <w:rFonts w:cs="Arial"/>
          <w:szCs w:val="20"/>
          <w:lang w:val="pt-BR"/>
        </w:rPr>
        <w:t>qual</w:t>
      </w:r>
      <w:r w:rsidR="0003391C" w:rsidRPr="00D5464D">
        <w:rPr>
          <w:rFonts w:cs="Arial"/>
          <w:szCs w:val="20"/>
          <w:lang w:val="pt-BR"/>
        </w:rPr>
        <w:t xml:space="preserve"> </w:t>
      </w:r>
      <w:r w:rsidR="0059204E" w:rsidRPr="00D5464D">
        <w:rPr>
          <w:rFonts w:cs="Arial"/>
          <w:szCs w:val="20"/>
          <w:lang w:val="pt-BR"/>
        </w:rPr>
        <w:t xml:space="preserve">era acusado </w:t>
      </w:r>
      <w:r w:rsidR="00470ADC" w:rsidRPr="00D5464D">
        <w:rPr>
          <w:rFonts w:cs="Arial"/>
          <w:szCs w:val="20"/>
          <w:lang w:val="pt-BR"/>
        </w:rPr>
        <w:t xml:space="preserve">o </w:t>
      </w:r>
      <w:r w:rsidR="002C330E" w:rsidRPr="00D5464D">
        <w:rPr>
          <w:rFonts w:cs="Arial"/>
          <w:szCs w:val="20"/>
          <w:lang w:val="pt-BR"/>
        </w:rPr>
        <w:t xml:space="preserve">senhor </w:t>
      </w:r>
      <w:r w:rsidR="00917270" w:rsidRPr="00D5464D">
        <w:rPr>
          <w:rFonts w:cs="Arial"/>
          <w:szCs w:val="20"/>
          <w:lang w:val="pt-BR"/>
        </w:rPr>
        <w:t xml:space="preserve">Quagliato Neto </w:t>
      </w:r>
      <w:r w:rsidRPr="00D5464D">
        <w:rPr>
          <w:rFonts w:cs="Arial"/>
          <w:szCs w:val="20"/>
          <w:lang w:val="pt-BR"/>
        </w:rPr>
        <w:t>era</w:t>
      </w:r>
      <w:r w:rsidR="0059204E" w:rsidRPr="00D5464D">
        <w:rPr>
          <w:rFonts w:cs="Arial"/>
          <w:szCs w:val="20"/>
          <w:lang w:val="pt-BR"/>
        </w:rPr>
        <w:t xml:space="preserve"> </w:t>
      </w:r>
      <w:r w:rsidR="0003391C" w:rsidRPr="00D5464D">
        <w:rPr>
          <w:rFonts w:cs="Arial"/>
          <w:szCs w:val="20"/>
          <w:lang w:val="pt-BR"/>
        </w:rPr>
        <w:t xml:space="preserve">menor </w:t>
      </w:r>
      <w:r w:rsidRPr="00D5464D">
        <w:rPr>
          <w:rFonts w:cs="Arial"/>
          <w:szCs w:val="20"/>
          <w:lang w:val="pt-BR"/>
        </w:rPr>
        <w:t>que</w:t>
      </w:r>
      <w:r w:rsidR="00E045D9" w:rsidRPr="00D5464D">
        <w:rPr>
          <w:rFonts w:cs="Arial"/>
          <w:szCs w:val="20"/>
          <w:lang w:val="pt-BR"/>
        </w:rPr>
        <w:t xml:space="preserve"> um ano,</w:t>
      </w:r>
      <w:r w:rsidR="00470ADC" w:rsidRPr="00D5464D">
        <w:rPr>
          <w:rFonts w:cs="Arial"/>
          <w:szCs w:val="20"/>
          <w:lang w:val="pt-BR"/>
        </w:rPr>
        <w:t xml:space="preserve"> o </w:t>
      </w:r>
      <w:r w:rsidR="002C330E" w:rsidRPr="00D5464D">
        <w:rPr>
          <w:rFonts w:cs="Arial"/>
          <w:szCs w:val="20"/>
          <w:lang w:val="pt-BR"/>
        </w:rPr>
        <w:t>Ministério</w:t>
      </w:r>
      <w:r w:rsidR="00917270" w:rsidRPr="00D5464D">
        <w:rPr>
          <w:rFonts w:cs="Arial"/>
          <w:szCs w:val="20"/>
          <w:lang w:val="pt-BR"/>
        </w:rPr>
        <w:t xml:space="preserve"> Público </w:t>
      </w:r>
      <w:r w:rsidR="002C330E" w:rsidRPr="00D5464D">
        <w:rPr>
          <w:rFonts w:cs="Arial"/>
          <w:szCs w:val="20"/>
          <w:lang w:val="pt-BR"/>
        </w:rPr>
        <w:t>propôs</w:t>
      </w:r>
      <w:r w:rsidR="00917270" w:rsidRPr="00D5464D">
        <w:rPr>
          <w:rFonts w:cs="Arial"/>
          <w:szCs w:val="20"/>
          <w:lang w:val="pt-BR"/>
        </w:rPr>
        <w:t xml:space="preserve"> suspender </w:t>
      </w:r>
      <w:r w:rsidR="0003391C" w:rsidRPr="00D5464D">
        <w:rPr>
          <w:rFonts w:cs="Arial"/>
          <w:szCs w:val="20"/>
          <w:lang w:val="pt-BR"/>
        </w:rPr>
        <w:t>por do</w:t>
      </w:r>
      <w:r w:rsidR="0059204E" w:rsidRPr="00D5464D">
        <w:rPr>
          <w:rFonts w:cs="Arial"/>
          <w:szCs w:val="20"/>
          <w:lang w:val="pt-BR"/>
        </w:rPr>
        <w:t>i</w:t>
      </w:r>
      <w:r w:rsidR="0003391C" w:rsidRPr="00D5464D">
        <w:rPr>
          <w:rFonts w:cs="Arial"/>
          <w:szCs w:val="20"/>
          <w:lang w:val="pt-BR"/>
        </w:rPr>
        <w:t xml:space="preserve">s </w:t>
      </w:r>
      <w:r w:rsidR="00470ADC" w:rsidRPr="00D5464D">
        <w:rPr>
          <w:rFonts w:cs="Arial"/>
          <w:szCs w:val="20"/>
          <w:lang w:val="pt-BR"/>
        </w:rPr>
        <w:t xml:space="preserve">anos o </w:t>
      </w:r>
      <w:r w:rsidR="002C330E" w:rsidRPr="00D5464D">
        <w:rPr>
          <w:rFonts w:cs="Arial"/>
          <w:szCs w:val="20"/>
          <w:lang w:val="pt-BR"/>
        </w:rPr>
        <w:t>processo</w:t>
      </w:r>
      <w:r w:rsidR="00470ADC" w:rsidRPr="00D5464D">
        <w:rPr>
          <w:rFonts w:cs="Arial"/>
          <w:szCs w:val="20"/>
          <w:lang w:val="pt-BR"/>
        </w:rPr>
        <w:t xml:space="preserve"> </w:t>
      </w:r>
      <w:r w:rsidR="0003391C" w:rsidRPr="00D5464D">
        <w:rPr>
          <w:rFonts w:cs="Arial"/>
          <w:szCs w:val="20"/>
          <w:lang w:val="pt-BR"/>
        </w:rPr>
        <w:t>contra</w:t>
      </w:r>
      <w:r w:rsidR="002C330E" w:rsidRPr="00D5464D">
        <w:rPr>
          <w:rFonts w:cs="Arial"/>
          <w:szCs w:val="20"/>
          <w:lang w:val="pt-BR"/>
        </w:rPr>
        <w:t xml:space="preserve"> </w:t>
      </w:r>
      <w:r w:rsidR="0059204E" w:rsidRPr="00D5464D">
        <w:rPr>
          <w:rFonts w:cs="Arial"/>
          <w:szCs w:val="20"/>
          <w:lang w:val="pt-BR"/>
        </w:rPr>
        <w:t xml:space="preserve">ele se aceitasse </w:t>
      </w:r>
      <w:r w:rsidR="00A1358C" w:rsidRPr="00D5464D">
        <w:rPr>
          <w:rFonts w:cs="Arial"/>
          <w:szCs w:val="20"/>
          <w:lang w:val="pt-BR"/>
        </w:rPr>
        <w:t>cumprir</w:t>
      </w:r>
      <w:r w:rsidR="00470ADC" w:rsidRPr="00D5464D">
        <w:rPr>
          <w:rFonts w:cs="Arial"/>
          <w:szCs w:val="20"/>
          <w:lang w:val="pt-BR"/>
        </w:rPr>
        <w:t xml:space="preserve"> </w:t>
      </w:r>
      <w:r w:rsidR="0003391C" w:rsidRPr="00D5464D">
        <w:rPr>
          <w:rFonts w:cs="Arial"/>
          <w:szCs w:val="20"/>
          <w:lang w:val="pt-BR"/>
        </w:rPr>
        <w:t>determinadas condi</w:t>
      </w:r>
      <w:r w:rsidR="00470ADC" w:rsidRPr="00D5464D">
        <w:rPr>
          <w:rFonts w:cs="Arial"/>
          <w:szCs w:val="20"/>
          <w:lang w:val="pt-BR"/>
        </w:rPr>
        <w:t>ções</w:t>
      </w:r>
      <w:r w:rsidR="0003391C" w:rsidRPr="00D5464D">
        <w:rPr>
          <w:rFonts w:cs="Arial"/>
          <w:szCs w:val="20"/>
          <w:lang w:val="pt-BR"/>
        </w:rPr>
        <w:t xml:space="preserve"> im</w:t>
      </w:r>
      <w:r w:rsidR="002C330E" w:rsidRPr="00D5464D">
        <w:rPr>
          <w:rFonts w:cs="Arial"/>
          <w:szCs w:val="20"/>
          <w:lang w:val="pt-BR"/>
        </w:rPr>
        <w:t>posta</w:t>
      </w:r>
      <w:r w:rsidR="0003391C" w:rsidRPr="00D5464D">
        <w:rPr>
          <w:rFonts w:cs="Arial"/>
          <w:szCs w:val="20"/>
          <w:lang w:val="pt-BR"/>
        </w:rPr>
        <w:t>s</w:t>
      </w:r>
      <w:r w:rsidR="002C330E" w:rsidRPr="00D5464D">
        <w:rPr>
          <w:rFonts w:cs="Arial"/>
          <w:szCs w:val="20"/>
          <w:lang w:val="pt-BR"/>
        </w:rPr>
        <w:t xml:space="preserve"> pelo juiz</w:t>
      </w:r>
      <w:r w:rsidR="0003391C" w:rsidRPr="00D5464D">
        <w:rPr>
          <w:rFonts w:cs="Arial"/>
          <w:szCs w:val="20"/>
          <w:lang w:val="pt-BR"/>
        </w:rPr>
        <w:t xml:space="preserve"> federal</w:t>
      </w:r>
      <w:r w:rsidR="0059204E" w:rsidRPr="00D5464D">
        <w:rPr>
          <w:rFonts w:cs="Arial"/>
          <w:szCs w:val="20"/>
          <w:lang w:val="pt-BR"/>
        </w:rPr>
        <w:t>.</w:t>
      </w:r>
      <w:r w:rsidR="0003391C" w:rsidRPr="00D5464D">
        <w:rPr>
          <w:rStyle w:val="Refdenotaalpie"/>
          <w:rFonts w:cs="Arial"/>
          <w:lang w:val="pt-BR"/>
        </w:rPr>
        <w:footnoteReference w:id="137"/>
      </w:r>
    </w:p>
    <w:p w14:paraId="22E68D36" w14:textId="77777777" w:rsidR="0003391C" w:rsidRPr="00D5464D" w:rsidRDefault="0003391C" w:rsidP="00140440">
      <w:pPr>
        <w:pStyle w:val="Prrafodelista"/>
        <w:autoSpaceDE w:val="0"/>
        <w:autoSpaceDN w:val="0"/>
        <w:adjustRightInd w:val="0"/>
        <w:ind w:left="0"/>
        <w:contextualSpacing w:val="0"/>
        <w:rPr>
          <w:rFonts w:cs="Arial"/>
          <w:szCs w:val="20"/>
          <w:lang w:val="pt-BR"/>
        </w:rPr>
      </w:pPr>
    </w:p>
    <w:p w14:paraId="01C412C8" w14:textId="1440DF7D" w:rsidR="0003391C" w:rsidRPr="00D5464D" w:rsidRDefault="00C91CB1" w:rsidP="00140440">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 xml:space="preserve">Em </w:t>
      </w:r>
      <w:r w:rsidR="002C330E" w:rsidRPr="00D5464D">
        <w:rPr>
          <w:rFonts w:cs="Arial"/>
          <w:szCs w:val="20"/>
          <w:lang w:val="pt-BR"/>
        </w:rPr>
        <w:t>julho</w:t>
      </w:r>
      <w:r w:rsidR="0003391C" w:rsidRPr="00D5464D">
        <w:rPr>
          <w:rFonts w:cs="Arial"/>
          <w:szCs w:val="20"/>
          <w:lang w:val="pt-BR"/>
        </w:rPr>
        <w:t xml:space="preserve"> de 1997</w:t>
      </w:r>
      <w:r w:rsidR="0059204E" w:rsidRPr="00D5464D">
        <w:rPr>
          <w:rFonts w:cs="Arial"/>
          <w:szCs w:val="20"/>
          <w:lang w:val="pt-BR"/>
        </w:rPr>
        <w:t>,</w:t>
      </w:r>
      <w:r w:rsidR="00470ADC" w:rsidRPr="00D5464D">
        <w:rPr>
          <w:rFonts w:cs="Arial"/>
          <w:szCs w:val="20"/>
          <w:lang w:val="pt-BR"/>
        </w:rPr>
        <w:t xml:space="preserve"> o </w:t>
      </w:r>
      <w:r w:rsidR="002C330E" w:rsidRPr="00D5464D">
        <w:rPr>
          <w:rFonts w:cs="Arial"/>
          <w:szCs w:val="20"/>
          <w:lang w:val="pt-BR"/>
        </w:rPr>
        <w:t>juiz</w:t>
      </w:r>
      <w:r w:rsidR="0003391C" w:rsidRPr="00D5464D">
        <w:rPr>
          <w:rFonts w:cs="Arial"/>
          <w:szCs w:val="20"/>
          <w:lang w:val="pt-BR"/>
        </w:rPr>
        <w:t xml:space="preserve"> federal ex</w:t>
      </w:r>
      <w:r w:rsidR="002C330E" w:rsidRPr="00D5464D">
        <w:rPr>
          <w:rFonts w:cs="Arial"/>
          <w:szCs w:val="20"/>
          <w:lang w:val="pt-BR"/>
        </w:rPr>
        <w:t>pediu</w:t>
      </w:r>
      <w:r w:rsidR="00E045D9" w:rsidRPr="00D5464D">
        <w:rPr>
          <w:rFonts w:cs="Arial"/>
          <w:szCs w:val="20"/>
          <w:lang w:val="pt-BR"/>
        </w:rPr>
        <w:t xml:space="preserve"> uma </w:t>
      </w:r>
      <w:r w:rsidR="0003391C" w:rsidRPr="00D5464D">
        <w:rPr>
          <w:rFonts w:cs="Arial"/>
          <w:szCs w:val="20"/>
          <w:lang w:val="pt-BR"/>
        </w:rPr>
        <w:t>cita</w:t>
      </w:r>
      <w:r w:rsidR="00470ADC" w:rsidRPr="00D5464D">
        <w:rPr>
          <w:rFonts w:cs="Arial"/>
          <w:szCs w:val="20"/>
          <w:lang w:val="pt-BR"/>
        </w:rPr>
        <w:t>ção</w:t>
      </w:r>
      <w:r w:rsidR="0003391C" w:rsidRPr="00D5464D">
        <w:rPr>
          <w:rFonts w:cs="Arial"/>
          <w:szCs w:val="20"/>
          <w:lang w:val="pt-BR"/>
        </w:rPr>
        <w:t xml:space="preserve"> para</w:t>
      </w:r>
      <w:r w:rsidR="002C330E" w:rsidRPr="00D5464D">
        <w:rPr>
          <w:rFonts w:cs="Arial"/>
          <w:szCs w:val="20"/>
          <w:lang w:val="pt-BR"/>
        </w:rPr>
        <w:t xml:space="preserve"> os senhores</w:t>
      </w:r>
      <w:r w:rsidR="0003391C" w:rsidRPr="00D5464D">
        <w:rPr>
          <w:rFonts w:cs="Arial"/>
          <w:szCs w:val="20"/>
          <w:lang w:val="pt-BR"/>
        </w:rPr>
        <w:t xml:space="preserve"> </w:t>
      </w:r>
      <w:r w:rsidR="00085F51" w:rsidRPr="00D5464D">
        <w:rPr>
          <w:rFonts w:cs="Arial"/>
          <w:szCs w:val="20"/>
          <w:lang w:val="pt-BR"/>
        </w:rPr>
        <w:t>Alves da Rocha</w:t>
      </w:r>
      <w:r w:rsidR="00E045D9" w:rsidRPr="00D5464D">
        <w:rPr>
          <w:rFonts w:cs="Arial"/>
          <w:szCs w:val="20"/>
          <w:lang w:val="pt-BR"/>
        </w:rPr>
        <w:t xml:space="preserve"> e </w:t>
      </w:r>
      <w:r w:rsidR="0003391C" w:rsidRPr="00D5464D">
        <w:rPr>
          <w:rFonts w:cs="Arial"/>
          <w:szCs w:val="20"/>
          <w:lang w:val="pt-BR"/>
        </w:rPr>
        <w:t>Alves Vieira</w:t>
      </w:r>
      <w:r w:rsidR="0059204E" w:rsidRPr="00D5464D">
        <w:rPr>
          <w:rFonts w:cs="Arial"/>
          <w:szCs w:val="20"/>
          <w:lang w:val="pt-BR"/>
        </w:rPr>
        <w:t>.</w:t>
      </w:r>
      <w:r w:rsidR="0003391C" w:rsidRPr="00D5464D">
        <w:rPr>
          <w:rStyle w:val="Refdenotaalpie"/>
          <w:rFonts w:cs="Arial"/>
          <w:lang w:val="pt-BR"/>
        </w:rPr>
        <w:footnoteReference w:id="138"/>
      </w:r>
      <w:r w:rsidR="0059204E" w:rsidRPr="00D5464D">
        <w:rPr>
          <w:rFonts w:cs="Arial"/>
          <w:szCs w:val="20"/>
          <w:lang w:val="pt-BR"/>
        </w:rPr>
        <w:t xml:space="preserve"> </w:t>
      </w:r>
      <w:r w:rsidRPr="00D5464D">
        <w:rPr>
          <w:rFonts w:cs="Arial"/>
          <w:szCs w:val="20"/>
          <w:lang w:val="pt-BR"/>
        </w:rPr>
        <w:t>Em 1</w:t>
      </w:r>
      <w:r w:rsidR="0003391C" w:rsidRPr="00D5464D">
        <w:rPr>
          <w:rFonts w:cs="Arial"/>
          <w:szCs w:val="20"/>
          <w:lang w:val="pt-BR"/>
        </w:rPr>
        <w:t xml:space="preserve">7 de </w:t>
      </w:r>
      <w:r w:rsidR="002C330E" w:rsidRPr="00D5464D">
        <w:rPr>
          <w:rFonts w:cs="Arial"/>
          <w:szCs w:val="20"/>
          <w:lang w:val="pt-BR"/>
        </w:rPr>
        <w:t>setembro</w:t>
      </w:r>
      <w:r w:rsidR="0003391C" w:rsidRPr="00D5464D">
        <w:rPr>
          <w:rFonts w:cs="Arial"/>
          <w:szCs w:val="20"/>
          <w:lang w:val="pt-BR"/>
        </w:rPr>
        <w:t xml:space="preserve"> de 1997</w:t>
      </w:r>
      <w:r w:rsidR="0059204E" w:rsidRPr="00D5464D">
        <w:rPr>
          <w:rFonts w:cs="Arial"/>
          <w:szCs w:val="20"/>
          <w:lang w:val="pt-BR"/>
        </w:rPr>
        <w:t>,</w:t>
      </w:r>
      <w:r w:rsidR="00470ADC" w:rsidRPr="00D5464D">
        <w:rPr>
          <w:rFonts w:cs="Arial"/>
          <w:szCs w:val="20"/>
          <w:lang w:val="pt-BR"/>
        </w:rPr>
        <w:t xml:space="preserve"> o </w:t>
      </w:r>
      <w:r w:rsidR="002C330E" w:rsidRPr="00D5464D">
        <w:rPr>
          <w:rFonts w:cs="Arial"/>
          <w:szCs w:val="20"/>
          <w:lang w:val="pt-BR"/>
        </w:rPr>
        <w:t>juiz</w:t>
      </w:r>
      <w:r w:rsidR="0003391C" w:rsidRPr="00D5464D">
        <w:rPr>
          <w:rFonts w:cs="Arial"/>
          <w:szCs w:val="20"/>
          <w:lang w:val="pt-BR"/>
        </w:rPr>
        <w:t xml:space="preserve"> federal </w:t>
      </w:r>
      <w:r w:rsidR="002C330E" w:rsidRPr="00D5464D">
        <w:rPr>
          <w:rFonts w:cs="Arial"/>
          <w:szCs w:val="20"/>
          <w:lang w:val="pt-BR"/>
        </w:rPr>
        <w:t xml:space="preserve">ordenou a </w:t>
      </w:r>
      <w:r w:rsidR="0003391C" w:rsidRPr="00D5464D">
        <w:rPr>
          <w:rFonts w:cs="Arial"/>
          <w:szCs w:val="20"/>
          <w:lang w:val="pt-BR"/>
        </w:rPr>
        <w:t>cita</w:t>
      </w:r>
      <w:r w:rsidR="00470ADC" w:rsidRPr="00D5464D">
        <w:rPr>
          <w:rFonts w:cs="Arial"/>
          <w:szCs w:val="20"/>
          <w:lang w:val="pt-BR"/>
        </w:rPr>
        <w:t>ção</w:t>
      </w:r>
      <w:r w:rsidR="0003391C" w:rsidRPr="00D5464D">
        <w:rPr>
          <w:rFonts w:cs="Arial"/>
          <w:szCs w:val="20"/>
          <w:lang w:val="pt-BR"/>
        </w:rPr>
        <w:t xml:space="preserve"> </w:t>
      </w:r>
      <w:r w:rsidR="00470ADC" w:rsidRPr="00D5464D">
        <w:rPr>
          <w:rFonts w:cs="Arial"/>
          <w:szCs w:val="20"/>
          <w:lang w:val="pt-BR"/>
        </w:rPr>
        <w:t xml:space="preserve">do </w:t>
      </w:r>
      <w:r w:rsidR="002C330E" w:rsidRPr="00D5464D">
        <w:rPr>
          <w:rFonts w:cs="Arial"/>
          <w:szCs w:val="20"/>
          <w:lang w:val="pt-BR"/>
        </w:rPr>
        <w:t xml:space="preserve">senhor </w:t>
      </w:r>
      <w:r w:rsidR="0003391C" w:rsidRPr="00D5464D">
        <w:rPr>
          <w:rFonts w:cs="Arial"/>
          <w:szCs w:val="20"/>
          <w:lang w:val="pt-BR"/>
        </w:rPr>
        <w:t>Quagliato Neto</w:t>
      </w:r>
      <w:r w:rsidR="00E045D9" w:rsidRPr="00D5464D">
        <w:rPr>
          <w:rFonts w:cs="Arial"/>
          <w:szCs w:val="20"/>
          <w:lang w:val="pt-BR"/>
        </w:rPr>
        <w:t xml:space="preserve"> e </w:t>
      </w:r>
      <w:r w:rsidR="0059204E" w:rsidRPr="00D5464D">
        <w:rPr>
          <w:rFonts w:cs="Arial"/>
          <w:szCs w:val="20"/>
          <w:lang w:val="pt-BR"/>
        </w:rPr>
        <w:t>condicionou</w:t>
      </w:r>
      <w:r w:rsidR="002C330E" w:rsidRPr="00D5464D">
        <w:rPr>
          <w:rFonts w:cs="Arial"/>
          <w:szCs w:val="20"/>
          <w:lang w:val="pt-BR"/>
        </w:rPr>
        <w:t xml:space="preserve"> a </w:t>
      </w:r>
      <w:r w:rsidR="0003391C" w:rsidRPr="00D5464D">
        <w:rPr>
          <w:rFonts w:cs="Arial"/>
          <w:szCs w:val="20"/>
          <w:lang w:val="pt-BR"/>
        </w:rPr>
        <w:t>sus</w:t>
      </w:r>
      <w:r w:rsidR="002C330E" w:rsidRPr="00D5464D">
        <w:rPr>
          <w:rFonts w:cs="Arial"/>
          <w:szCs w:val="20"/>
          <w:lang w:val="pt-BR"/>
        </w:rPr>
        <w:t>pensão</w:t>
      </w:r>
      <w:r w:rsidR="0003391C" w:rsidRPr="00D5464D">
        <w:rPr>
          <w:rFonts w:cs="Arial"/>
          <w:szCs w:val="20"/>
          <w:lang w:val="pt-BR"/>
        </w:rPr>
        <w:t xml:space="preserve"> de s</w:t>
      </w:r>
      <w:r w:rsidR="0059204E" w:rsidRPr="00D5464D">
        <w:rPr>
          <w:rFonts w:cs="Arial"/>
          <w:szCs w:val="20"/>
          <w:lang w:val="pt-BR"/>
        </w:rPr>
        <w:t>e</w:t>
      </w:r>
      <w:r w:rsidR="0003391C" w:rsidRPr="00D5464D">
        <w:rPr>
          <w:rFonts w:cs="Arial"/>
          <w:szCs w:val="20"/>
          <w:lang w:val="pt-BR"/>
        </w:rPr>
        <w:t xml:space="preserve">u </w:t>
      </w:r>
      <w:r w:rsidR="002C330E" w:rsidRPr="00D5464D">
        <w:rPr>
          <w:rFonts w:cs="Arial"/>
          <w:szCs w:val="20"/>
          <w:lang w:val="pt-BR"/>
        </w:rPr>
        <w:t>processo</w:t>
      </w:r>
      <w:r w:rsidR="00470ADC" w:rsidRPr="00D5464D">
        <w:rPr>
          <w:rFonts w:cs="Arial"/>
          <w:szCs w:val="20"/>
          <w:lang w:val="pt-BR"/>
        </w:rPr>
        <w:t xml:space="preserve"> à aceit</w:t>
      </w:r>
      <w:r w:rsidR="0003391C" w:rsidRPr="00D5464D">
        <w:rPr>
          <w:rFonts w:cs="Arial"/>
          <w:szCs w:val="20"/>
          <w:lang w:val="pt-BR"/>
        </w:rPr>
        <w:t>a</w:t>
      </w:r>
      <w:r w:rsidR="00470ADC" w:rsidRPr="00D5464D">
        <w:rPr>
          <w:rFonts w:cs="Arial"/>
          <w:szCs w:val="20"/>
          <w:lang w:val="pt-BR"/>
        </w:rPr>
        <w:t>ção</w:t>
      </w:r>
      <w:r w:rsidR="00E045D9" w:rsidRPr="00D5464D">
        <w:rPr>
          <w:rFonts w:cs="Arial"/>
          <w:szCs w:val="20"/>
          <w:lang w:val="pt-BR"/>
        </w:rPr>
        <w:t xml:space="preserve"> e </w:t>
      </w:r>
      <w:r w:rsidR="00470ADC" w:rsidRPr="00D5464D">
        <w:rPr>
          <w:rFonts w:cs="Arial"/>
          <w:szCs w:val="20"/>
          <w:lang w:val="pt-BR"/>
        </w:rPr>
        <w:t>cumprimento</w:t>
      </w:r>
      <w:r w:rsidR="0003391C" w:rsidRPr="00D5464D">
        <w:rPr>
          <w:rFonts w:cs="Arial"/>
          <w:szCs w:val="20"/>
          <w:lang w:val="pt-BR"/>
        </w:rPr>
        <w:t xml:space="preserve"> de</w:t>
      </w:r>
      <w:r w:rsidR="00E045D9" w:rsidRPr="00D5464D">
        <w:rPr>
          <w:rFonts w:cs="Arial"/>
          <w:szCs w:val="20"/>
          <w:lang w:val="pt-BR"/>
        </w:rPr>
        <w:t xml:space="preserve"> uma </w:t>
      </w:r>
      <w:r w:rsidR="002C330E" w:rsidRPr="00D5464D">
        <w:rPr>
          <w:rFonts w:cs="Arial"/>
          <w:szCs w:val="20"/>
          <w:lang w:val="pt-BR"/>
        </w:rPr>
        <w:t>série</w:t>
      </w:r>
      <w:r w:rsidR="0003391C" w:rsidRPr="00D5464D">
        <w:rPr>
          <w:rFonts w:cs="Arial"/>
          <w:szCs w:val="20"/>
          <w:lang w:val="pt-BR"/>
        </w:rPr>
        <w:t xml:space="preserve"> de medidas</w:t>
      </w:r>
      <w:r w:rsidR="0059204E" w:rsidRPr="00D5464D">
        <w:rPr>
          <w:rFonts w:cs="Arial"/>
          <w:szCs w:val="20"/>
          <w:lang w:val="pt-BR"/>
        </w:rPr>
        <w:t>.</w:t>
      </w:r>
      <w:r w:rsidR="0003391C" w:rsidRPr="00D5464D">
        <w:rPr>
          <w:rStyle w:val="Refdenotaalpie"/>
          <w:rFonts w:cs="Arial"/>
          <w:lang w:val="pt-BR"/>
        </w:rPr>
        <w:footnoteReference w:id="139"/>
      </w:r>
    </w:p>
    <w:p w14:paraId="5A11450B" w14:textId="77777777" w:rsidR="0003391C" w:rsidRPr="00D5464D" w:rsidRDefault="0003391C" w:rsidP="00140440">
      <w:pPr>
        <w:pStyle w:val="Prrafodelista"/>
        <w:autoSpaceDE w:val="0"/>
        <w:autoSpaceDN w:val="0"/>
        <w:adjustRightInd w:val="0"/>
        <w:ind w:left="0"/>
        <w:contextualSpacing w:val="0"/>
        <w:rPr>
          <w:rFonts w:cs="Arial"/>
          <w:szCs w:val="20"/>
          <w:lang w:val="pt-BR"/>
        </w:rPr>
      </w:pPr>
      <w:r w:rsidRPr="00D5464D">
        <w:rPr>
          <w:rFonts w:cs="Arial"/>
          <w:szCs w:val="20"/>
          <w:lang w:val="pt-BR"/>
        </w:rPr>
        <w:t xml:space="preserve"> </w:t>
      </w:r>
    </w:p>
    <w:p w14:paraId="63928E4A" w14:textId="643EB327" w:rsidR="00BE60E8" w:rsidRPr="00D5464D" w:rsidRDefault="0003391C" w:rsidP="00140440">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 xml:space="preserve">Entre </w:t>
      </w:r>
      <w:r w:rsidR="002C330E" w:rsidRPr="00D5464D">
        <w:rPr>
          <w:rFonts w:cs="Arial"/>
          <w:szCs w:val="20"/>
          <w:lang w:val="pt-BR"/>
        </w:rPr>
        <w:t>setembro</w:t>
      </w:r>
      <w:r w:rsidRPr="00D5464D">
        <w:rPr>
          <w:rFonts w:cs="Arial"/>
          <w:szCs w:val="20"/>
          <w:lang w:val="pt-BR"/>
        </w:rPr>
        <w:t xml:space="preserve"> de 1997</w:t>
      </w:r>
      <w:r w:rsidR="00E045D9" w:rsidRPr="00D5464D">
        <w:rPr>
          <w:rFonts w:cs="Arial"/>
          <w:szCs w:val="20"/>
          <w:lang w:val="pt-BR"/>
        </w:rPr>
        <w:t xml:space="preserve"> e </w:t>
      </w:r>
      <w:r w:rsidR="002C330E" w:rsidRPr="00D5464D">
        <w:rPr>
          <w:rFonts w:cs="Arial"/>
          <w:szCs w:val="20"/>
          <w:lang w:val="pt-BR"/>
        </w:rPr>
        <w:t>junho</w:t>
      </w:r>
      <w:r w:rsidRPr="00D5464D">
        <w:rPr>
          <w:rFonts w:cs="Arial"/>
          <w:szCs w:val="20"/>
          <w:lang w:val="pt-BR"/>
        </w:rPr>
        <w:t xml:space="preserve"> de 1999 </w:t>
      </w:r>
      <w:r w:rsidR="0059204E" w:rsidRPr="00D5464D">
        <w:rPr>
          <w:rFonts w:cs="Arial"/>
          <w:szCs w:val="20"/>
          <w:lang w:val="pt-BR"/>
        </w:rPr>
        <w:t xml:space="preserve">foram enviadas </w:t>
      </w:r>
      <w:r w:rsidR="00E045D9" w:rsidRPr="00D5464D">
        <w:rPr>
          <w:rFonts w:cs="Arial"/>
          <w:szCs w:val="20"/>
          <w:lang w:val="pt-BR"/>
        </w:rPr>
        <w:t>várias</w:t>
      </w:r>
      <w:r w:rsidRPr="00D5464D">
        <w:rPr>
          <w:rFonts w:cs="Arial"/>
          <w:szCs w:val="20"/>
          <w:lang w:val="pt-BR"/>
        </w:rPr>
        <w:t xml:space="preserve"> cita</w:t>
      </w:r>
      <w:r w:rsidR="00470ADC" w:rsidRPr="00D5464D">
        <w:rPr>
          <w:rFonts w:cs="Arial"/>
          <w:szCs w:val="20"/>
          <w:lang w:val="pt-BR"/>
        </w:rPr>
        <w:t xml:space="preserve">ções ao </w:t>
      </w:r>
      <w:r w:rsidR="002C330E" w:rsidRPr="00D5464D">
        <w:rPr>
          <w:rFonts w:cs="Arial"/>
          <w:szCs w:val="20"/>
          <w:lang w:val="pt-BR"/>
        </w:rPr>
        <w:t xml:space="preserve">senhor </w:t>
      </w:r>
      <w:r w:rsidRPr="00D5464D">
        <w:rPr>
          <w:rFonts w:cs="Arial"/>
          <w:szCs w:val="20"/>
          <w:lang w:val="pt-BR"/>
        </w:rPr>
        <w:t>João Luiz Quagliato Neto</w:t>
      </w:r>
      <w:r w:rsidR="0059204E" w:rsidRPr="00D5464D">
        <w:rPr>
          <w:rFonts w:cs="Arial"/>
          <w:szCs w:val="20"/>
          <w:lang w:val="pt-BR"/>
        </w:rPr>
        <w:t>.</w:t>
      </w:r>
      <w:r w:rsidRPr="00D5464D">
        <w:rPr>
          <w:rStyle w:val="Refdenotaalpie"/>
          <w:rFonts w:cs="Arial"/>
          <w:lang w:val="pt-BR"/>
        </w:rPr>
        <w:footnoteReference w:id="140"/>
      </w:r>
      <w:r w:rsidR="00C867DD" w:rsidRPr="00D5464D">
        <w:rPr>
          <w:rFonts w:cs="Arial"/>
          <w:szCs w:val="20"/>
          <w:lang w:val="pt-BR"/>
        </w:rPr>
        <w:t xml:space="preserve"> </w:t>
      </w:r>
    </w:p>
    <w:p w14:paraId="08698ED1" w14:textId="77777777" w:rsidR="00BE60E8" w:rsidRPr="00D5464D" w:rsidRDefault="00BE60E8" w:rsidP="00BE60E8">
      <w:pPr>
        <w:pStyle w:val="Prrafodelista"/>
        <w:rPr>
          <w:rFonts w:cs="Arial"/>
          <w:szCs w:val="20"/>
          <w:lang w:val="pt-BR"/>
        </w:rPr>
      </w:pPr>
    </w:p>
    <w:p w14:paraId="2927C0DD" w14:textId="3196CE55" w:rsidR="00061E94" w:rsidRPr="00D5464D" w:rsidRDefault="00061E94" w:rsidP="00BE60E8">
      <w:pPr>
        <w:pStyle w:val="Prrafodelista"/>
        <w:rPr>
          <w:rFonts w:cs="Arial"/>
          <w:i/>
          <w:szCs w:val="20"/>
          <w:lang w:val="pt-BR"/>
        </w:rPr>
      </w:pPr>
      <w:r w:rsidRPr="00D5464D">
        <w:rPr>
          <w:i/>
          <w:lang w:val="pt-BR"/>
        </w:rPr>
        <w:t>O procedimento realizado pelo Ministério do Trabalho relativo a uma segunda visita em 1997</w:t>
      </w:r>
    </w:p>
    <w:p w14:paraId="751E9714" w14:textId="77777777" w:rsidR="00061E94" w:rsidRPr="00D5464D" w:rsidRDefault="00061E94" w:rsidP="00061E94">
      <w:pPr>
        <w:pStyle w:val="Prrafodelista"/>
        <w:ind w:left="0"/>
        <w:rPr>
          <w:rFonts w:cs="Arial"/>
          <w:szCs w:val="20"/>
          <w:lang w:val="pt-BR"/>
        </w:rPr>
      </w:pPr>
    </w:p>
    <w:p w14:paraId="03CF5276" w14:textId="77777777" w:rsidR="00061E94" w:rsidRPr="00D5464D" w:rsidRDefault="00061E94" w:rsidP="00061E94">
      <w:pPr>
        <w:pStyle w:val="Prrafodelista"/>
        <w:numPr>
          <w:ilvl w:val="0"/>
          <w:numId w:val="1"/>
        </w:numPr>
        <w:autoSpaceDE w:val="0"/>
        <w:autoSpaceDN w:val="0"/>
        <w:adjustRightInd w:val="0"/>
        <w:contextualSpacing w:val="0"/>
        <w:rPr>
          <w:rFonts w:cs="Arial"/>
          <w:szCs w:val="20"/>
          <w:lang w:val="pt-BR"/>
        </w:rPr>
      </w:pPr>
      <w:r w:rsidRPr="00D5464D">
        <w:rPr>
          <w:rFonts w:cs="Arial"/>
          <w:iCs/>
          <w:szCs w:val="20"/>
          <w:lang w:val="pt-BR"/>
        </w:rPr>
        <w:t>Em 3</w:t>
      </w:r>
      <w:r w:rsidRPr="00D5464D">
        <w:rPr>
          <w:rFonts w:cs="Arial"/>
          <w:szCs w:val="20"/>
          <w:lang w:val="pt-BR"/>
        </w:rPr>
        <w:t>1 de julho de 1997, a Procuradoria Regional do Trabalho (PRT) da 22ª região informou à PRT da 8</w:t>
      </w:r>
      <w:r w:rsidRPr="00D5464D">
        <w:rPr>
          <w:rFonts w:cs="Arial"/>
          <w:szCs w:val="20"/>
          <w:vertAlign w:val="superscript"/>
          <w:lang w:val="pt-BR"/>
        </w:rPr>
        <w:t>a</w:t>
      </w:r>
      <w:r w:rsidRPr="00D5464D">
        <w:rPr>
          <w:rFonts w:cs="Arial"/>
          <w:szCs w:val="20"/>
          <w:lang w:val="pt-BR"/>
        </w:rPr>
        <w:t xml:space="preserve"> região sobre “a irregularidade concernente ao tráfico de trabalhadores do interior do Piauí para outros Estados, inclusive para o Estado do Pará”</w:t>
      </w:r>
      <w:r w:rsidRPr="00D5464D">
        <w:rPr>
          <w:rStyle w:val="Refdenotaalpie"/>
          <w:rFonts w:cs="Arial"/>
          <w:lang w:val="pt-BR"/>
        </w:rPr>
        <w:footnoteReference w:id="141"/>
      </w:r>
      <w:r w:rsidRPr="00D5464D">
        <w:rPr>
          <w:rFonts w:cs="Arial"/>
          <w:szCs w:val="20"/>
          <w:lang w:val="pt-BR"/>
        </w:rPr>
        <w:t>. Em 12 de agosto de 1997, foi instaurado um procedimento administrativo na PRT da 8</w:t>
      </w:r>
      <w:r w:rsidRPr="00D5464D">
        <w:rPr>
          <w:rFonts w:cs="Arial"/>
          <w:szCs w:val="20"/>
          <w:vertAlign w:val="superscript"/>
          <w:lang w:val="pt-BR"/>
        </w:rPr>
        <w:t>a</w:t>
      </w:r>
      <w:r w:rsidRPr="00D5464D">
        <w:rPr>
          <w:rFonts w:cs="Arial"/>
          <w:szCs w:val="20"/>
          <w:lang w:val="pt-BR"/>
        </w:rPr>
        <w:t xml:space="preserve"> região, solicitando à Procuradoria da República a determinação dos possíveis ilícitos penais cometidos em relação ao tráfico de </w:t>
      </w:r>
      <w:r w:rsidRPr="00D5464D">
        <w:rPr>
          <w:rFonts w:cs="Arial"/>
          <w:bCs/>
          <w:szCs w:val="20"/>
          <w:lang w:val="pt-BR"/>
        </w:rPr>
        <w:t>trabalhadores.</w:t>
      </w:r>
      <w:r w:rsidRPr="00D5464D">
        <w:rPr>
          <w:rStyle w:val="Refdenotaalpie"/>
          <w:rFonts w:cs="Arial"/>
          <w:bCs/>
          <w:lang w:val="pt-BR"/>
        </w:rPr>
        <w:footnoteReference w:id="142"/>
      </w:r>
    </w:p>
    <w:p w14:paraId="439B3AE1" w14:textId="77777777" w:rsidR="00061E94" w:rsidRPr="00D5464D" w:rsidRDefault="00061E94" w:rsidP="00061E94">
      <w:pPr>
        <w:pStyle w:val="Prrafodelista"/>
        <w:autoSpaceDE w:val="0"/>
        <w:autoSpaceDN w:val="0"/>
        <w:adjustRightInd w:val="0"/>
        <w:ind w:left="0"/>
        <w:contextualSpacing w:val="0"/>
        <w:rPr>
          <w:rFonts w:cs="Arial"/>
          <w:szCs w:val="20"/>
          <w:lang w:val="pt-BR"/>
        </w:rPr>
      </w:pPr>
    </w:p>
    <w:p w14:paraId="352EA48D" w14:textId="7049B04C" w:rsidR="00061E94" w:rsidRPr="00D5464D" w:rsidRDefault="00061E94" w:rsidP="00061E94">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Em 14 de novembro de 1997, a Delegacia Regional do Trabalho (DRT) do Pará informou, em relação à Fazenda Brasil Verde,</w:t>
      </w:r>
      <w:r w:rsidRPr="00D5464D">
        <w:rPr>
          <w:rFonts w:cs="Arial"/>
          <w:i/>
          <w:iCs/>
          <w:szCs w:val="20"/>
          <w:lang w:val="pt-BR"/>
        </w:rPr>
        <w:t xml:space="preserve"> </w:t>
      </w:r>
      <w:r w:rsidRPr="00D5464D">
        <w:rPr>
          <w:rFonts w:cs="Arial"/>
          <w:szCs w:val="20"/>
          <w:lang w:val="pt-BR"/>
        </w:rPr>
        <w:t xml:space="preserve">que ainda que existissem algumas falhas, como a cobrança de calçado dos trabalhadores e a falta de elementos referentes à segurança e higiene no trabalho, a DRT “[havia] pref[erido] </w:t>
      </w:r>
      <w:r w:rsidRPr="00D5464D">
        <w:rPr>
          <w:rFonts w:cs="Times New Roman"/>
          <w:iCs/>
          <w:szCs w:val="20"/>
          <w:lang w:val="pt-BR"/>
        </w:rPr>
        <w:t xml:space="preserve">apenas orientamos no sentido de que as falhas sejam corrigidas e medidas tomadas visando o cumprimento das normas trabalhistas </w:t>
      </w:r>
      <w:r w:rsidRPr="00D5464D">
        <w:rPr>
          <w:rFonts w:cs="Arial"/>
          <w:szCs w:val="20"/>
          <w:lang w:val="pt-BR"/>
        </w:rPr>
        <w:t xml:space="preserve">[...]. [O] procedimento foi uma forma de incentivo e estímulo pelo progresso apresentado pelo empregador para adequar-se ao ideal exigido pela </w:t>
      </w:r>
      <w:r w:rsidRPr="00D5464D">
        <w:rPr>
          <w:rFonts w:cs="Arial"/>
          <w:bCs/>
          <w:szCs w:val="20"/>
          <w:lang w:val="pt-BR"/>
        </w:rPr>
        <w:t>legislação”</w:t>
      </w:r>
      <w:r w:rsidRPr="00D5464D">
        <w:rPr>
          <w:rStyle w:val="Refdenotaalpie"/>
          <w:rFonts w:cs="Arial"/>
          <w:bCs/>
          <w:lang w:val="pt-BR"/>
        </w:rPr>
        <w:footnoteReference w:id="143"/>
      </w:r>
      <w:r w:rsidRPr="00D5464D">
        <w:rPr>
          <w:rFonts w:cs="Times New Roman"/>
          <w:bCs/>
          <w:szCs w:val="20"/>
          <w:lang w:val="pt-BR"/>
        </w:rPr>
        <w:t>.</w:t>
      </w:r>
    </w:p>
    <w:p w14:paraId="596B94C1" w14:textId="77777777" w:rsidR="00061E94" w:rsidRPr="00D5464D" w:rsidRDefault="00061E94" w:rsidP="00061E94">
      <w:pPr>
        <w:pStyle w:val="Prrafodelista"/>
        <w:autoSpaceDE w:val="0"/>
        <w:autoSpaceDN w:val="0"/>
        <w:adjustRightInd w:val="0"/>
        <w:ind w:left="0"/>
        <w:contextualSpacing w:val="0"/>
        <w:rPr>
          <w:rFonts w:cs="Arial"/>
          <w:szCs w:val="20"/>
          <w:lang w:val="pt-BR"/>
        </w:rPr>
      </w:pPr>
    </w:p>
    <w:p w14:paraId="0F36A0A9" w14:textId="77777777" w:rsidR="00061E94" w:rsidRPr="00D5464D" w:rsidRDefault="00061E94" w:rsidP="00061E94">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Em 13 de janeiro de 1998, a Procuradora do Trabalho solicitou uma nova fiscalização à Fazenda Brasil Verde.</w:t>
      </w:r>
      <w:r w:rsidRPr="00D5464D">
        <w:rPr>
          <w:rStyle w:val="Refdenotaalpie"/>
          <w:rFonts w:cs="Arial"/>
          <w:lang w:val="pt-BR"/>
        </w:rPr>
        <w:footnoteReference w:id="144"/>
      </w:r>
      <w:r w:rsidRPr="00D5464D">
        <w:rPr>
          <w:rFonts w:cs="Arial"/>
          <w:iCs/>
          <w:szCs w:val="20"/>
          <w:lang w:val="pt-BR"/>
        </w:rPr>
        <w:t xml:space="preserve"> Em 5 de março de 1998, a DRT do Pará respondeu que a diligência não havia sido realizada mas que “estava agendada”.</w:t>
      </w:r>
      <w:r w:rsidRPr="00D5464D">
        <w:rPr>
          <w:rStyle w:val="Refdenotaalpie"/>
          <w:rFonts w:cs="Arial"/>
          <w:iCs/>
          <w:lang w:val="pt-BR"/>
        </w:rPr>
        <w:footnoteReference w:id="145"/>
      </w:r>
    </w:p>
    <w:p w14:paraId="3DBE2021" w14:textId="77777777" w:rsidR="00061E94" w:rsidRPr="00D5464D" w:rsidRDefault="00061E94" w:rsidP="00061E94">
      <w:pPr>
        <w:pStyle w:val="Prrafodelista"/>
        <w:autoSpaceDE w:val="0"/>
        <w:autoSpaceDN w:val="0"/>
        <w:adjustRightInd w:val="0"/>
        <w:ind w:left="0"/>
        <w:contextualSpacing w:val="0"/>
        <w:rPr>
          <w:rFonts w:cs="Arial"/>
          <w:szCs w:val="20"/>
          <w:lang w:val="pt-BR"/>
        </w:rPr>
      </w:pPr>
    </w:p>
    <w:p w14:paraId="41E35653" w14:textId="77777777" w:rsidR="00061E94" w:rsidRPr="00D5464D" w:rsidRDefault="00061E94" w:rsidP="00061E94">
      <w:pPr>
        <w:pStyle w:val="Prrafodelista"/>
        <w:numPr>
          <w:ilvl w:val="0"/>
          <w:numId w:val="1"/>
        </w:numPr>
        <w:autoSpaceDE w:val="0"/>
        <w:autoSpaceDN w:val="0"/>
        <w:adjustRightInd w:val="0"/>
        <w:contextualSpacing w:val="0"/>
        <w:rPr>
          <w:rFonts w:cs="Arial"/>
          <w:szCs w:val="20"/>
          <w:lang w:val="pt-BR"/>
        </w:rPr>
      </w:pPr>
      <w:r w:rsidRPr="00D5464D">
        <w:rPr>
          <w:rFonts w:cs="Arial"/>
          <w:iCs/>
          <w:szCs w:val="20"/>
          <w:lang w:val="pt-BR"/>
        </w:rPr>
        <w:t>Em 1</w:t>
      </w:r>
      <w:r w:rsidRPr="00D5464D">
        <w:rPr>
          <w:rFonts w:cs="Arial"/>
          <w:szCs w:val="20"/>
          <w:lang w:val="pt-BR"/>
        </w:rPr>
        <w:t>7 de junho de 1998, o Ministério Público do Trabalho solicitou informação sobre a “situação atual” da Fazenda Brasil Verde com base nas notícias do jornal “O Liberal” de 31 de maio de 1998.</w:t>
      </w:r>
      <w:r w:rsidRPr="00D5464D">
        <w:rPr>
          <w:rStyle w:val="Refdenotaalpie"/>
          <w:rFonts w:cs="Arial"/>
          <w:lang w:val="pt-BR"/>
        </w:rPr>
        <w:footnoteReference w:id="146"/>
      </w:r>
      <w:r w:rsidRPr="00D5464D">
        <w:rPr>
          <w:rFonts w:cs="Arial"/>
          <w:szCs w:val="20"/>
          <w:lang w:val="pt-BR"/>
        </w:rPr>
        <w:t xml:space="preserve"> Em 8 de julho de 1998, o Delegado Regional do Trabalho informou que havia sido realizada uma fiscalização da fazenda em outubro de 1997, na qual havia sido constatado um “considerável progresso” em relação às irregularidades constatadas na fiscalização anterior.</w:t>
      </w:r>
      <w:r w:rsidRPr="00D5464D">
        <w:rPr>
          <w:rStyle w:val="Refdenotaalpie"/>
          <w:rFonts w:cs="Arial"/>
          <w:lang w:val="pt-BR"/>
        </w:rPr>
        <w:footnoteReference w:id="147"/>
      </w:r>
    </w:p>
    <w:p w14:paraId="0176544C" w14:textId="77777777" w:rsidR="00061E94" w:rsidRPr="00D5464D" w:rsidRDefault="00061E94" w:rsidP="00061E94">
      <w:pPr>
        <w:pStyle w:val="Prrafodelista"/>
        <w:ind w:left="0"/>
        <w:rPr>
          <w:rFonts w:cs="Arial"/>
          <w:szCs w:val="20"/>
          <w:lang w:val="pt-BR"/>
        </w:rPr>
      </w:pPr>
    </w:p>
    <w:p w14:paraId="5498AAE9" w14:textId="6F188F26" w:rsidR="00BE60E8" w:rsidRPr="00D5464D" w:rsidRDefault="002C330E" w:rsidP="00F306D7">
      <w:pPr>
        <w:pStyle w:val="Ttulo2"/>
        <w:numPr>
          <w:ilvl w:val="0"/>
          <w:numId w:val="17"/>
        </w:numPr>
        <w:rPr>
          <w:rFonts w:eastAsia="Batang"/>
          <w:lang w:val="pt-BR" w:eastAsia="es-ES"/>
        </w:rPr>
      </w:pPr>
      <w:bookmarkStart w:id="316" w:name="_Toc468433899"/>
      <w:r w:rsidRPr="00D5464D">
        <w:rPr>
          <w:rFonts w:eastAsia="Batang"/>
          <w:lang w:val="pt-BR" w:eastAsia="es-ES"/>
        </w:rPr>
        <w:t>Fatos</w:t>
      </w:r>
      <w:r w:rsidR="00BE60E8" w:rsidRPr="00D5464D">
        <w:rPr>
          <w:rFonts w:eastAsia="Batang"/>
          <w:lang w:val="pt-BR" w:eastAsia="es-ES"/>
        </w:rPr>
        <w:t xml:space="preserve"> dentro</w:t>
      </w:r>
      <w:r w:rsidR="00470ADC" w:rsidRPr="00D5464D">
        <w:rPr>
          <w:rFonts w:eastAsia="Batang"/>
          <w:lang w:val="pt-BR" w:eastAsia="es-ES"/>
        </w:rPr>
        <w:t xml:space="preserve"> da competência</w:t>
      </w:r>
      <w:r w:rsidR="00BE60E8" w:rsidRPr="00D5464D">
        <w:rPr>
          <w:rFonts w:eastAsia="Batang"/>
          <w:lang w:val="pt-BR" w:eastAsia="es-ES"/>
        </w:rPr>
        <w:t xml:space="preserve"> temporal</w:t>
      </w:r>
      <w:r w:rsidR="00470ADC" w:rsidRPr="00D5464D">
        <w:rPr>
          <w:rFonts w:eastAsia="Batang"/>
          <w:lang w:val="pt-BR" w:eastAsia="es-ES"/>
        </w:rPr>
        <w:t xml:space="preserve"> da </w:t>
      </w:r>
      <w:r w:rsidR="00BE60E8" w:rsidRPr="00D5464D">
        <w:rPr>
          <w:rFonts w:eastAsia="Batang"/>
          <w:lang w:val="pt-BR" w:eastAsia="es-ES"/>
        </w:rPr>
        <w:t>Corte</w:t>
      </w:r>
      <w:bookmarkEnd w:id="316"/>
    </w:p>
    <w:p w14:paraId="7FE19551" w14:textId="77777777" w:rsidR="00BE60E8" w:rsidRPr="00D5464D" w:rsidRDefault="00BE60E8" w:rsidP="00BE60E8">
      <w:pPr>
        <w:pStyle w:val="Prrafodelista"/>
        <w:autoSpaceDE w:val="0"/>
        <w:autoSpaceDN w:val="0"/>
        <w:adjustRightInd w:val="0"/>
        <w:ind w:left="0"/>
        <w:contextualSpacing w:val="0"/>
        <w:rPr>
          <w:rFonts w:cs="Arial"/>
          <w:szCs w:val="20"/>
          <w:lang w:val="pt-BR"/>
        </w:rPr>
      </w:pPr>
    </w:p>
    <w:p w14:paraId="0C2A3B1E" w14:textId="408D3BA9" w:rsidR="004B71B2" w:rsidRPr="00D5464D" w:rsidRDefault="002D57E5" w:rsidP="008622F3">
      <w:pPr>
        <w:pStyle w:val="Ttulo3"/>
        <w:rPr>
          <w:lang w:val="pt-BR"/>
        </w:rPr>
      </w:pPr>
      <w:bookmarkStart w:id="317" w:name="_Toc460433014"/>
      <w:bookmarkStart w:id="318" w:name="_Toc460441945"/>
      <w:bookmarkStart w:id="319" w:name="_Toc462750763"/>
      <w:bookmarkStart w:id="320" w:name="_Toc462751087"/>
      <w:bookmarkStart w:id="321" w:name="_Toc464813939"/>
      <w:bookmarkStart w:id="322" w:name="_Toc468433900"/>
      <w:r w:rsidRPr="00D5464D">
        <w:rPr>
          <w:iCs/>
          <w:lang w:val="pt-BR"/>
        </w:rPr>
        <w:t>B</w:t>
      </w:r>
      <w:r w:rsidR="004B71B2" w:rsidRPr="00D5464D">
        <w:rPr>
          <w:iCs/>
          <w:lang w:val="pt-BR"/>
        </w:rPr>
        <w:t>.1</w:t>
      </w:r>
      <w:r w:rsidR="00CB7E29" w:rsidRPr="00D5464D">
        <w:rPr>
          <w:iCs/>
          <w:lang w:val="pt-BR"/>
        </w:rPr>
        <w:t>.</w:t>
      </w:r>
      <w:r w:rsidR="004B71B2" w:rsidRPr="00D5464D">
        <w:rPr>
          <w:iCs/>
          <w:lang w:val="pt-BR"/>
        </w:rPr>
        <w:t xml:space="preserve"> Continua</w:t>
      </w:r>
      <w:r w:rsidR="00470ADC" w:rsidRPr="00D5464D">
        <w:rPr>
          <w:iCs/>
          <w:lang w:val="pt-BR"/>
        </w:rPr>
        <w:t>ção</w:t>
      </w:r>
      <w:r w:rsidR="004B71B2" w:rsidRPr="00D5464D">
        <w:rPr>
          <w:iCs/>
          <w:lang w:val="pt-BR"/>
        </w:rPr>
        <w:t xml:space="preserve"> </w:t>
      </w:r>
      <w:r w:rsidR="00470ADC" w:rsidRPr="00D5464D">
        <w:rPr>
          <w:iCs/>
          <w:lang w:val="pt-BR"/>
        </w:rPr>
        <w:t xml:space="preserve">do </w:t>
      </w:r>
      <w:r w:rsidR="002C330E" w:rsidRPr="00D5464D">
        <w:rPr>
          <w:iCs/>
          <w:lang w:val="pt-BR"/>
        </w:rPr>
        <w:t>processo</w:t>
      </w:r>
      <w:r w:rsidR="004B71B2" w:rsidRPr="00D5464D">
        <w:rPr>
          <w:iCs/>
          <w:lang w:val="pt-BR"/>
        </w:rPr>
        <w:t xml:space="preserve"> penal </w:t>
      </w:r>
      <w:r w:rsidR="004B71B2" w:rsidRPr="00D5464D">
        <w:rPr>
          <w:lang w:val="pt-BR"/>
        </w:rPr>
        <w:t xml:space="preserve">contra Raimundo </w:t>
      </w:r>
      <w:r w:rsidR="00085F51" w:rsidRPr="00D5464D">
        <w:rPr>
          <w:lang w:val="pt-BR"/>
        </w:rPr>
        <w:t>Alves da Rocha</w:t>
      </w:r>
      <w:r w:rsidR="004B71B2" w:rsidRPr="00D5464D">
        <w:rPr>
          <w:lang w:val="pt-BR"/>
        </w:rPr>
        <w:t xml:space="preserve">, </w:t>
      </w:r>
      <w:r w:rsidR="00E42F61" w:rsidRPr="00D5464D">
        <w:rPr>
          <w:lang w:val="pt-BR"/>
        </w:rPr>
        <w:t xml:space="preserve">Antônio </w:t>
      </w:r>
      <w:r w:rsidR="004B71B2" w:rsidRPr="00D5464D">
        <w:rPr>
          <w:lang w:val="pt-BR"/>
        </w:rPr>
        <w:t>Alves Vieira</w:t>
      </w:r>
      <w:r w:rsidR="00E045D9" w:rsidRPr="00D5464D">
        <w:rPr>
          <w:lang w:val="pt-BR"/>
        </w:rPr>
        <w:t xml:space="preserve"> e </w:t>
      </w:r>
      <w:r w:rsidR="004B71B2" w:rsidRPr="00D5464D">
        <w:rPr>
          <w:lang w:val="pt-BR"/>
        </w:rPr>
        <w:t>João Luiz Quagliato Neto</w:t>
      </w:r>
      <w:bookmarkEnd w:id="317"/>
      <w:bookmarkEnd w:id="318"/>
      <w:bookmarkEnd w:id="319"/>
      <w:bookmarkEnd w:id="320"/>
      <w:bookmarkEnd w:id="321"/>
      <w:bookmarkEnd w:id="322"/>
    </w:p>
    <w:p w14:paraId="7303E31D" w14:textId="77777777" w:rsidR="00D65024" w:rsidRPr="00D5464D" w:rsidRDefault="00D65024" w:rsidP="00D65024">
      <w:pPr>
        <w:pStyle w:val="Prrafodelista"/>
        <w:autoSpaceDE w:val="0"/>
        <w:autoSpaceDN w:val="0"/>
        <w:adjustRightInd w:val="0"/>
        <w:ind w:left="0"/>
        <w:contextualSpacing w:val="0"/>
        <w:rPr>
          <w:rFonts w:cs="Arial"/>
          <w:szCs w:val="20"/>
          <w:lang w:val="pt-BR"/>
        </w:rPr>
      </w:pPr>
    </w:p>
    <w:p w14:paraId="3BDFC42C" w14:textId="4E81896B" w:rsidR="0003391C" w:rsidRPr="00D5464D" w:rsidRDefault="00C91CB1" w:rsidP="00140440">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Em 1</w:t>
      </w:r>
      <w:r w:rsidR="0003391C" w:rsidRPr="00D5464D">
        <w:rPr>
          <w:rFonts w:cs="Arial"/>
          <w:szCs w:val="20"/>
          <w:lang w:val="pt-BR"/>
        </w:rPr>
        <w:t xml:space="preserve">3 de </w:t>
      </w:r>
      <w:r w:rsidR="002C330E" w:rsidRPr="00D5464D">
        <w:rPr>
          <w:rFonts w:cs="Arial"/>
          <w:szCs w:val="20"/>
          <w:lang w:val="pt-BR"/>
        </w:rPr>
        <w:t>setembro</w:t>
      </w:r>
      <w:r w:rsidR="0003391C" w:rsidRPr="00D5464D">
        <w:rPr>
          <w:rFonts w:cs="Arial"/>
          <w:szCs w:val="20"/>
          <w:lang w:val="pt-BR"/>
        </w:rPr>
        <w:t xml:space="preserve"> de 1999</w:t>
      </w:r>
      <w:r w:rsidR="0059204E" w:rsidRPr="00D5464D">
        <w:rPr>
          <w:rFonts w:cs="Arial"/>
          <w:szCs w:val="20"/>
          <w:lang w:val="pt-BR"/>
        </w:rPr>
        <w:t>,</w:t>
      </w:r>
      <w:r w:rsidR="00470ADC" w:rsidRPr="00D5464D">
        <w:rPr>
          <w:rFonts w:cs="Arial"/>
          <w:szCs w:val="20"/>
          <w:lang w:val="pt-BR"/>
        </w:rPr>
        <w:t xml:space="preserve"> o </w:t>
      </w:r>
      <w:r w:rsidR="002C330E" w:rsidRPr="00D5464D">
        <w:rPr>
          <w:rFonts w:cs="Arial"/>
          <w:szCs w:val="20"/>
          <w:lang w:val="pt-BR"/>
        </w:rPr>
        <w:t xml:space="preserve">senhor </w:t>
      </w:r>
      <w:r w:rsidR="0003391C" w:rsidRPr="00D5464D">
        <w:rPr>
          <w:rFonts w:cs="Arial"/>
          <w:szCs w:val="20"/>
          <w:lang w:val="pt-BR"/>
        </w:rPr>
        <w:t xml:space="preserve">Quagliato Neto </w:t>
      </w:r>
      <w:r w:rsidR="00A1358C" w:rsidRPr="00D5464D">
        <w:rPr>
          <w:rFonts w:cs="Arial"/>
          <w:szCs w:val="20"/>
          <w:lang w:val="pt-BR"/>
        </w:rPr>
        <w:t>compareceu</w:t>
      </w:r>
      <w:r w:rsidR="00E045D9" w:rsidRPr="00D5464D">
        <w:rPr>
          <w:rFonts w:cs="Arial"/>
          <w:szCs w:val="20"/>
          <w:lang w:val="pt-BR"/>
        </w:rPr>
        <w:t xml:space="preserve"> </w:t>
      </w:r>
      <w:r w:rsidR="009A3664" w:rsidRPr="00D5464D">
        <w:rPr>
          <w:rFonts w:cs="Arial"/>
          <w:szCs w:val="20"/>
          <w:lang w:val="pt-BR"/>
        </w:rPr>
        <w:t xml:space="preserve">em juízo </w:t>
      </w:r>
      <w:r w:rsidR="00E045D9" w:rsidRPr="00D5464D">
        <w:rPr>
          <w:rFonts w:cs="Arial"/>
          <w:szCs w:val="20"/>
          <w:lang w:val="pt-BR"/>
        </w:rPr>
        <w:t xml:space="preserve">e </w:t>
      </w:r>
      <w:r w:rsidR="0059204E" w:rsidRPr="00D5464D">
        <w:rPr>
          <w:rFonts w:cs="Arial"/>
          <w:szCs w:val="20"/>
          <w:lang w:val="pt-BR"/>
        </w:rPr>
        <w:t xml:space="preserve">foi realizada </w:t>
      </w:r>
      <w:r w:rsidR="002C330E" w:rsidRPr="00D5464D">
        <w:rPr>
          <w:rFonts w:cs="Arial"/>
          <w:szCs w:val="20"/>
          <w:lang w:val="pt-BR"/>
        </w:rPr>
        <w:t xml:space="preserve">a </w:t>
      </w:r>
      <w:r w:rsidR="00470ADC" w:rsidRPr="00D5464D">
        <w:rPr>
          <w:rFonts w:cs="Arial"/>
          <w:szCs w:val="20"/>
          <w:lang w:val="pt-BR"/>
        </w:rPr>
        <w:t>audiência</w:t>
      </w:r>
      <w:r w:rsidR="0003391C" w:rsidRPr="00D5464D">
        <w:rPr>
          <w:rFonts w:cs="Arial"/>
          <w:szCs w:val="20"/>
          <w:lang w:val="pt-BR"/>
        </w:rPr>
        <w:t xml:space="preserve"> preliminar de </w:t>
      </w:r>
      <w:r w:rsidR="00230C71" w:rsidRPr="00D5464D">
        <w:rPr>
          <w:rFonts w:cs="Arial"/>
          <w:szCs w:val="20"/>
          <w:lang w:val="pt-BR"/>
        </w:rPr>
        <w:t>seu caso</w:t>
      </w:r>
      <w:r w:rsidR="0059204E" w:rsidRPr="00D5464D">
        <w:rPr>
          <w:rFonts w:cs="Arial"/>
          <w:szCs w:val="20"/>
          <w:lang w:val="pt-BR"/>
        </w:rPr>
        <w:t>.</w:t>
      </w:r>
      <w:r w:rsidR="0003391C" w:rsidRPr="00D5464D">
        <w:rPr>
          <w:rStyle w:val="Refdenotaalpie"/>
          <w:rFonts w:cs="Arial"/>
          <w:lang w:val="pt-BR"/>
        </w:rPr>
        <w:footnoteReference w:id="148"/>
      </w:r>
      <w:r w:rsidRPr="00D5464D">
        <w:rPr>
          <w:rFonts w:cs="Arial"/>
          <w:szCs w:val="20"/>
          <w:lang w:val="pt-BR"/>
        </w:rPr>
        <w:t xml:space="preserve"> </w:t>
      </w:r>
      <w:r w:rsidR="0059204E" w:rsidRPr="00D5464D">
        <w:rPr>
          <w:rFonts w:cs="Arial"/>
          <w:szCs w:val="20"/>
          <w:lang w:val="pt-BR"/>
        </w:rPr>
        <w:t>N</w:t>
      </w:r>
      <w:r w:rsidRPr="00D5464D">
        <w:rPr>
          <w:rFonts w:cs="Arial"/>
          <w:szCs w:val="20"/>
          <w:lang w:val="pt-BR"/>
        </w:rPr>
        <w:t xml:space="preserve">o </w:t>
      </w:r>
      <w:r w:rsidR="00470ADC" w:rsidRPr="00D5464D">
        <w:rPr>
          <w:rFonts w:cs="Arial"/>
          <w:szCs w:val="20"/>
          <w:lang w:val="pt-BR"/>
        </w:rPr>
        <w:t>dia</w:t>
      </w:r>
      <w:r w:rsidR="0003391C" w:rsidRPr="00D5464D">
        <w:rPr>
          <w:rFonts w:cs="Arial"/>
          <w:szCs w:val="20"/>
          <w:lang w:val="pt-BR"/>
        </w:rPr>
        <w:t xml:space="preserve"> </w:t>
      </w:r>
      <w:r w:rsidR="002C330E" w:rsidRPr="00D5464D">
        <w:rPr>
          <w:rFonts w:cs="Arial"/>
          <w:szCs w:val="20"/>
          <w:lang w:val="pt-BR"/>
        </w:rPr>
        <w:t>seguinte</w:t>
      </w:r>
      <w:r w:rsidR="0003391C" w:rsidRPr="00D5464D">
        <w:rPr>
          <w:rFonts w:cs="Arial"/>
          <w:szCs w:val="20"/>
          <w:lang w:val="pt-BR"/>
        </w:rPr>
        <w:t xml:space="preserve"> </w:t>
      </w:r>
      <w:r w:rsidR="0059204E" w:rsidRPr="00D5464D">
        <w:rPr>
          <w:rFonts w:cs="Arial"/>
          <w:szCs w:val="20"/>
          <w:lang w:val="pt-BR"/>
        </w:rPr>
        <w:t xml:space="preserve">a </w:t>
      </w:r>
      <w:r w:rsidR="00E045D9" w:rsidRPr="00D5464D">
        <w:rPr>
          <w:rFonts w:cs="Arial"/>
          <w:szCs w:val="20"/>
          <w:lang w:val="pt-BR"/>
        </w:rPr>
        <w:t>esta</w:t>
      </w:r>
      <w:r w:rsidR="0003391C" w:rsidRPr="00D5464D">
        <w:rPr>
          <w:rFonts w:cs="Arial"/>
          <w:szCs w:val="20"/>
          <w:lang w:val="pt-BR"/>
        </w:rPr>
        <w:t xml:space="preserve"> </w:t>
      </w:r>
      <w:r w:rsidR="00470ADC" w:rsidRPr="00D5464D">
        <w:rPr>
          <w:rFonts w:cs="Arial"/>
          <w:szCs w:val="20"/>
          <w:lang w:val="pt-BR"/>
        </w:rPr>
        <w:t>audiência</w:t>
      </w:r>
      <w:r w:rsidR="0059204E" w:rsidRPr="00D5464D">
        <w:rPr>
          <w:rFonts w:cs="Arial"/>
          <w:szCs w:val="20"/>
          <w:lang w:val="pt-BR"/>
        </w:rPr>
        <w:t>,</w:t>
      </w:r>
      <w:r w:rsidR="00470ADC" w:rsidRPr="00D5464D">
        <w:rPr>
          <w:rFonts w:cs="Arial"/>
          <w:szCs w:val="20"/>
          <w:lang w:val="pt-BR"/>
        </w:rPr>
        <w:t xml:space="preserve"> o </w:t>
      </w:r>
      <w:r w:rsidR="002C330E" w:rsidRPr="00D5464D">
        <w:rPr>
          <w:rFonts w:cs="Arial"/>
          <w:szCs w:val="20"/>
          <w:lang w:val="pt-BR"/>
        </w:rPr>
        <w:t xml:space="preserve">senhor </w:t>
      </w:r>
      <w:r w:rsidR="0003391C" w:rsidRPr="00D5464D">
        <w:rPr>
          <w:rFonts w:cs="Arial"/>
          <w:szCs w:val="20"/>
          <w:lang w:val="pt-BR"/>
        </w:rPr>
        <w:t xml:space="preserve">Quagliato Neto </w:t>
      </w:r>
      <w:r w:rsidR="002C330E" w:rsidRPr="00D5464D">
        <w:rPr>
          <w:rFonts w:cs="Arial"/>
          <w:szCs w:val="20"/>
          <w:lang w:val="pt-BR"/>
        </w:rPr>
        <w:t>manifestou</w:t>
      </w:r>
      <w:r w:rsidR="0003391C" w:rsidRPr="00D5464D">
        <w:rPr>
          <w:rFonts w:cs="Arial"/>
          <w:szCs w:val="20"/>
          <w:lang w:val="pt-BR"/>
        </w:rPr>
        <w:t xml:space="preserve"> que </w:t>
      </w:r>
      <w:r w:rsidR="00470ADC" w:rsidRPr="00D5464D">
        <w:rPr>
          <w:rFonts w:cs="Arial"/>
          <w:szCs w:val="20"/>
          <w:lang w:val="pt-BR"/>
        </w:rPr>
        <w:t>aceit</w:t>
      </w:r>
      <w:r w:rsidR="00350187" w:rsidRPr="00D5464D">
        <w:rPr>
          <w:rFonts w:cs="Arial"/>
          <w:szCs w:val="20"/>
          <w:lang w:val="pt-BR"/>
        </w:rPr>
        <w:t xml:space="preserve">ava </w:t>
      </w:r>
      <w:r w:rsidR="002C330E" w:rsidRPr="00D5464D">
        <w:rPr>
          <w:rFonts w:cs="Arial"/>
          <w:szCs w:val="20"/>
          <w:lang w:val="pt-BR"/>
        </w:rPr>
        <w:t xml:space="preserve">as </w:t>
      </w:r>
      <w:r w:rsidR="0003391C" w:rsidRPr="00D5464D">
        <w:rPr>
          <w:rFonts w:cs="Arial"/>
          <w:szCs w:val="20"/>
          <w:lang w:val="pt-BR"/>
        </w:rPr>
        <w:t>condi</w:t>
      </w:r>
      <w:r w:rsidR="00470ADC" w:rsidRPr="00D5464D">
        <w:rPr>
          <w:rFonts w:cs="Arial"/>
          <w:szCs w:val="20"/>
          <w:lang w:val="pt-BR"/>
        </w:rPr>
        <w:t>ções</w:t>
      </w:r>
      <w:r w:rsidR="0003391C" w:rsidRPr="00D5464D">
        <w:rPr>
          <w:rFonts w:cs="Arial"/>
          <w:szCs w:val="20"/>
          <w:lang w:val="pt-BR"/>
        </w:rPr>
        <w:t xml:space="preserve"> im</w:t>
      </w:r>
      <w:r w:rsidR="002C330E" w:rsidRPr="00D5464D">
        <w:rPr>
          <w:rFonts w:cs="Arial"/>
          <w:szCs w:val="20"/>
          <w:lang w:val="pt-BR"/>
        </w:rPr>
        <w:t>posta</w:t>
      </w:r>
      <w:r w:rsidR="0003391C" w:rsidRPr="00D5464D">
        <w:rPr>
          <w:rFonts w:cs="Arial"/>
          <w:szCs w:val="20"/>
          <w:lang w:val="pt-BR"/>
        </w:rPr>
        <w:t>s</w:t>
      </w:r>
      <w:r w:rsidR="002C330E" w:rsidRPr="00D5464D">
        <w:rPr>
          <w:rFonts w:cs="Arial"/>
          <w:szCs w:val="20"/>
          <w:lang w:val="pt-BR"/>
        </w:rPr>
        <w:t xml:space="preserve"> pelo juiz</w:t>
      </w:r>
      <w:r w:rsidR="0003391C" w:rsidRPr="00D5464D">
        <w:rPr>
          <w:rFonts w:cs="Arial"/>
          <w:szCs w:val="20"/>
          <w:lang w:val="pt-BR"/>
        </w:rPr>
        <w:t xml:space="preserve"> federal para</w:t>
      </w:r>
      <w:r w:rsidR="002C330E" w:rsidRPr="00D5464D">
        <w:rPr>
          <w:rFonts w:cs="Arial"/>
          <w:szCs w:val="20"/>
          <w:lang w:val="pt-BR"/>
        </w:rPr>
        <w:t xml:space="preserve"> a </w:t>
      </w:r>
      <w:r w:rsidR="0003391C" w:rsidRPr="00D5464D">
        <w:rPr>
          <w:rFonts w:cs="Arial"/>
          <w:szCs w:val="20"/>
          <w:lang w:val="pt-BR"/>
        </w:rPr>
        <w:t>sus</w:t>
      </w:r>
      <w:r w:rsidR="002C330E" w:rsidRPr="00D5464D">
        <w:rPr>
          <w:rFonts w:cs="Arial"/>
          <w:szCs w:val="20"/>
          <w:lang w:val="pt-BR"/>
        </w:rPr>
        <w:t>pensão</w:t>
      </w:r>
      <w:r w:rsidR="0003391C" w:rsidRPr="00D5464D">
        <w:rPr>
          <w:rFonts w:cs="Arial"/>
          <w:szCs w:val="20"/>
          <w:lang w:val="pt-BR"/>
        </w:rPr>
        <w:t xml:space="preserve"> de s</w:t>
      </w:r>
      <w:r w:rsidR="0059204E" w:rsidRPr="00D5464D">
        <w:rPr>
          <w:rFonts w:cs="Arial"/>
          <w:szCs w:val="20"/>
          <w:lang w:val="pt-BR"/>
        </w:rPr>
        <w:t>e</w:t>
      </w:r>
      <w:r w:rsidR="0003391C" w:rsidRPr="00D5464D">
        <w:rPr>
          <w:rFonts w:cs="Arial"/>
          <w:szCs w:val="20"/>
          <w:lang w:val="pt-BR"/>
        </w:rPr>
        <w:t xml:space="preserve">u </w:t>
      </w:r>
      <w:r w:rsidR="002C330E" w:rsidRPr="00D5464D">
        <w:rPr>
          <w:rFonts w:cs="Arial"/>
          <w:szCs w:val="20"/>
          <w:lang w:val="pt-BR"/>
        </w:rPr>
        <w:t>proce</w:t>
      </w:r>
      <w:r w:rsidR="0059204E" w:rsidRPr="00D5464D">
        <w:rPr>
          <w:rFonts w:cs="Arial"/>
          <w:szCs w:val="20"/>
          <w:lang w:val="pt-BR"/>
        </w:rPr>
        <w:t>sso</w:t>
      </w:r>
      <w:r w:rsidR="00C867DD" w:rsidRPr="00D5464D">
        <w:rPr>
          <w:rFonts w:cs="Arial"/>
          <w:szCs w:val="20"/>
          <w:lang w:val="pt-BR"/>
        </w:rPr>
        <w:t>, a saber</w:t>
      </w:r>
      <w:r w:rsidR="0003391C" w:rsidRPr="00D5464D">
        <w:rPr>
          <w:rFonts w:cs="Arial"/>
          <w:szCs w:val="20"/>
          <w:lang w:val="pt-BR"/>
        </w:rPr>
        <w:t>:</w:t>
      </w:r>
      <w:r w:rsidR="002C330E" w:rsidRPr="00D5464D">
        <w:rPr>
          <w:rFonts w:cs="Arial"/>
          <w:szCs w:val="20"/>
          <w:lang w:val="pt-BR"/>
        </w:rPr>
        <w:t xml:space="preserve"> a </w:t>
      </w:r>
      <w:r w:rsidR="0003391C" w:rsidRPr="00D5464D">
        <w:rPr>
          <w:rFonts w:cs="Arial"/>
          <w:szCs w:val="20"/>
          <w:lang w:val="pt-BR"/>
        </w:rPr>
        <w:t xml:space="preserve">entrega de seis </w:t>
      </w:r>
      <w:r w:rsidR="0059204E" w:rsidRPr="00D5464D">
        <w:rPr>
          <w:rFonts w:cs="Arial"/>
          <w:szCs w:val="20"/>
          <w:lang w:val="pt-BR"/>
        </w:rPr>
        <w:t xml:space="preserve">cestas </w:t>
      </w:r>
      <w:r w:rsidR="0003391C" w:rsidRPr="00D5464D">
        <w:rPr>
          <w:rFonts w:cs="Arial"/>
          <w:szCs w:val="20"/>
          <w:lang w:val="pt-BR"/>
        </w:rPr>
        <w:t>básicas a</w:t>
      </w:r>
      <w:r w:rsidR="00E045D9" w:rsidRPr="00D5464D">
        <w:rPr>
          <w:rFonts w:cs="Arial"/>
          <w:szCs w:val="20"/>
          <w:lang w:val="pt-BR"/>
        </w:rPr>
        <w:t xml:space="preserve"> uma </w:t>
      </w:r>
      <w:r w:rsidRPr="00D5464D">
        <w:rPr>
          <w:rFonts w:cs="Arial"/>
          <w:szCs w:val="20"/>
          <w:lang w:val="pt-BR"/>
        </w:rPr>
        <w:t xml:space="preserve">entidade </w:t>
      </w:r>
      <w:r w:rsidR="0003391C" w:rsidRPr="00D5464D">
        <w:rPr>
          <w:rFonts w:cs="Arial"/>
          <w:szCs w:val="20"/>
          <w:lang w:val="pt-BR"/>
        </w:rPr>
        <w:t xml:space="preserve">de </w:t>
      </w:r>
      <w:r w:rsidR="00A8241B" w:rsidRPr="00D5464D">
        <w:rPr>
          <w:rFonts w:cs="Arial"/>
          <w:szCs w:val="20"/>
          <w:lang w:val="pt-BR"/>
        </w:rPr>
        <w:t>beneficente</w:t>
      </w:r>
      <w:r w:rsidR="005D121E" w:rsidRPr="00D5464D">
        <w:rPr>
          <w:rFonts w:cs="Arial"/>
          <w:szCs w:val="20"/>
          <w:lang w:val="pt-BR"/>
        </w:rPr>
        <w:t xml:space="preserve"> </w:t>
      </w:r>
      <w:r w:rsidR="00E045D9" w:rsidRPr="00D5464D">
        <w:rPr>
          <w:rFonts w:cs="Arial"/>
          <w:szCs w:val="20"/>
          <w:lang w:val="pt-BR"/>
        </w:rPr>
        <w:t xml:space="preserve">na </w:t>
      </w:r>
      <w:r w:rsidR="00470ADC" w:rsidRPr="00D5464D">
        <w:rPr>
          <w:rFonts w:cs="Arial"/>
          <w:szCs w:val="20"/>
          <w:lang w:val="pt-BR"/>
        </w:rPr>
        <w:t>cidade</w:t>
      </w:r>
      <w:r w:rsidR="006E1D87" w:rsidRPr="00D5464D">
        <w:rPr>
          <w:rFonts w:cs="Arial"/>
          <w:szCs w:val="20"/>
          <w:lang w:val="pt-BR"/>
        </w:rPr>
        <w:t xml:space="preserve"> de Ourinhos</w:t>
      </w:r>
      <w:r w:rsidR="005D121E" w:rsidRPr="00D5464D">
        <w:rPr>
          <w:rFonts w:cs="Arial"/>
          <w:szCs w:val="20"/>
          <w:lang w:val="pt-BR"/>
        </w:rPr>
        <w:t>,</w:t>
      </w:r>
      <w:r w:rsidR="00E045D9" w:rsidRPr="00D5464D">
        <w:rPr>
          <w:rFonts w:cs="Arial"/>
          <w:szCs w:val="20"/>
          <w:lang w:val="pt-BR"/>
        </w:rPr>
        <w:t xml:space="preserve"> no </w:t>
      </w:r>
      <w:r w:rsidR="006E1D87" w:rsidRPr="00D5464D">
        <w:rPr>
          <w:rFonts w:cs="Arial"/>
          <w:szCs w:val="20"/>
          <w:lang w:val="pt-BR"/>
        </w:rPr>
        <w:t>E</w:t>
      </w:r>
      <w:r w:rsidR="0003391C" w:rsidRPr="00D5464D">
        <w:rPr>
          <w:rFonts w:cs="Arial"/>
          <w:szCs w:val="20"/>
          <w:lang w:val="pt-BR"/>
        </w:rPr>
        <w:t>stado de S</w:t>
      </w:r>
      <w:r w:rsidR="006E1D87" w:rsidRPr="00D5464D">
        <w:rPr>
          <w:rFonts w:cs="Arial"/>
          <w:szCs w:val="20"/>
          <w:lang w:val="pt-BR"/>
        </w:rPr>
        <w:t>ã</w:t>
      </w:r>
      <w:r w:rsidR="0003391C" w:rsidRPr="00D5464D">
        <w:rPr>
          <w:rFonts w:cs="Arial"/>
          <w:szCs w:val="20"/>
          <w:lang w:val="pt-BR"/>
        </w:rPr>
        <w:t>o Paulo</w:t>
      </w:r>
      <w:r w:rsidR="005D121E" w:rsidRPr="00D5464D">
        <w:rPr>
          <w:rFonts w:cs="Arial"/>
          <w:szCs w:val="20"/>
          <w:lang w:val="pt-BR"/>
        </w:rPr>
        <w:t>.</w:t>
      </w:r>
      <w:r w:rsidR="0003391C" w:rsidRPr="00D5464D">
        <w:rPr>
          <w:rStyle w:val="Refdenotaalpie"/>
          <w:rFonts w:cs="Arial"/>
          <w:lang w:val="pt-BR"/>
        </w:rPr>
        <w:footnoteReference w:id="149"/>
      </w:r>
      <w:r w:rsidRPr="00D5464D">
        <w:rPr>
          <w:rFonts w:cs="Times New Roman"/>
          <w:szCs w:val="20"/>
          <w:lang w:val="pt-BR"/>
        </w:rPr>
        <w:t xml:space="preserve"> Em 2</w:t>
      </w:r>
      <w:r w:rsidR="0003391C" w:rsidRPr="00D5464D">
        <w:rPr>
          <w:rFonts w:cs="Arial"/>
          <w:szCs w:val="20"/>
          <w:lang w:val="pt-BR"/>
        </w:rPr>
        <w:t xml:space="preserve">3 de </w:t>
      </w:r>
      <w:r w:rsidR="002C330E" w:rsidRPr="00D5464D">
        <w:rPr>
          <w:rFonts w:cs="Arial"/>
          <w:szCs w:val="20"/>
          <w:lang w:val="pt-BR"/>
        </w:rPr>
        <w:t>setembro</w:t>
      </w:r>
      <w:r w:rsidR="0003391C" w:rsidRPr="00D5464D">
        <w:rPr>
          <w:rFonts w:cs="Arial"/>
          <w:szCs w:val="20"/>
          <w:lang w:val="pt-BR"/>
        </w:rPr>
        <w:t xml:space="preserve"> de 1999, a </w:t>
      </w:r>
      <w:r w:rsidR="005D121E" w:rsidRPr="00D5464D">
        <w:rPr>
          <w:rFonts w:cs="Arial"/>
          <w:szCs w:val="20"/>
          <w:lang w:val="pt-BR"/>
        </w:rPr>
        <w:t xml:space="preserve">pedido </w:t>
      </w:r>
      <w:r w:rsidR="00470ADC" w:rsidRPr="00D5464D">
        <w:rPr>
          <w:rFonts w:cs="Arial"/>
          <w:szCs w:val="20"/>
          <w:lang w:val="pt-BR"/>
        </w:rPr>
        <w:t xml:space="preserve">do </w:t>
      </w:r>
      <w:r w:rsidR="002C330E" w:rsidRPr="00D5464D">
        <w:rPr>
          <w:rFonts w:cs="Arial"/>
          <w:szCs w:val="20"/>
          <w:lang w:val="pt-BR"/>
        </w:rPr>
        <w:t>Ministério</w:t>
      </w:r>
      <w:r w:rsidR="0003391C" w:rsidRPr="00D5464D">
        <w:rPr>
          <w:rFonts w:cs="Arial"/>
          <w:szCs w:val="20"/>
          <w:lang w:val="pt-BR"/>
        </w:rPr>
        <w:t xml:space="preserve"> Público,</w:t>
      </w:r>
      <w:r w:rsidR="00470ADC" w:rsidRPr="00D5464D">
        <w:rPr>
          <w:rFonts w:cs="Arial"/>
          <w:szCs w:val="20"/>
          <w:lang w:val="pt-BR"/>
        </w:rPr>
        <w:t xml:space="preserve"> o </w:t>
      </w:r>
      <w:r w:rsidR="002C330E" w:rsidRPr="00D5464D">
        <w:rPr>
          <w:rFonts w:cs="Arial"/>
          <w:szCs w:val="20"/>
          <w:lang w:val="pt-BR"/>
        </w:rPr>
        <w:t>juiz</w:t>
      </w:r>
      <w:r w:rsidR="0003391C" w:rsidRPr="00D5464D">
        <w:rPr>
          <w:rFonts w:cs="Arial"/>
          <w:szCs w:val="20"/>
          <w:lang w:val="pt-BR"/>
        </w:rPr>
        <w:t xml:space="preserve"> federal </w:t>
      </w:r>
      <w:r w:rsidR="00737270" w:rsidRPr="00D5464D">
        <w:rPr>
          <w:rFonts w:cs="Arial"/>
          <w:szCs w:val="20"/>
          <w:lang w:val="pt-BR"/>
        </w:rPr>
        <w:t>autorizou</w:t>
      </w:r>
      <w:r w:rsidR="002C330E" w:rsidRPr="00D5464D">
        <w:rPr>
          <w:rFonts w:cs="Arial"/>
          <w:szCs w:val="20"/>
          <w:lang w:val="pt-BR"/>
        </w:rPr>
        <w:t xml:space="preserve"> a </w:t>
      </w:r>
      <w:r w:rsidR="0003391C" w:rsidRPr="00D5464D">
        <w:rPr>
          <w:rFonts w:cs="Arial"/>
          <w:szCs w:val="20"/>
          <w:lang w:val="pt-BR"/>
        </w:rPr>
        <w:t>sus</w:t>
      </w:r>
      <w:r w:rsidR="002C330E" w:rsidRPr="00D5464D">
        <w:rPr>
          <w:rFonts w:cs="Arial"/>
          <w:szCs w:val="20"/>
          <w:lang w:val="pt-BR"/>
        </w:rPr>
        <w:t>pensão</w:t>
      </w:r>
      <w:r w:rsidR="0003391C" w:rsidRPr="00D5464D">
        <w:rPr>
          <w:rFonts w:cs="Arial"/>
          <w:szCs w:val="20"/>
          <w:lang w:val="pt-BR"/>
        </w:rPr>
        <w:t xml:space="preserve"> condicional por do</w:t>
      </w:r>
      <w:r w:rsidR="005D121E" w:rsidRPr="00D5464D">
        <w:rPr>
          <w:rFonts w:cs="Arial"/>
          <w:szCs w:val="20"/>
          <w:lang w:val="pt-BR"/>
        </w:rPr>
        <w:t>i</w:t>
      </w:r>
      <w:r w:rsidR="0003391C" w:rsidRPr="00D5464D">
        <w:rPr>
          <w:rFonts w:cs="Arial"/>
          <w:szCs w:val="20"/>
          <w:lang w:val="pt-BR"/>
        </w:rPr>
        <w:t xml:space="preserve">s </w:t>
      </w:r>
      <w:r w:rsidR="00470ADC" w:rsidRPr="00D5464D">
        <w:rPr>
          <w:rFonts w:cs="Arial"/>
          <w:szCs w:val="20"/>
          <w:lang w:val="pt-BR"/>
        </w:rPr>
        <w:t>anos</w:t>
      </w:r>
      <w:r w:rsidR="0003391C" w:rsidRPr="00D5464D">
        <w:rPr>
          <w:rFonts w:cs="Arial"/>
          <w:szCs w:val="20"/>
          <w:lang w:val="pt-BR"/>
        </w:rPr>
        <w:t xml:space="preserve"> </w:t>
      </w:r>
      <w:r w:rsidR="00470ADC" w:rsidRPr="00D5464D">
        <w:rPr>
          <w:rFonts w:cs="Arial"/>
          <w:szCs w:val="20"/>
          <w:lang w:val="pt-BR"/>
        </w:rPr>
        <w:t xml:space="preserve">do </w:t>
      </w:r>
      <w:r w:rsidR="002C330E" w:rsidRPr="00D5464D">
        <w:rPr>
          <w:rFonts w:cs="Arial"/>
          <w:szCs w:val="20"/>
          <w:lang w:val="pt-BR"/>
        </w:rPr>
        <w:t>processo</w:t>
      </w:r>
      <w:r w:rsidR="0003391C" w:rsidRPr="00D5464D">
        <w:rPr>
          <w:rFonts w:cs="Arial"/>
          <w:szCs w:val="20"/>
          <w:lang w:val="pt-BR"/>
        </w:rPr>
        <w:t xml:space="preserve"> instaurado contra João Luiz Quagliato Neto</w:t>
      </w:r>
      <w:r w:rsidR="005D121E" w:rsidRPr="00D5464D">
        <w:rPr>
          <w:rFonts w:cs="Arial"/>
          <w:szCs w:val="20"/>
          <w:lang w:val="pt-BR"/>
        </w:rPr>
        <w:t>.</w:t>
      </w:r>
      <w:r w:rsidR="0003391C" w:rsidRPr="00D5464D">
        <w:rPr>
          <w:rStyle w:val="Refdenotaalpie"/>
          <w:rFonts w:cs="Arial"/>
          <w:lang w:val="pt-BR"/>
        </w:rPr>
        <w:footnoteReference w:id="150"/>
      </w:r>
      <w:r w:rsidR="0003391C" w:rsidRPr="00D5464D">
        <w:rPr>
          <w:rFonts w:cs="Times New Roman"/>
          <w:szCs w:val="20"/>
          <w:lang w:val="pt-BR"/>
        </w:rPr>
        <w:t xml:space="preserve"> </w:t>
      </w:r>
    </w:p>
    <w:p w14:paraId="127590FF" w14:textId="77777777" w:rsidR="0003391C" w:rsidRPr="00D5464D" w:rsidRDefault="0003391C" w:rsidP="00140440">
      <w:pPr>
        <w:pStyle w:val="Prrafodelista"/>
        <w:autoSpaceDE w:val="0"/>
        <w:autoSpaceDN w:val="0"/>
        <w:adjustRightInd w:val="0"/>
        <w:ind w:left="0"/>
        <w:contextualSpacing w:val="0"/>
        <w:rPr>
          <w:rFonts w:cs="Arial"/>
          <w:szCs w:val="20"/>
          <w:lang w:val="pt-BR"/>
        </w:rPr>
      </w:pPr>
    </w:p>
    <w:p w14:paraId="43484547" w14:textId="05B29362" w:rsidR="0003391C" w:rsidRPr="00D5464D" w:rsidRDefault="0003391C" w:rsidP="00140440">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 xml:space="preserve">Entre </w:t>
      </w:r>
      <w:r w:rsidR="003A6950" w:rsidRPr="00D5464D">
        <w:rPr>
          <w:rFonts w:cs="Arial"/>
          <w:szCs w:val="20"/>
          <w:lang w:val="pt-BR"/>
        </w:rPr>
        <w:t>10 de dezembro de 1998</w:t>
      </w:r>
      <w:r w:rsidR="00E045D9" w:rsidRPr="00D5464D">
        <w:rPr>
          <w:rFonts w:cs="Arial"/>
          <w:szCs w:val="20"/>
          <w:lang w:val="pt-BR"/>
        </w:rPr>
        <w:t xml:space="preserve"> e </w:t>
      </w:r>
      <w:r w:rsidR="002C330E" w:rsidRPr="00D5464D">
        <w:rPr>
          <w:rFonts w:cs="Arial"/>
          <w:szCs w:val="20"/>
          <w:lang w:val="pt-BR"/>
        </w:rPr>
        <w:t xml:space="preserve">maio </w:t>
      </w:r>
      <w:r w:rsidRPr="00D5464D">
        <w:rPr>
          <w:rFonts w:cs="Arial"/>
          <w:szCs w:val="20"/>
          <w:lang w:val="pt-BR"/>
        </w:rPr>
        <w:t>de 1999</w:t>
      </w:r>
      <w:r w:rsidR="005D121E" w:rsidRPr="00D5464D">
        <w:rPr>
          <w:rFonts w:cs="Arial"/>
          <w:szCs w:val="20"/>
          <w:lang w:val="pt-BR"/>
        </w:rPr>
        <w:t>,</w:t>
      </w:r>
      <w:r w:rsidRPr="00D5464D">
        <w:rPr>
          <w:rFonts w:cs="Arial"/>
          <w:szCs w:val="20"/>
          <w:lang w:val="pt-BR"/>
        </w:rPr>
        <w:t xml:space="preserve"> </w:t>
      </w:r>
      <w:r w:rsidR="005D121E" w:rsidRPr="00D5464D">
        <w:rPr>
          <w:rFonts w:cs="Arial"/>
          <w:szCs w:val="20"/>
          <w:lang w:val="pt-BR"/>
        </w:rPr>
        <w:t>os senhores Raimundo Alves da Rocha e Ant</w:t>
      </w:r>
      <w:r w:rsidR="009A3664" w:rsidRPr="00D5464D">
        <w:rPr>
          <w:rFonts w:cs="Arial"/>
          <w:szCs w:val="20"/>
          <w:lang w:val="pt-BR"/>
        </w:rPr>
        <w:t>ô</w:t>
      </w:r>
      <w:r w:rsidR="005D121E" w:rsidRPr="00D5464D">
        <w:rPr>
          <w:rFonts w:cs="Arial"/>
          <w:szCs w:val="20"/>
          <w:lang w:val="pt-BR"/>
        </w:rPr>
        <w:t xml:space="preserve">nio Alves Vieira foram </w:t>
      </w:r>
      <w:r w:rsidR="009A3664" w:rsidRPr="00D5464D">
        <w:rPr>
          <w:rFonts w:cs="Arial"/>
          <w:szCs w:val="20"/>
          <w:lang w:val="pt-BR"/>
        </w:rPr>
        <w:t xml:space="preserve">convocados </w:t>
      </w:r>
      <w:r w:rsidRPr="00D5464D">
        <w:rPr>
          <w:rFonts w:cs="Arial"/>
          <w:szCs w:val="20"/>
          <w:lang w:val="pt-BR"/>
        </w:rPr>
        <w:t>a declarar</w:t>
      </w:r>
      <w:r w:rsidR="00470ADC" w:rsidRPr="00D5464D">
        <w:rPr>
          <w:rFonts w:cs="Arial"/>
          <w:szCs w:val="20"/>
          <w:lang w:val="pt-BR"/>
        </w:rPr>
        <w:t xml:space="preserve"> em </w:t>
      </w:r>
      <w:r w:rsidR="00E045D9" w:rsidRPr="00D5464D">
        <w:rPr>
          <w:rFonts w:cs="Arial"/>
          <w:szCs w:val="20"/>
          <w:lang w:val="pt-BR"/>
        </w:rPr>
        <w:t>várias</w:t>
      </w:r>
      <w:r w:rsidRPr="00D5464D">
        <w:rPr>
          <w:rFonts w:cs="Arial"/>
          <w:szCs w:val="20"/>
          <w:lang w:val="pt-BR"/>
        </w:rPr>
        <w:t xml:space="preserve"> </w:t>
      </w:r>
      <w:r w:rsidR="002C330E" w:rsidRPr="00D5464D">
        <w:rPr>
          <w:rFonts w:cs="Arial"/>
          <w:szCs w:val="20"/>
          <w:lang w:val="pt-BR"/>
        </w:rPr>
        <w:t>ocasiões</w:t>
      </w:r>
      <w:r w:rsidR="005D121E" w:rsidRPr="00D5464D">
        <w:rPr>
          <w:rFonts w:cs="Arial"/>
          <w:szCs w:val="20"/>
          <w:lang w:val="pt-BR"/>
        </w:rPr>
        <w:t>.</w:t>
      </w:r>
      <w:r w:rsidRPr="00D5464D">
        <w:rPr>
          <w:rStyle w:val="Refdenotaalpie"/>
          <w:rFonts w:cs="Arial"/>
          <w:lang w:val="pt-BR"/>
        </w:rPr>
        <w:footnoteReference w:id="151"/>
      </w:r>
      <w:r w:rsidR="00C91CB1" w:rsidRPr="00D5464D">
        <w:rPr>
          <w:rFonts w:cs="Arial"/>
          <w:szCs w:val="20"/>
          <w:lang w:val="pt-BR"/>
        </w:rPr>
        <w:t xml:space="preserve"> Em 2</w:t>
      </w:r>
      <w:r w:rsidRPr="00D5464D">
        <w:rPr>
          <w:rFonts w:cs="Arial"/>
          <w:szCs w:val="20"/>
          <w:lang w:val="pt-BR"/>
        </w:rPr>
        <w:t>3 de</w:t>
      </w:r>
      <w:r w:rsidR="002C330E" w:rsidRPr="00D5464D">
        <w:rPr>
          <w:rFonts w:cs="Arial"/>
          <w:szCs w:val="20"/>
          <w:lang w:val="pt-BR"/>
        </w:rPr>
        <w:t xml:space="preserve"> maio </w:t>
      </w:r>
      <w:r w:rsidRPr="00D5464D">
        <w:rPr>
          <w:rFonts w:cs="Arial"/>
          <w:szCs w:val="20"/>
          <w:lang w:val="pt-BR"/>
        </w:rPr>
        <w:t>de 1999</w:t>
      </w:r>
      <w:r w:rsidR="005D121E" w:rsidRPr="00D5464D">
        <w:rPr>
          <w:rFonts w:cs="Arial"/>
          <w:szCs w:val="20"/>
          <w:lang w:val="pt-BR"/>
        </w:rPr>
        <w:t>,</w:t>
      </w:r>
      <w:r w:rsidRPr="00D5464D">
        <w:rPr>
          <w:rFonts w:cs="Arial"/>
          <w:szCs w:val="20"/>
          <w:lang w:val="pt-BR"/>
        </w:rPr>
        <w:t xml:space="preserve"> </w:t>
      </w:r>
      <w:r w:rsidR="002C330E" w:rsidRPr="00D5464D">
        <w:rPr>
          <w:rFonts w:cs="Arial"/>
          <w:szCs w:val="20"/>
          <w:lang w:val="pt-BR"/>
        </w:rPr>
        <w:t>apresentaram</w:t>
      </w:r>
      <w:r w:rsidRPr="00D5464D">
        <w:rPr>
          <w:rFonts w:cs="Arial"/>
          <w:szCs w:val="20"/>
          <w:lang w:val="pt-BR"/>
        </w:rPr>
        <w:t xml:space="preserve"> </w:t>
      </w:r>
      <w:r w:rsidR="00230C71" w:rsidRPr="00D5464D">
        <w:rPr>
          <w:rFonts w:cs="Arial"/>
          <w:szCs w:val="20"/>
          <w:lang w:val="pt-BR"/>
        </w:rPr>
        <w:t>seus escritos</w:t>
      </w:r>
      <w:r w:rsidRPr="00D5464D">
        <w:rPr>
          <w:rFonts w:cs="Arial"/>
          <w:szCs w:val="20"/>
          <w:lang w:val="pt-BR"/>
        </w:rPr>
        <w:t xml:space="preserve"> de </w:t>
      </w:r>
      <w:r w:rsidR="00470ADC" w:rsidRPr="00D5464D">
        <w:rPr>
          <w:rFonts w:cs="Arial"/>
          <w:szCs w:val="20"/>
          <w:lang w:val="pt-BR"/>
        </w:rPr>
        <w:t>defesa</w:t>
      </w:r>
      <w:r w:rsidR="005D121E" w:rsidRPr="00D5464D">
        <w:rPr>
          <w:rFonts w:cs="Arial"/>
          <w:szCs w:val="20"/>
          <w:lang w:val="pt-BR"/>
        </w:rPr>
        <w:t>.</w:t>
      </w:r>
      <w:r w:rsidRPr="00D5464D">
        <w:rPr>
          <w:rStyle w:val="Refdenotaalpie"/>
          <w:rFonts w:cs="Arial"/>
          <w:lang w:val="pt-BR"/>
        </w:rPr>
        <w:footnoteReference w:id="152"/>
      </w:r>
      <w:r w:rsidR="00C91CB1" w:rsidRPr="00D5464D">
        <w:rPr>
          <w:rFonts w:cs="Arial"/>
          <w:szCs w:val="20"/>
          <w:lang w:val="pt-BR"/>
        </w:rPr>
        <w:t xml:space="preserve"> Em 2</w:t>
      </w:r>
      <w:r w:rsidRPr="00D5464D">
        <w:rPr>
          <w:rFonts w:cs="Arial"/>
          <w:szCs w:val="20"/>
          <w:lang w:val="pt-BR"/>
        </w:rPr>
        <w:t xml:space="preserve"> de </w:t>
      </w:r>
      <w:r w:rsidR="002C330E" w:rsidRPr="00D5464D">
        <w:rPr>
          <w:rFonts w:cs="Arial"/>
          <w:szCs w:val="20"/>
          <w:lang w:val="pt-BR"/>
        </w:rPr>
        <w:t>março</w:t>
      </w:r>
      <w:r w:rsidRPr="00D5464D">
        <w:rPr>
          <w:rFonts w:cs="Arial"/>
          <w:szCs w:val="20"/>
          <w:lang w:val="pt-BR"/>
        </w:rPr>
        <w:t xml:space="preserve"> de 2000</w:t>
      </w:r>
      <w:r w:rsidR="005D121E" w:rsidRPr="00D5464D">
        <w:rPr>
          <w:rFonts w:cs="Arial"/>
          <w:szCs w:val="20"/>
          <w:lang w:val="pt-BR"/>
        </w:rPr>
        <w:t>,</w:t>
      </w:r>
      <w:r w:rsidRPr="00D5464D">
        <w:rPr>
          <w:rFonts w:cs="Arial"/>
          <w:szCs w:val="20"/>
          <w:lang w:val="pt-BR"/>
        </w:rPr>
        <w:t xml:space="preserve"> </w:t>
      </w:r>
      <w:r w:rsidR="002C330E" w:rsidRPr="00D5464D">
        <w:rPr>
          <w:rFonts w:cs="Arial"/>
          <w:szCs w:val="20"/>
          <w:lang w:val="pt-BR"/>
        </w:rPr>
        <w:t xml:space="preserve">os </w:t>
      </w:r>
      <w:r w:rsidRPr="00D5464D">
        <w:rPr>
          <w:rFonts w:cs="Arial"/>
          <w:szCs w:val="20"/>
          <w:lang w:val="pt-BR"/>
        </w:rPr>
        <w:t xml:space="preserve">agentes </w:t>
      </w:r>
      <w:r w:rsidR="00470ADC" w:rsidRPr="00D5464D">
        <w:rPr>
          <w:rFonts w:cs="Arial"/>
          <w:szCs w:val="20"/>
          <w:lang w:val="pt-BR"/>
        </w:rPr>
        <w:t xml:space="preserve">do </w:t>
      </w:r>
      <w:r w:rsidR="002C330E" w:rsidRPr="00D5464D">
        <w:rPr>
          <w:rFonts w:cs="Arial"/>
          <w:szCs w:val="20"/>
          <w:lang w:val="pt-BR"/>
        </w:rPr>
        <w:t>Ministério</w:t>
      </w:r>
      <w:r w:rsidRPr="00D5464D">
        <w:rPr>
          <w:rFonts w:cs="Arial"/>
          <w:szCs w:val="20"/>
          <w:lang w:val="pt-BR"/>
        </w:rPr>
        <w:t xml:space="preserve"> </w:t>
      </w:r>
      <w:r w:rsidR="00470ADC" w:rsidRPr="00D5464D">
        <w:rPr>
          <w:rFonts w:cs="Arial"/>
          <w:szCs w:val="20"/>
          <w:lang w:val="pt-BR"/>
        </w:rPr>
        <w:t xml:space="preserve">do </w:t>
      </w:r>
      <w:r w:rsidR="00E045D9" w:rsidRPr="00D5464D">
        <w:rPr>
          <w:rFonts w:cs="Arial"/>
          <w:szCs w:val="20"/>
          <w:lang w:val="pt-BR"/>
        </w:rPr>
        <w:t>Trabalho</w:t>
      </w:r>
      <w:r w:rsidRPr="00D5464D">
        <w:rPr>
          <w:rFonts w:cs="Arial"/>
          <w:szCs w:val="20"/>
          <w:lang w:val="pt-BR"/>
        </w:rPr>
        <w:t xml:space="preserve"> que </w:t>
      </w:r>
      <w:r w:rsidR="00E045D9" w:rsidRPr="00D5464D">
        <w:rPr>
          <w:rFonts w:cs="Arial"/>
          <w:szCs w:val="20"/>
          <w:lang w:val="pt-BR"/>
        </w:rPr>
        <w:t>realizaram</w:t>
      </w:r>
      <w:r w:rsidR="002C330E" w:rsidRPr="00D5464D">
        <w:rPr>
          <w:rFonts w:cs="Arial"/>
          <w:szCs w:val="20"/>
          <w:lang w:val="pt-BR"/>
        </w:rPr>
        <w:t xml:space="preserve"> a </w:t>
      </w:r>
      <w:r w:rsidRPr="00D5464D">
        <w:rPr>
          <w:rFonts w:cs="Arial"/>
          <w:szCs w:val="20"/>
          <w:lang w:val="pt-BR"/>
        </w:rPr>
        <w:t>fiscaliza</w:t>
      </w:r>
      <w:r w:rsidR="00470ADC" w:rsidRPr="00D5464D">
        <w:rPr>
          <w:rFonts w:cs="Arial"/>
          <w:szCs w:val="20"/>
          <w:lang w:val="pt-BR"/>
        </w:rPr>
        <w:t>ção</w:t>
      </w:r>
      <w:r w:rsidRPr="00D5464D">
        <w:rPr>
          <w:rFonts w:cs="Arial"/>
          <w:szCs w:val="20"/>
          <w:lang w:val="pt-BR"/>
        </w:rPr>
        <w:t xml:space="preserve"> de 1997</w:t>
      </w:r>
      <w:r w:rsidR="005D121E" w:rsidRPr="00D5464D">
        <w:rPr>
          <w:rFonts w:cs="Arial"/>
          <w:szCs w:val="20"/>
          <w:lang w:val="pt-BR"/>
        </w:rPr>
        <w:t xml:space="preserve"> prestaram testemunho.</w:t>
      </w:r>
      <w:r w:rsidRPr="00D5464D">
        <w:rPr>
          <w:rStyle w:val="Refdenotaalpie"/>
          <w:rFonts w:cs="Arial"/>
          <w:lang w:val="pt-BR"/>
        </w:rPr>
        <w:footnoteReference w:id="153"/>
      </w:r>
    </w:p>
    <w:p w14:paraId="469688F0" w14:textId="77777777" w:rsidR="0003391C" w:rsidRPr="00D5464D" w:rsidRDefault="0003391C" w:rsidP="00140440">
      <w:pPr>
        <w:pStyle w:val="Prrafodelista"/>
        <w:contextualSpacing w:val="0"/>
        <w:rPr>
          <w:rFonts w:cs="Arial"/>
          <w:szCs w:val="20"/>
          <w:lang w:val="pt-BR"/>
        </w:rPr>
      </w:pPr>
    </w:p>
    <w:p w14:paraId="1810385B" w14:textId="4F1F75FE" w:rsidR="0003391C" w:rsidRPr="00D5464D" w:rsidRDefault="0003391C" w:rsidP="00140440">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 xml:space="preserve">Diversas </w:t>
      </w:r>
      <w:r w:rsidR="00470ADC" w:rsidRPr="00D5464D">
        <w:rPr>
          <w:rFonts w:cs="Arial"/>
          <w:szCs w:val="20"/>
          <w:lang w:val="pt-BR"/>
        </w:rPr>
        <w:t>audiência</w:t>
      </w:r>
      <w:r w:rsidRPr="00D5464D">
        <w:rPr>
          <w:rFonts w:cs="Arial"/>
          <w:szCs w:val="20"/>
          <w:lang w:val="pt-BR"/>
        </w:rPr>
        <w:t>s para</w:t>
      </w:r>
      <w:r w:rsidR="002C330E" w:rsidRPr="00D5464D">
        <w:rPr>
          <w:rFonts w:cs="Arial"/>
          <w:szCs w:val="20"/>
          <w:lang w:val="pt-BR"/>
        </w:rPr>
        <w:t xml:space="preserve"> a </w:t>
      </w:r>
      <w:r w:rsidRPr="00D5464D">
        <w:rPr>
          <w:rFonts w:cs="Arial"/>
          <w:szCs w:val="20"/>
          <w:lang w:val="pt-BR"/>
        </w:rPr>
        <w:t>recep</w:t>
      </w:r>
      <w:r w:rsidR="00470ADC" w:rsidRPr="00D5464D">
        <w:rPr>
          <w:rFonts w:cs="Arial"/>
          <w:szCs w:val="20"/>
          <w:lang w:val="pt-BR"/>
        </w:rPr>
        <w:t>ção</w:t>
      </w:r>
      <w:r w:rsidRPr="00D5464D">
        <w:rPr>
          <w:rFonts w:cs="Arial"/>
          <w:szCs w:val="20"/>
          <w:lang w:val="pt-BR"/>
        </w:rPr>
        <w:t xml:space="preserve"> de </w:t>
      </w:r>
      <w:r w:rsidR="002C330E" w:rsidRPr="00D5464D">
        <w:rPr>
          <w:rFonts w:cs="Arial"/>
          <w:szCs w:val="20"/>
          <w:lang w:val="pt-BR"/>
        </w:rPr>
        <w:t>prova</w:t>
      </w:r>
      <w:r w:rsidRPr="00D5464D">
        <w:rPr>
          <w:rFonts w:cs="Arial"/>
          <w:szCs w:val="20"/>
          <w:lang w:val="pt-BR"/>
        </w:rPr>
        <w:t xml:space="preserve"> </w:t>
      </w:r>
      <w:r w:rsidR="005D121E" w:rsidRPr="00D5464D">
        <w:rPr>
          <w:rFonts w:cs="Arial"/>
          <w:szCs w:val="20"/>
          <w:lang w:val="pt-BR"/>
        </w:rPr>
        <w:t xml:space="preserve">foram programadas </w:t>
      </w:r>
      <w:r w:rsidRPr="00D5464D">
        <w:rPr>
          <w:rFonts w:cs="Arial"/>
          <w:szCs w:val="20"/>
          <w:lang w:val="pt-BR"/>
        </w:rPr>
        <w:t>durante</w:t>
      </w:r>
      <w:r w:rsidR="00470ADC" w:rsidRPr="00D5464D">
        <w:rPr>
          <w:rFonts w:cs="Arial"/>
          <w:szCs w:val="20"/>
          <w:lang w:val="pt-BR"/>
        </w:rPr>
        <w:t xml:space="preserve"> o ano </w:t>
      </w:r>
      <w:r w:rsidRPr="00D5464D">
        <w:rPr>
          <w:rFonts w:cs="Arial"/>
          <w:szCs w:val="20"/>
          <w:lang w:val="pt-BR"/>
        </w:rPr>
        <w:t>2000</w:t>
      </w:r>
      <w:r w:rsidR="005D121E" w:rsidRPr="00D5464D">
        <w:rPr>
          <w:rFonts w:cs="Arial"/>
          <w:szCs w:val="20"/>
          <w:lang w:val="pt-BR"/>
        </w:rPr>
        <w:t xml:space="preserve">. </w:t>
      </w:r>
      <w:r w:rsidR="00DE41A2" w:rsidRPr="00D5464D">
        <w:rPr>
          <w:rFonts w:cs="Arial"/>
          <w:szCs w:val="20"/>
          <w:lang w:val="pt-BR"/>
        </w:rPr>
        <w:t>Apesar d</w:t>
      </w:r>
      <w:r w:rsidR="00A1358C" w:rsidRPr="00D5464D">
        <w:rPr>
          <w:rFonts w:cs="Arial"/>
          <w:szCs w:val="20"/>
          <w:lang w:val="pt-BR"/>
        </w:rPr>
        <w:t>isso</w:t>
      </w:r>
      <w:r w:rsidR="00C91CB1" w:rsidRPr="00D5464D">
        <w:rPr>
          <w:rFonts w:cs="Arial"/>
          <w:szCs w:val="20"/>
          <w:lang w:val="pt-BR"/>
        </w:rPr>
        <w:t>, em 1</w:t>
      </w:r>
      <w:r w:rsidRPr="00D5464D">
        <w:rPr>
          <w:rFonts w:cs="Arial"/>
          <w:szCs w:val="20"/>
          <w:lang w:val="pt-BR"/>
        </w:rPr>
        <w:t xml:space="preserve">6 de </w:t>
      </w:r>
      <w:r w:rsidR="002C330E" w:rsidRPr="00D5464D">
        <w:rPr>
          <w:rFonts w:cs="Arial"/>
          <w:szCs w:val="20"/>
          <w:lang w:val="pt-BR"/>
        </w:rPr>
        <w:t>março</w:t>
      </w:r>
      <w:r w:rsidRPr="00D5464D">
        <w:rPr>
          <w:rFonts w:cs="Arial"/>
          <w:szCs w:val="20"/>
          <w:lang w:val="pt-BR"/>
        </w:rPr>
        <w:t xml:space="preserve"> de 2001</w:t>
      </w:r>
      <w:r w:rsidR="005D121E" w:rsidRPr="00D5464D">
        <w:rPr>
          <w:rFonts w:cs="Arial"/>
          <w:szCs w:val="20"/>
          <w:lang w:val="pt-BR"/>
        </w:rPr>
        <w:t>,</w:t>
      </w:r>
      <w:r w:rsidR="00470ADC" w:rsidRPr="00D5464D">
        <w:rPr>
          <w:rFonts w:cs="Arial"/>
          <w:szCs w:val="20"/>
          <w:lang w:val="pt-BR"/>
        </w:rPr>
        <w:t xml:space="preserve"> o </w:t>
      </w:r>
      <w:r w:rsidR="002C330E" w:rsidRPr="00D5464D">
        <w:rPr>
          <w:rFonts w:cs="Arial"/>
          <w:szCs w:val="20"/>
          <w:lang w:val="pt-BR"/>
        </w:rPr>
        <w:t>juiz</w:t>
      </w:r>
      <w:r w:rsidRPr="00D5464D">
        <w:rPr>
          <w:rFonts w:cs="Arial"/>
          <w:szCs w:val="20"/>
          <w:lang w:val="pt-BR"/>
        </w:rPr>
        <w:t xml:space="preserve"> federal su</w:t>
      </w:r>
      <w:r w:rsidR="005D121E" w:rsidRPr="00D5464D">
        <w:rPr>
          <w:rFonts w:cs="Arial"/>
          <w:szCs w:val="20"/>
          <w:lang w:val="pt-BR"/>
        </w:rPr>
        <w:t>b</w:t>
      </w:r>
      <w:r w:rsidRPr="00D5464D">
        <w:rPr>
          <w:rFonts w:cs="Arial"/>
          <w:szCs w:val="20"/>
          <w:lang w:val="pt-BR"/>
        </w:rPr>
        <w:t xml:space="preserve">stituto a cargo </w:t>
      </w:r>
      <w:r w:rsidR="00470ADC" w:rsidRPr="00D5464D">
        <w:rPr>
          <w:rFonts w:cs="Arial"/>
          <w:szCs w:val="20"/>
          <w:lang w:val="pt-BR"/>
        </w:rPr>
        <w:t xml:space="preserve">do </w:t>
      </w:r>
      <w:r w:rsidRPr="00D5464D">
        <w:rPr>
          <w:rFonts w:cs="Arial"/>
          <w:szCs w:val="20"/>
          <w:lang w:val="pt-BR"/>
        </w:rPr>
        <w:t xml:space="preserve">caso </w:t>
      </w:r>
      <w:r w:rsidR="00470ADC" w:rsidRPr="00D5464D">
        <w:rPr>
          <w:rFonts w:cs="Arial"/>
          <w:szCs w:val="20"/>
          <w:lang w:val="pt-BR"/>
        </w:rPr>
        <w:t>declarou</w:t>
      </w:r>
      <w:r w:rsidR="002C330E" w:rsidRPr="00D5464D">
        <w:rPr>
          <w:rFonts w:cs="Arial"/>
          <w:szCs w:val="20"/>
          <w:lang w:val="pt-BR"/>
        </w:rPr>
        <w:t xml:space="preserve"> a </w:t>
      </w:r>
      <w:r w:rsidR="005D121E" w:rsidRPr="00D5464D">
        <w:rPr>
          <w:rFonts w:cs="Arial"/>
          <w:szCs w:val="20"/>
          <w:lang w:val="pt-BR"/>
        </w:rPr>
        <w:t>“</w:t>
      </w:r>
      <w:r w:rsidRPr="00D5464D">
        <w:rPr>
          <w:rFonts w:cs="Arial"/>
          <w:szCs w:val="20"/>
          <w:lang w:val="pt-BR"/>
        </w:rPr>
        <w:t>in</w:t>
      </w:r>
      <w:r w:rsidR="00470ADC" w:rsidRPr="00D5464D">
        <w:rPr>
          <w:rFonts w:cs="Arial"/>
          <w:szCs w:val="20"/>
          <w:lang w:val="pt-BR"/>
        </w:rPr>
        <w:t>competência</w:t>
      </w:r>
      <w:r w:rsidRPr="00D5464D">
        <w:rPr>
          <w:rFonts w:cs="Arial"/>
          <w:szCs w:val="20"/>
          <w:lang w:val="pt-BR"/>
        </w:rPr>
        <w:t xml:space="preserve"> absoluta</w:t>
      </w:r>
      <w:r w:rsidR="00470ADC" w:rsidRPr="00D5464D">
        <w:rPr>
          <w:rFonts w:cs="Arial"/>
          <w:szCs w:val="20"/>
          <w:lang w:val="pt-BR"/>
        </w:rPr>
        <w:t xml:space="preserve"> da </w:t>
      </w:r>
      <w:r w:rsidR="002C330E" w:rsidRPr="00D5464D">
        <w:rPr>
          <w:rFonts w:cs="Arial"/>
          <w:szCs w:val="20"/>
          <w:lang w:val="pt-BR"/>
        </w:rPr>
        <w:t>Justiça</w:t>
      </w:r>
      <w:r w:rsidRPr="00D5464D">
        <w:rPr>
          <w:rFonts w:cs="Arial"/>
          <w:szCs w:val="20"/>
          <w:lang w:val="pt-BR"/>
        </w:rPr>
        <w:t xml:space="preserve"> Federal</w:t>
      </w:r>
      <w:r w:rsidR="005D121E" w:rsidRPr="00D5464D">
        <w:rPr>
          <w:rFonts w:cs="Arial"/>
          <w:szCs w:val="20"/>
          <w:lang w:val="pt-BR"/>
        </w:rPr>
        <w:t>”</w:t>
      </w:r>
      <w:r w:rsidRPr="00D5464D">
        <w:rPr>
          <w:rFonts w:cs="Arial"/>
          <w:szCs w:val="20"/>
          <w:lang w:val="pt-BR"/>
        </w:rPr>
        <w:t xml:space="preserve"> para </w:t>
      </w:r>
      <w:r w:rsidR="002C330E" w:rsidRPr="00D5464D">
        <w:rPr>
          <w:rFonts w:cs="Arial"/>
          <w:szCs w:val="20"/>
          <w:lang w:val="pt-BR"/>
        </w:rPr>
        <w:t>julgar</w:t>
      </w:r>
      <w:r w:rsidR="00470ADC" w:rsidRPr="00D5464D">
        <w:rPr>
          <w:rFonts w:cs="Arial"/>
          <w:szCs w:val="20"/>
          <w:lang w:val="pt-BR"/>
        </w:rPr>
        <w:t xml:space="preserve"> o </w:t>
      </w:r>
      <w:r w:rsidR="002C330E" w:rsidRPr="00D5464D">
        <w:rPr>
          <w:rFonts w:cs="Arial"/>
          <w:szCs w:val="20"/>
          <w:lang w:val="pt-BR"/>
        </w:rPr>
        <w:t>processo</w:t>
      </w:r>
      <w:r w:rsidRPr="00D5464D">
        <w:rPr>
          <w:rFonts w:cs="Arial"/>
          <w:szCs w:val="20"/>
          <w:lang w:val="pt-BR"/>
        </w:rPr>
        <w:t xml:space="preserve">, </w:t>
      </w:r>
      <w:r w:rsidR="00DE41A2" w:rsidRPr="00D5464D">
        <w:rPr>
          <w:rFonts w:cs="Arial"/>
          <w:szCs w:val="20"/>
          <w:lang w:val="pt-BR"/>
        </w:rPr>
        <w:t xml:space="preserve">pois </w:t>
      </w:r>
      <w:r w:rsidR="002C330E" w:rsidRPr="00D5464D">
        <w:rPr>
          <w:rFonts w:cs="Arial"/>
          <w:szCs w:val="20"/>
          <w:lang w:val="pt-BR"/>
        </w:rPr>
        <w:t xml:space="preserve">os </w:t>
      </w:r>
      <w:r w:rsidRPr="00D5464D">
        <w:rPr>
          <w:rFonts w:cs="Arial"/>
          <w:szCs w:val="20"/>
          <w:lang w:val="pt-BR"/>
        </w:rPr>
        <w:t>delitos que se investig</w:t>
      </w:r>
      <w:r w:rsidR="00EB1CE9" w:rsidRPr="00D5464D">
        <w:rPr>
          <w:rFonts w:cs="Arial"/>
          <w:szCs w:val="20"/>
          <w:lang w:val="pt-BR"/>
        </w:rPr>
        <w:t xml:space="preserve">avam </w:t>
      </w:r>
      <w:r w:rsidR="00E765C2" w:rsidRPr="00D5464D">
        <w:rPr>
          <w:rFonts w:cs="Arial"/>
          <w:szCs w:val="20"/>
          <w:lang w:val="pt-BR"/>
        </w:rPr>
        <w:t>constituíam</w:t>
      </w:r>
      <w:r w:rsidRPr="00D5464D">
        <w:rPr>
          <w:rFonts w:cs="Arial"/>
          <w:szCs w:val="20"/>
          <w:lang w:val="pt-BR"/>
        </w:rPr>
        <w:t xml:space="preserve"> viola</w:t>
      </w:r>
      <w:r w:rsidR="00470ADC" w:rsidRPr="00D5464D">
        <w:rPr>
          <w:rFonts w:cs="Arial"/>
          <w:szCs w:val="20"/>
          <w:lang w:val="pt-BR"/>
        </w:rPr>
        <w:t>ções</w:t>
      </w:r>
      <w:r w:rsidRPr="00D5464D">
        <w:rPr>
          <w:rFonts w:cs="Arial"/>
          <w:szCs w:val="20"/>
          <w:lang w:val="pt-BR"/>
        </w:rPr>
        <w:t xml:space="preserve"> a </w:t>
      </w:r>
      <w:r w:rsidR="00470ADC" w:rsidRPr="00D5464D">
        <w:rPr>
          <w:rFonts w:cs="Arial"/>
          <w:szCs w:val="20"/>
          <w:lang w:val="pt-BR"/>
        </w:rPr>
        <w:t>direito</w:t>
      </w:r>
      <w:r w:rsidRPr="00D5464D">
        <w:rPr>
          <w:rFonts w:cs="Arial"/>
          <w:szCs w:val="20"/>
          <w:lang w:val="pt-BR"/>
        </w:rPr>
        <w:t xml:space="preserve">s </w:t>
      </w:r>
      <w:r w:rsidR="002C330E" w:rsidRPr="00D5464D">
        <w:rPr>
          <w:rFonts w:cs="Arial"/>
          <w:szCs w:val="20"/>
          <w:lang w:val="pt-BR"/>
        </w:rPr>
        <w:t>individuais</w:t>
      </w:r>
      <w:r w:rsidRPr="00D5464D">
        <w:rPr>
          <w:rFonts w:cs="Arial"/>
          <w:szCs w:val="20"/>
          <w:lang w:val="pt-BR"/>
        </w:rPr>
        <w:t xml:space="preserve"> de</w:t>
      </w:r>
      <w:r w:rsidR="00E045D9" w:rsidRPr="00D5464D">
        <w:rPr>
          <w:rFonts w:cs="Arial"/>
          <w:szCs w:val="20"/>
          <w:lang w:val="pt-BR"/>
        </w:rPr>
        <w:t xml:space="preserve"> um </w:t>
      </w:r>
      <w:r w:rsidRPr="00D5464D">
        <w:rPr>
          <w:rFonts w:cs="Arial"/>
          <w:szCs w:val="20"/>
          <w:lang w:val="pt-BR"/>
        </w:rPr>
        <w:t xml:space="preserve">grupo de </w:t>
      </w:r>
      <w:r w:rsidR="00E045D9" w:rsidRPr="00D5464D">
        <w:rPr>
          <w:rFonts w:cs="Arial"/>
          <w:szCs w:val="20"/>
          <w:lang w:val="pt-BR"/>
        </w:rPr>
        <w:t>trabalhadores</w:t>
      </w:r>
      <w:r w:rsidR="00470ADC" w:rsidRPr="00D5464D">
        <w:rPr>
          <w:rFonts w:cs="Arial"/>
          <w:szCs w:val="20"/>
          <w:lang w:val="pt-BR"/>
        </w:rPr>
        <w:t xml:space="preserve"> e</w:t>
      </w:r>
      <w:r w:rsidRPr="00D5464D">
        <w:rPr>
          <w:rFonts w:cs="Arial"/>
          <w:szCs w:val="20"/>
          <w:lang w:val="pt-BR"/>
        </w:rPr>
        <w:t xml:space="preserve"> n</w:t>
      </w:r>
      <w:r w:rsidR="005D121E" w:rsidRPr="00D5464D">
        <w:rPr>
          <w:rFonts w:cs="Arial"/>
          <w:szCs w:val="20"/>
          <w:lang w:val="pt-BR"/>
        </w:rPr>
        <w:t>ã</w:t>
      </w:r>
      <w:r w:rsidRPr="00D5464D">
        <w:rPr>
          <w:rFonts w:cs="Arial"/>
          <w:szCs w:val="20"/>
          <w:lang w:val="pt-BR"/>
        </w:rPr>
        <w:t xml:space="preserve">o </w:t>
      </w:r>
      <w:r w:rsidR="00470ADC" w:rsidRPr="00D5464D">
        <w:rPr>
          <w:rFonts w:cs="Arial"/>
          <w:szCs w:val="20"/>
          <w:lang w:val="pt-BR"/>
        </w:rPr>
        <w:t>crimes</w:t>
      </w:r>
      <w:r w:rsidRPr="00D5464D">
        <w:rPr>
          <w:rFonts w:cs="Arial"/>
          <w:szCs w:val="20"/>
          <w:lang w:val="pt-BR"/>
        </w:rPr>
        <w:t xml:space="preserve"> </w:t>
      </w:r>
      <w:r w:rsidR="00350187" w:rsidRPr="00D5464D">
        <w:rPr>
          <w:rFonts w:cs="Arial"/>
          <w:szCs w:val="20"/>
          <w:lang w:val="pt-BR"/>
        </w:rPr>
        <w:t>praticad</w:t>
      </w:r>
      <w:r w:rsidRPr="00D5464D">
        <w:rPr>
          <w:rFonts w:cs="Arial"/>
          <w:szCs w:val="20"/>
          <w:lang w:val="pt-BR"/>
        </w:rPr>
        <w:t>os contra</w:t>
      </w:r>
      <w:r w:rsidR="002C330E" w:rsidRPr="00D5464D">
        <w:rPr>
          <w:rFonts w:cs="Arial"/>
          <w:szCs w:val="20"/>
          <w:lang w:val="pt-BR"/>
        </w:rPr>
        <w:t xml:space="preserve"> a </w:t>
      </w:r>
      <w:r w:rsidRPr="00D5464D">
        <w:rPr>
          <w:rFonts w:cs="Arial"/>
          <w:szCs w:val="20"/>
          <w:lang w:val="pt-BR"/>
        </w:rPr>
        <w:t>organiza</w:t>
      </w:r>
      <w:r w:rsidR="00470ADC" w:rsidRPr="00D5464D">
        <w:rPr>
          <w:rFonts w:cs="Arial"/>
          <w:szCs w:val="20"/>
          <w:lang w:val="pt-BR"/>
        </w:rPr>
        <w:t>ção</w:t>
      </w:r>
      <w:r w:rsidRPr="00D5464D">
        <w:rPr>
          <w:rFonts w:cs="Arial"/>
          <w:szCs w:val="20"/>
          <w:lang w:val="pt-BR"/>
        </w:rPr>
        <w:t xml:space="preserve"> </w:t>
      </w:r>
      <w:r w:rsidR="00470ADC" w:rsidRPr="00D5464D">
        <w:rPr>
          <w:rFonts w:cs="Arial"/>
          <w:szCs w:val="20"/>
          <w:lang w:val="pt-BR"/>
        </w:rPr>
        <w:t xml:space="preserve">do </w:t>
      </w:r>
      <w:r w:rsidR="00E045D9" w:rsidRPr="00D5464D">
        <w:rPr>
          <w:rFonts w:cs="Arial"/>
          <w:szCs w:val="20"/>
          <w:lang w:val="pt-BR"/>
        </w:rPr>
        <w:t>trabalho</w:t>
      </w:r>
      <w:r w:rsidRPr="00D5464D">
        <w:rPr>
          <w:rFonts w:cs="Arial"/>
          <w:szCs w:val="20"/>
          <w:lang w:val="pt-BR"/>
        </w:rPr>
        <w:t>,</w:t>
      </w:r>
      <w:r w:rsidR="002C330E" w:rsidRPr="00D5464D">
        <w:rPr>
          <w:rFonts w:cs="Arial"/>
          <w:szCs w:val="20"/>
          <w:lang w:val="pt-BR"/>
        </w:rPr>
        <w:t xml:space="preserve"> </w:t>
      </w:r>
      <w:r w:rsidR="005D121E" w:rsidRPr="00D5464D">
        <w:rPr>
          <w:rFonts w:cs="Arial"/>
          <w:szCs w:val="20"/>
          <w:lang w:val="pt-BR"/>
        </w:rPr>
        <w:t xml:space="preserve">de maneira </w:t>
      </w:r>
      <w:r w:rsidR="002C330E" w:rsidRPr="00D5464D">
        <w:rPr>
          <w:rFonts w:cs="Arial"/>
          <w:szCs w:val="20"/>
          <w:lang w:val="pt-BR"/>
        </w:rPr>
        <w:t xml:space="preserve">que os </w:t>
      </w:r>
      <w:r w:rsidRPr="00D5464D">
        <w:rPr>
          <w:rFonts w:cs="Arial"/>
          <w:szCs w:val="20"/>
          <w:lang w:val="pt-BR"/>
        </w:rPr>
        <w:t xml:space="preserve">autos </w:t>
      </w:r>
      <w:r w:rsidR="005D121E" w:rsidRPr="00D5464D">
        <w:rPr>
          <w:rFonts w:cs="Arial"/>
          <w:szCs w:val="20"/>
          <w:lang w:val="pt-BR"/>
        </w:rPr>
        <w:t xml:space="preserve">deveriam ser enviados </w:t>
      </w:r>
      <w:r w:rsidR="00470ADC" w:rsidRPr="00D5464D">
        <w:rPr>
          <w:rFonts w:cs="Arial"/>
          <w:szCs w:val="20"/>
          <w:lang w:val="pt-BR"/>
        </w:rPr>
        <w:t xml:space="preserve">à </w:t>
      </w:r>
      <w:r w:rsidR="002C330E" w:rsidRPr="00D5464D">
        <w:rPr>
          <w:rFonts w:cs="Arial"/>
          <w:szCs w:val="20"/>
          <w:lang w:val="pt-BR"/>
        </w:rPr>
        <w:t>justiça</w:t>
      </w:r>
      <w:r w:rsidRPr="00D5464D">
        <w:rPr>
          <w:rFonts w:cs="Arial"/>
          <w:szCs w:val="20"/>
          <w:lang w:val="pt-BR"/>
        </w:rPr>
        <w:t xml:space="preserve"> estadual de Xinguara, Pará</w:t>
      </w:r>
      <w:r w:rsidR="005D121E" w:rsidRPr="00D5464D">
        <w:rPr>
          <w:rFonts w:cs="Arial"/>
          <w:szCs w:val="20"/>
          <w:lang w:val="pt-BR"/>
        </w:rPr>
        <w:t>.</w:t>
      </w:r>
      <w:r w:rsidRPr="00D5464D">
        <w:rPr>
          <w:rStyle w:val="Refdenotaalpie"/>
          <w:rFonts w:cs="Arial"/>
          <w:lang w:val="pt-BR"/>
        </w:rPr>
        <w:footnoteReference w:id="154"/>
      </w:r>
      <w:r w:rsidR="00A1358C" w:rsidRPr="00D5464D">
        <w:rPr>
          <w:rFonts w:cs="Arial"/>
          <w:szCs w:val="20"/>
          <w:lang w:val="pt-BR"/>
        </w:rPr>
        <w:t xml:space="preserve"> O </w:t>
      </w:r>
      <w:r w:rsidR="002C330E" w:rsidRPr="00D5464D">
        <w:rPr>
          <w:rFonts w:cs="Arial"/>
          <w:szCs w:val="20"/>
          <w:lang w:val="pt-BR"/>
        </w:rPr>
        <w:t>juiz</w:t>
      </w:r>
      <w:r w:rsidRPr="00D5464D">
        <w:rPr>
          <w:rFonts w:cs="Arial"/>
          <w:szCs w:val="20"/>
          <w:lang w:val="pt-BR"/>
        </w:rPr>
        <w:t xml:space="preserve"> </w:t>
      </w:r>
      <w:r w:rsidR="00470ADC" w:rsidRPr="00D5464D">
        <w:rPr>
          <w:rFonts w:cs="Arial"/>
          <w:szCs w:val="20"/>
          <w:lang w:val="pt-BR"/>
        </w:rPr>
        <w:t>considerou</w:t>
      </w:r>
      <w:r w:rsidRPr="00D5464D">
        <w:rPr>
          <w:rFonts w:cs="Arial"/>
          <w:szCs w:val="20"/>
          <w:lang w:val="pt-BR"/>
        </w:rPr>
        <w:t xml:space="preserve"> que,</w:t>
      </w:r>
      <w:r w:rsidR="00470ADC" w:rsidRPr="00D5464D">
        <w:rPr>
          <w:rFonts w:cs="Arial"/>
          <w:szCs w:val="20"/>
          <w:lang w:val="pt-BR"/>
        </w:rPr>
        <w:t xml:space="preserve"> com </w:t>
      </w:r>
      <w:r w:rsidRPr="00D5464D">
        <w:rPr>
          <w:rFonts w:cs="Arial"/>
          <w:szCs w:val="20"/>
          <w:lang w:val="pt-BR"/>
        </w:rPr>
        <w:t>base</w:t>
      </w:r>
      <w:r w:rsidR="00E045D9" w:rsidRPr="00D5464D">
        <w:rPr>
          <w:rFonts w:cs="Arial"/>
          <w:szCs w:val="20"/>
          <w:lang w:val="pt-BR"/>
        </w:rPr>
        <w:t xml:space="preserve"> na </w:t>
      </w:r>
      <w:r w:rsidR="002C330E" w:rsidRPr="00D5464D">
        <w:rPr>
          <w:rFonts w:cs="Arial"/>
          <w:szCs w:val="20"/>
          <w:lang w:val="pt-BR"/>
        </w:rPr>
        <w:t>jurisprudência</w:t>
      </w:r>
      <w:r w:rsidR="00EB1CE9" w:rsidRPr="00D5464D">
        <w:rPr>
          <w:rFonts w:cs="Arial"/>
          <w:szCs w:val="20"/>
          <w:lang w:val="pt-BR"/>
        </w:rPr>
        <w:t xml:space="preserve">, por </w:t>
      </w:r>
      <w:r w:rsidR="00E045D9" w:rsidRPr="00D5464D">
        <w:rPr>
          <w:rFonts w:cs="Arial"/>
          <w:szCs w:val="20"/>
          <w:lang w:val="pt-BR"/>
        </w:rPr>
        <w:t>tratar-se</w:t>
      </w:r>
      <w:r w:rsidRPr="00D5464D">
        <w:rPr>
          <w:rFonts w:cs="Arial"/>
          <w:szCs w:val="20"/>
          <w:lang w:val="pt-BR"/>
        </w:rPr>
        <w:t xml:space="preserve"> de </w:t>
      </w:r>
      <w:r w:rsidR="00470ADC" w:rsidRPr="00D5464D">
        <w:rPr>
          <w:rFonts w:cs="Arial"/>
          <w:szCs w:val="20"/>
          <w:lang w:val="pt-BR"/>
        </w:rPr>
        <w:t>competência</w:t>
      </w:r>
      <w:r w:rsidRPr="00D5464D">
        <w:rPr>
          <w:rFonts w:cs="Arial"/>
          <w:szCs w:val="20"/>
          <w:lang w:val="pt-BR"/>
        </w:rPr>
        <w:t xml:space="preserve"> </w:t>
      </w:r>
      <w:r w:rsidRPr="00D5464D">
        <w:rPr>
          <w:rFonts w:cs="Times New Roman"/>
          <w:i/>
          <w:iCs/>
          <w:szCs w:val="20"/>
          <w:lang w:val="pt-BR"/>
        </w:rPr>
        <w:t>ratione materiae</w:t>
      </w:r>
      <w:r w:rsidR="00C6536B" w:rsidRPr="00D5464D">
        <w:rPr>
          <w:rFonts w:cs="Times New Roman"/>
          <w:iCs/>
          <w:szCs w:val="20"/>
          <w:lang w:val="pt-BR"/>
        </w:rPr>
        <w:t>,</w:t>
      </w:r>
      <w:r w:rsidR="00737270" w:rsidRPr="00D5464D">
        <w:rPr>
          <w:rFonts w:cs="Times New Roman"/>
          <w:i/>
          <w:iCs/>
          <w:szCs w:val="20"/>
          <w:lang w:val="pt-BR"/>
        </w:rPr>
        <w:t xml:space="preserve"> </w:t>
      </w:r>
      <w:r w:rsidR="00737270" w:rsidRPr="00D5464D">
        <w:rPr>
          <w:rFonts w:cs="Times New Roman"/>
          <w:iCs/>
          <w:szCs w:val="20"/>
          <w:lang w:val="pt-BR"/>
        </w:rPr>
        <w:t xml:space="preserve">não era </w:t>
      </w:r>
      <w:r w:rsidR="00E045D9" w:rsidRPr="00D5464D">
        <w:rPr>
          <w:rFonts w:cs="Arial"/>
          <w:szCs w:val="20"/>
          <w:lang w:val="pt-BR"/>
        </w:rPr>
        <w:t>suscetível</w:t>
      </w:r>
      <w:r w:rsidRPr="00D5464D">
        <w:rPr>
          <w:rFonts w:cs="Arial"/>
          <w:szCs w:val="20"/>
          <w:lang w:val="pt-BR"/>
        </w:rPr>
        <w:t xml:space="preserve"> de ser prorrogada, so</w:t>
      </w:r>
      <w:r w:rsidR="005D121E" w:rsidRPr="00D5464D">
        <w:rPr>
          <w:rFonts w:cs="Arial"/>
          <w:szCs w:val="20"/>
          <w:lang w:val="pt-BR"/>
        </w:rPr>
        <w:t>b</w:t>
      </w:r>
      <w:r w:rsidRPr="00D5464D">
        <w:rPr>
          <w:rFonts w:cs="Arial"/>
          <w:szCs w:val="20"/>
          <w:lang w:val="pt-BR"/>
        </w:rPr>
        <w:t xml:space="preserve"> pena de </w:t>
      </w:r>
      <w:r w:rsidR="005D121E" w:rsidRPr="00D5464D">
        <w:rPr>
          <w:rFonts w:cs="Arial"/>
          <w:szCs w:val="20"/>
          <w:lang w:val="pt-BR"/>
        </w:rPr>
        <w:t>nulidade</w:t>
      </w:r>
      <w:r w:rsidRPr="00D5464D">
        <w:rPr>
          <w:rFonts w:cs="Arial"/>
          <w:szCs w:val="20"/>
          <w:lang w:val="pt-BR"/>
        </w:rPr>
        <w:t xml:space="preserve"> absoluta, impon</w:t>
      </w:r>
      <w:r w:rsidR="005D121E" w:rsidRPr="00D5464D">
        <w:rPr>
          <w:rFonts w:cs="Arial"/>
          <w:szCs w:val="20"/>
          <w:lang w:val="pt-BR"/>
        </w:rPr>
        <w:t xml:space="preserve">do-se o </w:t>
      </w:r>
      <w:r w:rsidR="00E045D9" w:rsidRPr="00D5464D">
        <w:rPr>
          <w:rFonts w:cs="Arial"/>
          <w:szCs w:val="20"/>
          <w:lang w:val="pt-BR"/>
        </w:rPr>
        <w:t>seu reconhecimento</w:t>
      </w:r>
      <w:r w:rsidR="005D121E" w:rsidRPr="00D5464D">
        <w:rPr>
          <w:rFonts w:cs="Arial"/>
          <w:szCs w:val="20"/>
          <w:lang w:val="pt-BR"/>
        </w:rPr>
        <w:t xml:space="preserve"> de ofí</w:t>
      </w:r>
      <w:r w:rsidRPr="00D5464D">
        <w:rPr>
          <w:rFonts w:cs="Arial"/>
          <w:szCs w:val="20"/>
          <w:lang w:val="pt-BR"/>
        </w:rPr>
        <w:t>cio</w:t>
      </w:r>
      <w:r w:rsidR="005D121E" w:rsidRPr="00D5464D">
        <w:rPr>
          <w:rFonts w:cs="Arial"/>
          <w:szCs w:val="20"/>
          <w:lang w:val="pt-BR"/>
        </w:rPr>
        <w:t>.</w:t>
      </w:r>
      <w:r w:rsidR="00A916B1" w:rsidRPr="00D5464D">
        <w:rPr>
          <w:rStyle w:val="Refdenotaalpie"/>
          <w:rFonts w:cs="Arial"/>
          <w:lang w:val="pt-BR"/>
        </w:rPr>
        <w:footnoteReference w:id="155"/>
      </w:r>
      <w:r w:rsidRPr="00D5464D">
        <w:rPr>
          <w:rFonts w:cs="Times New Roman"/>
          <w:szCs w:val="20"/>
          <w:lang w:val="pt-BR"/>
        </w:rPr>
        <w:t xml:space="preserve"> </w:t>
      </w:r>
      <w:r w:rsidRPr="00D5464D">
        <w:rPr>
          <w:rFonts w:cs="Arial"/>
          <w:szCs w:val="20"/>
          <w:lang w:val="pt-BR"/>
        </w:rPr>
        <w:t>Contra</w:t>
      </w:r>
      <w:r w:rsidR="002C330E" w:rsidRPr="00D5464D">
        <w:rPr>
          <w:rFonts w:cs="Arial"/>
          <w:szCs w:val="20"/>
          <w:lang w:val="pt-BR"/>
        </w:rPr>
        <w:t xml:space="preserve"> a </w:t>
      </w:r>
      <w:r w:rsidRPr="00D5464D">
        <w:rPr>
          <w:rFonts w:cs="Arial"/>
          <w:szCs w:val="20"/>
          <w:lang w:val="pt-BR"/>
        </w:rPr>
        <w:t xml:space="preserve">anterior </w:t>
      </w:r>
      <w:r w:rsidR="00470ADC" w:rsidRPr="00D5464D">
        <w:rPr>
          <w:rFonts w:cs="Arial"/>
          <w:szCs w:val="20"/>
          <w:lang w:val="pt-BR"/>
        </w:rPr>
        <w:t>decisão</w:t>
      </w:r>
      <w:r w:rsidRPr="00D5464D">
        <w:rPr>
          <w:rFonts w:cs="Arial"/>
          <w:szCs w:val="20"/>
          <w:lang w:val="pt-BR"/>
        </w:rPr>
        <w:t xml:space="preserve"> n</w:t>
      </w:r>
      <w:r w:rsidR="005D121E" w:rsidRPr="00D5464D">
        <w:rPr>
          <w:rFonts w:cs="Arial"/>
          <w:szCs w:val="20"/>
          <w:lang w:val="pt-BR"/>
        </w:rPr>
        <w:t>ã</w:t>
      </w:r>
      <w:r w:rsidRPr="00D5464D">
        <w:rPr>
          <w:rFonts w:cs="Arial"/>
          <w:szCs w:val="20"/>
          <w:lang w:val="pt-BR"/>
        </w:rPr>
        <w:t xml:space="preserve">o </w:t>
      </w:r>
      <w:r w:rsidR="005D121E" w:rsidRPr="00D5464D">
        <w:rPr>
          <w:rFonts w:cs="Arial"/>
          <w:szCs w:val="20"/>
          <w:lang w:val="pt-BR"/>
        </w:rPr>
        <w:t xml:space="preserve">foi interposto nenhum </w:t>
      </w:r>
      <w:r w:rsidRPr="00D5464D">
        <w:rPr>
          <w:rFonts w:cs="Arial"/>
          <w:szCs w:val="20"/>
          <w:lang w:val="pt-BR"/>
        </w:rPr>
        <w:t>recurso</w:t>
      </w:r>
      <w:r w:rsidRPr="00D5464D">
        <w:rPr>
          <w:rFonts w:cs="Times New Roman"/>
          <w:szCs w:val="20"/>
          <w:lang w:val="pt-BR"/>
        </w:rPr>
        <w:t>.</w:t>
      </w:r>
    </w:p>
    <w:p w14:paraId="1E910F52" w14:textId="77777777" w:rsidR="00D65024" w:rsidRPr="00D5464D" w:rsidRDefault="00D65024" w:rsidP="00D65024">
      <w:pPr>
        <w:pStyle w:val="Prrafodelista"/>
        <w:autoSpaceDE w:val="0"/>
        <w:autoSpaceDN w:val="0"/>
        <w:adjustRightInd w:val="0"/>
        <w:ind w:left="0"/>
        <w:contextualSpacing w:val="0"/>
        <w:rPr>
          <w:rFonts w:cs="Arial"/>
          <w:szCs w:val="20"/>
          <w:lang w:val="pt-BR"/>
        </w:rPr>
      </w:pPr>
    </w:p>
    <w:p w14:paraId="036AC55C" w14:textId="151771E4" w:rsidR="0003391C" w:rsidRPr="00D5464D" w:rsidRDefault="00C91CB1" w:rsidP="00140440">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Em 8</w:t>
      </w:r>
      <w:r w:rsidR="0003391C" w:rsidRPr="00D5464D">
        <w:rPr>
          <w:rFonts w:cs="Arial"/>
          <w:szCs w:val="20"/>
          <w:lang w:val="pt-BR"/>
        </w:rPr>
        <w:t xml:space="preserve"> de agosto de 2001</w:t>
      </w:r>
      <w:r w:rsidR="005D121E" w:rsidRPr="00D5464D">
        <w:rPr>
          <w:rFonts w:cs="Arial"/>
          <w:szCs w:val="20"/>
          <w:lang w:val="pt-BR"/>
        </w:rPr>
        <w:t>,</w:t>
      </w:r>
      <w:r w:rsidR="00470ADC" w:rsidRPr="00D5464D">
        <w:rPr>
          <w:rFonts w:cs="Arial"/>
          <w:szCs w:val="20"/>
          <w:lang w:val="pt-BR"/>
        </w:rPr>
        <w:t xml:space="preserve"> o </w:t>
      </w:r>
      <w:r w:rsidR="002C330E" w:rsidRPr="00D5464D">
        <w:rPr>
          <w:rFonts w:cs="Arial"/>
          <w:szCs w:val="20"/>
          <w:lang w:val="pt-BR"/>
        </w:rPr>
        <w:t>processo</w:t>
      </w:r>
      <w:r w:rsidR="00470ADC" w:rsidRPr="00D5464D">
        <w:rPr>
          <w:rFonts w:cs="Arial"/>
          <w:szCs w:val="20"/>
          <w:lang w:val="pt-BR"/>
        </w:rPr>
        <w:t xml:space="preserve"> foi </w:t>
      </w:r>
      <w:r w:rsidR="005D121E" w:rsidRPr="00D5464D">
        <w:rPr>
          <w:rFonts w:cs="Arial"/>
          <w:szCs w:val="20"/>
          <w:lang w:val="pt-BR"/>
        </w:rPr>
        <w:t xml:space="preserve">reiniciado </w:t>
      </w:r>
      <w:r w:rsidR="002C330E" w:rsidRPr="00D5464D">
        <w:rPr>
          <w:rFonts w:cs="Arial"/>
          <w:szCs w:val="20"/>
          <w:lang w:val="pt-BR"/>
        </w:rPr>
        <w:t>pela justiça</w:t>
      </w:r>
      <w:r w:rsidR="0003391C" w:rsidRPr="00D5464D">
        <w:rPr>
          <w:rFonts w:cs="Arial"/>
          <w:szCs w:val="20"/>
          <w:lang w:val="pt-BR"/>
        </w:rPr>
        <w:t xml:space="preserve"> estadual de Xinguara</w:t>
      </w:r>
      <w:r w:rsidR="00470ADC" w:rsidRPr="00D5464D">
        <w:rPr>
          <w:rFonts w:cs="Arial"/>
          <w:szCs w:val="20"/>
          <w:lang w:val="pt-BR"/>
        </w:rPr>
        <w:t>, e</w:t>
      </w:r>
      <w:r w:rsidR="005D121E" w:rsidRPr="00D5464D">
        <w:rPr>
          <w:rFonts w:cs="Arial"/>
          <w:szCs w:val="20"/>
          <w:lang w:val="pt-BR"/>
        </w:rPr>
        <w:t>,</w:t>
      </w:r>
      <w:r w:rsidR="002C330E" w:rsidRPr="00D5464D">
        <w:rPr>
          <w:rFonts w:cs="Arial"/>
          <w:szCs w:val="20"/>
          <w:lang w:val="pt-BR"/>
        </w:rPr>
        <w:t xml:space="preserve"> em 2</w:t>
      </w:r>
      <w:r w:rsidR="0003391C" w:rsidRPr="00D5464D">
        <w:rPr>
          <w:rFonts w:cs="Arial"/>
          <w:szCs w:val="20"/>
          <w:lang w:val="pt-BR"/>
        </w:rPr>
        <w:t xml:space="preserve">5 de </w:t>
      </w:r>
      <w:r w:rsidR="002C330E" w:rsidRPr="00D5464D">
        <w:rPr>
          <w:rFonts w:cs="Arial"/>
          <w:szCs w:val="20"/>
          <w:lang w:val="pt-BR"/>
        </w:rPr>
        <w:t>outubro</w:t>
      </w:r>
      <w:r w:rsidR="0003391C" w:rsidRPr="00D5464D">
        <w:rPr>
          <w:rFonts w:cs="Arial"/>
          <w:szCs w:val="20"/>
          <w:lang w:val="pt-BR"/>
        </w:rPr>
        <w:t xml:space="preserve"> de 2001</w:t>
      </w:r>
      <w:r w:rsidR="005D121E" w:rsidRPr="00D5464D">
        <w:rPr>
          <w:rFonts w:cs="Arial"/>
          <w:szCs w:val="20"/>
          <w:lang w:val="pt-BR"/>
        </w:rPr>
        <w:t>,</w:t>
      </w:r>
      <w:r w:rsidR="002C330E" w:rsidRPr="00D5464D">
        <w:rPr>
          <w:rFonts w:cs="Arial"/>
          <w:szCs w:val="20"/>
          <w:lang w:val="pt-BR"/>
        </w:rPr>
        <w:t xml:space="preserve"> a </w:t>
      </w:r>
      <w:r w:rsidR="00470ADC" w:rsidRPr="00D5464D">
        <w:rPr>
          <w:rFonts w:cs="Arial"/>
          <w:szCs w:val="20"/>
          <w:lang w:val="pt-BR"/>
        </w:rPr>
        <w:t>Promotoria</w:t>
      </w:r>
      <w:r w:rsidR="0003391C" w:rsidRPr="00D5464D">
        <w:rPr>
          <w:rFonts w:cs="Arial"/>
          <w:szCs w:val="20"/>
          <w:lang w:val="pt-BR"/>
        </w:rPr>
        <w:t xml:space="preserve"> </w:t>
      </w:r>
      <w:r w:rsidR="002C330E" w:rsidRPr="00D5464D">
        <w:rPr>
          <w:rFonts w:cs="Arial"/>
          <w:szCs w:val="20"/>
          <w:lang w:val="pt-BR"/>
        </w:rPr>
        <w:t xml:space="preserve">ratificou a </w:t>
      </w:r>
      <w:r w:rsidR="005D121E" w:rsidRPr="00D5464D">
        <w:rPr>
          <w:rFonts w:cs="Arial"/>
          <w:szCs w:val="20"/>
          <w:lang w:val="pt-BR"/>
        </w:rPr>
        <w:t>denú</w:t>
      </w:r>
      <w:r w:rsidR="0003391C" w:rsidRPr="00D5464D">
        <w:rPr>
          <w:rFonts w:cs="Arial"/>
          <w:szCs w:val="20"/>
          <w:lang w:val="pt-BR"/>
        </w:rPr>
        <w:t>ncia</w:t>
      </w:r>
      <w:r w:rsidR="00C6536B" w:rsidRPr="00D5464D">
        <w:rPr>
          <w:rFonts w:cs="Arial"/>
          <w:szCs w:val="20"/>
          <w:lang w:val="pt-BR"/>
        </w:rPr>
        <w:t>.</w:t>
      </w:r>
      <w:r w:rsidR="0003391C" w:rsidRPr="00D5464D">
        <w:rPr>
          <w:rFonts w:cs="Arial"/>
          <w:szCs w:val="20"/>
          <w:lang w:val="pt-BR"/>
        </w:rPr>
        <w:t xml:space="preserve"> </w:t>
      </w:r>
      <w:r w:rsidR="00C6536B" w:rsidRPr="00D5464D">
        <w:rPr>
          <w:rFonts w:cs="Arial"/>
          <w:szCs w:val="20"/>
          <w:lang w:val="pt-BR"/>
        </w:rPr>
        <w:t>P</w:t>
      </w:r>
      <w:r w:rsidR="0003391C" w:rsidRPr="00D5464D">
        <w:rPr>
          <w:rFonts w:cs="Arial"/>
          <w:szCs w:val="20"/>
          <w:lang w:val="pt-BR"/>
        </w:rPr>
        <w:t>osteriormente,</w:t>
      </w:r>
      <w:r w:rsidR="002C330E" w:rsidRPr="00D5464D">
        <w:rPr>
          <w:rFonts w:cs="Arial"/>
          <w:szCs w:val="20"/>
          <w:lang w:val="pt-BR"/>
        </w:rPr>
        <w:t xml:space="preserve"> em 2</w:t>
      </w:r>
      <w:r w:rsidR="0003391C" w:rsidRPr="00D5464D">
        <w:rPr>
          <w:rFonts w:cs="Arial"/>
          <w:szCs w:val="20"/>
          <w:lang w:val="pt-BR"/>
        </w:rPr>
        <w:t>3 de</w:t>
      </w:r>
      <w:r w:rsidR="002C330E" w:rsidRPr="00D5464D">
        <w:rPr>
          <w:rFonts w:cs="Arial"/>
          <w:szCs w:val="20"/>
          <w:lang w:val="pt-BR"/>
        </w:rPr>
        <w:t xml:space="preserve"> maio </w:t>
      </w:r>
      <w:r w:rsidR="0003391C" w:rsidRPr="00D5464D">
        <w:rPr>
          <w:rFonts w:cs="Arial"/>
          <w:szCs w:val="20"/>
          <w:lang w:val="pt-BR"/>
        </w:rPr>
        <w:t>de 2002</w:t>
      </w:r>
      <w:r w:rsidR="005D121E" w:rsidRPr="00D5464D">
        <w:rPr>
          <w:rFonts w:cs="Arial"/>
          <w:szCs w:val="20"/>
          <w:lang w:val="pt-BR"/>
        </w:rPr>
        <w:t>,</w:t>
      </w:r>
      <w:r w:rsidR="00470ADC" w:rsidRPr="00D5464D">
        <w:rPr>
          <w:rFonts w:cs="Arial"/>
          <w:szCs w:val="20"/>
          <w:lang w:val="pt-BR"/>
        </w:rPr>
        <w:t xml:space="preserve"> o </w:t>
      </w:r>
      <w:r w:rsidR="002C330E" w:rsidRPr="00D5464D">
        <w:rPr>
          <w:rFonts w:cs="Arial"/>
          <w:szCs w:val="20"/>
          <w:lang w:val="pt-BR"/>
        </w:rPr>
        <w:t>juiz</w:t>
      </w:r>
      <w:r w:rsidR="0003391C" w:rsidRPr="00D5464D">
        <w:rPr>
          <w:rFonts w:cs="Arial"/>
          <w:szCs w:val="20"/>
          <w:lang w:val="pt-BR"/>
        </w:rPr>
        <w:t xml:space="preserve"> </w:t>
      </w:r>
      <w:r w:rsidR="005D121E" w:rsidRPr="00D5464D">
        <w:rPr>
          <w:rFonts w:cs="Arial"/>
          <w:szCs w:val="20"/>
          <w:lang w:val="pt-BR"/>
        </w:rPr>
        <w:t xml:space="preserve">acolheu </w:t>
      </w:r>
      <w:r w:rsidR="002C330E" w:rsidRPr="00D5464D">
        <w:rPr>
          <w:rFonts w:cs="Arial"/>
          <w:szCs w:val="20"/>
          <w:lang w:val="pt-BR"/>
        </w:rPr>
        <w:t xml:space="preserve">a </w:t>
      </w:r>
      <w:r w:rsidR="005D121E" w:rsidRPr="00D5464D">
        <w:rPr>
          <w:rFonts w:cs="Arial"/>
          <w:szCs w:val="20"/>
          <w:lang w:val="pt-BR"/>
        </w:rPr>
        <w:t>denú</w:t>
      </w:r>
      <w:r w:rsidR="0003391C" w:rsidRPr="00D5464D">
        <w:rPr>
          <w:rFonts w:cs="Arial"/>
          <w:szCs w:val="20"/>
          <w:lang w:val="pt-BR"/>
        </w:rPr>
        <w:t>ncia</w:t>
      </w:r>
      <w:r w:rsidR="005D121E" w:rsidRPr="00D5464D">
        <w:rPr>
          <w:rFonts w:cs="Arial"/>
          <w:szCs w:val="20"/>
          <w:lang w:val="pt-BR"/>
        </w:rPr>
        <w:t>.</w:t>
      </w:r>
      <w:r w:rsidR="0003391C" w:rsidRPr="00D5464D">
        <w:rPr>
          <w:rStyle w:val="Refdenotaalpie"/>
          <w:rFonts w:cs="Arial"/>
          <w:lang w:val="pt-BR"/>
        </w:rPr>
        <w:footnoteReference w:id="156"/>
      </w:r>
      <w:r w:rsidRPr="00D5464D">
        <w:rPr>
          <w:rFonts w:cs="Arial"/>
          <w:szCs w:val="20"/>
          <w:lang w:val="pt-BR"/>
        </w:rPr>
        <w:t xml:space="preserve"> Em 2</w:t>
      </w:r>
      <w:r w:rsidR="0003391C" w:rsidRPr="00D5464D">
        <w:rPr>
          <w:rFonts w:cs="Arial"/>
          <w:szCs w:val="20"/>
          <w:lang w:val="pt-BR"/>
        </w:rPr>
        <w:t>8 de</w:t>
      </w:r>
      <w:r w:rsidR="002C330E" w:rsidRPr="00D5464D">
        <w:rPr>
          <w:rFonts w:cs="Arial"/>
          <w:szCs w:val="20"/>
          <w:lang w:val="pt-BR"/>
        </w:rPr>
        <w:t xml:space="preserve"> maio </w:t>
      </w:r>
      <w:r w:rsidR="0003391C" w:rsidRPr="00D5464D">
        <w:rPr>
          <w:rFonts w:cs="Arial"/>
          <w:szCs w:val="20"/>
          <w:lang w:val="pt-BR"/>
        </w:rPr>
        <w:t>de 2002</w:t>
      </w:r>
      <w:r w:rsidR="005D121E" w:rsidRPr="00D5464D">
        <w:rPr>
          <w:rFonts w:cs="Arial"/>
          <w:szCs w:val="20"/>
          <w:lang w:val="pt-BR"/>
        </w:rPr>
        <w:t>,</w:t>
      </w:r>
      <w:r w:rsidR="002C330E" w:rsidRPr="00D5464D">
        <w:rPr>
          <w:rFonts w:cs="Arial"/>
          <w:szCs w:val="20"/>
          <w:lang w:val="pt-BR"/>
        </w:rPr>
        <w:t xml:space="preserve"> a </w:t>
      </w:r>
      <w:r w:rsidR="00470ADC" w:rsidRPr="00D5464D">
        <w:rPr>
          <w:rFonts w:cs="Arial"/>
          <w:szCs w:val="20"/>
          <w:lang w:val="pt-BR"/>
        </w:rPr>
        <w:t>defesa</w:t>
      </w:r>
      <w:r w:rsidR="0003391C" w:rsidRPr="00D5464D">
        <w:rPr>
          <w:rFonts w:cs="Arial"/>
          <w:szCs w:val="20"/>
          <w:lang w:val="pt-BR"/>
        </w:rPr>
        <w:t xml:space="preserve"> </w:t>
      </w:r>
      <w:r w:rsidR="00470ADC" w:rsidRPr="00D5464D">
        <w:rPr>
          <w:rFonts w:cs="Arial"/>
          <w:szCs w:val="20"/>
          <w:lang w:val="pt-BR"/>
        </w:rPr>
        <w:t xml:space="preserve">do </w:t>
      </w:r>
      <w:r w:rsidR="002C330E" w:rsidRPr="00D5464D">
        <w:rPr>
          <w:rFonts w:cs="Arial"/>
          <w:szCs w:val="20"/>
          <w:lang w:val="pt-BR"/>
        </w:rPr>
        <w:t xml:space="preserve">senhor </w:t>
      </w:r>
      <w:r w:rsidR="0003391C" w:rsidRPr="00D5464D">
        <w:rPr>
          <w:rFonts w:cs="Arial"/>
          <w:szCs w:val="20"/>
          <w:lang w:val="pt-BR"/>
        </w:rPr>
        <w:t xml:space="preserve">Quagliato Neto </w:t>
      </w:r>
      <w:r w:rsidR="002C330E" w:rsidRPr="00D5464D">
        <w:rPr>
          <w:rFonts w:cs="Arial"/>
          <w:szCs w:val="20"/>
          <w:lang w:val="pt-BR"/>
        </w:rPr>
        <w:t>solicitou</w:t>
      </w:r>
      <w:r w:rsidR="0003391C" w:rsidRPr="00D5464D">
        <w:rPr>
          <w:rFonts w:cs="Arial"/>
          <w:szCs w:val="20"/>
          <w:lang w:val="pt-BR"/>
        </w:rPr>
        <w:t xml:space="preserve"> que </w:t>
      </w:r>
      <w:r w:rsidR="005D121E" w:rsidRPr="00D5464D">
        <w:rPr>
          <w:rFonts w:cs="Arial"/>
          <w:szCs w:val="20"/>
          <w:lang w:val="pt-BR"/>
        </w:rPr>
        <w:t xml:space="preserve">fosse declarada </w:t>
      </w:r>
      <w:r w:rsidR="002C330E" w:rsidRPr="00D5464D">
        <w:rPr>
          <w:rFonts w:cs="Arial"/>
          <w:szCs w:val="20"/>
          <w:lang w:val="pt-BR"/>
        </w:rPr>
        <w:t xml:space="preserve">a </w:t>
      </w:r>
      <w:r w:rsidR="0003391C" w:rsidRPr="00D5464D">
        <w:rPr>
          <w:rFonts w:cs="Arial"/>
          <w:szCs w:val="20"/>
          <w:lang w:val="pt-BR"/>
        </w:rPr>
        <w:t>extin</w:t>
      </w:r>
      <w:r w:rsidR="00470ADC" w:rsidRPr="00D5464D">
        <w:rPr>
          <w:rFonts w:cs="Arial"/>
          <w:szCs w:val="20"/>
          <w:lang w:val="pt-BR"/>
        </w:rPr>
        <w:t xml:space="preserve">ção da </w:t>
      </w:r>
      <w:r w:rsidR="00737270" w:rsidRPr="00D5464D">
        <w:rPr>
          <w:rFonts w:cs="Arial"/>
          <w:szCs w:val="20"/>
          <w:lang w:val="pt-BR"/>
        </w:rPr>
        <w:t>ação</w:t>
      </w:r>
      <w:r w:rsidR="0003391C" w:rsidRPr="00D5464D">
        <w:rPr>
          <w:rFonts w:cs="Arial"/>
          <w:szCs w:val="20"/>
          <w:lang w:val="pt-BR"/>
        </w:rPr>
        <w:t xml:space="preserve"> penal</w:t>
      </w:r>
      <w:r w:rsidR="00470ADC" w:rsidRPr="00D5464D">
        <w:rPr>
          <w:rFonts w:cs="Arial"/>
          <w:szCs w:val="20"/>
          <w:lang w:val="pt-BR"/>
        </w:rPr>
        <w:t xml:space="preserve"> </w:t>
      </w:r>
      <w:r w:rsidR="0003391C" w:rsidRPr="00D5464D">
        <w:rPr>
          <w:rFonts w:cs="Arial"/>
          <w:szCs w:val="20"/>
          <w:lang w:val="pt-BR"/>
        </w:rPr>
        <w:t>contra</w:t>
      </w:r>
      <w:r w:rsidR="005D121E" w:rsidRPr="00D5464D">
        <w:rPr>
          <w:rFonts w:cs="Arial"/>
          <w:szCs w:val="20"/>
          <w:lang w:val="pt-BR"/>
        </w:rPr>
        <w:t xml:space="preserve"> ele.</w:t>
      </w:r>
      <w:r w:rsidR="0003391C" w:rsidRPr="00D5464D">
        <w:rPr>
          <w:rStyle w:val="Refdenotaalpie"/>
          <w:rFonts w:cs="Arial"/>
          <w:lang w:val="pt-BR"/>
        </w:rPr>
        <w:footnoteReference w:id="157"/>
      </w:r>
    </w:p>
    <w:p w14:paraId="41FDAE7F" w14:textId="77777777" w:rsidR="00D65024" w:rsidRPr="00D5464D" w:rsidRDefault="00D65024" w:rsidP="00D65024">
      <w:pPr>
        <w:pStyle w:val="Prrafodelista"/>
        <w:autoSpaceDE w:val="0"/>
        <w:autoSpaceDN w:val="0"/>
        <w:adjustRightInd w:val="0"/>
        <w:ind w:left="0"/>
        <w:contextualSpacing w:val="0"/>
        <w:rPr>
          <w:rFonts w:cs="Arial"/>
          <w:szCs w:val="20"/>
          <w:lang w:val="pt-BR"/>
        </w:rPr>
      </w:pPr>
    </w:p>
    <w:p w14:paraId="5D3D1C17" w14:textId="30152110" w:rsidR="0003391C" w:rsidRPr="00D5464D" w:rsidRDefault="00C91CB1" w:rsidP="00140440">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Em 1</w:t>
      </w:r>
      <w:r w:rsidR="00350187" w:rsidRPr="00D5464D">
        <w:rPr>
          <w:rFonts w:cs="Arial"/>
          <w:szCs w:val="20"/>
          <w:lang w:val="pt-BR"/>
        </w:rPr>
        <w:t xml:space="preserve">1 </w:t>
      </w:r>
      <w:r w:rsidR="00A1358C" w:rsidRPr="00D5464D">
        <w:rPr>
          <w:rFonts w:cs="Arial"/>
          <w:szCs w:val="20"/>
          <w:lang w:val="pt-BR"/>
        </w:rPr>
        <w:t>de novembro</w:t>
      </w:r>
      <w:r w:rsidR="0003391C" w:rsidRPr="00D5464D">
        <w:rPr>
          <w:rFonts w:cs="Arial"/>
          <w:szCs w:val="20"/>
          <w:lang w:val="pt-BR"/>
        </w:rPr>
        <w:t xml:space="preserve"> de 2002</w:t>
      </w:r>
      <w:r w:rsidR="005D121E" w:rsidRPr="00D5464D">
        <w:rPr>
          <w:rFonts w:cs="Arial"/>
          <w:szCs w:val="20"/>
          <w:lang w:val="pt-BR"/>
        </w:rPr>
        <w:t>,</w:t>
      </w:r>
      <w:r w:rsidR="002C330E" w:rsidRPr="00D5464D">
        <w:rPr>
          <w:rFonts w:cs="Arial"/>
          <w:szCs w:val="20"/>
          <w:lang w:val="pt-BR"/>
        </w:rPr>
        <w:t xml:space="preserve"> os senhores</w:t>
      </w:r>
      <w:r w:rsidR="0003391C" w:rsidRPr="00D5464D">
        <w:rPr>
          <w:rFonts w:cs="Arial"/>
          <w:szCs w:val="20"/>
          <w:lang w:val="pt-BR"/>
        </w:rPr>
        <w:t xml:space="preserve"> Raimundo Alves Rocha</w:t>
      </w:r>
      <w:r w:rsidR="00E045D9" w:rsidRPr="00D5464D">
        <w:rPr>
          <w:rFonts w:cs="Arial"/>
          <w:szCs w:val="20"/>
          <w:lang w:val="pt-BR"/>
        </w:rPr>
        <w:t xml:space="preserve"> e </w:t>
      </w:r>
      <w:r w:rsidR="0003391C" w:rsidRPr="00D5464D">
        <w:rPr>
          <w:rFonts w:cs="Arial"/>
          <w:szCs w:val="20"/>
          <w:lang w:val="pt-BR"/>
        </w:rPr>
        <w:t>Ant</w:t>
      </w:r>
      <w:r w:rsidR="00DE41A2" w:rsidRPr="00D5464D">
        <w:rPr>
          <w:rFonts w:cs="Arial"/>
          <w:szCs w:val="20"/>
          <w:lang w:val="pt-BR"/>
        </w:rPr>
        <w:t>ô</w:t>
      </w:r>
      <w:r w:rsidR="0003391C" w:rsidRPr="00D5464D">
        <w:rPr>
          <w:rFonts w:cs="Arial"/>
          <w:szCs w:val="20"/>
          <w:lang w:val="pt-BR"/>
        </w:rPr>
        <w:t xml:space="preserve">nio Vieira </w:t>
      </w:r>
      <w:r w:rsidR="002C330E" w:rsidRPr="00D5464D">
        <w:rPr>
          <w:rFonts w:cs="Arial"/>
          <w:szCs w:val="20"/>
          <w:lang w:val="pt-BR"/>
        </w:rPr>
        <w:t xml:space="preserve">apresentaram seu escrito </w:t>
      </w:r>
      <w:r w:rsidR="0003391C" w:rsidRPr="00D5464D">
        <w:rPr>
          <w:rFonts w:cs="Arial"/>
          <w:szCs w:val="20"/>
          <w:lang w:val="pt-BR"/>
        </w:rPr>
        <w:t xml:space="preserve">de </w:t>
      </w:r>
      <w:r w:rsidR="00470ADC" w:rsidRPr="00D5464D">
        <w:rPr>
          <w:rFonts w:cs="Arial"/>
          <w:szCs w:val="20"/>
          <w:lang w:val="pt-BR"/>
        </w:rPr>
        <w:t>defesa e</w:t>
      </w:r>
      <w:r w:rsidR="005D121E" w:rsidRPr="00D5464D">
        <w:rPr>
          <w:rFonts w:cs="Arial"/>
          <w:szCs w:val="20"/>
          <w:lang w:val="pt-BR"/>
        </w:rPr>
        <w:t>,</w:t>
      </w:r>
      <w:r w:rsidR="002C330E" w:rsidRPr="00D5464D">
        <w:rPr>
          <w:rFonts w:cs="Arial"/>
          <w:szCs w:val="20"/>
          <w:lang w:val="pt-BR"/>
        </w:rPr>
        <w:t xml:space="preserve"> em 5</w:t>
      </w:r>
      <w:r w:rsidR="0003391C" w:rsidRPr="00D5464D">
        <w:rPr>
          <w:rFonts w:cs="Arial"/>
          <w:szCs w:val="20"/>
          <w:lang w:val="pt-BR"/>
        </w:rPr>
        <w:t xml:space="preserve"> de agosto de 2003</w:t>
      </w:r>
      <w:r w:rsidR="005D121E" w:rsidRPr="00D5464D">
        <w:rPr>
          <w:rFonts w:cs="Arial"/>
          <w:szCs w:val="20"/>
          <w:lang w:val="pt-BR"/>
        </w:rPr>
        <w:t>,</w:t>
      </w:r>
      <w:r w:rsidR="00470ADC" w:rsidRPr="00D5464D">
        <w:rPr>
          <w:rFonts w:cs="Arial"/>
          <w:szCs w:val="20"/>
          <w:lang w:val="pt-BR"/>
        </w:rPr>
        <w:t xml:space="preserve"> o </w:t>
      </w:r>
      <w:r w:rsidR="002C330E" w:rsidRPr="00D5464D">
        <w:rPr>
          <w:rFonts w:cs="Arial"/>
          <w:szCs w:val="20"/>
          <w:lang w:val="pt-BR"/>
        </w:rPr>
        <w:t>juiz</w:t>
      </w:r>
      <w:r w:rsidR="0003391C" w:rsidRPr="00D5464D">
        <w:rPr>
          <w:rFonts w:cs="Arial"/>
          <w:szCs w:val="20"/>
          <w:lang w:val="pt-BR"/>
        </w:rPr>
        <w:t xml:space="preserve"> </w:t>
      </w:r>
      <w:r w:rsidR="005D121E" w:rsidRPr="00D5464D">
        <w:rPr>
          <w:rFonts w:cs="Arial"/>
          <w:szCs w:val="20"/>
          <w:lang w:val="pt-BR"/>
        </w:rPr>
        <w:t>con</w:t>
      </w:r>
      <w:r w:rsidR="002C330E" w:rsidRPr="00D5464D">
        <w:rPr>
          <w:rFonts w:cs="Arial"/>
          <w:szCs w:val="20"/>
          <w:lang w:val="pt-BR"/>
        </w:rPr>
        <w:t>firmou as nova</w:t>
      </w:r>
      <w:r w:rsidR="0003391C" w:rsidRPr="00D5464D">
        <w:rPr>
          <w:rFonts w:cs="Arial"/>
          <w:szCs w:val="20"/>
          <w:lang w:val="pt-BR"/>
        </w:rPr>
        <w:t xml:space="preserve">s </w:t>
      </w:r>
      <w:r w:rsidR="00470ADC" w:rsidRPr="00D5464D">
        <w:rPr>
          <w:rFonts w:cs="Arial"/>
          <w:szCs w:val="20"/>
          <w:lang w:val="pt-BR"/>
        </w:rPr>
        <w:t>data</w:t>
      </w:r>
      <w:r w:rsidR="0003391C" w:rsidRPr="00D5464D">
        <w:rPr>
          <w:rFonts w:cs="Arial"/>
          <w:szCs w:val="20"/>
          <w:lang w:val="pt-BR"/>
        </w:rPr>
        <w:t xml:space="preserve">s para </w:t>
      </w:r>
      <w:r w:rsidR="002C330E" w:rsidRPr="00D5464D">
        <w:rPr>
          <w:rFonts w:cs="Arial"/>
          <w:szCs w:val="20"/>
          <w:lang w:val="pt-BR"/>
        </w:rPr>
        <w:t xml:space="preserve">receber os </w:t>
      </w:r>
      <w:r w:rsidR="00E045D9" w:rsidRPr="00D5464D">
        <w:rPr>
          <w:rFonts w:cs="Arial"/>
          <w:szCs w:val="20"/>
          <w:lang w:val="pt-BR"/>
        </w:rPr>
        <w:t>testemunho</w:t>
      </w:r>
      <w:r w:rsidR="0003391C" w:rsidRPr="00D5464D">
        <w:rPr>
          <w:rFonts w:cs="Arial"/>
          <w:szCs w:val="20"/>
          <w:lang w:val="pt-BR"/>
        </w:rPr>
        <w:t>s</w:t>
      </w:r>
      <w:r w:rsidR="00470ADC" w:rsidRPr="00D5464D">
        <w:rPr>
          <w:rFonts w:cs="Arial"/>
          <w:szCs w:val="20"/>
          <w:lang w:val="pt-BR"/>
        </w:rPr>
        <w:t xml:space="preserve"> da defesa</w:t>
      </w:r>
      <w:r w:rsidR="005D121E" w:rsidRPr="00D5464D">
        <w:rPr>
          <w:rFonts w:cs="Arial"/>
          <w:szCs w:val="20"/>
          <w:lang w:val="pt-BR"/>
        </w:rPr>
        <w:t>.</w:t>
      </w:r>
      <w:r w:rsidR="0003391C" w:rsidRPr="00D5464D">
        <w:rPr>
          <w:rStyle w:val="Refdenotaalpie"/>
          <w:rFonts w:cs="Arial"/>
          <w:lang w:val="pt-BR"/>
        </w:rPr>
        <w:footnoteReference w:id="158"/>
      </w:r>
      <w:r w:rsidRPr="00D5464D">
        <w:rPr>
          <w:rFonts w:cs="Arial"/>
          <w:szCs w:val="20"/>
          <w:lang w:val="pt-BR"/>
        </w:rPr>
        <w:t xml:space="preserve"> </w:t>
      </w:r>
      <w:r w:rsidR="005D121E" w:rsidRPr="00D5464D">
        <w:rPr>
          <w:rFonts w:cs="Arial"/>
          <w:szCs w:val="20"/>
          <w:lang w:val="pt-BR"/>
        </w:rPr>
        <w:t>No</w:t>
      </w:r>
      <w:r w:rsidRPr="00D5464D">
        <w:rPr>
          <w:rFonts w:cs="Arial"/>
          <w:szCs w:val="20"/>
          <w:lang w:val="pt-BR"/>
        </w:rPr>
        <w:t xml:space="preserve">s </w:t>
      </w:r>
      <w:r w:rsidR="00470ADC" w:rsidRPr="00D5464D">
        <w:rPr>
          <w:rFonts w:cs="Arial"/>
          <w:szCs w:val="20"/>
          <w:lang w:val="pt-BR"/>
        </w:rPr>
        <w:t>dia</w:t>
      </w:r>
      <w:r w:rsidR="0003391C" w:rsidRPr="00D5464D">
        <w:rPr>
          <w:rFonts w:cs="Arial"/>
          <w:szCs w:val="20"/>
          <w:lang w:val="pt-BR"/>
        </w:rPr>
        <w:t xml:space="preserve">s 24 de </w:t>
      </w:r>
      <w:r w:rsidR="002C330E" w:rsidRPr="00D5464D">
        <w:rPr>
          <w:rFonts w:cs="Arial"/>
          <w:szCs w:val="20"/>
          <w:lang w:val="pt-BR"/>
        </w:rPr>
        <w:t>outubro</w:t>
      </w:r>
      <w:r w:rsidR="00E045D9" w:rsidRPr="00D5464D">
        <w:rPr>
          <w:rFonts w:cs="Arial"/>
          <w:szCs w:val="20"/>
          <w:lang w:val="pt-BR"/>
        </w:rPr>
        <w:t xml:space="preserve"> e </w:t>
      </w:r>
      <w:r w:rsidR="0003391C" w:rsidRPr="00D5464D">
        <w:rPr>
          <w:rFonts w:cs="Arial"/>
          <w:szCs w:val="20"/>
          <w:lang w:val="pt-BR"/>
        </w:rPr>
        <w:t xml:space="preserve">18 de </w:t>
      </w:r>
      <w:r w:rsidR="002C330E" w:rsidRPr="00D5464D">
        <w:rPr>
          <w:rFonts w:cs="Arial"/>
          <w:szCs w:val="20"/>
          <w:lang w:val="pt-BR"/>
        </w:rPr>
        <w:t>novembro</w:t>
      </w:r>
      <w:r w:rsidR="0003391C" w:rsidRPr="00D5464D">
        <w:rPr>
          <w:rFonts w:cs="Arial"/>
          <w:szCs w:val="20"/>
          <w:lang w:val="pt-BR"/>
        </w:rPr>
        <w:t xml:space="preserve"> de 2003</w:t>
      </w:r>
      <w:r w:rsidR="005D121E" w:rsidRPr="00D5464D">
        <w:rPr>
          <w:rFonts w:cs="Arial"/>
          <w:szCs w:val="20"/>
          <w:lang w:val="pt-BR"/>
        </w:rPr>
        <w:t>,</w:t>
      </w:r>
      <w:r w:rsidR="0003391C" w:rsidRPr="00D5464D">
        <w:rPr>
          <w:rFonts w:cs="Arial"/>
          <w:szCs w:val="20"/>
          <w:lang w:val="pt-BR"/>
        </w:rPr>
        <w:t xml:space="preserve"> </w:t>
      </w:r>
      <w:r w:rsidR="005D121E" w:rsidRPr="00D5464D">
        <w:rPr>
          <w:rFonts w:cs="Arial"/>
          <w:szCs w:val="20"/>
          <w:lang w:val="pt-BR"/>
        </w:rPr>
        <w:t xml:space="preserve">foram recebidas </w:t>
      </w:r>
      <w:r w:rsidR="002C330E" w:rsidRPr="00D5464D">
        <w:rPr>
          <w:rFonts w:cs="Arial"/>
          <w:szCs w:val="20"/>
          <w:lang w:val="pt-BR"/>
        </w:rPr>
        <w:t>as primeira</w:t>
      </w:r>
      <w:r w:rsidR="0003391C" w:rsidRPr="00D5464D">
        <w:rPr>
          <w:rFonts w:cs="Arial"/>
          <w:szCs w:val="20"/>
          <w:lang w:val="pt-BR"/>
        </w:rPr>
        <w:t xml:space="preserve">s </w:t>
      </w:r>
      <w:r w:rsidR="00350187" w:rsidRPr="00D5464D">
        <w:rPr>
          <w:rFonts w:cs="Arial"/>
          <w:szCs w:val="20"/>
          <w:lang w:val="pt-BR"/>
        </w:rPr>
        <w:t>declarações prestadas</w:t>
      </w:r>
      <w:r w:rsidR="002C330E" w:rsidRPr="00D5464D">
        <w:rPr>
          <w:rFonts w:cs="Arial"/>
          <w:szCs w:val="20"/>
          <w:lang w:val="pt-BR"/>
        </w:rPr>
        <w:t xml:space="preserve"> pela </w:t>
      </w:r>
      <w:r w:rsidR="00470ADC" w:rsidRPr="00D5464D">
        <w:rPr>
          <w:rFonts w:cs="Arial"/>
          <w:szCs w:val="20"/>
          <w:lang w:val="pt-BR"/>
        </w:rPr>
        <w:t>defesa</w:t>
      </w:r>
      <w:r w:rsidR="005D121E" w:rsidRPr="00D5464D">
        <w:rPr>
          <w:rFonts w:cs="Arial"/>
          <w:szCs w:val="20"/>
          <w:lang w:val="pt-BR"/>
        </w:rPr>
        <w:t>.</w:t>
      </w:r>
      <w:r w:rsidR="0003391C" w:rsidRPr="00D5464D">
        <w:rPr>
          <w:rStyle w:val="Refdenotaalpie"/>
          <w:rFonts w:cs="Arial"/>
          <w:lang w:val="pt-BR"/>
        </w:rPr>
        <w:footnoteReference w:id="159"/>
      </w:r>
    </w:p>
    <w:p w14:paraId="2E8652CB" w14:textId="77777777" w:rsidR="00D65024" w:rsidRPr="00D5464D" w:rsidRDefault="00D65024" w:rsidP="00D65024">
      <w:pPr>
        <w:pStyle w:val="Prrafodelista"/>
        <w:autoSpaceDE w:val="0"/>
        <w:autoSpaceDN w:val="0"/>
        <w:adjustRightInd w:val="0"/>
        <w:ind w:left="0"/>
        <w:contextualSpacing w:val="0"/>
        <w:rPr>
          <w:rFonts w:cs="Times New Roman"/>
          <w:szCs w:val="20"/>
          <w:lang w:val="pt-BR"/>
        </w:rPr>
      </w:pPr>
    </w:p>
    <w:p w14:paraId="14A6888B" w14:textId="35A21EC2" w:rsidR="0003391C" w:rsidRPr="00D5464D" w:rsidRDefault="00C91CB1" w:rsidP="00140440">
      <w:pPr>
        <w:pStyle w:val="Prrafodelista"/>
        <w:numPr>
          <w:ilvl w:val="0"/>
          <w:numId w:val="1"/>
        </w:numPr>
        <w:autoSpaceDE w:val="0"/>
        <w:autoSpaceDN w:val="0"/>
        <w:adjustRightInd w:val="0"/>
        <w:contextualSpacing w:val="0"/>
        <w:rPr>
          <w:rFonts w:cs="Times New Roman"/>
          <w:szCs w:val="20"/>
          <w:lang w:val="pt-BR"/>
        </w:rPr>
      </w:pPr>
      <w:r w:rsidRPr="00D5464D">
        <w:rPr>
          <w:rFonts w:cs="Arial"/>
          <w:szCs w:val="20"/>
          <w:lang w:val="pt-BR"/>
        </w:rPr>
        <w:t>Em 2</w:t>
      </w:r>
      <w:r w:rsidR="00350187" w:rsidRPr="00D5464D">
        <w:rPr>
          <w:rFonts w:cs="Arial"/>
          <w:szCs w:val="20"/>
          <w:lang w:val="pt-BR"/>
        </w:rPr>
        <w:t xml:space="preserve">1 </w:t>
      </w:r>
      <w:r w:rsidR="00A1358C" w:rsidRPr="00D5464D">
        <w:rPr>
          <w:rFonts w:cs="Arial"/>
          <w:szCs w:val="20"/>
          <w:lang w:val="pt-BR"/>
        </w:rPr>
        <w:t>de novembro</w:t>
      </w:r>
      <w:r w:rsidR="0003391C" w:rsidRPr="00D5464D">
        <w:rPr>
          <w:rFonts w:cs="Arial"/>
          <w:szCs w:val="20"/>
          <w:lang w:val="pt-BR"/>
        </w:rPr>
        <w:t xml:space="preserve"> de 2003</w:t>
      </w:r>
      <w:r w:rsidR="005D121E" w:rsidRPr="00D5464D">
        <w:rPr>
          <w:rFonts w:cs="Arial"/>
          <w:szCs w:val="20"/>
          <w:lang w:val="pt-BR"/>
        </w:rPr>
        <w:t>,</w:t>
      </w:r>
      <w:r w:rsidR="00470ADC" w:rsidRPr="00D5464D">
        <w:rPr>
          <w:rFonts w:cs="Arial"/>
          <w:szCs w:val="20"/>
          <w:lang w:val="pt-BR"/>
        </w:rPr>
        <w:t xml:space="preserve"> o </w:t>
      </w:r>
      <w:r w:rsidR="002C330E" w:rsidRPr="00D5464D">
        <w:rPr>
          <w:rFonts w:cs="Arial"/>
          <w:szCs w:val="20"/>
          <w:lang w:val="pt-BR"/>
        </w:rPr>
        <w:t>Ministério</w:t>
      </w:r>
      <w:r w:rsidR="0003391C" w:rsidRPr="00D5464D">
        <w:rPr>
          <w:rFonts w:cs="Arial"/>
          <w:szCs w:val="20"/>
          <w:lang w:val="pt-BR"/>
        </w:rPr>
        <w:t xml:space="preserve"> Público </w:t>
      </w:r>
      <w:r w:rsidR="00470ADC" w:rsidRPr="00D5464D">
        <w:rPr>
          <w:rFonts w:cs="Arial"/>
          <w:szCs w:val="20"/>
          <w:lang w:val="pt-BR"/>
        </w:rPr>
        <w:t xml:space="preserve">do </w:t>
      </w:r>
      <w:r w:rsidR="00996473" w:rsidRPr="00D5464D">
        <w:rPr>
          <w:rFonts w:cs="Arial"/>
          <w:szCs w:val="20"/>
          <w:lang w:val="pt-BR"/>
        </w:rPr>
        <w:t>Estado do Pará</w:t>
      </w:r>
      <w:r w:rsidR="0003391C" w:rsidRPr="00D5464D">
        <w:rPr>
          <w:rFonts w:cs="Arial"/>
          <w:szCs w:val="20"/>
          <w:lang w:val="pt-BR"/>
        </w:rPr>
        <w:t xml:space="preserve"> </w:t>
      </w:r>
      <w:r w:rsidR="002C330E" w:rsidRPr="00D5464D">
        <w:rPr>
          <w:rFonts w:cs="Arial"/>
          <w:szCs w:val="20"/>
          <w:lang w:val="pt-BR"/>
        </w:rPr>
        <w:t>apresentou</w:t>
      </w:r>
      <w:r w:rsidR="0003391C" w:rsidRPr="00D5464D">
        <w:rPr>
          <w:rFonts w:cs="Arial"/>
          <w:szCs w:val="20"/>
          <w:lang w:val="pt-BR"/>
        </w:rPr>
        <w:t xml:space="preserve"> </w:t>
      </w:r>
      <w:r w:rsidR="00E045D9" w:rsidRPr="00D5464D">
        <w:rPr>
          <w:rFonts w:cs="Arial"/>
          <w:szCs w:val="20"/>
          <w:lang w:val="pt-BR"/>
        </w:rPr>
        <w:t>suas alegações finais</w:t>
      </w:r>
      <w:r w:rsidR="0055799A" w:rsidRPr="00D5464D">
        <w:rPr>
          <w:rFonts w:cs="Arial"/>
          <w:szCs w:val="20"/>
          <w:lang w:val="pt-BR"/>
        </w:rPr>
        <w:t>,</w:t>
      </w:r>
      <w:r w:rsidR="005D121E" w:rsidRPr="00D5464D">
        <w:rPr>
          <w:rFonts w:cs="Arial"/>
          <w:szCs w:val="20"/>
          <w:lang w:val="pt-BR"/>
        </w:rPr>
        <w:t xml:space="preserve"> na</w:t>
      </w:r>
      <w:r w:rsidR="00E045D9" w:rsidRPr="00D5464D">
        <w:rPr>
          <w:rFonts w:cs="Arial"/>
          <w:szCs w:val="20"/>
          <w:lang w:val="pt-BR"/>
        </w:rPr>
        <w:t xml:space="preserve">s </w:t>
      </w:r>
      <w:r w:rsidR="00470ADC" w:rsidRPr="00D5464D">
        <w:rPr>
          <w:rFonts w:cs="Arial"/>
          <w:szCs w:val="20"/>
          <w:lang w:val="pt-BR"/>
        </w:rPr>
        <w:t>quais</w:t>
      </w:r>
      <w:r w:rsidR="0003391C" w:rsidRPr="00D5464D">
        <w:rPr>
          <w:rFonts w:cs="Arial"/>
          <w:szCs w:val="20"/>
          <w:lang w:val="pt-BR"/>
        </w:rPr>
        <w:t xml:space="preserve"> </w:t>
      </w:r>
      <w:r w:rsidR="002C330E" w:rsidRPr="00D5464D">
        <w:rPr>
          <w:rFonts w:cs="Arial"/>
          <w:szCs w:val="20"/>
          <w:lang w:val="pt-BR"/>
        </w:rPr>
        <w:t>solicitou</w:t>
      </w:r>
      <w:r w:rsidR="0003391C" w:rsidRPr="00D5464D">
        <w:rPr>
          <w:rFonts w:cs="Arial"/>
          <w:szCs w:val="20"/>
          <w:lang w:val="pt-BR"/>
        </w:rPr>
        <w:t xml:space="preserve"> que</w:t>
      </w:r>
      <w:r w:rsidR="002C330E" w:rsidRPr="00D5464D">
        <w:rPr>
          <w:rFonts w:cs="Arial"/>
          <w:szCs w:val="20"/>
          <w:lang w:val="pt-BR"/>
        </w:rPr>
        <w:t xml:space="preserve"> a </w:t>
      </w:r>
      <w:r w:rsidR="00470ADC" w:rsidRPr="00D5464D">
        <w:rPr>
          <w:rFonts w:cs="Arial"/>
          <w:szCs w:val="20"/>
          <w:lang w:val="pt-BR"/>
        </w:rPr>
        <w:t>denúncia</w:t>
      </w:r>
      <w:r w:rsidR="00230C71" w:rsidRPr="00D5464D">
        <w:rPr>
          <w:rFonts w:cs="Arial"/>
          <w:szCs w:val="20"/>
          <w:lang w:val="pt-BR"/>
        </w:rPr>
        <w:t xml:space="preserve"> contra </w:t>
      </w:r>
      <w:r w:rsidR="0003391C" w:rsidRPr="00D5464D">
        <w:rPr>
          <w:rFonts w:cs="Arial"/>
          <w:szCs w:val="20"/>
          <w:lang w:val="pt-BR"/>
        </w:rPr>
        <w:t>Raimundo Alves da Rocha</w:t>
      </w:r>
      <w:r w:rsidR="00E045D9" w:rsidRPr="00D5464D">
        <w:rPr>
          <w:rFonts w:cs="Arial"/>
          <w:szCs w:val="20"/>
          <w:lang w:val="pt-BR"/>
        </w:rPr>
        <w:t xml:space="preserve"> e </w:t>
      </w:r>
      <w:r w:rsidR="0003391C" w:rsidRPr="00D5464D">
        <w:rPr>
          <w:rFonts w:cs="Arial"/>
          <w:szCs w:val="20"/>
          <w:lang w:val="pt-BR"/>
        </w:rPr>
        <w:t>Ant</w:t>
      </w:r>
      <w:r w:rsidR="00DE41A2" w:rsidRPr="00D5464D">
        <w:rPr>
          <w:rFonts w:cs="Arial"/>
          <w:szCs w:val="20"/>
          <w:lang w:val="pt-BR"/>
        </w:rPr>
        <w:t>ô</w:t>
      </w:r>
      <w:r w:rsidR="0003391C" w:rsidRPr="00D5464D">
        <w:rPr>
          <w:rFonts w:cs="Arial"/>
          <w:szCs w:val="20"/>
          <w:lang w:val="pt-BR"/>
        </w:rPr>
        <w:t xml:space="preserve">nio Alves Vieira </w:t>
      </w:r>
      <w:r w:rsidR="005D121E" w:rsidRPr="00D5464D">
        <w:rPr>
          <w:rFonts w:cs="Arial"/>
          <w:szCs w:val="20"/>
          <w:lang w:val="pt-BR"/>
        </w:rPr>
        <w:t>fosse</w:t>
      </w:r>
      <w:r w:rsidR="0003391C" w:rsidRPr="00D5464D">
        <w:rPr>
          <w:rFonts w:cs="Arial"/>
          <w:szCs w:val="20"/>
          <w:lang w:val="pt-BR"/>
        </w:rPr>
        <w:t xml:space="preserve"> considerada improcedente</w:t>
      </w:r>
      <w:r w:rsidR="00E045D9" w:rsidRPr="00D5464D">
        <w:rPr>
          <w:rFonts w:cs="Arial"/>
          <w:szCs w:val="20"/>
          <w:lang w:val="pt-BR"/>
        </w:rPr>
        <w:t xml:space="preserve"> e </w:t>
      </w:r>
      <w:r w:rsidR="0003391C" w:rsidRPr="00D5464D">
        <w:rPr>
          <w:rFonts w:cs="Arial"/>
          <w:szCs w:val="20"/>
          <w:lang w:val="pt-BR"/>
        </w:rPr>
        <w:t xml:space="preserve">que </w:t>
      </w:r>
      <w:r w:rsidR="005D121E" w:rsidRPr="00D5464D">
        <w:rPr>
          <w:rFonts w:cs="Arial"/>
          <w:szCs w:val="20"/>
          <w:lang w:val="pt-BR"/>
        </w:rPr>
        <w:t>fossem absolvidos</w:t>
      </w:r>
      <w:r w:rsidR="0055799A" w:rsidRPr="00D5464D">
        <w:rPr>
          <w:rFonts w:cs="Arial"/>
          <w:szCs w:val="20"/>
          <w:lang w:val="pt-BR"/>
        </w:rPr>
        <w:t>,</w:t>
      </w:r>
      <w:r w:rsidR="00470ADC" w:rsidRPr="00D5464D">
        <w:rPr>
          <w:rFonts w:cs="Arial"/>
          <w:szCs w:val="20"/>
          <w:lang w:val="pt-BR"/>
        </w:rPr>
        <w:t xml:space="preserve"> em </w:t>
      </w:r>
      <w:r w:rsidR="00E045D9" w:rsidRPr="00D5464D">
        <w:rPr>
          <w:rFonts w:cs="Arial"/>
          <w:szCs w:val="20"/>
          <w:lang w:val="pt-BR"/>
        </w:rPr>
        <w:t xml:space="preserve">virtude </w:t>
      </w:r>
      <w:r w:rsidR="00470ADC" w:rsidRPr="00D5464D">
        <w:rPr>
          <w:rFonts w:cs="Arial"/>
          <w:szCs w:val="20"/>
          <w:lang w:val="pt-BR"/>
        </w:rPr>
        <w:t xml:space="preserve">da </w:t>
      </w:r>
      <w:r w:rsidR="0003391C" w:rsidRPr="00D5464D">
        <w:rPr>
          <w:rFonts w:cs="Arial"/>
          <w:szCs w:val="20"/>
          <w:lang w:val="pt-BR"/>
        </w:rPr>
        <w:t xml:space="preserve">falta de </w:t>
      </w:r>
      <w:r w:rsidR="00737270" w:rsidRPr="00D5464D">
        <w:rPr>
          <w:rFonts w:cs="Arial"/>
          <w:szCs w:val="20"/>
          <w:lang w:val="pt-BR"/>
        </w:rPr>
        <w:t>indícios</w:t>
      </w:r>
      <w:r w:rsidR="0003391C" w:rsidRPr="00D5464D">
        <w:rPr>
          <w:rFonts w:cs="Arial"/>
          <w:szCs w:val="20"/>
          <w:lang w:val="pt-BR"/>
        </w:rPr>
        <w:t xml:space="preserve"> suficientes de </w:t>
      </w:r>
      <w:r w:rsidR="005D121E" w:rsidRPr="00D5464D">
        <w:rPr>
          <w:rFonts w:cs="Arial"/>
          <w:szCs w:val="20"/>
          <w:lang w:val="pt-BR"/>
        </w:rPr>
        <w:t>sua</w:t>
      </w:r>
      <w:r w:rsidR="00737270" w:rsidRPr="00D5464D">
        <w:rPr>
          <w:rFonts w:cs="Arial"/>
          <w:szCs w:val="20"/>
          <w:lang w:val="pt-BR"/>
        </w:rPr>
        <w:t xml:space="preserve"> autor</w:t>
      </w:r>
      <w:r w:rsidR="005D121E" w:rsidRPr="00D5464D">
        <w:rPr>
          <w:rFonts w:cs="Arial"/>
          <w:szCs w:val="20"/>
          <w:lang w:val="pt-BR"/>
        </w:rPr>
        <w:t>i</w:t>
      </w:r>
      <w:r w:rsidR="0003391C" w:rsidRPr="00D5464D">
        <w:rPr>
          <w:rFonts w:cs="Arial"/>
          <w:szCs w:val="20"/>
          <w:lang w:val="pt-BR"/>
        </w:rPr>
        <w:t>a</w:t>
      </w:r>
      <w:r w:rsidR="005D121E" w:rsidRPr="00D5464D">
        <w:rPr>
          <w:rFonts w:cs="Arial"/>
          <w:szCs w:val="20"/>
          <w:lang w:val="pt-BR"/>
        </w:rPr>
        <w:t>.</w:t>
      </w:r>
      <w:r w:rsidR="0003391C" w:rsidRPr="00D5464D">
        <w:rPr>
          <w:rStyle w:val="Refdenotaalpie"/>
          <w:rFonts w:cs="Arial"/>
          <w:lang w:val="pt-BR"/>
        </w:rPr>
        <w:footnoteReference w:id="160"/>
      </w:r>
    </w:p>
    <w:p w14:paraId="53D0EFAC" w14:textId="77777777" w:rsidR="00917270" w:rsidRPr="00D5464D" w:rsidRDefault="00917270" w:rsidP="00140440">
      <w:pPr>
        <w:pStyle w:val="Prrafodelista"/>
        <w:autoSpaceDE w:val="0"/>
        <w:autoSpaceDN w:val="0"/>
        <w:adjustRightInd w:val="0"/>
        <w:ind w:left="0"/>
        <w:contextualSpacing w:val="0"/>
        <w:rPr>
          <w:rFonts w:cs="Times New Roman"/>
          <w:szCs w:val="20"/>
          <w:lang w:val="pt-BR"/>
        </w:rPr>
      </w:pPr>
    </w:p>
    <w:p w14:paraId="118775A6" w14:textId="16755699" w:rsidR="0003391C" w:rsidRPr="00D5464D" w:rsidRDefault="00D65024" w:rsidP="00140440">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 xml:space="preserve"> E</w:t>
      </w:r>
      <w:r w:rsidR="002C330E" w:rsidRPr="00D5464D">
        <w:rPr>
          <w:rFonts w:cs="Arial"/>
          <w:szCs w:val="20"/>
          <w:lang w:val="pt-BR"/>
        </w:rPr>
        <w:t>m 8</w:t>
      </w:r>
      <w:r w:rsidR="0003391C" w:rsidRPr="00D5464D">
        <w:rPr>
          <w:rFonts w:cs="Arial"/>
          <w:szCs w:val="20"/>
          <w:lang w:val="pt-BR"/>
        </w:rPr>
        <w:t xml:space="preserve"> de </w:t>
      </w:r>
      <w:r w:rsidR="002C330E" w:rsidRPr="00D5464D">
        <w:rPr>
          <w:rFonts w:cs="Arial"/>
          <w:szCs w:val="20"/>
          <w:lang w:val="pt-BR"/>
        </w:rPr>
        <w:t>novembro</w:t>
      </w:r>
      <w:r w:rsidR="0003391C" w:rsidRPr="00D5464D">
        <w:rPr>
          <w:rFonts w:cs="Arial"/>
          <w:szCs w:val="20"/>
          <w:lang w:val="pt-BR"/>
        </w:rPr>
        <w:t xml:space="preserve"> de 2004</w:t>
      </w:r>
      <w:r w:rsidR="005D121E" w:rsidRPr="00D5464D">
        <w:rPr>
          <w:rFonts w:cs="Arial"/>
          <w:szCs w:val="20"/>
          <w:lang w:val="pt-BR"/>
        </w:rPr>
        <w:t>,</w:t>
      </w:r>
      <w:r w:rsidR="002C330E" w:rsidRPr="00D5464D">
        <w:rPr>
          <w:rFonts w:cs="Arial"/>
          <w:szCs w:val="20"/>
          <w:lang w:val="pt-BR"/>
        </w:rPr>
        <w:t xml:space="preserve"> a justiça</w:t>
      </w:r>
      <w:r w:rsidR="0003391C" w:rsidRPr="00D5464D">
        <w:rPr>
          <w:rFonts w:cs="Arial"/>
          <w:szCs w:val="20"/>
          <w:lang w:val="pt-BR"/>
        </w:rPr>
        <w:t xml:space="preserve"> estadual se </w:t>
      </w:r>
      <w:r w:rsidR="00470ADC" w:rsidRPr="00D5464D">
        <w:rPr>
          <w:rFonts w:cs="Arial"/>
          <w:szCs w:val="20"/>
          <w:lang w:val="pt-BR"/>
        </w:rPr>
        <w:t>declarou</w:t>
      </w:r>
      <w:r w:rsidR="0003391C" w:rsidRPr="00D5464D">
        <w:rPr>
          <w:rFonts w:cs="Arial"/>
          <w:szCs w:val="20"/>
          <w:lang w:val="pt-BR"/>
        </w:rPr>
        <w:t xml:space="preserve"> in</w:t>
      </w:r>
      <w:r w:rsidR="00A1358C" w:rsidRPr="00D5464D">
        <w:rPr>
          <w:rFonts w:cs="Arial"/>
          <w:szCs w:val="20"/>
          <w:lang w:val="pt-BR"/>
        </w:rPr>
        <w:t>competente</w:t>
      </w:r>
      <w:r w:rsidR="0003391C" w:rsidRPr="00D5464D">
        <w:rPr>
          <w:rFonts w:cs="Arial"/>
          <w:szCs w:val="20"/>
          <w:lang w:val="pt-BR"/>
        </w:rPr>
        <w:t xml:space="preserve"> para </w:t>
      </w:r>
      <w:r w:rsidR="00470ADC" w:rsidRPr="00D5464D">
        <w:rPr>
          <w:rFonts w:cs="Arial"/>
          <w:szCs w:val="20"/>
          <w:lang w:val="pt-BR"/>
        </w:rPr>
        <w:t>conhecer</w:t>
      </w:r>
      <w:r w:rsidR="0003391C" w:rsidRPr="00D5464D">
        <w:rPr>
          <w:rFonts w:cs="Arial"/>
          <w:szCs w:val="20"/>
          <w:lang w:val="pt-BR"/>
        </w:rPr>
        <w:t xml:space="preserve"> </w:t>
      </w:r>
      <w:r w:rsidR="00470ADC" w:rsidRPr="00D5464D">
        <w:rPr>
          <w:rFonts w:cs="Arial"/>
          <w:szCs w:val="20"/>
          <w:lang w:val="pt-BR"/>
        </w:rPr>
        <w:t xml:space="preserve">do </w:t>
      </w:r>
      <w:r w:rsidR="002C330E" w:rsidRPr="00D5464D">
        <w:rPr>
          <w:rFonts w:cs="Arial"/>
          <w:szCs w:val="20"/>
          <w:lang w:val="pt-BR"/>
        </w:rPr>
        <w:t>processo</w:t>
      </w:r>
      <w:r w:rsidR="0003391C" w:rsidRPr="00D5464D">
        <w:rPr>
          <w:rFonts w:cs="Arial"/>
          <w:szCs w:val="20"/>
          <w:lang w:val="pt-BR"/>
        </w:rPr>
        <w:t xml:space="preserve"> penal,</w:t>
      </w:r>
      <w:r w:rsidR="00A1358C" w:rsidRPr="00D5464D">
        <w:rPr>
          <w:rFonts w:cs="Arial"/>
          <w:szCs w:val="20"/>
          <w:lang w:val="pt-BR"/>
        </w:rPr>
        <w:t xml:space="preserve"> o que </w:t>
      </w:r>
      <w:r w:rsidR="002C330E" w:rsidRPr="00D5464D">
        <w:rPr>
          <w:rFonts w:cs="Arial"/>
          <w:szCs w:val="20"/>
          <w:lang w:val="pt-BR"/>
        </w:rPr>
        <w:t>gerou</w:t>
      </w:r>
      <w:r w:rsidR="00E045D9" w:rsidRPr="00D5464D">
        <w:rPr>
          <w:rFonts w:cs="Arial"/>
          <w:szCs w:val="20"/>
          <w:lang w:val="pt-BR"/>
        </w:rPr>
        <w:t xml:space="preserve"> um </w:t>
      </w:r>
      <w:r w:rsidR="00470ADC" w:rsidRPr="00D5464D">
        <w:rPr>
          <w:rFonts w:cs="Arial"/>
          <w:szCs w:val="20"/>
          <w:lang w:val="pt-BR"/>
        </w:rPr>
        <w:t>conflito</w:t>
      </w:r>
      <w:r w:rsidR="0003391C" w:rsidRPr="00D5464D">
        <w:rPr>
          <w:rFonts w:cs="Arial"/>
          <w:szCs w:val="20"/>
          <w:lang w:val="pt-BR"/>
        </w:rPr>
        <w:t xml:space="preserve"> de </w:t>
      </w:r>
      <w:r w:rsidR="00470ADC" w:rsidRPr="00D5464D">
        <w:rPr>
          <w:rFonts w:cs="Arial"/>
          <w:szCs w:val="20"/>
          <w:lang w:val="pt-BR"/>
        </w:rPr>
        <w:t>competência</w:t>
      </w:r>
      <w:r w:rsidR="0003391C" w:rsidRPr="00D5464D">
        <w:rPr>
          <w:rFonts w:cs="Arial"/>
          <w:szCs w:val="20"/>
          <w:lang w:val="pt-BR"/>
        </w:rPr>
        <w:t>s</w:t>
      </w:r>
      <w:r w:rsidR="005D121E" w:rsidRPr="00D5464D">
        <w:rPr>
          <w:rFonts w:cs="Arial"/>
          <w:szCs w:val="20"/>
          <w:lang w:val="pt-BR"/>
        </w:rPr>
        <w:t>.</w:t>
      </w:r>
      <w:r w:rsidR="0003391C" w:rsidRPr="00D5464D">
        <w:rPr>
          <w:rStyle w:val="Refdenotaalpie"/>
          <w:rFonts w:cs="Arial"/>
          <w:lang w:val="pt-BR"/>
        </w:rPr>
        <w:footnoteReference w:id="161"/>
      </w:r>
      <w:r w:rsidR="00C91CB1" w:rsidRPr="00D5464D">
        <w:rPr>
          <w:rFonts w:cs="Arial"/>
          <w:szCs w:val="20"/>
          <w:lang w:val="pt-BR"/>
        </w:rPr>
        <w:t xml:space="preserve"> Em 2</w:t>
      </w:r>
      <w:r w:rsidR="00C16144" w:rsidRPr="00D5464D">
        <w:rPr>
          <w:rFonts w:cs="Arial"/>
          <w:szCs w:val="20"/>
          <w:lang w:val="pt-BR"/>
        </w:rPr>
        <w:t>6</w:t>
      </w:r>
      <w:r w:rsidR="0003391C" w:rsidRPr="00D5464D">
        <w:rPr>
          <w:rFonts w:cs="Arial"/>
          <w:szCs w:val="20"/>
          <w:lang w:val="pt-BR"/>
        </w:rPr>
        <w:t xml:space="preserve"> de </w:t>
      </w:r>
      <w:r w:rsidR="002C330E" w:rsidRPr="00D5464D">
        <w:rPr>
          <w:rFonts w:cs="Arial"/>
          <w:szCs w:val="20"/>
          <w:lang w:val="pt-BR"/>
        </w:rPr>
        <w:t>setembro</w:t>
      </w:r>
      <w:r w:rsidR="0003391C" w:rsidRPr="00D5464D">
        <w:rPr>
          <w:rFonts w:cs="Arial"/>
          <w:szCs w:val="20"/>
          <w:lang w:val="pt-BR"/>
        </w:rPr>
        <w:t xml:space="preserve"> de 2007</w:t>
      </w:r>
      <w:r w:rsidR="005D121E" w:rsidRPr="00D5464D">
        <w:rPr>
          <w:rFonts w:cs="Arial"/>
          <w:szCs w:val="20"/>
          <w:lang w:val="pt-BR"/>
        </w:rPr>
        <w:t>,</w:t>
      </w:r>
      <w:r w:rsidR="002C330E" w:rsidRPr="00D5464D">
        <w:rPr>
          <w:rFonts w:cs="Arial"/>
          <w:szCs w:val="20"/>
          <w:lang w:val="pt-BR"/>
        </w:rPr>
        <w:t xml:space="preserve"> a</w:t>
      </w:r>
      <w:r w:rsidR="00737270" w:rsidRPr="00D5464D">
        <w:rPr>
          <w:rFonts w:cs="Arial"/>
          <w:szCs w:val="20"/>
          <w:lang w:val="pt-BR"/>
        </w:rPr>
        <w:t xml:space="preserve"> </w:t>
      </w:r>
      <w:r w:rsidR="005D121E" w:rsidRPr="00D5464D">
        <w:rPr>
          <w:rFonts w:cs="Arial"/>
          <w:szCs w:val="20"/>
          <w:lang w:val="pt-BR"/>
        </w:rPr>
        <w:t>T</w:t>
      </w:r>
      <w:r w:rsidR="00737270" w:rsidRPr="00D5464D">
        <w:rPr>
          <w:rFonts w:cs="Arial"/>
          <w:szCs w:val="20"/>
          <w:lang w:val="pt-BR"/>
        </w:rPr>
        <w:t>erceir</w:t>
      </w:r>
      <w:r w:rsidR="0003391C" w:rsidRPr="00D5464D">
        <w:rPr>
          <w:rFonts w:cs="Arial"/>
          <w:szCs w:val="20"/>
          <w:lang w:val="pt-BR"/>
        </w:rPr>
        <w:t xml:space="preserve">a </w:t>
      </w:r>
      <w:r w:rsidR="002C330E" w:rsidRPr="00D5464D">
        <w:rPr>
          <w:rFonts w:cs="Arial"/>
          <w:szCs w:val="20"/>
          <w:lang w:val="pt-BR"/>
        </w:rPr>
        <w:t>Seção</w:t>
      </w:r>
      <w:r w:rsidR="0003391C" w:rsidRPr="00D5464D">
        <w:rPr>
          <w:rFonts w:cs="Arial"/>
          <w:szCs w:val="20"/>
          <w:lang w:val="pt-BR"/>
        </w:rPr>
        <w:t xml:space="preserve"> </w:t>
      </w:r>
      <w:r w:rsidR="00470ADC" w:rsidRPr="00D5464D">
        <w:rPr>
          <w:rFonts w:cs="Arial"/>
          <w:szCs w:val="20"/>
          <w:lang w:val="pt-BR"/>
        </w:rPr>
        <w:t xml:space="preserve">do </w:t>
      </w:r>
      <w:r w:rsidR="0003391C" w:rsidRPr="00D5464D">
        <w:rPr>
          <w:rFonts w:cs="Arial"/>
          <w:szCs w:val="20"/>
          <w:lang w:val="pt-BR"/>
        </w:rPr>
        <w:t xml:space="preserve">Superior Tribunal de </w:t>
      </w:r>
      <w:r w:rsidR="002C330E" w:rsidRPr="00D5464D">
        <w:rPr>
          <w:rFonts w:cs="Arial"/>
          <w:szCs w:val="20"/>
          <w:lang w:val="pt-BR"/>
        </w:rPr>
        <w:t>Justiça</w:t>
      </w:r>
      <w:r w:rsidR="0003391C" w:rsidRPr="00D5464D">
        <w:rPr>
          <w:rFonts w:cs="Arial"/>
          <w:szCs w:val="20"/>
          <w:lang w:val="pt-BR"/>
        </w:rPr>
        <w:t xml:space="preserve"> </w:t>
      </w:r>
      <w:r w:rsidR="002C330E" w:rsidRPr="00D5464D">
        <w:rPr>
          <w:rFonts w:cs="Arial"/>
          <w:szCs w:val="20"/>
          <w:lang w:val="pt-BR"/>
        </w:rPr>
        <w:t>informou</w:t>
      </w:r>
      <w:r w:rsidR="00470ADC" w:rsidRPr="00D5464D">
        <w:rPr>
          <w:rFonts w:cs="Arial"/>
          <w:szCs w:val="20"/>
          <w:lang w:val="pt-BR"/>
        </w:rPr>
        <w:t xml:space="preserve"> ao </w:t>
      </w:r>
      <w:r w:rsidR="002C330E" w:rsidRPr="00D5464D">
        <w:rPr>
          <w:rFonts w:cs="Arial"/>
          <w:szCs w:val="20"/>
          <w:lang w:val="pt-BR"/>
        </w:rPr>
        <w:t>juiz</w:t>
      </w:r>
      <w:r w:rsidR="0003391C" w:rsidRPr="00D5464D">
        <w:rPr>
          <w:rFonts w:cs="Arial"/>
          <w:szCs w:val="20"/>
          <w:lang w:val="pt-BR"/>
        </w:rPr>
        <w:t xml:space="preserve"> estadual que, </w:t>
      </w:r>
      <w:r w:rsidR="005D121E" w:rsidRPr="00D5464D">
        <w:rPr>
          <w:rFonts w:cs="Arial"/>
          <w:szCs w:val="20"/>
          <w:lang w:val="pt-BR"/>
        </w:rPr>
        <w:t xml:space="preserve">após </w:t>
      </w:r>
      <w:r w:rsidR="00470ADC" w:rsidRPr="00D5464D">
        <w:rPr>
          <w:rFonts w:cs="Arial"/>
          <w:szCs w:val="20"/>
          <w:lang w:val="pt-BR"/>
        </w:rPr>
        <w:t>conhecer</w:t>
      </w:r>
      <w:r w:rsidR="0003391C" w:rsidRPr="00D5464D">
        <w:rPr>
          <w:rFonts w:cs="Arial"/>
          <w:szCs w:val="20"/>
          <w:lang w:val="pt-BR"/>
        </w:rPr>
        <w:t xml:space="preserve"> </w:t>
      </w:r>
      <w:r w:rsidR="00470ADC" w:rsidRPr="00D5464D">
        <w:rPr>
          <w:rFonts w:cs="Arial"/>
          <w:szCs w:val="20"/>
          <w:lang w:val="pt-BR"/>
        </w:rPr>
        <w:t>do conflito</w:t>
      </w:r>
      <w:r w:rsidR="0003391C" w:rsidRPr="00D5464D">
        <w:rPr>
          <w:rFonts w:cs="Arial"/>
          <w:szCs w:val="20"/>
          <w:lang w:val="pt-BR"/>
        </w:rPr>
        <w:t xml:space="preserve"> de </w:t>
      </w:r>
      <w:r w:rsidR="00470ADC" w:rsidRPr="00D5464D">
        <w:rPr>
          <w:rFonts w:cs="Arial"/>
          <w:szCs w:val="20"/>
          <w:lang w:val="pt-BR"/>
        </w:rPr>
        <w:t>competência</w:t>
      </w:r>
      <w:r w:rsidR="0003391C" w:rsidRPr="00D5464D">
        <w:rPr>
          <w:rFonts w:cs="Arial"/>
          <w:szCs w:val="20"/>
          <w:lang w:val="pt-BR"/>
        </w:rPr>
        <w:t>s</w:t>
      </w:r>
      <w:r w:rsidR="00E045D9" w:rsidRPr="00D5464D">
        <w:rPr>
          <w:rFonts w:cs="Arial"/>
          <w:szCs w:val="20"/>
          <w:lang w:val="pt-BR"/>
        </w:rPr>
        <w:t xml:space="preserve"> </w:t>
      </w:r>
      <w:r w:rsidR="005D121E" w:rsidRPr="00D5464D">
        <w:rPr>
          <w:rFonts w:cs="Arial"/>
          <w:szCs w:val="20"/>
          <w:lang w:val="pt-BR"/>
        </w:rPr>
        <w:t xml:space="preserve">naquele </w:t>
      </w:r>
      <w:r w:rsidR="0003391C" w:rsidRPr="00D5464D">
        <w:rPr>
          <w:rFonts w:cs="Arial"/>
          <w:szCs w:val="20"/>
          <w:lang w:val="pt-BR"/>
        </w:rPr>
        <w:t xml:space="preserve">caso, </w:t>
      </w:r>
      <w:r w:rsidR="002C330E" w:rsidRPr="00D5464D">
        <w:rPr>
          <w:rFonts w:cs="Arial"/>
          <w:szCs w:val="20"/>
          <w:lang w:val="pt-BR"/>
        </w:rPr>
        <w:t>havia</w:t>
      </w:r>
      <w:r w:rsidR="0003391C" w:rsidRPr="00D5464D">
        <w:rPr>
          <w:rFonts w:cs="Arial"/>
          <w:szCs w:val="20"/>
          <w:lang w:val="pt-BR"/>
        </w:rPr>
        <w:t xml:space="preserve"> decidido que</w:t>
      </w:r>
      <w:r w:rsidR="002C330E" w:rsidRPr="00D5464D">
        <w:rPr>
          <w:rFonts w:cs="Arial"/>
          <w:szCs w:val="20"/>
          <w:lang w:val="pt-BR"/>
        </w:rPr>
        <w:t xml:space="preserve"> a jurisdição</w:t>
      </w:r>
      <w:r w:rsidR="0003391C" w:rsidRPr="00D5464D">
        <w:rPr>
          <w:rFonts w:cs="Arial"/>
          <w:szCs w:val="20"/>
          <w:lang w:val="pt-BR"/>
        </w:rPr>
        <w:t xml:space="preserve"> </w:t>
      </w:r>
      <w:r w:rsidR="00A1358C" w:rsidRPr="00D5464D">
        <w:rPr>
          <w:rFonts w:cs="Arial"/>
          <w:szCs w:val="20"/>
          <w:lang w:val="pt-BR"/>
        </w:rPr>
        <w:t>competente</w:t>
      </w:r>
      <w:r w:rsidR="0003391C" w:rsidRPr="00D5464D">
        <w:rPr>
          <w:rFonts w:cs="Arial"/>
          <w:szCs w:val="20"/>
          <w:lang w:val="pt-BR"/>
        </w:rPr>
        <w:t xml:space="preserve"> era</w:t>
      </w:r>
      <w:r w:rsidR="002C330E" w:rsidRPr="00D5464D">
        <w:rPr>
          <w:rFonts w:cs="Arial"/>
          <w:szCs w:val="20"/>
          <w:lang w:val="pt-BR"/>
        </w:rPr>
        <w:t xml:space="preserve"> a </w:t>
      </w:r>
      <w:r w:rsidR="0003391C" w:rsidRPr="00D5464D">
        <w:rPr>
          <w:rFonts w:cs="Arial"/>
          <w:szCs w:val="20"/>
          <w:lang w:val="pt-BR"/>
        </w:rPr>
        <w:t>federal</w:t>
      </w:r>
      <w:r w:rsidR="005D121E" w:rsidRPr="00D5464D">
        <w:rPr>
          <w:rFonts w:cs="Arial"/>
          <w:szCs w:val="20"/>
          <w:lang w:val="pt-BR"/>
        </w:rPr>
        <w:t>.</w:t>
      </w:r>
      <w:r w:rsidR="0003391C" w:rsidRPr="00D5464D">
        <w:rPr>
          <w:rStyle w:val="Refdenotaalpie"/>
          <w:rFonts w:cs="Arial"/>
          <w:lang w:val="pt-BR"/>
        </w:rPr>
        <w:footnoteReference w:id="162"/>
      </w:r>
      <w:r w:rsidR="00A1358C" w:rsidRPr="00D5464D">
        <w:rPr>
          <w:rFonts w:cs="Arial"/>
          <w:szCs w:val="20"/>
          <w:lang w:val="pt-BR"/>
        </w:rPr>
        <w:t xml:space="preserve"> </w:t>
      </w:r>
      <w:r w:rsidR="00C91CB1" w:rsidRPr="00D5464D">
        <w:rPr>
          <w:rFonts w:cs="Arial"/>
          <w:szCs w:val="20"/>
          <w:lang w:val="pt-BR"/>
        </w:rPr>
        <w:t>Em 1</w:t>
      </w:r>
      <w:r w:rsidR="00350187" w:rsidRPr="00D5464D">
        <w:rPr>
          <w:rFonts w:cs="Arial"/>
          <w:szCs w:val="20"/>
          <w:lang w:val="pt-BR"/>
        </w:rPr>
        <w:t xml:space="preserve">1 </w:t>
      </w:r>
      <w:r w:rsidR="00A1358C" w:rsidRPr="00D5464D">
        <w:rPr>
          <w:rFonts w:cs="Arial"/>
          <w:szCs w:val="20"/>
          <w:lang w:val="pt-BR"/>
        </w:rPr>
        <w:t>de dezembro</w:t>
      </w:r>
      <w:r w:rsidR="0003391C" w:rsidRPr="00D5464D">
        <w:rPr>
          <w:rFonts w:cs="Arial"/>
          <w:szCs w:val="20"/>
          <w:lang w:val="pt-BR"/>
        </w:rPr>
        <w:t xml:space="preserve"> de 2007</w:t>
      </w:r>
      <w:r w:rsidR="005D121E" w:rsidRPr="00D5464D">
        <w:rPr>
          <w:rFonts w:cs="Arial"/>
          <w:szCs w:val="20"/>
          <w:lang w:val="pt-BR"/>
        </w:rPr>
        <w:t xml:space="preserve">, os autos foram remetidos </w:t>
      </w:r>
      <w:r w:rsidR="00470ADC" w:rsidRPr="00D5464D">
        <w:rPr>
          <w:rFonts w:cs="Arial"/>
          <w:szCs w:val="20"/>
          <w:lang w:val="pt-BR"/>
        </w:rPr>
        <w:t xml:space="preserve">à </w:t>
      </w:r>
      <w:r w:rsidR="002C330E" w:rsidRPr="00D5464D">
        <w:rPr>
          <w:rFonts w:cs="Arial"/>
          <w:szCs w:val="20"/>
          <w:lang w:val="pt-BR"/>
        </w:rPr>
        <w:t>jurisdição</w:t>
      </w:r>
      <w:r w:rsidR="0003391C" w:rsidRPr="00D5464D">
        <w:rPr>
          <w:rFonts w:cs="Arial"/>
          <w:szCs w:val="20"/>
          <w:lang w:val="pt-BR"/>
        </w:rPr>
        <w:t xml:space="preserve"> federal de Marabá, Pará</w:t>
      </w:r>
      <w:r w:rsidR="005D121E" w:rsidRPr="00D5464D">
        <w:rPr>
          <w:rFonts w:cs="Arial"/>
          <w:szCs w:val="20"/>
          <w:lang w:val="pt-BR"/>
        </w:rPr>
        <w:t>.</w:t>
      </w:r>
      <w:r w:rsidR="0003391C" w:rsidRPr="00D5464D">
        <w:rPr>
          <w:rStyle w:val="Refdenotaalpie"/>
          <w:rFonts w:cs="Arial"/>
          <w:lang w:val="pt-BR"/>
        </w:rPr>
        <w:footnoteReference w:id="163"/>
      </w:r>
    </w:p>
    <w:p w14:paraId="14B924D1" w14:textId="77777777" w:rsidR="0003391C" w:rsidRPr="00D5464D" w:rsidRDefault="0003391C" w:rsidP="00140440">
      <w:pPr>
        <w:pStyle w:val="Prrafodelista"/>
        <w:autoSpaceDE w:val="0"/>
        <w:autoSpaceDN w:val="0"/>
        <w:adjustRightInd w:val="0"/>
        <w:ind w:left="0"/>
        <w:contextualSpacing w:val="0"/>
        <w:rPr>
          <w:rFonts w:cs="Arial"/>
          <w:szCs w:val="20"/>
          <w:lang w:val="pt-BR"/>
        </w:rPr>
      </w:pPr>
    </w:p>
    <w:p w14:paraId="1DC632A8" w14:textId="4F6EE1F5" w:rsidR="0003391C" w:rsidRPr="00D5464D" w:rsidRDefault="005D121E" w:rsidP="00140440">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 xml:space="preserve">Após </w:t>
      </w:r>
      <w:r w:rsidR="00C31428" w:rsidRPr="00D5464D">
        <w:rPr>
          <w:rFonts w:cs="Arial"/>
          <w:szCs w:val="20"/>
          <w:lang w:val="pt-BR"/>
        </w:rPr>
        <w:t>a citação dos senhores Raimundo Alves da Rocha e Ant</w:t>
      </w:r>
      <w:r w:rsidR="00825184" w:rsidRPr="00D5464D">
        <w:rPr>
          <w:rFonts w:cs="Arial"/>
          <w:szCs w:val="20"/>
          <w:lang w:val="pt-BR"/>
        </w:rPr>
        <w:t>ô</w:t>
      </w:r>
      <w:r w:rsidR="00C31428" w:rsidRPr="00D5464D">
        <w:rPr>
          <w:rFonts w:cs="Arial"/>
          <w:szCs w:val="20"/>
          <w:lang w:val="pt-BR"/>
        </w:rPr>
        <w:t xml:space="preserve">nio Alves Vieira a comparecer </w:t>
      </w:r>
      <w:r w:rsidR="00470ADC" w:rsidRPr="00D5464D">
        <w:rPr>
          <w:rFonts w:cs="Arial"/>
          <w:szCs w:val="20"/>
          <w:lang w:val="pt-BR"/>
        </w:rPr>
        <w:t xml:space="preserve">em </w:t>
      </w:r>
      <w:r w:rsidR="00E045D9" w:rsidRPr="00D5464D">
        <w:rPr>
          <w:rFonts w:cs="Arial"/>
          <w:szCs w:val="20"/>
          <w:lang w:val="pt-BR"/>
        </w:rPr>
        <w:t>várias</w:t>
      </w:r>
      <w:r w:rsidR="0003391C" w:rsidRPr="00D5464D">
        <w:rPr>
          <w:rFonts w:cs="Arial"/>
          <w:szCs w:val="20"/>
          <w:lang w:val="pt-BR"/>
        </w:rPr>
        <w:t xml:space="preserve"> </w:t>
      </w:r>
      <w:r w:rsidR="002C330E" w:rsidRPr="00D5464D">
        <w:rPr>
          <w:rFonts w:cs="Arial"/>
          <w:szCs w:val="20"/>
          <w:lang w:val="pt-BR"/>
        </w:rPr>
        <w:t>ocasiões</w:t>
      </w:r>
      <w:r w:rsidR="0003391C" w:rsidRPr="00D5464D">
        <w:rPr>
          <w:rFonts w:cs="Arial"/>
          <w:szCs w:val="20"/>
          <w:lang w:val="pt-BR"/>
        </w:rPr>
        <w:t xml:space="preserve"> durante</w:t>
      </w:r>
      <w:r w:rsidR="00470ADC" w:rsidRPr="00D5464D">
        <w:rPr>
          <w:rFonts w:cs="Arial"/>
          <w:szCs w:val="20"/>
          <w:lang w:val="pt-BR"/>
        </w:rPr>
        <w:t xml:space="preserve"> o ano </w:t>
      </w:r>
      <w:r w:rsidR="00C31428" w:rsidRPr="00D5464D">
        <w:rPr>
          <w:rFonts w:cs="Arial"/>
          <w:szCs w:val="20"/>
          <w:lang w:val="pt-BR"/>
        </w:rPr>
        <w:t xml:space="preserve">de </w:t>
      </w:r>
      <w:r w:rsidR="0003391C" w:rsidRPr="00D5464D">
        <w:rPr>
          <w:rFonts w:cs="Arial"/>
          <w:szCs w:val="20"/>
          <w:lang w:val="pt-BR"/>
        </w:rPr>
        <w:t xml:space="preserve">2008 </w:t>
      </w:r>
      <w:r w:rsidR="00470ADC" w:rsidRPr="00D5464D">
        <w:rPr>
          <w:rFonts w:cs="Arial"/>
          <w:szCs w:val="20"/>
          <w:lang w:val="pt-BR"/>
        </w:rPr>
        <w:t>e</w:t>
      </w:r>
      <w:r w:rsidR="00825184" w:rsidRPr="00D5464D">
        <w:rPr>
          <w:rFonts w:cs="Arial"/>
          <w:szCs w:val="20"/>
          <w:lang w:val="pt-BR"/>
        </w:rPr>
        <w:t>,</w:t>
      </w:r>
      <w:r w:rsidR="00470ADC" w:rsidRPr="00D5464D">
        <w:rPr>
          <w:rFonts w:cs="Arial"/>
          <w:szCs w:val="20"/>
          <w:lang w:val="pt-BR"/>
        </w:rPr>
        <w:t xml:space="preserve"> em </w:t>
      </w:r>
      <w:r w:rsidR="00E045D9" w:rsidRPr="00D5464D">
        <w:rPr>
          <w:rFonts w:cs="Arial"/>
          <w:szCs w:val="20"/>
          <w:lang w:val="pt-BR"/>
        </w:rPr>
        <w:t xml:space="preserve">virtude </w:t>
      </w:r>
      <w:r w:rsidR="0003391C" w:rsidRPr="00D5464D">
        <w:rPr>
          <w:rFonts w:cs="Arial"/>
          <w:szCs w:val="20"/>
          <w:lang w:val="pt-BR"/>
        </w:rPr>
        <w:t>de su</w:t>
      </w:r>
      <w:r w:rsidR="00C31428" w:rsidRPr="00D5464D">
        <w:rPr>
          <w:rFonts w:cs="Arial"/>
          <w:szCs w:val="20"/>
          <w:lang w:val="pt-BR"/>
        </w:rPr>
        <w:t>a</w:t>
      </w:r>
      <w:r w:rsidR="0003391C" w:rsidRPr="00D5464D">
        <w:rPr>
          <w:rFonts w:cs="Arial"/>
          <w:szCs w:val="20"/>
          <w:lang w:val="pt-BR"/>
        </w:rPr>
        <w:t xml:space="preserve"> </w:t>
      </w:r>
      <w:r w:rsidR="00470ADC" w:rsidRPr="00D5464D">
        <w:rPr>
          <w:rFonts w:cs="Arial"/>
          <w:szCs w:val="20"/>
          <w:lang w:val="pt-BR"/>
        </w:rPr>
        <w:t>ausência</w:t>
      </w:r>
      <w:r w:rsidR="0003391C" w:rsidRPr="00D5464D">
        <w:rPr>
          <w:rFonts w:cs="Arial"/>
          <w:szCs w:val="20"/>
          <w:lang w:val="pt-BR"/>
        </w:rPr>
        <w:t>,</w:t>
      </w:r>
      <w:r w:rsidR="002C330E" w:rsidRPr="00D5464D">
        <w:rPr>
          <w:rFonts w:cs="Arial"/>
          <w:szCs w:val="20"/>
          <w:lang w:val="pt-BR"/>
        </w:rPr>
        <w:t xml:space="preserve"> em 3</w:t>
      </w:r>
      <w:r w:rsidR="0003391C" w:rsidRPr="00D5464D">
        <w:rPr>
          <w:rFonts w:cs="Arial"/>
          <w:szCs w:val="20"/>
          <w:lang w:val="pt-BR"/>
        </w:rPr>
        <w:t xml:space="preserve"> de </w:t>
      </w:r>
      <w:r w:rsidR="002C330E" w:rsidRPr="00D5464D">
        <w:rPr>
          <w:rFonts w:cs="Arial"/>
          <w:szCs w:val="20"/>
          <w:lang w:val="pt-BR"/>
        </w:rPr>
        <w:t>julho</w:t>
      </w:r>
      <w:r w:rsidR="0003391C" w:rsidRPr="00D5464D">
        <w:rPr>
          <w:rFonts w:cs="Arial"/>
          <w:szCs w:val="20"/>
          <w:lang w:val="pt-BR"/>
        </w:rPr>
        <w:t xml:space="preserve"> de 2008</w:t>
      </w:r>
      <w:r w:rsidR="00C31428" w:rsidRPr="00D5464D">
        <w:rPr>
          <w:rFonts w:cs="Arial"/>
          <w:szCs w:val="20"/>
          <w:lang w:val="pt-BR"/>
        </w:rPr>
        <w:t>,</w:t>
      </w:r>
      <w:r w:rsidR="00470ADC" w:rsidRPr="00D5464D">
        <w:rPr>
          <w:rFonts w:cs="Arial"/>
          <w:szCs w:val="20"/>
          <w:lang w:val="pt-BR"/>
        </w:rPr>
        <w:t xml:space="preserve"> o </w:t>
      </w:r>
      <w:r w:rsidR="002C330E" w:rsidRPr="00D5464D">
        <w:rPr>
          <w:rFonts w:cs="Arial"/>
          <w:szCs w:val="20"/>
          <w:lang w:val="pt-BR"/>
        </w:rPr>
        <w:t>juiz</w:t>
      </w:r>
      <w:r w:rsidR="0003391C" w:rsidRPr="00D5464D">
        <w:rPr>
          <w:rFonts w:cs="Arial"/>
          <w:szCs w:val="20"/>
          <w:lang w:val="pt-BR"/>
        </w:rPr>
        <w:t xml:space="preserve"> </w:t>
      </w:r>
      <w:r w:rsidR="00470ADC" w:rsidRPr="00D5464D">
        <w:rPr>
          <w:rFonts w:cs="Arial"/>
          <w:szCs w:val="20"/>
          <w:lang w:val="pt-BR"/>
        </w:rPr>
        <w:t>concedeu</w:t>
      </w:r>
      <w:r w:rsidR="002C330E" w:rsidRPr="00D5464D">
        <w:rPr>
          <w:rFonts w:cs="Arial"/>
          <w:szCs w:val="20"/>
          <w:lang w:val="pt-BR"/>
        </w:rPr>
        <w:t xml:space="preserve"> prazo</w:t>
      </w:r>
      <w:r w:rsidR="00A916B1" w:rsidRPr="00D5464D">
        <w:rPr>
          <w:rFonts w:cs="Arial"/>
          <w:szCs w:val="20"/>
          <w:lang w:val="pt-BR"/>
        </w:rPr>
        <w:t xml:space="preserve"> para</w:t>
      </w:r>
      <w:r w:rsidR="002C330E" w:rsidRPr="00D5464D">
        <w:rPr>
          <w:rFonts w:cs="Arial"/>
          <w:szCs w:val="20"/>
          <w:lang w:val="pt-BR"/>
        </w:rPr>
        <w:t xml:space="preserve"> as alegações </w:t>
      </w:r>
      <w:r w:rsidR="00470ADC" w:rsidRPr="00D5464D">
        <w:rPr>
          <w:rFonts w:cs="Arial"/>
          <w:szCs w:val="20"/>
          <w:lang w:val="pt-BR"/>
        </w:rPr>
        <w:t xml:space="preserve">finais das </w:t>
      </w:r>
      <w:r w:rsidR="0003391C" w:rsidRPr="00D5464D">
        <w:rPr>
          <w:rFonts w:cs="Arial"/>
          <w:szCs w:val="20"/>
          <w:lang w:val="pt-BR"/>
        </w:rPr>
        <w:t>partes</w:t>
      </w:r>
      <w:r w:rsidR="00C31428" w:rsidRPr="00D5464D">
        <w:rPr>
          <w:rFonts w:cs="Arial"/>
          <w:szCs w:val="20"/>
          <w:lang w:val="pt-BR"/>
        </w:rPr>
        <w:t>.</w:t>
      </w:r>
      <w:r w:rsidR="0003391C" w:rsidRPr="00D5464D">
        <w:rPr>
          <w:rStyle w:val="Refdenotaalpie"/>
          <w:rFonts w:cs="Arial"/>
          <w:lang w:val="pt-BR"/>
        </w:rPr>
        <w:footnoteReference w:id="164"/>
      </w:r>
      <w:r w:rsidR="00A1358C" w:rsidRPr="00D5464D">
        <w:rPr>
          <w:rFonts w:cs="Times New Roman"/>
          <w:szCs w:val="20"/>
          <w:lang w:val="pt-BR"/>
        </w:rPr>
        <w:t xml:space="preserve"> </w:t>
      </w:r>
      <w:r w:rsidR="00C91CB1" w:rsidRPr="00D5464D">
        <w:rPr>
          <w:rFonts w:cs="Times New Roman"/>
          <w:szCs w:val="20"/>
          <w:lang w:val="pt-BR"/>
        </w:rPr>
        <w:t>Em 1</w:t>
      </w:r>
      <w:r w:rsidR="0003391C" w:rsidRPr="00D5464D">
        <w:rPr>
          <w:rFonts w:cs="Arial"/>
          <w:szCs w:val="20"/>
          <w:lang w:val="pt-BR"/>
        </w:rPr>
        <w:t xml:space="preserve">0 de </w:t>
      </w:r>
      <w:r w:rsidR="002C330E" w:rsidRPr="00D5464D">
        <w:rPr>
          <w:rFonts w:cs="Arial"/>
          <w:szCs w:val="20"/>
          <w:lang w:val="pt-BR"/>
        </w:rPr>
        <w:t>julho</w:t>
      </w:r>
      <w:r w:rsidR="0003391C" w:rsidRPr="00D5464D">
        <w:rPr>
          <w:rFonts w:cs="Arial"/>
          <w:szCs w:val="20"/>
          <w:lang w:val="pt-BR"/>
        </w:rPr>
        <w:t xml:space="preserve"> de 2008</w:t>
      </w:r>
      <w:r w:rsidR="00C31428" w:rsidRPr="00D5464D">
        <w:rPr>
          <w:rFonts w:cs="Arial"/>
          <w:szCs w:val="20"/>
          <w:lang w:val="pt-BR"/>
        </w:rPr>
        <w:t>,</w:t>
      </w:r>
      <w:r w:rsidR="00470ADC" w:rsidRPr="00D5464D">
        <w:rPr>
          <w:rFonts w:cs="Arial"/>
          <w:szCs w:val="20"/>
          <w:lang w:val="pt-BR"/>
        </w:rPr>
        <w:t xml:space="preserve"> o </w:t>
      </w:r>
      <w:r w:rsidR="002C330E" w:rsidRPr="00D5464D">
        <w:rPr>
          <w:rFonts w:cs="Arial"/>
          <w:szCs w:val="20"/>
          <w:lang w:val="pt-BR"/>
        </w:rPr>
        <w:t>Ministério</w:t>
      </w:r>
      <w:r w:rsidR="0003391C" w:rsidRPr="00D5464D">
        <w:rPr>
          <w:rFonts w:cs="Arial"/>
          <w:szCs w:val="20"/>
          <w:lang w:val="pt-BR"/>
        </w:rPr>
        <w:t xml:space="preserve"> Público Federal </w:t>
      </w:r>
      <w:r w:rsidR="002C330E" w:rsidRPr="00D5464D">
        <w:rPr>
          <w:rFonts w:cs="Arial"/>
          <w:szCs w:val="20"/>
          <w:lang w:val="pt-BR"/>
        </w:rPr>
        <w:t>apresentou</w:t>
      </w:r>
      <w:r w:rsidR="0003391C" w:rsidRPr="00D5464D">
        <w:rPr>
          <w:rFonts w:cs="Arial"/>
          <w:szCs w:val="20"/>
          <w:lang w:val="pt-BR"/>
        </w:rPr>
        <w:t xml:space="preserve"> </w:t>
      </w:r>
      <w:r w:rsidR="00E045D9" w:rsidRPr="00D5464D">
        <w:rPr>
          <w:rFonts w:cs="Arial"/>
          <w:szCs w:val="20"/>
          <w:lang w:val="pt-BR"/>
        </w:rPr>
        <w:t>suas alegações finais</w:t>
      </w:r>
      <w:r w:rsidR="0055799A" w:rsidRPr="00D5464D">
        <w:rPr>
          <w:rFonts w:cs="Arial"/>
          <w:szCs w:val="20"/>
          <w:lang w:val="pt-BR"/>
        </w:rPr>
        <w:t>,</w:t>
      </w:r>
      <w:r w:rsidR="00C31428" w:rsidRPr="00D5464D">
        <w:rPr>
          <w:rFonts w:cs="Arial"/>
          <w:szCs w:val="20"/>
          <w:lang w:val="pt-BR"/>
        </w:rPr>
        <w:t xml:space="preserve"> na</w:t>
      </w:r>
      <w:r w:rsidR="00E045D9" w:rsidRPr="00D5464D">
        <w:rPr>
          <w:rFonts w:cs="Arial"/>
          <w:szCs w:val="20"/>
          <w:lang w:val="pt-BR"/>
        </w:rPr>
        <w:t xml:space="preserve">s </w:t>
      </w:r>
      <w:r w:rsidR="00C31428" w:rsidRPr="00D5464D">
        <w:rPr>
          <w:rFonts w:cs="Arial"/>
          <w:szCs w:val="20"/>
          <w:lang w:val="pt-BR"/>
        </w:rPr>
        <w:t>quais</w:t>
      </w:r>
      <w:r w:rsidR="0003391C" w:rsidRPr="00D5464D">
        <w:rPr>
          <w:rFonts w:cs="Arial"/>
          <w:szCs w:val="20"/>
          <w:lang w:val="pt-BR"/>
        </w:rPr>
        <w:t xml:space="preserve"> </w:t>
      </w:r>
      <w:r w:rsidR="00C31428" w:rsidRPr="00D5464D">
        <w:rPr>
          <w:rFonts w:cs="Arial"/>
          <w:szCs w:val="20"/>
          <w:lang w:val="pt-BR"/>
        </w:rPr>
        <w:t xml:space="preserve">pediu a </w:t>
      </w:r>
      <w:r w:rsidR="0003391C" w:rsidRPr="00D5464D">
        <w:rPr>
          <w:rFonts w:cs="Arial"/>
          <w:szCs w:val="20"/>
          <w:lang w:val="pt-BR"/>
        </w:rPr>
        <w:t>extin</w:t>
      </w:r>
      <w:r w:rsidR="00470ADC" w:rsidRPr="00D5464D">
        <w:rPr>
          <w:rFonts w:cs="Arial"/>
          <w:szCs w:val="20"/>
          <w:lang w:val="pt-BR"/>
        </w:rPr>
        <w:t xml:space="preserve">ção da </w:t>
      </w:r>
      <w:r w:rsidR="00737270" w:rsidRPr="00D5464D">
        <w:rPr>
          <w:rFonts w:cs="Arial"/>
          <w:szCs w:val="20"/>
          <w:lang w:val="pt-BR"/>
        </w:rPr>
        <w:t>ação</w:t>
      </w:r>
      <w:r w:rsidR="0003391C" w:rsidRPr="00D5464D">
        <w:rPr>
          <w:rFonts w:cs="Arial"/>
          <w:szCs w:val="20"/>
          <w:lang w:val="pt-BR"/>
        </w:rPr>
        <w:t xml:space="preserve"> penal contra Raimundo Alves da Rocha</w:t>
      </w:r>
      <w:r w:rsidR="00E045D9" w:rsidRPr="00D5464D">
        <w:rPr>
          <w:rFonts w:cs="Arial"/>
          <w:szCs w:val="20"/>
          <w:lang w:val="pt-BR"/>
        </w:rPr>
        <w:t xml:space="preserve"> e </w:t>
      </w:r>
      <w:r w:rsidR="0003391C" w:rsidRPr="00D5464D">
        <w:rPr>
          <w:rFonts w:cs="Arial"/>
          <w:szCs w:val="20"/>
          <w:lang w:val="pt-BR"/>
        </w:rPr>
        <w:t>Ant</w:t>
      </w:r>
      <w:r w:rsidR="00825184" w:rsidRPr="00D5464D">
        <w:rPr>
          <w:rFonts w:cs="Arial"/>
          <w:szCs w:val="20"/>
          <w:lang w:val="pt-BR"/>
        </w:rPr>
        <w:t>ô</w:t>
      </w:r>
      <w:r w:rsidR="0003391C" w:rsidRPr="00D5464D">
        <w:rPr>
          <w:rFonts w:cs="Arial"/>
          <w:szCs w:val="20"/>
          <w:lang w:val="pt-BR"/>
        </w:rPr>
        <w:t>nio Alves Vieira</w:t>
      </w:r>
      <w:r w:rsidR="00C31428" w:rsidRPr="00D5464D">
        <w:rPr>
          <w:rFonts w:cs="Arial"/>
          <w:szCs w:val="20"/>
          <w:lang w:val="pt-BR"/>
        </w:rPr>
        <w:t>.</w:t>
      </w:r>
      <w:r w:rsidR="0003391C" w:rsidRPr="00D5464D">
        <w:rPr>
          <w:rStyle w:val="Refdenotaalpie"/>
          <w:rFonts w:cs="Arial"/>
          <w:lang w:val="pt-BR"/>
        </w:rPr>
        <w:footnoteReference w:id="165"/>
      </w:r>
      <w:r w:rsidR="00A1358C" w:rsidRPr="00D5464D">
        <w:rPr>
          <w:rFonts w:cs="Arial"/>
          <w:szCs w:val="20"/>
          <w:lang w:val="pt-BR"/>
        </w:rPr>
        <w:t xml:space="preserve"> A </w:t>
      </w:r>
      <w:r w:rsidR="00737270" w:rsidRPr="00D5464D">
        <w:rPr>
          <w:rFonts w:cs="Arial"/>
          <w:szCs w:val="20"/>
          <w:lang w:val="pt-BR"/>
        </w:rPr>
        <w:t>este respeito</w:t>
      </w:r>
      <w:r w:rsidR="0003391C" w:rsidRPr="00D5464D">
        <w:rPr>
          <w:rFonts w:cs="Arial"/>
          <w:szCs w:val="20"/>
          <w:lang w:val="pt-BR"/>
        </w:rPr>
        <w:t xml:space="preserve"> </w:t>
      </w:r>
      <w:r w:rsidR="00470ADC" w:rsidRPr="00D5464D">
        <w:rPr>
          <w:rFonts w:cs="Arial"/>
          <w:szCs w:val="20"/>
          <w:lang w:val="pt-BR"/>
        </w:rPr>
        <w:t>considerou</w:t>
      </w:r>
      <w:r w:rsidR="00C91CB1" w:rsidRPr="00D5464D">
        <w:rPr>
          <w:rFonts w:cs="Arial"/>
          <w:szCs w:val="20"/>
          <w:lang w:val="pt-BR"/>
        </w:rPr>
        <w:t xml:space="preserve"> o </w:t>
      </w:r>
      <w:r w:rsidR="002C330E" w:rsidRPr="00D5464D">
        <w:rPr>
          <w:rFonts w:cs="Arial"/>
          <w:szCs w:val="20"/>
          <w:lang w:val="pt-BR"/>
        </w:rPr>
        <w:t>seguinte</w:t>
      </w:r>
      <w:r w:rsidR="0003391C" w:rsidRPr="00D5464D">
        <w:rPr>
          <w:rFonts w:cs="Arial"/>
          <w:szCs w:val="20"/>
          <w:lang w:val="pt-BR"/>
        </w:rPr>
        <w:t>:</w:t>
      </w:r>
    </w:p>
    <w:p w14:paraId="57920A82" w14:textId="77777777" w:rsidR="0003391C" w:rsidRPr="00D5464D" w:rsidRDefault="0003391C" w:rsidP="00140440">
      <w:pPr>
        <w:autoSpaceDE w:val="0"/>
        <w:autoSpaceDN w:val="0"/>
        <w:adjustRightInd w:val="0"/>
        <w:jc w:val="both"/>
        <w:rPr>
          <w:rFonts w:cs="Arial"/>
          <w:szCs w:val="20"/>
          <w:lang w:val="pt-BR"/>
        </w:rPr>
      </w:pPr>
    </w:p>
    <w:p w14:paraId="18A9EEE7" w14:textId="67A6B439" w:rsidR="0003391C" w:rsidRPr="00D5464D" w:rsidRDefault="0003391C" w:rsidP="00140440">
      <w:pPr>
        <w:autoSpaceDE w:val="0"/>
        <w:autoSpaceDN w:val="0"/>
        <w:adjustRightInd w:val="0"/>
        <w:ind w:left="720" w:right="720"/>
        <w:jc w:val="both"/>
        <w:rPr>
          <w:rFonts w:cs="Arial"/>
          <w:sz w:val="16"/>
          <w:szCs w:val="20"/>
          <w:lang w:val="pt-BR"/>
        </w:rPr>
      </w:pPr>
      <w:r w:rsidRPr="00D5464D">
        <w:rPr>
          <w:rFonts w:cs="Arial"/>
          <w:sz w:val="16"/>
          <w:szCs w:val="20"/>
          <w:lang w:val="pt-BR"/>
        </w:rPr>
        <w:t>[...]</w:t>
      </w:r>
      <w:r w:rsidR="00470ADC" w:rsidRPr="00D5464D">
        <w:rPr>
          <w:rFonts w:cs="Arial"/>
          <w:sz w:val="16"/>
          <w:szCs w:val="20"/>
          <w:lang w:val="pt-BR"/>
        </w:rPr>
        <w:t xml:space="preserve"> o</w:t>
      </w:r>
      <w:r w:rsidR="002C330E" w:rsidRPr="00D5464D">
        <w:rPr>
          <w:rFonts w:cs="Arial"/>
          <w:sz w:val="16"/>
          <w:szCs w:val="20"/>
          <w:lang w:val="pt-BR"/>
        </w:rPr>
        <w:t xml:space="preserve"> </w:t>
      </w:r>
      <w:r w:rsidR="00350187" w:rsidRPr="00D5464D">
        <w:rPr>
          <w:rFonts w:cs="Arial"/>
          <w:sz w:val="16"/>
          <w:szCs w:val="20"/>
          <w:lang w:val="pt-BR"/>
        </w:rPr>
        <w:t>relatório</w:t>
      </w:r>
      <w:r w:rsidR="002C330E" w:rsidRPr="00D5464D">
        <w:rPr>
          <w:rFonts w:cs="Arial"/>
          <w:sz w:val="16"/>
          <w:szCs w:val="20"/>
          <w:lang w:val="pt-BR"/>
        </w:rPr>
        <w:t xml:space="preserve"> </w:t>
      </w:r>
      <w:r w:rsidRPr="00D5464D">
        <w:rPr>
          <w:rFonts w:cs="Arial"/>
          <w:sz w:val="16"/>
          <w:szCs w:val="20"/>
          <w:lang w:val="pt-BR"/>
        </w:rPr>
        <w:t>de fiscaliza</w:t>
      </w:r>
      <w:r w:rsidR="00470ADC" w:rsidRPr="00D5464D">
        <w:rPr>
          <w:rFonts w:cs="Arial"/>
          <w:sz w:val="16"/>
          <w:szCs w:val="20"/>
          <w:lang w:val="pt-BR"/>
        </w:rPr>
        <w:t>ção</w:t>
      </w:r>
      <w:r w:rsidRPr="00D5464D">
        <w:rPr>
          <w:rFonts w:cs="Arial"/>
          <w:sz w:val="16"/>
          <w:szCs w:val="20"/>
          <w:lang w:val="pt-BR"/>
        </w:rPr>
        <w:t xml:space="preserve"> </w:t>
      </w:r>
      <w:r w:rsidR="00470ADC" w:rsidRPr="00D5464D">
        <w:rPr>
          <w:rFonts w:cs="Arial"/>
          <w:sz w:val="16"/>
          <w:szCs w:val="20"/>
          <w:lang w:val="pt-BR"/>
        </w:rPr>
        <w:t xml:space="preserve">do </w:t>
      </w:r>
      <w:r w:rsidR="002C330E" w:rsidRPr="00D5464D">
        <w:rPr>
          <w:rFonts w:cs="Arial"/>
          <w:sz w:val="16"/>
          <w:szCs w:val="20"/>
          <w:lang w:val="pt-BR"/>
        </w:rPr>
        <w:t>Ministério</w:t>
      </w:r>
      <w:r w:rsidRPr="00D5464D">
        <w:rPr>
          <w:rFonts w:cs="Arial"/>
          <w:sz w:val="16"/>
          <w:szCs w:val="20"/>
          <w:lang w:val="pt-BR"/>
        </w:rPr>
        <w:t xml:space="preserve"> </w:t>
      </w:r>
      <w:r w:rsidR="00470ADC" w:rsidRPr="00D5464D">
        <w:rPr>
          <w:rFonts w:cs="Arial"/>
          <w:sz w:val="16"/>
          <w:szCs w:val="20"/>
          <w:lang w:val="pt-BR"/>
        </w:rPr>
        <w:t xml:space="preserve">do </w:t>
      </w:r>
      <w:r w:rsidR="00E045D9" w:rsidRPr="00D5464D">
        <w:rPr>
          <w:rFonts w:cs="Arial"/>
          <w:sz w:val="16"/>
          <w:szCs w:val="20"/>
          <w:lang w:val="pt-BR"/>
        </w:rPr>
        <w:t>Trabalho</w:t>
      </w:r>
      <w:r w:rsidRPr="00D5464D">
        <w:rPr>
          <w:rFonts w:cs="Arial"/>
          <w:sz w:val="16"/>
          <w:szCs w:val="20"/>
          <w:lang w:val="pt-BR"/>
        </w:rPr>
        <w:t xml:space="preserve"> narra</w:t>
      </w:r>
      <w:r w:rsidR="002C330E" w:rsidRPr="00D5464D">
        <w:rPr>
          <w:rFonts w:cs="Arial"/>
          <w:sz w:val="16"/>
          <w:szCs w:val="20"/>
          <w:lang w:val="pt-BR"/>
        </w:rPr>
        <w:t xml:space="preserve"> as </w:t>
      </w:r>
      <w:r w:rsidRPr="00D5464D">
        <w:rPr>
          <w:rFonts w:cs="Arial"/>
          <w:sz w:val="16"/>
          <w:szCs w:val="20"/>
          <w:lang w:val="pt-BR"/>
        </w:rPr>
        <w:t>condi</w:t>
      </w:r>
      <w:r w:rsidR="00470ADC" w:rsidRPr="00D5464D">
        <w:rPr>
          <w:rFonts w:cs="Arial"/>
          <w:sz w:val="16"/>
          <w:szCs w:val="20"/>
          <w:lang w:val="pt-BR"/>
        </w:rPr>
        <w:t>ções</w:t>
      </w:r>
      <w:r w:rsidRPr="00D5464D">
        <w:rPr>
          <w:rFonts w:cs="Arial"/>
          <w:sz w:val="16"/>
          <w:szCs w:val="20"/>
          <w:lang w:val="pt-BR"/>
        </w:rPr>
        <w:t xml:space="preserve"> inóspitas </w:t>
      </w:r>
      <w:r w:rsidR="005D3059" w:rsidRPr="00D5464D">
        <w:rPr>
          <w:rFonts w:cs="Arial"/>
          <w:sz w:val="16"/>
          <w:szCs w:val="20"/>
          <w:lang w:val="pt-BR"/>
        </w:rPr>
        <w:t xml:space="preserve">vivenciadas </w:t>
      </w:r>
      <w:r w:rsidR="002C330E" w:rsidRPr="00D5464D">
        <w:rPr>
          <w:rFonts w:cs="Arial"/>
          <w:sz w:val="16"/>
          <w:szCs w:val="20"/>
          <w:lang w:val="pt-BR"/>
        </w:rPr>
        <w:t xml:space="preserve">pelos </w:t>
      </w:r>
      <w:r w:rsidR="00E045D9" w:rsidRPr="00D5464D">
        <w:rPr>
          <w:rFonts w:cs="Arial"/>
          <w:sz w:val="16"/>
          <w:szCs w:val="20"/>
          <w:lang w:val="pt-BR"/>
        </w:rPr>
        <w:t>trabalhadores</w:t>
      </w:r>
      <w:r w:rsidR="00470ADC" w:rsidRPr="00D5464D">
        <w:rPr>
          <w:rFonts w:cs="Arial"/>
          <w:sz w:val="16"/>
          <w:szCs w:val="20"/>
          <w:lang w:val="pt-BR"/>
        </w:rPr>
        <w:t xml:space="preserve"> da </w:t>
      </w:r>
      <w:r w:rsidR="00D809F0" w:rsidRPr="00D5464D">
        <w:rPr>
          <w:rFonts w:cs="Arial"/>
          <w:iCs/>
          <w:sz w:val="16"/>
          <w:szCs w:val="20"/>
          <w:lang w:val="pt-BR"/>
        </w:rPr>
        <w:t>Fazenda</w:t>
      </w:r>
      <w:r w:rsidRPr="00D5464D">
        <w:rPr>
          <w:rFonts w:cs="Arial"/>
          <w:iCs/>
          <w:sz w:val="16"/>
          <w:szCs w:val="20"/>
          <w:lang w:val="pt-BR"/>
        </w:rPr>
        <w:t xml:space="preserve"> Brasil Verde,</w:t>
      </w:r>
      <w:r w:rsidR="002C330E" w:rsidRPr="00D5464D">
        <w:rPr>
          <w:rFonts w:cs="Arial"/>
          <w:i/>
          <w:iCs/>
          <w:sz w:val="16"/>
          <w:szCs w:val="20"/>
          <w:lang w:val="pt-BR"/>
        </w:rPr>
        <w:t xml:space="preserve"> </w:t>
      </w:r>
      <w:r w:rsidR="002C330E" w:rsidRPr="00D5464D">
        <w:rPr>
          <w:rFonts w:cs="Arial"/>
          <w:iCs/>
          <w:sz w:val="16"/>
          <w:szCs w:val="20"/>
          <w:lang w:val="pt-BR"/>
        </w:rPr>
        <w:t>sem</w:t>
      </w:r>
      <w:r w:rsidR="00230C71" w:rsidRPr="00D5464D">
        <w:rPr>
          <w:rFonts w:cs="Arial"/>
          <w:iCs/>
          <w:sz w:val="16"/>
          <w:szCs w:val="20"/>
          <w:lang w:val="pt-BR"/>
        </w:rPr>
        <w:t xml:space="preserve"> água</w:t>
      </w:r>
      <w:r w:rsidR="00230C71" w:rsidRPr="00D5464D">
        <w:rPr>
          <w:rFonts w:cs="Arial"/>
          <w:i/>
          <w:iCs/>
          <w:sz w:val="16"/>
          <w:szCs w:val="20"/>
          <w:lang w:val="pt-BR"/>
        </w:rPr>
        <w:t xml:space="preserve"> </w:t>
      </w:r>
      <w:r w:rsidR="00230C71" w:rsidRPr="00D5464D">
        <w:rPr>
          <w:rFonts w:cs="Arial"/>
          <w:sz w:val="16"/>
          <w:szCs w:val="20"/>
          <w:lang w:val="pt-BR"/>
        </w:rPr>
        <w:t xml:space="preserve">potável </w:t>
      </w:r>
      <w:r w:rsidRPr="00D5464D">
        <w:rPr>
          <w:rFonts w:cs="Arial"/>
          <w:sz w:val="16"/>
          <w:szCs w:val="20"/>
          <w:lang w:val="pt-BR"/>
        </w:rPr>
        <w:t>para beber, d</w:t>
      </w:r>
      <w:r w:rsidR="005D3059" w:rsidRPr="00D5464D">
        <w:rPr>
          <w:rFonts w:cs="Arial"/>
          <w:sz w:val="16"/>
          <w:szCs w:val="20"/>
          <w:lang w:val="pt-BR"/>
        </w:rPr>
        <w:t>o</w:t>
      </w:r>
      <w:r w:rsidRPr="00D5464D">
        <w:rPr>
          <w:rFonts w:cs="Arial"/>
          <w:sz w:val="16"/>
          <w:szCs w:val="20"/>
          <w:lang w:val="pt-BR"/>
        </w:rPr>
        <w:t>rmindo</w:t>
      </w:r>
      <w:r w:rsidR="00470ADC" w:rsidRPr="00D5464D">
        <w:rPr>
          <w:rFonts w:cs="Arial"/>
          <w:sz w:val="16"/>
          <w:szCs w:val="20"/>
          <w:lang w:val="pt-BR"/>
        </w:rPr>
        <w:t xml:space="preserve"> em </w:t>
      </w:r>
      <w:r w:rsidRPr="00D5464D">
        <w:rPr>
          <w:rFonts w:cs="Arial"/>
          <w:sz w:val="16"/>
          <w:szCs w:val="20"/>
          <w:lang w:val="pt-BR"/>
        </w:rPr>
        <w:t>barrac</w:t>
      </w:r>
      <w:r w:rsidR="005D3059" w:rsidRPr="00D5464D">
        <w:rPr>
          <w:rFonts w:cs="Arial"/>
          <w:sz w:val="16"/>
          <w:szCs w:val="20"/>
          <w:lang w:val="pt-BR"/>
        </w:rPr>
        <w:t xml:space="preserve">ões </w:t>
      </w:r>
      <w:r w:rsidR="00350187" w:rsidRPr="00D5464D">
        <w:rPr>
          <w:rFonts w:cs="Arial"/>
          <w:sz w:val="16"/>
          <w:szCs w:val="20"/>
          <w:lang w:val="pt-BR"/>
        </w:rPr>
        <w:t>cobert</w:t>
      </w:r>
      <w:r w:rsidR="005D3059" w:rsidRPr="00D5464D">
        <w:rPr>
          <w:rFonts w:cs="Arial"/>
          <w:sz w:val="16"/>
          <w:szCs w:val="20"/>
          <w:lang w:val="pt-BR"/>
        </w:rPr>
        <w:t>o</w:t>
      </w:r>
      <w:r w:rsidRPr="00D5464D">
        <w:rPr>
          <w:rFonts w:cs="Arial"/>
          <w:sz w:val="16"/>
          <w:szCs w:val="20"/>
          <w:lang w:val="pt-BR"/>
        </w:rPr>
        <w:t>s de plástico</w:t>
      </w:r>
      <w:r w:rsidR="00E045D9" w:rsidRPr="00D5464D">
        <w:rPr>
          <w:rFonts w:cs="Arial"/>
          <w:sz w:val="16"/>
          <w:szCs w:val="20"/>
          <w:lang w:val="pt-BR"/>
        </w:rPr>
        <w:t xml:space="preserve"> e </w:t>
      </w:r>
      <w:r w:rsidRPr="00D5464D">
        <w:rPr>
          <w:rFonts w:cs="Arial"/>
          <w:sz w:val="16"/>
          <w:szCs w:val="20"/>
          <w:lang w:val="pt-BR"/>
        </w:rPr>
        <w:t>pa</w:t>
      </w:r>
      <w:r w:rsidR="005D3059" w:rsidRPr="00D5464D">
        <w:rPr>
          <w:rFonts w:cs="Arial"/>
          <w:sz w:val="16"/>
          <w:szCs w:val="20"/>
          <w:lang w:val="pt-BR"/>
        </w:rPr>
        <w:t>lh</w:t>
      </w:r>
      <w:r w:rsidRPr="00D5464D">
        <w:rPr>
          <w:rFonts w:cs="Arial"/>
          <w:sz w:val="16"/>
          <w:szCs w:val="20"/>
          <w:lang w:val="pt-BR"/>
        </w:rPr>
        <w:t xml:space="preserve">a, </w:t>
      </w:r>
      <w:r w:rsidR="005D3059" w:rsidRPr="00D5464D">
        <w:rPr>
          <w:rFonts w:cs="Arial"/>
          <w:sz w:val="16"/>
          <w:szCs w:val="20"/>
          <w:lang w:val="pt-BR"/>
        </w:rPr>
        <w:t xml:space="preserve">chão </w:t>
      </w:r>
      <w:r w:rsidRPr="00D5464D">
        <w:rPr>
          <w:rFonts w:cs="Arial"/>
          <w:sz w:val="16"/>
          <w:szCs w:val="20"/>
          <w:lang w:val="pt-BR"/>
        </w:rPr>
        <w:t>batido</w:t>
      </w:r>
      <w:r w:rsidR="00E045D9" w:rsidRPr="00D5464D">
        <w:rPr>
          <w:rFonts w:cs="Arial"/>
          <w:sz w:val="16"/>
          <w:szCs w:val="20"/>
          <w:lang w:val="pt-BR"/>
        </w:rPr>
        <w:t xml:space="preserve"> e </w:t>
      </w:r>
      <w:r w:rsidR="002C330E" w:rsidRPr="00D5464D">
        <w:rPr>
          <w:rFonts w:cs="Arial"/>
          <w:sz w:val="16"/>
          <w:szCs w:val="20"/>
          <w:lang w:val="pt-BR"/>
        </w:rPr>
        <w:t xml:space="preserve">sem </w:t>
      </w:r>
      <w:r w:rsidRPr="00D5464D">
        <w:rPr>
          <w:rFonts w:cs="Arial"/>
          <w:sz w:val="16"/>
          <w:szCs w:val="20"/>
          <w:lang w:val="pt-BR"/>
        </w:rPr>
        <w:t>instala</w:t>
      </w:r>
      <w:r w:rsidR="00470ADC" w:rsidRPr="00D5464D">
        <w:rPr>
          <w:rFonts w:cs="Arial"/>
          <w:sz w:val="16"/>
          <w:szCs w:val="20"/>
          <w:lang w:val="pt-BR"/>
        </w:rPr>
        <w:t>ções</w:t>
      </w:r>
      <w:r w:rsidRPr="00D5464D">
        <w:rPr>
          <w:rFonts w:cs="Arial"/>
          <w:sz w:val="16"/>
          <w:szCs w:val="20"/>
          <w:lang w:val="pt-BR"/>
        </w:rPr>
        <w:t xml:space="preserve"> </w:t>
      </w:r>
      <w:r w:rsidR="00230C71" w:rsidRPr="00D5464D">
        <w:rPr>
          <w:rFonts w:cs="Arial"/>
          <w:sz w:val="16"/>
          <w:szCs w:val="20"/>
          <w:lang w:val="pt-BR"/>
        </w:rPr>
        <w:t>sanitária</w:t>
      </w:r>
      <w:r w:rsidRPr="00D5464D">
        <w:rPr>
          <w:rFonts w:cs="Arial"/>
          <w:sz w:val="16"/>
          <w:szCs w:val="20"/>
          <w:lang w:val="pt-BR"/>
        </w:rPr>
        <w:t>s,</w:t>
      </w:r>
      <w:r w:rsidR="002C330E" w:rsidRPr="00D5464D">
        <w:rPr>
          <w:rFonts w:cs="Arial"/>
          <w:sz w:val="16"/>
          <w:szCs w:val="20"/>
          <w:lang w:val="pt-BR"/>
        </w:rPr>
        <w:t xml:space="preserve"> </w:t>
      </w:r>
      <w:r w:rsidR="005D3059" w:rsidRPr="00D5464D">
        <w:rPr>
          <w:rFonts w:cs="Arial"/>
          <w:sz w:val="16"/>
          <w:szCs w:val="20"/>
          <w:lang w:val="pt-BR"/>
        </w:rPr>
        <w:t xml:space="preserve">desprovidos de quaisquer equipamentos </w:t>
      </w:r>
      <w:r w:rsidRPr="00D5464D">
        <w:rPr>
          <w:rFonts w:cs="Arial"/>
          <w:sz w:val="16"/>
          <w:szCs w:val="20"/>
          <w:lang w:val="pt-BR"/>
        </w:rPr>
        <w:t xml:space="preserve">de </w:t>
      </w:r>
      <w:r w:rsidR="002C330E" w:rsidRPr="00D5464D">
        <w:rPr>
          <w:rFonts w:cs="Arial"/>
          <w:sz w:val="16"/>
          <w:szCs w:val="20"/>
          <w:lang w:val="pt-BR"/>
        </w:rPr>
        <w:t>segurança</w:t>
      </w:r>
      <w:r w:rsidRPr="00D5464D">
        <w:rPr>
          <w:rFonts w:cs="Arial"/>
          <w:sz w:val="16"/>
          <w:szCs w:val="20"/>
          <w:lang w:val="pt-BR"/>
        </w:rPr>
        <w:t xml:space="preserve"> individual,</w:t>
      </w:r>
      <w:r w:rsidR="002C330E" w:rsidRPr="00D5464D">
        <w:rPr>
          <w:rFonts w:cs="Arial"/>
          <w:sz w:val="16"/>
          <w:szCs w:val="20"/>
          <w:lang w:val="pt-BR"/>
        </w:rPr>
        <w:t xml:space="preserve"> sem </w:t>
      </w:r>
      <w:r w:rsidR="005D3059" w:rsidRPr="00D5464D">
        <w:rPr>
          <w:rFonts w:cs="Arial"/>
          <w:sz w:val="16"/>
          <w:szCs w:val="20"/>
          <w:lang w:val="pt-BR"/>
        </w:rPr>
        <w:t xml:space="preserve">qualquer </w:t>
      </w:r>
      <w:r w:rsidR="002C330E" w:rsidRPr="00D5464D">
        <w:rPr>
          <w:rFonts w:cs="Arial"/>
          <w:sz w:val="16"/>
          <w:szCs w:val="20"/>
          <w:lang w:val="pt-BR"/>
        </w:rPr>
        <w:t>proteção</w:t>
      </w:r>
      <w:r w:rsidRPr="00D5464D">
        <w:rPr>
          <w:rFonts w:cs="Arial"/>
          <w:sz w:val="16"/>
          <w:szCs w:val="20"/>
          <w:lang w:val="pt-BR"/>
        </w:rPr>
        <w:t xml:space="preserve"> contra</w:t>
      </w:r>
      <w:r w:rsidR="002C330E" w:rsidRPr="00D5464D">
        <w:rPr>
          <w:rFonts w:cs="Arial"/>
          <w:sz w:val="16"/>
          <w:szCs w:val="20"/>
          <w:lang w:val="pt-BR"/>
        </w:rPr>
        <w:t xml:space="preserve"> a</w:t>
      </w:r>
      <w:r w:rsidR="005D3059" w:rsidRPr="00D5464D">
        <w:rPr>
          <w:rFonts w:cs="Arial"/>
          <w:sz w:val="16"/>
          <w:szCs w:val="20"/>
          <w:lang w:val="pt-BR"/>
        </w:rPr>
        <w:t>s</w:t>
      </w:r>
      <w:r w:rsidR="002C330E" w:rsidRPr="00D5464D">
        <w:rPr>
          <w:rFonts w:cs="Arial"/>
          <w:sz w:val="16"/>
          <w:szCs w:val="20"/>
          <w:lang w:val="pt-BR"/>
        </w:rPr>
        <w:t xml:space="preserve"> </w:t>
      </w:r>
      <w:r w:rsidR="005D3059" w:rsidRPr="00D5464D">
        <w:rPr>
          <w:rFonts w:cs="Arial"/>
          <w:sz w:val="16"/>
          <w:szCs w:val="20"/>
          <w:lang w:val="pt-BR"/>
        </w:rPr>
        <w:t xml:space="preserve">intempéries. </w:t>
      </w:r>
      <w:r w:rsidR="00470ADC" w:rsidRPr="00D5464D">
        <w:rPr>
          <w:rFonts w:cs="Arial"/>
          <w:sz w:val="16"/>
          <w:szCs w:val="20"/>
          <w:lang w:val="pt-BR"/>
        </w:rPr>
        <w:t>Ademais</w:t>
      </w:r>
      <w:r w:rsidRPr="00D5464D">
        <w:rPr>
          <w:rFonts w:cs="Arial"/>
          <w:sz w:val="16"/>
          <w:szCs w:val="20"/>
          <w:lang w:val="pt-BR"/>
        </w:rPr>
        <w:t xml:space="preserve">, se </w:t>
      </w:r>
      <w:r w:rsidR="00E765C2" w:rsidRPr="00D5464D">
        <w:rPr>
          <w:rFonts w:cs="Arial"/>
          <w:sz w:val="16"/>
          <w:szCs w:val="20"/>
          <w:lang w:val="pt-BR"/>
        </w:rPr>
        <w:t>verificou</w:t>
      </w:r>
      <w:r w:rsidR="002C330E" w:rsidRPr="00D5464D">
        <w:rPr>
          <w:rFonts w:cs="Arial"/>
          <w:sz w:val="16"/>
          <w:szCs w:val="20"/>
          <w:lang w:val="pt-BR"/>
        </w:rPr>
        <w:t xml:space="preserve"> a prática</w:t>
      </w:r>
      <w:r w:rsidRPr="00D5464D">
        <w:rPr>
          <w:rFonts w:cs="Arial"/>
          <w:sz w:val="16"/>
          <w:szCs w:val="20"/>
          <w:lang w:val="pt-BR"/>
        </w:rPr>
        <w:t xml:space="preserve"> de </w:t>
      </w:r>
      <w:r w:rsidR="005D3059" w:rsidRPr="00D5464D">
        <w:rPr>
          <w:rFonts w:cs="Arial"/>
          <w:sz w:val="16"/>
          <w:szCs w:val="20"/>
          <w:lang w:val="pt-BR"/>
        </w:rPr>
        <w:t xml:space="preserve">crimes </w:t>
      </w:r>
      <w:r w:rsidRPr="00D5464D">
        <w:rPr>
          <w:rFonts w:cs="Arial"/>
          <w:sz w:val="16"/>
          <w:szCs w:val="20"/>
          <w:lang w:val="pt-BR"/>
        </w:rPr>
        <w:t>de frustra</w:t>
      </w:r>
      <w:r w:rsidR="00470ADC" w:rsidRPr="00D5464D">
        <w:rPr>
          <w:rFonts w:cs="Arial"/>
          <w:sz w:val="16"/>
          <w:szCs w:val="20"/>
          <w:lang w:val="pt-BR"/>
        </w:rPr>
        <w:t>ção</w:t>
      </w:r>
      <w:r w:rsidRPr="00D5464D">
        <w:rPr>
          <w:rFonts w:cs="Arial"/>
          <w:sz w:val="16"/>
          <w:szCs w:val="20"/>
          <w:lang w:val="pt-BR"/>
        </w:rPr>
        <w:t xml:space="preserve">, mediante fraude, de </w:t>
      </w:r>
      <w:r w:rsidR="00470ADC" w:rsidRPr="00D5464D">
        <w:rPr>
          <w:rFonts w:cs="Arial"/>
          <w:sz w:val="16"/>
          <w:szCs w:val="20"/>
          <w:lang w:val="pt-BR"/>
        </w:rPr>
        <w:t>direito</w:t>
      </w:r>
      <w:r w:rsidRPr="00D5464D">
        <w:rPr>
          <w:rFonts w:cs="Arial"/>
          <w:sz w:val="16"/>
          <w:szCs w:val="20"/>
          <w:lang w:val="pt-BR"/>
        </w:rPr>
        <w:t xml:space="preserve">s </w:t>
      </w:r>
      <w:r w:rsidR="005D3059" w:rsidRPr="00D5464D">
        <w:rPr>
          <w:rFonts w:cs="Arial"/>
          <w:sz w:val="16"/>
          <w:szCs w:val="20"/>
          <w:lang w:val="pt-BR"/>
        </w:rPr>
        <w:t xml:space="preserve">assegurados </w:t>
      </w:r>
      <w:r w:rsidR="002C330E" w:rsidRPr="00D5464D">
        <w:rPr>
          <w:rFonts w:cs="Arial"/>
          <w:sz w:val="16"/>
          <w:szCs w:val="20"/>
          <w:lang w:val="pt-BR"/>
        </w:rPr>
        <w:t xml:space="preserve">pela </w:t>
      </w:r>
      <w:r w:rsidRPr="00D5464D">
        <w:rPr>
          <w:rFonts w:cs="Arial"/>
          <w:sz w:val="16"/>
          <w:szCs w:val="20"/>
          <w:lang w:val="pt-BR"/>
        </w:rPr>
        <w:t>legisla</w:t>
      </w:r>
      <w:r w:rsidR="00470ADC" w:rsidRPr="00D5464D">
        <w:rPr>
          <w:rFonts w:cs="Arial"/>
          <w:sz w:val="16"/>
          <w:szCs w:val="20"/>
          <w:lang w:val="pt-BR"/>
        </w:rPr>
        <w:t>ção</w:t>
      </w:r>
      <w:r w:rsidRPr="00D5464D">
        <w:rPr>
          <w:rFonts w:cs="Arial"/>
          <w:sz w:val="16"/>
          <w:szCs w:val="20"/>
          <w:lang w:val="pt-BR"/>
        </w:rPr>
        <w:t xml:space="preserve"> </w:t>
      </w:r>
      <w:r w:rsidR="005D3059" w:rsidRPr="00D5464D">
        <w:rPr>
          <w:rFonts w:cs="Arial"/>
          <w:sz w:val="16"/>
          <w:szCs w:val="20"/>
          <w:lang w:val="pt-BR"/>
        </w:rPr>
        <w:t>trabalhista</w:t>
      </w:r>
      <w:r w:rsidRPr="00D5464D">
        <w:rPr>
          <w:rFonts w:cs="Arial"/>
          <w:sz w:val="16"/>
          <w:szCs w:val="20"/>
          <w:lang w:val="pt-BR"/>
        </w:rPr>
        <w:t>.</w:t>
      </w:r>
    </w:p>
    <w:p w14:paraId="4A3EC6F2" w14:textId="77777777" w:rsidR="0003391C" w:rsidRPr="00D5464D" w:rsidRDefault="0003391C" w:rsidP="00140440">
      <w:pPr>
        <w:autoSpaceDE w:val="0"/>
        <w:autoSpaceDN w:val="0"/>
        <w:adjustRightInd w:val="0"/>
        <w:ind w:left="720" w:right="720"/>
        <w:jc w:val="both"/>
        <w:rPr>
          <w:rFonts w:cs="Arial"/>
          <w:sz w:val="16"/>
          <w:szCs w:val="20"/>
          <w:lang w:val="pt-BR"/>
        </w:rPr>
      </w:pPr>
    </w:p>
    <w:p w14:paraId="65630023" w14:textId="03FB61AF" w:rsidR="0003391C" w:rsidRPr="00D5464D" w:rsidRDefault="0003391C" w:rsidP="00140440">
      <w:pPr>
        <w:autoSpaceDE w:val="0"/>
        <w:autoSpaceDN w:val="0"/>
        <w:adjustRightInd w:val="0"/>
        <w:ind w:left="720" w:right="720"/>
        <w:jc w:val="both"/>
        <w:rPr>
          <w:rFonts w:cs="Arial"/>
          <w:sz w:val="16"/>
          <w:szCs w:val="20"/>
          <w:lang w:val="pt-BR"/>
        </w:rPr>
      </w:pPr>
      <w:r w:rsidRPr="00D5464D">
        <w:rPr>
          <w:rFonts w:cs="Arial"/>
          <w:sz w:val="16"/>
          <w:szCs w:val="20"/>
          <w:lang w:val="pt-BR"/>
        </w:rPr>
        <w:t xml:space="preserve">[...] </w:t>
      </w:r>
      <w:r w:rsidR="005D3059" w:rsidRPr="00D5464D">
        <w:rPr>
          <w:rFonts w:cs="Arial"/>
          <w:sz w:val="16"/>
          <w:szCs w:val="20"/>
          <w:lang w:val="pt-BR"/>
        </w:rPr>
        <w:t xml:space="preserve">há </w:t>
      </w:r>
      <w:r w:rsidR="002C330E" w:rsidRPr="00D5464D">
        <w:rPr>
          <w:rFonts w:cs="Arial"/>
          <w:sz w:val="16"/>
          <w:szCs w:val="20"/>
          <w:lang w:val="pt-BR"/>
        </w:rPr>
        <w:t>prova</w:t>
      </w:r>
      <w:r w:rsidRPr="00D5464D">
        <w:rPr>
          <w:rFonts w:cs="Arial"/>
          <w:sz w:val="16"/>
          <w:szCs w:val="20"/>
          <w:lang w:val="pt-BR"/>
        </w:rPr>
        <w:t xml:space="preserve"> suficiente</w:t>
      </w:r>
      <w:r w:rsidR="00470ADC" w:rsidRPr="00D5464D">
        <w:rPr>
          <w:rFonts w:cs="Arial"/>
          <w:sz w:val="16"/>
          <w:szCs w:val="20"/>
          <w:lang w:val="pt-BR"/>
        </w:rPr>
        <w:t xml:space="preserve"> da </w:t>
      </w:r>
      <w:r w:rsidR="005D3059" w:rsidRPr="00D5464D">
        <w:rPr>
          <w:rFonts w:cs="Arial"/>
          <w:sz w:val="16"/>
          <w:szCs w:val="20"/>
          <w:lang w:val="pt-BR"/>
        </w:rPr>
        <w:t xml:space="preserve">autoria </w:t>
      </w:r>
      <w:r w:rsidR="00470ADC" w:rsidRPr="00D5464D">
        <w:rPr>
          <w:rFonts w:cs="Arial"/>
          <w:sz w:val="16"/>
          <w:szCs w:val="20"/>
          <w:lang w:val="pt-BR"/>
        </w:rPr>
        <w:t xml:space="preserve">da </w:t>
      </w:r>
      <w:r w:rsidR="002C330E" w:rsidRPr="00D5464D">
        <w:rPr>
          <w:rFonts w:cs="Arial"/>
          <w:sz w:val="16"/>
          <w:szCs w:val="20"/>
          <w:lang w:val="pt-BR"/>
        </w:rPr>
        <w:t>prática</w:t>
      </w:r>
      <w:r w:rsidR="00470ADC" w:rsidRPr="00D5464D">
        <w:rPr>
          <w:rFonts w:cs="Arial"/>
          <w:sz w:val="16"/>
          <w:szCs w:val="20"/>
          <w:lang w:val="pt-BR"/>
        </w:rPr>
        <w:t xml:space="preserve"> dos </w:t>
      </w:r>
      <w:r w:rsidRPr="00D5464D">
        <w:rPr>
          <w:rFonts w:cs="Arial"/>
          <w:sz w:val="16"/>
          <w:szCs w:val="20"/>
          <w:lang w:val="pt-BR"/>
        </w:rPr>
        <w:t xml:space="preserve">delitos de </w:t>
      </w:r>
      <w:r w:rsidR="00737270" w:rsidRPr="00D5464D">
        <w:rPr>
          <w:rFonts w:cs="Arial"/>
          <w:sz w:val="16"/>
          <w:szCs w:val="20"/>
          <w:lang w:val="pt-BR"/>
        </w:rPr>
        <w:t>redução</w:t>
      </w:r>
      <w:r w:rsidRPr="00D5464D">
        <w:rPr>
          <w:rFonts w:cs="Arial"/>
          <w:sz w:val="16"/>
          <w:szCs w:val="20"/>
          <w:lang w:val="pt-BR"/>
        </w:rPr>
        <w:t xml:space="preserve"> a condi</w:t>
      </w:r>
      <w:r w:rsidR="00470ADC" w:rsidRPr="00D5464D">
        <w:rPr>
          <w:rFonts w:cs="Arial"/>
          <w:sz w:val="16"/>
          <w:szCs w:val="20"/>
          <w:lang w:val="pt-BR"/>
        </w:rPr>
        <w:t>ção</w:t>
      </w:r>
      <w:r w:rsidRPr="00D5464D">
        <w:rPr>
          <w:rFonts w:cs="Arial"/>
          <w:sz w:val="16"/>
          <w:szCs w:val="20"/>
          <w:lang w:val="pt-BR"/>
        </w:rPr>
        <w:t xml:space="preserve"> análoga</w:t>
      </w:r>
      <w:r w:rsidR="00470ADC" w:rsidRPr="00D5464D">
        <w:rPr>
          <w:rFonts w:cs="Arial"/>
          <w:sz w:val="16"/>
          <w:szCs w:val="20"/>
          <w:lang w:val="pt-BR"/>
        </w:rPr>
        <w:t xml:space="preserve"> à </w:t>
      </w:r>
      <w:r w:rsidRPr="00D5464D">
        <w:rPr>
          <w:rFonts w:cs="Arial"/>
          <w:sz w:val="16"/>
          <w:szCs w:val="20"/>
          <w:lang w:val="pt-BR"/>
        </w:rPr>
        <w:t xml:space="preserve">de </w:t>
      </w:r>
      <w:r w:rsidR="004F1CC2" w:rsidRPr="00D5464D">
        <w:rPr>
          <w:rFonts w:cs="Arial"/>
          <w:sz w:val="16"/>
          <w:szCs w:val="20"/>
          <w:lang w:val="pt-BR"/>
        </w:rPr>
        <w:t>escravo</w:t>
      </w:r>
      <w:r w:rsidR="00861D40" w:rsidRPr="00D5464D">
        <w:rPr>
          <w:rFonts w:cs="Arial"/>
          <w:sz w:val="16"/>
          <w:szCs w:val="20"/>
          <w:lang w:val="pt-BR"/>
        </w:rPr>
        <w:t xml:space="preserve"> </w:t>
      </w:r>
      <w:r w:rsidRPr="00D5464D">
        <w:rPr>
          <w:rFonts w:cs="Arial"/>
          <w:sz w:val="16"/>
          <w:szCs w:val="20"/>
          <w:lang w:val="pt-BR"/>
        </w:rPr>
        <w:t xml:space="preserve">(art. </w:t>
      </w:r>
      <w:r w:rsidRPr="00D5464D">
        <w:rPr>
          <w:rFonts w:cs="Times New Roman"/>
          <w:sz w:val="16"/>
          <w:szCs w:val="20"/>
          <w:lang w:val="pt-BR"/>
        </w:rPr>
        <w:t>149</w:t>
      </w:r>
      <w:r w:rsidR="00861D40" w:rsidRPr="00D5464D">
        <w:rPr>
          <w:rFonts w:cs="Times New Roman"/>
          <w:sz w:val="16"/>
          <w:szCs w:val="20"/>
          <w:lang w:val="pt-BR"/>
        </w:rPr>
        <w:t xml:space="preserve">, </w:t>
      </w:r>
      <w:r w:rsidR="00861D40" w:rsidRPr="00D5464D">
        <w:rPr>
          <w:rFonts w:cs="Times New Roman"/>
          <w:i/>
          <w:sz w:val="16"/>
          <w:szCs w:val="20"/>
          <w:lang w:val="pt-BR"/>
        </w:rPr>
        <w:t>caput</w:t>
      </w:r>
      <w:r w:rsidRPr="00D5464D">
        <w:rPr>
          <w:rFonts w:cs="Arial"/>
          <w:sz w:val="16"/>
          <w:szCs w:val="20"/>
          <w:lang w:val="pt-BR"/>
        </w:rPr>
        <w:t>), atentado contra</w:t>
      </w:r>
      <w:r w:rsidR="002C330E" w:rsidRPr="00D5464D">
        <w:rPr>
          <w:rFonts w:cs="Arial"/>
          <w:sz w:val="16"/>
          <w:szCs w:val="20"/>
          <w:lang w:val="pt-BR"/>
        </w:rPr>
        <w:t xml:space="preserve"> a liberdade </w:t>
      </w:r>
      <w:r w:rsidRPr="00D5464D">
        <w:rPr>
          <w:rFonts w:cs="Arial"/>
          <w:sz w:val="16"/>
          <w:szCs w:val="20"/>
          <w:lang w:val="pt-BR"/>
        </w:rPr>
        <w:t xml:space="preserve">de </w:t>
      </w:r>
      <w:r w:rsidR="00E045D9" w:rsidRPr="00D5464D">
        <w:rPr>
          <w:rFonts w:cs="Arial"/>
          <w:sz w:val="16"/>
          <w:szCs w:val="20"/>
          <w:lang w:val="pt-BR"/>
        </w:rPr>
        <w:t>trabalho</w:t>
      </w:r>
      <w:r w:rsidRPr="00D5464D">
        <w:rPr>
          <w:rFonts w:cs="Arial"/>
          <w:sz w:val="16"/>
          <w:szCs w:val="20"/>
          <w:lang w:val="pt-BR"/>
        </w:rPr>
        <w:t xml:space="preserve"> (art. </w:t>
      </w:r>
      <w:r w:rsidR="005D3059" w:rsidRPr="00D5464D">
        <w:rPr>
          <w:rFonts w:cs="Times New Roman"/>
          <w:sz w:val="16"/>
          <w:szCs w:val="20"/>
          <w:lang w:val="pt-BR"/>
        </w:rPr>
        <w:t>197.I</w:t>
      </w:r>
      <w:r w:rsidRPr="00D5464D">
        <w:rPr>
          <w:rFonts w:cs="Times New Roman"/>
          <w:sz w:val="16"/>
          <w:szCs w:val="20"/>
          <w:lang w:val="pt-BR"/>
        </w:rPr>
        <w:t>)</w:t>
      </w:r>
      <w:r w:rsidR="00E045D9" w:rsidRPr="00D5464D">
        <w:rPr>
          <w:rFonts w:cs="Times New Roman"/>
          <w:sz w:val="16"/>
          <w:szCs w:val="20"/>
          <w:lang w:val="pt-BR"/>
        </w:rPr>
        <w:t xml:space="preserve"> e </w:t>
      </w:r>
      <w:r w:rsidR="005D3059" w:rsidRPr="00D5464D">
        <w:rPr>
          <w:rFonts w:cs="Arial"/>
          <w:sz w:val="16"/>
          <w:szCs w:val="20"/>
          <w:lang w:val="pt-BR"/>
        </w:rPr>
        <w:t>aliciamento</w:t>
      </w:r>
      <w:r w:rsidRPr="00D5464D">
        <w:rPr>
          <w:rFonts w:cs="Arial"/>
          <w:sz w:val="16"/>
          <w:szCs w:val="20"/>
          <w:lang w:val="pt-BR"/>
        </w:rPr>
        <w:t xml:space="preserve"> de </w:t>
      </w:r>
      <w:r w:rsidR="00E045D9" w:rsidRPr="00D5464D">
        <w:rPr>
          <w:rFonts w:cs="Arial"/>
          <w:sz w:val="16"/>
          <w:szCs w:val="20"/>
          <w:lang w:val="pt-BR"/>
        </w:rPr>
        <w:t>trabalhadores</w:t>
      </w:r>
      <w:r w:rsidRPr="00D5464D">
        <w:rPr>
          <w:rFonts w:cs="Arial"/>
          <w:sz w:val="16"/>
          <w:szCs w:val="20"/>
          <w:lang w:val="pt-BR"/>
        </w:rPr>
        <w:t xml:space="preserve"> de</w:t>
      </w:r>
      <w:r w:rsidR="00E045D9" w:rsidRPr="00D5464D">
        <w:rPr>
          <w:rFonts w:cs="Arial"/>
          <w:sz w:val="16"/>
          <w:szCs w:val="20"/>
          <w:lang w:val="pt-BR"/>
        </w:rPr>
        <w:t xml:space="preserve"> um </w:t>
      </w:r>
      <w:r w:rsidRPr="00D5464D">
        <w:rPr>
          <w:rFonts w:cs="Arial"/>
          <w:sz w:val="16"/>
          <w:szCs w:val="20"/>
          <w:lang w:val="pt-BR"/>
        </w:rPr>
        <w:t>local para</w:t>
      </w:r>
      <w:r w:rsidR="002C330E" w:rsidRPr="00D5464D">
        <w:rPr>
          <w:rFonts w:cs="Arial"/>
          <w:sz w:val="16"/>
          <w:szCs w:val="20"/>
          <w:lang w:val="pt-BR"/>
        </w:rPr>
        <w:t xml:space="preserve"> outro </w:t>
      </w:r>
      <w:r w:rsidR="00470ADC" w:rsidRPr="00D5464D">
        <w:rPr>
          <w:rFonts w:cs="Arial"/>
          <w:sz w:val="16"/>
          <w:szCs w:val="20"/>
          <w:lang w:val="pt-BR"/>
        </w:rPr>
        <w:t xml:space="preserve">do </w:t>
      </w:r>
      <w:r w:rsidR="00E045D9" w:rsidRPr="00D5464D">
        <w:rPr>
          <w:rFonts w:cs="Arial"/>
          <w:sz w:val="16"/>
          <w:szCs w:val="20"/>
          <w:lang w:val="pt-BR"/>
        </w:rPr>
        <w:t>território</w:t>
      </w:r>
      <w:r w:rsidRPr="00D5464D">
        <w:rPr>
          <w:rFonts w:cs="Arial"/>
          <w:sz w:val="16"/>
          <w:szCs w:val="20"/>
          <w:lang w:val="pt-BR"/>
        </w:rPr>
        <w:t xml:space="preserve"> nacional (art. </w:t>
      </w:r>
      <w:r w:rsidRPr="00D5464D">
        <w:rPr>
          <w:rFonts w:cs="Times New Roman"/>
          <w:sz w:val="16"/>
          <w:szCs w:val="20"/>
          <w:lang w:val="pt-BR"/>
        </w:rPr>
        <w:t>207),</w:t>
      </w:r>
      <w:r w:rsidRPr="00D5464D">
        <w:rPr>
          <w:rFonts w:cs="Arial"/>
          <w:sz w:val="16"/>
          <w:szCs w:val="20"/>
          <w:lang w:val="pt-BR"/>
        </w:rPr>
        <w:t xml:space="preserve"> mediante</w:t>
      </w:r>
      <w:r w:rsidR="002C330E" w:rsidRPr="00D5464D">
        <w:rPr>
          <w:rFonts w:cs="Arial"/>
          <w:sz w:val="16"/>
          <w:szCs w:val="20"/>
          <w:lang w:val="pt-BR"/>
        </w:rPr>
        <w:t xml:space="preserve"> a </w:t>
      </w:r>
      <w:r w:rsidR="005D3059" w:rsidRPr="00D5464D">
        <w:rPr>
          <w:rFonts w:cs="Arial"/>
          <w:sz w:val="16"/>
          <w:szCs w:val="20"/>
          <w:lang w:val="pt-BR"/>
        </w:rPr>
        <w:t xml:space="preserve">apreensão </w:t>
      </w:r>
      <w:r w:rsidRPr="00D5464D">
        <w:rPr>
          <w:rFonts w:cs="Arial"/>
          <w:sz w:val="16"/>
          <w:szCs w:val="20"/>
          <w:lang w:val="pt-BR"/>
        </w:rPr>
        <w:t xml:space="preserve">por </w:t>
      </w:r>
      <w:r w:rsidR="00470ADC" w:rsidRPr="00D5464D">
        <w:rPr>
          <w:rFonts w:cs="Arial"/>
          <w:sz w:val="16"/>
          <w:szCs w:val="20"/>
          <w:lang w:val="pt-BR"/>
        </w:rPr>
        <w:t>dívida</w:t>
      </w:r>
      <w:r w:rsidRPr="00D5464D">
        <w:rPr>
          <w:rFonts w:cs="Arial"/>
          <w:sz w:val="16"/>
          <w:szCs w:val="20"/>
          <w:lang w:val="pt-BR"/>
        </w:rPr>
        <w:t>s.</w:t>
      </w:r>
    </w:p>
    <w:p w14:paraId="220930D5" w14:textId="77777777" w:rsidR="0003391C" w:rsidRPr="00D5464D" w:rsidRDefault="0003391C" w:rsidP="00140440">
      <w:pPr>
        <w:autoSpaceDE w:val="0"/>
        <w:autoSpaceDN w:val="0"/>
        <w:adjustRightInd w:val="0"/>
        <w:ind w:left="720" w:right="720"/>
        <w:jc w:val="both"/>
        <w:rPr>
          <w:rFonts w:cs="Arial"/>
          <w:sz w:val="16"/>
          <w:szCs w:val="20"/>
          <w:lang w:val="pt-BR"/>
        </w:rPr>
      </w:pPr>
    </w:p>
    <w:p w14:paraId="55A3275B" w14:textId="401E9512" w:rsidR="0003391C" w:rsidRPr="00D5464D" w:rsidRDefault="0003391C" w:rsidP="00140440">
      <w:pPr>
        <w:autoSpaceDE w:val="0"/>
        <w:autoSpaceDN w:val="0"/>
        <w:adjustRightInd w:val="0"/>
        <w:ind w:left="720" w:right="720"/>
        <w:jc w:val="both"/>
        <w:rPr>
          <w:rFonts w:cs="Arial"/>
          <w:sz w:val="16"/>
          <w:szCs w:val="20"/>
          <w:lang w:val="pt-BR"/>
        </w:rPr>
      </w:pPr>
      <w:r w:rsidRPr="00D5464D">
        <w:rPr>
          <w:rFonts w:cs="Arial"/>
          <w:sz w:val="16"/>
          <w:szCs w:val="20"/>
          <w:lang w:val="pt-BR"/>
        </w:rPr>
        <w:t>[...] n</w:t>
      </w:r>
      <w:r w:rsidR="004665B2" w:rsidRPr="00D5464D">
        <w:rPr>
          <w:rFonts w:cs="Arial"/>
          <w:sz w:val="16"/>
          <w:szCs w:val="20"/>
          <w:lang w:val="pt-BR"/>
        </w:rPr>
        <w:t>ã</w:t>
      </w:r>
      <w:r w:rsidRPr="00D5464D">
        <w:rPr>
          <w:rFonts w:cs="Arial"/>
          <w:sz w:val="16"/>
          <w:szCs w:val="20"/>
          <w:lang w:val="pt-BR"/>
        </w:rPr>
        <w:t>o obstante</w:t>
      </w:r>
      <w:r w:rsidR="002C330E" w:rsidRPr="00D5464D">
        <w:rPr>
          <w:rFonts w:cs="Arial"/>
          <w:sz w:val="16"/>
          <w:szCs w:val="20"/>
          <w:lang w:val="pt-BR"/>
        </w:rPr>
        <w:t xml:space="preserve"> a </w:t>
      </w:r>
      <w:r w:rsidR="00E045D9" w:rsidRPr="00D5464D">
        <w:rPr>
          <w:rFonts w:cs="Arial"/>
          <w:sz w:val="16"/>
          <w:szCs w:val="20"/>
          <w:lang w:val="pt-BR"/>
        </w:rPr>
        <w:t>comprovação</w:t>
      </w:r>
      <w:r w:rsidR="005D3059" w:rsidRPr="00D5464D">
        <w:rPr>
          <w:rFonts w:cs="Arial"/>
          <w:sz w:val="16"/>
          <w:szCs w:val="20"/>
          <w:lang w:val="pt-BR"/>
        </w:rPr>
        <w:t xml:space="preserve"> de</w:t>
      </w:r>
      <w:r w:rsidR="00470ADC" w:rsidRPr="00D5464D">
        <w:rPr>
          <w:rFonts w:cs="Arial"/>
          <w:sz w:val="16"/>
          <w:szCs w:val="20"/>
          <w:lang w:val="pt-BR"/>
        </w:rPr>
        <w:t xml:space="preserve"> </w:t>
      </w:r>
      <w:r w:rsidR="005D3059" w:rsidRPr="00D5464D">
        <w:rPr>
          <w:rFonts w:cs="Arial"/>
          <w:sz w:val="16"/>
          <w:szCs w:val="20"/>
          <w:lang w:val="pt-BR"/>
        </w:rPr>
        <w:t xml:space="preserve">autoria </w:t>
      </w:r>
      <w:r w:rsidR="00E045D9" w:rsidRPr="00D5464D">
        <w:rPr>
          <w:rFonts w:cs="Arial"/>
          <w:sz w:val="16"/>
          <w:szCs w:val="20"/>
          <w:lang w:val="pt-BR"/>
        </w:rPr>
        <w:t xml:space="preserve">e </w:t>
      </w:r>
      <w:r w:rsidRPr="00D5464D">
        <w:rPr>
          <w:rFonts w:cs="Arial"/>
          <w:sz w:val="16"/>
          <w:szCs w:val="20"/>
          <w:lang w:val="pt-BR"/>
        </w:rPr>
        <w:t>materializa</w:t>
      </w:r>
      <w:r w:rsidR="00470ADC" w:rsidRPr="00D5464D">
        <w:rPr>
          <w:rFonts w:cs="Arial"/>
          <w:sz w:val="16"/>
          <w:szCs w:val="20"/>
          <w:lang w:val="pt-BR"/>
        </w:rPr>
        <w:t>ção</w:t>
      </w:r>
      <w:r w:rsidRPr="00D5464D">
        <w:rPr>
          <w:rFonts w:cs="Arial"/>
          <w:sz w:val="16"/>
          <w:szCs w:val="20"/>
          <w:lang w:val="pt-BR"/>
        </w:rPr>
        <w:t xml:space="preserve"> </w:t>
      </w:r>
      <w:r w:rsidR="00470ADC" w:rsidRPr="00D5464D">
        <w:rPr>
          <w:rFonts w:cs="Arial"/>
          <w:sz w:val="16"/>
          <w:szCs w:val="20"/>
          <w:lang w:val="pt-BR"/>
        </w:rPr>
        <w:t>d</w:t>
      </w:r>
      <w:r w:rsidR="005D3059" w:rsidRPr="00D5464D">
        <w:rPr>
          <w:rFonts w:cs="Arial"/>
          <w:sz w:val="16"/>
          <w:szCs w:val="20"/>
          <w:lang w:val="pt-BR"/>
        </w:rPr>
        <w:t>a</w:t>
      </w:r>
      <w:r w:rsidR="00470ADC" w:rsidRPr="00D5464D">
        <w:rPr>
          <w:rFonts w:cs="Arial"/>
          <w:sz w:val="16"/>
          <w:szCs w:val="20"/>
          <w:lang w:val="pt-BR"/>
        </w:rPr>
        <w:t xml:space="preserve"> </w:t>
      </w:r>
      <w:r w:rsidRPr="00D5464D">
        <w:rPr>
          <w:rFonts w:cs="Arial"/>
          <w:sz w:val="16"/>
          <w:szCs w:val="20"/>
          <w:lang w:val="pt-BR"/>
        </w:rPr>
        <w:t xml:space="preserve">trama </w:t>
      </w:r>
      <w:r w:rsidR="00470ADC" w:rsidRPr="00D5464D">
        <w:rPr>
          <w:rFonts w:cs="Arial"/>
          <w:sz w:val="16"/>
          <w:szCs w:val="20"/>
          <w:lang w:val="pt-BR"/>
        </w:rPr>
        <w:t>delituos</w:t>
      </w:r>
      <w:r w:rsidR="005D3059" w:rsidRPr="00D5464D">
        <w:rPr>
          <w:rFonts w:cs="Arial"/>
          <w:sz w:val="16"/>
          <w:szCs w:val="20"/>
          <w:lang w:val="pt-BR"/>
        </w:rPr>
        <w:t>a</w:t>
      </w:r>
      <w:r w:rsidRPr="00D5464D">
        <w:rPr>
          <w:rFonts w:cs="Arial"/>
          <w:sz w:val="16"/>
          <w:szCs w:val="20"/>
          <w:lang w:val="pt-BR"/>
        </w:rPr>
        <w:t>,</w:t>
      </w:r>
      <w:r w:rsidR="002C330E" w:rsidRPr="00D5464D">
        <w:rPr>
          <w:rFonts w:cs="Arial"/>
          <w:sz w:val="16"/>
          <w:szCs w:val="20"/>
          <w:lang w:val="pt-BR"/>
        </w:rPr>
        <w:t xml:space="preserve"> os </w:t>
      </w:r>
      <w:r w:rsidR="005D3059" w:rsidRPr="00D5464D">
        <w:rPr>
          <w:rFonts w:cs="Arial"/>
          <w:sz w:val="16"/>
          <w:szCs w:val="20"/>
          <w:lang w:val="pt-BR"/>
        </w:rPr>
        <w:t xml:space="preserve">crimes </w:t>
      </w:r>
      <w:r w:rsidRPr="00D5464D">
        <w:rPr>
          <w:rFonts w:cs="Arial"/>
          <w:sz w:val="16"/>
          <w:szCs w:val="20"/>
          <w:lang w:val="pt-BR"/>
        </w:rPr>
        <w:t>descritos</w:t>
      </w:r>
      <w:r w:rsidR="00E045D9" w:rsidRPr="00D5464D">
        <w:rPr>
          <w:rFonts w:cs="Arial"/>
          <w:sz w:val="16"/>
          <w:szCs w:val="20"/>
          <w:lang w:val="pt-BR"/>
        </w:rPr>
        <w:t xml:space="preserve"> nos </w:t>
      </w:r>
      <w:r w:rsidR="00470ADC" w:rsidRPr="00D5464D">
        <w:rPr>
          <w:rFonts w:cs="Arial"/>
          <w:sz w:val="16"/>
          <w:szCs w:val="20"/>
          <w:lang w:val="pt-BR"/>
        </w:rPr>
        <w:t>artigo</w:t>
      </w:r>
      <w:r w:rsidRPr="00D5464D">
        <w:rPr>
          <w:rFonts w:cs="Arial"/>
          <w:sz w:val="16"/>
          <w:szCs w:val="20"/>
          <w:lang w:val="pt-BR"/>
        </w:rPr>
        <w:t xml:space="preserve">s </w:t>
      </w:r>
      <w:r w:rsidRPr="00D5464D">
        <w:rPr>
          <w:rFonts w:cs="Times New Roman"/>
          <w:sz w:val="16"/>
          <w:szCs w:val="20"/>
          <w:lang w:val="pt-BR"/>
        </w:rPr>
        <w:t>197.</w:t>
      </w:r>
      <w:r w:rsidR="005D3059" w:rsidRPr="00D5464D">
        <w:rPr>
          <w:rFonts w:cs="Times New Roman"/>
          <w:sz w:val="16"/>
          <w:szCs w:val="20"/>
          <w:lang w:val="pt-BR"/>
        </w:rPr>
        <w:t>I</w:t>
      </w:r>
      <w:r w:rsidR="00E045D9" w:rsidRPr="00D5464D">
        <w:rPr>
          <w:rFonts w:cs="Arial"/>
          <w:sz w:val="16"/>
          <w:szCs w:val="20"/>
          <w:lang w:val="pt-BR"/>
        </w:rPr>
        <w:t xml:space="preserve"> e </w:t>
      </w:r>
      <w:r w:rsidRPr="00D5464D">
        <w:rPr>
          <w:rFonts w:cs="Times New Roman"/>
          <w:sz w:val="16"/>
          <w:szCs w:val="20"/>
          <w:lang w:val="pt-BR"/>
        </w:rPr>
        <w:t xml:space="preserve">207 </w:t>
      </w:r>
      <w:r w:rsidR="00470ADC" w:rsidRPr="00D5464D">
        <w:rPr>
          <w:rFonts w:cs="Arial"/>
          <w:sz w:val="16"/>
          <w:szCs w:val="20"/>
          <w:lang w:val="pt-BR"/>
        </w:rPr>
        <w:t xml:space="preserve">do </w:t>
      </w:r>
      <w:r w:rsidRPr="00D5464D">
        <w:rPr>
          <w:rFonts w:cs="Arial"/>
          <w:sz w:val="16"/>
          <w:szCs w:val="20"/>
          <w:lang w:val="pt-BR"/>
        </w:rPr>
        <w:t>CP</w:t>
      </w:r>
      <w:r w:rsidR="005D3059" w:rsidRPr="00D5464D">
        <w:rPr>
          <w:rFonts w:cs="Arial"/>
          <w:sz w:val="16"/>
          <w:szCs w:val="20"/>
          <w:lang w:val="pt-BR"/>
        </w:rPr>
        <w:t>,</w:t>
      </w:r>
      <w:r w:rsidRPr="00D5464D">
        <w:rPr>
          <w:rFonts w:cs="Arial"/>
          <w:sz w:val="16"/>
          <w:szCs w:val="20"/>
          <w:lang w:val="pt-BR"/>
        </w:rPr>
        <w:t xml:space="preserve"> infelizmente</w:t>
      </w:r>
      <w:r w:rsidR="00E045D9" w:rsidRPr="00D5464D">
        <w:rPr>
          <w:rFonts w:cs="Arial"/>
          <w:sz w:val="16"/>
          <w:szCs w:val="20"/>
          <w:lang w:val="pt-BR"/>
        </w:rPr>
        <w:t xml:space="preserve"> já </w:t>
      </w:r>
      <w:r w:rsidR="00470ADC" w:rsidRPr="00D5464D">
        <w:rPr>
          <w:rFonts w:cs="Arial"/>
          <w:sz w:val="16"/>
          <w:szCs w:val="20"/>
          <w:lang w:val="pt-BR"/>
        </w:rPr>
        <w:t>foram</w:t>
      </w:r>
      <w:r w:rsidRPr="00D5464D">
        <w:rPr>
          <w:rFonts w:cs="Arial"/>
          <w:sz w:val="16"/>
          <w:szCs w:val="20"/>
          <w:lang w:val="pt-BR"/>
        </w:rPr>
        <w:t xml:space="preserve"> </w:t>
      </w:r>
      <w:r w:rsidR="00470ADC" w:rsidRPr="00D5464D">
        <w:rPr>
          <w:rFonts w:cs="Arial"/>
          <w:sz w:val="16"/>
          <w:szCs w:val="20"/>
          <w:lang w:val="pt-BR"/>
        </w:rPr>
        <w:t>alcança</w:t>
      </w:r>
      <w:r w:rsidRPr="00D5464D">
        <w:rPr>
          <w:rFonts w:cs="Arial"/>
          <w:sz w:val="16"/>
          <w:szCs w:val="20"/>
          <w:lang w:val="pt-BR"/>
        </w:rPr>
        <w:t>dos</w:t>
      </w:r>
      <w:r w:rsidR="002C330E" w:rsidRPr="00D5464D">
        <w:rPr>
          <w:rFonts w:cs="Arial"/>
          <w:sz w:val="16"/>
          <w:szCs w:val="20"/>
          <w:lang w:val="pt-BR"/>
        </w:rPr>
        <w:t xml:space="preserve"> pela prescrição</w:t>
      </w:r>
      <w:r w:rsidRPr="00D5464D">
        <w:rPr>
          <w:rFonts w:cs="Arial"/>
          <w:sz w:val="16"/>
          <w:szCs w:val="20"/>
          <w:lang w:val="pt-BR"/>
        </w:rPr>
        <w:t>, considerando que</w:t>
      </w:r>
      <w:r w:rsidR="002C330E" w:rsidRPr="00D5464D">
        <w:rPr>
          <w:rFonts w:cs="Arial"/>
          <w:sz w:val="16"/>
          <w:szCs w:val="20"/>
          <w:lang w:val="pt-BR"/>
        </w:rPr>
        <w:t xml:space="preserve"> os fatos</w:t>
      </w:r>
      <w:r w:rsidRPr="00D5464D">
        <w:rPr>
          <w:rFonts w:cs="Arial"/>
          <w:sz w:val="16"/>
          <w:szCs w:val="20"/>
          <w:lang w:val="pt-BR"/>
        </w:rPr>
        <w:t xml:space="preserve"> </w:t>
      </w:r>
      <w:r w:rsidR="00470ADC" w:rsidRPr="00D5464D">
        <w:rPr>
          <w:rFonts w:cs="Arial"/>
          <w:sz w:val="16"/>
          <w:szCs w:val="20"/>
          <w:lang w:val="pt-BR"/>
        </w:rPr>
        <w:t>foram</w:t>
      </w:r>
      <w:r w:rsidRPr="00D5464D">
        <w:rPr>
          <w:rFonts w:cs="Arial"/>
          <w:sz w:val="16"/>
          <w:szCs w:val="20"/>
          <w:lang w:val="pt-BR"/>
        </w:rPr>
        <w:t xml:space="preserve"> constatados</w:t>
      </w:r>
      <w:r w:rsidR="00E045D9" w:rsidRPr="00D5464D">
        <w:rPr>
          <w:rFonts w:cs="Arial"/>
          <w:sz w:val="16"/>
          <w:szCs w:val="20"/>
          <w:lang w:val="pt-BR"/>
        </w:rPr>
        <w:t xml:space="preserve"> no </w:t>
      </w:r>
      <w:r w:rsidR="00A1358C" w:rsidRPr="00D5464D">
        <w:rPr>
          <w:rFonts w:cs="Arial"/>
          <w:sz w:val="16"/>
          <w:szCs w:val="20"/>
          <w:lang w:val="pt-BR"/>
        </w:rPr>
        <w:t>período</w:t>
      </w:r>
      <w:r w:rsidR="00737270" w:rsidRPr="00D5464D">
        <w:rPr>
          <w:rFonts w:cs="Arial"/>
          <w:sz w:val="16"/>
          <w:szCs w:val="20"/>
          <w:lang w:val="pt-BR"/>
        </w:rPr>
        <w:t xml:space="preserve"> de 2</w:t>
      </w:r>
      <w:r w:rsidRPr="00D5464D">
        <w:rPr>
          <w:rFonts w:cs="Times New Roman"/>
          <w:sz w:val="16"/>
          <w:szCs w:val="20"/>
          <w:lang w:val="pt-BR"/>
        </w:rPr>
        <w:t>1</w:t>
      </w:r>
      <w:r w:rsidR="00470ADC" w:rsidRPr="00D5464D">
        <w:rPr>
          <w:rFonts w:cs="Times New Roman"/>
          <w:sz w:val="16"/>
          <w:szCs w:val="20"/>
          <w:lang w:val="pt-BR"/>
        </w:rPr>
        <w:t xml:space="preserve"> a </w:t>
      </w:r>
      <w:r w:rsidRPr="00D5464D">
        <w:rPr>
          <w:rFonts w:cs="Arial"/>
          <w:sz w:val="16"/>
          <w:szCs w:val="20"/>
          <w:lang w:val="pt-BR"/>
        </w:rPr>
        <w:t xml:space="preserve">30 de abril de </w:t>
      </w:r>
      <w:r w:rsidRPr="00D5464D">
        <w:rPr>
          <w:rFonts w:cs="Times New Roman"/>
          <w:sz w:val="16"/>
          <w:szCs w:val="20"/>
          <w:lang w:val="pt-BR"/>
        </w:rPr>
        <w:t>1997</w:t>
      </w:r>
      <w:r w:rsidR="00E045D9" w:rsidRPr="00D5464D">
        <w:rPr>
          <w:rFonts w:cs="Times New Roman"/>
          <w:sz w:val="16"/>
          <w:szCs w:val="20"/>
          <w:lang w:val="pt-BR"/>
        </w:rPr>
        <w:t xml:space="preserve"> e </w:t>
      </w:r>
      <w:r w:rsidR="00EA1DD2" w:rsidRPr="00D5464D">
        <w:rPr>
          <w:rFonts w:cs="Times New Roman"/>
          <w:sz w:val="16"/>
          <w:szCs w:val="20"/>
          <w:lang w:val="pt-BR"/>
        </w:rPr>
        <w:t xml:space="preserve">a </w:t>
      </w:r>
      <w:r w:rsidRPr="00D5464D">
        <w:rPr>
          <w:rFonts w:cs="Arial"/>
          <w:sz w:val="16"/>
          <w:szCs w:val="20"/>
          <w:lang w:val="pt-BR"/>
        </w:rPr>
        <w:t>pena máxima</w:t>
      </w:r>
      <w:r w:rsidR="00470ADC" w:rsidRPr="00D5464D">
        <w:rPr>
          <w:rFonts w:cs="Arial"/>
          <w:sz w:val="16"/>
          <w:szCs w:val="20"/>
          <w:lang w:val="pt-BR"/>
        </w:rPr>
        <w:t xml:space="preserve"> </w:t>
      </w:r>
      <w:r w:rsidR="00684409" w:rsidRPr="00D5464D">
        <w:rPr>
          <w:rFonts w:cs="Arial"/>
          <w:sz w:val="16"/>
          <w:szCs w:val="20"/>
          <w:lang w:val="pt-BR"/>
        </w:rPr>
        <w:t>cominada a</w:t>
      </w:r>
      <w:r w:rsidR="00470ADC" w:rsidRPr="00D5464D">
        <w:rPr>
          <w:rFonts w:cs="Arial"/>
          <w:sz w:val="16"/>
          <w:szCs w:val="20"/>
          <w:lang w:val="pt-BR"/>
        </w:rPr>
        <w:t xml:space="preserve">os </w:t>
      </w:r>
      <w:r w:rsidRPr="00D5464D">
        <w:rPr>
          <w:rFonts w:cs="Arial"/>
          <w:sz w:val="16"/>
          <w:szCs w:val="20"/>
          <w:lang w:val="pt-BR"/>
        </w:rPr>
        <w:t>respectivos delitos</w:t>
      </w:r>
      <w:r w:rsidR="00470ADC" w:rsidRPr="00D5464D">
        <w:rPr>
          <w:rFonts w:cs="Arial"/>
          <w:sz w:val="16"/>
          <w:szCs w:val="20"/>
          <w:lang w:val="pt-BR"/>
        </w:rPr>
        <w:t xml:space="preserve"> é </w:t>
      </w:r>
      <w:r w:rsidRPr="00D5464D">
        <w:rPr>
          <w:rFonts w:cs="Arial"/>
          <w:sz w:val="16"/>
          <w:szCs w:val="20"/>
          <w:lang w:val="pt-BR"/>
        </w:rPr>
        <w:t>de</w:t>
      </w:r>
      <w:r w:rsidR="00A1358C" w:rsidRPr="00D5464D">
        <w:rPr>
          <w:rFonts w:cs="Arial"/>
          <w:sz w:val="16"/>
          <w:szCs w:val="20"/>
          <w:lang w:val="pt-BR"/>
        </w:rPr>
        <w:t xml:space="preserve"> </w:t>
      </w:r>
      <w:r w:rsidR="00684409" w:rsidRPr="00D5464D">
        <w:rPr>
          <w:rFonts w:cs="Arial"/>
          <w:sz w:val="16"/>
          <w:szCs w:val="20"/>
          <w:lang w:val="pt-BR"/>
        </w:rPr>
        <w:t>1 (</w:t>
      </w:r>
      <w:r w:rsidR="00A1358C" w:rsidRPr="00D5464D">
        <w:rPr>
          <w:rFonts w:cs="Arial"/>
          <w:sz w:val="16"/>
          <w:szCs w:val="20"/>
          <w:lang w:val="pt-BR"/>
        </w:rPr>
        <w:t>um</w:t>
      </w:r>
      <w:r w:rsidR="00684409" w:rsidRPr="00D5464D">
        <w:rPr>
          <w:rFonts w:cs="Arial"/>
          <w:sz w:val="16"/>
          <w:szCs w:val="20"/>
          <w:lang w:val="pt-BR"/>
        </w:rPr>
        <w:t>)</w:t>
      </w:r>
      <w:r w:rsidR="00A1358C" w:rsidRPr="00D5464D">
        <w:rPr>
          <w:rFonts w:cs="Arial"/>
          <w:sz w:val="16"/>
          <w:szCs w:val="20"/>
          <w:lang w:val="pt-BR"/>
        </w:rPr>
        <w:t xml:space="preserve"> </w:t>
      </w:r>
      <w:r w:rsidRPr="00D5464D">
        <w:rPr>
          <w:rFonts w:cs="Arial"/>
          <w:sz w:val="16"/>
          <w:szCs w:val="20"/>
          <w:lang w:val="pt-BR"/>
        </w:rPr>
        <w:t>a</w:t>
      </w:r>
      <w:r w:rsidR="00E045D9" w:rsidRPr="00D5464D">
        <w:rPr>
          <w:rFonts w:cs="Arial"/>
          <w:sz w:val="16"/>
          <w:szCs w:val="20"/>
          <w:lang w:val="pt-BR"/>
        </w:rPr>
        <w:t xml:space="preserve"> </w:t>
      </w:r>
      <w:r w:rsidR="00684409" w:rsidRPr="00D5464D">
        <w:rPr>
          <w:rFonts w:cs="Arial"/>
          <w:sz w:val="16"/>
          <w:szCs w:val="20"/>
          <w:lang w:val="pt-BR"/>
        </w:rPr>
        <w:t>3 (</w:t>
      </w:r>
      <w:r w:rsidR="00E045D9" w:rsidRPr="00D5464D">
        <w:rPr>
          <w:rFonts w:cs="Arial"/>
          <w:sz w:val="16"/>
          <w:szCs w:val="20"/>
          <w:lang w:val="pt-BR"/>
        </w:rPr>
        <w:t>três</w:t>
      </w:r>
      <w:r w:rsidR="00684409" w:rsidRPr="00D5464D">
        <w:rPr>
          <w:rFonts w:cs="Arial"/>
          <w:sz w:val="16"/>
          <w:szCs w:val="20"/>
          <w:lang w:val="pt-BR"/>
        </w:rPr>
        <w:t>)</w:t>
      </w:r>
      <w:r w:rsidR="00E045D9" w:rsidRPr="00D5464D">
        <w:rPr>
          <w:rFonts w:cs="Arial"/>
          <w:sz w:val="16"/>
          <w:szCs w:val="20"/>
          <w:lang w:val="pt-BR"/>
        </w:rPr>
        <w:t xml:space="preserve"> </w:t>
      </w:r>
      <w:r w:rsidR="00470ADC" w:rsidRPr="00D5464D">
        <w:rPr>
          <w:rFonts w:cs="Arial"/>
          <w:sz w:val="16"/>
          <w:szCs w:val="20"/>
          <w:lang w:val="pt-BR"/>
        </w:rPr>
        <w:t>anos</w:t>
      </w:r>
      <w:r w:rsidRPr="00D5464D">
        <w:rPr>
          <w:rFonts w:cs="Arial"/>
          <w:sz w:val="16"/>
          <w:szCs w:val="20"/>
          <w:lang w:val="pt-BR"/>
        </w:rPr>
        <w:t xml:space="preserve">. </w:t>
      </w:r>
      <w:r w:rsidR="00684409" w:rsidRPr="00D5464D">
        <w:rPr>
          <w:rFonts w:cs="Arial"/>
          <w:sz w:val="16"/>
          <w:szCs w:val="20"/>
          <w:lang w:val="pt-BR"/>
        </w:rPr>
        <w:t xml:space="preserve">Assim sendo, operou </w:t>
      </w:r>
      <w:r w:rsidR="002C330E" w:rsidRPr="00D5464D">
        <w:rPr>
          <w:rFonts w:cs="Arial"/>
          <w:sz w:val="16"/>
          <w:szCs w:val="20"/>
          <w:lang w:val="pt-BR"/>
        </w:rPr>
        <w:t xml:space="preserve">a </w:t>
      </w:r>
      <w:r w:rsidR="00684409" w:rsidRPr="00D5464D">
        <w:rPr>
          <w:rFonts w:cs="Arial"/>
          <w:sz w:val="16"/>
          <w:szCs w:val="20"/>
          <w:lang w:val="pt-BR"/>
        </w:rPr>
        <w:t xml:space="preserve">extinção </w:t>
      </w:r>
      <w:r w:rsidR="00470ADC" w:rsidRPr="00D5464D">
        <w:rPr>
          <w:rFonts w:cs="Arial"/>
          <w:sz w:val="16"/>
          <w:szCs w:val="20"/>
          <w:lang w:val="pt-BR"/>
        </w:rPr>
        <w:t xml:space="preserve">da </w:t>
      </w:r>
      <w:r w:rsidR="00684409" w:rsidRPr="00D5464D">
        <w:rPr>
          <w:rFonts w:cs="Arial"/>
          <w:sz w:val="16"/>
          <w:szCs w:val="20"/>
          <w:lang w:val="pt-BR"/>
        </w:rPr>
        <w:t xml:space="preserve">pretensão punitiva </w:t>
      </w:r>
      <w:r w:rsidRPr="00D5464D">
        <w:rPr>
          <w:rFonts w:cs="Arial"/>
          <w:sz w:val="16"/>
          <w:szCs w:val="20"/>
          <w:lang w:val="pt-BR"/>
        </w:rPr>
        <w:t>estatal</w:t>
      </w:r>
      <w:r w:rsidR="00684409" w:rsidRPr="00D5464D">
        <w:rPr>
          <w:rFonts w:cs="Arial"/>
          <w:sz w:val="16"/>
          <w:szCs w:val="20"/>
          <w:lang w:val="pt-BR"/>
        </w:rPr>
        <w:t xml:space="preserve"> pela prescrição</w:t>
      </w:r>
      <w:r w:rsidRPr="00D5464D">
        <w:rPr>
          <w:rFonts w:cs="Arial"/>
          <w:sz w:val="16"/>
          <w:szCs w:val="20"/>
          <w:lang w:val="pt-BR"/>
        </w:rPr>
        <w:t>,</w:t>
      </w:r>
      <w:r w:rsidR="00470ADC" w:rsidRPr="00D5464D">
        <w:rPr>
          <w:rFonts w:cs="Arial"/>
          <w:sz w:val="16"/>
          <w:szCs w:val="20"/>
          <w:lang w:val="pt-BR"/>
        </w:rPr>
        <w:t xml:space="preserve"> com </w:t>
      </w:r>
      <w:r w:rsidRPr="00D5464D">
        <w:rPr>
          <w:rFonts w:cs="Arial"/>
          <w:sz w:val="16"/>
          <w:szCs w:val="20"/>
          <w:lang w:val="pt-BR"/>
        </w:rPr>
        <w:t>base</w:t>
      </w:r>
      <w:r w:rsidR="00E045D9" w:rsidRPr="00D5464D">
        <w:rPr>
          <w:rFonts w:cs="Arial"/>
          <w:sz w:val="16"/>
          <w:szCs w:val="20"/>
          <w:lang w:val="pt-BR"/>
        </w:rPr>
        <w:t xml:space="preserve"> no </w:t>
      </w:r>
      <w:r w:rsidR="00470ADC" w:rsidRPr="00D5464D">
        <w:rPr>
          <w:rFonts w:cs="Arial"/>
          <w:sz w:val="16"/>
          <w:szCs w:val="20"/>
          <w:lang w:val="pt-BR"/>
        </w:rPr>
        <w:t>artigo</w:t>
      </w:r>
      <w:r w:rsidRPr="00D5464D">
        <w:rPr>
          <w:rFonts w:cs="Arial"/>
          <w:sz w:val="16"/>
          <w:szCs w:val="20"/>
          <w:lang w:val="pt-BR"/>
        </w:rPr>
        <w:t xml:space="preserve"> </w:t>
      </w:r>
      <w:r w:rsidRPr="00D5464D">
        <w:rPr>
          <w:rFonts w:cs="Times New Roman"/>
          <w:sz w:val="16"/>
          <w:szCs w:val="20"/>
          <w:lang w:val="pt-BR"/>
        </w:rPr>
        <w:t xml:space="preserve">109, </w:t>
      </w:r>
      <w:r w:rsidRPr="00D5464D">
        <w:rPr>
          <w:rFonts w:cs="Arial"/>
          <w:sz w:val="16"/>
          <w:szCs w:val="20"/>
          <w:lang w:val="pt-BR"/>
        </w:rPr>
        <w:t xml:space="preserve">VI </w:t>
      </w:r>
      <w:r w:rsidR="00470ADC" w:rsidRPr="00D5464D">
        <w:rPr>
          <w:rFonts w:cs="Arial"/>
          <w:sz w:val="16"/>
          <w:szCs w:val="20"/>
          <w:lang w:val="pt-BR"/>
        </w:rPr>
        <w:t xml:space="preserve">do </w:t>
      </w:r>
      <w:r w:rsidRPr="00D5464D">
        <w:rPr>
          <w:rFonts w:cs="Arial"/>
          <w:sz w:val="16"/>
          <w:szCs w:val="20"/>
          <w:lang w:val="pt-BR"/>
        </w:rPr>
        <w:t>CPB.</w:t>
      </w:r>
    </w:p>
    <w:p w14:paraId="6F29AEF0" w14:textId="77777777" w:rsidR="0003391C" w:rsidRPr="00D5464D" w:rsidRDefault="0003391C" w:rsidP="00140440">
      <w:pPr>
        <w:autoSpaceDE w:val="0"/>
        <w:autoSpaceDN w:val="0"/>
        <w:adjustRightInd w:val="0"/>
        <w:ind w:left="720" w:right="720"/>
        <w:jc w:val="both"/>
        <w:rPr>
          <w:rFonts w:cs="Arial"/>
          <w:sz w:val="16"/>
          <w:szCs w:val="20"/>
          <w:lang w:val="pt-BR"/>
        </w:rPr>
      </w:pPr>
    </w:p>
    <w:p w14:paraId="2D292812" w14:textId="607A4268" w:rsidR="0003391C" w:rsidRPr="00D5464D" w:rsidRDefault="00684409" w:rsidP="00140440">
      <w:pPr>
        <w:autoSpaceDE w:val="0"/>
        <w:autoSpaceDN w:val="0"/>
        <w:adjustRightInd w:val="0"/>
        <w:ind w:left="720" w:right="720"/>
        <w:jc w:val="both"/>
        <w:rPr>
          <w:rFonts w:cs="Arial"/>
          <w:sz w:val="16"/>
          <w:szCs w:val="20"/>
          <w:lang w:val="pt-BR"/>
        </w:rPr>
      </w:pPr>
      <w:r w:rsidRPr="00D5464D">
        <w:rPr>
          <w:rFonts w:cs="Arial"/>
          <w:sz w:val="16"/>
          <w:szCs w:val="20"/>
          <w:lang w:val="pt-BR"/>
        </w:rPr>
        <w:t xml:space="preserve">No tocante ao </w:t>
      </w:r>
      <w:r w:rsidR="0003391C" w:rsidRPr="00D5464D">
        <w:rPr>
          <w:rFonts w:cs="Arial"/>
          <w:sz w:val="16"/>
          <w:szCs w:val="20"/>
          <w:lang w:val="pt-BR"/>
        </w:rPr>
        <w:t>delito descrito</w:t>
      </w:r>
      <w:r w:rsidR="00E045D9" w:rsidRPr="00D5464D">
        <w:rPr>
          <w:rFonts w:cs="Arial"/>
          <w:sz w:val="16"/>
          <w:szCs w:val="20"/>
          <w:lang w:val="pt-BR"/>
        </w:rPr>
        <w:t xml:space="preserve"> no </w:t>
      </w:r>
      <w:r w:rsidR="00470ADC" w:rsidRPr="00D5464D">
        <w:rPr>
          <w:rFonts w:cs="Arial"/>
          <w:sz w:val="16"/>
          <w:szCs w:val="20"/>
          <w:lang w:val="pt-BR"/>
        </w:rPr>
        <w:t>artigo</w:t>
      </w:r>
      <w:r w:rsidR="0003391C" w:rsidRPr="00D5464D">
        <w:rPr>
          <w:rFonts w:cs="Arial"/>
          <w:sz w:val="16"/>
          <w:szCs w:val="20"/>
          <w:lang w:val="pt-BR"/>
        </w:rPr>
        <w:t xml:space="preserve"> </w:t>
      </w:r>
      <w:r w:rsidR="0003391C" w:rsidRPr="00D5464D">
        <w:rPr>
          <w:rFonts w:cs="Times New Roman"/>
          <w:sz w:val="16"/>
          <w:szCs w:val="20"/>
          <w:lang w:val="pt-BR"/>
        </w:rPr>
        <w:t xml:space="preserve">149 </w:t>
      </w:r>
      <w:r w:rsidR="00470ADC" w:rsidRPr="00D5464D">
        <w:rPr>
          <w:rFonts w:cs="Arial"/>
          <w:sz w:val="16"/>
          <w:szCs w:val="20"/>
          <w:lang w:val="pt-BR"/>
        </w:rPr>
        <w:t xml:space="preserve">do </w:t>
      </w:r>
      <w:r w:rsidR="0003391C" w:rsidRPr="00D5464D">
        <w:rPr>
          <w:rFonts w:cs="Arial"/>
          <w:sz w:val="16"/>
          <w:szCs w:val="20"/>
          <w:lang w:val="pt-BR"/>
        </w:rPr>
        <w:t xml:space="preserve">CP, </w:t>
      </w:r>
      <w:r w:rsidRPr="00D5464D">
        <w:rPr>
          <w:rFonts w:cs="Arial"/>
          <w:sz w:val="16"/>
          <w:szCs w:val="20"/>
          <w:lang w:val="pt-BR"/>
        </w:rPr>
        <w:t xml:space="preserve">não obstante </w:t>
      </w:r>
      <w:r w:rsidR="002C330E" w:rsidRPr="00D5464D">
        <w:rPr>
          <w:rFonts w:cs="Arial"/>
          <w:sz w:val="16"/>
          <w:szCs w:val="20"/>
          <w:lang w:val="pt-BR"/>
        </w:rPr>
        <w:t xml:space="preserve">a </w:t>
      </w:r>
      <w:r w:rsidR="0003391C" w:rsidRPr="00D5464D">
        <w:rPr>
          <w:rFonts w:cs="Arial"/>
          <w:sz w:val="16"/>
          <w:szCs w:val="20"/>
          <w:lang w:val="pt-BR"/>
        </w:rPr>
        <w:t>pena máxima se con</w:t>
      </w:r>
      <w:r w:rsidR="00230C71" w:rsidRPr="00D5464D">
        <w:rPr>
          <w:rFonts w:cs="Arial"/>
          <w:sz w:val="16"/>
          <w:szCs w:val="20"/>
          <w:lang w:val="pt-BR"/>
        </w:rPr>
        <w:t>s</w:t>
      </w:r>
      <w:r w:rsidRPr="00D5464D">
        <w:rPr>
          <w:rFonts w:cs="Arial"/>
          <w:sz w:val="16"/>
          <w:szCs w:val="20"/>
          <w:lang w:val="pt-BR"/>
        </w:rPr>
        <w:t>u</w:t>
      </w:r>
      <w:r w:rsidR="00230C71" w:rsidRPr="00D5464D">
        <w:rPr>
          <w:rFonts w:cs="Arial"/>
          <w:sz w:val="16"/>
          <w:szCs w:val="20"/>
          <w:lang w:val="pt-BR"/>
        </w:rPr>
        <w:t>mar</w:t>
      </w:r>
      <w:r w:rsidR="0003391C" w:rsidRPr="00D5464D">
        <w:rPr>
          <w:rFonts w:cs="Arial"/>
          <w:sz w:val="16"/>
          <w:szCs w:val="20"/>
          <w:lang w:val="pt-BR"/>
        </w:rPr>
        <w:t>á</w:t>
      </w:r>
      <w:r w:rsidR="00470ADC" w:rsidRPr="00D5464D">
        <w:rPr>
          <w:rFonts w:cs="Arial"/>
          <w:sz w:val="16"/>
          <w:szCs w:val="20"/>
          <w:lang w:val="pt-BR"/>
        </w:rPr>
        <w:t xml:space="preserve"> em </w:t>
      </w:r>
      <w:r w:rsidR="0003391C" w:rsidRPr="00D5464D">
        <w:rPr>
          <w:rFonts w:cs="Arial"/>
          <w:sz w:val="16"/>
          <w:szCs w:val="20"/>
          <w:lang w:val="pt-BR"/>
        </w:rPr>
        <w:t xml:space="preserve">abril de </w:t>
      </w:r>
      <w:r w:rsidR="0003391C" w:rsidRPr="00D5464D">
        <w:rPr>
          <w:rFonts w:cs="Arial"/>
          <w:iCs/>
          <w:sz w:val="16"/>
          <w:szCs w:val="20"/>
          <w:lang w:val="pt-BR"/>
        </w:rPr>
        <w:t>2009</w:t>
      </w:r>
      <w:r w:rsidR="0003391C" w:rsidRPr="00D5464D">
        <w:rPr>
          <w:rFonts w:cs="Arial"/>
          <w:i/>
          <w:iCs/>
          <w:sz w:val="16"/>
          <w:szCs w:val="20"/>
          <w:lang w:val="pt-BR"/>
        </w:rPr>
        <w:t xml:space="preserve">, </w:t>
      </w:r>
      <w:r w:rsidRPr="00D5464D">
        <w:rPr>
          <w:rFonts w:cs="Arial"/>
          <w:sz w:val="16"/>
          <w:szCs w:val="20"/>
          <w:lang w:val="pt-BR"/>
        </w:rPr>
        <w:t xml:space="preserve">forçoso é </w:t>
      </w:r>
      <w:r w:rsidR="0003391C" w:rsidRPr="00D5464D">
        <w:rPr>
          <w:rFonts w:cs="Arial"/>
          <w:sz w:val="16"/>
          <w:szCs w:val="20"/>
          <w:lang w:val="pt-BR"/>
        </w:rPr>
        <w:t>concluir</w:t>
      </w:r>
      <w:r w:rsidR="002C330E" w:rsidRPr="00D5464D">
        <w:rPr>
          <w:rFonts w:cs="Arial"/>
          <w:sz w:val="16"/>
          <w:szCs w:val="20"/>
          <w:lang w:val="pt-BR"/>
        </w:rPr>
        <w:t xml:space="preserve"> pela </w:t>
      </w:r>
      <w:r w:rsidR="0003391C" w:rsidRPr="00D5464D">
        <w:rPr>
          <w:rFonts w:cs="Arial"/>
          <w:sz w:val="16"/>
          <w:szCs w:val="20"/>
          <w:lang w:val="pt-BR"/>
        </w:rPr>
        <w:t>verifica</w:t>
      </w:r>
      <w:r w:rsidR="00470ADC" w:rsidRPr="00D5464D">
        <w:rPr>
          <w:rFonts w:cs="Arial"/>
          <w:sz w:val="16"/>
          <w:szCs w:val="20"/>
          <w:lang w:val="pt-BR"/>
        </w:rPr>
        <w:t>ção</w:t>
      </w:r>
      <w:r w:rsidR="0003391C" w:rsidRPr="00D5464D">
        <w:rPr>
          <w:rFonts w:cs="Arial"/>
          <w:sz w:val="16"/>
          <w:szCs w:val="20"/>
          <w:lang w:val="pt-BR"/>
        </w:rPr>
        <w:t xml:space="preserve"> </w:t>
      </w:r>
      <w:r w:rsidR="00470ADC" w:rsidRPr="00D5464D">
        <w:rPr>
          <w:rFonts w:cs="Arial"/>
          <w:sz w:val="16"/>
          <w:szCs w:val="20"/>
          <w:lang w:val="pt-BR"/>
        </w:rPr>
        <w:t xml:space="preserve">do </w:t>
      </w:r>
      <w:r w:rsidR="0003391C" w:rsidRPr="00D5464D">
        <w:rPr>
          <w:rFonts w:cs="Arial"/>
          <w:sz w:val="16"/>
          <w:szCs w:val="20"/>
          <w:lang w:val="pt-BR"/>
        </w:rPr>
        <w:t xml:space="preserve">marco </w:t>
      </w:r>
      <w:r w:rsidRPr="00D5464D">
        <w:rPr>
          <w:rFonts w:cs="Arial"/>
          <w:sz w:val="16"/>
          <w:szCs w:val="20"/>
          <w:lang w:val="pt-BR"/>
        </w:rPr>
        <w:t>prescricional pel</w:t>
      </w:r>
      <w:r w:rsidR="00470ADC" w:rsidRPr="00D5464D">
        <w:rPr>
          <w:rFonts w:cs="Arial"/>
          <w:sz w:val="16"/>
          <w:szCs w:val="20"/>
          <w:lang w:val="pt-BR"/>
        </w:rPr>
        <w:t xml:space="preserve">a </w:t>
      </w:r>
      <w:r w:rsidR="0003391C" w:rsidRPr="00D5464D">
        <w:rPr>
          <w:rFonts w:cs="Arial"/>
          <w:sz w:val="16"/>
          <w:szCs w:val="20"/>
          <w:lang w:val="pt-BR"/>
        </w:rPr>
        <w:t>pena</w:t>
      </w:r>
      <w:r w:rsidR="00470ADC" w:rsidRPr="00D5464D">
        <w:rPr>
          <w:rFonts w:cs="Arial"/>
          <w:sz w:val="16"/>
          <w:szCs w:val="20"/>
          <w:lang w:val="pt-BR"/>
        </w:rPr>
        <w:t xml:space="preserve"> em </w:t>
      </w:r>
      <w:r w:rsidR="0003391C" w:rsidRPr="00D5464D">
        <w:rPr>
          <w:rFonts w:cs="Arial"/>
          <w:sz w:val="16"/>
          <w:szCs w:val="20"/>
          <w:lang w:val="pt-BR"/>
        </w:rPr>
        <w:t xml:space="preserve">perspectiva, </w:t>
      </w:r>
      <w:r w:rsidR="00E045D9" w:rsidRPr="00D5464D">
        <w:rPr>
          <w:rFonts w:cs="Arial"/>
          <w:sz w:val="16"/>
          <w:szCs w:val="20"/>
          <w:lang w:val="pt-BR"/>
        </w:rPr>
        <w:t>tendo</w:t>
      </w:r>
      <w:r w:rsidR="00470ADC" w:rsidRPr="00D5464D">
        <w:rPr>
          <w:rFonts w:cs="Arial"/>
          <w:sz w:val="16"/>
          <w:szCs w:val="20"/>
          <w:lang w:val="pt-BR"/>
        </w:rPr>
        <w:t xml:space="preserve"> em </w:t>
      </w:r>
      <w:r w:rsidRPr="00D5464D">
        <w:rPr>
          <w:rFonts w:cs="Arial"/>
          <w:sz w:val="16"/>
          <w:szCs w:val="20"/>
          <w:lang w:val="pt-BR"/>
        </w:rPr>
        <w:t xml:space="preserve">vista </w:t>
      </w:r>
      <w:r w:rsidR="0003391C" w:rsidRPr="00D5464D">
        <w:rPr>
          <w:rFonts w:cs="Arial"/>
          <w:sz w:val="16"/>
          <w:szCs w:val="20"/>
          <w:lang w:val="pt-BR"/>
        </w:rPr>
        <w:t xml:space="preserve">que este </w:t>
      </w:r>
      <w:r w:rsidR="002C330E" w:rsidRPr="00D5464D">
        <w:rPr>
          <w:rFonts w:cs="Arial"/>
          <w:sz w:val="16"/>
          <w:szCs w:val="20"/>
          <w:lang w:val="pt-BR"/>
        </w:rPr>
        <w:t>órgão</w:t>
      </w:r>
      <w:r w:rsidR="0003391C" w:rsidRPr="00D5464D">
        <w:rPr>
          <w:rFonts w:cs="Arial"/>
          <w:sz w:val="16"/>
          <w:szCs w:val="20"/>
          <w:lang w:val="pt-BR"/>
        </w:rPr>
        <w:t xml:space="preserve"> de </w:t>
      </w:r>
      <w:r w:rsidR="00470ADC" w:rsidRPr="00D5464D">
        <w:rPr>
          <w:rFonts w:cs="Arial"/>
          <w:sz w:val="16"/>
          <w:szCs w:val="20"/>
          <w:lang w:val="pt-BR"/>
        </w:rPr>
        <w:t>execução</w:t>
      </w:r>
      <w:r w:rsidR="0003391C" w:rsidRPr="00D5464D">
        <w:rPr>
          <w:rFonts w:cs="Arial"/>
          <w:sz w:val="16"/>
          <w:szCs w:val="20"/>
          <w:lang w:val="pt-BR"/>
        </w:rPr>
        <w:t xml:space="preserve"> </w:t>
      </w:r>
      <w:r w:rsidRPr="00D5464D">
        <w:rPr>
          <w:rFonts w:cs="Arial"/>
          <w:sz w:val="16"/>
          <w:szCs w:val="20"/>
          <w:lang w:val="pt-BR"/>
        </w:rPr>
        <w:t>não vislumbrou</w:t>
      </w:r>
      <w:r w:rsidR="0003391C" w:rsidRPr="00D5464D">
        <w:rPr>
          <w:rFonts w:cs="Arial"/>
          <w:sz w:val="16"/>
          <w:szCs w:val="20"/>
          <w:lang w:val="pt-BR"/>
        </w:rPr>
        <w:t xml:space="preserve"> </w:t>
      </w:r>
      <w:r w:rsidR="00E045D9" w:rsidRPr="00D5464D">
        <w:rPr>
          <w:rFonts w:cs="Arial"/>
          <w:sz w:val="16"/>
          <w:szCs w:val="20"/>
          <w:lang w:val="pt-BR"/>
        </w:rPr>
        <w:t>maiores</w:t>
      </w:r>
      <w:r w:rsidR="0003391C" w:rsidRPr="00D5464D">
        <w:rPr>
          <w:rFonts w:cs="Arial"/>
          <w:sz w:val="16"/>
          <w:szCs w:val="20"/>
          <w:lang w:val="pt-BR"/>
        </w:rPr>
        <w:t xml:space="preserve"> elementos que </w:t>
      </w:r>
      <w:r w:rsidR="00C91CB1" w:rsidRPr="00D5464D">
        <w:rPr>
          <w:rFonts w:cs="Arial"/>
          <w:sz w:val="16"/>
          <w:szCs w:val="20"/>
          <w:lang w:val="pt-BR"/>
        </w:rPr>
        <w:t>possibilit</w:t>
      </w:r>
      <w:r w:rsidRPr="00D5464D">
        <w:rPr>
          <w:rFonts w:cs="Arial"/>
          <w:sz w:val="16"/>
          <w:szCs w:val="20"/>
          <w:lang w:val="pt-BR"/>
        </w:rPr>
        <w:t>em o</w:t>
      </w:r>
      <w:r w:rsidR="00470ADC" w:rsidRPr="00D5464D">
        <w:rPr>
          <w:rFonts w:cs="Arial"/>
          <w:sz w:val="16"/>
          <w:szCs w:val="20"/>
          <w:lang w:val="pt-BR"/>
        </w:rPr>
        <w:t xml:space="preserve"> </w:t>
      </w:r>
      <w:r w:rsidR="0003391C" w:rsidRPr="00D5464D">
        <w:rPr>
          <w:rFonts w:cs="Arial"/>
          <w:sz w:val="16"/>
          <w:szCs w:val="20"/>
          <w:lang w:val="pt-BR"/>
        </w:rPr>
        <w:t>agravam</w:t>
      </w:r>
      <w:r w:rsidR="00350187" w:rsidRPr="00D5464D">
        <w:rPr>
          <w:rFonts w:cs="Arial"/>
          <w:sz w:val="16"/>
          <w:szCs w:val="20"/>
          <w:lang w:val="pt-BR"/>
        </w:rPr>
        <w:t xml:space="preserve">ento </w:t>
      </w:r>
      <w:r w:rsidR="0003391C" w:rsidRPr="00D5464D">
        <w:rPr>
          <w:rFonts w:cs="Arial"/>
          <w:sz w:val="16"/>
          <w:szCs w:val="20"/>
          <w:lang w:val="pt-BR"/>
        </w:rPr>
        <w:t>suficiente</w:t>
      </w:r>
      <w:r w:rsidR="00470ADC" w:rsidRPr="00D5464D">
        <w:rPr>
          <w:rFonts w:cs="Arial"/>
          <w:sz w:val="16"/>
          <w:szCs w:val="20"/>
          <w:lang w:val="pt-BR"/>
        </w:rPr>
        <w:t xml:space="preserve"> da </w:t>
      </w:r>
      <w:r w:rsidR="0003391C" w:rsidRPr="00D5464D">
        <w:rPr>
          <w:rFonts w:cs="Arial"/>
          <w:sz w:val="16"/>
          <w:szCs w:val="20"/>
          <w:lang w:val="pt-BR"/>
        </w:rPr>
        <w:t>eventual san</w:t>
      </w:r>
      <w:r w:rsidR="00470ADC" w:rsidRPr="00D5464D">
        <w:rPr>
          <w:rFonts w:cs="Arial"/>
          <w:sz w:val="16"/>
          <w:szCs w:val="20"/>
          <w:lang w:val="pt-BR"/>
        </w:rPr>
        <w:t>ção</w:t>
      </w:r>
      <w:r w:rsidR="0003391C" w:rsidRPr="00D5464D">
        <w:rPr>
          <w:rFonts w:cs="Arial"/>
          <w:sz w:val="16"/>
          <w:szCs w:val="20"/>
          <w:lang w:val="pt-BR"/>
        </w:rPr>
        <w:t xml:space="preserve"> aplicada</w:t>
      </w:r>
      <w:r w:rsidR="0003391C" w:rsidRPr="00D5464D">
        <w:rPr>
          <w:rStyle w:val="Refdenotaalpie"/>
          <w:rFonts w:cs="Arial"/>
          <w:sz w:val="16"/>
          <w:lang w:val="pt-BR"/>
        </w:rPr>
        <w:footnoteReference w:id="166"/>
      </w:r>
      <w:r w:rsidR="0003391C" w:rsidRPr="00D5464D">
        <w:rPr>
          <w:rFonts w:cs="Arial"/>
          <w:sz w:val="16"/>
          <w:szCs w:val="20"/>
          <w:lang w:val="pt-BR"/>
        </w:rPr>
        <w:t>.</w:t>
      </w:r>
    </w:p>
    <w:p w14:paraId="1EF3102F" w14:textId="77777777" w:rsidR="0003391C" w:rsidRPr="00D5464D" w:rsidRDefault="0003391C" w:rsidP="00140440">
      <w:pPr>
        <w:autoSpaceDE w:val="0"/>
        <w:autoSpaceDN w:val="0"/>
        <w:adjustRightInd w:val="0"/>
        <w:jc w:val="both"/>
        <w:rPr>
          <w:rFonts w:cs="Arial"/>
          <w:szCs w:val="20"/>
          <w:lang w:val="pt-BR"/>
        </w:rPr>
      </w:pPr>
    </w:p>
    <w:p w14:paraId="6DC0A626" w14:textId="148DD703" w:rsidR="0003391C" w:rsidRPr="00D5464D" w:rsidRDefault="00D65024" w:rsidP="00140440">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E</w:t>
      </w:r>
      <w:r w:rsidR="00C91CB1" w:rsidRPr="00D5464D">
        <w:rPr>
          <w:rFonts w:cs="Arial"/>
          <w:szCs w:val="20"/>
          <w:lang w:val="pt-BR"/>
        </w:rPr>
        <w:t>m 1</w:t>
      </w:r>
      <w:r w:rsidR="0003391C" w:rsidRPr="00D5464D">
        <w:rPr>
          <w:rFonts w:cs="Arial"/>
          <w:szCs w:val="20"/>
          <w:lang w:val="pt-BR"/>
        </w:rPr>
        <w:t xml:space="preserve">0 de </w:t>
      </w:r>
      <w:r w:rsidR="002C330E" w:rsidRPr="00D5464D">
        <w:rPr>
          <w:rFonts w:cs="Arial"/>
          <w:szCs w:val="20"/>
          <w:lang w:val="pt-BR"/>
        </w:rPr>
        <w:t>julho</w:t>
      </w:r>
      <w:r w:rsidR="0003391C" w:rsidRPr="00D5464D">
        <w:rPr>
          <w:rFonts w:cs="Arial"/>
          <w:szCs w:val="20"/>
          <w:lang w:val="pt-BR"/>
        </w:rPr>
        <w:t xml:space="preserve"> de 2008</w:t>
      </w:r>
      <w:r w:rsidR="000351A5" w:rsidRPr="00D5464D">
        <w:rPr>
          <w:rFonts w:cs="Arial"/>
          <w:szCs w:val="20"/>
          <w:lang w:val="pt-BR"/>
        </w:rPr>
        <w:t>,</w:t>
      </w:r>
      <w:r w:rsidR="0003391C" w:rsidRPr="00D5464D">
        <w:rPr>
          <w:rFonts w:cs="Arial"/>
          <w:szCs w:val="20"/>
          <w:lang w:val="pt-BR"/>
        </w:rPr>
        <w:t xml:space="preserve"> mediante </w:t>
      </w:r>
      <w:r w:rsidR="002C330E" w:rsidRPr="00D5464D">
        <w:rPr>
          <w:rFonts w:cs="Arial"/>
          <w:szCs w:val="20"/>
          <w:lang w:val="pt-BR"/>
        </w:rPr>
        <w:t>sentença</w:t>
      </w:r>
      <w:r w:rsidR="0003391C" w:rsidRPr="00D5464D">
        <w:rPr>
          <w:rFonts w:cs="Arial"/>
          <w:szCs w:val="20"/>
          <w:lang w:val="pt-BR"/>
        </w:rPr>
        <w:t xml:space="preserve"> judicial,</w:t>
      </w:r>
      <w:r w:rsidR="00470ADC" w:rsidRPr="00D5464D">
        <w:rPr>
          <w:rFonts w:cs="Arial"/>
          <w:szCs w:val="20"/>
          <w:lang w:val="pt-BR"/>
        </w:rPr>
        <w:t xml:space="preserve"> o </w:t>
      </w:r>
      <w:r w:rsidR="002C330E" w:rsidRPr="00D5464D">
        <w:rPr>
          <w:rFonts w:cs="Arial"/>
          <w:szCs w:val="20"/>
          <w:lang w:val="pt-BR"/>
        </w:rPr>
        <w:t>Juiz</w:t>
      </w:r>
      <w:r w:rsidR="0003391C" w:rsidRPr="00D5464D">
        <w:rPr>
          <w:rFonts w:cs="Arial"/>
          <w:szCs w:val="20"/>
          <w:lang w:val="pt-BR"/>
        </w:rPr>
        <w:t xml:space="preserve"> Federal</w:t>
      </w:r>
      <w:r w:rsidR="00470ADC" w:rsidRPr="00D5464D">
        <w:rPr>
          <w:rFonts w:cs="Arial"/>
          <w:szCs w:val="20"/>
          <w:lang w:val="pt-BR"/>
        </w:rPr>
        <w:t xml:space="preserve"> da </w:t>
      </w:r>
      <w:r w:rsidR="002C330E" w:rsidRPr="00D5464D">
        <w:rPr>
          <w:rFonts w:cs="Arial"/>
          <w:szCs w:val="20"/>
          <w:lang w:val="pt-BR"/>
        </w:rPr>
        <w:t>Seção</w:t>
      </w:r>
      <w:r w:rsidR="000351A5" w:rsidRPr="00D5464D">
        <w:rPr>
          <w:rFonts w:cs="Arial"/>
          <w:szCs w:val="20"/>
          <w:lang w:val="pt-BR"/>
        </w:rPr>
        <w:t xml:space="preserve"> do</w:t>
      </w:r>
      <w:r w:rsidR="0003391C" w:rsidRPr="00D5464D">
        <w:rPr>
          <w:rFonts w:cs="Arial"/>
          <w:szCs w:val="20"/>
          <w:lang w:val="pt-BR"/>
        </w:rPr>
        <w:t xml:space="preserve"> Pará </w:t>
      </w:r>
      <w:r w:rsidR="00470ADC" w:rsidRPr="00D5464D">
        <w:rPr>
          <w:rFonts w:cs="Arial"/>
          <w:szCs w:val="20"/>
          <w:lang w:val="pt-BR"/>
        </w:rPr>
        <w:t>declarou</w:t>
      </w:r>
      <w:r w:rsidR="0003391C" w:rsidRPr="00D5464D">
        <w:rPr>
          <w:rFonts w:cs="Arial"/>
          <w:szCs w:val="20"/>
          <w:lang w:val="pt-BR"/>
        </w:rPr>
        <w:t xml:space="preserve"> </w:t>
      </w:r>
      <w:r w:rsidR="00736356" w:rsidRPr="00D5464D">
        <w:rPr>
          <w:rFonts w:cs="Arial"/>
          <w:szCs w:val="20"/>
          <w:lang w:val="pt-BR"/>
        </w:rPr>
        <w:t>extinta</w:t>
      </w:r>
      <w:r w:rsidR="002C330E" w:rsidRPr="00D5464D">
        <w:rPr>
          <w:rFonts w:cs="Arial"/>
          <w:szCs w:val="20"/>
          <w:lang w:val="pt-BR"/>
        </w:rPr>
        <w:t xml:space="preserve"> a </w:t>
      </w:r>
      <w:r w:rsidR="00737270" w:rsidRPr="00D5464D">
        <w:rPr>
          <w:rFonts w:cs="Arial"/>
          <w:szCs w:val="20"/>
          <w:lang w:val="pt-BR"/>
        </w:rPr>
        <w:t>ação</w:t>
      </w:r>
      <w:r w:rsidR="00736356" w:rsidRPr="00D5464D">
        <w:rPr>
          <w:rFonts w:cs="Arial"/>
          <w:szCs w:val="20"/>
          <w:lang w:val="pt-BR"/>
        </w:rPr>
        <w:t xml:space="preserve"> pen</w:t>
      </w:r>
      <w:r w:rsidR="000351A5" w:rsidRPr="00D5464D">
        <w:rPr>
          <w:rFonts w:cs="Arial"/>
          <w:szCs w:val="20"/>
          <w:lang w:val="pt-BR"/>
        </w:rPr>
        <w:t>al</w:t>
      </w:r>
      <w:r w:rsidR="00737270" w:rsidRPr="00D5464D">
        <w:rPr>
          <w:rFonts w:cs="Arial"/>
          <w:szCs w:val="20"/>
          <w:lang w:val="pt-BR"/>
        </w:rPr>
        <w:t xml:space="preserve"> </w:t>
      </w:r>
      <w:r w:rsidR="000351A5" w:rsidRPr="00D5464D">
        <w:rPr>
          <w:rFonts w:cs="Arial"/>
          <w:szCs w:val="20"/>
          <w:lang w:val="pt-BR"/>
        </w:rPr>
        <w:t xml:space="preserve">contra </w:t>
      </w:r>
      <w:r w:rsidR="00736356" w:rsidRPr="00D5464D">
        <w:rPr>
          <w:rFonts w:cs="Arial"/>
          <w:szCs w:val="20"/>
          <w:lang w:val="pt-BR"/>
        </w:rPr>
        <w:t>Raimundo Alves da Rocha</w:t>
      </w:r>
      <w:r w:rsidR="00E045D9" w:rsidRPr="00D5464D">
        <w:rPr>
          <w:rFonts w:cs="Arial"/>
          <w:szCs w:val="20"/>
          <w:lang w:val="pt-BR"/>
        </w:rPr>
        <w:t xml:space="preserve"> e </w:t>
      </w:r>
      <w:r w:rsidR="00736356" w:rsidRPr="00D5464D">
        <w:rPr>
          <w:rFonts w:cs="Arial"/>
          <w:szCs w:val="20"/>
          <w:lang w:val="pt-BR"/>
        </w:rPr>
        <w:t>Ant</w:t>
      </w:r>
      <w:r w:rsidR="00F90D2C" w:rsidRPr="00D5464D">
        <w:rPr>
          <w:rFonts w:cs="Arial"/>
          <w:szCs w:val="20"/>
          <w:lang w:val="pt-BR"/>
        </w:rPr>
        <w:t>ô</w:t>
      </w:r>
      <w:r w:rsidR="00736356" w:rsidRPr="00D5464D">
        <w:rPr>
          <w:rFonts w:cs="Arial"/>
          <w:szCs w:val="20"/>
          <w:lang w:val="pt-BR"/>
        </w:rPr>
        <w:t>nio Alves Vieira</w:t>
      </w:r>
      <w:r w:rsidR="00FC7F27" w:rsidRPr="00D5464D">
        <w:rPr>
          <w:rFonts w:cs="Arial"/>
          <w:szCs w:val="20"/>
          <w:lang w:val="pt-BR"/>
        </w:rPr>
        <w:t>,</w:t>
      </w:r>
      <w:r w:rsidR="0003391C" w:rsidRPr="00D5464D">
        <w:rPr>
          <w:rFonts w:cs="Arial"/>
          <w:szCs w:val="20"/>
          <w:lang w:val="pt-BR"/>
        </w:rPr>
        <w:t xml:space="preserve"> </w:t>
      </w:r>
      <w:r w:rsidR="00E045D9" w:rsidRPr="00D5464D">
        <w:rPr>
          <w:rFonts w:cs="Arial"/>
          <w:szCs w:val="20"/>
          <w:lang w:val="pt-BR"/>
        </w:rPr>
        <w:t>tendo</w:t>
      </w:r>
      <w:r w:rsidR="00470ADC" w:rsidRPr="00D5464D">
        <w:rPr>
          <w:rFonts w:cs="Arial"/>
          <w:szCs w:val="20"/>
          <w:lang w:val="pt-BR"/>
        </w:rPr>
        <w:t xml:space="preserve"> em </w:t>
      </w:r>
      <w:r w:rsidR="000351A5" w:rsidRPr="00D5464D">
        <w:rPr>
          <w:rFonts w:cs="Arial"/>
          <w:szCs w:val="20"/>
          <w:lang w:val="pt-BR"/>
        </w:rPr>
        <w:t xml:space="preserve">consideração </w:t>
      </w:r>
      <w:r w:rsidR="0003391C" w:rsidRPr="00D5464D">
        <w:rPr>
          <w:rFonts w:cs="Arial"/>
          <w:szCs w:val="20"/>
          <w:lang w:val="pt-BR"/>
        </w:rPr>
        <w:t>que</w:t>
      </w:r>
      <w:r w:rsidR="00737270" w:rsidRPr="00D5464D">
        <w:rPr>
          <w:rFonts w:cs="Arial"/>
          <w:szCs w:val="20"/>
          <w:lang w:val="pt-BR"/>
        </w:rPr>
        <w:t xml:space="preserve"> </w:t>
      </w:r>
      <w:r w:rsidR="00880618" w:rsidRPr="00D5464D">
        <w:rPr>
          <w:rFonts w:cs="Arial"/>
          <w:szCs w:val="20"/>
          <w:lang w:val="pt-BR"/>
        </w:rPr>
        <w:t xml:space="preserve">havia </w:t>
      </w:r>
      <w:r w:rsidR="002C330E" w:rsidRPr="00D5464D">
        <w:rPr>
          <w:rFonts w:cs="Arial"/>
          <w:szCs w:val="20"/>
          <w:lang w:val="pt-BR"/>
        </w:rPr>
        <w:t>passado</w:t>
      </w:r>
      <w:r w:rsidR="0003391C" w:rsidRPr="00D5464D">
        <w:rPr>
          <w:rFonts w:cs="Arial"/>
          <w:szCs w:val="20"/>
          <w:lang w:val="pt-BR"/>
        </w:rPr>
        <w:t xml:space="preserve"> </w:t>
      </w:r>
      <w:r w:rsidR="002C330E" w:rsidRPr="00D5464D">
        <w:rPr>
          <w:rFonts w:cs="Arial"/>
          <w:szCs w:val="20"/>
          <w:lang w:val="pt-BR"/>
        </w:rPr>
        <w:t xml:space="preserve">mais </w:t>
      </w:r>
      <w:r w:rsidR="0003391C" w:rsidRPr="00D5464D">
        <w:rPr>
          <w:rFonts w:cs="Arial"/>
          <w:szCs w:val="20"/>
          <w:lang w:val="pt-BR"/>
        </w:rPr>
        <w:t xml:space="preserve">de 10 </w:t>
      </w:r>
      <w:r w:rsidR="00470ADC" w:rsidRPr="00D5464D">
        <w:rPr>
          <w:rFonts w:cs="Arial"/>
          <w:szCs w:val="20"/>
          <w:lang w:val="pt-BR"/>
        </w:rPr>
        <w:t>anos</w:t>
      </w:r>
      <w:r w:rsidR="0003391C" w:rsidRPr="00D5464D">
        <w:rPr>
          <w:rFonts w:cs="Arial"/>
          <w:szCs w:val="20"/>
          <w:lang w:val="pt-BR"/>
        </w:rPr>
        <w:t xml:space="preserve"> desde </w:t>
      </w:r>
      <w:r w:rsidR="000351A5" w:rsidRPr="00D5464D">
        <w:rPr>
          <w:rFonts w:cs="Arial"/>
          <w:szCs w:val="20"/>
          <w:lang w:val="pt-BR"/>
        </w:rPr>
        <w:t>a apresentação da denúncia</w:t>
      </w:r>
      <w:r w:rsidR="0003391C" w:rsidRPr="00D5464D">
        <w:rPr>
          <w:rFonts w:cs="Arial"/>
          <w:szCs w:val="20"/>
          <w:lang w:val="pt-BR"/>
        </w:rPr>
        <w:t>,</w:t>
      </w:r>
      <w:r w:rsidR="002C330E" w:rsidRPr="00D5464D">
        <w:rPr>
          <w:rFonts w:cs="Arial"/>
          <w:szCs w:val="20"/>
          <w:lang w:val="pt-BR"/>
        </w:rPr>
        <w:t xml:space="preserve"> a </w:t>
      </w:r>
      <w:r w:rsidR="0003391C" w:rsidRPr="00D5464D">
        <w:rPr>
          <w:rFonts w:cs="Arial"/>
          <w:szCs w:val="20"/>
          <w:lang w:val="pt-BR"/>
        </w:rPr>
        <w:t xml:space="preserve">pena máxima a </w:t>
      </w:r>
      <w:r w:rsidR="00F90D2C" w:rsidRPr="00D5464D">
        <w:rPr>
          <w:rFonts w:cs="Arial"/>
          <w:szCs w:val="20"/>
          <w:lang w:val="pt-BR"/>
        </w:rPr>
        <w:t xml:space="preserve">se </w:t>
      </w:r>
      <w:r w:rsidR="0003391C" w:rsidRPr="00D5464D">
        <w:rPr>
          <w:rFonts w:cs="Arial"/>
          <w:szCs w:val="20"/>
          <w:lang w:val="pt-BR"/>
        </w:rPr>
        <w:t>aplic</w:t>
      </w:r>
      <w:r w:rsidR="00C91CB1" w:rsidRPr="00D5464D">
        <w:rPr>
          <w:rFonts w:cs="Arial"/>
          <w:szCs w:val="20"/>
          <w:lang w:val="pt-BR"/>
        </w:rPr>
        <w:t xml:space="preserve">ar </w:t>
      </w:r>
      <w:r w:rsidR="0003391C" w:rsidRPr="00D5464D">
        <w:rPr>
          <w:rFonts w:cs="Arial"/>
          <w:szCs w:val="20"/>
          <w:lang w:val="pt-BR"/>
        </w:rPr>
        <w:t xml:space="preserve">era de 8 </w:t>
      </w:r>
      <w:r w:rsidR="00470ADC" w:rsidRPr="00D5464D">
        <w:rPr>
          <w:rFonts w:cs="Arial"/>
          <w:szCs w:val="20"/>
          <w:lang w:val="pt-BR"/>
        </w:rPr>
        <w:t>anos</w:t>
      </w:r>
      <w:r w:rsidR="00E045D9" w:rsidRPr="00D5464D">
        <w:rPr>
          <w:rFonts w:cs="Arial"/>
          <w:szCs w:val="20"/>
          <w:lang w:val="pt-BR"/>
        </w:rPr>
        <w:t xml:space="preserve"> e </w:t>
      </w:r>
      <w:r w:rsidR="002C330E" w:rsidRPr="00D5464D">
        <w:rPr>
          <w:rFonts w:cs="Arial"/>
          <w:szCs w:val="20"/>
          <w:lang w:val="pt-BR"/>
        </w:rPr>
        <w:t>a prescrição</w:t>
      </w:r>
      <w:r w:rsidR="00470ADC" w:rsidRPr="00D5464D">
        <w:rPr>
          <w:rFonts w:cs="Arial"/>
          <w:szCs w:val="20"/>
          <w:lang w:val="pt-BR"/>
        </w:rPr>
        <w:t xml:space="preserve"> da </w:t>
      </w:r>
      <w:r w:rsidR="0003391C" w:rsidRPr="00D5464D">
        <w:rPr>
          <w:rFonts w:cs="Arial"/>
          <w:szCs w:val="20"/>
          <w:lang w:val="pt-BR"/>
        </w:rPr>
        <w:t xml:space="preserve">pena </w:t>
      </w:r>
      <w:r w:rsidR="000351A5" w:rsidRPr="00D5464D">
        <w:rPr>
          <w:rFonts w:cs="Arial"/>
          <w:szCs w:val="20"/>
          <w:lang w:val="pt-BR"/>
        </w:rPr>
        <w:t xml:space="preserve">seria </w:t>
      </w:r>
      <w:r w:rsidR="0003391C" w:rsidRPr="00D5464D">
        <w:rPr>
          <w:rFonts w:cs="Arial"/>
          <w:szCs w:val="20"/>
          <w:lang w:val="pt-BR"/>
        </w:rPr>
        <w:t xml:space="preserve">de 12 </w:t>
      </w:r>
      <w:r w:rsidR="00470ADC" w:rsidRPr="00D5464D">
        <w:rPr>
          <w:rFonts w:cs="Arial"/>
          <w:szCs w:val="20"/>
          <w:lang w:val="pt-BR"/>
        </w:rPr>
        <w:t>anos</w:t>
      </w:r>
      <w:r w:rsidR="0003391C" w:rsidRPr="00D5464D">
        <w:rPr>
          <w:rFonts w:cs="Arial"/>
          <w:szCs w:val="20"/>
          <w:lang w:val="pt-BR"/>
        </w:rPr>
        <w:t xml:space="preserve">, </w:t>
      </w:r>
      <w:r w:rsidR="000351A5" w:rsidRPr="00D5464D">
        <w:rPr>
          <w:rFonts w:cs="Arial"/>
          <w:szCs w:val="20"/>
          <w:lang w:val="pt-BR"/>
        </w:rPr>
        <w:t xml:space="preserve">e </w:t>
      </w:r>
      <w:r w:rsidR="00D14320" w:rsidRPr="00D5464D">
        <w:rPr>
          <w:rFonts w:cs="Arial"/>
          <w:szCs w:val="20"/>
          <w:lang w:val="pt-BR"/>
        </w:rPr>
        <w:t xml:space="preserve">apenas </w:t>
      </w:r>
      <w:r w:rsidR="000351A5" w:rsidRPr="00D5464D">
        <w:rPr>
          <w:rFonts w:cs="Arial"/>
          <w:szCs w:val="20"/>
          <w:lang w:val="pt-BR"/>
        </w:rPr>
        <w:t xml:space="preserve">no </w:t>
      </w:r>
      <w:r w:rsidR="0003391C" w:rsidRPr="00D5464D">
        <w:rPr>
          <w:rFonts w:cs="Arial"/>
          <w:szCs w:val="20"/>
          <w:lang w:val="pt-BR"/>
        </w:rPr>
        <w:t>caso de ser</w:t>
      </w:r>
      <w:r w:rsidR="000351A5" w:rsidRPr="00D5464D">
        <w:rPr>
          <w:rFonts w:cs="Arial"/>
          <w:szCs w:val="20"/>
          <w:lang w:val="pt-BR"/>
        </w:rPr>
        <w:t>em</w:t>
      </w:r>
      <w:r w:rsidR="0003391C" w:rsidRPr="00D5464D">
        <w:rPr>
          <w:rFonts w:cs="Arial"/>
          <w:szCs w:val="20"/>
          <w:lang w:val="pt-BR"/>
        </w:rPr>
        <w:t xml:space="preserve"> condenados</w:t>
      </w:r>
      <w:r w:rsidR="00470ADC" w:rsidRPr="00D5464D">
        <w:rPr>
          <w:rFonts w:cs="Arial"/>
          <w:szCs w:val="20"/>
          <w:lang w:val="pt-BR"/>
        </w:rPr>
        <w:t xml:space="preserve"> à </w:t>
      </w:r>
      <w:r w:rsidR="0003391C" w:rsidRPr="00D5464D">
        <w:rPr>
          <w:rFonts w:cs="Arial"/>
          <w:szCs w:val="20"/>
          <w:lang w:val="pt-BR"/>
        </w:rPr>
        <w:t xml:space="preserve">pena </w:t>
      </w:r>
      <w:r w:rsidR="00176C77" w:rsidRPr="00D5464D">
        <w:rPr>
          <w:rFonts w:cs="Arial"/>
          <w:szCs w:val="20"/>
          <w:lang w:val="pt-BR"/>
        </w:rPr>
        <w:t xml:space="preserve">máxima </w:t>
      </w:r>
      <w:r w:rsidR="0003391C" w:rsidRPr="00D5464D">
        <w:rPr>
          <w:rFonts w:cs="Arial"/>
          <w:szCs w:val="20"/>
          <w:lang w:val="pt-BR"/>
        </w:rPr>
        <w:t>n</w:t>
      </w:r>
      <w:r w:rsidR="000351A5" w:rsidRPr="00D5464D">
        <w:rPr>
          <w:rFonts w:cs="Arial"/>
          <w:szCs w:val="20"/>
          <w:lang w:val="pt-BR"/>
        </w:rPr>
        <w:t>ã</w:t>
      </w:r>
      <w:r w:rsidR="0003391C" w:rsidRPr="00D5464D">
        <w:rPr>
          <w:rFonts w:cs="Arial"/>
          <w:szCs w:val="20"/>
          <w:lang w:val="pt-BR"/>
        </w:rPr>
        <w:t>o se d</w:t>
      </w:r>
      <w:r w:rsidR="00E765C2" w:rsidRPr="00D5464D">
        <w:rPr>
          <w:rFonts w:cs="Arial"/>
          <w:szCs w:val="20"/>
          <w:lang w:val="pt-BR"/>
        </w:rPr>
        <w:t xml:space="preserve">aria </w:t>
      </w:r>
      <w:r w:rsidR="002C330E" w:rsidRPr="00D5464D">
        <w:rPr>
          <w:rFonts w:cs="Arial"/>
          <w:szCs w:val="20"/>
          <w:lang w:val="pt-BR"/>
        </w:rPr>
        <w:t>a prescrição</w:t>
      </w:r>
      <w:r w:rsidR="000351A5" w:rsidRPr="00D5464D">
        <w:rPr>
          <w:rFonts w:cs="Arial"/>
          <w:szCs w:val="20"/>
          <w:lang w:val="pt-BR"/>
        </w:rPr>
        <w:t>.</w:t>
      </w:r>
      <w:r w:rsidR="0003391C" w:rsidRPr="00D5464D">
        <w:rPr>
          <w:rStyle w:val="Refdenotaalpie"/>
          <w:rFonts w:cs="Arial"/>
          <w:lang w:val="pt-BR"/>
        </w:rPr>
        <w:footnoteReference w:id="167"/>
      </w:r>
      <w:r w:rsidR="00A1358C" w:rsidRPr="00D5464D">
        <w:rPr>
          <w:rFonts w:cs="Arial"/>
          <w:szCs w:val="20"/>
          <w:lang w:val="pt-BR"/>
        </w:rPr>
        <w:t xml:space="preserve"> O </w:t>
      </w:r>
      <w:r w:rsidR="002C330E" w:rsidRPr="00D5464D">
        <w:rPr>
          <w:rFonts w:cs="Arial"/>
          <w:szCs w:val="20"/>
          <w:lang w:val="pt-BR"/>
        </w:rPr>
        <w:t>juiz</w:t>
      </w:r>
      <w:r w:rsidR="0003391C" w:rsidRPr="00D5464D">
        <w:rPr>
          <w:rFonts w:cs="Arial"/>
          <w:szCs w:val="20"/>
          <w:lang w:val="pt-BR"/>
        </w:rPr>
        <w:t xml:space="preserve"> </w:t>
      </w:r>
      <w:r w:rsidR="00470ADC" w:rsidRPr="00D5464D">
        <w:rPr>
          <w:rFonts w:cs="Arial"/>
          <w:szCs w:val="20"/>
          <w:lang w:val="pt-BR"/>
        </w:rPr>
        <w:t>afirmou</w:t>
      </w:r>
      <w:r w:rsidR="0003391C" w:rsidRPr="00D5464D">
        <w:rPr>
          <w:rFonts w:cs="Arial"/>
          <w:szCs w:val="20"/>
          <w:lang w:val="pt-BR"/>
        </w:rPr>
        <w:t xml:space="preserve"> que era </w:t>
      </w:r>
      <w:r w:rsidR="000351A5" w:rsidRPr="00D5464D">
        <w:rPr>
          <w:rFonts w:cs="Arial"/>
          <w:szCs w:val="20"/>
          <w:lang w:val="pt-BR"/>
        </w:rPr>
        <w:t>“</w:t>
      </w:r>
      <w:r w:rsidR="0003391C" w:rsidRPr="00D5464D">
        <w:rPr>
          <w:rFonts w:cs="Arial"/>
          <w:szCs w:val="20"/>
          <w:lang w:val="pt-BR"/>
        </w:rPr>
        <w:t>bastante im</w:t>
      </w:r>
      <w:r w:rsidR="00C91CB1" w:rsidRPr="00D5464D">
        <w:rPr>
          <w:rFonts w:cs="Arial"/>
          <w:szCs w:val="20"/>
          <w:lang w:val="pt-BR"/>
        </w:rPr>
        <w:t>provável</w:t>
      </w:r>
      <w:r w:rsidR="000351A5" w:rsidRPr="00D5464D">
        <w:rPr>
          <w:rFonts w:cs="Arial"/>
          <w:szCs w:val="20"/>
          <w:lang w:val="pt-BR"/>
        </w:rPr>
        <w:t>”</w:t>
      </w:r>
      <w:r w:rsidR="0003391C" w:rsidRPr="00D5464D">
        <w:rPr>
          <w:rFonts w:cs="Arial"/>
          <w:szCs w:val="20"/>
          <w:lang w:val="pt-BR"/>
        </w:rPr>
        <w:t xml:space="preserve"> que </w:t>
      </w:r>
      <w:r w:rsidR="00C91CB1" w:rsidRPr="00D5464D">
        <w:rPr>
          <w:rFonts w:cs="Arial"/>
          <w:szCs w:val="20"/>
          <w:lang w:val="pt-BR"/>
        </w:rPr>
        <w:t>fossem</w:t>
      </w:r>
      <w:r w:rsidR="0003391C" w:rsidRPr="00D5464D">
        <w:rPr>
          <w:rFonts w:cs="Arial"/>
          <w:szCs w:val="20"/>
          <w:lang w:val="pt-BR"/>
        </w:rPr>
        <w:t xml:space="preserve"> condenados a </w:t>
      </w:r>
      <w:r w:rsidR="00470ADC" w:rsidRPr="00D5464D">
        <w:rPr>
          <w:rFonts w:cs="Arial"/>
          <w:szCs w:val="20"/>
          <w:lang w:val="pt-BR"/>
        </w:rPr>
        <w:t>esta</w:t>
      </w:r>
      <w:r w:rsidR="0003391C" w:rsidRPr="00D5464D">
        <w:rPr>
          <w:rFonts w:cs="Arial"/>
          <w:szCs w:val="20"/>
          <w:lang w:val="pt-BR"/>
        </w:rPr>
        <w:t xml:space="preserve"> pena</w:t>
      </w:r>
      <w:r w:rsidR="007F4361" w:rsidRPr="00D5464D">
        <w:rPr>
          <w:rFonts w:cs="Arial"/>
          <w:szCs w:val="20"/>
          <w:lang w:val="pt-BR"/>
        </w:rPr>
        <w:t>,</w:t>
      </w:r>
      <w:r w:rsidR="002C330E" w:rsidRPr="00D5464D">
        <w:rPr>
          <w:rFonts w:cs="Arial"/>
          <w:szCs w:val="20"/>
          <w:lang w:val="pt-BR"/>
        </w:rPr>
        <w:t xml:space="preserve"> </w:t>
      </w:r>
      <w:r w:rsidR="000351A5" w:rsidRPr="00D5464D">
        <w:rPr>
          <w:rFonts w:cs="Arial"/>
          <w:szCs w:val="20"/>
          <w:lang w:val="pt-BR"/>
        </w:rPr>
        <w:t xml:space="preserve">de modo </w:t>
      </w:r>
      <w:r w:rsidR="002C330E" w:rsidRPr="00D5464D">
        <w:rPr>
          <w:rFonts w:cs="Arial"/>
          <w:szCs w:val="20"/>
          <w:lang w:val="pt-BR"/>
        </w:rPr>
        <w:t>que a prescrição</w:t>
      </w:r>
      <w:r w:rsidR="0003391C" w:rsidRPr="00D5464D">
        <w:rPr>
          <w:rFonts w:cs="Arial"/>
          <w:szCs w:val="20"/>
          <w:lang w:val="pt-BR"/>
        </w:rPr>
        <w:t xml:space="preserve"> </w:t>
      </w:r>
      <w:r w:rsidR="00E045D9" w:rsidRPr="00D5464D">
        <w:rPr>
          <w:rFonts w:cs="Arial"/>
          <w:szCs w:val="20"/>
          <w:lang w:val="pt-BR"/>
        </w:rPr>
        <w:t xml:space="preserve">seria </w:t>
      </w:r>
      <w:r w:rsidR="000351A5" w:rsidRPr="00D5464D">
        <w:rPr>
          <w:rFonts w:cs="Arial"/>
          <w:szCs w:val="20"/>
          <w:lang w:val="pt-BR"/>
        </w:rPr>
        <w:t>“inevitável”</w:t>
      </w:r>
      <w:r w:rsidR="0003391C" w:rsidRPr="00D5464D">
        <w:rPr>
          <w:rFonts w:cs="Arial"/>
          <w:szCs w:val="20"/>
          <w:lang w:val="pt-BR"/>
        </w:rPr>
        <w:t xml:space="preserve">. </w:t>
      </w:r>
      <w:r w:rsidR="00470ADC" w:rsidRPr="00D5464D">
        <w:rPr>
          <w:rFonts w:cs="Arial"/>
          <w:szCs w:val="20"/>
          <w:lang w:val="pt-BR"/>
        </w:rPr>
        <w:t>Considerou</w:t>
      </w:r>
      <w:r w:rsidR="0003391C" w:rsidRPr="00D5464D">
        <w:rPr>
          <w:rFonts w:cs="Arial"/>
          <w:szCs w:val="20"/>
          <w:lang w:val="pt-BR"/>
        </w:rPr>
        <w:t xml:space="preserve"> que</w:t>
      </w:r>
      <w:r w:rsidR="002C330E" w:rsidRPr="00D5464D">
        <w:rPr>
          <w:rFonts w:cs="Arial"/>
          <w:szCs w:val="20"/>
          <w:lang w:val="pt-BR"/>
        </w:rPr>
        <w:t xml:space="preserve"> os </w:t>
      </w:r>
      <w:r w:rsidR="0003391C" w:rsidRPr="00D5464D">
        <w:rPr>
          <w:rFonts w:cs="Arial"/>
          <w:szCs w:val="20"/>
          <w:lang w:val="pt-BR"/>
        </w:rPr>
        <w:t xml:space="preserve">elementos </w:t>
      </w:r>
      <w:r w:rsidR="002C330E" w:rsidRPr="00D5464D">
        <w:rPr>
          <w:rFonts w:cs="Arial"/>
          <w:szCs w:val="20"/>
          <w:lang w:val="pt-BR"/>
        </w:rPr>
        <w:t>probatório</w:t>
      </w:r>
      <w:r w:rsidR="0003391C" w:rsidRPr="00D5464D">
        <w:rPr>
          <w:rFonts w:cs="Arial"/>
          <w:szCs w:val="20"/>
          <w:lang w:val="pt-BR"/>
        </w:rPr>
        <w:t>s</w:t>
      </w:r>
      <w:r w:rsidR="00470ADC" w:rsidRPr="00D5464D">
        <w:rPr>
          <w:rFonts w:cs="Arial"/>
          <w:szCs w:val="20"/>
          <w:lang w:val="pt-BR"/>
        </w:rPr>
        <w:t xml:space="preserve"> </w:t>
      </w:r>
      <w:r w:rsidR="003A0AC2" w:rsidRPr="00D5464D">
        <w:rPr>
          <w:rFonts w:cs="Arial"/>
          <w:szCs w:val="20"/>
          <w:lang w:val="pt-BR"/>
        </w:rPr>
        <w:t>par</w:t>
      </w:r>
      <w:r w:rsidR="002C330E" w:rsidRPr="00D5464D">
        <w:rPr>
          <w:rFonts w:cs="Arial"/>
          <w:szCs w:val="20"/>
          <w:lang w:val="pt-BR"/>
        </w:rPr>
        <w:t xml:space="preserve">a </w:t>
      </w:r>
      <w:r w:rsidR="003A0AC2" w:rsidRPr="00D5464D">
        <w:rPr>
          <w:rFonts w:cs="Arial"/>
          <w:szCs w:val="20"/>
          <w:lang w:val="pt-BR"/>
        </w:rPr>
        <w:t xml:space="preserve">a </w:t>
      </w:r>
      <w:r w:rsidR="002C330E" w:rsidRPr="00D5464D">
        <w:rPr>
          <w:rFonts w:cs="Arial"/>
          <w:szCs w:val="20"/>
          <w:lang w:val="pt-BR"/>
        </w:rPr>
        <w:t>instrução</w:t>
      </w:r>
      <w:r w:rsidR="0003391C" w:rsidRPr="00D5464D">
        <w:rPr>
          <w:rFonts w:cs="Arial"/>
          <w:szCs w:val="20"/>
          <w:lang w:val="pt-BR"/>
        </w:rPr>
        <w:t xml:space="preserve"> criminal </w:t>
      </w:r>
      <w:r w:rsidR="003A0AC2" w:rsidRPr="00D5464D">
        <w:rPr>
          <w:rFonts w:cs="Arial"/>
          <w:szCs w:val="20"/>
          <w:lang w:val="pt-BR"/>
        </w:rPr>
        <w:t xml:space="preserve">eram </w:t>
      </w:r>
      <w:r w:rsidR="0003391C" w:rsidRPr="00D5464D">
        <w:rPr>
          <w:rFonts w:cs="Times New Roman"/>
          <w:szCs w:val="20"/>
          <w:lang w:val="pt-BR"/>
        </w:rPr>
        <w:t>“</w:t>
      </w:r>
      <w:r w:rsidR="0003391C" w:rsidRPr="00D5464D">
        <w:rPr>
          <w:rFonts w:cs="Arial"/>
          <w:szCs w:val="20"/>
          <w:lang w:val="pt-BR"/>
        </w:rPr>
        <w:t>in</w:t>
      </w:r>
      <w:r w:rsidR="00E045D9" w:rsidRPr="00D5464D">
        <w:rPr>
          <w:rFonts w:cs="Arial"/>
          <w:szCs w:val="20"/>
          <w:lang w:val="pt-BR"/>
        </w:rPr>
        <w:t>úteis</w:t>
      </w:r>
      <w:r w:rsidR="0003391C" w:rsidRPr="00D5464D">
        <w:rPr>
          <w:rFonts w:cs="Arial"/>
          <w:szCs w:val="20"/>
          <w:lang w:val="pt-BR"/>
        </w:rPr>
        <w:t>”</w:t>
      </w:r>
      <w:r w:rsidR="00C91CB1" w:rsidRPr="00D5464D">
        <w:rPr>
          <w:rFonts w:cs="Arial"/>
          <w:szCs w:val="20"/>
          <w:lang w:val="pt-BR"/>
        </w:rPr>
        <w:t xml:space="preserve">. Com </w:t>
      </w:r>
      <w:r w:rsidR="0003391C" w:rsidRPr="00D5464D">
        <w:rPr>
          <w:rFonts w:cs="Arial"/>
          <w:szCs w:val="20"/>
          <w:lang w:val="pt-BR"/>
        </w:rPr>
        <w:t>base</w:t>
      </w:r>
      <w:r w:rsidR="00A1358C" w:rsidRPr="00D5464D">
        <w:rPr>
          <w:rFonts w:cs="Arial"/>
          <w:szCs w:val="20"/>
          <w:lang w:val="pt-BR"/>
        </w:rPr>
        <w:t xml:space="preserve"> no </w:t>
      </w:r>
      <w:r w:rsidR="0003391C" w:rsidRPr="00D5464D">
        <w:rPr>
          <w:rFonts w:cs="Arial"/>
          <w:szCs w:val="20"/>
          <w:lang w:val="pt-BR"/>
        </w:rPr>
        <w:t xml:space="preserve">anterior, </w:t>
      </w:r>
      <w:r w:rsidR="003A0AC2" w:rsidRPr="00D5464D">
        <w:rPr>
          <w:rFonts w:cs="Arial"/>
          <w:szCs w:val="20"/>
          <w:lang w:val="pt-BR"/>
        </w:rPr>
        <w:t xml:space="preserve">bem </w:t>
      </w:r>
      <w:r w:rsidR="0003391C" w:rsidRPr="00D5464D">
        <w:rPr>
          <w:rFonts w:cs="Arial"/>
          <w:szCs w:val="20"/>
          <w:lang w:val="pt-BR"/>
        </w:rPr>
        <w:t>como</w:t>
      </w:r>
      <w:r w:rsidR="00E045D9" w:rsidRPr="00D5464D">
        <w:rPr>
          <w:rFonts w:cs="Arial"/>
          <w:szCs w:val="20"/>
          <w:lang w:val="pt-BR"/>
        </w:rPr>
        <w:t xml:space="preserve"> na </w:t>
      </w:r>
      <w:r w:rsidR="0003391C" w:rsidRPr="00D5464D">
        <w:rPr>
          <w:rFonts w:cs="Arial"/>
          <w:szCs w:val="20"/>
          <w:lang w:val="pt-BR"/>
        </w:rPr>
        <w:t xml:space="preserve">falta de </w:t>
      </w:r>
      <w:r w:rsidR="00737270" w:rsidRPr="00D5464D">
        <w:rPr>
          <w:rFonts w:cs="Arial"/>
          <w:szCs w:val="20"/>
          <w:lang w:val="pt-BR"/>
        </w:rPr>
        <w:t>ação</w:t>
      </w:r>
      <w:r w:rsidR="0003391C" w:rsidRPr="00D5464D">
        <w:rPr>
          <w:rFonts w:cs="Arial"/>
          <w:szCs w:val="20"/>
          <w:lang w:val="pt-BR"/>
        </w:rPr>
        <w:t xml:space="preserve"> por parte </w:t>
      </w:r>
      <w:r w:rsidR="00470ADC" w:rsidRPr="00D5464D">
        <w:rPr>
          <w:rFonts w:cs="Arial"/>
          <w:szCs w:val="20"/>
          <w:lang w:val="pt-BR"/>
        </w:rPr>
        <w:t xml:space="preserve">do </w:t>
      </w:r>
      <w:r w:rsidR="0003391C" w:rsidRPr="00D5464D">
        <w:rPr>
          <w:rFonts w:cs="Arial"/>
          <w:szCs w:val="20"/>
          <w:lang w:val="pt-BR"/>
        </w:rPr>
        <w:t>Estado,</w:t>
      </w:r>
      <w:r w:rsidR="002C330E" w:rsidRPr="00D5464D">
        <w:rPr>
          <w:rFonts w:cs="Arial"/>
          <w:szCs w:val="20"/>
          <w:lang w:val="pt-BR"/>
        </w:rPr>
        <w:t xml:space="preserve"> </w:t>
      </w:r>
      <w:r w:rsidR="003A0AC2" w:rsidRPr="00D5464D">
        <w:rPr>
          <w:rFonts w:cs="Arial"/>
          <w:szCs w:val="20"/>
          <w:lang w:val="pt-BR"/>
        </w:rPr>
        <w:t>d</w:t>
      </w:r>
      <w:r w:rsidR="002C330E" w:rsidRPr="00D5464D">
        <w:rPr>
          <w:rFonts w:cs="Arial"/>
          <w:szCs w:val="20"/>
          <w:lang w:val="pt-BR"/>
        </w:rPr>
        <w:t xml:space="preserve">a </w:t>
      </w:r>
      <w:r w:rsidR="0003391C" w:rsidRPr="00D5464D">
        <w:rPr>
          <w:rFonts w:cs="Arial"/>
          <w:szCs w:val="20"/>
          <w:lang w:val="pt-BR"/>
        </w:rPr>
        <w:t>política criminal</w:t>
      </w:r>
      <w:r w:rsidR="00E045D9" w:rsidRPr="00D5464D">
        <w:rPr>
          <w:rFonts w:cs="Arial"/>
          <w:szCs w:val="20"/>
          <w:lang w:val="pt-BR"/>
        </w:rPr>
        <w:t xml:space="preserve"> e </w:t>
      </w:r>
      <w:r w:rsidR="003A0AC2" w:rsidRPr="00D5464D">
        <w:rPr>
          <w:rFonts w:cs="Arial"/>
          <w:szCs w:val="20"/>
          <w:lang w:val="pt-BR"/>
        </w:rPr>
        <w:t>d</w:t>
      </w:r>
      <w:r w:rsidR="002C330E" w:rsidRPr="00D5464D">
        <w:rPr>
          <w:rFonts w:cs="Arial"/>
          <w:szCs w:val="20"/>
          <w:lang w:val="pt-BR"/>
        </w:rPr>
        <w:t xml:space="preserve">a </w:t>
      </w:r>
      <w:r w:rsidR="00230C71" w:rsidRPr="00D5464D">
        <w:rPr>
          <w:rFonts w:cs="Arial"/>
          <w:szCs w:val="20"/>
          <w:lang w:val="pt-BR"/>
        </w:rPr>
        <w:t>economia</w:t>
      </w:r>
      <w:r w:rsidR="0003391C" w:rsidRPr="00D5464D">
        <w:rPr>
          <w:rFonts w:cs="Arial"/>
          <w:szCs w:val="20"/>
          <w:lang w:val="pt-BR"/>
        </w:rPr>
        <w:t xml:space="preserve"> </w:t>
      </w:r>
      <w:r w:rsidR="00A1358C" w:rsidRPr="00D5464D">
        <w:rPr>
          <w:rFonts w:cs="Arial"/>
          <w:szCs w:val="20"/>
          <w:lang w:val="pt-BR"/>
        </w:rPr>
        <w:t>processual</w:t>
      </w:r>
      <w:r w:rsidR="0003391C" w:rsidRPr="00D5464D">
        <w:rPr>
          <w:rFonts w:cs="Arial"/>
          <w:szCs w:val="20"/>
          <w:lang w:val="pt-BR"/>
        </w:rPr>
        <w:t>,</w:t>
      </w:r>
      <w:r w:rsidR="00470ADC" w:rsidRPr="00D5464D">
        <w:rPr>
          <w:rFonts w:cs="Arial"/>
          <w:szCs w:val="20"/>
          <w:lang w:val="pt-BR"/>
        </w:rPr>
        <w:t xml:space="preserve"> o </w:t>
      </w:r>
      <w:r w:rsidR="002C330E" w:rsidRPr="00D5464D">
        <w:rPr>
          <w:rFonts w:cs="Arial"/>
          <w:szCs w:val="20"/>
          <w:lang w:val="pt-BR"/>
        </w:rPr>
        <w:t>juiz</w:t>
      </w:r>
      <w:r w:rsidR="0003391C" w:rsidRPr="00D5464D">
        <w:rPr>
          <w:rFonts w:cs="Arial"/>
          <w:szCs w:val="20"/>
          <w:lang w:val="pt-BR"/>
        </w:rPr>
        <w:t xml:space="preserve"> </w:t>
      </w:r>
      <w:r w:rsidR="00470ADC" w:rsidRPr="00D5464D">
        <w:rPr>
          <w:rFonts w:cs="Arial"/>
          <w:szCs w:val="20"/>
          <w:lang w:val="pt-BR"/>
        </w:rPr>
        <w:t>decidiu</w:t>
      </w:r>
      <w:r w:rsidR="0003391C" w:rsidRPr="00D5464D">
        <w:rPr>
          <w:rFonts w:cs="Arial"/>
          <w:szCs w:val="20"/>
          <w:lang w:val="pt-BR"/>
        </w:rPr>
        <w:t xml:space="preserve"> declarar extinta</w:t>
      </w:r>
      <w:r w:rsidR="002C330E" w:rsidRPr="00D5464D">
        <w:rPr>
          <w:rFonts w:cs="Arial"/>
          <w:szCs w:val="20"/>
          <w:lang w:val="pt-BR"/>
        </w:rPr>
        <w:t xml:space="preserve"> a </w:t>
      </w:r>
      <w:r w:rsidR="00737270" w:rsidRPr="00D5464D">
        <w:rPr>
          <w:rFonts w:cs="Arial"/>
          <w:szCs w:val="20"/>
          <w:lang w:val="pt-BR"/>
        </w:rPr>
        <w:t>ação</w:t>
      </w:r>
      <w:r w:rsidR="0003391C" w:rsidRPr="00D5464D">
        <w:rPr>
          <w:rFonts w:cs="Arial"/>
          <w:szCs w:val="20"/>
          <w:lang w:val="pt-BR"/>
        </w:rPr>
        <w:t xml:space="preserve"> penal</w:t>
      </w:r>
      <w:r w:rsidR="003A0AC2" w:rsidRPr="00D5464D">
        <w:rPr>
          <w:rFonts w:cs="Arial"/>
          <w:szCs w:val="20"/>
          <w:lang w:val="pt-BR"/>
        </w:rPr>
        <w:t>.</w:t>
      </w:r>
      <w:r w:rsidR="0003391C" w:rsidRPr="00D5464D">
        <w:rPr>
          <w:rStyle w:val="Refdenotaalpie"/>
          <w:rFonts w:cs="Arial"/>
          <w:bCs/>
          <w:lang w:val="pt-BR"/>
        </w:rPr>
        <w:footnoteReference w:id="168"/>
      </w:r>
    </w:p>
    <w:p w14:paraId="12B30029" w14:textId="77777777" w:rsidR="0003391C" w:rsidRPr="00D5464D" w:rsidRDefault="0003391C" w:rsidP="00140440">
      <w:pPr>
        <w:pStyle w:val="Prrafodelista"/>
        <w:autoSpaceDE w:val="0"/>
        <w:autoSpaceDN w:val="0"/>
        <w:adjustRightInd w:val="0"/>
        <w:ind w:left="0"/>
        <w:contextualSpacing w:val="0"/>
        <w:rPr>
          <w:rFonts w:cs="Arial"/>
          <w:bCs/>
          <w:szCs w:val="20"/>
          <w:lang w:val="pt-BR"/>
        </w:rPr>
      </w:pPr>
    </w:p>
    <w:p w14:paraId="7819DE36" w14:textId="05369126" w:rsidR="0003391C" w:rsidRPr="00D5464D" w:rsidRDefault="006E2220" w:rsidP="008622F3">
      <w:pPr>
        <w:pStyle w:val="Ttulo3"/>
        <w:rPr>
          <w:lang w:val="pt-BR"/>
        </w:rPr>
      </w:pPr>
      <w:bookmarkStart w:id="323" w:name="_Toc460433015"/>
      <w:bookmarkStart w:id="324" w:name="_Toc460441946"/>
      <w:bookmarkStart w:id="325" w:name="_Toc462750764"/>
      <w:bookmarkStart w:id="326" w:name="_Toc462751088"/>
      <w:bookmarkStart w:id="327" w:name="_Toc464813940"/>
      <w:bookmarkStart w:id="328" w:name="_Toc468433901"/>
      <w:r w:rsidRPr="00D5464D">
        <w:rPr>
          <w:lang w:val="pt-BR"/>
        </w:rPr>
        <w:t>B</w:t>
      </w:r>
      <w:r w:rsidR="004E708F" w:rsidRPr="00D5464D">
        <w:rPr>
          <w:lang w:val="pt-BR"/>
        </w:rPr>
        <w:t>.</w:t>
      </w:r>
      <w:r w:rsidR="008622F3" w:rsidRPr="00D5464D">
        <w:rPr>
          <w:lang w:val="pt-BR"/>
        </w:rPr>
        <w:t>2</w:t>
      </w:r>
      <w:r w:rsidR="00CB7E29" w:rsidRPr="00D5464D">
        <w:rPr>
          <w:lang w:val="pt-BR"/>
        </w:rPr>
        <w:t>.</w:t>
      </w:r>
      <w:r w:rsidR="00470ADC" w:rsidRPr="00D5464D">
        <w:rPr>
          <w:lang w:val="pt-BR"/>
        </w:rPr>
        <w:t xml:space="preserve"> </w:t>
      </w:r>
      <w:r w:rsidR="00061E94" w:rsidRPr="00D5464D">
        <w:rPr>
          <w:lang w:val="pt-BR"/>
        </w:rPr>
        <w:t>Continuação do</w:t>
      </w:r>
      <w:r w:rsidR="00470ADC" w:rsidRPr="00D5464D">
        <w:rPr>
          <w:lang w:val="pt-BR"/>
        </w:rPr>
        <w:t xml:space="preserve"> </w:t>
      </w:r>
      <w:r w:rsidR="002C330E" w:rsidRPr="00D5464D">
        <w:rPr>
          <w:lang w:val="pt-BR"/>
        </w:rPr>
        <w:t>procedimento</w:t>
      </w:r>
      <w:r w:rsidR="0003391C" w:rsidRPr="00D5464D">
        <w:rPr>
          <w:lang w:val="pt-BR"/>
        </w:rPr>
        <w:t xml:space="preserve"> realizado</w:t>
      </w:r>
      <w:r w:rsidR="002C330E" w:rsidRPr="00D5464D">
        <w:rPr>
          <w:lang w:val="pt-BR"/>
        </w:rPr>
        <w:t xml:space="preserve"> pelo Ministério</w:t>
      </w:r>
      <w:r w:rsidR="0003391C" w:rsidRPr="00D5464D">
        <w:rPr>
          <w:lang w:val="pt-BR"/>
        </w:rPr>
        <w:t xml:space="preserve"> </w:t>
      </w:r>
      <w:r w:rsidR="00470ADC" w:rsidRPr="00D5464D">
        <w:rPr>
          <w:lang w:val="pt-BR"/>
        </w:rPr>
        <w:t xml:space="preserve">do </w:t>
      </w:r>
      <w:r w:rsidR="00E045D9" w:rsidRPr="00D5464D">
        <w:rPr>
          <w:lang w:val="pt-BR"/>
        </w:rPr>
        <w:t>Trabalho</w:t>
      </w:r>
      <w:r w:rsidR="0003391C" w:rsidRPr="00D5464D">
        <w:rPr>
          <w:lang w:val="pt-BR"/>
        </w:rPr>
        <w:t xml:space="preserve"> relativo a</w:t>
      </w:r>
      <w:r w:rsidR="00E045D9" w:rsidRPr="00D5464D">
        <w:rPr>
          <w:lang w:val="pt-BR"/>
        </w:rPr>
        <w:t xml:space="preserve"> uma </w:t>
      </w:r>
      <w:r w:rsidR="00917270" w:rsidRPr="00D5464D">
        <w:rPr>
          <w:lang w:val="pt-BR"/>
        </w:rPr>
        <w:t xml:space="preserve">segunda </w:t>
      </w:r>
      <w:r w:rsidR="0003391C" w:rsidRPr="00D5464D">
        <w:rPr>
          <w:lang w:val="pt-BR"/>
        </w:rPr>
        <w:t>visita</w:t>
      </w:r>
      <w:r w:rsidR="00470ADC" w:rsidRPr="00D5464D">
        <w:rPr>
          <w:lang w:val="pt-BR"/>
        </w:rPr>
        <w:t xml:space="preserve"> em </w:t>
      </w:r>
      <w:r w:rsidR="0003391C" w:rsidRPr="00D5464D">
        <w:rPr>
          <w:lang w:val="pt-BR"/>
        </w:rPr>
        <w:t>1997</w:t>
      </w:r>
      <w:bookmarkEnd w:id="323"/>
      <w:bookmarkEnd w:id="324"/>
      <w:bookmarkEnd w:id="325"/>
      <w:bookmarkEnd w:id="326"/>
      <w:bookmarkEnd w:id="327"/>
      <w:bookmarkEnd w:id="328"/>
    </w:p>
    <w:p w14:paraId="51055F64" w14:textId="77777777" w:rsidR="00D65024" w:rsidRPr="00D5464D" w:rsidRDefault="00D65024" w:rsidP="00D65024">
      <w:pPr>
        <w:pStyle w:val="Prrafodelista"/>
        <w:autoSpaceDE w:val="0"/>
        <w:autoSpaceDN w:val="0"/>
        <w:adjustRightInd w:val="0"/>
        <w:ind w:left="0"/>
        <w:contextualSpacing w:val="0"/>
        <w:rPr>
          <w:rFonts w:cs="Arial"/>
          <w:szCs w:val="20"/>
          <w:lang w:val="pt-BR"/>
        </w:rPr>
      </w:pPr>
    </w:p>
    <w:p w14:paraId="7AAF3539" w14:textId="625A032D" w:rsidR="0003391C" w:rsidRPr="00D5464D" w:rsidRDefault="00C91CB1" w:rsidP="00140440">
      <w:pPr>
        <w:pStyle w:val="Prrafodelista"/>
        <w:numPr>
          <w:ilvl w:val="0"/>
          <w:numId w:val="1"/>
        </w:numPr>
        <w:autoSpaceDE w:val="0"/>
        <w:autoSpaceDN w:val="0"/>
        <w:adjustRightInd w:val="0"/>
        <w:contextualSpacing w:val="0"/>
        <w:rPr>
          <w:rFonts w:cs="Times New Roman"/>
          <w:szCs w:val="20"/>
          <w:lang w:val="pt-BR"/>
        </w:rPr>
      </w:pPr>
      <w:r w:rsidRPr="00D5464D">
        <w:rPr>
          <w:rFonts w:cs="Arial"/>
          <w:szCs w:val="20"/>
          <w:lang w:val="pt-BR"/>
        </w:rPr>
        <w:t>Em 1</w:t>
      </w:r>
      <w:r w:rsidR="0003391C" w:rsidRPr="00D5464D">
        <w:rPr>
          <w:rFonts w:cs="Arial"/>
          <w:szCs w:val="20"/>
          <w:lang w:val="pt-BR"/>
        </w:rPr>
        <w:t xml:space="preserve">3 de </w:t>
      </w:r>
      <w:r w:rsidR="002C330E" w:rsidRPr="00D5464D">
        <w:rPr>
          <w:rFonts w:cs="Arial"/>
          <w:szCs w:val="20"/>
          <w:lang w:val="pt-BR"/>
        </w:rPr>
        <w:t>outubro</w:t>
      </w:r>
      <w:r w:rsidR="0003391C" w:rsidRPr="00D5464D">
        <w:rPr>
          <w:rFonts w:cs="Arial"/>
          <w:szCs w:val="20"/>
          <w:lang w:val="pt-BR"/>
        </w:rPr>
        <w:t xml:space="preserve"> de 1998</w:t>
      </w:r>
      <w:r w:rsidR="003A0AC2" w:rsidRPr="00D5464D">
        <w:rPr>
          <w:rFonts w:cs="Arial"/>
          <w:szCs w:val="20"/>
          <w:lang w:val="pt-BR"/>
        </w:rPr>
        <w:t>,</w:t>
      </w:r>
      <w:r w:rsidR="00470ADC" w:rsidRPr="00D5464D">
        <w:rPr>
          <w:rFonts w:cs="Arial"/>
          <w:szCs w:val="20"/>
          <w:lang w:val="pt-BR"/>
        </w:rPr>
        <w:t xml:space="preserve"> o </w:t>
      </w:r>
      <w:r w:rsidR="002C330E" w:rsidRPr="00D5464D">
        <w:rPr>
          <w:rFonts w:cs="Arial"/>
          <w:szCs w:val="20"/>
          <w:lang w:val="pt-BR"/>
        </w:rPr>
        <w:t>Ministério</w:t>
      </w:r>
      <w:r w:rsidR="0003391C" w:rsidRPr="00D5464D">
        <w:rPr>
          <w:rFonts w:cs="Arial"/>
          <w:szCs w:val="20"/>
          <w:lang w:val="pt-BR"/>
        </w:rPr>
        <w:t xml:space="preserve"> Público </w:t>
      </w:r>
      <w:r w:rsidR="00470ADC" w:rsidRPr="00D5464D">
        <w:rPr>
          <w:rFonts w:cs="Arial"/>
          <w:szCs w:val="20"/>
          <w:lang w:val="pt-BR"/>
        </w:rPr>
        <w:t xml:space="preserve">do </w:t>
      </w:r>
      <w:r w:rsidR="00E045D9" w:rsidRPr="00D5464D">
        <w:rPr>
          <w:rFonts w:cs="Arial"/>
          <w:szCs w:val="20"/>
          <w:lang w:val="pt-BR"/>
        </w:rPr>
        <w:t>Trabalho</w:t>
      </w:r>
      <w:r w:rsidR="0003391C" w:rsidRPr="00D5464D">
        <w:rPr>
          <w:rFonts w:cs="Arial"/>
          <w:szCs w:val="20"/>
          <w:lang w:val="pt-BR"/>
        </w:rPr>
        <w:t xml:space="preserve"> </w:t>
      </w:r>
      <w:r w:rsidR="002C330E" w:rsidRPr="00D5464D">
        <w:rPr>
          <w:rFonts w:cs="Arial"/>
          <w:szCs w:val="20"/>
          <w:lang w:val="pt-BR"/>
        </w:rPr>
        <w:t>solicitou</w:t>
      </w:r>
      <w:r w:rsidR="00470ADC" w:rsidRPr="00D5464D">
        <w:rPr>
          <w:rFonts w:cs="Arial"/>
          <w:szCs w:val="20"/>
          <w:lang w:val="pt-BR"/>
        </w:rPr>
        <w:t xml:space="preserve"> à </w:t>
      </w:r>
      <w:r w:rsidR="0003391C" w:rsidRPr="00D5464D">
        <w:rPr>
          <w:rFonts w:cs="Arial"/>
          <w:szCs w:val="20"/>
          <w:lang w:val="pt-BR"/>
        </w:rPr>
        <w:t>Delega</w:t>
      </w:r>
      <w:r w:rsidR="003A0AC2" w:rsidRPr="00D5464D">
        <w:rPr>
          <w:rFonts w:cs="Arial"/>
          <w:szCs w:val="20"/>
          <w:lang w:val="pt-BR"/>
        </w:rPr>
        <w:t>cia</w:t>
      </w:r>
      <w:r w:rsidR="0003391C" w:rsidRPr="00D5464D">
        <w:rPr>
          <w:rFonts w:cs="Arial"/>
          <w:szCs w:val="20"/>
          <w:lang w:val="pt-BR"/>
        </w:rPr>
        <w:t xml:space="preserve"> Regional </w:t>
      </w:r>
      <w:r w:rsidR="00470ADC" w:rsidRPr="00D5464D">
        <w:rPr>
          <w:rFonts w:cs="Arial"/>
          <w:szCs w:val="20"/>
          <w:lang w:val="pt-BR"/>
        </w:rPr>
        <w:t xml:space="preserve">do </w:t>
      </w:r>
      <w:r w:rsidR="00E045D9" w:rsidRPr="00D5464D">
        <w:rPr>
          <w:rFonts w:cs="Arial"/>
          <w:szCs w:val="20"/>
          <w:lang w:val="pt-BR"/>
        </w:rPr>
        <w:t>Trabalho</w:t>
      </w:r>
      <w:r w:rsidR="003A0AC2" w:rsidRPr="00D5464D">
        <w:rPr>
          <w:rFonts w:cs="Arial"/>
          <w:szCs w:val="20"/>
          <w:lang w:val="pt-BR"/>
        </w:rPr>
        <w:t xml:space="preserve"> do</w:t>
      </w:r>
      <w:r w:rsidR="0003391C" w:rsidRPr="00D5464D">
        <w:rPr>
          <w:rFonts w:cs="Arial"/>
          <w:szCs w:val="20"/>
          <w:lang w:val="pt-BR"/>
        </w:rPr>
        <w:t xml:space="preserve"> Pará</w:t>
      </w:r>
      <w:r w:rsidR="002C330E" w:rsidRPr="00D5464D">
        <w:rPr>
          <w:rFonts w:cs="Arial"/>
          <w:szCs w:val="20"/>
          <w:lang w:val="pt-BR"/>
        </w:rPr>
        <w:t xml:space="preserve"> a </w:t>
      </w:r>
      <w:r w:rsidR="0003391C" w:rsidRPr="00D5464D">
        <w:rPr>
          <w:rFonts w:cs="Arial"/>
          <w:szCs w:val="20"/>
          <w:lang w:val="pt-BR"/>
        </w:rPr>
        <w:t>realiza</w:t>
      </w:r>
      <w:r w:rsidR="00470ADC" w:rsidRPr="00D5464D">
        <w:rPr>
          <w:rFonts w:cs="Arial"/>
          <w:szCs w:val="20"/>
          <w:lang w:val="pt-BR"/>
        </w:rPr>
        <w:t>ção</w:t>
      </w:r>
      <w:r w:rsidR="0003391C" w:rsidRPr="00D5464D">
        <w:rPr>
          <w:rFonts w:cs="Arial"/>
          <w:szCs w:val="20"/>
          <w:lang w:val="pt-BR"/>
        </w:rPr>
        <w:t xml:space="preserve"> de</w:t>
      </w:r>
      <w:r w:rsidR="00E045D9" w:rsidRPr="00D5464D">
        <w:rPr>
          <w:rFonts w:cs="Arial"/>
          <w:szCs w:val="20"/>
          <w:lang w:val="pt-BR"/>
        </w:rPr>
        <w:t xml:space="preserve"> uma </w:t>
      </w:r>
      <w:r w:rsidR="002C330E" w:rsidRPr="00D5464D">
        <w:rPr>
          <w:rFonts w:cs="Arial"/>
          <w:szCs w:val="20"/>
          <w:lang w:val="pt-BR"/>
        </w:rPr>
        <w:t>nova</w:t>
      </w:r>
      <w:r w:rsidR="0003391C" w:rsidRPr="00D5464D">
        <w:rPr>
          <w:rFonts w:cs="Arial"/>
          <w:szCs w:val="20"/>
          <w:lang w:val="pt-BR"/>
        </w:rPr>
        <w:t xml:space="preserve"> fiscaliza</w:t>
      </w:r>
      <w:r w:rsidR="00470ADC" w:rsidRPr="00D5464D">
        <w:rPr>
          <w:rFonts w:cs="Arial"/>
          <w:szCs w:val="20"/>
          <w:lang w:val="pt-BR"/>
        </w:rPr>
        <w:t xml:space="preserve">ção à </w:t>
      </w:r>
      <w:r w:rsidR="00D809F0" w:rsidRPr="00D5464D">
        <w:rPr>
          <w:rFonts w:cs="Arial"/>
          <w:szCs w:val="20"/>
          <w:lang w:val="pt-BR"/>
        </w:rPr>
        <w:t>fazenda</w:t>
      </w:r>
      <w:r w:rsidR="0003391C" w:rsidRPr="00D5464D">
        <w:rPr>
          <w:rFonts w:cs="Arial"/>
          <w:szCs w:val="20"/>
          <w:lang w:val="pt-BR"/>
        </w:rPr>
        <w:t xml:space="preserve">, </w:t>
      </w:r>
      <w:r w:rsidR="00470ADC" w:rsidRPr="00D5464D">
        <w:rPr>
          <w:rFonts w:cs="Arial"/>
          <w:szCs w:val="20"/>
          <w:lang w:val="pt-BR"/>
        </w:rPr>
        <w:t xml:space="preserve">devido ao </w:t>
      </w:r>
      <w:r w:rsidR="00E045D9" w:rsidRPr="00D5464D">
        <w:rPr>
          <w:rFonts w:cs="Arial"/>
          <w:szCs w:val="20"/>
          <w:lang w:val="pt-BR"/>
        </w:rPr>
        <w:t>tempo</w:t>
      </w:r>
      <w:r w:rsidR="0003391C" w:rsidRPr="00D5464D">
        <w:rPr>
          <w:rFonts w:cs="Arial"/>
          <w:szCs w:val="20"/>
          <w:lang w:val="pt-BR"/>
        </w:rPr>
        <w:t xml:space="preserve"> </w:t>
      </w:r>
      <w:r w:rsidR="00A1358C" w:rsidRPr="00D5464D">
        <w:rPr>
          <w:rFonts w:cs="Arial"/>
          <w:szCs w:val="20"/>
          <w:lang w:val="pt-BR"/>
        </w:rPr>
        <w:t>transcorrido</w:t>
      </w:r>
      <w:r w:rsidR="0003391C" w:rsidRPr="00D5464D">
        <w:rPr>
          <w:rFonts w:cs="Arial"/>
          <w:szCs w:val="20"/>
          <w:lang w:val="pt-BR"/>
        </w:rPr>
        <w:t xml:space="preserve"> </w:t>
      </w:r>
      <w:r w:rsidR="00230C71" w:rsidRPr="00D5464D">
        <w:rPr>
          <w:rFonts w:cs="Arial"/>
          <w:szCs w:val="20"/>
          <w:lang w:val="pt-BR"/>
        </w:rPr>
        <w:t>desde a</w:t>
      </w:r>
      <w:r w:rsidR="00E045D9" w:rsidRPr="00D5464D">
        <w:rPr>
          <w:rFonts w:cs="Arial"/>
          <w:szCs w:val="20"/>
          <w:lang w:val="pt-BR"/>
        </w:rPr>
        <w:t xml:space="preserve"> </w:t>
      </w:r>
      <w:r w:rsidR="0003391C" w:rsidRPr="00D5464D">
        <w:rPr>
          <w:rFonts w:cs="Arial"/>
          <w:szCs w:val="20"/>
          <w:lang w:val="pt-BR"/>
        </w:rPr>
        <w:t>última</w:t>
      </w:r>
      <w:r w:rsidR="003A0AC2" w:rsidRPr="00D5464D">
        <w:rPr>
          <w:rFonts w:cs="Arial"/>
          <w:szCs w:val="20"/>
          <w:lang w:val="pt-BR"/>
        </w:rPr>
        <w:t>.</w:t>
      </w:r>
      <w:r w:rsidR="0003391C" w:rsidRPr="00D5464D">
        <w:rPr>
          <w:rStyle w:val="Refdenotaalpie"/>
          <w:rFonts w:cs="Arial"/>
          <w:lang w:val="pt-BR"/>
        </w:rPr>
        <w:footnoteReference w:id="169"/>
      </w:r>
      <w:r w:rsidRPr="00D5464D">
        <w:rPr>
          <w:rFonts w:cs="Times New Roman"/>
          <w:szCs w:val="20"/>
          <w:lang w:val="pt-BR"/>
        </w:rPr>
        <w:t xml:space="preserve"> Em 8</w:t>
      </w:r>
      <w:r w:rsidR="0003391C" w:rsidRPr="00D5464D">
        <w:rPr>
          <w:rFonts w:cs="Arial"/>
          <w:szCs w:val="20"/>
          <w:lang w:val="pt-BR"/>
        </w:rPr>
        <w:t xml:space="preserve"> de </w:t>
      </w:r>
      <w:r w:rsidR="00470ADC" w:rsidRPr="00D5464D">
        <w:rPr>
          <w:rFonts w:cs="Arial"/>
          <w:szCs w:val="20"/>
          <w:lang w:val="pt-BR"/>
        </w:rPr>
        <w:t>fevereiro</w:t>
      </w:r>
      <w:r w:rsidR="0003391C" w:rsidRPr="00D5464D">
        <w:rPr>
          <w:rFonts w:cs="Arial"/>
          <w:szCs w:val="20"/>
          <w:lang w:val="pt-BR"/>
        </w:rPr>
        <w:t xml:space="preserve"> de 1999</w:t>
      </w:r>
      <w:r w:rsidR="003A0AC2" w:rsidRPr="00D5464D">
        <w:rPr>
          <w:rFonts w:cs="Arial"/>
          <w:szCs w:val="20"/>
          <w:lang w:val="pt-BR"/>
        </w:rPr>
        <w:t>,</w:t>
      </w:r>
      <w:r w:rsidR="002C330E" w:rsidRPr="00D5464D">
        <w:rPr>
          <w:rFonts w:cs="Arial"/>
          <w:szCs w:val="20"/>
          <w:lang w:val="pt-BR"/>
        </w:rPr>
        <w:t xml:space="preserve"> a </w:t>
      </w:r>
      <w:r w:rsidR="003A0AC2" w:rsidRPr="00D5464D">
        <w:rPr>
          <w:rFonts w:cs="Arial"/>
          <w:szCs w:val="20"/>
          <w:lang w:val="pt-BR"/>
        </w:rPr>
        <w:t>DRT do</w:t>
      </w:r>
      <w:r w:rsidR="0003391C" w:rsidRPr="00D5464D">
        <w:rPr>
          <w:rFonts w:cs="Arial"/>
          <w:szCs w:val="20"/>
          <w:lang w:val="pt-BR"/>
        </w:rPr>
        <w:t xml:space="preserve"> Pará </w:t>
      </w:r>
      <w:r w:rsidR="002C330E" w:rsidRPr="00D5464D">
        <w:rPr>
          <w:rFonts w:cs="Arial"/>
          <w:szCs w:val="20"/>
          <w:lang w:val="pt-BR"/>
        </w:rPr>
        <w:t>informou</w:t>
      </w:r>
      <w:r w:rsidR="0003391C" w:rsidRPr="00D5464D">
        <w:rPr>
          <w:rFonts w:cs="Arial"/>
          <w:szCs w:val="20"/>
          <w:lang w:val="pt-BR"/>
        </w:rPr>
        <w:t xml:space="preserve"> que </w:t>
      </w:r>
      <w:r w:rsidR="00737270" w:rsidRPr="00D5464D">
        <w:rPr>
          <w:rFonts w:cs="Arial"/>
          <w:szCs w:val="20"/>
          <w:lang w:val="pt-BR"/>
        </w:rPr>
        <w:t>não havia</w:t>
      </w:r>
      <w:r w:rsidR="0003391C" w:rsidRPr="00D5464D">
        <w:rPr>
          <w:rFonts w:cs="Arial"/>
          <w:szCs w:val="20"/>
          <w:lang w:val="pt-BR"/>
        </w:rPr>
        <w:t xml:space="preserve"> realizado</w:t>
      </w:r>
      <w:r w:rsidR="002C330E" w:rsidRPr="00D5464D">
        <w:rPr>
          <w:rFonts w:cs="Arial"/>
          <w:szCs w:val="20"/>
          <w:lang w:val="pt-BR"/>
        </w:rPr>
        <w:t xml:space="preserve"> a </w:t>
      </w:r>
      <w:r w:rsidR="0003391C" w:rsidRPr="00D5464D">
        <w:rPr>
          <w:rFonts w:cs="Arial"/>
          <w:szCs w:val="20"/>
          <w:lang w:val="pt-BR"/>
        </w:rPr>
        <w:t>fiscaliza</w:t>
      </w:r>
      <w:r w:rsidR="00470ADC" w:rsidRPr="00D5464D">
        <w:rPr>
          <w:rFonts w:cs="Arial"/>
          <w:szCs w:val="20"/>
          <w:lang w:val="pt-BR"/>
        </w:rPr>
        <w:t>ção</w:t>
      </w:r>
      <w:r w:rsidR="0003391C" w:rsidRPr="00D5464D">
        <w:rPr>
          <w:rFonts w:cs="Arial"/>
          <w:szCs w:val="20"/>
          <w:lang w:val="pt-BR"/>
        </w:rPr>
        <w:t xml:space="preserve"> por falta de recursos </w:t>
      </w:r>
      <w:r w:rsidR="00470ADC" w:rsidRPr="00D5464D">
        <w:rPr>
          <w:rFonts w:cs="Arial"/>
          <w:szCs w:val="20"/>
          <w:lang w:val="pt-BR"/>
        </w:rPr>
        <w:t>financeiro</w:t>
      </w:r>
      <w:r w:rsidR="0003391C" w:rsidRPr="00D5464D">
        <w:rPr>
          <w:rFonts w:cs="Arial"/>
          <w:szCs w:val="20"/>
          <w:lang w:val="pt-BR"/>
        </w:rPr>
        <w:t>s</w:t>
      </w:r>
      <w:r w:rsidR="003A0AC2" w:rsidRPr="00D5464D">
        <w:rPr>
          <w:rFonts w:cs="Arial"/>
          <w:szCs w:val="20"/>
          <w:lang w:val="pt-BR"/>
        </w:rPr>
        <w:t>.</w:t>
      </w:r>
      <w:r w:rsidR="0003391C" w:rsidRPr="00D5464D">
        <w:rPr>
          <w:rStyle w:val="Refdenotaalpie"/>
          <w:rFonts w:cs="Arial"/>
          <w:lang w:val="pt-BR"/>
        </w:rPr>
        <w:footnoteReference w:id="170"/>
      </w:r>
      <w:r w:rsidR="00A1358C" w:rsidRPr="00D5464D">
        <w:rPr>
          <w:rFonts w:cs="Arial"/>
          <w:szCs w:val="20"/>
          <w:lang w:val="pt-BR"/>
        </w:rPr>
        <w:t xml:space="preserve"> </w:t>
      </w:r>
      <w:r w:rsidRPr="00D5464D">
        <w:rPr>
          <w:rFonts w:cs="Arial"/>
          <w:szCs w:val="20"/>
          <w:lang w:val="pt-BR"/>
        </w:rPr>
        <w:t>Em 1</w:t>
      </w:r>
      <w:r w:rsidR="0003391C" w:rsidRPr="00D5464D">
        <w:rPr>
          <w:rFonts w:cs="Arial"/>
          <w:szCs w:val="20"/>
          <w:lang w:val="pt-BR"/>
        </w:rPr>
        <w:t xml:space="preserve">5 de </w:t>
      </w:r>
      <w:r w:rsidR="002C330E" w:rsidRPr="00D5464D">
        <w:rPr>
          <w:rFonts w:cs="Arial"/>
          <w:szCs w:val="20"/>
          <w:lang w:val="pt-BR"/>
        </w:rPr>
        <w:t>junho</w:t>
      </w:r>
      <w:r w:rsidR="0003391C" w:rsidRPr="00D5464D">
        <w:rPr>
          <w:rFonts w:cs="Arial"/>
          <w:szCs w:val="20"/>
          <w:lang w:val="pt-BR"/>
        </w:rPr>
        <w:t xml:space="preserve"> de 1999</w:t>
      </w:r>
      <w:r w:rsidR="003A0AC2" w:rsidRPr="00D5464D">
        <w:rPr>
          <w:rFonts w:cs="Arial"/>
          <w:szCs w:val="20"/>
          <w:lang w:val="pt-BR"/>
        </w:rPr>
        <w:t>,</w:t>
      </w:r>
      <w:r w:rsidR="00470ADC" w:rsidRPr="00D5464D">
        <w:rPr>
          <w:rFonts w:cs="Arial"/>
          <w:szCs w:val="20"/>
          <w:lang w:val="pt-BR"/>
        </w:rPr>
        <w:t xml:space="preserve"> o </w:t>
      </w:r>
      <w:r w:rsidR="002C330E" w:rsidRPr="00D5464D">
        <w:rPr>
          <w:rFonts w:cs="Arial"/>
          <w:szCs w:val="20"/>
          <w:lang w:val="pt-BR"/>
        </w:rPr>
        <w:t>Ministério</w:t>
      </w:r>
      <w:r w:rsidR="0003391C" w:rsidRPr="00D5464D">
        <w:rPr>
          <w:rFonts w:cs="Arial"/>
          <w:szCs w:val="20"/>
          <w:lang w:val="pt-BR"/>
        </w:rPr>
        <w:t xml:space="preserve"> Público </w:t>
      </w:r>
      <w:r w:rsidR="00470ADC" w:rsidRPr="00D5464D">
        <w:rPr>
          <w:rFonts w:cs="Arial"/>
          <w:szCs w:val="20"/>
          <w:lang w:val="pt-BR"/>
        </w:rPr>
        <w:t xml:space="preserve">do </w:t>
      </w:r>
      <w:r w:rsidR="00E045D9" w:rsidRPr="00D5464D">
        <w:rPr>
          <w:rFonts w:cs="Arial"/>
          <w:szCs w:val="20"/>
          <w:lang w:val="pt-BR"/>
        </w:rPr>
        <w:t>Trabalho</w:t>
      </w:r>
      <w:r w:rsidR="0003391C" w:rsidRPr="00D5464D">
        <w:rPr>
          <w:rFonts w:cs="Arial"/>
          <w:szCs w:val="20"/>
          <w:lang w:val="pt-BR"/>
        </w:rPr>
        <w:t xml:space="preserve"> </w:t>
      </w:r>
      <w:r w:rsidR="002C330E" w:rsidRPr="00D5464D">
        <w:rPr>
          <w:rFonts w:cs="Arial"/>
          <w:szCs w:val="20"/>
          <w:lang w:val="pt-BR"/>
        </w:rPr>
        <w:t>reiterou</w:t>
      </w:r>
      <w:r w:rsidR="0003391C" w:rsidRPr="00D5464D">
        <w:rPr>
          <w:rFonts w:cs="Arial"/>
          <w:szCs w:val="20"/>
          <w:lang w:val="pt-BR"/>
        </w:rPr>
        <w:t xml:space="preserve"> s</w:t>
      </w:r>
      <w:r w:rsidR="003A0AC2" w:rsidRPr="00D5464D">
        <w:rPr>
          <w:rFonts w:cs="Arial"/>
          <w:szCs w:val="20"/>
          <w:lang w:val="pt-BR"/>
        </w:rPr>
        <w:t>e</w:t>
      </w:r>
      <w:r w:rsidR="0003391C" w:rsidRPr="00D5464D">
        <w:rPr>
          <w:rFonts w:cs="Arial"/>
          <w:szCs w:val="20"/>
          <w:lang w:val="pt-BR"/>
        </w:rPr>
        <w:t xml:space="preserve">u </w:t>
      </w:r>
      <w:r w:rsidRPr="00D5464D">
        <w:rPr>
          <w:rFonts w:cs="Arial"/>
          <w:szCs w:val="20"/>
          <w:lang w:val="pt-BR"/>
        </w:rPr>
        <w:t>pedido</w:t>
      </w:r>
      <w:r w:rsidR="003A0AC2" w:rsidRPr="00D5464D">
        <w:rPr>
          <w:rFonts w:cs="Arial"/>
          <w:szCs w:val="20"/>
          <w:lang w:val="pt-BR"/>
        </w:rPr>
        <w:t>.</w:t>
      </w:r>
      <w:r w:rsidR="0003391C" w:rsidRPr="00D5464D">
        <w:rPr>
          <w:rStyle w:val="Refdenotaalpie"/>
          <w:rFonts w:cs="Arial"/>
          <w:lang w:val="pt-BR"/>
        </w:rPr>
        <w:footnoteReference w:id="171"/>
      </w:r>
    </w:p>
    <w:p w14:paraId="2C15436E" w14:textId="77777777" w:rsidR="00D65024" w:rsidRPr="00D5464D" w:rsidRDefault="00D65024" w:rsidP="00D65024">
      <w:pPr>
        <w:pStyle w:val="Prrafodelista"/>
        <w:autoSpaceDE w:val="0"/>
        <w:autoSpaceDN w:val="0"/>
        <w:adjustRightInd w:val="0"/>
        <w:ind w:left="0"/>
        <w:contextualSpacing w:val="0"/>
        <w:rPr>
          <w:rFonts w:cs="Arial"/>
          <w:i/>
          <w:iCs/>
          <w:szCs w:val="20"/>
          <w:lang w:val="pt-BR"/>
        </w:rPr>
      </w:pPr>
    </w:p>
    <w:p w14:paraId="5C64647F" w14:textId="4237FF33" w:rsidR="0003391C" w:rsidRPr="00D5464D" w:rsidRDefault="00C91CB1" w:rsidP="00140440">
      <w:pPr>
        <w:pStyle w:val="Prrafodelista"/>
        <w:numPr>
          <w:ilvl w:val="0"/>
          <w:numId w:val="1"/>
        </w:numPr>
        <w:autoSpaceDE w:val="0"/>
        <w:autoSpaceDN w:val="0"/>
        <w:adjustRightInd w:val="0"/>
        <w:contextualSpacing w:val="0"/>
        <w:rPr>
          <w:rFonts w:cs="Arial"/>
          <w:i/>
          <w:iCs/>
          <w:szCs w:val="20"/>
          <w:lang w:val="pt-BR"/>
        </w:rPr>
      </w:pPr>
      <w:r w:rsidRPr="00D5464D">
        <w:rPr>
          <w:rFonts w:cs="Times New Roman"/>
          <w:szCs w:val="20"/>
          <w:lang w:val="pt-BR"/>
        </w:rPr>
        <w:t>Em 1</w:t>
      </w:r>
      <w:r w:rsidR="0003391C" w:rsidRPr="00D5464D">
        <w:rPr>
          <w:rFonts w:cs="Arial"/>
          <w:szCs w:val="20"/>
          <w:lang w:val="pt-BR"/>
        </w:rPr>
        <w:t xml:space="preserve">5 de </w:t>
      </w:r>
      <w:r w:rsidR="00470ADC" w:rsidRPr="00D5464D">
        <w:rPr>
          <w:rFonts w:cs="Arial"/>
          <w:szCs w:val="20"/>
          <w:lang w:val="pt-BR"/>
        </w:rPr>
        <w:t>janeiro</w:t>
      </w:r>
      <w:r w:rsidR="0003391C" w:rsidRPr="00D5464D">
        <w:rPr>
          <w:rFonts w:cs="Arial"/>
          <w:szCs w:val="20"/>
          <w:lang w:val="pt-BR"/>
        </w:rPr>
        <w:t xml:space="preserve"> de 1999</w:t>
      </w:r>
      <w:r w:rsidR="003A0AC2" w:rsidRPr="00D5464D">
        <w:rPr>
          <w:rFonts w:cs="Arial"/>
          <w:szCs w:val="20"/>
          <w:lang w:val="pt-BR"/>
        </w:rPr>
        <w:t>,</w:t>
      </w:r>
      <w:r w:rsidR="002C330E" w:rsidRPr="00D5464D">
        <w:rPr>
          <w:rFonts w:cs="Arial"/>
          <w:szCs w:val="20"/>
          <w:lang w:val="pt-BR"/>
        </w:rPr>
        <w:t xml:space="preserve"> a </w:t>
      </w:r>
      <w:r w:rsidR="00EB1CE9" w:rsidRPr="00D5464D">
        <w:rPr>
          <w:rFonts w:cs="Arial"/>
          <w:szCs w:val="20"/>
          <w:lang w:val="pt-BR"/>
        </w:rPr>
        <w:t>Procuradoria</w:t>
      </w:r>
      <w:r w:rsidR="0003391C" w:rsidRPr="00D5464D">
        <w:rPr>
          <w:rFonts w:cs="Arial"/>
          <w:szCs w:val="20"/>
          <w:lang w:val="pt-BR"/>
        </w:rPr>
        <w:t xml:space="preserve"> </w:t>
      </w:r>
      <w:r w:rsidR="00470ADC" w:rsidRPr="00D5464D">
        <w:rPr>
          <w:rFonts w:cs="Arial"/>
          <w:szCs w:val="20"/>
          <w:lang w:val="pt-BR"/>
        </w:rPr>
        <w:t xml:space="preserve">do </w:t>
      </w:r>
      <w:r w:rsidR="00E045D9" w:rsidRPr="00D5464D">
        <w:rPr>
          <w:rFonts w:cs="Arial"/>
          <w:szCs w:val="20"/>
          <w:lang w:val="pt-BR"/>
        </w:rPr>
        <w:t>Trabalho</w:t>
      </w:r>
      <w:r w:rsidR="0003391C" w:rsidRPr="00D5464D">
        <w:rPr>
          <w:rFonts w:cs="Arial"/>
          <w:szCs w:val="20"/>
          <w:lang w:val="pt-BR"/>
        </w:rPr>
        <w:t xml:space="preserve"> </w:t>
      </w:r>
      <w:r w:rsidR="00230C71" w:rsidRPr="00D5464D">
        <w:rPr>
          <w:rFonts w:cs="Arial"/>
          <w:szCs w:val="20"/>
          <w:lang w:val="pt-BR"/>
        </w:rPr>
        <w:t>recomendou</w:t>
      </w:r>
      <w:r w:rsidR="00470ADC" w:rsidRPr="00D5464D">
        <w:rPr>
          <w:rFonts w:cs="Arial"/>
          <w:szCs w:val="20"/>
          <w:lang w:val="pt-BR"/>
        </w:rPr>
        <w:t xml:space="preserve"> ao </w:t>
      </w:r>
      <w:r w:rsidR="00230C71" w:rsidRPr="00D5464D">
        <w:rPr>
          <w:rFonts w:cs="Arial"/>
          <w:szCs w:val="20"/>
          <w:lang w:val="pt-BR"/>
        </w:rPr>
        <w:t>proprietário</w:t>
      </w:r>
      <w:r w:rsidR="00470ADC" w:rsidRPr="00D5464D">
        <w:rPr>
          <w:rFonts w:cs="Arial"/>
          <w:szCs w:val="20"/>
          <w:lang w:val="pt-BR"/>
        </w:rPr>
        <w:t xml:space="preserve"> da </w:t>
      </w:r>
      <w:r w:rsidR="00D809F0" w:rsidRPr="00D5464D">
        <w:rPr>
          <w:rFonts w:cs="Arial"/>
          <w:szCs w:val="20"/>
          <w:lang w:val="pt-BR"/>
        </w:rPr>
        <w:t>Fazenda</w:t>
      </w:r>
      <w:r w:rsidR="0003391C" w:rsidRPr="00D5464D">
        <w:rPr>
          <w:rFonts w:cs="Arial"/>
          <w:szCs w:val="20"/>
          <w:lang w:val="pt-BR"/>
        </w:rPr>
        <w:t xml:space="preserve"> Brasil Verde </w:t>
      </w:r>
      <w:r w:rsidR="00737270" w:rsidRPr="00D5464D">
        <w:rPr>
          <w:rFonts w:cs="Arial"/>
          <w:szCs w:val="20"/>
          <w:lang w:val="pt-BR"/>
        </w:rPr>
        <w:t>abster-se</w:t>
      </w:r>
      <w:r w:rsidR="00470ADC" w:rsidRPr="00D5464D">
        <w:rPr>
          <w:rFonts w:cs="Arial"/>
          <w:szCs w:val="20"/>
          <w:lang w:val="pt-BR"/>
        </w:rPr>
        <w:t xml:space="preserve"> da </w:t>
      </w:r>
      <w:r w:rsidR="002C330E" w:rsidRPr="00D5464D">
        <w:rPr>
          <w:rFonts w:cs="Arial"/>
          <w:szCs w:val="20"/>
          <w:lang w:val="pt-BR"/>
        </w:rPr>
        <w:t>prática</w:t>
      </w:r>
      <w:r w:rsidR="003A0AC2" w:rsidRPr="00D5464D">
        <w:rPr>
          <w:rFonts w:cs="Arial"/>
          <w:szCs w:val="20"/>
          <w:lang w:val="pt-BR"/>
        </w:rPr>
        <w:t xml:space="preserve"> de cobranç</w:t>
      </w:r>
      <w:r w:rsidR="0003391C" w:rsidRPr="00D5464D">
        <w:rPr>
          <w:rFonts w:cs="Arial"/>
          <w:szCs w:val="20"/>
          <w:lang w:val="pt-BR"/>
        </w:rPr>
        <w:t>a de ca</w:t>
      </w:r>
      <w:r w:rsidR="003A0AC2" w:rsidRPr="00D5464D">
        <w:rPr>
          <w:rFonts w:cs="Arial"/>
          <w:szCs w:val="20"/>
          <w:lang w:val="pt-BR"/>
        </w:rPr>
        <w:t>lç</w:t>
      </w:r>
      <w:r w:rsidR="0003391C" w:rsidRPr="00D5464D">
        <w:rPr>
          <w:rFonts w:cs="Arial"/>
          <w:szCs w:val="20"/>
          <w:lang w:val="pt-BR"/>
        </w:rPr>
        <w:t>ado</w:t>
      </w:r>
      <w:r w:rsidR="003A0AC2" w:rsidRPr="00D5464D">
        <w:rPr>
          <w:rFonts w:cs="Arial"/>
          <w:szCs w:val="20"/>
          <w:lang w:val="pt-BR"/>
        </w:rPr>
        <w:t>,</w:t>
      </w:r>
      <w:r w:rsidR="0003391C" w:rsidRPr="00D5464D">
        <w:rPr>
          <w:rFonts w:cs="Arial"/>
          <w:szCs w:val="20"/>
          <w:lang w:val="pt-BR"/>
        </w:rPr>
        <w:t xml:space="preserve"> </w:t>
      </w:r>
      <w:r w:rsidR="003A0AC2" w:rsidRPr="00D5464D">
        <w:rPr>
          <w:rFonts w:cs="Arial"/>
          <w:szCs w:val="20"/>
          <w:lang w:val="pt-BR"/>
        </w:rPr>
        <w:t xml:space="preserve">“sob </w:t>
      </w:r>
      <w:r w:rsidR="0003391C" w:rsidRPr="00D5464D">
        <w:rPr>
          <w:rFonts w:cs="Arial"/>
          <w:szCs w:val="20"/>
          <w:lang w:val="pt-BR"/>
        </w:rPr>
        <w:t xml:space="preserve">pena de </w:t>
      </w:r>
      <w:r w:rsidR="00E37D90" w:rsidRPr="00D5464D">
        <w:rPr>
          <w:rFonts w:cs="Arial"/>
          <w:szCs w:val="20"/>
          <w:lang w:val="pt-BR"/>
        </w:rPr>
        <w:t xml:space="preserve">serem tomadas </w:t>
      </w:r>
      <w:r w:rsidR="0003391C" w:rsidRPr="00D5464D">
        <w:rPr>
          <w:rFonts w:cs="Arial"/>
          <w:szCs w:val="20"/>
          <w:lang w:val="pt-BR"/>
        </w:rPr>
        <w:t xml:space="preserve">medidas </w:t>
      </w:r>
      <w:r w:rsidR="002C330E" w:rsidRPr="00D5464D">
        <w:rPr>
          <w:rFonts w:cs="Arial"/>
          <w:szCs w:val="20"/>
          <w:lang w:val="pt-BR"/>
        </w:rPr>
        <w:t>judiciais</w:t>
      </w:r>
      <w:r w:rsidR="003A0AC2" w:rsidRPr="00D5464D">
        <w:rPr>
          <w:rFonts w:cs="Arial"/>
          <w:szCs w:val="20"/>
          <w:lang w:val="pt-BR"/>
        </w:rPr>
        <w:t>”</w:t>
      </w:r>
      <w:r w:rsidR="00470ADC" w:rsidRPr="00D5464D">
        <w:rPr>
          <w:rFonts w:cs="Arial"/>
          <w:szCs w:val="20"/>
          <w:lang w:val="pt-BR"/>
        </w:rPr>
        <w:t xml:space="preserve"> </w:t>
      </w:r>
      <w:r w:rsidRPr="00D5464D">
        <w:rPr>
          <w:rFonts w:cs="Arial"/>
          <w:szCs w:val="20"/>
          <w:lang w:val="pt-BR"/>
        </w:rPr>
        <w:t>a respeito</w:t>
      </w:r>
      <w:r w:rsidR="003A0AC2" w:rsidRPr="00D5464D">
        <w:rPr>
          <w:rFonts w:cs="Arial"/>
          <w:szCs w:val="20"/>
          <w:lang w:val="pt-BR"/>
        </w:rPr>
        <w:t>.</w:t>
      </w:r>
      <w:r w:rsidR="0003391C" w:rsidRPr="00D5464D">
        <w:rPr>
          <w:rStyle w:val="Refdenotaalpie"/>
          <w:rFonts w:cs="Arial"/>
          <w:lang w:val="pt-BR"/>
        </w:rPr>
        <w:footnoteReference w:id="172"/>
      </w:r>
      <w:r w:rsidR="0003391C" w:rsidRPr="00D5464D">
        <w:rPr>
          <w:rFonts w:cs="Arial"/>
          <w:szCs w:val="20"/>
          <w:lang w:val="pt-BR"/>
        </w:rPr>
        <w:t xml:space="preserve"> </w:t>
      </w:r>
    </w:p>
    <w:p w14:paraId="12704D95" w14:textId="77777777" w:rsidR="0003391C" w:rsidRPr="00D5464D" w:rsidRDefault="0003391C" w:rsidP="00140440">
      <w:pPr>
        <w:pStyle w:val="Prrafodelista"/>
        <w:autoSpaceDE w:val="0"/>
        <w:autoSpaceDN w:val="0"/>
        <w:adjustRightInd w:val="0"/>
        <w:ind w:left="0"/>
        <w:contextualSpacing w:val="0"/>
        <w:rPr>
          <w:rFonts w:cs="Times New Roman"/>
          <w:szCs w:val="20"/>
          <w:lang w:val="pt-BR"/>
        </w:rPr>
      </w:pPr>
    </w:p>
    <w:p w14:paraId="795D00C0" w14:textId="196B0E9D" w:rsidR="004766BC" w:rsidRPr="00D5464D" w:rsidRDefault="006E2220" w:rsidP="008622F3">
      <w:pPr>
        <w:pStyle w:val="Ttulo3"/>
        <w:rPr>
          <w:lang w:val="pt-BR"/>
        </w:rPr>
      </w:pPr>
      <w:bookmarkStart w:id="329" w:name="_Toc460433016"/>
      <w:bookmarkStart w:id="330" w:name="_Toc460441947"/>
      <w:bookmarkStart w:id="331" w:name="_Toc462750765"/>
      <w:bookmarkStart w:id="332" w:name="_Toc462751089"/>
      <w:bookmarkStart w:id="333" w:name="_Toc464813941"/>
      <w:bookmarkStart w:id="334" w:name="_Toc468433902"/>
      <w:r w:rsidRPr="00D5464D">
        <w:rPr>
          <w:lang w:val="pt-BR"/>
        </w:rPr>
        <w:t>B</w:t>
      </w:r>
      <w:r w:rsidR="004766BC" w:rsidRPr="00D5464D">
        <w:rPr>
          <w:lang w:val="pt-BR"/>
        </w:rPr>
        <w:t>.</w:t>
      </w:r>
      <w:r w:rsidR="004B71B2" w:rsidRPr="00D5464D">
        <w:rPr>
          <w:lang w:val="pt-BR"/>
        </w:rPr>
        <w:t>3</w:t>
      </w:r>
      <w:r w:rsidR="00CB7E29" w:rsidRPr="00D5464D">
        <w:rPr>
          <w:lang w:val="pt-BR"/>
        </w:rPr>
        <w:t>.</w:t>
      </w:r>
      <w:r w:rsidR="003A0AC2" w:rsidRPr="00D5464D">
        <w:rPr>
          <w:lang w:val="pt-BR"/>
        </w:rPr>
        <w:t xml:space="preserve"> A</w:t>
      </w:r>
      <w:r w:rsidR="002C330E" w:rsidRPr="00D5464D">
        <w:rPr>
          <w:lang w:val="pt-BR"/>
        </w:rPr>
        <w:t xml:space="preserve"> </w:t>
      </w:r>
      <w:r w:rsidR="004766BC" w:rsidRPr="00D5464D">
        <w:rPr>
          <w:lang w:val="pt-BR"/>
        </w:rPr>
        <w:t>visita</w:t>
      </w:r>
      <w:r w:rsidR="00470ADC" w:rsidRPr="00D5464D">
        <w:rPr>
          <w:lang w:val="pt-BR"/>
        </w:rPr>
        <w:t xml:space="preserve"> à </w:t>
      </w:r>
      <w:r w:rsidR="00D809F0" w:rsidRPr="00D5464D">
        <w:rPr>
          <w:lang w:val="pt-BR"/>
        </w:rPr>
        <w:t>Fazenda</w:t>
      </w:r>
      <w:r w:rsidR="004766BC" w:rsidRPr="00D5464D">
        <w:rPr>
          <w:lang w:val="pt-BR"/>
        </w:rPr>
        <w:t xml:space="preserve"> Brasil Verde</w:t>
      </w:r>
      <w:r w:rsidR="00470ADC" w:rsidRPr="00D5464D">
        <w:rPr>
          <w:lang w:val="pt-BR"/>
        </w:rPr>
        <w:t xml:space="preserve"> em </w:t>
      </w:r>
      <w:r w:rsidR="004766BC" w:rsidRPr="00D5464D">
        <w:rPr>
          <w:lang w:val="pt-BR"/>
        </w:rPr>
        <w:t>2000</w:t>
      </w:r>
      <w:bookmarkEnd w:id="329"/>
      <w:bookmarkEnd w:id="330"/>
      <w:bookmarkEnd w:id="331"/>
      <w:bookmarkEnd w:id="332"/>
      <w:bookmarkEnd w:id="333"/>
      <w:bookmarkEnd w:id="334"/>
      <w:r w:rsidR="004766BC" w:rsidRPr="00D5464D">
        <w:rPr>
          <w:lang w:val="pt-BR"/>
        </w:rPr>
        <w:t xml:space="preserve"> </w:t>
      </w:r>
    </w:p>
    <w:p w14:paraId="7FF2CBB8" w14:textId="77777777" w:rsidR="004766BC" w:rsidRPr="00D5464D" w:rsidRDefault="004766BC" w:rsidP="004766BC">
      <w:pPr>
        <w:autoSpaceDE w:val="0"/>
        <w:autoSpaceDN w:val="0"/>
        <w:adjustRightInd w:val="0"/>
        <w:jc w:val="both"/>
        <w:rPr>
          <w:rFonts w:cs="Arial"/>
          <w:szCs w:val="20"/>
          <w:lang w:val="pt-BR"/>
        </w:rPr>
      </w:pPr>
    </w:p>
    <w:p w14:paraId="207E495B" w14:textId="1E43D9C2" w:rsidR="004766BC" w:rsidRPr="00D5464D" w:rsidRDefault="004766BC" w:rsidP="004766BC">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 xml:space="preserve"> </w:t>
      </w:r>
      <w:r w:rsidRPr="00D5464D">
        <w:rPr>
          <w:lang w:val="pt-BR"/>
        </w:rPr>
        <w:t>Durante</w:t>
      </w:r>
      <w:r w:rsidR="00470ADC" w:rsidRPr="00D5464D">
        <w:rPr>
          <w:lang w:val="pt-BR"/>
        </w:rPr>
        <w:t xml:space="preserve"> o</w:t>
      </w:r>
      <w:r w:rsidR="002C330E" w:rsidRPr="00D5464D">
        <w:rPr>
          <w:lang w:val="pt-BR"/>
        </w:rPr>
        <w:t xml:space="preserve"> mês </w:t>
      </w:r>
      <w:r w:rsidRPr="00D5464D">
        <w:rPr>
          <w:lang w:val="pt-BR"/>
        </w:rPr>
        <w:t xml:space="preserve">de </w:t>
      </w:r>
      <w:r w:rsidR="00470ADC" w:rsidRPr="00D5464D">
        <w:rPr>
          <w:lang w:val="pt-BR"/>
        </w:rPr>
        <w:t>fevereiro</w:t>
      </w:r>
      <w:r w:rsidRPr="00D5464D">
        <w:rPr>
          <w:lang w:val="pt-BR"/>
        </w:rPr>
        <w:t xml:space="preserve"> de 2000,</w:t>
      </w:r>
      <w:r w:rsidR="00470ADC" w:rsidRPr="00D5464D">
        <w:rPr>
          <w:lang w:val="pt-BR"/>
        </w:rPr>
        <w:t xml:space="preserve"> o </w:t>
      </w:r>
      <w:r w:rsidR="00C32FB5" w:rsidRPr="00D5464D">
        <w:rPr>
          <w:lang w:val="pt-BR"/>
        </w:rPr>
        <w:t xml:space="preserve">gato </w:t>
      </w:r>
      <w:r w:rsidR="00470ADC" w:rsidRPr="00D5464D">
        <w:rPr>
          <w:lang w:val="pt-BR"/>
        </w:rPr>
        <w:t>conhecido</w:t>
      </w:r>
      <w:r w:rsidRPr="00D5464D">
        <w:rPr>
          <w:lang w:val="pt-BR"/>
        </w:rPr>
        <w:t xml:space="preserve"> como “Meladinho” </w:t>
      </w:r>
      <w:r w:rsidR="003A0AC2" w:rsidRPr="00D5464D">
        <w:rPr>
          <w:lang w:val="pt-BR"/>
        </w:rPr>
        <w:t>aliciou</w:t>
      </w:r>
      <w:r w:rsidRPr="00D5464D">
        <w:rPr>
          <w:lang w:val="pt-BR"/>
        </w:rPr>
        <w:t xml:space="preserve"> </w:t>
      </w:r>
      <w:r w:rsidR="00E045D9" w:rsidRPr="00D5464D">
        <w:rPr>
          <w:lang w:val="pt-BR"/>
        </w:rPr>
        <w:t xml:space="preserve">trabalhadores no </w:t>
      </w:r>
      <w:r w:rsidR="00230C71" w:rsidRPr="00D5464D">
        <w:rPr>
          <w:lang w:val="pt-BR"/>
        </w:rPr>
        <w:t>Município</w:t>
      </w:r>
      <w:r w:rsidR="003A0AC2" w:rsidRPr="00D5464D">
        <w:rPr>
          <w:lang w:val="pt-BR"/>
        </w:rPr>
        <w:t xml:space="preserve"> de Barras, Estado do</w:t>
      </w:r>
      <w:r w:rsidRPr="00D5464D">
        <w:rPr>
          <w:lang w:val="pt-BR"/>
        </w:rPr>
        <w:t xml:space="preserve"> Piauí, para </w:t>
      </w:r>
      <w:r w:rsidR="00E045D9" w:rsidRPr="00D5464D">
        <w:rPr>
          <w:lang w:val="pt-BR"/>
        </w:rPr>
        <w:t>trabalh</w:t>
      </w:r>
      <w:r w:rsidRPr="00D5464D">
        <w:rPr>
          <w:lang w:val="pt-BR"/>
        </w:rPr>
        <w:t>ar</w:t>
      </w:r>
      <w:r w:rsidR="00E045D9" w:rsidRPr="00D5464D">
        <w:rPr>
          <w:lang w:val="pt-BR"/>
        </w:rPr>
        <w:t xml:space="preserve"> na </w:t>
      </w:r>
      <w:r w:rsidR="00D809F0" w:rsidRPr="00D5464D">
        <w:rPr>
          <w:lang w:val="pt-BR"/>
        </w:rPr>
        <w:t>Fazenda</w:t>
      </w:r>
      <w:r w:rsidRPr="00D5464D">
        <w:rPr>
          <w:lang w:val="pt-BR"/>
        </w:rPr>
        <w:t xml:space="preserve"> Brasil Verde</w:t>
      </w:r>
      <w:r w:rsidR="003A0AC2" w:rsidRPr="00D5464D">
        <w:rPr>
          <w:lang w:val="pt-BR"/>
        </w:rPr>
        <w:t>.</w:t>
      </w:r>
      <w:r w:rsidRPr="00D5464D">
        <w:rPr>
          <w:vertAlign w:val="superscript"/>
          <w:lang w:val="pt-BR"/>
        </w:rPr>
        <w:footnoteReference w:id="173"/>
      </w:r>
      <w:r w:rsidR="00A1358C" w:rsidRPr="00D5464D">
        <w:rPr>
          <w:lang w:val="pt-BR"/>
        </w:rPr>
        <w:t xml:space="preserve"> O </w:t>
      </w:r>
      <w:r w:rsidR="00C32FB5" w:rsidRPr="00D5464D">
        <w:rPr>
          <w:lang w:val="pt-BR"/>
        </w:rPr>
        <w:t xml:space="preserve">gato </w:t>
      </w:r>
      <w:r w:rsidRPr="00D5464D">
        <w:rPr>
          <w:lang w:val="pt-BR"/>
        </w:rPr>
        <w:t>coment</w:t>
      </w:r>
      <w:r w:rsidR="00350187" w:rsidRPr="00D5464D">
        <w:rPr>
          <w:lang w:val="pt-BR"/>
        </w:rPr>
        <w:t xml:space="preserve">ava </w:t>
      </w:r>
      <w:r w:rsidRPr="00D5464D">
        <w:rPr>
          <w:lang w:val="pt-BR"/>
        </w:rPr>
        <w:t>que</w:t>
      </w:r>
      <w:r w:rsidR="00470ADC" w:rsidRPr="00D5464D">
        <w:rPr>
          <w:lang w:val="pt-BR"/>
        </w:rPr>
        <w:t xml:space="preserve"> o </w:t>
      </w:r>
      <w:r w:rsidR="00E045D9" w:rsidRPr="00D5464D">
        <w:rPr>
          <w:lang w:val="pt-BR"/>
        </w:rPr>
        <w:t>salário</w:t>
      </w:r>
      <w:r w:rsidRPr="00D5464D">
        <w:rPr>
          <w:lang w:val="pt-BR"/>
        </w:rPr>
        <w:t xml:space="preserve"> que </w:t>
      </w:r>
      <w:r w:rsidR="002C330E" w:rsidRPr="00D5464D">
        <w:rPr>
          <w:lang w:val="pt-BR"/>
        </w:rPr>
        <w:t>recebe</w:t>
      </w:r>
      <w:r w:rsidR="00350187" w:rsidRPr="00D5464D">
        <w:rPr>
          <w:lang w:val="pt-BR"/>
        </w:rPr>
        <w:t xml:space="preserve">riam </w:t>
      </w:r>
      <w:r w:rsidR="00E045D9" w:rsidRPr="00D5464D">
        <w:rPr>
          <w:lang w:val="pt-BR"/>
        </w:rPr>
        <w:t xml:space="preserve">seria </w:t>
      </w:r>
      <w:r w:rsidRPr="00D5464D">
        <w:rPr>
          <w:lang w:val="pt-BR"/>
        </w:rPr>
        <w:t xml:space="preserve">de 10 </w:t>
      </w:r>
      <w:r w:rsidR="002C330E" w:rsidRPr="00D5464D">
        <w:rPr>
          <w:lang w:val="pt-BR"/>
        </w:rPr>
        <w:t>reais</w:t>
      </w:r>
      <w:r w:rsidRPr="00D5464D">
        <w:rPr>
          <w:lang w:val="pt-BR"/>
        </w:rPr>
        <w:t xml:space="preserve"> por “alqueire de juquira roçada</w:t>
      </w:r>
      <w:r w:rsidR="003A0AC2" w:rsidRPr="00D5464D">
        <w:rPr>
          <w:lang w:val="pt-BR"/>
        </w:rPr>
        <w:t>”</w:t>
      </w:r>
      <w:r w:rsidR="004D50FA" w:rsidRPr="00D5464D">
        <w:rPr>
          <w:rStyle w:val="Refdenotaalpie"/>
          <w:lang w:val="pt-BR"/>
        </w:rPr>
        <w:footnoteReference w:id="174"/>
      </w:r>
      <w:r w:rsidRPr="00D5464D">
        <w:rPr>
          <w:lang w:val="pt-BR"/>
        </w:rPr>
        <w:t>,</w:t>
      </w:r>
      <w:r w:rsidR="00A1358C" w:rsidRPr="00D5464D">
        <w:rPr>
          <w:lang w:val="pt-BR"/>
        </w:rPr>
        <w:t xml:space="preserve"> o que </w:t>
      </w:r>
      <w:r w:rsidRPr="00D5464D">
        <w:rPr>
          <w:lang w:val="pt-BR"/>
        </w:rPr>
        <w:t>era considerado</w:t>
      </w:r>
      <w:r w:rsidR="002C330E" w:rsidRPr="00D5464D">
        <w:rPr>
          <w:lang w:val="pt-BR"/>
        </w:rPr>
        <w:t xml:space="preserve"> pelos </w:t>
      </w:r>
      <w:r w:rsidR="00E045D9" w:rsidRPr="00D5464D">
        <w:rPr>
          <w:lang w:val="pt-BR"/>
        </w:rPr>
        <w:t>trabalhadores</w:t>
      </w:r>
      <w:r w:rsidRPr="00D5464D">
        <w:rPr>
          <w:lang w:val="pt-BR"/>
        </w:rPr>
        <w:t xml:space="preserve"> como</w:t>
      </w:r>
      <w:r w:rsidR="00E045D9" w:rsidRPr="00D5464D">
        <w:rPr>
          <w:lang w:val="pt-BR"/>
        </w:rPr>
        <w:t xml:space="preserve"> um salário</w:t>
      </w:r>
      <w:r w:rsidRPr="00D5464D">
        <w:rPr>
          <w:lang w:val="pt-BR"/>
        </w:rPr>
        <w:t xml:space="preserve"> </w:t>
      </w:r>
      <w:r w:rsidR="002C330E" w:rsidRPr="00D5464D">
        <w:rPr>
          <w:lang w:val="pt-BR"/>
        </w:rPr>
        <w:t>muito</w:t>
      </w:r>
      <w:r w:rsidRPr="00D5464D">
        <w:rPr>
          <w:lang w:val="pt-BR"/>
        </w:rPr>
        <w:t xml:space="preserve"> atr</w:t>
      </w:r>
      <w:r w:rsidR="00470ADC" w:rsidRPr="00D5464D">
        <w:rPr>
          <w:lang w:val="pt-BR"/>
        </w:rPr>
        <w:t>ativ</w:t>
      </w:r>
      <w:r w:rsidRPr="00D5464D">
        <w:rPr>
          <w:lang w:val="pt-BR"/>
        </w:rPr>
        <w:t xml:space="preserve">o. </w:t>
      </w:r>
      <w:r w:rsidR="00350187" w:rsidRPr="00D5464D">
        <w:rPr>
          <w:lang w:val="pt-BR"/>
        </w:rPr>
        <w:t xml:space="preserve">Além disso, </w:t>
      </w:r>
      <w:r w:rsidRPr="00D5464D">
        <w:rPr>
          <w:lang w:val="pt-BR"/>
        </w:rPr>
        <w:t>como parte</w:t>
      </w:r>
      <w:r w:rsidR="00470ADC" w:rsidRPr="00D5464D">
        <w:rPr>
          <w:lang w:val="pt-BR"/>
        </w:rPr>
        <w:t xml:space="preserve"> da </w:t>
      </w:r>
      <w:r w:rsidRPr="00D5464D">
        <w:rPr>
          <w:lang w:val="pt-BR"/>
        </w:rPr>
        <w:t>oferta,</w:t>
      </w:r>
      <w:r w:rsidR="00470ADC" w:rsidRPr="00D5464D">
        <w:rPr>
          <w:lang w:val="pt-BR"/>
        </w:rPr>
        <w:t xml:space="preserve"> o </w:t>
      </w:r>
      <w:r w:rsidR="00C32FB5" w:rsidRPr="00D5464D">
        <w:rPr>
          <w:lang w:val="pt-BR"/>
        </w:rPr>
        <w:t xml:space="preserve">gato </w:t>
      </w:r>
      <w:r w:rsidRPr="00D5464D">
        <w:rPr>
          <w:lang w:val="pt-BR"/>
        </w:rPr>
        <w:t>entreg</w:t>
      </w:r>
      <w:r w:rsidR="00350187" w:rsidRPr="00D5464D">
        <w:rPr>
          <w:lang w:val="pt-BR"/>
        </w:rPr>
        <w:t xml:space="preserve">ava </w:t>
      </w:r>
      <w:r w:rsidR="00E045D9" w:rsidRPr="00D5464D">
        <w:rPr>
          <w:lang w:val="pt-BR"/>
        </w:rPr>
        <w:t xml:space="preserve">aos </w:t>
      </w:r>
      <w:r w:rsidR="002C330E" w:rsidRPr="00D5464D">
        <w:rPr>
          <w:lang w:val="pt-BR"/>
        </w:rPr>
        <w:t>interessad</w:t>
      </w:r>
      <w:r w:rsidRPr="00D5464D">
        <w:rPr>
          <w:lang w:val="pt-BR"/>
        </w:rPr>
        <w:t>os</w:t>
      </w:r>
      <w:r w:rsidR="00E045D9" w:rsidRPr="00D5464D">
        <w:rPr>
          <w:lang w:val="pt-BR"/>
        </w:rPr>
        <w:t xml:space="preserve"> um </w:t>
      </w:r>
      <w:r w:rsidR="003A0AC2" w:rsidRPr="00D5464D">
        <w:rPr>
          <w:lang w:val="pt-BR"/>
        </w:rPr>
        <w:t xml:space="preserve">adiantamento </w:t>
      </w:r>
      <w:r w:rsidRPr="00D5464D">
        <w:rPr>
          <w:lang w:val="pt-BR"/>
        </w:rPr>
        <w:t xml:space="preserve">de </w:t>
      </w:r>
      <w:r w:rsidR="00E045D9" w:rsidRPr="00D5464D">
        <w:rPr>
          <w:lang w:val="pt-BR"/>
        </w:rPr>
        <w:t>salário</w:t>
      </w:r>
      <w:r w:rsidR="00736356" w:rsidRPr="00D5464D">
        <w:rPr>
          <w:lang w:val="pt-BR"/>
        </w:rPr>
        <w:t xml:space="preserve"> de entre 30</w:t>
      </w:r>
      <w:r w:rsidR="00E045D9" w:rsidRPr="00D5464D">
        <w:rPr>
          <w:lang w:val="pt-BR"/>
        </w:rPr>
        <w:t xml:space="preserve"> e </w:t>
      </w:r>
      <w:r w:rsidR="00736356" w:rsidRPr="00D5464D">
        <w:rPr>
          <w:lang w:val="pt-BR"/>
        </w:rPr>
        <w:t xml:space="preserve">60 </w:t>
      </w:r>
      <w:r w:rsidR="002C330E" w:rsidRPr="00D5464D">
        <w:rPr>
          <w:lang w:val="pt-BR"/>
        </w:rPr>
        <w:t>reais</w:t>
      </w:r>
      <w:r w:rsidRPr="00D5464D">
        <w:rPr>
          <w:lang w:val="pt-BR"/>
        </w:rPr>
        <w:t xml:space="preserve">. </w:t>
      </w:r>
      <w:r w:rsidR="003A0AC2" w:rsidRPr="00D5464D">
        <w:rPr>
          <w:lang w:val="pt-BR"/>
        </w:rPr>
        <w:t>Além disso</w:t>
      </w:r>
      <w:r w:rsidRPr="00D5464D">
        <w:rPr>
          <w:lang w:val="pt-BR"/>
        </w:rPr>
        <w:t>,</w:t>
      </w:r>
      <w:r w:rsidR="002C330E" w:rsidRPr="00D5464D">
        <w:rPr>
          <w:lang w:val="pt-BR"/>
        </w:rPr>
        <w:t xml:space="preserve"> lhes </w:t>
      </w:r>
      <w:r w:rsidR="00E765C2" w:rsidRPr="00D5464D">
        <w:rPr>
          <w:lang w:val="pt-BR"/>
        </w:rPr>
        <w:t>oferecia</w:t>
      </w:r>
      <w:r w:rsidRPr="00D5464D">
        <w:rPr>
          <w:lang w:val="pt-BR"/>
        </w:rPr>
        <w:t xml:space="preserve"> transporte, alimenta</w:t>
      </w:r>
      <w:r w:rsidR="00470ADC" w:rsidRPr="00D5464D">
        <w:rPr>
          <w:lang w:val="pt-BR"/>
        </w:rPr>
        <w:t>ção</w:t>
      </w:r>
      <w:r w:rsidR="00E045D9" w:rsidRPr="00D5464D">
        <w:rPr>
          <w:lang w:val="pt-BR"/>
        </w:rPr>
        <w:t xml:space="preserve"> e </w:t>
      </w:r>
      <w:r w:rsidR="00737270" w:rsidRPr="00D5464D">
        <w:rPr>
          <w:lang w:val="pt-BR"/>
        </w:rPr>
        <w:t>alojamento</w:t>
      </w:r>
      <w:r w:rsidRPr="00D5464D">
        <w:rPr>
          <w:lang w:val="pt-BR"/>
        </w:rPr>
        <w:t xml:space="preserve"> durante su</w:t>
      </w:r>
      <w:r w:rsidR="003A0AC2" w:rsidRPr="00D5464D">
        <w:rPr>
          <w:lang w:val="pt-BR"/>
        </w:rPr>
        <w:t>a</w:t>
      </w:r>
      <w:r w:rsidRPr="00D5464D">
        <w:rPr>
          <w:lang w:val="pt-BR"/>
        </w:rPr>
        <w:t xml:space="preserve"> esta</w:t>
      </w:r>
      <w:r w:rsidR="00470ADC" w:rsidRPr="00D5464D">
        <w:rPr>
          <w:lang w:val="pt-BR"/>
        </w:rPr>
        <w:t>da</w:t>
      </w:r>
      <w:r w:rsidR="00E045D9" w:rsidRPr="00D5464D">
        <w:rPr>
          <w:lang w:val="pt-BR"/>
        </w:rPr>
        <w:t xml:space="preserve"> na </w:t>
      </w:r>
      <w:r w:rsidR="00D809F0" w:rsidRPr="00D5464D">
        <w:rPr>
          <w:lang w:val="pt-BR"/>
        </w:rPr>
        <w:t>fazenda</w:t>
      </w:r>
      <w:r w:rsidRPr="00D5464D">
        <w:rPr>
          <w:lang w:val="pt-BR"/>
        </w:rPr>
        <w:t xml:space="preserve">. </w:t>
      </w:r>
    </w:p>
    <w:p w14:paraId="27D0F71C" w14:textId="77777777" w:rsidR="004766BC" w:rsidRPr="00D5464D" w:rsidRDefault="004766BC" w:rsidP="004766BC">
      <w:pPr>
        <w:pStyle w:val="Prrafodelista"/>
        <w:autoSpaceDE w:val="0"/>
        <w:autoSpaceDN w:val="0"/>
        <w:adjustRightInd w:val="0"/>
        <w:ind w:left="0"/>
        <w:contextualSpacing w:val="0"/>
        <w:rPr>
          <w:rFonts w:cs="Arial"/>
          <w:szCs w:val="20"/>
          <w:lang w:val="pt-BR"/>
        </w:rPr>
      </w:pPr>
    </w:p>
    <w:p w14:paraId="16A4B8DA" w14:textId="4C2BCD41" w:rsidR="004766BC" w:rsidRPr="00D5464D" w:rsidRDefault="004766BC" w:rsidP="004766BC">
      <w:pPr>
        <w:pStyle w:val="Prrafodelista"/>
        <w:numPr>
          <w:ilvl w:val="0"/>
          <w:numId w:val="1"/>
        </w:numPr>
        <w:autoSpaceDE w:val="0"/>
        <w:autoSpaceDN w:val="0"/>
        <w:adjustRightInd w:val="0"/>
        <w:contextualSpacing w:val="0"/>
        <w:rPr>
          <w:rFonts w:cs="Arial"/>
          <w:szCs w:val="20"/>
          <w:lang w:val="pt-BR"/>
        </w:rPr>
      </w:pPr>
      <w:r w:rsidRPr="00D5464D">
        <w:rPr>
          <w:lang w:val="pt-BR"/>
        </w:rPr>
        <w:t xml:space="preserve">Para </w:t>
      </w:r>
      <w:r w:rsidR="00737270" w:rsidRPr="00D5464D">
        <w:rPr>
          <w:lang w:val="pt-BR"/>
        </w:rPr>
        <w:t>chegar</w:t>
      </w:r>
      <w:r w:rsidR="00470ADC" w:rsidRPr="00D5464D">
        <w:rPr>
          <w:lang w:val="pt-BR"/>
        </w:rPr>
        <w:t xml:space="preserve"> à </w:t>
      </w:r>
      <w:r w:rsidR="00D809F0" w:rsidRPr="00D5464D">
        <w:rPr>
          <w:lang w:val="pt-BR"/>
        </w:rPr>
        <w:t>Fazenda</w:t>
      </w:r>
      <w:r w:rsidRPr="00D5464D">
        <w:rPr>
          <w:lang w:val="pt-BR"/>
        </w:rPr>
        <w:t xml:space="preserve"> Brasil Verde,</w:t>
      </w:r>
      <w:r w:rsidR="002C330E" w:rsidRPr="00D5464D">
        <w:rPr>
          <w:lang w:val="pt-BR"/>
        </w:rPr>
        <w:t xml:space="preserve"> os </w:t>
      </w:r>
      <w:r w:rsidR="00E045D9" w:rsidRPr="00D5464D">
        <w:rPr>
          <w:lang w:val="pt-BR"/>
        </w:rPr>
        <w:t>trabalhadores</w:t>
      </w:r>
      <w:r w:rsidRPr="00D5464D">
        <w:rPr>
          <w:lang w:val="pt-BR"/>
        </w:rPr>
        <w:t xml:space="preserve"> </w:t>
      </w:r>
      <w:r w:rsidR="00D2372C" w:rsidRPr="00D5464D">
        <w:rPr>
          <w:lang w:val="pt-BR"/>
        </w:rPr>
        <w:t>recruta</w:t>
      </w:r>
      <w:r w:rsidRPr="00D5464D">
        <w:rPr>
          <w:lang w:val="pt-BR"/>
        </w:rPr>
        <w:t xml:space="preserve">dos </w:t>
      </w:r>
      <w:r w:rsidR="00E045D9" w:rsidRPr="00D5464D">
        <w:rPr>
          <w:lang w:val="pt-BR"/>
        </w:rPr>
        <w:t>tiveram</w:t>
      </w:r>
      <w:r w:rsidRPr="00D5464D">
        <w:rPr>
          <w:lang w:val="pt-BR"/>
        </w:rPr>
        <w:t xml:space="preserve"> </w:t>
      </w:r>
      <w:r w:rsidR="003A0AC2" w:rsidRPr="00D5464D">
        <w:rPr>
          <w:lang w:val="pt-BR"/>
        </w:rPr>
        <w:t xml:space="preserve">de </w:t>
      </w:r>
      <w:r w:rsidRPr="00D5464D">
        <w:rPr>
          <w:lang w:val="pt-BR"/>
        </w:rPr>
        <w:t>viajar durante aproximadamente</w:t>
      </w:r>
      <w:r w:rsidR="00E045D9" w:rsidRPr="00D5464D">
        <w:rPr>
          <w:lang w:val="pt-BR"/>
        </w:rPr>
        <w:t xml:space="preserve"> três </w:t>
      </w:r>
      <w:r w:rsidR="00470ADC" w:rsidRPr="00D5464D">
        <w:rPr>
          <w:lang w:val="pt-BR"/>
        </w:rPr>
        <w:t>dia</w:t>
      </w:r>
      <w:r w:rsidRPr="00D5464D">
        <w:rPr>
          <w:lang w:val="pt-BR"/>
        </w:rPr>
        <w:t>s</w:t>
      </w:r>
      <w:r w:rsidR="00470ADC" w:rsidRPr="00D5464D">
        <w:rPr>
          <w:lang w:val="pt-BR"/>
        </w:rPr>
        <w:t xml:space="preserve"> em </w:t>
      </w:r>
      <w:r w:rsidR="003A0AC2" w:rsidRPr="00D5464D">
        <w:rPr>
          <w:lang w:val="pt-BR"/>
        </w:rPr>
        <w:t>ônibus, trem</w:t>
      </w:r>
      <w:r w:rsidR="00E045D9" w:rsidRPr="00D5464D">
        <w:rPr>
          <w:lang w:val="pt-BR"/>
        </w:rPr>
        <w:t xml:space="preserve"> e </w:t>
      </w:r>
      <w:r w:rsidR="00C91CB1" w:rsidRPr="00D5464D">
        <w:rPr>
          <w:lang w:val="pt-BR"/>
        </w:rPr>
        <w:t>caminhão</w:t>
      </w:r>
      <w:r w:rsidR="00A1358C" w:rsidRPr="00D5464D">
        <w:rPr>
          <w:lang w:val="pt-BR"/>
        </w:rPr>
        <w:t xml:space="preserve">. </w:t>
      </w:r>
      <w:r w:rsidR="003A0AC2" w:rsidRPr="00D5464D">
        <w:rPr>
          <w:lang w:val="pt-BR"/>
        </w:rPr>
        <w:t xml:space="preserve">Em relação ao trem, </w:t>
      </w:r>
      <w:r w:rsidR="002C330E" w:rsidRPr="00D5464D">
        <w:rPr>
          <w:lang w:val="pt-BR"/>
        </w:rPr>
        <w:t>as suposta</w:t>
      </w:r>
      <w:r w:rsidRPr="00D5464D">
        <w:rPr>
          <w:lang w:val="pt-BR"/>
        </w:rPr>
        <w:t xml:space="preserve">s </w:t>
      </w:r>
      <w:r w:rsidR="00E045D9" w:rsidRPr="00D5464D">
        <w:rPr>
          <w:lang w:val="pt-BR"/>
        </w:rPr>
        <w:t>vítima</w:t>
      </w:r>
      <w:r w:rsidRPr="00D5464D">
        <w:rPr>
          <w:lang w:val="pt-BR"/>
        </w:rPr>
        <w:t>s d</w:t>
      </w:r>
      <w:r w:rsidR="00470ADC" w:rsidRPr="00D5464D">
        <w:rPr>
          <w:lang w:val="pt-BR"/>
        </w:rPr>
        <w:t>escreveram</w:t>
      </w:r>
      <w:r w:rsidRPr="00D5464D">
        <w:rPr>
          <w:lang w:val="pt-BR"/>
        </w:rPr>
        <w:t xml:space="preserve"> que</w:t>
      </w:r>
      <w:r w:rsidR="003A0AC2" w:rsidRPr="00D5464D">
        <w:rPr>
          <w:lang w:val="pt-BR"/>
        </w:rPr>
        <w:t xml:space="preserve"> a</w:t>
      </w:r>
      <w:r w:rsidR="00470ADC" w:rsidRPr="00D5464D">
        <w:rPr>
          <w:lang w:val="pt-BR"/>
        </w:rPr>
        <w:t xml:space="preserve"> </w:t>
      </w:r>
      <w:r w:rsidR="00E045D9" w:rsidRPr="00D5464D">
        <w:rPr>
          <w:lang w:val="pt-BR"/>
        </w:rPr>
        <w:t xml:space="preserve">viagem </w:t>
      </w:r>
      <w:r w:rsidR="002C330E" w:rsidRPr="00D5464D">
        <w:rPr>
          <w:lang w:val="pt-BR"/>
        </w:rPr>
        <w:t xml:space="preserve">lhes </w:t>
      </w:r>
      <w:r w:rsidR="003A0AC2" w:rsidRPr="00D5464D">
        <w:rPr>
          <w:lang w:val="pt-BR"/>
        </w:rPr>
        <w:t xml:space="preserve">causou </w:t>
      </w:r>
      <w:r w:rsidR="002C330E" w:rsidRPr="00D5464D">
        <w:rPr>
          <w:lang w:val="pt-BR"/>
        </w:rPr>
        <w:t>muito</w:t>
      </w:r>
      <w:r w:rsidRPr="00D5464D">
        <w:rPr>
          <w:lang w:val="pt-BR"/>
        </w:rPr>
        <w:t xml:space="preserve"> </w:t>
      </w:r>
      <w:r w:rsidR="00E045D9" w:rsidRPr="00D5464D">
        <w:rPr>
          <w:lang w:val="pt-BR"/>
        </w:rPr>
        <w:t>sofrimento</w:t>
      </w:r>
      <w:r w:rsidRPr="00D5464D">
        <w:rPr>
          <w:lang w:val="pt-BR"/>
        </w:rPr>
        <w:t>, porque</w:t>
      </w:r>
      <w:r w:rsidR="002C330E" w:rsidRPr="00D5464D">
        <w:rPr>
          <w:lang w:val="pt-BR"/>
        </w:rPr>
        <w:t xml:space="preserve"> os </w:t>
      </w:r>
      <w:r w:rsidRPr="00D5464D">
        <w:rPr>
          <w:lang w:val="pt-BR"/>
        </w:rPr>
        <w:t>coloc</w:t>
      </w:r>
      <w:r w:rsidR="00350187" w:rsidRPr="00D5464D">
        <w:rPr>
          <w:lang w:val="pt-BR"/>
        </w:rPr>
        <w:t xml:space="preserve">aram </w:t>
      </w:r>
      <w:r w:rsidR="00470ADC" w:rsidRPr="00D5464D">
        <w:rPr>
          <w:lang w:val="pt-BR"/>
        </w:rPr>
        <w:t xml:space="preserve">em </w:t>
      </w:r>
      <w:r w:rsidRPr="00D5464D">
        <w:rPr>
          <w:lang w:val="pt-BR"/>
        </w:rPr>
        <w:t>vag</w:t>
      </w:r>
      <w:r w:rsidR="003A0AC2" w:rsidRPr="00D5464D">
        <w:rPr>
          <w:lang w:val="pt-BR"/>
        </w:rPr>
        <w:t xml:space="preserve">ões </w:t>
      </w:r>
      <w:r w:rsidR="002C330E" w:rsidRPr="00D5464D">
        <w:rPr>
          <w:lang w:val="pt-BR"/>
        </w:rPr>
        <w:t xml:space="preserve">sem </w:t>
      </w:r>
      <w:r w:rsidR="00230C71" w:rsidRPr="00D5464D">
        <w:rPr>
          <w:lang w:val="pt-BR"/>
        </w:rPr>
        <w:t>cadeira</w:t>
      </w:r>
      <w:r w:rsidRPr="00D5464D">
        <w:rPr>
          <w:lang w:val="pt-BR"/>
        </w:rPr>
        <w:t xml:space="preserve">s, </w:t>
      </w:r>
      <w:r w:rsidR="00BF6C4E" w:rsidRPr="00D5464D">
        <w:rPr>
          <w:lang w:val="pt-BR"/>
        </w:rPr>
        <w:t>in</w:t>
      </w:r>
      <w:r w:rsidRPr="00D5464D">
        <w:rPr>
          <w:lang w:val="pt-BR"/>
        </w:rPr>
        <w:t>aptos para</w:t>
      </w:r>
      <w:r w:rsidR="00470ADC" w:rsidRPr="00D5464D">
        <w:rPr>
          <w:lang w:val="pt-BR"/>
        </w:rPr>
        <w:t xml:space="preserve"> o </w:t>
      </w:r>
      <w:r w:rsidRPr="00D5464D">
        <w:rPr>
          <w:lang w:val="pt-BR"/>
        </w:rPr>
        <w:t xml:space="preserve">transporte de </w:t>
      </w:r>
      <w:r w:rsidR="002C330E" w:rsidRPr="00D5464D">
        <w:rPr>
          <w:lang w:val="pt-BR"/>
        </w:rPr>
        <w:t>pessoa</w:t>
      </w:r>
      <w:r w:rsidRPr="00D5464D">
        <w:rPr>
          <w:lang w:val="pt-BR"/>
        </w:rPr>
        <w:t xml:space="preserve">s. </w:t>
      </w:r>
      <w:r w:rsidR="00350187" w:rsidRPr="00D5464D">
        <w:rPr>
          <w:lang w:val="pt-BR"/>
        </w:rPr>
        <w:t xml:space="preserve">Além disso, </w:t>
      </w:r>
      <w:r w:rsidRPr="00D5464D">
        <w:rPr>
          <w:lang w:val="pt-BR"/>
        </w:rPr>
        <w:t>declar</w:t>
      </w:r>
      <w:r w:rsidR="00350187" w:rsidRPr="00D5464D">
        <w:rPr>
          <w:lang w:val="pt-BR"/>
        </w:rPr>
        <w:t xml:space="preserve">aram </w:t>
      </w:r>
      <w:r w:rsidRPr="00D5464D">
        <w:rPr>
          <w:lang w:val="pt-BR"/>
        </w:rPr>
        <w:t>que</w:t>
      </w:r>
      <w:r w:rsidR="00470ADC" w:rsidRPr="00D5464D">
        <w:rPr>
          <w:lang w:val="pt-BR"/>
        </w:rPr>
        <w:t xml:space="preserve"> o </w:t>
      </w:r>
      <w:r w:rsidR="00C91CB1" w:rsidRPr="00D5464D">
        <w:rPr>
          <w:lang w:val="pt-BR"/>
        </w:rPr>
        <w:t>caminhão</w:t>
      </w:r>
      <w:r w:rsidRPr="00D5464D">
        <w:rPr>
          <w:lang w:val="pt-BR"/>
        </w:rPr>
        <w:t xml:space="preserve"> era utilizado para transportar </w:t>
      </w:r>
      <w:r w:rsidR="00E045D9" w:rsidRPr="00D5464D">
        <w:rPr>
          <w:lang w:val="pt-BR"/>
        </w:rPr>
        <w:t>animais</w:t>
      </w:r>
      <w:r w:rsidRPr="00D5464D">
        <w:rPr>
          <w:lang w:val="pt-BR"/>
        </w:rPr>
        <w:t xml:space="preserve">, </w:t>
      </w:r>
      <w:r w:rsidR="00E045D9" w:rsidRPr="00D5464D">
        <w:rPr>
          <w:lang w:val="pt-BR"/>
        </w:rPr>
        <w:t>tendo</w:t>
      </w:r>
      <w:r w:rsidRPr="00D5464D">
        <w:rPr>
          <w:lang w:val="pt-BR"/>
        </w:rPr>
        <w:t xml:space="preserve"> </w:t>
      </w:r>
      <w:r w:rsidR="00E045D9" w:rsidRPr="00D5464D">
        <w:rPr>
          <w:lang w:val="pt-BR"/>
        </w:rPr>
        <w:t>então</w:t>
      </w:r>
      <w:r w:rsidRPr="00D5464D">
        <w:rPr>
          <w:lang w:val="pt-BR"/>
        </w:rPr>
        <w:t xml:space="preserve"> que </w:t>
      </w:r>
      <w:r w:rsidR="00230C71" w:rsidRPr="00D5464D">
        <w:rPr>
          <w:lang w:val="pt-BR"/>
        </w:rPr>
        <w:t>compartilhar</w:t>
      </w:r>
      <w:r w:rsidR="00470ADC" w:rsidRPr="00D5464D">
        <w:rPr>
          <w:lang w:val="pt-BR"/>
        </w:rPr>
        <w:t xml:space="preserve"> o espaço com ele</w:t>
      </w:r>
      <w:r w:rsidR="003A0AC2" w:rsidRPr="00D5464D">
        <w:rPr>
          <w:lang w:val="pt-BR"/>
        </w:rPr>
        <w:t>s, senti</w:t>
      </w:r>
      <w:r w:rsidRPr="00D5464D">
        <w:rPr>
          <w:lang w:val="pt-BR"/>
        </w:rPr>
        <w:t>ndo</w:t>
      </w:r>
      <w:r w:rsidR="00E045D9" w:rsidRPr="00D5464D">
        <w:rPr>
          <w:lang w:val="pt-BR"/>
        </w:rPr>
        <w:t xml:space="preserve"> uma </w:t>
      </w:r>
      <w:r w:rsidRPr="00D5464D">
        <w:rPr>
          <w:lang w:val="pt-BR"/>
        </w:rPr>
        <w:t xml:space="preserve">profunda </w:t>
      </w:r>
      <w:r w:rsidR="00350187" w:rsidRPr="00D5464D">
        <w:rPr>
          <w:lang w:val="pt-BR"/>
        </w:rPr>
        <w:t>humilha</w:t>
      </w:r>
      <w:r w:rsidR="00470ADC" w:rsidRPr="00D5464D">
        <w:rPr>
          <w:lang w:val="pt-BR"/>
        </w:rPr>
        <w:t>ção</w:t>
      </w:r>
      <w:r w:rsidRPr="00D5464D">
        <w:rPr>
          <w:lang w:val="pt-BR"/>
        </w:rPr>
        <w:t xml:space="preserve">. </w:t>
      </w:r>
      <w:r w:rsidR="00470ADC" w:rsidRPr="00D5464D">
        <w:rPr>
          <w:lang w:val="pt-BR"/>
        </w:rPr>
        <w:t>Ademais</w:t>
      </w:r>
      <w:r w:rsidRPr="00D5464D">
        <w:rPr>
          <w:lang w:val="pt-BR"/>
        </w:rPr>
        <w:t>,</w:t>
      </w:r>
      <w:r w:rsidR="002C330E" w:rsidRPr="00D5464D">
        <w:rPr>
          <w:lang w:val="pt-BR"/>
        </w:rPr>
        <w:t xml:space="preserve"> os </w:t>
      </w:r>
      <w:r w:rsidR="00E045D9" w:rsidRPr="00D5464D">
        <w:rPr>
          <w:lang w:val="pt-BR"/>
        </w:rPr>
        <w:t>trabalhadores</w:t>
      </w:r>
      <w:r w:rsidRPr="00D5464D">
        <w:rPr>
          <w:lang w:val="pt-BR"/>
        </w:rPr>
        <w:t xml:space="preserve"> </w:t>
      </w:r>
      <w:r w:rsidR="00E045D9" w:rsidRPr="00D5464D">
        <w:rPr>
          <w:lang w:val="pt-BR"/>
        </w:rPr>
        <w:t>tiveram</w:t>
      </w:r>
      <w:r w:rsidRPr="00D5464D">
        <w:rPr>
          <w:lang w:val="pt-BR"/>
        </w:rPr>
        <w:t xml:space="preserve"> </w:t>
      </w:r>
      <w:r w:rsidR="00BF6C4E" w:rsidRPr="00D5464D">
        <w:rPr>
          <w:lang w:val="pt-BR"/>
        </w:rPr>
        <w:t>que</w:t>
      </w:r>
      <w:r w:rsidRPr="00D5464D">
        <w:rPr>
          <w:lang w:val="pt-BR"/>
        </w:rPr>
        <w:t xml:space="preserve"> permanecer</w:t>
      </w:r>
      <w:r w:rsidR="00E045D9" w:rsidRPr="00D5464D">
        <w:rPr>
          <w:lang w:val="pt-BR"/>
        </w:rPr>
        <w:t xml:space="preserve"> uma </w:t>
      </w:r>
      <w:r w:rsidR="002C330E" w:rsidRPr="00D5464D">
        <w:rPr>
          <w:lang w:val="pt-BR"/>
        </w:rPr>
        <w:t>noite</w:t>
      </w:r>
      <w:r w:rsidR="00470ADC" w:rsidRPr="00D5464D">
        <w:rPr>
          <w:lang w:val="pt-BR"/>
        </w:rPr>
        <w:t xml:space="preserve"> em</w:t>
      </w:r>
      <w:r w:rsidR="00E045D9" w:rsidRPr="00D5464D">
        <w:rPr>
          <w:lang w:val="pt-BR"/>
        </w:rPr>
        <w:t xml:space="preserve"> um </w:t>
      </w:r>
      <w:r w:rsidRPr="00D5464D">
        <w:rPr>
          <w:lang w:val="pt-BR"/>
        </w:rPr>
        <w:t>hotel situado</w:t>
      </w:r>
      <w:r w:rsidR="00E045D9" w:rsidRPr="00D5464D">
        <w:rPr>
          <w:lang w:val="pt-BR"/>
        </w:rPr>
        <w:t xml:space="preserve"> na </w:t>
      </w:r>
      <w:r w:rsidR="00470ADC" w:rsidRPr="00D5464D">
        <w:rPr>
          <w:lang w:val="pt-BR"/>
        </w:rPr>
        <w:t>cidade</w:t>
      </w:r>
      <w:r w:rsidRPr="00D5464D">
        <w:rPr>
          <w:lang w:val="pt-BR"/>
        </w:rPr>
        <w:t xml:space="preserve"> de Xinguara,</w:t>
      </w:r>
      <w:r w:rsidR="00470ADC" w:rsidRPr="00D5464D">
        <w:rPr>
          <w:lang w:val="pt-BR"/>
        </w:rPr>
        <w:t xml:space="preserve"> com o qu</w:t>
      </w:r>
      <w:r w:rsidR="00F61266" w:rsidRPr="00D5464D">
        <w:rPr>
          <w:lang w:val="pt-BR"/>
        </w:rPr>
        <w:t>e</w:t>
      </w:r>
      <w:r w:rsidR="00470ADC" w:rsidRPr="00D5464D">
        <w:rPr>
          <w:lang w:val="pt-BR"/>
        </w:rPr>
        <w:t xml:space="preserve"> </w:t>
      </w:r>
      <w:r w:rsidR="00230C71" w:rsidRPr="00D5464D">
        <w:rPr>
          <w:lang w:val="pt-BR"/>
        </w:rPr>
        <w:t>ficaram</w:t>
      </w:r>
      <w:r w:rsidRPr="00D5464D">
        <w:rPr>
          <w:lang w:val="pt-BR"/>
        </w:rPr>
        <w:t xml:space="preserve"> en</w:t>
      </w:r>
      <w:r w:rsidR="009746A0" w:rsidRPr="00D5464D">
        <w:rPr>
          <w:lang w:val="pt-BR"/>
        </w:rPr>
        <w:t>di</w:t>
      </w:r>
      <w:r w:rsidR="00470ADC" w:rsidRPr="00D5464D">
        <w:rPr>
          <w:lang w:val="pt-BR"/>
        </w:rPr>
        <w:t>vida</w:t>
      </w:r>
      <w:r w:rsidRPr="00D5464D">
        <w:rPr>
          <w:lang w:val="pt-BR"/>
        </w:rPr>
        <w:t>dos</w:t>
      </w:r>
      <w:r w:rsidR="009746A0" w:rsidRPr="00D5464D">
        <w:rPr>
          <w:lang w:val="pt-BR"/>
        </w:rPr>
        <w:t>.</w:t>
      </w:r>
      <w:r w:rsidRPr="00D5464D">
        <w:rPr>
          <w:vertAlign w:val="superscript"/>
          <w:lang w:val="pt-BR"/>
        </w:rPr>
        <w:footnoteReference w:id="175"/>
      </w:r>
    </w:p>
    <w:p w14:paraId="48544834" w14:textId="77777777" w:rsidR="004766BC" w:rsidRPr="00D5464D" w:rsidRDefault="004766BC" w:rsidP="004766BC">
      <w:pPr>
        <w:pStyle w:val="Prrafodelista"/>
        <w:rPr>
          <w:rFonts w:cs="Arial"/>
          <w:szCs w:val="20"/>
          <w:lang w:val="pt-BR"/>
        </w:rPr>
      </w:pPr>
    </w:p>
    <w:p w14:paraId="6462D7E4" w14:textId="55FD4EDE" w:rsidR="004766BC" w:rsidRPr="00D5464D" w:rsidRDefault="00470ADC" w:rsidP="004766BC">
      <w:pPr>
        <w:pStyle w:val="Prrafodelista"/>
        <w:numPr>
          <w:ilvl w:val="0"/>
          <w:numId w:val="1"/>
        </w:numPr>
        <w:autoSpaceDE w:val="0"/>
        <w:autoSpaceDN w:val="0"/>
        <w:adjustRightInd w:val="0"/>
        <w:contextualSpacing w:val="0"/>
        <w:rPr>
          <w:rFonts w:cs="Arial"/>
          <w:szCs w:val="20"/>
          <w:lang w:val="pt-BR"/>
        </w:rPr>
      </w:pPr>
      <w:r w:rsidRPr="00D5464D">
        <w:rPr>
          <w:lang w:val="pt-BR"/>
        </w:rPr>
        <w:t>Quando</w:t>
      </w:r>
      <w:r w:rsidR="002C330E" w:rsidRPr="00D5464D">
        <w:rPr>
          <w:lang w:val="pt-BR"/>
        </w:rPr>
        <w:t xml:space="preserve"> os </w:t>
      </w:r>
      <w:r w:rsidR="00E045D9" w:rsidRPr="00D5464D">
        <w:rPr>
          <w:lang w:val="pt-BR"/>
        </w:rPr>
        <w:t>trabalhadores</w:t>
      </w:r>
      <w:r w:rsidR="004766BC" w:rsidRPr="00D5464D">
        <w:rPr>
          <w:lang w:val="pt-BR"/>
        </w:rPr>
        <w:t xml:space="preserve"> </w:t>
      </w:r>
      <w:r w:rsidR="002C330E" w:rsidRPr="00D5464D">
        <w:rPr>
          <w:lang w:val="pt-BR"/>
        </w:rPr>
        <w:t>chegaram</w:t>
      </w:r>
      <w:r w:rsidRPr="00D5464D">
        <w:rPr>
          <w:lang w:val="pt-BR"/>
        </w:rPr>
        <w:t xml:space="preserve"> à </w:t>
      </w:r>
      <w:r w:rsidR="00D809F0" w:rsidRPr="00D5464D">
        <w:rPr>
          <w:lang w:val="pt-BR"/>
        </w:rPr>
        <w:t>Fazenda</w:t>
      </w:r>
      <w:r w:rsidR="004766BC" w:rsidRPr="00D5464D">
        <w:rPr>
          <w:lang w:val="pt-BR"/>
        </w:rPr>
        <w:t xml:space="preserve"> Brasil Verde</w:t>
      </w:r>
      <w:r w:rsidR="009746A0" w:rsidRPr="00D5464D">
        <w:rPr>
          <w:lang w:val="pt-BR"/>
        </w:rPr>
        <w:t>,</w:t>
      </w:r>
      <w:r w:rsidR="00D4337D" w:rsidRPr="00D5464D">
        <w:rPr>
          <w:lang w:val="pt-BR"/>
        </w:rPr>
        <w:t xml:space="preserve"> </w:t>
      </w:r>
      <w:r w:rsidR="00350187" w:rsidRPr="00D5464D">
        <w:rPr>
          <w:lang w:val="pt-BR"/>
        </w:rPr>
        <w:t>entregaram</w:t>
      </w:r>
      <w:r w:rsidR="004766BC" w:rsidRPr="00D5464D">
        <w:rPr>
          <w:lang w:val="pt-BR"/>
        </w:rPr>
        <w:t xml:space="preserve"> su</w:t>
      </w:r>
      <w:r w:rsidR="00D4337D" w:rsidRPr="00D5464D">
        <w:rPr>
          <w:lang w:val="pt-BR"/>
        </w:rPr>
        <w:t>a</w:t>
      </w:r>
      <w:r w:rsidR="004766BC" w:rsidRPr="00D5464D">
        <w:rPr>
          <w:lang w:val="pt-BR"/>
        </w:rPr>
        <w:t xml:space="preserve">s </w:t>
      </w:r>
      <w:r w:rsidR="00A641AE" w:rsidRPr="00D5464D">
        <w:rPr>
          <w:lang w:val="pt-BR"/>
        </w:rPr>
        <w:t>carteiras de trabalho</w:t>
      </w:r>
      <w:r w:rsidRPr="00D5464D">
        <w:rPr>
          <w:lang w:val="pt-BR"/>
        </w:rPr>
        <w:t xml:space="preserve"> ao </w:t>
      </w:r>
      <w:r w:rsidR="004766BC" w:rsidRPr="00D5464D">
        <w:rPr>
          <w:lang w:val="pt-BR"/>
        </w:rPr>
        <w:t xml:space="preserve">gerente </w:t>
      </w:r>
      <w:r w:rsidRPr="00D5464D">
        <w:rPr>
          <w:lang w:val="pt-BR"/>
        </w:rPr>
        <w:t>conhecido</w:t>
      </w:r>
      <w:r w:rsidR="004766BC" w:rsidRPr="00D5464D">
        <w:rPr>
          <w:lang w:val="pt-BR"/>
        </w:rPr>
        <w:t xml:space="preserve"> como “Toninho”,</w:t>
      </w:r>
      <w:r w:rsidR="002C330E" w:rsidRPr="00D5464D">
        <w:rPr>
          <w:lang w:val="pt-BR"/>
        </w:rPr>
        <w:t xml:space="preserve"> sem </w:t>
      </w:r>
      <w:r w:rsidR="004766BC" w:rsidRPr="00D5464D">
        <w:rPr>
          <w:lang w:val="pt-BR"/>
        </w:rPr>
        <w:t xml:space="preserve">que </w:t>
      </w:r>
      <w:r w:rsidR="00350187" w:rsidRPr="00D5464D">
        <w:rPr>
          <w:lang w:val="pt-BR"/>
        </w:rPr>
        <w:t>estas</w:t>
      </w:r>
      <w:r w:rsidR="002C330E" w:rsidRPr="00D5464D">
        <w:rPr>
          <w:lang w:val="pt-BR"/>
        </w:rPr>
        <w:t xml:space="preserve"> </w:t>
      </w:r>
      <w:r w:rsidR="00C91CB1" w:rsidRPr="00D5464D">
        <w:rPr>
          <w:lang w:val="pt-BR"/>
        </w:rPr>
        <w:t>fossem</w:t>
      </w:r>
      <w:r w:rsidR="004766BC" w:rsidRPr="00D5464D">
        <w:rPr>
          <w:lang w:val="pt-BR"/>
        </w:rPr>
        <w:t xml:space="preserve"> </w:t>
      </w:r>
      <w:r w:rsidR="00D4337D" w:rsidRPr="00D5464D">
        <w:rPr>
          <w:lang w:val="pt-BR"/>
        </w:rPr>
        <w:t>devolvidas depois</w:t>
      </w:r>
      <w:r w:rsidR="004766BC" w:rsidRPr="00D5464D">
        <w:rPr>
          <w:lang w:val="pt-BR"/>
        </w:rPr>
        <w:t xml:space="preserve">. </w:t>
      </w:r>
      <w:r w:rsidR="00350187" w:rsidRPr="00D5464D">
        <w:rPr>
          <w:lang w:val="pt-BR"/>
        </w:rPr>
        <w:t xml:space="preserve">Além disso, </w:t>
      </w:r>
      <w:r w:rsidRPr="00D5464D">
        <w:rPr>
          <w:lang w:val="pt-BR"/>
        </w:rPr>
        <w:t xml:space="preserve">o </w:t>
      </w:r>
      <w:r w:rsidR="004766BC" w:rsidRPr="00D5464D">
        <w:rPr>
          <w:lang w:val="pt-BR"/>
        </w:rPr>
        <w:t>gerente</w:t>
      </w:r>
      <w:r w:rsidR="002C330E" w:rsidRPr="00D5464D">
        <w:rPr>
          <w:lang w:val="pt-BR"/>
        </w:rPr>
        <w:t xml:space="preserve"> os obrigou</w:t>
      </w:r>
      <w:r w:rsidR="004766BC" w:rsidRPr="00D5464D">
        <w:rPr>
          <w:lang w:val="pt-BR"/>
        </w:rPr>
        <w:t xml:space="preserve"> a</w:t>
      </w:r>
      <w:r w:rsidRPr="00D5464D">
        <w:rPr>
          <w:lang w:val="pt-BR"/>
        </w:rPr>
        <w:t xml:space="preserve"> assinar </w:t>
      </w:r>
      <w:r w:rsidR="004766BC" w:rsidRPr="00D5464D">
        <w:rPr>
          <w:lang w:val="pt-BR"/>
        </w:rPr>
        <w:t>documentos</w:t>
      </w:r>
      <w:r w:rsidRPr="00D5464D">
        <w:rPr>
          <w:lang w:val="pt-BR"/>
        </w:rPr>
        <w:t xml:space="preserve"> em </w:t>
      </w:r>
      <w:r w:rsidR="009746A0" w:rsidRPr="00D5464D">
        <w:rPr>
          <w:lang w:val="pt-BR"/>
        </w:rPr>
        <w:t>br</w:t>
      </w:r>
      <w:r w:rsidR="004766BC" w:rsidRPr="00D5464D">
        <w:rPr>
          <w:lang w:val="pt-BR"/>
        </w:rPr>
        <w:t xml:space="preserve">anco. Esta </w:t>
      </w:r>
      <w:r w:rsidR="002C330E" w:rsidRPr="00D5464D">
        <w:rPr>
          <w:lang w:val="pt-BR"/>
        </w:rPr>
        <w:t>prática</w:t>
      </w:r>
      <w:r w:rsidR="004766BC" w:rsidRPr="00D5464D">
        <w:rPr>
          <w:lang w:val="pt-BR"/>
        </w:rPr>
        <w:t xml:space="preserve"> era </w:t>
      </w:r>
      <w:r w:rsidR="00737270" w:rsidRPr="00D5464D">
        <w:rPr>
          <w:lang w:val="pt-BR"/>
        </w:rPr>
        <w:t>conheci</w:t>
      </w:r>
      <w:r w:rsidR="004766BC" w:rsidRPr="00D5464D">
        <w:rPr>
          <w:lang w:val="pt-BR"/>
        </w:rPr>
        <w:t>da</w:t>
      </w:r>
      <w:r w:rsidR="002C330E" w:rsidRPr="00D5464D">
        <w:rPr>
          <w:lang w:val="pt-BR"/>
        </w:rPr>
        <w:t xml:space="preserve"> pelo </w:t>
      </w:r>
      <w:r w:rsidR="004766BC" w:rsidRPr="00D5464D">
        <w:rPr>
          <w:lang w:val="pt-BR"/>
        </w:rPr>
        <w:t>Estado</w:t>
      </w:r>
      <w:r w:rsidRPr="00D5464D">
        <w:rPr>
          <w:lang w:val="pt-BR"/>
        </w:rPr>
        <w:t xml:space="preserve"> em </w:t>
      </w:r>
      <w:r w:rsidR="00E045D9" w:rsidRPr="00D5464D">
        <w:rPr>
          <w:lang w:val="pt-BR"/>
        </w:rPr>
        <w:t xml:space="preserve">virtude </w:t>
      </w:r>
      <w:r w:rsidR="004766BC" w:rsidRPr="00D5464D">
        <w:rPr>
          <w:lang w:val="pt-BR"/>
        </w:rPr>
        <w:t xml:space="preserve">de </w:t>
      </w:r>
      <w:r w:rsidR="0031040E" w:rsidRPr="00D5464D">
        <w:rPr>
          <w:lang w:val="pt-BR"/>
        </w:rPr>
        <w:t>fiscalizações</w:t>
      </w:r>
      <w:r w:rsidR="004766BC" w:rsidRPr="00D5464D">
        <w:rPr>
          <w:lang w:val="pt-BR"/>
        </w:rPr>
        <w:t xml:space="preserve"> anteriores</w:t>
      </w:r>
      <w:r w:rsidR="009746A0" w:rsidRPr="00D5464D">
        <w:rPr>
          <w:lang w:val="pt-BR"/>
        </w:rPr>
        <w:t>.</w:t>
      </w:r>
      <w:r w:rsidR="004766BC" w:rsidRPr="00D5464D">
        <w:rPr>
          <w:rStyle w:val="Refdenotaalpie"/>
          <w:lang w:val="pt-BR"/>
        </w:rPr>
        <w:footnoteReference w:id="176"/>
      </w:r>
      <w:r w:rsidR="00C91CB1" w:rsidRPr="00D5464D">
        <w:rPr>
          <w:lang w:val="pt-BR"/>
        </w:rPr>
        <w:t xml:space="preserve"> Ao </w:t>
      </w:r>
      <w:r w:rsidR="00737270" w:rsidRPr="00D5464D">
        <w:rPr>
          <w:rFonts w:cs="Arial"/>
          <w:szCs w:val="20"/>
          <w:lang w:val="pt-BR"/>
        </w:rPr>
        <w:t>chegar</w:t>
      </w:r>
      <w:r w:rsidR="009746A0" w:rsidRPr="00D5464D">
        <w:rPr>
          <w:rFonts w:cs="Arial"/>
          <w:szCs w:val="20"/>
          <w:lang w:val="pt-BR"/>
        </w:rPr>
        <w:t>em</w:t>
      </w:r>
      <w:r w:rsidRPr="00D5464D">
        <w:rPr>
          <w:rFonts w:cs="Arial"/>
          <w:szCs w:val="20"/>
          <w:lang w:val="pt-BR"/>
        </w:rPr>
        <w:t xml:space="preserve"> à </w:t>
      </w:r>
      <w:r w:rsidR="00D809F0" w:rsidRPr="00D5464D">
        <w:rPr>
          <w:rFonts w:cs="Arial"/>
          <w:szCs w:val="20"/>
          <w:lang w:val="pt-BR"/>
        </w:rPr>
        <w:t>Fazenda</w:t>
      </w:r>
      <w:r w:rsidR="004766BC" w:rsidRPr="00D5464D">
        <w:rPr>
          <w:rFonts w:cs="Arial"/>
          <w:szCs w:val="20"/>
          <w:lang w:val="pt-BR"/>
        </w:rPr>
        <w:t>,</w:t>
      </w:r>
      <w:r w:rsidR="002C330E" w:rsidRPr="00D5464D">
        <w:rPr>
          <w:rFonts w:cs="Arial"/>
          <w:szCs w:val="20"/>
          <w:lang w:val="pt-BR"/>
        </w:rPr>
        <w:t xml:space="preserve"> os </w:t>
      </w:r>
      <w:r w:rsidR="00E045D9" w:rsidRPr="00D5464D">
        <w:rPr>
          <w:rFonts w:cs="Arial"/>
          <w:szCs w:val="20"/>
          <w:lang w:val="pt-BR"/>
        </w:rPr>
        <w:t>trabalhadores</w:t>
      </w:r>
      <w:r w:rsidR="004766BC" w:rsidRPr="00D5464D">
        <w:rPr>
          <w:rFonts w:cs="Arial"/>
          <w:szCs w:val="20"/>
          <w:lang w:val="pt-BR"/>
        </w:rPr>
        <w:t xml:space="preserve"> </w:t>
      </w:r>
      <w:r w:rsidR="009746A0" w:rsidRPr="00D5464D">
        <w:rPr>
          <w:lang w:val="pt-BR"/>
        </w:rPr>
        <w:t xml:space="preserve">perceberam </w:t>
      </w:r>
      <w:r w:rsidR="004766BC" w:rsidRPr="00D5464D">
        <w:rPr>
          <w:lang w:val="pt-BR"/>
        </w:rPr>
        <w:t>que nada</w:t>
      </w:r>
      <w:r w:rsidRPr="00D5464D">
        <w:rPr>
          <w:lang w:val="pt-BR"/>
        </w:rPr>
        <w:t xml:space="preserve"> do </w:t>
      </w:r>
      <w:r w:rsidR="009746A0" w:rsidRPr="00D5464D">
        <w:rPr>
          <w:lang w:val="pt-BR"/>
        </w:rPr>
        <w:t xml:space="preserve">que lhes havia sido </w:t>
      </w:r>
      <w:r w:rsidR="002C330E" w:rsidRPr="00D5464D">
        <w:rPr>
          <w:lang w:val="pt-BR"/>
        </w:rPr>
        <w:t>oferecid</w:t>
      </w:r>
      <w:r w:rsidR="004766BC" w:rsidRPr="00D5464D">
        <w:rPr>
          <w:lang w:val="pt-BR"/>
        </w:rPr>
        <w:t xml:space="preserve">o era </w:t>
      </w:r>
      <w:r w:rsidR="009746A0" w:rsidRPr="00D5464D">
        <w:rPr>
          <w:lang w:val="pt-BR"/>
        </w:rPr>
        <w:t>certo.</w:t>
      </w:r>
      <w:r w:rsidR="004766BC" w:rsidRPr="00D5464D">
        <w:rPr>
          <w:vertAlign w:val="superscript"/>
          <w:lang w:val="pt-BR"/>
        </w:rPr>
        <w:footnoteReference w:id="177"/>
      </w:r>
      <w:r w:rsidR="00C91CB1" w:rsidRPr="00D5464D">
        <w:rPr>
          <w:lang w:val="pt-BR"/>
        </w:rPr>
        <w:t xml:space="preserve"> Em </w:t>
      </w:r>
      <w:r w:rsidR="00350187" w:rsidRPr="00D5464D">
        <w:rPr>
          <w:lang w:val="pt-BR"/>
        </w:rPr>
        <w:t xml:space="preserve">relação às </w:t>
      </w:r>
      <w:r w:rsidR="004766BC" w:rsidRPr="00D5464D">
        <w:rPr>
          <w:lang w:val="pt-BR"/>
        </w:rPr>
        <w:t>condi</w:t>
      </w:r>
      <w:r w:rsidRPr="00D5464D">
        <w:rPr>
          <w:lang w:val="pt-BR"/>
        </w:rPr>
        <w:t>ções</w:t>
      </w:r>
      <w:r w:rsidR="004766BC" w:rsidRPr="00D5464D">
        <w:rPr>
          <w:lang w:val="pt-BR"/>
        </w:rPr>
        <w:t xml:space="preserve"> de </w:t>
      </w:r>
      <w:r w:rsidR="00737270" w:rsidRPr="00D5464D">
        <w:rPr>
          <w:lang w:val="pt-BR"/>
        </w:rPr>
        <w:t>alojamento</w:t>
      </w:r>
      <w:r w:rsidR="009746A0" w:rsidRPr="00D5464D">
        <w:rPr>
          <w:lang w:val="pt-BR"/>
        </w:rPr>
        <w:t>,</w:t>
      </w:r>
      <w:r w:rsidR="002C330E" w:rsidRPr="00D5464D">
        <w:rPr>
          <w:lang w:val="pt-BR"/>
        </w:rPr>
        <w:t xml:space="preserve"> os </w:t>
      </w:r>
      <w:r w:rsidR="00E045D9" w:rsidRPr="00D5464D">
        <w:rPr>
          <w:lang w:val="pt-BR"/>
        </w:rPr>
        <w:t>trabalhadores</w:t>
      </w:r>
      <w:r w:rsidR="004766BC" w:rsidRPr="00D5464D">
        <w:rPr>
          <w:lang w:val="pt-BR"/>
        </w:rPr>
        <w:t xml:space="preserve"> </w:t>
      </w:r>
      <w:r w:rsidR="00E37D90" w:rsidRPr="00D5464D">
        <w:rPr>
          <w:lang w:val="pt-BR"/>
        </w:rPr>
        <w:t>d</w:t>
      </w:r>
      <w:r w:rsidR="009746A0" w:rsidRPr="00D5464D">
        <w:rPr>
          <w:lang w:val="pt-BR"/>
        </w:rPr>
        <w:t xml:space="preserve">ormiam em </w:t>
      </w:r>
      <w:r w:rsidR="00E37D90" w:rsidRPr="00D5464D">
        <w:rPr>
          <w:lang w:val="pt-BR"/>
        </w:rPr>
        <w:t>galpões</w:t>
      </w:r>
      <w:r w:rsidR="009746A0" w:rsidRPr="00D5464D">
        <w:rPr>
          <w:lang w:val="pt-BR"/>
        </w:rPr>
        <w:t xml:space="preserve"> </w:t>
      </w:r>
      <w:r w:rsidR="004766BC" w:rsidRPr="00D5464D">
        <w:rPr>
          <w:lang w:val="pt-BR"/>
        </w:rPr>
        <w:t xml:space="preserve">de </w:t>
      </w:r>
      <w:r w:rsidR="00350187" w:rsidRPr="00D5464D">
        <w:rPr>
          <w:lang w:val="pt-BR"/>
        </w:rPr>
        <w:t>madeira</w:t>
      </w:r>
      <w:r w:rsidR="002C330E" w:rsidRPr="00D5464D">
        <w:rPr>
          <w:lang w:val="pt-BR"/>
        </w:rPr>
        <w:t xml:space="preserve"> sem </w:t>
      </w:r>
      <w:r w:rsidR="00230C71" w:rsidRPr="00D5464D">
        <w:rPr>
          <w:lang w:val="pt-BR"/>
        </w:rPr>
        <w:t>energia</w:t>
      </w:r>
      <w:r w:rsidR="004766BC" w:rsidRPr="00D5464D">
        <w:rPr>
          <w:lang w:val="pt-BR"/>
        </w:rPr>
        <w:t xml:space="preserve"> </w:t>
      </w:r>
      <w:r w:rsidR="00737270" w:rsidRPr="00D5464D">
        <w:rPr>
          <w:lang w:val="pt-BR"/>
        </w:rPr>
        <w:t>elétric</w:t>
      </w:r>
      <w:r w:rsidR="004766BC" w:rsidRPr="00D5464D">
        <w:rPr>
          <w:lang w:val="pt-BR"/>
        </w:rPr>
        <w:t>a,</w:t>
      </w:r>
      <w:r w:rsidR="00FF1290" w:rsidRPr="00D5464D">
        <w:rPr>
          <w:lang w:val="pt-BR"/>
        </w:rPr>
        <w:t xml:space="preserve"> </w:t>
      </w:r>
      <w:r w:rsidR="00D4337D" w:rsidRPr="00D5464D">
        <w:rPr>
          <w:lang w:val="pt-BR"/>
        </w:rPr>
        <w:t xml:space="preserve">sem </w:t>
      </w:r>
      <w:r w:rsidR="004766BC" w:rsidRPr="00D5464D">
        <w:rPr>
          <w:lang w:val="pt-BR"/>
        </w:rPr>
        <w:t>camas,</w:t>
      </w:r>
      <w:r w:rsidR="002C330E" w:rsidRPr="00D5464D">
        <w:rPr>
          <w:lang w:val="pt-BR"/>
        </w:rPr>
        <w:t xml:space="preserve"> nem </w:t>
      </w:r>
      <w:r w:rsidR="009746A0" w:rsidRPr="00D5464D">
        <w:rPr>
          <w:lang w:val="pt-BR"/>
        </w:rPr>
        <w:t>armá</w:t>
      </w:r>
      <w:r w:rsidR="004766BC" w:rsidRPr="00D5464D">
        <w:rPr>
          <w:lang w:val="pt-BR"/>
        </w:rPr>
        <w:t>rios</w:t>
      </w:r>
      <w:r w:rsidR="00C91CB1" w:rsidRPr="00D5464D">
        <w:rPr>
          <w:lang w:val="pt-BR"/>
        </w:rPr>
        <w:t xml:space="preserve">. As </w:t>
      </w:r>
      <w:r w:rsidR="004766BC" w:rsidRPr="00D5464D">
        <w:rPr>
          <w:lang w:val="pt-BR"/>
        </w:rPr>
        <w:t>paredes</w:t>
      </w:r>
      <w:r w:rsidRPr="00D5464D">
        <w:rPr>
          <w:lang w:val="pt-BR"/>
        </w:rPr>
        <w:t xml:space="preserve"> eram </w:t>
      </w:r>
      <w:r w:rsidR="004766BC" w:rsidRPr="00D5464D">
        <w:rPr>
          <w:lang w:val="pt-BR"/>
        </w:rPr>
        <w:t xml:space="preserve">de </w:t>
      </w:r>
      <w:r w:rsidR="009746A0" w:rsidRPr="00D5464D">
        <w:rPr>
          <w:lang w:val="pt-BR"/>
        </w:rPr>
        <w:t xml:space="preserve">tábuas </w:t>
      </w:r>
      <w:r w:rsidR="004766BC" w:rsidRPr="00D5464D">
        <w:rPr>
          <w:lang w:val="pt-BR"/>
        </w:rPr>
        <w:t>irregulares</w:t>
      </w:r>
      <w:r w:rsidR="00E045D9" w:rsidRPr="00D5464D">
        <w:rPr>
          <w:lang w:val="pt-BR"/>
        </w:rPr>
        <w:t xml:space="preserve"> e </w:t>
      </w:r>
      <w:r w:rsidRPr="00D5464D">
        <w:rPr>
          <w:lang w:val="pt-BR"/>
        </w:rPr>
        <w:t>o</w:t>
      </w:r>
      <w:r w:rsidR="00E045D9" w:rsidRPr="00D5464D">
        <w:rPr>
          <w:lang w:val="pt-BR"/>
        </w:rPr>
        <w:t xml:space="preserve"> teto </w:t>
      </w:r>
      <w:r w:rsidR="004766BC" w:rsidRPr="00D5464D">
        <w:rPr>
          <w:lang w:val="pt-BR"/>
        </w:rPr>
        <w:t>de lona,</w:t>
      </w:r>
      <w:r w:rsidR="002C330E" w:rsidRPr="00D5464D">
        <w:rPr>
          <w:lang w:val="pt-BR"/>
        </w:rPr>
        <w:t xml:space="preserve"> o que </w:t>
      </w:r>
      <w:r w:rsidR="00D4337D" w:rsidRPr="00D5464D">
        <w:rPr>
          <w:lang w:val="pt-BR"/>
        </w:rPr>
        <w:t>fazia com</w:t>
      </w:r>
      <w:r w:rsidR="00FF1290" w:rsidRPr="00D5464D">
        <w:rPr>
          <w:lang w:val="pt-BR"/>
        </w:rPr>
        <w:t xml:space="preserve"> </w:t>
      </w:r>
      <w:r w:rsidR="004766BC" w:rsidRPr="00D5464D">
        <w:rPr>
          <w:lang w:val="pt-BR"/>
        </w:rPr>
        <w:t>que</w:t>
      </w:r>
      <w:r w:rsidR="002C330E" w:rsidRPr="00D5464D">
        <w:rPr>
          <w:lang w:val="pt-BR"/>
        </w:rPr>
        <w:t xml:space="preserve"> os </w:t>
      </w:r>
      <w:r w:rsidR="00E045D9" w:rsidRPr="00D5464D">
        <w:rPr>
          <w:lang w:val="pt-BR"/>
        </w:rPr>
        <w:t>trabalhadores</w:t>
      </w:r>
      <w:r w:rsidR="004766BC" w:rsidRPr="00D5464D">
        <w:rPr>
          <w:lang w:val="pt-BR"/>
        </w:rPr>
        <w:t xml:space="preserve"> se </w:t>
      </w:r>
      <w:r w:rsidR="009746A0" w:rsidRPr="00D5464D">
        <w:rPr>
          <w:lang w:val="pt-BR"/>
        </w:rPr>
        <w:t xml:space="preserve">molhassem </w:t>
      </w:r>
      <w:r w:rsidRPr="00D5464D">
        <w:rPr>
          <w:lang w:val="pt-BR"/>
        </w:rPr>
        <w:t xml:space="preserve">em </w:t>
      </w:r>
      <w:r w:rsidR="004766BC" w:rsidRPr="00D5464D">
        <w:rPr>
          <w:lang w:val="pt-BR"/>
        </w:rPr>
        <w:t xml:space="preserve">caso de </w:t>
      </w:r>
      <w:r w:rsidR="00230C71" w:rsidRPr="00D5464D">
        <w:rPr>
          <w:lang w:val="pt-BR"/>
        </w:rPr>
        <w:t>chuva</w:t>
      </w:r>
      <w:r w:rsidR="004766BC" w:rsidRPr="00D5464D">
        <w:rPr>
          <w:lang w:val="pt-BR"/>
        </w:rPr>
        <w:t>.</w:t>
      </w:r>
      <w:r w:rsidR="00E045D9" w:rsidRPr="00D5464D">
        <w:rPr>
          <w:lang w:val="pt-BR"/>
        </w:rPr>
        <w:t xml:space="preserve"> </w:t>
      </w:r>
      <w:r w:rsidR="00F16490" w:rsidRPr="00D5464D">
        <w:rPr>
          <w:lang w:val="pt-BR"/>
        </w:rPr>
        <w:t xml:space="preserve">Nos </w:t>
      </w:r>
      <w:r w:rsidR="00E37D90" w:rsidRPr="00D5464D">
        <w:rPr>
          <w:lang w:val="pt-BR"/>
        </w:rPr>
        <w:t xml:space="preserve">galpões </w:t>
      </w:r>
      <w:r w:rsidR="00F16490" w:rsidRPr="00D5464D">
        <w:rPr>
          <w:lang w:val="pt-BR"/>
        </w:rPr>
        <w:t xml:space="preserve">dormiam </w:t>
      </w:r>
      <w:r w:rsidR="00E765C2" w:rsidRPr="00D5464D">
        <w:rPr>
          <w:lang w:val="pt-BR"/>
        </w:rPr>
        <w:t>dezenas</w:t>
      </w:r>
      <w:r w:rsidR="004766BC" w:rsidRPr="00D5464D">
        <w:rPr>
          <w:lang w:val="pt-BR"/>
        </w:rPr>
        <w:t xml:space="preserve"> de </w:t>
      </w:r>
      <w:r w:rsidR="00E045D9" w:rsidRPr="00D5464D">
        <w:rPr>
          <w:lang w:val="pt-BR"/>
        </w:rPr>
        <w:t>trabalhadores</w:t>
      </w:r>
      <w:r w:rsidR="004766BC" w:rsidRPr="00D5464D">
        <w:rPr>
          <w:lang w:val="pt-BR"/>
        </w:rPr>
        <w:t>,</w:t>
      </w:r>
      <w:r w:rsidRPr="00D5464D">
        <w:rPr>
          <w:lang w:val="pt-BR"/>
        </w:rPr>
        <w:t xml:space="preserve"> em </w:t>
      </w:r>
      <w:r w:rsidR="004766BC" w:rsidRPr="00D5464D">
        <w:rPr>
          <w:lang w:val="pt-BR"/>
        </w:rPr>
        <w:t>redes</w:t>
      </w:r>
      <w:r w:rsidR="00A1358C" w:rsidRPr="00D5464D">
        <w:rPr>
          <w:lang w:val="pt-BR"/>
        </w:rPr>
        <w:t xml:space="preserve">. O </w:t>
      </w:r>
      <w:r w:rsidR="00F16490" w:rsidRPr="00D5464D">
        <w:rPr>
          <w:lang w:val="pt-BR"/>
        </w:rPr>
        <w:t xml:space="preserve">banheiro </w:t>
      </w:r>
      <w:r w:rsidR="00E045D9" w:rsidRPr="00D5464D">
        <w:rPr>
          <w:lang w:val="pt-BR"/>
        </w:rPr>
        <w:t xml:space="preserve">e </w:t>
      </w:r>
      <w:r w:rsidR="002C330E" w:rsidRPr="00D5464D">
        <w:rPr>
          <w:lang w:val="pt-BR"/>
        </w:rPr>
        <w:t xml:space="preserve">a </w:t>
      </w:r>
      <w:r w:rsidR="004766BC" w:rsidRPr="00D5464D">
        <w:rPr>
          <w:lang w:val="pt-BR"/>
        </w:rPr>
        <w:t xml:space="preserve">ducha se </w:t>
      </w:r>
      <w:r w:rsidRPr="00D5464D">
        <w:rPr>
          <w:lang w:val="pt-BR"/>
        </w:rPr>
        <w:t xml:space="preserve">encontravam em </w:t>
      </w:r>
      <w:r w:rsidR="002C330E" w:rsidRPr="00D5464D">
        <w:rPr>
          <w:lang w:val="pt-BR"/>
        </w:rPr>
        <w:t>muito</w:t>
      </w:r>
      <w:r w:rsidR="004766BC" w:rsidRPr="00D5464D">
        <w:rPr>
          <w:lang w:val="pt-BR"/>
        </w:rPr>
        <w:t xml:space="preserve"> mal estado, </w:t>
      </w:r>
      <w:r w:rsidRPr="00D5464D">
        <w:rPr>
          <w:lang w:val="pt-BR"/>
        </w:rPr>
        <w:t>fora</w:t>
      </w:r>
      <w:r w:rsidR="004766BC" w:rsidRPr="00D5464D">
        <w:rPr>
          <w:lang w:val="pt-BR"/>
        </w:rPr>
        <w:t xml:space="preserve"> </w:t>
      </w:r>
      <w:r w:rsidRPr="00D5464D">
        <w:rPr>
          <w:lang w:val="pt-BR"/>
        </w:rPr>
        <w:t xml:space="preserve">do </w:t>
      </w:r>
      <w:r w:rsidR="00E37D90" w:rsidRPr="00D5464D">
        <w:rPr>
          <w:lang w:val="pt-BR"/>
        </w:rPr>
        <w:t>galpão</w:t>
      </w:r>
      <w:r w:rsidR="00F16490" w:rsidRPr="00D5464D">
        <w:rPr>
          <w:lang w:val="pt-BR"/>
        </w:rPr>
        <w:t>, no meio d</w:t>
      </w:r>
      <w:r w:rsidR="002C330E" w:rsidRPr="00D5464D">
        <w:rPr>
          <w:lang w:val="pt-BR"/>
        </w:rPr>
        <w:t xml:space="preserve">a </w:t>
      </w:r>
      <w:r w:rsidR="004766BC" w:rsidRPr="00D5464D">
        <w:rPr>
          <w:lang w:val="pt-BR"/>
        </w:rPr>
        <w:t>vegeta</w:t>
      </w:r>
      <w:r w:rsidRPr="00D5464D">
        <w:rPr>
          <w:lang w:val="pt-BR"/>
        </w:rPr>
        <w:t>ção, e</w:t>
      </w:r>
      <w:r w:rsidR="00350187" w:rsidRPr="00D5464D">
        <w:rPr>
          <w:lang w:val="pt-BR"/>
        </w:rPr>
        <w:t xml:space="preserve"> não conta</w:t>
      </w:r>
      <w:r w:rsidRPr="00D5464D">
        <w:rPr>
          <w:lang w:val="pt-BR"/>
        </w:rPr>
        <w:t>va</w:t>
      </w:r>
      <w:r w:rsidR="00EA1DD2" w:rsidRPr="00D5464D">
        <w:rPr>
          <w:lang w:val="pt-BR"/>
        </w:rPr>
        <w:t>m</w:t>
      </w:r>
      <w:r w:rsidRPr="00D5464D">
        <w:rPr>
          <w:lang w:val="pt-BR"/>
        </w:rPr>
        <w:t xml:space="preserve"> com </w:t>
      </w:r>
      <w:r w:rsidR="004766BC" w:rsidRPr="00D5464D">
        <w:rPr>
          <w:lang w:val="pt-BR"/>
        </w:rPr>
        <w:t>paredes</w:t>
      </w:r>
      <w:r w:rsidR="002C330E" w:rsidRPr="00D5464D">
        <w:rPr>
          <w:lang w:val="pt-BR"/>
        </w:rPr>
        <w:t xml:space="preserve"> nem </w:t>
      </w:r>
      <w:r w:rsidR="004766BC" w:rsidRPr="00D5464D">
        <w:rPr>
          <w:lang w:val="pt-BR"/>
        </w:rPr>
        <w:t>te</w:t>
      </w:r>
      <w:r w:rsidR="00F16490" w:rsidRPr="00D5464D">
        <w:rPr>
          <w:lang w:val="pt-BR"/>
        </w:rPr>
        <w:t>t</w:t>
      </w:r>
      <w:r w:rsidR="004766BC" w:rsidRPr="00D5464D">
        <w:rPr>
          <w:lang w:val="pt-BR"/>
        </w:rPr>
        <w:t xml:space="preserve">o. </w:t>
      </w:r>
      <w:r w:rsidR="00F16490" w:rsidRPr="00D5464D">
        <w:rPr>
          <w:lang w:val="pt-BR"/>
        </w:rPr>
        <w:t>Além disso</w:t>
      </w:r>
      <w:r w:rsidR="004766BC" w:rsidRPr="00D5464D">
        <w:rPr>
          <w:lang w:val="pt-BR"/>
        </w:rPr>
        <w:t xml:space="preserve">, </w:t>
      </w:r>
      <w:r w:rsidR="00F16490" w:rsidRPr="00D5464D">
        <w:rPr>
          <w:lang w:val="pt-BR"/>
        </w:rPr>
        <w:t xml:space="preserve">como resultado da sujeira dos banheiros, </w:t>
      </w:r>
      <w:r w:rsidRPr="00D5464D">
        <w:rPr>
          <w:lang w:val="pt-BR"/>
        </w:rPr>
        <w:t xml:space="preserve">alguns </w:t>
      </w:r>
      <w:r w:rsidR="00E045D9" w:rsidRPr="00D5464D">
        <w:rPr>
          <w:lang w:val="pt-BR"/>
        </w:rPr>
        <w:t>trabalhadores</w:t>
      </w:r>
      <w:r w:rsidR="004766BC" w:rsidRPr="00D5464D">
        <w:rPr>
          <w:lang w:val="pt-BR"/>
        </w:rPr>
        <w:t xml:space="preserve"> prefe</w:t>
      </w:r>
      <w:r w:rsidR="00350187" w:rsidRPr="00D5464D">
        <w:rPr>
          <w:lang w:val="pt-BR"/>
        </w:rPr>
        <w:t xml:space="preserve">riam </w:t>
      </w:r>
      <w:r w:rsidR="002C330E" w:rsidRPr="00D5464D">
        <w:rPr>
          <w:lang w:val="pt-BR"/>
        </w:rPr>
        <w:t xml:space="preserve">fazer </w:t>
      </w:r>
      <w:r w:rsidR="00A1358C" w:rsidRPr="00D5464D">
        <w:rPr>
          <w:lang w:val="pt-BR"/>
        </w:rPr>
        <w:t>suas necessidades</w:t>
      </w:r>
      <w:r w:rsidR="004766BC" w:rsidRPr="00D5464D">
        <w:rPr>
          <w:lang w:val="pt-BR"/>
        </w:rPr>
        <w:t xml:space="preserve"> </w:t>
      </w:r>
      <w:r w:rsidR="00F16490" w:rsidRPr="00D5464D">
        <w:rPr>
          <w:lang w:val="pt-BR"/>
        </w:rPr>
        <w:t xml:space="preserve">pessoais </w:t>
      </w:r>
      <w:r w:rsidR="00E045D9" w:rsidRPr="00D5464D">
        <w:rPr>
          <w:lang w:val="pt-BR"/>
        </w:rPr>
        <w:t xml:space="preserve">na </w:t>
      </w:r>
      <w:r w:rsidR="004766BC" w:rsidRPr="00D5464D">
        <w:rPr>
          <w:lang w:val="pt-BR"/>
        </w:rPr>
        <w:t>vegeta</w:t>
      </w:r>
      <w:r w:rsidRPr="00D5464D">
        <w:rPr>
          <w:lang w:val="pt-BR"/>
        </w:rPr>
        <w:t>ção</w:t>
      </w:r>
      <w:r w:rsidR="00E045D9" w:rsidRPr="00D5464D">
        <w:rPr>
          <w:lang w:val="pt-BR"/>
        </w:rPr>
        <w:t xml:space="preserve"> e </w:t>
      </w:r>
      <w:r w:rsidR="00F16490" w:rsidRPr="00D5464D">
        <w:rPr>
          <w:lang w:val="pt-BR"/>
        </w:rPr>
        <w:t>tomar banho num</w:t>
      </w:r>
      <w:r w:rsidR="00E37D90" w:rsidRPr="00D5464D">
        <w:rPr>
          <w:lang w:val="pt-BR"/>
        </w:rPr>
        <w:t>a</w:t>
      </w:r>
      <w:r w:rsidR="00F16490" w:rsidRPr="00D5464D">
        <w:rPr>
          <w:lang w:val="pt-BR"/>
        </w:rPr>
        <w:t xml:space="preserve"> </w:t>
      </w:r>
      <w:r w:rsidR="00E37D90" w:rsidRPr="00D5464D">
        <w:rPr>
          <w:lang w:val="pt-BR"/>
        </w:rPr>
        <w:t>represa</w:t>
      </w:r>
      <w:r w:rsidR="004766BC" w:rsidRPr="00D5464D">
        <w:rPr>
          <w:lang w:val="pt-BR"/>
        </w:rPr>
        <w:t>, o</w:t>
      </w:r>
      <w:r w:rsidR="00F16490" w:rsidRPr="00D5464D">
        <w:rPr>
          <w:lang w:val="pt-BR"/>
        </w:rPr>
        <w:t>u não tomar banho.</w:t>
      </w:r>
      <w:r w:rsidR="004766BC" w:rsidRPr="00D5464D">
        <w:rPr>
          <w:vertAlign w:val="superscript"/>
          <w:lang w:val="pt-BR"/>
        </w:rPr>
        <w:footnoteReference w:id="178"/>
      </w:r>
    </w:p>
    <w:p w14:paraId="3F014056" w14:textId="77777777" w:rsidR="004766BC" w:rsidRPr="00D5464D" w:rsidRDefault="004766BC" w:rsidP="004766BC">
      <w:pPr>
        <w:pStyle w:val="Prrafodelista"/>
        <w:ind w:left="0"/>
        <w:rPr>
          <w:lang w:val="pt-BR"/>
        </w:rPr>
      </w:pPr>
    </w:p>
    <w:p w14:paraId="2E0DFC69" w14:textId="621A96C3" w:rsidR="004766BC" w:rsidRPr="00D5464D" w:rsidRDefault="00A1358C" w:rsidP="004766BC">
      <w:pPr>
        <w:pStyle w:val="Prrafodelista"/>
        <w:numPr>
          <w:ilvl w:val="0"/>
          <w:numId w:val="1"/>
        </w:numPr>
        <w:contextualSpacing w:val="0"/>
        <w:rPr>
          <w:lang w:val="pt-BR"/>
        </w:rPr>
      </w:pPr>
      <w:r w:rsidRPr="00D5464D">
        <w:rPr>
          <w:lang w:val="pt-BR"/>
        </w:rPr>
        <w:t>Por outr</w:t>
      </w:r>
      <w:r w:rsidR="00F16490" w:rsidRPr="00D5464D">
        <w:rPr>
          <w:lang w:val="pt-BR"/>
        </w:rPr>
        <w:t>a parte</w:t>
      </w:r>
      <w:r w:rsidRPr="00D5464D">
        <w:rPr>
          <w:lang w:val="pt-BR"/>
        </w:rPr>
        <w:t>,</w:t>
      </w:r>
      <w:r w:rsidR="002C330E" w:rsidRPr="00D5464D">
        <w:rPr>
          <w:lang w:val="pt-BR"/>
        </w:rPr>
        <w:t xml:space="preserve"> a </w:t>
      </w:r>
      <w:r w:rsidR="004766BC" w:rsidRPr="00D5464D">
        <w:rPr>
          <w:lang w:val="pt-BR"/>
        </w:rPr>
        <w:t>alimenta</w:t>
      </w:r>
      <w:r w:rsidR="00470ADC" w:rsidRPr="00D5464D">
        <w:rPr>
          <w:lang w:val="pt-BR"/>
        </w:rPr>
        <w:t>ção</w:t>
      </w:r>
      <w:r w:rsidR="004766BC" w:rsidRPr="00D5464D">
        <w:rPr>
          <w:lang w:val="pt-BR"/>
        </w:rPr>
        <w:t xml:space="preserve"> que </w:t>
      </w:r>
      <w:r w:rsidR="002C330E" w:rsidRPr="00D5464D">
        <w:rPr>
          <w:lang w:val="pt-BR"/>
        </w:rPr>
        <w:t xml:space="preserve">os </w:t>
      </w:r>
      <w:r w:rsidR="00E045D9" w:rsidRPr="00D5464D">
        <w:rPr>
          <w:lang w:val="pt-BR"/>
        </w:rPr>
        <w:t>trabalhadores</w:t>
      </w:r>
      <w:r w:rsidR="004766BC" w:rsidRPr="00D5464D">
        <w:rPr>
          <w:lang w:val="pt-BR"/>
        </w:rPr>
        <w:t xml:space="preserve"> </w:t>
      </w:r>
      <w:r w:rsidR="00F16490" w:rsidRPr="00D5464D">
        <w:rPr>
          <w:lang w:val="pt-BR"/>
        </w:rPr>
        <w:t xml:space="preserve">recebiam </w:t>
      </w:r>
      <w:r w:rsidR="004766BC" w:rsidRPr="00D5464D">
        <w:rPr>
          <w:lang w:val="pt-BR"/>
        </w:rPr>
        <w:t>era insuficiente, repetitiva</w:t>
      </w:r>
      <w:r w:rsidR="00E045D9" w:rsidRPr="00D5464D">
        <w:rPr>
          <w:lang w:val="pt-BR"/>
        </w:rPr>
        <w:t xml:space="preserve"> e </w:t>
      </w:r>
      <w:r w:rsidR="004766BC" w:rsidRPr="00D5464D">
        <w:rPr>
          <w:lang w:val="pt-BR"/>
        </w:rPr>
        <w:t xml:space="preserve">de </w:t>
      </w:r>
      <w:r w:rsidR="00F16490" w:rsidRPr="00D5464D">
        <w:rPr>
          <w:lang w:val="pt-BR"/>
        </w:rPr>
        <w:t xml:space="preserve">má </w:t>
      </w:r>
      <w:r w:rsidR="00350187" w:rsidRPr="00D5464D">
        <w:rPr>
          <w:lang w:val="pt-BR"/>
        </w:rPr>
        <w:t>qualidade</w:t>
      </w:r>
      <w:r w:rsidRPr="00D5464D">
        <w:rPr>
          <w:lang w:val="pt-BR"/>
        </w:rPr>
        <w:t xml:space="preserve">. A </w:t>
      </w:r>
      <w:r w:rsidR="004766BC" w:rsidRPr="00D5464D">
        <w:rPr>
          <w:lang w:val="pt-BR"/>
        </w:rPr>
        <w:t>comida era preparada</w:t>
      </w:r>
      <w:r w:rsidR="002C330E" w:rsidRPr="00D5464D">
        <w:rPr>
          <w:lang w:val="pt-BR"/>
        </w:rPr>
        <w:t xml:space="preserve"> pela </w:t>
      </w:r>
      <w:r w:rsidR="004766BC" w:rsidRPr="00D5464D">
        <w:rPr>
          <w:lang w:val="pt-BR"/>
        </w:rPr>
        <w:t>co</w:t>
      </w:r>
      <w:r w:rsidR="00F16490" w:rsidRPr="00D5464D">
        <w:rPr>
          <w:lang w:val="pt-BR"/>
        </w:rPr>
        <w:t xml:space="preserve">zinheira </w:t>
      </w:r>
      <w:r w:rsidR="00470ADC" w:rsidRPr="00D5464D">
        <w:rPr>
          <w:lang w:val="pt-BR"/>
        </w:rPr>
        <w:t xml:space="preserve">da </w:t>
      </w:r>
      <w:r w:rsidR="00D809F0" w:rsidRPr="00D5464D">
        <w:rPr>
          <w:lang w:val="pt-BR"/>
        </w:rPr>
        <w:t>fazenda</w:t>
      </w:r>
      <w:r w:rsidR="004766BC" w:rsidRPr="00D5464D">
        <w:rPr>
          <w:lang w:val="pt-BR"/>
        </w:rPr>
        <w:t>,</w:t>
      </w:r>
      <w:r w:rsidR="00470ADC" w:rsidRPr="00D5464D">
        <w:rPr>
          <w:lang w:val="pt-BR"/>
        </w:rPr>
        <w:t xml:space="preserve"> em</w:t>
      </w:r>
      <w:r w:rsidR="00E045D9" w:rsidRPr="00D5464D">
        <w:rPr>
          <w:lang w:val="pt-BR"/>
        </w:rPr>
        <w:t xml:space="preserve"> um </w:t>
      </w:r>
      <w:r w:rsidR="00470ADC" w:rsidRPr="00D5464D">
        <w:rPr>
          <w:lang w:val="pt-BR"/>
        </w:rPr>
        <w:t xml:space="preserve">estabelecimento em </w:t>
      </w:r>
      <w:r w:rsidR="00F16490" w:rsidRPr="00D5464D">
        <w:rPr>
          <w:lang w:val="pt-BR"/>
        </w:rPr>
        <w:t>péssimas</w:t>
      </w:r>
      <w:r w:rsidR="004766BC" w:rsidRPr="00D5464D">
        <w:rPr>
          <w:lang w:val="pt-BR"/>
        </w:rPr>
        <w:t xml:space="preserve"> condi</w:t>
      </w:r>
      <w:r w:rsidR="00470ADC" w:rsidRPr="00D5464D">
        <w:rPr>
          <w:lang w:val="pt-BR"/>
        </w:rPr>
        <w:t>ções</w:t>
      </w:r>
      <w:r w:rsidR="00E045D9" w:rsidRPr="00D5464D">
        <w:rPr>
          <w:lang w:val="pt-BR"/>
        </w:rPr>
        <w:t xml:space="preserve"> e </w:t>
      </w:r>
      <w:r w:rsidR="00470ADC" w:rsidRPr="00D5464D">
        <w:rPr>
          <w:lang w:val="pt-BR"/>
        </w:rPr>
        <w:t xml:space="preserve">ao </w:t>
      </w:r>
      <w:r w:rsidR="00F16490" w:rsidRPr="00D5464D">
        <w:rPr>
          <w:lang w:val="pt-BR"/>
        </w:rPr>
        <w:t>ar liv</w:t>
      </w:r>
      <w:r w:rsidR="004766BC" w:rsidRPr="00D5464D">
        <w:rPr>
          <w:lang w:val="pt-BR"/>
        </w:rPr>
        <w:t>re</w:t>
      </w:r>
      <w:r w:rsidRPr="00D5464D">
        <w:rPr>
          <w:lang w:val="pt-BR"/>
        </w:rPr>
        <w:t>. A água</w:t>
      </w:r>
      <w:r w:rsidR="00230C71" w:rsidRPr="00D5464D">
        <w:rPr>
          <w:lang w:val="pt-BR"/>
        </w:rPr>
        <w:t xml:space="preserve"> </w:t>
      </w:r>
      <w:r w:rsidR="004766BC" w:rsidRPr="00D5464D">
        <w:rPr>
          <w:lang w:val="pt-BR"/>
        </w:rPr>
        <w:t>que consum</w:t>
      </w:r>
      <w:r w:rsidR="00F16490" w:rsidRPr="00D5464D">
        <w:rPr>
          <w:lang w:val="pt-BR"/>
        </w:rPr>
        <w:t xml:space="preserve">iam </w:t>
      </w:r>
      <w:r w:rsidR="004766BC" w:rsidRPr="00D5464D">
        <w:rPr>
          <w:lang w:val="pt-BR"/>
        </w:rPr>
        <w:t>pro</w:t>
      </w:r>
      <w:r w:rsidR="00350187" w:rsidRPr="00D5464D">
        <w:rPr>
          <w:lang w:val="pt-BR"/>
        </w:rPr>
        <w:t xml:space="preserve">vinha </w:t>
      </w:r>
      <w:r w:rsidR="004766BC" w:rsidRPr="00D5464D">
        <w:rPr>
          <w:lang w:val="pt-BR"/>
        </w:rPr>
        <w:t>de</w:t>
      </w:r>
      <w:r w:rsidR="00E045D9" w:rsidRPr="00D5464D">
        <w:rPr>
          <w:lang w:val="pt-BR"/>
        </w:rPr>
        <w:t xml:space="preserve"> um </w:t>
      </w:r>
      <w:r w:rsidR="002C330E" w:rsidRPr="00D5464D">
        <w:rPr>
          <w:lang w:val="pt-BR"/>
        </w:rPr>
        <w:t>pequen</w:t>
      </w:r>
      <w:r w:rsidR="00E37D90" w:rsidRPr="00D5464D">
        <w:rPr>
          <w:lang w:val="pt-BR"/>
        </w:rPr>
        <w:t>o</w:t>
      </w:r>
      <w:r w:rsidR="004766BC" w:rsidRPr="00D5464D">
        <w:rPr>
          <w:lang w:val="pt-BR"/>
        </w:rPr>
        <w:t xml:space="preserve"> </w:t>
      </w:r>
      <w:r w:rsidR="00E37D90" w:rsidRPr="00D5464D">
        <w:rPr>
          <w:lang w:val="pt-BR"/>
        </w:rPr>
        <w:t>poço</w:t>
      </w:r>
      <w:r w:rsidR="00F16490" w:rsidRPr="00D5464D">
        <w:rPr>
          <w:lang w:val="pt-BR"/>
        </w:rPr>
        <w:t xml:space="preserve"> no </w:t>
      </w:r>
      <w:r w:rsidR="002C330E" w:rsidRPr="00D5464D">
        <w:rPr>
          <w:lang w:val="pt-BR"/>
        </w:rPr>
        <w:t xml:space="preserve">meio </w:t>
      </w:r>
      <w:r w:rsidR="00470ADC" w:rsidRPr="00D5464D">
        <w:rPr>
          <w:lang w:val="pt-BR"/>
        </w:rPr>
        <w:t xml:space="preserve">da </w:t>
      </w:r>
      <w:r w:rsidR="00F16490" w:rsidRPr="00D5464D">
        <w:rPr>
          <w:lang w:val="pt-BR"/>
        </w:rPr>
        <w:t>mata, era armaz</w:t>
      </w:r>
      <w:r w:rsidR="004766BC" w:rsidRPr="00D5464D">
        <w:rPr>
          <w:lang w:val="pt-BR"/>
        </w:rPr>
        <w:t>enada</w:t>
      </w:r>
      <w:r w:rsidR="00470ADC" w:rsidRPr="00D5464D">
        <w:rPr>
          <w:lang w:val="pt-BR"/>
        </w:rPr>
        <w:t xml:space="preserve"> em </w:t>
      </w:r>
      <w:r w:rsidR="004766BC" w:rsidRPr="00D5464D">
        <w:rPr>
          <w:lang w:val="pt-BR"/>
        </w:rPr>
        <w:t>recipientes in</w:t>
      </w:r>
      <w:r w:rsidR="00470ADC" w:rsidRPr="00D5464D">
        <w:rPr>
          <w:lang w:val="pt-BR"/>
        </w:rPr>
        <w:t>adequad</w:t>
      </w:r>
      <w:r w:rsidR="004766BC" w:rsidRPr="00D5464D">
        <w:rPr>
          <w:lang w:val="pt-BR"/>
        </w:rPr>
        <w:t>os</w:t>
      </w:r>
      <w:r w:rsidR="00E045D9" w:rsidRPr="00D5464D">
        <w:rPr>
          <w:lang w:val="pt-BR"/>
        </w:rPr>
        <w:t xml:space="preserve"> e </w:t>
      </w:r>
      <w:r w:rsidR="00F16490" w:rsidRPr="00D5464D">
        <w:rPr>
          <w:lang w:val="pt-BR"/>
        </w:rPr>
        <w:t xml:space="preserve">distribuída </w:t>
      </w:r>
      <w:r w:rsidR="00470ADC" w:rsidRPr="00D5464D">
        <w:rPr>
          <w:lang w:val="pt-BR"/>
        </w:rPr>
        <w:t xml:space="preserve">em </w:t>
      </w:r>
      <w:r w:rsidR="00350187" w:rsidRPr="00D5464D">
        <w:rPr>
          <w:lang w:val="pt-BR"/>
        </w:rPr>
        <w:t>garrafa</w:t>
      </w:r>
      <w:r w:rsidR="004766BC" w:rsidRPr="00D5464D">
        <w:rPr>
          <w:lang w:val="pt-BR"/>
        </w:rPr>
        <w:t xml:space="preserve">s </w:t>
      </w:r>
      <w:r w:rsidR="00470ADC" w:rsidRPr="00D5464D">
        <w:rPr>
          <w:lang w:val="pt-BR"/>
        </w:rPr>
        <w:t>coletiv</w:t>
      </w:r>
      <w:r w:rsidR="004766BC" w:rsidRPr="00D5464D">
        <w:rPr>
          <w:lang w:val="pt-BR"/>
        </w:rPr>
        <w:t>as. Durante</w:t>
      </w:r>
      <w:r w:rsidR="002C330E" w:rsidRPr="00D5464D">
        <w:rPr>
          <w:lang w:val="pt-BR"/>
        </w:rPr>
        <w:t xml:space="preserve"> a </w:t>
      </w:r>
      <w:r w:rsidR="004766BC" w:rsidRPr="00D5464D">
        <w:rPr>
          <w:lang w:val="pt-BR"/>
        </w:rPr>
        <w:t>jornad</w:t>
      </w:r>
      <w:r w:rsidR="00F16490" w:rsidRPr="00D5464D">
        <w:rPr>
          <w:lang w:val="pt-BR"/>
        </w:rPr>
        <w:t>a</w:t>
      </w:r>
      <w:r w:rsidR="00C91CB1" w:rsidRPr="00D5464D">
        <w:rPr>
          <w:lang w:val="pt-BR"/>
        </w:rPr>
        <w:t xml:space="preserve"> </w:t>
      </w:r>
      <w:r w:rsidR="00F16490" w:rsidRPr="00D5464D">
        <w:rPr>
          <w:lang w:val="pt-BR"/>
        </w:rPr>
        <w:t>de trabalho</w:t>
      </w:r>
      <w:r w:rsidR="004766BC" w:rsidRPr="00D5464D">
        <w:rPr>
          <w:lang w:val="pt-BR"/>
        </w:rPr>
        <w:t>,</w:t>
      </w:r>
      <w:r w:rsidR="002C330E" w:rsidRPr="00D5464D">
        <w:rPr>
          <w:lang w:val="pt-BR"/>
        </w:rPr>
        <w:t xml:space="preserve"> os </w:t>
      </w:r>
      <w:r w:rsidR="00E045D9" w:rsidRPr="00D5464D">
        <w:rPr>
          <w:lang w:val="pt-BR"/>
        </w:rPr>
        <w:t>trabalhadores</w:t>
      </w:r>
      <w:r w:rsidR="004766BC" w:rsidRPr="00D5464D">
        <w:rPr>
          <w:lang w:val="pt-BR"/>
        </w:rPr>
        <w:t xml:space="preserve"> almo</w:t>
      </w:r>
      <w:r w:rsidR="00F16490" w:rsidRPr="00D5464D">
        <w:rPr>
          <w:lang w:val="pt-BR"/>
        </w:rPr>
        <w:t xml:space="preserve">çavam </w:t>
      </w:r>
      <w:r w:rsidR="00E045D9" w:rsidRPr="00D5464D">
        <w:rPr>
          <w:lang w:val="pt-BR"/>
        </w:rPr>
        <w:t xml:space="preserve">nas </w:t>
      </w:r>
      <w:r w:rsidR="00D4337D" w:rsidRPr="00D5464D">
        <w:rPr>
          <w:lang w:val="pt-BR"/>
        </w:rPr>
        <w:t xml:space="preserve">mesmas </w:t>
      </w:r>
      <w:r w:rsidR="004766BC" w:rsidRPr="00D5464D">
        <w:rPr>
          <w:lang w:val="pt-BR"/>
        </w:rPr>
        <w:t>planta</w:t>
      </w:r>
      <w:r w:rsidR="00470ADC" w:rsidRPr="00D5464D">
        <w:rPr>
          <w:lang w:val="pt-BR"/>
        </w:rPr>
        <w:t>ções</w:t>
      </w:r>
      <w:r w:rsidR="004766BC" w:rsidRPr="00D5464D">
        <w:rPr>
          <w:lang w:val="pt-BR"/>
        </w:rPr>
        <w:t xml:space="preserve"> </w:t>
      </w:r>
      <w:r w:rsidR="00F16490" w:rsidRPr="00D5464D">
        <w:rPr>
          <w:lang w:val="pt-BR"/>
        </w:rPr>
        <w:t>onde</w:t>
      </w:r>
      <w:r w:rsidR="00D4337D" w:rsidRPr="00D5464D">
        <w:rPr>
          <w:lang w:val="pt-BR"/>
        </w:rPr>
        <w:t xml:space="preserve"> trabalhavam</w:t>
      </w:r>
      <w:r w:rsidR="004766BC" w:rsidRPr="00D5464D">
        <w:rPr>
          <w:lang w:val="pt-BR"/>
        </w:rPr>
        <w:t xml:space="preserve">. </w:t>
      </w:r>
      <w:r w:rsidR="00350187" w:rsidRPr="00D5464D">
        <w:rPr>
          <w:lang w:val="pt-BR"/>
        </w:rPr>
        <w:t xml:space="preserve">Além disso, </w:t>
      </w:r>
      <w:r w:rsidR="004766BC" w:rsidRPr="00D5464D">
        <w:rPr>
          <w:lang w:val="pt-BR"/>
        </w:rPr>
        <w:t>toda</w:t>
      </w:r>
      <w:r w:rsidR="002C330E" w:rsidRPr="00D5464D">
        <w:rPr>
          <w:lang w:val="pt-BR"/>
        </w:rPr>
        <w:t xml:space="preserve"> a </w:t>
      </w:r>
      <w:r w:rsidR="004766BC" w:rsidRPr="00D5464D">
        <w:rPr>
          <w:lang w:val="pt-BR"/>
        </w:rPr>
        <w:t>comida que consum</w:t>
      </w:r>
      <w:r w:rsidR="00F16490" w:rsidRPr="00D5464D">
        <w:rPr>
          <w:lang w:val="pt-BR"/>
        </w:rPr>
        <w:t xml:space="preserve">iam </w:t>
      </w:r>
      <w:r w:rsidR="004766BC" w:rsidRPr="00D5464D">
        <w:rPr>
          <w:lang w:val="pt-BR"/>
        </w:rPr>
        <w:t>era anotada</w:t>
      </w:r>
      <w:r w:rsidR="00470ADC" w:rsidRPr="00D5464D">
        <w:rPr>
          <w:lang w:val="pt-BR"/>
        </w:rPr>
        <w:t xml:space="preserve"> em </w:t>
      </w:r>
      <w:r w:rsidR="00C91CB1" w:rsidRPr="00D5464D">
        <w:rPr>
          <w:lang w:val="pt-BR"/>
        </w:rPr>
        <w:t>caderno</w:t>
      </w:r>
      <w:r w:rsidR="004766BC" w:rsidRPr="00D5464D">
        <w:rPr>
          <w:lang w:val="pt-BR"/>
        </w:rPr>
        <w:t xml:space="preserve">s para </w:t>
      </w:r>
      <w:r w:rsidR="002C330E" w:rsidRPr="00D5464D">
        <w:rPr>
          <w:lang w:val="pt-BR"/>
        </w:rPr>
        <w:t>logo</w:t>
      </w:r>
      <w:r w:rsidR="004766BC" w:rsidRPr="00D5464D">
        <w:rPr>
          <w:lang w:val="pt-BR"/>
        </w:rPr>
        <w:t xml:space="preserve"> descont</w:t>
      </w:r>
      <w:r w:rsidR="00737270" w:rsidRPr="00D5464D">
        <w:rPr>
          <w:lang w:val="pt-BR"/>
        </w:rPr>
        <w:t xml:space="preserve">á-la </w:t>
      </w:r>
      <w:r w:rsidR="004766BC" w:rsidRPr="00D5464D">
        <w:rPr>
          <w:lang w:val="pt-BR"/>
        </w:rPr>
        <w:t>de s</w:t>
      </w:r>
      <w:r w:rsidR="00F16490" w:rsidRPr="00D5464D">
        <w:rPr>
          <w:lang w:val="pt-BR"/>
        </w:rPr>
        <w:t>e</w:t>
      </w:r>
      <w:r w:rsidR="004766BC" w:rsidRPr="00D5464D">
        <w:rPr>
          <w:lang w:val="pt-BR"/>
        </w:rPr>
        <w:t xml:space="preserve">us </w:t>
      </w:r>
      <w:r w:rsidR="00E045D9" w:rsidRPr="00D5464D">
        <w:rPr>
          <w:lang w:val="pt-BR"/>
        </w:rPr>
        <w:t>salário</w:t>
      </w:r>
      <w:r w:rsidR="004766BC" w:rsidRPr="00D5464D">
        <w:rPr>
          <w:lang w:val="pt-BR"/>
        </w:rPr>
        <w:t>s</w:t>
      </w:r>
      <w:r w:rsidR="00F16490" w:rsidRPr="00D5464D">
        <w:rPr>
          <w:lang w:val="pt-BR"/>
        </w:rPr>
        <w:t>.</w:t>
      </w:r>
      <w:r w:rsidR="004766BC" w:rsidRPr="00D5464D">
        <w:rPr>
          <w:vertAlign w:val="superscript"/>
          <w:lang w:val="pt-BR"/>
        </w:rPr>
        <w:footnoteReference w:id="179"/>
      </w:r>
    </w:p>
    <w:p w14:paraId="69990176" w14:textId="77777777" w:rsidR="004766BC" w:rsidRPr="00D5464D" w:rsidRDefault="004766BC" w:rsidP="004766BC">
      <w:pPr>
        <w:pStyle w:val="Prrafodelista"/>
        <w:ind w:left="0"/>
        <w:rPr>
          <w:lang w:val="pt-BR"/>
        </w:rPr>
      </w:pPr>
    </w:p>
    <w:p w14:paraId="2DDA0A59" w14:textId="71C76CD8" w:rsidR="004766BC" w:rsidRPr="00D5464D" w:rsidRDefault="00BA5EDC" w:rsidP="004766BC">
      <w:pPr>
        <w:pStyle w:val="Prrafodelista"/>
        <w:numPr>
          <w:ilvl w:val="0"/>
          <w:numId w:val="1"/>
        </w:numPr>
        <w:contextualSpacing w:val="0"/>
        <w:rPr>
          <w:lang w:val="pt-BR"/>
        </w:rPr>
      </w:pPr>
      <w:r w:rsidRPr="00D5464D">
        <w:rPr>
          <w:lang w:val="pt-BR"/>
        </w:rPr>
        <w:t>O</w:t>
      </w:r>
      <w:r w:rsidR="004766BC" w:rsidRPr="00D5464D">
        <w:rPr>
          <w:lang w:val="pt-BR"/>
        </w:rPr>
        <w:t xml:space="preserve">s </w:t>
      </w:r>
      <w:r w:rsidR="00E045D9" w:rsidRPr="00D5464D">
        <w:rPr>
          <w:lang w:val="pt-BR"/>
        </w:rPr>
        <w:t>trabalhadores</w:t>
      </w:r>
      <w:r w:rsidR="00470ADC" w:rsidRPr="00D5464D">
        <w:rPr>
          <w:lang w:val="pt-BR"/>
        </w:rPr>
        <w:t xml:space="preserve"> eram </w:t>
      </w:r>
      <w:r w:rsidRPr="00D5464D">
        <w:rPr>
          <w:lang w:val="pt-BR"/>
        </w:rPr>
        <w:t>acordados</w:t>
      </w:r>
      <w:r w:rsidR="00E045D9" w:rsidRPr="00D5464D">
        <w:rPr>
          <w:lang w:val="pt-BR"/>
        </w:rPr>
        <w:t xml:space="preserve"> às </w:t>
      </w:r>
      <w:r w:rsidR="004766BC" w:rsidRPr="00D5464D">
        <w:rPr>
          <w:lang w:val="pt-BR"/>
        </w:rPr>
        <w:t>3:00</w:t>
      </w:r>
      <w:r w:rsidR="00470ADC" w:rsidRPr="00D5464D">
        <w:rPr>
          <w:lang w:val="pt-BR"/>
        </w:rPr>
        <w:t xml:space="preserve"> da </w:t>
      </w:r>
      <w:r w:rsidR="004766BC" w:rsidRPr="00D5464D">
        <w:rPr>
          <w:lang w:val="pt-BR"/>
        </w:rPr>
        <w:t xml:space="preserve">madrugada de forma </w:t>
      </w:r>
      <w:r w:rsidR="00C91CB1" w:rsidRPr="00D5464D">
        <w:rPr>
          <w:lang w:val="pt-BR"/>
        </w:rPr>
        <w:t>violenta</w:t>
      </w:r>
      <w:r w:rsidR="004766BC" w:rsidRPr="00D5464D">
        <w:rPr>
          <w:lang w:val="pt-BR"/>
        </w:rPr>
        <w:t xml:space="preserve"> por parte de </w:t>
      </w:r>
      <w:r w:rsidR="00737270" w:rsidRPr="00D5464D">
        <w:rPr>
          <w:lang w:val="pt-BR"/>
        </w:rPr>
        <w:t>um dos</w:t>
      </w:r>
      <w:r w:rsidR="00470ADC" w:rsidRPr="00D5464D">
        <w:rPr>
          <w:lang w:val="pt-BR"/>
        </w:rPr>
        <w:t xml:space="preserve"> </w:t>
      </w:r>
      <w:r w:rsidR="00737270" w:rsidRPr="00D5464D">
        <w:rPr>
          <w:lang w:val="pt-BR"/>
        </w:rPr>
        <w:t>encarregad</w:t>
      </w:r>
      <w:r w:rsidR="004766BC" w:rsidRPr="00D5464D">
        <w:rPr>
          <w:lang w:val="pt-BR"/>
        </w:rPr>
        <w:t>os</w:t>
      </w:r>
      <w:r w:rsidR="00470ADC" w:rsidRPr="00D5464D">
        <w:rPr>
          <w:lang w:val="pt-BR"/>
        </w:rPr>
        <w:t xml:space="preserve"> da </w:t>
      </w:r>
      <w:r w:rsidR="00D809F0" w:rsidRPr="00D5464D">
        <w:rPr>
          <w:lang w:val="pt-BR"/>
        </w:rPr>
        <w:t>fazenda</w:t>
      </w:r>
      <w:r w:rsidR="004766BC" w:rsidRPr="00D5464D">
        <w:rPr>
          <w:lang w:val="pt-BR"/>
        </w:rPr>
        <w:t xml:space="preserve">. </w:t>
      </w:r>
      <w:r w:rsidRPr="00D5464D">
        <w:rPr>
          <w:lang w:val="pt-BR"/>
        </w:rPr>
        <w:t xml:space="preserve">Em seguida, </w:t>
      </w:r>
      <w:r w:rsidR="00C91CB1" w:rsidRPr="00D5464D">
        <w:rPr>
          <w:lang w:val="pt-BR"/>
        </w:rPr>
        <w:t>deveriam</w:t>
      </w:r>
      <w:r w:rsidR="004766BC" w:rsidRPr="00D5464D">
        <w:rPr>
          <w:lang w:val="pt-BR"/>
        </w:rPr>
        <w:t xml:space="preserve"> </w:t>
      </w:r>
      <w:r w:rsidR="00EB1CE9" w:rsidRPr="00D5464D">
        <w:rPr>
          <w:lang w:val="pt-BR"/>
        </w:rPr>
        <w:t>deslocar</w:t>
      </w:r>
      <w:r w:rsidR="00C91CB1" w:rsidRPr="00D5464D">
        <w:rPr>
          <w:lang w:val="pt-BR"/>
        </w:rPr>
        <w:t xml:space="preserve">-se </w:t>
      </w:r>
      <w:r w:rsidR="004766BC" w:rsidRPr="00D5464D">
        <w:rPr>
          <w:lang w:val="pt-BR"/>
        </w:rPr>
        <w:t>a</w:t>
      </w:r>
      <w:r w:rsidR="00350187" w:rsidRPr="00D5464D">
        <w:rPr>
          <w:lang w:val="pt-BR"/>
        </w:rPr>
        <w:t xml:space="preserve"> pé</w:t>
      </w:r>
      <w:r w:rsidR="004766BC" w:rsidRPr="00D5464D">
        <w:rPr>
          <w:lang w:val="pt-BR"/>
        </w:rPr>
        <w:t xml:space="preserve"> o</w:t>
      </w:r>
      <w:r w:rsidRPr="00D5464D">
        <w:rPr>
          <w:lang w:val="pt-BR"/>
        </w:rPr>
        <w:t>u</w:t>
      </w:r>
      <w:r w:rsidR="00470ADC" w:rsidRPr="00D5464D">
        <w:rPr>
          <w:lang w:val="pt-BR"/>
        </w:rPr>
        <w:t xml:space="preserve"> em </w:t>
      </w:r>
      <w:r w:rsidR="00C91CB1" w:rsidRPr="00D5464D">
        <w:rPr>
          <w:lang w:val="pt-BR"/>
        </w:rPr>
        <w:t>caminhão</w:t>
      </w:r>
      <w:r w:rsidR="00470ADC" w:rsidRPr="00D5464D">
        <w:rPr>
          <w:lang w:val="pt-BR"/>
        </w:rPr>
        <w:t xml:space="preserve"> </w:t>
      </w:r>
      <w:r w:rsidRPr="00D5464D">
        <w:rPr>
          <w:lang w:val="pt-BR"/>
        </w:rPr>
        <w:t>até a</w:t>
      </w:r>
      <w:r w:rsidR="00470ADC" w:rsidRPr="00D5464D">
        <w:rPr>
          <w:lang w:val="pt-BR"/>
        </w:rPr>
        <w:t xml:space="preserve"> </w:t>
      </w:r>
      <w:r w:rsidR="004766BC" w:rsidRPr="00D5464D">
        <w:rPr>
          <w:lang w:val="pt-BR"/>
        </w:rPr>
        <w:t>planta</w:t>
      </w:r>
      <w:r w:rsidR="00470ADC" w:rsidRPr="00D5464D">
        <w:rPr>
          <w:lang w:val="pt-BR"/>
        </w:rPr>
        <w:t>ção</w:t>
      </w:r>
      <w:r w:rsidR="00E045D9" w:rsidRPr="00D5464D">
        <w:rPr>
          <w:lang w:val="pt-BR"/>
        </w:rPr>
        <w:t xml:space="preserve"> na </w:t>
      </w:r>
      <w:r w:rsidRPr="00D5464D">
        <w:rPr>
          <w:lang w:val="pt-BR"/>
        </w:rPr>
        <w:t>qual</w:t>
      </w:r>
      <w:r w:rsidR="004766BC" w:rsidRPr="00D5464D">
        <w:rPr>
          <w:lang w:val="pt-BR"/>
        </w:rPr>
        <w:t xml:space="preserve"> </w:t>
      </w:r>
      <w:r w:rsidR="00E045D9" w:rsidRPr="00D5464D">
        <w:rPr>
          <w:lang w:val="pt-BR"/>
        </w:rPr>
        <w:t>trabalh</w:t>
      </w:r>
      <w:r w:rsidR="004766BC" w:rsidRPr="00D5464D">
        <w:rPr>
          <w:lang w:val="pt-BR"/>
        </w:rPr>
        <w:t>ar</w:t>
      </w:r>
      <w:r w:rsidRPr="00D5464D">
        <w:rPr>
          <w:lang w:val="pt-BR"/>
        </w:rPr>
        <w:t>iam</w:t>
      </w:r>
      <w:r w:rsidR="004766BC" w:rsidRPr="00D5464D">
        <w:rPr>
          <w:lang w:val="pt-BR"/>
        </w:rPr>
        <w:t xml:space="preserve">, que se </w:t>
      </w:r>
      <w:r w:rsidR="00470ADC" w:rsidRPr="00D5464D">
        <w:rPr>
          <w:lang w:val="pt-BR"/>
        </w:rPr>
        <w:t>encontrava</w:t>
      </w:r>
      <w:r w:rsidR="004766BC" w:rsidRPr="00D5464D">
        <w:rPr>
          <w:lang w:val="pt-BR"/>
        </w:rPr>
        <w:t xml:space="preserve"> a </w:t>
      </w:r>
      <w:r w:rsidR="00E045D9" w:rsidRPr="00D5464D">
        <w:rPr>
          <w:lang w:val="pt-BR"/>
        </w:rPr>
        <w:t>vários</w:t>
      </w:r>
      <w:r w:rsidR="004D50FA" w:rsidRPr="00D5464D">
        <w:rPr>
          <w:lang w:val="pt-BR"/>
        </w:rPr>
        <w:t xml:space="preserve"> </w:t>
      </w:r>
      <w:r w:rsidR="00E045D9" w:rsidRPr="00D5464D">
        <w:rPr>
          <w:lang w:val="pt-BR"/>
        </w:rPr>
        <w:t>quilômetros</w:t>
      </w:r>
      <w:r w:rsidR="00470ADC" w:rsidRPr="00D5464D">
        <w:rPr>
          <w:lang w:val="pt-BR"/>
        </w:rPr>
        <w:t xml:space="preserve"> dos </w:t>
      </w:r>
      <w:r w:rsidRPr="00D5464D">
        <w:rPr>
          <w:lang w:val="pt-BR"/>
        </w:rPr>
        <w:t>barracões</w:t>
      </w:r>
      <w:r w:rsidR="00A1358C" w:rsidRPr="00D5464D">
        <w:rPr>
          <w:lang w:val="pt-BR"/>
        </w:rPr>
        <w:t xml:space="preserve">. A </w:t>
      </w:r>
      <w:r w:rsidR="004766BC" w:rsidRPr="00D5464D">
        <w:rPr>
          <w:lang w:val="pt-BR"/>
        </w:rPr>
        <w:t xml:space="preserve">jornada de </w:t>
      </w:r>
      <w:r w:rsidR="00E045D9" w:rsidRPr="00D5464D">
        <w:rPr>
          <w:lang w:val="pt-BR"/>
        </w:rPr>
        <w:t>trabalho</w:t>
      </w:r>
      <w:r w:rsidR="004766BC" w:rsidRPr="00D5464D">
        <w:rPr>
          <w:lang w:val="pt-BR"/>
        </w:rPr>
        <w:t xml:space="preserve"> era de 12 horas o</w:t>
      </w:r>
      <w:r w:rsidRPr="00D5464D">
        <w:rPr>
          <w:lang w:val="pt-BR"/>
        </w:rPr>
        <w:t xml:space="preserve">u mais, </w:t>
      </w:r>
      <w:r w:rsidR="004766BC" w:rsidRPr="00D5464D">
        <w:rPr>
          <w:lang w:val="pt-BR"/>
        </w:rPr>
        <w:t>de aproximadamente seis</w:t>
      </w:r>
      <w:r w:rsidR="00470ADC" w:rsidRPr="00D5464D">
        <w:rPr>
          <w:lang w:val="pt-BR"/>
        </w:rPr>
        <w:t xml:space="preserve"> da </w:t>
      </w:r>
      <w:r w:rsidR="002C330E" w:rsidRPr="00D5464D">
        <w:rPr>
          <w:lang w:val="pt-BR"/>
        </w:rPr>
        <w:t>manhã</w:t>
      </w:r>
      <w:r w:rsidR="004766BC" w:rsidRPr="00D5464D">
        <w:rPr>
          <w:lang w:val="pt-BR"/>
        </w:rPr>
        <w:t xml:space="preserve"> a</w:t>
      </w:r>
      <w:r w:rsidRPr="00D5464D">
        <w:rPr>
          <w:lang w:val="pt-BR"/>
        </w:rPr>
        <w:t>té</w:t>
      </w:r>
      <w:r w:rsidR="004766BC" w:rsidRPr="00D5464D">
        <w:rPr>
          <w:lang w:val="pt-BR"/>
        </w:rPr>
        <w:t xml:space="preserve"> seis</w:t>
      </w:r>
      <w:r w:rsidR="00470ADC" w:rsidRPr="00D5464D">
        <w:rPr>
          <w:lang w:val="pt-BR"/>
        </w:rPr>
        <w:t xml:space="preserve"> da </w:t>
      </w:r>
      <w:r w:rsidR="004766BC" w:rsidRPr="00D5464D">
        <w:rPr>
          <w:lang w:val="pt-BR"/>
        </w:rPr>
        <w:t>tarde,</w:t>
      </w:r>
      <w:r w:rsidR="00470ADC" w:rsidRPr="00D5464D">
        <w:rPr>
          <w:lang w:val="pt-BR"/>
        </w:rPr>
        <w:t xml:space="preserve"> com</w:t>
      </w:r>
      <w:r w:rsidR="00E045D9" w:rsidRPr="00D5464D">
        <w:rPr>
          <w:lang w:val="pt-BR"/>
        </w:rPr>
        <w:t xml:space="preserve"> um </w:t>
      </w:r>
      <w:r w:rsidRPr="00D5464D">
        <w:rPr>
          <w:lang w:val="pt-BR"/>
        </w:rPr>
        <w:t>descanso de me</w:t>
      </w:r>
      <w:r w:rsidR="004766BC" w:rsidRPr="00D5464D">
        <w:rPr>
          <w:lang w:val="pt-BR"/>
        </w:rPr>
        <w:t xml:space="preserve">ia hora para </w:t>
      </w:r>
      <w:r w:rsidRPr="00D5464D">
        <w:rPr>
          <w:lang w:val="pt-BR"/>
        </w:rPr>
        <w:t>almoçar</w:t>
      </w:r>
      <w:r w:rsidR="00C91CB1" w:rsidRPr="00D5464D">
        <w:rPr>
          <w:lang w:val="pt-BR"/>
        </w:rPr>
        <w:t xml:space="preserve">. Os </w:t>
      </w:r>
      <w:r w:rsidR="00E045D9" w:rsidRPr="00D5464D">
        <w:rPr>
          <w:lang w:val="pt-BR"/>
        </w:rPr>
        <w:t>trabalhadores</w:t>
      </w:r>
      <w:r w:rsidR="00470ADC" w:rsidRPr="00D5464D">
        <w:rPr>
          <w:lang w:val="pt-BR"/>
        </w:rPr>
        <w:t xml:space="preserve"> eram </w:t>
      </w:r>
      <w:r w:rsidR="004766BC" w:rsidRPr="00D5464D">
        <w:rPr>
          <w:lang w:val="pt-BR"/>
        </w:rPr>
        <w:t>divididos</w:t>
      </w:r>
      <w:r w:rsidR="00470ADC" w:rsidRPr="00D5464D">
        <w:rPr>
          <w:lang w:val="pt-BR"/>
        </w:rPr>
        <w:t xml:space="preserve"> em </w:t>
      </w:r>
      <w:r w:rsidR="004766BC" w:rsidRPr="00D5464D">
        <w:rPr>
          <w:lang w:val="pt-BR"/>
        </w:rPr>
        <w:t xml:space="preserve">grupos de aproximadamente 10 </w:t>
      </w:r>
      <w:r w:rsidR="002C330E" w:rsidRPr="00D5464D">
        <w:rPr>
          <w:lang w:val="pt-BR"/>
        </w:rPr>
        <w:t>pessoa</w:t>
      </w:r>
      <w:r w:rsidR="004766BC" w:rsidRPr="00D5464D">
        <w:rPr>
          <w:lang w:val="pt-BR"/>
        </w:rPr>
        <w:t>s</w:t>
      </w:r>
      <w:r w:rsidR="00E045D9" w:rsidRPr="00D5464D">
        <w:rPr>
          <w:lang w:val="pt-BR"/>
        </w:rPr>
        <w:t xml:space="preserve"> e trabalh</w:t>
      </w:r>
      <w:r w:rsidR="00350187" w:rsidRPr="00D5464D">
        <w:rPr>
          <w:lang w:val="pt-BR"/>
        </w:rPr>
        <w:t xml:space="preserve">avam </w:t>
      </w:r>
      <w:r w:rsidR="004766BC" w:rsidRPr="00D5464D">
        <w:rPr>
          <w:lang w:val="pt-BR"/>
        </w:rPr>
        <w:t xml:space="preserve">cortando </w:t>
      </w:r>
      <w:r w:rsidR="004766BC" w:rsidRPr="00D5464D">
        <w:rPr>
          <w:i/>
          <w:lang w:val="pt-BR"/>
        </w:rPr>
        <w:t>juquira</w:t>
      </w:r>
      <w:r w:rsidRPr="00D5464D">
        <w:rPr>
          <w:lang w:val="pt-BR"/>
        </w:rPr>
        <w:t xml:space="preserve">. </w:t>
      </w:r>
      <w:r w:rsidR="000C4AC2" w:rsidRPr="00D5464D">
        <w:rPr>
          <w:lang w:val="pt-BR"/>
        </w:rPr>
        <w:t>Concluída</w:t>
      </w:r>
      <w:r w:rsidRPr="00D5464D">
        <w:rPr>
          <w:lang w:val="pt-BR"/>
        </w:rPr>
        <w:t xml:space="preserve"> a jornada, </w:t>
      </w:r>
      <w:r w:rsidR="002C330E" w:rsidRPr="00D5464D">
        <w:rPr>
          <w:lang w:val="pt-BR"/>
        </w:rPr>
        <w:t xml:space="preserve">os </w:t>
      </w:r>
      <w:r w:rsidR="00E045D9" w:rsidRPr="00D5464D">
        <w:rPr>
          <w:lang w:val="pt-BR"/>
        </w:rPr>
        <w:t>trabalhadores</w:t>
      </w:r>
      <w:r w:rsidR="00470ADC" w:rsidRPr="00D5464D">
        <w:rPr>
          <w:lang w:val="pt-BR"/>
        </w:rPr>
        <w:t xml:space="preserve"> eram </w:t>
      </w:r>
      <w:r w:rsidR="00230C71" w:rsidRPr="00D5464D">
        <w:rPr>
          <w:lang w:val="pt-BR"/>
        </w:rPr>
        <w:t>recolhid</w:t>
      </w:r>
      <w:r w:rsidR="004766BC" w:rsidRPr="00D5464D">
        <w:rPr>
          <w:lang w:val="pt-BR"/>
        </w:rPr>
        <w:t>os por</w:t>
      </w:r>
      <w:r w:rsidR="00E045D9" w:rsidRPr="00D5464D">
        <w:rPr>
          <w:lang w:val="pt-BR"/>
        </w:rPr>
        <w:t xml:space="preserve"> um </w:t>
      </w:r>
      <w:r w:rsidR="00C91CB1" w:rsidRPr="00D5464D">
        <w:rPr>
          <w:lang w:val="pt-BR"/>
        </w:rPr>
        <w:t>caminhão</w:t>
      </w:r>
      <w:r w:rsidR="00E045D9" w:rsidRPr="00D5464D">
        <w:rPr>
          <w:lang w:val="pt-BR"/>
        </w:rPr>
        <w:t xml:space="preserve"> e </w:t>
      </w:r>
      <w:r w:rsidR="00D4337D" w:rsidRPr="00D5464D">
        <w:rPr>
          <w:lang w:val="pt-BR"/>
        </w:rPr>
        <w:t xml:space="preserve">levados de volta </w:t>
      </w:r>
      <w:r w:rsidR="00E045D9" w:rsidRPr="00D5464D">
        <w:rPr>
          <w:lang w:val="pt-BR"/>
        </w:rPr>
        <w:t xml:space="preserve">aos </w:t>
      </w:r>
      <w:r w:rsidRPr="00D5464D">
        <w:rPr>
          <w:lang w:val="pt-BR"/>
        </w:rPr>
        <w:t xml:space="preserve">barracões. Tinham </w:t>
      </w:r>
      <w:r w:rsidR="00D14320" w:rsidRPr="00D5464D">
        <w:rPr>
          <w:lang w:val="pt-BR"/>
        </w:rPr>
        <w:t xml:space="preserve">apenas </w:t>
      </w:r>
      <w:r w:rsidR="002C330E" w:rsidRPr="00D5464D">
        <w:rPr>
          <w:lang w:val="pt-BR"/>
        </w:rPr>
        <w:t xml:space="preserve">os </w:t>
      </w:r>
      <w:r w:rsidR="004766BC" w:rsidRPr="00D5464D">
        <w:rPr>
          <w:lang w:val="pt-BR"/>
        </w:rPr>
        <w:t xml:space="preserve">domingos como </w:t>
      </w:r>
      <w:r w:rsidR="00470ADC" w:rsidRPr="00D5464D">
        <w:rPr>
          <w:lang w:val="pt-BR"/>
        </w:rPr>
        <w:t>dia</w:t>
      </w:r>
      <w:r w:rsidR="004766BC" w:rsidRPr="00D5464D">
        <w:rPr>
          <w:lang w:val="pt-BR"/>
        </w:rPr>
        <w:t xml:space="preserve"> de descanso</w:t>
      </w:r>
      <w:r w:rsidRPr="00D5464D">
        <w:rPr>
          <w:lang w:val="pt-BR"/>
        </w:rPr>
        <w:t>.</w:t>
      </w:r>
      <w:r w:rsidR="004766BC" w:rsidRPr="00D5464D">
        <w:rPr>
          <w:vertAlign w:val="superscript"/>
          <w:lang w:val="pt-BR"/>
        </w:rPr>
        <w:footnoteReference w:id="180"/>
      </w:r>
      <w:r w:rsidR="004766BC" w:rsidRPr="00D5464D">
        <w:rPr>
          <w:lang w:val="pt-BR"/>
        </w:rPr>
        <w:t xml:space="preserve"> </w:t>
      </w:r>
    </w:p>
    <w:p w14:paraId="20CBC330" w14:textId="77777777" w:rsidR="004766BC" w:rsidRPr="00D5464D" w:rsidRDefault="004766BC" w:rsidP="004766BC">
      <w:pPr>
        <w:pStyle w:val="Prrafodelista"/>
        <w:ind w:left="0"/>
        <w:rPr>
          <w:lang w:val="pt-BR"/>
        </w:rPr>
      </w:pPr>
    </w:p>
    <w:p w14:paraId="440BCD85" w14:textId="1B22718E" w:rsidR="004766BC" w:rsidRPr="00D5464D" w:rsidRDefault="004766BC" w:rsidP="004766BC">
      <w:pPr>
        <w:pStyle w:val="Prrafodelista"/>
        <w:numPr>
          <w:ilvl w:val="0"/>
          <w:numId w:val="1"/>
        </w:numPr>
        <w:autoSpaceDE w:val="0"/>
        <w:autoSpaceDN w:val="0"/>
        <w:adjustRightInd w:val="0"/>
        <w:contextualSpacing w:val="0"/>
        <w:rPr>
          <w:rFonts w:cs="Arial"/>
          <w:szCs w:val="20"/>
          <w:lang w:val="pt-BR"/>
        </w:rPr>
      </w:pPr>
      <w:r w:rsidRPr="00D5464D">
        <w:rPr>
          <w:lang w:val="pt-BR"/>
        </w:rPr>
        <w:t>Por consumir</w:t>
      </w:r>
      <w:r w:rsidR="00230C71" w:rsidRPr="00D5464D">
        <w:rPr>
          <w:lang w:val="pt-BR"/>
        </w:rPr>
        <w:t xml:space="preserve"> água </w:t>
      </w:r>
      <w:r w:rsidRPr="00D5464D">
        <w:rPr>
          <w:lang w:val="pt-BR"/>
        </w:rPr>
        <w:t>contaminada</w:t>
      </w:r>
      <w:r w:rsidR="00E045D9" w:rsidRPr="00D5464D">
        <w:rPr>
          <w:lang w:val="pt-BR"/>
        </w:rPr>
        <w:t xml:space="preserve"> e </w:t>
      </w:r>
      <w:r w:rsidRPr="00D5464D">
        <w:rPr>
          <w:lang w:val="pt-BR"/>
        </w:rPr>
        <w:t>realizar s</w:t>
      </w:r>
      <w:r w:rsidR="00BA5EDC" w:rsidRPr="00D5464D">
        <w:rPr>
          <w:lang w:val="pt-BR"/>
        </w:rPr>
        <w:t>eu</w:t>
      </w:r>
      <w:r w:rsidRPr="00D5464D">
        <w:rPr>
          <w:lang w:val="pt-BR"/>
        </w:rPr>
        <w:t xml:space="preserve"> </w:t>
      </w:r>
      <w:r w:rsidR="00BA5EDC" w:rsidRPr="00D5464D">
        <w:rPr>
          <w:lang w:val="pt-BR"/>
        </w:rPr>
        <w:t>trabalho</w:t>
      </w:r>
      <w:r w:rsidR="00470ADC" w:rsidRPr="00D5464D">
        <w:rPr>
          <w:lang w:val="pt-BR"/>
        </w:rPr>
        <w:t xml:space="preserve"> sob</w:t>
      </w:r>
      <w:r w:rsidR="002C330E" w:rsidRPr="00D5464D">
        <w:rPr>
          <w:lang w:val="pt-BR"/>
        </w:rPr>
        <w:t xml:space="preserve"> </w:t>
      </w:r>
      <w:r w:rsidR="00230C71" w:rsidRPr="00D5464D">
        <w:rPr>
          <w:lang w:val="pt-BR"/>
        </w:rPr>
        <w:t>chuva</w:t>
      </w:r>
      <w:r w:rsidR="00E045D9" w:rsidRPr="00D5464D">
        <w:rPr>
          <w:lang w:val="pt-BR"/>
        </w:rPr>
        <w:t xml:space="preserve"> e </w:t>
      </w:r>
      <w:r w:rsidR="00470ADC" w:rsidRPr="00D5464D">
        <w:rPr>
          <w:lang w:val="pt-BR"/>
        </w:rPr>
        <w:t>com</w:t>
      </w:r>
      <w:r w:rsidR="002C330E" w:rsidRPr="00D5464D">
        <w:rPr>
          <w:lang w:val="pt-BR"/>
        </w:rPr>
        <w:t xml:space="preserve"> os</w:t>
      </w:r>
      <w:r w:rsidR="00350187" w:rsidRPr="00D5464D">
        <w:rPr>
          <w:lang w:val="pt-BR"/>
        </w:rPr>
        <w:t xml:space="preserve"> pé</w:t>
      </w:r>
      <w:r w:rsidRPr="00D5464D">
        <w:rPr>
          <w:lang w:val="pt-BR"/>
        </w:rPr>
        <w:t xml:space="preserve">s </w:t>
      </w:r>
      <w:r w:rsidR="00470ADC" w:rsidRPr="00D5464D">
        <w:rPr>
          <w:lang w:val="pt-BR"/>
        </w:rPr>
        <w:t>coberto</w:t>
      </w:r>
      <w:r w:rsidRPr="00D5464D">
        <w:rPr>
          <w:lang w:val="pt-BR"/>
        </w:rPr>
        <w:t>s por</w:t>
      </w:r>
      <w:r w:rsidR="00C91CB1" w:rsidRPr="00D5464D">
        <w:rPr>
          <w:lang w:val="pt-BR"/>
        </w:rPr>
        <w:t xml:space="preserve"> água</w:t>
      </w:r>
      <w:r w:rsidRPr="00D5464D">
        <w:rPr>
          <w:lang w:val="pt-BR"/>
        </w:rPr>
        <w:t xml:space="preserve">, entre </w:t>
      </w:r>
      <w:r w:rsidR="002C330E" w:rsidRPr="00D5464D">
        <w:rPr>
          <w:lang w:val="pt-BR"/>
        </w:rPr>
        <w:t>outros</w:t>
      </w:r>
      <w:r w:rsidRPr="00D5464D">
        <w:rPr>
          <w:lang w:val="pt-BR"/>
        </w:rPr>
        <w:t xml:space="preserve"> </w:t>
      </w:r>
      <w:r w:rsidR="00470ADC" w:rsidRPr="00D5464D">
        <w:rPr>
          <w:lang w:val="pt-BR"/>
        </w:rPr>
        <w:t>fato</w:t>
      </w:r>
      <w:r w:rsidRPr="00D5464D">
        <w:rPr>
          <w:lang w:val="pt-BR"/>
        </w:rPr>
        <w:t xml:space="preserve">res, </w:t>
      </w:r>
      <w:r w:rsidR="00470ADC" w:rsidRPr="00D5464D">
        <w:rPr>
          <w:lang w:val="pt-BR"/>
        </w:rPr>
        <w:t xml:space="preserve">alguns </w:t>
      </w:r>
      <w:r w:rsidR="00E045D9" w:rsidRPr="00D5464D">
        <w:rPr>
          <w:lang w:val="pt-BR"/>
        </w:rPr>
        <w:t>trabalhadores</w:t>
      </w:r>
      <w:r w:rsidRPr="00D5464D">
        <w:rPr>
          <w:lang w:val="pt-BR"/>
        </w:rPr>
        <w:t xml:space="preserve"> </w:t>
      </w:r>
      <w:r w:rsidR="00BA5EDC" w:rsidRPr="00D5464D">
        <w:rPr>
          <w:lang w:val="pt-BR"/>
        </w:rPr>
        <w:t xml:space="preserve">adoeciam </w:t>
      </w:r>
      <w:r w:rsidR="00470ADC" w:rsidRPr="00D5464D">
        <w:rPr>
          <w:lang w:val="pt-BR"/>
        </w:rPr>
        <w:t xml:space="preserve">com </w:t>
      </w:r>
      <w:r w:rsidRPr="00D5464D">
        <w:rPr>
          <w:lang w:val="pt-BR"/>
        </w:rPr>
        <w:t>facilidad</w:t>
      </w:r>
      <w:r w:rsidR="00BA5EDC" w:rsidRPr="00D5464D">
        <w:rPr>
          <w:lang w:val="pt-BR"/>
        </w:rPr>
        <w:t>e</w:t>
      </w:r>
      <w:r w:rsidR="00E045D9" w:rsidRPr="00D5464D">
        <w:rPr>
          <w:lang w:val="pt-BR"/>
        </w:rPr>
        <w:t xml:space="preserve"> e </w:t>
      </w:r>
      <w:r w:rsidRPr="00D5464D">
        <w:rPr>
          <w:lang w:val="pt-BR"/>
        </w:rPr>
        <w:t>regular</w:t>
      </w:r>
      <w:r w:rsidR="00E765C2" w:rsidRPr="00D5464D">
        <w:rPr>
          <w:lang w:val="pt-BR"/>
        </w:rPr>
        <w:t>idade.</w:t>
      </w:r>
      <w:r w:rsidRPr="00D5464D">
        <w:rPr>
          <w:lang w:val="pt-BR"/>
        </w:rPr>
        <w:t xml:space="preserve"> </w:t>
      </w:r>
      <w:r w:rsidR="00BA5EDC" w:rsidRPr="00D5464D">
        <w:rPr>
          <w:lang w:val="pt-BR"/>
        </w:rPr>
        <w:t>Em p</w:t>
      </w:r>
      <w:r w:rsidRPr="00D5464D">
        <w:rPr>
          <w:lang w:val="pt-BR"/>
        </w:rPr>
        <w:t>articular,</w:t>
      </w:r>
      <w:r w:rsidR="002C330E" w:rsidRPr="00D5464D">
        <w:rPr>
          <w:lang w:val="pt-BR"/>
        </w:rPr>
        <w:t xml:space="preserve"> os </w:t>
      </w:r>
      <w:r w:rsidR="00E045D9" w:rsidRPr="00D5464D">
        <w:rPr>
          <w:lang w:val="pt-BR"/>
        </w:rPr>
        <w:t>trabalhadores</w:t>
      </w:r>
      <w:r w:rsidRPr="00D5464D">
        <w:rPr>
          <w:lang w:val="pt-BR"/>
        </w:rPr>
        <w:t xml:space="preserve"> </w:t>
      </w:r>
      <w:r w:rsidR="00D4337D" w:rsidRPr="00D5464D">
        <w:rPr>
          <w:lang w:val="pt-BR"/>
        </w:rPr>
        <w:t xml:space="preserve">contraiam </w:t>
      </w:r>
      <w:r w:rsidR="00BA5EDC" w:rsidRPr="00D5464D">
        <w:rPr>
          <w:lang w:val="pt-BR"/>
        </w:rPr>
        <w:t xml:space="preserve">fungos nos </w:t>
      </w:r>
      <w:r w:rsidR="00350187" w:rsidRPr="00D5464D">
        <w:rPr>
          <w:lang w:val="pt-BR"/>
        </w:rPr>
        <w:t>pé</w:t>
      </w:r>
      <w:r w:rsidRPr="00D5464D">
        <w:rPr>
          <w:lang w:val="pt-BR"/>
        </w:rPr>
        <w:t>s,</w:t>
      </w:r>
      <w:r w:rsidR="002C330E" w:rsidRPr="00D5464D">
        <w:rPr>
          <w:lang w:val="pt-BR"/>
        </w:rPr>
        <w:t xml:space="preserve"> o que lhes </w:t>
      </w:r>
      <w:r w:rsidR="00EB1CE9" w:rsidRPr="00D5464D">
        <w:rPr>
          <w:lang w:val="pt-BR"/>
        </w:rPr>
        <w:t>gerava</w:t>
      </w:r>
      <w:r w:rsidR="00350187" w:rsidRPr="00D5464D">
        <w:rPr>
          <w:lang w:val="pt-BR"/>
        </w:rPr>
        <w:t xml:space="preserve"> </w:t>
      </w:r>
      <w:r w:rsidR="00BA5EDC" w:rsidRPr="00D5464D">
        <w:rPr>
          <w:lang w:val="pt-BR"/>
        </w:rPr>
        <w:t>muita</w:t>
      </w:r>
      <w:r w:rsidR="00350187" w:rsidRPr="00D5464D">
        <w:rPr>
          <w:lang w:val="pt-BR"/>
        </w:rPr>
        <w:t xml:space="preserve"> dor</w:t>
      </w:r>
      <w:r w:rsidRPr="00D5464D">
        <w:rPr>
          <w:lang w:val="pt-BR"/>
        </w:rPr>
        <w:t>,</w:t>
      </w:r>
      <w:r w:rsidR="00BA5EDC" w:rsidRPr="00D5464D">
        <w:rPr>
          <w:lang w:val="pt-BR"/>
        </w:rPr>
        <w:t xml:space="preserve"> a</w:t>
      </w:r>
      <w:r w:rsidR="002C330E" w:rsidRPr="00D5464D">
        <w:rPr>
          <w:lang w:val="pt-BR"/>
        </w:rPr>
        <w:t xml:space="preserve"> ponto </w:t>
      </w:r>
      <w:r w:rsidRPr="00D5464D">
        <w:rPr>
          <w:lang w:val="pt-BR"/>
        </w:rPr>
        <w:t>de que</w:t>
      </w:r>
      <w:r w:rsidR="002C330E" w:rsidRPr="00D5464D">
        <w:rPr>
          <w:lang w:val="pt-BR"/>
        </w:rPr>
        <w:t xml:space="preserve"> a </w:t>
      </w:r>
      <w:r w:rsidR="00BA5EDC" w:rsidRPr="00D5464D">
        <w:rPr>
          <w:lang w:val="pt-BR"/>
        </w:rPr>
        <w:t xml:space="preserve">doença </w:t>
      </w:r>
      <w:r w:rsidR="002C330E" w:rsidRPr="00D5464D">
        <w:rPr>
          <w:lang w:val="pt-BR"/>
        </w:rPr>
        <w:t xml:space="preserve">lhes </w:t>
      </w:r>
      <w:r w:rsidRPr="00D5464D">
        <w:rPr>
          <w:lang w:val="pt-BR"/>
        </w:rPr>
        <w:t>impe</w:t>
      </w:r>
      <w:r w:rsidR="00470ADC" w:rsidRPr="00D5464D">
        <w:rPr>
          <w:lang w:val="pt-BR"/>
        </w:rPr>
        <w:t>dia</w:t>
      </w:r>
      <w:r w:rsidRPr="00D5464D">
        <w:rPr>
          <w:lang w:val="pt-BR"/>
        </w:rPr>
        <w:t xml:space="preserve"> </w:t>
      </w:r>
      <w:r w:rsidR="00BA5EDC" w:rsidRPr="00D5464D">
        <w:rPr>
          <w:lang w:val="pt-BR"/>
        </w:rPr>
        <w:t xml:space="preserve">de calçar </w:t>
      </w:r>
      <w:r w:rsidR="002C330E" w:rsidRPr="00D5464D">
        <w:rPr>
          <w:lang w:val="pt-BR"/>
        </w:rPr>
        <w:t xml:space="preserve">as </w:t>
      </w:r>
      <w:r w:rsidRPr="00D5464D">
        <w:rPr>
          <w:lang w:val="pt-BR"/>
        </w:rPr>
        <w:t>botas para realizar s</w:t>
      </w:r>
      <w:r w:rsidR="00BA5EDC" w:rsidRPr="00D5464D">
        <w:rPr>
          <w:lang w:val="pt-BR"/>
        </w:rPr>
        <w:t>eu</w:t>
      </w:r>
      <w:r w:rsidRPr="00D5464D">
        <w:rPr>
          <w:lang w:val="pt-BR"/>
        </w:rPr>
        <w:t xml:space="preserve"> </w:t>
      </w:r>
      <w:r w:rsidR="00BA5EDC" w:rsidRPr="00D5464D">
        <w:rPr>
          <w:lang w:val="pt-BR"/>
        </w:rPr>
        <w:t>trabalho</w:t>
      </w:r>
      <w:r w:rsidR="00737270" w:rsidRPr="00D5464D">
        <w:rPr>
          <w:lang w:val="pt-BR"/>
        </w:rPr>
        <w:t>. No entanto</w:t>
      </w:r>
      <w:r w:rsidRPr="00D5464D">
        <w:rPr>
          <w:lang w:val="pt-BR"/>
        </w:rPr>
        <w:t>,</w:t>
      </w:r>
      <w:r w:rsidR="00E045D9" w:rsidRPr="00D5464D">
        <w:rPr>
          <w:lang w:val="pt-BR"/>
        </w:rPr>
        <w:t xml:space="preserve"> na </w:t>
      </w:r>
      <w:r w:rsidR="00D809F0" w:rsidRPr="00D5464D">
        <w:rPr>
          <w:lang w:val="pt-BR"/>
        </w:rPr>
        <w:t>fazenda</w:t>
      </w:r>
      <w:r w:rsidRPr="00D5464D">
        <w:rPr>
          <w:lang w:val="pt-BR"/>
        </w:rPr>
        <w:t xml:space="preserve"> </w:t>
      </w:r>
      <w:r w:rsidR="00737270" w:rsidRPr="00D5464D">
        <w:rPr>
          <w:lang w:val="pt-BR"/>
        </w:rPr>
        <w:t>não havia</w:t>
      </w:r>
      <w:r w:rsidRPr="00D5464D">
        <w:rPr>
          <w:lang w:val="pt-BR"/>
        </w:rPr>
        <w:t xml:space="preserve"> </w:t>
      </w:r>
      <w:r w:rsidR="002C330E" w:rsidRPr="00D5464D">
        <w:rPr>
          <w:lang w:val="pt-BR"/>
        </w:rPr>
        <w:t>pessoa</w:t>
      </w:r>
      <w:r w:rsidRPr="00D5464D">
        <w:rPr>
          <w:lang w:val="pt-BR"/>
        </w:rPr>
        <w:t>l médico que</w:t>
      </w:r>
      <w:r w:rsidR="002C330E" w:rsidRPr="00D5464D">
        <w:rPr>
          <w:lang w:val="pt-BR"/>
        </w:rPr>
        <w:t xml:space="preserve"> os </w:t>
      </w:r>
      <w:r w:rsidR="00BA5EDC" w:rsidRPr="00D5464D">
        <w:rPr>
          <w:lang w:val="pt-BR"/>
        </w:rPr>
        <w:t>atendesse</w:t>
      </w:r>
      <w:r w:rsidRPr="00D5464D">
        <w:rPr>
          <w:lang w:val="pt-BR"/>
        </w:rPr>
        <w:t>,</w:t>
      </w:r>
      <w:r w:rsidR="002C330E" w:rsidRPr="00D5464D">
        <w:rPr>
          <w:lang w:val="pt-BR"/>
        </w:rPr>
        <w:t xml:space="preserve"> nem </w:t>
      </w:r>
      <w:r w:rsidR="00230C71" w:rsidRPr="00D5464D">
        <w:rPr>
          <w:lang w:val="pt-BR"/>
        </w:rPr>
        <w:t>recebiam</w:t>
      </w:r>
      <w:r w:rsidRPr="00D5464D">
        <w:rPr>
          <w:lang w:val="pt-BR"/>
        </w:rPr>
        <w:t xml:space="preserve"> visitas de médicos</w:t>
      </w:r>
      <w:r w:rsidR="00470ADC" w:rsidRPr="00D5464D">
        <w:rPr>
          <w:lang w:val="pt-BR"/>
        </w:rPr>
        <w:t xml:space="preserve"> </w:t>
      </w:r>
      <w:r w:rsidR="00BA5EDC" w:rsidRPr="00D5464D">
        <w:rPr>
          <w:lang w:val="pt-BR"/>
        </w:rPr>
        <w:t>das comunidades próxima</w:t>
      </w:r>
      <w:r w:rsidR="00EB1CE9" w:rsidRPr="00D5464D">
        <w:rPr>
          <w:lang w:val="pt-BR"/>
        </w:rPr>
        <w:t>s</w:t>
      </w:r>
      <w:r w:rsidRPr="00D5464D">
        <w:rPr>
          <w:lang w:val="pt-BR"/>
        </w:rPr>
        <w:t>.</w:t>
      </w:r>
      <w:r w:rsidR="002C330E" w:rsidRPr="00D5464D">
        <w:rPr>
          <w:lang w:val="pt-BR"/>
        </w:rPr>
        <w:t xml:space="preserve"> </w:t>
      </w:r>
      <w:r w:rsidR="00BA5EDC" w:rsidRPr="00D5464D">
        <w:rPr>
          <w:lang w:val="pt-BR"/>
        </w:rPr>
        <w:t>S</w:t>
      </w:r>
      <w:r w:rsidR="002C330E" w:rsidRPr="00D5464D">
        <w:rPr>
          <w:lang w:val="pt-BR"/>
        </w:rPr>
        <w:t xml:space="preserve">e os </w:t>
      </w:r>
      <w:r w:rsidR="00E045D9" w:rsidRPr="00D5464D">
        <w:rPr>
          <w:lang w:val="pt-BR"/>
        </w:rPr>
        <w:t>trabalhadores</w:t>
      </w:r>
      <w:r w:rsidRPr="00D5464D">
        <w:rPr>
          <w:lang w:val="pt-BR"/>
        </w:rPr>
        <w:t xml:space="preserve"> </w:t>
      </w:r>
      <w:r w:rsidR="00BA5EDC" w:rsidRPr="00D5464D">
        <w:rPr>
          <w:lang w:val="pt-BR"/>
        </w:rPr>
        <w:t xml:space="preserve">doentes quisessem </w:t>
      </w:r>
      <w:r w:rsidRPr="00D5464D">
        <w:rPr>
          <w:lang w:val="pt-BR"/>
        </w:rPr>
        <w:t xml:space="preserve">medicamentos, </w:t>
      </w:r>
      <w:r w:rsidR="00C91CB1" w:rsidRPr="00D5464D">
        <w:rPr>
          <w:lang w:val="pt-BR"/>
        </w:rPr>
        <w:t>deveriam</w:t>
      </w:r>
      <w:r w:rsidRPr="00D5464D">
        <w:rPr>
          <w:lang w:val="pt-BR"/>
        </w:rPr>
        <w:t xml:space="preserve"> </w:t>
      </w:r>
      <w:r w:rsidR="00BA5EDC" w:rsidRPr="00D5464D">
        <w:rPr>
          <w:lang w:val="pt-BR"/>
        </w:rPr>
        <w:t>pedi</w:t>
      </w:r>
      <w:r w:rsidR="00A1358C" w:rsidRPr="00D5464D">
        <w:rPr>
          <w:lang w:val="pt-BR"/>
        </w:rPr>
        <w:t xml:space="preserve">-los </w:t>
      </w:r>
      <w:r w:rsidR="00E045D9" w:rsidRPr="00D5464D">
        <w:rPr>
          <w:lang w:val="pt-BR"/>
        </w:rPr>
        <w:t xml:space="preserve">aos </w:t>
      </w:r>
      <w:r w:rsidR="00737270" w:rsidRPr="00D5464D">
        <w:rPr>
          <w:lang w:val="pt-BR"/>
        </w:rPr>
        <w:t>encarregad</w:t>
      </w:r>
      <w:r w:rsidRPr="00D5464D">
        <w:rPr>
          <w:lang w:val="pt-BR"/>
        </w:rPr>
        <w:t>os</w:t>
      </w:r>
      <w:r w:rsidR="00470ADC" w:rsidRPr="00D5464D">
        <w:rPr>
          <w:lang w:val="pt-BR"/>
        </w:rPr>
        <w:t xml:space="preserve"> da </w:t>
      </w:r>
      <w:r w:rsidR="00D809F0" w:rsidRPr="00D5464D">
        <w:rPr>
          <w:lang w:val="pt-BR"/>
        </w:rPr>
        <w:t>fazenda</w:t>
      </w:r>
      <w:r w:rsidR="00E045D9" w:rsidRPr="00D5464D">
        <w:rPr>
          <w:lang w:val="pt-BR"/>
        </w:rPr>
        <w:t xml:space="preserve"> e </w:t>
      </w:r>
      <w:r w:rsidR="00470ADC" w:rsidRPr="00D5464D">
        <w:rPr>
          <w:lang w:val="pt-BR"/>
        </w:rPr>
        <w:t>estes</w:t>
      </w:r>
      <w:r w:rsidR="002C330E" w:rsidRPr="00D5464D">
        <w:rPr>
          <w:lang w:val="pt-BR"/>
        </w:rPr>
        <w:t xml:space="preserve"> </w:t>
      </w:r>
      <w:r w:rsidR="00BA5EDC" w:rsidRPr="00D5464D">
        <w:rPr>
          <w:lang w:val="pt-BR"/>
        </w:rPr>
        <w:t xml:space="preserve">compravam na cidade, </w:t>
      </w:r>
      <w:r w:rsidRPr="00D5464D">
        <w:rPr>
          <w:lang w:val="pt-BR"/>
        </w:rPr>
        <w:t>descontando</w:t>
      </w:r>
      <w:r w:rsidR="00470ADC" w:rsidRPr="00D5464D">
        <w:rPr>
          <w:lang w:val="pt-BR"/>
        </w:rPr>
        <w:t xml:space="preserve"> o </w:t>
      </w:r>
      <w:r w:rsidR="00350187" w:rsidRPr="00D5464D">
        <w:rPr>
          <w:lang w:val="pt-BR"/>
        </w:rPr>
        <w:t>custo</w:t>
      </w:r>
      <w:r w:rsidRPr="00D5464D">
        <w:rPr>
          <w:lang w:val="pt-BR"/>
        </w:rPr>
        <w:t xml:space="preserve"> de s</w:t>
      </w:r>
      <w:r w:rsidR="00BA5EDC" w:rsidRPr="00D5464D">
        <w:rPr>
          <w:lang w:val="pt-BR"/>
        </w:rPr>
        <w:t>e</w:t>
      </w:r>
      <w:r w:rsidRPr="00D5464D">
        <w:rPr>
          <w:lang w:val="pt-BR"/>
        </w:rPr>
        <w:t xml:space="preserve">us </w:t>
      </w:r>
      <w:r w:rsidR="00E045D9" w:rsidRPr="00D5464D">
        <w:rPr>
          <w:lang w:val="pt-BR"/>
        </w:rPr>
        <w:t>salário</w:t>
      </w:r>
      <w:r w:rsidRPr="00D5464D">
        <w:rPr>
          <w:lang w:val="pt-BR"/>
        </w:rPr>
        <w:t>s. Como</w:t>
      </w:r>
      <w:r w:rsidR="00470ADC" w:rsidRPr="00D5464D">
        <w:rPr>
          <w:lang w:val="pt-BR"/>
        </w:rPr>
        <w:t xml:space="preserve"> o </w:t>
      </w:r>
      <w:r w:rsidR="002C330E" w:rsidRPr="00D5464D">
        <w:rPr>
          <w:lang w:val="pt-BR"/>
        </w:rPr>
        <w:t>pagamento</w:t>
      </w:r>
      <w:r w:rsidRPr="00D5464D">
        <w:rPr>
          <w:lang w:val="pt-BR"/>
        </w:rPr>
        <w:t xml:space="preserve"> era </w:t>
      </w:r>
      <w:r w:rsidR="00737270" w:rsidRPr="00D5464D">
        <w:rPr>
          <w:lang w:val="pt-BR"/>
        </w:rPr>
        <w:t>recebid</w:t>
      </w:r>
      <w:r w:rsidRPr="00D5464D">
        <w:rPr>
          <w:lang w:val="pt-BR"/>
        </w:rPr>
        <w:t>o</w:t>
      </w:r>
      <w:r w:rsidR="002C330E" w:rsidRPr="00D5464D">
        <w:rPr>
          <w:lang w:val="pt-BR"/>
        </w:rPr>
        <w:t xml:space="preserve"> </w:t>
      </w:r>
      <w:r w:rsidR="00BA5EDC" w:rsidRPr="00D5464D">
        <w:rPr>
          <w:lang w:val="pt-BR"/>
        </w:rPr>
        <w:t xml:space="preserve">por </w:t>
      </w:r>
      <w:r w:rsidR="00E045D9" w:rsidRPr="00D5464D">
        <w:rPr>
          <w:lang w:val="pt-BR"/>
        </w:rPr>
        <w:t>produção</w:t>
      </w:r>
      <w:r w:rsidRPr="00D5464D">
        <w:rPr>
          <w:lang w:val="pt-BR"/>
        </w:rPr>
        <w:t xml:space="preserve"> que </w:t>
      </w:r>
      <w:r w:rsidR="00BA5EDC" w:rsidRPr="00D5464D">
        <w:rPr>
          <w:lang w:val="pt-BR"/>
        </w:rPr>
        <w:t>geravam</w:t>
      </w:r>
      <w:r w:rsidRPr="00D5464D">
        <w:rPr>
          <w:lang w:val="pt-BR"/>
        </w:rPr>
        <w:t>,</w:t>
      </w:r>
      <w:r w:rsidR="002C330E" w:rsidRPr="00D5464D">
        <w:rPr>
          <w:lang w:val="pt-BR"/>
        </w:rPr>
        <w:t xml:space="preserve"> os </w:t>
      </w:r>
      <w:r w:rsidR="00E045D9" w:rsidRPr="00D5464D">
        <w:rPr>
          <w:lang w:val="pt-BR"/>
        </w:rPr>
        <w:t>trabalhadores</w:t>
      </w:r>
      <w:r w:rsidRPr="00D5464D">
        <w:rPr>
          <w:lang w:val="pt-BR"/>
        </w:rPr>
        <w:t xml:space="preserve"> </w:t>
      </w:r>
      <w:r w:rsidR="00E045D9" w:rsidRPr="00D5464D">
        <w:rPr>
          <w:lang w:val="pt-BR"/>
        </w:rPr>
        <w:t>tinham</w:t>
      </w:r>
      <w:r w:rsidRPr="00D5464D">
        <w:rPr>
          <w:lang w:val="pt-BR"/>
        </w:rPr>
        <w:t xml:space="preserve"> </w:t>
      </w:r>
      <w:r w:rsidR="00BA5EDC" w:rsidRPr="00D5464D">
        <w:rPr>
          <w:lang w:val="pt-BR"/>
        </w:rPr>
        <w:t xml:space="preserve">de </w:t>
      </w:r>
      <w:r w:rsidRPr="00D5464D">
        <w:rPr>
          <w:lang w:val="pt-BR"/>
        </w:rPr>
        <w:t>ir</w:t>
      </w:r>
      <w:r w:rsidR="00E045D9" w:rsidRPr="00D5464D">
        <w:rPr>
          <w:lang w:val="pt-BR"/>
        </w:rPr>
        <w:t xml:space="preserve"> às </w:t>
      </w:r>
      <w:r w:rsidRPr="00D5464D">
        <w:rPr>
          <w:lang w:val="pt-BR"/>
        </w:rPr>
        <w:t>planta</w:t>
      </w:r>
      <w:r w:rsidR="00470ADC" w:rsidRPr="00D5464D">
        <w:rPr>
          <w:lang w:val="pt-BR"/>
        </w:rPr>
        <w:t>ções</w:t>
      </w:r>
      <w:r w:rsidR="00737270" w:rsidRPr="00D5464D">
        <w:rPr>
          <w:lang w:val="pt-BR"/>
        </w:rPr>
        <w:t xml:space="preserve"> apesar </w:t>
      </w:r>
      <w:r w:rsidR="00E045D9" w:rsidRPr="00D5464D">
        <w:rPr>
          <w:lang w:val="pt-BR"/>
        </w:rPr>
        <w:t>de</w:t>
      </w:r>
      <w:r w:rsidR="00BA5EDC" w:rsidRPr="00D5464D">
        <w:rPr>
          <w:lang w:val="pt-BR"/>
        </w:rPr>
        <w:t xml:space="preserve"> es</w:t>
      </w:r>
      <w:r w:rsidR="00E045D9" w:rsidRPr="00D5464D">
        <w:rPr>
          <w:lang w:val="pt-BR"/>
        </w:rPr>
        <w:t>ta</w:t>
      </w:r>
      <w:r w:rsidRPr="00D5464D">
        <w:rPr>
          <w:lang w:val="pt-BR"/>
        </w:rPr>
        <w:t>r</w:t>
      </w:r>
      <w:r w:rsidR="00BA5EDC" w:rsidRPr="00D5464D">
        <w:rPr>
          <w:lang w:val="pt-BR"/>
        </w:rPr>
        <w:t>em</w:t>
      </w:r>
      <w:r w:rsidRPr="00D5464D">
        <w:rPr>
          <w:lang w:val="pt-BR"/>
        </w:rPr>
        <w:t xml:space="preserve"> </w:t>
      </w:r>
      <w:r w:rsidR="00BA5EDC" w:rsidRPr="00D5464D">
        <w:rPr>
          <w:lang w:val="pt-BR"/>
        </w:rPr>
        <w:t>doentes.</w:t>
      </w:r>
      <w:r w:rsidRPr="00D5464D">
        <w:rPr>
          <w:vertAlign w:val="superscript"/>
          <w:lang w:val="pt-BR"/>
        </w:rPr>
        <w:footnoteReference w:id="181"/>
      </w:r>
    </w:p>
    <w:p w14:paraId="13D8534B" w14:textId="77777777" w:rsidR="004766BC" w:rsidRPr="00D5464D" w:rsidRDefault="004766BC" w:rsidP="004766BC">
      <w:pPr>
        <w:pStyle w:val="Prrafodelista"/>
        <w:rPr>
          <w:rFonts w:cs="Arial"/>
          <w:szCs w:val="20"/>
          <w:lang w:val="pt-BR"/>
        </w:rPr>
      </w:pPr>
    </w:p>
    <w:p w14:paraId="6D000DE7" w14:textId="48ABCFBE" w:rsidR="004766BC" w:rsidRPr="00D5464D" w:rsidRDefault="00BA5EDC" w:rsidP="004766BC">
      <w:pPr>
        <w:pStyle w:val="Prrafodelista"/>
        <w:numPr>
          <w:ilvl w:val="0"/>
          <w:numId w:val="1"/>
        </w:numPr>
        <w:contextualSpacing w:val="0"/>
        <w:rPr>
          <w:lang w:val="pt-BR"/>
        </w:rPr>
      </w:pPr>
      <w:r w:rsidRPr="00D5464D">
        <w:rPr>
          <w:lang w:val="pt-BR"/>
        </w:rPr>
        <w:t>Além disso</w:t>
      </w:r>
      <w:r w:rsidR="004766BC" w:rsidRPr="00D5464D">
        <w:rPr>
          <w:lang w:val="pt-BR"/>
        </w:rPr>
        <w:t xml:space="preserve">, para poder </w:t>
      </w:r>
      <w:r w:rsidR="002C330E" w:rsidRPr="00D5464D">
        <w:rPr>
          <w:lang w:val="pt-BR"/>
        </w:rPr>
        <w:t>receber</w:t>
      </w:r>
      <w:r w:rsidR="00E045D9" w:rsidRPr="00D5464D">
        <w:rPr>
          <w:lang w:val="pt-BR"/>
        </w:rPr>
        <w:t xml:space="preserve"> um salário</w:t>
      </w:r>
      <w:r w:rsidRPr="00D5464D">
        <w:rPr>
          <w:lang w:val="pt-BR"/>
        </w:rPr>
        <w:t>,</w:t>
      </w:r>
      <w:r w:rsidR="002C330E" w:rsidRPr="00D5464D">
        <w:rPr>
          <w:lang w:val="pt-BR"/>
        </w:rPr>
        <w:t xml:space="preserve"> os </w:t>
      </w:r>
      <w:r w:rsidR="00E045D9" w:rsidRPr="00D5464D">
        <w:rPr>
          <w:lang w:val="pt-BR"/>
        </w:rPr>
        <w:t>trabalhadores</w:t>
      </w:r>
      <w:r w:rsidR="004766BC" w:rsidRPr="00D5464D">
        <w:rPr>
          <w:lang w:val="pt-BR"/>
        </w:rPr>
        <w:t xml:space="preserve"> </w:t>
      </w:r>
      <w:r w:rsidR="00E045D9" w:rsidRPr="00D5464D">
        <w:rPr>
          <w:lang w:val="pt-BR"/>
        </w:rPr>
        <w:t>tinham</w:t>
      </w:r>
      <w:r w:rsidR="004766BC" w:rsidRPr="00D5464D">
        <w:rPr>
          <w:lang w:val="pt-BR"/>
        </w:rPr>
        <w:t xml:space="preserve"> </w:t>
      </w:r>
      <w:r w:rsidRPr="00D5464D">
        <w:rPr>
          <w:lang w:val="pt-BR"/>
        </w:rPr>
        <w:t xml:space="preserve">de </w:t>
      </w:r>
      <w:r w:rsidR="00470ADC" w:rsidRPr="00D5464D">
        <w:rPr>
          <w:lang w:val="pt-BR"/>
        </w:rPr>
        <w:t>cumprir</w:t>
      </w:r>
      <w:r w:rsidR="00E045D9" w:rsidRPr="00D5464D">
        <w:rPr>
          <w:lang w:val="pt-BR"/>
        </w:rPr>
        <w:t xml:space="preserve"> uma </w:t>
      </w:r>
      <w:r w:rsidR="004766BC" w:rsidRPr="00D5464D">
        <w:rPr>
          <w:lang w:val="pt-BR"/>
        </w:rPr>
        <w:t xml:space="preserve">meta de </w:t>
      </w:r>
      <w:r w:rsidR="00E045D9" w:rsidRPr="00D5464D">
        <w:rPr>
          <w:lang w:val="pt-BR"/>
        </w:rPr>
        <w:t>produção</w:t>
      </w:r>
      <w:r w:rsidR="004766BC" w:rsidRPr="00D5464D">
        <w:rPr>
          <w:lang w:val="pt-BR"/>
        </w:rPr>
        <w:t xml:space="preserve"> </w:t>
      </w:r>
      <w:r w:rsidRPr="00D5464D">
        <w:rPr>
          <w:lang w:val="pt-BR"/>
        </w:rPr>
        <w:t xml:space="preserve">designada </w:t>
      </w:r>
      <w:r w:rsidR="002C330E" w:rsidRPr="00D5464D">
        <w:rPr>
          <w:lang w:val="pt-BR"/>
        </w:rPr>
        <w:t xml:space="preserve">pelos </w:t>
      </w:r>
      <w:r w:rsidR="00737270" w:rsidRPr="00D5464D">
        <w:rPr>
          <w:lang w:val="pt-BR"/>
        </w:rPr>
        <w:t>encarregad</w:t>
      </w:r>
      <w:r w:rsidR="004766BC" w:rsidRPr="00D5464D">
        <w:rPr>
          <w:lang w:val="pt-BR"/>
        </w:rPr>
        <w:t>os</w:t>
      </w:r>
      <w:r w:rsidR="00470ADC" w:rsidRPr="00D5464D">
        <w:rPr>
          <w:lang w:val="pt-BR"/>
        </w:rPr>
        <w:t xml:space="preserve"> da </w:t>
      </w:r>
      <w:r w:rsidR="00D809F0" w:rsidRPr="00D5464D">
        <w:rPr>
          <w:lang w:val="pt-BR"/>
        </w:rPr>
        <w:t>fazenda</w:t>
      </w:r>
      <w:r w:rsidR="00737270" w:rsidRPr="00D5464D">
        <w:rPr>
          <w:lang w:val="pt-BR"/>
        </w:rPr>
        <w:t>. No entanto</w:t>
      </w:r>
      <w:r w:rsidR="004766BC" w:rsidRPr="00D5464D">
        <w:rPr>
          <w:lang w:val="pt-BR"/>
        </w:rPr>
        <w:t xml:space="preserve">, </w:t>
      </w:r>
      <w:r w:rsidR="00470ADC" w:rsidRPr="00D5464D">
        <w:rPr>
          <w:lang w:val="pt-BR"/>
        </w:rPr>
        <w:t>alcança</w:t>
      </w:r>
      <w:r w:rsidR="004766BC" w:rsidRPr="00D5464D">
        <w:rPr>
          <w:lang w:val="pt-BR"/>
        </w:rPr>
        <w:t xml:space="preserve">r </w:t>
      </w:r>
      <w:r w:rsidR="00470ADC" w:rsidRPr="00D5464D">
        <w:rPr>
          <w:lang w:val="pt-BR"/>
        </w:rPr>
        <w:t>esta</w:t>
      </w:r>
      <w:r w:rsidR="004766BC" w:rsidRPr="00D5464D">
        <w:rPr>
          <w:lang w:val="pt-BR"/>
        </w:rPr>
        <w:t xml:space="preserve"> meta era </w:t>
      </w:r>
      <w:r w:rsidR="002C330E" w:rsidRPr="00D5464D">
        <w:rPr>
          <w:lang w:val="pt-BR"/>
        </w:rPr>
        <w:t>muito</w:t>
      </w:r>
      <w:r w:rsidR="004766BC" w:rsidRPr="00D5464D">
        <w:rPr>
          <w:lang w:val="pt-BR"/>
        </w:rPr>
        <w:t xml:space="preserve"> difícil, </w:t>
      </w:r>
      <w:r w:rsidR="002C330E" w:rsidRPr="00D5464D">
        <w:rPr>
          <w:lang w:val="pt-BR"/>
        </w:rPr>
        <w:t xml:space="preserve">razão pela </w:t>
      </w:r>
      <w:r w:rsidR="00470ADC" w:rsidRPr="00D5464D">
        <w:rPr>
          <w:lang w:val="pt-BR"/>
        </w:rPr>
        <w:t xml:space="preserve">qual </w:t>
      </w:r>
      <w:r w:rsidR="004766BC" w:rsidRPr="00D5464D">
        <w:rPr>
          <w:lang w:val="pt-BR"/>
        </w:rPr>
        <w:t>n</w:t>
      </w:r>
      <w:r w:rsidRPr="00D5464D">
        <w:rPr>
          <w:lang w:val="pt-BR"/>
        </w:rPr>
        <w:t>ã</w:t>
      </w:r>
      <w:r w:rsidR="004766BC" w:rsidRPr="00D5464D">
        <w:rPr>
          <w:lang w:val="pt-BR"/>
        </w:rPr>
        <w:t xml:space="preserve">o </w:t>
      </w:r>
      <w:r w:rsidR="00230C71" w:rsidRPr="00D5464D">
        <w:rPr>
          <w:lang w:val="pt-BR"/>
        </w:rPr>
        <w:t>recebiam</w:t>
      </w:r>
      <w:r w:rsidR="004766BC" w:rsidRPr="00D5464D">
        <w:rPr>
          <w:lang w:val="pt-BR"/>
        </w:rPr>
        <w:t xml:space="preserve"> </w:t>
      </w:r>
      <w:r w:rsidR="002C330E" w:rsidRPr="00D5464D">
        <w:rPr>
          <w:lang w:val="pt-BR"/>
        </w:rPr>
        <w:t>nenhum pagamento</w:t>
      </w:r>
      <w:r w:rsidR="004766BC" w:rsidRPr="00D5464D">
        <w:rPr>
          <w:lang w:val="pt-BR"/>
        </w:rPr>
        <w:t xml:space="preserve"> por </w:t>
      </w:r>
      <w:r w:rsidR="00A1358C" w:rsidRPr="00D5464D">
        <w:rPr>
          <w:lang w:val="pt-BR"/>
        </w:rPr>
        <w:t>seus serviços</w:t>
      </w:r>
      <w:r w:rsidRPr="00D5464D">
        <w:rPr>
          <w:lang w:val="pt-BR"/>
        </w:rPr>
        <w:t>.</w:t>
      </w:r>
      <w:r w:rsidR="004766BC" w:rsidRPr="00D5464D">
        <w:rPr>
          <w:vertAlign w:val="superscript"/>
          <w:lang w:val="pt-BR"/>
        </w:rPr>
        <w:footnoteReference w:id="182"/>
      </w:r>
    </w:p>
    <w:p w14:paraId="362256D2" w14:textId="77777777" w:rsidR="004766BC" w:rsidRPr="00D5464D" w:rsidRDefault="004766BC" w:rsidP="004766BC">
      <w:pPr>
        <w:pStyle w:val="Prrafodelista"/>
        <w:ind w:left="0"/>
        <w:rPr>
          <w:lang w:val="pt-BR"/>
        </w:rPr>
      </w:pPr>
    </w:p>
    <w:p w14:paraId="13270F86" w14:textId="0949BE1C" w:rsidR="004766BC" w:rsidRPr="00D5464D" w:rsidRDefault="00BA5EDC" w:rsidP="004766BC">
      <w:pPr>
        <w:pStyle w:val="Prrafodelista"/>
        <w:numPr>
          <w:ilvl w:val="0"/>
          <w:numId w:val="1"/>
        </w:numPr>
        <w:contextualSpacing w:val="0"/>
        <w:rPr>
          <w:lang w:val="pt-BR"/>
        </w:rPr>
      </w:pPr>
      <w:r w:rsidRPr="00D5464D">
        <w:rPr>
          <w:lang w:val="pt-BR"/>
        </w:rPr>
        <w:t>O</w:t>
      </w:r>
      <w:r w:rsidR="002C330E" w:rsidRPr="00D5464D">
        <w:rPr>
          <w:lang w:val="pt-BR"/>
        </w:rPr>
        <w:t xml:space="preserve">s </w:t>
      </w:r>
      <w:r w:rsidR="00E045D9" w:rsidRPr="00D5464D">
        <w:rPr>
          <w:lang w:val="pt-BR"/>
        </w:rPr>
        <w:t>trabalhadores</w:t>
      </w:r>
      <w:r w:rsidR="00470ADC" w:rsidRPr="00D5464D">
        <w:rPr>
          <w:lang w:val="pt-BR"/>
        </w:rPr>
        <w:t xml:space="preserve"> </w:t>
      </w:r>
      <w:r w:rsidRPr="00D5464D">
        <w:rPr>
          <w:lang w:val="pt-BR"/>
        </w:rPr>
        <w:t xml:space="preserve">também </w:t>
      </w:r>
      <w:r w:rsidR="00470ADC" w:rsidRPr="00D5464D">
        <w:rPr>
          <w:lang w:val="pt-BR"/>
        </w:rPr>
        <w:t xml:space="preserve">eram </w:t>
      </w:r>
      <w:r w:rsidR="002C330E" w:rsidRPr="00D5464D">
        <w:rPr>
          <w:lang w:val="pt-BR"/>
        </w:rPr>
        <w:t>obrigad</w:t>
      </w:r>
      <w:r w:rsidR="004766BC" w:rsidRPr="00D5464D">
        <w:rPr>
          <w:lang w:val="pt-BR"/>
        </w:rPr>
        <w:t>os a realizar s</w:t>
      </w:r>
      <w:r w:rsidRPr="00D5464D">
        <w:rPr>
          <w:lang w:val="pt-BR"/>
        </w:rPr>
        <w:t>e</w:t>
      </w:r>
      <w:r w:rsidR="004766BC" w:rsidRPr="00D5464D">
        <w:rPr>
          <w:lang w:val="pt-BR"/>
        </w:rPr>
        <w:t xml:space="preserve">us </w:t>
      </w:r>
      <w:r w:rsidR="00C91CB1" w:rsidRPr="00D5464D">
        <w:rPr>
          <w:lang w:val="pt-BR"/>
        </w:rPr>
        <w:t>trabalhos</w:t>
      </w:r>
      <w:r w:rsidR="00470ADC" w:rsidRPr="00D5464D">
        <w:rPr>
          <w:lang w:val="pt-BR"/>
        </w:rPr>
        <w:t xml:space="preserve"> sob</w:t>
      </w:r>
      <w:r w:rsidR="002C330E" w:rsidRPr="00D5464D">
        <w:rPr>
          <w:lang w:val="pt-BR"/>
        </w:rPr>
        <w:t xml:space="preserve"> as ordens</w:t>
      </w:r>
      <w:r w:rsidR="00E045D9" w:rsidRPr="00D5464D">
        <w:rPr>
          <w:lang w:val="pt-BR"/>
        </w:rPr>
        <w:t xml:space="preserve"> e </w:t>
      </w:r>
      <w:r w:rsidR="00470ADC" w:rsidRPr="00D5464D">
        <w:rPr>
          <w:lang w:val="pt-BR"/>
        </w:rPr>
        <w:t>ameaça</w:t>
      </w:r>
      <w:r w:rsidR="004766BC" w:rsidRPr="00D5464D">
        <w:rPr>
          <w:lang w:val="pt-BR"/>
        </w:rPr>
        <w:t>s</w:t>
      </w:r>
      <w:r w:rsidR="00470ADC" w:rsidRPr="00D5464D">
        <w:rPr>
          <w:lang w:val="pt-BR"/>
        </w:rPr>
        <w:t xml:space="preserve"> dos </w:t>
      </w:r>
      <w:r w:rsidR="00737270" w:rsidRPr="00D5464D">
        <w:rPr>
          <w:lang w:val="pt-BR"/>
        </w:rPr>
        <w:t>encarregad</w:t>
      </w:r>
      <w:r w:rsidR="004766BC" w:rsidRPr="00D5464D">
        <w:rPr>
          <w:lang w:val="pt-BR"/>
        </w:rPr>
        <w:t>os</w:t>
      </w:r>
      <w:r w:rsidR="00470ADC" w:rsidRPr="00D5464D">
        <w:rPr>
          <w:lang w:val="pt-BR"/>
        </w:rPr>
        <w:t xml:space="preserve"> da </w:t>
      </w:r>
      <w:r w:rsidR="00D809F0" w:rsidRPr="00D5464D">
        <w:rPr>
          <w:lang w:val="pt-BR"/>
        </w:rPr>
        <w:t>fazenda</w:t>
      </w:r>
      <w:r w:rsidR="004766BC" w:rsidRPr="00D5464D">
        <w:rPr>
          <w:lang w:val="pt-BR"/>
        </w:rPr>
        <w:t xml:space="preserve">. </w:t>
      </w:r>
      <w:r w:rsidR="00470ADC" w:rsidRPr="00D5464D">
        <w:rPr>
          <w:lang w:val="pt-BR"/>
        </w:rPr>
        <w:t>Este</w:t>
      </w:r>
      <w:r w:rsidR="004766BC" w:rsidRPr="00D5464D">
        <w:rPr>
          <w:lang w:val="pt-BR"/>
        </w:rPr>
        <w:t xml:space="preserve">s </w:t>
      </w:r>
      <w:r w:rsidR="00737270" w:rsidRPr="00D5464D">
        <w:rPr>
          <w:lang w:val="pt-BR"/>
        </w:rPr>
        <w:t>encarregad</w:t>
      </w:r>
      <w:r w:rsidR="004766BC" w:rsidRPr="00D5464D">
        <w:rPr>
          <w:lang w:val="pt-BR"/>
        </w:rPr>
        <w:t>os port</w:t>
      </w:r>
      <w:r w:rsidR="00EB1CE9" w:rsidRPr="00D5464D">
        <w:rPr>
          <w:lang w:val="pt-BR"/>
        </w:rPr>
        <w:t xml:space="preserve">avam </w:t>
      </w:r>
      <w:r w:rsidR="004766BC" w:rsidRPr="00D5464D">
        <w:rPr>
          <w:lang w:val="pt-BR"/>
        </w:rPr>
        <w:t xml:space="preserve">armas de </w:t>
      </w:r>
      <w:r w:rsidR="00470ADC" w:rsidRPr="00D5464D">
        <w:rPr>
          <w:lang w:val="pt-BR"/>
        </w:rPr>
        <w:t>fogo</w:t>
      </w:r>
      <w:r w:rsidR="00E045D9" w:rsidRPr="00D5464D">
        <w:rPr>
          <w:lang w:val="pt-BR"/>
        </w:rPr>
        <w:t xml:space="preserve"> e </w:t>
      </w:r>
      <w:r w:rsidR="002C330E" w:rsidRPr="00D5464D">
        <w:rPr>
          <w:lang w:val="pt-BR"/>
        </w:rPr>
        <w:t xml:space="preserve">os </w:t>
      </w:r>
      <w:r w:rsidR="00E045D9" w:rsidRPr="00D5464D">
        <w:rPr>
          <w:lang w:val="pt-BR"/>
        </w:rPr>
        <w:t>vigi</w:t>
      </w:r>
      <w:r w:rsidR="00350187" w:rsidRPr="00D5464D">
        <w:rPr>
          <w:lang w:val="pt-BR"/>
        </w:rPr>
        <w:t xml:space="preserve">avam </w:t>
      </w:r>
      <w:r w:rsidR="004766BC" w:rsidRPr="00D5464D">
        <w:rPr>
          <w:lang w:val="pt-BR"/>
        </w:rPr>
        <w:t xml:space="preserve">permanentemente. </w:t>
      </w:r>
      <w:r w:rsidR="00350187" w:rsidRPr="00D5464D">
        <w:rPr>
          <w:lang w:val="pt-BR"/>
        </w:rPr>
        <w:t xml:space="preserve">Além disso, </w:t>
      </w:r>
      <w:r w:rsidR="00737270" w:rsidRPr="00D5464D">
        <w:rPr>
          <w:lang w:val="pt-BR"/>
        </w:rPr>
        <w:t>um dos</w:t>
      </w:r>
      <w:r w:rsidR="00470ADC" w:rsidRPr="00D5464D">
        <w:rPr>
          <w:lang w:val="pt-BR"/>
        </w:rPr>
        <w:t xml:space="preserve"> </w:t>
      </w:r>
      <w:r w:rsidR="00737270" w:rsidRPr="00D5464D">
        <w:rPr>
          <w:lang w:val="pt-BR"/>
        </w:rPr>
        <w:t>encarregad</w:t>
      </w:r>
      <w:r w:rsidR="004766BC" w:rsidRPr="00D5464D">
        <w:rPr>
          <w:lang w:val="pt-BR"/>
        </w:rPr>
        <w:t>os</w:t>
      </w:r>
      <w:r w:rsidR="00470ADC" w:rsidRPr="00D5464D">
        <w:rPr>
          <w:lang w:val="pt-BR"/>
        </w:rPr>
        <w:t xml:space="preserve"> da </w:t>
      </w:r>
      <w:r w:rsidR="00E045D9" w:rsidRPr="00D5464D">
        <w:rPr>
          <w:lang w:val="pt-BR"/>
        </w:rPr>
        <w:t>vigilância</w:t>
      </w:r>
      <w:r w:rsidR="002C330E" w:rsidRPr="00D5464D">
        <w:rPr>
          <w:lang w:val="pt-BR"/>
        </w:rPr>
        <w:t xml:space="preserve"> </w:t>
      </w:r>
      <w:r w:rsidR="00A1358C" w:rsidRPr="00D5464D">
        <w:rPr>
          <w:lang w:val="pt-BR"/>
        </w:rPr>
        <w:t>contou</w:t>
      </w:r>
      <w:r w:rsidR="00E045D9" w:rsidRPr="00D5464D">
        <w:rPr>
          <w:lang w:val="pt-BR"/>
        </w:rPr>
        <w:t xml:space="preserve"> às </w:t>
      </w:r>
      <w:r w:rsidR="002C330E" w:rsidRPr="00D5464D">
        <w:rPr>
          <w:lang w:val="pt-BR"/>
        </w:rPr>
        <w:t>suposta</w:t>
      </w:r>
      <w:r w:rsidR="004766BC" w:rsidRPr="00D5464D">
        <w:rPr>
          <w:lang w:val="pt-BR"/>
        </w:rPr>
        <w:t xml:space="preserve">s </w:t>
      </w:r>
      <w:r w:rsidR="00E045D9" w:rsidRPr="00D5464D">
        <w:rPr>
          <w:lang w:val="pt-BR"/>
        </w:rPr>
        <w:t>vítima</w:t>
      </w:r>
      <w:r w:rsidR="004766BC" w:rsidRPr="00D5464D">
        <w:rPr>
          <w:lang w:val="pt-BR"/>
        </w:rPr>
        <w:t xml:space="preserve">s que </w:t>
      </w:r>
      <w:r w:rsidR="002C330E" w:rsidRPr="00D5464D">
        <w:rPr>
          <w:lang w:val="pt-BR"/>
        </w:rPr>
        <w:t>havia</w:t>
      </w:r>
      <w:r w:rsidR="004766BC" w:rsidRPr="00D5464D">
        <w:rPr>
          <w:lang w:val="pt-BR"/>
        </w:rPr>
        <w:t xml:space="preserve"> matado </w:t>
      </w:r>
      <w:r w:rsidR="00E045D9" w:rsidRPr="00D5464D">
        <w:rPr>
          <w:lang w:val="pt-BR"/>
        </w:rPr>
        <w:t>um trabalh</w:t>
      </w:r>
      <w:r w:rsidR="004766BC" w:rsidRPr="00D5464D">
        <w:rPr>
          <w:lang w:val="pt-BR"/>
        </w:rPr>
        <w:t xml:space="preserve">ador </w:t>
      </w:r>
      <w:r w:rsidR="00470ADC" w:rsidRPr="00D5464D">
        <w:rPr>
          <w:lang w:val="pt-BR"/>
        </w:rPr>
        <w:t>depois</w:t>
      </w:r>
      <w:r w:rsidR="004766BC" w:rsidRPr="00D5464D">
        <w:rPr>
          <w:lang w:val="pt-BR"/>
        </w:rPr>
        <w:t xml:space="preserve"> de</w:t>
      </w:r>
      <w:r w:rsidR="00E045D9" w:rsidRPr="00D5464D">
        <w:rPr>
          <w:lang w:val="pt-BR"/>
        </w:rPr>
        <w:t xml:space="preserve"> uma </w:t>
      </w:r>
      <w:r w:rsidR="00470ADC" w:rsidRPr="00D5464D">
        <w:rPr>
          <w:lang w:val="pt-BR"/>
        </w:rPr>
        <w:t>discussão</w:t>
      </w:r>
      <w:r w:rsidR="00E045D9" w:rsidRPr="00D5464D">
        <w:rPr>
          <w:lang w:val="pt-BR"/>
        </w:rPr>
        <w:t xml:space="preserve"> e</w:t>
      </w:r>
      <w:r w:rsidR="00C91CB1" w:rsidRPr="00D5464D">
        <w:rPr>
          <w:lang w:val="pt-BR"/>
        </w:rPr>
        <w:t xml:space="preserve"> o </w:t>
      </w:r>
      <w:r w:rsidR="002C330E" w:rsidRPr="00D5464D">
        <w:rPr>
          <w:lang w:val="pt-BR"/>
        </w:rPr>
        <w:t>havia</w:t>
      </w:r>
      <w:r w:rsidR="004766BC" w:rsidRPr="00D5464D">
        <w:rPr>
          <w:lang w:val="pt-BR"/>
        </w:rPr>
        <w:t xml:space="preserve"> enterrado</w:t>
      </w:r>
      <w:r w:rsidR="00E045D9" w:rsidRPr="00D5464D">
        <w:rPr>
          <w:lang w:val="pt-BR"/>
        </w:rPr>
        <w:t xml:space="preserve"> na </w:t>
      </w:r>
      <w:r w:rsidR="00D809F0" w:rsidRPr="00D5464D">
        <w:rPr>
          <w:lang w:val="pt-BR"/>
        </w:rPr>
        <w:t>fazenda</w:t>
      </w:r>
      <w:r w:rsidR="004766BC" w:rsidRPr="00D5464D">
        <w:rPr>
          <w:lang w:val="pt-BR"/>
        </w:rPr>
        <w:t>,</w:t>
      </w:r>
      <w:r w:rsidR="002C330E" w:rsidRPr="00D5464D">
        <w:rPr>
          <w:lang w:val="pt-BR"/>
        </w:rPr>
        <w:t xml:space="preserve"> </w:t>
      </w:r>
      <w:r w:rsidRPr="00D5464D">
        <w:rPr>
          <w:lang w:val="pt-BR"/>
        </w:rPr>
        <w:t xml:space="preserve">de maneira </w:t>
      </w:r>
      <w:r w:rsidR="002C330E" w:rsidRPr="00D5464D">
        <w:rPr>
          <w:lang w:val="pt-BR"/>
        </w:rPr>
        <w:t xml:space="preserve">que os </w:t>
      </w:r>
      <w:r w:rsidR="00E045D9" w:rsidRPr="00D5464D">
        <w:rPr>
          <w:lang w:val="pt-BR"/>
        </w:rPr>
        <w:t>trabalhadores</w:t>
      </w:r>
      <w:r w:rsidR="004766BC" w:rsidRPr="00D5464D">
        <w:rPr>
          <w:lang w:val="pt-BR"/>
        </w:rPr>
        <w:t xml:space="preserve"> </w:t>
      </w:r>
      <w:r w:rsidR="00E045D9" w:rsidRPr="00D5464D">
        <w:rPr>
          <w:lang w:val="pt-BR"/>
        </w:rPr>
        <w:t>tinham</w:t>
      </w:r>
      <w:r w:rsidR="002C330E" w:rsidRPr="00D5464D">
        <w:rPr>
          <w:lang w:val="pt-BR"/>
        </w:rPr>
        <w:t xml:space="preserve"> medo </w:t>
      </w:r>
      <w:r w:rsidR="004766BC" w:rsidRPr="00D5464D">
        <w:rPr>
          <w:lang w:val="pt-BR"/>
        </w:rPr>
        <w:t>de que</w:t>
      </w:r>
      <w:r w:rsidR="002C330E" w:rsidRPr="00D5464D">
        <w:rPr>
          <w:lang w:val="pt-BR"/>
        </w:rPr>
        <w:t xml:space="preserve"> </w:t>
      </w:r>
      <w:r w:rsidR="00C91CB1" w:rsidRPr="00D5464D">
        <w:rPr>
          <w:lang w:val="pt-BR"/>
        </w:rPr>
        <w:t xml:space="preserve">o </w:t>
      </w:r>
      <w:r w:rsidR="002C330E" w:rsidRPr="00D5464D">
        <w:rPr>
          <w:lang w:val="pt-BR"/>
        </w:rPr>
        <w:t>mesm</w:t>
      </w:r>
      <w:r w:rsidR="004766BC" w:rsidRPr="00D5464D">
        <w:rPr>
          <w:lang w:val="pt-BR"/>
        </w:rPr>
        <w:t xml:space="preserve">o </w:t>
      </w:r>
      <w:r w:rsidR="008216BC" w:rsidRPr="00D5464D">
        <w:rPr>
          <w:lang w:val="pt-BR"/>
        </w:rPr>
        <w:t xml:space="preserve">pudesse ocorrer </w:t>
      </w:r>
      <w:r w:rsidR="003B7121" w:rsidRPr="00D5464D">
        <w:rPr>
          <w:lang w:val="pt-BR"/>
        </w:rPr>
        <w:t>com</w:t>
      </w:r>
      <w:r w:rsidR="008216BC" w:rsidRPr="00D5464D">
        <w:rPr>
          <w:lang w:val="pt-BR"/>
        </w:rPr>
        <w:t xml:space="preserve"> </w:t>
      </w:r>
      <w:r w:rsidR="00470ADC" w:rsidRPr="00D5464D">
        <w:rPr>
          <w:lang w:val="pt-BR"/>
        </w:rPr>
        <w:t>ele</w:t>
      </w:r>
      <w:r w:rsidR="004766BC" w:rsidRPr="00D5464D">
        <w:rPr>
          <w:lang w:val="pt-BR"/>
        </w:rPr>
        <w:t xml:space="preserve">s. </w:t>
      </w:r>
      <w:r w:rsidR="003B7121" w:rsidRPr="00D5464D">
        <w:rPr>
          <w:lang w:val="pt-BR"/>
        </w:rPr>
        <w:t xml:space="preserve">Antônio </w:t>
      </w:r>
      <w:r w:rsidR="004766BC" w:rsidRPr="00D5464D">
        <w:rPr>
          <w:lang w:val="pt-BR"/>
        </w:rPr>
        <w:t xml:space="preserve">Francisco da Silva </w:t>
      </w:r>
      <w:r w:rsidR="00E045D9" w:rsidRPr="00D5464D">
        <w:rPr>
          <w:lang w:val="pt-BR"/>
        </w:rPr>
        <w:t>também</w:t>
      </w:r>
      <w:r w:rsidR="004766BC" w:rsidRPr="00D5464D">
        <w:rPr>
          <w:lang w:val="pt-BR"/>
        </w:rPr>
        <w:t xml:space="preserve"> </w:t>
      </w:r>
      <w:r w:rsidR="00470ADC" w:rsidRPr="00D5464D">
        <w:rPr>
          <w:lang w:val="pt-BR"/>
        </w:rPr>
        <w:t xml:space="preserve">denunciou perante a </w:t>
      </w:r>
      <w:r w:rsidR="00E765C2" w:rsidRPr="00D5464D">
        <w:rPr>
          <w:lang w:val="pt-BR"/>
        </w:rPr>
        <w:t xml:space="preserve">polícia </w:t>
      </w:r>
      <w:r w:rsidR="004766BC" w:rsidRPr="00D5464D">
        <w:rPr>
          <w:lang w:val="pt-BR"/>
        </w:rPr>
        <w:t>federal</w:t>
      </w:r>
      <w:r w:rsidR="002C330E" w:rsidRPr="00D5464D">
        <w:rPr>
          <w:lang w:val="pt-BR"/>
        </w:rPr>
        <w:t xml:space="preserve"> </w:t>
      </w:r>
      <w:r w:rsidR="00E045D9" w:rsidRPr="00D5464D">
        <w:rPr>
          <w:lang w:val="pt-BR"/>
        </w:rPr>
        <w:t>o desaparecimento</w:t>
      </w:r>
      <w:r w:rsidR="004766BC" w:rsidRPr="00D5464D">
        <w:rPr>
          <w:lang w:val="pt-BR"/>
        </w:rPr>
        <w:t xml:space="preserve"> de</w:t>
      </w:r>
      <w:r w:rsidR="00E045D9" w:rsidRPr="00D5464D">
        <w:rPr>
          <w:lang w:val="pt-BR"/>
        </w:rPr>
        <w:t xml:space="preserve"> um </w:t>
      </w:r>
      <w:r w:rsidR="004766BC" w:rsidRPr="00D5464D">
        <w:rPr>
          <w:lang w:val="pt-BR"/>
        </w:rPr>
        <w:t xml:space="preserve">colega de </w:t>
      </w:r>
      <w:r w:rsidR="00E045D9" w:rsidRPr="00D5464D">
        <w:rPr>
          <w:lang w:val="pt-BR"/>
        </w:rPr>
        <w:t xml:space="preserve">trabalho na </w:t>
      </w:r>
      <w:r w:rsidR="00D809F0" w:rsidRPr="00D5464D">
        <w:rPr>
          <w:lang w:val="pt-BR"/>
        </w:rPr>
        <w:t>Fazenda</w:t>
      </w:r>
      <w:r w:rsidR="004766BC" w:rsidRPr="00D5464D">
        <w:rPr>
          <w:lang w:val="pt-BR"/>
        </w:rPr>
        <w:t xml:space="preserve"> Brasil Verde</w:t>
      </w:r>
      <w:r w:rsidR="00C91CB1" w:rsidRPr="00D5464D">
        <w:rPr>
          <w:lang w:val="pt-BR"/>
        </w:rPr>
        <w:t xml:space="preserve">. </w:t>
      </w:r>
      <w:r w:rsidR="003B7121" w:rsidRPr="00D5464D">
        <w:rPr>
          <w:lang w:val="pt-BR"/>
        </w:rPr>
        <w:t>Por essas razões</w:t>
      </w:r>
      <w:r w:rsidR="004766BC" w:rsidRPr="00D5464D">
        <w:rPr>
          <w:lang w:val="pt-BR"/>
        </w:rPr>
        <w:t>,</w:t>
      </w:r>
      <w:r w:rsidR="002C330E" w:rsidRPr="00D5464D">
        <w:rPr>
          <w:lang w:val="pt-BR"/>
        </w:rPr>
        <w:t xml:space="preserve"> os </w:t>
      </w:r>
      <w:r w:rsidR="00E045D9" w:rsidRPr="00D5464D">
        <w:rPr>
          <w:lang w:val="pt-BR"/>
        </w:rPr>
        <w:t>trabalhadores</w:t>
      </w:r>
      <w:r w:rsidR="004766BC" w:rsidRPr="00D5464D">
        <w:rPr>
          <w:lang w:val="pt-BR"/>
        </w:rPr>
        <w:t xml:space="preserve"> n</w:t>
      </w:r>
      <w:r w:rsidR="008216BC" w:rsidRPr="00D5464D">
        <w:rPr>
          <w:lang w:val="pt-BR"/>
        </w:rPr>
        <w:t>ã</w:t>
      </w:r>
      <w:r w:rsidR="004766BC" w:rsidRPr="00D5464D">
        <w:rPr>
          <w:lang w:val="pt-BR"/>
        </w:rPr>
        <w:t xml:space="preserve">o </w:t>
      </w:r>
      <w:r w:rsidR="00A1358C" w:rsidRPr="00D5464D">
        <w:rPr>
          <w:lang w:val="pt-BR"/>
        </w:rPr>
        <w:t>podiam</w:t>
      </w:r>
      <w:r w:rsidR="004766BC" w:rsidRPr="00D5464D">
        <w:rPr>
          <w:lang w:val="pt-BR"/>
        </w:rPr>
        <w:t xml:space="preserve"> </w:t>
      </w:r>
      <w:r w:rsidR="002C330E" w:rsidRPr="00D5464D">
        <w:rPr>
          <w:lang w:val="pt-BR"/>
        </w:rPr>
        <w:t>sair</w:t>
      </w:r>
      <w:r w:rsidR="00470ADC" w:rsidRPr="00D5464D">
        <w:rPr>
          <w:lang w:val="pt-BR"/>
        </w:rPr>
        <w:t xml:space="preserve"> da </w:t>
      </w:r>
      <w:r w:rsidR="00D809F0" w:rsidRPr="00D5464D">
        <w:rPr>
          <w:lang w:val="pt-BR"/>
        </w:rPr>
        <w:t>fazenda</w:t>
      </w:r>
      <w:r w:rsidR="00E045D9" w:rsidRPr="00D5464D">
        <w:rPr>
          <w:lang w:val="pt-BR"/>
        </w:rPr>
        <w:t xml:space="preserve"> e </w:t>
      </w:r>
      <w:r w:rsidR="008216BC" w:rsidRPr="00D5464D">
        <w:rPr>
          <w:lang w:val="pt-BR"/>
        </w:rPr>
        <w:t xml:space="preserve">temiam </w:t>
      </w:r>
      <w:r w:rsidR="004766BC" w:rsidRPr="00D5464D">
        <w:rPr>
          <w:lang w:val="pt-BR"/>
        </w:rPr>
        <w:t xml:space="preserve">por </w:t>
      </w:r>
      <w:r w:rsidR="00E045D9" w:rsidRPr="00D5464D">
        <w:rPr>
          <w:lang w:val="pt-BR"/>
        </w:rPr>
        <w:t>suas vidas</w:t>
      </w:r>
      <w:r w:rsidR="008216BC" w:rsidRPr="00D5464D">
        <w:rPr>
          <w:lang w:val="pt-BR"/>
        </w:rPr>
        <w:t>.</w:t>
      </w:r>
      <w:r w:rsidR="004766BC" w:rsidRPr="00D5464D">
        <w:rPr>
          <w:vertAlign w:val="superscript"/>
          <w:lang w:val="pt-BR"/>
        </w:rPr>
        <w:footnoteReference w:id="183"/>
      </w:r>
    </w:p>
    <w:p w14:paraId="0DEB2349" w14:textId="77777777" w:rsidR="0089192A" w:rsidRPr="00D5464D" w:rsidRDefault="0089192A" w:rsidP="0089192A">
      <w:pPr>
        <w:pStyle w:val="Prrafodelista"/>
        <w:ind w:left="0"/>
        <w:contextualSpacing w:val="0"/>
        <w:rPr>
          <w:lang w:val="pt-BR"/>
        </w:rPr>
      </w:pPr>
    </w:p>
    <w:p w14:paraId="5C8B5049" w14:textId="77A15220" w:rsidR="004766BC" w:rsidRPr="00D5464D" w:rsidRDefault="00C12173" w:rsidP="004766BC">
      <w:pPr>
        <w:pStyle w:val="Prrafodelista"/>
        <w:numPr>
          <w:ilvl w:val="0"/>
          <w:numId w:val="1"/>
        </w:numPr>
        <w:contextualSpacing w:val="0"/>
        <w:rPr>
          <w:lang w:val="pt-BR"/>
        </w:rPr>
      </w:pPr>
      <w:r w:rsidRPr="00D5464D">
        <w:rPr>
          <w:lang w:val="pt-BR"/>
        </w:rPr>
        <w:t>C</w:t>
      </w:r>
      <w:r w:rsidR="004766BC" w:rsidRPr="00D5464D">
        <w:rPr>
          <w:lang w:val="pt-BR"/>
        </w:rPr>
        <w:t xml:space="preserve">omo </w:t>
      </w:r>
      <w:r w:rsidR="00470ADC" w:rsidRPr="00D5464D">
        <w:rPr>
          <w:lang w:val="pt-BR"/>
        </w:rPr>
        <w:t xml:space="preserve">consequência da </w:t>
      </w:r>
      <w:r w:rsidR="002C330E" w:rsidRPr="00D5464D">
        <w:rPr>
          <w:lang w:val="pt-BR"/>
        </w:rPr>
        <w:t>proibição</w:t>
      </w:r>
      <w:r w:rsidRPr="00D5464D">
        <w:rPr>
          <w:lang w:val="pt-BR"/>
        </w:rPr>
        <w:t xml:space="preserve"> de </w:t>
      </w:r>
      <w:r w:rsidR="008216BC" w:rsidRPr="00D5464D">
        <w:rPr>
          <w:lang w:val="pt-BR"/>
        </w:rPr>
        <w:t>saída</w:t>
      </w:r>
      <w:r w:rsidR="00470ADC" w:rsidRPr="00D5464D">
        <w:rPr>
          <w:lang w:val="pt-BR"/>
        </w:rPr>
        <w:t xml:space="preserve"> da </w:t>
      </w:r>
      <w:r w:rsidR="00D809F0" w:rsidRPr="00D5464D">
        <w:rPr>
          <w:lang w:val="pt-BR"/>
        </w:rPr>
        <w:t>fazenda</w:t>
      </w:r>
      <w:r w:rsidR="004766BC" w:rsidRPr="00D5464D">
        <w:rPr>
          <w:lang w:val="pt-BR"/>
        </w:rPr>
        <w:t>,</w:t>
      </w:r>
      <w:r w:rsidR="002C330E" w:rsidRPr="00D5464D">
        <w:rPr>
          <w:lang w:val="pt-BR"/>
        </w:rPr>
        <w:t xml:space="preserve"> se os </w:t>
      </w:r>
      <w:r w:rsidR="00E045D9" w:rsidRPr="00D5464D">
        <w:rPr>
          <w:lang w:val="pt-BR"/>
        </w:rPr>
        <w:t>trabalhadores</w:t>
      </w:r>
      <w:r w:rsidRPr="00D5464D">
        <w:rPr>
          <w:lang w:val="pt-BR"/>
        </w:rPr>
        <w:t xml:space="preserve"> </w:t>
      </w:r>
      <w:r w:rsidR="00350187" w:rsidRPr="00D5464D">
        <w:rPr>
          <w:lang w:val="pt-BR"/>
        </w:rPr>
        <w:t>necessit</w:t>
      </w:r>
      <w:r w:rsidR="00EB1CE9" w:rsidRPr="00D5464D">
        <w:rPr>
          <w:lang w:val="pt-BR"/>
        </w:rPr>
        <w:t>a</w:t>
      </w:r>
      <w:r w:rsidR="003B7121" w:rsidRPr="00D5464D">
        <w:rPr>
          <w:lang w:val="pt-BR"/>
        </w:rPr>
        <w:t>ssem</w:t>
      </w:r>
      <w:r w:rsidR="00EB1CE9" w:rsidRPr="00D5464D">
        <w:rPr>
          <w:lang w:val="pt-BR"/>
        </w:rPr>
        <w:t xml:space="preserve"> </w:t>
      </w:r>
      <w:r w:rsidR="004766BC" w:rsidRPr="00D5464D">
        <w:rPr>
          <w:lang w:val="pt-BR"/>
        </w:rPr>
        <w:t xml:space="preserve">comprar </w:t>
      </w:r>
      <w:r w:rsidR="00230C71" w:rsidRPr="00D5464D">
        <w:rPr>
          <w:lang w:val="pt-BR"/>
        </w:rPr>
        <w:t>algum</w:t>
      </w:r>
      <w:r w:rsidR="004766BC" w:rsidRPr="00D5464D">
        <w:rPr>
          <w:lang w:val="pt-BR"/>
        </w:rPr>
        <w:t xml:space="preserve"> </w:t>
      </w:r>
      <w:r w:rsidR="002C330E" w:rsidRPr="00D5464D">
        <w:rPr>
          <w:lang w:val="pt-BR"/>
        </w:rPr>
        <w:t>produto</w:t>
      </w:r>
      <w:r w:rsidR="004766BC" w:rsidRPr="00D5464D">
        <w:rPr>
          <w:lang w:val="pt-BR"/>
        </w:rPr>
        <w:t>,</w:t>
      </w:r>
      <w:r w:rsidR="002C330E" w:rsidRPr="00D5464D">
        <w:rPr>
          <w:lang w:val="pt-BR"/>
        </w:rPr>
        <w:t xml:space="preserve"> </w:t>
      </w:r>
      <w:r w:rsidR="00C91CB1" w:rsidRPr="00D5464D">
        <w:rPr>
          <w:lang w:val="pt-BR"/>
        </w:rPr>
        <w:t>deveriam</w:t>
      </w:r>
      <w:r w:rsidR="004766BC" w:rsidRPr="00D5464D">
        <w:rPr>
          <w:lang w:val="pt-BR"/>
        </w:rPr>
        <w:t xml:space="preserve"> </w:t>
      </w:r>
      <w:r w:rsidR="008216BC" w:rsidRPr="00D5464D">
        <w:rPr>
          <w:lang w:val="pt-BR"/>
        </w:rPr>
        <w:t xml:space="preserve">pedir </w:t>
      </w:r>
      <w:r w:rsidR="00E045D9" w:rsidRPr="00D5464D">
        <w:rPr>
          <w:lang w:val="pt-BR"/>
        </w:rPr>
        <w:t xml:space="preserve">aos </w:t>
      </w:r>
      <w:r w:rsidR="00737270" w:rsidRPr="00D5464D">
        <w:rPr>
          <w:lang w:val="pt-BR"/>
        </w:rPr>
        <w:t>encarregad</w:t>
      </w:r>
      <w:r w:rsidR="004766BC" w:rsidRPr="00D5464D">
        <w:rPr>
          <w:lang w:val="pt-BR"/>
        </w:rPr>
        <w:t>os</w:t>
      </w:r>
      <w:r w:rsidR="00470ADC" w:rsidRPr="00D5464D">
        <w:rPr>
          <w:lang w:val="pt-BR"/>
        </w:rPr>
        <w:t xml:space="preserve"> da </w:t>
      </w:r>
      <w:r w:rsidR="00D809F0" w:rsidRPr="00D5464D">
        <w:rPr>
          <w:lang w:val="pt-BR"/>
        </w:rPr>
        <w:t>fazenda</w:t>
      </w:r>
      <w:r w:rsidR="004766BC" w:rsidRPr="00D5464D">
        <w:rPr>
          <w:lang w:val="pt-BR"/>
        </w:rPr>
        <w:t xml:space="preserve"> que </w:t>
      </w:r>
      <w:r w:rsidR="00C91CB1" w:rsidRPr="00D5464D">
        <w:rPr>
          <w:lang w:val="pt-BR"/>
        </w:rPr>
        <w:t>fossem</w:t>
      </w:r>
      <w:r w:rsidR="00470ADC" w:rsidRPr="00D5464D">
        <w:rPr>
          <w:lang w:val="pt-BR"/>
        </w:rPr>
        <w:t xml:space="preserve"> à cida</w:t>
      </w:r>
      <w:r w:rsidR="008216BC" w:rsidRPr="00D5464D">
        <w:rPr>
          <w:lang w:val="pt-BR"/>
        </w:rPr>
        <w:t>de</w:t>
      </w:r>
      <w:r w:rsidR="00E045D9" w:rsidRPr="00D5464D">
        <w:rPr>
          <w:lang w:val="pt-BR"/>
        </w:rPr>
        <w:t xml:space="preserve"> </w:t>
      </w:r>
      <w:r w:rsidR="004766BC" w:rsidRPr="00D5464D">
        <w:rPr>
          <w:lang w:val="pt-BR"/>
        </w:rPr>
        <w:t>realizar</w:t>
      </w:r>
      <w:r w:rsidR="002C330E" w:rsidRPr="00D5464D">
        <w:rPr>
          <w:lang w:val="pt-BR"/>
        </w:rPr>
        <w:t xml:space="preserve"> as </w:t>
      </w:r>
      <w:r w:rsidR="004766BC" w:rsidRPr="00D5464D">
        <w:rPr>
          <w:lang w:val="pt-BR"/>
        </w:rPr>
        <w:t xml:space="preserve">compras </w:t>
      </w:r>
      <w:r w:rsidR="00E045D9" w:rsidRPr="00D5464D">
        <w:rPr>
          <w:lang w:val="pt-BR"/>
        </w:rPr>
        <w:t xml:space="preserve">e </w:t>
      </w:r>
      <w:r w:rsidR="008216BC" w:rsidRPr="00D5464D">
        <w:rPr>
          <w:lang w:val="pt-BR"/>
        </w:rPr>
        <w:t>entregassem</w:t>
      </w:r>
      <w:r w:rsidR="003B7121" w:rsidRPr="00D5464D">
        <w:rPr>
          <w:lang w:val="pt-BR"/>
        </w:rPr>
        <w:t xml:space="preserve"> a eles</w:t>
      </w:r>
      <w:r w:rsidR="008216BC" w:rsidRPr="00D5464D">
        <w:rPr>
          <w:lang w:val="pt-BR"/>
        </w:rPr>
        <w:t xml:space="preserve">, </w:t>
      </w:r>
      <w:r w:rsidR="00470ADC" w:rsidRPr="00D5464D">
        <w:rPr>
          <w:lang w:val="pt-BR"/>
        </w:rPr>
        <w:t>com</w:t>
      </w:r>
      <w:r w:rsidR="002C330E" w:rsidRPr="00D5464D">
        <w:rPr>
          <w:lang w:val="pt-BR"/>
        </w:rPr>
        <w:t xml:space="preserve"> a </w:t>
      </w:r>
      <w:r w:rsidR="00470ADC" w:rsidRPr="00D5464D">
        <w:rPr>
          <w:lang w:val="pt-BR"/>
        </w:rPr>
        <w:t>correspondente</w:t>
      </w:r>
      <w:r w:rsidR="004766BC" w:rsidRPr="00D5464D">
        <w:rPr>
          <w:lang w:val="pt-BR"/>
        </w:rPr>
        <w:t xml:space="preserve"> </w:t>
      </w:r>
      <w:r w:rsidR="00350187" w:rsidRPr="00D5464D">
        <w:rPr>
          <w:lang w:val="pt-BR"/>
        </w:rPr>
        <w:t>dedução</w:t>
      </w:r>
      <w:r w:rsidR="004766BC" w:rsidRPr="00D5464D">
        <w:rPr>
          <w:lang w:val="pt-BR"/>
        </w:rPr>
        <w:t xml:space="preserve"> </w:t>
      </w:r>
      <w:r w:rsidR="00470ADC" w:rsidRPr="00D5464D">
        <w:rPr>
          <w:lang w:val="pt-BR"/>
        </w:rPr>
        <w:t xml:space="preserve">do </w:t>
      </w:r>
      <w:r w:rsidR="00E045D9" w:rsidRPr="00D5464D">
        <w:rPr>
          <w:lang w:val="pt-BR"/>
        </w:rPr>
        <w:t>salário</w:t>
      </w:r>
      <w:r w:rsidR="008216BC" w:rsidRPr="00D5464D">
        <w:rPr>
          <w:lang w:val="pt-BR"/>
        </w:rPr>
        <w:t>.</w:t>
      </w:r>
      <w:r w:rsidR="004766BC" w:rsidRPr="00D5464D">
        <w:rPr>
          <w:vertAlign w:val="superscript"/>
          <w:lang w:val="pt-BR"/>
        </w:rPr>
        <w:footnoteReference w:id="184"/>
      </w:r>
      <w:r w:rsidR="004766BC" w:rsidRPr="00D5464D">
        <w:rPr>
          <w:lang w:val="pt-BR"/>
        </w:rPr>
        <w:t xml:space="preserve"> </w:t>
      </w:r>
    </w:p>
    <w:p w14:paraId="1486BA6F" w14:textId="77777777" w:rsidR="00D65024" w:rsidRPr="00D5464D" w:rsidRDefault="00D65024" w:rsidP="00D65024">
      <w:pPr>
        <w:pStyle w:val="Prrafodelista"/>
        <w:ind w:left="0"/>
        <w:contextualSpacing w:val="0"/>
        <w:rPr>
          <w:lang w:val="pt-BR"/>
        </w:rPr>
      </w:pPr>
    </w:p>
    <w:p w14:paraId="2E3B2C73" w14:textId="20E49146" w:rsidR="004766BC" w:rsidRPr="00D5464D" w:rsidRDefault="00470ADC" w:rsidP="004766BC">
      <w:pPr>
        <w:pStyle w:val="Prrafodelista"/>
        <w:numPr>
          <w:ilvl w:val="0"/>
          <w:numId w:val="1"/>
        </w:numPr>
        <w:contextualSpacing w:val="0"/>
        <w:rPr>
          <w:lang w:val="pt-BR"/>
        </w:rPr>
      </w:pPr>
      <w:r w:rsidRPr="00D5464D">
        <w:rPr>
          <w:lang w:val="pt-BR"/>
        </w:rPr>
        <w:t xml:space="preserve">A </w:t>
      </w:r>
      <w:r w:rsidR="004766BC" w:rsidRPr="00D5464D">
        <w:rPr>
          <w:lang w:val="pt-BR"/>
        </w:rPr>
        <w:t>situa</w:t>
      </w:r>
      <w:r w:rsidRPr="00D5464D">
        <w:rPr>
          <w:lang w:val="pt-BR"/>
        </w:rPr>
        <w:t>ção</w:t>
      </w:r>
      <w:r w:rsidR="00E045D9" w:rsidRPr="00D5464D">
        <w:rPr>
          <w:lang w:val="pt-BR"/>
        </w:rPr>
        <w:t xml:space="preserve"> na </w:t>
      </w:r>
      <w:r w:rsidRPr="00D5464D">
        <w:rPr>
          <w:lang w:val="pt-BR"/>
        </w:rPr>
        <w:t xml:space="preserve">qual </w:t>
      </w:r>
      <w:r w:rsidR="004766BC" w:rsidRPr="00D5464D">
        <w:rPr>
          <w:lang w:val="pt-BR"/>
        </w:rPr>
        <w:t xml:space="preserve">se </w:t>
      </w:r>
      <w:r w:rsidRPr="00D5464D">
        <w:rPr>
          <w:lang w:val="pt-BR"/>
        </w:rPr>
        <w:t>encontravam</w:t>
      </w:r>
      <w:r w:rsidR="002C330E" w:rsidRPr="00D5464D">
        <w:rPr>
          <w:lang w:val="pt-BR"/>
        </w:rPr>
        <w:t xml:space="preserve"> os </w:t>
      </w:r>
      <w:r w:rsidR="00E045D9" w:rsidRPr="00D5464D">
        <w:rPr>
          <w:lang w:val="pt-BR"/>
        </w:rPr>
        <w:t>trabalhadores</w:t>
      </w:r>
      <w:r w:rsidR="002C330E" w:rsidRPr="00D5464D">
        <w:rPr>
          <w:lang w:val="pt-BR"/>
        </w:rPr>
        <w:t xml:space="preserve"> </w:t>
      </w:r>
      <w:r w:rsidR="00EB1CE9" w:rsidRPr="00D5464D">
        <w:rPr>
          <w:lang w:val="pt-BR"/>
        </w:rPr>
        <w:t>gerava</w:t>
      </w:r>
      <w:r w:rsidR="00350187" w:rsidRPr="00D5464D">
        <w:rPr>
          <w:lang w:val="pt-BR"/>
        </w:rPr>
        <w:t xml:space="preserve"> </w:t>
      </w:r>
      <w:r w:rsidR="003B7121" w:rsidRPr="00D5464D">
        <w:rPr>
          <w:lang w:val="pt-BR"/>
        </w:rPr>
        <w:t xml:space="preserve">neles </w:t>
      </w:r>
      <w:r w:rsidR="00E045D9" w:rsidRPr="00D5464D">
        <w:rPr>
          <w:lang w:val="pt-BR"/>
        </w:rPr>
        <w:t xml:space="preserve">um </w:t>
      </w:r>
      <w:r w:rsidR="004766BC" w:rsidRPr="00D5464D">
        <w:rPr>
          <w:lang w:val="pt-BR"/>
        </w:rPr>
        <w:t>profundo</w:t>
      </w:r>
      <w:r w:rsidR="00737270" w:rsidRPr="00D5464D">
        <w:rPr>
          <w:lang w:val="pt-BR"/>
        </w:rPr>
        <w:t xml:space="preserve"> desejo </w:t>
      </w:r>
      <w:r w:rsidR="004766BC" w:rsidRPr="00D5464D">
        <w:rPr>
          <w:lang w:val="pt-BR"/>
        </w:rPr>
        <w:t>de</w:t>
      </w:r>
      <w:r w:rsidR="00E045D9" w:rsidRPr="00D5464D">
        <w:rPr>
          <w:lang w:val="pt-BR"/>
        </w:rPr>
        <w:t xml:space="preserve"> fugir </w:t>
      </w:r>
      <w:r w:rsidRPr="00D5464D">
        <w:rPr>
          <w:lang w:val="pt-BR"/>
        </w:rPr>
        <w:t xml:space="preserve">da </w:t>
      </w:r>
      <w:r w:rsidR="00D809F0" w:rsidRPr="00D5464D">
        <w:rPr>
          <w:lang w:val="pt-BR"/>
        </w:rPr>
        <w:t>fazenda</w:t>
      </w:r>
      <w:r w:rsidR="00737270" w:rsidRPr="00D5464D">
        <w:rPr>
          <w:lang w:val="pt-BR"/>
        </w:rPr>
        <w:t>. No entanto</w:t>
      </w:r>
      <w:r w:rsidR="004766BC" w:rsidRPr="00D5464D">
        <w:rPr>
          <w:lang w:val="pt-BR"/>
        </w:rPr>
        <w:t>,</w:t>
      </w:r>
      <w:r w:rsidR="002C330E" w:rsidRPr="00D5464D">
        <w:rPr>
          <w:lang w:val="pt-BR"/>
        </w:rPr>
        <w:t xml:space="preserve"> a </w:t>
      </w:r>
      <w:r w:rsidR="00E045D9" w:rsidRPr="00D5464D">
        <w:rPr>
          <w:lang w:val="pt-BR"/>
        </w:rPr>
        <w:t xml:space="preserve">vigilância </w:t>
      </w:r>
      <w:r w:rsidR="008216BC" w:rsidRPr="00D5464D">
        <w:rPr>
          <w:lang w:val="pt-BR"/>
        </w:rPr>
        <w:t xml:space="preserve">à qual estavam submetidos, somada </w:t>
      </w:r>
      <w:r w:rsidRPr="00D5464D">
        <w:rPr>
          <w:lang w:val="pt-BR"/>
        </w:rPr>
        <w:t xml:space="preserve">à </w:t>
      </w:r>
      <w:r w:rsidR="00A1358C" w:rsidRPr="00D5464D">
        <w:rPr>
          <w:lang w:val="pt-BR"/>
        </w:rPr>
        <w:t xml:space="preserve">carência </w:t>
      </w:r>
      <w:r w:rsidR="004766BC" w:rsidRPr="00D5464D">
        <w:rPr>
          <w:lang w:val="pt-BR"/>
        </w:rPr>
        <w:t xml:space="preserve">de </w:t>
      </w:r>
      <w:r w:rsidR="00E045D9" w:rsidRPr="00D5464D">
        <w:rPr>
          <w:lang w:val="pt-BR"/>
        </w:rPr>
        <w:t>salário</w:t>
      </w:r>
      <w:r w:rsidR="004766BC" w:rsidRPr="00D5464D">
        <w:rPr>
          <w:lang w:val="pt-BR"/>
        </w:rPr>
        <w:t>,</w:t>
      </w:r>
      <w:r w:rsidR="002C330E" w:rsidRPr="00D5464D">
        <w:rPr>
          <w:lang w:val="pt-BR"/>
        </w:rPr>
        <w:t xml:space="preserve"> a </w:t>
      </w:r>
      <w:r w:rsidR="00E045D9" w:rsidRPr="00D5464D">
        <w:rPr>
          <w:lang w:val="pt-BR"/>
        </w:rPr>
        <w:t>localização</w:t>
      </w:r>
      <w:r w:rsidR="004766BC" w:rsidRPr="00D5464D">
        <w:rPr>
          <w:lang w:val="pt-BR"/>
        </w:rPr>
        <w:t xml:space="preserve"> </w:t>
      </w:r>
      <w:r w:rsidR="00A1358C" w:rsidRPr="00D5464D">
        <w:rPr>
          <w:lang w:val="pt-BR"/>
        </w:rPr>
        <w:t>isolad</w:t>
      </w:r>
      <w:r w:rsidR="004766BC" w:rsidRPr="00D5464D">
        <w:rPr>
          <w:lang w:val="pt-BR"/>
        </w:rPr>
        <w:t>a</w:t>
      </w:r>
      <w:r w:rsidRPr="00D5464D">
        <w:rPr>
          <w:lang w:val="pt-BR"/>
        </w:rPr>
        <w:t xml:space="preserve"> da </w:t>
      </w:r>
      <w:r w:rsidR="00D809F0" w:rsidRPr="00D5464D">
        <w:rPr>
          <w:lang w:val="pt-BR"/>
        </w:rPr>
        <w:t>fazenda</w:t>
      </w:r>
      <w:r w:rsidR="00E045D9" w:rsidRPr="00D5464D">
        <w:rPr>
          <w:lang w:val="pt-BR"/>
        </w:rPr>
        <w:t xml:space="preserve"> e </w:t>
      </w:r>
      <w:r w:rsidR="004766BC" w:rsidRPr="00D5464D">
        <w:rPr>
          <w:lang w:val="pt-BR"/>
        </w:rPr>
        <w:t>s</w:t>
      </w:r>
      <w:r w:rsidR="008216BC" w:rsidRPr="00D5464D">
        <w:rPr>
          <w:lang w:val="pt-BR"/>
        </w:rPr>
        <w:t>e</w:t>
      </w:r>
      <w:r w:rsidR="004766BC" w:rsidRPr="00D5464D">
        <w:rPr>
          <w:lang w:val="pt-BR"/>
        </w:rPr>
        <w:t xml:space="preserve">u </w:t>
      </w:r>
      <w:r w:rsidR="008216BC" w:rsidRPr="00D5464D">
        <w:rPr>
          <w:lang w:val="pt-BR"/>
        </w:rPr>
        <w:t>ent</w:t>
      </w:r>
      <w:r w:rsidR="002662CC" w:rsidRPr="00D5464D">
        <w:rPr>
          <w:lang w:val="pt-BR"/>
        </w:rPr>
        <w:t>o</w:t>
      </w:r>
      <w:r w:rsidR="008216BC" w:rsidRPr="00D5464D">
        <w:rPr>
          <w:lang w:val="pt-BR"/>
        </w:rPr>
        <w:t xml:space="preserve">rno, </w:t>
      </w:r>
      <w:r w:rsidRPr="00D5464D">
        <w:rPr>
          <w:lang w:val="pt-BR"/>
        </w:rPr>
        <w:t>com</w:t>
      </w:r>
      <w:r w:rsidR="002C330E" w:rsidRPr="00D5464D">
        <w:rPr>
          <w:lang w:val="pt-BR"/>
        </w:rPr>
        <w:t xml:space="preserve"> a presença </w:t>
      </w:r>
      <w:r w:rsidR="004766BC" w:rsidRPr="00D5464D">
        <w:rPr>
          <w:lang w:val="pt-BR"/>
        </w:rPr>
        <w:t xml:space="preserve">de </w:t>
      </w:r>
      <w:r w:rsidR="00E045D9" w:rsidRPr="00D5464D">
        <w:rPr>
          <w:lang w:val="pt-BR"/>
        </w:rPr>
        <w:t>animais</w:t>
      </w:r>
      <w:r w:rsidR="004766BC" w:rsidRPr="00D5464D">
        <w:rPr>
          <w:lang w:val="pt-BR"/>
        </w:rPr>
        <w:t xml:space="preserve"> </w:t>
      </w:r>
      <w:r w:rsidR="008216BC" w:rsidRPr="00D5464D">
        <w:rPr>
          <w:lang w:val="pt-BR"/>
        </w:rPr>
        <w:t>selvagens</w:t>
      </w:r>
      <w:r w:rsidR="004766BC" w:rsidRPr="00D5464D">
        <w:rPr>
          <w:lang w:val="pt-BR"/>
        </w:rPr>
        <w:t>,</w:t>
      </w:r>
      <w:r w:rsidR="002C330E" w:rsidRPr="00D5464D">
        <w:rPr>
          <w:lang w:val="pt-BR"/>
        </w:rPr>
        <w:t xml:space="preserve"> </w:t>
      </w:r>
      <w:r w:rsidR="003B7121" w:rsidRPr="00D5464D">
        <w:rPr>
          <w:lang w:val="pt-BR"/>
        </w:rPr>
        <w:t xml:space="preserve">os </w:t>
      </w:r>
      <w:r w:rsidR="004766BC" w:rsidRPr="00D5464D">
        <w:rPr>
          <w:lang w:val="pt-BR"/>
        </w:rPr>
        <w:t>impe</w:t>
      </w:r>
      <w:r w:rsidRPr="00D5464D">
        <w:rPr>
          <w:lang w:val="pt-BR"/>
        </w:rPr>
        <w:t>dia</w:t>
      </w:r>
      <w:r w:rsidR="004766BC" w:rsidRPr="00D5464D">
        <w:rPr>
          <w:lang w:val="pt-BR"/>
        </w:rPr>
        <w:t xml:space="preserve"> </w:t>
      </w:r>
      <w:r w:rsidR="008216BC" w:rsidRPr="00D5464D">
        <w:rPr>
          <w:lang w:val="pt-BR"/>
        </w:rPr>
        <w:t xml:space="preserve">de </w:t>
      </w:r>
      <w:r w:rsidR="00230C71" w:rsidRPr="00D5464D">
        <w:rPr>
          <w:lang w:val="pt-BR"/>
        </w:rPr>
        <w:t>regressar</w:t>
      </w:r>
      <w:r w:rsidR="004766BC" w:rsidRPr="00D5464D">
        <w:rPr>
          <w:lang w:val="pt-BR"/>
        </w:rPr>
        <w:t xml:space="preserve"> a s</w:t>
      </w:r>
      <w:r w:rsidR="008216BC" w:rsidRPr="00D5464D">
        <w:rPr>
          <w:lang w:val="pt-BR"/>
        </w:rPr>
        <w:t>e</w:t>
      </w:r>
      <w:r w:rsidR="004766BC" w:rsidRPr="00D5464D">
        <w:rPr>
          <w:lang w:val="pt-BR"/>
        </w:rPr>
        <w:t xml:space="preserve">us </w:t>
      </w:r>
      <w:r w:rsidR="008216BC" w:rsidRPr="00D5464D">
        <w:rPr>
          <w:lang w:val="pt-BR"/>
        </w:rPr>
        <w:t>lares</w:t>
      </w:r>
      <w:r w:rsidR="004766BC" w:rsidRPr="00D5464D">
        <w:rPr>
          <w:lang w:val="pt-BR"/>
        </w:rPr>
        <w:t xml:space="preserve">. </w:t>
      </w:r>
      <w:r w:rsidRPr="00D5464D">
        <w:rPr>
          <w:lang w:val="pt-BR"/>
        </w:rPr>
        <w:t>Ademais</w:t>
      </w:r>
      <w:r w:rsidR="004766BC" w:rsidRPr="00D5464D">
        <w:rPr>
          <w:lang w:val="pt-BR"/>
        </w:rPr>
        <w:t>,</w:t>
      </w:r>
      <w:r w:rsidR="002C330E" w:rsidRPr="00D5464D">
        <w:rPr>
          <w:lang w:val="pt-BR"/>
        </w:rPr>
        <w:t xml:space="preserve"> se os </w:t>
      </w:r>
      <w:r w:rsidR="00737270" w:rsidRPr="00D5464D">
        <w:rPr>
          <w:lang w:val="pt-BR"/>
        </w:rPr>
        <w:t>encarregad</w:t>
      </w:r>
      <w:r w:rsidR="004766BC" w:rsidRPr="00D5464D">
        <w:rPr>
          <w:lang w:val="pt-BR"/>
        </w:rPr>
        <w:t>os</w:t>
      </w:r>
      <w:r w:rsidRPr="00D5464D">
        <w:rPr>
          <w:lang w:val="pt-BR"/>
        </w:rPr>
        <w:t xml:space="preserve"> da </w:t>
      </w:r>
      <w:r w:rsidR="00E045D9" w:rsidRPr="00D5464D">
        <w:rPr>
          <w:lang w:val="pt-BR"/>
        </w:rPr>
        <w:t>vigilância</w:t>
      </w:r>
      <w:r w:rsidR="004766BC" w:rsidRPr="00D5464D">
        <w:rPr>
          <w:lang w:val="pt-BR"/>
        </w:rPr>
        <w:t xml:space="preserve"> </w:t>
      </w:r>
      <w:r w:rsidR="008216BC" w:rsidRPr="00D5464D">
        <w:rPr>
          <w:lang w:val="pt-BR"/>
        </w:rPr>
        <w:t xml:space="preserve">agarrassem </w:t>
      </w:r>
      <w:r w:rsidR="00E045D9" w:rsidRPr="00D5464D">
        <w:rPr>
          <w:lang w:val="pt-BR"/>
        </w:rPr>
        <w:t xml:space="preserve">uma </w:t>
      </w:r>
      <w:r w:rsidR="002C330E" w:rsidRPr="00D5464D">
        <w:rPr>
          <w:lang w:val="pt-BR"/>
        </w:rPr>
        <w:t>pessoa</w:t>
      </w:r>
      <w:r w:rsidR="004766BC" w:rsidRPr="00D5464D">
        <w:rPr>
          <w:lang w:val="pt-BR"/>
        </w:rPr>
        <w:t xml:space="preserve"> que </w:t>
      </w:r>
      <w:r w:rsidR="008216BC" w:rsidRPr="00D5464D">
        <w:rPr>
          <w:lang w:val="pt-BR"/>
        </w:rPr>
        <w:t>estava</w:t>
      </w:r>
      <w:r w:rsidR="004766BC" w:rsidRPr="00D5464D">
        <w:rPr>
          <w:lang w:val="pt-BR"/>
        </w:rPr>
        <w:t xml:space="preserve"> </w:t>
      </w:r>
      <w:r w:rsidR="002C330E" w:rsidRPr="00D5464D">
        <w:rPr>
          <w:lang w:val="pt-BR"/>
        </w:rPr>
        <w:t>tentando</w:t>
      </w:r>
      <w:r w:rsidR="00E045D9" w:rsidRPr="00D5464D">
        <w:rPr>
          <w:lang w:val="pt-BR"/>
        </w:rPr>
        <w:t xml:space="preserve"> fugir </w:t>
      </w:r>
      <w:r w:rsidRPr="00D5464D">
        <w:rPr>
          <w:lang w:val="pt-BR"/>
        </w:rPr>
        <w:t xml:space="preserve">da </w:t>
      </w:r>
      <w:r w:rsidR="00D809F0" w:rsidRPr="00D5464D">
        <w:rPr>
          <w:lang w:val="pt-BR"/>
        </w:rPr>
        <w:t>fazenda</w:t>
      </w:r>
      <w:r w:rsidR="004766BC" w:rsidRPr="00D5464D">
        <w:rPr>
          <w:lang w:val="pt-BR"/>
        </w:rPr>
        <w:t xml:space="preserve">, </w:t>
      </w:r>
      <w:r w:rsidR="008216BC" w:rsidRPr="00D5464D">
        <w:rPr>
          <w:lang w:val="pt-BR"/>
        </w:rPr>
        <w:t xml:space="preserve">além de </w:t>
      </w:r>
      <w:r w:rsidR="003B7121" w:rsidRPr="00D5464D">
        <w:rPr>
          <w:lang w:val="pt-BR"/>
        </w:rPr>
        <w:t>lev</w:t>
      </w:r>
      <w:r w:rsidR="00D01E12" w:rsidRPr="00D5464D">
        <w:rPr>
          <w:lang w:val="pt-BR"/>
        </w:rPr>
        <w:t>á</w:t>
      </w:r>
      <w:r w:rsidR="003B7121" w:rsidRPr="00D5464D">
        <w:rPr>
          <w:lang w:val="pt-BR"/>
        </w:rPr>
        <w:t>-lo de volta</w:t>
      </w:r>
      <w:r w:rsidR="008216BC" w:rsidRPr="00D5464D">
        <w:rPr>
          <w:lang w:val="pt-BR"/>
        </w:rPr>
        <w:t xml:space="preserve">, rasgavam suas roupas e rede </w:t>
      </w:r>
      <w:r w:rsidR="004766BC" w:rsidRPr="00D5464D">
        <w:rPr>
          <w:lang w:val="pt-BR"/>
        </w:rPr>
        <w:t>para dormir</w:t>
      </w:r>
      <w:r w:rsidR="008216BC" w:rsidRPr="00D5464D">
        <w:rPr>
          <w:lang w:val="pt-BR"/>
        </w:rPr>
        <w:t>.</w:t>
      </w:r>
      <w:r w:rsidR="004766BC" w:rsidRPr="00D5464D">
        <w:rPr>
          <w:vertAlign w:val="superscript"/>
          <w:lang w:val="pt-BR"/>
        </w:rPr>
        <w:footnoteReference w:id="185"/>
      </w:r>
      <w:r w:rsidR="004766BC" w:rsidRPr="00D5464D">
        <w:rPr>
          <w:lang w:val="pt-BR"/>
        </w:rPr>
        <w:t xml:space="preserve"> </w:t>
      </w:r>
    </w:p>
    <w:p w14:paraId="2F24FC90" w14:textId="77777777" w:rsidR="004766BC" w:rsidRPr="00D5464D" w:rsidRDefault="004766BC" w:rsidP="004766BC">
      <w:pPr>
        <w:pStyle w:val="Prrafodelista"/>
        <w:rPr>
          <w:lang w:val="pt-BR"/>
        </w:rPr>
      </w:pPr>
    </w:p>
    <w:p w14:paraId="38F9F069" w14:textId="6CBE73B2" w:rsidR="004766BC" w:rsidRPr="00D5464D" w:rsidRDefault="008216BC" w:rsidP="004766BC">
      <w:pPr>
        <w:pStyle w:val="Prrafodelista"/>
        <w:numPr>
          <w:ilvl w:val="0"/>
          <w:numId w:val="1"/>
        </w:numPr>
        <w:contextualSpacing w:val="0"/>
        <w:rPr>
          <w:lang w:val="pt-BR"/>
        </w:rPr>
      </w:pPr>
      <w:r w:rsidRPr="00D5464D">
        <w:rPr>
          <w:lang w:val="pt-BR"/>
        </w:rPr>
        <w:t>Os</w:t>
      </w:r>
      <w:r w:rsidR="00C12173" w:rsidRPr="00D5464D">
        <w:rPr>
          <w:lang w:val="pt-BR"/>
        </w:rPr>
        <w:t xml:space="preserve"> </w:t>
      </w:r>
      <w:r w:rsidR="00E045D9" w:rsidRPr="00D5464D">
        <w:rPr>
          <w:lang w:val="pt-BR"/>
        </w:rPr>
        <w:t>jovens</w:t>
      </w:r>
      <w:r w:rsidR="00C12173" w:rsidRPr="00D5464D">
        <w:rPr>
          <w:lang w:val="pt-BR"/>
        </w:rPr>
        <w:t xml:space="preserve"> </w:t>
      </w:r>
      <w:r w:rsidR="003B7121" w:rsidRPr="00D5464D">
        <w:rPr>
          <w:lang w:val="pt-BR"/>
        </w:rPr>
        <w:t>Antônio</w:t>
      </w:r>
      <w:r w:rsidR="004766BC" w:rsidRPr="00D5464D">
        <w:rPr>
          <w:lang w:val="pt-BR"/>
        </w:rPr>
        <w:t xml:space="preserve"> Francisco da Silva</w:t>
      </w:r>
      <w:r w:rsidR="00E045D9" w:rsidRPr="00D5464D">
        <w:rPr>
          <w:lang w:val="pt-BR"/>
        </w:rPr>
        <w:t xml:space="preserve"> e </w:t>
      </w:r>
      <w:r w:rsidR="00D47B1B" w:rsidRPr="00D5464D">
        <w:rPr>
          <w:rFonts w:cs="Times New Roman"/>
          <w:szCs w:val="20"/>
          <w:lang w:val="pt-BR"/>
        </w:rPr>
        <w:t>José Francisco Furtado de Sousa</w:t>
      </w:r>
      <w:r w:rsidR="00D47B1B" w:rsidRPr="00D5464D">
        <w:rPr>
          <w:lang w:val="pt-BR"/>
        </w:rPr>
        <w:t xml:space="preserve"> </w:t>
      </w:r>
      <w:r w:rsidR="00E045D9" w:rsidRPr="00D5464D">
        <w:rPr>
          <w:lang w:val="pt-BR"/>
        </w:rPr>
        <w:t>decidiram</w:t>
      </w:r>
      <w:r w:rsidR="004766BC" w:rsidRPr="00D5464D">
        <w:rPr>
          <w:lang w:val="pt-BR"/>
        </w:rPr>
        <w:t xml:space="preserve"> </w:t>
      </w:r>
      <w:r w:rsidR="0068642A" w:rsidRPr="00D5464D">
        <w:rPr>
          <w:lang w:val="pt-BR"/>
        </w:rPr>
        <w:t>fugir</w:t>
      </w:r>
      <w:r w:rsidR="00470ADC" w:rsidRPr="00D5464D">
        <w:rPr>
          <w:lang w:val="pt-BR"/>
        </w:rPr>
        <w:t xml:space="preserve"> da </w:t>
      </w:r>
      <w:r w:rsidR="00D809F0" w:rsidRPr="00D5464D">
        <w:rPr>
          <w:lang w:val="pt-BR"/>
        </w:rPr>
        <w:t>fazenda</w:t>
      </w:r>
      <w:r w:rsidR="00C12173" w:rsidRPr="00D5464D">
        <w:rPr>
          <w:lang w:val="pt-BR"/>
        </w:rPr>
        <w:t xml:space="preserve"> </w:t>
      </w:r>
      <w:r w:rsidR="004B71B2" w:rsidRPr="00D5464D">
        <w:rPr>
          <w:lang w:val="pt-BR"/>
        </w:rPr>
        <w:t>durante</w:t>
      </w:r>
      <w:r w:rsidR="002C330E" w:rsidRPr="00D5464D">
        <w:rPr>
          <w:lang w:val="pt-BR"/>
        </w:rPr>
        <w:t xml:space="preserve"> a primeira</w:t>
      </w:r>
      <w:r w:rsidR="004B71B2" w:rsidRPr="00D5464D">
        <w:rPr>
          <w:lang w:val="pt-BR"/>
        </w:rPr>
        <w:t xml:space="preserve"> semana de </w:t>
      </w:r>
      <w:r w:rsidR="002C330E" w:rsidRPr="00D5464D">
        <w:rPr>
          <w:lang w:val="pt-BR"/>
        </w:rPr>
        <w:t>março</w:t>
      </w:r>
      <w:r w:rsidR="004B71B2" w:rsidRPr="00D5464D">
        <w:rPr>
          <w:lang w:val="pt-BR"/>
        </w:rPr>
        <w:t xml:space="preserve"> de 2000</w:t>
      </w:r>
      <w:r w:rsidR="004766BC" w:rsidRPr="00D5464D">
        <w:rPr>
          <w:lang w:val="pt-BR"/>
        </w:rPr>
        <w:t xml:space="preserve">. </w:t>
      </w:r>
      <w:r w:rsidR="00B40811" w:rsidRPr="00D5464D">
        <w:rPr>
          <w:lang w:val="pt-BR"/>
        </w:rPr>
        <w:t>Entre</w:t>
      </w:r>
      <w:r w:rsidR="002C330E" w:rsidRPr="00D5464D">
        <w:rPr>
          <w:lang w:val="pt-BR"/>
        </w:rPr>
        <w:t xml:space="preserve"> 3</w:t>
      </w:r>
      <w:r w:rsidR="00E045D9" w:rsidRPr="00D5464D">
        <w:rPr>
          <w:lang w:val="pt-BR"/>
        </w:rPr>
        <w:t xml:space="preserve"> e </w:t>
      </w:r>
      <w:r w:rsidR="00B40811" w:rsidRPr="00D5464D">
        <w:rPr>
          <w:lang w:val="pt-BR"/>
        </w:rPr>
        <w:t xml:space="preserve">5 de </w:t>
      </w:r>
      <w:r w:rsidR="002C330E" w:rsidRPr="00D5464D">
        <w:rPr>
          <w:lang w:val="pt-BR"/>
        </w:rPr>
        <w:t>março</w:t>
      </w:r>
      <w:r w:rsidR="00B40811" w:rsidRPr="00D5464D">
        <w:rPr>
          <w:lang w:val="pt-BR"/>
        </w:rPr>
        <w:t>, a</w:t>
      </w:r>
      <w:r w:rsidR="004766BC" w:rsidRPr="00D5464D">
        <w:rPr>
          <w:lang w:val="pt-BR"/>
        </w:rPr>
        <w:t>proximadamente</w:t>
      </w:r>
      <w:r w:rsidR="00E045D9" w:rsidRPr="00D5464D">
        <w:rPr>
          <w:lang w:val="pt-BR"/>
        </w:rPr>
        <w:t xml:space="preserve"> às três </w:t>
      </w:r>
      <w:r w:rsidR="00470ADC" w:rsidRPr="00D5464D">
        <w:rPr>
          <w:lang w:val="pt-BR"/>
        </w:rPr>
        <w:t xml:space="preserve">da </w:t>
      </w:r>
      <w:r w:rsidR="004766BC" w:rsidRPr="00D5464D">
        <w:rPr>
          <w:lang w:val="pt-BR"/>
        </w:rPr>
        <w:t xml:space="preserve">madrugada, </w:t>
      </w:r>
      <w:r w:rsidR="00737270" w:rsidRPr="00D5464D">
        <w:rPr>
          <w:lang w:val="pt-BR"/>
        </w:rPr>
        <w:t>um dos</w:t>
      </w:r>
      <w:r w:rsidR="00470ADC" w:rsidRPr="00D5464D">
        <w:rPr>
          <w:lang w:val="pt-BR"/>
        </w:rPr>
        <w:t xml:space="preserve"> </w:t>
      </w:r>
      <w:r w:rsidR="0081288E" w:rsidRPr="00D5464D">
        <w:rPr>
          <w:lang w:val="pt-BR"/>
        </w:rPr>
        <w:t>seguranças</w:t>
      </w:r>
      <w:r w:rsidR="004766BC" w:rsidRPr="00D5464D">
        <w:rPr>
          <w:lang w:val="pt-BR"/>
        </w:rPr>
        <w:t xml:space="preserve"> </w:t>
      </w:r>
      <w:r w:rsidR="002C330E" w:rsidRPr="00D5464D">
        <w:rPr>
          <w:lang w:val="pt-BR"/>
        </w:rPr>
        <w:t>chegou</w:t>
      </w:r>
      <w:r w:rsidR="00470ADC" w:rsidRPr="00D5464D">
        <w:rPr>
          <w:lang w:val="pt-BR"/>
        </w:rPr>
        <w:t xml:space="preserve"> ao </w:t>
      </w:r>
      <w:r w:rsidR="0068642A" w:rsidRPr="00D5464D">
        <w:rPr>
          <w:lang w:val="pt-BR"/>
        </w:rPr>
        <w:t xml:space="preserve">barracão para </w:t>
      </w:r>
      <w:r w:rsidR="004766BC" w:rsidRPr="00D5464D">
        <w:rPr>
          <w:lang w:val="pt-BR"/>
        </w:rPr>
        <w:t>despertar</w:t>
      </w:r>
      <w:r w:rsidR="00E045D9" w:rsidRPr="00D5464D">
        <w:rPr>
          <w:lang w:val="pt-BR"/>
        </w:rPr>
        <w:t xml:space="preserve"> os trabalhadores</w:t>
      </w:r>
      <w:r w:rsidR="004766BC" w:rsidRPr="00D5464D">
        <w:rPr>
          <w:lang w:val="pt-BR"/>
        </w:rPr>
        <w:t xml:space="preserve">. </w:t>
      </w:r>
      <w:r w:rsidR="00C2784F" w:rsidRPr="00D5464D">
        <w:rPr>
          <w:lang w:val="pt-BR"/>
        </w:rPr>
        <w:t>Antônio</w:t>
      </w:r>
      <w:r w:rsidR="004766BC" w:rsidRPr="00D5464D">
        <w:rPr>
          <w:lang w:val="pt-BR"/>
        </w:rPr>
        <w:t xml:space="preserve"> Francisco da Silva </w:t>
      </w:r>
      <w:r w:rsidR="00E045D9" w:rsidRPr="00D5464D">
        <w:rPr>
          <w:lang w:val="pt-BR"/>
        </w:rPr>
        <w:t>tinha</w:t>
      </w:r>
      <w:r w:rsidR="004766BC" w:rsidRPr="00D5464D">
        <w:rPr>
          <w:lang w:val="pt-BR"/>
        </w:rPr>
        <w:t xml:space="preserve"> </w:t>
      </w:r>
      <w:r w:rsidR="00E765C2" w:rsidRPr="00D5464D">
        <w:rPr>
          <w:lang w:val="pt-BR"/>
        </w:rPr>
        <w:t>febre</w:t>
      </w:r>
      <w:r w:rsidR="00470ADC" w:rsidRPr="00D5464D">
        <w:rPr>
          <w:lang w:val="pt-BR"/>
        </w:rPr>
        <w:t>, e</w:t>
      </w:r>
      <w:r w:rsidR="004766BC" w:rsidRPr="00D5464D">
        <w:rPr>
          <w:lang w:val="pt-BR"/>
        </w:rPr>
        <w:t xml:space="preserve"> s</w:t>
      </w:r>
      <w:r w:rsidR="0068642A" w:rsidRPr="00D5464D">
        <w:rPr>
          <w:lang w:val="pt-BR"/>
        </w:rPr>
        <w:t>e</w:t>
      </w:r>
      <w:r w:rsidR="004766BC" w:rsidRPr="00D5464D">
        <w:rPr>
          <w:lang w:val="pt-BR"/>
        </w:rPr>
        <w:t xml:space="preserve">u </w:t>
      </w:r>
      <w:r w:rsidR="00470ADC" w:rsidRPr="00D5464D">
        <w:rPr>
          <w:lang w:val="pt-BR"/>
        </w:rPr>
        <w:t>companheir</w:t>
      </w:r>
      <w:r w:rsidR="004766BC" w:rsidRPr="00D5464D">
        <w:rPr>
          <w:lang w:val="pt-BR"/>
        </w:rPr>
        <w:t xml:space="preserve">o </w:t>
      </w:r>
      <w:r w:rsidR="00D47B1B" w:rsidRPr="00D5464D">
        <w:rPr>
          <w:rFonts w:cs="Times New Roman"/>
          <w:szCs w:val="20"/>
          <w:lang w:val="pt-BR"/>
        </w:rPr>
        <w:t>José Francisco Furtado de Sousa</w:t>
      </w:r>
      <w:r w:rsidR="00D47B1B" w:rsidRPr="00D5464D">
        <w:rPr>
          <w:lang w:val="pt-BR"/>
        </w:rPr>
        <w:t xml:space="preserve"> </w:t>
      </w:r>
      <w:r w:rsidR="0068642A" w:rsidRPr="00D5464D">
        <w:rPr>
          <w:lang w:val="pt-BR"/>
        </w:rPr>
        <w:t xml:space="preserve">tinha </w:t>
      </w:r>
      <w:r w:rsidR="004766BC" w:rsidRPr="00D5464D">
        <w:rPr>
          <w:lang w:val="pt-BR"/>
        </w:rPr>
        <w:t>dificul</w:t>
      </w:r>
      <w:r w:rsidR="002662CC" w:rsidRPr="00D5464D">
        <w:rPr>
          <w:lang w:val="pt-BR"/>
        </w:rPr>
        <w:t>d</w:t>
      </w:r>
      <w:r w:rsidR="0068642A" w:rsidRPr="00D5464D">
        <w:rPr>
          <w:lang w:val="pt-BR"/>
        </w:rPr>
        <w:t>ades para</w:t>
      </w:r>
      <w:r w:rsidR="00350187" w:rsidRPr="00D5464D">
        <w:rPr>
          <w:lang w:val="pt-BR"/>
        </w:rPr>
        <w:t xml:space="preserve"> </w:t>
      </w:r>
      <w:r w:rsidR="00E045D9" w:rsidRPr="00D5464D">
        <w:rPr>
          <w:lang w:val="pt-BR"/>
        </w:rPr>
        <w:t>trabalh</w:t>
      </w:r>
      <w:r w:rsidR="004766BC" w:rsidRPr="00D5464D">
        <w:rPr>
          <w:lang w:val="pt-BR"/>
        </w:rPr>
        <w:t>ar</w:t>
      </w:r>
      <w:r w:rsidR="00470ADC" w:rsidRPr="00D5464D">
        <w:rPr>
          <w:lang w:val="pt-BR"/>
        </w:rPr>
        <w:t xml:space="preserve"> em </w:t>
      </w:r>
      <w:r w:rsidR="00E045D9" w:rsidRPr="00D5464D">
        <w:rPr>
          <w:lang w:val="pt-BR"/>
        </w:rPr>
        <w:t xml:space="preserve">virtude </w:t>
      </w:r>
      <w:r w:rsidR="004766BC" w:rsidRPr="00D5464D">
        <w:rPr>
          <w:lang w:val="pt-BR"/>
        </w:rPr>
        <w:t xml:space="preserve">de </w:t>
      </w:r>
      <w:r w:rsidR="0068642A" w:rsidRPr="00D5464D">
        <w:rPr>
          <w:lang w:val="pt-BR"/>
        </w:rPr>
        <w:t xml:space="preserve">usar </w:t>
      </w:r>
      <w:r w:rsidR="00E045D9" w:rsidRPr="00D5464D">
        <w:rPr>
          <w:lang w:val="pt-BR"/>
        </w:rPr>
        <w:t xml:space="preserve">uma </w:t>
      </w:r>
      <w:r w:rsidR="004766BC" w:rsidRPr="00D5464D">
        <w:rPr>
          <w:lang w:val="pt-BR"/>
        </w:rPr>
        <w:t>pró</w:t>
      </w:r>
      <w:r w:rsidR="00E045D9" w:rsidRPr="00D5464D">
        <w:rPr>
          <w:lang w:val="pt-BR"/>
        </w:rPr>
        <w:t>tese</w:t>
      </w:r>
      <w:r w:rsidR="00470ADC" w:rsidRPr="00D5464D">
        <w:rPr>
          <w:lang w:val="pt-BR"/>
        </w:rPr>
        <w:t xml:space="preserve"> em</w:t>
      </w:r>
      <w:r w:rsidR="00E045D9" w:rsidRPr="00D5464D">
        <w:rPr>
          <w:lang w:val="pt-BR"/>
        </w:rPr>
        <w:t xml:space="preserve"> uma </w:t>
      </w:r>
      <w:r w:rsidR="00737270" w:rsidRPr="00D5464D">
        <w:rPr>
          <w:lang w:val="pt-BR"/>
        </w:rPr>
        <w:t>perna</w:t>
      </w:r>
      <w:r w:rsidR="00A1358C" w:rsidRPr="00D5464D">
        <w:rPr>
          <w:lang w:val="pt-BR"/>
        </w:rPr>
        <w:t xml:space="preserve">. O </w:t>
      </w:r>
      <w:r w:rsidR="00737270" w:rsidRPr="00D5464D">
        <w:rPr>
          <w:lang w:val="pt-BR"/>
        </w:rPr>
        <w:t>encarregad</w:t>
      </w:r>
      <w:r w:rsidR="0068642A" w:rsidRPr="00D5464D">
        <w:rPr>
          <w:lang w:val="pt-BR"/>
        </w:rPr>
        <w:t>o da</w:t>
      </w:r>
      <w:r w:rsidR="004766BC" w:rsidRPr="00D5464D">
        <w:rPr>
          <w:lang w:val="pt-BR"/>
        </w:rPr>
        <w:t xml:space="preserve"> </w:t>
      </w:r>
      <w:r w:rsidR="00E045D9" w:rsidRPr="00D5464D">
        <w:rPr>
          <w:lang w:val="pt-BR"/>
        </w:rPr>
        <w:t>vigilância</w:t>
      </w:r>
      <w:r w:rsidR="004766BC" w:rsidRPr="00D5464D">
        <w:rPr>
          <w:lang w:val="pt-BR"/>
        </w:rPr>
        <w:t xml:space="preserve"> </w:t>
      </w:r>
      <w:r w:rsidR="00C2784F" w:rsidRPr="00D5464D">
        <w:rPr>
          <w:lang w:val="pt-BR"/>
        </w:rPr>
        <w:t>perguntou a eles,</w:t>
      </w:r>
      <w:r w:rsidR="00FF1290" w:rsidRPr="00D5464D">
        <w:rPr>
          <w:lang w:val="pt-BR"/>
        </w:rPr>
        <w:t xml:space="preserve"> </w:t>
      </w:r>
      <w:r w:rsidR="004766BC" w:rsidRPr="00D5464D">
        <w:rPr>
          <w:lang w:val="pt-BR"/>
        </w:rPr>
        <w:t xml:space="preserve">de forma </w:t>
      </w:r>
      <w:r w:rsidR="00E045D9" w:rsidRPr="00D5464D">
        <w:rPr>
          <w:lang w:val="pt-BR"/>
        </w:rPr>
        <w:t>agressiv</w:t>
      </w:r>
      <w:r w:rsidR="004766BC" w:rsidRPr="00D5464D">
        <w:rPr>
          <w:lang w:val="pt-BR"/>
        </w:rPr>
        <w:t>a</w:t>
      </w:r>
      <w:r w:rsidR="00C2784F" w:rsidRPr="00D5464D">
        <w:rPr>
          <w:lang w:val="pt-BR"/>
        </w:rPr>
        <w:t>,</w:t>
      </w:r>
      <w:r w:rsidR="002C330E" w:rsidRPr="00D5464D">
        <w:rPr>
          <w:lang w:val="pt-BR"/>
        </w:rPr>
        <w:t xml:space="preserve"> se </w:t>
      </w:r>
      <w:r w:rsidR="0068642A" w:rsidRPr="00D5464D">
        <w:rPr>
          <w:lang w:val="pt-BR"/>
        </w:rPr>
        <w:t xml:space="preserve">iam </w:t>
      </w:r>
      <w:r w:rsidR="00E045D9" w:rsidRPr="00D5464D">
        <w:rPr>
          <w:lang w:val="pt-BR"/>
        </w:rPr>
        <w:t>trabalh</w:t>
      </w:r>
      <w:r w:rsidR="004766BC" w:rsidRPr="00D5464D">
        <w:rPr>
          <w:lang w:val="pt-BR"/>
        </w:rPr>
        <w:t>ar,</w:t>
      </w:r>
      <w:r w:rsidR="00470ADC" w:rsidRPr="00D5464D">
        <w:rPr>
          <w:lang w:val="pt-BR"/>
        </w:rPr>
        <w:t xml:space="preserve"> ao </w:t>
      </w:r>
      <w:r w:rsidR="004766BC" w:rsidRPr="00D5464D">
        <w:rPr>
          <w:lang w:val="pt-BR"/>
        </w:rPr>
        <w:t>que</w:t>
      </w:r>
      <w:r w:rsidR="00470ADC" w:rsidRPr="00D5464D">
        <w:rPr>
          <w:lang w:val="pt-BR"/>
        </w:rPr>
        <w:t xml:space="preserve"> ele</w:t>
      </w:r>
      <w:r w:rsidR="004766BC" w:rsidRPr="00D5464D">
        <w:rPr>
          <w:lang w:val="pt-BR"/>
        </w:rPr>
        <w:t>s</w:t>
      </w:r>
      <w:r w:rsidR="00350187" w:rsidRPr="00D5464D">
        <w:rPr>
          <w:lang w:val="pt-BR"/>
        </w:rPr>
        <w:t xml:space="preserve"> </w:t>
      </w:r>
      <w:r w:rsidR="00737270" w:rsidRPr="00D5464D">
        <w:rPr>
          <w:lang w:val="pt-BR"/>
        </w:rPr>
        <w:t>responderam</w:t>
      </w:r>
      <w:r w:rsidR="004766BC" w:rsidRPr="00D5464D">
        <w:rPr>
          <w:lang w:val="pt-BR"/>
        </w:rPr>
        <w:t xml:space="preserve"> que n</w:t>
      </w:r>
      <w:r w:rsidR="0068642A" w:rsidRPr="00D5464D">
        <w:rPr>
          <w:lang w:val="pt-BR"/>
        </w:rPr>
        <w:t>ã</w:t>
      </w:r>
      <w:r w:rsidR="004766BC" w:rsidRPr="00D5464D">
        <w:rPr>
          <w:lang w:val="pt-BR"/>
        </w:rPr>
        <w:t xml:space="preserve">o </w:t>
      </w:r>
      <w:r w:rsidR="00A1358C" w:rsidRPr="00D5464D">
        <w:rPr>
          <w:lang w:val="pt-BR"/>
        </w:rPr>
        <w:t>podiam</w:t>
      </w:r>
      <w:r w:rsidR="004766BC" w:rsidRPr="00D5464D">
        <w:rPr>
          <w:lang w:val="pt-BR"/>
        </w:rPr>
        <w:t xml:space="preserve"> porque </w:t>
      </w:r>
      <w:r w:rsidR="00470ADC" w:rsidRPr="00D5464D">
        <w:rPr>
          <w:lang w:val="pt-BR"/>
        </w:rPr>
        <w:t>estavam</w:t>
      </w:r>
      <w:r w:rsidR="004766BC" w:rsidRPr="00D5464D">
        <w:rPr>
          <w:lang w:val="pt-BR"/>
        </w:rPr>
        <w:t xml:space="preserve"> </w:t>
      </w:r>
      <w:r w:rsidR="0068642A" w:rsidRPr="00D5464D">
        <w:rPr>
          <w:lang w:val="pt-BR"/>
        </w:rPr>
        <w:t>doentes</w:t>
      </w:r>
      <w:r w:rsidR="00A1358C" w:rsidRPr="00D5464D">
        <w:rPr>
          <w:lang w:val="pt-BR"/>
        </w:rPr>
        <w:t xml:space="preserve">. O </w:t>
      </w:r>
      <w:r w:rsidR="0068642A" w:rsidRPr="00D5464D">
        <w:rPr>
          <w:lang w:val="pt-BR"/>
        </w:rPr>
        <w:t>vigia</w:t>
      </w:r>
      <w:r w:rsidR="002C330E" w:rsidRPr="00D5464D">
        <w:rPr>
          <w:lang w:val="pt-BR"/>
        </w:rPr>
        <w:t xml:space="preserve"> os </w:t>
      </w:r>
      <w:r w:rsidR="0068642A" w:rsidRPr="00D5464D">
        <w:rPr>
          <w:lang w:val="pt-BR"/>
        </w:rPr>
        <w:t xml:space="preserve">agrediu, colocou-os num </w:t>
      </w:r>
      <w:r w:rsidR="00737270" w:rsidRPr="00D5464D">
        <w:rPr>
          <w:lang w:val="pt-BR"/>
        </w:rPr>
        <w:t>veículo</w:t>
      </w:r>
      <w:r w:rsidR="00E045D9" w:rsidRPr="00D5464D">
        <w:rPr>
          <w:lang w:val="pt-BR"/>
        </w:rPr>
        <w:t xml:space="preserve"> e </w:t>
      </w:r>
      <w:r w:rsidR="002C330E" w:rsidRPr="00D5464D">
        <w:rPr>
          <w:lang w:val="pt-BR"/>
        </w:rPr>
        <w:t xml:space="preserve">os </w:t>
      </w:r>
      <w:r w:rsidR="00C91CB1" w:rsidRPr="00D5464D">
        <w:rPr>
          <w:lang w:val="pt-BR"/>
        </w:rPr>
        <w:t>levou</w:t>
      </w:r>
      <w:r w:rsidR="00470ADC" w:rsidRPr="00D5464D">
        <w:rPr>
          <w:lang w:val="pt-BR"/>
        </w:rPr>
        <w:t xml:space="preserve"> </w:t>
      </w:r>
      <w:r w:rsidR="0068642A" w:rsidRPr="00D5464D">
        <w:rPr>
          <w:lang w:val="pt-BR"/>
        </w:rPr>
        <w:t xml:space="preserve">ao escritório </w:t>
      </w:r>
      <w:r w:rsidR="004766BC" w:rsidRPr="00D5464D">
        <w:rPr>
          <w:lang w:val="pt-BR"/>
        </w:rPr>
        <w:t>central</w:t>
      </w:r>
      <w:r w:rsidR="00470ADC" w:rsidRPr="00D5464D">
        <w:rPr>
          <w:lang w:val="pt-BR"/>
        </w:rPr>
        <w:t xml:space="preserve"> da </w:t>
      </w:r>
      <w:r w:rsidR="00D809F0" w:rsidRPr="00D5464D">
        <w:rPr>
          <w:lang w:val="pt-BR"/>
        </w:rPr>
        <w:t>fazenda</w:t>
      </w:r>
      <w:r w:rsidR="004766BC" w:rsidRPr="00D5464D">
        <w:rPr>
          <w:lang w:val="pt-BR"/>
        </w:rPr>
        <w:t xml:space="preserve">. </w:t>
      </w:r>
      <w:r w:rsidR="00737270" w:rsidRPr="00D5464D">
        <w:rPr>
          <w:lang w:val="pt-BR"/>
        </w:rPr>
        <w:t>Ali</w:t>
      </w:r>
      <w:r w:rsidR="004766BC" w:rsidRPr="00D5464D">
        <w:rPr>
          <w:lang w:val="pt-BR"/>
        </w:rPr>
        <w:t xml:space="preserve">, </w:t>
      </w:r>
      <w:r w:rsidR="0068642A" w:rsidRPr="00D5464D">
        <w:rPr>
          <w:lang w:val="pt-BR"/>
        </w:rPr>
        <w:t xml:space="preserve">agrediram </w:t>
      </w:r>
      <w:r w:rsidR="002C330E" w:rsidRPr="00D5464D">
        <w:rPr>
          <w:lang w:val="pt-BR"/>
        </w:rPr>
        <w:t>nova</w:t>
      </w:r>
      <w:r w:rsidR="004766BC" w:rsidRPr="00D5464D">
        <w:rPr>
          <w:lang w:val="pt-BR"/>
        </w:rPr>
        <w:t xml:space="preserve">mente </w:t>
      </w:r>
      <w:r w:rsidR="00D47B1B" w:rsidRPr="00D5464D">
        <w:rPr>
          <w:rFonts w:cs="Times New Roman"/>
          <w:szCs w:val="20"/>
          <w:lang w:val="pt-BR"/>
        </w:rPr>
        <w:t>José Francisco Furtado de Sousa</w:t>
      </w:r>
      <w:r w:rsidR="00D47B1B" w:rsidRPr="00D5464D">
        <w:rPr>
          <w:lang w:val="pt-BR"/>
        </w:rPr>
        <w:t xml:space="preserve"> </w:t>
      </w:r>
      <w:r w:rsidR="00E045D9" w:rsidRPr="00D5464D">
        <w:rPr>
          <w:lang w:val="pt-BR"/>
        </w:rPr>
        <w:t>e</w:t>
      </w:r>
      <w:r w:rsidR="00350187" w:rsidRPr="00D5464D">
        <w:rPr>
          <w:lang w:val="pt-BR"/>
        </w:rPr>
        <w:t xml:space="preserve"> lhe </w:t>
      </w:r>
      <w:r w:rsidR="00C91CB1" w:rsidRPr="00D5464D">
        <w:rPr>
          <w:lang w:val="pt-BR"/>
        </w:rPr>
        <w:t>disseram</w:t>
      </w:r>
      <w:r w:rsidR="004766BC" w:rsidRPr="00D5464D">
        <w:rPr>
          <w:lang w:val="pt-BR"/>
        </w:rPr>
        <w:t xml:space="preserve"> que</w:t>
      </w:r>
      <w:r w:rsidR="00350187" w:rsidRPr="00D5464D">
        <w:rPr>
          <w:lang w:val="pt-BR"/>
        </w:rPr>
        <w:t xml:space="preserve"> </w:t>
      </w:r>
      <w:r w:rsidR="004766BC" w:rsidRPr="00D5464D">
        <w:rPr>
          <w:lang w:val="pt-BR"/>
        </w:rPr>
        <w:t>arrancar</w:t>
      </w:r>
      <w:r w:rsidR="0068642A" w:rsidRPr="00D5464D">
        <w:rPr>
          <w:lang w:val="pt-BR"/>
        </w:rPr>
        <w:t>iam</w:t>
      </w:r>
      <w:r w:rsidR="002C330E" w:rsidRPr="00D5464D">
        <w:rPr>
          <w:lang w:val="pt-BR"/>
        </w:rPr>
        <w:t xml:space="preserve"> </w:t>
      </w:r>
      <w:r w:rsidR="00C2784F" w:rsidRPr="00D5464D">
        <w:rPr>
          <w:lang w:val="pt-BR"/>
        </w:rPr>
        <w:t>su</w:t>
      </w:r>
      <w:r w:rsidR="002C330E" w:rsidRPr="00D5464D">
        <w:rPr>
          <w:lang w:val="pt-BR"/>
        </w:rPr>
        <w:t xml:space="preserve">a </w:t>
      </w:r>
      <w:r w:rsidR="004766BC" w:rsidRPr="00D5464D">
        <w:rPr>
          <w:lang w:val="pt-BR"/>
        </w:rPr>
        <w:t>pró</w:t>
      </w:r>
      <w:r w:rsidR="00E045D9" w:rsidRPr="00D5464D">
        <w:rPr>
          <w:lang w:val="pt-BR"/>
        </w:rPr>
        <w:t>tese</w:t>
      </w:r>
      <w:r w:rsidR="00470ADC" w:rsidRPr="00D5464D">
        <w:rPr>
          <w:lang w:val="pt-BR"/>
        </w:rPr>
        <w:t xml:space="preserve"> da </w:t>
      </w:r>
      <w:r w:rsidR="00737270" w:rsidRPr="00D5464D">
        <w:rPr>
          <w:lang w:val="pt-BR"/>
        </w:rPr>
        <w:t>perna</w:t>
      </w:r>
      <w:r w:rsidR="004766BC" w:rsidRPr="00D5464D">
        <w:rPr>
          <w:lang w:val="pt-BR"/>
        </w:rPr>
        <w:t xml:space="preserve">. </w:t>
      </w:r>
      <w:r w:rsidR="00737270" w:rsidRPr="00D5464D">
        <w:rPr>
          <w:lang w:val="pt-BR"/>
        </w:rPr>
        <w:t>Um dos</w:t>
      </w:r>
      <w:r w:rsidR="00470ADC" w:rsidRPr="00D5464D">
        <w:rPr>
          <w:lang w:val="pt-BR"/>
        </w:rPr>
        <w:t xml:space="preserve"> </w:t>
      </w:r>
      <w:r w:rsidR="0081288E" w:rsidRPr="00D5464D">
        <w:rPr>
          <w:lang w:val="pt-BR"/>
        </w:rPr>
        <w:t xml:space="preserve">seguranças </w:t>
      </w:r>
      <w:r w:rsidR="00C91CB1" w:rsidRPr="00D5464D">
        <w:rPr>
          <w:lang w:val="pt-BR"/>
        </w:rPr>
        <w:t>ameaçou</w:t>
      </w:r>
      <w:r w:rsidR="00470ADC" w:rsidRPr="00D5464D">
        <w:rPr>
          <w:lang w:val="pt-BR"/>
        </w:rPr>
        <w:t xml:space="preserve"> </w:t>
      </w:r>
      <w:r w:rsidR="004766BC" w:rsidRPr="00D5464D">
        <w:rPr>
          <w:lang w:val="pt-BR"/>
        </w:rPr>
        <w:t>amarr</w:t>
      </w:r>
      <w:r w:rsidR="00A1358C" w:rsidRPr="00D5464D">
        <w:rPr>
          <w:lang w:val="pt-BR"/>
        </w:rPr>
        <w:t xml:space="preserve">á-los </w:t>
      </w:r>
      <w:r w:rsidR="004766BC" w:rsidRPr="00D5464D">
        <w:rPr>
          <w:lang w:val="pt-BR"/>
        </w:rPr>
        <w:t xml:space="preserve">durante 15 </w:t>
      </w:r>
      <w:r w:rsidR="00470ADC" w:rsidRPr="00D5464D">
        <w:rPr>
          <w:lang w:val="pt-BR"/>
        </w:rPr>
        <w:t>dia</w:t>
      </w:r>
      <w:r w:rsidR="004766BC" w:rsidRPr="00D5464D">
        <w:rPr>
          <w:lang w:val="pt-BR"/>
        </w:rPr>
        <w:t xml:space="preserve">s e </w:t>
      </w:r>
      <w:r w:rsidR="00350187" w:rsidRPr="00D5464D">
        <w:rPr>
          <w:lang w:val="pt-BR"/>
        </w:rPr>
        <w:t>inclusive</w:t>
      </w:r>
      <w:r w:rsidR="005C377A" w:rsidRPr="00D5464D">
        <w:rPr>
          <w:lang w:val="pt-BR"/>
        </w:rPr>
        <w:t xml:space="preserve"> mat</w:t>
      </w:r>
      <w:r w:rsidR="00A1358C" w:rsidRPr="00D5464D">
        <w:rPr>
          <w:lang w:val="pt-BR"/>
        </w:rPr>
        <w:t xml:space="preserve">á-los </w:t>
      </w:r>
      <w:r w:rsidR="00737270" w:rsidRPr="00D5464D">
        <w:rPr>
          <w:lang w:val="pt-BR"/>
        </w:rPr>
        <w:t>nesse</w:t>
      </w:r>
      <w:r w:rsidR="00470ADC" w:rsidRPr="00D5464D">
        <w:rPr>
          <w:lang w:val="pt-BR"/>
        </w:rPr>
        <w:t xml:space="preserve"> </w:t>
      </w:r>
      <w:r w:rsidR="005C377A" w:rsidRPr="00D5464D">
        <w:rPr>
          <w:lang w:val="pt-BR"/>
        </w:rPr>
        <w:t>instante</w:t>
      </w:r>
      <w:r w:rsidR="00C91CB1" w:rsidRPr="00D5464D">
        <w:rPr>
          <w:lang w:val="pt-BR"/>
        </w:rPr>
        <w:t xml:space="preserve">. Os </w:t>
      </w:r>
      <w:r w:rsidR="004766BC" w:rsidRPr="00D5464D">
        <w:rPr>
          <w:lang w:val="pt-BR"/>
        </w:rPr>
        <w:t>do</w:t>
      </w:r>
      <w:r w:rsidR="0081288E" w:rsidRPr="00D5464D">
        <w:rPr>
          <w:lang w:val="pt-BR"/>
        </w:rPr>
        <w:t>i</w:t>
      </w:r>
      <w:r w:rsidR="004766BC" w:rsidRPr="00D5464D">
        <w:rPr>
          <w:lang w:val="pt-BR"/>
        </w:rPr>
        <w:t xml:space="preserve">s </w:t>
      </w:r>
      <w:r w:rsidR="00E045D9" w:rsidRPr="00D5464D">
        <w:rPr>
          <w:lang w:val="pt-BR"/>
        </w:rPr>
        <w:t>jovens</w:t>
      </w:r>
      <w:r w:rsidR="004766BC" w:rsidRPr="00D5464D">
        <w:rPr>
          <w:lang w:val="pt-BR"/>
        </w:rPr>
        <w:t xml:space="preserve"> </w:t>
      </w:r>
      <w:r w:rsidR="00EB1CE9" w:rsidRPr="00D5464D">
        <w:rPr>
          <w:lang w:val="pt-BR"/>
        </w:rPr>
        <w:t>sentiram</w:t>
      </w:r>
      <w:r w:rsidR="004766BC" w:rsidRPr="00D5464D">
        <w:rPr>
          <w:lang w:val="pt-BR"/>
        </w:rPr>
        <w:t xml:space="preserve"> </w:t>
      </w:r>
      <w:r w:rsidR="002C330E" w:rsidRPr="00D5464D">
        <w:rPr>
          <w:lang w:val="pt-BR"/>
        </w:rPr>
        <w:t>muito</w:t>
      </w:r>
      <w:r w:rsidR="0081288E" w:rsidRPr="00D5464D">
        <w:rPr>
          <w:lang w:val="pt-BR"/>
        </w:rPr>
        <w:t xml:space="preserve"> m</w:t>
      </w:r>
      <w:r w:rsidR="004766BC" w:rsidRPr="00D5464D">
        <w:rPr>
          <w:lang w:val="pt-BR"/>
        </w:rPr>
        <w:t>edo</w:t>
      </w:r>
      <w:r w:rsidR="00A1358C" w:rsidRPr="00D5464D">
        <w:rPr>
          <w:lang w:val="pt-BR"/>
        </w:rPr>
        <w:t xml:space="preserve">. O </w:t>
      </w:r>
      <w:r w:rsidR="0081288E" w:rsidRPr="00D5464D">
        <w:rPr>
          <w:lang w:val="pt-BR"/>
        </w:rPr>
        <w:t xml:space="preserve">segurança </w:t>
      </w:r>
      <w:r w:rsidR="002C330E" w:rsidRPr="00D5464D">
        <w:rPr>
          <w:lang w:val="pt-BR"/>
        </w:rPr>
        <w:t xml:space="preserve">os </w:t>
      </w:r>
      <w:r w:rsidR="00C91CB1" w:rsidRPr="00D5464D">
        <w:rPr>
          <w:lang w:val="pt-BR"/>
        </w:rPr>
        <w:t>levou</w:t>
      </w:r>
      <w:r w:rsidR="0081288E" w:rsidRPr="00D5464D">
        <w:rPr>
          <w:lang w:val="pt-BR"/>
        </w:rPr>
        <w:t xml:space="preserve"> até</w:t>
      </w:r>
      <w:r w:rsidR="003F5751" w:rsidRPr="00D5464D">
        <w:rPr>
          <w:lang w:val="pt-BR"/>
        </w:rPr>
        <w:t xml:space="preserve"> a</w:t>
      </w:r>
      <w:r w:rsidR="00470ADC" w:rsidRPr="00D5464D">
        <w:rPr>
          <w:lang w:val="pt-BR"/>
        </w:rPr>
        <w:t xml:space="preserve"> </w:t>
      </w:r>
      <w:r w:rsidR="004766BC" w:rsidRPr="00D5464D">
        <w:rPr>
          <w:lang w:val="pt-BR"/>
        </w:rPr>
        <w:t xml:space="preserve">parte </w:t>
      </w:r>
      <w:r w:rsidR="003F5751" w:rsidRPr="00D5464D">
        <w:rPr>
          <w:lang w:val="pt-BR"/>
        </w:rPr>
        <w:t xml:space="preserve">detrás </w:t>
      </w:r>
      <w:r w:rsidR="00470ADC" w:rsidRPr="00D5464D">
        <w:rPr>
          <w:lang w:val="pt-BR"/>
        </w:rPr>
        <w:t xml:space="preserve">da </w:t>
      </w:r>
      <w:r w:rsidR="0081288E" w:rsidRPr="00D5464D">
        <w:rPr>
          <w:lang w:val="pt-BR"/>
        </w:rPr>
        <w:t>casa</w:t>
      </w:r>
      <w:r w:rsidR="004766BC" w:rsidRPr="00D5464D">
        <w:rPr>
          <w:lang w:val="pt-BR"/>
        </w:rPr>
        <w:t>,</w:t>
      </w:r>
      <w:r w:rsidR="002C330E" w:rsidRPr="00D5464D">
        <w:rPr>
          <w:lang w:val="pt-BR"/>
        </w:rPr>
        <w:t xml:space="preserve"> </w:t>
      </w:r>
      <w:r w:rsidR="0081288E" w:rsidRPr="00D5464D">
        <w:rPr>
          <w:lang w:val="pt-BR"/>
        </w:rPr>
        <w:t xml:space="preserve">continuou agredindo-os </w:t>
      </w:r>
      <w:r w:rsidR="00E045D9" w:rsidRPr="00D5464D">
        <w:rPr>
          <w:lang w:val="pt-BR"/>
        </w:rPr>
        <w:t>e</w:t>
      </w:r>
      <w:r w:rsidR="00C2784F" w:rsidRPr="00D5464D">
        <w:rPr>
          <w:lang w:val="pt-BR"/>
        </w:rPr>
        <w:t>,</w:t>
      </w:r>
      <w:r w:rsidR="00E045D9" w:rsidRPr="00D5464D">
        <w:rPr>
          <w:lang w:val="pt-BR"/>
        </w:rPr>
        <w:t xml:space="preserve"> </w:t>
      </w:r>
      <w:r w:rsidR="0081288E" w:rsidRPr="00D5464D">
        <w:rPr>
          <w:lang w:val="pt-BR"/>
        </w:rPr>
        <w:t>em seguida</w:t>
      </w:r>
      <w:r w:rsidR="00C2784F" w:rsidRPr="00D5464D">
        <w:rPr>
          <w:lang w:val="pt-BR"/>
        </w:rPr>
        <w:t>,</w:t>
      </w:r>
      <w:r w:rsidR="0081288E" w:rsidRPr="00D5464D">
        <w:rPr>
          <w:lang w:val="pt-BR"/>
        </w:rPr>
        <w:t xml:space="preserve"> </w:t>
      </w:r>
      <w:r w:rsidR="00470ADC" w:rsidRPr="00D5464D">
        <w:rPr>
          <w:lang w:val="pt-BR"/>
        </w:rPr>
        <w:t xml:space="preserve">foi </w:t>
      </w:r>
      <w:r w:rsidR="004766BC" w:rsidRPr="00D5464D">
        <w:rPr>
          <w:lang w:val="pt-BR"/>
        </w:rPr>
        <w:t>conversar</w:t>
      </w:r>
      <w:r w:rsidR="00470ADC" w:rsidRPr="00D5464D">
        <w:rPr>
          <w:lang w:val="pt-BR"/>
        </w:rPr>
        <w:t xml:space="preserve"> com</w:t>
      </w:r>
      <w:r w:rsidR="002C330E" w:rsidRPr="00D5464D">
        <w:rPr>
          <w:lang w:val="pt-BR"/>
        </w:rPr>
        <w:t xml:space="preserve"> os </w:t>
      </w:r>
      <w:r w:rsidR="00470ADC" w:rsidRPr="00D5464D">
        <w:rPr>
          <w:lang w:val="pt-BR"/>
        </w:rPr>
        <w:t>demais</w:t>
      </w:r>
      <w:r w:rsidR="005C377A" w:rsidRPr="00D5464D">
        <w:rPr>
          <w:lang w:val="pt-BR"/>
        </w:rPr>
        <w:t xml:space="preserve"> </w:t>
      </w:r>
      <w:r w:rsidR="00737270" w:rsidRPr="00D5464D">
        <w:rPr>
          <w:lang w:val="pt-BR"/>
        </w:rPr>
        <w:t>encarregad</w:t>
      </w:r>
      <w:r w:rsidR="005C377A" w:rsidRPr="00D5464D">
        <w:rPr>
          <w:lang w:val="pt-BR"/>
        </w:rPr>
        <w:t>os</w:t>
      </w:r>
      <w:r w:rsidR="00470ADC" w:rsidRPr="00D5464D">
        <w:rPr>
          <w:lang w:val="pt-BR"/>
        </w:rPr>
        <w:t xml:space="preserve"> da </w:t>
      </w:r>
      <w:r w:rsidR="00D809F0" w:rsidRPr="00D5464D">
        <w:rPr>
          <w:lang w:val="pt-BR"/>
        </w:rPr>
        <w:t>fazenda</w:t>
      </w:r>
      <w:r w:rsidR="00C91CB1" w:rsidRPr="00D5464D">
        <w:rPr>
          <w:lang w:val="pt-BR"/>
        </w:rPr>
        <w:t xml:space="preserve">. Os </w:t>
      </w:r>
      <w:r w:rsidR="00E045D9" w:rsidRPr="00D5464D">
        <w:rPr>
          <w:lang w:val="pt-BR"/>
        </w:rPr>
        <w:t>jovens</w:t>
      </w:r>
      <w:r w:rsidR="004766BC" w:rsidRPr="00D5464D">
        <w:rPr>
          <w:lang w:val="pt-BR"/>
        </w:rPr>
        <w:t xml:space="preserve"> </w:t>
      </w:r>
      <w:r w:rsidR="00230C71" w:rsidRPr="00D5464D">
        <w:rPr>
          <w:lang w:val="pt-BR"/>
        </w:rPr>
        <w:t>aproveit</w:t>
      </w:r>
      <w:r w:rsidR="00350187" w:rsidRPr="00D5464D">
        <w:rPr>
          <w:lang w:val="pt-BR"/>
        </w:rPr>
        <w:t xml:space="preserve">aram </w:t>
      </w:r>
      <w:r w:rsidR="00470ADC" w:rsidRPr="00D5464D">
        <w:rPr>
          <w:lang w:val="pt-BR"/>
        </w:rPr>
        <w:t xml:space="preserve">esse </w:t>
      </w:r>
      <w:r w:rsidR="004766BC" w:rsidRPr="00D5464D">
        <w:rPr>
          <w:lang w:val="pt-BR"/>
        </w:rPr>
        <w:t xml:space="preserve">momento para </w:t>
      </w:r>
      <w:r w:rsidR="0081288E" w:rsidRPr="00D5464D">
        <w:rPr>
          <w:lang w:val="pt-BR"/>
        </w:rPr>
        <w:t>fugir</w:t>
      </w:r>
      <w:r w:rsidR="004766BC" w:rsidRPr="00D5464D">
        <w:rPr>
          <w:lang w:val="pt-BR"/>
        </w:rPr>
        <w:t xml:space="preserve">. </w:t>
      </w:r>
      <w:r w:rsidR="0081288E" w:rsidRPr="00D5464D">
        <w:rPr>
          <w:lang w:val="pt-BR"/>
        </w:rPr>
        <w:t xml:space="preserve">Caminharam pela mata, </w:t>
      </w:r>
      <w:r w:rsidR="004766BC" w:rsidRPr="00D5464D">
        <w:rPr>
          <w:lang w:val="pt-BR"/>
        </w:rPr>
        <w:t xml:space="preserve">porque </w:t>
      </w:r>
      <w:r w:rsidR="00E045D9" w:rsidRPr="00D5464D">
        <w:rPr>
          <w:lang w:val="pt-BR"/>
        </w:rPr>
        <w:t>tinham</w:t>
      </w:r>
      <w:r w:rsidR="002C330E" w:rsidRPr="00D5464D">
        <w:rPr>
          <w:lang w:val="pt-BR"/>
        </w:rPr>
        <w:t xml:space="preserve"> medo </w:t>
      </w:r>
      <w:r w:rsidR="004766BC" w:rsidRPr="00D5464D">
        <w:rPr>
          <w:lang w:val="pt-BR"/>
        </w:rPr>
        <w:t>de que</w:t>
      </w:r>
      <w:r w:rsidR="002C330E" w:rsidRPr="00D5464D">
        <w:rPr>
          <w:lang w:val="pt-BR"/>
        </w:rPr>
        <w:t xml:space="preserve"> </w:t>
      </w:r>
      <w:r w:rsidR="0081288E" w:rsidRPr="00D5464D">
        <w:rPr>
          <w:lang w:val="pt-BR"/>
        </w:rPr>
        <w:t xml:space="preserve">fossem encontrados se fugissem </w:t>
      </w:r>
      <w:r w:rsidR="002C330E" w:rsidRPr="00D5464D">
        <w:rPr>
          <w:lang w:val="pt-BR"/>
        </w:rPr>
        <w:t xml:space="preserve">pela </w:t>
      </w:r>
      <w:r w:rsidR="00EB1CE9" w:rsidRPr="00D5464D">
        <w:rPr>
          <w:lang w:val="pt-BR"/>
        </w:rPr>
        <w:t>estrada</w:t>
      </w:r>
      <w:r w:rsidR="0081288E" w:rsidRPr="00D5464D">
        <w:rPr>
          <w:lang w:val="pt-BR"/>
        </w:rPr>
        <w:t>, beb</w:t>
      </w:r>
      <w:r w:rsidR="004766BC" w:rsidRPr="00D5464D">
        <w:rPr>
          <w:lang w:val="pt-BR"/>
        </w:rPr>
        <w:t>endo</w:t>
      </w:r>
      <w:r w:rsidR="00230C71" w:rsidRPr="00D5464D">
        <w:rPr>
          <w:lang w:val="pt-BR"/>
        </w:rPr>
        <w:t xml:space="preserve"> água </w:t>
      </w:r>
      <w:r w:rsidR="00470ADC" w:rsidRPr="00D5464D">
        <w:rPr>
          <w:lang w:val="pt-BR"/>
        </w:rPr>
        <w:t xml:space="preserve">do </w:t>
      </w:r>
      <w:r w:rsidR="0081288E" w:rsidRPr="00D5464D">
        <w:rPr>
          <w:lang w:val="pt-BR"/>
        </w:rPr>
        <w:t xml:space="preserve">chão </w:t>
      </w:r>
      <w:r w:rsidR="00E045D9" w:rsidRPr="00D5464D">
        <w:rPr>
          <w:lang w:val="pt-BR"/>
        </w:rPr>
        <w:t xml:space="preserve">e </w:t>
      </w:r>
      <w:r w:rsidR="00470ADC" w:rsidRPr="00D5464D">
        <w:rPr>
          <w:lang w:val="pt-BR"/>
        </w:rPr>
        <w:t xml:space="preserve">dos </w:t>
      </w:r>
      <w:r w:rsidR="0081288E" w:rsidRPr="00D5464D">
        <w:rPr>
          <w:lang w:val="pt-BR"/>
        </w:rPr>
        <w:t>ri</w:t>
      </w:r>
      <w:r w:rsidR="004766BC" w:rsidRPr="00D5464D">
        <w:rPr>
          <w:lang w:val="pt-BR"/>
        </w:rPr>
        <w:t xml:space="preserve">os que </w:t>
      </w:r>
      <w:r w:rsidR="00470ADC" w:rsidRPr="00D5464D">
        <w:rPr>
          <w:lang w:val="pt-BR"/>
        </w:rPr>
        <w:t xml:space="preserve">encontravam </w:t>
      </w:r>
      <w:r w:rsidR="0081288E" w:rsidRPr="00D5464D">
        <w:rPr>
          <w:lang w:val="pt-BR"/>
        </w:rPr>
        <w:t>pelo caminho</w:t>
      </w:r>
      <w:r w:rsidR="004766BC" w:rsidRPr="00D5464D">
        <w:rPr>
          <w:vertAlign w:val="superscript"/>
          <w:lang w:val="pt-BR"/>
        </w:rPr>
        <w:footnoteReference w:id="186"/>
      </w:r>
      <w:r w:rsidR="0081288E" w:rsidRPr="00D5464D">
        <w:rPr>
          <w:lang w:val="pt-BR"/>
        </w:rPr>
        <w:t>.</w:t>
      </w:r>
      <w:r w:rsidR="004766BC" w:rsidRPr="00D5464D">
        <w:rPr>
          <w:lang w:val="pt-BR"/>
        </w:rPr>
        <w:t xml:space="preserve"> </w:t>
      </w:r>
    </w:p>
    <w:p w14:paraId="6788CCA6" w14:textId="77777777" w:rsidR="004766BC" w:rsidRPr="00D5464D" w:rsidRDefault="004766BC" w:rsidP="004766BC">
      <w:pPr>
        <w:pStyle w:val="Prrafodelista"/>
        <w:ind w:left="0"/>
        <w:rPr>
          <w:lang w:val="pt-BR"/>
        </w:rPr>
      </w:pPr>
    </w:p>
    <w:p w14:paraId="061FFAB6" w14:textId="48AB05BD" w:rsidR="004766BC" w:rsidRPr="00D5464D" w:rsidRDefault="004766BC" w:rsidP="004766BC">
      <w:pPr>
        <w:pStyle w:val="Prrafodelista"/>
        <w:numPr>
          <w:ilvl w:val="0"/>
          <w:numId w:val="1"/>
        </w:numPr>
        <w:contextualSpacing w:val="0"/>
        <w:rPr>
          <w:lang w:val="pt-BR"/>
        </w:rPr>
      </w:pPr>
      <w:r w:rsidRPr="00D5464D">
        <w:rPr>
          <w:lang w:val="pt-BR"/>
        </w:rPr>
        <w:t>Posteriormente,</w:t>
      </w:r>
      <w:r w:rsidR="002C330E" w:rsidRPr="00D5464D">
        <w:rPr>
          <w:lang w:val="pt-BR"/>
        </w:rPr>
        <w:t xml:space="preserve"> os </w:t>
      </w:r>
      <w:r w:rsidR="00E045D9" w:rsidRPr="00D5464D">
        <w:rPr>
          <w:lang w:val="pt-BR"/>
        </w:rPr>
        <w:t>jovens</w:t>
      </w:r>
      <w:r w:rsidRPr="00D5464D">
        <w:rPr>
          <w:lang w:val="pt-BR"/>
        </w:rPr>
        <w:t xml:space="preserve"> </w:t>
      </w:r>
      <w:r w:rsidR="002C330E" w:rsidRPr="00D5464D">
        <w:rPr>
          <w:lang w:val="pt-BR"/>
        </w:rPr>
        <w:t>chegaram</w:t>
      </w:r>
      <w:r w:rsidRPr="00D5464D">
        <w:rPr>
          <w:lang w:val="pt-BR"/>
        </w:rPr>
        <w:t xml:space="preserve"> a</w:t>
      </w:r>
      <w:r w:rsidR="00E045D9" w:rsidRPr="00D5464D">
        <w:rPr>
          <w:lang w:val="pt-BR"/>
        </w:rPr>
        <w:t xml:space="preserve"> uma </w:t>
      </w:r>
      <w:r w:rsidR="00EB1CE9" w:rsidRPr="00D5464D">
        <w:rPr>
          <w:lang w:val="pt-BR"/>
        </w:rPr>
        <w:t>estrada</w:t>
      </w:r>
      <w:r w:rsidRPr="00D5464D">
        <w:rPr>
          <w:lang w:val="pt-BR"/>
        </w:rPr>
        <w:t xml:space="preserve">. </w:t>
      </w:r>
      <w:r w:rsidR="00E045D9" w:rsidRPr="00D5464D">
        <w:rPr>
          <w:lang w:val="pt-BR"/>
        </w:rPr>
        <w:t>Conseguiram</w:t>
      </w:r>
      <w:r w:rsidRPr="00D5464D">
        <w:rPr>
          <w:lang w:val="pt-BR"/>
        </w:rPr>
        <w:t xml:space="preserve"> </w:t>
      </w:r>
      <w:r w:rsidR="0081288E" w:rsidRPr="00D5464D">
        <w:rPr>
          <w:lang w:val="pt-BR"/>
        </w:rPr>
        <w:t>parar</w:t>
      </w:r>
      <w:r w:rsidRPr="00D5464D">
        <w:rPr>
          <w:lang w:val="pt-BR"/>
        </w:rPr>
        <w:t xml:space="preserve"> </w:t>
      </w:r>
      <w:r w:rsidR="00E045D9" w:rsidRPr="00D5464D">
        <w:rPr>
          <w:lang w:val="pt-BR"/>
        </w:rPr>
        <w:t xml:space="preserve">um </w:t>
      </w:r>
      <w:r w:rsidR="00C91CB1" w:rsidRPr="00D5464D">
        <w:rPr>
          <w:lang w:val="pt-BR"/>
        </w:rPr>
        <w:t>caminhão</w:t>
      </w:r>
      <w:r w:rsidRPr="00D5464D">
        <w:rPr>
          <w:lang w:val="pt-BR"/>
        </w:rPr>
        <w:t xml:space="preserve"> de transporte de gasolina que</w:t>
      </w:r>
      <w:r w:rsidR="00A1358C" w:rsidRPr="00D5464D">
        <w:rPr>
          <w:lang w:val="pt-BR"/>
        </w:rPr>
        <w:t xml:space="preserve"> passava</w:t>
      </w:r>
      <w:r w:rsidRPr="00D5464D">
        <w:rPr>
          <w:lang w:val="pt-BR"/>
        </w:rPr>
        <w:t xml:space="preserve"> por</w:t>
      </w:r>
      <w:r w:rsidR="00470ADC" w:rsidRPr="00D5464D">
        <w:rPr>
          <w:lang w:val="pt-BR"/>
        </w:rPr>
        <w:t xml:space="preserve"> onde ele</w:t>
      </w:r>
      <w:r w:rsidRPr="00D5464D">
        <w:rPr>
          <w:lang w:val="pt-BR"/>
        </w:rPr>
        <w:t xml:space="preserve">s se </w:t>
      </w:r>
      <w:r w:rsidR="00470ADC" w:rsidRPr="00D5464D">
        <w:rPr>
          <w:lang w:val="pt-BR"/>
        </w:rPr>
        <w:t>encontravam</w:t>
      </w:r>
      <w:r w:rsidRPr="00D5464D">
        <w:rPr>
          <w:lang w:val="pt-BR"/>
        </w:rPr>
        <w:t>,</w:t>
      </w:r>
      <w:r w:rsidR="00350187" w:rsidRPr="00D5464D">
        <w:rPr>
          <w:lang w:val="pt-BR"/>
        </w:rPr>
        <w:t xml:space="preserve"> </w:t>
      </w:r>
      <w:r w:rsidR="00A1358C" w:rsidRPr="00D5464D">
        <w:rPr>
          <w:lang w:val="pt-BR"/>
        </w:rPr>
        <w:t>contaram</w:t>
      </w:r>
      <w:r w:rsidR="00470ADC" w:rsidRPr="00D5464D">
        <w:rPr>
          <w:lang w:val="pt-BR"/>
        </w:rPr>
        <w:t xml:space="preserve"> ao </w:t>
      </w:r>
      <w:r w:rsidR="00EB1CE9" w:rsidRPr="00D5464D">
        <w:rPr>
          <w:lang w:val="pt-BR"/>
        </w:rPr>
        <w:t>motorista</w:t>
      </w:r>
      <w:r w:rsidRPr="00D5464D">
        <w:rPr>
          <w:lang w:val="pt-BR"/>
        </w:rPr>
        <w:t xml:space="preserve"> </w:t>
      </w:r>
      <w:r w:rsidR="00230C71" w:rsidRPr="00D5464D">
        <w:rPr>
          <w:lang w:val="pt-BR"/>
        </w:rPr>
        <w:t>sua história</w:t>
      </w:r>
      <w:r w:rsidR="00E045D9" w:rsidRPr="00D5464D">
        <w:rPr>
          <w:lang w:val="pt-BR"/>
        </w:rPr>
        <w:t xml:space="preserve"> e </w:t>
      </w:r>
      <w:r w:rsidR="00A74771" w:rsidRPr="00D5464D">
        <w:rPr>
          <w:lang w:val="pt-BR"/>
        </w:rPr>
        <w:t xml:space="preserve">este </w:t>
      </w:r>
      <w:r w:rsidR="0081288E" w:rsidRPr="00D5464D">
        <w:rPr>
          <w:lang w:val="pt-BR"/>
        </w:rPr>
        <w:t xml:space="preserve">concordou em </w:t>
      </w:r>
      <w:r w:rsidR="002C330E" w:rsidRPr="00D5464D">
        <w:rPr>
          <w:lang w:val="pt-BR"/>
        </w:rPr>
        <w:t>lev</w:t>
      </w:r>
      <w:r w:rsidR="00A1358C" w:rsidRPr="00D5464D">
        <w:rPr>
          <w:lang w:val="pt-BR"/>
        </w:rPr>
        <w:t xml:space="preserve">á-los </w:t>
      </w:r>
      <w:r w:rsidR="002C330E" w:rsidRPr="00D5464D">
        <w:rPr>
          <w:lang w:val="pt-BR"/>
        </w:rPr>
        <w:t xml:space="preserve">até a </w:t>
      </w:r>
      <w:r w:rsidR="00470ADC" w:rsidRPr="00D5464D">
        <w:rPr>
          <w:lang w:val="pt-BR"/>
        </w:rPr>
        <w:t>cidade</w:t>
      </w:r>
      <w:r w:rsidRPr="00D5464D">
        <w:rPr>
          <w:lang w:val="pt-BR"/>
        </w:rPr>
        <w:t xml:space="preserve"> de Marabá. </w:t>
      </w:r>
      <w:r w:rsidR="00470ADC" w:rsidRPr="00D5464D">
        <w:rPr>
          <w:lang w:val="pt-BR"/>
        </w:rPr>
        <w:t>Quando</w:t>
      </w:r>
      <w:r w:rsidR="002C330E" w:rsidRPr="00D5464D">
        <w:rPr>
          <w:lang w:val="pt-BR"/>
        </w:rPr>
        <w:t xml:space="preserve"> os </w:t>
      </w:r>
      <w:r w:rsidR="00E045D9" w:rsidRPr="00D5464D">
        <w:rPr>
          <w:lang w:val="pt-BR"/>
        </w:rPr>
        <w:t>jovens</w:t>
      </w:r>
      <w:r w:rsidRPr="00D5464D">
        <w:rPr>
          <w:lang w:val="pt-BR"/>
        </w:rPr>
        <w:t xml:space="preserve"> </w:t>
      </w:r>
      <w:r w:rsidR="00E045D9" w:rsidRPr="00D5464D">
        <w:rPr>
          <w:lang w:val="pt-BR"/>
        </w:rPr>
        <w:t>encontraram</w:t>
      </w:r>
      <w:r w:rsidR="002C330E" w:rsidRPr="00D5464D">
        <w:rPr>
          <w:lang w:val="pt-BR"/>
        </w:rPr>
        <w:t xml:space="preserve"> a </w:t>
      </w:r>
      <w:r w:rsidR="0081288E" w:rsidRPr="00D5464D">
        <w:rPr>
          <w:lang w:val="pt-BR"/>
        </w:rPr>
        <w:t>delegacia de</w:t>
      </w:r>
      <w:r w:rsidR="00470ADC" w:rsidRPr="00D5464D">
        <w:rPr>
          <w:lang w:val="pt-BR"/>
        </w:rPr>
        <w:t xml:space="preserve"> </w:t>
      </w:r>
      <w:r w:rsidR="00E765C2" w:rsidRPr="00D5464D">
        <w:rPr>
          <w:lang w:val="pt-BR"/>
        </w:rPr>
        <w:t xml:space="preserve">polícia, </w:t>
      </w:r>
      <w:r w:rsidR="002C330E" w:rsidRPr="00D5464D">
        <w:rPr>
          <w:lang w:val="pt-BR"/>
        </w:rPr>
        <w:t>em 7</w:t>
      </w:r>
      <w:r w:rsidR="00B40811" w:rsidRPr="00D5464D">
        <w:rPr>
          <w:lang w:val="pt-BR"/>
        </w:rPr>
        <w:t xml:space="preserve"> de </w:t>
      </w:r>
      <w:r w:rsidR="002C330E" w:rsidRPr="00D5464D">
        <w:rPr>
          <w:lang w:val="pt-BR"/>
        </w:rPr>
        <w:t>março</w:t>
      </w:r>
      <w:r w:rsidR="00B40811" w:rsidRPr="00D5464D">
        <w:rPr>
          <w:lang w:val="pt-BR"/>
        </w:rPr>
        <w:t xml:space="preserve"> de 2000</w:t>
      </w:r>
      <w:r w:rsidRPr="00D5464D">
        <w:rPr>
          <w:lang w:val="pt-BR"/>
        </w:rPr>
        <w:t>,</w:t>
      </w:r>
      <w:r w:rsidR="00350187" w:rsidRPr="00D5464D">
        <w:rPr>
          <w:lang w:val="pt-BR"/>
        </w:rPr>
        <w:t xml:space="preserve"> </w:t>
      </w:r>
      <w:r w:rsidRPr="00D5464D">
        <w:rPr>
          <w:lang w:val="pt-BR"/>
        </w:rPr>
        <w:t>explic</w:t>
      </w:r>
      <w:r w:rsidR="00350187" w:rsidRPr="00D5464D">
        <w:rPr>
          <w:lang w:val="pt-BR"/>
        </w:rPr>
        <w:t xml:space="preserve">aram </w:t>
      </w:r>
      <w:r w:rsidR="00737270" w:rsidRPr="00D5464D">
        <w:rPr>
          <w:lang w:val="pt-BR"/>
        </w:rPr>
        <w:t>sua situação</w:t>
      </w:r>
      <w:r w:rsidR="00FF1290" w:rsidRPr="00D5464D">
        <w:rPr>
          <w:lang w:val="pt-BR"/>
        </w:rPr>
        <w:t xml:space="preserve"> </w:t>
      </w:r>
      <w:r w:rsidRPr="00D5464D">
        <w:rPr>
          <w:lang w:val="pt-BR"/>
        </w:rPr>
        <w:t>a</w:t>
      </w:r>
      <w:r w:rsidR="00E045D9" w:rsidRPr="00D5464D">
        <w:rPr>
          <w:lang w:val="pt-BR"/>
        </w:rPr>
        <w:t xml:space="preserve"> um </w:t>
      </w:r>
      <w:r w:rsidR="0081288E" w:rsidRPr="00D5464D">
        <w:rPr>
          <w:lang w:val="pt-BR"/>
        </w:rPr>
        <w:t xml:space="preserve">policial </w:t>
      </w:r>
      <w:r w:rsidRPr="00D5464D">
        <w:rPr>
          <w:lang w:val="pt-BR"/>
        </w:rPr>
        <w:t xml:space="preserve">que se </w:t>
      </w:r>
      <w:r w:rsidR="00470ADC" w:rsidRPr="00D5464D">
        <w:rPr>
          <w:lang w:val="pt-BR"/>
        </w:rPr>
        <w:t>encontrava</w:t>
      </w:r>
      <w:r w:rsidRPr="00D5464D">
        <w:rPr>
          <w:lang w:val="pt-BR"/>
        </w:rPr>
        <w:t xml:space="preserve"> de </w:t>
      </w:r>
      <w:r w:rsidR="0081288E" w:rsidRPr="00D5464D">
        <w:rPr>
          <w:lang w:val="pt-BR"/>
        </w:rPr>
        <w:t>plantão</w:t>
      </w:r>
      <w:r w:rsidR="00737270" w:rsidRPr="00D5464D">
        <w:rPr>
          <w:lang w:val="pt-BR"/>
        </w:rPr>
        <w:t>. No entanto</w:t>
      </w:r>
      <w:r w:rsidRPr="00D5464D">
        <w:rPr>
          <w:lang w:val="pt-BR"/>
        </w:rPr>
        <w:t>,</w:t>
      </w:r>
      <w:r w:rsidR="00470ADC" w:rsidRPr="00D5464D">
        <w:rPr>
          <w:lang w:val="pt-BR"/>
        </w:rPr>
        <w:t xml:space="preserve"> o </w:t>
      </w:r>
      <w:r w:rsidR="00E765C2" w:rsidRPr="00D5464D">
        <w:rPr>
          <w:lang w:val="pt-BR"/>
        </w:rPr>
        <w:t>pol</w:t>
      </w:r>
      <w:r w:rsidR="0081288E" w:rsidRPr="00D5464D">
        <w:rPr>
          <w:lang w:val="pt-BR"/>
        </w:rPr>
        <w:t xml:space="preserve">icial </w:t>
      </w:r>
      <w:r w:rsidR="00737270" w:rsidRPr="00D5464D">
        <w:rPr>
          <w:lang w:val="pt-BR"/>
        </w:rPr>
        <w:t>respondeu</w:t>
      </w:r>
      <w:r w:rsidRPr="00D5464D">
        <w:rPr>
          <w:lang w:val="pt-BR"/>
        </w:rPr>
        <w:t xml:space="preserve"> que n</w:t>
      </w:r>
      <w:r w:rsidR="0081288E" w:rsidRPr="00D5464D">
        <w:rPr>
          <w:lang w:val="pt-BR"/>
        </w:rPr>
        <w:t>ã</w:t>
      </w:r>
      <w:r w:rsidRPr="00D5464D">
        <w:rPr>
          <w:lang w:val="pt-BR"/>
        </w:rPr>
        <w:t>o po</w:t>
      </w:r>
      <w:r w:rsidR="00470ADC" w:rsidRPr="00D5464D">
        <w:rPr>
          <w:lang w:val="pt-BR"/>
        </w:rPr>
        <w:t>dia</w:t>
      </w:r>
      <w:r w:rsidRPr="00D5464D">
        <w:rPr>
          <w:lang w:val="pt-BR"/>
        </w:rPr>
        <w:t xml:space="preserve"> </w:t>
      </w:r>
      <w:r w:rsidR="00470ADC" w:rsidRPr="00D5464D">
        <w:rPr>
          <w:lang w:val="pt-BR"/>
        </w:rPr>
        <w:t>ajud</w:t>
      </w:r>
      <w:r w:rsidR="00A1358C" w:rsidRPr="00D5464D">
        <w:rPr>
          <w:lang w:val="pt-BR"/>
        </w:rPr>
        <w:t xml:space="preserve">á-los </w:t>
      </w:r>
      <w:r w:rsidRPr="00D5464D">
        <w:rPr>
          <w:lang w:val="pt-BR"/>
        </w:rPr>
        <w:t>porque</w:t>
      </w:r>
      <w:r w:rsidR="00470ADC" w:rsidRPr="00D5464D">
        <w:rPr>
          <w:lang w:val="pt-BR"/>
        </w:rPr>
        <w:t xml:space="preserve"> o </w:t>
      </w:r>
      <w:r w:rsidR="0081288E" w:rsidRPr="00D5464D">
        <w:rPr>
          <w:lang w:val="pt-BR"/>
        </w:rPr>
        <w:t xml:space="preserve">delegado </w:t>
      </w:r>
      <w:r w:rsidRPr="00D5464D">
        <w:rPr>
          <w:lang w:val="pt-BR"/>
        </w:rPr>
        <w:t>n</w:t>
      </w:r>
      <w:r w:rsidR="0081288E" w:rsidRPr="00D5464D">
        <w:rPr>
          <w:lang w:val="pt-BR"/>
        </w:rPr>
        <w:t>ã</w:t>
      </w:r>
      <w:r w:rsidRPr="00D5464D">
        <w:rPr>
          <w:lang w:val="pt-BR"/>
        </w:rPr>
        <w:t xml:space="preserve">o </w:t>
      </w:r>
      <w:r w:rsidR="00470ADC" w:rsidRPr="00D5464D">
        <w:rPr>
          <w:lang w:val="pt-BR"/>
        </w:rPr>
        <w:t>estava</w:t>
      </w:r>
      <w:r w:rsidRPr="00D5464D">
        <w:rPr>
          <w:lang w:val="pt-BR"/>
        </w:rPr>
        <w:t xml:space="preserve"> </w:t>
      </w:r>
      <w:r w:rsidR="00EB1CE9" w:rsidRPr="00D5464D">
        <w:rPr>
          <w:lang w:val="pt-BR"/>
        </w:rPr>
        <w:t>trabalhando</w:t>
      </w:r>
      <w:r w:rsidR="00E045D9" w:rsidRPr="00D5464D">
        <w:rPr>
          <w:lang w:val="pt-BR"/>
        </w:rPr>
        <w:t xml:space="preserve"> e</w:t>
      </w:r>
      <w:r w:rsidR="00C2784F" w:rsidRPr="00D5464D">
        <w:rPr>
          <w:lang w:val="pt-BR"/>
        </w:rPr>
        <w:t>,</w:t>
      </w:r>
      <w:r w:rsidR="00E045D9" w:rsidRPr="00D5464D">
        <w:rPr>
          <w:lang w:val="pt-BR"/>
        </w:rPr>
        <w:t xml:space="preserve"> </w:t>
      </w:r>
      <w:r w:rsidRPr="00D5464D">
        <w:rPr>
          <w:lang w:val="pt-BR"/>
        </w:rPr>
        <w:t xml:space="preserve">por ser feriado de carnaval, </w:t>
      </w:r>
      <w:r w:rsidR="00C2784F" w:rsidRPr="00D5464D">
        <w:rPr>
          <w:lang w:val="pt-BR"/>
        </w:rPr>
        <w:t xml:space="preserve">indicou </w:t>
      </w:r>
      <w:r w:rsidR="0081288E" w:rsidRPr="00D5464D">
        <w:rPr>
          <w:lang w:val="pt-BR"/>
        </w:rPr>
        <w:t>que regre</w:t>
      </w:r>
      <w:r w:rsidR="002662CC" w:rsidRPr="00D5464D">
        <w:rPr>
          <w:lang w:val="pt-BR"/>
        </w:rPr>
        <w:t>s</w:t>
      </w:r>
      <w:r w:rsidR="0081288E" w:rsidRPr="00D5464D">
        <w:rPr>
          <w:lang w:val="pt-BR"/>
        </w:rPr>
        <w:t xml:space="preserve">sassem em dois </w:t>
      </w:r>
      <w:r w:rsidR="00470ADC" w:rsidRPr="00D5464D">
        <w:rPr>
          <w:lang w:val="pt-BR"/>
        </w:rPr>
        <w:t>dia</w:t>
      </w:r>
      <w:r w:rsidRPr="00D5464D">
        <w:rPr>
          <w:lang w:val="pt-BR"/>
        </w:rPr>
        <w:t>s</w:t>
      </w:r>
      <w:r w:rsidR="00C91CB1" w:rsidRPr="00D5464D">
        <w:rPr>
          <w:lang w:val="pt-BR"/>
        </w:rPr>
        <w:t xml:space="preserve">. Os </w:t>
      </w:r>
      <w:r w:rsidR="00E045D9" w:rsidRPr="00D5464D">
        <w:rPr>
          <w:lang w:val="pt-BR"/>
        </w:rPr>
        <w:t>jovens</w:t>
      </w:r>
      <w:r w:rsidRPr="00D5464D">
        <w:rPr>
          <w:lang w:val="pt-BR"/>
        </w:rPr>
        <w:t xml:space="preserve"> </w:t>
      </w:r>
      <w:r w:rsidR="0081288E" w:rsidRPr="00D5464D">
        <w:rPr>
          <w:lang w:val="pt-BR"/>
        </w:rPr>
        <w:t xml:space="preserve">dormiram </w:t>
      </w:r>
      <w:r w:rsidR="00E045D9" w:rsidRPr="00D5464D">
        <w:rPr>
          <w:lang w:val="pt-BR"/>
        </w:rPr>
        <w:t xml:space="preserve">nas </w:t>
      </w:r>
      <w:r w:rsidR="00470ADC" w:rsidRPr="00D5464D">
        <w:rPr>
          <w:lang w:val="pt-BR"/>
        </w:rPr>
        <w:t>rua</w:t>
      </w:r>
      <w:r w:rsidRPr="00D5464D">
        <w:rPr>
          <w:lang w:val="pt-BR"/>
        </w:rPr>
        <w:t>s de Marabá</w:t>
      </w:r>
      <w:r w:rsidR="00E045D9" w:rsidRPr="00D5464D">
        <w:rPr>
          <w:lang w:val="pt-BR"/>
        </w:rPr>
        <w:t xml:space="preserve"> e </w:t>
      </w:r>
      <w:r w:rsidR="00737270" w:rsidRPr="00D5464D">
        <w:rPr>
          <w:lang w:val="pt-BR"/>
        </w:rPr>
        <w:t>regressaram</w:t>
      </w:r>
      <w:r w:rsidR="00470ADC" w:rsidRPr="00D5464D">
        <w:rPr>
          <w:lang w:val="pt-BR"/>
        </w:rPr>
        <w:t xml:space="preserve"> à </w:t>
      </w:r>
      <w:r w:rsidR="00E765C2" w:rsidRPr="00D5464D">
        <w:rPr>
          <w:lang w:val="pt-BR"/>
        </w:rPr>
        <w:t xml:space="preserve">polícia </w:t>
      </w:r>
      <w:r w:rsidRPr="00D5464D">
        <w:rPr>
          <w:lang w:val="pt-BR"/>
        </w:rPr>
        <w:t>federal</w:t>
      </w:r>
      <w:r w:rsidR="00C91CB1" w:rsidRPr="00D5464D">
        <w:rPr>
          <w:lang w:val="pt-BR"/>
        </w:rPr>
        <w:t xml:space="preserve">. </w:t>
      </w:r>
      <w:r w:rsidR="0081288E" w:rsidRPr="00D5464D">
        <w:rPr>
          <w:lang w:val="pt-BR"/>
        </w:rPr>
        <w:t>Ne</w:t>
      </w:r>
      <w:r w:rsidR="00C91CB1" w:rsidRPr="00D5464D">
        <w:rPr>
          <w:lang w:val="pt-BR"/>
        </w:rPr>
        <w:t xml:space="preserve">sse </w:t>
      </w:r>
      <w:r w:rsidR="00470ADC" w:rsidRPr="00D5464D">
        <w:rPr>
          <w:lang w:val="pt-BR"/>
        </w:rPr>
        <w:t>dia</w:t>
      </w:r>
      <w:r w:rsidRPr="00D5464D">
        <w:rPr>
          <w:lang w:val="pt-BR"/>
        </w:rPr>
        <w:t xml:space="preserve"> convers</w:t>
      </w:r>
      <w:r w:rsidR="00350187" w:rsidRPr="00D5464D">
        <w:rPr>
          <w:lang w:val="pt-BR"/>
        </w:rPr>
        <w:t xml:space="preserve">aram </w:t>
      </w:r>
      <w:r w:rsidR="00470ADC" w:rsidRPr="00D5464D">
        <w:rPr>
          <w:lang w:val="pt-BR"/>
        </w:rPr>
        <w:t>com</w:t>
      </w:r>
      <w:r w:rsidR="00E045D9" w:rsidRPr="00D5464D">
        <w:rPr>
          <w:lang w:val="pt-BR"/>
        </w:rPr>
        <w:t xml:space="preserve"> um </w:t>
      </w:r>
      <w:r w:rsidR="0081288E" w:rsidRPr="00D5464D">
        <w:rPr>
          <w:lang w:val="pt-BR"/>
        </w:rPr>
        <w:t>policial</w:t>
      </w:r>
      <w:r w:rsidR="00E765C2" w:rsidRPr="00D5464D">
        <w:rPr>
          <w:lang w:val="pt-BR"/>
        </w:rPr>
        <w:t xml:space="preserve">, </w:t>
      </w:r>
      <w:r w:rsidR="002C330E" w:rsidRPr="00D5464D">
        <w:rPr>
          <w:lang w:val="pt-BR"/>
        </w:rPr>
        <w:t>mas</w:t>
      </w:r>
      <w:r w:rsidRPr="00D5464D">
        <w:rPr>
          <w:lang w:val="pt-BR"/>
        </w:rPr>
        <w:t xml:space="preserve"> </w:t>
      </w:r>
      <w:r w:rsidR="00470ADC" w:rsidRPr="00D5464D">
        <w:rPr>
          <w:lang w:val="pt-BR"/>
        </w:rPr>
        <w:t>foram</w:t>
      </w:r>
      <w:r w:rsidRPr="00D5464D">
        <w:rPr>
          <w:lang w:val="pt-BR"/>
        </w:rPr>
        <w:t xml:space="preserve"> orientados a </w:t>
      </w:r>
      <w:r w:rsidR="0081288E" w:rsidRPr="00D5464D">
        <w:rPr>
          <w:lang w:val="pt-BR"/>
        </w:rPr>
        <w:t xml:space="preserve">irem até a </w:t>
      </w:r>
      <w:r w:rsidRPr="00D5464D">
        <w:rPr>
          <w:lang w:val="pt-BR"/>
        </w:rPr>
        <w:t>CPT para que</w:t>
      </w:r>
      <w:r w:rsidR="002C330E" w:rsidRPr="00D5464D">
        <w:rPr>
          <w:lang w:val="pt-BR"/>
        </w:rPr>
        <w:t xml:space="preserve"> </w:t>
      </w:r>
      <w:r w:rsidR="00C2784F" w:rsidRPr="00D5464D">
        <w:rPr>
          <w:lang w:val="pt-BR"/>
        </w:rPr>
        <w:t>obtivessem ajuda</w:t>
      </w:r>
      <w:r w:rsidR="00A1358C" w:rsidRPr="00D5464D">
        <w:rPr>
          <w:lang w:val="pt-BR"/>
        </w:rPr>
        <w:t xml:space="preserve">. A </w:t>
      </w:r>
      <w:r w:rsidRPr="00D5464D">
        <w:rPr>
          <w:lang w:val="pt-BR"/>
        </w:rPr>
        <w:t>CPT cuid</w:t>
      </w:r>
      <w:r w:rsidR="0081288E" w:rsidRPr="00D5464D">
        <w:rPr>
          <w:lang w:val="pt-BR"/>
        </w:rPr>
        <w:t xml:space="preserve">ou dos </w:t>
      </w:r>
      <w:r w:rsidR="00E045D9" w:rsidRPr="00D5464D">
        <w:rPr>
          <w:lang w:val="pt-BR"/>
        </w:rPr>
        <w:t>jovens</w:t>
      </w:r>
      <w:r w:rsidRPr="00D5464D">
        <w:rPr>
          <w:lang w:val="pt-BR"/>
        </w:rPr>
        <w:t xml:space="preserve"> por </w:t>
      </w:r>
      <w:r w:rsidR="00E045D9" w:rsidRPr="00D5464D">
        <w:rPr>
          <w:lang w:val="pt-BR"/>
        </w:rPr>
        <w:t>vários</w:t>
      </w:r>
      <w:r w:rsidRPr="00D5464D">
        <w:rPr>
          <w:lang w:val="pt-BR"/>
        </w:rPr>
        <w:t xml:space="preserve"> </w:t>
      </w:r>
      <w:r w:rsidR="00470ADC" w:rsidRPr="00D5464D">
        <w:rPr>
          <w:lang w:val="pt-BR"/>
        </w:rPr>
        <w:t>dia</w:t>
      </w:r>
      <w:r w:rsidRPr="00D5464D">
        <w:rPr>
          <w:lang w:val="pt-BR"/>
        </w:rPr>
        <w:t>s</w:t>
      </w:r>
      <w:r w:rsidR="0081288E" w:rsidRPr="00D5464D">
        <w:rPr>
          <w:lang w:val="pt-BR"/>
        </w:rPr>
        <w:t>.</w:t>
      </w:r>
      <w:r w:rsidRPr="00D5464D">
        <w:rPr>
          <w:vertAlign w:val="superscript"/>
          <w:lang w:val="pt-BR"/>
        </w:rPr>
        <w:footnoteReference w:id="187"/>
      </w:r>
    </w:p>
    <w:p w14:paraId="382FCAFB" w14:textId="77777777" w:rsidR="00D65024" w:rsidRPr="00D5464D" w:rsidRDefault="00D65024" w:rsidP="00D65024">
      <w:pPr>
        <w:pStyle w:val="Prrafodelista"/>
        <w:autoSpaceDE w:val="0"/>
        <w:autoSpaceDN w:val="0"/>
        <w:adjustRightInd w:val="0"/>
        <w:ind w:left="0"/>
        <w:contextualSpacing w:val="0"/>
        <w:rPr>
          <w:rFonts w:cs="Arial"/>
          <w:szCs w:val="20"/>
          <w:lang w:val="pt-BR"/>
        </w:rPr>
      </w:pPr>
    </w:p>
    <w:p w14:paraId="5AC1DB91" w14:textId="1C3060B1" w:rsidR="004766BC" w:rsidRPr="00D5464D" w:rsidRDefault="00470ADC" w:rsidP="004766BC">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 xml:space="preserve">O </w:t>
      </w:r>
      <w:r w:rsidR="004766BC" w:rsidRPr="00D5464D">
        <w:rPr>
          <w:rFonts w:cs="Arial"/>
          <w:szCs w:val="20"/>
          <w:lang w:val="pt-BR"/>
        </w:rPr>
        <w:t xml:space="preserve">policial que </w:t>
      </w:r>
      <w:r w:rsidR="00737270" w:rsidRPr="00D5464D">
        <w:rPr>
          <w:rFonts w:cs="Arial"/>
          <w:szCs w:val="20"/>
          <w:lang w:val="pt-BR"/>
        </w:rPr>
        <w:t>enviou</w:t>
      </w:r>
      <w:r w:rsidR="0081288E" w:rsidRPr="00D5464D">
        <w:rPr>
          <w:rFonts w:cs="Arial"/>
          <w:szCs w:val="20"/>
          <w:lang w:val="pt-BR"/>
        </w:rPr>
        <w:t xml:space="preserve"> </w:t>
      </w:r>
      <w:r w:rsidR="00E045D9" w:rsidRPr="00D5464D">
        <w:rPr>
          <w:rFonts w:cs="Arial"/>
          <w:szCs w:val="20"/>
          <w:lang w:val="pt-BR"/>
        </w:rPr>
        <w:t xml:space="preserve">os jovens </w:t>
      </w:r>
      <w:r w:rsidR="0081288E" w:rsidRPr="00D5464D">
        <w:rPr>
          <w:rFonts w:cs="Arial"/>
          <w:szCs w:val="20"/>
          <w:lang w:val="pt-BR"/>
        </w:rPr>
        <w:t xml:space="preserve">ao escritório </w:t>
      </w:r>
      <w:r w:rsidRPr="00D5464D">
        <w:rPr>
          <w:rFonts w:cs="Arial"/>
          <w:szCs w:val="20"/>
          <w:lang w:val="pt-BR"/>
        </w:rPr>
        <w:t xml:space="preserve">da </w:t>
      </w:r>
      <w:r w:rsidR="00C45062" w:rsidRPr="00D5464D">
        <w:rPr>
          <w:rFonts w:cs="Arial"/>
          <w:szCs w:val="20"/>
          <w:lang w:val="pt-BR"/>
        </w:rPr>
        <w:t xml:space="preserve">CPT </w:t>
      </w:r>
      <w:r w:rsidR="002C330E" w:rsidRPr="00D5464D">
        <w:rPr>
          <w:rFonts w:cs="Arial"/>
          <w:szCs w:val="20"/>
          <w:lang w:val="pt-BR"/>
        </w:rPr>
        <w:t>informou</w:t>
      </w:r>
      <w:r w:rsidRPr="00D5464D">
        <w:rPr>
          <w:rFonts w:cs="Arial"/>
          <w:szCs w:val="20"/>
          <w:lang w:val="pt-BR"/>
        </w:rPr>
        <w:t xml:space="preserve"> </w:t>
      </w:r>
      <w:r w:rsidR="00C45062" w:rsidRPr="00D5464D">
        <w:rPr>
          <w:rFonts w:cs="Arial"/>
          <w:szCs w:val="20"/>
          <w:lang w:val="pt-BR"/>
        </w:rPr>
        <w:t>a essa instituiç</w:t>
      </w:r>
      <w:r w:rsidR="00C45062" w:rsidRPr="00D5464D">
        <w:rPr>
          <w:lang w:val="pt-BR"/>
        </w:rPr>
        <w:t>ão</w:t>
      </w:r>
      <w:r w:rsidR="00C45062" w:rsidRPr="00D5464D">
        <w:rPr>
          <w:rFonts w:cs="Arial"/>
          <w:szCs w:val="20"/>
          <w:lang w:val="pt-BR"/>
        </w:rPr>
        <w:t xml:space="preserve"> </w:t>
      </w:r>
      <w:r w:rsidR="004766BC" w:rsidRPr="00D5464D">
        <w:rPr>
          <w:rFonts w:cs="Arial"/>
          <w:szCs w:val="20"/>
          <w:lang w:val="pt-BR"/>
        </w:rPr>
        <w:t xml:space="preserve">que </w:t>
      </w:r>
      <w:r w:rsidR="002C330E" w:rsidRPr="00D5464D">
        <w:rPr>
          <w:rFonts w:cs="Arial"/>
          <w:szCs w:val="20"/>
          <w:lang w:val="pt-BR"/>
        </w:rPr>
        <w:t>teria</w:t>
      </w:r>
      <w:r w:rsidR="004766BC" w:rsidRPr="00D5464D">
        <w:rPr>
          <w:rFonts w:cs="Arial"/>
          <w:szCs w:val="20"/>
          <w:lang w:val="pt-BR"/>
        </w:rPr>
        <w:t xml:space="preserve"> </w:t>
      </w:r>
      <w:r w:rsidR="00C2784F" w:rsidRPr="00D5464D">
        <w:rPr>
          <w:rFonts w:cs="Arial"/>
          <w:szCs w:val="20"/>
          <w:lang w:val="pt-BR"/>
        </w:rPr>
        <w:t>feito contato</w:t>
      </w:r>
      <w:r w:rsidRPr="00D5464D">
        <w:rPr>
          <w:rFonts w:cs="Arial"/>
          <w:szCs w:val="20"/>
          <w:lang w:val="pt-BR"/>
        </w:rPr>
        <w:t xml:space="preserve"> com o </w:t>
      </w:r>
      <w:r w:rsidR="002C330E" w:rsidRPr="00D5464D">
        <w:rPr>
          <w:rFonts w:cs="Arial"/>
          <w:szCs w:val="20"/>
          <w:lang w:val="pt-BR"/>
        </w:rPr>
        <w:t>Ministério</w:t>
      </w:r>
      <w:r w:rsidR="004766BC" w:rsidRPr="00D5464D">
        <w:rPr>
          <w:rFonts w:cs="Arial"/>
          <w:szCs w:val="20"/>
          <w:lang w:val="pt-BR"/>
        </w:rPr>
        <w:t xml:space="preserve"> </w:t>
      </w:r>
      <w:r w:rsidRPr="00D5464D">
        <w:rPr>
          <w:rFonts w:cs="Arial"/>
          <w:szCs w:val="20"/>
          <w:lang w:val="pt-BR"/>
        </w:rPr>
        <w:t xml:space="preserve">do </w:t>
      </w:r>
      <w:r w:rsidR="00E045D9" w:rsidRPr="00D5464D">
        <w:rPr>
          <w:rFonts w:cs="Arial"/>
          <w:szCs w:val="20"/>
          <w:lang w:val="pt-BR"/>
        </w:rPr>
        <w:t>Trabalho</w:t>
      </w:r>
      <w:r w:rsidR="004766BC" w:rsidRPr="00D5464D">
        <w:rPr>
          <w:rFonts w:cs="Arial"/>
          <w:szCs w:val="20"/>
          <w:lang w:val="pt-BR"/>
        </w:rPr>
        <w:t>,</w:t>
      </w:r>
      <w:r w:rsidRPr="00D5464D">
        <w:rPr>
          <w:rFonts w:cs="Arial"/>
          <w:szCs w:val="20"/>
          <w:lang w:val="pt-BR"/>
        </w:rPr>
        <w:t xml:space="preserve"> </w:t>
      </w:r>
      <w:r w:rsidR="00006672" w:rsidRPr="00D5464D">
        <w:rPr>
          <w:rFonts w:cs="Arial"/>
          <w:szCs w:val="20"/>
          <w:lang w:val="pt-BR"/>
        </w:rPr>
        <w:t xml:space="preserve">o qual </w:t>
      </w:r>
      <w:r w:rsidR="005326C7" w:rsidRPr="00D5464D">
        <w:rPr>
          <w:rFonts w:cs="Arial"/>
          <w:szCs w:val="20"/>
          <w:lang w:val="pt-BR"/>
        </w:rPr>
        <w:t>teria se</w:t>
      </w:r>
      <w:r w:rsidR="001D429C" w:rsidRPr="00D5464D">
        <w:rPr>
          <w:rFonts w:cs="Arial"/>
          <w:szCs w:val="20"/>
          <w:lang w:val="pt-BR"/>
        </w:rPr>
        <w:t xml:space="preserve"> </w:t>
      </w:r>
      <w:r w:rsidR="004766BC" w:rsidRPr="00D5464D">
        <w:rPr>
          <w:rFonts w:cs="Arial"/>
          <w:szCs w:val="20"/>
          <w:lang w:val="pt-BR"/>
        </w:rPr>
        <w:t>comprometido a enviar</w:t>
      </w:r>
      <w:r w:rsidR="00E045D9" w:rsidRPr="00D5464D">
        <w:rPr>
          <w:rFonts w:cs="Arial"/>
          <w:szCs w:val="20"/>
          <w:lang w:val="pt-BR"/>
        </w:rPr>
        <w:t xml:space="preserve"> um</w:t>
      </w:r>
      <w:r w:rsidR="001D429C" w:rsidRPr="00D5464D">
        <w:rPr>
          <w:rFonts w:cs="Arial"/>
          <w:szCs w:val="20"/>
          <w:lang w:val="pt-BR"/>
        </w:rPr>
        <w:t>a</w:t>
      </w:r>
      <w:r w:rsidR="00E045D9" w:rsidRPr="00D5464D">
        <w:rPr>
          <w:rFonts w:cs="Arial"/>
          <w:szCs w:val="20"/>
          <w:lang w:val="pt-BR"/>
        </w:rPr>
        <w:t xml:space="preserve"> </w:t>
      </w:r>
      <w:r w:rsidRPr="00D5464D">
        <w:rPr>
          <w:rFonts w:cs="Arial"/>
          <w:szCs w:val="20"/>
          <w:lang w:val="pt-BR"/>
        </w:rPr>
        <w:t>equipe</w:t>
      </w:r>
      <w:r w:rsidR="004766BC" w:rsidRPr="00D5464D">
        <w:rPr>
          <w:rFonts w:cs="Arial"/>
          <w:szCs w:val="20"/>
          <w:lang w:val="pt-BR"/>
        </w:rPr>
        <w:t xml:space="preserve"> de auditores </w:t>
      </w:r>
      <w:r w:rsidR="001D429C" w:rsidRPr="00D5464D">
        <w:rPr>
          <w:rFonts w:cs="Arial"/>
          <w:szCs w:val="20"/>
          <w:lang w:val="pt-BR"/>
        </w:rPr>
        <w:t>fiscais do</w:t>
      </w:r>
      <w:r w:rsidR="004766BC" w:rsidRPr="00D5464D">
        <w:rPr>
          <w:rFonts w:cs="Arial"/>
          <w:szCs w:val="20"/>
          <w:lang w:val="pt-BR"/>
        </w:rPr>
        <w:t xml:space="preserve"> </w:t>
      </w:r>
      <w:r w:rsidR="00E045D9" w:rsidRPr="00D5464D">
        <w:rPr>
          <w:rFonts w:cs="Arial"/>
          <w:szCs w:val="20"/>
          <w:lang w:val="pt-BR"/>
        </w:rPr>
        <w:t>trabalho</w:t>
      </w:r>
      <w:r w:rsidRPr="00D5464D">
        <w:rPr>
          <w:rFonts w:cs="Arial"/>
          <w:szCs w:val="20"/>
          <w:lang w:val="pt-BR"/>
        </w:rPr>
        <w:t xml:space="preserve"> </w:t>
      </w:r>
      <w:r w:rsidR="001D429C" w:rsidRPr="00D5464D">
        <w:rPr>
          <w:rFonts w:cs="Arial"/>
          <w:szCs w:val="20"/>
          <w:lang w:val="pt-BR"/>
        </w:rPr>
        <w:t xml:space="preserve">e </w:t>
      </w:r>
      <w:r w:rsidR="00C91CB1" w:rsidRPr="00D5464D">
        <w:rPr>
          <w:rFonts w:cs="Arial"/>
          <w:szCs w:val="20"/>
          <w:lang w:val="pt-BR"/>
        </w:rPr>
        <w:t>policiais</w:t>
      </w:r>
      <w:r w:rsidR="004766BC" w:rsidRPr="00D5464D">
        <w:rPr>
          <w:rFonts w:cs="Arial"/>
          <w:szCs w:val="20"/>
          <w:lang w:val="pt-BR"/>
        </w:rPr>
        <w:t xml:space="preserve"> </w:t>
      </w:r>
      <w:r w:rsidR="00C91CB1" w:rsidRPr="00D5464D">
        <w:rPr>
          <w:rFonts w:cs="Arial"/>
          <w:szCs w:val="20"/>
          <w:lang w:val="pt-BR"/>
        </w:rPr>
        <w:t>federais</w:t>
      </w:r>
      <w:r w:rsidR="004766BC" w:rsidRPr="00D5464D">
        <w:rPr>
          <w:rFonts w:cs="Arial"/>
          <w:szCs w:val="20"/>
          <w:lang w:val="pt-BR"/>
        </w:rPr>
        <w:t xml:space="preserve"> de Marabá</w:t>
      </w:r>
      <w:r w:rsidRPr="00D5464D">
        <w:rPr>
          <w:rFonts w:cs="Arial"/>
          <w:szCs w:val="20"/>
          <w:lang w:val="pt-BR"/>
        </w:rPr>
        <w:t xml:space="preserve"> à </w:t>
      </w:r>
      <w:r w:rsidR="00D809F0" w:rsidRPr="00D5464D">
        <w:rPr>
          <w:rFonts w:cs="Arial"/>
          <w:szCs w:val="20"/>
          <w:lang w:val="pt-BR"/>
        </w:rPr>
        <w:t>Fazenda</w:t>
      </w:r>
      <w:r w:rsidR="004766BC" w:rsidRPr="00D5464D">
        <w:rPr>
          <w:rFonts w:cs="Arial"/>
          <w:szCs w:val="20"/>
          <w:lang w:val="pt-BR"/>
        </w:rPr>
        <w:t xml:space="preserve"> Brasil Verde para </w:t>
      </w:r>
      <w:r w:rsidR="001D429C" w:rsidRPr="00D5464D">
        <w:rPr>
          <w:rFonts w:cs="Arial"/>
          <w:szCs w:val="20"/>
          <w:lang w:val="pt-BR"/>
        </w:rPr>
        <w:t xml:space="preserve">verificar </w:t>
      </w:r>
      <w:r w:rsidR="002C330E" w:rsidRPr="00D5464D">
        <w:rPr>
          <w:rFonts w:cs="Arial"/>
          <w:szCs w:val="20"/>
          <w:lang w:val="pt-BR"/>
        </w:rPr>
        <w:t xml:space="preserve">as </w:t>
      </w:r>
      <w:r w:rsidRPr="00D5464D">
        <w:rPr>
          <w:rFonts w:cs="Arial"/>
          <w:szCs w:val="20"/>
          <w:lang w:val="pt-BR"/>
        </w:rPr>
        <w:t>denúncias correspondente</w:t>
      </w:r>
      <w:r w:rsidR="004766BC" w:rsidRPr="00D5464D">
        <w:rPr>
          <w:rFonts w:cs="Arial"/>
          <w:szCs w:val="20"/>
          <w:lang w:val="pt-BR"/>
        </w:rPr>
        <w:t>s</w:t>
      </w:r>
      <w:r w:rsidR="001D429C" w:rsidRPr="00D5464D">
        <w:rPr>
          <w:rFonts w:cs="Arial"/>
          <w:szCs w:val="20"/>
          <w:lang w:val="pt-BR"/>
        </w:rPr>
        <w:t>.</w:t>
      </w:r>
      <w:r w:rsidR="004766BC" w:rsidRPr="00D5464D">
        <w:rPr>
          <w:rStyle w:val="Refdenotaalpie"/>
          <w:rFonts w:cs="Arial"/>
          <w:lang w:val="pt-BR"/>
        </w:rPr>
        <w:footnoteReference w:id="188"/>
      </w:r>
    </w:p>
    <w:p w14:paraId="2990DFDB" w14:textId="77777777" w:rsidR="00D65024" w:rsidRPr="00D5464D" w:rsidRDefault="00D65024" w:rsidP="00D65024">
      <w:pPr>
        <w:pStyle w:val="Prrafodelista"/>
        <w:ind w:left="0"/>
        <w:contextualSpacing w:val="0"/>
        <w:rPr>
          <w:lang w:val="pt-BR"/>
        </w:rPr>
      </w:pPr>
    </w:p>
    <w:p w14:paraId="613591F9" w14:textId="53594D0E" w:rsidR="004766BC" w:rsidRPr="00D5464D" w:rsidRDefault="00C91CB1" w:rsidP="004766BC">
      <w:pPr>
        <w:pStyle w:val="Prrafodelista"/>
        <w:numPr>
          <w:ilvl w:val="0"/>
          <w:numId w:val="1"/>
        </w:numPr>
        <w:contextualSpacing w:val="0"/>
        <w:rPr>
          <w:lang w:val="pt-BR"/>
        </w:rPr>
      </w:pPr>
      <w:r w:rsidRPr="00D5464D">
        <w:rPr>
          <w:rFonts w:cs="Arial"/>
          <w:szCs w:val="20"/>
          <w:lang w:val="pt-BR"/>
        </w:rPr>
        <w:t>Em 1</w:t>
      </w:r>
      <w:r w:rsidR="004766BC" w:rsidRPr="00D5464D">
        <w:rPr>
          <w:lang w:val="pt-BR"/>
        </w:rPr>
        <w:t xml:space="preserve">5 de </w:t>
      </w:r>
      <w:r w:rsidR="002C330E" w:rsidRPr="00D5464D">
        <w:rPr>
          <w:lang w:val="pt-BR"/>
        </w:rPr>
        <w:t>março</w:t>
      </w:r>
      <w:r w:rsidR="004766BC" w:rsidRPr="00D5464D">
        <w:rPr>
          <w:lang w:val="pt-BR"/>
        </w:rPr>
        <w:t xml:space="preserve"> de 2000</w:t>
      </w:r>
      <w:r w:rsidR="001D429C" w:rsidRPr="00D5464D">
        <w:rPr>
          <w:lang w:val="pt-BR"/>
        </w:rPr>
        <w:t xml:space="preserve">, foi realizada </w:t>
      </w:r>
      <w:r w:rsidR="00E045D9" w:rsidRPr="00D5464D">
        <w:rPr>
          <w:lang w:val="pt-BR"/>
        </w:rPr>
        <w:t xml:space="preserve">uma </w:t>
      </w:r>
      <w:r w:rsidR="00AB4663" w:rsidRPr="00D5464D">
        <w:rPr>
          <w:lang w:val="pt-BR"/>
        </w:rPr>
        <w:t>fiscalização</w:t>
      </w:r>
      <w:r w:rsidR="00470ADC" w:rsidRPr="00D5464D">
        <w:rPr>
          <w:lang w:val="pt-BR"/>
        </w:rPr>
        <w:t xml:space="preserve"> à </w:t>
      </w:r>
      <w:r w:rsidR="00D809F0" w:rsidRPr="00D5464D">
        <w:rPr>
          <w:lang w:val="pt-BR"/>
        </w:rPr>
        <w:t>Fazenda</w:t>
      </w:r>
      <w:r w:rsidR="004766BC" w:rsidRPr="00D5464D">
        <w:rPr>
          <w:lang w:val="pt-BR"/>
        </w:rPr>
        <w:t xml:space="preserve"> por parte de </w:t>
      </w:r>
      <w:r w:rsidR="001D429C" w:rsidRPr="00D5464D">
        <w:rPr>
          <w:lang w:val="pt-BR"/>
        </w:rPr>
        <w:t xml:space="preserve">fiscais </w:t>
      </w:r>
      <w:r w:rsidR="00470ADC" w:rsidRPr="00D5464D">
        <w:rPr>
          <w:lang w:val="pt-BR"/>
        </w:rPr>
        <w:t xml:space="preserve">do </w:t>
      </w:r>
      <w:r w:rsidR="002C330E" w:rsidRPr="00D5464D">
        <w:rPr>
          <w:lang w:val="pt-BR"/>
        </w:rPr>
        <w:t>Ministério</w:t>
      </w:r>
      <w:r w:rsidR="004766BC" w:rsidRPr="00D5464D">
        <w:rPr>
          <w:lang w:val="pt-BR"/>
        </w:rPr>
        <w:t xml:space="preserve"> </w:t>
      </w:r>
      <w:r w:rsidR="00470ADC" w:rsidRPr="00D5464D">
        <w:rPr>
          <w:lang w:val="pt-BR"/>
        </w:rPr>
        <w:t xml:space="preserve">do </w:t>
      </w:r>
      <w:r w:rsidR="00E045D9" w:rsidRPr="00D5464D">
        <w:rPr>
          <w:lang w:val="pt-BR"/>
        </w:rPr>
        <w:t>Trabalho</w:t>
      </w:r>
      <w:r w:rsidR="004766BC" w:rsidRPr="00D5464D">
        <w:rPr>
          <w:lang w:val="pt-BR"/>
        </w:rPr>
        <w:t>,</w:t>
      </w:r>
      <w:r w:rsidR="00470ADC" w:rsidRPr="00D5464D">
        <w:rPr>
          <w:lang w:val="pt-BR"/>
        </w:rPr>
        <w:t xml:space="preserve"> em </w:t>
      </w:r>
      <w:r w:rsidR="002662CC" w:rsidRPr="00D5464D">
        <w:rPr>
          <w:lang w:val="pt-BR"/>
        </w:rPr>
        <w:t xml:space="preserve">companhia </w:t>
      </w:r>
      <w:r w:rsidR="004766BC" w:rsidRPr="00D5464D">
        <w:rPr>
          <w:lang w:val="pt-BR"/>
        </w:rPr>
        <w:t>de agentes</w:t>
      </w:r>
      <w:r w:rsidR="00470ADC" w:rsidRPr="00D5464D">
        <w:rPr>
          <w:lang w:val="pt-BR"/>
        </w:rPr>
        <w:t xml:space="preserve"> da </w:t>
      </w:r>
      <w:r w:rsidRPr="00D5464D">
        <w:rPr>
          <w:lang w:val="pt-BR"/>
        </w:rPr>
        <w:t xml:space="preserve">Polícia </w:t>
      </w:r>
      <w:r w:rsidR="004766BC" w:rsidRPr="00D5464D">
        <w:rPr>
          <w:lang w:val="pt-BR"/>
        </w:rPr>
        <w:t>Federal</w:t>
      </w:r>
      <w:r w:rsidRPr="00D5464D">
        <w:rPr>
          <w:lang w:val="pt-BR"/>
        </w:rPr>
        <w:t xml:space="preserve">. Ao </w:t>
      </w:r>
      <w:r w:rsidR="00737270" w:rsidRPr="00D5464D">
        <w:rPr>
          <w:lang w:val="pt-BR"/>
        </w:rPr>
        <w:t>chegar</w:t>
      </w:r>
      <w:r w:rsidR="001D429C" w:rsidRPr="00D5464D">
        <w:rPr>
          <w:lang w:val="pt-BR"/>
        </w:rPr>
        <w:t>em</w:t>
      </w:r>
      <w:r w:rsidR="00470ADC" w:rsidRPr="00D5464D">
        <w:rPr>
          <w:lang w:val="pt-BR"/>
        </w:rPr>
        <w:t xml:space="preserve"> à </w:t>
      </w:r>
      <w:r w:rsidR="00D809F0" w:rsidRPr="00D5464D">
        <w:rPr>
          <w:lang w:val="pt-BR"/>
        </w:rPr>
        <w:t>Fazenda</w:t>
      </w:r>
      <w:r w:rsidR="004766BC" w:rsidRPr="00D5464D">
        <w:rPr>
          <w:lang w:val="pt-BR"/>
        </w:rPr>
        <w:t xml:space="preserve"> Brasil Verde </w:t>
      </w:r>
      <w:r w:rsidR="001D429C" w:rsidRPr="00D5464D">
        <w:rPr>
          <w:lang w:val="pt-BR"/>
        </w:rPr>
        <w:t xml:space="preserve">perceberam que havia </w:t>
      </w:r>
      <w:r w:rsidR="004766BC" w:rsidRPr="00D5464D">
        <w:rPr>
          <w:lang w:val="pt-BR"/>
        </w:rPr>
        <w:t xml:space="preserve">aproximadamente 45 </w:t>
      </w:r>
      <w:r w:rsidR="00E045D9" w:rsidRPr="00D5464D">
        <w:rPr>
          <w:lang w:val="pt-BR"/>
        </w:rPr>
        <w:t>trabalhadores</w:t>
      </w:r>
      <w:r w:rsidR="00C439F6" w:rsidRPr="00D5464D">
        <w:rPr>
          <w:lang w:val="pt-BR"/>
        </w:rPr>
        <w:t xml:space="preserve"> apenas</w:t>
      </w:r>
      <w:r w:rsidR="004766BC" w:rsidRPr="00D5464D">
        <w:rPr>
          <w:lang w:val="pt-BR"/>
        </w:rPr>
        <w:t xml:space="preserve">. </w:t>
      </w:r>
      <w:r w:rsidR="001D429C" w:rsidRPr="00D5464D">
        <w:rPr>
          <w:lang w:val="pt-BR"/>
        </w:rPr>
        <w:t>D</w:t>
      </w:r>
      <w:r w:rsidR="00A1358C" w:rsidRPr="00D5464D">
        <w:rPr>
          <w:lang w:val="pt-BR"/>
        </w:rPr>
        <w:t>irigiram</w:t>
      </w:r>
      <w:r w:rsidR="001D429C" w:rsidRPr="00D5464D">
        <w:rPr>
          <w:lang w:val="pt-BR"/>
        </w:rPr>
        <w:t>-se</w:t>
      </w:r>
      <w:r w:rsidR="00C439F6" w:rsidRPr="00D5464D">
        <w:rPr>
          <w:lang w:val="pt-BR"/>
        </w:rPr>
        <w:t>,</w:t>
      </w:r>
      <w:r w:rsidR="001D429C" w:rsidRPr="00D5464D">
        <w:rPr>
          <w:lang w:val="pt-BR"/>
        </w:rPr>
        <w:t xml:space="preserve"> então</w:t>
      </w:r>
      <w:r w:rsidR="00C439F6" w:rsidRPr="00D5464D">
        <w:rPr>
          <w:lang w:val="pt-BR"/>
        </w:rPr>
        <w:t>,</w:t>
      </w:r>
      <w:r w:rsidR="00470ADC" w:rsidRPr="00D5464D">
        <w:rPr>
          <w:lang w:val="pt-BR"/>
        </w:rPr>
        <w:t xml:space="preserve"> à </w:t>
      </w:r>
      <w:r w:rsidR="00D809F0" w:rsidRPr="00D5464D">
        <w:rPr>
          <w:lang w:val="pt-BR"/>
        </w:rPr>
        <w:t>Fazenda</w:t>
      </w:r>
      <w:r w:rsidR="004766BC" w:rsidRPr="00D5464D">
        <w:rPr>
          <w:lang w:val="pt-BR"/>
        </w:rPr>
        <w:t xml:space="preserve"> San</w:t>
      </w:r>
      <w:r w:rsidR="00A1358C" w:rsidRPr="00D5464D">
        <w:rPr>
          <w:lang w:val="pt-BR"/>
        </w:rPr>
        <w:t xml:space="preserve"> Carlos</w:t>
      </w:r>
      <w:r w:rsidR="001D429C" w:rsidRPr="00D5464D">
        <w:rPr>
          <w:lang w:val="pt-BR"/>
        </w:rPr>
        <w:t>,</w:t>
      </w:r>
      <w:r w:rsidR="00A1358C" w:rsidRPr="00D5464D">
        <w:rPr>
          <w:lang w:val="pt-BR"/>
        </w:rPr>
        <w:t xml:space="preserve"> </w:t>
      </w:r>
      <w:r w:rsidR="00470ADC" w:rsidRPr="00D5464D">
        <w:rPr>
          <w:lang w:val="pt-BR"/>
        </w:rPr>
        <w:t>onde</w:t>
      </w:r>
      <w:r w:rsidR="004766BC" w:rsidRPr="00D5464D">
        <w:rPr>
          <w:lang w:val="pt-BR"/>
        </w:rPr>
        <w:t xml:space="preserve"> </w:t>
      </w:r>
      <w:r w:rsidR="00E045D9" w:rsidRPr="00D5464D">
        <w:rPr>
          <w:lang w:val="pt-BR"/>
        </w:rPr>
        <w:t>encontraram</w:t>
      </w:r>
      <w:r w:rsidR="002C330E" w:rsidRPr="00D5464D">
        <w:rPr>
          <w:lang w:val="pt-BR"/>
        </w:rPr>
        <w:t xml:space="preserve"> os </w:t>
      </w:r>
      <w:r w:rsidR="00470ADC" w:rsidRPr="00D5464D">
        <w:rPr>
          <w:lang w:val="pt-BR"/>
        </w:rPr>
        <w:t>demais</w:t>
      </w:r>
      <w:r w:rsidR="004766BC" w:rsidRPr="00D5464D">
        <w:rPr>
          <w:lang w:val="pt-BR"/>
        </w:rPr>
        <w:t xml:space="preserve"> </w:t>
      </w:r>
      <w:r w:rsidR="00E045D9" w:rsidRPr="00D5464D">
        <w:rPr>
          <w:lang w:val="pt-BR"/>
        </w:rPr>
        <w:t>trabalhadores</w:t>
      </w:r>
      <w:r w:rsidRPr="00D5464D">
        <w:rPr>
          <w:lang w:val="pt-BR"/>
        </w:rPr>
        <w:t>. Os policiais</w:t>
      </w:r>
      <w:r w:rsidR="004766BC" w:rsidRPr="00D5464D">
        <w:rPr>
          <w:lang w:val="pt-BR"/>
        </w:rPr>
        <w:t xml:space="preserve"> entrevist</w:t>
      </w:r>
      <w:r w:rsidR="00350187" w:rsidRPr="00D5464D">
        <w:rPr>
          <w:lang w:val="pt-BR"/>
        </w:rPr>
        <w:t xml:space="preserve">aram </w:t>
      </w:r>
      <w:r w:rsidR="00E045D9" w:rsidRPr="00D5464D">
        <w:rPr>
          <w:lang w:val="pt-BR"/>
        </w:rPr>
        <w:t>os trabalhadores</w:t>
      </w:r>
      <w:r w:rsidR="004766BC" w:rsidRPr="00D5464D">
        <w:rPr>
          <w:lang w:val="pt-BR"/>
        </w:rPr>
        <w:t>,</w:t>
      </w:r>
      <w:r w:rsidR="002C330E" w:rsidRPr="00D5464D">
        <w:rPr>
          <w:lang w:val="pt-BR"/>
        </w:rPr>
        <w:t xml:space="preserve"> </w:t>
      </w:r>
      <w:r w:rsidR="00DC63F6" w:rsidRPr="00D5464D">
        <w:rPr>
          <w:lang w:val="pt-BR"/>
        </w:rPr>
        <w:t>interrog</w:t>
      </w:r>
      <w:r w:rsidR="00350187" w:rsidRPr="00D5464D">
        <w:rPr>
          <w:lang w:val="pt-BR"/>
        </w:rPr>
        <w:t xml:space="preserve">aram </w:t>
      </w:r>
      <w:r w:rsidR="004766BC" w:rsidRPr="00D5464D">
        <w:rPr>
          <w:lang w:val="pt-BR"/>
        </w:rPr>
        <w:t>sobre su</w:t>
      </w:r>
      <w:r w:rsidR="001D429C" w:rsidRPr="00D5464D">
        <w:rPr>
          <w:lang w:val="pt-BR"/>
        </w:rPr>
        <w:t>a</w:t>
      </w:r>
      <w:r w:rsidR="004766BC" w:rsidRPr="00D5464D">
        <w:rPr>
          <w:lang w:val="pt-BR"/>
        </w:rPr>
        <w:t xml:space="preserve"> </w:t>
      </w:r>
      <w:r w:rsidR="00737270" w:rsidRPr="00D5464D">
        <w:rPr>
          <w:lang w:val="pt-BR"/>
        </w:rPr>
        <w:t>chegad</w:t>
      </w:r>
      <w:r w:rsidR="004766BC" w:rsidRPr="00D5464D">
        <w:rPr>
          <w:lang w:val="pt-BR"/>
        </w:rPr>
        <w:t>a</w:t>
      </w:r>
      <w:r w:rsidR="00470ADC" w:rsidRPr="00D5464D">
        <w:rPr>
          <w:lang w:val="pt-BR"/>
        </w:rPr>
        <w:t xml:space="preserve"> à </w:t>
      </w:r>
      <w:r w:rsidR="00D809F0" w:rsidRPr="00D5464D">
        <w:rPr>
          <w:lang w:val="pt-BR"/>
        </w:rPr>
        <w:t>fazenda</w:t>
      </w:r>
      <w:r w:rsidR="004766BC" w:rsidRPr="00D5464D">
        <w:rPr>
          <w:lang w:val="pt-BR"/>
        </w:rPr>
        <w:t>, s</w:t>
      </w:r>
      <w:r w:rsidR="001D429C" w:rsidRPr="00D5464D">
        <w:rPr>
          <w:lang w:val="pt-BR"/>
        </w:rPr>
        <w:t>e</w:t>
      </w:r>
      <w:r w:rsidR="004766BC" w:rsidRPr="00D5464D">
        <w:rPr>
          <w:lang w:val="pt-BR"/>
        </w:rPr>
        <w:t xml:space="preserve">us </w:t>
      </w:r>
      <w:r w:rsidR="00E045D9" w:rsidRPr="00D5464D">
        <w:rPr>
          <w:lang w:val="pt-BR"/>
        </w:rPr>
        <w:t>salário</w:t>
      </w:r>
      <w:r w:rsidR="004766BC" w:rsidRPr="00D5464D">
        <w:rPr>
          <w:lang w:val="pt-BR"/>
        </w:rPr>
        <w:t>s</w:t>
      </w:r>
      <w:r w:rsidR="00E045D9" w:rsidRPr="00D5464D">
        <w:rPr>
          <w:lang w:val="pt-BR"/>
        </w:rPr>
        <w:t xml:space="preserve"> e </w:t>
      </w:r>
      <w:r w:rsidR="004766BC" w:rsidRPr="00D5464D">
        <w:rPr>
          <w:lang w:val="pt-BR"/>
        </w:rPr>
        <w:t>documenta</w:t>
      </w:r>
      <w:r w:rsidR="00470ADC" w:rsidRPr="00D5464D">
        <w:rPr>
          <w:lang w:val="pt-BR"/>
        </w:rPr>
        <w:t>ção</w:t>
      </w:r>
      <w:r w:rsidR="004766BC" w:rsidRPr="00D5464D">
        <w:rPr>
          <w:lang w:val="pt-BR"/>
        </w:rPr>
        <w:t xml:space="preserve"> </w:t>
      </w:r>
      <w:r w:rsidR="002C330E" w:rsidRPr="00D5464D">
        <w:rPr>
          <w:lang w:val="pt-BR"/>
        </w:rPr>
        <w:t>pessoa</w:t>
      </w:r>
      <w:r w:rsidR="004766BC" w:rsidRPr="00D5464D">
        <w:rPr>
          <w:lang w:val="pt-BR"/>
        </w:rPr>
        <w:t>l</w:t>
      </w:r>
      <w:r w:rsidRPr="00D5464D">
        <w:rPr>
          <w:lang w:val="pt-BR"/>
        </w:rPr>
        <w:t xml:space="preserve">. Os </w:t>
      </w:r>
      <w:r w:rsidR="00E045D9" w:rsidRPr="00D5464D">
        <w:rPr>
          <w:lang w:val="pt-BR"/>
        </w:rPr>
        <w:t>trabalhadores</w:t>
      </w:r>
      <w:r w:rsidR="004766BC" w:rsidRPr="00D5464D">
        <w:rPr>
          <w:lang w:val="pt-BR"/>
        </w:rPr>
        <w:t xml:space="preserve"> </w:t>
      </w:r>
      <w:r w:rsidR="00470ADC" w:rsidRPr="00D5464D">
        <w:rPr>
          <w:lang w:val="pt-BR"/>
        </w:rPr>
        <w:t>foram</w:t>
      </w:r>
      <w:r w:rsidR="004766BC" w:rsidRPr="00D5464D">
        <w:rPr>
          <w:lang w:val="pt-BR"/>
        </w:rPr>
        <w:t xml:space="preserve"> consultados </w:t>
      </w:r>
      <w:r w:rsidR="00DC63F6" w:rsidRPr="00D5464D">
        <w:rPr>
          <w:lang w:val="pt-BR"/>
        </w:rPr>
        <w:t>sobre</w:t>
      </w:r>
      <w:r w:rsidR="002C330E" w:rsidRPr="00D5464D">
        <w:rPr>
          <w:lang w:val="pt-BR"/>
        </w:rPr>
        <w:t xml:space="preserve"> se </w:t>
      </w:r>
      <w:r w:rsidR="004766BC" w:rsidRPr="00D5464D">
        <w:rPr>
          <w:lang w:val="pt-BR"/>
        </w:rPr>
        <w:t>que</w:t>
      </w:r>
      <w:r w:rsidR="00350187" w:rsidRPr="00D5464D">
        <w:rPr>
          <w:lang w:val="pt-BR"/>
        </w:rPr>
        <w:t xml:space="preserve">riam </w:t>
      </w:r>
      <w:r w:rsidR="001D429C" w:rsidRPr="00D5464D">
        <w:rPr>
          <w:lang w:val="pt-BR"/>
        </w:rPr>
        <w:t xml:space="preserve">sair </w:t>
      </w:r>
      <w:r w:rsidR="00470ADC" w:rsidRPr="00D5464D">
        <w:rPr>
          <w:lang w:val="pt-BR"/>
        </w:rPr>
        <w:t xml:space="preserve">da </w:t>
      </w:r>
      <w:r w:rsidR="00D809F0" w:rsidRPr="00D5464D">
        <w:rPr>
          <w:lang w:val="pt-BR"/>
        </w:rPr>
        <w:t>fazenda</w:t>
      </w:r>
      <w:r w:rsidR="00E045D9" w:rsidRPr="00D5464D">
        <w:rPr>
          <w:lang w:val="pt-BR"/>
        </w:rPr>
        <w:t xml:space="preserve"> e </w:t>
      </w:r>
      <w:r w:rsidR="00230C71" w:rsidRPr="00D5464D">
        <w:rPr>
          <w:lang w:val="pt-BR"/>
        </w:rPr>
        <w:t>regressar</w:t>
      </w:r>
      <w:r w:rsidR="001D429C" w:rsidRPr="00D5464D">
        <w:rPr>
          <w:lang w:val="pt-BR"/>
        </w:rPr>
        <w:t xml:space="preserve"> para suas casas</w:t>
      </w:r>
      <w:r w:rsidR="004766BC" w:rsidRPr="00D5464D">
        <w:rPr>
          <w:lang w:val="pt-BR"/>
        </w:rPr>
        <w:t>,</w:t>
      </w:r>
      <w:r w:rsidR="001D429C" w:rsidRPr="00D5464D">
        <w:rPr>
          <w:lang w:val="pt-BR"/>
        </w:rPr>
        <w:t xml:space="preserve"> </w:t>
      </w:r>
      <w:r w:rsidR="00C439F6" w:rsidRPr="00D5464D">
        <w:rPr>
          <w:lang w:val="pt-BR"/>
        </w:rPr>
        <w:t>e</w:t>
      </w:r>
      <w:r w:rsidR="00FF1290" w:rsidRPr="00D5464D">
        <w:rPr>
          <w:lang w:val="pt-BR"/>
        </w:rPr>
        <w:t xml:space="preserve"> </w:t>
      </w:r>
      <w:r w:rsidR="004766BC" w:rsidRPr="00D5464D">
        <w:rPr>
          <w:lang w:val="pt-BR"/>
        </w:rPr>
        <w:t>tod</w:t>
      </w:r>
      <w:r w:rsidR="00DC63F6" w:rsidRPr="00D5464D">
        <w:rPr>
          <w:lang w:val="pt-BR"/>
        </w:rPr>
        <w:t>o</w:t>
      </w:r>
      <w:r w:rsidR="004766BC" w:rsidRPr="00D5464D">
        <w:rPr>
          <w:lang w:val="pt-BR"/>
        </w:rPr>
        <w:t>s</w:t>
      </w:r>
      <w:r w:rsidR="002C330E" w:rsidRPr="00D5464D">
        <w:rPr>
          <w:lang w:val="pt-BR"/>
        </w:rPr>
        <w:t xml:space="preserve"> os </w:t>
      </w:r>
      <w:r w:rsidR="00E045D9" w:rsidRPr="00D5464D">
        <w:rPr>
          <w:rFonts w:cs="Arial"/>
          <w:szCs w:val="20"/>
          <w:lang w:val="pt-BR"/>
        </w:rPr>
        <w:t>trabalhadores</w:t>
      </w:r>
      <w:r w:rsidR="004766BC" w:rsidRPr="00D5464D">
        <w:rPr>
          <w:rFonts w:cs="Arial"/>
          <w:szCs w:val="20"/>
          <w:lang w:val="pt-BR"/>
        </w:rPr>
        <w:t xml:space="preserve"> </w:t>
      </w:r>
      <w:r w:rsidR="002C330E" w:rsidRPr="00D5464D">
        <w:rPr>
          <w:rFonts w:cs="Arial"/>
          <w:szCs w:val="20"/>
          <w:lang w:val="pt-BR"/>
        </w:rPr>
        <w:t>manifestaram</w:t>
      </w:r>
      <w:r w:rsidR="004766BC" w:rsidRPr="00D5464D">
        <w:rPr>
          <w:rFonts w:cs="Arial"/>
          <w:szCs w:val="20"/>
          <w:lang w:val="pt-BR"/>
        </w:rPr>
        <w:t xml:space="preserve"> su</w:t>
      </w:r>
      <w:r w:rsidR="001D429C" w:rsidRPr="00D5464D">
        <w:rPr>
          <w:rFonts w:cs="Arial"/>
          <w:szCs w:val="20"/>
          <w:lang w:val="pt-BR"/>
        </w:rPr>
        <w:t>a</w:t>
      </w:r>
      <w:r w:rsidR="004766BC" w:rsidRPr="00D5464D">
        <w:rPr>
          <w:rFonts w:cs="Arial"/>
          <w:szCs w:val="20"/>
          <w:lang w:val="pt-BR"/>
        </w:rPr>
        <w:t xml:space="preserve"> </w:t>
      </w:r>
      <w:r w:rsidR="001D429C" w:rsidRPr="00D5464D">
        <w:rPr>
          <w:rFonts w:cs="Arial"/>
          <w:szCs w:val="20"/>
          <w:lang w:val="pt-BR"/>
        </w:rPr>
        <w:t>“</w:t>
      </w:r>
      <w:r w:rsidR="00470ADC" w:rsidRPr="00D5464D">
        <w:rPr>
          <w:rFonts w:cs="Arial"/>
          <w:szCs w:val="20"/>
          <w:lang w:val="pt-BR"/>
        </w:rPr>
        <w:t>decisão</w:t>
      </w:r>
      <w:r w:rsidR="004766BC" w:rsidRPr="00D5464D">
        <w:rPr>
          <w:rFonts w:cs="Arial"/>
          <w:szCs w:val="20"/>
          <w:lang w:val="pt-BR"/>
        </w:rPr>
        <w:t xml:space="preserve"> </w:t>
      </w:r>
      <w:r w:rsidR="00350187" w:rsidRPr="00D5464D">
        <w:rPr>
          <w:rFonts w:cs="Arial"/>
          <w:szCs w:val="20"/>
          <w:lang w:val="pt-BR"/>
        </w:rPr>
        <w:t>unânime</w:t>
      </w:r>
      <w:r w:rsidR="004766BC" w:rsidRPr="00D5464D">
        <w:rPr>
          <w:rFonts w:cs="Arial"/>
          <w:szCs w:val="20"/>
          <w:lang w:val="pt-BR"/>
        </w:rPr>
        <w:t xml:space="preserve"> de </w:t>
      </w:r>
      <w:r w:rsidR="002C330E" w:rsidRPr="00D5464D">
        <w:rPr>
          <w:rFonts w:cs="Arial"/>
          <w:szCs w:val="20"/>
          <w:lang w:val="pt-BR"/>
        </w:rPr>
        <w:t>sair</w:t>
      </w:r>
      <w:r w:rsidR="004766BC" w:rsidRPr="00D5464D">
        <w:rPr>
          <w:rFonts w:cs="Arial"/>
          <w:szCs w:val="20"/>
          <w:lang w:val="pt-BR"/>
        </w:rPr>
        <w:t>”</w:t>
      </w:r>
      <w:r w:rsidR="00E045D9" w:rsidRPr="00D5464D">
        <w:rPr>
          <w:rFonts w:cs="Times New Roman"/>
          <w:szCs w:val="20"/>
          <w:lang w:val="pt-BR"/>
        </w:rPr>
        <w:t xml:space="preserve"> e </w:t>
      </w:r>
      <w:r w:rsidR="004766BC" w:rsidRPr="00D5464D">
        <w:rPr>
          <w:rFonts w:cs="Arial"/>
          <w:szCs w:val="20"/>
          <w:lang w:val="pt-BR"/>
        </w:rPr>
        <w:t xml:space="preserve">de </w:t>
      </w:r>
      <w:r w:rsidR="00230C71" w:rsidRPr="00D5464D">
        <w:rPr>
          <w:rFonts w:cs="Arial"/>
          <w:szCs w:val="20"/>
          <w:lang w:val="pt-BR"/>
        </w:rPr>
        <w:t>regressar</w:t>
      </w:r>
      <w:r w:rsidR="004766BC" w:rsidRPr="00D5464D">
        <w:rPr>
          <w:rFonts w:cs="Arial"/>
          <w:szCs w:val="20"/>
          <w:lang w:val="pt-BR"/>
        </w:rPr>
        <w:t xml:space="preserve"> a su</w:t>
      </w:r>
      <w:r w:rsidR="001D429C" w:rsidRPr="00D5464D">
        <w:rPr>
          <w:rFonts w:cs="Arial"/>
          <w:szCs w:val="20"/>
          <w:lang w:val="pt-BR"/>
        </w:rPr>
        <w:t>a</w:t>
      </w:r>
      <w:r w:rsidR="004766BC" w:rsidRPr="00D5464D">
        <w:rPr>
          <w:rFonts w:cs="Arial"/>
          <w:szCs w:val="20"/>
          <w:lang w:val="pt-BR"/>
        </w:rPr>
        <w:t xml:space="preserve">s </w:t>
      </w:r>
      <w:r w:rsidR="00470ADC" w:rsidRPr="00D5464D">
        <w:rPr>
          <w:rFonts w:cs="Arial"/>
          <w:szCs w:val="20"/>
          <w:lang w:val="pt-BR"/>
        </w:rPr>
        <w:t>c</w:t>
      </w:r>
      <w:r w:rsidR="00737270" w:rsidRPr="00D5464D">
        <w:rPr>
          <w:rFonts w:cs="Arial"/>
          <w:szCs w:val="20"/>
          <w:lang w:val="pt-BR"/>
        </w:rPr>
        <w:t>idades</w:t>
      </w:r>
      <w:r w:rsidR="004766BC" w:rsidRPr="00D5464D">
        <w:rPr>
          <w:rFonts w:cs="Arial"/>
          <w:szCs w:val="20"/>
          <w:lang w:val="pt-BR"/>
        </w:rPr>
        <w:t xml:space="preserve"> de </w:t>
      </w:r>
      <w:r w:rsidR="002C330E" w:rsidRPr="00D5464D">
        <w:rPr>
          <w:rFonts w:cs="Arial"/>
          <w:szCs w:val="20"/>
          <w:lang w:val="pt-BR"/>
        </w:rPr>
        <w:t>origem</w:t>
      </w:r>
      <w:r w:rsidR="00470ADC" w:rsidRPr="00D5464D">
        <w:rPr>
          <w:rFonts w:cs="Arial"/>
          <w:szCs w:val="20"/>
          <w:lang w:val="pt-BR"/>
        </w:rPr>
        <w:t xml:space="preserve"> onde</w:t>
      </w:r>
      <w:r w:rsidR="00737270" w:rsidRPr="00D5464D">
        <w:rPr>
          <w:rFonts w:cs="Arial"/>
          <w:szCs w:val="20"/>
          <w:lang w:val="pt-BR"/>
        </w:rPr>
        <w:t xml:space="preserve"> haviam </w:t>
      </w:r>
      <w:r w:rsidR="004766BC" w:rsidRPr="00D5464D">
        <w:rPr>
          <w:rFonts w:cs="Arial"/>
          <w:szCs w:val="20"/>
          <w:lang w:val="pt-BR"/>
        </w:rPr>
        <w:t xml:space="preserve">sido </w:t>
      </w:r>
      <w:r w:rsidR="00D2372C" w:rsidRPr="00D5464D">
        <w:rPr>
          <w:rFonts w:cs="Arial"/>
          <w:szCs w:val="20"/>
          <w:lang w:val="pt-BR"/>
        </w:rPr>
        <w:t>recruta</w:t>
      </w:r>
      <w:r w:rsidR="004766BC" w:rsidRPr="00D5464D">
        <w:rPr>
          <w:rFonts w:cs="Arial"/>
          <w:szCs w:val="20"/>
          <w:lang w:val="pt-BR"/>
        </w:rPr>
        <w:t>dos</w:t>
      </w:r>
      <w:r w:rsidR="001D429C" w:rsidRPr="00D5464D">
        <w:rPr>
          <w:rFonts w:cs="Arial"/>
          <w:szCs w:val="20"/>
          <w:lang w:val="pt-BR"/>
        </w:rPr>
        <w:t>.</w:t>
      </w:r>
      <w:r w:rsidR="004766BC" w:rsidRPr="00D5464D">
        <w:rPr>
          <w:rStyle w:val="Refdenotaalpie"/>
          <w:rFonts w:cs="Arial"/>
          <w:lang w:val="pt-BR"/>
        </w:rPr>
        <w:footnoteReference w:id="189"/>
      </w:r>
      <w:r w:rsidR="00737270" w:rsidRPr="00D5464D">
        <w:rPr>
          <w:lang w:val="pt-BR"/>
        </w:rPr>
        <w:t xml:space="preserve"> No entanto</w:t>
      </w:r>
      <w:r w:rsidR="004766BC" w:rsidRPr="00D5464D">
        <w:rPr>
          <w:lang w:val="pt-BR"/>
        </w:rPr>
        <w:t>,</w:t>
      </w:r>
      <w:r w:rsidR="00470ADC" w:rsidRPr="00D5464D">
        <w:rPr>
          <w:lang w:val="pt-BR"/>
        </w:rPr>
        <w:t xml:space="preserve"> o </w:t>
      </w:r>
      <w:r w:rsidR="00E765C2" w:rsidRPr="00D5464D">
        <w:rPr>
          <w:lang w:val="pt-BR"/>
        </w:rPr>
        <w:t>resgate</w:t>
      </w:r>
      <w:r w:rsidR="00350187" w:rsidRPr="00D5464D">
        <w:rPr>
          <w:lang w:val="pt-BR"/>
        </w:rPr>
        <w:t xml:space="preserve"> não </w:t>
      </w:r>
      <w:r w:rsidR="00C439F6" w:rsidRPr="00D5464D">
        <w:rPr>
          <w:lang w:val="pt-BR"/>
        </w:rPr>
        <w:t>ocorreu</w:t>
      </w:r>
      <w:r w:rsidR="00FF1290" w:rsidRPr="00D5464D">
        <w:rPr>
          <w:lang w:val="pt-BR"/>
        </w:rPr>
        <w:t xml:space="preserve"> </w:t>
      </w:r>
      <w:r w:rsidR="001D429C" w:rsidRPr="00D5464D">
        <w:rPr>
          <w:lang w:val="pt-BR"/>
        </w:rPr>
        <w:t>n</w:t>
      </w:r>
      <w:r w:rsidR="00470ADC" w:rsidRPr="00D5464D">
        <w:rPr>
          <w:lang w:val="pt-BR"/>
        </w:rPr>
        <w:t>esse dia</w:t>
      </w:r>
      <w:r w:rsidR="004766BC" w:rsidRPr="00D5464D">
        <w:rPr>
          <w:lang w:val="pt-BR"/>
        </w:rPr>
        <w:t>, de modo que</w:t>
      </w:r>
      <w:r w:rsidR="002C330E" w:rsidRPr="00D5464D">
        <w:rPr>
          <w:lang w:val="pt-BR"/>
        </w:rPr>
        <w:t xml:space="preserve"> os </w:t>
      </w:r>
      <w:r w:rsidR="00E045D9" w:rsidRPr="00D5464D">
        <w:rPr>
          <w:lang w:val="pt-BR"/>
        </w:rPr>
        <w:t>trabalhadores</w:t>
      </w:r>
      <w:r w:rsidR="004766BC" w:rsidRPr="00D5464D">
        <w:rPr>
          <w:lang w:val="pt-BR"/>
        </w:rPr>
        <w:t xml:space="preserve"> </w:t>
      </w:r>
      <w:r w:rsidR="00E045D9" w:rsidRPr="00D5464D">
        <w:rPr>
          <w:lang w:val="pt-BR"/>
        </w:rPr>
        <w:t>tiveram</w:t>
      </w:r>
      <w:r w:rsidR="004766BC" w:rsidRPr="00D5464D">
        <w:rPr>
          <w:lang w:val="pt-BR"/>
        </w:rPr>
        <w:t xml:space="preserve"> </w:t>
      </w:r>
      <w:r w:rsidR="001D429C" w:rsidRPr="00D5464D">
        <w:rPr>
          <w:lang w:val="pt-BR"/>
        </w:rPr>
        <w:t>d</w:t>
      </w:r>
      <w:r w:rsidR="004766BC" w:rsidRPr="00D5464D">
        <w:rPr>
          <w:lang w:val="pt-BR"/>
        </w:rPr>
        <w:t>e dormir</w:t>
      </w:r>
      <w:r w:rsidR="00470ADC" w:rsidRPr="00D5464D">
        <w:rPr>
          <w:lang w:val="pt-BR"/>
        </w:rPr>
        <w:t xml:space="preserve"> essa</w:t>
      </w:r>
      <w:r w:rsidR="002C330E" w:rsidRPr="00D5464D">
        <w:rPr>
          <w:lang w:val="pt-BR"/>
        </w:rPr>
        <w:t xml:space="preserve"> noite</w:t>
      </w:r>
      <w:r w:rsidR="00E045D9" w:rsidRPr="00D5464D">
        <w:rPr>
          <w:lang w:val="pt-BR"/>
        </w:rPr>
        <w:t xml:space="preserve"> na </w:t>
      </w:r>
      <w:r w:rsidR="00D809F0" w:rsidRPr="00D5464D">
        <w:rPr>
          <w:lang w:val="pt-BR"/>
        </w:rPr>
        <w:t>fazenda</w:t>
      </w:r>
      <w:r w:rsidR="004766BC" w:rsidRPr="00D5464D">
        <w:rPr>
          <w:lang w:val="pt-BR"/>
        </w:rPr>
        <w:t xml:space="preserve">, </w:t>
      </w:r>
      <w:r w:rsidR="00C439F6" w:rsidRPr="00D5464D">
        <w:rPr>
          <w:lang w:val="pt-BR"/>
        </w:rPr>
        <w:t xml:space="preserve">o que </w:t>
      </w:r>
      <w:r w:rsidR="002C330E" w:rsidRPr="00D5464D">
        <w:rPr>
          <w:lang w:val="pt-BR"/>
        </w:rPr>
        <w:t>lhes gerou</w:t>
      </w:r>
      <w:r w:rsidR="004766BC" w:rsidRPr="00D5464D">
        <w:rPr>
          <w:lang w:val="pt-BR"/>
        </w:rPr>
        <w:t xml:space="preserve"> </w:t>
      </w:r>
      <w:r w:rsidR="002C330E" w:rsidRPr="00D5464D">
        <w:rPr>
          <w:lang w:val="pt-BR"/>
        </w:rPr>
        <w:t>muito</w:t>
      </w:r>
      <w:r w:rsidR="001D429C" w:rsidRPr="00D5464D">
        <w:rPr>
          <w:lang w:val="pt-BR"/>
        </w:rPr>
        <w:t xml:space="preserve"> m</w:t>
      </w:r>
      <w:r w:rsidR="004766BC" w:rsidRPr="00D5464D">
        <w:rPr>
          <w:lang w:val="pt-BR"/>
        </w:rPr>
        <w:t>edo,</w:t>
      </w:r>
      <w:r w:rsidR="002C330E" w:rsidRPr="00D5464D">
        <w:rPr>
          <w:lang w:val="pt-BR"/>
        </w:rPr>
        <w:t xml:space="preserve"> pois </w:t>
      </w:r>
      <w:r w:rsidR="004766BC" w:rsidRPr="00D5464D">
        <w:rPr>
          <w:lang w:val="pt-BR"/>
        </w:rPr>
        <w:t>tem</w:t>
      </w:r>
      <w:r w:rsidR="001D429C" w:rsidRPr="00D5464D">
        <w:rPr>
          <w:lang w:val="pt-BR"/>
        </w:rPr>
        <w:t xml:space="preserve">iam </w:t>
      </w:r>
      <w:r w:rsidR="004766BC" w:rsidRPr="00D5464D">
        <w:rPr>
          <w:lang w:val="pt-BR"/>
        </w:rPr>
        <w:t>que</w:t>
      </w:r>
      <w:r w:rsidR="002C330E" w:rsidRPr="00D5464D">
        <w:rPr>
          <w:lang w:val="pt-BR"/>
        </w:rPr>
        <w:t xml:space="preserve"> os </w:t>
      </w:r>
      <w:r w:rsidR="001D429C" w:rsidRPr="00D5464D">
        <w:rPr>
          <w:lang w:val="pt-BR"/>
        </w:rPr>
        <w:t xml:space="preserve">capatazes </w:t>
      </w:r>
      <w:r w:rsidR="00470ADC" w:rsidRPr="00D5464D">
        <w:rPr>
          <w:lang w:val="pt-BR"/>
        </w:rPr>
        <w:t xml:space="preserve">da </w:t>
      </w:r>
      <w:r w:rsidR="00D809F0" w:rsidRPr="00D5464D">
        <w:rPr>
          <w:lang w:val="pt-BR"/>
        </w:rPr>
        <w:t>fazenda</w:t>
      </w:r>
      <w:r w:rsidR="002C330E" w:rsidRPr="00D5464D">
        <w:rPr>
          <w:lang w:val="pt-BR"/>
        </w:rPr>
        <w:t xml:space="preserve"> os </w:t>
      </w:r>
      <w:r w:rsidR="00350187" w:rsidRPr="00D5464D">
        <w:rPr>
          <w:lang w:val="pt-BR"/>
        </w:rPr>
        <w:t>assassin</w:t>
      </w:r>
      <w:r w:rsidR="004766BC" w:rsidRPr="00D5464D">
        <w:rPr>
          <w:lang w:val="pt-BR"/>
        </w:rPr>
        <w:t>a</w:t>
      </w:r>
      <w:r w:rsidR="001D429C" w:rsidRPr="00D5464D">
        <w:rPr>
          <w:lang w:val="pt-BR"/>
        </w:rPr>
        <w:t>ssem</w:t>
      </w:r>
      <w:r w:rsidR="004766BC" w:rsidRPr="00D5464D">
        <w:rPr>
          <w:lang w:val="pt-BR"/>
        </w:rPr>
        <w:t xml:space="preserve"> </w:t>
      </w:r>
      <w:r w:rsidR="002C330E" w:rsidRPr="00D5464D">
        <w:rPr>
          <w:lang w:val="pt-BR"/>
        </w:rPr>
        <w:t>enquanto</w:t>
      </w:r>
      <w:r w:rsidR="004766BC" w:rsidRPr="00D5464D">
        <w:rPr>
          <w:lang w:val="pt-BR"/>
        </w:rPr>
        <w:t xml:space="preserve"> dorm</w:t>
      </w:r>
      <w:r w:rsidR="001D429C" w:rsidRPr="00D5464D">
        <w:rPr>
          <w:lang w:val="pt-BR"/>
        </w:rPr>
        <w:t>iam.</w:t>
      </w:r>
      <w:r w:rsidR="004766BC" w:rsidRPr="00D5464D">
        <w:rPr>
          <w:vertAlign w:val="superscript"/>
          <w:lang w:val="pt-BR"/>
        </w:rPr>
        <w:footnoteReference w:id="190"/>
      </w:r>
      <w:r w:rsidR="00A1358C" w:rsidRPr="00D5464D">
        <w:rPr>
          <w:lang w:val="pt-BR"/>
        </w:rPr>
        <w:t xml:space="preserve"> A </w:t>
      </w:r>
      <w:r w:rsidR="001D429C" w:rsidRPr="00D5464D">
        <w:rPr>
          <w:rFonts w:cs="Arial"/>
          <w:szCs w:val="20"/>
          <w:lang w:val="pt-BR"/>
        </w:rPr>
        <w:t>DRT do</w:t>
      </w:r>
      <w:r w:rsidR="004766BC" w:rsidRPr="00D5464D">
        <w:rPr>
          <w:rFonts w:cs="Arial"/>
          <w:szCs w:val="20"/>
          <w:lang w:val="pt-BR"/>
        </w:rPr>
        <w:t xml:space="preserve"> Pará </w:t>
      </w:r>
      <w:r w:rsidR="00E765C2" w:rsidRPr="00D5464D">
        <w:rPr>
          <w:rFonts w:cs="Arial"/>
          <w:szCs w:val="20"/>
          <w:lang w:val="pt-BR"/>
        </w:rPr>
        <w:t>verificou</w:t>
      </w:r>
      <w:r w:rsidR="004766BC" w:rsidRPr="00D5464D">
        <w:rPr>
          <w:rFonts w:cs="Arial"/>
          <w:szCs w:val="20"/>
          <w:lang w:val="pt-BR"/>
        </w:rPr>
        <w:t xml:space="preserve"> </w:t>
      </w:r>
      <w:r w:rsidR="001D429C" w:rsidRPr="00D5464D">
        <w:rPr>
          <w:rFonts w:cs="Arial"/>
          <w:szCs w:val="20"/>
          <w:lang w:val="pt-BR"/>
        </w:rPr>
        <w:t xml:space="preserve">também </w:t>
      </w:r>
      <w:r w:rsidR="002C330E" w:rsidRPr="00D5464D">
        <w:rPr>
          <w:rFonts w:cs="Arial"/>
          <w:szCs w:val="20"/>
          <w:lang w:val="pt-BR"/>
        </w:rPr>
        <w:t xml:space="preserve">a </w:t>
      </w:r>
      <w:r w:rsidR="00E045D9" w:rsidRPr="00D5464D">
        <w:rPr>
          <w:rFonts w:cs="Arial"/>
          <w:szCs w:val="20"/>
          <w:lang w:val="pt-BR"/>
        </w:rPr>
        <w:t>existência</w:t>
      </w:r>
      <w:r w:rsidR="004766BC" w:rsidRPr="00D5464D">
        <w:rPr>
          <w:rFonts w:cs="Arial"/>
          <w:szCs w:val="20"/>
          <w:lang w:val="pt-BR"/>
        </w:rPr>
        <w:t xml:space="preserve"> de </w:t>
      </w:r>
      <w:r w:rsidR="00E045D9" w:rsidRPr="00D5464D">
        <w:rPr>
          <w:rFonts w:cs="Arial"/>
          <w:szCs w:val="20"/>
          <w:lang w:val="pt-BR"/>
        </w:rPr>
        <w:t>vigilância</w:t>
      </w:r>
      <w:r w:rsidR="004766BC" w:rsidRPr="00D5464D">
        <w:rPr>
          <w:rFonts w:cs="Arial"/>
          <w:szCs w:val="20"/>
          <w:lang w:val="pt-BR"/>
        </w:rPr>
        <w:t xml:space="preserve"> armada</w:t>
      </w:r>
      <w:r w:rsidR="00E045D9" w:rsidRPr="00D5464D">
        <w:rPr>
          <w:rFonts w:cs="Arial"/>
          <w:szCs w:val="20"/>
          <w:lang w:val="pt-BR"/>
        </w:rPr>
        <w:t xml:space="preserve"> na </w:t>
      </w:r>
      <w:r w:rsidR="00D809F0" w:rsidRPr="00D5464D">
        <w:rPr>
          <w:rFonts w:cs="Arial"/>
          <w:szCs w:val="20"/>
          <w:lang w:val="pt-BR"/>
        </w:rPr>
        <w:t>Fazenda</w:t>
      </w:r>
      <w:r w:rsidR="001D429C" w:rsidRPr="00D5464D">
        <w:rPr>
          <w:rFonts w:cs="Arial"/>
          <w:szCs w:val="20"/>
          <w:lang w:val="pt-BR"/>
        </w:rPr>
        <w:t>.</w:t>
      </w:r>
      <w:r w:rsidR="004766BC" w:rsidRPr="00D5464D">
        <w:rPr>
          <w:rStyle w:val="Refdenotaalpie"/>
          <w:rFonts w:cs="Arial"/>
          <w:lang w:val="pt-BR"/>
        </w:rPr>
        <w:footnoteReference w:id="191"/>
      </w:r>
      <w:r w:rsidR="004766BC" w:rsidRPr="00D5464D">
        <w:rPr>
          <w:rFonts w:cs="Arial"/>
          <w:szCs w:val="20"/>
          <w:lang w:val="pt-BR"/>
        </w:rPr>
        <w:t xml:space="preserve"> </w:t>
      </w:r>
      <w:r w:rsidR="00350187" w:rsidRPr="00D5464D">
        <w:rPr>
          <w:rFonts w:cs="Arial"/>
          <w:szCs w:val="20"/>
          <w:lang w:val="pt-BR"/>
        </w:rPr>
        <w:t xml:space="preserve">Além disso, </w:t>
      </w:r>
      <w:r w:rsidR="004766BC" w:rsidRPr="00D5464D">
        <w:rPr>
          <w:rFonts w:cs="Arial"/>
          <w:szCs w:val="20"/>
          <w:lang w:val="pt-BR"/>
        </w:rPr>
        <w:t>com</w:t>
      </w:r>
      <w:r w:rsidR="00A1358C" w:rsidRPr="00D5464D">
        <w:rPr>
          <w:rFonts w:cs="Arial"/>
          <w:szCs w:val="20"/>
          <w:lang w:val="pt-BR"/>
        </w:rPr>
        <w:t>provou</w:t>
      </w:r>
      <w:r w:rsidR="004766BC" w:rsidRPr="00D5464D">
        <w:rPr>
          <w:rFonts w:cs="Arial"/>
          <w:szCs w:val="20"/>
          <w:lang w:val="pt-BR"/>
        </w:rPr>
        <w:t xml:space="preserve"> que </w:t>
      </w:r>
      <w:r w:rsidR="001D429C" w:rsidRPr="00D5464D">
        <w:rPr>
          <w:rFonts w:cs="Arial"/>
          <w:szCs w:val="20"/>
          <w:lang w:val="pt-BR"/>
        </w:rPr>
        <w:t>os trabalhadores</w:t>
      </w:r>
      <w:r w:rsidR="001D429C" w:rsidRPr="00D5464D">
        <w:rPr>
          <w:rFonts w:cs="Times New Roman"/>
          <w:szCs w:val="20"/>
          <w:lang w:val="pt-BR"/>
        </w:rPr>
        <w:t xml:space="preserve"> </w:t>
      </w:r>
      <w:r w:rsidR="001D429C" w:rsidRPr="00D5464D">
        <w:rPr>
          <w:rFonts w:cs="Arial"/>
          <w:szCs w:val="20"/>
          <w:lang w:val="pt-BR"/>
        </w:rPr>
        <w:t xml:space="preserve">eram obrigados a </w:t>
      </w:r>
      <w:r w:rsidR="00470ADC" w:rsidRPr="00D5464D">
        <w:rPr>
          <w:rFonts w:cs="Arial"/>
          <w:szCs w:val="20"/>
          <w:lang w:val="pt-BR"/>
        </w:rPr>
        <w:t xml:space="preserve">assinar </w:t>
      </w:r>
      <w:r w:rsidR="004766BC" w:rsidRPr="00D5464D">
        <w:rPr>
          <w:rFonts w:cs="Arial"/>
          <w:szCs w:val="20"/>
          <w:lang w:val="pt-BR"/>
        </w:rPr>
        <w:t>contratos</w:t>
      </w:r>
      <w:r w:rsidR="00470ADC" w:rsidRPr="00D5464D">
        <w:rPr>
          <w:rFonts w:cs="Arial"/>
          <w:szCs w:val="20"/>
          <w:lang w:val="pt-BR"/>
        </w:rPr>
        <w:t xml:space="preserve"> </w:t>
      </w:r>
      <w:r w:rsidR="001D429C" w:rsidRPr="00D5464D">
        <w:rPr>
          <w:rFonts w:cs="Arial"/>
          <w:szCs w:val="20"/>
          <w:lang w:val="pt-BR"/>
        </w:rPr>
        <w:t xml:space="preserve">em branco </w:t>
      </w:r>
      <w:r w:rsidR="00470ADC" w:rsidRPr="00D5464D">
        <w:rPr>
          <w:rFonts w:cs="Arial"/>
          <w:szCs w:val="20"/>
          <w:lang w:val="pt-BR"/>
        </w:rPr>
        <w:t>com</w:t>
      </w:r>
      <w:r w:rsidR="002C330E" w:rsidRPr="00D5464D">
        <w:rPr>
          <w:rFonts w:cs="Arial"/>
          <w:szCs w:val="20"/>
          <w:lang w:val="pt-BR"/>
        </w:rPr>
        <w:t xml:space="preserve"> prazo</w:t>
      </w:r>
      <w:r w:rsidR="004766BC" w:rsidRPr="00D5464D">
        <w:rPr>
          <w:rFonts w:cs="Arial"/>
          <w:szCs w:val="20"/>
          <w:lang w:val="pt-BR"/>
        </w:rPr>
        <w:t xml:space="preserve"> determinado e indeterminado</w:t>
      </w:r>
      <w:r w:rsidR="001D429C" w:rsidRPr="00D5464D">
        <w:rPr>
          <w:rFonts w:cs="Arial"/>
          <w:szCs w:val="20"/>
          <w:lang w:val="pt-BR"/>
        </w:rPr>
        <w:t>.</w:t>
      </w:r>
      <w:r w:rsidR="004766BC" w:rsidRPr="00D5464D">
        <w:rPr>
          <w:rStyle w:val="Refdenotaalpie"/>
          <w:rFonts w:cs="Arial"/>
          <w:lang w:val="pt-BR"/>
        </w:rPr>
        <w:footnoteReference w:id="192"/>
      </w:r>
    </w:p>
    <w:p w14:paraId="5F2DEB9A" w14:textId="77777777" w:rsidR="004766BC" w:rsidRPr="00D5464D" w:rsidRDefault="004766BC" w:rsidP="004766BC">
      <w:pPr>
        <w:pStyle w:val="Prrafodelista"/>
        <w:ind w:left="0"/>
        <w:rPr>
          <w:lang w:val="pt-BR"/>
        </w:rPr>
      </w:pPr>
    </w:p>
    <w:p w14:paraId="7FB44D3B" w14:textId="785E61D4" w:rsidR="0003391C" w:rsidRPr="00D5464D" w:rsidRDefault="004F5D12" w:rsidP="00174E05">
      <w:pPr>
        <w:pStyle w:val="Prrafodelista"/>
        <w:numPr>
          <w:ilvl w:val="0"/>
          <w:numId w:val="1"/>
        </w:numPr>
        <w:contextualSpacing w:val="0"/>
        <w:rPr>
          <w:lang w:val="pt-BR"/>
        </w:rPr>
      </w:pPr>
      <w:r w:rsidRPr="00D5464D">
        <w:rPr>
          <w:lang w:val="pt-BR"/>
        </w:rPr>
        <w:t>No</w:t>
      </w:r>
      <w:r w:rsidR="004766BC" w:rsidRPr="00D5464D">
        <w:rPr>
          <w:lang w:val="pt-BR"/>
        </w:rPr>
        <w:t xml:space="preserve"> </w:t>
      </w:r>
      <w:r w:rsidR="00470ADC" w:rsidRPr="00D5464D">
        <w:rPr>
          <w:lang w:val="pt-BR"/>
        </w:rPr>
        <w:t>dia</w:t>
      </w:r>
      <w:r w:rsidR="004766BC" w:rsidRPr="00D5464D">
        <w:rPr>
          <w:lang w:val="pt-BR"/>
        </w:rPr>
        <w:t xml:space="preserve"> </w:t>
      </w:r>
      <w:r w:rsidR="002C330E" w:rsidRPr="00D5464D">
        <w:rPr>
          <w:lang w:val="pt-BR"/>
        </w:rPr>
        <w:t>seguinte</w:t>
      </w:r>
      <w:r w:rsidR="004766BC" w:rsidRPr="00D5464D">
        <w:rPr>
          <w:lang w:val="pt-BR"/>
        </w:rPr>
        <w:t>,</w:t>
      </w:r>
      <w:r w:rsidR="002C330E" w:rsidRPr="00D5464D">
        <w:rPr>
          <w:lang w:val="pt-BR"/>
        </w:rPr>
        <w:t xml:space="preserve"> os </w:t>
      </w:r>
      <w:r w:rsidRPr="00D5464D">
        <w:rPr>
          <w:lang w:val="pt-BR"/>
        </w:rPr>
        <w:t xml:space="preserve">fiscais </w:t>
      </w:r>
      <w:r w:rsidR="00470ADC" w:rsidRPr="00D5464D">
        <w:rPr>
          <w:lang w:val="pt-BR"/>
        </w:rPr>
        <w:t xml:space="preserve">do </w:t>
      </w:r>
      <w:r w:rsidR="002C330E" w:rsidRPr="00D5464D">
        <w:rPr>
          <w:lang w:val="pt-BR"/>
        </w:rPr>
        <w:t>Ministério</w:t>
      </w:r>
      <w:r w:rsidRPr="00D5464D">
        <w:rPr>
          <w:lang w:val="pt-BR"/>
        </w:rPr>
        <w:t xml:space="preserve"> do</w:t>
      </w:r>
      <w:r w:rsidR="004766BC" w:rsidRPr="00D5464D">
        <w:rPr>
          <w:lang w:val="pt-BR"/>
        </w:rPr>
        <w:t xml:space="preserve"> </w:t>
      </w:r>
      <w:r w:rsidR="00E045D9" w:rsidRPr="00D5464D">
        <w:rPr>
          <w:lang w:val="pt-BR"/>
        </w:rPr>
        <w:t>Trabalho</w:t>
      </w:r>
      <w:r w:rsidR="004766BC" w:rsidRPr="00D5464D">
        <w:rPr>
          <w:lang w:val="pt-BR"/>
        </w:rPr>
        <w:t xml:space="preserve"> </w:t>
      </w:r>
      <w:r w:rsidR="00350187" w:rsidRPr="00D5464D">
        <w:rPr>
          <w:lang w:val="pt-BR"/>
        </w:rPr>
        <w:t>obrigaram</w:t>
      </w:r>
      <w:r w:rsidR="004766BC" w:rsidRPr="00D5464D">
        <w:rPr>
          <w:lang w:val="pt-BR"/>
        </w:rPr>
        <w:t xml:space="preserve"> </w:t>
      </w:r>
      <w:r w:rsidR="00E045D9" w:rsidRPr="00D5464D">
        <w:rPr>
          <w:lang w:val="pt-BR"/>
        </w:rPr>
        <w:t xml:space="preserve">um </w:t>
      </w:r>
      <w:r w:rsidR="00737270" w:rsidRPr="00D5464D">
        <w:rPr>
          <w:lang w:val="pt-BR"/>
        </w:rPr>
        <w:t>encarregad</w:t>
      </w:r>
      <w:r w:rsidR="004766BC" w:rsidRPr="00D5464D">
        <w:rPr>
          <w:lang w:val="pt-BR"/>
        </w:rPr>
        <w:t>o</w:t>
      </w:r>
      <w:r w:rsidR="00470ADC" w:rsidRPr="00D5464D">
        <w:rPr>
          <w:lang w:val="pt-BR"/>
        </w:rPr>
        <w:t xml:space="preserve"> da </w:t>
      </w:r>
      <w:r w:rsidR="00D809F0" w:rsidRPr="00D5464D">
        <w:rPr>
          <w:lang w:val="pt-BR"/>
        </w:rPr>
        <w:t>fazenda</w:t>
      </w:r>
      <w:r w:rsidR="004766BC" w:rsidRPr="00D5464D">
        <w:rPr>
          <w:lang w:val="pt-BR"/>
        </w:rPr>
        <w:t xml:space="preserve"> a </w:t>
      </w:r>
      <w:r w:rsidR="00EB1CE9" w:rsidRPr="00D5464D">
        <w:rPr>
          <w:lang w:val="pt-BR"/>
        </w:rPr>
        <w:t>pagar</w:t>
      </w:r>
      <w:r w:rsidR="00E045D9" w:rsidRPr="00D5464D">
        <w:rPr>
          <w:lang w:val="pt-BR"/>
        </w:rPr>
        <w:t xml:space="preserve"> aos trabalhadores</w:t>
      </w:r>
      <w:r w:rsidR="002C330E" w:rsidRPr="00D5464D">
        <w:rPr>
          <w:lang w:val="pt-BR"/>
        </w:rPr>
        <w:t xml:space="preserve"> os </w:t>
      </w:r>
      <w:r w:rsidR="00A1358C" w:rsidRPr="00D5464D">
        <w:rPr>
          <w:lang w:val="pt-BR"/>
        </w:rPr>
        <w:t>montantes</w:t>
      </w:r>
      <w:r w:rsidR="004766BC" w:rsidRPr="00D5464D">
        <w:rPr>
          <w:lang w:val="pt-BR"/>
        </w:rPr>
        <w:t xml:space="preserve"> </w:t>
      </w:r>
      <w:r w:rsidR="00230C71" w:rsidRPr="00D5464D">
        <w:rPr>
          <w:lang w:val="pt-BR"/>
        </w:rPr>
        <w:t>indenizatóri</w:t>
      </w:r>
      <w:r w:rsidR="004766BC" w:rsidRPr="00D5464D">
        <w:rPr>
          <w:lang w:val="pt-BR"/>
        </w:rPr>
        <w:t xml:space="preserve">os </w:t>
      </w:r>
      <w:r w:rsidRPr="00D5464D">
        <w:rPr>
          <w:lang w:val="pt-BR"/>
        </w:rPr>
        <w:t xml:space="preserve">trabalhistas </w:t>
      </w:r>
      <w:r w:rsidR="004766BC" w:rsidRPr="00D5464D">
        <w:rPr>
          <w:lang w:val="pt-BR"/>
        </w:rPr>
        <w:t xml:space="preserve">para </w:t>
      </w:r>
      <w:r w:rsidRPr="00D5464D">
        <w:rPr>
          <w:lang w:val="pt-BR"/>
        </w:rPr>
        <w:t xml:space="preserve">encerrar </w:t>
      </w:r>
      <w:r w:rsidR="004766BC" w:rsidRPr="00D5464D">
        <w:rPr>
          <w:lang w:val="pt-BR"/>
        </w:rPr>
        <w:t>s</w:t>
      </w:r>
      <w:r w:rsidRPr="00D5464D">
        <w:rPr>
          <w:lang w:val="pt-BR"/>
        </w:rPr>
        <w:t>e</w:t>
      </w:r>
      <w:r w:rsidR="004766BC" w:rsidRPr="00D5464D">
        <w:rPr>
          <w:lang w:val="pt-BR"/>
        </w:rPr>
        <w:t xml:space="preserve">us contratos </w:t>
      </w:r>
      <w:r w:rsidRPr="00D5464D">
        <w:rPr>
          <w:lang w:val="pt-BR"/>
        </w:rPr>
        <w:t>de trabalho</w:t>
      </w:r>
      <w:r w:rsidR="004766BC" w:rsidRPr="00D5464D">
        <w:rPr>
          <w:lang w:val="pt-BR"/>
        </w:rPr>
        <w:t xml:space="preserve">. </w:t>
      </w:r>
      <w:r w:rsidR="00350187" w:rsidRPr="00D5464D">
        <w:rPr>
          <w:lang w:val="pt-BR"/>
        </w:rPr>
        <w:t>Além disso, obrigaram</w:t>
      </w:r>
      <w:r w:rsidR="004766BC" w:rsidRPr="00D5464D">
        <w:rPr>
          <w:lang w:val="pt-BR"/>
        </w:rPr>
        <w:t xml:space="preserve"> a </w:t>
      </w:r>
      <w:r w:rsidRPr="00D5464D">
        <w:rPr>
          <w:lang w:val="pt-BR"/>
        </w:rPr>
        <w:t xml:space="preserve">devolver suas </w:t>
      </w:r>
      <w:r w:rsidR="00A641AE" w:rsidRPr="00D5464D">
        <w:rPr>
          <w:lang w:val="pt-BR"/>
        </w:rPr>
        <w:t>carteiras de trabalho</w:t>
      </w:r>
      <w:r w:rsidR="00C91CB1" w:rsidRPr="00D5464D">
        <w:rPr>
          <w:lang w:val="pt-BR"/>
        </w:rPr>
        <w:t>. Os policiais</w:t>
      </w:r>
      <w:r w:rsidR="004766BC" w:rsidRPr="00D5464D">
        <w:rPr>
          <w:lang w:val="pt-BR"/>
        </w:rPr>
        <w:t xml:space="preserve"> </w:t>
      </w:r>
      <w:r w:rsidR="00C439F6" w:rsidRPr="00D5464D">
        <w:rPr>
          <w:lang w:val="pt-BR"/>
        </w:rPr>
        <w:t xml:space="preserve">devolveram </w:t>
      </w:r>
      <w:r w:rsidR="00E045D9" w:rsidRPr="00D5464D">
        <w:rPr>
          <w:lang w:val="pt-BR"/>
        </w:rPr>
        <w:t>aos trabalhadores</w:t>
      </w:r>
      <w:r w:rsidR="004766BC" w:rsidRPr="00D5464D">
        <w:rPr>
          <w:lang w:val="pt-BR"/>
        </w:rPr>
        <w:t xml:space="preserve"> su</w:t>
      </w:r>
      <w:r w:rsidRPr="00D5464D">
        <w:rPr>
          <w:lang w:val="pt-BR"/>
        </w:rPr>
        <w:t>a</w:t>
      </w:r>
      <w:r w:rsidR="004766BC" w:rsidRPr="00D5464D">
        <w:rPr>
          <w:lang w:val="pt-BR"/>
        </w:rPr>
        <w:t xml:space="preserve">s </w:t>
      </w:r>
      <w:r w:rsidR="00A641AE" w:rsidRPr="00D5464D">
        <w:rPr>
          <w:lang w:val="pt-BR"/>
        </w:rPr>
        <w:t>carteiras de trabalho</w:t>
      </w:r>
      <w:r w:rsidR="00E045D9" w:rsidRPr="00D5464D">
        <w:rPr>
          <w:lang w:val="pt-BR"/>
        </w:rPr>
        <w:t xml:space="preserve"> e</w:t>
      </w:r>
      <w:r w:rsidR="00FF1290" w:rsidRPr="00D5464D">
        <w:rPr>
          <w:lang w:val="pt-BR"/>
        </w:rPr>
        <w:t xml:space="preserve"> </w:t>
      </w:r>
      <w:r w:rsidR="00350187" w:rsidRPr="00D5464D">
        <w:rPr>
          <w:lang w:val="pt-BR"/>
        </w:rPr>
        <w:t>entregaram</w:t>
      </w:r>
      <w:r w:rsidR="00C439F6" w:rsidRPr="00D5464D">
        <w:rPr>
          <w:lang w:val="pt-BR"/>
        </w:rPr>
        <w:t>-lhes</w:t>
      </w:r>
      <w:r w:rsidR="004766BC" w:rsidRPr="00D5464D">
        <w:rPr>
          <w:lang w:val="pt-BR"/>
        </w:rPr>
        <w:t xml:space="preserve"> </w:t>
      </w:r>
      <w:r w:rsidRPr="00D5464D">
        <w:rPr>
          <w:lang w:val="pt-BR"/>
        </w:rPr>
        <w:t xml:space="preserve">alguns </w:t>
      </w:r>
      <w:r w:rsidR="004766BC" w:rsidRPr="00D5464D">
        <w:rPr>
          <w:lang w:val="pt-BR"/>
        </w:rPr>
        <w:t>documentos</w:t>
      </w:r>
      <w:r w:rsidR="00E045D9" w:rsidRPr="00D5464D">
        <w:rPr>
          <w:lang w:val="pt-BR"/>
        </w:rPr>
        <w:t xml:space="preserve"> e </w:t>
      </w:r>
      <w:r w:rsidR="00737270" w:rsidRPr="00D5464D">
        <w:rPr>
          <w:lang w:val="pt-BR"/>
        </w:rPr>
        <w:t>dinheiro. No entanto</w:t>
      </w:r>
      <w:r w:rsidR="004766BC" w:rsidRPr="00D5464D">
        <w:rPr>
          <w:lang w:val="pt-BR"/>
        </w:rPr>
        <w:t>,</w:t>
      </w:r>
      <w:r w:rsidR="00737270" w:rsidRPr="00D5464D">
        <w:rPr>
          <w:lang w:val="pt-BR"/>
        </w:rPr>
        <w:t xml:space="preserve"> apesar </w:t>
      </w:r>
      <w:r w:rsidR="004766BC" w:rsidRPr="00D5464D">
        <w:rPr>
          <w:lang w:val="pt-BR"/>
        </w:rPr>
        <w:t xml:space="preserve">de </w:t>
      </w:r>
      <w:r w:rsidR="002C330E" w:rsidRPr="00D5464D">
        <w:rPr>
          <w:lang w:val="pt-BR"/>
        </w:rPr>
        <w:t xml:space="preserve">os </w:t>
      </w:r>
      <w:r w:rsidR="00E045D9" w:rsidRPr="00D5464D">
        <w:rPr>
          <w:lang w:val="pt-BR"/>
        </w:rPr>
        <w:t>trabalhadores</w:t>
      </w:r>
      <w:r w:rsidR="004766BC" w:rsidRPr="00D5464D">
        <w:rPr>
          <w:lang w:val="pt-BR"/>
        </w:rPr>
        <w:t xml:space="preserve"> </w:t>
      </w:r>
      <w:r w:rsidR="0090341D" w:rsidRPr="00D5464D">
        <w:rPr>
          <w:lang w:val="pt-BR"/>
        </w:rPr>
        <w:t>resgatado</w:t>
      </w:r>
      <w:r w:rsidR="004766BC" w:rsidRPr="00D5464D">
        <w:rPr>
          <w:lang w:val="pt-BR"/>
        </w:rPr>
        <w:t>s</w:t>
      </w:r>
      <w:r w:rsidR="00470ADC" w:rsidRPr="00D5464D">
        <w:rPr>
          <w:lang w:val="pt-BR"/>
        </w:rPr>
        <w:t xml:space="preserve"> </w:t>
      </w:r>
      <w:r w:rsidR="00C439F6" w:rsidRPr="00D5464D">
        <w:rPr>
          <w:lang w:val="pt-BR"/>
        </w:rPr>
        <w:t>serem</w:t>
      </w:r>
      <w:r w:rsidR="00470ADC" w:rsidRPr="00D5464D">
        <w:rPr>
          <w:lang w:val="pt-BR"/>
        </w:rPr>
        <w:t xml:space="preserve"> </w:t>
      </w:r>
      <w:r w:rsidR="004766BC" w:rsidRPr="00D5464D">
        <w:rPr>
          <w:lang w:val="pt-BR"/>
        </w:rPr>
        <w:t>analfabetos</w:t>
      </w:r>
      <w:r w:rsidR="00E045D9" w:rsidRPr="00D5464D">
        <w:rPr>
          <w:lang w:val="pt-BR"/>
        </w:rPr>
        <w:t xml:space="preserve"> e </w:t>
      </w:r>
      <w:r w:rsidR="004766BC" w:rsidRPr="00D5464D">
        <w:rPr>
          <w:lang w:val="pt-BR"/>
        </w:rPr>
        <w:t xml:space="preserve">se </w:t>
      </w:r>
      <w:r w:rsidR="00470ADC" w:rsidRPr="00D5464D">
        <w:rPr>
          <w:lang w:val="pt-BR"/>
        </w:rPr>
        <w:t>encontr</w:t>
      </w:r>
      <w:r w:rsidR="00C439F6" w:rsidRPr="00D5464D">
        <w:rPr>
          <w:lang w:val="pt-BR"/>
        </w:rPr>
        <w:t>arem</w:t>
      </w:r>
      <w:r w:rsidR="004766BC" w:rsidRPr="00D5464D">
        <w:rPr>
          <w:lang w:val="pt-BR"/>
        </w:rPr>
        <w:t xml:space="preserve"> desconcertados</w:t>
      </w:r>
      <w:r w:rsidR="002C330E" w:rsidRPr="00D5464D">
        <w:rPr>
          <w:lang w:val="pt-BR"/>
        </w:rPr>
        <w:t xml:space="preserve"> </w:t>
      </w:r>
      <w:r w:rsidR="00C439F6" w:rsidRPr="00D5464D">
        <w:rPr>
          <w:lang w:val="pt-BR"/>
        </w:rPr>
        <w:t>diante da</w:t>
      </w:r>
      <w:r w:rsidR="002C330E" w:rsidRPr="00D5464D">
        <w:rPr>
          <w:lang w:val="pt-BR"/>
        </w:rPr>
        <w:t xml:space="preserve"> </w:t>
      </w:r>
      <w:r w:rsidR="004766BC" w:rsidRPr="00D5464D">
        <w:rPr>
          <w:lang w:val="pt-BR"/>
        </w:rPr>
        <w:t>situa</w:t>
      </w:r>
      <w:r w:rsidR="00470ADC" w:rsidRPr="00D5464D">
        <w:rPr>
          <w:lang w:val="pt-BR"/>
        </w:rPr>
        <w:t>ção</w:t>
      </w:r>
      <w:r w:rsidR="004766BC" w:rsidRPr="00D5464D">
        <w:rPr>
          <w:lang w:val="pt-BR"/>
        </w:rPr>
        <w:t>,</w:t>
      </w:r>
      <w:r w:rsidR="002C330E" w:rsidRPr="00D5464D">
        <w:rPr>
          <w:lang w:val="pt-BR"/>
        </w:rPr>
        <w:t xml:space="preserve"> os </w:t>
      </w:r>
      <w:r w:rsidR="004766BC" w:rsidRPr="00D5464D">
        <w:rPr>
          <w:lang w:val="pt-BR"/>
        </w:rPr>
        <w:t>agentes esta</w:t>
      </w:r>
      <w:r w:rsidR="00E045D9" w:rsidRPr="00D5464D">
        <w:rPr>
          <w:lang w:val="pt-BR"/>
        </w:rPr>
        <w:t>tais</w:t>
      </w:r>
      <w:r w:rsidR="004766BC" w:rsidRPr="00D5464D">
        <w:rPr>
          <w:lang w:val="pt-BR"/>
        </w:rPr>
        <w:t xml:space="preserve"> n</w:t>
      </w:r>
      <w:r w:rsidRPr="00D5464D">
        <w:rPr>
          <w:lang w:val="pt-BR"/>
        </w:rPr>
        <w:t>ã</w:t>
      </w:r>
      <w:r w:rsidR="004766BC" w:rsidRPr="00D5464D">
        <w:rPr>
          <w:lang w:val="pt-BR"/>
        </w:rPr>
        <w:t>o</w:t>
      </w:r>
      <w:r w:rsidR="002C330E" w:rsidRPr="00D5464D">
        <w:rPr>
          <w:lang w:val="pt-BR"/>
        </w:rPr>
        <w:t xml:space="preserve"> </w:t>
      </w:r>
      <w:r w:rsidR="004766BC" w:rsidRPr="00D5464D">
        <w:rPr>
          <w:lang w:val="pt-BR"/>
        </w:rPr>
        <w:t>explic</w:t>
      </w:r>
      <w:r w:rsidR="00350187" w:rsidRPr="00D5464D">
        <w:rPr>
          <w:lang w:val="pt-BR"/>
        </w:rPr>
        <w:t xml:space="preserve">aram </w:t>
      </w:r>
      <w:r w:rsidR="004766BC" w:rsidRPr="00D5464D">
        <w:rPr>
          <w:lang w:val="pt-BR"/>
        </w:rPr>
        <w:t xml:space="preserve">a que se </w:t>
      </w:r>
      <w:r w:rsidR="00470ADC" w:rsidRPr="00D5464D">
        <w:rPr>
          <w:lang w:val="pt-BR"/>
        </w:rPr>
        <w:t xml:space="preserve">devia o </w:t>
      </w:r>
      <w:r w:rsidR="00737270" w:rsidRPr="00D5464D">
        <w:rPr>
          <w:lang w:val="pt-BR"/>
        </w:rPr>
        <w:t>dinheiro</w:t>
      </w:r>
      <w:r w:rsidR="004766BC" w:rsidRPr="00D5464D">
        <w:rPr>
          <w:lang w:val="pt-BR"/>
        </w:rPr>
        <w:t>,</w:t>
      </w:r>
      <w:r w:rsidR="002C330E" w:rsidRPr="00D5464D">
        <w:rPr>
          <w:lang w:val="pt-BR"/>
        </w:rPr>
        <w:t xml:space="preserve"> nem </w:t>
      </w:r>
      <w:r w:rsidRPr="00D5464D">
        <w:rPr>
          <w:lang w:val="pt-BR"/>
        </w:rPr>
        <w:t xml:space="preserve">de que se tratavam </w:t>
      </w:r>
      <w:r w:rsidR="002C330E" w:rsidRPr="00D5464D">
        <w:rPr>
          <w:lang w:val="pt-BR"/>
        </w:rPr>
        <w:t xml:space="preserve">os </w:t>
      </w:r>
      <w:r w:rsidR="004766BC" w:rsidRPr="00D5464D">
        <w:rPr>
          <w:lang w:val="pt-BR"/>
        </w:rPr>
        <w:t>documentos que</w:t>
      </w:r>
      <w:r w:rsidR="002C330E" w:rsidRPr="00D5464D">
        <w:rPr>
          <w:lang w:val="pt-BR"/>
        </w:rPr>
        <w:t xml:space="preserve"> lhes</w:t>
      </w:r>
      <w:r w:rsidR="00737270" w:rsidRPr="00D5464D">
        <w:rPr>
          <w:lang w:val="pt-BR"/>
        </w:rPr>
        <w:t xml:space="preserve"> haviam </w:t>
      </w:r>
      <w:r w:rsidR="004766BC" w:rsidRPr="00D5464D">
        <w:rPr>
          <w:lang w:val="pt-BR"/>
        </w:rPr>
        <w:t>entregado</w:t>
      </w:r>
      <w:r w:rsidR="00A1358C" w:rsidRPr="00D5464D">
        <w:rPr>
          <w:lang w:val="pt-BR"/>
        </w:rPr>
        <w:t xml:space="preserve">. O </w:t>
      </w:r>
      <w:r w:rsidR="00350187" w:rsidRPr="00D5464D">
        <w:rPr>
          <w:lang w:val="pt-BR"/>
        </w:rPr>
        <w:t>relatório</w:t>
      </w:r>
      <w:r w:rsidR="002C330E" w:rsidRPr="00D5464D">
        <w:rPr>
          <w:lang w:val="pt-BR"/>
        </w:rPr>
        <w:t xml:space="preserve"> </w:t>
      </w:r>
      <w:r w:rsidR="00470ADC" w:rsidRPr="00D5464D">
        <w:rPr>
          <w:rFonts w:cs="Arial"/>
          <w:szCs w:val="20"/>
          <w:lang w:val="pt-BR"/>
        </w:rPr>
        <w:t xml:space="preserve">da </w:t>
      </w:r>
      <w:r w:rsidR="004766BC" w:rsidRPr="00D5464D">
        <w:rPr>
          <w:rFonts w:cs="Arial"/>
          <w:szCs w:val="20"/>
          <w:lang w:val="pt-BR"/>
        </w:rPr>
        <w:t>fiscaliza</w:t>
      </w:r>
      <w:r w:rsidR="00470ADC" w:rsidRPr="00D5464D">
        <w:rPr>
          <w:rFonts w:cs="Arial"/>
          <w:szCs w:val="20"/>
          <w:lang w:val="pt-BR"/>
        </w:rPr>
        <w:t>ção</w:t>
      </w:r>
      <w:r w:rsidR="004766BC" w:rsidRPr="00D5464D">
        <w:rPr>
          <w:rFonts w:cs="Arial"/>
          <w:szCs w:val="20"/>
          <w:lang w:val="pt-BR"/>
        </w:rPr>
        <w:t xml:space="preserve"> </w:t>
      </w:r>
      <w:r w:rsidR="002C330E" w:rsidRPr="00D5464D">
        <w:rPr>
          <w:rFonts w:cs="Arial"/>
          <w:szCs w:val="20"/>
          <w:lang w:val="pt-BR"/>
        </w:rPr>
        <w:t>afirmou</w:t>
      </w:r>
      <w:r w:rsidRPr="00D5464D">
        <w:rPr>
          <w:rFonts w:cs="Arial"/>
          <w:szCs w:val="20"/>
          <w:lang w:val="pt-BR"/>
        </w:rPr>
        <w:t xml:space="preserve"> que</w:t>
      </w:r>
      <w:r w:rsidR="004766BC" w:rsidRPr="00D5464D">
        <w:rPr>
          <w:rFonts w:cs="Arial"/>
          <w:szCs w:val="20"/>
          <w:lang w:val="pt-BR"/>
        </w:rPr>
        <w:t xml:space="preserve"> </w:t>
      </w:r>
      <w:r w:rsidR="002C330E" w:rsidRPr="00D5464D">
        <w:rPr>
          <w:rFonts w:cs="Arial"/>
          <w:szCs w:val="20"/>
          <w:lang w:val="pt-BR"/>
        </w:rPr>
        <w:t>havia</w:t>
      </w:r>
      <w:r w:rsidR="004766BC" w:rsidRPr="00D5464D">
        <w:rPr>
          <w:rFonts w:cs="Arial"/>
          <w:szCs w:val="20"/>
          <w:lang w:val="pt-BR"/>
        </w:rPr>
        <w:t xml:space="preserve"> 82 </w:t>
      </w:r>
      <w:r w:rsidR="002C330E" w:rsidRPr="00D5464D">
        <w:rPr>
          <w:rFonts w:cs="Arial"/>
          <w:szCs w:val="20"/>
          <w:lang w:val="pt-BR"/>
        </w:rPr>
        <w:t>pessoa</w:t>
      </w:r>
      <w:r w:rsidR="004766BC" w:rsidRPr="00D5464D">
        <w:rPr>
          <w:rFonts w:cs="Arial"/>
          <w:szCs w:val="20"/>
          <w:lang w:val="pt-BR"/>
        </w:rPr>
        <w:t xml:space="preserve">s </w:t>
      </w:r>
      <w:r w:rsidR="00EB1CE9" w:rsidRPr="00D5464D">
        <w:rPr>
          <w:rFonts w:cs="Arial"/>
          <w:szCs w:val="20"/>
          <w:lang w:val="pt-BR"/>
        </w:rPr>
        <w:t>trabalhando</w:t>
      </w:r>
      <w:r w:rsidR="00E045D9" w:rsidRPr="00D5464D">
        <w:rPr>
          <w:rFonts w:cs="Arial"/>
          <w:szCs w:val="20"/>
          <w:lang w:val="pt-BR"/>
        </w:rPr>
        <w:t xml:space="preserve"> na </w:t>
      </w:r>
      <w:r w:rsidR="00D809F0" w:rsidRPr="00D5464D">
        <w:rPr>
          <w:rFonts w:cs="Arial"/>
          <w:szCs w:val="20"/>
          <w:lang w:val="pt-BR"/>
        </w:rPr>
        <w:t>fazenda</w:t>
      </w:r>
      <w:r w:rsidRPr="00D5464D">
        <w:rPr>
          <w:rFonts w:cs="Arial"/>
          <w:szCs w:val="20"/>
          <w:lang w:val="pt-BR"/>
        </w:rPr>
        <w:t>.</w:t>
      </w:r>
      <w:r w:rsidR="004766BC" w:rsidRPr="00D5464D">
        <w:rPr>
          <w:rStyle w:val="Refdenotaalpie"/>
          <w:rFonts w:cs="Arial"/>
          <w:lang w:val="pt-BR"/>
        </w:rPr>
        <w:footnoteReference w:id="193"/>
      </w:r>
      <w:r w:rsidR="004766BC" w:rsidRPr="00D5464D">
        <w:rPr>
          <w:rFonts w:cs="Arial"/>
          <w:szCs w:val="20"/>
          <w:lang w:val="pt-BR"/>
        </w:rPr>
        <w:t xml:space="preserve"> </w:t>
      </w:r>
    </w:p>
    <w:p w14:paraId="4303CBEA" w14:textId="77777777" w:rsidR="0003391C" w:rsidRPr="00D5464D" w:rsidRDefault="0003391C" w:rsidP="00140440">
      <w:pPr>
        <w:pStyle w:val="Prrafodelista"/>
        <w:autoSpaceDE w:val="0"/>
        <w:autoSpaceDN w:val="0"/>
        <w:adjustRightInd w:val="0"/>
        <w:ind w:left="0"/>
        <w:contextualSpacing w:val="0"/>
        <w:rPr>
          <w:rFonts w:cs="Arial"/>
          <w:szCs w:val="20"/>
          <w:lang w:val="pt-BR"/>
        </w:rPr>
      </w:pPr>
    </w:p>
    <w:p w14:paraId="03B2B70A" w14:textId="3B1C4C2A" w:rsidR="0003391C" w:rsidRPr="00D5464D" w:rsidRDefault="00964D0C" w:rsidP="008622F3">
      <w:pPr>
        <w:pStyle w:val="Ttulo3"/>
        <w:rPr>
          <w:lang w:val="pt-BR"/>
        </w:rPr>
      </w:pPr>
      <w:bookmarkStart w:id="335" w:name="_Toc460433017"/>
      <w:bookmarkStart w:id="336" w:name="_Toc460441948"/>
      <w:bookmarkStart w:id="337" w:name="_Toc462750766"/>
      <w:bookmarkStart w:id="338" w:name="_Toc462751090"/>
      <w:bookmarkStart w:id="339" w:name="_Toc464813942"/>
      <w:bookmarkStart w:id="340" w:name="_Toc468433903"/>
      <w:r w:rsidRPr="00D5464D">
        <w:rPr>
          <w:lang w:val="pt-BR"/>
        </w:rPr>
        <w:t>B</w:t>
      </w:r>
      <w:r w:rsidR="004B71B2" w:rsidRPr="00D5464D">
        <w:rPr>
          <w:lang w:val="pt-BR"/>
        </w:rPr>
        <w:t>.4</w:t>
      </w:r>
      <w:r w:rsidR="00CB7E29" w:rsidRPr="00D5464D">
        <w:rPr>
          <w:lang w:val="pt-BR"/>
        </w:rPr>
        <w:t>.</w:t>
      </w:r>
      <w:r w:rsidR="00470ADC" w:rsidRPr="00D5464D">
        <w:rPr>
          <w:lang w:val="pt-BR"/>
        </w:rPr>
        <w:t xml:space="preserve"> </w:t>
      </w:r>
      <w:r w:rsidR="004F5D12" w:rsidRPr="00D5464D">
        <w:rPr>
          <w:lang w:val="pt-BR"/>
        </w:rPr>
        <w:t>O</w:t>
      </w:r>
      <w:r w:rsidR="00470ADC" w:rsidRPr="00D5464D">
        <w:rPr>
          <w:lang w:val="pt-BR"/>
        </w:rPr>
        <w:t xml:space="preserve"> </w:t>
      </w:r>
      <w:r w:rsidR="002C330E" w:rsidRPr="00D5464D">
        <w:rPr>
          <w:lang w:val="pt-BR"/>
        </w:rPr>
        <w:t>procedimento</w:t>
      </w:r>
      <w:r w:rsidR="0003391C" w:rsidRPr="00D5464D">
        <w:rPr>
          <w:lang w:val="pt-BR"/>
        </w:rPr>
        <w:t xml:space="preserve"> realizado</w:t>
      </w:r>
      <w:r w:rsidR="002C330E" w:rsidRPr="00D5464D">
        <w:rPr>
          <w:lang w:val="pt-BR"/>
        </w:rPr>
        <w:t xml:space="preserve"> pelo Ministério</w:t>
      </w:r>
      <w:r w:rsidR="0003391C" w:rsidRPr="00D5464D">
        <w:rPr>
          <w:lang w:val="pt-BR"/>
        </w:rPr>
        <w:t xml:space="preserve"> </w:t>
      </w:r>
      <w:r w:rsidR="00470ADC" w:rsidRPr="00D5464D">
        <w:rPr>
          <w:lang w:val="pt-BR"/>
        </w:rPr>
        <w:t xml:space="preserve">do </w:t>
      </w:r>
      <w:r w:rsidR="00E045D9" w:rsidRPr="00D5464D">
        <w:rPr>
          <w:lang w:val="pt-BR"/>
        </w:rPr>
        <w:t>Trabalho</w:t>
      </w:r>
      <w:r w:rsidR="0003391C" w:rsidRPr="00D5464D">
        <w:rPr>
          <w:lang w:val="pt-BR"/>
        </w:rPr>
        <w:t xml:space="preserve"> relativo</w:t>
      </w:r>
      <w:r w:rsidR="00470ADC" w:rsidRPr="00D5464D">
        <w:rPr>
          <w:lang w:val="pt-BR"/>
        </w:rPr>
        <w:t xml:space="preserve"> à </w:t>
      </w:r>
      <w:r w:rsidR="0003391C" w:rsidRPr="00D5464D">
        <w:rPr>
          <w:lang w:val="pt-BR"/>
        </w:rPr>
        <w:t>visita de 2000</w:t>
      </w:r>
      <w:bookmarkEnd w:id="335"/>
      <w:bookmarkEnd w:id="336"/>
      <w:bookmarkEnd w:id="337"/>
      <w:bookmarkEnd w:id="338"/>
      <w:bookmarkEnd w:id="339"/>
      <w:bookmarkEnd w:id="340"/>
    </w:p>
    <w:p w14:paraId="28561678" w14:textId="77777777" w:rsidR="00D65024" w:rsidRPr="00D5464D" w:rsidRDefault="00D65024" w:rsidP="00D65024">
      <w:pPr>
        <w:pStyle w:val="Prrafodelista"/>
        <w:autoSpaceDE w:val="0"/>
        <w:autoSpaceDN w:val="0"/>
        <w:adjustRightInd w:val="0"/>
        <w:ind w:left="0"/>
        <w:contextualSpacing w:val="0"/>
        <w:rPr>
          <w:rFonts w:cs="Arial"/>
          <w:szCs w:val="20"/>
          <w:lang w:val="pt-BR"/>
        </w:rPr>
      </w:pPr>
    </w:p>
    <w:p w14:paraId="6AD0EA02" w14:textId="00A11DA8" w:rsidR="0003391C" w:rsidRPr="00D5464D" w:rsidRDefault="00C91CB1" w:rsidP="00140440">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Em 3</w:t>
      </w:r>
      <w:r w:rsidR="0003391C" w:rsidRPr="00D5464D">
        <w:rPr>
          <w:rFonts w:cs="Arial"/>
          <w:szCs w:val="20"/>
          <w:lang w:val="pt-BR"/>
        </w:rPr>
        <w:t>0 de</w:t>
      </w:r>
      <w:r w:rsidR="002C330E" w:rsidRPr="00D5464D">
        <w:rPr>
          <w:rFonts w:cs="Arial"/>
          <w:szCs w:val="20"/>
          <w:lang w:val="pt-BR"/>
        </w:rPr>
        <w:t xml:space="preserve"> maio </w:t>
      </w:r>
      <w:r w:rsidR="0003391C" w:rsidRPr="00D5464D">
        <w:rPr>
          <w:rFonts w:cs="Arial"/>
          <w:szCs w:val="20"/>
          <w:lang w:val="pt-BR"/>
        </w:rPr>
        <w:t>de 2000,</w:t>
      </w:r>
      <w:r w:rsidR="00470ADC" w:rsidRPr="00D5464D">
        <w:rPr>
          <w:rFonts w:cs="Arial"/>
          <w:szCs w:val="20"/>
          <w:lang w:val="pt-BR"/>
        </w:rPr>
        <w:t xml:space="preserve"> com </w:t>
      </w:r>
      <w:r w:rsidR="0003391C" w:rsidRPr="00D5464D">
        <w:rPr>
          <w:rFonts w:cs="Arial"/>
          <w:szCs w:val="20"/>
          <w:lang w:val="pt-BR"/>
        </w:rPr>
        <w:t>base</w:t>
      </w:r>
      <w:r w:rsidR="00E045D9" w:rsidRPr="00D5464D">
        <w:rPr>
          <w:rFonts w:cs="Arial"/>
          <w:szCs w:val="20"/>
          <w:lang w:val="pt-BR"/>
        </w:rPr>
        <w:t xml:space="preserve"> no </w:t>
      </w:r>
      <w:r w:rsidR="00350187" w:rsidRPr="00D5464D">
        <w:rPr>
          <w:rFonts w:cs="Arial"/>
          <w:szCs w:val="20"/>
          <w:lang w:val="pt-BR"/>
        </w:rPr>
        <w:t>relatório</w:t>
      </w:r>
      <w:r w:rsidR="002C330E" w:rsidRPr="00D5464D">
        <w:rPr>
          <w:rFonts w:cs="Arial"/>
          <w:szCs w:val="20"/>
          <w:lang w:val="pt-BR"/>
        </w:rPr>
        <w:t xml:space="preserve"> </w:t>
      </w:r>
      <w:r w:rsidR="00470ADC" w:rsidRPr="00D5464D">
        <w:rPr>
          <w:rFonts w:cs="Arial"/>
          <w:szCs w:val="20"/>
          <w:lang w:val="pt-BR"/>
        </w:rPr>
        <w:t xml:space="preserve">da </w:t>
      </w:r>
      <w:r w:rsidR="0003391C" w:rsidRPr="00D5464D">
        <w:rPr>
          <w:rFonts w:cs="Arial"/>
          <w:szCs w:val="20"/>
          <w:lang w:val="pt-BR"/>
        </w:rPr>
        <w:t>fiscaliza</w:t>
      </w:r>
      <w:r w:rsidR="00470ADC" w:rsidRPr="00D5464D">
        <w:rPr>
          <w:rFonts w:cs="Arial"/>
          <w:szCs w:val="20"/>
          <w:lang w:val="pt-BR"/>
        </w:rPr>
        <w:t>ção</w:t>
      </w:r>
      <w:r w:rsidR="0003391C" w:rsidRPr="00D5464D">
        <w:rPr>
          <w:rFonts w:cs="Arial"/>
          <w:szCs w:val="20"/>
          <w:lang w:val="pt-BR"/>
        </w:rPr>
        <w:t xml:space="preserve"> de 15 de </w:t>
      </w:r>
      <w:r w:rsidR="002C330E" w:rsidRPr="00D5464D">
        <w:rPr>
          <w:rFonts w:cs="Arial"/>
          <w:szCs w:val="20"/>
          <w:lang w:val="pt-BR"/>
        </w:rPr>
        <w:t>março</w:t>
      </w:r>
      <w:r w:rsidR="0003391C" w:rsidRPr="00D5464D">
        <w:rPr>
          <w:rFonts w:cs="Arial"/>
          <w:szCs w:val="20"/>
          <w:lang w:val="pt-BR"/>
        </w:rPr>
        <w:t xml:space="preserve"> de 2000,</w:t>
      </w:r>
      <w:r w:rsidR="00470ADC" w:rsidRPr="00D5464D">
        <w:rPr>
          <w:rFonts w:cs="Arial"/>
          <w:szCs w:val="20"/>
          <w:lang w:val="pt-BR"/>
        </w:rPr>
        <w:t xml:space="preserve"> o </w:t>
      </w:r>
      <w:r w:rsidR="002C330E" w:rsidRPr="00D5464D">
        <w:rPr>
          <w:rFonts w:cs="Arial"/>
          <w:szCs w:val="20"/>
          <w:lang w:val="pt-BR"/>
        </w:rPr>
        <w:t>Ministério</w:t>
      </w:r>
      <w:r w:rsidR="0003391C" w:rsidRPr="00D5464D">
        <w:rPr>
          <w:rFonts w:cs="Arial"/>
          <w:szCs w:val="20"/>
          <w:lang w:val="pt-BR"/>
        </w:rPr>
        <w:t xml:space="preserve"> Público </w:t>
      </w:r>
      <w:r w:rsidR="00470ADC" w:rsidRPr="00D5464D">
        <w:rPr>
          <w:rFonts w:cs="Arial"/>
          <w:szCs w:val="20"/>
          <w:lang w:val="pt-BR"/>
        </w:rPr>
        <w:t xml:space="preserve">do </w:t>
      </w:r>
      <w:r w:rsidR="00E045D9" w:rsidRPr="00D5464D">
        <w:rPr>
          <w:rFonts w:cs="Arial"/>
          <w:szCs w:val="20"/>
          <w:lang w:val="pt-BR"/>
        </w:rPr>
        <w:t>Trabalho</w:t>
      </w:r>
      <w:r w:rsidR="0003391C" w:rsidRPr="00D5464D">
        <w:rPr>
          <w:rFonts w:cs="Arial"/>
          <w:szCs w:val="20"/>
          <w:lang w:val="pt-BR"/>
        </w:rPr>
        <w:t xml:space="preserve"> </w:t>
      </w:r>
      <w:r w:rsidR="002C330E" w:rsidRPr="00D5464D">
        <w:rPr>
          <w:rFonts w:cs="Arial"/>
          <w:szCs w:val="20"/>
          <w:lang w:val="pt-BR"/>
        </w:rPr>
        <w:t>apresentou</w:t>
      </w:r>
      <w:r w:rsidR="00E045D9" w:rsidRPr="00D5464D">
        <w:rPr>
          <w:rFonts w:cs="Arial"/>
          <w:szCs w:val="20"/>
          <w:lang w:val="pt-BR"/>
        </w:rPr>
        <w:t xml:space="preserve"> uma </w:t>
      </w:r>
      <w:r w:rsidR="003D1DA3" w:rsidRPr="00D5464D">
        <w:rPr>
          <w:rFonts w:cs="Arial"/>
          <w:szCs w:val="20"/>
          <w:lang w:val="pt-BR"/>
        </w:rPr>
        <w:t>A</w:t>
      </w:r>
      <w:r w:rsidR="00737270" w:rsidRPr="00D5464D">
        <w:rPr>
          <w:rFonts w:cs="Arial"/>
          <w:szCs w:val="20"/>
          <w:lang w:val="pt-BR"/>
        </w:rPr>
        <w:t>ção</w:t>
      </w:r>
      <w:r w:rsidR="0003391C" w:rsidRPr="00D5464D">
        <w:rPr>
          <w:rFonts w:cs="Arial"/>
          <w:szCs w:val="20"/>
          <w:lang w:val="pt-BR"/>
        </w:rPr>
        <w:t xml:space="preserve"> </w:t>
      </w:r>
      <w:r w:rsidR="003D1DA3" w:rsidRPr="00D5464D">
        <w:rPr>
          <w:rFonts w:cs="Arial"/>
          <w:szCs w:val="20"/>
          <w:lang w:val="pt-BR"/>
        </w:rPr>
        <w:t>C</w:t>
      </w:r>
      <w:r w:rsidR="0003391C" w:rsidRPr="00D5464D">
        <w:rPr>
          <w:rFonts w:cs="Arial"/>
          <w:szCs w:val="20"/>
          <w:lang w:val="pt-BR"/>
        </w:rPr>
        <w:t xml:space="preserve">ivil </w:t>
      </w:r>
      <w:r w:rsidR="003D1DA3" w:rsidRPr="00D5464D">
        <w:rPr>
          <w:rFonts w:cs="Arial"/>
          <w:szCs w:val="20"/>
          <w:lang w:val="pt-BR"/>
        </w:rPr>
        <w:t>P</w:t>
      </w:r>
      <w:r w:rsidR="0003391C" w:rsidRPr="00D5464D">
        <w:rPr>
          <w:rFonts w:cs="Arial"/>
          <w:szCs w:val="20"/>
          <w:lang w:val="pt-BR"/>
        </w:rPr>
        <w:t>ública</w:t>
      </w:r>
      <w:r w:rsidR="00470ADC" w:rsidRPr="00D5464D">
        <w:rPr>
          <w:rFonts w:cs="Arial"/>
          <w:szCs w:val="20"/>
          <w:lang w:val="pt-BR"/>
        </w:rPr>
        <w:t xml:space="preserve"> perante a </w:t>
      </w:r>
      <w:r w:rsidR="00FF5FD4" w:rsidRPr="00D5464D">
        <w:rPr>
          <w:rFonts w:cs="Arial"/>
          <w:szCs w:val="20"/>
          <w:lang w:val="pt-BR"/>
        </w:rPr>
        <w:t xml:space="preserve">Justiça </w:t>
      </w:r>
      <w:r w:rsidR="00470ADC" w:rsidRPr="00D5464D">
        <w:rPr>
          <w:rFonts w:cs="Arial"/>
          <w:szCs w:val="20"/>
          <w:lang w:val="pt-BR"/>
        </w:rPr>
        <w:t xml:space="preserve">do </w:t>
      </w:r>
      <w:r w:rsidR="00E045D9" w:rsidRPr="00D5464D">
        <w:rPr>
          <w:rFonts w:cs="Arial"/>
          <w:szCs w:val="20"/>
          <w:lang w:val="pt-BR"/>
        </w:rPr>
        <w:t>Trabalho</w:t>
      </w:r>
      <w:r w:rsidR="0003391C" w:rsidRPr="00D5464D">
        <w:rPr>
          <w:rFonts w:cs="Arial"/>
          <w:szCs w:val="20"/>
          <w:lang w:val="pt-BR"/>
        </w:rPr>
        <w:t>, contra</w:t>
      </w:r>
      <w:r w:rsidR="00470ADC" w:rsidRPr="00D5464D">
        <w:rPr>
          <w:rFonts w:cs="Arial"/>
          <w:szCs w:val="20"/>
          <w:lang w:val="pt-BR"/>
        </w:rPr>
        <w:t xml:space="preserve"> o </w:t>
      </w:r>
      <w:r w:rsidR="00230C71" w:rsidRPr="00D5464D">
        <w:rPr>
          <w:rFonts w:cs="Arial"/>
          <w:szCs w:val="20"/>
          <w:lang w:val="pt-BR"/>
        </w:rPr>
        <w:t>proprietário</w:t>
      </w:r>
      <w:r w:rsidR="00470ADC" w:rsidRPr="00D5464D">
        <w:rPr>
          <w:rFonts w:cs="Arial"/>
          <w:szCs w:val="20"/>
          <w:lang w:val="pt-BR"/>
        </w:rPr>
        <w:t xml:space="preserve"> da </w:t>
      </w:r>
      <w:r w:rsidR="00D809F0" w:rsidRPr="00D5464D">
        <w:rPr>
          <w:rFonts w:cs="Arial"/>
          <w:iCs/>
          <w:szCs w:val="20"/>
          <w:lang w:val="pt-BR"/>
        </w:rPr>
        <w:t>Fazenda</w:t>
      </w:r>
      <w:r w:rsidR="0003391C" w:rsidRPr="00D5464D">
        <w:rPr>
          <w:rFonts w:cs="Arial"/>
          <w:iCs/>
          <w:szCs w:val="20"/>
          <w:lang w:val="pt-BR"/>
        </w:rPr>
        <w:t xml:space="preserve"> Brasil Verde,</w:t>
      </w:r>
      <w:r w:rsidR="0003391C" w:rsidRPr="00D5464D">
        <w:rPr>
          <w:rFonts w:cs="Arial"/>
          <w:i/>
          <w:iCs/>
          <w:szCs w:val="20"/>
          <w:lang w:val="pt-BR"/>
        </w:rPr>
        <w:t xml:space="preserve"> </w:t>
      </w:r>
      <w:r w:rsidR="0003391C" w:rsidRPr="00D5464D">
        <w:rPr>
          <w:rFonts w:cs="Arial"/>
          <w:szCs w:val="20"/>
          <w:lang w:val="pt-BR"/>
        </w:rPr>
        <w:t>João Luiz Quagliato</w:t>
      </w:r>
      <w:r w:rsidR="003D1DA3" w:rsidRPr="00D5464D">
        <w:rPr>
          <w:rFonts w:cs="Arial"/>
          <w:szCs w:val="20"/>
          <w:lang w:val="pt-BR"/>
        </w:rPr>
        <w:t>.</w:t>
      </w:r>
      <w:r w:rsidR="0003391C" w:rsidRPr="00D5464D">
        <w:rPr>
          <w:rStyle w:val="Refdenotaalpie"/>
          <w:rFonts w:cs="Arial"/>
          <w:lang w:val="pt-BR"/>
        </w:rPr>
        <w:footnoteReference w:id="194"/>
      </w:r>
      <w:r w:rsidR="00A1358C" w:rsidRPr="00D5464D">
        <w:rPr>
          <w:rFonts w:cs="Arial"/>
          <w:szCs w:val="20"/>
          <w:lang w:val="pt-BR"/>
        </w:rPr>
        <w:t xml:space="preserve"> O </w:t>
      </w:r>
      <w:r w:rsidR="002C330E" w:rsidRPr="00D5464D">
        <w:rPr>
          <w:rFonts w:cs="Arial"/>
          <w:szCs w:val="20"/>
          <w:lang w:val="pt-BR"/>
        </w:rPr>
        <w:t>Ministério</w:t>
      </w:r>
      <w:r w:rsidR="0003391C" w:rsidRPr="00D5464D">
        <w:rPr>
          <w:rFonts w:cs="Arial"/>
          <w:szCs w:val="20"/>
          <w:lang w:val="pt-BR"/>
        </w:rPr>
        <w:t xml:space="preserve"> Público </w:t>
      </w:r>
      <w:r w:rsidR="00470ADC" w:rsidRPr="00D5464D">
        <w:rPr>
          <w:rFonts w:cs="Arial"/>
          <w:szCs w:val="20"/>
          <w:lang w:val="pt-BR"/>
        </w:rPr>
        <w:t>destacou</w:t>
      </w:r>
      <w:r w:rsidR="0003391C" w:rsidRPr="00D5464D">
        <w:rPr>
          <w:rFonts w:cs="Arial"/>
          <w:szCs w:val="20"/>
          <w:lang w:val="pt-BR"/>
        </w:rPr>
        <w:t xml:space="preserve"> </w:t>
      </w:r>
      <w:r w:rsidR="00A46DEF" w:rsidRPr="00D5464D">
        <w:rPr>
          <w:rFonts w:cs="Arial"/>
          <w:szCs w:val="20"/>
          <w:lang w:val="pt-BR"/>
        </w:rPr>
        <w:t>a conclusão de que</w:t>
      </w:r>
      <w:r w:rsidR="0003391C" w:rsidRPr="00D5464D">
        <w:rPr>
          <w:rFonts w:cs="Arial"/>
          <w:szCs w:val="20"/>
          <w:lang w:val="pt-BR"/>
        </w:rPr>
        <w:t>: i)</w:t>
      </w:r>
      <w:r w:rsidR="002C330E" w:rsidRPr="00D5464D">
        <w:rPr>
          <w:rFonts w:cs="Arial"/>
          <w:szCs w:val="20"/>
          <w:lang w:val="pt-BR"/>
        </w:rPr>
        <w:t xml:space="preserve"> a </w:t>
      </w:r>
      <w:r w:rsidR="00D809F0" w:rsidRPr="00D5464D">
        <w:rPr>
          <w:rFonts w:cs="Arial"/>
          <w:szCs w:val="20"/>
          <w:lang w:val="pt-BR"/>
        </w:rPr>
        <w:t>Fazenda</w:t>
      </w:r>
      <w:r w:rsidR="0003391C" w:rsidRPr="00D5464D">
        <w:rPr>
          <w:rFonts w:cs="Arial"/>
          <w:szCs w:val="20"/>
          <w:lang w:val="pt-BR"/>
        </w:rPr>
        <w:t xml:space="preserve"> Brasil Verde man</w:t>
      </w:r>
      <w:r w:rsidR="00E045D9" w:rsidRPr="00D5464D">
        <w:rPr>
          <w:rFonts w:cs="Arial"/>
          <w:szCs w:val="20"/>
          <w:lang w:val="pt-BR"/>
        </w:rPr>
        <w:t>tinha aos trabalhadores</w:t>
      </w:r>
      <w:r w:rsidR="0003391C" w:rsidRPr="00D5464D">
        <w:rPr>
          <w:rFonts w:cs="Arial"/>
          <w:szCs w:val="20"/>
          <w:lang w:val="pt-BR"/>
        </w:rPr>
        <w:t xml:space="preserve"> “e</w:t>
      </w:r>
      <w:r w:rsidR="00A46DEF" w:rsidRPr="00D5464D">
        <w:rPr>
          <w:rFonts w:cs="Arial"/>
          <w:szCs w:val="20"/>
          <w:lang w:val="pt-BR"/>
        </w:rPr>
        <w:t>m</w:t>
      </w:r>
      <w:r w:rsidR="00E045D9" w:rsidRPr="00D5464D">
        <w:rPr>
          <w:rFonts w:cs="Arial"/>
          <w:szCs w:val="20"/>
          <w:lang w:val="pt-BR"/>
        </w:rPr>
        <w:t xml:space="preserve"> um </w:t>
      </w:r>
      <w:r w:rsidR="0003391C" w:rsidRPr="00D5464D">
        <w:rPr>
          <w:rFonts w:cs="Arial"/>
          <w:szCs w:val="20"/>
          <w:lang w:val="pt-BR"/>
        </w:rPr>
        <w:t xml:space="preserve">sistema de </w:t>
      </w:r>
      <w:r w:rsidR="00A46DEF" w:rsidRPr="00D5464D">
        <w:rPr>
          <w:rFonts w:cs="Arial"/>
          <w:szCs w:val="20"/>
          <w:lang w:val="pt-BR"/>
        </w:rPr>
        <w:t xml:space="preserve">cárcere </w:t>
      </w:r>
      <w:r w:rsidR="0003391C" w:rsidRPr="00D5464D">
        <w:rPr>
          <w:rFonts w:cs="Arial"/>
          <w:szCs w:val="20"/>
          <w:lang w:val="pt-BR"/>
        </w:rPr>
        <w:t>privad</w:t>
      </w:r>
      <w:r w:rsidR="00A46DEF" w:rsidRPr="00D5464D">
        <w:rPr>
          <w:rFonts w:cs="Arial"/>
          <w:szCs w:val="20"/>
          <w:lang w:val="pt-BR"/>
        </w:rPr>
        <w:t>o</w:t>
      </w:r>
      <w:r w:rsidR="0003391C" w:rsidRPr="00D5464D">
        <w:rPr>
          <w:rFonts w:cs="Arial"/>
          <w:szCs w:val="20"/>
          <w:lang w:val="pt-BR"/>
        </w:rPr>
        <w:t xml:space="preserve">”; ii) </w:t>
      </w:r>
      <w:r w:rsidR="0003391C" w:rsidRPr="00D5464D">
        <w:rPr>
          <w:rFonts w:cs="Times New Roman"/>
          <w:szCs w:val="20"/>
          <w:lang w:val="pt-BR"/>
        </w:rPr>
        <w:t>“</w:t>
      </w:r>
      <w:r w:rsidR="00A46DEF" w:rsidRPr="00D5464D">
        <w:rPr>
          <w:rFonts w:cs="Times New Roman"/>
          <w:szCs w:val="20"/>
          <w:lang w:val="pt-BR"/>
        </w:rPr>
        <w:t>rest</w:t>
      </w:r>
      <w:r w:rsidR="0003391C" w:rsidRPr="00D5464D">
        <w:rPr>
          <w:rFonts w:cs="Arial"/>
          <w:szCs w:val="20"/>
          <w:lang w:val="pt-BR"/>
        </w:rPr>
        <w:t>[</w:t>
      </w:r>
      <w:r w:rsidR="00A46DEF" w:rsidRPr="00D5464D">
        <w:rPr>
          <w:rFonts w:cs="Arial"/>
          <w:szCs w:val="20"/>
          <w:lang w:val="pt-BR"/>
        </w:rPr>
        <w:t>ou</w:t>
      </w:r>
      <w:r w:rsidR="0003391C" w:rsidRPr="00D5464D">
        <w:rPr>
          <w:rFonts w:cs="Arial"/>
          <w:szCs w:val="20"/>
          <w:lang w:val="pt-BR"/>
        </w:rPr>
        <w:t>] caracterizado</w:t>
      </w:r>
      <w:r w:rsidR="00470ADC" w:rsidRPr="00D5464D">
        <w:rPr>
          <w:rFonts w:cs="Arial"/>
          <w:szCs w:val="20"/>
          <w:lang w:val="pt-BR"/>
        </w:rPr>
        <w:t xml:space="preserve"> o </w:t>
      </w:r>
      <w:r w:rsidR="00E045D9" w:rsidRPr="00D5464D">
        <w:rPr>
          <w:rFonts w:cs="Arial"/>
          <w:szCs w:val="20"/>
          <w:lang w:val="pt-BR"/>
        </w:rPr>
        <w:t>trabalho</w:t>
      </w:r>
      <w:r w:rsidR="00470ADC" w:rsidRPr="00D5464D">
        <w:rPr>
          <w:rFonts w:cs="Arial"/>
          <w:szCs w:val="20"/>
          <w:lang w:val="pt-BR"/>
        </w:rPr>
        <w:t xml:space="preserve"> em </w:t>
      </w:r>
      <w:r w:rsidR="002C330E" w:rsidRPr="00D5464D">
        <w:rPr>
          <w:rFonts w:cs="Arial"/>
          <w:szCs w:val="20"/>
          <w:lang w:val="pt-BR"/>
        </w:rPr>
        <w:t>regime</w:t>
      </w:r>
      <w:r w:rsidR="0003391C" w:rsidRPr="00D5464D">
        <w:rPr>
          <w:rFonts w:cs="Arial"/>
          <w:szCs w:val="20"/>
          <w:lang w:val="pt-BR"/>
        </w:rPr>
        <w:t xml:space="preserve"> de </w:t>
      </w:r>
      <w:r w:rsidR="000B376D" w:rsidRPr="00D5464D">
        <w:rPr>
          <w:rFonts w:cs="Arial"/>
          <w:szCs w:val="20"/>
          <w:lang w:val="pt-BR"/>
        </w:rPr>
        <w:t>escravidão</w:t>
      </w:r>
      <w:r w:rsidR="0003391C" w:rsidRPr="00D5464D">
        <w:rPr>
          <w:rFonts w:cs="Arial"/>
          <w:szCs w:val="20"/>
          <w:lang w:val="pt-BR"/>
        </w:rPr>
        <w:t>”</w:t>
      </w:r>
      <w:r w:rsidR="00470ADC" w:rsidRPr="00D5464D">
        <w:rPr>
          <w:rFonts w:cs="Arial"/>
          <w:szCs w:val="20"/>
          <w:lang w:val="pt-BR"/>
        </w:rPr>
        <w:t>, e</w:t>
      </w:r>
      <w:r w:rsidR="0003391C" w:rsidRPr="00D5464D">
        <w:rPr>
          <w:rFonts w:cs="Arial"/>
          <w:szCs w:val="20"/>
          <w:lang w:val="pt-BR"/>
        </w:rPr>
        <w:t xml:space="preserve"> iii)</w:t>
      </w:r>
      <w:r w:rsidR="002C330E" w:rsidRPr="00D5464D">
        <w:rPr>
          <w:rFonts w:cs="Arial"/>
          <w:szCs w:val="20"/>
          <w:lang w:val="pt-BR"/>
        </w:rPr>
        <w:t xml:space="preserve"> a </w:t>
      </w:r>
      <w:r w:rsidR="0003391C" w:rsidRPr="00D5464D">
        <w:rPr>
          <w:rFonts w:cs="Arial"/>
          <w:szCs w:val="20"/>
          <w:lang w:val="pt-BR"/>
        </w:rPr>
        <w:t>situa</w:t>
      </w:r>
      <w:r w:rsidR="00470ADC" w:rsidRPr="00D5464D">
        <w:rPr>
          <w:rFonts w:cs="Arial"/>
          <w:szCs w:val="20"/>
          <w:lang w:val="pt-BR"/>
        </w:rPr>
        <w:t>ção</w:t>
      </w:r>
      <w:r w:rsidR="0003391C" w:rsidRPr="00D5464D">
        <w:rPr>
          <w:rFonts w:cs="Arial"/>
          <w:szCs w:val="20"/>
          <w:lang w:val="pt-BR"/>
        </w:rPr>
        <w:t xml:space="preserve"> se agrav</w:t>
      </w:r>
      <w:r w:rsidR="00350187" w:rsidRPr="00D5464D">
        <w:rPr>
          <w:rFonts w:cs="Arial"/>
          <w:szCs w:val="20"/>
          <w:lang w:val="pt-BR"/>
        </w:rPr>
        <w:t>a</w:t>
      </w:r>
      <w:r w:rsidR="00A46DEF" w:rsidRPr="00D5464D">
        <w:rPr>
          <w:rFonts w:cs="Arial"/>
          <w:szCs w:val="20"/>
          <w:lang w:val="pt-BR"/>
        </w:rPr>
        <w:t>[</w:t>
      </w:r>
      <w:r w:rsidR="00350187" w:rsidRPr="00D5464D">
        <w:rPr>
          <w:rFonts w:cs="Arial"/>
          <w:szCs w:val="20"/>
          <w:lang w:val="pt-BR"/>
        </w:rPr>
        <w:t>va</w:t>
      </w:r>
      <w:r w:rsidR="00A46DEF" w:rsidRPr="00D5464D">
        <w:rPr>
          <w:rFonts w:cs="Arial"/>
          <w:szCs w:val="20"/>
          <w:lang w:val="pt-BR"/>
        </w:rPr>
        <w:t>]</w:t>
      </w:r>
      <w:r w:rsidR="00350187" w:rsidRPr="00D5464D">
        <w:rPr>
          <w:rFonts w:cs="Arial"/>
          <w:szCs w:val="20"/>
          <w:lang w:val="pt-BR"/>
        </w:rPr>
        <w:t xml:space="preserve"> </w:t>
      </w:r>
      <w:r w:rsidR="00A46DEF" w:rsidRPr="00D5464D">
        <w:rPr>
          <w:rFonts w:cs="Arial"/>
          <w:szCs w:val="20"/>
          <w:lang w:val="pt-BR"/>
        </w:rPr>
        <w:t xml:space="preserve">ainda mais porque são </w:t>
      </w:r>
      <w:r w:rsidR="00E045D9" w:rsidRPr="00D5464D">
        <w:rPr>
          <w:rFonts w:cs="Arial"/>
          <w:szCs w:val="20"/>
          <w:lang w:val="pt-BR"/>
        </w:rPr>
        <w:t>trabalhadores</w:t>
      </w:r>
      <w:r w:rsidR="0003391C" w:rsidRPr="00D5464D">
        <w:rPr>
          <w:rFonts w:cs="Arial"/>
          <w:szCs w:val="20"/>
          <w:lang w:val="pt-BR"/>
        </w:rPr>
        <w:t xml:space="preserve"> </w:t>
      </w:r>
      <w:r w:rsidR="00E045D9" w:rsidRPr="00D5464D">
        <w:rPr>
          <w:rFonts w:cs="Arial"/>
          <w:szCs w:val="20"/>
          <w:lang w:val="pt-BR"/>
        </w:rPr>
        <w:t>rurais</w:t>
      </w:r>
      <w:r w:rsidR="0003391C" w:rsidRPr="00D5464D">
        <w:rPr>
          <w:rFonts w:cs="Arial"/>
          <w:szCs w:val="20"/>
          <w:lang w:val="pt-BR"/>
        </w:rPr>
        <w:t>, analfabetos</w:t>
      </w:r>
      <w:r w:rsidR="00E045D9" w:rsidRPr="00D5464D">
        <w:rPr>
          <w:rFonts w:cs="Arial"/>
          <w:szCs w:val="20"/>
          <w:lang w:val="pt-BR"/>
        </w:rPr>
        <w:t xml:space="preserve"> e </w:t>
      </w:r>
      <w:r w:rsidR="002C330E" w:rsidRPr="00D5464D">
        <w:rPr>
          <w:rFonts w:cs="Arial"/>
          <w:szCs w:val="20"/>
          <w:lang w:val="pt-BR"/>
        </w:rPr>
        <w:t>sem nenhum</w:t>
      </w:r>
      <w:r w:rsidR="00A46DEF" w:rsidRPr="00D5464D">
        <w:rPr>
          <w:rFonts w:cs="Arial"/>
          <w:szCs w:val="20"/>
          <w:lang w:val="pt-BR"/>
        </w:rPr>
        <w:t xml:space="preserve"> esclarecimento e foram </w:t>
      </w:r>
      <w:r w:rsidR="002C330E" w:rsidRPr="00D5464D">
        <w:rPr>
          <w:rFonts w:cs="Arial"/>
          <w:szCs w:val="20"/>
          <w:lang w:val="pt-BR"/>
        </w:rPr>
        <w:t>submetido</w:t>
      </w:r>
      <w:r w:rsidR="0003391C" w:rsidRPr="00D5464D">
        <w:rPr>
          <w:rFonts w:cs="Arial"/>
          <w:szCs w:val="20"/>
          <w:lang w:val="pt-BR"/>
        </w:rPr>
        <w:t>s “a condi</w:t>
      </w:r>
      <w:r w:rsidR="00470ADC" w:rsidRPr="00D5464D">
        <w:rPr>
          <w:rFonts w:cs="Arial"/>
          <w:szCs w:val="20"/>
          <w:lang w:val="pt-BR"/>
        </w:rPr>
        <w:t>ções</w:t>
      </w:r>
      <w:r w:rsidR="0003391C" w:rsidRPr="00D5464D">
        <w:rPr>
          <w:rFonts w:cs="Arial"/>
          <w:szCs w:val="20"/>
          <w:lang w:val="pt-BR"/>
        </w:rPr>
        <w:t xml:space="preserve"> de vida degradantes”</w:t>
      </w:r>
      <w:r w:rsidR="00A46DEF" w:rsidRPr="00D5464D">
        <w:rPr>
          <w:rFonts w:cs="Arial"/>
          <w:szCs w:val="20"/>
          <w:lang w:val="pt-BR"/>
        </w:rPr>
        <w:t>.</w:t>
      </w:r>
      <w:r w:rsidR="0003391C" w:rsidRPr="00D5464D">
        <w:rPr>
          <w:rStyle w:val="Refdenotaalpie"/>
          <w:rFonts w:cs="Arial"/>
          <w:lang w:val="pt-BR"/>
        </w:rPr>
        <w:footnoteReference w:id="195"/>
      </w:r>
      <w:r w:rsidR="0003391C" w:rsidRPr="00D5464D">
        <w:rPr>
          <w:rFonts w:cs="Arial"/>
          <w:szCs w:val="20"/>
          <w:lang w:val="pt-BR"/>
        </w:rPr>
        <w:t xml:space="preserve"> </w:t>
      </w:r>
    </w:p>
    <w:p w14:paraId="6BAE3899" w14:textId="77777777" w:rsidR="0003391C" w:rsidRPr="00D5464D" w:rsidRDefault="0003391C" w:rsidP="00140440">
      <w:pPr>
        <w:pStyle w:val="Prrafodelista"/>
        <w:autoSpaceDE w:val="0"/>
        <w:autoSpaceDN w:val="0"/>
        <w:adjustRightInd w:val="0"/>
        <w:ind w:left="0"/>
        <w:contextualSpacing w:val="0"/>
        <w:rPr>
          <w:rFonts w:cs="Arial"/>
          <w:szCs w:val="20"/>
          <w:lang w:val="pt-BR"/>
        </w:rPr>
      </w:pPr>
    </w:p>
    <w:p w14:paraId="15BE38C0" w14:textId="7BD916B9" w:rsidR="0003391C" w:rsidRPr="00D5464D" w:rsidRDefault="00BC00F3" w:rsidP="00140440">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Pelas razões expostas acima</w:t>
      </w:r>
      <w:r w:rsidR="0003391C" w:rsidRPr="00D5464D">
        <w:rPr>
          <w:rFonts w:cs="Arial"/>
          <w:szCs w:val="20"/>
          <w:lang w:val="pt-BR"/>
        </w:rPr>
        <w:t>,</w:t>
      </w:r>
      <w:r w:rsidR="00470ADC" w:rsidRPr="00D5464D">
        <w:rPr>
          <w:rFonts w:cs="Arial"/>
          <w:szCs w:val="20"/>
          <w:lang w:val="pt-BR"/>
        </w:rPr>
        <w:t xml:space="preserve"> o </w:t>
      </w:r>
      <w:r w:rsidR="002C330E" w:rsidRPr="00D5464D">
        <w:rPr>
          <w:rFonts w:cs="Arial"/>
          <w:szCs w:val="20"/>
          <w:lang w:val="pt-BR"/>
        </w:rPr>
        <w:t>Ministério</w:t>
      </w:r>
      <w:r w:rsidR="0003391C" w:rsidRPr="00D5464D">
        <w:rPr>
          <w:rFonts w:cs="Arial"/>
          <w:szCs w:val="20"/>
          <w:lang w:val="pt-BR"/>
        </w:rPr>
        <w:t xml:space="preserve"> Público </w:t>
      </w:r>
      <w:r w:rsidR="00470ADC" w:rsidRPr="00D5464D">
        <w:rPr>
          <w:rFonts w:cs="Arial"/>
          <w:szCs w:val="20"/>
          <w:lang w:val="pt-BR"/>
        </w:rPr>
        <w:t xml:space="preserve">do </w:t>
      </w:r>
      <w:r w:rsidR="00E045D9" w:rsidRPr="00D5464D">
        <w:rPr>
          <w:rFonts w:cs="Arial"/>
          <w:szCs w:val="20"/>
          <w:lang w:val="pt-BR"/>
        </w:rPr>
        <w:t>Trabalho</w:t>
      </w:r>
      <w:r w:rsidR="0003391C" w:rsidRPr="00D5464D">
        <w:rPr>
          <w:rFonts w:cs="Arial"/>
          <w:szCs w:val="20"/>
          <w:lang w:val="pt-BR"/>
        </w:rPr>
        <w:t xml:space="preserve"> </w:t>
      </w:r>
      <w:r w:rsidR="00470ADC" w:rsidRPr="00D5464D">
        <w:rPr>
          <w:rFonts w:cs="Arial"/>
          <w:szCs w:val="20"/>
          <w:lang w:val="pt-BR"/>
        </w:rPr>
        <w:t>concluiu</w:t>
      </w:r>
      <w:r w:rsidR="0003391C" w:rsidRPr="00D5464D">
        <w:rPr>
          <w:rFonts w:cs="Arial"/>
          <w:szCs w:val="20"/>
          <w:lang w:val="pt-BR"/>
        </w:rPr>
        <w:t xml:space="preserve"> que João Luiz Quagliato </w:t>
      </w:r>
      <w:r w:rsidR="00470ADC" w:rsidRPr="00D5464D">
        <w:rPr>
          <w:rFonts w:cs="Arial"/>
          <w:szCs w:val="20"/>
          <w:lang w:val="pt-BR"/>
        </w:rPr>
        <w:t xml:space="preserve">devia </w:t>
      </w:r>
      <w:r w:rsidR="0003391C" w:rsidRPr="00D5464D">
        <w:rPr>
          <w:rFonts w:cs="Arial"/>
          <w:szCs w:val="20"/>
          <w:lang w:val="pt-BR"/>
        </w:rPr>
        <w:t>“ce</w:t>
      </w:r>
      <w:r w:rsidR="00C1266B" w:rsidRPr="00D5464D">
        <w:rPr>
          <w:rFonts w:cs="Arial"/>
          <w:szCs w:val="20"/>
          <w:lang w:val="pt-BR"/>
        </w:rPr>
        <w:t>s</w:t>
      </w:r>
      <w:r w:rsidR="0003391C" w:rsidRPr="00D5464D">
        <w:rPr>
          <w:rFonts w:cs="Arial"/>
          <w:szCs w:val="20"/>
          <w:lang w:val="pt-BR"/>
        </w:rPr>
        <w:t>sar</w:t>
      </w:r>
      <w:r w:rsidR="00470ADC" w:rsidRPr="00D5464D">
        <w:rPr>
          <w:rFonts w:cs="Arial"/>
          <w:szCs w:val="20"/>
          <w:lang w:val="pt-BR"/>
        </w:rPr>
        <w:t xml:space="preserve"> o </w:t>
      </w:r>
      <w:r w:rsidR="00E045D9" w:rsidRPr="00D5464D">
        <w:rPr>
          <w:rFonts w:cs="Arial"/>
          <w:szCs w:val="20"/>
          <w:lang w:val="pt-BR"/>
        </w:rPr>
        <w:t>trabalho</w:t>
      </w:r>
      <w:r w:rsidR="0003391C" w:rsidRPr="00D5464D">
        <w:rPr>
          <w:rFonts w:cs="Arial"/>
          <w:szCs w:val="20"/>
          <w:lang w:val="pt-BR"/>
        </w:rPr>
        <w:t xml:space="preserve"> </w:t>
      </w:r>
      <w:r w:rsidR="004F1CC2" w:rsidRPr="00D5464D">
        <w:rPr>
          <w:rFonts w:cs="Arial"/>
          <w:szCs w:val="20"/>
          <w:lang w:val="pt-BR"/>
        </w:rPr>
        <w:t>escravo</w:t>
      </w:r>
      <w:r w:rsidR="0003391C" w:rsidRPr="00D5464D">
        <w:rPr>
          <w:rFonts w:cs="Arial"/>
          <w:szCs w:val="20"/>
          <w:lang w:val="pt-BR"/>
        </w:rPr>
        <w:t>, interr</w:t>
      </w:r>
      <w:r w:rsidR="00C1266B" w:rsidRPr="00D5464D">
        <w:rPr>
          <w:rFonts w:cs="Arial"/>
          <w:szCs w:val="20"/>
          <w:lang w:val="pt-BR"/>
        </w:rPr>
        <w:t>o</w:t>
      </w:r>
      <w:r w:rsidR="0003391C" w:rsidRPr="00D5464D">
        <w:rPr>
          <w:rFonts w:cs="Arial"/>
          <w:szCs w:val="20"/>
          <w:lang w:val="pt-BR"/>
        </w:rPr>
        <w:t>mpendo</w:t>
      </w:r>
      <w:r w:rsidR="002C330E" w:rsidRPr="00D5464D">
        <w:rPr>
          <w:rFonts w:cs="Arial"/>
          <w:szCs w:val="20"/>
          <w:lang w:val="pt-BR"/>
        </w:rPr>
        <w:t xml:space="preserve"> os </w:t>
      </w:r>
      <w:r w:rsidR="00E045D9" w:rsidRPr="00D5464D">
        <w:rPr>
          <w:rFonts w:cs="Arial"/>
          <w:szCs w:val="20"/>
          <w:lang w:val="pt-BR"/>
        </w:rPr>
        <w:t>trabalho</w:t>
      </w:r>
      <w:r w:rsidR="0003391C" w:rsidRPr="00D5464D">
        <w:rPr>
          <w:rFonts w:cs="Arial"/>
          <w:szCs w:val="20"/>
          <w:lang w:val="pt-BR"/>
        </w:rPr>
        <w:t xml:space="preserve">s </w:t>
      </w:r>
      <w:r w:rsidR="00470ADC" w:rsidRPr="00D5464D">
        <w:rPr>
          <w:rFonts w:cs="Arial"/>
          <w:szCs w:val="20"/>
          <w:lang w:val="pt-BR"/>
        </w:rPr>
        <w:t>forçado</w:t>
      </w:r>
      <w:r w:rsidR="0003391C" w:rsidRPr="00D5464D">
        <w:rPr>
          <w:rFonts w:cs="Arial"/>
          <w:szCs w:val="20"/>
          <w:lang w:val="pt-BR"/>
        </w:rPr>
        <w:t>s</w:t>
      </w:r>
      <w:r w:rsidR="00E045D9" w:rsidRPr="00D5464D">
        <w:rPr>
          <w:rFonts w:cs="Arial"/>
          <w:szCs w:val="20"/>
          <w:lang w:val="pt-BR"/>
        </w:rPr>
        <w:t xml:space="preserve"> e </w:t>
      </w:r>
      <w:r w:rsidR="00470ADC" w:rsidRPr="00D5464D">
        <w:rPr>
          <w:rFonts w:cs="Arial"/>
          <w:szCs w:val="20"/>
          <w:lang w:val="pt-BR"/>
        </w:rPr>
        <w:t xml:space="preserve">o </w:t>
      </w:r>
      <w:r w:rsidR="002C330E" w:rsidRPr="00D5464D">
        <w:rPr>
          <w:rFonts w:cs="Arial"/>
          <w:szCs w:val="20"/>
          <w:lang w:val="pt-BR"/>
        </w:rPr>
        <w:t>regime</w:t>
      </w:r>
      <w:r w:rsidR="0003391C" w:rsidRPr="00D5464D">
        <w:rPr>
          <w:rFonts w:cs="Arial"/>
          <w:szCs w:val="20"/>
          <w:lang w:val="pt-BR"/>
        </w:rPr>
        <w:t xml:space="preserve"> de </w:t>
      </w:r>
      <w:r w:rsidR="00C1266B" w:rsidRPr="00D5464D">
        <w:rPr>
          <w:rFonts w:cs="Arial"/>
          <w:szCs w:val="20"/>
          <w:lang w:val="pt-BR"/>
        </w:rPr>
        <w:t xml:space="preserve">cárcere privado </w:t>
      </w:r>
      <w:r w:rsidR="00E045D9" w:rsidRPr="00D5464D">
        <w:rPr>
          <w:rFonts w:cs="Arial"/>
          <w:szCs w:val="20"/>
          <w:lang w:val="pt-BR"/>
        </w:rPr>
        <w:t xml:space="preserve">e </w:t>
      </w:r>
      <w:r w:rsidR="00C1266B" w:rsidRPr="00D5464D">
        <w:rPr>
          <w:rFonts w:cs="Arial"/>
          <w:szCs w:val="20"/>
          <w:lang w:val="pt-BR"/>
        </w:rPr>
        <w:t xml:space="preserve">jamais </w:t>
      </w:r>
      <w:r w:rsidR="00737270" w:rsidRPr="00D5464D">
        <w:rPr>
          <w:rFonts w:cs="Arial"/>
          <w:szCs w:val="20"/>
          <w:lang w:val="pt-BR"/>
        </w:rPr>
        <w:t>praticar</w:t>
      </w:r>
      <w:r w:rsidR="00470ADC" w:rsidRPr="00D5464D">
        <w:rPr>
          <w:rFonts w:cs="Arial"/>
          <w:szCs w:val="20"/>
          <w:lang w:val="pt-BR"/>
        </w:rPr>
        <w:t xml:space="preserve"> </w:t>
      </w:r>
      <w:r w:rsidR="00C1266B" w:rsidRPr="00D5464D">
        <w:rPr>
          <w:rFonts w:cs="Arial"/>
          <w:szCs w:val="20"/>
          <w:lang w:val="pt-BR"/>
        </w:rPr>
        <w:t xml:space="preserve">novamente </w:t>
      </w:r>
      <w:r w:rsidR="00470ADC" w:rsidRPr="00D5464D">
        <w:rPr>
          <w:rFonts w:cs="Arial"/>
          <w:szCs w:val="20"/>
          <w:lang w:val="pt-BR"/>
        </w:rPr>
        <w:t xml:space="preserve">o </w:t>
      </w:r>
      <w:r w:rsidR="00E045D9" w:rsidRPr="00D5464D">
        <w:rPr>
          <w:rFonts w:cs="Arial"/>
          <w:szCs w:val="20"/>
          <w:lang w:val="pt-BR"/>
        </w:rPr>
        <w:t>trabalho</w:t>
      </w:r>
      <w:r w:rsidR="0003391C" w:rsidRPr="00D5464D">
        <w:rPr>
          <w:rFonts w:cs="Arial"/>
          <w:szCs w:val="20"/>
          <w:lang w:val="pt-BR"/>
        </w:rPr>
        <w:t xml:space="preserve"> </w:t>
      </w:r>
      <w:r w:rsidR="004F1CC2" w:rsidRPr="00D5464D">
        <w:rPr>
          <w:rFonts w:cs="Arial"/>
          <w:szCs w:val="20"/>
          <w:lang w:val="pt-BR"/>
        </w:rPr>
        <w:t>escravo</w:t>
      </w:r>
      <w:r w:rsidR="0003391C" w:rsidRPr="00D5464D">
        <w:rPr>
          <w:rFonts w:cs="Arial"/>
          <w:szCs w:val="20"/>
          <w:lang w:val="pt-BR"/>
        </w:rPr>
        <w:t>, por</w:t>
      </w:r>
      <w:r w:rsidR="00C1266B" w:rsidRPr="00D5464D">
        <w:rPr>
          <w:rFonts w:cs="Arial"/>
          <w:szCs w:val="20"/>
          <w:lang w:val="pt-BR"/>
        </w:rPr>
        <w:t xml:space="preserve"> se </w:t>
      </w:r>
      <w:r w:rsidR="0003391C" w:rsidRPr="00D5464D">
        <w:rPr>
          <w:rFonts w:cs="Arial"/>
          <w:szCs w:val="20"/>
          <w:lang w:val="pt-BR"/>
        </w:rPr>
        <w:t>configura</w:t>
      </w:r>
      <w:r w:rsidR="00C1266B" w:rsidRPr="00D5464D">
        <w:rPr>
          <w:rFonts w:cs="Arial"/>
          <w:szCs w:val="20"/>
          <w:lang w:val="pt-BR"/>
        </w:rPr>
        <w:t>r</w:t>
      </w:r>
      <w:r w:rsidR="0003391C" w:rsidRPr="00D5464D">
        <w:rPr>
          <w:rFonts w:cs="Arial"/>
          <w:szCs w:val="20"/>
          <w:lang w:val="pt-BR"/>
        </w:rPr>
        <w:t xml:space="preserve"> </w:t>
      </w:r>
      <w:r w:rsidR="00C1266B" w:rsidRPr="00D5464D">
        <w:rPr>
          <w:rFonts w:cs="Arial"/>
          <w:szCs w:val="20"/>
          <w:lang w:val="pt-BR"/>
        </w:rPr>
        <w:t xml:space="preserve">crime </w:t>
      </w:r>
      <w:r w:rsidR="00E045D9" w:rsidRPr="00D5464D">
        <w:rPr>
          <w:rFonts w:cs="Arial"/>
          <w:szCs w:val="20"/>
          <w:lang w:val="pt-BR"/>
        </w:rPr>
        <w:t xml:space="preserve">e </w:t>
      </w:r>
      <w:r w:rsidR="0003391C" w:rsidRPr="00D5464D">
        <w:rPr>
          <w:rFonts w:cs="Arial"/>
          <w:szCs w:val="20"/>
          <w:lang w:val="pt-BR"/>
        </w:rPr>
        <w:t>atentado contra</w:t>
      </w:r>
      <w:r w:rsidR="002C330E" w:rsidRPr="00D5464D">
        <w:rPr>
          <w:rFonts w:cs="Arial"/>
          <w:szCs w:val="20"/>
          <w:lang w:val="pt-BR"/>
        </w:rPr>
        <w:t xml:space="preserve"> a liberdade </w:t>
      </w:r>
      <w:r w:rsidR="0003391C" w:rsidRPr="00D5464D">
        <w:rPr>
          <w:rFonts w:cs="Arial"/>
          <w:szCs w:val="20"/>
          <w:lang w:val="pt-BR"/>
        </w:rPr>
        <w:t>d</w:t>
      </w:r>
      <w:r w:rsidR="00C1266B" w:rsidRPr="00D5464D">
        <w:rPr>
          <w:rFonts w:cs="Arial"/>
          <w:szCs w:val="20"/>
          <w:lang w:val="pt-BR"/>
        </w:rPr>
        <w:t>o</w:t>
      </w:r>
      <w:r w:rsidR="0003391C" w:rsidRPr="00D5464D">
        <w:rPr>
          <w:rFonts w:cs="Arial"/>
          <w:szCs w:val="20"/>
          <w:lang w:val="pt-BR"/>
        </w:rPr>
        <w:t xml:space="preserve"> </w:t>
      </w:r>
      <w:r w:rsidR="00E045D9" w:rsidRPr="00D5464D">
        <w:rPr>
          <w:rFonts w:cs="Arial"/>
          <w:szCs w:val="20"/>
          <w:lang w:val="pt-BR"/>
        </w:rPr>
        <w:t>trabalho</w:t>
      </w:r>
      <w:r w:rsidR="0003391C" w:rsidRPr="00D5464D">
        <w:rPr>
          <w:rFonts w:cs="Arial"/>
          <w:szCs w:val="20"/>
          <w:lang w:val="pt-BR"/>
        </w:rPr>
        <w:t>”</w:t>
      </w:r>
      <w:r w:rsidR="00C1266B" w:rsidRPr="00D5464D">
        <w:rPr>
          <w:rFonts w:cs="Arial"/>
          <w:szCs w:val="20"/>
          <w:lang w:val="pt-BR"/>
        </w:rPr>
        <w:t>.</w:t>
      </w:r>
      <w:r w:rsidR="0003391C" w:rsidRPr="00D5464D">
        <w:rPr>
          <w:rStyle w:val="Refdenotaalpie"/>
          <w:rFonts w:cs="Arial"/>
          <w:lang w:val="pt-BR"/>
        </w:rPr>
        <w:footnoteReference w:id="196"/>
      </w:r>
      <w:r w:rsidR="0003391C" w:rsidRPr="00D5464D">
        <w:rPr>
          <w:rFonts w:cs="Arial"/>
          <w:szCs w:val="20"/>
          <w:lang w:val="pt-BR"/>
        </w:rPr>
        <w:t xml:space="preserve"> </w:t>
      </w:r>
    </w:p>
    <w:p w14:paraId="28F452CE" w14:textId="77777777" w:rsidR="00D65024" w:rsidRPr="00D5464D" w:rsidRDefault="00D65024" w:rsidP="00D65024">
      <w:pPr>
        <w:pStyle w:val="Prrafodelista"/>
        <w:autoSpaceDE w:val="0"/>
        <w:autoSpaceDN w:val="0"/>
        <w:adjustRightInd w:val="0"/>
        <w:ind w:left="0"/>
        <w:contextualSpacing w:val="0"/>
        <w:rPr>
          <w:rFonts w:cs="Arial"/>
          <w:szCs w:val="20"/>
          <w:lang w:val="pt-BR"/>
        </w:rPr>
      </w:pPr>
    </w:p>
    <w:p w14:paraId="6BDCA395" w14:textId="63FD48B6" w:rsidR="0003391C" w:rsidRPr="00D5464D" w:rsidRDefault="00C91CB1" w:rsidP="00140440">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Em 9</w:t>
      </w:r>
      <w:r w:rsidR="0003391C" w:rsidRPr="00D5464D">
        <w:rPr>
          <w:rFonts w:cs="Arial"/>
          <w:szCs w:val="20"/>
          <w:lang w:val="pt-BR"/>
        </w:rPr>
        <w:t xml:space="preserve"> de </w:t>
      </w:r>
      <w:r w:rsidR="002C330E" w:rsidRPr="00D5464D">
        <w:rPr>
          <w:rFonts w:cs="Arial"/>
          <w:szCs w:val="20"/>
          <w:lang w:val="pt-BR"/>
        </w:rPr>
        <w:t>junho</w:t>
      </w:r>
      <w:r w:rsidR="0003391C" w:rsidRPr="00D5464D">
        <w:rPr>
          <w:rFonts w:cs="Arial"/>
          <w:szCs w:val="20"/>
          <w:lang w:val="pt-BR"/>
        </w:rPr>
        <w:t xml:space="preserve"> de 2000</w:t>
      </w:r>
      <w:r w:rsidR="00C1266B" w:rsidRPr="00D5464D">
        <w:rPr>
          <w:rFonts w:cs="Arial"/>
          <w:szCs w:val="20"/>
          <w:lang w:val="pt-BR"/>
        </w:rPr>
        <w:t>,</w:t>
      </w:r>
      <w:r w:rsidR="002C330E" w:rsidRPr="00D5464D">
        <w:rPr>
          <w:rFonts w:cs="Arial"/>
          <w:szCs w:val="20"/>
          <w:lang w:val="pt-BR"/>
        </w:rPr>
        <w:t xml:space="preserve"> a </w:t>
      </w:r>
      <w:r w:rsidR="0003391C" w:rsidRPr="00D5464D">
        <w:rPr>
          <w:rFonts w:cs="Arial"/>
          <w:szCs w:val="20"/>
          <w:lang w:val="pt-BR"/>
        </w:rPr>
        <w:t>Junta de Concilia</w:t>
      </w:r>
      <w:r w:rsidR="00470ADC" w:rsidRPr="00D5464D">
        <w:rPr>
          <w:rFonts w:cs="Arial"/>
          <w:szCs w:val="20"/>
          <w:lang w:val="pt-BR"/>
        </w:rPr>
        <w:t>ção</w:t>
      </w:r>
      <w:r w:rsidR="00E045D9" w:rsidRPr="00D5464D">
        <w:rPr>
          <w:rFonts w:cs="Arial"/>
          <w:szCs w:val="20"/>
          <w:lang w:val="pt-BR"/>
        </w:rPr>
        <w:t xml:space="preserve"> e </w:t>
      </w:r>
      <w:r w:rsidR="002C330E" w:rsidRPr="00D5464D">
        <w:rPr>
          <w:rFonts w:cs="Arial"/>
          <w:szCs w:val="20"/>
          <w:lang w:val="pt-BR"/>
        </w:rPr>
        <w:t>Julgamento</w:t>
      </w:r>
      <w:r w:rsidR="0003391C" w:rsidRPr="00D5464D">
        <w:rPr>
          <w:rFonts w:cs="Arial"/>
          <w:szCs w:val="20"/>
          <w:lang w:val="pt-BR"/>
        </w:rPr>
        <w:t xml:space="preserve"> de </w:t>
      </w:r>
      <w:r w:rsidR="00FF5FD4" w:rsidRPr="00D5464D">
        <w:rPr>
          <w:rFonts w:cs="Arial"/>
          <w:szCs w:val="20"/>
          <w:lang w:val="pt-BR"/>
        </w:rPr>
        <w:t xml:space="preserve">Conceição do </w:t>
      </w:r>
      <w:r w:rsidR="0003391C" w:rsidRPr="00D5464D">
        <w:rPr>
          <w:rFonts w:cs="Arial"/>
          <w:szCs w:val="20"/>
          <w:lang w:val="pt-BR"/>
        </w:rPr>
        <w:t xml:space="preserve">Araguaia </w:t>
      </w:r>
      <w:r w:rsidR="00470ADC" w:rsidRPr="00D5464D">
        <w:rPr>
          <w:rFonts w:cs="Arial"/>
          <w:szCs w:val="20"/>
          <w:lang w:val="pt-BR"/>
        </w:rPr>
        <w:t xml:space="preserve">convocou o </w:t>
      </w:r>
      <w:r w:rsidR="002C330E" w:rsidRPr="00D5464D">
        <w:rPr>
          <w:rFonts w:cs="Arial"/>
          <w:szCs w:val="20"/>
          <w:lang w:val="pt-BR"/>
        </w:rPr>
        <w:t>Ministério</w:t>
      </w:r>
      <w:r w:rsidR="0003391C" w:rsidRPr="00D5464D">
        <w:rPr>
          <w:rFonts w:cs="Arial"/>
          <w:szCs w:val="20"/>
          <w:lang w:val="pt-BR"/>
        </w:rPr>
        <w:t xml:space="preserve"> Público </w:t>
      </w:r>
      <w:r w:rsidR="00470ADC" w:rsidRPr="00D5464D">
        <w:rPr>
          <w:rFonts w:cs="Arial"/>
          <w:szCs w:val="20"/>
          <w:lang w:val="pt-BR"/>
        </w:rPr>
        <w:t xml:space="preserve">do </w:t>
      </w:r>
      <w:r w:rsidR="00E045D9" w:rsidRPr="00D5464D">
        <w:rPr>
          <w:rFonts w:cs="Arial"/>
          <w:szCs w:val="20"/>
          <w:lang w:val="pt-BR"/>
        </w:rPr>
        <w:t xml:space="preserve">Trabalho e </w:t>
      </w:r>
      <w:r w:rsidR="00470ADC" w:rsidRPr="00D5464D">
        <w:rPr>
          <w:rFonts w:cs="Arial"/>
          <w:szCs w:val="20"/>
          <w:lang w:val="pt-BR"/>
        </w:rPr>
        <w:t xml:space="preserve">o </w:t>
      </w:r>
      <w:r w:rsidR="002C330E" w:rsidRPr="00D5464D">
        <w:rPr>
          <w:rFonts w:cs="Arial"/>
          <w:szCs w:val="20"/>
          <w:lang w:val="pt-BR"/>
        </w:rPr>
        <w:t xml:space="preserve">senhor </w:t>
      </w:r>
      <w:r w:rsidR="0003391C" w:rsidRPr="00D5464D">
        <w:rPr>
          <w:rFonts w:cs="Arial"/>
          <w:szCs w:val="20"/>
          <w:lang w:val="pt-BR"/>
        </w:rPr>
        <w:t xml:space="preserve">João Luiz Quagliato </w:t>
      </w:r>
      <w:r w:rsidR="00BC00F3" w:rsidRPr="00D5464D">
        <w:rPr>
          <w:rFonts w:cs="Arial"/>
          <w:szCs w:val="20"/>
          <w:lang w:val="pt-BR"/>
        </w:rPr>
        <w:t>par</w:t>
      </w:r>
      <w:r w:rsidR="0003391C" w:rsidRPr="00D5464D">
        <w:rPr>
          <w:rFonts w:cs="Arial"/>
          <w:szCs w:val="20"/>
          <w:lang w:val="pt-BR"/>
        </w:rPr>
        <w:t>a</w:t>
      </w:r>
      <w:r w:rsidR="00E045D9" w:rsidRPr="00D5464D">
        <w:rPr>
          <w:rFonts w:cs="Arial"/>
          <w:szCs w:val="20"/>
          <w:lang w:val="pt-BR"/>
        </w:rPr>
        <w:t xml:space="preserve"> uma </w:t>
      </w:r>
      <w:r w:rsidR="00470ADC" w:rsidRPr="00D5464D">
        <w:rPr>
          <w:rFonts w:cs="Arial"/>
          <w:szCs w:val="20"/>
          <w:lang w:val="pt-BR"/>
        </w:rPr>
        <w:t>audiência</w:t>
      </w:r>
      <w:r w:rsidR="0003391C" w:rsidRPr="00D5464D">
        <w:rPr>
          <w:rFonts w:cs="Arial"/>
          <w:szCs w:val="20"/>
          <w:lang w:val="pt-BR"/>
        </w:rPr>
        <w:t xml:space="preserve"> relativa</w:t>
      </w:r>
      <w:r w:rsidR="00470ADC" w:rsidRPr="00D5464D">
        <w:rPr>
          <w:rFonts w:cs="Arial"/>
          <w:szCs w:val="20"/>
          <w:lang w:val="pt-BR"/>
        </w:rPr>
        <w:t xml:space="preserve"> à </w:t>
      </w:r>
      <w:r w:rsidR="0003391C" w:rsidRPr="00D5464D">
        <w:rPr>
          <w:rFonts w:cs="Arial"/>
          <w:szCs w:val="20"/>
          <w:lang w:val="pt-BR"/>
        </w:rPr>
        <w:t>acusa</w:t>
      </w:r>
      <w:r w:rsidR="00470ADC" w:rsidRPr="00D5464D">
        <w:rPr>
          <w:rFonts w:cs="Arial"/>
          <w:szCs w:val="20"/>
          <w:lang w:val="pt-BR"/>
        </w:rPr>
        <w:t>ção</w:t>
      </w:r>
      <w:r w:rsidR="002C330E" w:rsidRPr="00D5464D">
        <w:rPr>
          <w:rFonts w:cs="Arial"/>
          <w:szCs w:val="20"/>
          <w:lang w:val="pt-BR"/>
        </w:rPr>
        <w:t xml:space="preserve"> apresentada pelo Ministério</w:t>
      </w:r>
      <w:r w:rsidR="0003391C" w:rsidRPr="00D5464D">
        <w:rPr>
          <w:rFonts w:cs="Arial"/>
          <w:szCs w:val="20"/>
          <w:lang w:val="pt-BR"/>
        </w:rPr>
        <w:t xml:space="preserve"> Público</w:t>
      </w:r>
      <w:r w:rsidR="00C1266B" w:rsidRPr="00D5464D">
        <w:rPr>
          <w:rFonts w:cs="Arial"/>
          <w:szCs w:val="20"/>
          <w:lang w:val="pt-BR"/>
        </w:rPr>
        <w:t>.</w:t>
      </w:r>
      <w:r w:rsidR="0003391C" w:rsidRPr="00D5464D">
        <w:rPr>
          <w:rStyle w:val="Refdenotaalpie"/>
          <w:rFonts w:cs="Arial"/>
          <w:lang w:val="pt-BR"/>
        </w:rPr>
        <w:footnoteReference w:id="197"/>
      </w:r>
      <w:r w:rsidRPr="00D5464D">
        <w:rPr>
          <w:rFonts w:cs="Arial"/>
          <w:szCs w:val="20"/>
          <w:lang w:val="pt-BR"/>
        </w:rPr>
        <w:t xml:space="preserve"> Em 2</w:t>
      </w:r>
      <w:r w:rsidR="0003391C" w:rsidRPr="00D5464D">
        <w:rPr>
          <w:rFonts w:cs="Arial"/>
          <w:szCs w:val="20"/>
          <w:lang w:val="pt-BR"/>
        </w:rPr>
        <w:t xml:space="preserve">0 de </w:t>
      </w:r>
      <w:r w:rsidR="002C330E" w:rsidRPr="00D5464D">
        <w:rPr>
          <w:rFonts w:cs="Arial"/>
          <w:szCs w:val="20"/>
          <w:lang w:val="pt-BR"/>
        </w:rPr>
        <w:t>julho</w:t>
      </w:r>
      <w:r w:rsidR="0003391C" w:rsidRPr="00D5464D">
        <w:rPr>
          <w:rFonts w:cs="Arial"/>
          <w:szCs w:val="20"/>
          <w:lang w:val="pt-BR"/>
        </w:rPr>
        <w:t xml:space="preserve"> de 2000</w:t>
      </w:r>
      <w:r w:rsidR="00C1266B" w:rsidRPr="00D5464D">
        <w:rPr>
          <w:rFonts w:cs="Arial"/>
          <w:szCs w:val="20"/>
          <w:lang w:val="pt-BR"/>
        </w:rPr>
        <w:t>,</w:t>
      </w:r>
      <w:r w:rsidR="0003391C" w:rsidRPr="00D5464D">
        <w:rPr>
          <w:rFonts w:cs="Arial"/>
          <w:szCs w:val="20"/>
          <w:lang w:val="pt-BR"/>
        </w:rPr>
        <w:t xml:space="preserve"> </w:t>
      </w:r>
      <w:r w:rsidR="00C1266B" w:rsidRPr="00D5464D">
        <w:rPr>
          <w:rFonts w:cs="Arial"/>
          <w:szCs w:val="20"/>
          <w:lang w:val="pt-BR"/>
        </w:rPr>
        <w:t xml:space="preserve">foi realizada </w:t>
      </w:r>
      <w:r w:rsidR="00470ADC" w:rsidRPr="00D5464D">
        <w:rPr>
          <w:rFonts w:cs="Arial"/>
          <w:szCs w:val="20"/>
          <w:lang w:val="pt-BR"/>
        </w:rPr>
        <w:t>esta</w:t>
      </w:r>
      <w:r w:rsidR="0003391C" w:rsidRPr="00D5464D">
        <w:rPr>
          <w:rFonts w:cs="Arial"/>
          <w:szCs w:val="20"/>
          <w:lang w:val="pt-BR"/>
        </w:rPr>
        <w:t xml:space="preserve"> </w:t>
      </w:r>
      <w:r w:rsidR="00470ADC" w:rsidRPr="00D5464D">
        <w:rPr>
          <w:rFonts w:cs="Arial"/>
          <w:szCs w:val="20"/>
          <w:lang w:val="pt-BR"/>
        </w:rPr>
        <w:t>audiência</w:t>
      </w:r>
      <w:r w:rsidR="0003391C" w:rsidRPr="00D5464D">
        <w:rPr>
          <w:rFonts w:cs="Arial"/>
          <w:szCs w:val="20"/>
          <w:lang w:val="pt-BR"/>
        </w:rPr>
        <w:t>,</w:t>
      </w:r>
      <w:r w:rsidR="00E045D9" w:rsidRPr="00D5464D">
        <w:rPr>
          <w:rFonts w:cs="Arial"/>
          <w:szCs w:val="20"/>
          <w:lang w:val="pt-BR"/>
        </w:rPr>
        <w:t xml:space="preserve"> na </w:t>
      </w:r>
      <w:r w:rsidR="00C1266B" w:rsidRPr="00D5464D">
        <w:rPr>
          <w:rFonts w:cs="Arial"/>
          <w:szCs w:val="20"/>
          <w:lang w:val="pt-BR"/>
        </w:rPr>
        <w:t>qual</w:t>
      </w:r>
      <w:r w:rsidR="00470ADC" w:rsidRPr="00D5464D">
        <w:rPr>
          <w:rFonts w:cs="Arial"/>
          <w:szCs w:val="20"/>
          <w:lang w:val="pt-BR"/>
        </w:rPr>
        <w:t xml:space="preserve"> o </w:t>
      </w:r>
      <w:r w:rsidR="002C330E" w:rsidRPr="00D5464D">
        <w:rPr>
          <w:rFonts w:cs="Arial"/>
          <w:szCs w:val="20"/>
          <w:lang w:val="pt-BR"/>
        </w:rPr>
        <w:t xml:space="preserve">senhor </w:t>
      </w:r>
      <w:r w:rsidR="0003391C" w:rsidRPr="00D5464D">
        <w:rPr>
          <w:rFonts w:cs="Arial"/>
          <w:szCs w:val="20"/>
          <w:lang w:val="pt-BR"/>
        </w:rPr>
        <w:t xml:space="preserve">João Luiz Quagliato se </w:t>
      </w:r>
      <w:r w:rsidR="00A1358C" w:rsidRPr="00D5464D">
        <w:rPr>
          <w:rFonts w:cs="Arial"/>
          <w:szCs w:val="20"/>
          <w:lang w:val="pt-BR"/>
        </w:rPr>
        <w:t>comprometeu</w:t>
      </w:r>
      <w:r w:rsidR="0003391C" w:rsidRPr="00D5464D">
        <w:rPr>
          <w:rFonts w:cs="Arial"/>
          <w:szCs w:val="20"/>
          <w:lang w:val="pt-BR"/>
        </w:rPr>
        <w:t xml:space="preserve"> a:</w:t>
      </w:r>
    </w:p>
    <w:p w14:paraId="0A7C8724" w14:textId="77777777" w:rsidR="00996267" w:rsidRPr="00D5464D" w:rsidRDefault="00996267" w:rsidP="00140440">
      <w:pPr>
        <w:autoSpaceDE w:val="0"/>
        <w:autoSpaceDN w:val="0"/>
        <w:adjustRightInd w:val="0"/>
        <w:ind w:left="720" w:right="720"/>
        <w:jc w:val="both"/>
        <w:rPr>
          <w:rFonts w:cs="Arial"/>
          <w:sz w:val="16"/>
          <w:szCs w:val="20"/>
          <w:lang w:val="pt-BR"/>
        </w:rPr>
      </w:pPr>
    </w:p>
    <w:p w14:paraId="665914DE" w14:textId="62CBFD88" w:rsidR="0003391C" w:rsidRPr="00D5464D" w:rsidRDefault="00C1266B" w:rsidP="00140440">
      <w:pPr>
        <w:autoSpaceDE w:val="0"/>
        <w:autoSpaceDN w:val="0"/>
        <w:adjustRightInd w:val="0"/>
        <w:ind w:left="720" w:right="720"/>
        <w:jc w:val="both"/>
        <w:rPr>
          <w:rFonts w:cs="Times New Roman"/>
          <w:sz w:val="16"/>
          <w:szCs w:val="20"/>
          <w:lang w:val="pt-BR"/>
        </w:rPr>
      </w:pPr>
      <w:r w:rsidRPr="00D5464D">
        <w:rPr>
          <w:rFonts w:cs="Arial"/>
          <w:sz w:val="16"/>
          <w:szCs w:val="20"/>
          <w:lang w:val="pt-BR"/>
        </w:rPr>
        <w:t>não</w:t>
      </w:r>
      <w:r w:rsidR="0003391C" w:rsidRPr="00D5464D">
        <w:rPr>
          <w:rFonts w:cs="Arial"/>
          <w:sz w:val="16"/>
          <w:szCs w:val="20"/>
          <w:lang w:val="pt-BR"/>
        </w:rPr>
        <w:t xml:space="preserve"> admitir</w:t>
      </w:r>
      <w:r w:rsidR="002C330E" w:rsidRPr="00D5464D">
        <w:rPr>
          <w:rFonts w:cs="Arial"/>
          <w:sz w:val="16"/>
          <w:szCs w:val="20"/>
          <w:lang w:val="pt-BR"/>
        </w:rPr>
        <w:t xml:space="preserve"> </w:t>
      </w:r>
      <w:r w:rsidRPr="00D5464D">
        <w:rPr>
          <w:rFonts w:cs="Arial"/>
          <w:sz w:val="16"/>
          <w:szCs w:val="20"/>
          <w:lang w:val="pt-BR"/>
        </w:rPr>
        <w:t xml:space="preserve">e </w:t>
      </w:r>
      <w:r w:rsidR="002C330E" w:rsidRPr="00D5464D">
        <w:rPr>
          <w:rFonts w:cs="Arial"/>
          <w:sz w:val="16"/>
          <w:szCs w:val="20"/>
          <w:lang w:val="pt-BR"/>
        </w:rPr>
        <w:t xml:space="preserve">nem </w:t>
      </w:r>
      <w:r w:rsidR="0003391C" w:rsidRPr="00D5464D">
        <w:rPr>
          <w:rFonts w:cs="Arial"/>
          <w:sz w:val="16"/>
          <w:szCs w:val="20"/>
          <w:lang w:val="pt-BR"/>
        </w:rPr>
        <w:t>permitir</w:t>
      </w:r>
      <w:r w:rsidR="00470ADC" w:rsidRPr="00D5464D">
        <w:rPr>
          <w:rFonts w:cs="Arial"/>
          <w:sz w:val="16"/>
          <w:szCs w:val="20"/>
          <w:lang w:val="pt-BR"/>
        </w:rPr>
        <w:t xml:space="preserve"> o </w:t>
      </w:r>
      <w:r w:rsidR="00E045D9" w:rsidRPr="00D5464D">
        <w:rPr>
          <w:rFonts w:cs="Arial"/>
          <w:sz w:val="16"/>
          <w:szCs w:val="20"/>
          <w:lang w:val="pt-BR"/>
        </w:rPr>
        <w:t>trabalho</w:t>
      </w:r>
      <w:r w:rsidR="0003391C" w:rsidRPr="00D5464D">
        <w:rPr>
          <w:rFonts w:cs="Arial"/>
          <w:sz w:val="16"/>
          <w:szCs w:val="20"/>
          <w:lang w:val="pt-BR"/>
        </w:rPr>
        <w:t xml:space="preserve"> de </w:t>
      </w:r>
      <w:r w:rsidR="00230C71" w:rsidRPr="00D5464D">
        <w:rPr>
          <w:rFonts w:cs="Arial"/>
          <w:sz w:val="16"/>
          <w:szCs w:val="20"/>
          <w:lang w:val="pt-BR"/>
        </w:rPr>
        <w:t>empregad</w:t>
      </w:r>
      <w:r w:rsidR="0003391C" w:rsidRPr="00D5464D">
        <w:rPr>
          <w:rFonts w:cs="Arial"/>
          <w:sz w:val="16"/>
          <w:szCs w:val="20"/>
          <w:lang w:val="pt-BR"/>
        </w:rPr>
        <w:t>os</w:t>
      </w:r>
      <w:r w:rsidR="00470ADC" w:rsidRPr="00D5464D">
        <w:rPr>
          <w:rFonts w:cs="Arial"/>
          <w:sz w:val="16"/>
          <w:szCs w:val="20"/>
          <w:lang w:val="pt-BR"/>
        </w:rPr>
        <w:t xml:space="preserve"> em </w:t>
      </w:r>
      <w:r w:rsidR="002C330E" w:rsidRPr="00D5464D">
        <w:rPr>
          <w:rFonts w:cs="Arial"/>
          <w:sz w:val="16"/>
          <w:szCs w:val="20"/>
          <w:lang w:val="pt-BR"/>
        </w:rPr>
        <w:t>regime</w:t>
      </w:r>
      <w:r w:rsidR="0003391C" w:rsidRPr="00D5464D">
        <w:rPr>
          <w:rFonts w:cs="Arial"/>
          <w:sz w:val="16"/>
          <w:szCs w:val="20"/>
          <w:lang w:val="pt-BR"/>
        </w:rPr>
        <w:t xml:space="preserve"> de </w:t>
      </w:r>
      <w:r w:rsidR="000B376D" w:rsidRPr="00D5464D">
        <w:rPr>
          <w:rFonts w:cs="Arial"/>
          <w:sz w:val="16"/>
          <w:szCs w:val="20"/>
          <w:lang w:val="pt-BR"/>
        </w:rPr>
        <w:t>escravidão</w:t>
      </w:r>
      <w:r w:rsidR="0003391C" w:rsidRPr="00D5464D">
        <w:rPr>
          <w:rFonts w:cs="Arial"/>
          <w:sz w:val="16"/>
          <w:szCs w:val="20"/>
          <w:lang w:val="pt-BR"/>
        </w:rPr>
        <w:t>, so</w:t>
      </w:r>
      <w:r w:rsidRPr="00D5464D">
        <w:rPr>
          <w:rFonts w:cs="Arial"/>
          <w:sz w:val="16"/>
          <w:szCs w:val="20"/>
          <w:lang w:val="pt-BR"/>
        </w:rPr>
        <w:t>b</w:t>
      </w:r>
      <w:r w:rsidR="0003391C" w:rsidRPr="00D5464D">
        <w:rPr>
          <w:rFonts w:cs="Arial"/>
          <w:sz w:val="16"/>
          <w:szCs w:val="20"/>
          <w:lang w:val="pt-BR"/>
        </w:rPr>
        <w:t xml:space="preserve"> pena de multa de 10.000 UFIR por </w:t>
      </w:r>
      <w:r w:rsidR="00E045D9" w:rsidRPr="00D5464D">
        <w:rPr>
          <w:rFonts w:cs="Arial"/>
          <w:sz w:val="16"/>
          <w:szCs w:val="20"/>
          <w:lang w:val="pt-BR"/>
        </w:rPr>
        <w:t>trabalh</w:t>
      </w:r>
      <w:r w:rsidR="0003391C" w:rsidRPr="00D5464D">
        <w:rPr>
          <w:rFonts w:cs="Arial"/>
          <w:sz w:val="16"/>
          <w:szCs w:val="20"/>
          <w:lang w:val="pt-BR"/>
        </w:rPr>
        <w:t>ador encontrado</w:t>
      </w:r>
      <w:r w:rsidR="00470ADC" w:rsidRPr="00D5464D">
        <w:rPr>
          <w:rFonts w:cs="Arial"/>
          <w:sz w:val="16"/>
          <w:szCs w:val="20"/>
          <w:lang w:val="pt-BR"/>
        </w:rPr>
        <w:t xml:space="preserve"> </w:t>
      </w:r>
      <w:r w:rsidR="00737270" w:rsidRPr="00D5464D">
        <w:rPr>
          <w:rFonts w:cs="Arial"/>
          <w:sz w:val="16"/>
          <w:szCs w:val="20"/>
          <w:lang w:val="pt-BR"/>
        </w:rPr>
        <w:t>nessa</w:t>
      </w:r>
      <w:r w:rsidR="00470ADC" w:rsidRPr="00D5464D">
        <w:rPr>
          <w:rFonts w:cs="Arial"/>
          <w:sz w:val="16"/>
          <w:szCs w:val="20"/>
          <w:lang w:val="pt-BR"/>
        </w:rPr>
        <w:t xml:space="preserve"> </w:t>
      </w:r>
      <w:r w:rsidR="0003391C" w:rsidRPr="00D5464D">
        <w:rPr>
          <w:rFonts w:cs="Arial"/>
          <w:sz w:val="16"/>
          <w:szCs w:val="20"/>
          <w:lang w:val="pt-BR"/>
        </w:rPr>
        <w:t>situa</w:t>
      </w:r>
      <w:r w:rsidR="00470ADC" w:rsidRPr="00D5464D">
        <w:rPr>
          <w:rFonts w:cs="Arial"/>
          <w:sz w:val="16"/>
          <w:szCs w:val="20"/>
          <w:lang w:val="pt-BR"/>
        </w:rPr>
        <w:t>ção</w:t>
      </w:r>
      <w:r w:rsidR="0003391C" w:rsidRPr="00D5464D">
        <w:rPr>
          <w:rFonts w:cs="Arial"/>
          <w:sz w:val="16"/>
          <w:szCs w:val="20"/>
          <w:lang w:val="pt-BR"/>
        </w:rPr>
        <w:t>, b</w:t>
      </w:r>
      <w:r w:rsidRPr="00D5464D">
        <w:rPr>
          <w:rFonts w:cs="Arial"/>
          <w:sz w:val="16"/>
          <w:szCs w:val="20"/>
          <w:lang w:val="pt-BR"/>
        </w:rPr>
        <w:t>r</w:t>
      </w:r>
      <w:r w:rsidR="0003391C" w:rsidRPr="00D5464D">
        <w:rPr>
          <w:rFonts w:cs="Arial"/>
          <w:sz w:val="16"/>
          <w:szCs w:val="20"/>
          <w:lang w:val="pt-BR"/>
        </w:rPr>
        <w:t>anco o</w:t>
      </w:r>
      <w:r w:rsidRPr="00D5464D">
        <w:rPr>
          <w:rFonts w:cs="Arial"/>
          <w:sz w:val="16"/>
          <w:szCs w:val="20"/>
          <w:lang w:val="pt-BR"/>
        </w:rPr>
        <w:t>u</w:t>
      </w:r>
      <w:r w:rsidR="0003391C" w:rsidRPr="00D5464D">
        <w:rPr>
          <w:rFonts w:cs="Arial"/>
          <w:sz w:val="16"/>
          <w:szCs w:val="20"/>
          <w:lang w:val="pt-BR"/>
        </w:rPr>
        <w:t xml:space="preserve"> negro; </w:t>
      </w:r>
      <w:r w:rsidRPr="00D5464D">
        <w:rPr>
          <w:rFonts w:cs="Arial"/>
          <w:sz w:val="16"/>
          <w:szCs w:val="20"/>
          <w:lang w:val="pt-BR"/>
        </w:rPr>
        <w:t xml:space="preserve">fornecimento </w:t>
      </w:r>
      <w:r w:rsidR="0003391C" w:rsidRPr="00D5464D">
        <w:rPr>
          <w:rFonts w:cs="Arial"/>
          <w:sz w:val="16"/>
          <w:szCs w:val="20"/>
          <w:lang w:val="pt-BR"/>
        </w:rPr>
        <w:t xml:space="preserve">de </w:t>
      </w:r>
      <w:r w:rsidRPr="00D5464D">
        <w:rPr>
          <w:rFonts w:cs="Arial"/>
          <w:sz w:val="16"/>
          <w:szCs w:val="20"/>
          <w:lang w:val="pt-BR"/>
        </w:rPr>
        <w:t>moradia</w:t>
      </w:r>
      <w:r w:rsidR="0003391C" w:rsidRPr="00D5464D">
        <w:rPr>
          <w:rFonts w:cs="Arial"/>
          <w:sz w:val="16"/>
          <w:szCs w:val="20"/>
          <w:lang w:val="pt-BR"/>
        </w:rPr>
        <w:t>, instala</w:t>
      </w:r>
      <w:r w:rsidR="00470ADC" w:rsidRPr="00D5464D">
        <w:rPr>
          <w:rFonts w:cs="Arial"/>
          <w:sz w:val="16"/>
          <w:szCs w:val="20"/>
          <w:lang w:val="pt-BR"/>
        </w:rPr>
        <w:t>ção</w:t>
      </w:r>
      <w:r w:rsidR="0003391C" w:rsidRPr="00D5464D">
        <w:rPr>
          <w:rFonts w:cs="Arial"/>
          <w:sz w:val="16"/>
          <w:szCs w:val="20"/>
          <w:lang w:val="pt-BR"/>
        </w:rPr>
        <w:t xml:space="preserve"> </w:t>
      </w:r>
      <w:r w:rsidR="00230C71" w:rsidRPr="00D5464D">
        <w:rPr>
          <w:rFonts w:cs="Arial"/>
          <w:sz w:val="16"/>
          <w:szCs w:val="20"/>
          <w:lang w:val="pt-BR"/>
        </w:rPr>
        <w:t>sanitária</w:t>
      </w:r>
      <w:r w:rsidR="0003391C" w:rsidRPr="00D5464D">
        <w:rPr>
          <w:rFonts w:cs="Arial"/>
          <w:sz w:val="16"/>
          <w:szCs w:val="20"/>
          <w:lang w:val="pt-BR"/>
        </w:rPr>
        <w:t>,</w:t>
      </w:r>
      <w:r w:rsidR="00230C71" w:rsidRPr="00D5464D">
        <w:rPr>
          <w:rFonts w:cs="Arial"/>
          <w:sz w:val="16"/>
          <w:szCs w:val="20"/>
          <w:lang w:val="pt-BR"/>
        </w:rPr>
        <w:t xml:space="preserve"> água </w:t>
      </w:r>
      <w:r w:rsidR="00350187" w:rsidRPr="00D5464D">
        <w:rPr>
          <w:rFonts w:cs="Arial"/>
          <w:sz w:val="16"/>
          <w:szCs w:val="20"/>
          <w:lang w:val="pt-BR"/>
        </w:rPr>
        <w:t>potável</w:t>
      </w:r>
      <w:r w:rsidR="0003391C" w:rsidRPr="00D5464D">
        <w:rPr>
          <w:rFonts w:cs="Arial"/>
          <w:sz w:val="16"/>
          <w:szCs w:val="20"/>
          <w:lang w:val="pt-BR"/>
        </w:rPr>
        <w:t xml:space="preserve">, </w:t>
      </w:r>
      <w:r w:rsidR="00737270" w:rsidRPr="00D5464D">
        <w:rPr>
          <w:rFonts w:cs="Arial"/>
          <w:sz w:val="16"/>
          <w:szCs w:val="20"/>
          <w:lang w:val="pt-BR"/>
        </w:rPr>
        <w:t>alojamento</w:t>
      </w:r>
      <w:r w:rsidRPr="00D5464D">
        <w:rPr>
          <w:rFonts w:cs="Arial"/>
          <w:sz w:val="16"/>
          <w:szCs w:val="20"/>
          <w:lang w:val="pt-BR"/>
        </w:rPr>
        <w:t>s</w:t>
      </w:r>
      <w:r w:rsidR="0003391C" w:rsidRPr="00D5464D">
        <w:rPr>
          <w:rFonts w:cs="Arial"/>
          <w:sz w:val="16"/>
          <w:szCs w:val="20"/>
          <w:lang w:val="pt-BR"/>
        </w:rPr>
        <w:t xml:space="preserve"> </w:t>
      </w:r>
      <w:r w:rsidRPr="00D5464D">
        <w:rPr>
          <w:rFonts w:cs="Arial"/>
          <w:sz w:val="16"/>
          <w:szCs w:val="20"/>
          <w:lang w:val="pt-BR"/>
        </w:rPr>
        <w:t>con</w:t>
      </w:r>
      <w:r w:rsidR="0003391C" w:rsidRPr="00D5464D">
        <w:rPr>
          <w:rFonts w:cs="Arial"/>
          <w:sz w:val="16"/>
          <w:szCs w:val="20"/>
          <w:lang w:val="pt-BR"/>
        </w:rPr>
        <w:t>digno</w:t>
      </w:r>
      <w:r w:rsidRPr="00D5464D">
        <w:rPr>
          <w:rFonts w:cs="Arial"/>
          <w:sz w:val="16"/>
          <w:szCs w:val="20"/>
          <w:lang w:val="pt-BR"/>
        </w:rPr>
        <w:t>s</w:t>
      </w:r>
      <w:r w:rsidR="0003391C" w:rsidRPr="00D5464D">
        <w:rPr>
          <w:rFonts w:cs="Arial"/>
          <w:sz w:val="16"/>
          <w:szCs w:val="20"/>
          <w:lang w:val="pt-BR"/>
        </w:rPr>
        <w:t xml:space="preserve"> </w:t>
      </w:r>
      <w:r w:rsidRPr="00D5464D">
        <w:rPr>
          <w:rFonts w:cs="Arial"/>
          <w:sz w:val="16"/>
          <w:szCs w:val="20"/>
          <w:lang w:val="pt-BR"/>
        </w:rPr>
        <w:t xml:space="preserve">ao ser humano </w:t>
      </w:r>
      <w:r w:rsidR="0003391C" w:rsidRPr="00D5464D">
        <w:rPr>
          <w:rFonts w:cs="Arial"/>
          <w:sz w:val="16"/>
          <w:szCs w:val="20"/>
          <w:lang w:val="pt-BR"/>
        </w:rPr>
        <w:t>[...] so</w:t>
      </w:r>
      <w:r w:rsidRPr="00D5464D">
        <w:rPr>
          <w:rFonts w:cs="Arial"/>
          <w:sz w:val="16"/>
          <w:szCs w:val="20"/>
          <w:lang w:val="pt-BR"/>
        </w:rPr>
        <w:t>b</w:t>
      </w:r>
      <w:r w:rsidR="0003391C" w:rsidRPr="00D5464D">
        <w:rPr>
          <w:rFonts w:cs="Arial"/>
          <w:sz w:val="16"/>
          <w:szCs w:val="20"/>
          <w:lang w:val="pt-BR"/>
        </w:rPr>
        <w:t xml:space="preserve"> pena de multa de 500 UFIR</w:t>
      </w:r>
      <w:r w:rsidR="002C330E" w:rsidRPr="00D5464D">
        <w:rPr>
          <w:rFonts w:cs="Arial"/>
          <w:sz w:val="16"/>
          <w:szCs w:val="20"/>
          <w:lang w:val="pt-BR"/>
        </w:rPr>
        <w:t xml:space="preserve"> pelo descumprimento</w:t>
      </w:r>
      <w:r w:rsidR="0003391C" w:rsidRPr="00D5464D">
        <w:rPr>
          <w:rFonts w:cs="Arial"/>
          <w:sz w:val="16"/>
          <w:szCs w:val="20"/>
          <w:lang w:val="pt-BR"/>
        </w:rPr>
        <w:t xml:space="preserve"> [...] n</w:t>
      </w:r>
      <w:r w:rsidRPr="00D5464D">
        <w:rPr>
          <w:rFonts w:cs="Arial"/>
          <w:sz w:val="16"/>
          <w:szCs w:val="20"/>
          <w:lang w:val="pt-BR"/>
        </w:rPr>
        <w:t>ã</w:t>
      </w:r>
      <w:r w:rsidR="0003391C" w:rsidRPr="00D5464D">
        <w:rPr>
          <w:rFonts w:cs="Arial"/>
          <w:sz w:val="16"/>
          <w:szCs w:val="20"/>
          <w:lang w:val="pt-BR"/>
        </w:rPr>
        <w:t xml:space="preserve">o </w:t>
      </w:r>
      <w:r w:rsidRPr="00D5464D">
        <w:rPr>
          <w:rFonts w:cs="Arial"/>
          <w:sz w:val="16"/>
          <w:szCs w:val="20"/>
          <w:lang w:val="pt-BR"/>
        </w:rPr>
        <w:t>colher assinaturas em branco d</w:t>
      </w:r>
      <w:r w:rsidR="00E045D9" w:rsidRPr="00D5464D">
        <w:rPr>
          <w:rFonts w:cs="Arial"/>
          <w:sz w:val="16"/>
          <w:szCs w:val="20"/>
          <w:lang w:val="pt-BR"/>
        </w:rPr>
        <w:t xml:space="preserve">os </w:t>
      </w:r>
      <w:r w:rsidR="00230C71" w:rsidRPr="00D5464D">
        <w:rPr>
          <w:rFonts w:cs="Arial"/>
          <w:sz w:val="16"/>
          <w:szCs w:val="20"/>
          <w:lang w:val="pt-BR"/>
        </w:rPr>
        <w:t>empregad</w:t>
      </w:r>
      <w:r w:rsidR="0003391C" w:rsidRPr="00D5464D">
        <w:rPr>
          <w:rFonts w:cs="Arial"/>
          <w:sz w:val="16"/>
          <w:szCs w:val="20"/>
          <w:lang w:val="pt-BR"/>
        </w:rPr>
        <w:t>os,</w:t>
      </w:r>
      <w:r w:rsidR="00470ADC" w:rsidRPr="00D5464D">
        <w:rPr>
          <w:rFonts w:cs="Arial"/>
          <w:sz w:val="16"/>
          <w:szCs w:val="20"/>
          <w:lang w:val="pt-BR"/>
        </w:rPr>
        <w:t xml:space="preserve"> em qualquer</w:t>
      </w:r>
      <w:r w:rsidR="0003391C" w:rsidRPr="00D5464D">
        <w:rPr>
          <w:rFonts w:cs="Arial"/>
          <w:sz w:val="16"/>
          <w:szCs w:val="20"/>
          <w:lang w:val="pt-BR"/>
        </w:rPr>
        <w:t xml:space="preserve"> tipo de documento, so</w:t>
      </w:r>
      <w:r w:rsidRPr="00D5464D">
        <w:rPr>
          <w:rFonts w:cs="Arial"/>
          <w:sz w:val="16"/>
          <w:szCs w:val="20"/>
          <w:lang w:val="pt-BR"/>
        </w:rPr>
        <w:t>b</w:t>
      </w:r>
      <w:r w:rsidR="0003391C" w:rsidRPr="00D5464D">
        <w:rPr>
          <w:rFonts w:cs="Arial"/>
          <w:sz w:val="16"/>
          <w:szCs w:val="20"/>
          <w:lang w:val="pt-BR"/>
        </w:rPr>
        <w:t xml:space="preserve"> pena de multa de 100 UFIR por documento encontrado</w:t>
      </w:r>
      <w:r w:rsidR="00E045D9" w:rsidRPr="00D5464D">
        <w:rPr>
          <w:rFonts w:cs="Arial"/>
          <w:sz w:val="16"/>
          <w:szCs w:val="20"/>
          <w:lang w:val="pt-BR"/>
        </w:rPr>
        <w:t xml:space="preserve"> nes</w:t>
      </w:r>
      <w:r w:rsidRPr="00D5464D">
        <w:rPr>
          <w:rFonts w:cs="Arial"/>
          <w:sz w:val="16"/>
          <w:szCs w:val="20"/>
          <w:lang w:val="pt-BR"/>
        </w:rPr>
        <w:t>s</w:t>
      </w:r>
      <w:r w:rsidR="00E045D9" w:rsidRPr="00D5464D">
        <w:rPr>
          <w:rFonts w:cs="Arial"/>
          <w:sz w:val="16"/>
          <w:szCs w:val="20"/>
          <w:lang w:val="pt-BR"/>
        </w:rPr>
        <w:t xml:space="preserve">as </w:t>
      </w:r>
      <w:r w:rsidR="0003391C" w:rsidRPr="00D5464D">
        <w:rPr>
          <w:rFonts w:cs="Arial"/>
          <w:sz w:val="16"/>
          <w:szCs w:val="20"/>
          <w:lang w:val="pt-BR"/>
        </w:rPr>
        <w:t>condi</w:t>
      </w:r>
      <w:r w:rsidR="00470ADC" w:rsidRPr="00D5464D">
        <w:rPr>
          <w:rFonts w:cs="Arial"/>
          <w:sz w:val="16"/>
          <w:szCs w:val="20"/>
          <w:lang w:val="pt-BR"/>
        </w:rPr>
        <w:t>ções</w:t>
      </w:r>
      <w:r w:rsidRPr="00D5464D">
        <w:rPr>
          <w:rFonts w:cs="Arial"/>
          <w:sz w:val="16"/>
          <w:szCs w:val="20"/>
          <w:lang w:val="pt-BR"/>
        </w:rPr>
        <w:t>.</w:t>
      </w:r>
      <w:r w:rsidR="0003391C" w:rsidRPr="00D5464D">
        <w:rPr>
          <w:rStyle w:val="Refdenotaalpie"/>
          <w:rFonts w:cs="Arial"/>
          <w:sz w:val="16"/>
          <w:lang w:val="pt-BR"/>
        </w:rPr>
        <w:footnoteReference w:id="198"/>
      </w:r>
    </w:p>
    <w:p w14:paraId="52A8EBD9" w14:textId="77777777" w:rsidR="00D65024" w:rsidRPr="00D5464D" w:rsidRDefault="00D65024" w:rsidP="00D65024">
      <w:pPr>
        <w:pStyle w:val="Prrafodelista"/>
        <w:autoSpaceDE w:val="0"/>
        <w:autoSpaceDN w:val="0"/>
        <w:adjustRightInd w:val="0"/>
        <w:ind w:left="0"/>
        <w:contextualSpacing w:val="0"/>
        <w:rPr>
          <w:rFonts w:cs="Arial"/>
          <w:szCs w:val="20"/>
          <w:lang w:val="pt-BR"/>
        </w:rPr>
      </w:pPr>
    </w:p>
    <w:p w14:paraId="601A3ACB" w14:textId="70BD8C83" w:rsidR="0003391C" w:rsidRPr="00D5464D" w:rsidRDefault="00C91CB1" w:rsidP="00140440">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Em 1</w:t>
      </w:r>
      <w:r w:rsidR="0003391C" w:rsidRPr="00D5464D">
        <w:rPr>
          <w:rFonts w:cs="Arial"/>
          <w:szCs w:val="20"/>
          <w:lang w:val="pt-BR"/>
        </w:rPr>
        <w:t>4 de agosto de 2000</w:t>
      </w:r>
      <w:r w:rsidR="00C1266B" w:rsidRPr="00D5464D">
        <w:rPr>
          <w:rFonts w:cs="Arial"/>
          <w:szCs w:val="20"/>
          <w:lang w:val="pt-BR"/>
        </w:rPr>
        <w:t>,</w:t>
      </w:r>
      <w:r w:rsidR="00470ADC" w:rsidRPr="00D5464D">
        <w:rPr>
          <w:rFonts w:cs="Arial"/>
          <w:szCs w:val="20"/>
          <w:lang w:val="pt-BR"/>
        </w:rPr>
        <w:t xml:space="preserve"> o </w:t>
      </w:r>
      <w:r w:rsidR="002C330E" w:rsidRPr="00D5464D">
        <w:rPr>
          <w:rFonts w:cs="Arial"/>
          <w:szCs w:val="20"/>
          <w:lang w:val="pt-BR"/>
        </w:rPr>
        <w:t>Ministério</w:t>
      </w:r>
      <w:r w:rsidR="0003391C" w:rsidRPr="00D5464D">
        <w:rPr>
          <w:rFonts w:cs="Arial"/>
          <w:szCs w:val="20"/>
          <w:lang w:val="pt-BR"/>
        </w:rPr>
        <w:t xml:space="preserve"> Público </w:t>
      </w:r>
      <w:r w:rsidR="00470ADC" w:rsidRPr="00D5464D">
        <w:rPr>
          <w:rFonts w:cs="Arial"/>
          <w:szCs w:val="20"/>
          <w:lang w:val="pt-BR"/>
        </w:rPr>
        <w:t xml:space="preserve">do </w:t>
      </w:r>
      <w:r w:rsidR="00E045D9" w:rsidRPr="00D5464D">
        <w:rPr>
          <w:rFonts w:cs="Arial"/>
          <w:szCs w:val="20"/>
          <w:lang w:val="pt-BR"/>
        </w:rPr>
        <w:t>Trabalho</w:t>
      </w:r>
      <w:r w:rsidR="0003391C" w:rsidRPr="00D5464D">
        <w:rPr>
          <w:rFonts w:cs="Arial"/>
          <w:szCs w:val="20"/>
          <w:lang w:val="pt-BR"/>
        </w:rPr>
        <w:t xml:space="preserve"> </w:t>
      </w:r>
      <w:r w:rsidR="002C330E" w:rsidRPr="00D5464D">
        <w:rPr>
          <w:rFonts w:cs="Arial"/>
          <w:szCs w:val="20"/>
          <w:lang w:val="pt-BR"/>
        </w:rPr>
        <w:t>solicitou</w:t>
      </w:r>
      <w:r w:rsidR="00470ADC" w:rsidRPr="00D5464D">
        <w:rPr>
          <w:rFonts w:cs="Arial"/>
          <w:szCs w:val="20"/>
          <w:lang w:val="pt-BR"/>
        </w:rPr>
        <w:t xml:space="preserve"> à </w:t>
      </w:r>
      <w:r w:rsidR="00C1266B" w:rsidRPr="00D5464D">
        <w:rPr>
          <w:rFonts w:cs="Arial"/>
          <w:szCs w:val="20"/>
          <w:lang w:val="pt-BR"/>
        </w:rPr>
        <w:t>DRT do Pará</w:t>
      </w:r>
      <w:r w:rsidR="0003391C" w:rsidRPr="00D5464D">
        <w:rPr>
          <w:rFonts w:cs="Arial"/>
          <w:szCs w:val="20"/>
          <w:lang w:val="pt-BR"/>
        </w:rPr>
        <w:t xml:space="preserve"> que averigua</w:t>
      </w:r>
      <w:r w:rsidR="00C1266B" w:rsidRPr="00D5464D">
        <w:rPr>
          <w:rFonts w:cs="Arial"/>
          <w:szCs w:val="20"/>
          <w:lang w:val="pt-BR"/>
        </w:rPr>
        <w:t xml:space="preserve">sse </w:t>
      </w:r>
      <w:r w:rsidR="002C330E" w:rsidRPr="00D5464D">
        <w:rPr>
          <w:rFonts w:cs="Arial"/>
          <w:szCs w:val="20"/>
          <w:lang w:val="pt-BR"/>
        </w:rPr>
        <w:t xml:space="preserve">se os </w:t>
      </w:r>
      <w:r w:rsidR="00E045D9" w:rsidRPr="00D5464D">
        <w:rPr>
          <w:rFonts w:cs="Arial"/>
          <w:szCs w:val="20"/>
          <w:lang w:val="pt-BR"/>
        </w:rPr>
        <w:t>termo</w:t>
      </w:r>
      <w:r w:rsidR="0003391C" w:rsidRPr="00D5464D">
        <w:rPr>
          <w:rFonts w:cs="Arial"/>
          <w:szCs w:val="20"/>
          <w:lang w:val="pt-BR"/>
        </w:rPr>
        <w:t xml:space="preserve">s </w:t>
      </w:r>
      <w:r w:rsidR="00470ADC" w:rsidRPr="00D5464D">
        <w:rPr>
          <w:rFonts w:cs="Arial"/>
          <w:szCs w:val="20"/>
          <w:lang w:val="pt-BR"/>
        </w:rPr>
        <w:t>do acordo</w:t>
      </w:r>
      <w:r w:rsidR="0003391C" w:rsidRPr="00D5464D">
        <w:rPr>
          <w:rFonts w:cs="Arial"/>
          <w:szCs w:val="20"/>
          <w:lang w:val="pt-BR"/>
        </w:rPr>
        <w:t xml:space="preserve"> judicial celebrado entre</w:t>
      </w:r>
      <w:r w:rsidR="00470ADC" w:rsidRPr="00D5464D">
        <w:rPr>
          <w:rFonts w:cs="Arial"/>
          <w:szCs w:val="20"/>
          <w:lang w:val="pt-BR"/>
        </w:rPr>
        <w:t xml:space="preserve"> o </w:t>
      </w:r>
      <w:r w:rsidR="0003391C" w:rsidRPr="00D5464D">
        <w:rPr>
          <w:rFonts w:cs="Arial"/>
          <w:szCs w:val="20"/>
          <w:lang w:val="pt-BR"/>
        </w:rPr>
        <w:t>MPT</w:t>
      </w:r>
      <w:r w:rsidR="00E045D9" w:rsidRPr="00D5464D">
        <w:rPr>
          <w:rFonts w:cs="Arial"/>
          <w:szCs w:val="20"/>
          <w:lang w:val="pt-BR"/>
        </w:rPr>
        <w:t xml:space="preserve"> e </w:t>
      </w:r>
      <w:r w:rsidR="0003391C" w:rsidRPr="00D5464D">
        <w:rPr>
          <w:rFonts w:cs="Arial"/>
          <w:szCs w:val="20"/>
          <w:lang w:val="pt-BR"/>
        </w:rPr>
        <w:t xml:space="preserve">João Luiz Quagliato </w:t>
      </w:r>
      <w:r w:rsidR="00350187" w:rsidRPr="00D5464D">
        <w:rPr>
          <w:rFonts w:cs="Arial"/>
          <w:szCs w:val="20"/>
          <w:lang w:val="pt-BR"/>
        </w:rPr>
        <w:t>esta</w:t>
      </w:r>
      <w:r w:rsidR="00BC00F3" w:rsidRPr="00D5464D">
        <w:rPr>
          <w:rFonts w:cs="Arial"/>
          <w:szCs w:val="20"/>
          <w:lang w:val="pt-BR"/>
        </w:rPr>
        <w:t>vam</w:t>
      </w:r>
      <w:r w:rsidR="0003391C" w:rsidRPr="00D5464D">
        <w:rPr>
          <w:rFonts w:cs="Arial"/>
          <w:szCs w:val="20"/>
          <w:lang w:val="pt-BR"/>
        </w:rPr>
        <w:t xml:space="preserve"> </w:t>
      </w:r>
      <w:r w:rsidR="002C330E" w:rsidRPr="00D5464D">
        <w:rPr>
          <w:rFonts w:cs="Arial"/>
          <w:szCs w:val="20"/>
          <w:lang w:val="pt-BR"/>
        </w:rPr>
        <w:t>sendo</w:t>
      </w:r>
      <w:r w:rsidR="0003391C" w:rsidRPr="00D5464D">
        <w:rPr>
          <w:rFonts w:cs="Arial"/>
          <w:szCs w:val="20"/>
          <w:lang w:val="pt-BR"/>
        </w:rPr>
        <w:t xml:space="preserve"> </w:t>
      </w:r>
      <w:r w:rsidR="00470ADC" w:rsidRPr="00D5464D">
        <w:rPr>
          <w:rFonts w:cs="Arial"/>
          <w:szCs w:val="20"/>
          <w:lang w:val="pt-BR"/>
        </w:rPr>
        <w:t>devidamente</w:t>
      </w:r>
      <w:r w:rsidR="0003391C" w:rsidRPr="00D5464D">
        <w:rPr>
          <w:rFonts w:cs="Arial"/>
          <w:szCs w:val="20"/>
          <w:lang w:val="pt-BR"/>
        </w:rPr>
        <w:t xml:space="preserve"> </w:t>
      </w:r>
      <w:r w:rsidR="00470ADC" w:rsidRPr="00D5464D">
        <w:rPr>
          <w:rFonts w:cs="Arial"/>
          <w:szCs w:val="20"/>
          <w:lang w:val="pt-BR"/>
        </w:rPr>
        <w:t>cumprido</w:t>
      </w:r>
      <w:r w:rsidR="0003391C" w:rsidRPr="00D5464D">
        <w:rPr>
          <w:rFonts w:cs="Arial"/>
          <w:szCs w:val="20"/>
          <w:lang w:val="pt-BR"/>
        </w:rPr>
        <w:t>s</w:t>
      </w:r>
      <w:r w:rsidR="00C1266B" w:rsidRPr="00D5464D">
        <w:rPr>
          <w:rFonts w:cs="Arial"/>
          <w:szCs w:val="20"/>
          <w:lang w:val="pt-BR"/>
        </w:rPr>
        <w:t>.</w:t>
      </w:r>
      <w:r w:rsidR="0003391C" w:rsidRPr="00D5464D">
        <w:rPr>
          <w:rStyle w:val="Refdenotaalpie"/>
          <w:rFonts w:cs="Arial"/>
          <w:lang w:val="pt-BR"/>
        </w:rPr>
        <w:footnoteReference w:id="199"/>
      </w:r>
      <w:r w:rsidR="00A1358C" w:rsidRPr="00D5464D">
        <w:rPr>
          <w:rFonts w:cs="Arial"/>
          <w:szCs w:val="20"/>
          <w:lang w:val="pt-BR"/>
        </w:rPr>
        <w:t xml:space="preserve"> </w:t>
      </w:r>
      <w:r w:rsidRPr="00D5464D">
        <w:rPr>
          <w:rFonts w:cs="Arial"/>
          <w:szCs w:val="20"/>
          <w:lang w:val="pt-BR"/>
        </w:rPr>
        <w:t>Em 1</w:t>
      </w:r>
      <w:r w:rsidR="0003391C" w:rsidRPr="00D5464D">
        <w:rPr>
          <w:rFonts w:cs="Arial"/>
          <w:szCs w:val="20"/>
          <w:lang w:val="pt-BR"/>
        </w:rPr>
        <w:t>8 de agosto de 2000</w:t>
      </w:r>
      <w:r w:rsidR="00C1266B" w:rsidRPr="00D5464D">
        <w:rPr>
          <w:rFonts w:cs="Arial"/>
          <w:szCs w:val="20"/>
          <w:lang w:val="pt-BR"/>
        </w:rPr>
        <w:t>,</w:t>
      </w:r>
      <w:r w:rsidR="00470ADC" w:rsidRPr="00D5464D">
        <w:rPr>
          <w:rFonts w:cs="Arial"/>
          <w:szCs w:val="20"/>
          <w:lang w:val="pt-BR"/>
        </w:rPr>
        <w:t xml:space="preserve"> o </w:t>
      </w:r>
      <w:r w:rsidR="002C330E" w:rsidRPr="00D5464D">
        <w:rPr>
          <w:rFonts w:cs="Arial"/>
          <w:szCs w:val="20"/>
          <w:lang w:val="pt-BR"/>
        </w:rPr>
        <w:t>procedimento</w:t>
      </w:r>
      <w:r w:rsidR="00470ADC" w:rsidRPr="00D5464D">
        <w:rPr>
          <w:rFonts w:cs="Arial"/>
          <w:szCs w:val="20"/>
          <w:lang w:val="pt-BR"/>
        </w:rPr>
        <w:t xml:space="preserve"> foi </w:t>
      </w:r>
      <w:r w:rsidRPr="00D5464D">
        <w:rPr>
          <w:rFonts w:cs="Arial"/>
          <w:szCs w:val="20"/>
          <w:lang w:val="pt-BR"/>
        </w:rPr>
        <w:t>arquivad</w:t>
      </w:r>
      <w:r w:rsidR="0003391C" w:rsidRPr="00D5464D">
        <w:rPr>
          <w:rFonts w:cs="Arial"/>
          <w:szCs w:val="20"/>
          <w:lang w:val="pt-BR"/>
        </w:rPr>
        <w:t>o</w:t>
      </w:r>
      <w:r w:rsidR="00C1266B" w:rsidRPr="00D5464D">
        <w:rPr>
          <w:rFonts w:cs="Arial"/>
          <w:szCs w:val="20"/>
          <w:lang w:val="pt-BR"/>
        </w:rPr>
        <w:t>.</w:t>
      </w:r>
      <w:r w:rsidR="0003391C" w:rsidRPr="00D5464D">
        <w:rPr>
          <w:rStyle w:val="Refdenotaalpie"/>
          <w:rFonts w:cs="Arial"/>
          <w:lang w:val="pt-BR"/>
        </w:rPr>
        <w:footnoteReference w:id="200"/>
      </w:r>
    </w:p>
    <w:p w14:paraId="53A96C8B" w14:textId="77777777" w:rsidR="00D65024" w:rsidRPr="00D5464D" w:rsidRDefault="00D65024" w:rsidP="00D65024">
      <w:pPr>
        <w:pStyle w:val="Prrafodelista"/>
        <w:autoSpaceDE w:val="0"/>
        <w:autoSpaceDN w:val="0"/>
        <w:adjustRightInd w:val="0"/>
        <w:ind w:left="0"/>
        <w:contextualSpacing w:val="0"/>
        <w:rPr>
          <w:rFonts w:cs="Arial"/>
          <w:i/>
          <w:iCs/>
          <w:szCs w:val="20"/>
          <w:lang w:val="pt-BR"/>
        </w:rPr>
      </w:pPr>
    </w:p>
    <w:p w14:paraId="0203AA50" w14:textId="32C45E40" w:rsidR="0003391C" w:rsidRPr="00D5464D" w:rsidRDefault="00C91CB1" w:rsidP="00140440">
      <w:pPr>
        <w:pStyle w:val="Prrafodelista"/>
        <w:numPr>
          <w:ilvl w:val="0"/>
          <w:numId w:val="1"/>
        </w:numPr>
        <w:autoSpaceDE w:val="0"/>
        <w:autoSpaceDN w:val="0"/>
        <w:adjustRightInd w:val="0"/>
        <w:contextualSpacing w:val="0"/>
        <w:rPr>
          <w:rFonts w:cs="Arial"/>
          <w:i/>
          <w:iCs/>
          <w:szCs w:val="20"/>
          <w:lang w:val="pt-BR"/>
        </w:rPr>
      </w:pPr>
      <w:r w:rsidRPr="00D5464D">
        <w:rPr>
          <w:rFonts w:cs="Arial"/>
          <w:iCs/>
          <w:szCs w:val="20"/>
          <w:lang w:val="pt-BR"/>
        </w:rPr>
        <w:t>Em 2</w:t>
      </w:r>
      <w:r w:rsidR="00350187" w:rsidRPr="00D5464D">
        <w:rPr>
          <w:rFonts w:cs="Arial"/>
          <w:szCs w:val="20"/>
          <w:lang w:val="pt-BR"/>
        </w:rPr>
        <w:t xml:space="preserve">1 </w:t>
      </w:r>
      <w:r w:rsidR="00A1358C" w:rsidRPr="00D5464D">
        <w:rPr>
          <w:rFonts w:cs="Arial"/>
          <w:szCs w:val="20"/>
          <w:lang w:val="pt-BR"/>
        </w:rPr>
        <w:t>de junho</w:t>
      </w:r>
      <w:r w:rsidR="0003391C" w:rsidRPr="00D5464D">
        <w:rPr>
          <w:rFonts w:cs="Arial"/>
          <w:szCs w:val="20"/>
          <w:lang w:val="pt-BR"/>
        </w:rPr>
        <w:t xml:space="preserve"> de 2001</w:t>
      </w:r>
      <w:r w:rsidR="00470ADC" w:rsidRPr="00D5464D">
        <w:rPr>
          <w:rFonts w:cs="Arial"/>
          <w:szCs w:val="20"/>
          <w:lang w:val="pt-BR"/>
        </w:rPr>
        <w:t xml:space="preserve"> o </w:t>
      </w:r>
      <w:r w:rsidR="002C330E" w:rsidRPr="00D5464D">
        <w:rPr>
          <w:rFonts w:cs="Arial"/>
          <w:szCs w:val="20"/>
          <w:lang w:val="pt-BR"/>
        </w:rPr>
        <w:t>Ministério</w:t>
      </w:r>
      <w:r w:rsidR="0003391C" w:rsidRPr="00D5464D">
        <w:rPr>
          <w:rFonts w:cs="Arial"/>
          <w:szCs w:val="20"/>
          <w:lang w:val="pt-BR"/>
        </w:rPr>
        <w:t xml:space="preserve"> Público </w:t>
      </w:r>
      <w:r w:rsidR="00470ADC" w:rsidRPr="00D5464D">
        <w:rPr>
          <w:rFonts w:cs="Arial"/>
          <w:szCs w:val="20"/>
          <w:lang w:val="pt-BR"/>
        </w:rPr>
        <w:t xml:space="preserve">do </w:t>
      </w:r>
      <w:r w:rsidR="00E045D9" w:rsidRPr="00D5464D">
        <w:rPr>
          <w:rFonts w:cs="Arial"/>
          <w:szCs w:val="20"/>
          <w:lang w:val="pt-BR"/>
        </w:rPr>
        <w:t>Trabalho</w:t>
      </w:r>
      <w:r w:rsidR="0003391C" w:rsidRPr="00D5464D">
        <w:rPr>
          <w:rFonts w:cs="Arial"/>
          <w:szCs w:val="20"/>
          <w:lang w:val="pt-BR"/>
        </w:rPr>
        <w:t xml:space="preserve"> </w:t>
      </w:r>
      <w:r w:rsidR="00350187" w:rsidRPr="00D5464D">
        <w:rPr>
          <w:rFonts w:cs="Arial"/>
          <w:szCs w:val="20"/>
          <w:lang w:val="pt-BR"/>
        </w:rPr>
        <w:t>remeteu</w:t>
      </w:r>
      <w:r w:rsidR="00470ADC" w:rsidRPr="00D5464D">
        <w:rPr>
          <w:rFonts w:cs="Arial"/>
          <w:szCs w:val="20"/>
          <w:lang w:val="pt-BR"/>
        </w:rPr>
        <w:t xml:space="preserve"> à </w:t>
      </w:r>
      <w:r w:rsidR="0003391C" w:rsidRPr="00D5464D">
        <w:rPr>
          <w:rFonts w:cs="Arial"/>
          <w:szCs w:val="20"/>
          <w:lang w:val="pt-BR"/>
        </w:rPr>
        <w:t xml:space="preserve">Subprocuradora </w:t>
      </w:r>
      <w:r w:rsidR="002C330E" w:rsidRPr="00D5464D">
        <w:rPr>
          <w:rFonts w:cs="Arial"/>
          <w:szCs w:val="20"/>
          <w:lang w:val="pt-BR"/>
        </w:rPr>
        <w:t>Geral</w:t>
      </w:r>
      <w:r w:rsidR="00470ADC" w:rsidRPr="00D5464D">
        <w:rPr>
          <w:rFonts w:cs="Arial"/>
          <w:szCs w:val="20"/>
          <w:lang w:val="pt-BR"/>
        </w:rPr>
        <w:t xml:space="preserve"> da </w:t>
      </w:r>
      <w:r w:rsidR="0003391C" w:rsidRPr="00D5464D">
        <w:rPr>
          <w:rFonts w:cs="Arial"/>
          <w:szCs w:val="20"/>
          <w:lang w:val="pt-BR"/>
        </w:rPr>
        <w:t>República</w:t>
      </w:r>
      <w:r w:rsidR="00E045D9" w:rsidRPr="00D5464D">
        <w:rPr>
          <w:rFonts w:cs="Arial"/>
          <w:szCs w:val="20"/>
          <w:lang w:val="pt-BR"/>
        </w:rPr>
        <w:t xml:space="preserve"> um </w:t>
      </w:r>
      <w:r w:rsidR="00350187" w:rsidRPr="00D5464D">
        <w:rPr>
          <w:rFonts w:cs="Arial"/>
          <w:szCs w:val="20"/>
          <w:lang w:val="pt-BR"/>
        </w:rPr>
        <w:t>relatório</w:t>
      </w:r>
      <w:r w:rsidR="002C330E" w:rsidRPr="00D5464D">
        <w:rPr>
          <w:rFonts w:cs="Arial"/>
          <w:szCs w:val="20"/>
          <w:lang w:val="pt-BR"/>
        </w:rPr>
        <w:t xml:space="preserve"> </w:t>
      </w:r>
      <w:r w:rsidR="0003391C" w:rsidRPr="00D5464D">
        <w:rPr>
          <w:rFonts w:cs="Arial"/>
          <w:szCs w:val="20"/>
          <w:lang w:val="pt-BR"/>
        </w:rPr>
        <w:t>pormenorizado</w:t>
      </w:r>
      <w:r w:rsidR="00470ADC" w:rsidRPr="00D5464D">
        <w:rPr>
          <w:rFonts w:cs="Arial"/>
          <w:szCs w:val="20"/>
          <w:lang w:val="pt-BR"/>
        </w:rPr>
        <w:t xml:space="preserve"> </w:t>
      </w:r>
      <w:r w:rsidR="00C1266B" w:rsidRPr="00D5464D">
        <w:rPr>
          <w:rFonts w:cs="Arial"/>
          <w:szCs w:val="20"/>
          <w:lang w:val="pt-BR"/>
        </w:rPr>
        <w:t xml:space="preserve">sobre os </w:t>
      </w:r>
      <w:r w:rsidR="002C330E" w:rsidRPr="00D5464D">
        <w:rPr>
          <w:rFonts w:cs="Arial"/>
          <w:szCs w:val="20"/>
          <w:lang w:val="pt-BR"/>
        </w:rPr>
        <w:t>procedimento</w:t>
      </w:r>
      <w:r w:rsidR="0003391C" w:rsidRPr="00D5464D">
        <w:rPr>
          <w:rFonts w:cs="Arial"/>
          <w:szCs w:val="20"/>
          <w:lang w:val="pt-BR"/>
        </w:rPr>
        <w:t xml:space="preserve">s instaurados por </w:t>
      </w:r>
      <w:r w:rsidR="00470ADC" w:rsidRPr="00D5464D">
        <w:rPr>
          <w:rFonts w:cs="Arial"/>
          <w:szCs w:val="20"/>
          <w:lang w:val="pt-BR"/>
        </w:rPr>
        <w:t>este</w:t>
      </w:r>
      <w:r w:rsidR="0003391C" w:rsidRPr="00D5464D">
        <w:rPr>
          <w:rFonts w:cs="Arial"/>
          <w:szCs w:val="20"/>
          <w:lang w:val="pt-BR"/>
        </w:rPr>
        <w:t xml:space="preserve"> </w:t>
      </w:r>
      <w:r w:rsidR="002C330E" w:rsidRPr="00D5464D">
        <w:rPr>
          <w:rFonts w:cs="Arial"/>
          <w:szCs w:val="20"/>
          <w:lang w:val="pt-BR"/>
        </w:rPr>
        <w:t>órgão</w:t>
      </w:r>
      <w:r w:rsidR="00470ADC" w:rsidRPr="00D5464D">
        <w:rPr>
          <w:rFonts w:cs="Arial"/>
          <w:szCs w:val="20"/>
          <w:lang w:val="pt-BR"/>
        </w:rPr>
        <w:t xml:space="preserve"> </w:t>
      </w:r>
      <w:r w:rsidR="00350187" w:rsidRPr="00D5464D">
        <w:rPr>
          <w:rFonts w:cs="Arial"/>
          <w:szCs w:val="20"/>
          <w:lang w:val="pt-BR"/>
        </w:rPr>
        <w:t xml:space="preserve">em relação às </w:t>
      </w:r>
      <w:r w:rsidR="0003391C" w:rsidRPr="00D5464D">
        <w:rPr>
          <w:rFonts w:cs="Arial"/>
          <w:szCs w:val="20"/>
          <w:lang w:val="pt-BR"/>
        </w:rPr>
        <w:t xml:space="preserve">empresas </w:t>
      </w:r>
      <w:r w:rsidR="00737270" w:rsidRPr="00D5464D">
        <w:rPr>
          <w:rFonts w:cs="Arial"/>
          <w:szCs w:val="20"/>
          <w:lang w:val="pt-BR"/>
        </w:rPr>
        <w:t>pertencente</w:t>
      </w:r>
      <w:r w:rsidR="0003391C" w:rsidRPr="00D5464D">
        <w:rPr>
          <w:rFonts w:cs="Arial"/>
          <w:szCs w:val="20"/>
          <w:lang w:val="pt-BR"/>
        </w:rPr>
        <w:t>s</w:t>
      </w:r>
      <w:r w:rsidR="00470ADC" w:rsidRPr="00D5464D">
        <w:rPr>
          <w:rFonts w:cs="Arial"/>
          <w:szCs w:val="20"/>
          <w:lang w:val="pt-BR"/>
        </w:rPr>
        <w:t xml:space="preserve"> ao </w:t>
      </w:r>
      <w:r w:rsidR="0003391C" w:rsidRPr="00D5464D">
        <w:rPr>
          <w:rFonts w:cs="Arial"/>
          <w:szCs w:val="20"/>
          <w:lang w:val="pt-BR"/>
        </w:rPr>
        <w:t>Grupo Quagliato, entre</w:t>
      </w:r>
      <w:r w:rsidR="00470ADC" w:rsidRPr="00D5464D">
        <w:rPr>
          <w:rFonts w:cs="Arial"/>
          <w:szCs w:val="20"/>
          <w:lang w:val="pt-BR"/>
        </w:rPr>
        <w:t xml:space="preserve"> ela</w:t>
      </w:r>
      <w:r w:rsidR="0003391C" w:rsidRPr="00D5464D">
        <w:rPr>
          <w:rFonts w:cs="Arial"/>
          <w:szCs w:val="20"/>
          <w:lang w:val="pt-BR"/>
        </w:rPr>
        <w:t>s</w:t>
      </w:r>
      <w:r w:rsidR="002C330E" w:rsidRPr="00D5464D">
        <w:rPr>
          <w:rFonts w:cs="Arial"/>
          <w:szCs w:val="20"/>
          <w:lang w:val="pt-BR"/>
        </w:rPr>
        <w:t xml:space="preserve"> a </w:t>
      </w:r>
      <w:r w:rsidR="00D809F0" w:rsidRPr="00D5464D">
        <w:rPr>
          <w:rFonts w:cs="Arial"/>
          <w:iCs/>
          <w:szCs w:val="20"/>
          <w:lang w:val="pt-BR"/>
        </w:rPr>
        <w:t>Fazenda</w:t>
      </w:r>
      <w:r w:rsidR="0003391C" w:rsidRPr="00D5464D">
        <w:rPr>
          <w:rFonts w:cs="Arial"/>
          <w:iCs/>
          <w:szCs w:val="20"/>
          <w:lang w:val="pt-BR"/>
        </w:rPr>
        <w:t xml:space="preserve"> Brasil Verde</w:t>
      </w:r>
      <w:r w:rsidR="00C1266B" w:rsidRPr="00D5464D">
        <w:rPr>
          <w:rFonts w:cs="Arial"/>
          <w:iCs/>
          <w:szCs w:val="20"/>
          <w:lang w:val="pt-BR"/>
        </w:rPr>
        <w:t>.</w:t>
      </w:r>
      <w:r w:rsidR="0003391C" w:rsidRPr="00D5464D">
        <w:rPr>
          <w:rStyle w:val="Refdenotaalpie"/>
          <w:rFonts w:cs="Arial"/>
          <w:iCs/>
          <w:lang w:val="pt-BR"/>
        </w:rPr>
        <w:footnoteReference w:id="201"/>
      </w:r>
    </w:p>
    <w:p w14:paraId="61A96619" w14:textId="77777777" w:rsidR="0003391C" w:rsidRPr="00D5464D" w:rsidRDefault="0003391C" w:rsidP="00140440">
      <w:pPr>
        <w:pStyle w:val="Prrafodelista"/>
        <w:autoSpaceDE w:val="0"/>
        <w:autoSpaceDN w:val="0"/>
        <w:adjustRightInd w:val="0"/>
        <w:ind w:left="0"/>
        <w:contextualSpacing w:val="0"/>
        <w:rPr>
          <w:rFonts w:cs="Arial"/>
          <w:iCs/>
          <w:szCs w:val="20"/>
          <w:lang w:val="pt-BR"/>
        </w:rPr>
      </w:pPr>
    </w:p>
    <w:p w14:paraId="3ABEBF47" w14:textId="32607CDE" w:rsidR="0003391C" w:rsidRPr="00D5464D" w:rsidRDefault="00470ADC" w:rsidP="00140440">
      <w:pPr>
        <w:pStyle w:val="Prrafodelista"/>
        <w:numPr>
          <w:ilvl w:val="0"/>
          <w:numId w:val="1"/>
        </w:numPr>
        <w:autoSpaceDE w:val="0"/>
        <w:autoSpaceDN w:val="0"/>
        <w:adjustRightInd w:val="0"/>
        <w:contextualSpacing w:val="0"/>
        <w:rPr>
          <w:rFonts w:cs="Arial"/>
          <w:i/>
          <w:iCs/>
          <w:szCs w:val="20"/>
          <w:lang w:val="pt-BR"/>
        </w:rPr>
      </w:pPr>
      <w:r w:rsidRPr="00D5464D">
        <w:rPr>
          <w:rFonts w:cs="Arial"/>
          <w:szCs w:val="20"/>
          <w:lang w:val="pt-BR"/>
        </w:rPr>
        <w:t>D</w:t>
      </w:r>
      <w:r w:rsidR="00C1266B" w:rsidRPr="00D5464D">
        <w:rPr>
          <w:rFonts w:cs="Arial"/>
          <w:szCs w:val="20"/>
          <w:lang w:val="pt-BR"/>
        </w:rPr>
        <w:t>e</w:t>
      </w:r>
      <w:r w:rsidRPr="00D5464D">
        <w:rPr>
          <w:rFonts w:cs="Arial"/>
          <w:szCs w:val="20"/>
          <w:lang w:val="pt-BR"/>
        </w:rPr>
        <w:t xml:space="preserve"> </w:t>
      </w:r>
      <w:r w:rsidR="0003391C" w:rsidRPr="00D5464D">
        <w:rPr>
          <w:rFonts w:cs="Arial"/>
          <w:szCs w:val="20"/>
          <w:lang w:val="pt-BR"/>
        </w:rPr>
        <w:t>12</w:t>
      </w:r>
      <w:r w:rsidRPr="00D5464D">
        <w:rPr>
          <w:rFonts w:cs="Arial"/>
          <w:szCs w:val="20"/>
          <w:lang w:val="pt-BR"/>
        </w:rPr>
        <w:t xml:space="preserve"> a </w:t>
      </w:r>
      <w:r w:rsidR="0003391C" w:rsidRPr="00D5464D">
        <w:rPr>
          <w:rFonts w:cs="Arial"/>
          <w:szCs w:val="20"/>
          <w:lang w:val="pt-BR"/>
        </w:rPr>
        <w:t>18 de</w:t>
      </w:r>
      <w:r w:rsidR="002C330E" w:rsidRPr="00D5464D">
        <w:rPr>
          <w:rFonts w:cs="Arial"/>
          <w:szCs w:val="20"/>
          <w:lang w:val="pt-BR"/>
        </w:rPr>
        <w:t xml:space="preserve"> maio </w:t>
      </w:r>
      <w:r w:rsidR="0003391C" w:rsidRPr="00D5464D">
        <w:rPr>
          <w:rFonts w:cs="Arial"/>
          <w:szCs w:val="20"/>
          <w:lang w:val="pt-BR"/>
        </w:rPr>
        <w:t>de 2002</w:t>
      </w:r>
      <w:r w:rsidR="00C1266B" w:rsidRPr="00D5464D">
        <w:rPr>
          <w:rFonts w:cs="Arial"/>
          <w:szCs w:val="20"/>
          <w:lang w:val="pt-BR"/>
        </w:rPr>
        <w:t>,</w:t>
      </w:r>
      <w:r w:rsidRPr="00D5464D">
        <w:rPr>
          <w:rFonts w:cs="Arial"/>
          <w:szCs w:val="20"/>
          <w:lang w:val="pt-BR"/>
        </w:rPr>
        <w:t xml:space="preserve"> o </w:t>
      </w:r>
      <w:r w:rsidR="002C330E" w:rsidRPr="00D5464D">
        <w:rPr>
          <w:rFonts w:cs="Arial"/>
          <w:szCs w:val="20"/>
          <w:lang w:val="pt-BR"/>
        </w:rPr>
        <w:t>Ministério</w:t>
      </w:r>
      <w:r w:rsidR="0003391C" w:rsidRPr="00D5464D">
        <w:rPr>
          <w:rFonts w:cs="Arial"/>
          <w:szCs w:val="20"/>
          <w:lang w:val="pt-BR"/>
        </w:rPr>
        <w:t xml:space="preserve"> </w:t>
      </w:r>
      <w:r w:rsidRPr="00D5464D">
        <w:rPr>
          <w:rFonts w:cs="Arial"/>
          <w:szCs w:val="20"/>
          <w:lang w:val="pt-BR"/>
        </w:rPr>
        <w:t xml:space="preserve">do </w:t>
      </w:r>
      <w:r w:rsidR="00E045D9" w:rsidRPr="00D5464D">
        <w:rPr>
          <w:rFonts w:cs="Arial"/>
          <w:szCs w:val="20"/>
          <w:lang w:val="pt-BR"/>
        </w:rPr>
        <w:t>Trabalho</w:t>
      </w:r>
      <w:r w:rsidR="0003391C" w:rsidRPr="00D5464D">
        <w:rPr>
          <w:rFonts w:cs="Arial"/>
          <w:szCs w:val="20"/>
          <w:lang w:val="pt-BR"/>
        </w:rPr>
        <w:t xml:space="preserve"> </w:t>
      </w:r>
      <w:r w:rsidR="002C330E" w:rsidRPr="00D5464D">
        <w:rPr>
          <w:rFonts w:cs="Arial"/>
          <w:szCs w:val="20"/>
          <w:lang w:val="pt-BR"/>
        </w:rPr>
        <w:t>realizou</w:t>
      </w:r>
      <w:r w:rsidR="00E045D9" w:rsidRPr="00D5464D">
        <w:rPr>
          <w:rFonts w:cs="Arial"/>
          <w:szCs w:val="20"/>
          <w:lang w:val="pt-BR"/>
        </w:rPr>
        <w:t xml:space="preserve"> uma </w:t>
      </w:r>
      <w:r w:rsidR="002C330E" w:rsidRPr="00D5464D">
        <w:rPr>
          <w:rFonts w:cs="Arial"/>
          <w:szCs w:val="20"/>
          <w:lang w:val="pt-BR"/>
        </w:rPr>
        <w:t>nova</w:t>
      </w:r>
      <w:r w:rsidR="0003391C" w:rsidRPr="00D5464D">
        <w:rPr>
          <w:rFonts w:cs="Arial"/>
          <w:szCs w:val="20"/>
          <w:lang w:val="pt-BR"/>
        </w:rPr>
        <w:t xml:space="preserve"> fiscaliza</w:t>
      </w:r>
      <w:r w:rsidRPr="00D5464D">
        <w:rPr>
          <w:rFonts w:cs="Arial"/>
          <w:szCs w:val="20"/>
          <w:lang w:val="pt-BR"/>
        </w:rPr>
        <w:t>ção</w:t>
      </w:r>
      <w:r w:rsidR="00E045D9" w:rsidRPr="00D5464D">
        <w:rPr>
          <w:rFonts w:cs="Arial"/>
          <w:szCs w:val="20"/>
          <w:lang w:val="pt-BR"/>
        </w:rPr>
        <w:t xml:space="preserve"> nas </w:t>
      </w:r>
      <w:r w:rsidR="002C330E" w:rsidRPr="00D5464D">
        <w:rPr>
          <w:rFonts w:cs="Arial"/>
          <w:szCs w:val="20"/>
          <w:lang w:val="pt-BR"/>
        </w:rPr>
        <w:t>regiões</w:t>
      </w:r>
      <w:r w:rsidR="0003391C" w:rsidRPr="00D5464D">
        <w:rPr>
          <w:rFonts w:cs="Arial"/>
          <w:szCs w:val="20"/>
          <w:lang w:val="pt-BR"/>
        </w:rPr>
        <w:t xml:space="preserve"> de Xinguara, Curionópolis</w:t>
      </w:r>
      <w:r w:rsidR="00E045D9" w:rsidRPr="00D5464D">
        <w:rPr>
          <w:rFonts w:cs="Arial"/>
          <w:szCs w:val="20"/>
          <w:lang w:val="pt-BR"/>
        </w:rPr>
        <w:t xml:space="preserve"> e </w:t>
      </w:r>
      <w:r w:rsidR="0003391C" w:rsidRPr="00D5464D">
        <w:rPr>
          <w:rFonts w:cs="Arial"/>
          <w:szCs w:val="20"/>
          <w:lang w:val="pt-BR"/>
        </w:rPr>
        <w:t>Sapucaia,</w:t>
      </w:r>
      <w:r w:rsidRPr="00D5464D">
        <w:rPr>
          <w:rFonts w:cs="Arial"/>
          <w:szCs w:val="20"/>
          <w:lang w:val="pt-BR"/>
        </w:rPr>
        <w:t xml:space="preserve"> com</w:t>
      </w:r>
      <w:r w:rsidR="002C330E" w:rsidRPr="00D5464D">
        <w:rPr>
          <w:rFonts w:cs="Arial"/>
          <w:szCs w:val="20"/>
          <w:lang w:val="pt-BR"/>
        </w:rPr>
        <w:t xml:space="preserve"> a </w:t>
      </w:r>
      <w:r w:rsidRPr="00D5464D">
        <w:rPr>
          <w:rFonts w:cs="Arial"/>
          <w:szCs w:val="20"/>
          <w:lang w:val="pt-BR"/>
        </w:rPr>
        <w:t xml:space="preserve">finalidade </w:t>
      </w:r>
      <w:r w:rsidR="0003391C" w:rsidRPr="00D5464D">
        <w:rPr>
          <w:rFonts w:cs="Arial"/>
          <w:szCs w:val="20"/>
          <w:lang w:val="pt-BR"/>
        </w:rPr>
        <w:t>de verificar</w:t>
      </w:r>
      <w:r w:rsidRPr="00D5464D">
        <w:rPr>
          <w:rFonts w:cs="Arial"/>
          <w:szCs w:val="20"/>
          <w:lang w:val="pt-BR"/>
        </w:rPr>
        <w:t xml:space="preserve"> o cumprimento dos compromissos</w:t>
      </w:r>
      <w:r w:rsidR="0003391C" w:rsidRPr="00D5464D">
        <w:rPr>
          <w:rFonts w:cs="Arial"/>
          <w:szCs w:val="20"/>
          <w:lang w:val="pt-BR"/>
        </w:rPr>
        <w:t xml:space="preserve"> acordados entre</w:t>
      </w:r>
      <w:r w:rsidRPr="00D5464D">
        <w:rPr>
          <w:rFonts w:cs="Arial"/>
          <w:szCs w:val="20"/>
          <w:lang w:val="pt-BR"/>
        </w:rPr>
        <w:t xml:space="preserve"> o </w:t>
      </w:r>
      <w:r w:rsidR="0003391C" w:rsidRPr="00D5464D">
        <w:rPr>
          <w:rFonts w:cs="Arial"/>
          <w:szCs w:val="20"/>
          <w:lang w:val="pt-BR"/>
        </w:rPr>
        <w:t>MPT</w:t>
      </w:r>
      <w:r w:rsidR="00E045D9" w:rsidRPr="00D5464D">
        <w:rPr>
          <w:rFonts w:cs="Arial"/>
          <w:szCs w:val="20"/>
          <w:lang w:val="pt-BR"/>
        </w:rPr>
        <w:t xml:space="preserve"> e vários</w:t>
      </w:r>
      <w:r w:rsidR="0003391C" w:rsidRPr="00D5464D">
        <w:rPr>
          <w:rFonts w:cs="Arial"/>
          <w:szCs w:val="20"/>
          <w:lang w:val="pt-BR"/>
        </w:rPr>
        <w:t xml:space="preserve"> </w:t>
      </w:r>
      <w:r w:rsidR="00230C71" w:rsidRPr="00D5464D">
        <w:rPr>
          <w:rFonts w:cs="Arial"/>
          <w:szCs w:val="20"/>
          <w:lang w:val="pt-BR"/>
        </w:rPr>
        <w:t>empregad</w:t>
      </w:r>
      <w:r w:rsidR="0003391C" w:rsidRPr="00D5464D">
        <w:rPr>
          <w:rFonts w:cs="Arial"/>
          <w:szCs w:val="20"/>
          <w:lang w:val="pt-BR"/>
        </w:rPr>
        <w:t xml:space="preserve">ores </w:t>
      </w:r>
      <w:r w:rsidR="00E045D9" w:rsidRPr="00D5464D">
        <w:rPr>
          <w:rFonts w:cs="Arial"/>
          <w:szCs w:val="20"/>
          <w:lang w:val="pt-BR"/>
        </w:rPr>
        <w:t>rurais</w:t>
      </w:r>
      <w:r w:rsidR="00C1266B" w:rsidRPr="00D5464D">
        <w:rPr>
          <w:rFonts w:cs="Arial"/>
          <w:szCs w:val="20"/>
          <w:lang w:val="pt-BR"/>
        </w:rPr>
        <w:t>.</w:t>
      </w:r>
      <w:r w:rsidR="0003391C" w:rsidRPr="00D5464D">
        <w:rPr>
          <w:rStyle w:val="Refdenotaalpie"/>
          <w:rFonts w:cs="Arial"/>
          <w:lang w:val="pt-BR"/>
        </w:rPr>
        <w:footnoteReference w:id="202"/>
      </w:r>
      <w:r w:rsidR="0003391C" w:rsidRPr="00D5464D">
        <w:rPr>
          <w:rFonts w:cs="Arial"/>
          <w:szCs w:val="20"/>
          <w:lang w:val="pt-BR"/>
        </w:rPr>
        <w:t xml:space="preserve"> Dentro</w:t>
      </w:r>
      <w:r w:rsidRPr="00D5464D">
        <w:rPr>
          <w:rFonts w:cs="Arial"/>
          <w:szCs w:val="20"/>
          <w:lang w:val="pt-BR"/>
        </w:rPr>
        <w:t xml:space="preserve"> desta </w:t>
      </w:r>
      <w:r w:rsidR="0003391C" w:rsidRPr="00D5464D">
        <w:rPr>
          <w:rFonts w:cs="Arial"/>
          <w:szCs w:val="20"/>
          <w:lang w:val="pt-BR"/>
        </w:rPr>
        <w:t>fiscaliza</w:t>
      </w:r>
      <w:r w:rsidRPr="00D5464D">
        <w:rPr>
          <w:rFonts w:cs="Arial"/>
          <w:szCs w:val="20"/>
          <w:lang w:val="pt-BR"/>
        </w:rPr>
        <w:t>ção</w:t>
      </w:r>
      <w:r w:rsidR="0003391C" w:rsidRPr="00D5464D">
        <w:rPr>
          <w:rFonts w:cs="Arial"/>
          <w:szCs w:val="20"/>
          <w:lang w:val="pt-BR"/>
        </w:rPr>
        <w:t xml:space="preserve"> </w:t>
      </w:r>
      <w:r w:rsidR="00230C71" w:rsidRPr="00D5464D">
        <w:rPr>
          <w:rFonts w:cs="Arial"/>
          <w:szCs w:val="20"/>
          <w:lang w:val="pt-BR"/>
        </w:rPr>
        <w:t>visitou</w:t>
      </w:r>
      <w:r w:rsidR="00C1266B" w:rsidRPr="00D5464D">
        <w:rPr>
          <w:rFonts w:cs="Arial"/>
          <w:szCs w:val="20"/>
          <w:lang w:val="pt-BR"/>
        </w:rPr>
        <w:t>-se</w:t>
      </w:r>
      <w:r w:rsidR="002C330E" w:rsidRPr="00D5464D">
        <w:rPr>
          <w:rFonts w:cs="Arial"/>
          <w:szCs w:val="20"/>
          <w:lang w:val="pt-BR"/>
        </w:rPr>
        <w:t xml:space="preserve"> a </w:t>
      </w:r>
      <w:r w:rsidR="00D809F0" w:rsidRPr="00D5464D">
        <w:rPr>
          <w:rFonts w:cs="Arial"/>
          <w:iCs/>
          <w:szCs w:val="20"/>
          <w:lang w:val="pt-BR"/>
        </w:rPr>
        <w:t>Fazenda</w:t>
      </w:r>
      <w:r w:rsidR="0003391C" w:rsidRPr="00D5464D">
        <w:rPr>
          <w:rFonts w:cs="Arial"/>
          <w:iCs/>
          <w:szCs w:val="20"/>
          <w:lang w:val="pt-BR"/>
        </w:rPr>
        <w:t xml:space="preserve"> Brasil Verde</w:t>
      </w:r>
      <w:r w:rsidR="00C1266B" w:rsidRPr="00D5464D">
        <w:rPr>
          <w:rFonts w:cs="Arial"/>
          <w:iCs/>
          <w:szCs w:val="20"/>
          <w:lang w:val="pt-BR"/>
        </w:rPr>
        <w:t>.</w:t>
      </w:r>
      <w:r w:rsidR="0003391C" w:rsidRPr="00D5464D">
        <w:rPr>
          <w:rStyle w:val="Refdenotaalpie"/>
          <w:rFonts w:cs="Arial"/>
          <w:iCs/>
          <w:lang w:val="pt-BR"/>
        </w:rPr>
        <w:footnoteReference w:id="203"/>
      </w:r>
      <w:r w:rsidR="0003391C" w:rsidRPr="00D5464D">
        <w:rPr>
          <w:rFonts w:cs="Arial"/>
          <w:iCs/>
          <w:szCs w:val="20"/>
          <w:lang w:val="pt-BR"/>
        </w:rPr>
        <w:t xml:space="preserve"> </w:t>
      </w:r>
      <w:r w:rsidRPr="00D5464D">
        <w:rPr>
          <w:rFonts w:cs="Arial"/>
          <w:iCs/>
          <w:szCs w:val="20"/>
          <w:lang w:val="pt-BR"/>
        </w:rPr>
        <w:t xml:space="preserve">Depois da </w:t>
      </w:r>
      <w:r w:rsidR="0003391C" w:rsidRPr="00D5464D">
        <w:rPr>
          <w:rFonts w:cs="Arial"/>
          <w:iCs/>
          <w:szCs w:val="20"/>
          <w:lang w:val="pt-BR"/>
        </w:rPr>
        <w:t>fiscaliza</w:t>
      </w:r>
      <w:r w:rsidRPr="00D5464D">
        <w:rPr>
          <w:rFonts w:cs="Arial"/>
          <w:iCs/>
          <w:szCs w:val="20"/>
          <w:lang w:val="pt-BR"/>
        </w:rPr>
        <w:t>ção</w:t>
      </w:r>
      <w:r w:rsidR="0003391C" w:rsidRPr="00D5464D">
        <w:rPr>
          <w:rFonts w:cs="Arial"/>
          <w:iCs/>
          <w:szCs w:val="20"/>
          <w:lang w:val="pt-BR"/>
        </w:rPr>
        <w:t xml:space="preserve"> </w:t>
      </w:r>
      <w:r w:rsidRPr="00D5464D">
        <w:rPr>
          <w:rFonts w:cs="Arial"/>
          <w:szCs w:val="20"/>
          <w:lang w:val="pt-BR"/>
        </w:rPr>
        <w:t>concluiu</w:t>
      </w:r>
      <w:r w:rsidR="00C1266B" w:rsidRPr="00D5464D">
        <w:rPr>
          <w:rFonts w:cs="Arial"/>
          <w:szCs w:val="20"/>
          <w:lang w:val="pt-BR"/>
        </w:rPr>
        <w:t>-se</w:t>
      </w:r>
      <w:r w:rsidR="0003391C" w:rsidRPr="00D5464D">
        <w:rPr>
          <w:rFonts w:cs="Arial"/>
          <w:szCs w:val="20"/>
          <w:lang w:val="pt-BR"/>
        </w:rPr>
        <w:t xml:space="preserve"> que</w:t>
      </w:r>
      <w:r w:rsidR="002C330E" w:rsidRPr="00D5464D">
        <w:rPr>
          <w:rFonts w:cs="Arial"/>
          <w:szCs w:val="20"/>
          <w:lang w:val="pt-BR"/>
        </w:rPr>
        <w:t xml:space="preserve"> os </w:t>
      </w:r>
      <w:r w:rsidR="00230C71" w:rsidRPr="00D5464D">
        <w:rPr>
          <w:rFonts w:cs="Arial"/>
          <w:szCs w:val="20"/>
          <w:lang w:val="pt-BR"/>
        </w:rPr>
        <w:t>empregad</w:t>
      </w:r>
      <w:r w:rsidR="0003391C" w:rsidRPr="00D5464D">
        <w:rPr>
          <w:rFonts w:cs="Arial"/>
          <w:szCs w:val="20"/>
          <w:lang w:val="pt-BR"/>
        </w:rPr>
        <w:t xml:space="preserve">ores </w:t>
      </w:r>
      <w:r w:rsidR="00350187" w:rsidRPr="00D5464D">
        <w:rPr>
          <w:rFonts w:cs="Arial"/>
          <w:szCs w:val="20"/>
          <w:lang w:val="pt-BR"/>
        </w:rPr>
        <w:t>vinham</w:t>
      </w:r>
      <w:r w:rsidR="0003391C" w:rsidRPr="00D5464D">
        <w:rPr>
          <w:rFonts w:cs="Arial"/>
          <w:szCs w:val="20"/>
          <w:lang w:val="pt-BR"/>
        </w:rPr>
        <w:t xml:space="preserve"> </w:t>
      </w:r>
      <w:r w:rsidR="00A1358C" w:rsidRPr="00D5464D">
        <w:rPr>
          <w:rFonts w:cs="Arial"/>
          <w:szCs w:val="20"/>
          <w:lang w:val="pt-BR"/>
        </w:rPr>
        <w:t>cumprindo</w:t>
      </w:r>
      <w:r w:rsidRPr="00D5464D">
        <w:rPr>
          <w:rFonts w:cs="Arial"/>
          <w:szCs w:val="20"/>
          <w:lang w:val="pt-BR"/>
        </w:rPr>
        <w:t xml:space="preserve"> com </w:t>
      </w:r>
      <w:r w:rsidR="0003391C" w:rsidRPr="00D5464D">
        <w:rPr>
          <w:rFonts w:cs="Arial"/>
          <w:szCs w:val="20"/>
          <w:lang w:val="pt-BR"/>
        </w:rPr>
        <w:t>s</w:t>
      </w:r>
      <w:r w:rsidR="00C1266B" w:rsidRPr="00D5464D">
        <w:rPr>
          <w:rFonts w:cs="Arial"/>
          <w:szCs w:val="20"/>
          <w:lang w:val="pt-BR"/>
        </w:rPr>
        <w:t>e</w:t>
      </w:r>
      <w:r w:rsidR="0003391C" w:rsidRPr="00D5464D">
        <w:rPr>
          <w:rFonts w:cs="Arial"/>
          <w:szCs w:val="20"/>
          <w:lang w:val="pt-BR"/>
        </w:rPr>
        <w:t xml:space="preserve">us </w:t>
      </w:r>
      <w:r w:rsidRPr="00D5464D">
        <w:rPr>
          <w:rFonts w:cs="Arial"/>
          <w:szCs w:val="20"/>
          <w:lang w:val="pt-BR"/>
        </w:rPr>
        <w:t>compromissos</w:t>
      </w:r>
      <w:r w:rsidR="0003391C" w:rsidRPr="00D5464D">
        <w:rPr>
          <w:rStyle w:val="Refdenotaalpie"/>
          <w:rFonts w:cs="Arial"/>
          <w:lang w:val="pt-BR"/>
        </w:rPr>
        <w:footnoteReference w:id="204"/>
      </w:r>
      <w:r w:rsidRPr="00D5464D">
        <w:rPr>
          <w:rFonts w:cs="Arial"/>
          <w:szCs w:val="20"/>
          <w:lang w:val="pt-BR"/>
        </w:rPr>
        <w:t xml:space="preserve"> e</w:t>
      </w:r>
      <w:r w:rsidR="0003391C" w:rsidRPr="00D5464D">
        <w:rPr>
          <w:rFonts w:cs="Arial"/>
          <w:szCs w:val="20"/>
          <w:lang w:val="pt-BR"/>
        </w:rPr>
        <w:t xml:space="preserve"> que</w:t>
      </w:r>
      <w:r w:rsidR="00FC6146" w:rsidRPr="00D5464D">
        <w:rPr>
          <w:rFonts w:cs="Arial"/>
          <w:szCs w:val="20"/>
          <w:lang w:val="pt-BR"/>
        </w:rPr>
        <w:t>,</w:t>
      </w:r>
      <w:r w:rsidR="0003391C" w:rsidRPr="00D5464D">
        <w:rPr>
          <w:rFonts w:cs="Arial"/>
          <w:szCs w:val="20"/>
          <w:lang w:val="pt-BR"/>
        </w:rPr>
        <w:t xml:space="preserve"> como resultado</w:t>
      </w:r>
      <w:r w:rsidRPr="00D5464D">
        <w:rPr>
          <w:rFonts w:cs="Arial"/>
          <w:szCs w:val="20"/>
          <w:lang w:val="pt-BR"/>
        </w:rPr>
        <w:t xml:space="preserve"> dos compromissos</w:t>
      </w:r>
      <w:r w:rsidR="0003391C" w:rsidRPr="00D5464D">
        <w:rPr>
          <w:rFonts w:cs="Arial"/>
          <w:szCs w:val="20"/>
          <w:lang w:val="pt-BR"/>
        </w:rPr>
        <w:t xml:space="preserve"> acordados,</w:t>
      </w:r>
      <w:r w:rsidR="002C330E" w:rsidRPr="00D5464D">
        <w:rPr>
          <w:rFonts w:cs="Arial"/>
          <w:szCs w:val="20"/>
          <w:lang w:val="pt-BR"/>
        </w:rPr>
        <w:t xml:space="preserve"> a </w:t>
      </w:r>
      <w:r w:rsidR="0003391C" w:rsidRPr="00D5464D">
        <w:rPr>
          <w:rFonts w:cs="Arial"/>
          <w:szCs w:val="20"/>
          <w:lang w:val="pt-BR"/>
        </w:rPr>
        <w:t>administra</w:t>
      </w:r>
      <w:r w:rsidRPr="00D5464D">
        <w:rPr>
          <w:rFonts w:cs="Arial"/>
          <w:szCs w:val="20"/>
          <w:lang w:val="pt-BR"/>
        </w:rPr>
        <w:t>ção</w:t>
      </w:r>
      <w:r w:rsidR="0003391C" w:rsidRPr="00D5464D">
        <w:rPr>
          <w:rFonts w:cs="Arial"/>
          <w:szCs w:val="20"/>
          <w:lang w:val="pt-BR"/>
        </w:rPr>
        <w:t xml:space="preserve"> </w:t>
      </w:r>
      <w:r w:rsidRPr="00D5464D">
        <w:rPr>
          <w:rFonts w:cs="Arial"/>
          <w:szCs w:val="20"/>
          <w:lang w:val="pt-BR"/>
        </w:rPr>
        <w:t>diret</w:t>
      </w:r>
      <w:r w:rsidR="0003391C" w:rsidRPr="00D5464D">
        <w:rPr>
          <w:rFonts w:cs="Arial"/>
          <w:szCs w:val="20"/>
          <w:lang w:val="pt-BR"/>
        </w:rPr>
        <w:t>a</w:t>
      </w:r>
      <w:r w:rsidRPr="00D5464D">
        <w:rPr>
          <w:rFonts w:cs="Arial"/>
          <w:szCs w:val="20"/>
          <w:lang w:val="pt-BR"/>
        </w:rPr>
        <w:t xml:space="preserve"> dos </w:t>
      </w:r>
      <w:r w:rsidR="00230C71" w:rsidRPr="00D5464D">
        <w:rPr>
          <w:rFonts w:cs="Arial"/>
          <w:szCs w:val="20"/>
          <w:lang w:val="pt-BR"/>
        </w:rPr>
        <w:t>empregad</w:t>
      </w:r>
      <w:r w:rsidR="0003391C" w:rsidRPr="00D5464D">
        <w:rPr>
          <w:rFonts w:cs="Arial"/>
          <w:szCs w:val="20"/>
          <w:lang w:val="pt-BR"/>
        </w:rPr>
        <w:t>os</w:t>
      </w:r>
      <w:r w:rsidR="002C330E" w:rsidRPr="00D5464D">
        <w:rPr>
          <w:rFonts w:cs="Arial"/>
          <w:szCs w:val="20"/>
          <w:lang w:val="pt-BR"/>
        </w:rPr>
        <w:t xml:space="preserve"> pelo </w:t>
      </w:r>
      <w:r w:rsidR="00230C71" w:rsidRPr="00D5464D">
        <w:rPr>
          <w:rFonts w:cs="Arial"/>
          <w:szCs w:val="20"/>
          <w:lang w:val="pt-BR"/>
        </w:rPr>
        <w:t>empregad</w:t>
      </w:r>
      <w:r w:rsidR="0003391C" w:rsidRPr="00D5464D">
        <w:rPr>
          <w:rFonts w:cs="Arial"/>
          <w:szCs w:val="20"/>
          <w:lang w:val="pt-BR"/>
        </w:rPr>
        <w:t xml:space="preserve">or </w:t>
      </w:r>
      <w:r w:rsidR="002C330E" w:rsidRPr="00D5464D">
        <w:rPr>
          <w:rFonts w:cs="Arial"/>
          <w:szCs w:val="20"/>
          <w:lang w:val="pt-BR"/>
        </w:rPr>
        <w:t>havia</w:t>
      </w:r>
      <w:r w:rsidR="0003391C" w:rsidRPr="00D5464D">
        <w:rPr>
          <w:rFonts w:cs="Arial"/>
          <w:szCs w:val="20"/>
          <w:lang w:val="pt-BR"/>
        </w:rPr>
        <w:t xml:space="preserve"> eliminado</w:t>
      </w:r>
      <w:r w:rsidR="002C330E" w:rsidRPr="00D5464D">
        <w:rPr>
          <w:rFonts w:cs="Arial"/>
          <w:szCs w:val="20"/>
          <w:lang w:val="pt-BR"/>
        </w:rPr>
        <w:t xml:space="preserve"> a </w:t>
      </w:r>
      <w:r w:rsidR="00E045D9" w:rsidRPr="00D5464D">
        <w:rPr>
          <w:rFonts w:cs="Arial"/>
          <w:szCs w:val="20"/>
          <w:lang w:val="pt-BR"/>
        </w:rPr>
        <w:t>dependência</w:t>
      </w:r>
      <w:r w:rsidR="0003391C" w:rsidRPr="00D5464D">
        <w:rPr>
          <w:rFonts w:cs="Arial"/>
          <w:szCs w:val="20"/>
          <w:lang w:val="pt-BR"/>
        </w:rPr>
        <w:t xml:space="preserve"> </w:t>
      </w:r>
      <w:r w:rsidRPr="00D5464D">
        <w:rPr>
          <w:rFonts w:cs="Arial"/>
          <w:szCs w:val="20"/>
          <w:lang w:val="pt-BR"/>
        </w:rPr>
        <w:t>econômic</w:t>
      </w:r>
      <w:r w:rsidR="0003391C" w:rsidRPr="00D5464D">
        <w:rPr>
          <w:rFonts w:cs="Arial"/>
          <w:szCs w:val="20"/>
          <w:lang w:val="pt-BR"/>
        </w:rPr>
        <w:t>a</w:t>
      </w:r>
      <w:r w:rsidR="00E045D9" w:rsidRPr="00D5464D">
        <w:rPr>
          <w:rFonts w:cs="Arial"/>
          <w:szCs w:val="20"/>
          <w:lang w:val="pt-BR"/>
        </w:rPr>
        <w:t xml:space="preserve"> e </w:t>
      </w:r>
      <w:r w:rsidR="0003391C" w:rsidRPr="00D5464D">
        <w:rPr>
          <w:rFonts w:cs="Arial"/>
          <w:szCs w:val="20"/>
          <w:lang w:val="pt-BR"/>
        </w:rPr>
        <w:t>física</w:t>
      </w:r>
      <w:r w:rsidRPr="00D5464D">
        <w:rPr>
          <w:rFonts w:cs="Arial"/>
          <w:szCs w:val="20"/>
          <w:lang w:val="pt-BR"/>
        </w:rPr>
        <w:t xml:space="preserve"> dos </w:t>
      </w:r>
      <w:r w:rsidR="00E045D9" w:rsidRPr="00D5464D">
        <w:rPr>
          <w:rFonts w:cs="Arial"/>
          <w:szCs w:val="20"/>
          <w:lang w:val="pt-BR"/>
        </w:rPr>
        <w:t xml:space="preserve">trabalhadores aos </w:t>
      </w:r>
      <w:r w:rsidR="00996473" w:rsidRPr="00D5464D">
        <w:rPr>
          <w:rFonts w:cs="Arial"/>
          <w:szCs w:val="20"/>
          <w:lang w:val="pt-BR"/>
        </w:rPr>
        <w:t>gatos</w:t>
      </w:r>
      <w:r w:rsidR="0003391C" w:rsidRPr="00D5464D">
        <w:rPr>
          <w:rFonts w:cs="Arial"/>
          <w:szCs w:val="20"/>
          <w:lang w:val="pt-BR"/>
        </w:rPr>
        <w:t>, que era</w:t>
      </w:r>
      <w:r w:rsidR="002C330E" w:rsidRPr="00D5464D">
        <w:rPr>
          <w:rFonts w:cs="Arial"/>
          <w:szCs w:val="20"/>
          <w:lang w:val="pt-BR"/>
        </w:rPr>
        <w:t xml:space="preserve"> a </w:t>
      </w:r>
      <w:r w:rsidR="0003391C" w:rsidRPr="00D5464D">
        <w:rPr>
          <w:rFonts w:cs="Arial"/>
          <w:szCs w:val="20"/>
          <w:lang w:val="pt-BR"/>
        </w:rPr>
        <w:t xml:space="preserve">causa de </w:t>
      </w:r>
      <w:r w:rsidR="00230C71" w:rsidRPr="00D5464D">
        <w:rPr>
          <w:rFonts w:cs="Arial"/>
          <w:szCs w:val="20"/>
          <w:lang w:val="pt-BR"/>
        </w:rPr>
        <w:t>exploração</w:t>
      </w:r>
      <w:r w:rsidR="0003391C" w:rsidRPr="00D5464D">
        <w:rPr>
          <w:rFonts w:cs="Arial"/>
          <w:szCs w:val="20"/>
          <w:lang w:val="pt-BR"/>
        </w:rPr>
        <w:t xml:space="preserve"> de </w:t>
      </w:r>
      <w:r w:rsidR="00C1266B" w:rsidRPr="00D5464D">
        <w:rPr>
          <w:rFonts w:cs="Arial"/>
          <w:szCs w:val="20"/>
          <w:lang w:val="pt-BR"/>
        </w:rPr>
        <w:t xml:space="preserve">mão </w:t>
      </w:r>
      <w:r w:rsidR="0003391C" w:rsidRPr="00D5464D">
        <w:rPr>
          <w:rFonts w:cs="Arial"/>
          <w:szCs w:val="20"/>
          <w:lang w:val="pt-BR"/>
        </w:rPr>
        <w:t xml:space="preserve">de obra </w:t>
      </w:r>
      <w:r w:rsidRPr="00D5464D">
        <w:rPr>
          <w:rFonts w:cs="Arial"/>
          <w:szCs w:val="20"/>
          <w:lang w:val="pt-BR"/>
        </w:rPr>
        <w:t>forçada</w:t>
      </w:r>
      <w:r w:rsidR="00E045D9" w:rsidRPr="00D5464D">
        <w:rPr>
          <w:rFonts w:cs="Arial"/>
          <w:szCs w:val="20"/>
          <w:lang w:val="pt-BR"/>
        </w:rPr>
        <w:t xml:space="preserve"> e </w:t>
      </w:r>
      <w:r w:rsidR="0003391C" w:rsidRPr="00D5464D">
        <w:rPr>
          <w:rFonts w:cs="Arial"/>
          <w:szCs w:val="20"/>
          <w:lang w:val="pt-BR"/>
        </w:rPr>
        <w:t>análoga</w:t>
      </w:r>
      <w:r w:rsidRPr="00D5464D">
        <w:rPr>
          <w:rFonts w:cs="Arial"/>
          <w:szCs w:val="20"/>
          <w:lang w:val="pt-BR"/>
        </w:rPr>
        <w:t xml:space="preserve"> à </w:t>
      </w:r>
      <w:r w:rsidR="00696CD2" w:rsidRPr="00D5464D">
        <w:rPr>
          <w:rFonts w:cs="Arial"/>
          <w:szCs w:val="20"/>
          <w:lang w:val="pt-BR"/>
        </w:rPr>
        <w:t xml:space="preserve">de </w:t>
      </w:r>
      <w:r w:rsidR="004F1CC2" w:rsidRPr="00D5464D">
        <w:rPr>
          <w:rFonts w:cs="Arial"/>
          <w:szCs w:val="20"/>
          <w:lang w:val="pt-BR"/>
        </w:rPr>
        <w:t>escravo</w:t>
      </w:r>
      <w:r w:rsidR="00C1266B" w:rsidRPr="00D5464D">
        <w:rPr>
          <w:rFonts w:cs="Arial"/>
          <w:szCs w:val="20"/>
          <w:lang w:val="pt-BR"/>
        </w:rPr>
        <w:t>.</w:t>
      </w:r>
      <w:r w:rsidR="0003391C" w:rsidRPr="00D5464D">
        <w:rPr>
          <w:rStyle w:val="Refdenotaalpie"/>
          <w:rFonts w:cs="Arial"/>
          <w:lang w:val="pt-BR"/>
        </w:rPr>
        <w:footnoteReference w:id="205"/>
      </w:r>
    </w:p>
    <w:p w14:paraId="42BCCA61" w14:textId="77777777" w:rsidR="0003391C" w:rsidRPr="00D5464D" w:rsidRDefault="0003391C" w:rsidP="00140440">
      <w:pPr>
        <w:pStyle w:val="Prrafodelista"/>
        <w:contextualSpacing w:val="0"/>
        <w:rPr>
          <w:rFonts w:cs="Arial"/>
          <w:i/>
          <w:iCs/>
          <w:szCs w:val="20"/>
          <w:lang w:val="pt-BR"/>
        </w:rPr>
      </w:pPr>
    </w:p>
    <w:p w14:paraId="5FACBEEE" w14:textId="47A2CAC3" w:rsidR="00E137D8" w:rsidRPr="00D5464D" w:rsidRDefault="00964D0C" w:rsidP="008622F3">
      <w:pPr>
        <w:pStyle w:val="Ttulo3"/>
        <w:rPr>
          <w:lang w:val="pt-BR"/>
        </w:rPr>
      </w:pPr>
      <w:bookmarkStart w:id="341" w:name="_Toc460433018"/>
      <w:bookmarkStart w:id="342" w:name="_Toc460441949"/>
      <w:bookmarkStart w:id="343" w:name="_Toc462750767"/>
      <w:bookmarkStart w:id="344" w:name="_Toc462751091"/>
      <w:bookmarkStart w:id="345" w:name="_Toc464813943"/>
      <w:bookmarkStart w:id="346" w:name="_Toc468433904"/>
      <w:r w:rsidRPr="00D5464D">
        <w:rPr>
          <w:lang w:val="pt-BR"/>
        </w:rPr>
        <w:t>B</w:t>
      </w:r>
      <w:r w:rsidR="004E708F" w:rsidRPr="00D5464D">
        <w:rPr>
          <w:lang w:val="pt-BR"/>
        </w:rPr>
        <w:t>.5</w:t>
      </w:r>
      <w:r w:rsidR="00CB7E29" w:rsidRPr="00D5464D">
        <w:rPr>
          <w:lang w:val="pt-BR"/>
        </w:rPr>
        <w:t>.</w:t>
      </w:r>
      <w:r w:rsidR="00E137D8" w:rsidRPr="00D5464D">
        <w:rPr>
          <w:lang w:val="pt-BR"/>
        </w:rPr>
        <w:t xml:space="preserve"> </w:t>
      </w:r>
      <w:r w:rsidR="002C330E" w:rsidRPr="00D5464D">
        <w:rPr>
          <w:lang w:val="pt-BR"/>
        </w:rPr>
        <w:t>Processo</w:t>
      </w:r>
      <w:r w:rsidR="00E137D8" w:rsidRPr="00D5464D">
        <w:rPr>
          <w:lang w:val="pt-BR"/>
        </w:rPr>
        <w:t xml:space="preserve"> Pen</w:t>
      </w:r>
      <w:r w:rsidR="00C1266B" w:rsidRPr="00D5464D">
        <w:rPr>
          <w:lang w:val="pt-BR"/>
        </w:rPr>
        <w:t>al</w:t>
      </w:r>
      <w:r w:rsidR="00737270" w:rsidRPr="00D5464D">
        <w:rPr>
          <w:lang w:val="pt-BR"/>
        </w:rPr>
        <w:t xml:space="preserve"> </w:t>
      </w:r>
      <w:r w:rsidR="00FC6146" w:rsidRPr="00D5464D">
        <w:rPr>
          <w:lang w:val="pt-BR"/>
        </w:rPr>
        <w:t>a</w:t>
      </w:r>
      <w:r w:rsidR="00FF1290" w:rsidRPr="00D5464D">
        <w:rPr>
          <w:lang w:val="pt-BR"/>
        </w:rPr>
        <w:t xml:space="preserve"> </w:t>
      </w:r>
      <w:r w:rsidR="00737270" w:rsidRPr="00D5464D">
        <w:rPr>
          <w:lang w:val="pt-BR"/>
        </w:rPr>
        <w:t>respeito</w:t>
      </w:r>
      <w:r w:rsidR="00470ADC" w:rsidRPr="00D5464D">
        <w:rPr>
          <w:lang w:val="pt-BR"/>
        </w:rPr>
        <w:t xml:space="preserve"> </w:t>
      </w:r>
      <w:r w:rsidR="00FC6146" w:rsidRPr="00D5464D">
        <w:rPr>
          <w:lang w:val="pt-BR"/>
        </w:rPr>
        <w:t xml:space="preserve">da </w:t>
      </w:r>
      <w:r w:rsidR="00AB4663" w:rsidRPr="00D5464D">
        <w:rPr>
          <w:lang w:val="pt-BR"/>
        </w:rPr>
        <w:t>Fiscalização</w:t>
      </w:r>
      <w:r w:rsidR="00E137D8" w:rsidRPr="00D5464D">
        <w:rPr>
          <w:lang w:val="pt-BR"/>
        </w:rPr>
        <w:t xml:space="preserve"> de 2000</w:t>
      </w:r>
      <w:bookmarkEnd w:id="341"/>
      <w:bookmarkEnd w:id="342"/>
      <w:bookmarkEnd w:id="343"/>
      <w:bookmarkEnd w:id="344"/>
      <w:bookmarkEnd w:id="345"/>
      <w:bookmarkEnd w:id="346"/>
    </w:p>
    <w:p w14:paraId="0125AC8C" w14:textId="77777777" w:rsidR="00E137D8" w:rsidRPr="00D5464D" w:rsidRDefault="00E137D8" w:rsidP="00140440">
      <w:pPr>
        <w:pStyle w:val="Prrafodelista"/>
        <w:contextualSpacing w:val="0"/>
        <w:rPr>
          <w:rFonts w:cs="Arial"/>
          <w:i/>
          <w:iCs/>
          <w:szCs w:val="20"/>
          <w:lang w:val="pt-BR"/>
        </w:rPr>
      </w:pPr>
    </w:p>
    <w:p w14:paraId="1D59228C" w14:textId="61B98014" w:rsidR="0003391C" w:rsidRPr="00D5464D" w:rsidRDefault="00470ADC" w:rsidP="00140440">
      <w:pPr>
        <w:pStyle w:val="Prrafodelista"/>
        <w:numPr>
          <w:ilvl w:val="0"/>
          <w:numId w:val="1"/>
        </w:numPr>
        <w:autoSpaceDE w:val="0"/>
        <w:autoSpaceDN w:val="0"/>
        <w:adjustRightInd w:val="0"/>
        <w:contextualSpacing w:val="0"/>
        <w:rPr>
          <w:rFonts w:cs="Arial"/>
          <w:i/>
          <w:iCs/>
          <w:szCs w:val="20"/>
          <w:lang w:val="pt-BR"/>
        </w:rPr>
      </w:pPr>
      <w:r w:rsidRPr="00D5464D">
        <w:rPr>
          <w:rFonts w:cs="Arial"/>
          <w:szCs w:val="20"/>
          <w:lang w:val="pt-BR"/>
        </w:rPr>
        <w:t xml:space="preserve">No ano </w:t>
      </w:r>
      <w:r w:rsidR="0003391C" w:rsidRPr="00D5464D">
        <w:rPr>
          <w:rFonts w:cs="Arial"/>
          <w:szCs w:val="20"/>
          <w:lang w:val="pt-BR"/>
        </w:rPr>
        <w:t xml:space="preserve">2000, </w:t>
      </w:r>
      <w:r w:rsidRPr="00D5464D">
        <w:rPr>
          <w:rFonts w:cs="Arial"/>
          <w:szCs w:val="20"/>
          <w:lang w:val="pt-BR"/>
        </w:rPr>
        <w:t xml:space="preserve">depois da </w:t>
      </w:r>
      <w:r w:rsidR="0003391C" w:rsidRPr="00D5464D">
        <w:rPr>
          <w:rFonts w:cs="Arial"/>
          <w:szCs w:val="20"/>
          <w:lang w:val="pt-BR"/>
        </w:rPr>
        <w:t>fiscaliza</w:t>
      </w:r>
      <w:r w:rsidRPr="00D5464D">
        <w:rPr>
          <w:rFonts w:cs="Arial"/>
          <w:szCs w:val="20"/>
          <w:lang w:val="pt-BR"/>
        </w:rPr>
        <w:t>ção</w:t>
      </w:r>
      <w:r w:rsidR="00E045D9" w:rsidRPr="00D5464D">
        <w:rPr>
          <w:rFonts w:cs="Arial"/>
          <w:szCs w:val="20"/>
          <w:lang w:val="pt-BR"/>
        </w:rPr>
        <w:t xml:space="preserve"> na </w:t>
      </w:r>
      <w:r w:rsidR="00D809F0" w:rsidRPr="00D5464D">
        <w:rPr>
          <w:rFonts w:cs="Arial"/>
          <w:szCs w:val="20"/>
          <w:lang w:val="pt-BR"/>
        </w:rPr>
        <w:t>Fazenda</w:t>
      </w:r>
      <w:r w:rsidR="0003391C" w:rsidRPr="00D5464D">
        <w:rPr>
          <w:rFonts w:cs="Arial"/>
          <w:szCs w:val="20"/>
          <w:lang w:val="pt-BR"/>
        </w:rPr>
        <w:t xml:space="preserve"> Brasil Verde</w:t>
      </w:r>
      <w:r w:rsidR="00D94AC6" w:rsidRPr="00D5464D">
        <w:rPr>
          <w:rFonts w:cs="Arial"/>
          <w:szCs w:val="20"/>
          <w:lang w:val="pt-BR"/>
        </w:rPr>
        <w:t>,</w:t>
      </w:r>
      <w:r w:rsidRPr="00D5464D">
        <w:rPr>
          <w:rFonts w:cs="Arial"/>
          <w:szCs w:val="20"/>
          <w:lang w:val="pt-BR"/>
        </w:rPr>
        <w:t xml:space="preserve"> o </w:t>
      </w:r>
      <w:r w:rsidR="002C330E" w:rsidRPr="00D5464D">
        <w:rPr>
          <w:rFonts w:cs="Arial"/>
          <w:szCs w:val="20"/>
          <w:lang w:val="pt-BR"/>
        </w:rPr>
        <w:t>Ministério</w:t>
      </w:r>
      <w:r w:rsidR="00E137D8" w:rsidRPr="00D5464D">
        <w:rPr>
          <w:rFonts w:cs="Arial"/>
          <w:szCs w:val="20"/>
          <w:lang w:val="pt-BR"/>
        </w:rPr>
        <w:t xml:space="preserve"> Público Federal </w:t>
      </w:r>
      <w:r w:rsidR="002C330E" w:rsidRPr="00D5464D">
        <w:rPr>
          <w:rFonts w:cs="Arial"/>
          <w:szCs w:val="20"/>
          <w:lang w:val="pt-BR"/>
        </w:rPr>
        <w:t xml:space="preserve">apresentou a </w:t>
      </w:r>
      <w:r w:rsidRPr="00D5464D">
        <w:rPr>
          <w:rFonts w:cs="Arial"/>
          <w:szCs w:val="20"/>
          <w:lang w:val="pt-BR"/>
        </w:rPr>
        <w:t xml:space="preserve">denúncia </w:t>
      </w:r>
      <w:r w:rsidR="00E137D8" w:rsidRPr="00D5464D">
        <w:rPr>
          <w:rFonts w:cs="Arial"/>
          <w:szCs w:val="20"/>
          <w:lang w:val="pt-BR"/>
        </w:rPr>
        <w:t>penal</w:t>
      </w:r>
      <w:r w:rsidR="00A1358C" w:rsidRPr="00D5464D">
        <w:rPr>
          <w:rFonts w:cs="Arial"/>
          <w:szCs w:val="20"/>
          <w:lang w:val="pt-BR"/>
        </w:rPr>
        <w:t xml:space="preserve"> nº </w:t>
      </w:r>
      <w:r w:rsidR="0003391C" w:rsidRPr="00D5464D">
        <w:rPr>
          <w:rFonts w:cs="Arial"/>
          <w:szCs w:val="20"/>
          <w:lang w:val="pt-BR"/>
        </w:rPr>
        <w:t xml:space="preserve">0472001 </w:t>
      </w:r>
      <w:r w:rsidR="008D0124" w:rsidRPr="00D5464D">
        <w:rPr>
          <w:rFonts w:cs="Arial"/>
          <w:szCs w:val="20"/>
          <w:lang w:val="pt-BR"/>
        </w:rPr>
        <w:t xml:space="preserve">perante a Vara </w:t>
      </w:r>
      <w:r w:rsidR="0003391C" w:rsidRPr="00D5464D">
        <w:rPr>
          <w:rFonts w:cs="Arial"/>
          <w:szCs w:val="20"/>
          <w:lang w:val="pt-BR"/>
        </w:rPr>
        <w:t>Federal de Marabá</w:t>
      </w:r>
      <w:r w:rsidR="00E137D8" w:rsidRPr="00D5464D">
        <w:rPr>
          <w:rFonts w:cs="Arial"/>
          <w:szCs w:val="20"/>
          <w:lang w:val="pt-BR"/>
        </w:rPr>
        <w:t>,</w:t>
      </w:r>
      <w:r w:rsidRPr="00D5464D">
        <w:rPr>
          <w:rFonts w:cs="Arial"/>
          <w:szCs w:val="20"/>
          <w:lang w:val="pt-BR"/>
        </w:rPr>
        <w:t xml:space="preserve"> </w:t>
      </w:r>
      <w:r w:rsidR="008D0124" w:rsidRPr="00D5464D">
        <w:rPr>
          <w:rFonts w:cs="Arial"/>
          <w:szCs w:val="20"/>
          <w:lang w:val="pt-BR"/>
        </w:rPr>
        <w:t>no</w:t>
      </w:r>
      <w:r w:rsidRPr="00D5464D">
        <w:rPr>
          <w:rFonts w:cs="Arial"/>
          <w:szCs w:val="20"/>
          <w:lang w:val="pt-BR"/>
        </w:rPr>
        <w:t xml:space="preserve"> </w:t>
      </w:r>
      <w:r w:rsidR="0003391C" w:rsidRPr="00D5464D">
        <w:rPr>
          <w:rFonts w:cs="Arial"/>
          <w:szCs w:val="20"/>
          <w:lang w:val="pt-BR"/>
        </w:rPr>
        <w:t>Pará</w:t>
      </w:r>
      <w:r w:rsidR="00A1358C" w:rsidRPr="00D5464D">
        <w:rPr>
          <w:rFonts w:cs="Arial"/>
          <w:szCs w:val="20"/>
          <w:lang w:val="pt-BR"/>
        </w:rPr>
        <w:t xml:space="preserve">. A </w:t>
      </w:r>
      <w:r w:rsidR="002C330E" w:rsidRPr="00D5464D">
        <w:rPr>
          <w:rFonts w:cs="Arial"/>
          <w:szCs w:val="20"/>
          <w:lang w:val="pt-BR"/>
        </w:rPr>
        <w:t>justiça</w:t>
      </w:r>
      <w:r w:rsidR="0003391C" w:rsidRPr="00D5464D">
        <w:rPr>
          <w:rFonts w:cs="Arial"/>
          <w:szCs w:val="20"/>
          <w:lang w:val="pt-BR"/>
        </w:rPr>
        <w:t xml:space="preserve"> federal declin</w:t>
      </w:r>
      <w:r w:rsidR="008D0124" w:rsidRPr="00D5464D">
        <w:rPr>
          <w:rFonts w:cs="Arial"/>
          <w:szCs w:val="20"/>
          <w:lang w:val="pt-BR"/>
        </w:rPr>
        <w:t>ou</w:t>
      </w:r>
      <w:r w:rsidR="0003391C" w:rsidRPr="00D5464D">
        <w:rPr>
          <w:rFonts w:cs="Arial"/>
          <w:szCs w:val="20"/>
          <w:lang w:val="pt-BR"/>
        </w:rPr>
        <w:t xml:space="preserve"> </w:t>
      </w:r>
      <w:r w:rsidR="00F06BB5" w:rsidRPr="00D5464D">
        <w:rPr>
          <w:rFonts w:cs="Arial"/>
          <w:szCs w:val="20"/>
          <w:lang w:val="pt-BR"/>
        </w:rPr>
        <w:t>d</w:t>
      </w:r>
      <w:r w:rsidR="008D0124" w:rsidRPr="00D5464D">
        <w:rPr>
          <w:rFonts w:cs="Arial"/>
          <w:szCs w:val="20"/>
          <w:lang w:val="pt-BR"/>
        </w:rPr>
        <w:t xml:space="preserve">a </w:t>
      </w:r>
      <w:r w:rsidRPr="00D5464D">
        <w:rPr>
          <w:rFonts w:cs="Arial"/>
          <w:szCs w:val="20"/>
          <w:lang w:val="pt-BR"/>
        </w:rPr>
        <w:t xml:space="preserve">competência </w:t>
      </w:r>
      <w:r w:rsidR="00F06BB5" w:rsidRPr="00D5464D">
        <w:rPr>
          <w:rFonts w:cs="Arial"/>
          <w:szCs w:val="20"/>
          <w:lang w:val="pt-BR"/>
        </w:rPr>
        <w:t>em favor da</w:t>
      </w:r>
      <w:r w:rsidRPr="00D5464D">
        <w:rPr>
          <w:rFonts w:cs="Arial"/>
          <w:szCs w:val="20"/>
          <w:lang w:val="pt-BR"/>
        </w:rPr>
        <w:t xml:space="preserve"> </w:t>
      </w:r>
      <w:r w:rsidR="002C330E" w:rsidRPr="00D5464D">
        <w:rPr>
          <w:rFonts w:cs="Arial"/>
          <w:szCs w:val="20"/>
          <w:lang w:val="pt-BR"/>
        </w:rPr>
        <w:t>justiça</w:t>
      </w:r>
      <w:r w:rsidR="0003391C" w:rsidRPr="00D5464D">
        <w:rPr>
          <w:rFonts w:cs="Arial"/>
          <w:szCs w:val="20"/>
          <w:lang w:val="pt-BR"/>
        </w:rPr>
        <w:t xml:space="preserve"> </w:t>
      </w:r>
      <w:r w:rsidR="008D0124" w:rsidRPr="00D5464D">
        <w:rPr>
          <w:rFonts w:cs="Arial"/>
          <w:szCs w:val="20"/>
          <w:lang w:val="pt-BR"/>
        </w:rPr>
        <w:t xml:space="preserve">estadual </w:t>
      </w:r>
      <w:r w:rsidR="00C91CB1" w:rsidRPr="00D5464D">
        <w:rPr>
          <w:rFonts w:cs="Arial"/>
          <w:szCs w:val="20"/>
          <w:lang w:val="pt-BR"/>
        </w:rPr>
        <w:t>em 1</w:t>
      </w:r>
      <w:r w:rsidR="00350187" w:rsidRPr="00D5464D">
        <w:rPr>
          <w:rFonts w:cs="Arial"/>
          <w:szCs w:val="20"/>
          <w:lang w:val="pt-BR"/>
        </w:rPr>
        <w:t xml:space="preserve">1 </w:t>
      </w:r>
      <w:r w:rsidR="00A1358C" w:rsidRPr="00D5464D">
        <w:rPr>
          <w:rFonts w:cs="Arial"/>
          <w:szCs w:val="20"/>
          <w:lang w:val="pt-BR"/>
        </w:rPr>
        <w:t>de julho</w:t>
      </w:r>
      <w:r w:rsidR="0003391C" w:rsidRPr="00D5464D">
        <w:rPr>
          <w:rFonts w:cs="Arial"/>
          <w:szCs w:val="20"/>
          <w:lang w:val="pt-BR"/>
        </w:rPr>
        <w:t xml:space="preserve"> de 2001</w:t>
      </w:r>
      <w:r w:rsidR="00A1358C" w:rsidRPr="00D5464D">
        <w:rPr>
          <w:rFonts w:cs="Arial"/>
          <w:szCs w:val="20"/>
          <w:lang w:val="pt-BR"/>
        </w:rPr>
        <w:t xml:space="preserve">. O </w:t>
      </w:r>
      <w:r w:rsidR="0003391C" w:rsidRPr="00D5464D">
        <w:rPr>
          <w:rFonts w:cs="Arial"/>
          <w:szCs w:val="20"/>
          <w:lang w:val="pt-BR"/>
        </w:rPr>
        <w:t xml:space="preserve">Estado </w:t>
      </w:r>
      <w:r w:rsidR="002C330E" w:rsidRPr="00D5464D">
        <w:rPr>
          <w:rFonts w:cs="Arial"/>
          <w:szCs w:val="20"/>
          <w:lang w:val="pt-BR"/>
        </w:rPr>
        <w:t>informou</w:t>
      </w:r>
      <w:r w:rsidRPr="00D5464D">
        <w:rPr>
          <w:rFonts w:cs="Arial"/>
          <w:szCs w:val="20"/>
          <w:lang w:val="pt-BR"/>
        </w:rPr>
        <w:t xml:space="preserve"> à </w:t>
      </w:r>
      <w:r w:rsidR="0003391C" w:rsidRPr="00D5464D">
        <w:rPr>
          <w:rFonts w:cs="Arial"/>
          <w:szCs w:val="20"/>
          <w:lang w:val="pt-BR"/>
        </w:rPr>
        <w:t>Corte que n</w:t>
      </w:r>
      <w:r w:rsidR="008D0124" w:rsidRPr="00D5464D">
        <w:rPr>
          <w:rFonts w:cs="Arial"/>
          <w:szCs w:val="20"/>
          <w:lang w:val="pt-BR"/>
        </w:rPr>
        <w:t>ã</w:t>
      </w:r>
      <w:r w:rsidR="0003391C" w:rsidRPr="00D5464D">
        <w:rPr>
          <w:rFonts w:cs="Arial"/>
          <w:szCs w:val="20"/>
          <w:lang w:val="pt-BR"/>
        </w:rPr>
        <w:t xml:space="preserve">o </w:t>
      </w:r>
      <w:r w:rsidRPr="00D5464D">
        <w:rPr>
          <w:rFonts w:cs="Arial"/>
          <w:szCs w:val="20"/>
          <w:lang w:val="pt-BR"/>
        </w:rPr>
        <w:t>existia</w:t>
      </w:r>
      <w:r w:rsidR="0003391C" w:rsidRPr="00D5464D">
        <w:rPr>
          <w:rFonts w:cs="Arial"/>
          <w:szCs w:val="20"/>
          <w:lang w:val="pt-BR"/>
        </w:rPr>
        <w:t xml:space="preserve"> informa</w:t>
      </w:r>
      <w:r w:rsidRPr="00D5464D">
        <w:rPr>
          <w:rFonts w:cs="Arial"/>
          <w:szCs w:val="20"/>
          <w:lang w:val="pt-BR"/>
        </w:rPr>
        <w:t>ção</w:t>
      </w:r>
      <w:r w:rsidR="0003391C" w:rsidRPr="00D5464D">
        <w:rPr>
          <w:rFonts w:cs="Arial"/>
          <w:szCs w:val="20"/>
          <w:lang w:val="pt-BR"/>
        </w:rPr>
        <w:t xml:space="preserve"> </w:t>
      </w:r>
      <w:r w:rsidRPr="00D5464D">
        <w:rPr>
          <w:rFonts w:cs="Arial"/>
          <w:szCs w:val="20"/>
          <w:lang w:val="pt-BR"/>
        </w:rPr>
        <w:t xml:space="preserve">sobre o </w:t>
      </w:r>
      <w:r w:rsidR="0003391C" w:rsidRPr="00D5464D">
        <w:rPr>
          <w:rFonts w:cs="Arial"/>
          <w:szCs w:val="20"/>
          <w:lang w:val="pt-BR"/>
        </w:rPr>
        <w:t xml:space="preserve">que </w:t>
      </w:r>
      <w:r w:rsidR="002C330E" w:rsidRPr="00D5464D">
        <w:rPr>
          <w:rFonts w:cs="Arial"/>
          <w:szCs w:val="20"/>
          <w:lang w:val="pt-BR"/>
        </w:rPr>
        <w:t>teria</w:t>
      </w:r>
      <w:r w:rsidR="0003391C" w:rsidRPr="00D5464D">
        <w:rPr>
          <w:rFonts w:cs="Arial"/>
          <w:szCs w:val="20"/>
          <w:lang w:val="pt-BR"/>
        </w:rPr>
        <w:t xml:space="preserve"> </w:t>
      </w:r>
      <w:r w:rsidR="008D0124" w:rsidRPr="00D5464D">
        <w:rPr>
          <w:rFonts w:cs="Arial"/>
          <w:szCs w:val="20"/>
          <w:lang w:val="pt-BR"/>
        </w:rPr>
        <w:t xml:space="preserve">ocorrido </w:t>
      </w:r>
      <w:r w:rsidRPr="00D5464D">
        <w:rPr>
          <w:rFonts w:cs="Arial"/>
          <w:szCs w:val="20"/>
          <w:lang w:val="pt-BR"/>
        </w:rPr>
        <w:t>com este</w:t>
      </w:r>
      <w:r w:rsidR="0003391C" w:rsidRPr="00D5464D">
        <w:rPr>
          <w:rFonts w:cs="Arial"/>
          <w:szCs w:val="20"/>
          <w:lang w:val="pt-BR"/>
        </w:rPr>
        <w:t xml:space="preserve"> </w:t>
      </w:r>
      <w:r w:rsidR="002C330E" w:rsidRPr="00D5464D">
        <w:rPr>
          <w:rFonts w:cs="Arial"/>
          <w:szCs w:val="20"/>
          <w:lang w:val="pt-BR"/>
        </w:rPr>
        <w:t>processo</w:t>
      </w:r>
      <w:r w:rsidR="00E045D9" w:rsidRPr="00D5464D">
        <w:rPr>
          <w:rFonts w:cs="Arial"/>
          <w:szCs w:val="20"/>
          <w:lang w:val="pt-BR"/>
        </w:rPr>
        <w:t xml:space="preserve"> e </w:t>
      </w:r>
      <w:r w:rsidR="0003391C" w:rsidRPr="00D5464D">
        <w:rPr>
          <w:rFonts w:cs="Arial"/>
          <w:szCs w:val="20"/>
          <w:lang w:val="pt-BR"/>
        </w:rPr>
        <w:t xml:space="preserve">que </w:t>
      </w:r>
      <w:r w:rsidR="00737270" w:rsidRPr="00D5464D">
        <w:rPr>
          <w:rFonts w:cs="Arial"/>
          <w:szCs w:val="20"/>
          <w:lang w:val="pt-BR"/>
        </w:rPr>
        <w:t>não havia</w:t>
      </w:r>
      <w:r w:rsidR="0003391C" w:rsidRPr="00D5464D">
        <w:rPr>
          <w:rFonts w:cs="Arial"/>
          <w:szCs w:val="20"/>
          <w:lang w:val="pt-BR"/>
        </w:rPr>
        <w:t xml:space="preserve"> podido localizar</w:t>
      </w:r>
      <w:r w:rsidR="00A1358C" w:rsidRPr="00D5464D">
        <w:rPr>
          <w:rFonts w:cs="Arial"/>
          <w:szCs w:val="20"/>
          <w:lang w:val="pt-BR"/>
        </w:rPr>
        <w:t xml:space="preserve"> cópia</w:t>
      </w:r>
      <w:r w:rsidR="008D0124" w:rsidRPr="00D5464D">
        <w:rPr>
          <w:rFonts w:cs="Arial"/>
          <w:szCs w:val="20"/>
          <w:lang w:val="pt-BR"/>
        </w:rPr>
        <w:t>s</w:t>
      </w:r>
      <w:r w:rsidR="00A1358C" w:rsidRPr="00D5464D">
        <w:rPr>
          <w:rFonts w:cs="Arial"/>
          <w:szCs w:val="20"/>
          <w:lang w:val="pt-BR"/>
        </w:rPr>
        <w:t xml:space="preserve"> </w:t>
      </w:r>
      <w:r w:rsidRPr="00D5464D">
        <w:rPr>
          <w:rFonts w:cs="Arial"/>
          <w:szCs w:val="20"/>
          <w:lang w:val="pt-BR"/>
        </w:rPr>
        <w:t xml:space="preserve">dos </w:t>
      </w:r>
      <w:r w:rsidR="0003391C" w:rsidRPr="00D5464D">
        <w:rPr>
          <w:rFonts w:cs="Arial"/>
          <w:szCs w:val="20"/>
          <w:lang w:val="pt-BR"/>
        </w:rPr>
        <w:t>autos</w:t>
      </w:r>
      <w:r w:rsidRPr="00D5464D">
        <w:rPr>
          <w:rFonts w:cs="Arial"/>
          <w:szCs w:val="20"/>
          <w:lang w:val="pt-BR"/>
        </w:rPr>
        <w:t xml:space="preserve"> da </w:t>
      </w:r>
      <w:r w:rsidR="0003391C" w:rsidRPr="00D5464D">
        <w:rPr>
          <w:rFonts w:cs="Arial"/>
          <w:szCs w:val="20"/>
          <w:lang w:val="pt-BR"/>
        </w:rPr>
        <w:t>investiga</w:t>
      </w:r>
      <w:r w:rsidRPr="00D5464D">
        <w:rPr>
          <w:rFonts w:cs="Arial"/>
          <w:szCs w:val="20"/>
          <w:lang w:val="pt-BR"/>
        </w:rPr>
        <w:t>ção</w:t>
      </w:r>
      <w:r w:rsidR="008D0124" w:rsidRPr="00D5464D">
        <w:rPr>
          <w:rFonts w:cs="Arial"/>
          <w:szCs w:val="20"/>
          <w:lang w:val="pt-BR"/>
        </w:rPr>
        <w:t>.</w:t>
      </w:r>
      <w:r w:rsidR="0003391C" w:rsidRPr="00D5464D">
        <w:rPr>
          <w:rStyle w:val="Refdenotaalpie"/>
          <w:rFonts w:cs="Arial"/>
          <w:lang w:val="pt-BR"/>
        </w:rPr>
        <w:footnoteReference w:id="206"/>
      </w:r>
      <w:r w:rsidR="00E137D8" w:rsidRPr="00D5464D">
        <w:rPr>
          <w:rFonts w:cs="Arial"/>
          <w:szCs w:val="20"/>
          <w:lang w:val="pt-BR"/>
        </w:rPr>
        <w:t xml:space="preserve"> </w:t>
      </w:r>
      <w:r w:rsidR="002C330E" w:rsidRPr="00D5464D">
        <w:rPr>
          <w:rFonts w:cs="Arial"/>
          <w:szCs w:val="20"/>
          <w:lang w:val="pt-BR"/>
        </w:rPr>
        <w:t>Portanto</w:t>
      </w:r>
      <w:r w:rsidR="00E137D8" w:rsidRPr="00D5464D">
        <w:rPr>
          <w:rFonts w:cs="Arial"/>
          <w:szCs w:val="20"/>
          <w:lang w:val="pt-BR"/>
        </w:rPr>
        <w:t>,</w:t>
      </w:r>
      <w:r w:rsidR="002C330E" w:rsidRPr="00D5464D">
        <w:rPr>
          <w:rFonts w:cs="Arial"/>
          <w:szCs w:val="20"/>
          <w:lang w:val="pt-BR"/>
        </w:rPr>
        <w:t xml:space="preserve"> a </w:t>
      </w:r>
      <w:r w:rsidR="00E137D8" w:rsidRPr="00D5464D">
        <w:rPr>
          <w:rFonts w:cs="Arial"/>
          <w:szCs w:val="20"/>
          <w:lang w:val="pt-BR"/>
        </w:rPr>
        <w:t>Corte</w:t>
      </w:r>
      <w:r w:rsidR="00350187" w:rsidRPr="00D5464D">
        <w:rPr>
          <w:rFonts w:cs="Arial"/>
          <w:szCs w:val="20"/>
          <w:lang w:val="pt-BR"/>
        </w:rPr>
        <w:t xml:space="preserve"> não conta</w:t>
      </w:r>
      <w:r w:rsidRPr="00D5464D">
        <w:rPr>
          <w:rFonts w:cs="Arial"/>
          <w:szCs w:val="20"/>
          <w:lang w:val="pt-BR"/>
        </w:rPr>
        <w:t xml:space="preserve"> com </w:t>
      </w:r>
      <w:r w:rsidR="00E137D8" w:rsidRPr="00D5464D">
        <w:rPr>
          <w:rFonts w:cs="Arial"/>
          <w:szCs w:val="20"/>
          <w:lang w:val="pt-BR"/>
        </w:rPr>
        <w:t>informa</w:t>
      </w:r>
      <w:r w:rsidRPr="00D5464D">
        <w:rPr>
          <w:rFonts w:cs="Arial"/>
          <w:szCs w:val="20"/>
          <w:lang w:val="pt-BR"/>
        </w:rPr>
        <w:t>ção</w:t>
      </w:r>
      <w:r w:rsidR="00E137D8" w:rsidRPr="00D5464D">
        <w:rPr>
          <w:rFonts w:cs="Arial"/>
          <w:szCs w:val="20"/>
          <w:lang w:val="pt-BR"/>
        </w:rPr>
        <w:t xml:space="preserve"> </w:t>
      </w:r>
      <w:r w:rsidR="002C330E" w:rsidRPr="00D5464D">
        <w:rPr>
          <w:rFonts w:cs="Arial"/>
          <w:szCs w:val="20"/>
          <w:lang w:val="pt-BR"/>
        </w:rPr>
        <w:t>a respeito</w:t>
      </w:r>
      <w:r w:rsidRPr="00D5464D">
        <w:rPr>
          <w:rFonts w:cs="Arial"/>
          <w:szCs w:val="20"/>
          <w:lang w:val="pt-BR"/>
        </w:rPr>
        <w:t xml:space="preserve"> desse </w:t>
      </w:r>
      <w:r w:rsidR="002C330E" w:rsidRPr="00D5464D">
        <w:rPr>
          <w:rFonts w:cs="Arial"/>
          <w:szCs w:val="20"/>
          <w:lang w:val="pt-BR"/>
        </w:rPr>
        <w:t>processo</w:t>
      </w:r>
      <w:r w:rsidR="00E137D8" w:rsidRPr="00D5464D">
        <w:rPr>
          <w:rFonts w:cs="Arial"/>
          <w:szCs w:val="20"/>
          <w:lang w:val="pt-BR"/>
        </w:rPr>
        <w:t xml:space="preserve"> penal</w:t>
      </w:r>
      <w:r w:rsidR="00E045D9" w:rsidRPr="00D5464D">
        <w:rPr>
          <w:rFonts w:cs="Arial"/>
          <w:szCs w:val="20"/>
          <w:lang w:val="pt-BR"/>
        </w:rPr>
        <w:t xml:space="preserve"> e </w:t>
      </w:r>
      <w:r w:rsidR="00C91CB1" w:rsidRPr="00D5464D">
        <w:rPr>
          <w:rFonts w:cs="Arial"/>
          <w:szCs w:val="20"/>
          <w:lang w:val="pt-BR"/>
        </w:rPr>
        <w:t>seu conteúdo</w:t>
      </w:r>
      <w:r w:rsidR="00EB1CE9" w:rsidRPr="00D5464D">
        <w:rPr>
          <w:rFonts w:cs="Arial"/>
          <w:szCs w:val="20"/>
          <w:lang w:val="pt-BR"/>
        </w:rPr>
        <w:t xml:space="preserve">, além </w:t>
      </w:r>
      <w:r w:rsidRPr="00D5464D">
        <w:rPr>
          <w:rFonts w:cs="Arial"/>
          <w:szCs w:val="20"/>
          <w:lang w:val="pt-BR"/>
        </w:rPr>
        <w:t xml:space="preserve">da </w:t>
      </w:r>
      <w:r w:rsidR="00E137D8" w:rsidRPr="00D5464D">
        <w:rPr>
          <w:rFonts w:cs="Arial"/>
          <w:szCs w:val="20"/>
          <w:lang w:val="pt-BR"/>
        </w:rPr>
        <w:t>informa</w:t>
      </w:r>
      <w:r w:rsidRPr="00D5464D">
        <w:rPr>
          <w:rFonts w:cs="Arial"/>
          <w:szCs w:val="20"/>
          <w:lang w:val="pt-BR"/>
        </w:rPr>
        <w:t>ção</w:t>
      </w:r>
      <w:r w:rsidR="00E137D8" w:rsidRPr="00D5464D">
        <w:rPr>
          <w:rFonts w:cs="Arial"/>
          <w:szCs w:val="20"/>
          <w:lang w:val="pt-BR"/>
        </w:rPr>
        <w:t xml:space="preserve"> de que</w:t>
      </w:r>
      <w:r w:rsidR="002C330E" w:rsidRPr="00D5464D">
        <w:rPr>
          <w:rFonts w:cs="Arial"/>
          <w:szCs w:val="20"/>
          <w:lang w:val="pt-BR"/>
        </w:rPr>
        <w:t xml:space="preserve"> a </w:t>
      </w:r>
      <w:r w:rsidR="00E137D8" w:rsidRPr="00D5464D">
        <w:rPr>
          <w:rFonts w:cs="Arial"/>
          <w:szCs w:val="20"/>
          <w:lang w:val="pt-BR"/>
        </w:rPr>
        <w:t>peti</w:t>
      </w:r>
      <w:r w:rsidRPr="00D5464D">
        <w:rPr>
          <w:rFonts w:cs="Arial"/>
          <w:szCs w:val="20"/>
          <w:lang w:val="pt-BR"/>
        </w:rPr>
        <w:t xml:space="preserve">ção foi </w:t>
      </w:r>
      <w:r w:rsidR="002C330E" w:rsidRPr="00D5464D">
        <w:rPr>
          <w:rFonts w:cs="Arial"/>
          <w:szCs w:val="20"/>
          <w:lang w:val="pt-BR"/>
        </w:rPr>
        <w:t>interpost</w:t>
      </w:r>
      <w:r w:rsidR="00E137D8" w:rsidRPr="00D5464D">
        <w:rPr>
          <w:rFonts w:cs="Arial"/>
          <w:szCs w:val="20"/>
          <w:lang w:val="pt-BR"/>
        </w:rPr>
        <w:t>a</w:t>
      </w:r>
      <w:r w:rsidR="002C330E" w:rsidRPr="00D5464D">
        <w:rPr>
          <w:rFonts w:cs="Arial"/>
          <w:szCs w:val="20"/>
          <w:lang w:val="pt-BR"/>
        </w:rPr>
        <w:t xml:space="preserve"> pelo Ministério</w:t>
      </w:r>
      <w:r w:rsidR="00E137D8" w:rsidRPr="00D5464D">
        <w:rPr>
          <w:rFonts w:cs="Arial"/>
          <w:szCs w:val="20"/>
          <w:lang w:val="pt-BR"/>
        </w:rPr>
        <w:t xml:space="preserve"> Público</w:t>
      </w:r>
      <w:r w:rsidR="00E045D9" w:rsidRPr="00D5464D">
        <w:rPr>
          <w:rFonts w:cs="Arial"/>
          <w:szCs w:val="20"/>
          <w:lang w:val="pt-BR"/>
        </w:rPr>
        <w:t xml:space="preserve"> e </w:t>
      </w:r>
      <w:r w:rsidR="00E137D8" w:rsidRPr="00D5464D">
        <w:rPr>
          <w:rFonts w:cs="Arial"/>
          <w:szCs w:val="20"/>
          <w:lang w:val="pt-BR"/>
        </w:rPr>
        <w:t xml:space="preserve">se </w:t>
      </w:r>
      <w:r w:rsidR="002C330E" w:rsidRPr="00D5464D">
        <w:rPr>
          <w:rFonts w:cs="Arial"/>
          <w:szCs w:val="20"/>
          <w:lang w:val="pt-BR"/>
        </w:rPr>
        <w:t>refere</w:t>
      </w:r>
      <w:r w:rsidR="00E045D9" w:rsidRPr="00D5464D">
        <w:rPr>
          <w:rFonts w:cs="Arial"/>
          <w:szCs w:val="20"/>
          <w:lang w:val="pt-BR"/>
        </w:rPr>
        <w:t xml:space="preserve"> aos </w:t>
      </w:r>
      <w:r w:rsidR="002C330E" w:rsidRPr="00D5464D">
        <w:rPr>
          <w:rFonts w:cs="Arial"/>
          <w:szCs w:val="20"/>
          <w:lang w:val="pt-BR"/>
        </w:rPr>
        <w:t>fatos</w:t>
      </w:r>
      <w:r w:rsidR="00E137D8" w:rsidRPr="00D5464D">
        <w:rPr>
          <w:rFonts w:cs="Arial"/>
          <w:szCs w:val="20"/>
          <w:lang w:val="pt-BR"/>
        </w:rPr>
        <w:t xml:space="preserve"> objeto</w:t>
      </w:r>
      <w:r w:rsidRPr="00D5464D">
        <w:rPr>
          <w:rFonts w:cs="Arial"/>
          <w:szCs w:val="20"/>
          <w:lang w:val="pt-BR"/>
        </w:rPr>
        <w:t xml:space="preserve"> da </w:t>
      </w:r>
      <w:r w:rsidR="00E137D8" w:rsidRPr="00D5464D">
        <w:rPr>
          <w:rFonts w:cs="Arial"/>
          <w:szCs w:val="20"/>
          <w:lang w:val="pt-BR"/>
        </w:rPr>
        <w:t>fiscaliza</w:t>
      </w:r>
      <w:r w:rsidRPr="00D5464D">
        <w:rPr>
          <w:rFonts w:cs="Arial"/>
          <w:szCs w:val="20"/>
          <w:lang w:val="pt-BR"/>
        </w:rPr>
        <w:t>ção</w:t>
      </w:r>
      <w:r w:rsidR="00E137D8" w:rsidRPr="00D5464D">
        <w:rPr>
          <w:rFonts w:cs="Arial"/>
          <w:szCs w:val="20"/>
          <w:lang w:val="pt-BR"/>
        </w:rPr>
        <w:t xml:space="preserve"> de abril de 2000</w:t>
      </w:r>
      <w:r w:rsidR="00E045D9" w:rsidRPr="00D5464D">
        <w:rPr>
          <w:rFonts w:cs="Arial"/>
          <w:szCs w:val="20"/>
          <w:lang w:val="pt-BR"/>
        </w:rPr>
        <w:t xml:space="preserve"> na </w:t>
      </w:r>
      <w:r w:rsidR="00D809F0" w:rsidRPr="00D5464D">
        <w:rPr>
          <w:rFonts w:cs="Arial"/>
          <w:szCs w:val="20"/>
          <w:lang w:val="pt-BR"/>
        </w:rPr>
        <w:t>Fazenda</w:t>
      </w:r>
      <w:r w:rsidR="00E137D8" w:rsidRPr="00D5464D">
        <w:rPr>
          <w:rFonts w:cs="Arial"/>
          <w:szCs w:val="20"/>
          <w:lang w:val="pt-BR"/>
        </w:rPr>
        <w:t xml:space="preserve"> Brasil Verde. </w:t>
      </w:r>
    </w:p>
    <w:p w14:paraId="7F8F045D" w14:textId="77777777" w:rsidR="0003391C" w:rsidRPr="00D5464D" w:rsidRDefault="0003391C" w:rsidP="00140440">
      <w:pPr>
        <w:pStyle w:val="Prrafodelista"/>
        <w:autoSpaceDE w:val="0"/>
        <w:autoSpaceDN w:val="0"/>
        <w:adjustRightInd w:val="0"/>
        <w:ind w:left="0"/>
        <w:contextualSpacing w:val="0"/>
        <w:rPr>
          <w:rFonts w:cs="Arial"/>
          <w:iCs/>
          <w:szCs w:val="20"/>
          <w:lang w:val="pt-BR"/>
        </w:rPr>
      </w:pPr>
    </w:p>
    <w:p w14:paraId="2CA74F45" w14:textId="4B497D12" w:rsidR="0003391C" w:rsidRPr="00D5464D" w:rsidRDefault="00964D0C" w:rsidP="008622F3">
      <w:pPr>
        <w:pStyle w:val="Ttulo3"/>
        <w:rPr>
          <w:lang w:val="pt-BR"/>
        </w:rPr>
      </w:pPr>
      <w:bookmarkStart w:id="347" w:name="_Toc460433019"/>
      <w:bookmarkStart w:id="348" w:name="_Toc460441950"/>
      <w:bookmarkStart w:id="349" w:name="_Toc462750768"/>
      <w:bookmarkStart w:id="350" w:name="_Toc462751092"/>
      <w:bookmarkStart w:id="351" w:name="_Toc464813944"/>
      <w:bookmarkStart w:id="352" w:name="_Toc468433905"/>
      <w:r w:rsidRPr="00D5464D">
        <w:rPr>
          <w:lang w:val="pt-BR"/>
        </w:rPr>
        <w:t>B</w:t>
      </w:r>
      <w:r w:rsidR="004E708F" w:rsidRPr="00D5464D">
        <w:rPr>
          <w:lang w:val="pt-BR"/>
        </w:rPr>
        <w:t>.6</w:t>
      </w:r>
      <w:r w:rsidR="00CB7E29" w:rsidRPr="00D5464D">
        <w:rPr>
          <w:lang w:val="pt-BR"/>
        </w:rPr>
        <w:t>.</w:t>
      </w:r>
      <w:r w:rsidR="0003391C" w:rsidRPr="00D5464D">
        <w:rPr>
          <w:lang w:val="pt-BR"/>
        </w:rPr>
        <w:t xml:space="preserve"> Sobre</w:t>
      </w:r>
      <w:r w:rsidR="002C330E" w:rsidRPr="00D5464D">
        <w:rPr>
          <w:lang w:val="pt-BR"/>
        </w:rPr>
        <w:t xml:space="preserve"> a </w:t>
      </w:r>
      <w:r w:rsidR="0003391C" w:rsidRPr="00D5464D">
        <w:rPr>
          <w:lang w:val="pt-BR"/>
        </w:rPr>
        <w:t>situa</w:t>
      </w:r>
      <w:r w:rsidR="00470ADC" w:rsidRPr="00D5464D">
        <w:rPr>
          <w:lang w:val="pt-BR"/>
        </w:rPr>
        <w:t>ção</w:t>
      </w:r>
      <w:r w:rsidR="0003391C" w:rsidRPr="00D5464D">
        <w:rPr>
          <w:lang w:val="pt-BR"/>
        </w:rPr>
        <w:t xml:space="preserve"> </w:t>
      </w:r>
      <w:r w:rsidR="00470ADC" w:rsidRPr="00D5464D">
        <w:rPr>
          <w:lang w:val="pt-BR"/>
        </w:rPr>
        <w:t>atual</w:t>
      </w:r>
      <w:r w:rsidR="0003391C" w:rsidRPr="00D5464D">
        <w:rPr>
          <w:lang w:val="pt-BR"/>
        </w:rPr>
        <w:t xml:space="preserve"> de </w:t>
      </w:r>
      <w:r w:rsidR="008B075C" w:rsidRPr="00D5464D">
        <w:rPr>
          <w:lang w:val="pt-BR"/>
        </w:rPr>
        <w:t xml:space="preserve">Iron Canuto </w:t>
      </w:r>
      <w:r w:rsidR="00BE63A6" w:rsidRPr="00D5464D">
        <w:rPr>
          <w:lang w:val="pt-BR"/>
        </w:rPr>
        <w:t>da Silva</w:t>
      </w:r>
      <w:r w:rsidR="00E045D9" w:rsidRPr="00D5464D">
        <w:rPr>
          <w:lang w:val="pt-BR"/>
        </w:rPr>
        <w:t xml:space="preserve"> e </w:t>
      </w:r>
      <w:r w:rsidR="00200C04" w:rsidRPr="00D5464D">
        <w:rPr>
          <w:lang w:val="pt-BR"/>
        </w:rPr>
        <w:t xml:space="preserve">Luis Ferreira </w:t>
      </w:r>
      <w:bookmarkEnd w:id="347"/>
      <w:bookmarkEnd w:id="348"/>
      <w:bookmarkEnd w:id="349"/>
      <w:bookmarkEnd w:id="350"/>
      <w:bookmarkEnd w:id="351"/>
      <w:r w:rsidR="00701BB2" w:rsidRPr="00D5464D">
        <w:rPr>
          <w:lang w:val="pt-BR"/>
        </w:rPr>
        <w:t>da Cruz</w:t>
      </w:r>
      <w:bookmarkEnd w:id="352"/>
      <w:r w:rsidR="00701BB2" w:rsidRPr="00D5464D">
        <w:rPr>
          <w:lang w:val="pt-BR"/>
        </w:rPr>
        <w:t xml:space="preserve"> </w:t>
      </w:r>
    </w:p>
    <w:p w14:paraId="59F30536" w14:textId="77777777" w:rsidR="00D65024" w:rsidRPr="00D5464D" w:rsidRDefault="00D65024" w:rsidP="00D65024">
      <w:pPr>
        <w:pStyle w:val="Prrafodelista"/>
        <w:autoSpaceDE w:val="0"/>
        <w:autoSpaceDN w:val="0"/>
        <w:adjustRightInd w:val="0"/>
        <w:ind w:left="0"/>
        <w:contextualSpacing w:val="0"/>
        <w:rPr>
          <w:rFonts w:cs="Arial"/>
          <w:iCs/>
          <w:szCs w:val="20"/>
          <w:lang w:val="pt-BR"/>
        </w:rPr>
      </w:pPr>
    </w:p>
    <w:p w14:paraId="69CDC88E" w14:textId="519F05DD" w:rsidR="0003391C" w:rsidRPr="00D5464D" w:rsidRDefault="00C91CB1" w:rsidP="00140440">
      <w:pPr>
        <w:pStyle w:val="Prrafodelista"/>
        <w:numPr>
          <w:ilvl w:val="0"/>
          <w:numId w:val="1"/>
        </w:numPr>
        <w:autoSpaceDE w:val="0"/>
        <w:autoSpaceDN w:val="0"/>
        <w:adjustRightInd w:val="0"/>
        <w:contextualSpacing w:val="0"/>
        <w:rPr>
          <w:rFonts w:cs="Arial"/>
          <w:iCs/>
          <w:szCs w:val="20"/>
          <w:lang w:val="pt-BR"/>
        </w:rPr>
      </w:pPr>
      <w:r w:rsidRPr="00D5464D">
        <w:rPr>
          <w:rFonts w:cs="Arial"/>
          <w:iCs/>
          <w:szCs w:val="20"/>
          <w:lang w:val="pt-BR"/>
        </w:rPr>
        <w:t>Em 2</w:t>
      </w:r>
      <w:r w:rsidR="0003391C" w:rsidRPr="00D5464D">
        <w:rPr>
          <w:rFonts w:cs="Arial"/>
          <w:iCs/>
          <w:szCs w:val="20"/>
          <w:lang w:val="pt-BR"/>
        </w:rPr>
        <w:t xml:space="preserve">9 de </w:t>
      </w:r>
      <w:r w:rsidR="002C330E" w:rsidRPr="00D5464D">
        <w:rPr>
          <w:rFonts w:cs="Arial"/>
          <w:iCs/>
          <w:szCs w:val="20"/>
          <w:lang w:val="pt-BR"/>
        </w:rPr>
        <w:t>outubro</w:t>
      </w:r>
      <w:r w:rsidR="0003391C" w:rsidRPr="00D5464D">
        <w:rPr>
          <w:rFonts w:cs="Arial"/>
          <w:iCs/>
          <w:szCs w:val="20"/>
          <w:lang w:val="pt-BR"/>
        </w:rPr>
        <w:t xml:space="preserve"> de 2007</w:t>
      </w:r>
      <w:r w:rsidR="008D0124" w:rsidRPr="00D5464D">
        <w:rPr>
          <w:rFonts w:cs="Arial"/>
          <w:iCs/>
          <w:szCs w:val="20"/>
          <w:lang w:val="pt-BR"/>
        </w:rPr>
        <w:t>,</w:t>
      </w:r>
      <w:r w:rsidR="00470ADC" w:rsidRPr="00D5464D">
        <w:rPr>
          <w:rFonts w:cs="Arial"/>
          <w:iCs/>
          <w:szCs w:val="20"/>
          <w:lang w:val="pt-BR"/>
        </w:rPr>
        <w:t xml:space="preserve"> o diret</w:t>
      </w:r>
      <w:r w:rsidR="0003391C" w:rsidRPr="00D5464D">
        <w:rPr>
          <w:rFonts w:cs="Arial"/>
          <w:iCs/>
          <w:szCs w:val="20"/>
          <w:lang w:val="pt-BR"/>
        </w:rPr>
        <w:t>or</w:t>
      </w:r>
      <w:r w:rsidR="00470ADC" w:rsidRPr="00D5464D">
        <w:rPr>
          <w:rFonts w:cs="Arial"/>
          <w:iCs/>
          <w:szCs w:val="20"/>
          <w:lang w:val="pt-BR"/>
        </w:rPr>
        <w:t xml:space="preserve"> da </w:t>
      </w:r>
      <w:r w:rsidRPr="00D5464D">
        <w:rPr>
          <w:rFonts w:cs="Arial"/>
          <w:iCs/>
          <w:szCs w:val="20"/>
          <w:lang w:val="pt-BR"/>
        </w:rPr>
        <w:t xml:space="preserve">Polícia </w:t>
      </w:r>
      <w:r w:rsidR="0003391C" w:rsidRPr="00D5464D">
        <w:rPr>
          <w:rFonts w:cs="Arial"/>
          <w:iCs/>
          <w:szCs w:val="20"/>
          <w:lang w:val="pt-BR"/>
        </w:rPr>
        <w:t>d</w:t>
      </w:r>
      <w:r w:rsidR="008D0124" w:rsidRPr="00D5464D">
        <w:rPr>
          <w:rFonts w:cs="Arial"/>
          <w:iCs/>
          <w:szCs w:val="20"/>
          <w:lang w:val="pt-BR"/>
        </w:rPr>
        <w:t>o</w:t>
      </w:r>
      <w:r w:rsidR="0003391C" w:rsidRPr="00D5464D">
        <w:rPr>
          <w:rFonts w:cs="Arial"/>
          <w:iCs/>
          <w:szCs w:val="20"/>
          <w:lang w:val="pt-BR"/>
        </w:rPr>
        <w:t xml:space="preserve"> Pará </w:t>
      </w:r>
      <w:r w:rsidR="002C330E" w:rsidRPr="00D5464D">
        <w:rPr>
          <w:rFonts w:cs="Arial"/>
          <w:iCs/>
          <w:szCs w:val="20"/>
          <w:lang w:val="pt-BR"/>
        </w:rPr>
        <w:t>solicitou</w:t>
      </w:r>
      <w:r w:rsidR="00470ADC" w:rsidRPr="00D5464D">
        <w:rPr>
          <w:rFonts w:cs="Arial"/>
          <w:iCs/>
          <w:szCs w:val="20"/>
          <w:lang w:val="pt-BR"/>
        </w:rPr>
        <w:t xml:space="preserve"> à </w:t>
      </w:r>
      <w:r w:rsidR="0003391C" w:rsidRPr="00D5464D">
        <w:rPr>
          <w:rFonts w:cs="Arial"/>
          <w:iCs/>
          <w:szCs w:val="20"/>
          <w:lang w:val="pt-BR"/>
        </w:rPr>
        <w:t>CPT que</w:t>
      </w:r>
      <w:r w:rsidR="00FF1290" w:rsidRPr="00D5464D">
        <w:rPr>
          <w:rFonts w:cs="Arial"/>
          <w:iCs/>
          <w:szCs w:val="20"/>
          <w:lang w:val="pt-BR"/>
        </w:rPr>
        <w:t xml:space="preserve"> </w:t>
      </w:r>
      <w:r w:rsidR="00350187" w:rsidRPr="00D5464D">
        <w:rPr>
          <w:rFonts w:cs="Arial"/>
          <w:iCs/>
          <w:szCs w:val="20"/>
          <w:lang w:val="pt-BR"/>
        </w:rPr>
        <w:t>remetesse</w:t>
      </w:r>
      <w:r w:rsidR="00A1358C" w:rsidRPr="00D5464D">
        <w:rPr>
          <w:rFonts w:cs="Arial"/>
          <w:iCs/>
          <w:szCs w:val="20"/>
          <w:lang w:val="pt-BR"/>
        </w:rPr>
        <w:t xml:space="preserve"> cópia </w:t>
      </w:r>
      <w:r w:rsidR="00470ADC" w:rsidRPr="00D5464D">
        <w:rPr>
          <w:rFonts w:cs="Arial"/>
          <w:iCs/>
          <w:szCs w:val="20"/>
          <w:lang w:val="pt-BR"/>
        </w:rPr>
        <w:t xml:space="preserve">da denúncia </w:t>
      </w:r>
      <w:r w:rsidR="0003391C" w:rsidRPr="00D5464D">
        <w:rPr>
          <w:rFonts w:cs="Arial"/>
          <w:iCs/>
          <w:szCs w:val="20"/>
          <w:lang w:val="pt-BR"/>
        </w:rPr>
        <w:t>sobre</w:t>
      </w:r>
      <w:r w:rsidR="002C330E" w:rsidRPr="00D5464D">
        <w:rPr>
          <w:rFonts w:cs="Arial"/>
          <w:iCs/>
          <w:szCs w:val="20"/>
          <w:lang w:val="pt-BR"/>
        </w:rPr>
        <w:t xml:space="preserve"> </w:t>
      </w:r>
      <w:r w:rsidR="00E045D9" w:rsidRPr="00D5464D">
        <w:rPr>
          <w:rFonts w:cs="Arial"/>
          <w:iCs/>
          <w:szCs w:val="20"/>
          <w:lang w:val="pt-BR"/>
        </w:rPr>
        <w:t>o</w:t>
      </w:r>
      <w:r w:rsidR="008D0124" w:rsidRPr="00D5464D">
        <w:rPr>
          <w:rFonts w:cs="Arial"/>
          <w:iCs/>
          <w:szCs w:val="20"/>
          <w:lang w:val="pt-BR"/>
        </w:rPr>
        <w:t>s</w:t>
      </w:r>
      <w:r w:rsidR="00E045D9" w:rsidRPr="00D5464D">
        <w:rPr>
          <w:rFonts w:cs="Arial"/>
          <w:iCs/>
          <w:szCs w:val="20"/>
          <w:lang w:val="pt-BR"/>
        </w:rPr>
        <w:t xml:space="preserve"> desaparecimento</w:t>
      </w:r>
      <w:r w:rsidR="008D0124" w:rsidRPr="00D5464D">
        <w:rPr>
          <w:rFonts w:cs="Arial"/>
          <w:iCs/>
          <w:szCs w:val="20"/>
          <w:lang w:val="pt-BR"/>
        </w:rPr>
        <w:t>s</w:t>
      </w:r>
      <w:r w:rsidR="0003391C" w:rsidRPr="00D5464D">
        <w:rPr>
          <w:rFonts w:cs="Arial"/>
          <w:iCs/>
          <w:szCs w:val="20"/>
          <w:lang w:val="pt-BR"/>
        </w:rPr>
        <w:t xml:space="preserve"> de </w:t>
      </w:r>
      <w:r w:rsidR="008B075C" w:rsidRPr="00D5464D">
        <w:rPr>
          <w:rFonts w:cs="Arial"/>
          <w:iCs/>
          <w:szCs w:val="20"/>
          <w:lang w:val="pt-BR"/>
        </w:rPr>
        <w:t xml:space="preserve">Iron Canuto </w:t>
      </w:r>
      <w:r w:rsidR="00BE63A6" w:rsidRPr="00D5464D">
        <w:rPr>
          <w:rFonts w:cs="Arial"/>
          <w:iCs/>
          <w:szCs w:val="20"/>
          <w:lang w:val="pt-BR"/>
        </w:rPr>
        <w:t>da Silva</w:t>
      </w:r>
      <w:r w:rsidR="00E045D9" w:rsidRPr="00D5464D">
        <w:rPr>
          <w:rFonts w:cs="Arial"/>
          <w:iCs/>
          <w:szCs w:val="20"/>
          <w:lang w:val="pt-BR"/>
        </w:rPr>
        <w:t xml:space="preserve"> e </w:t>
      </w:r>
      <w:r w:rsidR="00200C04" w:rsidRPr="00D5464D">
        <w:rPr>
          <w:rFonts w:cs="Arial"/>
          <w:iCs/>
          <w:szCs w:val="20"/>
          <w:lang w:val="pt-BR"/>
        </w:rPr>
        <w:t xml:space="preserve">Luis Ferreira </w:t>
      </w:r>
      <w:r w:rsidR="00701BB2" w:rsidRPr="00D5464D">
        <w:rPr>
          <w:rFonts w:cs="Arial"/>
          <w:iCs/>
          <w:szCs w:val="20"/>
          <w:lang w:val="pt-BR"/>
        </w:rPr>
        <w:t xml:space="preserve">da Cruz </w:t>
      </w:r>
      <w:r w:rsidR="0003391C" w:rsidRPr="00D5464D">
        <w:rPr>
          <w:rFonts w:cs="Arial"/>
          <w:iCs/>
          <w:szCs w:val="20"/>
          <w:lang w:val="pt-BR"/>
        </w:rPr>
        <w:t xml:space="preserve">para que </w:t>
      </w:r>
      <w:r w:rsidR="008D0124" w:rsidRPr="00D5464D">
        <w:rPr>
          <w:rFonts w:cs="Arial"/>
          <w:iCs/>
          <w:szCs w:val="20"/>
          <w:lang w:val="pt-BR"/>
        </w:rPr>
        <w:t xml:space="preserve">apoiasse </w:t>
      </w:r>
      <w:r w:rsidR="002C330E" w:rsidRPr="00D5464D">
        <w:rPr>
          <w:rFonts w:cs="Arial"/>
          <w:iCs/>
          <w:szCs w:val="20"/>
          <w:lang w:val="pt-BR"/>
        </w:rPr>
        <w:t xml:space="preserve">a </w:t>
      </w:r>
      <w:r w:rsidR="0003391C" w:rsidRPr="00D5464D">
        <w:rPr>
          <w:rFonts w:cs="Arial"/>
          <w:iCs/>
          <w:szCs w:val="20"/>
          <w:lang w:val="pt-BR"/>
        </w:rPr>
        <w:t>investiga</w:t>
      </w:r>
      <w:r w:rsidR="00470ADC" w:rsidRPr="00D5464D">
        <w:rPr>
          <w:rFonts w:cs="Arial"/>
          <w:iCs/>
          <w:szCs w:val="20"/>
          <w:lang w:val="pt-BR"/>
        </w:rPr>
        <w:t>ção</w:t>
      </w:r>
      <w:r w:rsidR="0003391C" w:rsidRPr="00D5464D">
        <w:rPr>
          <w:rFonts w:cs="Arial"/>
          <w:iCs/>
          <w:szCs w:val="20"/>
          <w:lang w:val="pt-BR"/>
        </w:rPr>
        <w:t xml:space="preserve"> sobre </w:t>
      </w:r>
      <w:r w:rsidR="00470ADC" w:rsidRPr="00D5464D">
        <w:rPr>
          <w:rFonts w:cs="Arial"/>
          <w:iCs/>
          <w:szCs w:val="20"/>
          <w:lang w:val="pt-BR"/>
        </w:rPr>
        <w:t>este</w:t>
      </w:r>
      <w:r w:rsidR="0003391C" w:rsidRPr="00D5464D">
        <w:rPr>
          <w:rFonts w:cs="Arial"/>
          <w:iCs/>
          <w:szCs w:val="20"/>
          <w:lang w:val="pt-BR"/>
        </w:rPr>
        <w:t xml:space="preserve">s </w:t>
      </w:r>
      <w:r w:rsidR="002C330E" w:rsidRPr="00D5464D">
        <w:rPr>
          <w:rFonts w:cs="Arial"/>
          <w:iCs/>
          <w:szCs w:val="20"/>
          <w:lang w:val="pt-BR"/>
        </w:rPr>
        <w:t>fatos</w:t>
      </w:r>
      <w:r w:rsidR="008D0124" w:rsidRPr="00D5464D">
        <w:rPr>
          <w:rFonts w:cs="Arial"/>
          <w:iCs/>
          <w:szCs w:val="20"/>
          <w:lang w:val="pt-BR"/>
        </w:rPr>
        <w:t>.</w:t>
      </w:r>
      <w:r w:rsidR="0003391C" w:rsidRPr="00D5464D">
        <w:rPr>
          <w:rStyle w:val="Refdenotaalpie"/>
          <w:rFonts w:cs="Arial"/>
          <w:iCs/>
          <w:lang w:val="pt-BR"/>
        </w:rPr>
        <w:footnoteReference w:id="207"/>
      </w:r>
      <w:r w:rsidRPr="00D5464D">
        <w:rPr>
          <w:rFonts w:cs="Arial"/>
          <w:iCs/>
          <w:szCs w:val="20"/>
          <w:lang w:val="pt-BR"/>
        </w:rPr>
        <w:t xml:space="preserve"> Em </w:t>
      </w:r>
      <w:r w:rsidR="002C330E" w:rsidRPr="00D5464D">
        <w:rPr>
          <w:rFonts w:cs="Arial"/>
          <w:iCs/>
          <w:szCs w:val="20"/>
          <w:lang w:val="pt-BR"/>
        </w:rPr>
        <w:t>julho</w:t>
      </w:r>
      <w:r w:rsidR="0003391C" w:rsidRPr="00D5464D">
        <w:rPr>
          <w:rFonts w:cs="Arial"/>
          <w:iCs/>
          <w:szCs w:val="20"/>
          <w:lang w:val="pt-BR"/>
        </w:rPr>
        <w:t xml:space="preserve"> </w:t>
      </w:r>
      <w:r w:rsidR="00F443BC" w:rsidRPr="00D5464D">
        <w:rPr>
          <w:rFonts w:cs="Arial"/>
          <w:iCs/>
          <w:szCs w:val="20"/>
          <w:lang w:val="pt-BR"/>
        </w:rPr>
        <w:t>de 2007</w:t>
      </w:r>
      <w:r w:rsidR="00E045D9" w:rsidRPr="00D5464D">
        <w:rPr>
          <w:rFonts w:cs="Arial"/>
          <w:iCs/>
          <w:szCs w:val="20"/>
          <w:lang w:val="pt-BR"/>
        </w:rPr>
        <w:t xml:space="preserve"> e </w:t>
      </w:r>
      <w:r w:rsidR="00470ADC" w:rsidRPr="00D5464D">
        <w:rPr>
          <w:rFonts w:cs="Arial"/>
          <w:iCs/>
          <w:szCs w:val="20"/>
          <w:lang w:val="pt-BR"/>
        </w:rPr>
        <w:t>fevereiro</w:t>
      </w:r>
      <w:r w:rsidR="00F443BC" w:rsidRPr="00D5464D">
        <w:rPr>
          <w:rFonts w:cs="Arial"/>
          <w:iCs/>
          <w:szCs w:val="20"/>
          <w:lang w:val="pt-BR"/>
        </w:rPr>
        <w:t xml:space="preserve"> </w:t>
      </w:r>
      <w:r w:rsidR="0003391C" w:rsidRPr="00D5464D">
        <w:rPr>
          <w:rFonts w:cs="Arial"/>
          <w:iCs/>
          <w:szCs w:val="20"/>
          <w:lang w:val="pt-BR"/>
        </w:rPr>
        <w:t>de 2009</w:t>
      </w:r>
      <w:r w:rsidR="008D0124" w:rsidRPr="00D5464D">
        <w:rPr>
          <w:rFonts w:cs="Arial"/>
          <w:iCs/>
          <w:szCs w:val="20"/>
          <w:lang w:val="pt-BR"/>
        </w:rPr>
        <w:t>,</w:t>
      </w:r>
      <w:r w:rsidR="002C330E" w:rsidRPr="00D5464D">
        <w:rPr>
          <w:rFonts w:cs="Arial"/>
          <w:iCs/>
          <w:szCs w:val="20"/>
          <w:lang w:val="pt-BR"/>
        </w:rPr>
        <w:t xml:space="preserve"> a Secretaria </w:t>
      </w:r>
      <w:r w:rsidR="00A1358C" w:rsidRPr="00D5464D">
        <w:rPr>
          <w:rFonts w:cs="Arial"/>
          <w:iCs/>
          <w:szCs w:val="20"/>
          <w:lang w:val="pt-BR"/>
        </w:rPr>
        <w:t>de Estado</w:t>
      </w:r>
      <w:r w:rsidR="0003391C" w:rsidRPr="00D5464D">
        <w:rPr>
          <w:rFonts w:cs="Arial"/>
          <w:iCs/>
          <w:szCs w:val="20"/>
          <w:lang w:val="pt-BR"/>
        </w:rPr>
        <w:t xml:space="preserve"> de </w:t>
      </w:r>
      <w:r w:rsidR="002C330E" w:rsidRPr="00D5464D">
        <w:rPr>
          <w:rFonts w:cs="Arial"/>
          <w:iCs/>
          <w:szCs w:val="20"/>
          <w:lang w:val="pt-BR"/>
        </w:rPr>
        <w:t>Justiça</w:t>
      </w:r>
      <w:r w:rsidR="00E045D9" w:rsidRPr="00D5464D">
        <w:rPr>
          <w:rFonts w:cs="Arial"/>
          <w:iCs/>
          <w:szCs w:val="20"/>
          <w:lang w:val="pt-BR"/>
        </w:rPr>
        <w:t xml:space="preserve"> e </w:t>
      </w:r>
      <w:r w:rsidR="00470ADC" w:rsidRPr="00D5464D">
        <w:rPr>
          <w:rFonts w:cs="Arial"/>
          <w:iCs/>
          <w:szCs w:val="20"/>
          <w:lang w:val="pt-BR"/>
        </w:rPr>
        <w:t>Direito</w:t>
      </w:r>
      <w:r w:rsidR="0003391C" w:rsidRPr="00D5464D">
        <w:rPr>
          <w:rFonts w:cs="Arial"/>
          <w:iCs/>
          <w:szCs w:val="20"/>
          <w:lang w:val="pt-BR"/>
        </w:rPr>
        <w:t>s Humanos d</w:t>
      </w:r>
      <w:r w:rsidR="008D0124" w:rsidRPr="00D5464D">
        <w:rPr>
          <w:rFonts w:cs="Arial"/>
          <w:iCs/>
          <w:szCs w:val="20"/>
          <w:lang w:val="pt-BR"/>
        </w:rPr>
        <w:t>o</w:t>
      </w:r>
      <w:r w:rsidR="0003391C" w:rsidRPr="00D5464D">
        <w:rPr>
          <w:rFonts w:cs="Arial"/>
          <w:iCs/>
          <w:szCs w:val="20"/>
          <w:lang w:val="pt-BR"/>
        </w:rPr>
        <w:t xml:space="preserve"> Pará </w:t>
      </w:r>
      <w:r w:rsidR="00737270" w:rsidRPr="00D5464D">
        <w:rPr>
          <w:rFonts w:cs="Arial"/>
          <w:iCs/>
          <w:szCs w:val="20"/>
          <w:lang w:val="pt-BR"/>
        </w:rPr>
        <w:t>entrevistou</w:t>
      </w:r>
      <w:r w:rsidR="00E045D9" w:rsidRPr="00D5464D">
        <w:rPr>
          <w:rFonts w:cs="Arial"/>
          <w:iCs/>
          <w:szCs w:val="20"/>
          <w:lang w:val="pt-BR"/>
        </w:rPr>
        <w:t xml:space="preserve"> os </w:t>
      </w:r>
      <w:r w:rsidR="0003391C" w:rsidRPr="00D5464D">
        <w:rPr>
          <w:rFonts w:cs="Arial"/>
          <w:iCs/>
          <w:szCs w:val="20"/>
          <w:lang w:val="pt-BR"/>
        </w:rPr>
        <w:t xml:space="preserve">familiares de </w:t>
      </w:r>
      <w:r w:rsidR="008B075C" w:rsidRPr="00D5464D">
        <w:rPr>
          <w:rFonts w:cs="Arial"/>
          <w:iCs/>
          <w:szCs w:val="20"/>
          <w:lang w:val="pt-BR"/>
        </w:rPr>
        <w:t>Iron Canuto da Silva</w:t>
      </w:r>
      <w:r w:rsidR="00E045D9" w:rsidRPr="00D5464D">
        <w:rPr>
          <w:rFonts w:cs="Arial"/>
          <w:iCs/>
          <w:szCs w:val="20"/>
          <w:lang w:val="pt-BR"/>
        </w:rPr>
        <w:t xml:space="preserve"> e </w:t>
      </w:r>
      <w:r w:rsidR="00200C04" w:rsidRPr="00D5464D">
        <w:rPr>
          <w:rFonts w:cs="Arial"/>
          <w:iCs/>
          <w:szCs w:val="20"/>
          <w:lang w:val="pt-BR"/>
        </w:rPr>
        <w:t>Luis Ferreira da Cruz</w:t>
      </w:r>
      <w:r w:rsidR="0003391C" w:rsidRPr="00D5464D">
        <w:rPr>
          <w:rFonts w:cs="Arial"/>
          <w:iCs/>
          <w:szCs w:val="20"/>
          <w:lang w:val="pt-BR"/>
        </w:rPr>
        <w:t xml:space="preserve"> para </w:t>
      </w:r>
      <w:r w:rsidR="002C330E" w:rsidRPr="00D5464D">
        <w:rPr>
          <w:rFonts w:cs="Arial"/>
          <w:iCs/>
          <w:szCs w:val="20"/>
          <w:lang w:val="pt-BR"/>
        </w:rPr>
        <w:t>obter</w:t>
      </w:r>
      <w:r w:rsidR="0003391C" w:rsidRPr="00D5464D">
        <w:rPr>
          <w:rFonts w:cs="Arial"/>
          <w:iCs/>
          <w:szCs w:val="20"/>
          <w:lang w:val="pt-BR"/>
        </w:rPr>
        <w:t xml:space="preserve"> informa</w:t>
      </w:r>
      <w:r w:rsidR="00470ADC" w:rsidRPr="00D5464D">
        <w:rPr>
          <w:rFonts w:cs="Arial"/>
          <w:iCs/>
          <w:szCs w:val="20"/>
          <w:lang w:val="pt-BR"/>
        </w:rPr>
        <w:t>ção</w:t>
      </w:r>
      <w:r w:rsidR="0003391C" w:rsidRPr="00D5464D">
        <w:rPr>
          <w:rFonts w:cs="Arial"/>
          <w:iCs/>
          <w:szCs w:val="20"/>
          <w:lang w:val="pt-BR"/>
        </w:rPr>
        <w:t xml:space="preserve"> sobre </w:t>
      </w:r>
      <w:r w:rsidR="00A1358C" w:rsidRPr="00D5464D">
        <w:rPr>
          <w:rFonts w:cs="Arial"/>
          <w:iCs/>
          <w:szCs w:val="20"/>
          <w:lang w:val="pt-BR"/>
        </w:rPr>
        <w:t>seu paradeiro</w:t>
      </w:r>
      <w:r w:rsidR="008D0124" w:rsidRPr="00D5464D">
        <w:rPr>
          <w:rFonts w:cs="Arial"/>
          <w:iCs/>
          <w:szCs w:val="20"/>
          <w:lang w:val="pt-BR"/>
        </w:rPr>
        <w:t>.</w:t>
      </w:r>
      <w:r w:rsidR="0003391C" w:rsidRPr="00D5464D">
        <w:rPr>
          <w:rStyle w:val="Refdenotaalpie"/>
          <w:rFonts w:cs="Arial"/>
          <w:iCs/>
          <w:lang w:val="pt-BR"/>
        </w:rPr>
        <w:footnoteReference w:id="208"/>
      </w:r>
      <w:r w:rsidR="0003391C" w:rsidRPr="00D5464D">
        <w:rPr>
          <w:rFonts w:cs="Arial"/>
          <w:iCs/>
          <w:szCs w:val="20"/>
          <w:lang w:val="pt-BR"/>
        </w:rPr>
        <w:t xml:space="preserve"> </w:t>
      </w:r>
    </w:p>
    <w:p w14:paraId="7F4A697B" w14:textId="77777777" w:rsidR="00D65024" w:rsidRPr="00D5464D" w:rsidRDefault="00D65024" w:rsidP="00D65024">
      <w:pPr>
        <w:pStyle w:val="Prrafodelista"/>
        <w:autoSpaceDE w:val="0"/>
        <w:autoSpaceDN w:val="0"/>
        <w:adjustRightInd w:val="0"/>
        <w:ind w:left="0"/>
        <w:contextualSpacing w:val="0"/>
        <w:rPr>
          <w:rFonts w:cs="Arial"/>
          <w:iCs/>
          <w:szCs w:val="20"/>
          <w:lang w:val="pt-BR"/>
        </w:rPr>
      </w:pPr>
    </w:p>
    <w:p w14:paraId="40919607" w14:textId="15927DEB" w:rsidR="0003391C" w:rsidRPr="00D5464D" w:rsidRDefault="00470ADC" w:rsidP="00140440">
      <w:pPr>
        <w:pStyle w:val="Prrafodelista"/>
        <w:numPr>
          <w:ilvl w:val="0"/>
          <w:numId w:val="1"/>
        </w:numPr>
        <w:autoSpaceDE w:val="0"/>
        <w:autoSpaceDN w:val="0"/>
        <w:adjustRightInd w:val="0"/>
        <w:contextualSpacing w:val="0"/>
        <w:rPr>
          <w:rFonts w:cs="Arial"/>
          <w:iCs/>
          <w:szCs w:val="20"/>
          <w:lang w:val="pt-BR"/>
        </w:rPr>
      </w:pPr>
      <w:r w:rsidRPr="00D5464D">
        <w:rPr>
          <w:rFonts w:cs="Arial"/>
          <w:iCs/>
          <w:szCs w:val="20"/>
          <w:lang w:val="pt-BR"/>
        </w:rPr>
        <w:t>A companheir</w:t>
      </w:r>
      <w:r w:rsidR="0003391C" w:rsidRPr="00D5464D">
        <w:rPr>
          <w:rFonts w:cs="Arial"/>
          <w:iCs/>
          <w:szCs w:val="20"/>
          <w:lang w:val="pt-BR"/>
        </w:rPr>
        <w:t xml:space="preserve">a de </w:t>
      </w:r>
      <w:r w:rsidR="008B075C" w:rsidRPr="00D5464D">
        <w:rPr>
          <w:rFonts w:cs="Arial"/>
          <w:iCs/>
          <w:szCs w:val="20"/>
          <w:lang w:val="pt-BR"/>
        </w:rPr>
        <w:t>Iron Canuto da Silva</w:t>
      </w:r>
      <w:r w:rsidR="0003391C" w:rsidRPr="00D5464D">
        <w:rPr>
          <w:rFonts w:cs="Arial"/>
          <w:iCs/>
          <w:szCs w:val="20"/>
          <w:lang w:val="pt-BR"/>
        </w:rPr>
        <w:t xml:space="preserve"> </w:t>
      </w:r>
      <w:r w:rsidR="002C330E" w:rsidRPr="00D5464D">
        <w:rPr>
          <w:rFonts w:cs="Arial"/>
          <w:iCs/>
          <w:szCs w:val="20"/>
          <w:lang w:val="pt-BR"/>
        </w:rPr>
        <w:t>informou</w:t>
      </w:r>
      <w:r w:rsidR="0003391C" w:rsidRPr="00D5464D">
        <w:rPr>
          <w:rFonts w:cs="Arial"/>
          <w:iCs/>
          <w:szCs w:val="20"/>
          <w:lang w:val="pt-BR"/>
        </w:rPr>
        <w:t xml:space="preserve"> que </w:t>
      </w:r>
      <w:r w:rsidR="002C330E" w:rsidRPr="00D5464D">
        <w:rPr>
          <w:rFonts w:cs="Arial"/>
          <w:iCs/>
          <w:szCs w:val="20"/>
          <w:lang w:val="pt-BR"/>
        </w:rPr>
        <w:t>teria</w:t>
      </w:r>
      <w:r w:rsidR="0003391C" w:rsidRPr="00D5464D">
        <w:rPr>
          <w:rFonts w:cs="Arial"/>
          <w:iCs/>
          <w:szCs w:val="20"/>
          <w:lang w:val="pt-BR"/>
        </w:rPr>
        <w:t xml:space="preserve"> convivido</w:t>
      </w:r>
      <w:r w:rsidRPr="00D5464D">
        <w:rPr>
          <w:rFonts w:cs="Arial"/>
          <w:iCs/>
          <w:szCs w:val="20"/>
          <w:lang w:val="pt-BR"/>
        </w:rPr>
        <w:t xml:space="preserve"> com ele </w:t>
      </w:r>
      <w:r w:rsidR="0003391C" w:rsidRPr="00D5464D">
        <w:rPr>
          <w:rFonts w:cs="Arial"/>
          <w:iCs/>
          <w:szCs w:val="20"/>
          <w:lang w:val="pt-BR"/>
        </w:rPr>
        <w:t xml:space="preserve">por 13 </w:t>
      </w:r>
      <w:r w:rsidRPr="00D5464D">
        <w:rPr>
          <w:rFonts w:cs="Arial"/>
          <w:iCs/>
          <w:szCs w:val="20"/>
          <w:lang w:val="pt-BR"/>
        </w:rPr>
        <w:t>anos</w:t>
      </w:r>
      <w:r w:rsidR="00E045D9" w:rsidRPr="00D5464D">
        <w:rPr>
          <w:rFonts w:cs="Arial"/>
          <w:iCs/>
          <w:szCs w:val="20"/>
          <w:lang w:val="pt-BR"/>
        </w:rPr>
        <w:t xml:space="preserve"> e</w:t>
      </w:r>
      <w:r w:rsidR="00737270" w:rsidRPr="00D5464D">
        <w:rPr>
          <w:rFonts w:cs="Arial"/>
          <w:iCs/>
          <w:szCs w:val="20"/>
          <w:lang w:val="pt-BR"/>
        </w:rPr>
        <w:t xml:space="preserve"> </w:t>
      </w:r>
      <w:r w:rsidR="008D0124" w:rsidRPr="00D5464D">
        <w:rPr>
          <w:rFonts w:cs="Arial"/>
          <w:iCs/>
          <w:szCs w:val="20"/>
          <w:lang w:val="pt-BR"/>
        </w:rPr>
        <w:t xml:space="preserve">que </w:t>
      </w:r>
      <w:r w:rsidR="00737270" w:rsidRPr="00D5464D">
        <w:rPr>
          <w:rFonts w:cs="Arial"/>
          <w:iCs/>
          <w:szCs w:val="20"/>
          <w:lang w:val="pt-BR"/>
        </w:rPr>
        <w:t xml:space="preserve">haviam </w:t>
      </w:r>
      <w:r w:rsidR="008D0124" w:rsidRPr="00D5464D">
        <w:rPr>
          <w:rFonts w:cs="Arial"/>
          <w:iCs/>
          <w:szCs w:val="20"/>
          <w:lang w:val="pt-BR"/>
        </w:rPr>
        <w:t xml:space="preserve">tido </w:t>
      </w:r>
      <w:r w:rsidRPr="00D5464D">
        <w:rPr>
          <w:rFonts w:cs="Arial"/>
          <w:iCs/>
          <w:szCs w:val="20"/>
          <w:lang w:val="pt-BR"/>
        </w:rPr>
        <w:t>quatro</w:t>
      </w:r>
      <w:r w:rsidR="0003391C" w:rsidRPr="00D5464D">
        <w:rPr>
          <w:rFonts w:cs="Arial"/>
          <w:iCs/>
          <w:szCs w:val="20"/>
          <w:lang w:val="pt-BR"/>
        </w:rPr>
        <w:t xml:space="preserve"> </w:t>
      </w:r>
      <w:r w:rsidR="002C330E" w:rsidRPr="00D5464D">
        <w:rPr>
          <w:rFonts w:cs="Arial"/>
          <w:iCs/>
          <w:szCs w:val="20"/>
          <w:lang w:val="pt-BR"/>
        </w:rPr>
        <w:t>filho</w:t>
      </w:r>
      <w:r w:rsidR="0003391C" w:rsidRPr="00D5464D">
        <w:rPr>
          <w:rFonts w:cs="Arial"/>
          <w:iCs/>
          <w:szCs w:val="20"/>
          <w:lang w:val="pt-BR"/>
        </w:rPr>
        <w:t>s;</w:t>
      </w:r>
      <w:r w:rsidR="00E045D9" w:rsidRPr="00D5464D">
        <w:rPr>
          <w:rFonts w:cs="Arial"/>
          <w:iCs/>
          <w:szCs w:val="20"/>
          <w:lang w:val="pt-BR"/>
        </w:rPr>
        <w:t xml:space="preserve"> teriam </w:t>
      </w:r>
      <w:r w:rsidR="0003391C" w:rsidRPr="00D5464D">
        <w:rPr>
          <w:rFonts w:cs="Arial"/>
          <w:iCs/>
          <w:szCs w:val="20"/>
          <w:lang w:val="pt-BR"/>
        </w:rPr>
        <w:t>residido</w:t>
      </w:r>
      <w:r w:rsidRPr="00D5464D">
        <w:rPr>
          <w:rFonts w:cs="Arial"/>
          <w:iCs/>
          <w:szCs w:val="20"/>
          <w:lang w:val="pt-BR"/>
        </w:rPr>
        <w:t xml:space="preserve"> com ele em </w:t>
      </w:r>
      <w:r w:rsidR="0079367B" w:rsidRPr="00D5464D">
        <w:rPr>
          <w:rFonts w:cs="Arial"/>
          <w:iCs/>
          <w:szCs w:val="20"/>
          <w:lang w:val="pt-BR"/>
        </w:rPr>
        <w:t xml:space="preserve">Arapoema, </w:t>
      </w:r>
      <w:r w:rsidR="0003391C" w:rsidRPr="00D5464D">
        <w:rPr>
          <w:rFonts w:cs="Arial"/>
          <w:iCs/>
          <w:szCs w:val="20"/>
          <w:lang w:val="pt-BR"/>
        </w:rPr>
        <w:t>estado d</w:t>
      </w:r>
      <w:r w:rsidR="008D0124" w:rsidRPr="00D5464D">
        <w:rPr>
          <w:rFonts w:cs="Arial"/>
          <w:iCs/>
          <w:szCs w:val="20"/>
          <w:lang w:val="pt-BR"/>
        </w:rPr>
        <w:t>o</w:t>
      </w:r>
      <w:r w:rsidR="0003391C" w:rsidRPr="00D5464D">
        <w:rPr>
          <w:rFonts w:cs="Arial"/>
          <w:iCs/>
          <w:szCs w:val="20"/>
          <w:lang w:val="pt-BR"/>
        </w:rPr>
        <w:t xml:space="preserve"> Tocantins</w:t>
      </w:r>
      <w:r w:rsidR="0079367B" w:rsidRPr="00D5464D">
        <w:rPr>
          <w:rFonts w:cs="Arial"/>
          <w:iCs/>
          <w:szCs w:val="20"/>
          <w:lang w:val="pt-BR"/>
        </w:rPr>
        <w:t>,</w:t>
      </w:r>
      <w:r w:rsidRPr="00D5464D">
        <w:rPr>
          <w:rFonts w:cs="Arial"/>
          <w:iCs/>
          <w:szCs w:val="20"/>
          <w:lang w:val="pt-BR"/>
        </w:rPr>
        <w:t xml:space="preserve"> em </w:t>
      </w:r>
      <w:r w:rsidR="00DF7B9B" w:rsidRPr="00D5464D">
        <w:rPr>
          <w:rFonts w:cs="Arial"/>
          <w:iCs/>
          <w:szCs w:val="20"/>
          <w:lang w:val="pt-BR"/>
        </w:rPr>
        <w:t>1994</w:t>
      </w:r>
      <w:r w:rsidR="008D0124" w:rsidRPr="00D5464D">
        <w:rPr>
          <w:rFonts w:cs="Arial"/>
          <w:iCs/>
          <w:szCs w:val="20"/>
          <w:lang w:val="pt-BR"/>
        </w:rPr>
        <w:t>,</w:t>
      </w:r>
      <w:r w:rsidR="00E045D9" w:rsidRPr="00D5464D">
        <w:rPr>
          <w:rFonts w:cs="Arial"/>
          <w:iCs/>
          <w:szCs w:val="20"/>
          <w:lang w:val="pt-BR"/>
        </w:rPr>
        <w:t xml:space="preserve"> e</w:t>
      </w:r>
      <w:r w:rsidR="008D0124" w:rsidRPr="00D5464D">
        <w:rPr>
          <w:rFonts w:cs="Arial"/>
          <w:iCs/>
          <w:szCs w:val="20"/>
          <w:lang w:val="pt-BR"/>
        </w:rPr>
        <w:t>,</w:t>
      </w:r>
      <w:r w:rsidR="00E045D9" w:rsidRPr="00D5464D">
        <w:rPr>
          <w:rFonts w:cs="Arial"/>
          <w:iCs/>
          <w:szCs w:val="20"/>
          <w:lang w:val="pt-BR"/>
        </w:rPr>
        <w:t xml:space="preserve"> </w:t>
      </w:r>
      <w:r w:rsidR="00DF7B9B" w:rsidRPr="00D5464D">
        <w:rPr>
          <w:rFonts w:cs="Arial"/>
          <w:iCs/>
          <w:szCs w:val="20"/>
          <w:lang w:val="pt-BR"/>
        </w:rPr>
        <w:t>posteriormente</w:t>
      </w:r>
      <w:r w:rsidR="008D0124" w:rsidRPr="00D5464D">
        <w:rPr>
          <w:rFonts w:cs="Arial"/>
          <w:iCs/>
          <w:szCs w:val="20"/>
          <w:lang w:val="pt-BR"/>
        </w:rPr>
        <w:t>,</w:t>
      </w:r>
      <w:r w:rsidRPr="00D5464D">
        <w:rPr>
          <w:rFonts w:cs="Arial"/>
          <w:iCs/>
          <w:szCs w:val="20"/>
          <w:lang w:val="pt-BR"/>
        </w:rPr>
        <w:t xml:space="preserve"> em </w:t>
      </w:r>
      <w:r w:rsidR="00DF7B9B" w:rsidRPr="00D5464D">
        <w:rPr>
          <w:rFonts w:cs="Arial"/>
          <w:iCs/>
          <w:szCs w:val="20"/>
          <w:lang w:val="pt-BR"/>
        </w:rPr>
        <w:t>Re</w:t>
      </w:r>
      <w:r w:rsidR="0003391C" w:rsidRPr="00D5464D">
        <w:rPr>
          <w:rFonts w:cs="Arial"/>
          <w:iCs/>
          <w:szCs w:val="20"/>
          <w:lang w:val="pt-BR"/>
        </w:rPr>
        <w:t>denção</w:t>
      </w:r>
      <w:r w:rsidR="00E045D9" w:rsidRPr="00D5464D">
        <w:rPr>
          <w:rFonts w:cs="Arial"/>
          <w:iCs/>
          <w:szCs w:val="20"/>
          <w:lang w:val="pt-BR"/>
        </w:rPr>
        <w:t xml:space="preserve"> e </w:t>
      </w:r>
      <w:r w:rsidR="0003391C" w:rsidRPr="00D5464D">
        <w:rPr>
          <w:rFonts w:cs="Arial"/>
          <w:iCs/>
          <w:szCs w:val="20"/>
          <w:lang w:val="pt-BR"/>
        </w:rPr>
        <w:t>Floresta de Araguaia</w:t>
      </w:r>
      <w:r w:rsidR="0079367B" w:rsidRPr="00D5464D">
        <w:rPr>
          <w:rFonts w:cs="Arial"/>
          <w:iCs/>
          <w:szCs w:val="20"/>
          <w:lang w:val="pt-BR"/>
        </w:rPr>
        <w:t>, Pará,</w:t>
      </w:r>
      <w:r w:rsidR="0003391C" w:rsidRPr="00D5464D">
        <w:rPr>
          <w:rFonts w:cs="Arial"/>
          <w:iCs/>
          <w:szCs w:val="20"/>
          <w:lang w:val="pt-BR"/>
        </w:rPr>
        <w:t xml:space="preserve"> entre 1999</w:t>
      </w:r>
      <w:r w:rsidR="00E045D9" w:rsidRPr="00D5464D">
        <w:rPr>
          <w:rFonts w:cs="Arial"/>
          <w:iCs/>
          <w:szCs w:val="20"/>
          <w:lang w:val="pt-BR"/>
        </w:rPr>
        <w:t xml:space="preserve"> e </w:t>
      </w:r>
      <w:r w:rsidR="0003391C" w:rsidRPr="00D5464D">
        <w:rPr>
          <w:rFonts w:cs="Arial"/>
          <w:iCs/>
          <w:szCs w:val="20"/>
          <w:lang w:val="pt-BR"/>
        </w:rPr>
        <w:t>2007</w:t>
      </w:r>
      <w:r w:rsidR="008D0124" w:rsidRPr="00D5464D">
        <w:rPr>
          <w:rFonts w:cs="Arial"/>
          <w:iCs/>
          <w:szCs w:val="20"/>
          <w:lang w:val="pt-BR"/>
        </w:rPr>
        <w:t>.</w:t>
      </w:r>
      <w:r w:rsidR="0003391C" w:rsidRPr="00D5464D">
        <w:rPr>
          <w:rStyle w:val="Refdenotaalpie"/>
          <w:rFonts w:cs="Arial"/>
          <w:iCs/>
          <w:lang w:val="pt-BR"/>
        </w:rPr>
        <w:footnoteReference w:id="209"/>
      </w:r>
      <w:r w:rsidR="00A1358C" w:rsidRPr="00D5464D">
        <w:rPr>
          <w:rFonts w:cs="Arial"/>
          <w:iCs/>
          <w:szCs w:val="20"/>
          <w:lang w:val="pt-BR"/>
        </w:rPr>
        <w:t xml:space="preserve"> A </w:t>
      </w:r>
      <w:r w:rsidR="002C330E" w:rsidRPr="00D5464D">
        <w:rPr>
          <w:rFonts w:cs="Arial"/>
          <w:iCs/>
          <w:szCs w:val="20"/>
          <w:lang w:val="pt-BR"/>
        </w:rPr>
        <w:t>mãe</w:t>
      </w:r>
      <w:r w:rsidR="00E045D9" w:rsidRPr="00D5464D">
        <w:rPr>
          <w:rFonts w:cs="Arial"/>
          <w:iCs/>
          <w:szCs w:val="20"/>
          <w:lang w:val="pt-BR"/>
        </w:rPr>
        <w:t xml:space="preserve"> e </w:t>
      </w:r>
      <w:r w:rsidR="002C330E" w:rsidRPr="00D5464D">
        <w:rPr>
          <w:rFonts w:cs="Arial"/>
          <w:iCs/>
          <w:szCs w:val="20"/>
          <w:lang w:val="pt-BR"/>
        </w:rPr>
        <w:t xml:space="preserve">a </w:t>
      </w:r>
      <w:r w:rsidRPr="00D5464D">
        <w:rPr>
          <w:rFonts w:cs="Arial"/>
          <w:iCs/>
          <w:szCs w:val="20"/>
          <w:lang w:val="pt-BR"/>
        </w:rPr>
        <w:t>companheir</w:t>
      </w:r>
      <w:r w:rsidR="0003391C" w:rsidRPr="00D5464D">
        <w:rPr>
          <w:rFonts w:cs="Arial"/>
          <w:iCs/>
          <w:szCs w:val="20"/>
          <w:lang w:val="pt-BR"/>
        </w:rPr>
        <w:t xml:space="preserve">a de </w:t>
      </w:r>
      <w:r w:rsidR="008B075C" w:rsidRPr="00D5464D">
        <w:rPr>
          <w:rFonts w:cs="Arial"/>
          <w:iCs/>
          <w:szCs w:val="20"/>
          <w:lang w:val="pt-BR"/>
        </w:rPr>
        <w:t>Iron Canuto da Silva</w:t>
      </w:r>
      <w:r w:rsidR="0003391C" w:rsidRPr="00D5464D">
        <w:rPr>
          <w:rFonts w:cs="Arial"/>
          <w:iCs/>
          <w:szCs w:val="20"/>
          <w:lang w:val="pt-BR"/>
        </w:rPr>
        <w:t xml:space="preserve"> relat</w:t>
      </w:r>
      <w:r w:rsidR="00350187" w:rsidRPr="00D5464D">
        <w:rPr>
          <w:rFonts w:cs="Arial"/>
          <w:iCs/>
          <w:szCs w:val="20"/>
          <w:lang w:val="pt-BR"/>
        </w:rPr>
        <w:t xml:space="preserve">aram </w:t>
      </w:r>
      <w:r w:rsidR="0003391C" w:rsidRPr="00D5464D">
        <w:rPr>
          <w:rFonts w:cs="Arial"/>
          <w:iCs/>
          <w:szCs w:val="20"/>
          <w:lang w:val="pt-BR"/>
        </w:rPr>
        <w:t>que</w:t>
      </w:r>
      <w:r w:rsidR="008D0124" w:rsidRPr="00D5464D">
        <w:rPr>
          <w:rFonts w:cs="Arial"/>
          <w:iCs/>
          <w:szCs w:val="20"/>
          <w:lang w:val="pt-BR"/>
        </w:rPr>
        <w:t>,</w:t>
      </w:r>
      <w:r w:rsidR="002C330E" w:rsidRPr="00D5464D">
        <w:rPr>
          <w:rFonts w:cs="Arial"/>
          <w:iCs/>
          <w:szCs w:val="20"/>
          <w:lang w:val="pt-BR"/>
        </w:rPr>
        <w:t xml:space="preserve"> em 2</w:t>
      </w:r>
      <w:r w:rsidR="0003391C" w:rsidRPr="00D5464D">
        <w:rPr>
          <w:rFonts w:cs="Arial"/>
          <w:iCs/>
          <w:szCs w:val="20"/>
          <w:lang w:val="pt-BR"/>
        </w:rPr>
        <w:t xml:space="preserve">2 de </w:t>
      </w:r>
      <w:r w:rsidR="002C330E" w:rsidRPr="00D5464D">
        <w:rPr>
          <w:rFonts w:cs="Arial"/>
          <w:iCs/>
          <w:szCs w:val="20"/>
          <w:lang w:val="pt-BR"/>
        </w:rPr>
        <w:t>julho</w:t>
      </w:r>
      <w:r w:rsidR="0003391C" w:rsidRPr="00D5464D">
        <w:rPr>
          <w:rFonts w:cs="Arial"/>
          <w:iCs/>
          <w:szCs w:val="20"/>
          <w:lang w:val="pt-BR"/>
        </w:rPr>
        <w:t xml:space="preserve"> de 2007</w:t>
      </w:r>
      <w:r w:rsidR="008D0124" w:rsidRPr="00D5464D">
        <w:rPr>
          <w:rFonts w:cs="Arial"/>
          <w:iCs/>
          <w:szCs w:val="20"/>
          <w:lang w:val="pt-BR"/>
        </w:rPr>
        <w:t>,</w:t>
      </w:r>
      <w:r w:rsidR="00A74771" w:rsidRPr="00D5464D">
        <w:rPr>
          <w:rFonts w:cs="Arial"/>
          <w:iCs/>
          <w:szCs w:val="20"/>
          <w:lang w:val="pt-BR"/>
        </w:rPr>
        <w:t xml:space="preserve"> </w:t>
      </w:r>
      <w:r w:rsidR="008D0124" w:rsidRPr="00D5464D">
        <w:rPr>
          <w:rFonts w:cs="Arial"/>
          <w:iCs/>
          <w:szCs w:val="20"/>
          <w:lang w:val="pt-BR"/>
        </w:rPr>
        <w:t xml:space="preserve">ele teria morrido </w:t>
      </w:r>
      <w:r w:rsidRPr="00D5464D">
        <w:rPr>
          <w:rFonts w:cs="Arial"/>
          <w:iCs/>
          <w:szCs w:val="20"/>
          <w:lang w:val="pt-BR"/>
        </w:rPr>
        <w:t>em circunstâncias</w:t>
      </w:r>
      <w:r w:rsidR="0003391C" w:rsidRPr="00D5464D">
        <w:rPr>
          <w:rFonts w:cs="Arial"/>
          <w:iCs/>
          <w:szCs w:val="20"/>
          <w:lang w:val="pt-BR"/>
        </w:rPr>
        <w:t xml:space="preserve"> n</w:t>
      </w:r>
      <w:r w:rsidR="008D0124" w:rsidRPr="00D5464D">
        <w:rPr>
          <w:rFonts w:cs="Arial"/>
          <w:iCs/>
          <w:szCs w:val="20"/>
          <w:lang w:val="pt-BR"/>
        </w:rPr>
        <w:t>ã</w:t>
      </w:r>
      <w:r w:rsidR="0003391C" w:rsidRPr="00D5464D">
        <w:rPr>
          <w:rFonts w:cs="Arial"/>
          <w:iCs/>
          <w:szCs w:val="20"/>
          <w:lang w:val="pt-BR"/>
        </w:rPr>
        <w:t>o relacionadas</w:t>
      </w:r>
      <w:r w:rsidRPr="00D5464D">
        <w:rPr>
          <w:rFonts w:cs="Arial"/>
          <w:iCs/>
          <w:szCs w:val="20"/>
          <w:lang w:val="pt-BR"/>
        </w:rPr>
        <w:t xml:space="preserve"> com o </w:t>
      </w:r>
      <w:r w:rsidR="0003391C" w:rsidRPr="00D5464D">
        <w:rPr>
          <w:rFonts w:cs="Arial"/>
          <w:iCs/>
          <w:szCs w:val="20"/>
          <w:lang w:val="pt-BR"/>
        </w:rPr>
        <w:t>presente caso</w:t>
      </w:r>
      <w:r w:rsidR="008D0124" w:rsidRPr="00D5464D">
        <w:rPr>
          <w:rFonts w:cs="Arial"/>
          <w:iCs/>
          <w:szCs w:val="20"/>
          <w:lang w:val="pt-BR"/>
        </w:rPr>
        <w:t>.</w:t>
      </w:r>
      <w:r w:rsidR="0003391C" w:rsidRPr="00D5464D">
        <w:rPr>
          <w:rStyle w:val="Refdenotaalpie"/>
          <w:rFonts w:cs="Arial"/>
          <w:iCs/>
          <w:lang w:val="pt-BR"/>
        </w:rPr>
        <w:footnoteReference w:id="210"/>
      </w:r>
      <w:r w:rsidR="0003391C" w:rsidRPr="00D5464D">
        <w:rPr>
          <w:rFonts w:cs="Arial"/>
          <w:iCs/>
          <w:szCs w:val="20"/>
          <w:lang w:val="pt-BR"/>
        </w:rPr>
        <w:t xml:space="preserve"> </w:t>
      </w:r>
    </w:p>
    <w:p w14:paraId="2C3551A7" w14:textId="77777777" w:rsidR="0003391C" w:rsidRPr="00D5464D" w:rsidRDefault="0003391C" w:rsidP="00140440">
      <w:pPr>
        <w:pStyle w:val="Prrafodelista"/>
        <w:contextualSpacing w:val="0"/>
        <w:rPr>
          <w:rFonts w:cs="Arial"/>
          <w:iCs/>
          <w:szCs w:val="20"/>
          <w:lang w:val="pt-BR"/>
        </w:rPr>
      </w:pPr>
    </w:p>
    <w:p w14:paraId="148A359C" w14:textId="28D735FA" w:rsidR="00EB72DC" w:rsidRPr="00D5464D" w:rsidRDefault="008D0124" w:rsidP="009559B1">
      <w:pPr>
        <w:pStyle w:val="Prrafodelista"/>
        <w:numPr>
          <w:ilvl w:val="0"/>
          <w:numId w:val="1"/>
        </w:numPr>
        <w:autoSpaceDE w:val="0"/>
        <w:autoSpaceDN w:val="0"/>
        <w:adjustRightInd w:val="0"/>
        <w:contextualSpacing w:val="0"/>
        <w:rPr>
          <w:rFonts w:cs="Arial"/>
          <w:iCs/>
          <w:szCs w:val="20"/>
          <w:lang w:val="pt-BR"/>
        </w:rPr>
      </w:pPr>
      <w:r w:rsidRPr="00D5464D">
        <w:rPr>
          <w:rFonts w:cs="Arial"/>
          <w:iCs/>
          <w:szCs w:val="20"/>
          <w:lang w:val="pt-BR"/>
        </w:rPr>
        <w:t xml:space="preserve">No </w:t>
      </w:r>
      <w:r w:rsidR="002C330E" w:rsidRPr="00D5464D">
        <w:rPr>
          <w:rFonts w:cs="Arial"/>
          <w:iCs/>
          <w:szCs w:val="20"/>
          <w:lang w:val="pt-BR"/>
        </w:rPr>
        <w:t xml:space="preserve">que </w:t>
      </w:r>
      <w:r w:rsidR="00F06BB5" w:rsidRPr="00D5464D">
        <w:rPr>
          <w:rFonts w:cs="Arial"/>
          <w:iCs/>
          <w:szCs w:val="20"/>
          <w:lang w:val="pt-BR"/>
        </w:rPr>
        <w:t>diz respeito</w:t>
      </w:r>
      <w:r w:rsidR="00FF1290" w:rsidRPr="00D5464D">
        <w:rPr>
          <w:rFonts w:cs="Arial"/>
          <w:iCs/>
          <w:szCs w:val="20"/>
          <w:lang w:val="pt-BR"/>
        </w:rPr>
        <w:t xml:space="preserve"> </w:t>
      </w:r>
      <w:r w:rsidR="0003391C" w:rsidRPr="00D5464D">
        <w:rPr>
          <w:rFonts w:cs="Arial"/>
          <w:iCs/>
          <w:szCs w:val="20"/>
          <w:lang w:val="pt-BR"/>
        </w:rPr>
        <w:t xml:space="preserve">a </w:t>
      </w:r>
      <w:r w:rsidR="00200C04" w:rsidRPr="00D5464D">
        <w:rPr>
          <w:rFonts w:cs="Arial"/>
          <w:iCs/>
          <w:szCs w:val="20"/>
          <w:lang w:val="pt-BR"/>
        </w:rPr>
        <w:t xml:space="preserve">Luis Ferreira </w:t>
      </w:r>
      <w:r w:rsidR="00867094" w:rsidRPr="00D5464D">
        <w:rPr>
          <w:rFonts w:cs="Arial"/>
          <w:iCs/>
          <w:szCs w:val="20"/>
          <w:lang w:val="pt-BR"/>
        </w:rPr>
        <w:t>da Cruz</w:t>
      </w:r>
      <w:r w:rsidR="00C91CB1" w:rsidRPr="00D5464D">
        <w:rPr>
          <w:rFonts w:cs="Arial"/>
          <w:iCs/>
          <w:szCs w:val="20"/>
          <w:lang w:val="pt-BR"/>
        </w:rPr>
        <w:t>, em 1</w:t>
      </w:r>
      <w:r w:rsidR="0003391C" w:rsidRPr="00D5464D">
        <w:rPr>
          <w:rFonts w:cs="Arial"/>
          <w:iCs/>
          <w:szCs w:val="20"/>
          <w:lang w:val="pt-BR"/>
        </w:rPr>
        <w:t xml:space="preserve">7 de </w:t>
      </w:r>
      <w:r w:rsidR="00470ADC" w:rsidRPr="00D5464D">
        <w:rPr>
          <w:rFonts w:cs="Arial"/>
          <w:iCs/>
          <w:szCs w:val="20"/>
          <w:lang w:val="pt-BR"/>
        </w:rPr>
        <w:t>fevereiro</w:t>
      </w:r>
      <w:r w:rsidR="0003391C" w:rsidRPr="00D5464D">
        <w:rPr>
          <w:rFonts w:cs="Arial"/>
          <w:iCs/>
          <w:szCs w:val="20"/>
          <w:lang w:val="pt-BR"/>
        </w:rPr>
        <w:t xml:space="preserve"> de 2009</w:t>
      </w:r>
      <w:r w:rsidRPr="00D5464D">
        <w:rPr>
          <w:rFonts w:cs="Arial"/>
          <w:iCs/>
          <w:szCs w:val="20"/>
          <w:lang w:val="pt-BR"/>
        </w:rPr>
        <w:t>,</w:t>
      </w:r>
      <w:r w:rsidR="0003391C" w:rsidRPr="00D5464D">
        <w:rPr>
          <w:rFonts w:cs="Arial"/>
          <w:iCs/>
          <w:szCs w:val="20"/>
          <w:lang w:val="pt-BR"/>
        </w:rPr>
        <w:t xml:space="preserve"> </w:t>
      </w:r>
      <w:r w:rsidR="00E045D9" w:rsidRPr="00D5464D">
        <w:rPr>
          <w:rFonts w:cs="Arial"/>
          <w:iCs/>
          <w:szCs w:val="20"/>
          <w:lang w:val="pt-BR"/>
        </w:rPr>
        <w:t>sua mãe</w:t>
      </w:r>
      <w:r w:rsidR="0003391C" w:rsidRPr="00D5464D">
        <w:rPr>
          <w:rFonts w:cs="Arial"/>
          <w:iCs/>
          <w:szCs w:val="20"/>
          <w:lang w:val="pt-BR"/>
        </w:rPr>
        <w:t xml:space="preserve"> de </w:t>
      </w:r>
      <w:r w:rsidRPr="00D5464D">
        <w:rPr>
          <w:rFonts w:cs="Arial"/>
          <w:iCs/>
          <w:szCs w:val="20"/>
          <w:lang w:val="pt-BR"/>
        </w:rPr>
        <w:t xml:space="preserve">criação </w:t>
      </w:r>
      <w:r w:rsidR="002C330E" w:rsidRPr="00D5464D">
        <w:rPr>
          <w:rFonts w:cs="Arial"/>
          <w:iCs/>
          <w:szCs w:val="20"/>
          <w:lang w:val="pt-BR"/>
        </w:rPr>
        <w:t>informou</w:t>
      </w:r>
      <w:r w:rsidR="00470ADC" w:rsidRPr="00D5464D">
        <w:rPr>
          <w:rFonts w:cs="Arial"/>
          <w:iCs/>
          <w:szCs w:val="20"/>
          <w:lang w:val="pt-BR"/>
        </w:rPr>
        <w:t xml:space="preserve"> à </w:t>
      </w:r>
      <w:r w:rsidR="002C330E" w:rsidRPr="00D5464D">
        <w:rPr>
          <w:rFonts w:cs="Arial"/>
          <w:iCs/>
          <w:szCs w:val="20"/>
          <w:lang w:val="pt-BR"/>
        </w:rPr>
        <w:t xml:space="preserve">Secretaria </w:t>
      </w:r>
      <w:r w:rsidR="0003391C" w:rsidRPr="00D5464D">
        <w:rPr>
          <w:rFonts w:cs="Arial"/>
          <w:iCs/>
          <w:szCs w:val="20"/>
          <w:lang w:val="pt-BR"/>
        </w:rPr>
        <w:t xml:space="preserve">de </w:t>
      </w:r>
      <w:r w:rsidR="002C330E" w:rsidRPr="00D5464D">
        <w:rPr>
          <w:rFonts w:cs="Arial"/>
          <w:iCs/>
          <w:szCs w:val="20"/>
          <w:lang w:val="pt-BR"/>
        </w:rPr>
        <w:t>Justiça</w:t>
      </w:r>
      <w:r w:rsidR="00E045D9" w:rsidRPr="00D5464D">
        <w:rPr>
          <w:rFonts w:cs="Arial"/>
          <w:iCs/>
          <w:szCs w:val="20"/>
          <w:lang w:val="pt-BR"/>
        </w:rPr>
        <w:t xml:space="preserve"> e </w:t>
      </w:r>
      <w:r w:rsidR="00470ADC" w:rsidRPr="00D5464D">
        <w:rPr>
          <w:rFonts w:cs="Arial"/>
          <w:iCs/>
          <w:szCs w:val="20"/>
          <w:lang w:val="pt-BR"/>
        </w:rPr>
        <w:t>Direito</w:t>
      </w:r>
      <w:r w:rsidR="0003391C" w:rsidRPr="00D5464D">
        <w:rPr>
          <w:rFonts w:cs="Arial"/>
          <w:iCs/>
          <w:szCs w:val="20"/>
          <w:lang w:val="pt-BR"/>
        </w:rPr>
        <w:t>s Humanos d</w:t>
      </w:r>
      <w:r w:rsidRPr="00D5464D">
        <w:rPr>
          <w:rFonts w:cs="Arial"/>
          <w:iCs/>
          <w:szCs w:val="20"/>
          <w:lang w:val="pt-BR"/>
        </w:rPr>
        <w:t>o</w:t>
      </w:r>
      <w:r w:rsidR="0003391C" w:rsidRPr="00D5464D">
        <w:rPr>
          <w:rFonts w:cs="Arial"/>
          <w:iCs/>
          <w:szCs w:val="20"/>
          <w:lang w:val="pt-BR"/>
        </w:rPr>
        <w:t xml:space="preserve"> Pará que “n</w:t>
      </w:r>
      <w:r w:rsidRPr="00D5464D">
        <w:rPr>
          <w:rFonts w:cs="Arial"/>
          <w:iCs/>
          <w:szCs w:val="20"/>
          <w:lang w:val="pt-BR"/>
        </w:rPr>
        <w:t>ã</w:t>
      </w:r>
      <w:r w:rsidR="0003391C" w:rsidRPr="00D5464D">
        <w:rPr>
          <w:rFonts w:cs="Arial"/>
          <w:iCs/>
          <w:szCs w:val="20"/>
          <w:lang w:val="pt-BR"/>
        </w:rPr>
        <w:t>o sab</w:t>
      </w:r>
      <w:r w:rsidRPr="00D5464D">
        <w:rPr>
          <w:rFonts w:cs="Arial"/>
          <w:iCs/>
          <w:szCs w:val="20"/>
          <w:lang w:val="pt-BR"/>
        </w:rPr>
        <w:t xml:space="preserve">ia </w:t>
      </w:r>
      <w:r w:rsidR="0003391C" w:rsidRPr="00D5464D">
        <w:rPr>
          <w:rFonts w:cs="Arial"/>
          <w:iCs/>
          <w:szCs w:val="20"/>
          <w:lang w:val="pt-BR"/>
        </w:rPr>
        <w:t xml:space="preserve">de </w:t>
      </w:r>
      <w:r w:rsidR="00A1358C" w:rsidRPr="00D5464D">
        <w:rPr>
          <w:rFonts w:cs="Arial"/>
          <w:iCs/>
          <w:szCs w:val="20"/>
          <w:lang w:val="pt-BR"/>
        </w:rPr>
        <w:t>seu paradeiro</w:t>
      </w:r>
      <w:r w:rsidR="0003391C" w:rsidRPr="00D5464D">
        <w:rPr>
          <w:rFonts w:cs="Arial"/>
          <w:iCs/>
          <w:szCs w:val="20"/>
          <w:lang w:val="pt-BR"/>
        </w:rPr>
        <w:t>”</w:t>
      </w:r>
      <w:r w:rsidRPr="00D5464D">
        <w:rPr>
          <w:rFonts w:cs="Arial"/>
          <w:iCs/>
          <w:szCs w:val="20"/>
          <w:lang w:val="pt-BR"/>
        </w:rPr>
        <w:t>.</w:t>
      </w:r>
      <w:r w:rsidR="0003391C" w:rsidRPr="00D5464D">
        <w:rPr>
          <w:rStyle w:val="Refdenotaalpie"/>
          <w:rFonts w:cs="Arial"/>
          <w:iCs/>
          <w:lang w:val="pt-BR"/>
        </w:rPr>
        <w:footnoteReference w:id="211"/>
      </w:r>
      <w:r w:rsidR="00F62A06" w:rsidRPr="00D5464D">
        <w:rPr>
          <w:rFonts w:cs="Arial"/>
          <w:iCs/>
          <w:szCs w:val="20"/>
          <w:lang w:val="pt-BR"/>
        </w:rPr>
        <w:t xml:space="preserve"> </w:t>
      </w:r>
      <w:r w:rsidR="00D94AC6" w:rsidRPr="00D5464D">
        <w:rPr>
          <w:rFonts w:cs="Arial"/>
          <w:iCs/>
          <w:szCs w:val="20"/>
          <w:lang w:val="pt-BR"/>
        </w:rPr>
        <w:t>P</w:t>
      </w:r>
      <w:r w:rsidR="0003391C" w:rsidRPr="00D5464D">
        <w:rPr>
          <w:rFonts w:cs="Arial"/>
          <w:iCs/>
          <w:szCs w:val="20"/>
          <w:lang w:val="pt-BR"/>
        </w:rPr>
        <w:t>osteriormente,</w:t>
      </w:r>
      <w:r w:rsidR="00470ADC" w:rsidRPr="00D5464D">
        <w:rPr>
          <w:rFonts w:cs="Arial"/>
          <w:iCs/>
          <w:szCs w:val="20"/>
          <w:lang w:val="pt-BR"/>
        </w:rPr>
        <w:t xml:space="preserve"> em </w:t>
      </w:r>
      <w:r w:rsidR="0003391C" w:rsidRPr="00D5464D">
        <w:rPr>
          <w:rFonts w:cs="Arial"/>
          <w:iCs/>
          <w:szCs w:val="20"/>
          <w:lang w:val="pt-BR"/>
        </w:rPr>
        <w:t>agosto de 2015</w:t>
      </w:r>
      <w:r w:rsidRPr="00D5464D">
        <w:rPr>
          <w:rFonts w:cs="Arial"/>
          <w:iCs/>
          <w:szCs w:val="20"/>
          <w:lang w:val="pt-BR"/>
        </w:rPr>
        <w:t>,</w:t>
      </w:r>
      <w:r w:rsidR="0003391C" w:rsidRPr="00D5464D">
        <w:rPr>
          <w:rFonts w:cs="Arial"/>
          <w:iCs/>
          <w:szCs w:val="20"/>
          <w:lang w:val="pt-BR"/>
        </w:rPr>
        <w:t xml:space="preserve"> </w:t>
      </w:r>
      <w:r w:rsidR="00350187" w:rsidRPr="00D5464D">
        <w:rPr>
          <w:rFonts w:cs="Arial"/>
          <w:iCs/>
          <w:szCs w:val="20"/>
          <w:lang w:val="pt-BR"/>
        </w:rPr>
        <w:t>relatou</w:t>
      </w:r>
      <w:r w:rsidR="00470ADC" w:rsidRPr="00D5464D">
        <w:rPr>
          <w:rFonts w:cs="Arial"/>
          <w:iCs/>
          <w:szCs w:val="20"/>
          <w:lang w:val="pt-BR"/>
        </w:rPr>
        <w:t xml:space="preserve"> à </w:t>
      </w:r>
      <w:r w:rsidR="00C91CB1" w:rsidRPr="00D5464D">
        <w:rPr>
          <w:rFonts w:cs="Arial"/>
          <w:iCs/>
          <w:szCs w:val="20"/>
          <w:lang w:val="pt-BR"/>
        </w:rPr>
        <w:t xml:space="preserve">Polícia </w:t>
      </w:r>
      <w:r w:rsidR="0003391C" w:rsidRPr="00D5464D">
        <w:rPr>
          <w:rFonts w:cs="Arial"/>
          <w:iCs/>
          <w:szCs w:val="20"/>
          <w:lang w:val="pt-BR"/>
        </w:rPr>
        <w:t xml:space="preserve">Federal que Luiz </w:t>
      </w:r>
      <w:r w:rsidR="002C330E" w:rsidRPr="00D5464D">
        <w:rPr>
          <w:rFonts w:cs="Arial"/>
          <w:iCs/>
          <w:szCs w:val="20"/>
          <w:lang w:val="pt-BR"/>
        </w:rPr>
        <w:t>teria</w:t>
      </w:r>
      <w:r w:rsidR="0003391C" w:rsidRPr="00D5464D">
        <w:rPr>
          <w:rFonts w:cs="Arial"/>
          <w:iCs/>
          <w:szCs w:val="20"/>
          <w:lang w:val="pt-BR"/>
        </w:rPr>
        <w:t xml:space="preserve"> </w:t>
      </w:r>
      <w:r w:rsidRPr="00D5464D">
        <w:rPr>
          <w:rFonts w:cs="Arial"/>
          <w:iCs/>
          <w:szCs w:val="20"/>
          <w:lang w:val="pt-BR"/>
        </w:rPr>
        <w:t>morrido</w:t>
      </w:r>
      <w:r w:rsidR="00FF5FD4" w:rsidRPr="00D5464D">
        <w:rPr>
          <w:rFonts w:cs="Arial"/>
          <w:iCs/>
          <w:szCs w:val="20"/>
          <w:lang w:val="pt-BR"/>
        </w:rPr>
        <w:t xml:space="preserve"> em</w:t>
      </w:r>
      <w:r w:rsidRPr="00D5464D">
        <w:rPr>
          <w:rFonts w:cs="Arial"/>
          <w:iCs/>
          <w:szCs w:val="20"/>
          <w:lang w:val="pt-BR"/>
        </w:rPr>
        <w:t xml:space="preserve"> </w:t>
      </w:r>
      <w:r w:rsidR="0003391C" w:rsidRPr="00D5464D">
        <w:rPr>
          <w:rFonts w:cs="Arial"/>
          <w:iCs/>
          <w:szCs w:val="20"/>
          <w:lang w:val="pt-BR"/>
        </w:rPr>
        <w:t>“</w:t>
      </w:r>
      <w:r w:rsidR="009559B1" w:rsidRPr="00D5464D">
        <w:rPr>
          <w:rFonts w:cs="Arial"/>
          <w:iCs/>
          <w:szCs w:val="20"/>
          <w:lang w:val="pt-BR"/>
        </w:rPr>
        <w:t>confronto com a Polícia [...] há cerca de 10 anos</w:t>
      </w:r>
      <w:r w:rsidR="0003391C" w:rsidRPr="00D5464D">
        <w:rPr>
          <w:rFonts w:cs="Arial"/>
          <w:iCs/>
          <w:szCs w:val="20"/>
          <w:lang w:val="pt-BR"/>
        </w:rPr>
        <w:t>”</w:t>
      </w:r>
      <w:r w:rsidRPr="00D5464D">
        <w:rPr>
          <w:rFonts w:cs="Arial"/>
          <w:iCs/>
          <w:szCs w:val="20"/>
          <w:lang w:val="pt-BR"/>
        </w:rPr>
        <w:t>.</w:t>
      </w:r>
      <w:r w:rsidR="0003391C" w:rsidRPr="00D5464D">
        <w:rPr>
          <w:rStyle w:val="Refdenotaalpie"/>
          <w:rFonts w:cs="Arial"/>
          <w:iCs/>
          <w:lang w:val="pt-BR"/>
        </w:rPr>
        <w:footnoteReference w:id="212"/>
      </w:r>
      <w:r w:rsidR="0003391C" w:rsidRPr="00D5464D">
        <w:rPr>
          <w:rFonts w:cs="Arial"/>
          <w:iCs/>
          <w:szCs w:val="20"/>
          <w:lang w:val="pt-BR"/>
        </w:rPr>
        <w:t xml:space="preserve"> </w:t>
      </w:r>
      <w:r w:rsidR="00737270" w:rsidRPr="00D5464D">
        <w:rPr>
          <w:rFonts w:cs="Arial"/>
          <w:iCs/>
          <w:szCs w:val="20"/>
          <w:lang w:val="pt-BR"/>
        </w:rPr>
        <w:t>Por sua vez</w:t>
      </w:r>
      <w:r w:rsidR="0003391C" w:rsidRPr="00D5464D">
        <w:rPr>
          <w:rFonts w:cs="Arial"/>
          <w:iCs/>
          <w:szCs w:val="20"/>
          <w:lang w:val="pt-BR"/>
        </w:rPr>
        <w:t>,</w:t>
      </w:r>
      <w:r w:rsidR="002C330E" w:rsidRPr="00D5464D">
        <w:rPr>
          <w:rFonts w:cs="Arial"/>
          <w:iCs/>
          <w:szCs w:val="20"/>
          <w:lang w:val="pt-BR"/>
        </w:rPr>
        <w:t xml:space="preserve"> a irmã</w:t>
      </w:r>
      <w:r w:rsidR="0003391C" w:rsidRPr="00D5464D">
        <w:rPr>
          <w:rFonts w:cs="Arial"/>
          <w:iCs/>
          <w:szCs w:val="20"/>
          <w:lang w:val="pt-BR"/>
        </w:rPr>
        <w:t xml:space="preserve"> de </w:t>
      </w:r>
      <w:r w:rsidRPr="00D5464D">
        <w:rPr>
          <w:rFonts w:cs="Arial"/>
          <w:iCs/>
          <w:szCs w:val="20"/>
          <w:lang w:val="pt-BR"/>
        </w:rPr>
        <w:t xml:space="preserve">criação </w:t>
      </w:r>
      <w:r w:rsidR="0003391C" w:rsidRPr="00D5464D">
        <w:rPr>
          <w:rFonts w:cs="Arial"/>
          <w:iCs/>
          <w:szCs w:val="20"/>
          <w:lang w:val="pt-BR"/>
        </w:rPr>
        <w:t xml:space="preserve">de </w:t>
      </w:r>
      <w:r w:rsidR="00200C04" w:rsidRPr="00D5464D">
        <w:rPr>
          <w:rFonts w:cs="Arial"/>
          <w:iCs/>
          <w:szCs w:val="20"/>
          <w:lang w:val="pt-BR"/>
        </w:rPr>
        <w:t>Luis Ferreira da Cruz</w:t>
      </w:r>
      <w:r w:rsidR="0003391C" w:rsidRPr="00D5464D">
        <w:rPr>
          <w:rFonts w:cs="Arial"/>
          <w:iCs/>
          <w:szCs w:val="20"/>
          <w:lang w:val="pt-BR"/>
        </w:rPr>
        <w:t xml:space="preserve"> </w:t>
      </w:r>
      <w:r w:rsidR="00E045D9" w:rsidRPr="00D5464D">
        <w:rPr>
          <w:rFonts w:cs="Arial"/>
          <w:iCs/>
          <w:szCs w:val="20"/>
          <w:lang w:val="pt-BR"/>
        </w:rPr>
        <w:t>também</w:t>
      </w:r>
      <w:r w:rsidR="0003391C" w:rsidRPr="00D5464D">
        <w:rPr>
          <w:rFonts w:cs="Arial"/>
          <w:iCs/>
          <w:szCs w:val="20"/>
          <w:lang w:val="pt-BR"/>
        </w:rPr>
        <w:t xml:space="preserve"> </w:t>
      </w:r>
      <w:r w:rsidR="002C330E" w:rsidRPr="00D5464D">
        <w:rPr>
          <w:rFonts w:cs="Arial"/>
          <w:iCs/>
          <w:szCs w:val="20"/>
          <w:lang w:val="pt-BR"/>
        </w:rPr>
        <w:t>informou</w:t>
      </w:r>
      <w:r w:rsidR="0003391C" w:rsidRPr="00D5464D">
        <w:rPr>
          <w:rFonts w:cs="Arial"/>
          <w:iCs/>
          <w:szCs w:val="20"/>
          <w:lang w:val="pt-BR"/>
        </w:rPr>
        <w:t xml:space="preserve"> que </w:t>
      </w:r>
      <w:r w:rsidR="00F06BB5" w:rsidRPr="00D5464D">
        <w:rPr>
          <w:rFonts w:cs="Arial"/>
          <w:iCs/>
          <w:szCs w:val="20"/>
          <w:lang w:val="pt-BR"/>
        </w:rPr>
        <w:t xml:space="preserve">ele </w:t>
      </w:r>
      <w:r w:rsidR="002C330E" w:rsidRPr="00D5464D">
        <w:rPr>
          <w:rFonts w:cs="Arial"/>
          <w:iCs/>
          <w:szCs w:val="20"/>
          <w:lang w:val="pt-BR"/>
        </w:rPr>
        <w:t>teria</w:t>
      </w:r>
      <w:r w:rsidR="0003391C" w:rsidRPr="00D5464D">
        <w:rPr>
          <w:rFonts w:cs="Arial"/>
          <w:iCs/>
          <w:szCs w:val="20"/>
          <w:lang w:val="pt-BR"/>
        </w:rPr>
        <w:t xml:space="preserve"> </w:t>
      </w:r>
      <w:r w:rsidRPr="00D5464D">
        <w:rPr>
          <w:rFonts w:cs="Arial"/>
          <w:iCs/>
          <w:szCs w:val="20"/>
          <w:lang w:val="pt-BR"/>
        </w:rPr>
        <w:t xml:space="preserve">morrido </w:t>
      </w:r>
      <w:r w:rsidR="00470ADC" w:rsidRPr="00D5464D">
        <w:rPr>
          <w:rFonts w:cs="Arial"/>
          <w:iCs/>
          <w:szCs w:val="20"/>
          <w:lang w:val="pt-BR"/>
        </w:rPr>
        <w:t>dez anos</w:t>
      </w:r>
      <w:r w:rsidRPr="00D5464D">
        <w:rPr>
          <w:rFonts w:cs="Arial"/>
          <w:iCs/>
          <w:szCs w:val="20"/>
          <w:lang w:val="pt-BR"/>
        </w:rPr>
        <w:t xml:space="preserve"> antes</w:t>
      </w:r>
      <w:r w:rsidR="00470ADC" w:rsidRPr="00D5464D">
        <w:rPr>
          <w:rFonts w:cs="Arial"/>
          <w:iCs/>
          <w:szCs w:val="20"/>
          <w:lang w:val="pt-BR"/>
        </w:rPr>
        <w:t>, e</w:t>
      </w:r>
      <w:r w:rsidR="0003391C" w:rsidRPr="00D5464D">
        <w:rPr>
          <w:rFonts w:cs="Arial"/>
          <w:iCs/>
          <w:szCs w:val="20"/>
          <w:lang w:val="pt-BR"/>
        </w:rPr>
        <w:t xml:space="preserve"> </w:t>
      </w:r>
      <w:r w:rsidR="009559B1" w:rsidRPr="00D5464D">
        <w:rPr>
          <w:rFonts w:cs="Arial"/>
          <w:iCs/>
          <w:szCs w:val="20"/>
          <w:lang w:val="pt-BR"/>
        </w:rPr>
        <w:t xml:space="preserve">como </w:t>
      </w:r>
      <w:r w:rsidR="0003391C" w:rsidRPr="00D5464D">
        <w:rPr>
          <w:rFonts w:cs="Arial"/>
          <w:iCs/>
          <w:szCs w:val="20"/>
          <w:lang w:val="pt-BR"/>
        </w:rPr>
        <w:t>“</w:t>
      </w:r>
      <w:r w:rsidR="009559B1" w:rsidRPr="00D5464D">
        <w:rPr>
          <w:rFonts w:cs="Arial"/>
          <w:iCs/>
          <w:szCs w:val="20"/>
          <w:lang w:val="pt-BR"/>
        </w:rPr>
        <w:t>não tinha documentos pessoais no momento que foi assassinado, [...] foi sepultado como indigente</w:t>
      </w:r>
      <w:r w:rsidR="0003391C" w:rsidRPr="00D5464D">
        <w:rPr>
          <w:rFonts w:cs="Arial"/>
          <w:iCs/>
          <w:szCs w:val="20"/>
          <w:lang w:val="pt-BR"/>
        </w:rPr>
        <w:t>”</w:t>
      </w:r>
      <w:r w:rsidRPr="00D5464D">
        <w:rPr>
          <w:rFonts w:cs="Arial"/>
          <w:iCs/>
          <w:szCs w:val="20"/>
          <w:lang w:val="pt-BR"/>
        </w:rPr>
        <w:t>.</w:t>
      </w:r>
      <w:r w:rsidR="0003391C" w:rsidRPr="00D5464D">
        <w:rPr>
          <w:rStyle w:val="Refdenotaalpie"/>
          <w:rFonts w:cs="Arial"/>
          <w:iCs/>
          <w:lang w:val="pt-BR"/>
        </w:rPr>
        <w:footnoteReference w:id="213"/>
      </w:r>
      <w:r w:rsidR="0003391C" w:rsidRPr="00D5464D">
        <w:rPr>
          <w:rFonts w:cs="Arial"/>
          <w:iCs/>
          <w:szCs w:val="20"/>
          <w:lang w:val="pt-BR"/>
        </w:rPr>
        <w:t xml:space="preserve"> </w:t>
      </w:r>
    </w:p>
    <w:p w14:paraId="15374F28" w14:textId="77777777" w:rsidR="004F1E86" w:rsidRPr="00D5464D" w:rsidRDefault="004F1E86" w:rsidP="00140440">
      <w:pPr>
        <w:pStyle w:val="Prrafodelista"/>
        <w:autoSpaceDE w:val="0"/>
        <w:autoSpaceDN w:val="0"/>
        <w:adjustRightInd w:val="0"/>
        <w:ind w:left="0"/>
        <w:contextualSpacing w:val="0"/>
        <w:rPr>
          <w:rFonts w:cs="Arial"/>
          <w:iCs/>
          <w:szCs w:val="20"/>
          <w:lang w:val="pt-BR"/>
        </w:rPr>
      </w:pPr>
    </w:p>
    <w:p w14:paraId="05E46ED4" w14:textId="77777777" w:rsidR="004F1E86" w:rsidRPr="00D5464D" w:rsidRDefault="004F1E86" w:rsidP="0039404C">
      <w:pPr>
        <w:keepNext/>
        <w:keepLines/>
        <w:tabs>
          <w:tab w:val="clear" w:pos="4419"/>
          <w:tab w:val="clear" w:pos="8838"/>
        </w:tabs>
        <w:jc w:val="center"/>
        <w:outlineLvl w:val="0"/>
        <w:rPr>
          <w:rFonts w:eastAsia="Times New Roman" w:cs="Verdana"/>
          <w:b/>
          <w:bCs/>
          <w:caps/>
          <w:snapToGrid w:val="0"/>
          <w:szCs w:val="20"/>
          <w:lang w:val="pt-BR" w:eastAsia="es-ES"/>
        </w:rPr>
      </w:pPr>
      <w:bookmarkStart w:id="353" w:name="_Toc460432491"/>
      <w:bookmarkStart w:id="354" w:name="_Toc468433906"/>
      <w:r w:rsidRPr="00D5464D">
        <w:rPr>
          <w:rFonts w:eastAsia="Times New Roman" w:cs="Verdana"/>
          <w:b/>
          <w:bCs/>
          <w:caps/>
          <w:snapToGrid w:val="0"/>
          <w:szCs w:val="20"/>
          <w:lang w:val="pt-BR" w:eastAsia="es-ES"/>
        </w:rPr>
        <w:t>VII</w:t>
      </w:r>
      <w:bookmarkEnd w:id="353"/>
      <w:bookmarkEnd w:id="354"/>
    </w:p>
    <w:p w14:paraId="277C5E75" w14:textId="1D44E486" w:rsidR="004F1E86" w:rsidRPr="00D5464D" w:rsidRDefault="00964D0C" w:rsidP="0039404C">
      <w:pPr>
        <w:keepNext/>
        <w:keepLines/>
        <w:tabs>
          <w:tab w:val="clear" w:pos="4419"/>
          <w:tab w:val="clear" w:pos="8838"/>
        </w:tabs>
        <w:jc w:val="center"/>
        <w:outlineLvl w:val="0"/>
        <w:rPr>
          <w:rFonts w:eastAsia="Times New Roman" w:cs="Verdana"/>
          <w:b/>
          <w:bCs/>
          <w:caps/>
          <w:snapToGrid w:val="0"/>
          <w:szCs w:val="20"/>
          <w:lang w:val="pt-BR" w:eastAsia="es-ES"/>
        </w:rPr>
      </w:pPr>
      <w:bookmarkStart w:id="355" w:name="_Toc468433907"/>
      <w:r w:rsidRPr="00D5464D">
        <w:rPr>
          <w:rFonts w:eastAsia="Times New Roman" w:cs="Verdana"/>
          <w:b/>
          <w:bCs/>
          <w:caps/>
          <w:snapToGrid w:val="0"/>
          <w:szCs w:val="20"/>
          <w:lang w:val="pt-BR" w:eastAsia="es-ES"/>
        </w:rPr>
        <w:t>DETERMINA</w:t>
      </w:r>
      <w:r w:rsidR="00470ADC" w:rsidRPr="00D5464D">
        <w:rPr>
          <w:rFonts w:eastAsia="Times New Roman" w:cs="Verdana"/>
          <w:b/>
          <w:bCs/>
          <w:caps/>
          <w:snapToGrid w:val="0"/>
          <w:szCs w:val="20"/>
          <w:lang w:val="pt-BR" w:eastAsia="es-ES"/>
        </w:rPr>
        <w:t>ÇÃO</w:t>
      </w:r>
      <w:r w:rsidRPr="00D5464D">
        <w:rPr>
          <w:rFonts w:eastAsia="Times New Roman" w:cs="Verdana"/>
          <w:b/>
          <w:bCs/>
          <w:caps/>
          <w:snapToGrid w:val="0"/>
          <w:szCs w:val="20"/>
          <w:lang w:val="pt-BR" w:eastAsia="es-ES"/>
        </w:rPr>
        <w:t xml:space="preserve"> </w:t>
      </w:r>
      <w:r w:rsidR="00D233B3" w:rsidRPr="00D5464D">
        <w:rPr>
          <w:rFonts w:eastAsia="Times New Roman" w:cs="Verdana"/>
          <w:b/>
          <w:bCs/>
          <w:caps/>
          <w:snapToGrid w:val="0"/>
          <w:szCs w:val="20"/>
          <w:lang w:val="pt-BR" w:eastAsia="es-ES"/>
        </w:rPr>
        <w:t>D</w:t>
      </w:r>
      <w:r w:rsidR="002C330E" w:rsidRPr="00D5464D">
        <w:rPr>
          <w:rFonts w:eastAsia="Times New Roman" w:cs="Verdana"/>
          <w:b/>
          <w:bCs/>
          <w:caps/>
          <w:snapToGrid w:val="0"/>
          <w:szCs w:val="20"/>
          <w:lang w:val="pt-BR" w:eastAsia="es-ES"/>
        </w:rPr>
        <w:t>as SUPOSTA</w:t>
      </w:r>
      <w:r w:rsidRPr="00D5464D">
        <w:rPr>
          <w:rFonts w:eastAsia="Times New Roman" w:cs="Verdana"/>
          <w:b/>
          <w:bCs/>
          <w:caps/>
          <w:snapToGrid w:val="0"/>
          <w:szCs w:val="20"/>
          <w:lang w:val="pt-BR" w:eastAsia="es-ES"/>
        </w:rPr>
        <w:t xml:space="preserve">S </w:t>
      </w:r>
      <w:r w:rsidR="00E045D9" w:rsidRPr="00D5464D">
        <w:rPr>
          <w:rFonts w:eastAsia="Times New Roman" w:cs="Verdana"/>
          <w:b/>
          <w:bCs/>
          <w:caps/>
          <w:snapToGrid w:val="0"/>
          <w:szCs w:val="20"/>
          <w:lang w:val="pt-BR" w:eastAsia="es-ES"/>
        </w:rPr>
        <w:t>VÍTIMA</w:t>
      </w:r>
      <w:r w:rsidRPr="00D5464D">
        <w:rPr>
          <w:rFonts w:eastAsia="Times New Roman" w:cs="Verdana"/>
          <w:b/>
          <w:bCs/>
          <w:caps/>
          <w:snapToGrid w:val="0"/>
          <w:szCs w:val="20"/>
          <w:lang w:val="pt-BR" w:eastAsia="es-ES"/>
        </w:rPr>
        <w:t>S</w:t>
      </w:r>
      <w:bookmarkEnd w:id="355"/>
    </w:p>
    <w:p w14:paraId="6940851E" w14:textId="77777777" w:rsidR="004F1E86" w:rsidRPr="00D5464D" w:rsidRDefault="004F1E86" w:rsidP="004F1E86">
      <w:pPr>
        <w:pStyle w:val="Prrafodelista"/>
        <w:ind w:left="0"/>
        <w:rPr>
          <w:rFonts w:cs="Arial"/>
          <w:iCs/>
          <w:szCs w:val="20"/>
          <w:lang w:val="pt-BR"/>
        </w:rPr>
      </w:pPr>
    </w:p>
    <w:p w14:paraId="6B3FCF33" w14:textId="31969362" w:rsidR="002246F9" w:rsidRPr="00D5464D" w:rsidRDefault="00470ADC" w:rsidP="002246F9">
      <w:pPr>
        <w:pStyle w:val="Prrafodelista"/>
        <w:numPr>
          <w:ilvl w:val="0"/>
          <w:numId w:val="1"/>
        </w:numPr>
        <w:autoSpaceDE w:val="0"/>
        <w:autoSpaceDN w:val="0"/>
        <w:adjustRightInd w:val="0"/>
        <w:contextualSpacing w:val="0"/>
        <w:rPr>
          <w:rFonts w:cs="Arial"/>
          <w:szCs w:val="20"/>
          <w:lang w:val="pt-BR"/>
        </w:rPr>
      </w:pPr>
      <w:r w:rsidRPr="00D5464D">
        <w:rPr>
          <w:rFonts w:cs="Arial"/>
          <w:iCs/>
          <w:szCs w:val="20"/>
          <w:lang w:val="pt-BR"/>
        </w:rPr>
        <w:t>Neste</w:t>
      </w:r>
      <w:r w:rsidR="004F1E86" w:rsidRPr="00D5464D">
        <w:rPr>
          <w:rFonts w:cs="Arial"/>
          <w:iCs/>
          <w:szCs w:val="20"/>
          <w:lang w:val="pt-BR"/>
        </w:rPr>
        <w:t xml:space="preserve"> capítulo</w:t>
      </w:r>
      <w:r w:rsidR="002C330E" w:rsidRPr="00D5464D">
        <w:rPr>
          <w:rFonts w:cs="Arial"/>
          <w:iCs/>
          <w:szCs w:val="20"/>
          <w:lang w:val="pt-BR"/>
        </w:rPr>
        <w:t xml:space="preserve"> a </w:t>
      </w:r>
      <w:r w:rsidR="004F1E86" w:rsidRPr="00D5464D">
        <w:rPr>
          <w:rFonts w:cs="Arial"/>
          <w:iCs/>
          <w:szCs w:val="20"/>
          <w:lang w:val="pt-BR"/>
        </w:rPr>
        <w:t>Corte</w:t>
      </w:r>
      <w:r w:rsidR="002C330E" w:rsidRPr="00D5464D">
        <w:rPr>
          <w:rFonts w:cs="Arial"/>
          <w:iCs/>
          <w:szCs w:val="20"/>
          <w:lang w:val="pt-BR"/>
        </w:rPr>
        <w:t xml:space="preserve"> fará</w:t>
      </w:r>
      <w:r w:rsidR="00E045D9" w:rsidRPr="00D5464D">
        <w:rPr>
          <w:rFonts w:cs="Arial"/>
          <w:iCs/>
          <w:szCs w:val="20"/>
          <w:lang w:val="pt-BR"/>
        </w:rPr>
        <w:t xml:space="preserve"> uma </w:t>
      </w:r>
      <w:r w:rsidR="004F1E86" w:rsidRPr="00D5464D">
        <w:rPr>
          <w:rFonts w:cs="Arial"/>
          <w:iCs/>
          <w:szCs w:val="20"/>
          <w:lang w:val="pt-BR"/>
        </w:rPr>
        <w:t>considera</w:t>
      </w:r>
      <w:r w:rsidRPr="00D5464D">
        <w:rPr>
          <w:rFonts w:cs="Arial"/>
          <w:iCs/>
          <w:szCs w:val="20"/>
          <w:lang w:val="pt-BR"/>
        </w:rPr>
        <w:t>ção</w:t>
      </w:r>
      <w:r w:rsidR="004F1E86" w:rsidRPr="00D5464D">
        <w:rPr>
          <w:rFonts w:cs="Arial"/>
          <w:iCs/>
          <w:szCs w:val="20"/>
          <w:lang w:val="pt-BR"/>
        </w:rPr>
        <w:t xml:space="preserve"> pr</w:t>
      </w:r>
      <w:r w:rsidR="007C5F1E" w:rsidRPr="00D5464D">
        <w:rPr>
          <w:rFonts w:cs="Arial"/>
          <w:iCs/>
          <w:szCs w:val="20"/>
          <w:lang w:val="pt-BR"/>
        </w:rPr>
        <w:t>é</w:t>
      </w:r>
      <w:r w:rsidR="004F1E86" w:rsidRPr="00D5464D">
        <w:rPr>
          <w:rFonts w:cs="Arial"/>
          <w:iCs/>
          <w:szCs w:val="20"/>
          <w:lang w:val="pt-BR"/>
        </w:rPr>
        <w:t>via sobre</w:t>
      </w:r>
      <w:r w:rsidR="002C330E" w:rsidRPr="00D5464D">
        <w:rPr>
          <w:rFonts w:cs="Arial"/>
          <w:iCs/>
          <w:szCs w:val="20"/>
          <w:lang w:val="pt-BR"/>
        </w:rPr>
        <w:t xml:space="preserve"> as pessoa</w:t>
      </w:r>
      <w:r w:rsidR="004F1E86" w:rsidRPr="00D5464D">
        <w:rPr>
          <w:rFonts w:cs="Arial"/>
          <w:iCs/>
          <w:szCs w:val="20"/>
          <w:lang w:val="pt-BR"/>
        </w:rPr>
        <w:t xml:space="preserve">s </w:t>
      </w:r>
      <w:r w:rsidR="002C330E" w:rsidRPr="00D5464D">
        <w:rPr>
          <w:rFonts w:cs="Arial"/>
          <w:iCs/>
          <w:szCs w:val="20"/>
          <w:lang w:val="pt-BR"/>
        </w:rPr>
        <w:t xml:space="preserve">que </w:t>
      </w:r>
      <w:r w:rsidR="007C5F1E" w:rsidRPr="00D5464D">
        <w:rPr>
          <w:rFonts w:cs="Arial"/>
          <w:iCs/>
          <w:szCs w:val="20"/>
          <w:lang w:val="pt-BR"/>
        </w:rPr>
        <w:t xml:space="preserve">considerará </w:t>
      </w:r>
      <w:r w:rsidR="004F1E86" w:rsidRPr="00D5464D">
        <w:rPr>
          <w:rFonts w:cs="Arial"/>
          <w:iCs/>
          <w:szCs w:val="20"/>
          <w:lang w:val="pt-BR"/>
        </w:rPr>
        <w:t xml:space="preserve">como </w:t>
      </w:r>
      <w:r w:rsidR="002C330E" w:rsidRPr="00D5464D">
        <w:rPr>
          <w:rFonts w:cs="Arial"/>
          <w:iCs/>
          <w:szCs w:val="20"/>
          <w:lang w:val="pt-BR"/>
        </w:rPr>
        <w:t>suposta</w:t>
      </w:r>
      <w:r w:rsidR="004F1E86" w:rsidRPr="00D5464D">
        <w:rPr>
          <w:rFonts w:cs="Arial"/>
          <w:iCs/>
          <w:szCs w:val="20"/>
          <w:lang w:val="pt-BR"/>
        </w:rPr>
        <w:t xml:space="preserve">s </w:t>
      </w:r>
      <w:r w:rsidR="00E045D9" w:rsidRPr="00D5464D">
        <w:rPr>
          <w:rFonts w:cs="Arial"/>
          <w:iCs/>
          <w:szCs w:val="20"/>
          <w:lang w:val="pt-BR"/>
        </w:rPr>
        <w:t>vítima</w:t>
      </w:r>
      <w:r w:rsidR="004F1E86" w:rsidRPr="00D5464D">
        <w:rPr>
          <w:rFonts w:cs="Arial"/>
          <w:iCs/>
          <w:szCs w:val="20"/>
          <w:lang w:val="pt-BR"/>
        </w:rPr>
        <w:t>s</w:t>
      </w:r>
      <w:r w:rsidR="00E045D9" w:rsidRPr="00D5464D">
        <w:rPr>
          <w:rFonts w:cs="Arial"/>
          <w:iCs/>
          <w:szCs w:val="20"/>
          <w:lang w:val="pt-BR"/>
        </w:rPr>
        <w:t xml:space="preserve"> no </w:t>
      </w:r>
      <w:r w:rsidR="004F1E86" w:rsidRPr="00D5464D">
        <w:rPr>
          <w:rFonts w:cs="Arial"/>
          <w:iCs/>
          <w:szCs w:val="20"/>
          <w:lang w:val="pt-BR"/>
        </w:rPr>
        <w:t xml:space="preserve">presente caso, </w:t>
      </w:r>
      <w:r w:rsidR="00350187" w:rsidRPr="00D5464D">
        <w:rPr>
          <w:rFonts w:cs="Arial"/>
          <w:iCs/>
          <w:szCs w:val="20"/>
          <w:lang w:val="pt-BR"/>
        </w:rPr>
        <w:t>detalh</w:t>
      </w:r>
      <w:r w:rsidR="004F1E86" w:rsidRPr="00D5464D">
        <w:rPr>
          <w:rFonts w:cs="Arial"/>
          <w:iCs/>
          <w:szCs w:val="20"/>
          <w:lang w:val="pt-BR"/>
        </w:rPr>
        <w:t>ando</w:t>
      </w:r>
      <w:r w:rsidR="002C330E" w:rsidRPr="00D5464D">
        <w:rPr>
          <w:rFonts w:cs="Arial"/>
          <w:iCs/>
          <w:szCs w:val="20"/>
          <w:lang w:val="pt-BR"/>
        </w:rPr>
        <w:t xml:space="preserve"> a prova</w:t>
      </w:r>
      <w:r w:rsidR="00E045D9" w:rsidRPr="00D5464D">
        <w:rPr>
          <w:rFonts w:cs="Arial"/>
          <w:iCs/>
          <w:szCs w:val="20"/>
          <w:lang w:val="pt-BR"/>
        </w:rPr>
        <w:t xml:space="preserve"> e </w:t>
      </w:r>
      <w:r w:rsidR="002C330E" w:rsidRPr="00D5464D">
        <w:rPr>
          <w:rFonts w:cs="Arial"/>
          <w:iCs/>
          <w:szCs w:val="20"/>
          <w:lang w:val="pt-BR"/>
        </w:rPr>
        <w:t>as razões</w:t>
      </w:r>
      <w:r w:rsidR="004F1E86" w:rsidRPr="00D5464D">
        <w:rPr>
          <w:rFonts w:cs="Arial"/>
          <w:iCs/>
          <w:szCs w:val="20"/>
          <w:lang w:val="pt-BR"/>
        </w:rPr>
        <w:t xml:space="preserve"> para </w:t>
      </w:r>
      <w:r w:rsidRPr="00D5464D">
        <w:rPr>
          <w:rFonts w:cs="Arial"/>
          <w:iCs/>
          <w:szCs w:val="20"/>
          <w:lang w:val="pt-BR"/>
        </w:rPr>
        <w:t>qualific</w:t>
      </w:r>
      <w:r w:rsidR="00A1358C" w:rsidRPr="00D5464D">
        <w:rPr>
          <w:rFonts w:cs="Arial"/>
          <w:iCs/>
          <w:szCs w:val="20"/>
          <w:lang w:val="pt-BR"/>
        </w:rPr>
        <w:t xml:space="preserve">á-las </w:t>
      </w:r>
      <w:r w:rsidR="004F1E86" w:rsidRPr="00D5464D">
        <w:rPr>
          <w:rFonts w:cs="Arial"/>
          <w:iCs/>
          <w:szCs w:val="20"/>
          <w:lang w:val="pt-BR"/>
        </w:rPr>
        <w:t xml:space="preserve">como </w:t>
      </w:r>
      <w:r w:rsidR="00E045D9" w:rsidRPr="00D5464D">
        <w:rPr>
          <w:rFonts w:cs="Arial"/>
          <w:iCs/>
          <w:szCs w:val="20"/>
          <w:lang w:val="pt-BR"/>
        </w:rPr>
        <w:t>tais</w:t>
      </w:r>
      <w:r w:rsidR="00C91CB1" w:rsidRPr="00D5464D">
        <w:rPr>
          <w:rFonts w:cs="Arial"/>
          <w:iCs/>
          <w:szCs w:val="20"/>
          <w:lang w:val="pt-BR"/>
        </w:rPr>
        <w:t xml:space="preserve">. Sem </w:t>
      </w:r>
      <w:r w:rsidR="002C330E" w:rsidRPr="00D5464D">
        <w:rPr>
          <w:rFonts w:cs="Arial"/>
          <w:szCs w:val="20"/>
          <w:lang w:val="pt-BR"/>
        </w:rPr>
        <w:t>prejuízo</w:t>
      </w:r>
      <w:r w:rsidRPr="00D5464D">
        <w:rPr>
          <w:rFonts w:cs="Arial"/>
          <w:szCs w:val="20"/>
          <w:lang w:val="pt-BR"/>
        </w:rPr>
        <w:t xml:space="preserve"> do </w:t>
      </w:r>
      <w:r w:rsidR="002C330E" w:rsidRPr="00D5464D">
        <w:rPr>
          <w:rFonts w:cs="Arial"/>
          <w:szCs w:val="20"/>
          <w:lang w:val="pt-BR"/>
        </w:rPr>
        <w:t>indicado</w:t>
      </w:r>
      <w:r w:rsidR="002246F9" w:rsidRPr="00D5464D">
        <w:rPr>
          <w:rFonts w:cs="Arial"/>
          <w:szCs w:val="20"/>
          <w:lang w:val="pt-BR"/>
        </w:rPr>
        <w:t xml:space="preserve"> sobre</w:t>
      </w:r>
      <w:r w:rsidR="002C330E" w:rsidRPr="00D5464D">
        <w:rPr>
          <w:rFonts w:cs="Arial"/>
          <w:szCs w:val="20"/>
          <w:lang w:val="pt-BR"/>
        </w:rPr>
        <w:t xml:space="preserve"> a </w:t>
      </w:r>
      <w:r w:rsidRPr="00D5464D">
        <w:rPr>
          <w:rFonts w:cs="Arial"/>
          <w:szCs w:val="20"/>
          <w:lang w:val="pt-BR"/>
        </w:rPr>
        <w:t>competência</w:t>
      </w:r>
      <w:r w:rsidR="002246F9" w:rsidRPr="00D5464D">
        <w:rPr>
          <w:rFonts w:cs="Arial"/>
          <w:szCs w:val="20"/>
          <w:lang w:val="pt-BR"/>
        </w:rPr>
        <w:t xml:space="preserve"> </w:t>
      </w:r>
      <w:r w:rsidR="002246F9" w:rsidRPr="00D5464D">
        <w:rPr>
          <w:rFonts w:cs="Arial"/>
          <w:i/>
          <w:szCs w:val="20"/>
          <w:lang w:val="pt-BR"/>
        </w:rPr>
        <w:t>ratione temporis</w:t>
      </w:r>
      <w:r w:rsidR="00E045D9" w:rsidRPr="00D5464D">
        <w:rPr>
          <w:rFonts w:cs="Arial"/>
          <w:szCs w:val="20"/>
          <w:lang w:val="pt-BR"/>
        </w:rPr>
        <w:t xml:space="preserve"> no </w:t>
      </w:r>
      <w:r w:rsidR="002246F9" w:rsidRPr="00D5464D">
        <w:rPr>
          <w:rFonts w:cs="Arial"/>
          <w:szCs w:val="20"/>
          <w:lang w:val="pt-BR"/>
        </w:rPr>
        <w:t>presente caso (</w:t>
      </w:r>
      <w:r w:rsidR="002C330E" w:rsidRPr="00D5464D">
        <w:rPr>
          <w:rFonts w:cs="Arial"/>
          <w:szCs w:val="20"/>
          <w:lang w:val="pt-BR"/>
        </w:rPr>
        <w:t>pars.</w:t>
      </w:r>
      <w:r w:rsidR="002246F9" w:rsidRPr="00D5464D">
        <w:rPr>
          <w:rFonts w:cs="Arial"/>
          <w:szCs w:val="20"/>
          <w:lang w:val="pt-BR"/>
        </w:rPr>
        <w:t xml:space="preserve"> </w:t>
      </w:r>
      <w:r w:rsidR="00186219" w:rsidRPr="00D5464D">
        <w:rPr>
          <w:rFonts w:cs="Arial"/>
          <w:szCs w:val="20"/>
          <w:lang w:val="pt-BR"/>
        </w:rPr>
        <w:t>63 a 65</w:t>
      </w:r>
      <w:r w:rsidR="007C5F1E" w:rsidRPr="00D5464D">
        <w:rPr>
          <w:rFonts w:cs="Arial"/>
          <w:i/>
          <w:szCs w:val="20"/>
          <w:lang w:val="pt-BR"/>
        </w:rPr>
        <w:t xml:space="preserve"> supra</w:t>
      </w:r>
      <w:r w:rsidR="002246F9" w:rsidRPr="00D5464D">
        <w:rPr>
          <w:rFonts w:cs="Arial"/>
          <w:szCs w:val="20"/>
          <w:lang w:val="pt-BR"/>
        </w:rPr>
        <w:t>),</w:t>
      </w:r>
      <w:r w:rsidR="002C330E" w:rsidRPr="00D5464D">
        <w:rPr>
          <w:rFonts w:cs="Arial"/>
          <w:szCs w:val="20"/>
          <w:lang w:val="pt-BR"/>
        </w:rPr>
        <w:t xml:space="preserve"> a </w:t>
      </w:r>
      <w:r w:rsidR="002246F9" w:rsidRPr="00D5464D">
        <w:rPr>
          <w:rFonts w:eastAsia="Batang" w:cs="Times"/>
          <w:szCs w:val="20"/>
          <w:lang w:val="pt-BR" w:eastAsia="es-ES"/>
        </w:rPr>
        <w:t>Corte se pronunciará sobre</w:t>
      </w:r>
      <w:r w:rsidR="002C330E" w:rsidRPr="00D5464D">
        <w:rPr>
          <w:rFonts w:eastAsia="Batang" w:cs="Times"/>
          <w:szCs w:val="20"/>
          <w:lang w:val="pt-BR" w:eastAsia="es-ES"/>
        </w:rPr>
        <w:t xml:space="preserve"> as </w:t>
      </w:r>
      <w:r w:rsidR="002246F9" w:rsidRPr="00D5464D">
        <w:rPr>
          <w:rFonts w:eastAsia="Batang" w:cs="Times"/>
          <w:szCs w:val="20"/>
          <w:lang w:val="pt-BR" w:eastAsia="es-ES"/>
        </w:rPr>
        <w:t>alegadas viola</w:t>
      </w:r>
      <w:r w:rsidRPr="00D5464D">
        <w:rPr>
          <w:rFonts w:eastAsia="Batang" w:cs="Times"/>
          <w:szCs w:val="20"/>
          <w:lang w:val="pt-BR" w:eastAsia="es-ES"/>
        </w:rPr>
        <w:t>ções</w:t>
      </w:r>
      <w:r w:rsidR="002246F9" w:rsidRPr="00D5464D">
        <w:rPr>
          <w:rFonts w:eastAsia="Batang" w:cs="Times"/>
          <w:szCs w:val="20"/>
          <w:lang w:val="pt-BR" w:eastAsia="es-ES"/>
        </w:rPr>
        <w:t xml:space="preserve"> que se fundamente</w:t>
      </w:r>
      <w:r w:rsidR="007C5F1E" w:rsidRPr="00D5464D">
        <w:rPr>
          <w:rFonts w:eastAsia="Batang" w:cs="Times"/>
          <w:szCs w:val="20"/>
          <w:lang w:val="pt-BR" w:eastAsia="es-ES"/>
        </w:rPr>
        <w:t xml:space="preserve">m </w:t>
      </w:r>
      <w:r w:rsidRPr="00D5464D">
        <w:rPr>
          <w:rFonts w:eastAsia="Batang" w:cs="Times"/>
          <w:szCs w:val="20"/>
          <w:lang w:val="pt-BR" w:eastAsia="es-ES"/>
        </w:rPr>
        <w:t xml:space="preserve">em </w:t>
      </w:r>
      <w:r w:rsidR="002C330E" w:rsidRPr="00D5464D">
        <w:rPr>
          <w:rFonts w:eastAsia="Batang" w:cs="Times"/>
          <w:szCs w:val="20"/>
          <w:lang w:val="pt-BR" w:eastAsia="es-ES"/>
        </w:rPr>
        <w:t>fatos</w:t>
      </w:r>
      <w:r w:rsidR="002246F9" w:rsidRPr="00D5464D">
        <w:rPr>
          <w:rFonts w:eastAsia="Batang" w:cs="Times"/>
          <w:szCs w:val="20"/>
          <w:lang w:val="pt-BR" w:eastAsia="es-ES"/>
        </w:rPr>
        <w:t xml:space="preserve"> que </w:t>
      </w:r>
      <w:r w:rsidR="002C330E" w:rsidRPr="00D5464D">
        <w:rPr>
          <w:rFonts w:eastAsia="Batang" w:cs="Times"/>
          <w:szCs w:val="20"/>
          <w:lang w:val="pt-BR" w:eastAsia="es-ES"/>
        </w:rPr>
        <w:t>ocorreram</w:t>
      </w:r>
      <w:r w:rsidR="002246F9" w:rsidRPr="00D5464D">
        <w:rPr>
          <w:rFonts w:eastAsia="Batang" w:cs="Times"/>
          <w:szCs w:val="20"/>
          <w:lang w:val="pt-BR" w:eastAsia="es-ES"/>
        </w:rPr>
        <w:t xml:space="preserve"> o</w:t>
      </w:r>
      <w:r w:rsidR="007C5F1E" w:rsidRPr="00D5464D">
        <w:rPr>
          <w:rFonts w:eastAsia="Batang" w:cs="Times"/>
          <w:szCs w:val="20"/>
          <w:lang w:val="pt-BR" w:eastAsia="es-ES"/>
        </w:rPr>
        <w:t>u</w:t>
      </w:r>
      <w:r w:rsidR="002246F9" w:rsidRPr="00D5464D">
        <w:rPr>
          <w:rFonts w:eastAsia="Batang" w:cs="Times"/>
          <w:szCs w:val="20"/>
          <w:lang w:val="pt-BR" w:eastAsia="es-ES"/>
        </w:rPr>
        <w:t xml:space="preserve"> </w:t>
      </w:r>
      <w:r w:rsidR="002C330E" w:rsidRPr="00D5464D">
        <w:rPr>
          <w:rFonts w:eastAsia="Batang" w:cs="Times"/>
          <w:szCs w:val="20"/>
          <w:lang w:val="pt-BR" w:eastAsia="es-ES"/>
        </w:rPr>
        <w:t>persistiram</w:t>
      </w:r>
      <w:r w:rsidR="002246F9" w:rsidRPr="00D5464D">
        <w:rPr>
          <w:rFonts w:eastAsia="Batang" w:cs="Times"/>
          <w:szCs w:val="20"/>
          <w:lang w:val="pt-BR" w:eastAsia="es-ES"/>
        </w:rPr>
        <w:t xml:space="preserve"> </w:t>
      </w:r>
      <w:r w:rsidR="00447966" w:rsidRPr="00D5464D">
        <w:rPr>
          <w:rFonts w:eastAsia="Batang" w:cs="Times"/>
          <w:szCs w:val="20"/>
          <w:lang w:val="pt-BR" w:eastAsia="es-ES"/>
        </w:rPr>
        <w:t>após</w:t>
      </w:r>
      <w:r w:rsidR="00FF1290" w:rsidRPr="00D5464D">
        <w:rPr>
          <w:rFonts w:eastAsia="Batang" w:cs="Times"/>
          <w:szCs w:val="20"/>
          <w:lang w:val="pt-BR" w:eastAsia="es-ES"/>
        </w:rPr>
        <w:t xml:space="preserve"> </w:t>
      </w:r>
      <w:r w:rsidR="00737270" w:rsidRPr="00D5464D">
        <w:rPr>
          <w:rFonts w:eastAsia="Batang" w:cs="Times"/>
          <w:szCs w:val="20"/>
          <w:lang w:val="pt-BR" w:eastAsia="es-ES"/>
        </w:rPr>
        <w:t>1</w:t>
      </w:r>
      <w:r w:rsidR="002246F9" w:rsidRPr="00D5464D">
        <w:rPr>
          <w:rFonts w:eastAsia="Batang" w:cs="Times"/>
          <w:szCs w:val="20"/>
          <w:lang w:val="pt-BR" w:eastAsia="es-ES"/>
        </w:rPr>
        <w:t xml:space="preserve">0 de </w:t>
      </w:r>
      <w:r w:rsidRPr="00D5464D">
        <w:rPr>
          <w:rFonts w:eastAsia="Batang" w:cs="Times"/>
          <w:szCs w:val="20"/>
          <w:lang w:val="pt-BR" w:eastAsia="es-ES"/>
        </w:rPr>
        <w:t>dezembro</w:t>
      </w:r>
      <w:r w:rsidR="002246F9" w:rsidRPr="00D5464D">
        <w:rPr>
          <w:rFonts w:eastAsia="Batang" w:cs="Times"/>
          <w:szCs w:val="20"/>
          <w:lang w:val="pt-BR" w:eastAsia="es-ES"/>
        </w:rPr>
        <w:t xml:space="preserve"> de 1998</w:t>
      </w:r>
      <w:r w:rsidR="00737270" w:rsidRPr="00D5464D">
        <w:rPr>
          <w:rFonts w:eastAsia="Batang" w:cs="Times"/>
          <w:szCs w:val="20"/>
          <w:lang w:val="pt-BR" w:eastAsia="es-ES"/>
        </w:rPr>
        <w:t xml:space="preserve">. Desta </w:t>
      </w:r>
      <w:r w:rsidR="002246F9" w:rsidRPr="00D5464D">
        <w:rPr>
          <w:rFonts w:eastAsia="Batang" w:cs="Times"/>
          <w:szCs w:val="20"/>
          <w:lang w:val="pt-BR" w:eastAsia="es-ES"/>
        </w:rPr>
        <w:t xml:space="preserve">forma, </w:t>
      </w:r>
      <w:r w:rsidR="007C5F1E" w:rsidRPr="00D5464D">
        <w:rPr>
          <w:rFonts w:eastAsia="Batang" w:cs="Times"/>
          <w:szCs w:val="20"/>
          <w:lang w:val="pt-BR" w:eastAsia="es-ES"/>
        </w:rPr>
        <w:t>além do</w:t>
      </w:r>
      <w:r w:rsidRPr="00D5464D">
        <w:rPr>
          <w:rFonts w:eastAsia="Batang" w:cs="Times"/>
          <w:szCs w:val="20"/>
          <w:lang w:val="pt-BR" w:eastAsia="es-ES"/>
        </w:rPr>
        <w:t xml:space="preserve"> </w:t>
      </w:r>
      <w:r w:rsidR="002246F9" w:rsidRPr="00D5464D">
        <w:rPr>
          <w:rFonts w:eastAsia="Batang" w:cs="Times"/>
          <w:szCs w:val="20"/>
          <w:lang w:val="pt-BR" w:eastAsia="es-ES"/>
        </w:rPr>
        <w:t>alegad</w:t>
      </w:r>
      <w:r w:rsidR="00E045D9" w:rsidRPr="00D5464D">
        <w:rPr>
          <w:rFonts w:eastAsia="Batang" w:cs="Times"/>
          <w:szCs w:val="20"/>
          <w:lang w:val="pt-BR" w:eastAsia="es-ES"/>
        </w:rPr>
        <w:t>o desaparecimento forçado</w:t>
      </w:r>
      <w:r w:rsidR="002246F9" w:rsidRPr="00D5464D">
        <w:rPr>
          <w:rFonts w:eastAsia="Batang" w:cs="Times"/>
          <w:szCs w:val="20"/>
          <w:lang w:val="pt-BR" w:eastAsia="es-ES"/>
        </w:rPr>
        <w:t xml:space="preserve"> de </w:t>
      </w:r>
      <w:r w:rsidR="00200C04" w:rsidRPr="00D5464D">
        <w:rPr>
          <w:rFonts w:eastAsia="Batang" w:cs="Times"/>
          <w:szCs w:val="20"/>
          <w:lang w:val="pt-BR" w:eastAsia="es-ES"/>
        </w:rPr>
        <w:t xml:space="preserve">Luis Ferreira </w:t>
      </w:r>
      <w:r w:rsidR="00701BB2" w:rsidRPr="00D5464D">
        <w:rPr>
          <w:rFonts w:eastAsia="Batang" w:cs="Times"/>
          <w:szCs w:val="20"/>
          <w:lang w:val="pt-BR" w:eastAsia="es-ES"/>
        </w:rPr>
        <w:t xml:space="preserve">da Cruz </w:t>
      </w:r>
      <w:r w:rsidR="002246F9" w:rsidRPr="00D5464D">
        <w:rPr>
          <w:rFonts w:eastAsia="Batang" w:cs="Times"/>
          <w:szCs w:val="20"/>
          <w:lang w:val="pt-BR" w:eastAsia="es-ES"/>
        </w:rPr>
        <w:t xml:space="preserve">e </w:t>
      </w:r>
      <w:r w:rsidR="007C5F1E" w:rsidRPr="00D5464D">
        <w:rPr>
          <w:rFonts w:eastAsia="Batang" w:cs="Times"/>
          <w:szCs w:val="20"/>
          <w:lang w:val="pt-BR" w:eastAsia="es-ES"/>
        </w:rPr>
        <w:t xml:space="preserve">de </w:t>
      </w:r>
      <w:r w:rsidR="008B075C" w:rsidRPr="00D5464D">
        <w:rPr>
          <w:rFonts w:eastAsia="Batang" w:cs="Times"/>
          <w:szCs w:val="20"/>
          <w:lang w:val="pt-BR" w:eastAsia="es-ES"/>
        </w:rPr>
        <w:t>Iron Canuto da Silva</w:t>
      </w:r>
      <w:r w:rsidR="002246F9" w:rsidRPr="00D5464D">
        <w:rPr>
          <w:rFonts w:eastAsia="Batang" w:cs="Times"/>
          <w:szCs w:val="20"/>
          <w:lang w:val="pt-BR" w:eastAsia="es-ES"/>
        </w:rPr>
        <w:t>,</w:t>
      </w:r>
      <w:r w:rsidR="00E045D9" w:rsidRPr="00D5464D">
        <w:rPr>
          <w:rFonts w:eastAsia="Batang" w:cs="Times"/>
          <w:szCs w:val="20"/>
          <w:lang w:val="pt-BR" w:eastAsia="es-ES"/>
        </w:rPr>
        <w:t xml:space="preserve"> na </w:t>
      </w:r>
      <w:r w:rsidR="002246F9" w:rsidRPr="00D5464D">
        <w:rPr>
          <w:rFonts w:eastAsia="Batang" w:cs="Times"/>
          <w:szCs w:val="20"/>
          <w:lang w:val="pt-BR" w:eastAsia="es-ES"/>
        </w:rPr>
        <w:t xml:space="preserve">presente </w:t>
      </w:r>
      <w:r w:rsidR="002C330E" w:rsidRPr="00D5464D">
        <w:rPr>
          <w:rFonts w:eastAsia="Batang" w:cs="Times"/>
          <w:szCs w:val="20"/>
          <w:lang w:val="pt-BR" w:eastAsia="es-ES"/>
        </w:rPr>
        <w:t xml:space="preserve">Sentença a </w:t>
      </w:r>
      <w:r w:rsidR="002246F9" w:rsidRPr="00D5464D">
        <w:rPr>
          <w:rFonts w:eastAsia="Batang" w:cs="Times"/>
          <w:szCs w:val="20"/>
          <w:lang w:val="pt-BR" w:eastAsia="es-ES"/>
        </w:rPr>
        <w:t xml:space="preserve">Corte </w:t>
      </w:r>
      <w:r w:rsidRPr="00D5464D">
        <w:rPr>
          <w:rFonts w:eastAsia="Batang" w:cs="Times"/>
          <w:szCs w:val="20"/>
          <w:lang w:val="pt-BR" w:eastAsia="es-ES"/>
        </w:rPr>
        <w:t>analisará</w:t>
      </w:r>
      <w:r w:rsidR="002C330E" w:rsidRPr="00D5464D">
        <w:rPr>
          <w:rFonts w:eastAsia="Batang" w:cs="Times"/>
          <w:szCs w:val="20"/>
          <w:lang w:val="pt-BR" w:eastAsia="es-ES"/>
        </w:rPr>
        <w:t xml:space="preserve"> as </w:t>
      </w:r>
      <w:r w:rsidR="002246F9" w:rsidRPr="00D5464D">
        <w:rPr>
          <w:rFonts w:eastAsia="Batang" w:cs="Times"/>
          <w:szCs w:val="20"/>
          <w:lang w:val="pt-BR" w:eastAsia="es-ES"/>
        </w:rPr>
        <w:t>alegadas viola</w:t>
      </w:r>
      <w:r w:rsidRPr="00D5464D">
        <w:rPr>
          <w:rFonts w:eastAsia="Batang" w:cs="Times"/>
          <w:szCs w:val="20"/>
          <w:lang w:val="pt-BR" w:eastAsia="es-ES"/>
        </w:rPr>
        <w:t>ções</w:t>
      </w:r>
      <w:r w:rsidR="002246F9" w:rsidRPr="00D5464D">
        <w:rPr>
          <w:rFonts w:eastAsia="Batang" w:cs="Times"/>
          <w:szCs w:val="20"/>
          <w:lang w:val="pt-BR" w:eastAsia="es-ES"/>
        </w:rPr>
        <w:t xml:space="preserve"> relacionadas a </w:t>
      </w:r>
      <w:r w:rsidR="002C330E" w:rsidRPr="00D5464D">
        <w:rPr>
          <w:rFonts w:eastAsia="Batang" w:cs="Times"/>
          <w:szCs w:val="20"/>
          <w:lang w:val="pt-BR" w:eastAsia="es-ES"/>
        </w:rPr>
        <w:t>fatos</w:t>
      </w:r>
      <w:r w:rsidR="002246F9" w:rsidRPr="00D5464D">
        <w:rPr>
          <w:rFonts w:eastAsia="Batang" w:cs="Times"/>
          <w:szCs w:val="20"/>
          <w:lang w:val="pt-BR" w:eastAsia="es-ES"/>
        </w:rPr>
        <w:t xml:space="preserve"> que </w:t>
      </w:r>
      <w:r w:rsidR="00E045D9" w:rsidRPr="00D5464D">
        <w:rPr>
          <w:rFonts w:eastAsia="Batang" w:cs="Times"/>
          <w:szCs w:val="20"/>
          <w:lang w:val="pt-BR" w:eastAsia="es-ES"/>
        </w:rPr>
        <w:t>tiveram</w:t>
      </w:r>
      <w:r w:rsidR="002246F9" w:rsidRPr="00D5464D">
        <w:rPr>
          <w:rFonts w:eastAsia="Batang" w:cs="Times"/>
          <w:szCs w:val="20"/>
          <w:lang w:val="pt-BR" w:eastAsia="es-ES"/>
        </w:rPr>
        <w:t xml:space="preserve"> lugar o</w:t>
      </w:r>
      <w:r w:rsidR="007C5F1E" w:rsidRPr="00D5464D">
        <w:rPr>
          <w:rFonts w:eastAsia="Batang" w:cs="Times"/>
          <w:szCs w:val="20"/>
          <w:lang w:val="pt-BR" w:eastAsia="es-ES"/>
        </w:rPr>
        <w:t>u</w:t>
      </w:r>
      <w:r w:rsidR="002246F9" w:rsidRPr="00D5464D">
        <w:rPr>
          <w:rFonts w:eastAsia="Batang" w:cs="Times"/>
          <w:szCs w:val="20"/>
          <w:lang w:val="pt-BR" w:eastAsia="es-ES"/>
        </w:rPr>
        <w:t xml:space="preserve"> </w:t>
      </w:r>
      <w:r w:rsidR="00E045D9" w:rsidRPr="00D5464D">
        <w:rPr>
          <w:rFonts w:eastAsia="Batang" w:cs="Times"/>
          <w:szCs w:val="20"/>
          <w:lang w:val="pt-BR" w:eastAsia="es-ES"/>
        </w:rPr>
        <w:t>continuaram</w:t>
      </w:r>
      <w:r w:rsidR="002246F9" w:rsidRPr="00D5464D">
        <w:rPr>
          <w:rFonts w:eastAsia="Batang" w:cs="Times"/>
          <w:szCs w:val="20"/>
          <w:lang w:val="pt-BR" w:eastAsia="es-ES"/>
        </w:rPr>
        <w:t xml:space="preserve"> a partir</w:t>
      </w:r>
      <w:r w:rsidRPr="00D5464D">
        <w:rPr>
          <w:rFonts w:eastAsia="Batang" w:cs="Times"/>
          <w:szCs w:val="20"/>
          <w:lang w:val="pt-BR" w:eastAsia="es-ES"/>
        </w:rPr>
        <w:t xml:space="preserve"> da data</w:t>
      </w:r>
      <w:r w:rsidR="002246F9" w:rsidRPr="00D5464D">
        <w:rPr>
          <w:rFonts w:eastAsia="Batang" w:cs="Times"/>
          <w:szCs w:val="20"/>
          <w:lang w:val="pt-BR" w:eastAsia="es-ES"/>
        </w:rPr>
        <w:t xml:space="preserve"> indicada anteriormente,</w:t>
      </w:r>
      <w:r w:rsidRPr="00D5464D">
        <w:rPr>
          <w:rFonts w:eastAsia="Batang" w:cs="Times"/>
          <w:szCs w:val="20"/>
          <w:lang w:val="pt-BR" w:eastAsia="es-ES"/>
        </w:rPr>
        <w:t xml:space="preserve"> </w:t>
      </w:r>
      <w:r w:rsidR="007C5F1E" w:rsidRPr="00D5464D">
        <w:rPr>
          <w:rFonts w:eastAsia="Batang" w:cs="Times"/>
          <w:szCs w:val="20"/>
          <w:lang w:val="pt-BR" w:eastAsia="es-ES"/>
        </w:rPr>
        <w:t>isto é</w:t>
      </w:r>
      <w:r w:rsidR="002246F9" w:rsidRPr="00D5464D">
        <w:rPr>
          <w:rFonts w:eastAsia="Batang" w:cs="Times"/>
          <w:szCs w:val="20"/>
          <w:lang w:val="pt-BR" w:eastAsia="es-ES"/>
        </w:rPr>
        <w:t>: i)</w:t>
      </w:r>
      <w:r w:rsidR="002C330E" w:rsidRPr="00D5464D">
        <w:rPr>
          <w:rFonts w:eastAsia="Batang" w:cs="Times"/>
          <w:szCs w:val="20"/>
          <w:lang w:val="pt-BR" w:eastAsia="es-ES"/>
        </w:rPr>
        <w:t xml:space="preserve"> a </w:t>
      </w:r>
      <w:r w:rsidR="002246F9" w:rsidRPr="00D5464D">
        <w:rPr>
          <w:rFonts w:eastAsia="Batang" w:cs="Times"/>
          <w:szCs w:val="20"/>
          <w:lang w:val="pt-BR" w:eastAsia="es-ES"/>
        </w:rPr>
        <w:t>investiga</w:t>
      </w:r>
      <w:r w:rsidRPr="00D5464D">
        <w:rPr>
          <w:rFonts w:eastAsia="Batang" w:cs="Times"/>
          <w:szCs w:val="20"/>
          <w:lang w:val="pt-BR" w:eastAsia="es-ES"/>
        </w:rPr>
        <w:t>ção</w:t>
      </w:r>
      <w:r w:rsidR="00E045D9" w:rsidRPr="00D5464D">
        <w:rPr>
          <w:rFonts w:eastAsia="Batang" w:cs="Times"/>
          <w:szCs w:val="20"/>
          <w:lang w:val="pt-BR" w:eastAsia="es-ES"/>
        </w:rPr>
        <w:t xml:space="preserve"> e </w:t>
      </w:r>
      <w:r w:rsidR="002C330E" w:rsidRPr="00D5464D">
        <w:rPr>
          <w:rFonts w:eastAsia="Batang" w:cs="Times"/>
          <w:szCs w:val="20"/>
          <w:lang w:val="pt-BR" w:eastAsia="es-ES"/>
        </w:rPr>
        <w:t>processo</w:t>
      </w:r>
      <w:r w:rsidR="00BD1B84" w:rsidRPr="00D5464D">
        <w:rPr>
          <w:rFonts w:eastAsia="Batang" w:cs="Times"/>
          <w:szCs w:val="20"/>
          <w:lang w:val="pt-BR" w:eastAsia="es-ES"/>
        </w:rPr>
        <w:t xml:space="preserve">s iniciados </w:t>
      </w:r>
      <w:r w:rsidR="002246F9" w:rsidRPr="00D5464D">
        <w:rPr>
          <w:rFonts w:eastAsia="Batang" w:cs="Times"/>
          <w:szCs w:val="20"/>
          <w:lang w:val="pt-BR" w:eastAsia="es-ES"/>
        </w:rPr>
        <w:t xml:space="preserve">como </w:t>
      </w:r>
      <w:r w:rsidRPr="00D5464D">
        <w:rPr>
          <w:rFonts w:eastAsia="Batang" w:cs="Times"/>
          <w:szCs w:val="20"/>
          <w:lang w:val="pt-BR" w:eastAsia="es-ES"/>
        </w:rPr>
        <w:t xml:space="preserve">consequência da </w:t>
      </w:r>
      <w:r w:rsidR="00AB4663" w:rsidRPr="00D5464D">
        <w:rPr>
          <w:rFonts w:eastAsia="Batang" w:cs="Times"/>
          <w:szCs w:val="20"/>
          <w:lang w:val="pt-BR" w:eastAsia="es-ES"/>
        </w:rPr>
        <w:t>fiscalização</w:t>
      </w:r>
      <w:r w:rsidR="002246F9" w:rsidRPr="00D5464D">
        <w:rPr>
          <w:rFonts w:eastAsia="Batang" w:cs="Times"/>
          <w:szCs w:val="20"/>
          <w:lang w:val="pt-BR" w:eastAsia="es-ES"/>
        </w:rPr>
        <w:t xml:space="preserve"> realizada</w:t>
      </w:r>
      <w:r w:rsidRPr="00D5464D">
        <w:rPr>
          <w:rFonts w:eastAsia="Batang" w:cs="Times"/>
          <w:szCs w:val="20"/>
          <w:lang w:val="pt-BR" w:eastAsia="es-ES"/>
        </w:rPr>
        <w:t xml:space="preserve"> em </w:t>
      </w:r>
      <w:r w:rsidR="002246F9" w:rsidRPr="00D5464D">
        <w:rPr>
          <w:rFonts w:eastAsia="Batang" w:cs="Times"/>
          <w:szCs w:val="20"/>
          <w:lang w:val="pt-BR" w:eastAsia="es-ES"/>
        </w:rPr>
        <w:t>abril de 1997</w:t>
      </w:r>
      <w:r w:rsidR="00E045D9" w:rsidRPr="00D5464D">
        <w:rPr>
          <w:rFonts w:eastAsia="Batang" w:cs="Times"/>
          <w:szCs w:val="20"/>
          <w:lang w:val="pt-BR" w:eastAsia="es-ES"/>
        </w:rPr>
        <w:t xml:space="preserve"> na </w:t>
      </w:r>
      <w:r w:rsidR="00D809F0" w:rsidRPr="00D5464D">
        <w:rPr>
          <w:rFonts w:eastAsia="Batang" w:cs="Times"/>
          <w:szCs w:val="20"/>
          <w:lang w:val="pt-BR" w:eastAsia="es-ES"/>
        </w:rPr>
        <w:t>Fazenda</w:t>
      </w:r>
      <w:r w:rsidR="002246F9" w:rsidRPr="00D5464D">
        <w:rPr>
          <w:rFonts w:eastAsia="Batang" w:cs="Times"/>
          <w:szCs w:val="20"/>
          <w:lang w:val="pt-BR" w:eastAsia="es-ES"/>
        </w:rPr>
        <w:t xml:space="preserve"> Brasil Verde</w:t>
      </w:r>
      <w:r w:rsidRPr="00D5464D">
        <w:rPr>
          <w:rFonts w:eastAsia="Batang" w:cs="Times"/>
          <w:szCs w:val="20"/>
          <w:lang w:val="pt-BR" w:eastAsia="es-ES"/>
        </w:rPr>
        <w:t>, e</w:t>
      </w:r>
      <w:r w:rsidR="002246F9" w:rsidRPr="00D5464D">
        <w:rPr>
          <w:rFonts w:eastAsia="Batang" w:cs="Times"/>
          <w:szCs w:val="20"/>
          <w:lang w:val="pt-BR" w:eastAsia="es-ES"/>
        </w:rPr>
        <w:t xml:space="preserve"> ii)</w:t>
      </w:r>
      <w:r w:rsidR="002C330E" w:rsidRPr="00D5464D">
        <w:rPr>
          <w:rFonts w:eastAsia="Batang" w:cs="Times"/>
          <w:szCs w:val="20"/>
          <w:lang w:val="pt-BR" w:eastAsia="es-ES"/>
        </w:rPr>
        <w:t xml:space="preserve"> a </w:t>
      </w:r>
      <w:r w:rsidR="00AB4663" w:rsidRPr="00D5464D">
        <w:rPr>
          <w:rFonts w:eastAsia="Batang" w:cs="Times"/>
          <w:szCs w:val="20"/>
          <w:lang w:val="pt-BR" w:eastAsia="es-ES"/>
        </w:rPr>
        <w:t>fiscalização</w:t>
      </w:r>
      <w:r w:rsidR="002246F9" w:rsidRPr="00D5464D">
        <w:rPr>
          <w:rFonts w:eastAsia="Batang" w:cs="Times"/>
          <w:szCs w:val="20"/>
          <w:lang w:val="pt-BR" w:eastAsia="es-ES"/>
        </w:rPr>
        <w:t xml:space="preserve"> </w:t>
      </w:r>
      <w:r w:rsidR="007C5F1E" w:rsidRPr="00D5464D">
        <w:rPr>
          <w:rFonts w:eastAsia="Batang" w:cs="Times"/>
          <w:szCs w:val="20"/>
          <w:lang w:val="pt-BR" w:eastAsia="es-ES"/>
        </w:rPr>
        <w:t xml:space="preserve">realizada </w:t>
      </w:r>
      <w:r w:rsidRPr="00D5464D">
        <w:rPr>
          <w:rFonts w:eastAsia="Batang" w:cs="Times"/>
          <w:szCs w:val="20"/>
          <w:lang w:val="pt-BR" w:eastAsia="es-ES"/>
        </w:rPr>
        <w:t xml:space="preserve">em </w:t>
      </w:r>
      <w:r w:rsidR="002C330E" w:rsidRPr="00D5464D">
        <w:rPr>
          <w:rFonts w:eastAsia="Batang" w:cs="Times"/>
          <w:szCs w:val="20"/>
          <w:lang w:val="pt-BR" w:eastAsia="es-ES"/>
        </w:rPr>
        <w:t>março</w:t>
      </w:r>
      <w:r w:rsidR="002246F9" w:rsidRPr="00D5464D">
        <w:rPr>
          <w:rFonts w:eastAsia="Batang" w:cs="Times"/>
          <w:szCs w:val="20"/>
          <w:lang w:val="pt-BR" w:eastAsia="es-ES"/>
        </w:rPr>
        <w:t xml:space="preserve"> de 2000</w:t>
      </w:r>
      <w:r w:rsidR="00E045D9" w:rsidRPr="00D5464D">
        <w:rPr>
          <w:rFonts w:eastAsia="Batang" w:cs="Times"/>
          <w:szCs w:val="20"/>
          <w:lang w:val="pt-BR" w:eastAsia="es-ES"/>
        </w:rPr>
        <w:t xml:space="preserve"> na </w:t>
      </w:r>
      <w:r w:rsidR="00D809F0" w:rsidRPr="00D5464D">
        <w:rPr>
          <w:rFonts w:eastAsia="Batang" w:cs="Times"/>
          <w:szCs w:val="20"/>
          <w:lang w:val="pt-BR" w:eastAsia="es-ES"/>
        </w:rPr>
        <w:t>Fazenda</w:t>
      </w:r>
      <w:r w:rsidR="002246F9" w:rsidRPr="00D5464D">
        <w:rPr>
          <w:rFonts w:eastAsia="Batang" w:cs="Times"/>
          <w:szCs w:val="20"/>
          <w:lang w:val="pt-BR" w:eastAsia="es-ES"/>
        </w:rPr>
        <w:t xml:space="preserve"> Brasil Verde</w:t>
      </w:r>
      <w:r w:rsidRPr="00D5464D">
        <w:rPr>
          <w:rFonts w:eastAsia="Batang" w:cs="Times"/>
          <w:szCs w:val="20"/>
          <w:lang w:val="pt-BR" w:eastAsia="es-ES"/>
        </w:rPr>
        <w:t xml:space="preserve"> e</w:t>
      </w:r>
      <w:r w:rsidR="002C330E" w:rsidRPr="00D5464D">
        <w:rPr>
          <w:rFonts w:eastAsia="Batang" w:cs="Times"/>
          <w:szCs w:val="20"/>
          <w:lang w:val="pt-BR" w:eastAsia="es-ES"/>
        </w:rPr>
        <w:t xml:space="preserve"> a </w:t>
      </w:r>
      <w:r w:rsidR="002246F9" w:rsidRPr="00D5464D">
        <w:rPr>
          <w:rFonts w:eastAsia="Batang" w:cs="Times"/>
          <w:szCs w:val="20"/>
          <w:lang w:val="pt-BR" w:eastAsia="es-ES"/>
        </w:rPr>
        <w:t>respectiva investiga</w:t>
      </w:r>
      <w:r w:rsidRPr="00D5464D">
        <w:rPr>
          <w:rFonts w:eastAsia="Batang" w:cs="Times"/>
          <w:szCs w:val="20"/>
          <w:lang w:val="pt-BR" w:eastAsia="es-ES"/>
        </w:rPr>
        <w:t>ção</w:t>
      </w:r>
      <w:r w:rsidR="002246F9" w:rsidRPr="00D5464D">
        <w:rPr>
          <w:rFonts w:eastAsia="Batang" w:cs="Times"/>
          <w:szCs w:val="20"/>
          <w:lang w:val="pt-BR" w:eastAsia="es-ES"/>
        </w:rPr>
        <w:t xml:space="preserve"> iniciada posteriormente. </w:t>
      </w:r>
    </w:p>
    <w:p w14:paraId="09FCC8AC" w14:textId="77777777" w:rsidR="002246F9" w:rsidRPr="00D5464D" w:rsidRDefault="002246F9" w:rsidP="002246F9">
      <w:pPr>
        <w:pStyle w:val="Prrafodelista"/>
        <w:rPr>
          <w:rFonts w:eastAsia="Batang" w:cs="Times"/>
          <w:szCs w:val="20"/>
          <w:lang w:val="pt-BR" w:eastAsia="es-ES"/>
        </w:rPr>
      </w:pPr>
    </w:p>
    <w:p w14:paraId="41AB2CC0" w14:textId="45EE9861" w:rsidR="002246F9" w:rsidRPr="00D5464D" w:rsidRDefault="00A1358C" w:rsidP="002246F9">
      <w:pPr>
        <w:pStyle w:val="Prrafodelista"/>
        <w:numPr>
          <w:ilvl w:val="0"/>
          <w:numId w:val="1"/>
        </w:numPr>
        <w:autoSpaceDE w:val="0"/>
        <w:autoSpaceDN w:val="0"/>
        <w:adjustRightInd w:val="0"/>
        <w:rPr>
          <w:rFonts w:cs="Arial"/>
          <w:szCs w:val="20"/>
          <w:lang w:val="pt-BR"/>
        </w:rPr>
      </w:pPr>
      <w:r w:rsidRPr="00D5464D">
        <w:rPr>
          <w:rFonts w:eastAsia="Batang" w:cs="Times"/>
          <w:szCs w:val="20"/>
          <w:lang w:val="pt-BR" w:eastAsia="es-ES"/>
        </w:rPr>
        <w:t>Não obstante isso,</w:t>
      </w:r>
      <w:r w:rsidR="002246F9" w:rsidRPr="00D5464D">
        <w:rPr>
          <w:rFonts w:eastAsia="Batang" w:cs="Times"/>
          <w:szCs w:val="20"/>
          <w:lang w:val="pt-BR" w:eastAsia="es-ES"/>
        </w:rPr>
        <w:t xml:space="preserve"> antes de iniciar</w:t>
      </w:r>
      <w:r w:rsidR="00230C71" w:rsidRPr="00D5464D">
        <w:rPr>
          <w:rFonts w:eastAsia="Batang" w:cs="Times"/>
          <w:szCs w:val="20"/>
          <w:lang w:val="pt-BR" w:eastAsia="es-ES"/>
        </w:rPr>
        <w:t xml:space="preserve"> a análise</w:t>
      </w:r>
      <w:r w:rsidR="002246F9" w:rsidRPr="00D5464D">
        <w:rPr>
          <w:rFonts w:eastAsia="Batang" w:cs="Times"/>
          <w:szCs w:val="20"/>
          <w:lang w:val="pt-BR" w:eastAsia="es-ES"/>
        </w:rPr>
        <w:t xml:space="preserve"> de </w:t>
      </w:r>
      <w:r w:rsidR="00470ADC" w:rsidRPr="00D5464D">
        <w:rPr>
          <w:rFonts w:eastAsia="Batang" w:cs="Times"/>
          <w:szCs w:val="20"/>
          <w:lang w:val="pt-BR" w:eastAsia="es-ES"/>
        </w:rPr>
        <w:t xml:space="preserve">mérito da </w:t>
      </w:r>
      <w:r w:rsidR="002246F9" w:rsidRPr="00D5464D">
        <w:rPr>
          <w:rFonts w:eastAsia="Batang" w:cs="Times"/>
          <w:szCs w:val="20"/>
          <w:lang w:val="pt-BR" w:eastAsia="es-ES"/>
        </w:rPr>
        <w:t xml:space="preserve">presente </w:t>
      </w:r>
      <w:r w:rsidR="002C330E" w:rsidRPr="00D5464D">
        <w:rPr>
          <w:rFonts w:eastAsia="Batang" w:cs="Times"/>
          <w:szCs w:val="20"/>
          <w:lang w:val="pt-BR" w:eastAsia="es-ES"/>
        </w:rPr>
        <w:t>Sentença</w:t>
      </w:r>
      <w:r w:rsidR="002246F9" w:rsidRPr="00D5464D">
        <w:rPr>
          <w:rFonts w:eastAsia="Batang" w:cs="Times"/>
          <w:szCs w:val="20"/>
          <w:lang w:val="pt-BR" w:eastAsia="es-ES"/>
        </w:rPr>
        <w:t>,</w:t>
      </w:r>
      <w:r w:rsidR="002C330E" w:rsidRPr="00D5464D">
        <w:rPr>
          <w:rFonts w:eastAsia="Batang" w:cs="Times"/>
          <w:szCs w:val="20"/>
          <w:lang w:val="pt-BR" w:eastAsia="es-ES"/>
        </w:rPr>
        <w:t xml:space="preserve"> a </w:t>
      </w:r>
      <w:r w:rsidR="002246F9" w:rsidRPr="00D5464D">
        <w:rPr>
          <w:rFonts w:eastAsia="Batang" w:cs="Times"/>
          <w:szCs w:val="20"/>
          <w:lang w:val="pt-BR" w:eastAsia="es-ES"/>
        </w:rPr>
        <w:t xml:space="preserve">Corte considera </w:t>
      </w:r>
      <w:r w:rsidR="002C330E" w:rsidRPr="00D5464D">
        <w:rPr>
          <w:rFonts w:eastAsia="Batang" w:cs="Times"/>
          <w:szCs w:val="20"/>
          <w:lang w:val="pt-BR" w:eastAsia="es-ES"/>
        </w:rPr>
        <w:t>necessári</w:t>
      </w:r>
      <w:r w:rsidR="002246F9" w:rsidRPr="00D5464D">
        <w:rPr>
          <w:rFonts w:eastAsia="Batang" w:cs="Times"/>
          <w:szCs w:val="20"/>
          <w:lang w:val="pt-BR" w:eastAsia="es-ES"/>
        </w:rPr>
        <w:t xml:space="preserve">o realizar </w:t>
      </w:r>
      <w:r w:rsidR="00470ADC" w:rsidRPr="00D5464D">
        <w:rPr>
          <w:rFonts w:eastAsia="Batang" w:cs="Times"/>
          <w:szCs w:val="20"/>
          <w:lang w:val="pt-BR" w:eastAsia="es-ES"/>
        </w:rPr>
        <w:t>algumas</w:t>
      </w:r>
      <w:r w:rsidR="002246F9" w:rsidRPr="00D5464D">
        <w:rPr>
          <w:rFonts w:eastAsia="Batang" w:cs="Times"/>
          <w:szCs w:val="20"/>
          <w:lang w:val="pt-BR" w:eastAsia="es-ES"/>
        </w:rPr>
        <w:t xml:space="preserve"> considera</w:t>
      </w:r>
      <w:r w:rsidR="00470ADC" w:rsidRPr="00D5464D">
        <w:rPr>
          <w:rFonts w:eastAsia="Batang" w:cs="Times"/>
          <w:szCs w:val="20"/>
          <w:lang w:val="pt-BR" w:eastAsia="es-ES"/>
        </w:rPr>
        <w:t>ções</w:t>
      </w:r>
      <w:r w:rsidR="002246F9" w:rsidRPr="00D5464D">
        <w:rPr>
          <w:rFonts w:eastAsia="Batang" w:cs="Times"/>
          <w:szCs w:val="20"/>
          <w:lang w:val="pt-BR" w:eastAsia="es-ES"/>
        </w:rPr>
        <w:t xml:space="preserve"> </w:t>
      </w:r>
      <w:r w:rsidRPr="00D5464D">
        <w:rPr>
          <w:rFonts w:eastAsia="Batang" w:cs="Times"/>
          <w:szCs w:val="20"/>
          <w:lang w:val="pt-BR" w:eastAsia="es-ES"/>
        </w:rPr>
        <w:t>prévias</w:t>
      </w:r>
      <w:r w:rsidR="002246F9" w:rsidRPr="00D5464D">
        <w:rPr>
          <w:rFonts w:eastAsia="Batang" w:cs="Times"/>
          <w:szCs w:val="20"/>
          <w:lang w:val="pt-BR" w:eastAsia="es-ES"/>
        </w:rPr>
        <w:t xml:space="preserve"> para </w:t>
      </w:r>
      <w:r w:rsidR="00470ADC" w:rsidRPr="00D5464D">
        <w:rPr>
          <w:rFonts w:eastAsia="Batang" w:cs="Times"/>
          <w:szCs w:val="20"/>
          <w:lang w:val="pt-BR" w:eastAsia="es-ES"/>
        </w:rPr>
        <w:t>estabelece</w:t>
      </w:r>
      <w:r w:rsidR="002246F9" w:rsidRPr="00D5464D">
        <w:rPr>
          <w:rFonts w:eastAsia="Batang" w:cs="Times"/>
          <w:szCs w:val="20"/>
          <w:lang w:val="pt-BR" w:eastAsia="es-ES"/>
        </w:rPr>
        <w:t>r</w:t>
      </w:r>
      <w:r w:rsidR="00470ADC" w:rsidRPr="00D5464D">
        <w:rPr>
          <w:rFonts w:eastAsia="Batang" w:cs="Times"/>
          <w:szCs w:val="20"/>
          <w:lang w:val="pt-BR" w:eastAsia="es-ES"/>
        </w:rPr>
        <w:t xml:space="preserve"> com clarida</w:t>
      </w:r>
      <w:r w:rsidR="00E045D9" w:rsidRPr="00D5464D">
        <w:rPr>
          <w:rFonts w:eastAsia="Batang" w:cs="Times"/>
          <w:szCs w:val="20"/>
          <w:lang w:val="pt-BR" w:eastAsia="es-ES"/>
        </w:rPr>
        <w:t>d</w:t>
      </w:r>
      <w:r w:rsidR="007C5F1E" w:rsidRPr="00D5464D">
        <w:rPr>
          <w:rFonts w:eastAsia="Batang" w:cs="Times"/>
          <w:szCs w:val="20"/>
          <w:lang w:val="pt-BR" w:eastAsia="es-ES"/>
        </w:rPr>
        <w:t xml:space="preserve">e quem são </w:t>
      </w:r>
      <w:r w:rsidR="00E045D9" w:rsidRPr="00D5464D">
        <w:rPr>
          <w:rFonts w:eastAsia="Batang" w:cs="Times"/>
          <w:szCs w:val="20"/>
          <w:lang w:val="pt-BR" w:eastAsia="es-ES"/>
        </w:rPr>
        <w:t xml:space="preserve">as </w:t>
      </w:r>
      <w:r w:rsidR="002C330E" w:rsidRPr="00D5464D">
        <w:rPr>
          <w:rFonts w:eastAsia="Batang" w:cs="Times"/>
          <w:szCs w:val="20"/>
          <w:lang w:val="pt-BR" w:eastAsia="es-ES"/>
        </w:rPr>
        <w:t>suposta</w:t>
      </w:r>
      <w:r w:rsidR="002246F9" w:rsidRPr="00D5464D">
        <w:rPr>
          <w:rFonts w:eastAsia="Batang" w:cs="Times"/>
          <w:szCs w:val="20"/>
          <w:lang w:val="pt-BR" w:eastAsia="es-ES"/>
        </w:rPr>
        <w:t xml:space="preserve">s </w:t>
      </w:r>
      <w:r w:rsidR="00E045D9" w:rsidRPr="00D5464D">
        <w:rPr>
          <w:rFonts w:eastAsia="Batang" w:cs="Times"/>
          <w:szCs w:val="20"/>
          <w:lang w:val="pt-BR" w:eastAsia="es-ES"/>
        </w:rPr>
        <w:t>vítima</w:t>
      </w:r>
      <w:r w:rsidR="002246F9" w:rsidRPr="00D5464D">
        <w:rPr>
          <w:rFonts w:eastAsia="Batang" w:cs="Times"/>
          <w:szCs w:val="20"/>
          <w:lang w:val="pt-BR" w:eastAsia="es-ES"/>
        </w:rPr>
        <w:t xml:space="preserve">s que </w:t>
      </w:r>
      <w:r w:rsidR="002C330E" w:rsidRPr="00D5464D">
        <w:rPr>
          <w:rFonts w:eastAsia="Batang" w:cs="Times"/>
          <w:szCs w:val="20"/>
          <w:lang w:val="pt-BR" w:eastAsia="es-ES"/>
        </w:rPr>
        <w:t>serão</w:t>
      </w:r>
      <w:r w:rsidR="002246F9" w:rsidRPr="00D5464D">
        <w:rPr>
          <w:rFonts w:eastAsia="Batang" w:cs="Times"/>
          <w:szCs w:val="20"/>
          <w:lang w:val="pt-BR" w:eastAsia="es-ES"/>
        </w:rPr>
        <w:t xml:space="preserve"> tomadas</w:t>
      </w:r>
      <w:r w:rsidR="00470ADC" w:rsidRPr="00D5464D">
        <w:rPr>
          <w:rFonts w:eastAsia="Batang" w:cs="Times"/>
          <w:szCs w:val="20"/>
          <w:lang w:val="pt-BR" w:eastAsia="es-ES"/>
        </w:rPr>
        <w:t xml:space="preserve"> em </w:t>
      </w:r>
      <w:r w:rsidR="002246F9" w:rsidRPr="00D5464D">
        <w:rPr>
          <w:rFonts w:eastAsia="Batang" w:cs="Times"/>
          <w:szCs w:val="20"/>
          <w:lang w:val="pt-BR" w:eastAsia="es-ES"/>
        </w:rPr>
        <w:t>considera</w:t>
      </w:r>
      <w:r w:rsidR="00470ADC" w:rsidRPr="00D5464D">
        <w:rPr>
          <w:rFonts w:eastAsia="Batang" w:cs="Times"/>
          <w:szCs w:val="20"/>
          <w:lang w:val="pt-BR" w:eastAsia="es-ES"/>
        </w:rPr>
        <w:t>ção</w:t>
      </w:r>
      <w:r w:rsidR="00E045D9" w:rsidRPr="00D5464D">
        <w:rPr>
          <w:rFonts w:eastAsia="Batang" w:cs="Times"/>
          <w:szCs w:val="20"/>
          <w:lang w:val="pt-BR" w:eastAsia="es-ES"/>
        </w:rPr>
        <w:t xml:space="preserve"> no </w:t>
      </w:r>
      <w:r w:rsidR="002246F9" w:rsidRPr="00D5464D">
        <w:rPr>
          <w:rFonts w:eastAsia="Batang" w:cs="Times"/>
          <w:szCs w:val="20"/>
          <w:lang w:val="pt-BR" w:eastAsia="es-ES"/>
        </w:rPr>
        <w:t xml:space="preserve">presente caso </w:t>
      </w:r>
      <w:r w:rsidR="007C5F1E" w:rsidRPr="00D5464D">
        <w:rPr>
          <w:rFonts w:eastAsia="Batang" w:cs="Times"/>
          <w:szCs w:val="20"/>
          <w:lang w:val="pt-BR" w:eastAsia="es-ES"/>
        </w:rPr>
        <w:t xml:space="preserve">e qual </w:t>
      </w:r>
      <w:r w:rsidR="002246F9" w:rsidRPr="00D5464D">
        <w:rPr>
          <w:rFonts w:eastAsia="Batang" w:cs="Times"/>
          <w:szCs w:val="20"/>
          <w:lang w:val="pt-BR" w:eastAsia="es-ES"/>
        </w:rPr>
        <w:t>rela</w:t>
      </w:r>
      <w:r w:rsidR="00470ADC" w:rsidRPr="00D5464D">
        <w:rPr>
          <w:rFonts w:eastAsia="Batang" w:cs="Times"/>
          <w:szCs w:val="20"/>
          <w:lang w:val="pt-BR" w:eastAsia="es-ES"/>
        </w:rPr>
        <w:t xml:space="preserve">ção </w:t>
      </w:r>
      <w:r w:rsidR="007C5F1E" w:rsidRPr="00D5464D">
        <w:rPr>
          <w:rFonts w:eastAsia="Batang" w:cs="Times"/>
          <w:szCs w:val="20"/>
          <w:lang w:val="pt-BR" w:eastAsia="es-ES"/>
        </w:rPr>
        <w:t xml:space="preserve">possuem </w:t>
      </w:r>
      <w:r w:rsidR="00470ADC" w:rsidRPr="00D5464D">
        <w:rPr>
          <w:rFonts w:eastAsia="Batang" w:cs="Times"/>
          <w:szCs w:val="20"/>
          <w:lang w:val="pt-BR" w:eastAsia="es-ES"/>
        </w:rPr>
        <w:t>com</w:t>
      </w:r>
      <w:r w:rsidR="002C330E" w:rsidRPr="00D5464D">
        <w:rPr>
          <w:rFonts w:eastAsia="Batang" w:cs="Times"/>
          <w:szCs w:val="20"/>
          <w:lang w:val="pt-BR" w:eastAsia="es-ES"/>
        </w:rPr>
        <w:t xml:space="preserve"> os fatos</w:t>
      </w:r>
      <w:r w:rsidR="002246F9" w:rsidRPr="00D5464D">
        <w:rPr>
          <w:rFonts w:eastAsia="Batang" w:cs="Times"/>
          <w:szCs w:val="20"/>
          <w:lang w:val="pt-BR" w:eastAsia="es-ES"/>
        </w:rPr>
        <w:t xml:space="preserve"> </w:t>
      </w:r>
      <w:r w:rsidR="00470ADC" w:rsidRPr="00D5464D">
        <w:rPr>
          <w:rFonts w:eastAsia="Batang" w:cs="Times"/>
          <w:szCs w:val="20"/>
          <w:lang w:val="pt-BR" w:eastAsia="es-ES"/>
        </w:rPr>
        <w:t xml:space="preserve">do </w:t>
      </w:r>
      <w:r w:rsidR="002246F9" w:rsidRPr="00D5464D">
        <w:rPr>
          <w:rFonts w:eastAsia="Batang" w:cs="Times"/>
          <w:szCs w:val="20"/>
          <w:lang w:val="pt-BR" w:eastAsia="es-ES"/>
        </w:rPr>
        <w:t>caso dentro</w:t>
      </w:r>
      <w:r w:rsidR="00470ADC" w:rsidRPr="00D5464D">
        <w:rPr>
          <w:rFonts w:eastAsia="Batang" w:cs="Times"/>
          <w:szCs w:val="20"/>
          <w:lang w:val="pt-BR" w:eastAsia="es-ES"/>
        </w:rPr>
        <w:t xml:space="preserve"> da </w:t>
      </w:r>
      <w:r w:rsidR="00470ADC" w:rsidRPr="00D5464D">
        <w:rPr>
          <w:rFonts w:cs="Arial"/>
          <w:szCs w:val="20"/>
          <w:lang w:val="pt-BR"/>
        </w:rPr>
        <w:t>competência</w:t>
      </w:r>
      <w:r w:rsidR="002246F9" w:rsidRPr="00D5464D">
        <w:rPr>
          <w:rFonts w:cs="Arial"/>
          <w:szCs w:val="20"/>
          <w:lang w:val="pt-BR"/>
        </w:rPr>
        <w:t xml:space="preserve"> </w:t>
      </w:r>
      <w:r w:rsidR="002246F9" w:rsidRPr="00D5464D">
        <w:rPr>
          <w:rFonts w:cs="Arial"/>
          <w:i/>
          <w:szCs w:val="20"/>
          <w:lang w:val="pt-BR"/>
        </w:rPr>
        <w:t>ratione temporis</w:t>
      </w:r>
      <w:r w:rsidR="00C91CB1" w:rsidRPr="00D5464D">
        <w:rPr>
          <w:rFonts w:eastAsia="Batang" w:cs="Times"/>
          <w:szCs w:val="20"/>
          <w:lang w:val="pt-BR" w:eastAsia="es-ES"/>
        </w:rPr>
        <w:t xml:space="preserve">. Em </w:t>
      </w:r>
      <w:r w:rsidR="002C330E" w:rsidRPr="00D5464D">
        <w:rPr>
          <w:rFonts w:eastAsia="Batang" w:cs="Times"/>
          <w:szCs w:val="20"/>
          <w:lang w:val="pt-BR" w:eastAsia="es-ES"/>
        </w:rPr>
        <w:t xml:space="preserve">primeiro </w:t>
      </w:r>
      <w:r w:rsidR="002246F9" w:rsidRPr="00D5464D">
        <w:rPr>
          <w:rFonts w:eastAsia="Batang" w:cs="Times"/>
          <w:szCs w:val="20"/>
          <w:lang w:val="pt-BR" w:eastAsia="es-ES"/>
        </w:rPr>
        <w:t>lugar,</w:t>
      </w:r>
      <w:r w:rsidR="002C330E" w:rsidRPr="00D5464D">
        <w:rPr>
          <w:rFonts w:eastAsia="Batang" w:cs="Times"/>
          <w:szCs w:val="20"/>
          <w:lang w:val="pt-BR" w:eastAsia="es-ES"/>
        </w:rPr>
        <w:t xml:space="preserve"> a </w:t>
      </w:r>
      <w:r w:rsidR="002246F9" w:rsidRPr="00D5464D">
        <w:rPr>
          <w:rFonts w:eastAsia="Batang" w:cs="Times"/>
          <w:szCs w:val="20"/>
          <w:lang w:val="pt-BR" w:eastAsia="es-ES"/>
        </w:rPr>
        <w:t>Corte constata que</w:t>
      </w:r>
      <w:r w:rsidR="002C330E" w:rsidRPr="00D5464D">
        <w:rPr>
          <w:rFonts w:eastAsia="Batang" w:cs="Times"/>
          <w:szCs w:val="20"/>
          <w:lang w:val="pt-BR" w:eastAsia="es-ES"/>
        </w:rPr>
        <w:t xml:space="preserve"> as </w:t>
      </w:r>
      <w:r w:rsidR="002246F9" w:rsidRPr="00D5464D">
        <w:rPr>
          <w:rFonts w:eastAsia="Batang" w:cs="Times"/>
          <w:szCs w:val="20"/>
          <w:lang w:val="pt-BR" w:eastAsia="es-ES"/>
        </w:rPr>
        <w:t xml:space="preserve">listas de </w:t>
      </w:r>
      <w:r w:rsidR="002C330E" w:rsidRPr="00D5464D">
        <w:rPr>
          <w:rFonts w:eastAsia="Batang" w:cs="Times"/>
          <w:szCs w:val="20"/>
          <w:lang w:val="pt-BR" w:eastAsia="es-ES"/>
        </w:rPr>
        <w:t>suposta</w:t>
      </w:r>
      <w:r w:rsidR="002246F9" w:rsidRPr="00D5464D">
        <w:rPr>
          <w:rFonts w:eastAsia="Batang" w:cs="Times"/>
          <w:szCs w:val="20"/>
          <w:lang w:val="pt-BR" w:eastAsia="es-ES"/>
        </w:rPr>
        <w:t xml:space="preserve">s </w:t>
      </w:r>
      <w:r w:rsidR="00E045D9" w:rsidRPr="00D5464D">
        <w:rPr>
          <w:rFonts w:eastAsia="Batang" w:cs="Times"/>
          <w:szCs w:val="20"/>
          <w:lang w:val="pt-BR" w:eastAsia="es-ES"/>
        </w:rPr>
        <w:t>vítima</w:t>
      </w:r>
      <w:r w:rsidR="002246F9" w:rsidRPr="00D5464D">
        <w:rPr>
          <w:rFonts w:eastAsia="Batang" w:cs="Times"/>
          <w:szCs w:val="20"/>
          <w:lang w:val="pt-BR" w:eastAsia="es-ES"/>
        </w:rPr>
        <w:t>s</w:t>
      </w:r>
      <w:r w:rsidR="00350187" w:rsidRPr="00D5464D">
        <w:rPr>
          <w:rFonts w:eastAsia="Batang" w:cs="Times"/>
          <w:szCs w:val="20"/>
          <w:lang w:val="pt-BR" w:eastAsia="es-ES"/>
        </w:rPr>
        <w:t xml:space="preserve"> apresent</w:t>
      </w:r>
      <w:r w:rsidR="002246F9" w:rsidRPr="00D5464D">
        <w:rPr>
          <w:rFonts w:eastAsia="Batang" w:cs="Times"/>
          <w:szCs w:val="20"/>
          <w:lang w:val="pt-BR" w:eastAsia="es-ES"/>
        </w:rPr>
        <w:t>a</w:t>
      </w:r>
      <w:r w:rsidR="007C5F1E" w:rsidRPr="00D5464D">
        <w:rPr>
          <w:rFonts w:eastAsia="Batang" w:cs="Times"/>
          <w:szCs w:val="20"/>
          <w:lang w:val="pt-BR" w:eastAsia="es-ES"/>
        </w:rPr>
        <w:t>da</w:t>
      </w:r>
      <w:r w:rsidR="002246F9" w:rsidRPr="00D5464D">
        <w:rPr>
          <w:rFonts w:eastAsia="Batang" w:cs="Times"/>
          <w:szCs w:val="20"/>
          <w:lang w:val="pt-BR" w:eastAsia="es-ES"/>
        </w:rPr>
        <w:t>s</w:t>
      </w:r>
      <w:r w:rsidR="002C330E" w:rsidRPr="00D5464D">
        <w:rPr>
          <w:rFonts w:eastAsia="Batang" w:cs="Times"/>
          <w:szCs w:val="20"/>
          <w:lang w:val="pt-BR" w:eastAsia="es-ES"/>
        </w:rPr>
        <w:t xml:space="preserve"> pelas </w:t>
      </w:r>
      <w:r w:rsidR="002246F9" w:rsidRPr="00D5464D">
        <w:rPr>
          <w:rFonts w:eastAsia="Batang" w:cs="Times"/>
          <w:szCs w:val="20"/>
          <w:lang w:val="pt-BR" w:eastAsia="es-ES"/>
        </w:rPr>
        <w:t>partes</w:t>
      </w:r>
      <w:r w:rsidR="00E045D9" w:rsidRPr="00D5464D">
        <w:rPr>
          <w:rFonts w:eastAsia="Batang" w:cs="Times"/>
          <w:szCs w:val="20"/>
          <w:lang w:val="pt-BR" w:eastAsia="es-ES"/>
        </w:rPr>
        <w:t xml:space="preserve"> e </w:t>
      </w:r>
      <w:r w:rsidR="007C5F1E" w:rsidRPr="00D5464D">
        <w:rPr>
          <w:rFonts w:eastAsia="Batang" w:cs="Times"/>
          <w:szCs w:val="20"/>
          <w:lang w:val="pt-BR" w:eastAsia="es-ES"/>
        </w:rPr>
        <w:t>pel</w:t>
      </w:r>
      <w:r w:rsidR="002C330E" w:rsidRPr="00D5464D">
        <w:rPr>
          <w:rFonts w:eastAsia="Batang" w:cs="Times"/>
          <w:szCs w:val="20"/>
          <w:lang w:val="pt-BR" w:eastAsia="es-ES"/>
        </w:rPr>
        <w:t xml:space="preserve">a </w:t>
      </w:r>
      <w:r w:rsidR="00470ADC" w:rsidRPr="00D5464D">
        <w:rPr>
          <w:rFonts w:eastAsia="Batang" w:cs="Times"/>
          <w:szCs w:val="20"/>
          <w:lang w:val="pt-BR" w:eastAsia="es-ES"/>
        </w:rPr>
        <w:t>Comissão</w:t>
      </w:r>
      <w:r w:rsidR="002246F9" w:rsidRPr="00D5464D">
        <w:rPr>
          <w:rFonts w:eastAsia="Batang" w:cs="Times"/>
          <w:szCs w:val="20"/>
          <w:lang w:val="pt-BR" w:eastAsia="es-ES"/>
        </w:rPr>
        <w:t xml:space="preserve"> </w:t>
      </w:r>
      <w:r w:rsidR="007C5F1E" w:rsidRPr="00D5464D">
        <w:rPr>
          <w:rFonts w:eastAsia="Batang" w:cs="Times"/>
          <w:szCs w:val="20"/>
          <w:lang w:val="pt-BR" w:eastAsia="es-ES"/>
        </w:rPr>
        <w:t xml:space="preserve">contem </w:t>
      </w:r>
      <w:r w:rsidR="002C330E" w:rsidRPr="00D5464D">
        <w:rPr>
          <w:rFonts w:eastAsia="Batang" w:cs="Times"/>
          <w:szCs w:val="20"/>
          <w:lang w:val="pt-BR" w:eastAsia="es-ES"/>
        </w:rPr>
        <w:t>múltipla</w:t>
      </w:r>
      <w:r w:rsidR="002246F9" w:rsidRPr="00D5464D">
        <w:rPr>
          <w:rFonts w:eastAsia="Batang" w:cs="Times"/>
          <w:szCs w:val="20"/>
          <w:lang w:val="pt-BR" w:eastAsia="es-ES"/>
        </w:rPr>
        <w:t xml:space="preserve">s </w:t>
      </w:r>
      <w:r w:rsidRPr="00D5464D">
        <w:rPr>
          <w:rFonts w:eastAsia="Batang" w:cs="Times"/>
          <w:szCs w:val="20"/>
          <w:lang w:val="pt-BR" w:eastAsia="es-ES"/>
        </w:rPr>
        <w:t>diferenças</w:t>
      </w:r>
      <w:r w:rsidR="00E045D9" w:rsidRPr="00D5464D">
        <w:rPr>
          <w:rFonts w:eastAsia="Batang" w:cs="Times"/>
          <w:szCs w:val="20"/>
          <w:lang w:val="pt-BR" w:eastAsia="es-ES"/>
        </w:rPr>
        <w:t xml:space="preserve"> na </w:t>
      </w:r>
      <w:r w:rsidR="002246F9" w:rsidRPr="00D5464D">
        <w:rPr>
          <w:rFonts w:eastAsia="Batang" w:cs="Times"/>
          <w:szCs w:val="20"/>
          <w:lang w:val="pt-BR" w:eastAsia="es-ES"/>
        </w:rPr>
        <w:t>identifica</w:t>
      </w:r>
      <w:r w:rsidR="00470ADC" w:rsidRPr="00D5464D">
        <w:rPr>
          <w:rFonts w:eastAsia="Batang" w:cs="Times"/>
          <w:szCs w:val="20"/>
          <w:lang w:val="pt-BR" w:eastAsia="es-ES"/>
        </w:rPr>
        <w:t xml:space="preserve">ção dos </w:t>
      </w:r>
      <w:r w:rsidR="00E045D9" w:rsidRPr="00D5464D">
        <w:rPr>
          <w:rFonts w:eastAsia="Batang" w:cs="Times"/>
          <w:szCs w:val="20"/>
          <w:lang w:val="pt-BR" w:eastAsia="es-ES"/>
        </w:rPr>
        <w:t>trabalhadores</w:t>
      </w:r>
      <w:r w:rsidR="002246F9" w:rsidRPr="00D5464D">
        <w:rPr>
          <w:rFonts w:eastAsia="Batang" w:cs="Times"/>
          <w:szCs w:val="20"/>
          <w:lang w:val="pt-BR" w:eastAsia="es-ES"/>
        </w:rPr>
        <w:t xml:space="preserve"> que se </w:t>
      </w:r>
      <w:r w:rsidR="00470ADC" w:rsidRPr="00D5464D">
        <w:rPr>
          <w:rFonts w:eastAsia="Batang" w:cs="Times"/>
          <w:szCs w:val="20"/>
          <w:lang w:val="pt-BR" w:eastAsia="es-ES"/>
        </w:rPr>
        <w:t>encontravam</w:t>
      </w:r>
      <w:r w:rsidR="002246F9" w:rsidRPr="00D5464D">
        <w:rPr>
          <w:rFonts w:eastAsia="Batang" w:cs="Times"/>
          <w:szCs w:val="20"/>
          <w:lang w:val="pt-BR" w:eastAsia="es-ES"/>
        </w:rPr>
        <w:t xml:space="preserve"> prestando </w:t>
      </w:r>
      <w:r w:rsidRPr="00D5464D">
        <w:rPr>
          <w:rFonts w:eastAsia="Batang" w:cs="Times"/>
          <w:szCs w:val="20"/>
          <w:lang w:val="pt-BR" w:eastAsia="es-ES"/>
        </w:rPr>
        <w:t>serviços</w:t>
      </w:r>
      <w:r w:rsidR="00E045D9" w:rsidRPr="00D5464D">
        <w:rPr>
          <w:rFonts w:eastAsia="Batang" w:cs="Times"/>
          <w:szCs w:val="20"/>
          <w:lang w:val="pt-BR" w:eastAsia="es-ES"/>
        </w:rPr>
        <w:t xml:space="preserve"> na </w:t>
      </w:r>
      <w:r w:rsidR="00D809F0" w:rsidRPr="00D5464D">
        <w:rPr>
          <w:rFonts w:eastAsia="Batang" w:cs="Times"/>
          <w:szCs w:val="20"/>
          <w:lang w:val="pt-BR" w:eastAsia="es-ES"/>
        </w:rPr>
        <w:t>Fazenda</w:t>
      </w:r>
      <w:r w:rsidR="002246F9" w:rsidRPr="00D5464D">
        <w:rPr>
          <w:rFonts w:eastAsia="Batang" w:cs="Times"/>
          <w:szCs w:val="20"/>
          <w:lang w:val="pt-BR" w:eastAsia="es-ES"/>
        </w:rPr>
        <w:t xml:space="preserve"> Brasil Verde</w:t>
      </w:r>
      <w:r w:rsidR="00470ADC" w:rsidRPr="00D5464D">
        <w:rPr>
          <w:rFonts w:eastAsia="Batang" w:cs="Times"/>
          <w:szCs w:val="20"/>
          <w:lang w:val="pt-BR" w:eastAsia="es-ES"/>
        </w:rPr>
        <w:t xml:space="preserve"> </w:t>
      </w:r>
      <w:r w:rsidR="007C5F1E" w:rsidRPr="00D5464D">
        <w:rPr>
          <w:rFonts w:eastAsia="Batang" w:cs="Times"/>
          <w:szCs w:val="20"/>
          <w:lang w:val="pt-BR" w:eastAsia="es-ES"/>
        </w:rPr>
        <w:t>n</w:t>
      </w:r>
      <w:r w:rsidR="00470ADC" w:rsidRPr="00D5464D">
        <w:rPr>
          <w:rFonts w:eastAsia="Batang" w:cs="Times"/>
          <w:szCs w:val="20"/>
          <w:lang w:val="pt-BR" w:eastAsia="es-ES"/>
        </w:rPr>
        <w:t xml:space="preserve">o </w:t>
      </w:r>
      <w:r w:rsidR="002246F9" w:rsidRPr="00D5464D">
        <w:rPr>
          <w:rFonts w:eastAsia="Batang" w:cs="Times"/>
          <w:szCs w:val="20"/>
          <w:lang w:val="pt-BR" w:eastAsia="es-ES"/>
        </w:rPr>
        <w:t>momento</w:t>
      </w:r>
      <w:r w:rsidR="00470ADC" w:rsidRPr="00D5464D">
        <w:rPr>
          <w:rFonts w:eastAsia="Batang" w:cs="Times"/>
          <w:szCs w:val="20"/>
          <w:lang w:val="pt-BR" w:eastAsia="es-ES"/>
        </w:rPr>
        <w:t xml:space="preserve"> das </w:t>
      </w:r>
      <w:r w:rsidR="002246F9" w:rsidRPr="00D5464D">
        <w:rPr>
          <w:rFonts w:eastAsia="Batang" w:cs="Times"/>
          <w:szCs w:val="20"/>
          <w:lang w:val="pt-BR" w:eastAsia="es-ES"/>
        </w:rPr>
        <w:t>fiscaliza</w:t>
      </w:r>
      <w:r w:rsidR="00470ADC" w:rsidRPr="00D5464D">
        <w:rPr>
          <w:rFonts w:eastAsia="Batang" w:cs="Times"/>
          <w:szCs w:val="20"/>
          <w:lang w:val="pt-BR" w:eastAsia="es-ES"/>
        </w:rPr>
        <w:t>ções</w:t>
      </w:r>
      <w:r w:rsidR="002246F9" w:rsidRPr="00D5464D">
        <w:rPr>
          <w:rFonts w:eastAsia="Batang" w:cs="Times"/>
          <w:szCs w:val="20"/>
          <w:lang w:val="pt-BR" w:eastAsia="es-ES"/>
        </w:rPr>
        <w:t xml:space="preserve"> de abril de 1997</w:t>
      </w:r>
      <w:r w:rsidR="00E045D9" w:rsidRPr="00D5464D">
        <w:rPr>
          <w:rFonts w:eastAsia="Batang" w:cs="Times"/>
          <w:szCs w:val="20"/>
          <w:lang w:val="pt-BR" w:eastAsia="es-ES"/>
        </w:rPr>
        <w:t xml:space="preserve"> e </w:t>
      </w:r>
      <w:r w:rsidR="007C5F1E" w:rsidRPr="00D5464D">
        <w:rPr>
          <w:rFonts w:eastAsia="Batang" w:cs="Times"/>
          <w:szCs w:val="20"/>
          <w:lang w:val="pt-BR" w:eastAsia="es-ES"/>
        </w:rPr>
        <w:t xml:space="preserve">de </w:t>
      </w:r>
      <w:r w:rsidR="002C330E" w:rsidRPr="00D5464D">
        <w:rPr>
          <w:rFonts w:eastAsia="Batang" w:cs="Times"/>
          <w:szCs w:val="20"/>
          <w:lang w:val="pt-BR" w:eastAsia="es-ES"/>
        </w:rPr>
        <w:t>março</w:t>
      </w:r>
      <w:r w:rsidR="002246F9" w:rsidRPr="00D5464D">
        <w:rPr>
          <w:rFonts w:eastAsia="Batang" w:cs="Times"/>
          <w:szCs w:val="20"/>
          <w:lang w:val="pt-BR" w:eastAsia="es-ES"/>
        </w:rPr>
        <w:t xml:space="preserve"> de 2000. </w:t>
      </w:r>
    </w:p>
    <w:p w14:paraId="5EE0996A" w14:textId="77777777" w:rsidR="002246F9" w:rsidRPr="00D5464D" w:rsidRDefault="002246F9" w:rsidP="002246F9">
      <w:pPr>
        <w:autoSpaceDE w:val="0"/>
        <w:autoSpaceDN w:val="0"/>
        <w:adjustRightInd w:val="0"/>
        <w:ind w:right="15"/>
        <w:contextualSpacing/>
        <w:rPr>
          <w:rFonts w:cs="Arial"/>
          <w:szCs w:val="20"/>
          <w:lang w:val="pt-BR"/>
        </w:rPr>
      </w:pPr>
    </w:p>
    <w:p w14:paraId="696A6547" w14:textId="3BA09E09" w:rsidR="002246F9" w:rsidRPr="00D5464D" w:rsidRDefault="00737270" w:rsidP="002246F9">
      <w:pPr>
        <w:pStyle w:val="Prrafodelista"/>
        <w:numPr>
          <w:ilvl w:val="0"/>
          <w:numId w:val="1"/>
        </w:numPr>
        <w:autoSpaceDE w:val="0"/>
        <w:autoSpaceDN w:val="0"/>
        <w:adjustRightInd w:val="0"/>
        <w:rPr>
          <w:rFonts w:cs="Arial"/>
          <w:szCs w:val="20"/>
          <w:lang w:val="pt-BR"/>
        </w:rPr>
      </w:pPr>
      <w:r w:rsidRPr="00D5464D">
        <w:rPr>
          <w:rFonts w:cs="Arial"/>
          <w:szCs w:val="20"/>
          <w:lang w:val="pt-BR"/>
        </w:rPr>
        <w:t>A este respeito</w:t>
      </w:r>
      <w:r w:rsidR="002246F9" w:rsidRPr="00D5464D">
        <w:rPr>
          <w:rFonts w:cs="Arial"/>
          <w:szCs w:val="20"/>
          <w:lang w:val="pt-BR"/>
        </w:rPr>
        <w:t>,</w:t>
      </w:r>
      <w:r w:rsidR="002C330E" w:rsidRPr="00D5464D">
        <w:rPr>
          <w:rFonts w:cs="Arial"/>
          <w:szCs w:val="20"/>
          <w:lang w:val="pt-BR"/>
        </w:rPr>
        <w:t xml:space="preserve"> a </w:t>
      </w:r>
      <w:r w:rsidR="002246F9" w:rsidRPr="00D5464D">
        <w:rPr>
          <w:rFonts w:cs="Arial"/>
          <w:szCs w:val="20"/>
          <w:lang w:val="pt-BR"/>
        </w:rPr>
        <w:t>Corte considera evidente que</w:t>
      </w:r>
      <w:r w:rsidR="00470ADC" w:rsidRPr="00D5464D">
        <w:rPr>
          <w:rFonts w:cs="Arial"/>
          <w:szCs w:val="20"/>
          <w:lang w:val="pt-BR"/>
        </w:rPr>
        <w:t xml:space="preserve"> o </w:t>
      </w:r>
      <w:r w:rsidR="002246F9" w:rsidRPr="00D5464D">
        <w:rPr>
          <w:rFonts w:cs="Arial"/>
          <w:szCs w:val="20"/>
          <w:lang w:val="pt-BR"/>
        </w:rPr>
        <w:t xml:space="preserve">presente caso </w:t>
      </w:r>
      <w:r w:rsidR="00E045D9" w:rsidRPr="00D5464D">
        <w:rPr>
          <w:rFonts w:cs="Arial"/>
          <w:szCs w:val="20"/>
          <w:lang w:val="pt-BR"/>
        </w:rPr>
        <w:t xml:space="preserve">tem um </w:t>
      </w:r>
      <w:r w:rsidR="00470ADC" w:rsidRPr="00D5464D">
        <w:rPr>
          <w:rFonts w:cs="Arial"/>
          <w:szCs w:val="20"/>
          <w:lang w:val="pt-BR"/>
        </w:rPr>
        <w:t>caráter</w:t>
      </w:r>
      <w:r w:rsidR="002246F9" w:rsidRPr="00D5464D">
        <w:rPr>
          <w:rFonts w:cs="Arial"/>
          <w:szCs w:val="20"/>
          <w:lang w:val="pt-BR"/>
        </w:rPr>
        <w:t xml:space="preserve"> </w:t>
      </w:r>
      <w:r w:rsidR="00470ADC" w:rsidRPr="00D5464D">
        <w:rPr>
          <w:rFonts w:cs="Arial"/>
          <w:szCs w:val="20"/>
          <w:lang w:val="pt-BR"/>
        </w:rPr>
        <w:t>coletiv</w:t>
      </w:r>
      <w:r w:rsidR="002246F9" w:rsidRPr="00D5464D">
        <w:rPr>
          <w:rFonts w:cs="Arial"/>
          <w:szCs w:val="20"/>
          <w:lang w:val="pt-BR"/>
        </w:rPr>
        <w:t>o</w:t>
      </w:r>
      <w:r w:rsidR="00470ADC" w:rsidRPr="00D5464D">
        <w:rPr>
          <w:rFonts w:cs="Arial"/>
          <w:szCs w:val="20"/>
          <w:lang w:val="pt-BR"/>
        </w:rPr>
        <w:t>; e</w:t>
      </w:r>
      <w:r w:rsidR="002246F9" w:rsidRPr="00D5464D">
        <w:rPr>
          <w:rFonts w:cs="Arial"/>
          <w:szCs w:val="20"/>
          <w:lang w:val="pt-BR"/>
        </w:rPr>
        <w:t xml:space="preserve"> que, </w:t>
      </w:r>
      <w:r w:rsidR="0045707F" w:rsidRPr="00D5464D">
        <w:rPr>
          <w:rFonts w:cs="Arial"/>
          <w:szCs w:val="20"/>
          <w:lang w:val="pt-BR"/>
        </w:rPr>
        <w:t xml:space="preserve">além </w:t>
      </w:r>
      <w:r w:rsidR="00470ADC" w:rsidRPr="00D5464D">
        <w:rPr>
          <w:rFonts w:cs="Arial"/>
          <w:szCs w:val="20"/>
          <w:lang w:val="pt-BR"/>
        </w:rPr>
        <w:t xml:space="preserve">do amplo </w:t>
      </w:r>
      <w:r w:rsidR="002246F9" w:rsidRPr="00D5464D">
        <w:rPr>
          <w:rFonts w:cs="Arial"/>
          <w:szCs w:val="20"/>
          <w:lang w:val="pt-BR"/>
        </w:rPr>
        <w:t xml:space="preserve">número de </w:t>
      </w:r>
      <w:r w:rsidR="002C330E" w:rsidRPr="00D5464D">
        <w:rPr>
          <w:rFonts w:cs="Arial"/>
          <w:szCs w:val="20"/>
          <w:lang w:val="pt-BR"/>
        </w:rPr>
        <w:t>suposta</w:t>
      </w:r>
      <w:r w:rsidR="002246F9" w:rsidRPr="00D5464D">
        <w:rPr>
          <w:rFonts w:cs="Arial"/>
          <w:szCs w:val="20"/>
          <w:lang w:val="pt-BR"/>
        </w:rPr>
        <w:t xml:space="preserve">s </w:t>
      </w:r>
      <w:r w:rsidR="00E045D9" w:rsidRPr="00D5464D">
        <w:rPr>
          <w:rFonts w:cs="Arial"/>
          <w:szCs w:val="20"/>
          <w:lang w:val="pt-BR"/>
        </w:rPr>
        <w:t>vítima</w:t>
      </w:r>
      <w:r w:rsidR="002246F9" w:rsidRPr="00D5464D">
        <w:rPr>
          <w:rFonts w:cs="Arial"/>
          <w:szCs w:val="20"/>
          <w:lang w:val="pt-BR"/>
        </w:rPr>
        <w:t>s alegado, existe</w:t>
      </w:r>
      <w:r w:rsidR="00E045D9" w:rsidRPr="00D5464D">
        <w:rPr>
          <w:rFonts w:cs="Arial"/>
          <w:szCs w:val="20"/>
          <w:lang w:val="pt-BR"/>
        </w:rPr>
        <w:t xml:space="preserve"> uma </w:t>
      </w:r>
      <w:r w:rsidR="002246F9" w:rsidRPr="00D5464D">
        <w:rPr>
          <w:rFonts w:cs="Arial"/>
          <w:szCs w:val="20"/>
          <w:lang w:val="pt-BR"/>
        </w:rPr>
        <w:t xml:space="preserve">clara </w:t>
      </w:r>
      <w:r w:rsidR="00E045D9" w:rsidRPr="00D5464D">
        <w:rPr>
          <w:rFonts w:cs="Arial"/>
          <w:szCs w:val="20"/>
          <w:lang w:val="pt-BR"/>
        </w:rPr>
        <w:t xml:space="preserve">complexidade na </w:t>
      </w:r>
      <w:r w:rsidR="002246F9" w:rsidRPr="00D5464D">
        <w:rPr>
          <w:rFonts w:cs="Arial"/>
          <w:szCs w:val="20"/>
          <w:lang w:val="pt-BR"/>
        </w:rPr>
        <w:t>identifica</w:t>
      </w:r>
      <w:r w:rsidR="00470ADC" w:rsidRPr="00D5464D">
        <w:rPr>
          <w:rFonts w:cs="Arial"/>
          <w:szCs w:val="20"/>
          <w:lang w:val="pt-BR"/>
        </w:rPr>
        <w:t>ção</w:t>
      </w:r>
      <w:r w:rsidR="00E045D9" w:rsidRPr="00D5464D">
        <w:rPr>
          <w:rFonts w:cs="Arial"/>
          <w:szCs w:val="20"/>
          <w:lang w:val="pt-BR"/>
        </w:rPr>
        <w:t xml:space="preserve"> e </w:t>
      </w:r>
      <w:r w:rsidR="002246F9" w:rsidRPr="00D5464D">
        <w:rPr>
          <w:rFonts w:cs="Arial"/>
          <w:szCs w:val="20"/>
          <w:lang w:val="pt-BR"/>
        </w:rPr>
        <w:t>localiza</w:t>
      </w:r>
      <w:r w:rsidR="00470ADC" w:rsidRPr="00D5464D">
        <w:rPr>
          <w:rFonts w:cs="Arial"/>
          <w:szCs w:val="20"/>
          <w:lang w:val="pt-BR"/>
        </w:rPr>
        <w:t>ção</w:t>
      </w:r>
      <w:r w:rsidR="00350187" w:rsidRPr="00D5464D">
        <w:rPr>
          <w:rFonts w:cs="Arial"/>
          <w:szCs w:val="20"/>
          <w:lang w:val="pt-BR"/>
        </w:rPr>
        <w:t xml:space="preserve"> destas</w:t>
      </w:r>
      <w:r w:rsidR="00470ADC" w:rsidRPr="00D5464D">
        <w:rPr>
          <w:rFonts w:cs="Arial"/>
          <w:szCs w:val="20"/>
          <w:lang w:val="pt-BR"/>
        </w:rPr>
        <w:t xml:space="preserve"> </w:t>
      </w:r>
      <w:r w:rsidR="0045707F" w:rsidRPr="00D5464D">
        <w:rPr>
          <w:rFonts w:cs="Arial"/>
          <w:szCs w:val="20"/>
          <w:lang w:val="pt-BR"/>
        </w:rPr>
        <w:t xml:space="preserve">pessoas </w:t>
      </w:r>
      <w:r w:rsidR="00447966" w:rsidRPr="00D5464D">
        <w:rPr>
          <w:rFonts w:cs="Arial"/>
          <w:szCs w:val="20"/>
          <w:lang w:val="pt-BR"/>
        </w:rPr>
        <w:t>após as</w:t>
      </w:r>
      <w:r w:rsidR="00E045D9" w:rsidRPr="00D5464D">
        <w:rPr>
          <w:rFonts w:cs="Arial"/>
          <w:szCs w:val="20"/>
          <w:lang w:val="pt-BR"/>
        </w:rPr>
        <w:t xml:space="preserve"> </w:t>
      </w:r>
      <w:r w:rsidR="002246F9" w:rsidRPr="00D5464D">
        <w:rPr>
          <w:rFonts w:cs="Arial"/>
          <w:szCs w:val="20"/>
          <w:lang w:val="pt-BR"/>
        </w:rPr>
        <w:t xml:space="preserve">referidas </w:t>
      </w:r>
      <w:r w:rsidR="0031040E" w:rsidRPr="00D5464D">
        <w:rPr>
          <w:rFonts w:cs="Arial"/>
          <w:szCs w:val="20"/>
          <w:lang w:val="pt-BR"/>
        </w:rPr>
        <w:t>fiscalizações</w:t>
      </w:r>
      <w:r w:rsidR="002246F9" w:rsidRPr="00D5464D">
        <w:rPr>
          <w:rFonts w:cs="Arial"/>
          <w:szCs w:val="20"/>
          <w:lang w:val="pt-BR"/>
        </w:rPr>
        <w:t>. Tomando</w:t>
      </w:r>
      <w:r w:rsidR="00470ADC" w:rsidRPr="00D5464D">
        <w:rPr>
          <w:rFonts w:cs="Arial"/>
          <w:szCs w:val="20"/>
          <w:lang w:val="pt-BR"/>
        </w:rPr>
        <w:t xml:space="preserve"> </w:t>
      </w:r>
      <w:r w:rsidR="00447966" w:rsidRPr="00D5464D">
        <w:rPr>
          <w:rFonts w:cs="Arial"/>
          <w:szCs w:val="20"/>
          <w:lang w:val="pt-BR"/>
        </w:rPr>
        <w:t xml:space="preserve">isso </w:t>
      </w:r>
      <w:r w:rsidR="00470ADC" w:rsidRPr="00D5464D">
        <w:rPr>
          <w:rFonts w:cs="Arial"/>
          <w:szCs w:val="20"/>
          <w:lang w:val="pt-BR"/>
        </w:rPr>
        <w:t xml:space="preserve">em </w:t>
      </w:r>
      <w:r w:rsidR="002246F9" w:rsidRPr="00D5464D">
        <w:rPr>
          <w:rFonts w:cs="Arial"/>
          <w:szCs w:val="20"/>
          <w:lang w:val="pt-BR"/>
        </w:rPr>
        <w:t>considera</w:t>
      </w:r>
      <w:r w:rsidR="00470ADC" w:rsidRPr="00D5464D">
        <w:rPr>
          <w:rFonts w:cs="Arial"/>
          <w:szCs w:val="20"/>
          <w:lang w:val="pt-BR"/>
        </w:rPr>
        <w:t>ção</w:t>
      </w:r>
      <w:r w:rsidR="002246F9" w:rsidRPr="00D5464D">
        <w:rPr>
          <w:rFonts w:cs="Arial"/>
          <w:szCs w:val="20"/>
          <w:lang w:val="pt-BR"/>
        </w:rPr>
        <w:t>,</w:t>
      </w:r>
      <w:r w:rsidR="00470ADC" w:rsidRPr="00D5464D">
        <w:rPr>
          <w:rFonts w:cs="Arial"/>
          <w:szCs w:val="20"/>
          <w:lang w:val="pt-BR"/>
        </w:rPr>
        <w:t xml:space="preserve"> o </w:t>
      </w:r>
      <w:r w:rsidR="002246F9" w:rsidRPr="00D5464D">
        <w:rPr>
          <w:rFonts w:cs="Arial"/>
          <w:szCs w:val="20"/>
          <w:lang w:val="pt-BR"/>
        </w:rPr>
        <w:t xml:space="preserve">Tribunal </w:t>
      </w:r>
      <w:r w:rsidR="00470ADC" w:rsidRPr="00D5464D">
        <w:rPr>
          <w:rFonts w:cs="Arial"/>
          <w:szCs w:val="20"/>
          <w:lang w:val="pt-BR"/>
        </w:rPr>
        <w:t xml:space="preserve">conclui </w:t>
      </w:r>
      <w:r w:rsidR="002246F9" w:rsidRPr="00D5464D">
        <w:rPr>
          <w:rFonts w:cs="Arial"/>
          <w:szCs w:val="20"/>
          <w:lang w:val="pt-BR"/>
        </w:rPr>
        <w:t>que</w:t>
      </w:r>
      <w:r w:rsidR="00447966" w:rsidRPr="00D5464D">
        <w:rPr>
          <w:rFonts w:cs="Arial"/>
          <w:szCs w:val="20"/>
          <w:lang w:val="pt-BR"/>
        </w:rPr>
        <w:t>,</w:t>
      </w:r>
      <w:r w:rsidR="00E045D9" w:rsidRPr="00D5464D">
        <w:rPr>
          <w:rFonts w:cs="Arial"/>
          <w:szCs w:val="20"/>
          <w:lang w:val="pt-BR"/>
        </w:rPr>
        <w:t xml:space="preserve"> no </w:t>
      </w:r>
      <w:r w:rsidR="002246F9" w:rsidRPr="00D5464D">
        <w:rPr>
          <w:rFonts w:cs="Arial"/>
          <w:szCs w:val="20"/>
          <w:lang w:val="pt-BR"/>
        </w:rPr>
        <w:t>caso</w:t>
      </w:r>
      <w:r w:rsidR="00470ADC" w:rsidRPr="00D5464D">
        <w:rPr>
          <w:rFonts w:cs="Arial"/>
          <w:szCs w:val="20"/>
          <w:lang w:val="pt-BR"/>
        </w:rPr>
        <w:t xml:space="preserve"> em </w:t>
      </w:r>
      <w:r w:rsidR="002246F9" w:rsidRPr="00D5464D">
        <w:rPr>
          <w:rFonts w:cs="Arial"/>
          <w:szCs w:val="20"/>
          <w:lang w:val="pt-BR"/>
        </w:rPr>
        <w:t>concreto</w:t>
      </w:r>
      <w:r w:rsidR="00447966" w:rsidRPr="00D5464D">
        <w:rPr>
          <w:rFonts w:cs="Arial"/>
          <w:szCs w:val="20"/>
          <w:lang w:val="pt-BR"/>
        </w:rPr>
        <w:t>,</w:t>
      </w:r>
      <w:r w:rsidR="002246F9" w:rsidRPr="00D5464D">
        <w:rPr>
          <w:rFonts w:cs="Arial"/>
          <w:szCs w:val="20"/>
          <w:lang w:val="pt-BR"/>
        </w:rPr>
        <w:t xml:space="preserve"> </w:t>
      </w:r>
      <w:r w:rsidR="0045707F" w:rsidRPr="00D5464D">
        <w:rPr>
          <w:rFonts w:cs="Arial"/>
          <w:szCs w:val="20"/>
          <w:lang w:val="pt-BR"/>
        </w:rPr>
        <w:t xml:space="preserve">é </w:t>
      </w:r>
      <w:r w:rsidR="00470ADC" w:rsidRPr="00D5464D">
        <w:rPr>
          <w:rFonts w:cs="Arial"/>
          <w:szCs w:val="20"/>
          <w:lang w:val="pt-BR"/>
        </w:rPr>
        <w:t>aplicável</w:t>
      </w:r>
      <w:r w:rsidR="002C330E" w:rsidRPr="00D5464D">
        <w:rPr>
          <w:rFonts w:cs="Arial"/>
          <w:szCs w:val="20"/>
          <w:lang w:val="pt-BR"/>
        </w:rPr>
        <w:t xml:space="preserve"> a </w:t>
      </w:r>
      <w:r w:rsidR="00A1358C" w:rsidRPr="00D5464D">
        <w:rPr>
          <w:rFonts w:cs="Arial"/>
          <w:szCs w:val="20"/>
          <w:lang w:val="pt-BR"/>
        </w:rPr>
        <w:t>circunstância</w:t>
      </w:r>
      <w:r w:rsidR="002246F9" w:rsidRPr="00D5464D">
        <w:rPr>
          <w:rFonts w:cs="Arial"/>
          <w:szCs w:val="20"/>
          <w:lang w:val="pt-BR"/>
        </w:rPr>
        <w:t xml:space="preserve"> excepcional contemplada</w:t>
      </w:r>
      <w:r w:rsidR="00E045D9" w:rsidRPr="00D5464D">
        <w:rPr>
          <w:rFonts w:cs="Arial"/>
          <w:szCs w:val="20"/>
          <w:lang w:val="pt-BR"/>
        </w:rPr>
        <w:t xml:space="preserve"> no </w:t>
      </w:r>
      <w:r w:rsidR="00470ADC" w:rsidRPr="00D5464D">
        <w:rPr>
          <w:rFonts w:cs="Arial"/>
          <w:szCs w:val="20"/>
          <w:lang w:val="pt-BR"/>
        </w:rPr>
        <w:t>artigo</w:t>
      </w:r>
      <w:r w:rsidR="002246F9" w:rsidRPr="00D5464D">
        <w:rPr>
          <w:rFonts w:cs="Arial"/>
          <w:szCs w:val="20"/>
          <w:lang w:val="pt-BR"/>
        </w:rPr>
        <w:t xml:space="preserve"> 35.2 </w:t>
      </w:r>
      <w:r w:rsidR="00470ADC" w:rsidRPr="00D5464D">
        <w:rPr>
          <w:rFonts w:cs="Arial"/>
          <w:szCs w:val="20"/>
          <w:lang w:val="pt-BR"/>
        </w:rPr>
        <w:t xml:space="preserve">do </w:t>
      </w:r>
      <w:r w:rsidR="002C330E" w:rsidRPr="00D5464D">
        <w:rPr>
          <w:rFonts w:cs="Arial"/>
          <w:szCs w:val="20"/>
          <w:lang w:val="pt-BR"/>
        </w:rPr>
        <w:t>Regulamento</w:t>
      </w:r>
      <w:r w:rsidR="00470ADC" w:rsidRPr="00D5464D">
        <w:rPr>
          <w:rFonts w:cs="Arial"/>
          <w:szCs w:val="20"/>
          <w:lang w:val="pt-BR"/>
        </w:rPr>
        <w:t xml:space="preserve"> da </w:t>
      </w:r>
      <w:r w:rsidR="002246F9" w:rsidRPr="00D5464D">
        <w:rPr>
          <w:rFonts w:cs="Arial"/>
          <w:szCs w:val="20"/>
          <w:lang w:val="pt-BR"/>
        </w:rPr>
        <w:t>Corte</w:t>
      </w:r>
      <w:r w:rsidR="00A1358C" w:rsidRPr="00D5464D">
        <w:rPr>
          <w:rFonts w:cs="Arial"/>
          <w:szCs w:val="20"/>
          <w:lang w:val="pt-BR"/>
        </w:rPr>
        <w:t>. Em consequência</w:t>
      </w:r>
      <w:r w:rsidR="002246F9" w:rsidRPr="00D5464D">
        <w:rPr>
          <w:rFonts w:cs="Arial"/>
          <w:szCs w:val="20"/>
          <w:lang w:val="pt-BR"/>
        </w:rPr>
        <w:t>, determinar</w:t>
      </w:r>
      <w:r w:rsidR="00447966" w:rsidRPr="00D5464D">
        <w:rPr>
          <w:rFonts w:cs="Arial"/>
          <w:szCs w:val="20"/>
          <w:lang w:val="pt-BR"/>
        </w:rPr>
        <w:t>á</w:t>
      </w:r>
      <w:r w:rsidR="002C330E" w:rsidRPr="00D5464D">
        <w:rPr>
          <w:rFonts w:cs="Arial"/>
          <w:szCs w:val="20"/>
          <w:lang w:val="pt-BR"/>
        </w:rPr>
        <w:t xml:space="preserve"> as pessoa</w:t>
      </w:r>
      <w:r w:rsidR="00F443BC" w:rsidRPr="00D5464D">
        <w:rPr>
          <w:rFonts w:cs="Arial"/>
          <w:szCs w:val="20"/>
          <w:lang w:val="pt-BR"/>
        </w:rPr>
        <w:t>s</w:t>
      </w:r>
      <w:r w:rsidR="002246F9" w:rsidRPr="00D5464D">
        <w:rPr>
          <w:rFonts w:cs="Arial"/>
          <w:szCs w:val="20"/>
          <w:lang w:val="pt-BR"/>
        </w:rPr>
        <w:t xml:space="preserve"> que se </w:t>
      </w:r>
      <w:r w:rsidR="00470ADC" w:rsidRPr="00D5464D">
        <w:rPr>
          <w:rFonts w:cs="Arial"/>
          <w:szCs w:val="20"/>
          <w:lang w:val="pt-BR"/>
        </w:rPr>
        <w:t>encontravam</w:t>
      </w:r>
      <w:r w:rsidR="002246F9" w:rsidRPr="00D5464D">
        <w:rPr>
          <w:rFonts w:cs="Arial"/>
          <w:szCs w:val="20"/>
          <w:lang w:val="pt-BR"/>
        </w:rPr>
        <w:t xml:space="preserve"> </w:t>
      </w:r>
      <w:r w:rsidR="002246F9" w:rsidRPr="00D5464D">
        <w:rPr>
          <w:rFonts w:eastAsia="Batang" w:cs="Times"/>
          <w:szCs w:val="20"/>
          <w:lang w:val="pt-BR" w:eastAsia="es-ES"/>
        </w:rPr>
        <w:t xml:space="preserve">prestando </w:t>
      </w:r>
      <w:r w:rsidR="00A1358C" w:rsidRPr="00D5464D">
        <w:rPr>
          <w:rFonts w:eastAsia="Batang" w:cs="Times"/>
          <w:szCs w:val="20"/>
          <w:lang w:val="pt-BR" w:eastAsia="es-ES"/>
        </w:rPr>
        <w:t>serviços</w:t>
      </w:r>
      <w:r w:rsidR="00E045D9" w:rsidRPr="00D5464D">
        <w:rPr>
          <w:rFonts w:cs="Arial"/>
          <w:szCs w:val="20"/>
          <w:lang w:val="pt-BR"/>
        </w:rPr>
        <w:t xml:space="preserve"> na </w:t>
      </w:r>
      <w:r w:rsidR="00D809F0" w:rsidRPr="00D5464D">
        <w:rPr>
          <w:rFonts w:cs="Arial"/>
          <w:szCs w:val="20"/>
          <w:lang w:val="pt-BR"/>
        </w:rPr>
        <w:t>Fazenda</w:t>
      </w:r>
      <w:r w:rsidR="002246F9" w:rsidRPr="00D5464D">
        <w:rPr>
          <w:rFonts w:cs="Arial"/>
          <w:szCs w:val="20"/>
          <w:lang w:val="pt-BR"/>
        </w:rPr>
        <w:t xml:space="preserve"> Brasil Verde</w:t>
      </w:r>
      <w:r w:rsidR="00470ADC" w:rsidRPr="00D5464D">
        <w:rPr>
          <w:rFonts w:cs="Arial"/>
          <w:szCs w:val="20"/>
          <w:lang w:val="pt-BR"/>
        </w:rPr>
        <w:t xml:space="preserve"> </w:t>
      </w:r>
      <w:r w:rsidR="0045707F" w:rsidRPr="00D5464D">
        <w:rPr>
          <w:rFonts w:cs="Arial"/>
          <w:szCs w:val="20"/>
          <w:lang w:val="pt-BR"/>
        </w:rPr>
        <w:t>n</w:t>
      </w:r>
      <w:r w:rsidR="00470ADC" w:rsidRPr="00D5464D">
        <w:rPr>
          <w:rFonts w:cs="Arial"/>
          <w:szCs w:val="20"/>
          <w:lang w:val="pt-BR"/>
        </w:rPr>
        <w:t xml:space="preserve">o </w:t>
      </w:r>
      <w:r w:rsidR="002246F9" w:rsidRPr="00D5464D">
        <w:rPr>
          <w:rFonts w:cs="Arial"/>
          <w:szCs w:val="20"/>
          <w:lang w:val="pt-BR"/>
        </w:rPr>
        <w:t>momento</w:t>
      </w:r>
      <w:r w:rsidR="00470ADC" w:rsidRPr="00D5464D">
        <w:rPr>
          <w:rFonts w:cs="Arial"/>
          <w:szCs w:val="20"/>
          <w:lang w:val="pt-BR"/>
        </w:rPr>
        <w:t xml:space="preserve"> das </w:t>
      </w:r>
      <w:r w:rsidR="002246F9" w:rsidRPr="00D5464D">
        <w:rPr>
          <w:rFonts w:cs="Arial"/>
          <w:szCs w:val="20"/>
          <w:lang w:val="pt-BR"/>
        </w:rPr>
        <w:t>fiscaliza</w:t>
      </w:r>
      <w:r w:rsidR="00470ADC" w:rsidRPr="00D5464D">
        <w:rPr>
          <w:rFonts w:cs="Arial"/>
          <w:szCs w:val="20"/>
          <w:lang w:val="pt-BR"/>
        </w:rPr>
        <w:t>ções</w:t>
      </w:r>
      <w:r w:rsidR="002246F9" w:rsidRPr="00D5464D">
        <w:rPr>
          <w:rFonts w:cs="Arial"/>
          <w:szCs w:val="20"/>
          <w:lang w:val="pt-BR"/>
        </w:rPr>
        <w:t xml:space="preserve"> de 1997</w:t>
      </w:r>
      <w:r w:rsidR="00E045D9" w:rsidRPr="00D5464D">
        <w:rPr>
          <w:rFonts w:cs="Arial"/>
          <w:szCs w:val="20"/>
          <w:lang w:val="pt-BR"/>
        </w:rPr>
        <w:t xml:space="preserve"> e </w:t>
      </w:r>
      <w:r w:rsidR="002246F9" w:rsidRPr="00D5464D">
        <w:rPr>
          <w:rFonts w:cs="Arial"/>
          <w:szCs w:val="20"/>
          <w:lang w:val="pt-BR"/>
        </w:rPr>
        <w:t xml:space="preserve">2000. </w:t>
      </w:r>
    </w:p>
    <w:p w14:paraId="31BC329B" w14:textId="77777777" w:rsidR="002246F9" w:rsidRPr="00D5464D" w:rsidRDefault="002246F9" w:rsidP="002246F9">
      <w:pPr>
        <w:pStyle w:val="Prrafodelista"/>
        <w:autoSpaceDE w:val="0"/>
        <w:autoSpaceDN w:val="0"/>
        <w:adjustRightInd w:val="0"/>
        <w:ind w:left="0"/>
        <w:rPr>
          <w:szCs w:val="20"/>
          <w:lang w:val="pt-BR"/>
        </w:rPr>
      </w:pPr>
    </w:p>
    <w:p w14:paraId="1BEE27AC" w14:textId="1D5ADB44" w:rsidR="002246F9" w:rsidRPr="00D5464D" w:rsidRDefault="002246F9" w:rsidP="00F306D7">
      <w:pPr>
        <w:pStyle w:val="Ttulo2"/>
        <w:numPr>
          <w:ilvl w:val="0"/>
          <w:numId w:val="18"/>
        </w:numPr>
        <w:rPr>
          <w:lang w:val="pt-BR"/>
        </w:rPr>
      </w:pPr>
      <w:bookmarkStart w:id="356" w:name="_Toc468433908"/>
      <w:r w:rsidRPr="00D5464D">
        <w:rPr>
          <w:lang w:val="pt-BR"/>
        </w:rPr>
        <w:t>Fiscaliza</w:t>
      </w:r>
      <w:r w:rsidR="00470ADC" w:rsidRPr="00D5464D">
        <w:rPr>
          <w:lang w:val="pt-BR"/>
        </w:rPr>
        <w:t>ção</w:t>
      </w:r>
      <w:r w:rsidRPr="00D5464D">
        <w:rPr>
          <w:lang w:val="pt-BR"/>
        </w:rPr>
        <w:t xml:space="preserve"> de abril de 1997</w:t>
      </w:r>
      <w:bookmarkEnd w:id="356"/>
    </w:p>
    <w:p w14:paraId="1A74B047" w14:textId="77777777" w:rsidR="002246F9" w:rsidRPr="00D5464D" w:rsidRDefault="002246F9" w:rsidP="002246F9">
      <w:pPr>
        <w:tabs>
          <w:tab w:val="clear" w:pos="4419"/>
          <w:tab w:val="clear" w:pos="8838"/>
        </w:tabs>
        <w:autoSpaceDE w:val="0"/>
        <w:autoSpaceDN w:val="0"/>
        <w:adjustRightInd w:val="0"/>
        <w:ind w:firstLine="708"/>
        <w:rPr>
          <w:b/>
          <w:szCs w:val="20"/>
          <w:lang w:val="pt-BR"/>
        </w:rPr>
      </w:pPr>
    </w:p>
    <w:p w14:paraId="099B4F84" w14:textId="5D4FFA66" w:rsidR="002246F9" w:rsidRPr="00D5464D" w:rsidRDefault="002246F9" w:rsidP="005F0182">
      <w:pPr>
        <w:pStyle w:val="Ttulo3"/>
        <w:rPr>
          <w:lang w:val="pt-BR"/>
        </w:rPr>
      </w:pPr>
      <w:bookmarkStart w:id="357" w:name="_Toc460433023"/>
      <w:bookmarkStart w:id="358" w:name="_Toc460441954"/>
      <w:bookmarkStart w:id="359" w:name="_Toc462750772"/>
      <w:bookmarkStart w:id="360" w:name="_Toc462751096"/>
      <w:bookmarkStart w:id="361" w:name="_Toc464813948"/>
      <w:bookmarkStart w:id="362" w:name="_Toc468433909"/>
      <w:r w:rsidRPr="00D5464D">
        <w:rPr>
          <w:lang w:val="pt-BR"/>
        </w:rPr>
        <w:t>A.1</w:t>
      </w:r>
      <w:r w:rsidR="00CB7E29" w:rsidRPr="00D5464D">
        <w:rPr>
          <w:lang w:val="pt-BR"/>
        </w:rPr>
        <w:t>.</w:t>
      </w:r>
      <w:r w:rsidRPr="00D5464D">
        <w:rPr>
          <w:lang w:val="pt-BR"/>
        </w:rPr>
        <w:t xml:space="preserve"> Argumentos</w:t>
      </w:r>
      <w:r w:rsidR="00470ADC" w:rsidRPr="00D5464D">
        <w:rPr>
          <w:lang w:val="pt-BR"/>
        </w:rPr>
        <w:t xml:space="preserve"> das </w:t>
      </w:r>
      <w:r w:rsidRPr="00D5464D">
        <w:rPr>
          <w:lang w:val="pt-BR"/>
        </w:rPr>
        <w:t>partes</w:t>
      </w:r>
      <w:r w:rsidR="00E045D9" w:rsidRPr="00D5464D">
        <w:rPr>
          <w:lang w:val="pt-BR"/>
        </w:rPr>
        <w:t xml:space="preserve"> e </w:t>
      </w:r>
      <w:r w:rsidR="00470ADC" w:rsidRPr="00D5464D">
        <w:rPr>
          <w:lang w:val="pt-BR"/>
        </w:rPr>
        <w:t>da Comissão</w:t>
      </w:r>
      <w:bookmarkEnd w:id="357"/>
      <w:bookmarkEnd w:id="358"/>
      <w:bookmarkEnd w:id="359"/>
      <w:bookmarkEnd w:id="360"/>
      <w:bookmarkEnd w:id="361"/>
      <w:bookmarkEnd w:id="362"/>
    </w:p>
    <w:p w14:paraId="76AB1F24" w14:textId="77777777" w:rsidR="00DE3E58" w:rsidRPr="00D5464D" w:rsidRDefault="00DE3E58" w:rsidP="00DE3E58">
      <w:pPr>
        <w:pStyle w:val="Prrafodelista"/>
        <w:autoSpaceDE w:val="0"/>
        <w:autoSpaceDN w:val="0"/>
        <w:adjustRightInd w:val="0"/>
        <w:ind w:left="0"/>
        <w:rPr>
          <w:szCs w:val="20"/>
          <w:lang w:val="pt-BR"/>
        </w:rPr>
      </w:pPr>
    </w:p>
    <w:p w14:paraId="6C19F305" w14:textId="1BDB89D3" w:rsidR="002246F9" w:rsidRPr="00D5464D" w:rsidRDefault="00470ADC" w:rsidP="002246F9">
      <w:pPr>
        <w:pStyle w:val="Prrafodelista"/>
        <w:numPr>
          <w:ilvl w:val="0"/>
          <w:numId w:val="1"/>
        </w:numPr>
        <w:autoSpaceDE w:val="0"/>
        <w:autoSpaceDN w:val="0"/>
        <w:adjustRightInd w:val="0"/>
        <w:rPr>
          <w:szCs w:val="20"/>
          <w:lang w:val="pt-BR"/>
        </w:rPr>
      </w:pPr>
      <w:r w:rsidRPr="00D5464D">
        <w:rPr>
          <w:szCs w:val="20"/>
          <w:lang w:val="pt-BR"/>
        </w:rPr>
        <w:t xml:space="preserve">A </w:t>
      </w:r>
      <w:r w:rsidRPr="00D5464D">
        <w:rPr>
          <w:b/>
          <w:i/>
          <w:szCs w:val="20"/>
          <w:lang w:val="pt-BR"/>
        </w:rPr>
        <w:t>Comissão</w:t>
      </w:r>
      <w:r w:rsidR="002246F9" w:rsidRPr="00D5464D">
        <w:rPr>
          <w:szCs w:val="20"/>
          <w:lang w:val="pt-BR"/>
        </w:rPr>
        <w:t xml:space="preserve"> </w:t>
      </w:r>
      <w:r w:rsidR="002C330E" w:rsidRPr="00D5464D">
        <w:rPr>
          <w:szCs w:val="20"/>
          <w:lang w:val="pt-BR"/>
        </w:rPr>
        <w:t>afirmou</w:t>
      </w:r>
      <w:r w:rsidRPr="00D5464D">
        <w:rPr>
          <w:szCs w:val="20"/>
          <w:lang w:val="pt-BR"/>
        </w:rPr>
        <w:t xml:space="preserve"> em</w:t>
      </w:r>
      <w:r w:rsidR="00E045D9" w:rsidRPr="00D5464D">
        <w:rPr>
          <w:szCs w:val="20"/>
          <w:lang w:val="pt-BR"/>
        </w:rPr>
        <w:t xml:space="preserve"> seu </w:t>
      </w:r>
      <w:r w:rsidR="002F578C" w:rsidRPr="00D5464D">
        <w:rPr>
          <w:szCs w:val="20"/>
          <w:lang w:val="pt-BR"/>
        </w:rPr>
        <w:t>R</w:t>
      </w:r>
      <w:r w:rsidR="00350187" w:rsidRPr="00D5464D">
        <w:rPr>
          <w:szCs w:val="20"/>
          <w:lang w:val="pt-BR"/>
        </w:rPr>
        <w:t>elatório</w:t>
      </w:r>
      <w:r w:rsidR="002C330E" w:rsidRPr="00D5464D">
        <w:rPr>
          <w:szCs w:val="20"/>
          <w:lang w:val="pt-BR"/>
        </w:rPr>
        <w:t xml:space="preserve"> de Mérito</w:t>
      </w:r>
      <w:r w:rsidR="002246F9" w:rsidRPr="00D5464D">
        <w:rPr>
          <w:szCs w:val="20"/>
          <w:lang w:val="pt-BR"/>
        </w:rPr>
        <w:t xml:space="preserve"> que</w:t>
      </w:r>
      <w:r w:rsidR="002F578C" w:rsidRPr="00D5464D">
        <w:rPr>
          <w:szCs w:val="20"/>
          <w:lang w:val="pt-BR"/>
        </w:rPr>
        <w:t>,</w:t>
      </w:r>
      <w:r w:rsidRPr="00D5464D">
        <w:rPr>
          <w:szCs w:val="20"/>
          <w:lang w:val="pt-BR"/>
        </w:rPr>
        <w:t xml:space="preserve"> </w:t>
      </w:r>
      <w:r w:rsidR="002F578C" w:rsidRPr="00D5464D">
        <w:rPr>
          <w:szCs w:val="20"/>
          <w:lang w:val="pt-BR"/>
        </w:rPr>
        <w:t>n</w:t>
      </w:r>
      <w:r w:rsidRPr="00D5464D">
        <w:rPr>
          <w:szCs w:val="20"/>
          <w:lang w:val="pt-BR"/>
        </w:rPr>
        <w:t xml:space="preserve">o </w:t>
      </w:r>
      <w:r w:rsidR="002246F9" w:rsidRPr="00D5464D">
        <w:rPr>
          <w:szCs w:val="20"/>
          <w:lang w:val="pt-BR"/>
        </w:rPr>
        <w:t>momento</w:t>
      </w:r>
      <w:r w:rsidRPr="00D5464D">
        <w:rPr>
          <w:szCs w:val="20"/>
          <w:lang w:val="pt-BR"/>
        </w:rPr>
        <w:t xml:space="preserve"> da </w:t>
      </w:r>
      <w:r w:rsidR="002246F9" w:rsidRPr="00D5464D">
        <w:rPr>
          <w:szCs w:val="20"/>
          <w:lang w:val="pt-BR"/>
        </w:rPr>
        <w:t>fiscaliza</w:t>
      </w:r>
      <w:r w:rsidRPr="00D5464D">
        <w:rPr>
          <w:szCs w:val="20"/>
          <w:lang w:val="pt-BR"/>
        </w:rPr>
        <w:t>ção</w:t>
      </w:r>
      <w:r w:rsidR="002246F9" w:rsidRPr="00D5464D">
        <w:rPr>
          <w:szCs w:val="20"/>
          <w:lang w:val="pt-BR"/>
        </w:rPr>
        <w:t xml:space="preserve"> de abril de 1997</w:t>
      </w:r>
      <w:r w:rsidR="002F578C" w:rsidRPr="00D5464D">
        <w:rPr>
          <w:szCs w:val="20"/>
          <w:lang w:val="pt-BR"/>
        </w:rPr>
        <w:t>,</w:t>
      </w:r>
      <w:r w:rsidR="002246F9" w:rsidRPr="00D5464D">
        <w:rPr>
          <w:szCs w:val="20"/>
          <w:lang w:val="pt-BR"/>
        </w:rPr>
        <w:t xml:space="preserve"> </w:t>
      </w:r>
      <w:r w:rsidRPr="00D5464D">
        <w:rPr>
          <w:szCs w:val="20"/>
          <w:lang w:val="pt-BR"/>
        </w:rPr>
        <w:t>encontravam</w:t>
      </w:r>
      <w:r w:rsidR="002F578C" w:rsidRPr="00D5464D">
        <w:rPr>
          <w:szCs w:val="20"/>
          <w:lang w:val="pt-BR"/>
        </w:rPr>
        <w:t>-se</w:t>
      </w:r>
      <w:r w:rsidR="00E045D9" w:rsidRPr="00D5464D">
        <w:rPr>
          <w:szCs w:val="20"/>
          <w:lang w:val="pt-BR"/>
        </w:rPr>
        <w:t xml:space="preserve"> na </w:t>
      </w:r>
      <w:r w:rsidR="00D809F0" w:rsidRPr="00D5464D">
        <w:rPr>
          <w:szCs w:val="20"/>
          <w:lang w:val="pt-BR"/>
        </w:rPr>
        <w:t>Fazenda</w:t>
      </w:r>
      <w:r w:rsidR="002246F9" w:rsidRPr="00D5464D">
        <w:rPr>
          <w:szCs w:val="20"/>
          <w:lang w:val="pt-BR"/>
        </w:rPr>
        <w:t xml:space="preserve"> Brasil Verde 81 </w:t>
      </w:r>
      <w:r w:rsidR="00E045D9" w:rsidRPr="00D5464D">
        <w:rPr>
          <w:szCs w:val="20"/>
          <w:lang w:val="pt-BR"/>
        </w:rPr>
        <w:t>trabalhadores</w:t>
      </w:r>
      <w:r w:rsidR="002246F9" w:rsidRPr="00D5464D">
        <w:rPr>
          <w:szCs w:val="20"/>
          <w:lang w:val="pt-BR"/>
        </w:rPr>
        <w:t>,</w:t>
      </w:r>
      <w:r w:rsidR="002C330E" w:rsidRPr="00D5464D">
        <w:rPr>
          <w:szCs w:val="20"/>
          <w:lang w:val="pt-BR"/>
        </w:rPr>
        <w:t xml:space="preserve"> </w:t>
      </w:r>
      <w:r w:rsidR="00350187" w:rsidRPr="00D5464D">
        <w:rPr>
          <w:szCs w:val="20"/>
          <w:lang w:val="pt-BR"/>
        </w:rPr>
        <w:t>entretanto</w:t>
      </w:r>
      <w:r w:rsidR="002246F9" w:rsidRPr="00D5464D">
        <w:rPr>
          <w:szCs w:val="20"/>
          <w:lang w:val="pt-BR"/>
        </w:rPr>
        <w:t xml:space="preserve"> </w:t>
      </w:r>
      <w:r w:rsidR="00E045D9" w:rsidRPr="00D5464D">
        <w:rPr>
          <w:szCs w:val="20"/>
          <w:lang w:val="pt-BR"/>
        </w:rPr>
        <w:t>unicamente</w:t>
      </w:r>
      <w:r w:rsidR="002246F9" w:rsidRPr="00D5464D">
        <w:rPr>
          <w:szCs w:val="20"/>
          <w:lang w:val="pt-BR"/>
        </w:rPr>
        <w:t xml:space="preserve"> </w:t>
      </w:r>
      <w:r w:rsidR="002C330E" w:rsidRPr="00D5464D">
        <w:rPr>
          <w:szCs w:val="20"/>
          <w:lang w:val="pt-BR"/>
        </w:rPr>
        <w:t>havia</w:t>
      </w:r>
      <w:r w:rsidR="002246F9" w:rsidRPr="00D5464D">
        <w:rPr>
          <w:szCs w:val="20"/>
          <w:lang w:val="pt-BR"/>
        </w:rPr>
        <w:t xml:space="preserve"> podido identificar</w:t>
      </w:r>
      <w:r w:rsidRPr="00D5464D">
        <w:rPr>
          <w:szCs w:val="20"/>
          <w:lang w:val="pt-BR"/>
        </w:rPr>
        <w:t xml:space="preserve"> o </w:t>
      </w:r>
      <w:r w:rsidR="002C330E" w:rsidRPr="00D5464D">
        <w:rPr>
          <w:szCs w:val="20"/>
          <w:lang w:val="pt-BR"/>
        </w:rPr>
        <w:t>nome</w:t>
      </w:r>
      <w:r w:rsidR="002246F9" w:rsidRPr="00D5464D">
        <w:rPr>
          <w:szCs w:val="20"/>
          <w:lang w:val="pt-BR"/>
        </w:rPr>
        <w:t xml:space="preserve"> de 59</w:t>
      </w:r>
      <w:r w:rsidR="00350187" w:rsidRPr="00D5464D">
        <w:rPr>
          <w:szCs w:val="20"/>
          <w:lang w:val="pt-BR"/>
        </w:rPr>
        <w:t xml:space="preserve"> dele</w:t>
      </w:r>
      <w:r w:rsidR="002246F9" w:rsidRPr="00D5464D">
        <w:rPr>
          <w:szCs w:val="20"/>
          <w:lang w:val="pt-BR"/>
        </w:rPr>
        <w:t xml:space="preserve">s. </w:t>
      </w:r>
      <w:r w:rsidR="00350187" w:rsidRPr="00D5464D">
        <w:rPr>
          <w:szCs w:val="20"/>
          <w:lang w:val="pt-BR"/>
        </w:rPr>
        <w:t xml:space="preserve">Além disso, </w:t>
      </w:r>
      <w:r w:rsidR="005F3480" w:rsidRPr="00D5464D">
        <w:rPr>
          <w:szCs w:val="20"/>
          <w:lang w:val="pt-BR"/>
        </w:rPr>
        <w:t>afirmou</w:t>
      </w:r>
      <w:r w:rsidR="002246F9" w:rsidRPr="00D5464D">
        <w:rPr>
          <w:szCs w:val="20"/>
          <w:lang w:val="pt-BR"/>
        </w:rPr>
        <w:t xml:space="preserve"> que 12</w:t>
      </w:r>
      <w:r w:rsidRPr="00D5464D">
        <w:rPr>
          <w:szCs w:val="20"/>
          <w:lang w:val="pt-BR"/>
        </w:rPr>
        <w:t xml:space="preserve"> d</w:t>
      </w:r>
      <w:r w:rsidR="002F578C" w:rsidRPr="00D5464D">
        <w:rPr>
          <w:szCs w:val="20"/>
          <w:lang w:val="pt-BR"/>
        </w:rPr>
        <w:t>est</w:t>
      </w:r>
      <w:r w:rsidRPr="00D5464D">
        <w:rPr>
          <w:szCs w:val="20"/>
          <w:lang w:val="pt-BR"/>
        </w:rPr>
        <w:t xml:space="preserve">as </w:t>
      </w:r>
      <w:r w:rsidR="002C330E" w:rsidRPr="00D5464D">
        <w:rPr>
          <w:szCs w:val="20"/>
          <w:lang w:val="pt-BR"/>
        </w:rPr>
        <w:t>pessoa</w:t>
      </w:r>
      <w:r w:rsidR="002246F9" w:rsidRPr="00D5464D">
        <w:rPr>
          <w:szCs w:val="20"/>
          <w:lang w:val="pt-BR"/>
        </w:rPr>
        <w:t>s</w:t>
      </w:r>
      <w:r w:rsidR="00737270" w:rsidRPr="00D5464D">
        <w:rPr>
          <w:szCs w:val="20"/>
          <w:lang w:val="pt-BR"/>
        </w:rPr>
        <w:t xml:space="preserve"> haviam </w:t>
      </w:r>
      <w:r w:rsidR="002246F9" w:rsidRPr="00D5464D">
        <w:rPr>
          <w:szCs w:val="20"/>
          <w:lang w:val="pt-BR"/>
        </w:rPr>
        <w:t xml:space="preserve">sido identificadas mediante </w:t>
      </w:r>
      <w:r w:rsidR="00230C71" w:rsidRPr="00D5464D">
        <w:rPr>
          <w:szCs w:val="20"/>
          <w:lang w:val="pt-BR"/>
        </w:rPr>
        <w:t>conta</w:t>
      </w:r>
      <w:r w:rsidR="002246F9" w:rsidRPr="00D5464D">
        <w:rPr>
          <w:szCs w:val="20"/>
          <w:lang w:val="pt-BR"/>
        </w:rPr>
        <w:t>s in</w:t>
      </w:r>
      <w:r w:rsidRPr="00D5464D">
        <w:rPr>
          <w:szCs w:val="20"/>
          <w:lang w:val="pt-BR"/>
        </w:rPr>
        <w:t>formais</w:t>
      </w:r>
      <w:r w:rsidR="002246F9" w:rsidRPr="00D5464D">
        <w:rPr>
          <w:szCs w:val="20"/>
          <w:lang w:val="pt-BR"/>
        </w:rPr>
        <w:t xml:space="preserve"> de </w:t>
      </w:r>
      <w:r w:rsidRPr="00D5464D">
        <w:rPr>
          <w:szCs w:val="20"/>
          <w:lang w:val="pt-BR"/>
        </w:rPr>
        <w:t>dívida</w:t>
      </w:r>
      <w:r w:rsidR="002246F9" w:rsidRPr="00D5464D">
        <w:rPr>
          <w:szCs w:val="20"/>
          <w:lang w:val="pt-BR"/>
        </w:rPr>
        <w:t>s adquiridas</w:t>
      </w:r>
      <w:r w:rsidR="002C330E" w:rsidRPr="00D5464D">
        <w:rPr>
          <w:szCs w:val="20"/>
          <w:lang w:val="pt-BR"/>
        </w:rPr>
        <w:t xml:space="preserve"> pelos </w:t>
      </w:r>
      <w:r w:rsidR="00E045D9" w:rsidRPr="00D5464D">
        <w:rPr>
          <w:szCs w:val="20"/>
          <w:lang w:val="pt-BR"/>
        </w:rPr>
        <w:t>trabalhadores</w:t>
      </w:r>
      <w:r w:rsidRPr="00D5464D">
        <w:rPr>
          <w:szCs w:val="20"/>
          <w:lang w:val="pt-BR"/>
        </w:rPr>
        <w:t xml:space="preserve"> com o </w:t>
      </w:r>
      <w:r w:rsidR="00230C71" w:rsidRPr="00D5464D">
        <w:rPr>
          <w:szCs w:val="20"/>
          <w:lang w:val="pt-BR"/>
        </w:rPr>
        <w:t>empregad</w:t>
      </w:r>
      <w:r w:rsidR="002246F9" w:rsidRPr="00D5464D">
        <w:rPr>
          <w:szCs w:val="20"/>
          <w:lang w:val="pt-BR"/>
        </w:rPr>
        <w:t>or</w:t>
      </w:r>
      <w:r w:rsidRPr="00D5464D">
        <w:rPr>
          <w:szCs w:val="20"/>
          <w:lang w:val="pt-BR"/>
        </w:rPr>
        <w:t xml:space="preserve"> e</w:t>
      </w:r>
      <w:r w:rsidR="002246F9" w:rsidRPr="00D5464D">
        <w:rPr>
          <w:szCs w:val="20"/>
          <w:lang w:val="pt-BR"/>
        </w:rPr>
        <w:t xml:space="preserve"> que</w:t>
      </w:r>
      <w:r w:rsidR="00447966" w:rsidRPr="00D5464D">
        <w:rPr>
          <w:szCs w:val="20"/>
          <w:lang w:val="pt-BR"/>
        </w:rPr>
        <w:t>,</w:t>
      </w:r>
      <w:r w:rsidRPr="00D5464D">
        <w:rPr>
          <w:szCs w:val="20"/>
          <w:lang w:val="pt-BR"/>
        </w:rPr>
        <w:t xml:space="preserve"> em </w:t>
      </w:r>
      <w:r w:rsidR="002C330E" w:rsidRPr="00D5464D">
        <w:rPr>
          <w:szCs w:val="20"/>
          <w:lang w:val="pt-BR"/>
        </w:rPr>
        <w:t>múltipla</w:t>
      </w:r>
      <w:r w:rsidR="002246F9" w:rsidRPr="00D5464D">
        <w:rPr>
          <w:szCs w:val="20"/>
          <w:lang w:val="pt-BR"/>
        </w:rPr>
        <w:t xml:space="preserve">s </w:t>
      </w:r>
      <w:r w:rsidR="002F578C" w:rsidRPr="00D5464D">
        <w:rPr>
          <w:szCs w:val="20"/>
          <w:lang w:val="pt-BR"/>
        </w:rPr>
        <w:t>situações</w:t>
      </w:r>
      <w:r w:rsidR="00447966" w:rsidRPr="00D5464D">
        <w:rPr>
          <w:szCs w:val="20"/>
          <w:lang w:val="pt-BR"/>
        </w:rPr>
        <w:t>,</w:t>
      </w:r>
      <w:r w:rsidR="002F578C" w:rsidRPr="00D5464D">
        <w:rPr>
          <w:szCs w:val="20"/>
          <w:lang w:val="pt-BR"/>
        </w:rPr>
        <w:t xml:space="preserve"> </w:t>
      </w:r>
      <w:r w:rsidR="002C330E" w:rsidRPr="00D5464D">
        <w:rPr>
          <w:szCs w:val="20"/>
          <w:lang w:val="pt-BR"/>
        </w:rPr>
        <w:t xml:space="preserve">os </w:t>
      </w:r>
      <w:r w:rsidR="00E045D9" w:rsidRPr="00D5464D">
        <w:rPr>
          <w:szCs w:val="20"/>
          <w:lang w:val="pt-BR"/>
        </w:rPr>
        <w:t>trabalhadores</w:t>
      </w:r>
      <w:r w:rsidR="002246F9" w:rsidRPr="00D5464D">
        <w:rPr>
          <w:szCs w:val="20"/>
          <w:lang w:val="pt-BR"/>
        </w:rPr>
        <w:t xml:space="preserve"> </w:t>
      </w:r>
      <w:r w:rsidR="00EB1CE9" w:rsidRPr="00D5464D">
        <w:rPr>
          <w:szCs w:val="20"/>
          <w:lang w:val="pt-BR"/>
        </w:rPr>
        <w:t>apareciam</w:t>
      </w:r>
      <w:r w:rsidR="002246F9" w:rsidRPr="00D5464D">
        <w:rPr>
          <w:szCs w:val="20"/>
          <w:lang w:val="pt-BR"/>
        </w:rPr>
        <w:t xml:space="preserve"> registrados</w:t>
      </w:r>
      <w:r w:rsidR="002C330E" w:rsidRPr="00D5464D">
        <w:rPr>
          <w:szCs w:val="20"/>
          <w:lang w:val="pt-BR"/>
        </w:rPr>
        <w:t xml:space="preserve"> sem </w:t>
      </w:r>
      <w:r w:rsidR="002F578C" w:rsidRPr="00D5464D">
        <w:rPr>
          <w:szCs w:val="20"/>
          <w:lang w:val="pt-BR"/>
        </w:rPr>
        <w:t>sobrenomes</w:t>
      </w:r>
      <w:r w:rsidR="002246F9" w:rsidRPr="00D5464D">
        <w:rPr>
          <w:szCs w:val="20"/>
          <w:lang w:val="pt-BR"/>
        </w:rPr>
        <w:t>,</w:t>
      </w:r>
      <w:r w:rsidRPr="00D5464D">
        <w:rPr>
          <w:szCs w:val="20"/>
          <w:lang w:val="pt-BR"/>
        </w:rPr>
        <w:t xml:space="preserve"> com </w:t>
      </w:r>
      <w:r w:rsidR="002F578C" w:rsidRPr="00D5464D">
        <w:rPr>
          <w:szCs w:val="20"/>
          <w:lang w:val="pt-BR"/>
        </w:rPr>
        <w:t xml:space="preserve">apelidos </w:t>
      </w:r>
      <w:r w:rsidR="002246F9" w:rsidRPr="00D5464D">
        <w:rPr>
          <w:szCs w:val="20"/>
          <w:lang w:val="pt-BR"/>
        </w:rPr>
        <w:t>o</w:t>
      </w:r>
      <w:r w:rsidR="002F578C" w:rsidRPr="00D5464D">
        <w:rPr>
          <w:szCs w:val="20"/>
          <w:lang w:val="pt-BR"/>
        </w:rPr>
        <w:t>u</w:t>
      </w:r>
      <w:r w:rsidR="002246F9" w:rsidRPr="00D5464D">
        <w:rPr>
          <w:szCs w:val="20"/>
          <w:lang w:val="pt-BR"/>
        </w:rPr>
        <w:t xml:space="preserve"> </w:t>
      </w:r>
      <w:r w:rsidR="002F578C" w:rsidRPr="00D5464D">
        <w:rPr>
          <w:szCs w:val="20"/>
          <w:lang w:val="pt-BR"/>
        </w:rPr>
        <w:t xml:space="preserve">com </w:t>
      </w:r>
      <w:r w:rsidR="002C330E" w:rsidRPr="00D5464D">
        <w:rPr>
          <w:szCs w:val="20"/>
          <w:lang w:val="pt-BR"/>
        </w:rPr>
        <w:t>nome</w:t>
      </w:r>
      <w:r w:rsidR="002246F9" w:rsidRPr="00D5464D">
        <w:rPr>
          <w:szCs w:val="20"/>
          <w:lang w:val="pt-BR"/>
        </w:rPr>
        <w:t>s</w:t>
      </w:r>
      <w:r w:rsidRPr="00D5464D">
        <w:rPr>
          <w:szCs w:val="20"/>
          <w:lang w:val="pt-BR"/>
        </w:rPr>
        <w:t xml:space="preserve"> </w:t>
      </w:r>
      <w:r w:rsidR="00350187" w:rsidRPr="00D5464D">
        <w:rPr>
          <w:szCs w:val="20"/>
          <w:lang w:val="pt-BR"/>
        </w:rPr>
        <w:t>ilegíveis</w:t>
      </w:r>
      <w:r w:rsidR="002246F9" w:rsidRPr="00D5464D">
        <w:rPr>
          <w:szCs w:val="20"/>
          <w:lang w:val="pt-BR"/>
        </w:rPr>
        <w:t>;</w:t>
      </w:r>
      <w:r w:rsidR="002C330E" w:rsidRPr="00D5464D">
        <w:rPr>
          <w:szCs w:val="20"/>
          <w:lang w:val="pt-BR"/>
        </w:rPr>
        <w:t xml:space="preserve"> </w:t>
      </w:r>
      <w:r w:rsidR="002F578C" w:rsidRPr="00D5464D">
        <w:rPr>
          <w:szCs w:val="20"/>
          <w:lang w:val="pt-BR"/>
        </w:rPr>
        <w:t xml:space="preserve">de modo </w:t>
      </w:r>
      <w:r w:rsidR="002C330E" w:rsidRPr="00D5464D">
        <w:rPr>
          <w:szCs w:val="20"/>
          <w:lang w:val="pt-BR"/>
        </w:rPr>
        <w:t xml:space="preserve">que a </w:t>
      </w:r>
      <w:r w:rsidRPr="00D5464D">
        <w:rPr>
          <w:szCs w:val="20"/>
          <w:lang w:val="pt-BR"/>
        </w:rPr>
        <w:t>Comissão</w:t>
      </w:r>
      <w:r w:rsidR="002246F9" w:rsidRPr="00D5464D">
        <w:rPr>
          <w:szCs w:val="20"/>
          <w:lang w:val="pt-BR"/>
        </w:rPr>
        <w:t xml:space="preserve"> </w:t>
      </w:r>
      <w:r w:rsidR="002F578C" w:rsidRPr="00D5464D">
        <w:rPr>
          <w:szCs w:val="20"/>
          <w:lang w:val="pt-BR"/>
        </w:rPr>
        <w:t xml:space="preserve">carecia </w:t>
      </w:r>
      <w:r w:rsidR="002246F9" w:rsidRPr="00D5464D">
        <w:rPr>
          <w:szCs w:val="20"/>
          <w:lang w:val="pt-BR"/>
        </w:rPr>
        <w:t>de informa</w:t>
      </w:r>
      <w:r w:rsidRPr="00D5464D">
        <w:rPr>
          <w:szCs w:val="20"/>
          <w:lang w:val="pt-BR"/>
        </w:rPr>
        <w:t>ção</w:t>
      </w:r>
      <w:r w:rsidR="002246F9" w:rsidRPr="00D5464D">
        <w:rPr>
          <w:szCs w:val="20"/>
          <w:lang w:val="pt-BR"/>
        </w:rPr>
        <w:t xml:space="preserve"> suficiente para determinar</w:t>
      </w:r>
      <w:r w:rsidR="002C330E" w:rsidRPr="00D5464D">
        <w:rPr>
          <w:szCs w:val="20"/>
          <w:lang w:val="pt-BR"/>
        </w:rPr>
        <w:t xml:space="preserve"> se </w:t>
      </w:r>
      <w:r w:rsidR="002246F9" w:rsidRPr="00D5464D">
        <w:rPr>
          <w:szCs w:val="20"/>
          <w:lang w:val="pt-BR"/>
        </w:rPr>
        <w:t>se trat</w:t>
      </w:r>
      <w:r w:rsidR="00350187" w:rsidRPr="00D5464D">
        <w:rPr>
          <w:szCs w:val="20"/>
          <w:lang w:val="pt-BR"/>
        </w:rPr>
        <w:t xml:space="preserve">ava </w:t>
      </w:r>
      <w:r w:rsidR="002246F9" w:rsidRPr="00D5464D">
        <w:rPr>
          <w:szCs w:val="20"/>
          <w:lang w:val="pt-BR"/>
        </w:rPr>
        <w:t>o</w:t>
      </w:r>
      <w:r w:rsidR="002F578C" w:rsidRPr="00D5464D">
        <w:rPr>
          <w:szCs w:val="20"/>
          <w:lang w:val="pt-BR"/>
        </w:rPr>
        <w:t>u</w:t>
      </w:r>
      <w:r w:rsidR="002246F9" w:rsidRPr="00D5464D">
        <w:rPr>
          <w:szCs w:val="20"/>
          <w:lang w:val="pt-BR"/>
        </w:rPr>
        <w:t xml:space="preserve"> n</w:t>
      </w:r>
      <w:r w:rsidR="002F578C" w:rsidRPr="00D5464D">
        <w:rPr>
          <w:szCs w:val="20"/>
          <w:lang w:val="pt-BR"/>
        </w:rPr>
        <w:t>ã</w:t>
      </w:r>
      <w:r w:rsidR="002246F9" w:rsidRPr="00D5464D">
        <w:rPr>
          <w:szCs w:val="20"/>
          <w:lang w:val="pt-BR"/>
        </w:rPr>
        <w:t>o de</w:t>
      </w:r>
      <w:r w:rsidR="00E045D9" w:rsidRPr="00D5464D">
        <w:rPr>
          <w:szCs w:val="20"/>
          <w:lang w:val="pt-BR"/>
        </w:rPr>
        <w:t xml:space="preserve"> um trabalh</w:t>
      </w:r>
      <w:r w:rsidR="002246F9" w:rsidRPr="00D5464D">
        <w:rPr>
          <w:szCs w:val="20"/>
          <w:lang w:val="pt-BR"/>
        </w:rPr>
        <w:t>ador previamente identificado</w:t>
      </w:r>
      <w:r w:rsidR="002246F9" w:rsidRPr="00D5464D">
        <w:rPr>
          <w:rFonts w:cs="Times New Roman"/>
          <w:szCs w:val="20"/>
          <w:lang w:val="pt-BR"/>
        </w:rPr>
        <w:t>.</w:t>
      </w:r>
    </w:p>
    <w:p w14:paraId="3A8CFE41" w14:textId="77777777" w:rsidR="002246F9" w:rsidRPr="00D5464D" w:rsidRDefault="002246F9" w:rsidP="002246F9">
      <w:pPr>
        <w:pStyle w:val="Prrafodelista"/>
        <w:autoSpaceDE w:val="0"/>
        <w:autoSpaceDN w:val="0"/>
        <w:adjustRightInd w:val="0"/>
        <w:ind w:left="0"/>
        <w:rPr>
          <w:szCs w:val="20"/>
          <w:lang w:val="pt-BR"/>
        </w:rPr>
      </w:pPr>
    </w:p>
    <w:p w14:paraId="4E02CBC5" w14:textId="31B86BFE" w:rsidR="002246F9" w:rsidRPr="00D5464D" w:rsidRDefault="00737270" w:rsidP="002246F9">
      <w:pPr>
        <w:pStyle w:val="Prrafodelista"/>
        <w:numPr>
          <w:ilvl w:val="0"/>
          <w:numId w:val="1"/>
        </w:numPr>
        <w:autoSpaceDE w:val="0"/>
        <w:autoSpaceDN w:val="0"/>
        <w:adjustRightInd w:val="0"/>
        <w:rPr>
          <w:szCs w:val="20"/>
          <w:lang w:val="pt-BR"/>
        </w:rPr>
      </w:pPr>
      <w:r w:rsidRPr="00D5464D">
        <w:rPr>
          <w:szCs w:val="20"/>
          <w:lang w:val="pt-BR"/>
        </w:rPr>
        <w:t>Por sua vez</w:t>
      </w:r>
      <w:r w:rsidR="002246F9" w:rsidRPr="00D5464D">
        <w:rPr>
          <w:szCs w:val="20"/>
          <w:lang w:val="pt-BR"/>
        </w:rPr>
        <w:t>,</w:t>
      </w:r>
      <w:r w:rsidR="002C330E" w:rsidRPr="00D5464D">
        <w:rPr>
          <w:szCs w:val="20"/>
          <w:lang w:val="pt-BR"/>
        </w:rPr>
        <w:t xml:space="preserve"> os </w:t>
      </w:r>
      <w:r w:rsidR="00EB1CE9" w:rsidRPr="00D5464D">
        <w:rPr>
          <w:b/>
          <w:i/>
          <w:szCs w:val="20"/>
          <w:lang w:val="pt-BR"/>
        </w:rPr>
        <w:t>representante</w:t>
      </w:r>
      <w:r w:rsidR="002246F9" w:rsidRPr="00D5464D">
        <w:rPr>
          <w:b/>
          <w:i/>
          <w:szCs w:val="20"/>
          <w:lang w:val="pt-BR"/>
        </w:rPr>
        <w:t>s</w:t>
      </w:r>
      <w:r w:rsidR="002246F9" w:rsidRPr="00D5464D">
        <w:rPr>
          <w:szCs w:val="20"/>
          <w:lang w:val="pt-BR"/>
        </w:rPr>
        <w:t xml:space="preserve"> </w:t>
      </w:r>
      <w:r w:rsidR="00470ADC" w:rsidRPr="00D5464D">
        <w:rPr>
          <w:szCs w:val="20"/>
          <w:lang w:val="pt-BR"/>
        </w:rPr>
        <w:t>coincidiram com</w:t>
      </w:r>
      <w:r w:rsidR="002C330E" w:rsidRPr="00D5464D">
        <w:rPr>
          <w:szCs w:val="20"/>
          <w:lang w:val="pt-BR"/>
        </w:rPr>
        <w:t xml:space="preserve"> a </w:t>
      </w:r>
      <w:r w:rsidR="00470ADC" w:rsidRPr="00D5464D">
        <w:rPr>
          <w:szCs w:val="20"/>
          <w:lang w:val="pt-BR"/>
        </w:rPr>
        <w:t xml:space="preserve">Comissão </w:t>
      </w:r>
      <w:r w:rsidR="00D27E77" w:rsidRPr="00D5464D">
        <w:rPr>
          <w:szCs w:val="20"/>
          <w:lang w:val="pt-BR"/>
        </w:rPr>
        <w:t>quanto ao fato de</w:t>
      </w:r>
      <w:r w:rsidR="00C64CCE" w:rsidRPr="00D5464D">
        <w:rPr>
          <w:szCs w:val="20"/>
          <w:lang w:val="pt-BR"/>
        </w:rPr>
        <w:t xml:space="preserve"> </w:t>
      </w:r>
      <w:r w:rsidR="002246F9" w:rsidRPr="00D5464D">
        <w:rPr>
          <w:szCs w:val="20"/>
          <w:lang w:val="pt-BR"/>
        </w:rPr>
        <w:t>que</w:t>
      </w:r>
      <w:r w:rsidR="00470ADC" w:rsidRPr="00D5464D">
        <w:rPr>
          <w:szCs w:val="20"/>
          <w:lang w:val="pt-BR"/>
        </w:rPr>
        <w:t xml:space="preserve"> </w:t>
      </w:r>
      <w:r w:rsidR="002F578C" w:rsidRPr="00D5464D">
        <w:rPr>
          <w:szCs w:val="20"/>
          <w:lang w:val="pt-BR"/>
        </w:rPr>
        <w:t>n</w:t>
      </w:r>
      <w:r w:rsidR="00470ADC" w:rsidRPr="00D5464D">
        <w:rPr>
          <w:szCs w:val="20"/>
          <w:lang w:val="pt-BR"/>
        </w:rPr>
        <w:t xml:space="preserve">o </w:t>
      </w:r>
      <w:r w:rsidR="002246F9" w:rsidRPr="00D5464D">
        <w:rPr>
          <w:szCs w:val="20"/>
          <w:lang w:val="pt-BR"/>
        </w:rPr>
        <w:t>momento</w:t>
      </w:r>
      <w:r w:rsidR="00470ADC" w:rsidRPr="00D5464D">
        <w:rPr>
          <w:szCs w:val="20"/>
          <w:lang w:val="pt-BR"/>
        </w:rPr>
        <w:t xml:space="preserve"> da </w:t>
      </w:r>
      <w:r w:rsidR="002246F9" w:rsidRPr="00D5464D">
        <w:rPr>
          <w:szCs w:val="20"/>
          <w:lang w:val="pt-BR"/>
        </w:rPr>
        <w:t>fiscaliza</w:t>
      </w:r>
      <w:r w:rsidR="00470ADC" w:rsidRPr="00D5464D">
        <w:rPr>
          <w:szCs w:val="20"/>
          <w:lang w:val="pt-BR"/>
        </w:rPr>
        <w:t>ção</w:t>
      </w:r>
      <w:r w:rsidR="002246F9" w:rsidRPr="00D5464D">
        <w:rPr>
          <w:szCs w:val="20"/>
          <w:lang w:val="pt-BR"/>
        </w:rPr>
        <w:t xml:space="preserve"> de abril 1997 </w:t>
      </w:r>
      <w:r w:rsidR="002C330E" w:rsidRPr="00D5464D">
        <w:rPr>
          <w:szCs w:val="20"/>
          <w:lang w:val="pt-BR"/>
        </w:rPr>
        <w:t>havia</w:t>
      </w:r>
      <w:r w:rsidR="002246F9" w:rsidRPr="00D5464D">
        <w:rPr>
          <w:szCs w:val="20"/>
          <w:lang w:val="pt-BR"/>
        </w:rPr>
        <w:t xml:space="preserve"> 81 </w:t>
      </w:r>
      <w:r w:rsidR="00E045D9" w:rsidRPr="00D5464D">
        <w:rPr>
          <w:szCs w:val="20"/>
          <w:lang w:val="pt-BR"/>
        </w:rPr>
        <w:t xml:space="preserve">trabalhadores na </w:t>
      </w:r>
      <w:r w:rsidR="00D809F0" w:rsidRPr="00D5464D">
        <w:rPr>
          <w:szCs w:val="20"/>
          <w:lang w:val="pt-BR"/>
        </w:rPr>
        <w:t>Fazenda</w:t>
      </w:r>
      <w:r w:rsidR="002246F9" w:rsidRPr="00D5464D">
        <w:rPr>
          <w:szCs w:val="20"/>
          <w:lang w:val="pt-BR"/>
        </w:rPr>
        <w:t xml:space="preserve"> Brasil Verde</w:t>
      </w:r>
      <w:r w:rsidR="002F578C" w:rsidRPr="00D5464D">
        <w:rPr>
          <w:szCs w:val="20"/>
          <w:lang w:val="pt-BR"/>
        </w:rPr>
        <w:t>. N</w:t>
      </w:r>
      <w:r w:rsidR="00A1358C" w:rsidRPr="00D5464D">
        <w:rPr>
          <w:szCs w:val="20"/>
          <w:lang w:val="pt-BR"/>
        </w:rPr>
        <w:t>ão obstante isso,</w:t>
      </w:r>
      <w:r w:rsidR="002246F9" w:rsidRPr="00D5464D">
        <w:rPr>
          <w:szCs w:val="20"/>
          <w:lang w:val="pt-BR"/>
        </w:rPr>
        <w:t xml:space="preserve"> </w:t>
      </w:r>
      <w:r w:rsidR="00470ADC" w:rsidRPr="00D5464D">
        <w:rPr>
          <w:szCs w:val="20"/>
          <w:lang w:val="pt-BR"/>
        </w:rPr>
        <w:t>acrescentaram</w:t>
      </w:r>
      <w:r w:rsidR="002246F9" w:rsidRPr="00D5464D">
        <w:rPr>
          <w:szCs w:val="20"/>
          <w:lang w:val="pt-BR"/>
        </w:rPr>
        <w:t xml:space="preserve"> que</w:t>
      </w:r>
      <w:r w:rsidR="00D27E77" w:rsidRPr="00D5464D">
        <w:rPr>
          <w:szCs w:val="20"/>
          <w:lang w:val="pt-BR"/>
        </w:rPr>
        <w:t>,</w:t>
      </w:r>
      <w:r w:rsidR="002246F9" w:rsidRPr="00D5464D">
        <w:rPr>
          <w:szCs w:val="20"/>
          <w:lang w:val="pt-BR"/>
        </w:rPr>
        <w:t xml:space="preserve"> de </w:t>
      </w:r>
      <w:r w:rsidR="00470ADC" w:rsidRPr="00D5464D">
        <w:rPr>
          <w:szCs w:val="20"/>
          <w:lang w:val="pt-BR"/>
        </w:rPr>
        <w:t>acordo com o</w:t>
      </w:r>
      <w:r w:rsidR="002C330E" w:rsidRPr="00D5464D">
        <w:rPr>
          <w:szCs w:val="20"/>
          <w:lang w:val="pt-BR"/>
        </w:rPr>
        <w:t xml:space="preserve"> </w:t>
      </w:r>
      <w:r w:rsidR="00350187" w:rsidRPr="00D5464D">
        <w:rPr>
          <w:szCs w:val="20"/>
          <w:lang w:val="pt-BR"/>
        </w:rPr>
        <w:t>relatório</w:t>
      </w:r>
      <w:r w:rsidR="002C330E" w:rsidRPr="00D5464D">
        <w:rPr>
          <w:szCs w:val="20"/>
          <w:lang w:val="pt-BR"/>
        </w:rPr>
        <w:t xml:space="preserve"> </w:t>
      </w:r>
      <w:r w:rsidR="00470ADC" w:rsidRPr="00D5464D">
        <w:rPr>
          <w:szCs w:val="20"/>
          <w:lang w:val="pt-BR"/>
        </w:rPr>
        <w:t xml:space="preserve">da </w:t>
      </w:r>
      <w:r w:rsidR="002246F9" w:rsidRPr="00D5464D">
        <w:rPr>
          <w:szCs w:val="20"/>
          <w:lang w:val="pt-BR"/>
        </w:rPr>
        <w:t>fiscaliza</w:t>
      </w:r>
      <w:r w:rsidR="00470ADC" w:rsidRPr="00D5464D">
        <w:rPr>
          <w:szCs w:val="20"/>
          <w:lang w:val="pt-BR"/>
        </w:rPr>
        <w:t>ção</w:t>
      </w:r>
      <w:r w:rsidR="002246F9" w:rsidRPr="00D5464D">
        <w:rPr>
          <w:szCs w:val="20"/>
          <w:lang w:val="pt-BR"/>
        </w:rPr>
        <w:t xml:space="preserve">, </w:t>
      </w:r>
      <w:r w:rsidR="002F578C" w:rsidRPr="00D5464D">
        <w:rPr>
          <w:szCs w:val="20"/>
          <w:lang w:val="pt-BR"/>
        </w:rPr>
        <w:t xml:space="preserve">outros </w:t>
      </w:r>
      <w:r w:rsidR="002246F9" w:rsidRPr="00D5464D">
        <w:rPr>
          <w:szCs w:val="20"/>
          <w:lang w:val="pt-BR"/>
        </w:rPr>
        <w:t xml:space="preserve">12 </w:t>
      </w:r>
      <w:r w:rsidR="00E045D9" w:rsidRPr="00D5464D">
        <w:rPr>
          <w:szCs w:val="20"/>
          <w:lang w:val="pt-BR"/>
        </w:rPr>
        <w:t>trabalhadores</w:t>
      </w:r>
      <w:r w:rsidR="002246F9" w:rsidRPr="00D5464D">
        <w:rPr>
          <w:szCs w:val="20"/>
          <w:lang w:val="pt-BR"/>
        </w:rPr>
        <w:t xml:space="preserve"> </w:t>
      </w:r>
      <w:r w:rsidR="00E045D9" w:rsidRPr="00D5464D">
        <w:rPr>
          <w:szCs w:val="20"/>
          <w:lang w:val="pt-BR"/>
        </w:rPr>
        <w:t xml:space="preserve">teriam </w:t>
      </w:r>
      <w:r w:rsidR="002246F9" w:rsidRPr="00D5464D">
        <w:rPr>
          <w:szCs w:val="20"/>
          <w:lang w:val="pt-BR"/>
        </w:rPr>
        <w:t>fug</w:t>
      </w:r>
      <w:r w:rsidR="002F578C" w:rsidRPr="00D5464D">
        <w:rPr>
          <w:szCs w:val="20"/>
          <w:lang w:val="pt-BR"/>
        </w:rPr>
        <w:t>i</w:t>
      </w:r>
      <w:r w:rsidR="002246F9" w:rsidRPr="00D5464D">
        <w:rPr>
          <w:szCs w:val="20"/>
          <w:lang w:val="pt-BR"/>
        </w:rPr>
        <w:t xml:space="preserve">do antes </w:t>
      </w:r>
      <w:r w:rsidR="002F578C" w:rsidRPr="00D5464D">
        <w:rPr>
          <w:szCs w:val="20"/>
          <w:lang w:val="pt-BR"/>
        </w:rPr>
        <w:t>da chegada d</w:t>
      </w:r>
      <w:r w:rsidR="00470ADC" w:rsidRPr="00D5464D">
        <w:rPr>
          <w:szCs w:val="20"/>
          <w:lang w:val="pt-BR"/>
        </w:rPr>
        <w:t xml:space="preserve">o </w:t>
      </w:r>
      <w:r w:rsidR="002C330E" w:rsidRPr="00D5464D">
        <w:rPr>
          <w:szCs w:val="20"/>
          <w:lang w:val="pt-BR"/>
        </w:rPr>
        <w:t>Ministério</w:t>
      </w:r>
      <w:r w:rsidR="002246F9" w:rsidRPr="00D5464D">
        <w:rPr>
          <w:szCs w:val="20"/>
          <w:lang w:val="pt-BR"/>
        </w:rPr>
        <w:t xml:space="preserve"> d</w:t>
      </w:r>
      <w:r w:rsidR="002F578C" w:rsidRPr="00D5464D">
        <w:rPr>
          <w:szCs w:val="20"/>
          <w:lang w:val="pt-BR"/>
        </w:rPr>
        <w:t>o</w:t>
      </w:r>
      <w:r w:rsidR="002246F9" w:rsidRPr="00D5464D">
        <w:rPr>
          <w:szCs w:val="20"/>
          <w:lang w:val="pt-BR"/>
        </w:rPr>
        <w:t xml:space="preserve"> </w:t>
      </w:r>
      <w:r w:rsidR="00E045D9" w:rsidRPr="00D5464D">
        <w:rPr>
          <w:szCs w:val="20"/>
          <w:lang w:val="pt-BR"/>
        </w:rPr>
        <w:t xml:space="preserve">Trabalho e </w:t>
      </w:r>
      <w:r w:rsidR="002F578C" w:rsidRPr="00D5464D">
        <w:rPr>
          <w:szCs w:val="20"/>
          <w:lang w:val="pt-BR"/>
        </w:rPr>
        <w:t>d</w:t>
      </w:r>
      <w:r w:rsidR="002C330E" w:rsidRPr="00D5464D">
        <w:rPr>
          <w:szCs w:val="20"/>
          <w:lang w:val="pt-BR"/>
        </w:rPr>
        <w:t xml:space="preserve">a </w:t>
      </w:r>
      <w:r w:rsidR="00C91CB1" w:rsidRPr="00D5464D">
        <w:rPr>
          <w:szCs w:val="20"/>
          <w:lang w:val="pt-BR"/>
        </w:rPr>
        <w:t xml:space="preserve">Polícia </w:t>
      </w:r>
      <w:r w:rsidR="002246F9" w:rsidRPr="00D5464D">
        <w:rPr>
          <w:szCs w:val="20"/>
          <w:lang w:val="pt-BR"/>
        </w:rPr>
        <w:t>Federal</w:t>
      </w:r>
      <w:r w:rsidR="00470ADC" w:rsidRPr="00D5464D">
        <w:rPr>
          <w:szCs w:val="20"/>
          <w:lang w:val="pt-BR"/>
        </w:rPr>
        <w:t xml:space="preserve"> à </w:t>
      </w:r>
      <w:r w:rsidR="00D809F0" w:rsidRPr="00D5464D">
        <w:rPr>
          <w:szCs w:val="20"/>
          <w:lang w:val="pt-BR"/>
        </w:rPr>
        <w:t>Fazenda</w:t>
      </w:r>
      <w:r w:rsidR="002246F9" w:rsidRPr="00D5464D">
        <w:rPr>
          <w:szCs w:val="20"/>
          <w:lang w:val="pt-BR"/>
        </w:rPr>
        <w:t xml:space="preserve"> Brasil Verde, </w:t>
      </w:r>
      <w:r w:rsidR="00350187" w:rsidRPr="00D5464D">
        <w:rPr>
          <w:szCs w:val="20"/>
          <w:lang w:val="pt-BR"/>
        </w:rPr>
        <w:t>somando</w:t>
      </w:r>
      <w:r w:rsidR="00D27E77" w:rsidRPr="00D5464D">
        <w:rPr>
          <w:szCs w:val="20"/>
          <w:lang w:val="pt-BR"/>
        </w:rPr>
        <w:t>,</w:t>
      </w:r>
      <w:r w:rsidR="00350187" w:rsidRPr="00D5464D">
        <w:rPr>
          <w:szCs w:val="20"/>
          <w:lang w:val="pt-BR"/>
        </w:rPr>
        <w:t xml:space="preserve"> </w:t>
      </w:r>
      <w:r w:rsidR="00E045D9" w:rsidRPr="00D5464D">
        <w:rPr>
          <w:szCs w:val="20"/>
          <w:lang w:val="pt-BR"/>
        </w:rPr>
        <w:t>então</w:t>
      </w:r>
      <w:r w:rsidR="00D27E77" w:rsidRPr="00D5464D">
        <w:rPr>
          <w:szCs w:val="20"/>
          <w:lang w:val="pt-BR"/>
        </w:rPr>
        <w:t>,</w:t>
      </w:r>
      <w:r w:rsidR="00E045D9" w:rsidRPr="00D5464D">
        <w:rPr>
          <w:szCs w:val="20"/>
          <w:lang w:val="pt-BR"/>
        </w:rPr>
        <w:t xml:space="preserve"> um </w:t>
      </w:r>
      <w:r w:rsidR="002246F9" w:rsidRPr="00D5464D">
        <w:rPr>
          <w:szCs w:val="20"/>
          <w:lang w:val="pt-BR"/>
        </w:rPr>
        <w:t xml:space="preserve">total de 93 </w:t>
      </w:r>
      <w:r w:rsidR="002C330E" w:rsidRPr="00D5464D">
        <w:rPr>
          <w:szCs w:val="20"/>
          <w:lang w:val="pt-BR"/>
        </w:rPr>
        <w:t>suposta</w:t>
      </w:r>
      <w:r w:rsidR="002246F9" w:rsidRPr="00D5464D">
        <w:rPr>
          <w:szCs w:val="20"/>
          <w:lang w:val="pt-BR"/>
        </w:rPr>
        <w:t xml:space="preserve">s </w:t>
      </w:r>
      <w:r w:rsidR="00E045D9" w:rsidRPr="00D5464D">
        <w:rPr>
          <w:szCs w:val="20"/>
          <w:lang w:val="pt-BR"/>
        </w:rPr>
        <w:t>vítima</w:t>
      </w:r>
      <w:r w:rsidR="002246F9" w:rsidRPr="00D5464D">
        <w:rPr>
          <w:szCs w:val="20"/>
          <w:lang w:val="pt-BR"/>
        </w:rPr>
        <w:t>s</w:t>
      </w:r>
      <w:r w:rsidR="00470ADC" w:rsidRPr="00D5464D">
        <w:rPr>
          <w:szCs w:val="20"/>
          <w:lang w:val="pt-BR"/>
        </w:rPr>
        <w:t>.</w:t>
      </w:r>
      <w:r w:rsidRPr="00D5464D">
        <w:rPr>
          <w:szCs w:val="20"/>
          <w:lang w:val="pt-BR"/>
        </w:rPr>
        <w:t xml:space="preserve"> </w:t>
      </w:r>
      <w:r w:rsidR="002F578C" w:rsidRPr="00D5464D">
        <w:rPr>
          <w:szCs w:val="20"/>
          <w:lang w:val="pt-BR"/>
        </w:rPr>
        <w:t>A</w:t>
      </w:r>
      <w:r w:rsidRPr="00D5464D">
        <w:rPr>
          <w:szCs w:val="20"/>
          <w:lang w:val="pt-BR"/>
        </w:rPr>
        <w:t xml:space="preserve">pesar </w:t>
      </w:r>
      <w:r w:rsidR="00470ADC" w:rsidRPr="00D5464D">
        <w:rPr>
          <w:szCs w:val="20"/>
          <w:lang w:val="pt-BR"/>
        </w:rPr>
        <w:t>d</w:t>
      </w:r>
      <w:r w:rsidR="00D27E77" w:rsidRPr="00D5464D">
        <w:rPr>
          <w:szCs w:val="20"/>
          <w:lang w:val="pt-BR"/>
        </w:rPr>
        <w:t>isso</w:t>
      </w:r>
      <w:r w:rsidR="002246F9" w:rsidRPr="00D5464D">
        <w:rPr>
          <w:szCs w:val="20"/>
          <w:lang w:val="pt-BR"/>
        </w:rPr>
        <w:t>,</w:t>
      </w:r>
      <w:r w:rsidR="00470ADC" w:rsidRPr="00D5464D">
        <w:rPr>
          <w:szCs w:val="20"/>
          <w:lang w:val="pt-BR"/>
        </w:rPr>
        <w:t xml:space="preserve"> em </w:t>
      </w:r>
      <w:r w:rsidR="00A1358C" w:rsidRPr="00D5464D">
        <w:rPr>
          <w:szCs w:val="20"/>
          <w:lang w:val="pt-BR"/>
        </w:rPr>
        <w:t>sua lista</w:t>
      </w:r>
      <w:r w:rsidR="002246F9" w:rsidRPr="00D5464D">
        <w:rPr>
          <w:szCs w:val="20"/>
          <w:lang w:val="pt-BR"/>
        </w:rPr>
        <w:t xml:space="preserve"> de </w:t>
      </w:r>
      <w:r w:rsidR="002C330E" w:rsidRPr="00D5464D">
        <w:rPr>
          <w:szCs w:val="20"/>
          <w:lang w:val="pt-BR"/>
        </w:rPr>
        <w:t>suposta</w:t>
      </w:r>
      <w:r w:rsidR="002246F9" w:rsidRPr="00D5464D">
        <w:rPr>
          <w:szCs w:val="20"/>
          <w:lang w:val="pt-BR"/>
        </w:rPr>
        <w:t xml:space="preserve">s </w:t>
      </w:r>
      <w:r w:rsidR="00E045D9" w:rsidRPr="00D5464D">
        <w:rPr>
          <w:szCs w:val="20"/>
          <w:lang w:val="pt-BR"/>
        </w:rPr>
        <w:t>vítima</w:t>
      </w:r>
      <w:r w:rsidR="002246F9" w:rsidRPr="00D5464D">
        <w:rPr>
          <w:szCs w:val="20"/>
          <w:lang w:val="pt-BR"/>
        </w:rPr>
        <w:t>s</w:t>
      </w:r>
      <w:r w:rsidR="002C330E" w:rsidRPr="00D5464D">
        <w:rPr>
          <w:szCs w:val="20"/>
          <w:lang w:val="pt-BR"/>
        </w:rPr>
        <w:t xml:space="preserve"> os </w:t>
      </w:r>
      <w:r w:rsidR="00EB1CE9" w:rsidRPr="00D5464D">
        <w:rPr>
          <w:szCs w:val="20"/>
          <w:lang w:val="pt-BR"/>
        </w:rPr>
        <w:t>representante</w:t>
      </w:r>
      <w:r w:rsidR="002246F9" w:rsidRPr="00D5464D">
        <w:rPr>
          <w:szCs w:val="20"/>
          <w:lang w:val="pt-BR"/>
        </w:rPr>
        <w:t xml:space="preserve">s </w:t>
      </w:r>
      <w:r w:rsidR="002C330E" w:rsidRPr="00D5464D">
        <w:rPr>
          <w:szCs w:val="20"/>
          <w:lang w:val="pt-BR"/>
        </w:rPr>
        <w:t>indicaram os nome</w:t>
      </w:r>
      <w:r w:rsidR="002246F9" w:rsidRPr="00D5464D">
        <w:rPr>
          <w:szCs w:val="20"/>
          <w:lang w:val="pt-BR"/>
        </w:rPr>
        <w:t xml:space="preserve">s de 96 </w:t>
      </w:r>
      <w:r w:rsidR="00E045D9" w:rsidRPr="00D5464D">
        <w:rPr>
          <w:szCs w:val="20"/>
          <w:lang w:val="pt-BR"/>
        </w:rPr>
        <w:t>trabalhadores</w:t>
      </w:r>
      <w:r w:rsidR="002246F9" w:rsidRPr="00D5464D">
        <w:rPr>
          <w:szCs w:val="20"/>
          <w:lang w:val="pt-BR"/>
        </w:rPr>
        <w:t xml:space="preserve">, </w:t>
      </w:r>
      <w:r w:rsidR="002F578C" w:rsidRPr="00D5464D">
        <w:rPr>
          <w:szCs w:val="20"/>
          <w:lang w:val="pt-BR"/>
        </w:rPr>
        <w:t xml:space="preserve">esclarecendo </w:t>
      </w:r>
      <w:r w:rsidR="002246F9" w:rsidRPr="00D5464D">
        <w:rPr>
          <w:szCs w:val="20"/>
          <w:lang w:val="pt-BR"/>
        </w:rPr>
        <w:t>que 49</w:t>
      </w:r>
      <w:r w:rsidR="00470ADC" w:rsidRPr="00D5464D">
        <w:rPr>
          <w:szCs w:val="20"/>
          <w:lang w:val="pt-BR"/>
        </w:rPr>
        <w:t xml:space="preserve"> dos </w:t>
      </w:r>
      <w:r w:rsidR="002C330E" w:rsidRPr="00D5464D">
        <w:rPr>
          <w:szCs w:val="20"/>
          <w:lang w:val="pt-BR"/>
        </w:rPr>
        <w:t>nome</w:t>
      </w:r>
      <w:r w:rsidR="002246F9" w:rsidRPr="00D5464D">
        <w:rPr>
          <w:szCs w:val="20"/>
          <w:lang w:val="pt-BR"/>
        </w:rPr>
        <w:t>s</w:t>
      </w:r>
      <w:r w:rsidRPr="00D5464D">
        <w:rPr>
          <w:szCs w:val="20"/>
          <w:lang w:val="pt-BR"/>
        </w:rPr>
        <w:t xml:space="preserve"> haviam </w:t>
      </w:r>
      <w:r w:rsidR="002246F9" w:rsidRPr="00D5464D">
        <w:rPr>
          <w:szCs w:val="20"/>
          <w:lang w:val="pt-BR"/>
        </w:rPr>
        <w:t xml:space="preserve">sido </w:t>
      </w:r>
      <w:r w:rsidR="002C330E" w:rsidRPr="00D5464D">
        <w:rPr>
          <w:szCs w:val="20"/>
          <w:lang w:val="pt-BR"/>
        </w:rPr>
        <w:t>obtidos</w:t>
      </w:r>
      <w:r w:rsidR="002246F9" w:rsidRPr="00D5464D">
        <w:rPr>
          <w:szCs w:val="20"/>
          <w:lang w:val="pt-BR"/>
        </w:rPr>
        <w:t xml:space="preserve"> </w:t>
      </w:r>
      <w:r w:rsidR="002F578C" w:rsidRPr="00D5464D">
        <w:rPr>
          <w:szCs w:val="20"/>
          <w:lang w:val="pt-BR"/>
        </w:rPr>
        <w:t xml:space="preserve">através de </w:t>
      </w:r>
      <w:r w:rsidR="002246F9" w:rsidRPr="00D5464D">
        <w:rPr>
          <w:rFonts w:cs="Helvetica"/>
          <w:szCs w:val="20"/>
          <w:lang w:val="pt-BR"/>
        </w:rPr>
        <w:t>notas in</w:t>
      </w:r>
      <w:r w:rsidR="00470ADC" w:rsidRPr="00D5464D">
        <w:rPr>
          <w:rFonts w:cs="Helvetica"/>
          <w:szCs w:val="20"/>
          <w:lang w:val="pt-BR"/>
        </w:rPr>
        <w:t>formais</w:t>
      </w:r>
      <w:r w:rsidR="002246F9" w:rsidRPr="00D5464D">
        <w:rPr>
          <w:rFonts w:cs="Helvetica"/>
          <w:szCs w:val="20"/>
          <w:lang w:val="pt-BR"/>
        </w:rPr>
        <w:t xml:space="preserve"> de consumo o</w:t>
      </w:r>
      <w:r w:rsidR="002F578C" w:rsidRPr="00D5464D">
        <w:rPr>
          <w:rFonts w:cs="Helvetica"/>
          <w:szCs w:val="20"/>
          <w:lang w:val="pt-BR"/>
        </w:rPr>
        <w:t>u</w:t>
      </w:r>
      <w:r w:rsidR="002246F9" w:rsidRPr="00D5464D">
        <w:rPr>
          <w:rFonts w:cs="Helvetica"/>
          <w:szCs w:val="20"/>
          <w:lang w:val="pt-BR"/>
        </w:rPr>
        <w:t xml:space="preserve"> recibos</w:t>
      </w:r>
      <w:r w:rsidR="00470ADC" w:rsidRPr="00D5464D">
        <w:rPr>
          <w:rFonts w:cs="Helvetica"/>
          <w:szCs w:val="20"/>
          <w:lang w:val="pt-BR"/>
        </w:rPr>
        <w:t xml:space="preserve"> em </w:t>
      </w:r>
      <w:r w:rsidR="002246F9" w:rsidRPr="00D5464D">
        <w:rPr>
          <w:rFonts w:cs="Helvetica"/>
          <w:szCs w:val="20"/>
          <w:lang w:val="pt-BR"/>
        </w:rPr>
        <w:t>b</w:t>
      </w:r>
      <w:r w:rsidR="002F578C" w:rsidRPr="00D5464D">
        <w:rPr>
          <w:rFonts w:cs="Helvetica"/>
          <w:szCs w:val="20"/>
          <w:lang w:val="pt-BR"/>
        </w:rPr>
        <w:t>r</w:t>
      </w:r>
      <w:r w:rsidR="002246F9" w:rsidRPr="00D5464D">
        <w:rPr>
          <w:rFonts w:cs="Helvetica"/>
          <w:szCs w:val="20"/>
          <w:lang w:val="pt-BR"/>
        </w:rPr>
        <w:t>anco.</w:t>
      </w:r>
    </w:p>
    <w:p w14:paraId="5C501B55" w14:textId="77777777" w:rsidR="002246F9" w:rsidRPr="00D5464D" w:rsidRDefault="002246F9" w:rsidP="002246F9">
      <w:pPr>
        <w:pStyle w:val="Prrafodelista"/>
        <w:autoSpaceDE w:val="0"/>
        <w:autoSpaceDN w:val="0"/>
        <w:adjustRightInd w:val="0"/>
        <w:ind w:left="0"/>
        <w:rPr>
          <w:szCs w:val="20"/>
          <w:lang w:val="pt-BR"/>
        </w:rPr>
      </w:pPr>
    </w:p>
    <w:p w14:paraId="083572C2" w14:textId="50015E8F" w:rsidR="002246F9" w:rsidRPr="00D5464D" w:rsidRDefault="002F578C" w:rsidP="002246F9">
      <w:pPr>
        <w:pStyle w:val="Prrafodelista"/>
        <w:numPr>
          <w:ilvl w:val="0"/>
          <w:numId w:val="1"/>
        </w:numPr>
        <w:autoSpaceDE w:val="0"/>
        <w:autoSpaceDN w:val="0"/>
        <w:adjustRightInd w:val="0"/>
        <w:rPr>
          <w:szCs w:val="20"/>
          <w:lang w:val="pt-BR"/>
        </w:rPr>
      </w:pPr>
      <w:r w:rsidRPr="00D5464D">
        <w:rPr>
          <w:szCs w:val="20"/>
          <w:lang w:val="pt-BR"/>
        </w:rPr>
        <w:t xml:space="preserve"> Ao contrário</w:t>
      </w:r>
      <w:r w:rsidR="002246F9" w:rsidRPr="00D5464D">
        <w:rPr>
          <w:szCs w:val="20"/>
          <w:lang w:val="pt-BR"/>
        </w:rPr>
        <w:t>,</w:t>
      </w:r>
      <w:r w:rsidR="00470ADC" w:rsidRPr="00D5464D">
        <w:rPr>
          <w:szCs w:val="20"/>
          <w:lang w:val="pt-BR"/>
        </w:rPr>
        <w:t xml:space="preserve"> o </w:t>
      </w:r>
      <w:r w:rsidR="002246F9" w:rsidRPr="00D5464D">
        <w:rPr>
          <w:b/>
          <w:i/>
          <w:szCs w:val="20"/>
          <w:lang w:val="pt-BR"/>
        </w:rPr>
        <w:t>Estado</w:t>
      </w:r>
      <w:r w:rsidR="002246F9" w:rsidRPr="00D5464D">
        <w:rPr>
          <w:szCs w:val="20"/>
          <w:lang w:val="pt-BR"/>
        </w:rPr>
        <w:t xml:space="preserve"> </w:t>
      </w:r>
      <w:r w:rsidR="00E045D9" w:rsidRPr="00D5464D">
        <w:rPr>
          <w:szCs w:val="20"/>
          <w:lang w:val="pt-BR"/>
        </w:rPr>
        <w:t>argumentou</w:t>
      </w:r>
      <w:r w:rsidR="002246F9" w:rsidRPr="00D5464D">
        <w:rPr>
          <w:szCs w:val="20"/>
          <w:lang w:val="pt-BR"/>
        </w:rPr>
        <w:t xml:space="preserve"> que era preciso distinguir</w:t>
      </w:r>
      <w:r w:rsidR="00470ADC" w:rsidRPr="00D5464D">
        <w:rPr>
          <w:szCs w:val="20"/>
          <w:lang w:val="pt-BR"/>
        </w:rPr>
        <w:t xml:space="preserve"> o </w:t>
      </w:r>
      <w:r w:rsidR="002246F9" w:rsidRPr="00D5464D">
        <w:rPr>
          <w:szCs w:val="20"/>
          <w:lang w:val="pt-BR"/>
        </w:rPr>
        <w:t>total de “</w:t>
      </w:r>
      <w:r w:rsidR="00E045D9" w:rsidRPr="00D5464D">
        <w:rPr>
          <w:szCs w:val="20"/>
          <w:lang w:val="pt-BR"/>
        </w:rPr>
        <w:t>trabalhadores</w:t>
      </w:r>
      <w:r w:rsidR="002246F9" w:rsidRPr="00D5464D">
        <w:rPr>
          <w:szCs w:val="20"/>
          <w:lang w:val="pt-BR"/>
        </w:rPr>
        <w:t xml:space="preserve"> encontrados” </w:t>
      </w:r>
      <w:r w:rsidR="00470ADC" w:rsidRPr="00D5464D">
        <w:rPr>
          <w:szCs w:val="20"/>
          <w:lang w:val="pt-BR"/>
        </w:rPr>
        <w:t xml:space="preserve">do </w:t>
      </w:r>
      <w:r w:rsidR="002246F9" w:rsidRPr="00D5464D">
        <w:rPr>
          <w:szCs w:val="20"/>
          <w:lang w:val="pt-BR"/>
        </w:rPr>
        <w:t>total de “</w:t>
      </w:r>
      <w:r w:rsidR="00E045D9" w:rsidRPr="00D5464D">
        <w:rPr>
          <w:szCs w:val="20"/>
          <w:lang w:val="pt-BR"/>
        </w:rPr>
        <w:t>trabalhadores</w:t>
      </w:r>
      <w:r w:rsidR="002246F9" w:rsidRPr="00D5464D">
        <w:rPr>
          <w:szCs w:val="20"/>
          <w:lang w:val="pt-BR"/>
        </w:rPr>
        <w:t xml:space="preserve"> </w:t>
      </w:r>
      <w:r w:rsidR="0090341D" w:rsidRPr="00D5464D">
        <w:rPr>
          <w:szCs w:val="20"/>
          <w:lang w:val="pt-BR"/>
        </w:rPr>
        <w:t>resgatado</w:t>
      </w:r>
      <w:r w:rsidR="002246F9" w:rsidRPr="00D5464D">
        <w:rPr>
          <w:szCs w:val="20"/>
          <w:lang w:val="pt-BR"/>
        </w:rPr>
        <w:t>s”</w:t>
      </w:r>
      <w:r w:rsidR="002C330E" w:rsidRPr="00D5464D">
        <w:rPr>
          <w:szCs w:val="20"/>
          <w:lang w:val="pt-BR"/>
        </w:rPr>
        <w:t xml:space="preserve"> pelo Ministério</w:t>
      </w:r>
      <w:r w:rsidR="002246F9" w:rsidRPr="00D5464D">
        <w:rPr>
          <w:szCs w:val="20"/>
          <w:lang w:val="pt-BR"/>
        </w:rPr>
        <w:t xml:space="preserve"> d</w:t>
      </w:r>
      <w:r w:rsidRPr="00D5464D">
        <w:rPr>
          <w:szCs w:val="20"/>
          <w:lang w:val="pt-BR"/>
        </w:rPr>
        <w:t>o</w:t>
      </w:r>
      <w:r w:rsidR="002246F9" w:rsidRPr="00D5464D">
        <w:rPr>
          <w:szCs w:val="20"/>
          <w:lang w:val="pt-BR"/>
        </w:rPr>
        <w:t xml:space="preserve"> </w:t>
      </w:r>
      <w:r w:rsidR="00E045D9" w:rsidRPr="00D5464D">
        <w:rPr>
          <w:szCs w:val="20"/>
          <w:lang w:val="pt-BR"/>
        </w:rPr>
        <w:t xml:space="preserve">Trabalho e </w:t>
      </w:r>
      <w:r w:rsidR="002C330E" w:rsidRPr="00D5464D">
        <w:rPr>
          <w:szCs w:val="20"/>
          <w:lang w:val="pt-BR"/>
        </w:rPr>
        <w:t xml:space="preserve">a </w:t>
      </w:r>
      <w:r w:rsidR="00C91CB1" w:rsidRPr="00D5464D">
        <w:rPr>
          <w:szCs w:val="20"/>
          <w:lang w:val="pt-BR"/>
        </w:rPr>
        <w:t xml:space="preserve">Polícia </w:t>
      </w:r>
      <w:r w:rsidR="002246F9" w:rsidRPr="00D5464D">
        <w:rPr>
          <w:szCs w:val="20"/>
          <w:lang w:val="pt-BR"/>
        </w:rPr>
        <w:t>Federal</w:t>
      </w:r>
      <w:r w:rsidR="00737270" w:rsidRPr="00D5464D">
        <w:rPr>
          <w:szCs w:val="20"/>
          <w:lang w:val="pt-BR"/>
        </w:rPr>
        <w:t xml:space="preserve">. Desta </w:t>
      </w:r>
      <w:r w:rsidR="002246F9" w:rsidRPr="00D5464D">
        <w:rPr>
          <w:szCs w:val="20"/>
          <w:lang w:val="pt-BR"/>
        </w:rPr>
        <w:t>forma,</w:t>
      </w:r>
      <w:r w:rsidR="002C330E" w:rsidRPr="00D5464D">
        <w:rPr>
          <w:szCs w:val="20"/>
          <w:lang w:val="pt-BR"/>
        </w:rPr>
        <w:t xml:space="preserve"> </w:t>
      </w:r>
      <w:r w:rsidRPr="00D5464D">
        <w:rPr>
          <w:szCs w:val="20"/>
          <w:lang w:val="pt-BR"/>
        </w:rPr>
        <w:t xml:space="preserve">apesar de </w:t>
      </w:r>
      <w:r w:rsidR="00470ADC" w:rsidRPr="00D5464D">
        <w:rPr>
          <w:szCs w:val="20"/>
          <w:lang w:val="pt-BR"/>
        </w:rPr>
        <w:t>o</w:t>
      </w:r>
      <w:r w:rsidR="002C330E" w:rsidRPr="00D5464D">
        <w:rPr>
          <w:szCs w:val="20"/>
          <w:lang w:val="pt-BR"/>
        </w:rPr>
        <w:t xml:space="preserve"> </w:t>
      </w:r>
      <w:r w:rsidR="00350187" w:rsidRPr="00D5464D">
        <w:rPr>
          <w:szCs w:val="20"/>
          <w:lang w:val="pt-BR"/>
        </w:rPr>
        <w:t>relatório</w:t>
      </w:r>
      <w:r w:rsidR="002C330E" w:rsidRPr="00D5464D">
        <w:rPr>
          <w:szCs w:val="20"/>
          <w:lang w:val="pt-BR"/>
        </w:rPr>
        <w:t xml:space="preserve"> </w:t>
      </w:r>
      <w:r w:rsidR="00470ADC" w:rsidRPr="00D5464D">
        <w:rPr>
          <w:szCs w:val="20"/>
          <w:lang w:val="pt-BR"/>
        </w:rPr>
        <w:t xml:space="preserve">da </w:t>
      </w:r>
      <w:r w:rsidR="002246F9" w:rsidRPr="00D5464D">
        <w:rPr>
          <w:szCs w:val="20"/>
          <w:lang w:val="pt-BR"/>
        </w:rPr>
        <w:t>fiscaliza</w:t>
      </w:r>
      <w:r w:rsidR="00470ADC" w:rsidRPr="00D5464D">
        <w:rPr>
          <w:szCs w:val="20"/>
          <w:lang w:val="pt-BR"/>
        </w:rPr>
        <w:t>ção</w:t>
      </w:r>
      <w:r w:rsidR="002246F9" w:rsidRPr="00D5464D">
        <w:rPr>
          <w:szCs w:val="20"/>
          <w:lang w:val="pt-BR"/>
        </w:rPr>
        <w:t xml:space="preserve"> </w:t>
      </w:r>
      <w:r w:rsidR="00737270" w:rsidRPr="00D5464D">
        <w:rPr>
          <w:szCs w:val="20"/>
          <w:lang w:val="pt-BR"/>
        </w:rPr>
        <w:t>indica</w:t>
      </w:r>
      <w:r w:rsidRPr="00D5464D">
        <w:rPr>
          <w:szCs w:val="20"/>
          <w:lang w:val="pt-BR"/>
        </w:rPr>
        <w:t>r</w:t>
      </w:r>
      <w:r w:rsidR="002246F9" w:rsidRPr="00D5464D">
        <w:rPr>
          <w:szCs w:val="20"/>
          <w:lang w:val="pt-BR"/>
        </w:rPr>
        <w:t xml:space="preserve"> que </w:t>
      </w:r>
      <w:r w:rsidR="002C330E" w:rsidRPr="00D5464D">
        <w:rPr>
          <w:szCs w:val="20"/>
          <w:lang w:val="pt-BR"/>
        </w:rPr>
        <w:t>havia</w:t>
      </w:r>
      <w:r w:rsidR="002246F9" w:rsidRPr="00D5464D">
        <w:rPr>
          <w:szCs w:val="20"/>
          <w:lang w:val="pt-BR"/>
        </w:rPr>
        <w:t xml:space="preserve"> 81 </w:t>
      </w:r>
      <w:r w:rsidR="00E045D9" w:rsidRPr="00D5464D">
        <w:rPr>
          <w:szCs w:val="20"/>
          <w:lang w:val="pt-BR"/>
        </w:rPr>
        <w:t xml:space="preserve">trabalhadores na </w:t>
      </w:r>
      <w:r w:rsidR="00D809F0" w:rsidRPr="00D5464D">
        <w:rPr>
          <w:szCs w:val="20"/>
          <w:lang w:val="pt-BR"/>
        </w:rPr>
        <w:t>Fazenda</w:t>
      </w:r>
      <w:r w:rsidR="002246F9" w:rsidRPr="00D5464D">
        <w:rPr>
          <w:szCs w:val="20"/>
          <w:lang w:val="pt-BR"/>
        </w:rPr>
        <w:t xml:space="preserve"> Brasil Verde, </w:t>
      </w:r>
      <w:r w:rsidR="00E045D9" w:rsidRPr="00D5464D">
        <w:rPr>
          <w:szCs w:val="20"/>
          <w:lang w:val="pt-BR"/>
        </w:rPr>
        <w:t>unicamente</w:t>
      </w:r>
      <w:r w:rsidR="002246F9" w:rsidRPr="00D5464D">
        <w:rPr>
          <w:szCs w:val="20"/>
          <w:lang w:val="pt-BR"/>
        </w:rPr>
        <w:t xml:space="preserve"> 36 </w:t>
      </w:r>
      <w:r w:rsidR="00E045D9" w:rsidRPr="00D5464D">
        <w:rPr>
          <w:szCs w:val="20"/>
          <w:lang w:val="pt-BR"/>
        </w:rPr>
        <w:t>trabalhadores</w:t>
      </w:r>
      <w:r w:rsidR="002246F9" w:rsidRPr="00D5464D">
        <w:rPr>
          <w:szCs w:val="20"/>
          <w:lang w:val="pt-BR"/>
        </w:rPr>
        <w:t xml:space="preserve"> </w:t>
      </w:r>
      <w:r w:rsidR="00470ADC" w:rsidRPr="00D5464D">
        <w:rPr>
          <w:szCs w:val="20"/>
          <w:lang w:val="pt-BR"/>
        </w:rPr>
        <w:t>foram</w:t>
      </w:r>
      <w:r w:rsidR="002246F9" w:rsidRPr="00D5464D">
        <w:rPr>
          <w:szCs w:val="20"/>
          <w:lang w:val="pt-BR"/>
        </w:rPr>
        <w:t xml:space="preserve"> </w:t>
      </w:r>
      <w:r w:rsidR="0090341D" w:rsidRPr="00D5464D">
        <w:rPr>
          <w:szCs w:val="20"/>
          <w:lang w:val="pt-BR"/>
        </w:rPr>
        <w:t>resgatado</w:t>
      </w:r>
      <w:r w:rsidR="002246F9" w:rsidRPr="00D5464D">
        <w:rPr>
          <w:szCs w:val="20"/>
          <w:lang w:val="pt-BR"/>
        </w:rPr>
        <w:t>s,</w:t>
      </w:r>
      <w:r w:rsidR="002C330E" w:rsidRPr="00D5464D">
        <w:rPr>
          <w:szCs w:val="20"/>
          <w:lang w:val="pt-BR"/>
        </w:rPr>
        <w:t xml:space="preserve"> o que </w:t>
      </w:r>
      <w:r w:rsidR="00350187" w:rsidRPr="00D5464D">
        <w:rPr>
          <w:szCs w:val="20"/>
          <w:lang w:val="pt-BR"/>
        </w:rPr>
        <w:t>significava</w:t>
      </w:r>
      <w:r w:rsidR="002246F9" w:rsidRPr="00D5464D">
        <w:rPr>
          <w:szCs w:val="20"/>
          <w:lang w:val="pt-BR"/>
        </w:rPr>
        <w:t xml:space="preserve"> que</w:t>
      </w:r>
      <w:r w:rsidR="00D14320" w:rsidRPr="00D5464D">
        <w:rPr>
          <w:szCs w:val="20"/>
          <w:lang w:val="pt-BR"/>
        </w:rPr>
        <w:t xml:space="preserve"> apenas </w:t>
      </w:r>
      <w:r w:rsidR="00470ADC" w:rsidRPr="00D5464D">
        <w:rPr>
          <w:szCs w:val="20"/>
          <w:lang w:val="pt-BR"/>
        </w:rPr>
        <w:t>ele</w:t>
      </w:r>
      <w:r w:rsidR="002246F9" w:rsidRPr="00D5464D">
        <w:rPr>
          <w:szCs w:val="20"/>
          <w:lang w:val="pt-BR"/>
        </w:rPr>
        <w:t xml:space="preserve">s se </w:t>
      </w:r>
      <w:r w:rsidR="00470ADC" w:rsidRPr="00D5464D">
        <w:rPr>
          <w:szCs w:val="20"/>
          <w:lang w:val="pt-BR"/>
        </w:rPr>
        <w:t>encontravam em</w:t>
      </w:r>
      <w:r w:rsidR="00E045D9" w:rsidRPr="00D5464D">
        <w:rPr>
          <w:szCs w:val="20"/>
          <w:lang w:val="pt-BR"/>
        </w:rPr>
        <w:t xml:space="preserve"> uma </w:t>
      </w:r>
      <w:r w:rsidR="002246F9" w:rsidRPr="00D5464D">
        <w:rPr>
          <w:szCs w:val="20"/>
          <w:lang w:val="pt-BR"/>
        </w:rPr>
        <w:t>situa</w:t>
      </w:r>
      <w:r w:rsidR="00470ADC" w:rsidRPr="00D5464D">
        <w:rPr>
          <w:szCs w:val="20"/>
          <w:lang w:val="pt-BR"/>
        </w:rPr>
        <w:t>ção</w:t>
      </w:r>
      <w:r w:rsidR="002246F9" w:rsidRPr="00D5464D">
        <w:rPr>
          <w:szCs w:val="20"/>
          <w:lang w:val="pt-BR"/>
        </w:rPr>
        <w:t xml:space="preserve"> concreta de </w:t>
      </w:r>
      <w:r w:rsidR="002C330E" w:rsidRPr="00D5464D">
        <w:rPr>
          <w:szCs w:val="20"/>
          <w:lang w:val="pt-BR"/>
        </w:rPr>
        <w:t>perigo</w:t>
      </w:r>
      <w:r w:rsidR="002246F9" w:rsidRPr="00D5464D">
        <w:rPr>
          <w:szCs w:val="20"/>
          <w:lang w:val="pt-BR"/>
        </w:rPr>
        <w:t xml:space="preserve"> para </w:t>
      </w:r>
      <w:r w:rsidR="00E045D9" w:rsidRPr="00D5464D">
        <w:rPr>
          <w:szCs w:val="20"/>
          <w:lang w:val="pt-BR"/>
        </w:rPr>
        <w:t>sua integridade</w:t>
      </w:r>
      <w:r w:rsidR="002C330E" w:rsidRPr="00D5464D">
        <w:rPr>
          <w:szCs w:val="20"/>
          <w:lang w:val="pt-BR"/>
        </w:rPr>
        <w:t xml:space="preserve"> </w:t>
      </w:r>
      <w:r w:rsidR="002246F9" w:rsidRPr="00D5464D">
        <w:rPr>
          <w:szCs w:val="20"/>
          <w:lang w:val="pt-BR"/>
        </w:rPr>
        <w:t>física,</w:t>
      </w:r>
      <w:r w:rsidR="00FF1290" w:rsidRPr="00D5464D">
        <w:rPr>
          <w:szCs w:val="20"/>
          <w:lang w:val="pt-BR"/>
        </w:rPr>
        <w:t xml:space="preserve"> </w:t>
      </w:r>
      <w:r w:rsidR="00065EC3" w:rsidRPr="00D5464D">
        <w:rPr>
          <w:szCs w:val="20"/>
          <w:lang w:val="pt-BR"/>
        </w:rPr>
        <w:t xml:space="preserve">a fim de </w:t>
      </w:r>
      <w:r w:rsidR="002246F9" w:rsidRPr="00D5464D">
        <w:rPr>
          <w:szCs w:val="20"/>
          <w:lang w:val="pt-BR"/>
        </w:rPr>
        <w:t>consider</w:t>
      </w:r>
      <w:r w:rsidR="00A1358C" w:rsidRPr="00D5464D">
        <w:rPr>
          <w:szCs w:val="20"/>
          <w:lang w:val="pt-BR"/>
        </w:rPr>
        <w:t xml:space="preserve">á-los </w:t>
      </w:r>
      <w:r w:rsidR="002246F9" w:rsidRPr="00D5464D">
        <w:rPr>
          <w:szCs w:val="20"/>
          <w:lang w:val="pt-BR"/>
        </w:rPr>
        <w:t xml:space="preserve">como </w:t>
      </w:r>
      <w:r w:rsidR="002C330E" w:rsidRPr="00D5464D">
        <w:rPr>
          <w:szCs w:val="20"/>
          <w:lang w:val="pt-BR"/>
        </w:rPr>
        <w:t>suposta</w:t>
      </w:r>
      <w:r w:rsidR="002246F9" w:rsidRPr="00D5464D">
        <w:rPr>
          <w:szCs w:val="20"/>
          <w:lang w:val="pt-BR"/>
        </w:rPr>
        <w:t xml:space="preserve">s </w:t>
      </w:r>
      <w:r w:rsidR="00E045D9" w:rsidRPr="00D5464D">
        <w:rPr>
          <w:szCs w:val="20"/>
          <w:lang w:val="pt-BR"/>
        </w:rPr>
        <w:t>vítima</w:t>
      </w:r>
      <w:r w:rsidR="002246F9" w:rsidRPr="00D5464D">
        <w:rPr>
          <w:szCs w:val="20"/>
          <w:lang w:val="pt-BR"/>
        </w:rPr>
        <w:t>s</w:t>
      </w:r>
      <w:r w:rsidR="00E045D9" w:rsidRPr="00D5464D">
        <w:rPr>
          <w:szCs w:val="20"/>
          <w:lang w:val="pt-BR"/>
        </w:rPr>
        <w:t xml:space="preserve"> no </w:t>
      </w:r>
      <w:r w:rsidR="002246F9" w:rsidRPr="00D5464D">
        <w:rPr>
          <w:szCs w:val="20"/>
          <w:lang w:val="pt-BR"/>
        </w:rPr>
        <w:t>presente caso</w:t>
      </w:r>
      <w:r w:rsidR="00A1358C" w:rsidRPr="00D5464D">
        <w:rPr>
          <w:szCs w:val="20"/>
          <w:lang w:val="pt-BR"/>
        </w:rPr>
        <w:t>. Em consequência</w:t>
      </w:r>
      <w:r w:rsidR="002246F9" w:rsidRPr="00D5464D">
        <w:rPr>
          <w:szCs w:val="20"/>
          <w:lang w:val="pt-BR"/>
        </w:rPr>
        <w:t>,</w:t>
      </w:r>
      <w:r w:rsidR="00470ADC" w:rsidRPr="00D5464D">
        <w:rPr>
          <w:szCs w:val="20"/>
          <w:lang w:val="pt-BR"/>
        </w:rPr>
        <w:t xml:space="preserve"> o </w:t>
      </w:r>
      <w:r w:rsidR="002246F9" w:rsidRPr="00D5464D">
        <w:rPr>
          <w:szCs w:val="20"/>
          <w:lang w:val="pt-BR"/>
        </w:rPr>
        <w:t xml:space="preserve">Estado </w:t>
      </w:r>
      <w:r w:rsidR="002C330E" w:rsidRPr="00D5464D">
        <w:rPr>
          <w:szCs w:val="20"/>
          <w:lang w:val="pt-BR"/>
        </w:rPr>
        <w:t>manifestou</w:t>
      </w:r>
      <w:r w:rsidR="002246F9" w:rsidRPr="00D5464D">
        <w:rPr>
          <w:szCs w:val="20"/>
          <w:lang w:val="pt-BR"/>
        </w:rPr>
        <w:t xml:space="preserve"> que sobre</w:t>
      </w:r>
      <w:r w:rsidR="002C330E" w:rsidRPr="00D5464D">
        <w:rPr>
          <w:szCs w:val="20"/>
          <w:lang w:val="pt-BR"/>
        </w:rPr>
        <w:t xml:space="preserve"> as </w:t>
      </w:r>
      <w:r w:rsidR="002246F9" w:rsidRPr="00D5464D">
        <w:rPr>
          <w:szCs w:val="20"/>
          <w:lang w:val="pt-BR"/>
        </w:rPr>
        <w:t xml:space="preserve">restantes 45 </w:t>
      </w:r>
      <w:r w:rsidR="002C330E" w:rsidRPr="00D5464D">
        <w:rPr>
          <w:szCs w:val="20"/>
          <w:lang w:val="pt-BR"/>
        </w:rPr>
        <w:t>pessoa</w:t>
      </w:r>
      <w:r w:rsidR="002246F9" w:rsidRPr="00D5464D">
        <w:rPr>
          <w:szCs w:val="20"/>
          <w:lang w:val="pt-BR"/>
        </w:rPr>
        <w:t xml:space="preserve">s </w:t>
      </w:r>
      <w:r w:rsidR="00737270" w:rsidRPr="00D5464D">
        <w:rPr>
          <w:szCs w:val="20"/>
          <w:lang w:val="pt-BR"/>
        </w:rPr>
        <w:t>indica</w:t>
      </w:r>
      <w:r w:rsidR="002246F9" w:rsidRPr="00D5464D">
        <w:rPr>
          <w:szCs w:val="20"/>
          <w:lang w:val="pt-BR"/>
        </w:rPr>
        <w:t xml:space="preserve">das </w:t>
      </w:r>
      <w:r w:rsidR="00065EC3" w:rsidRPr="00D5464D">
        <w:rPr>
          <w:szCs w:val="20"/>
          <w:lang w:val="pt-BR"/>
        </w:rPr>
        <w:t xml:space="preserve">não </w:t>
      </w:r>
      <w:r w:rsidR="002246F9" w:rsidRPr="00D5464D">
        <w:rPr>
          <w:szCs w:val="20"/>
          <w:lang w:val="pt-BR"/>
        </w:rPr>
        <w:t xml:space="preserve">se </w:t>
      </w:r>
      <w:r w:rsidR="00A1358C" w:rsidRPr="00D5464D">
        <w:rPr>
          <w:szCs w:val="20"/>
          <w:lang w:val="pt-BR"/>
        </w:rPr>
        <w:t>conhecia</w:t>
      </w:r>
      <w:r w:rsidR="002246F9" w:rsidRPr="00D5464D">
        <w:rPr>
          <w:szCs w:val="20"/>
          <w:lang w:val="pt-BR"/>
        </w:rPr>
        <w:t xml:space="preserve"> </w:t>
      </w:r>
      <w:r w:rsidR="00470ADC" w:rsidRPr="00D5464D">
        <w:rPr>
          <w:szCs w:val="20"/>
          <w:lang w:val="pt-BR"/>
        </w:rPr>
        <w:t>qualquer</w:t>
      </w:r>
      <w:r w:rsidR="002246F9" w:rsidRPr="00D5464D">
        <w:rPr>
          <w:szCs w:val="20"/>
          <w:lang w:val="pt-BR"/>
        </w:rPr>
        <w:t xml:space="preserve"> elemento que com</w:t>
      </w:r>
      <w:r w:rsidR="002C330E" w:rsidRPr="00D5464D">
        <w:rPr>
          <w:szCs w:val="20"/>
          <w:lang w:val="pt-BR"/>
        </w:rPr>
        <w:t>prova</w:t>
      </w:r>
      <w:r w:rsidRPr="00D5464D">
        <w:rPr>
          <w:szCs w:val="20"/>
          <w:lang w:val="pt-BR"/>
        </w:rPr>
        <w:t>sse</w:t>
      </w:r>
      <w:r w:rsidR="002246F9" w:rsidRPr="00D5464D">
        <w:rPr>
          <w:szCs w:val="20"/>
          <w:lang w:val="pt-BR"/>
        </w:rPr>
        <w:t xml:space="preserve"> que</w:t>
      </w:r>
      <w:r w:rsidR="00E045D9" w:rsidRPr="00D5464D">
        <w:rPr>
          <w:szCs w:val="20"/>
          <w:lang w:val="pt-BR"/>
        </w:rPr>
        <w:t xml:space="preserve"> teriam </w:t>
      </w:r>
      <w:r w:rsidR="002246F9" w:rsidRPr="00D5464D">
        <w:rPr>
          <w:szCs w:val="20"/>
          <w:lang w:val="pt-BR"/>
        </w:rPr>
        <w:t xml:space="preserve">sido </w:t>
      </w:r>
      <w:r w:rsidR="00E045D9" w:rsidRPr="00D5464D">
        <w:rPr>
          <w:szCs w:val="20"/>
          <w:lang w:val="pt-BR"/>
        </w:rPr>
        <w:t>vítima</w:t>
      </w:r>
      <w:r w:rsidR="002246F9" w:rsidRPr="00D5464D">
        <w:rPr>
          <w:szCs w:val="20"/>
          <w:lang w:val="pt-BR"/>
        </w:rPr>
        <w:t>s de viola</w:t>
      </w:r>
      <w:r w:rsidR="00470ADC" w:rsidRPr="00D5464D">
        <w:rPr>
          <w:szCs w:val="20"/>
          <w:lang w:val="pt-BR"/>
        </w:rPr>
        <w:t>ções</w:t>
      </w:r>
      <w:r w:rsidR="00E045D9" w:rsidRPr="00D5464D">
        <w:rPr>
          <w:szCs w:val="20"/>
          <w:lang w:val="pt-BR"/>
        </w:rPr>
        <w:t xml:space="preserve"> aos </w:t>
      </w:r>
      <w:r w:rsidR="00470ADC" w:rsidRPr="00D5464D">
        <w:rPr>
          <w:szCs w:val="20"/>
          <w:lang w:val="pt-BR"/>
        </w:rPr>
        <w:t>direito</w:t>
      </w:r>
      <w:r w:rsidR="002246F9" w:rsidRPr="00D5464D">
        <w:rPr>
          <w:szCs w:val="20"/>
          <w:lang w:val="pt-BR"/>
        </w:rPr>
        <w:t>s contemplados</w:t>
      </w:r>
      <w:r w:rsidR="00E045D9" w:rsidRPr="00D5464D">
        <w:rPr>
          <w:szCs w:val="20"/>
          <w:lang w:val="pt-BR"/>
        </w:rPr>
        <w:t xml:space="preserve"> na </w:t>
      </w:r>
      <w:r w:rsidR="002246F9" w:rsidRPr="00D5464D">
        <w:rPr>
          <w:szCs w:val="20"/>
          <w:lang w:val="pt-BR"/>
        </w:rPr>
        <w:t>Conven</w:t>
      </w:r>
      <w:r w:rsidR="00470ADC" w:rsidRPr="00D5464D">
        <w:rPr>
          <w:szCs w:val="20"/>
          <w:lang w:val="pt-BR"/>
        </w:rPr>
        <w:t>ção</w:t>
      </w:r>
      <w:r w:rsidR="002246F9" w:rsidRPr="00D5464D">
        <w:rPr>
          <w:szCs w:val="20"/>
          <w:lang w:val="pt-BR"/>
        </w:rPr>
        <w:t xml:space="preserve"> Americana.</w:t>
      </w:r>
    </w:p>
    <w:p w14:paraId="05803F04" w14:textId="77777777" w:rsidR="002246F9" w:rsidRPr="00D5464D" w:rsidRDefault="002246F9" w:rsidP="0089192A">
      <w:pPr>
        <w:pStyle w:val="Textocomentario"/>
        <w:tabs>
          <w:tab w:val="clear" w:pos="4419"/>
          <w:tab w:val="clear" w:pos="8838"/>
        </w:tabs>
        <w:autoSpaceDE w:val="0"/>
        <w:autoSpaceDN w:val="0"/>
        <w:adjustRightInd w:val="0"/>
        <w:rPr>
          <w:lang w:val="pt-BR"/>
        </w:rPr>
      </w:pPr>
    </w:p>
    <w:p w14:paraId="23FE3B52" w14:textId="6045F33E" w:rsidR="002246F9" w:rsidRPr="00D5464D" w:rsidRDefault="002246F9" w:rsidP="005F0182">
      <w:pPr>
        <w:pStyle w:val="Ttulo3"/>
        <w:rPr>
          <w:lang w:val="pt-BR"/>
        </w:rPr>
      </w:pPr>
      <w:bookmarkStart w:id="363" w:name="_Toc460433024"/>
      <w:bookmarkStart w:id="364" w:name="_Toc460441955"/>
      <w:bookmarkStart w:id="365" w:name="_Toc462750773"/>
      <w:bookmarkStart w:id="366" w:name="_Toc462751097"/>
      <w:bookmarkStart w:id="367" w:name="_Toc464813949"/>
      <w:bookmarkStart w:id="368" w:name="_Toc468433910"/>
      <w:r w:rsidRPr="00D5464D">
        <w:rPr>
          <w:lang w:val="pt-BR"/>
        </w:rPr>
        <w:t>A.2</w:t>
      </w:r>
      <w:r w:rsidR="00CB7E29" w:rsidRPr="00D5464D">
        <w:rPr>
          <w:lang w:val="pt-BR"/>
        </w:rPr>
        <w:t>.</w:t>
      </w:r>
      <w:r w:rsidRPr="00D5464D">
        <w:rPr>
          <w:lang w:val="pt-BR"/>
        </w:rPr>
        <w:t xml:space="preserve"> Considera</w:t>
      </w:r>
      <w:r w:rsidR="00470ADC" w:rsidRPr="00D5464D">
        <w:rPr>
          <w:lang w:val="pt-BR"/>
        </w:rPr>
        <w:t xml:space="preserve">ções da </w:t>
      </w:r>
      <w:r w:rsidRPr="00D5464D">
        <w:rPr>
          <w:lang w:val="pt-BR"/>
        </w:rPr>
        <w:t>Corte</w:t>
      </w:r>
      <w:bookmarkEnd w:id="363"/>
      <w:bookmarkEnd w:id="364"/>
      <w:bookmarkEnd w:id="365"/>
      <w:bookmarkEnd w:id="366"/>
      <w:bookmarkEnd w:id="367"/>
      <w:bookmarkEnd w:id="368"/>
    </w:p>
    <w:p w14:paraId="35D234DA" w14:textId="77777777" w:rsidR="00DE3E58" w:rsidRPr="00D5464D" w:rsidRDefault="00DE3E58" w:rsidP="00DE3E58">
      <w:pPr>
        <w:pStyle w:val="Prrafodelista"/>
        <w:autoSpaceDE w:val="0"/>
        <w:autoSpaceDN w:val="0"/>
        <w:adjustRightInd w:val="0"/>
        <w:ind w:left="0"/>
        <w:rPr>
          <w:szCs w:val="20"/>
          <w:lang w:val="pt-BR"/>
        </w:rPr>
      </w:pPr>
    </w:p>
    <w:p w14:paraId="242BC420" w14:textId="5DE8B210" w:rsidR="002246F9" w:rsidRPr="00D5464D" w:rsidRDefault="00470ADC" w:rsidP="002246F9">
      <w:pPr>
        <w:pStyle w:val="Prrafodelista"/>
        <w:numPr>
          <w:ilvl w:val="0"/>
          <w:numId w:val="1"/>
        </w:numPr>
        <w:autoSpaceDE w:val="0"/>
        <w:autoSpaceDN w:val="0"/>
        <w:adjustRightInd w:val="0"/>
        <w:rPr>
          <w:szCs w:val="20"/>
          <w:lang w:val="pt-BR"/>
        </w:rPr>
      </w:pPr>
      <w:r w:rsidRPr="00D5464D">
        <w:rPr>
          <w:rFonts w:cs="Times New Roman"/>
          <w:szCs w:val="20"/>
          <w:lang w:val="pt-BR"/>
        </w:rPr>
        <w:t xml:space="preserve">A </w:t>
      </w:r>
      <w:r w:rsidR="002246F9" w:rsidRPr="00D5464D">
        <w:rPr>
          <w:rFonts w:cs="Times New Roman"/>
          <w:szCs w:val="20"/>
          <w:lang w:val="pt-BR"/>
        </w:rPr>
        <w:t xml:space="preserve">Corte </w:t>
      </w:r>
      <w:r w:rsidR="00E765C2" w:rsidRPr="00D5464D">
        <w:rPr>
          <w:rFonts w:cs="Times New Roman"/>
          <w:szCs w:val="20"/>
          <w:lang w:val="pt-BR"/>
        </w:rPr>
        <w:t>verificou</w:t>
      </w:r>
      <w:r w:rsidR="002246F9" w:rsidRPr="00D5464D">
        <w:rPr>
          <w:rFonts w:cs="Times New Roman"/>
          <w:szCs w:val="20"/>
          <w:lang w:val="pt-BR"/>
        </w:rPr>
        <w:t xml:space="preserve"> que</w:t>
      </w:r>
      <w:r w:rsidR="002C330E" w:rsidRPr="00D5464D">
        <w:rPr>
          <w:rFonts w:cs="Times New Roman"/>
          <w:szCs w:val="20"/>
          <w:lang w:val="pt-BR"/>
        </w:rPr>
        <w:t xml:space="preserve"> as </w:t>
      </w:r>
      <w:r w:rsidR="002246F9" w:rsidRPr="00D5464D">
        <w:rPr>
          <w:rFonts w:cs="Times New Roman"/>
          <w:szCs w:val="20"/>
          <w:lang w:val="pt-BR"/>
        </w:rPr>
        <w:t>notas de consumo</w:t>
      </w:r>
      <w:r w:rsidR="00E045D9" w:rsidRPr="00D5464D">
        <w:rPr>
          <w:rFonts w:cs="Times New Roman"/>
          <w:szCs w:val="20"/>
          <w:lang w:val="pt-BR"/>
        </w:rPr>
        <w:t xml:space="preserve"> e </w:t>
      </w:r>
      <w:r w:rsidR="002C330E" w:rsidRPr="00D5464D">
        <w:rPr>
          <w:rFonts w:cs="Times New Roman"/>
          <w:szCs w:val="20"/>
          <w:lang w:val="pt-BR"/>
        </w:rPr>
        <w:t xml:space="preserve">os </w:t>
      </w:r>
      <w:r w:rsidR="002246F9" w:rsidRPr="00D5464D">
        <w:rPr>
          <w:rFonts w:cs="Times New Roman"/>
          <w:szCs w:val="20"/>
          <w:lang w:val="pt-BR"/>
        </w:rPr>
        <w:t>recibos</w:t>
      </w:r>
      <w:r w:rsidRPr="00D5464D">
        <w:rPr>
          <w:rFonts w:cs="Times New Roman"/>
          <w:szCs w:val="20"/>
          <w:lang w:val="pt-BR"/>
        </w:rPr>
        <w:t xml:space="preserve"> em </w:t>
      </w:r>
      <w:r w:rsidR="002F578C" w:rsidRPr="00D5464D">
        <w:rPr>
          <w:rFonts w:cs="Times New Roman"/>
          <w:szCs w:val="20"/>
          <w:lang w:val="pt-BR"/>
        </w:rPr>
        <w:t xml:space="preserve">branco </w:t>
      </w:r>
      <w:r w:rsidR="00E045D9" w:rsidRPr="00D5464D">
        <w:rPr>
          <w:rFonts w:cs="Times New Roman"/>
          <w:szCs w:val="20"/>
          <w:lang w:val="pt-BR"/>
        </w:rPr>
        <w:t xml:space="preserve">nos </w:t>
      </w:r>
      <w:r w:rsidRPr="00D5464D">
        <w:rPr>
          <w:rFonts w:cs="Times New Roman"/>
          <w:szCs w:val="20"/>
          <w:lang w:val="pt-BR"/>
        </w:rPr>
        <w:t>quais</w:t>
      </w:r>
      <w:r w:rsidR="002246F9" w:rsidRPr="00D5464D">
        <w:rPr>
          <w:rFonts w:cs="Times New Roman"/>
          <w:szCs w:val="20"/>
          <w:lang w:val="pt-BR"/>
        </w:rPr>
        <w:t xml:space="preserve"> </w:t>
      </w:r>
      <w:r w:rsidR="002F578C" w:rsidRPr="00D5464D">
        <w:rPr>
          <w:rFonts w:cs="Times New Roman"/>
          <w:szCs w:val="20"/>
          <w:lang w:val="pt-BR"/>
        </w:rPr>
        <w:t xml:space="preserve">eram registradas </w:t>
      </w:r>
      <w:r w:rsidR="002C330E" w:rsidRPr="00D5464D">
        <w:rPr>
          <w:rFonts w:cs="Times New Roman"/>
          <w:szCs w:val="20"/>
          <w:lang w:val="pt-BR"/>
        </w:rPr>
        <w:t xml:space="preserve">as </w:t>
      </w:r>
      <w:r w:rsidRPr="00D5464D">
        <w:rPr>
          <w:rFonts w:cs="Times New Roman"/>
          <w:szCs w:val="20"/>
          <w:lang w:val="pt-BR"/>
        </w:rPr>
        <w:t>dívida</w:t>
      </w:r>
      <w:r w:rsidR="002246F9" w:rsidRPr="00D5464D">
        <w:rPr>
          <w:rFonts w:cs="Times New Roman"/>
          <w:szCs w:val="20"/>
          <w:lang w:val="pt-BR"/>
        </w:rPr>
        <w:t>s</w:t>
      </w:r>
      <w:r w:rsidRPr="00D5464D">
        <w:rPr>
          <w:rFonts w:cs="Times New Roman"/>
          <w:szCs w:val="20"/>
          <w:lang w:val="pt-BR"/>
        </w:rPr>
        <w:t xml:space="preserve"> dos </w:t>
      </w:r>
      <w:r w:rsidR="00E045D9" w:rsidRPr="00D5464D">
        <w:rPr>
          <w:rFonts w:cs="Times New Roman"/>
          <w:szCs w:val="20"/>
          <w:lang w:val="pt-BR"/>
        </w:rPr>
        <w:t xml:space="preserve">trabalhadores na </w:t>
      </w:r>
      <w:r w:rsidR="00D809F0" w:rsidRPr="00D5464D">
        <w:rPr>
          <w:rFonts w:cs="Times New Roman"/>
          <w:szCs w:val="20"/>
          <w:lang w:val="pt-BR"/>
        </w:rPr>
        <w:t>Fazenda</w:t>
      </w:r>
      <w:r w:rsidR="002246F9" w:rsidRPr="00D5464D">
        <w:rPr>
          <w:rFonts w:cs="Times New Roman"/>
          <w:szCs w:val="20"/>
          <w:lang w:val="pt-BR"/>
        </w:rPr>
        <w:t xml:space="preserve"> Brasil Verde</w:t>
      </w:r>
      <w:r w:rsidRPr="00D5464D">
        <w:rPr>
          <w:rFonts w:cs="Times New Roman"/>
          <w:szCs w:val="20"/>
          <w:lang w:val="pt-BR"/>
        </w:rPr>
        <w:t xml:space="preserve"> eram </w:t>
      </w:r>
      <w:r w:rsidR="002246F9" w:rsidRPr="00D5464D">
        <w:rPr>
          <w:rFonts w:cs="Times New Roman"/>
          <w:szCs w:val="20"/>
          <w:lang w:val="pt-BR"/>
        </w:rPr>
        <w:t>registros in</w:t>
      </w:r>
      <w:r w:rsidRPr="00D5464D">
        <w:rPr>
          <w:rFonts w:cs="Times New Roman"/>
          <w:szCs w:val="20"/>
          <w:lang w:val="pt-BR"/>
        </w:rPr>
        <w:t>formais</w:t>
      </w:r>
      <w:r w:rsidR="002246F9" w:rsidRPr="00D5464D">
        <w:rPr>
          <w:rFonts w:cs="Times New Roman"/>
          <w:szCs w:val="20"/>
          <w:lang w:val="pt-BR"/>
        </w:rPr>
        <w:t xml:space="preserve"> que </w:t>
      </w:r>
      <w:r w:rsidRPr="00D5464D">
        <w:rPr>
          <w:rFonts w:cs="Times New Roman"/>
          <w:szCs w:val="20"/>
          <w:lang w:val="pt-BR"/>
        </w:rPr>
        <w:t>estavam</w:t>
      </w:r>
      <w:r w:rsidR="002246F9" w:rsidRPr="00D5464D">
        <w:rPr>
          <w:rFonts w:cs="Times New Roman"/>
          <w:szCs w:val="20"/>
          <w:lang w:val="pt-BR"/>
        </w:rPr>
        <w:t xml:space="preserve"> escritos </w:t>
      </w:r>
      <w:r w:rsidR="002F578C" w:rsidRPr="00D5464D">
        <w:rPr>
          <w:rFonts w:cs="Times New Roman"/>
          <w:szCs w:val="20"/>
          <w:lang w:val="pt-BR"/>
        </w:rPr>
        <w:t xml:space="preserve">a mão, </w:t>
      </w:r>
      <w:r w:rsidR="00E045D9" w:rsidRPr="00D5464D">
        <w:rPr>
          <w:rFonts w:cs="Times New Roman"/>
          <w:szCs w:val="20"/>
          <w:lang w:val="pt-BR"/>
        </w:rPr>
        <w:t xml:space="preserve">nos </w:t>
      </w:r>
      <w:r w:rsidRPr="00D5464D">
        <w:rPr>
          <w:rFonts w:cs="Times New Roman"/>
          <w:szCs w:val="20"/>
          <w:lang w:val="pt-BR"/>
        </w:rPr>
        <w:t>quais</w:t>
      </w:r>
      <w:r w:rsidR="002246F9" w:rsidRPr="00D5464D">
        <w:rPr>
          <w:rFonts w:cs="Times New Roman"/>
          <w:szCs w:val="20"/>
          <w:lang w:val="pt-BR"/>
        </w:rPr>
        <w:t xml:space="preserve"> n</w:t>
      </w:r>
      <w:r w:rsidR="002F578C" w:rsidRPr="00D5464D">
        <w:rPr>
          <w:rFonts w:cs="Times New Roman"/>
          <w:szCs w:val="20"/>
          <w:lang w:val="pt-BR"/>
        </w:rPr>
        <w:t>ã</w:t>
      </w:r>
      <w:r w:rsidR="002246F9" w:rsidRPr="00D5464D">
        <w:rPr>
          <w:rFonts w:cs="Times New Roman"/>
          <w:szCs w:val="20"/>
          <w:lang w:val="pt-BR"/>
        </w:rPr>
        <w:t xml:space="preserve">o se </w:t>
      </w:r>
      <w:r w:rsidR="00350187" w:rsidRPr="00D5464D">
        <w:rPr>
          <w:rFonts w:cs="Times New Roman"/>
          <w:szCs w:val="20"/>
          <w:lang w:val="pt-BR"/>
        </w:rPr>
        <w:t xml:space="preserve">deixava </w:t>
      </w:r>
      <w:r w:rsidR="00065EC3" w:rsidRPr="00D5464D">
        <w:rPr>
          <w:rFonts w:cs="Times New Roman"/>
          <w:szCs w:val="20"/>
          <w:lang w:val="pt-BR"/>
        </w:rPr>
        <w:t>registro</w:t>
      </w:r>
      <w:r w:rsidR="00E045D9" w:rsidRPr="00D5464D">
        <w:rPr>
          <w:rFonts w:cs="Times New Roman"/>
          <w:szCs w:val="20"/>
          <w:lang w:val="pt-BR"/>
        </w:rPr>
        <w:t xml:space="preserve"> </w:t>
      </w:r>
      <w:r w:rsidRPr="00D5464D">
        <w:rPr>
          <w:rFonts w:cs="Times New Roman"/>
          <w:szCs w:val="20"/>
          <w:lang w:val="pt-BR"/>
        </w:rPr>
        <w:t xml:space="preserve">do </w:t>
      </w:r>
      <w:r w:rsidR="002C330E" w:rsidRPr="00D5464D">
        <w:rPr>
          <w:rFonts w:cs="Times New Roman"/>
          <w:szCs w:val="20"/>
          <w:lang w:val="pt-BR"/>
        </w:rPr>
        <w:t>nome</w:t>
      </w:r>
      <w:r w:rsidR="002246F9" w:rsidRPr="00D5464D">
        <w:rPr>
          <w:rFonts w:cs="Times New Roman"/>
          <w:szCs w:val="20"/>
          <w:lang w:val="pt-BR"/>
        </w:rPr>
        <w:t xml:space="preserve"> completo </w:t>
      </w:r>
      <w:r w:rsidRPr="00D5464D">
        <w:rPr>
          <w:rFonts w:cs="Times New Roman"/>
          <w:szCs w:val="20"/>
          <w:lang w:val="pt-BR"/>
        </w:rPr>
        <w:t xml:space="preserve">do </w:t>
      </w:r>
      <w:r w:rsidR="00E045D9" w:rsidRPr="00D5464D">
        <w:rPr>
          <w:rFonts w:cs="Times New Roman"/>
          <w:szCs w:val="20"/>
          <w:lang w:val="pt-BR"/>
        </w:rPr>
        <w:t>trabalh</w:t>
      </w:r>
      <w:r w:rsidR="002246F9" w:rsidRPr="00D5464D">
        <w:rPr>
          <w:rFonts w:cs="Times New Roman"/>
          <w:szCs w:val="20"/>
          <w:lang w:val="pt-BR"/>
        </w:rPr>
        <w:t>ador</w:t>
      </w:r>
      <w:r w:rsidR="00E045D9" w:rsidRPr="00D5464D">
        <w:rPr>
          <w:rFonts w:cs="Times New Roman"/>
          <w:szCs w:val="20"/>
          <w:lang w:val="pt-BR"/>
        </w:rPr>
        <w:t xml:space="preserve"> e </w:t>
      </w:r>
      <w:r w:rsidRPr="00D5464D">
        <w:rPr>
          <w:rFonts w:cs="Times New Roman"/>
          <w:szCs w:val="20"/>
          <w:lang w:val="pt-BR"/>
        </w:rPr>
        <w:t>algumas</w:t>
      </w:r>
      <w:r w:rsidR="002246F9" w:rsidRPr="00D5464D">
        <w:rPr>
          <w:rFonts w:cs="Times New Roman"/>
          <w:szCs w:val="20"/>
          <w:lang w:val="pt-BR"/>
        </w:rPr>
        <w:t xml:space="preserve"> </w:t>
      </w:r>
      <w:r w:rsidR="00E045D9" w:rsidRPr="00D5464D">
        <w:rPr>
          <w:rFonts w:cs="Times New Roman"/>
          <w:szCs w:val="20"/>
          <w:lang w:val="pt-BR"/>
        </w:rPr>
        <w:t>vezes</w:t>
      </w:r>
      <w:r w:rsidR="002246F9" w:rsidRPr="00D5464D">
        <w:rPr>
          <w:rFonts w:cs="Times New Roman"/>
          <w:szCs w:val="20"/>
          <w:lang w:val="pt-BR"/>
        </w:rPr>
        <w:t xml:space="preserve"> </w:t>
      </w:r>
      <w:r w:rsidR="002F578C" w:rsidRPr="00D5464D">
        <w:rPr>
          <w:rFonts w:cs="Times New Roman"/>
          <w:szCs w:val="20"/>
          <w:lang w:val="pt-BR"/>
        </w:rPr>
        <w:t>eram escritos apenas os seus apelidos</w:t>
      </w:r>
      <w:r w:rsidR="00A1358C" w:rsidRPr="00D5464D">
        <w:rPr>
          <w:rFonts w:cs="Times New Roman"/>
          <w:szCs w:val="20"/>
          <w:lang w:val="pt-BR"/>
        </w:rPr>
        <w:t xml:space="preserve">. A </w:t>
      </w:r>
      <w:r w:rsidR="00065EC3" w:rsidRPr="00D5464D">
        <w:rPr>
          <w:rFonts w:cs="Times New Roman"/>
          <w:szCs w:val="20"/>
          <w:lang w:val="pt-BR"/>
        </w:rPr>
        <w:t>título</w:t>
      </w:r>
      <w:r w:rsidR="002246F9" w:rsidRPr="00D5464D">
        <w:rPr>
          <w:rFonts w:cs="Times New Roman"/>
          <w:szCs w:val="20"/>
          <w:lang w:val="pt-BR"/>
        </w:rPr>
        <w:t xml:space="preserve"> de </w:t>
      </w:r>
      <w:r w:rsidRPr="00D5464D">
        <w:rPr>
          <w:rFonts w:cs="Times New Roman"/>
          <w:szCs w:val="20"/>
          <w:lang w:val="pt-BR"/>
        </w:rPr>
        <w:t>exemplo</w:t>
      </w:r>
      <w:r w:rsidR="002246F9" w:rsidRPr="00D5464D">
        <w:rPr>
          <w:rFonts w:cs="Times New Roman"/>
          <w:szCs w:val="20"/>
          <w:lang w:val="pt-BR"/>
        </w:rPr>
        <w:t xml:space="preserve">, </w:t>
      </w:r>
      <w:r w:rsidRPr="00D5464D">
        <w:rPr>
          <w:rFonts w:cs="Times New Roman"/>
          <w:szCs w:val="20"/>
          <w:lang w:val="pt-BR"/>
        </w:rPr>
        <w:t xml:space="preserve">alguns dos </w:t>
      </w:r>
      <w:r w:rsidR="002C330E" w:rsidRPr="00D5464D">
        <w:rPr>
          <w:rFonts w:cs="Times New Roman"/>
          <w:szCs w:val="20"/>
          <w:lang w:val="pt-BR"/>
        </w:rPr>
        <w:t>nome</w:t>
      </w:r>
      <w:r w:rsidR="002246F9" w:rsidRPr="00D5464D">
        <w:rPr>
          <w:rFonts w:cs="Times New Roman"/>
          <w:szCs w:val="20"/>
          <w:lang w:val="pt-BR"/>
        </w:rPr>
        <w:t xml:space="preserve">s que </w:t>
      </w:r>
      <w:r w:rsidRPr="00D5464D">
        <w:rPr>
          <w:rFonts w:cs="Times New Roman"/>
          <w:szCs w:val="20"/>
          <w:lang w:val="pt-BR"/>
        </w:rPr>
        <w:t>foram</w:t>
      </w:r>
      <w:r w:rsidR="002C330E" w:rsidRPr="00D5464D">
        <w:rPr>
          <w:rFonts w:cs="Times New Roman"/>
          <w:szCs w:val="20"/>
          <w:lang w:val="pt-BR"/>
        </w:rPr>
        <w:t xml:space="preserve"> apresentados </w:t>
      </w:r>
      <w:r w:rsidR="002246F9" w:rsidRPr="00D5464D">
        <w:rPr>
          <w:rFonts w:cs="Times New Roman"/>
          <w:szCs w:val="20"/>
          <w:lang w:val="pt-BR"/>
        </w:rPr>
        <w:t xml:space="preserve">como </w:t>
      </w:r>
      <w:r w:rsidR="002C330E" w:rsidRPr="00D5464D">
        <w:rPr>
          <w:rFonts w:cs="Times New Roman"/>
          <w:szCs w:val="20"/>
          <w:lang w:val="pt-BR"/>
        </w:rPr>
        <w:t>suposta</w:t>
      </w:r>
      <w:r w:rsidR="002246F9" w:rsidRPr="00D5464D">
        <w:rPr>
          <w:rFonts w:cs="Times New Roman"/>
          <w:szCs w:val="20"/>
          <w:lang w:val="pt-BR"/>
        </w:rPr>
        <w:t xml:space="preserve">s </w:t>
      </w:r>
      <w:r w:rsidR="00E045D9" w:rsidRPr="00D5464D">
        <w:rPr>
          <w:rFonts w:cs="Times New Roman"/>
          <w:szCs w:val="20"/>
          <w:lang w:val="pt-BR"/>
        </w:rPr>
        <w:t>vítima</w:t>
      </w:r>
      <w:r w:rsidR="002246F9" w:rsidRPr="00D5464D">
        <w:rPr>
          <w:rFonts w:cs="Times New Roman"/>
          <w:szCs w:val="20"/>
          <w:lang w:val="pt-BR"/>
        </w:rPr>
        <w:t>s</w:t>
      </w:r>
      <w:r w:rsidRPr="00D5464D">
        <w:rPr>
          <w:rFonts w:cs="Times New Roman"/>
          <w:szCs w:val="20"/>
          <w:lang w:val="pt-BR"/>
        </w:rPr>
        <w:t xml:space="preserve"> com </w:t>
      </w:r>
      <w:r w:rsidR="002246F9" w:rsidRPr="00D5464D">
        <w:rPr>
          <w:rFonts w:cs="Times New Roman"/>
          <w:szCs w:val="20"/>
          <w:lang w:val="pt-BR"/>
        </w:rPr>
        <w:t>fundamento</w:t>
      </w:r>
      <w:r w:rsidR="00E045D9" w:rsidRPr="00D5464D">
        <w:rPr>
          <w:rFonts w:cs="Times New Roman"/>
          <w:szCs w:val="20"/>
          <w:lang w:val="pt-BR"/>
        </w:rPr>
        <w:t xml:space="preserve"> nas </w:t>
      </w:r>
      <w:r w:rsidR="002246F9" w:rsidRPr="00D5464D">
        <w:rPr>
          <w:rFonts w:cs="Helvetica"/>
          <w:szCs w:val="20"/>
          <w:lang w:val="pt-BR"/>
        </w:rPr>
        <w:t>notas de consumo o</w:t>
      </w:r>
      <w:r w:rsidR="002F578C" w:rsidRPr="00D5464D">
        <w:rPr>
          <w:rFonts w:cs="Helvetica"/>
          <w:szCs w:val="20"/>
          <w:lang w:val="pt-BR"/>
        </w:rPr>
        <w:t>u</w:t>
      </w:r>
      <w:r w:rsidR="002246F9" w:rsidRPr="00D5464D">
        <w:rPr>
          <w:rFonts w:cs="Helvetica"/>
          <w:szCs w:val="20"/>
          <w:lang w:val="pt-BR"/>
        </w:rPr>
        <w:t xml:space="preserve"> recibos</w:t>
      </w:r>
      <w:r w:rsidRPr="00D5464D">
        <w:rPr>
          <w:rFonts w:cs="Helvetica"/>
          <w:szCs w:val="20"/>
          <w:lang w:val="pt-BR"/>
        </w:rPr>
        <w:t xml:space="preserve"> em </w:t>
      </w:r>
      <w:r w:rsidR="002F578C" w:rsidRPr="00D5464D">
        <w:rPr>
          <w:rFonts w:cs="Helvetica"/>
          <w:szCs w:val="20"/>
          <w:lang w:val="pt-BR"/>
        </w:rPr>
        <w:t xml:space="preserve">branco </w:t>
      </w:r>
      <w:r w:rsidRPr="00D5464D">
        <w:rPr>
          <w:rFonts w:cs="Helvetica"/>
          <w:szCs w:val="20"/>
          <w:lang w:val="pt-BR"/>
        </w:rPr>
        <w:t>foram</w:t>
      </w:r>
      <w:r w:rsidR="002C330E" w:rsidRPr="00D5464D">
        <w:rPr>
          <w:rFonts w:cs="Helvetica"/>
          <w:szCs w:val="20"/>
          <w:lang w:val="pt-BR"/>
        </w:rPr>
        <w:t xml:space="preserve"> os seguinte</w:t>
      </w:r>
      <w:r w:rsidR="002246F9" w:rsidRPr="00D5464D">
        <w:rPr>
          <w:rFonts w:cs="Helvetica"/>
          <w:szCs w:val="20"/>
          <w:lang w:val="pt-BR"/>
        </w:rPr>
        <w:t xml:space="preserve">s: Antônio “Caititu”, </w:t>
      </w:r>
      <w:r w:rsidR="00E42F61" w:rsidRPr="00D5464D">
        <w:rPr>
          <w:rFonts w:cs="Helvetica"/>
          <w:szCs w:val="20"/>
          <w:lang w:val="pt-BR"/>
        </w:rPr>
        <w:t xml:space="preserve">Antônio </w:t>
      </w:r>
      <w:r w:rsidR="002246F9" w:rsidRPr="00D5464D">
        <w:rPr>
          <w:rFonts w:cs="Helvetica"/>
          <w:szCs w:val="20"/>
          <w:lang w:val="pt-BR"/>
        </w:rPr>
        <w:t>“Capixaba”, Irineu, José Carlos, José Francisco, Francisco, “Índio”, “Mato Grosso”, “Pará”</w:t>
      </w:r>
      <w:r w:rsidR="00E045D9" w:rsidRPr="00D5464D">
        <w:rPr>
          <w:rFonts w:cs="Helvetica"/>
          <w:szCs w:val="20"/>
          <w:lang w:val="pt-BR"/>
        </w:rPr>
        <w:t xml:space="preserve"> e </w:t>
      </w:r>
      <w:r w:rsidR="002246F9" w:rsidRPr="00D5464D">
        <w:rPr>
          <w:rFonts w:cs="Helvetica"/>
          <w:szCs w:val="20"/>
          <w:lang w:val="pt-BR"/>
        </w:rPr>
        <w:t>“Parazinho”.</w:t>
      </w:r>
      <w:r w:rsidR="002246F9" w:rsidRPr="00D5464D">
        <w:rPr>
          <w:szCs w:val="20"/>
          <w:lang w:val="pt-BR"/>
        </w:rPr>
        <w:t xml:space="preserve"> </w:t>
      </w:r>
    </w:p>
    <w:p w14:paraId="3E0FBA25" w14:textId="77777777" w:rsidR="002246F9" w:rsidRPr="00D5464D" w:rsidRDefault="002246F9" w:rsidP="002246F9">
      <w:pPr>
        <w:pStyle w:val="Prrafodelista"/>
        <w:autoSpaceDE w:val="0"/>
        <w:autoSpaceDN w:val="0"/>
        <w:adjustRightInd w:val="0"/>
        <w:ind w:left="0"/>
        <w:rPr>
          <w:szCs w:val="20"/>
          <w:lang w:val="pt-BR"/>
        </w:rPr>
      </w:pPr>
    </w:p>
    <w:p w14:paraId="7C64F1F5" w14:textId="72BDDAF9" w:rsidR="002246F9" w:rsidRPr="00D5464D" w:rsidRDefault="00065EC3" w:rsidP="002246F9">
      <w:pPr>
        <w:pStyle w:val="Prrafodelista"/>
        <w:numPr>
          <w:ilvl w:val="0"/>
          <w:numId w:val="1"/>
        </w:numPr>
        <w:autoSpaceDE w:val="0"/>
        <w:autoSpaceDN w:val="0"/>
        <w:adjustRightInd w:val="0"/>
        <w:rPr>
          <w:szCs w:val="20"/>
          <w:lang w:val="pt-BR"/>
        </w:rPr>
      </w:pPr>
      <w:r w:rsidRPr="00D5464D">
        <w:rPr>
          <w:szCs w:val="20"/>
          <w:lang w:val="pt-BR"/>
        </w:rPr>
        <w:t>Diante do exposto</w:t>
      </w:r>
      <w:r w:rsidR="002246F9" w:rsidRPr="00D5464D">
        <w:rPr>
          <w:szCs w:val="20"/>
          <w:lang w:val="pt-BR"/>
        </w:rPr>
        <w:t>,</w:t>
      </w:r>
      <w:r w:rsidR="002C330E" w:rsidRPr="00D5464D">
        <w:rPr>
          <w:szCs w:val="20"/>
          <w:lang w:val="pt-BR"/>
        </w:rPr>
        <w:t xml:space="preserve"> a </w:t>
      </w:r>
      <w:r w:rsidR="00A1358C" w:rsidRPr="00D5464D">
        <w:rPr>
          <w:szCs w:val="20"/>
          <w:lang w:val="pt-BR"/>
        </w:rPr>
        <w:t>Corte considera</w:t>
      </w:r>
      <w:r w:rsidR="002246F9" w:rsidRPr="00D5464D">
        <w:rPr>
          <w:szCs w:val="20"/>
          <w:lang w:val="pt-BR"/>
        </w:rPr>
        <w:t xml:space="preserve"> que </w:t>
      </w:r>
      <w:r w:rsidR="002246F9" w:rsidRPr="00D5464D">
        <w:rPr>
          <w:rFonts w:cs="Times New Roman"/>
          <w:szCs w:val="20"/>
          <w:lang w:val="pt-BR"/>
        </w:rPr>
        <w:t>existe</w:t>
      </w:r>
      <w:r w:rsidR="00E045D9" w:rsidRPr="00D5464D">
        <w:rPr>
          <w:rFonts w:cs="Times New Roman"/>
          <w:szCs w:val="20"/>
          <w:lang w:val="pt-BR"/>
        </w:rPr>
        <w:t xml:space="preserve"> uma </w:t>
      </w:r>
      <w:r w:rsidR="00470ADC" w:rsidRPr="00D5464D">
        <w:rPr>
          <w:rFonts w:cs="Times New Roman"/>
          <w:szCs w:val="20"/>
          <w:lang w:val="pt-BR"/>
        </w:rPr>
        <w:t>dúvida</w:t>
      </w:r>
      <w:r w:rsidR="002246F9" w:rsidRPr="00D5464D">
        <w:rPr>
          <w:rFonts w:cs="Times New Roman"/>
          <w:szCs w:val="20"/>
          <w:lang w:val="pt-BR"/>
        </w:rPr>
        <w:t xml:space="preserve"> </w:t>
      </w:r>
      <w:r w:rsidR="002C330E" w:rsidRPr="00D5464D">
        <w:rPr>
          <w:rFonts w:cs="Times New Roman"/>
          <w:szCs w:val="20"/>
          <w:lang w:val="pt-BR"/>
        </w:rPr>
        <w:t xml:space="preserve">razoável </w:t>
      </w:r>
      <w:r w:rsidR="00E235D0" w:rsidRPr="00D5464D">
        <w:rPr>
          <w:rFonts w:cs="Times New Roman"/>
          <w:szCs w:val="20"/>
          <w:lang w:val="pt-BR"/>
        </w:rPr>
        <w:t xml:space="preserve">quanto ao fato de </w:t>
      </w:r>
      <w:r w:rsidR="002246F9" w:rsidRPr="00D5464D">
        <w:rPr>
          <w:rFonts w:cs="Times New Roman"/>
          <w:szCs w:val="20"/>
          <w:lang w:val="pt-BR"/>
        </w:rPr>
        <w:t>que</w:t>
      </w:r>
      <w:r w:rsidR="00470ADC" w:rsidRPr="00D5464D">
        <w:rPr>
          <w:rFonts w:cs="Times New Roman"/>
          <w:szCs w:val="20"/>
          <w:lang w:val="pt-BR"/>
        </w:rPr>
        <w:t xml:space="preserve"> o </w:t>
      </w:r>
      <w:r w:rsidR="002C330E" w:rsidRPr="00D5464D">
        <w:rPr>
          <w:rFonts w:cs="Times New Roman"/>
          <w:szCs w:val="20"/>
          <w:lang w:val="pt-BR"/>
        </w:rPr>
        <w:t>nome</w:t>
      </w:r>
      <w:r w:rsidR="002246F9" w:rsidRPr="00D5464D">
        <w:rPr>
          <w:rFonts w:cs="Times New Roman"/>
          <w:szCs w:val="20"/>
          <w:lang w:val="pt-BR"/>
        </w:rPr>
        <w:t xml:space="preserve"> </w:t>
      </w:r>
      <w:r w:rsidR="002C330E" w:rsidRPr="00D5464D">
        <w:rPr>
          <w:rFonts w:cs="Times New Roman"/>
          <w:szCs w:val="20"/>
          <w:lang w:val="pt-BR"/>
        </w:rPr>
        <w:t>indicado</w:t>
      </w:r>
      <w:r w:rsidR="00470ADC" w:rsidRPr="00D5464D">
        <w:rPr>
          <w:rFonts w:cs="Times New Roman"/>
          <w:szCs w:val="20"/>
          <w:lang w:val="pt-BR"/>
        </w:rPr>
        <w:t xml:space="preserve"> em</w:t>
      </w:r>
      <w:r w:rsidR="00E045D9" w:rsidRPr="00D5464D">
        <w:rPr>
          <w:rFonts w:cs="Times New Roman"/>
          <w:szCs w:val="20"/>
          <w:lang w:val="pt-BR"/>
        </w:rPr>
        <w:t xml:space="preserve"> uma </w:t>
      </w:r>
      <w:r w:rsidR="002246F9" w:rsidRPr="00D5464D">
        <w:rPr>
          <w:rFonts w:cs="Times New Roman"/>
          <w:szCs w:val="20"/>
          <w:lang w:val="pt-BR"/>
        </w:rPr>
        <w:t>nota de consumo o</w:t>
      </w:r>
      <w:r w:rsidR="002F578C" w:rsidRPr="00D5464D">
        <w:rPr>
          <w:rFonts w:cs="Times New Roman"/>
          <w:szCs w:val="20"/>
          <w:lang w:val="pt-BR"/>
        </w:rPr>
        <w:t>u</w:t>
      </w:r>
      <w:r w:rsidR="002246F9" w:rsidRPr="00D5464D">
        <w:rPr>
          <w:rFonts w:cs="Times New Roman"/>
          <w:szCs w:val="20"/>
          <w:lang w:val="pt-BR"/>
        </w:rPr>
        <w:t xml:space="preserve"> recibo</w:t>
      </w:r>
      <w:r w:rsidR="00470ADC" w:rsidRPr="00D5464D">
        <w:rPr>
          <w:rFonts w:cs="Times New Roman"/>
          <w:szCs w:val="20"/>
          <w:lang w:val="pt-BR"/>
        </w:rPr>
        <w:t xml:space="preserve"> em </w:t>
      </w:r>
      <w:r w:rsidR="002F578C" w:rsidRPr="00D5464D">
        <w:rPr>
          <w:rFonts w:cs="Times New Roman"/>
          <w:szCs w:val="20"/>
          <w:lang w:val="pt-BR"/>
        </w:rPr>
        <w:t xml:space="preserve">branco </w:t>
      </w:r>
      <w:r w:rsidR="00737270" w:rsidRPr="00D5464D">
        <w:rPr>
          <w:rFonts w:cs="Times New Roman"/>
          <w:szCs w:val="20"/>
          <w:lang w:val="pt-BR"/>
        </w:rPr>
        <w:t>pudesse</w:t>
      </w:r>
      <w:r w:rsidR="002246F9" w:rsidRPr="00D5464D">
        <w:rPr>
          <w:rFonts w:cs="Times New Roman"/>
          <w:szCs w:val="20"/>
          <w:lang w:val="pt-BR"/>
        </w:rPr>
        <w:t xml:space="preserve"> </w:t>
      </w:r>
      <w:r w:rsidR="002F578C" w:rsidRPr="00D5464D">
        <w:rPr>
          <w:rFonts w:cs="Times New Roman"/>
          <w:szCs w:val="20"/>
          <w:lang w:val="pt-BR"/>
        </w:rPr>
        <w:t xml:space="preserve">se </w:t>
      </w:r>
      <w:r w:rsidR="002246F9" w:rsidRPr="00D5464D">
        <w:rPr>
          <w:rFonts w:cs="Times New Roman"/>
          <w:szCs w:val="20"/>
          <w:lang w:val="pt-BR"/>
        </w:rPr>
        <w:t>referir a</w:t>
      </w:r>
      <w:r w:rsidR="00E045D9" w:rsidRPr="00D5464D">
        <w:rPr>
          <w:rFonts w:cs="Times New Roman"/>
          <w:szCs w:val="20"/>
          <w:lang w:val="pt-BR"/>
        </w:rPr>
        <w:t xml:space="preserve"> um trabalh</w:t>
      </w:r>
      <w:r w:rsidR="002246F9" w:rsidRPr="00D5464D">
        <w:rPr>
          <w:rFonts w:cs="Times New Roman"/>
          <w:szCs w:val="20"/>
          <w:lang w:val="pt-BR"/>
        </w:rPr>
        <w:t>ador que</w:t>
      </w:r>
      <w:r w:rsidR="00E045D9" w:rsidRPr="00D5464D">
        <w:rPr>
          <w:rFonts w:cs="Times New Roman"/>
          <w:szCs w:val="20"/>
          <w:lang w:val="pt-BR"/>
        </w:rPr>
        <w:t xml:space="preserve"> já </w:t>
      </w:r>
      <w:r w:rsidR="002C330E" w:rsidRPr="00D5464D">
        <w:rPr>
          <w:rFonts w:cs="Times New Roman"/>
          <w:szCs w:val="20"/>
          <w:lang w:val="pt-BR"/>
        </w:rPr>
        <w:t>havia</w:t>
      </w:r>
      <w:r w:rsidR="002246F9" w:rsidRPr="00D5464D">
        <w:rPr>
          <w:rFonts w:cs="Times New Roman"/>
          <w:szCs w:val="20"/>
          <w:lang w:val="pt-BR"/>
        </w:rPr>
        <w:t xml:space="preserve"> sido previamente identificado mediante</w:t>
      </w:r>
      <w:r w:rsidR="002C330E" w:rsidRPr="00D5464D">
        <w:rPr>
          <w:rFonts w:cs="Times New Roman"/>
          <w:szCs w:val="20"/>
          <w:lang w:val="pt-BR"/>
        </w:rPr>
        <w:t xml:space="preserve"> outro </w:t>
      </w:r>
      <w:r w:rsidR="002246F9" w:rsidRPr="00D5464D">
        <w:rPr>
          <w:rFonts w:cs="Times New Roman"/>
          <w:szCs w:val="20"/>
          <w:lang w:val="pt-BR"/>
        </w:rPr>
        <w:t xml:space="preserve">documento de </w:t>
      </w:r>
      <w:r w:rsidR="002C330E" w:rsidRPr="00D5464D">
        <w:rPr>
          <w:rFonts w:cs="Times New Roman"/>
          <w:szCs w:val="20"/>
          <w:lang w:val="pt-BR"/>
        </w:rPr>
        <w:t>prova</w:t>
      </w:r>
      <w:r w:rsidR="002246F9" w:rsidRPr="00D5464D">
        <w:rPr>
          <w:rFonts w:cs="Times New Roman"/>
          <w:szCs w:val="20"/>
          <w:lang w:val="pt-BR"/>
        </w:rPr>
        <w:t xml:space="preserve"> o</w:t>
      </w:r>
      <w:r w:rsidR="00AF0F26" w:rsidRPr="00D5464D">
        <w:rPr>
          <w:rFonts w:cs="Times New Roman"/>
          <w:szCs w:val="20"/>
          <w:lang w:val="pt-BR"/>
        </w:rPr>
        <w:t>u</w:t>
      </w:r>
      <w:r w:rsidR="00E235D0" w:rsidRPr="00D5464D">
        <w:rPr>
          <w:rFonts w:cs="Times New Roman"/>
          <w:szCs w:val="20"/>
          <w:lang w:val="pt-BR"/>
        </w:rPr>
        <w:t>,</w:t>
      </w:r>
      <w:r w:rsidR="002246F9" w:rsidRPr="00D5464D">
        <w:rPr>
          <w:rFonts w:cs="Times New Roman"/>
          <w:szCs w:val="20"/>
          <w:lang w:val="pt-BR"/>
        </w:rPr>
        <w:t xml:space="preserve"> </w:t>
      </w:r>
      <w:r w:rsidR="00350187" w:rsidRPr="00D5464D">
        <w:rPr>
          <w:rFonts w:cs="Times New Roman"/>
          <w:szCs w:val="20"/>
          <w:lang w:val="pt-BR"/>
        </w:rPr>
        <w:t>inclusive</w:t>
      </w:r>
      <w:r w:rsidR="00E235D0" w:rsidRPr="00D5464D">
        <w:rPr>
          <w:rFonts w:cs="Times New Roman"/>
          <w:szCs w:val="20"/>
          <w:lang w:val="pt-BR"/>
        </w:rPr>
        <w:t>,</w:t>
      </w:r>
      <w:r w:rsidR="002246F9" w:rsidRPr="00D5464D">
        <w:rPr>
          <w:rFonts w:cs="Times New Roman"/>
          <w:szCs w:val="20"/>
          <w:lang w:val="pt-BR"/>
        </w:rPr>
        <w:t xml:space="preserve"> a</w:t>
      </w:r>
      <w:r w:rsidR="00E045D9" w:rsidRPr="00D5464D">
        <w:rPr>
          <w:rFonts w:cs="Times New Roman"/>
          <w:szCs w:val="20"/>
          <w:lang w:val="pt-BR"/>
        </w:rPr>
        <w:t xml:space="preserve"> um trabalh</w:t>
      </w:r>
      <w:r w:rsidR="002246F9" w:rsidRPr="00D5464D">
        <w:rPr>
          <w:rFonts w:cs="Times New Roman"/>
          <w:szCs w:val="20"/>
          <w:lang w:val="pt-BR"/>
        </w:rPr>
        <w:t>ador que n</w:t>
      </w:r>
      <w:r w:rsidR="00AF0F26" w:rsidRPr="00D5464D">
        <w:rPr>
          <w:rFonts w:cs="Times New Roman"/>
          <w:szCs w:val="20"/>
          <w:lang w:val="pt-BR"/>
        </w:rPr>
        <w:t>ã</w:t>
      </w:r>
      <w:r w:rsidR="002246F9" w:rsidRPr="00D5464D">
        <w:rPr>
          <w:rFonts w:cs="Times New Roman"/>
          <w:szCs w:val="20"/>
          <w:lang w:val="pt-BR"/>
        </w:rPr>
        <w:t xml:space="preserve">o se </w:t>
      </w:r>
      <w:r w:rsidR="00470ADC" w:rsidRPr="00D5464D">
        <w:rPr>
          <w:rFonts w:cs="Times New Roman"/>
          <w:szCs w:val="20"/>
          <w:lang w:val="pt-BR"/>
        </w:rPr>
        <w:t>encontrava</w:t>
      </w:r>
      <w:r w:rsidR="00E045D9" w:rsidRPr="00D5464D">
        <w:rPr>
          <w:rFonts w:cs="Times New Roman"/>
          <w:szCs w:val="20"/>
          <w:lang w:val="pt-BR"/>
        </w:rPr>
        <w:t xml:space="preserve"> na </w:t>
      </w:r>
      <w:r w:rsidR="00D809F0" w:rsidRPr="00D5464D">
        <w:rPr>
          <w:rFonts w:cs="Times New Roman"/>
          <w:szCs w:val="20"/>
          <w:lang w:val="pt-BR"/>
        </w:rPr>
        <w:t>Fazenda</w:t>
      </w:r>
      <w:r w:rsidR="002246F9" w:rsidRPr="00D5464D">
        <w:rPr>
          <w:rFonts w:cs="Times New Roman"/>
          <w:szCs w:val="20"/>
          <w:lang w:val="pt-BR"/>
        </w:rPr>
        <w:t xml:space="preserve"> Brasil Verde</w:t>
      </w:r>
      <w:r w:rsidR="00470ADC" w:rsidRPr="00D5464D">
        <w:rPr>
          <w:rFonts w:cs="Times New Roman"/>
          <w:szCs w:val="20"/>
          <w:lang w:val="pt-BR"/>
        </w:rPr>
        <w:t xml:space="preserve"> </w:t>
      </w:r>
      <w:r w:rsidR="00AF0F26" w:rsidRPr="00D5464D">
        <w:rPr>
          <w:rFonts w:cs="Times New Roman"/>
          <w:szCs w:val="20"/>
          <w:lang w:val="pt-BR"/>
        </w:rPr>
        <w:t>n</w:t>
      </w:r>
      <w:r w:rsidR="00470ADC" w:rsidRPr="00D5464D">
        <w:rPr>
          <w:rFonts w:cs="Times New Roman"/>
          <w:szCs w:val="20"/>
          <w:lang w:val="pt-BR"/>
        </w:rPr>
        <w:t xml:space="preserve">o </w:t>
      </w:r>
      <w:r w:rsidR="002246F9" w:rsidRPr="00D5464D">
        <w:rPr>
          <w:rFonts w:cs="Times New Roman"/>
          <w:szCs w:val="20"/>
          <w:lang w:val="pt-BR"/>
        </w:rPr>
        <w:t>momento</w:t>
      </w:r>
      <w:r w:rsidR="00470ADC" w:rsidRPr="00D5464D">
        <w:rPr>
          <w:rFonts w:cs="Times New Roman"/>
          <w:szCs w:val="20"/>
          <w:lang w:val="pt-BR"/>
        </w:rPr>
        <w:t xml:space="preserve"> da </w:t>
      </w:r>
      <w:r w:rsidR="002246F9" w:rsidRPr="00D5464D">
        <w:rPr>
          <w:rFonts w:cs="Times New Roman"/>
          <w:szCs w:val="20"/>
          <w:lang w:val="pt-BR"/>
        </w:rPr>
        <w:t>fiscaliza</w:t>
      </w:r>
      <w:r w:rsidR="00470ADC" w:rsidRPr="00D5464D">
        <w:rPr>
          <w:rFonts w:cs="Times New Roman"/>
          <w:szCs w:val="20"/>
          <w:lang w:val="pt-BR"/>
        </w:rPr>
        <w:t>ção</w:t>
      </w:r>
      <w:r w:rsidR="002246F9" w:rsidRPr="00D5464D">
        <w:rPr>
          <w:rFonts w:cs="Times New Roman"/>
          <w:szCs w:val="20"/>
          <w:lang w:val="pt-BR"/>
        </w:rPr>
        <w:t xml:space="preserve"> de abril de 1997</w:t>
      </w:r>
      <w:r w:rsidR="00737270" w:rsidRPr="00D5464D">
        <w:rPr>
          <w:rFonts w:cs="Times New Roman"/>
          <w:szCs w:val="20"/>
          <w:lang w:val="pt-BR"/>
        </w:rPr>
        <w:t xml:space="preserve">. Desta </w:t>
      </w:r>
      <w:r w:rsidR="002246F9" w:rsidRPr="00D5464D">
        <w:rPr>
          <w:rFonts w:cs="Times New Roman"/>
          <w:szCs w:val="20"/>
          <w:lang w:val="pt-BR"/>
        </w:rPr>
        <w:t>forma,</w:t>
      </w:r>
      <w:r w:rsidR="002C330E" w:rsidRPr="00D5464D">
        <w:rPr>
          <w:rFonts w:cs="Times New Roman"/>
          <w:szCs w:val="20"/>
          <w:lang w:val="pt-BR"/>
        </w:rPr>
        <w:t xml:space="preserve"> a </w:t>
      </w:r>
      <w:r w:rsidR="002246F9" w:rsidRPr="00D5464D">
        <w:rPr>
          <w:rFonts w:cs="Times New Roman"/>
          <w:szCs w:val="20"/>
          <w:lang w:val="pt-BR"/>
        </w:rPr>
        <w:t xml:space="preserve">Corte considera que, para </w:t>
      </w:r>
      <w:r w:rsidR="00470ADC" w:rsidRPr="00D5464D">
        <w:rPr>
          <w:rFonts w:cs="Times New Roman"/>
          <w:szCs w:val="20"/>
          <w:lang w:val="pt-BR"/>
        </w:rPr>
        <w:t>efeito</w:t>
      </w:r>
      <w:r w:rsidR="002246F9" w:rsidRPr="00D5464D">
        <w:rPr>
          <w:rFonts w:cs="Times New Roman"/>
          <w:szCs w:val="20"/>
          <w:lang w:val="pt-BR"/>
        </w:rPr>
        <w:t xml:space="preserve">s </w:t>
      </w:r>
      <w:r w:rsidR="00470ADC" w:rsidRPr="00D5464D">
        <w:rPr>
          <w:rFonts w:cs="Times New Roman"/>
          <w:szCs w:val="20"/>
          <w:lang w:val="pt-BR"/>
        </w:rPr>
        <w:t xml:space="preserve">do </w:t>
      </w:r>
      <w:r w:rsidR="002246F9" w:rsidRPr="00D5464D">
        <w:rPr>
          <w:rFonts w:cs="Times New Roman"/>
          <w:szCs w:val="20"/>
          <w:lang w:val="pt-BR"/>
        </w:rPr>
        <w:t>presente caso,</w:t>
      </w:r>
      <w:r w:rsidR="002C330E" w:rsidRPr="00D5464D">
        <w:rPr>
          <w:rFonts w:cs="Times New Roman"/>
          <w:szCs w:val="20"/>
          <w:lang w:val="pt-BR"/>
        </w:rPr>
        <w:t xml:space="preserve"> as </w:t>
      </w:r>
      <w:r w:rsidR="002246F9" w:rsidRPr="00D5464D">
        <w:rPr>
          <w:rFonts w:cs="Times New Roman"/>
          <w:szCs w:val="20"/>
          <w:lang w:val="pt-BR"/>
        </w:rPr>
        <w:t xml:space="preserve">notas de consumo </w:t>
      </w:r>
      <w:r w:rsidR="00AF0F26" w:rsidRPr="00D5464D">
        <w:rPr>
          <w:rFonts w:cs="Times New Roman"/>
          <w:szCs w:val="20"/>
          <w:lang w:val="pt-BR"/>
        </w:rPr>
        <w:t>e</w:t>
      </w:r>
      <w:r w:rsidR="002C330E" w:rsidRPr="00D5464D">
        <w:rPr>
          <w:rFonts w:cs="Times New Roman"/>
          <w:szCs w:val="20"/>
          <w:lang w:val="pt-BR"/>
        </w:rPr>
        <w:t xml:space="preserve"> os </w:t>
      </w:r>
      <w:r w:rsidR="002246F9" w:rsidRPr="00D5464D">
        <w:rPr>
          <w:rFonts w:cs="Times New Roman"/>
          <w:szCs w:val="20"/>
          <w:lang w:val="pt-BR"/>
        </w:rPr>
        <w:t>recibos</w:t>
      </w:r>
      <w:r w:rsidR="00470ADC" w:rsidRPr="00D5464D">
        <w:rPr>
          <w:rFonts w:cs="Times New Roman"/>
          <w:szCs w:val="20"/>
          <w:lang w:val="pt-BR"/>
        </w:rPr>
        <w:t xml:space="preserve"> em </w:t>
      </w:r>
      <w:r w:rsidR="002F578C" w:rsidRPr="00D5464D">
        <w:rPr>
          <w:rFonts w:cs="Times New Roman"/>
          <w:szCs w:val="20"/>
          <w:lang w:val="pt-BR"/>
        </w:rPr>
        <w:t xml:space="preserve">branco </w:t>
      </w:r>
      <w:r w:rsidR="002246F9" w:rsidRPr="00D5464D">
        <w:rPr>
          <w:rFonts w:cs="Times New Roman"/>
          <w:szCs w:val="20"/>
          <w:lang w:val="pt-BR"/>
        </w:rPr>
        <w:t>n</w:t>
      </w:r>
      <w:r w:rsidR="00AF0F26" w:rsidRPr="00D5464D">
        <w:rPr>
          <w:rFonts w:cs="Times New Roman"/>
          <w:szCs w:val="20"/>
          <w:lang w:val="pt-BR"/>
        </w:rPr>
        <w:t>ã</w:t>
      </w:r>
      <w:r w:rsidR="002246F9" w:rsidRPr="00D5464D">
        <w:rPr>
          <w:rFonts w:cs="Times New Roman"/>
          <w:szCs w:val="20"/>
          <w:lang w:val="pt-BR"/>
        </w:rPr>
        <w:t xml:space="preserve">o </w:t>
      </w:r>
      <w:r w:rsidR="00E045D9" w:rsidRPr="00D5464D">
        <w:rPr>
          <w:rFonts w:cs="Times New Roman"/>
          <w:szCs w:val="20"/>
          <w:lang w:val="pt-BR"/>
        </w:rPr>
        <w:t>permitem</w:t>
      </w:r>
      <w:r w:rsidR="002246F9" w:rsidRPr="00D5464D">
        <w:rPr>
          <w:rFonts w:cs="Times New Roman"/>
          <w:szCs w:val="20"/>
          <w:lang w:val="pt-BR"/>
        </w:rPr>
        <w:t xml:space="preserve"> </w:t>
      </w:r>
      <w:r w:rsidR="00350187" w:rsidRPr="00D5464D">
        <w:rPr>
          <w:rFonts w:cs="Times New Roman"/>
          <w:szCs w:val="20"/>
          <w:lang w:val="pt-BR"/>
        </w:rPr>
        <w:t>demonstr</w:t>
      </w:r>
      <w:r w:rsidR="00470ADC" w:rsidRPr="00D5464D">
        <w:rPr>
          <w:rFonts w:cs="Times New Roman"/>
          <w:szCs w:val="20"/>
          <w:lang w:val="pt-BR"/>
        </w:rPr>
        <w:t xml:space="preserve">ar com </w:t>
      </w:r>
      <w:r w:rsidR="002246F9" w:rsidRPr="00D5464D">
        <w:rPr>
          <w:rFonts w:cs="Times New Roman"/>
          <w:szCs w:val="20"/>
          <w:lang w:val="pt-BR"/>
        </w:rPr>
        <w:t>certeza</w:t>
      </w:r>
      <w:r w:rsidR="002C330E" w:rsidRPr="00D5464D">
        <w:rPr>
          <w:rFonts w:cs="Times New Roman"/>
          <w:szCs w:val="20"/>
          <w:lang w:val="pt-BR"/>
        </w:rPr>
        <w:t xml:space="preserve"> a presença </w:t>
      </w:r>
      <w:r w:rsidR="002246F9" w:rsidRPr="00D5464D">
        <w:rPr>
          <w:rFonts w:cs="Times New Roman"/>
          <w:szCs w:val="20"/>
          <w:lang w:val="pt-BR"/>
        </w:rPr>
        <w:t>de</w:t>
      </w:r>
      <w:r w:rsidR="00E045D9" w:rsidRPr="00D5464D">
        <w:rPr>
          <w:rFonts w:cs="Times New Roman"/>
          <w:szCs w:val="20"/>
          <w:lang w:val="pt-BR"/>
        </w:rPr>
        <w:t xml:space="preserve"> um </w:t>
      </w:r>
      <w:r w:rsidR="002246F9" w:rsidRPr="00D5464D">
        <w:rPr>
          <w:rFonts w:cs="Times New Roman"/>
          <w:szCs w:val="20"/>
          <w:lang w:val="pt-BR"/>
        </w:rPr>
        <w:t xml:space="preserve">determinado </w:t>
      </w:r>
      <w:r w:rsidR="00E045D9" w:rsidRPr="00D5464D">
        <w:rPr>
          <w:rFonts w:cs="Times New Roman"/>
          <w:szCs w:val="20"/>
          <w:lang w:val="pt-BR"/>
        </w:rPr>
        <w:t>trabalh</w:t>
      </w:r>
      <w:r w:rsidR="002246F9" w:rsidRPr="00D5464D">
        <w:rPr>
          <w:rFonts w:cs="Times New Roman"/>
          <w:szCs w:val="20"/>
          <w:lang w:val="pt-BR"/>
        </w:rPr>
        <w:t>ador</w:t>
      </w:r>
      <w:r w:rsidR="00E045D9" w:rsidRPr="00D5464D">
        <w:rPr>
          <w:rFonts w:cs="Times New Roman"/>
          <w:szCs w:val="20"/>
          <w:lang w:val="pt-BR"/>
        </w:rPr>
        <w:t xml:space="preserve"> na </w:t>
      </w:r>
      <w:r w:rsidR="00D809F0" w:rsidRPr="00D5464D">
        <w:rPr>
          <w:rFonts w:cs="Times New Roman"/>
          <w:szCs w:val="20"/>
          <w:lang w:val="pt-BR"/>
        </w:rPr>
        <w:t>Fazenda</w:t>
      </w:r>
      <w:r w:rsidR="002246F9" w:rsidRPr="00D5464D">
        <w:rPr>
          <w:rFonts w:cs="Times New Roman"/>
          <w:szCs w:val="20"/>
          <w:lang w:val="pt-BR"/>
        </w:rPr>
        <w:t xml:space="preserve"> Brasil Verde</w:t>
      </w:r>
      <w:r w:rsidR="00470ADC" w:rsidRPr="00D5464D">
        <w:rPr>
          <w:rFonts w:cs="Times New Roman"/>
          <w:szCs w:val="20"/>
          <w:lang w:val="pt-BR"/>
        </w:rPr>
        <w:t xml:space="preserve"> </w:t>
      </w:r>
      <w:r w:rsidR="00AF0F26" w:rsidRPr="00D5464D">
        <w:rPr>
          <w:rFonts w:cs="Times New Roman"/>
          <w:szCs w:val="20"/>
          <w:lang w:val="pt-BR"/>
        </w:rPr>
        <w:t>n</w:t>
      </w:r>
      <w:r w:rsidR="00470ADC" w:rsidRPr="00D5464D">
        <w:rPr>
          <w:rFonts w:cs="Times New Roman"/>
          <w:szCs w:val="20"/>
          <w:lang w:val="pt-BR"/>
        </w:rPr>
        <w:t xml:space="preserve">o </w:t>
      </w:r>
      <w:r w:rsidR="002246F9" w:rsidRPr="00D5464D">
        <w:rPr>
          <w:rFonts w:cs="Times New Roman"/>
          <w:szCs w:val="20"/>
          <w:lang w:val="pt-BR"/>
        </w:rPr>
        <w:t>momento</w:t>
      </w:r>
      <w:r w:rsidR="00470ADC" w:rsidRPr="00D5464D">
        <w:rPr>
          <w:rFonts w:cs="Times New Roman"/>
          <w:szCs w:val="20"/>
          <w:lang w:val="pt-BR"/>
        </w:rPr>
        <w:t xml:space="preserve"> da </w:t>
      </w:r>
      <w:r w:rsidR="002246F9" w:rsidRPr="00D5464D">
        <w:rPr>
          <w:rFonts w:cs="Times New Roman"/>
          <w:szCs w:val="20"/>
          <w:lang w:val="pt-BR"/>
        </w:rPr>
        <w:t>fiscaliza</w:t>
      </w:r>
      <w:r w:rsidR="00470ADC" w:rsidRPr="00D5464D">
        <w:rPr>
          <w:rFonts w:cs="Times New Roman"/>
          <w:szCs w:val="20"/>
          <w:lang w:val="pt-BR"/>
        </w:rPr>
        <w:t>ção</w:t>
      </w:r>
      <w:r w:rsidR="002246F9" w:rsidRPr="00D5464D">
        <w:rPr>
          <w:rFonts w:cs="Times New Roman"/>
          <w:szCs w:val="20"/>
          <w:lang w:val="pt-BR"/>
        </w:rPr>
        <w:t xml:space="preserve"> de abril de 1997,</w:t>
      </w:r>
      <w:r w:rsidR="002C330E" w:rsidRPr="00D5464D">
        <w:rPr>
          <w:rFonts w:cs="Times New Roman"/>
          <w:szCs w:val="20"/>
          <w:lang w:val="pt-BR"/>
        </w:rPr>
        <w:t xml:space="preserve"> nem </w:t>
      </w:r>
      <w:r w:rsidR="002246F9" w:rsidRPr="00D5464D">
        <w:rPr>
          <w:rFonts w:cs="Times New Roman"/>
          <w:szCs w:val="20"/>
          <w:lang w:val="pt-BR"/>
        </w:rPr>
        <w:t>su</w:t>
      </w:r>
      <w:r w:rsidR="00AF0F26" w:rsidRPr="00D5464D">
        <w:rPr>
          <w:rFonts w:cs="Times New Roman"/>
          <w:szCs w:val="20"/>
          <w:lang w:val="pt-BR"/>
        </w:rPr>
        <w:t>a</w:t>
      </w:r>
      <w:r w:rsidR="002246F9" w:rsidRPr="00D5464D">
        <w:rPr>
          <w:rFonts w:cs="Times New Roman"/>
          <w:szCs w:val="20"/>
          <w:lang w:val="pt-BR"/>
        </w:rPr>
        <w:t xml:space="preserve"> </w:t>
      </w:r>
      <w:r w:rsidR="00470ADC" w:rsidRPr="00D5464D">
        <w:rPr>
          <w:rFonts w:cs="Times New Roman"/>
          <w:szCs w:val="20"/>
          <w:lang w:val="pt-BR"/>
        </w:rPr>
        <w:t xml:space="preserve">consequente qualidade </w:t>
      </w:r>
      <w:r w:rsidR="002246F9" w:rsidRPr="00D5464D">
        <w:rPr>
          <w:rFonts w:cs="Times New Roman"/>
          <w:szCs w:val="20"/>
          <w:lang w:val="pt-BR"/>
        </w:rPr>
        <w:t xml:space="preserve">de </w:t>
      </w:r>
      <w:r w:rsidR="002C330E" w:rsidRPr="00D5464D">
        <w:rPr>
          <w:rFonts w:cs="Times New Roman"/>
          <w:szCs w:val="20"/>
          <w:lang w:val="pt-BR"/>
        </w:rPr>
        <w:t>suposta</w:t>
      </w:r>
      <w:r w:rsidR="002246F9" w:rsidRPr="00D5464D">
        <w:rPr>
          <w:rFonts w:cs="Times New Roman"/>
          <w:szCs w:val="20"/>
          <w:lang w:val="pt-BR"/>
        </w:rPr>
        <w:t xml:space="preserve"> </w:t>
      </w:r>
      <w:r w:rsidR="00E045D9" w:rsidRPr="00D5464D">
        <w:rPr>
          <w:rFonts w:cs="Times New Roman"/>
          <w:szCs w:val="20"/>
          <w:lang w:val="pt-BR"/>
        </w:rPr>
        <w:t>vítima</w:t>
      </w:r>
      <w:r w:rsidR="002246F9" w:rsidRPr="00D5464D">
        <w:rPr>
          <w:rFonts w:cs="Times New Roman"/>
          <w:szCs w:val="20"/>
          <w:lang w:val="pt-BR"/>
        </w:rPr>
        <w:t>.</w:t>
      </w:r>
    </w:p>
    <w:p w14:paraId="47A34003" w14:textId="77777777" w:rsidR="002246F9" w:rsidRPr="00D5464D" w:rsidRDefault="002246F9" w:rsidP="002246F9">
      <w:pPr>
        <w:pStyle w:val="Prrafodelista"/>
        <w:autoSpaceDE w:val="0"/>
        <w:autoSpaceDN w:val="0"/>
        <w:adjustRightInd w:val="0"/>
        <w:ind w:left="0"/>
        <w:rPr>
          <w:szCs w:val="20"/>
          <w:lang w:val="pt-BR"/>
        </w:rPr>
      </w:pPr>
      <w:r w:rsidRPr="00D5464D">
        <w:rPr>
          <w:rFonts w:cs="Times New Roman"/>
          <w:szCs w:val="20"/>
          <w:lang w:val="pt-BR"/>
        </w:rPr>
        <w:t xml:space="preserve"> </w:t>
      </w:r>
    </w:p>
    <w:p w14:paraId="5CDB7E3E" w14:textId="056A8FFC" w:rsidR="002246F9" w:rsidRPr="00D5464D" w:rsidRDefault="002C330E" w:rsidP="002246F9">
      <w:pPr>
        <w:pStyle w:val="Prrafodelista"/>
        <w:numPr>
          <w:ilvl w:val="0"/>
          <w:numId w:val="1"/>
        </w:numPr>
        <w:autoSpaceDE w:val="0"/>
        <w:autoSpaceDN w:val="0"/>
        <w:adjustRightInd w:val="0"/>
        <w:rPr>
          <w:szCs w:val="20"/>
          <w:lang w:val="pt-BR"/>
        </w:rPr>
      </w:pPr>
      <w:r w:rsidRPr="00D5464D">
        <w:rPr>
          <w:szCs w:val="20"/>
          <w:lang w:val="pt-BR"/>
        </w:rPr>
        <w:t>Sem prejuízo</w:t>
      </w:r>
      <w:r w:rsidR="00470ADC" w:rsidRPr="00D5464D">
        <w:rPr>
          <w:szCs w:val="20"/>
          <w:lang w:val="pt-BR"/>
        </w:rPr>
        <w:t xml:space="preserve"> do </w:t>
      </w:r>
      <w:r w:rsidR="002246F9" w:rsidRPr="00D5464D">
        <w:rPr>
          <w:szCs w:val="20"/>
          <w:lang w:val="pt-BR"/>
        </w:rPr>
        <w:t>anterior,</w:t>
      </w:r>
      <w:r w:rsidRPr="00D5464D">
        <w:rPr>
          <w:szCs w:val="20"/>
          <w:lang w:val="pt-BR"/>
        </w:rPr>
        <w:t xml:space="preserve"> a </w:t>
      </w:r>
      <w:r w:rsidR="00A1358C" w:rsidRPr="00D5464D">
        <w:rPr>
          <w:szCs w:val="20"/>
          <w:lang w:val="pt-BR"/>
        </w:rPr>
        <w:t>Corte considera</w:t>
      </w:r>
      <w:r w:rsidR="002246F9" w:rsidRPr="00D5464D">
        <w:rPr>
          <w:szCs w:val="20"/>
          <w:lang w:val="pt-BR"/>
        </w:rPr>
        <w:t xml:space="preserve"> pertinente manifestar que</w:t>
      </w:r>
      <w:r w:rsidRPr="00D5464D">
        <w:rPr>
          <w:szCs w:val="20"/>
          <w:lang w:val="pt-BR"/>
        </w:rPr>
        <w:t xml:space="preserve"> a </w:t>
      </w:r>
      <w:r w:rsidR="002246F9" w:rsidRPr="00D5464D">
        <w:rPr>
          <w:szCs w:val="20"/>
          <w:lang w:val="pt-BR"/>
        </w:rPr>
        <w:t>determina</w:t>
      </w:r>
      <w:r w:rsidR="00470ADC" w:rsidRPr="00D5464D">
        <w:rPr>
          <w:szCs w:val="20"/>
          <w:lang w:val="pt-BR"/>
        </w:rPr>
        <w:t>ção</w:t>
      </w:r>
      <w:r w:rsidR="002246F9" w:rsidRPr="00D5464D">
        <w:rPr>
          <w:szCs w:val="20"/>
          <w:lang w:val="pt-BR"/>
        </w:rPr>
        <w:t xml:space="preserve"> de</w:t>
      </w:r>
      <w:r w:rsidR="00E045D9" w:rsidRPr="00D5464D">
        <w:rPr>
          <w:szCs w:val="20"/>
          <w:lang w:val="pt-BR"/>
        </w:rPr>
        <w:t xml:space="preserve"> um trabalh</w:t>
      </w:r>
      <w:r w:rsidR="002246F9" w:rsidRPr="00D5464D">
        <w:rPr>
          <w:szCs w:val="20"/>
          <w:lang w:val="pt-BR"/>
        </w:rPr>
        <w:t xml:space="preserve">ador como </w:t>
      </w:r>
      <w:r w:rsidRPr="00D5464D">
        <w:rPr>
          <w:szCs w:val="20"/>
          <w:lang w:val="pt-BR"/>
        </w:rPr>
        <w:t>suposta</w:t>
      </w:r>
      <w:r w:rsidR="002246F9" w:rsidRPr="00D5464D">
        <w:rPr>
          <w:szCs w:val="20"/>
          <w:lang w:val="pt-BR"/>
        </w:rPr>
        <w:t xml:space="preserve"> </w:t>
      </w:r>
      <w:r w:rsidR="00E045D9" w:rsidRPr="00D5464D">
        <w:rPr>
          <w:szCs w:val="20"/>
          <w:lang w:val="pt-BR"/>
        </w:rPr>
        <w:t>vítima</w:t>
      </w:r>
      <w:r w:rsidR="002246F9" w:rsidRPr="00D5464D">
        <w:rPr>
          <w:szCs w:val="20"/>
          <w:lang w:val="pt-BR"/>
        </w:rPr>
        <w:t xml:space="preserve"> de alegadas viola</w:t>
      </w:r>
      <w:r w:rsidR="00470ADC" w:rsidRPr="00D5464D">
        <w:rPr>
          <w:szCs w:val="20"/>
          <w:lang w:val="pt-BR"/>
        </w:rPr>
        <w:t xml:space="preserve">ções à </w:t>
      </w:r>
      <w:r w:rsidR="002246F9" w:rsidRPr="00D5464D">
        <w:rPr>
          <w:szCs w:val="20"/>
          <w:lang w:val="pt-BR"/>
        </w:rPr>
        <w:t>Conven</w:t>
      </w:r>
      <w:r w:rsidR="00470ADC" w:rsidRPr="00D5464D">
        <w:rPr>
          <w:szCs w:val="20"/>
          <w:lang w:val="pt-BR"/>
        </w:rPr>
        <w:t>ção</w:t>
      </w:r>
      <w:r w:rsidR="002246F9" w:rsidRPr="00D5464D">
        <w:rPr>
          <w:szCs w:val="20"/>
          <w:lang w:val="pt-BR"/>
        </w:rPr>
        <w:t xml:space="preserve"> n</w:t>
      </w:r>
      <w:r w:rsidR="00AF0F26" w:rsidRPr="00D5464D">
        <w:rPr>
          <w:szCs w:val="20"/>
          <w:lang w:val="pt-BR"/>
        </w:rPr>
        <w:t>ã</w:t>
      </w:r>
      <w:r w:rsidR="002246F9" w:rsidRPr="00D5464D">
        <w:rPr>
          <w:szCs w:val="20"/>
          <w:lang w:val="pt-BR"/>
        </w:rPr>
        <w:t>o se deriva exclusivamente de</w:t>
      </w:r>
      <w:r w:rsidR="00E045D9" w:rsidRPr="00D5464D">
        <w:rPr>
          <w:szCs w:val="20"/>
          <w:lang w:val="pt-BR"/>
        </w:rPr>
        <w:t xml:space="preserve"> um </w:t>
      </w:r>
      <w:r w:rsidR="002246F9" w:rsidRPr="00D5464D">
        <w:rPr>
          <w:szCs w:val="20"/>
          <w:lang w:val="pt-BR"/>
        </w:rPr>
        <w:t xml:space="preserve">eventual </w:t>
      </w:r>
      <w:r w:rsidR="00E765C2" w:rsidRPr="00D5464D">
        <w:rPr>
          <w:szCs w:val="20"/>
          <w:lang w:val="pt-BR"/>
        </w:rPr>
        <w:t>resgate</w:t>
      </w:r>
      <w:r w:rsidR="002246F9" w:rsidRPr="00D5464D">
        <w:rPr>
          <w:szCs w:val="20"/>
          <w:lang w:val="pt-BR"/>
        </w:rPr>
        <w:t xml:space="preserve"> por parte </w:t>
      </w:r>
      <w:r w:rsidR="00470ADC" w:rsidRPr="00D5464D">
        <w:rPr>
          <w:szCs w:val="20"/>
          <w:lang w:val="pt-BR"/>
        </w:rPr>
        <w:t xml:space="preserve">do </w:t>
      </w:r>
      <w:r w:rsidRPr="00D5464D">
        <w:rPr>
          <w:szCs w:val="20"/>
          <w:lang w:val="pt-BR"/>
        </w:rPr>
        <w:t>Ministério</w:t>
      </w:r>
      <w:r w:rsidR="002246F9" w:rsidRPr="00D5464D">
        <w:rPr>
          <w:szCs w:val="20"/>
          <w:lang w:val="pt-BR"/>
        </w:rPr>
        <w:t xml:space="preserve"> </w:t>
      </w:r>
      <w:r w:rsidR="00470ADC" w:rsidRPr="00D5464D">
        <w:rPr>
          <w:szCs w:val="20"/>
          <w:lang w:val="pt-BR"/>
        </w:rPr>
        <w:t xml:space="preserve">do </w:t>
      </w:r>
      <w:r w:rsidR="00E045D9" w:rsidRPr="00D5464D">
        <w:rPr>
          <w:szCs w:val="20"/>
          <w:lang w:val="pt-BR"/>
        </w:rPr>
        <w:t>Trabalho</w:t>
      </w:r>
      <w:r w:rsidR="002246F9" w:rsidRPr="00D5464D">
        <w:rPr>
          <w:szCs w:val="20"/>
          <w:lang w:val="pt-BR"/>
        </w:rPr>
        <w:t xml:space="preserve"> o</w:t>
      </w:r>
      <w:r w:rsidR="00AF0F26" w:rsidRPr="00D5464D">
        <w:rPr>
          <w:szCs w:val="20"/>
          <w:lang w:val="pt-BR"/>
        </w:rPr>
        <w:t>u</w:t>
      </w:r>
      <w:r w:rsidR="00470ADC" w:rsidRPr="00D5464D">
        <w:rPr>
          <w:szCs w:val="20"/>
          <w:lang w:val="pt-BR"/>
        </w:rPr>
        <w:t xml:space="preserve"> da </w:t>
      </w:r>
      <w:r w:rsidR="00C91CB1" w:rsidRPr="00D5464D">
        <w:rPr>
          <w:szCs w:val="20"/>
          <w:lang w:val="pt-BR"/>
        </w:rPr>
        <w:t xml:space="preserve">Polícia </w:t>
      </w:r>
      <w:r w:rsidR="002246F9" w:rsidRPr="00D5464D">
        <w:rPr>
          <w:szCs w:val="20"/>
          <w:lang w:val="pt-BR"/>
        </w:rPr>
        <w:t>Federal,</w:t>
      </w:r>
      <w:r w:rsidRPr="00D5464D">
        <w:rPr>
          <w:szCs w:val="20"/>
          <w:lang w:val="pt-BR"/>
        </w:rPr>
        <w:t xml:space="preserve"> mas </w:t>
      </w:r>
      <w:r w:rsidR="00470ADC" w:rsidRPr="00D5464D">
        <w:rPr>
          <w:szCs w:val="20"/>
          <w:lang w:val="pt-BR"/>
        </w:rPr>
        <w:t xml:space="preserve">das </w:t>
      </w:r>
      <w:r w:rsidR="002246F9" w:rsidRPr="00D5464D">
        <w:rPr>
          <w:szCs w:val="20"/>
          <w:lang w:val="pt-BR"/>
        </w:rPr>
        <w:t>condi</w:t>
      </w:r>
      <w:r w:rsidR="00470ADC" w:rsidRPr="00D5464D">
        <w:rPr>
          <w:szCs w:val="20"/>
          <w:lang w:val="pt-BR"/>
        </w:rPr>
        <w:t>ções</w:t>
      </w:r>
      <w:r w:rsidR="00E045D9" w:rsidRPr="00D5464D">
        <w:rPr>
          <w:szCs w:val="20"/>
          <w:lang w:val="pt-BR"/>
        </w:rPr>
        <w:t xml:space="preserve"> nas </w:t>
      </w:r>
      <w:r w:rsidR="00470ADC" w:rsidRPr="00D5464D">
        <w:rPr>
          <w:szCs w:val="20"/>
          <w:lang w:val="pt-BR"/>
        </w:rPr>
        <w:t>quais</w:t>
      </w:r>
      <w:r w:rsidR="002246F9" w:rsidRPr="00D5464D">
        <w:rPr>
          <w:szCs w:val="20"/>
          <w:lang w:val="pt-BR"/>
        </w:rPr>
        <w:t xml:space="preserve"> se </w:t>
      </w:r>
      <w:r w:rsidR="00470ADC" w:rsidRPr="00D5464D">
        <w:rPr>
          <w:szCs w:val="20"/>
          <w:lang w:val="pt-BR"/>
        </w:rPr>
        <w:t>encontrava</w:t>
      </w:r>
      <w:r w:rsidR="002246F9" w:rsidRPr="00D5464D">
        <w:rPr>
          <w:szCs w:val="20"/>
          <w:lang w:val="pt-BR"/>
        </w:rPr>
        <w:t xml:space="preserve"> durante</w:t>
      </w:r>
      <w:r w:rsidR="00470ADC" w:rsidRPr="00D5464D">
        <w:rPr>
          <w:szCs w:val="20"/>
          <w:lang w:val="pt-BR"/>
        </w:rPr>
        <w:t xml:space="preserve"> o </w:t>
      </w:r>
      <w:r w:rsidR="00E045D9" w:rsidRPr="00D5464D">
        <w:rPr>
          <w:szCs w:val="20"/>
          <w:lang w:val="pt-BR"/>
        </w:rPr>
        <w:t>tempo</w:t>
      </w:r>
      <w:r w:rsidR="002246F9" w:rsidRPr="00D5464D">
        <w:rPr>
          <w:szCs w:val="20"/>
          <w:lang w:val="pt-BR"/>
        </w:rPr>
        <w:t xml:space="preserve"> </w:t>
      </w:r>
      <w:r w:rsidR="00C34C70" w:rsidRPr="00D5464D">
        <w:rPr>
          <w:szCs w:val="20"/>
          <w:lang w:val="pt-BR"/>
        </w:rPr>
        <w:t xml:space="preserve">em </w:t>
      </w:r>
      <w:r w:rsidR="002246F9" w:rsidRPr="00D5464D">
        <w:rPr>
          <w:szCs w:val="20"/>
          <w:lang w:val="pt-BR"/>
        </w:rPr>
        <w:t xml:space="preserve">que </w:t>
      </w:r>
      <w:r w:rsidR="00230C71" w:rsidRPr="00D5464D">
        <w:rPr>
          <w:szCs w:val="20"/>
          <w:lang w:val="pt-BR"/>
        </w:rPr>
        <w:t>prestou</w:t>
      </w:r>
      <w:r w:rsidR="002246F9" w:rsidRPr="00D5464D">
        <w:rPr>
          <w:szCs w:val="20"/>
          <w:lang w:val="pt-BR"/>
        </w:rPr>
        <w:t xml:space="preserve"> </w:t>
      </w:r>
      <w:r w:rsidR="00A1358C" w:rsidRPr="00D5464D">
        <w:rPr>
          <w:szCs w:val="20"/>
          <w:lang w:val="pt-BR"/>
        </w:rPr>
        <w:t>seus serviços</w:t>
      </w:r>
      <w:r w:rsidR="00E045D9" w:rsidRPr="00D5464D">
        <w:rPr>
          <w:szCs w:val="20"/>
          <w:lang w:val="pt-BR"/>
        </w:rPr>
        <w:t xml:space="preserve"> na </w:t>
      </w:r>
      <w:r w:rsidR="00D809F0" w:rsidRPr="00D5464D">
        <w:rPr>
          <w:szCs w:val="20"/>
          <w:lang w:val="pt-BR"/>
        </w:rPr>
        <w:t>Fazenda</w:t>
      </w:r>
      <w:r w:rsidR="002246F9" w:rsidRPr="00D5464D">
        <w:rPr>
          <w:szCs w:val="20"/>
          <w:lang w:val="pt-BR"/>
        </w:rPr>
        <w:t xml:space="preserve">, </w:t>
      </w:r>
      <w:r w:rsidR="00C34C70" w:rsidRPr="00D5464D">
        <w:rPr>
          <w:szCs w:val="20"/>
          <w:lang w:val="pt-BR"/>
        </w:rPr>
        <w:t xml:space="preserve">bem </w:t>
      </w:r>
      <w:r w:rsidR="002246F9" w:rsidRPr="00D5464D">
        <w:rPr>
          <w:szCs w:val="20"/>
          <w:lang w:val="pt-BR"/>
        </w:rPr>
        <w:t>como</w:t>
      </w:r>
      <w:r w:rsidR="00470ADC" w:rsidRPr="00D5464D">
        <w:rPr>
          <w:szCs w:val="20"/>
          <w:lang w:val="pt-BR"/>
        </w:rPr>
        <w:t xml:space="preserve"> das </w:t>
      </w:r>
      <w:r w:rsidR="00230C71" w:rsidRPr="00D5464D">
        <w:rPr>
          <w:szCs w:val="20"/>
          <w:lang w:val="pt-BR"/>
        </w:rPr>
        <w:t>consequente</w:t>
      </w:r>
      <w:r w:rsidR="002246F9" w:rsidRPr="00D5464D">
        <w:rPr>
          <w:szCs w:val="20"/>
          <w:lang w:val="pt-BR"/>
        </w:rPr>
        <w:t>s investiga</w:t>
      </w:r>
      <w:r w:rsidR="00470ADC" w:rsidRPr="00D5464D">
        <w:rPr>
          <w:szCs w:val="20"/>
          <w:lang w:val="pt-BR"/>
        </w:rPr>
        <w:t>ções</w:t>
      </w:r>
      <w:r w:rsidRPr="00D5464D">
        <w:rPr>
          <w:szCs w:val="20"/>
          <w:lang w:val="pt-BR"/>
        </w:rPr>
        <w:t xml:space="preserve"> lev</w:t>
      </w:r>
      <w:r w:rsidR="002246F9" w:rsidRPr="00D5464D">
        <w:rPr>
          <w:szCs w:val="20"/>
          <w:lang w:val="pt-BR"/>
        </w:rPr>
        <w:t>adas a cabo</w:t>
      </w:r>
      <w:r w:rsidR="00470ADC" w:rsidRPr="00D5464D">
        <w:rPr>
          <w:szCs w:val="20"/>
          <w:lang w:val="pt-BR"/>
        </w:rPr>
        <w:t xml:space="preserve"> </w:t>
      </w:r>
      <w:r w:rsidR="00C91CB1" w:rsidRPr="00D5464D">
        <w:rPr>
          <w:szCs w:val="20"/>
          <w:lang w:val="pt-BR"/>
        </w:rPr>
        <w:t>a respeito</w:t>
      </w:r>
      <w:r w:rsidR="002246F9" w:rsidRPr="00D5464D">
        <w:rPr>
          <w:szCs w:val="20"/>
          <w:lang w:val="pt-BR"/>
        </w:rPr>
        <w:t>;</w:t>
      </w:r>
      <w:r w:rsidR="00470ADC" w:rsidRPr="00D5464D">
        <w:rPr>
          <w:szCs w:val="20"/>
          <w:lang w:val="pt-BR"/>
        </w:rPr>
        <w:t xml:space="preserve"> </w:t>
      </w:r>
      <w:r w:rsidR="00E235D0" w:rsidRPr="00D5464D">
        <w:rPr>
          <w:szCs w:val="20"/>
          <w:lang w:val="pt-BR"/>
        </w:rPr>
        <w:t>independentemente d</w:t>
      </w:r>
      <w:r w:rsidR="00C34C70" w:rsidRPr="00D5464D">
        <w:rPr>
          <w:szCs w:val="20"/>
          <w:lang w:val="pt-BR"/>
        </w:rPr>
        <w:t xml:space="preserve">essa pessoa </w:t>
      </w:r>
      <w:r w:rsidR="00E235D0" w:rsidRPr="00D5464D">
        <w:rPr>
          <w:szCs w:val="20"/>
          <w:lang w:val="pt-BR"/>
        </w:rPr>
        <w:t>ter sido</w:t>
      </w:r>
      <w:r w:rsidR="00FF1290" w:rsidRPr="00D5464D">
        <w:rPr>
          <w:szCs w:val="20"/>
          <w:lang w:val="pt-BR"/>
        </w:rPr>
        <w:t xml:space="preserve"> </w:t>
      </w:r>
      <w:r w:rsidR="002246F9" w:rsidRPr="00D5464D">
        <w:rPr>
          <w:szCs w:val="20"/>
          <w:lang w:val="pt-BR"/>
        </w:rPr>
        <w:t>o</w:t>
      </w:r>
      <w:r w:rsidR="00C34C70" w:rsidRPr="00D5464D">
        <w:rPr>
          <w:szCs w:val="20"/>
          <w:lang w:val="pt-BR"/>
        </w:rPr>
        <w:t>u</w:t>
      </w:r>
      <w:r w:rsidR="002246F9" w:rsidRPr="00D5464D">
        <w:rPr>
          <w:szCs w:val="20"/>
          <w:lang w:val="pt-BR"/>
        </w:rPr>
        <w:t xml:space="preserve"> n</w:t>
      </w:r>
      <w:r w:rsidR="00C34C70" w:rsidRPr="00D5464D">
        <w:rPr>
          <w:szCs w:val="20"/>
          <w:lang w:val="pt-BR"/>
        </w:rPr>
        <w:t>ã</w:t>
      </w:r>
      <w:r w:rsidR="002246F9" w:rsidRPr="00D5464D">
        <w:rPr>
          <w:szCs w:val="20"/>
          <w:lang w:val="pt-BR"/>
        </w:rPr>
        <w:t xml:space="preserve">o </w:t>
      </w:r>
      <w:r w:rsidR="0090341D" w:rsidRPr="00D5464D">
        <w:rPr>
          <w:szCs w:val="20"/>
          <w:lang w:val="pt-BR"/>
        </w:rPr>
        <w:t>resgatad</w:t>
      </w:r>
      <w:r w:rsidR="00C34C70" w:rsidRPr="00D5464D">
        <w:rPr>
          <w:szCs w:val="20"/>
          <w:lang w:val="pt-BR"/>
        </w:rPr>
        <w:t>a</w:t>
      </w:r>
      <w:r w:rsidR="002246F9" w:rsidRPr="00D5464D">
        <w:rPr>
          <w:szCs w:val="20"/>
          <w:lang w:val="pt-BR"/>
        </w:rPr>
        <w:t xml:space="preserve"> durante</w:t>
      </w:r>
      <w:r w:rsidRPr="00D5464D">
        <w:rPr>
          <w:szCs w:val="20"/>
          <w:lang w:val="pt-BR"/>
        </w:rPr>
        <w:t xml:space="preserve"> a </w:t>
      </w:r>
      <w:r w:rsidR="00AB4663" w:rsidRPr="00D5464D">
        <w:rPr>
          <w:szCs w:val="20"/>
          <w:lang w:val="pt-BR"/>
        </w:rPr>
        <w:t>fiscalização</w:t>
      </w:r>
      <w:r w:rsidR="00C91CB1" w:rsidRPr="00D5464D">
        <w:rPr>
          <w:szCs w:val="20"/>
          <w:lang w:val="pt-BR"/>
        </w:rPr>
        <w:t xml:space="preserve">. Em </w:t>
      </w:r>
      <w:r w:rsidR="00E045D9" w:rsidRPr="00D5464D">
        <w:rPr>
          <w:szCs w:val="20"/>
          <w:lang w:val="pt-BR"/>
        </w:rPr>
        <w:t xml:space="preserve">virtude </w:t>
      </w:r>
      <w:r w:rsidR="00470ADC" w:rsidRPr="00D5464D">
        <w:rPr>
          <w:szCs w:val="20"/>
          <w:lang w:val="pt-BR"/>
        </w:rPr>
        <w:t xml:space="preserve">do </w:t>
      </w:r>
      <w:r w:rsidR="002246F9" w:rsidRPr="00D5464D">
        <w:rPr>
          <w:szCs w:val="20"/>
          <w:lang w:val="pt-BR"/>
        </w:rPr>
        <w:t>anterior,</w:t>
      </w:r>
      <w:r w:rsidRPr="00D5464D">
        <w:rPr>
          <w:szCs w:val="20"/>
          <w:lang w:val="pt-BR"/>
        </w:rPr>
        <w:t xml:space="preserve"> a </w:t>
      </w:r>
      <w:r w:rsidR="002246F9" w:rsidRPr="00D5464D">
        <w:rPr>
          <w:szCs w:val="20"/>
          <w:lang w:val="pt-BR"/>
        </w:rPr>
        <w:t xml:space="preserve">Corte </w:t>
      </w:r>
      <w:r w:rsidR="00C34C70" w:rsidRPr="00D5464D">
        <w:rPr>
          <w:szCs w:val="20"/>
          <w:lang w:val="pt-BR"/>
        </w:rPr>
        <w:t xml:space="preserve">rejeita </w:t>
      </w:r>
      <w:r w:rsidR="00470ADC" w:rsidRPr="00D5464D">
        <w:rPr>
          <w:szCs w:val="20"/>
          <w:lang w:val="pt-BR"/>
        </w:rPr>
        <w:t xml:space="preserve">o </w:t>
      </w:r>
      <w:r w:rsidR="002246F9" w:rsidRPr="00D5464D">
        <w:rPr>
          <w:szCs w:val="20"/>
          <w:lang w:val="pt-BR"/>
        </w:rPr>
        <w:t xml:space="preserve">argumento </w:t>
      </w:r>
      <w:r w:rsidR="00470ADC" w:rsidRPr="00D5464D">
        <w:rPr>
          <w:szCs w:val="20"/>
          <w:lang w:val="pt-BR"/>
        </w:rPr>
        <w:t xml:space="preserve">do </w:t>
      </w:r>
      <w:r w:rsidR="002246F9" w:rsidRPr="00D5464D">
        <w:rPr>
          <w:szCs w:val="20"/>
          <w:lang w:val="pt-BR"/>
        </w:rPr>
        <w:t xml:space="preserve">Estado </w:t>
      </w:r>
      <w:r w:rsidR="00C34C70" w:rsidRPr="00D5464D">
        <w:rPr>
          <w:szCs w:val="20"/>
          <w:lang w:val="pt-BR"/>
        </w:rPr>
        <w:t xml:space="preserve">de </w:t>
      </w:r>
      <w:r w:rsidR="002246F9" w:rsidRPr="00D5464D">
        <w:rPr>
          <w:szCs w:val="20"/>
          <w:lang w:val="pt-BR"/>
        </w:rPr>
        <w:t>que</w:t>
      </w:r>
      <w:r w:rsidR="00D14320" w:rsidRPr="00D5464D">
        <w:rPr>
          <w:szCs w:val="20"/>
          <w:lang w:val="pt-BR"/>
        </w:rPr>
        <w:t xml:space="preserve"> apenas </w:t>
      </w:r>
      <w:r w:rsidR="00C34C70" w:rsidRPr="00D5464D">
        <w:rPr>
          <w:szCs w:val="20"/>
          <w:lang w:val="pt-BR"/>
        </w:rPr>
        <w:t xml:space="preserve">poderiam ser consideradas como </w:t>
      </w:r>
      <w:r w:rsidRPr="00D5464D">
        <w:rPr>
          <w:szCs w:val="20"/>
          <w:lang w:val="pt-BR"/>
        </w:rPr>
        <w:t>suposta</w:t>
      </w:r>
      <w:r w:rsidR="002246F9" w:rsidRPr="00D5464D">
        <w:rPr>
          <w:szCs w:val="20"/>
          <w:lang w:val="pt-BR"/>
        </w:rPr>
        <w:t xml:space="preserve">s </w:t>
      </w:r>
      <w:r w:rsidR="00E045D9" w:rsidRPr="00D5464D">
        <w:rPr>
          <w:szCs w:val="20"/>
          <w:lang w:val="pt-BR"/>
        </w:rPr>
        <w:t>vítima</w:t>
      </w:r>
      <w:r w:rsidR="002246F9" w:rsidRPr="00D5464D">
        <w:rPr>
          <w:szCs w:val="20"/>
          <w:lang w:val="pt-BR"/>
        </w:rPr>
        <w:t xml:space="preserve">s </w:t>
      </w:r>
      <w:r w:rsidR="00C34C70" w:rsidRPr="00D5464D">
        <w:rPr>
          <w:szCs w:val="20"/>
          <w:lang w:val="pt-BR"/>
        </w:rPr>
        <w:t xml:space="preserve">os </w:t>
      </w:r>
      <w:r w:rsidR="00E045D9" w:rsidRPr="00D5464D">
        <w:rPr>
          <w:szCs w:val="20"/>
          <w:lang w:val="pt-BR"/>
        </w:rPr>
        <w:t>trabalhadores</w:t>
      </w:r>
      <w:r w:rsidR="002246F9" w:rsidRPr="00D5464D">
        <w:rPr>
          <w:szCs w:val="20"/>
          <w:lang w:val="pt-BR"/>
        </w:rPr>
        <w:t xml:space="preserve"> que </w:t>
      </w:r>
      <w:r w:rsidR="00470ADC" w:rsidRPr="00D5464D">
        <w:rPr>
          <w:szCs w:val="20"/>
          <w:lang w:val="pt-BR"/>
        </w:rPr>
        <w:t>foram</w:t>
      </w:r>
      <w:r w:rsidR="002246F9" w:rsidRPr="00D5464D">
        <w:rPr>
          <w:szCs w:val="20"/>
          <w:lang w:val="pt-BR"/>
        </w:rPr>
        <w:t xml:space="preserve"> </w:t>
      </w:r>
      <w:r w:rsidR="00470ADC" w:rsidRPr="00D5464D">
        <w:rPr>
          <w:szCs w:val="20"/>
          <w:lang w:val="pt-BR"/>
        </w:rPr>
        <w:t>efetiv</w:t>
      </w:r>
      <w:r w:rsidR="002246F9" w:rsidRPr="00D5464D">
        <w:rPr>
          <w:szCs w:val="20"/>
          <w:lang w:val="pt-BR"/>
        </w:rPr>
        <w:t xml:space="preserve">amente </w:t>
      </w:r>
      <w:r w:rsidR="0090341D" w:rsidRPr="00D5464D">
        <w:rPr>
          <w:szCs w:val="20"/>
          <w:lang w:val="pt-BR"/>
        </w:rPr>
        <w:t>resgatado</w:t>
      </w:r>
      <w:r w:rsidR="002246F9" w:rsidRPr="00D5464D">
        <w:rPr>
          <w:szCs w:val="20"/>
          <w:lang w:val="pt-BR"/>
        </w:rPr>
        <w:t>s por agentes esta</w:t>
      </w:r>
      <w:r w:rsidR="00E045D9" w:rsidRPr="00D5464D">
        <w:rPr>
          <w:szCs w:val="20"/>
          <w:lang w:val="pt-BR"/>
        </w:rPr>
        <w:t xml:space="preserve">tais na </w:t>
      </w:r>
      <w:r w:rsidR="00D809F0" w:rsidRPr="00D5464D">
        <w:rPr>
          <w:szCs w:val="20"/>
          <w:lang w:val="pt-BR"/>
        </w:rPr>
        <w:t>Fazenda</w:t>
      </w:r>
      <w:r w:rsidR="002246F9" w:rsidRPr="00D5464D">
        <w:rPr>
          <w:szCs w:val="20"/>
          <w:lang w:val="pt-BR"/>
        </w:rPr>
        <w:t xml:space="preserve"> Brasil Verde.</w:t>
      </w:r>
    </w:p>
    <w:p w14:paraId="6B86F17A" w14:textId="77777777" w:rsidR="002246F9" w:rsidRPr="00D5464D" w:rsidRDefault="002246F9" w:rsidP="002246F9">
      <w:pPr>
        <w:pStyle w:val="Prrafodelista"/>
        <w:rPr>
          <w:szCs w:val="20"/>
          <w:lang w:val="pt-BR"/>
        </w:rPr>
      </w:pPr>
    </w:p>
    <w:p w14:paraId="32EAD72C" w14:textId="2E3468FD" w:rsidR="002246F9" w:rsidRPr="00D5464D" w:rsidRDefault="00470ADC" w:rsidP="002246F9">
      <w:pPr>
        <w:pStyle w:val="Prrafodelista"/>
        <w:numPr>
          <w:ilvl w:val="0"/>
          <w:numId w:val="1"/>
        </w:numPr>
        <w:autoSpaceDE w:val="0"/>
        <w:autoSpaceDN w:val="0"/>
        <w:adjustRightInd w:val="0"/>
        <w:rPr>
          <w:szCs w:val="20"/>
          <w:lang w:val="pt-BR"/>
        </w:rPr>
      </w:pPr>
      <w:r w:rsidRPr="00D5464D">
        <w:rPr>
          <w:szCs w:val="20"/>
          <w:lang w:val="pt-BR"/>
        </w:rPr>
        <w:t>Agora</w:t>
      </w:r>
      <w:r w:rsidR="002246F9" w:rsidRPr="00D5464D">
        <w:rPr>
          <w:szCs w:val="20"/>
          <w:lang w:val="pt-BR"/>
        </w:rPr>
        <w:t>, tomando</w:t>
      </w:r>
      <w:r w:rsidRPr="00D5464D">
        <w:rPr>
          <w:szCs w:val="20"/>
          <w:lang w:val="pt-BR"/>
        </w:rPr>
        <w:t xml:space="preserve"> em </w:t>
      </w:r>
      <w:r w:rsidR="002246F9" w:rsidRPr="00D5464D">
        <w:rPr>
          <w:szCs w:val="20"/>
          <w:lang w:val="pt-BR"/>
        </w:rPr>
        <w:t>considera</w:t>
      </w:r>
      <w:r w:rsidRPr="00D5464D">
        <w:rPr>
          <w:szCs w:val="20"/>
          <w:lang w:val="pt-BR"/>
        </w:rPr>
        <w:t>ção</w:t>
      </w:r>
      <w:r w:rsidR="002246F9" w:rsidRPr="00D5464D">
        <w:rPr>
          <w:szCs w:val="20"/>
          <w:lang w:val="pt-BR"/>
        </w:rPr>
        <w:t xml:space="preserve"> que para </w:t>
      </w:r>
      <w:r w:rsidRPr="00D5464D">
        <w:rPr>
          <w:szCs w:val="20"/>
          <w:lang w:val="pt-BR"/>
        </w:rPr>
        <w:t xml:space="preserve">analisar o </w:t>
      </w:r>
      <w:r w:rsidR="002246F9" w:rsidRPr="00D5464D">
        <w:rPr>
          <w:szCs w:val="20"/>
          <w:lang w:val="pt-BR"/>
        </w:rPr>
        <w:t>presente caso</w:t>
      </w:r>
      <w:r w:rsidRPr="00D5464D">
        <w:rPr>
          <w:szCs w:val="20"/>
          <w:lang w:val="pt-BR"/>
        </w:rPr>
        <w:t xml:space="preserve"> é </w:t>
      </w:r>
      <w:r w:rsidR="002C330E" w:rsidRPr="00D5464D">
        <w:rPr>
          <w:szCs w:val="20"/>
          <w:lang w:val="pt-BR"/>
        </w:rPr>
        <w:t>necessári</w:t>
      </w:r>
      <w:r w:rsidR="002246F9" w:rsidRPr="00D5464D">
        <w:rPr>
          <w:szCs w:val="20"/>
          <w:lang w:val="pt-BR"/>
        </w:rPr>
        <w:t>o que</w:t>
      </w:r>
      <w:r w:rsidR="002C330E" w:rsidRPr="00D5464D">
        <w:rPr>
          <w:szCs w:val="20"/>
          <w:lang w:val="pt-BR"/>
        </w:rPr>
        <w:t xml:space="preserve"> a </w:t>
      </w:r>
      <w:r w:rsidR="002246F9" w:rsidRPr="00D5464D">
        <w:rPr>
          <w:szCs w:val="20"/>
          <w:lang w:val="pt-BR"/>
        </w:rPr>
        <w:t xml:space="preserve">Corte </w:t>
      </w:r>
      <w:r w:rsidRPr="00D5464D">
        <w:rPr>
          <w:szCs w:val="20"/>
          <w:lang w:val="pt-BR"/>
        </w:rPr>
        <w:t>conte com</w:t>
      </w:r>
      <w:r w:rsidR="00E045D9" w:rsidRPr="00D5464D">
        <w:rPr>
          <w:szCs w:val="20"/>
          <w:lang w:val="pt-BR"/>
        </w:rPr>
        <w:t xml:space="preserve"> um </w:t>
      </w:r>
      <w:r w:rsidR="002246F9" w:rsidRPr="00D5464D">
        <w:rPr>
          <w:szCs w:val="20"/>
          <w:lang w:val="pt-BR"/>
        </w:rPr>
        <w:t>mínimo de certeza sobre</w:t>
      </w:r>
      <w:r w:rsidR="002C330E" w:rsidRPr="00D5464D">
        <w:rPr>
          <w:szCs w:val="20"/>
          <w:lang w:val="pt-BR"/>
        </w:rPr>
        <w:t xml:space="preserve"> a </w:t>
      </w:r>
      <w:r w:rsidR="00E045D9" w:rsidRPr="00D5464D">
        <w:rPr>
          <w:szCs w:val="20"/>
          <w:lang w:val="pt-BR"/>
        </w:rPr>
        <w:t>existência</w:t>
      </w:r>
      <w:r w:rsidR="002246F9" w:rsidRPr="00D5464D">
        <w:rPr>
          <w:szCs w:val="20"/>
          <w:lang w:val="pt-BR"/>
        </w:rPr>
        <w:t xml:space="preserve"> </w:t>
      </w:r>
      <w:r w:rsidR="00C34C70" w:rsidRPr="00D5464D">
        <w:rPr>
          <w:szCs w:val="20"/>
          <w:lang w:val="pt-BR"/>
        </w:rPr>
        <w:t xml:space="preserve">destas </w:t>
      </w:r>
      <w:r w:rsidR="002C330E" w:rsidRPr="00D5464D">
        <w:rPr>
          <w:szCs w:val="20"/>
          <w:lang w:val="pt-BR"/>
        </w:rPr>
        <w:t>pessoa</w:t>
      </w:r>
      <w:r w:rsidR="002246F9" w:rsidRPr="00D5464D">
        <w:rPr>
          <w:szCs w:val="20"/>
          <w:lang w:val="pt-BR"/>
        </w:rPr>
        <w:t>s</w:t>
      </w:r>
      <w:r w:rsidR="00C34C70" w:rsidRPr="00D5464D">
        <w:rPr>
          <w:szCs w:val="20"/>
          <w:lang w:val="pt-BR"/>
        </w:rPr>
        <w:t>,</w:t>
      </w:r>
      <w:r w:rsidR="002246F9" w:rsidRPr="00D5464D">
        <w:rPr>
          <w:rStyle w:val="Refdenotaalpie"/>
          <w:lang w:val="pt-BR"/>
        </w:rPr>
        <w:footnoteReference w:id="214"/>
      </w:r>
      <w:r w:rsidR="002246F9" w:rsidRPr="00D5464D">
        <w:rPr>
          <w:szCs w:val="20"/>
          <w:lang w:val="pt-BR"/>
        </w:rPr>
        <w:t xml:space="preserve"> para </w:t>
      </w:r>
      <w:r w:rsidR="00350187" w:rsidRPr="00D5464D">
        <w:rPr>
          <w:szCs w:val="20"/>
          <w:lang w:val="pt-BR"/>
        </w:rPr>
        <w:t>demonstr</w:t>
      </w:r>
      <w:r w:rsidRPr="00D5464D">
        <w:rPr>
          <w:szCs w:val="20"/>
          <w:lang w:val="pt-BR"/>
        </w:rPr>
        <w:t>ar</w:t>
      </w:r>
      <w:r w:rsidR="002C330E" w:rsidRPr="00D5464D">
        <w:rPr>
          <w:szCs w:val="20"/>
          <w:lang w:val="pt-BR"/>
        </w:rPr>
        <w:t xml:space="preserve"> a </w:t>
      </w:r>
      <w:r w:rsidRPr="00D5464D">
        <w:rPr>
          <w:szCs w:val="20"/>
          <w:lang w:val="pt-BR"/>
        </w:rPr>
        <w:t xml:space="preserve">qualidade </w:t>
      </w:r>
      <w:r w:rsidR="002246F9" w:rsidRPr="00D5464D">
        <w:rPr>
          <w:szCs w:val="20"/>
          <w:lang w:val="pt-BR"/>
        </w:rPr>
        <w:t xml:space="preserve">de </w:t>
      </w:r>
      <w:r w:rsidR="002C330E" w:rsidRPr="00D5464D">
        <w:rPr>
          <w:szCs w:val="20"/>
          <w:lang w:val="pt-BR"/>
        </w:rPr>
        <w:t>suposta</w:t>
      </w:r>
      <w:r w:rsidR="00F443BC" w:rsidRPr="00D5464D">
        <w:rPr>
          <w:szCs w:val="20"/>
          <w:lang w:val="pt-BR"/>
        </w:rPr>
        <w:t>s</w:t>
      </w:r>
      <w:r w:rsidR="002246F9" w:rsidRPr="00D5464D">
        <w:rPr>
          <w:szCs w:val="20"/>
          <w:lang w:val="pt-BR"/>
        </w:rPr>
        <w:t xml:space="preserve"> </w:t>
      </w:r>
      <w:r w:rsidR="00E045D9" w:rsidRPr="00D5464D">
        <w:rPr>
          <w:szCs w:val="20"/>
          <w:lang w:val="pt-BR"/>
        </w:rPr>
        <w:t>vítima</w:t>
      </w:r>
      <w:r w:rsidR="00F443BC" w:rsidRPr="00D5464D">
        <w:rPr>
          <w:szCs w:val="20"/>
          <w:lang w:val="pt-BR"/>
        </w:rPr>
        <w:t>s</w:t>
      </w:r>
      <w:r w:rsidR="00E74690" w:rsidRPr="00D5464D">
        <w:rPr>
          <w:szCs w:val="20"/>
          <w:lang w:val="pt-BR"/>
        </w:rPr>
        <w:t>,</w:t>
      </w:r>
      <w:r w:rsidR="002C330E" w:rsidRPr="00D5464D">
        <w:rPr>
          <w:szCs w:val="20"/>
          <w:lang w:val="pt-BR"/>
        </w:rPr>
        <w:t xml:space="preserve"> a </w:t>
      </w:r>
      <w:r w:rsidR="002246F9" w:rsidRPr="00D5464D">
        <w:rPr>
          <w:szCs w:val="20"/>
          <w:lang w:val="pt-BR"/>
        </w:rPr>
        <w:t xml:space="preserve">Corte </w:t>
      </w:r>
      <w:r w:rsidR="00E045D9" w:rsidRPr="00D5464D">
        <w:rPr>
          <w:szCs w:val="20"/>
          <w:lang w:val="pt-BR"/>
        </w:rPr>
        <w:t>utilizou</w:t>
      </w:r>
      <w:r w:rsidR="002C330E" w:rsidRPr="00D5464D">
        <w:rPr>
          <w:szCs w:val="20"/>
          <w:lang w:val="pt-BR"/>
        </w:rPr>
        <w:t xml:space="preserve"> os seguinte</w:t>
      </w:r>
      <w:r w:rsidR="002246F9" w:rsidRPr="00D5464D">
        <w:rPr>
          <w:szCs w:val="20"/>
          <w:lang w:val="pt-BR"/>
        </w:rPr>
        <w:t xml:space="preserve">s instrumentos </w:t>
      </w:r>
      <w:r w:rsidR="002C330E" w:rsidRPr="00D5464D">
        <w:rPr>
          <w:szCs w:val="20"/>
          <w:lang w:val="pt-BR"/>
        </w:rPr>
        <w:t>probatório</w:t>
      </w:r>
      <w:r w:rsidR="002246F9" w:rsidRPr="00D5464D">
        <w:rPr>
          <w:szCs w:val="20"/>
          <w:lang w:val="pt-BR"/>
        </w:rPr>
        <w:t>s</w:t>
      </w:r>
      <w:r w:rsidR="00350187" w:rsidRPr="00D5464D">
        <w:rPr>
          <w:szCs w:val="20"/>
          <w:lang w:val="pt-BR"/>
        </w:rPr>
        <w:t xml:space="preserve"> </w:t>
      </w:r>
      <w:r w:rsidR="00C91CB1" w:rsidRPr="00D5464D">
        <w:rPr>
          <w:szCs w:val="20"/>
          <w:lang w:val="pt-BR"/>
        </w:rPr>
        <w:t>apresentados</w:t>
      </w:r>
      <w:r w:rsidR="002C330E" w:rsidRPr="00D5464D">
        <w:rPr>
          <w:szCs w:val="20"/>
          <w:lang w:val="pt-BR"/>
        </w:rPr>
        <w:t xml:space="preserve"> pelas </w:t>
      </w:r>
      <w:r w:rsidR="002246F9" w:rsidRPr="00D5464D">
        <w:rPr>
          <w:szCs w:val="20"/>
          <w:lang w:val="pt-BR"/>
        </w:rPr>
        <w:t>partes</w:t>
      </w:r>
      <w:r w:rsidR="00C34C70" w:rsidRPr="00D5464D">
        <w:rPr>
          <w:szCs w:val="20"/>
          <w:lang w:val="pt-BR"/>
        </w:rPr>
        <w:t xml:space="preserve"> neste processo</w:t>
      </w:r>
      <w:r w:rsidR="002246F9" w:rsidRPr="00D5464D">
        <w:rPr>
          <w:szCs w:val="20"/>
          <w:lang w:val="pt-BR"/>
        </w:rPr>
        <w:t xml:space="preserve">: i) </w:t>
      </w:r>
      <w:r w:rsidR="00105576" w:rsidRPr="00D5464D">
        <w:rPr>
          <w:szCs w:val="20"/>
          <w:lang w:val="pt-BR"/>
        </w:rPr>
        <w:t>Auto</w:t>
      </w:r>
      <w:r w:rsidR="002246F9" w:rsidRPr="00D5464D">
        <w:rPr>
          <w:szCs w:val="20"/>
          <w:lang w:val="pt-BR"/>
        </w:rPr>
        <w:t xml:space="preserve"> de </w:t>
      </w:r>
      <w:r w:rsidR="002C330E" w:rsidRPr="00D5464D">
        <w:rPr>
          <w:szCs w:val="20"/>
          <w:lang w:val="pt-BR"/>
        </w:rPr>
        <w:t>Infração</w:t>
      </w:r>
      <w:r w:rsidR="002246F9" w:rsidRPr="00D5464D">
        <w:rPr>
          <w:szCs w:val="20"/>
          <w:lang w:val="pt-BR"/>
        </w:rPr>
        <w:t xml:space="preserve"> (</w:t>
      </w:r>
      <w:r w:rsidR="00105576" w:rsidRPr="00D5464D">
        <w:rPr>
          <w:szCs w:val="20"/>
          <w:lang w:val="pt-BR"/>
        </w:rPr>
        <w:t>A</w:t>
      </w:r>
      <w:r w:rsidR="002246F9" w:rsidRPr="00D5464D">
        <w:rPr>
          <w:szCs w:val="20"/>
          <w:lang w:val="pt-BR"/>
        </w:rPr>
        <w:t xml:space="preserve">I); ii) Registro de </w:t>
      </w:r>
      <w:r w:rsidR="00230C71" w:rsidRPr="00D5464D">
        <w:rPr>
          <w:szCs w:val="20"/>
          <w:lang w:val="pt-BR"/>
        </w:rPr>
        <w:t>Empregad</w:t>
      </w:r>
      <w:r w:rsidR="002246F9" w:rsidRPr="00D5464D">
        <w:rPr>
          <w:szCs w:val="20"/>
          <w:lang w:val="pt-BR"/>
        </w:rPr>
        <w:t>o</w:t>
      </w:r>
      <w:r w:rsidR="002C330E" w:rsidRPr="00D5464D">
        <w:rPr>
          <w:szCs w:val="20"/>
          <w:lang w:val="pt-BR"/>
        </w:rPr>
        <w:t xml:space="preserve"> pela </w:t>
      </w:r>
      <w:r w:rsidR="00D809F0" w:rsidRPr="00D5464D">
        <w:rPr>
          <w:szCs w:val="20"/>
          <w:lang w:val="pt-BR"/>
        </w:rPr>
        <w:t>Fazenda</w:t>
      </w:r>
      <w:r w:rsidR="002246F9" w:rsidRPr="00D5464D">
        <w:rPr>
          <w:szCs w:val="20"/>
          <w:lang w:val="pt-BR"/>
        </w:rPr>
        <w:t xml:space="preserve"> (RE); iii) </w:t>
      </w:r>
      <w:r w:rsidR="00105576" w:rsidRPr="00D5464D">
        <w:rPr>
          <w:szCs w:val="20"/>
          <w:lang w:val="pt-BR"/>
        </w:rPr>
        <w:t>Termo de Rescisão</w:t>
      </w:r>
      <w:r w:rsidR="002246F9" w:rsidRPr="00D5464D">
        <w:rPr>
          <w:szCs w:val="20"/>
          <w:lang w:val="pt-BR"/>
        </w:rPr>
        <w:t xml:space="preserve"> de </w:t>
      </w:r>
      <w:r w:rsidR="00105576" w:rsidRPr="00D5464D">
        <w:rPr>
          <w:szCs w:val="20"/>
          <w:lang w:val="pt-BR"/>
        </w:rPr>
        <w:t>C</w:t>
      </w:r>
      <w:r w:rsidR="002246F9" w:rsidRPr="00D5464D">
        <w:rPr>
          <w:szCs w:val="20"/>
          <w:lang w:val="pt-BR"/>
        </w:rPr>
        <w:t xml:space="preserve">ontrato (TC); iv) </w:t>
      </w:r>
      <w:r w:rsidR="00A1358C" w:rsidRPr="00D5464D">
        <w:rPr>
          <w:szCs w:val="20"/>
          <w:lang w:val="pt-BR"/>
        </w:rPr>
        <w:t>Formulário</w:t>
      </w:r>
      <w:r w:rsidR="00105576" w:rsidRPr="00D5464D">
        <w:rPr>
          <w:szCs w:val="20"/>
          <w:lang w:val="pt-BR"/>
        </w:rPr>
        <w:t xml:space="preserve"> para</w:t>
      </w:r>
      <w:r w:rsidR="002246F9" w:rsidRPr="00D5464D">
        <w:rPr>
          <w:szCs w:val="20"/>
          <w:lang w:val="pt-BR"/>
        </w:rPr>
        <w:t xml:space="preserve"> Verifica</w:t>
      </w:r>
      <w:r w:rsidRPr="00D5464D">
        <w:rPr>
          <w:szCs w:val="20"/>
          <w:lang w:val="pt-BR"/>
        </w:rPr>
        <w:t>ção</w:t>
      </w:r>
      <w:r w:rsidR="002246F9" w:rsidRPr="00D5464D">
        <w:rPr>
          <w:szCs w:val="20"/>
          <w:lang w:val="pt-BR"/>
        </w:rPr>
        <w:t xml:space="preserve"> Física (VF)</w:t>
      </w:r>
      <w:r w:rsidRPr="00D5464D">
        <w:rPr>
          <w:szCs w:val="20"/>
          <w:lang w:val="pt-BR"/>
        </w:rPr>
        <w:t>, e</w:t>
      </w:r>
      <w:r w:rsidR="002246F9" w:rsidRPr="00D5464D">
        <w:rPr>
          <w:szCs w:val="20"/>
          <w:lang w:val="pt-BR"/>
        </w:rPr>
        <w:t xml:space="preserve"> v) Lista de </w:t>
      </w:r>
      <w:r w:rsidR="00E045D9" w:rsidRPr="00D5464D">
        <w:rPr>
          <w:szCs w:val="20"/>
          <w:lang w:val="pt-BR"/>
        </w:rPr>
        <w:t>trabalhadores</w:t>
      </w:r>
      <w:r w:rsidR="002246F9" w:rsidRPr="00D5464D">
        <w:rPr>
          <w:szCs w:val="20"/>
          <w:lang w:val="pt-BR"/>
        </w:rPr>
        <w:t xml:space="preserve"> </w:t>
      </w:r>
      <w:r w:rsidR="002C330E" w:rsidRPr="00D5464D">
        <w:rPr>
          <w:szCs w:val="20"/>
          <w:lang w:val="pt-BR"/>
        </w:rPr>
        <w:t>indicado</w:t>
      </w:r>
      <w:r w:rsidR="002246F9" w:rsidRPr="00D5464D">
        <w:rPr>
          <w:szCs w:val="20"/>
          <w:lang w:val="pt-BR"/>
        </w:rPr>
        <w:t>s</w:t>
      </w:r>
      <w:r w:rsidR="002C330E" w:rsidRPr="00D5464D">
        <w:rPr>
          <w:szCs w:val="20"/>
          <w:lang w:val="pt-BR"/>
        </w:rPr>
        <w:t xml:space="preserve"> pela </w:t>
      </w:r>
      <w:r w:rsidRPr="00D5464D">
        <w:rPr>
          <w:szCs w:val="20"/>
          <w:lang w:val="pt-BR"/>
        </w:rPr>
        <w:t>defesa</w:t>
      </w:r>
      <w:r w:rsidR="002246F9" w:rsidRPr="00D5464D">
        <w:rPr>
          <w:szCs w:val="20"/>
          <w:lang w:val="pt-BR"/>
        </w:rPr>
        <w:t xml:space="preserve"> </w:t>
      </w:r>
      <w:r w:rsidRPr="00D5464D">
        <w:rPr>
          <w:szCs w:val="20"/>
          <w:lang w:val="pt-BR"/>
        </w:rPr>
        <w:t xml:space="preserve">do </w:t>
      </w:r>
      <w:r w:rsidR="002246F9" w:rsidRPr="00D5464D">
        <w:rPr>
          <w:szCs w:val="20"/>
          <w:lang w:val="pt-BR"/>
        </w:rPr>
        <w:t>gerente</w:t>
      </w:r>
      <w:r w:rsidR="00E045D9" w:rsidRPr="00D5464D">
        <w:rPr>
          <w:szCs w:val="20"/>
          <w:lang w:val="pt-BR"/>
        </w:rPr>
        <w:t xml:space="preserve"> e </w:t>
      </w:r>
      <w:r w:rsidR="00105576" w:rsidRPr="00D5464D">
        <w:rPr>
          <w:szCs w:val="20"/>
          <w:lang w:val="pt-BR"/>
        </w:rPr>
        <w:t>d</w:t>
      </w:r>
      <w:r w:rsidRPr="00D5464D">
        <w:rPr>
          <w:szCs w:val="20"/>
          <w:lang w:val="pt-BR"/>
        </w:rPr>
        <w:t xml:space="preserve">o </w:t>
      </w:r>
      <w:r w:rsidR="00C32FB5" w:rsidRPr="00D5464D">
        <w:rPr>
          <w:szCs w:val="20"/>
          <w:lang w:val="pt-BR"/>
        </w:rPr>
        <w:t xml:space="preserve">gato </w:t>
      </w:r>
      <w:r w:rsidR="00E045D9" w:rsidRPr="00D5464D">
        <w:rPr>
          <w:szCs w:val="20"/>
          <w:lang w:val="pt-BR"/>
        </w:rPr>
        <w:t>no</w:t>
      </w:r>
      <w:r w:rsidR="00E045D9" w:rsidRPr="00D5464D">
        <w:rPr>
          <w:i/>
          <w:szCs w:val="20"/>
          <w:lang w:val="pt-BR"/>
        </w:rPr>
        <w:t xml:space="preserve"> </w:t>
      </w:r>
      <w:r w:rsidR="002C330E" w:rsidRPr="00D5464D">
        <w:rPr>
          <w:szCs w:val="20"/>
          <w:lang w:val="pt-BR"/>
        </w:rPr>
        <w:t>processo</w:t>
      </w:r>
      <w:r w:rsidR="002246F9" w:rsidRPr="00D5464D">
        <w:rPr>
          <w:szCs w:val="20"/>
          <w:lang w:val="pt-BR"/>
        </w:rPr>
        <w:t xml:space="preserve"> penal interno (PP). </w:t>
      </w:r>
      <w:r w:rsidRPr="00D5464D">
        <w:rPr>
          <w:szCs w:val="20"/>
          <w:lang w:val="pt-BR"/>
        </w:rPr>
        <w:t>D</w:t>
      </w:r>
      <w:r w:rsidR="00A1358C" w:rsidRPr="00D5464D">
        <w:rPr>
          <w:szCs w:val="20"/>
          <w:lang w:val="pt-BR"/>
        </w:rPr>
        <w:t>a análise</w:t>
      </w:r>
      <w:r w:rsidR="002246F9" w:rsidRPr="00D5464D">
        <w:rPr>
          <w:szCs w:val="20"/>
          <w:lang w:val="pt-BR"/>
        </w:rPr>
        <w:t xml:space="preserve"> </w:t>
      </w:r>
      <w:r w:rsidR="00E045D9" w:rsidRPr="00D5464D">
        <w:rPr>
          <w:szCs w:val="20"/>
          <w:lang w:val="pt-BR"/>
        </w:rPr>
        <w:t>deste</w:t>
      </w:r>
      <w:r w:rsidR="002246F9" w:rsidRPr="00D5464D">
        <w:rPr>
          <w:szCs w:val="20"/>
          <w:lang w:val="pt-BR"/>
        </w:rPr>
        <w:t xml:space="preserve">s documentos </w:t>
      </w:r>
      <w:r w:rsidR="00105576" w:rsidRPr="00D5464D">
        <w:rPr>
          <w:szCs w:val="20"/>
          <w:lang w:val="pt-BR"/>
        </w:rPr>
        <w:t xml:space="preserve">restou demonstrado </w:t>
      </w:r>
      <w:r w:rsidR="002246F9" w:rsidRPr="00D5464D">
        <w:rPr>
          <w:szCs w:val="20"/>
          <w:lang w:val="pt-BR"/>
        </w:rPr>
        <w:t xml:space="preserve">que: a) 26 </w:t>
      </w:r>
      <w:r w:rsidR="002C330E" w:rsidRPr="00D5464D">
        <w:rPr>
          <w:szCs w:val="20"/>
          <w:lang w:val="pt-BR"/>
        </w:rPr>
        <w:t>pessoa</w:t>
      </w:r>
      <w:r w:rsidR="002246F9" w:rsidRPr="00D5464D">
        <w:rPr>
          <w:szCs w:val="20"/>
          <w:lang w:val="pt-BR"/>
        </w:rPr>
        <w:t>s</w:t>
      </w:r>
      <w:r w:rsidR="002246F9" w:rsidRPr="00D5464D">
        <w:rPr>
          <w:rStyle w:val="Refdenotaalpie"/>
          <w:lang w:val="pt-BR"/>
        </w:rPr>
        <w:footnoteReference w:id="215"/>
      </w:r>
      <w:r w:rsidR="002246F9" w:rsidRPr="00D5464D">
        <w:rPr>
          <w:szCs w:val="20"/>
          <w:lang w:val="pt-BR"/>
        </w:rPr>
        <w:t xml:space="preserve"> </w:t>
      </w:r>
      <w:r w:rsidRPr="00D5464D">
        <w:rPr>
          <w:szCs w:val="20"/>
          <w:lang w:val="pt-BR"/>
        </w:rPr>
        <w:t>foram</w:t>
      </w:r>
      <w:r w:rsidR="002C330E" w:rsidRPr="00D5464D">
        <w:rPr>
          <w:szCs w:val="20"/>
          <w:lang w:val="pt-BR"/>
        </w:rPr>
        <w:t xml:space="preserve"> apresentadas </w:t>
      </w:r>
      <w:r w:rsidR="002246F9" w:rsidRPr="00D5464D">
        <w:rPr>
          <w:szCs w:val="20"/>
          <w:lang w:val="pt-BR"/>
        </w:rPr>
        <w:t xml:space="preserve">como </w:t>
      </w:r>
      <w:r w:rsidR="002C330E" w:rsidRPr="00D5464D">
        <w:rPr>
          <w:szCs w:val="20"/>
          <w:lang w:val="pt-BR"/>
        </w:rPr>
        <w:t>suposta</w:t>
      </w:r>
      <w:r w:rsidR="002246F9" w:rsidRPr="00D5464D">
        <w:rPr>
          <w:szCs w:val="20"/>
          <w:lang w:val="pt-BR"/>
        </w:rPr>
        <w:t xml:space="preserve">s </w:t>
      </w:r>
      <w:r w:rsidR="00E045D9" w:rsidRPr="00D5464D">
        <w:rPr>
          <w:szCs w:val="20"/>
          <w:lang w:val="pt-BR"/>
        </w:rPr>
        <w:t>vítima</w:t>
      </w:r>
      <w:r w:rsidR="002246F9" w:rsidRPr="00D5464D">
        <w:rPr>
          <w:szCs w:val="20"/>
          <w:lang w:val="pt-BR"/>
        </w:rPr>
        <w:t>s</w:t>
      </w:r>
      <w:r w:rsidRPr="00D5464D">
        <w:rPr>
          <w:szCs w:val="20"/>
          <w:lang w:val="pt-BR"/>
        </w:rPr>
        <w:t xml:space="preserve"> com </w:t>
      </w:r>
      <w:r w:rsidR="002246F9" w:rsidRPr="00D5464D">
        <w:rPr>
          <w:szCs w:val="20"/>
          <w:lang w:val="pt-BR"/>
        </w:rPr>
        <w:t>fundamento exclusivo</w:t>
      </w:r>
      <w:r w:rsidR="00E045D9" w:rsidRPr="00D5464D">
        <w:rPr>
          <w:szCs w:val="20"/>
          <w:lang w:val="pt-BR"/>
        </w:rPr>
        <w:t xml:space="preserve"> nas </w:t>
      </w:r>
      <w:r w:rsidR="002246F9" w:rsidRPr="00D5464D">
        <w:rPr>
          <w:szCs w:val="20"/>
          <w:lang w:val="pt-BR"/>
        </w:rPr>
        <w:t>notas de consumo o</w:t>
      </w:r>
      <w:r w:rsidR="00105576" w:rsidRPr="00D5464D">
        <w:rPr>
          <w:szCs w:val="20"/>
          <w:lang w:val="pt-BR"/>
        </w:rPr>
        <w:t>u</w:t>
      </w:r>
      <w:r w:rsidR="002246F9" w:rsidRPr="00D5464D">
        <w:rPr>
          <w:szCs w:val="20"/>
          <w:lang w:val="pt-BR"/>
        </w:rPr>
        <w:t xml:space="preserve"> recibos</w:t>
      </w:r>
      <w:r w:rsidRPr="00D5464D">
        <w:rPr>
          <w:szCs w:val="20"/>
          <w:lang w:val="pt-BR"/>
        </w:rPr>
        <w:t xml:space="preserve"> </w:t>
      </w:r>
      <w:r w:rsidR="00AF0F26" w:rsidRPr="00D5464D">
        <w:rPr>
          <w:szCs w:val="20"/>
          <w:lang w:val="pt-BR"/>
        </w:rPr>
        <w:t>em branco</w:t>
      </w:r>
      <w:r w:rsidR="002246F9" w:rsidRPr="00D5464D">
        <w:rPr>
          <w:szCs w:val="20"/>
          <w:lang w:val="pt-BR"/>
        </w:rPr>
        <w:t>; b) 1</w:t>
      </w:r>
      <w:r w:rsidR="00F443BC" w:rsidRPr="00D5464D">
        <w:rPr>
          <w:szCs w:val="20"/>
          <w:lang w:val="pt-BR"/>
        </w:rPr>
        <w:t>0</w:t>
      </w:r>
      <w:r w:rsidR="002246F9" w:rsidRPr="00D5464D">
        <w:rPr>
          <w:szCs w:val="20"/>
          <w:lang w:val="pt-BR"/>
        </w:rPr>
        <w:t xml:space="preserve"> </w:t>
      </w:r>
      <w:r w:rsidR="002C330E" w:rsidRPr="00D5464D">
        <w:rPr>
          <w:szCs w:val="20"/>
          <w:lang w:val="pt-BR"/>
        </w:rPr>
        <w:t>pessoa</w:t>
      </w:r>
      <w:r w:rsidR="002246F9" w:rsidRPr="00D5464D">
        <w:rPr>
          <w:szCs w:val="20"/>
          <w:lang w:val="pt-BR"/>
        </w:rPr>
        <w:t>s</w:t>
      </w:r>
      <w:r w:rsidR="002246F9" w:rsidRPr="00D5464D">
        <w:rPr>
          <w:rStyle w:val="Refdenotaalpie"/>
          <w:lang w:val="pt-BR"/>
        </w:rPr>
        <w:footnoteReference w:id="216"/>
      </w:r>
      <w:r w:rsidR="00350187" w:rsidRPr="00D5464D">
        <w:rPr>
          <w:szCs w:val="20"/>
          <w:lang w:val="pt-BR"/>
        </w:rPr>
        <w:t xml:space="preserve"> não conta</w:t>
      </w:r>
      <w:r w:rsidR="00230C71" w:rsidRPr="00D5464D">
        <w:rPr>
          <w:szCs w:val="20"/>
          <w:lang w:val="pt-BR"/>
        </w:rPr>
        <w:t>vam</w:t>
      </w:r>
      <w:r w:rsidRPr="00D5464D">
        <w:rPr>
          <w:szCs w:val="20"/>
          <w:lang w:val="pt-BR"/>
        </w:rPr>
        <w:t xml:space="preserve"> com </w:t>
      </w:r>
      <w:r w:rsidR="002C330E" w:rsidRPr="00D5464D">
        <w:rPr>
          <w:szCs w:val="20"/>
          <w:lang w:val="pt-BR"/>
        </w:rPr>
        <w:t xml:space="preserve">nenhum </w:t>
      </w:r>
      <w:r w:rsidR="002246F9" w:rsidRPr="00D5464D">
        <w:rPr>
          <w:szCs w:val="20"/>
          <w:lang w:val="pt-BR"/>
        </w:rPr>
        <w:t xml:space="preserve">tipo de </w:t>
      </w:r>
      <w:r w:rsidR="002C330E" w:rsidRPr="00D5464D">
        <w:rPr>
          <w:szCs w:val="20"/>
          <w:lang w:val="pt-BR"/>
        </w:rPr>
        <w:t>prova</w:t>
      </w:r>
      <w:r w:rsidR="002246F9" w:rsidRPr="00D5464D">
        <w:rPr>
          <w:szCs w:val="20"/>
          <w:lang w:val="pt-BR"/>
        </w:rPr>
        <w:t xml:space="preserve"> para </w:t>
      </w:r>
      <w:r w:rsidR="00350187" w:rsidRPr="00D5464D">
        <w:rPr>
          <w:szCs w:val="20"/>
          <w:lang w:val="pt-BR"/>
        </w:rPr>
        <w:t>demonstr</w:t>
      </w:r>
      <w:r w:rsidRPr="00D5464D">
        <w:rPr>
          <w:szCs w:val="20"/>
          <w:lang w:val="pt-BR"/>
        </w:rPr>
        <w:t>ar</w:t>
      </w:r>
      <w:r w:rsidR="002246F9" w:rsidRPr="00D5464D">
        <w:rPr>
          <w:szCs w:val="20"/>
          <w:lang w:val="pt-BR"/>
        </w:rPr>
        <w:t xml:space="preserve"> </w:t>
      </w:r>
      <w:r w:rsidR="00E045D9" w:rsidRPr="00D5464D">
        <w:rPr>
          <w:szCs w:val="20"/>
          <w:lang w:val="pt-BR"/>
        </w:rPr>
        <w:t>sua qualidade</w:t>
      </w:r>
      <w:r w:rsidRPr="00D5464D">
        <w:rPr>
          <w:szCs w:val="20"/>
          <w:lang w:val="pt-BR"/>
        </w:rPr>
        <w:t xml:space="preserve"> </w:t>
      </w:r>
      <w:r w:rsidR="002246F9" w:rsidRPr="00D5464D">
        <w:rPr>
          <w:szCs w:val="20"/>
          <w:lang w:val="pt-BR"/>
        </w:rPr>
        <w:t xml:space="preserve">de </w:t>
      </w:r>
      <w:r w:rsidR="002C330E" w:rsidRPr="00D5464D">
        <w:rPr>
          <w:szCs w:val="20"/>
          <w:lang w:val="pt-BR"/>
        </w:rPr>
        <w:t>suposta</w:t>
      </w:r>
      <w:r w:rsidR="002246F9" w:rsidRPr="00D5464D">
        <w:rPr>
          <w:szCs w:val="20"/>
          <w:lang w:val="pt-BR"/>
        </w:rPr>
        <w:t xml:space="preserve"> </w:t>
      </w:r>
      <w:r w:rsidR="00E045D9" w:rsidRPr="00D5464D">
        <w:rPr>
          <w:szCs w:val="20"/>
          <w:lang w:val="pt-BR"/>
        </w:rPr>
        <w:t>vítima</w:t>
      </w:r>
      <w:r w:rsidRPr="00D5464D">
        <w:rPr>
          <w:szCs w:val="20"/>
          <w:lang w:val="pt-BR"/>
        </w:rPr>
        <w:t>, e</w:t>
      </w:r>
      <w:r w:rsidR="002246F9" w:rsidRPr="00D5464D">
        <w:rPr>
          <w:szCs w:val="20"/>
          <w:lang w:val="pt-BR"/>
        </w:rPr>
        <w:t xml:space="preserve"> c) 14 </w:t>
      </w:r>
      <w:r w:rsidR="002C330E" w:rsidRPr="00D5464D">
        <w:rPr>
          <w:szCs w:val="20"/>
          <w:lang w:val="pt-BR"/>
        </w:rPr>
        <w:t>pessoa</w:t>
      </w:r>
      <w:r w:rsidR="002246F9" w:rsidRPr="00D5464D">
        <w:rPr>
          <w:szCs w:val="20"/>
          <w:lang w:val="pt-BR"/>
        </w:rPr>
        <w:t>s</w:t>
      </w:r>
      <w:r w:rsidR="002246F9" w:rsidRPr="00D5464D">
        <w:rPr>
          <w:rStyle w:val="Refdenotaalpie"/>
          <w:lang w:val="pt-BR"/>
        </w:rPr>
        <w:footnoteReference w:id="217"/>
      </w:r>
      <w:r w:rsidR="002246F9" w:rsidRPr="00D5464D">
        <w:rPr>
          <w:szCs w:val="20"/>
          <w:lang w:val="pt-BR"/>
        </w:rPr>
        <w:t xml:space="preserve"> </w:t>
      </w:r>
      <w:r w:rsidR="00105576" w:rsidRPr="00D5464D">
        <w:rPr>
          <w:szCs w:val="20"/>
          <w:lang w:val="pt-BR"/>
        </w:rPr>
        <w:t>eram</w:t>
      </w:r>
      <w:r w:rsidR="00E74690" w:rsidRPr="00D5464D">
        <w:rPr>
          <w:szCs w:val="20"/>
          <w:lang w:val="pt-BR"/>
        </w:rPr>
        <w:t>,</w:t>
      </w:r>
      <w:r w:rsidR="00105576" w:rsidRPr="00D5464D">
        <w:rPr>
          <w:szCs w:val="20"/>
          <w:lang w:val="pt-BR"/>
        </w:rPr>
        <w:t xml:space="preserve"> na verdade</w:t>
      </w:r>
      <w:r w:rsidR="00E74690" w:rsidRPr="00D5464D">
        <w:rPr>
          <w:szCs w:val="20"/>
          <w:lang w:val="pt-BR"/>
        </w:rPr>
        <w:t>,</w:t>
      </w:r>
      <w:r w:rsidR="00105576" w:rsidRPr="00D5464D">
        <w:rPr>
          <w:szCs w:val="20"/>
          <w:lang w:val="pt-BR"/>
        </w:rPr>
        <w:t xml:space="preserve"> </w:t>
      </w:r>
      <w:r w:rsidR="00E045D9" w:rsidRPr="00D5464D">
        <w:rPr>
          <w:szCs w:val="20"/>
          <w:lang w:val="pt-BR"/>
        </w:rPr>
        <w:t>trabalhadores</w:t>
      </w:r>
      <w:r w:rsidR="002246F9" w:rsidRPr="00D5464D">
        <w:rPr>
          <w:szCs w:val="20"/>
          <w:lang w:val="pt-BR"/>
        </w:rPr>
        <w:t xml:space="preserve"> previamente identificados.</w:t>
      </w:r>
    </w:p>
    <w:p w14:paraId="764D8494" w14:textId="77777777" w:rsidR="002246F9" w:rsidRPr="00D5464D" w:rsidRDefault="002246F9" w:rsidP="002246F9">
      <w:pPr>
        <w:rPr>
          <w:szCs w:val="20"/>
          <w:lang w:val="pt-BR"/>
        </w:rPr>
      </w:pPr>
    </w:p>
    <w:p w14:paraId="16E41A8E" w14:textId="633E6E71" w:rsidR="002246F9" w:rsidRPr="00D5464D" w:rsidRDefault="002C330E" w:rsidP="002246F9">
      <w:pPr>
        <w:pStyle w:val="Prrafodelista"/>
        <w:numPr>
          <w:ilvl w:val="0"/>
          <w:numId w:val="1"/>
        </w:numPr>
        <w:autoSpaceDE w:val="0"/>
        <w:autoSpaceDN w:val="0"/>
        <w:adjustRightInd w:val="0"/>
        <w:rPr>
          <w:szCs w:val="20"/>
          <w:lang w:val="pt-BR"/>
        </w:rPr>
      </w:pPr>
      <w:bookmarkStart w:id="369" w:name="_Ref460939590"/>
      <w:r w:rsidRPr="00D5464D">
        <w:rPr>
          <w:szCs w:val="20"/>
          <w:lang w:val="pt-BR"/>
        </w:rPr>
        <w:t>Portanto</w:t>
      </w:r>
      <w:r w:rsidR="002246F9" w:rsidRPr="00D5464D">
        <w:rPr>
          <w:szCs w:val="20"/>
          <w:lang w:val="pt-BR"/>
        </w:rPr>
        <w:t xml:space="preserve">, </w:t>
      </w:r>
      <w:r w:rsidR="00470ADC" w:rsidRPr="00D5464D">
        <w:rPr>
          <w:szCs w:val="20"/>
          <w:lang w:val="pt-BR"/>
        </w:rPr>
        <w:t xml:space="preserve">do </w:t>
      </w:r>
      <w:r w:rsidR="002246F9" w:rsidRPr="00D5464D">
        <w:rPr>
          <w:szCs w:val="20"/>
          <w:lang w:val="pt-BR"/>
        </w:rPr>
        <w:t xml:space="preserve">grupo de </w:t>
      </w:r>
      <w:r w:rsidR="00E045D9" w:rsidRPr="00D5464D">
        <w:rPr>
          <w:szCs w:val="20"/>
          <w:lang w:val="pt-BR"/>
        </w:rPr>
        <w:t>trabalhadores</w:t>
      </w:r>
      <w:r w:rsidR="002246F9" w:rsidRPr="00D5464D">
        <w:rPr>
          <w:szCs w:val="20"/>
          <w:lang w:val="pt-BR"/>
        </w:rPr>
        <w:t xml:space="preserve"> presentes</w:t>
      </w:r>
      <w:r w:rsidR="00E045D9" w:rsidRPr="00D5464D">
        <w:rPr>
          <w:szCs w:val="20"/>
          <w:lang w:val="pt-BR"/>
        </w:rPr>
        <w:t xml:space="preserve"> na </w:t>
      </w:r>
      <w:r w:rsidR="00D809F0" w:rsidRPr="00D5464D">
        <w:rPr>
          <w:szCs w:val="20"/>
          <w:lang w:val="pt-BR"/>
        </w:rPr>
        <w:t>Fazenda</w:t>
      </w:r>
      <w:r w:rsidR="002246F9" w:rsidRPr="00D5464D">
        <w:rPr>
          <w:szCs w:val="20"/>
          <w:lang w:val="pt-BR"/>
        </w:rPr>
        <w:t xml:space="preserve"> Brasil Verde durante</w:t>
      </w:r>
      <w:r w:rsidRPr="00D5464D">
        <w:rPr>
          <w:szCs w:val="20"/>
          <w:lang w:val="pt-BR"/>
        </w:rPr>
        <w:t xml:space="preserve"> a </w:t>
      </w:r>
      <w:r w:rsidR="002246F9" w:rsidRPr="00D5464D">
        <w:rPr>
          <w:szCs w:val="20"/>
          <w:lang w:val="pt-BR"/>
        </w:rPr>
        <w:t>fiscaliza</w:t>
      </w:r>
      <w:r w:rsidR="00470ADC" w:rsidRPr="00D5464D">
        <w:rPr>
          <w:szCs w:val="20"/>
          <w:lang w:val="pt-BR"/>
        </w:rPr>
        <w:t>ção</w:t>
      </w:r>
      <w:r w:rsidR="002246F9" w:rsidRPr="00D5464D">
        <w:rPr>
          <w:szCs w:val="20"/>
          <w:lang w:val="pt-BR"/>
        </w:rPr>
        <w:t xml:space="preserve"> de abril de 1997,</w:t>
      </w:r>
      <w:r w:rsidR="00470ADC" w:rsidRPr="00D5464D">
        <w:rPr>
          <w:szCs w:val="20"/>
          <w:lang w:val="pt-BR"/>
        </w:rPr>
        <w:t xml:space="preserve"> o </w:t>
      </w:r>
      <w:r w:rsidR="002246F9" w:rsidRPr="00D5464D">
        <w:rPr>
          <w:szCs w:val="20"/>
          <w:lang w:val="pt-BR"/>
        </w:rPr>
        <w:t>Tribunal</w:t>
      </w:r>
      <w:r w:rsidR="00E74690" w:rsidRPr="00D5464D">
        <w:rPr>
          <w:szCs w:val="20"/>
          <w:lang w:val="pt-BR"/>
        </w:rPr>
        <w:t>, ao proferir a presente Sentença,</w:t>
      </w:r>
      <w:r w:rsidR="00470ADC" w:rsidRPr="00D5464D">
        <w:rPr>
          <w:szCs w:val="20"/>
          <w:lang w:val="pt-BR"/>
        </w:rPr>
        <w:t xml:space="preserve"> conta com </w:t>
      </w:r>
      <w:r w:rsidR="002246F9" w:rsidRPr="00D5464D">
        <w:rPr>
          <w:szCs w:val="20"/>
          <w:lang w:val="pt-BR"/>
        </w:rPr>
        <w:t xml:space="preserve">elementos </w:t>
      </w:r>
      <w:r w:rsidRPr="00D5464D">
        <w:rPr>
          <w:szCs w:val="20"/>
          <w:lang w:val="pt-BR"/>
        </w:rPr>
        <w:t>probatório</w:t>
      </w:r>
      <w:r w:rsidR="002246F9" w:rsidRPr="00D5464D">
        <w:rPr>
          <w:szCs w:val="20"/>
          <w:lang w:val="pt-BR"/>
        </w:rPr>
        <w:t>s suficientes</w:t>
      </w:r>
      <w:r w:rsidR="00E045D9" w:rsidRPr="00D5464D">
        <w:rPr>
          <w:szCs w:val="20"/>
          <w:lang w:val="pt-BR"/>
        </w:rPr>
        <w:t xml:space="preserve"> e </w:t>
      </w:r>
      <w:r w:rsidR="00470ADC" w:rsidRPr="00D5464D">
        <w:rPr>
          <w:szCs w:val="20"/>
          <w:lang w:val="pt-BR"/>
        </w:rPr>
        <w:t>confiáveis</w:t>
      </w:r>
      <w:r w:rsidR="002246F9" w:rsidRPr="00D5464D">
        <w:rPr>
          <w:szCs w:val="20"/>
          <w:lang w:val="pt-BR"/>
        </w:rPr>
        <w:t xml:space="preserve"> para </w:t>
      </w:r>
      <w:r w:rsidR="00350187" w:rsidRPr="00D5464D">
        <w:rPr>
          <w:szCs w:val="20"/>
          <w:lang w:val="pt-BR"/>
        </w:rPr>
        <w:t>demonstr</w:t>
      </w:r>
      <w:r w:rsidR="00470ADC" w:rsidRPr="00D5464D">
        <w:rPr>
          <w:szCs w:val="20"/>
          <w:lang w:val="pt-BR"/>
        </w:rPr>
        <w:t>ar</w:t>
      </w:r>
      <w:r w:rsidRPr="00D5464D">
        <w:rPr>
          <w:szCs w:val="20"/>
          <w:lang w:val="pt-BR"/>
        </w:rPr>
        <w:t xml:space="preserve"> a </w:t>
      </w:r>
      <w:r w:rsidR="00470ADC" w:rsidRPr="00D5464D">
        <w:rPr>
          <w:szCs w:val="20"/>
          <w:lang w:val="pt-BR"/>
        </w:rPr>
        <w:t xml:space="preserve">qualidade </w:t>
      </w:r>
      <w:r w:rsidR="002246F9" w:rsidRPr="00D5464D">
        <w:rPr>
          <w:szCs w:val="20"/>
          <w:lang w:val="pt-BR"/>
        </w:rPr>
        <w:t xml:space="preserve">de </w:t>
      </w:r>
      <w:r w:rsidRPr="00D5464D">
        <w:rPr>
          <w:szCs w:val="20"/>
          <w:lang w:val="pt-BR"/>
        </w:rPr>
        <w:t>suposta</w:t>
      </w:r>
      <w:r w:rsidR="002246F9" w:rsidRPr="00D5464D">
        <w:rPr>
          <w:szCs w:val="20"/>
          <w:lang w:val="pt-BR"/>
        </w:rPr>
        <w:t xml:space="preserve">s </w:t>
      </w:r>
      <w:r w:rsidR="00E045D9" w:rsidRPr="00D5464D">
        <w:rPr>
          <w:szCs w:val="20"/>
          <w:lang w:val="pt-BR"/>
        </w:rPr>
        <w:t>vítima</w:t>
      </w:r>
      <w:r w:rsidR="002246F9" w:rsidRPr="00D5464D">
        <w:rPr>
          <w:szCs w:val="20"/>
          <w:lang w:val="pt-BR"/>
        </w:rPr>
        <w:t xml:space="preserve">s </w:t>
      </w:r>
      <w:r w:rsidR="00BD1B84" w:rsidRPr="00D5464D">
        <w:rPr>
          <w:szCs w:val="20"/>
          <w:lang w:val="pt-BR"/>
        </w:rPr>
        <w:t>de alegadas viola</w:t>
      </w:r>
      <w:r w:rsidR="00470ADC" w:rsidRPr="00D5464D">
        <w:rPr>
          <w:szCs w:val="20"/>
          <w:lang w:val="pt-BR"/>
        </w:rPr>
        <w:t>ções</w:t>
      </w:r>
      <w:r w:rsidR="00E045D9" w:rsidRPr="00D5464D">
        <w:rPr>
          <w:szCs w:val="20"/>
          <w:lang w:val="pt-BR"/>
        </w:rPr>
        <w:t xml:space="preserve"> aos </w:t>
      </w:r>
      <w:r w:rsidR="00470ADC" w:rsidRPr="00D5464D">
        <w:rPr>
          <w:szCs w:val="20"/>
          <w:lang w:val="pt-BR"/>
        </w:rPr>
        <w:t>direito</w:t>
      </w:r>
      <w:r w:rsidR="00BD1B84" w:rsidRPr="00D5464D">
        <w:rPr>
          <w:szCs w:val="20"/>
          <w:lang w:val="pt-BR"/>
        </w:rPr>
        <w:t>s</w:t>
      </w:r>
      <w:r w:rsidR="00E045D9" w:rsidRPr="00D5464D">
        <w:rPr>
          <w:szCs w:val="20"/>
          <w:lang w:val="pt-BR"/>
        </w:rPr>
        <w:t xml:space="preserve"> às </w:t>
      </w:r>
      <w:r w:rsidRPr="00D5464D">
        <w:rPr>
          <w:szCs w:val="20"/>
          <w:lang w:val="pt-BR"/>
        </w:rPr>
        <w:t>garantias</w:t>
      </w:r>
      <w:r w:rsidR="00E045D9" w:rsidRPr="00D5464D">
        <w:rPr>
          <w:szCs w:val="20"/>
          <w:lang w:val="pt-BR"/>
        </w:rPr>
        <w:t xml:space="preserve"> </w:t>
      </w:r>
      <w:r w:rsidR="00105576" w:rsidRPr="00D5464D">
        <w:rPr>
          <w:szCs w:val="20"/>
          <w:lang w:val="pt-BR"/>
        </w:rPr>
        <w:t xml:space="preserve">judiciais </w:t>
      </w:r>
      <w:r w:rsidR="00E045D9" w:rsidRPr="00D5464D">
        <w:rPr>
          <w:szCs w:val="20"/>
          <w:lang w:val="pt-BR"/>
        </w:rPr>
        <w:t xml:space="preserve">e </w:t>
      </w:r>
      <w:r w:rsidR="00105576" w:rsidRPr="00D5464D">
        <w:rPr>
          <w:szCs w:val="20"/>
          <w:lang w:val="pt-BR"/>
        </w:rPr>
        <w:t>à</w:t>
      </w:r>
      <w:r w:rsidRPr="00D5464D">
        <w:rPr>
          <w:szCs w:val="20"/>
          <w:lang w:val="pt-BR"/>
        </w:rPr>
        <w:t xml:space="preserve"> proteção</w:t>
      </w:r>
      <w:r w:rsidR="00BD1B84" w:rsidRPr="00D5464D">
        <w:rPr>
          <w:szCs w:val="20"/>
          <w:lang w:val="pt-BR"/>
        </w:rPr>
        <w:t xml:space="preserve"> </w:t>
      </w:r>
      <w:r w:rsidRPr="00D5464D">
        <w:rPr>
          <w:szCs w:val="20"/>
          <w:lang w:val="pt-BR"/>
        </w:rPr>
        <w:t>judicia</w:t>
      </w:r>
      <w:r w:rsidR="00105576" w:rsidRPr="00D5464D">
        <w:rPr>
          <w:szCs w:val="20"/>
          <w:lang w:val="pt-BR"/>
        </w:rPr>
        <w:t>l</w:t>
      </w:r>
      <w:r w:rsidR="00470ADC" w:rsidRPr="00D5464D">
        <w:rPr>
          <w:szCs w:val="20"/>
          <w:lang w:val="pt-BR"/>
        </w:rPr>
        <w:t xml:space="preserve"> dos </w:t>
      </w:r>
      <w:r w:rsidRPr="00D5464D">
        <w:rPr>
          <w:szCs w:val="20"/>
          <w:lang w:val="pt-BR"/>
        </w:rPr>
        <w:t>seguinte</w:t>
      </w:r>
      <w:r w:rsidR="002246F9" w:rsidRPr="00D5464D">
        <w:rPr>
          <w:szCs w:val="20"/>
          <w:lang w:val="pt-BR"/>
        </w:rPr>
        <w:t xml:space="preserve">s 43 </w:t>
      </w:r>
      <w:r w:rsidR="00E045D9" w:rsidRPr="00D5464D">
        <w:rPr>
          <w:szCs w:val="20"/>
          <w:lang w:val="pt-BR"/>
        </w:rPr>
        <w:t>trabalhadores</w:t>
      </w:r>
      <w:r w:rsidR="002246F9" w:rsidRPr="00D5464D">
        <w:rPr>
          <w:szCs w:val="20"/>
          <w:lang w:val="pt-BR"/>
        </w:rPr>
        <w:t xml:space="preserve">: 1. </w:t>
      </w:r>
      <w:r w:rsidR="00E74690" w:rsidRPr="00D5464D">
        <w:rPr>
          <w:rFonts w:cs="Helvetica"/>
          <w:szCs w:val="20"/>
          <w:lang w:val="pt-BR"/>
        </w:rPr>
        <w:t>Antônio</w:t>
      </w:r>
      <w:r w:rsidR="002246F9" w:rsidRPr="00D5464D">
        <w:rPr>
          <w:rFonts w:cs="Helvetica"/>
          <w:szCs w:val="20"/>
          <w:lang w:val="pt-BR"/>
        </w:rPr>
        <w:t xml:space="preserve"> Alves de Souza</w:t>
      </w:r>
      <w:r w:rsidR="00105576" w:rsidRPr="00D5464D">
        <w:rPr>
          <w:rFonts w:cs="Helvetica"/>
          <w:szCs w:val="20"/>
          <w:lang w:val="pt-BR"/>
        </w:rPr>
        <w:t>,</w:t>
      </w:r>
      <w:r w:rsidR="002246F9" w:rsidRPr="00D5464D">
        <w:rPr>
          <w:rStyle w:val="Refdenotaalpie"/>
          <w:rFonts w:cs="Helvetica"/>
          <w:lang w:val="pt-BR"/>
        </w:rPr>
        <w:footnoteReference w:id="218"/>
      </w:r>
      <w:r w:rsidR="002246F9" w:rsidRPr="00D5464D">
        <w:rPr>
          <w:szCs w:val="20"/>
          <w:lang w:val="pt-BR"/>
        </w:rPr>
        <w:t xml:space="preserve"> </w:t>
      </w:r>
      <w:r w:rsidR="002246F9" w:rsidRPr="00D5464D">
        <w:rPr>
          <w:rFonts w:cs="Helvetica"/>
          <w:szCs w:val="20"/>
          <w:lang w:val="pt-BR"/>
        </w:rPr>
        <w:t xml:space="preserve">2. </w:t>
      </w:r>
      <w:r w:rsidR="00E74690" w:rsidRPr="00D5464D">
        <w:rPr>
          <w:rFonts w:cs="Helvetica"/>
          <w:szCs w:val="20"/>
          <w:lang w:val="pt-BR"/>
        </w:rPr>
        <w:t>Antônio</w:t>
      </w:r>
      <w:r w:rsidR="002246F9" w:rsidRPr="00D5464D">
        <w:rPr>
          <w:rFonts w:cs="Helvetica"/>
          <w:szCs w:val="20"/>
          <w:lang w:val="pt-BR"/>
        </w:rPr>
        <w:t xml:space="preserve"> Bispo dos Santos</w:t>
      </w:r>
      <w:r w:rsidR="00702CD8" w:rsidRPr="00D5464D">
        <w:rPr>
          <w:rFonts w:cs="Helvetica"/>
          <w:szCs w:val="20"/>
          <w:lang w:val="pt-BR"/>
        </w:rPr>
        <w:t>,</w:t>
      </w:r>
      <w:r w:rsidR="002246F9" w:rsidRPr="00D5464D">
        <w:rPr>
          <w:rStyle w:val="Refdenotaalpie"/>
          <w:rFonts w:cs="Helvetica"/>
          <w:lang w:val="pt-BR"/>
        </w:rPr>
        <w:footnoteReference w:id="219"/>
      </w:r>
      <w:r w:rsidR="002246F9" w:rsidRPr="00D5464D">
        <w:rPr>
          <w:szCs w:val="20"/>
          <w:lang w:val="pt-BR"/>
        </w:rPr>
        <w:t xml:space="preserve"> </w:t>
      </w:r>
      <w:r w:rsidR="002246F9" w:rsidRPr="00D5464D">
        <w:rPr>
          <w:rFonts w:cs="Helvetica"/>
          <w:szCs w:val="20"/>
          <w:lang w:val="pt-BR"/>
        </w:rPr>
        <w:t xml:space="preserve">3. </w:t>
      </w:r>
      <w:r w:rsidR="00E74690" w:rsidRPr="00D5464D">
        <w:rPr>
          <w:rFonts w:cs="Helvetica"/>
          <w:szCs w:val="20"/>
          <w:lang w:val="pt-BR"/>
        </w:rPr>
        <w:t>Antônio</w:t>
      </w:r>
      <w:r w:rsidR="002246F9" w:rsidRPr="00D5464D">
        <w:rPr>
          <w:rFonts w:cs="Helvetica"/>
          <w:szCs w:val="20"/>
          <w:lang w:val="pt-BR"/>
        </w:rPr>
        <w:t xml:space="preserve"> da Silva Nascimento</w:t>
      </w:r>
      <w:r w:rsidR="00702CD8" w:rsidRPr="00D5464D">
        <w:rPr>
          <w:rFonts w:cs="Helvetica"/>
          <w:szCs w:val="20"/>
          <w:lang w:val="pt-BR"/>
        </w:rPr>
        <w:t>,</w:t>
      </w:r>
      <w:r w:rsidR="002246F9" w:rsidRPr="00D5464D">
        <w:rPr>
          <w:rStyle w:val="Refdenotaalpie"/>
          <w:rFonts w:cs="Helvetica"/>
          <w:lang w:val="pt-BR"/>
        </w:rPr>
        <w:footnoteReference w:id="220"/>
      </w:r>
      <w:r w:rsidR="002246F9" w:rsidRPr="00D5464D">
        <w:rPr>
          <w:szCs w:val="20"/>
          <w:lang w:val="pt-BR"/>
        </w:rPr>
        <w:t xml:space="preserve"> </w:t>
      </w:r>
      <w:r w:rsidR="002246F9" w:rsidRPr="00D5464D">
        <w:rPr>
          <w:rFonts w:cs="Helvetica"/>
          <w:szCs w:val="20"/>
          <w:lang w:val="pt-BR"/>
        </w:rPr>
        <w:t xml:space="preserve">4. </w:t>
      </w:r>
      <w:r w:rsidR="00E74690" w:rsidRPr="00D5464D">
        <w:rPr>
          <w:rFonts w:cs="Helvetica"/>
          <w:szCs w:val="20"/>
          <w:lang w:val="pt-BR"/>
        </w:rPr>
        <w:t>Antônio</w:t>
      </w:r>
      <w:r w:rsidR="002246F9" w:rsidRPr="00D5464D">
        <w:rPr>
          <w:rFonts w:cs="Helvetica"/>
          <w:szCs w:val="20"/>
          <w:lang w:val="pt-BR"/>
        </w:rPr>
        <w:t xml:space="preserve"> Pereira da Silva</w:t>
      </w:r>
      <w:r w:rsidR="00702CD8" w:rsidRPr="00D5464D">
        <w:rPr>
          <w:rFonts w:cs="Helvetica"/>
          <w:szCs w:val="20"/>
          <w:lang w:val="pt-BR"/>
        </w:rPr>
        <w:t>,</w:t>
      </w:r>
      <w:r w:rsidR="002246F9" w:rsidRPr="00D5464D">
        <w:rPr>
          <w:rStyle w:val="Refdenotaalpie"/>
          <w:rFonts w:cs="Helvetica"/>
          <w:lang w:val="pt-BR"/>
        </w:rPr>
        <w:footnoteReference w:id="221"/>
      </w:r>
      <w:r w:rsidR="002246F9" w:rsidRPr="00D5464D">
        <w:rPr>
          <w:szCs w:val="20"/>
          <w:lang w:val="pt-BR"/>
        </w:rPr>
        <w:t xml:space="preserve"> </w:t>
      </w:r>
      <w:r w:rsidR="002246F9" w:rsidRPr="00D5464D">
        <w:rPr>
          <w:rFonts w:cs="Helvetica"/>
          <w:szCs w:val="20"/>
          <w:lang w:val="pt-BR"/>
        </w:rPr>
        <w:t xml:space="preserve">5. </w:t>
      </w:r>
      <w:r w:rsidR="00E74690" w:rsidRPr="00D5464D">
        <w:rPr>
          <w:rFonts w:cs="Helvetica"/>
          <w:szCs w:val="20"/>
          <w:lang w:val="pt-BR"/>
        </w:rPr>
        <w:t>Antônio</w:t>
      </w:r>
      <w:r w:rsidR="002246F9" w:rsidRPr="00D5464D">
        <w:rPr>
          <w:rFonts w:cs="Helvetica"/>
          <w:szCs w:val="20"/>
          <w:lang w:val="pt-BR"/>
        </w:rPr>
        <w:t xml:space="preserve"> Renato Barros</w:t>
      </w:r>
      <w:r w:rsidR="00702CD8" w:rsidRPr="00D5464D">
        <w:rPr>
          <w:rFonts w:cs="Helvetica"/>
          <w:szCs w:val="20"/>
          <w:lang w:val="pt-BR"/>
        </w:rPr>
        <w:t>,</w:t>
      </w:r>
      <w:r w:rsidR="002246F9" w:rsidRPr="00D5464D">
        <w:rPr>
          <w:rStyle w:val="Refdenotaalpie"/>
          <w:rFonts w:cs="Helvetica"/>
          <w:lang w:val="pt-BR"/>
        </w:rPr>
        <w:footnoteReference w:id="222"/>
      </w:r>
      <w:r w:rsidR="002246F9" w:rsidRPr="00D5464D">
        <w:rPr>
          <w:szCs w:val="20"/>
          <w:lang w:val="pt-BR"/>
        </w:rPr>
        <w:t xml:space="preserve"> </w:t>
      </w:r>
      <w:r w:rsidR="002246F9" w:rsidRPr="00D5464D">
        <w:rPr>
          <w:rFonts w:cs="Helvetica"/>
          <w:szCs w:val="20"/>
          <w:lang w:val="pt-BR"/>
        </w:rPr>
        <w:t>6. Benigno Rodrigues da Silva</w:t>
      </w:r>
      <w:r w:rsidR="00702CD8" w:rsidRPr="00D5464D">
        <w:rPr>
          <w:rFonts w:cs="Helvetica"/>
          <w:szCs w:val="20"/>
          <w:lang w:val="pt-BR"/>
        </w:rPr>
        <w:t>,</w:t>
      </w:r>
      <w:r w:rsidR="002246F9" w:rsidRPr="00D5464D">
        <w:rPr>
          <w:rStyle w:val="Refdenotaalpie"/>
          <w:rFonts w:cs="Helvetica"/>
          <w:lang w:val="pt-BR"/>
        </w:rPr>
        <w:footnoteReference w:id="223"/>
      </w:r>
      <w:r w:rsidR="002246F9" w:rsidRPr="00D5464D">
        <w:rPr>
          <w:szCs w:val="20"/>
          <w:lang w:val="pt-BR"/>
        </w:rPr>
        <w:t xml:space="preserve"> </w:t>
      </w:r>
      <w:r w:rsidR="002246F9" w:rsidRPr="00D5464D">
        <w:rPr>
          <w:rFonts w:cs="Helvetica"/>
          <w:szCs w:val="20"/>
          <w:lang w:val="pt-BR"/>
        </w:rPr>
        <w:t>7.</w:t>
      </w:r>
      <w:r w:rsidR="00A1358C" w:rsidRPr="00D5464D">
        <w:rPr>
          <w:rFonts w:cs="Helvetica"/>
          <w:szCs w:val="20"/>
          <w:lang w:val="pt-BR"/>
        </w:rPr>
        <w:t xml:space="preserve"> Carlos </w:t>
      </w:r>
      <w:r w:rsidR="002246F9" w:rsidRPr="00D5464D">
        <w:rPr>
          <w:rFonts w:cs="Helvetica"/>
          <w:szCs w:val="20"/>
          <w:lang w:val="pt-BR"/>
        </w:rPr>
        <w:t>Alberto Albino da Conceição</w:t>
      </w:r>
      <w:r w:rsidR="00702CD8" w:rsidRPr="00D5464D">
        <w:rPr>
          <w:rFonts w:cs="Helvetica"/>
          <w:szCs w:val="20"/>
          <w:lang w:val="pt-BR"/>
        </w:rPr>
        <w:t>,</w:t>
      </w:r>
      <w:r w:rsidR="002246F9" w:rsidRPr="00D5464D">
        <w:rPr>
          <w:rStyle w:val="Refdenotaalpie"/>
          <w:rFonts w:cs="Helvetica"/>
          <w:lang w:val="pt-BR"/>
        </w:rPr>
        <w:footnoteReference w:id="224"/>
      </w:r>
      <w:r w:rsidR="002246F9" w:rsidRPr="00D5464D">
        <w:rPr>
          <w:szCs w:val="20"/>
          <w:lang w:val="pt-BR"/>
        </w:rPr>
        <w:t xml:space="preserve"> </w:t>
      </w:r>
      <w:r w:rsidR="002246F9" w:rsidRPr="00D5464D">
        <w:rPr>
          <w:rFonts w:cs="Helvetica"/>
          <w:szCs w:val="20"/>
          <w:lang w:val="pt-BR"/>
        </w:rPr>
        <w:t>8. Cassimiro Neto Souza Maia</w:t>
      </w:r>
      <w:r w:rsidR="00702CD8" w:rsidRPr="00D5464D">
        <w:rPr>
          <w:rFonts w:cs="Helvetica"/>
          <w:szCs w:val="20"/>
          <w:lang w:val="pt-BR"/>
        </w:rPr>
        <w:t>,</w:t>
      </w:r>
      <w:r w:rsidR="002246F9" w:rsidRPr="00D5464D">
        <w:rPr>
          <w:rStyle w:val="Refdenotaalpie"/>
          <w:rFonts w:cs="Helvetica"/>
          <w:lang w:val="pt-BR"/>
        </w:rPr>
        <w:footnoteReference w:id="225"/>
      </w:r>
      <w:r w:rsidR="002246F9" w:rsidRPr="00D5464D">
        <w:rPr>
          <w:szCs w:val="20"/>
          <w:lang w:val="pt-BR"/>
        </w:rPr>
        <w:t xml:space="preserve"> </w:t>
      </w:r>
      <w:r w:rsidR="002246F9" w:rsidRPr="00D5464D">
        <w:rPr>
          <w:rFonts w:cs="Helvetica"/>
          <w:szCs w:val="20"/>
          <w:lang w:val="pt-BR"/>
        </w:rPr>
        <w:t>9. Dijalma Santos Batista</w:t>
      </w:r>
      <w:r w:rsidR="00702CD8" w:rsidRPr="00D5464D">
        <w:rPr>
          <w:rFonts w:cs="Helvetica"/>
          <w:szCs w:val="20"/>
          <w:lang w:val="pt-BR"/>
        </w:rPr>
        <w:t>,</w:t>
      </w:r>
      <w:r w:rsidR="002246F9" w:rsidRPr="00D5464D">
        <w:rPr>
          <w:rStyle w:val="Refdenotaalpie"/>
          <w:rFonts w:cs="Helvetica"/>
          <w:lang w:val="pt-BR"/>
        </w:rPr>
        <w:footnoteReference w:id="226"/>
      </w:r>
      <w:r w:rsidR="002246F9" w:rsidRPr="00D5464D">
        <w:rPr>
          <w:szCs w:val="20"/>
          <w:lang w:val="pt-BR"/>
        </w:rPr>
        <w:t xml:space="preserve"> </w:t>
      </w:r>
      <w:r w:rsidR="002246F9" w:rsidRPr="00D5464D">
        <w:rPr>
          <w:rFonts w:cs="Helvetica"/>
          <w:szCs w:val="20"/>
          <w:lang w:val="pt-BR"/>
        </w:rPr>
        <w:t>10. Edi Souza de Silva</w:t>
      </w:r>
      <w:r w:rsidR="00702CD8" w:rsidRPr="00D5464D">
        <w:rPr>
          <w:rFonts w:cs="Helvetica"/>
          <w:szCs w:val="20"/>
          <w:lang w:val="pt-BR"/>
        </w:rPr>
        <w:t>,</w:t>
      </w:r>
      <w:r w:rsidR="002246F9" w:rsidRPr="00D5464D">
        <w:rPr>
          <w:rStyle w:val="Refdenotaalpie"/>
          <w:rFonts w:cs="Helvetica"/>
          <w:lang w:val="pt-BR"/>
        </w:rPr>
        <w:footnoteReference w:id="227"/>
      </w:r>
      <w:r w:rsidR="002246F9" w:rsidRPr="00D5464D">
        <w:rPr>
          <w:szCs w:val="20"/>
          <w:lang w:val="pt-BR"/>
        </w:rPr>
        <w:t xml:space="preserve"> </w:t>
      </w:r>
      <w:r w:rsidR="002246F9" w:rsidRPr="00D5464D">
        <w:rPr>
          <w:rFonts w:cs="Helvetica"/>
          <w:szCs w:val="20"/>
          <w:lang w:val="pt-BR"/>
        </w:rPr>
        <w:t>11. Edmilson Fernandes dos Santos</w:t>
      </w:r>
      <w:r w:rsidR="00702CD8" w:rsidRPr="00D5464D">
        <w:rPr>
          <w:rFonts w:cs="Helvetica"/>
          <w:szCs w:val="20"/>
          <w:lang w:val="pt-BR"/>
        </w:rPr>
        <w:t>,</w:t>
      </w:r>
      <w:r w:rsidR="002246F9" w:rsidRPr="00D5464D">
        <w:rPr>
          <w:rStyle w:val="Refdenotaalpie"/>
          <w:rFonts w:cs="Helvetica"/>
          <w:lang w:val="pt-BR"/>
        </w:rPr>
        <w:footnoteReference w:id="228"/>
      </w:r>
      <w:r w:rsidR="002246F9" w:rsidRPr="00D5464D">
        <w:rPr>
          <w:szCs w:val="20"/>
          <w:lang w:val="pt-BR"/>
        </w:rPr>
        <w:t xml:space="preserve"> </w:t>
      </w:r>
      <w:r w:rsidR="002246F9" w:rsidRPr="00D5464D">
        <w:rPr>
          <w:rFonts w:cs="Helvetica"/>
          <w:szCs w:val="20"/>
          <w:lang w:val="pt-BR"/>
        </w:rPr>
        <w:t>12. Edson Pocidônio da Silva</w:t>
      </w:r>
      <w:r w:rsidR="00702CD8" w:rsidRPr="00D5464D">
        <w:rPr>
          <w:rFonts w:cs="Helvetica"/>
          <w:szCs w:val="20"/>
          <w:lang w:val="pt-BR"/>
        </w:rPr>
        <w:t>,</w:t>
      </w:r>
      <w:r w:rsidR="002246F9" w:rsidRPr="00D5464D">
        <w:rPr>
          <w:rStyle w:val="Refdenotaalpie"/>
          <w:rFonts w:cs="Helvetica"/>
          <w:lang w:val="pt-BR"/>
        </w:rPr>
        <w:footnoteReference w:id="229"/>
      </w:r>
      <w:r w:rsidR="002246F9" w:rsidRPr="00D5464D">
        <w:rPr>
          <w:szCs w:val="20"/>
          <w:lang w:val="pt-BR"/>
        </w:rPr>
        <w:t xml:space="preserve"> </w:t>
      </w:r>
      <w:r w:rsidR="002246F9" w:rsidRPr="00D5464D">
        <w:rPr>
          <w:rFonts w:cs="Helvetica"/>
          <w:szCs w:val="20"/>
          <w:lang w:val="pt-BR"/>
        </w:rPr>
        <w:t>13. Irineu In</w:t>
      </w:r>
      <w:r w:rsidR="00E74690" w:rsidRPr="00D5464D">
        <w:rPr>
          <w:rFonts w:cs="Helvetica"/>
          <w:szCs w:val="20"/>
          <w:lang w:val="pt-BR"/>
        </w:rPr>
        <w:t>á</w:t>
      </w:r>
      <w:r w:rsidR="002246F9" w:rsidRPr="00D5464D">
        <w:rPr>
          <w:rFonts w:cs="Helvetica"/>
          <w:szCs w:val="20"/>
          <w:lang w:val="pt-BR"/>
        </w:rPr>
        <w:t>cio da Silva</w:t>
      </w:r>
      <w:r w:rsidR="00702CD8" w:rsidRPr="00D5464D">
        <w:rPr>
          <w:rFonts w:cs="Helvetica"/>
          <w:szCs w:val="20"/>
          <w:lang w:val="pt-BR"/>
        </w:rPr>
        <w:t>,</w:t>
      </w:r>
      <w:r w:rsidR="002246F9" w:rsidRPr="00D5464D">
        <w:rPr>
          <w:rStyle w:val="Refdenotaalpie"/>
          <w:rFonts w:cs="Helvetica"/>
          <w:lang w:val="pt-BR"/>
        </w:rPr>
        <w:footnoteReference w:id="230"/>
      </w:r>
      <w:r w:rsidR="002246F9" w:rsidRPr="00D5464D">
        <w:rPr>
          <w:szCs w:val="20"/>
          <w:lang w:val="pt-BR"/>
        </w:rPr>
        <w:t xml:space="preserve"> </w:t>
      </w:r>
      <w:r w:rsidR="002246F9" w:rsidRPr="00D5464D">
        <w:rPr>
          <w:rFonts w:cs="Helvetica"/>
          <w:szCs w:val="20"/>
          <w:lang w:val="pt-BR"/>
        </w:rPr>
        <w:t>14. Geraldo Hilário de Almeida</w:t>
      </w:r>
      <w:r w:rsidR="00702CD8" w:rsidRPr="00D5464D">
        <w:rPr>
          <w:rFonts w:cs="Helvetica"/>
          <w:szCs w:val="20"/>
          <w:lang w:val="pt-BR"/>
        </w:rPr>
        <w:t>,</w:t>
      </w:r>
      <w:r w:rsidR="002246F9" w:rsidRPr="00D5464D">
        <w:rPr>
          <w:rStyle w:val="Refdenotaalpie"/>
          <w:rFonts w:cs="Helvetica"/>
          <w:lang w:val="pt-BR"/>
        </w:rPr>
        <w:footnoteReference w:id="231"/>
      </w:r>
      <w:r w:rsidR="002246F9" w:rsidRPr="00D5464D">
        <w:rPr>
          <w:szCs w:val="20"/>
          <w:lang w:val="pt-BR"/>
        </w:rPr>
        <w:t xml:space="preserve"> </w:t>
      </w:r>
      <w:r w:rsidR="002246F9" w:rsidRPr="00D5464D">
        <w:rPr>
          <w:rFonts w:cs="Helvetica"/>
          <w:szCs w:val="20"/>
          <w:lang w:val="pt-BR"/>
        </w:rPr>
        <w:t>15. João de Deus dos Reis Salvino</w:t>
      </w:r>
      <w:r w:rsidR="00702CD8" w:rsidRPr="00D5464D">
        <w:rPr>
          <w:rFonts w:cs="Helvetica"/>
          <w:szCs w:val="20"/>
          <w:lang w:val="pt-BR"/>
        </w:rPr>
        <w:t>,</w:t>
      </w:r>
      <w:r w:rsidR="002246F9" w:rsidRPr="00D5464D">
        <w:rPr>
          <w:rStyle w:val="Refdenotaalpie"/>
          <w:rFonts w:cs="Helvetica"/>
          <w:lang w:val="pt-BR"/>
        </w:rPr>
        <w:footnoteReference w:id="232"/>
      </w:r>
      <w:r w:rsidR="002246F9" w:rsidRPr="00D5464D">
        <w:rPr>
          <w:szCs w:val="20"/>
          <w:lang w:val="pt-BR"/>
        </w:rPr>
        <w:t xml:space="preserve"> </w:t>
      </w:r>
      <w:r w:rsidR="002246F9" w:rsidRPr="00D5464D">
        <w:rPr>
          <w:rFonts w:cs="Helvetica"/>
          <w:szCs w:val="20"/>
          <w:lang w:val="pt-BR"/>
        </w:rPr>
        <w:t>16. João Germano da Silva</w:t>
      </w:r>
      <w:r w:rsidR="00702CD8" w:rsidRPr="00D5464D">
        <w:rPr>
          <w:rFonts w:cs="Helvetica"/>
          <w:szCs w:val="20"/>
          <w:lang w:val="pt-BR"/>
        </w:rPr>
        <w:t>,</w:t>
      </w:r>
      <w:r w:rsidR="002246F9" w:rsidRPr="00D5464D">
        <w:rPr>
          <w:rStyle w:val="Refdenotaalpie"/>
          <w:rFonts w:cs="Helvetica"/>
          <w:lang w:val="pt-BR"/>
        </w:rPr>
        <w:footnoteReference w:id="233"/>
      </w:r>
      <w:r w:rsidR="002246F9" w:rsidRPr="00D5464D">
        <w:rPr>
          <w:szCs w:val="20"/>
          <w:lang w:val="pt-BR"/>
        </w:rPr>
        <w:t xml:space="preserve"> </w:t>
      </w:r>
      <w:r w:rsidR="002246F9" w:rsidRPr="00D5464D">
        <w:rPr>
          <w:rFonts w:cs="Helvetica"/>
          <w:szCs w:val="20"/>
          <w:lang w:val="pt-BR"/>
        </w:rPr>
        <w:t>17. João Pereira Marinho</w:t>
      </w:r>
      <w:r w:rsidR="00702CD8" w:rsidRPr="00D5464D">
        <w:rPr>
          <w:rFonts w:cs="Helvetica"/>
          <w:szCs w:val="20"/>
          <w:lang w:val="pt-BR"/>
        </w:rPr>
        <w:t>,</w:t>
      </w:r>
      <w:r w:rsidR="002246F9" w:rsidRPr="00D5464D">
        <w:rPr>
          <w:rStyle w:val="Refdenotaalpie"/>
          <w:rFonts w:cs="Helvetica"/>
          <w:lang w:val="pt-BR"/>
        </w:rPr>
        <w:footnoteReference w:id="234"/>
      </w:r>
      <w:r w:rsidR="002246F9" w:rsidRPr="00D5464D">
        <w:rPr>
          <w:rFonts w:cs="Helvetica"/>
          <w:szCs w:val="20"/>
          <w:lang w:val="pt-BR"/>
        </w:rPr>
        <w:t xml:space="preserve"> 18. Joaquim Francisco Xavier</w:t>
      </w:r>
      <w:r w:rsidR="00702CD8" w:rsidRPr="00D5464D">
        <w:rPr>
          <w:rFonts w:cs="Helvetica"/>
          <w:szCs w:val="20"/>
          <w:lang w:val="pt-BR"/>
        </w:rPr>
        <w:t>,</w:t>
      </w:r>
      <w:r w:rsidR="002246F9" w:rsidRPr="00D5464D">
        <w:rPr>
          <w:rStyle w:val="Refdenotaalpie"/>
          <w:rFonts w:cs="Helvetica"/>
          <w:lang w:val="pt-BR"/>
        </w:rPr>
        <w:footnoteReference w:id="235"/>
      </w:r>
      <w:r w:rsidR="002246F9" w:rsidRPr="00D5464D">
        <w:rPr>
          <w:rFonts w:cs="Helvetica"/>
          <w:szCs w:val="20"/>
          <w:lang w:val="pt-BR"/>
        </w:rPr>
        <w:t xml:space="preserve"> 19. José Astrogildo Damascena</w:t>
      </w:r>
      <w:r w:rsidR="00702CD8" w:rsidRPr="00D5464D">
        <w:rPr>
          <w:rFonts w:cs="Helvetica"/>
          <w:szCs w:val="20"/>
          <w:lang w:val="pt-BR"/>
        </w:rPr>
        <w:t>,</w:t>
      </w:r>
      <w:r w:rsidR="002246F9" w:rsidRPr="00D5464D">
        <w:rPr>
          <w:rStyle w:val="Refdenotaalpie"/>
          <w:rFonts w:cs="Helvetica"/>
          <w:lang w:val="pt-BR"/>
        </w:rPr>
        <w:footnoteReference w:id="236"/>
      </w:r>
      <w:r w:rsidR="002246F9" w:rsidRPr="00D5464D">
        <w:rPr>
          <w:rFonts w:cs="Helvetica"/>
          <w:szCs w:val="20"/>
          <w:lang w:val="pt-BR"/>
        </w:rPr>
        <w:t xml:space="preserve"> 20. José</w:t>
      </w:r>
      <w:r w:rsidR="00A1358C" w:rsidRPr="00D5464D">
        <w:rPr>
          <w:rFonts w:cs="Helvetica"/>
          <w:szCs w:val="20"/>
          <w:lang w:val="pt-BR"/>
        </w:rPr>
        <w:t xml:space="preserve"> Carlos </w:t>
      </w:r>
      <w:r w:rsidR="002246F9" w:rsidRPr="00D5464D">
        <w:rPr>
          <w:rFonts w:cs="Helvetica"/>
          <w:szCs w:val="20"/>
          <w:lang w:val="pt-BR"/>
        </w:rPr>
        <w:t>Alves dos Santos</w:t>
      </w:r>
      <w:r w:rsidR="00702CD8" w:rsidRPr="00D5464D">
        <w:rPr>
          <w:rFonts w:cs="Helvetica"/>
          <w:szCs w:val="20"/>
          <w:lang w:val="pt-BR"/>
        </w:rPr>
        <w:t>,</w:t>
      </w:r>
      <w:r w:rsidR="002246F9" w:rsidRPr="00D5464D">
        <w:rPr>
          <w:rStyle w:val="Refdenotaalpie"/>
          <w:rFonts w:cs="Helvetica"/>
          <w:lang w:val="pt-BR"/>
        </w:rPr>
        <w:footnoteReference w:id="237"/>
      </w:r>
      <w:r w:rsidR="002246F9" w:rsidRPr="00D5464D">
        <w:rPr>
          <w:rFonts w:cs="Helvetica"/>
          <w:szCs w:val="20"/>
          <w:lang w:val="pt-BR"/>
        </w:rPr>
        <w:t xml:space="preserve"> </w:t>
      </w:r>
      <w:r w:rsidR="002246F9" w:rsidRPr="00D5464D">
        <w:rPr>
          <w:rFonts w:cs="Times New Roman"/>
          <w:szCs w:val="20"/>
          <w:lang w:val="pt-BR"/>
        </w:rPr>
        <w:t>21. José Fernando da Silva Filho</w:t>
      </w:r>
      <w:r w:rsidR="00702CD8" w:rsidRPr="00D5464D">
        <w:rPr>
          <w:rFonts w:cs="Times New Roman"/>
          <w:szCs w:val="20"/>
          <w:lang w:val="pt-BR"/>
        </w:rPr>
        <w:t>,</w:t>
      </w:r>
      <w:r w:rsidR="002246F9" w:rsidRPr="00D5464D">
        <w:rPr>
          <w:rStyle w:val="Refdenotaalpie"/>
          <w:lang w:val="pt-BR"/>
        </w:rPr>
        <w:footnoteReference w:id="238"/>
      </w:r>
      <w:r w:rsidR="002246F9" w:rsidRPr="00D5464D">
        <w:rPr>
          <w:rFonts w:cs="Times New Roman"/>
          <w:szCs w:val="20"/>
          <w:lang w:val="pt-BR"/>
        </w:rPr>
        <w:t xml:space="preserve"> </w:t>
      </w:r>
      <w:r w:rsidR="002246F9" w:rsidRPr="00D5464D">
        <w:rPr>
          <w:rFonts w:cs="Helvetica"/>
          <w:szCs w:val="20"/>
          <w:lang w:val="pt-BR"/>
        </w:rPr>
        <w:t>22. José Francisco de Lima</w:t>
      </w:r>
      <w:r w:rsidR="00702CD8" w:rsidRPr="00D5464D">
        <w:rPr>
          <w:rFonts w:cs="Helvetica"/>
          <w:szCs w:val="20"/>
          <w:lang w:val="pt-BR"/>
        </w:rPr>
        <w:t>,</w:t>
      </w:r>
      <w:r w:rsidR="002246F9" w:rsidRPr="00D5464D">
        <w:rPr>
          <w:rStyle w:val="Refdenotaalpie"/>
          <w:rFonts w:cs="Helvetica"/>
          <w:lang w:val="pt-BR"/>
        </w:rPr>
        <w:footnoteReference w:id="239"/>
      </w:r>
      <w:r w:rsidR="002246F9" w:rsidRPr="00D5464D">
        <w:rPr>
          <w:rFonts w:cs="Helvetica"/>
          <w:szCs w:val="20"/>
          <w:lang w:val="pt-BR"/>
        </w:rPr>
        <w:t xml:space="preserve"> 23. José Pereira da Silva</w:t>
      </w:r>
      <w:r w:rsidR="00702CD8" w:rsidRPr="00D5464D">
        <w:rPr>
          <w:rFonts w:cs="Helvetica"/>
          <w:szCs w:val="20"/>
          <w:lang w:val="pt-BR"/>
        </w:rPr>
        <w:t>,</w:t>
      </w:r>
      <w:r w:rsidR="002246F9" w:rsidRPr="00D5464D">
        <w:rPr>
          <w:rStyle w:val="Refdenotaalpie"/>
          <w:rFonts w:cs="Helvetica"/>
          <w:lang w:val="pt-BR"/>
        </w:rPr>
        <w:footnoteReference w:id="240"/>
      </w:r>
      <w:r w:rsidR="002246F9" w:rsidRPr="00D5464D">
        <w:rPr>
          <w:rFonts w:cs="Helvetica"/>
          <w:szCs w:val="20"/>
          <w:lang w:val="pt-BR"/>
        </w:rPr>
        <w:t xml:space="preserve"> 24. José Pereira Marinho</w:t>
      </w:r>
      <w:r w:rsidR="00702CD8" w:rsidRPr="00D5464D">
        <w:rPr>
          <w:rFonts w:cs="Helvetica"/>
          <w:szCs w:val="20"/>
          <w:lang w:val="pt-BR"/>
        </w:rPr>
        <w:t>,</w:t>
      </w:r>
      <w:r w:rsidR="002246F9" w:rsidRPr="00D5464D">
        <w:rPr>
          <w:rStyle w:val="Refdenotaalpie"/>
          <w:rFonts w:cs="Helvetica"/>
          <w:lang w:val="pt-BR"/>
        </w:rPr>
        <w:footnoteReference w:id="241"/>
      </w:r>
      <w:r w:rsidR="002246F9" w:rsidRPr="00D5464D">
        <w:rPr>
          <w:rFonts w:cs="Helvetica"/>
          <w:szCs w:val="20"/>
          <w:lang w:val="pt-BR"/>
        </w:rPr>
        <w:t xml:space="preserve"> 25. José Raimundo dos Santos</w:t>
      </w:r>
      <w:r w:rsidR="00702CD8" w:rsidRPr="00D5464D">
        <w:rPr>
          <w:rFonts w:cs="Helvetica"/>
          <w:szCs w:val="20"/>
          <w:lang w:val="pt-BR"/>
        </w:rPr>
        <w:t>,</w:t>
      </w:r>
      <w:r w:rsidR="002246F9" w:rsidRPr="00D5464D">
        <w:rPr>
          <w:rStyle w:val="Refdenotaalpie"/>
          <w:rFonts w:cs="Helvetica"/>
          <w:lang w:val="pt-BR"/>
        </w:rPr>
        <w:footnoteReference w:id="242"/>
      </w:r>
      <w:r w:rsidR="002246F9" w:rsidRPr="00D5464D">
        <w:rPr>
          <w:rFonts w:cs="Helvetica"/>
          <w:szCs w:val="20"/>
          <w:lang w:val="pt-BR"/>
        </w:rPr>
        <w:t xml:space="preserve"> 26. José Vital Nascimento</w:t>
      </w:r>
      <w:r w:rsidR="00702CD8" w:rsidRPr="00D5464D">
        <w:rPr>
          <w:rFonts w:cs="Helvetica"/>
          <w:szCs w:val="20"/>
          <w:lang w:val="pt-BR"/>
        </w:rPr>
        <w:t>,</w:t>
      </w:r>
      <w:r w:rsidR="002246F9" w:rsidRPr="00D5464D">
        <w:rPr>
          <w:rStyle w:val="Refdenotaalpie"/>
          <w:rFonts w:cs="Helvetica"/>
          <w:lang w:val="pt-BR"/>
        </w:rPr>
        <w:footnoteReference w:id="243"/>
      </w:r>
      <w:r w:rsidR="002246F9" w:rsidRPr="00D5464D">
        <w:rPr>
          <w:rFonts w:cs="Helvetica"/>
          <w:szCs w:val="20"/>
          <w:lang w:val="pt-BR"/>
        </w:rPr>
        <w:t xml:space="preserve"> 27. Luiz Leal dos Santos</w:t>
      </w:r>
      <w:r w:rsidR="00702CD8" w:rsidRPr="00D5464D">
        <w:rPr>
          <w:rFonts w:cs="Helvetica"/>
          <w:szCs w:val="20"/>
          <w:lang w:val="pt-BR"/>
        </w:rPr>
        <w:t>,</w:t>
      </w:r>
      <w:r w:rsidR="002246F9" w:rsidRPr="00D5464D">
        <w:rPr>
          <w:rStyle w:val="Refdenotaalpie"/>
          <w:rFonts w:cs="Helvetica"/>
          <w:lang w:val="pt-BR"/>
        </w:rPr>
        <w:footnoteReference w:id="244"/>
      </w:r>
      <w:r w:rsidR="002246F9" w:rsidRPr="00D5464D">
        <w:rPr>
          <w:rFonts w:cs="Helvetica"/>
          <w:szCs w:val="20"/>
          <w:lang w:val="pt-BR"/>
        </w:rPr>
        <w:t xml:space="preserve"> 28. Manoel Alves de Oliveira</w:t>
      </w:r>
      <w:r w:rsidR="00702CD8" w:rsidRPr="00D5464D">
        <w:rPr>
          <w:rFonts w:cs="Helvetica"/>
          <w:szCs w:val="20"/>
          <w:lang w:val="pt-BR"/>
        </w:rPr>
        <w:t>,</w:t>
      </w:r>
      <w:r w:rsidR="002246F9" w:rsidRPr="00D5464D">
        <w:rPr>
          <w:rStyle w:val="Refdenotaalpie"/>
          <w:rFonts w:cs="Helvetica"/>
          <w:lang w:val="pt-BR"/>
        </w:rPr>
        <w:footnoteReference w:id="245"/>
      </w:r>
      <w:r w:rsidR="002246F9" w:rsidRPr="00D5464D">
        <w:rPr>
          <w:rFonts w:cs="Helvetica"/>
          <w:szCs w:val="20"/>
          <w:lang w:val="pt-BR"/>
        </w:rPr>
        <w:t xml:space="preserve"> 29. Manoel Fernandes dos Santos</w:t>
      </w:r>
      <w:r w:rsidR="00702CD8" w:rsidRPr="00D5464D">
        <w:rPr>
          <w:rFonts w:cs="Helvetica"/>
          <w:szCs w:val="20"/>
          <w:lang w:val="pt-BR"/>
        </w:rPr>
        <w:t>,</w:t>
      </w:r>
      <w:r w:rsidR="002246F9" w:rsidRPr="00D5464D">
        <w:rPr>
          <w:rStyle w:val="Refdenotaalpie"/>
          <w:rFonts w:cs="Helvetica"/>
          <w:lang w:val="pt-BR"/>
        </w:rPr>
        <w:footnoteReference w:id="246"/>
      </w:r>
      <w:r w:rsidR="002246F9" w:rsidRPr="00D5464D">
        <w:rPr>
          <w:rFonts w:cs="Helvetica"/>
          <w:szCs w:val="20"/>
          <w:lang w:val="pt-BR"/>
        </w:rPr>
        <w:t xml:space="preserve"> 30. Marcionilo Pinto de Morais</w:t>
      </w:r>
      <w:r w:rsidR="00702CD8" w:rsidRPr="00D5464D">
        <w:rPr>
          <w:rFonts w:cs="Helvetica"/>
          <w:szCs w:val="20"/>
          <w:lang w:val="pt-BR"/>
        </w:rPr>
        <w:t>,</w:t>
      </w:r>
      <w:r w:rsidR="002246F9" w:rsidRPr="00D5464D">
        <w:rPr>
          <w:rStyle w:val="Refdenotaalpie"/>
          <w:rFonts w:cs="Helvetica"/>
          <w:lang w:val="pt-BR"/>
        </w:rPr>
        <w:footnoteReference w:id="247"/>
      </w:r>
      <w:r w:rsidR="002246F9" w:rsidRPr="00D5464D">
        <w:rPr>
          <w:rFonts w:cs="Helvetica"/>
          <w:szCs w:val="20"/>
          <w:lang w:val="pt-BR"/>
        </w:rPr>
        <w:t xml:space="preserve"> 31. Pedro Pereira de Andrade</w:t>
      </w:r>
      <w:r w:rsidR="00702CD8" w:rsidRPr="00D5464D">
        <w:rPr>
          <w:rFonts w:cs="Helvetica"/>
          <w:szCs w:val="20"/>
          <w:lang w:val="pt-BR"/>
        </w:rPr>
        <w:t>,</w:t>
      </w:r>
      <w:r w:rsidR="002246F9" w:rsidRPr="00D5464D">
        <w:rPr>
          <w:rStyle w:val="Refdenotaalpie"/>
          <w:rFonts w:cs="Helvetica"/>
          <w:lang w:val="pt-BR"/>
        </w:rPr>
        <w:footnoteReference w:id="248"/>
      </w:r>
      <w:r w:rsidR="002246F9" w:rsidRPr="00D5464D">
        <w:rPr>
          <w:rFonts w:cs="Helvetica"/>
          <w:szCs w:val="20"/>
          <w:lang w:val="pt-BR"/>
        </w:rPr>
        <w:t xml:space="preserve"> 32. Raimundo Costa Neves</w:t>
      </w:r>
      <w:r w:rsidR="00702CD8" w:rsidRPr="00D5464D">
        <w:rPr>
          <w:rFonts w:cs="Helvetica"/>
          <w:szCs w:val="20"/>
          <w:lang w:val="pt-BR"/>
        </w:rPr>
        <w:t>,</w:t>
      </w:r>
      <w:r w:rsidR="002246F9" w:rsidRPr="00D5464D">
        <w:rPr>
          <w:rStyle w:val="Refdenotaalpie"/>
          <w:rFonts w:cs="Helvetica"/>
          <w:lang w:val="pt-BR"/>
        </w:rPr>
        <w:footnoteReference w:id="249"/>
      </w:r>
      <w:r w:rsidR="002246F9" w:rsidRPr="00D5464D">
        <w:rPr>
          <w:rFonts w:cs="Helvetica"/>
          <w:szCs w:val="20"/>
          <w:lang w:val="pt-BR"/>
        </w:rPr>
        <w:t xml:space="preserve"> 33. Raimundo Nonato Amaro Ferreira</w:t>
      </w:r>
      <w:r w:rsidR="00702CD8" w:rsidRPr="00D5464D">
        <w:rPr>
          <w:rFonts w:cs="Helvetica"/>
          <w:szCs w:val="20"/>
          <w:lang w:val="pt-BR"/>
        </w:rPr>
        <w:t>,</w:t>
      </w:r>
      <w:r w:rsidR="002246F9" w:rsidRPr="00D5464D">
        <w:rPr>
          <w:rStyle w:val="Refdenotaalpie"/>
          <w:rFonts w:cs="Helvetica"/>
          <w:lang w:val="pt-BR"/>
        </w:rPr>
        <w:footnoteReference w:id="250"/>
      </w:r>
      <w:r w:rsidR="002246F9" w:rsidRPr="00D5464D">
        <w:rPr>
          <w:rFonts w:cs="Helvetica"/>
          <w:szCs w:val="20"/>
          <w:lang w:val="pt-BR"/>
        </w:rPr>
        <w:t xml:space="preserve"> 34. Raimundo Gonçalves Lima</w:t>
      </w:r>
      <w:r w:rsidR="00702CD8" w:rsidRPr="00D5464D">
        <w:rPr>
          <w:rFonts w:cs="Helvetica"/>
          <w:szCs w:val="20"/>
          <w:lang w:val="pt-BR"/>
        </w:rPr>
        <w:t>,</w:t>
      </w:r>
      <w:r w:rsidR="002246F9" w:rsidRPr="00D5464D">
        <w:rPr>
          <w:rStyle w:val="Refdenotaalpie"/>
          <w:rFonts w:cs="Helvetica"/>
          <w:lang w:val="pt-BR"/>
        </w:rPr>
        <w:footnoteReference w:id="251"/>
      </w:r>
      <w:r w:rsidR="002246F9" w:rsidRPr="00D5464D">
        <w:rPr>
          <w:rFonts w:cs="Helvetica"/>
          <w:szCs w:val="20"/>
          <w:lang w:val="pt-BR"/>
        </w:rPr>
        <w:t xml:space="preserve"> 35. Raimundo Nonato da Silva</w:t>
      </w:r>
      <w:r w:rsidR="00702CD8" w:rsidRPr="00D5464D">
        <w:rPr>
          <w:rFonts w:cs="Helvetica"/>
          <w:szCs w:val="20"/>
          <w:lang w:val="pt-BR"/>
        </w:rPr>
        <w:t>,</w:t>
      </w:r>
      <w:r w:rsidR="002246F9" w:rsidRPr="00D5464D">
        <w:rPr>
          <w:rStyle w:val="Refdenotaalpie"/>
          <w:rFonts w:cs="Helvetica"/>
          <w:lang w:val="pt-BR"/>
        </w:rPr>
        <w:footnoteReference w:id="252"/>
      </w:r>
      <w:r w:rsidR="002246F9" w:rsidRPr="00D5464D">
        <w:rPr>
          <w:rFonts w:cs="Helvetica"/>
          <w:szCs w:val="20"/>
          <w:lang w:val="pt-BR"/>
        </w:rPr>
        <w:t xml:space="preserve"> 36. Roberto Aires</w:t>
      </w:r>
      <w:r w:rsidR="00702CD8" w:rsidRPr="00D5464D">
        <w:rPr>
          <w:rFonts w:cs="Helvetica"/>
          <w:szCs w:val="20"/>
          <w:lang w:val="pt-BR"/>
        </w:rPr>
        <w:t>,</w:t>
      </w:r>
      <w:r w:rsidR="002246F9" w:rsidRPr="00D5464D">
        <w:rPr>
          <w:rStyle w:val="Refdenotaalpie"/>
          <w:rFonts w:cs="Helvetica"/>
          <w:lang w:val="pt-BR"/>
        </w:rPr>
        <w:footnoteReference w:id="253"/>
      </w:r>
      <w:r w:rsidR="002246F9" w:rsidRPr="00D5464D">
        <w:rPr>
          <w:rFonts w:cs="Helvetica"/>
          <w:szCs w:val="20"/>
          <w:lang w:val="pt-BR"/>
        </w:rPr>
        <w:t xml:space="preserve"> 37. Ronaldo Alves Ribeiro</w:t>
      </w:r>
      <w:r w:rsidR="00702CD8" w:rsidRPr="00D5464D">
        <w:rPr>
          <w:rFonts w:cs="Helvetica"/>
          <w:szCs w:val="20"/>
          <w:lang w:val="pt-BR"/>
        </w:rPr>
        <w:t>,</w:t>
      </w:r>
      <w:r w:rsidR="002246F9" w:rsidRPr="00D5464D">
        <w:rPr>
          <w:rStyle w:val="Refdenotaalpie"/>
          <w:rFonts w:cs="Helvetica"/>
          <w:lang w:val="pt-BR"/>
        </w:rPr>
        <w:footnoteReference w:id="254"/>
      </w:r>
      <w:r w:rsidR="002246F9" w:rsidRPr="00D5464D">
        <w:rPr>
          <w:rFonts w:cs="Helvetica"/>
          <w:szCs w:val="20"/>
          <w:lang w:val="pt-BR"/>
        </w:rPr>
        <w:t xml:space="preserve"> 38. Sebastião Carro Pereira dos Santos</w:t>
      </w:r>
      <w:r w:rsidR="002C127C" w:rsidRPr="00D5464D">
        <w:rPr>
          <w:rFonts w:cs="Helvetica"/>
          <w:szCs w:val="20"/>
          <w:lang w:val="pt-BR"/>
        </w:rPr>
        <w:t>,</w:t>
      </w:r>
      <w:r w:rsidR="002246F9" w:rsidRPr="00D5464D">
        <w:rPr>
          <w:rStyle w:val="Refdenotaalpie"/>
          <w:rFonts w:cs="Helvetica"/>
          <w:lang w:val="pt-BR"/>
        </w:rPr>
        <w:footnoteReference w:id="255"/>
      </w:r>
      <w:r w:rsidR="002246F9" w:rsidRPr="00D5464D">
        <w:rPr>
          <w:rFonts w:cs="Helvetica"/>
          <w:szCs w:val="20"/>
          <w:lang w:val="pt-BR"/>
        </w:rPr>
        <w:t xml:space="preserve"> 39. Sebastião Rodrigues da Silva</w:t>
      </w:r>
      <w:r w:rsidR="002C127C" w:rsidRPr="00D5464D">
        <w:rPr>
          <w:rFonts w:cs="Helvetica"/>
          <w:szCs w:val="20"/>
          <w:lang w:val="pt-BR"/>
        </w:rPr>
        <w:t>,</w:t>
      </w:r>
      <w:r w:rsidR="002246F9" w:rsidRPr="00D5464D">
        <w:rPr>
          <w:rStyle w:val="Refdenotaalpie"/>
          <w:rFonts w:cs="Helvetica"/>
          <w:lang w:val="pt-BR"/>
        </w:rPr>
        <w:footnoteReference w:id="256"/>
      </w:r>
      <w:r w:rsidR="002246F9" w:rsidRPr="00D5464D">
        <w:rPr>
          <w:rFonts w:cs="Helvetica"/>
          <w:szCs w:val="20"/>
          <w:lang w:val="pt-BR"/>
        </w:rPr>
        <w:t xml:space="preserve"> 40. Sinoca da Silva</w:t>
      </w:r>
      <w:r w:rsidR="002C127C" w:rsidRPr="00D5464D">
        <w:rPr>
          <w:rFonts w:cs="Helvetica"/>
          <w:szCs w:val="20"/>
          <w:lang w:val="pt-BR"/>
        </w:rPr>
        <w:t>,</w:t>
      </w:r>
      <w:r w:rsidR="002246F9" w:rsidRPr="00D5464D">
        <w:rPr>
          <w:rStyle w:val="Refdenotaalpie"/>
          <w:rFonts w:cs="Helvetica"/>
          <w:lang w:val="pt-BR"/>
        </w:rPr>
        <w:footnoteReference w:id="257"/>
      </w:r>
      <w:r w:rsidR="002246F9" w:rsidRPr="00D5464D">
        <w:rPr>
          <w:rFonts w:cs="Helvetica"/>
          <w:szCs w:val="20"/>
          <w:lang w:val="pt-BR"/>
        </w:rPr>
        <w:t xml:space="preserve"> 41. Valdemar de Souza</w:t>
      </w:r>
      <w:r w:rsidR="002C127C" w:rsidRPr="00D5464D">
        <w:rPr>
          <w:rFonts w:cs="Helvetica"/>
          <w:szCs w:val="20"/>
          <w:lang w:val="pt-BR"/>
        </w:rPr>
        <w:t>,</w:t>
      </w:r>
      <w:r w:rsidR="002246F9" w:rsidRPr="00D5464D">
        <w:rPr>
          <w:rStyle w:val="Refdenotaalpie"/>
          <w:rFonts w:cs="Helvetica"/>
          <w:lang w:val="pt-BR"/>
        </w:rPr>
        <w:footnoteReference w:id="258"/>
      </w:r>
      <w:r w:rsidR="002246F9" w:rsidRPr="00D5464D">
        <w:rPr>
          <w:rFonts w:cs="Helvetica"/>
          <w:szCs w:val="20"/>
          <w:lang w:val="pt-BR"/>
        </w:rPr>
        <w:t xml:space="preserve"> 42. Valdinar Veloso Silva</w:t>
      </w:r>
      <w:r w:rsidR="002246F9" w:rsidRPr="00D5464D">
        <w:rPr>
          <w:rStyle w:val="Refdenotaalpie"/>
          <w:rFonts w:cs="Helvetica"/>
          <w:lang w:val="pt-BR"/>
        </w:rPr>
        <w:footnoteReference w:id="259"/>
      </w:r>
      <w:r w:rsidR="00470ADC" w:rsidRPr="00D5464D">
        <w:rPr>
          <w:rFonts w:cs="Helvetica"/>
          <w:szCs w:val="20"/>
          <w:lang w:val="pt-BR"/>
        </w:rPr>
        <w:t xml:space="preserve"> e</w:t>
      </w:r>
      <w:r w:rsidR="002246F9" w:rsidRPr="00D5464D">
        <w:rPr>
          <w:rFonts w:cs="Helvetica"/>
          <w:szCs w:val="20"/>
          <w:lang w:val="pt-BR"/>
        </w:rPr>
        <w:t xml:space="preserve"> 43. Zeno Gomes Feitosa</w:t>
      </w:r>
      <w:r w:rsidR="002C127C" w:rsidRPr="00D5464D">
        <w:rPr>
          <w:rFonts w:cs="Helvetica"/>
          <w:szCs w:val="20"/>
          <w:lang w:val="pt-BR"/>
        </w:rPr>
        <w:t>.</w:t>
      </w:r>
      <w:r w:rsidR="002246F9" w:rsidRPr="00D5464D">
        <w:rPr>
          <w:rStyle w:val="Refdenotaalpie"/>
          <w:rFonts w:cs="Helvetica"/>
          <w:lang w:val="pt-BR"/>
        </w:rPr>
        <w:footnoteReference w:id="260"/>
      </w:r>
      <w:bookmarkEnd w:id="369"/>
    </w:p>
    <w:p w14:paraId="47DB6592" w14:textId="77777777" w:rsidR="002246F9" w:rsidRPr="00D5464D" w:rsidRDefault="002246F9" w:rsidP="002246F9">
      <w:pPr>
        <w:tabs>
          <w:tab w:val="clear" w:pos="4419"/>
          <w:tab w:val="clear" w:pos="8838"/>
        </w:tabs>
        <w:autoSpaceDE w:val="0"/>
        <w:autoSpaceDN w:val="0"/>
        <w:adjustRightInd w:val="0"/>
        <w:rPr>
          <w:szCs w:val="20"/>
          <w:lang w:val="pt-BR"/>
        </w:rPr>
      </w:pPr>
    </w:p>
    <w:p w14:paraId="46D45D6B" w14:textId="26CCD963" w:rsidR="002246F9" w:rsidRPr="00D5464D" w:rsidRDefault="002246F9" w:rsidP="00F306D7">
      <w:pPr>
        <w:pStyle w:val="Ttulo2"/>
        <w:numPr>
          <w:ilvl w:val="0"/>
          <w:numId w:val="18"/>
        </w:numPr>
        <w:rPr>
          <w:lang w:val="pt-BR"/>
        </w:rPr>
      </w:pPr>
      <w:bookmarkStart w:id="370" w:name="_Toc468433911"/>
      <w:r w:rsidRPr="00D5464D">
        <w:rPr>
          <w:lang w:val="pt-BR"/>
        </w:rPr>
        <w:t>Fiscaliza</w:t>
      </w:r>
      <w:r w:rsidR="00470ADC" w:rsidRPr="00D5464D">
        <w:rPr>
          <w:lang w:val="pt-BR"/>
        </w:rPr>
        <w:t>ção</w:t>
      </w:r>
      <w:r w:rsidRPr="00D5464D">
        <w:rPr>
          <w:lang w:val="pt-BR"/>
        </w:rPr>
        <w:t xml:space="preserve"> de </w:t>
      </w:r>
      <w:r w:rsidR="002C330E" w:rsidRPr="00D5464D">
        <w:rPr>
          <w:lang w:val="pt-BR"/>
        </w:rPr>
        <w:t>março</w:t>
      </w:r>
      <w:r w:rsidRPr="00D5464D">
        <w:rPr>
          <w:lang w:val="pt-BR"/>
        </w:rPr>
        <w:t xml:space="preserve"> de 2000</w:t>
      </w:r>
      <w:bookmarkEnd w:id="370"/>
    </w:p>
    <w:p w14:paraId="5C10A15E" w14:textId="77777777" w:rsidR="002246F9" w:rsidRPr="00D5464D" w:rsidRDefault="002246F9" w:rsidP="002246F9">
      <w:pPr>
        <w:tabs>
          <w:tab w:val="clear" w:pos="4419"/>
          <w:tab w:val="clear" w:pos="8838"/>
        </w:tabs>
        <w:autoSpaceDE w:val="0"/>
        <w:autoSpaceDN w:val="0"/>
        <w:adjustRightInd w:val="0"/>
        <w:ind w:firstLine="708"/>
        <w:rPr>
          <w:b/>
          <w:szCs w:val="20"/>
          <w:lang w:val="pt-BR"/>
        </w:rPr>
      </w:pPr>
    </w:p>
    <w:p w14:paraId="050B88A4" w14:textId="769189B5" w:rsidR="002246F9" w:rsidRPr="00D5464D" w:rsidRDefault="002246F9" w:rsidP="005F0182">
      <w:pPr>
        <w:pStyle w:val="Ttulo3"/>
        <w:rPr>
          <w:lang w:val="pt-BR"/>
        </w:rPr>
      </w:pPr>
      <w:bookmarkStart w:id="371" w:name="_Toc460433026"/>
      <w:bookmarkStart w:id="372" w:name="_Toc460441957"/>
      <w:bookmarkStart w:id="373" w:name="_Toc462750775"/>
      <w:bookmarkStart w:id="374" w:name="_Toc462751099"/>
      <w:bookmarkStart w:id="375" w:name="_Toc464813951"/>
      <w:bookmarkStart w:id="376" w:name="_Toc468433912"/>
      <w:r w:rsidRPr="00D5464D">
        <w:rPr>
          <w:lang w:val="pt-BR"/>
        </w:rPr>
        <w:t>B.1</w:t>
      </w:r>
      <w:r w:rsidR="00CB7E29" w:rsidRPr="00D5464D">
        <w:rPr>
          <w:lang w:val="pt-BR"/>
        </w:rPr>
        <w:t>.</w:t>
      </w:r>
      <w:r w:rsidRPr="00D5464D">
        <w:rPr>
          <w:lang w:val="pt-BR"/>
        </w:rPr>
        <w:t xml:space="preserve"> Argumentos</w:t>
      </w:r>
      <w:r w:rsidR="00470ADC" w:rsidRPr="00D5464D">
        <w:rPr>
          <w:lang w:val="pt-BR"/>
        </w:rPr>
        <w:t xml:space="preserve"> das </w:t>
      </w:r>
      <w:r w:rsidRPr="00D5464D">
        <w:rPr>
          <w:lang w:val="pt-BR"/>
        </w:rPr>
        <w:t>partes</w:t>
      </w:r>
      <w:r w:rsidR="00E045D9" w:rsidRPr="00D5464D">
        <w:rPr>
          <w:lang w:val="pt-BR"/>
        </w:rPr>
        <w:t xml:space="preserve"> e </w:t>
      </w:r>
      <w:r w:rsidR="00470ADC" w:rsidRPr="00D5464D">
        <w:rPr>
          <w:lang w:val="pt-BR"/>
        </w:rPr>
        <w:t>da Comissão</w:t>
      </w:r>
      <w:bookmarkEnd w:id="371"/>
      <w:bookmarkEnd w:id="372"/>
      <w:bookmarkEnd w:id="373"/>
      <w:bookmarkEnd w:id="374"/>
      <w:bookmarkEnd w:id="375"/>
      <w:bookmarkEnd w:id="376"/>
    </w:p>
    <w:p w14:paraId="764EE13C" w14:textId="77777777" w:rsidR="00DE3E58" w:rsidRPr="00D5464D" w:rsidRDefault="00DE3E58" w:rsidP="00DE3E58">
      <w:pPr>
        <w:pStyle w:val="Prrafodelista"/>
        <w:autoSpaceDE w:val="0"/>
        <w:autoSpaceDN w:val="0"/>
        <w:adjustRightInd w:val="0"/>
        <w:ind w:left="0"/>
        <w:rPr>
          <w:szCs w:val="20"/>
          <w:lang w:val="pt-BR"/>
        </w:rPr>
      </w:pPr>
    </w:p>
    <w:p w14:paraId="70858A2C" w14:textId="0975AFC3" w:rsidR="002246F9" w:rsidRPr="00D5464D" w:rsidRDefault="00470ADC" w:rsidP="002246F9">
      <w:pPr>
        <w:pStyle w:val="Prrafodelista"/>
        <w:numPr>
          <w:ilvl w:val="0"/>
          <w:numId w:val="1"/>
        </w:numPr>
        <w:autoSpaceDE w:val="0"/>
        <w:autoSpaceDN w:val="0"/>
        <w:adjustRightInd w:val="0"/>
        <w:rPr>
          <w:szCs w:val="20"/>
          <w:lang w:val="pt-BR"/>
        </w:rPr>
      </w:pPr>
      <w:r w:rsidRPr="00D5464D">
        <w:rPr>
          <w:szCs w:val="20"/>
          <w:lang w:val="pt-BR"/>
        </w:rPr>
        <w:t xml:space="preserve">A </w:t>
      </w:r>
      <w:r w:rsidRPr="00D5464D">
        <w:rPr>
          <w:b/>
          <w:i/>
          <w:szCs w:val="20"/>
          <w:lang w:val="pt-BR"/>
        </w:rPr>
        <w:t>Comissão</w:t>
      </w:r>
      <w:r w:rsidR="002246F9" w:rsidRPr="00D5464D">
        <w:rPr>
          <w:szCs w:val="20"/>
          <w:lang w:val="pt-BR"/>
        </w:rPr>
        <w:t xml:space="preserve"> </w:t>
      </w:r>
      <w:r w:rsidR="002C330E" w:rsidRPr="00D5464D">
        <w:rPr>
          <w:szCs w:val="20"/>
          <w:lang w:val="pt-BR"/>
        </w:rPr>
        <w:t>afirmou</w:t>
      </w:r>
      <w:r w:rsidRPr="00D5464D">
        <w:rPr>
          <w:szCs w:val="20"/>
          <w:lang w:val="pt-BR"/>
        </w:rPr>
        <w:t xml:space="preserve"> em</w:t>
      </w:r>
      <w:r w:rsidR="00E045D9" w:rsidRPr="00D5464D">
        <w:rPr>
          <w:szCs w:val="20"/>
          <w:lang w:val="pt-BR"/>
        </w:rPr>
        <w:t xml:space="preserve"> seu </w:t>
      </w:r>
      <w:r w:rsidR="002C127C" w:rsidRPr="00D5464D">
        <w:rPr>
          <w:szCs w:val="20"/>
          <w:lang w:val="pt-BR"/>
        </w:rPr>
        <w:t>R</w:t>
      </w:r>
      <w:r w:rsidR="00350187" w:rsidRPr="00D5464D">
        <w:rPr>
          <w:szCs w:val="20"/>
          <w:lang w:val="pt-BR"/>
        </w:rPr>
        <w:t>elatório</w:t>
      </w:r>
      <w:r w:rsidR="002C330E" w:rsidRPr="00D5464D">
        <w:rPr>
          <w:szCs w:val="20"/>
          <w:lang w:val="pt-BR"/>
        </w:rPr>
        <w:t xml:space="preserve"> de Mérito</w:t>
      </w:r>
      <w:r w:rsidR="002246F9" w:rsidRPr="00D5464D">
        <w:rPr>
          <w:szCs w:val="20"/>
          <w:lang w:val="pt-BR"/>
        </w:rPr>
        <w:t xml:space="preserve"> que</w:t>
      </w:r>
      <w:r w:rsidR="002C127C" w:rsidRPr="00D5464D">
        <w:rPr>
          <w:szCs w:val="20"/>
          <w:lang w:val="pt-BR"/>
        </w:rPr>
        <w:t>,</w:t>
      </w:r>
      <w:r w:rsidRPr="00D5464D">
        <w:rPr>
          <w:szCs w:val="20"/>
          <w:lang w:val="pt-BR"/>
        </w:rPr>
        <w:t xml:space="preserve"> ao </w:t>
      </w:r>
      <w:r w:rsidR="002246F9" w:rsidRPr="00D5464D">
        <w:rPr>
          <w:szCs w:val="20"/>
          <w:lang w:val="pt-BR"/>
        </w:rPr>
        <w:t>momento</w:t>
      </w:r>
      <w:r w:rsidRPr="00D5464D">
        <w:rPr>
          <w:szCs w:val="20"/>
          <w:lang w:val="pt-BR"/>
        </w:rPr>
        <w:t xml:space="preserve"> da </w:t>
      </w:r>
      <w:r w:rsidR="002246F9" w:rsidRPr="00D5464D">
        <w:rPr>
          <w:szCs w:val="20"/>
          <w:lang w:val="pt-BR"/>
        </w:rPr>
        <w:t>fiscaliza</w:t>
      </w:r>
      <w:r w:rsidRPr="00D5464D">
        <w:rPr>
          <w:szCs w:val="20"/>
          <w:lang w:val="pt-BR"/>
        </w:rPr>
        <w:t>ção</w:t>
      </w:r>
      <w:r w:rsidR="002246F9" w:rsidRPr="00D5464D">
        <w:rPr>
          <w:szCs w:val="20"/>
          <w:lang w:val="pt-BR"/>
        </w:rPr>
        <w:t xml:space="preserve"> de </w:t>
      </w:r>
      <w:r w:rsidR="002C330E" w:rsidRPr="00D5464D">
        <w:rPr>
          <w:szCs w:val="20"/>
          <w:lang w:val="pt-BR"/>
        </w:rPr>
        <w:t>março</w:t>
      </w:r>
      <w:r w:rsidR="002246F9" w:rsidRPr="00D5464D">
        <w:rPr>
          <w:szCs w:val="20"/>
          <w:lang w:val="pt-BR"/>
        </w:rPr>
        <w:t xml:space="preserve"> de 2000</w:t>
      </w:r>
      <w:r w:rsidR="002C127C" w:rsidRPr="00D5464D">
        <w:rPr>
          <w:szCs w:val="20"/>
          <w:lang w:val="pt-BR"/>
        </w:rPr>
        <w:t>, 82 trabalhadores</w:t>
      </w:r>
      <w:r w:rsidR="002246F9" w:rsidRPr="00D5464D">
        <w:rPr>
          <w:szCs w:val="20"/>
          <w:lang w:val="pt-BR"/>
        </w:rPr>
        <w:t xml:space="preserve"> se </w:t>
      </w:r>
      <w:r w:rsidRPr="00D5464D">
        <w:rPr>
          <w:szCs w:val="20"/>
          <w:lang w:val="pt-BR"/>
        </w:rPr>
        <w:t>encontravam</w:t>
      </w:r>
      <w:r w:rsidR="00E045D9" w:rsidRPr="00D5464D">
        <w:rPr>
          <w:szCs w:val="20"/>
          <w:lang w:val="pt-BR"/>
        </w:rPr>
        <w:t xml:space="preserve"> na </w:t>
      </w:r>
      <w:r w:rsidR="00D809F0" w:rsidRPr="00D5464D">
        <w:rPr>
          <w:szCs w:val="20"/>
          <w:lang w:val="pt-BR"/>
        </w:rPr>
        <w:t>Fazenda</w:t>
      </w:r>
      <w:r w:rsidR="002246F9" w:rsidRPr="00D5464D">
        <w:rPr>
          <w:szCs w:val="20"/>
          <w:lang w:val="pt-BR"/>
        </w:rPr>
        <w:t xml:space="preserve"> Brasil Verde. De </w:t>
      </w:r>
      <w:r w:rsidRPr="00D5464D">
        <w:rPr>
          <w:szCs w:val="20"/>
          <w:lang w:val="pt-BR"/>
        </w:rPr>
        <w:t>acordo com</w:t>
      </w:r>
      <w:r w:rsidR="002C330E" w:rsidRPr="00D5464D">
        <w:rPr>
          <w:szCs w:val="20"/>
          <w:lang w:val="pt-BR"/>
        </w:rPr>
        <w:t xml:space="preserve"> a </w:t>
      </w:r>
      <w:r w:rsidRPr="00D5464D">
        <w:rPr>
          <w:szCs w:val="20"/>
          <w:lang w:val="pt-BR"/>
        </w:rPr>
        <w:t>Comissão</w:t>
      </w:r>
      <w:r w:rsidR="002246F9" w:rsidRPr="00D5464D">
        <w:rPr>
          <w:szCs w:val="20"/>
          <w:lang w:val="pt-BR"/>
        </w:rPr>
        <w:t xml:space="preserve">, </w:t>
      </w:r>
      <w:r w:rsidRPr="00D5464D">
        <w:rPr>
          <w:szCs w:val="20"/>
          <w:lang w:val="pt-BR"/>
        </w:rPr>
        <w:t>este</w:t>
      </w:r>
      <w:r w:rsidR="002246F9" w:rsidRPr="00D5464D">
        <w:rPr>
          <w:szCs w:val="20"/>
          <w:lang w:val="pt-BR"/>
        </w:rPr>
        <w:t xml:space="preserve">s </w:t>
      </w:r>
      <w:r w:rsidR="002C330E" w:rsidRPr="00D5464D">
        <w:rPr>
          <w:szCs w:val="20"/>
          <w:lang w:val="pt-BR"/>
        </w:rPr>
        <w:t>nome</w:t>
      </w:r>
      <w:r w:rsidR="002246F9" w:rsidRPr="00D5464D">
        <w:rPr>
          <w:szCs w:val="20"/>
          <w:lang w:val="pt-BR"/>
        </w:rPr>
        <w:t xml:space="preserve">s </w:t>
      </w:r>
      <w:r w:rsidR="00C91CB1" w:rsidRPr="00D5464D">
        <w:rPr>
          <w:szCs w:val="20"/>
          <w:lang w:val="pt-BR"/>
        </w:rPr>
        <w:t>surgem</w:t>
      </w:r>
      <w:r w:rsidR="002246F9" w:rsidRPr="00D5464D">
        <w:rPr>
          <w:szCs w:val="20"/>
          <w:lang w:val="pt-BR"/>
        </w:rPr>
        <w:t xml:space="preserve"> </w:t>
      </w:r>
      <w:r w:rsidRPr="00D5464D">
        <w:rPr>
          <w:szCs w:val="20"/>
          <w:lang w:val="pt-BR"/>
        </w:rPr>
        <w:t>do</w:t>
      </w:r>
      <w:r w:rsidR="002C330E" w:rsidRPr="00D5464D">
        <w:rPr>
          <w:szCs w:val="20"/>
          <w:lang w:val="pt-BR"/>
        </w:rPr>
        <w:t xml:space="preserve"> </w:t>
      </w:r>
      <w:r w:rsidR="00350187" w:rsidRPr="00D5464D">
        <w:rPr>
          <w:szCs w:val="20"/>
          <w:lang w:val="pt-BR"/>
        </w:rPr>
        <w:t>relatório</w:t>
      </w:r>
      <w:r w:rsidR="002C330E" w:rsidRPr="00D5464D">
        <w:rPr>
          <w:szCs w:val="20"/>
          <w:lang w:val="pt-BR"/>
        </w:rPr>
        <w:t xml:space="preserve"> </w:t>
      </w:r>
      <w:r w:rsidRPr="00D5464D">
        <w:rPr>
          <w:szCs w:val="20"/>
          <w:lang w:val="pt-BR"/>
        </w:rPr>
        <w:t xml:space="preserve">da </w:t>
      </w:r>
      <w:r w:rsidR="002246F9" w:rsidRPr="00D5464D">
        <w:rPr>
          <w:szCs w:val="20"/>
          <w:lang w:val="pt-BR"/>
        </w:rPr>
        <w:t>fiscaliza</w:t>
      </w:r>
      <w:r w:rsidRPr="00D5464D">
        <w:rPr>
          <w:szCs w:val="20"/>
          <w:lang w:val="pt-BR"/>
        </w:rPr>
        <w:t>ção</w:t>
      </w:r>
      <w:r w:rsidR="002246F9" w:rsidRPr="00D5464D">
        <w:rPr>
          <w:szCs w:val="20"/>
          <w:lang w:val="pt-BR"/>
        </w:rPr>
        <w:t xml:space="preserve"> realizada</w:t>
      </w:r>
      <w:r w:rsidR="002C330E" w:rsidRPr="00D5464D">
        <w:rPr>
          <w:szCs w:val="20"/>
          <w:lang w:val="pt-BR"/>
        </w:rPr>
        <w:t xml:space="preserve"> pelo </w:t>
      </w:r>
      <w:r w:rsidR="00AF0F26" w:rsidRPr="00D5464D">
        <w:rPr>
          <w:szCs w:val="20"/>
          <w:lang w:val="pt-BR"/>
        </w:rPr>
        <w:t>Ministério do Trabalho</w:t>
      </w:r>
      <w:r w:rsidR="002246F9" w:rsidRPr="00D5464D">
        <w:rPr>
          <w:szCs w:val="20"/>
          <w:lang w:val="pt-BR"/>
        </w:rPr>
        <w:t>,</w:t>
      </w:r>
      <w:r w:rsidRPr="00D5464D">
        <w:rPr>
          <w:szCs w:val="20"/>
          <w:lang w:val="pt-BR"/>
        </w:rPr>
        <w:t xml:space="preserve"> da </w:t>
      </w:r>
      <w:r w:rsidR="002246F9" w:rsidRPr="00D5464D">
        <w:rPr>
          <w:szCs w:val="20"/>
          <w:lang w:val="pt-BR"/>
        </w:rPr>
        <w:t>lista</w:t>
      </w:r>
      <w:r w:rsidR="00350187" w:rsidRPr="00D5464D">
        <w:rPr>
          <w:szCs w:val="20"/>
          <w:lang w:val="pt-BR"/>
        </w:rPr>
        <w:t xml:space="preserve"> apresent</w:t>
      </w:r>
      <w:r w:rsidR="002246F9" w:rsidRPr="00D5464D">
        <w:rPr>
          <w:szCs w:val="20"/>
          <w:lang w:val="pt-BR"/>
        </w:rPr>
        <w:t>a</w:t>
      </w:r>
      <w:r w:rsidR="002C330E" w:rsidRPr="00D5464D">
        <w:rPr>
          <w:szCs w:val="20"/>
          <w:lang w:val="pt-BR"/>
        </w:rPr>
        <w:t xml:space="preserve"> pela </w:t>
      </w:r>
      <w:r w:rsidRPr="00D5464D">
        <w:rPr>
          <w:szCs w:val="20"/>
          <w:lang w:val="pt-BR"/>
        </w:rPr>
        <w:t>defesa</w:t>
      </w:r>
      <w:r w:rsidR="002246F9" w:rsidRPr="00D5464D">
        <w:rPr>
          <w:szCs w:val="20"/>
          <w:lang w:val="pt-BR"/>
        </w:rPr>
        <w:t xml:space="preserve"> </w:t>
      </w:r>
      <w:r w:rsidRPr="00D5464D">
        <w:rPr>
          <w:szCs w:val="20"/>
          <w:lang w:val="pt-BR"/>
        </w:rPr>
        <w:t xml:space="preserve">do </w:t>
      </w:r>
      <w:r w:rsidR="00230C71" w:rsidRPr="00D5464D">
        <w:rPr>
          <w:szCs w:val="20"/>
          <w:lang w:val="pt-BR"/>
        </w:rPr>
        <w:t>proprietário</w:t>
      </w:r>
      <w:r w:rsidR="00E045D9" w:rsidRPr="00D5464D">
        <w:rPr>
          <w:szCs w:val="20"/>
          <w:lang w:val="pt-BR"/>
        </w:rPr>
        <w:t xml:space="preserve"> no </w:t>
      </w:r>
      <w:r w:rsidR="002C330E" w:rsidRPr="00D5464D">
        <w:rPr>
          <w:szCs w:val="20"/>
          <w:lang w:val="pt-BR"/>
        </w:rPr>
        <w:t>processo</w:t>
      </w:r>
      <w:r w:rsidR="002246F9" w:rsidRPr="00D5464D">
        <w:rPr>
          <w:szCs w:val="20"/>
          <w:lang w:val="pt-BR"/>
        </w:rPr>
        <w:t xml:space="preserve"> interno</w:t>
      </w:r>
      <w:r w:rsidR="00E045D9" w:rsidRPr="00D5464D">
        <w:rPr>
          <w:szCs w:val="20"/>
          <w:lang w:val="pt-BR"/>
        </w:rPr>
        <w:t xml:space="preserve"> e </w:t>
      </w:r>
      <w:r w:rsidRPr="00D5464D">
        <w:rPr>
          <w:szCs w:val="20"/>
          <w:lang w:val="pt-BR"/>
        </w:rPr>
        <w:t xml:space="preserve">da </w:t>
      </w:r>
      <w:r w:rsidR="002246F9" w:rsidRPr="00D5464D">
        <w:rPr>
          <w:szCs w:val="20"/>
          <w:lang w:val="pt-BR"/>
        </w:rPr>
        <w:t>lista</w:t>
      </w:r>
      <w:r w:rsidR="00350187" w:rsidRPr="00D5464D">
        <w:rPr>
          <w:szCs w:val="20"/>
          <w:lang w:val="pt-BR"/>
        </w:rPr>
        <w:t xml:space="preserve"> apresent</w:t>
      </w:r>
      <w:r w:rsidR="002246F9" w:rsidRPr="00D5464D">
        <w:rPr>
          <w:szCs w:val="20"/>
          <w:lang w:val="pt-BR"/>
        </w:rPr>
        <w:t>a</w:t>
      </w:r>
      <w:r w:rsidR="002C127C" w:rsidRPr="00D5464D">
        <w:rPr>
          <w:szCs w:val="20"/>
          <w:lang w:val="pt-BR"/>
        </w:rPr>
        <w:t>da</w:t>
      </w:r>
      <w:r w:rsidR="002C330E" w:rsidRPr="00D5464D">
        <w:rPr>
          <w:szCs w:val="20"/>
          <w:lang w:val="pt-BR"/>
        </w:rPr>
        <w:t xml:space="preserve"> pelos peticionári</w:t>
      </w:r>
      <w:r w:rsidR="002246F9" w:rsidRPr="00D5464D">
        <w:rPr>
          <w:szCs w:val="20"/>
          <w:lang w:val="pt-BR"/>
        </w:rPr>
        <w:t>os</w:t>
      </w:r>
      <w:r w:rsidR="00C91CB1" w:rsidRPr="00D5464D">
        <w:rPr>
          <w:szCs w:val="20"/>
          <w:lang w:val="pt-BR"/>
        </w:rPr>
        <w:t xml:space="preserve"> em 1</w:t>
      </w:r>
      <w:r w:rsidR="002246F9" w:rsidRPr="00D5464D">
        <w:rPr>
          <w:szCs w:val="20"/>
          <w:lang w:val="pt-BR"/>
        </w:rPr>
        <w:t xml:space="preserve">0 de </w:t>
      </w:r>
      <w:r w:rsidR="002C330E" w:rsidRPr="00D5464D">
        <w:rPr>
          <w:szCs w:val="20"/>
          <w:lang w:val="pt-BR"/>
        </w:rPr>
        <w:t>julho</w:t>
      </w:r>
      <w:r w:rsidR="002246F9" w:rsidRPr="00D5464D">
        <w:rPr>
          <w:szCs w:val="20"/>
          <w:lang w:val="pt-BR"/>
        </w:rPr>
        <w:t xml:space="preserve"> de 2007</w:t>
      </w:r>
      <w:r w:rsidR="00E045D9" w:rsidRPr="00D5464D">
        <w:rPr>
          <w:szCs w:val="20"/>
          <w:lang w:val="pt-BR"/>
        </w:rPr>
        <w:t xml:space="preserve"> </w:t>
      </w:r>
      <w:r w:rsidR="002C127C" w:rsidRPr="00D5464D">
        <w:rPr>
          <w:szCs w:val="20"/>
          <w:lang w:val="pt-BR"/>
        </w:rPr>
        <w:t xml:space="preserve">durante </w:t>
      </w:r>
      <w:r w:rsidR="00E045D9" w:rsidRPr="00D5464D">
        <w:rPr>
          <w:szCs w:val="20"/>
          <w:lang w:val="pt-BR"/>
        </w:rPr>
        <w:t>o trâmite</w:t>
      </w:r>
      <w:r w:rsidRPr="00D5464D">
        <w:rPr>
          <w:szCs w:val="20"/>
          <w:lang w:val="pt-BR"/>
        </w:rPr>
        <w:t xml:space="preserve"> perante a Comissão</w:t>
      </w:r>
      <w:r w:rsidR="002246F9" w:rsidRPr="00D5464D">
        <w:rPr>
          <w:szCs w:val="20"/>
          <w:lang w:val="pt-BR"/>
        </w:rPr>
        <w:t>.</w:t>
      </w:r>
    </w:p>
    <w:p w14:paraId="4E129F5D" w14:textId="77777777" w:rsidR="002246F9" w:rsidRPr="00D5464D" w:rsidRDefault="002246F9" w:rsidP="002246F9">
      <w:pPr>
        <w:pStyle w:val="Prrafodelista"/>
        <w:autoSpaceDE w:val="0"/>
        <w:autoSpaceDN w:val="0"/>
        <w:adjustRightInd w:val="0"/>
        <w:ind w:left="0"/>
        <w:rPr>
          <w:szCs w:val="20"/>
          <w:lang w:val="pt-BR"/>
        </w:rPr>
      </w:pPr>
    </w:p>
    <w:p w14:paraId="3B78837C" w14:textId="04F91C9A" w:rsidR="002246F9" w:rsidRPr="00D5464D" w:rsidRDefault="00737270" w:rsidP="002246F9">
      <w:pPr>
        <w:pStyle w:val="Prrafodelista"/>
        <w:numPr>
          <w:ilvl w:val="0"/>
          <w:numId w:val="1"/>
        </w:numPr>
        <w:autoSpaceDE w:val="0"/>
        <w:autoSpaceDN w:val="0"/>
        <w:adjustRightInd w:val="0"/>
        <w:rPr>
          <w:szCs w:val="20"/>
          <w:lang w:val="pt-BR"/>
        </w:rPr>
      </w:pPr>
      <w:r w:rsidRPr="00D5464D">
        <w:rPr>
          <w:szCs w:val="20"/>
          <w:lang w:val="pt-BR"/>
        </w:rPr>
        <w:t>Por sua vez</w:t>
      </w:r>
      <w:r w:rsidR="002246F9" w:rsidRPr="00D5464D">
        <w:rPr>
          <w:szCs w:val="20"/>
          <w:lang w:val="pt-BR"/>
        </w:rPr>
        <w:t>,</w:t>
      </w:r>
      <w:r w:rsidR="002C330E" w:rsidRPr="00D5464D">
        <w:rPr>
          <w:szCs w:val="20"/>
          <w:lang w:val="pt-BR"/>
        </w:rPr>
        <w:t xml:space="preserve"> os </w:t>
      </w:r>
      <w:r w:rsidR="00EB1CE9" w:rsidRPr="00D5464D">
        <w:rPr>
          <w:b/>
          <w:i/>
          <w:szCs w:val="20"/>
          <w:lang w:val="pt-BR"/>
        </w:rPr>
        <w:t>representante</w:t>
      </w:r>
      <w:r w:rsidR="002246F9" w:rsidRPr="00D5464D">
        <w:rPr>
          <w:b/>
          <w:i/>
          <w:szCs w:val="20"/>
          <w:lang w:val="pt-BR"/>
        </w:rPr>
        <w:t xml:space="preserve">s </w:t>
      </w:r>
      <w:r w:rsidR="00470ADC" w:rsidRPr="00D5464D">
        <w:rPr>
          <w:szCs w:val="20"/>
          <w:lang w:val="pt-BR"/>
        </w:rPr>
        <w:t>alegaram</w:t>
      </w:r>
      <w:r w:rsidR="002246F9" w:rsidRPr="00D5464D">
        <w:rPr>
          <w:szCs w:val="20"/>
          <w:lang w:val="pt-BR"/>
        </w:rPr>
        <w:t xml:space="preserve"> que</w:t>
      </w:r>
      <w:r w:rsidR="00E045D9" w:rsidRPr="00D5464D">
        <w:rPr>
          <w:szCs w:val="20"/>
          <w:lang w:val="pt-BR"/>
        </w:rPr>
        <w:t xml:space="preserve"> na </w:t>
      </w:r>
      <w:r w:rsidR="002246F9" w:rsidRPr="00D5464D">
        <w:rPr>
          <w:szCs w:val="20"/>
          <w:lang w:val="pt-BR"/>
        </w:rPr>
        <w:t>fiscaliza</w:t>
      </w:r>
      <w:r w:rsidR="00470ADC" w:rsidRPr="00D5464D">
        <w:rPr>
          <w:szCs w:val="20"/>
          <w:lang w:val="pt-BR"/>
        </w:rPr>
        <w:t>ção</w:t>
      </w:r>
      <w:r w:rsidR="002246F9" w:rsidRPr="00D5464D">
        <w:rPr>
          <w:szCs w:val="20"/>
          <w:lang w:val="pt-BR"/>
        </w:rPr>
        <w:t xml:space="preserve"> </w:t>
      </w:r>
      <w:r w:rsidR="00470ADC" w:rsidRPr="00D5464D">
        <w:rPr>
          <w:szCs w:val="20"/>
          <w:lang w:val="pt-BR"/>
        </w:rPr>
        <w:t>foram</w:t>
      </w:r>
      <w:r w:rsidR="002246F9" w:rsidRPr="00D5464D">
        <w:rPr>
          <w:szCs w:val="20"/>
          <w:lang w:val="pt-BR"/>
        </w:rPr>
        <w:t xml:space="preserve"> encontrados 85 </w:t>
      </w:r>
      <w:r w:rsidR="00E045D9" w:rsidRPr="00D5464D">
        <w:rPr>
          <w:szCs w:val="20"/>
          <w:lang w:val="pt-BR"/>
        </w:rPr>
        <w:t>trabalhadores</w:t>
      </w:r>
      <w:r w:rsidR="002246F9" w:rsidRPr="00D5464D">
        <w:rPr>
          <w:szCs w:val="20"/>
          <w:lang w:val="pt-BR"/>
        </w:rPr>
        <w:t>,</w:t>
      </w:r>
      <w:r w:rsidR="00470ADC" w:rsidRPr="00D5464D">
        <w:rPr>
          <w:szCs w:val="20"/>
          <w:lang w:val="pt-BR"/>
        </w:rPr>
        <w:t xml:space="preserve"> com </w:t>
      </w:r>
      <w:r w:rsidR="002246F9" w:rsidRPr="00D5464D">
        <w:rPr>
          <w:szCs w:val="20"/>
          <w:lang w:val="pt-BR"/>
        </w:rPr>
        <w:t>fundamento</w:t>
      </w:r>
      <w:r w:rsidR="00E045D9" w:rsidRPr="00D5464D">
        <w:rPr>
          <w:szCs w:val="20"/>
          <w:lang w:val="pt-BR"/>
        </w:rPr>
        <w:t xml:space="preserve"> no </w:t>
      </w:r>
      <w:r w:rsidR="00350187" w:rsidRPr="00D5464D">
        <w:rPr>
          <w:szCs w:val="20"/>
          <w:lang w:val="pt-BR"/>
        </w:rPr>
        <w:t>relatório</w:t>
      </w:r>
      <w:r w:rsidR="002C330E" w:rsidRPr="00D5464D">
        <w:rPr>
          <w:szCs w:val="20"/>
          <w:lang w:val="pt-BR"/>
        </w:rPr>
        <w:t xml:space="preserve"> </w:t>
      </w:r>
      <w:r w:rsidR="00470ADC" w:rsidRPr="00D5464D">
        <w:rPr>
          <w:szCs w:val="20"/>
          <w:lang w:val="pt-BR"/>
        </w:rPr>
        <w:t xml:space="preserve">da </w:t>
      </w:r>
      <w:r w:rsidR="002246F9" w:rsidRPr="00D5464D">
        <w:rPr>
          <w:szCs w:val="20"/>
          <w:lang w:val="pt-BR"/>
        </w:rPr>
        <w:t>fiscaliza</w:t>
      </w:r>
      <w:r w:rsidR="00470ADC" w:rsidRPr="00D5464D">
        <w:rPr>
          <w:szCs w:val="20"/>
          <w:lang w:val="pt-BR"/>
        </w:rPr>
        <w:t>ção</w:t>
      </w:r>
      <w:r w:rsidR="002246F9" w:rsidRPr="00D5464D">
        <w:rPr>
          <w:szCs w:val="20"/>
          <w:lang w:val="pt-BR"/>
        </w:rPr>
        <w:t xml:space="preserve"> realizada</w:t>
      </w:r>
      <w:r w:rsidR="002C330E" w:rsidRPr="00D5464D">
        <w:rPr>
          <w:szCs w:val="20"/>
          <w:lang w:val="pt-BR"/>
        </w:rPr>
        <w:t xml:space="preserve"> pelo </w:t>
      </w:r>
      <w:r w:rsidR="00AF0F26" w:rsidRPr="00D5464D">
        <w:rPr>
          <w:szCs w:val="20"/>
          <w:lang w:val="pt-BR"/>
        </w:rPr>
        <w:t>Ministério do Trabalho</w:t>
      </w:r>
      <w:r w:rsidR="00E045D9" w:rsidRPr="00D5464D">
        <w:rPr>
          <w:szCs w:val="20"/>
          <w:lang w:val="pt-BR"/>
        </w:rPr>
        <w:t xml:space="preserve"> e na </w:t>
      </w:r>
      <w:r w:rsidRPr="00D5464D">
        <w:rPr>
          <w:szCs w:val="20"/>
          <w:lang w:val="pt-BR"/>
        </w:rPr>
        <w:t>Ação</w:t>
      </w:r>
      <w:r w:rsidR="002246F9" w:rsidRPr="00D5464D">
        <w:rPr>
          <w:szCs w:val="20"/>
          <w:lang w:val="pt-BR"/>
        </w:rPr>
        <w:t xml:space="preserve"> Civil Pública de 30 de</w:t>
      </w:r>
      <w:r w:rsidR="002C330E" w:rsidRPr="00D5464D">
        <w:rPr>
          <w:szCs w:val="20"/>
          <w:lang w:val="pt-BR"/>
        </w:rPr>
        <w:t xml:space="preserve"> maio </w:t>
      </w:r>
      <w:r w:rsidR="002246F9" w:rsidRPr="00D5464D">
        <w:rPr>
          <w:szCs w:val="20"/>
          <w:lang w:val="pt-BR"/>
        </w:rPr>
        <w:t>de 2000,</w:t>
      </w:r>
      <w:r w:rsidR="002C330E" w:rsidRPr="00D5464D">
        <w:rPr>
          <w:szCs w:val="20"/>
          <w:lang w:val="pt-BR"/>
        </w:rPr>
        <w:t xml:space="preserve"> apresentada pelo Ministério</w:t>
      </w:r>
      <w:r w:rsidR="002246F9" w:rsidRPr="00D5464D">
        <w:rPr>
          <w:szCs w:val="20"/>
          <w:lang w:val="pt-BR"/>
        </w:rPr>
        <w:t xml:space="preserve"> Público </w:t>
      </w:r>
      <w:r w:rsidR="00470ADC" w:rsidRPr="00D5464D">
        <w:rPr>
          <w:szCs w:val="20"/>
          <w:lang w:val="pt-BR"/>
        </w:rPr>
        <w:t xml:space="preserve">do </w:t>
      </w:r>
      <w:r w:rsidR="00E045D9" w:rsidRPr="00D5464D">
        <w:rPr>
          <w:szCs w:val="20"/>
          <w:lang w:val="pt-BR"/>
        </w:rPr>
        <w:t>Trabalho</w:t>
      </w:r>
      <w:r w:rsidR="002246F9" w:rsidRPr="00D5464D">
        <w:rPr>
          <w:szCs w:val="20"/>
          <w:lang w:val="pt-BR"/>
        </w:rPr>
        <w:t xml:space="preserve"> </w:t>
      </w:r>
      <w:r w:rsidR="002C127C" w:rsidRPr="00D5464D">
        <w:rPr>
          <w:szCs w:val="20"/>
          <w:lang w:val="pt-BR"/>
        </w:rPr>
        <w:t xml:space="preserve">perante a Vara </w:t>
      </w:r>
      <w:r w:rsidR="002246F9" w:rsidRPr="00D5464D">
        <w:rPr>
          <w:rFonts w:cs="Arial"/>
          <w:szCs w:val="20"/>
          <w:lang w:val="pt-BR"/>
        </w:rPr>
        <w:t xml:space="preserve">de </w:t>
      </w:r>
      <w:r w:rsidR="00E045D9" w:rsidRPr="00D5464D">
        <w:rPr>
          <w:rFonts w:cs="Arial"/>
          <w:szCs w:val="20"/>
          <w:lang w:val="pt-BR"/>
        </w:rPr>
        <w:t>Trabalho</w:t>
      </w:r>
      <w:r w:rsidR="002246F9" w:rsidRPr="00D5464D">
        <w:rPr>
          <w:rFonts w:cs="Arial"/>
          <w:szCs w:val="20"/>
          <w:lang w:val="pt-BR"/>
        </w:rPr>
        <w:t xml:space="preserve"> de </w:t>
      </w:r>
      <w:r w:rsidR="00FF5FD4" w:rsidRPr="00D5464D">
        <w:rPr>
          <w:rFonts w:cs="Arial"/>
          <w:szCs w:val="20"/>
          <w:lang w:val="pt-BR"/>
        </w:rPr>
        <w:t xml:space="preserve">Conceição do </w:t>
      </w:r>
      <w:r w:rsidR="002246F9" w:rsidRPr="00D5464D">
        <w:rPr>
          <w:rFonts w:cs="Arial"/>
          <w:szCs w:val="20"/>
          <w:lang w:val="pt-BR"/>
        </w:rPr>
        <w:t>Araguaia</w:t>
      </w:r>
      <w:r w:rsidR="002246F9" w:rsidRPr="00D5464D">
        <w:rPr>
          <w:szCs w:val="20"/>
          <w:lang w:val="pt-BR"/>
        </w:rPr>
        <w:t xml:space="preserve">. </w:t>
      </w:r>
      <w:r w:rsidR="00350187" w:rsidRPr="00D5464D">
        <w:rPr>
          <w:szCs w:val="20"/>
          <w:lang w:val="pt-BR"/>
        </w:rPr>
        <w:t xml:space="preserve">Além disso, </w:t>
      </w:r>
      <w:r w:rsidR="00EB1CE9" w:rsidRPr="00D5464D">
        <w:rPr>
          <w:szCs w:val="20"/>
          <w:lang w:val="pt-BR"/>
        </w:rPr>
        <w:t>esclareceram</w:t>
      </w:r>
      <w:r w:rsidR="002246F9" w:rsidRPr="00D5464D">
        <w:rPr>
          <w:szCs w:val="20"/>
          <w:lang w:val="pt-BR"/>
        </w:rPr>
        <w:t xml:space="preserve"> que</w:t>
      </w:r>
      <w:r w:rsidR="002C330E" w:rsidRPr="00D5464D">
        <w:rPr>
          <w:szCs w:val="20"/>
          <w:lang w:val="pt-BR"/>
        </w:rPr>
        <w:t xml:space="preserve"> os nome</w:t>
      </w:r>
      <w:r w:rsidR="002246F9" w:rsidRPr="00D5464D">
        <w:rPr>
          <w:szCs w:val="20"/>
          <w:lang w:val="pt-BR"/>
        </w:rPr>
        <w:t xml:space="preserve">s </w:t>
      </w:r>
      <w:r w:rsidR="002C330E" w:rsidRPr="00D5464D">
        <w:rPr>
          <w:szCs w:val="20"/>
          <w:lang w:val="pt-BR"/>
        </w:rPr>
        <w:t>indicado</w:t>
      </w:r>
      <w:r w:rsidR="002246F9" w:rsidRPr="00D5464D">
        <w:rPr>
          <w:szCs w:val="20"/>
          <w:lang w:val="pt-BR"/>
        </w:rPr>
        <w:t>s</w:t>
      </w:r>
      <w:r w:rsidR="002C330E" w:rsidRPr="00D5464D">
        <w:rPr>
          <w:szCs w:val="20"/>
          <w:lang w:val="pt-BR"/>
        </w:rPr>
        <w:t xml:space="preserve"> pela </w:t>
      </w:r>
      <w:r w:rsidR="00470ADC" w:rsidRPr="00D5464D">
        <w:rPr>
          <w:szCs w:val="20"/>
          <w:lang w:val="pt-BR"/>
        </w:rPr>
        <w:t>Comissão</w:t>
      </w:r>
      <w:r w:rsidR="00BF142B" w:rsidRPr="00D5464D">
        <w:rPr>
          <w:szCs w:val="20"/>
          <w:lang w:val="pt-BR"/>
        </w:rPr>
        <w:t>,</w:t>
      </w:r>
      <w:r w:rsidR="002246F9" w:rsidRPr="00D5464D">
        <w:rPr>
          <w:szCs w:val="20"/>
          <w:lang w:val="pt-BR"/>
        </w:rPr>
        <w:t xml:space="preserve"> </w:t>
      </w:r>
      <w:r w:rsidR="002C127C" w:rsidRPr="00D5464D">
        <w:rPr>
          <w:szCs w:val="20"/>
          <w:lang w:val="pt-BR"/>
        </w:rPr>
        <w:t xml:space="preserve">como </w:t>
      </w:r>
      <w:r w:rsidR="002246F9" w:rsidRPr="00D5464D">
        <w:rPr>
          <w:szCs w:val="20"/>
          <w:lang w:val="pt-BR"/>
        </w:rPr>
        <w:t xml:space="preserve">Francisco das </w:t>
      </w:r>
      <w:r w:rsidR="00D54143" w:rsidRPr="00D5464D">
        <w:rPr>
          <w:szCs w:val="20"/>
          <w:lang w:val="pt-BR"/>
        </w:rPr>
        <w:t xml:space="preserve">Chagas </w:t>
      </w:r>
      <w:r w:rsidR="002246F9" w:rsidRPr="00D5464D">
        <w:rPr>
          <w:szCs w:val="20"/>
          <w:lang w:val="pt-BR"/>
        </w:rPr>
        <w:t>S. Lira</w:t>
      </w:r>
      <w:r w:rsidR="00E045D9" w:rsidRPr="00D5464D">
        <w:rPr>
          <w:szCs w:val="20"/>
          <w:lang w:val="pt-BR"/>
        </w:rPr>
        <w:t xml:space="preserve"> e </w:t>
      </w:r>
      <w:r w:rsidR="002246F9" w:rsidRPr="00D5464D">
        <w:rPr>
          <w:szCs w:val="20"/>
          <w:lang w:val="pt-BR"/>
        </w:rPr>
        <w:t xml:space="preserve">Francisco das </w:t>
      </w:r>
      <w:r w:rsidR="00D54143" w:rsidRPr="00D5464D">
        <w:rPr>
          <w:szCs w:val="20"/>
          <w:lang w:val="pt-BR"/>
        </w:rPr>
        <w:t xml:space="preserve">Chagas </w:t>
      </w:r>
      <w:r w:rsidR="002246F9" w:rsidRPr="00D5464D">
        <w:rPr>
          <w:szCs w:val="20"/>
          <w:lang w:val="pt-BR"/>
        </w:rPr>
        <w:t xml:space="preserve">da Silva Lima, </w:t>
      </w:r>
      <w:r w:rsidR="00350187" w:rsidRPr="00D5464D">
        <w:rPr>
          <w:szCs w:val="20"/>
          <w:lang w:val="pt-BR"/>
        </w:rPr>
        <w:t>referem</w:t>
      </w:r>
      <w:r w:rsidR="002C127C" w:rsidRPr="00D5464D">
        <w:rPr>
          <w:szCs w:val="20"/>
          <w:lang w:val="pt-BR"/>
        </w:rPr>
        <w:t>-se,</w:t>
      </w:r>
      <w:r w:rsidR="00470ADC" w:rsidRPr="00D5464D">
        <w:rPr>
          <w:szCs w:val="20"/>
          <w:lang w:val="pt-BR"/>
        </w:rPr>
        <w:t xml:space="preserve"> em </w:t>
      </w:r>
      <w:r w:rsidR="002C330E" w:rsidRPr="00D5464D">
        <w:rPr>
          <w:szCs w:val="20"/>
          <w:lang w:val="pt-BR"/>
        </w:rPr>
        <w:t>realida</w:t>
      </w:r>
      <w:r w:rsidR="00E045D9" w:rsidRPr="00D5464D">
        <w:rPr>
          <w:szCs w:val="20"/>
          <w:lang w:val="pt-BR"/>
        </w:rPr>
        <w:t>d</w:t>
      </w:r>
      <w:r w:rsidR="002C127C" w:rsidRPr="00D5464D">
        <w:rPr>
          <w:szCs w:val="20"/>
          <w:lang w:val="pt-BR"/>
        </w:rPr>
        <w:t xml:space="preserve">e, </w:t>
      </w:r>
      <w:r w:rsidR="00E045D9" w:rsidRPr="00D5464D">
        <w:rPr>
          <w:szCs w:val="20"/>
          <w:lang w:val="pt-BR"/>
        </w:rPr>
        <w:t xml:space="preserve">a uma </w:t>
      </w:r>
      <w:r w:rsidR="002C330E" w:rsidRPr="00D5464D">
        <w:rPr>
          <w:szCs w:val="20"/>
          <w:lang w:val="pt-BR"/>
        </w:rPr>
        <w:t>mesm</w:t>
      </w:r>
      <w:r w:rsidR="002246F9" w:rsidRPr="00D5464D">
        <w:rPr>
          <w:szCs w:val="20"/>
          <w:lang w:val="pt-BR"/>
        </w:rPr>
        <w:t xml:space="preserve">a </w:t>
      </w:r>
      <w:r w:rsidR="002C330E" w:rsidRPr="00D5464D">
        <w:rPr>
          <w:szCs w:val="20"/>
          <w:lang w:val="pt-BR"/>
        </w:rPr>
        <w:t>pessoa</w:t>
      </w:r>
      <w:r w:rsidR="002246F9" w:rsidRPr="00D5464D">
        <w:rPr>
          <w:szCs w:val="20"/>
          <w:lang w:val="pt-BR"/>
        </w:rPr>
        <w:t xml:space="preserve">, de </w:t>
      </w:r>
      <w:r w:rsidR="002C330E" w:rsidRPr="00D5464D">
        <w:rPr>
          <w:szCs w:val="20"/>
          <w:lang w:val="pt-BR"/>
        </w:rPr>
        <w:t>nome</w:t>
      </w:r>
      <w:r w:rsidR="002246F9" w:rsidRPr="00D5464D">
        <w:rPr>
          <w:szCs w:val="20"/>
          <w:lang w:val="pt-BR"/>
        </w:rPr>
        <w:t xml:space="preserve"> Francisco das </w:t>
      </w:r>
      <w:r w:rsidR="00D54143" w:rsidRPr="00D5464D">
        <w:rPr>
          <w:szCs w:val="20"/>
          <w:lang w:val="pt-BR"/>
        </w:rPr>
        <w:t xml:space="preserve">Chagas </w:t>
      </w:r>
      <w:r w:rsidR="002246F9" w:rsidRPr="00D5464D">
        <w:rPr>
          <w:szCs w:val="20"/>
          <w:lang w:val="pt-BR"/>
        </w:rPr>
        <w:t>da Silva Lira</w:t>
      </w:r>
      <w:r w:rsidR="00470ADC" w:rsidRPr="00D5464D">
        <w:rPr>
          <w:szCs w:val="20"/>
          <w:lang w:val="pt-BR"/>
        </w:rPr>
        <w:t xml:space="preserve"> e</w:t>
      </w:r>
      <w:r w:rsidR="002246F9" w:rsidRPr="00D5464D">
        <w:rPr>
          <w:szCs w:val="20"/>
          <w:lang w:val="pt-BR"/>
        </w:rPr>
        <w:t xml:space="preserve"> que</w:t>
      </w:r>
      <w:r w:rsidR="00470ADC" w:rsidRPr="00D5464D">
        <w:rPr>
          <w:szCs w:val="20"/>
          <w:lang w:val="pt-BR"/>
        </w:rPr>
        <w:t xml:space="preserve"> o </w:t>
      </w:r>
      <w:r w:rsidR="002C330E" w:rsidRPr="00D5464D">
        <w:rPr>
          <w:szCs w:val="20"/>
          <w:lang w:val="pt-BR"/>
        </w:rPr>
        <w:t>nome</w:t>
      </w:r>
      <w:r w:rsidR="002246F9" w:rsidRPr="00D5464D">
        <w:rPr>
          <w:szCs w:val="20"/>
          <w:lang w:val="pt-BR"/>
        </w:rPr>
        <w:t xml:space="preserve"> </w:t>
      </w:r>
      <w:r w:rsidR="002246F9" w:rsidRPr="00D5464D">
        <w:rPr>
          <w:rFonts w:cs="Times New Roman"/>
          <w:szCs w:val="20"/>
          <w:lang w:val="pt-BR"/>
        </w:rPr>
        <w:t xml:space="preserve">Francisco das </w:t>
      </w:r>
      <w:r w:rsidR="00D54143" w:rsidRPr="00D5464D">
        <w:rPr>
          <w:rFonts w:cs="Times New Roman"/>
          <w:szCs w:val="20"/>
          <w:lang w:val="pt-BR"/>
        </w:rPr>
        <w:t xml:space="preserve">Chagas </w:t>
      </w:r>
      <w:r w:rsidR="002246F9" w:rsidRPr="00D5464D">
        <w:rPr>
          <w:rFonts w:cs="Times New Roman"/>
          <w:szCs w:val="20"/>
          <w:lang w:val="pt-BR"/>
        </w:rPr>
        <w:t xml:space="preserve">Da Silva Lima </w:t>
      </w:r>
      <w:r w:rsidR="00470ADC" w:rsidRPr="00D5464D">
        <w:rPr>
          <w:rFonts w:cs="Times New Roman"/>
          <w:szCs w:val="20"/>
          <w:lang w:val="pt-BR"/>
        </w:rPr>
        <w:t>dev</w:t>
      </w:r>
      <w:r w:rsidR="002C127C" w:rsidRPr="00D5464D">
        <w:rPr>
          <w:rFonts w:cs="Times New Roman"/>
          <w:szCs w:val="20"/>
          <w:lang w:val="pt-BR"/>
        </w:rPr>
        <w:t>er</w:t>
      </w:r>
      <w:r w:rsidR="00470ADC" w:rsidRPr="00D5464D">
        <w:rPr>
          <w:rFonts w:cs="Times New Roman"/>
          <w:szCs w:val="20"/>
          <w:lang w:val="pt-BR"/>
        </w:rPr>
        <w:t xml:space="preserve">ia </w:t>
      </w:r>
      <w:r w:rsidR="002246F9" w:rsidRPr="00D5464D">
        <w:rPr>
          <w:rFonts w:cs="Times New Roman"/>
          <w:szCs w:val="20"/>
          <w:lang w:val="pt-BR"/>
        </w:rPr>
        <w:t xml:space="preserve">ser </w:t>
      </w:r>
      <w:r w:rsidR="002C127C" w:rsidRPr="00D5464D">
        <w:rPr>
          <w:rFonts w:cs="Times New Roman"/>
          <w:szCs w:val="20"/>
          <w:lang w:val="pt-BR"/>
        </w:rPr>
        <w:t>substituído</w:t>
      </w:r>
      <w:r w:rsidR="002246F9" w:rsidRPr="00D5464D">
        <w:rPr>
          <w:rFonts w:cs="Times New Roman"/>
          <w:szCs w:val="20"/>
          <w:lang w:val="pt-BR"/>
        </w:rPr>
        <w:t xml:space="preserve"> por Francisco Mariano da Silva.</w:t>
      </w:r>
    </w:p>
    <w:p w14:paraId="1958F794" w14:textId="77777777" w:rsidR="002246F9" w:rsidRPr="00D5464D" w:rsidRDefault="002246F9" w:rsidP="002246F9">
      <w:pPr>
        <w:pStyle w:val="Prrafodelista"/>
        <w:autoSpaceDE w:val="0"/>
        <w:autoSpaceDN w:val="0"/>
        <w:adjustRightInd w:val="0"/>
        <w:ind w:left="0"/>
        <w:rPr>
          <w:szCs w:val="20"/>
          <w:lang w:val="pt-BR"/>
        </w:rPr>
      </w:pPr>
    </w:p>
    <w:p w14:paraId="051E9FD8" w14:textId="4336663F" w:rsidR="002246F9" w:rsidRPr="00D5464D" w:rsidRDefault="00DE3E58" w:rsidP="002246F9">
      <w:pPr>
        <w:pStyle w:val="Prrafodelista"/>
        <w:numPr>
          <w:ilvl w:val="0"/>
          <w:numId w:val="1"/>
        </w:numPr>
        <w:autoSpaceDE w:val="0"/>
        <w:autoSpaceDN w:val="0"/>
        <w:adjustRightInd w:val="0"/>
        <w:rPr>
          <w:szCs w:val="20"/>
          <w:lang w:val="pt-BR"/>
        </w:rPr>
      </w:pPr>
      <w:r w:rsidRPr="00D5464D">
        <w:rPr>
          <w:szCs w:val="20"/>
          <w:lang w:val="pt-BR"/>
        </w:rPr>
        <w:t xml:space="preserve"> E</w:t>
      </w:r>
      <w:r w:rsidR="00470ADC" w:rsidRPr="00D5464D">
        <w:rPr>
          <w:szCs w:val="20"/>
          <w:lang w:val="pt-BR"/>
        </w:rPr>
        <w:t xml:space="preserve">m </w:t>
      </w:r>
      <w:r w:rsidR="002246F9" w:rsidRPr="00D5464D">
        <w:rPr>
          <w:szCs w:val="20"/>
          <w:lang w:val="pt-BR"/>
        </w:rPr>
        <w:t>contra</w:t>
      </w:r>
      <w:r w:rsidR="002C127C" w:rsidRPr="00D5464D">
        <w:rPr>
          <w:szCs w:val="20"/>
          <w:lang w:val="pt-BR"/>
        </w:rPr>
        <w:t>partida</w:t>
      </w:r>
      <w:r w:rsidR="002246F9" w:rsidRPr="00D5464D">
        <w:rPr>
          <w:szCs w:val="20"/>
          <w:lang w:val="pt-BR"/>
        </w:rPr>
        <w:t>,</w:t>
      </w:r>
      <w:r w:rsidR="00470ADC" w:rsidRPr="00D5464D">
        <w:rPr>
          <w:szCs w:val="20"/>
          <w:lang w:val="pt-BR"/>
        </w:rPr>
        <w:t xml:space="preserve"> o </w:t>
      </w:r>
      <w:r w:rsidR="002246F9" w:rsidRPr="00D5464D">
        <w:rPr>
          <w:b/>
          <w:i/>
          <w:szCs w:val="20"/>
          <w:lang w:val="pt-BR"/>
        </w:rPr>
        <w:t>Estado</w:t>
      </w:r>
      <w:r w:rsidR="002246F9" w:rsidRPr="00D5464D">
        <w:rPr>
          <w:szCs w:val="20"/>
          <w:lang w:val="pt-BR"/>
        </w:rPr>
        <w:t xml:space="preserve"> </w:t>
      </w:r>
      <w:r w:rsidR="00E045D9" w:rsidRPr="00D5464D">
        <w:rPr>
          <w:szCs w:val="20"/>
          <w:lang w:val="pt-BR"/>
        </w:rPr>
        <w:t>argumentou</w:t>
      </w:r>
      <w:r w:rsidR="002246F9" w:rsidRPr="00D5464D">
        <w:rPr>
          <w:szCs w:val="20"/>
          <w:lang w:val="pt-BR"/>
        </w:rPr>
        <w:t xml:space="preserve"> que</w:t>
      </w:r>
      <w:r w:rsidR="00BF142B" w:rsidRPr="00D5464D">
        <w:rPr>
          <w:szCs w:val="20"/>
          <w:lang w:val="pt-BR"/>
        </w:rPr>
        <w:t>,</w:t>
      </w:r>
      <w:r w:rsidR="00470ADC" w:rsidRPr="00D5464D">
        <w:rPr>
          <w:szCs w:val="20"/>
          <w:lang w:val="pt-BR"/>
        </w:rPr>
        <w:t xml:space="preserve"> dos </w:t>
      </w:r>
      <w:r w:rsidR="002246F9" w:rsidRPr="00D5464D">
        <w:rPr>
          <w:szCs w:val="20"/>
          <w:lang w:val="pt-BR"/>
        </w:rPr>
        <w:t xml:space="preserve">81 </w:t>
      </w:r>
      <w:r w:rsidR="00E045D9" w:rsidRPr="00D5464D">
        <w:rPr>
          <w:szCs w:val="20"/>
          <w:lang w:val="pt-BR"/>
        </w:rPr>
        <w:t>trabalhadores</w:t>
      </w:r>
      <w:r w:rsidR="002246F9" w:rsidRPr="00D5464D">
        <w:rPr>
          <w:szCs w:val="20"/>
          <w:lang w:val="pt-BR"/>
        </w:rPr>
        <w:t xml:space="preserve"> </w:t>
      </w:r>
      <w:r w:rsidR="002C330E" w:rsidRPr="00D5464D">
        <w:rPr>
          <w:szCs w:val="20"/>
          <w:lang w:val="pt-BR"/>
        </w:rPr>
        <w:t>indicado</w:t>
      </w:r>
      <w:r w:rsidR="002246F9" w:rsidRPr="00D5464D">
        <w:rPr>
          <w:szCs w:val="20"/>
          <w:lang w:val="pt-BR"/>
        </w:rPr>
        <w:t>s</w:t>
      </w:r>
      <w:r w:rsidR="00E045D9" w:rsidRPr="00D5464D">
        <w:rPr>
          <w:szCs w:val="20"/>
          <w:lang w:val="pt-BR"/>
        </w:rPr>
        <w:t xml:space="preserve"> no </w:t>
      </w:r>
      <w:r w:rsidR="00350187" w:rsidRPr="00D5464D">
        <w:rPr>
          <w:szCs w:val="20"/>
          <w:lang w:val="pt-BR"/>
        </w:rPr>
        <w:t>relatório</w:t>
      </w:r>
      <w:r w:rsidR="002C330E" w:rsidRPr="00D5464D">
        <w:rPr>
          <w:szCs w:val="20"/>
          <w:lang w:val="pt-BR"/>
        </w:rPr>
        <w:t xml:space="preserve"> </w:t>
      </w:r>
      <w:r w:rsidR="00470ADC" w:rsidRPr="00D5464D">
        <w:rPr>
          <w:szCs w:val="20"/>
          <w:lang w:val="pt-BR"/>
        </w:rPr>
        <w:t xml:space="preserve">da </w:t>
      </w:r>
      <w:r w:rsidR="002246F9" w:rsidRPr="00D5464D">
        <w:rPr>
          <w:szCs w:val="20"/>
          <w:lang w:val="pt-BR"/>
        </w:rPr>
        <w:t>fiscaliza</w:t>
      </w:r>
      <w:r w:rsidR="00470ADC" w:rsidRPr="00D5464D">
        <w:rPr>
          <w:szCs w:val="20"/>
          <w:lang w:val="pt-BR"/>
        </w:rPr>
        <w:t>ção</w:t>
      </w:r>
      <w:r w:rsidR="002246F9" w:rsidRPr="00D5464D">
        <w:rPr>
          <w:szCs w:val="20"/>
          <w:lang w:val="pt-BR"/>
        </w:rPr>
        <w:t xml:space="preserve"> de </w:t>
      </w:r>
      <w:r w:rsidR="002C330E" w:rsidRPr="00D5464D">
        <w:rPr>
          <w:szCs w:val="20"/>
          <w:lang w:val="pt-BR"/>
        </w:rPr>
        <w:t>março</w:t>
      </w:r>
      <w:r w:rsidR="002246F9" w:rsidRPr="00D5464D">
        <w:rPr>
          <w:szCs w:val="20"/>
          <w:lang w:val="pt-BR"/>
        </w:rPr>
        <w:t xml:space="preserve"> de 2000, 49 </w:t>
      </w:r>
      <w:r w:rsidR="002C127C" w:rsidRPr="00D5464D">
        <w:rPr>
          <w:szCs w:val="20"/>
          <w:lang w:val="pt-BR"/>
        </w:rPr>
        <w:t xml:space="preserve">eram </w:t>
      </w:r>
      <w:r w:rsidR="002246F9" w:rsidRPr="00D5464D">
        <w:rPr>
          <w:szCs w:val="20"/>
          <w:lang w:val="pt-BR"/>
        </w:rPr>
        <w:t>contratados</w:t>
      </w:r>
      <w:r w:rsidR="002C330E" w:rsidRPr="00D5464D">
        <w:rPr>
          <w:szCs w:val="20"/>
          <w:lang w:val="pt-BR"/>
        </w:rPr>
        <w:t xml:space="preserve"> pela </w:t>
      </w:r>
      <w:r w:rsidR="00D809F0" w:rsidRPr="00D5464D">
        <w:rPr>
          <w:szCs w:val="20"/>
          <w:lang w:val="pt-BR"/>
        </w:rPr>
        <w:t>Fazenda</w:t>
      </w:r>
      <w:r w:rsidR="002246F9" w:rsidRPr="00D5464D">
        <w:rPr>
          <w:szCs w:val="20"/>
          <w:lang w:val="pt-BR"/>
        </w:rPr>
        <w:t xml:space="preserve"> Brasil Verde</w:t>
      </w:r>
      <w:r w:rsidR="00E045D9" w:rsidRPr="00D5464D">
        <w:rPr>
          <w:szCs w:val="20"/>
          <w:lang w:val="pt-BR"/>
        </w:rPr>
        <w:t xml:space="preserve"> e </w:t>
      </w:r>
      <w:r w:rsidR="002246F9" w:rsidRPr="00D5464D">
        <w:rPr>
          <w:szCs w:val="20"/>
          <w:lang w:val="pt-BR"/>
        </w:rPr>
        <w:t>32</w:t>
      </w:r>
      <w:r w:rsidR="002C330E" w:rsidRPr="00D5464D">
        <w:rPr>
          <w:szCs w:val="20"/>
          <w:lang w:val="pt-BR"/>
        </w:rPr>
        <w:t xml:space="preserve"> pela </w:t>
      </w:r>
      <w:r w:rsidR="00D809F0" w:rsidRPr="00D5464D">
        <w:rPr>
          <w:szCs w:val="20"/>
          <w:lang w:val="pt-BR"/>
        </w:rPr>
        <w:t>Fazenda</w:t>
      </w:r>
      <w:r w:rsidR="002246F9" w:rsidRPr="00D5464D">
        <w:rPr>
          <w:szCs w:val="20"/>
          <w:lang w:val="pt-BR"/>
        </w:rPr>
        <w:t xml:space="preserve"> San Carlos</w:t>
      </w:r>
      <w:r w:rsidR="00737270" w:rsidRPr="00D5464D">
        <w:rPr>
          <w:szCs w:val="20"/>
          <w:lang w:val="pt-BR"/>
        </w:rPr>
        <w:t xml:space="preserve">. Desta </w:t>
      </w:r>
      <w:r w:rsidR="002246F9" w:rsidRPr="00D5464D">
        <w:rPr>
          <w:szCs w:val="20"/>
          <w:lang w:val="pt-BR"/>
        </w:rPr>
        <w:t>forma,</w:t>
      </w:r>
      <w:r w:rsidR="00470ADC" w:rsidRPr="00D5464D">
        <w:rPr>
          <w:szCs w:val="20"/>
          <w:lang w:val="pt-BR"/>
        </w:rPr>
        <w:t xml:space="preserve"> o </w:t>
      </w:r>
      <w:r w:rsidR="002246F9" w:rsidRPr="00D5464D">
        <w:rPr>
          <w:szCs w:val="20"/>
          <w:lang w:val="pt-BR"/>
        </w:rPr>
        <w:t xml:space="preserve">Estado </w:t>
      </w:r>
      <w:r w:rsidR="00470ADC" w:rsidRPr="00D5464D">
        <w:rPr>
          <w:szCs w:val="20"/>
          <w:lang w:val="pt-BR"/>
        </w:rPr>
        <w:t>considerou</w:t>
      </w:r>
      <w:r w:rsidR="002246F9" w:rsidRPr="00D5464D">
        <w:rPr>
          <w:szCs w:val="20"/>
          <w:lang w:val="pt-BR"/>
        </w:rPr>
        <w:t xml:space="preserve"> que</w:t>
      </w:r>
      <w:r w:rsidR="002C330E" w:rsidRPr="00D5464D">
        <w:rPr>
          <w:szCs w:val="20"/>
          <w:lang w:val="pt-BR"/>
        </w:rPr>
        <w:t xml:space="preserve"> as </w:t>
      </w:r>
      <w:r w:rsidR="002246F9" w:rsidRPr="00D5464D">
        <w:rPr>
          <w:szCs w:val="20"/>
          <w:lang w:val="pt-BR"/>
        </w:rPr>
        <w:t xml:space="preserve">únicas </w:t>
      </w:r>
      <w:r w:rsidR="002C330E" w:rsidRPr="00D5464D">
        <w:rPr>
          <w:szCs w:val="20"/>
          <w:lang w:val="pt-BR"/>
        </w:rPr>
        <w:t>suposta</w:t>
      </w:r>
      <w:r w:rsidR="002246F9" w:rsidRPr="00D5464D">
        <w:rPr>
          <w:szCs w:val="20"/>
          <w:lang w:val="pt-BR"/>
        </w:rPr>
        <w:t xml:space="preserve">s </w:t>
      </w:r>
      <w:r w:rsidR="00E045D9" w:rsidRPr="00D5464D">
        <w:rPr>
          <w:szCs w:val="20"/>
          <w:lang w:val="pt-BR"/>
        </w:rPr>
        <w:t>vítima</w:t>
      </w:r>
      <w:r w:rsidR="002246F9" w:rsidRPr="00D5464D">
        <w:rPr>
          <w:szCs w:val="20"/>
          <w:lang w:val="pt-BR"/>
        </w:rPr>
        <w:t xml:space="preserve">s que </w:t>
      </w:r>
      <w:r w:rsidR="00A1358C" w:rsidRPr="00D5464D">
        <w:rPr>
          <w:szCs w:val="20"/>
          <w:lang w:val="pt-BR"/>
        </w:rPr>
        <w:t>pod</w:t>
      </w:r>
      <w:r w:rsidR="002C127C" w:rsidRPr="00D5464D">
        <w:rPr>
          <w:szCs w:val="20"/>
          <w:lang w:val="pt-BR"/>
        </w:rPr>
        <w:t>er</w:t>
      </w:r>
      <w:r w:rsidR="00A1358C" w:rsidRPr="00D5464D">
        <w:rPr>
          <w:szCs w:val="20"/>
          <w:lang w:val="pt-BR"/>
        </w:rPr>
        <w:t>iam</w:t>
      </w:r>
      <w:r w:rsidR="002246F9" w:rsidRPr="00D5464D">
        <w:rPr>
          <w:szCs w:val="20"/>
          <w:lang w:val="pt-BR"/>
        </w:rPr>
        <w:t xml:space="preserve"> ser contempladas </w:t>
      </w:r>
      <w:r w:rsidR="002C127C" w:rsidRPr="00D5464D">
        <w:rPr>
          <w:szCs w:val="20"/>
          <w:lang w:val="pt-BR"/>
        </w:rPr>
        <w:t xml:space="preserve">em relação à </w:t>
      </w:r>
      <w:r w:rsidR="002246F9" w:rsidRPr="00D5464D">
        <w:rPr>
          <w:szCs w:val="20"/>
          <w:lang w:val="pt-BR"/>
        </w:rPr>
        <w:t>fiscaliza</w:t>
      </w:r>
      <w:r w:rsidR="00470ADC" w:rsidRPr="00D5464D">
        <w:rPr>
          <w:szCs w:val="20"/>
          <w:lang w:val="pt-BR"/>
        </w:rPr>
        <w:t>ção</w:t>
      </w:r>
      <w:r w:rsidR="002246F9" w:rsidRPr="00D5464D">
        <w:rPr>
          <w:szCs w:val="20"/>
          <w:lang w:val="pt-BR"/>
        </w:rPr>
        <w:t xml:space="preserve"> de </w:t>
      </w:r>
      <w:r w:rsidR="002C330E" w:rsidRPr="00D5464D">
        <w:rPr>
          <w:szCs w:val="20"/>
          <w:lang w:val="pt-BR"/>
        </w:rPr>
        <w:t>março</w:t>
      </w:r>
      <w:r w:rsidR="002246F9" w:rsidRPr="00D5464D">
        <w:rPr>
          <w:szCs w:val="20"/>
          <w:lang w:val="pt-BR"/>
        </w:rPr>
        <w:t xml:space="preserve"> de 2000 </w:t>
      </w:r>
      <w:r w:rsidR="00737270" w:rsidRPr="00D5464D">
        <w:rPr>
          <w:szCs w:val="20"/>
          <w:lang w:val="pt-BR"/>
        </w:rPr>
        <w:t>seriam</w:t>
      </w:r>
      <w:r w:rsidR="002C330E" w:rsidRPr="00D5464D">
        <w:rPr>
          <w:szCs w:val="20"/>
          <w:lang w:val="pt-BR"/>
        </w:rPr>
        <w:t xml:space="preserve"> as </w:t>
      </w:r>
      <w:r w:rsidR="002246F9" w:rsidRPr="00D5464D">
        <w:rPr>
          <w:szCs w:val="20"/>
          <w:lang w:val="pt-BR"/>
        </w:rPr>
        <w:t xml:space="preserve">49 </w:t>
      </w:r>
      <w:r w:rsidR="002C330E" w:rsidRPr="00D5464D">
        <w:rPr>
          <w:szCs w:val="20"/>
          <w:lang w:val="pt-BR"/>
        </w:rPr>
        <w:t>pessoa</w:t>
      </w:r>
      <w:r w:rsidR="002246F9" w:rsidRPr="00D5464D">
        <w:rPr>
          <w:szCs w:val="20"/>
          <w:lang w:val="pt-BR"/>
        </w:rPr>
        <w:t xml:space="preserve">s que </w:t>
      </w:r>
      <w:r w:rsidR="00E045D9" w:rsidRPr="00D5464D">
        <w:rPr>
          <w:szCs w:val="20"/>
          <w:lang w:val="pt-BR"/>
        </w:rPr>
        <w:t>trabalh</w:t>
      </w:r>
      <w:r w:rsidR="00350187" w:rsidRPr="00D5464D">
        <w:rPr>
          <w:szCs w:val="20"/>
          <w:lang w:val="pt-BR"/>
        </w:rPr>
        <w:t xml:space="preserve">avam </w:t>
      </w:r>
      <w:r w:rsidR="002246F9" w:rsidRPr="00D5464D">
        <w:rPr>
          <w:szCs w:val="20"/>
          <w:lang w:val="pt-BR"/>
        </w:rPr>
        <w:t>para</w:t>
      </w:r>
      <w:r w:rsidR="002C330E" w:rsidRPr="00D5464D">
        <w:rPr>
          <w:szCs w:val="20"/>
          <w:lang w:val="pt-BR"/>
        </w:rPr>
        <w:t xml:space="preserve"> a </w:t>
      </w:r>
      <w:r w:rsidR="00D809F0" w:rsidRPr="00D5464D">
        <w:rPr>
          <w:szCs w:val="20"/>
          <w:lang w:val="pt-BR"/>
        </w:rPr>
        <w:t>Fazenda</w:t>
      </w:r>
      <w:r w:rsidR="002246F9" w:rsidRPr="00D5464D">
        <w:rPr>
          <w:szCs w:val="20"/>
          <w:lang w:val="pt-BR"/>
        </w:rPr>
        <w:t xml:space="preserve"> Brasil Verde.</w:t>
      </w:r>
    </w:p>
    <w:p w14:paraId="02E6C1FE" w14:textId="77777777" w:rsidR="002246F9" w:rsidRPr="00D5464D" w:rsidRDefault="002246F9" w:rsidP="002246F9">
      <w:pPr>
        <w:pStyle w:val="Prrafodelista"/>
        <w:autoSpaceDE w:val="0"/>
        <w:autoSpaceDN w:val="0"/>
        <w:adjustRightInd w:val="0"/>
        <w:ind w:left="0"/>
        <w:rPr>
          <w:szCs w:val="20"/>
          <w:lang w:val="pt-BR"/>
        </w:rPr>
      </w:pPr>
    </w:p>
    <w:p w14:paraId="69ACDA4E" w14:textId="485CCC14" w:rsidR="002246F9" w:rsidRPr="00D5464D" w:rsidRDefault="002246F9" w:rsidP="005F0182">
      <w:pPr>
        <w:pStyle w:val="Ttulo3"/>
        <w:rPr>
          <w:lang w:val="pt-BR"/>
        </w:rPr>
      </w:pPr>
      <w:bookmarkStart w:id="377" w:name="_Toc460433027"/>
      <w:bookmarkStart w:id="378" w:name="_Toc460441958"/>
      <w:bookmarkStart w:id="379" w:name="_Toc462750776"/>
      <w:bookmarkStart w:id="380" w:name="_Toc462751100"/>
      <w:bookmarkStart w:id="381" w:name="_Toc464813952"/>
      <w:bookmarkStart w:id="382" w:name="_Toc468433913"/>
      <w:r w:rsidRPr="00D5464D">
        <w:rPr>
          <w:lang w:val="pt-BR"/>
        </w:rPr>
        <w:t>B.2</w:t>
      </w:r>
      <w:r w:rsidR="00CB7E29" w:rsidRPr="00D5464D">
        <w:rPr>
          <w:lang w:val="pt-BR"/>
        </w:rPr>
        <w:t>.</w:t>
      </w:r>
      <w:r w:rsidRPr="00D5464D">
        <w:rPr>
          <w:lang w:val="pt-BR"/>
        </w:rPr>
        <w:t xml:space="preserve"> Considera</w:t>
      </w:r>
      <w:r w:rsidR="00470ADC" w:rsidRPr="00D5464D">
        <w:rPr>
          <w:lang w:val="pt-BR"/>
        </w:rPr>
        <w:t xml:space="preserve">ções da </w:t>
      </w:r>
      <w:r w:rsidRPr="00D5464D">
        <w:rPr>
          <w:lang w:val="pt-BR"/>
        </w:rPr>
        <w:t>Corte</w:t>
      </w:r>
      <w:bookmarkEnd w:id="377"/>
      <w:bookmarkEnd w:id="378"/>
      <w:bookmarkEnd w:id="379"/>
      <w:bookmarkEnd w:id="380"/>
      <w:bookmarkEnd w:id="381"/>
      <w:bookmarkEnd w:id="382"/>
    </w:p>
    <w:p w14:paraId="65FE01D6" w14:textId="77777777" w:rsidR="00DE3E58" w:rsidRPr="00D5464D" w:rsidRDefault="00DE3E58" w:rsidP="00DE3E58">
      <w:pPr>
        <w:pStyle w:val="Prrafodelista"/>
        <w:autoSpaceDE w:val="0"/>
        <w:autoSpaceDN w:val="0"/>
        <w:adjustRightInd w:val="0"/>
        <w:ind w:left="0"/>
        <w:rPr>
          <w:szCs w:val="20"/>
          <w:lang w:val="pt-BR"/>
        </w:rPr>
      </w:pPr>
    </w:p>
    <w:p w14:paraId="54174807" w14:textId="475F0F10" w:rsidR="002246F9" w:rsidRPr="00D5464D" w:rsidRDefault="00470ADC" w:rsidP="002246F9">
      <w:pPr>
        <w:pStyle w:val="Prrafodelista"/>
        <w:numPr>
          <w:ilvl w:val="0"/>
          <w:numId w:val="1"/>
        </w:numPr>
        <w:autoSpaceDE w:val="0"/>
        <w:autoSpaceDN w:val="0"/>
        <w:adjustRightInd w:val="0"/>
        <w:rPr>
          <w:szCs w:val="20"/>
          <w:lang w:val="pt-BR"/>
        </w:rPr>
      </w:pPr>
      <w:r w:rsidRPr="00D5464D">
        <w:rPr>
          <w:rFonts w:cs="Times New Roman"/>
          <w:szCs w:val="20"/>
          <w:lang w:val="pt-BR"/>
        </w:rPr>
        <w:t xml:space="preserve">A </w:t>
      </w:r>
      <w:r w:rsidR="002246F9" w:rsidRPr="00D5464D">
        <w:rPr>
          <w:rFonts w:cs="Times New Roman"/>
          <w:szCs w:val="20"/>
          <w:lang w:val="pt-BR"/>
        </w:rPr>
        <w:t xml:space="preserve">Corte </w:t>
      </w:r>
      <w:r w:rsidR="00E765C2" w:rsidRPr="00D5464D">
        <w:rPr>
          <w:rFonts w:cs="Times New Roman"/>
          <w:szCs w:val="20"/>
          <w:lang w:val="pt-BR"/>
        </w:rPr>
        <w:t>verificou</w:t>
      </w:r>
      <w:r w:rsidR="002246F9" w:rsidRPr="00D5464D">
        <w:rPr>
          <w:rFonts w:cs="Times New Roman"/>
          <w:szCs w:val="20"/>
          <w:lang w:val="pt-BR"/>
        </w:rPr>
        <w:t xml:space="preserve"> que</w:t>
      </w:r>
      <w:r w:rsidR="002C330E" w:rsidRPr="00D5464D">
        <w:rPr>
          <w:rFonts w:cs="Times New Roman"/>
          <w:szCs w:val="20"/>
          <w:lang w:val="pt-BR"/>
        </w:rPr>
        <w:t xml:space="preserve"> a </w:t>
      </w:r>
      <w:r w:rsidR="00D809F0" w:rsidRPr="00D5464D">
        <w:rPr>
          <w:szCs w:val="20"/>
          <w:lang w:val="pt-BR"/>
        </w:rPr>
        <w:t>Fazenda</w:t>
      </w:r>
      <w:r w:rsidR="002246F9" w:rsidRPr="00D5464D">
        <w:rPr>
          <w:szCs w:val="20"/>
          <w:lang w:val="pt-BR"/>
        </w:rPr>
        <w:t xml:space="preserve"> Brasil Verde</w:t>
      </w:r>
      <w:r w:rsidR="00E045D9" w:rsidRPr="00D5464D">
        <w:rPr>
          <w:szCs w:val="20"/>
          <w:lang w:val="pt-BR"/>
        </w:rPr>
        <w:t xml:space="preserve"> e </w:t>
      </w:r>
      <w:r w:rsidR="002C330E" w:rsidRPr="00D5464D">
        <w:rPr>
          <w:szCs w:val="20"/>
          <w:lang w:val="pt-BR"/>
        </w:rPr>
        <w:t xml:space="preserve">a </w:t>
      </w:r>
      <w:r w:rsidR="00D809F0" w:rsidRPr="00D5464D">
        <w:rPr>
          <w:szCs w:val="20"/>
          <w:lang w:val="pt-BR"/>
        </w:rPr>
        <w:t>Fazenda</w:t>
      </w:r>
      <w:r w:rsidR="002246F9" w:rsidRPr="00D5464D">
        <w:rPr>
          <w:szCs w:val="20"/>
          <w:lang w:val="pt-BR"/>
        </w:rPr>
        <w:t xml:space="preserve"> San</w:t>
      </w:r>
      <w:r w:rsidR="00A1358C" w:rsidRPr="00D5464D">
        <w:rPr>
          <w:szCs w:val="20"/>
          <w:lang w:val="pt-BR"/>
        </w:rPr>
        <w:t xml:space="preserve"> Carlos </w:t>
      </w:r>
      <w:r w:rsidRPr="00D5464D">
        <w:rPr>
          <w:szCs w:val="20"/>
          <w:lang w:val="pt-BR"/>
        </w:rPr>
        <w:t xml:space="preserve">eram </w:t>
      </w:r>
      <w:r w:rsidR="002C127C" w:rsidRPr="00D5464D">
        <w:rPr>
          <w:szCs w:val="20"/>
          <w:lang w:val="pt-BR"/>
        </w:rPr>
        <w:t>contí</w:t>
      </w:r>
      <w:r w:rsidR="00BD1B84" w:rsidRPr="00D5464D">
        <w:rPr>
          <w:szCs w:val="20"/>
          <w:lang w:val="pt-BR"/>
        </w:rPr>
        <w:t>guas</w:t>
      </w:r>
      <w:r w:rsidR="002C127C" w:rsidRPr="00D5464D">
        <w:rPr>
          <w:szCs w:val="20"/>
          <w:lang w:val="pt-BR"/>
        </w:rPr>
        <w:t xml:space="preserve"> </w:t>
      </w:r>
      <w:r w:rsidR="00E045D9" w:rsidRPr="00D5464D">
        <w:rPr>
          <w:szCs w:val="20"/>
          <w:lang w:val="pt-BR"/>
        </w:rPr>
        <w:t xml:space="preserve">e </w:t>
      </w:r>
      <w:r w:rsidR="00737270" w:rsidRPr="00D5464D">
        <w:rPr>
          <w:szCs w:val="20"/>
          <w:lang w:val="pt-BR"/>
        </w:rPr>
        <w:t>formavam</w:t>
      </w:r>
      <w:r w:rsidR="002246F9" w:rsidRPr="00D5464D">
        <w:rPr>
          <w:szCs w:val="20"/>
          <w:lang w:val="pt-BR"/>
        </w:rPr>
        <w:t xml:space="preserve"> parte </w:t>
      </w:r>
      <w:r w:rsidRPr="00D5464D">
        <w:rPr>
          <w:szCs w:val="20"/>
          <w:lang w:val="pt-BR"/>
        </w:rPr>
        <w:t xml:space="preserve">do </w:t>
      </w:r>
      <w:r w:rsidR="002246F9" w:rsidRPr="00D5464D">
        <w:rPr>
          <w:szCs w:val="20"/>
          <w:lang w:val="pt-BR"/>
        </w:rPr>
        <w:t>Grupo Quagliato,</w:t>
      </w:r>
      <w:r w:rsidRPr="00D5464D">
        <w:rPr>
          <w:szCs w:val="20"/>
          <w:lang w:val="pt-BR"/>
        </w:rPr>
        <w:t xml:space="preserve"> o qual </w:t>
      </w:r>
      <w:r w:rsidR="002246F9" w:rsidRPr="00D5464D">
        <w:rPr>
          <w:szCs w:val="20"/>
          <w:lang w:val="pt-BR"/>
        </w:rPr>
        <w:t xml:space="preserve">era </w:t>
      </w:r>
      <w:r w:rsidR="002C330E" w:rsidRPr="00D5464D">
        <w:rPr>
          <w:szCs w:val="20"/>
          <w:lang w:val="pt-BR"/>
        </w:rPr>
        <w:t>propriedade</w:t>
      </w:r>
      <w:r w:rsidR="002246F9" w:rsidRPr="00D5464D">
        <w:rPr>
          <w:szCs w:val="20"/>
          <w:lang w:val="pt-BR"/>
        </w:rPr>
        <w:t xml:space="preserve"> </w:t>
      </w:r>
      <w:r w:rsidRPr="00D5464D">
        <w:rPr>
          <w:szCs w:val="20"/>
          <w:lang w:val="pt-BR"/>
        </w:rPr>
        <w:t xml:space="preserve">do </w:t>
      </w:r>
      <w:r w:rsidR="002C330E" w:rsidRPr="00D5464D">
        <w:rPr>
          <w:szCs w:val="20"/>
          <w:lang w:val="pt-BR"/>
        </w:rPr>
        <w:t xml:space="preserve">senhor </w:t>
      </w:r>
      <w:r w:rsidR="002246F9" w:rsidRPr="00D5464D">
        <w:rPr>
          <w:szCs w:val="20"/>
          <w:lang w:val="pt-BR"/>
        </w:rPr>
        <w:t>João Luiz Quagliato Neto</w:t>
      </w:r>
      <w:r w:rsidR="00737270" w:rsidRPr="00D5464D">
        <w:rPr>
          <w:szCs w:val="20"/>
          <w:lang w:val="pt-BR"/>
        </w:rPr>
        <w:t xml:space="preserve">. Desta </w:t>
      </w:r>
      <w:r w:rsidR="002246F9" w:rsidRPr="00D5464D">
        <w:rPr>
          <w:szCs w:val="20"/>
          <w:lang w:val="pt-BR"/>
        </w:rPr>
        <w:t>forma,</w:t>
      </w:r>
      <w:r w:rsidR="002C330E" w:rsidRPr="00D5464D">
        <w:rPr>
          <w:szCs w:val="20"/>
          <w:lang w:val="pt-BR"/>
        </w:rPr>
        <w:t xml:space="preserve"> </w:t>
      </w:r>
      <w:r w:rsidR="002C127C" w:rsidRPr="00D5464D">
        <w:rPr>
          <w:szCs w:val="20"/>
          <w:lang w:val="pt-BR"/>
        </w:rPr>
        <w:t xml:space="preserve">ainda que </w:t>
      </w:r>
      <w:r w:rsidRPr="00D5464D">
        <w:rPr>
          <w:szCs w:val="20"/>
          <w:lang w:val="pt-BR"/>
        </w:rPr>
        <w:t xml:space="preserve">o </w:t>
      </w:r>
      <w:r w:rsidR="002246F9" w:rsidRPr="00D5464D">
        <w:rPr>
          <w:szCs w:val="20"/>
          <w:lang w:val="pt-BR"/>
        </w:rPr>
        <w:t xml:space="preserve">presente caso se </w:t>
      </w:r>
      <w:r w:rsidR="00E56168" w:rsidRPr="00D5464D">
        <w:rPr>
          <w:szCs w:val="20"/>
          <w:lang w:val="pt-BR"/>
        </w:rPr>
        <w:t>refira</w:t>
      </w:r>
      <w:r w:rsidR="002C127C" w:rsidRPr="00D5464D">
        <w:rPr>
          <w:szCs w:val="20"/>
          <w:lang w:val="pt-BR"/>
        </w:rPr>
        <w:t>,</w:t>
      </w:r>
      <w:r w:rsidRPr="00D5464D">
        <w:rPr>
          <w:szCs w:val="20"/>
          <w:lang w:val="pt-BR"/>
        </w:rPr>
        <w:t xml:space="preserve"> em </w:t>
      </w:r>
      <w:r w:rsidR="00E045D9" w:rsidRPr="00D5464D">
        <w:rPr>
          <w:szCs w:val="20"/>
          <w:lang w:val="pt-BR"/>
        </w:rPr>
        <w:t>termo</w:t>
      </w:r>
      <w:r w:rsidR="002246F9" w:rsidRPr="00D5464D">
        <w:rPr>
          <w:szCs w:val="20"/>
          <w:lang w:val="pt-BR"/>
        </w:rPr>
        <w:t xml:space="preserve">s </w:t>
      </w:r>
      <w:r w:rsidR="002C330E" w:rsidRPr="00D5464D">
        <w:rPr>
          <w:szCs w:val="20"/>
          <w:lang w:val="pt-BR"/>
        </w:rPr>
        <w:t>gerais</w:t>
      </w:r>
      <w:r w:rsidR="002C127C" w:rsidRPr="00D5464D">
        <w:rPr>
          <w:szCs w:val="20"/>
          <w:lang w:val="pt-BR"/>
        </w:rPr>
        <w:t>,</w:t>
      </w:r>
      <w:r w:rsidR="00E045D9" w:rsidRPr="00D5464D">
        <w:rPr>
          <w:szCs w:val="20"/>
          <w:lang w:val="pt-BR"/>
        </w:rPr>
        <w:t xml:space="preserve"> aos trabalhadores</w:t>
      </w:r>
      <w:r w:rsidRPr="00D5464D">
        <w:rPr>
          <w:szCs w:val="20"/>
          <w:lang w:val="pt-BR"/>
        </w:rPr>
        <w:t xml:space="preserve"> da </w:t>
      </w:r>
      <w:r w:rsidR="00D809F0" w:rsidRPr="00D5464D">
        <w:rPr>
          <w:szCs w:val="20"/>
          <w:lang w:val="pt-BR"/>
        </w:rPr>
        <w:t>Fazenda</w:t>
      </w:r>
      <w:r w:rsidR="002246F9" w:rsidRPr="00D5464D">
        <w:rPr>
          <w:szCs w:val="20"/>
          <w:lang w:val="pt-BR"/>
        </w:rPr>
        <w:t xml:space="preserve"> Brasil Verde,</w:t>
      </w:r>
      <w:r w:rsidR="002C330E" w:rsidRPr="00D5464D">
        <w:rPr>
          <w:szCs w:val="20"/>
          <w:lang w:val="pt-BR"/>
        </w:rPr>
        <w:t xml:space="preserve"> a </w:t>
      </w:r>
      <w:r w:rsidR="002246F9" w:rsidRPr="00D5464D">
        <w:rPr>
          <w:szCs w:val="20"/>
          <w:lang w:val="pt-BR"/>
        </w:rPr>
        <w:t xml:space="preserve">Corte </w:t>
      </w:r>
      <w:r w:rsidR="00E045D9" w:rsidRPr="00D5464D">
        <w:rPr>
          <w:szCs w:val="20"/>
          <w:lang w:val="pt-BR"/>
        </w:rPr>
        <w:t>constatou</w:t>
      </w:r>
      <w:r w:rsidR="002246F9" w:rsidRPr="00D5464D">
        <w:rPr>
          <w:szCs w:val="20"/>
          <w:lang w:val="pt-BR"/>
        </w:rPr>
        <w:t xml:space="preserve"> que</w:t>
      </w:r>
      <w:r w:rsidR="002C330E" w:rsidRPr="00D5464D">
        <w:rPr>
          <w:szCs w:val="20"/>
          <w:lang w:val="pt-BR"/>
        </w:rPr>
        <w:t xml:space="preserve"> as </w:t>
      </w:r>
      <w:r w:rsidR="00A641AE" w:rsidRPr="00D5464D">
        <w:rPr>
          <w:szCs w:val="20"/>
          <w:lang w:val="pt-BR"/>
        </w:rPr>
        <w:t>carteiras de trabalho</w:t>
      </w:r>
      <w:r w:rsidR="002246F9" w:rsidRPr="00D5464D">
        <w:rPr>
          <w:szCs w:val="20"/>
          <w:lang w:val="pt-BR"/>
        </w:rPr>
        <w:t xml:space="preserve"> de </w:t>
      </w:r>
      <w:r w:rsidRPr="00D5464D">
        <w:rPr>
          <w:szCs w:val="20"/>
          <w:lang w:val="pt-BR"/>
        </w:rPr>
        <w:t xml:space="preserve">algumas das </w:t>
      </w:r>
      <w:r w:rsidR="002C330E" w:rsidRPr="00D5464D">
        <w:rPr>
          <w:szCs w:val="20"/>
          <w:lang w:val="pt-BR"/>
        </w:rPr>
        <w:t>suposta</w:t>
      </w:r>
      <w:r w:rsidR="002246F9" w:rsidRPr="00D5464D">
        <w:rPr>
          <w:szCs w:val="20"/>
          <w:lang w:val="pt-BR"/>
        </w:rPr>
        <w:t xml:space="preserve">s </w:t>
      </w:r>
      <w:r w:rsidR="00E045D9" w:rsidRPr="00D5464D">
        <w:rPr>
          <w:szCs w:val="20"/>
          <w:lang w:val="pt-BR"/>
        </w:rPr>
        <w:t>vítima</w:t>
      </w:r>
      <w:r w:rsidR="002246F9" w:rsidRPr="00D5464D">
        <w:rPr>
          <w:szCs w:val="20"/>
          <w:lang w:val="pt-BR"/>
        </w:rPr>
        <w:t xml:space="preserve">s </w:t>
      </w:r>
      <w:r w:rsidR="00737270" w:rsidRPr="00D5464D">
        <w:rPr>
          <w:szCs w:val="20"/>
          <w:lang w:val="pt-BR"/>
        </w:rPr>
        <w:t>indic</w:t>
      </w:r>
      <w:r w:rsidR="00350187" w:rsidRPr="00D5464D">
        <w:rPr>
          <w:szCs w:val="20"/>
          <w:lang w:val="pt-BR"/>
        </w:rPr>
        <w:t xml:space="preserve">avam </w:t>
      </w:r>
      <w:r w:rsidR="002246F9" w:rsidRPr="00D5464D">
        <w:rPr>
          <w:szCs w:val="20"/>
          <w:lang w:val="pt-BR"/>
        </w:rPr>
        <w:t xml:space="preserve">que </w:t>
      </w:r>
      <w:r w:rsidR="002C127C" w:rsidRPr="00D5464D">
        <w:rPr>
          <w:szCs w:val="20"/>
          <w:lang w:val="pt-BR"/>
        </w:rPr>
        <w:t xml:space="preserve">eram </w:t>
      </w:r>
      <w:r w:rsidR="002246F9" w:rsidRPr="00D5464D">
        <w:rPr>
          <w:szCs w:val="20"/>
          <w:lang w:val="pt-BR"/>
        </w:rPr>
        <w:t>contratad</w:t>
      </w:r>
      <w:r w:rsidR="00BF142B" w:rsidRPr="00D5464D">
        <w:rPr>
          <w:szCs w:val="20"/>
          <w:lang w:val="pt-BR"/>
        </w:rPr>
        <w:t>a</w:t>
      </w:r>
      <w:r w:rsidR="002246F9" w:rsidRPr="00D5464D">
        <w:rPr>
          <w:szCs w:val="20"/>
          <w:lang w:val="pt-BR"/>
        </w:rPr>
        <w:t>s</w:t>
      </w:r>
      <w:r w:rsidR="002C330E" w:rsidRPr="00D5464D">
        <w:rPr>
          <w:szCs w:val="20"/>
          <w:lang w:val="pt-BR"/>
        </w:rPr>
        <w:t xml:space="preserve"> pela </w:t>
      </w:r>
      <w:r w:rsidR="00D809F0" w:rsidRPr="00D5464D">
        <w:rPr>
          <w:szCs w:val="20"/>
          <w:lang w:val="pt-BR"/>
        </w:rPr>
        <w:t>Fazenda</w:t>
      </w:r>
      <w:r w:rsidR="002246F9" w:rsidRPr="00D5464D">
        <w:rPr>
          <w:szCs w:val="20"/>
          <w:lang w:val="pt-BR"/>
        </w:rPr>
        <w:t xml:space="preserve"> San Carlos,</w:t>
      </w:r>
      <w:r w:rsidR="00737270" w:rsidRPr="00D5464D">
        <w:rPr>
          <w:szCs w:val="20"/>
          <w:lang w:val="pt-BR"/>
        </w:rPr>
        <w:t xml:space="preserve"> apesar </w:t>
      </w:r>
      <w:r w:rsidR="002246F9" w:rsidRPr="00D5464D">
        <w:rPr>
          <w:szCs w:val="20"/>
          <w:lang w:val="pt-BR"/>
        </w:rPr>
        <w:t>de que</w:t>
      </w:r>
      <w:r w:rsidRPr="00D5464D">
        <w:rPr>
          <w:szCs w:val="20"/>
          <w:lang w:val="pt-BR"/>
        </w:rPr>
        <w:t xml:space="preserve"> </w:t>
      </w:r>
      <w:r w:rsidR="00E045D9" w:rsidRPr="00D5464D">
        <w:rPr>
          <w:szCs w:val="20"/>
          <w:lang w:val="pt-BR"/>
        </w:rPr>
        <w:t xml:space="preserve">teriam </w:t>
      </w:r>
      <w:r w:rsidR="002246F9" w:rsidRPr="00D5464D">
        <w:rPr>
          <w:szCs w:val="20"/>
          <w:lang w:val="pt-BR"/>
        </w:rPr>
        <w:t xml:space="preserve">sido </w:t>
      </w:r>
      <w:r w:rsidR="00D2372C" w:rsidRPr="00D5464D">
        <w:rPr>
          <w:szCs w:val="20"/>
          <w:lang w:val="pt-BR"/>
        </w:rPr>
        <w:t>recruta</w:t>
      </w:r>
      <w:r w:rsidR="002246F9" w:rsidRPr="00D5464D">
        <w:rPr>
          <w:szCs w:val="20"/>
          <w:lang w:val="pt-BR"/>
        </w:rPr>
        <w:t>d</w:t>
      </w:r>
      <w:r w:rsidR="002C127C" w:rsidRPr="00D5464D">
        <w:rPr>
          <w:szCs w:val="20"/>
          <w:lang w:val="pt-BR"/>
        </w:rPr>
        <w:t>o</w:t>
      </w:r>
      <w:r w:rsidR="002246F9" w:rsidRPr="00D5464D">
        <w:rPr>
          <w:szCs w:val="20"/>
          <w:lang w:val="pt-BR"/>
        </w:rPr>
        <w:t xml:space="preserve">s </w:t>
      </w:r>
      <w:r w:rsidR="002C127C" w:rsidRPr="00D5464D">
        <w:rPr>
          <w:szCs w:val="20"/>
          <w:lang w:val="pt-BR"/>
        </w:rPr>
        <w:t>par</w:t>
      </w:r>
      <w:r w:rsidR="002246F9" w:rsidRPr="00D5464D">
        <w:rPr>
          <w:szCs w:val="20"/>
          <w:lang w:val="pt-BR"/>
        </w:rPr>
        <w:t xml:space="preserve">a </w:t>
      </w:r>
      <w:r w:rsidR="00E045D9" w:rsidRPr="00D5464D">
        <w:rPr>
          <w:szCs w:val="20"/>
          <w:lang w:val="pt-BR"/>
        </w:rPr>
        <w:t>trabalh</w:t>
      </w:r>
      <w:r w:rsidR="002246F9" w:rsidRPr="00D5464D">
        <w:rPr>
          <w:szCs w:val="20"/>
          <w:lang w:val="pt-BR"/>
        </w:rPr>
        <w:t>ar</w:t>
      </w:r>
      <w:r w:rsidR="00E045D9" w:rsidRPr="00D5464D">
        <w:rPr>
          <w:szCs w:val="20"/>
          <w:lang w:val="pt-BR"/>
        </w:rPr>
        <w:t xml:space="preserve"> na </w:t>
      </w:r>
      <w:r w:rsidR="00D809F0" w:rsidRPr="00D5464D">
        <w:rPr>
          <w:szCs w:val="20"/>
          <w:lang w:val="pt-BR"/>
        </w:rPr>
        <w:t>Fazenda</w:t>
      </w:r>
      <w:r w:rsidR="002246F9" w:rsidRPr="00D5464D">
        <w:rPr>
          <w:szCs w:val="20"/>
          <w:lang w:val="pt-BR"/>
        </w:rPr>
        <w:t xml:space="preserve"> Brasil Verde</w:t>
      </w:r>
      <w:r w:rsidR="00BD1B84" w:rsidRPr="00D5464D">
        <w:rPr>
          <w:szCs w:val="20"/>
          <w:lang w:val="pt-BR"/>
        </w:rPr>
        <w:t xml:space="preserve">. </w:t>
      </w:r>
      <w:r w:rsidR="00350187" w:rsidRPr="00D5464D">
        <w:rPr>
          <w:szCs w:val="20"/>
          <w:lang w:val="pt-BR"/>
        </w:rPr>
        <w:t xml:space="preserve">Além disso, </w:t>
      </w:r>
      <w:r w:rsidRPr="00D5464D">
        <w:rPr>
          <w:szCs w:val="20"/>
          <w:lang w:val="pt-BR"/>
        </w:rPr>
        <w:t xml:space="preserve">em alguns </w:t>
      </w:r>
      <w:r w:rsidR="00D30CDA" w:rsidRPr="00D5464D">
        <w:rPr>
          <w:szCs w:val="20"/>
          <w:lang w:val="pt-BR"/>
        </w:rPr>
        <w:t>casos</w:t>
      </w:r>
      <w:r w:rsidR="00BF142B" w:rsidRPr="00D5464D">
        <w:rPr>
          <w:szCs w:val="20"/>
          <w:lang w:val="pt-BR"/>
        </w:rPr>
        <w:t>,</w:t>
      </w:r>
      <w:r w:rsidR="002C330E" w:rsidRPr="00D5464D">
        <w:rPr>
          <w:szCs w:val="20"/>
          <w:lang w:val="pt-BR"/>
        </w:rPr>
        <w:t xml:space="preserve"> a </w:t>
      </w:r>
      <w:r w:rsidR="00BD1B84" w:rsidRPr="00D5464D">
        <w:rPr>
          <w:szCs w:val="20"/>
          <w:lang w:val="pt-BR"/>
        </w:rPr>
        <w:t>documenta</w:t>
      </w:r>
      <w:r w:rsidRPr="00D5464D">
        <w:rPr>
          <w:szCs w:val="20"/>
          <w:lang w:val="pt-BR"/>
        </w:rPr>
        <w:t>ção</w:t>
      </w:r>
      <w:r w:rsidR="00BD1B84" w:rsidRPr="00D5464D">
        <w:rPr>
          <w:szCs w:val="20"/>
          <w:lang w:val="pt-BR"/>
        </w:rPr>
        <w:t xml:space="preserve"> contr</w:t>
      </w:r>
      <w:r w:rsidRPr="00D5464D">
        <w:rPr>
          <w:szCs w:val="20"/>
          <w:lang w:val="pt-BR"/>
        </w:rPr>
        <w:t>atual</w:t>
      </w:r>
      <w:r w:rsidR="00BD1B84" w:rsidRPr="00D5464D">
        <w:rPr>
          <w:szCs w:val="20"/>
          <w:lang w:val="pt-BR"/>
        </w:rPr>
        <w:t xml:space="preserve"> </w:t>
      </w:r>
      <w:r w:rsidR="002C127C" w:rsidRPr="00D5464D">
        <w:rPr>
          <w:szCs w:val="20"/>
          <w:lang w:val="pt-BR"/>
        </w:rPr>
        <w:t>trabalhista</w:t>
      </w:r>
      <w:r w:rsidRPr="00D5464D">
        <w:rPr>
          <w:szCs w:val="20"/>
          <w:lang w:val="pt-BR"/>
        </w:rPr>
        <w:t xml:space="preserve"> dos </w:t>
      </w:r>
      <w:r w:rsidR="00E045D9" w:rsidRPr="00D5464D">
        <w:rPr>
          <w:szCs w:val="20"/>
          <w:lang w:val="pt-BR"/>
        </w:rPr>
        <w:t>trabalhadores</w:t>
      </w:r>
      <w:r w:rsidR="00D30CDA" w:rsidRPr="00D5464D">
        <w:rPr>
          <w:szCs w:val="20"/>
          <w:lang w:val="pt-BR"/>
        </w:rPr>
        <w:t xml:space="preserve"> </w:t>
      </w:r>
      <w:r w:rsidR="0090341D" w:rsidRPr="00D5464D">
        <w:rPr>
          <w:szCs w:val="20"/>
          <w:lang w:val="pt-BR"/>
        </w:rPr>
        <w:t>resgatado</w:t>
      </w:r>
      <w:r w:rsidR="00D30CDA" w:rsidRPr="00D5464D">
        <w:rPr>
          <w:szCs w:val="20"/>
          <w:lang w:val="pt-BR"/>
        </w:rPr>
        <w:t>s</w:t>
      </w:r>
      <w:r w:rsidR="00E045D9" w:rsidRPr="00D5464D">
        <w:rPr>
          <w:szCs w:val="20"/>
          <w:lang w:val="pt-BR"/>
        </w:rPr>
        <w:t xml:space="preserve"> na </w:t>
      </w:r>
      <w:r w:rsidR="00D30CDA" w:rsidRPr="00D5464D">
        <w:rPr>
          <w:szCs w:val="20"/>
          <w:lang w:val="pt-BR"/>
        </w:rPr>
        <w:t>fiscaliza</w:t>
      </w:r>
      <w:r w:rsidRPr="00D5464D">
        <w:rPr>
          <w:szCs w:val="20"/>
          <w:lang w:val="pt-BR"/>
        </w:rPr>
        <w:t>ção</w:t>
      </w:r>
      <w:r w:rsidR="00D30CDA" w:rsidRPr="00D5464D">
        <w:rPr>
          <w:szCs w:val="20"/>
          <w:lang w:val="pt-BR"/>
        </w:rPr>
        <w:t xml:space="preserve"> de </w:t>
      </w:r>
      <w:r w:rsidR="002C330E" w:rsidRPr="00D5464D">
        <w:rPr>
          <w:szCs w:val="20"/>
          <w:lang w:val="pt-BR"/>
        </w:rPr>
        <w:t>março</w:t>
      </w:r>
      <w:r w:rsidR="00D30CDA" w:rsidRPr="00D5464D">
        <w:rPr>
          <w:szCs w:val="20"/>
          <w:lang w:val="pt-BR"/>
        </w:rPr>
        <w:t xml:space="preserve"> de 2000</w:t>
      </w:r>
      <w:r w:rsidR="002C330E" w:rsidRPr="00D5464D">
        <w:rPr>
          <w:szCs w:val="20"/>
          <w:lang w:val="pt-BR"/>
        </w:rPr>
        <w:t xml:space="preserve"> faz </w:t>
      </w:r>
      <w:r w:rsidR="00D30CDA" w:rsidRPr="00D5464D">
        <w:rPr>
          <w:szCs w:val="20"/>
          <w:lang w:val="pt-BR"/>
        </w:rPr>
        <w:t>men</w:t>
      </w:r>
      <w:r w:rsidRPr="00D5464D">
        <w:rPr>
          <w:szCs w:val="20"/>
          <w:lang w:val="pt-BR"/>
        </w:rPr>
        <w:t>ção</w:t>
      </w:r>
      <w:r w:rsidR="00D30CDA" w:rsidRPr="00D5464D">
        <w:rPr>
          <w:szCs w:val="20"/>
          <w:lang w:val="pt-BR"/>
        </w:rPr>
        <w:t xml:space="preserve"> a ambas </w:t>
      </w:r>
      <w:r w:rsidR="002C127C" w:rsidRPr="00D5464D">
        <w:rPr>
          <w:szCs w:val="20"/>
          <w:lang w:val="pt-BR"/>
        </w:rPr>
        <w:t xml:space="preserve">as </w:t>
      </w:r>
      <w:r w:rsidR="00D809F0" w:rsidRPr="00D5464D">
        <w:rPr>
          <w:szCs w:val="20"/>
          <w:lang w:val="pt-BR"/>
        </w:rPr>
        <w:t>fazenda</w:t>
      </w:r>
      <w:r w:rsidR="00D30CDA" w:rsidRPr="00D5464D">
        <w:rPr>
          <w:szCs w:val="20"/>
          <w:lang w:val="pt-BR"/>
        </w:rPr>
        <w:t>s,</w:t>
      </w:r>
      <w:r w:rsidR="002C330E" w:rsidRPr="00D5464D">
        <w:rPr>
          <w:szCs w:val="20"/>
          <w:lang w:val="pt-BR"/>
        </w:rPr>
        <w:t xml:space="preserve"> o que </w:t>
      </w:r>
      <w:r w:rsidR="00E6727A" w:rsidRPr="00D5464D">
        <w:rPr>
          <w:szCs w:val="20"/>
          <w:lang w:val="pt-BR"/>
        </w:rPr>
        <w:t>re</w:t>
      </w:r>
      <w:r w:rsidR="002C330E" w:rsidRPr="00D5464D">
        <w:rPr>
          <w:szCs w:val="20"/>
          <w:lang w:val="pt-BR"/>
        </w:rPr>
        <w:t xml:space="preserve">força a </w:t>
      </w:r>
      <w:r w:rsidR="00E6727A" w:rsidRPr="00D5464D">
        <w:rPr>
          <w:szCs w:val="20"/>
          <w:lang w:val="pt-BR"/>
        </w:rPr>
        <w:t>ide</w:t>
      </w:r>
      <w:r w:rsidR="002C127C" w:rsidRPr="00D5464D">
        <w:rPr>
          <w:szCs w:val="20"/>
          <w:lang w:val="pt-BR"/>
        </w:rPr>
        <w:t>i</w:t>
      </w:r>
      <w:r w:rsidR="00E6727A" w:rsidRPr="00D5464D">
        <w:rPr>
          <w:szCs w:val="20"/>
          <w:lang w:val="pt-BR"/>
        </w:rPr>
        <w:t xml:space="preserve">a de </w:t>
      </w:r>
      <w:r w:rsidR="00D30CDA" w:rsidRPr="00D5464D">
        <w:rPr>
          <w:szCs w:val="20"/>
          <w:lang w:val="pt-BR"/>
        </w:rPr>
        <w:t xml:space="preserve">que </w:t>
      </w:r>
      <w:r w:rsidR="00E765C2" w:rsidRPr="00D5464D">
        <w:rPr>
          <w:szCs w:val="20"/>
          <w:lang w:val="pt-BR"/>
        </w:rPr>
        <w:t>constituíam</w:t>
      </w:r>
      <w:r w:rsidR="00D30CDA" w:rsidRPr="00D5464D">
        <w:rPr>
          <w:szCs w:val="20"/>
          <w:lang w:val="pt-BR"/>
        </w:rPr>
        <w:t>,</w:t>
      </w:r>
      <w:r w:rsidR="00E045D9" w:rsidRPr="00D5464D">
        <w:rPr>
          <w:szCs w:val="20"/>
          <w:lang w:val="pt-BR"/>
        </w:rPr>
        <w:t xml:space="preserve"> na </w:t>
      </w:r>
      <w:r w:rsidR="002C330E" w:rsidRPr="00D5464D">
        <w:rPr>
          <w:szCs w:val="20"/>
          <w:lang w:val="pt-BR"/>
        </w:rPr>
        <w:t>prática</w:t>
      </w:r>
      <w:r w:rsidR="002C127C" w:rsidRPr="00D5464D">
        <w:rPr>
          <w:szCs w:val="20"/>
          <w:lang w:val="pt-BR"/>
        </w:rPr>
        <w:t>,</w:t>
      </w:r>
      <w:r w:rsidR="00E045D9" w:rsidRPr="00D5464D">
        <w:rPr>
          <w:szCs w:val="20"/>
          <w:lang w:val="pt-BR"/>
        </w:rPr>
        <w:t xml:space="preserve"> uma </w:t>
      </w:r>
      <w:r w:rsidR="00D30CDA" w:rsidRPr="00D5464D">
        <w:rPr>
          <w:szCs w:val="20"/>
          <w:lang w:val="pt-BR"/>
        </w:rPr>
        <w:t xml:space="preserve">única </w:t>
      </w:r>
      <w:r w:rsidR="002C330E" w:rsidRPr="00D5464D">
        <w:rPr>
          <w:szCs w:val="20"/>
          <w:lang w:val="pt-BR"/>
        </w:rPr>
        <w:t>propriedade</w:t>
      </w:r>
      <w:r w:rsidR="00D30CDA" w:rsidRPr="00D5464D">
        <w:rPr>
          <w:szCs w:val="20"/>
          <w:lang w:val="pt-BR"/>
        </w:rPr>
        <w:t xml:space="preserve"> rural</w:t>
      </w:r>
      <w:r w:rsidRPr="00D5464D">
        <w:rPr>
          <w:szCs w:val="20"/>
          <w:lang w:val="pt-BR"/>
        </w:rPr>
        <w:t xml:space="preserve"> onde</w:t>
      </w:r>
      <w:r w:rsidR="00D30CDA" w:rsidRPr="00D5464D">
        <w:rPr>
          <w:szCs w:val="20"/>
          <w:lang w:val="pt-BR"/>
        </w:rPr>
        <w:t xml:space="preserve"> </w:t>
      </w:r>
      <w:r w:rsidR="002C127C" w:rsidRPr="00D5464D">
        <w:rPr>
          <w:szCs w:val="20"/>
          <w:lang w:val="pt-BR"/>
        </w:rPr>
        <w:t xml:space="preserve">as supostas vítimas do caso </w:t>
      </w:r>
      <w:r w:rsidR="00E045D9" w:rsidRPr="00D5464D">
        <w:rPr>
          <w:szCs w:val="20"/>
          <w:lang w:val="pt-BR"/>
        </w:rPr>
        <w:t>trabalh</w:t>
      </w:r>
      <w:r w:rsidR="00350187" w:rsidRPr="00D5464D">
        <w:rPr>
          <w:szCs w:val="20"/>
          <w:lang w:val="pt-BR"/>
        </w:rPr>
        <w:t>avam</w:t>
      </w:r>
      <w:r w:rsidR="00C91CB1" w:rsidRPr="00D5464D">
        <w:rPr>
          <w:szCs w:val="20"/>
          <w:lang w:val="pt-BR"/>
        </w:rPr>
        <w:t xml:space="preserve">. Em </w:t>
      </w:r>
      <w:r w:rsidR="00E045D9" w:rsidRPr="00D5464D">
        <w:rPr>
          <w:szCs w:val="20"/>
          <w:lang w:val="pt-BR"/>
        </w:rPr>
        <w:t>virtude</w:t>
      </w:r>
      <w:r w:rsidR="00350187" w:rsidRPr="00D5464D">
        <w:rPr>
          <w:szCs w:val="20"/>
          <w:lang w:val="pt-BR"/>
        </w:rPr>
        <w:t xml:space="preserve"> </w:t>
      </w:r>
      <w:r w:rsidR="002C127C" w:rsidRPr="00D5464D">
        <w:rPr>
          <w:szCs w:val="20"/>
          <w:lang w:val="pt-BR"/>
        </w:rPr>
        <w:t>disso</w:t>
      </w:r>
      <w:r w:rsidR="002246F9" w:rsidRPr="00D5464D">
        <w:rPr>
          <w:szCs w:val="20"/>
          <w:lang w:val="pt-BR"/>
        </w:rPr>
        <w:t>,</w:t>
      </w:r>
      <w:r w:rsidR="002C330E" w:rsidRPr="00D5464D">
        <w:rPr>
          <w:szCs w:val="20"/>
          <w:lang w:val="pt-BR"/>
        </w:rPr>
        <w:t xml:space="preserve"> a </w:t>
      </w:r>
      <w:r w:rsidR="002246F9" w:rsidRPr="00D5464D">
        <w:rPr>
          <w:szCs w:val="20"/>
          <w:lang w:val="pt-BR"/>
        </w:rPr>
        <w:t xml:space="preserve">Corte </w:t>
      </w:r>
      <w:r w:rsidR="002C127C" w:rsidRPr="00D5464D">
        <w:rPr>
          <w:szCs w:val="20"/>
          <w:lang w:val="pt-BR"/>
        </w:rPr>
        <w:t xml:space="preserve">rejeita </w:t>
      </w:r>
      <w:r w:rsidRPr="00D5464D">
        <w:rPr>
          <w:szCs w:val="20"/>
          <w:lang w:val="pt-BR"/>
        </w:rPr>
        <w:t xml:space="preserve">o </w:t>
      </w:r>
      <w:r w:rsidR="002246F9" w:rsidRPr="00D5464D">
        <w:rPr>
          <w:szCs w:val="20"/>
          <w:lang w:val="pt-BR"/>
        </w:rPr>
        <w:t xml:space="preserve">argumento </w:t>
      </w:r>
      <w:r w:rsidR="002C127C" w:rsidRPr="00D5464D">
        <w:rPr>
          <w:szCs w:val="20"/>
          <w:lang w:val="pt-BR"/>
        </w:rPr>
        <w:t xml:space="preserve">do </w:t>
      </w:r>
      <w:r w:rsidR="002246F9" w:rsidRPr="00D5464D">
        <w:rPr>
          <w:szCs w:val="20"/>
          <w:lang w:val="pt-BR"/>
        </w:rPr>
        <w:t>Estado</w:t>
      </w:r>
      <w:r w:rsidRPr="00D5464D">
        <w:rPr>
          <w:szCs w:val="20"/>
          <w:lang w:val="pt-BR"/>
        </w:rPr>
        <w:t xml:space="preserve"> e</w:t>
      </w:r>
      <w:r w:rsidR="002246F9" w:rsidRPr="00D5464D">
        <w:rPr>
          <w:szCs w:val="20"/>
          <w:lang w:val="pt-BR"/>
        </w:rPr>
        <w:t xml:space="preserve"> considera pertinente realizar</w:t>
      </w:r>
      <w:r w:rsidR="002C330E" w:rsidRPr="00D5464D">
        <w:rPr>
          <w:szCs w:val="20"/>
          <w:lang w:val="pt-BR"/>
        </w:rPr>
        <w:t xml:space="preserve"> </w:t>
      </w:r>
      <w:r w:rsidR="002C127C" w:rsidRPr="00D5464D">
        <w:rPr>
          <w:szCs w:val="20"/>
          <w:lang w:val="pt-BR"/>
        </w:rPr>
        <w:t>o</w:t>
      </w:r>
      <w:r w:rsidR="002C330E" w:rsidRPr="00D5464D">
        <w:rPr>
          <w:szCs w:val="20"/>
          <w:lang w:val="pt-BR"/>
        </w:rPr>
        <w:t xml:space="preserve"> </w:t>
      </w:r>
      <w:r w:rsidR="002246F9" w:rsidRPr="00D5464D">
        <w:rPr>
          <w:szCs w:val="20"/>
          <w:lang w:val="pt-BR"/>
        </w:rPr>
        <w:t xml:space="preserve">presente </w:t>
      </w:r>
      <w:r w:rsidR="002C127C" w:rsidRPr="00D5464D">
        <w:rPr>
          <w:szCs w:val="20"/>
          <w:lang w:val="pt-BR"/>
        </w:rPr>
        <w:t xml:space="preserve">esclarecimento </w:t>
      </w:r>
      <w:r w:rsidR="002C330E" w:rsidRPr="00D5464D">
        <w:rPr>
          <w:szCs w:val="20"/>
          <w:lang w:val="pt-BR"/>
        </w:rPr>
        <w:t>a respeito</w:t>
      </w:r>
      <w:r w:rsidRPr="00D5464D">
        <w:rPr>
          <w:szCs w:val="20"/>
          <w:lang w:val="pt-BR"/>
        </w:rPr>
        <w:t xml:space="preserve"> da </w:t>
      </w:r>
      <w:r w:rsidR="002246F9" w:rsidRPr="00D5464D">
        <w:rPr>
          <w:szCs w:val="20"/>
          <w:lang w:val="pt-BR"/>
        </w:rPr>
        <w:t>vincula</w:t>
      </w:r>
      <w:r w:rsidRPr="00D5464D">
        <w:rPr>
          <w:szCs w:val="20"/>
          <w:lang w:val="pt-BR"/>
        </w:rPr>
        <w:t>ção</w:t>
      </w:r>
      <w:r w:rsidR="002246F9" w:rsidRPr="00D5464D">
        <w:rPr>
          <w:szCs w:val="20"/>
          <w:lang w:val="pt-BR"/>
        </w:rPr>
        <w:t xml:space="preserve"> entre ambas </w:t>
      </w:r>
      <w:r w:rsidR="002C127C" w:rsidRPr="00D5464D">
        <w:rPr>
          <w:szCs w:val="20"/>
          <w:lang w:val="pt-BR"/>
        </w:rPr>
        <w:t xml:space="preserve">as </w:t>
      </w:r>
      <w:r w:rsidR="00D809F0" w:rsidRPr="00D5464D">
        <w:rPr>
          <w:szCs w:val="20"/>
          <w:lang w:val="pt-BR"/>
        </w:rPr>
        <w:t>fazenda</w:t>
      </w:r>
      <w:r w:rsidR="002246F9" w:rsidRPr="00D5464D">
        <w:rPr>
          <w:szCs w:val="20"/>
          <w:lang w:val="pt-BR"/>
        </w:rPr>
        <w:t>s,</w:t>
      </w:r>
      <w:r w:rsidR="002C330E" w:rsidRPr="00D5464D">
        <w:rPr>
          <w:szCs w:val="20"/>
          <w:lang w:val="pt-BR"/>
        </w:rPr>
        <w:t xml:space="preserve"> sem prejuízo</w:t>
      </w:r>
      <w:r w:rsidR="002246F9" w:rsidRPr="00D5464D">
        <w:rPr>
          <w:szCs w:val="20"/>
          <w:lang w:val="pt-BR"/>
        </w:rPr>
        <w:t xml:space="preserve"> de que</w:t>
      </w:r>
      <w:r w:rsidRPr="00D5464D">
        <w:rPr>
          <w:szCs w:val="20"/>
          <w:lang w:val="pt-BR"/>
        </w:rPr>
        <w:t xml:space="preserve"> </w:t>
      </w:r>
      <w:r w:rsidR="002C127C" w:rsidRPr="00D5464D">
        <w:rPr>
          <w:szCs w:val="20"/>
          <w:lang w:val="pt-BR"/>
        </w:rPr>
        <w:t xml:space="preserve">daqui por diante </w:t>
      </w:r>
      <w:r w:rsidR="00702CD8" w:rsidRPr="00D5464D">
        <w:rPr>
          <w:szCs w:val="20"/>
          <w:lang w:val="pt-BR"/>
        </w:rPr>
        <w:t>se refi</w:t>
      </w:r>
      <w:r w:rsidR="002246F9" w:rsidRPr="00D5464D">
        <w:rPr>
          <w:szCs w:val="20"/>
          <w:lang w:val="pt-BR"/>
        </w:rPr>
        <w:t>ra</w:t>
      </w:r>
      <w:r w:rsidR="00BF142B" w:rsidRPr="00D5464D">
        <w:rPr>
          <w:szCs w:val="20"/>
          <w:lang w:val="pt-BR"/>
        </w:rPr>
        <w:t>,</w:t>
      </w:r>
      <w:r w:rsidR="002246F9" w:rsidRPr="00D5464D">
        <w:rPr>
          <w:szCs w:val="20"/>
          <w:lang w:val="pt-BR"/>
        </w:rPr>
        <w:t xml:space="preserve"> principalmente</w:t>
      </w:r>
      <w:r w:rsidR="00E045D9" w:rsidRPr="00D5464D">
        <w:rPr>
          <w:szCs w:val="20"/>
          <w:lang w:val="pt-BR"/>
        </w:rPr>
        <w:t xml:space="preserve"> e </w:t>
      </w:r>
      <w:r w:rsidRPr="00D5464D">
        <w:rPr>
          <w:szCs w:val="20"/>
          <w:lang w:val="pt-BR"/>
        </w:rPr>
        <w:t xml:space="preserve">em </w:t>
      </w:r>
      <w:r w:rsidR="00E045D9" w:rsidRPr="00D5464D">
        <w:rPr>
          <w:szCs w:val="20"/>
          <w:lang w:val="pt-BR"/>
        </w:rPr>
        <w:t>termo</w:t>
      </w:r>
      <w:r w:rsidR="002246F9" w:rsidRPr="00D5464D">
        <w:rPr>
          <w:szCs w:val="20"/>
          <w:lang w:val="pt-BR"/>
        </w:rPr>
        <w:t xml:space="preserve">s </w:t>
      </w:r>
      <w:r w:rsidR="002C330E" w:rsidRPr="00D5464D">
        <w:rPr>
          <w:szCs w:val="20"/>
          <w:lang w:val="pt-BR"/>
        </w:rPr>
        <w:t>gerais</w:t>
      </w:r>
      <w:r w:rsidR="002C127C" w:rsidRPr="00D5464D">
        <w:rPr>
          <w:szCs w:val="20"/>
          <w:lang w:val="pt-BR"/>
        </w:rPr>
        <w:t>,</w:t>
      </w:r>
      <w:r w:rsidR="00E045D9" w:rsidRPr="00D5464D">
        <w:rPr>
          <w:szCs w:val="20"/>
          <w:lang w:val="pt-BR"/>
        </w:rPr>
        <w:t xml:space="preserve"> aos trabalhadores</w:t>
      </w:r>
      <w:r w:rsidRPr="00D5464D">
        <w:rPr>
          <w:szCs w:val="20"/>
          <w:lang w:val="pt-BR"/>
        </w:rPr>
        <w:t xml:space="preserve"> da </w:t>
      </w:r>
      <w:r w:rsidR="00D809F0" w:rsidRPr="00D5464D">
        <w:rPr>
          <w:szCs w:val="20"/>
          <w:lang w:val="pt-BR"/>
        </w:rPr>
        <w:t>Fazenda</w:t>
      </w:r>
      <w:r w:rsidR="002246F9" w:rsidRPr="00D5464D">
        <w:rPr>
          <w:szCs w:val="20"/>
          <w:lang w:val="pt-BR"/>
        </w:rPr>
        <w:t xml:space="preserve"> Brasil Verde</w:t>
      </w:r>
      <w:r w:rsidR="002C127C" w:rsidRPr="00D5464D">
        <w:rPr>
          <w:szCs w:val="20"/>
          <w:lang w:val="pt-BR"/>
        </w:rPr>
        <w:t>.</w:t>
      </w:r>
      <w:r w:rsidR="002246F9" w:rsidRPr="00D5464D">
        <w:rPr>
          <w:rStyle w:val="Refdenotaalpie"/>
          <w:lang w:val="pt-BR"/>
        </w:rPr>
        <w:footnoteReference w:id="261"/>
      </w:r>
    </w:p>
    <w:p w14:paraId="1C332636" w14:textId="77777777" w:rsidR="002246F9" w:rsidRPr="00D5464D" w:rsidRDefault="002246F9" w:rsidP="002246F9">
      <w:pPr>
        <w:pStyle w:val="Prrafodelista"/>
        <w:autoSpaceDE w:val="0"/>
        <w:autoSpaceDN w:val="0"/>
        <w:adjustRightInd w:val="0"/>
        <w:ind w:left="0"/>
        <w:rPr>
          <w:szCs w:val="20"/>
          <w:lang w:val="pt-BR"/>
        </w:rPr>
      </w:pPr>
    </w:p>
    <w:p w14:paraId="714DAE25" w14:textId="4A7FB49B" w:rsidR="002246F9" w:rsidRPr="00D5464D" w:rsidRDefault="00350187" w:rsidP="00D47B1B">
      <w:pPr>
        <w:pStyle w:val="Prrafodelista"/>
        <w:numPr>
          <w:ilvl w:val="0"/>
          <w:numId w:val="1"/>
        </w:numPr>
        <w:autoSpaceDE w:val="0"/>
        <w:autoSpaceDN w:val="0"/>
        <w:adjustRightInd w:val="0"/>
        <w:rPr>
          <w:szCs w:val="20"/>
          <w:lang w:val="pt-BR"/>
        </w:rPr>
      </w:pPr>
      <w:r w:rsidRPr="00D5464D">
        <w:rPr>
          <w:szCs w:val="20"/>
          <w:lang w:val="pt-BR"/>
        </w:rPr>
        <w:t xml:space="preserve">Além disso, </w:t>
      </w:r>
      <w:r w:rsidR="002C330E" w:rsidRPr="00D5464D">
        <w:rPr>
          <w:szCs w:val="20"/>
          <w:lang w:val="pt-BR"/>
        </w:rPr>
        <w:t xml:space="preserve">a </w:t>
      </w:r>
      <w:r w:rsidR="002246F9" w:rsidRPr="00D5464D">
        <w:rPr>
          <w:szCs w:val="20"/>
          <w:lang w:val="pt-BR"/>
        </w:rPr>
        <w:t xml:space="preserve">Corte </w:t>
      </w:r>
      <w:r w:rsidR="00E045D9" w:rsidRPr="00D5464D">
        <w:rPr>
          <w:szCs w:val="20"/>
          <w:lang w:val="pt-BR"/>
        </w:rPr>
        <w:t>constatou</w:t>
      </w:r>
      <w:r w:rsidR="002246F9" w:rsidRPr="00D5464D">
        <w:rPr>
          <w:szCs w:val="20"/>
          <w:lang w:val="pt-BR"/>
        </w:rPr>
        <w:t xml:space="preserve"> que</w:t>
      </w:r>
      <w:r w:rsidR="002C330E" w:rsidRPr="00D5464D">
        <w:rPr>
          <w:szCs w:val="20"/>
          <w:lang w:val="pt-BR"/>
        </w:rPr>
        <w:t xml:space="preserve"> as</w:t>
      </w:r>
      <w:r w:rsidR="00E045D9" w:rsidRPr="00D5464D">
        <w:rPr>
          <w:szCs w:val="20"/>
          <w:lang w:val="pt-BR"/>
        </w:rPr>
        <w:t xml:space="preserve"> três </w:t>
      </w:r>
      <w:r w:rsidR="002C330E" w:rsidRPr="00D5464D">
        <w:rPr>
          <w:szCs w:val="20"/>
          <w:lang w:val="pt-BR"/>
        </w:rPr>
        <w:t>pessoa</w:t>
      </w:r>
      <w:r w:rsidR="00BD1B84" w:rsidRPr="00D5464D">
        <w:rPr>
          <w:szCs w:val="20"/>
          <w:lang w:val="pt-BR"/>
        </w:rPr>
        <w:t xml:space="preserve">s </w:t>
      </w:r>
      <w:r w:rsidR="00BF142B" w:rsidRPr="00D5464D">
        <w:rPr>
          <w:szCs w:val="20"/>
          <w:lang w:val="pt-BR"/>
        </w:rPr>
        <w:t>indicadas pelos representantes, em acréscimo</w:t>
      </w:r>
      <w:r w:rsidR="00FF1290" w:rsidRPr="00D5464D">
        <w:rPr>
          <w:szCs w:val="20"/>
          <w:lang w:val="pt-BR"/>
        </w:rPr>
        <w:t xml:space="preserve"> </w:t>
      </w:r>
      <w:r w:rsidR="00470ADC" w:rsidRPr="00D5464D">
        <w:rPr>
          <w:szCs w:val="20"/>
          <w:lang w:val="pt-BR"/>
        </w:rPr>
        <w:t xml:space="preserve">à </w:t>
      </w:r>
      <w:r w:rsidR="00BD1B84" w:rsidRPr="00D5464D">
        <w:rPr>
          <w:szCs w:val="20"/>
          <w:lang w:val="pt-BR"/>
        </w:rPr>
        <w:t>lista</w:t>
      </w:r>
      <w:r w:rsidR="00470ADC" w:rsidRPr="00D5464D">
        <w:rPr>
          <w:szCs w:val="20"/>
          <w:lang w:val="pt-BR"/>
        </w:rPr>
        <w:t xml:space="preserve"> da Comissão</w:t>
      </w:r>
      <w:r w:rsidR="00BF142B" w:rsidRPr="00D5464D">
        <w:rPr>
          <w:szCs w:val="20"/>
          <w:lang w:val="pt-BR"/>
        </w:rPr>
        <w:t>,</w:t>
      </w:r>
      <w:r w:rsidR="00BD1B84" w:rsidRPr="00D5464D">
        <w:rPr>
          <w:szCs w:val="20"/>
          <w:lang w:val="pt-BR"/>
        </w:rPr>
        <w:t xml:space="preserve"> </w:t>
      </w:r>
      <w:r w:rsidR="00470ADC" w:rsidRPr="00D5464D">
        <w:rPr>
          <w:szCs w:val="20"/>
          <w:lang w:val="pt-BR"/>
        </w:rPr>
        <w:t>foram</w:t>
      </w:r>
      <w:r w:rsidR="002246F9" w:rsidRPr="00D5464D">
        <w:rPr>
          <w:szCs w:val="20"/>
          <w:lang w:val="pt-BR"/>
        </w:rPr>
        <w:t xml:space="preserve">: 1. </w:t>
      </w:r>
      <w:r w:rsidR="00E42F61" w:rsidRPr="00D5464D">
        <w:rPr>
          <w:rFonts w:cs="Times New Roman"/>
          <w:szCs w:val="20"/>
          <w:lang w:val="pt-BR"/>
        </w:rPr>
        <w:t xml:space="preserve">Antônio </w:t>
      </w:r>
      <w:r w:rsidR="002246F9" w:rsidRPr="00D5464D">
        <w:rPr>
          <w:rFonts w:cs="Times New Roman"/>
          <w:szCs w:val="20"/>
          <w:lang w:val="pt-BR"/>
        </w:rPr>
        <w:t>Pereira dos Santos</w:t>
      </w:r>
      <w:r w:rsidR="00105576" w:rsidRPr="00D5464D">
        <w:rPr>
          <w:rFonts w:cs="Times New Roman"/>
          <w:szCs w:val="20"/>
          <w:lang w:val="pt-BR"/>
        </w:rPr>
        <w:t>,</w:t>
      </w:r>
      <w:r w:rsidR="002246F9" w:rsidRPr="00D5464D">
        <w:rPr>
          <w:rFonts w:cs="Times New Roman"/>
          <w:szCs w:val="20"/>
          <w:lang w:val="pt-BR"/>
        </w:rPr>
        <w:t xml:space="preserve"> 2. </w:t>
      </w:r>
      <w:r w:rsidR="002246F9" w:rsidRPr="00D5464D">
        <w:rPr>
          <w:szCs w:val="20"/>
          <w:lang w:val="pt-BR"/>
        </w:rPr>
        <w:t xml:space="preserve">Francisco das </w:t>
      </w:r>
      <w:r w:rsidR="00D54143" w:rsidRPr="00D5464D">
        <w:rPr>
          <w:szCs w:val="20"/>
          <w:lang w:val="pt-BR"/>
        </w:rPr>
        <w:t xml:space="preserve">Chagas </w:t>
      </w:r>
      <w:r w:rsidR="002246F9" w:rsidRPr="00D5464D">
        <w:rPr>
          <w:szCs w:val="20"/>
          <w:lang w:val="pt-BR"/>
        </w:rPr>
        <w:t>Bastos Souza</w:t>
      </w:r>
      <w:r w:rsidR="00470ADC" w:rsidRPr="00D5464D">
        <w:rPr>
          <w:szCs w:val="20"/>
          <w:lang w:val="pt-BR"/>
        </w:rPr>
        <w:t>, e</w:t>
      </w:r>
      <w:r w:rsidR="002246F9" w:rsidRPr="00D5464D">
        <w:rPr>
          <w:szCs w:val="20"/>
          <w:lang w:val="pt-BR"/>
        </w:rPr>
        <w:t xml:space="preserve"> 3. Francisco Pereira da Silva. </w:t>
      </w:r>
      <w:r w:rsidR="00470ADC" w:rsidRPr="00D5464D">
        <w:rPr>
          <w:szCs w:val="20"/>
          <w:lang w:val="pt-BR"/>
        </w:rPr>
        <w:t>Ademais</w:t>
      </w:r>
      <w:r w:rsidR="002246F9" w:rsidRPr="00D5464D">
        <w:rPr>
          <w:szCs w:val="20"/>
          <w:lang w:val="pt-BR"/>
        </w:rPr>
        <w:t>,</w:t>
      </w:r>
      <w:r w:rsidR="00470ADC" w:rsidRPr="00D5464D">
        <w:rPr>
          <w:szCs w:val="20"/>
          <w:lang w:val="pt-BR"/>
        </w:rPr>
        <w:t xml:space="preserve"> o </w:t>
      </w:r>
      <w:r w:rsidR="002246F9" w:rsidRPr="00D5464D">
        <w:rPr>
          <w:szCs w:val="20"/>
          <w:lang w:val="pt-BR"/>
        </w:rPr>
        <w:t xml:space="preserve">Tribunal </w:t>
      </w:r>
      <w:r w:rsidR="002C330E" w:rsidRPr="00D5464D">
        <w:rPr>
          <w:szCs w:val="20"/>
          <w:lang w:val="pt-BR"/>
        </w:rPr>
        <w:t>observou</w:t>
      </w:r>
      <w:r w:rsidR="002246F9" w:rsidRPr="00D5464D">
        <w:rPr>
          <w:szCs w:val="20"/>
          <w:lang w:val="pt-BR"/>
        </w:rPr>
        <w:t xml:space="preserve"> que</w:t>
      </w:r>
      <w:r w:rsidR="00470ADC" w:rsidRPr="00D5464D">
        <w:rPr>
          <w:szCs w:val="20"/>
          <w:lang w:val="pt-BR"/>
        </w:rPr>
        <w:t xml:space="preserve"> o </w:t>
      </w:r>
      <w:r w:rsidR="00737270" w:rsidRPr="00D5464D">
        <w:rPr>
          <w:szCs w:val="20"/>
          <w:lang w:val="pt-BR"/>
        </w:rPr>
        <w:t>Estado não se referiu</w:t>
      </w:r>
      <w:r w:rsidR="00E045D9" w:rsidRPr="00D5464D">
        <w:rPr>
          <w:szCs w:val="20"/>
          <w:lang w:val="pt-BR"/>
        </w:rPr>
        <w:t xml:space="preserve"> aos </w:t>
      </w:r>
      <w:r w:rsidR="002C330E" w:rsidRPr="00D5464D">
        <w:rPr>
          <w:szCs w:val="20"/>
          <w:lang w:val="pt-BR"/>
        </w:rPr>
        <w:t>seguinte</w:t>
      </w:r>
      <w:r w:rsidR="002246F9" w:rsidRPr="00D5464D">
        <w:rPr>
          <w:szCs w:val="20"/>
          <w:lang w:val="pt-BR"/>
        </w:rPr>
        <w:t xml:space="preserve">s </w:t>
      </w:r>
      <w:r w:rsidR="00E045D9" w:rsidRPr="00D5464D">
        <w:rPr>
          <w:szCs w:val="20"/>
          <w:lang w:val="pt-BR"/>
        </w:rPr>
        <w:t>trabalhadores</w:t>
      </w:r>
      <w:r w:rsidR="002246F9" w:rsidRPr="00D5464D">
        <w:rPr>
          <w:szCs w:val="20"/>
          <w:lang w:val="pt-BR"/>
        </w:rPr>
        <w:t xml:space="preserve"> </w:t>
      </w:r>
      <w:r w:rsidR="002C330E" w:rsidRPr="00D5464D">
        <w:rPr>
          <w:szCs w:val="20"/>
          <w:lang w:val="pt-BR"/>
        </w:rPr>
        <w:t>indicado</w:t>
      </w:r>
      <w:r w:rsidR="002246F9" w:rsidRPr="00D5464D">
        <w:rPr>
          <w:szCs w:val="20"/>
          <w:lang w:val="pt-BR"/>
        </w:rPr>
        <w:t>s</w:t>
      </w:r>
      <w:r w:rsidR="002C330E" w:rsidRPr="00D5464D">
        <w:rPr>
          <w:szCs w:val="20"/>
          <w:lang w:val="pt-BR"/>
        </w:rPr>
        <w:t xml:space="preserve"> pela </w:t>
      </w:r>
      <w:r w:rsidR="00470ADC" w:rsidRPr="00D5464D">
        <w:rPr>
          <w:szCs w:val="20"/>
          <w:lang w:val="pt-BR"/>
        </w:rPr>
        <w:t>Comissão</w:t>
      </w:r>
      <w:r w:rsidR="00E045D9" w:rsidRPr="00D5464D">
        <w:rPr>
          <w:szCs w:val="20"/>
          <w:lang w:val="pt-BR"/>
        </w:rPr>
        <w:t xml:space="preserve"> e </w:t>
      </w:r>
      <w:r w:rsidR="002C127C" w:rsidRPr="00D5464D">
        <w:rPr>
          <w:szCs w:val="20"/>
          <w:lang w:val="pt-BR"/>
        </w:rPr>
        <w:t>pel</w:t>
      </w:r>
      <w:r w:rsidR="002C330E" w:rsidRPr="00D5464D">
        <w:rPr>
          <w:szCs w:val="20"/>
          <w:lang w:val="pt-BR"/>
        </w:rPr>
        <w:t xml:space="preserve">os </w:t>
      </w:r>
      <w:r w:rsidR="00EB1CE9" w:rsidRPr="00D5464D">
        <w:rPr>
          <w:szCs w:val="20"/>
          <w:lang w:val="pt-BR"/>
        </w:rPr>
        <w:t>representante</w:t>
      </w:r>
      <w:r w:rsidR="002246F9" w:rsidRPr="00D5464D">
        <w:rPr>
          <w:szCs w:val="20"/>
          <w:lang w:val="pt-BR"/>
        </w:rPr>
        <w:t xml:space="preserve">s: 1. </w:t>
      </w:r>
      <w:r w:rsidR="00E42F61" w:rsidRPr="00D5464D">
        <w:rPr>
          <w:rFonts w:cs="Times New Roman"/>
          <w:szCs w:val="20"/>
          <w:lang w:val="pt-BR"/>
        </w:rPr>
        <w:t xml:space="preserve">Antônio </w:t>
      </w:r>
      <w:r w:rsidR="002246F9" w:rsidRPr="00D5464D">
        <w:rPr>
          <w:rFonts w:cs="Times New Roman"/>
          <w:szCs w:val="20"/>
          <w:lang w:val="pt-BR"/>
        </w:rPr>
        <w:t>Francisco da Silva Fernandes</w:t>
      </w:r>
      <w:r w:rsidR="00105576" w:rsidRPr="00D5464D">
        <w:rPr>
          <w:rFonts w:cs="Times New Roman"/>
          <w:szCs w:val="20"/>
          <w:lang w:val="pt-BR"/>
        </w:rPr>
        <w:t>,</w:t>
      </w:r>
      <w:r w:rsidR="002246F9" w:rsidRPr="00D5464D">
        <w:rPr>
          <w:rFonts w:cs="Times New Roman"/>
          <w:szCs w:val="20"/>
          <w:lang w:val="pt-BR"/>
        </w:rPr>
        <w:t xml:space="preserve"> 2. Francisco das </w:t>
      </w:r>
      <w:r w:rsidR="00D54143" w:rsidRPr="00D5464D">
        <w:rPr>
          <w:rFonts w:cs="Times New Roman"/>
          <w:szCs w:val="20"/>
          <w:lang w:val="pt-BR"/>
        </w:rPr>
        <w:t xml:space="preserve">Chagas </w:t>
      </w:r>
      <w:r w:rsidR="002246F9" w:rsidRPr="00D5464D">
        <w:rPr>
          <w:rFonts w:cs="Times New Roman"/>
          <w:szCs w:val="20"/>
          <w:lang w:val="pt-BR"/>
        </w:rPr>
        <w:t>Rodrigues de Sousa</w:t>
      </w:r>
      <w:r w:rsidR="00105576" w:rsidRPr="00D5464D">
        <w:rPr>
          <w:rFonts w:cs="Times New Roman"/>
          <w:szCs w:val="20"/>
          <w:lang w:val="pt-BR"/>
        </w:rPr>
        <w:t>,</w:t>
      </w:r>
      <w:r w:rsidR="002246F9" w:rsidRPr="00D5464D">
        <w:rPr>
          <w:rFonts w:cs="Times New Roman"/>
          <w:szCs w:val="20"/>
          <w:lang w:val="pt-BR"/>
        </w:rPr>
        <w:t xml:space="preserve"> 3. </w:t>
      </w:r>
      <w:r w:rsidR="00D47B1B" w:rsidRPr="00D5464D">
        <w:rPr>
          <w:rFonts w:cs="Times New Roman"/>
          <w:szCs w:val="20"/>
          <w:lang w:val="pt-BR"/>
        </w:rPr>
        <w:t xml:space="preserve">José Francisco Furtado de Sousa, quem na lista da Comissão foi identificado como </w:t>
      </w:r>
      <w:r w:rsidR="002246F9" w:rsidRPr="00D5464D">
        <w:rPr>
          <w:rFonts w:cs="Times New Roman"/>
          <w:szCs w:val="20"/>
          <w:lang w:val="pt-BR"/>
        </w:rPr>
        <w:t>Gonçalo Luiz Furtado</w:t>
      </w:r>
      <w:r w:rsidR="00D47B1B" w:rsidRPr="00D5464D">
        <w:rPr>
          <w:rFonts w:cs="Times New Roman"/>
          <w:szCs w:val="20"/>
          <w:lang w:val="pt-BR"/>
        </w:rPr>
        <w:t>,</w:t>
      </w:r>
      <w:r w:rsidR="00470ADC" w:rsidRPr="00D5464D">
        <w:rPr>
          <w:rFonts w:cs="Times New Roman"/>
          <w:szCs w:val="20"/>
          <w:lang w:val="pt-BR"/>
        </w:rPr>
        <w:t xml:space="preserve"> e</w:t>
      </w:r>
      <w:r w:rsidR="002246F9" w:rsidRPr="00D5464D">
        <w:rPr>
          <w:rFonts w:cs="Times New Roman"/>
          <w:szCs w:val="20"/>
          <w:lang w:val="pt-BR"/>
        </w:rPr>
        <w:t xml:space="preserve"> 4. Paulo Pereira dos Santos.</w:t>
      </w:r>
    </w:p>
    <w:p w14:paraId="4C1EBB0D" w14:textId="77777777" w:rsidR="002246F9" w:rsidRPr="00D5464D" w:rsidRDefault="002246F9" w:rsidP="002246F9">
      <w:pPr>
        <w:pStyle w:val="Prrafodelista"/>
        <w:rPr>
          <w:szCs w:val="20"/>
          <w:lang w:val="pt-BR"/>
        </w:rPr>
      </w:pPr>
    </w:p>
    <w:p w14:paraId="51FAB411" w14:textId="5CC298D8" w:rsidR="002246F9" w:rsidRPr="00D5464D" w:rsidRDefault="00E045D9" w:rsidP="002246F9">
      <w:pPr>
        <w:pStyle w:val="Prrafodelista"/>
        <w:numPr>
          <w:ilvl w:val="0"/>
          <w:numId w:val="1"/>
        </w:numPr>
        <w:autoSpaceDE w:val="0"/>
        <w:autoSpaceDN w:val="0"/>
        <w:adjustRightInd w:val="0"/>
        <w:rPr>
          <w:szCs w:val="20"/>
          <w:lang w:val="pt-BR"/>
        </w:rPr>
      </w:pPr>
      <w:r w:rsidRPr="00D5464D">
        <w:rPr>
          <w:szCs w:val="20"/>
          <w:lang w:val="pt-BR"/>
        </w:rPr>
        <w:t xml:space="preserve">Da </w:t>
      </w:r>
      <w:r w:rsidR="002C330E" w:rsidRPr="00D5464D">
        <w:rPr>
          <w:szCs w:val="20"/>
          <w:lang w:val="pt-BR"/>
        </w:rPr>
        <w:t>mesm</w:t>
      </w:r>
      <w:r w:rsidR="002246F9" w:rsidRPr="00D5464D">
        <w:rPr>
          <w:szCs w:val="20"/>
          <w:lang w:val="pt-BR"/>
        </w:rPr>
        <w:t xml:space="preserve">a forma </w:t>
      </w:r>
      <w:r w:rsidR="007E0D56" w:rsidRPr="00D5464D">
        <w:rPr>
          <w:szCs w:val="20"/>
          <w:lang w:val="pt-BR"/>
        </w:rPr>
        <w:t xml:space="preserve">indicada </w:t>
      </w:r>
      <w:r w:rsidRPr="00D5464D">
        <w:rPr>
          <w:szCs w:val="20"/>
          <w:lang w:val="pt-BR"/>
        </w:rPr>
        <w:t xml:space="preserve">no </w:t>
      </w:r>
      <w:r w:rsidR="00E765C2" w:rsidRPr="00D5464D">
        <w:rPr>
          <w:szCs w:val="20"/>
          <w:lang w:val="pt-BR"/>
        </w:rPr>
        <w:t xml:space="preserve">capítulo </w:t>
      </w:r>
      <w:r w:rsidR="002246F9" w:rsidRPr="00D5464D">
        <w:rPr>
          <w:szCs w:val="20"/>
          <w:lang w:val="pt-BR"/>
        </w:rPr>
        <w:t xml:space="preserve">anterior, </w:t>
      </w:r>
      <w:r w:rsidR="007E0D56" w:rsidRPr="00D5464D">
        <w:rPr>
          <w:szCs w:val="20"/>
          <w:lang w:val="pt-BR"/>
        </w:rPr>
        <w:t xml:space="preserve">levando </w:t>
      </w:r>
      <w:r w:rsidR="00470ADC" w:rsidRPr="00D5464D">
        <w:rPr>
          <w:szCs w:val="20"/>
          <w:lang w:val="pt-BR"/>
        </w:rPr>
        <w:t xml:space="preserve">em </w:t>
      </w:r>
      <w:r w:rsidR="002246F9" w:rsidRPr="00D5464D">
        <w:rPr>
          <w:szCs w:val="20"/>
          <w:lang w:val="pt-BR"/>
        </w:rPr>
        <w:t>considera</w:t>
      </w:r>
      <w:r w:rsidR="00470ADC" w:rsidRPr="00D5464D">
        <w:rPr>
          <w:szCs w:val="20"/>
          <w:lang w:val="pt-BR"/>
        </w:rPr>
        <w:t>ção</w:t>
      </w:r>
      <w:r w:rsidR="002246F9" w:rsidRPr="00D5464D">
        <w:rPr>
          <w:szCs w:val="20"/>
          <w:lang w:val="pt-BR"/>
        </w:rPr>
        <w:t xml:space="preserve"> que para resolver</w:t>
      </w:r>
      <w:r w:rsidR="00470ADC" w:rsidRPr="00D5464D">
        <w:rPr>
          <w:szCs w:val="20"/>
          <w:lang w:val="pt-BR"/>
        </w:rPr>
        <w:t xml:space="preserve"> o </w:t>
      </w:r>
      <w:r w:rsidR="002246F9" w:rsidRPr="00D5464D">
        <w:rPr>
          <w:szCs w:val="20"/>
          <w:lang w:val="pt-BR"/>
        </w:rPr>
        <w:t>presente caso</w:t>
      </w:r>
      <w:r w:rsidR="00D33A02" w:rsidRPr="00D5464D">
        <w:rPr>
          <w:szCs w:val="20"/>
          <w:lang w:val="pt-BR"/>
        </w:rPr>
        <w:t>,</w:t>
      </w:r>
      <w:r w:rsidR="00470ADC" w:rsidRPr="00D5464D">
        <w:rPr>
          <w:szCs w:val="20"/>
          <w:lang w:val="pt-BR"/>
        </w:rPr>
        <w:t xml:space="preserve"> é </w:t>
      </w:r>
      <w:r w:rsidR="002C330E" w:rsidRPr="00D5464D">
        <w:rPr>
          <w:szCs w:val="20"/>
          <w:lang w:val="pt-BR"/>
        </w:rPr>
        <w:t>necessári</w:t>
      </w:r>
      <w:r w:rsidR="002246F9" w:rsidRPr="00D5464D">
        <w:rPr>
          <w:szCs w:val="20"/>
          <w:lang w:val="pt-BR"/>
        </w:rPr>
        <w:t>o que</w:t>
      </w:r>
      <w:r w:rsidR="002C330E" w:rsidRPr="00D5464D">
        <w:rPr>
          <w:szCs w:val="20"/>
          <w:lang w:val="pt-BR"/>
        </w:rPr>
        <w:t xml:space="preserve"> a </w:t>
      </w:r>
      <w:r w:rsidR="002246F9" w:rsidRPr="00D5464D">
        <w:rPr>
          <w:szCs w:val="20"/>
          <w:lang w:val="pt-BR"/>
        </w:rPr>
        <w:t xml:space="preserve">Corte </w:t>
      </w:r>
      <w:r w:rsidR="00470ADC" w:rsidRPr="00D5464D">
        <w:rPr>
          <w:szCs w:val="20"/>
          <w:lang w:val="pt-BR"/>
        </w:rPr>
        <w:t>conte com</w:t>
      </w:r>
      <w:r w:rsidRPr="00D5464D">
        <w:rPr>
          <w:szCs w:val="20"/>
          <w:lang w:val="pt-BR"/>
        </w:rPr>
        <w:t xml:space="preserve"> um </w:t>
      </w:r>
      <w:r w:rsidR="002246F9" w:rsidRPr="00D5464D">
        <w:rPr>
          <w:szCs w:val="20"/>
          <w:lang w:val="pt-BR"/>
        </w:rPr>
        <w:t>mínimo de certeza sobre</w:t>
      </w:r>
      <w:r w:rsidR="002C330E" w:rsidRPr="00D5464D">
        <w:rPr>
          <w:szCs w:val="20"/>
          <w:lang w:val="pt-BR"/>
        </w:rPr>
        <w:t xml:space="preserve"> a </w:t>
      </w:r>
      <w:r w:rsidRPr="00D5464D">
        <w:rPr>
          <w:szCs w:val="20"/>
          <w:lang w:val="pt-BR"/>
        </w:rPr>
        <w:t>existência</w:t>
      </w:r>
      <w:r w:rsidR="002246F9" w:rsidRPr="00D5464D">
        <w:rPr>
          <w:szCs w:val="20"/>
          <w:lang w:val="pt-BR"/>
        </w:rPr>
        <w:t xml:space="preserve"> </w:t>
      </w:r>
      <w:r w:rsidR="007E0D56" w:rsidRPr="00D5464D">
        <w:rPr>
          <w:szCs w:val="20"/>
          <w:lang w:val="pt-BR"/>
        </w:rPr>
        <w:t xml:space="preserve">destas </w:t>
      </w:r>
      <w:r w:rsidR="002C330E" w:rsidRPr="00D5464D">
        <w:rPr>
          <w:szCs w:val="20"/>
          <w:lang w:val="pt-BR"/>
        </w:rPr>
        <w:t>pessoa</w:t>
      </w:r>
      <w:r w:rsidR="002246F9" w:rsidRPr="00D5464D">
        <w:rPr>
          <w:szCs w:val="20"/>
          <w:lang w:val="pt-BR"/>
        </w:rPr>
        <w:t>s</w:t>
      </w:r>
      <w:r w:rsidR="007E0D56" w:rsidRPr="00D5464D">
        <w:rPr>
          <w:szCs w:val="20"/>
          <w:lang w:val="pt-BR"/>
        </w:rPr>
        <w:t>,</w:t>
      </w:r>
      <w:r w:rsidR="002246F9" w:rsidRPr="00D5464D">
        <w:rPr>
          <w:rStyle w:val="Refdenotaalpie"/>
          <w:lang w:val="pt-BR"/>
        </w:rPr>
        <w:footnoteReference w:id="262"/>
      </w:r>
      <w:r w:rsidR="002246F9" w:rsidRPr="00D5464D">
        <w:rPr>
          <w:szCs w:val="20"/>
          <w:lang w:val="pt-BR"/>
        </w:rPr>
        <w:t xml:space="preserve"> para </w:t>
      </w:r>
      <w:r w:rsidR="00350187" w:rsidRPr="00D5464D">
        <w:rPr>
          <w:szCs w:val="20"/>
          <w:lang w:val="pt-BR"/>
        </w:rPr>
        <w:t>demonstr</w:t>
      </w:r>
      <w:r w:rsidR="00470ADC" w:rsidRPr="00D5464D">
        <w:rPr>
          <w:szCs w:val="20"/>
          <w:lang w:val="pt-BR"/>
        </w:rPr>
        <w:t>ar</w:t>
      </w:r>
      <w:r w:rsidR="002C330E" w:rsidRPr="00D5464D">
        <w:rPr>
          <w:szCs w:val="20"/>
          <w:lang w:val="pt-BR"/>
        </w:rPr>
        <w:t xml:space="preserve"> a </w:t>
      </w:r>
      <w:r w:rsidR="00470ADC" w:rsidRPr="00D5464D">
        <w:rPr>
          <w:szCs w:val="20"/>
          <w:lang w:val="pt-BR"/>
        </w:rPr>
        <w:t xml:space="preserve">qualidade </w:t>
      </w:r>
      <w:r w:rsidR="002246F9" w:rsidRPr="00D5464D">
        <w:rPr>
          <w:szCs w:val="20"/>
          <w:lang w:val="pt-BR"/>
        </w:rPr>
        <w:t xml:space="preserve">de </w:t>
      </w:r>
      <w:r w:rsidR="002C330E" w:rsidRPr="00D5464D">
        <w:rPr>
          <w:szCs w:val="20"/>
          <w:lang w:val="pt-BR"/>
        </w:rPr>
        <w:t>suposta</w:t>
      </w:r>
      <w:r w:rsidR="002246F9" w:rsidRPr="00D5464D">
        <w:rPr>
          <w:szCs w:val="20"/>
          <w:lang w:val="pt-BR"/>
        </w:rPr>
        <w:t xml:space="preserve"> </w:t>
      </w:r>
      <w:r w:rsidRPr="00D5464D">
        <w:rPr>
          <w:szCs w:val="20"/>
          <w:lang w:val="pt-BR"/>
        </w:rPr>
        <w:t>vítima</w:t>
      </w:r>
      <w:r w:rsidR="002246F9" w:rsidRPr="00D5464D">
        <w:rPr>
          <w:szCs w:val="20"/>
          <w:lang w:val="pt-BR"/>
        </w:rPr>
        <w:t>,</w:t>
      </w:r>
      <w:r w:rsidR="002C330E" w:rsidRPr="00D5464D">
        <w:rPr>
          <w:szCs w:val="20"/>
          <w:lang w:val="pt-BR"/>
        </w:rPr>
        <w:t xml:space="preserve"> a </w:t>
      </w:r>
      <w:r w:rsidR="002246F9" w:rsidRPr="00D5464D">
        <w:rPr>
          <w:szCs w:val="20"/>
          <w:lang w:val="pt-BR"/>
        </w:rPr>
        <w:t xml:space="preserve">Corte </w:t>
      </w:r>
      <w:r w:rsidRPr="00D5464D">
        <w:rPr>
          <w:szCs w:val="20"/>
          <w:lang w:val="pt-BR"/>
        </w:rPr>
        <w:t>utilizou</w:t>
      </w:r>
      <w:r w:rsidR="002C330E" w:rsidRPr="00D5464D">
        <w:rPr>
          <w:szCs w:val="20"/>
          <w:lang w:val="pt-BR"/>
        </w:rPr>
        <w:t xml:space="preserve"> os seguinte</w:t>
      </w:r>
      <w:r w:rsidR="002246F9" w:rsidRPr="00D5464D">
        <w:rPr>
          <w:szCs w:val="20"/>
          <w:lang w:val="pt-BR"/>
        </w:rPr>
        <w:t xml:space="preserve">s instrumentos </w:t>
      </w:r>
      <w:r w:rsidR="002C330E" w:rsidRPr="00D5464D">
        <w:rPr>
          <w:szCs w:val="20"/>
          <w:lang w:val="pt-BR"/>
        </w:rPr>
        <w:t>probatório</w:t>
      </w:r>
      <w:r w:rsidR="002246F9" w:rsidRPr="00D5464D">
        <w:rPr>
          <w:szCs w:val="20"/>
          <w:lang w:val="pt-BR"/>
        </w:rPr>
        <w:t>s</w:t>
      </w:r>
      <w:r w:rsidR="00350187" w:rsidRPr="00D5464D">
        <w:rPr>
          <w:szCs w:val="20"/>
          <w:lang w:val="pt-BR"/>
        </w:rPr>
        <w:t xml:space="preserve"> </w:t>
      </w:r>
      <w:r w:rsidR="00C91CB1" w:rsidRPr="00D5464D">
        <w:rPr>
          <w:szCs w:val="20"/>
          <w:lang w:val="pt-BR"/>
        </w:rPr>
        <w:t>apresentados</w:t>
      </w:r>
      <w:r w:rsidR="002C330E" w:rsidRPr="00D5464D">
        <w:rPr>
          <w:szCs w:val="20"/>
          <w:lang w:val="pt-BR"/>
        </w:rPr>
        <w:t xml:space="preserve"> pelas </w:t>
      </w:r>
      <w:r w:rsidR="002246F9" w:rsidRPr="00D5464D">
        <w:rPr>
          <w:szCs w:val="20"/>
          <w:lang w:val="pt-BR"/>
        </w:rPr>
        <w:t xml:space="preserve">partes: i) </w:t>
      </w:r>
      <w:r w:rsidR="00702CD8" w:rsidRPr="00D5464D">
        <w:rPr>
          <w:szCs w:val="20"/>
          <w:lang w:val="pt-BR"/>
        </w:rPr>
        <w:t xml:space="preserve">Auto </w:t>
      </w:r>
      <w:r w:rsidR="002246F9" w:rsidRPr="00D5464D">
        <w:rPr>
          <w:szCs w:val="20"/>
          <w:lang w:val="pt-BR"/>
        </w:rPr>
        <w:t xml:space="preserve">de </w:t>
      </w:r>
      <w:r w:rsidR="002C330E" w:rsidRPr="00D5464D">
        <w:rPr>
          <w:szCs w:val="20"/>
          <w:lang w:val="pt-BR"/>
        </w:rPr>
        <w:t>Infração</w:t>
      </w:r>
      <w:r w:rsidR="00702CD8" w:rsidRPr="00D5464D">
        <w:rPr>
          <w:szCs w:val="20"/>
          <w:lang w:val="pt-BR"/>
        </w:rPr>
        <w:t xml:space="preserve"> (A</w:t>
      </w:r>
      <w:r w:rsidR="002246F9" w:rsidRPr="00D5464D">
        <w:rPr>
          <w:szCs w:val="20"/>
          <w:lang w:val="pt-BR"/>
        </w:rPr>
        <w:t>I)</w:t>
      </w:r>
      <w:r w:rsidR="00105576" w:rsidRPr="00D5464D">
        <w:rPr>
          <w:szCs w:val="20"/>
          <w:lang w:val="pt-BR"/>
        </w:rPr>
        <w:t>,</w:t>
      </w:r>
      <w:r w:rsidR="002246F9" w:rsidRPr="00D5464D">
        <w:rPr>
          <w:szCs w:val="20"/>
          <w:lang w:val="pt-BR"/>
        </w:rPr>
        <w:t xml:space="preserve"> ii) Registro de </w:t>
      </w:r>
      <w:r w:rsidR="00230C71" w:rsidRPr="00D5464D">
        <w:rPr>
          <w:szCs w:val="20"/>
          <w:lang w:val="pt-BR"/>
        </w:rPr>
        <w:t>Empregad</w:t>
      </w:r>
      <w:r w:rsidR="002246F9" w:rsidRPr="00D5464D">
        <w:rPr>
          <w:szCs w:val="20"/>
          <w:lang w:val="pt-BR"/>
        </w:rPr>
        <w:t>o</w:t>
      </w:r>
      <w:r w:rsidR="002C330E" w:rsidRPr="00D5464D">
        <w:rPr>
          <w:szCs w:val="20"/>
          <w:lang w:val="pt-BR"/>
        </w:rPr>
        <w:t xml:space="preserve"> pela </w:t>
      </w:r>
      <w:r w:rsidR="00D809F0" w:rsidRPr="00D5464D">
        <w:rPr>
          <w:szCs w:val="20"/>
          <w:lang w:val="pt-BR"/>
        </w:rPr>
        <w:t>Fazenda</w:t>
      </w:r>
      <w:r w:rsidR="002246F9" w:rsidRPr="00D5464D">
        <w:rPr>
          <w:szCs w:val="20"/>
          <w:lang w:val="pt-BR"/>
        </w:rPr>
        <w:t xml:space="preserve"> (RE)</w:t>
      </w:r>
      <w:r w:rsidR="00105576" w:rsidRPr="00D5464D">
        <w:rPr>
          <w:szCs w:val="20"/>
          <w:lang w:val="pt-BR"/>
        </w:rPr>
        <w:t>,</w:t>
      </w:r>
      <w:r w:rsidR="002246F9" w:rsidRPr="00D5464D">
        <w:rPr>
          <w:szCs w:val="20"/>
          <w:lang w:val="pt-BR"/>
        </w:rPr>
        <w:t xml:space="preserve"> iii) </w:t>
      </w:r>
      <w:r w:rsidR="00702CD8" w:rsidRPr="00D5464D">
        <w:rPr>
          <w:szCs w:val="20"/>
          <w:lang w:val="pt-BR"/>
        </w:rPr>
        <w:t xml:space="preserve">Termo de Rescisão de Contrato </w:t>
      </w:r>
      <w:r w:rsidR="002246F9" w:rsidRPr="00D5464D">
        <w:rPr>
          <w:szCs w:val="20"/>
          <w:lang w:val="pt-BR"/>
        </w:rPr>
        <w:t>(TC)</w:t>
      </w:r>
      <w:r w:rsidR="00105576" w:rsidRPr="00D5464D">
        <w:rPr>
          <w:szCs w:val="20"/>
          <w:lang w:val="pt-BR"/>
        </w:rPr>
        <w:t>,</w:t>
      </w:r>
      <w:r w:rsidR="002246F9" w:rsidRPr="00D5464D">
        <w:rPr>
          <w:szCs w:val="20"/>
          <w:lang w:val="pt-BR"/>
        </w:rPr>
        <w:t xml:space="preserve"> iv) </w:t>
      </w:r>
      <w:r w:rsidR="00A1358C" w:rsidRPr="00D5464D">
        <w:rPr>
          <w:szCs w:val="20"/>
          <w:lang w:val="pt-BR"/>
        </w:rPr>
        <w:t>Formulário</w:t>
      </w:r>
      <w:r w:rsidR="002246F9" w:rsidRPr="00D5464D">
        <w:rPr>
          <w:szCs w:val="20"/>
          <w:lang w:val="pt-BR"/>
        </w:rPr>
        <w:t xml:space="preserve"> </w:t>
      </w:r>
      <w:r w:rsidR="00702CD8" w:rsidRPr="00D5464D">
        <w:rPr>
          <w:szCs w:val="20"/>
          <w:lang w:val="pt-BR"/>
        </w:rPr>
        <w:t>para</w:t>
      </w:r>
      <w:r w:rsidR="002246F9" w:rsidRPr="00D5464D">
        <w:rPr>
          <w:szCs w:val="20"/>
          <w:lang w:val="pt-BR"/>
        </w:rPr>
        <w:t xml:space="preserve"> Verifica</w:t>
      </w:r>
      <w:r w:rsidR="00470ADC" w:rsidRPr="00D5464D">
        <w:rPr>
          <w:szCs w:val="20"/>
          <w:lang w:val="pt-BR"/>
        </w:rPr>
        <w:t>ção</w:t>
      </w:r>
      <w:r w:rsidR="002246F9" w:rsidRPr="00D5464D">
        <w:rPr>
          <w:szCs w:val="20"/>
          <w:lang w:val="pt-BR"/>
        </w:rPr>
        <w:t xml:space="preserve"> Física (VF)</w:t>
      </w:r>
      <w:r w:rsidR="00470ADC" w:rsidRPr="00D5464D">
        <w:rPr>
          <w:szCs w:val="20"/>
          <w:lang w:val="pt-BR"/>
        </w:rPr>
        <w:t xml:space="preserve"> e</w:t>
      </w:r>
      <w:r w:rsidR="002246F9" w:rsidRPr="00D5464D">
        <w:rPr>
          <w:szCs w:val="20"/>
          <w:lang w:val="pt-BR"/>
        </w:rPr>
        <w:t xml:space="preserve"> v) Lista de </w:t>
      </w:r>
      <w:r w:rsidRPr="00D5464D">
        <w:rPr>
          <w:szCs w:val="20"/>
          <w:lang w:val="pt-BR"/>
        </w:rPr>
        <w:t>trabalhadores</w:t>
      </w:r>
      <w:r w:rsidR="002246F9" w:rsidRPr="00D5464D">
        <w:rPr>
          <w:szCs w:val="20"/>
          <w:lang w:val="pt-BR"/>
        </w:rPr>
        <w:t xml:space="preserve"> </w:t>
      </w:r>
      <w:r w:rsidR="002C330E" w:rsidRPr="00D5464D">
        <w:rPr>
          <w:szCs w:val="20"/>
          <w:lang w:val="pt-BR"/>
        </w:rPr>
        <w:t>indicado</w:t>
      </w:r>
      <w:r w:rsidR="002246F9" w:rsidRPr="00D5464D">
        <w:rPr>
          <w:szCs w:val="20"/>
          <w:lang w:val="pt-BR"/>
        </w:rPr>
        <w:t>s</w:t>
      </w:r>
      <w:r w:rsidR="002C330E" w:rsidRPr="00D5464D">
        <w:rPr>
          <w:szCs w:val="20"/>
          <w:lang w:val="pt-BR"/>
        </w:rPr>
        <w:t xml:space="preserve"> pela </w:t>
      </w:r>
      <w:r w:rsidR="00470ADC" w:rsidRPr="00D5464D">
        <w:rPr>
          <w:szCs w:val="20"/>
          <w:lang w:val="pt-BR"/>
        </w:rPr>
        <w:t>defesa</w:t>
      </w:r>
      <w:r w:rsidR="002246F9" w:rsidRPr="00D5464D">
        <w:rPr>
          <w:szCs w:val="20"/>
          <w:lang w:val="pt-BR"/>
        </w:rPr>
        <w:t xml:space="preserve"> </w:t>
      </w:r>
      <w:r w:rsidR="00470ADC" w:rsidRPr="00D5464D">
        <w:rPr>
          <w:szCs w:val="20"/>
          <w:lang w:val="pt-BR"/>
        </w:rPr>
        <w:t xml:space="preserve">do </w:t>
      </w:r>
      <w:r w:rsidR="002246F9" w:rsidRPr="00D5464D">
        <w:rPr>
          <w:szCs w:val="20"/>
          <w:lang w:val="pt-BR"/>
        </w:rPr>
        <w:t>gerente</w:t>
      </w:r>
      <w:r w:rsidRPr="00D5464D">
        <w:rPr>
          <w:szCs w:val="20"/>
          <w:lang w:val="pt-BR"/>
        </w:rPr>
        <w:t xml:space="preserve"> e </w:t>
      </w:r>
      <w:r w:rsidR="007E0D56" w:rsidRPr="00D5464D">
        <w:rPr>
          <w:szCs w:val="20"/>
          <w:lang w:val="pt-BR"/>
        </w:rPr>
        <w:t>d</w:t>
      </w:r>
      <w:r w:rsidR="00470ADC" w:rsidRPr="00D5464D">
        <w:rPr>
          <w:szCs w:val="20"/>
          <w:lang w:val="pt-BR"/>
        </w:rPr>
        <w:t xml:space="preserve">o </w:t>
      </w:r>
      <w:r w:rsidR="00C32FB5" w:rsidRPr="00D5464D">
        <w:rPr>
          <w:szCs w:val="20"/>
          <w:lang w:val="pt-BR"/>
        </w:rPr>
        <w:t xml:space="preserve">gato </w:t>
      </w:r>
      <w:r w:rsidRPr="00D5464D">
        <w:rPr>
          <w:szCs w:val="20"/>
          <w:lang w:val="pt-BR"/>
        </w:rPr>
        <w:t>no</w:t>
      </w:r>
      <w:r w:rsidRPr="00D5464D">
        <w:rPr>
          <w:i/>
          <w:szCs w:val="20"/>
          <w:lang w:val="pt-BR"/>
        </w:rPr>
        <w:t xml:space="preserve"> </w:t>
      </w:r>
      <w:r w:rsidR="002C330E" w:rsidRPr="00D5464D">
        <w:rPr>
          <w:szCs w:val="20"/>
          <w:lang w:val="pt-BR"/>
        </w:rPr>
        <w:t>processo</w:t>
      </w:r>
      <w:r w:rsidR="002246F9" w:rsidRPr="00D5464D">
        <w:rPr>
          <w:szCs w:val="20"/>
          <w:lang w:val="pt-BR"/>
        </w:rPr>
        <w:t xml:space="preserve"> penal interno (PP). </w:t>
      </w:r>
    </w:p>
    <w:p w14:paraId="19DAE1EB" w14:textId="77777777" w:rsidR="002246F9" w:rsidRPr="00D5464D" w:rsidRDefault="002246F9" w:rsidP="002246F9">
      <w:pPr>
        <w:pStyle w:val="Prrafodelista"/>
        <w:rPr>
          <w:szCs w:val="20"/>
          <w:lang w:val="pt-BR"/>
        </w:rPr>
      </w:pPr>
    </w:p>
    <w:p w14:paraId="7D19C3DE" w14:textId="54D78791" w:rsidR="002246F9" w:rsidRPr="00D5464D" w:rsidRDefault="002C330E" w:rsidP="002246F9">
      <w:pPr>
        <w:pStyle w:val="Prrafodelista"/>
        <w:numPr>
          <w:ilvl w:val="0"/>
          <w:numId w:val="1"/>
        </w:numPr>
        <w:autoSpaceDE w:val="0"/>
        <w:autoSpaceDN w:val="0"/>
        <w:adjustRightInd w:val="0"/>
        <w:rPr>
          <w:szCs w:val="20"/>
          <w:lang w:val="pt-BR"/>
        </w:rPr>
      </w:pPr>
      <w:bookmarkStart w:id="383" w:name="_Ref460939605"/>
      <w:r w:rsidRPr="00D5464D">
        <w:rPr>
          <w:szCs w:val="20"/>
          <w:lang w:val="pt-BR"/>
        </w:rPr>
        <w:t>Portanto</w:t>
      </w:r>
      <w:r w:rsidR="002246F9" w:rsidRPr="00D5464D">
        <w:rPr>
          <w:szCs w:val="20"/>
          <w:lang w:val="pt-BR"/>
        </w:rPr>
        <w:t xml:space="preserve">, </w:t>
      </w:r>
      <w:r w:rsidR="00470ADC" w:rsidRPr="00D5464D">
        <w:rPr>
          <w:szCs w:val="20"/>
          <w:lang w:val="pt-BR"/>
        </w:rPr>
        <w:t xml:space="preserve">do </w:t>
      </w:r>
      <w:r w:rsidR="002246F9" w:rsidRPr="00D5464D">
        <w:rPr>
          <w:szCs w:val="20"/>
          <w:lang w:val="pt-BR"/>
        </w:rPr>
        <w:t xml:space="preserve">universo de </w:t>
      </w:r>
      <w:r w:rsidR="00E045D9" w:rsidRPr="00D5464D">
        <w:rPr>
          <w:szCs w:val="20"/>
          <w:lang w:val="pt-BR"/>
        </w:rPr>
        <w:t>trabalhadores</w:t>
      </w:r>
      <w:r w:rsidR="002246F9" w:rsidRPr="00D5464D">
        <w:rPr>
          <w:szCs w:val="20"/>
          <w:lang w:val="pt-BR"/>
        </w:rPr>
        <w:t xml:space="preserve"> presentes</w:t>
      </w:r>
      <w:r w:rsidR="00E045D9" w:rsidRPr="00D5464D">
        <w:rPr>
          <w:szCs w:val="20"/>
          <w:lang w:val="pt-BR"/>
        </w:rPr>
        <w:t xml:space="preserve"> na </w:t>
      </w:r>
      <w:r w:rsidR="00D809F0" w:rsidRPr="00D5464D">
        <w:rPr>
          <w:szCs w:val="20"/>
          <w:lang w:val="pt-BR"/>
        </w:rPr>
        <w:t>Fazenda</w:t>
      </w:r>
      <w:r w:rsidR="002246F9" w:rsidRPr="00D5464D">
        <w:rPr>
          <w:szCs w:val="20"/>
          <w:lang w:val="pt-BR"/>
        </w:rPr>
        <w:t xml:space="preserve"> Brasil Verde durante</w:t>
      </w:r>
      <w:r w:rsidRPr="00D5464D">
        <w:rPr>
          <w:szCs w:val="20"/>
          <w:lang w:val="pt-BR"/>
        </w:rPr>
        <w:t xml:space="preserve"> a </w:t>
      </w:r>
      <w:r w:rsidR="002246F9" w:rsidRPr="00D5464D">
        <w:rPr>
          <w:szCs w:val="20"/>
          <w:lang w:val="pt-BR"/>
        </w:rPr>
        <w:t>fiscaliza</w:t>
      </w:r>
      <w:r w:rsidR="00470ADC" w:rsidRPr="00D5464D">
        <w:rPr>
          <w:szCs w:val="20"/>
          <w:lang w:val="pt-BR"/>
        </w:rPr>
        <w:t>ção</w:t>
      </w:r>
      <w:r w:rsidR="002246F9" w:rsidRPr="00D5464D">
        <w:rPr>
          <w:szCs w:val="20"/>
          <w:lang w:val="pt-BR"/>
        </w:rPr>
        <w:t xml:space="preserve"> de </w:t>
      </w:r>
      <w:r w:rsidRPr="00D5464D">
        <w:rPr>
          <w:szCs w:val="20"/>
          <w:lang w:val="pt-BR"/>
        </w:rPr>
        <w:t>março</w:t>
      </w:r>
      <w:r w:rsidR="002246F9" w:rsidRPr="00D5464D">
        <w:rPr>
          <w:szCs w:val="20"/>
          <w:lang w:val="pt-BR"/>
        </w:rPr>
        <w:t xml:space="preserve"> de 2000,</w:t>
      </w:r>
      <w:r w:rsidR="00470ADC" w:rsidRPr="00D5464D">
        <w:rPr>
          <w:szCs w:val="20"/>
          <w:lang w:val="pt-BR"/>
        </w:rPr>
        <w:t xml:space="preserve"> ao </w:t>
      </w:r>
      <w:r w:rsidR="007E0D56" w:rsidRPr="00D5464D">
        <w:rPr>
          <w:szCs w:val="20"/>
          <w:lang w:val="pt-BR"/>
        </w:rPr>
        <w:t xml:space="preserve">proferir a </w:t>
      </w:r>
      <w:r w:rsidR="002246F9" w:rsidRPr="00D5464D">
        <w:rPr>
          <w:szCs w:val="20"/>
          <w:lang w:val="pt-BR"/>
        </w:rPr>
        <w:t xml:space="preserve">presente </w:t>
      </w:r>
      <w:r w:rsidRPr="00D5464D">
        <w:rPr>
          <w:szCs w:val="20"/>
          <w:lang w:val="pt-BR"/>
        </w:rPr>
        <w:t>Sentença</w:t>
      </w:r>
      <w:r w:rsidR="002246F9" w:rsidRPr="00D5464D">
        <w:rPr>
          <w:szCs w:val="20"/>
          <w:lang w:val="pt-BR"/>
        </w:rPr>
        <w:t>,</w:t>
      </w:r>
      <w:r w:rsidR="00470ADC" w:rsidRPr="00D5464D">
        <w:rPr>
          <w:szCs w:val="20"/>
          <w:lang w:val="pt-BR"/>
        </w:rPr>
        <w:t xml:space="preserve"> o </w:t>
      </w:r>
      <w:r w:rsidR="002246F9" w:rsidRPr="00D5464D">
        <w:rPr>
          <w:szCs w:val="20"/>
          <w:lang w:val="pt-BR"/>
        </w:rPr>
        <w:t>Tribunal</w:t>
      </w:r>
      <w:r w:rsidR="00470ADC" w:rsidRPr="00D5464D">
        <w:rPr>
          <w:szCs w:val="20"/>
          <w:lang w:val="pt-BR"/>
        </w:rPr>
        <w:t xml:space="preserve"> conta com </w:t>
      </w:r>
      <w:r w:rsidR="002246F9" w:rsidRPr="00D5464D">
        <w:rPr>
          <w:szCs w:val="20"/>
          <w:lang w:val="pt-BR"/>
        </w:rPr>
        <w:t xml:space="preserve">elementos </w:t>
      </w:r>
      <w:r w:rsidRPr="00D5464D">
        <w:rPr>
          <w:szCs w:val="20"/>
          <w:lang w:val="pt-BR"/>
        </w:rPr>
        <w:t>probatório</w:t>
      </w:r>
      <w:r w:rsidR="002246F9" w:rsidRPr="00D5464D">
        <w:rPr>
          <w:szCs w:val="20"/>
          <w:lang w:val="pt-BR"/>
        </w:rPr>
        <w:t>s suficientes</w:t>
      </w:r>
      <w:r w:rsidR="00E045D9" w:rsidRPr="00D5464D">
        <w:rPr>
          <w:szCs w:val="20"/>
          <w:lang w:val="pt-BR"/>
        </w:rPr>
        <w:t xml:space="preserve"> e </w:t>
      </w:r>
      <w:r w:rsidR="00470ADC" w:rsidRPr="00D5464D">
        <w:rPr>
          <w:szCs w:val="20"/>
          <w:lang w:val="pt-BR"/>
        </w:rPr>
        <w:t>confiáveis</w:t>
      </w:r>
      <w:r w:rsidR="002246F9" w:rsidRPr="00D5464D">
        <w:rPr>
          <w:szCs w:val="20"/>
          <w:lang w:val="pt-BR"/>
        </w:rPr>
        <w:t xml:space="preserve"> para </w:t>
      </w:r>
      <w:r w:rsidR="00350187" w:rsidRPr="00D5464D">
        <w:rPr>
          <w:szCs w:val="20"/>
          <w:lang w:val="pt-BR"/>
        </w:rPr>
        <w:t>demonstr</w:t>
      </w:r>
      <w:r w:rsidR="00470ADC" w:rsidRPr="00D5464D">
        <w:rPr>
          <w:szCs w:val="20"/>
          <w:lang w:val="pt-BR"/>
        </w:rPr>
        <w:t>ar</w:t>
      </w:r>
      <w:r w:rsidRPr="00D5464D">
        <w:rPr>
          <w:szCs w:val="20"/>
          <w:lang w:val="pt-BR"/>
        </w:rPr>
        <w:t xml:space="preserve"> a </w:t>
      </w:r>
      <w:r w:rsidR="00470ADC" w:rsidRPr="00D5464D">
        <w:rPr>
          <w:szCs w:val="20"/>
          <w:lang w:val="pt-BR"/>
        </w:rPr>
        <w:t xml:space="preserve">qualidade </w:t>
      </w:r>
      <w:r w:rsidR="002246F9" w:rsidRPr="00D5464D">
        <w:rPr>
          <w:szCs w:val="20"/>
          <w:lang w:val="pt-BR"/>
        </w:rPr>
        <w:t xml:space="preserve">de </w:t>
      </w:r>
      <w:r w:rsidRPr="00D5464D">
        <w:rPr>
          <w:szCs w:val="20"/>
          <w:lang w:val="pt-BR"/>
        </w:rPr>
        <w:t>suposta</w:t>
      </w:r>
      <w:r w:rsidR="002246F9" w:rsidRPr="00D5464D">
        <w:rPr>
          <w:szCs w:val="20"/>
          <w:lang w:val="pt-BR"/>
        </w:rPr>
        <w:t xml:space="preserve"> </w:t>
      </w:r>
      <w:r w:rsidR="00E045D9" w:rsidRPr="00D5464D">
        <w:rPr>
          <w:szCs w:val="20"/>
          <w:lang w:val="pt-BR"/>
        </w:rPr>
        <w:t>vítima</w:t>
      </w:r>
      <w:r w:rsidR="00470ADC" w:rsidRPr="00D5464D">
        <w:rPr>
          <w:szCs w:val="20"/>
          <w:lang w:val="pt-BR"/>
        </w:rPr>
        <w:t xml:space="preserve"> </w:t>
      </w:r>
      <w:r w:rsidR="00CC0012" w:rsidRPr="00D5464D">
        <w:rPr>
          <w:szCs w:val="20"/>
          <w:lang w:val="pt-BR"/>
        </w:rPr>
        <w:t xml:space="preserve">de alegadas violações da proibição de ser submetido a escravidão, trabalho forçado, servidão e tráfico de escravos, e dos direitos às garantias e à proteção judiciais </w:t>
      </w:r>
      <w:r w:rsidR="00470ADC" w:rsidRPr="00D5464D">
        <w:rPr>
          <w:szCs w:val="20"/>
          <w:lang w:val="pt-BR"/>
        </w:rPr>
        <w:t xml:space="preserve">dos </w:t>
      </w:r>
      <w:r w:rsidRPr="00D5464D">
        <w:rPr>
          <w:szCs w:val="20"/>
          <w:lang w:val="pt-BR"/>
        </w:rPr>
        <w:t>seguinte</w:t>
      </w:r>
      <w:r w:rsidR="002246F9" w:rsidRPr="00D5464D">
        <w:rPr>
          <w:szCs w:val="20"/>
          <w:lang w:val="pt-BR"/>
        </w:rPr>
        <w:t xml:space="preserve">s 85 </w:t>
      </w:r>
      <w:r w:rsidR="00E045D9" w:rsidRPr="00D5464D">
        <w:rPr>
          <w:szCs w:val="20"/>
          <w:lang w:val="pt-BR"/>
        </w:rPr>
        <w:t>trabalhadores</w:t>
      </w:r>
      <w:r w:rsidR="002246F9" w:rsidRPr="00D5464D">
        <w:rPr>
          <w:szCs w:val="20"/>
          <w:lang w:val="pt-BR"/>
        </w:rPr>
        <w:t>: 1. Alcione</w:t>
      </w:r>
      <w:r w:rsidR="003C73E3" w:rsidRPr="00D5464D">
        <w:rPr>
          <w:szCs w:val="20"/>
          <w:lang w:val="pt-BR"/>
        </w:rPr>
        <w:t xml:space="preserve"> Freitas </w:t>
      </w:r>
      <w:r w:rsidR="002246F9" w:rsidRPr="00D5464D">
        <w:rPr>
          <w:szCs w:val="20"/>
          <w:lang w:val="pt-BR"/>
        </w:rPr>
        <w:t>Sousa</w:t>
      </w:r>
      <w:r w:rsidR="007E0D56" w:rsidRPr="00D5464D">
        <w:rPr>
          <w:szCs w:val="20"/>
          <w:lang w:val="pt-BR"/>
        </w:rPr>
        <w:t>,</w:t>
      </w:r>
      <w:r w:rsidR="002246F9" w:rsidRPr="00D5464D">
        <w:rPr>
          <w:rStyle w:val="Refdenotaalpie"/>
          <w:lang w:val="pt-BR"/>
        </w:rPr>
        <w:footnoteReference w:id="263"/>
      </w:r>
      <w:r w:rsidR="002246F9" w:rsidRPr="00D5464D">
        <w:rPr>
          <w:szCs w:val="20"/>
          <w:lang w:val="pt-BR"/>
        </w:rPr>
        <w:t xml:space="preserve"> 2. Alfredo Rodrigues</w:t>
      </w:r>
      <w:r w:rsidR="007E0D56" w:rsidRPr="00D5464D">
        <w:rPr>
          <w:szCs w:val="20"/>
          <w:lang w:val="pt-BR"/>
        </w:rPr>
        <w:t>,</w:t>
      </w:r>
      <w:r w:rsidR="002246F9" w:rsidRPr="00D5464D">
        <w:rPr>
          <w:rStyle w:val="Refdenotaalpie"/>
          <w:lang w:val="pt-BR"/>
        </w:rPr>
        <w:footnoteReference w:id="264"/>
      </w:r>
      <w:r w:rsidR="002246F9" w:rsidRPr="00D5464D">
        <w:rPr>
          <w:szCs w:val="20"/>
          <w:lang w:val="pt-BR"/>
        </w:rPr>
        <w:t xml:space="preserve"> 3. </w:t>
      </w:r>
      <w:r w:rsidR="00E42F61" w:rsidRPr="00D5464D">
        <w:rPr>
          <w:szCs w:val="20"/>
          <w:lang w:val="pt-BR"/>
        </w:rPr>
        <w:t xml:space="preserve">Antônio </w:t>
      </w:r>
      <w:r w:rsidR="002246F9" w:rsidRPr="00D5464D">
        <w:rPr>
          <w:szCs w:val="20"/>
          <w:lang w:val="pt-BR"/>
        </w:rPr>
        <w:t>Almir Lima da Silva</w:t>
      </w:r>
      <w:r w:rsidR="007E0D56" w:rsidRPr="00D5464D">
        <w:rPr>
          <w:szCs w:val="20"/>
          <w:lang w:val="pt-BR"/>
        </w:rPr>
        <w:t>,</w:t>
      </w:r>
      <w:r w:rsidR="002246F9" w:rsidRPr="00D5464D">
        <w:rPr>
          <w:rStyle w:val="Refdenotaalpie"/>
          <w:lang w:val="pt-BR"/>
        </w:rPr>
        <w:footnoteReference w:id="265"/>
      </w:r>
      <w:r w:rsidR="002246F9" w:rsidRPr="00D5464D">
        <w:rPr>
          <w:szCs w:val="20"/>
          <w:lang w:val="pt-BR"/>
        </w:rPr>
        <w:t xml:space="preserve"> 4. </w:t>
      </w:r>
      <w:r w:rsidR="00E42F61" w:rsidRPr="00D5464D">
        <w:rPr>
          <w:szCs w:val="20"/>
          <w:lang w:val="pt-BR"/>
        </w:rPr>
        <w:t xml:space="preserve">Antônio </w:t>
      </w:r>
      <w:r w:rsidR="002246F9" w:rsidRPr="00D5464D">
        <w:rPr>
          <w:szCs w:val="20"/>
          <w:lang w:val="pt-BR"/>
        </w:rPr>
        <w:t>Aroldo Rodrigues Santos</w:t>
      </w:r>
      <w:r w:rsidR="007E0D56" w:rsidRPr="00D5464D">
        <w:rPr>
          <w:szCs w:val="20"/>
          <w:lang w:val="pt-BR"/>
        </w:rPr>
        <w:t>,</w:t>
      </w:r>
      <w:r w:rsidR="002246F9" w:rsidRPr="00D5464D">
        <w:rPr>
          <w:rStyle w:val="Refdenotaalpie"/>
          <w:lang w:val="pt-BR"/>
        </w:rPr>
        <w:footnoteReference w:id="266"/>
      </w:r>
      <w:r w:rsidR="002246F9" w:rsidRPr="00D5464D">
        <w:rPr>
          <w:szCs w:val="20"/>
          <w:lang w:val="pt-BR"/>
        </w:rPr>
        <w:t xml:space="preserve"> 5. </w:t>
      </w:r>
      <w:r w:rsidR="00E42F61" w:rsidRPr="00D5464D">
        <w:rPr>
          <w:szCs w:val="20"/>
          <w:lang w:val="pt-BR"/>
        </w:rPr>
        <w:t xml:space="preserve">Antônio </w:t>
      </w:r>
      <w:r w:rsidR="002246F9" w:rsidRPr="00D5464D">
        <w:rPr>
          <w:szCs w:val="20"/>
          <w:lang w:val="pt-BR"/>
        </w:rPr>
        <w:t>Bento da Silva</w:t>
      </w:r>
      <w:r w:rsidR="007E0D56" w:rsidRPr="00D5464D">
        <w:rPr>
          <w:szCs w:val="20"/>
          <w:lang w:val="pt-BR"/>
        </w:rPr>
        <w:t>,</w:t>
      </w:r>
      <w:r w:rsidR="002246F9" w:rsidRPr="00D5464D">
        <w:rPr>
          <w:rStyle w:val="Refdenotaalpie"/>
          <w:lang w:val="pt-BR"/>
        </w:rPr>
        <w:footnoteReference w:id="267"/>
      </w:r>
      <w:r w:rsidR="002246F9" w:rsidRPr="00D5464D">
        <w:rPr>
          <w:szCs w:val="20"/>
          <w:lang w:val="pt-BR"/>
        </w:rPr>
        <w:t xml:space="preserve"> 6. </w:t>
      </w:r>
      <w:r w:rsidR="00E42F61" w:rsidRPr="00D5464D">
        <w:rPr>
          <w:szCs w:val="20"/>
          <w:lang w:val="pt-BR"/>
        </w:rPr>
        <w:t xml:space="preserve">Antônio </w:t>
      </w:r>
      <w:r w:rsidR="002246F9" w:rsidRPr="00D5464D">
        <w:rPr>
          <w:szCs w:val="20"/>
          <w:lang w:val="pt-BR"/>
        </w:rPr>
        <w:t>da Silva Martins</w:t>
      </w:r>
      <w:r w:rsidR="007E0D56" w:rsidRPr="00D5464D">
        <w:rPr>
          <w:szCs w:val="20"/>
          <w:lang w:val="pt-BR"/>
        </w:rPr>
        <w:t>,</w:t>
      </w:r>
      <w:r w:rsidR="002246F9" w:rsidRPr="00D5464D">
        <w:rPr>
          <w:rStyle w:val="Refdenotaalpie"/>
          <w:lang w:val="pt-BR"/>
        </w:rPr>
        <w:footnoteReference w:id="268"/>
      </w:r>
      <w:r w:rsidR="002246F9" w:rsidRPr="00D5464D">
        <w:rPr>
          <w:szCs w:val="20"/>
          <w:lang w:val="pt-BR"/>
        </w:rPr>
        <w:t xml:space="preserve"> 7. </w:t>
      </w:r>
      <w:r w:rsidR="00E42F61" w:rsidRPr="00D5464D">
        <w:rPr>
          <w:szCs w:val="20"/>
          <w:lang w:val="pt-BR"/>
        </w:rPr>
        <w:t xml:space="preserve">Antônio </w:t>
      </w:r>
      <w:r w:rsidR="002246F9" w:rsidRPr="00D5464D">
        <w:rPr>
          <w:szCs w:val="20"/>
          <w:lang w:val="pt-BR"/>
        </w:rPr>
        <w:t>Damas Filho</w:t>
      </w:r>
      <w:r w:rsidR="007E0D56" w:rsidRPr="00D5464D">
        <w:rPr>
          <w:szCs w:val="20"/>
          <w:lang w:val="pt-BR"/>
        </w:rPr>
        <w:t>,</w:t>
      </w:r>
      <w:r w:rsidR="002246F9" w:rsidRPr="00D5464D">
        <w:rPr>
          <w:rStyle w:val="Refdenotaalpie"/>
          <w:lang w:val="pt-BR"/>
        </w:rPr>
        <w:footnoteReference w:id="269"/>
      </w:r>
      <w:r w:rsidR="002246F9" w:rsidRPr="00D5464D">
        <w:rPr>
          <w:szCs w:val="20"/>
          <w:lang w:val="pt-BR"/>
        </w:rPr>
        <w:t xml:space="preserve"> </w:t>
      </w:r>
      <w:r w:rsidR="002246F9" w:rsidRPr="00D5464D">
        <w:rPr>
          <w:rFonts w:cs="Times New Roman"/>
          <w:szCs w:val="20"/>
          <w:lang w:val="pt-BR"/>
        </w:rPr>
        <w:t xml:space="preserve">8. </w:t>
      </w:r>
      <w:r w:rsidR="00E42F61" w:rsidRPr="00D5464D">
        <w:rPr>
          <w:rFonts w:cs="Times New Roman"/>
          <w:szCs w:val="20"/>
          <w:lang w:val="pt-BR"/>
        </w:rPr>
        <w:t xml:space="preserve">Antônio </w:t>
      </w:r>
      <w:r w:rsidR="002246F9" w:rsidRPr="00D5464D">
        <w:rPr>
          <w:rFonts w:cs="Times New Roman"/>
          <w:szCs w:val="20"/>
          <w:lang w:val="pt-BR"/>
        </w:rPr>
        <w:t>de Paula Rodrigues de Sousa</w:t>
      </w:r>
      <w:r w:rsidR="007E0D56" w:rsidRPr="00D5464D">
        <w:rPr>
          <w:rFonts w:cs="Times New Roman"/>
          <w:szCs w:val="20"/>
          <w:lang w:val="pt-BR"/>
        </w:rPr>
        <w:t>,</w:t>
      </w:r>
      <w:r w:rsidR="002246F9" w:rsidRPr="00D5464D">
        <w:rPr>
          <w:rStyle w:val="Refdenotaalpie"/>
          <w:lang w:val="pt-BR"/>
        </w:rPr>
        <w:footnoteReference w:id="270"/>
      </w:r>
      <w:r w:rsidR="002246F9" w:rsidRPr="00D5464D">
        <w:rPr>
          <w:szCs w:val="20"/>
          <w:lang w:val="pt-BR"/>
        </w:rPr>
        <w:t xml:space="preserve"> </w:t>
      </w:r>
      <w:r w:rsidR="002246F9" w:rsidRPr="00D5464D">
        <w:rPr>
          <w:rFonts w:cs="Times New Roman"/>
          <w:szCs w:val="20"/>
          <w:lang w:val="pt-BR"/>
        </w:rPr>
        <w:t xml:space="preserve">9. </w:t>
      </w:r>
      <w:r w:rsidR="00E42F61" w:rsidRPr="00D5464D">
        <w:rPr>
          <w:rFonts w:cs="Times New Roman"/>
          <w:szCs w:val="20"/>
          <w:lang w:val="pt-BR"/>
        </w:rPr>
        <w:t xml:space="preserve">Antônio </w:t>
      </w:r>
      <w:r w:rsidR="002246F9" w:rsidRPr="00D5464D">
        <w:rPr>
          <w:rFonts w:cs="Times New Roman"/>
          <w:szCs w:val="20"/>
          <w:lang w:val="pt-BR"/>
        </w:rPr>
        <w:t>Edvaldo da Silva</w:t>
      </w:r>
      <w:r w:rsidR="007E0D56" w:rsidRPr="00D5464D">
        <w:rPr>
          <w:rFonts w:cs="Times New Roman"/>
          <w:szCs w:val="20"/>
          <w:lang w:val="pt-BR"/>
        </w:rPr>
        <w:t>,</w:t>
      </w:r>
      <w:r w:rsidR="002246F9" w:rsidRPr="00D5464D">
        <w:rPr>
          <w:rStyle w:val="Refdenotaalpie"/>
          <w:lang w:val="pt-BR"/>
        </w:rPr>
        <w:footnoteReference w:id="271"/>
      </w:r>
      <w:r w:rsidR="002246F9" w:rsidRPr="00D5464D">
        <w:rPr>
          <w:szCs w:val="20"/>
          <w:lang w:val="pt-BR"/>
        </w:rPr>
        <w:t xml:space="preserve"> </w:t>
      </w:r>
      <w:r w:rsidR="002246F9" w:rsidRPr="00D5464D">
        <w:rPr>
          <w:rFonts w:cs="Times New Roman"/>
          <w:szCs w:val="20"/>
          <w:lang w:val="pt-BR"/>
        </w:rPr>
        <w:t xml:space="preserve">10. </w:t>
      </w:r>
      <w:r w:rsidR="00E42F61" w:rsidRPr="00D5464D">
        <w:rPr>
          <w:rFonts w:cs="Times New Roman"/>
          <w:szCs w:val="20"/>
          <w:lang w:val="pt-BR"/>
        </w:rPr>
        <w:t xml:space="preserve">Antônio </w:t>
      </w:r>
      <w:r w:rsidR="002246F9" w:rsidRPr="00D5464D">
        <w:rPr>
          <w:rFonts w:cs="Times New Roman"/>
          <w:szCs w:val="20"/>
          <w:lang w:val="pt-BR"/>
        </w:rPr>
        <w:t>Fernandes Costa</w:t>
      </w:r>
      <w:r w:rsidR="007E0D56" w:rsidRPr="00D5464D">
        <w:rPr>
          <w:rFonts w:cs="Times New Roman"/>
          <w:szCs w:val="20"/>
          <w:lang w:val="pt-BR"/>
        </w:rPr>
        <w:t>,</w:t>
      </w:r>
      <w:r w:rsidR="002246F9" w:rsidRPr="00D5464D">
        <w:rPr>
          <w:rStyle w:val="Refdenotaalpie"/>
          <w:lang w:val="pt-BR"/>
        </w:rPr>
        <w:footnoteReference w:id="272"/>
      </w:r>
      <w:r w:rsidR="002246F9" w:rsidRPr="00D5464D">
        <w:rPr>
          <w:szCs w:val="20"/>
          <w:lang w:val="pt-BR"/>
        </w:rPr>
        <w:t xml:space="preserve"> </w:t>
      </w:r>
      <w:r w:rsidR="002246F9" w:rsidRPr="00D5464D">
        <w:rPr>
          <w:rFonts w:cs="Times New Roman"/>
          <w:szCs w:val="20"/>
          <w:lang w:val="pt-BR"/>
        </w:rPr>
        <w:t xml:space="preserve">11. </w:t>
      </w:r>
      <w:r w:rsidR="00E42F61" w:rsidRPr="00D5464D">
        <w:rPr>
          <w:rFonts w:cs="Times New Roman"/>
          <w:szCs w:val="20"/>
          <w:lang w:val="pt-BR"/>
        </w:rPr>
        <w:t xml:space="preserve">Antônio </w:t>
      </w:r>
      <w:r w:rsidR="002246F9" w:rsidRPr="00D5464D">
        <w:rPr>
          <w:rFonts w:cs="Times New Roman"/>
          <w:szCs w:val="20"/>
          <w:lang w:val="pt-BR"/>
        </w:rPr>
        <w:t>Francisco da Silva</w:t>
      </w:r>
      <w:r w:rsidR="007E0D56" w:rsidRPr="00D5464D">
        <w:rPr>
          <w:rFonts w:cs="Times New Roman"/>
          <w:szCs w:val="20"/>
          <w:lang w:val="pt-BR"/>
        </w:rPr>
        <w:t>,</w:t>
      </w:r>
      <w:r w:rsidR="002246F9" w:rsidRPr="00D5464D">
        <w:rPr>
          <w:rStyle w:val="Refdenotaalpie"/>
          <w:lang w:val="pt-BR"/>
        </w:rPr>
        <w:footnoteReference w:id="273"/>
      </w:r>
      <w:r w:rsidR="002246F9" w:rsidRPr="00D5464D">
        <w:rPr>
          <w:szCs w:val="20"/>
          <w:lang w:val="pt-BR"/>
        </w:rPr>
        <w:t xml:space="preserve"> </w:t>
      </w:r>
      <w:r w:rsidR="002246F9" w:rsidRPr="00D5464D">
        <w:rPr>
          <w:rFonts w:cs="Times New Roman"/>
          <w:szCs w:val="20"/>
          <w:lang w:val="pt-BR"/>
        </w:rPr>
        <w:t xml:space="preserve">12. </w:t>
      </w:r>
      <w:r w:rsidR="00E42F61" w:rsidRPr="00D5464D">
        <w:rPr>
          <w:rFonts w:cs="Times New Roman"/>
          <w:szCs w:val="20"/>
          <w:lang w:val="pt-BR"/>
        </w:rPr>
        <w:t xml:space="preserve">Antônio </w:t>
      </w:r>
      <w:r w:rsidR="002246F9" w:rsidRPr="00D5464D">
        <w:rPr>
          <w:rFonts w:cs="Times New Roman"/>
          <w:szCs w:val="20"/>
          <w:lang w:val="pt-BR"/>
        </w:rPr>
        <w:t>Francisco da Silva Fernandes</w:t>
      </w:r>
      <w:r w:rsidR="007E0D56" w:rsidRPr="00D5464D">
        <w:rPr>
          <w:rFonts w:cs="Times New Roman"/>
          <w:szCs w:val="20"/>
          <w:lang w:val="pt-BR"/>
        </w:rPr>
        <w:t>,</w:t>
      </w:r>
      <w:r w:rsidR="002246F9" w:rsidRPr="00D5464D">
        <w:rPr>
          <w:rStyle w:val="Refdenotaalpie"/>
          <w:lang w:val="pt-BR"/>
        </w:rPr>
        <w:footnoteReference w:id="274"/>
      </w:r>
      <w:r w:rsidR="002246F9" w:rsidRPr="00D5464D">
        <w:rPr>
          <w:szCs w:val="20"/>
          <w:lang w:val="pt-BR"/>
        </w:rPr>
        <w:t xml:space="preserve"> </w:t>
      </w:r>
      <w:r w:rsidR="002246F9" w:rsidRPr="00D5464D">
        <w:rPr>
          <w:rFonts w:cs="Times New Roman"/>
          <w:szCs w:val="20"/>
          <w:lang w:val="pt-BR"/>
        </w:rPr>
        <w:t xml:space="preserve">13. </w:t>
      </w:r>
      <w:r w:rsidR="00E42F61" w:rsidRPr="00D5464D">
        <w:rPr>
          <w:rFonts w:cs="Times New Roman"/>
          <w:szCs w:val="20"/>
          <w:lang w:val="pt-BR"/>
        </w:rPr>
        <w:t xml:space="preserve">Antônio </w:t>
      </w:r>
      <w:r w:rsidR="002246F9" w:rsidRPr="00D5464D">
        <w:rPr>
          <w:rFonts w:cs="Times New Roman"/>
          <w:szCs w:val="20"/>
          <w:lang w:val="pt-BR"/>
        </w:rPr>
        <w:t>Ivaldo Rodrigues da Silva</w:t>
      </w:r>
      <w:r w:rsidR="007E0D56" w:rsidRPr="00D5464D">
        <w:rPr>
          <w:rFonts w:cs="Times New Roman"/>
          <w:szCs w:val="20"/>
          <w:lang w:val="pt-BR"/>
        </w:rPr>
        <w:t>,</w:t>
      </w:r>
      <w:r w:rsidR="002246F9" w:rsidRPr="00D5464D">
        <w:rPr>
          <w:rStyle w:val="Refdenotaalpie"/>
          <w:lang w:val="pt-BR"/>
        </w:rPr>
        <w:footnoteReference w:id="275"/>
      </w:r>
      <w:r w:rsidR="002246F9" w:rsidRPr="00D5464D">
        <w:rPr>
          <w:szCs w:val="20"/>
          <w:lang w:val="pt-BR"/>
        </w:rPr>
        <w:t xml:space="preserve"> </w:t>
      </w:r>
      <w:r w:rsidR="002246F9" w:rsidRPr="00D5464D">
        <w:rPr>
          <w:rFonts w:cs="Times New Roman"/>
          <w:szCs w:val="20"/>
          <w:lang w:val="pt-BR"/>
        </w:rPr>
        <w:t xml:space="preserve">14. </w:t>
      </w:r>
      <w:r w:rsidR="00E42F61" w:rsidRPr="00D5464D">
        <w:rPr>
          <w:rFonts w:cs="Times New Roman"/>
          <w:szCs w:val="20"/>
          <w:lang w:val="pt-BR"/>
        </w:rPr>
        <w:t xml:space="preserve">Antônio </w:t>
      </w:r>
      <w:r w:rsidR="002246F9" w:rsidRPr="00D5464D">
        <w:rPr>
          <w:rFonts w:cs="Times New Roman"/>
          <w:szCs w:val="20"/>
          <w:lang w:val="pt-BR"/>
        </w:rPr>
        <w:t>Paulo da Silva</w:t>
      </w:r>
      <w:r w:rsidR="007E0D56" w:rsidRPr="00D5464D">
        <w:rPr>
          <w:rFonts w:cs="Times New Roman"/>
          <w:szCs w:val="20"/>
          <w:lang w:val="pt-BR"/>
        </w:rPr>
        <w:t>,</w:t>
      </w:r>
      <w:r w:rsidR="002246F9" w:rsidRPr="00D5464D">
        <w:rPr>
          <w:rStyle w:val="Refdenotaalpie"/>
          <w:lang w:val="pt-BR"/>
        </w:rPr>
        <w:footnoteReference w:id="276"/>
      </w:r>
      <w:r w:rsidR="002246F9" w:rsidRPr="00D5464D">
        <w:rPr>
          <w:szCs w:val="20"/>
          <w:lang w:val="pt-BR"/>
        </w:rPr>
        <w:t xml:space="preserve"> </w:t>
      </w:r>
      <w:r w:rsidR="002246F9" w:rsidRPr="00D5464D">
        <w:rPr>
          <w:rFonts w:cs="Times New Roman"/>
          <w:szCs w:val="20"/>
          <w:lang w:val="pt-BR"/>
        </w:rPr>
        <w:t xml:space="preserve">15. </w:t>
      </w:r>
      <w:r w:rsidR="00E42F61" w:rsidRPr="00D5464D">
        <w:rPr>
          <w:rFonts w:cs="Times New Roman"/>
          <w:szCs w:val="20"/>
          <w:lang w:val="pt-BR"/>
        </w:rPr>
        <w:t xml:space="preserve">Antônio </w:t>
      </w:r>
      <w:r w:rsidR="002246F9" w:rsidRPr="00D5464D">
        <w:rPr>
          <w:rFonts w:cs="Times New Roman"/>
          <w:szCs w:val="20"/>
          <w:lang w:val="pt-BR"/>
        </w:rPr>
        <w:t>Pereira da Silva</w:t>
      </w:r>
      <w:r w:rsidR="007E0D56" w:rsidRPr="00D5464D">
        <w:rPr>
          <w:rFonts w:cs="Times New Roman"/>
          <w:szCs w:val="20"/>
          <w:lang w:val="pt-BR"/>
        </w:rPr>
        <w:t>,</w:t>
      </w:r>
      <w:r w:rsidR="002246F9" w:rsidRPr="00D5464D">
        <w:rPr>
          <w:rStyle w:val="Refdenotaalpie"/>
          <w:lang w:val="pt-BR"/>
        </w:rPr>
        <w:footnoteReference w:id="277"/>
      </w:r>
      <w:r w:rsidR="002246F9" w:rsidRPr="00D5464D">
        <w:rPr>
          <w:szCs w:val="20"/>
          <w:lang w:val="pt-BR"/>
        </w:rPr>
        <w:t xml:space="preserve"> 16. </w:t>
      </w:r>
      <w:r w:rsidR="00E42F61" w:rsidRPr="00D5464D">
        <w:rPr>
          <w:rFonts w:cs="Times New Roman"/>
          <w:szCs w:val="20"/>
          <w:lang w:val="pt-BR"/>
        </w:rPr>
        <w:t xml:space="preserve">Antônio </w:t>
      </w:r>
      <w:r w:rsidR="002246F9" w:rsidRPr="00D5464D">
        <w:rPr>
          <w:rFonts w:cs="Times New Roman"/>
          <w:szCs w:val="20"/>
          <w:lang w:val="pt-BR"/>
        </w:rPr>
        <w:t>Pereira dos Santos</w:t>
      </w:r>
      <w:r w:rsidR="007E0D56" w:rsidRPr="00D5464D">
        <w:rPr>
          <w:rFonts w:cs="Times New Roman"/>
          <w:szCs w:val="20"/>
          <w:lang w:val="pt-BR"/>
        </w:rPr>
        <w:t>,</w:t>
      </w:r>
      <w:r w:rsidR="002246F9" w:rsidRPr="00D5464D">
        <w:rPr>
          <w:rStyle w:val="Refdenotaalpie"/>
          <w:lang w:val="pt-BR"/>
        </w:rPr>
        <w:footnoteReference w:id="278"/>
      </w:r>
      <w:r w:rsidR="002246F9" w:rsidRPr="00D5464D">
        <w:rPr>
          <w:rFonts w:cs="Times New Roman"/>
          <w:szCs w:val="20"/>
          <w:lang w:val="pt-BR"/>
        </w:rPr>
        <w:t xml:space="preserve"> 17. Carlito Bastos Gonçalves</w:t>
      </w:r>
      <w:r w:rsidR="007E0D56" w:rsidRPr="00D5464D">
        <w:rPr>
          <w:rFonts w:cs="Times New Roman"/>
          <w:szCs w:val="20"/>
          <w:lang w:val="pt-BR"/>
        </w:rPr>
        <w:t>,</w:t>
      </w:r>
      <w:r w:rsidR="002246F9" w:rsidRPr="00D5464D">
        <w:rPr>
          <w:rStyle w:val="Refdenotaalpie"/>
          <w:lang w:val="pt-BR"/>
        </w:rPr>
        <w:footnoteReference w:id="279"/>
      </w:r>
      <w:r w:rsidR="002246F9" w:rsidRPr="00D5464D">
        <w:rPr>
          <w:szCs w:val="20"/>
          <w:lang w:val="pt-BR"/>
        </w:rPr>
        <w:t xml:space="preserve"> </w:t>
      </w:r>
      <w:r w:rsidR="002246F9" w:rsidRPr="00D5464D">
        <w:rPr>
          <w:rFonts w:cs="Times New Roman"/>
          <w:szCs w:val="20"/>
          <w:lang w:val="pt-BR"/>
        </w:rPr>
        <w:t>18.</w:t>
      </w:r>
      <w:r w:rsidR="00A1358C" w:rsidRPr="00D5464D">
        <w:rPr>
          <w:rFonts w:cs="Times New Roman"/>
          <w:szCs w:val="20"/>
          <w:lang w:val="pt-BR"/>
        </w:rPr>
        <w:t xml:space="preserve"> Carlos </w:t>
      </w:r>
      <w:r w:rsidR="002246F9" w:rsidRPr="00D5464D">
        <w:rPr>
          <w:rFonts w:cs="Times New Roman"/>
          <w:szCs w:val="20"/>
          <w:lang w:val="pt-BR"/>
        </w:rPr>
        <w:t>Alberto Silva Alves</w:t>
      </w:r>
      <w:r w:rsidR="007E0D56" w:rsidRPr="00D5464D">
        <w:rPr>
          <w:rFonts w:cs="Times New Roman"/>
          <w:szCs w:val="20"/>
          <w:lang w:val="pt-BR"/>
        </w:rPr>
        <w:t>,</w:t>
      </w:r>
      <w:r w:rsidR="002246F9" w:rsidRPr="00D5464D">
        <w:rPr>
          <w:rStyle w:val="Refdenotaalpie"/>
          <w:lang w:val="pt-BR"/>
        </w:rPr>
        <w:footnoteReference w:id="280"/>
      </w:r>
      <w:r w:rsidR="002246F9" w:rsidRPr="00D5464D">
        <w:rPr>
          <w:rFonts w:cs="Times New Roman"/>
          <w:szCs w:val="20"/>
          <w:lang w:val="pt-BR"/>
        </w:rPr>
        <w:t xml:space="preserve"> 19.</w:t>
      </w:r>
      <w:r w:rsidR="00A1358C" w:rsidRPr="00D5464D">
        <w:rPr>
          <w:rFonts w:cs="Times New Roman"/>
          <w:szCs w:val="20"/>
          <w:lang w:val="pt-BR"/>
        </w:rPr>
        <w:t xml:space="preserve"> Carlos </w:t>
      </w:r>
      <w:r w:rsidR="002246F9" w:rsidRPr="00D5464D">
        <w:rPr>
          <w:rFonts w:cs="Times New Roman"/>
          <w:szCs w:val="20"/>
          <w:lang w:val="pt-BR"/>
        </w:rPr>
        <w:t xml:space="preserve">André da </w:t>
      </w:r>
      <w:r w:rsidR="00D92C1E" w:rsidRPr="00D5464D">
        <w:rPr>
          <w:rFonts w:cs="Times New Roman"/>
          <w:szCs w:val="20"/>
          <w:lang w:val="pt-BR"/>
        </w:rPr>
        <w:t>Conceição</w:t>
      </w:r>
      <w:r w:rsidR="002246F9" w:rsidRPr="00D5464D">
        <w:rPr>
          <w:rFonts w:cs="Times New Roman"/>
          <w:szCs w:val="20"/>
          <w:lang w:val="pt-BR"/>
        </w:rPr>
        <w:t xml:space="preserve"> Pereira</w:t>
      </w:r>
      <w:r w:rsidR="007E0D56" w:rsidRPr="00D5464D">
        <w:rPr>
          <w:rFonts w:cs="Times New Roman"/>
          <w:szCs w:val="20"/>
          <w:lang w:val="pt-BR"/>
        </w:rPr>
        <w:t>,</w:t>
      </w:r>
      <w:r w:rsidR="002246F9" w:rsidRPr="00D5464D">
        <w:rPr>
          <w:rStyle w:val="Refdenotaalpie"/>
          <w:lang w:val="pt-BR"/>
        </w:rPr>
        <w:footnoteReference w:id="281"/>
      </w:r>
      <w:r w:rsidR="002246F9" w:rsidRPr="00D5464D">
        <w:rPr>
          <w:rFonts w:cs="Times New Roman"/>
          <w:szCs w:val="20"/>
          <w:lang w:val="pt-BR"/>
        </w:rPr>
        <w:t xml:space="preserve"> 20.</w:t>
      </w:r>
      <w:r w:rsidR="00A1358C" w:rsidRPr="00D5464D">
        <w:rPr>
          <w:rFonts w:cs="Times New Roman"/>
          <w:szCs w:val="20"/>
          <w:lang w:val="pt-BR"/>
        </w:rPr>
        <w:t xml:space="preserve"> Carlos </w:t>
      </w:r>
      <w:r w:rsidR="002246F9" w:rsidRPr="00D5464D">
        <w:rPr>
          <w:rFonts w:cs="Times New Roman"/>
          <w:szCs w:val="20"/>
          <w:lang w:val="pt-BR"/>
        </w:rPr>
        <w:t>Augusto Cunha</w:t>
      </w:r>
      <w:r w:rsidR="007E0D56" w:rsidRPr="00D5464D">
        <w:rPr>
          <w:rFonts w:cs="Times New Roman"/>
          <w:szCs w:val="20"/>
          <w:lang w:val="pt-BR"/>
        </w:rPr>
        <w:t>,</w:t>
      </w:r>
      <w:r w:rsidR="002246F9" w:rsidRPr="00D5464D">
        <w:rPr>
          <w:rStyle w:val="Refdenotaalpie"/>
          <w:lang w:val="pt-BR"/>
        </w:rPr>
        <w:footnoteReference w:id="282"/>
      </w:r>
      <w:r w:rsidR="002246F9" w:rsidRPr="00D5464D">
        <w:rPr>
          <w:rFonts w:cs="Times New Roman"/>
          <w:szCs w:val="20"/>
          <w:lang w:val="pt-BR"/>
        </w:rPr>
        <w:t xml:space="preserve"> 21.</w:t>
      </w:r>
      <w:r w:rsidR="00A1358C" w:rsidRPr="00D5464D">
        <w:rPr>
          <w:rFonts w:cs="Times New Roman"/>
          <w:szCs w:val="20"/>
          <w:lang w:val="pt-BR"/>
        </w:rPr>
        <w:t xml:space="preserve"> Carlos </w:t>
      </w:r>
      <w:r w:rsidR="002246F9" w:rsidRPr="00D5464D">
        <w:rPr>
          <w:rFonts w:cs="Times New Roman"/>
          <w:szCs w:val="20"/>
          <w:lang w:val="pt-BR"/>
        </w:rPr>
        <w:t>Ferreira Lopes</w:t>
      </w:r>
      <w:r w:rsidR="007E0D56" w:rsidRPr="00D5464D">
        <w:rPr>
          <w:rFonts w:cs="Times New Roman"/>
          <w:szCs w:val="20"/>
          <w:lang w:val="pt-BR"/>
        </w:rPr>
        <w:t>,</w:t>
      </w:r>
      <w:r w:rsidR="002246F9" w:rsidRPr="00D5464D">
        <w:rPr>
          <w:rStyle w:val="Refdenotaalpie"/>
          <w:lang w:val="pt-BR"/>
        </w:rPr>
        <w:footnoteReference w:id="283"/>
      </w:r>
      <w:r w:rsidR="002246F9" w:rsidRPr="00D5464D">
        <w:rPr>
          <w:rFonts w:cs="Times New Roman"/>
          <w:szCs w:val="20"/>
          <w:lang w:val="pt-BR"/>
        </w:rPr>
        <w:t xml:space="preserve"> 22. Edirceu Lima de Brito</w:t>
      </w:r>
      <w:r w:rsidR="007E0D56" w:rsidRPr="00D5464D">
        <w:rPr>
          <w:rFonts w:cs="Times New Roman"/>
          <w:szCs w:val="20"/>
          <w:lang w:val="pt-BR"/>
        </w:rPr>
        <w:t>,</w:t>
      </w:r>
      <w:r w:rsidR="002246F9" w:rsidRPr="00D5464D">
        <w:rPr>
          <w:rStyle w:val="Refdenotaalpie"/>
          <w:lang w:val="pt-BR"/>
        </w:rPr>
        <w:footnoteReference w:id="284"/>
      </w:r>
      <w:r w:rsidR="002246F9" w:rsidRPr="00D5464D">
        <w:rPr>
          <w:rFonts w:cs="Times New Roman"/>
          <w:szCs w:val="20"/>
          <w:lang w:val="pt-BR"/>
        </w:rPr>
        <w:t xml:space="preserve"> 23. Erimar Lima da Silva</w:t>
      </w:r>
      <w:r w:rsidR="007E0D56" w:rsidRPr="00D5464D">
        <w:rPr>
          <w:rFonts w:cs="Times New Roman"/>
          <w:szCs w:val="20"/>
          <w:lang w:val="pt-BR"/>
        </w:rPr>
        <w:t>,</w:t>
      </w:r>
      <w:r w:rsidR="002246F9" w:rsidRPr="00D5464D">
        <w:rPr>
          <w:rStyle w:val="Refdenotaalpie"/>
          <w:lang w:val="pt-BR"/>
        </w:rPr>
        <w:footnoteReference w:id="285"/>
      </w:r>
      <w:r w:rsidR="002246F9" w:rsidRPr="00D5464D">
        <w:rPr>
          <w:rFonts w:cs="Times New Roman"/>
          <w:szCs w:val="20"/>
          <w:lang w:val="pt-BR"/>
        </w:rPr>
        <w:t xml:space="preserve"> 24. Firmino da Silva</w:t>
      </w:r>
      <w:r w:rsidR="007E0D56" w:rsidRPr="00D5464D">
        <w:rPr>
          <w:rFonts w:cs="Times New Roman"/>
          <w:szCs w:val="20"/>
          <w:lang w:val="pt-BR"/>
        </w:rPr>
        <w:t>,</w:t>
      </w:r>
      <w:r w:rsidR="002246F9" w:rsidRPr="00D5464D">
        <w:rPr>
          <w:rStyle w:val="Refdenotaalpie"/>
          <w:lang w:val="pt-BR"/>
        </w:rPr>
        <w:footnoteReference w:id="286"/>
      </w:r>
      <w:r w:rsidR="002246F9" w:rsidRPr="00D5464D">
        <w:rPr>
          <w:rFonts w:cs="Times New Roman"/>
          <w:szCs w:val="20"/>
          <w:lang w:val="pt-BR"/>
        </w:rPr>
        <w:t xml:space="preserve"> 25. Francisco </w:t>
      </w:r>
      <w:r w:rsidR="00E42F61" w:rsidRPr="00D5464D">
        <w:rPr>
          <w:rFonts w:cs="Times New Roman"/>
          <w:szCs w:val="20"/>
          <w:lang w:val="pt-BR"/>
        </w:rPr>
        <w:t xml:space="preserve">Antônio </w:t>
      </w:r>
      <w:r w:rsidR="002246F9" w:rsidRPr="00D5464D">
        <w:rPr>
          <w:rFonts w:cs="Times New Roman"/>
          <w:szCs w:val="20"/>
          <w:lang w:val="pt-BR"/>
        </w:rPr>
        <w:t>Oliveira Barbosa</w:t>
      </w:r>
      <w:r w:rsidR="007E0D56" w:rsidRPr="00D5464D">
        <w:rPr>
          <w:rFonts w:cs="Times New Roman"/>
          <w:szCs w:val="20"/>
          <w:lang w:val="pt-BR"/>
        </w:rPr>
        <w:t>,</w:t>
      </w:r>
      <w:r w:rsidR="002246F9" w:rsidRPr="00D5464D">
        <w:rPr>
          <w:rStyle w:val="Refdenotaalpie"/>
          <w:lang w:val="pt-BR"/>
        </w:rPr>
        <w:footnoteReference w:id="287"/>
      </w:r>
      <w:r w:rsidR="002246F9" w:rsidRPr="00D5464D">
        <w:rPr>
          <w:rFonts w:cs="Times New Roman"/>
          <w:szCs w:val="20"/>
          <w:lang w:val="pt-BR"/>
        </w:rPr>
        <w:t xml:space="preserve"> 26. Francisco da Silva</w:t>
      </w:r>
      <w:r w:rsidR="007E0D56" w:rsidRPr="00D5464D">
        <w:rPr>
          <w:rFonts w:cs="Times New Roman"/>
          <w:szCs w:val="20"/>
          <w:lang w:val="pt-BR"/>
        </w:rPr>
        <w:t>,</w:t>
      </w:r>
      <w:r w:rsidR="002246F9" w:rsidRPr="00D5464D">
        <w:rPr>
          <w:rStyle w:val="Refdenotaalpie"/>
          <w:lang w:val="pt-BR"/>
        </w:rPr>
        <w:footnoteReference w:id="288"/>
      </w:r>
      <w:r w:rsidR="002246F9" w:rsidRPr="00D5464D">
        <w:rPr>
          <w:rFonts w:cs="Times New Roman"/>
          <w:szCs w:val="20"/>
          <w:lang w:val="pt-BR"/>
        </w:rPr>
        <w:t xml:space="preserve"> 27. Francisco das </w:t>
      </w:r>
      <w:r w:rsidR="00D54143" w:rsidRPr="00D5464D">
        <w:rPr>
          <w:rFonts w:cs="Times New Roman"/>
          <w:szCs w:val="20"/>
          <w:lang w:val="pt-BR"/>
        </w:rPr>
        <w:t xml:space="preserve">Chagas </w:t>
      </w:r>
      <w:r w:rsidR="002246F9" w:rsidRPr="00D5464D">
        <w:rPr>
          <w:rFonts w:cs="Times New Roman"/>
          <w:szCs w:val="20"/>
          <w:lang w:val="pt-BR"/>
        </w:rPr>
        <w:t>Araujo Carvalho</w:t>
      </w:r>
      <w:r w:rsidR="007E0D56" w:rsidRPr="00D5464D">
        <w:rPr>
          <w:rFonts w:cs="Times New Roman"/>
          <w:szCs w:val="20"/>
          <w:lang w:val="pt-BR"/>
        </w:rPr>
        <w:t>,</w:t>
      </w:r>
      <w:r w:rsidR="002246F9" w:rsidRPr="00D5464D">
        <w:rPr>
          <w:rStyle w:val="Refdenotaalpie"/>
          <w:lang w:val="pt-BR"/>
        </w:rPr>
        <w:footnoteReference w:id="289"/>
      </w:r>
      <w:r w:rsidR="002246F9" w:rsidRPr="00D5464D">
        <w:rPr>
          <w:rFonts w:cs="Times New Roman"/>
          <w:szCs w:val="20"/>
          <w:lang w:val="pt-BR"/>
        </w:rPr>
        <w:t xml:space="preserve"> </w:t>
      </w:r>
      <w:r w:rsidR="002246F9" w:rsidRPr="00D5464D">
        <w:rPr>
          <w:szCs w:val="20"/>
          <w:lang w:val="pt-BR"/>
        </w:rPr>
        <w:t xml:space="preserve">28. Francisco das </w:t>
      </w:r>
      <w:r w:rsidR="00D54143" w:rsidRPr="00D5464D">
        <w:rPr>
          <w:szCs w:val="20"/>
          <w:lang w:val="pt-BR"/>
        </w:rPr>
        <w:t xml:space="preserve">Chagas </w:t>
      </w:r>
      <w:r w:rsidR="002246F9" w:rsidRPr="00D5464D">
        <w:rPr>
          <w:szCs w:val="20"/>
          <w:lang w:val="pt-BR"/>
        </w:rPr>
        <w:t>Bastos Souza</w:t>
      </w:r>
      <w:r w:rsidR="007E0D56" w:rsidRPr="00D5464D">
        <w:rPr>
          <w:szCs w:val="20"/>
          <w:lang w:val="pt-BR"/>
        </w:rPr>
        <w:t>,</w:t>
      </w:r>
      <w:r w:rsidR="002246F9" w:rsidRPr="00D5464D">
        <w:rPr>
          <w:rStyle w:val="Refdenotaalpie"/>
          <w:lang w:val="pt-BR"/>
        </w:rPr>
        <w:footnoteReference w:id="290"/>
      </w:r>
      <w:r w:rsidR="002246F9" w:rsidRPr="00D5464D">
        <w:rPr>
          <w:szCs w:val="20"/>
          <w:lang w:val="pt-BR"/>
        </w:rPr>
        <w:t xml:space="preserve"> </w:t>
      </w:r>
      <w:r w:rsidR="002246F9" w:rsidRPr="00D5464D">
        <w:rPr>
          <w:rFonts w:cs="Times New Roman"/>
          <w:szCs w:val="20"/>
          <w:lang w:val="pt-BR"/>
        </w:rPr>
        <w:t xml:space="preserve">29. Francisco das </w:t>
      </w:r>
      <w:r w:rsidR="00D54143" w:rsidRPr="00D5464D">
        <w:rPr>
          <w:rFonts w:cs="Times New Roman"/>
          <w:szCs w:val="20"/>
          <w:lang w:val="pt-BR"/>
        </w:rPr>
        <w:t xml:space="preserve">Chagas </w:t>
      </w:r>
      <w:r w:rsidR="002246F9" w:rsidRPr="00D5464D">
        <w:rPr>
          <w:rFonts w:cs="Times New Roman"/>
          <w:szCs w:val="20"/>
          <w:lang w:val="pt-BR"/>
        </w:rPr>
        <w:t>Cardoso Carvalho</w:t>
      </w:r>
      <w:r w:rsidR="007E0D56" w:rsidRPr="00D5464D">
        <w:rPr>
          <w:rFonts w:cs="Times New Roman"/>
          <w:szCs w:val="20"/>
          <w:lang w:val="pt-BR"/>
        </w:rPr>
        <w:t>,</w:t>
      </w:r>
      <w:r w:rsidR="002246F9" w:rsidRPr="00D5464D">
        <w:rPr>
          <w:rStyle w:val="Refdenotaalpie"/>
          <w:lang w:val="pt-BR"/>
        </w:rPr>
        <w:footnoteReference w:id="291"/>
      </w:r>
      <w:r w:rsidR="002246F9" w:rsidRPr="00D5464D">
        <w:rPr>
          <w:rFonts w:cs="Times New Roman"/>
          <w:szCs w:val="20"/>
          <w:lang w:val="pt-BR"/>
        </w:rPr>
        <w:t xml:space="preserve"> 30. Francisco das </w:t>
      </w:r>
      <w:r w:rsidR="00D54143" w:rsidRPr="00D5464D">
        <w:rPr>
          <w:rFonts w:cs="Times New Roman"/>
          <w:szCs w:val="20"/>
          <w:lang w:val="pt-BR"/>
        </w:rPr>
        <w:t xml:space="preserve">Chagas </w:t>
      </w:r>
      <w:r w:rsidR="002246F9" w:rsidRPr="00D5464D">
        <w:rPr>
          <w:rFonts w:cs="Times New Roman"/>
          <w:szCs w:val="20"/>
          <w:lang w:val="pt-BR"/>
        </w:rPr>
        <w:t>Costa Rabelo</w:t>
      </w:r>
      <w:r w:rsidR="007E0D56" w:rsidRPr="00D5464D">
        <w:rPr>
          <w:rFonts w:cs="Times New Roman"/>
          <w:szCs w:val="20"/>
          <w:lang w:val="pt-BR"/>
        </w:rPr>
        <w:t>,</w:t>
      </w:r>
      <w:r w:rsidR="002246F9" w:rsidRPr="00D5464D">
        <w:rPr>
          <w:rStyle w:val="Refdenotaalpie"/>
          <w:lang w:val="pt-BR"/>
        </w:rPr>
        <w:footnoteReference w:id="292"/>
      </w:r>
      <w:r w:rsidR="002246F9" w:rsidRPr="00D5464D">
        <w:rPr>
          <w:rFonts w:cs="Times New Roman"/>
          <w:szCs w:val="20"/>
          <w:lang w:val="pt-BR"/>
        </w:rPr>
        <w:t xml:space="preserve"> 31. Francisco das </w:t>
      </w:r>
      <w:r w:rsidR="00D54143" w:rsidRPr="00D5464D">
        <w:rPr>
          <w:rFonts w:cs="Times New Roman"/>
          <w:szCs w:val="20"/>
          <w:lang w:val="pt-BR"/>
        </w:rPr>
        <w:t xml:space="preserve">Chagas </w:t>
      </w:r>
      <w:r w:rsidR="002246F9" w:rsidRPr="00D5464D">
        <w:rPr>
          <w:rFonts w:cs="Times New Roman"/>
          <w:szCs w:val="20"/>
          <w:lang w:val="pt-BR"/>
        </w:rPr>
        <w:t>da Silva Lira</w:t>
      </w:r>
      <w:r w:rsidR="007E0D56" w:rsidRPr="00D5464D">
        <w:rPr>
          <w:rFonts w:cs="Times New Roman"/>
          <w:szCs w:val="20"/>
          <w:lang w:val="pt-BR"/>
        </w:rPr>
        <w:t>,</w:t>
      </w:r>
      <w:r w:rsidR="002246F9" w:rsidRPr="00D5464D">
        <w:rPr>
          <w:rStyle w:val="Refdenotaalpie"/>
          <w:lang w:val="pt-BR"/>
        </w:rPr>
        <w:footnoteReference w:id="293"/>
      </w:r>
      <w:r w:rsidR="002246F9" w:rsidRPr="00D5464D">
        <w:rPr>
          <w:rFonts w:cs="Times New Roman"/>
          <w:szCs w:val="20"/>
          <w:lang w:val="pt-BR"/>
        </w:rPr>
        <w:t xml:space="preserve"> 32. Francisco Mariano da Silva</w:t>
      </w:r>
      <w:r w:rsidR="007E0D56" w:rsidRPr="00D5464D">
        <w:rPr>
          <w:rFonts w:cs="Times New Roman"/>
          <w:szCs w:val="20"/>
          <w:lang w:val="pt-BR"/>
        </w:rPr>
        <w:t>,</w:t>
      </w:r>
      <w:r w:rsidR="002246F9" w:rsidRPr="00D5464D">
        <w:rPr>
          <w:rStyle w:val="Refdenotaalpie"/>
          <w:lang w:val="pt-BR"/>
        </w:rPr>
        <w:footnoteReference w:id="294"/>
      </w:r>
      <w:r w:rsidR="002246F9" w:rsidRPr="00D5464D">
        <w:rPr>
          <w:rFonts w:cs="Times New Roman"/>
          <w:szCs w:val="20"/>
          <w:lang w:val="pt-BR"/>
        </w:rPr>
        <w:t xml:space="preserve"> 33. Francisco das </w:t>
      </w:r>
      <w:r w:rsidR="00D54143" w:rsidRPr="00D5464D">
        <w:rPr>
          <w:rFonts w:cs="Times New Roman"/>
          <w:szCs w:val="20"/>
          <w:lang w:val="pt-BR"/>
        </w:rPr>
        <w:t xml:space="preserve">Chagas </w:t>
      </w:r>
      <w:r w:rsidR="002246F9" w:rsidRPr="00D5464D">
        <w:rPr>
          <w:rFonts w:cs="Times New Roman"/>
          <w:szCs w:val="20"/>
          <w:lang w:val="pt-BR"/>
        </w:rPr>
        <w:t>Diogo</w:t>
      </w:r>
      <w:r w:rsidR="007E0D56" w:rsidRPr="00D5464D">
        <w:rPr>
          <w:rFonts w:cs="Times New Roman"/>
          <w:szCs w:val="20"/>
          <w:lang w:val="pt-BR"/>
        </w:rPr>
        <w:t>,</w:t>
      </w:r>
      <w:r w:rsidR="002246F9" w:rsidRPr="00D5464D">
        <w:rPr>
          <w:rStyle w:val="Refdenotaalpie"/>
          <w:lang w:val="pt-BR"/>
        </w:rPr>
        <w:footnoteReference w:id="295"/>
      </w:r>
      <w:r w:rsidR="002246F9" w:rsidRPr="00D5464D">
        <w:rPr>
          <w:rFonts w:cs="Times New Roman"/>
          <w:szCs w:val="20"/>
          <w:lang w:val="pt-BR"/>
        </w:rPr>
        <w:t xml:space="preserve"> 34. Francisco das </w:t>
      </w:r>
      <w:r w:rsidR="00D54143" w:rsidRPr="00D5464D">
        <w:rPr>
          <w:rFonts w:cs="Times New Roman"/>
          <w:szCs w:val="20"/>
          <w:lang w:val="pt-BR"/>
        </w:rPr>
        <w:t xml:space="preserve">Chagas </w:t>
      </w:r>
      <w:r w:rsidR="002246F9" w:rsidRPr="00D5464D">
        <w:rPr>
          <w:rFonts w:cs="Times New Roman"/>
          <w:szCs w:val="20"/>
          <w:lang w:val="pt-BR"/>
        </w:rPr>
        <w:t>Moreira Alves</w:t>
      </w:r>
      <w:r w:rsidR="007E0D56" w:rsidRPr="00D5464D">
        <w:rPr>
          <w:rFonts w:cs="Times New Roman"/>
          <w:szCs w:val="20"/>
          <w:lang w:val="pt-BR"/>
        </w:rPr>
        <w:t>,</w:t>
      </w:r>
      <w:r w:rsidR="002246F9" w:rsidRPr="00D5464D">
        <w:rPr>
          <w:rStyle w:val="Refdenotaalpie"/>
          <w:lang w:val="pt-BR"/>
        </w:rPr>
        <w:footnoteReference w:id="296"/>
      </w:r>
      <w:r w:rsidR="002246F9" w:rsidRPr="00D5464D">
        <w:rPr>
          <w:rFonts w:cs="Times New Roman"/>
          <w:szCs w:val="20"/>
          <w:lang w:val="pt-BR"/>
        </w:rPr>
        <w:t xml:space="preserve"> 35. Francisco das </w:t>
      </w:r>
      <w:r w:rsidR="00D54143" w:rsidRPr="00D5464D">
        <w:rPr>
          <w:rFonts w:cs="Times New Roman"/>
          <w:szCs w:val="20"/>
          <w:lang w:val="pt-BR"/>
        </w:rPr>
        <w:t xml:space="preserve">Chagas </w:t>
      </w:r>
      <w:r w:rsidR="002246F9" w:rsidRPr="00D5464D">
        <w:rPr>
          <w:rFonts w:cs="Times New Roman"/>
          <w:szCs w:val="20"/>
          <w:lang w:val="pt-BR"/>
        </w:rPr>
        <w:t>Rodrigues de Sousa</w:t>
      </w:r>
      <w:r w:rsidR="007E0D56" w:rsidRPr="00D5464D">
        <w:rPr>
          <w:rFonts w:cs="Times New Roman"/>
          <w:szCs w:val="20"/>
          <w:lang w:val="pt-BR"/>
        </w:rPr>
        <w:t>,</w:t>
      </w:r>
      <w:r w:rsidR="002246F9" w:rsidRPr="00D5464D">
        <w:rPr>
          <w:rStyle w:val="Refdenotaalpie"/>
          <w:lang w:val="pt-BR"/>
        </w:rPr>
        <w:footnoteReference w:id="297"/>
      </w:r>
      <w:r w:rsidR="002246F9" w:rsidRPr="00D5464D">
        <w:rPr>
          <w:rFonts w:cs="Times New Roman"/>
          <w:szCs w:val="20"/>
          <w:lang w:val="pt-BR"/>
        </w:rPr>
        <w:t xml:space="preserve"> 36. Francisco das </w:t>
      </w:r>
      <w:r w:rsidR="00D54143" w:rsidRPr="00D5464D">
        <w:rPr>
          <w:rFonts w:cs="Times New Roman"/>
          <w:szCs w:val="20"/>
          <w:lang w:val="pt-BR"/>
        </w:rPr>
        <w:t xml:space="preserve">Chagas </w:t>
      </w:r>
      <w:r w:rsidR="002246F9" w:rsidRPr="00D5464D">
        <w:rPr>
          <w:rFonts w:cs="Times New Roman"/>
          <w:szCs w:val="20"/>
          <w:lang w:val="pt-BR"/>
        </w:rPr>
        <w:t>Sousa Cardoso</w:t>
      </w:r>
      <w:r w:rsidR="007E0D56" w:rsidRPr="00D5464D">
        <w:rPr>
          <w:rFonts w:cs="Times New Roman"/>
          <w:szCs w:val="20"/>
          <w:lang w:val="pt-BR"/>
        </w:rPr>
        <w:t>,</w:t>
      </w:r>
      <w:r w:rsidR="002246F9" w:rsidRPr="00D5464D">
        <w:rPr>
          <w:rStyle w:val="Refdenotaalpie"/>
          <w:lang w:val="pt-BR"/>
        </w:rPr>
        <w:footnoteReference w:id="298"/>
      </w:r>
      <w:r w:rsidR="002246F9" w:rsidRPr="00D5464D">
        <w:rPr>
          <w:rFonts w:cs="Times New Roman"/>
          <w:szCs w:val="20"/>
          <w:lang w:val="pt-BR"/>
        </w:rPr>
        <w:t xml:space="preserve"> 37. Francisco de Assis Felix</w:t>
      </w:r>
      <w:r w:rsidR="007E0D56" w:rsidRPr="00D5464D">
        <w:rPr>
          <w:rFonts w:cs="Times New Roman"/>
          <w:szCs w:val="20"/>
          <w:lang w:val="pt-BR"/>
        </w:rPr>
        <w:t>,</w:t>
      </w:r>
      <w:r w:rsidR="002246F9" w:rsidRPr="00D5464D">
        <w:rPr>
          <w:rStyle w:val="Refdenotaalpie"/>
          <w:lang w:val="pt-BR"/>
        </w:rPr>
        <w:footnoteReference w:id="299"/>
      </w:r>
      <w:r w:rsidR="002246F9" w:rsidRPr="00D5464D">
        <w:rPr>
          <w:rFonts w:cs="Times New Roman"/>
          <w:szCs w:val="20"/>
          <w:lang w:val="pt-BR"/>
        </w:rPr>
        <w:t xml:space="preserve"> 38. Francisco de Assis Pereira da Silva</w:t>
      </w:r>
      <w:r w:rsidR="007E0D56" w:rsidRPr="00D5464D">
        <w:rPr>
          <w:rFonts w:cs="Times New Roman"/>
          <w:szCs w:val="20"/>
          <w:lang w:val="pt-BR"/>
        </w:rPr>
        <w:t>,</w:t>
      </w:r>
      <w:r w:rsidR="002246F9" w:rsidRPr="00D5464D">
        <w:rPr>
          <w:rStyle w:val="Refdenotaalpie"/>
          <w:lang w:val="pt-BR"/>
        </w:rPr>
        <w:footnoteReference w:id="300"/>
      </w:r>
      <w:r w:rsidR="002246F9" w:rsidRPr="00D5464D">
        <w:rPr>
          <w:rFonts w:cs="Times New Roman"/>
          <w:szCs w:val="20"/>
          <w:lang w:val="pt-BR"/>
        </w:rPr>
        <w:t xml:space="preserve"> 39. Francisco de Souza Brígido</w:t>
      </w:r>
      <w:r w:rsidR="007E0D56" w:rsidRPr="00D5464D">
        <w:rPr>
          <w:rFonts w:cs="Times New Roman"/>
          <w:szCs w:val="20"/>
          <w:lang w:val="pt-BR"/>
        </w:rPr>
        <w:t>,</w:t>
      </w:r>
      <w:r w:rsidR="002246F9" w:rsidRPr="00D5464D">
        <w:rPr>
          <w:rStyle w:val="Refdenotaalpie"/>
          <w:lang w:val="pt-BR"/>
        </w:rPr>
        <w:footnoteReference w:id="301"/>
      </w:r>
      <w:r w:rsidR="002246F9" w:rsidRPr="00D5464D">
        <w:rPr>
          <w:rFonts w:cs="Times New Roman"/>
          <w:szCs w:val="20"/>
          <w:lang w:val="pt-BR"/>
        </w:rPr>
        <w:t xml:space="preserve"> 40. Francisco Ernesto de Melo</w:t>
      </w:r>
      <w:r w:rsidR="007E0D56" w:rsidRPr="00D5464D">
        <w:rPr>
          <w:rFonts w:cs="Times New Roman"/>
          <w:szCs w:val="20"/>
          <w:lang w:val="pt-BR"/>
        </w:rPr>
        <w:t>,</w:t>
      </w:r>
      <w:r w:rsidR="002246F9" w:rsidRPr="00D5464D">
        <w:rPr>
          <w:rStyle w:val="Refdenotaalpie"/>
          <w:lang w:val="pt-BR"/>
        </w:rPr>
        <w:footnoteReference w:id="302"/>
      </w:r>
      <w:r w:rsidR="002246F9" w:rsidRPr="00D5464D">
        <w:rPr>
          <w:rFonts w:cs="Times New Roman"/>
          <w:szCs w:val="20"/>
          <w:lang w:val="pt-BR"/>
        </w:rPr>
        <w:t xml:space="preserve"> 41. Francisco Fabiano Leandro</w:t>
      </w:r>
      <w:r w:rsidR="007E0D56" w:rsidRPr="00D5464D">
        <w:rPr>
          <w:rFonts w:cs="Times New Roman"/>
          <w:szCs w:val="20"/>
          <w:lang w:val="pt-BR"/>
        </w:rPr>
        <w:t>,</w:t>
      </w:r>
      <w:r w:rsidR="002246F9" w:rsidRPr="00D5464D">
        <w:rPr>
          <w:rStyle w:val="Refdenotaalpie"/>
          <w:lang w:val="pt-BR"/>
        </w:rPr>
        <w:footnoteReference w:id="303"/>
      </w:r>
      <w:r w:rsidR="002246F9" w:rsidRPr="00D5464D">
        <w:rPr>
          <w:rFonts w:cs="Times New Roman"/>
          <w:szCs w:val="20"/>
          <w:lang w:val="pt-BR"/>
        </w:rPr>
        <w:t xml:space="preserve"> 42. Francisco Ferreira da Silva</w:t>
      </w:r>
      <w:r w:rsidR="007E0D56" w:rsidRPr="00D5464D">
        <w:rPr>
          <w:rFonts w:cs="Times New Roman"/>
          <w:szCs w:val="20"/>
          <w:lang w:val="pt-BR"/>
        </w:rPr>
        <w:t>,</w:t>
      </w:r>
      <w:r w:rsidR="002246F9" w:rsidRPr="00D5464D">
        <w:rPr>
          <w:rStyle w:val="Refdenotaalpie"/>
          <w:lang w:val="pt-BR"/>
        </w:rPr>
        <w:footnoteReference w:id="304"/>
      </w:r>
      <w:r w:rsidR="002246F9" w:rsidRPr="00D5464D">
        <w:rPr>
          <w:szCs w:val="20"/>
          <w:lang w:val="pt-BR"/>
        </w:rPr>
        <w:t xml:space="preserve"> </w:t>
      </w:r>
      <w:r w:rsidR="002246F9" w:rsidRPr="00D5464D">
        <w:rPr>
          <w:rFonts w:cs="Times New Roman"/>
          <w:szCs w:val="20"/>
          <w:lang w:val="pt-BR"/>
        </w:rPr>
        <w:t>43. Francisco Ferreira da Silva Filho</w:t>
      </w:r>
      <w:r w:rsidR="007E0D56" w:rsidRPr="00D5464D">
        <w:rPr>
          <w:rFonts w:cs="Times New Roman"/>
          <w:szCs w:val="20"/>
          <w:lang w:val="pt-BR"/>
        </w:rPr>
        <w:t>,</w:t>
      </w:r>
      <w:r w:rsidR="002246F9" w:rsidRPr="00D5464D">
        <w:rPr>
          <w:rStyle w:val="Refdenotaalpie"/>
          <w:lang w:val="pt-BR"/>
        </w:rPr>
        <w:footnoteReference w:id="305"/>
      </w:r>
      <w:r w:rsidR="002246F9" w:rsidRPr="00D5464D">
        <w:rPr>
          <w:rFonts w:cs="Times New Roman"/>
          <w:szCs w:val="20"/>
          <w:lang w:val="pt-BR"/>
        </w:rPr>
        <w:t xml:space="preserve"> 44. Francisco José Furtado</w:t>
      </w:r>
      <w:r w:rsidR="007E0D56" w:rsidRPr="00D5464D">
        <w:rPr>
          <w:rFonts w:cs="Times New Roman"/>
          <w:szCs w:val="20"/>
          <w:lang w:val="pt-BR"/>
        </w:rPr>
        <w:t>,</w:t>
      </w:r>
      <w:r w:rsidR="002246F9" w:rsidRPr="00D5464D">
        <w:rPr>
          <w:rStyle w:val="Refdenotaalpie"/>
          <w:lang w:val="pt-BR"/>
        </w:rPr>
        <w:footnoteReference w:id="306"/>
      </w:r>
      <w:r w:rsidR="002246F9" w:rsidRPr="00D5464D">
        <w:rPr>
          <w:rFonts w:cs="Times New Roman"/>
          <w:szCs w:val="20"/>
          <w:lang w:val="pt-BR"/>
        </w:rPr>
        <w:t xml:space="preserve"> 45. Francisco </w:t>
      </w:r>
      <w:r w:rsidRPr="00D5464D">
        <w:rPr>
          <w:rFonts w:cs="Times New Roman"/>
          <w:szCs w:val="20"/>
          <w:lang w:val="pt-BR"/>
        </w:rPr>
        <w:t>Jun</w:t>
      </w:r>
      <w:r w:rsidR="007E0D56" w:rsidRPr="00D5464D">
        <w:rPr>
          <w:rFonts w:cs="Times New Roman"/>
          <w:szCs w:val="20"/>
          <w:lang w:val="pt-BR"/>
        </w:rPr>
        <w:t>i</w:t>
      </w:r>
      <w:r w:rsidRPr="00D5464D">
        <w:rPr>
          <w:rFonts w:cs="Times New Roman"/>
          <w:szCs w:val="20"/>
          <w:lang w:val="pt-BR"/>
        </w:rPr>
        <w:t>o</w:t>
      </w:r>
      <w:r w:rsidR="002246F9" w:rsidRPr="00D5464D">
        <w:rPr>
          <w:rFonts w:cs="Times New Roman"/>
          <w:szCs w:val="20"/>
          <w:lang w:val="pt-BR"/>
        </w:rPr>
        <w:t>r da Silva</w:t>
      </w:r>
      <w:r w:rsidR="007E0D56" w:rsidRPr="00D5464D">
        <w:rPr>
          <w:rFonts w:cs="Times New Roman"/>
          <w:szCs w:val="20"/>
          <w:lang w:val="pt-BR"/>
        </w:rPr>
        <w:t>,</w:t>
      </w:r>
      <w:r w:rsidR="002246F9" w:rsidRPr="00D5464D">
        <w:rPr>
          <w:rStyle w:val="Refdenotaalpie"/>
          <w:lang w:val="pt-BR"/>
        </w:rPr>
        <w:footnoteReference w:id="307"/>
      </w:r>
      <w:r w:rsidR="002246F9" w:rsidRPr="00D5464D">
        <w:rPr>
          <w:rFonts w:cs="Times New Roman"/>
          <w:szCs w:val="20"/>
          <w:lang w:val="pt-BR"/>
        </w:rPr>
        <w:t xml:space="preserve"> 46. Francisco Mirele Ribeiro da Silva</w:t>
      </w:r>
      <w:r w:rsidR="007E0D56" w:rsidRPr="00D5464D">
        <w:rPr>
          <w:rFonts w:cs="Times New Roman"/>
          <w:szCs w:val="20"/>
          <w:lang w:val="pt-BR"/>
        </w:rPr>
        <w:t>,</w:t>
      </w:r>
      <w:r w:rsidR="002246F9" w:rsidRPr="00D5464D">
        <w:rPr>
          <w:rStyle w:val="Refdenotaalpie"/>
          <w:lang w:val="pt-BR"/>
        </w:rPr>
        <w:footnoteReference w:id="308"/>
      </w:r>
      <w:r w:rsidR="002246F9" w:rsidRPr="00D5464D">
        <w:rPr>
          <w:rFonts w:cs="Times New Roman"/>
          <w:szCs w:val="20"/>
          <w:lang w:val="pt-BR"/>
        </w:rPr>
        <w:t xml:space="preserve"> </w:t>
      </w:r>
      <w:r w:rsidR="002246F9" w:rsidRPr="00D5464D">
        <w:rPr>
          <w:szCs w:val="20"/>
          <w:lang w:val="pt-BR"/>
        </w:rPr>
        <w:t>47. Francisco Pereira da Silva</w:t>
      </w:r>
      <w:r w:rsidR="007E0D56" w:rsidRPr="00D5464D">
        <w:rPr>
          <w:szCs w:val="20"/>
          <w:lang w:val="pt-BR"/>
        </w:rPr>
        <w:t>,</w:t>
      </w:r>
      <w:r w:rsidR="002246F9" w:rsidRPr="00D5464D">
        <w:rPr>
          <w:rStyle w:val="Refdenotaalpie"/>
          <w:lang w:val="pt-BR"/>
        </w:rPr>
        <w:footnoteReference w:id="309"/>
      </w:r>
      <w:r w:rsidR="002246F9" w:rsidRPr="00D5464D">
        <w:rPr>
          <w:szCs w:val="20"/>
          <w:lang w:val="pt-BR"/>
        </w:rPr>
        <w:t xml:space="preserve"> </w:t>
      </w:r>
      <w:r w:rsidR="002246F9" w:rsidRPr="00D5464D">
        <w:rPr>
          <w:rFonts w:cs="Times New Roman"/>
          <w:szCs w:val="20"/>
          <w:lang w:val="pt-BR"/>
        </w:rPr>
        <w:t>48. Francisco Soares da Silva</w:t>
      </w:r>
      <w:r w:rsidR="007E0D56" w:rsidRPr="00D5464D">
        <w:rPr>
          <w:rFonts w:cs="Times New Roman"/>
          <w:szCs w:val="20"/>
          <w:lang w:val="pt-BR"/>
        </w:rPr>
        <w:t>,</w:t>
      </w:r>
      <w:r w:rsidR="002246F9" w:rsidRPr="00D5464D">
        <w:rPr>
          <w:rStyle w:val="Refdenotaalpie"/>
          <w:lang w:val="pt-BR"/>
        </w:rPr>
        <w:footnoteReference w:id="310"/>
      </w:r>
      <w:r w:rsidR="002246F9" w:rsidRPr="00D5464D">
        <w:rPr>
          <w:rFonts w:cs="Times New Roman"/>
          <w:szCs w:val="20"/>
          <w:lang w:val="pt-BR"/>
        </w:rPr>
        <w:t xml:space="preserve"> 49. Francisco Teodoro Diogo</w:t>
      </w:r>
      <w:r w:rsidR="007E0D56" w:rsidRPr="00D5464D">
        <w:rPr>
          <w:rFonts w:cs="Times New Roman"/>
          <w:szCs w:val="20"/>
          <w:lang w:val="pt-BR"/>
        </w:rPr>
        <w:t>,</w:t>
      </w:r>
      <w:r w:rsidR="002246F9" w:rsidRPr="00D5464D">
        <w:rPr>
          <w:rStyle w:val="Refdenotaalpie"/>
          <w:lang w:val="pt-BR"/>
        </w:rPr>
        <w:footnoteReference w:id="311"/>
      </w:r>
      <w:r w:rsidR="002246F9" w:rsidRPr="00D5464D">
        <w:rPr>
          <w:rFonts w:cs="Times New Roman"/>
          <w:szCs w:val="20"/>
          <w:lang w:val="pt-BR"/>
        </w:rPr>
        <w:t xml:space="preserve"> 50. Geraldo Ferreira da Silva</w:t>
      </w:r>
      <w:r w:rsidR="007E0D56" w:rsidRPr="00D5464D">
        <w:rPr>
          <w:rFonts w:cs="Times New Roman"/>
          <w:szCs w:val="20"/>
          <w:lang w:val="pt-BR"/>
        </w:rPr>
        <w:t>,</w:t>
      </w:r>
      <w:r w:rsidR="002246F9" w:rsidRPr="00D5464D">
        <w:rPr>
          <w:rStyle w:val="Refdenotaalpie"/>
          <w:lang w:val="pt-BR"/>
        </w:rPr>
        <w:footnoteReference w:id="312"/>
      </w:r>
      <w:r w:rsidR="002246F9" w:rsidRPr="00D5464D">
        <w:rPr>
          <w:rFonts w:cs="Times New Roman"/>
          <w:szCs w:val="20"/>
          <w:lang w:val="pt-BR"/>
        </w:rPr>
        <w:t xml:space="preserve"> 51. Gonçalo Constâncio da Silva</w:t>
      </w:r>
      <w:r w:rsidR="007E0D56" w:rsidRPr="00D5464D">
        <w:rPr>
          <w:rFonts w:cs="Times New Roman"/>
          <w:szCs w:val="20"/>
          <w:lang w:val="pt-BR"/>
        </w:rPr>
        <w:t>,</w:t>
      </w:r>
      <w:r w:rsidR="002246F9" w:rsidRPr="00D5464D">
        <w:rPr>
          <w:rStyle w:val="Refdenotaalpie"/>
          <w:lang w:val="pt-BR"/>
        </w:rPr>
        <w:footnoteReference w:id="313"/>
      </w:r>
      <w:r w:rsidR="002246F9" w:rsidRPr="00D5464D">
        <w:rPr>
          <w:rFonts w:cs="Times New Roman"/>
          <w:szCs w:val="20"/>
          <w:lang w:val="pt-BR"/>
        </w:rPr>
        <w:t xml:space="preserve"> 52. Gonçalo Firmino de Sousa</w:t>
      </w:r>
      <w:r w:rsidR="007E0D56" w:rsidRPr="00D5464D">
        <w:rPr>
          <w:rFonts w:cs="Times New Roman"/>
          <w:szCs w:val="20"/>
          <w:lang w:val="pt-BR"/>
        </w:rPr>
        <w:t>,</w:t>
      </w:r>
      <w:r w:rsidR="002246F9" w:rsidRPr="00D5464D">
        <w:rPr>
          <w:rStyle w:val="Refdenotaalpie"/>
          <w:lang w:val="pt-BR"/>
        </w:rPr>
        <w:footnoteReference w:id="314"/>
      </w:r>
      <w:r w:rsidR="002246F9" w:rsidRPr="00D5464D">
        <w:rPr>
          <w:rFonts w:cs="Times New Roman"/>
          <w:szCs w:val="20"/>
          <w:lang w:val="pt-BR"/>
        </w:rPr>
        <w:t xml:space="preserve"> 53. Gonçalo José Gomes</w:t>
      </w:r>
      <w:r w:rsidR="007E0D56" w:rsidRPr="00D5464D">
        <w:rPr>
          <w:rFonts w:cs="Times New Roman"/>
          <w:szCs w:val="20"/>
          <w:lang w:val="pt-BR"/>
        </w:rPr>
        <w:t>,</w:t>
      </w:r>
      <w:r w:rsidR="002246F9" w:rsidRPr="00D5464D">
        <w:rPr>
          <w:rStyle w:val="Refdenotaalpie"/>
          <w:lang w:val="pt-BR"/>
        </w:rPr>
        <w:footnoteReference w:id="315"/>
      </w:r>
      <w:r w:rsidR="002246F9" w:rsidRPr="00D5464D">
        <w:rPr>
          <w:rFonts w:cs="Times New Roman"/>
          <w:szCs w:val="20"/>
          <w:lang w:val="pt-BR"/>
        </w:rPr>
        <w:t xml:space="preserve"> 54. </w:t>
      </w:r>
      <w:r w:rsidR="00D47B1B" w:rsidRPr="00D5464D">
        <w:rPr>
          <w:rFonts w:cs="Times New Roman"/>
          <w:szCs w:val="20"/>
          <w:lang w:val="pt-BR"/>
        </w:rPr>
        <w:t>José Francisco Furtado de Sousa</w:t>
      </w:r>
      <w:r w:rsidR="007E0D56" w:rsidRPr="00D5464D">
        <w:rPr>
          <w:rFonts w:cs="Times New Roman"/>
          <w:szCs w:val="20"/>
          <w:lang w:val="pt-BR"/>
        </w:rPr>
        <w:t>,</w:t>
      </w:r>
      <w:r w:rsidR="002246F9" w:rsidRPr="00D5464D">
        <w:rPr>
          <w:rStyle w:val="Refdenotaalpie"/>
          <w:lang w:val="pt-BR"/>
        </w:rPr>
        <w:footnoteReference w:id="316"/>
      </w:r>
      <w:r w:rsidR="00653E8C" w:rsidRPr="00D5464D">
        <w:rPr>
          <w:rFonts w:cs="Times New Roman"/>
          <w:szCs w:val="20"/>
          <w:lang w:val="pt-BR"/>
        </w:rPr>
        <w:t xml:space="preserve"> 55. J</w:t>
      </w:r>
      <w:r w:rsidR="002246F9" w:rsidRPr="00D5464D">
        <w:rPr>
          <w:rFonts w:cs="Times New Roman"/>
          <w:szCs w:val="20"/>
          <w:lang w:val="pt-BR"/>
        </w:rPr>
        <w:t>enival Lopes</w:t>
      </w:r>
      <w:r w:rsidR="007E0D56" w:rsidRPr="00D5464D">
        <w:rPr>
          <w:rFonts w:cs="Times New Roman"/>
          <w:szCs w:val="20"/>
          <w:lang w:val="pt-BR"/>
        </w:rPr>
        <w:t>,</w:t>
      </w:r>
      <w:r w:rsidR="002246F9" w:rsidRPr="00D5464D">
        <w:rPr>
          <w:rStyle w:val="Refdenotaalpie"/>
          <w:lang w:val="pt-BR"/>
        </w:rPr>
        <w:footnoteReference w:id="317"/>
      </w:r>
      <w:r w:rsidR="002246F9" w:rsidRPr="00D5464D">
        <w:rPr>
          <w:rFonts w:cs="Times New Roman"/>
          <w:szCs w:val="20"/>
          <w:lang w:val="pt-BR"/>
        </w:rPr>
        <w:t xml:space="preserve"> 56. João Diogo Pereira Filho</w:t>
      </w:r>
      <w:r w:rsidR="007E0D56" w:rsidRPr="00D5464D">
        <w:rPr>
          <w:rFonts w:cs="Times New Roman"/>
          <w:szCs w:val="20"/>
          <w:lang w:val="pt-BR"/>
        </w:rPr>
        <w:t>,</w:t>
      </w:r>
      <w:r w:rsidR="002246F9" w:rsidRPr="00D5464D">
        <w:rPr>
          <w:rStyle w:val="Refdenotaalpie"/>
          <w:lang w:val="pt-BR"/>
        </w:rPr>
        <w:footnoteReference w:id="318"/>
      </w:r>
      <w:r w:rsidR="002246F9" w:rsidRPr="00D5464D">
        <w:rPr>
          <w:rFonts w:cs="Times New Roman"/>
          <w:szCs w:val="20"/>
          <w:lang w:val="pt-BR"/>
        </w:rPr>
        <w:t xml:space="preserve"> 57. José Cordeiro Ramos</w:t>
      </w:r>
      <w:r w:rsidR="007E0D56" w:rsidRPr="00D5464D">
        <w:rPr>
          <w:rFonts w:cs="Times New Roman"/>
          <w:szCs w:val="20"/>
          <w:lang w:val="pt-BR"/>
        </w:rPr>
        <w:t>,</w:t>
      </w:r>
      <w:r w:rsidR="002246F9" w:rsidRPr="00D5464D">
        <w:rPr>
          <w:rStyle w:val="Refdenotaalpie"/>
          <w:lang w:val="pt-BR"/>
        </w:rPr>
        <w:footnoteReference w:id="319"/>
      </w:r>
      <w:r w:rsidR="002246F9" w:rsidRPr="00D5464D">
        <w:rPr>
          <w:rFonts w:cs="Times New Roman"/>
          <w:szCs w:val="20"/>
          <w:lang w:val="pt-BR"/>
        </w:rPr>
        <w:t xml:space="preserve"> 58. José de Deus de Jesus Sousa</w:t>
      </w:r>
      <w:r w:rsidR="007E0D56" w:rsidRPr="00D5464D">
        <w:rPr>
          <w:rFonts w:cs="Times New Roman"/>
          <w:szCs w:val="20"/>
          <w:lang w:val="pt-BR"/>
        </w:rPr>
        <w:t>,</w:t>
      </w:r>
      <w:r w:rsidR="002246F9" w:rsidRPr="00D5464D">
        <w:rPr>
          <w:rStyle w:val="Refdenotaalpie"/>
          <w:lang w:val="pt-BR"/>
        </w:rPr>
        <w:footnoteReference w:id="320"/>
      </w:r>
      <w:r w:rsidR="002246F9" w:rsidRPr="00D5464D">
        <w:rPr>
          <w:rFonts w:cs="Times New Roman"/>
          <w:szCs w:val="20"/>
          <w:lang w:val="pt-BR"/>
        </w:rPr>
        <w:t xml:space="preserve"> 59. José de Ribamar Souza</w:t>
      </w:r>
      <w:r w:rsidR="007E0D56" w:rsidRPr="00D5464D">
        <w:rPr>
          <w:rFonts w:cs="Times New Roman"/>
          <w:szCs w:val="20"/>
          <w:lang w:val="pt-BR"/>
        </w:rPr>
        <w:t>,</w:t>
      </w:r>
      <w:r w:rsidR="002246F9" w:rsidRPr="00D5464D">
        <w:rPr>
          <w:rStyle w:val="Refdenotaalpie"/>
          <w:lang w:val="pt-BR"/>
        </w:rPr>
        <w:footnoteReference w:id="321"/>
      </w:r>
      <w:r w:rsidR="002246F9" w:rsidRPr="00D5464D">
        <w:rPr>
          <w:rFonts w:cs="Times New Roman"/>
          <w:szCs w:val="20"/>
          <w:lang w:val="pt-BR"/>
        </w:rPr>
        <w:t xml:space="preserve"> 60. José do Egito Santos</w:t>
      </w:r>
      <w:r w:rsidR="007E0D56" w:rsidRPr="00D5464D">
        <w:rPr>
          <w:rFonts w:cs="Times New Roman"/>
          <w:szCs w:val="20"/>
          <w:lang w:val="pt-BR"/>
        </w:rPr>
        <w:t>,</w:t>
      </w:r>
      <w:r w:rsidR="002246F9" w:rsidRPr="00D5464D">
        <w:rPr>
          <w:rStyle w:val="Refdenotaalpie"/>
          <w:lang w:val="pt-BR"/>
        </w:rPr>
        <w:footnoteReference w:id="322"/>
      </w:r>
      <w:r w:rsidR="002246F9" w:rsidRPr="00D5464D">
        <w:rPr>
          <w:rFonts w:cs="Times New Roman"/>
          <w:szCs w:val="20"/>
          <w:lang w:val="pt-BR"/>
        </w:rPr>
        <w:t xml:space="preserve"> 61. José Gomes</w:t>
      </w:r>
      <w:r w:rsidR="007E0D56" w:rsidRPr="00D5464D">
        <w:rPr>
          <w:rFonts w:cs="Times New Roman"/>
          <w:szCs w:val="20"/>
          <w:lang w:val="pt-BR"/>
        </w:rPr>
        <w:t>,</w:t>
      </w:r>
      <w:r w:rsidR="002246F9" w:rsidRPr="00D5464D">
        <w:rPr>
          <w:rStyle w:val="Refdenotaalpie"/>
          <w:lang w:val="pt-BR"/>
        </w:rPr>
        <w:footnoteReference w:id="323"/>
      </w:r>
      <w:r w:rsidR="002246F9" w:rsidRPr="00D5464D">
        <w:rPr>
          <w:rFonts w:cs="Times New Roman"/>
          <w:szCs w:val="20"/>
          <w:lang w:val="pt-BR"/>
        </w:rPr>
        <w:t xml:space="preserve"> 62. José Leandro da Silva</w:t>
      </w:r>
      <w:r w:rsidR="007E0D56" w:rsidRPr="00D5464D">
        <w:rPr>
          <w:rFonts w:cs="Times New Roman"/>
          <w:szCs w:val="20"/>
          <w:lang w:val="pt-BR"/>
        </w:rPr>
        <w:t>,</w:t>
      </w:r>
      <w:r w:rsidR="002246F9" w:rsidRPr="00D5464D">
        <w:rPr>
          <w:rStyle w:val="Refdenotaalpie"/>
          <w:lang w:val="pt-BR"/>
        </w:rPr>
        <w:footnoteReference w:id="324"/>
      </w:r>
      <w:r w:rsidR="002246F9" w:rsidRPr="00D5464D">
        <w:rPr>
          <w:rFonts w:cs="Times New Roman"/>
          <w:szCs w:val="20"/>
          <w:lang w:val="pt-BR"/>
        </w:rPr>
        <w:t xml:space="preserve"> </w:t>
      </w:r>
      <w:r w:rsidR="002246F9" w:rsidRPr="00D5464D">
        <w:rPr>
          <w:szCs w:val="20"/>
          <w:lang w:val="pt-BR"/>
        </w:rPr>
        <w:t>63. José Renato do Nascimento Costa</w:t>
      </w:r>
      <w:r w:rsidR="007E0D56" w:rsidRPr="00D5464D">
        <w:rPr>
          <w:szCs w:val="20"/>
          <w:lang w:val="pt-BR"/>
        </w:rPr>
        <w:t>,</w:t>
      </w:r>
      <w:r w:rsidR="002246F9" w:rsidRPr="00D5464D">
        <w:rPr>
          <w:rStyle w:val="Refdenotaalpie"/>
          <w:lang w:val="pt-BR"/>
        </w:rPr>
        <w:footnoteReference w:id="325"/>
      </w:r>
      <w:r w:rsidR="002246F9" w:rsidRPr="00D5464D">
        <w:rPr>
          <w:szCs w:val="20"/>
          <w:lang w:val="pt-BR"/>
        </w:rPr>
        <w:t xml:space="preserve"> </w:t>
      </w:r>
      <w:r w:rsidR="002246F9" w:rsidRPr="00D5464D">
        <w:rPr>
          <w:rFonts w:cs="Times New Roman"/>
          <w:szCs w:val="20"/>
          <w:lang w:val="pt-BR"/>
        </w:rPr>
        <w:t>64. Juni</w:t>
      </w:r>
      <w:r w:rsidR="00A1358C" w:rsidRPr="00D5464D">
        <w:rPr>
          <w:rFonts w:cs="Times New Roman"/>
          <w:szCs w:val="20"/>
          <w:lang w:val="pt-BR"/>
        </w:rPr>
        <w:t xml:space="preserve"> Carlos </w:t>
      </w:r>
      <w:r w:rsidR="002246F9" w:rsidRPr="00D5464D">
        <w:rPr>
          <w:rFonts w:cs="Times New Roman"/>
          <w:szCs w:val="20"/>
          <w:lang w:val="pt-BR"/>
        </w:rPr>
        <w:t>da Silva</w:t>
      </w:r>
      <w:r w:rsidR="007E0D56" w:rsidRPr="00D5464D">
        <w:rPr>
          <w:rFonts w:cs="Times New Roman"/>
          <w:szCs w:val="20"/>
          <w:lang w:val="pt-BR"/>
        </w:rPr>
        <w:t>,</w:t>
      </w:r>
      <w:r w:rsidR="002246F9" w:rsidRPr="00D5464D">
        <w:rPr>
          <w:rStyle w:val="Refdenotaalpie"/>
          <w:lang w:val="pt-BR"/>
        </w:rPr>
        <w:footnoteReference w:id="326"/>
      </w:r>
      <w:r w:rsidR="002246F9" w:rsidRPr="00D5464D">
        <w:rPr>
          <w:rFonts w:cs="Times New Roman"/>
          <w:szCs w:val="20"/>
          <w:lang w:val="pt-BR"/>
        </w:rPr>
        <w:t xml:space="preserve"> 65. Lourival da Silva Santos</w:t>
      </w:r>
      <w:r w:rsidR="007E0D56" w:rsidRPr="00D5464D">
        <w:rPr>
          <w:rFonts w:cs="Times New Roman"/>
          <w:szCs w:val="20"/>
          <w:lang w:val="pt-BR"/>
        </w:rPr>
        <w:t>,</w:t>
      </w:r>
      <w:r w:rsidR="002246F9" w:rsidRPr="00D5464D">
        <w:rPr>
          <w:rStyle w:val="Refdenotaalpie"/>
          <w:lang w:val="pt-BR"/>
        </w:rPr>
        <w:footnoteReference w:id="327"/>
      </w:r>
      <w:r w:rsidR="002246F9" w:rsidRPr="00D5464D">
        <w:rPr>
          <w:rFonts w:cs="Times New Roman"/>
          <w:szCs w:val="20"/>
          <w:lang w:val="pt-BR"/>
        </w:rPr>
        <w:t xml:space="preserve"> </w:t>
      </w:r>
      <w:r w:rsidR="002246F9" w:rsidRPr="00D5464D">
        <w:rPr>
          <w:szCs w:val="20"/>
          <w:lang w:val="pt-BR"/>
        </w:rPr>
        <w:t>66. Luis</w:t>
      </w:r>
      <w:r w:rsidR="00A1358C" w:rsidRPr="00D5464D">
        <w:rPr>
          <w:szCs w:val="20"/>
          <w:lang w:val="pt-BR"/>
        </w:rPr>
        <w:t xml:space="preserve"> Carlos </w:t>
      </w:r>
      <w:r w:rsidR="002246F9" w:rsidRPr="00D5464D">
        <w:rPr>
          <w:szCs w:val="20"/>
          <w:lang w:val="pt-BR"/>
        </w:rPr>
        <w:t>da Silva Santos</w:t>
      </w:r>
      <w:r w:rsidR="007E0D56" w:rsidRPr="00D5464D">
        <w:rPr>
          <w:szCs w:val="20"/>
          <w:lang w:val="pt-BR"/>
        </w:rPr>
        <w:t>,</w:t>
      </w:r>
      <w:r w:rsidR="002246F9" w:rsidRPr="00D5464D">
        <w:rPr>
          <w:rStyle w:val="Refdenotaalpie"/>
          <w:lang w:val="pt-BR"/>
        </w:rPr>
        <w:footnoteReference w:id="328"/>
      </w:r>
      <w:r w:rsidR="002246F9" w:rsidRPr="00D5464D">
        <w:rPr>
          <w:szCs w:val="20"/>
          <w:lang w:val="pt-BR"/>
        </w:rPr>
        <w:t xml:space="preserve"> </w:t>
      </w:r>
      <w:r w:rsidR="002246F9" w:rsidRPr="00D5464D">
        <w:rPr>
          <w:rFonts w:cs="Times New Roman"/>
          <w:szCs w:val="20"/>
          <w:lang w:val="pt-BR"/>
        </w:rPr>
        <w:t>67. Luiz Gonzaga Silva Pires</w:t>
      </w:r>
      <w:r w:rsidR="007E0D56" w:rsidRPr="00D5464D">
        <w:rPr>
          <w:rFonts w:cs="Times New Roman"/>
          <w:szCs w:val="20"/>
          <w:lang w:val="pt-BR"/>
        </w:rPr>
        <w:t>,</w:t>
      </w:r>
      <w:r w:rsidR="002246F9" w:rsidRPr="00D5464D">
        <w:rPr>
          <w:rStyle w:val="Refdenotaalpie"/>
          <w:lang w:val="pt-BR"/>
        </w:rPr>
        <w:footnoteReference w:id="329"/>
      </w:r>
      <w:r w:rsidR="002246F9" w:rsidRPr="00D5464D">
        <w:rPr>
          <w:rFonts w:cs="Times New Roman"/>
          <w:szCs w:val="20"/>
          <w:lang w:val="pt-BR"/>
        </w:rPr>
        <w:t xml:space="preserve"> 68. Luiz Sicinato de Menezes</w:t>
      </w:r>
      <w:r w:rsidR="007E0D56" w:rsidRPr="00D5464D">
        <w:rPr>
          <w:rFonts w:cs="Times New Roman"/>
          <w:szCs w:val="20"/>
          <w:lang w:val="pt-BR"/>
        </w:rPr>
        <w:t>,</w:t>
      </w:r>
      <w:r w:rsidR="002246F9" w:rsidRPr="00D5464D">
        <w:rPr>
          <w:rStyle w:val="Refdenotaalpie"/>
          <w:lang w:val="pt-BR"/>
        </w:rPr>
        <w:footnoteReference w:id="330"/>
      </w:r>
      <w:r w:rsidR="002246F9" w:rsidRPr="00D5464D">
        <w:rPr>
          <w:rFonts w:cs="Times New Roman"/>
          <w:szCs w:val="20"/>
          <w:lang w:val="pt-BR"/>
        </w:rPr>
        <w:t xml:space="preserve"> </w:t>
      </w:r>
      <w:r w:rsidR="002246F9" w:rsidRPr="00D5464D">
        <w:rPr>
          <w:szCs w:val="20"/>
          <w:lang w:val="pt-BR"/>
        </w:rPr>
        <w:t>69. Manoel do Nascimento</w:t>
      </w:r>
      <w:r w:rsidR="007E0D56" w:rsidRPr="00D5464D">
        <w:rPr>
          <w:szCs w:val="20"/>
          <w:lang w:val="pt-BR"/>
        </w:rPr>
        <w:t>,</w:t>
      </w:r>
      <w:r w:rsidR="002246F9" w:rsidRPr="00D5464D">
        <w:rPr>
          <w:rStyle w:val="Refdenotaalpie"/>
          <w:lang w:val="pt-BR"/>
        </w:rPr>
        <w:footnoteReference w:id="331"/>
      </w:r>
      <w:r w:rsidR="002246F9" w:rsidRPr="00D5464D">
        <w:rPr>
          <w:szCs w:val="20"/>
          <w:lang w:val="pt-BR"/>
        </w:rPr>
        <w:t xml:space="preserve"> 70</w:t>
      </w:r>
      <w:r w:rsidR="002246F9" w:rsidRPr="00D5464D">
        <w:rPr>
          <w:rFonts w:cs="Times New Roman"/>
          <w:szCs w:val="20"/>
          <w:lang w:val="pt-BR"/>
        </w:rPr>
        <w:t>. Manoel do Nascimento da Silva</w:t>
      </w:r>
      <w:r w:rsidR="007E0D56" w:rsidRPr="00D5464D">
        <w:rPr>
          <w:rFonts w:cs="Times New Roman"/>
          <w:szCs w:val="20"/>
          <w:lang w:val="pt-BR"/>
        </w:rPr>
        <w:t>,</w:t>
      </w:r>
      <w:r w:rsidR="002246F9" w:rsidRPr="00D5464D">
        <w:rPr>
          <w:rStyle w:val="Refdenotaalpie"/>
          <w:lang w:val="pt-BR"/>
        </w:rPr>
        <w:footnoteReference w:id="332"/>
      </w:r>
      <w:r w:rsidR="002246F9" w:rsidRPr="00D5464D">
        <w:rPr>
          <w:rFonts w:cs="Times New Roman"/>
          <w:szCs w:val="20"/>
          <w:lang w:val="pt-BR"/>
        </w:rPr>
        <w:t xml:space="preserve"> 71. Manoel Pinheiro Brito</w:t>
      </w:r>
      <w:r w:rsidR="007E0D56" w:rsidRPr="00D5464D">
        <w:rPr>
          <w:rFonts w:cs="Times New Roman"/>
          <w:szCs w:val="20"/>
          <w:lang w:val="pt-BR"/>
        </w:rPr>
        <w:t>,</w:t>
      </w:r>
      <w:r w:rsidR="002246F9" w:rsidRPr="00D5464D">
        <w:rPr>
          <w:rStyle w:val="Refdenotaalpie"/>
          <w:lang w:val="pt-BR"/>
        </w:rPr>
        <w:footnoteReference w:id="333"/>
      </w:r>
      <w:r w:rsidR="002246F9" w:rsidRPr="00D5464D">
        <w:rPr>
          <w:rFonts w:cs="Times New Roman"/>
          <w:szCs w:val="20"/>
          <w:lang w:val="pt-BR"/>
        </w:rPr>
        <w:t xml:space="preserve"> </w:t>
      </w:r>
      <w:r w:rsidR="002246F9" w:rsidRPr="00D5464D">
        <w:rPr>
          <w:szCs w:val="20"/>
          <w:lang w:val="pt-BR"/>
        </w:rPr>
        <w:t>72. Marcio F</w:t>
      </w:r>
      <w:r w:rsidR="005200F8" w:rsidRPr="00D5464D">
        <w:rPr>
          <w:szCs w:val="20"/>
          <w:lang w:val="pt-BR"/>
        </w:rPr>
        <w:t>ran</w:t>
      </w:r>
      <w:r w:rsidR="002246F9" w:rsidRPr="00D5464D">
        <w:rPr>
          <w:szCs w:val="20"/>
          <w:lang w:val="pt-BR"/>
        </w:rPr>
        <w:t>ça da Costa Silva</w:t>
      </w:r>
      <w:r w:rsidR="007E0D56" w:rsidRPr="00D5464D">
        <w:rPr>
          <w:szCs w:val="20"/>
          <w:lang w:val="pt-BR"/>
        </w:rPr>
        <w:t>,</w:t>
      </w:r>
      <w:r w:rsidR="002246F9" w:rsidRPr="00D5464D">
        <w:rPr>
          <w:rStyle w:val="Refdenotaalpie"/>
          <w:lang w:val="pt-BR"/>
        </w:rPr>
        <w:footnoteReference w:id="334"/>
      </w:r>
      <w:r w:rsidR="002246F9" w:rsidRPr="00D5464D">
        <w:rPr>
          <w:szCs w:val="20"/>
          <w:lang w:val="pt-BR"/>
        </w:rPr>
        <w:t xml:space="preserve"> </w:t>
      </w:r>
      <w:r w:rsidR="002A2605" w:rsidRPr="00D5464D">
        <w:rPr>
          <w:rFonts w:cs="Times New Roman"/>
          <w:szCs w:val="20"/>
          <w:lang w:val="pt-BR"/>
        </w:rPr>
        <w:t xml:space="preserve">73. Marcos </w:t>
      </w:r>
      <w:r w:rsidR="00E42F61" w:rsidRPr="00D5464D">
        <w:rPr>
          <w:rFonts w:cs="Times New Roman"/>
          <w:szCs w:val="20"/>
          <w:lang w:val="pt-BR"/>
        </w:rPr>
        <w:t xml:space="preserve">Antônio </w:t>
      </w:r>
      <w:r w:rsidR="002246F9" w:rsidRPr="00D5464D">
        <w:rPr>
          <w:rFonts w:cs="Times New Roman"/>
          <w:szCs w:val="20"/>
          <w:lang w:val="pt-BR"/>
        </w:rPr>
        <w:t>Lima</w:t>
      </w:r>
      <w:r w:rsidR="007E0D56" w:rsidRPr="00D5464D">
        <w:rPr>
          <w:rFonts w:cs="Times New Roman"/>
          <w:szCs w:val="20"/>
          <w:lang w:val="pt-BR"/>
        </w:rPr>
        <w:t>,</w:t>
      </w:r>
      <w:r w:rsidR="002246F9" w:rsidRPr="00D5464D">
        <w:rPr>
          <w:rStyle w:val="Refdenotaalpie"/>
          <w:lang w:val="pt-BR"/>
        </w:rPr>
        <w:footnoteReference w:id="335"/>
      </w:r>
      <w:r w:rsidR="002246F9" w:rsidRPr="00D5464D">
        <w:rPr>
          <w:rFonts w:cs="Times New Roman"/>
          <w:szCs w:val="20"/>
          <w:lang w:val="pt-BR"/>
        </w:rPr>
        <w:t xml:space="preserve"> 74. Paulo Pereira dos Santos</w:t>
      </w:r>
      <w:r w:rsidR="007E0D56" w:rsidRPr="00D5464D">
        <w:rPr>
          <w:rFonts w:cs="Times New Roman"/>
          <w:szCs w:val="20"/>
          <w:lang w:val="pt-BR"/>
        </w:rPr>
        <w:t>,</w:t>
      </w:r>
      <w:r w:rsidR="002246F9" w:rsidRPr="00D5464D">
        <w:rPr>
          <w:rStyle w:val="Refdenotaalpie"/>
          <w:lang w:val="pt-BR"/>
        </w:rPr>
        <w:footnoteReference w:id="336"/>
      </w:r>
      <w:r w:rsidR="002246F9" w:rsidRPr="00D5464D">
        <w:rPr>
          <w:rFonts w:cs="Times New Roman"/>
          <w:szCs w:val="20"/>
          <w:lang w:val="pt-BR"/>
        </w:rPr>
        <w:t xml:space="preserve"> </w:t>
      </w:r>
      <w:r w:rsidR="002246F9" w:rsidRPr="00D5464D">
        <w:rPr>
          <w:szCs w:val="20"/>
          <w:lang w:val="pt-BR"/>
        </w:rPr>
        <w:t>75. Pedro Fernandes da Silva</w:t>
      </w:r>
      <w:r w:rsidR="007E0D56" w:rsidRPr="00D5464D">
        <w:rPr>
          <w:szCs w:val="20"/>
          <w:lang w:val="pt-BR"/>
        </w:rPr>
        <w:t>,</w:t>
      </w:r>
      <w:r w:rsidR="002246F9" w:rsidRPr="00D5464D">
        <w:rPr>
          <w:rStyle w:val="Refdenotaalpie"/>
          <w:lang w:val="pt-BR"/>
        </w:rPr>
        <w:footnoteReference w:id="337"/>
      </w:r>
      <w:r w:rsidR="002246F9" w:rsidRPr="00D5464D">
        <w:rPr>
          <w:szCs w:val="20"/>
          <w:lang w:val="pt-BR"/>
        </w:rPr>
        <w:t xml:space="preserve"> </w:t>
      </w:r>
      <w:r w:rsidR="002246F9" w:rsidRPr="00D5464D">
        <w:rPr>
          <w:rFonts w:cs="Times New Roman"/>
          <w:szCs w:val="20"/>
          <w:lang w:val="pt-BR"/>
        </w:rPr>
        <w:t>76. Raimundo Cardoso Mac</w:t>
      </w:r>
      <w:r w:rsidR="002A2605" w:rsidRPr="00D5464D">
        <w:rPr>
          <w:rFonts w:cs="Times New Roman"/>
          <w:szCs w:val="20"/>
          <w:lang w:val="pt-BR"/>
        </w:rPr>
        <w:t>ê</w:t>
      </w:r>
      <w:r w:rsidR="002246F9" w:rsidRPr="00D5464D">
        <w:rPr>
          <w:rFonts w:cs="Times New Roman"/>
          <w:szCs w:val="20"/>
          <w:lang w:val="pt-BR"/>
        </w:rPr>
        <w:t>do</w:t>
      </w:r>
      <w:r w:rsidR="007E0D56" w:rsidRPr="00D5464D">
        <w:rPr>
          <w:rFonts w:cs="Times New Roman"/>
          <w:szCs w:val="20"/>
          <w:lang w:val="pt-BR"/>
        </w:rPr>
        <w:t>,</w:t>
      </w:r>
      <w:r w:rsidR="002246F9" w:rsidRPr="00D5464D">
        <w:rPr>
          <w:rStyle w:val="Refdenotaalpie"/>
          <w:lang w:val="pt-BR"/>
        </w:rPr>
        <w:footnoteReference w:id="338"/>
      </w:r>
      <w:r w:rsidR="002246F9" w:rsidRPr="00D5464D">
        <w:rPr>
          <w:rFonts w:cs="Times New Roman"/>
          <w:szCs w:val="20"/>
          <w:lang w:val="pt-BR"/>
        </w:rPr>
        <w:t xml:space="preserve"> 77. Raimundo de Andrade</w:t>
      </w:r>
      <w:r w:rsidR="007E0D56" w:rsidRPr="00D5464D">
        <w:rPr>
          <w:rFonts w:cs="Times New Roman"/>
          <w:szCs w:val="20"/>
          <w:lang w:val="pt-BR"/>
        </w:rPr>
        <w:t>,</w:t>
      </w:r>
      <w:r w:rsidR="002246F9" w:rsidRPr="00D5464D">
        <w:rPr>
          <w:rStyle w:val="Refdenotaalpie"/>
          <w:lang w:val="pt-BR"/>
        </w:rPr>
        <w:footnoteReference w:id="339"/>
      </w:r>
      <w:r w:rsidR="002246F9" w:rsidRPr="00D5464D">
        <w:rPr>
          <w:rFonts w:cs="Times New Roman"/>
          <w:szCs w:val="20"/>
          <w:lang w:val="pt-BR"/>
        </w:rPr>
        <w:t xml:space="preserve"> </w:t>
      </w:r>
      <w:r w:rsidR="002246F9" w:rsidRPr="00D5464D">
        <w:rPr>
          <w:szCs w:val="20"/>
          <w:lang w:val="pt-BR"/>
        </w:rPr>
        <w:t>78. Raimundo de Sousa Leandro</w:t>
      </w:r>
      <w:r w:rsidR="007E0D56" w:rsidRPr="00D5464D">
        <w:rPr>
          <w:szCs w:val="20"/>
          <w:lang w:val="pt-BR"/>
        </w:rPr>
        <w:t>,</w:t>
      </w:r>
      <w:r w:rsidR="002246F9" w:rsidRPr="00D5464D">
        <w:rPr>
          <w:rStyle w:val="Refdenotaalpie"/>
          <w:lang w:val="pt-BR"/>
        </w:rPr>
        <w:footnoteReference w:id="340"/>
      </w:r>
      <w:r w:rsidR="002246F9" w:rsidRPr="00D5464D">
        <w:rPr>
          <w:szCs w:val="20"/>
          <w:lang w:val="pt-BR"/>
        </w:rPr>
        <w:t xml:space="preserve"> </w:t>
      </w:r>
      <w:r w:rsidR="002246F9" w:rsidRPr="00D5464D">
        <w:rPr>
          <w:rFonts w:cs="Times New Roman"/>
          <w:szCs w:val="20"/>
          <w:lang w:val="pt-BR"/>
        </w:rPr>
        <w:t>79. Raimundo Nonato da Silva</w:t>
      </w:r>
      <w:r w:rsidR="007E0D56" w:rsidRPr="00D5464D">
        <w:rPr>
          <w:rFonts w:cs="Times New Roman"/>
          <w:szCs w:val="20"/>
          <w:lang w:val="pt-BR"/>
        </w:rPr>
        <w:t>,</w:t>
      </w:r>
      <w:r w:rsidR="002246F9" w:rsidRPr="00D5464D">
        <w:rPr>
          <w:rStyle w:val="Refdenotaalpie"/>
          <w:lang w:val="pt-BR"/>
        </w:rPr>
        <w:footnoteReference w:id="341"/>
      </w:r>
      <w:r w:rsidR="002246F9" w:rsidRPr="00D5464D">
        <w:rPr>
          <w:rFonts w:cs="Times New Roman"/>
          <w:szCs w:val="20"/>
          <w:lang w:val="pt-BR"/>
        </w:rPr>
        <w:t xml:space="preserve"> 80. Roberto Alves Nascimento</w:t>
      </w:r>
      <w:r w:rsidR="007E0D56" w:rsidRPr="00D5464D">
        <w:rPr>
          <w:rFonts w:cs="Times New Roman"/>
          <w:szCs w:val="20"/>
          <w:lang w:val="pt-BR"/>
        </w:rPr>
        <w:t>,</w:t>
      </w:r>
      <w:r w:rsidR="002246F9" w:rsidRPr="00D5464D">
        <w:rPr>
          <w:rStyle w:val="Refdenotaalpie"/>
          <w:lang w:val="pt-BR"/>
        </w:rPr>
        <w:footnoteReference w:id="342"/>
      </w:r>
      <w:r w:rsidR="002246F9" w:rsidRPr="00D5464D">
        <w:rPr>
          <w:rFonts w:cs="Times New Roman"/>
          <w:szCs w:val="20"/>
          <w:lang w:val="pt-BR"/>
        </w:rPr>
        <w:t xml:space="preserve"> </w:t>
      </w:r>
      <w:r w:rsidR="002246F9" w:rsidRPr="00D5464D">
        <w:rPr>
          <w:szCs w:val="20"/>
          <w:lang w:val="pt-BR"/>
        </w:rPr>
        <w:t xml:space="preserve">81. </w:t>
      </w:r>
      <w:r w:rsidR="00D92C1E" w:rsidRPr="00D5464D">
        <w:rPr>
          <w:szCs w:val="20"/>
          <w:lang w:val="pt-BR"/>
        </w:rPr>
        <w:t>Rogerio</w:t>
      </w:r>
      <w:r w:rsidR="002246F9" w:rsidRPr="00D5464D">
        <w:rPr>
          <w:szCs w:val="20"/>
          <w:lang w:val="pt-BR"/>
        </w:rPr>
        <w:t xml:space="preserve"> Felix Silva</w:t>
      </w:r>
      <w:r w:rsidR="007E0D56" w:rsidRPr="00D5464D">
        <w:rPr>
          <w:szCs w:val="20"/>
          <w:lang w:val="pt-BR"/>
        </w:rPr>
        <w:t>,</w:t>
      </w:r>
      <w:r w:rsidR="002246F9" w:rsidRPr="00D5464D">
        <w:rPr>
          <w:rStyle w:val="Refdenotaalpie"/>
          <w:lang w:val="pt-BR"/>
        </w:rPr>
        <w:footnoteReference w:id="343"/>
      </w:r>
      <w:r w:rsidR="002246F9" w:rsidRPr="00D5464D">
        <w:rPr>
          <w:szCs w:val="20"/>
          <w:lang w:val="pt-BR"/>
        </w:rPr>
        <w:t xml:space="preserve"> </w:t>
      </w:r>
      <w:r w:rsidR="002246F9" w:rsidRPr="00D5464D">
        <w:rPr>
          <w:rFonts w:cs="Times New Roman"/>
          <w:szCs w:val="20"/>
          <w:lang w:val="pt-BR"/>
        </w:rPr>
        <w:t>82. Sebastião Pereira de Sousa Neto</w:t>
      </w:r>
      <w:r w:rsidR="007E0D56" w:rsidRPr="00D5464D">
        <w:rPr>
          <w:rFonts w:cs="Times New Roman"/>
          <w:szCs w:val="20"/>
          <w:lang w:val="pt-BR"/>
        </w:rPr>
        <w:t>,</w:t>
      </w:r>
      <w:r w:rsidR="002246F9" w:rsidRPr="00D5464D">
        <w:rPr>
          <w:rStyle w:val="Refdenotaalpie"/>
          <w:lang w:val="pt-BR"/>
        </w:rPr>
        <w:footnoteReference w:id="344"/>
      </w:r>
      <w:r w:rsidR="002246F9" w:rsidRPr="00D5464D">
        <w:rPr>
          <w:rFonts w:cs="Times New Roman"/>
          <w:szCs w:val="20"/>
          <w:lang w:val="pt-BR"/>
        </w:rPr>
        <w:t xml:space="preserve"> 83. Silvestre Moreira de Castro Filho</w:t>
      </w:r>
      <w:r w:rsidR="007E0D56" w:rsidRPr="00D5464D">
        <w:rPr>
          <w:rFonts w:cs="Times New Roman"/>
          <w:szCs w:val="20"/>
          <w:lang w:val="pt-BR"/>
        </w:rPr>
        <w:t>,</w:t>
      </w:r>
      <w:r w:rsidR="002246F9" w:rsidRPr="00D5464D">
        <w:rPr>
          <w:rStyle w:val="Refdenotaalpie"/>
          <w:lang w:val="pt-BR"/>
        </w:rPr>
        <w:footnoteReference w:id="345"/>
      </w:r>
      <w:r w:rsidR="002246F9" w:rsidRPr="00D5464D">
        <w:rPr>
          <w:rFonts w:cs="Times New Roman"/>
          <w:szCs w:val="20"/>
          <w:lang w:val="pt-BR"/>
        </w:rPr>
        <w:t xml:space="preserve"> </w:t>
      </w:r>
      <w:r w:rsidR="002246F9" w:rsidRPr="00D5464D">
        <w:rPr>
          <w:szCs w:val="20"/>
          <w:lang w:val="pt-BR"/>
        </w:rPr>
        <w:t>84. Valdir Gonçalves da Silva</w:t>
      </w:r>
      <w:r w:rsidR="002246F9" w:rsidRPr="00D5464D">
        <w:rPr>
          <w:rStyle w:val="Refdenotaalpie"/>
          <w:lang w:val="pt-BR"/>
        </w:rPr>
        <w:footnoteReference w:id="346"/>
      </w:r>
      <w:r w:rsidR="00470ADC" w:rsidRPr="00D5464D">
        <w:rPr>
          <w:szCs w:val="20"/>
          <w:lang w:val="pt-BR"/>
        </w:rPr>
        <w:t xml:space="preserve"> e</w:t>
      </w:r>
      <w:r w:rsidR="002246F9" w:rsidRPr="00D5464D">
        <w:rPr>
          <w:szCs w:val="20"/>
          <w:lang w:val="pt-BR"/>
        </w:rPr>
        <w:t xml:space="preserve"> 85. Vicentina Maria da Conceição</w:t>
      </w:r>
      <w:r w:rsidR="007E0D56" w:rsidRPr="00D5464D">
        <w:rPr>
          <w:szCs w:val="20"/>
          <w:lang w:val="pt-BR"/>
        </w:rPr>
        <w:t>.</w:t>
      </w:r>
      <w:r w:rsidR="002246F9" w:rsidRPr="00D5464D">
        <w:rPr>
          <w:rStyle w:val="Refdenotaalpie"/>
          <w:lang w:val="pt-BR"/>
        </w:rPr>
        <w:footnoteReference w:id="347"/>
      </w:r>
      <w:bookmarkEnd w:id="383"/>
    </w:p>
    <w:p w14:paraId="607C1122" w14:textId="77777777" w:rsidR="002246F9" w:rsidRPr="00D5464D" w:rsidRDefault="002246F9" w:rsidP="002246F9">
      <w:pPr>
        <w:pStyle w:val="Prrafodelista"/>
        <w:autoSpaceDE w:val="0"/>
        <w:autoSpaceDN w:val="0"/>
        <w:adjustRightInd w:val="0"/>
        <w:ind w:left="0"/>
        <w:rPr>
          <w:szCs w:val="20"/>
          <w:lang w:val="pt-BR"/>
        </w:rPr>
      </w:pPr>
    </w:p>
    <w:p w14:paraId="12AA3E5D" w14:textId="6ECFEBD7" w:rsidR="002246F9" w:rsidRPr="00D5464D" w:rsidRDefault="00470ADC" w:rsidP="002246F9">
      <w:pPr>
        <w:pStyle w:val="Prrafodelista"/>
        <w:numPr>
          <w:ilvl w:val="0"/>
          <w:numId w:val="1"/>
        </w:numPr>
        <w:autoSpaceDE w:val="0"/>
        <w:autoSpaceDN w:val="0"/>
        <w:adjustRightInd w:val="0"/>
        <w:rPr>
          <w:szCs w:val="20"/>
          <w:lang w:val="pt-BR"/>
        </w:rPr>
      </w:pPr>
      <w:r w:rsidRPr="00D5464D">
        <w:rPr>
          <w:szCs w:val="20"/>
          <w:lang w:val="pt-BR"/>
        </w:rPr>
        <w:t>De acordo com</w:t>
      </w:r>
      <w:r w:rsidR="00C91CB1" w:rsidRPr="00D5464D">
        <w:rPr>
          <w:szCs w:val="20"/>
          <w:lang w:val="pt-BR"/>
        </w:rPr>
        <w:t xml:space="preserve"> o </w:t>
      </w:r>
      <w:r w:rsidR="002246F9" w:rsidRPr="00D5464D">
        <w:rPr>
          <w:szCs w:val="20"/>
          <w:lang w:val="pt-BR"/>
        </w:rPr>
        <w:t>anterior,</w:t>
      </w:r>
      <w:r w:rsidR="002C330E" w:rsidRPr="00D5464D">
        <w:rPr>
          <w:szCs w:val="20"/>
          <w:lang w:val="pt-BR"/>
        </w:rPr>
        <w:t xml:space="preserve"> a </w:t>
      </w:r>
      <w:r w:rsidR="002246F9" w:rsidRPr="00D5464D">
        <w:rPr>
          <w:szCs w:val="20"/>
          <w:lang w:val="pt-BR"/>
        </w:rPr>
        <w:t xml:space="preserve">Corte considerará como </w:t>
      </w:r>
      <w:r w:rsidR="002C330E" w:rsidRPr="00D5464D">
        <w:rPr>
          <w:szCs w:val="20"/>
          <w:lang w:val="pt-BR"/>
        </w:rPr>
        <w:t>suposta</w:t>
      </w:r>
      <w:r w:rsidR="002246F9" w:rsidRPr="00D5464D">
        <w:rPr>
          <w:szCs w:val="20"/>
          <w:lang w:val="pt-BR"/>
        </w:rPr>
        <w:t xml:space="preserve">s </w:t>
      </w:r>
      <w:r w:rsidR="00E045D9" w:rsidRPr="00D5464D">
        <w:rPr>
          <w:szCs w:val="20"/>
          <w:lang w:val="pt-BR"/>
        </w:rPr>
        <w:t>vítima</w:t>
      </w:r>
      <w:r w:rsidR="002246F9" w:rsidRPr="00D5464D">
        <w:rPr>
          <w:szCs w:val="20"/>
          <w:lang w:val="pt-BR"/>
        </w:rPr>
        <w:t>s</w:t>
      </w:r>
      <w:r w:rsidR="00E045D9" w:rsidRPr="00D5464D">
        <w:rPr>
          <w:szCs w:val="20"/>
          <w:lang w:val="pt-BR"/>
        </w:rPr>
        <w:t xml:space="preserve"> </w:t>
      </w:r>
      <w:r w:rsidR="00CC39FB" w:rsidRPr="00D5464D">
        <w:rPr>
          <w:szCs w:val="20"/>
          <w:lang w:val="pt-BR"/>
        </w:rPr>
        <w:t>as</w:t>
      </w:r>
      <w:r w:rsidR="00E045D9" w:rsidRPr="00D5464D">
        <w:rPr>
          <w:szCs w:val="20"/>
          <w:lang w:val="pt-BR"/>
        </w:rPr>
        <w:t xml:space="preserve"> </w:t>
      </w:r>
      <w:r w:rsidR="002C330E" w:rsidRPr="00D5464D">
        <w:rPr>
          <w:szCs w:val="20"/>
          <w:lang w:val="pt-BR"/>
        </w:rPr>
        <w:t>pessoa</w:t>
      </w:r>
      <w:r w:rsidR="002246F9" w:rsidRPr="00D5464D">
        <w:rPr>
          <w:szCs w:val="20"/>
          <w:lang w:val="pt-BR"/>
        </w:rPr>
        <w:t>s indicadas</w:t>
      </w:r>
      <w:r w:rsidR="00E045D9" w:rsidRPr="00D5464D">
        <w:rPr>
          <w:szCs w:val="20"/>
          <w:lang w:val="pt-BR"/>
        </w:rPr>
        <w:t xml:space="preserve"> nos </w:t>
      </w:r>
      <w:r w:rsidR="002C330E" w:rsidRPr="00D5464D">
        <w:rPr>
          <w:szCs w:val="20"/>
          <w:lang w:val="pt-BR"/>
        </w:rPr>
        <w:t>parágrafo</w:t>
      </w:r>
      <w:r w:rsidR="002246F9" w:rsidRPr="00D5464D">
        <w:rPr>
          <w:szCs w:val="20"/>
          <w:lang w:val="pt-BR"/>
        </w:rPr>
        <w:t xml:space="preserve">s </w:t>
      </w:r>
      <w:r w:rsidR="00FF5DA8" w:rsidRPr="00D5464D">
        <w:rPr>
          <w:szCs w:val="20"/>
          <w:lang w:val="pt-BR"/>
        </w:rPr>
        <w:fldChar w:fldCharType="begin"/>
      </w:r>
      <w:r w:rsidR="00C5411E" w:rsidRPr="00D5464D">
        <w:rPr>
          <w:szCs w:val="20"/>
          <w:lang w:val="pt-BR"/>
        </w:rPr>
        <w:instrText xml:space="preserve"> REF _Ref460939590 \r \h </w:instrText>
      </w:r>
      <w:r w:rsidR="003B7B4E" w:rsidRPr="00D5464D">
        <w:rPr>
          <w:szCs w:val="20"/>
          <w:lang w:val="pt-BR"/>
        </w:rPr>
        <w:instrText xml:space="preserve"> \* MERGEFORMAT </w:instrText>
      </w:r>
      <w:r w:rsidR="00FF5DA8" w:rsidRPr="00D5464D">
        <w:rPr>
          <w:szCs w:val="20"/>
          <w:lang w:val="pt-BR"/>
        </w:rPr>
      </w:r>
      <w:r w:rsidR="00FF5DA8" w:rsidRPr="00D5464D">
        <w:rPr>
          <w:szCs w:val="20"/>
          <w:lang w:val="pt-BR"/>
        </w:rPr>
        <w:fldChar w:fldCharType="separate"/>
      </w:r>
      <w:r w:rsidR="004D2931">
        <w:rPr>
          <w:szCs w:val="20"/>
          <w:lang w:val="pt-BR"/>
        </w:rPr>
        <w:t>199</w:t>
      </w:r>
      <w:r w:rsidR="00FF5DA8" w:rsidRPr="00D5464D">
        <w:rPr>
          <w:szCs w:val="20"/>
          <w:lang w:val="pt-BR"/>
        </w:rPr>
        <w:fldChar w:fldCharType="end"/>
      </w:r>
      <w:r w:rsidR="00E045D9" w:rsidRPr="00D5464D">
        <w:rPr>
          <w:szCs w:val="20"/>
          <w:lang w:val="pt-BR"/>
        </w:rPr>
        <w:t xml:space="preserve"> e </w:t>
      </w:r>
      <w:r w:rsidR="00FF5DA8" w:rsidRPr="00D5464D">
        <w:rPr>
          <w:szCs w:val="20"/>
          <w:lang w:val="pt-BR"/>
        </w:rPr>
        <w:fldChar w:fldCharType="begin"/>
      </w:r>
      <w:r w:rsidR="00C5411E" w:rsidRPr="00D5464D">
        <w:rPr>
          <w:szCs w:val="20"/>
          <w:lang w:val="pt-BR"/>
        </w:rPr>
        <w:instrText xml:space="preserve"> REF _Ref460939605 \r \h </w:instrText>
      </w:r>
      <w:r w:rsidR="003B7B4E" w:rsidRPr="00D5464D">
        <w:rPr>
          <w:szCs w:val="20"/>
          <w:lang w:val="pt-BR"/>
        </w:rPr>
        <w:instrText xml:space="preserve"> \* MERGEFORMAT </w:instrText>
      </w:r>
      <w:r w:rsidR="00FF5DA8" w:rsidRPr="00D5464D">
        <w:rPr>
          <w:szCs w:val="20"/>
          <w:lang w:val="pt-BR"/>
        </w:rPr>
      </w:r>
      <w:r w:rsidR="00FF5DA8" w:rsidRPr="00D5464D">
        <w:rPr>
          <w:szCs w:val="20"/>
          <w:lang w:val="pt-BR"/>
        </w:rPr>
        <w:fldChar w:fldCharType="separate"/>
      </w:r>
      <w:r w:rsidR="004D2931">
        <w:rPr>
          <w:szCs w:val="20"/>
          <w:lang w:val="pt-BR"/>
        </w:rPr>
        <w:t>206</w:t>
      </w:r>
      <w:r w:rsidR="00FF5DA8" w:rsidRPr="00D5464D">
        <w:rPr>
          <w:szCs w:val="20"/>
          <w:lang w:val="pt-BR"/>
        </w:rPr>
        <w:fldChar w:fldCharType="end"/>
      </w:r>
      <w:r w:rsidRPr="00D5464D">
        <w:rPr>
          <w:szCs w:val="20"/>
          <w:lang w:val="pt-BR"/>
        </w:rPr>
        <w:t xml:space="preserve"> desta </w:t>
      </w:r>
      <w:r w:rsidR="002C330E" w:rsidRPr="00D5464D">
        <w:rPr>
          <w:szCs w:val="20"/>
          <w:lang w:val="pt-BR"/>
        </w:rPr>
        <w:t>Sentença</w:t>
      </w:r>
      <w:r w:rsidR="002246F9" w:rsidRPr="00D5464D">
        <w:rPr>
          <w:szCs w:val="20"/>
          <w:lang w:val="pt-BR"/>
        </w:rPr>
        <w:t xml:space="preserve">. </w:t>
      </w:r>
    </w:p>
    <w:p w14:paraId="282736AD" w14:textId="77777777" w:rsidR="002170E1" w:rsidRPr="00D5464D" w:rsidRDefault="002170E1" w:rsidP="0039404C">
      <w:pPr>
        <w:keepNext/>
        <w:keepLines/>
        <w:tabs>
          <w:tab w:val="clear" w:pos="4419"/>
          <w:tab w:val="clear" w:pos="8838"/>
        </w:tabs>
        <w:jc w:val="center"/>
        <w:outlineLvl w:val="0"/>
        <w:rPr>
          <w:rFonts w:eastAsia="Times New Roman" w:cs="Verdana"/>
          <w:b/>
          <w:bCs/>
          <w:caps/>
          <w:snapToGrid w:val="0"/>
          <w:szCs w:val="20"/>
          <w:lang w:val="pt-BR" w:eastAsia="es-ES"/>
        </w:rPr>
      </w:pPr>
      <w:bookmarkStart w:id="384" w:name="_Toc460432499"/>
    </w:p>
    <w:p w14:paraId="036949DE" w14:textId="77777777" w:rsidR="00C808FB" w:rsidRPr="00D5464D" w:rsidRDefault="00C808FB" w:rsidP="0039404C">
      <w:pPr>
        <w:keepNext/>
        <w:keepLines/>
        <w:tabs>
          <w:tab w:val="clear" w:pos="4419"/>
          <w:tab w:val="clear" w:pos="8838"/>
        </w:tabs>
        <w:jc w:val="center"/>
        <w:outlineLvl w:val="0"/>
        <w:rPr>
          <w:rFonts w:eastAsia="Times New Roman" w:cs="Verdana"/>
          <w:b/>
          <w:bCs/>
          <w:caps/>
          <w:snapToGrid w:val="0"/>
          <w:szCs w:val="20"/>
          <w:lang w:val="pt-BR" w:eastAsia="es-ES"/>
        </w:rPr>
      </w:pPr>
      <w:bookmarkStart w:id="385" w:name="_Toc468433914"/>
      <w:r w:rsidRPr="00D5464D">
        <w:rPr>
          <w:rFonts w:eastAsia="Times New Roman" w:cs="Verdana"/>
          <w:b/>
          <w:bCs/>
          <w:caps/>
          <w:snapToGrid w:val="0"/>
          <w:szCs w:val="20"/>
          <w:lang w:val="pt-BR" w:eastAsia="es-ES"/>
        </w:rPr>
        <w:t>VIII</w:t>
      </w:r>
      <w:bookmarkEnd w:id="384"/>
      <w:bookmarkEnd w:id="385"/>
    </w:p>
    <w:p w14:paraId="794373E8" w14:textId="55EB31A0" w:rsidR="00C808FB" w:rsidRPr="00D5464D" w:rsidRDefault="00470ADC" w:rsidP="0039404C">
      <w:pPr>
        <w:keepNext/>
        <w:keepLines/>
        <w:tabs>
          <w:tab w:val="clear" w:pos="4419"/>
          <w:tab w:val="clear" w:pos="8838"/>
        </w:tabs>
        <w:jc w:val="center"/>
        <w:outlineLvl w:val="0"/>
        <w:rPr>
          <w:rFonts w:eastAsia="Times New Roman" w:cs="Verdana"/>
          <w:b/>
          <w:bCs/>
          <w:caps/>
          <w:snapToGrid w:val="0"/>
          <w:szCs w:val="20"/>
          <w:lang w:val="pt-BR" w:eastAsia="es-ES"/>
        </w:rPr>
      </w:pPr>
      <w:bookmarkStart w:id="386" w:name="_Toc468433915"/>
      <w:r w:rsidRPr="00D5464D">
        <w:rPr>
          <w:rFonts w:eastAsia="Times New Roman" w:cs="Verdana"/>
          <w:b/>
          <w:bCs/>
          <w:caps/>
          <w:snapToGrid w:val="0"/>
          <w:szCs w:val="20"/>
          <w:lang w:val="pt-BR" w:eastAsia="es-ES"/>
        </w:rPr>
        <w:t>MÉRITO</w:t>
      </w:r>
      <w:bookmarkEnd w:id="386"/>
    </w:p>
    <w:p w14:paraId="2BC27635" w14:textId="77777777" w:rsidR="00C808FB" w:rsidRPr="00D5464D" w:rsidRDefault="00C808FB" w:rsidP="00140440">
      <w:pPr>
        <w:pStyle w:val="Prrafodelista"/>
        <w:autoSpaceDE w:val="0"/>
        <w:autoSpaceDN w:val="0"/>
        <w:adjustRightInd w:val="0"/>
        <w:ind w:left="0"/>
        <w:contextualSpacing w:val="0"/>
        <w:jc w:val="center"/>
        <w:rPr>
          <w:rFonts w:cs="Arial"/>
          <w:b/>
          <w:iCs/>
          <w:szCs w:val="20"/>
          <w:lang w:val="pt-BR"/>
        </w:rPr>
      </w:pPr>
    </w:p>
    <w:p w14:paraId="5E3D8A85" w14:textId="77777777" w:rsidR="008F611E" w:rsidRPr="00D5464D" w:rsidRDefault="00C808FB" w:rsidP="008E4E39">
      <w:pPr>
        <w:pStyle w:val="Ttulo1"/>
        <w:spacing w:before="0" w:after="0"/>
        <w:rPr>
          <w:lang w:val="pt-BR"/>
        </w:rPr>
      </w:pPr>
      <w:bookmarkStart w:id="387" w:name="_Toc460432501"/>
      <w:bookmarkStart w:id="388" w:name="_Toc468433916"/>
      <w:r w:rsidRPr="00D5464D">
        <w:rPr>
          <w:lang w:val="pt-BR"/>
        </w:rPr>
        <w:t>VIII-1</w:t>
      </w:r>
      <w:bookmarkEnd w:id="387"/>
      <w:bookmarkEnd w:id="388"/>
    </w:p>
    <w:p w14:paraId="79F80427" w14:textId="51696B3E" w:rsidR="00207197" w:rsidRPr="00D5464D" w:rsidRDefault="002C330E" w:rsidP="0039404C">
      <w:pPr>
        <w:keepNext/>
        <w:keepLines/>
        <w:tabs>
          <w:tab w:val="clear" w:pos="4419"/>
          <w:tab w:val="clear" w:pos="8838"/>
        </w:tabs>
        <w:jc w:val="center"/>
        <w:outlineLvl w:val="0"/>
        <w:rPr>
          <w:rFonts w:eastAsia="Times New Roman" w:cs="Verdana"/>
          <w:b/>
          <w:bCs/>
          <w:caps/>
          <w:snapToGrid w:val="0"/>
          <w:szCs w:val="20"/>
          <w:lang w:val="pt-BR" w:eastAsia="es-ES"/>
        </w:rPr>
      </w:pPr>
      <w:bookmarkStart w:id="389" w:name="_Toc468433917"/>
      <w:r w:rsidRPr="00D5464D">
        <w:rPr>
          <w:rFonts w:eastAsia="Times New Roman" w:cs="Verdana"/>
          <w:b/>
          <w:bCs/>
          <w:caps/>
          <w:snapToGrid w:val="0"/>
          <w:szCs w:val="20"/>
          <w:lang w:val="pt-BR" w:eastAsia="es-ES"/>
        </w:rPr>
        <w:t>PROIBIÇÃO</w:t>
      </w:r>
      <w:r w:rsidR="00470ADC" w:rsidRPr="00D5464D">
        <w:rPr>
          <w:rFonts w:eastAsia="Times New Roman" w:cs="Verdana"/>
          <w:b/>
          <w:bCs/>
          <w:caps/>
          <w:snapToGrid w:val="0"/>
          <w:szCs w:val="20"/>
          <w:lang w:val="pt-BR" w:eastAsia="es-ES"/>
        </w:rPr>
        <w:t xml:space="preserve"> da </w:t>
      </w:r>
      <w:r w:rsidR="000B376D" w:rsidRPr="00D5464D">
        <w:rPr>
          <w:rFonts w:eastAsia="Times New Roman" w:cs="Verdana"/>
          <w:b/>
          <w:bCs/>
          <w:caps/>
          <w:snapToGrid w:val="0"/>
          <w:szCs w:val="20"/>
          <w:lang w:val="pt-BR" w:eastAsia="es-ES"/>
        </w:rPr>
        <w:t>ESCRAVIDÃO</w:t>
      </w:r>
      <w:r w:rsidR="00CE5D4E" w:rsidRPr="00D5464D">
        <w:rPr>
          <w:rFonts w:eastAsia="Times New Roman" w:cs="Verdana"/>
          <w:b/>
          <w:bCs/>
          <w:caps/>
          <w:snapToGrid w:val="0"/>
          <w:szCs w:val="20"/>
          <w:lang w:val="pt-BR" w:eastAsia="es-ES"/>
        </w:rPr>
        <w:t>,</w:t>
      </w:r>
      <w:r w:rsidR="00E045D9" w:rsidRPr="00D5464D">
        <w:rPr>
          <w:rFonts w:eastAsia="Times New Roman" w:cs="Verdana"/>
          <w:b/>
          <w:bCs/>
          <w:caps/>
          <w:snapToGrid w:val="0"/>
          <w:szCs w:val="20"/>
          <w:lang w:val="pt-BR" w:eastAsia="es-ES"/>
        </w:rPr>
        <w:t xml:space="preserve"> </w:t>
      </w:r>
      <w:r w:rsidR="000B376D" w:rsidRPr="00D5464D">
        <w:rPr>
          <w:rFonts w:eastAsia="Times New Roman" w:cs="Verdana"/>
          <w:b/>
          <w:bCs/>
          <w:caps/>
          <w:snapToGrid w:val="0"/>
          <w:szCs w:val="20"/>
          <w:lang w:val="pt-BR" w:eastAsia="es-ES"/>
        </w:rPr>
        <w:t>SERVIDÃO</w:t>
      </w:r>
      <w:r w:rsidR="006A7548" w:rsidRPr="00D5464D">
        <w:rPr>
          <w:rFonts w:eastAsia="Times New Roman" w:cs="Verdana"/>
          <w:b/>
          <w:bCs/>
          <w:caps/>
          <w:snapToGrid w:val="0"/>
          <w:szCs w:val="20"/>
          <w:lang w:val="pt-BR" w:eastAsia="es-ES"/>
        </w:rPr>
        <w:t>,</w:t>
      </w:r>
      <w:r w:rsidR="00CE5D4E" w:rsidRPr="00D5464D">
        <w:rPr>
          <w:rFonts w:eastAsia="Times New Roman" w:cs="Verdana"/>
          <w:b/>
          <w:bCs/>
          <w:caps/>
          <w:snapToGrid w:val="0"/>
          <w:szCs w:val="20"/>
          <w:lang w:val="pt-BR" w:eastAsia="es-ES"/>
        </w:rPr>
        <w:t>TRABALHO FORÇADO E TRÁFICO DE ESCRAVOS E DE MULHERES,</w:t>
      </w:r>
      <w:r w:rsidR="00207197" w:rsidRPr="00D5464D">
        <w:rPr>
          <w:rFonts w:eastAsia="Times New Roman" w:cs="Verdana"/>
          <w:b/>
          <w:bCs/>
          <w:caps/>
          <w:snapToGrid w:val="0"/>
          <w:vertAlign w:val="superscript"/>
          <w:lang w:val="pt-BR" w:eastAsia="es-ES"/>
        </w:rPr>
        <w:footnoteReference w:id="348"/>
      </w:r>
      <w:r w:rsidR="00207197" w:rsidRPr="00D5464D">
        <w:rPr>
          <w:rFonts w:eastAsia="Times New Roman" w:cs="Verdana"/>
          <w:b/>
          <w:bCs/>
          <w:caps/>
          <w:snapToGrid w:val="0"/>
          <w:szCs w:val="20"/>
          <w:lang w:val="pt-BR" w:eastAsia="es-ES"/>
        </w:rPr>
        <w:t xml:space="preserve"> </w:t>
      </w:r>
      <w:r w:rsidR="00470ADC" w:rsidRPr="00D5464D">
        <w:rPr>
          <w:rFonts w:eastAsia="Times New Roman" w:cs="Verdana"/>
          <w:b/>
          <w:bCs/>
          <w:caps/>
          <w:snapToGrid w:val="0"/>
          <w:szCs w:val="20"/>
          <w:lang w:val="pt-BR" w:eastAsia="es-ES"/>
        </w:rPr>
        <w:t>DIREITO</w:t>
      </w:r>
      <w:r w:rsidR="00207197" w:rsidRPr="00D5464D">
        <w:rPr>
          <w:rFonts w:eastAsia="Times New Roman" w:cs="Verdana"/>
          <w:b/>
          <w:bCs/>
          <w:caps/>
          <w:snapToGrid w:val="0"/>
          <w:szCs w:val="20"/>
          <w:lang w:val="pt-BR" w:eastAsia="es-ES"/>
        </w:rPr>
        <w:t>S</w:t>
      </w:r>
      <w:r w:rsidR="00470ADC" w:rsidRPr="00D5464D">
        <w:rPr>
          <w:rFonts w:eastAsia="Times New Roman" w:cs="Verdana"/>
          <w:b/>
          <w:bCs/>
          <w:caps/>
          <w:snapToGrid w:val="0"/>
          <w:szCs w:val="20"/>
          <w:lang w:val="pt-BR" w:eastAsia="es-ES"/>
        </w:rPr>
        <w:t xml:space="preserve"> à </w:t>
      </w:r>
      <w:r w:rsidRPr="00D5464D">
        <w:rPr>
          <w:rFonts w:eastAsia="Times New Roman" w:cs="Verdana"/>
          <w:b/>
          <w:bCs/>
          <w:caps/>
          <w:snapToGrid w:val="0"/>
          <w:szCs w:val="20"/>
          <w:lang w:val="pt-BR" w:eastAsia="es-ES"/>
        </w:rPr>
        <w:t>INTEGRIDADE PESSOA</w:t>
      </w:r>
      <w:r w:rsidR="00207197" w:rsidRPr="00D5464D">
        <w:rPr>
          <w:rFonts w:eastAsia="Times New Roman" w:cs="Verdana"/>
          <w:b/>
          <w:bCs/>
          <w:caps/>
          <w:snapToGrid w:val="0"/>
          <w:szCs w:val="20"/>
          <w:lang w:val="pt-BR" w:eastAsia="es-ES"/>
        </w:rPr>
        <w:t>L,</w:t>
      </w:r>
      <w:r w:rsidR="00470ADC" w:rsidRPr="00D5464D">
        <w:rPr>
          <w:rFonts w:eastAsia="Times New Roman" w:cs="Verdana"/>
          <w:b/>
          <w:bCs/>
          <w:caps/>
          <w:snapToGrid w:val="0"/>
          <w:szCs w:val="20"/>
          <w:lang w:val="pt-BR" w:eastAsia="es-ES"/>
        </w:rPr>
        <w:t xml:space="preserve"> à </w:t>
      </w:r>
      <w:r w:rsidRPr="00D5464D">
        <w:rPr>
          <w:rFonts w:eastAsia="Times New Roman" w:cs="Verdana"/>
          <w:b/>
          <w:bCs/>
          <w:caps/>
          <w:snapToGrid w:val="0"/>
          <w:szCs w:val="20"/>
          <w:lang w:val="pt-BR" w:eastAsia="es-ES"/>
        </w:rPr>
        <w:t>LIBERDADE PESSOA</w:t>
      </w:r>
      <w:r w:rsidR="00207197" w:rsidRPr="00D5464D">
        <w:rPr>
          <w:rFonts w:eastAsia="Times New Roman" w:cs="Verdana"/>
          <w:b/>
          <w:bCs/>
          <w:caps/>
          <w:snapToGrid w:val="0"/>
          <w:szCs w:val="20"/>
          <w:lang w:val="pt-BR" w:eastAsia="es-ES"/>
        </w:rPr>
        <w:t>L,</w:t>
      </w:r>
      <w:r w:rsidR="00470ADC" w:rsidRPr="00D5464D">
        <w:rPr>
          <w:rFonts w:eastAsia="Times New Roman" w:cs="Verdana"/>
          <w:b/>
          <w:bCs/>
          <w:caps/>
          <w:snapToGrid w:val="0"/>
          <w:szCs w:val="20"/>
          <w:lang w:val="pt-BR" w:eastAsia="es-ES"/>
        </w:rPr>
        <w:t xml:space="preserve"> ao </w:t>
      </w:r>
      <w:r w:rsidR="00207197" w:rsidRPr="00D5464D">
        <w:rPr>
          <w:rFonts w:eastAsia="Times New Roman" w:cs="Verdana"/>
          <w:b/>
          <w:bCs/>
          <w:caps/>
          <w:snapToGrid w:val="0"/>
          <w:szCs w:val="20"/>
          <w:lang w:val="pt-BR" w:eastAsia="es-ES"/>
        </w:rPr>
        <w:t>RE</w:t>
      </w:r>
      <w:r w:rsidR="00470ADC" w:rsidRPr="00D5464D">
        <w:rPr>
          <w:rFonts w:eastAsia="Times New Roman" w:cs="Verdana"/>
          <w:b/>
          <w:bCs/>
          <w:caps/>
          <w:snapToGrid w:val="0"/>
          <w:szCs w:val="20"/>
          <w:lang w:val="pt-BR" w:eastAsia="es-ES"/>
        </w:rPr>
        <w:t xml:space="preserve">CONHECIMENTO da </w:t>
      </w:r>
      <w:r w:rsidRPr="00D5464D">
        <w:rPr>
          <w:rFonts w:eastAsia="Times New Roman" w:cs="Verdana"/>
          <w:b/>
          <w:bCs/>
          <w:caps/>
          <w:snapToGrid w:val="0"/>
          <w:szCs w:val="20"/>
          <w:lang w:val="pt-BR" w:eastAsia="es-ES"/>
        </w:rPr>
        <w:t xml:space="preserve">PERSONALIDADE </w:t>
      </w:r>
      <w:r w:rsidR="00207197" w:rsidRPr="00D5464D">
        <w:rPr>
          <w:rFonts w:eastAsia="Times New Roman" w:cs="Verdana"/>
          <w:b/>
          <w:bCs/>
          <w:caps/>
          <w:snapToGrid w:val="0"/>
          <w:szCs w:val="20"/>
          <w:lang w:val="pt-BR" w:eastAsia="es-ES"/>
        </w:rPr>
        <w:t>JURÍDICA</w:t>
      </w:r>
      <w:r w:rsidR="00606B5F" w:rsidRPr="00D5464D">
        <w:rPr>
          <w:rFonts w:eastAsia="Times New Roman" w:cs="Verdana"/>
          <w:b/>
          <w:bCs/>
          <w:caps/>
          <w:snapToGrid w:val="0"/>
          <w:szCs w:val="20"/>
          <w:lang w:val="pt-BR" w:eastAsia="es-ES"/>
        </w:rPr>
        <w:t>,</w:t>
      </w:r>
      <w:r w:rsidR="00207197" w:rsidRPr="00D5464D">
        <w:rPr>
          <w:rFonts w:eastAsia="Times New Roman" w:cs="Verdana"/>
          <w:b/>
          <w:bCs/>
          <w:caps/>
          <w:snapToGrid w:val="0"/>
          <w:szCs w:val="20"/>
          <w:lang w:val="pt-BR" w:eastAsia="es-ES"/>
        </w:rPr>
        <w:t xml:space="preserve"> </w:t>
      </w:r>
      <w:r w:rsidR="00470ADC" w:rsidRPr="00D5464D">
        <w:rPr>
          <w:rFonts w:eastAsia="Times New Roman" w:cs="Verdana"/>
          <w:b/>
          <w:bCs/>
          <w:caps/>
          <w:snapToGrid w:val="0"/>
          <w:szCs w:val="20"/>
          <w:lang w:val="pt-BR" w:eastAsia="es-ES"/>
        </w:rPr>
        <w:t>DIREITO</w:t>
      </w:r>
      <w:r w:rsidR="00207197" w:rsidRPr="00D5464D">
        <w:rPr>
          <w:rFonts w:eastAsia="Times New Roman" w:cs="Verdana"/>
          <w:b/>
          <w:bCs/>
          <w:caps/>
          <w:snapToGrid w:val="0"/>
          <w:szCs w:val="20"/>
          <w:lang w:val="pt-BR" w:eastAsia="es-ES"/>
        </w:rPr>
        <w:t xml:space="preserve"> DE CIRCULA</w:t>
      </w:r>
      <w:r w:rsidR="00470ADC" w:rsidRPr="00D5464D">
        <w:rPr>
          <w:rFonts w:eastAsia="Times New Roman" w:cs="Verdana"/>
          <w:b/>
          <w:bCs/>
          <w:caps/>
          <w:snapToGrid w:val="0"/>
          <w:szCs w:val="20"/>
          <w:lang w:val="pt-BR" w:eastAsia="es-ES"/>
        </w:rPr>
        <w:t>ÇÃO</w:t>
      </w:r>
      <w:r w:rsidR="00E045D9" w:rsidRPr="00D5464D">
        <w:rPr>
          <w:rFonts w:eastAsia="Times New Roman" w:cs="Verdana"/>
          <w:b/>
          <w:bCs/>
          <w:caps/>
          <w:snapToGrid w:val="0"/>
          <w:szCs w:val="20"/>
          <w:lang w:val="pt-BR" w:eastAsia="es-ES"/>
        </w:rPr>
        <w:t xml:space="preserve"> e </w:t>
      </w:r>
      <w:r w:rsidR="00207197" w:rsidRPr="00D5464D">
        <w:rPr>
          <w:rFonts w:eastAsia="Times New Roman" w:cs="Verdana"/>
          <w:b/>
          <w:bCs/>
          <w:caps/>
          <w:snapToGrid w:val="0"/>
          <w:szCs w:val="20"/>
          <w:lang w:val="pt-BR" w:eastAsia="es-ES"/>
        </w:rPr>
        <w:t xml:space="preserve">DE </w:t>
      </w:r>
      <w:r w:rsidRPr="00D5464D">
        <w:rPr>
          <w:rFonts w:eastAsia="Times New Roman" w:cs="Verdana"/>
          <w:b/>
          <w:bCs/>
          <w:caps/>
          <w:snapToGrid w:val="0"/>
          <w:szCs w:val="20"/>
          <w:lang w:val="pt-BR" w:eastAsia="es-ES"/>
        </w:rPr>
        <w:t>RESIDÊNCIA</w:t>
      </w:r>
      <w:r w:rsidR="00207197" w:rsidRPr="00D5464D">
        <w:rPr>
          <w:rFonts w:eastAsia="Times New Roman" w:cs="Verdana"/>
          <w:b/>
          <w:bCs/>
          <w:caps/>
          <w:snapToGrid w:val="0"/>
          <w:vertAlign w:val="superscript"/>
          <w:lang w:val="pt-BR" w:eastAsia="es-ES"/>
        </w:rPr>
        <w:footnoteReference w:id="349"/>
      </w:r>
      <w:r w:rsidR="00470ADC" w:rsidRPr="00D5464D">
        <w:rPr>
          <w:rFonts w:eastAsia="Times New Roman" w:cs="Verdana"/>
          <w:b/>
          <w:bCs/>
          <w:caps/>
          <w:snapToGrid w:val="0"/>
          <w:szCs w:val="20"/>
          <w:lang w:val="pt-BR" w:eastAsia="es-ES"/>
        </w:rPr>
        <w:t xml:space="preserve"> e</w:t>
      </w:r>
      <w:r w:rsidR="00207197" w:rsidRPr="00D5464D">
        <w:rPr>
          <w:rFonts w:eastAsia="Times New Roman" w:cs="Verdana"/>
          <w:b/>
          <w:bCs/>
          <w:caps/>
          <w:snapToGrid w:val="0"/>
          <w:szCs w:val="20"/>
          <w:lang w:val="pt-BR" w:eastAsia="es-ES"/>
        </w:rPr>
        <w:t xml:space="preserve"> </w:t>
      </w:r>
      <w:r w:rsidR="00470ADC" w:rsidRPr="00D5464D">
        <w:rPr>
          <w:rFonts w:eastAsia="Times New Roman" w:cs="Verdana"/>
          <w:b/>
          <w:bCs/>
          <w:caps/>
          <w:snapToGrid w:val="0"/>
          <w:szCs w:val="20"/>
          <w:lang w:val="pt-BR" w:eastAsia="es-ES"/>
        </w:rPr>
        <w:t>DIREITO</w:t>
      </w:r>
      <w:r w:rsidR="00207197" w:rsidRPr="00D5464D">
        <w:rPr>
          <w:rFonts w:eastAsia="Times New Roman" w:cs="Verdana"/>
          <w:b/>
          <w:bCs/>
          <w:caps/>
          <w:snapToGrid w:val="0"/>
          <w:szCs w:val="20"/>
          <w:lang w:val="pt-BR" w:eastAsia="es-ES"/>
        </w:rPr>
        <w:t xml:space="preserve">S </w:t>
      </w:r>
      <w:r w:rsidR="00230C71" w:rsidRPr="00D5464D">
        <w:rPr>
          <w:rFonts w:eastAsia="Times New Roman" w:cs="Verdana"/>
          <w:b/>
          <w:bCs/>
          <w:caps/>
          <w:snapToGrid w:val="0"/>
          <w:szCs w:val="20"/>
          <w:lang w:val="pt-BR" w:eastAsia="es-ES"/>
        </w:rPr>
        <w:t>DA CRIANÇA</w:t>
      </w:r>
      <w:r w:rsidR="00884208" w:rsidRPr="00D5464D">
        <w:rPr>
          <w:rStyle w:val="Refdenotaalpie"/>
          <w:rFonts w:eastAsia="Times New Roman"/>
          <w:b/>
          <w:bCs/>
          <w:caps/>
          <w:snapToGrid w:val="0"/>
          <w:lang w:val="pt-BR" w:eastAsia="es-ES"/>
        </w:rPr>
        <w:footnoteReference w:id="350"/>
      </w:r>
      <w:bookmarkEnd w:id="389"/>
    </w:p>
    <w:p w14:paraId="3AC44554" w14:textId="77777777" w:rsidR="00207197" w:rsidRPr="00D5464D" w:rsidRDefault="00207197" w:rsidP="00140440">
      <w:pPr>
        <w:jc w:val="both"/>
        <w:rPr>
          <w:lang w:val="pt-BR"/>
        </w:rPr>
      </w:pPr>
    </w:p>
    <w:p w14:paraId="16A4766B" w14:textId="3CC1470D" w:rsidR="00207197" w:rsidRPr="00D5464D" w:rsidRDefault="00470ADC" w:rsidP="00F37DC4">
      <w:pPr>
        <w:pStyle w:val="Prrafodelista"/>
        <w:numPr>
          <w:ilvl w:val="0"/>
          <w:numId w:val="1"/>
        </w:numPr>
        <w:contextualSpacing w:val="0"/>
        <w:rPr>
          <w:lang w:val="pt-BR"/>
        </w:rPr>
      </w:pPr>
      <w:r w:rsidRPr="00D5464D">
        <w:rPr>
          <w:lang w:val="pt-BR"/>
        </w:rPr>
        <w:t xml:space="preserve">No </w:t>
      </w:r>
      <w:r w:rsidR="00207197" w:rsidRPr="00D5464D">
        <w:rPr>
          <w:lang w:val="pt-BR"/>
        </w:rPr>
        <w:t>presente capítulo</w:t>
      </w:r>
      <w:r w:rsidR="002C330E" w:rsidRPr="00D5464D">
        <w:rPr>
          <w:lang w:val="pt-BR"/>
        </w:rPr>
        <w:t xml:space="preserve"> a </w:t>
      </w:r>
      <w:r w:rsidR="00207197" w:rsidRPr="00D5464D">
        <w:rPr>
          <w:lang w:val="pt-BR"/>
        </w:rPr>
        <w:t xml:space="preserve">Corte </w:t>
      </w:r>
      <w:r w:rsidR="00AB2062" w:rsidRPr="00D5464D">
        <w:rPr>
          <w:lang w:val="pt-BR"/>
        </w:rPr>
        <w:t>exporá</w:t>
      </w:r>
      <w:r w:rsidR="00767387" w:rsidRPr="00D5464D">
        <w:rPr>
          <w:lang w:val="pt-BR"/>
        </w:rPr>
        <w:t xml:space="preserve"> o</w:t>
      </w:r>
      <w:r w:rsidR="002C330E" w:rsidRPr="00D5464D">
        <w:rPr>
          <w:lang w:val="pt-BR"/>
        </w:rPr>
        <w:t xml:space="preserve">s </w:t>
      </w:r>
      <w:r w:rsidR="00767387" w:rsidRPr="00D5464D">
        <w:rPr>
          <w:lang w:val="pt-BR"/>
        </w:rPr>
        <w:t>argumentos</w:t>
      </w:r>
      <w:r w:rsidR="002C330E" w:rsidRPr="00D5464D">
        <w:rPr>
          <w:lang w:val="pt-BR"/>
        </w:rPr>
        <w:t xml:space="preserve"> </w:t>
      </w:r>
      <w:r w:rsidRPr="00D5464D">
        <w:rPr>
          <w:lang w:val="pt-BR"/>
        </w:rPr>
        <w:t>da Comissão</w:t>
      </w:r>
      <w:r w:rsidR="00207197" w:rsidRPr="00D5464D">
        <w:rPr>
          <w:lang w:val="pt-BR"/>
        </w:rPr>
        <w:t>,</w:t>
      </w:r>
      <w:r w:rsidRPr="00D5464D">
        <w:rPr>
          <w:lang w:val="pt-BR"/>
        </w:rPr>
        <w:t xml:space="preserve"> dos </w:t>
      </w:r>
      <w:r w:rsidR="00EB1CE9" w:rsidRPr="00D5464D">
        <w:rPr>
          <w:lang w:val="pt-BR"/>
        </w:rPr>
        <w:t>representante</w:t>
      </w:r>
      <w:r w:rsidR="00207197" w:rsidRPr="00D5464D">
        <w:rPr>
          <w:lang w:val="pt-BR"/>
        </w:rPr>
        <w:t>s</w:t>
      </w:r>
      <w:r w:rsidRPr="00D5464D">
        <w:rPr>
          <w:lang w:val="pt-BR"/>
        </w:rPr>
        <w:t xml:space="preserve"> das </w:t>
      </w:r>
      <w:r w:rsidR="002C330E" w:rsidRPr="00D5464D">
        <w:rPr>
          <w:lang w:val="pt-BR"/>
        </w:rPr>
        <w:t>suposta</w:t>
      </w:r>
      <w:r w:rsidR="00207197" w:rsidRPr="00D5464D">
        <w:rPr>
          <w:lang w:val="pt-BR"/>
        </w:rPr>
        <w:t xml:space="preserve">s </w:t>
      </w:r>
      <w:r w:rsidR="00E045D9" w:rsidRPr="00D5464D">
        <w:rPr>
          <w:lang w:val="pt-BR"/>
        </w:rPr>
        <w:t>vítima</w:t>
      </w:r>
      <w:r w:rsidR="00207197" w:rsidRPr="00D5464D">
        <w:rPr>
          <w:lang w:val="pt-BR"/>
        </w:rPr>
        <w:t>s</w:t>
      </w:r>
      <w:r w:rsidR="00E045D9" w:rsidRPr="00D5464D">
        <w:rPr>
          <w:lang w:val="pt-BR"/>
        </w:rPr>
        <w:t xml:space="preserve"> e </w:t>
      </w:r>
      <w:r w:rsidRPr="00D5464D">
        <w:rPr>
          <w:lang w:val="pt-BR"/>
        </w:rPr>
        <w:t xml:space="preserve">do </w:t>
      </w:r>
      <w:r w:rsidR="00207197" w:rsidRPr="00D5464D">
        <w:rPr>
          <w:lang w:val="pt-BR"/>
        </w:rPr>
        <w:t>Estado</w:t>
      </w:r>
      <w:r w:rsidR="00384506" w:rsidRPr="00D5464D">
        <w:rPr>
          <w:lang w:val="pt-BR"/>
        </w:rPr>
        <w:t xml:space="preserve"> sobre</w:t>
      </w:r>
      <w:r w:rsidR="002C330E" w:rsidRPr="00D5464D">
        <w:rPr>
          <w:lang w:val="pt-BR"/>
        </w:rPr>
        <w:t xml:space="preserve"> as </w:t>
      </w:r>
      <w:r w:rsidR="00207197" w:rsidRPr="00D5464D">
        <w:rPr>
          <w:lang w:val="pt-BR"/>
        </w:rPr>
        <w:t>alegadas viola</w:t>
      </w:r>
      <w:r w:rsidRPr="00D5464D">
        <w:rPr>
          <w:lang w:val="pt-BR"/>
        </w:rPr>
        <w:t xml:space="preserve">ções à </w:t>
      </w:r>
      <w:r w:rsidR="002C330E" w:rsidRPr="00D5464D">
        <w:rPr>
          <w:lang w:val="pt-BR"/>
        </w:rPr>
        <w:t>proibição</w:t>
      </w:r>
      <w:r w:rsidR="00A46603" w:rsidRPr="00D5464D">
        <w:rPr>
          <w:lang w:val="pt-BR"/>
        </w:rPr>
        <w:t xml:space="preserve"> de</w:t>
      </w:r>
      <w:r w:rsidRPr="00D5464D">
        <w:rPr>
          <w:lang w:val="pt-BR"/>
        </w:rPr>
        <w:t xml:space="preserve"> </w:t>
      </w:r>
      <w:r w:rsidR="000B376D" w:rsidRPr="00D5464D">
        <w:rPr>
          <w:lang w:val="pt-BR"/>
        </w:rPr>
        <w:t>escravidão</w:t>
      </w:r>
      <w:r w:rsidR="00207197" w:rsidRPr="00D5464D">
        <w:rPr>
          <w:lang w:val="pt-BR"/>
        </w:rPr>
        <w:t xml:space="preserve">, </w:t>
      </w:r>
      <w:r w:rsidR="000B376D" w:rsidRPr="00D5464D">
        <w:rPr>
          <w:lang w:val="pt-BR"/>
        </w:rPr>
        <w:t>servidão</w:t>
      </w:r>
      <w:r w:rsidR="00207197" w:rsidRPr="00D5464D">
        <w:rPr>
          <w:lang w:val="pt-BR"/>
        </w:rPr>
        <w:t>,</w:t>
      </w:r>
      <w:r w:rsidR="000B376D" w:rsidRPr="00D5464D">
        <w:rPr>
          <w:lang w:val="pt-BR"/>
        </w:rPr>
        <w:t xml:space="preserve"> tráfico de </w:t>
      </w:r>
      <w:r w:rsidR="002C330E" w:rsidRPr="00D5464D">
        <w:rPr>
          <w:lang w:val="pt-BR"/>
        </w:rPr>
        <w:t>pessoa</w:t>
      </w:r>
      <w:r w:rsidR="00207197" w:rsidRPr="00D5464D">
        <w:rPr>
          <w:lang w:val="pt-BR"/>
        </w:rPr>
        <w:t>s</w:t>
      </w:r>
      <w:r w:rsidR="00E045D9" w:rsidRPr="00D5464D">
        <w:rPr>
          <w:lang w:val="pt-BR"/>
        </w:rPr>
        <w:t xml:space="preserve"> e trabalho</w:t>
      </w:r>
      <w:r w:rsidR="00207197" w:rsidRPr="00D5464D">
        <w:rPr>
          <w:lang w:val="pt-BR"/>
        </w:rPr>
        <w:t xml:space="preserve"> </w:t>
      </w:r>
      <w:r w:rsidR="00230C71" w:rsidRPr="00D5464D">
        <w:rPr>
          <w:lang w:val="pt-BR"/>
        </w:rPr>
        <w:t>forçado</w:t>
      </w:r>
      <w:r w:rsidRPr="00D5464D">
        <w:rPr>
          <w:lang w:val="pt-BR"/>
        </w:rPr>
        <w:t>, e</w:t>
      </w:r>
      <w:r w:rsidR="00E045D9" w:rsidRPr="00D5464D">
        <w:rPr>
          <w:lang w:val="pt-BR"/>
        </w:rPr>
        <w:t xml:space="preserve"> aos </w:t>
      </w:r>
      <w:r w:rsidRPr="00D5464D">
        <w:rPr>
          <w:lang w:val="pt-BR"/>
        </w:rPr>
        <w:t>direito</w:t>
      </w:r>
      <w:r w:rsidR="00207197" w:rsidRPr="00D5464D">
        <w:rPr>
          <w:lang w:val="pt-BR"/>
        </w:rPr>
        <w:t>s</w:t>
      </w:r>
      <w:r w:rsidRPr="00D5464D">
        <w:rPr>
          <w:lang w:val="pt-BR"/>
        </w:rPr>
        <w:t xml:space="preserve"> à </w:t>
      </w:r>
      <w:r w:rsidR="002C330E" w:rsidRPr="00D5464D">
        <w:rPr>
          <w:lang w:val="pt-BR"/>
        </w:rPr>
        <w:t>integridade pessoa</w:t>
      </w:r>
      <w:r w:rsidR="00207197" w:rsidRPr="00D5464D">
        <w:rPr>
          <w:lang w:val="pt-BR"/>
        </w:rPr>
        <w:t xml:space="preserve">l, </w:t>
      </w:r>
      <w:r w:rsidR="00A46603" w:rsidRPr="00D5464D">
        <w:rPr>
          <w:lang w:val="pt-BR"/>
        </w:rPr>
        <w:t xml:space="preserve">à </w:t>
      </w:r>
      <w:r w:rsidR="002C330E" w:rsidRPr="00D5464D">
        <w:rPr>
          <w:lang w:val="pt-BR"/>
        </w:rPr>
        <w:t>liberdade pessoa</w:t>
      </w:r>
      <w:r w:rsidR="00207197" w:rsidRPr="00D5464D">
        <w:rPr>
          <w:lang w:val="pt-BR"/>
        </w:rPr>
        <w:t xml:space="preserve">l, </w:t>
      </w:r>
      <w:r w:rsidR="00A46603" w:rsidRPr="00D5464D">
        <w:rPr>
          <w:lang w:val="pt-BR"/>
        </w:rPr>
        <w:t xml:space="preserve">à </w:t>
      </w:r>
      <w:r w:rsidR="002C330E" w:rsidRPr="00D5464D">
        <w:rPr>
          <w:lang w:val="pt-BR"/>
        </w:rPr>
        <w:t xml:space="preserve">personalidade </w:t>
      </w:r>
      <w:r w:rsidR="00207197" w:rsidRPr="00D5464D">
        <w:rPr>
          <w:lang w:val="pt-BR"/>
        </w:rPr>
        <w:t xml:space="preserve">jurídica, </w:t>
      </w:r>
      <w:r w:rsidR="00A46603" w:rsidRPr="00D5464D">
        <w:rPr>
          <w:lang w:val="pt-BR"/>
        </w:rPr>
        <w:t xml:space="preserve">à </w:t>
      </w:r>
      <w:r w:rsidR="00207197" w:rsidRPr="00D5464D">
        <w:rPr>
          <w:lang w:val="pt-BR"/>
        </w:rPr>
        <w:t>honra</w:t>
      </w:r>
      <w:r w:rsidR="00E045D9" w:rsidRPr="00D5464D">
        <w:rPr>
          <w:lang w:val="pt-BR"/>
        </w:rPr>
        <w:t xml:space="preserve"> e </w:t>
      </w:r>
      <w:r w:rsidR="00207197" w:rsidRPr="00D5464D">
        <w:rPr>
          <w:lang w:val="pt-BR"/>
        </w:rPr>
        <w:t>dig</w:t>
      </w:r>
      <w:r w:rsidR="00737270" w:rsidRPr="00D5464D">
        <w:rPr>
          <w:lang w:val="pt-BR"/>
        </w:rPr>
        <w:t xml:space="preserve">nidade, </w:t>
      </w:r>
      <w:r w:rsidRPr="00D5464D">
        <w:rPr>
          <w:lang w:val="pt-BR"/>
        </w:rPr>
        <w:t>e</w:t>
      </w:r>
      <w:r w:rsidR="00207197" w:rsidRPr="00D5464D">
        <w:rPr>
          <w:lang w:val="pt-BR"/>
        </w:rPr>
        <w:t xml:space="preserve"> </w:t>
      </w:r>
      <w:r w:rsidR="00A46603" w:rsidRPr="00D5464D">
        <w:rPr>
          <w:lang w:val="pt-BR"/>
        </w:rPr>
        <w:t xml:space="preserve">à </w:t>
      </w:r>
      <w:r w:rsidR="00207197" w:rsidRPr="00D5464D">
        <w:rPr>
          <w:lang w:val="pt-BR"/>
        </w:rPr>
        <w:t>circula</w:t>
      </w:r>
      <w:r w:rsidRPr="00D5464D">
        <w:rPr>
          <w:lang w:val="pt-BR"/>
        </w:rPr>
        <w:t>ção</w:t>
      </w:r>
      <w:r w:rsidR="00E045D9" w:rsidRPr="00D5464D">
        <w:rPr>
          <w:lang w:val="pt-BR"/>
        </w:rPr>
        <w:t xml:space="preserve"> e </w:t>
      </w:r>
      <w:r w:rsidR="002C330E" w:rsidRPr="00D5464D">
        <w:rPr>
          <w:lang w:val="pt-BR"/>
        </w:rPr>
        <w:t>residência</w:t>
      </w:r>
      <w:r w:rsidR="00207197" w:rsidRPr="00D5464D">
        <w:rPr>
          <w:lang w:val="pt-BR"/>
        </w:rPr>
        <w:t xml:space="preserve">, </w:t>
      </w:r>
      <w:r w:rsidRPr="00D5464D">
        <w:rPr>
          <w:lang w:val="pt-BR"/>
        </w:rPr>
        <w:t>estabelecid</w:t>
      </w:r>
      <w:r w:rsidR="00207197" w:rsidRPr="00D5464D">
        <w:rPr>
          <w:lang w:val="pt-BR"/>
        </w:rPr>
        <w:t>os</w:t>
      </w:r>
      <w:r w:rsidR="00E045D9" w:rsidRPr="00D5464D">
        <w:rPr>
          <w:lang w:val="pt-BR"/>
        </w:rPr>
        <w:t xml:space="preserve"> nos </w:t>
      </w:r>
      <w:r w:rsidRPr="00D5464D">
        <w:rPr>
          <w:lang w:val="pt-BR"/>
        </w:rPr>
        <w:t>artigo</w:t>
      </w:r>
      <w:r w:rsidR="00207197" w:rsidRPr="00D5464D">
        <w:rPr>
          <w:lang w:val="pt-BR"/>
        </w:rPr>
        <w:t>s 6, 5, 7, 3, 11</w:t>
      </w:r>
      <w:r w:rsidR="00E045D9" w:rsidRPr="00D5464D">
        <w:rPr>
          <w:lang w:val="pt-BR"/>
        </w:rPr>
        <w:t xml:space="preserve"> e </w:t>
      </w:r>
      <w:r w:rsidR="00207197" w:rsidRPr="00D5464D">
        <w:rPr>
          <w:lang w:val="pt-BR"/>
        </w:rPr>
        <w:t>22</w:t>
      </w:r>
      <w:r w:rsidRPr="00D5464D">
        <w:rPr>
          <w:lang w:val="pt-BR"/>
        </w:rPr>
        <w:t xml:space="preserve"> da </w:t>
      </w:r>
      <w:r w:rsidR="00207197" w:rsidRPr="00D5464D">
        <w:rPr>
          <w:lang w:val="pt-BR"/>
        </w:rPr>
        <w:t>Conven</w:t>
      </w:r>
      <w:r w:rsidRPr="00D5464D">
        <w:rPr>
          <w:lang w:val="pt-BR"/>
        </w:rPr>
        <w:t>ção</w:t>
      </w:r>
      <w:r w:rsidR="00207197" w:rsidRPr="00D5464D">
        <w:rPr>
          <w:lang w:val="pt-BR"/>
        </w:rPr>
        <w:t xml:space="preserve"> Americana</w:t>
      </w:r>
      <w:r w:rsidR="00C91CB1" w:rsidRPr="00D5464D">
        <w:rPr>
          <w:lang w:val="pt-BR"/>
        </w:rPr>
        <w:t xml:space="preserve">. Em </w:t>
      </w:r>
      <w:r w:rsidR="00A44B28" w:rsidRPr="00D5464D">
        <w:rPr>
          <w:lang w:val="pt-BR"/>
        </w:rPr>
        <w:t>seguida,</w:t>
      </w:r>
      <w:r w:rsidR="002C330E" w:rsidRPr="00D5464D">
        <w:rPr>
          <w:lang w:val="pt-BR"/>
        </w:rPr>
        <w:t xml:space="preserve"> a </w:t>
      </w:r>
      <w:r w:rsidR="00207197" w:rsidRPr="00D5464D">
        <w:rPr>
          <w:lang w:val="pt-BR"/>
        </w:rPr>
        <w:t>Corte realizará</w:t>
      </w:r>
      <w:r w:rsidR="00E045D9" w:rsidRPr="00D5464D">
        <w:rPr>
          <w:lang w:val="pt-BR"/>
        </w:rPr>
        <w:t xml:space="preserve"> </w:t>
      </w:r>
      <w:r w:rsidR="00350187" w:rsidRPr="00D5464D">
        <w:rPr>
          <w:lang w:val="pt-BR"/>
        </w:rPr>
        <w:t>uma análise</w:t>
      </w:r>
      <w:r w:rsidR="00207197" w:rsidRPr="00D5464D">
        <w:rPr>
          <w:lang w:val="pt-BR"/>
        </w:rPr>
        <w:t xml:space="preserve"> </w:t>
      </w:r>
      <w:r w:rsidR="002C34AA" w:rsidRPr="00D5464D">
        <w:rPr>
          <w:lang w:val="pt-BR"/>
        </w:rPr>
        <w:t xml:space="preserve">de mérito </w:t>
      </w:r>
      <w:r w:rsidR="002C330E" w:rsidRPr="00D5464D">
        <w:rPr>
          <w:lang w:val="pt-BR"/>
        </w:rPr>
        <w:t>a respeito</w:t>
      </w:r>
      <w:r w:rsidR="00A46603" w:rsidRPr="00D5464D">
        <w:rPr>
          <w:lang w:val="pt-BR"/>
        </w:rPr>
        <w:t xml:space="preserve"> de</w:t>
      </w:r>
      <w:r w:rsidR="00606B5F" w:rsidRPr="00D5464D">
        <w:rPr>
          <w:lang w:val="pt-BR"/>
        </w:rPr>
        <w:t>:</w:t>
      </w:r>
      <w:r w:rsidR="00207197" w:rsidRPr="00D5464D">
        <w:rPr>
          <w:lang w:val="pt-BR"/>
        </w:rPr>
        <w:t xml:space="preserve"> i)</w:t>
      </w:r>
      <w:r w:rsidRPr="00D5464D">
        <w:rPr>
          <w:lang w:val="pt-BR"/>
        </w:rPr>
        <w:t xml:space="preserve"> o </w:t>
      </w:r>
      <w:r w:rsidR="00207197" w:rsidRPr="00D5464D">
        <w:rPr>
          <w:lang w:val="pt-BR"/>
        </w:rPr>
        <w:t xml:space="preserve">alcance </w:t>
      </w:r>
      <w:r w:rsidRPr="00D5464D">
        <w:rPr>
          <w:lang w:val="pt-BR"/>
        </w:rPr>
        <w:t>do artigo</w:t>
      </w:r>
      <w:r w:rsidR="00207197" w:rsidRPr="00D5464D">
        <w:rPr>
          <w:lang w:val="pt-BR"/>
        </w:rPr>
        <w:t xml:space="preserve"> 6</w:t>
      </w:r>
      <w:r w:rsidRPr="00D5464D">
        <w:rPr>
          <w:lang w:val="pt-BR"/>
        </w:rPr>
        <w:t xml:space="preserve"> da </w:t>
      </w:r>
      <w:r w:rsidR="00207197" w:rsidRPr="00D5464D">
        <w:rPr>
          <w:lang w:val="pt-BR"/>
        </w:rPr>
        <w:t>Conven</w:t>
      </w:r>
      <w:r w:rsidRPr="00D5464D">
        <w:rPr>
          <w:lang w:val="pt-BR"/>
        </w:rPr>
        <w:t>ção</w:t>
      </w:r>
      <w:r w:rsidR="00207197" w:rsidRPr="00D5464D">
        <w:rPr>
          <w:lang w:val="pt-BR"/>
        </w:rPr>
        <w:t xml:space="preserve"> Americana de </w:t>
      </w:r>
      <w:r w:rsidRPr="00D5464D">
        <w:rPr>
          <w:lang w:val="pt-BR"/>
        </w:rPr>
        <w:t xml:space="preserve">acordo com o </w:t>
      </w:r>
      <w:r w:rsidR="00E765C2" w:rsidRPr="00D5464D">
        <w:rPr>
          <w:lang w:val="pt-BR"/>
        </w:rPr>
        <w:t>Direito Internacional</w:t>
      </w:r>
      <w:r w:rsidRPr="00D5464D">
        <w:rPr>
          <w:lang w:val="pt-BR"/>
        </w:rPr>
        <w:t xml:space="preserve"> dos </w:t>
      </w:r>
      <w:r w:rsidR="00A46603" w:rsidRPr="00D5464D">
        <w:rPr>
          <w:lang w:val="pt-BR"/>
        </w:rPr>
        <w:t>D</w:t>
      </w:r>
      <w:r w:rsidRPr="00D5464D">
        <w:rPr>
          <w:lang w:val="pt-BR"/>
        </w:rPr>
        <w:t>ireito</w:t>
      </w:r>
      <w:r w:rsidR="00207197" w:rsidRPr="00D5464D">
        <w:rPr>
          <w:lang w:val="pt-BR"/>
        </w:rPr>
        <w:t xml:space="preserve">s </w:t>
      </w:r>
      <w:r w:rsidR="00A46603" w:rsidRPr="00D5464D">
        <w:rPr>
          <w:lang w:val="pt-BR"/>
        </w:rPr>
        <w:t>H</w:t>
      </w:r>
      <w:r w:rsidR="00207197" w:rsidRPr="00D5464D">
        <w:rPr>
          <w:lang w:val="pt-BR"/>
        </w:rPr>
        <w:t>umanos</w:t>
      </w:r>
      <w:r w:rsidR="00E045D9" w:rsidRPr="00D5464D">
        <w:rPr>
          <w:lang w:val="pt-BR"/>
        </w:rPr>
        <w:t xml:space="preserve"> e </w:t>
      </w:r>
      <w:r w:rsidR="002C330E" w:rsidRPr="00D5464D">
        <w:rPr>
          <w:lang w:val="pt-BR"/>
        </w:rPr>
        <w:t xml:space="preserve">as </w:t>
      </w:r>
      <w:r w:rsidR="00207197" w:rsidRPr="00D5464D">
        <w:rPr>
          <w:lang w:val="pt-BR"/>
        </w:rPr>
        <w:t xml:space="preserve">figuras de </w:t>
      </w:r>
      <w:r w:rsidR="000B376D" w:rsidRPr="00D5464D">
        <w:rPr>
          <w:lang w:val="pt-BR"/>
        </w:rPr>
        <w:t>escravidão</w:t>
      </w:r>
      <w:r w:rsidR="00207197" w:rsidRPr="00D5464D">
        <w:rPr>
          <w:lang w:val="pt-BR"/>
        </w:rPr>
        <w:t xml:space="preserve">, </w:t>
      </w:r>
      <w:r w:rsidR="00E045D9" w:rsidRPr="00D5464D">
        <w:rPr>
          <w:lang w:val="pt-BR"/>
        </w:rPr>
        <w:t>trabalho</w:t>
      </w:r>
      <w:r w:rsidR="001B63D0" w:rsidRPr="00D5464D">
        <w:rPr>
          <w:lang w:val="pt-BR"/>
        </w:rPr>
        <w:t xml:space="preserve"> </w:t>
      </w:r>
      <w:r w:rsidR="00230C71" w:rsidRPr="00D5464D">
        <w:rPr>
          <w:lang w:val="pt-BR"/>
        </w:rPr>
        <w:t>forçado</w:t>
      </w:r>
      <w:r w:rsidR="00207197" w:rsidRPr="00D5464D">
        <w:rPr>
          <w:lang w:val="pt-BR"/>
        </w:rPr>
        <w:t xml:space="preserve">, </w:t>
      </w:r>
      <w:r w:rsidR="000B376D" w:rsidRPr="00D5464D">
        <w:rPr>
          <w:lang w:val="pt-BR"/>
        </w:rPr>
        <w:t>servidão</w:t>
      </w:r>
      <w:r w:rsidR="00E045D9" w:rsidRPr="00D5464D">
        <w:rPr>
          <w:lang w:val="pt-BR"/>
        </w:rPr>
        <w:t xml:space="preserve"> e </w:t>
      </w:r>
      <w:r w:rsidR="00207197" w:rsidRPr="00D5464D">
        <w:rPr>
          <w:lang w:val="pt-BR"/>
        </w:rPr>
        <w:t xml:space="preserve">tráfico de </w:t>
      </w:r>
      <w:r w:rsidR="002C330E" w:rsidRPr="00D5464D">
        <w:rPr>
          <w:lang w:val="pt-BR"/>
        </w:rPr>
        <w:t>pessoa</w:t>
      </w:r>
      <w:r w:rsidR="00207197" w:rsidRPr="00D5464D">
        <w:rPr>
          <w:lang w:val="pt-BR"/>
        </w:rPr>
        <w:t>s; ii)</w:t>
      </w:r>
      <w:r w:rsidR="002C330E" w:rsidRPr="00D5464D">
        <w:rPr>
          <w:lang w:val="pt-BR"/>
        </w:rPr>
        <w:t xml:space="preserve"> a </w:t>
      </w:r>
      <w:r w:rsidR="00207197" w:rsidRPr="00D5464D">
        <w:rPr>
          <w:lang w:val="pt-BR"/>
        </w:rPr>
        <w:t>aplica</w:t>
      </w:r>
      <w:r w:rsidRPr="00D5464D">
        <w:rPr>
          <w:lang w:val="pt-BR"/>
        </w:rPr>
        <w:t>ção</w:t>
      </w:r>
      <w:r w:rsidR="00207197" w:rsidRPr="00D5464D">
        <w:rPr>
          <w:lang w:val="pt-BR"/>
        </w:rPr>
        <w:t xml:space="preserve"> </w:t>
      </w:r>
      <w:r w:rsidRPr="00D5464D">
        <w:rPr>
          <w:lang w:val="pt-BR"/>
        </w:rPr>
        <w:t xml:space="preserve">do </w:t>
      </w:r>
      <w:r w:rsidR="00207197" w:rsidRPr="00D5464D">
        <w:rPr>
          <w:lang w:val="pt-BR"/>
        </w:rPr>
        <w:t xml:space="preserve">referido </w:t>
      </w:r>
      <w:r w:rsidRPr="00D5464D">
        <w:rPr>
          <w:lang w:val="pt-BR"/>
        </w:rPr>
        <w:t>artigo</w:t>
      </w:r>
      <w:r w:rsidR="00E045D9" w:rsidRPr="00D5464D">
        <w:rPr>
          <w:lang w:val="pt-BR"/>
        </w:rPr>
        <w:t xml:space="preserve"> aos </w:t>
      </w:r>
      <w:r w:rsidR="002C330E" w:rsidRPr="00D5464D">
        <w:rPr>
          <w:lang w:val="pt-BR"/>
        </w:rPr>
        <w:t>fatos</w:t>
      </w:r>
      <w:r w:rsidR="00207197" w:rsidRPr="00D5464D">
        <w:rPr>
          <w:lang w:val="pt-BR"/>
        </w:rPr>
        <w:t xml:space="preserve"> </w:t>
      </w:r>
      <w:r w:rsidRPr="00D5464D">
        <w:rPr>
          <w:lang w:val="pt-BR"/>
        </w:rPr>
        <w:t xml:space="preserve">do </w:t>
      </w:r>
      <w:r w:rsidR="00207197" w:rsidRPr="00D5464D">
        <w:rPr>
          <w:lang w:val="pt-BR"/>
        </w:rPr>
        <w:t>presente caso</w:t>
      </w:r>
      <w:r w:rsidR="00E045D9" w:rsidRPr="00D5464D">
        <w:rPr>
          <w:lang w:val="pt-BR"/>
        </w:rPr>
        <w:t xml:space="preserve"> e </w:t>
      </w:r>
      <w:r w:rsidR="00207197" w:rsidRPr="00D5464D">
        <w:rPr>
          <w:lang w:val="pt-BR"/>
        </w:rPr>
        <w:t>iii)</w:t>
      </w:r>
      <w:r w:rsidR="002C330E" w:rsidRPr="00D5464D">
        <w:rPr>
          <w:lang w:val="pt-BR"/>
        </w:rPr>
        <w:t xml:space="preserve"> a </w:t>
      </w:r>
      <w:r w:rsidR="00207197" w:rsidRPr="00D5464D">
        <w:rPr>
          <w:lang w:val="pt-BR"/>
        </w:rPr>
        <w:t xml:space="preserve">alegada </w:t>
      </w:r>
      <w:r w:rsidR="002C330E" w:rsidRPr="00D5464D">
        <w:rPr>
          <w:lang w:val="pt-BR"/>
        </w:rPr>
        <w:t xml:space="preserve">responsabilidade </w:t>
      </w:r>
      <w:r w:rsidRPr="00D5464D">
        <w:rPr>
          <w:lang w:val="pt-BR"/>
        </w:rPr>
        <w:t xml:space="preserve">do </w:t>
      </w:r>
      <w:r w:rsidR="00207197" w:rsidRPr="00D5464D">
        <w:rPr>
          <w:lang w:val="pt-BR"/>
        </w:rPr>
        <w:t>Estado</w:t>
      </w:r>
      <w:r w:rsidRPr="00D5464D">
        <w:rPr>
          <w:lang w:val="pt-BR"/>
        </w:rPr>
        <w:t xml:space="preserve"> em </w:t>
      </w:r>
      <w:r w:rsidR="00207197" w:rsidRPr="00D5464D">
        <w:rPr>
          <w:lang w:val="pt-BR"/>
        </w:rPr>
        <w:t>rela</w:t>
      </w:r>
      <w:r w:rsidRPr="00D5464D">
        <w:rPr>
          <w:lang w:val="pt-BR"/>
        </w:rPr>
        <w:t xml:space="preserve">ção </w:t>
      </w:r>
      <w:r w:rsidR="00A46603" w:rsidRPr="00D5464D">
        <w:rPr>
          <w:lang w:val="pt-BR"/>
        </w:rPr>
        <w:t>a</w:t>
      </w:r>
      <w:r w:rsidR="00C91CB1" w:rsidRPr="00D5464D">
        <w:rPr>
          <w:lang w:val="pt-BR"/>
        </w:rPr>
        <w:t xml:space="preserve">o </w:t>
      </w:r>
      <w:r w:rsidR="00207197" w:rsidRPr="00D5464D">
        <w:rPr>
          <w:lang w:val="pt-BR"/>
        </w:rPr>
        <w:t xml:space="preserve">anterior. </w:t>
      </w:r>
    </w:p>
    <w:p w14:paraId="3E5FA49D" w14:textId="77777777" w:rsidR="00207197" w:rsidRPr="00D5464D" w:rsidRDefault="00207197" w:rsidP="00140440">
      <w:pPr>
        <w:jc w:val="both"/>
        <w:rPr>
          <w:lang w:val="pt-BR"/>
        </w:rPr>
      </w:pPr>
    </w:p>
    <w:p w14:paraId="763AE849" w14:textId="1FF2CCB9" w:rsidR="00207197" w:rsidRPr="00D5464D" w:rsidRDefault="00A44B28" w:rsidP="00F306D7">
      <w:pPr>
        <w:pStyle w:val="Ttulo2"/>
        <w:numPr>
          <w:ilvl w:val="0"/>
          <w:numId w:val="19"/>
        </w:numPr>
        <w:rPr>
          <w:lang w:val="pt-BR"/>
        </w:rPr>
      </w:pPr>
      <w:bookmarkStart w:id="390" w:name="_Toc468433918"/>
      <w:r w:rsidRPr="00D5464D">
        <w:rPr>
          <w:lang w:val="pt-BR"/>
        </w:rPr>
        <w:t>Argumentos</w:t>
      </w:r>
      <w:r w:rsidR="00470ADC" w:rsidRPr="00D5464D">
        <w:rPr>
          <w:lang w:val="pt-BR"/>
        </w:rPr>
        <w:t xml:space="preserve"> das </w:t>
      </w:r>
      <w:r w:rsidR="00207197" w:rsidRPr="00D5464D">
        <w:rPr>
          <w:lang w:val="pt-BR"/>
        </w:rPr>
        <w:t>partes</w:t>
      </w:r>
      <w:r w:rsidR="00E045D9" w:rsidRPr="00D5464D">
        <w:rPr>
          <w:lang w:val="pt-BR"/>
        </w:rPr>
        <w:t xml:space="preserve"> e </w:t>
      </w:r>
      <w:r w:rsidR="00470ADC" w:rsidRPr="00D5464D">
        <w:rPr>
          <w:lang w:val="pt-BR"/>
        </w:rPr>
        <w:t>da Comissão</w:t>
      </w:r>
      <w:bookmarkEnd w:id="390"/>
    </w:p>
    <w:p w14:paraId="68901060" w14:textId="77777777" w:rsidR="00DE3E58" w:rsidRPr="00D5464D" w:rsidRDefault="00DE3E58" w:rsidP="00DE3E58">
      <w:pPr>
        <w:pStyle w:val="Prrafodelista"/>
        <w:ind w:left="0"/>
        <w:contextualSpacing w:val="0"/>
        <w:rPr>
          <w:lang w:val="pt-BR"/>
        </w:rPr>
      </w:pPr>
    </w:p>
    <w:p w14:paraId="65D2B344" w14:textId="2D3A0816" w:rsidR="00207197" w:rsidRPr="00D5464D" w:rsidRDefault="00470ADC" w:rsidP="00F37DC4">
      <w:pPr>
        <w:pStyle w:val="Prrafodelista"/>
        <w:numPr>
          <w:ilvl w:val="0"/>
          <w:numId w:val="1"/>
        </w:numPr>
        <w:contextualSpacing w:val="0"/>
        <w:rPr>
          <w:lang w:val="pt-BR"/>
        </w:rPr>
      </w:pPr>
      <w:r w:rsidRPr="00D5464D">
        <w:rPr>
          <w:lang w:val="pt-BR"/>
        </w:rPr>
        <w:t xml:space="preserve">A </w:t>
      </w:r>
      <w:r w:rsidRPr="00D5464D">
        <w:rPr>
          <w:b/>
          <w:i/>
          <w:lang w:val="pt-BR"/>
        </w:rPr>
        <w:t>Comissão</w:t>
      </w:r>
      <w:r w:rsidR="00207197" w:rsidRPr="00D5464D">
        <w:rPr>
          <w:lang w:val="pt-BR"/>
        </w:rPr>
        <w:t xml:space="preserve"> </w:t>
      </w:r>
      <w:r w:rsidR="002C330E" w:rsidRPr="00D5464D">
        <w:rPr>
          <w:lang w:val="pt-BR"/>
        </w:rPr>
        <w:t>afirmou</w:t>
      </w:r>
      <w:r w:rsidR="00207197" w:rsidRPr="00D5464D">
        <w:rPr>
          <w:lang w:val="pt-BR"/>
        </w:rPr>
        <w:t xml:space="preserve"> que</w:t>
      </w:r>
      <w:r w:rsidRPr="00D5464D">
        <w:rPr>
          <w:lang w:val="pt-BR"/>
        </w:rPr>
        <w:t xml:space="preserve"> o </w:t>
      </w:r>
      <w:r w:rsidR="00E765C2" w:rsidRPr="00D5464D">
        <w:rPr>
          <w:lang w:val="pt-BR"/>
        </w:rPr>
        <w:t>Direito Internacional</w:t>
      </w:r>
      <w:r w:rsidR="00207197" w:rsidRPr="00D5464D">
        <w:rPr>
          <w:lang w:val="pt-BR"/>
        </w:rPr>
        <w:t xml:space="preserve"> </w:t>
      </w:r>
      <w:r w:rsidR="002C330E" w:rsidRPr="00D5464D">
        <w:rPr>
          <w:lang w:val="pt-BR"/>
        </w:rPr>
        <w:t xml:space="preserve">proíbe a </w:t>
      </w:r>
      <w:r w:rsidR="000B376D" w:rsidRPr="00D5464D">
        <w:rPr>
          <w:lang w:val="pt-BR"/>
        </w:rPr>
        <w:t>escravidão</w:t>
      </w:r>
      <w:r w:rsidR="00207197" w:rsidRPr="00D5464D">
        <w:rPr>
          <w:lang w:val="pt-BR"/>
        </w:rPr>
        <w:t>,</w:t>
      </w:r>
      <w:r w:rsidR="002C330E" w:rsidRPr="00D5464D">
        <w:rPr>
          <w:lang w:val="pt-BR"/>
        </w:rPr>
        <w:t xml:space="preserve"> a </w:t>
      </w:r>
      <w:r w:rsidR="000B376D" w:rsidRPr="00D5464D">
        <w:rPr>
          <w:lang w:val="pt-BR"/>
        </w:rPr>
        <w:t>servidão</w:t>
      </w:r>
      <w:r w:rsidR="00207197" w:rsidRPr="00D5464D">
        <w:rPr>
          <w:lang w:val="pt-BR"/>
        </w:rPr>
        <w:t>,</w:t>
      </w:r>
      <w:r w:rsidRPr="00D5464D">
        <w:rPr>
          <w:lang w:val="pt-BR"/>
        </w:rPr>
        <w:t xml:space="preserve"> o </w:t>
      </w:r>
      <w:r w:rsidR="00E045D9" w:rsidRPr="00D5464D">
        <w:rPr>
          <w:lang w:val="pt-BR"/>
        </w:rPr>
        <w:t>trabalho</w:t>
      </w:r>
      <w:r w:rsidR="001B63D0" w:rsidRPr="00D5464D">
        <w:rPr>
          <w:lang w:val="pt-BR"/>
        </w:rPr>
        <w:t xml:space="preserve"> </w:t>
      </w:r>
      <w:r w:rsidR="00230C71" w:rsidRPr="00D5464D">
        <w:rPr>
          <w:lang w:val="pt-BR"/>
        </w:rPr>
        <w:t>forçado</w:t>
      </w:r>
      <w:r w:rsidR="00E045D9" w:rsidRPr="00D5464D">
        <w:rPr>
          <w:lang w:val="pt-BR"/>
        </w:rPr>
        <w:t xml:space="preserve"> e </w:t>
      </w:r>
      <w:r w:rsidR="002C330E" w:rsidRPr="00D5464D">
        <w:rPr>
          <w:lang w:val="pt-BR"/>
        </w:rPr>
        <w:t>outra</w:t>
      </w:r>
      <w:r w:rsidR="00207197" w:rsidRPr="00D5464D">
        <w:rPr>
          <w:lang w:val="pt-BR"/>
        </w:rPr>
        <w:t xml:space="preserve">s </w:t>
      </w:r>
      <w:r w:rsidR="002C330E" w:rsidRPr="00D5464D">
        <w:rPr>
          <w:lang w:val="pt-BR"/>
        </w:rPr>
        <w:t>prática</w:t>
      </w:r>
      <w:r w:rsidR="00207197" w:rsidRPr="00D5464D">
        <w:rPr>
          <w:lang w:val="pt-BR"/>
        </w:rPr>
        <w:t xml:space="preserve">s </w:t>
      </w:r>
      <w:r w:rsidR="006665EF" w:rsidRPr="00D5464D">
        <w:rPr>
          <w:lang w:val="pt-BR"/>
        </w:rPr>
        <w:t>análogas</w:t>
      </w:r>
      <w:r w:rsidR="00350187" w:rsidRPr="00D5464D">
        <w:rPr>
          <w:lang w:val="pt-BR"/>
        </w:rPr>
        <w:t xml:space="preserve"> </w:t>
      </w:r>
      <w:r w:rsidRPr="00D5464D">
        <w:rPr>
          <w:lang w:val="pt-BR"/>
        </w:rPr>
        <w:t xml:space="preserve">à </w:t>
      </w:r>
      <w:r w:rsidR="000B376D" w:rsidRPr="00D5464D">
        <w:rPr>
          <w:lang w:val="pt-BR"/>
        </w:rPr>
        <w:t>escravidão</w:t>
      </w:r>
      <w:r w:rsidR="00A1358C" w:rsidRPr="00D5464D">
        <w:rPr>
          <w:lang w:val="pt-BR"/>
        </w:rPr>
        <w:t xml:space="preserve">. A </w:t>
      </w:r>
      <w:r w:rsidR="002C330E" w:rsidRPr="00D5464D">
        <w:rPr>
          <w:lang w:val="pt-BR"/>
        </w:rPr>
        <w:t>proibição</w:t>
      </w:r>
      <w:r w:rsidRPr="00D5464D">
        <w:rPr>
          <w:lang w:val="pt-BR"/>
        </w:rPr>
        <w:t xml:space="preserve"> da </w:t>
      </w:r>
      <w:r w:rsidR="000B376D" w:rsidRPr="00D5464D">
        <w:rPr>
          <w:lang w:val="pt-BR"/>
        </w:rPr>
        <w:t>escravidão</w:t>
      </w:r>
      <w:r w:rsidR="00E045D9" w:rsidRPr="00D5464D">
        <w:rPr>
          <w:lang w:val="pt-BR"/>
        </w:rPr>
        <w:t xml:space="preserve"> e </w:t>
      </w:r>
      <w:r w:rsidR="00767387" w:rsidRPr="00D5464D">
        <w:rPr>
          <w:lang w:val="pt-BR"/>
        </w:rPr>
        <w:t xml:space="preserve">de </w:t>
      </w:r>
      <w:r w:rsidR="002C330E" w:rsidRPr="00D5464D">
        <w:rPr>
          <w:lang w:val="pt-BR"/>
        </w:rPr>
        <w:t>prática</w:t>
      </w:r>
      <w:r w:rsidR="00207197" w:rsidRPr="00D5464D">
        <w:rPr>
          <w:lang w:val="pt-BR"/>
        </w:rPr>
        <w:t xml:space="preserve">s similares </w:t>
      </w:r>
      <w:r w:rsidRPr="00D5464D">
        <w:rPr>
          <w:lang w:val="pt-BR"/>
        </w:rPr>
        <w:t xml:space="preserve">forma </w:t>
      </w:r>
      <w:r w:rsidR="00207197" w:rsidRPr="00D5464D">
        <w:rPr>
          <w:lang w:val="pt-BR"/>
        </w:rPr>
        <w:t xml:space="preserve">parte </w:t>
      </w:r>
      <w:r w:rsidRPr="00D5464D">
        <w:rPr>
          <w:lang w:val="pt-BR"/>
        </w:rPr>
        <w:t xml:space="preserve">do </w:t>
      </w:r>
      <w:r w:rsidR="00E765C2" w:rsidRPr="00D5464D">
        <w:rPr>
          <w:lang w:val="pt-BR"/>
        </w:rPr>
        <w:t>Direito Internacional</w:t>
      </w:r>
      <w:r w:rsidR="00207197" w:rsidRPr="00D5464D">
        <w:rPr>
          <w:lang w:val="pt-BR"/>
        </w:rPr>
        <w:t xml:space="preserve"> </w:t>
      </w:r>
      <w:r w:rsidRPr="00D5464D">
        <w:rPr>
          <w:lang w:val="pt-BR"/>
        </w:rPr>
        <w:t>consuetudinário</w:t>
      </w:r>
      <w:r w:rsidR="00E045D9" w:rsidRPr="00D5464D">
        <w:rPr>
          <w:lang w:val="pt-BR"/>
        </w:rPr>
        <w:t xml:space="preserve"> e </w:t>
      </w:r>
      <w:r w:rsidRPr="00D5464D">
        <w:rPr>
          <w:lang w:val="pt-BR"/>
        </w:rPr>
        <w:t xml:space="preserve">do </w:t>
      </w:r>
      <w:r w:rsidR="00207197" w:rsidRPr="00D5464D">
        <w:rPr>
          <w:i/>
          <w:iCs/>
          <w:lang w:val="pt-BR"/>
        </w:rPr>
        <w:t>jus cogens</w:t>
      </w:r>
      <w:r w:rsidR="00A1358C" w:rsidRPr="00D5464D">
        <w:rPr>
          <w:i/>
          <w:iCs/>
          <w:lang w:val="pt-BR"/>
        </w:rPr>
        <w:t xml:space="preserve">. </w:t>
      </w:r>
      <w:r w:rsidR="00A1358C" w:rsidRPr="00D5464D">
        <w:rPr>
          <w:iCs/>
          <w:lang w:val="pt-BR"/>
        </w:rPr>
        <w:t xml:space="preserve">A </w:t>
      </w:r>
      <w:r w:rsidR="002C330E" w:rsidRPr="00D5464D">
        <w:rPr>
          <w:lang w:val="pt-BR"/>
        </w:rPr>
        <w:t>proteção</w:t>
      </w:r>
      <w:r w:rsidR="00207197" w:rsidRPr="00D5464D">
        <w:rPr>
          <w:lang w:val="pt-BR"/>
        </w:rPr>
        <w:t xml:space="preserve"> contra</w:t>
      </w:r>
      <w:r w:rsidR="002C330E" w:rsidRPr="00D5464D">
        <w:rPr>
          <w:lang w:val="pt-BR"/>
        </w:rPr>
        <w:t xml:space="preserve"> a </w:t>
      </w:r>
      <w:r w:rsidR="000B376D" w:rsidRPr="00D5464D">
        <w:rPr>
          <w:lang w:val="pt-BR"/>
        </w:rPr>
        <w:t>escravidão</w:t>
      </w:r>
      <w:r w:rsidRPr="00D5464D">
        <w:rPr>
          <w:lang w:val="pt-BR"/>
        </w:rPr>
        <w:t xml:space="preserve"> é</w:t>
      </w:r>
      <w:r w:rsidR="00E045D9" w:rsidRPr="00D5464D">
        <w:rPr>
          <w:lang w:val="pt-BR"/>
        </w:rPr>
        <w:t xml:space="preserve"> uma </w:t>
      </w:r>
      <w:r w:rsidR="002C330E" w:rsidRPr="00D5464D">
        <w:rPr>
          <w:lang w:val="pt-BR"/>
        </w:rPr>
        <w:t>obrigação</w:t>
      </w:r>
      <w:r w:rsidR="00207197" w:rsidRPr="00D5464D">
        <w:rPr>
          <w:lang w:val="pt-BR"/>
        </w:rPr>
        <w:t xml:space="preserve"> </w:t>
      </w:r>
      <w:r w:rsidR="00207197" w:rsidRPr="00D5464D">
        <w:rPr>
          <w:i/>
          <w:iCs/>
          <w:lang w:val="pt-BR"/>
        </w:rPr>
        <w:t>erga omnes</w:t>
      </w:r>
      <w:r w:rsidR="00E045D9" w:rsidRPr="00D5464D">
        <w:rPr>
          <w:i/>
          <w:iCs/>
          <w:lang w:val="pt-BR"/>
        </w:rPr>
        <w:t xml:space="preserve"> </w:t>
      </w:r>
      <w:r w:rsidR="00E045D9" w:rsidRPr="00D5464D">
        <w:rPr>
          <w:iCs/>
          <w:lang w:val="pt-BR"/>
        </w:rPr>
        <w:t xml:space="preserve">e </w:t>
      </w:r>
      <w:r w:rsidR="00207197" w:rsidRPr="00D5464D">
        <w:rPr>
          <w:lang w:val="pt-BR"/>
        </w:rPr>
        <w:t xml:space="preserve">de </w:t>
      </w:r>
      <w:r w:rsidRPr="00D5464D">
        <w:rPr>
          <w:lang w:val="pt-BR"/>
        </w:rPr>
        <w:t>cumprimento</w:t>
      </w:r>
      <w:r w:rsidR="00207197" w:rsidRPr="00D5464D">
        <w:rPr>
          <w:lang w:val="pt-BR"/>
        </w:rPr>
        <w:t xml:space="preserve"> </w:t>
      </w:r>
      <w:r w:rsidR="001F55CA" w:rsidRPr="00D5464D">
        <w:rPr>
          <w:lang w:val="pt-BR"/>
        </w:rPr>
        <w:t xml:space="preserve">obrigatório </w:t>
      </w:r>
      <w:r w:rsidR="00207197" w:rsidRPr="00D5464D">
        <w:rPr>
          <w:lang w:val="pt-BR"/>
        </w:rPr>
        <w:t>por parte</w:t>
      </w:r>
      <w:r w:rsidRPr="00D5464D">
        <w:rPr>
          <w:lang w:val="pt-BR"/>
        </w:rPr>
        <w:t xml:space="preserve"> dos </w:t>
      </w:r>
      <w:r w:rsidR="00207197" w:rsidRPr="00D5464D">
        <w:rPr>
          <w:lang w:val="pt-BR"/>
        </w:rPr>
        <w:t xml:space="preserve">Estados, </w:t>
      </w:r>
      <w:r w:rsidR="00767387" w:rsidRPr="00D5464D">
        <w:rPr>
          <w:lang w:val="pt-BR"/>
        </w:rPr>
        <w:t xml:space="preserve">a qual </w:t>
      </w:r>
      <w:r w:rsidR="00207197" w:rsidRPr="00D5464D">
        <w:rPr>
          <w:lang w:val="pt-BR"/>
        </w:rPr>
        <w:t>emana</w:t>
      </w:r>
      <w:r w:rsidRPr="00D5464D">
        <w:rPr>
          <w:lang w:val="pt-BR"/>
        </w:rPr>
        <w:t xml:space="preserve"> das </w:t>
      </w:r>
      <w:r w:rsidR="00767387" w:rsidRPr="00D5464D">
        <w:rPr>
          <w:lang w:val="pt-BR"/>
        </w:rPr>
        <w:t>normas</w:t>
      </w:r>
      <w:r w:rsidR="00207197" w:rsidRPr="00D5464D">
        <w:rPr>
          <w:lang w:val="pt-BR"/>
        </w:rPr>
        <w:t xml:space="preserve"> </w:t>
      </w:r>
      <w:r w:rsidR="002C330E" w:rsidRPr="00D5464D">
        <w:rPr>
          <w:lang w:val="pt-BR"/>
        </w:rPr>
        <w:t>internacionais</w:t>
      </w:r>
      <w:r w:rsidR="00207197" w:rsidRPr="00D5464D">
        <w:rPr>
          <w:lang w:val="pt-BR"/>
        </w:rPr>
        <w:t xml:space="preserve"> de </w:t>
      </w:r>
      <w:r w:rsidRPr="00D5464D">
        <w:rPr>
          <w:lang w:val="pt-BR"/>
        </w:rPr>
        <w:t>direito</w:t>
      </w:r>
      <w:r w:rsidR="00207197" w:rsidRPr="00D5464D">
        <w:rPr>
          <w:lang w:val="pt-BR"/>
        </w:rPr>
        <w:t>s humanos</w:t>
      </w:r>
      <w:r w:rsidR="00A1358C" w:rsidRPr="00D5464D">
        <w:rPr>
          <w:lang w:val="pt-BR"/>
        </w:rPr>
        <w:t xml:space="preserve">. A </w:t>
      </w:r>
      <w:r w:rsidR="002C330E" w:rsidRPr="00D5464D">
        <w:rPr>
          <w:lang w:val="pt-BR"/>
        </w:rPr>
        <w:t>proibição</w:t>
      </w:r>
      <w:r w:rsidR="00207197" w:rsidRPr="00D5464D">
        <w:rPr>
          <w:lang w:val="pt-BR"/>
        </w:rPr>
        <w:t xml:space="preserve"> absoluta e </w:t>
      </w:r>
      <w:r w:rsidR="002C330E" w:rsidRPr="00D5464D">
        <w:rPr>
          <w:lang w:val="pt-BR"/>
        </w:rPr>
        <w:t xml:space="preserve">inderrogável </w:t>
      </w:r>
      <w:r w:rsidR="00207197" w:rsidRPr="00D5464D">
        <w:rPr>
          <w:lang w:val="pt-BR"/>
        </w:rPr>
        <w:t xml:space="preserve">de </w:t>
      </w:r>
      <w:r w:rsidR="002C330E" w:rsidRPr="00D5464D">
        <w:rPr>
          <w:lang w:val="pt-BR"/>
        </w:rPr>
        <w:t>submissão</w:t>
      </w:r>
      <w:r w:rsidR="00207197" w:rsidRPr="00D5464D">
        <w:rPr>
          <w:lang w:val="pt-BR"/>
        </w:rPr>
        <w:t xml:space="preserve"> de </w:t>
      </w:r>
      <w:r w:rsidR="002C330E" w:rsidRPr="00D5464D">
        <w:rPr>
          <w:lang w:val="pt-BR"/>
        </w:rPr>
        <w:t>pessoa</w:t>
      </w:r>
      <w:r w:rsidR="00207197" w:rsidRPr="00D5464D">
        <w:rPr>
          <w:lang w:val="pt-BR"/>
        </w:rPr>
        <w:t xml:space="preserve">s a </w:t>
      </w:r>
      <w:r w:rsidR="000B376D" w:rsidRPr="00D5464D">
        <w:rPr>
          <w:lang w:val="pt-BR"/>
        </w:rPr>
        <w:t>escravidão</w:t>
      </w:r>
      <w:r w:rsidR="00207197" w:rsidRPr="00D5464D">
        <w:rPr>
          <w:lang w:val="pt-BR"/>
        </w:rPr>
        <w:t xml:space="preserve">, </w:t>
      </w:r>
      <w:r w:rsidR="000B376D" w:rsidRPr="00D5464D">
        <w:rPr>
          <w:lang w:val="pt-BR"/>
        </w:rPr>
        <w:t>servidão</w:t>
      </w:r>
      <w:r w:rsidR="00207197" w:rsidRPr="00D5464D">
        <w:rPr>
          <w:lang w:val="pt-BR"/>
        </w:rPr>
        <w:t xml:space="preserve"> o</w:t>
      </w:r>
      <w:r w:rsidR="001F55CA" w:rsidRPr="00D5464D">
        <w:rPr>
          <w:lang w:val="pt-BR"/>
        </w:rPr>
        <w:t>u</w:t>
      </w:r>
      <w:r w:rsidR="00207197" w:rsidRPr="00D5464D">
        <w:rPr>
          <w:lang w:val="pt-BR"/>
        </w:rPr>
        <w:t xml:space="preserve"> </w:t>
      </w:r>
      <w:r w:rsidR="00E045D9" w:rsidRPr="00D5464D">
        <w:rPr>
          <w:lang w:val="pt-BR"/>
        </w:rPr>
        <w:t>trabalho</w:t>
      </w:r>
      <w:r w:rsidR="00207197" w:rsidRPr="00D5464D">
        <w:rPr>
          <w:lang w:val="pt-BR"/>
        </w:rPr>
        <w:t xml:space="preserve"> </w:t>
      </w:r>
      <w:r w:rsidR="00230C71" w:rsidRPr="00D5464D">
        <w:rPr>
          <w:lang w:val="pt-BR"/>
        </w:rPr>
        <w:t>forçado</w:t>
      </w:r>
      <w:r w:rsidR="00207197" w:rsidRPr="00D5464D">
        <w:rPr>
          <w:lang w:val="pt-BR"/>
        </w:rPr>
        <w:t xml:space="preserve"> está </w:t>
      </w:r>
      <w:r w:rsidR="00E045D9" w:rsidRPr="00D5464D">
        <w:rPr>
          <w:lang w:val="pt-BR"/>
        </w:rPr>
        <w:t>também</w:t>
      </w:r>
      <w:r w:rsidR="00207197" w:rsidRPr="00D5464D">
        <w:rPr>
          <w:lang w:val="pt-BR"/>
        </w:rPr>
        <w:t xml:space="preserve"> </w:t>
      </w:r>
      <w:r w:rsidR="001F55CA" w:rsidRPr="00D5464D">
        <w:rPr>
          <w:lang w:val="pt-BR"/>
        </w:rPr>
        <w:t>estabelecida</w:t>
      </w:r>
      <w:r w:rsidR="00E045D9" w:rsidRPr="00D5464D">
        <w:rPr>
          <w:lang w:val="pt-BR"/>
        </w:rPr>
        <w:t xml:space="preserve"> na </w:t>
      </w:r>
      <w:r w:rsidR="00207197" w:rsidRPr="00D5464D">
        <w:rPr>
          <w:lang w:val="pt-BR"/>
        </w:rPr>
        <w:t>Conven</w:t>
      </w:r>
      <w:r w:rsidRPr="00D5464D">
        <w:rPr>
          <w:lang w:val="pt-BR"/>
        </w:rPr>
        <w:t>ção</w:t>
      </w:r>
      <w:r w:rsidR="00207197" w:rsidRPr="00D5464D">
        <w:rPr>
          <w:lang w:val="pt-BR"/>
        </w:rPr>
        <w:t xml:space="preserve"> Americana</w:t>
      </w:r>
      <w:r w:rsidR="00E045D9" w:rsidRPr="00D5464D">
        <w:rPr>
          <w:lang w:val="pt-BR"/>
        </w:rPr>
        <w:t xml:space="preserve"> e </w:t>
      </w:r>
      <w:r w:rsidRPr="00D5464D">
        <w:rPr>
          <w:lang w:val="pt-BR"/>
        </w:rPr>
        <w:t xml:space="preserve">em </w:t>
      </w:r>
      <w:r w:rsidR="002C330E" w:rsidRPr="00D5464D">
        <w:rPr>
          <w:lang w:val="pt-BR"/>
        </w:rPr>
        <w:t>outros</w:t>
      </w:r>
      <w:r w:rsidR="00207197" w:rsidRPr="00D5464D">
        <w:rPr>
          <w:lang w:val="pt-BR"/>
        </w:rPr>
        <w:t xml:space="preserve"> instrumentos </w:t>
      </w:r>
      <w:r w:rsidR="002C330E" w:rsidRPr="00D5464D">
        <w:rPr>
          <w:lang w:val="pt-BR"/>
        </w:rPr>
        <w:t>internacionais</w:t>
      </w:r>
      <w:r w:rsidRPr="00D5464D">
        <w:rPr>
          <w:lang w:val="pt-BR"/>
        </w:rPr>
        <w:t xml:space="preserve"> dos quais</w:t>
      </w:r>
      <w:r w:rsidR="00207197" w:rsidRPr="00D5464D">
        <w:rPr>
          <w:lang w:val="pt-BR"/>
        </w:rPr>
        <w:t xml:space="preserve"> </w:t>
      </w:r>
      <w:r w:rsidR="001F55CA" w:rsidRPr="00D5464D">
        <w:rPr>
          <w:lang w:val="pt-BR"/>
        </w:rPr>
        <w:t xml:space="preserve">o </w:t>
      </w:r>
      <w:r w:rsidR="00207197" w:rsidRPr="00D5464D">
        <w:rPr>
          <w:lang w:val="pt-BR"/>
        </w:rPr>
        <w:t>Brasil</w:t>
      </w:r>
      <w:r w:rsidRPr="00D5464D">
        <w:rPr>
          <w:lang w:val="pt-BR"/>
        </w:rPr>
        <w:t xml:space="preserve"> é </w:t>
      </w:r>
      <w:r w:rsidR="00207197" w:rsidRPr="00D5464D">
        <w:rPr>
          <w:lang w:val="pt-BR"/>
        </w:rPr>
        <w:t xml:space="preserve">parte. </w:t>
      </w:r>
    </w:p>
    <w:p w14:paraId="403DB0EB" w14:textId="77777777" w:rsidR="00DE3E58" w:rsidRPr="00D5464D" w:rsidRDefault="00DE3E58" w:rsidP="00DE3E58">
      <w:pPr>
        <w:pStyle w:val="Prrafodelista"/>
        <w:ind w:left="0"/>
        <w:contextualSpacing w:val="0"/>
        <w:rPr>
          <w:lang w:val="pt-BR"/>
        </w:rPr>
      </w:pPr>
    </w:p>
    <w:p w14:paraId="6DFBD75C" w14:textId="0D7B606D" w:rsidR="00207197" w:rsidRPr="00D5464D" w:rsidRDefault="00470ADC" w:rsidP="00F37DC4">
      <w:pPr>
        <w:pStyle w:val="Prrafodelista"/>
        <w:numPr>
          <w:ilvl w:val="0"/>
          <w:numId w:val="1"/>
        </w:numPr>
        <w:contextualSpacing w:val="0"/>
        <w:rPr>
          <w:lang w:val="pt-BR"/>
        </w:rPr>
      </w:pPr>
      <w:r w:rsidRPr="00D5464D">
        <w:rPr>
          <w:lang w:val="pt-BR"/>
        </w:rPr>
        <w:t>A Comissão</w:t>
      </w:r>
      <w:r w:rsidR="00207197" w:rsidRPr="00D5464D">
        <w:rPr>
          <w:lang w:val="pt-BR"/>
        </w:rPr>
        <w:t xml:space="preserve"> </w:t>
      </w:r>
      <w:r w:rsidR="002C330E" w:rsidRPr="00D5464D">
        <w:rPr>
          <w:lang w:val="pt-BR"/>
        </w:rPr>
        <w:t>realizou</w:t>
      </w:r>
      <w:r w:rsidR="00207197" w:rsidRPr="00D5464D">
        <w:rPr>
          <w:lang w:val="pt-BR"/>
        </w:rPr>
        <w:t xml:space="preserve"> </w:t>
      </w:r>
      <w:r w:rsidR="00A1358C" w:rsidRPr="00D5464D">
        <w:rPr>
          <w:lang w:val="pt-BR"/>
        </w:rPr>
        <w:t>precisões</w:t>
      </w:r>
      <w:r w:rsidR="00207197" w:rsidRPr="00D5464D">
        <w:rPr>
          <w:lang w:val="pt-BR"/>
        </w:rPr>
        <w:t xml:space="preserve"> </w:t>
      </w:r>
      <w:r w:rsidR="00EE7C8C" w:rsidRPr="00D5464D">
        <w:rPr>
          <w:lang w:val="pt-BR"/>
        </w:rPr>
        <w:t xml:space="preserve">a </w:t>
      </w:r>
      <w:r w:rsidR="002C330E" w:rsidRPr="00D5464D">
        <w:rPr>
          <w:lang w:val="pt-BR"/>
        </w:rPr>
        <w:t>respeito</w:t>
      </w:r>
      <w:r w:rsidR="00E045D9" w:rsidRPr="00D5464D">
        <w:rPr>
          <w:lang w:val="pt-BR"/>
        </w:rPr>
        <w:t xml:space="preserve"> </w:t>
      </w:r>
      <w:r w:rsidR="00EE7C8C" w:rsidRPr="00D5464D">
        <w:rPr>
          <w:lang w:val="pt-BR"/>
        </w:rPr>
        <w:t xml:space="preserve">dos </w:t>
      </w:r>
      <w:r w:rsidRPr="00D5464D">
        <w:rPr>
          <w:lang w:val="pt-BR"/>
        </w:rPr>
        <w:t>conceito</w:t>
      </w:r>
      <w:r w:rsidR="00207197" w:rsidRPr="00D5464D">
        <w:rPr>
          <w:lang w:val="pt-BR"/>
        </w:rPr>
        <w:t xml:space="preserve">s </w:t>
      </w:r>
      <w:r w:rsidR="00767387" w:rsidRPr="00D5464D">
        <w:rPr>
          <w:lang w:val="pt-BR"/>
        </w:rPr>
        <w:t>mencionados</w:t>
      </w:r>
      <w:r w:rsidR="00207197" w:rsidRPr="00D5464D">
        <w:rPr>
          <w:lang w:val="pt-BR"/>
        </w:rPr>
        <w:t xml:space="preserve"> anteriormente</w:t>
      </w:r>
      <w:r w:rsidR="00C91CB1" w:rsidRPr="00D5464D">
        <w:rPr>
          <w:lang w:val="pt-BR"/>
        </w:rPr>
        <w:t xml:space="preserve">. Em </w:t>
      </w:r>
      <w:r w:rsidR="002C330E" w:rsidRPr="00D5464D">
        <w:rPr>
          <w:lang w:val="pt-BR"/>
        </w:rPr>
        <w:t xml:space="preserve">primeiro </w:t>
      </w:r>
      <w:r w:rsidR="00207197" w:rsidRPr="00D5464D">
        <w:rPr>
          <w:lang w:val="pt-BR"/>
        </w:rPr>
        <w:t>lugar</w:t>
      </w:r>
      <w:r w:rsidR="001F55CA" w:rsidRPr="00D5464D">
        <w:rPr>
          <w:lang w:val="pt-BR"/>
        </w:rPr>
        <w:t>,</w:t>
      </w:r>
      <w:r w:rsidR="00207197" w:rsidRPr="00D5464D">
        <w:rPr>
          <w:lang w:val="pt-BR"/>
        </w:rPr>
        <w:t xml:space="preserve"> </w:t>
      </w:r>
      <w:r w:rsidR="00C91CB1" w:rsidRPr="00D5464D">
        <w:rPr>
          <w:lang w:val="pt-BR"/>
        </w:rPr>
        <w:t>afirmou</w:t>
      </w:r>
      <w:r w:rsidR="00207197" w:rsidRPr="00D5464D">
        <w:rPr>
          <w:lang w:val="pt-BR"/>
        </w:rPr>
        <w:t xml:space="preserve"> que</w:t>
      </w:r>
      <w:r w:rsidR="002C330E" w:rsidRPr="00D5464D">
        <w:rPr>
          <w:lang w:val="pt-BR"/>
        </w:rPr>
        <w:t xml:space="preserve"> a </w:t>
      </w:r>
      <w:r w:rsidR="000B376D" w:rsidRPr="00D5464D">
        <w:rPr>
          <w:lang w:val="pt-BR"/>
        </w:rPr>
        <w:t>escravidão</w:t>
      </w:r>
      <w:r w:rsidR="00207197" w:rsidRPr="00D5464D">
        <w:rPr>
          <w:lang w:val="pt-BR"/>
        </w:rPr>
        <w:t xml:space="preserve">, </w:t>
      </w:r>
      <w:r w:rsidR="00767387" w:rsidRPr="00D5464D">
        <w:rPr>
          <w:lang w:val="pt-BR"/>
        </w:rPr>
        <w:t>de acordo com a</w:t>
      </w:r>
      <w:r w:rsidR="001F55CA" w:rsidRPr="00D5464D">
        <w:rPr>
          <w:lang w:val="pt-BR"/>
        </w:rPr>
        <w:t xml:space="preserve"> </w:t>
      </w:r>
      <w:r w:rsidR="00A14A09" w:rsidRPr="00D5464D">
        <w:rPr>
          <w:lang w:val="pt-BR"/>
        </w:rPr>
        <w:t>Convenção sobre a Escravatura</w:t>
      </w:r>
      <w:r w:rsidR="00207197" w:rsidRPr="00D5464D">
        <w:rPr>
          <w:lang w:val="pt-BR"/>
        </w:rPr>
        <w:t xml:space="preserve"> de 1926 (</w:t>
      </w:r>
      <w:r w:rsidR="00350187" w:rsidRPr="00D5464D">
        <w:rPr>
          <w:lang w:val="pt-BR"/>
        </w:rPr>
        <w:t>doravante denominad</w:t>
      </w:r>
      <w:r w:rsidR="001F55CA" w:rsidRPr="00D5464D">
        <w:rPr>
          <w:lang w:val="pt-BR"/>
        </w:rPr>
        <w:t>a</w:t>
      </w:r>
      <w:r w:rsidR="002C330E" w:rsidRPr="00D5464D">
        <w:rPr>
          <w:lang w:val="pt-BR"/>
        </w:rPr>
        <w:t xml:space="preserve"> a </w:t>
      </w:r>
      <w:r w:rsidR="00207197" w:rsidRPr="00D5464D">
        <w:rPr>
          <w:lang w:val="pt-BR"/>
        </w:rPr>
        <w:t>“Conven</w:t>
      </w:r>
      <w:r w:rsidRPr="00D5464D">
        <w:rPr>
          <w:lang w:val="pt-BR"/>
        </w:rPr>
        <w:t>ção</w:t>
      </w:r>
      <w:r w:rsidR="00207197" w:rsidRPr="00D5464D">
        <w:rPr>
          <w:lang w:val="pt-BR"/>
        </w:rPr>
        <w:t xml:space="preserve"> de 1926”),</w:t>
      </w:r>
      <w:r w:rsidRPr="00D5464D">
        <w:rPr>
          <w:lang w:val="pt-BR"/>
        </w:rPr>
        <w:t xml:space="preserve"> deve </w:t>
      </w:r>
      <w:r w:rsidR="001F55CA" w:rsidRPr="00D5464D">
        <w:rPr>
          <w:lang w:val="pt-BR"/>
        </w:rPr>
        <w:t xml:space="preserve">ser entendida </w:t>
      </w:r>
      <w:r w:rsidR="00207197" w:rsidRPr="00D5464D">
        <w:rPr>
          <w:lang w:val="pt-BR"/>
        </w:rPr>
        <w:t>como</w:t>
      </w:r>
      <w:r w:rsidRPr="00D5464D">
        <w:rPr>
          <w:lang w:val="pt-BR"/>
        </w:rPr>
        <w:t xml:space="preserve"> o exercício dos </w:t>
      </w:r>
      <w:r w:rsidR="00207197" w:rsidRPr="00D5464D">
        <w:rPr>
          <w:lang w:val="pt-BR"/>
        </w:rPr>
        <w:t xml:space="preserve">atributos </w:t>
      </w:r>
      <w:r w:rsidRPr="00D5464D">
        <w:rPr>
          <w:lang w:val="pt-BR"/>
        </w:rPr>
        <w:t>do direito</w:t>
      </w:r>
      <w:r w:rsidR="00207197" w:rsidRPr="00D5464D">
        <w:rPr>
          <w:lang w:val="pt-BR"/>
        </w:rPr>
        <w:t xml:space="preserve"> de </w:t>
      </w:r>
      <w:r w:rsidR="002C330E" w:rsidRPr="00D5464D">
        <w:rPr>
          <w:lang w:val="pt-BR"/>
        </w:rPr>
        <w:t>propriedade</w:t>
      </w:r>
      <w:r w:rsidR="00207197" w:rsidRPr="00D5464D">
        <w:rPr>
          <w:lang w:val="pt-BR"/>
        </w:rPr>
        <w:t xml:space="preserve"> sobre</w:t>
      </w:r>
      <w:r w:rsidR="00E045D9" w:rsidRPr="00D5464D">
        <w:rPr>
          <w:lang w:val="pt-BR"/>
        </w:rPr>
        <w:t xml:space="preserve"> uma </w:t>
      </w:r>
      <w:r w:rsidR="002C330E" w:rsidRPr="00D5464D">
        <w:rPr>
          <w:lang w:val="pt-BR"/>
        </w:rPr>
        <w:t>pessoa</w:t>
      </w:r>
      <w:r w:rsidR="00C91CB1" w:rsidRPr="00D5464D">
        <w:rPr>
          <w:lang w:val="pt-BR"/>
        </w:rPr>
        <w:t xml:space="preserve">. Em </w:t>
      </w:r>
      <w:r w:rsidR="00207197" w:rsidRPr="00D5464D">
        <w:rPr>
          <w:lang w:val="pt-BR"/>
        </w:rPr>
        <w:t>segundo lugar</w:t>
      </w:r>
      <w:r w:rsidR="001F55CA" w:rsidRPr="00D5464D">
        <w:rPr>
          <w:lang w:val="pt-BR"/>
        </w:rPr>
        <w:t>,</w:t>
      </w:r>
      <w:r w:rsidR="00207197" w:rsidRPr="00D5464D">
        <w:rPr>
          <w:lang w:val="pt-BR"/>
        </w:rPr>
        <w:t xml:space="preserve"> </w:t>
      </w:r>
      <w:r w:rsidR="002C330E" w:rsidRPr="00D5464D">
        <w:rPr>
          <w:lang w:val="pt-BR"/>
        </w:rPr>
        <w:t>afirmou</w:t>
      </w:r>
      <w:r w:rsidR="00207197" w:rsidRPr="00D5464D">
        <w:rPr>
          <w:lang w:val="pt-BR"/>
        </w:rPr>
        <w:t xml:space="preserve"> que</w:t>
      </w:r>
      <w:r w:rsidRPr="00D5464D">
        <w:rPr>
          <w:lang w:val="pt-BR"/>
        </w:rPr>
        <w:t xml:space="preserve"> o conceito</w:t>
      </w:r>
      <w:r w:rsidR="00207197" w:rsidRPr="00D5464D">
        <w:rPr>
          <w:lang w:val="pt-BR"/>
        </w:rPr>
        <w:t xml:space="preserve"> </w:t>
      </w:r>
      <w:r w:rsidRPr="00D5464D">
        <w:rPr>
          <w:lang w:val="pt-BR"/>
        </w:rPr>
        <w:t>contemporâneo</w:t>
      </w:r>
      <w:r w:rsidR="00207197" w:rsidRPr="00D5464D">
        <w:rPr>
          <w:lang w:val="pt-BR"/>
        </w:rPr>
        <w:t xml:space="preserve"> de </w:t>
      </w:r>
      <w:r w:rsidR="000B376D" w:rsidRPr="00D5464D">
        <w:rPr>
          <w:lang w:val="pt-BR"/>
        </w:rPr>
        <w:t>escravidão</w:t>
      </w:r>
      <w:r w:rsidR="00E045D9" w:rsidRPr="00D5464D">
        <w:rPr>
          <w:lang w:val="pt-BR"/>
        </w:rPr>
        <w:t xml:space="preserve"> inclui </w:t>
      </w:r>
      <w:r w:rsidR="001F55CA" w:rsidRPr="00D5464D">
        <w:rPr>
          <w:lang w:val="pt-BR"/>
        </w:rPr>
        <w:t>a</w:t>
      </w:r>
      <w:r w:rsidRPr="00D5464D">
        <w:rPr>
          <w:lang w:val="pt-BR"/>
        </w:rPr>
        <w:t xml:space="preserve"> </w:t>
      </w:r>
      <w:r w:rsidR="000B376D" w:rsidRPr="00D5464D">
        <w:rPr>
          <w:lang w:val="pt-BR"/>
        </w:rPr>
        <w:t>servidão</w:t>
      </w:r>
      <w:r w:rsidR="00207197" w:rsidRPr="00D5464D">
        <w:rPr>
          <w:lang w:val="pt-BR"/>
        </w:rPr>
        <w:t xml:space="preserve"> por </w:t>
      </w:r>
      <w:r w:rsidRPr="00D5464D">
        <w:rPr>
          <w:lang w:val="pt-BR"/>
        </w:rPr>
        <w:t>dívida</w:t>
      </w:r>
      <w:r w:rsidR="00207197" w:rsidRPr="00D5464D">
        <w:rPr>
          <w:lang w:val="pt-BR"/>
        </w:rPr>
        <w:t>s como</w:t>
      </w:r>
      <w:r w:rsidR="00E045D9" w:rsidRPr="00D5464D">
        <w:rPr>
          <w:lang w:val="pt-BR"/>
        </w:rPr>
        <w:t xml:space="preserve"> uma </w:t>
      </w:r>
      <w:r w:rsidR="002C330E" w:rsidRPr="00D5464D">
        <w:rPr>
          <w:lang w:val="pt-BR"/>
        </w:rPr>
        <w:t>prática</w:t>
      </w:r>
      <w:r w:rsidR="00207197" w:rsidRPr="00D5464D">
        <w:rPr>
          <w:lang w:val="pt-BR"/>
        </w:rPr>
        <w:t xml:space="preserve"> análoga</w:t>
      </w:r>
      <w:r w:rsidRPr="00D5464D">
        <w:rPr>
          <w:lang w:val="pt-BR"/>
        </w:rPr>
        <w:t xml:space="preserve"> à </w:t>
      </w:r>
      <w:r w:rsidR="000B376D" w:rsidRPr="00D5464D">
        <w:rPr>
          <w:lang w:val="pt-BR"/>
        </w:rPr>
        <w:t>escravidão</w:t>
      </w:r>
      <w:r w:rsidR="00E045D9" w:rsidRPr="00D5464D">
        <w:rPr>
          <w:lang w:val="pt-BR"/>
        </w:rPr>
        <w:t xml:space="preserve"> e</w:t>
      </w:r>
      <w:r w:rsidR="001F55CA" w:rsidRPr="00D5464D">
        <w:rPr>
          <w:lang w:val="pt-BR"/>
        </w:rPr>
        <w:t>,</w:t>
      </w:r>
      <w:r w:rsidR="00E045D9" w:rsidRPr="00D5464D">
        <w:rPr>
          <w:lang w:val="pt-BR"/>
        </w:rPr>
        <w:t xml:space="preserve"> </w:t>
      </w:r>
      <w:r w:rsidR="001F55CA" w:rsidRPr="00D5464D">
        <w:rPr>
          <w:lang w:val="pt-BR"/>
        </w:rPr>
        <w:t>por</w:t>
      </w:r>
      <w:r w:rsidR="00207197" w:rsidRPr="00D5464D">
        <w:rPr>
          <w:lang w:val="pt-BR"/>
        </w:rPr>
        <w:t>tanto</w:t>
      </w:r>
      <w:r w:rsidR="001F55CA" w:rsidRPr="00D5464D">
        <w:rPr>
          <w:lang w:val="pt-BR"/>
        </w:rPr>
        <w:t>,</w:t>
      </w:r>
      <w:r w:rsidR="00207197" w:rsidRPr="00D5464D">
        <w:rPr>
          <w:lang w:val="pt-BR"/>
        </w:rPr>
        <w:t xml:space="preserve"> </w:t>
      </w:r>
      <w:r w:rsidR="00E045D9" w:rsidRPr="00D5464D">
        <w:rPr>
          <w:lang w:val="pt-BR"/>
        </w:rPr>
        <w:t>também</w:t>
      </w:r>
      <w:r w:rsidR="00207197" w:rsidRPr="00D5464D">
        <w:rPr>
          <w:lang w:val="pt-BR"/>
        </w:rPr>
        <w:t xml:space="preserve"> </w:t>
      </w:r>
      <w:r w:rsidR="00737270" w:rsidRPr="00D5464D">
        <w:rPr>
          <w:lang w:val="pt-BR"/>
        </w:rPr>
        <w:t>proibid</w:t>
      </w:r>
      <w:r w:rsidR="00207197" w:rsidRPr="00D5464D">
        <w:rPr>
          <w:lang w:val="pt-BR"/>
        </w:rPr>
        <w:t>a</w:t>
      </w:r>
      <w:r w:rsidR="002C330E" w:rsidRPr="00D5464D">
        <w:rPr>
          <w:lang w:val="pt-BR"/>
        </w:rPr>
        <w:t xml:space="preserve"> pela </w:t>
      </w:r>
      <w:r w:rsidR="00207197" w:rsidRPr="00D5464D">
        <w:rPr>
          <w:lang w:val="pt-BR"/>
        </w:rPr>
        <w:t>Conven</w:t>
      </w:r>
      <w:r w:rsidRPr="00D5464D">
        <w:rPr>
          <w:lang w:val="pt-BR"/>
        </w:rPr>
        <w:t>ção</w:t>
      </w:r>
      <w:r w:rsidR="00207197" w:rsidRPr="00D5464D">
        <w:rPr>
          <w:lang w:val="pt-BR"/>
        </w:rPr>
        <w:t xml:space="preserve"> Americana</w:t>
      </w:r>
      <w:r w:rsidR="00C91CB1" w:rsidRPr="00D5464D">
        <w:rPr>
          <w:lang w:val="pt-BR"/>
        </w:rPr>
        <w:t xml:space="preserve">. Os </w:t>
      </w:r>
      <w:r w:rsidR="00207197" w:rsidRPr="00D5464D">
        <w:rPr>
          <w:lang w:val="pt-BR"/>
        </w:rPr>
        <w:t>elementos</w:t>
      </w:r>
      <w:r w:rsidRPr="00D5464D">
        <w:rPr>
          <w:lang w:val="pt-BR"/>
        </w:rPr>
        <w:t xml:space="preserve"> da </w:t>
      </w:r>
      <w:r w:rsidR="000B376D" w:rsidRPr="00D5464D">
        <w:rPr>
          <w:lang w:val="pt-BR"/>
        </w:rPr>
        <w:t>servidão</w:t>
      </w:r>
      <w:r w:rsidR="00207197" w:rsidRPr="00D5464D">
        <w:rPr>
          <w:lang w:val="pt-BR"/>
        </w:rPr>
        <w:t xml:space="preserve"> por </w:t>
      </w:r>
      <w:r w:rsidRPr="00D5464D">
        <w:rPr>
          <w:lang w:val="pt-BR"/>
        </w:rPr>
        <w:t>dívida</w:t>
      </w:r>
      <w:r w:rsidR="00207197" w:rsidRPr="00D5464D">
        <w:rPr>
          <w:lang w:val="pt-BR"/>
        </w:rPr>
        <w:t xml:space="preserve">s </w:t>
      </w:r>
      <w:r w:rsidR="00737270" w:rsidRPr="00D5464D">
        <w:rPr>
          <w:lang w:val="pt-BR"/>
        </w:rPr>
        <w:t>seriam</w:t>
      </w:r>
      <w:r w:rsidR="00207197" w:rsidRPr="00D5464D">
        <w:rPr>
          <w:lang w:val="pt-BR"/>
        </w:rPr>
        <w:t xml:space="preserve">: i) </w:t>
      </w:r>
      <w:r w:rsidR="001F55CA" w:rsidRPr="00D5464D">
        <w:rPr>
          <w:lang w:val="pt-BR"/>
        </w:rPr>
        <w:t xml:space="preserve">a </w:t>
      </w:r>
      <w:r w:rsidR="00207197" w:rsidRPr="00D5464D">
        <w:rPr>
          <w:lang w:val="pt-BR"/>
        </w:rPr>
        <w:t>presta</w:t>
      </w:r>
      <w:r w:rsidRPr="00D5464D">
        <w:rPr>
          <w:lang w:val="pt-BR"/>
        </w:rPr>
        <w:t>ção</w:t>
      </w:r>
      <w:r w:rsidR="00207197" w:rsidRPr="00D5464D">
        <w:rPr>
          <w:lang w:val="pt-BR"/>
        </w:rPr>
        <w:t xml:space="preserve"> de </w:t>
      </w:r>
      <w:r w:rsidR="002C330E" w:rsidRPr="00D5464D">
        <w:rPr>
          <w:lang w:val="pt-BR"/>
        </w:rPr>
        <w:t>serviço</w:t>
      </w:r>
      <w:r w:rsidR="00207197" w:rsidRPr="00D5464D">
        <w:rPr>
          <w:lang w:val="pt-BR"/>
        </w:rPr>
        <w:t xml:space="preserve">s como </w:t>
      </w:r>
      <w:r w:rsidR="002C330E" w:rsidRPr="00D5464D">
        <w:rPr>
          <w:lang w:val="pt-BR"/>
        </w:rPr>
        <w:t xml:space="preserve">garantia </w:t>
      </w:r>
      <w:r w:rsidR="00207197" w:rsidRPr="00D5464D">
        <w:rPr>
          <w:lang w:val="pt-BR"/>
        </w:rPr>
        <w:t>de</w:t>
      </w:r>
      <w:r w:rsidR="00E045D9" w:rsidRPr="00D5464D">
        <w:rPr>
          <w:lang w:val="pt-BR"/>
        </w:rPr>
        <w:t xml:space="preserve"> uma </w:t>
      </w:r>
      <w:r w:rsidRPr="00D5464D">
        <w:rPr>
          <w:lang w:val="pt-BR"/>
        </w:rPr>
        <w:t>dívida</w:t>
      </w:r>
      <w:r w:rsidR="00207197" w:rsidRPr="00D5464D">
        <w:rPr>
          <w:lang w:val="pt-BR"/>
        </w:rPr>
        <w:t xml:space="preserve"> que</w:t>
      </w:r>
      <w:r w:rsidR="006C0F98" w:rsidRPr="00D5464D">
        <w:rPr>
          <w:lang w:val="pt-BR"/>
        </w:rPr>
        <w:t>,</w:t>
      </w:r>
      <w:r w:rsidR="002C330E" w:rsidRPr="00D5464D">
        <w:rPr>
          <w:lang w:val="pt-BR"/>
        </w:rPr>
        <w:t xml:space="preserve"> </w:t>
      </w:r>
      <w:r w:rsidR="006C0F98" w:rsidRPr="00D5464D">
        <w:rPr>
          <w:lang w:val="pt-BR"/>
        </w:rPr>
        <w:t xml:space="preserve">no entanto, </w:t>
      </w:r>
      <w:r w:rsidR="00207197" w:rsidRPr="00D5464D">
        <w:rPr>
          <w:lang w:val="pt-BR"/>
        </w:rPr>
        <w:t>n</w:t>
      </w:r>
      <w:r w:rsidR="006C0F98" w:rsidRPr="00D5464D">
        <w:rPr>
          <w:lang w:val="pt-BR"/>
        </w:rPr>
        <w:t>ã</w:t>
      </w:r>
      <w:r w:rsidR="00207197" w:rsidRPr="00D5464D">
        <w:rPr>
          <w:lang w:val="pt-BR"/>
        </w:rPr>
        <w:t xml:space="preserve">o </w:t>
      </w:r>
      <w:r w:rsidR="00767387" w:rsidRPr="00D5464D">
        <w:rPr>
          <w:lang w:val="pt-BR"/>
        </w:rPr>
        <w:t xml:space="preserve">diminui </w:t>
      </w:r>
      <w:r w:rsidR="007E6434" w:rsidRPr="00D5464D">
        <w:rPr>
          <w:lang w:val="pt-BR"/>
        </w:rPr>
        <w:t xml:space="preserve">com </w:t>
      </w:r>
      <w:r w:rsidR="00767387" w:rsidRPr="00D5464D">
        <w:rPr>
          <w:lang w:val="pt-BR"/>
        </w:rPr>
        <w:t>esses</w:t>
      </w:r>
      <w:r w:rsidR="00207197" w:rsidRPr="00D5464D">
        <w:rPr>
          <w:lang w:val="pt-BR"/>
        </w:rPr>
        <w:t xml:space="preserve"> </w:t>
      </w:r>
      <w:r w:rsidR="002C330E" w:rsidRPr="00D5464D">
        <w:rPr>
          <w:lang w:val="pt-BR"/>
        </w:rPr>
        <w:t>pagamento</w:t>
      </w:r>
      <w:r w:rsidR="00767387" w:rsidRPr="00D5464D">
        <w:rPr>
          <w:lang w:val="pt-BR"/>
        </w:rPr>
        <w:t>s</w:t>
      </w:r>
      <w:r w:rsidR="00207197" w:rsidRPr="00D5464D">
        <w:rPr>
          <w:lang w:val="pt-BR"/>
        </w:rPr>
        <w:t xml:space="preserve">; ii) </w:t>
      </w:r>
      <w:r w:rsidR="006C0F98" w:rsidRPr="00D5464D">
        <w:rPr>
          <w:lang w:val="pt-BR"/>
        </w:rPr>
        <w:t xml:space="preserve">a </w:t>
      </w:r>
      <w:r w:rsidR="00207197" w:rsidRPr="00D5464D">
        <w:rPr>
          <w:lang w:val="pt-BR"/>
        </w:rPr>
        <w:t xml:space="preserve">falta de </w:t>
      </w:r>
      <w:r w:rsidR="002C330E" w:rsidRPr="00D5464D">
        <w:rPr>
          <w:lang w:val="pt-BR"/>
        </w:rPr>
        <w:t>limite</w:t>
      </w:r>
      <w:r w:rsidR="00207197" w:rsidRPr="00D5464D">
        <w:rPr>
          <w:lang w:val="pt-BR"/>
        </w:rPr>
        <w:t>s</w:t>
      </w:r>
      <w:r w:rsidRPr="00D5464D">
        <w:rPr>
          <w:lang w:val="pt-BR"/>
        </w:rPr>
        <w:t xml:space="preserve"> à </w:t>
      </w:r>
      <w:r w:rsidR="00207197" w:rsidRPr="00D5464D">
        <w:rPr>
          <w:lang w:val="pt-BR"/>
        </w:rPr>
        <w:t>dura</w:t>
      </w:r>
      <w:r w:rsidRPr="00D5464D">
        <w:rPr>
          <w:lang w:val="pt-BR"/>
        </w:rPr>
        <w:t xml:space="preserve">ção dos </w:t>
      </w:r>
      <w:r w:rsidR="002C330E" w:rsidRPr="00D5464D">
        <w:rPr>
          <w:lang w:val="pt-BR"/>
        </w:rPr>
        <w:t>serviço</w:t>
      </w:r>
      <w:r w:rsidR="00207197" w:rsidRPr="00D5464D">
        <w:rPr>
          <w:lang w:val="pt-BR"/>
        </w:rPr>
        <w:t xml:space="preserve">s; iii) </w:t>
      </w:r>
      <w:r w:rsidR="006C0F98" w:rsidRPr="00D5464D">
        <w:rPr>
          <w:lang w:val="pt-BR"/>
        </w:rPr>
        <w:t xml:space="preserve">a </w:t>
      </w:r>
      <w:r w:rsidR="00207197" w:rsidRPr="00D5464D">
        <w:rPr>
          <w:lang w:val="pt-BR"/>
        </w:rPr>
        <w:t>falta de defini</w:t>
      </w:r>
      <w:r w:rsidRPr="00D5464D">
        <w:rPr>
          <w:lang w:val="pt-BR"/>
        </w:rPr>
        <w:t xml:space="preserve">ção da </w:t>
      </w:r>
      <w:r w:rsidR="002C330E" w:rsidRPr="00D5464D">
        <w:rPr>
          <w:lang w:val="pt-BR"/>
        </w:rPr>
        <w:t>natureza</w:t>
      </w:r>
      <w:r w:rsidRPr="00D5464D">
        <w:rPr>
          <w:lang w:val="pt-BR"/>
        </w:rPr>
        <w:t xml:space="preserve"> dos </w:t>
      </w:r>
      <w:r w:rsidR="002C330E" w:rsidRPr="00D5464D">
        <w:rPr>
          <w:lang w:val="pt-BR"/>
        </w:rPr>
        <w:t>serviço</w:t>
      </w:r>
      <w:r w:rsidR="00207197" w:rsidRPr="00D5464D">
        <w:rPr>
          <w:lang w:val="pt-BR"/>
        </w:rPr>
        <w:t>s; iv) que</w:t>
      </w:r>
      <w:r w:rsidR="002C330E" w:rsidRPr="00D5464D">
        <w:rPr>
          <w:lang w:val="pt-BR"/>
        </w:rPr>
        <w:t xml:space="preserve"> as pessoa</w:t>
      </w:r>
      <w:r w:rsidR="006C0F98" w:rsidRPr="00D5464D">
        <w:rPr>
          <w:lang w:val="pt-BR"/>
        </w:rPr>
        <w:t>s vivam</w:t>
      </w:r>
      <w:r w:rsidR="00E045D9" w:rsidRPr="00D5464D">
        <w:rPr>
          <w:lang w:val="pt-BR"/>
        </w:rPr>
        <w:t xml:space="preserve"> na </w:t>
      </w:r>
      <w:r w:rsidR="002C330E" w:rsidRPr="00D5464D">
        <w:rPr>
          <w:lang w:val="pt-BR"/>
        </w:rPr>
        <w:t>propriedade</w:t>
      </w:r>
      <w:r w:rsidRPr="00D5464D">
        <w:rPr>
          <w:lang w:val="pt-BR"/>
        </w:rPr>
        <w:t xml:space="preserve"> onde</w:t>
      </w:r>
      <w:r w:rsidR="00207197" w:rsidRPr="00D5464D">
        <w:rPr>
          <w:lang w:val="pt-BR"/>
        </w:rPr>
        <w:t xml:space="preserve"> </w:t>
      </w:r>
      <w:r w:rsidR="00E765C2" w:rsidRPr="00D5464D">
        <w:rPr>
          <w:lang w:val="pt-BR"/>
        </w:rPr>
        <w:t xml:space="preserve">prestam </w:t>
      </w:r>
      <w:r w:rsidR="002C330E" w:rsidRPr="00D5464D">
        <w:rPr>
          <w:lang w:val="pt-BR"/>
        </w:rPr>
        <w:t>os serviço</w:t>
      </w:r>
      <w:r w:rsidR="00207197" w:rsidRPr="00D5464D">
        <w:rPr>
          <w:lang w:val="pt-BR"/>
        </w:rPr>
        <w:t xml:space="preserve">s; v) </w:t>
      </w:r>
      <w:r w:rsidR="006C0F98" w:rsidRPr="00D5464D">
        <w:rPr>
          <w:lang w:val="pt-BR"/>
        </w:rPr>
        <w:t xml:space="preserve">o </w:t>
      </w:r>
      <w:r w:rsidRPr="00D5464D">
        <w:rPr>
          <w:lang w:val="pt-BR"/>
        </w:rPr>
        <w:t xml:space="preserve">controle </w:t>
      </w:r>
      <w:r w:rsidR="00207197" w:rsidRPr="00D5464D">
        <w:rPr>
          <w:lang w:val="pt-BR"/>
        </w:rPr>
        <w:t>sobre</w:t>
      </w:r>
      <w:r w:rsidR="002C330E" w:rsidRPr="00D5464D">
        <w:rPr>
          <w:lang w:val="pt-BR"/>
        </w:rPr>
        <w:t xml:space="preserve"> os movimento</w:t>
      </w:r>
      <w:r w:rsidR="00207197" w:rsidRPr="00D5464D">
        <w:rPr>
          <w:lang w:val="pt-BR"/>
        </w:rPr>
        <w:t>s</w:t>
      </w:r>
      <w:r w:rsidRPr="00D5464D">
        <w:rPr>
          <w:lang w:val="pt-BR"/>
        </w:rPr>
        <w:t xml:space="preserve"> das </w:t>
      </w:r>
      <w:r w:rsidR="002C330E" w:rsidRPr="00D5464D">
        <w:rPr>
          <w:lang w:val="pt-BR"/>
        </w:rPr>
        <w:t>pessoa</w:t>
      </w:r>
      <w:r w:rsidR="00606B5F" w:rsidRPr="00D5464D">
        <w:rPr>
          <w:lang w:val="pt-BR"/>
        </w:rPr>
        <w:t>s</w:t>
      </w:r>
      <w:r w:rsidR="00207197" w:rsidRPr="00D5464D">
        <w:rPr>
          <w:lang w:val="pt-BR"/>
        </w:rPr>
        <w:t xml:space="preserve">; vi) </w:t>
      </w:r>
      <w:r w:rsidR="006C0F98" w:rsidRPr="00D5464D">
        <w:rPr>
          <w:lang w:val="pt-BR"/>
        </w:rPr>
        <w:t xml:space="preserve">a </w:t>
      </w:r>
      <w:r w:rsidR="00E045D9" w:rsidRPr="00D5464D">
        <w:rPr>
          <w:lang w:val="pt-BR"/>
        </w:rPr>
        <w:t>existência</w:t>
      </w:r>
      <w:r w:rsidR="00207197" w:rsidRPr="00D5464D">
        <w:rPr>
          <w:lang w:val="pt-BR"/>
        </w:rPr>
        <w:t xml:space="preserve"> de medidas para impedir</w:t>
      </w:r>
      <w:r w:rsidR="002C330E" w:rsidRPr="00D5464D">
        <w:rPr>
          <w:lang w:val="pt-BR"/>
        </w:rPr>
        <w:t xml:space="preserve"> as </w:t>
      </w:r>
      <w:r w:rsidR="00207197" w:rsidRPr="00D5464D">
        <w:rPr>
          <w:lang w:val="pt-BR"/>
        </w:rPr>
        <w:t xml:space="preserve">fugas; vii) </w:t>
      </w:r>
      <w:r w:rsidR="006C0F98" w:rsidRPr="00D5464D">
        <w:rPr>
          <w:lang w:val="pt-BR"/>
        </w:rPr>
        <w:t xml:space="preserve">o </w:t>
      </w:r>
      <w:r w:rsidRPr="00D5464D">
        <w:rPr>
          <w:lang w:val="pt-BR"/>
        </w:rPr>
        <w:t xml:space="preserve">controle </w:t>
      </w:r>
      <w:r w:rsidR="00207197" w:rsidRPr="00D5464D">
        <w:rPr>
          <w:lang w:val="pt-BR"/>
        </w:rPr>
        <w:t>psicológico sobre</w:t>
      </w:r>
      <w:r w:rsidR="002C330E" w:rsidRPr="00D5464D">
        <w:rPr>
          <w:lang w:val="pt-BR"/>
        </w:rPr>
        <w:t xml:space="preserve"> as pessoa</w:t>
      </w:r>
      <w:r w:rsidR="00606B5F" w:rsidRPr="00D5464D">
        <w:rPr>
          <w:lang w:val="pt-BR"/>
        </w:rPr>
        <w:t>s</w:t>
      </w:r>
      <w:r w:rsidR="00207197" w:rsidRPr="00D5464D">
        <w:rPr>
          <w:lang w:val="pt-BR"/>
        </w:rPr>
        <w:t>; viii)</w:t>
      </w:r>
      <w:r w:rsidR="002C330E" w:rsidRPr="00D5464D">
        <w:rPr>
          <w:lang w:val="pt-BR"/>
        </w:rPr>
        <w:t xml:space="preserve"> as </w:t>
      </w:r>
      <w:r w:rsidR="00E045D9" w:rsidRPr="00D5464D">
        <w:rPr>
          <w:lang w:val="pt-BR"/>
        </w:rPr>
        <w:t>vítima</w:t>
      </w:r>
      <w:r w:rsidR="00207197" w:rsidRPr="00D5464D">
        <w:rPr>
          <w:lang w:val="pt-BR"/>
        </w:rPr>
        <w:t xml:space="preserve">s </w:t>
      </w:r>
      <w:r w:rsidR="00737270" w:rsidRPr="00D5464D">
        <w:rPr>
          <w:lang w:val="pt-BR"/>
        </w:rPr>
        <w:t xml:space="preserve">não </w:t>
      </w:r>
      <w:r w:rsidR="00230C71" w:rsidRPr="00D5464D">
        <w:rPr>
          <w:lang w:val="pt-BR"/>
        </w:rPr>
        <w:t xml:space="preserve">podem </w:t>
      </w:r>
      <w:r w:rsidR="00207197" w:rsidRPr="00D5464D">
        <w:rPr>
          <w:lang w:val="pt-BR"/>
        </w:rPr>
        <w:t xml:space="preserve">modificar </w:t>
      </w:r>
      <w:r w:rsidR="00A1358C" w:rsidRPr="00D5464D">
        <w:rPr>
          <w:lang w:val="pt-BR"/>
        </w:rPr>
        <w:t>sua condição</w:t>
      </w:r>
      <w:r w:rsidRPr="00D5464D">
        <w:rPr>
          <w:lang w:val="pt-BR"/>
        </w:rPr>
        <w:t>, e</w:t>
      </w:r>
      <w:r w:rsidR="00207197" w:rsidRPr="00D5464D">
        <w:rPr>
          <w:lang w:val="pt-BR"/>
        </w:rPr>
        <w:t xml:space="preserve"> ix) </w:t>
      </w:r>
      <w:r w:rsidR="006C0F98" w:rsidRPr="00D5464D">
        <w:rPr>
          <w:lang w:val="pt-BR"/>
        </w:rPr>
        <w:t xml:space="preserve">a existência de </w:t>
      </w:r>
      <w:r w:rsidR="00E045D9" w:rsidRPr="00D5464D">
        <w:rPr>
          <w:lang w:val="pt-BR"/>
        </w:rPr>
        <w:t xml:space="preserve">tratamentos </w:t>
      </w:r>
      <w:r w:rsidR="00350187" w:rsidRPr="00D5464D">
        <w:rPr>
          <w:lang w:val="pt-BR"/>
        </w:rPr>
        <w:t>cruéis</w:t>
      </w:r>
      <w:r w:rsidR="00E045D9" w:rsidRPr="00D5464D">
        <w:rPr>
          <w:lang w:val="pt-BR"/>
        </w:rPr>
        <w:t xml:space="preserve"> e </w:t>
      </w:r>
      <w:r w:rsidR="00207197" w:rsidRPr="00D5464D">
        <w:rPr>
          <w:lang w:val="pt-BR"/>
        </w:rPr>
        <w:t xml:space="preserve">abusivos. </w:t>
      </w:r>
    </w:p>
    <w:p w14:paraId="7181E080" w14:textId="77777777" w:rsidR="00207197" w:rsidRPr="00D5464D" w:rsidRDefault="00207197" w:rsidP="00140440">
      <w:pPr>
        <w:jc w:val="both"/>
        <w:rPr>
          <w:lang w:val="pt-BR"/>
        </w:rPr>
      </w:pPr>
    </w:p>
    <w:p w14:paraId="1E8E86EA" w14:textId="711C3475" w:rsidR="00207197" w:rsidRPr="00D5464D" w:rsidRDefault="00207197" w:rsidP="00F37DC4">
      <w:pPr>
        <w:pStyle w:val="Prrafodelista"/>
        <w:numPr>
          <w:ilvl w:val="0"/>
          <w:numId w:val="1"/>
        </w:numPr>
        <w:contextualSpacing w:val="0"/>
        <w:rPr>
          <w:lang w:val="pt-BR"/>
        </w:rPr>
      </w:pPr>
      <w:r w:rsidRPr="00D5464D">
        <w:rPr>
          <w:lang w:val="pt-BR"/>
        </w:rPr>
        <w:t>Adicionalmente,</w:t>
      </w:r>
      <w:r w:rsidR="002C330E" w:rsidRPr="00D5464D">
        <w:rPr>
          <w:lang w:val="pt-BR"/>
        </w:rPr>
        <w:t xml:space="preserve"> a </w:t>
      </w:r>
      <w:r w:rsidR="00470ADC" w:rsidRPr="00D5464D">
        <w:rPr>
          <w:lang w:val="pt-BR"/>
        </w:rPr>
        <w:t>Comissão</w:t>
      </w:r>
      <w:r w:rsidRPr="00D5464D">
        <w:rPr>
          <w:lang w:val="pt-BR"/>
        </w:rPr>
        <w:t xml:space="preserve"> </w:t>
      </w:r>
      <w:r w:rsidR="002C330E" w:rsidRPr="00D5464D">
        <w:rPr>
          <w:lang w:val="pt-BR"/>
        </w:rPr>
        <w:t>afirmou</w:t>
      </w:r>
      <w:r w:rsidRPr="00D5464D">
        <w:rPr>
          <w:lang w:val="pt-BR"/>
        </w:rPr>
        <w:t xml:space="preserve"> que</w:t>
      </w:r>
      <w:r w:rsidR="00470ADC" w:rsidRPr="00D5464D">
        <w:rPr>
          <w:lang w:val="pt-BR"/>
        </w:rPr>
        <w:t xml:space="preserve"> o </w:t>
      </w:r>
      <w:r w:rsidR="00E045D9" w:rsidRPr="00D5464D">
        <w:rPr>
          <w:lang w:val="pt-BR"/>
        </w:rPr>
        <w:t>trabalho</w:t>
      </w:r>
      <w:r w:rsidR="001B63D0" w:rsidRPr="00D5464D">
        <w:rPr>
          <w:lang w:val="pt-BR"/>
        </w:rPr>
        <w:t xml:space="preserve"> </w:t>
      </w:r>
      <w:r w:rsidR="00230C71" w:rsidRPr="00D5464D">
        <w:rPr>
          <w:lang w:val="pt-BR"/>
        </w:rPr>
        <w:t>forçado</w:t>
      </w:r>
      <w:r w:rsidRPr="00D5464D">
        <w:rPr>
          <w:lang w:val="pt-BR"/>
        </w:rPr>
        <w:t xml:space="preserve"> se </w:t>
      </w:r>
      <w:r w:rsidR="002C330E" w:rsidRPr="00D5464D">
        <w:rPr>
          <w:lang w:val="pt-BR"/>
        </w:rPr>
        <w:t>refere</w:t>
      </w:r>
      <w:r w:rsidRPr="00D5464D">
        <w:rPr>
          <w:lang w:val="pt-BR"/>
        </w:rPr>
        <w:t xml:space="preserve"> </w:t>
      </w:r>
      <w:r w:rsidR="006C0F98" w:rsidRPr="00D5464D">
        <w:rPr>
          <w:lang w:val="pt-BR"/>
        </w:rPr>
        <w:t xml:space="preserve">aos </w:t>
      </w:r>
      <w:r w:rsidR="002C330E" w:rsidRPr="00D5464D">
        <w:rPr>
          <w:lang w:val="pt-BR"/>
        </w:rPr>
        <w:t>serviço</w:t>
      </w:r>
      <w:r w:rsidRPr="00D5464D">
        <w:rPr>
          <w:lang w:val="pt-BR"/>
        </w:rPr>
        <w:t>s prestados</w:t>
      </w:r>
      <w:r w:rsidR="00470ADC" w:rsidRPr="00D5464D">
        <w:rPr>
          <w:lang w:val="pt-BR"/>
        </w:rPr>
        <w:t xml:space="preserve"> sob</w:t>
      </w:r>
      <w:r w:rsidR="002C330E" w:rsidRPr="00D5464D">
        <w:rPr>
          <w:lang w:val="pt-BR"/>
        </w:rPr>
        <w:t xml:space="preserve"> a </w:t>
      </w:r>
      <w:r w:rsidR="00470ADC" w:rsidRPr="00D5464D">
        <w:rPr>
          <w:lang w:val="pt-BR"/>
        </w:rPr>
        <w:t>ameaça</w:t>
      </w:r>
      <w:r w:rsidRPr="00D5464D">
        <w:rPr>
          <w:lang w:val="pt-BR"/>
        </w:rPr>
        <w:t xml:space="preserve"> de</w:t>
      </w:r>
      <w:r w:rsidR="00E045D9" w:rsidRPr="00D5464D">
        <w:rPr>
          <w:lang w:val="pt-BR"/>
        </w:rPr>
        <w:t xml:space="preserve"> uma </w:t>
      </w:r>
      <w:r w:rsidRPr="00D5464D">
        <w:rPr>
          <w:lang w:val="pt-BR"/>
        </w:rPr>
        <w:t>pena</w:t>
      </w:r>
      <w:r w:rsidR="00E045D9" w:rsidRPr="00D5464D">
        <w:rPr>
          <w:lang w:val="pt-BR"/>
        </w:rPr>
        <w:t xml:space="preserve"> e </w:t>
      </w:r>
      <w:r w:rsidRPr="00D5464D">
        <w:rPr>
          <w:lang w:val="pt-BR"/>
        </w:rPr>
        <w:t xml:space="preserve">que </w:t>
      </w:r>
      <w:r w:rsidR="006C0F98" w:rsidRPr="00D5464D">
        <w:rPr>
          <w:lang w:val="pt-BR"/>
        </w:rPr>
        <w:t xml:space="preserve">é prestado </w:t>
      </w:r>
      <w:r w:rsidR="002C330E" w:rsidRPr="00D5464D">
        <w:rPr>
          <w:lang w:val="pt-BR"/>
        </w:rPr>
        <w:t xml:space="preserve">sem a </w:t>
      </w:r>
      <w:r w:rsidR="00E045D9" w:rsidRPr="00D5464D">
        <w:rPr>
          <w:lang w:val="pt-BR"/>
        </w:rPr>
        <w:t xml:space="preserve">vontade </w:t>
      </w:r>
      <w:r w:rsidR="00470ADC" w:rsidRPr="00D5464D">
        <w:rPr>
          <w:lang w:val="pt-BR"/>
        </w:rPr>
        <w:t xml:space="preserve">das </w:t>
      </w:r>
      <w:r w:rsidR="00E045D9" w:rsidRPr="00D5464D">
        <w:rPr>
          <w:lang w:val="pt-BR"/>
        </w:rPr>
        <w:t>vítima</w:t>
      </w:r>
      <w:r w:rsidRPr="00D5464D">
        <w:rPr>
          <w:lang w:val="pt-BR"/>
        </w:rPr>
        <w:t xml:space="preserve">s. </w:t>
      </w:r>
      <w:r w:rsidR="00230C71" w:rsidRPr="00D5464D">
        <w:rPr>
          <w:lang w:val="pt-BR"/>
        </w:rPr>
        <w:t>Acrescentou</w:t>
      </w:r>
      <w:r w:rsidRPr="00D5464D">
        <w:rPr>
          <w:lang w:val="pt-BR"/>
        </w:rPr>
        <w:t xml:space="preserve"> que</w:t>
      </w:r>
      <w:r w:rsidR="00470ADC" w:rsidRPr="00D5464D">
        <w:rPr>
          <w:lang w:val="pt-BR"/>
        </w:rPr>
        <w:t xml:space="preserve"> o</w:t>
      </w:r>
      <w:r w:rsidR="002C330E" w:rsidRPr="00D5464D">
        <w:rPr>
          <w:lang w:val="pt-BR"/>
        </w:rPr>
        <w:t xml:space="preserve"> fato </w:t>
      </w:r>
      <w:r w:rsidRPr="00D5464D">
        <w:rPr>
          <w:lang w:val="pt-BR"/>
        </w:rPr>
        <w:t xml:space="preserve">de </w:t>
      </w:r>
      <w:r w:rsidR="002C330E" w:rsidRPr="00D5464D">
        <w:rPr>
          <w:lang w:val="pt-BR"/>
        </w:rPr>
        <w:t>receber</w:t>
      </w:r>
      <w:r w:rsidRPr="00D5464D">
        <w:rPr>
          <w:lang w:val="pt-BR"/>
        </w:rPr>
        <w:t xml:space="preserve"> </w:t>
      </w:r>
      <w:r w:rsidR="00230C71" w:rsidRPr="00D5464D">
        <w:rPr>
          <w:lang w:val="pt-BR"/>
        </w:rPr>
        <w:t>algum</w:t>
      </w:r>
      <w:r w:rsidRPr="00D5464D">
        <w:rPr>
          <w:lang w:val="pt-BR"/>
        </w:rPr>
        <w:t xml:space="preserve"> </w:t>
      </w:r>
      <w:r w:rsidR="002C330E" w:rsidRPr="00D5464D">
        <w:rPr>
          <w:lang w:val="pt-BR"/>
        </w:rPr>
        <w:t>pagamento</w:t>
      </w:r>
      <w:r w:rsidRPr="00D5464D">
        <w:rPr>
          <w:lang w:val="pt-BR"/>
        </w:rPr>
        <w:t xml:space="preserve"> </w:t>
      </w:r>
      <w:r w:rsidR="006C0F98" w:rsidRPr="00D5464D">
        <w:rPr>
          <w:lang w:val="pt-BR"/>
        </w:rPr>
        <w:t xml:space="preserve">em troca </w:t>
      </w:r>
      <w:r w:rsidR="00470ADC" w:rsidRPr="00D5464D">
        <w:rPr>
          <w:lang w:val="pt-BR"/>
        </w:rPr>
        <w:t xml:space="preserve">dos </w:t>
      </w:r>
      <w:r w:rsidR="002C330E" w:rsidRPr="00D5464D">
        <w:rPr>
          <w:lang w:val="pt-BR"/>
        </w:rPr>
        <w:t>serviço</w:t>
      </w:r>
      <w:r w:rsidRPr="00D5464D">
        <w:rPr>
          <w:lang w:val="pt-BR"/>
        </w:rPr>
        <w:t>s n</w:t>
      </w:r>
      <w:r w:rsidR="006C0F98" w:rsidRPr="00D5464D">
        <w:rPr>
          <w:lang w:val="pt-BR"/>
        </w:rPr>
        <w:t>ã</w:t>
      </w:r>
      <w:r w:rsidRPr="00D5464D">
        <w:rPr>
          <w:lang w:val="pt-BR"/>
        </w:rPr>
        <w:t xml:space="preserve">o </w:t>
      </w:r>
      <w:r w:rsidR="002C330E" w:rsidRPr="00D5464D">
        <w:rPr>
          <w:lang w:val="pt-BR"/>
        </w:rPr>
        <w:t>impede</w:t>
      </w:r>
      <w:r w:rsidRPr="00D5464D">
        <w:rPr>
          <w:lang w:val="pt-BR"/>
        </w:rPr>
        <w:t xml:space="preserve"> que </w:t>
      </w:r>
      <w:r w:rsidR="00350187" w:rsidRPr="00D5464D">
        <w:rPr>
          <w:lang w:val="pt-BR"/>
        </w:rPr>
        <w:t>estes</w:t>
      </w:r>
      <w:r w:rsidR="002C330E" w:rsidRPr="00D5464D">
        <w:rPr>
          <w:lang w:val="pt-BR"/>
        </w:rPr>
        <w:t xml:space="preserve"> sejam </w:t>
      </w:r>
      <w:r w:rsidR="00470ADC" w:rsidRPr="00D5464D">
        <w:rPr>
          <w:lang w:val="pt-BR"/>
        </w:rPr>
        <w:t>qualific</w:t>
      </w:r>
      <w:r w:rsidRPr="00D5464D">
        <w:rPr>
          <w:lang w:val="pt-BR"/>
        </w:rPr>
        <w:t xml:space="preserve">ados como </w:t>
      </w:r>
      <w:r w:rsidR="000B376D" w:rsidRPr="00D5464D">
        <w:rPr>
          <w:lang w:val="pt-BR"/>
        </w:rPr>
        <w:t>servidão</w:t>
      </w:r>
      <w:r w:rsidRPr="00D5464D">
        <w:rPr>
          <w:lang w:val="pt-BR"/>
        </w:rPr>
        <w:t xml:space="preserve"> o</w:t>
      </w:r>
      <w:r w:rsidR="006C0F98" w:rsidRPr="00D5464D">
        <w:rPr>
          <w:lang w:val="pt-BR"/>
        </w:rPr>
        <w:t>u</w:t>
      </w:r>
      <w:r w:rsidRPr="00D5464D">
        <w:rPr>
          <w:lang w:val="pt-BR"/>
        </w:rPr>
        <w:t xml:space="preserve"> </w:t>
      </w:r>
      <w:r w:rsidR="00E045D9" w:rsidRPr="00D5464D">
        <w:rPr>
          <w:lang w:val="pt-BR"/>
        </w:rPr>
        <w:t>trabalho</w:t>
      </w:r>
      <w:r w:rsidR="001B63D0" w:rsidRPr="00D5464D">
        <w:rPr>
          <w:lang w:val="pt-BR"/>
        </w:rPr>
        <w:t xml:space="preserve"> </w:t>
      </w:r>
      <w:r w:rsidR="00230C71" w:rsidRPr="00D5464D">
        <w:rPr>
          <w:lang w:val="pt-BR"/>
        </w:rPr>
        <w:t>forçado</w:t>
      </w:r>
      <w:r w:rsidRPr="00D5464D">
        <w:rPr>
          <w:lang w:val="pt-BR"/>
        </w:rPr>
        <w:t>. Finalmente,</w:t>
      </w:r>
      <w:r w:rsidR="002C330E" w:rsidRPr="00D5464D">
        <w:rPr>
          <w:lang w:val="pt-BR"/>
        </w:rPr>
        <w:t xml:space="preserve"> a </w:t>
      </w:r>
      <w:r w:rsidR="00470ADC" w:rsidRPr="00D5464D">
        <w:rPr>
          <w:lang w:val="pt-BR"/>
        </w:rPr>
        <w:t>Comissão</w:t>
      </w:r>
      <w:r w:rsidRPr="00D5464D">
        <w:rPr>
          <w:lang w:val="pt-BR"/>
        </w:rPr>
        <w:t xml:space="preserve"> </w:t>
      </w:r>
      <w:r w:rsidR="00C91CB1" w:rsidRPr="00D5464D">
        <w:rPr>
          <w:lang w:val="pt-BR"/>
        </w:rPr>
        <w:t>afirmou</w:t>
      </w:r>
      <w:r w:rsidRPr="00D5464D">
        <w:rPr>
          <w:lang w:val="pt-BR"/>
        </w:rPr>
        <w:t xml:space="preserve"> que existe</w:t>
      </w:r>
      <w:r w:rsidR="00E045D9" w:rsidRPr="00D5464D">
        <w:rPr>
          <w:lang w:val="pt-BR"/>
        </w:rPr>
        <w:t xml:space="preserve"> uma </w:t>
      </w:r>
      <w:r w:rsidR="00470ADC" w:rsidRPr="00D5464D">
        <w:rPr>
          <w:lang w:val="pt-BR"/>
        </w:rPr>
        <w:t>estreit</w:t>
      </w:r>
      <w:r w:rsidRPr="00D5464D">
        <w:rPr>
          <w:lang w:val="pt-BR"/>
        </w:rPr>
        <w:t>a rela</w:t>
      </w:r>
      <w:r w:rsidR="00470ADC" w:rsidRPr="00D5464D">
        <w:rPr>
          <w:lang w:val="pt-BR"/>
        </w:rPr>
        <w:t>ção</w:t>
      </w:r>
      <w:r w:rsidRPr="00D5464D">
        <w:rPr>
          <w:lang w:val="pt-BR"/>
        </w:rPr>
        <w:t xml:space="preserve"> entre</w:t>
      </w:r>
      <w:r w:rsidR="002C330E" w:rsidRPr="00D5464D">
        <w:rPr>
          <w:lang w:val="pt-BR"/>
        </w:rPr>
        <w:t xml:space="preserve"> as </w:t>
      </w:r>
      <w:r w:rsidRPr="00D5464D">
        <w:rPr>
          <w:lang w:val="pt-BR"/>
        </w:rPr>
        <w:t xml:space="preserve">distintas </w:t>
      </w:r>
      <w:r w:rsidR="002C330E" w:rsidRPr="00D5464D">
        <w:rPr>
          <w:lang w:val="pt-BR"/>
        </w:rPr>
        <w:t>prática</w:t>
      </w:r>
      <w:r w:rsidRPr="00D5464D">
        <w:rPr>
          <w:lang w:val="pt-BR"/>
        </w:rPr>
        <w:t xml:space="preserve">s abusivas como </w:t>
      </w:r>
      <w:r w:rsidR="00E045D9" w:rsidRPr="00D5464D">
        <w:rPr>
          <w:lang w:val="pt-BR"/>
        </w:rPr>
        <w:t>trabalho</w:t>
      </w:r>
      <w:r w:rsidRPr="00D5464D">
        <w:rPr>
          <w:lang w:val="pt-BR"/>
        </w:rPr>
        <w:t xml:space="preserve"> </w:t>
      </w:r>
      <w:r w:rsidR="00230C71" w:rsidRPr="00D5464D">
        <w:rPr>
          <w:lang w:val="pt-BR"/>
        </w:rPr>
        <w:t>forçado</w:t>
      </w:r>
      <w:r w:rsidRPr="00D5464D">
        <w:rPr>
          <w:lang w:val="pt-BR"/>
        </w:rPr>
        <w:t xml:space="preserve">, </w:t>
      </w:r>
      <w:r w:rsidR="000B376D" w:rsidRPr="00D5464D">
        <w:rPr>
          <w:lang w:val="pt-BR"/>
        </w:rPr>
        <w:t>escravidão</w:t>
      </w:r>
      <w:r w:rsidRPr="00D5464D">
        <w:rPr>
          <w:lang w:val="pt-BR"/>
        </w:rPr>
        <w:t xml:space="preserve">, </w:t>
      </w:r>
      <w:r w:rsidR="000B376D" w:rsidRPr="00D5464D">
        <w:rPr>
          <w:lang w:val="pt-BR"/>
        </w:rPr>
        <w:t>servidão</w:t>
      </w:r>
      <w:r w:rsidRPr="00D5464D">
        <w:rPr>
          <w:lang w:val="pt-BR"/>
        </w:rPr>
        <w:t xml:space="preserve"> por </w:t>
      </w:r>
      <w:r w:rsidR="00470ADC" w:rsidRPr="00D5464D">
        <w:rPr>
          <w:lang w:val="pt-BR"/>
        </w:rPr>
        <w:t>dívida</w:t>
      </w:r>
      <w:r w:rsidRPr="00D5464D">
        <w:rPr>
          <w:lang w:val="pt-BR"/>
        </w:rPr>
        <w:t xml:space="preserve">s, </w:t>
      </w:r>
      <w:r w:rsidR="006C0F98" w:rsidRPr="00D5464D">
        <w:rPr>
          <w:lang w:val="pt-BR"/>
        </w:rPr>
        <w:t>tráfico</w:t>
      </w:r>
      <w:r w:rsidRPr="00D5464D">
        <w:rPr>
          <w:rStyle w:val="Refdenotaalpie"/>
          <w:lang w:val="pt-BR"/>
        </w:rPr>
        <w:footnoteReference w:id="351"/>
      </w:r>
      <w:r w:rsidR="00E045D9" w:rsidRPr="00D5464D">
        <w:rPr>
          <w:lang w:val="pt-BR"/>
        </w:rPr>
        <w:t xml:space="preserve"> e </w:t>
      </w:r>
      <w:r w:rsidR="00230C71" w:rsidRPr="00D5464D">
        <w:rPr>
          <w:lang w:val="pt-BR"/>
        </w:rPr>
        <w:t>exploração</w:t>
      </w:r>
      <w:r w:rsidRPr="00D5464D">
        <w:rPr>
          <w:lang w:val="pt-BR"/>
        </w:rPr>
        <w:t xml:space="preserve"> </w:t>
      </w:r>
      <w:r w:rsidR="00767387" w:rsidRPr="00D5464D">
        <w:rPr>
          <w:lang w:val="pt-BR"/>
        </w:rPr>
        <w:t>do trabalho</w:t>
      </w:r>
      <w:r w:rsidR="00A1358C" w:rsidRPr="00D5464D">
        <w:rPr>
          <w:lang w:val="pt-BR"/>
        </w:rPr>
        <w:t xml:space="preserve">. A </w:t>
      </w:r>
      <w:r w:rsidR="007E6434" w:rsidRPr="00D5464D">
        <w:rPr>
          <w:lang w:val="pt-BR"/>
        </w:rPr>
        <w:t>inter-relação</w:t>
      </w:r>
      <w:r w:rsidRPr="00D5464D">
        <w:rPr>
          <w:lang w:val="pt-BR"/>
        </w:rPr>
        <w:t xml:space="preserve"> entre estas </w:t>
      </w:r>
      <w:r w:rsidR="00470ADC" w:rsidRPr="00D5464D">
        <w:rPr>
          <w:lang w:val="pt-BR"/>
        </w:rPr>
        <w:t>conduta</w:t>
      </w:r>
      <w:r w:rsidRPr="00D5464D">
        <w:rPr>
          <w:lang w:val="pt-BR"/>
        </w:rPr>
        <w:t xml:space="preserve">s </w:t>
      </w:r>
      <w:r w:rsidR="006C0F98" w:rsidRPr="00D5464D">
        <w:rPr>
          <w:lang w:val="pt-BR"/>
        </w:rPr>
        <w:t>pres</w:t>
      </w:r>
      <w:r w:rsidR="00E045D9" w:rsidRPr="00D5464D">
        <w:rPr>
          <w:lang w:val="pt-BR"/>
        </w:rPr>
        <w:t xml:space="preserve">supõe </w:t>
      </w:r>
      <w:r w:rsidRPr="00D5464D">
        <w:rPr>
          <w:lang w:val="pt-BR"/>
        </w:rPr>
        <w:t>que</w:t>
      </w:r>
      <w:r w:rsidR="00E045D9" w:rsidRPr="00D5464D">
        <w:rPr>
          <w:lang w:val="pt-BR"/>
        </w:rPr>
        <w:t xml:space="preserve"> um </w:t>
      </w:r>
      <w:r w:rsidR="002C330E" w:rsidRPr="00D5464D">
        <w:rPr>
          <w:lang w:val="pt-BR"/>
        </w:rPr>
        <w:t>mesm</w:t>
      </w:r>
      <w:r w:rsidRPr="00D5464D">
        <w:rPr>
          <w:lang w:val="pt-BR"/>
        </w:rPr>
        <w:t>o</w:t>
      </w:r>
      <w:r w:rsidR="002C330E" w:rsidRPr="00D5464D">
        <w:rPr>
          <w:lang w:val="pt-BR"/>
        </w:rPr>
        <w:t xml:space="preserve"> fato pode</w:t>
      </w:r>
      <w:r w:rsidRPr="00D5464D">
        <w:rPr>
          <w:lang w:val="pt-BR"/>
        </w:rPr>
        <w:t xml:space="preserve"> ser </w:t>
      </w:r>
      <w:r w:rsidR="00470ADC" w:rsidRPr="00D5464D">
        <w:rPr>
          <w:lang w:val="pt-BR"/>
        </w:rPr>
        <w:t>qualific</w:t>
      </w:r>
      <w:r w:rsidRPr="00D5464D">
        <w:rPr>
          <w:lang w:val="pt-BR"/>
        </w:rPr>
        <w:t>ado</w:t>
      </w:r>
      <w:r w:rsidR="00470ADC" w:rsidRPr="00D5464D">
        <w:rPr>
          <w:lang w:val="pt-BR"/>
        </w:rPr>
        <w:t xml:space="preserve"> sob </w:t>
      </w:r>
      <w:r w:rsidRPr="00D5464D">
        <w:rPr>
          <w:lang w:val="pt-BR"/>
        </w:rPr>
        <w:t xml:space="preserve">distintos </w:t>
      </w:r>
      <w:r w:rsidR="00470ADC" w:rsidRPr="00D5464D">
        <w:rPr>
          <w:lang w:val="pt-BR"/>
        </w:rPr>
        <w:t>conceito</w:t>
      </w:r>
      <w:r w:rsidRPr="00D5464D">
        <w:rPr>
          <w:lang w:val="pt-BR"/>
        </w:rPr>
        <w:t>s</w:t>
      </w:r>
      <w:r w:rsidR="00E045D9" w:rsidRPr="00D5464D">
        <w:rPr>
          <w:lang w:val="pt-BR"/>
        </w:rPr>
        <w:t xml:space="preserve"> e </w:t>
      </w:r>
      <w:r w:rsidRPr="00D5464D">
        <w:rPr>
          <w:lang w:val="pt-BR"/>
        </w:rPr>
        <w:t>que</w:t>
      </w:r>
      <w:r w:rsidR="00EE7C8C" w:rsidRPr="00D5464D">
        <w:rPr>
          <w:lang w:val="pt-BR"/>
        </w:rPr>
        <w:t>,</w:t>
      </w:r>
      <w:r w:rsidR="00470ADC" w:rsidRPr="00D5464D">
        <w:rPr>
          <w:lang w:val="pt-BR"/>
        </w:rPr>
        <w:t xml:space="preserve"> em </w:t>
      </w:r>
      <w:r w:rsidR="002C330E" w:rsidRPr="00D5464D">
        <w:rPr>
          <w:lang w:val="pt-BR"/>
        </w:rPr>
        <w:t xml:space="preserve">nenhum </w:t>
      </w:r>
      <w:r w:rsidRPr="00D5464D">
        <w:rPr>
          <w:lang w:val="pt-BR"/>
        </w:rPr>
        <w:t>caso</w:t>
      </w:r>
      <w:r w:rsidR="00EE7C8C" w:rsidRPr="00D5464D">
        <w:rPr>
          <w:lang w:val="pt-BR"/>
        </w:rPr>
        <w:t>,</w:t>
      </w:r>
      <w:r w:rsidR="002C330E" w:rsidRPr="00D5464D">
        <w:rPr>
          <w:lang w:val="pt-BR"/>
        </w:rPr>
        <w:t xml:space="preserve"> são </w:t>
      </w:r>
      <w:r w:rsidR="00E765C2" w:rsidRPr="00D5464D">
        <w:rPr>
          <w:lang w:val="pt-BR"/>
        </w:rPr>
        <w:t>excludentes</w:t>
      </w:r>
      <w:r w:rsidR="006C0F98" w:rsidRPr="00D5464D">
        <w:rPr>
          <w:lang w:val="pt-BR"/>
        </w:rPr>
        <w:t xml:space="preserve"> entre si</w:t>
      </w:r>
      <w:r w:rsidRPr="00D5464D">
        <w:rPr>
          <w:lang w:val="pt-BR"/>
        </w:rPr>
        <w:t>.</w:t>
      </w:r>
    </w:p>
    <w:p w14:paraId="0AE31726" w14:textId="77777777" w:rsidR="00DE3E58" w:rsidRPr="00D5464D" w:rsidRDefault="00207197" w:rsidP="00DE3E58">
      <w:pPr>
        <w:pStyle w:val="Prrafodelista"/>
        <w:ind w:left="0"/>
        <w:contextualSpacing w:val="0"/>
        <w:rPr>
          <w:lang w:val="pt-BR"/>
        </w:rPr>
      </w:pPr>
      <w:r w:rsidRPr="00D5464D">
        <w:rPr>
          <w:lang w:val="pt-BR"/>
        </w:rPr>
        <w:t xml:space="preserve"> </w:t>
      </w:r>
    </w:p>
    <w:p w14:paraId="42D15772" w14:textId="72A90812" w:rsidR="00207197" w:rsidRPr="00D5464D" w:rsidRDefault="00470ADC" w:rsidP="00F37DC4">
      <w:pPr>
        <w:pStyle w:val="Prrafodelista"/>
        <w:numPr>
          <w:ilvl w:val="0"/>
          <w:numId w:val="1"/>
        </w:numPr>
        <w:contextualSpacing w:val="0"/>
        <w:rPr>
          <w:lang w:val="pt-BR"/>
        </w:rPr>
      </w:pPr>
      <w:r w:rsidRPr="00D5464D">
        <w:rPr>
          <w:lang w:val="pt-BR"/>
        </w:rPr>
        <w:t>A Comissão</w:t>
      </w:r>
      <w:r w:rsidR="00207197" w:rsidRPr="00D5464D">
        <w:rPr>
          <w:lang w:val="pt-BR"/>
        </w:rPr>
        <w:t xml:space="preserve"> </w:t>
      </w:r>
      <w:r w:rsidR="00C91CB1" w:rsidRPr="00D5464D">
        <w:rPr>
          <w:lang w:val="pt-BR"/>
        </w:rPr>
        <w:t>afirmou</w:t>
      </w:r>
      <w:r w:rsidR="00207197" w:rsidRPr="00D5464D">
        <w:rPr>
          <w:lang w:val="pt-BR"/>
        </w:rPr>
        <w:t xml:space="preserve"> que</w:t>
      </w:r>
      <w:r w:rsidR="00EE7C8C" w:rsidRPr="00D5464D">
        <w:rPr>
          <w:lang w:val="pt-BR"/>
        </w:rPr>
        <w:t>,</w:t>
      </w:r>
      <w:r w:rsidRPr="00D5464D">
        <w:rPr>
          <w:lang w:val="pt-BR"/>
        </w:rPr>
        <w:t xml:space="preserve"> </w:t>
      </w:r>
      <w:r w:rsidR="006C0F98" w:rsidRPr="00D5464D">
        <w:rPr>
          <w:lang w:val="pt-BR"/>
        </w:rPr>
        <w:t xml:space="preserve">a partir </w:t>
      </w:r>
      <w:r w:rsidRPr="00D5464D">
        <w:rPr>
          <w:lang w:val="pt-BR"/>
        </w:rPr>
        <w:t xml:space="preserve">dos </w:t>
      </w:r>
      <w:r w:rsidR="00E045D9" w:rsidRPr="00D5464D">
        <w:rPr>
          <w:lang w:val="pt-BR"/>
        </w:rPr>
        <w:t>testemunho</w:t>
      </w:r>
      <w:r w:rsidR="00207197" w:rsidRPr="00D5464D">
        <w:rPr>
          <w:lang w:val="pt-BR"/>
        </w:rPr>
        <w:t>s</w:t>
      </w:r>
      <w:r w:rsidRPr="00D5464D">
        <w:rPr>
          <w:lang w:val="pt-BR"/>
        </w:rPr>
        <w:t xml:space="preserve"> dos </w:t>
      </w:r>
      <w:r w:rsidR="00E045D9" w:rsidRPr="00D5464D">
        <w:rPr>
          <w:lang w:val="pt-BR"/>
        </w:rPr>
        <w:t>trabalhadores</w:t>
      </w:r>
      <w:r w:rsidR="00207197" w:rsidRPr="00D5464D">
        <w:rPr>
          <w:lang w:val="pt-BR"/>
        </w:rPr>
        <w:t xml:space="preserve"> </w:t>
      </w:r>
      <w:r w:rsidR="0090341D" w:rsidRPr="00D5464D">
        <w:rPr>
          <w:lang w:val="pt-BR"/>
        </w:rPr>
        <w:t>resgatado</w:t>
      </w:r>
      <w:r w:rsidR="00207197" w:rsidRPr="00D5464D">
        <w:rPr>
          <w:lang w:val="pt-BR"/>
        </w:rPr>
        <w:t xml:space="preserve">s, </w:t>
      </w:r>
      <w:r w:rsidR="006C0F98" w:rsidRPr="00D5464D">
        <w:rPr>
          <w:lang w:val="pt-BR"/>
        </w:rPr>
        <w:t xml:space="preserve">bem </w:t>
      </w:r>
      <w:r w:rsidR="00207197" w:rsidRPr="00D5464D">
        <w:rPr>
          <w:lang w:val="pt-BR"/>
        </w:rPr>
        <w:t>como</w:t>
      </w:r>
      <w:r w:rsidRPr="00D5464D">
        <w:rPr>
          <w:lang w:val="pt-BR"/>
        </w:rPr>
        <w:t xml:space="preserve"> das demais</w:t>
      </w:r>
      <w:r w:rsidR="00207197" w:rsidRPr="00D5464D">
        <w:rPr>
          <w:lang w:val="pt-BR"/>
        </w:rPr>
        <w:t xml:space="preserve"> </w:t>
      </w:r>
      <w:r w:rsidR="002C330E" w:rsidRPr="00D5464D">
        <w:rPr>
          <w:lang w:val="pt-BR"/>
        </w:rPr>
        <w:t>prova</w:t>
      </w:r>
      <w:r w:rsidR="00207197" w:rsidRPr="00D5464D">
        <w:rPr>
          <w:lang w:val="pt-BR"/>
        </w:rPr>
        <w:t>s</w:t>
      </w:r>
      <w:r w:rsidR="00350187" w:rsidRPr="00D5464D">
        <w:rPr>
          <w:lang w:val="pt-BR"/>
        </w:rPr>
        <w:t xml:space="preserve"> apresent</w:t>
      </w:r>
      <w:r w:rsidR="00207197" w:rsidRPr="00D5464D">
        <w:rPr>
          <w:lang w:val="pt-BR"/>
        </w:rPr>
        <w:t>a</w:t>
      </w:r>
      <w:r w:rsidR="006C0F98" w:rsidRPr="00D5464D">
        <w:rPr>
          <w:lang w:val="pt-BR"/>
        </w:rPr>
        <w:t>da</w:t>
      </w:r>
      <w:r w:rsidR="00207197" w:rsidRPr="00D5464D">
        <w:rPr>
          <w:lang w:val="pt-BR"/>
        </w:rPr>
        <w:t>s</w:t>
      </w:r>
      <w:r w:rsidR="006C0F98" w:rsidRPr="00D5464D">
        <w:rPr>
          <w:lang w:val="pt-BR"/>
        </w:rPr>
        <w:t>,</w:t>
      </w:r>
      <w:r w:rsidR="00207197" w:rsidRPr="00D5464D">
        <w:rPr>
          <w:rStyle w:val="Refdenotaalpie"/>
          <w:lang w:val="pt-BR"/>
        </w:rPr>
        <w:footnoteReference w:id="352"/>
      </w:r>
      <w:r w:rsidR="00207197" w:rsidRPr="00D5464D">
        <w:rPr>
          <w:lang w:val="pt-BR"/>
        </w:rPr>
        <w:t xml:space="preserve"> </w:t>
      </w:r>
      <w:r w:rsidR="00EE7C8C" w:rsidRPr="00D5464D">
        <w:rPr>
          <w:lang w:val="pt-BR"/>
        </w:rPr>
        <w:t xml:space="preserve">conclui-se </w:t>
      </w:r>
      <w:r w:rsidR="00207197" w:rsidRPr="00D5464D">
        <w:rPr>
          <w:lang w:val="pt-BR"/>
        </w:rPr>
        <w:t>que</w:t>
      </w:r>
      <w:r w:rsidR="00E045D9" w:rsidRPr="00D5464D">
        <w:rPr>
          <w:lang w:val="pt-BR"/>
        </w:rPr>
        <w:t xml:space="preserve"> na </w:t>
      </w:r>
      <w:r w:rsidR="00D809F0" w:rsidRPr="00D5464D">
        <w:rPr>
          <w:lang w:val="pt-BR"/>
        </w:rPr>
        <w:t>Fazenda</w:t>
      </w:r>
      <w:r w:rsidR="00207197" w:rsidRPr="00D5464D">
        <w:rPr>
          <w:lang w:val="pt-BR"/>
        </w:rPr>
        <w:t xml:space="preserve"> Brasil Verde: i) </w:t>
      </w:r>
      <w:r w:rsidR="00E045D9" w:rsidRPr="00D5464D">
        <w:rPr>
          <w:lang w:val="pt-BR"/>
        </w:rPr>
        <w:t>existiam</w:t>
      </w:r>
      <w:r w:rsidR="00207197" w:rsidRPr="00D5464D">
        <w:rPr>
          <w:lang w:val="pt-BR"/>
        </w:rPr>
        <w:t xml:space="preserve"> </w:t>
      </w:r>
      <w:r w:rsidRPr="00D5464D">
        <w:rPr>
          <w:lang w:val="pt-BR"/>
        </w:rPr>
        <w:t>ameaça</w:t>
      </w:r>
      <w:r w:rsidR="00207197" w:rsidRPr="00D5464D">
        <w:rPr>
          <w:lang w:val="pt-BR"/>
        </w:rPr>
        <w:t xml:space="preserve">s de </w:t>
      </w:r>
      <w:r w:rsidR="002C330E" w:rsidRPr="00D5464D">
        <w:rPr>
          <w:lang w:val="pt-BR"/>
        </w:rPr>
        <w:t>morte</w:t>
      </w:r>
      <w:r w:rsidR="00E045D9" w:rsidRPr="00D5464D">
        <w:rPr>
          <w:lang w:val="pt-BR"/>
        </w:rPr>
        <w:t xml:space="preserve"> aos trabalhadores</w:t>
      </w:r>
      <w:r w:rsidR="00207197" w:rsidRPr="00D5464D">
        <w:rPr>
          <w:lang w:val="pt-BR"/>
        </w:rPr>
        <w:t xml:space="preserve"> que que</w:t>
      </w:r>
      <w:r w:rsidR="00350187" w:rsidRPr="00D5464D">
        <w:rPr>
          <w:lang w:val="pt-BR"/>
        </w:rPr>
        <w:t xml:space="preserve">riam </w:t>
      </w:r>
      <w:r w:rsidR="00207197" w:rsidRPr="00D5464D">
        <w:rPr>
          <w:lang w:val="pt-BR"/>
        </w:rPr>
        <w:t>abandonar</w:t>
      </w:r>
      <w:r w:rsidR="002C330E" w:rsidRPr="00D5464D">
        <w:rPr>
          <w:lang w:val="pt-BR"/>
        </w:rPr>
        <w:t xml:space="preserve"> a </w:t>
      </w:r>
      <w:r w:rsidR="00D809F0" w:rsidRPr="00D5464D">
        <w:rPr>
          <w:lang w:val="pt-BR"/>
        </w:rPr>
        <w:t>fazenda</w:t>
      </w:r>
      <w:r w:rsidR="00207197" w:rsidRPr="00D5464D">
        <w:rPr>
          <w:lang w:val="pt-BR"/>
        </w:rPr>
        <w:t xml:space="preserve">; ii) </w:t>
      </w:r>
      <w:r w:rsidR="00E045D9" w:rsidRPr="00D5464D">
        <w:rPr>
          <w:lang w:val="pt-BR"/>
        </w:rPr>
        <w:t>os trabalhadores</w:t>
      </w:r>
      <w:r w:rsidR="00207197" w:rsidRPr="00D5464D">
        <w:rPr>
          <w:lang w:val="pt-BR"/>
        </w:rPr>
        <w:t xml:space="preserve"> </w:t>
      </w:r>
      <w:r w:rsidR="006C0F98" w:rsidRPr="00D5464D">
        <w:rPr>
          <w:lang w:val="pt-BR"/>
        </w:rPr>
        <w:t xml:space="preserve">eram impedidos de </w:t>
      </w:r>
      <w:r w:rsidR="00C93A4F" w:rsidRPr="00D5464D">
        <w:rPr>
          <w:lang w:val="pt-BR"/>
        </w:rPr>
        <w:t>sai</w:t>
      </w:r>
      <w:r w:rsidR="007E6434" w:rsidRPr="00D5464D">
        <w:rPr>
          <w:lang w:val="pt-BR"/>
        </w:rPr>
        <w:t>r</w:t>
      </w:r>
      <w:r w:rsidR="00207197" w:rsidRPr="00D5464D">
        <w:rPr>
          <w:lang w:val="pt-BR"/>
        </w:rPr>
        <w:t xml:space="preserve"> </w:t>
      </w:r>
      <w:r w:rsidR="002C330E" w:rsidRPr="00D5464D">
        <w:rPr>
          <w:lang w:val="pt-BR"/>
        </w:rPr>
        <w:t>livremente</w:t>
      </w:r>
      <w:r w:rsidR="00207197" w:rsidRPr="00D5464D">
        <w:rPr>
          <w:lang w:val="pt-BR"/>
        </w:rPr>
        <w:t>; iii) n</w:t>
      </w:r>
      <w:r w:rsidR="006C0F98" w:rsidRPr="00D5464D">
        <w:rPr>
          <w:lang w:val="pt-BR"/>
        </w:rPr>
        <w:t>ã</w:t>
      </w:r>
      <w:r w:rsidR="00207197" w:rsidRPr="00D5464D">
        <w:rPr>
          <w:lang w:val="pt-BR"/>
        </w:rPr>
        <w:t xml:space="preserve">o </w:t>
      </w:r>
      <w:r w:rsidR="00E045D9" w:rsidRPr="00D5464D">
        <w:rPr>
          <w:lang w:val="pt-BR"/>
        </w:rPr>
        <w:t>existiam</w:t>
      </w:r>
      <w:r w:rsidR="00207197" w:rsidRPr="00D5464D">
        <w:rPr>
          <w:lang w:val="pt-BR"/>
        </w:rPr>
        <w:t xml:space="preserve"> </w:t>
      </w:r>
      <w:r w:rsidR="00E045D9" w:rsidRPr="00D5464D">
        <w:rPr>
          <w:lang w:val="pt-BR"/>
        </w:rPr>
        <w:t>salário</w:t>
      </w:r>
      <w:r w:rsidR="00207197" w:rsidRPr="00D5464D">
        <w:rPr>
          <w:lang w:val="pt-BR"/>
        </w:rPr>
        <w:t>s o</w:t>
      </w:r>
      <w:r w:rsidR="006C0F98" w:rsidRPr="00D5464D">
        <w:rPr>
          <w:lang w:val="pt-BR"/>
        </w:rPr>
        <w:t>u</w:t>
      </w:r>
      <w:r w:rsidR="00207197" w:rsidRPr="00D5464D">
        <w:rPr>
          <w:lang w:val="pt-BR"/>
        </w:rPr>
        <w:t xml:space="preserve"> </w:t>
      </w:r>
      <w:r w:rsidR="00350187" w:rsidRPr="00D5464D">
        <w:rPr>
          <w:lang w:val="pt-BR"/>
        </w:rPr>
        <w:t>estes</w:t>
      </w:r>
      <w:r w:rsidRPr="00D5464D">
        <w:rPr>
          <w:lang w:val="pt-BR"/>
        </w:rPr>
        <w:t xml:space="preserve"> eram </w:t>
      </w:r>
      <w:r w:rsidR="00207197" w:rsidRPr="00D5464D">
        <w:rPr>
          <w:lang w:val="pt-BR"/>
        </w:rPr>
        <w:t xml:space="preserve">ínfimos; iv) </w:t>
      </w:r>
      <w:r w:rsidRPr="00D5464D">
        <w:rPr>
          <w:lang w:val="pt-BR"/>
        </w:rPr>
        <w:t>existia</w:t>
      </w:r>
      <w:r w:rsidR="00207197" w:rsidRPr="00D5464D">
        <w:rPr>
          <w:lang w:val="pt-BR"/>
        </w:rPr>
        <w:t xml:space="preserve"> en</w:t>
      </w:r>
      <w:r w:rsidR="006C0F98" w:rsidRPr="00D5464D">
        <w:rPr>
          <w:lang w:val="pt-BR"/>
        </w:rPr>
        <w:t>di</w:t>
      </w:r>
      <w:r w:rsidRPr="00D5464D">
        <w:rPr>
          <w:lang w:val="pt-BR"/>
        </w:rPr>
        <w:t>vida</w:t>
      </w:r>
      <w:r w:rsidR="00207197" w:rsidRPr="00D5464D">
        <w:rPr>
          <w:lang w:val="pt-BR"/>
        </w:rPr>
        <w:t>m</w:t>
      </w:r>
      <w:r w:rsidR="00350187" w:rsidRPr="00D5464D">
        <w:rPr>
          <w:lang w:val="pt-BR"/>
        </w:rPr>
        <w:t xml:space="preserve">ento </w:t>
      </w:r>
      <w:r w:rsidRPr="00D5464D">
        <w:rPr>
          <w:lang w:val="pt-BR"/>
        </w:rPr>
        <w:t xml:space="preserve">com o </w:t>
      </w:r>
      <w:r w:rsidR="00A64010" w:rsidRPr="00D5464D">
        <w:rPr>
          <w:lang w:val="pt-BR"/>
        </w:rPr>
        <w:t>fazendeiro</w:t>
      </w:r>
      <w:r w:rsidRPr="00D5464D">
        <w:rPr>
          <w:lang w:val="pt-BR"/>
        </w:rPr>
        <w:t>, e</w:t>
      </w:r>
      <w:r w:rsidR="00207197" w:rsidRPr="00D5464D">
        <w:rPr>
          <w:lang w:val="pt-BR"/>
        </w:rPr>
        <w:t xml:space="preserve"> v)</w:t>
      </w:r>
      <w:r w:rsidR="002C330E" w:rsidRPr="00D5464D">
        <w:rPr>
          <w:lang w:val="pt-BR"/>
        </w:rPr>
        <w:t xml:space="preserve"> as </w:t>
      </w:r>
      <w:r w:rsidR="00606B5F" w:rsidRPr="00D5464D">
        <w:rPr>
          <w:lang w:val="pt-BR"/>
        </w:rPr>
        <w:t>condi</w:t>
      </w:r>
      <w:r w:rsidRPr="00D5464D">
        <w:rPr>
          <w:lang w:val="pt-BR"/>
        </w:rPr>
        <w:t>ções</w:t>
      </w:r>
      <w:r w:rsidR="00606B5F" w:rsidRPr="00D5464D">
        <w:rPr>
          <w:lang w:val="pt-BR"/>
        </w:rPr>
        <w:t xml:space="preserve"> de </w:t>
      </w:r>
      <w:r w:rsidR="006C0F98" w:rsidRPr="00D5464D">
        <w:rPr>
          <w:lang w:val="pt-BR"/>
        </w:rPr>
        <w:t>moradia</w:t>
      </w:r>
      <w:r w:rsidR="00207197" w:rsidRPr="00D5464D">
        <w:rPr>
          <w:lang w:val="pt-BR"/>
        </w:rPr>
        <w:t xml:space="preserve">, </w:t>
      </w:r>
      <w:r w:rsidR="002C330E" w:rsidRPr="00D5464D">
        <w:rPr>
          <w:lang w:val="pt-BR"/>
        </w:rPr>
        <w:t>saúde</w:t>
      </w:r>
      <w:r w:rsidR="00E045D9" w:rsidRPr="00D5464D">
        <w:rPr>
          <w:lang w:val="pt-BR"/>
        </w:rPr>
        <w:t xml:space="preserve"> e </w:t>
      </w:r>
      <w:r w:rsidR="00207197" w:rsidRPr="00D5464D">
        <w:rPr>
          <w:lang w:val="pt-BR"/>
        </w:rPr>
        <w:t>alimenta</w:t>
      </w:r>
      <w:r w:rsidRPr="00D5464D">
        <w:rPr>
          <w:lang w:val="pt-BR"/>
        </w:rPr>
        <w:t xml:space="preserve">ção eram </w:t>
      </w:r>
      <w:r w:rsidR="00207197" w:rsidRPr="00D5464D">
        <w:rPr>
          <w:lang w:val="pt-BR"/>
        </w:rPr>
        <w:t>indigna</w:t>
      </w:r>
      <w:r w:rsidR="00606B5F" w:rsidRPr="00D5464D">
        <w:rPr>
          <w:lang w:val="pt-BR"/>
        </w:rPr>
        <w:t>s</w:t>
      </w:r>
      <w:r w:rsidR="00737270" w:rsidRPr="00D5464D">
        <w:rPr>
          <w:lang w:val="pt-BR"/>
        </w:rPr>
        <w:t xml:space="preserve">. Desta </w:t>
      </w:r>
      <w:r w:rsidR="00207197" w:rsidRPr="00D5464D">
        <w:rPr>
          <w:lang w:val="pt-BR"/>
        </w:rPr>
        <w:t>situa</w:t>
      </w:r>
      <w:r w:rsidRPr="00D5464D">
        <w:rPr>
          <w:lang w:val="pt-BR"/>
        </w:rPr>
        <w:t>ção</w:t>
      </w:r>
      <w:r w:rsidR="00606B5F" w:rsidRPr="00D5464D">
        <w:rPr>
          <w:lang w:val="pt-BR"/>
        </w:rPr>
        <w:t>,</w:t>
      </w:r>
      <w:r w:rsidR="002C330E" w:rsidRPr="00D5464D">
        <w:rPr>
          <w:lang w:val="pt-BR"/>
        </w:rPr>
        <w:t xml:space="preserve"> a </w:t>
      </w:r>
      <w:r w:rsidRPr="00D5464D">
        <w:rPr>
          <w:lang w:val="pt-BR"/>
        </w:rPr>
        <w:t>Comissão</w:t>
      </w:r>
      <w:r w:rsidR="00207197" w:rsidRPr="00D5464D">
        <w:rPr>
          <w:lang w:val="pt-BR"/>
        </w:rPr>
        <w:t xml:space="preserve"> </w:t>
      </w:r>
      <w:r w:rsidRPr="00D5464D">
        <w:rPr>
          <w:lang w:val="pt-BR"/>
        </w:rPr>
        <w:t>concluiu</w:t>
      </w:r>
      <w:r w:rsidR="00207197" w:rsidRPr="00D5464D">
        <w:rPr>
          <w:lang w:val="pt-BR"/>
        </w:rPr>
        <w:t xml:space="preserve"> que</w:t>
      </w:r>
      <w:r w:rsidRPr="00D5464D">
        <w:rPr>
          <w:lang w:val="pt-BR"/>
        </w:rPr>
        <w:t xml:space="preserve"> o </w:t>
      </w:r>
      <w:r w:rsidR="00737270" w:rsidRPr="00D5464D">
        <w:rPr>
          <w:lang w:val="pt-BR"/>
        </w:rPr>
        <w:t>don</w:t>
      </w:r>
      <w:r w:rsidR="00207197" w:rsidRPr="00D5464D">
        <w:rPr>
          <w:lang w:val="pt-BR"/>
        </w:rPr>
        <w:t>o</w:t>
      </w:r>
      <w:r w:rsidR="00E045D9" w:rsidRPr="00D5464D">
        <w:rPr>
          <w:lang w:val="pt-BR"/>
        </w:rPr>
        <w:t xml:space="preserve"> e </w:t>
      </w:r>
      <w:r w:rsidR="002C330E" w:rsidRPr="00D5464D">
        <w:rPr>
          <w:lang w:val="pt-BR"/>
        </w:rPr>
        <w:t xml:space="preserve">os </w:t>
      </w:r>
      <w:r w:rsidR="00207197" w:rsidRPr="00D5464D">
        <w:rPr>
          <w:lang w:val="pt-BR"/>
        </w:rPr>
        <w:t>administradores</w:t>
      </w:r>
      <w:r w:rsidRPr="00D5464D">
        <w:rPr>
          <w:lang w:val="pt-BR"/>
        </w:rPr>
        <w:t xml:space="preserve"> da </w:t>
      </w:r>
      <w:r w:rsidR="00D809F0" w:rsidRPr="00D5464D">
        <w:rPr>
          <w:lang w:val="pt-BR"/>
        </w:rPr>
        <w:t>fazenda</w:t>
      </w:r>
      <w:r w:rsidR="00207197" w:rsidRPr="00D5464D">
        <w:rPr>
          <w:lang w:val="pt-BR"/>
        </w:rPr>
        <w:t xml:space="preserve"> </w:t>
      </w:r>
      <w:r w:rsidR="00EB1CE9" w:rsidRPr="00D5464D">
        <w:rPr>
          <w:lang w:val="pt-BR"/>
        </w:rPr>
        <w:t>dispunham</w:t>
      </w:r>
      <w:r w:rsidRPr="00D5464D">
        <w:rPr>
          <w:lang w:val="pt-BR"/>
        </w:rPr>
        <w:t xml:space="preserve"> dos </w:t>
      </w:r>
      <w:r w:rsidR="00E045D9" w:rsidRPr="00D5464D">
        <w:rPr>
          <w:lang w:val="pt-BR"/>
        </w:rPr>
        <w:t>trabalhadores</w:t>
      </w:r>
      <w:r w:rsidR="00207197" w:rsidRPr="00D5464D">
        <w:rPr>
          <w:lang w:val="pt-BR"/>
        </w:rPr>
        <w:t xml:space="preserve"> como</w:t>
      </w:r>
      <w:r w:rsidR="002C330E" w:rsidRPr="00D5464D">
        <w:rPr>
          <w:lang w:val="pt-BR"/>
        </w:rPr>
        <w:t xml:space="preserve"> se </w:t>
      </w:r>
      <w:r w:rsidR="00737270" w:rsidRPr="00D5464D">
        <w:rPr>
          <w:lang w:val="pt-BR"/>
        </w:rPr>
        <w:t>fosse</w:t>
      </w:r>
      <w:r w:rsidR="006C0F98" w:rsidRPr="00D5464D">
        <w:rPr>
          <w:lang w:val="pt-BR"/>
        </w:rPr>
        <w:t>m</w:t>
      </w:r>
      <w:r w:rsidR="00207197" w:rsidRPr="00D5464D">
        <w:rPr>
          <w:lang w:val="pt-BR"/>
        </w:rPr>
        <w:t xml:space="preserve"> de su</w:t>
      </w:r>
      <w:r w:rsidR="006C0F98" w:rsidRPr="00D5464D">
        <w:rPr>
          <w:lang w:val="pt-BR"/>
        </w:rPr>
        <w:t>a</w:t>
      </w:r>
      <w:r w:rsidR="00207197" w:rsidRPr="00D5464D">
        <w:rPr>
          <w:lang w:val="pt-BR"/>
        </w:rPr>
        <w:t xml:space="preserve"> </w:t>
      </w:r>
      <w:r w:rsidR="002C330E" w:rsidRPr="00D5464D">
        <w:rPr>
          <w:lang w:val="pt-BR"/>
        </w:rPr>
        <w:t>propriedade</w:t>
      </w:r>
      <w:r w:rsidR="00207197" w:rsidRPr="00D5464D">
        <w:rPr>
          <w:lang w:val="pt-BR"/>
        </w:rPr>
        <w:t>.</w:t>
      </w:r>
    </w:p>
    <w:p w14:paraId="741479EA" w14:textId="77777777" w:rsidR="00207197" w:rsidRPr="00D5464D" w:rsidRDefault="00207197" w:rsidP="00140440">
      <w:pPr>
        <w:jc w:val="both"/>
        <w:rPr>
          <w:lang w:val="pt-BR"/>
        </w:rPr>
      </w:pPr>
    </w:p>
    <w:p w14:paraId="50960D7A" w14:textId="59A7A262" w:rsidR="00207197" w:rsidRPr="00D5464D" w:rsidRDefault="00470ADC" w:rsidP="00F37DC4">
      <w:pPr>
        <w:pStyle w:val="Prrafodelista"/>
        <w:numPr>
          <w:ilvl w:val="0"/>
          <w:numId w:val="1"/>
        </w:numPr>
        <w:contextualSpacing w:val="0"/>
        <w:rPr>
          <w:lang w:val="pt-BR"/>
        </w:rPr>
      </w:pPr>
      <w:r w:rsidRPr="00D5464D">
        <w:rPr>
          <w:lang w:val="pt-BR"/>
        </w:rPr>
        <w:t>Ademais</w:t>
      </w:r>
      <w:r w:rsidR="00207197" w:rsidRPr="00D5464D">
        <w:rPr>
          <w:lang w:val="pt-BR"/>
        </w:rPr>
        <w:t>,</w:t>
      </w:r>
      <w:r w:rsidR="002C330E" w:rsidRPr="00D5464D">
        <w:rPr>
          <w:lang w:val="pt-BR"/>
        </w:rPr>
        <w:t xml:space="preserve"> a </w:t>
      </w:r>
      <w:r w:rsidRPr="00D5464D">
        <w:rPr>
          <w:lang w:val="pt-BR"/>
        </w:rPr>
        <w:t>Comissão</w:t>
      </w:r>
      <w:r w:rsidR="00207197" w:rsidRPr="00D5464D">
        <w:rPr>
          <w:lang w:val="pt-BR"/>
        </w:rPr>
        <w:t xml:space="preserve"> </w:t>
      </w:r>
      <w:r w:rsidR="002C330E" w:rsidRPr="00D5464D">
        <w:rPr>
          <w:lang w:val="pt-BR"/>
        </w:rPr>
        <w:t>afirmou</w:t>
      </w:r>
      <w:r w:rsidR="00207197" w:rsidRPr="00D5464D">
        <w:rPr>
          <w:lang w:val="pt-BR"/>
        </w:rPr>
        <w:t xml:space="preserve"> que</w:t>
      </w:r>
      <w:r w:rsidR="00E045D9" w:rsidRPr="00D5464D">
        <w:rPr>
          <w:lang w:val="pt-BR"/>
        </w:rPr>
        <w:t xml:space="preserve"> neste </w:t>
      </w:r>
      <w:r w:rsidR="00207197" w:rsidRPr="00D5464D">
        <w:rPr>
          <w:lang w:val="pt-BR"/>
        </w:rPr>
        <w:t xml:space="preserve">caso </w:t>
      </w:r>
      <w:r w:rsidRPr="00D5464D">
        <w:rPr>
          <w:lang w:val="pt-BR"/>
        </w:rPr>
        <w:t>existi</w:t>
      </w:r>
      <w:r w:rsidR="006C0F98" w:rsidRPr="00D5464D">
        <w:rPr>
          <w:lang w:val="pt-BR"/>
        </w:rPr>
        <w:t>u</w:t>
      </w:r>
      <w:r w:rsidR="00207197" w:rsidRPr="00D5464D">
        <w:rPr>
          <w:lang w:val="pt-BR"/>
        </w:rPr>
        <w:t xml:space="preserve"> </w:t>
      </w:r>
      <w:r w:rsidR="000B376D" w:rsidRPr="00D5464D">
        <w:rPr>
          <w:lang w:val="pt-BR"/>
        </w:rPr>
        <w:t>servidão</w:t>
      </w:r>
      <w:r w:rsidR="00207197" w:rsidRPr="00D5464D">
        <w:rPr>
          <w:lang w:val="pt-BR"/>
        </w:rPr>
        <w:t xml:space="preserve"> por </w:t>
      </w:r>
      <w:r w:rsidRPr="00D5464D">
        <w:rPr>
          <w:lang w:val="pt-BR"/>
        </w:rPr>
        <w:t>dívida</w:t>
      </w:r>
      <w:r w:rsidR="00207197" w:rsidRPr="00D5464D">
        <w:rPr>
          <w:lang w:val="pt-BR"/>
        </w:rPr>
        <w:t>s</w:t>
      </w:r>
      <w:r w:rsidR="00C91CB1" w:rsidRPr="00D5464D">
        <w:rPr>
          <w:lang w:val="pt-BR"/>
        </w:rPr>
        <w:t xml:space="preserve">. Os </w:t>
      </w:r>
      <w:r w:rsidR="00E045D9" w:rsidRPr="00D5464D">
        <w:rPr>
          <w:lang w:val="pt-BR"/>
        </w:rPr>
        <w:t>trabalhadores</w:t>
      </w:r>
      <w:r w:rsidR="00207197" w:rsidRPr="00D5464D">
        <w:rPr>
          <w:lang w:val="pt-BR"/>
        </w:rPr>
        <w:t xml:space="preserve"> adqui</w:t>
      </w:r>
      <w:r w:rsidR="00350187" w:rsidRPr="00D5464D">
        <w:rPr>
          <w:lang w:val="pt-BR"/>
        </w:rPr>
        <w:t xml:space="preserve">riam </w:t>
      </w:r>
      <w:r w:rsidR="006C0F98" w:rsidRPr="00D5464D">
        <w:rPr>
          <w:lang w:val="pt-BR"/>
        </w:rPr>
        <w:t>grandes</w:t>
      </w:r>
      <w:r w:rsidR="00207197" w:rsidRPr="00D5464D">
        <w:rPr>
          <w:lang w:val="pt-BR"/>
        </w:rPr>
        <w:t xml:space="preserve"> </w:t>
      </w:r>
      <w:r w:rsidRPr="00D5464D">
        <w:rPr>
          <w:lang w:val="pt-BR"/>
        </w:rPr>
        <w:t>dívida</w:t>
      </w:r>
      <w:r w:rsidR="00207197" w:rsidRPr="00D5464D">
        <w:rPr>
          <w:lang w:val="pt-BR"/>
        </w:rPr>
        <w:t>s</w:t>
      </w:r>
      <w:r w:rsidRPr="00D5464D">
        <w:rPr>
          <w:lang w:val="pt-BR"/>
        </w:rPr>
        <w:t xml:space="preserve"> com</w:t>
      </w:r>
      <w:r w:rsidR="002C330E" w:rsidRPr="00D5464D">
        <w:rPr>
          <w:lang w:val="pt-BR"/>
        </w:rPr>
        <w:t xml:space="preserve"> os </w:t>
      </w:r>
      <w:r w:rsidR="00996473" w:rsidRPr="00D5464D">
        <w:rPr>
          <w:lang w:val="pt-BR"/>
        </w:rPr>
        <w:t>gatos</w:t>
      </w:r>
      <w:r w:rsidR="00E045D9" w:rsidRPr="00D5464D">
        <w:rPr>
          <w:lang w:val="pt-BR"/>
        </w:rPr>
        <w:t xml:space="preserve"> e </w:t>
      </w:r>
      <w:r w:rsidR="006C0F98" w:rsidRPr="00D5464D">
        <w:rPr>
          <w:lang w:val="pt-BR"/>
        </w:rPr>
        <w:t xml:space="preserve">com </w:t>
      </w:r>
      <w:r w:rsidR="002C330E" w:rsidRPr="00D5464D">
        <w:rPr>
          <w:lang w:val="pt-BR"/>
        </w:rPr>
        <w:t xml:space="preserve">a </w:t>
      </w:r>
      <w:r w:rsidR="00207197" w:rsidRPr="00D5464D">
        <w:rPr>
          <w:lang w:val="pt-BR"/>
        </w:rPr>
        <w:t>administra</w:t>
      </w:r>
      <w:r w:rsidRPr="00D5464D">
        <w:rPr>
          <w:lang w:val="pt-BR"/>
        </w:rPr>
        <w:t xml:space="preserve">ção da </w:t>
      </w:r>
      <w:r w:rsidR="00D809F0" w:rsidRPr="00D5464D">
        <w:rPr>
          <w:lang w:val="pt-BR"/>
        </w:rPr>
        <w:t>fazenda</w:t>
      </w:r>
      <w:r w:rsidR="00207197" w:rsidRPr="00D5464D">
        <w:rPr>
          <w:lang w:val="pt-BR"/>
        </w:rPr>
        <w:t xml:space="preserve"> </w:t>
      </w:r>
      <w:r w:rsidR="00C91CB1" w:rsidRPr="00D5464D">
        <w:rPr>
          <w:lang w:val="pt-BR"/>
        </w:rPr>
        <w:t>a título de</w:t>
      </w:r>
      <w:r w:rsidR="00207197" w:rsidRPr="00D5464D">
        <w:rPr>
          <w:lang w:val="pt-BR"/>
        </w:rPr>
        <w:t xml:space="preserve"> traslados, alimenta</w:t>
      </w:r>
      <w:r w:rsidRPr="00D5464D">
        <w:rPr>
          <w:lang w:val="pt-BR"/>
        </w:rPr>
        <w:t>ção</w:t>
      </w:r>
      <w:r w:rsidR="00E045D9" w:rsidRPr="00D5464D">
        <w:rPr>
          <w:lang w:val="pt-BR"/>
        </w:rPr>
        <w:t xml:space="preserve"> e </w:t>
      </w:r>
      <w:r w:rsidR="002C330E" w:rsidRPr="00D5464D">
        <w:rPr>
          <w:lang w:val="pt-BR"/>
        </w:rPr>
        <w:t>outros</w:t>
      </w:r>
      <w:r w:rsidR="00207197" w:rsidRPr="00D5464D">
        <w:rPr>
          <w:lang w:val="pt-BR"/>
        </w:rPr>
        <w:t xml:space="preserve">. </w:t>
      </w:r>
      <w:r w:rsidR="006C0F98" w:rsidRPr="00D5464D">
        <w:rPr>
          <w:lang w:val="pt-BR"/>
        </w:rPr>
        <w:t xml:space="preserve">Tendo em vista </w:t>
      </w:r>
      <w:r w:rsidRPr="00D5464D">
        <w:rPr>
          <w:lang w:val="pt-BR"/>
        </w:rPr>
        <w:t xml:space="preserve">o </w:t>
      </w:r>
      <w:r w:rsidR="002C330E" w:rsidRPr="00D5464D">
        <w:rPr>
          <w:lang w:val="pt-BR"/>
        </w:rPr>
        <w:t xml:space="preserve">pouco </w:t>
      </w:r>
      <w:r w:rsidR="00207197" w:rsidRPr="00D5464D">
        <w:rPr>
          <w:lang w:val="pt-BR"/>
        </w:rPr>
        <w:t>o</w:t>
      </w:r>
      <w:r w:rsidR="006C0F98" w:rsidRPr="00D5464D">
        <w:rPr>
          <w:lang w:val="pt-BR"/>
        </w:rPr>
        <w:t>u</w:t>
      </w:r>
      <w:r w:rsidR="00207197" w:rsidRPr="00D5464D">
        <w:rPr>
          <w:lang w:val="pt-BR"/>
        </w:rPr>
        <w:t xml:space="preserve"> nulo </w:t>
      </w:r>
      <w:r w:rsidR="002C330E" w:rsidRPr="00D5464D">
        <w:rPr>
          <w:lang w:val="pt-BR"/>
        </w:rPr>
        <w:t>pagamento</w:t>
      </w:r>
      <w:r w:rsidR="00207197" w:rsidRPr="00D5464D">
        <w:rPr>
          <w:lang w:val="pt-BR"/>
        </w:rPr>
        <w:t xml:space="preserve"> </w:t>
      </w:r>
      <w:r w:rsidR="00737270" w:rsidRPr="00D5464D">
        <w:rPr>
          <w:lang w:val="pt-BR"/>
        </w:rPr>
        <w:t>recebid</w:t>
      </w:r>
      <w:r w:rsidR="00207197" w:rsidRPr="00D5464D">
        <w:rPr>
          <w:lang w:val="pt-BR"/>
        </w:rPr>
        <w:t xml:space="preserve">o, era </w:t>
      </w:r>
      <w:r w:rsidRPr="00D5464D">
        <w:rPr>
          <w:lang w:val="pt-BR"/>
        </w:rPr>
        <w:t xml:space="preserve">quase </w:t>
      </w:r>
      <w:r w:rsidR="002C330E" w:rsidRPr="00D5464D">
        <w:rPr>
          <w:lang w:val="pt-BR"/>
        </w:rPr>
        <w:t xml:space="preserve">impossível </w:t>
      </w:r>
      <w:r w:rsidR="006C0F98" w:rsidRPr="00D5464D">
        <w:rPr>
          <w:lang w:val="pt-BR"/>
        </w:rPr>
        <w:t xml:space="preserve">o pagamento </w:t>
      </w:r>
      <w:r w:rsidRPr="00D5464D">
        <w:rPr>
          <w:lang w:val="pt-BR"/>
        </w:rPr>
        <w:t>da dívida e</w:t>
      </w:r>
      <w:r w:rsidR="00BD1F93" w:rsidRPr="00D5464D">
        <w:rPr>
          <w:lang w:val="pt-BR"/>
        </w:rPr>
        <w:t>,</w:t>
      </w:r>
      <w:r w:rsidR="00207197" w:rsidRPr="00D5464D">
        <w:rPr>
          <w:lang w:val="pt-BR"/>
        </w:rPr>
        <w:t xml:space="preserve"> </w:t>
      </w:r>
      <w:r w:rsidR="002C330E" w:rsidRPr="00D5464D">
        <w:rPr>
          <w:lang w:val="pt-BR"/>
        </w:rPr>
        <w:t>enquanto</w:t>
      </w:r>
      <w:r w:rsidR="00207197" w:rsidRPr="00D5464D">
        <w:rPr>
          <w:lang w:val="pt-BR"/>
        </w:rPr>
        <w:t xml:space="preserve"> </w:t>
      </w:r>
      <w:r w:rsidR="006C0F98" w:rsidRPr="00D5464D">
        <w:rPr>
          <w:lang w:val="pt-BR"/>
        </w:rPr>
        <w:t xml:space="preserve">isso </w:t>
      </w:r>
      <w:r w:rsidR="00207197" w:rsidRPr="00D5464D">
        <w:rPr>
          <w:lang w:val="pt-BR"/>
        </w:rPr>
        <w:t>n</w:t>
      </w:r>
      <w:r w:rsidR="006C0F98" w:rsidRPr="00D5464D">
        <w:rPr>
          <w:lang w:val="pt-BR"/>
        </w:rPr>
        <w:t>ã</w:t>
      </w:r>
      <w:r w:rsidR="00207197" w:rsidRPr="00D5464D">
        <w:rPr>
          <w:lang w:val="pt-BR"/>
        </w:rPr>
        <w:t xml:space="preserve">o </w:t>
      </w:r>
      <w:r w:rsidR="006C0F98" w:rsidRPr="00D5464D">
        <w:rPr>
          <w:lang w:val="pt-BR"/>
        </w:rPr>
        <w:t>ocorresse,</w:t>
      </w:r>
      <w:r w:rsidR="002C330E" w:rsidRPr="00D5464D">
        <w:rPr>
          <w:lang w:val="pt-BR"/>
        </w:rPr>
        <w:t xml:space="preserve"> os </w:t>
      </w:r>
      <w:r w:rsidR="00E045D9" w:rsidRPr="00D5464D">
        <w:rPr>
          <w:lang w:val="pt-BR"/>
        </w:rPr>
        <w:t>trabalhadores</w:t>
      </w:r>
      <w:r w:rsidR="00207197" w:rsidRPr="00D5464D">
        <w:rPr>
          <w:lang w:val="pt-BR"/>
        </w:rPr>
        <w:t xml:space="preserve"> n</w:t>
      </w:r>
      <w:r w:rsidR="006C0F98" w:rsidRPr="00D5464D">
        <w:rPr>
          <w:lang w:val="pt-BR"/>
        </w:rPr>
        <w:t>ã</w:t>
      </w:r>
      <w:r w:rsidR="00207197" w:rsidRPr="00D5464D">
        <w:rPr>
          <w:lang w:val="pt-BR"/>
        </w:rPr>
        <w:t xml:space="preserve">o </w:t>
      </w:r>
      <w:r w:rsidR="00A1358C" w:rsidRPr="00D5464D">
        <w:rPr>
          <w:lang w:val="pt-BR"/>
        </w:rPr>
        <w:t>podiam</w:t>
      </w:r>
      <w:r w:rsidR="00207197" w:rsidRPr="00D5464D">
        <w:rPr>
          <w:lang w:val="pt-BR"/>
        </w:rPr>
        <w:t xml:space="preserve"> </w:t>
      </w:r>
      <w:r w:rsidRPr="00D5464D">
        <w:rPr>
          <w:lang w:val="pt-BR"/>
        </w:rPr>
        <w:t>deixar</w:t>
      </w:r>
      <w:r w:rsidR="002C330E" w:rsidRPr="00D5464D">
        <w:rPr>
          <w:lang w:val="pt-BR"/>
        </w:rPr>
        <w:t xml:space="preserve"> a </w:t>
      </w:r>
      <w:r w:rsidR="00D809F0" w:rsidRPr="00D5464D">
        <w:rPr>
          <w:lang w:val="pt-BR"/>
        </w:rPr>
        <w:t>fazenda</w:t>
      </w:r>
      <w:r w:rsidR="00207197" w:rsidRPr="00D5464D">
        <w:rPr>
          <w:lang w:val="pt-BR"/>
        </w:rPr>
        <w:t xml:space="preserve">. </w:t>
      </w:r>
      <w:r w:rsidR="00E045D9" w:rsidRPr="00D5464D">
        <w:rPr>
          <w:lang w:val="pt-BR"/>
        </w:rPr>
        <w:t>Também</w:t>
      </w:r>
      <w:r w:rsidR="00207197" w:rsidRPr="00D5464D">
        <w:rPr>
          <w:lang w:val="pt-BR"/>
        </w:rPr>
        <w:t xml:space="preserve"> </w:t>
      </w:r>
      <w:r w:rsidRPr="00D5464D">
        <w:rPr>
          <w:lang w:val="pt-BR"/>
        </w:rPr>
        <w:t>considerou</w:t>
      </w:r>
      <w:r w:rsidR="00207197" w:rsidRPr="00D5464D">
        <w:rPr>
          <w:lang w:val="pt-BR"/>
        </w:rPr>
        <w:t xml:space="preserve"> que se configura</w:t>
      </w:r>
      <w:r w:rsidR="00E045D9" w:rsidRPr="00D5464D">
        <w:rPr>
          <w:lang w:val="pt-BR"/>
        </w:rPr>
        <w:t xml:space="preserve"> um </w:t>
      </w:r>
      <w:r w:rsidR="00207197" w:rsidRPr="00D5464D">
        <w:rPr>
          <w:lang w:val="pt-BR"/>
        </w:rPr>
        <w:t xml:space="preserve">caso de </w:t>
      </w:r>
      <w:r w:rsidR="00E045D9" w:rsidRPr="00D5464D">
        <w:rPr>
          <w:lang w:val="pt-BR"/>
        </w:rPr>
        <w:t>trabalho</w:t>
      </w:r>
      <w:r w:rsidR="001B63D0" w:rsidRPr="00D5464D">
        <w:rPr>
          <w:lang w:val="pt-BR"/>
        </w:rPr>
        <w:t xml:space="preserve"> </w:t>
      </w:r>
      <w:r w:rsidR="00230C71" w:rsidRPr="00D5464D">
        <w:rPr>
          <w:lang w:val="pt-BR"/>
        </w:rPr>
        <w:t>forçado</w:t>
      </w:r>
      <w:r w:rsidR="00BD1F93" w:rsidRPr="00D5464D">
        <w:rPr>
          <w:lang w:val="pt-BR"/>
        </w:rPr>
        <w:t>,</w:t>
      </w:r>
      <w:r w:rsidR="002C330E" w:rsidRPr="00D5464D">
        <w:rPr>
          <w:lang w:val="pt-BR"/>
        </w:rPr>
        <w:t xml:space="preserve"> pois os serviço</w:t>
      </w:r>
      <w:r w:rsidR="00207197" w:rsidRPr="00D5464D">
        <w:rPr>
          <w:lang w:val="pt-BR"/>
        </w:rPr>
        <w:t>s</w:t>
      </w:r>
      <w:r w:rsidRPr="00D5464D">
        <w:rPr>
          <w:lang w:val="pt-BR"/>
        </w:rPr>
        <w:t xml:space="preserve"> eram </w:t>
      </w:r>
      <w:r w:rsidR="00207197" w:rsidRPr="00D5464D">
        <w:rPr>
          <w:lang w:val="pt-BR"/>
        </w:rPr>
        <w:t>prestados</w:t>
      </w:r>
      <w:r w:rsidRPr="00D5464D">
        <w:rPr>
          <w:lang w:val="pt-BR"/>
        </w:rPr>
        <w:t xml:space="preserve"> </w:t>
      </w:r>
      <w:r w:rsidR="00207197" w:rsidRPr="00D5464D">
        <w:rPr>
          <w:lang w:val="pt-BR"/>
        </w:rPr>
        <w:t>contra</w:t>
      </w:r>
      <w:r w:rsidR="002C330E" w:rsidRPr="00D5464D">
        <w:rPr>
          <w:lang w:val="pt-BR"/>
        </w:rPr>
        <w:t xml:space="preserve"> a </w:t>
      </w:r>
      <w:r w:rsidR="00E045D9" w:rsidRPr="00D5464D">
        <w:rPr>
          <w:lang w:val="pt-BR"/>
        </w:rPr>
        <w:t xml:space="preserve">vontade </w:t>
      </w:r>
      <w:r w:rsidRPr="00D5464D">
        <w:rPr>
          <w:lang w:val="pt-BR"/>
        </w:rPr>
        <w:t xml:space="preserve">dos </w:t>
      </w:r>
      <w:r w:rsidR="00E045D9" w:rsidRPr="00D5464D">
        <w:rPr>
          <w:lang w:val="pt-BR"/>
        </w:rPr>
        <w:t>trabalhadores</w:t>
      </w:r>
      <w:r w:rsidR="00767387" w:rsidRPr="00D5464D">
        <w:rPr>
          <w:lang w:val="pt-BR"/>
        </w:rPr>
        <w:t xml:space="preserve"> e sob ameaças de violência</w:t>
      </w:r>
      <w:r w:rsidR="00207197" w:rsidRPr="00D5464D">
        <w:rPr>
          <w:lang w:val="pt-BR"/>
        </w:rPr>
        <w:t xml:space="preserve">. </w:t>
      </w:r>
      <w:r w:rsidR="002C330E" w:rsidRPr="00D5464D">
        <w:rPr>
          <w:lang w:val="pt-BR"/>
        </w:rPr>
        <w:t>Afirmou</w:t>
      </w:r>
      <w:r w:rsidR="00207197" w:rsidRPr="00D5464D">
        <w:rPr>
          <w:lang w:val="pt-BR"/>
        </w:rPr>
        <w:t xml:space="preserve"> que</w:t>
      </w:r>
      <w:r w:rsidR="00BD1F93" w:rsidRPr="00D5464D">
        <w:rPr>
          <w:lang w:val="pt-BR"/>
        </w:rPr>
        <w:t>,</w:t>
      </w:r>
      <w:r w:rsidR="002C330E" w:rsidRPr="00D5464D">
        <w:rPr>
          <w:lang w:val="pt-BR"/>
        </w:rPr>
        <w:t xml:space="preserve"> </w:t>
      </w:r>
      <w:r w:rsidR="00EF5EE9" w:rsidRPr="00D5464D">
        <w:rPr>
          <w:lang w:val="pt-BR"/>
        </w:rPr>
        <w:t xml:space="preserve">apesar de </w:t>
      </w:r>
      <w:r w:rsidR="002C330E" w:rsidRPr="00D5464D">
        <w:rPr>
          <w:lang w:val="pt-BR"/>
        </w:rPr>
        <w:t xml:space="preserve">os </w:t>
      </w:r>
      <w:r w:rsidR="00E045D9" w:rsidRPr="00D5464D">
        <w:rPr>
          <w:lang w:val="pt-BR"/>
        </w:rPr>
        <w:t>trabalhadores</w:t>
      </w:r>
      <w:r w:rsidR="00207197" w:rsidRPr="00D5464D">
        <w:rPr>
          <w:lang w:val="pt-BR"/>
        </w:rPr>
        <w:t xml:space="preserve"> </w:t>
      </w:r>
      <w:r w:rsidR="00EF5EE9" w:rsidRPr="00D5464D">
        <w:rPr>
          <w:lang w:val="pt-BR"/>
        </w:rPr>
        <w:t xml:space="preserve">terem chegado </w:t>
      </w:r>
      <w:r w:rsidR="00207197" w:rsidRPr="00D5464D">
        <w:rPr>
          <w:lang w:val="pt-BR"/>
        </w:rPr>
        <w:t xml:space="preserve">inicialmente de forma </w:t>
      </w:r>
      <w:r w:rsidR="00737270" w:rsidRPr="00D5464D">
        <w:rPr>
          <w:lang w:val="pt-BR"/>
        </w:rPr>
        <w:t>voluntári</w:t>
      </w:r>
      <w:r w:rsidR="00207197" w:rsidRPr="00D5464D">
        <w:rPr>
          <w:lang w:val="pt-BR"/>
        </w:rPr>
        <w:t>a,</w:t>
      </w:r>
      <w:r w:rsidR="00C91CB1" w:rsidRPr="00D5464D">
        <w:rPr>
          <w:lang w:val="pt-BR"/>
        </w:rPr>
        <w:t xml:space="preserve"> o </w:t>
      </w:r>
      <w:r w:rsidR="00A1358C" w:rsidRPr="00D5464D">
        <w:rPr>
          <w:lang w:val="pt-BR"/>
        </w:rPr>
        <w:t>faziam</w:t>
      </w:r>
      <w:r w:rsidRPr="00D5464D">
        <w:rPr>
          <w:lang w:val="pt-BR"/>
        </w:rPr>
        <w:t xml:space="preserve"> com </w:t>
      </w:r>
      <w:r w:rsidR="00207197" w:rsidRPr="00D5464D">
        <w:rPr>
          <w:lang w:val="pt-BR"/>
        </w:rPr>
        <w:t>base</w:t>
      </w:r>
      <w:r w:rsidRPr="00D5464D">
        <w:rPr>
          <w:lang w:val="pt-BR"/>
        </w:rPr>
        <w:t xml:space="preserve"> em </w:t>
      </w:r>
      <w:r w:rsidR="00841342" w:rsidRPr="00D5464D">
        <w:rPr>
          <w:lang w:val="pt-BR"/>
        </w:rPr>
        <w:t>fraude</w:t>
      </w:r>
      <w:r w:rsidR="00E045D9" w:rsidRPr="00D5464D">
        <w:rPr>
          <w:lang w:val="pt-BR"/>
        </w:rPr>
        <w:t xml:space="preserve"> e </w:t>
      </w:r>
      <w:r w:rsidR="00207197" w:rsidRPr="00D5464D">
        <w:rPr>
          <w:lang w:val="pt-BR"/>
        </w:rPr>
        <w:t>n</w:t>
      </w:r>
      <w:r w:rsidR="00EF5EE9" w:rsidRPr="00D5464D">
        <w:rPr>
          <w:lang w:val="pt-BR"/>
        </w:rPr>
        <w:t>ã</w:t>
      </w:r>
      <w:r w:rsidR="00207197" w:rsidRPr="00D5464D">
        <w:rPr>
          <w:lang w:val="pt-BR"/>
        </w:rPr>
        <w:t xml:space="preserve">o </w:t>
      </w:r>
      <w:r w:rsidR="00A1358C" w:rsidRPr="00D5464D">
        <w:rPr>
          <w:lang w:val="pt-BR"/>
        </w:rPr>
        <w:t>podiam</w:t>
      </w:r>
      <w:r w:rsidR="00207197" w:rsidRPr="00D5464D">
        <w:rPr>
          <w:lang w:val="pt-BR"/>
        </w:rPr>
        <w:t xml:space="preserve"> </w:t>
      </w:r>
      <w:r w:rsidRPr="00D5464D">
        <w:rPr>
          <w:lang w:val="pt-BR"/>
        </w:rPr>
        <w:t>deixar</w:t>
      </w:r>
      <w:r w:rsidR="002C330E" w:rsidRPr="00D5464D">
        <w:rPr>
          <w:lang w:val="pt-BR"/>
        </w:rPr>
        <w:t xml:space="preserve"> a </w:t>
      </w:r>
      <w:r w:rsidR="00D809F0" w:rsidRPr="00D5464D">
        <w:rPr>
          <w:lang w:val="pt-BR"/>
        </w:rPr>
        <w:t>fazenda</w:t>
      </w:r>
      <w:r w:rsidR="00E045D9" w:rsidRPr="00D5464D">
        <w:rPr>
          <w:lang w:val="pt-BR"/>
        </w:rPr>
        <w:t xml:space="preserve"> uma </w:t>
      </w:r>
      <w:r w:rsidR="00207197" w:rsidRPr="00D5464D">
        <w:rPr>
          <w:lang w:val="pt-BR"/>
        </w:rPr>
        <w:t>vez que se</w:t>
      </w:r>
      <w:r w:rsidR="00A1358C" w:rsidRPr="00D5464D">
        <w:rPr>
          <w:lang w:val="pt-BR"/>
        </w:rPr>
        <w:t xml:space="preserve"> </w:t>
      </w:r>
      <w:r w:rsidR="00EF5EE9" w:rsidRPr="00D5464D">
        <w:rPr>
          <w:lang w:val="pt-BR"/>
        </w:rPr>
        <w:t xml:space="preserve">davam conta </w:t>
      </w:r>
      <w:r w:rsidRPr="00D5464D">
        <w:rPr>
          <w:lang w:val="pt-BR"/>
        </w:rPr>
        <w:t xml:space="preserve">das </w:t>
      </w:r>
      <w:r w:rsidR="002C330E" w:rsidRPr="00D5464D">
        <w:rPr>
          <w:lang w:val="pt-BR"/>
        </w:rPr>
        <w:t>reais</w:t>
      </w:r>
      <w:r w:rsidR="00207197" w:rsidRPr="00D5464D">
        <w:rPr>
          <w:lang w:val="pt-BR"/>
        </w:rPr>
        <w:t xml:space="preserve"> condi</w:t>
      </w:r>
      <w:r w:rsidRPr="00D5464D">
        <w:rPr>
          <w:lang w:val="pt-BR"/>
        </w:rPr>
        <w:t>ções</w:t>
      </w:r>
      <w:r w:rsidR="00207197" w:rsidRPr="00D5464D">
        <w:rPr>
          <w:lang w:val="pt-BR"/>
        </w:rPr>
        <w:t xml:space="preserve"> de </w:t>
      </w:r>
      <w:r w:rsidR="00E045D9" w:rsidRPr="00D5464D">
        <w:rPr>
          <w:lang w:val="pt-BR"/>
        </w:rPr>
        <w:t>trabalho</w:t>
      </w:r>
      <w:r w:rsidR="00207197" w:rsidRPr="00D5464D">
        <w:rPr>
          <w:lang w:val="pt-BR"/>
        </w:rPr>
        <w:t>.</w:t>
      </w:r>
    </w:p>
    <w:p w14:paraId="23CA8A05" w14:textId="77777777" w:rsidR="00DE3E58" w:rsidRPr="00D5464D" w:rsidRDefault="00DE3E58" w:rsidP="00DE3E58">
      <w:pPr>
        <w:pStyle w:val="Prrafodelista"/>
        <w:ind w:left="0"/>
        <w:contextualSpacing w:val="0"/>
        <w:rPr>
          <w:lang w:val="pt-BR"/>
        </w:rPr>
      </w:pPr>
    </w:p>
    <w:p w14:paraId="572D6AAA" w14:textId="0F0D6F95" w:rsidR="00207197" w:rsidRPr="00D5464D" w:rsidRDefault="00470ADC" w:rsidP="00F37DC4">
      <w:pPr>
        <w:pStyle w:val="Prrafodelista"/>
        <w:numPr>
          <w:ilvl w:val="0"/>
          <w:numId w:val="1"/>
        </w:numPr>
        <w:contextualSpacing w:val="0"/>
        <w:rPr>
          <w:lang w:val="pt-BR"/>
        </w:rPr>
      </w:pPr>
      <w:r w:rsidRPr="00D5464D">
        <w:rPr>
          <w:lang w:val="pt-BR"/>
        </w:rPr>
        <w:t>A Comissão</w:t>
      </w:r>
      <w:r w:rsidR="00207197" w:rsidRPr="00D5464D">
        <w:rPr>
          <w:lang w:val="pt-BR"/>
        </w:rPr>
        <w:t xml:space="preserve"> </w:t>
      </w:r>
      <w:r w:rsidR="00C91CB1" w:rsidRPr="00D5464D">
        <w:rPr>
          <w:lang w:val="pt-BR"/>
        </w:rPr>
        <w:t>afirmou</w:t>
      </w:r>
      <w:r w:rsidR="00207197" w:rsidRPr="00D5464D">
        <w:rPr>
          <w:lang w:val="pt-BR"/>
        </w:rPr>
        <w:t xml:space="preserve"> que</w:t>
      </w:r>
      <w:r w:rsidRPr="00D5464D">
        <w:rPr>
          <w:lang w:val="pt-BR"/>
        </w:rPr>
        <w:t xml:space="preserve"> o </w:t>
      </w:r>
      <w:r w:rsidR="00207197" w:rsidRPr="00D5464D">
        <w:rPr>
          <w:lang w:val="pt-BR"/>
        </w:rPr>
        <w:t xml:space="preserve">Estado </w:t>
      </w:r>
      <w:r w:rsidRPr="00D5464D">
        <w:rPr>
          <w:lang w:val="pt-BR"/>
        </w:rPr>
        <w:t>brasileir</w:t>
      </w:r>
      <w:r w:rsidR="00207197" w:rsidRPr="00D5464D">
        <w:rPr>
          <w:lang w:val="pt-BR"/>
        </w:rPr>
        <w:t xml:space="preserve">o </w:t>
      </w:r>
      <w:r w:rsidR="00E045D9" w:rsidRPr="00D5464D">
        <w:rPr>
          <w:lang w:val="pt-BR"/>
        </w:rPr>
        <w:t>tinha</w:t>
      </w:r>
      <w:r w:rsidR="00207197" w:rsidRPr="00D5464D">
        <w:rPr>
          <w:lang w:val="pt-BR"/>
        </w:rPr>
        <w:t xml:space="preserve"> </w:t>
      </w:r>
      <w:r w:rsidRPr="00D5464D">
        <w:rPr>
          <w:lang w:val="pt-BR"/>
        </w:rPr>
        <w:t>conhecimento</w:t>
      </w:r>
      <w:r w:rsidR="00207197" w:rsidRPr="00D5464D">
        <w:rPr>
          <w:lang w:val="pt-BR"/>
        </w:rPr>
        <w:t xml:space="preserve"> </w:t>
      </w:r>
      <w:r w:rsidRPr="00D5464D">
        <w:rPr>
          <w:lang w:val="pt-BR"/>
        </w:rPr>
        <w:t>do fenômeno</w:t>
      </w:r>
      <w:r w:rsidR="00207197" w:rsidRPr="00D5464D">
        <w:rPr>
          <w:lang w:val="pt-BR"/>
        </w:rPr>
        <w:t xml:space="preserve"> </w:t>
      </w:r>
      <w:r w:rsidR="0096770C" w:rsidRPr="00D5464D">
        <w:rPr>
          <w:lang w:val="pt-BR"/>
        </w:rPr>
        <w:t>de</w:t>
      </w:r>
      <w:r w:rsidRPr="00D5464D">
        <w:rPr>
          <w:lang w:val="pt-BR"/>
        </w:rPr>
        <w:t xml:space="preserve"> </w:t>
      </w:r>
      <w:r w:rsidR="00E045D9" w:rsidRPr="00D5464D">
        <w:rPr>
          <w:lang w:val="pt-BR"/>
        </w:rPr>
        <w:t>trabalho</w:t>
      </w:r>
      <w:r w:rsidR="00207197" w:rsidRPr="00D5464D">
        <w:rPr>
          <w:lang w:val="pt-BR"/>
        </w:rPr>
        <w:t xml:space="preserve"> </w:t>
      </w:r>
      <w:r w:rsidR="004F1CC2" w:rsidRPr="00D5464D">
        <w:rPr>
          <w:lang w:val="pt-BR"/>
        </w:rPr>
        <w:t>escravo</w:t>
      </w:r>
      <w:r w:rsidRPr="00D5464D">
        <w:rPr>
          <w:lang w:val="pt-BR"/>
        </w:rPr>
        <w:t xml:space="preserve"> em </w:t>
      </w:r>
      <w:r w:rsidR="00230C71" w:rsidRPr="00D5464D">
        <w:rPr>
          <w:lang w:val="pt-BR"/>
        </w:rPr>
        <w:t>seu território</w:t>
      </w:r>
      <w:r w:rsidR="00207197" w:rsidRPr="00D5464D">
        <w:rPr>
          <w:lang w:val="pt-BR"/>
        </w:rPr>
        <w:t xml:space="preserve"> desde </w:t>
      </w:r>
      <w:r w:rsidR="002C330E" w:rsidRPr="00D5464D">
        <w:rPr>
          <w:lang w:val="pt-BR"/>
        </w:rPr>
        <w:t>muito</w:t>
      </w:r>
      <w:r w:rsidR="00207197" w:rsidRPr="00D5464D">
        <w:rPr>
          <w:lang w:val="pt-BR"/>
        </w:rPr>
        <w:t xml:space="preserve"> antes</w:t>
      </w:r>
      <w:r w:rsidRPr="00D5464D">
        <w:rPr>
          <w:lang w:val="pt-BR"/>
        </w:rPr>
        <w:t xml:space="preserve"> dos </w:t>
      </w:r>
      <w:r w:rsidR="002C330E" w:rsidRPr="00D5464D">
        <w:rPr>
          <w:lang w:val="pt-BR"/>
        </w:rPr>
        <w:t>fatos</w:t>
      </w:r>
      <w:r w:rsidR="00207197" w:rsidRPr="00D5464D">
        <w:rPr>
          <w:lang w:val="pt-BR"/>
        </w:rPr>
        <w:t xml:space="preserve"> </w:t>
      </w:r>
      <w:r w:rsidRPr="00D5464D">
        <w:rPr>
          <w:lang w:val="pt-BR"/>
        </w:rPr>
        <w:t xml:space="preserve">do </w:t>
      </w:r>
      <w:r w:rsidR="00207197" w:rsidRPr="00D5464D">
        <w:rPr>
          <w:lang w:val="pt-BR"/>
        </w:rPr>
        <w:t xml:space="preserve">presente caso. </w:t>
      </w:r>
      <w:r w:rsidR="00230C71" w:rsidRPr="00D5464D">
        <w:rPr>
          <w:lang w:val="pt-BR"/>
        </w:rPr>
        <w:t>Acrescentou</w:t>
      </w:r>
      <w:r w:rsidR="00207197" w:rsidRPr="00D5464D">
        <w:rPr>
          <w:lang w:val="pt-BR"/>
        </w:rPr>
        <w:t xml:space="preserve"> que</w:t>
      </w:r>
      <w:r w:rsidRPr="00D5464D">
        <w:rPr>
          <w:lang w:val="pt-BR"/>
        </w:rPr>
        <w:t xml:space="preserve"> o </w:t>
      </w:r>
      <w:r w:rsidR="00207197" w:rsidRPr="00D5464D">
        <w:rPr>
          <w:lang w:val="pt-BR"/>
        </w:rPr>
        <w:t>Estado</w:t>
      </w:r>
      <w:r w:rsidR="00BD1F93" w:rsidRPr="00D5464D">
        <w:rPr>
          <w:lang w:val="pt-BR"/>
        </w:rPr>
        <w:t>,</w:t>
      </w:r>
      <w:r w:rsidR="00207197" w:rsidRPr="00D5464D">
        <w:rPr>
          <w:lang w:val="pt-BR"/>
        </w:rPr>
        <w:t xml:space="preserve"> </w:t>
      </w:r>
      <w:r w:rsidR="00350187" w:rsidRPr="00D5464D">
        <w:rPr>
          <w:lang w:val="pt-BR"/>
        </w:rPr>
        <w:t xml:space="preserve">não apenas </w:t>
      </w:r>
      <w:r w:rsidR="0096770C" w:rsidRPr="00D5464D">
        <w:rPr>
          <w:lang w:val="pt-BR"/>
        </w:rPr>
        <w:t>sabi</w:t>
      </w:r>
      <w:r w:rsidR="00207197" w:rsidRPr="00D5464D">
        <w:rPr>
          <w:lang w:val="pt-BR"/>
        </w:rPr>
        <w:t xml:space="preserve">a </w:t>
      </w:r>
      <w:r w:rsidRPr="00D5464D">
        <w:rPr>
          <w:lang w:val="pt-BR"/>
        </w:rPr>
        <w:t xml:space="preserve">do </w:t>
      </w:r>
      <w:r w:rsidR="00207197" w:rsidRPr="00D5464D">
        <w:rPr>
          <w:lang w:val="pt-BR"/>
        </w:rPr>
        <w:t>problema</w:t>
      </w:r>
      <w:r w:rsidRPr="00D5464D">
        <w:rPr>
          <w:lang w:val="pt-BR"/>
        </w:rPr>
        <w:t xml:space="preserve"> em </w:t>
      </w:r>
      <w:r w:rsidR="00E045D9" w:rsidRPr="00D5464D">
        <w:rPr>
          <w:lang w:val="pt-BR"/>
        </w:rPr>
        <w:t>termo</w:t>
      </w:r>
      <w:r w:rsidR="00207197" w:rsidRPr="00D5464D">
        <w:rPr>
          <w:lang w:val="pt-BR"/>
        </w:rPr>
        <w:t xml:space="preserve">s </w:t>
      </w:r>
      <w:r w:rsidR="002C330E" w:rsidRPr="00D5464D">
        <w:rPr>
          <w:lang w:val="pt-BR"/>
        </w:rPr>
        <w:t>gerais</w:t>
      </w:r>
      <w:r w:rsidR="00207197" w:rsidRPr="00D5464D">
        <w:rPr>
          <w:lang w:val="pt-BR"/>
        </w:rPr>
        <w:t>,</w:t>
      </w:r>
      <w:r w:rsidR="002C330E" w:rsidRPr="00D5464D">
        <w:rPr>
          <w:lang w:val="pt-BR"/>
        </w:rPr>
        <w:t xml:space="preserve"> mas </w:t>
      </w:r>
      <w:r w:rsidR="00E045D9" w:rsidRPr="00D5464D">
        <w:rPr>
          <w:lang w:val="pt-BR"/>
        </w:rPr>
        <w:t>tinha</w:t>
      </w:r>
      <w:r w:rsidR="00C91CB1" w:rsidRPr="00D5464D">
        <w:rPr>
          <w:lang w:val="pt-BR"/>
        </w:rPr>
        <w:t xml:space="preserve"> perfeit</w:t>
      </w:r>
      <w:r w:rsidR="00207197" w:rsidRPr="00D5464D">
        <w:rPr>
          <w:lang w:val="pt-BR"/>
        </w:rPr>
        <w:t xml:space="preserve">o </w:t>
      </w:r>
      <w:r w:rsidRPr="00D5464D">
        <w:rPr>
          <w:lang w:val="pt-BR"/>
        </w:rPr>
        <w:t xml:space="preserve">conhecimento da </w:t>
      </w:r>
      <w:r w:rsidR="00207197" w:rsidRPr="00D5464D">
        <w:rPr>
          <w:lang w:val="pt-BR"/>
        </w:rPr>
        <w:t>situa</w:t>
      </w:r>
      <w:r w:rsidRPr="00D5464D">
        <w:rPr>
          <w:lang w:val="pt-BR"/>
        </w:rPr>
        <w:t>ção</w:t>
      </w:r>
      <w:r w:rsidR="00E045D9" w:rsidRPr="00D5464D">
        <w:rPr>
          <w:lang w:val="pt-BR"/>
        </w:rPr>
        <w:t xml:space="preserve"> na </w:t>
      </w:r>
      <w:r w:rsidR="00D809F0" w:rsidRPr="00D5464D">
        <w:rPr>
          <w:lang w:val="pt-BR"/>
        </w:rPr>
        <w:t>Fazenda</w:t>
      </w:r>
      <w:r w:rsidR="00207197" w:rsidRPr="00D5464D">
        <w:rPr>
          <w:lang w:val="pt-BR"/>
        </w:rPr>
        <w:t xml:space="preserve"> Brasil Verde</w:t>
      </w:r>
      <w:r w:rsidR="00A1358C" w:rsidRPr="00D5464D">
        <w:rPr>
          <w:lang w:val="pt-BR"/>
        </w:rPr>
        <w:t xml:space="preserve">. A </w:t>
      </w:r>
      <w:r w:rsidRPr="00D5464D">
        <w:rPr>
          <w:lang w:val="pt-BR"/>
        </w:rPr>
        <w:t>Comissão</w:t>
      </w:r>
      <w:r w:rsidR="00207197" w:rsidRPr="00D5464D">
        <w:rPr>
          <w:lang w:val="pt-BR"/>
        </w:rPr>
        <w:t xml:space="preserve"> </w:t>
      </w:r>
      <w:r w:rsidR="002C330E" w:rsidRPr="00D5464D">
        <w:rPr>
          <w:lang w:val="pt-BR"/>
        </w:rPr>
        <w:t>afirmou</w:t>
      </w:r>
      <w:r w:rsidR="00207197" w:rsidRPr="00D5464D">
        <w:rPr>
          <w:lang w:val="pt-BR"/>
        </w:rPr>
        <w:t xml:space="preserve"> que</w:t>
      </w:r>
      <w:r w:rsidR="00BD1F93" w:rsidRPr="00D5464D">
        <w:rPr>
          <w:lang w:val="pt-BR"/>
        </w:rPr>
        <w:t>,</w:t>
      </w:r>
      <w:r w:rsidR="002C330E" w:rsidRPr="00D5464D">
        <w:rPr>
          <w:lang w:val="pt-BR"/>
        </w:rPr>
        <w:t xml:space="preserve"> </w:t>
      </w:r>
      <w:r w:rsidR="0096770C" w:rsidRPr="00D5464D">
        <w:rPr>
          <w:lang w:val="pt-BR"/>
        </w:rPr>
        <w:t xml:space="preserve">mesmo que </w:t>
      </w:r>
      <w:r w:rsidR="002C330E" w:rsidRPr="00D5464D">
        <w:rPr>
          <w:lang w:val="pt-BR"/>
        </w:rPr>
        <w:t xml:space="preserve">as </w:t>
      </w:r>
      <w:r w:rsidR="00207197" w:rsidRPr="00D5464D">
        <w:rPr>
          <w:lang w:val="pt-BR"/>
        </w:rPr>
        <w:t>fiscaliza</w:t>
      </w:r>
      <w:r w:rsidRPr="00D5464D">
        <w:rPr>
          <w:lang w:val="pt-BR"/>
        </w:rPr>
        <w:t>ções</w:t>
      </w:r>
      <w:r w:rsidR="00207197" w:rsidRPr="00D5464D">
        <w:rPr>
          <w:lang w:val="pt-BR"/>
        </w:rPr>
        <w:t xml:space="preserve"> de 1989 a 1997 se </w:t>
      </w:r>
      <w:r w:rsidRPr="00D5464D">
        <w:rPr>
          <w:lang w:val="pt-BR"/>
        </w:rPr>
        <w:t>encontr</w:t>
      </w:r>
      <w:r w:rsidR="00BD1F93" w:rsidRPr="00D5464D">
        <w:rPr>
          <w:lang w:val="pt-BR"/>
        </w:rPr>
        <w:t>e</w:t>
      </w:r>
      <w:r w:rsidRPr="00D5464D">
        <w:rPr>
          <w:lang w:val="pt-BR"/>
        </w:rPr>
        <w:t>m</w:t>
      </w:r>
      <w:r w:rsidR="00207197" w:rsidRPr="00D5464D">
        <w:rPr>
          <w:lang w:val="pt-BR"/>
        </w:rPr>
        <w:t xml:space="preserve"> </w:t>
      </w:r>
      <w:r w:rsidRPr="00D5464D">
        <w:rPr>
          <w:lang w:val="pt-BR"/>
        </w:rPr>
        <w:t xml:space="preserve">fora da competência da </w:t>
      </w:r>
      <w:r w:rsidR="00207197" w:rsidRPr="00D5464D">
        <w:rPr>
          <w:lang w:val="pt-BR"/>
        </w:rPr>
        <w:t xml:space="preserve">Corte, </w:t>
      </w:r>
      <w:r w:rsidRPr="00D5464D">
        <w:rPr>
          <w:lang w:val="pt-BR"/>
        </w:rPr>
        <w:t>devem</w:t>
      </w:r>
      <w:r w:rsidR="00207197" w:rsidRPr="00D5464D">
        <w:rPr>
          <w:lang w:val="pt-BR"/>
        </w:rPr>
        <w:t xml:space="preserve"> ser tomadas</w:t>
      </w:r>
      <w:r w:rsidRPr="00D5464D">
        <w:rPr>
          <w:lang w:val="pt-BR"/>
        </w:rPr>
        <w:t xml:space="preserve"> em </w:t>
      </w:r>
      <w:r w:rsidR="0096770C" w:rsidRPr="00D5464D">
        <w:rPr>
          <w:lang w:val="pt-BR"/>
        </w:rPr>
        <w:t xml:space="preserve">consideração </w:t>
      </w:r>
      <w:r w:rsidR="00207197" w:rsidRPr="00D5464D">
        <w:rPr>
          <w:lang w:val="pt-BR"/>
        </w:rPr>
        <w:t>como contexto</w:t>
      </w:r>
      <w:r w:rsidRPr="00D5464D">
        <w:rPr>
          <w:lang w:val="pt-BR"/>
        </w:rPr>
        <w:t xml:space="preserve"> do </w:t>
      </w:r>
      <w:r w:rsidR="00207197" w:rsidRPr="00D5464D">
        <w:rPr>
          <w:lang w:val="pt-BR"/>
        </w:rPr>
        <w:t xml:space="preserve">que </w:t>
      </w:r>
      <w:r w:rsidR="0096770C" w:rsidRPr="00D5464D">
        <w:rPr>
          <w:lang w:val="pt-BR"/>
        </w:rPr>
        <w:t xml:space="preserve">ocorria </w:t>
      </w:r>
      <w:r w:rsidR="00E045D9" w:rsidRPr="00D5464D">
        <w:rPr>
          <w:lang w:val="pt-BR"/>
        </w:rPr>
        <w:t xml:space="preserve">na </w:t>
      </w:r>
      <w:r w:rsidR="0096770C" w:rsidRPr="00D5464D">
        <w:rPr>
          <w:lang w:val="pt-BR"/>
        </w:rPr>
        <w:t>F</w:t>
      </w:r>
      <w:r w:rsidR="00D809F0" w:rsidRPr="00D5464D">
        <w:rPr>
          <w:lang w:val="pt-BR"/>
        </w:rPr>
        <w:t>azenda</w:t>
      </w:r>
      <w:r w:rsidR="00E045D9" w:rsidRPr="00D5464D">
        <w:rPr>
          <w:lang w:val="pt-BR"/>
        </w:rPr>
        <w:t xml:space="preserve"> e </w:t>
      </w:r>
      <w:r w:rsidRPr="00D5464D">
        <w:rPr>
          <w:lang w:val="pt-BR"/>
        </w:rPr>
        <w:t>do conhecimento</w:t>
      </w:r>
      <w:r w:rsidR="00207197" w:rsidRPr="00D5464D">
        <w:rPr>
          <w:lang w:val="pt-BR"/>
        </w:rPr>
        <w:t xml:space="preserve"> </w:t>
      </w:r>
      <w:r w:rsidRPr="00D5464D">
        <w:rPr>
          <w:lang w:val="pt-BR"/>
        </w:rPr>
        <w:t xml:space="preserve">do </w:t>
      </w:r>
      <w:r w:rsidR="00207197" w:rsidRPr="00D5464D">
        <w:rPr>
          <w:lang w:val="pt-BR"/>
        </w:rPr>
        <w:t>Estado sobre</w:t>
      </w:r>
      <w:r w:rsidR="002C330E" w:rsidRPr="00D5464D">
        <w:rPr>
          <w:lang w:val="pt-BR"/>
        </w:rPr>
        <w:t xml:space="preserve"> a </w:t>
      </w:r>
      <w:r w:rsidR="00207197" w:rsidRPr="00D5464D">
        <w:rPr>
          <w:lang w:val="pt-BR"/>
        </w:rPr>
        <w:t>situa</w:t>
      </w:r>
      <w:r w:rsidRPr="00D5464D">
        <w:rPr>
          <w:lang w:val="pt-BR"/>
        </w:rPr>
        <w:t>ção</w:t>
      </w:r>
      <w:r w:rsidR="00C91CB1" w:rsidRPr="00D5464D">
        <w:rPr>
          <w:lang w:val="pt-BR"/>
        </w:rPr>
        <w:t xml:space="preserve">. </w:t>
      </w:r>
      <w:r w:rsidR="0096770C" w:rsidRPr="00D5464D">
        <w:rPr>
          <w:lang w:val="pt-BR"/>
        </w:rPr>
        <w:t xml:space="preserve">Na </w:t>
      </w:r>
      <w:r w:rsidR="002C330E" w:rsidRPr="00D5464D">
        <w:rPr>
          <w:lang w:val="pt-BR"/>
        </w:rPr>
        <w:t>opinião</w:t>
      </w:r>
      <w:r w:rsidRPr="00D5464D">
        <w:rPr>
          <w:lang w:val="pt-BR"/>
        </w:rPr>
        <w:t xml:space="preserve"> da Comissão</w:t>
      </w:r>
      <w:r w:rsidR="0096770C" w:rsidRPr="00D5464D">
        <w:rPr>
          <w:lang w:val="pt-BR"/>
        </w:rPr>
        <w:t xml:space="preserve">, estão cumpridos </w:t>
      </w:r>
      <w:r w:rsidR="00207197" w:rsidRPr="00D5464D">
        <w:rPr>
          <w:lang w:val="pt-BR"/>
        </w:rPr>
        <w:t>todos</w:t>
      </w:r>
      <w:r w:rsidR="002C330E" w:rsidRPr="00D5464D">
        <w:rPr>
          <w:lang w:val="pt-BR"/>
        </w:rPr>
        <w:t xml:space="preserve"> os </w:t>
      </w:r>
      <w:r w:rsidR="00207197" w:rsidRPr="00D5464D">
        <w:rPr>
          <w:lang w:val="pt-BR"/>
        </w:rPr>
        <w:t>requisitos para</w:t>
      </w:r>
      <w:r w:rsidR="002C330E" w:rsidRPr="00D5464D">
        <w:rPr>
          <w:lang w:val="pt-BR"/>
        </w:rPr>
        <w:t xml:space="preserve"> a responsabilidade </w:t>
      </w:r>
      <w:r w:rsidR="0096770C" w:rsidRPr="00D5464D">
        <w:rPr>
          <w:lang w:val="pt-BR"/>
        </w:rPr>
        <w:t>do</w:t>
      </w:r>
      <w:r w:rsidR="00207197" w:rsidRPr="00D5464D">
        <w:rPr>
          <w:lang w:val="pt-BR"/>
        </w:rPr>
        <w:t xml:space="preserve"> Brasil por o</w:t>
      </w:r>
      <w:r w:rsidR="002C330E" w:rsidRPr="00D5464D">
        <w:rPr>
          <w:lang w:val="pt-BR"/>
        </w:rPr>
        <w:t>missão</w:t>
      </w:r>
      <w:r w:rsidR="00207197" w:rsidRPr="00D5464D">
        <w:rPr>
          <w:lang w:val="pt-BR"/>
        </w:rPr>
        <w:t>,</w:t>
      </w:r>
      <w:r w:rsidRPr="00D5464D">
        <w:rPr>
          <w:lang w:val="pt-BR"/>
        </w:rPr>
        <w:t xml:space="preserve"> </w:t>
      </w:r>
      <w:r w:rsidR="0096770C" w:rsidRPr="00D5464D">
        <w:rPr>
          <w:lang w:val="pt-BR"/>
        </w:rPr>
        <w:t>isto é</w:t>
      </w:r>
      <w:r w:rsidR="00207197" w:rsidRPr="00D5464D">
        <w:rPr>
          <w:lang w:val="pt-BR"/>
        </w:rPr>
        <w:t>: i)</w:t>
      </w:r>
      <w:r w:rsidR="002C330E" w:rsidRPr="00D5464D">
        <w:rPr>
          <w:lang w:val="pt-BR"/>
        </w:rPr>
        <w:t xml:space="preserve"> a </w:t>
      </w:r>
      <w:r w:rsidR="00E045D9" w:rsidRPr="00D5464D">
        <w:rPr>
          <w:lang w:val="pt-BR"/>
        </w:rPr>
        <w:t>existência</w:t>
      </w:r>
      <w:r w:rsidR="00207197" w:rsidRPr="00D5464D">
        <w:rPr>
          <w:lang w:val="pt-BR"/>
        </w:rPr>
        <w:t xml:space="preserve"> de</w:t>
      </w:r>
      <w:r w:rsidR="00E045D9" w:rsidRPr="00D5464D">
        <w:rPr>
          <w:lang w:val="pt-BR"/>
        </w:rPr>
        <w:t xml:space="preserve"> um </w:t>
      </w:r>
      <w:r w:rsidR="002C330E" w:rsidRPr="00D5464D">
        <w:rPr>
          <w:lang w:val="pt-BR"/>
        </w:rPr>
        <w:t>risco</w:t>
      </w:r>
      <w:r w:rsidR="00207197" w:rsidRPr="00D5464D">
        <w:rPr>
          <w:lang w:val="pt-BR"/>
        </w:rPr>
        <w:t xml:space="preserve"> real e </w:t>
      </w:r>
      <w:r w:rsidR="002C330E" w:rsidRPr="00D5464D">
        <w:rPr>
          <w:lang w:val="pt-BR"/>
        </w:rPr>
        <w:t>imediat</w:t>
      </w:r>
      <w:r w:rsidR="00207197" w:rsidRPr="00D5464D">
        <w:rPr>
          <w:lang w:val="pt-BR"/>
        </w:rPr>
        <w:t>o; ii)</w:t>
      </w:r>
      <w:r w:rsidRPr="00D5464D">
        <w:rPr>
          <w:lang w:val="pt-BR"/>
        </w:rPr>
        <w:t xml:space="preserve"> o conhecimento</w:t>
      </w:r>
      <w:r w:rsidR="00207197" w:rsidRPr="00D5464D">
        <w:rPr>
          <w:lang w:val="pt-BR"/>
        </w:rPr>
        <w:t xml:space="preserve"> estatal </w:t>
      </w:r>
      <w:r w:rsidR="00E045D9" w:rsidRPr="00D5464D">
        <w:rPr>
          <w:lang w:val="pt-BR"/>
        </w:rPr>
        <w:t>deste</w:t>
      </w:r>
      <w:r w:rsidR="00207197" w:rsidRPr="00D5464D">
        <w:rPr>
          <w:lang w:val="pt-BR"/>
        </w:rPr>
        <w:t xml:space="preserve"> </w:t>
      </w:r>
      <w:r w:rsidR="002C330E" w:rsidRPr="00D5464D">
        <w:rPr>
          <w:lang w:val="pt-BR"/>
        </w:rPr>
        <w:t>risco</w:t>
      </w:r>
      <w:r w:rsidR="00207197" w:rsidRPr="00D5464D">
        <w:rPr>
          <w:lang w:val="pt-BR"/>
        </w:rPr>
        <w:t>; iii)</w:t>
      </w:r>
      <w:r w:rsidR="002C330E" w:rsidRPr="00D5464D">
        <w:rPr>
          <w:lang w:val="pt-BR"/>
        </w:rPr>
        <w:t xml:space="preserve"> a </w:t>
      </w:r>
      <w:r w:rsidR="00207197" w:rsidRPr="00D5464D">
        <w:rPr>
          <w:lang w:val="pt-BR"/>
        </w:rPr>
        <w:t>especial situa</w:t>
      </w:r>
      <w:r w:rsidRPr="00D5464D">
        <w:rPr>
          <w:lang w:val="pt-BR"/>
        </w:rPr>
        <w:t xml:space="preserve">ção das </w:t>
      </w:r>
      <w:r w:rsidR="002C330E" w:rsidRPr="00D5464D">
        <w:rPr>
          <w:lang w:val="pt-BR"/>
        </w:rPr>
        <w:t>pessoa</w:t>
      </w:r>
      <w:r w:rsidR="00207197" w:rsidRPr="00D5464D">
        <w:rPr>
          <w:lang w:val="pt-BR"/>
        </w:rPr>
        <w:t xml:space="preserve">s </w:t>
      </w:r>
      <w:r w:rsidRPr="00D5464D">
        <w:rPr>
          <w:lang w:val="pt-BR"/>
        </w:rPr>
        <w:t>afeta</w:t>
      </w:r>
      <w:r w:rsidR="00207197" w:rsidRPr="00D5464D">
        <w:rPr>
          <w:lang w:val="pt-BR"/>
        </w:rPr>
        <w:t>das</w:t>
      </w:r>
      <w:r w:rsidRPr="00D5464D">
        <w:rPr>
          <w:lang w:val="pt-BR"/>
        </w:rPr>
        <w:t>, e</w:t>
      </w:r>
      <w:r w:rsidR="00207197" w:rsidRPr="00D5464D">
        <w:rPr>
          <w:lang w:val="pt-BR"/>
        </w:rPr>
        <w:t xml:space="preserve"> iv)</w:t>
      </w:r>
      <w:r w:rsidR="002C330E" w:rsidRPr="00D5464D">
        <w:rPr>
          <w:lang w:val="pt-BR"/>
        </w:rPr>
        <w:t xml:space="preserve"> as </w:t>
      </w:r>
      <w:r w:rsidR="00737270" w:rsidRPr="00D5464D">
        <w:rPr>
          <w:lang w:val="pt-BR"/>
        </w:rPr>
        <w:t>possibilidade</w:t>
      </w:r>
      <w:r w:rsidR="00207197" w:rsidRPr="00D5464D">
        <w:rPr>
          <w:lang w:val="pt-BR"/>
        </w:rPr>
        <w:t xml:space="preserve">s </w:t>
      </w:r>
      <w:r w:rsidR="00E045D9" w:rsidRPr="00D5464D">
        <w:rPr>
          <w:lang w:val="pt-BR"/>
        </w:rPr>
        <w:t>razoáveis</w:t>
      </w:r>
      <w:r w:rsidR="00207197" w:rsidRPr="00D5464D">
        <w:rPr>
          <w:lang w:val="pt-BR"/>
        </w:rPr>
        <w:t xml:space="preserve"> de preven</w:t>
      </w:r>
      <w:r w:rsidRPr="00D5464D">
        <w:rPr>
          <w:lang w:val="pt-BR"/>
        </w:rPr>
        <w:t>ção</w:t>
      </w:r>
      <w:r w:rsidR="00207197" w:rsidRPr="00D5464D">
        <w:rPr>
          <w:lang w:val="pt-BR"/>
        </w:rPr>
        <w:t>.</w:t>
      </w:r>
    </w:p>
    <w:p w14:paraId="6748125C" w14:textId="77777777" w:rsidR="00DE3E58" w:rsidRPr="00D5464D" w:rsidRDefault="00DE3E58" w:rsidP="00DE3E58">
      <w:pPr>
        <w:pStyle w:val="Prrafodelista"/>
        <w:ind w:left="0"/>
        <w:contextualSpacing w:val="0"/>
        <w:rPr>
          <w:lang w:val="pt-BR"/>
        </w:rPr>
      </w:pPr>
    </w:p>
    <w:p w14:paraId="3C00B594" w14:textId="70BE8CF8" w:rsidR="00207197" w:rsidRPr="00D5464D" w:rsidRDefault="00470ADC" w:rsidP="00F37DC4">
      <w:pPr>
        <w:pStyle w:val="Prrafodelista"/>
        <w:numPr>
          <w:ilvl w:val="0"/>
          <w:numId w:val="1"/>
        </w:numPr>
        <w:contextualSpacing w:val="0"/>
        <w:rPr>
          <w:lang w:val="pt-BR"/>
        </w:rPr>
      </w:pPr>
      <w:r w:rsidRPr="00D5464D">
        <w:rPr>
          <w:lang w:val="pt-BR"/>
        </w:rPr>
        <w:t>A Comissão</w:t>
      </w:r>
      <w:r w:rsidR="00207197" w:rsidRPr="00D5464D">
        <w:rPr>
          <w:lang w:val="pt-BR"/>
        </w:rPr>
        <w:t xml:space="preserve"> re</w:t>
      </w:r>
      <w:r w:rsidRPr="00D5464D">
        <w:rPr>
          <w:lang w:val="pt-BR"/>
        </w:rPr>
        <w:t>conheceu</w:t>
      </w:r>
      <w:r w:rsidR="002C330E" w:rsidRPr="00D5464D">
        <w:rPr>
          <w:lang w:val="pt-BR"/>
        </w:rPr>
        <w:t xml:space="preserve"> os </w:t>
      </w:r>
      <w:r w:rsidRPr="00D5464D">
        <w:rPr>
          <w:lang w:val="pt-BR"/>
        </w:rPr>
        <w:t>esforço</w:t>
      </w:r>
      <w:r w:rsidR="0005368B" w:rsidRPr="00D5464D">
        <w:rPr>
          <w:lang w:val="pt-BR"/>
        </w:rPr>
        <w:t>s do</w:t>
      </w:r>
      <w:r w:rsidR="00207197" w:rsidRPr="00D5464D">
        <w:rPr>
          <w:lang w:val="pt-BR"/>
        </w:rPr>
        <w:t xml:space="preserve"> Brasil para </w:t>
      </w:r>
      <w:r w:rsidRPr="00D5464D">
        <w:rPr>
          <w:lang w:val="pt-BR"/>
        </w:rPr>
        <w:t xml:space="preserve">combater o </w:t>
      </w:r>
      <w:r w:rsidR="00E045D9" w:rsidRPr="00D5464D">
        <w:rPr>
          <w:lang w:val="pt-BR"/>
        </w:rPr>
        <w:t>trabalho</w:t>
      </w:r>
      <w:r w:rsidR="00207197" w:rsidRPr="00D5464D">
        <w:rPr>
          <w:lang w:val="pt-BR"/>
        </w:rPr>
        <w:t xml:space="preserve"> </w:t>
      </w:r>
      <w:r w:rsidR="004F1CC2" w:rsidRPr="00D5464D">
        <w:rPr>
          <w:lang w:val="pt-BR"/>
        </w:rPr>
        <w:t>escravo</w:t>
      </w:r>
      <w:r w:rsidR="00207197" w:rsidRPr="00D5464D">
        <w:rPr>
          <w:lang w:val="pt-BR"/>
        </w:rPr>
        <w:t>,</w:t>
      </w:r>
      <w:r w:rsidR="002C330E" w:rsidRPr="00D5464D">
        <w:rPr>
          <w:lang w:val="pt-BR"/>
        </w:rPr>
        <w:t xml:space="preserve"> </w:t>
      </w:r>
      <w:r w:rsidR="00350187" w:rsidRPr="00D5464D">
        <w:rPr>
          <w:lang w:val="pt-BR"/>
        </w:rPr>
        <w:t>entretanto</w:t>
      </w:r>
      <w:r w:rsidR="0005368B" w:rsidRPr="00D5464D">
        <w:rPr>
          <w:lang w:val="pt-BR"/>
        </w:rPr>
        <w:t>,</w:t>
      </w:r>
      <w:r w:rsidR="00207197" w:rsidRPr="00D5464D">
        <w:rPr>
          <w:lang w:val="pt-BR"/>
        </w:rPr>
        <w:t xml:space="preserve"> </w:t>
      </w:r>
      <w:r w:rsidRPr="00D5464D">
        <w:rPr>
          <w:lang w:val="pt-BR"/>
        </w:rPr>
        <w:t>destacou</w:t>
      </w:r>
      <w:r w:rsidR="00207197" w:rsidRPr="00D5464D">
        <w:rPr>
          <w:lang w:val="pt-BR"/>
        </w:rPr>
        <w:t xml:space="preserve"> que todas</w:t>
      </w:r>
      <w:r w:rsidR="002C330E" w:rsidRPr="00D5464D">
        <w:rPr>
          <w:lang w:val="pt-BR"/>
        </w:rPr>
        <w:t xml:space="preserve"> as </w:t>
      </w:r>
      <w:r w:rsidR="00207197" w:rsidRPr="00D5464D">
        <w:rPr>
          <w:lang w:val="pt-BR"/>
        </w:rPr>
        <w:t>medidas relevantes</w:t>
      </w:r>
      <w:r w:rsidR="002C330E" w:rsidRPr="00D5464D">
        <w:rPr>
          <w:lang w:val="pt-BR"/>
        </w:rPr>
        <w:t xml:space="preserve"> são </w:t>
      </w:r>
      <w:r w:rsidR="00207197" w:rsidRPr="00D5464D">
        <w:rPr>
          <w:lang w:val="pt-BR"/>
        </w:rPr>
        <w:t>posteriores</w:t>
      </w:r>
      <w:r w:rsidRPr="00D5464D">
        <w:rPr>
          <w:lang w:val="pt-BR"/>
        </w:rPr>
        <w:t xml:space="preserve"> ao ano </w:t>
      </w:r>
      <w:r w:rsidR="00207197" w:rsidRPr="00D5464D">
        <w:rPr>
          <w:lang w:val="pt-BR"/>
        </w:rPr>
        <w:t>2003</w:t>
      </w:r>
      <w:r w:rsidR="00A1358C" w:rsidRPr="00D5464D">
        <w:rPr>
          <w:lang w:val="pt-BR"/>
        </w:rPr>
        <w:t>. Em particular</w:t>
      </w:r>
      <w:r w:rsidR="00207197" w:rsidRPr="00D5464D">
        <w:rPr>
          <w:lang w:val="pt-BR"/>
        </w:rPr>
        <w:t>,</w:t>
      </w:r>
      <w:r w:rsidR="002C330E" w:rsidRPr="00D5464D">
        <w:rPr>
          <w:lang w:val="pt-BR"/>
        </w:rPr>
        <w:t xml:space="preserve"> a </w:t>
      </w:r>
      <w:r w:rsidRPr="00D5464D">
        <w:rPr>
          <w:lang w:val="pt-BR"/>
        </w:rPr>
        <w:t>Comissão</w:t>
      </w:r>
      <w:r w:rsidR="00207197" w:rsidRPr="00D5464D">
        <w:rPr>
          <w:lang w:val="pt-BR"/>
        </w:rPr>
        <w:t xml:space="preserve"> </w:t>
      </w:r>
      <w:r w:rsidRPr="00D5464D">
        <w:rPr>
          <w:lang w:val="pt-BR"/>
        </w:rPr>
        <w:t>argumentou</w:t>
      </w:r>
      <w:r w:rsidR="00207197" w:rsidRPr="00D5464D">
        <w:rPr>
          <w:lang w:val="pt-BR"/>
        </w:rPr>
        <w:t xml:space="preserve"> que</w:t>
      </w:r>
      <w:r w:rsidR="00230C71" w:rsidRPr="00D5464D">
        <w:rPr>
          <w:lang w:val="pt-BR"/>
        </w:rPr>
        <w:t xml:space="preserve"> não existe</w:t>
      </w:r>
      <w:r w:rsidR="00841342" w:rsidRPr="00D5464D">
        <w:rPr>
          <w:lang w:val="pt-BR"/>
        </w:rPr>
        <w:t xml:space="preserve"> evidê</w:t>
      </w:r>
      <w:r w:rsidR="00207197" w:rsidRPr="00D5464D">
        <w:rPr>
          <w:lang w:val="pt-BR"/>
        </w:rPr>
        <w:t xml:space="preserve">ncia </w:t>
      </w:r>
      <w:r w:rsidR="00F452D1" w:rsidRPr="00D5464D">
        <w:rPr>
          <w:lang w:val="pt-BR"/>
        </w:rPr>
        <w:t xml:space="preserve">de </w:t>
      </w:r>
      <w:r w:rsidR="00207197" w:rsidRPr="00D5464D">
        <w:rPr>
          <w:lang w:val="pt-BR"/>
        </w:rPr>
        <w:t xml:space="preserve">que </w:t>
      </w:r>
      <w:r w:rsidR="0005368B" w:rsidRPr="00D5464D">
        <w:rPr>
          <w:lang w:val="pt-BR"/>
        </w:rPr>
        <w:t xml:space="preserve">o </w:t>
      </w:r>
      <w:r w:rsidR="00207197" w:rsidRPr="00D5464D">
        <w:rPr>
          <w:lang w:val="pt-BR"/>
        </w:rPr>
        <w:t>Brasil</w:t>
      </w:r>
      <w:r w:rsidR="00E045D9" w:rsidRPr="00D5464D">
        <w:rPr>
          <w:lang w:val="pt-BR"/>
        </w:rPr>
        <w:t xml:space="preserve"> ten</w:t>
      </w:r>
      <w:r w:rsidR="0005368B" w:rsidRPr="00D5464D">
        <w:rPr>
          <w:lang w:val="pt-BR"/>
        </w:rPr>
        <w:t xml:space="preserve">ha tomado qualquer </w:t>
      </w:r>
      <w:r w:rsidR="00207197" w:rsidRPr="00D5464D">
        <w:rPr>
          <w:lang w:val="pt-BR"/>
        </w:rPr>
        <w:t>medida para prevenir</w:t>
      </w:r>
      <w:r w:rsidR="00E045D9" w:rsidRPr="00D5464D">
        <w:rPr>
          <w:lang w:val="pt-BR"/>
        </w:rPr>
        <w:t xml:space="preserve"> e </w:t>
      </w:r>
      <w:r w:rsidR="00207197" w:rsidRPr="00D5464D">
        <w:rPr>
          <w:lang w:val="pt-BR"/>
        </w:rPr>
        <w:t>proteger</w:t>
      </w:r>
      <w:r w:rsidR="00E045D9" w:rsidRPr="00D5464D">
        <w:rPr>
          <w:lang w:val="pt-BR"/>
        </w:rPr>
        <w:t xml:space="preserve"> </w:t>
      </w:r>
      <w:r w:rsidR="00767387" w:rsidRPr="00D5464D">
        <w:rPr>
          <w:lang w:val="pt-BR"/>
        </w:rPr>
        <w:t>a</w:t>
      </w:r>
      <w:r w:rsidR="00E045D9" w:rsidRPr="00D5464D">
        <w:rPr>
          <w:lang w:val="pt-BR"/>
        </w:rPr>
        <w:t>s vítima</w:t>
      </w:r>
      <w:r w:rsidR="00207197" w:rsidRPr="00D5464D">
        <w:rPr>
          <w:lang w:val="pt-BR"/>
        </w:rPr>
        <w:t>s</w:t>
      </w:r>
      <w:r w:rsidRPr="00D5464D">
        <w:rPr>
          <w:lang w:val="pt-BR"/>
        </w:rPr>
        <w:t xml:space="preserve"> deste </w:t>
      </w:r>
      <w:r w:rsidR="00207197" w:rsidRPr="00D5464D">
        <w:rPr>
          <w:lang w:val="pt-BR"/>
        </w:rPr>
        <w:t>caso concreto</w:t>
      </w:r>
      <w:r w:rsidR="00E045D9" w:rsidRPr="00D5464D">
        <w:rPr>
          <w:lang w:val="pt-BR"/>
        </w:rPr>
        <w:t xml:space="preserve"> nos </w:t>
      </w:r>
      <w:r w:rsidRPr="00D5464D">
        <w:rPr>
          <w:lang w:val="pt-BR"/>
        </w:rPr>
        <w:t>anos</w:t>
      </w:r>
      <w:r w:rsidR="00207197" w:rsidRPr="00D5464D">
        <w:rPr>
          <w:lang w:val="pt-BR"/>
        </w:rPr>
        <w:t xml:space="preserve"> </w:t>
      </w:r>
      <w:r w:rsidR="0005368B" w:rsidRPr="00D5464D">
        <w:rPr>
          <w:lang w:val="pt-BR"/>
        </w:rPr>
        <w:t xml:space="preserve">de </w:t>
      </w:r>
      <w:r w:rsidR="00207197" w:rsidRPr="00D5464D">
        <w:rPr>
          <w:lang w:val="pt-BR"/>
        </w:rPr>
        <w:t xml:space="preserve">1998 a 2000. </w:t>
      </w:r>
      <w:r w:rsidRPr="00D5464D">
        <w:rPr>
          <w:lang w:val="pt-BR"/>
        </w:rPr>
        <w:t>Destacou</w:t>
      </w:r>
      <w:r w:rsidR="00EB1CE9" w:rsidRPr="00D5464D">
        <w:rPr>
          <w:lang w:val="pt-BR"/>
        </w:rPr>
        <w:t xml:space="preserve">, por </w:t>
      </w:r>
      <w:r w:rsidRPr="00D5464D">
        <w:rPr>
          <w:lang w:val="pt-BR"/>
        </w:rPr>
        <w:t>exemplo</w:t>
      </w:r>
      <w:r w:rsidR="00207197" w:rsidRPr="00D5464D">
        <w:rPr>
          <w:lang w:val="pt-BR"/>
        </w:rPr>
        <w:t>: i)</w:t>
      </w:r>
      <w:r w:rsidR="002C330E" w:rsidRPr="00D5464D">
        <w:rPr>
          <w:lang w:val="pt-BR"/>
        </w:rPr>
        <w:t xml:space="preserve"> a </w:t>
      </w:r>
      <w:r w:rsidR="00207197" w:rsidRPr="00D5464D">
        <w:rPr>
          <w:lang w:val="pt-BR"/>
        </w:rPr>
        <w:t>falta de periodicidad</w:t>
      </w:r>
      <w:r w:rsidR="0005368B" w:rsidRPr="00D5464D">
        <w:rPr>
          <w:lang w:val="pt-BR"/>
        </w:rPr>
        <w:t>e</w:t>
      </w:r>
      <w:r w:rsidRPr="00D5464D">
        <w:rPr>
          <w:lang w:val="pt-BR"/>
        </w:rPr>
        <w:t xml:space="preserve"> das </w:t>
      </w:r>
      <w:r w:rsidR="00207197" w:rsidRPr="00D5464D">
        <w:rPr>
          <w:lang w:val="pt-BR"/>
        </w:rPr>
        <w:t>fiscaliza</w:t>
      </w:r>
      <w:r w:rsidRPr="00D5464D">
        <w:rPr>
          <w:lang w:val="pt-BR"/>
        </w:rPr>
        <w:t>ções</w:t>
      </w:r>
      <w:r w:rsidR="0005368B" w:rsidRPr="00D5464D">
        <w:rPr>
          <w:lang w:val="pt-BR"/>
        </w:rPr>
        <w:t>,</w:t>
      </w:r>
      <w:r w:rsidR="00737270" w:rsidRPr="00D5464D">
        <w:rPr>
          <w:lang w:val="pt-BR"/>
        </w:rPr>
        <w:t xml:space="preserve"> apesar </w:t>
      </w:r>
      <w:r w:rsidR="0005368B" w:rsidRPr="00D5464D">
        <w:rPr>
          <w:lang w:val="pt-BR"/>
        </w:rPr>
        <w:t>da</w:t>
      </w:r>
      <w:r w:rsidRPr="00D5464D">
        <w:rPr>
          <w:lang w:val="pt-BR"/>
        </w:rPr>
        <w:t xml:space="preserve">s </w:t>
      </w:r>
      <w:r w:rsidR="00207197" w:rsidRPr="00D5464D">
        <w:rPr>
          <w:lang w:val="pt-BR"/>
        </w:rPr>
        <w:t xml:space="preserve">graves </w:t>
      </w:r>
      <w:r w:rsidR="0005368B" w:rsidRPr="00D5464D">
        <w:rPr>
          <w:lang w:val="pt-BR"/>
        </w:rPr>
        <w:t xml:space="preserve">determinações </w:t>
      </w:r>
      <w:r w:rsidR="00207197" w:rsidRPr="00D5464D">
        <w:rPr>
          <w:lang w:val="pt-BR"/>
        </w:rPr>
        <w:t>anteriores; ii)</w:t>
      </w:r>
      <w:r w:rsidR="002C330E" w:rsidRPr="00D5464D">
        <w:rPr>
          <w:lang w:val="pt-BR"/>
        </w:rPr>
        <w:t xml:space="preserve"> a </w:t>
      </w:r>
      <w:r w:rsidR="00E765C2" w:rsidRPr="00D5464D">
        <w:rPr>
          <w:lang w:val="pt-BR"/>
        </w:rPr>
        <w:t>insuficiência</w:t>
      </w:r>
      <w:r w:rsidR="00207197" w:rsidRPr="00D5464D">
        <w:rPr>
          <w:lang w:val="pt-BR"/>
        </w:rPr>
        <w:t xml:space="preserve"> </w:t>
      </w:r>
      <w:r w:rsidRPr="00D5464D">
        <w:rPr>
          <w:lang w:val="pt-BR"/>
        </w:rPr>
        <w:t xml:space="preserve">do </w:t>
      </w:r>
      <w:r w:rsidR="00207197" w:rsidRPr="00D5464D">
        <w:rPr>
          <w:lang w:val="pt-BR"/>
        </w:rPr>
        <w:t>registro, verifica</w:t>
      </w:r>
      <w:r w:rsidRPr="00D5464D">
        <w:rPr>
          <w:lang w:val="pt-BR"/>
        </w:rPr>
        <w:t>ção</w:t>
      </w:r>
      <w:r w:rsidR="00E045D9" w:rsidRPr="00D5464D">
        <w:rPr>
          <w:lang w:val="pt-BR"/>
        </w:rPr>
        <w:t xml:space="preserve"> e </w:t>
      </w:r>
      <w:r w:rsidR="0005368B" w:rsidRPr="00D5464D">
        <w:rPr>
          <w:lang w:val="pt-BR"/>
        </w:rPr>
        <w:t xml:space="preserve">coleta </w:t>
      </w:r>
      <w:r w:rsidR="00207197" w:rsidRPr="00D5464D">
        <w:rPr>
          <w:lang w:val="pt-BR"/>
        </w:rPr>
        <w:t xml:space="preserve">de </w:t>
      </w:r>
      <w:r w:rsidR="002C330E" w:rsidRPr="00D5464D">
        <w:rPr>
          <w:lang w:val="pt-BR"/>
        </w:rPr>
        <w:t>prova</w:t>
      </w:r>
      <w:r w:rsidR="00207197" w:rsidRPr="00D5464D">
        <w:rPr>
          <w:lang w:val="pt-BR"/>
        </w:rPr>
        <w:t>s</w:t>
      </w:r>
      <w:r w:rsidR="00E045D9" w:rsidRPr="00D5464D">
        <w:rPr>
          <w:lang w:val="pt-BR"/>
        </w:rPr>
        <w:t xml:space="preserve"> nas </w:t>
      </w:r>
      <w:r w:rsidR="00207197" w:rsidRPr="00D5464D">
        <w:rPr>
          <w:lang w:val="pt-BR"/>
        </w:rPr>
        <w:t>fiscaliza</w:t>
      </w:r>
      <w:r w:rsidRPr="00D5464D">
        <w:rPr>
          <w:lang w:val="pt-BR"/>
        </w:rPr>
        <w:t>ções, e</w:t>
      </w:r>
      <w:r w:rsidR="00207197" w:rsidRPr="00D5464D">
        <w:rPr>
          <w:lang w:val="pt-BR"/>
        </w:rPr>
        <w:t xml:space="preserve"> iii)</w:t>
      </w:r>
      <w:r w:rsidR="002C330E" w:rsidRPr="00D5464D">
        <w:rPr>
          <w:lang w:val="pt-BR"/>
        </w:rPr>
        <w:t xml:space="preserve"> a </w:t>
      </w:r>
      <w:r w:rsidR="00207197" w:rsidRPr="00D5464D">
        <w:rPr>
          <w:lang w:val="pt-BR"/>
        </w:rPr>
        <w:t xml:space="preserve">falta de </w:t>
      </w:r>
      <w:r w:rsidRPr="00D5464D">
        <w:rPr>
          <w:lang w:val="pt-BR"/>
        </w:rPr>
        <w:t>consequência</w:t>
      </w:r>
      <w:r w:rsidR="00207197" w:rsidRPr="00D5464D">
        <w:rPr>
          <w:lang w:val="pt-BR"/>
        </w:rPr>
        <w:t>s</w:t>
      </w:r>
      <w:r w:rsidR="00E045D9" w:rsidRPr="00D5464D">
        <w:rPr>
          <w:lang w:val="pt-BR"/>
        </w:rPr>
        <w:t xml:space="preserve"> no </w:t>
      </w:r>
      <w:r w:rsidR="0005368B" w:rsidRPr="00D5464D">
        <w:rPr>
          <w:lang w:val="pt-BR"/>
        </w:rPr>
        <w:t>cu</w:t>
      </w:r>
      <w:r w:rsidR="00207197" w:rsidRPr="00D5464D">
        <w:rPr>
          <w:lang w:val="pt-BR"/>
        </w:rPr>
        <w:t>rto</w:t>
      </w:r>
      <w:r w:rsidR="00E045D9" w:rsidRPr="00D5464D">
        <w:rPr>
          <w:lang w:val="pt-BR"/>
        </w:rPr>
        <w:t xml:space="preserve"> e </w:t>
      </w:r>
      <w:r w:rsidR="0005368B" w:rsidRPr="00D5464D">
        <w:rPr>
          <w:lang w:val="pt-BR"/>
        </w:rPr>
        <w:t xml:space="preserve">médio </w:t>
      </w:r>
      <w:r w:rsidR="002C330E" w:rsidRPr="00D5464D">
        <w:rPr>
          <w:lang w:val="pt-BR"/>
        </w:rPr>
        <w:t>prazo</w:t>
      </w:r>
      <w:r w:rsidR="00207197" w:rsidRPr="00D5464D">
        <w:rPr>
          <w:lang w:val="pt-BR"/>
        </w:rPr>
        <w:t xml:space="preserve"> </w:t>
      </w:r>
      <w:r w:rsidR="0005368B" w:rsidRPr="00D5464D">
        <w:rPr>
          <w:lang w:val="pt-BR"/>
        </w:rPr>
        <w:t xml:space="preserve">após </w:t>
      </w:r>
      <w:r w:rsidRPr="00D5464D">
        <w:rPr>
          <w:lang w:val="pt-BR"/>
        </w:rPr>
        <w:t xml:space="preserve">as </w:t>
      </w:r>
      <w:r w:rsidR="00207197" w:rsidRPr="00D5464D">
        <w:rPr>
          <w:lang w:val="pt-BR"/>
        </w:rPr>
        <w:t>fiscaliza</w:t>
      </w:r>
      <w:r w:rsidRPr="00D5464D">
        <w:rPr>
          <w:lang w:val="pt-BR"/>
        </w:rPr>
        <w:t>ções</w:t>
      </w:r>
      <w:r w:rsidR="00207197" w:rsidRPr="00D5464D">
        <w:rPr>
          <w:lang w:val="pt-BR"/>
        </w:rPr>
        <w:t xml:space="preserve">. </w:t>
      </w:r>
    </w:p>
    <w:p w14:paraId="0242B6ED" w14:textId="77777777" w:rsidR="003E533F" w:rsidRPr="00D5464D" w:rsidRDefault="003E533F" w:rsidP="00F672B7">
      <w:pPr>
        <w:pStyle w:val="Prrafodelista"/>
        <w:rPr>
          <w:lang w:val="pt-BR"/>
        </w:rPr>
      </w:pPr>
    </w:p>
    <w:p w14:paraId="54705280" w14:textId="76C019EC" w:rsidR="003E533F" w:rsidRPr="00D5464D" w:rsidRDefault="003E533F" w:rsidP="00F37DC4">
      <w:pPr>
        <w:pStyle w:val="Prrafodelista"/>
        <w:numPr>
          <w:ilvl w:val="0"/>
          <w:numId w:val="1"/>
        </w:numPr>
        <w:contextualSpacing w:val="0"/>
        <w:rPr>
          <w:lang w:val="pt-BR"/>
        </w:rPr>
      </w:pPr>
      <w:r w:rsidRPr="00D5464D">
        <w:rPr>
          <w:lang w:val="pt-BR"/>
        </w:rPr>
        <w:t>Finalmente,</w:t>
      </w:r>
      <w:r w:rsidR="002C330E" w:rsidRPr="00D5464D">
        <w:rPr>
          <w:lang w:val="pt-BR"/>
        </w:rPr>
        <w:t xml:space="preserve"> a </w:t>
      </w:r>
      <w:r w:rsidR="00470ADC" w:rsidRPr="00D5464D">
        <w:rPr>
          <w:lang w:val="pt-BR"/>
        </w:rPr>
        <w:t>Comissão</w:t>
      </w:r>
      <w:r w:rsidRPr="00D5464D">
        <w:rPr>
          <w:b/>
          <w:i/>
          <w:lang w:val="pt-BR"/>
        </w:rPr>
        <w:t xml:space="preserve"> </w:t>
      </w:r>
      <w:r w:rsidR="002C330E" w:rsidRPr="00D5464D">
        <w:rPr>
          <w:lang w:val="pt-BR"/>
        </w:rPr>
        <w:t>afirmou</w:t>
      </w:r>
      <w:r w:rsidRPr="00D5464D">
        <w:rPr>
          <w:lang w:val="pt-BR"/>
        </w:rPr>
        <w:t xml:space="preserve"> que</w:t>
      </w:r>
      <w:r w:rsidR="002C330E" w:rsidRPr="00D5464D">
        <w:rPr>
          <w:lang w:val="pt-BR"/>
        </w:rPr>
        <w:t xml:space="preserve"> os fatos</w:t>
      </w:r>
      <w:r w:rsidRPr="00D5464D">
        <w:rPr>
          <w:lang w:val="pt-BR"/>
        </w:rPr>
        <w:t xml:space="preserve"> </w:t>
      </w:r>
      <w:r w:rsidR="00470ADC" w:rsidRPr="00D5464D">
        <w:rPr>
          <w:lang w:val="pt-BR"/>
        </w:rPr>
        <w:t xml:space="preserve">do </w:t>
      </w:r>
      <w:r w:rsidR="0005368B" w:rsidRPr="00D5464D">
        <w:rPr>
          <w:lang w:val="pt-BR"/>
        </w:rPr>
        <w:t>presente caso “evidencia[m</w:t>
      </w:r>
      <w:r w:rsidRPr="00D5464D">
        <w:rPr>
          <w:lang w:val="pt-BR"/>
        </w:rPr>
        <w:t>]</w:t>
      </w:r>
      <w:r w:rsidR="00E045D9" w:rsidRPr="00D5464D">
        <w:rPr>
          <w:lang w:val="pt-BR"/>
        </w:rPr>
        <w:t xml:space="preserve"> uma </w:t>
      </w:r>
      <w:r w:rsidRPr="00D5464D">
        <w:rPr>
          <w:lang w:val="pt-BR"/>
        </w:rPr>
        <w:t>discrimina</w:t>
      </w:r>
      <w:r w:rsidR="00470ADC" w:rsidRPr="00D5464D">
        <w:rPr>
          <w:lang w:val="pt-BR"/>
        </w:rPr>
        <w:t>ção</w:t>
      </w:r>
      <w:r w:rsidRPr="00D5464D">
        <w:rPr>
          <w:lang w:val="pt-BR"/>
        </w:rPr>
        <w:t xml:space="preserve"> de </w:t>
      </w:r>
      <w:r w:rsidR="00470ADC" w:rsidRPr="00D5464D">
        <w:rPr>
          <w:lang w:val="pt-BR"/>
        </w:rPr>
        <w:t>fato</w:t>
      </w:r>
      <w:r w:rsidR="00230C71" w:rsidRPr="00D5464D">
        <w:rPr>
          <w:lang w:val="pt-BR"/>
        </w:rPr>
        <w:t xml:space="preserve"> contra </w:t>
      </w:r>
      <w:r w:rsidR="00E045D9" w:rsidRPr="00D5464D">
        <w:rPr>
          <w:lang w:val="pt-BR"/>
        </w:rPr>
        <w:t xml:space="preserve">um </w:t>
      </w:r>
      <w:r w:rsidRPr="00D5464D">
        <w:rPr>
          <w:lang w:val="pt-BR"/>
        </w:rPr>
        <w:t xml:space="preserve">grupo determinado de </w:t>
      </w:r>
      <w:r w:rsidR="002C330E" w:rsidRPr="00D5464D">
        <w:rPr>
          <w:lang w:val="pt-BR"/>
        </w:rPr>
        <w:t>pessoa</w:t>
      </w:r>
      <w:r w:rsidRPr="00D5464D">
        <w:rPr>
          <w:lang w:val="pt-BR"/>
        </w:rPr>
        <w:t xml:space="preserve">s que </w:t>
      </w:r>
      <w:r w:rsidR="002C330E" w:rsidRPr="00D5464D">
        <w:rPr>
          <w:lang w:val="pt-BR"/>
        </w:rPr>
        <w:t>foram</w:t>
      </w:r>
      <w:r w:rsidRPr="00D5464D">
        <w:rPr>
          <w:lang w:val="pt-BR"/>
        </w:rPr>
        <w:t xml:space="preserve"> marginalizados</w:t>
      </w:r>
      <w:r w:rsidR="00E045D9" w:rsidRPr="00D5464D">
        <w:rPr>
          <w:lang w:val="pt-BR"/>
        </w:rPr>
        <w:t xml:space="preserve"> no </w:t>
      </w:r>
      <w:r w:rsidR="00350187" w:rsidRPr="00D5464D">
        <w:rPr>
          <w:lang w:val="pt-BR"/>
        </w:rPr>
        <w:t>gozo</w:t>
      </w:r>
      <w:r w:rsidR="00470ADC" w:rsidRPr="00D5464D">
        <w:rPr>
          <w:lang w:val="pt-BR"/>
        </w:rPr>
        <w:t xml:space="preserve"> dos direito</w:t>
      </w:r>
      <w:r w:rsidRPr="00D5464D">
        <w:rPr>
          <w:lang w:val="pt-BR"/>
        </w:rPr>
        <w:t xml:space="preserve">s </w:t>
      </w:r>
      <w:r w:rsidR="00470ADC" w:rsidRPr="00D5464D">
        <w:rPr>
          <w:lang w:val="pt-BR"/>
        </w:rPr>
        <w:t>analisado</w:t>
      </w:r>
      <w:r w:rsidRPr="00D5464D">
        <w:rPr>
          <w:lang w:val="pt-BR"/>
        </w:rPr>
        <w:t xml:space="preserve">s”. </w:t>
      </w:r>
      <w:r w:rsidR="00350187" w:rsidRPr="00D5464D">
        <w:rPr>
          <w:lang w:val="pt-BR"/>
        </w:rPr>
        <w:t xml:space="preserve">Além disso, </w:t>
      </w:r>
      <w:r w:rsidR="002C330E" w:rsidRPr="00D5464D">
        <w:rPr>
          <w:lang w:val="pt-BR"/>
        </w:rPr>
        <w:t xml:space="preserve">a </w:t>
      </w:r>
      <w:r w:rsidR="00470ADC" w:rsidRPr="00D5464D">
        <w:rPr>
          <w:lang w:val="pt-BR"/>
        </w:rPr>
        <w:t>Comissão</w:t>
      </w:r>
      <w:r w:rsidRPr="00D5464D">
        <w:rPr>
          <w:lang w:val="pt-BR"/>
        </w:rPr>
        <w:t xml:space="preserve"> </w:t>
      </w:r>
      <w:r w:rsidR="00470ADC" w:rsidRPr="00D5464D">
        <w:rPr>
          <w:lang w:val="pt-BR"/>
        </w:rPr>
        <w:t>considerou</w:t>
      </w:r>
      <w:r w:rsidRPr="00D5464D">
        <w:rPr>
          <w:lang w:val="pt-BR"/>
        </w:rPr>
        <w:t xml:space="preserve"> que</w:t>
      </w:r>
      <w:r w:rsidR="00470ADC" w:rsidRPr="00D5464D">
        <w:rPr>
          <w:lang w:val="pt-BR"/>
        </w:rPr>
        <w:t xml:space="preserve"> o </w:t>
      </w:r>
      <w:r w:rsidRPr="00D5464D">
        <w:rPr>
          <w:lang w:val="pt-BR"/>
        </w:rPr>
        <w:t xml:space="preserve">Estado </w:t>
      </w:r>
      <w:r w:rsidR="0012458D" w:rsidRPr="00D5464D">
        <w:rPr>
          <w:lang w:val="pt-BR"/>
        </w:rPr>
        <w:t>“</w:t>
      </w:r>
      <w:r w:rsidR="00230C71" w:rsidRPr="00D5464D">
        <w:rPr>
          <w:lang w:val="pt-BR"/>
        </w:rPr>
        <w:t>não adotou</w:t>
      </w:r>
      <w:r w:rsidRPr="00D5464D">
        <w:rPr>
          <w:lang w:val="pt-BR"/>
        </w:rPr>
        <w:t xml:space="preserve"> medidas suficientes</w:t>
      </w:r>
      <w:r w:rsidR="00E045D9" w:rsidRPr="00D5464D">
        <w:rPr>
          <w:lang w:val="pt-BR"/>
        </w:rPr>
        <w:t xml:space="preserve"> e </w:t>
      </w:r>
      <w:r w:rsidR="00470ADC" w:rsidRPr="00D5464D">
        <w:rPr>
          <w:lang w:val="pt-BR"/>
        </w:rPr>
        <w:t>efetiv</w:t>
      </w:r>
      <w:r w:rsidRPr="00D5464D">
        <w:rPr>
          <w:lang w:val="pt-BR"/>
        </w:rPr>
        <w:t xml:space="preserve">as para </w:t>
      </w:r>
      <w:r w:rsidR="002C330E" w:rsidRPr="00D5464D">
        <w:rPr>
          <w:lang w:val="pt-BR"/>
        </w:rPr>
        <w:t>garantir</w:t>
      </w:r>
      <w:r w:rsidR="0005368B" w:rsidRPr="00D5464D">
        <w:rPr>
          <w:lang w:val="pt-BR"/>
        </w:rPr>
        <w:t>,</w:t>
      </w:r>
      <w:r w:rsidR="002C330E" w:rsidRPr="00D5464D">
        <w:rPr>
          <w:lang w:val="pt-BR"/>
        </w:rPr>
        <w:t xml:space="preserve"> sem </w:t>
      </w:r>
      <w:r w:rsidRPr="00D5464D">
        <w:rPr>
          <w:lang w:val="pt-BR"/>
        </w:rPr>
        <w:t>discrimina</w:t>
      </w:r>
      <w:r w:rsidR="00470ADC" w:rsidRPr="00D5464D">
        <w:rPr>
          <w:lang w:val="pt-BR"/>
        </w:rPr>
        <w:t>ção</w:t>
      </w:r>
      <w:r w:rsidR="0005368B" w:rsidRPr="00D5464D">
        <w:rPr>
          <w:lang w:val="pt-BR"/>
        </w:rPr>
        <w:t>,</w:t>
      </w:r>
      <w:r w:rsidR="002C330E" w:rsidRPr="00D5464D">
        <w:rPr>
          <w:lang w:val="pt-BR"/>
        </w:rPr>
        <w:t xml:space="preserve"> os </w:t>
      </w:r>
      <w:r w:rsidR="00470ADC" w:rsidRPr="00D5464D">
        <w:rPr>
          <w:lang w:val="pt-BR"/>
        </w:rPr>
        <w:t>direito</w:t>
      </w:r>
      <w:r w:rsidRPr="00D5464D">
        <w:rPr>
          <w:lang w:val="pt-BR"/>
        </w:rPr>
        <w:t>s</w:t>
      </w:r>
      <w:r w:rsidR="00470ADC" w:rsidRPr="00D5464D">
        <w:rPr>
          <w:lang w:val="pt-BR"/>
        </w:rPr>
        <w:t xml:space="preserve"> dos </w:t>
      </w:r>
      <w:r w:rsidR="00E045D9" w:rsidRPr="00D5464D">
        <w:rPr>
          <w:lang w:val="pt-BR"/>
        </w:rPr>
        <w:t>trabalhadores</w:t>
      </w:r>
      <w:r w:rsidRPr="00D5464D">
        <w:rPr>
          <w:lang w:val="pt-BR"/>
        </w:rPr>
        <w:t xml:space="preserve"> encontrados</w:t>
      </w:r>
      <w:r w:rsidR="00E045D9" w:rsidRPr="00D5464D">
        <w:rPr>
          <w:lang w:val="pt-BR"/>
        </w:rPr>
        <w:t xml:space="preserve"> nas </w:t>
      </w:r>
      <w:r w:rsidRPr="00D5464D">
        <w:rPr>
          <w:lang w:val="pt-BR"/>
        </w:rPr>
        <w:t>fiscaliza</w:t>
      </w:r>
      <w:r w:rsidR="00470ADC" w:rsidRPr="00D5464D">
        <w:rPr>
          <w:lang w:val="pt-BR"/>
        </w:rPr>
        <w:t>ções</w:t>
      </w:r>
      <w:r w:rsidRPr="00D5464D">
        <w:rPr>
          <w:lang w:val="pt-BR"/>
        </w:rPr>
        <w:t xml:space="preserve"> de 1993, 1996, 1997</w:t>
      </w:r>
      <w:r w:rsidR="00E045D9" w:rsidRPr="00D5464D">
        <w:rPr>
          <w:lang w:val="pt-BR"/>
        </w:rPr>
        <w:t xml:space="preserve"> e </w:t>
      </w:r>
      <w:r w:rsidRPr="00D5464D">
        <w:rPr>
          <w:lang w:val="pt-BR"/>
        </w:rPr>
        <w:t>2000”</w:t>
      </w:r>
      <w:r w:rsidR="00F452D1" w:rsidRPr="00D5464D">
        <w:rPr>
          <w:lang w:val="pt-BR"/>
        </w:rPr>
        <w:t>.</w:t>
      </w:r>
      <w:r w:rsidRPr="00D5464D">
        <w:rPr>
          <w:lang w:val="pt-BR"/>
        </w:rPr>
        <w:t xml:space="preserve"> </w:t>
      </w:r>
    </w:p>
    <w:p w14:paraId="7419DF60" w14:textId="77777777" w:rsidR="00207197" w:rsidRPr="00D5464D" w:rsidRDefault="00207197" w:rsidP="00140440">
      <w:pPr>
        <w:jc w:val="both"/>
        <w:rPr>
          <w:lang w:val="pt-BR"/>
        </w:rPr>
      </w:pPr>
    </w:p>
    <w:p w14:paraId="1F9B65C8" w14:textId="071EAC27" w:rsidR="00207197" w:rsidRPr="00D5464D" w:rsidRDefault="00C91CB1" w:rsidP="00F37DC4">
      <w:pPr>
        <w:pStyle w:val="Prrafodelista"/>
        <w:numPr>
          <w:ilvl w:val="0"/>
          <w:numId w:val="1"/>
        </w:numPr>
        <w:contextualSpacing w:val="0"/>
        <w:rPr>
          <w:lang w:val="pt-BR"/>
        </w:rPr>
      </w:pPr>
      <w:r w:rsidRPr="00D5464D">
        <w:rPr>
          <w:lang w:val="pt-BR"/>
        </w:rPr>
        <w:t xml:space="preserve">Em </w:t>
      </w:r>
      <w:r w:rsidR="00470ADC" w:rsidRPr="00D5464D">
        <w:rPr>
          <w:lang w:val="pt-BR"/>
        </w:rPr>
        <w:t>conclusão</w:t>
      </w:r>
      <w:r w:rsidR="00207197" w:rsidRPr="00D5464D">
        <w:rPr>
          <w:lang w:val="pt-BR"/>
        </w:rPr>
        <w:t>,</w:t>
      </w:r>
      <w:r w:rsidR="002C330E" w:rsidRPr="00D5464D">
        <w:rPr>
          <w:lang w:val="pt-BR"/>
        </w:rPr>
        <w:t xml:space="preserve"> a </w:t>
      </w:r>
      <w:r w:rsidR="00470ADC" w:rsidRPr="00D5464D">
        <w:rPr>
          <w:lang w:val="pt-BR"/>
        </w:rPr>
        <w:t>Comissão</w:t>
      </w:r>
      <w:r w:rsidR="00207197" w:rsidRPr="00D5464D">
        <w:rPr>
          <w:lang w:val="pt-BR"/>
        </w:rPr>
        <w:t xml:space="preserve"> </w:t>
      </w:r>
      <w:r w:rsidR="00470ADC" w:rsidRPr="00D5464D">
        <w:rPr>
          <w:lang w:val="pt-BR"/>
        </w:rPr>
        <w:t>argumentou</w:t>
      </w:r>
      <w:r w:rsidR="00207197" w:rsidRPr="00D5464D">
        <w:rPr>
          <w:lang w:val="pt-BR"/>
        </w:rPr>
        <w:t xml:space="preserve"> que </w:t>
      </w:r>
      <w:r w:rsidR="00AE5ED5" w:rsidRPr="00D5464D">
        <w:rPr>
          <w:lang w:val="pt-BR"/>
        </w:rPr>
        <w:t xml:space="preserve">o </w:t>
      </w:r>
      <w:r w:rsidR="00207197" w:rsidRPr="00D5464D">
        <w:rPr>
          <w:lang w:val="pt-BR"/>
        </w:rPr>
        <w:t>Brasil</w:t>
      </w:r>
      <w:r w:rsidR="00470ADC" w:rsidRPr="00D5464D">
        <w:rPr>
          <w:lang w:val="pt-BR"/>
        </w:rPr>
        <w:t xml:space="preserve"> é </w:t>
      </w:r>
      <w:r w:rsidR="00207197" w:rsidRPr="00D5464D">
        <w:rPr>
          <w:lang w:val="pt-BR"/>
        </w:rPr>
        <w:t xml:space="preserve">internacionalmente </w:t>
      </w:r>
      <w:r w:rsidR="002C330E" w:rsidRPr="00D5464D">
        <w:rPr>
          <w:lang w:val="pt-BR"/>
        </w:rPr>
        <w:t xml:space="preserve">responsável pela </w:t>
      </w:r>
      <w:r w:rsidR="00207197" w:rsidRPr="00D5464D">
        <w:rPr>
          <w:lang w:val="pt-BR"/>
        </w:rPr>
        <w:t>viola</w:t>
      </w:r>
      <w:r w:rsidR="00470ADC" w:rsidRPr="00D5464D">
        <w:rPr>
          <w:lang w:val="pt-BR"/>
        </w:rPr>
        <w:t>ção</w:t>
      </w:r>
      <w:r w:rsidR="00207197" w:rsidRPr="00D5464D">
        <w:rPr>
          <w:lang w:val="pt-BR"/>
        </w:rPr>
        <w:t xml:space="preserve"> </w:t>
      </w:r>
      <w:r w:rsidR="00470ADC" w:rsidRPr="00D5464D">
        <w:rPr>
          <w:lang w:val="pt-BR"/>
        </w:rPr>
        <w:t>do artigo</w:t>
      </w:r>
      <w:r w:rsidR="00207197" w:rsidRPr="00D5464D">
        <w:rPr>
          <w:lang w:val="pt-BR"/>
        </w:rPr>
        <w:t xml:space="preserve"> 6</w:t>
      </w:r>
      <w:r w:rsidR="00470ADC" w:rsidRPr="00D5464D">
        <w:rPr>
          <w:lang w:val="pt-BR"/>
        </w:rPr>
        <w:t xml:space="preserve"> da </w:t>
      </w:r>
      <w:r w:rsidR="00207197" w:rsidRPr="00D5464D">
        <w:rPr>
          <w:lang w:val="pt-BR"/>
        </w:rPr>
        <w:t>Conven</w:t>
      </w:r>
      <w:r w:rsidR="00470ADC" w:rsidRPr="00D5464D">
        <w:rPr>
          <w:lang w:val="pt-BR"/>
        </w:rPr>
        <w:t>ção</w:t>
      </w:r>
      <w:r w:rsidR="00207197" w:rsidRPr="00D5464D">
        <w:rPr>
          <w:lang w:val="pt-BR"/>
        </w:rPr>
        <w:t xml:space="preserve"> Americana,</w:t>
      </w:r>
      <w:r w:rsidR="00470ADC" w:rsidRPr="00D5464D">
        <w:rPr>
          <w:lang w:val="pt-BR"/>
        </w:rPr>
        <w:t xml:space="preserve"> </w:t>
      </w:r>
      <w:r w:rsidR="00A1358C" w:rsidRPr="00D5464D">
        <w:rPr>
          <w:lang w:val="pt-BR"/>
        </w:rPr>
        <w:t>em relação aos artigos</w:t>
      </w:r>
      <w:r w:rsidR="00207197" w:rsidRPr="00D5464D">
        <w:rPr>
          <w:lang w:val="pt-BR"/>
        </w:rPr>
        <w:t xml:space="preserve"> 5, 7, 22</w:t>
      </w:r>
      <w:r w:rsidR="00E045D9" w:rsidRPr="00D5464D">
        <w:rPr>
          <w:lang w:val="pt-BR"/>
        </w:rPr>
        <w:t xml:space="preserve"> e </w:t>
      </w:r>
      <w:r w:rsidR="00207197" w:rsidRPr="00D5464D">
        <w:rPr>
          <w:lang w:val="pt-BR"/>
        </w:rPr>
        <w:t>1.1</w:t>
      </w:r>
      <w:r w:rsidR="00470ADC" w:rsidRPr="00D5464D">
        <w:rPr>
          <w:lang w:val="pt-BR"/>
        </w:rPr>
        <w:t xml:space="preserve"> da </w:t>
      </w:r>
      <w:r w:rsidR="002C330E" w:rsidRPr="00D5464D">
        <w:rPr>
          <w:lang w:val="pt-BR"/>
        </w:rPr>
        <w:t>mesm</w:t>
      </w:r>
      <w:r w:rsidR="00207197" w:rsidRPr="00D5464D">
        <w:rPr>
          <w:lang w:val="pt-BR"/>
        </w:rPr>
        <w:t xml:space="preserve">a, </w:t>
      </w:r>
      <w:r w:rsidR="00AE5ED5" w:rsidRPr="00D5464D">
        <w:rPr>
          <w:lang w:val="pt-BR"/>
        </w:rPr>
        <w:t xml:space="preserve">em relação aos </w:t>
      </w:r>
      <w:r w:rsidR="00E045D9" w:rsidRPr="00D5464D">
        <w:rPr>
          <w:lang w:val="pt-BR"/>
        </w:rPr>
        <w:t>trabalhadores</w:t>
      </w:r>
      <w:r w:rsidR="00470ADC" w:rsidRPr="00D5464D">
        <w:rPr>
          <w:lang w:val="pt-BR"/>
        </w:rPr>
        <w:t xml:space="preserve"> da </w:t>
      </w:r>
      <w:r w:rsidR="00D809F0" w:rsidRPr="00D5464D">
        <w:rPr>
          <w:lang w:val="pt-BR"/>
        </w:rPr>
        <w:t>Fazenda</w:t>
      </w:r>
      <w:r w:rsidR="00207197" w:rsidRPr="00D5464D">
        <w:rPr>
          <w:lang w:val="pt-BR"/>
        </w:rPr>
        <w:t xml:space="preserve"> Brasil Verde identificados</w:t>
      </w:r>
      <w:r w:rsidR="00E045D9" w:rsidRPr="00D5464D">
        <w:rPr>
          <w:lang w:val="pt-BR"/>
        </w:rPr>
        <w:t xml:space="preserve"> na </w:t>
      </w:r>
      <w:r w:rsidR="00207197" w:rsidRPr="00D5464D">
        <w:rPr>
          <w:lang w:val="pt-BR"/>
        </w:rPr>
        <w:t>fiscaliza</w:t>
      </w:r>
      <w:r w:rsidR="00470ADC" w:rsidRPr="00D5464D">
        <w:rPr>
          <w:lang w:val="pt-BR"/>
        </w:rPr>
        <w:t>ção</w:t>
      </w:r>
      <w:r w:rsidR="00207197" w:rsidRPr="00D5464D">
        <w:rPr>
          <w:lang w:val="pt-BR"/>
        </w:rPr>
        <w:t xml:space="preserve"> de 2000</w:t>
      </w:r>
      <w:r w:rsidR="00AE5ED5" w:rsidRPr="00D5464D">
        <w:rPr>
          <w:lang w:val="pt-BR"/>
        </w:rPr>
        <w:t>.</w:t>
      </w:r>
      <w:r w:rsidR="00207197" w:rsidRPr="00D5464D">
        <w:rPr>
          <w:rStyle w:val="Refdenotaalpie"/>
          <w:lang w:val="pt-BR"/>
        </w:rPr>
        <w:footnoteReference w:id="353"/>
      </w:r>
      <w:r w:rsidR="00207197" w:rsidRPr="00D5464D">
        <w:rPr>
          <w:lang w:val="pt-BR"/>
        </w:rPr>
        <w:t xml:space="preserve"> Adicionalmente, </w:t>
      </w:r>
      <w:r w:rsidR="00470ADC" w:rsidRPr="00D5464D">
        <w:rPr>
          <w:lang w:val="pt-BR"/>
        </w:rPr>
        <w:t>considerou</w:t>
      </w:r>
      <w:r w:rsidR="00207197" w:rsidRPr="00D5464D">
        <w:rPr>
          <w:lang w:val="pt-BR"/>
        </w:rPr>
        <w:t xml:space="preserve"> que</w:t>
      </w:r>
      <w:r w:rsidR="00470ADC" w:rsidRPr="00D5464D">
        <w:rPr>
          <w:lang w:val="pt-BR"/>
        </w:rPr>
        <w:t xml:space="preserve"> o </w:t>
      </w:r>
      <w:r w:rsidR="00207197" w:rsidRPr="00D5464D">
        <w:rPr>
          <w:lang w:val="pt-BR"/>
        </w:rPr>
        <w:t xml:space="preserve">Estado </w:t>
      </w:r>
      <w:r w:rsidR="00230C71" w:rsidRPr="00D5464D">
        <w:rPr>
          <w:lang w:val="pt-BR"/>
        </w:rPr>
        <w:t>não adotou</w:t>
      </w:r>
      <w:r w:rsidR="00207197" w:rsidRPr="00D5464D">
        <w:rPr>
          <w:lang w:val="pt-BR"/>
        </w:rPr>
        <w:t xml:space="preserve"> medidas suficientes</w:t>
      </w:r>
      <w:r w:rsidR="00E045D9" w:rsidRPr="00D5464D">
        <w:rPr>
          <w:lang w:val="pt-BR"/>
        </w:rPr>
        <w:t xml:space="preserve"> e </w:t>
      </w:r>
      <w:r w:rsidR="00470ADC" w:rsidRPr="00D5464D">
        <w:rPr>
          <w:lang w:val="pt-BR"/>
        </w:rPr>
        <w:t>efetiv</w:t>
      </w:r>
      <w:r w:rsidR="00207197" w:rsidRPr="00D5464D">
        <w:rPr>
          <w:lang w:val="pt-BR"/>
        </w:rPr>
        <w:t xml:space="preserve">as para </w:t>
      </w:r>
      <w:r w:rsidR="002C330E" w:rsidRPr="00D5464D">
        <w:rPr>
          <w:lang w:val="pt-BR"/>
        </w:rPr>
        <w:t>garantir</w:t>
      </w:r>
      <w:r w:rsidR="00AE5ED5" w:rsidRPr="00D5464D">
        <w:rPr>
          <w:lang w:val="pt-BR"/>
        </w:rPr>
        <w:t>,</w:t>
      </w:r>
      <w:r w:rsidR="002C330E" w:rsidRPr="00D5464D">
        <w:rPr>
          <w:lang w:val="pt-BR"/>
        </w:rPr>
        <w:t xml:space="preserve"> sem </w:t>
      </w:r>
      <w:r w:rsidR="00207197" w:rsidRPr="00D5464D">
        <w:rPr>
          <w:lang w:val="pt-BR"/>
        </w:rPr>
        <w:t>discrimina</w:t>
      </w:r>
      <w:r w:rsidR="00470ADC" w:rsidRPr="00D5464D">
        <w:rPr>
          <w:lang w:val="pt-BR"/>
        </w:rPr>
        <w:t>ção</w:t>
      </w:r>
      <w:r w:rsidR="00AE5ED5" w:rsidRPr="00D5464D">
        <w:rPr>
          <w:lang w:val="pt-BR"/>
        </w:rPr>
        <w:t>,</w:t>
      </w:r>
      <w:r w:rsidR="002C330E" w:rsidRPr="00D5464D">
        <w:rPr>
          <w:lang w:val="pt-BR"/>
        </w:rPr>
        <w:t xml:space="preserve"> os </w:t>
      </w:r>
      <w:r w:rsidR="00470ADC" w:rsidRPr="00D5464D">
        <w:rPr>
          <w:lang w:val="pt-BR"/>
        </w:rPr>
        <w:t>direito</w:t>
      </w:r>
      <w:r w:rsidR="00207197" w:rsidRPr="00D5464D">
        <w:rPr>
          <w:lang w:val="pt-BR"/>
        </w:rPr>
        <w:t>s</w:t>
      </w:r>
      <w:r w:rsidR="00470ADC" w:rsidRPr="00D5464D">
        <w:rPr>
          <w:lang w:val="pt-BR"/>
        </w:rPr>
        <w:t xml:space="preserve"> dos </w:t>
      </w:r>
      <w:r w:rsidR="00207197" w:rsidRPr="00D5464D">
        <w:rPr>
          <w:lang w:val="pt-BR"/>
        </w:rPr>
        <w:t xml:space="preserve">referidos </w:t>
      </w:r>
      <w:r w:rsidR="00E045D9" w:rsidRPr="00D5464D">
        <w:rPr>
          <w:lang w:val="pt-BR"/>
        </w:rPr>
        <w:t>trabalhadores</w:t>
      </w:r>
      <w:r w:rsidR="00207197" w:rsidRPr="00D5464D">
        <w:rPr>
          <w:lang w:val="pt-BR"/>
        </w:rPr>
        <w:t xml:space="preserve"> </w:t>
      </w:r>
      <w:r w:rsidR="00470ADC" w:rsidRPr="00D5464D">
        <w:rPr>
          <w:lang w:val="pt-BR"/>
        </w:rPr>
        <w:t>de acordo com o artigo</w:t>
      </w:r>
      <w:r w:rsidR="00207197" w:rsidRPr="00D5464D">
        <w:rPr>
          <w:lang w:val="pt-BR"/>
        </w:rPr>
        <w:t xml:space="preserve"> 1.1</w:t>
      </w:r>
      <w:r w:rsidR="00470ADC" w:rsidRPr="00D5464D">
        <w:rPr>
          <w:lang w:val="pt-BR"/>
        </w:rPr>
        <w:t xml:space="preserve"> da </w:t>
      </w:r>
      <w:r w:rsidR="00207197" w:rsidRPr="00D5464D">
        <w:rPr>
          <w:lang w:val="pt-BR"/>
        </w:rPr>
        <w:t>Conven</w:t>
      </w:r>
      <w:r w:rsidR="00470ADC" w:rsidRPr="00D5464D">
        <w:rPr>
          <w:lang w:val="pt-BR"/>
        </w:rPr>
        <w:t>ção</w:t>
      </w:r>
      <w:r w:rsidR="00AE5ED5" w:rsidRPr="00D5464D">
        <w:rPr>
          <w:lang w:val="pt-BR"/>
        </w:rPr>
        <w:t>,</w:t>
      </w:r>
      <w:r w:rsidR="00470ADC" w:rsidRPr="00D5464D">
        <w:rPr>
          <w:lang w:val="pt-BR"/>
        </w:rPr>
        <w:t xml:space="preserve"> em </w:t>
      </w:r>
      <w:r w:rsidR="00207197" w:rsidRPr="00D5464D">
        <w:rPr>
          <w:lang w:val="pt-BR"/>
        </w:rPr>
        <w:t>rela</w:t>
      </w:r>
      <w:r w:rsidR="00470ADC" w:rsidRPr="00D5464D">
        <w:rPr>
          <w:lang w:val="pt-BR"/>
        </w:rPr>
        <w:t xml:space="preserve">ção </w:t>
      </w:r>
      <w:r w:rsidR="00AE5ED5" w:rsidRPr="00D5464D">
        <w:rPr>
          <w:lang w:val="pt-BR"/>
        </w:rPr>
        <w:t>a</w:t>
      </w:r>
      <w:r w:rsidR="002C330E" w:rsidRPr="00D5464D">
        <w:rPr>
          <w:lang w:val="pt-BR"/>
        </w:rPr>
        <w:t xml:space="preserve">os </w:t>
      </w:r>
      <w:r w:rsidR="00470ADC" w:rsidRPr="00D5464D">
        <w:rPr>
          <w:lang w:val="pt-BR"/>
        </w:rPr>
        <w:t>direito</w:t>
      </w:r>
      <w:r w:rsidR="00207197" w:rsidRPr="00D5464D">
        <w:rPr>
          <w:lang w:val="pt-BR"/>
        </w:rPr>
        <w:t>s re</w:t>
      </w:r>
      <w:r w:rsidR="00470ADC" w:rsidRPr="00D5464D">
        <w:rPr>
          <w:lang w:val="pt-BR"/>
        </w:rPr>
        <w:t>conhecido</w:t>
      </w:r>
      <w:r w:rsidR="00207197" w:rsidRPr="00D5464D">
        <w:rPr>
          <w:lang w:val="pt-BR"/>
        </w:rPr>
        <w:t>s</w:t>
      </w:r>
      <w:r w:rsidR="00E045D9" w:rsidRPr="00D5464D">
        <w:rPr>
          <w:lang w:val="pt-BR"/>
        </w:rPr>
        <w:t xml:space="preserve"> nos </w:t>
      </w:r>
      <w:r w:rsidR="00470ADC" w:rsidRPr="00D5464D">
        <w:rPr>
          <w:lang w:val="pt-BR"/>
        </w:rPr>
        <w:t>artigo</w:t>
      </w:r>
      <w:r w:rsidR="00207197" w:rsidRPr="00D5464D">
        <w:rPr>
          <w:lang w:val="pt-BR"/>
        </w:rPr>
        <w:t>s 5, 6, 7</w:t>
      </w:r>
      <w:r w:rsidR="00E045D9" w:rsidRPr="00D5464D">
        <w:rPr>
          <w:lang w:val="pt-BR"/>
        </w:rPr>
        <w:t xml:space="preserve"> e </w:t>
      </w:r>
      <w:r w:rsidR="00207197" w:rsidRPr="00D5464D">
        <w:rPr>
          <w:lang w:val="pt-BR"/>
        </w:rPr>
        <w:t xml:space="preserve">22 </w:t>
      </w:r>
      <w:r w:rsidR="00470ADC" w:rsidRPr="00D5464D">
        <w:rPr>
          <w:lang w:val="pt-BR"/>
        </w:rPr>
        <w:t xml:space="preserve">do </w:t>
      </w:r>
      <w:r w:rsidR="002C330E" w:rsidRPr="00D5464D">
        <w:rPr>
          <w:lang w:val="pt-BR"/>
        </w:rPr>
        <w:t>mesm</w:t>
      </w:r>
      <w:r w:rsidR="00207197" w:rsidRPr="00D5464D">
        <w:rPr>
          <w:lang w:val="pt-BR"/>
        </w:rPr>
        <w:t xml:space="preserve">o instrumento. </w:t>
      </w:r>
    </w:p>
    <w:p w14:paraId="279C5F88" w14:textId="77777777" w:rsidR="00207197" w:rsidRPr="00D5464D" w:rsidRDefault="00207197" w:rsidP="00140440">
      <w:pPr>
        <w:jc w:val="both"/>
        <w:rPr>
          <w:lang w:val="pt-BR"/>
        </w:rPr>
      </w:pPr>
    </w:p>
    <w:p w14:paraId="3509AEE3" w14:textId="179DDAF6" w:rsidR="00207197" w:rsidRPr="00D5464D" w:rsidRDefault="00737270" w:rsidP="00F37DC4">
      <w:pPr>
        <w:pStyle w:val="Prrafodelista"/>
        <w:numPr>
          <w:ilvl w:val="0"/>
          <w:numId w:val="1"/>
        </w:numPr>
        <w:contextualSpacing w:val="0"/>
        <w:rPr>
          <w:lang w:val="pt-BR"/>
        </w:rPr>
      </w:pPr>
      <w:r w:rsidRPr="00D5464D">
        <w:rPr>
          <w:lang w:val="pt-BR"/>
        </w:rPr>
        <w:t xml:space="preserve">Os </w:t>
      </w:r>
      <w:r w:rsidR="00EB1CE9" w:rsidRPr="00D5464D">
        <w:rPr>
          <w:b/>
          <w:i/>
          <w:lang w:val="pt-BR"/>
        </w:rPr>
        <w:t>representante</w:t>
      </w:r>
      <w:r w:rsidRPr="00D5464D">
        <w:rPr>
          <w:b/>
          <w:i/>
          <w:lang w:val="pt-BR"/>
        </w:rPr>
        <w:t>s</w:t>
      </w:r>
      <w:r w:rsidRPr="00D5464D">
        <w:rPr>
          <w:lang w:val="pt-BR"/>
        </w:rPr>
        <w:t xml:space="preserve"> </w:t>
      </w:r>
      <w:r w:rsidR="002C330E" w:rsidRPr="00D5464D">
        <w:rPr>
          <w:lang w:val="pt-BR"/>
        </w:rPr>
        <w:t>afirmaram</w:t>
      </w:r>
      <w:r w:rsidR="00207197" w:rsidRPr="00D5464D">
        <w:rPr>
          <w:lang w:val="pt-BR"/>
        </w:rPr>
        <w:t xml:space="preserve"> que</w:t>
      </w:r>
      <w:r w:rsidR="002C330E" w:rsidRPr="00D5464D">
        <w:rPr>
          <w:lang w:val="pt-BR"/>
        </w:rPr>
        <w:t xml:space="preserve"> a proibição</w:t>
      </w:r>
      <w:r w:rsidR="00207197" w:rsidRPr="00D5464D">
        <w:rPr>
          <w:lang w:val="pt-BR"/>
        </w:rPr>
        <w:t xml:space="preserve"> </w:t>
      </w:r>
      <w:r w:rsidR="00470ADC" w:rsidRPr="00D5464D">
        <w:rPr>
          <w:lang w:val="pt-BR"/>
        </w:rPr>
        <w:t xml:space="preserve">do </w:t>
      </w:r>
      <w:r w:rsidR="00E045D9" w:rsidRPr="00D5464D">
        <w:rPr>
          <w:lang w:val="pt-BR"/>
        </w:rPr>
        <w:t>trabalho</w:t>
      </w:r>
      <w:r w:rsidR="00207197" w:rsidRPr="00D5464D">
        <w:rPr>
          <w:lang w:val="pt-BR"/>
        </w:rPr>
        <w:t xml:space="preserve"> </w:t>
      </w:r>
      <w:r w:rsidR="004F1CC2" w:rsidRPr="00D5464D">
        <w:rPr>
          <w:lang w:val="pt-BR"/>
        </w:rPr>
        <w:t>escravo</w:t>
      </w:r>
      <w:r w:rsidR="00470ADC" w:rsidRPr="00D5464D">
        <w:rPr>
          <w:lang w:val="pt-BR"/>
        </w:rPr>
        <w:t xml:space="preserve"> é</w:t>
      </w:r>
      <w:r w:rsidR="00E045D9" w:rsidRPr="00D5464D">
        <w:rPr>
          <w:lang w:val="pt-BR"/>
        </w:rPr>
        <w:t xml:space="preserve"> uma </w:t>
      </w:r>
      <w:r w:rsidR="002C330E" w:rsidRPr="00D5464D">
        <w:rPr>
          <w:lang w:val="pt-BR"/>
        </w:rPr>
        <w:t>obrigação</w:t>
      </w:r>
      <w:r w:rsidR="00207197" w:rsidRPr="00D5464D">
        <w:rPr>
          <w:lang w:val="pt-BR"/>
        </w:rPr>
        <w:t xml:space="preserve"> de </w:t>
      </w:r>
      <w:r w:rsidR="00207197" w:rsidRPr="00D5464D">
        <w:rPr>
          <w:i/>
          <w:lang w:val="pt-BR"/>
        </w:rPr>
        <w:t>jus cogens</w:t>
      </w:r>
      <w:r w:rsidR="00E045D9" w:rsidRPr="00D5464D">
        <w:rPr>
          <w:lang w:val="pt-BR"/>
        </w:rPr>
        <w:t xml:space="preserve"> no </w:t>
      </w:r>
      <w:r w:rsidR="00E765C2" w:rsidRPr="00D5464D">
        <w:rPr>
          <w:lang w:val="pt-BR"/>
        </w:rPr>
        <w:t>Direito Internacional</w:t>
      </w:r>
      <w:r w:rsidR="00E045D9" w:rsidRPr="00D5464D">
        <w:rPr>
          <w:lang w:val="pt-BR"/>
        </w:rPr>
        <w:t xml:space="preserve"> e </w:t>
      </w:r>
      <w:r w:rsidR="00207197" w:rsidRPr="00D5464D">
        <w:rPr>
          <w:lang w:val="pt-BR"/>
        </w:rPr>
        <w:t xml:space="preserve">que </w:t>
      </w:r>
      <w:r w:rsidR="00AE5ED5" w:rsidRPr="00D5464D">
        <w:rPr>
          <w:lang w:val="pt-BR"/>
        </w:rPr>
        <w:t>possui, também,</w:t>
      </w:r>
      <w:r w:rsidR="00E045D9" w:rsidRPr="00D5464D">
        <w:rPr>
          <w:lang w:val="pt-BR"/>
        </w:rPr>
        <w:t xml:space="preserve"> </w:t>
      </w:r>
      <w:r w:rsidR="00470ADC" w:rsidRPr="00D5464D">
        <w:rPr>
          <w:lang w:val="pt-BR"/>
        </w:rPr>
        <w:t>caráter</w:t>
      </w:r>
      <w:r w:rsidR="00207197" w:rsidRPr="00D5464D">
        <w:rPr>
          <w:lang w:val="pt-BR"/>
        </w:rPr>
        <w:t xml:space="preserve"> </w:t>
      </w:r>
      <w:r w:rsidR="00207197" w:rsidRPr="00D5464D">
        <w:rPr>
          <w:i/>
          <w:lang w:val="pt-BR"/>
        </w:rPr>
        <w:t>erga omnes</w:t>
      </w:r>
      <w:r w:rsidR="00207197" w:rsidRPr="00D5464D">
        <w:rPr>
          <w:lang w:val="pt-BR"/>
        </w:rPr>
        <w:t xml:space="preserve">. </w:t>
      </w:r>
      <w:r w:rsidRPr="00D5464D">
        <w:rPr>
          <w:lang w:val="pt-BR"/>
        </w:rPr>
        <w:t>Acrescentaram</w:t>
      </w:r>
      <w:r w:rsidR="00207197" w:rsidRPr="00D5464D">
        <w:rPr>
          <w:lang w:val="pt-BR"/>
        </w:rPr>
        <w:t xml:space="preserve"> que </w:t>
      </w:r>
      <w:r w:rsidRPr="00D5464D">
        <w:rPr>
          <w:lang w:val="pt-BR"/>
        </w:rPr>
        <w:t>não é</w:t>
      </w:r>
      <w:r w:rsidR="00470ADC" w:rsidRPr="00D5464D">
        <w:rPr>
          <w:lang w:val="pt-BR"/>
        </w:rPr>
        <w:t xml:space="preserve"> </w:t>
      </w:r>
      <w:r w:rsidR="002C330E" w:rsidRPr="00D5464D">
        <w:rPr>
          <w:lang w:val="pt-BR"/>
        </w:rPr>
        <w:t xml:space="preserve">possível </w:t>
      </w:r>
      <w:r w:rsidR="00207197" w:rsidRPr="00D5464D">
        <w:rPr>
          <w:lang w:val="pt-BR"/>
        </w:rPr>
        <w:t>enumerar todas</w:t>
      </w:r>
      <w:r w:rsidR="002C330E" w:rsidRPr="00D5464D">
        <w:rPr>
          <w:lang w:val="pt-BR"/>
        </w:rPr>
        <w:t xml:space="preserve"> as </w:t>
      </w:r>
      <w:r w:rsidR="00207197" w:rsidRPr="00D5464D">
        <w:rPr>
          <w:lang w:val="pt-BR"/>
        </w:rPr>
        <w:t xml:space="preserve">formas </w:t>
      </w:r>
      <w:r w:rsidR="00470ADC" w:rsidRPr="00D5464D">
        <w:rPr>
          <w:lang w:val="pt-BR"/>
        </w:rPr>
        <w:t>contemporânea</w:t>
      </w:r>
      <w:r w:rsidR="00207197" w:rsidRPr="00D5464D">
        <w:rPr>
          <w:lang w:val="pt-BR"/>
        </w:rPr>
        <w:t xml:space="preserve">s de </w:t>
      </w:r>
      <w:r w:rsidR="000B376D" w:rsidRPr="00D5464D">
        <w:rPr>
          <w:lang w:val="pt-BR"/>
        </w:rPr>
        <w:t>escravidão</w:t>
      </w:r>
      <w:r w:rsidR="00207197" w:rsidRPr="00D5464D">
        <w:rPr>
          <w:lang w:val="pt-BR"/>
        </w:rPr>
        <w:t xml:space="preserve">, </w:t>
      </w:r>
      <w:r w:rsidR="002C330E" w:rsidRPr="00D5464D">
        <w:rPr>
          <w:lang w:val="pt-BR"/>
        </w:rPr>
        <w:t>mas</w:t>
      </w:r>
      <w:r w:rsidR="00207197" w:rsidRPr="00D5464D">
        <w:rPr>
          <w:lang w:val="pt-BR"/>
        </w:rPr>
        <w:t xml:space="preserve"> que </w:t>
      </w:r>
      <w:r w:rsidR="00350187" w:rsidRPr="00D5464D">
        <w:rPr>
          <w:lang w:val="pt-BR"/>
        </w:rPr>
        <w:t>estas</w:t>
      </w:r>
      <w:r w:rsidR="00207197" w:rsidRPr="00D5464D">
        <w:rPr>
          <w:lang w:val="pt-BR"/>
        </w:rPr>
        <w:t xml:space="preserve"> </w:t>
      </w:r>
      <w:r w:rsidR="00230C71" w:rsidRPr="00D5464D">
        <w:rPr>
          <w:lang w:val="pt-BR"/>
        </w:rPr>
        <w:t>incluem</w:t>
      </w:r>
      <w:r w:rsidR="00207197" w:rsidRPr="00D5464D">
        <w:rPr>
          <w:lang w:val="pt-BR"/>
        </w:rPr>
        <w:t xml:space="preserve"> </w:t>
      </w:r>
      <w:r w:rsidR="00470ADC" w:rsidRPr="00D5464D">
        <w:rPr>
          <w:lang w:val="pt-BR"/>
        </w:rPr>
        <w:t>quatro</w:t>
      </w:r>
      <w:r w:rsidR="00207197" w:rsidRPr="00D5464D">
        <w:rPr>
          <w:lang w:val="pt-BR"/>
        </w:rPr>
        <w:t xml:space="preserve"> elementos </w:t>
      </w:r>
      <w:r w:rsidR="002C330E" w:rsidRPr="00D5464D">
        <w:rPr>
          <w:lang w:val="pt-BR"/>
        </w:rPr>
        <w:t>fundamentais</w:t>
      </w:r>
      <w:r w:rsidR="00207197" w:rsidRPr="00D5464D">
        <w:rPr>
          <w:lang w:val="pt-BR"/>
        </w:rPr>
        <w:t xml:space="preserve">: i) </w:t>
      </w:r>
      <w:r w:rsidR="00AE5ED5" w:rsidRPr="00D5464D">
        <w:rPr>
          <w:lang w:val="pt-BR"/>
        </w:rPr>
        <w:t xml:space="preserve">o </w:t>
      </w:r>
      <w:r w:rsidR="00470ADC" w:rsidRPr="00D5464D">
        <w:rPr>
          <w:lang w:val="pt-BR"/>
        </w:rPr>
        <w:t xml:space="preserve">controle </w:t>
      </w:r>
      <w:r w:rsidR="00207197" w:rsidRPr="00D5464D">
        <w:rPr>
          <w:lang w:val="pt-BR"/>
        </w:rPr>
        <w:t xml:space="preserve">sobre </w:t>
      </w:r>
      <w:r w:rsidR="002C330E" w:rsidRPr="00D5464D">
        <w:rPr>
          <w:lang w:val="pt-BR"/>
        </w:rPr>
        <w:t>outra</w:t>
      </w:r>
      <w:r w:rsidR="00207197" w:rsidRPr="00D5464D">
        <w:rPr>
          <w:lang w:val="pt-BR"/>
        </w:rPr>
        <w:t xml:space="preserve">s </w:t>
      </w:r>
      <w:r w:rsidR="002C330E" w:rsidRPr="00D5464D">
        <w:rPr>
          <w:lang w:val="pt-BR"/>
        </w:rPr>
        <w:t>pessoa</w:t>
      </w:r>
      <w:r w:rsidR="00207197" w:rsidRPr="00D5464D">
        <w:rPr>
          <w:lang w:val="pt-BR"/>
        </w:rPr>
        <w:t xml:space="preserve">s; ii) </w:t>
      </w:r>
      <w:r w:rsidR="00AE5ED5" w:rsidRPr="00D5464D">
        <w:rPr>
          <w:lang w:val="pt-BR"/>
        </w:rPr>
        <w:t xml:space="preserve">a </w:t>
      </w:r>
      <w:r w:rsidR="00230C71" w:rsidRPr="00D5464D">
        <w:rPr>
          <w:lang w:val="pt-BR"/>
        </w:rPr>
        <w:t>apropriação</w:t>
      </w:r>
      <w:r w:rsidR="00207197" w:rsidRPr="00D5464D">
        <w:rPr>
          <w:lang w:val="pt-BR"/>
        </w:rPr>
        <w:t xml:space="preserve"> de su</w:t>
      </w:r>
      <w:r w:rsidR="00AE5ED5" w:rsidRPr="00D5464D">
        <w:rPr>
          <w:lang w:val="pt-BR"/>
        </w:rPr>
        <w:t>a</w:t>
      </w:r>
      <w:r w:rsidR="00207197" w:rsidRPr="00D5464D">
        <w:rPr>
          <w:lang w:val="pt-BR"/>
        </w:rPr>
        <w:t xml:space="preserve"> </w:t>
      </w:r>
      <w:r w:rsidR="002C330E" w:rsidRPr="00D5464D">
        <w:rPr>
          <w:lang w:val="pt-BR"/>
        </w:rPr>
        <w:t xml:space="preserve">força </w:t>
      </w:r>
      <w:r w:rsidR="00207197" w:rsidRPr="00D5464D">
        <w:rPr>
          <w:lang w:val="pt-BR"/>
        </w:rPr>
        <w:t xml:space="preserve">de </w:t>
      </w:r>
      <w:r w:rsidR="00E045D9" w:rsidRPr="00D5464D">
        <w:rPr>
          <w:lang w:val="pt-BR"/>
        </w:rPr>
        <w:t>trabalho</w:t>
      </w:r>
      <w:r w:rsidR="00207197" w:rsidRPr="00D5464D">
        <w:rPr>
          <w:lang w:val="pt-BR"/>
        </w:rPr>
        <w:t xml:space="preserve">; iii) </w:t>
      </w:r>
      <w:r w:rsidR="00AE5ED5" w:rsidRPr="00D5464D">
        <w:rPr>
          <w:lang w:val="pt-BR"/>
        </w:rPr>
        <w:t xml:space="preserve">o </w:t>
      </w:r>
      <w:r w:rsidR="00207197" w:rsidRPr="00D5464D">
        <w:rPr>
          <w:lang w:val="pt-BR"/>
        </w:rPr>
        <w:t>uso o</w:t>
      </w:r>
      <w:r w:rsidR="00AE5ED5" w:rsidRPr="00D5464D">
        <w:rPr>
          <w:lang w:val="pt-BR"/>
        </w:rPr>
        <w:t>u</w:t>
      </w:r>
      <w:r w:rsidR="00207197" w:rsidRPr="00D5464D">
        <w:rPr>
          <w:lang w:val="pt-BR"/>
        </w:rPr>
        <w:t xml:space="preserve"> </w:t>
      </w:r>
      <w:r w:rsidR="00470ADC" w:rsidRPr="00D5464D">
        <w:rPr>
          <w:lang w:val="pt-BR"/>
        </w:rPr>
        <w:t>ameaça</w:t>
      </w:r>
      <w:r w:rsidR="00207197" w:rsidRPr="00D5464D">
        <w:rPr>
          <w:lang w:val="pt-BR"/>
        </w:rPr>
        <w:t xml:space="preserve"> de uso de </w:t>
      </w:r>
      <w:r w:rsidR="00E045D9" w:rsidRPr="00D5464D">
        <w:rPr>
          <w:lang w:val="pt-BR"/>
        </w:rPr>
        <w:t>violência</w:t>
      </w:r>
      <w:r w:rsidR="00470ADC" w:rsidRPr="00D5464D">
        <w:rPr>
          <w:lang w:val="pt-BR"/>
        </w:rPr>
        <w:t xml:space="preserve"> e</w:t>
      </w:r>
      <w:r w:rsidR="00207197" w:rsidRPr="00D5464D">
        <w:rPr>
          <w:lang w:val="pt-BR"/>
        </w:rPr>
        <w:t xml:space="preserve"> iv) </w:t>
      </w:r>
      <w:r w:rsidR="00AE5ED5" w:rsidRPr="00D5464D">
        <w:rPr>
          <w:lang w:val="pt-BR"/>
        </w:rPr>
        <w:t xml:space="preserve">a </w:t>
      </w:r>
      <w:r w:rsidR="00207197" w:rsidRPr="00D5464D">
        <w:rPr>
          <w:lang w:val="pt-BR"/>
        </w:rPr>
        <w:t>discrimina</w:t>
      </w:r>
      <w:r w:rsidR="00470ADC" w:rsidRPr="00D5464D">
        <w:rPr>
          <w:lang w:val="pt-BR"/>
        </w:rPr>
        <w:t>ção</w:t>
      </w:r>
      <w:r w:rsidR="00207197" w:rsidRPr="00D5464D">
        <w:rPr>
          <w:lang w:val="pt-BR"/>
        </w:rPr>
        <w:t xml:space="preserve"> </w:t>
      </w:r>
      <w:r w:rsidR="00AE5ED5" w:rsidRPr="00D5464D">
        <w:rPr>
          <w:lang w:val="pt-BR"/>
        </w:rPr>
        <w:t>como consequência da des</w:t>
      </w:r>
      <w:r w:rsidR="00207197" w:rsidRPr="00D5464D">
        <w:rPr>
          <w:lang w:val="pt-BR"/>
        </w:rPr>
        <w:t>umaniza</w:t>
      </w:r>
      <w:r w:rsidR="00470ADC" w:rsidRPr="00D5464D">
        <w:rPr>
          <w:lang w:val="pt-BR"/>
        </w:rPr>
        <w:t xml:space="preserve">ção das </w:t>
      </w:r>
      <w:r w:rsidR="002C330E" w:rsidRPr="00D5464D">
        <w:rPr>
          <w:lang w:val="pt-BR"/>
        </w:rPr>
        <w:t>pessoa</w:t>
      </w:r>
      <w:r w:rsidR="00207197" w:rsidRPr="00D5464D">
        <w:rPr>
          <w:lang w:val="pt-BR"/>
        </w:rPr>
        <w:t xml:space="preserve">s </w:t>
      </w:r>
      <w:r w:rsidR="002C330E" w:rsidRPr="00D5464D">
        <w:rPr>
          <w:lang w:val="pt-BR"/>
        </w:rPr>
        <w:t>submetida</w:t>
      </w:r>
      <w:r w:rsidR="00207197" w:rsidRPr="00D5464D">
        <w:rPr>
          <w:lang w:val="pt-BR"/>
        </w:rPr>
        <w:t xml:space="preserve">s a </w:t>
      </w:r>
      <w:r w:rsidR="000B376D" w:rsidRPr="00D5464D">
        <w:rPr>
          <w:lang w:val="pt-BR"/>
        </w:rPr>
        <w:t>escravidão</w:t>
      </w:r>
      <w:r w:rsidR="00207197" w:rsidRPr="00D5464D">
        <w:rPr>
          <w:lang w:val="pt-BR"/>
        </w:rPr>
        <w:t>.</w:t>
      </w:r>
    </w:p>
    <w:p w14:paraId="4F870312" w14:textId="77777777" w:rsidR="00207197" w:rsidRPr="00D5464D" w:rsidRDefault="00207197" w:rsidP="00140440">
      <w:pPr>
        <w:pStyle w:val="Prrafodelista"/>
        <w:ind w:left="0"/>
        <w:rPr>
          <w:lang w:val="pt-BR"/>
        </w:rPr>
      </w:pPr>
    </w:p>
    <w:p w14:paraId="098DA3C2" w14:textId="0F44369A" w:rsidR="00207197" w:rsidRPr="00D5464D" w:rsidRDefault="00737270" w:rsidP="00F37DC4">
      <w:pPr>
        <w:pStyle w:val="Prrafodelista"/>
        <w:numPr>
          <w:ilvl w:val="0"/>
          <w:numId w:val="1"/>
        </w:numPr>
        <w:contextualSpacing w:val="0"/>
        <w:rPr>
          <w:lang w:val="pt-BR"/>
        </w:rPr>
      </w:pPr>
      <w:r w:rsidRPr="00D5464D">
        <w:rPr>
          <w:lang w:val="pt-BR"/>
        </w:rPr>
        <w:t xml:space="preserve">Os </w:t>
      </w:r>
      <w:r w:rsidR="00EB1CE9" w:rsidRPr="00D5464D">
        <w:rPr>
          <w:lang w:val="pt-BR"/>
        </w:rPr>
        <w:t>representante</w:t>
      </w:r>
      <w:r w:rsidRPr="00D5464D">
        <w:rPr>
          <w:lang w:val="pt-BR"/>
        </w:rPr>
        <w:t xml:space="preserve">s </w:t>
      </w:r>
      <w:r w:rsidR="00EB1CE9" w:rsidRPr="00D5464D">
        <w:rPr>
          <w:lang w:val="pt-BR"/>
        </w:rPr>
        <w:t>afirmaram</w:t>
      </w:r>
      <w:r w:rsidR="00207197" w:rsidRPr="00D5464D">
        <w:rPr>
          <w:lang w:val="pt-BR"/>
        </w:rPr>
        <w:t xml:space="preserve"> que</w:t>
      </w:r>
      <w:r w:rsidR="00470ADC" w:rsidRPr="00D5464D">
        <w:rPr>
          <w:lang w:val="pt-BR"/>
        </w:rPr>
        <w:t xml:space="preserve"> o artigo</w:t>
      </w:r>
      <w:r w:rsidR="00207197" w:rsidRPr="00D5464D">
        <w:rPr>
          <w:lang w:val="pt-BR"/>
        </w:rPr>
        <w:t xml:space="preserve"> 6</w:t>
      </w:r>
      <w:r w:rsidR="00470ADC" w:rsidRPr="00D5464D">
        <w:rPr>
          <w:lang w:val="pt-BR"/>
        </w:rPr>
        <w:t xml:space="preserve"> da </w:t>
      </w:r>
      <w:r w:rsidR="00207197" w:rsidRPr="00D5464D">
        <w:rPr>
          <w:lang w:val="pt-BR"/>
        </w:rPr>
        <w:t>Conven</w:t>
      </w:r>
      <w:r w:rsidR="00470ADC" w:rsidRPr="00D5464D">
        <w:rPr>
          <w:lang w:val="pt-BR"/>
        </w:rPr>
        <w:t>ção</w:t>
      </w:r>
      <w:r w:rsidR="00207197" w:rsidRPr="00D5464D">
        <w:rPr>
          <w:lang w:val="pt-BR"/>
        </w:rPr>
        <w:t xml:space="preserve"> Americana</w:t>
      </w:r>
      <w:r w:rsidR="00E045D9" w:rsidRPr="00D5464D">
        <w:rPr>
          <w:lang w:val="pt-BR"/>
        </w:rPr>
        <w:t xml:space="preserve"> inclui </w:t>
      </w:r>
      <w:r w:rsidR="00470ADC" w:rsidRPr="00D5464D">
        <w:rPr>
          <w:lang w:val="pt-BR"/>
        </w:rPr>
        <w:t>quatro</w:t>
      </w:r>
      <w:r w:rsidR="00207197" w:rsidRPr="00D5464D">
        <w:rPr>
          <w:lang w:val="pt-BR"/>
        </w:rPr>
        <w:t xml:space="preserve"> </w:t>
      </w:r>
      <w:r w:rsidR="00470ADC" w:rsidRPr="00D5464D">
        <w:rPr>
          <w:lang w:val="pt-BR"/>
        </w:rPr>
        <w:t>conceito</w:t>
      </w:r>
      <w:r w:rsidR="00207197" w:rsidRPr="00D5464D">
        <w:rPr>
          <w:lang w:val="pt-BR"/>
        </w:rPr>
        <w:t xml:space="preserve">s </w:t>
      </w:r>
      <w:r w:rsidR="00230C71" w:rsidRPr="00D5464D">
        <w:rPr>
          <w:lang w:val="pt-BR"/>
        </w:rPr>
        <w:t>intimamente</w:t>
      </w:r>
      <w:r w:rsidR="00207197" w:rsidRPr="00D5464D">
        <w:rPr>
          <w:lang w:val="pt-BR"/>
        </w:rPr>
        <w:t xml:space="preserve"> relacionados: </w:t>
      </w:r>
      <w:r w:rsidR="000B376D" w:rsidRPr="00D5464D">
        <w:rPr>
          <w:lang w:val="pt-BR"/>
        </w:rPr>
        <w:t>escravidão</w:t>
      </w:r>
      <w:r w:rsidR="00207197" w:rsidRPr="00D5464D">
        <w:rPr>
          <w:lang w:val="pt-BR"/>
        </w:rPr>
        <w:t xml:space="preserve">, </w:t>
      </w:r>
      <w:r w:rsidR="000B376D" w:rsidRPr="00D5464D">
        <w:rPr>
          <w:lang w:val="pt-BR"/>
        </w:rPr>
        <w:t>servidão</w:t>
      </w:r>
      <w:r w:rsidR="00207197" w:rsidRPr="00D5464D">
        <w:rPr>
          <w:lang w:val="pt-BR"/>
        </w:rPr>
        <w:t xml:space="preserve">, </w:t>
      </w:r>
      <w:r w:rsidR="00E045D9" w:rsidRPr="00D5464D">
        <w:rPr>
          <w:lang w:val="pt-BR"/>
        </w:rPr>
        <w:t>trabalho</w:t>
      </w:r>
      <w:r w:rsidR="001B63D0" w:rsidRPr="00D5464D">
        <w:rPr>
          <w:lang w:val="pt-BR"/>
        </w:rPr>
        <w:t xml:space="preserve"> </w:t>
      </w:r>
      <w:r w:rsidR="00230C71" w:rsidRPr="00D5464D">
        <w:rPr>
          <w:lang w:val="pt-BR"/>
        </w:rPr>
        <w:t>forçado</w:t>
      </w:r>
      <w:r w:rsidR="00E045D9" w:rsidRPr="00D5464D">
        <w:rPr>
          <w:lang w:val="pt-BR"/>
        </w:rPr>
        <w:t xml:space="preserve"> e</w:t>
      </w:r>
      <w:r w:rsidR="000B376D" w:rsidRPr="00D5464D">
        <w:rPr>
          <w:lang w:val="pt-BR"/>
        </w:rPr>
        <w:t xml:space="preserve"> tráfico de </w:t>
      </w:r>
      <w:r w:rsidR="002C330E" w:rsidRPr="00D5464D">
        <w:rPr>
          <w:lang w:val="pt-BR"/>
        </w:rPr>
        <w:t>pessoa</w:t>
      </w:r>
      <w:r w:rsidR="00207197" w:rsidRPr="00D5464D">
        <w:rPr>
          <w:lang w:val="pt-BR"/>
        </w:rPr>
        <w:t xml:space="preserve">s. </w:t>
      </w:r>
      <w:r w:rsidRPr="00D5464D">
        <w:rPr>
          <w:lang w:val="pt-BR"/>
        </w:rPr>
        <w:t>Acrescentaram</w:t>
      </w:r>
      <w:r w:rsidR="00207197" w:rsidRPr="00D5464D">
        <w:rPr>
          <w:lang w:val="pt-BR"/>
        </w:rPr>
        <w:t xml:space="preserve"> que estas </w:t>
      </w:r>
      <w:r w:rsidR="00470ADC" w:rsidRPr="00D5464D">
        <w:rPr>
          <w:lang w:val="pt-BR"/>
        </w:rPr>
        <w:t>quatro</w:t>
      </w:r>
      <w:r w:rsidR="00207197" w:rsidRPr="00D5464D">
        <w:rPr>
          <w:lang w:val="pt-BR"/>
        </w:rPr>
        <w:t xml:space="preserve"> </w:t>
      </w:r>
      <w:r w:rsidR="00470ADC" w:rsidRPr="00D5464D">
        <w:rPr>
          <w:lang w:val="pt-BR"/>
        </w:rPr>
        <w:t>categoria</w:t>
      </w:r>
      <w:r w:rsidR="00207197" w:rsidRPr="00D5464D">
        <w:rPr>
          <w:lang w:val="pt-BR"/>
        </w:rPr>
        <w:t>s comp</w:t>
      </w:r>
      <w:r w:rsidR="00AE5ED5" w:rsidRPr="00D5464D">
        <w:rPr>
          <w:lang w:val="pt-BR"/>
        </w:rPr>
        <w:t>õem</w:t>
      </w:r>
      <w:r w:rsidR="00470ADC" w:rsidRPr="00D5464D">
        <w:rPr>
          <w:lang w:val="pt-BR"/>
        </w:rPr>
        <w:t xml:space="preserve"> </w:t>
      </w:r>
      <w:r w:rsidR="00AE5ED5" w:rsidRPr="00D5464D">
        <w:rPr>
          <w:lang w:val="pt-BR"/>
        </w:rPr>
        <w:t xml:space="preserve">um </w:t>
      </w:r>
      <w:r w:rsidR="00470ADC" w:rsidRPr="00D5464D">
        <w:rPr>
          <w:lang w:val="pt-BR"/>
        </w:rPr>
        <w:t>conceito</w:t>
      </w:r>
      <w:r w:rsidR="00207197" w:rsidRPr="00D5464D">
        <w:rPr>
          <w:lang w:val="pt-BR"/>
        </w:rPr>
        <w:t xml:space="preserve"> </w:t>
      </w:r>
      <w:r w:rsidR="002C330E" w:rsidRPr="00D5464D">
        <w:rPr>
          <w:lang w:val="pt-BR"/>
        </w:rPr>
        <w:t xml:space="preserve">mais </w:t>
      </w:r>
      <w:r w:rsidR="00470ADC" w:rsidRPr="00D5464D">
        <w:rPr>
          <w:lang w:val="pt-BR"/>
        </w:rPr>
        <w:t xml:space="preserve">amplo </w:t>
      </w:r>
      <w:r w:rsidR="00207197" w:rsidRPr="00D5464D">
        <w:rPr>
          <w:lang w:val="pt-BR"/>
        </w:rPr>
        <w:t xml:space="preserve">de formas </w:t>
      </w:r>
      <w:r w:rsidR="00470ADC" w:rsidRPr="00D5464D">
        <w:rPr>
          <w:lang w:val="pt-BR"/>
        </w:rPr>
        <w:t>contemporânea</w:t>
      </w:r>
      <w:r w:rsidR="00207197" w:rsidRPr="00D5464D">
        <w:rPr>
          <w:lang w:val="pt-BR"/>
        </w:rPr>
        <w:t xml:space="preserve">s de </w:t>
      </w:r>
      <w:r w:rsidR="000B376D" w:rsidRPr="00D5464D">
        <w:rPr>
          <w:lang w:val="pt-BR"/>
        </w:rPr>
        <w:t>escravidão</w:t>
      </w:r>
      <w:r w:rsidR="00207197" w:rsidRPr="00D5464D">
        <w:rPr>
          <w:lang w:val="pt-BR"/>
        </w:rPr>
        <w:t xml:space="preserve">. </w:t>
      </w:r>
      <w:r w:rsidR="00E4544A" w:rsidRPr="00D5464D">
        <w:rPr>
          <w:lang w:val="pt-BR"/>
        </w:rPr>
        <w:t xml:space="preserve">Afirmaram </w:t>
      </w:r>
      <w:r w:rsidR="00207197" w:rsidRPr="00D5464D">
        <w:rPr>
          <w:lang w:val="pt-BR"/>
        </w:rPr>
        <w:t>que</w:t>
      </w:r>
      <w:r w:rsidR="00BD1F93" w:rsidRPr="00D5464D">
        <w:rPr>
          <w:lang w:val="pt-BR"/>
        </w:rPr>
        <w:t>,</w:t>
      </w:r>
      <w:r w:rsidR="002C330E" w:rsidRPr="00D5464D">
        <w:rPr>
          <w:lang w:val="pt-BR"/>
        </w:rPr>
        <w:t xml:space="preserve"> </w:t>
      </w:r>
      <w:r w:rsidR="00E4544A" w:rsidRPr="00D5464D">
        <w:rPr>
          <w:lang w:val="pt-BR"/>
        </w:rPr>
        <w:t xml:space="preserve">apesar de </w:t>
      </w:r>
      <w:r w:rsidR="002C330E" w:rsidRPr="00D5464D">
        <w:rPr>
          <w:lang w:val="pt-BR"/>
        </w:rPr>
        <w:t xml:space="preserve">a </w:t>
      </w:r>
      <w:r w:rsidR="000B376D" w:rsidRPr="00D5464D">
        <w:rPr>
          <w:lang w:val="pt-BR"/>
        </w:rPr>
        <w:t>servidão</w:t>
      </w:r>
      <w:r w:rsidR="00207197" w:rsidRPr="00D5464D">
        <w:rPr>
          <w:lang w:val="pt-BR"/>
        </w:rPr>
        <w:t>,</w:t>
      </w:r>
      <w:r w:rsidR="00470ADC" w:rsidRPr="00D5464D">
        <w:rPr>
          <w:lang w:val="pt-BR"/>
        </w:rPr>
        <w:t xml:space="preserve"> o </w:t>
      </w:r>
      <w:r w:rsidR="00E045D9" w:rsidRPr="00D5464D">
        <w:rPr>
          <w:lang w:val="pt-BR"/>
        </w:rPr>
        <w:t>trabalho</w:t>
      </w:r>
      <w:r w:rsidR="001B63D0" w:rsidRPr="00D5464D">
        <w:rPr>
          <w:lang w:val="pt-BR"/>
        </w:rPr>
        <w:t xml:space="preserve"> </w:t>
      </w:r>
      <w:r w:rsidR="00230C71" w:rsidRPr="00D5464D">
        <w:rPr>
          <w:lang w:val="pt-BR"/>
        </w:rPr>
        <w:t>forçado</w:t>
      </w:r>
      <w:r w:rsidR="00E045D9" w:rsidRPr="00D5464D">
        <w:rPr>
          <w:lang w:val="pt-BR"/>
        </w:rPr>
        <w:t xml:space="preserve"> e </w:t>
      </w:r>
      <w:r w:rsidR="004F1CC2" w:rsidRPr="00D5464D">
        <w:rPr>
          <w:lang w:val="pt-BR"/>
        </w:rPr>
        <w:t>o tráfico</w:t>
      </w:r>
      <w:r w:rsidR="000B376D" w:rsidRPr="00D5464D">
        <w:rPr>
          <w:lang w:val="pt-BR"/>
        </w:rPr>
        <w:t xml:space="preserve"> de </w:t>
      </w:r>
      <w:r w:rsidR="002C330E" w:rsidRPr="00D5464D">
        <w:rPr>
          <w:lang w:val="pt-BR"/>
        </w:rPr>
        <w:t>pessoa</w:t>
      </w:r>
      <w:r w:rsidR="00207197" w:rsidRPr="00D5464D">
        <w:rPr>
          <w:lang w:val="pt-BR"/>
        </w:rPr>
        <w:t>s</w:t>
      </w:r>
      <w:r w:rsidR="002C330E" w:rsidRPr="00D5464D">
        <w:rPr>
          <w:lang w:val="pt-BR"/>
        </w:rPr>
        <w:t xml:space="preserve"> </w:t>
      </w:r>
      <w:r w:rsidR="00767387" w:rsidRPr="00D5464D">
        <w:rPr>
          <w:lang w:val="pt-BR"/>
        </w:rPr>
        <w:t xml:space="preserve">serem </w:t>
      </w:r>
      <w:r w:rsidR="00207197" w:rsidRPr="00D5464D">
        <w:rPr>
          <w:lang w:val="pt-BR"/>
        </w:rPr>
        <w:t>viola</w:t>
      </w:r>
      <w:r w:rsidR="00470ADC" w:rsidRPr="00D5464D">
        <w:rPr>
          <w:lang w:val="pt-BR"/>
        </w:rPr>
        <w:t xml:space="preserve">ções em </w:t>
      </w:r>
      <w:r w:rsidR="002C330E" w:rsidRPr="00D5464D">
        <w:rPr>
          <w:lang w:val="pt-BR"/>
        </w:rPr>
        <w:t>si mesm</w:t>
      </w:r>
      <w:r w:rsidR="00207197" w:rsidRPr="00D5464D">
        <w:rPr>
          <w:lang w:val="pt-BR"/>
        </w:rPr>
        <w:t>as,</w:t>
      </w:r>
      <w:r w:rsidR="002C330E" w:rsidRPr="00D5464D">
        <w:rPr>
          <w:lang w:val="pt-BR"/>
        </w:rPr>
        <w:t xml:space="preserve"> </w:t>
      </w:r>
      <w:r w:rsidR="00E4544A" w:rsidRPr="00D5464D">
        <w:rPr>
          <w:lang w:val="pt-BR"/>
        </w:rPr>
        <w:t xml:space="preserve">estas </w:t>
      </w:r>
      <w:r w:rsidR="002C330E" w:rsidRPr="00D5464D">
        <w:rPr>
          <w:lang w:val="pt-BR"/>
        </w:rPr>
        <w:t>são</w:t>
      </w:r>
      <w:r w:rsidR="00E4544A" w:rsidRPr="00D5464D">
        <w:rPr>
          <w:lang w:val="pt-BR"/>
        </w:rPr>
        <w:t>,</w:t>
      </w:r>
      <w:r w:rsidR="002C330E" w:rsidRPr="00D5464D">
        <w:rPr>
          <w:lang w:val="pt-BR"/>
        </w:rPr>
        <w:t xml:space="preserve"> </w:t>
      </w:r>
      <w:r w:rsidR="00E4544A" w:rsidRPr="00D5464D">
        <w:rPr>
          <w:lang w:val="pt-BR"/>
        </w:rPr>
        <w:t>adicionalmente,</w:t>
      </w:r>
      <w:r w:rsidR="00207197" w:rsidRPr="00D5464D">
        <w:rPr>
          <w:lang w:val="pt-BR"/>
        </w:rPr>
        <w:t xml:space="preserve"> manifesta</w:t>
      </w:r>
      <w:r w:rsidR="00470ADC" w:rsidRPr="00D5464D">
        <w:rPr>
          <w:lang w:val="pt-BR"/>
        </w:rPr>
        <w:t>ções</w:t>
      </w:r>
      <w:r w:rsidR="00207197" w:rsidRPr="00D5464D">
        <w:rPr>
          <w:lang w:val="pt-BR"/>
        </w:rPr>
        <w:t xml:space="preserve"> de formas </w:t>
      </w:r>
      <w:r w:rsidR="00470ADC" w:rsidRPr="00D5464D">
        <w:rPr>
          <w:lang w:val="pt-BR"/>
        </w:rPr>
        <w:t>contemporânea</w:t>
      </w:r>
      <w:r w:rsidR="00207197" w:rsidRPr="00D5464D">
        <w:rPr>
          <w:lang w:val="pt-BR"/>
        </w:rPr>
        <w:t xml:space="preserve">s de </w:t>
      </w:r>
      <w:r w:rsidR="000B376D" w:rsidRPr="00D5464D">
        <w:rPr>
          <w:lang w:val="pt-BR"/>
        </w:rPr>
        <w:t>escravidão</w:t>
      </w:r>
      <w:r w:rsidR="00207197" w:rsidRPr="00D5464D">
        <w:rPr>
          <w:lang w:val="pt-BR"/>
        </w:rPr>
        <w:t>.</w:t>
      </w:r>
    </w:p>
    <w:p w14:paraId="19CFF144" w14:textId="77777777" w:rsidR="00207197" w:rsidRPr="00D5464D" w:rsidRDefault="00207197" w:rsidP="00140440">
      <w:pPr>
        <w:jc w:val="both"/>
        <w:rPr>
          <w:lang w:val="pt-BR"/>
        </w:rPr>
      </w:pPr>
    </w:p>
    <w:p w14:paraId="5967827C" w14:textId="6F8E35A7" w:rsidR="00207197" w:rsidRPr="00D5464D" w:rsidRDefault="00737270" w:rsidP="00F37DC4">
      <w:pPr>
        <w:pStyle w:val="Prrafodelista"/>
        <w:numPr>
          <w:ilvl w:val="0"/>
          <w:numId w:val="1"/>
        </w:numPr>
        <w:contextualSpacing w:val="0"/>
        <w:rPr>
          <w:lang w:val="pt-BR"/>
        </w:rPr>
      </w:pPr>
      <w:r w:rsidRPr="00D5464D">
        <w:rPr>
          <w:lang w:val="pt-BR"/>
        </w:rPr>
        <w:t xml:space="preserve">Os </w:t>
      </w:r>
      <w:r w:rsidR="00EB1CE9" w:rsidRPr="00D5464D">
        <w:rPr>
          <w:lang w:val="pt-BR"/>
        </w:rPr>
        <w:t>representante</w:t>
      </w:r>
      <w:r w:rsidRPr="00D5464D">
        <w:rPr>
          <w:lang w:val="pt-BR"/>
        </w:rPr>
        <w:t xml:space="preserve">s </w:t>
      </w:r>
      <w:r w:rsidR="002C330E" w:rsidRPr="00D5464D">
        <w:rPr>
          <w:lang w:val="pt-BR"/>
        </w:rPr>
        <w:t>afirmaram</w:t>
      </w:r>
      <w:r w:rsidR="00207197" w:rsidRPr="00D5464D">
        <w:rPr>
          <w:lang w:val="pt-BR"/>
        </w:rPr>
        <w:t xml:space="preserve"> que</w:t>
      </w:r>
      <w:r w:rsidR="002C330E" w:rsidRPr="00D5464D">
        <w:rPr>
          <w:lang w:val="pt-BR"/>
        </w:rPr>
        <w:t xml:space="preserve"> a </w:t>
      </w:r>
      <w:r w:rsidR="000B376D" w:rsidRPr="00D5464D">
        <w:rPr>
          <w:lang w:val="pt-BR"/>
        </w:rPr>
        <w:t>escravidão</w:t>
      </w:r>
      <w:r w:rsidR="00207197" w:rsidRPr="00D5464D">
        <w:rPr>
          <w:lang w:val="pt-BR"/>
        </w:rPr>
        <w:t xml:space="preserve">, </w:t>
      </w:r>
      <w:r w:rsidR="00E4544A" w:rsidRPr="00D5464D">
        <w:rPr>
          <w:lang w:val="pt-BR"/>
        </w:rPr>
        <w:t xml:space="preserve">de acordo com </w:t>
      </w:r>
      <w:r w:rsidR="002C330E" w:rsidRPr="00D5464D">
        <w:rPr>
          <w:lang w:val="pt-BR"/>
        </w:rPr>
        <w:t xml:space="preserve">a </w:t>
      </w:r>
      <w:r w:rsidR="00207197" w:rsidRPr="00D5464D">
        <w:rPr>
          <w:lang w:val="pt-BR"/>
        </w:rPr>
        <w:t>Conven</w:t>
      </w:r>
      <w:r w:rsidR="00470ADC" w:rsidRPr="00D5464D">
        <w:rPr>
          <w:lang w:val="pt-BR"/>
        </w:rPr>
        <w:t>ção</w:t>
      </w:r>
      <w:r w:rsidR="00207197" w:rsidRPr="00D5464D">
        <w:rPr>
          <w:lang w:val="pt-BR"/>
        </w:rPr>
        <w:t xml:space="preserve"> de 1926</w:t>
      </w:r>
      <w:r w:rsidR="00E045D9" w:rsidRPr="00D5464D">
        <w:rPr>
          <w:lang w:val="pt-BR"/>
        </w:rPr>
        <w:t xml:space="preserve"> e </w:t>
      </w:r>
      <w:r w:rsidR="002C330E" w:rsidRPr="00D5464D">
        <w:rPr>
          <w:lang w:val="pt-BR"/>
        </w:rPr>
        <w:t xml:space="preserve">a </w:t>
      </w:r>
      <w:r w:rsidR="00207197" w:rsidRPr="00D5464D">
        <w:rPr>
          <w:lang w:val="pt-BR"/>
        </w:rPr>
        <w:t>Conven</w:t>
      </w:r>
      <w:r w:rsidR="00470ADC" w:rsidRPr="00D5464D">
        <w:rPr>
          <w:lang w:val="pt-BR"/>
        </w:rPr>
        <w:t>ção</w:t>
      </w:r>
      <w:r w:rsidR="00207197" w:rsidRPr="00D5464D">
        <w:rPr>
          <w:lang w:val="pt-BR"/>
        </w:rPr>
        <w:t xml:space="preserve"> </w:t>
      </w:r>
      <w:r w:rsidR="00E4544A" w:rsidRPr="00D5464D">
        <w:rPr>
          <w:lang w:val="pt-BR"/>
        </w:rPr>
        <w:t>S</w:t>
      </w:r>
      <w:r w:rsidR="00207197" w:rsidRPr="00D5464D">
        <w:rPr>
          <w:lang w:val="pt-BR"/>
        </w:rPr>
        <w:t>uple</w:t>
      </w:r>
      <w:r w:rsidR="00E4544A" w:rsidRPr="00D5464D">
        <w:rPr>
          <w:lang w:val="pt-BR"/>
        </w:rPr>
        <w:t>mentar</w:t>
      </w:r>
      <w:r w:rsidR="00207197" w:rsidRPr="00D5464D">
        <w:rPr>
          <w:lang w:val="pt-BR"/>
        </w:rPr>
        <w:t xml:space="preserve"> sobre</w:t>
      </w:r>
      <w:r w:rsidR="002C330E" w:rsidRPr="00D5464D">
        <w:rPr>
          <w:lang w:val="pt-BR"/>
        </w:rPr>
        <w:t xml:space="preserve"> a </w:t>
      </w:r>
      <w:r w:rsidR="00207197" w:rsidRPr="00D5464D">
        <w:rPr>
          <w:lang w:val="pt-BR"/>
        </w:rPr>
        <w:t>aboli</w:t>
      </w:r>
      <w:r w:rsidR="00470ADC" w:rsidRPr="00D5464D">
        <w:rPr>
          <w:lang w:val="pt-BR"/>
        </w:rPr>
        <w:t xml:space="preserve">ção da </w:t>
      </w:r>
      <w:r w:rsidR="00442DBA" w:rsidRPr="00D5464D">
        <w:rPr>
          <w:lang w:val="pt-BR"/>
        </w:rPr>
        <w:t>escravatura</w:t>
      </w:r>
      <w:r w:rsidR="00207197" w:rsidRPr="00D5464D">
        <w:rPr>
          <w:lang w:val="pt-BR"/>
        </w:rPr>
        <w:t>,</w:t>
      </w:r>
      <w:r w:rsidR="002C330E" w:rsidRPr="00D5464D">
        <w:rPr>
          <w:lang w:val="pt-BR"/>
        </w:rPr>
        <w:t xml:space="preserve"> </w:t>
      </w:r>
      <w:r w:rsidR="00442DBA" w:rsidRPr="00D5464D">
        <w:rPr>
          <w:lang w:val="pt-BR"/>
        </w:rPr>
        <w:t>d</w:t>
      </w:r>
      <w:r w:rsidR="004F1CC2" w:rsidRPr="00D5464D">
        <w:rPr>
          <w:lang w:val="pt-BR"/>
        </w:rPr>
        <w:t>o tráfico</w:t>
      </w:r>
      <w:r w:rsidR="000B376D" w:rsidRPr="00D5464D">
        <w:rPr>
          <w:lang w:val="pt-BR"/>
        </w:rPr>
        <w:t xml:space="preserve"> de </w:t>
      </w:r>
      <w:r w:rsidR="004F1CC2" w:rsidRPr="00D5464D">
        <w:rPr>
          <w:lang w:val="pt-BR"/>
        </w:rPr>
        <w:t>escravo</w:t>
      </w:r>
      <w:r w:rsidR="00207197" w:rsidRPr="00D5464D">
        <w:rPr>
          <w:lang w:val="pt-BR"/>
        </w:rPr>
        <w:t>s</w:t>
      </w:r>
      <w:r w:rsidR="00E045D9" w:rsidRPr="00D5464D">
        <w:rPr>
          <w:lang w:val="pt-BR"/>
        </w:rPr>
        <w:t xml:space="preserve"> e </w:t>
      </w:r>
      <w:r w:rsidR="00442DBA" w:rsidRPr="00D5464D">
        <w:rPr>
          <w:lang w:val="pt-BR"/>
        </w:rPr>
        <w:t>d</w:t>
      </w:r>
      <w:r w:rsidR="002C330E" w:rsidRPr="00D5464D">
        <w:rPr>
          <w:lang w:val="pt-BR"/>
        </w:rPr>
        <w:t>as instituições</w:t>
      </w:r>
      <w:r w:rsidR="00E045D9" w:rsidRPr="00D5464D">
        <w:rPr>
          <w:lang w:val="pt-BR"/>
        </w:rPr>
        <w:t xml:space="preserve"> e </w:t>
      </w:r>
      <w:r w:rsidR="002C330E" w:rsidRPr="00D5464D">
        <w:rPr>
          <w:lang w:val="pt-BR"/>
        </w:rPr>
        <w:t>prática</w:t>
      </w:r>
      <w:r w:rsidR="00207197" w:rsidRPr="00D5464D">
        <w:rPr>
          <w:lang w:val="pt-BR"/>
        </w:rPr>
        <w:t xml:space="preserve">s </w:t>
      </w:r>
      <w:r w:rsidR="006665EF" w:rsidRPr="00D5464D">
        <w:rPr>
          <w:lang w:val="pt-BR"/>
        </w:rPr>
        <w:t>análogas</w:t>
      </w:r>
      <w:r w:rsidR="00350187" w:rsidRPr="00D5464D">
        <w:rPr>
          <w:lang w:val="pt-BR"/>
        </w:rPr>
        <w:t xml:space="preserve"> </w:t>
      </w:r>
      <w:r w:rsidR="00470ADC" w:rsidRPr="00D5464D">
        <w:rPr>
          <w:lang w:val="pt-BR"/>
        </w:rPr>
        <w:t xml:space="preserve">à </w:t>
      </w:r>
      <w:r w:rsidR="00442DBA" w:rsidRPr="00D5464D">
        <w:rPr>
          <w:lang w:val="pt-BR"/>
        </w:rPr>
        <w:t xml:space="preserve">escravatura </w:t>
      </w:r>
      <w:r w:rsidR="00207197" w:rsidRPr="00D5464D">
        <w:rPr>
          <w:lang w:val="pt-BR"/>
        </w:rPr>
        <w:t>de 1956 (</w:t>
      </w:r>
      <w:r w:rsidR="00350187" w:rsidRPr="00D5464D">
        <w:rPr>
          <w:lang w:val="pt-BR"/>
        </w:rPr>
        <w:t>doravante denominad</w:t>
      </w:r>
      <w:r w:rsidR="00E4544A" w:rsidRPr="00D5464D">
        <w:rPr>
          <w:lang w:val="pt-BR"/>
        </w:rPr>
        <w:t>a</w:t>
      </w:r>
      <w:r w:rsidR="002C330E" w:rsidRPr="00D5464D">
        <w:rPr>
          <w:lang w:val="pt-BR"/>
        </w:rPr>
        <w:t xml:space="preserve"> a </w:t>
      </w:r>
      <w:r w:rsidR="00207197" w:rsidRPr="00D5464D">
        <w:rPr>
          <w:lang w:val="pt-BR"/>
        </w:rPr>
        <w:t>“Conven</w:t>
      </w:r>
      <w:r w:rsidR="00470ADC" w:rsidRPr="00D5464D">
        <w:rPr>
          <w:lang w:val="pt-BR"/>
        </w:rPr>
        <w:t>ção</w:t>
      </w:r>
      <w:r w:rsidR="00207197" w:rsidRPr="00D5464D">
        <w:rPr>
          <w:lang w:val="pt-BR"/>
        </w:rPr>
        <w:t xml:space="preserve"> de 1956”), se </w:t>
      </w:r>
      <w:r w:rsidR="00350187" w:rsidRPr="00D5464D">
        <w:rPr>
          <w:lang w:val="pt-BR"/>
        </w:rPr>
        <w:t>referem</w:t>
      </w:r>
      <w:r w:rsidR="00470ADC" w:rsidRPr="00D5464D">
        <w:rPr>
          <w:lang w:val="pt-BR"/>
        </w:rPr>
        <w:t xml:space="preserve"> ao exercício</w:t>
      </w:r>
      <w:r w:rsidR="00207197" w:rsidRPr="00D5464D">
        <w:rPr>
          <w:lang w:val="pt-BR"/>
        </w:rPr>
        <w:t xml:space="preserve"> de </w:t>
      </w:r>
      <w:r w:rsidR="00470ADC" w:rsidRPr="00D5464D">
        <w:rPr>
          <w:lang w:val="pt-BR"/>
        </w:rPr>
        <w:t xml:space="preserve">algum dos </w:t>
      </w:r>
      <w:r w:rsidR="00207197" w:rsidRPr="00D5464D">
        <w:rPr>
          <w:lang w:val="pt-BR"/>
        </w:rPr>
        <w:t xml:space="preserve">atributos </w:t>
      </w:r>
      <w:r w:rsidR="00470ADC" w:rsidRPr="00D5464D">
        <w:rPr>
          <w:lang w:val="pt-BR"/>
        </w:rPr>
        <w:t>do direito</w:t>
      </w:r>
      <w:r w:rsidR="00207197" w:rsidRPr="00D5464D">
        <w:rPr>
          <w:lang w:val="pt-BR"/>
        </w:rPr>
        <w:t xml:space="preserve"> de </w:t>
      </w:r>
      <w:r w:rsidR="002C330E" w:rsidRPr="00D5464D">
        <w:rPr>
          <w:lang w:val="pt-BR"/>
        </w:rPr>
        <w:t>propriedade</w:t>
      </w:r>
      <w:r w:rsidR="00207197" w:rsidRPr="00D5464D">
        <w:rPr>
          <w:lang w:val="pt-BR"/>
        </w:rPr>
        <w:t xml:space="preserve"> sobre</w:t>
      </w:r>
      <w:r w:rsidR="002C330E" w:rsidRPr="00D5464D">
        <w:rPr>
          <w:lang w:val="pt-BR"/>
        </w:rPr>
        <w:t xml:space="preserve"> outra pessoa</w:t>
      </w:r>
      <w:r w:rsidR="00A1358C" w:rsidRPr="00D5464D">
        <w:rPr>
          <w:lang w:val="pt-BR"/>
        </w:rPr>
        <w:t>, isto é,</w:t>
      </w:r>
      <w:r w:rsidR="002C330E" w:rsidRPr="00D5464D">
        <w:rPr>
          <w:lang w:val="pt-BR"/>
        </w:rPr>
        <w:t xml:space="preserve"> as </w:t>
      </w:r>
      <w:r w:rsidR="00470ADC" w:rsidRPr="00D5464D">
        <w:rPr>
          <w:lang w:val="pt-BR"/>
        </w:rPr>
        <w:t>faculdades</w:t>
      </w:r>
      <w:r w:rsidR="00207197" w:rsidRPr="00D5464D">
        <w:rPr>
          <w:lang w:val="pt-BR"/>
        </w:rPr>
        <w:t xml:space="preserve"> de usar, gozar o</w:t>
      </w:r>
      <w:r w:rsidR="00442DBA" w:rsidRPr="00D5464D">
        <w:rPr>
          <w:lang w:val="pt-BR"/>
        </w:rPr>
        <w:t>u</w:t>
      </w:r>
      <w:r w:rsidR="00207197" w:rsidRPr="00D5464D">
        <w:rPr>
          <w:lang w:val="pt-BR"/>
        </w:rPr>
        <w:t xml:space="preserve"> </w:t>
      </w:r>
      <w:r w:rsidRPr="00D5464D">
        <w:rPr>
          <w:lang w:val="pt-BR"/>
        </w:rPr>
        <w:t>dispor</w:t>
      </w:r>
      <w:r w:rsidR="00207197" w:rsidRPr="00D5464D">
        <w:rPr>
          <w:lang w:val="pt-BR"/>
        </w:rPr>
        <w:t xml:space="preserve"> </w:t>
      </w:r>
      <w:r w:rsidR="00BD1F93" w:rsidRPr="00D5464D">
        <w:rPr>
          <w:lang w:val="pt-BR"/>
        </w:rPr>
        <w:t xml:space="preserve">de </w:t>
      </w:r>
      <w:r w:rsidR="002C330E" w:rsidRPr="00D5464D">
        <w:rPr>
          <w:lang w:val="pt-BR"/>
        </w:rPr>
        <w:t xml:space="preserve">outro </w:t>
      </w:r>
      <w:r w:rsidR="00207197" w:rsidRPr="00D5464D">
        <w:rPr>
          <w:lang w:val="pt-BR"/>
        </w:rPr>
        <w:t>ser humano</w:t>
      </w:r>
      <w:r w:rsidR="00A1358C" w:rsidRPr="00D5464D">
        <w:rPr>
          <w:lang w:val="pt-BR"/>
        </w:rPr>
        <w:t xml:space="preserve">. </w:t>
      </w:r>
      <w:r w:rsidR="00442DBA" w:rsidRPr="00D5464D">
        <w:rPr>
          <w:lang w:val="pt-BR"/>
        </w:rPr>
        <w:t>Com</w:t>
      </w:r>
      <w:r w:rsidR="00A1358C" w:rsidRPr="00D5464D">
        <w:rPr>
          <w:lang w:val="pt-BR"/>
        </w:rPr>
        <w:t xml:space="preserve"> </w:t>
      </w:r>
      <w:r w:rsidR="002C330E" w:rsidRPr="00D5464D">
        <w:rPr>
          <w:lang w:val="pt-BR"/>
        </w:rPr>
        <w:t>respeito</w:t>
      </w:r>
      <w:r w:rsidR="00470ADC" w:rsidRPr="00D5464D">
        <w:rPr>
          <w:lang w:val="pt-BR"/>
        </w:rPr>
        <w:t xml:space="preserve"> ao </w:t>
      </w:r>
      <w:r w:rsidR="00E045D9" w:rsidRPr="00D5464D">
        <w:rPr>
          <w:lang w:val="pt-BR"/>
        </w:rPr>
        <w:t>trabalho</w:t>
      </w:r>
      <w:r w:rsidR="001B63D0" w:rsidRPr="00D5464D">
        <w:rPr>
          <w:lang w:val="pt-BR"/>
        </w:rPr>
        <w:t xml:space="preserve"> </w:t>
      </w:r>
      <w:r w:rsidR="00230C71" w:rsidRPr="00D5464D">
        <w:rPr>
          <w:lang w:val="pt-BR"/>
        </w:rPr>
        <w:t>forçado</w:t>
      </w:r>
      <w:r w:rsidR="00F452D1" w:rsidRPr="00D5464D">
        <w:rPr>
          <w:lang w:val="pt-BR"/>
        </w:rPr>
        <w:t>,</w:t>
      </w:r>
      <w:r w:rsidR="002C330E" w:rsidRPr="00D5464D">
        <w:rPr>
          <w:lang w:val="pt-BR"/>
        </w:rPr>
        <w:t xml:space="preserve"> os </w:t>
      </w:r>
      <w:r w:rsidR="00EB1CE9" w:rsidRPr="00D5464D">
        <w:rPr>
          <w:lang w:val="pt-BR"/>
        </w:rPr>
        <w:t>representante</w:t>
      </w:r>
      <w:r w:rsidR="00207197" w:rsidRPr="00D5464D">
        <w:rPr>
          <w:lang w:val="pt-BR"/>
        </w:rPr>
        <w:t xml:space="preserve">s </w:t>
      </w:r>
      <w:r w:rsidR="002C330E" w:rsidRPr="00D5464D">
        <w:rPr>
          <w:lang w:val="pt-BR"/>
        </w:rPr>
        <w:t>indicaram</w:t>
      </w:r>
      <w:r w:rsidR="00207197" w:rsidRPr="00D5464D">
        <w:rPr>
          <w:lang w:val="pt-BR"/>
        </w:rPr>
        <w:t xml:space="preserve"> que</w:t>
      </w:r>
      <w:r w:rsidR="002C330E" w:rsidRPr="00D5464D">
        <w:rPr>
          <w:lang w:val="pt-BR"/>
        </w:rPr>
        <w:t xml:space="preserve"> a </w:t>
      </w:r>
      <w:r w:rsidR="00207197" w:rsidRPr="00D5464D">
        <w:rPr>
          <w:lang w:val="pt-BR"/>
        </w:rPr>
        <w:t xml:space="preserve">Corte </w:t>
      </w:r>
      <w:r w:rsidR="002C330E" w:rsidRPr="00D5464D">
        <w:rPr>
          <w:lang w:val="pt-BR"/>
        </w:rPr>
        <w:t>identificou</w:t>
      </w:r>
      <w:r w:rsidR="00E045D9" w:rsidRPr="00D5464D">
        <w:rPr>
          <w:lang w:val="pt-BR"/>
        </w:rPr>
        <w:t xml:space="preserve"> no </w:t>
      </w:r>
      <w:r w:rsidR="00A1358C" w:rsidRPr="00D5464D">
        <w:rPr>
          <w:lang w:val="pt-BR"/>
        </w:rPr>
        <w:t>Caso dos Massacres de Ituango</w:t>
      </w:r>
      <w:r w:rsidR="00207197" w:rsidRPr="00D5464D">
        <w:rPr>
          <w:lang w:val="pt-BR"/>
        </w:rPr>
        <w:t xml:space="preserve"> s</w:t>
      </w:r>
      <w:r w:rsidR="00442DBA" w:rsidRPr="00D5464D">
        <w:rPr>
          <w:lang w:val="pt-BR"/>
        </w:rPr>
        <w:t>e</w:t>
      </w:r>
      <w:r w:rsidR="00207197" w:rsidRPr="00D5464D">
        <w:rPr>
          <w:lang w:val="pt-BR"/>
        </w:rPr>
        <w:t>us do</w:t>
      </w:r>
      <w:r w:rsidR="00767387" w:rsidRPr="00D5464D">
        <w:rPr>
          <w:lang w:val="pt-BR"/>
        </w:rPr>
        <w:t>i</w:t>
      </w:r>
      <w:r w:rsidR="00207197" w:rsidRPr="00D5464D">
        <w:rPr>
          <w:lang w:val="pt-BR"/>
        </w:rPr>
        <w:t xml:space="preserve">s elementos </w:t>
      </w:r>
      <w:r w:rsidR="002C330E" w:rsidRPr="00D5464D">
        <w:rPr>
          <w:lang w:val="pt-BR"/>
        </w:rPr>
        <w:t>principais</w:t>
      </w:r>
      <w:r w:rsidR="00207197" w:rsidRPr="00D5464D">
        <w:rPr>
          <w:lang w:val="pt-BR"/>
        </w:rPr>
        <w:t xml:space="preserve">: i) </w:t>
      </w:r>
      <w:r w:rsidR="00470ADC" w:rsidRPr="00D5464D">
        <w:rPr>
          <w:lang w:val="pt-BR"/>
        </w:rPr>
        <w:t>ameaça</w:t>
      </w:r>
      <w:r w:rsidR="00207197" w:rsidRPr="00D5464D">
        <w:rPr>
          <w:lang w:val="pt-BR"/>
        </w:rPr>
        <w:t xml:space="preserve"> de</w:t>
      </w:r>
      <w:r w:rsidR="00E045D9" w:rsidRPr="00D5464D">
        <w:rPr>
          <w:lang w:val="pt-BR"/>
        </w:rPr>
        <w:t xml:space="preserve"> uma </w:t>
      </w:r>
      <w:r w:rsidR="00207197" w:rsidRPr="00D5464D">
        <w:rPr>
          <w:lang w:val="pt-BR"/>
        </w:rPr>
        <w:t>san</w:t>
      </w:r>
      <w:r w:rsidR="00470ADC" w:rsidRPr="00D5464D">
        <w:rPr>
          <w:lang w:val="pt-BR"/>
        </w:rPr>
        <w:t>ção e</w:t>
      </w:r>
      <w:r w:rsidR="00207197" w:rsidRPr="00D5464D">
        <w:rPr>
          <w:lang w:val="pt-BR"/>
        </w:rPr>
        <w:t xml:space="preserve"> ii) falta de </w:t>
      </w:r>
      <w:r w:rsidR="00E045D9" w:rsidRPr="00D5464D">
        <w:rPr>
          <w:lang w:val="pt-BR"/>
        </w:rPr>
        <w:t xml:space="preserve">vontade </w:t>
      </w:r>
      <w:r w:rsidR="00207197" w:rsidRPr="00D5464D">
        <w:rPr>
          <w:lang w:val="pt-BR"/>
        </w:rPr>
        <w:t>para realizar</w:t>
      </w:r>
      <w:r w:rsidR="00470ADC" w:rsidRPr="00D5464D">
        <w:rPr>
          <w:lang w:val="pt-BR"/>
        </w:rPr>
        <w:t xml:space="preserve"> o </w:t>
      </w:r>
      <w:r w:rsidR="00E045D9" w:rsidRPr="00D5464D">
        <w:rPr>
          <w:lang w:val="pt-BR"/>
        </w:rPr>
        <w:t>trabalho</w:t>
      </w:r>
      <w:r w:rsidR="00207197" w:rsidRPr="00D5464D">
        <w:rPr>
          <w:lang w:val="pt-BR"/>
        </w:rPr>
        <w:t>. Finalmente,</w:t>
      </w:r>
      <w:r w:rsidR="002C330E" w:rsidRPr="00D5464D">
        <w:rPr>
          <w:lang w:val="pt-BR"/>
        </w:rPr>
        <w:t xml:space="preserve"> </w:t>
      </w:r>
      <w:r w:rsidR="004F1CC2" w:rsidRPr="00D5464D">
        <w:rPr>
          <w:lang w:val="pt-BR"/>
        </w:rPr>
        <w:t>o tráfico</w:t>
      </w:r>
      <w:r w:rsidR="000B376D" w:rsidRPr="00D5464D">
        <w:rPr>
          <w:lang w:val="pt-BR"/>
        </w:rPr>
        <w:t xml:space="preserve"> de </w:t>
      </w:r>
      <w:r w:rsidR="002C330E" w:rsidRPr="00D5464D">
        <w:rPr>
          <w:lang w:val="pt-BR"/>
        </w:rPr>
        <w:t>pessoa</w:t>
      </w:r>
      <w:r w:rsidR="00207197" w:rsidRPr="00D5464D">
        <w:rPr>
          <w:lang w:val="pt-BR"/>
        </w:rPr>
        <w:t xml:space="preserve">s se </w:t>
      </w:r>
      <w:r w:rsidR="002C330E" w:rsidRPr="00D5464D">
        <w:rPr>
          <w:lang w:val="pt-BR"/>
        </w:rPr>
        <w:t>refere</w:t>
      </w:r>
      <w:r w:rsidR="00470ADC" w:rsidRPr="00D5464D">
        <w:rPr>
          <w:lang w:val="pt-BR"/>
        </w:rPr>
        <w:t xml:space="preserve"> ao </w:t>
      </w:r>
      <w:r w:rsidR="00442DBA" w:rsidRPr="00D5464D">
        <w:rPr>
          <w:lang w:val="pt-BR"/>
        </w:rPr>
        <w:t>comé</w:t>
      </w:r>
      <w:r w:rsidR="00207197" w:rsidRPr="00D5464D">
        <w:rPr>
          <w:lang w:val="pt-BR"/>
        </w:rPr>
        <w:t>rcio o</w:t>
      </w:r>
      <w:r w:rsidR="00442DBA" w:rsidRPr="00D5464D">
        <w:rPr>
          <w:lang w:val="pt-BR"/>
        </w:rPr>
        <w:t>u</w:t>
      </w:r>
      <w:r w:rsidR="00207197" w:rsidRPr="00D5464D">
        <w:rPr>
          <w:lang w:val="pt-BR"/>
        </w:rPr>
        <w:t xml:space="preserve"> transporte de </w:t>
      </w:r>
      <w:r w:rsidR="004F1CC2" w:rsidRPr="00D5464D">
        <w:rPr>
          <w:lang w:val="pt-BR"/>
        </w:rPr>
        <w:t>escravo</w:t>
      </w:r>
      <w:r w:rsidR="00207197" w:rsidRPr="00D5464D">
        <w:rPr>
          <w:lang w:val="pt-BR"/>
        </w:rPr>
        <w:t>s.</w:t>
      </w:r>
    </w:p>
    <w:p w14:paraId="7305C581" w14:textId="77777777" w:rsidR="00207197" w:rsidRPr="00D5464D" w:rsidRDefault="00207197" w:rsidP="00140440">
      <w:pPr>
        <w:jc w:val="both"/>
        <w:rPr>
          <w:lang w:val="pt-BR"/>
        </w:rPr>
      </w:pPr>
    </w:p>
    <w:p w14:paraId="3F76ECBC" w14:textId="1CFF4550" w:rsidR="00207197" w:rsidRPr="00D5464D" w:rsidRDefault="00737270" w:rsidP="00F37DC4">
      <w:pPr>
        <w:pStyle w:val="Prrafodelista"/>
        <w:numPr>
          <w:ilvl w:val="0"/>
          <w:numId w:val="1"/>
        </w:numPr>
        <w:contextualSpacing w:val="0"/>
        <w:rPr>
          <w:lang w:val="pt-BR"/>
        </w:rPr>
      </w:pPr>
      <w:r w:rsidRPr="00D5464D">
        <w:rPr>
          <w:lang w:val="pt-BR"/>
        </w:rPr>
        <w:t xml:space="preserve">Os </w:t>
      </w:r>
      <w:r w:rsidR="00EB1CE9" w:rsidRPr="00D5464D">
        <w:rPr>
          <w:lang w:val="pt-BR"/>
        </w:rPr>
        <w:t>representante</w:t>
      </w:r>
      <w:r w:rsidRPr="00D5464D">
        <w:rPr>
          <w:lang w:val="pt-BR"/>
        </w:rPr>
        <w:t xml:space="preserve">s </w:t>
      </w:r>
      <w:r w:rsidR="00470ADC" w:rsidRPr="00D5464D">
        <w:rPr>
          <w:lang w:val="pt-BR"/>
        </w:rPr>
        <w:t>alegaram</w:t>
      </w:r>
      <w:r w:rsidR="00207197" w:rsidRPr="00D5464D">
        <w:rPr>
          <w:lang w:val="pt-BR"/>
        </w:rPr>
        <w:t xml:space="preserve"> que </w:t>
      </w:r>
      <w:r w:rsidR="00442DBA" w:rsidRPr="00D5464D">
        <w:rPr>
          <w:lang w:val="pt-BR"/>
        </w:rPr>
        <w:t>vários indicadores facilitam</w:t>
      </w:r>
      <w:r w:rsidR="002C330E" w:rsidRPr="00D5464D">
        <w:rPr>
          <w:lang w:val="pt-BR"/>
        </w:rPr>
        <w:t xml:space="preserve"> a </w:t>
      </w:r>
      <w:r w:rsidR="00207197" w:rsidRPr="00D5464D">
        <w:rPr>
          <w:lang w:val="pt-BR"/>
        </w:rPr>
        <w:t>identifica</w:t>
      </w:r>
      <w:r w:rsidR="00470ADC" w:rsidRPr="00D5464D">
        <w:rPr>
          <w:lang w:val="pt-BR"/>
        </w:rPr>
        <w:t>ção</w:t>
      </w:r>
      <w:r w:rsidR="00207197" w:rsidRPr="00D5464D">
        <w:rPr>
          <w:lang w:val="pt-BR"/>
        </w:rPr>
        <w:t xml:space="preserve"> de formas </w:t>
      </w:r>
      <w:r w:rsidR="00470ADC" w:rsidRPr="00D5464D">
        <w:rPr>
          <w:lang w:val="pt-BR"/>
        </w:rPr>
        <w:t>contemporânea</w:t>
      </w:r>
      <w:r w:rsidR="00207197" w:rsidRPr="00D5464D">
        <w:rPr>
          <w:lang w:val="pt-BR"/>
        </w:rPr>
        <w:t xml:space="preserve">s de </w:t>
      </w:r>
      <w:r w:rsidR="000B376D" w:rsidRPr="00D5464D">
        <w:rPr>
          <w:lang w:val="pt-BR"/>
        </w:rPr>
        <w:t>escravidão</w:t>
      </w:r>
      <w:r w:rsidR="00207197" w:rsidRPr="00D5464D">
        <w:rPr>
          <w:lang w:val="pt-BR"/>
        </w:rPr>
        <w:t>,</w:t>
      </w:r>
      <w:r w:rsidR="00E045D9" w:rsidRPr="00D5464D">
        <w:rPr>
          <w:lang w:val="pt-BR"/>
        </w:rPr>
        <w:t xml:space="preserve"> tais </w:t>
      </w:r>
      <w:r w:rsidR="00207197" w:rsidRPr="00D5464D">
        <w:rPr>
          <w:lang w:val="pt-BR"/>
        </w:rPr>
        <w:t xml:space="preserve">como: i) </w:t>
      </w:r>
      <w:r w:rsidR="00767387" w:rsidRPr="00D5464D">
        <w:rPr>
          <w:lang w:val="pt-BR"/>
        </w:rPr>
        <w:t>aliciamento</w:t>
      </w:r>
      <w:r w:rsidR="00207197" w:rsidRPr="00D5464D">
        <w:rPr>
          <w:lang w:val="pt-BR"/>
        </w:rPr>
        <w:t xml:space="preserve"> mediante falsas </w:t>
      </w:r>
      <w:r w:rsidR="00284FF3" w:rsidRPr="00D5464D">
        <w:rPr>
          <w:lang w:val="pt-BR"/>
        </w:rPr>
        <w:t xml:space="preserve">promessas </w:t>
      </w:r>
      <w:r w:rsidR="00207197" w:rsidRPr="00D5464D">
        <w:rPr>
          <w:lang w:val="pt-BR"/>
        </w:rPr>
        <w:t>o</w:t>
      </w:r>
      <w:r w:rsidR="00442DBA" w:rsidRPr="00D5464D">
        <w:rPr>
          <w:lang w:val="pt-BR"/>
        </w:rPr>
        <w:t>u</w:t>
      </w:r>
      <w:r w:rsidR="00207197" w:rsidRPr="00D5464D">
        <w:rPr>
          <w:lang w:val="pt-BR"/>
        </w:rPr>
        <w:t xml:space="preserve"> </w:t>
      </w:r>
      <w:r w:rsidR="00284FF3" w:rsidRPr="00D5464D">
        <w:rPr>
          <w:lang w:val="pt-BR"/>
        </w:rPr>
        <w:t>fraude</w:t>
      </w:r>
      <w:r w:rsidR="00207197" w:rsidRPr="00D5464D">
        <w:rPr>
          <w:lang w:val="pt-BR"/>
        </w:rPr>
        <w:t xml:space="preserve">; ii) traslado de </w:t>
      </w:r>
      <w:r w:rsidR="002C330E" w:rsidRPr="00D5464D">
        <w:rPr>
          <w:lang w:val="pt-BR"/>
        </w:rPr>
        <w:t>pessoa</w:t>
      </w:r>
      <w:r w:rsidR="00207197" w:rsidRPr="00D5464D">
        <w:rPr>
          <w:lang w:val="pt-BR"/>
        </w:rPr>
        <w:t>s</w:t>
      </w:r>
      <w:r w:rsidR="00470ADC" w:rsidRPr="00D5464D">
        <w:rPr>
          <w:lang w:val="pt-BR"/>
        </w:rPr>
        <w:t xml:space="preserve"> com fins </w:t>
      </w:r>
      <w:r w:rsidR="00207197" w:rsidRPr="00D5464D">
        <w:rPr>
          <w:lang w:val="pt-BR"/>
        </w:rPr>
        <w:t xml:space="preserve">de </w:t>
      </w:r>
      <w:r w:rsidR="00230C71" w:rsidRPr="00D5464D">
        <w:rPr>
          <w:lang w:val="pt-BR"/>
        </w:rPr>
        <w:t>exploração</w:t>
      </w:r>
      <w:r w:rsidR="00207197" w:rsidRPr="00D5464D">
        <w:rPr>
          <w:lang w:val="pt-BR"/>
        </w:rPr>
        <w:t>; iii) abuso de situa</w:t>
      </w:r>
      <w:r w:rsidR="00470ADC" w:rsidRPr="00D5464D">
        <w:rPr>
          <w:lang w:val="pt-BR"/>
        </w:rPr>
        <w:t>ção</w:t>
      </w:r>
      <w:r w:rsidR="00207197" w:rsidRPr="00D5464D">
        <w:rPr>
          <w:lang w:val="pt-BR"/>
        </w:rPr>
        <w:t xml:space="preserve"> de vulnerabilidad</w:t>
      </w:r>
      <w:r w:rsidR="00433E03" w:rsidRPr="00D5464D">
        <w:rPr>
          <w:lang w:val="pt-BR"/>
        </w:rPr>
        <w:t>e</w:t>
      </w:r>
      <w:r w:rsidR="00207197" w:rsidRPr="00D5464D">
        <w:rPr>
          <w:lang w:val="pt-BR"/>
        </w:rPr>
        <w:t xml:space="preserve">; iv) </w:t>
      </w:r>
      <w:r w:rsidR="00470ADC" w:rsidRPr="00D5464D">
        <w:rPr>
          <w:lang w:val="pt-BR"/>
        </w:rPr>
        <w:t xml:space="preserve">controle </w:t>
      </w:r>
      <w:r w:rsidR="00207197" w:rsidRPr="00D5464D">
        <w:rPr>
          <w:lang w:val="pt-BR"/>
        </w:rPr>
        <w:t>o</w:t>
      </w:r>
      <w:r w:rsidR="00841342" w:rsidRPr="00D5464D">
        <w:rPr>
          <w:lang w:val="pt-BR"/>
        </w:rPr>
        <w:t>u</w:t>
      </w:r>
      <w:r w:rsidR="00207197" w:rsidRPr="00D5464D">
        <w:rPr>
          <w:lang w:val="pt-BR"/>
        </w:rPr>
        <w:t xml:space="preserve"> </w:t>
      </w:r>
      <w:r w:rsidR="002C330E" w:rsidRPr="00D5464D">
        <w:rPr>
          <w:lang w:val="pt-BR"/>
        </w:rPr>
        <w:t>restrição</w:t>
      </w:r>
      <w:r w:rsidR="00470ADC" w:rsidRPr="00D5464D">
        <w:rPr>
          <w:lang w:val="pt-BR"/>
        </w:rPr>
        <w:t xml:space="preserve"> da </w:t>
      </w:r>
      <w:r w:rsidR="002C330E" w:rsidRPr="00D5464D">
        <w:rPr>
          <w:lang w:val="pt-BR"/>
        </w:rPr>
        <w:t xml:space="preserve">liberdade </w:t>
      </w:r>
      <w:r w:rsidR="00207197" w:rsidRPr="00D5464D">
        <w:rPr>
          <w:lang w:val="pt-BR"/>
        </w:rPr>
        <w:t>de circula</w:t>
      </w:r>
      <w:r w:rsidR="00470ADC" w:rsidRPr="00D5464D">
        <w:rPr>
          <w:lang w:val="pt-BR"/>
        </w:rPr>
        <w:t>ção</w:t>
      </w:r>
      <w:r w:rsidR="00207197" w:rsidRPr="00D5464D">
        <w:rPr>
          <w:lang w:val="pt-BR"/>
        </w:rPr>
        <w:t xml:space="preserve">; v) </w:t>
      </w:r>
      <w:r w:rsidR="00470ADC" w:rsidRPr="00D5464D">
        <w:rPr>
          <w:lang w:val="pt-BR"/>
        </w:rPr>
        <w:t xml:space="preserve">controle </w:t>
      </w:r>
      <w:r w:rsidR="00207197" w:rsidRPr="00D5464D">
        <w:rPr>
          <w:lang w:val="pt-BR"/>
        </w:rPr>
        <w:t xml:space="preserve">sobre </w:t>
      </w:r>
      <w:r w:rsidR="00433E03" w:rsidRPr="00D5464D">
        <w:rPr>
          <w:lang w:val="pt-BR"/>
        </w:rPr>
        <w:t>objetos</w:t>
      </w:r>
      <w:r w:rsidR="00207197" w:rsidRPr="00D5464D">
        <w:rPr>
          <w:lang w:val="pt-BR"/>
        </w:rPr>
        <w:t xml:space="preserve"> </w:t>
      </w:r>
      <w:r w:rsidR="002C330E" w:rsidRPr="00D5464D">
        <w:rPr>
          <w:lang w:val="pt-BR"/>
        </w:rPr>
        <w:t>pessoais</w:t>
      </w:r>
      <w:r w:rsidR="00207197" w:rsidRPr="00D5464D">
        <w:rPr>
          <w:lang w:val="pt-BR"/>
        </w:rPr>
        <w:t>; vi) reten</w:t>
      </w:r>
      <w:r w:rsidR="00470ADC" w:rsidRPr="00D5464D">
        <w:rPr>
          <w:lang w:val="pt-BR"/>
        </w:rPr>
        <w:t>ção</w:t>
      </w:r>
      <w:r w:rsidR="00207197" w:rsidRPr="00D5464D">
        <w:rPr>
          <w:lang w:val="pt-BR"/>
        </w:rPr>
        <w:t xml:space="preserve"> de documentos de identidad</w:t>
      </w:r>
      <w:r w:rsidR="00433E03" w:rsidRPr="00D5464D">
        <w:rPr>
          <w:lang w:val="pt-BR"/>
        </w:rPr>
        <w:t>e</w:t>
      </w:r>
      <w:r w:rsidR="00207197" w:rsidRPr="00D5464D">
        <w:rPr>
          <w:lang w:val="pt-BR"/>
        </w:rPr>
        <w:t>; vii) intimida</w:t>
      </w:r>
      <w:r w:rsidR="00470ADC" w:rsidRPr="00D5464D">
        <w:rPr>
          <w:lang w:val="pt-BR"/>
        </w:rPr>
        <w:t>ção</w:t>
      </w:r>
      <w:r w:rsidR="00207197" w:rsidRPr="00D5464D">
        <w:rPr>
          <w:lang w:val="pt-BR"/>
        </w:rPr>
        <w:t xml:space="preserve"> o</w:t>
      </w:r>
      <w:r w:rsidR="00433E03" w:rsidRPr="00D5464D">
        <w:rPr>
          <w:lang w:val="pt-BR"/>
        </w:rPr>
        <w:t>u</w:t>
      </w:r>
      <w:r w:rsidR="00207197" w:rsidRPr="00D5464D">
        <w:rPr>
          <w:lang w:val="pt-BR"/>
        </w:rPr>
        <w:t xml:space="preserve"> </w:t>
      </w:r>
      <w:r w:rsidR="00470ADC" w:rsidRPr="00D5464D">
        <w:rPr>
          <w:lang w:val="pt-BR"/>
        </w:rPr>
        <w:t>ameaça</w:t>
      </w:r>
      <w:r w:rsidR="00207197" w:rsidRPr="00D5464D">
        <w:rPr>
          <w:lang w:val="pt-BR"/>
        </w:rPr>
        <w:t xml:space="preserve">s; viii) </w:t>
      </w:r>
      <w:r w:rsidR="00E045D9" w:rsidRPr="00D5464D">
        <w:rPr>
          <w:lang w:val="pt-BR"/>
        </w:rPr>
        <w:t>violência</w:t>
      </w:r>
      <w:r w:rsidR="00207197" w:rsidRPr="00D5464D">
        <w:rPr>
          <w:lang w:val="pt-BR"/>
        </w:rPr>
        <w:t xml:space="preserve"> física o</w:t>
      </w:r>
      <w:r w:rsidR="00433E03" w:rsidRPr="00D5464D">
        <w:rPr>
          <w:lang w:val="pt-BR"/>
        </w:rPr>
        <w:t>u</w:t>
      </w:r>
      <w:r w:rsidR="00207197" w:rsidRPr="00D5464D">
        <w:rPr>
          <w:lang w:val="pt-BR"/>
        </w:rPr>
        <w:t xml:space="preserve"> sexual; ix) </w:t>
      </w:r>
      <w:r w:rsidR="00E045D9" w:rsidRPr="00D5464D">
        <w:rPr>
          <w:lang w:val="pt-BR"/>
        </w:rPr>
        <w:t>tratamento</w:t>
      </w:r>
      <w:r w:rsidR="00207197" w:rsidRPr="00D5464D">
        <w:rPr>
          <w:lang w:val="pt-BR"/>
        </w:rPr>
        <w:t xml:space="preserve">s </w:t>
      </w:r>
      <w:r w:rsidR="00350187" w:rsidRPr="00D5464D">
        <w:rPr>
          <w:lang w:val="pt-BR"/>
        </w:rPr>
        <w:t>cruéis</w:t>
      </w:r>
      <w:r w:rsidR="00207197" w:rsidRPr="00D5464D">
        <w:rPr>
          <w:lang w:val="pt-BR"/>
        </w:rPr>
        <w:t xml:space="preserve"> o</w:t>
      </w:r>
      <w:r w:rsidR="00433E03" w:rsidRPr="00D5464D">
        <w:rPr>
          <w:lang w:val="pt-BR"/>
        </w:rPr>
        <w:t>u</w:t>
      </w:r>
      <w:r w:rsidR="00207197" w:rsidRPr="00D5464D">
        <w:rPr>
          <w:lang w:val="pt-BR"/>
        </w:rPr>
        <w:t xml:space="preserve"> </w:t>
      </w:r>
      <w:r w:rsidR="00350187" w:rsidRPr="00D5464D">
        <w:rPr>
          <w:lang w:val="pt-BR"/>
        </w:rPr>
        <w:t>humilha</w:t>
      </w:r>
      <w:r w:rsidR="00207197" w:rsidRPr="00D5464D">
        <w:rPr>
          <w:lang w:val="pt-BR"/>
        </w:rPr>
        <w:t xml:space="preserve">ntes; x) </w:t>
      </w:r>
      <w:r w:rsidR="00E045D9" w:rsidRPr="00D5464D">
        <w:rPr>
          <w:lang w:val="pt-BR"/>
        </w:rPr>
        <w:t>salário</w:t>
      </w:r>
      <w:r w:rsidR="00433E03" w:rsidRPr="00D5464D">
        <w:rPr>
          <w:lang w:val="pt-BR"/>
        </w:rPr>
        <w:t>s irrisó</w:t>
      </w:r>
      <w:r w:rsidR="00207197" w:rsidRPr="00D5464D">
        <w:rPr>
          <w:lang w:val="pt-BR"/>
        </w:rPr>
        <w:t>rios</w:t>
      </w:r>
      <w:r w:rsidR="00E045D9" w:rsidRPr="00D5464D">
        <w:rPr>
          <w:lang w:val="pt-BR"/>
        </w:rPr>
        <w:t xml:space="preserve"> e </w:t>
      </w:r>
      <w:r w:rsidR="00433E03" w:rsidRPr="00D5464D">
        <w:rPr>
          <w:lang w:val="pt-BR"/>
        </w:rPr>
        <w:t xml:space="preserve">sua </w:t>
      </w:r>
      <w:r w:rsidR="00207197" w:rsidRPr="00D5464D">
        <w:rPr>
          <w:lang w:val="pt-BR"/>
        </w:rPr>
        <w:t>reten</w:t>
      </w:r>
      <w:r w:rsidR="00470ADC" w:rsidRPr="00D5464D">
        <w:rPr>
          <w:lang w:val="pt-BR"/>
        </w:rPr>
        <w:t>ção</w:t>
      </w:r>
      <w:r w:rsidR="00207197" w:rsidRPr="00D5464D">
        <w:rPr>
          <w:lang w:val="pt-BR"/>
        </w:rPr>
        <w:t xml:space="preserve">; xi) </w:t>
      </w:r>
      <w:r w:rsidR="000B376D" w:rsidRPr="00D5464D">
        <w:rPr>
          <w:lang w:val="pt-BR"/>
        </w:rPr>
        <w:t>servidão</w:t>
      </w:r>
      <w:r w:rsidR="00207197" w:rsidRPr="00D5464D">
        <w:rPr>
          <w:lang w:val="pt-BR"/>
        </w:rPr>
        <w:t xml:space="preserve"> por </w:t>
      </w:r>
      <w:r w:rsidR="00470ADC" w:rsidRPr="00D5464D">
        <w:rPr>
          <w:lang w:val="pt-BR"/>
        </w:rPr>
        <w:t>dívida</w:t>
      </w:r>
      <w:r w:rsidR="00207197" w:rsidRPr="00D5464D">
        <w:rPr>
          <w:lang w:val="pt-BR"/>
        </w:rPr>
        <w:t xml:space="preserve">; xii) jornadas </w:t>
      </w:r>
      <w:r w:rsidR="00A1358C" w:rsidRPr="00D5464D">
        <w:rPr>
          <w:lang w:val="pt-BR"/>
        </w:rPr>
        <w:t>laborais</w:t>
      </w:r>
      <w:r w:rsidR="00207197" w:rsidRPr="00D5464D">
        <w:rPr>
          <w:lang w:val="pt-BR"/>
        </w:rPr>
        <w:t xml:space="preserve"> </w:t>
      </w:r>
      <w:r w:rsidR="00230C71" w:rsidRPr="00D5464D">
        <w:rPr>
          <w:lang w:val="pt-BR"/>
        </w:rPr>
        <w:t>excessiv</w:t>
      </w:r>
      <w:r w:rsidR="00207197" w:rsidRPr="00D5464D">
        <w:rPr>
          <w:lang w:val="pt-BR"/>
        </w:rPr>
        <w:t xml:space="preserve">as; xiii) </w:t>
      </w:r>
      <w:r w:rsidR="002C330E" w:rsidRPr="00D5464D">
        <w:rPr>
          <w:lang w:val="pt-BR"/>
        </w:rPr>
        <w:t>obrigação</w:t>
      </w:r>
      <w:r w:rsidR="00207197" w:rsidRPr="00D5464D">
        <w:rPr>
          <w:lang w:val="pt-BR"/>
        </w:rPr>
        <w:t xml:space="preserve"> de </w:t>
      </w:r>
      <w:r w:rsidR="00E045D9" w:rsidRPr="00D5464D">
        <w:rPr>
          <w:lang w:val="pt-BR"/>
        </w:rPr>
        <w:t xml:space="preserve">viver no </w:t>
      </w:r>
      <w:r w:rsidR="00207197" w:rsidRPr="00D5464D">
        <w:rPr>
          <w:lang w:val="pt-BR"/>
        </w:rPr>
        <w:t xml:space="preserve">lugar de </w:t>
      </w:r>
      <w:r w:rsidR="00E045D9" w:rsidRPr="00D5464D">
        <w:rPr>
          <w:lang w:val="pt-BR"/>
        </w:rPr>
        <w:t>trabalho</w:t>
      </w:r>
      <w:r w:rsidR="00207197" w:rsidRPr="00D5464D">
        <w:rPr>
          <w:lang w:val="pt-BR"/>
        </w:rPr>
        <w:t xml:space="preserve">; xiv) </w:t>
      </w:r>
      <w:r w:rsidR="00E045D9" w:rsidRPr="00D5464D">
        <w:rPr>
          <w:lang w:val="pt-BR"/>
        </w:rPr>
        <w:t>existência</w:t>
      </w:r>
      <w:r w:rsidR="00207197" w:rsidRPr="00D5464D">
        <w:rPr>
          <w:lang w:val="pt-BR"/>
        </w:rPr>
        <w:t xml:space="preserve"> de medidas para impedir</w:t>
      </w:r>
      <w:r w:rsidR="002C330E" w:rsidRPr="00D5464D">
        <w:rPr>
          <w:lang w:val="pt-BR"/>
        </w:rPr>
        <w:t xml:space="preserve"> a saída </w:t>
      </w:r>
      <w:r w:rsidR="00767387" w:rsidRPr="00D5464D">
        <w:rPr>
          <w:lang w:val="pt-BR"/>
        </w:rPr>
        <w:t>dos</w:t>
      </w:r>
      <w:r w:rsidR="00207197" w:rsidRPr="00D5464D">
        <w:rPr>
          <w:lang w:val="pt-BR"/>
        </w:rPr>
        <w:t xml:space="preserve"> </w:t>
      </w:r>
      <w:r w:rsidR="00E045D9" w:rsidRPr="00D5464D">
        <w:rPr>
          <w:lang w:val="pt-BR"/>
        </w:rPr>
        <w:t>trabalhadores</w:t>
      </w:r>
      <w:r w:rsidR="00207197" w:rsidRPr="00D5464D">
        <w:rPr>
          <w:lang w:val="pt-BR"/>
        </w:rPr>
        <w:t xml:space="preserve">; xv) falta de </w:t>
      </w:r>
      <w:r w:rsidR="00E045D9" w:rsidRPr="00D5464D">
        <w:rPr>
          <w:lang w:val="pt-BR"/>
        </w:rPr>
        <w:t xml:space="preserve">vontade </w:t>
      </w:r>
      <w:r w:rsidR="00207197" w:rsidRPr="00D5464D">
        <w:rPr>
          <w:lang w:val="pt-BR"/>
        </w:rPr>
        <w:t>para iniciar o</w:t>
      </w:r>
      <w:r w:rsidR="00433E03" w:rsidRPr="00D5464D">
        <w:rPr>
          <w:lang w:val="pt-BR"/>
        </w:rPr>
        <w:t>u</w:t>
      </w:r>
      <w:r w:rsidR="00207197" w:rsidRPr="00D5464D">
        <w:rPr>
          <w:lang w:val="pt-BR"/>
        </w:rPr>
        <w:t xml:space="preserve"> continuar</w:t>
      </w:r>
      <w:r w:rsidR="00470ADC" w:rsidRPr="00D5464D">
        <w:rPr>
          <w:lang w:val="pt-BR"/>
        </w:rPr>
        <w:t xml:space="preserve"> o </w:t>
      </w:r>
      <w:r w:rsidR="00E045D9" w:rsidRPr="00D5464D">
        <w:rPr>
          <w:lang w:val="pt-BR"/>
        </w:rPr>
        <w:t>trabalho</w:t>
      </w:r>
      <w:r w:rsidR="00207197" w:rsidRPr="00D5464D">
        <w:rPr>
          <w:lang w:val="pt-BR"/>
        </w:rPr>
        <w:t xml:space="preserve">; xvi) falta de </w:t>
      </w:r>
      <w:r w:rsidR="00470ADC" w:rsidRPr="00D5464D">
        <w:rPr>
          <w:lang w:val="pt-BR"/>
        </w:rPr>
        <w:t>consentimento</w:t>
      </w:r>
      <w:r w:rsidR="00207197" w:rsidRPr="00D5464D">
        <w:rPr>
          <w:lang w:val="pt-BR"/>
        </w:rPr>
        <w:t xml:space="preserve"> informado sobre</w:t>
      </w:r>
      <w:r w:rsidR="002C330E" w:rsidRPr="00D5464D">
        <w:rPr>
          <w:lang w:val="pt-BR"/>
        </w:rPr>
        <w:t xml:space="preserve"> as </w:t>
      </w:r>
      <w:r w:rsidR="00207197" w:rsidRPr="00D5464D">
        <w:rPr>
          <w:lang w:val="pt-BR"/>
        </w:rPr>
        <w:t>condi</w:t>
      </w:r>
      <w:r w:rsidR="00470ADC" w:rsidRPr="00D5464D">
        <w:rPr>
          <w:lang w:val="pt-BR"/>
        </w:rPr>
        <w:t>ções</w:t>
      </w:r>
      <w:r w:rsidR="00207197" w:rsidRPr="00D5464D">
        <w:rPr>
          <w:lang w:val="pt-BR"/>
        </w:rPr>
        <w:t xml:space="preserve"> </w:t>
      </w:r>
      <w:r w:rsidR="00470ADC" w:rsidRPr="00D5464D">
        <w:rPr>
          <w:lang w:val="pt-BR"/>
        </w:rPr>
        <w:t xml:space="preserve">do </w:t>
      </w:r>
      <w:r w:rsidR="00E045D9" w:rsidRPr="00D5464D">
        <w:rPr>
          <w:lang w:val="pt-BR"/>
        </w:rPr>
        <w:t>trabalho</w:t>
      </w:r>
      <w:r w:rsidR="00470ADC" w:rsidRPr="00D5464D">
        <w:rPr>
          <w:lang w:val="pt-BR"/>
        </w:rPr>
        <w:t>, e</w:t>
      </w:r>
      <w:r w:rsidR="00207197" w:rsidRPr="00D5464D">
        <w:rPr>
          <w:lang w:val="pt-BR"/>
        </w:rPr>
        <w:t xml:space="preserve"> xvii) im</w:t>
      </w:r>
      <w:r w:rsidR="002C330E" w:rsidRPr="00D5464D">
        <w:rPr>
          <w:lang w:val="pt-BR"/>
        </w:rPr>
        <w:t xml:space="preserve">possibilidade </w:t>
      </w:r>
      <w:r w:rsidR="00207197" w:rsidRPr="00D5464D">
        <w:rPr>
          <w:lang w:val="pt-BR"/>
        </w:rPr>
        <w:t xml:space="preserve">de modificar </w:t>
      </w:r>
      <w:r w:rsidR="002C330E" w:rsidRPr="00D5464D">
        <w:rPr>
          <w:lang w:val="pt-BR"/>
        </w:rPr>
        <w:t xml:space="preserve">livremente a </w:t>
      </w:r>
      <w:r w:rsidR="00207197" w:rsidRPr="00D5464D">
        <w:rPr>
          <w:lang w:val="pt-BR"/>
        </w:rPr>
        <w:t>condi</w:t>
      </w:r>
      <w:r w:rsidR="00470ADC" w:rsidRPr="00D5464D">
        <w:rPr>
          <w:lang w:val="pt-BR"/>
        </w:rPr>
        <w:t>ção</w:t>
      </w:r>
      <w:r w:rsidR="00207197" w:rsidRPr="00D5464D">
        <w:rPr>
          <w:lang w:val="pt-BR"/>
        </w:rPr>
        <w:t xml:space="preserve"> </w:t>
      </w:r>
      <w:r w:rsidR="00470ADC" w:rsidRPr="00D5464D">
        <w:rPr>
          <w:lang w:val="pt-BR"/>
        </w:rPr>
        <w:t xml:space="preserve">do </w:t>
      </w:r>
      <w:r w:rsidR="00E045D9" w:rsidRPr="00D5464D">
        <w:rPr>
          <w:lang w:val="pt-BR"/>
        </w:rPr>
        <w:t>trabalh</w:t>
      </w:r>
      <w:r w:rsidR="00207197" w:rsidRPr="00D5464D">
        <w:rPr>
          <w:lang w:val="pt-BR"/>
        </w:rPr>
        <w:t>ador.</w:t>
      </w:r>
    </w:p>
    <w:p w14:paraId="5064C056" w14:textId="77777777" w:rsidR="00207197" w:rsidRPr="00D5464D" w:rsidRDefault="00207197" w:rsidP="00140440">
      <w:pPr>
        <w:jc w:val="both"/>
        <w:rPr>
          <w:lang w:val="pt-BR"/>
        </w:rPr>
      </w:pPr>
    </w:p>
    <w:p w14:paraId="44338D7E" w14:textId="1DE5C817" w:rsidR="00207197" w:rsidRPr="00D5464D" w:rsidRDefault="00737270" w:rsidP="00F37DC4">
      <w:pPr>
        <w:pStyle w:val="Prrafodelista"/>
        <w:numPr>
          <w:ilvl w:val="0"/>
          <w:numId w:val="1"/>
        </w:numPr>
        <w:contextualSpacing w:val="0"/>
        <w:rPr>
          <w:lang w:val="pt-BR"/>
        </w:rPr>
      </w:pPr>
      <w:r w:rsidRPr="00D5464D">
        <w:rPr>
          <w:lang w:val="pt-BR"/>
        </w:rPr>
        <w:t xml:space="preserve">Os </w:t>
      </w:r>
      <w:r w:rsidR="00EB1CE9" w:rsidRPr="00D5464D">
        <w:rPr>
          <w:lang w:val="pt-BR"/>
        </w:rPr>
        <w:t>representante</w:t>
      </w:r>
      <w:r w:rsidRPr="00D5464D">
        <w:rPr>
          <w:lang w:val="pt-BR"/>
        </w:rPr>
        <w:t xml:space="preserve">s </w:t>
      </w:r>
      <w:r w:rsidR="00470ADC" w:rsidRPr="00D5464D">
        <w:rPr>
          <w:lang w:val="pt-BR"/>
        </w:rPr>
        <w:t>alegaram</w:t>
      </w:r>
      <w:r w:rsidR="00207197" w:rsidRPr="00D5464D">
        <w:rPr>
          <w:lang w:val="pt-BR"/>
        </w:rPr>
        <w:t xml:space="preserve"> que</w:t>
      </w:r>
      <w:r w:rsidR="00433E03" w:rsidRPr="00D5464D">
        <w:rPr>
          <w:lang w:val="pt-BR"/>
        </w:rPr>
        <w:t>,</w:t>
      </w:r>
      <w:r w:rsidR="00E045D9" w:rsidRPr="00D5464D">
        <w:rPr>
          <w:lang w:val="pt-BR"/>
        </w:rPr>
        <w:t xml:space="preserve"> neste </w:t>
      </w:r>
      <w:r w:rsidR="00207197" w:rsidRPr="00D5464D">
        <w:rPr>
          <w:lang w:val="pt-BR"/>
        </w:rPr>
        <w:t>caso</w:t>
      </w:r>
      <w:r w:rsidR="00433E03" w:rsidRPr="00D5464D">
        <w:rPr>
          <w:lang w:val="pt-BR"/>
        </w:rPr>
        <w:t>,</w:t>
      </w:r>
      <w:r w:rsidR="00207197" w:rsidRPr="00D5464D">
        <w:rPr>
          <w:lang w:val="pt-BR"/>
        </w:rPr>
        <w:t xml:space="preserve"> </w:t>
      </w:r>
      <w:r w:rsidR="00470ADC" w:rsidRPr="00D5464D">
        <w:rPr>
          <w:lang w:val="pt-BR"/>
        </w:rPr>
        <w:t>efetiv</w:t>
      </w:r>
      <w:r w:rsidR="00207197" w:rsidRPr="00D5464D">
        <w:rPr>
          <w:lang w:val="pt-BR"/>
        </w:rPr>
        <w:t xml:space="preserve">amente se </w:t>
      </w:r>
      <w:r w:rsidR="00C91CB1" w:rsidRPr="00D5464D">
        <w:rPr>
          <w:lang w:val="pt-BR"/>
        </w:rPr>
        <w:t>configurou</w:t>
      </w:r>
      <w:r w:rsidR="00C40AEE" w:rsidRPr="00D5464D">
        <w:rPr>
          <w:lang w:val="pt-BR"/>
        </w:rPr>
        <w:t>, na Fazenda Brasil Verde,</w:t>
      </w:r>
      <w:r w:rsidR="00E045D9" w:rsidRPr="00D5464D">
        <w:rPr>
          <w:lang w:val="pt-BR"/>
        </w:rPr>
        <w:t xml:space="preserve"> uma </w:t>
      </w:r>
      <w:r w:rsidR="00207197" w:rsidRPr="00D5464D">
        <w:rPr>
          <w:lang w:val="pt-BR"/>
        </w:rPr>
        <w:t>situa</w:t>
      </w:r>
      <w:r w:rsidR="00470ADC" w:rsidRPr="00D5464D">
        <w:rPr>
          <w:lang w:val="pt-BR"/>
        </w:rPr>
        <w:t>ção</w:t>
      </w:r>
      <w:r w:rsidR="00207197" w:rsidRPr="00D5464D">
        <w:rPr>
          <w:lang w:val="pt-BR"/>
        </w:rPr>
        <w:t xml:space="preserve"> de </w:t>
      </w:r>
      <w:r w:rsidR="000B376D" w:rsidRPr="00D5464D">
        <w:rPr>
          <w:lang w:val="pt-BR"/>
        </w:rPr>
        <w:t>escravidão</w:t>
      </w:r>
      <w:r w:rsidR="00470ADC" w:rsidRPr="00D5464D">
        <w:rPr>
          <w:lang w:val="pt-BR"/>
        </w:rPr>
        <w:t xml:space="preserve"> em </w:t>
      </w:r>
      <w:r w:rsidR="00230C71" w:rsidRPr="00D5464D">
        <w:rPr>
          <w:lang w:val="pt-BR"/>
        </w:rPr>
        <w:t>suas formas</w:t>
      </w:r>
      <w:r w:rsidR="00207197" w:rsidRPr="00D5464D">
        <w:rPr>
          <w:lang w:val="pt-BR"/>
        </w:rPr>
        <w:t xml:space="preserve"> </w:t>
      </w:r>
      <w:r w:rsidR="00470ADC" w:rsidRPr="00D5464D">
        <w:rPr>
          <w:lang w:val="pt-BR"/>
        </w:rPr>
        <w:t>contemporânea</w:t>
      </w:r>
      <w:r w:rsidR="00207197" w:rsidRPr="00D5464D">
        <w:rPr>
          <w:lang w:val="pt-BR"/>
        </w:rPr>
        <w:t>s</w:t>
      </w:r>
      <w:r w:rsidR="00E045D9" w:rsidRPr="00D5464D">
        <w:rPr>
          <w:lang w:val="pt-BR"/>
        </w:rPr>
        <w:t xml:space="preserve"> e </w:t>
      </w:r>
      <w:r w:rsidR="006665EF" w:rsidRPr="00D5464D">
        <w:rPr>
          <w:lang w:val="pt-BR"/>
        </w:rPr>
        <w:t>análogas</w:t>
      </w:r>
      <w:r w:rsidR="00C91CB1" w:rsidRPr="00D5464D">
        <w:rPr>
          <w:lang w:val="pt-BR"/>
        </w:rPr>
        <w:t xml:space="preserve">. Em </w:t>
      </w:r>
      <w:r w:rsidRPr="00D5464D">
        <w:rPr>
          <w:lang w:val="pt-BR"/>
        </w:rPr>
        <w:t>sua opinião</w:t>
      </w:r>
      <w:r w:rsidR="00207197" w:rsidRPr="00D5464D">
        <w:rPr>
          <w:lang w:val="pt-BR"/>
        </w:rPr>
        <w:t xml:space="preserve">, esta </w:t>
      </w:r>
      <w:r w:rsidR="00470ADC" w:rsidRPr="00D5464D">
        <w:rPr>
          <w:lang w:val="pt-BR"/>
        </w:rPr>
        <w:t>conclusão</w:t>
      </w:r>
      <w:r w:rsidR="00207197" w:rsidRPr="00D5464D">
        <w:rPr>
          <w:lang w:val="pt-BR"/>
        </w:rPr>
        <w:t xml:space="preserve"> </w:t>
      </w:r>
      <w:r w:rsidR="00E045D9" w:rsidRPr="00D5464D">
        <w:rPr>
          <w:lang w:val="pt-BR"/>
        </w:rPr>
        <w:t>decorre</w:t>
      </w:r>
      <w:r w:rsidR="00470ADC" w:rsidRPr="00D5464D">
        <w:rPr>
          <w:lang w:val="pt-BR"/>
        </w:rPr>
        <w:t xml:space="preserve"> dos </w:t>
      </w:r>
      <w:r w:rsidR="002C330E" w:rsidRPr="00D5464D">
        <w:rPr>
          <w:lang w:val="pt-BR"/>
        </w:rPr>
        <w:t>seguinte</w:t>
      </w:r>
      <w:r w:rsidR="00207197" w:rsidRPr="00D5464D">
        <w:rPr>
          <w:lang w:val="pt-BR"/>
        </w:rPr>
        <w:t xml:space="preserve">s </w:t>
      </w:r>
      <w:r w:rsidR="002C330E" w:rsidRPr="00D5464D">
        <w:rPr>
          <w:lang w:val="pt-BR"/>
        </w:rPr>
        <w:t>fatos</w:t>
      </w:r>
      <w:r w:rsidR="00207197" w:rsidRPr="00D5464D">
        <w:rPr>
          <w:lang w:val="pt-BR"/>
        </w:rPr>
        <w:t>: i)</w:t>
      </w:r>
      <w:r w:rsidR="002C330E" w:rsidRPr="00D5464D">
        <w:rPr>
          <w:lang w:val="pt-BR"/>
        </w:rPr>
        <w:t xml:space="preserve"> os </w:t>
      </w:r>
      <w:r w:rsidR="00E045D9" w:rsidRPr="00D5464D">
        <w:rPr>
          <w:lang w:val="pt-BR"/>
        </w:rPr>
        <w:t>trabalhadores</w:t>
      </w:r>
      <w:r w:rsidR="00470ADC" w:rsidRPr="00D5464D">
        <w:rPr>
          <w:lang w:val="pt-BR"/>
        </w:rPr>
        <w:t xml:space="preserve"> eram </w:t>
      </w:r>
      <w:r w:rsidR="00433E03" w:rsidRPr="00D5464D">
        <w:rPr>
          <w:lang w:val="pt-BR"/>
        </w:rPr>
        <w:t xml:space="preserve">aliciados </w:t>
      </w:r>
      <w:r w:rsidR="00207197" w:rsidRPr="00D5464D">
        <w:rPr>
          <w:lang w:val="pt-BR"/>
        </w:rPr>
        <w:t xml:space="preserve">por </w:t>
      </w:r>
      <w:r w:rsidR="00E93CE5" w:rsidRPr="00D5464D">
        <w:rPr>
          <w:lang w:val="pt-BR"/>
        </w:rPr>
        <w:t>gatos</w:t>
      </w:r>
      <w:r w:rsidR="00207197" w:rsidRPr="00D5464D">
        <w:rPr>
          <w:lang w:val="pt-BR"/>
        </w:rPr>
        <w:t xml:space="preserve"> para ser</w:t>
      </w:r>
      <w:r w:rsidR="00433E03" w:rsidRPr="00D5464D">
        <w:rPr>
          <w:lang w:val="pt-BR"/>
        </w:rPr>
        <w:t>em</w:t>
      </w:r>
      <w:r w:rsidR="00207197" w:rsidRPr="00D5464D">
        <w:rPr>
          <w:lang w:val="pt-BR"/>
        </w:rPr>
        <w:t xml:space="preserve"> </w:t>
      </w:r>
      <w:r w:rsidR="00E765C2" w:rsidRPr="00D5464D">
        <w:rPr>
          <w:lang w:val="pt-BR"/>
        </w:rPr>
        <w:t>explorad</w:t>
      </w:r>
      <w:r w:rsidR="00207197" w:rsidRPr="00D5464D">
        <w:rPr>
          <w:lang w:val="pt-BR"/>
        </w:rPr>
        <w:t xml:space="preserve">os </w:t>
      </w:r>
      <w:r w:rsidR="00A8241B" w:rsidRPr="00D5464D">
        <w:rPr>
          <w:lang w:val="pt-BR"/>
        </w:rPr>
        <w:t>no trabalho</w:t>
      </w:r>
      <w:r w:rsidR="00207197" w:rsidRPr="00D5464D">
        <w:rPr>
          <w:lang w:val="pt-BR"/>
        </w:rPr>
        <w:t>; ii)</w:t>
      </w:r>
      <w:r w:rsidR="00470ADC" w:rsidRPr="00D5464D">
        <w:rPr>
          <w:lang w:val="pt-BR"/>
        </w:rPr>
        <w:t xml:space="preserve"> o consentimento dos </w:t>
      </w:r>
      <w:r w:rsidR="00E045D9" w:rsidRPr="00D5464D">
        <w:rPr>
          <w:lang w:val="pt-BR"/>
        </w:rPr>
        <w:t>trabalhadores</w:t>
      </w:r>
      <w:r w:rsidR="00207197" w:rsidRPr="00D5464D">
        <w:rPr>
          <w:lang w:val="pt-BR"/>
        </w:rPr>
        <w:t xml:space="preserve"> para viajar</w:t>
      </w:r>
      <w:r w:rsidR="00470ADC" w:rsidRPr="00D5464D">
        <w:rPr>
          <w:lang w:val="pt-BR"/>
        </w:rPr>
        <w:t xml:space="preserve"> à </w:t>
      </w:r>
      <w:r w:rsidR="00D809F0" w:rsidRPr="00D5464D">
        <w:rPr>
          <w:lang w:val="pt-BR"/>
        </w:rPr>
        <w:t>Fazenda</w:t>
      </w:r>
      <w:r w:rsidR="00207197" w:rsidRPr="00D5464D">
        <w:rPr>
          <w:lang w:val="pt-BR"/>
        </w:rPr>
        <w:t xml:space="preserve"> Brasil Ver</w:t>
      </w:r>
      <w:r w:rsidR="00E045D9" w:rsidRPr="00D5464D">
        <w:rPr>
          <w:lang w:val="pt-BR"/>
        </w:rPr>
        <w:t>de</w:t>
      </w:r>
      <w:r w:rsidR="00433E03" w:rsidRPr="00D5464D">
        <w:rPr>
          <w:lang w:val="pt-BR"/>
        </w:rPr>
        <w:t xml:space="preserve"> e</w:t>
      </w:r>
      <w:r w:rsidR="00E045D9" w:rsidRPr="00D5464D">
        <w:rPr>
          <w:lang w:val="pt-BR"/>
        </w:rPr>
        <w:t>sta</w:t>
      </w:r>
      <w:r w:rsidR="00470ADC" w:rsidRPr="00D5464D">
        <w:rPr>
          <w:lang w:val="pt-BR"/>
        </w:rPr>
        <w:t>va</w:t>
      </w:r>
      <w:r w:rsidR="00207197" w:rsidRPr="00D5464D">
        <w:rPr>
          <w:lang w:val="pt-BR"/>
        </w:rPr>
        <w:t xml:space="preserve"> viciado,</w:t>
      </w:r>
      <w:r w:rsidR="002C330E" w:rsidRPr="00D5464D">
        <w:rPr>
          <w:lang w:val="pt-BR"/>
        </w:rPr>
        <w:t xml:space="preserve"> pois </w:t>
      </w:r>
      <w:r w:rsidR="00207197" w:rsidRPr="00D5464D">
        <w:rPr>
          <w:lang w:val="pt-BR"/>
        </w:rPr>
        <w:t>n</w:t>
      </w:r>
      <w:r w:rsidR="00433E03" w:rsidRPr="00D5464D">
        <w:rPr>
          <w:lang w:val="pt-BR"/>
        </w:rPr>
        <w:t>ã</w:t>
      </w:r>
      <w:r w:rsidR="00207197" w:rsidRPr="00D5464D">
        <w:rPr>
          <w:lang w:val="pt-BR"/>
        </w:rPr>
        <w:t xml:space="preserve">o </w:t>
      </w:r>
      <w:r w:rsidR="00EB1CE9" w:rsidRPr="00D5464D">
        <w:rPr>
          <w:lang w:val="pt-BR"/>
        </w:rPr>
        <w:t>sabiam</w:t>
      </w:r>
      <w:r w:rsidR="00207197" w:rsidRPr="00D5464D">
        <w:rPr>
          <w:lang w:val="pt-BR"/>
        </w:rPr>
        <w:t xml:space="preserve"> realmente </w:t>
      </w:r>
      <w:r w:rsidR="00470ADC" w:rsidRPr="00D5464D">
        <w:rPr>
          <w:lang w:val="pt-BR"/>
        </w:rPr>
        <w:t>qual</w:t>
      </w:r>
      <w:r w:rsidR="00207197" w:rsidRPr="00D5464D">
        <w:rPr>
          <w:lang w:val="pt-BR"/>
        </w:rPr>
        <w:t xml:space="preserve"> </w:t>
      </w:r>
      <w:r w:rsidR="00E045D9" w:rsidRPr="00D5464D">
        <w:rPr>
          <w:lang w:val="pt-BR"/>
        </w:rPr>
        <w:t xml:space="preserve">seria </w:t>
      </w:r>
      <w:r w:rsidR="00207197" w:rsidRPr="00D5464D">
        <w:rPr>
          <w:lang w:val="pt-BR"/>
        </w:rPr>
        <w:t>s</w:t>
      </w:r>
      <w:r w:rsidR="00433E03" w:rsidRPr="00D5464D">
        <w:rPr>
          <w:lang w:val="pt-BR"/>
        </w:rPr>
        <w:t>e</w:t>
      </w:r>
      <w:r w:rsidR="00207197" w:rsidRPr="00D5464D">
        <w:rPr>
          <w:lang w:val="pt-BR"/>
        </w:rPr>
        <w:t xml:space="preserve">u </w:t>
      </w:r>
      <w:r w:rsidR="00E045D9" w:rsidRPr="00D5464D">
        <w:rPr>
          <w:lang w:val="pt-BR"/>
        </w:rPr>
        <w:t xml:space="preserve">salário e </w:t>
      </w:r>
      <w:r w:rsidR="00230C71" w:rsidRPr="00D5464D">
        <w:rPr>
          <w:lang w:val="pt-BR"/>
        </w:rPr>
        <w:t>suas condições</w:t>
      </w:r>
      <w:r w:rsidR="00207197" w:rsidRPr="00D5464D">
        <w:rPr>
          <w:lang w:val="pt-BR"/>
        </w:rPr>
        <w:t xml:space="preserve"> de </w:t>
      </w:r>
      <w:r w:rsidR="00E045D9" w:rsidRPr="00D5464D">
        <w:rPr>
          <w:lang w:val="pt-BR"/>
        </w:rPr>
        <w:t>trabalho</w:t>
      </w:r>
      <w:r w:rsidR="00207197" w:rsidRPr="00D5464D">
        <w:rPr>
          <w:lang w:val="pt-BR"/>
        </w:rPr>
        <w:t>; iii)</w:t>
      </w:r>
      <w:r w:rsidR="00470ADC" w:rsidRPr="00D5464D">
        <w:rPr>
          <w:lang w:val="pt-BR"/>
        </w:rPr>
        <w:t xml:space="preserve"> o </w:t>
      </w:r>
      <w:r w:rsidR="00207197" w:rsidRPr="00D5464D">
        <w:rPr>
          <w:lang w:val="pt-BR"/>
        </w:rPr>
        <w:t>gerente</w:t>
      </w:r>
      <w:r w:rsidR="00470ADC" w:rsidRPr="00D5464D">
        <w:rPr>
          <w:lang w:val="pt-BR"/>
        </w:rPr>
        <w:t xml:space="preserve"> da </w:t>
      </w:r>
      <w:r w:rsidR="00D809F0" w:rsidRPr="00D5464D">
        <w:rPr>
          <w:lang w:val="pt-BR"/>
        </w:rPr>
        <w:t>fazenda</w:t>
      </w:r>
      <w:r w:rsidR="00207197" w:rsidRPr="00D5464D">
        <w:rPr>
          <w:lang w:val="pt-BR"/>
        </w:rPr>
        <w:t xml:space="preserve"> re</w:t>
      </w:r>
      <w:r w:rsidR="00E045D9" w:rsidRPr="00D5464D">
        <w:rPr>
          <w:lang w:val="pt-BR"/>
        </w:rPr>
        <w:t>tinha e</w:t>
      </w:r>
      <w:r w:rsidR="00C40AEE" w:rsidRPr="00D5464D">
        <w:rPr>
          <w:lang w:val="pt-BR"/>
        </w:rPr>
        <w:t>,</w:t>
      </w:r>
      <w:r w:rsidR="00E045D9" w:rsidRPr="00D5464D">
        <w:rPr>
          <w:lang w:val="pt-BR"/>
        </w:rPr>
        <w:t xml:space="preserve"> </w:t>
      </w:r>
      <w:r w:rsidR="00433E03" w:rsidRPr="00D5464D">
        <w:rPr>
          <w:lang w:val="pt-BR"/>
        </w:rPr>
        <w:t>às</w:t>
      </w:r>
      <w:r w:rsidR="00207197" w:rsidRPr="00D5464D">
        <w:rPr>
          <w:lang w:val="pt-BR"/>
        </w:rPr>
        <w:t xml:space="preserve"> </w:t>
      </w:r>
      <w:r w:rsidR="00E045D9" w:rsidRPr="00D5464D">
        <w:rPr>
          <w:lang w:val="pt-BR"/>
        </w:rPr>
        <w:t>vezes</w:t>
      </w:r>
      <w:r w:rsidR="00C40AEE" w:rsidRPr="00D5464D">
        <w:rPr>
          <w:lang w:val="pt-BR"/>
        </w:rPr>
        <w:t>,</w:t>
      </w:r>
      <w:r w:rsidR="00207197" w:rsidRPr="00D5464D">
        <w:rPr>
          <w:lang w:val="pt-BR"/>
        </w:rPr>
        <w:t xml:space="preserve"> </w:t>
      </w:r>
      <w:r w:rsidR="00433E03" w:rsidRPr="00D5464D">
        <w:rPr>
          <w:lang w:val="pt-BR"/>
        </w:rPr>
        <w:t>fraudava</w:t>
      </w:r>
      <w:r w:rsidR="00350187" w:rsidRPr="00D5464D">
        <w:rPr>
          <w:lang w:val="pt-BR"/>
        </w:rPr>
        <w:t xml:space="preserve"> </w:t>
      </w:r>
      <w:r w:rsidR="002C330E" w:rsidRPr="00D5464D">
        <w:rPr>
          <w:lang w:val="pt-BR"/>
        </w:rPr>
        <w:t xml:space="preserve">as </w:t>
      </w:r>
      <w:r w:rsidR="00A641AE" w:rsidRPr="00D5464D">
        <w:rPr>
          <w:lang w:val="pt-BR"/>
        </w:rPr>
        <w:t>carteiras de trabalho</w:t>
      </w:r>
      <w:r w:rsidR="00207197" w:rsidRPr="00D5464D">
        <w:rPr>
          <w:lang w:val="pt-BR"/>
        </w:rPr>
        <w:t>; iv)</w:t>
      </w:r>
      <w:r w:rsidR="002C330E" w:rsidRPr="00D5464D">
        <w:rPr>
          <w:lang w:val="pt-BR"/>
        </w:rPr>
        <w:t xml:space="preserve"> os </w:t>
      </w:r>
      <w:r w:rsidR="00E045D9" w:rsidRPr="00D5464D">
        <w:rPr>
          <w:lang w:val="pt-BR"/>
        </w:rPr>
        <w:t>trabalhadores</w:t>
      </w:r>
      <w:r w:rsidR="00470ADC" w:rsidRPr="00D5464D">
        <w:rPr>
          <w:lang w:val="pt-BR"/>
        </w:rPr>
        <w:t xml:space="preserve"> eram </w:t>
      </w:r>
      <w:r w:rsidR="002C330E" w:rsidRPr="00D5464D">
        <w:rPr>
          <w:lang w:val="pt-BR"/>
        </w:rPr>
        <w:t>obrigad</w:t>
      </w:r>
      <w:r w:rsidR="00207197" w:rsidRPr="00D5464D">
        <w:rPr>
          <w:lang w:val="pt-BR"/>
        </w:rPr>
        <w:t>os a</w:t>
      </w:r>
      <w:r w:rsidR="00470ADC" w:rsidRPr="00D5464D">
        <w:rPr>
          <w:lang w:val="pt-BR"/>
        </w:rPr>
        <w:t xml:space="preserve"> assinar </w:t>
      </w:r>
      <w:r w:rsidR="00207197" w:rsidRPr="00D5464D">
        <w:rPr>
          <w:lang w:val="pt-BR"/>
        </w:rPr>
        <w:t>do</w:t>
      </w:r>
      <w:r w:rsidR="00433E03" w:rsidRPr="00D5464D">
        <w:rPr>
          <w:lang w:val="pt-BR"/>
        </w:rPr>
        <w:t>i</w:t>
      </w:r>
      <w:r w:rsidR="00207197" w:rsidRPr="00D5464D">
        <w:rPr>
          <w:lang w:val="pt-BR"/>
        </w:rPr>
        <w:t xml:space="preserve">s tipos distintos de contratos de </w:t>
      </w:r>
      <w:r w:rsidR="00E045D9" w:rsidRPr="00D5464D">
        <w:rPr>
          <w:lang w:val="pt-BR"/>
        </w:rPr>
        <w:t xml:space="preserve">trabalho e </w:t>
      </w:r>
      <w:r w:rsidR="00207197" w:rsidRPr="00D5464D">
        <w:rPr>
          <w:lang w:val="pt-BR"/>
        </w:rPr>
        <w:t>documentos</w:t>
      </w:r>
      <w:r w:rsidR="00470ADC" w:rsidRPr="00D5464D">
        <w:rPr>
          <w:lang w:val="pt-BR"/>
        </w:rPr>
        <w:t xml:space="preserve"> em </w:t>
      </w:r>
      <w:r w:rsidR="002F578C" w:rsidRPr="00D5464D">
        <w:rPr>
          <w:lang w:val="pt-BR"/>
        </w:rPr>
        <w:t>branco</w:t>
      </w:r>
      <w:r w:rsidR="00433E03" w:rsidRPr="00D5464D">
        <w:rPr>
          <w:lang w:val="pt-BR"/>
        </w:rPr>
        <w:t>,</w:t>
      </w:r>
      <w:r w:rsidR="002F578C" w:rsidRPr="00D5464D">
        <w:rPr>
          <w:lang w:val="pt-BR"/>
        </w:rPr>
        <w:t xml:space="preserve"> </w:t>
      </w:r>
      <w:r w:rsidR="002C330E" w:rsidRPr="00D5464D">
        <w:rPr>
          <w:lang w:val="pt-BR"/>
        </w:rPr>
        <w:t>sendo</w:t>
      </w:r>
      <w:r w:rsidR="00207197" w:rsidRPr="00D5464D">
        <w:rPr>
          <w:lang w:val="pt-BR"/>
        </w:rPr>
        <w:t xml:space="preserve"> que</w:t>
      </w:r>
      <w:r w:rsidR="002C330E" w:rsidRPr="00D5464D">
        <w:rPr>
          <w:lang w:val="pt-BR"/>
        </w:rPr>
        <w:t xml:space="preserve"> a maioria</w:t>
      </w:r>
      <w:r w:rsidRPr="00D5464D">
        <w:rPr>
          <w:lang w:val="pt-BR"/>
        </w:rPr>
        <w:t xml:space="preserve"> deles </w:t>
      </w:r>
      <w:r w:rsidR="00433E03" w:rsidRPr="00D5464D">
        <w:rPr>
          <w:lang w:val="pt-BR"/>
        </w:rPr>
        <w:t>era</w:t>
      </w:r>
      <w:r w:rsidR="00470ADC" w:rsidRPr="00D5464D">
        <w:rPr>
          <w:lang w:val="pt-BR"/>
        </w:rPr>
        <w:t xml:space="preserve"> </w:t>
      </w:r>
      <w:r w:rsidR="00207197" w:rsidRPr="00D5464D">
        <w:rPr>
          <w:lang w:val="pt-BR"/>
        </w:rPr>
        <w:t>analfabetos; v)</w:t>
      </w:r>
      <w:r w:rsidR="002C330E" w:rsidRPr="00D5464D">
        <w:rPr>
          <w:lang w:val="pt-BR"/>
        </w:rPr>
        <w:t xml:space="preserve"> as </w:t>
      </w:r>
      <w:r w:rsidR="00470ADC" w:rsidRPr="00D5464D">
        <w:rPr>
          <w:lang w:val="pt-BR"/>
        </w:rPr>
        <w:t>dívida</w:t>
      </w:r>
      <w:r w:rsidR="00207197" w:rsidRPr="00D5464D">
        <w:rPr>
          <w:lang w:val="pt-BR"/>
        </w:rPr>
        <w:t xml:space="preserve">s </w:t>
      </w:r>
      <w:r w:rsidR="00433E03" w:rsidRPr="00D5464D">
        <w:rPr>
          <w:lang w:val="pt-BR"/>
        </w:rPr>
        <w:t xml:space="preserve">contraídas pelos </w:t>
      </w:r>
      <w:r w:rsidR="00E045D9" w:rsidRPr="00D5464D">
        <w:rPr>
          <w:lang w:val="pt-BR"/>
        </w:rPr>
        <w:t>trabalhadores</w:t>
      </w:r>
      <w:r w:rsidR="00470ADC" w:rsidRPr="00D5464D">
        <w:rPr>
          <w:lang w:val="pt-BR"/>
        </w:rPr>
        <w:t xml:space="preserve"> com</w:t>
      </w:r>
      <w:r w:rsidR="002C330E" w:rsidRPr="00D5464D">
        <w:rPr>
          <w:lang w:val="pt-BR"/>
        </w:rPr>
        <w:t xml:space="preserve"> os </w:t>
      </w:r>
      <w:r w:rsidR="00996473" w:rsidRPr="00D5464D">
        <w:rPr>
          <w:lang w:val="pt-BR"/>
        </w:rPr>
        <w:t>gatos</w:t>
      </w:r>
      <w:r w:rsidR="002C330E" w:rsidRPr="00D5464D">
        <w:rPr>
          <w:lang w:val="pt-BR"/>
        </w:rPr>
        <w:t xml:space="preserve"> pelo </w:t>
      </w:r>
      <w:r w:rsidR="00207197" w:rsidRPr="00D5464D">
        <w:rPr>
          <w:lang w:val="pt-BR"/>
        </w:rPr>
        <w:t>transporte</w:t>
      </w:r>
      <w:r w:rsidR="00E045D9" w:rsidRPr="00D5464D">
        <w:rPr>
          <w:lang w:val="pt-BR"/>
        </w:rPr>
        <w:t xml:space="preserve"> e </w:t>
      </w:r>
      <w:r w:rsidR="00207197" w:rsidRPr="00D5464D">
        <w:rPr>
          <w:lang w:val="pt-BR"/>
        </w:rPr>
        <w:t xml:space="preserve">por </w:t>
      </w:r>
      <w:r w:rsidR="00433E03" w:rsidRPr="00D5464D">
        <w:rPr>
          <w:lang w:val="pt-BR"/>
        </w:rPr>
        <w:t>adiantamentos</w:t>
      </w:r>
      <w:r w:rsidR="00207197" w:rsidRPr="00D5464D">
        <w:rPr>
          <w:lang w:val="pt-BR"/>
        </w:rPr>
        <w:t>; vi)</w:t>
      </w:r>
      <w:r w:rsidR="002C330E" w:rsidRPr="00D5464D">
        <w:rPr>
          <w:lang w:val="pt-BR"/>
        </w:rPr>
        <w:t xml:space="preserve"> os </w:t>
      </w:r>
      <w:r w:rsidR="00E045D9" w:rsidRPr="00D5464D">
        <w:rPr>
          <w:lang w:val="pt-BR"/>
        </w:rPr>
        <w:t>trabalhadores</w:t>
      </w:r>
      <w:r w:rsidR="00207197" w:rsidRPr="00D5464D">
        <w:rPr>
          <w:lang w:val="pt-BR"/>
        </w:rPr>
        <w:t xml:space="preserve"> </w:t>
      </w:r>
      <w:r w:rsidR="00C91CB1" w:rsidRPr="00D5464D">
        <w:rPr>
          <w:lang w:val="pt-BR"/>
        </w:rPr>
        <w:t>deveriam</w:t>
      </w:r>
      <w:r w:rsidR="00207197" w:rsidRPr="00D5464D">
        <w:rPr>
          <w:lang w:val="pt-BR"/>
        </w:rPr>
        <w:t xml:space="preserve"> pagar</w:t>
      </w:r>
      <w:r w:rsidR="00C40AEE" w:rsidRPr="00D5464D">
        <w:rPr>
          <w:lang w:val="pt-BR"/>
        </w:rPr>
        <w:t>, à Fazenda e a preços elevados,</w:t>
      </w:r>
      <w:r w:rsidR="00207197" w:rsidRPr="00D5464D">
        <w:rPr>
          <w:lang w:val="pt-BR"/>
        </w:rPr>
        <w:t xml:space="preserve"> por su</w:t>
      </w:r>
      <w:r w:rsidR="00433E03" w:rsidRPr="00D5464D">
        <w:rPr>
          <w:lang w:val="pt-BR"/>
        </w:rPr>
        <w:t>a</w:t>
      </w:r>
      <w:r w:rsidR="00207197" w:rsidRPr="00D5464D">
        <w:rPr>
          <w:lang w:val="pt-BR"/>
        </w:rPr>
        <w:t>s</w:t>
      </w:r>
      <w:r w:rsidR="00433E03" w:rsidRPr="00D5464D">
        <w:rPr>
          <w:lang w:val="pt-BR"/>
        </w:rPr>
        <w:t xml:space="preserve"> ferramenta</w:t>
      </w:r>
      <w:r w:rsidR="00207197" w:rsidRPr="00D5464D">
        <w:rPr>
          <w:lang w:val="pt-BR"/>
        </w:rPr>
        <w:t xml:space="preserve">s de </w:t>
      </w:r>
      <w:r w:rsidR="00E045D9" w:rsidRPr="00D5464D">
        <w:rPr>
          <w:lang w:val="pt-BR"/>
        </w:rPr>
        <w:t>trabalho</w:t>
      </w:r>
      <w:r w:rsidR="00207197" w:rsidRPr="00D5464D">
        <w:rPr>
          <w:lang w:val="pt-BR"/>
        </w:rPr>
        <w:t xml:space="preserve">, </w:t>
      </w:r>
      <w:r w:rsidR="00470ADC" w:rsidRPr="00D5464D">
        <w:rPr>
          <w:lang w:val="pt-BR"/>
        </w:rPr>
        <w:t>artigo</w:t>
      </w:r>
      <w:r w:rsidR="00207197" w:rsidRPr="00D5464D">
        <w:rPr>
          <w:lang w:val="pt-BR"/>
        </w:rPr>
        <w:t>s de higiene</w:t>
      </w:r>
      <w:r w:rsidR="00E045D9" w:rsidRPr="00D5464D">
        <w:rPr>
          <w:lang w:val="pt-BR"/>
        </w:rPr>
        <w:t xml:space="preserve"> e </w:t>
      </w:r>
      <w:r w:rsidR="00207197" w:rsidRPr="00D5464D">
        <w:rPr>
          <w:lang w:val="pt-BR"/>
        </w:rPr>
        <w:t>comida; vii)</w:t>
      </w:r>
      <w:r w:rsidR="002C330E" w:rsidRPr="00D5464D">
        <w:rPr>
          <w:lang w:val="pt-BR"/>
        </w:rPr>
        <w:t xml:space="preserve"> os </w:t>
      </w:r>
      <w:r w:rsidR="00E045D9" w:rsidRPr="00D5464D">
        <w:rPr>
          <w:lang w:val="pt-BR"/>
        </w:rPr>
        <w:t>trabalhadores</w:t>
      </w:r>
      <w:r w:rsidR="00207197" w:rsidRPr="00D5464D">
        <w:rPr>
          <w:lang w:val="pt-BR"/>
        </w:rPr>
        <w:t xml:space="preserve"> n</w:t>
      </w:r>
      <w:r w:rsidR="00433E03" w:rsidRPr="00D5464D">
        <w:rPr>
          <w:lang w:val="pt-BR"/>
        </w:rPr>
        <w:t>ã</w:t>
      </w:r>
      <w:r w:rsidR="00207197" w:rsidRPr="00D5464D">
        <w:rPr>
          <w:lang w:val="pt-BR"/>
        </w:rPr>
        <w:t xml:space="preserve">o </w:t>
      </w:r>
      <w:r w:rsidR="00A1358C" w:rsidRPr="00D5464D">
        <w:rPr>
          <w:lang w:val="pt-BR"/>
        </w:rPr>
        <w:t>podiam</w:t>
      </w:r>
      <w:r w:rsidR="00207197" w:rsidRPr="00D5464D">
        <w:rPr>
          <w:lang w:val="pt-BR"/>
        </w:rPr>
        <w:t xml:space="preserve"> </w:t>
      </w:r>
      <w:r w:rsidR="00470ADC" w:rsidRPr="00D5464D">
        <w:rPr>
          <w:lang w:val="pt-BR"/>
        </w:rPr>
        <w:t>deixar</w:t>
      </w:r>
      <w:r w:rsidR="002C330E" w:rsidRPr="00D5464D">
        <w:rPr>
          <w:lang w:val="pt-BR"/>
        </w:rPr>
        <w:t xml:space="preserve"> a </w:t>
      </w:r>
      <w:r w:rsidR="00D809F0" w:rsidRPr="00D5464D">
        <w:rPr>
          <w:lang w:val="pt-BR"/>
        </w:rPr>
        <w:t>fazenda</w:t>
      </w:r>
      <w:r w:rsidR="002C330E" w:rsidRPr="00D5464D">
        <w:rPr>
          <w:lang w:val="pt-BR"/>
        </w:rPr>
        <w:t xml:space="preserve"> se </w:t>
      </w:r>
      <w:r w:rsidR="00433E03" w:rsidRPr="00D5464D">
        <w:rPr>
          <w:lang w:val="pt-BR"/>
        </w:rPr>
        <w:t>mantivessem</w:t>
      </w:r>
      <w:r w:rsidR="00207197" w:rsidRPr="00D5464D">
        <w:rPr>
          <w:lang w:val="pt-BR"/>
        </w:rPr>
        <w:t xml:space="preserve"> </w:t>
      </w:r>
      <w:r w:rsidR="00470ADC" w:rsidRPr="00D5464D">
        <w:rPr>
          <w:lang w:val="pt-BR"/>
        </w:rPr>
        <w:t>dívida</w:t>
      </w:r>
      <w:r w:rsidR="00207197" w:rsidRPr="00D5464D">
        <w:rPr>
          <w:lang w:val="pt-BR"/>
        </w:rPr>
        <w:t>s; viii)</w:t>
      </w:r>
      <w:r w:rsidR="002C330E" w:rsidRPr="00D5464D">
        <w:rPr>
          <w:lang w:val="pt-BR"/>
        </w:rPr>
        <w:t xml:space="preserve"> a </w:t>
      </w:r>
      <w:r w:rsidR="00207197" w:rsidRPr="00D5464D">
        <w:rPr>
          <w:lang w:val="pt-BR"/>
        </w:rPr>
        <w:t>jornad</w:t>
      </w:r>
      <w:r w:rsidR="00433E03" w:rsidRPr="00D5464D">
        <w:rPr>
          <w:lang w:val="pt-BR"/>
        </w:rPr>
        <w:t>a laboral se es</w:t>
      </w:r>
      <w:r w:rsidR="00207197" w:rsidRPr="00D5464D">
        <w:rPr>
          <w:lang w:val="pt-BR"/>
        </w:rPr>
        <w:t>ten</w:t>
      </w:r>
      <w:r w:rsidR="00470ADC" w:rsidRPr="00D5464D">
        <w:rPr>
          <w:lang w:val="pt-BR"/>
        </w:rPr>
        <w:t>dia</w:t>
      </w:r>
      <w:r w:rsidR="00207197" w:rsidRPr="00D5464D">
        <w:rPr>
          <w:lang w:val="pt-BR"/>
        </w:rPr>
        <w:t xml:space="preserve"> </w:t>
      </w:r>
      <w:r w:rsidR="00433E03" w:rsidRPr="00D5464D">
        <w:rPr>
          <w:lang w:val="pt-BR"/>
        </w:rPr>
        <w:t xml:space="preserve">por </w:t>
      </w:r>
      <w:r w:rsidR="002C330E" w:rsidRPr="00D5464D">
        <w:rPr>
          <w:lang w:val="pt-BR"/>
        </w:rPr>
        <w:t xml:space="preserve">mais </w:t>
      </w:r>
      <w:r w:rsidR="00433E03" w:rsidRPr="00D5464D">
        <w:rPr>
          <w:lang w:val="pt-BR"/>
        </w:rPr>
        <w:t>de 12 horas diá</w:t>
      </w:r>
      <w:r w:rsidR="00207197" w:rsidRPr="00D5464D">
        <w:rPr>
          <w:lang w:val="pt-BR"/>
        </w:rPr>
        <w:t>rias; ix)</w:t>
      </w:r>
      <w:r w:rsidR="002C330E" w:rsidRPr="00D5464D">
        <w:rPr>
          <w:lang w:val="pt-BR"/>
        </w:rPr>
        <w:t xml:space="preserve"> as </w:t>
      </w:r>
      <w:r w:rsidR="00207197" w:rsidRPr="00D5464D">
        <w:rPr>
          <w:lang w:val="pt-BR"/>
        </w:rPr>
        <w:t>condi</w:t>
      </w:r>
      <w:r w:rsidR="00470ADC" w:rsidRPr="00D5464D">
        <w:rPr>
          <w:lang w:val="pt-BR"/>
        </w:rPr>
        <w:t>ções</w:t>
      </w:r>
      <w:r w:rsidR="00207197" w:rsidRPr="00D5464D">
        <w:rPr>
          <w:lang w:val="pt-BR"/>
        </w:rPr>
        <w:t xml:space="preserve"> </w:t>
      </w:r>
      <w:r w:rsidR="00433E03" w:rsidRPr="00D5464D">
        <w:rPr>
          <w:lang w:val="pt-BR"/>
        </w:rPr>
        <w:t xml:space="preserve">de trabalho </w:t>
      </w:r>
      <w:r w:rsidR="00470ADC" w:rsidRPr="00D5464D">
        <w:rPr>
          <w:lang w:val="pt-BR"/>
        </w:rPr>
        <w:t xml:space="preserve">eram </w:t>
      </w:r>
      <w:r w:rsidR="00207197" w:rsidRPr="00D5464D">
        <w:rPr>
          <w:lang w:val="pt-BR"/>
        </w:rPr>
        <w:t>indignas,</w:t>
      </w:r>
      <w:r w:rsidR="00470ADC" w:rsidRPr="00D5464D">
        <w:rPr>
          <w:lang w:val="pt-BR"/>
        </w:rPr>
        <w:t xml:space="preserve"> com </w:t>
      </w:r>
      <w:r w:rsidR="00207197" w:rsidRPr="00D5464D">
        <w:rPr>
          <w:lang w:val="pt-BR"/>
        </w:rPr>
        <w:t>alimenta</w:t>
      </w:r>
      <w:r w:rsidR="00470ADC" w:rsidRPr="00D5464D">
        <w:rPr>
          <w:lang w:val="pt-BR"/>
        </w:rPr>
        <w:t>ção</w:t>
      </w:r>
      <w:r w:rsidR="00207197" w:rsidRPr="00D5464D">
        <w:rPr>
          <w:lang w:val="pt-BR"/>
        </w:rPr>
        <w:t xml:space="preserve"> insalubre e insuficiente</w:t>
      </w:r>
      <w:r w:rsidR="00E045D9" w:rsidRPr="00D5464D">
        <w:rPr>
          <w:lang w:val="pt-BR"/>
        </w:rPr>
        <w:t xml:space="preserve"> e </w:t>
      </w:r>
      <w:r w:rsidR="002C330E" w:rsidRPr="00D5464D">
        <w:rPr>
          <w:lang w:val="pt-BR"/>
        </w:rPr>
        <w:t xml:space="preserve">sem </w:t>
      </w:r>
      <w:r w:rsidR="00470ADC" w:rsidRPr="00D5464D">
        <w:rPr>
          <w:lang w:val="pt-BR"/>
        </w:rPr>
        <w:t>atenção</w:t>
      </w:r>
      <w:r w:rsidR="00207197" w:rsidRPr="00D5464D">
        <w:rPr>
          <w:lang w:val="pt-BR"/>
        </w:rPr>
        <w:t xml:space="preserve"> de </w:t>
      </w:r>
      <w:r w:rsidR="002C330E" w:rsidRPr="00D5464D">
        <w:rPr>
          <w:lang w:val="pt-BR"/>
        </w:rPr>
        <w:t>saúde</w:t>
      </w:r>
      <w:r w:rsidR="00207197" w:rsidRPr="00D5464D">
        <w:rPr>
          <w:lang w:val="pt-BR"/>
        </w:rPr>
        <w:t>; x)</w:t>
      </w:r>
      <w:r w:rsidR="002C330E" w:rsidRPr="00D5464D">
        <w:rPr>
          <w:lang w:val="pt-BR"/>
        </w:rPr>
        <w:t xml:space="preserve"> a </w:t>
      </w:r>
      <w:r w:rsidR="00E045D9" w:rsidRPr="00D5464D">
        <w:rPr>
          <w:lang w:val="pt-BR"/>
        </w:rPr>
        <w:t>vigilância</w:t>
      </w:r>
      <w:r w:rsidR="00207197" w:rsidRPr="00D5464D">
        <w:rPr>
          <w:lang w:val="pt-BR"/>
        </w:rPr>
        <w:t xml:space="preserve"> armada por parte</w:t>
      </w:r>
      <w:r w:rsidR="00470ADC" w:rsidRPr="00D5464D">
        <w:rPr>
          <w:lang w:val="pt-BR"/>
        </w:rPr>
        <w:t xml:space="preserve"> da </w:t>
      </w:r>
      <w:r w:rsidR="00D809F0" w:rsidRPr="00D5464D">
        <w:rPr>
          <w:lang w:val="pt-BR"/>
        </w:rPr>
        <w:t>fazenda</w:t>
      </w:r>
      <w:r w:rsidR="00207197" w:rsidRPr="00D5464D">
        <w:rPr>
          <w:lang w:val="pt-BR"/>
        </w:rPr>
        <w:t xml:space="preserve"> que impe</w:t>
      </w:r>
      <w:r w:rsidR="00470ADC" w:rsidRPr="00D5464D">
        <w:rPr>
          <w:lang w:val="pt-BR"/>
        </w:rPr>
        <w:t>dia</w:t>
      </w:r>
      <w:r w:rsidR="00207197" w:rsidRPr="00D5464D">
        <w:rPr>
          <w:lang w:val="pt-BR"/>
        </w:rPr>
        <w:t xml:space="preserve"> </w:t>
      </w:r>
      <w:r w:rsidR="00433E03" w:rsidRPr="00D5464D">
        <w:rPr>
          <w:lang w:val="pt-BR"/>
        </w:rPr>
        <w:t>a saída d</w:t>
      </w:r>
      <w:r w:rsidR="00E045D9" w:rsidRPr="00D5464D">
        <w:rPr>
          <w:lang w:val="pt-BR"/>
        </w:rPr>
        <w:t>os trabalhadores</w:t>
      </w:r>
      <w:r w:rsidR="00207197" w:rsidRPr="00D5464D">
        <w:rPr>
          <w:lang w:val="pt-BR"/>
        </w:rPr>
        <w:t xml:space="preserve">; xi) </w:t>
      </w:r>
      <w:r w:rsidR="00470ADC" w:rsidRPr="00D5464D">
        <w:rPr>
          <w:lang w:val="pt-BR"/>
        </w:rPr>
        <w:t>ameaça</w:t>
      </w:r>
      <w:r w:rsidR="00207197" w:rsidRPr="00D5464D">
        <w:rPr>
          <w:lang w:val="pt-BR"/>
        </w:rPr>
        <w:t>s</w:t>
      </w:r>
      <w:r w:rsidR="00E045D9" w:rsidRPr="00D5464D">
        <w:rPr>
          <w:lang w:val="pt-BR"/>
        </w:rPr>
        <w:t xml:space="preserve"> e </w:t>
      </w:r>
      <w:r w:rsidR="00433E03" w:rsidRPr="00D5464D">
        <w:rPr>
          <w:lang w:val="pt-BR"/>
        </w:rPr>
        <w:t xml:space="preserve">agressões </w:t>
      </w:r>
      <w:r w:rsidR="00207197" w:rsidRPr="00D5464D">
        <w:rPr>
          <w:lang w:val="pt-BR"/>
        </w:rPr>
        <w:t xml:space="preserve">caso </w:t>
      </w:r>
      <w:r w:rsidR="00433E03" w:rsidRPr="00D5464D">
        <w:rPr>
          <w:lang w:val="pt-BR"/>
        </w:rPr>
        <w:t>manifestassem</w:t>
      </w:r>
      <w:r w:rsidR="00470ADC" w:rsidRPr="00D5464D">
        <w:rPr>
          <w:lang w:val="pt-BR"/>
        </w:rPr>
        <w:t xml:space="preserve"> o</w:t>
      </w:r>
      <w:r w:rsidRPr="00D5464D">
        <w:rPr>
          <w:lang w:val="pt-BR"/>
        </w:rPr>
        <w:t xml:space="preserve"> desejo </w:t>
      </w:r>
      <w:r w:rsidR="00207197" w:rsidRPr="00D5464D">
        <w:rPr>
          <w:lang w:val="pt-BR"/>
        </w:rPr>
        <w:t xml:space="preserve">de </w:t>
      </w:r>
      <w:r w:rsidR="002C330E" w:rsidRPr="00D5464D">
        <w:rPr>
          <w:lang w:val="pt-BR"/>
        </w:rPr>
        <w:t>sair</w:t>
      </w:r>
      <w:r w:rsidR="00470ADC" w:rsidRPr="00D5464D">
        <w:rPr>
          <w:lang w:val="pt-BR"/>
        </w:rPr>
        <w:t xml:space="preserve"> da </w:t>
      </w:r>
      <w:r w:rsidR="00D809F0" w:rsidRPr="00D5464D">
        <w:rPr>
          <w:lang w:val="pt-BR"/>
        </w:rPr>
        <w:t>fazenda</w:t>
      </w:r>
      <w:r w:rsidR="00470ADC" w:rsidRPr="00D5464D">
        <w:rPr>
          <w:lang w:val="pt-BR"/>
        </w:rPr>
        <w:t xml:space="preserve"> e</w:t>
      </w:r>
      <w:r w:rsidR="00207197" w:rsidRPr="00D5464D">
        <w:rPr>
          <w:lang w:val="pt-BR"/>
        </w:rPr>
        <w:t xml:space="preserve"> xii) </w:t>
      </w:r>
      <w:r w:rsidR="002C330E" w:rsidRPr="00D5464D">
        <w:rPr>
          <w:lang w:val="pt-BR"/>
        </w:rPr>
        <w:t>obrigação</w:t>
      </w:r>
      <w:r w:rsidR="00470ADC" w:rsidRPr="00D5464D">
        <w:rPr>
          <w:lang w:val="pt-BR"/>
        </w:rPr>
        <w:t xml:space="preserve"> dos </w:t>
      </w:r>
      <w:r w:rsidR="00E045D9" w:rsidRPr="00D5464D">
        <w:rPr>
          <w:lang w:val="pt-BR"/>
        </w:rPr>
        <w:t>trabalhadores</w:t>
      </w:r>
      <w:r w:rsidR="00207197" w:rsidRPr="00D5464D">
        <w:rPr>
          <w:lang w:val="pt-BR"/>
        </w:rPr>
        <w:t xml:space="preserve"> de </w:t>
      </w:r>
      <w:r w:rsidR="00E045D9" w:rsidRPr="00D5464D">
        <w:rPr>
          <w:lang w:val="pt-BR"/>
        </w:rPr>
        <w:t>viver</w:t>
      </w:r>
      <w:r w:rsidR="00433E03" w:rsidRPr="00D5464D">
        <w:rPr>
          <w:lang w:val="pt-BR"/>
        </w:rPr>
        <w:t>em</w:t>
      </w:r>
      <w:r w:rsidR="00E045D9" w:rsidRPr="00D5464D">
        <w:rPr>
          <w:lang w:val="pt-BR"/>
        </w:rPr>
        <w:t xml:space="preserve"> na </w:t>
      </w:r>
      <w:r w:rsidR="00D809F0" w:rsidRPr="00D5464D">
        <w:rPr>
          <w:lang w:val="pt-BR"/>
        </w:rPr>
        <w:t>fazenda</w:t>
      </w:r>
      <w:r w:rsidR="00207197" w:rsidRPr="00D5464D">
        <w:rPr>
          <w:lang w:val="pt-BR"/>
        </w:rPr>
        <w:t>.</w:t>
      </w:r>
    </w:p>
    <w:p w14:paraId="08C7E3FB" w14:textId="77777777" w:rsidR="00207197" w:rsidRPr="00D5464D" w:rsidRDefault="00207197" w:rsidP="00140440">
      <w:pPr>
        <w:jc w:val="both"/>
        <w:rPr>
          <w:lang w:val="pt-BR"/>
        </w:rPr>
      </w:pPr>
    </w:p>
    <w:p w14:paraId="7781D96A" w14:textId="602DA391" w:rsidR="00207197" w:rsidRPr="00D5464D" w:rsidRDefault="00433E03" w:rsidP="00F37DC4">
      <w:pPr>
        <w:pStyle w:val="Prrafodelista"/>
        <w:numPr>
          <w:ilvl w:val="0"/>
          <w:numId w:val="1"/>
        </w:numPr>
        <w:contextualSpacing w:val="0"/>
        <w:rPr>
          <w:lang w:val="pt-BR"/>
        </w:rPr>
      </w:pPr>
      <w:r w:rsidRPr="00D5464D">
        <w:rPr>
          <w:lang w:val="pt-BR"/>
        </w:rPr>
        <w:t>Além</w:t>
      </w:r>
      <w:r w:rsidR="00470ADC" w:rsidRPr="00D5464D">
        <w:rPr>
          <w:lang w:val="pt-BR"/>
        </w:rPr>
        <w:t xml:space="preserve"> do </w:t>
      </w:r>
      <w:r w:rsidR="00207197" w:rsidRPr="00D5464D">
        <w:rPr>
          <w:lang w:val="pt-BR"/>
        </w:rPr>
        <w:t xml:space="preserve">anterior, </w:t>
      </w:r>
      <w:r w:rsidR="00470ADC" w:rsidRPr="00D5464D">
        <w:rPr>
          <w:lang w:val="pt-BR"/>
        </w:rPr>
        <w:t>consideraram</w:t>
      </w:r>
      <w:r w:rsidR="00207197" w:rsidRPr="00D5464D">
        <w:rPr>
          <w:lang w:val="pt-BR"/>
        </w:rPr>
        <w:t xml:space="preserve"> que</w:t>
      </w:r>
      <w:r w:rsidR="00815EE5" w:rsidRPr="00D5464D">
        <w:rPr>
          <w:lang w:val="pt-BR"/>
        </w:rPr>
        <w:t>,</w:t>
      </w:r>
      <w:r w:rsidR="00207197" w:rsidRPr="00D5464D">
        <w:rPr>
          <w:lang w:val="pt-BR"/>
        </w:rPr>
        <w:t xml:space="preserve"> </w:t>
      </w:r>
      <w:r w:rsidRPr="00D5464D">
        <w:rPr>
          <w:lang w:val="pt-BR"/>
        </w:rPr>
        <w:t>através d</w:t>
      </w:r>
      <w:r w:rsidR="002C330E" w:rsidRPr="00D5464D">
        <w:rPr>
          <w:lang w:val="pt-BR"/>
        </w:rPr>
        <w:t xml:space="preserve">as </w:t>
      </w:r>
      <w:r w:rsidR="00470ADC" w:rsidRPr="00D5464D">
        <w:rPr>
          <w:lang w:val="pt-BR"/>
        </w:rPr>
        <w:t>dívida</w:t>
      </w:r>
      <w:r w:rsidR="00207197" w:rsidRPr="00D5464D">
        <w:rPr>
          <w:lang w:val="pt-BR"/>
        </w:rPr>
        <w:t>s fraudulentamente im</w:t>
      </w:r>
      <w:r w:rsidR="002C330E" w:rsidRPr="00D5464D">
        <w:rPr>
          <w:lang w:val="pt-BR"/>
        </w:rPr>
        <w:t>posta</w:t>
      </w:r>
      <w:r w:rsidR="00207197" w:rsidRPr="00D5464D">
        <w:rPr>
          <w:lang w:val="pt-BR"/>
        </w:rPr>
        <w:t>s</w:t>
      </w:r>
      <w:r w:rsidRPr="00D5464D">
        <w:rPr>
          <w:lang w:val="pt-BR"/>
        </w:rPr>
        <w:t xml:space="preserve"> e d</w:t>
      </w:r>
      <w:r w:rsidR="002C330E" w:rsidRPr="00D5464D">
        <w:rPr>
          <w:lang w:val="pt-BR"/>
        </w:rPr>
        <w:t xml:space="preserve">a </w:t>
      </w:r>
      <w:r w:rsidR="00E045D9" w:rsidRPr="00D5464D">
        <w:rPr>
          <w:lang w:val="pt-BR"/>
        </w:rPr>
        <w:t>vigilância</w:t>
      </w:r>
      <w:r w:rsidR="00207197" w:rsidRPr="00D5464D">
        <w:rPr>
          <w:lang w:val="pt-BR"/>
        </w:rPr>
        <w:t xml:space="preserve"> armada,</w:t>
      </w:r>
      <w:r w:rsidR="002C330E" w:rsidRPr="00D5464D">
        <w:rPr>
          <w:lang w:val="pt-BR"/>
        </w:rPr>
        <w:t xml:space="preserve"> os </w:t>
      </w:r>
      <w:r w:rsidR="00E045D9" w:rsidRPr="00D5464D">
        <w:rPr>
          <w:lang w:val="pt-BR"/>
        </w:rPr>
        <w:t>trabalhadores</w:t>
      </w:r>
      <w:r w:rsidR="00207197" w:rsidRPr="00D5464D">
        <w:rPr>
          <w:lang w:val="pt-BR"/>
        </w:rPr>
        <w:t xml:space="preserve"> </w:t>
      </w:r>
      <w:r w:rsidR="00470ADC" w:rsidRPr="00D5464D">
        <w:rPr>
          <w:lang w:val="pt-BR"/>
        </w:rPr>
        <w:t>foram</w:t>
      </w:r>
      <w:r w:rsidR="00207197" w:rsidRPr="00D5464D">
        <w:rPr>
          <w:lang w:val="pt-BR"/>
        </w:rPr>
        <w:t xml:space="preserve"> privados de </w:t>
      </w:r>
      <w:r w:rsidR="00E045D9" w:rsidRPr="00D5464D">
        <w:rPr>
          <w:lang w:val="pt-BR"/>
        </w:rPr>
        <w:t>sua liberdade</w:t>
      </w:r>
      <w:r w:rsidR="00C91CB1" w:rsidRPr="00D5464D">
        <w:rPr>
          <w:lang w:val="pt-BR"/>
        </w:rPr>
        <w:t xml:space="preserve">. As </w:t>
      </w:r>
      <w:r w:rsidR="00470ADC" w:rsidRPr="00D5464D">
        <w:rPr>
          <w:lang w:val="pt-BR"/>
        </w:rPr>
        <w:t>ameaça</w:t>
      </w:r>
      <w:r w:rsidR="00207197" w:rsidRPr="00D5464D">
        <w:rPr>
          <w:lang w:val="pt-BR"/>
        </w:rPr>
        <w:t>s</w:t>
      </w:r>
      <w:r w:rsidR="00E045D9" w:rsidRPr="00D5464D">
        <w:rPr>
          <w:lang w:val="pt-BR"/>
        </w:rPr>
        <w:t xml:space="preserve"> e </w:t>
      </w:r>
      <w:r w:rsidRPr="00D5464D">
        <w:rPr>
          <w:lang w:val="pt-BR"/>
        </w:rPr>
        <w:t xml:space="preserve">agressões </w:t>
      </w:r>
      <w:r w:rsidR="00E765C2" w:rsidRPr="00D5464D">
        <w:rPr>
          <w:lang w:val="pt-BR"/>
        </w:rPr>
        <w:t>constituíam</w:t>
      </w:r>
      <w:r w:rsidR="00207197" w:rsidRPr="00D5464D">
        <w:rPr>
          <w:lang w:val="pt-BR"/>
        </w:rPr>
        <w:t xml:space="preserve"> </w:t>
      </w:r>
      <w:r w:rsidR="002C330E" w:rsidRPr="00D5464D">
        <w:rPr>
          <w:lang w:val="pt-BR"/>
        </w:rPr>
        <w:t>risco</w:t>
      </w:r>
      <w:r w:rsidR="00207197" w:rsidRPr="00D5464D">
        <w:rPr>
          <w:lang w:val="pt-BR"/>
        </w:rPr>
        <w:t>s</w:t>
      </w:r>
      <w:r w:rsidR="00470ADC" w:rsidRPr="00D5464D">
        <w:rPr>
          <w:lang w:val="pt-BR"/>
        </w:rPr>
        <w:t xml:space="preserve"> à </w:t>
      </w:r>
      <w:r w:rsidR="00207197" w:rsidRPr="00D5464D">
        <w:rPr>
          <w:lang w:val="pt-BR"/>
        </w:rPr>
        <w:t xml:space="preserve">vida e </w:t>
      </w:r>
      <w:r w:rsidRPr="00D5464D">
        <w:rPr>
          <w:lang w:val="pt-BR"/>
        </w:rPr>
        <w:t xml:space="preserve">à </w:t>
      </w:r>
      <w:r w:rsidR="002C330E" w:rsidRPr="00D5464D">
        <w:rPr>
          <w:lang w:val="pt-BR"/>
        </w:rPr>
        <w:t xml:space="preserve">integridade </w:t>
      </w:r>
      <w:r w:rsidR="00207197" w:rsidRPr="00D5464D">
        <w:rPr>
          <w:lang w:val="pt-BR"/>
        </w:rPr>
        <w:t>física</w:t>
      </w:r>
      <w:r w:rsidR="00470ADC" w:rsidRPr="00D5464D">
        <w:rPr>
          <w:lang w:val="pt-BR"/>
        </w:rPr>
        <w:t xml:space="preserve"> dos </w:t>
      </w:r>
      <w:r w:rsidR="00E045D9" w:rsidRPr="00D5464D">
        <w:rPr>
          <w:lang w:val="pt-BR"/>
        </w:rPr>
        <w:t>trabalhadores</w:t>
      </w:r>
      <w:r w:rsidR="00207197" w:rsidRPr="00D5464D">
        <w:rPr>
          <w:lang w:val="pt-BR"/>
        </w:rPr>
        <w:t>. Por</w:t>
      </w:r>
      <w:r w:rsidR="002C330E" w:rsidRPr="00D5464D">
        <w:rPr>
          <w:lang w:val="pt-BR"/>
        </w:rPr>
        <w:t xml:space="preserve"> outra </w:t>
      </w:r>
      <w:r w:rsidR="00207197" w:rsidRPr="00D5464D">
        <w:rPr>
          <w:lang w:val="pt-BR"/>
        </w:rPr>
        <w:t>parte</w:t>
      </w:r>
      <w:r w:rsidRPr="00D5464D">
        <w:rPr>
          <w:lang w:val="pt-BR"/>
        </w:rPr>
        <w:t>,</w:t>
      </w:r>
      <w:r w:rsidR="002C330E" w:rsidRPr="00D5464D">
        <w:rPr>
          <w:lang w:val="pt-BR"/>
        </w:rPr>
        <w:t xml:space="preserve"> as </w:t>
      </w:r>
      <w:r w:rsidR="00207197" w:rsidRPr="00D5464D">
        <w:rPr>
          <w:lang w:val="pt-BR"/>
        </w:rPr>
        <w:t>pobres condi</w:t>
      </w:r>
      <w:r w:rsidR="00470ADC" w:rsidRPr="00D5464D">
        <w:rPr>
          <w:lang w:val="pt-BR"/>
        </w:rPr>
        <w:t>ções</w:t>
      </w:r>
      <w:r w:rsidR="00207197" w:rsidRPr="00D5464D">
        <w:rPr>
          <w:lang w:val="pt-BR"/>
        </w:rPr>
        <w:t xml:space="preserve"> </w:t>
      </w:r>
      <w:r w:rsidRPr="00D5464D">
        <w:rPr>
          <w:lang w:val="pt-BR"/>
        </w:rPr>
        <w:t xml:space="preserve">de trabalho </w:t>
      </w:r>
      <w:r w:rsidR="00207197" w:rsidRPr="00D5464D">
        <w:rPr>
          <w:lang w:val="pt-BR"/>
        </w:rPr>
        <w:t>atent</w:t>
      </w:r>
      <w:r w:rsidR="00EB1CE9" w:rsidRPr="00D5464D">
        <w:rPr>
          <w:lang w:val="pt-BR"/>
        </w:rPr>
        <w:t xml:space="preserve">avam </w:t>
      </w:r>
      <w:r w:rsidR="00207197" w:rsidRPr="00D5464D">
        <w:rPr>
          <w:lang w:val="pt-BR"/>
        </w:rPr>
        <w:t>contra</w:t>
      </w:r>
      <w:r w:rsidR="002C330E" w:rsidRPr="00D5464D">
        <w:rPr>
          <w:lang w:val="pt-BR"/>
        </w:rPr>
        <w:t xml:space="preserve"> a </w:t>
      </w:r>
      <w:r w:rsidR="00207197" w:rsidRPr="00D5464D">
        <w:rPr>
          <w:lang w:val="pt-BR"/>
        </w:rPr>
        <w:t>honra</w:t>
      </w:r>
      <w:r w:rsidR="00E045D9" w:rsidRPr="00D5464D">
        <w:rPr>
          <w:lang w:val="pt-BR"/>
        </w:rPr>
        <w:t xml:space="preserve"> e </w:t>
      </w:r>
      <w:r w:rsidR="002C330E" w:rsidRPr="00D5464D">
        <w:rPr>
          <w:lang w:val="pt-BR"/>
        </w:rPr>
        <w:t xml:space="preserve">a </w:t>
      </w:r>
      <w:r w:rsidR="00470ADC" w:rsidRPr="00D5464D">
        <w:rPr>
          <w:lang w:val="pt-BR"/>
        </w:rPr>
        <w:t xml:space="preserve">dignidade das </w:t>
      </w:r>
      <w:r w:rsidR="002C330E" w:rsidRPr="00D5464D">
        <w:rPr>
          <w:lang w:val="pt-BR"/>
        </w:rPr>
        <w:t>pessoa</w:t>
      </w:r>
      <w:r w:rsidR="00207197" w:rsidRPr="00D5464D">
        <w:rPr>
          <w:lang w:val="pt-BR"/>
        </w:rPr>
        <w:t>s. Finalmente</w:t>
      </w:r>
      <w:r w:rsidRPr="00D5464D">
        <w:rPr>
          <w:lang w:val="pt-BR"/>
        </w:rPr>
        <w:t>,</w:t>
      </w:r>
      <w:r w:rsidR="00207197" w:rsidRPr="00D5464D">
        <w:rPr>
          <w:lang w:val="pt-BR"/>
        </w:rPr>
        <w:t xml:space="preserve"> esta situa</w:t>
      </w:r>
      <w:r w:rsidR="00470ADC" w:rsidRPr="00D5464D">
        <w:rPr>
          <w:lang w:val="pt-BR"/>
        </w:rPr>
        <w:t>ção</w:t>
      </w:r>
      <w:r w:rsidR="00207197" w:rsidRPr="00D5464D">
        <w:rPr>
          <w:lang w:val="pt-BR"/>
        </w:rPr>
        <w:t xml:space="preserve"> </w:t>
      </w:r>
      <w:r w:rsidR="002C330E" w:rsidRPr="00D5464D">
        <w:rPr>
          <w:lang w:val="pt-BR"/>
        </w:rPr>
        <w:t>impediu</w:t>
      </w:r>
      <w:r w:rsidR="00470ADC" w:rsidRPr="00D5464D">
        <w:rPr>
          <w:lang w:val="pt-BR"/>
        </w:rPr>
        <w:t xml:space="preserve"> o</w:t>
      </w:r>
      <w:r w:rsidR="002C330E" w:rsidRPr="00D5464D">
        <w:rPr>
          <w:lang w:val="pt-BR"/>
        </w:rPr>
        <w:t xml:space="preserve"> livre </w:t>
      </w:r>
      <w:r w:rsidR="00470ADC" w:rsidRPr="00D5464D">
        <w:rPr>
          <w:lang w:val="pt-BR"/>
        </w:rPr>
        <w:t>desenvolvimento</w:t>
      </w:r>
      <w:r w:rsidR="00207197" w:rsidRPr="00D5464D">
        <w:rPr>
          <w:lang w:val="pt-BR"/>
        </w:rPr>
        <w:t xml:space="preserve"> </w:t>
      </w:r>
      <w:r w:rsidR="00470ADC" w:rsidRPr="00D5464D">
        <w:rPr>
          <w:lang w:val="pt-BR"/>
        </w:rPr>
        <w:t xml:space="preserve">do </w:t>
      </w:r>
      <w:r w:rsidR="002C330E" w:rsidRPr="00D5464D">
        <w:rPr>
          <w:lang w:val="pt-BR"/>
        </w:rPr>
        <w:t>projeto</w:t>
      </w:r>
      <w:r w:rsidR="00207197" w:rsidRPr="00D5464D">
        <w:rPr>
          <w:lang w:val="pt-BR"/>
        </w:rPr>
        <w:t xml:space="preserve"> de vida</w:t>
      </w:r>
      <w:r w:rsidR="00470ADC" w:rsidRPr="00D5464D">
        <w:rPr>
          <w:lang w:val="pt-BR"/>
        </w:rPr>
        <w:t xml:space="preserve"> dos </w:t>
      </w:r>
      <w:r w:rsidR="00E045D9" w:rsidRPr="00D5464D">
        <w:rPr>
          <w:lang w:val="pt-BR"/>
        </w:rPr>
        <w:t>trabalhadores</w:t>
      </w:r>
      <w:r w:rsidR="00470ADC" w:rsidRPr="00D5464D">
        <w:rPr>
          <w:lang w:val="pt-BR"/>
        </w:rPr>
        <w:t xml:space="preserve"> e</w:t>
      </w:r>
      <w:r w:rsidR="00CB2CC7" w:rsidRPr="00D5464D">
        <w:rPr>
          <w:lang w:val="pt-BR"/>
        </w:rPr>
        <w:t xml:space="preserve"> </w:t>
      </w:r>
      <w:r w:rsidR="00470ADC" w:rsidRPr="00D5464D">
        <w:rPr>
          <w:lang w:val="pt-BR"/>
        </w:rPr>
        <w:t>anulou</w:t>
      </w:r>
      <w:r w:rsidR="00207197" w:rsidRPr="00D5464D">
        <w:rPr>
          <w:lang w:val="pt-BR"/>
        </w:rPr>
        <w:t xml:space="preserve"> </w:t>
      </w:r>
      <w:r w:rsidR="00E045D9" w:rsidRPr="00D5464D">
        <w:rPr>
          <w:lang w:val="pt-BR"/>
        </w:rPr>
        <w:t>seu direito</w:t>
      </w:r>
      <w:r w:rsidR="00470ADC" w:rsidRPr="00D5464D">
        <w:rPr>
          <w:lang w:val="pt-BR"/>
        </w:rPr>
        <w:t xml:space="preserve"> ao </w:t>
      </w:r>
      <w:r w:rsidR="00207197" w:rsidRPr="00D5464D">
        <w:rPr>
          <w:lang w:val="pt-BR"/>
        </w:rPr>
        <w:t>re</w:t>
      </w:r>
      <w:r w:rsidR="00470ADC" w:rsidRPr="00D5464D">
        <w:rPr>
          <w:lang w:val="pt-BR"/>
        </w:rPr>
        <w:t xml:space="preserve">conhecimento da </w:t>
      </w:r>
      <w:r w:rsidR="002C330E" w:rsidRPr="00D5464D">
        <w:rPr>
          <w:lang w:val="pt-BR"/>
        </w:rPr>
        <w:t xml:space="preserve">personalidade </w:t>
      </w:r>
      <w:r w:rsidR="00207197" w:rsidRPr="00D5464D">
        <w:rPr>
          <w:lang w:val="pt-BR"/>
        </w:rPr>
        <w:t xml:space="preserve">jurídica. Como </w:t>
      </w:r>
      <w:r w:rsidR="00470ADC" w:rsidRPr="00D5464D">
        <w:rPr>
          <w:lang w:val="pt-BR"/>
        </w:rPr>
        <w:t xml:space="preserve">consequência do </w:t>
      </w:r>
      <w:r w:rsidR="00207197" w:rsidRPr="00D5464D">
        <w:rPr>
          <w:lang w:val="pt-BR"/>
        </w:rPr>
        <w:t>anterior,</w:t>
      </w:r>
      <w:r w:rsidR="00470ADC" w:rsidRPr="00D5464D">
        <w:rPr>
          <w:lang w:val="pt-BR"/>
        </w:rPr>
        <w:t xml:space="preserve"> em </w:t>
      </w:r>
      <w:r w:rsidR="00E045D9" w:rsidRPr="00D5464D">
        <w:rPr>
          <w:lang w:val="pt-BR"/>
        </w:rPr>
        <w:t xml:space="preserve">virtude </w:t>
      </w:r>
      <w:r w:rsidR="00470ADC" w:rsidRPr="00D5464D">
        <w:rPr>
          <w:lang w:val="pt-BR"/>
        </w:rPr>
        <w:t>do caráter</w:t>
      </w:r>
      <w:r w:rsidR="00207197" w:rsidRPr="00D5464D">
        <w:rPr>
          <w:lang w:val="pt-BR"/>
        </w:rPr>
        <w:t xml:space="preserve"> </w:t>
      </w:r>
      <w:r w:rsidR="00470ADC" w:rsidRPr="00D5464D">
        <w:rPr>
          <w:lang w:val="pt-BR"/>
        </w:rPr>
        <w:t>complexo</w:t>
      </w:r>
      <w:r w:rsidR="00E045D9" w:rsidRPr="00D5464D">
        <w:rPr>
          <w:lang w:val="pt-BR"/>
        </w:rPr>
        <w:t xml:space="preserve"> e </w:t>
      </w:r>
      <w:r w:rsidR="00207197" w:rsidRPr="00D5464D">
        <w:rPr>
          <w:lang w:val="pt-BR"/>
        </w:rPr>
        <w:t>pluriofensivo</w:t>
      </w:r>
      <w:r w:rsidR="00470ADC" w:rsidRPr="00D5464D">
        <w:rPr>
          <w:lang w:val="pt-BR"/>
        </w:rPr>
        <w:t xml:space="preserve"> da </w:t>
      </w:r>
      <w:r w:rsidR="000B376D" w:rsidRPr="00D5464D">
        <w:rPr>
          <w:lang w:val="pt-BR"/>
        </w:rPr>
        <w:t>escravidão</w:t>
      </w:r>
      <w:r w:rsidR="00207197" w:rsidRPr="00D5464D">
        <w:rPr>
          <w:lang w:val="pt-BR"/>
        </w:rPr>
        <w:t>,</w:t>
      </w:r>
      <w:r w:rsidR="002C330E" w:rsidRPr="00D5464D">
        <w:rPr>
          <w:lang w:val="pt-BR"/>
        </w:rPr>
        <w:t xml:space="preserve"> </w:t>
      </w:r>
      <w:r w:rsidRPr="00D5464D">
        <w:rPr>
          <w:lang w:val="pt-BR"/>
        </w:rPr>
        <w:t>d</w:t>
      </w:r>
      <w:r w:rsidR="002C330E" w:rsidRPr="00D5464D">
        <w:rPr>
          <w:lang w:val="pt-BR"/>
        </w:rPr>
        <w:t xml:space="preserve">a </w:t>
      </w:r>
      <w:r w:rsidR="000B376D" w:rsidRPr="00D5464D">
        <w:rPr>
          <w:lang w:val="pt-BR"/>
        </w:rPr>
        <w:t>servidão</w:t>
      </w:r>
      <w:r w:rsidR="00E045D9" w:rsidRPr="00D5464D">
        <w:rPr>
          <w:lang w:val="pt-BR"/>
        </w:rPr>
        <w:t xml:space="preserve"> e </w:t>
      </w:r>
      <w:r w:rsidRPr="00D5464D">
        <w:rPr>
          <w:lang w:val="pt-BR"/>
        </w:rPr>
        <w:t>d</w:t>
      </w:r>
      <w:r w:rsidR="004F1CC2" w:rsidRPr="00D5464D">
        <w:rPr>
          <w:lang w:val="pt-BR"/>
        </w:rPr>
        <w:t>o tráfico</w:t>
      </w:r>
      <w:r w:rsidR="000B376D" w:rsidRPr="00D5464D">
        <w:rPr>
          <w:lang w:val="pt-BR"/>
        </w:rPr>
        <w:t xml:space="preserve"> de </w:t>
      </w:r>
      <w:r w:rsidR="002C330E" w:rsidRPr="00D5464D">
        <w:rPr>
          <w:lang w:val="pt-BR"/>
        </w:rPr>
        <w:t>pessoa</w:t>
      </w:r>
      <w:r w:rsidR="00207197" w:rsidRPr="00D5464D">
        <w:rPr>
          <w:lang w:val="pt-BR"/>
        </w:rPr>
        <w:t xml:space="preserve">s, </w:t>
      </w:r>
      <w:r w:rsidR="002C330E" w:rsidRPr="00D5464D">
        <w:rPr>
          <w:lang w:val="pt-BR"/>
        </w:rPr>
        <w:t>afirmaram</w:t>
      </w:r>
      <w:r w:rsidR="00207197" w:rsidRPr="00D5464D">
        <w:rPr>
          <w:lang w:val="pt-BR"/>
        </w:rPr>
        <w:t xml:space="preserve"> que </w:t>
      </w:r>
      <w:r w:rsidR="00470ADC" w:rsidRPr="00D5464D">
        <w:rPr>
          <w:lang w:val="pt-BR"/>
        </w:rPr>
        <w:t>foram</w:t>
      </w:r>
      <w:r w:rsidR="00207197" w:rsidRPr="00D5464D">
        <w:rPr>
          <w:lang w:val="pt-BR"/>
        </w:rPr>
        <w:t xml:space="preserve"> </w:t>
      </w:r>
      <w:r w:rsidR="00554530" w:rsidRPr="00D5464D">
        <w:rPr>
          <w:lang w:val="pt-BR"/>
        </w:rPr>
        <w:t xml:space="preserve">violados </w:t>
      </w:r>
      <w:r w:rsidR="002C330E" w:rsidRPr="00D5464D">
        <w:rPr>
          <w:lang w:val="pt-BR"/>
        </w:rPr>
        <w:t xml:space="preserve">os </w:t>
      </w:r>
      <w:r w:rsidR="00470ADC" w:rsidRPr="00D5464D">
        <w:rPr>
          <w:lang w:val="pt-BR"/>
        </w:rPr>
        <w:t>direito</w:t>
      </w:r>
      <w:r w:rsidR="00207197" w:rsidRPr="00D5464D">
        <w:rPr>
          <w:lang w:val="pt-BR"/>
        </w:rPr>
        <w:t>s</w:t>
      </w:r>
      <w:r w:rsidR="00470ADC" w:rsidRPr="00D5464D">
        <w:rPr>
          <w:lang w:val="pt-BR"/>
        </w:rPr>
        <w:t xml:space="preserve"> ao </w:t>
      </w:r>
      <w:r w:rsidR="00207197" w:rsidRPr="00D5464D">
        <w:rPr>
          <w:lang w:val="pt-BR"/>
        </w:rPr>
        <w:t>re</w:t>
      </w:r>
      <w:r w:rsidR="00470ADC" w:rsidRPr="00D5464D">
        <w:rPr>
          <w:lang w:val="pt-BR"/>
        </w:rPr>
        <w:t xml:space="preserve">conhecimento da </w:t>
      </w:r>
      <w:r w:rsidR="002C330E" w:rsidRPr="00D5464D">
        <w:rPr>
          <w:lang w:val="pt-BR"/>
        </w:rPr>
        <w:t xml:space="preserve">personalidade </w:t>
      </w:r>
      <w:r w:rsidR="00207197" w:rsidRPr="00D5464D">
        <w:rPr>
          <w:lang w:val="pt-BR"/>
        </w:rPr>
        <w:t>jurídica (</w:t>
      </w:r>
      <w:r w:rsidR="00470ADC" w:rsidRPr="00D5464D">
        <w:rPr>
          <w:lang w:val="pt-BR"/>
        </w:rPr>
        <w:t>artigo</w:t>
      </w:r>
      <w:r w:rsidR="00207197" w:rsidRPr="00D5464D">
        <w:rPr>
          <w:lang w:val="pt-BR"/>
        </w:rPr>
        <w:t xml:space="preserve"> 3</w:t>
      </w:r>
      <w:r w:rsidR="00470ADC" w:rsidRPr="00D5464D">
        <w:rPr>
          <w:lang w:val="pt-BR"/>
        </w:rPr>
        <w:t xml:space="preserve"> da </w:t>
      </w:r>
      <w:r w:rsidR="00207197" w:rsidRPr="00D5464D">
        <w:rPr>
          <w:lang w:val="pt-BR"/>
        </w:rPr>
        <w:t>Conven</w:t>
      </w:r>
      <w:r w:rsidR="00470ADC" w:rsidRPr="00D5464D">
        <w:rPr>
          <w:lang w:val="pt-BR"/>
        </w:rPr>
        <w:t>ção</w:t>
      </w:r>
      <w:r w:rsidR="00CB2CC7" w:rsidRPr="00D5464D">
        <w:rPr>
          <w:lang w:val="pt-BR"/>
        </w:rPr>
        <w:t xml:space="preserve"> Americana</w:t>
      </w:r>
      <w:r w:rsidR="00207197" w:rsidRPr="00D5464D">
        <w:rPr>
          <w:lang w:val="pt-BR"/>
        </w:rPr>
        <w:t>),</w:t>
      </w:r>
      <w:r w:rsidR="00470ADC" w:rsidRPr="00D5464D">
        <w:rPr>
          <w:lang w:val="pt-BR"/>
        </w:rPr>
        <w:t xml:space="preserve"> à </w:t>
      </w:r>
      <w:r w:rsidR="002C330E" w:rsidRPr="00D5464D">
        <w:rPr>
          <w:lang w:val="pt-BR"/>
        </w:rPr>
        <w:t>integridade pessoa</w:t>
      </w:r>
      <w:r w:rsidR="00207197" w:rsidRPr="00D5464D">
        <w:rPr>
          <w:lang w:val="pt-BR"/>
        </w:rPr>
        <w:t>l (</w:t>
      </w:r>
      <w:r w:rsidR="00470ADC" w:rsidRPr="00D5464D">
        <w:rPr>
          <w:lang w:val="pt-BR"/>
        </w:rPr>
        <w:t>artigo</w:t>
      </w:r>
      <w:r w:rsidR="00207197" w:rsidRPr="00D5464D">
        <w:rPr>
          <w:lang w:val="pt-BR"/>
        </w:rPr>
        <w:t xml:space="preserve"> 5),</w:t>
      </w:r>
      <w:r w:rsidR="00470ADC" w:rsidRPr="00D5464D">
        <w:rPr>
          <w:lang w:val="pt-BR"/>
        </w:rPr>
        <w:t xml:space="preserve"> à </w:t>
      </w:r>
      <w:r w:rsidR="002C330E" w:rsidRPr="00D5464D">
        <w:rPr>
          <w:lang w:val="pt-BR"/>
        </w:rPr>
        <w:t>liberdade</w:t>
      </w:r>
      <w:r w:rsidR="00E045D9" w:rsidRPr="00D5464D">
        <w:rPr>
          <w:lang w:val="pt-BR"/>
        </w:rPr>
        <w:t xml:space="preserve"> e </w:t>
      </w:r>
      <w:r w:rsidR="002C330E" w:rsidRPr="00D5464D">
        <w:rPr>
          <w:lang w:val="pt-BR"/>
        </w:rPr>
        <w:t>segurança</w:t>
      </w:r>
      <w:r w:rsidR="00207197" w:rsidRPr="00D5464D">
        <w:rPr>
          <w:lang w:val="pt-BR"/>
        </w:rPr>
        <w:t xml:space="preserve"> </w:t>
      </w:r>
      <w:r w:rsidR="002C330E" w:rsidRPr="00D5464D">
        <w:rPr>
          <w:lang w:val="pt-BR"/>
        </w:rPr>
        <w:t>pessoa</w:t>
      </w:r>
      <w:r w:rsidR="00207197" w:rsidRPr="00D5464D">
        <w:rPr>
          <w:lang w:val="pt-BR"/>
        </w:rPr>
        <w:t>l (</w:t>
      </w:r>
      <w:r w:rsidR="00470ADC" w:rsidRPr="00D5464D">
        <w:rPr>
          <w:lang w:val="pt-BR"/>
        </w:rPr>
        <w:t>artigo</w:t>
      </w:r>
      <w:r w:rsidR="00207197" w:rsidRPr="00D5464D">
        <w:rPr>
          <w:lang w:val="pt-BR"/>
        </w:rPr>
        <w:t xml:space="preserve"> 7),</w:t>
      </w:r>
      <w:r w:rsidR="00470ADC" w:rsidRPr="00D5464D">
        <w:rPr>
          <w:lang w:val="pt-BR"/>
        </w:rPr>
        <w:t xml:space="preserve"> à dignidade</w:t>
      </w:r>
      <w:r w:rsidR="00E045D9" w:rsidRPr="00D5464D">
        <w:rPr>
          <w:lang w:val="pt-BR"/>
        </w:rPr>
        <w:t xml:space="preserve"> e </w:t>
      </w:r>
      <w:r w:rsidR="00554530" w:rsidRPr="00D5464D">
        <w:rPr>
          <w:lang w:val="pt-BR"/>
        </w:rPr>
        <w:t>à</w:t>
      </w:r>
      <w:r w:rsidR="002C330E" w:rsidRPr="00D5464D">
        <w:rPr>
          <w:lang w:val="pt-BR"/>
        </w:rPr>
        <w:t xml:space="preserve"> </w:t>
      </w:r>
      <w:r w:rsidR="00207197" w:rsidRPr="00D5464D">
        <w:rPr>
          <w:lang w:val="pt-BR"/>
        </w:rPr>
        <w:t>vida privada (</w:t>
      </w:r>
      <w:r w:rsidR="00470ADC" w:rsidRPr="00D5464D">
        <w:rPr>
          <w:lang w:val="pt-BR"/>
        </w:rPr>
        <w:t>artigo</w:t>
      </w:r>
      <w:r w:rsidR="00207197" w:rsidRPr="00D5464D">
        <w:rPr>
          <w:lang w:val="pt-BR"/>
        </w:rPr>
        <w:t xml:space="preserve"> 11),</w:t>
      </w:r>
      <w:r w:rsidR="00470ADC" w:rsidRPr="00D5464D">
        <w:rPr>
          <w:lang w:val="pt-BR"/>
        </w:rPr>
        <w:t xml:space="preserve"> à</w:t>
      </w:r>
      <w:r w:rsidR="002C330E" w:rsidRPr="00D5464D">
        <w:rPr>
          <w:lang w:val="pt-BR"/>
        </w:rPr>
        <w:t xml:space="preserve"> livre </w:t>
      </w:r>
      <w:r w:rsidR="00207197" w:rsidRPr="00D5464D">
        <w:rPr>
          <w:lang w:val="pt-BR"/>
        </w:rPr>
        <w:t>circula</w:t>
      </w:r>
      <w:r w:rsidR="00470ADC" w:rsidRPr="00D5464D">
        <w:rPr>
          <w:lang w:val="pt-BR"/>
        </w:rPr>
        <w:t>ção</w:t>
      </w:r>
      <w:r w:rsidR="00E045D9" w:rsidRPr="00D5464D">
        <w:rPr>
          <w:lang w:val="pt-BR"/>
        </w:rPr>
        <w:t xml:space="preserve"> e </w:t>
      </w:r>
      <w:r w:rsidR="002C330E" w:rsidRPr="00D5464D">
        <w:rPr>
          <w:lang w:val="pt-BR"/>
        </w:rPr>
        <w:t>residência</w:t>
      </w:r>
      <w:r w:rsidR="00207197" w:rsidRPr="00D5464D">
        <w:rPr>
          <w:lang w:val="pt-BR"/>
        </w:rPr>
        <w:t xml:space="preserve"> (</w:t>
      </w:r>
      <w:r w:rsidR="00470ADC" w:rsidRPr="00D5464D">
        <w:rPr>
          <w:lang w:val="pt-BR"/>
        </w:rPr>
        <w:t>artigo</w:t>
      </w:r>
      <w:r w:rsidR="00207197" w:rsidRPr="00D5464D">
        <w:rPr>
          <w:lang w:val="pt-BR"/>
        </w:rPr>
        <w:t xml:space="preserve"> 22)</w:t>
      </w:r>
      <w:r w:rsidR="00EB1CE9" w:rsidRPr="00D5464D">
        <w:rPr>
          <w:lang w:val="pt-BR"/>
        </w:rPr>
        <w:t xml:space="preserve">, além </w:t>
      </w:r>
      <w:r w:rsidR="00350187" w:rsidRPr="00D5464D">
        <w:rPr>
          <w:lang w:val="pt-BR"/>
        </w:rPr>
        <w:t xml:space="preserve">de </w:t>
      </w:r>
      <w:r w:rsidR="00815EE5" w:rsidRPr="00D5464D">
        <w:rPr>
          <w:lang w:val="pt-BR"/>
        </w:rPr>
        <w:t>constituir tratamento</w:t>
      </w:r>
      <w:r w:rsidR="00C93A4F" w:rsidRPr="00D5464D">
        <w:rPr>
          <w:lang w:val="pt-BR"/>
        </w:rPr>
        <w:t xml:space="preserve"> </w:t>
      </w:r>
      <w:r w:rsidR="00A1358C" w:rsidRPr="00D5464D">
        <w:rPr>
          <w:lang w:val="pt-BR"/>
        </w:rPr>
        <w:t>discriminatóri</w:t>
      </w:r>
      <w:r w:rsidR="00207197" w:rsidRPr="00D5464D">
        <w:rPr>
          <w:lang w:val="pt-BR"/>
        </w:rPr>
        <w:t>o.</w:t>
      </w:r>
    </w:p>
    <w:p w14:paraId="4B7EB16A" w14:textId="77777777" w:rsidR="00207197" w:rsidRPr="00D5464D" w:rsidRDefault="00207197" w:rsidP="00140440">
      <w:pPr>
        <w:jc w:val="both"/>
        <w:rPr>
          <w:lang w:val="pt-BR"/>
        </w:rPr>
      </w:pPr>
    </w:p>
    <w:p w14:paraId="56691DBA" w14:textId="1269930D" w:rsidR="00207197" w:rsidRPr="00D5464D" w:rsidRDefault="00737270" w:rsidP="00F37DC4">
      <w:pPr>
        <w:pStyle w:val="Prrafodelista"/>
        <w:numPr>
          <w:ilvl w:val="0"/>
          <w:numId w:val="1"/>
        </w:numPr>
        <w:contextualSpacing w:val="0"/>
        <w:rPr>
          <w:lang w:val="pt-BR"/>
        </w:rPr>
      </w:pPr>
      <w:r w:rsidRPr="00D5464D">
        <w:rPr>
          <w:lang w:val="pt-BR"/>
        </w:rPr>
        <w:t xml:space="preserve">Os </w:t>
      </w:r>
      <w:r w:rsidR="00EB1CE9" w:rsidRPr="00D5464D">
        <w:rPr>
          <w:lang w:val="pt-BR"/>
        </w:rPr>
        <w:t>representante</w:t>
      </w:r>
      <w:r w:rsidRPr="00D5464D">
        <w:rPr>
          <w:lang w:val="pt-BR"/>
        </w:rPr>
        <w:t xml:space="preserve">s </w:t>
      </w:r>
      <w:r w:rsidR="002C330E" w:rsidRPr="00D5464D">
        <w:rPr>
          <w:lang w:val="pt-BR"/>
        </w:rPr>
        <w:t>afirmaram</w:t>
      </w:r>
      <w:r w:rsidR="00207197" w:rsidRPr="00D5464D">
        <w:rPr>
          <w:lang w:val="pt-BR"/>
        </w:rPr>
        <w:t xml:space="preserve"> que</w:t>
      </w:r>
      <w:r w:rsidR="00554530" w:rsidRPr="00D5464D">
        <w:rPr>
          <w:lang w:val="pt-BR"/>
        </w:rPr>
        <w:t>,</w:t>
      </w:r>
      <w:r w:rsidR="00E045D9" w:rsidRPr="00D5464D">
        <w:rPr>
          <w:lang w:val="pt-BR"/>
        </w:rPr>
        <w:t xml:space="preserve"> no </w:t>
      </w:r>
      <w:r w:rsidR="00207197" w:rsidRPr="00D5464D">
        <w:rPr>
          <w:lang w:val="pt-BR"/>
        </w:rPr>
        <w:t>presente caso</w:t>
      </w:r>
      <w:r w:rsidR="00554530" w:rsidRPr="00D5464D">
        <w:rPr>
          <w:lang w:val="pt-BR"/>
        </w:rPr>
        <w:t>,</w:t>
      </w:r>
      <w:r w:rsidR="00207197" w:rsidRPr="00D5464D">
        <w:rPr>
          <w:lang w:val="pt-BR"/>
        </w:rPr>
        <w:t xml:space="preserve"> </w:t>
      </w:r>
      <w:r w:rsidR="00E045D9" w:rsidRPr="00D5464D">
        <w:rPr>
          <w:lang w:val="pt-BR"/>
        </w:rPr>
        <w:t>também</w:t>
      </w:r>
      <w:r w:rsidR="00207197" w:rsidRPr="00D5464D">
        <w:rPr>
          <w:lang w:val="pt-BR"/>
        </w:rPr>
        <w:t xml:space="preserve"> se configura</w:t>
      </w:r>
      <w:r w:rsidR="00E045D9" w:rsidRPr="00D5464D">
        <w:rPr>
          <w:lang w:val="pt-BR"/>
        </w:rPr>
        <w:t xml:space="preserve"> uma </w:t>
      </w:r>
      <w:r w:rsidR="00207197" w:rsidRPr="00D5464D">
        <w:rPr>
          <w:lang w:val="pt-BR"/>
        </w:rPr>
        <w:t>situa</w:t>
      </w:r>
      <w:r w:rsidR="00470ADC" w:rsidRPr="00D5464D">
        <w:rPr>
          <w:lang w:val="pt-BR"/>
        </w:rPr>
        <w:t>ção</w:t>
      </w:r>
      <w:r w:rsidR="00207197" w:rsidRPr="00D5464D">
        <w:rPr>
          <w:lang w:val="pt-BR"/>
        </w:rPr>
        <w:t xml:space="preserve"> de</w:t>
      </w:r>
      <w:r w:rsidR="000B376D" w:rsidRPr="00D5464D">
        <w:rPr>
          <w:lang w:val="pt-BR"/>
        </w:rPr>
        <w:t xml:space="preserve"> tráfico de </w:t>
      </w:r>
      <w:r w:rsidR="002C330E" w:rsidRPr="00D5464D">
        <w:rPr>
          <w:lang w:val="pt-BR"/>
        </w:rPr>
        <w:t>pessoa</w:t>
      </w:r>
      <w:r w:rsidR="00207197" w:rsidRPr="00D5464D">
        <w:rPr>
          <w:lang w:val="pt-BR"/>
        </w:rPr>
        <w:t>s</w:t>
      </w:r>
      <w:r w:rsidR="00C91CB1" w:rsidRPr="00D5464D">
        <w:rPr>
          <w:lang w:val="pt-BR"/>
        </w:rPr>
        <w:t xml:space="preserve">. Na </w:t>
      </w:r>
      <w:r w:rsidR="00D809F0" w:rsidRPr="00D5464D">
        <w:rPr>
          <w:lang w:val="pt-BR"/>
        </w:rPr>
        <w:t>Fazenda</w:t>
      </w:r>
      <w:r w:rsidR="00207197" w:rsidRPr="00D5464D">
        <w:rPr>
          <w:lang w:val="pt-BR"/>
        </w:rPr>
        <w:t xml:space="preserve"> Brasil Verde</w:t>
      </w:r>
      <w:r w:rsidR="00815EE5" w:rsidRPr="00D5464D">
        <w:rPr>
          <w:lang w:val="pt-BR"/>
        </w:rPr>
        <w:t>,</w:t>
      </w:r>
      <w:r w:rsidR="00207197" w:rsidRPr="00D5464D">
        <w:rPr>
          <w:lang w:val="pt-BR"/>
        </w:rPr>
        <w:t xml:space="preserve"> </w:t>
      </w:r>
      <w:r w:rsidR="00767387" w:rsidRPr="00D5464D">
        <w:rPr>
          <w:lang w:val="pt-BR"/>
        </w:rPr>
        <w:t>foram</w:t>
      </w:r>
      <w:r w:rsidR="00554530" w:rsidRPr="00D5464D">
        <w:rPr>
          <w:lang w:val="pt-BR"/>
        </w:rPr>
        <w:t xml:space="preserve"> cumpridos </w:t>
      </w:r>
      <w:r w:rsidR="00207197" w:rsidRPr="00D5464D">
        <w:rPr>
          <w:lang w:val="pt-BR"/>
        </w:rPr>
        <w:t>todos</w:t>
      </w:r>
      <w:r w:rsidR="002C330E" w:rsidRPr="00D5464D">
        <w:rPr>
          <w:lang w:val="pt-BR"/>
        </w:rPr>
        <w:t xml:space="preserve"> os </w:t>
      </w:r>
      <w:r w:rsidR="00207197" w:rsidRPr="00D5464D">
        <w:rPr>
          <w:lang w:val="pt-BR"/>
        </w:rPr>
        <w:t>requisitos</w:t>
      </w:r>
      <w:r w:rsidR="00470ADC" w:rsidRPr="00D5464D">
        <w:rPr>
          <w:lang w:val="pt-BR"/>
        </w:rPr>
        <w:t xml:space="preserve"> </w:t>
      </w:r>
      <w:r w:rsidR="00554530" w:rsidRPr="00D5464D">
        <w:rPr>
          <w:lang w:val="pt-BR"/>
        </w:rPr>
        <w:t xml:space="preserve">do tráfico </w:t>
      </w:r>
      <w:r w:rsidR="00207197" w:rsidRPr="00D5464D">
        <w:rPr>
          <w:lang w:val="pt-BR"/>
        </w:rPr>
        <w:t>co</w:t>
      </w:r>
      <w:r w:rsidR="00554530" w:rsidRPr="00D5464D">
        <w:rPr>
          <w:lang w:val="pt-BR"/>
        </w:rPr>
        <w:t xml:space="preserve">nforme </w:t>
      </w:r>
      <w:r w:rsidR="00767387" w:rsidRPr="00D5464D">
        <w:rPr>
          <w:lang w:val="pt-BR"/>
        </w:rPr>
        <w:t xml:space="preserve">definição do </w:t>
      </w:r>
      <w:r w:rsidR="00207197" w:rsidRPr="00D5464D">
        <w:rPr>
          <w:lang w:val="pt-BR"/>
        </w:rPr>
        <w:t>Protocolo de Palermo</w:t>
      </w:r>
      <w:r w:rsidR="00A1358C" w:rsidRPr="00D5464D">
        <w:rPr>
          <w:lang w:val="pt-BR"/>
        </w:rPr>
        <w:t>. Com efeito</w:t>
      </w:r>
      <w:r w:rsidR="00207197" w:rsidRPr="00D5464D">
        <w:rPr>
          <w:lang w:val="pt-BR"/>
        </w:rPr>
        <w:t xml:space="preserve">, </w:t>
      </w:r>
      <w:r w:rsidR="00470ADC" w:rsidRPr="00D5464D">
        <w:rPr>
          <w:lang w:val="pt-BR"/>
        </w:rPr>
        <w:t>existia</w:t>
      </w:r>
      <w:r w:rsidR="00207197" w:rsidRPr="00D5464D">
        <w:rPr>
          <w:lang w:val="pt-BR"/>
        </w:rPr>
        <w:t xml:space="preserve"> transporte</w:t>
      </w:r>
      <w:r w:rsidR="00E045D9" w:rsidRPr="00D5464D">
        <w:rPr>
          <w:lang w:val="pt-BR"/>
        </w:rPr>
        <w:t xml:space="preserve"> e </w:t>
      </w:r>
      <w:r w:rsidR="00207197" w:rsidRPr="00D5464D">
        <w:rPr>
          <w:lang w:val="pt-BR"/>
        </w:rPr>
        <w:t xml:space="preserve">traslado de </w:t>
      </w:r>
      <w:r w:rsidR="00E045D9" w:rsidRPr="00D5464D">
        <w:rPr>
          <w:lang w:val="pt-BR"/>
        </w:rPr>
        <w:t>trabalhadores</w:t>
      </w:r>
      <w:r w:rsidR="00207197" w:rsidRPr="00D5464D">
        <w:rPr>
          <w:lang w:val="pt-BR"/>
        </w:rPr>
        <w:t xml:space="preserve"> mediante enga</w:t>
      </w:r>
      <w:r w:rsidR="00554530" w:rsidRPr="00D5464D">
        <w:rPr>
          <w:lang w:val="pt-BR"/>
        </w:rPr>
        <w:t>n</w:t>
      </w:r>
      <w:r w:rsidR="00207197" w:rsidRPr="00D5464D">
        <w:rPr>
          <w:lang w:val="pt-BR"/>
        </w:rPr>
        <w:t>o</w:t>
      </w:r>
      <w:r w:rsidR="00E045D9" w:rsidRPr="00D5464D">
        <w:rPr>
          <w:lang w:val="pt-BR"/>
        </w:rPr>
        <w:t xml:space="preserve"> e </w:t>
      </w:r>
      <w:r w:rsidR="00207197" w:rsidRPr="00D5464D">
        <w:rPr>
          <w:lang w:val="pt-BR"/>
        </w:rPr>
        <w:t>fraude para</w:t>
      </w:r>
      <w:r w:rsidR="00470ADC" w:rsidRPr="00D5464D">
        <w:rPr>
          <w:lang w:val="pt-BR"/>
        </w:rPr>
        <w:t xml:space="preserve"> fins </w:t>
      </w:r>
      <w:r w:rsidR="00207197" w:rsidRPr="00D5464D">
        <w:rPr>
          <w:lang w:val="pt-BR"/>
        </w:rPr>
        <w:t xml:space="preserve">de </w:t>
      </w:r>
      <w:r w:rsidR="00230C71" w:rsidRPr="00D5464D">
        <w:rPr>
          <w:lang w:val="pt-BR"/>
        </w:rPr>
        <w:t>exploração</w:t>
      </w:r>
      <w:r w:rsidR="00207197" w:rsidRPr="00D5464D">
        <w:rPr>
          <w:lang w:val="pt-BR"/>
        </w:rPr>
        <w:t xml:space="preserve"> </w:t>
      </w:r>
      <w:r w:rsidR="00554530" w:rsidRPr="00D5464D">
        <w:rPr>
          <w:lang w:val="pt-BR"/>
        </w:rPr>
        <w:t>do trabalho</w:t>
      </w:r>
      <w:r w:rsidR="00207197" w:rsidRPr="00D5464D">
        <w:rPr>
          <w:lang w:val="pt-BR"/>
        </w:rPr>
        <w:t>.</w:t>
      </w:r>
    </w:p>
    <w:p w14:paraId="6B6B1585" w14:textId="77777777" w:rsidR="00DE3E58" w:rsidRPr="00D5464D" w:rsidRDefault="00DE3E58" w:rsidP="00DE3E58">
      <w:pPr>
        <w:pStyle w:val="Prrafodelista"/>
        <w:ind w:left="0"/>
        <w:contextualSpacing w:val="0"/>
        <w:rPr>
          <w:lang w:val="pt-BR"/>
        </w:rPr>
      </w:pPr>
    </w:p>
    <w:p w14:paraId="1B6B1B04" w14:textId="705243A7" w:rsidR="00207197" w:rsidRPr="00D5464D" w:rsidRDefault="00470ADC" w:rsidP="00F37DC4">
      <w:pPr>
        <w:pStyle w:val="Prrafodelista"/>
        <w:numPr>
          <w:ilvl w:val="0"/>
          <w:numId w:val="1"/>
        </w:numPr>
        <w:contextualSpacing w:val="0"/>
        <w:rPr>
          <w:lang w:val="pt-BR"/>
        </w:rPr>
      </w:pPr>
      <w:r w:rsidRPr="00D5464D">
        <w:rPr>
          <w:lang w:val="pt-BR"/>
        </w:rPr>
        <w:t xml:space="preserve">A </w:t>
      </w:r>
      <w:r w:rsidR="002C330E" w:rsidRPr="00D5464D">
        <w:rPr>
          <w:lang w:val="pt-BR"/>
        </w:rPr>
        <w:t>prática</w:t>
      </w:r>
      <w:r w:rsidR="00207197" w:rsidRPr="00D5464D">
        <w:rPr>
          <w:lang w:val="pt-BR"/>
        </w:rPr>
        <w:t xml:space="preserve"> de </w:t>
      </w:r>
      <w:r w:rsidR="00E045D9" w:rsidRPr="00D5464D">
        <w:rPr>
          <w:lang w:val="pt-BR"/>
        </w:rPr>
        <w:t>trabalho</w:t>
      </w:r>
      <w:r w:rsidR="00207197" w:rsidRPr="00D5464D">
        <w:rPr>
          <w:lang w:val="pt-BR"/>
        </w:rPr>
        <w:t xml:space="preserve"> </w:t>
      </w:r>
      <w:r w:rsidR="004F1CC2" w:rsidRPr="00D5464D">
        <w:rPr>
          <w:lang w:val="pt-BR"/>
        </w:rPr>
        <w:t>escravo</w:t>
      </w:r>
      <w:r w:rsidR="006665EF" w:rsidRPr="00D5464D">
        <w:rPr>
          <w:lang w:val="pt-BR"/>
        </w:rPr>
        <w:t xml:space="preserve"> no Brasil</w:t>
      </w:r>
      <w:r w:rsidR="00207197" w:rsidRPr="00D5464D">
        <w:rPr>
          <w:lang w:val="pt-BR"/>
        </w:rPr>
        <w:t xml:space="preserve">, </w:t>
      </w:r>
      <w:r w:rsidR="002C330E" w:rsidRPr="00D5464D">
        <w:rPr>
          <w:lang w:val="pt-BR"/>
        </w:rPr>
        <w:t xml:space="preserve">segundo os </w:t>
      </w:r>
      <w:r w:rsidR="00EB1CE9" w:rsidRPr="00D5464D">
        <w:rPr>
          <w:lang w:val="pt-BR"/>
        </w:rPr>
        <w:t>representante</w:t>
      </w:r>
      <w:r w:rsidR="00207197" w:rsidRPr="00D5464D">
        <w:rPr>
          <w:lang w:val="pt-BR"/>
        </w:rPr>
        <w:t xml:space="preserve">s, </w:t>
      </w:r>
      <w:r w:rsidR="00E045D9" w:rsidRPr="00D5464D">
        <w:rPr>
          <w:lang w:val="pt-BR"/>
        </w:rPr>
        <w:t xml:space="preserve">tem </w:t>
      </w:r>
      <w:r w:rsidRPr="00D5464D">
        <w:rPr>
          <w:lang w:val="pt-BR"/>
        </w:rPr>
        <w:t>caráter</w:t>
      </w:r>
      <w:r w:rsidR="00207197" w:rsidRPr="00D5464D">
        <w:rPr>
          <w:lang w:val="pt-BR"/>
        </w:rPr>
        <w:t xml:space="preserve"> </w:t>
      </w:r>
      <w:r w:rsidRPr="00D5464D">
        <w:rPr>
          <w:lang w:val="pt-BR"/>
        </w:rPr>
        <w:t>estrutura</w:t>
      </w:r>
      <w:r w:rsidR="00207197" w:rsidRPr="00D5464D">
        <w:rPr>
          <w:lang w:val="pt-BR"/>
        </w:rPr>
        <w:t>l</w:t>
      </w:r>
      <w:r w:rsidR="00E045D9" w:rsidRPr="00D5464D">
        <w:rPr>
          <w:lang w:val="pt-BR"/>
        </w:rPr>
        <w:t xml:space="preserve"> e </w:t>
      </w:r>
      <w:r w:rsidR="002C330E" w:rsidRPr="00D5464D">
        <w:rPr>
          <w:lang w:val="pt-BR"/>
        </w:rPr>
        <w:t xml:space="preserve">foi </w:t>
      </w:r>
      <w:r w:rsidR="00207197" w:rsidRPr="00D5464D">
        <w:rPr>
          <w:lang w:val="pt-BR"/>
        </w:rPr>
        <w:t>tolerada</w:t>
      </w:r>
      <w:r w:rsidR="002C330E" w:rsidRPr="00D5464D">
        <w:rPr>
          <w:lang w:val="pt-BR"/>
        </w:rPr>
        <w:t xml:space="preserve"> pelo </w:t>
      </w:r>
      <w:r w:rsidR="00207197" w:rsidRPr="00D5464D">
        <w:rPr>
          <w:lang w:val="pt-BR"/>
        </w:rPr>
        <w:t xml:space="preserve">Estado. </w:t>
      </w:r>
      <w:r w:rsidR="00737270" w:rsidRPr="00D5464D">
        <w:rPr>
          <w:lang w:val="pt-BR"/>
        </w:rPr>
        <w:t>Acrescentaram</w:t>
      </w:r>
      <w:r w:rsidR="00207197" w:rsidRPr="00D5464D">
        <w:rPr>
          <w:lang w:val="pt-BR"/>
        </w:rPr>
        <w:t xml:space="preserve"> que</w:t>
      </w:r>
      <w:r w:rsidR="002C330E" w:rsidRPr="00D5464D">
        <w:rPr>
          <w:lang w:val="pt-BR"/>
        </w:rPr>
        <w:t xml:space="preserve"> os fatos</w:t>
      </w:r>
      <w:r w:rsidR="00207197" w:rsidRPr="00D5464D">
        <w:rPr>
          <w:lang w:val="pt-BR"/>
        </w:rPr>
        <w:t xml:space="preserve"> </w:t>
      </w:r>
      <w:r w:rsidRPr="00D5464D">
        <w:rPr>
          <w:lang w:val="pt-BR"/>
        </w:rPr>
        <w:t xml:space="preserve">do </w:t>
      </w:r>
      <w:r w:rsidR="00207197" w:rsidRPr="00D5464D">
        <w:rPr>
          <w:lang w:val="pt-BR"/>
        </w:rPr>
        <w:t xml:space="preserve">presente caso se </w:t>
      </w:r>
      <w:r w:rsidRPr="00D5464D">
        <w:rPr>
          <w:lang w:val="pt-BR"/>
        </w:rPr>
        <w:t>enquadram</w:t>
      </w:r>
      <w:r w:rsidR="00E045D9" w:rsidRPr="00D5464D">
        <w:rPr>
          <w:lang w:val="pt-BR"/>
        </w:rPr>
        <w:t xml:space="preserve"> neste </w:t>
      </w:r>
      <w:r w:rsidR="00207197" w:rsidRPr="00D5464D">
        <w:rPr>
          <w:lang w:val="pt-BR"/>
        </w:rPr>
        <w:t xml:space="preserve">contexto </w:t>
      </w:r>
      <w:r w:rsidR="002C330E" w:rsidRPr="00D5464D">
        <w:rPr>
          <w:lang w:val="pt-BR"/>
        </w:rPr>
        <w:t>geral</w:t>
      </w:r>
      <w:r w:rsidR="00207197" w:rsidRPr="00D5464D">
        <w:rPr>
          <w:lang w:val="pt-BR"/>
        </w:rPr>
        <w:t xml:space="preserve">, </w:t>
      </w:r>
      <w:r w:rsidR="002C330E" w:rsidRPr="00D5464D">
        <w:rPr>
          <w:lang w:val="pt-BR"/>
        </w:rPr>
        <w:t xml:space="preserve">razão pela </w:t>
      </w:r>
      <w:r w:rsidRPr="00D5464D">
        <w:rPr>
          <w:lang w:val="pt-BR"/>
        </w:rPr>
        <w:t>qual</w:t>
      </w:r>
      <w:r w:rsidR="002C330E" w:rsidRPr="00D5464D">
        <w:rPr>
          <w:lang w:val="pt-BR"/>
        </w:rPr>
        <w:t xml:space="preserve"> a </w:t>
      </w:r>
      <w:r w:rsidR="00207197" w:rsidRPr="00D5464D">
        <w:rPr>
          <w:lang w:val="pt-BR"/>
        </w:rPr>
        <w:t>Corte</w:t>
      </w:r>
      <w:r w:rsidRPr="00D5464D">
        <w:rPr>
          <w:lang w:val="pt-BR"/>
        </w:rPr>
        <w:t xml:space="preserve"> deve estabelece</w:t>
      </w:r>
      <w:r w:rsidR="00207197" w:rsidRPr="00D5464D">
        <w:rPr>
          <w:lang w:val="pt-BR"/>
        </w:rPr>
        <w:t xml:space="preserve">r </w:t>
      </w:r>
      <w:r w:rsidRPr="00D5464D">
        <w:rPr>
          <w:lang w:val="pt-BR"/>
        </w:rPr>
        <w:t>certa</w:t>
      </w:r>
      <w:r w:rsidR="00207197" w:rsidRPr="00D5464D">
        <w:rPr>
          <w:lang w:val="pt-BR"/>
        </w:rPr>
        <w:t>s presun</w:t>
      </w:r>
      <w:r w:rsidRPr="00D5464D">
        <w:rPr>
          <w:lang w:val="pt-BR"/>
        </w:rPr>
        <w:t>ções</w:t>
      </w:r>
      <w:r w:rsidR="00207197" w:rsidRPr="00D5464D">
        <w:rPr>
          <w:lang w:val="pt-BR"/>
        </w:rPr>
        <w:t xml:space="preserve"> e </w:t>
      </w:r>
      <w:r w:rsidR="00E045D9" w:rsidRPr="00D5464D">
        <w:rPr>
          <w:lang w:val="pt-BR"/>
        </w:rPr>
        <w:t>inverter</w:t>
      </w:r>
      <w:r w:rsidR="002C330E" w:rsidRPr="00D5464D">
        <w:rPr>
          <w:lang w:val="pt-BR"/>
        </w:rPr>
        <w:t xml:space="preserve"> </w:t>
      </w:r>
      <w:r w:rsidR="002A638B" w:rsidRPr="00D5464D">
        <w:rPr>
          <w:lang w:val="pt-BR"/>
        </w:rPr>
        <w:t xml:space="preserve">o ônus </w:t>
      </w:r>
      <w:r w:rsidRPr="00D5464D">
        <w:rPr>
          <w:lang w:val="pt-BR"/>
        </w:rPr>
        <w:t xml:space="preserve">da </w:t>
      </w:r>
      <w:r w:rsidR="002C330E" w:rsidRPr="00D5464D">
        <w:rPr>
          <w:lang w:val="pt-BR"/>
        </w:rPr>
        <w:t>prova</w:t>
      </w:r>
      <w:r w:rsidR="00207197" w:rsidRPr="00D5464D">
        <w:rPr>
          <w:lang w:val="pt-BR"/>
        </w:rPr>
        <w:t xml:space="preserve">. Adicionalmente, </w:t>
      </w:r>
      <w:r w:rsidRPr="00D5464D">
        <w:rPr>
          <w:lang w:val="pt-BR"/>
        </w:rPr>
        <w:t>alegaram</w:t>
      </w:r>
      <w:r w:rsidR="00207197" w:rsidRPr="00D5464D">
        <w:rPr>
          <w:lang w:val="pt-BR"/>
        </w:rPr>
        <w:t xml:space="preserve"> que </w:t>
      </w:r>
      <w:r w:rsidRPr="00D5464D">
        <w:rPr>
          <w:lang w:val="pt-BR"/>
        </w:rPr>
        <w:t>certa</w:t>
      </w:r>
      <w:r w:rsidR="00207197" w:rsidRPr="00D5464D">
        <w:rPr>
          <w:lang w:val="pt-BR"/>
        </w:rPr>
        <w:t xml:space="preserve">s </w:t>
      </w:r>
      <w:r w:rsidR="00230C71" w:rsidRPr="00D5464D">
        <w:rPr>
          <w:lang w:val="pt-BR"/>
        </w:rPr>
        <w:t>deficiência</w:t>
      </w:r>
      <w:r w:rsidR="00207197" w:rsidRPr="00D5464D">
        <w:rPr>
          <w:lang w:val="pt-BR"/>
        </w:rPr>
        <w:t xml:space="preserve">s </w:t>
      </w:r>
      <w:r w:rsidR="002C330E" w:rsidRPr="00D5464D">
        <w:rPr>
          <w:lang w:val="pt-BR"/>
        </w:rPr>
        <w:t>probatória</w:t>
      </w:r>
      <w:r w:rsidR="00207197" w:rsidRPr="00D5464D">
        <w:rPr>
          <w:lang w:val="pt-BR"/>
        </w:rPr>
        <w:t xml:space="preserve">s </w:t>
      </w:r>
      <w:r w:rsidRPr="00D5464D">
        <w:rPr>
          <w:lang w:val="pt-BR"/>
        </w:rPr>
        <w:t xml:space="preserve">do </w:t>
      </w:r>
      <w:r w:rsidR="00207197" w:rsidRPr="00D5464D">
        <w:rPr>
          <w:lang w:val="pt-BR"/>
        </w:rPr>
        <w:t xml:space="preserve">presente caso se </w:t>
      </w:r>
      <w:r w:rsidRPr="00D5464D">
        <w:rPr>
          <w:lang w:val="pt-BR"/>
        </w:rPr>
        <w:t>devem</w:t>
      </w:r>
      <w:r w:rsidR="002A638B" w:rsidRPr="00D5464D">
        <w:rPr>
          <w:lang w:val="pt-BR"/>
        </w:rPr>
        <w:t>,</w:t>
      </w:r>
      <w:r w:rsidR="00207197" w:rsidRPr="00D5464D">
        <w:rPr>
          <w:lang w:val="pt-BR"/>
        </w:rPr>
        <w:t xml:space="preserve"> precisamente</w:t>
      </w:r>
      <w:r w:rsidR="002A638B" w:rsidRPr="00D5464D">
        <w:rPr>
          <w:lang w:val="pt-BR"/>
        </w:rPr>
        <w:t>,</w:t>
      </w:r>
      <w:r w:rsidRPr="00D5464D">
        <w:rPr>
          <w:lang w:val="pt-BR"/>
        </w:rPr>
        <w:t xml:space="preserve"> à </w:t>
      </w:r>
      <w:r w:rsidR="00207197" w:rsidRPr="00D5464D">
        <w:rPr>
          <w:lang w:val="pt-BR"/>
        </w:rPr>
        <w:t xml:space="preserve">falta de </w:t>
      </w:r>
      <w:r w:rsidRPr="00D5464D">
        <w:rPr>
          <w:lang w:val="pt-BR"/>
        </w:rPr>
        <w:t>diligência</w:t>
      </w:r>
      <w:r w:rsidR="00207197" w:rsidRPr="00D5464D">
        <w:rPr>
          <w:lang w:val="pt-BR"/>
        </w:rPr>
        <w:t xml:space="preserve"> estatal</w:t>
      </w:r>
      <w:r w:rsidRPr="00D5464D">
        <w:rPr>
          <w:lang w:val="pt-BR"/>
        </w:rPr>
        <w:t xml:space="preserve"> ao </w:t>
      </w:r>
      <w:r w:rsidR="00207197" w:rsidRPr="00D5464D">
        <w:rPr>
          <w:lang w:val="pt-BR"/>
        </w:rPr>
        <w:t>momento de fiscalizar e investigar</w:t>
      </w:r>
      <w:r w:rsidR="002C330E" w:rsidRPr="00D5464D">
        <w:rPr>
          <w:lang w:val="pt-BR"/>
        </w:rPr>
        <w:t xml:space="preserve"> a </w:t>
      </w:r>
      <w:r w:rsidR="00D809F0" w:rsidRPr="00D5464D">
        <w:rPr>
          <w:lang w:val="pt-BR"/>
        </w:rPr>
        <w:t>fazenda</w:t>
      </w:r>
      <w:r w:rsidR="00207197" w:rsidRPr="00D5464D">
        <w:rPr>
          <w:lang w:val="pt-BR"/>
        </w:rPr>
        <w:t xml:space="preserve">. </w:t>
      </w:r>
    </w:p>
    <w:p w14:paraId="76F8297D" w14:textId="77777777" w:rsidR="00207197" w:rsidRPr="00D5464D" w:rsidRDefault="00207197" w:rsidP="00140440">
      <w:pPr>
        <w:jc w:val="both"/>
        <w:rPr>
          <w:lang w:val="pt-BR"/>
        </w:rPr>
      </w:pPr>
    </w:p>
    <w:p w14:paraId="295C93BA" w14:textId="14FC85AC" w:rsidR="00207197" w:rsidRPr="00D5464D" w:rsidRDefault="00207197" w:rsidP="00C56E63">
      <w:pPr>
        <w:pStyle w:val="Prrafodelista"/>
        <w:numPr>
          <w:ilvl w:val="0"/>
          <w:numId w:val="1"/>
        </w:numPr>
        <w:rPr>
          <w:lang w:val="pt-BR"/>
        </w:rPr>
      </w:pPr>
      <w:r w:rsidRPr="00D5464D">
        <w:rPr>
          <w:lang w:val="pt-BR"/>
        </w:rPr>
        <w:t>Sobre</w:t>
      </w:r>
      <w:r w:rsidR="002C330E" w:rsidRPr="00D5464D">
        <w:rPr>
          <w:lang w:val="pt-BR"/>
        </w:rPr>
        <w:t xml:space="preserve"> a responsabilidade </w:t>
      </w:r>
      <w:r w:rsidR="00470ADC" w:rsidRPr="00D5464D">
        <w:rPr>
          <w:lang w:val="pt-BR"/>
        </w:rPr>
        <w:t xml:space="preserve">do </w:t>
      </w:r>
      <w:r w:rsidRPr="00D5464D">
        <w:rPr>
          <w:lang w:val="pt-BR"/>
        </w:rPr>
        <w:t>Estado por viola</w:t>
      </w:r>
      <w:r w:rsidR="00470ADC" w:rsidRPr="00D5464D">
        <w:rPr>
          <w:lang w:val="pt-BR"/>
        </w:rPr>
        <w:t>ções</w:t>
      </w:r>
      <w:r w:rsidRPr="00D5464D">
        <w:rPr>
          <w:lang w:val="pt-BR"/>
        </w:rPr>
        <w:t xml:space="preserve"> de </w:t>
      </w:r>
      <w:r w:rsidR="00470ADC" w:rsidRPr="00D5464D">
        <w:rPr>
          <w:lang w:val="pt-BR"/>
        </w:rPr>
        <w:t>direito</w:t>
      </w:r>
      <w:r w:rsidRPr="00D5464D">
        <w:rPr>
          <w:lang w:val="pt-BR"/>
        </w:rPr>
        <w:t>s humanos cometidas por particulares,</w:t>
      </w:r>
      <w:r w:rsidR="002C330E" w:rsidRPr="00D5464D">
        <w:rPr>
          <w:lang w:val="pt-BR"/>
        </w:rPr>
        <w:t xml:space="preserve"> os </w:t>
      </w:r>
      <w:r w:rsidR="00EB1CE9" w:rsidRPr="00D5464D">
        <w:rPr>
          <w:lang w:val="pt-BR"/>
        </w:rPr>
        <w:t>representante</w:t>
      </w:r>
      <w:r w:rsidRPr="00D5464D">
        <w:rPr>
          <w:lang w:val="pt-BR"/>
        </w:rPr>
        <w:t xml:space="preserve">s </w:t>
      </w:r>
      <w:r w:rsidR="00470ADC" w:rsidRPr="00D5464D">
        <w:rPr>
          <w:lang w:val="pt-BR"/>
        </w:rPr>
        <w:t>coincidiram com</w:t>
      </w:r>
      <w:r w:rsidR="002C330E" w:rsidRPr="00D5464D">
        <w:rPr>
          <w:lang w:val="pt-BR"/>
        </w:rPr>
        <w:t xml:space="preserve"> os </w:t>
      </w:r>
      <w:r w:rsidRPr="00D5464D">
        <w:rPr>
          <w:lang w:val="pt-BR"/>
        </w:rPr>
        <w:t>argumentos</w:t>
      </w:r>
      <w:r w:rsidR="00470ADC" w:rsidRPr="00D5464D">
        <w:rPr>
          <w:lang w:val="pt-BR"/>
        </w:rPr>
        <w:t xml:space="preserve"> da Comissão</w:t>
      </w:r>
      <w:r w:rsidRPr="00D5464D">
        <w:rPr>
          <w:lang w:val="pt-BR"/>
        </w:rPr>
        <w:t xml:space="preserve"> Interamericana. </w:t>
      </w:r>
      <w:r w:rsidR="00E045D9" w:rsidRPr="00D5464D">
        <w:rPr>
          <w:lang w:val="pt-BR"/>
        </w:rPr>
        <w:t>Especificamente</w:t>
      </w:r>
      <w:r w:rsidR="00AD2DFF" w:rsidRPr="00D5464D">
        <w:rPr>
          <w:lang w:val="pt-BR"/>
        </w:rPr>
        <w:t>,</w:t>
      </w:r>
      <w:r w:rsidR="002C330E" w:rsidRPr="00D5464D">
        <w:rPr>
          <w:lang w:val="pt-BR"/>
        </w:rPr>
        <w:t xml:space="preserve"> os </w:t>
      </w:r>
      <w:r w:rsidR="00EB1CE9" w:rsidRPr="00D5464D">
        <w:rPr>
          <w:lang w:val="pt-BR"/>
        </w:rPr>
        <w:t>representante</w:t>
      </w:r>
      <w:r w:rsidR="00AD2DFF" w:rsidRPr="00D5464D">
        <w:rPr>
          <w:lang w:val="pt-BR"/>
        </w:rPr>
        <w:t xml:space="preserve">s </w:t>
      </w:r>
      <w:r w:rsidR="00A1358C" w:rsidRPr="00D5464D">
        <w:rPr>
          <w:lang w:val="pt-BR"/>
        </w:rPr>
        <w:t>argumentaram</w:t>
      </w:r>
      <w:r w:rsidR="00AD2DFF" w:rsidRPr="00D5464D">
        <w:rPr>
          <w:lang w:val="pt-BR"/>
        </w:rPr>
        <w:t xml:space="preserve"> que</w:t>
      </w:r>
      <w:r w:rsidR="00815EE5" w:rsidRPr="00D5464D">
        <w:rPr>
          <w:lang w:val="pt-BR"/>
        </w:rPr>
        <w:t>,</w:t>
      </w:r>
      <w:r w:rsidR="00E045D9" w:rsidRPr="00D5464D">
        <w:rPr>
          <w:lang w:val="pt-BR"/>
        </w:rPr>
        <w:t xml:space="preserve"> no </w:t>
      </w:r>
      <w:r w:rsidR="00AD2DFF" w:rsidRPr="00D5464D">
        <w:rPr>
          <w:lang w:val="pt-BR"/>
        </w:rPr>
        <w:t>presente caso</w:t>
      </w:r>
      <w:r w:rsidR="00815EE5" w:rsidRPr="00D5464D">
        <w:rPr>
          <w:lang w:val="pt-BR"/>
        </w:rPr>
        <w:t>,</w:t>
      </w:r>
      <w:r w:rsidR="002C330E" w:rsidRPr="00D5464D">
        <w:rPr>
          <w:lang w:val="pt-BR"/>
        </w:rPr>
        <w:t xml:space="preserve"> a maioria</w:t>
      </w:r>
      <w:r w:rsidR="00470ADC" w:rsidRPr="00D5464D">
        <w:rPr>
          <w:lang w:val="pt-BR"/>
        </w:rPr>
        <w:t xml:space="preserve"> das </w:t>
      </w:r>
      <w:r w:rsidR="00E045D9" w:rsidRPr="00D5464D">
        <w:rPr>
          <w:lang w:val="pt-BR"/>
        </w:rPr>
        <w:t>vítima</w:t>
      </w:r>
      <w:r w:rsidR="00AD2DFF" w:rsidRPr="00D5464D">
        <w:rPr>
          <w:lang w:val="pt-BR"/>
        </w:rPr>
        <w:t>s es</w:t>
      </w:r>
      <w:r w:rsidR="00CB2CC7" w:rsidRPr="00D5464D">
        <w:rPr>
          <w:lang w:val="pt-BR"/>
        </w:rPr>
        <w:t>tá</w:t>
      </w:r>
      <w:r w:rsidR="00AD2DFF" w:rsidRPr="00D5464D">
        <w:rPr>
          <w:lang w:val="pt-BR"/>
        </w:rPr>
        <w:t xml:space="preserve"> com</w:t>
      </w:r>
      <w:r w:rsidR="002C330E" w:rsidRPr="00D5464D">
        <w:rPr>
          <w:lang w:val="pt-BR"/>
        </w:rPr>
        <w:t>posta</w:t>
      </w:r>
      <w:r w:rsidR="00AD2DFF" w:rsidRPr="00D5464D">
        <w:rPr>
          <w:lang w:val="pt-BR"/>
        </w:rPr>
        <w:t xml:space="preserve"> por </w:t>
      </w:r>
      <w:r w:rsidR="00E045D9" w:rsidRPr="00D5464D">
        <w:rPr>
          <w:lang w:val="pt-BR"/>
        </w:rPr>
        <w:t>homens</w:t>
      </w:r>
      <w:r w:rsidR="00AD2DFF" w:rsidRPr="00D5464D">
        <w:rPr>
          <w:lang w:val="pt-BR"/>
        </w:rPr>
        <w:t xml:space="preserve"> pobres, entre 17</w:t>
      </w:r>
      <w:r w:rsidR="00E045D9" w:rsidRPr="00D5464D">
        <w:rPr>
          <w:lang w:val="pt-BR"/>
        </w:rPr>
        <w:t xml:space="preserve"> e </w:t>
      </w:r>
      <w:r w:rsidR="00AD2DFF" w:rsidRPr="00D5464D">
        <w:rPr>
          <w:lang w:val="pt-BR"/>
        </w:rPr>
        <w:t xml:space="preserve">40 </w:t>
      </w:r>
      <w:r w:rsidR="00470ADC" w:rsidRPr="00D5464D">
        <w:rPr>
          <w:lang w:val="pt-BR"/>
        </w:rPr>
        <w:t>anos</w:t>
      </w:r>
      <w:r w:rsidR="00AD2DFF" w:rsidRPr="00D5464D">
        <w:rPr>
          <w:lang w:val="pt-BR"/>
        </w:rPr>
        <w:t xml:space="preserve"> de</w:t>
      </w:r>
      <w:r w:rsidR="00470ADC" w:rsidRPr="00D5464D">
        <w:rPr>
          <w:lang w:val="pt-BR"/>
        </w:rPr>
        <w:t xml:space="preserve"> idade</w:t>
      </w:r>
      <w:r w:rsidR="002A638B" w:rsidRPr="00D5464D">
        <w:rPr>
          <w:lang w:val="pt-BR"/>
        </w:rPr>
        <w:t>, afrodescend</w:t>
      </w:r>
      <w:r w:rsidR="00AD2DFF" w:rsidRPr="00D5464D">
        <w:rPr>
          <w:lang w:val="pt-BR"/>
        </w:rPr>
        <w:t>entes</w:t>
      </w:r>
      <w:r w:rsidR="00E045D9" w:rsidRPr="00D5464D">
        <w:rPr>
          <w:lang w:val="pt-BR"/>
        </w:rPr>
        <w:t xml:space="preserve"> e </w:t>
      </w:r>
      <w:r w:rsidR="002A638B" w:rsidRPr="00D5464D">
        <w:rPr>
          <w:lang w:val="pt-BR"/>
        </w:rPr>
        <w:t>mulatos</w:t>
      </w:r>
      <w:r w:rsidR="00AD2DFF" w:rsidRPr="00D5464D">
        <w:rPr>
          <w:lang w:val="pt-BR"/>
        </w:rPr>
        <w:t xml:space="preserve">, </w:t>
      </w:r>
      <w:r w:rsidR="00230C71" w:rsidRPr="00D5464D">
        <w:rPr>
          <w:lang w:val="pt-BR"/>
        </w:rPr>
        <w:t>originário</w:t>
      </w:r>
      <w:r w:rsidR="00AD2DFF" w:rsidRPr="00D5464D">
        <w:rPr>
          <w:lang w:val="pt-BR"/>
        </w:rPr>
        <w:t xml:space="preserve">s </w:t>
      </w:r>
      <w:r w:rsidR="00A1358C" w:rsidRPr="00D5464D">
        <w:rPr>
          <w:lang w:val="pt-BR"/>
        </w:rPr>
        <w:t>de Estado</w:t>
      </w:r>
      <w:r w:rsidR="00AD2DFF" w:rsidRPr="00D5464D">
        <w:rPr>
          <w:lang w:val="pt-BR"/>
        </w:rPr>
        <w:t xml:space="preserve">s </w:t>
      </w:r>
      <w:r w:rsidR="002C330E" w:rsidRPr="00D5464D">
        <w:rPr>
          <w:lang w:val="pt-BR"/>
        </w:rPr>
        <w:t>muito</w:t>
      </w:r>
      <w:r w:rsidR="00AD2DFF" w:rsidRPr="00D5464D">
        <w:rPr>
          <w:lang w:val="pt-BR"/>
        </w:rPr>
        <w:t xml:space="preserve"> pobres, como </w:t>
      </w:r>
      <w:r w:rsidR="002A638B" w:rsidRPr="00D5464D">
        <w:rPr>
          <w:lang w:val="pt-BR"/>
        </w:rPr>
        <w:t xml:space="preserve">o </w:t>
      </w:r>
      <w:r w:rsidR="00AD2DFF" w:rsidRPr="00D5464D">
        <w:rPr>
          <w:lang w:val="pt-BR"/>
        </w:rPr>
        <w:t>Piauí,</w:t>
      </w:r>
      <w:r w:rsidR="00470ADC" w:rsidRPr="00D5464D">
        <w:rPr>
          <w:lang w:val="pt-BR"/>
        </w:rPr>
        <w:t xml:space="preserve"> onde</w:t>
      </w:r>
      <w:r w:rsidR="00AD2DFF" w:rsidRPr="00D5464D">
        <w:rPr>
          <w:lang w:val="pt-BR"/>
        </w:rPr>
        <w:t xml:space="preserve"> </w:t>
      </w:r>
      <w:r w:rsidR="00230C71" w:rsidRPr="00D5464D">
        <w:rPr>
          <w:lang w:val="pt-BR"/>
        </w:rPr>
        <w:t>viviam</w:t>
      </w:r>
      <w:r w:rsidR="00470ADC" w:rsidRPr="00D5464D">
        <w:rPr>
          <w:lang w:val="pt-BR"/>
        </w:rPr>
        <w:t xml:space="preserve"> em </w:t>
      </w:r>
      <w:r w:rsidR="00AD2DFF" w:rsidRPr="00D5464D">
        <w:rPr>
          <w:lang w:val="pt-BR"/>
        </w:rPr>
        <w:t>situa</w:t>
      </w:r>
      <w:r w:rsidR="00470ADC" w:rsidRPr="00D5464D">
        <w:rPr>
          <w:lang w:val="pt-BR"/>
        </w:rPr>
        <w:t>ção</w:t>
      </w:r>
      <w:r w:rsidR="00AD2DFF" w:rsidRPr="00D5464D">
        <w:rPr>
          <w:lang w:val="pt-BR"/>
        </w:rPr>
        <w:t xml:space="preserve"> de extrema pobreza</w:t>
      </w:r>
      <w:r w:rsidR="00E045D9" w:rsidRPr="00D5464D">
        <w:rPr>
          <w:lang w:val="pt-BR"/>
        </w:rPr>
        <w:t xml:space="preserve"> e </w:t>
      </w:r>
      <w:r w:rsidR="00A1358C" w:rsidRPr="00D5464D">
        <w:rPr>
          <w:lang w:val="pt-BR"/>
        </w:rPr>
        <w:t>vulnerabilidade.</w:t>
      </w:r>
      <w:r w:rsidR="00AD2DFF" w:rsidRPr="00D5464D">
        <w:rPr>
          <w:lang w:val="pt-BR"/>
        </w:rPr>
        <w:t xml:space="preserve"> </w:t>
      </w:r>
      <w:r w:rsidR="00470ADC" w:rsidRPr="00D5464D">
        <w:rPr>
          <w:lang w:val="pt-BR"/>
        </w:rPr>
        <w:t>Esta</w:t>
      </w:r>
      <w:r w:rsidR="00AD2DFF" w:rsidRPr="00D5464D">
        <w:rPr>
          <w:lang w:val="pt-BR"/>
        </w:rPr>
        <w:t xml:space="preserve"> situa</w:t>
      </w:r>
      <w:r w:rsidR="00470ADC" w:rsidRPr="00D5464D">
        <w:rPr>
          <w:lang w:val="pt-BR"/>
        </w:rPr>
        <w:t>ção</w:t>
      </w:r>
      <w:r w:rsidR="002A638B" w:rsidRPr="00D5464D">
        <w:rPr>
          <w:lang w:val="pt-BR"/>
        </w:rPr>
        <w:t xml:space="preserve"> corresponderi</w:t>
      </w:r>
      <w:r w:rsidR="00AD2DFF" w:rsidRPr="00D5464D">
        <w:rPr>
          <w:lang w:val="pt-BR"/>
        </w:rPr>
        <w:t>a a</w:t>
      </w:r>
      <w:r w:rsidR="00E045D9" w:rsidRPr="00D5464D">
        <w:rPr>
          <w:lang w:val="pt-BR"/>
        </w:rPr>
        <w:t xml:space="preserve"> uma </w:t>
      </w:r>
      <w:r w:rsidR="00470ADC" w:rsidRPr="00D5464D">
        <w:rPr>
          <w:lang w:val="pt-BR"/>
        </w:rPr>
        <w:t>questão</w:t>
      </w:r>
      <w:r w:rsidR="00AD2DFF" w:rsidRPr="00D5464D">
        <w:rPr>
          <w:lang w:val="pt-BR"/>
        </w:rPr>
        <w:t xml:space="preserve"> de “discrimina</w:t>
      </w:r>
      <w:r w:rsidR="00470ADC" w:rsidRPr="00D5464D">
        <w:rPr>
          <w:lang w:val="pt-BR"/>
        </w:rPr>
        <w:t>ção</w:t>
      </w:r>
      <w:r w:rsidR="00AD2DFF" w:rsidRPr="00D5464D">
        <w:rPr>
          <w:lang w:val="pt-BR"/>
        </w:rPr>
        <w:t xml:space="preserve"> </w:t>
      </w:r>
      <w:r w:rsidR="00470ADC" w:rsidRPr="00D5464D">
        <w:rPr>
          <w:lang w:val="pt-BR"/>
        </w:rPr>
        <w:t>estrutura</w:t>
      </w:r>
      <w:r w:rsidR="00AD2DFF" w:rsidRPr="00D5464D">
        <w:rPr>
          <w:lang w:val="pt-BR"/>
        </w:rPr>
        <w:t xml:space="preserve">l”. </w:t>
      </w:r>
      <w:r w:rsidR="00470ADC" w:rsidRPr="00D5464D">
        <w:rPr>
          <w:lang w:val="pt-BR"/>
        </w:rPr>
        <w:t>Assim</w:t>
      </w:r>
      <w:r w:rsidR="00AD2DFF" w:rsidRPr="00D5464D">
        <w:rPr>
          <w:lang w:val="pt-BR"/>
        </w:rPr>
        <w:t>, para</w:t>
      </w:r>
      <w:r w:rsidR="002C330E" w:rsidRPr="00D5464D">
        <w:rPr>
          <w:lang w:val="pt-BR"/>
        </w:rPr>
        <w:t xml:space="preserve"> os </w:t>
      </w:r>
      <w:r w:rsidR="00EB1CE9" w:rsidRPr="00D5464D">
        <w:rPr>
          <w:lang w:val="pt-BR"/>
        </w:rPr>
        <w:t>representante</w:t>
      </w:r>
      <w:r w:rsidR="00AD2DFF" w:rsidRPr="00D5464D">
        <w:rPr>
          <w:lang w:val="pt-BR"/>
        </w:rPr>
        <w:t xml:space="preserve">s, </w:t>
      </w:r>
      <w:r w:rsidR="00767387" w:rsidRPr="00D5464D">
        <w:rPr>
          <w:lang w:val="pt-BR"/>
        </w:rPr>
        <w:t xml:space="preserve">o Estado </w:t>
      </w:r>
      <w:r w:rsidR="00470ADC" w:rsidRPr="00D5464D">
        <w:rPr>
          <w:lang w:val="pt-BR"/>
        </w:rPr>
        <w:t>“</w:t>
      </w:r>
      <w:r w:rsidR="00C56E63" w:rsidRPr="00D5464D">
        <w:rPr>
          <w:lang w:val="pt-BR"/>
        </w:rPr>
        <w:t xml:space="preserve">não cumpriu com a sua obrigação de realizar ações efetivas para eliminar a prática de trabalho forçado, do tráfico de pessoas e da servidão por dívidas e de remover os obstáculos ao acesso à justiça com fundamento na origem, etnia, raça e posição socioeconômica das vítimas, permitindo a manutenção de fatores de discriminação estrutural que facilitaram que </w:t>
      </w:r>
      <w:r w:rsidR="00767387" w:rsidRPr="00D5464D">
        <w:rPr>
          <w:lang w:val="pt-BR"/>
        </w:rPr>
        <w:t>os trabalhadores da F</w:t>
      </w:r>
      <w:r w:rsidR="00C56E63" w:rsidRPr="00D5464D">
        <w:rPr>
          <w:lang w:val="pt-BR"/>
        </w:rPr>
        <w:t>azenda Brasil Verde fossem vítimas de tráfico, escravidão e trabalho forçado</w:t>
      </w:r>
      <w:r w:rsidR="00AD2DFF" w:rsidRPr="00D5464D">
        <w:rPr>
          <w:lang w:val="pt-BR"/>
        </w:rPr>
        <w:t>”.</w:t>
      </w:r>
      <w:r w:rsidR="00470ADC" w:rsidRPr="00D5464D">
        <w:rPr>
          <w:lang w:val="pt-BR"/>
        </w:rPr>
        <w:t xml:space="preserve"> </w:t>
      </w:r>
      <w:r w:rsidR="002A638B" w:rsidRPr="00D5464D">
        <w:rPr>
          <w:lang w:val="pt-BR"/>
        </w:rPr>
        <w:t>N</w:t>
      </w:r>
      <w:r w:rsidR="00737270" w:rsidRPr="00D5464D">
        <w:rPr>
          <w:lang w:val="pt-BR"/>
        </w:rPr>
        <w:t>esse</w:t>
      </w:r>
      <w:r w:rsidR="00470ADC" w:rsidRPr="00D5464D">
        <w:rPr>
          <w:lang w:val="pt-BR"/>
        </w:rPr>
        <w:t xml:space="preserve"> </w:t>
      </w:r>
      <w:r w:rsidR="00AD2DFF" w:rsidRPr="00D5464D">
        <w:rPr>
          <w:lang w:val="pt-BR"/>
        </w:rPr>
        <w:t>sentido,</w:t>
      </w:r>
      <w:r w:rsidR="002C330E" w:rsidRPr="00D5464D">
        <w:rPr>
          <w:lang w:val="pt-BR"/>
        </w:rPr>
        <w:t xml:space="preserve"> os </w:t>
      </w:r>
      <w:r w:rsidR="00EB1CE9" w:rsidRPr="00D5464D">
        <w:rPr>
          <w:lang w:val="pt-BR"/>
        </w:rPr>
        <w:t>representante</w:t>
      </w:r>
      <w:r w:rsidR="00AD2DFF" w:rsidRPr="00D5464D">
        <w:rPr>
          <w:lang w:val="pt-BR"/>
        </w:rPr>
        <w:t xml:space="preserve">s </w:t>
      </w:r>
      <w:r w:rsidR="002C330E" w:rsidRPr="00D5464D">
        <w:rPr>
          <w:lang w:val="pt-BR"/>
        </w:rPr>
        <w:t xml:space="preserve">solicitaram a </w:t>
      </w:r>
      <w:r w:rsidR="00AD2DFF" w:rsidRPr="00D5464D">
        <w:rPr>
          <w:lang w:val="pt-BR"/>
        </w:rPr>
        <w:t>declara</w:t>
      </w:r>
      <w:r w:rsidR="00470ADC" w:rsidRPr="00D5464D">
        <w:rPr>
          <w:lang w:val="pt-BR"/>
        </w:rPr>
        <w:t>ção</w:t>
      </w:r>
      <w:r w:rsidR="00AD2DFF" w:rsidRPr="00D5464D">
        <w:rPr>
          <w:lang w:val="pt-BR"/>
        </w:rPr>
        <w:t xml:space="preserve"> de viola</w:t>
      </w:r>
      <w:r w:rsidR="00470ADC" w:rsidRPr="00D5464D">
        <w:rPr>
          <w:lang w:val="pt-BR"/>
        </w:rPr>
        <w:t>ção</w:t>
      </w:r>
      <w:r w:rsidR="00AD2DFF" w:rsidRPr="00D5464D">
        <w:rPr>
          <w:lang w:val="pt-BR"/>
        </w:rPr>
        <w:t xml:space="preserve"> </w:t>
      </w:r>
      <w:r w:rsidR="00470ADC" w:rsidRPr="00D5464D">
        <w:rPr>
          <w:lang w:val="pt-BR"/>
        </w:rPr>
        <w:t>do artigo</w:t>
      </w:r>
      <w:r w:rsidR="00AD2DFF" w:rsidRPr="00D5464D">
        <w:rPr>
          <w:lang w:val="pt-BR"/>
        </w:rPr>
        <w:t xml:space="preserve"> 6</w:t>
      </w:r>
      <w:r w:rsidR="00470ADC" w:rsidRPr="00D5464D">
        <w:rPr>
          <w:lang w:val="pt-BR"/>
        </w:rPr>
        <w:t xml:space="preserve"> da </w:t>
      </w:r>
      <w:r w:rsidR="00AD2DFF" w:rsidRPr="00D5464D">
        <w:rPr>
          <w:lang w:val="pt-BR"/>
        </w:rPr>
        <w:t>Conven</w:t>
      </w:r>
      <w:r w:rsidR="00470ADC" w:rsidRPr="00D5464D">
        <w:rPr>
          <w:lang w:val="pt-BR"/>
        </w:rPr>
        <w:t>ção</w:t>
      </w:r>
      <w:r w:rsidR="00CB2CC7" w:rsidRPr="00D5464D">
        <w:rPr>
          <w:lang w:val="pt-BR"/>
        </w:rPr>
        <w:t xml:space="preserve"> Americana</w:t>
      </w:r>
      <w:r w:rsidR="00AD2DFF" w:rsidRPr="00D5464D">
        <w:rPr>
          <w:lang w:val="pt-BR"/>
        </w:rPr>
        <w:t>,</w:t>
      </w:r>
      <w:r w:rsidR="00470ADC" w:rsidRPr="00D5464D">
        <w:rPr>
          <w:lang w:val="pt-BR"/>
        </w:rPr>
        <w:t xml:space="preserve"> em </w:t>
      </w:r>
      <w:r w:rsidR="00AD2DFF" w:rsidRPr="00D5464D">
        <w:rPr>
          <w:lang w:val="pt-BR"/>
        </w:rPr>
        <w:t>rela</w:t>
      </w:r>
      <w:r w:rsidR="00470ADC" w:rsidRPr="00D5464D">
        <w:rPr>
          <w:lang w:val="pt-BR"/>
        </w:rPr>
        <w:t>ção</w:t>
      </w:r>
      <w:r w:rsidR="00AD2DFF" w:rsidRPr="00D5464D">
        <w:rPr>
          <w:lang w:val="pt-BR"/>
        </w:rPr>
        <w:t xml:space="preserve">, entre </w:t>
      </w:r>
      <w:r w:rsidR="002C330E" w:rsidRPr="00D5464D">
        <w:rPr>
          <w:lang w:val="pt-BR"/>
        </w:rPr>
        <w:t>outros</w:t>
      </w:r>
      <w:r w:rsidR="00AD2DFF" w:rsidRPr="00D5464D">
        <w:rPr>
          <w:lang w:val="pt-BR"/>
        </w:rPr>
        <w:t>,</w:t>
      </w:r>
      <w:r w:rsidR="00470ADC" w:rsidRPr="00D5464D">
        <w:rPr>
          <w:lang w:val="pt-BR"/>
        </w:rPr>
        <w:t xml:space="preserve"> </w:t>
      </w:r>
      <w:r w:rsidR="002A638B" w:rsidRPr="00D5464D">
        <w:rPr>
          <w:lang w:val="pt-BR"/>
        </w:rPr>
        <w:t>a</w:t>
      </w:r>
      <w:r w:rsidR="00470ADC" w:rsidRPr="00D5464D">
        <w:rPr>
          <w:lang w:val="pt-BR"/>
        </w:rPr>
        <w:t>o artigo</w:t>
      </w:r>
      <w:r w:rsidR="00AD2DFF" w:rsidRPr="00D5464D">
        <w:rPr>
          <w:lang w:val="pt-BR"/>
        </w:rPr>
        <w:t xml:space="preserve"> 1.1 </w:t>
      </w:r>
      <w:r w:rsidR="00470ADC" w:rsidRPr="00D5464D">
        <w:rPr>
          <w:lang w:val="pt-BR"/>
        </w:rPr>
        <w:t xml:space="preserve">do </w:t>
      </w:r>
      <w:r w:rsidR="002C330E" w:rsidRPr="00D5464D">
        <w:rPr>
          <w:lang w:val="pt-BR"/>
        </w:rPr>
        <w:t>mesm</w:t>
      </w:r>
      <w:r w:rsidR="00CB2CC7" w:rsidRPr="00D5464D">
        <w:rPr>
          <w:lang w:val="pt-BR"/>
        </w:rPr>
        <w:t>o instrumento</w:t>
      </w:r>
      <w:r w:rsidR="00AD2DFF" w:rsidRPr="00D5464D">
        <w:rPr>
          <w:lang w:val="pt-BR"/>
        </w:rPr>
        <w:t>. Posteriormente,</w:t>
      </w:r>
      <w:r w:rsidR="00470ADC" w:rsidRPr="00D5464D">
        <w:rPr>
          <w:lang w:val="pt-BR"/>
        </w:rPr>
        <w:t xml:space="preserve"> em </w:t>
      </w:r>
      <w:r w:rsidR="00E045D9" w:rsidRPr="00D5464D">
        <w:rPr>
          <w:lang w:val="pt-BR"/>
        </w:rPr>
        <w:t xml:space="preserve">suas </w:t>
      </w:r>
      <w:r w:rsidR="00350187" w:rsidRPr="00D5464D">
        <w:rPr>
          <w:lang w:val="pt-BR"/>
        </w:rPr>
        <w:t>alegações finais escritas</w:t>
      </w:r>
      <w:r w:rsidR="00AD2DFF" w:rsidRPr="00D5464D">
        <w:rPr>
          <w:lang w:val="pt-BR"/>
        </w:rPr>
        <w:t xml:space="preserve">, </w:t>
      </w:r>
      <w:r w:rsidR="002C330E" w:rsidRPr="00D5464D">
        <w:rPr>
          <w:lang w:val="pt-BR"/>
        </w:rPr>
        <w:t>solicitaram</w:t>
      </w:r>
      <w:r w:rsidR="00AD2DFF" w:rsidRPr="00D5464D">
        <w:rPr>
          <w:lang w:val="pt-BR"/>
        </w:rPr>
        <w:t xml:space="preserve"> </w:t>
      </w:r>
      <w:r w:rsidR="00E045D9" w:rsidRPr="00D5464D">
        <w:rPr>
          <w:lang w:val="pt-BR"/>
        </w:rPr>
        <w:t>também</w:t>
      </w:r>
      <w:r w:rsidR="002C330E" w:rsidRPr="00D5464D">
        <w:rPr>
          <w:lang w:val="pt-BR"/>
        </w:rPr>
        <w:t xml:space="preserve"> </w:t>
      </w:r>
      <w:r w:rsidR="00815EE5" w:rsidRPr="00D5464D">
        <w:rPr>
          <w:lang w:val="pt-BR"/>
        </w:rPr>
        <w:t>o reconhecimento d</w:t>
      </w:r>
      <w:r w:rsidR="002C330E" w:rsidRPr="00D5464D">
        <w:rPr>
          <w:lang w:val="pt-BR"/>
        </w:rPr>
        <w:t xml:space="preserve">a </w:t>
      </w:r>
      <w:r w:rsidR="00AD2DFF" w:rsidRPr="00D5464D">
        <w:rPr>
          <w:lang w:val="pt-BR"/>
        </w:rPr>
        <w:t>viola</w:t>
      </w:r>
      <w:r w:rsidR="00470ADC" w:rsidRPr="00D5464D">
        <w:rPr>
          <w:lang w:val="pt-BR"/>
        </w:rPr>
        <w:t>ção</w:t>
      </w:r>
      <w:r w:rsidR="00AD2DFF" w:rsidRPr="00D5464D">
        <w:rPr>
          <w:lang w:val="pt-BR"/>
        </w:rPr>
        <w:t xml:space="preserve"> </w:t>
      </w:r>
      <w:r w:rsidR="00470ADC" w:rsidRPr="00D5464D">
        <w:rPr>
          <w:lang w:val="pt-BR"/>
        </w:rPr>
        <w:t>do artigo</w:t>
      </w:r>
      <w:r w:rsidR="00AD2DFF" w:rsidRPr="00D5464D">
        <w:rPr>
          <w:lang w:val="pt-BR"/>
        </w:rPr>
        <w:t xml:space="preserve"> 24</w:t>
      </w:r>
      <w:r w:rsidR="00470ADC" w:rsidRPr="00D5464D">
        <w:rPr>
          <w:lang w:val="pt-BR"/>
        </w:rPr>
        <w:t xml:space="preserve"> da </w:t>
      </w:r>
      <w:r w:rsidR="00AD2DFF" w:rsidRPr="00D5464D">
        <w:rPr>
          <w:lang w:val="pt-BR"/>
        </w:rPr>
        <w:t>Conven</w:t>
      </w:r>
      <w:r w:rsidR="00470ADC" w:rsidRPr="00D5464D">
        <w:rPr>
          <w:lang w:val="pt-BR"/>
        </w:rPr>
        <w:t>ção</w:t>
      </w:r>
      <w:r w:rsidR="00AD2DFF" w:rsidRPr="00D5464D">
        <w:rPr>
          <w:lang w:val="pt-BR"/>
        </w:rPr>
        <w:t>.</w:t>
      </w:r>
    </w:p>
    <w:p w14:paraId="5F9C0F06" w14:textId="77777777" w:rsidR="00207197" w:rsidRPr="00D5464D" w:rsidRDefault="00207197" w:rsidP="00140440">
      <w:pPr>
        <w:jc w:val="both"/>
        <w:rPr>
          <w:lang w:val="pt-BR"/>
        </w:rPr>
      </w:pPr>
    </w:p>
    <w:p w14:paraId="00F94BD3" w14:textId="677B0988" w:rsidR="00207197" w:rsidRPr="00D5464D" w:rsidRDefault="00737270" w:rsidP="00F37DC4">
      <w:pPr>
        <w:pStyle w:val="Prrafodelista"/>
        <w:numPr>
          <w:ilvl w:val="0"/>
          <w:numId w:val="1"/>
        </w:numPr>
        <w:contextualSpacing w:val="0"/>
        <w:rPr>
          <w:lang w:val="pt-BR"/>
        </w:rPr>
      </w:pPr>
      <w:r w:rsidRPr="00D5464D">
        <w:rPr>
          <w:lang w:val="pt-BR"/>
        </w:rPr>
        <w:t xml:space="preserve">Os </w:t>
      </w:r>
      <w:r w:rsidR="00EB1CE9" w:rsidRPr="00D5464D">
        <w:rPr>
          <w:lang w:val="pt-BR"/>
        </w:rPr>
        <w:t>representante</w:t>
      </w:r>
      <w:r w:rsidRPr="00D5464D">
        <w:rPr>
          <w:lang w:val="pt-BR"/>
        </w:rPr>
        <w:t xml:space="preserve">s </w:t>
      </w:r>
      <w:r w:rsidR="00E045D9" w:rsidRPr="00D5464D">
        <w:rPr>
          <w:lang w:val="pt-BR"/>
        </w:rPr>
        <w:t>concluíram</w:t>
      </w:r>
      <w:r w:rsidR="00207197" w:rsidRPr="00D5464D">
        <w:rPr>
          <w:lang w:val="pt-BR"/>
        </w:rPr>
        <w:t xml:space="preserve"> que </w:t>
      </w:r>
      <w:r w:rsidR="002A638B" w:rsidRPr="00D5464D">
        <w:rPr>
          <w:lang w:val="pt-BR"/>
        </w:rPr>
        <w:t xml:space="preserve">o </w:t>
      </w:r>
      <w:r w:rsidR="00207197" w:rsidRPr="00D5464D">
        <w:rPr>
          <w:lang w:val="pt-BR"/>
        </w:rPr>
        <w:t>Brasil</w:t>
      </w:r>
      <w:r w:rsidR="00470ADC" w:rsidRPr="00D5464D">
        <w:rPr>
          <w:lang w:val="pt-BR"/>
        </w:rPr>
        <w:t xml:space="preserve"> é </w:t>
      </w:r>
      <w:r w:rsidR="002A638B" w:rsidRPr="00D5464D">
        <w:rPr>
          <w:lang w:val="pt-BR"/>
        </w:rPr>
        <w:t xml:space="preserve">internacionalmente </w:t>
      </w:r>
      <w:r w:rsidR="002C330E" w:rsidRPr="00D5464D">
        <w:rPr>
          <w:lang w:val="pt-BR"/>
        </w:rPr>
        <w:t xml:space="preserve">responsável </w:t>
      </w:r>
      <w:r w:rsidR="00207197" w:rsidRPr="00D5464D">
        <w:rPr>
          <w:lang w:val="pt-BR"/>
        </w:rPr>
        <w:t xml:space="preserve">por </w:t>
      </w:r>
      <w:r w:rsidR="00A1358C" w:rsidRPr="00D5464D">
        <w:rPr>
          <w:lang w:val="pt-BR"/>
        </w:rPr>
        <w:t>descumprir</w:t>
      </w:r>
      <w:r w:rsidR="00470ADC" w:rsidRPr="00D5464D">
        <w:rPr>
          <w:lang w:val="pt-BR"/>
        </w:rPr>
        <w:t xml:space="preserve"> </w:t>
      </w:r>
      <w:r w:rsidR="00E045D9" w:rsidRPr="00D5464D">
        <w:rPr>
          <w:lang w:val="pt-BR"/>
        </w:rPr>
        <w:t>sua obrigação</w:t>
      </w:r>
      <w:r w:rsidR="00207197" w:rsidRPr="00D5464D">
        <w:rPr>
          <w:lang w:val="pt-BR"/>
        </w:rPr>
        <w:t xml:space="preserve"> de </w:t>
      </w:r>
      <w:r w:rsidR="002C330E" w:rsidRPr="00D5464D">
        <w:rPr>
          <w:lang w:val="pt-BR"/>
        </w:rPr>
        <w:t xml:space="preserve">garantia </w:t>
      </w:r>
      <w:r w:rsidR="002A638B" w:rsidRPr="00D5464D">
        <w:rPr>
          <w:lang w:val="pt-BR"/>
        </w:rPr>
        <w:t>da</w:t>
      </w:r>
      <w:r w:rsidR="00470ADC" w:rsidRPr="00D5464D">
        <w:rPr>
          <w:lang w:val="pt-BR"/>
        </w:rPr>
        <w:t xml:space="preserve"> </w:t>
      </w:r>
      <w:r w:rsidR="002C330E" w:rsidRPr="00D5464D">
        <w:rPr>
          <w:lang w:val="pt-BR"/>
        </w:rPr>
        <w:t>proibição</w:t>
      </w:r>
      <w:r w:rsidR="00207197" w:rsidRPr="00D5464D">
        <w:rPr>
          <w:lang w:val="pt-BR"/>
        </w:rPr>
        <w:t xml:space="preserve"> de </w:t>
      </w:r>
      <w:r w:rsidR="000B376D" w:rsidRPr="00D5464D">
        <w:rPr>
          <w:lang w:val="pt-BR"/>
        </w:rPr>
        <w:t>escravidão</w:t>
      </w:r>
      <w:r w:rsidR="002A638B" w:rsidRPr="00D5464D">
        <w:rPr>
          <w:lang w:val="pt-BR"/>
        </w:rPr>
        <w:t>,</w:t>
      </w:r>
      <w:r w:rsidR="00207197" w:rsidRPr="00D5464D">
        <w:rPr>
          <w:lang w:val="pt-BR"/>
        </w:rPr>
        <w:t xml:space="preserve"> </w:t>
      </w:r>
      <w:r w:rsidR="00350187" w:rsidRPr="00D5464D">
        <w:rPr>
          <w:lang w:val="pt-BR"/>
        </w:rPr>
        <w:t>contida</w:t>
      </w:r>
      <w:r w:rsidR="00E045D9" w:rsidRPr="00D5464D">
        <w:rPr>
          <w:lang w:val="pt-BR"/>
        </w:rPr>
        <w:t xml:space="preserve"> no </w:t>
      </w:r>
      <w:r w:rsidR="00470ADC" w:rsidRPr="00D5464D">
        <w:rPr>
          <w:lang w:val="pt-BR"/>
        </w:rPr>
        <w:t>artigo</w:t>
      </w:r>
      <w:r w:rsidR="00207197" w:rsidRPr="00D5464D">
        <w:rPr>
          <w:lang w:val="pt-BR"/>
        </w:rPr>
        <w:t xml:space="preserve"> 6</w:t>
      </w:r>
      <w:r w:rsidR="00470ADC" w:rsidRPr="00D5464D">
        <w:rPr>
          <w:lang w:val="pt-BR"/>
        </w:rPr>
        <w:t xml:space="preserve"> da </w:t>
      </w:r>
      <w:r w:rsidR="00207197" w:rsidRPr="00D5464D">
        <w:rPr>
          <w:lang w:val="pt-BR"/>
        </w:rPr>
        <w:t>Conven</w:t>
      </w:r>
      <w:r w:rsidR="00470ADC" w:rsidRPr="00D5464D">
        <w:rPr>
          <w:lang w:val="pt-BR"/>
        </w:rPr>
        <w:t>ção</w:t>
      </w:r>
      <w:r w:rsidR="00207197" w:rsidRPr="00D5464D">
        <w:rPr>
          <w:lang w:val="pt-BR"/>
        </w:rPr>
        <w:t xml:space="preserve"> Americana,</w:t>
      </w:r>
      <w:r w:rsidR="00470ADC" w:rsidRPr="00D5464D">
        <w:rPr>
          <w:lang w:val="pt-BR"/>
        </w:rPr>
        <w:t xml:space="preserve"> em </w:t>
      </w:r>
      <w:r w:rsidR="00207197" w:rsidRPr="00D5464D">
        <w:rPr>
          <w:lang w:val="pt-BR"/>
        </w:rPr>
        <w:t>rela</w:t>
      </w:r>
      <w:r w:rsidR="00470ADC" w:rsidRPr="00D5464D">
        <w:rPr>
          <w:lang w:val="pt-BR"/>
        </w:rPr>
        <w:t xml:space="preserve">ção </w:t>
      </w:r>
      <w:r w:rsidR="002A638B" w:rsidRPr="00D5464D">
        <w:rPr>
          <w:lang w:val="pt-BR"/>
        </w:rPr>
        <w:t>a</w:t>
      </w:r>
      <w:r w:rsidR="002C330E" w:rsidRPr="00D5464D">
        <w:rPr>
          <w:lang w:val="pt-BR"/>
        </w:rPr>
        <w:t xml:space="preserve">os </w:t>
      </w:r>
      <w:r w:rsidR="00470ADC" w:rsidRPr="00D5464D">
        <w:rPr>
          <w:lang w:val="pt-BR"/>
        </w:rPr>
        <w:t>direito</w:t>
      </w:r>
      <w:r w:rsidR="00207197" w:rsidRPr="00D5464D">
        <w:rPr>
          <w:lang w:val="pt-BR"/>
        </w:rPr>
        <w:t>s</w:t>
      </w:r>
      <w:r w:rsidR="00470ADC" w:rsidRPr="00D5464D">
        <w:rPr>
          <w:lang w:val="pt-BR"/>
        </w:rPr>
        <w:t xml:space="preserve"> à </w:t>
      </w:r>
      <w:r w:rsidR="002C330E" w:rsidRPr="00D5464D">
        <w:rPr>
          <w:lang w:val="pt-BR"/>
        </w:rPr>
        <w:t xml:space="preserve">personalidade </w:t>
      </w:r>
      <w:r w:rsidR="00207197" w:rsidRPr="00D5464D">
        <w:rPr>
          <w:lang w:val="pt-BR"/>
        </w:rPr>
        <w:t xml:space="preserve">jurídica, </w:t>
      </w:r>
      <w:r w:rsidR="002A638B" w:rsidRPr="00D5464D">
        <w:rPr>
          <w:lang w:val="pt-BR"/>
        </w:rPr>
        <w:t xml:space="preserve">à </w:t>
      </w:r>
      <w:r w:rsidR="002C330E" w:rsidRPr="00D5464D">
        <w:rPr>
          <w:lang w:val="pt-BR"/>
        </w:rPr>
        <w:t>integridade pessoa</w:t>
      </w:r>
      <w:r w:rsidR="00207197" w:rsidRPr="00D5464D">
        <w:rPr>
          <w:lang w:val="pt-BR"/>
        </w:rPr>
        <w:t xml:space="preserve">l, </w:t>
      </w:r>
      <w:r w:rsidR="002A638B" w:rsidRPr="00D5464D">
        <w:rPr>
          <w:lang w:val="pt-BR"/>
        </w:rPr>
        <w:t xml:space="preserve">à </w:t>
      </w:r>
      <w:r w:rsidR="002C330E" w:rsidRPr="00D5464D">
        <w:rPr>
          <w:lang w:val="pt-BR"/>
        </w:rPr>
        <w:t>liberdade</w:t>
      </w:r>
      <w:r w:rsidR="00E045D9" w:rsidRPr="00D5464D">
        <w:rPr>
          <w:lang w:val="pt-BR"/>
        </w:rPr>
        <w:t xml:space="preserve"> e </w:t>
      </w:r>
      <w:r w:rsidR="002C330E" w:rsidRPr="00D5464D">
        <w:rPr>
          <w:lang w:val="pt-BR"/>
        </w:rPr>
        <w:t>segurança</w:t>
      </w:r>
      <w:r w:rsidR="00207197" w:rsidRPr="00D5464D">
        <w:rPr>
          <w:lang w:val="pt-BR"/>
        </w:rPr>
        <w:t xml:space="preserve"> </w:t>
      </w:r>
      <w:r w:rsidR="002C330E" w:rsidRPr="00D5464D">
        <w:rPr>
          <w:lang w:val="pt-BR"/>
        </w:rPr>
        <w:t>pessoa</w:t>
      </w:r>
      <w:r w:rsidR="00207197" w:rsidRPr="00D5464D">
        <w:rPr>
          <w:lang w:val="pt-BR"/>
        </w:rPr>
        <w:t xml:space="preserve">l, </w:t>
      </w:r>
      <w:r w:rsidR="002A638B" w:rsidRPr="00D5464D">
        <w:rPr>
          <w:lang w:val="pt-BR"/>
        </w:rPr>
        <w:t xml:space="preserve">à </w:t>
      </w:r>
      <w:r w:rsidR="00207197" w:rsidRPr="00D5464D">
        <w:rPr>
          <w:lang w:val="pt-BR"/>
        </w:rPr>
        <w:t xml:space="preserve">honra, </w:t>
      </w:r>
      <w:r w:rsidR="002A638B" w:rsidRPr="00D5464D">
        <w:rPr>
          <w:lang w:val="pt-BR"/>
        </w:rPr>
        <w:t xml:space="preserve">à </w:t>
      </w:r>
      <w:r w:rsidR="00207197" w:rsidRPr="00D5464D">
        <w:rPr>
          <w:lang w:val="pt-BR"/>
        </w:rPr>
        <w:t>dig</w:t>
      </w:r>
      <w:r w:rsidRPr="00D5464D">
        <w:rPr>
          <w:lang w:val="pt-BR"/>
        </w:rPr>
        <w:t xml:space="preserve">nidade, </w:t>
      </w:r>
      <w:r w:rsidR="002A638B" w:rsidRPr="00D5464D">
        <w:rPr>
          <w:lang w:val="pt-BR"/>
        </w:rPr>
        <w:t xml:space="preserve">à </w:t>
      </w:r>
      <w:r w:rsidR="00207197" w:rsidRPr="00D5464D">
        <w:rPr>
          <w:lang w:val="pt-BR"/>
        </w:rPr>
        <w:t xml:space="preserve">vida privada, </w:t>
      </w:r>
      <w:r w:rsidR="002A638B" w:rsidRPr="00D5464D">
        <w:rPr>
          <w:lang w:val="pt-BR"/>
        </w:rPr>
        <w:t xml:space="preserve">à </w:t>
      </w:r>
      <w:r w:rsidR="00207197" w:rsidRPr="00D5464D">
        <w:rPr>
          <w:lang w:val="pt-BR"/>
        </w:rPr>
        <w:t>circula</w:t>
      </w:r>
      <w:r w:rsidR="00470ADC" w:rsidRPr="00D5464D">
        <w:rPr>
          <w:lang w:val="pt-BR"/>
        </w:rPr>
        <w:t>ção</w:t>
      </w:r>
      <w:r w:rsidR="00E045D9" w:rsidRPr="00D5464D">
        <w:rPr>
          <w:lang w:val="pt-BR"/>
        </w:rPr>
        <w:t xml:space="preserve"> e </w:t>
      </w:r>
      <w:r w:rsidR="002C330E" w:rsidRPr="00D5464D">
        <w:rPr>
          <w:lang w:val="pt-BR"/>
        </w:rPr>
        <w:t>residência</w:t>
      </w:r>
      <w:r w:rsidR="00207197" w:rsidRPr="00D5464D">
        <w:rPr>
          <w:lang w:val="pt-BR"/>
        </w:rPr>
        <w:t xml:space="preserve"> (</w:t>
      </w:r>
      <w:r w:rsidR="00470ADC" w:rsidRPr="00D5464D">
        <w:rPr>
          <w:lang w:val="pt-BR"/>
        </w:rPr>
        <w:t>artigo</w:t>
      </w:r>
      <w:r w:rsidR="00207197" w:rsidRPr="00D5464D">
        <w:rPr>
          <w:lang w:val="pt-BR"/>
        </w:rPr>
        <w:t>s 3, 5, 7, 11</w:t>
      </w:r>
      <w:r w:rsidR="00E045D9" w:rsidRPr="00D5464D">
        <w:rPr>
          <w:lang w:val="pt-BR"/>
        </w:rPr>
        <w:t xml:space="preserve"> e </w:t>
      </w:r>
      <w:r w:rsidR="00207197" w:rsidRPr="00D5464D">
        <w:rPr>
          <w:lang w:val="pt-BR"/>
        </w:rPr>
        <w:t>22</w:t>
      </w:r>
      <w:r w:rsidR="00470ADC" w:rsidRPr="00D5464D">
        <w:rPr>
          <w:lang w:val="pt-BR"/>
        </w:rPr>
        <w:t xml:space="preserve"> da </w:t>
      </w:r>
      <w:r w:rsidR="00207197" w:rsidRPr="00D5464D">
        <w:rPr>
          <w:lang w:val="pt-BR"/>
        </w:rPr>
        <w:t>Conven</w:t>
      </w:r>
      <w:r w:rsidR="00470ADC" w:rsidRPr="00D5464D">
        <w:rPr>
          <w:lang w:val="pt-BR"/>
        </w:rPr>
        <w:t>ção</w:t>
      </w:r>
      <w:r w:rsidR="00207197" w:rsidRPr="00D5464D">
        <w:rPr>
          <w:lang w:val="pt-BR"/>
        </w:rPr>
        <w:t xml:space="preserve">) </w:t>
      </w:r>
      <w:r w:rsidR="002A638B" w:rsidRPr="00D5464D">
        <w:rPr>
          <w:lang w:val="pt-BR"/>
        </w:rPr>
        <w:t xml:space="preserve">em relação a </w:t>
      </w:r>
      <w:r w:rsidR="00207197" w:rsidRPr="00D5464D">
        <w:rPr>
          <w:lang w:val="pt-BR"/>
        </w:rPr>
        <w:t>todas</w:t>
      </w:r>
      <w:r w:rsidR="002C330E" w:rsidRPr="00D5464D">
        <w:rPr>
          <w:lang w:val="pt-BR"/>
        </w:rPr>
        <w:t xml:space="preserve"> as pessoa</w:t>
      </w:r>
      <w:r w:rsidR="00207197" w:rsidRPr="00D5464D">
        <w:rPr>
          <w:lang w:val="pt-BR"/>
        </w:rPr>
        <w:t xml:space="preserve">s que </w:t>
      </w:r>
      <w:r w:rsidR="00E045D9" w:rsidRPr="00D5464D">
        <w:rPr>
          <w:lang w:val="pt-BR"/>
        </w:rPr>
        <w:t>trabalh</w:t>
      </w:r>
      <w:r w:rsidR="00350187" w:rsidRPr="00D5464D">
        <w:rPr>
          <w:lang w:val="pt-BR"/>
        </w:rPr>
        <w:t xml:space="preserve">avam </w:t>
      </w:r>
      <w:r w:rsidR="002A638B" w:rsidRPr="00D5464D">
        <w:rPr>
          <w:lang w:val="pt-BR"/>
        </w:rPr>
        <w:t>na</w:t>
      </w:r>
      <w:r w:rsidR="00470ADC" w:rsidRPr="00D5464D">
        <w:rPr>
          <w:lang w:val="pt-BR"/>
        </w:rPr>
        <w:t xml:space="preserve"> </w:t>
      </w:r>
      <w:r w:rsidR="00D809F0" w:rsidRPr="00D5464D">
        <w:rPr>
          <w:lang w:val="pt-BR"/>
        </w:rPr>
        <w:t>Fazenda</w:t>
      </w:r>
      <w:r w:rsidR="00207197" w:rsidRPr="00D5464D">
        <w:rPr>
          <w:lang w:val="pt-BR"/>
        </w:rPr>
        <w:t xml:space="preserve"> Brasil Verde </w:t>
      </w:r>
      <w:r w:rsidR="00230C71" w:rsidRPr="00D5464D">
        <w:rPr>
          <w:lang w:val="pt-BR"/>
        </w:rPr>
        <w:t>desde a</w:t>
      </w:r>
      <w:r w:rsidR="00E045D9" w:rsidRPr="00D5464D">
        <w:rPr>
          <w:lang w:val="pt-BR"/>
        </w:rPr>
        <w:t xml:space="preserve"> </w:t>
      </w:r>
      <w:r w:rsidR="00470ADC" w:rsidRPr="00D5464D">
        <w:rPr>
          <w:lang w:val="pt-BR"/>
        </w:rPr>
        <w:t>data</w:t>
      </w:r>
      <w:r w:rsidR="00207197" w:rsidRPr="00D5464D">
        <w:rPr>
          <w:lang w:val="pt-BR"/>
        </w:rPr>
        <w:t xml:space="preserve"> de </w:t>
      </w:r>
      <w:r w:rsidR="00470ADC" w:rsidRPr="00D5464D">
        <w:rPr>
          <w:lang w:val="pt-BR"/>
        </w:rPr>
        <w:t>aceit</w:t>
      </w:r>
      <w:r w:rsidR="00207197" w:rsidRPr="00D5464D">
        <w:rPr>
          <w:lang w:val="pt-BR"/>
        </w:rPr>
        <w:t>a</w:t>
      </w:r>
      <w:r w:rsidR="00470ADC" w:rsidRPr="00D5464D">
        <w:rPr>
          <w:lang w:val="pt-BR"/>
        </w:rPr>
        <w:t xml:space="preserve">ção da competência da </w:t>
      </w:r>
      <w:r w:rsidR="00207197" w:rsidRPr="00D5464D">
        <w:rPr>
          <w:lang w:val="pt-BR"/>
        </w:rPr>
        <w:t xml:space="preserve">Corte. Esta </w:t>
      </w:r>
      <w:r w:rsidR="002C330E" w:rsidRPr="00D5464D">
        <w:rPr>
          <w:lang w:val="pt-BR"/>
        </w:rPr>
        <w:t xml:space="preserve">responsabilidade </w:t>
      </w:r>
      <w:r w:rsidR="00207197" w:rsidRPr="00D5464D">
        <w:rPr>
          <w:lang w:val="pt-BR"/>
        </w:rPr>
        <w:t xml:space="preserve">se </w:t>
      </w:r>
      <w:r w:rsidR="00470ADC" w:rsidRPr="00D5464D">
        <w:rPr>
          <w:lang w:val="pt-BR"/>
        </w:rPr>
        <w:t xml:space="preserve">encontra </w:t>
      </w:r>
      <w:r w:rsidR="00207197" w:rsidRPr="00D5464D">
        <w:rPr>
          <w:lang w:val="pt-BR"/>
        </w:rPr>
        <w:t>agravada</w:t>
      </w:r>
      <w:r w:rsidR="002C330E" w:rsidRPr="00D5464D">
        <w:rPr>
          <w:lang w:val="pt-BR"/>
        </w:rPr>
        <w:t xml:space="preserve"> pelo </w:t>
      </w:r>
      <w:r w:rsidR="00470ADC" w:rsidRPr="00D5464D">
        <w:rPr>
          <w:lang w:val="pt-BR"/>
        </w:rPr>
        <w:t>caráter</w:t>
      </w:r>
      <w:r w:rsidR="00207197" w:rsidRPr="00D5464D">
        <w:rPr>
          <w:lang w:val="pt-BR"/>
        </w:rPr>
        <w:t xml:space="preserve"> </w:t>
      </w:r>
      <w:r w:rsidR="00A1358C" w:rsidRPr="00D5464D">
        <w:rPr>
          <w:lang w:val="pt-BR"/>
        </w:rPr>
        <w:t>discriminatóri</w:t>
      </w:r>
      <w:r w:rsidR="00207197" w:rsidRPr="00D5464D">
        <w:rPr>
          <w:lang w:val="pt-BR"/>
        </w:rPr>
        <w:t>o</w:t>
      </w:r>
      <w:r w:rsidR="00470ADC" w:rsidRPr="00D5464D">
        <w:rPr>
          <w:lang w:val="pt-BR"/>
        </w:rPr>
        <w:t xml:space="preserve"> das </w:t>
      </w:r>
      <w:r w:rsidR="00207197" w:rsidRPr="00D5464D">
        <w:rPr>
          <w:lang w:val="pt-BR"/>
        </w:rPr>
        <w:t>viola</w:t>
      </w:r>
      <w:r w:rsidR="00470ADC" w:rsidRPr="00D5464D">
        <w:rPr>
          <w:lang w:val="pt-BR"/>
        </w:rPr>
        <w:t>ções</w:t>
      </w:r>
      <w:r w:rsidR="00207197" w:rsidRPr="00D5464D">
        <w:rPr>
          <w:lang w:val="pt-BR"/>
        </w:rPr>
        <w:t xml:space="preserve"> </w:t>
      </w:r>
      <w:r w:rsidR="002A638B" w:rsidRPr="00D5464D">
        <w:rPr>
          <w:lang w:val="pt-BR"/>
        </w:rPr>
        <w:t>e pel</w:t>
      </w:r>
      <w:r w:rsidR="002C330E" w:rsidRPr="00D5464D">
        <w:rPr>
          <w:lang w:val="pt-BR"/>
        </w:rPr>
        <w:t xml:space="preserve">a presença </w:t>
      </w:r>
      <w:r w:rsidR="00207197" w:rsidRPr="00D5464D">
        <w:rPr>
          <w:lang w:val="pt-BR"/>
        </w:rPr>
        <w:t xml:space="preserve">de </w:t>
      </w:r>
      <w:r w:rsidR="00E045D9" w:rsidRPr="00D5464D">
        <w:rPr>
          <w:lang w:val="pt-BR"/>
        </w:rPr>
        <w:t>vítima</w:t>
      </w:r>
      <w:r w:rsidR="00207197" w:rsidRPr="00D5464D">
        <w:rPr>
          <w:lang w:val="pt-BR"/>
        </w:rPr>
        <w:t xml:space="preserve">s menores </w:t>
      </w:r>
      <w:r w:rsidR="00CB2CC7" w:rsidRPr="00D5464D">
        <w:rPr>
          <w:lang w:val="pt-BR"/>
        </w:rPr>
        <w:t>de</w:t>
      </w:r>
      <w:r w:rsidR="00207197" w:rsidRPr="00D5464D">
        <w:rPr>
          <w:lang w:val="pt-BR"/>
        </w:rPr>
        <w:t xml:space="preserve"> 18 </w:t>
      </w:r>
      <w:r w:rsidR="00470ADC" w:rsidRPr="00D5464D">
        <w:rPr>
          <w:lang w:val="pt-BR"/>
        </w:rPr>
        <w:t>anos</w:t>
      </w:r>
      <w:r w:rsidR="00207197" w:rsidRPr="00D5464D">
        <w:rPr>
          <w:lang w:val="pt-BR"/>
        </w:rPr>
        <w:t>.</w:t>
      </w:r>
    </w:p>
    <w:p w14:paraId="1B268B48" w14:textId="77777777" w:rsidR="00DE3E58" w:rsidRPr="00D5464D" w:rsidRDefault="00DE3E58" w:rsidP="00DE3E58">
      <w:pPr>
        <w:pStyle w:val="Prrafodelista"/>
        <w:ind w:left="0"/>
        <w:contextualSpacing w:val="0"/>
        <w:rPr>
          <w:lang w:val="pt-BR"/>
        </w:rPr>
      </w:pPr>
    </w:p>
    <w:p w14:paraId="52EE369C" w14:textId="36A0DB98" w:rsidR="00207197" w:rsidRPr="00D5464D" w:rsidRDefault="00470ADC" w:rsidP="00F37DC4">
      <w:pPr>
        <w:pStyle w:val="Prrafodelista"/>
        <w:numPr>
          <w:ilvl w:val="0"/>
          <w:numId w:val="1"/>
        </w:numPr>
        <w:contextualSpacing w:val="0"/>
        <w:rPr>
          <w:lang w:val="pt-BR"/>
        </w:rPr>
      </w:pPr>
      <w:r w:rsidRPr="00D5464D">
        <w:rPr>
          <w:lang w:val="pt-BR"/>
        </w:rPr>
        <w:t xml:space="preserve">O </w:t>
      </w:r>
      <w:r w:rsidR="00207197" w:rsidRPr="00D5464D">
        <w:rPr>
          <w:b/>
          <w:i/>
          <w:lang w:val="pt-BR"/>
        </w:rPr>
        <w:t>Estado</w:t>
      </w:r>
      <w:r w:rsidR="00207197" w:rsidRPr="00D5464D">
        <w:rPr>
          <w:lang w:val="pt-BR"/>
        </w:rPr>
        <w:t xml:space="preserve"> </w:t>
      </w:r>
      <w:r w:rsidR="002C330E" w:rsidRPr="00D5464D">
        <w:rPr>
          <w:lang w:val="pt-BR"/>
        </w:rPr>
        <w:t>afirmou</w:t>
      </w:r>
      <w:r w:rsidR="00207197" w:rsidRPr="00D5464D">
        <w:rPr>
          <w:lang w:val="pt-BR"/>
        </w:rPr>
        <w:t xml:space="preserve"> que</w:t>
      </w:r>
      <w:r w:rsidRPr="00D5464D">
        <w:rPr>
          <w:lang w:val="pt-BR"/>
        </w:rPr>
        <w:t xml:space="preserve"> </w:t>
      </w:r>
      <w:r w:rsidR="002A638B" w:rsidRPr="00D5464D">
        <w:rPr>
          <w:lang w:val="pt-BR"/>
        </w:rPr>
        <w:t xml:space="preserve">se </w:t>
      </w:r>
      <w:r w:rsidRPr="00D5464D">
        <w:rPr>
          <w:lang w:val="pt-BR"/>
        </w:rPr>
        <w:t xml:space="preserve">deve </w:t>
      </w:r>
      <w:r w:rsidR="002A638B" w:rsidRPr="00D5464D">
        <w:rPr>
          <w:lang w:val="pt-BR"/>
        </w:rPr>
        <w:t>distinguir</w:t>
      </w:r>
      <w:r w:rsidR="00207197" w:rsidRPr="00D5464D">
        <w:rPr>
          <w:lang w:val="pt-BR"/>
        </w:rPr>
        <w:t xml:space="preserve"> claramente entre</w:t>
      </w:r>
      <w:r w:rsidR="002C330E" w:rsidRPr="00D5464D">
        <w:rPr>
          <w:lang w:val="pt-BR"/>
        </w:rPr>
        <w:t xml:space="preserve"> os </w:t>
      </w:r>
      <w:r w:rsidRPr="00D5464D">
        <w:rPr>
          <w:lang w:val="pt-BR"/>
        </w:rPr>
        <w:t>conceito</w:t>
      </w:r>
      <w:r w:rsidR="00207197" w:rsidRPr="00D5464D">
        <w:rPr>
          <w:lang w:val="pt-BR"/>
        </w:rPr>
        <w:t xml:space="preserve">s de </w:t>
      </w:r>
      <w:r w:rsidR="000B376D" w:rsidRPr="00D5464D">
        <w:rPr>
          <w:lang w:val="pt-BR"/>
        </w:rPr>
        <w:t>escravidão</w:t>
      </w:r>
      <w:r w:rsidR="00207197" w:rsidRPr="00D5464D">
        <w:rPr>
          <w:lang w:val="pt-BR"/>
        </w:rPr>
        <w:t xml:space="preserve">, </w:t>
      </w:r>
      <w:r w:rsidR="000B376D" w:rsidRPr="00D5464D">
        <w:rPr>
          <w:lang w:val="pt-BR"/>
        </w:rPr>
        <w:t>servidão</w:t>
      </w:r>
      <w:r w:rsidR="00E045D9" w:rsidRPr="00D5464D">
        <w:rPr>
          <w:lang w:val="pt-BR"/>
        </w:rPr>
        <w:t xml:space="preserve"> e trabalho</w:t>
      </w:r>
      <w:r w:rsidR="001B63D0" w:rsidRPr="00D5464D">
        <w:rPr>
          <w:lang w:val="pt-BR"/>
        </w:rPr>
        <w:t xml:space="preserve"> </w:t>
      </w:r>
      <w:r w:rsidR="00230C71" w:rsidRPr="00D5464D">
        <w:rPr>
          <w:lang w:val="pt-BR"/>
        </w:rPr>
        <w:t>forçado</w:t>
      </w:r>
      <w:r w:rsidR="00207197" w:rsidRPr="00D5464D">
        <w:rPr>
          <w:lang w:val="pt-BR"/>
        </w:rPr>
        <w:t>.</w:t>
      </w:r>
      <w:r w:rsidR="002C330E" w:rsidRPr="00D5464D">
        <w:rPr>
          <w:lang w:val="pt-BR"/>
        </w:rPr>
        <w:t xml:space="preserve"> </w:t>
      </w:r>
      <w:r w:rsidR="002A638B" w:rsidRPr="00D5464D">
        <w:rPr>
          <w:lang w:val="pt-BR"/>
        </w:rPr>
        <w:t xml:space="preserve">Apesar de serem </w:t>
      </w:r>
      <w:r w:rsidRPr="00D5464D">
        <w:rPr>
          <w:lang w:val="pt-BR"/>
        </w:rPr>
        <w:t>conceito</w:t>
      </w:r>
      <w:r w:rsidR="00207197" w:rsidRPr="00D5464D">
        <w:rPr>
          <w:lang w:val="pt-BR"/>
        </w:rPr>
        <w:t>s relacionados</w:t>
      </w:r>
      <w:r w:rsidR="00E045D9" w:rsidRPr="00D5464D">
        <w:rPr>
          <w:lang w:val="pt-BR"/>
        </w:rPr>
        <w:t xml:space="preserve"> e </w:t>
      </w:r>
      <w:r w:rsidR="00207197" w:rsidRPr="00D5464D">
        <w:rPr>
          <w:lang w:val="pt-BR"/>
        </w:rPr>
        <w:t xml:space="preserve">que se </w:t>
      </w:r>
      <w:r w:rsidRPr="00D5464D">
        <w:rPr>
          <w:lang w:val="pt-BR"/>
        </w:rPr>
        <w:t>encontram</w:t>
      </w:r>
      <w:r w:rsidR="00207197" w:rsidRPr="00D5464D">
        <w:rPr>
          <w:lang w:val="pt-BR"/>
        </w:rPr>
        <w:t xml:space="preserve"> igualmente </w:t>
      </w:r>
      <w:r w:rsidR="00737270" w:rsidRPr="00D5464D">
        <w:rPr>
          <w:lang w:val="pt-BR"/>
        </w:rPr>
        <w:t>proibid</w:t>
      </w:r>
      <w:r w:rsidR="00207197" w:rsidRPr="00D5464D">
        <w:rPr>
          <w:lang w:val="pt-BR"/>
        </w:rPr>
        <w:t>os</w:t>
      </w:r>
      <w:r w:rsidR="002C330E" w:rsidRPr="00D5464D">
        <w:rPr>
          <w:lang w:val="pt-BR"/>
        </w:rPr>
        <w:t xml:space="preserve"> pelo </w:t>
      </w:r>
      <w:r w:rsidRPr="00D5464D">
        <w:rPr>
          <w:lang w:val="pt-BR"/>
        </w:rPr>
        <w:t>artigo</w:t>
      </w:r>
      <w:r w:rsidR="00207197" w:rsidRPr="00D5464D">
        <w:rPr>
          <w:lang w:val="pt-BR"/>
        </w:rPr>
        <w:t xml:space="preserve"> 6</w:t>
      </w:r>
      <w:r w:rsidRPr="00D5464D">
        <w:rPr>
          <w:lang w:val="pt-BR"/>
        </w:rPr>
        <w:t xml:space="preserve"> da </w:t>
      </w:r>
      <w:r w:rsidR="00207197" w:rsidRPr="00D5464D">
        <w:rPr>
          <w:lang w:val="pt-BR"/>
        </w:rPr>
        <w:t>Conven</w:t>
      </w:r>
      <w:r w:rsidRPr="00D5464D">
        <w:rPr>
          <w:lang w:val="pt-BR"/>
        </w:rPr>
        <w:t>ção</w:t>
      </w:r>
      <w:r w:rsidR="00207197" w:rsidRPr="00D5464D">
        <w:rPr>
          <w:lang w:val="pt-BR"/>
        </w:rPr>
        <w:t xml:space="preserve"> Americana, man</w:t>
      </w:r>
      <w:r w:rsidR="00E045D9" w:rsidRPr="00D5464D">
        <w:rPr>
          <w:lang w:val="pt-BR"/>
        </w:rPr>
        <w:t>têm</w:t>
      </w:r>
      <w:r w:rsidR="00207197" w:rsidRPr="00D5464D">
        <w:rPr>
          <w:lang w:val="pt-BR"/>
        </w:rPr>
        <w:t xml:space="preserve"> su</w:t>
      </w:r>
      <w:r w:rsidR="002A638B" w:rsidRPr="00D5464D">
        <w:rPr>
          <w:lang w:val="pt-BR"/>
        </w:rPr>
        <w:t>a</w:t>
      </w:r>
      <w:r w:rsidR="00207197" w:rsidRPr="00D5464D">
        <w:rPr>
          <w:lang w:val="pt-BR"/>
        </w:rPr>
        <w:t xml:space="preserve"> </w:t>
      </w:r>
      <w:r w:rsidR="00A1358C" w:rsidRPr="00D5464D">
        <w:rPr>
          <w:lang w:val="pt-BR"/>
        </w:rPr>
        <w:t xml:space="preserve">individualidade </w:t>
      </w:r>
      <w:r w:rsidR="00207197" w:rsidRPr="00D5464D">
        <w:rPr>
          <w:lang w:val="pt-BR"/>
        </w:rPr>
        <w:t>jurídica</w:t>
      </w:r>
      <w:r w:rsidR="00E045D9" w:rsidRPr="00D5464D">
        <w:rPr>
          <w:lang w:val="pt-BR"/>
        </w:rPr>
        <w:t xml:space="preserve"> e </w:t>
      </w:r>
      <w:r w:rsidR="002A638B" w:rsidRPr="00D5464D">
        <w:rPr>
          <w:lang w:val="pt-BR"/>
        </w:rPr>
        <w:t xml:space="preserve">possuem </w:t>
      </w:r>
      <w:r w:rsidR="00207197" w:rsidRPr="00D5464D">
        <w:rPr>
          <w:lang w:val="pt-BR"/>
        </w:rPr>
        <w:t xml:space="preserve">distintos </w:t>
      </w:r>
      <w:r w:rsidR="002C330E" w:rsidRPr="00D5464D">
        <w:rPr>
          <w:lang w:val="pt-BR"/>
        </w:rPr>
        <w:t>níveis</w:t>
      </w:r>
      <w:r w:rsidR="00207197" w:rsidRPr="00D5464D">
        <w:rPr>
          <w:lang w:val="pt-BR"/>
        </w:rPr>
        <w:t xml:space="preserve"> de </w:t>
      </w:r>
      <w:r w:rsidR="002C330E" w:rsidRPr="00D5464D">
        <w:rPr>
          <w:lang w:val="pt-BR"/>
        </w:rPr>
        <w:t>gravidade</w:t>
      </w:r>
      <w:r w:rsidR="00E045D9" w:rsidRPr="00D5464D">
        <w:rPr>
          <w:lang w:val="pt-BR"/>
        </w:rPr>
        <w:t xml:space="preserve"> e, portanto,</w:t>
      </w:r>
      <w:r w:rsidR="00207197" w:rsidRPr="00D5464D">
        <w:rPr>
          <w:lang w:val="pt-BR"/>
        </w:rPr>
        <w:t xml:space="preserve"> </w:t>
      </w:r>
      <w:r w:rsidRPr="00D5464D">
        <w:rPr>
          <w:lang w:val="pt-BR"/>
        </w:rPr>
        <w:t>devem</w:t>
      </w:r>
      <w:r w:rsidR="00E045D9" w:rsidRPr="00D5464D">
        <w:rPr>
          <w:lang w:val="pt-BR"/>
        </w:rPr>
        <w:t xml:space="preserve"> ter </w:t>
      </w:r>
      <w:r w:rsidR="00207197" w:rsidRPr="00D5464D">
        <w:rPr>
          <w:lang w:val="pt-BR"/>
        </w:rPr>
        <w:t>san</w:t>
      </w:r>
      <w:r w:rsidRPr="00D5464D">
        <w:rPr>
          <w:lang w:val="pt-BR"/>
        </w:rPr>
        <w:t>ções</w:t>
      </w:r>
      <w:r w:rsidR="00207197" w:rsidRPr="00D5464D">
        <w:rPr>
          <w:lang w:val="pt-BR"/>
        </w:rPr>
        <w:t xml:space="preserve"> </w:t>
      </w:r>
      <w:r w:rsidR="002A638B" w:rsidRPr="00D5464D">
        <w:rPr>
          <w:lang w:val="pt-BR"/>
        </w:rPr>
        <w:t>diferenci</w:t>
      </w:r>
      <w:r w:rsidR="00EB1CE9" w:rsidRPr="00D5464D">
        <w:rPr>
          <w:lang w:val="pt-BR"/>
        </w:rPr>
        <w:t>a</w:t>
      </w:r>
      <w:r w:rsidR="00350187" w:rsidRPr="00D5464D">
        <w:rPr>
          <w:lang w:val="pt-BR"/>
        </w:rPr>
        <w:t>da</w:t>
      </w:r>
      <w:r w:rsidR="00207197" w:rsidRPr="00D5464D">
        <w:rPr>
          <w:lang w:val="pt-BR"/>
        </w:rPr>
        <w:t>s</w:t>
      </w:r>
      <w:r w:rsidRPr="00D5464D">
        <w:rPr>
          <w:lang w:val="pt-BR"/>
        </w:rPr>
        <w:t xml:space="preserve"> em </w:t>
      </w:r>
      <w:r w:rsidR="00207197" w:rsidRPr="00D5464D">
        <w:rPr>
          <w:lang w:val="pt-BR"/>
        </w:rPr>
        <w:t xml:space="preserve">caso de </w:t>
      </w:r>
      <w:r w:rsidR="002C330E" w:rsidRPr="00D5464D">
        <w:rPr>
          <w:lang w:val="pt-BR"/>
        </w:rPr>
        <w:t xml:space="preserve">responsabilidade </w:t>
      </w:r>
      <w:r w:rsidR="00207197" w:rsidRPr="00D5464D">
        <w:rPr>
          <w:lang w:val="pt-BR"/>
        </w:rPr>
        <w:t>internacional</w:t>
      </w:r>
      <w:r w:rsidR="00C91CB1" w:rsidRPr="00D5464D">
        <w:rPr>
          <w:lang w:val="pt-BR"/>
        </w:rPr>
        <w:t xml:space="preserve">. </w:t>
      </w:r>
      <w:r w:rsidR="007D31A8" w:rsidRPr="00D5464D">
        <w:rPr>
          <w:lang w:val="pt-BR"/>
        </w:rPr>
        <w:t>Na</w:t>
      </w:r>
      <w:r w:rsidR="00C91CB1" w:rsidRPr="00D5464D">
        <w:rPr>
          <w:lang w:val="pt-BR"/>
        </w:rPr>
        <w:t xml:space="preserve"> </w:t>
      </w:r>
      <w:r w:rsidR="002C330E" w:rsidRPr="00D5464D">
        <w:rPr>
          <w:lang w:val="pt-BR"/>
        </w:rPr>
        <w:t>opinião</w:t>
      </w:r>
      <w:r w:rsidR="007D31A8" w:rsidRPr="00D5464D">
        <w:rPr>
          <w:lang w:val="pt-BR"/>
        </w:rPr>
        <w:t xml:space="preserve"> do</w:t>
      </w:r>
      <w:r w:rsidR="00207197" w:rsidRPr="00D5464D">
        <w:rPr>
          <w:lang w:val="pt-BR"/>
        </w:rPr>
        <w:t xml:space="preserve"> Brasil</w:t>
      </w:r>
      <w:r w:rsidR="00F03F93" w:rsidRPr="00D5464D">
        <w:rPr>
          <w:lang w:val="pt-BR"/>
        </w:rPr>
        <w:t>,</w:t>
      </w:r>
      <w:r w:rsidRPr="00D5464D">
        <w:rPr>
          <w:lang w:val="pt-BR"/>
        </w:rPr>
        <w:t xml:space="preserve"> deve</w:t>
      </w:r>
      <w:r w:rsidR="00767387" w:rsidRPr="00D5464D">
        <w:rPr>
          <w:lang w:val="pt-BR"/>
        </w:rPr>
        <w:t>-se</w:t>
      </w:r>
      <w:r w:rsidRPr="00D5464D">
        <w:rPr>
          <w:lang w:val="pt-BR"/>
        </w:rPr>
        <w:t xml:space="preserve"> </w:t>
      </w:r>
      <w:r w:rsidR="00207197" w:rsidRPr="00D5464D">
        <w:rPr>
          <w:lang w:val="pt-BR"/>
        </w:rPr>
        <w:t>evit</w:t>
      </w:r>
      <w:r w:rsidR="00C91CB1" w:rsidRPr="00D5464D">
        <w:rPr>
          <w:lang w:val="pt-BR"/>
        </w:rPr>
        <w:t xml:space="preserve">ar </w:t>
      </w:r>
      <w:r w:rsidR="002C330E" w:rsidRPr="00D5464D">
        <w:rPr>
          <w:lang w:val="pt-BR"/>
        </w:rPr>
        <w:t xml:space="preserve">a </w:t>
      </w:r>
      <w:r w:rsidR="00E045D9" w:rsidRPr="00D5464D">
        <w:rPr>
          <w:lang w:val="pt-BR"/>
        </w:rPr>
        <w:t>confusão</w:t>
      </w:r>
      <w:r w:rsidR="00207197" w:rsidRPr="00D5464D">
        <w:rPr>
          <w:lang w:val="pt-BR"/>
        </w:rPr>
        <w:t xml:space="preserve"> entre</w:t>
      </w:r>
      <w:r w:rsidR="002C330E" w:rsidRPr="00D5464D">
        <w:rPr>
          <w:lang w:val="pt-BR"/>
        </w:rPr>
        <w:t xml:space="preserve"> os </w:t>
      </w:r>
      <w:r w:rsidR="00207197" w:rsidRPr="00D5464D">
        <w:rPr>
          <w:lang w:val="pt-BR"/>
        </w:rPr>
        <w:t xml:space="preserve">diversos tipos de </w:t>
      </w:r>
      <w:r w:rsidR="00230C71" w:rsidRPr="00D5464D">
        <w:rPr>
          <w:lang w:val="pt-BR"/>
        </w:rPr>
        <w:t>exploração</w:t>
      </w:r>
      <w:r w:rsidR="00207197" w:rsidRPr="00D5464D">
        <w:rPr>
          <w:lang w:val="pt-BR"/>
        </w:rPr>
        <w:t xml:space="preserve"> humana</w:t>
      </w:r>
      <w:r w:rsidR="00815EE5" w:rsidRPr="00D5464D">
        <w:rPr>
          <w:lang w:val="pt-BR"/>
        </w:rPr>
        <w:t>,</w:t>
      </w:r>
      <w:r w:rsidR="002C330E" w:rsidRPr="00D5464D">
        <w:rPr>
          <w:lang w:val="pt-BR"/>
        </w:rPr>
        <w:t xml:space="preserve"> pois </w:t>
      </w:r>
      <w:r w:rsidR="007D31A8" w:rsidRPr="00D5464D">
        <w:rPr>
          <w:lang w:val="pt-BR"/>
        </w:rPr>
        <w:t xml:space="preserve">isso </w:t>
      </w:r>
      <w:r w:rsidR="00A8241B" w:rsidRPr="00D5464D">
        <w:rPr>
          <w:lang w:val="pt-BR"/>
        </w:rPr>
        <w:t>banalizaria</w:t>
      </w:r>
      <w:r w:rsidR="00E765C2" w:rsidRPr="00D5464D">
        <w:rPr>
          <w:lang w:val="pt-BR"/>
        </w:rPr>
        <w:t xml:space="preserve"> </w:t>
      </w:r>
      <w:r w:rsidR="002C330E" w:rsidRPr="00D5464D">
        <w:rPr>
          <w:lang w:val="pt-BR"/>
        </w:rPr>
        <w:t xml:space="preserve">a </w:t>
      </w:r>
      <w:r w:rsidR="000B376D" w:rsidRPr="00D5464D">
        <w:rPr>
          <w:lang w:val="pt-BR"/>
        </w:rPr>
        <w:t>escravidão</w:t>
      </w:r>
      <w:r w:rsidR="00E045D9" w:rsidRPr="00D5464D">
        <w:rPr>
          <w:lang w:val="pt-BR"/>
        </w:rPr>
        <w:t xml:space="preserve"> e </w:t>
      </w:r>
      <w:r w:rsidR="00207197" w:rsidRPr="00D5464D">
        <w:rPr>
          <w:lang w:val="pt-BR"/>
        </w:rPr>
        <w:t>dificult</w:t>
      </w:r>
      <w:r w:rsidR="00E765C2" w:rsidRPr="00D5464D">
        <w:rPr>
          <w:lang w:val="pt-BR"/>
        </w:rPr>
        <w:t xml:space="preserve">aria </w:t>
      </w:r>
      <w:r w:rsidR="00207197" w:rsidRPr="00D5464D">
        <w:rPr>
          <w:lang w:val="pt-BR"/>
        </w:rPr>
        <w:t>su</w:t>
      </w:r>
      <w:r w:rsidR="007D31A8" w:rsidRPr="00D5464D">
        <w:rPr>
          <w:lang w:val="pt-BR"/>
        </w:rPr>
        <w:t>a</w:t>
      </w:r>
      <w:r w:rsidR="00207197" w:rsidRPr="00D5464D">
        <w:rPr>
          <w:lang w:val="pt-BR"/>
        </w:rPr>
        <w:t xml:space="preserve"> erradica</w:t>
      </w:r>
      <w:r w:rsidRPr="00D5464D">
        <w:rPr>
          <w:lang w:val="pt-BR"/>
        </w:rPr>
        <w:t>ção</w:t>
      </w:r>
      <w:r w:rsidR="00C91CB1" w:rsidRPr="00D5464D">
        <w:rPr>
          <w:lang w:val="pt-BR"/>
        </w:rPr>
        <w:t xml:space="preserve">. No </w:t>
      </w:r>
      <w:r w:rsidR="002C330E" w:rsidRPr="00D5464D">
        <w:rPr>
          <w:lang w:val="pt-BR"/>
        </w:rPr>
        <w:t>mesm</w:t>
      </w:r>
      <w:r w:rsidR="00207197" w:rsidRPr="00D5464D">
        <w:rPr>
          <w:lang w:val="pt-BR"/>
        </w:rPr>
        <w:t>o sentido,</w:t>
      </w:r>
      <w:r w:rsidRPr="00D5464D">
        <w:rPr>
          <w:lang w:val="pt-BR"/>
        </w:rPr>
        <w:t xml:space="preserve"> o </w:t>
      </w:r>
      <w:r w:rsidR="00207197" w:rsidRPr="00D5464D">
        <w:rPr>
          <w:lang w:val="pt-BR"/>
        </w:rPr>
        <w:t xml:space="preserve">Estado </w:t>
      </w:r>
      <w:r w:rsidRPr="00D5464D">
        <w:rPr>
          <w:lang w:val="pt-BR"/>
        </w:rPr>
        <w:t>argumentou</w:t>
      </w:r>
      <w:r w:rsidR="00207197" w:rsidRPr="00D5464D">
        <w:rPr>
          <w:lang w:val="pt-BR"/>
        </w:rPr>
        <w:t xml:space="preserve"> que</w:t>
      </w:r>
      <w:r w:rsidR="002C330E" w:rsidRPr="00D5464D">
        <w:rPr>
          <w:lang w:val="pt-BR"/>
        </w:rPr>
        <w:t xml:space="preserve"> a </w:t>
      </w:r>
      <w:r w:rsidR="00207197" w:rsidRPr="00D5464D">
        <w:rPr>
          <w:lang w:val="pt-BR"/>
        </w:rPr>
        <w:t>Corte</w:t>
      </w:r>
      <w:r w:rsidRPr="00D5464D">
        <w:rPr>
          <w:lang w:val="pt-BR"/>
        </w:rPr>
        <w:t xml:space="preserve"> deve </w:t>
      </w:r>
      <w:r w:rsidR="007D31A8" w:rsidRPr="00D5464D">
        <w:rPr>
          <w:lang w:val="pt-BR"/>
        </w:rPr>
        <w:t xml:space="preserve">se </w:t>
      </w:r>
      <w:r w:rsidR="00207197" w:rsidRPr="00D5464D">
        <w:rPr>
          <w:lang w:val="pt-BR"/>
        </w:rPr>
        <w:t>limit</w:t>
      </w:r>
      <w:r w:rsidR="00C91CB1" w:rsidRPr="00D5464D">
        <w:rPr>
          <w:lang w:val="pt-BR"/>
        </w:rPr>
        <w:t xml:space="preserve">ar </w:t>
      </w:r>
      <w:r w:rsidR="00207197" w:rsidRPr="00D5464D">
        <w:rPr>
          <w:lang w:val="pt-BR"/>
        </w:rPr>
        <w:t xml:space="preserve">a </w:t>
      </w:r>
      <w:r w:rsidRPr="00D5464D">
        <w:rPr>
          <w:lang w:val="pt-BR"/>
        </w:rPr>
        <w:t>analisar</w:t>
      </w:r>
      <w:r w:rsidR="002C330E" w:rsidRPr="00D5464D">
        <w:rPr>
          <w:lang w:val="pt-BR"/>
        </w:rPr>
        <w:t xml:space="preserve"> a </w:t>
      </w:r>
      <w:r w:rsidR="000B376D" w:rsidRPr="00D5464D">
        <w:rPr>
          <w:lang w:val="pt-BR"/>
        </w:rPr>
        <w:t>escravidão</w:t>
      </w:r>
      <w:r w:rsidR="00207197" w:rsidRPr="00D5464D">
        <w:rPr>
          <w:lang w:val="pt-BR"/>
        </w:rPr>
        <w:t xml:space="preserve">, </w:t>
      </w:r>
      <w:r w:rsidR="007D31A8" w:rsidRPr="00D5464D">
        <w:rPr>
          <w:lang w:val="pt-BR"/>
        </w:rPr>
        <w:t xml:space="preserve">a </w:t>
      </w:r>
      <w:r w:rsidR="000B376D" w:rsidRPr="00D5464D">
        <w:rPr>
          <w:lang w:val="pt-BR"/>
        </w:rPr>
        <w:t>servidão</w:t>
      </w:r>
      <w:r w:rsidR="00E045D9" w:rsidRPr="00D5464D">
        <w:rPr>
          <w:lang w:val="pt-BR"/>
        </w:rPr>
        <w:t xml:space="preserve"> e </w:t>
      </w:r>
      <w:r w:rsidR="007D31A8" w:rsidRPr="00D5464D">
        <w:rPr>
          <w:lang w:val="pt-BR"/>
        </w:rPr>
        <w:t xml:space="preserve">o </w:t>
      </w:r>
      <w:r w:rsidR="00E045D9" w:rsidRPr="00D5464D">
        <w:rPr>
          <w:lang w:val="pt-BR"/>
        </w:rPr>
        <w:t>trabalho</w:t>
      </w:r>
      <w:r w:rsidR="001B63D0" w:rsidRPr="00D5464D">
        <w:rPr>
          <w:lang w:val="pt-BR"/>
        </w:rPr>
        <w:t xml:space="preserve"> </w:t>
      </w:r>
      <w:r w:rsidR="00230C71" w:rsidRPr="00D5464D">
        <w:rPr>
          <w:lang w:val="pt-BR"/>
        </w:rPr>
        <w:t>forçado</w:t>
      </w:r>
      <w:r w:rsidR="00207197" w:rsidRPr="00D5464D">
        <w:rPr>
          <w:lang w:val="pt-BR"/>
        </w:rPr>
        <w:t xml:space="preserve"> de </w:t>
      </w:r>
      <w:r w:rsidRPr="00D5464D">
        <w:rPr>
          <w:lang w:val="pt-BR"/>
        </w:rPr>
        <w:t xml:space="preserve">acordo </w:t>
      </w:r>
      <w:r w:rsidR="007D31A8" w:rsidRPr="00D5464D">
        <w:rPr>
          <w:lang w:val="pt-BR"/>
        </w:rPr>
        <w:t xml:space="preserve">com </w:t>
      </w:r>
      <w:r w:rsidRPr="00D5464D">
        <w:rPr>
          <w:lang w:val="pt-BR"/>
        </w:rPr>
        <w:t xml:space="preserve">o </w:t>
      </w:r>
      <w:r w:rsidR="00E765C2" w:rsidRPr="00D5464D">
        <w:rPr>
          <w:lang w:val="pt-BR"/>
        </w:rPr>
        <w:t>Direito Internacional</w:t>
      </w:r>
      <w:r w:rsidR="00E045D9" w:rsidRPr="00D5464D">
        <w:rPr>
          <w:lang w:val="pt-BR"/>
        </w:rPr>
        <w:t xml:space="preserve"> e </w:t>
      </w:r>
      <w:r w:rsidR="00207197" w:rsidRPr="00D5464D">
        <w:rPr>
          <w:lang w:val="pt-BR"/>
        </w:rPr>
        <w:t>n</w:t>
      </w:r>
      <w:r w:rsidR="007D31A8" w:rsidRPr="00D5464D">
        <w:rPr>
          <w:lang w:val="pt-BR"/>
        </w:rPr>
        <w:t>ã</w:t>
      </w:r>
      <w:r w:rsidR="00207197" w:rsidRPr="00D5464D">
        <w:rPr>
          <w:lang w:val="pt-BR"/>
        </w:rPr>
        <w:t xml:space="preserve">o </w:t>
      </w:r>
      <w:r w:rsidR="007D31A8" w:rsidRPr="00D5464D">
        <w:rPr>
          <w:lang w:val="pt-BR"/>
        </w:rPr>
        <w:t xml:space="preserve">de acordo com </w:t>
      </w:r>
      <w:r w:rsidRPr="00D5464D">
        <w:rPr>
          <w:lang w:val="pt-BR"/>
        </w:rPr>
        <w:t>o direito</w:t>
      </w:r>
      <w:r w:rsidR="00207197" w:rsidRPr="00D5464D">
        <w:rPr>
          <w:lang w:val="pt-BR"/>
        </w:rPr>
        <w:t xml:space="preserve"> interno </w:t>
      </w:r>
      <w:r w:rsidRPr="00D5464D">
        <w:rPr>
          <w:lang w:val="pt-BR"/>
        </w:rPr>
        <w:t>brasileir</w:t>
      </w:r>
      <w:r w:rsidR="00207197" w:rsidRPr="00D5464D">
        <w:rPr>
          <w:lang w:val="pt-BR"/>
        </w:rPr>
        <w:t xml:space="preserve">o, que </w:t>
      </w:r>
      <w:r w:rsidR="007D31A8" w:rsidRPr="00D5464D">
        <w:rPr>
          <w:lang w:val="pt-BR"/>
        </w:rPr>
        <w:t xml:space="preserve">possui </w:t>
      </w:r>
      <w:r w:rsidR="00E045D9" w:rsidRPr="00D5464D">
        <w:rPr>
          <w:lang w:val="pt-BR"/>
        </w:rPr>
        <w:t xml:space="preserve">uma </w:t>
      </w:r>
      <w:r w:rsidR="00207197" w:rsidRPr="00D5464D">
        <w:rPr>
          <w:lang w:val="pt-BR"/>
        </w:rPr>
        <w:t>defini</w:t>
      </w:r>
      <w:r w:rsidRPr="00D5464D">
        <w:rPr>
          <w:lang w:val="pt-BR"/>
        </w:rPr>
        <w:t>ção</w:t>
      </w:r>
      <w:r w:rsidR="00207197" w:rsidRPr="00D5464D">
        <w:rPr>
          <w:lang w:val="pt-BR"/>
        </w:rPr>
        <w:t xml:space="preserve"> </w:t>
      </w:r>
      <w:r w:rsidR="002C330E" w:rsidRPr="00D5464D">
        <w:rPr>
          <w:lang w:val="pt-BR"/>
        </w:rPr>
        <w:t>muito</w:t>
      </w:r>
      <w:r w:rsidR="00207197" w:rsidRPr="00D5464D">
        <w:rPr>
          <w:lang w:val="pt-BR"/>
        </w:rPr>
        <w:t xml:space="preserve"> </w:t>
      </w:r>
      <w:r w:rsidR="002C330E" w:rsidRPr="00D5464D">
        <w:rPr>
          <w:lang w:val="pt-BR"/>
        </w:rPr>
        <w:t xml:space="preserve">mais </w:t>
      </w:r>
      <w:r w:rsidR="007D31A8" w:rsidRPr="00D5464D">
        <w:rPr>
          <w:lang w:val="pt-BR"/>
        </w:rPr>
        <w:t xml:space="preserve">ampla </w:t>
      </w:r>
      <w:r w:rsidR="00E045D9" w:rsidRPr="00D5464D">
        <w:rPr>
          <w:lang w:val="pt-BR"/>
        </w:rPr>
        <w:t>deste</w:t>
      </w:r>
      <w:r w:rsidRPr="00D5464D">
        <w:rPr>
          <w:lang w:val="pt-BR"/>
        </w:rPr>
        <w:t>s conceito</w:t>
      </w:r>
      <w:r w:rsidR="00207197" w:rsidRPr="00D5464D">
        <w:rPr>
          <w:lang w:val="pt-BR"/>
        </w:rPr>
        <w:t>s</w:t>
      </w:r>
      <w:r w:rsidR="002C330E" w:rsidRPr="00D5464D">
        <w:rPr>
          <w:lang w:val="pt-BR"/>
        </w:rPr>
        <w:t xml:space="preserve"> sem </w:t>
      </w:r>
      <w:r w:rsidR="00207197" w:rsidRPr="00D5464D">
        <w:rPr>
          <w:lang w:val="pt-BR"/>
        </w:rPr>
        <w:t>diferenci</w:t>
      </w:r>
      <w:r w:rsidR="00A1358C" w:rsidRPr="00D5464D">
        <w:rPr>
          <w:lang w:val="pt-BR"/>
        </w:rPr>
        <w:t xml:space="preserve">á-los </w:t>
      </w:r>
      <w:r w:rsidRPr="00D5464D">
        <w:rPr>
          <w:lang w:val="pt-BR"/>
        </w:rPr>
        <w:t>adequad</w:t>
      </w:r>
      <w:r w:rsidR="00207197" w:rsidRPr="00D5464D">
        <w:rPr>
          <w:lang w:val="pt-BR"/>
        </w:rPr>
        <w:t>amente.</w:t>
      </w:r>
    </w:p>
    <w:p w14:paraId="1320F2DA" w14:textId="77777777" w:rsidR="00DE3E58" w:rsidRPr="00D5464D" w:rsidRDefault="00DE3E58" w:rsidP="00DE3E58">
      <w:pPr>
        <w:pStyle w:val="Prrafodelista"/>
        <w:ind w:left="0"/>
        <w:contextualSpacing w:val="0"/>
        <w:rPr>
          <w:lang w:val="pt-BR"/>
        </w:rPr>
      </w:pPr>
    </w:p>
    <w:p w14:paraId="1E1F1C01" w14:textId="6DE77F41" w:rsidR="00207197" w:rsidRPr="00D5464D" w:rsidRDefault="00470ADC" w:rsidP="00F37DC4">
      <w:pPr>
        <w:pStyle w:val="Prrafodelista"/>
        <w:numPr>
          <w:ilvl w:val="0"/>
          <w:numId w:val="1"/>
        </w:numPr>
        <w:contextualSpacing w:val="0"/>
        <w:rPr>
          <w:lang w:val="pt-BR"/>
        </w:rPr>
      </w:pPr>
      <w:r w:rsidRPr="00D5464D">
        <w:rPr>
          <w:lang w:val="pt-BR"/>
        </w:rPr>
        <w:t xml:space="preserve">O </w:t>
      </w:r>
      <w:r w:rsidR="00207197" w:rsidRPr="00D5464D">
        <w:rPr>
          <w:lang w:val="pt-BR"/>
        </w:rPr>
        <w:t xml:space="preserve">Estado </w:t>
      </w:r>
      <w:r w:rsidR="007D31A8" w:rsidRPr="00D5464D">
        <w:rPr>
          <w:lang w:val="pt-BR"/>
        </w:rPr>
        <w:t xml:space="preserve">também </w:t>
      </w:r>
      <w:r w:rsidR="00C91CB1" w:rsidRPr="00D5464D">
        <w:rPr>
          <w:lang w:val="pt-BR"/>
        </w:rPr>
        <w:t>afirmou</w:t>
      </w:r>
      <w:r w:rsidR="00207197" w:rsidRPr="00D5464D">
        <w:rPr>
          <w:lang w:val="pt-BR"/>
        </w:rPr>
        <w:t xml:space="preserve"> que</w:t>
      </w:r>
      <w:r w:rsidR="002C330E" w:rsidRPr="00D5464D">
        <w:rPr>
          <w:lang w:val="pt-BR"/>
        </w:rPr>
        <w:t xml:space="preserve"> a proibição</w:t>
      </w:r>
      <w:r w:rsidR="00207197" w:rsidRPr="00D5464D">
        <w:rPr>
          <w:lang w:val="pt-BR"/>
        </w:rPr>
        <w:t xml:space="preserve"> </w:t>
      </w:r>
      <w:r w:rsidRPr="00D5464D">
        <w:rPr>
          <w:lang w:val="pt-BR"/>
        </w:rPr>
        <w:t xml:space="preserve">do </w:t>
      </w:r>
      <w:r w:rsidR="00E045D9" w:rsidRPr="00D5464D">
        <w:rPr>
          <w:lang w:val="pt-BR"/>
        </w:rPr>
        <w:t>trabalho</w:t>
      </w:r>
      <w:r w:rsidR="00207197" w:rsidRPr="00D5464D">
        <w:rPr>
          <w:lang w:val="pt-BR"/>
        </w:rPr>
        <w:t xml:space="preserve"> </w:t>
      </w:r>
      <w:r w:rsidR="004F1CC2" w:rsidRPr="00D5464D">
        <w:rPr>
          <w:lang w:val="pt-BR"/>
        </w:rPr>
        <w:t>escravo</w:t>
      </w:r>
      <w:r w:rsidRPr="00D5464D">
        <w:rPr>
          <w:lang w:val="pt-BR"/>
        </w:rPr>
        <w:t xml:space="preserve"> é</w:t>
      </w:r>
      <w:r w:rsidR="00E045D9" w:rsidRPr="00D5464D">
        <w:rPr>
          <w:lang w:val="pt-BR"/>
        </w:rPr>
        <w:t xml:space="preserve"> uma </w:t>
      </w:r>
      <w:r w:rsidR="002C330E" w:rsidRPr="00D5464D">
        <w:rPr>
          <w:lang w:val="pt-BR"/>
        </w:rPr>
        <w:t>obrigação</w:t>
      </w:r>
      <w:r w:rsidR="00207197" w:rsidRPr="00D5464D">
        <w:rPr>
          <w:lang w:val="pt-BR"/>
        </w:rPr>
        <w:t xml:space="preserve"> </w:t>
      </w:r>
      <w:r w:rsidR="00207197" w:rsidRPr="00D5464D">
        <w:rPr>
          <w:i/>
          <w:lang w:val="pt-BR"/>
        </w:rPr>
        <w:t>erga omnes</w:t>
      </w:r>
      <w:r w:rsidR="00207197" w:rsidRPr="00D5464D">
        <w:rPr>
          <w:lang w:val="pt-BR"/>
        </w:rPr>
        <w:t xml:space="preserve"> que </w:t>
      </w:r>
      <w:r w:rsidR="00E045D9" w:rsidRPr="00D5464D">
        <w:rPr>
          <w:lang w:val="pt-BR"/>
        </w:rPr>
        <w:t xml:space="preserve">tem </w:t>
      </w:r>
      <w:r w:rsidRPr="00D5464D">
        <w:rPr>
          <w:lang w:val="pt-BR"/>
        </w:rPr>
        <w:t>caráter</w:t>
      </w:r>
      <w:r w:rsidR="00207197" w:rsidRPr="00D5464D">
        <w:rPr>
          <w:lang w:val="pt-BR"/>
        </w:rPr>
        <w:t xml:space="preserve"> de </w:t>
      </w:r>
      <w:r w:rsidR="00207197" w:rsidRPr="00D5464D">
        <w:rPr>
          <w:i/>
          <w:lang w:val="pt-BR"/>
        </w:rPr>
        <w:t>jus cogens</w:t>
      </w:r>
      <w:r w:rsidR="00737270" w:rsidRPr="00D5464D">
        <w:rPr>
          <w:lang w:val="pt-BR"/>
        </w:rPr>
        <w:t>. No entanto</w:t>
      </w:r>
      <w:r w:rsidR="007D31A8" w:rsidRPr="00D5464D">
        <w:rPr>
          <w:lang w:val="pt-BR"/>
        </w:rPr>
        <w:t>,</w:t>
      </w:r>
      <w:r w:rsidR="00207197" w:rsidRPr="00D5464D">
        <w:rPr>
          <w:lang w:val="pt-BR"/>
        </w:rPr>
        <w:t xml:space="preserve"> estas características </w:t>
      </w:r>
      <w:r w:rsidR="00737270" w:rsidRPr="00D5464D">
        <w:rPr>
          <w:lang w:val="pt-BR"/>
        </w:rPr>
        <w:t>não são</w:t>
      </w:r>
      <w:r w:rsidR="002C330E" w:rsidRPr="00D5464D">
        <w:rPr>
          <w:lang w:val="pt-BR"/>
        </w:rPr>
        <w:t xml:space="preserve"> </w:t>
      </w:r>
      <w:r w:rsidR="00207197" w:rsidRPr="00D5464D">
        <w:rPr>
          <w:lang w:val="pt-BR"/>
        </w:rPr>
        <w:t>suficientes para determinar</w:t>
      </w:r>
      <w:r w:rsidRPr="00D5464D">
        <w:rPr>
          <w:lang w:val="pt-BR"/>
        </w:rPr>
        <w:t xml:space="preserve"> o conteúdo</w:t>
      </w:r>
      <w:r w:rsidR="00207197" w:rsidRPr="00D5464D">
        <w:rPr>
          <w:lang w:val="pt-BR"/>
        </w:rPr>
        <w:t xml:space="preserve"> </w:t>
      </w:r>
      <w:r w:rsidR="00E045D9" w:rsidRPr="00D5464D">
        <w:rPr>
          <w:lang w:val="pt-BR"/>
        </w:rPr>
        <w:t>dessa</w:t>
      </w:r>
      <w:r w:rsidRPr="00D5464D">
        <w:rPr>
          <w:lang w:val="pt-BR"/>
        </w:rPr>
        <w:t xml:space="preserve">s </w:t>
      </w:r>
      <w:r w:rsidR="00207197" w:rsidRPr="00D5464D">
        <w:rPr>
          <w:lang w:val="pt-BR"/>
        </w:rPr>
        <w:t>normas.</w:t>
      </w:r>
    </w:p>
    <w:p w14:paraId="2A8211D4" w14:textId="77777777" w:rsidR="00207197" w:rsidRPr="00D5464D" w:rsidRDefault="00207197" w:rsidP="00140440">
      <w:pPr>
        <w:jc w:val="both"/>
        <w:rPr>
          <w:lang w:val="pt-BR"/>
        </w:rPr>
      </w:pPr>
    </w:p>
    <w:p w14:paraId="5AF2C615" w14:textId="23AFC1D0" w:rsidR="00207197" w:rsidRPr="00D5464D" w:rsidRDefault="007D31A8" w:rsidP="00F37DC4">
      <w:pPr>
        <w:pStyle w:val="Prrafodelista"/>
        <w:numPr>
          <w:ilvl w:val="0"/>
          <w:numId w:val="1"/>
        </w:numPr>
        <w:contextualSpacing w:val="0"/>
        <w:rPr>
          <w:lang w:val="pt-BR"/>
        </w:rPr>
      </w:pPr>
      <w:r w:rsidRPr="00D5464D">
        <w:rPr>
          <w:lang w:val="pt-BR"/>
        </w:rPr>
        <w:t xml:space="preserve">No tocante ao </w:t>
      </w:r>
      <w:r w:rsidR="00E045D9" w:rsidRPr="00D5464D">
        <w:rPr>
          <w:lang w:val="pt-BR"/>
        </w:rPr>
        <w:t>trabalho</w:t>
      </w:r>
      <w:r w:rsidR="001B63D0" w:rsidRPr="00D5464D">
        <w:rPr>
          <w:lang w:val="pt-BR"/>
        </w:rPr>
        <w:t xml:space="preserve"> </w:t>
      </w:r>
      <w:r w:rsidR="00230C71" w:rsidRPr="00D5464D">
        <w:rPr>
          <w:lang w:val="pt-BR"/>
        </w:rPr>
        <w:t>forçado</w:t>
      </w:r>
      <w:r w:rsidR="00207197" w:rsidRPr="00D5464D">
        <w:rPr>
          <w:lang w:val="pt-BR"/>
        </w:rPr>
        <w:t>,</w:t>
      </w:r>
      <w:r w:rsidR="00470ADC" w:rsidRPr="00D5464D">
        <w:rPr>
          <w:lang w:val="pt-BR"/>
        </w:rPr>
        <w:t xml:space="preserve"> o </w:t>
      </w:r>
      <w:r w:rsidR="00207197" w:rsidRPr="00D5464D">
        <w:rPr>
          <w:lang w:val="pt-BR"/>
        </w:rPr>
        <w:t xml:space="preserve">Estado </w:t>
      </w:r>
      <w:r w:rsidR="002C330E" w:rsidRPr="00D5464D">
        <w:rPr>
          <w:lang w:val="pt-BR"/>
        </w:rPr>
        <w:t>afirmou</w:t>
      </w:r>
      <w:r w:rsidR="00207197" w:rsidRPr="00D5464D">
        <w:rPr>
          <w:lang w:val="pt-BR"/>
        </w:rPr>
        <w:t xml:space="preserve"> que, </w:t>
      </w:r>
      <w:r w:rsidRPr="00D5464D">
        <w:rPr>
          <w:lang w:val="pt-BR"/>
        </w:rPr>
        <w:t xml:space="preserve">de acordo com a Convenção </w:t>
      </w:r>
      <w:r w:rsidR="00207197" w:rsidRPr="00D5464D">
        <w:rPr>
          <w:lang w:val="pt-BR"/>
        </w:rPr>
        <w:t>N° 29</w:t>
      </w:r>
      <w:r w:rsidR="00470ADC" w:rsidRPr="00D5464D">
        <w:rPr>
          <w:lang w:val="pt-BR"/>
        </w:rPr>
        <w:t xml:space="preserve"> da </w:t>
      </w:r>
      <w:r w:rsidR="00207197" w:rsidRPr="00D5464D">
        <w:rPr>
          <w:lang w:val="pt-BR"/>
        </w:rPr>
        <w:t>OIT, s</w:t>
      </w:r>
      <w:r w:rsidRPr="00D5464D">
        <w:rPr>
          <w:lang w:val="pt-BR"/>
        </w:rPr>
        <w:t>e</w:t>
      </w:r>
      <w:r w:rsidR="00207197" w:rsidRPr="00D5464D">
        <w:rPr>
          <w:lang w:val="pt-BR"/>
        </w:rPr>
        <w:t>us elementos</w:t>
      </w:r>
      <w:r w:rsidR="00737270" w:rsidRPr="00D5464D">
        <w:rPr>
          <w:lang w:val="pt-BR"/>
        </w:rPr>
        <w:t xml:space="preserve"> são:</w:t>
      </w:r>
      <w:r w:rsidR="00207197" w:rsidRPr="00D5464D">
        <w:rPr>
          <w:lang w:val="pt-BR"/>
        </w:rPr>
        <w:t xml:space="preserve"> i)</w:t>
      </w:r>
      <w:r w:rsidR="002C330E" w:rsidRPr="00D5464D">
        <w:rPr>
          <w:lang w:val="pt-BR"/>
        </w:rPr>
        <w:t xml:space="preserve"> a </w:t>
      </w:r>
      <w:r w:rsidR="00470ADC" w:rsidRPr="00D5464D">
        <w:rPr>
          <w:lang w:val="pt-BR"/>
        </w:rPr>
        <w:t>ameaça</w:t>
      </w:r>
      <w:r w:rsidR="00207197" w:rsidRPr="00D5464D">
        <w:rPr>
          <w:lang w:val="pt-BR"/>
        </w:rPr>
        <w:t xml:space="preserve"> de</w:t>
      </w:r>
      <w:r w:rsidR="00E045D9" w:rsidRPr="00D5464D">
        <w:rPr>
          <w:lang w:val="pt-BR"/>
        </w:rPr>
        <w:t xml:space="preserve"> uma </w:t>
      </w:r>
      <w:r w:rsidR="00207197" w:rsidRPr="00D5464D">
        <w:rPr>
          <w:lang w:val="pt-BR"/>
        </w:rPr>
        <w:t>san</w:t>
      </w:r>
      <w:r w:rsidR="00470ADC" w:rsidRPr="00D5464D">
        <w:rPr>
          <w:lang w:val="pt-BR"/>
        </w:rPr>
        <w:t>ção</w:t>
      </w:r>
      <w:r w:rsidR="00207197" w:rsidRPr="00D5464D">
        <w:rPr>
          <w:lang w:val="pt-BR"/>
        </w:rPr>
        <w:t xml:space="preserve"> para</w:t>
      </w:r>
      <w:r w:rsidR="002C330E" w:rsidRPr="00D5464D">
        <w:rPr>
          <w:lang w:val="pt-BR"/>
        </w:rPr>
        <w:t xml:space="preserve"> a </w:t>
      </w:r>
      <w:r w:rsidR="00207197" w:rsidRPr="00D5464D">
        <w:rPr>
          <w:lang w:val="pt-BR"/>
        </w:rPr>
        <w:t>presta</w:t>
      </w:r>
      <w:r w:rsidR="00470ADC" w:rsidRPr="00D5464D">
        <w:rPr>
          <w:lang w:val="pt-BR"/>
        </w:rPr>
        <w:t>ção</w:t>
      </w:r>
      <w:r w:rsidR="00207197" w:rsidRPr="00D5464D">
        <w:rPr>
          <w:lang w:val="pt-BR"/>
        </w:rPr>
        <w:t xml:space="preserve"> </w:t>
      </w:r>
      <w:r w:rsidR="00470ADC" w:rsidRPr="00D5464D">
        <w:rPr>
          <w:lang w:val="pt-BR"/>
        </w:rPr>
        <w:t xml:space="preserve">do </w:t>
      </w:r>
      <w:r w:rsidR="00E045D9" w:rsidRPr="00D5464D">
        <w:rPr>
          <w:lang w:val="pt-BR"/>
        </w:rPr>
        <w:t>trabalho</w:t>
      </w:r>
      <w:r w:rsidR="00470ADC" w:rsidRPr="00D5464D">
        <w:rPr>
          <w:lang w:val="pt-BR"/>
        </w:rPr>
        <w:t>, e</w:t>
      </w:r>
      <w:r w:rsidR="00207197" w:rsidRPr="00D5464D">
        <w:rPr>
          <w:lang w:val="pt-BR"/>
        </w:rPr>
        <w:t xml:space="preserve"> ii)</w:t>
      </w:r>
      <w:r w:rsidR="002C330E" w:rsidRPr="00D5464D">
        <w:rPr>
          <w:lang w:val="pt-BR"/>
        </w:rPr>
        <w:t xml:space="preserve"> a </w:t>
      </w:r>
      <w:r w:rsidR="00470ADC" w:rsidRPr="00D5464D">
        <w:rPr>
          <w:lang w:val="pt-BR"/>
        </w:rPr>
        <w:t>ausência</w:t>
      </w:r>
      <w:r w:rsidR="00207197" w:rsidRPr="00D5464D">
        <w:rPr>
          <w:lang w:val="pt-BR"/>
        </w:rPr>
        <w:t xml:space="preserve"> de </w:t>
      </w:r>
      <w:r w:rsidR="002C330E" w:rsidRPr="00D5464D">
        <w:rPr>
          <w:lang w:val="pt-BR"/>
        </w:rPr>
        <w:t>oferecimento</w:t>
      </w:r>
      <w:r w:rsidR="00207197" w:rsidRPr="00D5464D">
        <w:rPr>
          <w:lang w:val="pt-BR"/>
        </w:rPr>
        <w:t xml:space="preserve"> espont</w:t>
      </w:r>
      <w:r w:rsidRPr="00D5464D">
        <w:rPr>
          <w:lang w:val="pt-BR"/>
        </w:rPr>
        <w:t>â</w:t>
      </w:r>
      <w:r w:rsidR="00207197" w:rsidRPr="00D5464D">
        <w:rPr>
          <w:lang w:val="pt-BR"/>
        </w:rPr>
        <w:t>neo para su</w:t>
      </w:r>
      <w:r w:rsidRPr="00D5464D">
        <w:rPr>
          <w:lang w:val="pt-BR"/>
        </w:rPr>
        <w:t>a</w:t>
      </w:r>
      <w:r w:rsidR="00207197" w:rsidRPr="00D5464D">
        <w:rPr>
          <w:lang w:val="pt-BR"/>
        </w:rPr>
        <w:t xml:space="preserve"> realiza</w:t>
      </w:r>
      <w:r w:rsidR="00470ADC" w:rsidRPr="00D5464D">
        <w:rPr>
          <w:lang w:val="pt-BR"/>
        </w:rPr>
        <w:t>ção</w:t>
      </w:r>
      <w:r w:rsidR="00207197" w:rsidRPr="00D5464D">
        <w:rPr>
          <w:lang w:val="pt-BR"/>
        </w:rPr>
        <w:t xml:space="preserve">. </w:t>
      </w:r>
      <w:r w:rsidR="002C330E" w:rsidRPr="00D5464D">
        <w:rPr>
          <w:lang w:val="pt-BR"/>
        </w:rPr>
        <w:t>Afirmou</w:t>
      </w:r>
      <w:r w:rsidR="00207197" w:rsidRPr="00D5464D">
        <w:rPr>
          <w:lang w:val="pt-BR"/>
        </w:rPr>
        <w:t xml:space="preserve"> </w:t>
      </w:r>
      <w:r w:rsidR="00E045D9" w:rsidRPr="00D5464D">
        <w:rPr>
          <w:lang w:val="pt-BR"/>
        </w:rPr>
        <w:t>também</w:t>
      </w:r>
      <w:r w:rsidR="00207197" w:rsidRPr="00D5464D">
        <w:rPr>
          <w:lang w:val="pt-BR"/>
        </w:rPr>
        <w:t xml:space="preserve"> que</w:t>
      </w:r>
      <w:r w:rsidR="002C330E" w:rsidRPr="00D5464D">
        <w:rPr>
          <w:lang w:val="pt-BR"/>
        </w:rPr>
        <w:t xml:space="preserve"> a </w:t>
      </w:r>
      <w:r w:rsidR="00207197" w:rsidRPr="00D5464D">
        <w:rPr>
          <w:lang w:val="pt-BR"/>
        </w:rPr>
        <w:t>Corte,</w:t>
      </w:r>
      <w:r w:rsidR="00E045D9" w:rsidRPr="00D5464D">
        <w:rPr>
          <w:lang w:val="pt-BR"/>
        </w:rPr>
        <w:t xml:space="preserve"> no </w:t>
      </w:r>
      <w:r w:rsidR="00A1358C" w:rsidRPr="00D5464D">
        <w:rPr>
          <w:lang w:val="pt-BR"/>
        </w:rPr>
        <w:t>Caso dos Massacres de Ituango</w:t>
      </w:r>
      <w:r w:rsidR="00207197" w:rsidRPr="00D5464D">
        <w:rPr>
          <w:lang w:val="pt-BR"/>
        </w:rPr>
        <w:t xml:space="preserve">, </w:t>
      </w:r>
      <w:r w:rsidR="00230C71" w:rsidRPr="00D5464D">
        <w:rPr>
          <w:lang w:val="pt-BR"/>
        </w:rPr>
        <w:t>acrescentou</w:t>
      </w:r>
      <w:r w:rsidR="00207197" w:rsidRPr="00D5464D">
        <w:rPr>
          <w:lang w:val="pt-BR"/>
        </w:rPr>
        <w:t xml:space="preserve"> como requisito adicional que</w:t>
      </w:r>
      <w:r w:rsidR="002C330E" w:rsidRPr="00D5464D">
        <w:rPr>
          <w:lang w:val="pt-BR"/>
        </w:rPr>
        <w:t xml:space="preserve"> a </w:t>
      </w:r>
      <w:r w:rsidR="00207197" w:rsidRPr="00D5464D">
        <w:rPr>
          <w:lang w:val="pt-BR"/>
        </w:rPr>
        <w:t>viola</w:t>
      </w:r>
      <w:r w:rsidR="00470ADC" w:rsidRPr="00D5464D">
        <w:rPr>
          <w:lang w:val="pt-BR"/>
        </w:rPr>
        <w:t>ção</w:t>
      </w:r>
      <w:r w:rsidR="002C330E" w:rsidRPr="00D5464D">
        <w:rPr>
          <w:lang w:val="pt-BR"/>
        </w:rPr>
        <w:t xml:space="preserve"> seja </w:t>
      </w:r>
      <w:r w:rsidR="00230C71" w:rsidRPr="00D5464D">
        <w:rPr>
          <w:lang w:val="pt-BR"/>
        </w:rPr>
        <w:t>atribuível</w:t>
      </w:r>
      <w:r w:rsidR="00470ADC" w:rsidRPr="00D5464D">
        <w:rPr>
          <w:lang w:val="pt-BR"/>
        </w:rPr>
        <w:t xml:space="preserve"> ao </w:t>
      </w:r>
      <w:r w:rsidR="00207197" w:rsidRPr="00D5464D">
        <w:rPr>
          <w:lang w:val="pt-BR"/>
        </w:rPr>
        <w:t xml:space="preserve">Estado. </w:t>
      </w:r>
      <w:r w:rsidR="002C330E" w:rsidRPr="00D5464D">
        <w:rPr>
          <w:lang w:val="pt-BR"/>
        </w:rPr>
        <w:t>Segundo</w:t>
      </w:r>
      <w:r w:rsidR="00207197" w:rsidRPr="00D5464D">
        <w:rPr>
          <w:lang w:val="pt-BR"/>
        </w:rPr>
        <w:t xml:space="preserve"> </w:t>
      </w:r>
      <w:r w:rsidRPr="00D5464D">
        <w:rPr>
          <w:lang w:val="pt-BR"/>
        </w:rPr>
        <w:t xml:space="preserve">o </w:t>
      </w:r>
      <w:r w:rsidR="00207197" w:rsidRPr="00D5464D">
        <w:rPr>
          <w:lang w:val="pt-BR"/>
        </w:rPr>
        <w:t>Brasil</w:t>
      </w:r>
      <w:r w:rsidR="00F03F93" w:rsidRPr="00D5464D">
        <w:rPr>
          <w:lang w:val="pt-BR"/>
        </w:rPr>
        <w:t>,</w:t>
      </w:r>
      <w:r w:rsidR="00207197" w:rsidRPr="00D5464D">
        <w:rPr>
          <w:lang w:val="pt-BR"/>
        </w:rPr>
        <w:t xml:space="preserve"> n</w:t>
      </w:r>
      <w:r w:rsidRPr="00D5464D">
        <w:rPr>
          <w:lang w:val="pt-BR"/>
        </w:rPr>
        <w:t>ã</w:t>
      </w:r>
      <w:r w:rsidR="00207197" w:rsidRPr="00D5464D">
        <w:rPr>
          <w:lang w:val="pt-BR"/>
        </w:rPr>
        <w:t>o basta</w:t>
      </w:r>
      <w:r w:rsidR="00E045D9" w:rsidRPr="00D5464D">
        <w:rPr>
          <w:lang w:val="pt-BR"/>
        </w:rPr>
        <w:t xml:space="preserve"> uma </w:t>
      </w:r>
      <w:r w:rsidR="00350187" w:rsidRPr="00D5464D">
        <w:rPr>
          <w:lang w:val="pt-BR"/>
        </w:rPr>
        <w:t xml:space="preserve">simples </w:t>
      </w:r>
      <w:r w:rsidR="00207197" w:rsidRPr="00D5464D">
        <w:rPr>
          <w:lang w:val="pt-BR"/>
        </w:rPr>
        <w:t>o</w:t>
      </w:r>
      <w:r w:rsidR="002C330E" w:rsidRPr="00D5464D">
        <w:rPr>
          <w:lang w:val="pt-BR"/>
        </w:rPr>
        <w:t>missão</w:t>
      </w:r>
      <w:r w:rsidR="00815EE5" w:rsidRPr="00D5464D">
        <w:rPr>
          <w:lang w:val="pt-BR"/>
        </w:rPr>
        <w:t>,</w:t>
      </w:r>
      <w:r w:rsidR="002C330E" w:rsidRPr="00D5464D">
        <w:rPr>
          <w:lang w:val="pt-BR"/>
        </w:rPr>
        <w:t xml:space="preserve"> mas </w:t>
      </w:r>
      <w:r w:rsidR="00470ADC" w:rsidRPr="00D5464D">
        <w:rPr>
          <w:lang w:val="pt-BR"/>
        </w:rPr>
        <w:t xml:space="preserve">deve </w:t>
      </w:r>
      <w:r w:rsidRPr="00D5464D">
        <w:rPr>
          <w:lang w:val="pt-BR"/>
        </w:rPr>
        <w:t xml:space="preserve">existir </w:t>
      </w:r>
      <w:r w:rsidR="00E045D9" w:rsidRPr="00D5464D">
        <w:rPr>
          <w:lang w:val="pt-BR"/>
        </w:rPr>
        <w:t xml:space="preserve">uma </w:t>
      </w:r>
      <w:r w:rsidR="00470ADC" w:rsidRPr="00D5464D">
        <w:rPr>
          <w:lang w:val="pt-BR"/>
        </w:rPr>
        <w:t>conduta</w:t>
      </w:r>
      <w:r w:rsidR="00207197" w:rsidRPr="00D5464D">
        <w:rPr>
          <w:lang w:val="pt-BR"/>
        </w:rPr>
        <w:t xml:space="preserve"> estatal</w:t>
      </w:r>
      <w:r w:rsidR="00470ADC" w:rsidRPr="00D5464D">
        <w:rPr>
          <w:lang w:val="pt-BR"/>
        </w:rPr>
        <w:t xml:space="preserve"> com</w:t>
      </w:r>
      <w:r w:rsidR="002C330E" w:rsidRPr="00D5464D">
        <w:rPr>
          <w:lang w:val="pt-BR"/>
        </w:rPr>
        <w:t xml:space="preserve"> a </w:t>
      </w:r>
      <w:r w:rsidR="00207197" w:rsidRPr="00D5464D">
        <w:rPr>
          <w:lang w:val="pt-BR"/>
        </w:rPr>
        <w:t>inten</w:t>
      </w:r>
      <w:r w:rsidR="00470ADC" w:rsidRPr="00D5464D">
        <w:rPr>
          <w:lang w:val="pt-BR"/>
        </w:rPr>
        <w:t>ção</w:t>
      </w:r>
      <w:r w:rsidR="00207197" w:rsidRPr="00D5464D">
        <w:rPr>
          <w:lang w:val="pt-BR"/>
        </w:rPr>
        <w:t xml:space="preserve"> de tomar parte</w:t>
      </w:r>
      <w:r w:rsidR="00E045D9" w:rsidRPr="00D5464D">
        <w:rPr>
          <w:lang w:val="pt-BR"/>
        </w:rPr>
        <w:t xml:space="preserve"> na </w:t>
      </w:r>
      <w:r w:rsidR="00207197" w:rsidRPr="00D5464D">
        <w:rPr>
          <w:lang w:val="pt-BR"/>
        </w:rPr>
        <w:t>viola</w:t>
      </w:r>
      <w:r w:rsidR="00470ADC" w:rsidRPr="00D5464D">
        <w:rPr>
          <w:lang w:val="pt-BR"/>
        </w:rPr>
        <w:t>ção</w:t>
      </w:r>
      <w:r w:rsidR="00767387" w:rsidRPr="00D5464D">
        <w:rPr>
          <w:lang w:val="pt-BR"/>
        </w:rPr>
        <w:t xml:space="preserve"> do</w:t>
      </w:r>
      <w:r w:rsidR="00207197" w:rsidRPr="00D5464D">
        <w:rPr>
          <w:lang w:val="pt-BR"/>
        </w:rPr>
        <w:t xml:space="preserve"> </w:t>
      </w:r>
      <w:r w:rsidR="00470ADC" w:rsidRPr="00D5464D">
        <w:rPr>
          <w:lang w:val="pt-BR"/>
        </w:rPr>
        <w:t>direito</w:t>
      </w:r>
      <w:r w:rsidR="00207197" w:rsidRPr="00D5464D">
        <w:rPr>
          <w:lang w:val="pt-BR"/>
        </w:rPr>
        <w:t xml:space="preserve"> o</w:t>
      </w:r>
      <w:r w:rsidRPr="00D5464D">
        <w:rPr>
          <w:lang w:val="pt-BR"/>
        </w:rPr>
        <w:t>u,</w:t>
      </w:r>
      <w:r w:rsidR="00207197" w:rsidRPr="00D5464D">
        <w:rPr>
          <w:lang w:val="pt-BR"/>
        </w:rPr>
        <w:t xml:space="preserve"> </w:t>
      </w:r>
      <w:r w:rsidR="00C56E63" w:rsidRPr="00D5464D">
        <w:rPr>
          <w:lang w:val="pt-BR"/>
        </w:rPr>
        <w:t>pelo me</w:t>
      </w:r>
      <w:r w:rsidRPr="00D5464D">
        <w:rPr>
          <w:lang w:val="pt-BR"/>
        </w:rPr>
        <w:t xml:space="preserve">nos, </w:t>
      </w:r>
      <w:r w:rsidR="00815EE5" w:rsidRPr="00D5464D">
        <w:rPr>
          <w:lang w:val="pt-BR"/>
        </w:rPr>
        <w:t>facilitar sua ocorrência</w:t>
      </w:r>
      <w:r w:rsidR="00207197" w:rsidRPr="00D5464D">
        <w:rPr>
          <w:lang w:val="pt-BR"/>
        </w:rPr>
        <w:t>.</w:t>
      </w:r>
      <w:r w:rsidR="00FF1290" w:rsidRPr="00D5464D">
        <w:rPr>
          <w:lang w:val="pt-BR"/>
        </w:rPr>
        <w:t xml:space="preserve"> </w:t>
      </w:r>
    </w:p>
    <w:p w14:paraId="2EA60C31" w14:textId="77777777" w:rsidR="00207197" w:rsidRPr="00D5464D" w:rsidRDefault="00207197" w:rsidP="00140440">
      <w:pPr>
        <w:jc w:val="both"/>
        <w:rPr>
          <w:lang w:val="pt-BR"/>
        </w:rPr>
      </w:pPr>
    </w:p>
    <w:p w14:paraId="332E713E" w14:textId="1339E117" w:rsidR="00207197" w:rsidRPr="00D5464D" w:rsidRDefault="00A1358C" w:rsidP="00F37DC4">
      <w:pPr>
        <w:pStyle w:val="Prrafodelista"/>
        <w:numPr>
          <w:ilvl w:val="0"/>
          <w:numId w:val="1"/>
        </w:numPr>
        <w:contextualSpacing w:val="0"/>
        <w:rPr>
          <w:lang w:val="pt-BR"/>
        </w:rPr>
      </w:pPr>
      <w:r w:rsidRPr="00D5464D">
        <w:rPr>
          <w:lang w:val="pt-BR"/>
        </w:rPr>
        <w:t>Por outr</w:t>
      </w:r>
      <w:r w:rsidR="007D31A8" w:rsidRPr="00D5464D">
        <w:rPr>
          <w:lang w:val="pt-BR"/>
        </w:rPr>
        <w:t>a parte</w:t>
      </w:r>
      <w:r w:rsidRPr="00D5464D">
        <w:rPr>
          <w:lang w:val="pt-BR"/>
        </w:rPr>
        <w:t>,</w:t>
      </w:r>
      <w:r w:rsidR="00470ADC" w:rsidRPr="00D5464D">
        <w:rPr>
          <w:lang w:val="pt-BR"/>
        </w:rPr>
        <w:t xml:space="preserve"> o </w:t>
      </w:r>
      <w:r w:rsidR="00207197" w:rsidRPr="00D5464D">
        <w:rPr>
          <w:lang w:val="pt-BR"/>
        </w:rPr>
        <w:t>Estado distingui</w:t>
      </w:r>
      <w:r w:rsidR="00F35F9B" w:rsidRPr="00D5464D">
        <w:rPr>
          <w:lang w:val="pt-BR"/>
        </w:rPr>
        <w:t>u</w:t>
      </w:r>
      <w:r w:rsidR="00207197" w:rsidRPr="00D5464D">
        <w:rPr>
          <w:lang w:val="pt-BR"/>
        </w:rPr>
        <w:t xml:space="preserve"> entre </w:t>
      </w:r>
      <w:r w:rsidR="000B376D" w:rsidRPr="00D5464D">
        <w:rPr>
          <w:lang w:val="pt-BR"/>
        </w:rPr>
        <w:t>servidão</w:t>
      </w:r>
      <w:r w:rsidR="00230C71" w:rsidRPr="00D5464D">
        <w:rPr>
          <w:lang w:val="pt-BR"/>
        </w:rPr>
        <w:t xml:space="preserve"> </w:t>
      </w:r>
      <w:r w:rsidR="00F35F9B" w:rsidRPr="00D5464D">
        <w:rPr>
          <w:lang w:val="pt-BR"/>
        </w:rPr>
        <w:t xml:space="preserve">propriamente dita </w:t>
      </w:r>
      <w:r w:rsidR="00E045D9" w:rsidRPr="00D5464D">
        <w:rPr>
          <w:lang w:val="pt-BR"/>
        </w:rPr>
        <w:t xml:space="preserve">e </w:t>
      </w:r>
      <w:r w:rsidR="000B376D" w:rsidRPr="00D5464D">
        <w:rPr>
          <w:lang w:val="pt-BR"/>
        </w:rPr>
        <w:t>servidão</w:t>
      </w:r>
      <w:r w:rsidR="00207197" w:rsidRPr="00D5464D">
        <w:rPr>
          <w:lang w:val="pt-BR"/>
        </w:rPr>
        <w:t xml:space="preserve"> por </w:t>
      </w:r>
      <w:r w:rsidR="00470ADC" w:rsidRPr="00D5464D">
        <w:rPr>
          <w:lang w:val="pt-BR"/>
        </w:rPr>
        <w:t>dívida</w:t>
      </w:r>
      <w:r w:rsidR="00C91CB1" w:rsidRPr="00D5464D">
        <w:rPr>
          <w:lang w:val="pt-BR"/>
        </w:rPr>
        <w:t xml:space="preserve">. Os </w:t>
      </w:r>
      <w:r w:rsidR="00207197" w:rsidRPr="00D5464D">
        <w:rPr>
          <w:lang w:val="pt-BR"/>
        </w:rPr>
        <w:t xml:space="preserve">elementos </w:t>
      </w:r>
      <w:r w:rsidR="00470ADC" w:rsidRPr="00D5464D">
        <w:rPr>
          <w:lang w:val="pt-BR"/>
        </w:rPr>
        <w:t>do</w:t>
      </w:r>
      <w:r w:rsidR="002C330E" w:rsidRPr="00D5464D">
        <w:rPr>
          <w:lang w:val="pt-BR"/>
        </w:rPr>
        <w:t xml:space="preserve"> primeiro </w:t>
      </w:r>
      <w:r w:rsidR="00207197" w:rsidRPr="00D5464D">
        <w:rPr>
          <w:lang w:val="pt-BR"/>
        </w:rPr>
        <w:t xml:space="preserve">tipo </w:t>
      </w:r>
      <w:r w:rsidR="00737270" w:rsidRPr="00D5464D">
        <w:rPr>
          <w:lang w:val="pt-BR"/>
        </w:rPr>
        <w:t>seriam</w:t>
      </w:r>
      <w:r w:rsidR="00207197" w:rsidRPr="00D5464D">
        <w:rPr>
          <w:lang w:val="pt-BR"/>
        </w:rPr>
        <w:t>: i) que</w:t>
      </w:r>
      <w:r w:rsidR="00470ADC" w:rsidRPr="00D5464D">
        <w:rPr>
          <w:lang w:val="pt-BR"/>
        </w:rPr>
        <w:t xml:space="preserve"> o </w:t>
      </w:r>
      <w:r w:rsidR="00E045D9" w:rsidRPr="00D5464D">
        <w:rPr>
          <w:lang w:val="pt-BR"/>
        </w:rPr>
        <w:t>trabalho</w:t>
      </w:r>
      <w:r w:rsidR="00207197" w:rsidRPr="00D5464D">
        <w:rPr>
          <w:lang w:val="pt-BR"/>
        </w:rPr>
        <w:t xml:space="preserve"> </w:t>
      </w:r>
      <w:r w:rsidR="002C330E" w:rsidRPr="00D5464D">
        <w:rPr>
          <w:lang w:val="pt-BR"/>
        </w:rPr>
        <w:t>obrigatóri</w:t>
      </w:r>
      <w:r w:rsidR="00207197" w:rsidRPr="00D5464D">
        <w:rPr>
          <w:lang w:val="pt-BR"/>
        </w:rPr>
        <w:t>o se</w:t>
      </w:r>
      <w:r w:rsidR="00F35F9B" w:rsidRPr="00D5464D">
        <w:rPr>
          <w:lang w:val="pt-BR"/>
        </w:rPr>
        <w:t xml:space="preserve">ja realizado </w:t>
      </w:r>
      <w:r w:rsidR="00470ADC" w:rsidRPr="00D5464D">
        <w:rPr>
          <w:lang w:val="pt-BR"/>
        </w:rPr>
        <w:t>em</w:t>
      </w:r>
      <w:r w:rsidR="00E045D9" w:rsidRPr="00D5464D">
        <w:rPr>
          <w:lang w:val="pt-BR"/>
        </w:rPr>
        <w:t xml:space="preserve"> </w:t>
      </w:r>
      <w:r w:rsidR="00C56E63" w:rsidRPr="00D5464D">
        <w:rPr>
          <w:lang w:val="pt-BR"/>
        </w:rPr>
        <w:t>uma propriedade</w:t>
      </w:r>
      <w:r w:rsidR="00207197" w:rsidRPr="00D5464D">
        <w:rPr>
          <w:lang w:val="pt-BR"/>
        </w:rPr>
        <w:t xml:space="preserve"> </w:t>
      </w:r>
      <w:r w:rsidR="00737270" w:rsidRPr="00D5464D">
        <w:rPr>
          <w:lang w:val="pt-BR"/>
        </w:rPr>
        <w:t>pertencente</w:t>
      </w:r>
      <w:r w:rsidR="00207197" w:rsidRPr="00D5464D">
        <w:rPr>
          <w:lang w:val="pt-BR"/>
        </w:rPr>
        <w:t xml:space="preserve"> a o</w:t>
      </w:r>
      <w:r w:rsidR="00F35F9B" w:rsidRPr="00D5464D">
        <w:rPr>
          <w:lang w:val="pt-BR"/>
        </w:rPr>
        <w:t>u</w:t>
      </w:r>
      <w:r w:rsidR="00207197" w:rsidRPr="00D5464D">
        <w:rPr>
          <w:lang w:val="pt-BR"/>
        </w:rPr>
        <w:t>tro; ii)</w:t>
      </w:r>
      <w:r w:rsidR="002C330E" w:rsidRPr="00D5464D">
        <w:rPr>
          <w:lang w:val="pt-BR"/>
        </w:rPr>
        <w:t xml:space="preserve"> a </w:t>
      </w:r>
      <w:r w:rsidR="00207197" w:rsidRPr="00D5464D">
        <w:rPr>
          <w:lang w:val="pt-BR"/>
        </w:rPr>
        <w:t>presta</w:t>
      </w:r>
      <w:r w:rsidR="00470ADC" w:rsidRPr="00D5464D">
        <w:rPr>
          <w:lang w:val="pt-BR"/>
        </w:rPr>
        <w:t>ção</w:t>
      </w:r>
      <w:r w:rsidR="00207197" w:rsidRPr="00D5464D">
        <w:rPr>
          <w:lang w:val="pt-BR"/>
        </w:rPr>
        <w:t xml:space="preserve"> de </w:t>
      </w:r>
      <w:r w:rsidR="002C330E" w:rsidRPr="00D5464D">
        <w:rPr>
          <w:lang w:val="pt-BR"/>
        </w:rPr>
        <w:t>serviço</w:t>
      </w:r>
      <w:r w:rsidR="00207197" w:rsidRPr="00D5464D">
        <w:rPr>
          <w:lang w:val="pt-BR"/>
        </w:rPr>
        <w:t xml:space="preserve">s </w:t>
      </w:r>
      <w:r w:rsidR="00737270" w:rsidRPr="00D5464D">
        <w:rPr>
          <w:lang w:val="pt-BR"/>
        </w:rPr>
        <w:t>não é</w:t>
      </w:r>
      <w:r w:rsidR="00470ADC" w:rsidRPr="00D5464D">
        <w:rPr>
          <w:lang w:val="pt-BR"/>
        </w:rPr>
        <w:t xml:space="preserve"> </w:t>
      </w:r>
      <w:r w:rsidR="00737270" w:rsidRPr="00D5464D">
        <w:rPr>
          <w:lang w:val="pt-BR"/>
        </w:rPr>
        <w:t>voluntári</w:t>
      </w:r>
      <w:r w:rsidR="00207197" w:rsidRPr="00D5464D">
        <w:rPr>
          <w:lang w:val="pt-BR"/>
        </w:rPr>
        <w:t>a</w:t>
      </w:r>
      <w:r w:rsidR="00470ADC" w:rsidRPr="00D5464D">
        <w:rPr>
          <w:lang w:val="pt-BR"/>
        </w:rPr>
        <w:t>, e</w:t>
      </w:r>
      <w:r w:rsidR="00207197" w:rsidRPr="00D5464D">
        <w:rPr>
          <w:lang w:val="pt-BR"/>
        </w:rPr>
        <w:t xml:space="preserve"> iii)</w:t>
      </w:r>
      <w:r w:rsidR="002C330E" w:rsidRPr="00D5464D">
        <w:rPr>
          <w:lang w:val="pt-BR"/>
        </w:rPr>
        <w:t xml:space="preserve"> a obrigação</w:t>
      </w:r>
      <w:r w:rsidR="00207197" w:rsidRPr="00D5464D">
        <w:rPr>
          <w:lang w:val="pt-BR"/>
        </w:rPr>
        <w:t xml:space="preserve"> </w:t>
      </w:r>
      <w:r w:rsidR="00E045D9" w:rsidRPr="00D5464D">
        <w:rPr>
          <w:lang w:val="pt-BR"/>
        </w:rPr>
        <w:t xml:space="preserve">tem </w:t>
      </w:r>
      <w:r w:rsidR="00207197" w:rsidRPr="00D5464D">
        <w:rPr>
          <w:lang w:val="pt-BR"/>
        </w:rPr>
        <w:t xml:space="preserve">como </w:t>
      </w:r>
      <w:r w:rsidR="00470ADC" w:rsidRPr="00D5464D">
        <w:rPr>
          <w:lang w:val="pt-BR"/>
        </w:rPr>
        <w:t>fonte</w:t>
      </w:r>
      <w:r w:rsidR="002C330E" w:rsidRPr="00D5464D">
        <w:rPr>
          <w:lang w:val="pt-BR"/>
        </w:rPr>
        <w:t xml:space="preserve"> a </w:t>
      </w:r>
      <w:r w:rsidR="00737270" w:rsidRPr="00D5464D">
        <w:rPr>
          <w:lang w:val="pt-BR"/>
        </w:rPr>
        <w:t>lei,</w:t>
      </w:r>
      <w:r w:rsidR="002C330E" w:rsidRPr="00D5464D">
        <w:rPr>
          <w:lang w:val="pt-BR"/>
        </w:rPr>
        <w:t xml:space="preserve"> </w:t>
      </w:r>
      <w:r w:rsidR="00F35F9B" w:rsidRPr="00D5464D">
        <w:rPr>
          <w:lang w:val="pt-BR"/>
        </w:rPr>
        <w:t>o</w:t>
      </w:r>
      <w:r w:rsidR="002C330E" w:rsidRPr="00D5464D">
        <w:rPr>
          <w:lang w:val="pt-BR"/>
        </w:rPr>
        <w:t xml:space="preserve"> </w:t>
      </w:r>
      <w:r w:rsidR="00470ADC" w:rsidRPr="00D5464D">
        <w:rPr>
          <w:lang w:val="pt-BR"/>
        </w:rPr>
        <w:t>costume</w:t>
      </w:r>
      <w:r w:rsidR="00207197" w:rsidRPr="00D5464D">
        <w:rPr>
          <w:lang w:val="pt-BR"/>
        </w:rPr>
        <w:t xml:space="preserve"> o</w:t>
      </w:r>
      <w:r w:rsidR="00F35F9B" w:rsidRPr="00D5464D">
        <w:rPr>
          <w:lang w:val="pt-BR"/>
        </w:rPr>
        <w:t>u</w:t>
      </w:r>
      <w:r w:rsidR="00470ADC" w:rsidRPr="00D5464D">
        <w:rPr>
          <w:lang w:val="pt-BR"/>
        </w:rPr>
        <w:t xml:space="preserve"> </w:t>
      </w:r>
      <w:r w:rsidR="00F35F9B" w:rsidRPr="00D5464D">
        <w:rPr>
          <w:lang w:val="pt-BR"/>
        </w:rPr>
        <w:t>um</w:t>
      </w:r>
      <w:r w:rsidR="00470ADC" w:rsidRPr="00D5464D">
        <w:rPr>
          <w:lang w:val="pt-BR"/>
        </w:rPr>
        <w:t xml:space="preserve"> acordo</w:t>
      </w:r>
      <w:r w:rsidR="00207197" w:rsidRPr="00D5464D">
        <w:rPr>
          <w:lang w:val="pt-BR"/>
        </w:rPr>
        <w:t xml:space="preserve">. </w:t>
      </w:r>
      <w:r w:rsidR="00470ADC" w:rsidRPr="00D5464D">
        <w:rPr>
          <w:lang w:val="pt-BR"/>
        </w:rPr>
        <w:t>Ademais</w:t>
      </w:r>
      <w:r w:rsidR="00207197" w:rsidRPr="00D5464D">
        <w:rPr>
          <w:lang w:val="pt-BR"/>
        </w:rPr>
        <w:t xml:space="preserve">, </w:t>
      </w:r>
      <w:r w:rsidR="00941A47" w:rsidRPr="00D5464D">
        <w:rPr>
          <w:lang w:val="pt-BR"/>
        </w:rPr>
        <w:t>encontrar-se-ia</w:t>
      </w:r>
      <w:r w:rsidR="00E765C2" w:rsidRPr="00D5464D">
        <w:rPr>
          <w:lang w:val="pt-BR"/>
        </w:rPr>
        <w:t xml:space="preserve"> </w:t>
      </w:r>
      <w:r w:rsidR="00207197" w:rsidRPr="00D5464D">
        <w:rPr>
          <w:lang w:val="pt-BR"/>
        </w:rPr>
        <w:t>implícita</w:t>
      </w:r>
      <w:r w:rsidR="002C330E" w:rsidRPr="00D5464D">
        <w:rPr>
          <w:lang w:val="pt-BR"/>
        </w:rPr>
        <w:t xml:space="preserve"> a </w:t>
      </w:r>
      <w:r w:rsidR="00470ADC" w:rsidRPr="00D5464D">
        <w:rPr>
          <w:lang w:val="pt-BR"/>
        </w:rPr>
        <w:t>ameaça</w:t>
      </w:r>
      <w:r w:rsidR="00207197" w:rsidRPr="00D5464D">
        <w:rPr>
          <w:lang w:val="pt-BR"/>
        </w:rPr>
        <w:t xml:space="preserve"> de </w:t>
      </w:r>
      <w:r w:rsidR="00E045D9" w:rsidRPr="00D5464D">
        <w:rPr>
          <w:lang w:val="pt-BR"/>
        </w:rPr>
        <w:t>violência</w:t>
      </w:r>
      <w:r w:rsidR="00207197" w:rsidRPr="00D5464D">
        <w:rPr>
          <w:lang w:val="pt-BR"/>
        </w:rPr>
        <w:t xml:space="preserve">. </w:t>
      </w:r>
      <w:r w:rsidR="00737270" w:rsidRPr="00D5464D">
        <w:rPr>
          <w:lang w:val="pt-BR"/>
        </w:rPr>
        <w:t>Por sua vez</w:t>
      </w:r>
      <w:r w:rsidR="00207197" w:rsidRPr="00D5464D">
        <w:rPr>
          <w:lang w:val="pt-BR"/>
        </w:rPr>
        <w:t>,</w:t>
      </w:r>
      <w:r w:rsidR="002C330E" w:rsidRPr="00D5464D">
        <w:rPr>
          <w:lang w:val="pt-BR"/>
        </w:rPr>
        <w:t xml:space="preserve"> os </w:t>
      </w:r>
      <w:r w:rsidR="00207197" w:rsidRPr="00D5464D">
        <w:rPr>
          <w:lang w:val="pt-BR"/>
        </w:rPr>
        <w:t>elementos</w:t>
      </w:r>
      <w:r w:rsidR="00470ADC" w:rsidRPr="00D5464D">
        <w:rPr>
          <w:lang w:val="pt-BR"/>
        </w:rPr>
        <w:t xml:space="preserve"> da </w:t>
      </w:r>
      <w:r w:rsidR="000B376D" w:rsidRPr="00D5464D">
        <w:rPr>
          <w:lang w:val="pt-BR"/>
        </w:rPr>
        <w:t>servidão</w:t>
      </w:r>
      <w:r w:rsidR="00207197" w:rsidRPr="00D5464D">
        <w:rPr>
          <w:lang w:val="pt-BR"/>
        </w:rPr>
        <w:t xml:space="preserve"> por </w:t>
      </w:r>
      <w:r w:rsidR="00470ADC" w:rsidRPr="00D5464D">
        <w:rPr>
          <w:lang w:val="pt-BR"/>
        </w:rPr>
        <w:t>dívida</w:t>
      </w:r>
      <w:r w:rsidR="002C330E" w:rsidRPr="00D5464D">
        <w:rPr>
          <w:lang w:val="pt-BR"/>
        </w:rPr>
        <w:t xml:space="preserve"> são os seguinte</w:t>
      </w:r>
      <w:r w:rsidR="00207197" w:rsidRPr="00D5464D">
        <w:rPr>
          <w:lang w:val="pt-BR"/>
        </w:rPr>
        <w:t>s: i) que</w:t>
      </w:r>
      <w:r w:rsidR="00470ADC" w:rsidRPr="00D5464D">
        <w:rPr>
          <w:lang w:val="pt-BR"/>
        </w:rPr>
        <w:t xml:space="preserve"> o </w:t>
      </w:r>
      <w:r w:rsidR="00E045D9" w:rsidRPr="00D5464D">
        <w:rPr>
          <w:lang w:val="pt-BR"/>
        </w:rPr>
        <w:t>trabalho</w:t>
      </w:r>
      <w:r w:rsidR="00207197" w:rsidRPr="00D5464D">
        <w:rPr>
          <w:lang w:val="pt-BR"/>
        </w:rPr>
        <w:t xml:space="preserve"> se</w:t>
      </w:r>
      <w:r w:rsidR="00F35F9B" w:rsidRPr="00D5464D">
        <w:rPr>
          <w:lang w:val="pt-BR"/>
        </w:rPr>
        <w:t>ja</w:t>
      </w:r>
      <w:r w:rsidR="00207197" w:rsidRPr="00D5464D">
        <w:rPr>
          <w:lang w:val="pt-BR"/>
        </w:rPr>
        <w:t xml:space="preserve"> exi</w:t>
      </w:r>
      <w:r w:rsidR="00F35F9B" w:rsidRPr="00D5464D">
        <w:rPr>
          <w:lang w:val="pt-BR"/>
        </w:rPr>
        <w:t xml:space="preserve">gido </w:t>
      </w:r>
      <w:r w:rsidR="00207197" w:rsidRPr="00D5464D">
        <w:rPr>
          <w:lang w:val="pt-BR"/>
        </w:rPr>
        <w:t xml:space="preserve">como </w:t>
      </w:r>
      <w:r w:rsidR="002C330E" w:rsidRPr="00D5464D">
        <w:rPr>
          <w:lang w:val="pt-BR"/>
        </w:rPr>
        <w:t xml:space="preserve">garantia </w:t>
      </w:r>
      <w:r w:rsidR="00207197" w:rsidRPr="00D5464D">
        <w:rPr>
          <w:lang w:val="pt-BR"/>
        </w:rPr>
        <w:t>para</w:t>
      </w:r>
      <w:r w:rsidR="00470ADC" w:rsidRPr="00D5464D">
        <w:rPr>
          <w:lang w:val="pt-BR"/>
        </w:rPr>
        <w:t xml:space="preserve"> o </w:t>
      </w:r>
      <w:r w:rsidR="002C330E" w:rsidRPr="00D5464D">
        <w:rPr>
          <w:lang w:val="pt-BR"/>
        </w:rPr>
        <w:t>pagamento</w:t>
      </w:r>
      <w:r w:rsidR="00207197" w:rsidRPr="00D5464D">
        <w:rPr>
          <w:lang w:val="pt-BR"/>
        </w:rPr>
        <w:t xml:space="preserve"> de</w:t>
      </w:r>
      <w:r w:rsidR="00E045D9" w:rsidRPr="00D5464D">
        <w:rPr>
          <w:lang w:val="pt-BR"/>
        </w:rPr>
        <w:t xml:space="preserve"> uma </w:t>
      </w:r>
      <w:r w:rsidR="00470ADC" w:rsidRPr="00D5464D">
        <w:rPr>
          <w:lang w:val="pt-BR"/>
        </w:rPr>
        <w:t>dívida</w:t>
      </w:r>
      <w:r w:rsidR="00207197" w:rsidRPr="00D5464D">
        <w:rPr>
          <w:lang w:val="pt-BR"/>
        </w:rPr>
        <w:t>; ii) que</w:t>
      </w:r>
      <w:r w:rsidR="00470ADC" w:rsidRPr="00D5464D">
        <w:rPr>
          <w:lang w:val="pt-BR"/>
        </w:rPr>
        <w:t xml:space="preserve"> o </w:t>
      </w:r>
      <w:r w:rsidR="00E045D9" w:rsidRPr="00D5464D">
        <w:rPr>
          <w:lang w:val="pt-BR"/>
        </w:rPr>
        <w:t>trabalho</w:t>
      </w:r>
      <w:r w:rsidR="002C330E" w:rsidRPr="00D5464D">
        <w:rPr>
          <w:lang w:val="pt-BR"/>
        </w:rPr>
        <w:t xml:space="preserve"> seja </w:t>
      </w:r>
      <w:r w:rsidR="00F35F9B" w:rsidRPr="00D5464D">
        <w:rPr>
          <w:lang w:val="pt-BR"/>
        </w:rPr>
        <w:t xml:space="preserve">assumido </w:t>
      </w:r>
      <w:r w:rsidR="00737270" w:rsidRPr="00D5464D">
        <w:rPr>
          <w:lang w:val="pt-BR"/>
        </w:rPr>
        <w:t>voluntariamente</w:t>
      </w:r>
      <w:r w:rsidR="00207197" w:rsidRPr="00D5464D">
        <w:rPr>
          <w:lang w:val="pt-BR"/>
        </w:rPr>
        <w:t>; iii) que</w:t>
      </w:r>
      <w:r w:rsidR="00470ADC" w:rsidRPr="00D5464D">
        <w:rPr>
          <w:lang w:val="pt-BR"/>
        </w:rPr>
        <w:t xml:space="preserve"> o </w:t>
      </w:r>
      <w:r w:rsidR="00207197" w:rsidRPr="00D5464D">
        <w:rPr>
          <w:lang w:val="pt-BR"/>
        </w:rPr>
        <w:t xml:space="preserve">valor </w:t>
      </w:r>
      <w:r w:rsidR="00470ADC" w:rsidRPr="00D5464D">
        <w:rPr>
          <w:lang w:val="pt-BR"/>
        </w:rPr>
        <w:t xml:space="preserve">do </w:t>
      </w:r>
      <w:r w:rsidR="00E045D9" w:rsidRPr="00D5464D">
        <w:rPr>
          <w:lang w:val="pt-BR"/>
        </w:rPr>
        <w:t>trabalho</w:t>
      </w:r>
      <w:r w:rsidR="002C330E" w:rsidRPr="00D5464D">
        <w:rPr>
          <w:lang w:val="pt-BR"/>
        </w:rPr>
        <w:t xml:space="preserve"> seja </w:t>
      </w:r>
      <w:r w:rsidR="00207197" w:rsidRPr="00D5464D">
        <w:rPr>
          <w:lang w:val="pt-BR"/>
        </w:rPr>
        <w:t>insuficiente para saldar</w:t>
      </w:r>
      <w:r w:rsidR="002C330E" w:rsidRPr="00D5464D">
        <w:rPr>
          <w:lang w:val="pt-BR"/>
        </w:rPr>
        <w:t xml:space="preserve"> a </w:t>
      </w:r>
      <w:r w:rsidR="00470ADC" w:rsidRPr="00D5464D">
        <w:rPr>
          <w:lang w:val="pt-BR"/>
        </w:rPr>
        <w:t>dívida</w:t>
      </w:r>
      <w:r w:rsidR="00207197" w:rsidRPr="00D5464D">
        <w:rPr>
          <w:lang w:val="pt-BR"/>
        </w:rPr>
        <w:t>; iv) que</w:t>
      </w:r>
      <w:r w:rsidR="002C330E" w:rsidRPr="00D5464D">
        <w:rPr>
          <w:lang w:val="pt-BR"/>
        </w:rPr>
        <w:t xml:space="preserve"> a </w:t>
      </w:r>
      <w:r w:rsidR="00207197" w:rsidRPr="00D5464D">
        <w:rPr>
          <w:lang w:val="pt-BR"/>
        </w:rPr>
        <w:t>dura</w:t>
      </w:r>
      <w:r w:rsidR="00470ADC" w:rsidRPr="00D5464D">
        <w:rPr>
          <w:lang w:val="pt-BR"/>
        </w:rPr>
        <w:t>ção</w:t>
      </w:r>
      <w:r w:rsidR="00207197" w:rsidRPr="00D5464D">
        <w:rPr>
          <w:lang w:val="pt-BR"/>
        </w:rPr>
        <w:t xml:space="preserve"> </w:t>
      </w:r>
      <w:r w:rsidR="00470ADC" w:rsidRPr="00D5464D">
        <w:rPr>
          <w:lang w:val="pt-BR"/>
        </w:rPr>
        <w:t xml:space="preserve">do </w:t>
      </w:r>
      <w:r w:rsidR="00E045D9" w:rsidRPr="00D5464D">
        <w:rPr>
          <w:lang w:val="pt-BR"/>
        </w:rPr>
        <w:t>trabalho</w:t>
      </w:r>
      <w:r w:rsidR="002C330E" w:rsidRPr="00D5464D">
        <w:rPr>
          <w:lang w:val="pt-BR"/>
        </w:rPr>
        <w:t xml:space="preserve"> seja </w:t>
      </w:r>
      <w:r w:rsidR="00207197" w:rsidRPr="00D5464D">
        <w:rPr>
          <w:lang w:val="pt-BR"/>
        </w:rPr>
        <w:t>ilimitad</w:t>
      </w:r>
      <w:r w:rsidR="00F03F93" w:rsidRPr="00D5464D">
        <w:rPr>
          <w:lang w:val="pt-BR"/>
        </w:rPr>
        <w:t>a</w:t>
      </w:r>
      <w:r w:rsidR="00470ADC" w:rsidRPr="00D5464D">
        <w:rPr>
          <w:lang w:val="pt-BR"/>
        </w:rPr>
        <w:t xml:space="preserve"> e</w:t>
      </w:r>
      <w:r w:rsidR="00207197" w:rsidRPr="00D5464D">
        <w:rPr>
          <w:lang w:val="pt-BR"/>
        </w:rPr>
        <w:t xml:space="preserve"> v) que</w:t>
      </w:r>
      <w:r w:rsidR="002C330E" w:rsidRPr="00D5464D">
        <w:rPr>
          <w:lang w:val="pt-BR"/>
        </w:rPr>
        <w:t xml:space="preserve"> a natureza</w:t>
      </w:r>
      <w:r w:rsidR="00470ADC" w:rsidRPr="00D5464D">
        <w:rPr>
          <w:lang w:val="pt-BR"/>
        </w:rPr>
        <w:t xml:space="preserve"> dos </w:t>
      </w:r>
      <w:r w:rsidR="002C330E" w:rsidRPr="00D5464D">
        <w:rPr>
          <w:lang w:val="pt-BR"/>
        </w:rPr>
        <w:t>serviço</w:t>
      </w:r>
      <w:r w:rsidR="00207197" w:rsidRPr="00D5464D">
        <w:rPr>
          <w:lang w:val="pt-BR"/>
        </w:rPr>
        <w:t>s</w:t>
      </w:r>
      <w:r w:rsidR="002C330E" w:rsidRPr="00D5464D">
        <w:rPr>
          <w:lang w:val="pt-BR"/>
        </w:rPr>
        <w:t xml:space="preserve"> seja </w:t>
      </w:r>
      <w:r w:rsidR="00207197" w:rsidRPr="00D5464D">
        <w:rPr>
          <w:lang w:val="pt-BR"/>
        </w:rPr>
        <w:t>indefinida.</w:t>
      </w:r>
    </w:p>
    <w:p w14:paraId="208D6383" w14:textId="77777777" w:rsidR="00DE3E58" w:rsidRPr="00D5464D" w:rsidRDefault="00DE3E58" w:rsidP="00DE3E58">
      <w:pPr>
        <w:pStyle w:val="Prrafodelista"/>
        <w:ind w:left="0"/>
        <w:contextualSpacing w:val="0"/>
        <w:rPr>
          <w:lang w:val="pt-BR"/>
        </w:rPr>
      </w:pPr>
    </w:p>
    <w:p w14:paraId="03111215" w14:textId="2E7CF4D1" w:rsidR="00207197" w:rsidRPr="00D5464D" w:rsidRDefault="00470ADC" w:rsidP="00F37DC4">
      <w:pPr>
        <w:pStyle w:val="Prrafodelista"/>
        <w:numPr>
          <w:ilvl w:val="0"/>
          <w:numId w:val="1"/>
        </w:numPr>
        <w:contextualSpacing w:val="0"/>
        <w:rPr>
          <w:lang w:val="pt-BR"/>
        </w:rPr>
      </w:pPr>
      <w:r w:rsidRPr="00D5464D">
        <w:rPr>
          <w:lang w:val="pt-BR"/>
        </w:rPr>
        <w:t xml:space="preserve">O </w:t>
      </w:r>
      <w:r w:rsidR="00207197" w:rsidRPr="00D5464D">
        <w:rPr>
          <w:lang w:val="pt-BR"/>
        </w:rPr>
        <w:t xml:space="preserve">Estado </w:t>
      </w:r>
      <w:r w:rsidR="002C330E" w:rsidRPr="00D5464D">
        <w:rPr>
          <w:lang w:val="pt-BR"/>
        </w:rPr>
        <w:t>afirmou</w:t>
      </w:r>
      <w:r w:rsidR="00207197" w:rsidRPr="00D5464D">
        <w:rPr>
          <w:lang w:val="pt-BR"/>
        </w:rPr>
        <w:t xml:space="preserve"> que, </w:t>
      </w:r>
      <w:r w:rsidRPr="00D5464D">
        <w:rPr>
          <w:lang w:val="pt-BR"/>
        </w:rPr>
        <w:t>de acordo com</w:t>
      </w:r>
      <w:r w:rsidR="002C330E" w:rsidRPr="00D5464D">
        <w:rPr>
          <w:lang w:val="pt-BR"/>
        </w:rPr>
        <w:t xml:space="preserve"> a </w:t>
      </w:r>
      <w:r w:rsidR="00207197" w:rsidRPr="00D5464D">
        <w:rPr>
          <w:lang w:val="pt-BR"/>
        </w:rPr>
        <w:t>Conven</w:t>
      </w:r>
      <w:r w:rsidRPr="00D5464D">
        <w:rPr>
          <w:lang w:val="pt-BR"/>
        </w:rPr>
        <w:t>ção</w:t>
      </w:r>
      <w:r w:rsidR="00207197" w:rsidRPr="00D5464D">
        <w:rPr>
          <w:lang w:val="pt-BR"/>
        </w:rPr>
        <w:t xml:space="preserve"> de 1926,</w:t>
      </w:r>
      <w:r w:rsidR="002C330E" w:rsidRPr="00D5464D">
        <w:rPr>
          <w:lang w:val="pt-BR"/>
        </w:rPr>
        <w:t xml:space="preserve"> a </w:t>
      </w:r>
      <w:r w:rsidR="000B376D" w:rsidRPr="00D5464D">
        <w:rPr>
          <w:lang w:val="pt-BR"/>
        </w:rPr>
        <w:t>escravidão</w:t>
      </w:r>
      <w:r w:rsidR="00207197" w:rsidRPr="00D5464D">
        <w:rPr>
          <w:lang w:val="pt-BR"/>
        </w:rPr>
        <w:t xml:space="preserve"> se </w:t>
      </w:r>
      <w:r w:rsidR="002C330E" w:rsidRPr="00D5464D">
        <w:rPr>
          <w:lang w:val="pt-BR"/>
        </w:rPr>
        <w:t>refere</w:t>
      </w:r>
      <w:r w:rsidRPr="00D5464D">
        <w:rPr>
          <w:lang w:val="pt-BR"/>
        </w:rPr>
        <w:t xml:space="preserve"> ao exercício</w:t>
      </w:r>
      <w:r w:rsidR="00207197" w:rsidRPr="00D5464D">
        <w:rPr>
          <w:lang w:val="pt-BR"/>
        </w:rPr>
        <w:t xml:space="preserve"> total o</w:t>
      </w:r>
      <w:r w:rsidR="00F35F9B" w:rsidRPr="00D5464D">
        <w:rPr>
          <w:lang w:val="pt-BR"/>
        </w:rPr>
        <w:t>u</w:t>
      </w:r>
      <w:r w:rsidR="00207197" w:rsidRPr="00D5464D">
        <w:rPr>
          <w:lang w:val="pt-BR"/>
        </w:rPr>
        <w:t xml:space="preserve"> parcial </w:t>
      </w:r>
      <w:r w:rsidRPr="00D5464D">
        <w:rPr>
          <w:lang w:val="pt-BR"/>
        </w:rPr>
        <w:t>das faculdades</w:t>
      </w:r>
      <w:r w:rsidR="00207197" w:rsidRPr="00D5464D">
        <w:rPr>
          <w:lang w:val="pt-BR"/>
        </w:rPr>
        <w:t xml:space="preserve"> </w:t>
      </w:r>
      <w:r w:rsidRPr="00D5464D">
        <w:rPr>
          <w:lang w:val="pt-BR"/>
        </w:rPr>
        <w:t>do direito</w:t>
      </w:r>
      <w:r w:rsidR="00207197" w:rsidRPr="00D5464D">
        <w:rPr>
          <w:lang w:val="pt-BR"/>
        </w:rPr>
        <w:t xml:space="preserve"> de </w:t>
      </w:r>
      <w:r w:rsidR="002C330E" w:rsidRPr="00D5464D">
        <w:rPr>
          <w:lang w:val="pt-BR"/>
        </w:rPr>
        <w:t>propriedade</w:t>
      </w:r>
      <w:r w:rsidR="00F35F9B" w:rsidRPr="00D5464D">
        <w:rPr>
          <w:lang w:val="pt-BR"/>
        </w:rPr>
        <w:t xml:space="preserve"> sobre uma pessoa</w:t>
      </w:r>
      <w:r w:rsidR="00207197" w:rsidRPr="00D5464D">
        <w:rPr>
          <w:lang w:val="pt-BR"/>
        </w:rPr>
        <w:t xml:space="preserve">. </w:t>
      </w:r>
      <w:r w:rsidR="004A373B" w:rsidRPr="00D5464D">
        <w:rPr>
          <w:lang w:val="pt-BR"/>
        </w:rPr>
        <w:t xml:space="preserve">Uma vez </w:t>
      </w:r>
      <w:r w:rsidR="00207197" w:rsidRPr="00D5464D">
        <w:rPr>
          <w:lang w:val="pt-BR"/>
        </w:rPr>
        <w:t xml:space="preserve">que </w:t>
      </w:r>
      <w:r w:rsidR="002C330E" w:rsidRPr="00D5464D">
        <w:rPr>
          <w:lang w:val="pt-BR"/>
        </w:rPr>
        <w:t xml:space="preserve">a </w:t>
      </w:r>
      <w:r w:rsidR="000B376D" w:rsidRPr="00D5464D">
        <w:rPr>
          <w:lang w:val="pt-BR"/>
        </w:rPr>
        <w:t>escravidão</w:t>
      </w:r>
      <w:r w:rsidR="00207197" w:rsidRPr="00D5464D">
        <w:rPr>
          <w:lang w:val="pt-BR"/>
        </w:rPr>
        <w:t xml:space="preserve"> se </w:t>
      </w:r>
      <w:r w:rsidRPr="00D5464D">
        <w:rPr>
          <w:lang w:val="pt-BR"/>
        </w:rPr>
        <w:t xml:space="preserve">encontra </w:t>
      </w:r>
      <w:r w:rsidR="004A373B" w:rsidRPr="00D5464D">
        <w:rPr>
          <w:lang w:val="pt-BR"/>
        </w:rPr>
        <w:t xml:space="preserve">legalmente </w:t>
      </w:r>
      <w:r w:rsidR="00207197" w:rsidRPr="00D5464D">
        <w:rPr>
          <w:lang w:val="pt-BR"/>
        </w:rPr>
        <w:t>abolida</w:t>
      </w:r>
      <w:r w:rsidRPr="00D5464D">
        <w:rPr>
          <w:lang w:val="pt-BR"/>
        </w:rPr>
        <w:t xml:space="preserve"> em </w:t>
      </w:r>
      <w:r w:rsidR="00737270" w:rsidRPr="00D5464D">
        <w:rPr>
          <w:lang w:val="pt-BR"/>
        </w:rPr>
        <w:t>praticamente</w:t>
      </w:r>
      <w:r w:rsidR="00207197" w:rsidRPr="00D5464D">
        <w:rPr>
          <w:lang w:val="pt-BR"/>
        </w:rPr>
        <w:t xml:space="preserve"> todo</w:t>
      </w:r>
      <w:r w:rsidRPr="00D5464D">
        <w:rPr>
          <w:lang w:val="pt-BR"/>
        </w:rPr>
        <w:t xml:space="preserve"> o </w:t>
      </w:r>
      <w:r w:rsidR="00207197" w:rsidRPr="00D5464D">
        <w:rPr>
          <w:lang w:val="pt-BR"/>
        </w:rPr>
        <w:t>mundo,</w:t>
      </w:r>
      <w:r w:rsidRPr="00D5464D">
        <w:rPr>
          <w:lang w:val="pt-BR"/>
        </w:rPr>
        <w:t xml:space="preserve"> o exercício</w:t>
      </w:r>
      <w:r w:rsidR="00207197" w:rsidRPr="00D5464D">
        <w:rPr>
          <w:lang w:val="pt-BR"/>
        </w:rPr>
        <w:t xml:space="preserve"> </w:t>
      </w:r>
      <w:r w:rsidR="00E045D9" w:rsidRPr="00D5464D">
        <w:rPr>
          <w:lang w:val="pt-BR"/>
        </w:rPr>
        <w:t>deste</w:t>
      </w:r>
      <w:r w:rsidRPr="00D5464D">
        <w:rPr>
          <w:lang w:val="pt-BR"/>
        </w:rPr>
        <w:t xml:space="preserve">s </w:t>
      </w:r>
      <w:r w:rsidR="00207197" w:rsidRPr="00D5464D">
        <w:rPr>
          <w:lang w:val="pt-BR"/>
        </w:rPr>
        <w:t>poderes será</w:t>
      </w:r>
      <w:r w:rsidR="00E045D9" w:rsidRPr="00D5464D">
        <w:rPr>
          <w:lang w:val="pt-BR"/>
        </w:rPr>
        <w:t xml:space="preserve"> uma </w:t>
      </w:r>
      <w:r w:rsidRPr="00D5464D">
        <w:rPr>
          <w:lang w:val="pt-BR"/>
        </w:rPr>
        <w:t>questão</w:t>
      </w:r>
      <w:r w:rsidR="00207197" w:rsidRPr="00D5464D">
        <w:rPr>
          <w:lang w:val="pt-BR"/>
        </w:rPr>
        <w:t xml:space="preserve"> de</w:t>
      </w:r>
      <w:r w:rsidR="00A1358C" w:rsidRPr="00D5464D">
        <w:rPr>
          <w:lang w:val="pt-BR"/>
        </w:rPr>
        <w:t xml:space="preserve"> fato</w:t>
      </w:r>
      <w:r w:rsidR="00207197" w:rsidRPr="00D5464D">
        <w:rPr>
          <w:lang w:val="pt-BR"/>
        </w:rPr>
        <w:t xml:space="preserve">. </w:t>
      </w:r>
      <w:r w:rsidRPr="00D5464D">
        <w:rPr>
          <w:lang w:val="pt-BR"/>
        </w:rPr>
        <w:t>Assim</w:t>
      </w:r>
      <w:r w:rsidR="00207197" w:rsidRPr="00D5464D">
        <w:rPr>
          <w:lang w:val="pt-BR"/>
        </w:rPr>
        <w:t>, determinar</w:t>
      </w:r>
      <w:r w:rsidR="002C330E" w:rsidRPr="00D5464D">
        <w:rPr>
          <w:lang w:val="pt-BR"/>
        </w:rPr>
        <w:t xml:space="preserve"> a presença </w:t>
      </w:r>
      <w:r w:rsidR="00207197" w:rsidRPr="00D5464D">
        <w:rPr>
          <w:lang w:val="pt-BR"/>
        </w:rPr>
        <w:t xml:space="preserve">de </w:t>
      </w:r>
      <w:r w:rsidR="00E045D9" w:rsidRPr="00D5464D">
        <w:rPr>
          <w:lang w:val="pt-BR"/>
        </w:rPr>
        <w:t>trabalho</w:t>
      </w:r>
      <w:r w:rsidR="00207197" w:rsidRPr="00D5464D">
        <w:rPr>
          <w:lang w:val="pt-BR"/>
        </w:rPr>
        <w:t xml:space="preserve"> </w:t>
      </w:r>
      <w:r w:rsidR="004F1CC2" w:rsidRPr="00D5464D">
        <w:rPr>
          <w:lang w:val="pt-BR"/>
        </w:rPr>
        <w:t>escravo</w:t>
      </w:r>
      <w:r w:rsidR="00207197" w:rsidRPr="00D5464D">
        <w:rPr>
          <w:lang w:val="pt-BR"/>
        </w:rPr>
        <w:t xml:space="preserve"> </w:t>
      </w:r>
      <w:r w:rsidR="002C330E" w:rsidRPr="00D5464D">
        <w:rPr>
          <w:lang w:val="pt-BR"/>
        </w:rPr>
        <w:t>sempre</w:t>
      </w:r>
      <w:r w:rsidR="00207197" w:rsidRPr="00D5464D">
        <w:rPr>
          <w:lang w:val="pt-BR"/>
        </w:rPr>
        <w:t xml:space="preserve"> dependerá </w:t>
      </w:r>
      <w:r w:rsidRPr="00D5464D">
        <w:rPr>
          <w:lang w:val="pt-BR"/>
        </w:rPr>
        <w:t xml:space="preserve">do </w:t>
      </w:r>
      <w:r w:rsidR="00207197" w:rsidRPr="00D5464D">
        <w:rPr>
          <w:lang w:val="pt-BR"/>
        </w:rPr>
        <w:t>caso concreto</w:t>
      </w:r>
      <w:r w:rsidR="00737270" w:rsidRPr="00D5464D">
        <w:rPr>
          <w:lang w:val="pt-BR"/>
        </w:rPr>
        <w:t>. No entanto</w:t>
      </w:r>
      <w:r w:rsidR="00207197" w:rsidRPr="00D5464D">
        <w:rPr>
          <w:lang w:val="pt-BR"/>
        </w:rPr>
        <w:t xml:space="preserve">, </w:t>
      </w:r>
      <w:r w:rsidR="004A373B" w:rsidRPr="00D5464D">
        <w:rPr>
          <w:lang w:val="pt-BR"/>
        </w:rPr>
        <w:t xml:space="preserve">o </w:t>
      </w:r>
      <w:r w:rsidR="00207197" w:rsidRPr="00D5464D">
        <w:rPr>
          <w:lang w:val="pt-BR"/>
        </w:rPr>
        <w:t xml:space="preserve">Brasil </w:t>
      </w:r>
      <w:r w:rsidR="00E045D9" w:rsidRPr="00D5464D">
        <w:rPr>
          <w:lang w:val="pt-BR"/>
        </w:rPr>
        <w:t>argumentou</w:t>
      </w:r>
      <w:r w:rsidR="00207197" w:rsidRPr="00D5464D">
        <w:rPr>
          <w:lang w:val="pt-BR"/>
        </w:rPr>
        <w:t xml:space="preserve"> que</w:t>
      </w:r>
      <w:r w:rsidR="002C330E" w:rsidRPr="00D5464D">
        <w:rPr>
          <w:lang w:val="pt-BR"/>
        </w:rPr>
        <w:t xml:space="preserve"> a </w:t>
      </w:r>
      <w:r w:rsidR="00207197" w:rsidRPr="00D5464D">
        <w:rPr>
          <w:lang w:val="pt-BR"/>
        </w:rPr>
        <w:t>Corte</w:t>
      </w:r>
      <w:r w:rsidRPr="00D5464D">
        <w:rPr>
          <w:lang w:val="pt-BR"/>
        </w:rPr>
        <w:t xml:space="preserve"> deve </w:t>
      </w:r>
      <w:r w:rsidR="004A373B" w:rsidRPr="00D5464D">
        <w:rPr>
          <w:lang w:val="pt-BR"/>
        </w:rPr>
        <w:t xml:space="preserve">se </w:t>
      </w:r>
      <w:r w:rsidR="00207197" w:rsidRPr="00D5464D">
        <w:rPr>
          <w:lang w:val="pt-BR"/>
        </w:rPr>
        <w:t>enfoc</w:t>
      </w:r>
      <w:r w:rsidR="00C91CB1" w:rsidRPr="00D5464D">
        <w:rPr>
          <w:lang w:val="pt-BR"/>
        </w:rPr>
        <w:t xml:space="preserve">ar </w:t>
      </w:r>
      <w:r w:rsidR="00E045D9" w:rsidRPr="00D5464D">
        <w:rPr>
          <w:lang w:val="pt-BR"/>
        </w:rPr>
        <w:t xml:space="preserve">no </w:t>
      </w:r>
      <w:r w:rsidR="00207197" w:rsidRPr="00D5464D">
        <w:rPr>
          <w:lang w:val="pt-BR"/>
        </w:rPr>
        <w:t>elemento interno</w:t>
      </w:r>
      <w:r w:rsidRPr="00D5464D">
        <w:rPr>
          <w:lang w:val="pt-BR"/>
        </w:rPr>
        <w:t xml:space="preserve"> da </w:t>
      </w:r>
      <w:r w:rsidR="000B376D" w:rsidRPr="00D5464D">
        <w:rPr>
          <w:lang w:val="pt-BR"/>
        </w:rPr>
        <w:t>escravidão</w:t>
      </w:r>
      <w:r w:rsidR="00A1358C" w:rsidRPr="00D5464D">
        <w:rPr>
          <w:lang w:val="pt-BR"/>
        </w:rPr>
        <w:t>, isto é,</w:t>
      </w:r>
      <w:r w:rsidRPr="00D5464D">
        <w:rPr>
          <w:lang w:val="pt-BR"/>
        </w:rPr>
        <w:t xml:space="preserve"> em </w:t>
      </w:r>
      <w:r w:rsidR="00207197" w:rsidRPr="00D5464D">
        <w:rPr>
          <w:lang w:val="pt-BR"/>
        </w:rPr>
        <w:t>su</w:t>
      </w:r>
      <w:r w:rsidR="004A373B" w:rsidRPr="00D5464D">
        <w:rPr>
          <w:lang w:val="pt-BR"/>
        </w:rPr>
        <w:t>a</w:t>
      </w:r>
      <w:r w:rsidR="00207197" w:rsidRPr="00D5464D">
        <w:rPr>
          <w:lang w:val="pt-BR"/>
        </w:rPr>
        <w:t xml:space="preserve"> defini</w:t>
      </w:r>
      <w:r w:rsidRPr="00D5464D">
        <w:rPr>
          <w:lang w:val="pt-BR"/>
        </w:rPr>
        <w:t>ção</w:t>
      </w:r>
      <w:r w:rsidR="00207197" w:rsidRPr="00D5464D">
        <w:rPr>
          <w:lang w:val="pt-BR"/>
        </w:rPr>
        <w:t xml:space="preserve"> como</w:t>
      </w:r>
      <w:r w:rsidRPr="00D5464D">
        <w:rPr>
          <w:lang w:val="pt-BR"/>
        </w:rPr>
        <w:t xml:space="preserve"> o exercício</w:t>
      </w:r>
      <w:r w:rsidR="00207197" w:rsidRPr="00D5464D">
        <w:rPr>
          <w:lang w:val="pt-BR"/>
        </w:rPr>
        <w:t xml:space="preserve"> de </w:t>
      </w:r>
      <w:r w:rsidR="002C330E" w:rsidRPr="00D5464D">
        <w:rPr>
          <w:lang w:val="pt-BR"/>
        </w:rPr>
        <w:t>propriedade</w:t>
      </w:r>
      <w:r w:rsidR="00207197" w:rsidRPr="00D5464D">
        <w:rPr>
          <w:lang w:val="pt-BR"/>
        </w:rPr>
        <w:t xml:space="preserve"> sobre</w:t>
      </w:r>
      <w:r w:rsidR="00E045D9" w:rsidRPr="00D5464D">
        <w:rPr>
          <w:lang w:val="pt-BR"/>
        </w:rPr>
        <w:t xml:space="preserve"> uma </w:t>
      </w:r>
      <w:r w:rsidR="002C330E" w:rsidRPr="00D5464D">
        <w:rPr>
          <w:lang w:val="pt-BR"/>
        </w:rPr>
        <w:t>pessoa</w:t>
      </w:r>
      <w:r w:rsidR="00207197" w:rsidRPr="00D5464D">
        <w:rPr>
          <w:lang w:val="pt-BR"/>
        </w:rPr>
        <w:t xml:space="preserve">, </w:t>
      </w:r>
      <w:r w:rsidR="002C330E" w:rsidRPr="00D5464D">
        <w:rPr>
          <w:lang w:val="pt-BR"/>
        </w:rPr>
        <w:t xml:space="preserve">mais </w:t>
      </w:r>
      <w:r w:rsidR="004A373B" w:rsidRPr="00D5464D">
        <w:rPr>
          <w:lang w:val="pt-BR"/>
        </w:rPr>
        <w:t xml:space="preserve">do </w:t>
      </w:r>
      <w:r w:rsidR="00207197" w:rsidRPr="00D5464D">
        <w:rPr>
          <w:lang w:val="pt-BR"/>
        </w:rPr>
        <w:t>que</w:t>
      </w:r>
      <w:r w:rsidRPr="00D5464D">
        <w:rPr>
          <w:lang w:val="pt-BR"/>
        </w:rPr>
        <w:t xml:space="preserve"> em </w:t>
      </w:r>
      <w:r w:rsidR="00737270" w:rsidRPr="00D5464D">
        <w:rPr>
          <w:lang w:val="pt-BR"/>
        </w:rPr>
        <w:t>indícios</w:t>
      </w:r>
      <w:r w:rsidR="00207197" w:rsidRPr="00D5464D">
        <w:rPr>
          <w:lang w:val="pt-BR"/>
        </w:rPr>
        <w:t>, elementos externos o</w:t>
      </w:r>
      <w:r w:rsidR="004A373B" w:rsidRPr="00D5464D">
        <w:rPr>
          <w:lang w:val="pt-BR"/>
        </w:rPr>
        <w:t>u</w:t>
      </w:r>
      <w:r w:rsidR="00205A87" w:rsidRPr="00D5464D">
        <w:rPr>
          <w:lang w:val="pt-BR"/>
        </w:rPr>
        <w:t>,</w:t>
      </w:r>
      <w:r w:rsidR="00207197" w:rsidRPr="00D5464D">
        <w:rPr>
          <w:lang w:val="pt-BR"/>
        </w:rPr>
        <w:t xml:space="preserve"> </w:t>
      </w:r>
      <w:r w:rsidR="002C330E" w:rsidRPr="00D5464D">
        <w:rPr>
          <w:lang w:val="pt-BR"/>
        </w:rPr>
        <w:t>simplesmente</w:t>
      </w:r>
      <w:r w:rsidR="00205A87" w:rsidRPr="00D5464D">
        <w:rPr>
          <w:lang w:val="pt-BR"/>
        </w:rPr>
        <w:t>,</w:t>
      </w:r>
      <w:r w:rsidR="00207197" w:rsidRPr="00D5464D">
        <w:rPr>
          <w:lang w:val="pt-BR"/>
        </w:rPr>
        <w:t xml:space="preserve"> </w:t>
      </w:r>
      <w:r w:rsidR="00737270" w:rsidRPr="00D5464D">
        <w:rPr>
          <w:lang w:val="pt-BR"/>
        </w:rPr>
        <w:t>contextuais</w:t>
      </w:r>
      <w:r w:rsidR="00207197" w:rsidRPr="00D5464D">
        <w:rPr>
          <w:lang w:val="pt-BR"/>
        </w:rPr>
        <w:t xml:space="preserve"> como </w:t>
      </w:r>
      <w:r w:rsidR="00350187" w:rsidRPr="00D5464D">
        <w:rPr>
          <w:lang w:val="pt-BR"/>
        </w:rPr>
        <w:t>pretendem</w:t>
      </w:r>
      <w:r w:rsidR="002C330E" w:rsidRPr="00D5464D">
        <w:rPr>
          <w:lang w:val="pt-BR"/>
        </w:rPr>
        <w:t xml:space="preserve"> os </w:t>
      </w:r>
      <w:r w:rsidR="00EB1CE9" w:rsidRPr="00D5464D">
        <w:rPr>
          <w:lang w:val="pt-BR"/>
        </w:rPr>
        <w:t>representante</w:t>
      </w:r>
      <w:r w:rsidR="00207197" w:rsidRPr="00D5464D">
        <w:rPr>
          <w:lang w:val="pt-BR"/>
        </w:rPr>
        <w:t>s.</w:t>
      </w:r>
      <w:r w:rsidR="00FF1290" w:rsidRPr="00D5464D">
        <w:rPr>
          <w:lang w:val="pt-BR"/>
        </w:rPr>
        <w:t xml:space="preserve">      </w:t>
      </w:r>
    </w:p>
    <w:p w14:paraId="502DA44F" w14:textId="77777777" w:rsidR="00DE3E58" w:rsidRPr="00D5464D" w:rsidRDefault="00DE3E58" w:rsidP="00DE3E58">
      <w:pPr>
        <w:pStyle w:val="Prrafodelista"/>
        <w:ind w:left="0"/>
        <w:contextualSpacing w:val="0"/>
        <w:rPr>
          <w:lang w:val="pt-BR"/>
        </w:rPr>
      </w:pPr>
    </w:p>
    <w:p w14:paraId="3AB414BE" w14:textId="58EE426C" w:rsidR="00207197" w:rsidRPr="00D5464D" w:rsidRDefault="00470ADC" w:rsidP="00F37DC4">
      <w:pPr>
        <w:pStyle w:val="Prrafodelista"/>
        <w:numPr>
          <w:ilvl w:val="0"/>
          <w:numId w:val="1"/>
        </w:numPr>
        <w:contextualSpacing w:val="0"/>
        <w:rPr>
          <w:lang w:val="pt-BR"/>
        </w:rPr>
      </w:pPr>
      <w:r w:rsidRPr="00D5464D">
        <w:rPr>
          <w:lang w:val="pt-BR"/>
        </w:rPr>
        <w:t xml:space="preserve">O </w:t>
      </w:r>
      <w:r w:rsidR="00207197" w:rsidRPr="00D5464D">
        <w:rPr>
          <w:lang w:val="pt-BR"/>
        </w:rPr>
        <w:t xml:space="preserve">Estado </w:t>
      </w:r>
      <w:r w:rsidR="002C330E" w:rsidRPr="00D5464D">
        <w:rPr>
          <w:lang w:val="pt-BR"/>
        </w:rPr>
        <w:t>afirmou</w:t>
      </w:r>
      <w:r w:rsidR="00207197" w:rsidRPr="00D5464D">
        <w:rPr>
          <w:lang w:val="pt-BR"/>
        </w:rPr>
        <w:t xml:space="preserve"> que</w:t>
      </w:r>
      <w:r w:rsidR="00205A87" w:rsidRPr="00D5464D">
        <w:rPr>
          <w:lang w:val="pt-BR"/>
        </w:rPr>
        <w:t>,</w:t>
      </w:r>
      <w:r w:rsidR="00E045D9" w:rsidRPr="00D5464D">
        <w:rPr>
          <w:lang w:val="pt-BR"/>
        </w:rPr>
        <w:t xml:space="preserve"> no </w:t>
      </w:r>
      <w:r w:rsidR="00207197" w:rsidRPr="00D5464D">
        <w:rPr>
          <w:lang w:val="pt-BR"/>
        </w:rPr>
        <w:t>presente caso</w:t>
      </w:r>
      <w:r w:rsidR="00205A87" w:rsidRPr="00D5464D">
        <w:rPr>
          <w:lang w:val="pt-BR"/>
        </w:rPr>
        <w:t>,</w:t>
      </w:r>
      <w:r w:rsidR="00207197" w:rsidRPr="00D5464D">
        <w:rPr>
          <w:lang w:val="pt-BR"/>
        </w:rPr>
        <w:t xml:space="preserve"> n</w:t>
      </w:r>
      <w:r w:rsidR="004A373B" w:rsidRPr="00D5464D">
        <w:rPr>
          <w:lang w:val="pt-BR"/>
        </w:rPr>
        <w:t>ã</w:t>
      </w:r>
      <w:r w:rsidR="00207197" w:rsidRPr="00D5464D">
        <w:rPr>
          <w:lang w:val="pt-BR"/>
        </w:rPr>
        <w:t xml:space="preserve">o </w:t>
      </w:r>
      <w:r w:rsidR="002C330E" w:rsidRPr="00D5464D">
        <w:rPr>
          <w:lang w:val="pt-BR"/>
        </w:rPr>
        <w:t>há prova</w:t>
      </w:r>
      <w:r w:rsidR="00207197" w:rsidRPr="00D5464D">
        <w:rPr>
          <w:lang w:val="pt-BR"/>
        </w:rPr>
        <w:t xml:space="preserve">s de que </w:t>
      </w:r>
      <w:r w:rsidR="00737270" w:rsidRPr="00D5464D">
        <w:rPr>
          <w:lang w:val="pt-BR"/>
        </w:rPr>
        <w:t>existiu</w:t>
      </w:r>
      <w:r w:rsidR="00207197" w:rsidRPr="00D5464D">
        <w:rPr>
          <w:lang w:val="pt-BR"/>
        </w:rPr>
        <w:t xml:space="preserve"> </w:t>
      </w:r>
      <w:r w:rsidR="000B376D" w:rsidRPr="00D5464D">
        <w:rPr>
          <w:lang w:val="pt-BR"/>
        </w:rPr>
        <w:t>escravidão</w:t>
      </w:r>
      <w:r w:rsidR="00207197" w:rsidRPr="00D5464D">
        <w:rPr>
          <w:lang w:val="pt-BR"/>
        </w:rPr>
        <w:t xml:space="preserve">, </w:t>
      </w:r>
      <w:r w:rsidR="00E045D9" w:rsidRPr="00D5464D">
        <w:rPr>
          <w:lang w:val="pt-BR"/>
        </w:rPr>
        <w:t>trabalho</w:t>
      </w:r>
      <w:r w:rsidR="001B63D0" w:rsidRPr="00D5464D">
        <w:rPr>
          <w:lang w:val="pt-BR"/>
        </w:rPr>
        <w:t xml:space="preserve"> </w:t>
      </w:r>
      <w:r w:rsidR="00230C71" w:rsidRPr="00D5464D">
        <w:rPr>
          <w:lang w:val="pt-BR"/>
        </w:rPr>
        <w:t>forçado</w:t>
      </w:r>
      <w:r w:rsidR="00207197" w:rsidRPr="00D5464D">
        <w:rPr>
          <w:lang w:val="pt-BR"/>
        </w:rPr>
        <w:t xml:space="preserve"> o</w:t>
      </w:r>
      <w:r w:rsidR="004A373B" w:rsidRPr="00D5464D">
        <w:rPr>
          <w:lang w:val="pt-BR"/>
        </w:rPr>
        <w:t>u</w:t>
      </w:r>
      <w:r w:rsidR="00207197" w:rsidRPr="00D5464D">
        <w:rPr>
          <w:lang w:val="pt-BR"/>
        </w:rPr>
        <w:t xml:space="preserve"> </w:t>
      </w:r>
      <w:r w:rsidR="000B376D" w:rsidRPr="00D5464D">
        <w:rPr>
          <w:lang w:val="pt-BR"/>
        </w:rPr>
        <w:t>servidão</w:t>
      </w:r>
      <w:r w:rsidR="00E045D9" w:rsidRPr="00D5464D">
        <w:rPr>
          <w:lang w:val="pt-BR"/>
        </w:rPr>
        <w:t xml:space="preserve"> na </w:t>
      </w:r>
      <w:r w:rsidR="00D809F0" w:rsidRPr="00D5464D">
        <w:rPr>
          <w:lang w:val="pt-BR"/>
        </w:rPr>
        <w:t>Fazenda</w:t>
      </w:r>
      <w:r w:rsidR="00207197" w:rsidRPr="00D5464D">
        <w:rPr>
          <w:lang w:val="pt-BR"/>
        </w:rPr>
        <w:t xml:space="preserve"> Brasil Verde</w:t>
      </w:r>
      <w:r w:rsidRPr="00D5464D">
        <w:rPr>
          <w:lang w:val="pt-BR"/>
        </w:rPr>
        <w:t xml:space="preserve"> </w:t>
      </w:r>
      <w:r w:rsidR="00205A87" w:rsidRPr="00D5464D">
        <w:rPr>
          <w:lang w:val="pt-BR"/>
        </w:rPr>
        <w:t xml:space="preserve">após a </w:t>
      </w:r>
      <w:r w:rsidRPr="00D5464D">
        <w:rPr>
          <w:lang w:val="pt-BR"/>
        </w:rPr>
        <w:t>aceit</w:t>
      </w:r>
      <w:r w:rsidR="00207197" w:rsidRPr="00D5464D">
        <w:rPr>
          <w:lang w:val="pt-BR"/>
        </w:rPr>
        <w:t>a</w:t>
      </w:r>
      <w:r w:rsidRPr="00D5464D">
        <w:rPr>
          <w:lang w:val="pt-BR"/>
        </w:rPr>
        <w:t xml:space="preserve">ção da </w:t>
      </w:r>
      <w:r w:rsidR="002C330E" w:rsidRPr="00D5464D">
        <w:rPr>
          <w:lang w:val="pt-BR"/>
        </w:rPr>
        <w:t>jurisdição</w:t>
      </w:r>
      <w:r w:rsidRPr="00D5464D">
        <w:rPr>
          <w:lang w:val="pt-BR"/>
        </w:rPr>
        <w:t xml:space="preserve"> da </w:t>
      </w:r>
      <w:r w:rsidR="00207197" w:rsidRPr="00D5464D">
        <w:rPr>
          <w:lang w:val="pt-BR"/>
        </w:rPr>
        <w:t xml:space="preserve">Corte. </w:t>
      </w:r>
      <w:r w:rsidRPr="00D5464D">
        <w:rPr>
          <w:lang w:val="pt-BR"/>
        </w:rPr>
        <w:t>Argumentou</w:t>
      </w:r>
      <w:r w:rsidR="00207197" w:rsidRPr="00D5464D">
        <w:rPr>
          <w:lang w:val="pt-BR"/>
        </w:rPr>
        <w:t xml:space="preserve"> que</w:t>
      </w:r>
      <w:r w:rsidR="002C330E" w:rsidRPr="00D5464D">
        <w:rPr>
          <w:lang w:val="pt-BR"/>
        </w:rPr>
        <w:t xml:space="preserve"> a </w:t>
      </w:r>
      <w:r w:rsidR="00207197" w:rsidRPr="00D5464D">
        <w:rPr>
          <w:lang w:val="pt-BR"/>
        </w:rPr>
        <w:t>fiscaliza</w:t>
      </w:r>
      <w:r w:rsidRPr="00D5464D">
        <w:rPr>
          <w:lang w:val="pt-BR"/>
        </w:rPr>
        <w:t>ção</w:t>
      </w:r>
      <w:r w:rsidR="00207197" w:rsidRPr="00D5464D">
        <w:rPr>
          <w:lang w:val="pt-BR"/>
        </w:rPr>
        <w:t xml:space="preserve"> de </w:t>
      </w:r>
      <w:r w:rsidR="002C330E" w:rsidRPr="00D5464D">
        <w:rPr>
          <w:lang w:val="pt-BR"/>
        </w:rPr>
        <w:t>março</w:t>
      </w:r>
      <w:r w:rsidR="00207197" w:rsidRPr="00D5464D">
        <w:rPr>
          <w:lang w:val="pt-BR"/>
        </w:rPr>
        <w:t xml:space="preserve"> de 2000 </w:t>
      </w:r>
      <w:r w:rsidRPr="00D5464D">
        <w:rPr>
          <w:lang w:val="pt-BR"/>
        </w:rPr>
        <w:t>concluiu</w:t>
      </w:r>
      <w:r w:rsidR="00207197" w:rsidRPr="00D5464D">
        <w:rPr>
          <w:lang w:val="pt-BR"/>
        </w:rPr>
        <w:t xml:space="preserve"> que</w:t>
      </w:r>
      <w:r w:rsidR="002C330E" w:rsidRPr="00D5464D">
        <w:rPr>
          <w:lang w:val="pt-BR"/>
        </w:rPr>
        <w:t xml:space="preserve"> os </w:t>
      </w:r>
      <w:r w:rsidR="00E045D9" w:rsidRPr="00D5464D">
        <w:rPr>
          <w:lang w:val="pt-BR"/>
        </w:rPr>
        <w:t>trabalhadores</w:t>
      </w:r>
      <w:r w:rsidR="00207197" w:rsidRPr="00D5464D">
        <w:rPr>
          <w:lang w:val="pt-BR"/>
        </w:rPr>
        <w:t xml:space="preserve"> de </w:t>
      </w:r>
      <w:r w:rsidR="00D809F0" w:rsidRPr="00D5464D">
        <w:rPr>
          <w:lang w:val="pt-BR"/>
        </w:rPr>
        <w:t>Fazenda</w:t>
      </w:r>
      <w:r w:rsidR="00207197" w:rsidRPr="00D5464D">
        <w:rPr>
          <w:lang w:val="pt-BR"/>
        </w:rPr>
        <w:t xml:space="preserve"> Brasil Verde se </w:t>
      </w:r>
      <w:r w:rsidRPr="00D5464D">
        <w:rPr>
          <w:lang w:val="pt-BR"/>
        </w:rPr>
        <w:t>encontravam em</w:t>
      </w:r>
      <w:r w:rsidR="00E045D9" w:rsidRPr="00D5464D">
        <w:rPr>
          <w:lang w:val="pt-BR"/>
        </w:rPr>
        <w:t xml:space="preserve"> uma </w:t>
      </w:r>
      <w:r w:rsidR="00207197" w:rsidRPr="00D5464D">
        <w:rPr>
          <w:lang w:val="pt-BR"/>
        </w:rPr>
        <w:t>situa</w:t>
      </w:r>
      <w:r w:rsidRPr="00D5464D">
        <w:rPr>
          <w:lang w:val="pt-BR"/>
        </w:rPr>
        <w:t>ção</w:t>
      </w:r>
      <w:r w:rsidR="00207197" w:rsidRPr="00D5464D">
        <w:rPr>
          <w:lang w:val="pt-BR"/>
        </w:rPr>
        <w:t xml:space="preserve"> de </w:t>
      </w:r>
      <w:r w:rsidR="002C330E" w:rsidRPr="00D5464D">
        <w:rPr>
          <w:lang w:val="pt-BR"/>
        </w:rPr>
        <w:t>perigo</w:t>
      </w:r>
      <w:r w:rsidR="00207197" w:rsidRPr="00D5464D">
        <w:rPr>
          <w:lang w:val="pt-BR"/>
        </w:rPr>
        <w:t xml:space="preserve"> para su</w:t>
      </w:r>
      <w:r w:rsidR="004A373B" w:rsidRPr="00D5464D">
        <w:rPr>
          <w:lang w:val="pt-BR"/>
        </w:rPr>
        <w:t>a</w:t>
      </w:r>
      <w:r w:rsidR="00207197" w:rsidRPr="00D5464D">
        <w:rPr>
          <w:lang w:val="pt-BR"/>
        </w:rPr>
        <w:t xml:space="preserve"> </w:t>
      </w:r>
      <w:r w:rsidR="002C330E" w:rsidRPr="00D5464D">
        <w:rPr>
          <w:lang w:val="pt-BR"/>
        </w:rPr>
        <w:t>saúde</w:t>
      </w:r>
      <w:r w:rsidR="00207197" w:rsidRPr="00D5464D">
        <w:rPr>
          <w:lang w:val="pt-BR"/>
        </w:rPr>
        <w:t xml:space="preserve"> e </w:t>
      </w:r>
      <w:r w:rsidR="002C330E" w:rsidRPr="00D5464D">
        <w:rPr>
          <w:lang w:val="pt-BR"/>
        </w:rPr>
        <w:t xml:space="preserve">integridade </w:t>
      </w:r>
      <w:r w:rsidR="00207197" w:rsidRPr="00D5464D">
        <w:rPr>
          <w:lang w:val="pt-BR"/>
        </w:rPr>
        <w:t>física</w:t>
      </w:r>
      <w:r w:rsidR="00E045D9" w:rsidRPr="00D5464D">
        <w:rPr>
          <w:lang w:val="pt-BR"/>
        </w:rPr>
        <w:t xml:space="preserve"> e</w:t>
      </w:r>
      <w:r w:rsidR="004A373B" w:rsidRPr="00D5464D">
        <w:rPr>
          <w:lang w:val="pt-BR"/>
        </w:rPr>
        <w:t>,</w:t>
      </w:r>
      <w:r w:rsidR="00E045D9" w:rsidRPr="00D5464D">
        <w:rPr>
          <w:lang w:val="pt-BR"/>
        </w:rPr>
        <w:t xml:space="preserve"> </w:t>
      </w:r>
      <w:r w:rsidR="004A373B" w:rsidRPr="00D5464D">
        <w:rPr>
          <w:lang w:val="pt-BR"/>
        </w:rPr>
        <w:t>por</w:t>
      </w:r>
      <w:r w:rsidR="00207197" w:rsidRPr="00D5464D">
        <w:rPr>
          <w:lang w:val="pt-BR"/>
        </w:rPr>
        <w:t>tanto</w:t>
      </w:r>
      <w:r w:rsidR="004A373B" w:rsidRPr="00D5464D">
        <w:rPr>
          <w:lang w:val="pt-BR"/>
        </w:rPr>
        <w:t>,</w:t>
      </w:r>
      <w:r w:rsidR="002C330E" w:rsidRPr="00D5464D">
        <w:rPr>
          <w:lang w:val="pt-BR"/>
        </w:rPr>
        <w:t xml:space="preserve"> os </w:t>
      </w:r>
      <w:r w:rsidR="004A373B" w:rsidRPr="00D5464D">
        <w:rPr>
          <w:lang w:val="pt-BR"/>
        </w:rPr>
        <w:t>resgatou</w:t>
      </w:r>
      <w:r w:rsidR="00207197" w:rsidRPr="00D5464D">
        <w:rPr>
          <w:lang w:val="pt-BR"/>
        </w:rPr>
        <w:t xml:space="preserve">. </w:t>
      </w:r>
      <w:r w:rsidRPr="00D5464D">
        <w:rPr>
          <w:lang w:val="pt-BR"/>
        </w:rPr>
        <w:t>Esta</w:t>
      </w:r>
      <w:r w:rsidR="00207197" w:rsidRPr="00D5464D">
        <w:rPr>
          <w:lang w:val="pt-BR"/>
        </w:rPr>
        <w:t xml:space="preserve"> fiscaliza</w:t>
      </w:r>
      <w:r w:rsidRPr="00D5464D">
        <w:rPr>
          <w:lang w:val="pt-BR"/>
        </w:rPr>
        <w:t>ção</w:t>
      </w:r>
      <w:r w:rsidR="00207197" w:rsidRPr="00D5464D">
        <w:rPr>
          <w:lang w:val="pt-BR"/>
        </w:rPr>
        <w:t xml:space="preserve"> </w:t>
      </w:r>
      <w:r w:rsidR="00E045D9" w:rsidRPr="00D5464D">
        <w:rPr>
          <w:lang w:val="pt-BR"/>
        </w:rPr>
        <w:t xml:space="preserve">constatou uma </w:t>
      </w:r>
      <w:r w:rsidR="00207197" w:rsidRPr="00D5464D">
        <w:rPr>
          <w:lang w:val="pt-BR"/>
        </w:rPr>
        <w:t>situa</w:t>
      </w:r>
      <w:r w:rsidRPr="00D5464D">
        <w:rPr>
          <w:lang w:val="pt-BR"/>
        </w:rPr>
        <w:t>ção</w:t>
      </w:r>
      <w:r w:rsidR="00207197" w:rsidRPr="00D5464D">
        <w:rPr>
          <w:lang w:val="pt-BR"/>
        </w:rPr>
        <w:t xml:space="preserve"> </w:t>
      </w:r>
      <w:r w:rsidR="004A373B" w:rsidRPr="00D5464D">
        <w:rPr>
          <w:lang w:val="pt-BR"/>
        </w:rPr>
        <w:t xml:space="preserve">de trabalho </w:t>
      </w:r>
      <w:r w:rsidR="00207197" w:rsidRPr="00D5464D">
        <w:rPr>
          <w:lang w:val="pt-BR"/>
        </w:rPr>
        <w:t>degradante</w:t>
      </w:r>
      <w:r w:rsidR="00E045D9" w:rsidRPr="00D5464D">
        <w:rPr>
          <w:lang w:val="pt-BR"/>
        </w:rPr>
        <w:t xml:space="preserve"> e </w:t>
      </w:r>
      <w:r w:rsidR="00E765C2" w:rsidRPr="00D5464D">
        <w:rPr>
          <w:lang w:val="pt-BR"/>
        </w:rPr>
        <w:t>várias</w:t>
      </w:r>
      <w:r w:rsidR="00207197" w:rsidRPr="00D5464D">
        <w:rPr>
          <w:lang w:val="pt-BR"/>
        </w:rPr>
        <w:t xml:space="preserve"> viola</w:t>
      </w:r>
      <w:r w:rsidRPr="00D5464D">
        <w:rPr>
          <w:lang w:val="pt-BR"/>
        </w:rPr>
        <w:t>ções</w:t>
      </w:r>
      <w:r w:rsidR="00207197" w:rsidRPr="00D5464D">
        <w:rPr>
          <w:lang w:val="pt-BR"/>
        </w:rPr>
        <w:t xml:space="preserve"> a </w:t>
      </w:r>
      <w:r w:rsidR="00351C4B" w:rsidRPr="00D5464D">
        <w:rPr>
          <w:lang w:val="pt-BR"/>
        </w:rPr>
        <w:t>direitos trabalhistas</w:t>
      </w:r>
      <w:r w:rsidRPr="00D5464D">
        <w:rPr>
          <w:lang w:val="pt-BR"/>
        </w:rPr>
        <w:t xml:space="preserve"> </w:t>
      </w:r>
      <w:r w:rsidR="004A373B" w:rsidRPr="00D5464D">
        <w:rPr>
          <w:lang w:val="pt-BR"/>
        </w:rPr>
        <w:t xml:space="preserve">de acordo com </w:t>
      </w:r>
      <w:r w:rsidR="002C330E" w:rsidRPr="00D5464D">
        <w:rPr>
          <w:lang w:val="pt-BR"/>
        </w:rPr>
        <w:t xml:space="preserve">a </w:t>
      </w:r>
      <w:r w:rsidR="00207197" w:rsidRPr="00D5464D">
        <w:rPr>
          <w:lang w:val="pt-BR"/>
        </w:rPr>
        <w:t>legisla</w:t>
      </w:r>
      <w:r w:rsidRPr="00D5464D">
        <w:rPr>
          <w:lang w:val="pt-BR"/>
        </w:rPr>
        <w:t>ção</w:t>
      </w:r>
      <w:r w:rsidR="00207197" w:rsidRPr="00D5464D">
        <w:rPr>
          <w:lang w:val="pt-BR"/>
        </w:rPr>
        <w:t xml:space="preserve"> </w:t>
      </w:r>
      <w:r w:rsidRPr="00D5464D">
        <w:rPr>
          <w:lang w:val="pt-BR"/>
        </w:rPr>
        <w:t>brasileir</w:t>
      </w:r>
      <w:r w:rsidR="00207197" w:rsidRPr="00D5464D">
        <w:rPr>
          <w:lang w:val="pt-BR"/>
        </w:rPr>
        <w:t>a,</w:t>
      </w:r>
      <w:r w:rsidR="00A1358C" w:rsidRPr="00D5464D">
        <w:rPr>
          <w:lang w:val="pt-BR"/>
        </w:rPr>
        <w:t xml:space="preserve"> o que </w:t>
      </w:r>
      <w:r w:rsidR="00207197" w:rsidRPr="00D5464D">
        <w:rPr>
          <w:lang w:val="pt-BR"/>
        </w:rPr>
        <w:t>era suficiente para justificar</w:t>
      </w:r>
      <w:r w:rsidRPr="00D5464D">
        <w:rPr>
          <w:lang w:val="pt-BR"/>
        </w:rPr>
        <w:t xml:space="preserve"> o </w:t>
      </w:r>
      <w:r w:rsidR="00E765C2" w:rsidRPr="00D5464D">
        <w:rPr>
          <w:lang w:val="pt-BR"/>
        </w:rPr>
        <w:t>resgate</w:t>
      </w:r>
      <w:r w:rsidR="00737270" w:rsidRPr="00D5464D">
        <w:rPr>
          <w:lang w:val="pt-BR"/>
        </w:rPr>
        <w:t>. No entanto</w:t>
      </w:r>
      <w:r w:rsidR="00207197" w:rsidRPr="00D5464D">
        <w:rPr>
          <w:lang w:val="pt-BR"/>
        </w:rPr>
        <w:t>,</w:t>
      </w:r>
      <w:r w:rsidRPr="00D5464D">
        <w:rPr>
          <w:lang w:val="pt-BR"/>
        </w:rPr>
        <w:t xml:space="preserve"> </w:t>
      </w:r>
      <w:r w:rsidR="00737270" w:rsidRPr="00D5464D">
        <w:rPr>
          <w:lang w:val="pt-BR"/>
        </w:rPr>
        <w:t>nesse</w:t>
      </w:r>
      <w:r w:rsidRPr="00D5464D">
        <w:rPr>
          <w:lang w:val="pt-BR"/>
        </w:rPr>
        <w:t xml:space="preserve"> </w:t>
      </w:r>
      <w:r w:rsidR="00207197" w:rsidRPr="00D5464D">
        <w:rPr>
          <w:lang w:val="pt-BR"/>
        </w:rPr>
        <w:t>momento n</w:t>
      </w:r>
      <w:r w:rsidR="004A373B" w:rsidRPr="00D5464D">
        <w:rPr>
          <w:lang w:val="pt-BR"/>
        </w:rPr>
        <w:t>ã</w:t>
      </w:r>
      <w:r w:rsidR="00207197" w:rsidRPr="00D5464D">
        <w:rPr>
          <w:lang w:val="pt-BR"/>
        </w:rPr>
        <w:t xml:space="preserve">o </w:t>
      </w:r>
      <w:r w:rsidR="004A373B" w:rsidRPr="00D5464D">
        <w:rPr>
          <w:lang w:val="pt-BR"/>
        </w:rPr>
        <w:t xml:space="preserve">foi encontrada </w:t>
      </w:r>
      <w:r w:rsidR="002C330E" w:rsidRPr="00D5464D">
        <w:rPr>
          <w:lang w:val="pt-BR"/>
        </w:rPr>
        <w:t>nenhuma</w:t>
      </w:r>
      <w:r w:rsidR="00207197" w:rsidRPr="00D5464D">
        <w:rPr>
          <w:lang w:val="pt-BR"/>
        </w:rPr>
        <w:t xml:space="preserve"> priva</w:t>
      </w:r>
      <w:r w:rsidRPr="00D5464D">
        <w:rPr>
          <w:lang w:val="pt-BR"/>
        </w:rPr>
        <w:t>ção</w:t>
      </w:r>
      <w:r w:rsidR="00207197" w:rsidRPr="00D5464D">
        <w:rPr>
          <w:lang w:val="pt-BR"/>
        </w:rPr>
        <w:t xml:space="preserve"> de </w:t>
      </w:r>
      <w:r w:rsidR="002C330E" w:rsidRPr="00D5464D">
        <w:rPr>
          <w:lang w:val="pt-BR"/>
        </w:rPr>
        <w:t xml:space="preserve">liberdade nem </w:t>
      </w:r>
      <w:r w:rsidRPr="00D5464D">
        <w:rPr>
          <w:lang w:val="pt-BR"/>
        </w:rPr>
        <w:t>o exercício</w:t>
      </w:r>
      <w:r w:rsidR="00207197" w:rsidRPr="00D5464D">
        <w:rPr>
          <w:lang w:val="pt-BR"/>
        </w:rPr>
        <w:t xml:space="preserve"> de </w:t>
      </w:r>
      <w:r w:rsidR="00205A87" w:rsidRPr="00D5464D">
        <w:rPr>
          <w:lang w:val="pt-BR"/>
        </w:rPr>
        <w:t xml:space="preserve">nenhuma </w:t>
      </w:r>
      <w:r w:rsidRPr="00D5464D">
        <w:rPr>
          <w:lang w:val="pt-BR"/>
        </w:rPr>
        <w:t>das faculdades</w:t>
      </w:r>
      <w:r w:rsidR="00207197" w:rsidRPr="00D5464D">
        <w:rPr>
          <w:lang w:val="pt-BR"/>
        </w:rPr>
        <w:t xml:space="preserve"> </w:t>
      </w:r>
      <w:r w:rsidRPr="00D5464D">
        <w:rPr>
          <w:lang w:val="pt-BR"/>
        </w:rPr>
        <w:t xml:space="preserve">do </w:t>
      </w:r>
      <w:r w:rsidR="00230C71" w:rsidRPr="00D5464D">
        <w:rPr>
          <w:lang w:val="pt-BR"/>
        </w:rPr>
        <w:t xml:space="preserve">domínio </w:t>
      </w:r>
      <w:r w:rsidR="00207197" w:rsidRPr="00D5464D">
        <w:rPr>
          <w:lang w:val="pt-BR"/>
        </w:rPr>
        <w:t>sobre</w:t>
      </w:r>
      <w:r w:rsidR="002C330E" w:rsidRPr="00D5464D">
        <w:rPr>
          <w:lang w:val="pt-BR"/>
        </w:rPr>
        <w:t xml:space="preserve"> os </w:t>
      </w:r>
      <w:r w:rsidR="00E045D9" w:rsidRPr="00D5464D">
        <w:rPr>
          <w:lang w:val="pt-BR"/>
        </w:rPr>
        <w:t>trabalhadores</w:t>
      </w:r>
      <w:r w:rsidR="00207197" w:rsidRPr="00D5464D">
        <w:rPr>
          <w:lang w:val="pt-BR"/>
        </w:rPr>
        <w:t xml:space="preserve"> </w:t>
      </w:r>
      <w:r w:rsidR="0090341D" w:rsidRPr="00D5464D">
        <w:rPr>
          <w:lang w:val="pt-BR"/>
        </w:rPr>
        <w:t>resgatado</w:t>
      </w:r>
      <w:r w:rsidR="00207197" w:rsidRPr="00D5464D">
        <w:rPr>
          <w:lang w:val="pt-BR"/>
        </w:rPr>
        <w:t>s</w:t>
      </w:r>
      <w:r w:rsidR="00A1358C" w:rsidRPr="00D5464D">
        <w:rPr>
          <w:lang w:val="pt-BR"/>
        </w:rPr>
        <w:t xml:space="preserve">. O </w:t>
      </w:r>
      <w:r w:rsidR="00207197" w:rsidRPr="00D5464D">
        <w:rPr>
          <w:lang w:val="pt-BR"/>
        </w:rPr>
        <w:t xml:space="preserve">Estado </w:t>
      </w:r>
      <w:r w:rsidR="002C330E" w:rsidRPr="00D5464D">
        <w:rPr>
          <w:lang w:val="pt-BR"/>
        </w:rPr>
        <w:t>afirmou</w:t>
      </w:r>
      <w:r w:rsidR="00207197" w:rsidRPr="00D5464D">
        <w:rPr>
          <w:lang w:val="pt-BR"/>
        </w:rPr>
        <w:t xml:space="preserve"> que esta situa</w:t>
      </w:r>
      <w:r w:rsidRPr="00D5464D">
        <w:rPr>
          <w:lang w:val="pt-BR"/>
        </w:rPr>
        <w:t>ção</w:t>
      </w:r>
      <w:r w:rsidR="00207197" w:rsidRPr="00D5464D">
        <w:rPr>
          <w:lang w:val="pt-BR"/>
        </w:rPr>
        <w:t xml:space="preserve"> </w:t>
      </w:r>
      <w:r w:rsidR="002C330E" w:rsidRPr="00D5464D">
        <w:rPr>
          <w:lang w:val="pt-BR"/>
        </w:rPr>
        <w:t>poderia</w:t>
      </w:r>
      <w:r w:rsidR="00205A87" w:rsidRPr="00D5464D">
        <w:rPr>
          <w:lang w:val="pt-BR"/>
        </w:rPr>
        <w:t>,</w:t>
      </w:r>
      <w:r w:rsidR="00207197" w:rsidRPr="00D5464D">
        <w:rPr>
          <w:lang w:val="pt-BR"/>
        </w:rPr>
        <w:t xml:space="preserve"> eventualmente</w:t>
      </w:r>
      <w:r w:rsidR="00205A87" w:rsidRPr="00D5464D">
        <w:rPr>
          <w:lang w:val="pt-BR"/>
        </w:rPr>
        <w:t>,</w:t>
      </w:r>
      <w:r w:rsidR="00207197" w:rsidRPr="00D5464D">
        <w:rPr>
          <w:lang w:val="pt-BR"/>
        </w:rPr>
        <w:t xml:space="preserve"> </w:t>
      </w:r>
      <w:r w:rsidR="002C330E" w:rsidRPr="00D5464D">
        <w:rPr>
          <w:lang w:val="pt-BR"/>
        </w:rPr>
        <w:t>ter</w:t>
      </w:r>
      <w:r w:rsidR="00207197" w:rsidRPr="00D5464D">
        <w:rPr>
          <w:lang w:val="pt-BR"/>
        </w:rPr>
        <w:t xml:space="preserve"> sido</w:t>
      </w:r>
      <w:r w:rsidR="00E045D9" w:rsidRPr="00D5464D">
        <w:rPr>
          <w:lang w:val="pt-BR"/>
        </w:rPr>
        <w:t xml:space="preserve"> </w:t>
      </w:r>
      <w:r w:rsidR="00D33A02" w:rsidRPr="00D5464D">
        <w:rPr>
          <w:lang w:val="pt-BR"/>
        </w:rPr>
        <w:t>considerada</w:t>
      </w:r>
      <w:r w:rsidR="00205A87" w:rsidRPr="00D5464D">
        <w:rPr>
          <w:lang w:val="pt-BR"/>
        </w:rPr>
        <w:t xml:space="preserve"> </w:t>
      </w:r>
      <w:r w:rsidR="00E045D9" w:rsidRPr="00D5464D">
        <w:rPr>
          <w:lang w:val="pt-BR"/>
        </w:rPr>
        <w:t xml:space="preserve">um </w:t>
      </w:r>
      <w:r w:rsidR="00207197" w:rsidRPr="00D5464D">
        <w:rPr>
          <w:lang w:val="pt-BR"/>
        </w:rPr>
        <w:t>delito</w:t>
      </w:r>
      <w:r w:rsidRPr="00D5464D">
        <w:rPr>
          <w:lang w:val="pt-BR"/>
        </w:rPr>
        <w:t xml:space="preserve"> </w:t>
      </w:r>
      <w:r w:rsidR="004A373B" w:rsidRPr="00D5464D">
        <w:rPr>
          <w:lang w:val="pt-BR"/>
        </w:rPr>
        <w:t xml:space="preserve">de acordo com </w:t>
      </w:r>
      <w:r w:rsidRPr="00D5464D">
        <w:rPr>
          <w:lang w:val="pt-BR"/>
        </w:rPr>
        <w:t>o artigo</w:t>
      </w:r>
      <w:r w:rsidR="00207197" w:rsidRPr="00D5464D">
        <w:rPr>
          <w:lang w:val="pt-BR"/>
        </w:rPr>
        <w:t xml:space="preserve"> 149 </w:t>
      </w:r>
      <w:r w:rsidRPr="00D5464D">
        <w:rPr>
          <w:lang w:val="pt-BR"/>
        </w:rPr>
        <w:t xml:space="preserve">do </w:t>
      </w:r>
      <w:r w:rsidR="004A373B" w:rsidRPr="00D5464D">
        <w:rPr>
          <w:lang w:val="pt-BR"/>
        </w:rPr>
        <w:t>Código Penal do</w:t>
      </w:r>
      <w:r w:rsidR="00207197" w:rsidRPr="00D5464D">
        <w:rPr>
          <w:lang w:val="pt-BR"/>
        </w:rPr>
        <w:t xml:space="preserve"> Brasil, </w:t>
      </w:r>
      <w:r w:rsidR="002C330E" w:rsidRPr="00D5464D">
        <w:rPr>
          <w:lang w:val="pt-BR"/>
        </w:rPr>
        <w:t>mas</w:t>
      </w:r>
      <w:r w:rsidR="00207197" w:rsidRPr="00D5464D">
        <w:rPr>
          <w:lang w:val="pt-BR"/>
        </w:rPr>
        <w:t xml:space="preserve"> que</w:t>
      </w:r>
      <w:r w:rsidR="004A373B" w:rsidRPr="00D5464D">
        <w:rPr>
          <w:lang w:val="pt-BR"/>
        </w:rPr>
        <w:t>,</w:t>
      </w:r>
      <w:r w:rsidRPr="00D5464D">
        <w:rPr>
          <w:lang w:val="pt-BR"/>
        </w:rPr>
        <w:t xml:space="preserve"> em </w:t>
      </w:r>
      <w:r w:rsidR="002C330E" w:rsidRPr="00D5464D">
        <w:rPr>
          <w:lang w:val="pt-BR"/>
        </w:rPr>
        <w:t xml:space="preserve">nenhum </w:t>
      </w:r>
      <w:r w:rsidR="00207197" w:rsidRPr="00D5464D">
        <w:rPr>
          <w:lang w:val="pt-BR"/>
        </w:rPr>
        <w:t>caso</w:t>
      </w:r>
      <w:r w:rsidR="004A373B" w:rsidRPr="00D5464D">
        <w:rPr>
          <w:lang w:val="pt-BR"/>
        </w:rPr>
        <w:t>,</w:t>
      </w:r>
      <w:r w:rsidR="00207197" w:rsidRPr="00D5464D">
        <w:rPr>
          <w:lang w:val="pt-BR"/>
        </w:rPr>
        <w:t xml:space="preserve"> </w:t>
      </w:r>
      <w:r w:rsidR="002C330E" w:rsidRPr="00D5464D">
        <w:rPr>
          <w:lang w:val="pt-BR"/>
        </w:rPr>
        <w:t>poderia</w:t>
      </w:r>
      <w:r w:rsidR="00207197" w:rsidRPr="00D5464D">
        <w:rPr>
          <w:lang w:val="pt-BR"/>
        </w:rPr>
        <w:t xml:space="preserve"> </w:t>
      </w:r>
      <w:r w:rsidR="00205A87" w:rsidRPr="00D5464D">
        <w:rPr>
          <w:lang w:val="pt-BR"/>
        </w:rPr>
        <w:t xml:space="preserve">se </w:t>
      </w:r>
      <w:r w:rsidR="00207197" w:rsidRPr="00D5464D">
        <w:rPr>
          <w:lang w:val="pt-BR"/>
        </w:rPr>
        <w:t>caracteriz</w:t>
      </w:r>
      <w:r w:rsidR="00C91CB1" w:rsidRPr="00D5464D">
        <w:rPr>
          <w:lang w:val="pt-BR"/>
        </w:rPr>
        <w:t xml:space="preserve">ar </w:t>
      </w:r>
      <w:r w:rsidR="00207197" w:rsidRPr="00D5464D">
        <w:rPr>
          <w:lang w:val="pt-BR"/>
        </w:rPr>
        <w:t xml:space="preserve">como </w:t>
      </w:r>
      <w:r w:rsidR="000B376D" w:rsidRPr="00D5464D">
        <w:rPr>
          <w:lang w:val="pt-BR"/>
        </w:rPr>
        <w:t>escravidão</w:t>
      </w:r>
      <w:r w:rsidR="00207197" w:rsidRPr="00D5464D">
        <w:rPr>
          <w:lang w:val="pt-BR"/>
        </w:rPr>
        <w:t xml:space="preserve">, </w:t>
      </w:r>
      <w:r w:rsidR="000B376D" w:rsidRPr="00D5464D">
        <w:rPr>
          <w:lang w:val="pt-BR"/>
        </w:rPr>
        <w:t>servidão</w:t>
      </w:r>
      <w:r w:rsidR="00207197" w:rsidRPr="00D5464D">
        <w:rPr>
          <w:lang w:val="pt-BR"/>
        </w:rPr>
        <w:t xml:space="preserve"> o</w:t>
      </w:r>
      <w:r w:rsidR="004A373B" w:rsidRPr="00D5464D">
        <w:rPr>
          <w:lang w:val="pt-BR"/>
        </w:rPr>
        <w:t>u</w:t>
      </w:r>
      <w:r w:rsidR="00207197" w:rsidRPr="00D5464D">
        <w:rPr>
          <w:lang w:val="pt-BR"/>
        </w:rPr>
        <w:t xml:space="preserve"> </w:t>
      </w:r>
      <w:r w:rsidR="00E045D9" w:rsidRPr="00D5464D">
        <w:rPr>
          <w:lang w:val="pt-BR"/>
        </w:rPr>
        <w:t>trabalho</w:t>
      </w:r>
      <w:r w:rsidR="001B63D0" w:rsidRPr="00D5464D">
        <w:rPr>
          <w:lang w:val="pt-BR"/>
        </w:rPr>
        <w:t xml:space="preserve"> </w:t>
      </w:r>
      <w:r w:rsidR="00230C71" w:rsidRPr="00D5464D">
        <w:rPr>
          <w:lang w:val="pt-BR"/>
        </w:rPr>
        <w:t>forçado</w:t>
      </w:r>
      <w:r w:rsidR="004A373B" w:rsidRPr="00D5464D">
        <w:rPr>
          <w:lang w:val="pt-BR"/>
        </w:rPr>
        <w:t xml:space="preserve">, </w:t>
      </w:r>
      <w:r w:rsidR="00191393" w:rsidRPr="00D5464D">
        <w:rPr>
          <w:lang w:val="pt-BR"/>
        </w:rPr>
        <w:t>no entender d</w:t>
      </w:r>
      <w:r w:rsidR="002C330E" w:rsidRPr="00D5464D">
        <w:rPr>
          <w:lang w:val="pt-BR"/>
        </w:rPr>
        <w:t>as regras</w:t>
      </w:r>
      <w:r w:rsidR="00207197" w:rsidRPr="00D5464D">
        <w:rPr>
          <w:lang w:val="pt-BR"/>
        </w:rPr>
        <w:t xml:space="preserve"> relevantes </w:t>
      </w:r>
      <w:r w:rsidRPr="00D5464D">
        <w:rPr>
          <w:lang w:val="pt-BR"/>
        </w:rPr>
        <w:t xml:space="preserve">do </w:t>
      </w:r>
      <w:r w:rsidR="00E765C2" w:rsidRPr="00D5464D">
        <w:rPr>
          <w:lang w:val="pt-BR"/>
        </w:rPr>
        <w:t>Direito Internacional</w:t>
      </w:r>
      <w:r w:rsidRPr="00D5464D">
        <w:rPr>
          <w:lang w:val="pt-BR"/>
        </w:rPr>
        <w:t xml:space="preserve"> dos Direito</w:t>
      </w:r>
      <w:r w:rsidR="00207197" w:rsidRPr="00D5464D">
        <w:rPr>
          <w:lang w:val="pt-BR"/>
        </w:rPr>
        <w:t>s Humanos</w:t>
      </w:r>
      <w:r w:rsidR="00A1358C" w:rsidRPr="00D5464D">
        <w:rPr>
          <w:lang w:val="pt-BR"/>
        </w:rPr>
        <w:t xml:space="preserve">. O </w:t>
      </w:r>
      <w:r w:rsidR="00207197" w:rsidRPr="00D5464D">
        <w:rPr>
          <w:lang w:val="pt-BR"/>
        </w:rPr>
        <w:t xml:space="preserve">Estado </w:t>
      </w:r>
      <w:r w:rsidR="00191393" w:rsidRPr="00D5464D">
        <w:rPr>
          <w:lang w:val="pt-BR"/>
        </w:rPr>
        <w:t xml:space="preserve">enfatizou </w:t>
      </w:r>
      <w:r w:rsidR="00207197" w:rsidRPr="00D5464D">
        <w:rPr>
          <w:lang w:val="pt-BR"/>
        </w:rPr>
        <w:t>que</w:t>
      </w:r>
      <w:r w:rsidR="00205A87" w:rsidRPr="00D5464D">
        <w:rPr>
          <w:lang w:val="pt-BR"/>
        </w:rPr>
        <w:t>,</w:t>
      </w:r>
      <w:r w:rsidRPr="00D5464D">
        <w:rPr>
          <w:lang w:val="pt-BR"/>
        </w:rPr>
        <w:t xml:space="preserve"> </w:t>
      </w:r>
      <w:r w:rsidR="00D14320" w:rsidRPr="00D5464D">
        <w:rPr>
          <w:lang w:val="pt-BR"/>
        </w:rPr>
        <w:t xml:space="preserve">apenas </w:t>
      </w:r>
      <w:r w:rsidR="00191393" w:rsidRPr="00D5464D">
        <w:rPr>
          <w:lang w:val="pt-BR"/>
        </w:rPr>
        <w:t xml:space="preserve">o </w:t>
      </w:r>
      <w:r w:rsidR="002C330E" w:rsidRPr="00D5464D">
        <w:rPr>
          <w:lang w:val="pt-BR"/>
        </w:rPr>
        <w:t xml:space="preserve">fato </w:t>
      </w:r>
      <w:r w:rsidRPr="00D5464D">
        <w:rPr>
          <w:lang w:val="pt-BR"/>
        </w:rPr>
        <w:t xml:space="preserve">do </w:t>
      </w:r>
      <w:r w:rsidR="00E765C2" w:rsidRPr="00D5464D">
        <w:rPr>
          <w:lang w:val="pt-BR"/>
        </w:rPr>
        <w:t>resgate</w:t>
      </w:r>
      <w:r w:rsidRPr="00D5464D">
        <w:rPr>
          <w:lang w:val="pt-BR"/>
        </w:rPr>
        <w:t xml:space="preserve"> dos </w:t>
      </w:r>
      <w:r w:rsidR="00E045D9" w:rsidRPr="00D5464D">
        <w:rPr>
          <w:lang w:val="pt-BR"/>
        </w:rPr>
        <w:t>trabalhadores</w:t>
      </w:r>
      <w:r w:rsidR="00205A87" w:rsidRPr="00D5464D">
        <w:rPr>
          <w:lang w:val="pt-BR"/>
        </w:rPr>
        <w:t>,</w:t>
      </w:r>
      <w:r w:rsidRPr="00D5464D">
        <w:rPr>
          <w:lang w:val="pt-BR"/>
        </w:rPr>
        <w:t xml:space="preserve"> é </w:t>
      </w:r>
      <w:r w:rsidR="00207197" w:rsidRPr="00D5464D">
        <w:rPr>
          <w:lang w:val="pt-BR"/>
        </w:rPr>
        <w:t>insuficiente para funda</w:t>
      </w:r>
      <w:r w:rsidR="00F03F93" w:rsidRPr="00D5464D">
        <w:rPr>
          <w:lang w:val="pt-BR"/>
        </w:rPr>
        <w:t>menta</w:t>
      </w:r>
      <w:r w:rsidR="00207197" w:rsidRPr="00D5464D">
        <w:rPr>
          <w:lang w:val="pt-BR"/>
        </w:rPr>
        <w:t>r</w:t>
      </w:r>
      <w:r w:rsidR="00E045D9" w:rsidRPr="00D5464D">
        <w:rPr>
          <w:lang w:val="pt-BR"/>
        </w:rPr>
        <w:t xml:space="preserve"> uma </w:t>
      </w:r>
      <w:r w:rsidR="00207197" w:rsidRPr="00D5464D">
        <w:rPr>
          <w:lang w:val="pt-BR"/>
        </w:rPr>
        <w:t>viola</w:t>
      </w:r>
      <w:r w:rsidRPr="00D5464D">
        <w:rPr>
          <w:lang w:val="pt-BR"/>
        </w:rPr>
        <w:t xml:space="preserve">ção à </w:t>
      </w:r>
      <w:r w:rsidR="00207197" w:rsidRPr="00D5464D">
        <w:rPr>
          <w:lang w:val="pt-BR"/>
        </w:rPr>
        <w:t>Conven</w:t>
      </w:r>
      <w:r w:rsidRPr="00D5464D">
        <w:rPr>
          <w:lang w:val="pt-BR"/>
        </w:rPr>
        <w:t>ção</w:t>
      </w:r>
      <w:r w:rsidR="00207197" w:rsidRPr="00D5464D">
        <w:rPr>
          <w:lang w:val="pt-BR"/>
        </w:rPr>
        <w:t xml:space="preserve"> Americana,</w:t>
      </w:r>
      <w:r w:rsidR="002C330E" w:rsidRPr="00D5464D">
        <w:rPr>
          <w:lang w:val="pt-BR"/>
        </w:rPr>
        <w:t xml:space="preserve"> pois a </w:t>
      </w:r>
      <w:r w:rsidR="00207197" w:rsidRPr="00D5464D">
        <w:rPr>
          <w:lang w:val="pt-BR"/>
        </w:rPr>
        <w:t>legisla</w:t>
      </w:r>
      <w:r w:rsidRPr="00D5464D">
        <w:rPr>
          <w:lang w:val="pt-BR"/>
        </w:rPr>
        <w:t>ção</w:t>
      </w:r>
      <w:r w:rsidR="00207197" w:rsidRPr="00D5464D">
        <w:rPr>
          <w:lang w:val="pt-BR"/>
        </w:rPr>
        <w:t xml:space="preserve"> </w:t>
      </w:r>
      <w:r w:rsidRPr="00D5464D">
        <w:rPr>
          <w:lang w:val="pt-BR"/>
        </w:rPr>
        <w:t>brasileir</w:t>
      </w:r>
      <w:r w:rsidR="00207197" w:rsidRPr="00D5464D">
        <w:rPr>
          <w:lang w:val="pt-BR"/>
        </w:rPr>
        <w:t xml:space="preserve">a </w:t>
      </w:r>
      <w:r w:rsidR="00350187" w:rsidRPr="00D5464D">
        <w:rPr>
          <w:lang w:val="pt-BR"/>
        </w:rPr>
        <w:t>prevê</w:t>
      </w:r>
      <w:r w:rsidR="00207197" w:rsidRPr="00D5464D">
        <w:rPr>
          <w:lang w:val="pt-BR"/>
        </w:rPr>
        <w:t xml:space="preserve"> esta medida </w:t>
      </w:r>
      <w:r w:rsidR="00E045D9" w:rsidRPr="00D5464D">
        <w:rPr>
          <w:lang w:val="pt-BR"/>
        </w:rPr>
        <w:t>também</w:t>
      </w:r>
      <w:r w:rsidR="00207197" w:rsidRPr="00D5464D">
        <w:rPr>
          <w:lang w:val="pt-BR"/>
        </w:rPr>
        <w:t xml:space="preserve"> para situa</w:t>
      </w:r>
      <w:r w:rsidRPr="00D5464D">
        <w:rPr>
          <w:lang w:val="pt-BR"/>
        </w:rPr>
        <w:t>ções</w:t>
      </w:r>
      <w:r w:rsidR="00207197" w:rsidRPr="00D5464D">
        <w:rPr>
          <w:lang w:val="pt-BR"/>
        </w:rPr>
        <w:t xml:space="preserve"> menos graves</w:t>
      </w:r>
      <w:r w:rsidR="00F03F93" w:rsidRPr="00D5464D">
        <w:rPr>
          <w:lang w:val="pt-BR"/>
        </w:rPr>
        <w:t>.</w:t>
      </w:r>
      <w:r w:rsidR="00207197" w:rsidRPr="00D5464D">
        <w:rPr>
          <w:lang w:val="pt-BR"/>
        </w:rPr>
        <w:t xml:space="preserve"> </w:t>
      </w:r>
    </w:p>
    <w:p w14:paraId="6542AE3F" w14:textId="77777777" w:rsidR="00DE3E58" w:rsidRPr="00D5464D" w:rsidRDefault="00DE3E58" w:rsidP="00DE3E58">
      <w:pPr>
        <w:pStyle w:val="Prrafodelista"/>
        <w:ind w:left="0"/>
        <w:contextualSpacing w:val="0"/>
        <w:rPr>
          <w:lang w:val="pt-BR"/>
        </w:rPr>
      </w:pPr>
    </w:p>
    <w:p w14:paraId="10621B06" w14:textId="101F3F53" w:rsidR="00207197" w:rsidRPr="00D5464D" w:rsidRDefault="00470ADC" w:rsidP="00F37DC4">
      <w:pPr>
        <w:pStyle w:val="Prrafodelista"/>
        <w:numPr>
          <w:ilvl w:val="0"/>
          <w:numId w:val="1"/>
        </w:numPr>
        <w:contextualSpacing w:val="0"/>
        <w:rPr>
          <w:lang w:val="pt-BR"/>
        </w:rPr>
      </w:pPr>
      <w:r w:rsidRPr="00D5464D">
        <w:rPr>
          <w:lang w:val="pt-BR"/>
        </w:rPr>
        <w:t xml:space="preserve">O </w:t>
      </w:r>
      <w:r w:rsidR="00207197" w:rsidRPr="00D5464D">
        <w:rPr>
          <w:lang w:val="pt-BR"/>
        </w:rPr>
        <w:t xml:space="preserve">Estado </w:t>
      </w:r>
      <w:r w:rsidR="00C91CB1" w:rsidRPr="00D5464D">
        <w:rPr>
          <w:lang w:val="pt-BR"/>
        </w:rPr>
        <w:t>afirmou</w:t>
      </w:r>
      <w:r w:rsidR="00207197" w:rsidRPr="00D5464D">
        <w:rPr>
          <w:lang w:val="pt-BR"/>
        </w:rPr>
        <w:t xml:space="preserve"> que</w:t>
      </w:r>
      <w:r w:rsidR="00F03F93" w:rsidRPr="00D5464D">
        <w:rPr>
          <w:lang w:val="pt-BR"/>
        </w:rPr>
        <w:t>,</w:t>
      </w:r>
      <w:r w:rsidR="00207197" w:rsidRPr="00D5464D">
        <w:rPr>
          <w:lang w:val="pt-BR"/>
        </w:rPr>
        <w:t xml:space="preserve"> tanto</w:t>
      </w:r>
      <w:r w:rsidRPr="00D5464D">
        <w:rPr>
          <w:lang w:val="pt-BR"/>
        </w:rPr>
        <w:t xml:space="preserve"> da </w:t>
      </w:r>
      <w:r w:rsidR="00207197" w:rsidRPr="00D5464D">
        <w:rPr>
          <w:lang w:val="pt-BR"/>
        </w:rPr>
        <w:t>fiscaliza</w:t>
      </w:r>
      <w:r w:rsidRPr="00D5464D">
        <w:rPr>
          <w:lang w:val="pt-BR"/>
        </w:rPr>
        <w:t>ção</w:t>
      </w:r>
      <w:r w:rsidR="00205A87" w:rsidRPr="00D5464D">
        <w:rPr>
          <w:lang w:val="pt-BR"/>
        </w:rPr>
        <w:t>,</w:t>
      </w:r>
      <w:r w:rsidR="00207197" w:rsidRPr="00D5464D">
        <w:rPr>
          <w:lang w:val="pt-BR"/>
        </w:rPr>
        <w:t xml:space="preserve"> como</w:t>
      </w:r>
      <w:r w:rsidRPr="00D5464D">
        <w:rPr>
          <w:lang w:val="pt-BR"/>
        </w:rPr>
        <w:t xml:space="preserve"> d</w:t>
      </w:r>
      <w:r w:rsidR="00191393" w:rsidRPr="00D5464D">
        <w:rPr>
          <w:lang w:val="pt-BR"/>
        </w:rPr>
        <w:t xml:space="preserve">as demissões </w:t>
      </w:r>
      <w:r w:rsidR="002C330E" w:rsidRPr="00D5464D">
        <w:rPr>
          <w:lang w:val="pt-BR"/>
        </w:rPr>
        <w:t>ocorrid</w:t>
      </w:r>
      <w:r w:rsidR="00191393" w:rsidRPr="00D5464D">
        <w:rPr>
          <w:lang w:val="pt-BR"/>
        </w:rPr>
        <w:t>a</w:t>
      </w:r>
      <w:r w:rsidR="00207197" w:rsidRPr="00D5464D">
        <w:rPr>
          <w:lang w:val="pt-BR"/>
        </w:rPr>
        <w:t>s</w:t>
      </w:r>
      <w:r w:rsidR="00E045D9" w:rsidRPr="00D5464D">
        <w:rPr>
          <w:lang w:val="pt-BR"/>
        </w:rPr>
        <w:t xml:space="preserve"> nos </w:t>
      </w:r>
      <w:r w:rsidR="002C330E" w:rsidRPr="00D5464D">
        <w:rPr>
          <w:lang w:val="pt-BR"/>
        </w:rPr>
        <w:t>oito</w:t>
      </w:r>
      <w:r w:rsidR="00207197" w:rsidRPr="00D5464D">
        <w:rPr>
          <w:lang w:val="pt-BR"/>
        </w:rPr>
        <w:t xml:space="preserve"> meses anteriores</w:t>
      </w:r>
      <w:r w:rsidRPr="00D5464D">
        <w:rPr>
          <w:lang w:val="pt-BR"/>
        </w:rPr>
        <w:t xml:space="preserve"> à </w:t>
      </w:r>
      <w:r w:rsidR="00AB4663" w:rsidRPr="00D5464D">
        <w:rPr>
          <w:lang w:val="pt-BR"/>
        </w:rPr>
        <w:t>fiscalização</w:t>
      </w:r>
      <w:r w:rsidR="00207197" w:rsidRPr="00D5464D">
        <w:rPr>
          <w:lang w:val="pt-BR"/>
        </w:rPr>
        <w:t xml:space="preserve"> de </w:t>
      </w:r>
      <w:r w:rsidR="002C330E" w:rsidRPr="00D5464D">
        <w:rPr>
          <w:lang w:val="pt-BR"/>
        </w:rPr>
        <w:t>março</w:t>
      </w:r>
      <w:r w:rsidR="00207197" w:rsidRPr="00D5464D">
        <w:rPr>
          <w:lang w:val="pt-BR"/>
        </w:rPr>
        <w:t xml:space="preserve"> de 2000</w:t>
      </w:r>
      <w:r w:rsidR="00F03F93" w:rsidRPr="00D5464D">
        <w:rPr>
          <w:lang w:val="pt-BR"/>
        </w:rPr>
        <w:t>,</w:t>
      </w:r>
      <w:r w:rsidR="00207197" w:rsidRPr="00D5464D">
        <w:rPr>
          <w:lang w:val="pt-BR"/>
        </w:rPr>
        <w:t xml:space="preserve"> </w:t>
      </w:r>
      <w:r w:rsidR="00205A87" w:rsidRPr="00D5464D">
        <w:rPr>
          <w:lang w:val="pt-BR"/>
        </w:rPr>
        <w:t xml:space="preserve">depreende-se </w:t>
      </w:r>
      <w:r w:rsidR="00207197" w:rsidRPr="00D5464D">
        <w:rPr>
          <w:lang w:val="pt-BR"/>
        </w:rPr>
        <w:t>que</w:t>
      </w:r>
      <w:r w:rsidR="002C330E" w:rsidRPr="00D5464D">
        <w:rPr>
          <w:lang w:val="pt-BR"/>
        </w:rPr>
        <w:t xml:space="preserve"> os </w:t>
      </w:r>
      <w:r w:rsidR="00E045D9" w:rsidRPr="00D5464D">
        <w:rPr>
          <w:lang w:val="pt-BR"/>
        </w:rPr>
        <w:t>trabalhadores</w:t>
      </w:r>
      <w:r w:rsidR="00207197" w:rsidRPr="00D5464D">
        <w:rPr>
          <w:lang w:val="pt-BR"/>
        </w:rPr>
        <w:t xml:space="preserve"> pr</w:t>
      </w:r>
      <w:r w:rsidRPr="00D5464D">
        <w:rPr>
          <w:lang w:val="pt-BR"/>
        </w:rPr>
        <w:t>estavam</w:t>
      </w:r>
      <w:r w:rsidR="00207197" w:rsidRPr="00D5464D">
        <w:rPr>
          <w:lang w:val="pt-BR"/>
        </w:rPr>
        <w:t xml:space="preserve"> </w:t>
      </w:r>
      <w:r w:rsidR="00A1358C" w:rsidRPr="00D5464D">
        <w:rPr>
          <w:lang w:val="pt-BR"/>
        </w:rPr>
        <w:t>seus serviços</w:t>
      </w:r>
      <w:r w:rsidRPr="00D5464D">
        <w:rPr>
          <w:lang w:val="pt-BR"/>
        </w:rPr>
        <w:t xml:space="preserve"> em </w:t>
      </w:r>
      <w:r w:rsidR="00207197" w:rsidRPr="00D5464D">
        <w:rPr>
          <w:lang w:val="pt-BR"/>
        </w:rPr>
        <w:t>condi</w:t>
      </w:r>
      <w:r w:rsidRPr="00D5464D">
        <w:rPr>
          <w:lang w:val="pt-BR"/>
        </w:rPr>
        <w:t>ções</w:t>
      </w:r>
      <w:r w:rsidR="00207197" w:rsidRPr="00D5464D">
        <w:rPr>
          <w:lang w:val="pt-BR"/>
        </w:rPr>
        <w:t xml:space="preserve"> </w:t>
      </w:r>
      <w:r w:rsidR="00A1358C" w:rsidRPr="00D5464D">
        <w:rPr>
          <w:lang w:val="pt-BR"/>
        </w:rPr>
        <w:t>precárias</w:t>
      </w:r>
      <w:r w:rsidR="00F03F93" w:rsidRPr="00D5464D">
        <w:rPr>
          <w:lang w:val="pt-BR"/>
        </w:rPr>
        <w:t>,</w:t>
      </w:r>
      <w:r w:rsidR="00207197" w:rsidRPr="00D5464D">
        <w:rPr>
          <w:lang w:val="pt-BR"/>
        </w:rPr>
        <w:t xml:space="preserve"> </w:t>
      </w:r>
      <w:r w:rsidR="00EB1CE9" w:rsidRPr="00D5464D">
        <w:rPr>
          <w:lang w:val="pt-BR"/>
        </w:rPr>
        <w:t>transitóri</w:t>
      </w:r>
      <w:r w:rsidR="00207197" w:rsidRPr="00D5464D">
        <w:rPr>
          <w:lang w:val="pt-BR"/>
        </w:rPr>
        <w:t>as</w:t>
      </w:r>
      <w:r w:rsidRPr="00D5464D">
        <w:rPr>
          <w:lang w:val="pt-BR"/>
        </w:rPr>
        <w:t>, e com</w:t>
      </w:r>
      <w:r w:rsidR="00E045D9" w:rsidRPr="00D5464D">
        <w:rPr>
          <w:lang w:val="pt-BR"/>
        </w:rPr>
        <w:t xml:space="preserve"> uma </w:t>
      </w:r>
      <w:r w:rsidR="00207197" w:rsidRPr="00D5464D">
        <w:rPr>
          <w:lang w:val="pt-BR"/>
        </w:rPr>
        <w:t>alta</w:t>
      </w:r>
      <w:r w:rsidR="00C93A4F" w:rsidRPr="00D5464D">
        <w:rPr>
          <w:lang w:val="pt-BR"/>
        </w:rPr>
        <w:t xml:space="preserve"> </w:t>
      </w:r>
      <w:r w:rsidR="00205A87" w:rsidRPr="00D5464D">
        <w:rPr>
          <w:lang w:val="pt-BR"/>
        </w:rPr>
        <w:t>rotatividade</w:t>
      </w:r>
      <w:r w:rsidR="00F03F93" w:rsidRPr="00D5464D">
        <w:rPr>
          <w:lang w:val="pt-BR"/>
        </w:rPr>
        <w:t>,</w:t>
      </w:r>
      <w:r w:rsidR="00207197" w:rsidRPr="00D5464D">
        <w:rPr>
          <w:lang w:val="pt-BR"/>
        </w:rPr>
        <w:t xml:space="preserve"> como era habitual</w:t>
      </w:r>
      <w:r w:rsidRPr="00D5464D">
        <w:rPr>
          <w:lang w:val="pt-BR"/>
        </w:rPr>
        <w:t xml:space="preserve"> em ativ</w:t>
      </w:r>
      <w:r w:rsidR="00207197" w:rsidRPr="00D5464D">
        <w:rPr>
          <w:lang w:val="pt-BR"/>
        </w:rPr>
        <w:t xml:space="preserve">idades </w:t>
      </w:r>
      <w:r w:rsidR="00E045D9" w:rsidRPr="00D5464D">
        <w:rPr>
          <w:lang w:val="pt-BR"/>
        </w:rPr>
        <w:t xml:space="preserve">rurais no </w:t>
      </w:r>
      <w:r w:rsidR="00996473" w:rsidRPr="00D5464D">
        <w:rPr>
          <w:lang w:val="pt-BR"/>
        </w:rPr>
        <w:t>estado do Pará</w:t>
      </w:r>
      <w:r w:rsidR="00207197" w:rsidRPr="00D5464D">
        <w:rPr>
          <w:lang w:val="pt-BR"/>
        </w:rPr>
        <w:t xml:space="preserve">. </w:t>
      </w:r>
      <w:r w:rsidR="00230C71" w:rsidRPr="00D5464D">
        <w:rPr>
          <w:lang w:val="pt-BR"/>
        </w:rPr>
        <w:t>Acrescentou</w:t>
      </w:r>
      <w:r w:rsidR="00207197" w:rsidRPr="00D5464D">
        <w:rPr>
          <w:lang w:val="pt-BR"/>
        </w:rPr>
        <w:t xml:space="preserve"> que</w:t>
      </w:r>
      <w:r w:rsidR="002C330E" w:rsidRPr="00D5464D">
        <w:rPr>
          <w:lang w:val="pt-BR"/>
        </w:rPr>
        <w:t xml:space="preserve"> os </w:t>
      </w:r>
      <w:r w:rsidR="00E045D9" w:rsidRPr="00D5464D">
        <w:rPr>
          <w:lang w:val="pt-BR"/>
        </w:rPr>
        <w:t>trabalhadores</w:t>
      </w:r>
      <w:r w:rsidR="00230C71" w:rsidRPr="00D5464D">
        <w:rPr>
          <w:lang w:val="pt-BR"/>
        </w:rPr>
        <w:t xml:space="preserve"> não tinha</w:t>
      </w:r>
      <w:r w:rsidR="00E045D9" w:rsidRPr="00D5464D">
        <w:rPr>
          <w:lang w:val="pt-BR"/>
        </w:rPr>
        <w:t>m</w:t>
      </w:r>
      <w:r w:rsidR="00207197" w:rsidRPr="00D5464D">
        <w:rPr>
          <w:lang w:val="pt-BR"/>
        </w:rPr>
        <w:t xml:space="preserve"> </w:t>
      </w:r>
      <w:r w:rsidR="002C330E" w:rsidRPr="00D5464D">
        <w:rPr>
          <w:lang w:val="pt-BR"/>
        </w:rPr>
        <w:t xml:space="preserve">nenhum </w:t>
      </w:r>
      <w:r w:rsidR="00207197" w:rsidRPr="00D5464D">
        <w:rPr>
          <w:lang w:val="pt-BR"/>
        </w:rPr>
        <w:t xml:space="preserve">impedimento para abandonar </w:t>
      </w:r>
      <w:r w:rsidR="00191393" w:rsidRPr="00D5464D">
        <w:rPr>
          <w:lang w:val="pt-BR"/>
        </w:rPr>
        <w:t xml:space="preserve">o </w:t>
      </w:r>
      <w:r w:rsidR="00737270" w:rsidRPr="00D5464D">
        <w:rPr>
          <w:lang w:val="pt-BR"/>
        </w:rPr>
        <w:t>seu trabalho</w:t>
      </w:r>
      <w:r w:rsidR="00E045D9" w:rsidRPr="00D5464D">
        <w:rPr>
          <w:lang w:val="pt-BR"/>
        </w:rPr>
        <w:t xml:space="preserve"> na </w:t>
      </w:r>
      <w:r w:rsidR="00D809F0" w:rsidRPr="00D5464D">
        <w:rPr>
          <w:lang w:val="pt-BR"/>
        </w:rPr>
        <w:t>fazenda</w:t>
      </w:r>
      <w:r w:rsidR="00E045D9" w:rsidRPr="00D5464D">
        <w:rPr>
          <w:lang w:val="pt-BR"/>
        </w:rPr>
        <w:t xml:space="preserve"> e </w:t>
      </w:r>
      <w:r w:rsidR="00207197" w:rsidRPr="00D5464D">
        <w:rPr>
          <w:lang w:val="pt-BR"/>
        </w:rPr>
        <w:t>que n</w:t>
      </w:r>
      <w:r w:rsidR="00191393" w:rsidRPr="00D5464D">
        <w:rPr>
          <w:lang w:val="pt-BR"/>
        </w:rPr>
        <w:t>ã</w:t>
      </w:r>
      <w:r w:rsidR="00207197" w:rsidRPr="00D5464D">
        <w:rPr>
          <w:lang w:val="pt-BR"/>
        </w:rPr>
        <w:t xml:space="preserve">o </w:t>
      </w:r>
      <w:r w:rsidR="002C330E" w:rsidRPr="00D5464D">
        <w:rPr>
          <w:lang w:val="pt-BR"/>
        </w:rPr>
        <w:t xml:space="preserve">há </w:t>
      </w:r>
      <w:r w:rsidR="00737270" w:rsidRPr="00D5464D">
        <w:rPr>
          <w:lang w:val="pt-BR"/>
        </w:rPr>
        <w:t>indícios</w:t>
      </w:r>
      <w:r w:rsidR="00207197" w:rsidRPr="00D5464D">
        <w:rPr>
          <w:lang w:val="pt-BR"/>
        </w:rPr>
        <w:t xml:space="preserve"> de </w:t>
      </w:r>
      <w:r w:rsidR="00E045D9" w:rsidRPr="00D5464D">
        <w:rPr>
          <w:lang w:val="pt-BR"/>
        </w:rPr>
        <w:t>vigilância</w:t>
      </w:r>
      <w:r w:rsidR="00207197" w:rsidRPr="00D5464D">
        <w:rPr>
          <w:lang w:val="pt-BR"/>
        </w:rPr>
        <w:t xml:space="preserve"> armada</w:t>
      </w:r>
      <w:r w:rsidR="00E045D9" w:rsidRPr="00D5464D">
        <w:rPr>
          <w:lang w:val="pt-BR"/>
        </w:rPr>
        <w:t xml:space="preserve"> </w:t>
      </w:r>
      <w:r w:rsidR="00205A87" w:rsidRPr="00D5464D">
        <w:rPr>
          <w:lang w:val="pt-BR"/>
        </w:rPr>
        <w:t>no local</w:t>
      </w:r>
      <w:r w:rsidR="00207197" w:rsidRPr="00D5464D">
        <w:rPr>
          <w:lang w:val="pt-BR"/>
        </w:rPr>
        <w:t>.</w:t>
      </w:r>
    </w:p>
    <w:p w14:paraId="1EB36270" w14:textId="77777777" w:rsidR="00207197" w:rsidRPr="00D5464D" w:rsidRDefault="00207197" w:rsidP="00140440">
      <w:pPr>
        <w:jc w:val="both"/>
        <w:rPr>
          <w:lang w:val="pt-BR"/>
        </w:rPr>
      </w:pPr>
    </w:p>
    <w:p w14:paraId="62D4316F" w14:textId="341392A2" w:rsidR="00207197" w:rsidRPr="00D5464D" w:rsidRDefault="00191393" w:rsidP="00F37DC4">
      <w:pPr>
        <w:pStyle w:val="Prrafodelista"/>
        <w:numPr>
          <w:ilvl w:val="0"/>
          <w:numId w:val="1"/>
        </w:numPr>
        <w:contextualSpacing w:val="0"/>
        <w:rPr>
          <w:lang w:val="pt-BR"/>
        </w:rPr>
      </w:pPr>
      <w:r w:rsidRPr="00D5464D">
        <w:rPr>
          <w:lang w:val="pt-BR"/>
        </w:rPr>
        <w:t xml:space="preserve">O </w:t>
      </w:r>
      <w:r w:rsidR="00207197" w:rsidRPr="00D5464D">
        <w:rPr>
          <w:lang w:val="pt-BR"/>
        </w:rPr>
        <w:t xml:space="preserve">Brasil </w:t>
      </w:r>
      <w:r w:rsidR="00470ADC" w:rsidRPr="00D5464D">
        <w:rPr>
          <w:lang w:val="pt-BR"/>
        </w:rPr>
        <w:t>argumentou</w:t>
      </w:r>
      <w:r w:rsidR="00207197" w:rsidRPr="00D5464D">
        <w:rPr>
          <w:lang w:val="pt-BR"/>
        </w:rPr>
        <w:t xml:space="preserve"> que</w:t>
      </w:r>
      <w:r w:rsidR="002C330E" w:rsidRPr="00D5464D">
        <w:rPr>
          <w:lang w:val="pt-BR"/>
        </w:rPr>
        <w:t xml:space="preserve"> os </w:t>
      </w:r>
      <w:r w:rsidR="00EB1CE9" w:rsidRPr="00D5464D">
        <w:rPr>
          <w:lang w:val="pt-BR"/>
        </w:rPr>
        <w:t>representante</w:t>
      </w:r>
      <w:r w:rsidR="00207197" w:rsidRPr="00D5464D">
        <w:rPr>
          <w:lang w:val="pt-BR"/>
        </w:rPr>
        <w:t>s</w:t>
      </w:r>
      <w:r w:rsidR="00E045D9" w:rsidRPr="00D5464D">
        <w:rPr>
          <w:lang w:val="pt-BR"/>
        </w:rPr>
        <w:t xml:space="preserve"> e </w:t>
      </w:r>
      <w:r w:rsidR="002C330E" w:rsidRPr="00D5464D">
        <w:rPr>
          <w:lang w:val="pt-BR"/>
        </w:rPr>
        <w:t xml:space="preserve">a </w:t>
      </w:r>
      <w:r w:rsidR="00470ADC" w:rsidRPr="00D5464D">
        <w:rPr>
          <w:lang w:val="pt-BR"/>
        </w:rPr>
        <w:t>Comissão</w:t>
      </w:r>
      <w:r w:rsidR="00207197" w:rsidRPr="00D5464D">
        <w:rPr>
          <w:lang w:val="pt-BR"/>
        </w:rPr>
        <w:t xml:space="preserve"> </w:t>
      </w:r>
      <w:r w:rsidR="00E045D9" w:rsidRPr="00D5464D">
        <w:rPr>
          <w:lang w:val="pt-BR"/>
        </w:rPr>
        <w:t>tinham</w:t>
      </w:r>
      <w:r w:rsidR="002C330E" w:rsidRPr="00D5464D">
        <w:rPr>
          <w:lang w:val="pt-BR"/>
        </w:rPr>
        <w:t xml:space="preserve"> </w:t>
      </w:r>
      <w:r w:rsidRPr="00D5464D">
        <w:rPr>
          <w:lang w:val="pt-BR"/>
        </w:rPr>
        <w:t xml:space="preserve">o ônus </w:t>
      </w:r>
      <w:r w:rsidR="00207197" w:rsidRPr="00D5464D">
        <w:rPr>
          <w:lang w:val="pt-BR"/>
        </w:rPr>
        <w:t xml:space="preserve">de </w:t>
      </w:r>
      <w:r w:rsidR="002C330E" w:rsidRPr="00D5464D">
        <w:rPr>
          <w:lang w:val="pt-BR"/>
        </w:rPr>
        <w:t>provar</w:t>
      </w:r>
      <w:r w:rsidR="00207197" w:rsidRPr="00D5464D">
        <w:rPr>
          <w:lang w:val="pt-BR"/>
        </w:rPr>
        <w:t xml:space="preserve"> que</w:t>
      </w:r>
      <w:r w:rsidR="002C330E" w:rsidRPr="00D5464D">
        <w:rPr>
          <w:lang w:val="pt-BR"/>
        </w:rPr>
        <w:t xml:space="preserve"> os </w:t>
      </w:r>
      <w:r w:rsidR="00E045D9" w:rsidRPr="00D5464D">
        <w:rPr>
          <w:lang w:val="pt-BR"/>
        </w:rPr>
        <w:t>trabalhadores</w:t>
      </w:r>
      <w:r w:rsidR="00470ADC" w:rsidRPr="00D5464D">
        <w:rPr>
          <w:lang w:val="pt-BR"/>
        </w:rPr>
        <w:t xml:space="preserve"> da </w:t>
      </w:r>
      <w:r w:rsidR="00D809F0" w:rsidRPr="00D5464D">
        <w:rPr>
          <w:lang w:val="pt-BR"/>
        </w:rPr>
        <w:t>Fazenda</w:t>
      </w:r>
      <w:r w:rsidR="00207197" w:rsidRPr="00D5464D">
        <w:rPr>
          <w:lang w:val="pt-BR"/>
        </w:rPr>
        <w:t xml:space="preserve"> Brasil Ver</w:t>
      </w:r>
      <w:r w:rsidR="00E045D9" w:rsidRPr="00D5464D">
        <w:rPr>
          <w:lang w:val="pt-BR"/>
        </w:rPr>
        <w:t>de</w:t>
      </w:r>
      <w:r w:rsidRPr="00D5464D">
        <w:rPr>
          <w:lang w:val="pt-BR"/>
        </w:rPr>
        <w:t xml:space="preserve"> e</w:t>
      </w:r>
      <w:r w:rsidR="00E045D9" w:rsidRPr="00D5464D">
        <w:rPr>
          <w:lang w:val="pt-BR"/>
        </w:rPr>
        <w:t>sta</w:t>
      </w:r>
      <w:r w:rsidR="00470ADC" w:rsidRPr="00D5464D">
        <w:rPr>
          <w:lang w:val="pt-BR"/>
        </w:rPr>
        <w:t>vam</w:t>
      </w:r>
      <w:r w:rsidR="00207197" w:rsidRPr="00D5464D">
        <w:rPr>
          <w:lang w:val="pt-BR"/>
        </w:rPr>
        <w:t xml:space="preserve"> </w:t>
      </w:r>
      <w:r w:rsidR="00E045D9" w:rsidRPr="00D5464D">
        <w:rPr>
          <w:lang w:val="pt-BR"/>
        </w:rPr>
        <w:t>sujeito</w:t>
      </w:r>
      <w:r w:rsidR="00207197" w:rsidRPr="00D5464D">
        <w:rPr>
          <w:lang w:val="pt-BR"/>
        </w:rPr>
        <w:t xml:space="preserve">s a </w:t>
      </w:r>
      <w:r w:rsidR="00470ADC" w:rsidRPr="00D5464D">
        <w:rPr>
          <w:lang w:val="pt-BR"/>
        </w:rPr>
        <w:t xml:space="preserve">algum dos </w:t>
      </w:r>
      <w:r w:rsidR="00207197" w:rsidRPr="00D5464D">
        <w:rPr>
          <w:lang w:val="pt-BR"/>
        </w:rPr>
        <w:t xml:space="preserve">atributos </w:t>
      </w:r>
      <w:r w:rsidR="00470ADC" w:rsidRPr="00D5464D">
        <w:rPr>
          <w:lang w:val="pt-BR"/>
        </w:rPr>
        <w:t>do direito</w:t>
      </w:r>
      <w:r w:rsidR="00207197" w:rsidRPr="00D5464D">
        <w:rPr>
          <w:lang w:val="pt-BR"/>
        </w:rPr>
        <w:t xml:space="preserve"> de </w:t>
      </w:r>
      <w:r w:rsidR="002C330E" w:rsidRPr="00D5464D">
        <w:rPr>
          <w:lang w:val="pt-BR"/>
        </w:rPr>
        <w:t>propriedade</w:t>
      </w:r>
      <w:r w:rsidR="00207197" w:rsidRPr="00D5464D">
        <w:rPr>
          <w:lang w:val="pt-BR"/>
        </w:rPr>
        <w:t xml:space="preserve">, que se </w:t>
      </w:r>
      <w:r w:rsidR="00470ADC" w:rsidRPr="00D5464D">
        <w:rPr>
          <w:lang w:val="pt-BR"/>
        </w:rPr>
        <w:t>encontravam</w:t>
      </w:r>
      <w:r w:rsidR="00207197" w:rsidRPr="00D5464D">
        <w:rPr>
          <w:lang w:val="pt-BR"/>
        </w:rPr>
        <w:t xml:space="preserve"> privados de </w:t>
      </w:r>
      <w:r w:rsidR="00E045D9" w:rsidRPr="00D5464D">
        <w:rPr>
          <w:lang w:val="pt-BR"/>
        </w:rPr>
        <w:t>sua liberdad</w:t>
      </w:r>
      <w:r w:rsidRPr="00D5464D">
        <w:rPr>
          <w:lang w:val="pt-BR"/>
        </w:rPr>
        <w:t xml:space="preserve">e </w:t>
      </w:r>
      <w:r w:rsidR="00E045D9" w:rsidRPr="00D5464D">
        <w:rPr>
          <w:lang w:val="pt-BR"/>
        </w:rPr>
        <w:t>o</w:t>
      </w:r>
      <w:r w:rsidRPr="00D5464D">
        <w:rPr>
          <w:lang w:val="pt-BR"/>
        </w:rPr>
        <w:t>u</w:t>
      </w:r>
      <w:r w:rsidR="00E045D9" w:rsidRPr="00D5464D">
        <w:rPr>
          <w:lang w:val="pt-BR"/>
        </w:rPr>
        <w:t xml:space="preserve"> </w:t>
      </w:r>
      <w:r w:rsidR="002C330E" w:rsidRPr="00D5464D">
        <w:rPr>
          <w:lang w:val="pt-BR"/>
        </w:rPr>
        <w:t>submetido</w:t>
      </w:r>
      <w:r w:rsidR="00F03F93" w:rsidRPr="00D5464D">
        <w:rPr>
          <w:lang w:val="pt-BR"/>
        </w:rPr>
        <w:t>s</w:t>
      </w:r>
      <w:r w:rsidR="00207197" w:rsidRPr="00D5464D">
        <w:rPr>
          <w:lang w:val="pt-BR"/>
        </w:rPr>
        <w:t xml:space="preserve"> a </w:t>
      </w:r>
      <w:r w:rsidR="00470ADC" w:rsidRPr="00D5464D">
        <w:rPr>
          <w:lang w:val="pt-BR"/>
        </w:rPr>
        <w:t>dívida</w:t>
      </w:r>
      <w:r w:rsidR="00207197" w:rsidRPr="00D5464D">
        <w:rPr>
          <w:lang w:val="pt-BR"/>
        </w:rPr>
        <w:t>s impag</w:t>
      </w:r>
      <w:r w:rsidRPr="00D5464D">
        <w:rPr>
          <w:lang w:val="pt-BR"/>
        </w:rPr>
        <w:t>áveis</w:t>
      </w:r>
      <w:r w:rsidR="00C91CB1" w:rsidRPr="00D5464D">
        <w:rPr>
          <w:lang w:val="pt-BR"/>
        </w:rPr>
        <w:t xml:space="preserve">. </w:t>
      </w:r>
      <w:r w:rsidRPr="00D5464D">
        <w:rPr>
          <w:lang w:val="pt-BR"/>
        </w:rPr>
        <w:t>Na</w:t>
      </w:r>
      <w:r w:rsidR="00C91CB1" w:rsidRPr="00D5464D">
        <w:rPr>
          <w:lang w:val="pt-BR"/>
        </w:rPr>
        <w:t xml:space="preserve"> </w:t>
      </w:r>
      <w:r w:rsidR="002C330E" w:rsidRPr="00D5464D">
        <w:rPr>
          <w:lang w:val="pt-BR"/>
        </w:rPr>
        <w:t>opinião</w:t>
      </w:r>
      <w:r w:rsidR="00207197" w:rsidRPr="00D5464D">
        <w:rPr>
          <w:lang w:val="pt-BR"/>
        </w:rPr>
        <w:t xml:space="preserve"> </w:t>
      </w:r>
      <w:r w:rsidR="00470ADC" w:rsidRPr="00D5464D">
        <w:rPr>
          <w:lang w:val="pt-BR"/>
        </w:rPr>
        <w:t xml:space="preserve">do </w:t>
      </w:r>
      <w:r w:rsidR="00207197" w:rsidRPr="00D5464D">
        <w:rPr>
          <w:lang w:val="pt-BR"/>
        </w:rPr>
        <w:t>Estado,</w:t>
      </w:r>
      <w:r w:rsidR="002C330E" w:rsidRPr="00D5464D">
        <w:rPr>
          <w:lang w:val="pt-BR"/>
        </w:rPr>
        <w:t xml:space="preserve"> os </w:t>
      </w:r>
      <w:r w:rsidR="00EB1CE9" w:rsidRPr="00D5464D">
        <w:rPr>
          <w:lang w:val="pt-BR"/>
        </w:rPr>
        <w:t>representante</w:t>
      </w:r>
      <w:r w:rsidR="00207197" w:rsidRPr="00D5464D">
        <w:rPr>
          <w:lang w:val="pt-BR"/>
        </w:rPr>
        <w:t>s</w:t>
      </w:r>
      <w:r w:rsidR="00E045D9" w:rsidRPr="00D5464D">
        <w:rPr>
          <w:lang w:val="pt-BR"/>
        </w:rPr>
        <w:t xml:space="preserve"> e </w:t>
      </w:r>
      <w:r w:rsidR="002C330E" w:rsidRPr="00D5464D">
        <w:rPr>
          <w:lang w:val="pt-BR"/>
        </w:rPr>
        <w:t xml:space="preserve">a </w:t>
      </w:r>
      <w:r w:rsidR="00470ADC" w:rsidRPr="00D5464D">
        <w:rPr>
          <w:lang w:val="pt-BR"/>
        </w:rPr>
        <w:t>Comissão</w:t>
      </w:r>
      <w:r w:rsidR="00207197" w:rsidRPr="00D5464D">
        <w:rPr>
          <w:lang w:val="pt-BR"/>
        </w:rPr>
        <w:t xml:space="preserve"> n</w:t>
      </w:r>
      <w:r w:rsidRPr="00D5464D">
        <w:rPr>
          <w:lang w:val="pt-BR"/>
        </w:rPr>
        <w:t>ã</w:t>
      </w:r>
      <w:r w:rsidR="00207197" w:rsidRPr="00D5464D">
        <w:rPr>
          <w:lang w:val="pt-BR"/>
        </w:rPr>
        <w:t xml:space="preserve">o </w:t>
      </w:r>
      <w:r w:rsidR="00E045D9" w:rsidRPr="00D5464D">
        <w:rPr>
          <w:lang w:val="pt-BR"/>
        </w:rPr>
        <w:t>conseguiram</w:t>
      </w:r>
      <w:r w:rsidR="00207197" w:rsidRPr="00D5464D">
        <w:rPr>
          <w:lang w:val="pt-BR"/>
        </w:rPr>
        <w:t xml:space="preserve"> </w:t>
      </w:r>
      <w:r w:rsidR="002C330E" w:rsidRPr="00D5464D">
        <w:rPr>
          <w:lang w:val="pt-BR"/>
        </w:rPr>
        <w:t>provar</w:t>
      </w:r>
      <w:r w:rsidR="00C91CB1" w:rsidRPr="00D5464D">
        <w:rPr>
          <w:lang w:val="pt-BR"/>
        </w:rPr>
        <w:t xml:space="preserve"> o </w:t>
      </w:r>
      <w:r w:rsidR="00207197" w:rsidRPr="00D5464D">
        <w:rPr>
          <w:lang w:val="pt-BR"/>
        </w:rPr>
        <w:t>anterior</w:t>
      </w:r>
      <w:r w:rsidR="00A1358C" w:rsidRPr="00D5464D">
        <w:rPr>
          <w:lang w:val="pt-BR"/>
        </w:rPr>
        <w:t>. Em particular</w:t>
      </w:r>
      <w:r w:rsidR="00F03F93" w:rsidRPr="00D5464D">
        <w:rPr>
          <w:lang w:val="pt-BR"/>
        </w:rPr>
        <w:t>,</w:t>
      </w:r>
      <w:r w:rsidR="00470ADC" w:rsidRPr="00D5464D">
        <w:rPr>
          <w:lang w:val="pt-BR"/>
        </w:rPr>
        <w:t xml:space="preserve"> o </w:t>
      </w:r>
      <w:r w:rsidR="00207197" w:rsidRPr="00D5464D">
        <w:rPr>
          <w:lang w:val="pt-BR"/>
        </w:rPr>
        <w:t xml:space="preserve">Estado </w:t>
      </w:r>
      <w:r w:rsidR="00470ADC" w:rsidRPr="00D5464D">
        <w:rPr>
          <w:lang w:val="pt-BR"/>
        </w:rPr>
        <w:t>argumentou</w:t>
      </w:r>
      <w:r w:rsidR="00207197" w:rsidRPr="00D5464D">
        <w:rPr>
          <w:lang w:val="pt-BR"/>
        </w:rPr>
        <w:t xml:space="preserve"> que </w:t>
      </w:r>
      <w:r w:rsidR="00F646B8" w:rsidRPr="00D5464D">
        <w:rPr>
          <w:lang w:val="pt-BR"/>
        </w:rPr>
        <w:t xml:space="preserve">se </w:t>
      </w:r>
      <w:r w:rsidR="00470ADC" w:rsidRPr="00D5464D">
        <w:rPr>
          <w:lang w:val="pt-BR"/>
        </w:rPr>
        <w:t>deve</w:t>
      </w:r>
      <w:r w:rsidRPr="00D5464D">
        <w:rPr>
          <w:lang w:val="pt-BR"/>
        </w:rPr>
        <w:t xml:space="preserve"> </w:t>
      </w:r>
      <w:r w:rsidR="00207197" w:rsidRPr="00D5464D">
        <w:rPr>
          <w:lang w:val="pt-BR"/>
        </w:rPr>
        <w:t>p</w:t>
      </w:r>
      <w:r w:rsidR="002C330E" w:rsidRPr="00D5464D">
        <w:rPr>
          <w:lang w:val="pt-BR"/>
        </w:rPr>
        <w:t>referir as prova</w:t>
      </w:r>
      <w:r w:rsidR="00207197" w:rsidRPr="00D5464D">
        <w:rPr>
          <w:lang w:val="pt-BR"/>
        </w:rPr>
        <w:t xml:space="preserve">s </w:t>
      </w:r>
      <w:r w:rsidR="00470ADC" w:rsidRPr="00D5464D">
        <w:rPr>
          <w:lang w:val="pt-BR"/>
        </w:rPr>
        <w:t>contemporânea</w:t>
      </w:r>
      <w:r w:rsidR="00207197" w:rsidRPr="00D5464D">
        <w:rPr>
          <w:lang w:val="pt-BR"/>
        </w:rPr>
        <w:t>s</w:t>
      </w:r>
      <w:r w:rsidR="00E045D9" w:rsidRPr="00D5464D">
        <w:rPr>
          <w:lang w:val="pt-BR"/>
        </w:rPr>
        <w:t xml:space="preserve"> aos </w:t>
      </w:r>
      <w:r w:rsidR="002C330E" w:rsidRPr="00D5464D">
        <w:rPr>
          <w:lang w:val="pt-BR"/>
        </w:rPr>
        <w:t>fatos</w:t>
      </w:r>
      <w:r w:rsidR="00F03F93" w:rsidRPr="00D5464D">
        <w:rPr>
          <w:lang w:val="pt-BR"/>
        </w:rPr>
        <w:t>,</w:t>
      </w:r>
      <w:r w:rsidR="00207197" w:rsidRPr="00D5464D">
        <w:rPr>
          <w:lang w:val="pt-BR"/>
        </w:rPr>
        <w:t xml:space="preserve"> como</w:t>
      </w:r>
      <w:r w:rsidR="002C330E" w:rsidRPr="00D5464D">
        <w:rPr>
          <w:lang w:val="pt-BR"/>
        </w:rPr>
        <w:t xml:space="preserve"> as </w:t>
      </w:r>
      <w:r w:rsidRPr="00D5464D">
        <w:rPr>
          <w:lang w:val="pt-BR"/>
        </w:rPr>
        <w:t>a</w:t>
      </w:r>
      <w:r w:rsidR="00207197" w:rsidRPr="00D5464D">
        <w:rPr>
          <w:lang w:val="pt-BR"/>
        </w:rPr>
        <w:t>tas de fiscaliza</w:t>
      </w:r>
      <w:r w:rsidR="00470ADC" w:rsidRPr="00D5464D">
        <w:rPr>
          <w:lang w:val="pt-BR"/>
        </w:rPr>
        <w:t>ção</w:t>
      </w:r>
      <w:r w:rsidR="00EB1CE9" w:rsidRPr="00D5464D">
        <w:rPr>
          <w:lang w:val="pt-BR"/>
        </w:rPr>
        <w:t xml:space="preserve">, </w:t>
      </w:r>
      <w:r w:rsidR="00F646B8" w:rsidRPr="00D5464D">
        <w:rPr>
          <w:lang w:val="pt-BR"/>
        </w:rPr>
        <w:t xml:space="preserve">em detrimento da </w:t>
      </w:r>
      <w:r w:rsidR="002C330E" w:rsidRPr="00D5464D">
        <w:rPr>
          <w:lang w:val="pt-BR"/>
        </w:rPr>
        <w:t>prova</w:t>
      </w:r>
      <w:r w:rsidR="00207197" w:rsidRPr="00D5464D">
        <w:rPr>
          <w:lang w:val="pt-BR"/>
        </w:rPr>
        <w:t xml:space="preserve"> </w:t>
      </w:r>
      <w:r w:rsidR="00E045D9" w:rsidRPr="00D5464D">
        <w:rPr>
          <w:lang w:val="pt-BR"/>
        </w:rPr>
        <w:t>testemunhal</w:t>
      </w:r>
      <w:r w:rsidR="002C330E" w:rsidRPr="00D5464D">
        <w:rPr>
          <w:lang w:val="pt-BR"/>
        </w:rPr>
        <w:t xml:space="preserve"> oferecida</w:t>
      </w:r>
      <w:r w:rsidR="00E045D9" w:rsidRPr="00D5464D">
        <w:rPr>
          <w:lang w:val="pt-BR"/>
        </w:rPr>
        <w:t xml:space="preserve"> neste </w:t>
      </w:r>
      <w:r w:rsidR="002C330E" w:rsidRPr="00D5464D">
        <w:rPr>
          <w:lang w:val="pt-BR"/>
        </w:rPr>
        <w:t>procedimento</w:t>
      </w:r>
      <w:r w:rsidR="00350187" w:rsidRPr="00D5464D">
        <w:rPr>
          <w:lang w:val="pt-BR"/>
        </w:rPr>
        <w:t xml:space="preserve"> pois</w:t>
      </w:r>
      <w:r w:rsidR="00207197" w:rsidRPr="00D5464D">
        <w:rPr>
          <w:lang w:val="pt-BR"/>
        </w:rPr>
        <w:t xml:space="preserve">, </w:t>
      </w:r>
      <w:r w:rsidRPr="00D5464D">
        <w:rPr>
          <w:lang w:val="pt-BR"/>
        </w:rPr>
        <w:t>em atenção a</w:t>
      </w:r>
      <w:r w:rsidR="00470ADC" w:rsidRPr="00D5464D">
        <w:rPr>
          <w:lang w:val="pt-BR"/>
        </w:rPr>
        <w:t xml:space="preserve">o </w:t>
      </w:r>
      <w:r w:rsidR="00E045D9" w:rsidRPr="00D5464D">
        <w:rPr>
          <w:lang w:val="pt-BR"/>
        </w:rPr>
        <w:t>tempo</w:t>
      </w:r>
      <w:r w:rsidR="00207197" w:rsidRPr="00D5464D">
        <w:rPr>
          <w:lang w:val="pt-BR"/>
        </w:rPr>
        <w:t xml:space="preserve"> </w:t>
      </w:r>
      <w:r w:rsidR="00A1358C" w:rsidRPr="00D5464D">
        <w:rPr>
          <w:lang w:val="pt-BR"/>
        </w:rPr>
        <w:t>transcorrido</w:t>
      </w:r>
      <w:r w:rsidR="00207197" w:rsidRPr="00D5464D">
        <w:rPr>
          <w:lang w:val="pt-BR"/>
        </w:rPr>
        <w:t xml:space="preserve">, </w:t>
      </w:r>
      <w:r w:rsidRPr="00D5464D">
        <w:rPr>
          <w:lang w:val="pt-BR"/>
        </w:rPr>
        <w:t xml:space="preserve">são </w:t>
      </w:r>
      <w:r w:rsidR="00E045D9" w:rsidRPr="00D5464D">
        <w:rPr>
          <w:lang w:val="pt-BR"/>
        </w:rPr>
        <w:t>testemunho</w:t>
      </w:r>
      <w:r w:rsidR="00207197" w:rsidRPr="00D5464D">
        <w:rPr>
          <w:lang w:val="pt-BR"/>
        </w:rPr>
        <w:t>s vagos</w:t>
      </w:r>
      <w:r w:rsidR="00E045D9" w:rsidRPr="00D5464D">
        <w:rPr>
          <w:lang w:val="pt-BR"/>
        </w:rPr>
        <w:t xml:space="preserve"> e </w:t>
      </w:r>
      <w:r w:rsidR="00470ADC" w:rsidRPr="00D5464D">
        <w:rPr>
          <w:lang w:val="pt-BR"/>
        </w:rPr>
        <w:t>contraditório</w:t>
      </w:r>
      <w:r w:rsidR="00207197" w:rsidRPr="00D5464D">
        <w:rPr>
          <w:lang w:val="pt-BR"/>
        </w:rPr>
        <w:t>s</w:t>
      </w:r>
      <w:r w:rsidR="00F03F93" w:rsidRPr="00D5464D">
        <w:rPr>
          <w:lang w:val="pt-BR"/>
        </w:rPr>
        <w:t>.</w:t>
      </w:r>
      <w:r w:rsidR="00207197" w:rsidRPr="00D5464D">
        <w:rPr>
          <w:lang w:val="pt-BR"/>
        </w:rPr>
        <w:t xml:space="preserve"> </w:t>
      </w:r>
    </w:p>
    <w:p w14:paraId="13BD20D5" w14:textId="77777777" w:rsidR="00DE3E58" w:rsidRPr="00D5464D" w:rsidRDefault="00DE3E58" w:rsidP="00DE3E58">
      <w:pPr>
        <w:pStyle w:val="Prrafodelista"/>
        <w:ind w:left="0"/>
        <w:contextualSpacing w:val="0"/>
        <w:rPr>
          <w:lang w:val="pt-BR"/>
        </w:rPr>
      </w:pPr>
    </w:p>
    <w:p w14:paraId="2A2B860E" w14:textId="1064FFAD" w:rsidR="00207197" w:rsidRPr="00D5464D" w:rsidRDefault="00470ADC" w:rsidP="00F37DC4">
      <w:pPr>
        <w:pStyle w:val="Prrafodelista"/>
        <w:numPr>
          <w:ilvl w:val="0"/>
          <w:numId w:val="1"/>
        </w:numPr>
        <w:contextualSpacing w:val="0"/>
        <w:rPr>
          <w:lang w:val="pt-BR"/>
        </w:rPr>
      </w:pPr>
      <w:r w:rsidRPr="00D5464D">
        <w:rPr>
          <w:lang w:val="pt-BR"/>
        </w:rPr>
        <w:t xml:space="preserve">O </w:t>
      </w:r>
      <w:r w:rsidR="00207197" w:rsidRPr="00D5464D">
        <w:rPr>
          <w:lang w:val="pt-BR"/>
        </w:rPr>
        <w:t xml:space="preserve">Estado </w:t>
      </w:r>
      <w:r w:rsidR="00C91CB1" w:rsidRPr="00D5464D">
        <w:rPr>
          <w:lang w:val="pt-BR"/>
        </w:rPr>
        <w:t>negou</w:t>
      </w:r>
      <w:r w:rsidR="00207197" w:rsidRPr="00D5464D">
        <w:rPr>
          <w:lang w:val="pt-BR"/>
        </w:rPr>
        <w:t xml:space="preserve"> que</w:t>
      </w:r>
      <w:r w:rsidR="002C330E" w:rsidRPr="00D5464D">
        <w:rPr>
          <w:lang w:val="pt-BR"/>
        </w:rPr>
        <w:t xml:space="preserve"> os </w:t>
      </w:r>
      <w:r w:rsidR="00737270" w:rsidRPr="00D5464D">
        <w:rPr>
          <w:lang w:val="pt-BR"/>
        </w:rPr>
        <w:t>indícios</w:t>
      </w:r>
      <w:r w:rsidRPr="00D5464D">
        <w:rPr>
          <w:lang w:val="pt-BR"/>
        </w:rPr>
        <w:t xml:space="preserve"> em </w:t>
      </w:r>
      <w:r w:rsidR="00207197" w:rsidRPr="00D5464D">
        <w:rPr>
          <w:lang w:val="pt-BR"/>
        </w:rPr>
        <w:t xml:space="preserve">que se </w:t>
      </w:r>
      <w:r w:rsidR="00191393" w:rsidRPr="00D5464D">
        <w:rPr>
          <w:lang w:val="pt-BR"/>
        </w:rPr>
        <w:t>apo</w:t>
      </w:r>
      <w:r w:rsidR="00C91CB1" w:rsidRPr="00D5464D">
        <w:rPr>
          <w:lang w:val="pt-BR"/>
        </w:rPr>
        <w:t>iam</w:t>
      </w:r>
      <w:r w:rsidR="002C330E" w:rsidRPr="00D5464D">
        <w:rPr>
          <w:lang w:val="pt-BR"/>
        </w:rPr>
        <w:t xml:space="preserve"> os </w:t>
      </w:r>
      <w:r w:rsidR="00EB1CE9" w:rsidRPr="00D5464D">
        <w:rPr>
          <w:lang w:val="pt-BR"/>
        </w:rPr>
        <w:t>representante</w:t>
      </w:r>
      <w:r w:rsidR="00207197" w:rsidRPr="00D5464D">
        <w:rPr>
          <w:lang w:val="pt-BR"/>
        </w:rPr>
        <w:t>s</w:t>
      </w:r>
      <w:r w:rsidR="002C330E" w:rsidRPr="00D5464D">
        <w:rPr>
          <w:lang w:val="pt-BR"/>
        </w:rPr>
        <w:t xml:space="preserve"> sejam </w:t>
      </w:r>
      <w:r w:rsidR="00207197" w:rsidRPr="00D5464D">
        <w:rPr>
          <w:lang w:val="pt-BR"/>
        </w:rPr>
        <w:t xml:space="preserve">suficientes para </w:t>
      </w:r>
      <w:r w:rsidR="002C330E" w:rsidRPr="00D5464D">
        <w:rPr>
          <w:lang w:val="pt-BR"/>
        </w:rPr>
        <w:t xml:space="preserve">provar a presença </w:t>
      </w:r>
      <w:r w:rsidR="00207197" w:rsidRPr="00D5464D">
        <w:rPr>
          <w:lang w:val="pt-BR"/>
        </w:rPr>
        <w:t xml:space="preserve">de </w:t>
      </w:r>
      <w:r w:rsidR="00E045D9" w:rsidRPr="00D5464D">
        <w:rPr>
          <w:lang w:val="pt-BR"/>
        </w:rPr>
        <w:t>trabalho</w:t>
      </w:r>
      <w:r w:rsidR="00207197" w:rsidRPr="00D5464D">
        <w:rPr>
          <w:lang w:val="pt-BR"/>
        </w:rPr>
        <w:t xml:space="preserve"> </w:t>
      </w:r>
      <w:r w:rsidR="004F1CC2" w:rsidRPr="00D5464D">
        <w:rPr>
          <w:lang w:val="pt-BR"/>
        </w:rPr>
        <w:t>escravo</w:t>
      </w:r>
      <w:r w:rsidR="00A1358C" w:rsidRPr="00D5464D">
        <w:rPr>
          <w:lang w:val="pt-BR"/>
        </w:rPr>
        <w:t>. Em particular</w:t>
      </w:r>
      <w:r w:rsidR="00207197" w:rsidRPr="00D5464D">
        <w:rPr>
          <w:lang w:val="pt-BR"/>
        </w:rPr>
        <w:t xml:space="preserve">, </w:t>
      </w:r>
      <w:r w:rsidR="00191393" w:rsidRPr="00D5464D">
        <w:rPr>
          <w:lang w:val="pt-BR"/>
        </w:rPr>
        <w:t xml:space="preserve">o </w:t>
      </w:r>
      <w:r w:rsidR="00207197" w:rsidRPr="00D5464D">
        <w:rPr>
          <w:lang w:val="pt-BR"/>
        </w:rPr>
        <w:t xml:space="preserve">Brasil </w:t>
      </w:r>
      <w:r w:rsidR="00C91CB1" w:rsidRPr="00D5464D">
        <w:rPr>
          <w:lang w:val="pt-BR"/>
        </w:rPr>
        <w:t>afirmou</w:t>
      </w:r>
      <w:r w:rsidR="00207197" w:rsidRPr="00D5464D">
        <w:rPr>
          <w:lang w:val="pt-BR"/>
        </w:rPr>
        <w:t xml:space="preserve"> que: i)</w:t>
      </w:r>
      <w:r w:rsidR="002C330E" w:rsidRPr="00D5464D">
        <w:rPr>
          <w:lang w:val="pt-BR"/>
        </w:rPr>
        <w:t xml:space="preserve"> os </w:t>
      </w:r>
      <w:r w:rsidR="00207197" w:rsidRPr="00D5464D">
        <w:rPr>
          <w:lang w:val="pt-BR"/>
        </w:rPr>
        <w:t>contratos indefinidos</w:t>
      </w:r>
      <w:r w:rsidR="002C330E" w:rsidRPr="00D5464D">
        <w:rPr>
          <w:lang w:val="pt-BR"/>
        </w:rPr>
        <w:t xml:space="preserve"> são</w:t>
      </w:r>
      <w:r w:rsidR="00E045D9" w:rsidRPr="00D5464D">
        <w:rPr>
          <w:lang w:val="pt-BR"/>
        </w:rPr>
        <w:t xml:space="preserve"> uma </w:t>
      </w:r>
      <w:r w:rsidR="002C330E" w:rsidRPr="00D5464D">
        <w:rPr>
          <w:lang w:val="pt-BR"/>
        </w:rPr>
        <w:t>prática</w:t>
      </w:r>
      <w:r w:rsidR="00207197" w:rsidRPr="00D5464D">
        <w:rPr>
          <w:lang w:val="pt-BR"/>
        </w:rPr>
        <w:t xml:space="preserve"> usual</w:t>
      </w:r>
      <w:r w:rsidR="00E045D9" w:rsidRPr="00D5464D">
        <w:rPr>
          <w:lang w:val="pt-BR"/>
        </w:rPr>
        <w:t xml:space="preserve"> e </w:t>
      </w:r>
      <w:r w:rsidR="002C330E" w:rsidRPr="00D5464D">
        <w:rPr>
          <w:lang w:val="pt-BR"/>
        </w:rPr>
        <w:t xml:space="preserve">mais </w:t>
      </w:r>
      <w:r w:rsidR="00191393" w:rsidRPr="00D5464D">
        <w:rPr>
          <w:lang w:val="pt-BR"/>
        </w:rPr>
        <w:t>va</w:t>
      </w:r>
      <w:r w:rsidR="00207197" w:rsidRPr="00D5464D">
        <w:rPr>
          <w:lang w:val="pt-BR"/>
        </w:rPr>
        <w:t>ntajos</w:t>
      </w:r>
      <w:r w:rsidR="00F03F93" w:rsidRPr="00D5464D">
        <w:rPr>
          <w:lang w:val="pt-BR"/>
        </w:rPr>
        <w:t>a</w:t>
      </w:r>
      <w:r w:rsidR="00207197" w:rsidRPr="00D5464D">
        <w:rPr>
          <w:lang w:val="pt-BR"/>
        </w:rPr>
        <w:t xml:space="preserve"> para</w:t>
      </w:r>
      <w:r w:rsidR="002C330E" w:rsidRPr="00D5464D">
        <w:rPr>
          <w:lang w:val="pt-BR"/>
        </w:rPr>
        <w:t xml:space="preserve"> os </w:t>
      </w:r>
      <w:r w:rsidR="00E045D9" w:rsidRPr="00D5464D">
        <w:rPr>
          <w:lang w:val="pt-BR"/>
        </w:rPr>
        <w:t>trabalhadores</w:t>
      </w:r>
      <w:r w:rsidR="00207197" w:rsidRPr="00D5464D">
        <w:rPr>
          <w:lang w:val="pt-BR"/>
        </w:rPr>
        <w:t xml:space="preserve"> </w:t>
      </w:r>
      <w:r w:rsidR="00191393" w:rsidRPr="00D5464D">
        <w:rPr>
          <w:lang w:val="pt-BR"/>
        </w:rPr>
        <w:t xml:space="preserve">de acordo com </w:t>
      </w:r>
      <w:r w:rsidR="002C330E" w:rsidRPr="00D5464D">
        <w:rPr>
          <w:lang w:val="pt-BR"/>
        </w:rPr>
        <w:t xml:space="preserve">a </w:t>
      </w:r>
      <w:r w:rsidR="00207197" w:rsidRPr="00D5464D">
        <w:rPr>
          <w:lang w:val="pt-BR"/>
        </w:rPr>
        <w:t>legisla</w:t>
      </w:r>
      <w:r w:rsidRPr="00D5464D">
        <w:rPr>
          <w:lang w:val="pt-BR"/>
        </w:rPr>
        <w:t>ção</w:t>
      </w:r>
      <w:r w:rsidR="00207197" w:rsidRPr="00D5464D">
        <w:rPr>
          <w:lang w:val="pt-BR"/>
        </w:rPr>
        <w:t xml:space="preserve"> </w:t>
      </w:r>
      <w:r w:rsidRPr="00D5464D">
        <w:rPr>
          <w:lang w:val="pt-BR"/>
        </w:rPr>
        <w:t>brasileir</w:t>
      </w:r>
      <w:r w:rsidR="00207197" w:rsidRPr="00D5464D">
        <w:rPr>
          <w:lang w:val="pt-BR"/>
        </w:rPr>
        <w:t>a; ii)</w:t>
      </w:r>
      <w:r w:rsidR="002C330E" w:rsidRPr="00D5464D">
        <w:rPr>
          <w:lang w:val="pt-BR"/>
        </w:rPr>
        <w:t xml:space="preserve"> a </w:t>
      </w:r>
      <w:r w:rsidR="00191393" w:rsidRPr="00D5464D">
        <w:rPr>
          <w:lang w:val="pt-BR"/>
        </w:rPr>
        <w:t xml:space="preserve">assinatura </w:t>
      </w:r>
      <w:r w:rsidR="00207197" w:rsidRPr="00D5464D">
        <w:rPr>
          <w:lang w:val="pt-BR"/>
        </w:rPr>
        <w:t>de contratos</w:t>
      </w:r>
      <w:r w:rsidRPr="00D5464D">
        <w:rPr>
          <w:lang w:val="pt-BR"/>
        </w:rPr>
        <w:t xml:space="preserve"> em </w:t>
      </w:r>
      <w:r w:rsidR="002F578C" w:rsidRPr="00D5464D">
        <w:rPr>
          <w:lang w:val="pt-BR"/>
        </w:rPr>
        <w:t xml:space="preserve">branco </w:t>
      </w:r>
      <w:r w:rsidR="00E045D9" w:rsidRPr="00D5464D">
        <w:rPr>
          <w:lang w:val="pt-BR"/>
        </w:rPr>
        <w:t>tinha</w:t>
      </w:r>
      <w:r w:rsidR="00207197" w:rsidRPr="00D5464D">
        <w:rPr>
          <w:lang w:val="pt-BR"/>
        </w:rPr>
        <w:t xml:space="preserve"> como</w:t>
      </w:r>
      <w:r w:rsidRPr="00D5464D">
        <w:rPr>
          <w:lang w:val="pt-BR"/>
        </w:rPr>
        <w:t xml:space="preserve"> fim </w:t>
      </w:r>
      <w:r w:rsidR="00207197" w:rsidRPr="00D5464D">
        <w:rPr>
          <w:lang w:val="pt-BR"/>
        </w:rPr>
        <w:t>fraudar</w:t>
      </w:r>
      <w:r w:rsidR="00E045D9" w:rsidRPr="00D5464D">
        <w:rPr>
          <w:lang w:val="pt-BR"/>
        </w:rPr>
        <w:t xml:space="preserve"> os trabalhadores</w:t>
      </w:r>
      <w:r w:rsidR="00207197" w:rsidRPr="00D5464D">
        <w:rPr>
          <w:lang w:val="pt-BR"/>
        </w:rPr>
        <w:t>, pag</w:t>
      </w:r>
      <w:r w:rsidR="00191393" w:rsidRPr="00D5464D">
        <w:rPr>
          <w:lang w:val="pt-BR"/>
        </w:rPr>
        <w:t xml:space="preserve">ando-lhes </w:t>
      </w:r>
      <w:r w:rsidR="002C330E" w:rsidRPr="00D5464D">
        <w:rPr>
          <w:lang w:val="pt-BR"/>
        </w:rPr>
        <w:t>indenizações</w:t>
      </w:r>
      <w:r w:rsidR="00207197" w:rsidRPr="00D5464D">
        <w:rPr>
          <w:lang w:val="pt-BR"/>
        </w:rPr>
        <w:t xml:space="preserve"> menores</w:t>
      </w:r>
      <w:r w:rsidR="00E045D9" w:rsidRPr="00D5464D">
        <w:rPr>
          <w:lang w:val="pt-BR"/>
        </w:rPr>
        <w:t xml:space="preserve"> às </w:t>
      </w:r>
      <w:r w:rsidR="00207197" w:rsidRPr="00D5464D">
        <w:rPr>
          <w:lang w:val="pt-BR"/>
        </w:rPr>
        <w:t xml:space="preserve">que </w:t>
      </w:r>
      <w:r w:rsidR="00C91CB1" w:rsidRPr="00D5464D">
        <w:rPr>
          <w:lang w:val="pt-BR"/>
        </w:rPr>
        <w:t>correspondiam</w:t>
      </w:r>
      <w:r w:rsidR="00207197" w:rsidRPr="00D5464D">
        <w:rPr>
          <w:lang w:val="pt-BR"/>
        </w:rPr>
        <w:t xml:space="preserve"> por </w:t>
      </w:r>
      <w:r w:rsidR="00737270" w:rsidRPr="00D5464D">
        <w:rPr>
          <w:lang w:val="pt-BR"/>
        </w:rPr>
        <w:t>lei,</w:t>
      </w:r>
      <w:r w:rsidR="00207197" w:rsidRPr="00D5464D">
        <w:rPr>
          <w:lang w:val="pt-BR"/>
        </w:rPr>
        <w:t xml:space="preserve"> </w:t>
      </w:r>
      <w:r w:rsidR="002C330E" w:rsidRPr="00D5464D">
        <w:rPr>
          <w:lang w:val="pt-BR"/>
        </w:rPr>
        <w:t>mas</w:t>
      </w:r>
      <w:r w:rsidR="00207197" w:rsidRPr="00D5464D">
        <w:rPr>
          <w:lang w:val="pt-BR"/>
        </w:rPr>
        <w:t xml:space="preserve"> n</w:t>
      </w:r>
      <w:r w:rsidR="00191393" w:rsidRPr="00D5464D">
        <w:rPr>
          <w:lang w:val="pt-BR"/>
        </w:rPr>
        <w:t>ã</w:t>
      </w:r>
      <w:r w:rsidR="00207197" w:rsidRPr="00D5464D">
        <w:rPr>
          <w:lang w:val="pt-BR"/>
        </w:rPr>
        <w:t xml:space="preserve">o </w:t>
      </w:r>
      <w:r w:rsidR="00A1358C" w:rsidRPr="00D5464D">
        <w:rPr>
          <w:lang w:val="pt-BR"/>
        </w:rPr>
        <w:t>afetava</w:t>
      </w:r>
      <w:r w:rsidR="00207197" w:rsidRPr="00D5464D">
        <w:rPr>
          <w:lang w:val="pt-BR"/>
        </w:rPr>
        <w:t xml:space="preserve"> </w:t>
      </w:r>
      <w:r w:rsidR="00E045D9" w:rsidRPr="00D5464D">
        <w:rPr>
          <w:lang w:val="pt-BR"/>
        </w:rPr>
        <w:t>sua liberdade</w:t>
      </w:r>
      <w:r w:rsidR="002C330E" w:rsidRPr="00D5464D">
        <w:rPr>
          <w:lang w:val="pt-BR"/>
        </w:rPr>
        <w:t xml:space="preserve"> pessoa</w:t>
      </w:r>
      <w:r w:rsidR="00207197" w:rsidRPr="00D5464D">
        <w:rPr>
          <w:lang w:val="pt-BR"/>
        </w:rPr>
        <w:t>l</w:t>
      </w:r>
      <w:r w:rsidR="00E045D9" w:rsidRPr="00D5464D">
        <w:rPr>
          <w:lang w:val="pt-BR"/>
        </w:rPr>
        <w:t xml:space="preserve"> e </w:t>
      </w:r>
      <w:r w:rsidR="00207197" w:rsidRPr="00D5464D">
        <w:rPr>
          <w:lang w:val="pt-BR"/>
        </w:rPr>
        <w:t>iii)</w:t>
      </w:r>
      <w:r w:rsidRPr="00D5464D">
        <w:rPr>
          <w:lang w:val="pt-BR"/>
        </w:rPr>
        <w:t xml:space="preserve"> o </w:t>
      </w:r>
      <w:r w:rsidR="00E045D9" w:rsidRPr="00D5464D">
        <w:rPr>
          <w:lang w:val="pt-BR"/>
        </w:rPr>
        <w:t>trabalho</w:t>
      </w:r>
      <w:r w:rsidRPr="00D5464D">
        <w:rPr>
          <w:lang w:val="pt-BR"/>
        </w:rPr>
        <w:t xml:space="preserve"> em </w:t>
      </w:r>
      <w:r w:rsidR="00207197" w:rsidRPr="00D5464D">
        <w:rPr>
          <w:lang w:val="pt-BR"/>
        </w:rPr>
        <w:t>condi</w:t>
      </w:r>
      <w:r w:rsidRPr="00D5464D">
        <w:rPr>
          <w:lang w:val="pt-BR"/>
        </w:rPr>
        <w:t>ções</w:t>
      </w:r>
      <w:r w:rsidR="00207197" w:rsidRPr="00D5464D">
        <w:rPr>
          <w:lang w:val="pt-BR"/>
        </w:rPr>
        <w:t xml:space="preserve"> degradantes n</w:t>
      </w:r>
      <w:r w:rsidR="00191393" w:rsidRPr="00D5464D">
        <w:rPr>
          <w:lang w:val="pt-BR"/>
        </w:rPr>
        <w:t>ã</w:t>
      </w:r>
      <w:r w:rsidR="00207197" w:rsidRPr="00D5464D">
        <w:rPr>
          <w:lang w:val="pt-BR"/>
        </w:rPr>
        <w:t xml:space="preserve">o </w:t>
      </w:r>
      <w:r w:rsidRPr="00D5464D">
        <w:rPr>
          <w:lang w:val="pt-BR"/>
        </w:rPr>
        <w:t>constitui</w:t>
      </w:r>
      <w:r w:rsidR="00E045D9" w:rsidRPr="00D5464D">
        <w:rPr>
          <w:lang w:val="pt-BR"/>
        </w:rPr>
        <w:t xml:space="preserve"> uma </w:t>
      </w:r>
      <w:r w:rsidR="00207197" w:rsidRPr="00D5464D">
        <w:rPr>
          <w:lang w:val="pt-BR"/>
        </w:rPr>
        <w:t>viola</w:t>
      </w:r>
      <w:r w:rsidRPr="00D5464D">
        <w:rPr>
          <w:lang w:val="pt-BR"/>
        </w:rPr>
        <w:t>ção</w:t>
      </w:r>
      <w:r w:rsidR="00207197" w:rsidRPr="00D5464D">
        <w:rPr>
          <w:lang w:val="pt-BR"/>
        </w:rPr>
        <w:t xml:space="preserve"> </w:t>
      </w:r>
      <w:r w:rsidRPr="00D5464D">
        <w:rPr>
          <w:lang w:val="pt-BR"/>
        </w:rPr>
        <w:t>do artigo</w:t>
      </w:r>
      <w:r w:rsidR="00207197" w:rsidRPr="00D5464D">
        <w:rPr>
          <w:lang w:val="pt-BR"/>
        </w:rPr>
        <w:t xml:space="preserve"> 6</w:t>
      </w:r>
      <w:r w:rsidRPr="00D5464D">
        <w:rPr>
          <w:lang w:val="pt-BR"/>
        </w:rPr>
        <w:t xml:space="preserve"> da </w:t>
      </w:r>
      <w:r w:rsidR="00207197" w:rsidRPr="00D5464D">
        <w:rPr>
          <w:lang w:val="pt-BR"/>
        </w:rPr>
        <w:t>Conven</w:t>
      </w:r>
      <w:r w:rsidRPr="00D5464D">
        <w:rPr>
          <w:lang w:val="pt-BR"/>
        </w:rPr>
        <w:t>ção</w:t>
      </w:r>
      <w:r w:rsidR="00207197" w:rsidRPr="00D5464D">
        <w:rPr>
          <w:lang w:val="pt-BR"/>
        </w:rPr>
        <w:t xml:space="preserve"> Americana. </w:t>
      </w:r>
      <w:r w:rsidR="00230C71" w:rsidRPr="00D5464D">
        <w:rPr>
          <w:lang w:val="pt-BR"/>
        </w:rPr>
        <w:t>Acrescentou</w:t>
      </w:r>
      <w:r w:rsidR="00207197" w:rsidRPr="00D5464D">
        <w:rPr>
          <w:lang w:val="pt-BR"/>
        </w:rPr>
        <w:t xml:space="preserve"> que</w:t>
      </w:r>
      <w:r w:rsidR="00F646B8" w:rsidRPr="00D5464D">
        <w:rPr>
          <w:lang w:val="pt-BR"/>
        </w:rPr>
        <w:t>,</w:t>
      </w:r>
      <w:r w:rsidR="00E045D9" w:rsidRPr="00D5464D">
        <w:rPr>
          <w:lang w:val="pt-BR"/>
        </w:rPr>
        <w:t xml:space="preserve"> na </w:t>
      </w:r>
      <w:r w:rsidR="00191393" w:rsidRPr="00D5464D">
        <w:rPr>
          <w:lang w:val="pt-BR"/>
        </w:rPr>
        <w:t xml:space="preserve">fiscalização </w:t>
      </w:r>
      <w:r w:rsidR="002C330E" w:rsidRPr="00D5464D">
        <w:rPr>
          <w:lang w:val="pt-BR"/>
        </w:rPr>
        <w:t>seguinte</w:t>
      </w:r>
      <w:r w:rsidR="00207197" w:rsidRPr="00D5464D">
        <w:rPr>
          <w:lang w:val="pt-BR"/>
        </w:rPr>
        <w:t>, de</w:t>
      </w:r>
      <w:r w:rsidR="002C330E" w:rsidRPr="00D5464D">
        <w:rPr>
          <w:lang w:val="pt-BR"/>
        </w:rPr>
        <w:t xml:space="preserve"> maio </w:t>
      </w:r>
      <w:r w:rsidR="00207197" w:rsidRPr="00D5464D">
        <w:rPr>
          <w:lang w:val="pt-BR"/>
        </w:rPr>
        <w:t>de 2002,</w:t>
      </w:r>
      <w:r w:rsidR="002C330E" w:rsidRPr="00D5464D">
        <w:rPr>
          <w:lang w:val="pt-BR"/>
        </w:rPr>
        <w:t xml:space="preserve"> a </w:t>
      </w:r>
      <w:r w:rsidR="00207197" w:rsidRPr="00D5464D">
        <w:rPr>
          <w:lang w:val="pt-BR"/>
        </w:rPr>
        <w:t>situa</w:t>
      </w:r>
      <w:r w:rsidRPr="00D5464D">
        <w:rPr>
          <w:lang w:val="pt-BR"/>
        </w:rPr>
        <w:t xml:space="preserve">ção dos </w:t>
      </w:r>
      <w:r w:rsidR="00E045D9" w:rsidRPr="00D5464D">
        <w:rPr>
          <w:lang w:val="pt-BR"/>
        </w:rPr>
        <w:t>trabalhadores</w:t>
      </w:r>
      <w:r w:rsidRPr="00D5464D">
        <w:rPr>
          <w:lang w:val="pt-BR"/>
        </w:rPr>
        <w:t xml:space="preserve"> da </w:t>
      </w:r>
      <w:r w:rsidR="00D809F0" w:rsidRPr="00D5464D">
        <w:rPr>
          <w:lang w:val="pt-BR"/>
        </w:rPr>
        <w:t>fazenda</w:t>
      </w:r>
      <w:r w:rsidR="00207197" w:rsidRPr="00D5464D">
        <w:rPr>
          <w:lang w:val="pt-BR"/>
        </w:rPr>
        <w:t xml:space="preserve"> era </w:t>
      </w:r>
      <w:r w:rsidR="00C91CB1" w:rsidRPr="00D5464D">
        <w:rPr>
          <w:lang w:val="pt-BR"/>
        </w:rPr>
        <w:t>satisfatória</w:t>
      </w:r>
      <w:r w:rsidR="00E045D9" w:rsidRPr="00D5464D">
        <w:rPr>
          <w:lang w:val="pt-BR"/>
        </w:rPr>
        <w:t xml:space="preserve"> e</w:t>
      </w:r>
      <w:r w:rsidR="00D14320" w:rsidRPr="00D5464D">
        <w:rPr>
          <w:lang w:val="pt-BR"/>
        </w:rPr>
        <w:t xml:space="preserve"> apenas </w:t>
      </w:r>
      <w:r w:rsidR="00191393" w:rsidRPr="00D5464D">
        <w:rPr>
          <w:lang w:val="pt-BR"/>
        </w:rPr>
        <w:t xml:space="preserve">foram emitidas </w:t>
      </w:r>
      <w:r w:rsidR="00207197" w:rsidRPr="00D5464D">
        <w:rPr>
          <w:lang w:val="pt-BR"/>
        </w:rPr>
        <w:t>multas por infr</w:t>
      </w:r>
      <w:r w:rsidRPr="00D5464D">
        <w:rPr>
          <w:lang w:val="pt-BR"/>
        </w:rPr>
        <w:t>ações</w:t>
      </w:r>
      <w:r w:rsidR="00207197" w:rsidRPr="00D5464D">
        <w:rPr>
          <w:lang w:val="pt-BR"/>
        </w:rPr>
        <w:t xml:space="preserve"> </w:t>
      </w:r>
      <w:r w:rsidR="00191393" w:rsidRPr="00D5464D">
        <w:rPr>
          <w:lang w:val="pt-BR"/>
        </w:rPr>
        <w:t xml:space="preserve">trabalhistas </w:t>
      </w:r>
      <w:r w:rsidR="00207197" w:rsidRPr="00D5464D">
        <w:rPr>
          <w:lang w:val="pt-BR"/>
        </w:rPr>
        <w:t xml:space="preserve">leves. </w:t>
      </w:r>
    </w:p>
    <w:p w14:paraId="59A142AD" w14:textId="77777777" w:rsidR="00DE3E58" w:rsidRPr="00D5464D" w:rsidRDefault="00DE3E58" w:rsidP="00DE3E58">
      <w:pPr>
        <w:pStyle w:val="Prrafodelista"/>
        <w:ind w:left="0"/>
        <w:contextualSpacing w:val="0"/>
        <w:rPr>
          <w:lang w:val="pt-BR"/>
        </w:rPr>
      </w:pPr>
    </w:p>
    <w:p w14:paraId="5B5792CD" w14:textId="1021EEFB" w:rsidR="00207197" w:rsidRPr="00D5464D" w:rsidRDefault="00470ADC" w:rsidP="00F37DC4">
      <w:pPr>
        <w:pStyle w:val="Prrafodelista"/>
        <w:numPr>
          <w:ilvl w:val="0"/>
          <w:numId w:val="1"/>
        </w:numPr>
        <w:contextualSpacing w:val="0"/>
        <w:rPr>
          <w:lang w:val="pt-BR"/>
        </w:rPr>
      </w:pPr>
      <w:r w:rsidRPr="00D5464D">
        <w:rPr>
          <w:lang w:val="pt-BR"/>
        </w:rPr>
        <w:t xml:space="preserve">O </w:t>
      </w:r>
      <w:r w:rsidR="00207197" w:rsidRPr="00D5464D">
        <w:rPr>
          <w:lang w:val="pt-BR"/>
        </w:rPr>
        <w:t xml:space="preserve">Estado </w:t>
      </w:r>
      <w:r w:rsidR="002C330E" w:rsidRPr="00D5464D">
        <w:rPr>
          <w:lang w:val="pt-BR"/>
        </w:rPr>
        <w:t>afirmou</w:t>
      </w:r>
      <w:r w:rsidR="00207197" w:rsidRPr="00D5464D">
        <w:rPr>
          <w:lang w:val="pt-BR"/>
        </w:rPr>
        <w:t xml:space="preserve"> que </w:t>
      </w:r>
      <w:r w:rsidR="00737270" w:rsidRPr="00D5464D">
        <w:rPr>
          <w:lang w:val="pt-BR"/>
        </w:rPr>
        <w:t>não pode</w:t>
      </w:r>
      <w:r w:rsidR="00207197" w:rsidRPr="00D5464D">
        <w:rPr>
          <w:lang w:val="pt-BR"/>
        </w:rPr>
        <w:t xml:space="preserve"> ser </w:t>
      </w:r>
      <w:r w:rsidR="002C330E" w:rsidRPr="00D5464D">
        <w:rPr>
          <w:lang w:val="pt-BR"/>
        </w:rPr>
        <w:t xml:space="preserve">responsável </w:t>
      </w:r>
      <w:r w:rsidR="00191393" w:rsidRPr="00D5464D">
        <w:rPr>
          <w:lang w:val="pt-BR"/>
        </w:rPr>
        <w:t>por</w:t>
      </w:r>
      <w:r w:rsidR="00207197" w:rsidRPr="00D5464D">
        <w:rPr>
          <w:lang w:val="pt-BR"/>
        </w:rPr>
        <w:t xml:space="preserve"> </w:t>
      </w:r>
      <w:r w:rsidR="00191393" w:rsidRPr="00D5464D">
        <w:rPr>
          <w:lang w:val="pt-BR"/>
        </w:rPr>
        <w:t xml:space="preserve">toda </w:t>
      </w:r>
      <w:r w:rsidR="00207197" w:rsidRPr="00D5464D">
        <w:rPr>
          <w:lang w:val="pt-BR"/>
        </w:rPr>
        <w:t>viola</w:t>
      </w:r>
      <w:r w:rsidRPr="00D5464D">
        <w:rPr>
          <w:lang w:val="pt-BR"/>
        </w:rPr>
        <w:t>ção</w:t>
      </w:r>
      <w:r w:rsidR="00207197" w:rsidRPr="00D5464D">
        <w:rPr>
          <w:lang w:val="pt-BR"/>
        </w:rPr>
        <w:t xml:space="preserve"> de </w:t>
      </w:r>
      <w:r w:rsidRPr="00D5464D">
        <w:rPr>
          <w:lang w:val="pt-BR"/>
        </w:rPr>
        <w:t>direito</w:t>
      </w:r>
      <w:r w:rsidR="00207197" w:rsidRPr="00D5464D">
        <w:rPr>
          <w:lang w:val="pt-BR"/>
        </w:rPr>
        <w:t>s humanos cometida por particulares</w:t>
      </w:r>
      <w:r w:rsidRPr="00D5464D">
        <w:rPr>
          <w:lang w:val="pt-BR"/>
        </w:rPr>
        <w:t xml:space="preserve"> em </w:t>
      </w:r>
      <w:r w:rsidR="00230C71" w:rsidRPr="00D5464D">
        <w:rPr>
          <w:lang w:val="pt-BR"/>
        </w:rPr>
        <w:t>seu território</w:t>
      </w:r>
      <w:r w:rsidR="00660CD5" w:rsidRPr="00D5464D">
        <w:rPr>
          <w:lang w:val="pt-BR"/>
        </w:rPr>
        <w:t>;</w:t>
      </w:r>
      <w:r w:rsidR="00C91CB1" w:rsidRPr="00D5464D">
        <w:rPr>
          <w:lang w:val="pt-BR"/>
        </w:rPr>
        <w:t xml:space="preserve"> o contrário </w:t>
      </w:r>
      <w:r w:rsidR="00191393" w:rsidRPr="00D5464D">
        <w:rPr>
          <w:lang w:val="pt-BR"/>
        </w:rPr>
        <w:t xml:space="preserve">significaria </w:t>
      </w:r>
      <w:r w:rsidR="00E045D9" w:rsidRPr="00D5464D">
        <w:rPr>
          <w:lang w:val="pt-BR"/>
        </w:rPr>
        <w:t xml:space="preserve">uma </w:t>
      </w:r>
      <w:r w:rsidR="00207197" w:rsidRPr="00D5464D">
        <w:rPr>
          <w:lang w:val="pt-BR"/>
        </w:rPr>
        <w:t>presun</w:t>
      </w:r>
      <w:r w:rsidRPr="00D5464D">
        <w:rPr>
          <w:lang w:val="pt-BR"/>
        </w:rPr>
        <w:t>ção</w:t>
      </w:r>
      <w:r w:rsidR="00207197" w:rsidRPr="00D5464D">
        <w:rPr>
          <w:lang w:val="pt-BR"/>
        </w:rPr>
        <w:t xml:space="preserve"> de </w:t>
      </w:r>
      <w:r w:rsidR="002C330E" w:rsidRPr="00D5464D">
        <w:rPr>
          <w:lang w:val="pt-BR"/>
        </w:rPr>
        <w:t xml:space="preserve">responsabilidade </w:t>
      </w:r>
      <w:r w:rsidR="00207197" w:rsidRPr="00D5464D">
        <w:rPr>
          <w:lang w:val="pt-BR"/>
        </w:rPr>
        <w:t xml:space="preserve">internacional </w:t>
      </w:r>
      <w:r w:rsidRPr="00D5464D">
        <w:rPr>
          <w:lang w:val="pt-BR"/>
        </w:rPr>
        <w:t xml:space="preserve">do </w:t>
      </w:r>
      <w:r w:rsidR="00207197" w:rsidRPr="00D5464D">
        <w:rPr>
          <w:lang w:val="pt-BR"/>
        </w:rPr>
        <w:t xml:space="preserve">Estado. </w:t>
      </w:r>
      <w:r w:rsidR="00191393" w:rsidRPr="00D5464D">
        <w:rPr>
          <w:lang w:val="pt-BR"/>
        </w:rPr>
        <w:t xml:space="preserve">O </w:t>
      </w:r>
      <w:r w:rsidR="00207197" w:rsidRPr="00D5464D">
        <w:rPr>
          <w:lang w:val="pt-BR"/>
        </w:rPr>
        <w:t xml:space="preserve">Brasil </w:t>
      </w:r>
      <w:r w:rsidRPr="00D5464D">
        <w:rPr>
          <w:lang w:val="pt-BR"/>
        </w:rPr>
        <w:t>argumentou</w:t>
      </w:r>
      <w:r w:rsidR="00207197" w:rsidRPr="00D5464D">
        <w:rPr>
          <w:lang w:val="pt-BR"/>
        </w:rPr>
        <w:t xml:space="preserve"> que</w:t>
      </w:r>
      <w:r w:rsidR="00230C71" w:rsidRPr="00D5464D">
        <w:rPr>
          <w:lang w:val="pt-BR"/>
        </w:rPr>
        <w:t xml:space="preserve"> não existe</w:t>
      </w:r>
      <w:r w:rsidR="00207197" w:rsidRPr="00D5464D">
        <w:rPr>
          <w:lang w:val="pt-BR"/>
        </w:rPr>
        <w:t xml:space="preserve"> </w:t>
      </w:r>
      <w:r w:rsidR="002C330E" w:rsidRPr="00D5464D">
        <w:rPr>
          <w:lang w:val="pt-BR"/>
        </w:rPr>
        <w:t>nenhuma</w:t>
      </w:r>
      <w:r w:rsidR="00207197" w:rsidRPr="00D5464D">
        <w:rPr>
          <w:lang w:val="pt-BR"/>
        </w:rPr>
        <w:t xml:space="preserve"> </w:t>
      </w:r>
      <w:r w:rsidR="002C330E" w:rsidRPr="00D5464D">
        <w:rPr>
          <w:lang w:val="pt-BR"/>
        </w:rPr>
        <w:t>prova</w:t>
      </w:r>
      <w:r w:rsidR="00207197" w:rsidRPr="00D5464D">
        <w:rPr>
          <w:lang w:val="pt-BR"/>
        </w:rPr>
        <w:t xml:space="preserve"> de participa</w:t>
      </w:r>
      <w:r w:rsidRPr="00D5464D">
        <w:rPr>
          <w:lang w:val="pt-BR"/>
        </w:rPr>
        <w:t>ção</w:t>
      </w:r>
      <w:r w:rsidR="00207197" w:rsidRPr="00D5464D">
        <w:rPr>
          <w:lang w:val="pt-BR"/>
        </w:rPr>
        <w:t xml:space="preserve"> o</w:t>
      </w:r>
      <w:r w:rsidR="00191393" w:rsidRPr="00D5464D">
        <w:rPr>
          <w:lang w:val="pt-BR"/>
        </w:rPr>
        <w:t>u</w:t>
      </w:r>
      <w:r w:rsidR="00207197" w:rsidRPr="00D5464D">
        <w:rPr>
          <w:lang w:val="pt-BR"/>
        </w:rPr>
        <w:t xml:space="preserve"> </w:t>
      </w:r>
      <w:r w:rsidR="00E045D9" w:rsidRPr="00D5464D">
        <w:rPr>
          <w:lang w:val="pt-BR"/>
        </w:rPr>
        <w:t>aquiescência</w:t>
      </w:r>
      <w:r w:rsidR="00207197" w:rsidRPr="00D5464D">
        <w:rPr>
          <w:lang w:val="pt-BR"/>
        </w:rPr>
        <w:t xml:space="preserve"> de agentes esta</w:t>
      </w:r>
      <w:r w:rsidR="00E045D9" w:rsidRPr="00D5464D">
        <w:rPr>
          <w:lang w:val="pt-BR"/>
        </w:rPr>
        <w:t xml:space="preserve">tais no </w:t>
      </w:r>
      <w:r w:rsidR="00207197" w:rsidRPr="00D5464D">
        <w:rPr>
          <w:lang w:val="pt-BR"/>
        </w:rPr>
        <w:t>presente caso</w:t>
      </w:r>
      <w:r w:rsidR="00660CD5" w:rsidRPr="00D5464D">
        <w:rPr>
          <w:lang w:val="pt-BR"/>
        </w:rPr>
        <w:t>,</w:t>
      </w:r>
      <w:r w:rsidR="00207197" w:rsidRPr="00D5464D">
        <w:rPr>
          <w:lang w:val="pt-BR"/>
        </w:rPr>
        <w:t xml:space="preserve"> tal como</w:t>
      </w:r>
      <w:r w:rsidR="00C91CB1" w:rsidRPr="00D5464D">
        <w:rPr>
          <w:lang w:val="pt-BR"/>
        </w:rPr>
        <w:t xml:space="preserve"> </w:t>
      </w:r>
      <w:r w:rsidR="002C330E" w:rsidRPr="00D5464D">
        <w:rPr>
          <w:lang w:val="pt-BR"/>
        </w:rPr>
        <w:t xml:space="preserve">requer a jurisprudência </w:t>
      </w:r>
      <w:r w:rsidRPr="00D5464D">
        <w:rPr>
          <w:lang w:val="pt-BR"/>
        </w:rPr>
        <w:t xml:space="preserve">da </w:t>
      </w:r>
      <w:r w:rsidR="00207197" w:rsidRPr="00D5464D">
        <w:rPr>
          <w:lang w:val="pt-BR"/>
        </w:rPr>
        <w:t>Corte</w:t>
      </w:r>
      <w:r w:rsidR="00C91CB1" w:rsidRPr="00D5464D">
        <w:rPr>
          <w:lang w:val="pt-BR"/>
        </w:rPr>
        <w:t xml:space="preserve">. Em </w:t>
      </w:r>
      <w:r w:rsidR="00737270" w:rsidRPr="00D5464D">
        <w:rPr>
          <w:lang w:val="pt-BR"/>
        </w:rPr>
        <w:t>sua opinião</w:t>
      </w:r>
      <w:r w:rsidR="00207197" w:rsidRPr="00D5464D">
        <w:rPr>
          <w:lang w:val="pt-BR"/>
        </w:rPr>
        <w:t>,</w:t>
      </w:r>
      <w:r w:rsidR="002C330E" w:rsidRPr="00D5464D">
        <w:rPr>
          <w:lang w:val="pt-BR"/>
        </w:rPr>
        <w:t xml:space="preserve"> os </w:t>
      </w:r>
      <w:r w:rsidR="00EB1CE9" w:rsidRPr="00D5464D">
        <w:rPr>
          <w:lang w:val="pt-BR"/>
        </w:rPr>
        <w:t>representante</w:t>
      </w:r>
      <w:r w:rsidR="00207197" w:rsidRPr="00D5464D">
        <w:rPr>
          <w:lang w:val="pt-BR"/>
        </w:rPr>
        <w:t xml:space="preserve">s </w:t>
      </w:r>
      <w:r w:rsidR="00350187" w:rsidRPr="00D5464D">
        <w:rPr>
          <w:lang w:val="pt-BR"/>
        </w:rPr>
        <w:t>deveriam</w:t>
      </w:r>
      <w:r w:rsidR="00207197" w:rsidRPr="00D5464D">
        <w:rPr>
          <w:lang w:val="pt-BR"/>
        </w:rPr>
        <w:t xml:space="preserve"> </w:t>
      </w:r>
      <w:r w:rsidR="002C330E" w:rsidRPr="00D5464D">
        <w:rPr>
          <w:lang w:val="pt-BR"/>
        </w:rPr>
        <w:t>ter</w:t>
      </w:r>
      <w:r w:rsidR="00207197" w:rsidRPr="00D5464D">
        <w:rPr>
          <w:lang w:val="pt-BR"/>
        </w:rPr>
        <w:t xml:space="preserve"> </w:t>
      </w:r>
      <w:r w:rsidR="002C330E" w:rsidRPr="00D5464D">
        <w:rPr>
          <w:lang w:val="pt-BR"/>
        </w:rPr>
        <w:t>provad</w:t>
      </w:r>
      <w:r w:rsidR="00207197" w:rsidRPr="00D5464D">
        <w:rPr>
          <w:lang w:val="pt-BR"/>
        </w:rPr>
        <w:t>o viola</w:t>
      </w:r>
      <w:r w:rsidRPr="00D5464D">
        <w:rPr>
          <w:lang w:val="pt-BR"/>
        </w:rPr>
        <w:t>ções</w:t>
      </w:r>
      <w:r w:rsidR="00207197" w:rsidRPr="00D5464D">
        <w:rPr>
          <w:lang w:val="pt-BR"/>
        </w:rPr>
        <w:t xml:space="preserve"> concretas</w:t>
      </w:r>
      <w:r w:rsidR="00E045D9" w:rsidRPr="00D5464D">
        <w:rPr>
          <w:lang w:val="pt-BR"/>
        </w:rPr>
        <w:t xml:space="preserve"> aos </w:t>
      </w:r>
      <w:r w:rsidRPr="00D5464D">
        <w:rPr>
          <w:lang w:val="pt-BR"/>
        </w:rPr>
        <w:t>artigo</w:t>
      </w:r>
      <w:r w:rsidR="00207197" w:rsidRPr="00D5464D">
        <w:rPr>
          <w:lang w:val="pt-BR"/>
        </w:rPr>
        <w:t>s 1.1</w:t>
      </w:r>
      <w:r w:rsidR="00E045D9" w:rsidRPr="00D5464D">
        <w:rPr>
          <w:lang w:val="pt-BR"/>
        </w:rPr>
        <w:t xml:space="preserve"> e </w:t>
      </w:r>
      <w:r w:rsidR="00207197" w:rsidRPr="00D5464D">
        <w:rPr>
          <w:lang w:val="pt-BR"/>
        </w:rPr>
        <w:t>2</w:t>
      </w:r>
      <w:r w:rsidRPr="00D5464D">
        <w:rPr>
          <w:lang w:val="pt-BR"/>
        </w:rPr>
        <w:t xml:space="preserve"> da </w:t>
      </w:r>
      <w:r w:rsidR="00207197" w:rsidRPr="00D5464D">
        <w:rPr>
          <w:lang w:val="pt-BR"/>
        </w:rPr>
        <w:t>Conven</w:t>
      </w:r>
      <w:r w:rsidRPr="00D5464D">
        <w:rPr>
          <w:lang w:val="pt-BR"/>
        </w:rPr>
        <w:t>ção</w:t>
      </w:r>
      <w:r w:rsidR="00207197" w:rsidRPr="00D5464D">
        <w:rPr>
          <w:lang w:val="pt-BR"/>
        </w:rPr>
        <w:t xml:space="preserve"> Americana</w:t>
      </w:r>
      <w:r w:rsidR="00660CD5" w:rsidRPr="00D5464D">
        <w:rPr>
          <w:lang w:val="pt-BR"/>
        </w:rPr>
        <w:t>,</w:t>
      </w:r>
      <w:r w:rsidR="00207197" w:rsidRPr="00D5464D">
        <w:rPr>
          <w:lang w:val="pt-BR"/>
        </w:rPr>
        <w:t xml:space="preserve"> </w:t>
      </w:r>
      <w:r w:rsidR="00191393" w:rsidRPr="00D5464D">
        <w:rPr>
          <w:lang w:val="pt-BR"/>
        </w:rPr>
        <w:t xml:space="preserve">em relação a </w:t>
      </w:r>
      <w:r w:rsidR="00E045D9" w:rsidRPr="00D5464D">
        <w:rPr>
          <w:lang w:val="pt-BR"/>
        </w:rPr>
        <w:t>vítima</w:t>
      </w:r>
      <w:r w:rsidR="00207197" w:rsidRPr="00D5464D">
        <w:rPr>
          <w:lang w:val="pt-BR"/>
        </w:rPr>
        <w:t xml:space="preserve">s </w:t>
      </w:r>
      <w:r w:rsidRPr="00D5464D">
        <w:rPr>
          <w:lang w:val="pt-BR"/>
        </w:rPr>
        <w:t>devidamente</w:t>
      </w:r>
      <w:r w:rsidR="00207197" w:rsidRPr="00D5464D">
        <w:rPr>
          <w:lang w:val="pt-BR"/>
        </w:rPr>
        <w:t xml:space="preserve"> representadas</w:t>
      </w:r>
      <w:r w:rsidR="00E045D9" w:rsidRPr="00D5464D">
        <w:rPr>
          <w:lang w:val="pt-BR"/>
        </w:rPr>
        <w:t xml:space="preserve"> e </w:t>
      </w:r>
      <w:r w:rsidR="00207197" w:rsidRPr="00D5464D">
        <w:rPr>
          <w:lang w:val="pt-BR"/>
        </w:rPr>
        <w:t xml:space="preserve">que se </w:t>
      </w:r>
      <w:r w:rsidR="00737270" w:rsidRPr="00D5464D">
        <w:rPr>
          <w:lang w:val="pt-BR"/>
        </w:rPr>
        <w:t>encontrem</w:t>
      </w:r>
      <w:r w:rsidR="00207197" w:rsidRPr="00D5464D">
        <w:rPr>
          <w:lang w:val="pt-BR"/>
        </w:rPr>
        <w:t xml:space="preserve"> dentro</w:t>
      </w:r>
      <w:r w:rsidRPr="00D5464D">
        <w:rPr>
          <w:lang w:val="pt-BR"/>
        </w:rPr>
        <w:t xml:space="preserve"> da </w:t>
      </w:r>
      <w:r w:rsidR="002C330E" w:rsidRPr="00D5464D">
        <w:rPr>
          <w:lang w:val="pt-BR"/>
        </w:rPr>
        <w:t>jurisdição</w:t>
      </w:r>
      <w:r w:rsidRPr="00D5464D">
        <w:rPr>
          <w:lang w:val="pt-BR"/>
        </w:rPr>
        <w:t xml:space="preserve"> da </w:t>
      </w:r>
      <w:r w:rsidR="00207197" w:rsidRPr="00D5464D">
        <w:rPr>
          <w:lang w:val="pt-BR"/>
        </w:rPr>
        <w:t>Corte</w:t>
      </w:r>
      <w:r w:rsidR="00191393" w:rsidRPr="00D5464D">
        <w:rPr>
          <w:lang w:val="pt-BR"/>
        </w:rPr>
        <w:t>,</w:t>
      </w:r>
      <w:r w:rsidR="00207197" w:rsidRPr="00D5464D">
        <w:rPr>
          <w:lang w:val="pt-BR"/>
        </w:rPr>
        <w:t xml:space="preserve"> considerando s</w:t>
      </w:r>
      <w:r w:rsidR="00191393" w:rsidRPr="00D5464D">
        <w:rPr>
          <w:lang w:val="pt-BR"/>
        </w:rPr>
        <w:t>e</w:t>
      </w:r>
      <w:r w:rsidR="00207197" w:rsidRPr="00D5464D">
        <w:rPr>
          <w:lang w:val="pt-BR"/>
        </w:rPr>
        <w:t xml:space="preserve">us </w:t>
      </w:r>
      <w:r w:rsidR="002C330E" w:rsidRPr="00D5464D">
        <w:rPr>
          <w:lang w:val="pt-BR"/>
        </w:rPr>
        <w:t>limite</w:t>
      </w:r>
      <w:r w:rsidR="00207197" w:rsidRPr="00D5464D">
        <w:rPr>
          <w:lang w:val="pt-BR"/>
        </w:rPr>
        <w:t xml:space="preserve">s </w:t>
      </w:r>
      <w:r w:rsidR="00E045D9" w:rsidRPr="00D5464D">
        <w:rPr>
          <w:lang w:val="pt-BR"/>
        </w:rPr>
        <w:t xml:space="preserve">temporais e </w:t>
      </w:r>
      <w:r w:rsidR="00737270" w:rsidRPr="00D5464D">
        <w:rPr>
          <w:lang w:val="pt-BR"/>
        </w:rPr>
        <w:t>materiais</w:t>
      </w:r>
      <w:r w:rsidR="00A1358C" w:rsidRPr="00D5464D">
        <w:rPr>
          <w:lang w:val="pt-BR"/>
        </w:rPr>
        <w:t xml:space="preserve">. O </w:t>
      </w:r>
      <w:r w:rsidR="00207197" w:rsidRPr="00D5464D">
        <w:rPr>
          <w:lang w:val="pt-BR"/>
        </w:rPr>
        <w:t xml:space="preserve">Estado </w:t>
      </w:r>
      <w:r w:rsidR="002C330E" w:rsidRPr="00D5464D">
        <w:rPr>
          <w:lang w:val="pt-BR"/>
        </w:rPr>
        <w:t>afirmou</w:t>
      </w:r>
      <w:r w:rsidR="00207197" w:rsidRPr="00D5464D">
        <w:rPr>
          <w:lang w:val="pt-BR"/>
        </w:rPr>
        <w:t xml:space="preserve"> que</w:t>
      </w:r>
      <w:r w:rsidR="00230C71" w:rsidRPr="00D5464D">
        <w:rPr>
          <w:lang w:val="pt-BR"/>
        </w:rPr>
        <w:t xml:space="preserve"> não existe</w:t>
      </w:r>
      <w:r w:rsidR="00207197" w:rsidRPr="00D5464D">
        <w:rPr>
          <w:lang w:val="pt-BR"/>
        </w:rPr>
        <w:t xml:space="preserve"> </w:t>
      </w:r>
      <w:r w:rsidR="002C330E" w:rsidRPr="00D5464D">
        <w:rPr>
          <w:lang w:val="pt-BR"/>
        </w:rPr>
        <w:t>prova</w:t>
      </w:r>
      <w:r w:rsidR="00207197" w:rsidRPr="00D5464D">
        <w:rPr>
          <w:lang w:val="pt-BR"/>
        </w:rPr>
        <w:t xml:space="preserve"> de </w:t>
      </w:r>
      <w:r w:rsidR="00191393" w:rsidRPr="00D5464D">
        <w:rPr>
          <w:lang w:val="pt-BR"/>
        </w:rPr>
        <w:t xml:space="preserve">nenhuma </w:t>
      </w:r>
      <w:r w:rsidRPr="00D5464D">
        <w:rPr>
          <w:lang w:val="pt-BR"/>
        </w:rPr>
        <w:t>conexão</w:t>
      </w:r>
      <w:r w:rsidR="00207197" w:rsidRPr="00D5464D">
        <w:rPr>
          <w:lang w:val="pt-BR"/>
        </w:rPr>
        <w:t xml:space="preserve"> entre agentes esta</w:t>
      </w:r>
      <w:r w:rsidR="00E045D9" w:rsidRPr="00D5464D">
        <w:rPr>
          <w:lang w:val="pt-BR"/>
        </w:rPr>
        <w:t xml:space="preserve">tais e </w:t>
      </w:r>
      <w:r w:rsidR="002C330E" w:rsidRPr="00D5464D">
        <w:rPr>
          <w:lang w:val="pt-BR"/>
        </w:rPr>
        <w:t xml:space="preserve">a </w:t>
      </w:r>
      <w:r w:rsidR="00D809F0" w:rsidRPr="00D5464D">
        <w:rPr>
          <w:lang w:val="pt-BR"/>
        </w:rPr>
        <w:t>Fazenda</w:t>
      </w:r>
      <w:r w:rsidR="00207197" w:rsidRPr="00D5464D">
        <w:rPr>
          <w:lang w:val="pt-BR"/>
        </w:rPr>
        <w:t xml:space="preserve"> Brasil Verde. </w:t>
      </w:r>
      <w:r w:rsidR="00350187" w:rsidRPr="00D5464D">
        <w:rPr>
          <w:lang w:val="pt-BR"/>
        </w:rPr>
        <w:t xml:space="preserve">Além disso, </w:t>
      </w:r>
      <w:r w:rsidRPr="00D5464D">
        <w:rPr>
          <w:lang w:val="pt-BR"/>
        </w:rPr>
        <w:t>afirmou</w:t>
      </w:r>
      <w:r w:rsidR="00207197" w:rsidRPr="00D5464D">
        <w:rPr>
          <w:lang w:val="pt-BR"/>
        </w:rPr>
        <w:t xml:space="preserve"> que</w:t>
      </w:r>
      <w:r w:rsidR="002C330E" w:rsidRPr="00D5464D">
        <w:rPr>
          <w:lang w:val="pt-BR"/>
        </w:rPr>
        <w:t xml:space="preserve"> as </w:t>
      </w:r>
      <w:r w:rsidRPr="00D5464D">
        <w:rPr>
          <w:lang w:val="pt-BR"/>
        </w:rPr>
        <w:t>eventuais</w:t>
      </w:r>
      <w:r w:rsidR="00207197" w:rsidRPr="00D5464D">
        <w:rPr>
          <w:lang w:val="pt-BR"/>
        </w:rPr>
        <w:t xml:space="preserve"> </w:t>
      </w:r>
      <w:r w:rsidR="00230C71" w:rsidRPr="00D5464D">
        <w:rPr>
          <w:lang w:val="pt-BR"/>
        </w:rPr>
        <w:t>deficiência</w:t>
      </w:r>
      <w:r w:rsidR="00207197" w:rsidRPr="00D5464D">
        <w:rPr>
          <w:lang w:val="pt-BR"/>
        </w:rPr>
        <w:t>s</w:t>
      </w:r>
      <w:r w:rsidR="00E045D9" w:rsidRPr="00D5464D">
        <w:rPr>
          <w:lang w:val="pt-BR"/>
        </w:rPr>
        <w:t xml:space="preserve"> na </w:t>
      </w:r>
      <w:r w:rsidR="00207197" w:rsidRPr="00D5464D">
        <w:rPr>
          <w:lang w:val="pt-BR"/>
        </w:rPr>
        <w:t>investiga</w:t>
      </w:r>
      <w:r w:rsidRPr="00D5464D">
        <w:rPr>
          <w:lang w:val="pt-BR"/>
        </w:rPr>
        <w:t>ção</w:t>
      </w:r>
      <w:r w:rsidR="00E045D9" w:rsidRPr="00D5464D">
        <w:rPr>
          <w:lang w:val="pt-BR"/>
        </w:rPr>
        <w:t xml:space="preserve"> e </w:t>
      </w:r>
      <w:r w:rsidR="00207197" w:rsidRPr="00D5464D">
        <w:rPr>
          <w:lang w:val="pt-BR"/>
        </w:rPr>
        <w:t>persecu</w:t>
      </w:r>
      <w:r w:rsidRPr="00D5464D">
        <w:rPr>
          <w:lang w:val="pt-BR"/>
        </w:rPr>
        <w:t>ção</w:t>
      </w:r>
      <w:r w:rsidR="00207197" w:rsidRPr="00D5464D">
        <w:rPr>
          <w:lang w:val="pt-BR"/>
        </w:rPr>
        <w:t xml:space="preserve"> </w:t>
      </w:r>
      <w:r w:rsidRPr="00D5464D">
        <w:rPr>
          <w:lang w:val="pt-BR"/>
        </w:rPr>
        <w:t xml:space="preserve">do </w:t>
      </w:r>
      <w:r w:rsidR="00E045D9" w:rsidRPr="00D5464D">
        <w:rPr>
          <w:lang w:val="pt-BR"/>
        </w:rPr>
        <w:t>trabalho</w:t>
      </w:r>
      <w:r w:rsidR="00207197" w:rsidRPr="00D5464D">
        <w:rPr>
          <w:lang w:val="pt-BR"/>
        </w:rPr>
        <w:t xml:space="preserve"> </w:t>
      </w:r>
      <w:r w:rsidR="004F1CC2" w:rsidRPr="00D5464D">
        <w:rPr>
          <w:lang w:val="pt-BR"/>
        </w:rPr>
        <w:t>escravo</w:t>
      </w:r>
      <w:r w:rsidR="00207197" w:rsidRPr="00D5464D">
        <w:rPr>
          <w:lang w:val="pt-BR"/>
        </w:rPr>
        <w:t xml:space="preserve"> </w:t>
      </w:r>
      <w:r w:rsidR="00737270" w:rsidRPr="00D5464D">
        <w:rPr>
          <w:lang w:val="pt-BR"/>
        </w:rPr>
        <w:t>não são</w:t>
      </w:r>
      <w:r w:rsidR="002C330E" w:rsidRPr="00D5464D">
        <w:rPr>
          <w:lang w:val="pt-BR"/>
        </w:rPr>
        <w:t xml:space="preserve"> </w:t>
      </w:r>
      <w:r w:rsidR="00207197" w:rsidRPr="00D5464D">
        <w:rPr>
          <w:lang w:val="pt-BR"/>
        </w:rPr>
        <w:t xml:space="preserve">suficientes para </w:t>
      </w:r>
      <w:r w:rsidR="00A1358C" w:rsidRPr="00D5464D">
        <w:rPr>
          <w:lang w:val="pt-BR"/>
        </w:rPr>
        <w:t>descumprir</w:t>
      </w:r>
      <w:r w:rsidRPr="00D5464D">
        <w:rPr>
          <w:lang w:val="pt-BR"/>
        </w:rPr>
        <w:t xml:space="preserve"> </w:t>
      </w:r>
      <w:r w:rsidR="00E045D9" w:rsidRPr="00D5464D">
        <w:rPr>
          <w:lang w:val="pt-BR"/>
        </w:rPr>
        <w:t>seu dever</w:t>
      </w:r>
      <w:r w:rsidR="00207197" w:rsidRPr="00D5464D">
        <w:rPr>
          <w:lang w:val="pt-BR"/>
        </w:rPr>
        <w:t xml:space="preserve"> de </w:t>
      </w:r>
      <w:r w:rsidR="002C330E" w:rsidRPr="00D5464D">
        <w:rPr>
          <w:lang w:val="pt-BR"/>
        </w:rPr>
        <w:t>garantia</w:t>
      </w:r>
      <w:r w:rsidR="00E045D9" w:rsidRPr="00D5464D">
        <w:rPr>
          <w:lang w:val="pt-BR"/>
        </w:rPr>
        <w:t xml:space="preserve"> no </w:t>
      </w:r>
      <w:r w:rsidR="00191393" w:rsidRPr="00D5464D">
        <w:rPr>
          <w:lang w:val="pt-BR"/>
        </w:rPr>
        <w:t>S</w:t>
      </w:r>
      <w:r w:rsidR="00207197" w:rsidRPr="00D5464D">
        <w:rPr>
          <w:lang w:val="pt-BR"/>
        </w:rPr>
        <w:t xml:space="preserve">istema </w:t>
      </w:r>
      <w:r w:rsidR="00191393" w:rsidRPr="00D5464D">
        <w:rPr>
          <w:lang w:val="pt-BR"/>
        </w:rPr>
        <w:t>I</w:t>
      </w:r>
      <w:r w:rsidR="00207197" w:rsidRPr="00D5464D">
        <w:rPr>
          <w:lang w:val="pt-BR"/>
        </w:rPr>
        <w:t>nteramericano.</w:t>
      </w:r>
    </w:p>
    <w:p w14:paraId="5F6730BD" w14:textId="77777777" w:rsidR="00DE3E58" w:rsidRPr="00D5464D" w:rsidRDefault="00DE3E58" w:rsidP="00DE3E58">
      <w:pPr>
        <w:pStyle w:val="Prrafodelista"/>
        <w:ind w:left="0"/>
        <w:contextualSpacing w:val="0"/>
        <w:rPr>
          <w:lang w:val="pt-BR"/>
        </w:rPr>
      </w:pPr>
    </w:p>
    <w:p w14:paraId="411878B9" w14:textId="47771A27" w:rsidR="00207197" w:rsidRPr="00D5464D" w:rsidRDefault="00470ADC" w:rsidP="00F37DC4">
      <w:pPr>
        <w:pStyle w:val="Prrafodelista"/>
        <w:numPr>
          <w:ilvl w:val="0"/>
          <w:numId w:val="1"/>
        </w:numPr>
        <w:contextualSpacing w:val="0"/>
        <w:rPr>
          <w:lang w:val="pt-BR"/>
        </w:rPr>
      </w:pPr>
      <w:r w:rsidRPr="00D5464D">
        <w:rPr>
          <w:lang w:val="pt-BR"/>
        </w:rPr>
        <w:t xml:space="preserve">O </w:t>
      </w:r>
      <w:r w:rsidR="00207197" w:rsidRPr="00D5464D">
        <w:rPr>
          <w:lang w:val="pt-BR"/>
        </w:rPr>
        <w:t xml:space="preserve">Estado </w:t>
      </w:r>
      <w:r w:rsidR="002C330E" w:rsidRPr="00D5464D">
        <w:rPr>
          <w:lang w:val="pt-BR"/>
        </w:rPr>
        <w:t>afirmou</w:t>
      </w:r>
      <w:r w:rsidR="00207197" w:rsidRPr="00D5464D">
        <w:rPr>
          <w:lang w:val="pt-BR"/>
        </w:rPr>
        <w:t xml:space="preserve"> que</w:t>
      </w:r>
      <w:r w:rsidR="002C330E" w:rsidRPr="00D5464D">
        <w:rPr>
          <w:lang w:val="pt-BR"/>
        </w:rPr>
        <w:t xml:space="preserve"> </w:t>
      </w:r>
      <w:r w:rsidR="00350187" w:rsidRPr="00D5464D">
        <w:rPr>
          <w:lang w:val="pt-BR"/>
        </w:rPr>
        <w:t>cumpriu</w:t>
      </w:r>
      <w:r w:rsidRPr="00D5464D">
        <w:rPr>
          <w:lang w:val="pt-BR"/>
        </w:rPr>
        <w:t xml:space="preserve"> </w:t>
      </w:r>
      <w:r w:rsidR="00207197" w:rsidRPr="00D5464D">
        <w:rPr>
          <w:lang w:val="pt-BR"/>
        </w:rPr>
        <w:t>todos</w:t>
      </w:r>
      <w:r w:rsidR="002C330E" w:rsidRPr="00D5464D">
        <w:rPr>
          <w:lang w:val="pt-BR"/>
        </w:rPr>
        <w:t xml:space="preserve"> os </w:t>
      </w:r>
      <w:r w:rsidRPr="00D5464D">
        <w:rPr>
          <w:lang w:val="pt-BR"/>
        </w:rPr>
        <w:t>padrões</w:t>
      </w:r>
      <w:r w:rsidR="00207197" w:rsidRPr="00D5464D">
        <w:rPr>
          <w:lang w:val="pt-BR"/>
        </w:rPr>
        <w:t xml:space="preserve"> </w:t>
      </w:r>
      <w:r w:rsidR="002C330E" w:rsidRPr="00D5464D">
        <w:rPr>
          <w:lang w:val="pt-BR"/>
        </w:rPr>
        <w:t>internacionais</w:t>
      </w:r>
      <w:r w:rsidR="00207197" w:rsidRPr="00D5464D">
        <w:rPr>
          <w:lang w:val="pt-BR"/>
        </w:rPr>
        <w:t xml:space="preserve"> para</w:t>
      </w:r>
      <w:r w:rsidR="002C330E" w:rsidRPr="00D5464D">
        <w:rPr>
          <w:lang w:val="pt-BR"/>
        </w:rPr>
        <w:t xml:space="preserve"> a </w:t>
      </w:r>
      <w:r w:rsidR="00207197" w:rsidRPr="00D5464D">
        <w:rPr>
          <w:lang w:val="pt-BR"/>
        </w:rPr>
        <w:t>preven</w:t>
      </w:r>
      <w:r w:rsidRPr="00D5464D">
        <w:rPr>
          <w:lang w:val="pt-BR"/>
        </w:rPr>
        <w:t>ção</w:t>
      </w:r>
      <w:r w:rsidR="00E045D9" w:rsidRPr="00D5464D">
        <w:rPr>
          <w:lang w:val="pt-BR"/>
        </w:rPr>
        <w:t xml:space="preserve"> e </w:t>
      </w:r>
      <w:r w:rsidR="00207197" w:rsidRPr="00D5464D">
        <w:rPr>
          <w:lang w:val="pt-BR"/>
        </w:rPr>
        <w:t>erradica</w:t>
      </w:r>
      <w:r w:rsidRPr="00D5464D">
        <w:rPr>
          <w:lang w:val="pt-BR"/>
        </w:rPr>
        <w:t>ção</w:t>
      </w:r>
      <w:r w:rsidR="00207197" w:rsidRPr="00D5464D">
        <w:rPr>
          <w:lang w:val="pt-BR"/>
        </w:rPr>
        <w:t xml:space="preserve"> </w:t>
      </w:r>
      <w:r w:rsidRPr="00D5464D">
        <w:rPr>
          <w:lang w:val="pt-BR"/>
        </w:rPr>
        <w:t xml:space="preserve">do </w:t>
      </w:r>
      <w:r w:rsidR="00E045D9" w:rsidRPr="00D5464D">
        <w:rPr>
          <w:lang w:val="pt-BR"/>
        </w:rPr>
        <w:t>trabalho</w:t>
      </w:r>
      <w:r w:rsidR="00207197" w:rsidRPr="00D5464D">
        <w:rPr>
          <w:lang w:val="pt-BR"/>
        </w:rPr>
        <w:t xml:space="preserve"> </w:t>
      </w:r>
      <w:r w:rsidR="004F1CC2" w:rsidRPr="00D5464D">
        <w:rPr>
          <w:lang w:val="pt-BR"/>
        </w:rPr>
        <w:t>escravo</w:t>
      </w:r>
      <w:r w:rsidR="00A1358C" w:rsidRPr="00D5464D">
        <w:rPr>
          <w:lang w:val="pt-BR"/>
        </w:rPr>
        <w:t>. Em particular</w:t>
      </w:r>
      <w:r w:rsidR="00207197" w:rsidRPr="00D5464D">
        <w:rPr>
          <w:lang w:val="pt-BR"/>
        </w:rPr>
        <w:t xml:space="preserve">, </w:t>
      </w:r>
      <w:r w:rsidRPr="00D5464D">
        <w:rPr>
          <w:lang w:val="pt-BR"/>
        </w:rPr>
        <w:t>destacou</w:t>
      </w:r>
      <w:r w:rsidR="00E045D9" w:rsidRPr="00D5464D">
        <w:rPr>
          <w:lang w:val="pt-BR"/>
        </w:rPr>
        <w:t xml:space="preserve"> uma </w:t>
      </w:r>
      <w:r w:rsidR="002C330E" w:rsidRPr="00D5464D">
        <w:rPr>
          <w:lang w:val="pt-BR"/>
        </w:rPr>
        <w:t>série</w:t>
      </w:r>
      <w:r w:rsidR="00207197" w:rsidRPr="00D5464D">
        <w:rPr>
          <w:lang w:val="pt-BR"/>
        </w:rPr>
        <w:t xml:space="preserve"> de políticas públicas implementadas </w:t>
      </w:r>
      <w:r w:rsidR="00230C71" w:rsidRPr="00D5464D">
        <w:rPr>
          <w:lang w:val="pt-BR"/>
        </w:rPr>
        <w:t xml:space="preserve">desde o </w:t>
      </w:r>
      <w:r w:rsidRPr="00D5464D">
        <w:rPr>
          <w:lang w:val="pt-BR"/>
        </w:rPr>
        <w:t xml:space="preserve">ano </w:t>
      </w:r>
      <w:r w:rsidR="00207197" w:rsidRPr="00D5464D">
        <w:rPr>
          <w:lang w:val="pt-BR"/>
        </w:rPr>
        <w:t>2002</w:t>
      </w:r>
      <w:r w:rsidR="00191393" w:rsidRPr="00D5464D">
        <w:rPr>
          <w:lang w:val="pt-BR"/>
        </w:rPr>
        <w:t>, orientadas a</w:t>
      </w:r>
      <w:r w:rsidR="00207197" w:rsidRPr="00D5464D">
        <w:rPr>
          <w:lang w:val="pt-BR"/>
        </w:rPr>
        <w:t>: i) capacita</w:t>
      </w:r>
      <w:r w:rsidRPr="00D5464D">
        <w:rPr>
          <w:lang w:val="pt-BR"/>
        </w:rPr>
        <w:t>ção</w:t>
      </w:r>
      <w:r w:rsidR="00207197" w:rsidRPr="00D5464D">
        <w:rPr>
          <w:lang w:val="pt-BR"/>
        </w:rPr>
        <w:t xml:space="preserve">, </w:t>
      </w:r>
      <w:r w:rsidRPr="00D5464D">
        <w:rPr>
          <w:lang w:val="pt-BR"/>
        </w:rPr>
        <w:t xml:space="preserve">assistência </w:t>
      </w:r>
      <w:r w:rsidR="00207197" w:rsidRPr="00D5464D">
        <w:rPr>
          <w:lang w:val="pt-BR"/>
        </w:rPr>
        <w:t>e informa</w:t>
      </w:r>
      <w:r w:rsidRPr="00D5464D">
        <w:rPr>
          <w:lang w:val="pt-BR"/>
        </w:rPr>
        <w:t>ção</w:t>
      </w:r>
      <w:r w:rsidR="00207197" w:rsidRPr="00D5464D">
        <w:rPr>
          <w:lang w:val="pt-BR"/>
        </w:rPr>
        <w:t xml:space="preserve"> a </w:t>
      </w:r>
      <w:r w:rsidR="002C330E" w:rsidRPr="00D5464D">
        <w:rPr>
          <w:lang w:val="pt-BR"/>
        </w:rPr>
        <w:t>pessoa</w:t>
      </w:r>
      <w:r w:rsidR="00207197" w:rsidRPr="00D5464D">
        <w:rPr>
          <w:lang w:val="pt-BR"/>
        </w:rPr>
        <w:t xml:space="preserve">s </w:t>
      </w:r>
      <w:r w:rsidR="00E045D9" w:rsidRPr="00D5464D">
        <w:rPr>
          <w:lang w:val="pt-BR"/>
        </w:rPr>
        <w:t>vulneráveis</w:t>
      </w:r>
      <w:r w:rsidR="00207197" w:rsidRPr="00D5464D">
        <w:rPr>
          <w:lang w:val="pt-BR"/>
        </w:rPr>
        <w:t>; ii) con</w:t>
      </w:r>
      <w:r w:rsidR="00C56E63" w:rsidRPr="00D5464D">
        <w:rPr>
          <w:lang w:val="pt-BR"/>
        </w:rPr>
        <w:t>s</w:t>
      </w:r>
      <w:r w:rsidR="00207197" w:rsidRPr="00D5464D">
        <w:rPr>
          <w:lang w:val="pt-BR"/>
        </w:rPr>
        <w:t>cientiza</w:t>
      </w:r>
      <w:r w:rsidRPr="00D5464D">
        <w:rPr>
          <w:lang w:val="pt-BR"/>
        </w:rPr>
        <w:t>ção</w:t>
      </w:r>
      <w:r w:rsidR="00E045D9" w:rsidRPr="00D5464D">
        <w:rPr>
          <w:lang w:val="pt-BR"/>
        </w:rPr>
        <w:t xml:space="preserve"> e </w:t>
      </w:r>
      <w:r w:rsidR="00C56E63" w:rsidRPr="00D5464D">
        <w:rPr>
          <w:lang w:val="pt-BR"/>
        </w:rPr>
        <w:t>engajamento</w:t>
      </w:r>
      <w:r w:rsidR="00207197" w:rsidRPr="00D5464D">
        <w:rPr>
          <w:lang w:val="pt-BR"/>
        </w:rPr>
        <w:t xml:space="preserve"> de </w:t>
      </w:r>
      <w:r w:rsidR="00230C71" w:rsidRPr="00D5464D">
        <w:rPr>
          <w:lang w:val="pt-BR"/>
        </w:rPr>
        <w:t>empregad</w:t>
      </w:r>
      <w:r w:rsidR="00207197" w:rsidRPr="00D5464D">
        <w:rPr>
          <w:lang w:val="pt-BR"/>
        </w:rPr>
        <w:t>ores; iii) fortalec</w:t>
      </w:r>
      <w:r w:rsidR="00F646B8" w:rsidRPr="00D5464D">
        <w:rPr>
          <w:lang w:val="pt-BR"/>
        </w:rPr>
        <w:t>imento</w:t>
      </w:r>
      <w:r w:rsidR="002C330E" w:rsidRPr="00D5464D">
        <w:rPr>
          <w:lang w:val="pt-BR"/>
        </w:rPr>
        <w:t xml:space="preserve"> </w:t>
      </w:r>
      <w:r w:rsidR="00F646B8" w:rsidRPr="00D5464D">
        <w:rPr>
          <w:lang w:val="pt-BR"/>
        </w:rPr>
        <w:t>d</w:t>
      </w:r>
      <w:r w:rsidR="002C330E" w:rsidRPr="00D5464D">
        <w:rPr>
          <w:lang w:val="pt-BR"/>
        </w:rPr>
        <w:t>os serviço</w:t>
      </w:r>
      <w:r w:rsidR="00207197" w:rsidRPr="00D5464D">
        <w:rPr>
          <w:lang w:val="pt-BR"/>
        </w:rPr>
        <w:t xml:space="preserve">s de </w:t>
      </w:r>
      <w:r w:rsidR="00AB4663" w:rsidRPr="00D5464D">
        <w:rPr>
          <w:lang w:val="pt-BR"/>
        </w:rPr>
        <w:t>fiscalização</w:t>
      </w:r>
      <w:r w:rsidR="00207197" w:rsidRPr="00D5464D">
        <w:rPr>
          <w:lang w:val="pt-BR"/>
        </w:rPr>
        <w:t xml:space="preserve"> e investiga</w:t>
      </w:r>
      <w:r w:rsidRPr="00D5464D">
        <w:rPr>
          <w:lang w:val="pt-BR"/>
        </w:rPr>
        <w:t>ção</w:t>
      </w:r>
      <w:r w:rsidR="00207197" w:rsidRPr="00D5464D">
        <w:rPr>
          <w:lang w:val="pt-BR"/>
        </w:rPr>
        <w:t xml:space="preserve"> de </w:t>
      </w:r>
      <w:r w:rsidR="00E045D9" w:rsidRPr="00D5464D">
        <w:rPr>
          <w:lang w:val="pt-BR"/>
        </w:rPr>
        <w:t>trabalho</w:t>
      </w:r>
      <w:r w:rsidR="00207197" w:rsidRPr="00D5464D">
        <w:rPr>
          <w:lang w:val="pt-BR"/>
        </w:rPr>
        <w:t xml:space="preserve"> </w:t>
      </w:r>
      <w:r w:rsidR="004F1CC2" w:rsidRPr="00D5464D">
        <w:rPr>
          <w:lang w:val="pt-BR"/>
        </w:rPr>
        <w:t>escravo</w:t>
      </w:r>
      <w:r w:rsidRPr="00D5464D">
        <w:rPr>
          <w:lang w:val="pt-BR"/>
        </w:rPr>
        <w:t xml:space="preserve"> e</w:t>
      </w:r>
      <w:r w:rsidR="00207197" w:rsidRPr="00D5464D">
        <w:rPr>
          <w:lang w:val="pt-BR"/>
        </w:rPr>
        <w:t xml:space="preserve"> iv) </w:t>
      </w:r>
      <w:r w:rsidR="002C330E" w:rsidRPr="00D5464D">
        <w:rPr>
          <w:lang w:val="pt-BR"/>
        </w:rPr>
        <w:t>proteção</w:t>
      </w:r>
      <w:r w:rsidR="00207197" w:rsidRPr="00D5464D">
        <w:rPr>
          <w:lang w:val="pt-BR"/>
        </w:rPr>
        <w:t xml:space="preserve"> contra </w:t>
      </w:r>
      <w:r w:rsidR="002C330E" w:rsidRPr="00D5464D">
        <w:rPr>
          <w:lang w:val="pt-BR"/>
        </w:rPr>
        <w:t>prática</w:t>
      </w:r>
      <w:r w:rsidR="00207197" w:rsidRPr="00D5464D">
        <w:rPr>
          <w:lang w:val="pt-BR"/>
        </w:rPr>
        <w:t>s abusivas</w:t>
      </w:r>
      <w:r w:rsidR="00E045D9" w:rsidRPr="00D5464D">
        <w:rPr>
          <w:lang w:val="pt-BR"/>
        </w:rPr>
        <w:t xml:space="preserve"> e </w:t>
      </w:r>
      <w:r w:rsidR="00207197" w:rsidRPr="00D5464D">
        <w:rPr>
          <w:lang w:val="pt-BR"/>
        </w:rPr>
        <w:t>fraudulentas de contrata</w:t>
      </w:r>
      <w:r w:rsidRPr="00D5464D">
        <w:rPr>
          <w:lang w:val="pt-BR"/>
        </w:rPr>
        <w:t>ção</w:t>
      </w:r>
      <w:r w:rsidR="00207197" w:rsidRPr="00D5464D">
        <w:rPr>
          <w:lang w:val="pt-BR"/>
        </w:rPr>
        <w:t xml:space="preserve">. </w:t>
      </w:r>
    </w:p>
    <w:p w14:paraId="62DC20EE" w14:textId="77777777" w:rsidR="00207197" w:rsidRPr="00D5464D" w:rsidRDefault="00207197" w:rsidP="00140440">
      <w:pPr>
        <w:jc w:val="both"/>
        <w:rPr>
          <w:lang w:val="pt-BR"/>
        </w:rPr>
      </w:pPr>
    </w:p>
    <w:p w14:paraId="31E82E7E" w14:textId="2B8FE8A7" w:rsidR="00207197" w:rsidRPr="00D5464D" w:rsidRDefault="00660CD5" w:rsidP="00F37DC4">
      <w:pPr>
        <w:pStyle w:val="Prrafodelista"/>
        <w:numPr>
          <w:ilvl w:val="0"/>
          <w:numId w:val="1"/>
        </w:numPr>
        <w:contextualSpacing w:val="0"/>
        <w:rPr>
          <w:lang w:val="pt-BR"/>
        </w:rPr>
      </w:pPr>
      <w:r w:rsidRPr="00D5464D">
        <w:rPr>
          <w:lang w:val="pt-BR"/>
        </w:rPr>
        <w:t>C</w:t>
      </w:r>
      <w:r w:rsidR="00207197" w:rsidRPr="00D5464D">
        <w:rPr>
          <w:lang w:val="pt-BR"/>
        </w:rPr>
        <w:t xml:space="preserve">onsiderando </w:t>
      </w:r>
      <w:r w:rsidR="00C91CB1" w:rsidRPr="00D5464D">
        <w:rPr>
          <w:lang w:val="pt-BR"/>
        </w:rPr>
        <w:t>todo o anterior</w:t>
      </w:r>
      <w:r w:rsidR="00207197" w:rsidRPr="00D5464D">
        <w:rPr>
          <w:lang w:val="pt-BR"/>
        </w:rPr>
        <w:t>,</w:t>
      </w:r>
      <w:r w:rsidR="00470ADC" w:rsidRPr="00D5464D">
        <w:rPr>
          <w:lang w:val="pt-BR"/>
        </w:rPr>
        <w:t xml:space="preserve"> o </w:t>
      </w:r>
      <w:r w:rsidR="00207197" w:rsidRPr="00D5464D">
        <w:rPr>
          <w:lang w:val="pt-BR"/>
        </w:rPr>
        <w:t xml:space="preserve">Estado </w:t>
      </w:r>
      <w:r w:rsidR="002C330E" w:rsidRPr="00D5464D">
        <w:rPr>
          <w:lang w:val="pt-BR"/>
        </w:rPr>
        <w:t>solicitou</w:t>
      </w:r>
      <w:r w:rsidR="00207197" w:rsidRPr="00D5464D">
        <w:rPr>
          <w:lang w:val="pt-BR"/>
        </w:rPr>
        <w:t xml:space="preserve"> que</w:t>
      </w:r>
      <w:r w:rsidR="002C330E" w:rsidRPr="00D5464D">
        <w:rPr>
          <w:lang w:val="pt-BR"/>
        </w:rPr>
        <w:t xml:space="preserve"> a </w:t>
      </w:r>
      <w:r w:rsidR="00207197" w:rsidRPr="00D5464D">
        <w:rPr>
          <w:lang w:val="pt-BR"/>
        </w:rPr>
        <w:t xml:space="preserve">Corte </w:t>
      </w:r>
      <w:r w:rsidR="002C330E" w:rsidRPr="00D5464D">
        <w:rPr>
          <w:lang w:val="pt-BR"/>
        </w:rPr>
        <w:t>julgue</w:t>
      </w:r>
      <w:r w:rsidR="00207197" w:rsidRPr="00D5464D">
        <w:rPr>
          <w:lang w:val="pt-BR"/>
        </w:rPr>
        <w:t xml:space="preserve"> improcedente</w:t>
      </w:r>
      <w:r w:rsidR="002C330E" w:rsidRPr="00D5464D">
        <w:rPr>
          <w:lang w:val="pt-BR"/>
        </w:rPr>
        <w:t xml:space="preserve"> as </w:t>
      </w:r>
      <w:r w:rsidR="00207197" w:rsidRPr="00D5464D">
        <w:rPr>
          <w:lang w:val="pt-BR"/>
        </w:rPr>
        <w:t>peti</w:t>
      </w:r>
      <w:r w:rsidR="00470ADC" w:rsidRPr="00D5464D">
        <w:rPr>
          <w:lang w:val="pt-BR"/>
        </w:rPr>
        <w:t>ções</w:t>
      </w:r>
      <w:r w:rsidR="00207197" w:rsidRPr="00D5464D">
        <w:rPr>
          <w:lang w:val="pt-BR"/>
        </w:rPr>
        <w:t xml:space="preserve"> de re</w:t>
      </w:r>
      <w:r w:rsidR="00470ADC" w:rsidRPr="00D5464D">
        <w:rPr>
          <w:lang w:val="pt-BR"/>
        </w:rPr>
        <w:t>conhec</w:t>
      </w:r>
      <w:r w:rsidR="00F646B8" w:rsidRPr="00D5464D">
        <w:rPr>
          <w:lang w:val="pt-BR"/>
        </w:rPr>
        <w:t>imento</w:t>
      </w:r>
      <w:r w:rsidR="00C93A4F" w:rsidRPr="00D5464D">
        <w:rPr>
          <w:lang w:val="pt-BR"/>
        </w:rPr>
        <w:t xml:space="preserve"> </w:t>
      </w:r>
      <w:r w:rsidR="00F646B8" w:rsidRPr="00D5464D">
        <w:rPr>
          <w:lang w:val="pt-BR"/>
        </w:rPr>
        <w:t>d</w:t>
      </w:r>
      <w:r w:rsidR="002C330E" w:rsidRPr="00D5464D">
        <w:rPr>
          <w:lang w:val="pt-BR"/>
        </w:rPr>
        <w:t xml:space="preserve">a </w:t>
      </w:r>
      <w:r w:rsidR="00E045D9" w:rsidRPr="00D5464D">
        <w:rPr>
          <w:lang w:val="pt-BR"/>
        </w:rPr>
        <w:t xml:space="preserve">existência </w:t>
      </w:r>
      <w:r w:rsidR="00207197" w:rsidRPr="00D5464D">
        <w:rPr>
          <w:lang w:val="pt-BR"/>
        </w:rPr>
        <w:t xml:space="preserve">de </w:t>
      </w:r>
      <w:r w:rsidR="00E045D9" w:rsidRPr="00D5464D">
        <w:rPr>
          <w:lang w:val="pt-BR"/>
        </w:rPr>
        <w:t>trabalho</w:t>
      </w:r>
      <w:r w:rsidR="00207197" w:rsidRPr="00D5464D">
        <w:rPr>
          <w:lang w:val="pt-BR"/>
        </w:rPr>
        <w:t xml:space="preserve"> </w:t>
      </w:r>
      <w:r w:rsidR="004F1CC2" w:rsidRPr="00D5464D">
        <w:rPr>
          <w:lang w:val="pt-BR"/>
        </w:rPr>
        <w:t>escravo</w:t>
      </w:r>
      <w:r w:rsidR="00207197" w:rsidRPr="00D5464D">
        <w:rPr>
          <w:lang w:val="pt-BR"/>
        </w:rPr>
        <w:t xml:space="preserve">, </w:t>
      </w:r>
      <w:r w:rsidR="000B376D" w:rsidRPr="00D5464D">
        <w:rPr>
          <w:lang w:val="pt-BR"/>
        </w:rPr>
        <w:t>servidão</w:t>
      </w:r>
      <w:r w:rsidR="00207197" w:rsidRPr="00D5464D">
        <w:rPr>
          <w:lang w:val="pt-BR"/>
        </w:rPr>
        <w:t xml:space="preserve"> o</w:t>
      </w:r>
      <w:r w:rsidR="00191393" w:rsidRPr="00D5464D">
        <w:rPr>
          <w:lang w:val="pt-BR"/>
        </w:rPr>
        <w:t>u</w:t>
      </w:r>
      <w:r w:rsidR="00207197" w:rsidRPr="00D5464D">
        <w:rPr>
          <w:lang w:val="pt-BR"/>
        </w:rPr>
        <w:t xml:space="preserve"> </w:t>
      </w:r>
      <w:r w:rsidR="00E045D9" w:rsidRPr="00D5464D">
        <w:rPr>
          <w:lang w:val="pt-BR"/>
        </w:rPr>
        <w:t>trabalho</w:t>
      </w:r>
      <w:r w:rsidR="001B63D0" w:rsidRPr="00D5464D">
        <w:rPr>
          <w:lang w:val="pt-BR"/>
        </w:rPr>
        <w:t xml:space="preserve"> </w:t>
      </w:r>
      <w:r w:rsidR="00230C71" w:rsidRPr="00D5464D">
        <w:rPr>
          <w:lang w:val="pt-BR"/>
        </w:rPr>
        <w:t>forçado</w:t>
      </w:r>
      <w:r w:rsidR="00E045D9" w:rsidRPr="00D5464D">
        <w:rPr>
          <w:lang w:val="pt-BR"/>
        </w:rPr>
        <w:t xml:space="preserve"> </w:t>
      </w:r>
      <w:r w:rsidR="00191393" w:rsidRPr="00D5464D">
        <w:rPr>
          <w:lang w:val="pt-BR"/>
        </w:rPr>
        <w:t xml:space="preserve">neste caso </w:t>
      </w:r>
      <w:r w:rsidR="00E045D9" w:rsidRPr="00D5464D">
        <w:rPr>
          <w:lang w:val="pt-BR"/>
        </w:rPr>
        <w:t xml:space="preserve">e </w:t>
      </w:r>
      <w:r w:rsidR="00207197" w:rsidRPr="00D5464D">
        <w:rPr>
          <w:lang w:val="pt-BR"/>
        </w:rPr>
        <w:t>que declare que n</w:t>
      </w:r>
      <w:r w:rsidR="00191393" w:rsidRPr="00D5464D">
        <w:rPr>
          <w:lang w:val="pt-BR"/>
        </w:rPr>
        <w:t>ã</w:t>
      </w:r>
      <w:r w:rsidR="00207197" w:rsidRPr="00D5464D">
        <w:rPr>
          <w:lang w:val="pt-BR"/>
        </w:rPr>
        <w:t xml:space="preserve">o </w:t>
      </w:r>
      <w:r w:rsidR="00737270" w:rsidRPr="00D5464D">
        <w:rPr>
          <w:lang w:val="pt-BR"/>
        </w:rPr>
        <w:t>existiram</w:t>
      </w:r>
      <w:r w:rsidR="00207197" w:rsidRPr="00D5464D">
        <w:rPr>
          <w:lang w:val="pt-BR"/>
        </w:rPr>
        <w:t xml:space="preserve"> viola</w:t>
      </w:r>
      <w:r w:rsidR="00470ADC" w:rsidRPr="00D5464D">
        <w:rPr>
          <w:lang w:val="pt-BR"/>
        </w:rPr>
        <w:t>ções</w:t>
      </w:r>
      <w:r w:rsidR="00191393" w:rsidRPr="00D5464D">
        <w:rPr>
          <w:lang w:val="pt-BR"/>
        </w:rPr>
        <w:t xml:space="preserve"> do artigo 6 da Convenção por parte do</w:t>
      </w:r>
      <w:r w:rsidR="00207197" w:rsidRPr="00D5464D">
        <w:rPr>
          <w:lang w:val="pt-BR"/>
        </w:rPr>
        <w:t xml:space="preserve"> Brasil. </w:t>
      </w:r>
    </w:p>
    <w:p w14:paraId="334C5E0F" w14:textId="77777777" w:rsidR="00207197" w:rsidRPr="00D5464D" w:rsidRDefault="00207197" w:rsidP="00140440">
      <w:pPr>
        <w:jc w:val="both"/>
        <w:rPr>
          <w:lang w:val="pt-BR"/>
        </w:rPr>
      </w:pPr>
    </w:p>
    <w:p w14:paraId="13C12777" w14:textId="4FA9AF86" w:rsidR="00207197" w:rsidRPr="00D5464D" w:rsidRDefault="00207197" w:rsidP="00F306D7">
      <w:pPr>
        <w:pStyle w:val="Ttulo2"/>
        <w:numPr>
          <w:ilvl w:val="0"/>
          <w:numId w:val="19"/>
        </w:numPr>
        <w:rPr>
          <w:lang w:val="pt-BR"/>
        </w:rPr>
      </w:pPr>
      <w:bookmarkStart w:id="391" w:name="_Toc468433919"/>
      <w:r w:rsidRPr="00D5464D">
        <w:rPr>
          <w:lang w:val="pt-BR"/>
        </w:rPr>
        <w:t>Considera</w:t>
      </w:r>
      <w:r w:rsidR="00470ADC" w:rsidRPr="00D5464D">
        <w:rPr>
          <w:lang w:val="pt-BR"/>
        </w:rPr>
        <w:t xml:space="preserve">ções da </w:t>
      </w:r>
      <w:r w:rsidRPr="00D5464D">
        <w:rPr>
          <w:lang w:val="pt-BR"/>
        </w:rPr>
        <w:t>Corte</w:t>
      </w:r>
      <w:bookmarkEnd w:id="391"/>
      <w:r w:rsidR="00FF1290" w:rsidRPr="00D5464D">
        <w:rPr>
          <w:lang w:val="pt-BR"/>
        </w:rPr>
        <w:t xml:space="preserve"> </w:t>
      </w:r>
    </w:p>
    <w:p w14:paraId="7413B4AD" w14:textId="77777777" w:rsidR="00207197" w:rsidRPr="00D5464D" w:rsidRDefault="00207197" w:rsidP="00140440">
      <w:pPr>
        <w:jc w:val="both"/>
        <w:rPr>
          <w:lang w:val="pt-BR"/>
        </w:rPr>
      </w:pPr>
    </w:p>
    <w:p w14:paraId="1F3BE228" w14:textId="25850B13" w:rsidR="003C2CE1" w:rsidRPr="00D5464D" w:rsidRDefault="00BF43C4" w:rsidP="00C66702">
      <w:pPr>
        <w:pStyle w:val="Prrafodelista"/>
        <w:numPr>
          <w:ilvl w:val="0"/>
          <w:numId w:val="1"/>
        </w:numPr>
        <w:contextualSpacing w:val="0"/>
        <w:rPr>
          <w:lang w:val="pt-BR"/>
        </w:rPr>
      </w:pPr>
      <w:r w:rsidRPr="00D5464D">
        <w:rPr>
          <w:lang w:val="pt-BR"/>
        </w:rPr>
        <w:t>Na</w:t>
      </w:r>
      <w:r w:rsidR="00470ADC" w:rsidRPr="00D5464D">
        <w:rPr>
          <w:lang w:val="pt-BR"/>
        </w:rPr>
        <w:t xml:space="preserve"> </w:t>
      </w:r>
      <w:r w:rsidR="00207197" w:rsidRPr="00D5464D">
        <w:rPr>
          <w:lang w:val="pt-BR"/>
        </w:rPr>
        <w:t xml:space="preserve">presente </w:t>
      </w:r>
      <w:r w:rsidR="00C91CB1" w:rsidRPr="00D5464D">
        <w:rPr>
          <w:lang w:val="pt-BR"/>
        </w:rPr>
        <w:t>seção</w:t>
      </w:r>
      <w:r w:rsidR="002C330E" w:rsidRPr="00D5464D">
        <w:rPr>
          <w:lang w:val="pt-BR"/>
        </w:rPr>
        <w:t xml:space="preserve"> a </w:t>
      </w:r>
      <w:r w:rsidR="00207197" w:rsidRPr="00D5464D">
        <w:rPr>
          <w:lang w:val="pt-BR"/>
        </w:rPr>
        <w:t>Corte realizará considera</w:t>
      </w:r>
      <w:r w:rsidR="00470ADC" w:rsidRPr="00D5464D">
        <w:rPr>
          <w:lang w:val="pt-BR"/>
        </w:rPr>
        <w:t>ções</w:t>
      </w:r>
      <w:r w:rsidR="00207197" w:rsidRPr="00D5464D">
        <w:rPr>
          <w:lang w:val="pt-BR"/>
        </w:rPr>
        <w:t xml:space="preserve"> sobre</w:t>
      </w:r>
      <w:r w:rsidR="002C330E" w:rsidRPr="00D5464D">
        <w:rPr>
          <w:lang w:val="pt-BR"/>
        </w:rPr>
        <w:t xml:space="preserve"> as </w:t>
      </w:r>
      <w:r w:rsidR="00207197" w:rsidRPr="00D5464D">
        <w:rPr>
          <w:lang w:val="pt-BR"/>
        </w:rPr>
        <w:t>alegadas viola</w:t>
      </w:r>
      <w:r w:rsidR="00470ADC" w:rsidRPr="00D5464D">
        <w:rPr>
          <w:lang w:val="pt-BR"/>
        </w:rPr>
        <w:t>ções</w:t>
      </w:r>
      <w:r w:rsidR="00E045D9" w:rsidRPr="00D5464D">
        <w:rPr>
          <w:lang w:val="pt-BR"/>
        </w:rPr>
        <w:t xml:space="preserve"> às várias</w:t>
      </w:r>
      <w:r w:rsidR="00207197" w:rsidRPr="00D5464D">
        <w:rPr>
          <w:lang w:val="pt-BR"/>
        </w:rPr>
        <w:t xml:space="preserve"> disposi</w:t>
      </w:r>
      <w:r w:rsidR="00470ADC" w:rsidRPr="00D5464D">
        <w:rPr>
          <w:lang w:val="pt-BR"/>
        </w:rPr>
        <w:t>ções</w:t>
      </w:r>
      <w:r w:rsidR="00207197" w:rsidRPr="00D5464D">
        <w:rPr>
          <w:lang w:val="pt-BR"/>
        </w:rPr>
        <w:t xml:space="preserve"> </w:t>
      </w:r>
      <w:r w:rsidR="00470ADC" w:rsidRPr="00D5464D">
        <w:rPr>
          <w:lang w:val="pt-BR"/>
        </w:rPr>
        <w:t>do artigo</w:t>
      </w:r>
      <w:r w:rsidR="00207197" w:rsidRPr="00D5464D">
        <w:rPr>
          <w:lang w:val="pt-BR"/>
        </w:rPr>
        <w:t xml:space="preserve"> 6</w:t>
      </w:r>
      <w:r w:rsidR="00470ADC" w:rsidRPr="00D5464D">
        <w:rPr>
          <w:lang w:val="pt-BR"/>
        </w:rPr>
        <w:t xml:space="preserve"> da </w:t>
      </w:r>
      <w:r w:rsidR="00207197" w:rsidRPr="00D5464D">
        <w:rPr>
          <w:lang w:val="pt-BR"/>
        </w:rPr>
        <w:t>Conven</w:t>
      </w:r>
      <w:r w:rsidR="00470ADC" w:rsidRPr="00D5464D">
        <w:rPr>
          <w:lang w:val="pt-BR"/>
        </w:rPr>
        <w:t>ção</w:t>
      </w:r>
      <w:r w:rsidR="00207197" w:rsidRPr="00D5464D">
        <w:rPr>
          <w:lang w:val="pt-BR"/>
        </w:rPr>
        <w:t xml:space="preserve"> Americana </w:t>
      </w:r>
      <w:r w:rsidR="002C330E" w:rsidRPr="00D5464D">
        <w:rPr>
          <w:lang w:val="pt-BR"/>
        </w:rPr>
        <w:t>a respeito</w:t>
      </w:r>
      <w:r w:rsidR="00470ADC" w:rsidRPr="00D5464D">
        <w:rPr>
          <w:lang w:val="pt-BR"/>
        </w:rPr>
        <w:t xml:space="preserve"> da </w:t>
      </w:r>
      <w:r w:rsidR="002C330E" w:rsidRPr="00D5464D">
        <w:rPr>
          <w:lang w:val="pt-BR"/>
        </w:rPr>
        <w:t>proibição</w:t>
      </w:r>
      <w:r w:rsidR="00470ADC" w:rsidRPr="00D5464D">
        <w:rPr>
          <w:lang w:val="pt-BR"/>
        </w:rPr>
        <w:t xml:space="preserve"> da </w:t>
      </w:r>
      <w:r w:rsidR="000B376D" w:rsidRPr="00D5464D">
        <w:rPr>
          <w:lang w:val="pt-BR"/>
        </w:rPr>
        <w:t>escravidão</w:t>
      </w:r>
      <w:r w:rsidR="00207197" w:rsidRPr="00D5464D">
        <w:rPr>
          <w:lang w:val="pt-BR"/>
        </w:rPr>
        <w:t xml:space="preserve">, </w:t>
      </w:r>
      <w:r w:rsidR="000B376D" w:rsidRPr="00D5464D">
        <w:rPr>
          <w:lang w:val="pt-BR"/>
        </w:rPr>
        <w:t>servidão</w:t>
      </w:r>
      <w:r w:rsidR="00207197" w:rsidRPr="00D5464D">
        <w:rPr>
          <w:lang w:val="pt-BR"/>
        </w:rPr>
        <w:t xml:space="preserve">, </w:t>
      </w:r>
      <w:r w:rsidR="00E045D9" w:rsidRPr="00D5464D">
        <w:rPr>
          <w:lang w:val="pt-BR"/>
        </w:rPr>
        <w:t>trabalho</w:t>
      </w:r>
      <w:r w:rsidR="001B63D0" w:rsidRPr="00D5464D">
        <w:rPr>
          <w:lang w:val="pt-BR"/>
        </w:rPr>
        <w:t xml:space="preserve"> </w:t>
      </w:r>
      <w:r w:rsidR="00230C71" w:rsidRPr="00D5464D">
        <w:rPr>
          <w:lang w:val="pt-BR"/>
        </w:rPr>
        <w:t>forçado</w:t>
      </w:r>
      <w:r w:rsidR="00E045D9" w:rsidRPr="00D5464D">
        <w:rPr>
          <w:lang w:val="pt-BR"/>
        </w:rPr>
        <w:t xml:space="preserve"> e</w:t>
      </w:r>
      <w:r w:rsidR="000B376D" w:rsidRPr="00D5464D">
        <w:rPr>
          <w:lang w:val="pt-BR"/>
        </w:rPr>
        <w:t xml:space="preserve"> tráfico de </w:t>
      </w:r>
      <w:r w:rsidR="002C330E" w:rsidRPr="00D5464D">
        <w:rPr>
          <w:lang w:val="pt-BR"/>
        </w:rPr>
        <w:t>pessoa</w:t>
      </w:r>
      <w:r w:rsidR="00207197" w:rsidRPr="00D5464D">
        <w:rPr>
          <w:lang w:val="pt-BR"/>
        </w:rPr>
        <w:t xml:space="preserve">s. </w:t>
      </w:r>
      <w:r w:rsidR="00350187" w:rsidRPr="00D5464D">
        <w:rPr>
          <w:lang w:val="pt-BR"/>
        </w:rPr>
        <w:t xml:space="preserve">Para isso, </w:t>
      </w:r>
      <w:r w:rsidR="00470ADC" w:rsidRPr="00D5464D">
        <w:rPr>
          <w:lang w:val="pt-BR"/>
        </w:rPr>
        <w:t xml:space="preserve">o </w:t>
      </w:r>
      <w:r w:rsidR="00207197" w:rsidRPr="00D5464D">
        <w:rPr>
          <w:lang w:val="pt-BR"/>
        </w:rPr>
        <w:t xml:space="preserve">Tribunal: i) </w:t>
      </w:r>
      <w:r w:rsidR="00470ADC" w:rsidRPr="00D5464D">
        <w:rPr>
          <w:lang w:val="pt-BR"/>
        </w:rPr>
        <w:t xml:space="preserve">analisará </w:t>
      </w:r>
      <w:r w:rsidR="00767387" w:rsidRPr="00D5464D">
        <w:rPr>
          <w:lang w:val="pt-BR"/>
        </w:rPr>
        <w:t xml:space="preserve">a evolução </w:t>
      </w:r>
      <w:r w:rsidR="00E045D9" w:rsidRPr="00D5464D">
        <w:rPr>
          <w:lang w:val="pt-BR"/>
        </w:rPr>
        <w:t>deste</w:t>
      </w:r>
      <w:r w:rsidR="00470ADC" w:rsidRPr="00D5464D">
        <w:rPr>
          <w:lang w:val="pt-BR"/>
        </w:rPr>
        <w:t>s conceito</w:t>
      </w:r>
      <w:r w:rsidR="00207197" w:rsidRPr="00D5464D">
        <w:rPr>
          <w:lang w:val="pt-BR"/>
        </w:rPr>
        <w:t>s</w:t>
      </w:r>
      <w:r w:rsidR="00E045D9" w:rsidRPr="00D5464D">
        <w:rPr>
          <w:lang w:val="pt-BR"/>
        </w:rPr>
        <w:t xml:space="preserve"> no </w:t>
      </w:r>
      <w:r w:rsidR="00E765C2" w:rsidRPr="00D5464D">
        <w:rPr>
          <w:lang w:val="pt-BR"/>
        </w:rPr>
        <w:t>Direito Internacional</w:t>
      </w:r>
      <w:r w:rsidR="00207197" w:rsidRPr="00D5464D">
        <w:rPr>
          <w:lang w:val="pt-BR"/>
        </w:rPr>
        <w:t>; para</w:t>
      </w:r>
      <w:r w:rsidR="00F646B8" w:rsidRPr="00D5464D">
        <w:rPr>
          <w:lang w:val="pt-BR"/>
        </w:rPr>
        <w:t>,</w:t>
      </w:r>
      <w:r w:rsidR="00207197" w:rsidRPr="00D5464D">
        <w:rPr>
          <w:lang w:val="pt-BR"/>
        </w:rPr>
        <w:t xml:space="preserve"> </w:t>
      </w:r>
      <w:r w:rsidR="00E045D9" w:rsidRPr="00D5464D">
        <w:rPr>
          <w:lang w:val="pt-BR"/>
        </w:rPr>
        <w:t>então</w:t>
      </w:r>
      <w:r w:rsidR="00F646B8" w:rsidRPr="00D5464D">
        <w:rPr>
          <w:lang w:val="pt-BR"/>
        </w:rPr>
        <w:t>,</w:t>
      </w:r>
      <w:r w:rsidR="00207197" w:rsidRPr="00D5464D">
        <w:rPr>
          <w:lang w:val="pt-BR"/>
        </w:rPr>
        <w:t xml:space="preserve"> ii) determinar</w:t>
      </w:r>
      <w:r w:rsidR="00470ADC" w:rsidRPr="00D5464D">
        <w:rPr>
          <w:lang w:val="pt-BR"/>
        </w:rPr>
        <w:t xml:space="preserve"> o conteúdo das </w:t>
      </w:r>
      <w:r w:rsidR="00207197" w:rsidRPr="00D5464D">
        <w:rPr>
          <w:lang w:val="pt-BR"/>
        </w:rPr>
        <w:t>disposi</w:t>
      </w:r>
      <w:r w:rsidR="00470ADC" w:rsidRPr="00D5464D">
        <w:rPr>
          <w:lang w:val="pt-BR"/>
        </w:rPr>
        <w:t>ções</w:t>
      </w:r>
      <w:r w:rsidR="00207197" w:rsidRPr="00D5464D">
        <w:rPr>
          <w:lang w:val="pt-BR"/>
        </w:rPr>
        <w:t xml:space="preserve"> previstas</w:t>
      </w:r>
      <w:r w:rsidR="00E045D9" w:rsidRPr="00D5464D">
        <w:rPr>
          <w:lang w:val="pt-BR"/>
        </w:rPr>
        <w:t xml:space="preserve"> no </w:t>
      </w:r>
      <w:r w:rsidR="00470ADC" w:rsidRPr="00D5464D">
        <w:rPr>
          <w:lang w:val="pt-BR"/>
        </w:rPr>
        <w:t>artigo</w:t>
      </w:r>
      <w:r w:rsidR="00207197" w:rsidRPr="00D5464D">
        <w:rPr>
          <w:lang w:val="pt-BR"/>
        </w:rPr>
        <w:t xml:space="preserve"> 6</w:t>
      </w:r>
      <w:r w:rsidR="00470ADC" w:rsidRPr="00D5464D">
        <w:rPr>
          <w:lang w:val="pt-BR"/>
        </w:rPr>
        <w:t xml:space="preserve"> da </w:t>
      </w:r>
      <w:r w:rsidR="00207197" w:rsidRPr="00D5464D">
        <w:rPr>
          <w:lang w:val="pt-BR"/>
        </w:rPr>
        <w:t>Conven</w:t>
      </w:r>
      <w:r w:rsidR="00470ADC" w:rsidRPr="00D5464D">
        <w:rPr>
          <w:lang w:val="pt-BR"/>
        </w:rPr>
        <w:t>ção</w:t>
      </w:r>
      <w:r w:rsidR="00207197" w:rsidRPr="00D5464D">
        <w:rPr>
          <w:lang w:val="pt-BR"/>
        </w:rPr>
        <w:t xml:space="preserve"> Americana</w:t>
      </w:r>
      <w:r w:rsidR="00470ADC" w:rsidRPr="00D5464D">
        <w:rPr>
          <w:lang w:val="pt-BR"/>
        </w:rPr>
        <w:t>; e</w:t>
      </w:r>
      <w:r w:rsidRPr="00D5464D">
        <w:rPr>
          <w:lang w:val="pt-BR"/>
        </w:rPr>
        <w:t>,</w:t>
      </w:r>
      <w:r w:rsidR="00207197" w:rsidRPr="00D5464D">
        <w:rPr>
          <w:lang w:val="pt-BR"/>
        </w:rPr>
        <w:t xml:space="preserve"> </w:t>
      </w:r>
      <w:r w:rsidRPr="00D5464D">
        <w:rPr>
          <w:lang w:val="pt-BR"/>
        </w:rPr>
        <w:t xml:space="preserve">a seguir, </w:t>
      </w:r>
      <w:r w:rsidR="00207197" w:rsidRPr="00D5464D">
        <w:rPr>
          <w:lang w:val="pt-BR"/>
        </w:rPr>
        <w:t>iii) verificar</w:t>
      </w:r>
      <w:r w:rsidR="002C330E" w:rsidRPr="00D5464D">
        <w:rPr>
          <w:lang w:val="pt-BR"/>
        </w:rPr>
        <w:t xml:space="preserve"> se os fatos</w:t>
      </w:r>
      <w:r w:rsidR="00207197" w:rsidRPr="00D5464D">
        <w:rPr>
          <w:lang w:val="pt-BR"/>
        </w:rPr>
        <w:t xml:space="preserve"> </w:t>
      </w:r>
      <w:r w:rsidR="00470ADC" w:rsidRPr="00D5464D">
        <w:rPr>
          <w:lang w:val="pt-BR"/>
        </w:rPr>
        <w:t xml:space="preserve">do </w:t>
      </w:r>
      <w:r w:rsidR="00207197" w:rsidRPr="00D5464D">
        <w:rPr>
          <w:lang w:val="pt-BR"/>
        </w:rPr>
        <w:t>presente caso re</w:t>
      </w:r>
      <w:r w:rsidR="002C330E" w:rsidRPr="00D5464D">
        <w:rPr>
          <w:lang w:val="pt-BR"/>
        </w:rPr>
        <w:t>presentaram</w:t>
      </w:r>
      <w:r w:rsidR="00207197" w:rsidRPr="00D5464D">
        <w:rPr>
          <w:lang w:val="pt-BR"/>
        </w:rPr>
        <w:t xml:space="preserve"> viola</w:t>
      </w:r>
      <w:r w:rsidR="00470ADC" w:rsidRPr="00D5464D">
        <w:rPr>
          <w:lang w:val="pt-BR"/>
        </w:rPr>
        <w:t xml:space="preserve">ções à </w:t>
      </w:r>
      <w:r w:rsidR="00207197" w:rsidRPr="00D5464D">
        <w:rPr>
          <w:lang w:val="pt-BR"/>
        </w:rPr>
        <w:t>Conven</w:t>
      </w:r>
      <w:r w:rsidR="00470ADC" w:rsidRPr="00D5464D">
        <w:rPr>
          <w:lang w:val="pt-BR"/>
        </w:rPr>
        <w:t>ção</w:t>
      </w:r>
      <w:r w:rsidR="00207197" w:rsidRPr="00D5464D">
        <w:rPr>
          <w:lang w:val="pt-BR"/>
        </w:rPr>
        <w:t xml:space="preserve"> Americana sobre </w:t>
      </w:r>
      <w:r w:rsidR="00470ADC" w:rsidRPr="00D5464D">
        <w:rPr>
          <w:lang w:val="pt-BR"/>
        </w:rPr>
        <w:t>Direito</w:t>
      </w:r>
      <w:r w:rsidR="00207197" w:rsidRPr="00D5464D">
        <w:rPr>
          <w:lang w:val="pt-BR"/>
        </w:rPr>
        <w:t xml:space="preserve">s Humanos. </w:t>
      </w:r>
    </w:p>
    <w:p w14:paraId="78347053" w14:textId="77777777" w:rsidR="00DE3E58" w:rsidRPr="00D5464D" w:rsidRDefault="00DE3E58" w:rsidP="00DE3E58">
      <w:pPr>
        <w:pStyle w:val="Prrafodelista"/>
        <w:ind w:left="0"/>
        <w:contextualSpacing w:val="0"/>
        <w:rPr>
          <w:lang w:val="pt-BR"/>
        </w:rPr>
      </w:pPr>
    </w:p>
    <w:p w14:paraId="440718A4" w14:textId="6C223ABE" w:rsidR="00207197" w:rsidRPr="00D5464D" w:rsidRDefault="00470ADC" w:rsidP="00F37DC4">
      <w:pPr>
        <w:pStyle w:val="Prrafodelista"/>
        <w:numPr>
          <w:ilvl w:val="0"/>
          <w:numId w:val="1"/>
        </w:numPr>
        <w:contextualSpacing w:val="0"/>
        <w:rPr>
          <w:lang w:val="pt-BR"/>
        </w:rPr>
      </w:pPr>
      <w:r w:rsidRPr="00D5464D">
        <w:rPr>
          <w:lang w:val="pt-BR"/>
        </w:rPr>
        <w:t>O artigo</w:t>
      </w:r>
      <w:r w:rsidR="00207197" w:rsidRPr="00D5464D">
        <w:rPr>
          <w:lang w:val="pt-BR"/>
        </w:rPr>
        <w:t xml:space="preserve"> 6</w:t>
      </w:r>
      <w:r w:rsidRPr="00D5464D">
        <w:rPr>
          <w:lang w:val="pt-BR"/>
        </w:rPr>
        <w:t xml:space="preserve"> da </w:t>
      </w:r>
      <w:r w:rsidR="00207197" w:rsidRPr="00D5464D">
        <w:rPr>
          <w:lang w:val="pt-BR"/>
        </w:rPr>
        <w:t>Conven</w:t>
      </w:r>
      <w:r w:rsidRPr="00D5464D">
        <w:rPr>
          <w:lang w:val="pt-BR"/>
        </w:rPr>
        <w:t>ção</w:t>
      </w:r>
      <w:r w:rsidR="00207197" w:rsidRPr="00D5464D">
        <w:rPr>
          <w:lang w:val="pt-BR"/>
        </w:rPr>
        <w:t xml:space="preserve"> Americana </w:t>
      </w:r>
      <w:r w:rsidRPr="00D5464D">
        <w:rPr>
          <w:lang w:val="pt-BR"/>
        </w:rPr>
        <w:t>dispõe</w:t>
      </w:r>
      <w:r w:rsidR="00207197" w:rsidRPr="00D5464D">
        <w:rPr>
          <w:lang w:val="pt-BR"/>
        </w:rPr>
        <w:t xml:space="preserve"> que: </w:t>
      </w:r>
    </w:p>
    <w:p w14:paraId="5F493227" w14:textId="77777777" w:rsidR="00207197" w:rsidRPr="00D5464D" w:rsidRDefault="00207197" w:rsidP="00140440">
      <w:pPr>
        <w:pStyle w:val="Prrafodelista"/>
        <w:ind w:left="0"/>
        <w:rPr>
          <w:lang w:val="pt-BR"/>
        </w:rPr>
      </w:pPr>
    </w:p>
    <w:p w14:paraId="1615F58F" w14:textId="61B1AE84" w:rsidR="00207197" w:rsidRPr="00D5464D" w:rsidRDefault="00FF1290" w:rsidP="00524926">
      <w:pPr>
        <w:tabs>
          <w:tab w:val="clear" w:pos="4419"/>
          <w:tab w:val="clear" w:pos="8838"/>
          <w:tab w:val="right" w:pos="0"/>
        </w:tabs>
        <w:ind w:left="709" w:right="804"/>
        <w:jc w:val="both"/>
        <w:rPr>
          <w:sz w:val="16"/>
          <w:szCs w:val="16"/>
          <w:lang w:val="pt-BR"/>
        </w:rPr>
      </w:pPr>
      <w:r w:rsidRPr="00D5464D">
        <w:rPr>
          <w:sz w:val="16"/>
          <w:szCs w:val="16"/>
          <w:lang w:val="pt-BR"/>
        </w:rPr>
        <w:t xml:space="preserve"> </w:t>
      </w:r>
      <w:r w:rsidR="00A14A09" w:rsidRPr="00D5464D">
        <w:rPr>
          <w:sz w:val="16"/>
          <w:szCs w:val="16"/>
          <w:lang w:val="pt-BR"/>
        </w:rPr>
        <w:t xml:space="preserve"> </w:t>
      </w:r>
      <w:r w:rsidR="00470ADC" w:rsidRPr="00D5464D">
        <w:rPr>
          <w:sz w:val="16"/>
          <w:szCs w:val="16"/>
          <w:lang w:val="pt-BR"/>
        </w:rPr>
        <w:t>Artigo</w:t>
      </w:r>
      <w:r w:rsidR="00207197" w:rsidRPr="00D5464D">
        <w:rPr>
          <w:sz w:val="16"/>
          <w:szCs w:val="16"/>
          <w:lang w:val="pt-BR"/>
        </w:rPr>
        <w:t xml:space="preserve"> 6.</w:t>
      </w:r>
      <w:r w:rsidRPr="00D5464D">
        <w:rPr>
          <w:sz w:val="16"/>
          <w:szCs w:val="16"/>
          <w:lang w:val="pt-BR"/>
        </w:rPr>
        <w:t xml:space="preserve"> </w:t>
      </w:r>
      <w:r w:rsidR="002C330E" w:rsidRPr="00D5464D">
        <w:rPr>
          <w:sz w:val="16"/>
          <w:szCs w:val="16"/>
          <w:lang w:val="pt-BR"/>
        </w:rPr>
        <w:t>Proibição</w:t>
      </w:r>
      <w:r w:rsidR="00470ADC" w:rsidRPr="00D5464D">
        <w:rPr>
          <w:sz w:val="16"/>
          <w:szCs w:val="16"/>
          <w:lang w:val="pt-BR"/>
        </w:rPr>
        <w:t xml:space="preserve"> da </w:t>
      </w:r>
      <w:r w:rsidR="00BF43C4" w:rsidRPr="00D5464D">
        <w:rPr>
          <w:sz w:val="16"/>
          <w:szCs w:val="16"/>
          <w:lang w:val="pt-BR"/>
        </w:rPr>
        <w:t>e</w:t>
      </w:r>
      <w:r w:rsidR="000B376D" w:rsidRPr="00D5464D">
        <w:rPr>
          <w:sz w:val="16"/>
          <w:szCs w:val="16"/>
          <w:lang w:val="pt-BR"/>
        </w:rPr>
        <w:t>scravidão</w:t>
      </w:r>
      <w:r w:rsidR="00E045D9" w:rsidRPr="00D5464D">
        <w:rPr>
          <w:sz w:val="16"/>
          <w:szCs w:val="16"/>
          <w:lang w:val="pt-BR"/>
        </w:rPr>
        <w:t xml:space="preserve"> e </w:t>
      </w:r>
      <w:r w:rsidR="00BF43C4" w:rsidRPr="00D5464D">
        <w:rPr>
          <w:sz w:val="16"/>
          <w:szCs w:val="16"/>
          <w:lang w:val="pt-BR"/>
        </w:rPr>
        <w:t>da s</w:t>
      </w:r>
      <w:r w:rsidR="000B376D" w:rsidRPr="00D5464D">
        <w:rPr>
          <w:sz w:val="16"/>
          <w:szCs w:val="16"/>
          <w:lang w:val="pt-BR"/>
        </w:rPr>
        <w:t>ervidão</w:t>
      </w:r>
    </w:p>
    <w:p w14:paraId="5D536875" w14:textId="6EAEC75F" w:rsidR="00BF43C4" w:rsidRPr="00D5464D" w:rsidRDefault="00BF43C4" w:rsidP="00BF43C4">
      <w:pPr>
        <w:ind w:left="709" w:right="804"/>
        <w:jc w:val="both"/>
        <w:rPr>
          <w:sz w:val="16"/>
          <w:szCs w:val="16"/>
          <w:lang w:val="pt-BR"/>
        </w:rPr>
      </w:pPr>
      <w:r w:rsidRPr="00D5464D">
        <w:rPr>
          <w:sz w:val="16"/>
          <w:szCs w:val="16"/>
          <w:lang w:val="pt-BR"/>
        </w:rPr>
        <w:t>1.</w:t>
      </w:r>
      <w:r w:rsidRPr="00D5464D">
        <w:rPr>
          <w:sz w:val="16"/>
          <w:szCs w:val="16"/>
          <w:lang w:val="pt-BR"/>
        </w:rPr>
        <w:tab/>
        <w:t>Ninguém pode ser submetido a escravidão ou a servidão, e tanto estas como o tráfico de escravos e o tráfico de mulheres são proibidos em todas as suas formas.</w:t>
      </w:r>
    </w:p>
    <w:p w14:paraId="6BF9AC5C" w14:textId="42237309" w:rsidR="00BF43C4" w:rsidRPr="00D5464D" w:rsidRDefault="00BF43C4" w:rsidP="00BF43C4">
      <w:pPr>
        <w:ind w:left="709" w:right="804"/>
        <w:jc w:val="both"/>
        <w:rPr>
          <w:sz w:val="16"/>
          <w:szCs w:val="16"/>
          <w:lang w:val="pt-BR"/>
        </w:rPr>
      </w:pPr>
      <w:r w:rsidRPr="00D5464D">
        <w:rPr>
          <w:sz w:val="16"/>
          <w:szCs w:val="16"/>
          <w:lang w:val="pt-BR"/>
        </w:rPr>
        <w:t>2. Ninguém deve ser constrangido a executar trabalho forçado ou obrigatório. Nos países em que se prescreve, para certos delitos, pena privativa da liberdade acompanhada de trabalhos forçados, esta disposição não pode ser interpretada no sentido de que proíbe o cumprimento da dita pena, imposta por juiz ou tribunal competente. O trabalho forçado não deve afetar a dignidade nem a capacidade física e intelectual do recluso.</w:t>
      </w:r>
    </w:p>
    <w:p w14:paraId="5ABA33E4" w14:textId="6500ECEB" w:rsidR="00BF43C4" w:rsidRPr="00D5464D" w:rsidRDefault="00BF43C4" w:rsidP="00BF43C4">
      <w:pPr>
        <w:ind w:left="709" w:right="804"/>
        <w:jc w:val="both"/>
        <w:rPr>
          <w:sz w:val="16"/>
          <w:szCs w:val="16"/>
          <w:lang w:val="pt-BR"/>
        </w:rPr>
      </w:pPr>
      <w:r w:rsidRPr="00D5464D">
        <w:rPr>
          <w:sz w:val="16"/>
          <w:szCs w:val="16"/>
          <w:lang w:val="pt-BR"/>
        </w:rPr>
        <w:t>3. Não constituem trabalhos forçados ou obrigatórios para os efeitos deste artigo:</w:t>
      </w:r>
    </w:p>
    <w:p w14:paraId="38583D86" w14:textId="6F8DEC9A" w:rsidR="00BF43C4" w:rsidRPr="00D5464D" w:rsidRDefault="00BF43C4" w:rsidP="00BF43C4">
      <w:pPr>
        <w:ind w:left="709" w:right="804"/>
        <w:jc w:val="both"/>
        <w:rPr>
          <w:sz w:val="16"/>
          <w:szCs w:val="16"/>
          <w:lang w:val="pt-BR"/>
        </w:rPr>
      </w:pPr>
      <w:r w:rsidRPr="00D5464D">
        <w:rPr>
          <w:sz w:val="16"/>
          <w:szCs w:val="16"/>
          <w:lang w:val="pt-BR"/>
        </w:rPr>
        <w:t>a. os trabalhos ou serviços normalmente exigidos de pessoa reclusa em cumprimento de sentença ou resolução formal expedida pela autoridade judiciária competente. Tais trabalhos ou serviços devem ser executados sob a vigilância e controle das autoridades públicas, e os indivíduos que os executarem não devem ser postos à disposição de particulares, companhias ou pessoas jurídicas de caráter privado;</w:t>
      </w:r>
    </w:p>
    <w:p w14:paraId="3EA23C27" w14:textId="4334DA89" w:rsidR="00BF43C4" w:rsidRPr="00D5464D" w:rsidRDefault="00BF43C4" w:rsidP="00BF43C4">
      <w:pPr>
        <w:ind w:left="709" w:right="804"/>
        <w:jc w:val="both"/>
        <w:rPr>
          <w:sz w:val="16"/>
          <w:szCs w:val="16"/>
          <w:lang w:val="pt-BR"/>
        </w:rPr>
      </w:pPr>
      <w:r w:rsidRPr="00D5464D">
        <w:rPr>
          <w:sz w:val="16"/>
          <w:szCs w:val="16"/>
          <w:lang w:val="pt-BR"/>
        </w:rPr>
        <w:t>b.</w:t>
      </w:r>
      <w:r w:rsidRPr="00D5464D">
        <w:rPr>
          <w:sz w:val="16"/>
          <w:szCs w:val="16"/>
          <w:lang w:val="pt-BR"/>
        </w:rPr>
        <w:tab/>
        <w:t xml:space="preserve"> o serviço militar e, nos países onde se admite a isenção por motivos de consciência, o serviço nacional que a lei estabelecer em lugar daquele;</w:t>
      </w:r>
    </w:p>
    <w:p w14:paraId="010A1F00" w14:textId="77777777" w:rsidR="008F0A01" w:rsidRPr="00D5464D" w:rsidRDefault="00BF43C4" w:rsidP="00BF43C4">
      <w:pPr>
        <w:ind w:left="709" w:right="804"/>
        <w:jc w:val="both"/>
        <w:rPr>
          <w:sz w:val="16"/>
          <w:szCs w:val="16"/>
          <w:lang w:val="pt-BR"/>
        </w:rPr>
      </w:pPr>
      <w:r w:rsidRPr="00D5464D">
        <w:rPr>
          <w:sz w:val="16"/>
          <w:szCs w:val="16"/>
          <w:lang w:val="pt-BR"/>
        </w:rPr>
        <w:t>c.</w:t>
      </w:r>
      <w:r w:rsidRPr="00D5464D">
        <w:rPr>
          <w:sz w:val="16"/>
          <w:szCs w:val="16"/>
          <w:lang w:val="pt-BR"/>
        </w:rPr>
        <w:tab/>
        <w:t xml:space="preserve"> o serviço imposto em casos de perigo ou calamidade que ameace a existência ou o bem-estar da comunidade; e</w:t>
      </w:r>
    </w:p>
    <w:p w14:paraId="37840E38" w14:textId="728FE9EF" w:rsidR="00207197" w:rsidRPr="00D5464D" w:rsidRDefault="00BF43C4" w:rsidP="00BF43C4">
      <w:pPr>
        <w:ind w:left="709" w:right="804"/>
        <w:jc w:val="both"/>
        <w:rPr>
          <w:sz w:val="16"/>
          <w:szCs w:val="16"/>
          <w:lang w:val="pt-BR"/>
        </w:rPr>
      </w:pPr>
      <w:r w:rsidRPr="00D5464D">
        <w:rPr>
          <w:sz w:val="16"/>
          <w:szCs w:val="16"/>
          <w:lang w:val="pt-BR"/>
        </w:rPr>
        <w:t>d.</w:t>
      </w:r>
      <w:r w:rsidR="00C93A4F" w:rsidRPr="00D5464D">
        <w:rPr>
          <w:sz w:val="16"/>
          <w:szCs w:val="16"/>
          <w:lang w:val="pt-BR"/>
        </w:rPr>
        <w:t xml:space="preserve"> </w:t>
      </w:r>
      <w:r w:rsidRPr="00D5464D">
        <w:rPr>
          <w:sz w:val="16"/>
          <w:szCs w:val="16"/>
          <w:lang w:val="pt-BR"/>
        </w:rPr>
        <w:t>o trabalho ou serviço que faça parte das obrigações cívicas normais.</w:t>
      </w:r>
    </w:p>
    <w:p w14:paraId="602254C8" w14:textId="77777777" w:rsidR="00207197" w:rsidRPr="00D5464D" w:rsidRDefault="00207197" w:rsidP="00140440">
      <w:pPr>
        <w:jc w:val="both"/>
        <w:rPr>
          <w:szCs w:val="20"/>
          <w:lang w:val="pt-BR"/>
        </w:rPr>
      </w:pPr>
    </w:p>
    <w:p w14:paraId="201B5FB7" w14:textId="1A925A5C" w:rsidR="00402077" w:rsidRPr="00D5464D" w:rsidRDefault="00402077" w:rsidP="000944E7">
      <w:pPr>
        <w:pStyle w:val="Prrafodelista"/>
        <w:numPr>
          <w:ilvl w:val="0"/>
          <w:numId w:val="1"/>
        </w:numPr>
        <w:contextualSpacing w:val="0"/>
        <w:rPr>
          <w:lang w:val="pt-BR"/>
        </w:rPr>
      </w:pPr>
      <w:r w:rsidRPr="00D5464D">
        <w:rPr>
          <w:lang w:val="pt-BR"/>
        </w:rPr>
        <w:t xml:space="preserve">Para </w:t>
      </w:r>
      <w:r w:rsidR="00470ADC" w:rsidRPr="00D5464D">
        <w:rPr>
          <w:lang w:val="pt-BR"/>
        </w:rPr>
        <w:t>efeito</w:t>
      </w:r>
      <w:r w:rsidRPr="00D5464D">
        <w:rPr>
          <w:lang w:val="pt-BR"/>
        </w:rPr>
        <w:t>s</w:t>
      </w:r>
      <w:r w:rsidR="00470ADC" w:rsidRPr="00D5464D">
        <w:rPr>
          <w:lang w:val="pt-BR"/>
        </w:rPr>
        <w:t xml:space="preserve"> desta </w:t>
      </w:r>
      <w:r w:rsidR="002C330E" w:rsidRPr="00D5464D">
        <w:rPr>
          <w:lang w:val="pt-BR"/>
        </w:rPr>
        <w:t>Sentença</w:t>
      </w:r>
      <w:r w:rsidRPr="00D5464D">
        <w:rPr>
          <w:lang w:val="pt-BR"/>
        </w:rPr>
        <w:t>,</w:t>
      </w:r>
      <w:r w:rsidR="002C330E" w:rsidRPr="00D5464D">
        <w:rPr>
          <w:lang w:val="pt-BR"/>
        </w:rPr>
        <w:t xml:space="preserve"> a </w:t>
      </w:r>
      <w:r w:rsidRPr="00D5464D">
        <w:rPr>
          <w:lang w:val="pt-BR"/>
        </w:rPr>
        <w:t>Corte considera</w:t>
      </w:r>
      <w:r w:rsidR="00767387" w:rsidRPr="00D5464D">
        <w:rPr>
          <w:lang w:val="pt-BR"/>
        </w:rPr>
        <w:t xml:space="preserve">rá </w:t>
      </w:r>
      <w:r w:rsidR="00E045D9" w:rsidRPr="00D5464D">
        <w:rPr>
          <w:lang w:val="pt-BR"/>
        </w:rPr>
        <w:t>unicamente</w:t>
      </w:r>
      <w:r w:rsidR="002C330E" w:rsidRPr="00D5464D">
        <w:rPr>
          <w:lang w:val="pt-BR"/>
        </w:rPr>
        <w:t xml:space="preserve"> os </w:t>
      </w:r>
      <w:r w:rsidRPr="00D5464D">
        <w:rPr>
          <w:lang w:val="pt-BR"/>
        </w:rPr>
        <w:t>incisos 1 (</w:t>
      </w:r>
      <w:r w:rsidR="000B376D" w:rsidRPr="00D5464D">
        <w:rPr>
          <w:lang w:val="pt-BR"/>
        </w:rPr>
        <w:t>escravidão</w:t>
      </w:r>
      <w:r w:rsidRPr="00D5464D">
        <w:rPr>
          <w:lang w:val="pt-BR"/>
        </w:rPr>
        <w:t xml:space="preserve">, </w:t>
      </w:r>
      <w:r w:rsidR="000B376D" w:rsidRPr="00D5464D">
        <w:rPr>
          <w:lang w:val="pt-BR"/>
        </w:rPr>
        <w:t>servidão</w:t>
      </w:r>
      <w:r w:rsidR="00E045D9" w:rsidRPr="00D5464D">
        <w:rPr>
          <w:lang w:val="pt-BR"/>
        </w:rPr>
        <w:t xml:space="preserve"> e</w:t>
      </w:r>
      <w:r w:rsidR="000B376D" w:rsidRPr="00D5464D">
        <w:rPr>
          <w:lang w:val="pt-BR"/>
        </w:rPr>
        <w:t xml:space="preserve"> tráfico de </w:t>
      </w:r>
      <w:r w:rsidR="004F1CC2" w:rsidRPr="00D5464D">
        <w:rPr>
          <w:lang w:val="pt-BR"/>
        </w:rPr>
        <w:t>escravo</w:t>
      </w:r>
      <w:r w:rsidRPr="00D5464D">
        <w:rPr>
          <w:lang w:val="pt-BR"/>
        </w:rPr>
        <w:t>s</w:t>
      </w:r>
      <w:r w:rsidR="00E045D9" w:rsidRPr="00D5464D">
        <w:rPr>
          <w:lang w:val="pt-BR"/>
        </w:rPr>
        <w:t xml:space="preserve"> e </w:t>
      </w:r>
      <w:r w:rsidR="002C330E" w:rsidRPr="00D5464D">
        <w:rPr>
          <w:lang w:val="pt-BR"/>
        </w:rPr>
        <w:t>mulher</w:t>
      </w:r>
      <w:r w:rsidRPr="00D5464D">
        <w:rPr>
          <w:lang w:val="pt-BR"/>
        </w:rPr>
        <w:t>es)</w:t>
      </w:r>
      <w:r w:rsidR="00E045D9" w:rsidRPr="00D5464D">
        <w:rPr>
          <w:lang w:val="pt-BR"/>
        </w:rPr>
        <w:t xml:space="preserve"> e </w:t>
      </w:r>
      <w:r w:rsidRPr="00D5464D">
        <w:rPr>
          <w:lang w:val="pt-BR"/>
        </w:rPr>
        <w:t>2 (</w:t>
      </w:r>
      <w:r w:rsidR="00E045D9" w:rsidRPr="00D5464D">
        <w:rPr>
          <w:lang w:val="pt-BR"/>
        </w:rPr>
        <w:t>trabalho</w:t>
      </w:r>
      <w:r w:rsidRPr="00D5464D">
        <w:rPr>
          <w:lang w:val="pt-BR"/>
        </w:rPr>
        <w:t xml:space="preserve"> </w:t>
      </w:r>
      <w:r w:rsidR="00230C71" w:rsidRPr="00D5464D">
        <w:rPr>
          <w:lang w:val="pt-BR"/>
        </w:rPr>
        <w:t>forçado</w:t>
      </w:r>
      <w:r w:rsidRPr="00D5464D">
        <w:rPr>
          <w:lang w:val="pt-BR"/>
        </w:rPr>
        <w:t xml:space="preserve">) </w:t>
      </w:r>
      <w:r w:rsidR="00470ADC" w:rsidRPr="00D5464D">
        <w:rPr>
          <w:lang w:val="pt-BR"/>
        </w:rPr>
        <w:t>do artigo</w:t>
      </w:r>
      <w:r w:rsidRPr="00D5464D">
        <w:rPr>
          <w:lang w:val="pt-BR"/>
        </w:rPr>
        <w:t xml:space="preserve"> 6</w:t>
      </w:r>
      <w:r w:rsidR="00470ADC" w:rsidRPr="00D5464D">
        <w:rPr>
          <w:lang w:val="pt-BR"/>
        </w:rPr>
        <w:t xml:space="preserve"> da </w:t>
      </w:r>
      <w:r w:rsidR="00660CD5" w:rsidRPr="00D5464D">
        <w:rPr>
          <w:lang w:val="pt-BR"/>
        </w:rPr>
        <w:t>Conven</w:t>
      </w:r>
      <w:r w:rsidR="00470ADC" w:rsidRPr="00D5464D">
        <w:rPr>
          <w:lang w:val="pt-BR"/>
        </w:rPr>
        <w:t>ção</w:t>
      </w:r>
      <w:r w:rsidRPr="00D5464D">
        <w:rPr>
          <w:lang w:val="pt-BR"/>
        </w:rPr>
        <w:t>,</w:t>
      </w:r>
      <w:r w:rsidR="002C330E" w:rsidRPr="00D5464D">
        <w:rPr>
          <w:lang w:val="pt-BR"/>
        </w:rPr>
        <w:t xml:space="preserve"> os </w:t>
      </w:r>
      <w:r w:rsidR="00470ADC" w:rsidRPr="00D5464D">
        <w:rPr>
          <w:lang w:val="pt-BR"/>
        </w:rPr>
        <w:t>quais</w:t>
      </w:r>
      <w:r w:rsidRPr="00D5464D">
        <w:rPr>
          <w:lang w:val="pt-BR"/>
        </w:rPr>
        <w:t xml:space="preserve"> se </w:t>
      </w:r>
      <w:r w:rsidR="00350187" w:rsidRPr="00D5464D">
        <w:rPr>
          <w:lang w:val="pt-BR"/>
        </w:rPr>
        <w:t>referem</w:t>
      </w:r>
      <w:r w:rsidR="00E045D9" w:rsidRPr="00D5464D">
        <w:rPr>
          <w:lang w:val="pt-BR"/>
        </w:rPr>
        <w:t xml:space="preserve"> aos </w:t>
      </w:r>
      <w:r w:rsidRPr="00D5464D">
        <w:rPr>
          <w:lang w:val="pt-BR"/>
        </w:rPr>
        <w:t xml:space="preserve">temas </w:t>
      </w:r>
      <w:r w:rsidR="00767387" w:rsidRPr="00D5464D">
        <w:rPr>
          <w:lang w:val="pt-BR"/>
        </w:rPr>
        <w:t xml:space="preserve">que são </w:t>
      </w:r>
      <w:r w:rsidRPr="00D5464D">
        <w:rPr>
          <w:lang w:val="pt-BR"/>
        </w:rPr>
        <w:t xml:space="preserve">objeto de </w:t>
      </w:r>
      <w:r w:rsidR="00470ADC" w:rsidRPr="00D5464D">
        <w:rPr>
          <w:lang w:val="pt-BR"/>
        </w:rPr>
        <w:t>controvérsia</w:t>
      </w:r>
      <w:r w:rsidRPr="00D5464D">
        <w:rPr>
          <w:lang w:val="pt-BR"/>
        </w:rPr>
        <w:t xml:space="preserve"> </w:t>
      </w:r>
      <w:r w:rsidR="00470ADC" w:rsidRPr="00D5464D">
        <w:rPr>
          <w:lang w:val="pt-BR"/>
        </w:rPr>
        <w:t xml:space="preserve">do </w:t>
      </w:r>
      <w:r w:rsidRPr="00D5464D">
        <w:rPr>
          <w:lang w:val="pt-BR"/>
        </w:rPr>
        <w:t xml:space="preserve">presente </w:t>
      </w:r>
      <w:r w:rsidR="00660CD5" w:rsidRPr="00D5464D">
        <w:rPr>
          <w:lang w:val="pt-BR"/>
        </w:rPr>
        <w:t>caso</w:t>
      </w:r>
      <w:r w:rsidRPr="00D5464D">
        <w:rPr>
          <w:lang w:val="pt-BR"/>
        </w:rPr>
        <w:t>.</w:t>
      </w:r>
      <w:r w:rsidR="00470ADC" w:rsidRPr="00D5464D">
        <w:rPr>
          <w:lang w:val="pt-BR"/>
        </w:rPr>
        <w:t xml:space="preserve"> </w:t>
      </w:r>
      <w:r w:rsidR="00C95DD7" w:rsidRPr="00D5464D">
        <w:rPr>
          <w:lang w:val="pt-BR"/>
        </w:rPr>
        <w:t>N</w:t>
      </w:r>
      <w:r w:rsidR="00737270" w:rsidRPr="00D5464D">
        <w:rPr>
          <w:lang w:val="pt-BR"/>
        </w:rPr>
        <w:t>esse</w:t>
      </w:r>
      <w:r w:rsidR="00470ADC" w:rsidRPr="00D5464D">
        <w:rPr>
          <w:lang w:val="pt-BR"/>
        </w:rPr>
        <w:t xml:space="preserve"> </w:t>
      </w:r>
      <w:r w:rsidRPr="00D5464D">
        <w:rPr>
          <w:lang w:val="pt-BR"/>
        </w:rPr>
        <w:t>sentido,</w:t>
      </w:r>
      <w:r w:rsidR="002C330E" w:rsidRPr="00D5464D">
        <w:rPr>
          <w:lang w:val="pt-BR"/>
        </w:rPr>
        <w:t xml:space="preserve"> </w:t>
      </w:r>
      <w:r w:rsidR="00C95DD7" w:rsidRPr="00D5464D">
        <w:rPr>
          <w:lang w:val="pt-BR"/>
        </w:rPr>
        <w:t xml:space="preserve">em primeiro lugar </w:t>
      </w:r>
      <w:r w:rsidR="002C330E" w:rsidRPr="00D5464D">
        <w:rPr>
          <w:lang w:val="pt-BR"/>
        </w:rPr>
        <w:t xml:space="preserve">a </w:t>
      </w:r>
      <w:r w:rsidRPr="00D5464D">
        <w:rPr>
          <w:lang w:val="pt-BR"/>
        </w:rPr>
        <w:t xml:space="preserve">Corte </w:t>
      </w:r>
      <w:r w:rsidR="00470ADC" w:rsidRPr="00D5464D">
        <w:rPr>
          <w:lang w:val="pt-BR"/>
        </w:rPr>
        <w:t>analisará</w:t>
      </w:r>
      <w:r w:rsidRPr="00D5464D">
        <w:rPr>
          <w:lang w:val="pt-BR"/>
        </w:rPr>
        <w:t xml:space="preserve"> </w:t>
      </w:r>
      <w:r w:rsidR="00737270" w:rsidRPr="00D5464D">
        <w:rPr>
          <w:lang w:val="pt-BR"/>
        </w:rPr>
        <w:t>cada</w:t>
      </w:r>
      <w:r w:rsidR="00E765C2" w:rsidRPr="00D5464D">
        <w:rPr>
          <w:lang w:val="pt-BR"/>
        </w:rPr>
        <w:t xml:space="preserve"> um dos </w:t>
      </w:r>
      <w:r w:rsidR="00470ADC" w:rsidRPr="00D5464D">
        <w:rPr>
          <w:lang w:val="pt-BR"/>
        </w:rPr>
        <w:t>conceito</w:t>
      </w:r>
      <w:r w:rsidRPr="00D5464D">
        <w:rPr>
          <w:lang w:val="pt-BR"/>
        </w:rPr>
        <w:t xml:space="preserve">s mencionados </w:t>
      </w:r>
      <w:r w:rsidR="00C95DD7" w:rsidRPr="00D5464D">
        <w:rPr>
          <w:lang w:val="pt-BR"/>
        </w:rPr>
        <w:t>anteriormente</w:t>
      </w:r>
      <w:r w:rsidRPr="00D5464D">
        <w:rPr>
          <w:lang w:val="pt-BR"/>
        </w:rPr>
        <w:t>.</w:t>
      </w:r>
    </w:p>
    <w:p w14:paraId="7B35C60B" w14:textId="77777777" w:rsidR="00DE3E58" w:rsidRPr="00D5464D" w:rsidRDefault="00DE3E58" w:rsidP="00DE3E58">
      <w:pPr>
        <w:pStyle w:val="Prrafodelista"/>
        <w:ind w:left="0"/>
        <w:contextualSpacing w:val="0"/>
        <w:rPr>
          <w:lang w:val="pt-BR"/>
        </w:rPr>
      </w:pPr>
    </w:p>
    <w:p w14:paraId="39BD1A24" w14:textId="7BA13B08" w:rsidR="000944E7" w:rsidRPr="00D5464D" w:rsidRDefault="00470ADC" w:rsidP="000944E7">
      <w:pPr>
        <w:pStyle w:val="Prrafodelista"/>
        <w:numPr>
          <w:ilvl w:val="0"/>
          <w:numId w:val="1"/>
        </w:numPr>
        <w:contextualSpacing w:val="0"/>
        <w:rPr>
          <w:lang w:val="pt-BR"/>
        </w:rPr>
      </w:pPr>
      <w:r w:rsidRPr="00D5464D">
        <w:rPr>
          <w:lang w:val="pt-BR"/>
        </w:rPr>
        <w:t>O direito</w:t>
      </w:r>
      <w:r w:rsidR="000944E7" w:rsidRPr="00D5464D">
        <w:rPr>
          <w:lang w:val="pt-BR"/>
        </w:rPr>
        <w:t xml:space="preserve"> </w:t>
      </w:r>
      <w:r w:rsidR="00230C71" w:rsidRPr="00D5464D">
        <w:rPr>
          <w:lang w:val="pt-BR"/>
        </w:rPr>
        <w:t xml:space="preserve">a não ser </w:t>
      </w:r>
      <w:r w:rsidR="002C330E" w:rsidRPr="00D5464D">
        <w:rPr>
          <w:lang w:val="pt-BR"/>
        </w:rPr>
        <w:t>submetido</w:t>
      </w:r>
      <w:r w:rsidR="000944E7" w:rsidRPr="00D5464D">
        <w:rPr>
          <w:lang w:val="pt-BR"/>
        </w:rPr>
        <w:t xml:space="preserve"> a </w:t>
      </w:r>
      <w:r w:rsidR="000B376D" w:rsidRPr="00D5464D">
        <w:rPr>
          <w:lang w:val="pt-BR"/>
        </w:rPr>
        <w:t>escravidão</w:t>
      </w:r>
      <w:r w:rsidR="000944E7" w:rsidRPr="00D5464D">
        <w:rPr>
          <w:lang w:val="pt-BR"/>
        </w:rPr>
        <w:t xml:space="preserve">, </w:t>
      </w:r>
      <w:r w:rsidR="000B376D" w:rsidRPr="00D5464D">
        <w:rPr>
          <w:lang w:val="pt-BR"/>
        </w:rPr>
        <w:t>servidão</w:t>
      </w:r>
      <w:r w:rsidR="000944E7" w:rsidRPr="00D5464D">
        <w:rPr>
          <w:lang w:val="pt-BR"/>
        </w:rPr>
        <w:t xml:space="preserve">, </w:t>
      </w:r>
      <w:r w:rsidR="00E045D9" w:rsidRPr="00D5464D">
        <w:rPr>
          <w:lang w:val="pt-BR"/>
        </w:rPr>
        <w:t>trabalho</w:t>
      </w:r>
      <w:r w:rsidR="000944E7" w:rsidRPr="00D5464D">
        <w:rPr>
          <w:lang w:val="pt-BR"/>
        </w:rPr>
        <w:t xml:space="preserve"> </w:t>
      </w:r>
      <w:r w:rsidR="00230C71" w:rsidRPr="00D5464D">
        <w:rPr>
          <w:lang w:val="pt-BR"/>
        </w:rPr>
        <w:t>forçado</w:t>
      </w:r>
      <w:r w:rsidR="000944E7" w:rsidRPr="00D5464D">
        <w:rPr>
          <w:lang w:val="pt-BR"/>
        </w:rPr>
        <w:t xml:space="preserve"> o</w:t>
      </w:r>
      <w:r w:rsidR="00C95DD7" w:rsidRPr="00D5464D">
        <w:rPr>
          <w:lang w:val="pt-BR"/>
        </w:rPr>
        <w:t>u</w:t>
      </w:r>
      <w:r w:rsidR="000B376D" w:rsidRPr="00D5464D">
        <w:rPr>
          <w:lang w:val="pt-BR"/>
        </w:rPr>
        <w:t xml:space="preserve"> tráfico de </w:t>
      </w:r>
      <w:r w:rsidR="004F1CC2" w:rsidRPr="00D5464D">
        <w:rPr>
          <w:lang w:val="pt-BR"/>
        </w:rPr>
        <w:t>escravo</w:t>
      </w:r>
      <w:r w:rsidR="000944E7" w:rsidRPr="00D5464D">
        <w:rPr>
          <w:lang w:val="pt-BR"/>
        </w:rPr>
        <w:t>s</w:t>
      </w:r>
      <w:r w:rsidR="00E045D9" w:rsidRPr="00D5464D">
        <w:rPr>
          <w:lang w:val="pt-BR"/>
        </w:rPr>
        <w:t xml:space="preserve"> e </w:t>
      </w:r>
      <w:r w:rsidR="002C330E" w:rsidRPr="00D5464D">
        <w:rPr>
          <w:lang w:val="pt-BR"/>
        </w:rPr>
        <w:t>mulher</w:t>
      </w:r>
      <w:r w:rsidR="000944E7" w:rsidRPr="00D5464D">
        <w:rPr>
          <w:lang w:val="pt-BR"/>
        </w:rPr>
        <w:t xml:space="preserve">es </w:t>
      </w:r>
      <w:r w:rsidR="00C95DD7" w:rsidRPr="00D5464D">
        <w:rPr>
          <w:lang w:val="pt-BR"/>
        </w:rPr>
        <w:t xml:space="preserve">possui </w:t>
      </w:r>
      <w:r w:rsidR="00E045D9" w:rsidRPr="00D5464D">
        <w:rPr>
          <w:lang w:val="pt-BR"/>
        </w:rPr>
        <w:t xml:space="preserve">um </w:t>
      </w:r>
      <w:r w:rsidRPr="00D5464D">
        <w:rPr>
          <w:lang w:val="pt-BR"/>
        </w:rPr>
        <w:t>caráter</w:t>
      </w:r>
      <w:r w:rsidR="000944E7" w:rsidRPr="00D5464D">
        <w:rPr>
          <w:lang w:val="pt-BR"/>
        </w:rPr>
        <w:t xml:space="preserve"> </w:t>
      </w:r>
      <w:r w:rsidRPr="00D5464D">
        <w:rPr>
          <w:lang w:val="pt-BR"/>
        </w:rPr>
        <w:t>essencial</w:t>
      </w:r>
      <w:r w:rsidR="00E045D9" w:rsidRPr="00D5464D">
        <w:rPr>
          <w:lang w:val="pt-BR"/>
        </w:rPr>
        <w:t xml:space="preserve"> na </w:t>
      </w:r>
      <w:r w:rsidR="000944E7" w:rsidRPr="00D5464D">
        <w:rPr>
          <w:lang w:val="pt-BR"/>
        </w:rPr>
        <w:t>Conven</w:t>
      </w:r>
      <w:r w:rsidRPr="00D5464D">
        <w:rPr>
          <w:lang w:val="pt-BR"/>
        </w:rPr>
        <w:t>ção</w:t>
      </w:r>
      <w:r w:rsidR="00660CD5" w:rsidRPr="00D5464D">
        <w:rPr>
          <w:lang w:val="pt-BR"/>
        </w:rPr>
        <w:t xml:space="preserve"> Americana</w:t>
      </w:r>
      <w:r w:rsidR="000944E7" w:rsidRPr="00D5464D">
        <w:rPr>
          <w:lang w:val="pt-BR"/>
        </w:rPr>
        <w:t xml:space="preserve">. </w:t>
      </w:r>
      <w:r w:rsidRPr="00D5464D">
        <w:rPr>
          <w:lang w:val="pt-BR"/>
        </w:rPr>
        <w:t>De acordo com o artigo</w:t>
      </w:r>
      <w:r w:rsidR="000944E7" w:rsidRPr="00D5464D">
        <w:rPr>
          <w:lang w:val="pt-BR"/>
        </w:rPr>
        <w:t xml:space="preserve"> 27.2 </w:t>
      </w:r>
      <w:r w:rsidRPr="00D5464D">
        <w:rPr>
          <w:lang w:val="pt-BR"/>
        </w:rPr>
        <w:t xml:space="preserve">do </w:t>
      </w:r>
      <w:r w:rsidR="000944E7" w:rsidRPr="00D5464D">
        <w:rPr>
          <w:lang w:val="pt-BR"/>
        </w:rPr>
        <w:t xml:space="preserve">referido tratado, forma parte </w:t>
      </w:r>
      <w:r w:rsidRPr="00D5464D">
        <w:rPr>
          <w:lang w:val="pt-BR"/>
        </w:rPr>
        <w:t xml:space="preserve">do </w:t>
      </w:r>
      <w:r w:rsidR="000944E7" w:rsidRPr="00D5464D">
        <w:rPr>
          <w:lang w:val="pt-BR"/>
        </w:rPr>
        <w:t xml:space="preserve">núcleo </w:t>
      </w:r>
      <w:r w:rsidR="002C330E" w:rsidRPr="00D5464D">
        <w:rPr>
          <w:lang w:val="pt-BR"/>
        </w:rPr>
        <w:t xml:space="preserve">inderrogável </w:t>
      </w:r>
      <w:r w:rsidR="00660CD5" w:rsidRPr="00D5464D">
        <w:rPr>
          <w:lang w:val="pt-BR"/>
        </w:rPr>
        <w:t xml:space="preserve">de </w:t>
      </w:r>
      <w:r w:rsidRPr="00D5464D">
        <w:rPr>
          <w:lang w:val="pt-BR"/>
        </w:rPr>
        <w:t>direito</w:t>
      </w:r>
      <w:r w:rsidR="00660CD5" w:rsidRPr="00D5464D">
        <w:rPr>
          <w:lang w:val="pt-BR"/>
        </w:rPr>
        <w:t>s</w:t>
      </w:r>
      <w:r w:rsidR="000944E7" w:rsidRPr="00D5464D">
        <w:rPr>
          <w:lang w:val="pt-BR"/>
        </w:rPr>
        <w:t>,</w:t>
      </w:r>
      <w:r w:rsidR="002C330E" w:rsidRPr="00D5464D">
        <w:rPr>
          <w:lang w:val="pt-BR"/>
        </w:rPr>
        <w:t xml:space="preserve"> pois </w:t>
      </w:r>
      <w:r w:rsidR="00737270" w:rsidRPr="00D5464D">
        <w:rPr>
          <w:lang w:val="pt-BR"/>
        </w:rPr>
        <w:t xml:space="preserve">não </w:t>
      </w:r>
      <w:r w:rsidR="00230C71" w:rsidRPr="00D5464D">
        <w:rPr>
          <w:lang w:val="pt-BR"/>
        </w:rPr>
        <w:t xml:space="preserve">pode </w:t>
      </w:r>
      <w:r w:rsidR="000944E7" w:rsidRPr="00D5464D">
        <w:rPr>
          <w:lang w:val="pt-BR"/>
        </w:rPr>
        <w:t>ser suspen</w:t>
      </w:r>
      <w:r w:rsidR="00C95DD7" w:rsidRPr="00D5464D">
        <w:rPr>
          <w:lang w:val="pt-BR"/>
        </w:rPr>
        <w:t>s</w:t>
      </w:r>
      <w:r w:rsidR="00C56E63" w:rsidRPr="00D5464D">
        <w:rPr>
          <w:lang w:val="pt-BR"/>
        </w:rPr>
        <w:t>o</w:t>
      </w:r>
      <w:r w:rsidRPr="00D5464D">
        <w:rPr>
          <w:lang w:val="pt-BR"/>
        </w:rPr>
        <w:t xml:space="preserve"> em </w:t>
      </w:r>
      <w:r w:rsidR="000944E7" w:rsidRPr="00D5464D">
        <w:rPr>
          <w:lang w:val="pt-BR"/>
        </w:rPr>
        <w:t xml:space="preserve">casos de guerra, </w:t>
      </w:r>
      <w:r w:rsidR="002C330E" w:rsidRPr="00D5464D">
        <w:rPr>
          <w:lang w:val="pt-BR"/>
        </w:rPr>
        <w:t>perigo</w:t>
      </w:r>
      <w:r w:rsidR="000944E7" w:rsidRPr="00D5464D">
        <w:rPr>
          <w:lang w:val="pt-BR"/>
        </w:rPr>
        <w:t xml:space="preserve"> público</w:t>
      </w:r>
      <w:r w:rsidR="00E045D9" w:rsidRPr="00D5464D">
        <w:rPr>
          <w:lang w:val="pt-BR"/>
        </w:rPr>
        <w:t xml:space="preserve"> ou </w:t>
      </w:r>
      <w:r w:rsidR="002C330E" w:rsidRPr="00D5464D">
        <w:rPr>
          <w:lang w:val="pt-BR"/>
        </w:rPr>
        <w:t>outra</w:t>
      </w:r>
      <w:r w:rsidR="000944E7" w:rsidRPr="00D5464D">
        <w:rPr>
          <w:lang w:val="pt-BR"/>
        </w:rPr>
        <w:t xml:space="preserve">s </w:t>
      </w:r>
      <w:r w:rsidRPr="00D5464D">
        <w:rPr>
          <w:lang w:val="pt-BR"/>
        </w:rPr>
        <w:t>ameaça</w:t>
      </w:r>
      <w:r w:rsidR="000944E7" w:rsidRPr="00D5464D">
        <w:rPr>
          <w:lang w:val="pt-BR"/>
        </w:rPr>
        <w:t>s.</w:t>
      </w:r>
    </w:p>
    <w:p w14:paraId="26A0AD06" w14:textId="77777777" w:rsidR="000944E7" w:rsidRPr="00D5464D" w:rsidRDefault="000944E7" w:rsidP="00ED3AD0">
      <w:pPr>
        <w:pStyle w:val="Prrafodelista"/>
        <w:ind w:left="0"/>
        <w:contextualSpacing w:val="0"/>
        <w:rPr>
          <w:lang w:val="pt-BR"/>
        </w:rPr>
      </w:pPr>
    </w:p>
    <w:p w14:paraId="7D1A7FC4" w14:textId="26386AB2" w:rsidR="00207197" w:rsidRPr="00D5464D" w:rsidRDefault="00207197" w:rsidP="00F37DC4">
      <w:pPr>
        <w:pStyle w:val="Prrafodelista"/>
        <w:numPr>
          <w:ilvl w:val="0"/>
          <w:numId w:val="1"/>
        </w:numPr>
        <w:contextualSpacing w:val="0"/>
        <w:rPr>
          <w:lang w:val="pt-BR"/>
        </w:rPr>
      </w:pPr>
      <w:r w:rsidRPr="00D5464D">
        <w:rPr>
          <w:lang w:val="pt-BR"/>
        </w:rPr>
        <w:t xml:space="preserve">Como se trata </w:t>
      </w:r>
      <w:r w:rsidR="00470ADC" w:rsidRPr="00D5464D">
        <w:rPr>
          <w:lang w:val="pt-BR"/>
        </w:rPr>
        <w:t>do</w:t>
      </w:r>
      <w:r w:rsidR="002C330E" w:rsidRPr="00D5464D">
        <w:rPr>
          <w:lang w:val="pt-BR"/>
        </w:rPr>
        <w:t xml:space="preserve"> primeiro </w:t>
      </w:r>
      <w:r w:rsidRPr="00D5464D">
        <w:rPr>
          <w:lang w:val="pt-BR"/>
        </w:rPr>
        <w:t xml:space="preserve">caso contencioso </w:t>
      </w:r>
      <w:r w:rsidR="00C95DD7" w:rsidRPr="00D5464D">
        <w:rPr>
          <w:lang w:val="pt-BR"/>
        </w:rPr>
        <w:t>per</w:t>
      </w:r>
      <w:r w:rsidRPr="00D5464D">
        <w:rPr>
          <w:lang w:val="pt-BR"/>
        </w:rPr>
        <w:t>ante</w:t>
      </w:r>
      <w:r w:rsidR="00470ADC" w:rsidRPr="00D5464D">
        <w:rPr>
          <w:lang w:val="pt-BR"/>
        </w:rPr>
        <w:t xml:space="preserve"> o </w:t>
      </w:r>
      <w:r w:rsidRPr="00D5464D">
        <w:rPr>
          <w:lang w:val="pt-BR"/>
        </w:rPr>
        <w:t>Tribunal Interamer</w:t>
      </w:r>
      <w:r w:rsidR="00592688" w:rsidRPr="00D5464D">
        <w:rPr>
          <w:lang w:val="pt-BR"/>
        </w:rPr>
        <w:t xml:space="preserve">icano </w:t>
      </w:r>
      <w:r w:rsidR="00737270" w:rsidRPr="00D5464D">
        <w:rPr>
          <w:lang w:val="pt-BR"/>
        </w:rPr>
        <w:t>substancialmente</w:t>
      </w:r>
      <w:r w:rsidRPr="00D5464D">
        <w:rPr>
          <w:lang w:val="pt-BR"/>
        </w:rPr>
        <w:t xml:space="preserve"> relacionado</w:t>
      </w:r>
      <w:r w:rsidR="00470ADC" w:rsidRPr="00D5464D">
        <w:rPr>
          <w:lang w:val="pt-BR"/>
        </w:rPr>
        <w:t xml:space="preserve"> com o </w:t>
      </w:r>
      <w:r w:rsidRPr="00D5464D">
        <w:rPr>
          <w:lang w:val="pt-BR"/>
        </w:rPr>
        <w:t xml:space="preserve">inciso 1 </w:t>
      </w:r>
      <w:r w:rsidR="00470ADC" w:rsidRPr="00D5464D">
        <w:rPr>
          <w:lang w:val="pt-BR"/>
        </w:rPr>
        <w:t>do artigo</w:t>
      </w:r>
      <w:r w:rsidRPr="00D5464D">
        <w:rPr>
          <w:lang w:val="pt-BR"/>
        </w:rPr>
        <w:t xml:space="preserve"> 6</w:t>
      </w:r>
      <w:r w:rsidR="00C95DD7" w:rsidRPr="00D5464D">
        <w:rPr>
          <w:lang w:val="pt-BR"/>
        </w:rPr>
        <w:t>,</w:t>
      </w:r>
      <w:r w:rsidRPr="00D5464D">
        <w:rPr>
          <w:rStyle w:val="Refdenotaalpie"/>
          <w:lang w:val="pt-BR"/>
        </w:rPr>
        <w:footnoteReference w:id="354"/>
      </w:r>
      <w:r w:rsidR="002C330E" w:rsidRPr="00D5464D">
        <w:rPr>
          <w:lang w:val="pt-BR"/>
        </w:rPr>
        <w:t xml:space="preserve"> a </w:t>
      </w:r>
      <w:r w:rsidRPr="00D5464D">
        <w:rPr>
          <w:lang w:val="pt-BR"/>
        </w:rPr>
        <w:t>Corte</w:t>
      </w:r>
      <w:r w:rsidR="002C330E" w:rsidRPr="00D5464D">
        <w:rPr>
          <w:lang w:val="pt-BR"/>
        </w:rPr>
        <w:t xml:space="preserve"> fará</w:t>
      </w:r>
      <w:r w:rsidR="00E045D9" w:rsidRPr="00D5464D">
        <w:rPr>
          <w:lang w:val="pt-BR"/>
        </w:rPr>
        <w:t xml:space="preserve"> um </w:t>
      </w:r>
      <w:r w:rsidRPr="00D5464D">
        <w:rPr>
          <w:lang w:val="pt-BR"/>
        </w:rPr>
        <w:t xml:space="preserve">breve </w:t>
      </w:r>
      <w:r w:rsidR="002C330E" w:rsidRPr="00D5464D">
        <w:rPr>
          <w:lang w:val="pt-BR"/>
        </w:rPr>
        <w:t>resumo</w:t>
      </w:r>
      <w:r w:rsidRPr="00D5464D">
        <w:rPr>
          <w:lang w:val="pt-BR"/>
        </w:rPr>
        <w:t xml:space="preserve"> </w:t>
      </w:r>
      <w:r w:rsidR="00767387" w:rsidRPr="00D5464D">
        <w:rPr>
          <w:lang w:val="pt-BR"/>
        </w:rPr>
        <w:t xml:space="preserve">da evolução </w:t>
      </w:r>
      <w:r w:rsidRPr="00D5464D">
        <w:rPr>
          <w:lang w:val="pt-BR"/>
        </w:rPr>
        <w:t>sobre</w:t>
      </w:r>
      <w:r w:rsidR="002C330E" w:rsidRPr="00D5464D">
        <w:rPr>
          <w:lang w:val="pt-BR"/>
        </w:rPr>
        <w:t xml:space="preserve"> a matéria</w:t>
      </w:r>
      <w:r w:rsidR="00E045D9" w:rsidRPr="00D5464D">
        <w:rPr>
          <w:lang w:val="pt-BR"/>
        </w:rPr>
        <w:t xml:space="preserve"> no </w:t>
      </w:r>
      <w:r w:rsidR="00E765C2" w:rsidRPr="00D5464D">
        <w:rPr>
          <w:lang w:val="pt-BR"/>
        </w:rPr>
        <w:t>Direito Internacional</w:t>
      </w:r>
      <w:r w:rsidR="00347B8C" w:rsidRPr="00D5464D">
        <w:rPr>
          <w:lang w:val="pt-BR"/>
        </w:rPr>
        <w:t>,</w:t>
      </w:r>
      <w:r w:rsidRPr="00D5464D">
        <w:rPr>
          <w:lang w:val="pt-BR"/>
        </w:rPr>
        <w:t xml:space="preserve"> para dar </w:t>
      </w:r>
      <w:r w:rsidR="00470ADC" w:rsidRPr="00D5464D">
        <w:rPr>
          <w:lang w:val="pt-BR"/>
        </w:rPr>
        <w:t>conteúdo</w:t>
      </w:r>
      <w:r w:rsidR="00E045D9" w:rsidRPr="00D5464D">
        <w:rPr>
          <w:lang w:val="pt-BR"/>
        </w:rPr>
        <w:t xml:space="preserve"> aos </w:t>
      </w:r>
      <w:r w:rsidR="00470ADC" w:rsidRPr="00D5464D">
        <w:rPr>
          <w:lang w:val="pt-BR"/>
        </w:rPr>
        <w:t>conceito</w:t>
      </w:r>
      <w:r w:rsidR="002C7B8C" w:rsidRPr="00D5464D">
        <w:rPr>
          <w:lang w:val="pt-BR"/>
        </w:rPr>
        <w:t xml:space="preserve">s de </w:t>
      </w:r>
      <w:r w:rsidR="000B376D" w:rsidRPr="00D5464D">
        <w:rPr>
          <w:lang w:val="pt-BR"/>
        </w:rPr>
        <w:t>escravidão</w:t>
      </w:r>
      <w:r w:rsidRPr="00D5464D">
        <w:rPr>
          <w:lang w:val="pt-BR"/>
        </w:rPr>
        <w:t xml:space="preserve">, </w:t>
      </w:r>
      <w:r w:rsidR="000B376D" w:rsidRPr="00D5464D">
        <w:rPr>
          <w:lang w:val="pt-BR"/>
        </w:rPr>
        <w:t>servidão</w:t>
      </w:r>
      <w:r w:rsidR="002C7B8C" w:rsidRPr="00D5464D">
        <w:rPr>
          <w:lang w:val="pt-BR"/>
        </w:rPr>
        <w:t>,</w:t>
      </w:r>
      <w:r w:rsidR="000B376D" w:rsidRPr="00D5464D">
        <w:rPr>
          <w:lang w:val="pt-BR"/>
        </w:rPr>
        <w:t xml:space="preserve"> tráfico de </w:t>
      </w:r>
      <w:r w:rsidR="004F1CC2" w:rsidRPr="00D5464D">
        <w:rPr>
          <w:lang w:val="pt-BR"/>
        </w:rPr>
        <w:t>escravo</w:t>
      </w:r>
      <w:r w:rsidRPr="00D5464D">
        <w:rPr>
          <w:lang w:val="pt-BR"/>
        </w:rPr>
        <w:t>s</w:t>
      </w:r>
      <w:r w:rsidR="00E045D9" w:rsidRPr="00D5464D">
        <w:rPr>
          <w:lang w:val="pt-BR"/>
        </w:rPr>
        <w:t xml:space="preserve"> e </w:t>
      </w:r>
      <w:r w:rsidR="002C330E" w:rsidRPr="00D5464D">
        <w:rPr>
          <w:lang w:val="pt-BR"/>
        </w:rPr>
        <w:t>mulher</w:t>
      </w:r>
      <w:r w:rsidRPr="00D5464D">
        <w:rPr>
          <w:lang w:val="pt-BR"/>
        </w:rPr>
        <w:t>es</w:t>
      </w:r>
      <w:r w:rsidR="00470ADC" w:rsidRPr="00D5464D">
        <w:rPr>
          <w:lang w:val="pt-BR"/>
        </w:rPr>
        <w:t>, e</w:t>
      </w:r>
      <w:r w:rsidR="002C7B8C" w:rsidRPr="00D5464D">
        <w:rPr>
          <w:lang w:val="pt-BR"/>
        </w:rPr>
        <w:t xml:space="preserve"> </w:t>
      </w:r>
      <w:r w:rsidR="00E045D9" w:rsidRPr="00D5464D">
        <w:rPr>
          <w:lang w:val="pt-BR"/>
        </w:rPr>
        <w:t>trabalho</w:t>
      </w:r>
      <w:r w:rsidR="002C7B8C" w:rsidRPr="00D5464D">
        <w:rPr>
          <w:lang w:val="pt-BR"/>
        </w:rPr>
        <w:t xml:space="preserve"> </w:t>
      </w:r>
      <w:r w:rsidR="00230C71" w:rsidRPr="00D5464D">
        <w:rPr>
          <w:lang w:val="pt-BR"/>
        </w:rPr>
        <w:t>forçado</w:t>
      </w:r>
      <w:r w:rsidR="00C95DD7" w:rsidRPr="00D5464D">
        <w:rPr>
          <w:lang w:val="pt-BR"/>
        </w:rPr>
        <w:t>, todos</w:t>
      </w:r>
      <w:r w:rsidRPr="00D5464D">
        <w:rPr>
          <w:lang w:val="pt-BR"/>
        </w:rPr>
        <w:t xml:space="preserve"> </w:t>
      </w:r>
      <w:r w:rsidR="00737270" w:rsidRPr="00D5464D">
        <w:rPr>
          <w:lang w:val="pt-BR"/>
        </w:rPr>
        <w:t>proibid</w:t>
      </w:r>
      <w:r w:rsidR="00347B8C" w:rsidRPr="00D5464D">
        <w:rPr>
          <w:lang w:val="pt-BR"/>
        </w:rPr>
        <w:t>o</w:t>
      </w:r>
      <w:r w:rsidR="002C7B8C" w:rsidRPr="00D5464D">
        <w:rPr>
          <w:lang w:val="pt-BR"/>
        </w:rPr>
        <w:t>s</w:t>
      </w:r>
      <w:r w:rsidR="002C330E" w:rsidRPr="00D5464D">
        <w:rPr>
          <w:lang w:val="pt-BR"/>
        </w:rPr>
        <w:t xml:space="preserve"> pela </w:t>
      </w:r>
      <w:r w:rsidRPr="00D5464D">
        <w:rPr>
          <w:lang w:val="pt-BR"/>
        </w:rPr>
        <w:t>Conven</w:t>
      </w:r>
      <w:r w:rsidR="00470ADC" w:rsidRPr="00D5464D">
        <w:rPr>
          <w:lang w:val="pt-BR"/>
        </w:rPr>
        <w:t>ção</w:t>
      </w:r>
      <w:r w:rsidRPr="00D5464D">
        <w:rPr>
          <w:lang w:val="pt-BR"/>
        </w:rPr>
        <w:t xml:space="preserve"> Americana,</w:t>
      </w:r>
      <w:r w:rsidR="00470ADC" w:rsidRPr="00D5464D">
        <w:rPr>
          <w:lang w:val="pt-BR"/>
        </w:rPr>
        <w:t xml:space="preserve"> à </w:t>
      </w:r>
      <w:r w:rsidRPr="00D5464D">
        <w:rPr>
          <w:lang w:val="pt-BR"/>
        </w:rPr>
        <w:t>luz</w:t>
      </w:r>
      <w:r w:rsidR="00470ADC" w:rsidRPr="00D5464D">
        <w:rPr>
          <w:lang w:val="pt-BR"/>
        </w:rPr>
        <w:t xml:space="preserve"> das </w:t>
      </w:r>
      <w:r w:rsidR="002C330E" w:rsidRPr="00D5464D">
        <w:rPr>
          <w:lang w:val="pt-BR"/>
        </w:rPr>
        <w:t>regras</w:t>
      </w:r>
      <w:r w:rsidRPr="00D5464D">
        <w:rPr>
          <w:lang w:val="pt-BR"/>
        </w:rPr>
        <w:t xml:space="preserve"> </w:t>
      </w:r>
      <w:r w:rsidR="002C330E" w:rsidRPr="00D5464D">
        <w:rPr>
          <w:lang w:val="pt-BR"/>
        </w:rPr>
        <w:t xml:space="preserve">gerais </w:t>
      </w:r>
      <w:r w:rsidRPr="00D5464D">
        <w:rPr>
          <w:lang w:val="pt-BR"/>
        </w:rPr>
        <w:t>de interpreta</w:t>
      </w:r>
      <w:r w:rsidR="00470ADC" w:rsidRPr="00D5464D">
        <w:rPr>
          <w:lang w:val="pt-BR"/>
        </w:rPr>
        <w:t>ção</w:t>
      </w:r>
      <w:r w:rsidRPr="00D5464D">
        <w:rPr>
          <w:lang w:val="pt-BR"/>
        </w:rPr>
        <w:t xml:space="preserve"> </w:t>
      </w:r>
      <w:r w:rsidR="00470ADC" w:rsidRPr="00D5464D">
        <w:rPr>
          <w:lang w:val="pt-BR"/>
        </w:rPr>
        <w:t>estabelecid</w:t>
      </w:r>
      <w:r w:rsidRPr="00D5464D">
        <w:rPr>
          <w:lang w:val="pt-BR"/>
        </w:rPr>
        <w:t>as</w:t>
      </w:r>
      <w:r w:rsidR="00E045D9" w:rsidRPr="00D5464D">
        <w:rPr>
          <w:lang w:val="pt-BR"/>
        </w:rPr>
        <w:t xml:space="preserve"> no </w:t>
      </w:r>
      <w:r w:rsidR="00470ADC" w:rsidRPr="00D5464D">
        <w:rPr>
          <w:lang w:val="pt-BR"/>
        </w:rPr>
        <w:t>artigo</w:t>
      </w:r>
      <w:r w:rsidRPr="00D5464D">
        <w:rPr>
          <w:lang w:val="pt-BR"/>
        </w:rPr>
        <w:t xml:space="preserve"> 29</w:t>
      </w:r>
      <w:r w:rsidR="00470ADC" w:rsidRPr="00D5464D">
        <w:rPr>
          <w:lang w:val="pt-BR"/>
        </w:rPr>
        <w:t xml:space="preserve"> da </w:t>
      </w:r>
      <w:r w:rsidRPr="00D5464D">
        <w:rPr>
          <w:lang w:val="pt-BR"/>
        </w:rPr>
        <w:t>Conven</w:t>
      </w:r>
      <w:r w:rsidR="00470ADC" w:rsidRPr="00D5464D">
        <w:rPr>
          <w:lang w:val="pt-BR"/>
        </w:rPr>
        <w:t>ção</w:t>
      </w:r>
      <w:r w:rsidR="00C95DD7" w:rsidRPr="00D5464D">
        <w:rPr>
          <w:lang w:val="pt-BR"/>
        </w:rPr>
        <w:t>.</w:t>
      </w:r>
      <w:r w:rsidR="00732777" w:rsidRPr="00D5464D">
        <w:rPr>
          <w:rStyle w:val="Refdenotaalpie"/>
          <w:lang w:val="pt-BR"/>
        </w:rPr>
        <w:footnoteReference w:id="355"/>
      </w:r>
      <w:r w:rsidRPr="00D5464D">
        <w:rPr>
          <w:lang w:val="pt-BR"/>
        </w:rPr>
        <w:t xml:space="preserve"> </w:t>
      </w:r>
    </w:p>
    <w:p w14:paraId="7CA47211" w14:textId="77777777" w:rsidR="00207197" w:rsidRPr="00D5464D" w:rsidRDefault="00207197" w:rsidP="00140440">
      <w:pPr>
        <w:jc w:val="both"/>
        <w:rPr>
          <w:lang w:val="pt-BR"/>
        </w:rPr>
      </w:pPr>
    </w:p>
    <w:p w14:paraId="4BB8FDB8" w14:textId="160E6F36" w:rsidR="00207197" w:rsidRPr="00D5464D" w:rsidRDefault="00C91CB1" w:rsidP="00F37DC4">
      <w:pPr>
        <w:pStyle w:val="Prrafodelista"/>
        <w:numPr>
          <w:ilvl w:val="0"/>
          <w:numId w:val="1"/>
        </w:numPr>
        <w:contextualSpacing w:val="0"/>
        <w:rPr>
          <w:lang w:val="pt-BR"/>
        </w:rPr>
      </w:pPr>
      <w:r w:rsidRPr="00D5464D">
        <w:rPr>
          <w:lang w:val="pt-BR"/>
        </w:rPr>
        <w:t xml:space="preserve">Em </w:t>
      </w:r>
      <w:r w:rsidR="002C330E" w:rsidRPr="00D5464D">
        <w:rPr>
          <w:lang w:val="pt-BR"/>
        </w:rPr>
        <w:t>outra</w:t>
      </w:r>
      <w:r w:rsidR="00207197" w:rsidRPr="00D5464D">
        <w:rPr>
          <w:lang w:val="pt-BR"/>
        </w:rPr>
        <w:t>s oportunidades, tanto esta Corte</w:t>
      </w:r>
      <w:r w:rsidR="00207197" w:rsidRPr="00D5464D">
        <w:rPr>
          <w:vertAlign w:val="superscript"/>
          <w:lang w:val="pt-BR"/>
        </w:rPr>
        <w:footnoteReference w:id="356"/>
      </w:r>
      <w:r w:rsidR="00207197" w:rsidRPr="00D5464D">
        <w:rPr>
          <w:lang w:val="pt-BR"/>
        </w:rPr>
        <w:t xml:space="preserve"> como</w:t>
      </w:r>
      <w:r w:rsidR="00470ADC" w:rsidRPr="00D5464D">
        <w:rPr>
          <w:lang w:val="pt-BR"/>
        </w:rPr>
        <w:t xml:space="preserve"> o </w:t>
      </w:r>
      <w:r w:rsidR="00207197" w:rsidRPr="00D5464D">
        <w:rPr>
          <w:lang w:val="pt-BR"/>
        </w:rPr>
        <w:t xml:space="preserve">Tribunal </w:t>
      </w:r>
      <w:r w:rsidR="00470ADC" w:rsidRPr="00D5464D">
        <w:rPr>
          <w:lang w:val="pt-BR"/>
        </w:rPr>
        <w:t>Europeu</w:t>
      </w:r>
      <w:r w:rsidR="00207197" w:rsidRPr="00D5464D">
        <w:rPr>
          <w:lang w:val="pt-BR"/>
        </w:rPr>
        <w:t xml:space="preserve"> de </w:t>
      </w:r>
      <w:r w:rsidR="00470ADC" w:rsidRPr="00D5464D">
        <w:rPr>
          <w:lang w:val="pt-BR"/>
        </w:rPr>
        <w:t>Direito</w:t>
      </w:r>
      <w:r w:rsidR="00207197" w:rsidRPr="00D5464D">
        <w:rPr>
          <w:lang w:val="pt-BR"/>
        </w:rPr>
        <w:t>s Humanos</w:t>
      </w:r>
      <w:r w:rsidR="00207197" w:rsidRPr="00D5464D">
        <w:rPr>
          <w:vertAlign w:val="superscript"/>
          <w:lang w:val="pt-BR"/>
        </w:rPr>
        <w:footnoteReference w:id="357"/>
      </w:r>
      <w:r w:rsidR="00041EA2" w:rsidRPr="00D5464D">
        <w:rPr>
          <w:lang w:val="pt-BR"/>
        </w:rPr>
        <w:t xml:space="preserve"> (doravante denominado “TEDH”)</w:t>
      </w:r>
      <w:r w:rsidR="00207197" w:rsidRPr="00D5464D">
        <w:rPr>
          <w:lang w:val="pt-BR"/>
        </w:rPr>
        <w:t xml:space="preserve"> </w:t>
      </w:r>
      <w:r w:rsidR="00C95DD7" w:rsidRPr="00D5464D">
        <w:rPr>
          <w:lang w:val="pt-BR"/>
        </w:rPr>
        <w:t>afirmaram</w:t>
      </w:r>
      <w:r w:rsidR="00207197" w:rsidRPr="00D5464D">
        <w:rPr>
          <w:lang w:val="pt-BR"/>
        </w:rPr>
        <w:t xml:space="preserve"> que</w:t>
      </w:r>
      <w:r w:rsidR="002C330E" w:rsidRPr="00D5464D">
        <w:rPr>
          <w:lang w:val="pt-BR"/>
        </w:rPr>
        <w:t xml:space="preserve"> os </w:t>
      </w:r>
      <w:r w:rsidR="00207197" w:rsidRPr="00D5464D">
        <w:rPr>
          <w:lang w:val="pt-BR"/>
        </w:rPr>
        <w:t xml:space="preserve">tratados de </w:t>
      </w:r>
      <w:r w:rsidR="00470ADC" w:rsidRPr="00D5464D">
        <w:rPr>
          <w:lang w:val="pt-BR"/>
        </w:rPr>
        <w:t>direito</w:t>
      </w:r>
      <w:r w:rsidR="00207197" w:rsidRPr="00D5464D">
        <w:rPr>
          <w:lang w:val="pt-BR"/>
        </w:rPr>
        <w:t>s humanos</w:t>
      </w:r>
      <w:r w:rsidR="002C330E" w:rsidRPr="00D5464D">
        <w:rPr>
          <w:lang w:val="pt-BR"/>
        </w:rPr>
        <w:t xml:space="preserve"> são </w:t>
      </w:r>
      <w:r w:rsidR="00207197" w:rsidRPr="00D5464D">
        <w:rPr>
          <w:lang w:val="pt-BR"/>
        </w:rPr>
        <w:t xml:space="preserve">instrumentos vivos, </w:t>
      </w:r>
      <w:r w:rsidR="00470ADC" w:rsidRPr="00D5464D">
        <w:rPr>
          <w:lang w:val="pt-BR"/>
        </w:rPr>
        <w:t>cuja</w:t>
      </w:r>
      <w:r w:rsidR="00207197" w:rsidRPr="00D5464D">
        <w:rPr>
          <w:lang w:val="pt-BR"/>
        </w:rPr>
        <w:t xml:space="preserve"> interpreta</w:t>
      </w:r>
      <w:r w:rsidR="00470ADC" w:rsidRPr="00D5464D">
        <w:rPr>
          <w:lang w:val="pt-BR"/>
        </w:rPr>
        <w:t>ção</w:t>
      </w:r>
      <w:r w:rsidR="00207197" w:rsidRPr="00D5464D">
        <w:rPr>
          <w:lang w:val="pt-BR"/>
        </w:rPr>
        <w:t xml:space="preserve"> </w:t>
      </w:r>
      <w:r w:rsidR="00C95DD7" w:rsidRPr="00D5464D">
        <w:rPr>
          <w:lang w:val="pt-BR"/>
        </w:rPr>
        <w:t>deve</w:t>
      </w:r>
      <w:r w:rsidR="00207197" w:rsidRPr="00D5464D">
        <w:rPr>
          <w:lang w:val="pt-BR"/>
        </w:rPr>
        <w:t xml:space="preserve"> </w:t>
      </w:r>
      <w:r w:rsidR="00470ADC" w:rsidRPr="00D5464D">
        <w:rPr>
          <w:lang w:val="pt-BR"/>
        </w:rPr>
        <w:t>acompanh</w:t>
      </w:r>
      <w:r w:rsidR="00207197" w:rsidRPr="00D5464D">
        <w:rPr>
          <w:lang w:val="pt-BR"/>
        </w:rPr>
        <w:t>ar</w:t>
      </w:r>
      <w:r w:rsidR="002C330E" w:rsidRPr="00D5464D">
        <w:rPr>
          <w:lang w:val="pt-BR"/>
        </w:rPr>
        <w:t xml:space="preserve"> a </w:t>
      </w:r>
      <w:r w:rsidR="00207197" w:rsidRPr="00D5464D">
        <w:rPr>
          <w:lang w:val="pt-BR"/>
        </w:rPr>
        <w:t>evolu</w:t>
      </w:r>
      <w:r w:rsidR="00470ADC" w:rsidRPr="00D5464D">
        <w:rPr>
          <w:lang w:val="pt-BR"/>
        </w:rPr>
        <w:t xml:space="preserve">ção dos </w:t>
      </w:r>
      <w:r w:rsidR="00E045D9" w:rsidRPr="00D5464D">
        <w:rPr>
          <w:lang w:val="pt-BR"/>
        </w:rPr>
        <w:t>tempo</w:t>
      </w:r>
      <w:r w:rsidR="00207197" w:rsidRPr="00D5464D">
        <w:rPr>
          <w:lang w:val="pt-BR"/>
        </w:rPr>
        <w:t>s</w:t>
      </w:r>
      <w:r w:rsidR="00E045D9" w:rsidRPr="00D5464D">
        <w:rPr>
          <w:lang w:val="pt-BR"/>
        </w:rPr>
        <w:t xml:space="preserve"> e </w:t>
      </w:r>
      <w:r w:rsidR="002C330E" w:rsidRPr="00D5464D">
        <w:rPr>
          <w:lang w:val="pt-BR"/>
        </w:rPr>
        <w:t xml:space="preserve">as </w:t>
      </w:r>
      <w:r w:rsidR="00207197" w:rsidRPr="00D5464D">
        <w:rPr>
          <w:lang w:val="pt-BR"/>
        </w:rPr>
        <w:t>condi</w:t>
      </w:r>
      <w:r w:rsidR="00470ADC" w:rsidRPr="00D5464D">
        <w:rPr>
          <w:lang w:val="pt-BR"/>
        </w:rPr>
        <w:t>ções</w:t>
      </w:r>
      <w:r w:rsidR="00207197" w:rsidRPr="00D5464D">
        <w:rPr>
          <w:lang w:val="pt-BR"/>
        </w:rPr>
        <w:t xml:space="preserve"> de vida </w:t>
      </w:r>
      <w:r w:rsidR="00470ADC" w:rsidRPr="00D5464D">
        <w:rPr>
          <w:lang w:val="pt-BR"/>
        </w:rPr>
        <w:t>atuais</w:t>
      </w:r>
      <w:r w:rsidR="00207197" w:rsidRPr="00D5464D">
        <w:rPr>
          <w:lang w:val="pt-BR"/>
        </w:rPr>
        <w:t xml:space="preserve">. </w:t>
      </w:r>
      <w:r w:rsidR="00C95DD7" w:rsidRPr="00D5464D">
        <w:rPr>
          <w:lang w:val="pt-BR"/>
        </w:rPr>
        <w:t xml:space="preserve">Esta </w:t>
      </w:r>
      <w:r w:rsidR="00207197" w:rsidRPr="00D5464D">
        <w:rPr>
          <w:lang w:val="pt-BR"/>
        </w:rPr>
        <w:t>interpreta</w:t>
      </w:r>
      <w:r w:rsidR="00470ADC" w:rsidRPr="00D5464D">
        <w:rPr>
          <w:lang w:val="pt-BR"/>
        </w:rPr>
        <w:t>ção</w:t>
      </w:r>
      <w:r w:rsidR="00207197" w:rsidRPr="00D5464D">
        <w:rPr>
          <w:lang w:val="pt-BR"/>
        </w:rPr>
        <w:t xml:space="preserve"> evolutiva</w:t>
      </w:r>
      <w:r w:rsidR="00470ADC" w:rsidRPr="00D5464D">
        <w:rPr>
          <w:lang w:val="pt-BR"/>
        </w:rPr>
        <w:t xml:space="preserve"> é consequente com</w:t>
      </w:r>
      <w:r w:rsidR="002C330E" w:rsidRPr="00D5464D">
        <w:rPr>
          <w:lang w:val="pt-BR"/>
        </w:rPr>
        <w:t xml:space="preserve"> as regras</w:t>
      </w:r>
      <w:r w:rsidR="00207197" w:rsidRPr="00D5464D">
        <w:rPr>
          <w:lang w:val="pt-BR"/>
        </w:rPr>
        <w:t xml:space="preserve"> </w:t>
      </w:r>
      <w:r w:rsidR="002C330E" w:rsidRPr="00D5464D">
        <w:rPr>
          <w:lang w:val="pt-BR"/>
        </w:rPr>
        <w:t xml:space="preserve">gerais </w:t>
      </w:r>
      <w:r w:rsidR="00207197" w:rsidRPr="00D5464D">
        <w:rPr>
          <w:lang w:val="pt-BR"/>
        </w:rPr>
        <w:t>de interpreta</w:t>
      </w:r>
      <w:r w:rsidR="00470ADC" w:rsidRPr="00D5464D">
        <w:rPr>
          <w:lang w:val="pt-BR"/>
        </w:rPr>
        <w:t>ção</w:t>
      </w:r>
      <w:r w:rsidR="00207197" w:rsidRPr="00D5464D">
        <w:rPr>
          <w:lang w:val="pt-BR"/>
        </w:rPr>
        <w:t xml:space="preserve"> </w:t>
      </w:r>
      <w:r w:rsidR="00C95DD7" w:rsidRPr="00D5464D">
        <w:rPr>
          <w:lang w:val="pt-BR"/>
        </w:rPr>
        <w:t xml:space="preserve">estabelecidas </w:t>
      </w:r>
      <w:r w:rsidR="00E045D9" w:rsidRPr="00D5464D">
        <w:rPr>
          <w:lang w:val="pt-BR"/>
        </w:rPr>
        <w:t xml:space="preserve">no </w:t>
      </w:r>
      <w:r w:rsidR="00470ADC" w:rsidRPr="00D5464D">
        <w:rPr>
          <w:lang w:val="pt-BR"/>
        </w:rPr>
        <w:t>artigo</w:t>
      </w:r>
      <w:r w:rsidR="00207197" w:rsidRPr="00D5464D">
        <w:rPr>
          <w:lang w:val="pt-BR"/>
        </w:rPr>
        <w:t xml:space="preserve"> 29</w:t>
      </w:r>
      <w:r w:rsidR="00470ADC" w:rsidRPr="00D5464D">
        <w:rPr>
          <w:lang w:val="pt-BR"/>
        </w:rPr>
        <w:t xml:space="preserve"> da </w:t>
      </w:r>
      <w:r w:rsidR="00207197" w:rsidRPr="00D5464D">
        <w:rPr>
          <w:lang w:val="pt-BR"/>
        </w:rPr>
        <w:t>Conven</w:t>
      </w:r>
      <w:r w:rsidR="00470ADC" w:rsidRPr="00D5464D">
        <w:rPr>
          <w:lang w:val="pt-BR"/>
        </w:rPr>
        <w:t>ção</w:t>
      </w:r>
      <w:r w:rsidR="00207197" w:rsidRPr="00D5464D">
        <w:rPr>
          <w:lang w:val="pt-BR"/>
        </w:rPr>
        <w:t xml:space="preserve"> Americana, </w:t>
      </w:r>
      <w:r w:rsidR="00C95DD7" w:rsidRPr="00D5464D">
        <w:rPr>
          <w:lang w:val="pt-BR"/>
        </w:rPr>
        <w:t xml:space="preserve">bem </w:t>
      </w:r>
      <w:r w:rsidR="00207197" w:rsidRPr="00D5464D">
        <w:rPr>
          <w:lang w:val="pt-BR"/>
        </w:rPr>
        <w:t>como</w:t>
      </w:r>
      <w:r w:rsidR="002C330E" w:rsidRPr="00D5464D">
        <w:rPr>
          <w:lang w:val="pt-BR"/>
        </w:rPr>
        <w:t xml:space="preserve"> as </w:t>
      </w:r>
      <w:r w:rsidR="00470ADC" w:rsidRPr="00D5464D">
        <w:rPr>
          <w:lang w:val="pt-BR"/>
        </w:rPr>
        <w:t>estabelecid</w:t>
      </w:r>
      <w:r w:rsidR="00207197" w:rsidRPr="00D5464D">
        <w:rPr>
          <w:lang w:val="pt-BR"/>
        </w:rPr>
        <w:t>as</w:t>
      </w:r>
      <w:r w:rsidR="002C330E" w:rsidRPr="00D5464D">
        <w:rPr>
          <w:lang w:val="pt-BR"/>
        </w:rPr>
        <w:t xml:space="preserve"> </w:t>
      </w:r>
      <w:r w:rsidR="0060182F" w:rsidRPr="00D5464D">
        <w:rPr>
          <w:lang w:val="pt-BR"/>
        </w:rPr>
        <w:t xml:space="preserve">na </w:t>
      </w:r>
      <w:r w:rsidR="00207197" w:rsidRPr="00D5464D">
        <w:rPr>
          <w:lang w:val="pt-BR"/>
        </w:rPr>
        <w:t>Conven</w:t>
      </w:r>
      <w:r w:rsidR="00470ADC" w:rsidRPr="00D5464D">
        <w:rPr>
          <w:lang w:val="pt-BR"/>
        </w:rPr>
        <w:t>ção</w:t>
      </w:r>
      <w:r w:rsidR="00207197" w:rsidRPr="00D5464D">
        <w:rPr>
          <w:lang w:val="pt-BR"/>
        </w:rPr>
        <w:t xml:space="preserve"> de Viena sobre</w:t>
      </w:r>
      <w:r w:rsidR="00470ADC" w:rsidRPr="00D5464D">
        <w:rPr>
          <w:lang w:val="pt-BR"/>
        </w:rPr>
        <w:t xml:space="preserve"> o Direito dos </w:t>
      </w:r>
      <w:r w:rsidR="00207197" w:rsidRPr="00D5464D">
        <w:rPr>
          <w:lang w:val="pt-BR"/>
        </w:rPr>
        <w:t>Tratados.</w:t>
      </w:r>
    </w:p>
    <w:p w14:paraId="12EA6C50" w14:textId="77777777" w:rsidR="00207197" w:rsidRPr="00D5464D" w:rsidRDefault="00207197" w:rsidP="00140440">
      <w:pPr>
        <w:jc w:val="both"/>
        <w:rPr>
          <w:lang w:val="pt-BR"/>
        </w:rPr>
      </w:pPr>
    </w:p>
    <w:p w14:paraId="464A0531" w14:textId="004F7F4A" w:rsidR="00207197" w:rsidRPr="00D5464D" w:rsidRDefault="00E765C2" w:rsidP="00F37DC4">
      <w:pPr>
        <w:pStyle w:val="Prrafodelista"/>
        <w:numPr>
          <w:ilvl w:val="0"/>
          <w:numId w:val="1"/>
        </w:numPr>
        <w:contextualSpacing w:val="0"/>
        <w:rPr>
          <w:lang w:val="pt-BR"/>
        </w:rPr>
      </w:pPr>
      <w:r w:rsidRPr="00D5464D">
        <w:rPr>
          <w:lang w:val="pt-BR"/>
        </w:rPr>
        <w:t>Nesse sentido</w:t>
      </w:r>
      <w:r w:rsidR="00207197" w:rsidRPr="00D5464D">
        <w:rPr>
          <w:lang w:val="pt-BR"/>
        </w:rPr>
        <w:t xml:space="preserve">, esta Corte </w:t>
      </w:r>
      <w:r w:rsidR="002C330E" w:rsidRPr="00D5464D">
        <w:rPr>
          <w:lang w:val="pt-BR"/>
        </w:rPr>
        <w:t>afirmou</w:t>
      </w:r>
      <w:r w:rsidR="00207197" w:rsidRPr="00D5464D">
        <w:rPr>
          <w:lang w:val="pt-BR"/>
        </w:rPr>
        <w:t xml:space="preserve"> que</w:t>
      </w:r>
      <w:r w:rsidR="008F0A01" w:rsidRPr="00D5464D">
        <w:rPr>
          <w:lang w:val="pt-BR"/>
        </w:rPr>
        <w:t>,</w:t>
      </w:r>
      <w:r w:rsidR="00470ADC" w:rsidRPr="00D5464D">
        <w:rPr>
          <w:lang w:val="pt-BR"/>
        </w:rPr>
        <w:t xml:space="preserve"> ao </w:t>
      </w:r>
      <w:r w:rsidR="00207197" w:rsidRPr="00D5464D">
        <w:rPr>
          <w:lang w:val="pt-BR"/>
        </w:rPr>
        <w:t>interpreta</w:t>
      </w:r>
      <w:r w:rsidR="008F0A01" w:rsidRPr="00D5464D">
        <w:rPr>
          <w:lang w:val="pt-BR"/>
        </w:rPr>
        <w:t>r</w:t>
      </w:r>
      <w:r w:rsidR="00E045D9" w:rsidRPr="00D5464D">
        <w:rPr>
          <w:lang w:val="pt-BR"/>
        </w:rPr>
        <w:t xml:space="preserve"> um </w:t>
      </w:r>
      <w:r w:rsidR="00207197" w:rsidRPr="00D5464D">
        <w:rPr>
          <w:lang w:val="pt-BR"/>
        </w:rPr>
        <w:t>tratado</w:t>
      </w:r>
      <w:r w:rsidR="008F0A01" w:rsidRPr="00D5464D">
        <w:rPr>
          <w:lang w:val="pt-BR"/>
        </w:rPr>
        <w:t>,</w:t>
      </w:r>
      <w:r w:rsidR="00207197" w:rsidRPr="00D5464D">
        <w:rPr>
          <w:lang w:val="pt-BR"/>
        </w:rPr>
        <w:t xml:space="preserve"> </w:t>
      </w:r>
      <w:r w:rsidR="00350187" w:rsidRPr="00D5464D">
        <w:rPr>
          <w:lang w:val="pt-BR"/>
        </w:rPr>
        <w:t xml:space="preserve">não apenas </w:t>
      </w:r>
      <w:r w:rsidR="004668DB" w:rsidRPr="00D5464D">
        <w:rPr>
          <w:lang w:val="pt-BR"/>
        </w:rPr>
        <w:t xml:space="preserve">são </w:t>
      </w:r>
      <w:r w:rsidR="0060182F" w:rsidRPr="00D5464D">
        <w:rPr>
          <w:lang w:val="pt-BR"/>
        </w:rPr>
        <w:t xml:space="preserve">levados </w:t>
      </w:r>
      <w:r w:rsidR="00470ADC" w:rsidRPr="00D5464D">
        <w:rPr>
          <w:lang w:val="pt-BR"/>
        </w:rPr>
        <w:t xml:space="preserve">em </w:t>
      </w:r>
      <w:r w:rsidR="004668DB" w:rsidRPr="00D5464D">
        <w:rPr>
          <w:lang w:val="pt-BR"/>
        </w:rPr>
        <w:t xml:space="preserve">consideração </w:t>
      </w:r>
      <w:r w:rsidR="002C330E" w:rsidRPr="00D5464D">
        <w:rPr>
          <w:lang w:val="pt-BR"/>
        </w:rPr>
        <w:t xml:space="preserve">os </w:t>
      </w:r>
      <w:r w:rsidR="00470ADC" w:rsidRPr="00D5464D">
        <w:rPr>
          <w:lang w:val="pt-BR"/>
        </w:rPr>
        <w:t>acordo</w:t>
      </w:r>
      <w:r w:rsidR="00207197" w:rsidRPr="00D5464D">
        <w:rPr>
          <w:lang w:val="pt-BR"/>
        </w:rPr>
        <w:t>s e instrumentos formalmente relacionados</w:t>
      </w:r>
      <w:r w:rsidR="00470ADC" w:rsidRPr="00D5464D">
        <w:rPr>
          <w:lang w:val="pt-BR"/>
        </w:rPr>
        <w:t xml:space="preserve"> </w:t>
      </w:r>
      <w:r w:rsidR="004668DB" w:rsidRPr="00D5464D">
        <w:rPr>
          <w:lang w:val="pt-BR"/>
        </w:rPr>
        <w:t xml:space="preserve">ao tratado </w:t>
      </w:r>
      <w:r w:rsidR="00207197" w:rsidRPr="00D5464D">
        <w:rPr>
          <w:lang w:val="pt-BR"/>
        </w:rPr>
        <w:t xml:space="preserve">(inciso segundo </w:t>
      </w:r>
      <w:r w:rsidR="00470ADC" w:rsidRPr="00D5464D">
        <w:rPr>
          <w:lang w:val="pt-BR"/>
        </w:rPr>
        <w:t>do artigo</w:t>
      </w:r>
      <w:r w:rsidR="00207197" w:rsidRPr="00D5464D">
        <w:rPr>
          <w:lang w:val="pt-BR"/>
        </w:rPr>
        <w:t xml:space="preserve"> 31</w:t>
      </w:r>
      <w:r w:rsidR="00470ADC" w:rsidRPr="00D5464D">
        <w:rPr>
          <w:lang w:val="pt-BR"/>
        </w:rPr>
        <w:t xml:space="preserve"> da </w:t>
      </w:r>
      <w:r w:rsidR="00207197" w:rsidRPr="00D5464D">
        <w:rPr>
          <w:lang w:val="pt-BR"/>
        </w:rPr>
        <w:t>Conven</w:t>
      </w:r>
      <w:r w:rsidR="00470ADC" w:rsidRPr="00D5464D">
        <w:rPr>
          <w:lang w:val="pt-BR"/>
        </w:rPr>
        <w:t>ção</w:t>
      </w:r>
      <w:r w:rsidR="00207197" w:rsidRPr="00D5464D">
        <w:rPr>
          <w:lang w:val="pt-BR"/>
        </w:rPr>
        <w:t xml:space="preserve"> de Viena),</w:t>
      </w:r>
      <w:r w:rsidR="002C330E" w:rsidRPr="00D5464D">
        <w:rPr>
          <w:lang w:val="pt-BR"/>
        </w:rPr>
        <w:t xml:space="preserve"> mas </w:t>
      </w:r>
      <w:r w:rsidR="00E045D9" w:rsidRPr="00D5464D">
        <w:rPr>
          <w:lang w:val="pt-BR"/>
        </w:rPr>
        <w:t>também</w:t>
      </w:r>
      <w:r w:rsidR="00470ADC" w:rsidRPr="00D5464D">
        <w:rPr>
          <w:lang w:val="pt-BR"/>
        </w:rPr>
        <w:t xml:space="preserve"> o </w:t>
      </w:r>
      <w:r w:rsidR="00207197" w:rsidRPr="00D5464D">
        <w:rPr>
          <w:lang w:val="pt-BR"/>
        </w:rPr>
        <w:t xml:space="preserve">sistema dentro </w:t>
      </w:r>
      <w:r w:rsidR="00470ADC" w:rsidRPr="00D5464D">
        <w:rPr>
          <w:lang w:val="pt-BR"/>
        </w:rPr>
        <w:t xml:space="preserve">do qual </w:t>
      </w:r>
      <w:r w:rsidR="00207197" w:rsidRPr="00D5464D">
        <w:rPr>
          <w:lang w:val="pt-BR"/>
        </w:rPr>
        <w:t xml:space="preserve">se </w:t>
      </w:r>
      <w:r w:rsidR="00230C71" w:rsidRPr="00D5464D">
        <w:rPr>
          <w:lang w:val="pt-BR"/>
        </w:rPr>
        <w:t>inscreve</w:t>
      </w:r>
      <w:r w:rsidR="00207197" w:rsidRPr="00D5464D">
        <w:rPr>
          <w:lang w:val="pt-BR"/>
        </w:rPr>
        <w:t xml:space="preserve"> (inciso </w:t>
      </w:r>
      <w:r w:rsidR="00E045D9" w:rsidRPr="00D5464D">
        <w:rPr>
          <w:lang w:val="pt-BR"/>
        </w:rPr>
        <w:t>terceiro</w:t>
      </w:r>
      <w:r w:rsidR="00207197" w:rsidRPr="00D5464D">
        <w:rPr>
          <w:lang w:val="pt-BR"/>
        </w:rPr>
        <w:t xml:space="preserve"> </w:t>
      </w:r>
      <w:r w:rsidR="00470ADC" w:rsidRPr="00D5464D">
        <w:rPr>
          <w:lang w:val="pt-BR"/>
        </w:rPr>
        <w:t>do artigo</w:t>
      </w:r>
      <w:r w:rsidR="00207197" w:rsidRPr="00D5464D">
        <w:rPr>
          <w:lang w:val="pt-BR"/>
        </w:rPr>
        <w:t xml:space="preserve"> 31 </w:t>
      </w:r>
      <w:r w:rsidR="00E045D9" w:rsidRPr="00D5464D">
        <w:rPr>
          <w:lang w:val="pt-BR"/>
        </w:rPr>
        <w:t>desta</w:t>
      </w:r>
      <w:r w:rsidR="00207197" w:rsidRPr="00D5464D">
        <w:rPr>
          <w:lang w:val="pt-BR"/>
        </w:rPr>
        <w:t xml:space="preserve"> Conven</w:t>
      </w:r>
      <w:r w:rsidR="00470ADC" w:rsidRPr="00D5464D">
        <w:rPr>
          <w:lang w:val="pt-BR"/>
        </w:rPr>
        <w:t>ção</w:t>
      </w:r>
      <w:r w:rsidR="00207197" w:rsidRPr="00D5464D">
        <w:rPr>
          <w:lang w:val="pt-BR"/>
        </w:rPr>
        <w:t>)</w:t>
      </w:r>
      <w:r w:rsidR="0060182F" w:rsidRPr="00D5464D">
        <w:rPr>
          <w:lang w:val="pt-BR"/>
        </w:rPr>
        <w:t>.</w:t>
      </w:r>
      <w:r w:rsidR="00207197" w:rsidRPr="00D5464D">
        <w:rPr>
          <w:vertAlign w:val="superscript"/>
          <w:lang w:val="pt-BR"/>
        </w:rPr>
        <w:footnoteReference w:id="358"/>
      </w:r>
      <w:r w:rsidR="001D2A88" w:rsidRPr="00D5464D">
        <w:rPr>
          <w:lang w:val="pt-BR"/>
        </w:rPr>
        <w:t xml:space="preserve"> </w:t>
      </w:r>
      <w:r w:rsidR="00470ADC" w:rsidRPr="00D5464D">
        <w:rPr>
          <w:lang w:val="pt-BR"/>
        </w:rPr>
        <w:t>Assim</w:t>
      </w:r>
      <w:r w:rsidR="00EF30D7" w:rsidRPr="00D5464D">
        <w:rPr>
          <w:lang w:val="pt-BR"/>
        </w:rPr>
        <w:t xml:space="preserve">, </w:t>
      </w:r>
      <w:r w:rsidR="00EF30D7" w:rsidRPr="00D5464D">
        <w:rPr>
          <w:rFonts w:cs="Calibri"/>
          <w:lang w:val="pt-BR"/>
        </w:rPr>
        <w:t>p</w:t>
      </w:r>
      <w:r w:rsidR="00EF30D7" w:rsidRPr="00D5464D">
        <w:rPr>
          <w:lang w:val="pt-BR"/>
        </w:rPr>
        <w:t>ara</w:t>
      </w:r>
      <w:r w:rsidR="00EF30D7" w:rsidRPr="00D5464D">
        <w:rPr>
          <w:rFonts w:cs="Verdana"/>
          <w:lang w:val="pt-BR" w:eastAsia="es-CL"/>
        </w:rPr>
        <w:t xml:space="preserve"> emitir</w:t>
      </w:r>
      <w:r w:rsidR="00E045D9" w:rsidRPr="00D5464D">
        <w:rPr>
          <w:rFonts w:cs="Verdana"/>
          <w:lang w:val="pt-BR" w:eastAsia="es-CL"/>
        </w:rPr>
        <w:t xml:space="preserve"> </w:t>
      </w:r>
      <w:r w:rsidR="0060182F" w:rsidRPr="00D5464D">
        <w:rPr>
          <w:rFonts w:cs="Verdana"/>
          <w:lang w:val="pt-BR" w:eastAsia="es-CL"/>
        </w:rPr>
        <w:t xml:space="preserve">seu parecer </w:t>
      </w:r>
      <w:r w:rsidR="00EF30D7" w:rsidRPr="00D5464D">
        <w:rPr>
          <w:rFonts w:cs="Verdana"/>
          <w:lang w:val="pt-BR" w:eastAsia="es-CL"/>
        </w:rPr>
        <w:t>sobre</w:t>
      </w:r>
      <w:r w:rsidR="002C330E" w:rsidRPr="00D5464D">
        <w:rPr>
          <w:rFonts w:cs="Verdana"/>
          <w:lang w:val="pt-BR" w:eastAsia="es-CL"/>
        </w:rPr>
        <w:t xml:space="preserve"> a </w:t>
      </w:r>
      <w:r w:rsidR="00EF30D7" w:rsidRPr="00D5464D">
        <w:rPr>
          <w:rFonts w:cs="Verdana"/>
          <w:lang w:val="pt-BR" w:eastAsia="es-CL"/>
        </w:rPr>
        <w:t>interpreta</w:t>
      </w:r>
      <w:r w:rsidR="00470ADC" w:rsidRPr="00D5464D">
        <w:rPr>
          <w:rFonts w:cs="Verdana"/>
          <w:lang w:val="pt-BR" w:eastAsia="es-CL"/>
        </w:rPr>
        <w:t xml:space="preserve">ção das </w:t>
      </w:r>
      <w:r w:rsidR="00EF30D7" w:rsidRPr="00D5464D">
        <w:rPr>
          <w:rFonts w:cs="Verdana"/>
          <w:lang w:val="pt-BR" w:eastAsia="es-CL"/>
        </w:rPr>
        <w:t>disposi</w:t>
      </w:r>
      <w:r w:rsidR="00470ADC" w:rsidRPr="00D5464D">
        <w:rPr>
          <w:rFonts w:cs="Verdana"/>
          <w:lang w:val="pt-BR" w:eastAsia="es-CL"/>
        </w:rPr>
        <w:t>ções</w:t>
      </w:r>
      <w:r w:rsidR="00EF30D7" w:rsidRPr="00D5464D">
        <w:rPr>
          <w:rFonts w:cs="Verdana"/>
          <w:lang w:val="pt-BR" w:eastAsia="es-CL"/>
        </w:rPr>
        <w:t xml:space="preserve"> jurídicas tra</w:t>
      </w:r>
      <w:r w:rsidR="0060182F" w:rsidRPr="00D5464D">
        <w:rPr>
          <w:rFonts w:cs="Verdana"/>
          <w:lang w:val="pt-BR" w:eastAsia="es-CL"/>
        </w:rPr>
        <w:t>zidas à</w:t>
      </w:r>
      <w:r w:rsidR="00EF30D7" w:rsidRPr="00D5464D">
        <w:rPr>
          <w:rFonts w:cs="Verdana"/>
          <w:lang w:val="pt-BR" w:eastAsia="es-CL"/>
        </w:rPr>
        <w:t xml:space="preserve"> </w:t>
      </w:r>
      <w:r w:rsidR="00470ADC" w:rsidRPr="00D5464D">
        <w:rPr>
          <w:rFonts w:cs="Verdana"/>
          <w:lang w:val="pt-BR" w:eastAsia="es-CL"/>
        </w:rPr>
        <w:t>discussão</w:t>
      </w:r>
      <w:r w:rsidR="00EF30D7" w:rsidRPr="00D5464D">
        <w:rPr>
          <w:rFonts w:cs="Times"/>
          <w:lang w:val="pt-BR"/>
        </w:rPr>
        <w:t>,</w:t>
      </w:r>
      <w:r w:rsidR="002C330E" w:rsidRPr="00D5464D">
        <w:rPr>
          <w:rFonts w:cs="Times"/>
          <w:lang w:val="pt-BR"/>
        </w:rPr>
        <w:t xml:space="preserve"> a </w:t>
      </w:r>
      <w:r w:rsidR="00EF30D7" w:rsidRPr="00D5464D">
        <w:rPr>
          <w:rFonts w:cs="Times"/>
          <w:lang w:val="pt-BR"/>
        </w:rPr>
        <w:t xml:space="preserve">Corte </w:t>
      </w:r>
      <w:r w:rsidR="00A1358C" w:rsidRPr="00D5464D">
        <w:rPr>
          <w:rFonts w:cs="Times"/>
          <w:lang w:val="pt-BR"/>
        </w:rPr>
        <w:t>recorrer</w:t>
      </w:r>
      <w:r w:rsidR="00EF30D7" w:rsidRPr="00D5464D">
        <w:rPr>
          <w:rFonts w:cs="Times"/>
          <w:lang w:val="pt-BR"/>
        </w:rPr>
        <w:t>á</w:t>
      </w:r>
      <w:r w:rsidR="00470ADC" w:rsidRPr="00D5464D">
        <w:rPr>
          <w:rFonts w:cs="Times"/>
          <w:lang w:val="pt-BR"/>
        </w:rPr>
        <w:t xml:space="preserve"> à </w:t>
      </w:r>
      <w:r w:rsidR="00EF30D7" w:rsidRPr="00D5464D">
        <w:rPr>
          <w:rFonts w:cs="Times"/>
          <w:lang w:val="pt-BR"/>
        </w:rPr>
        <w:t>Conven</w:t>
      </w:r>
      <w:r w:rsidR="00470ADC" w:rsidRPr="00D5464D">
        <w:rPr>
          <w:rFonts w:cs="Times"/>
          <w:lang w:val="pt-BR"/>
        </w:rPr>
        <w:t>ção</w:t>
      </w:r>
      <w:r w:rsidR="00EF30D7" w:rsidRPr="00D5464D">
        <w:rPr>
          <w:rFonts w:cs="Times"/>
          <w:lang w:val="pt-BR"/>
        </w:rPr>
        <w:t xml:space="preserve"> de Viena sobre</w:t>
      </w:r>
      <w:r w:rsidR="00470ADC" w:rsidRPr="00D5464D">
        <w:rPr>
          <w:rFonts w:cs="Times"/>
          <w:lang w:val="pt-BR"/>
        </w:rPr>
        <w:t xml:space="preserve"> o Direito dos </w:t>
      </w:r>
      <w:r w:rsidR="00EF30D7" w:rsidRPr="00D5464D">
        <w:rPr>
          <w:rFonts w:cs="Times"/>
          <w:lang w:val="pt-BR"/>
        </w:rPr>
        <w:t>Tratados,</w:t>
      </w:r>
      <w:r w:rsidR="002C330E" w:rsidRPr="00D5464D">
        <w:rPr>
          <w:rFonts w:cs="Times"/>
          <w:lang w:val="pt-BR"/>
        </w:rPr>
        <w:t xml:space="preserve"> a </w:t>
      </w:r>
      <w:r w:rsidR="00470ADC" w:rsidRPr="00D5464D">
        <w:rPr>
          <w:rFonts w:cs="Times"/>
          <w:lang w:val="pt-BR"/>
        </w:rPr>
        <w:t xml:space="preserve">qual </w:t>
      </w:r>
      <w:r w:rsidR="005820BE" w:rsidRPr="00D5464D">
        <w:rPr>
          <w:rFonts w:cs="Calibri"/>
          <w:lang w:val="pt-BR"/>
        </w:rPr>
        <w:t>reflete</w:t>
      </w:r>
      <w:r w:rsidR="002C330E" w:rsidRPr="00D5464D">
        <w:rPr>
          <w:rFonts w:cs="Calibri"/>
          <w:lang w:val="pt-BR"/>
        </w:rPr>
        <w:t xml:space="preserve"> a regra </w:t>
      </w:r>
      <w:r w:rsidR="002C330E" w:rsidRPr="00D5464D">
        <w:rPr>
          <w:lang w:val="pt-BR"/>
        </w:rPr>
        <w:t>geral</w:t>
      </w:r>
      <w:r w:rsidR="00E045D9" w:rsidRPr="00D5464D">
        <w:rPr>
          <w:lang w:val="pt-BR"/>
        </w:rPr>
        <w:t xml:space="preserve"> e </w:t>
      </w:r>
      <w:r w:rsidR="00470ADC" w:rsidRPr="00D5464D">
        <w:rPr>
          <w:rFonts w:cs="Calibri"/>
          <w:lang w:val="pt-BR"/>
        </w:rPr>
        <w:t>consuetudinária</w:t>
      </w:r>
      <w:r w:rsidR="00EF30D7" w:rsidRPr="00D5464D">
        <w:rPr>
          <w:rFonts w:cs="Calibri"/>
          <w:lang w:val="pt-BR"/>
        </w:rPr>
        <w:t xml:space="preserve"> de interpreta</w:t>
      </w:r>
      <w:r w:rsidR="00470ADC" w:rsidRPr="00D5464D">
        <w:rPr>
          <w:rFonts w:cs="Calibri"/>
          <w:lang w:val="pt-BR"/>
        </w:rPr>
        <w:t xml:space="preserve">ção dos </w:t>
      </w:r>
      <w:r w:rsidR="00EF30D7" w:rsidRPr="00D5464D">
        <w:rPr>
          <w:rFonts w:cs="Calibri"/>
          <w:lang w:val="pt-BR"/>
        </w:rPr>
        <w:t xml:space="preserve">tratados </w:t>
      </w:r>
      <w:r w:rsidR="002C330E" w:rsidRPr="00D5464D">
        <w:rPr>
          <w:rFonts w:cs="Calibri"/>
          <w:lang w:val="pt-BR"/>
        </w:rPr>
        <w:t>internacionais</w:t>
      </w:r>
      <w:r w:rsidR="005820BE" w:rsidRPr="00D5464D">
        <w:rPr>
          <w:rFonts w:cs="Calibri"/>
          <w:lang w:val="pt-BR"/>
        </w:rPr>
        <w:t>,</w:t>
      </w:r>
      <w:r w:rsidR="00EF30D7" w:rsidRPr="00D5464D">
        <w:rPr>
          <w:rStyle w:val="Refdenotaalpie"/>
          <w:rFonts w:cs="Calibri"/>
          <w:lang w:val="pt-BR"/>
        </w:rPr>
        <w:footnoteReference w:id="359"/>
      </w:r>
      <w:r w:rsidR="00EF30D7" w:rsidRPr="00D5464D">
        <w:rPr>
          <w:rFonts w:cs="Calibri"/>
          <w:lang w:val="pt-BR"/>
        </w:rPr>
        <w:t xml:space="preserve"> que implica</w:t>
      </w:r>
      <w:r w:rsidR="002C330E" w:rsidRPr="00D5464D">
        <w:rPr>
          <w:rFonts w:cs="Calibri"/>
          <w:lang w:val="pt-BR"/>
        </w:rPr>
        <w:t xml:space="preserve"> </w:t>
      </w:r>
      <w:r w:rsidR="008F0A01" w:rsidRPr="00D5464D">
        <w:rPr>
          <w:rFonts w:cs="Calibri"/>
          <w:lang w:val="pt-BR"/>
        </w:rPr>
        <w:t>n</w:t>
      </w:r>
      <w:r w:rsidR="002C330E" w:rsidRPr="00D5464D">
        <w:rPr>
          <w:rFonts w:cs="Calibri"/>
          <w:lang w:val="pt-BR"/>
        </w:rPr>
        <w:t xml:space="preserve">a </w:t>
      </w:r>
      <w:r w:rsidR="00EF30D7" w:rsidRPr="00D5464D">
        <w:rPr>
          <w:rFonts w:cs="Calibri"/>
          <w:lang w:val="pt-BR"/>
        </w:rPr>
        <w:t>aplica</w:t>
      </w:r>
      <w:r w:rsidR="00470ADC" w:rsidRPr="00D5464D">
        <w:rPr>
          <w:rFonts w:cs="Calibri"/>
          <w:lang w:val="pt-BR"/>
        </w:rPr>
        <w:t>ção</w:t>
      </w:r>
      <w:r w:rsidR="00EF30D7" w:rsidRPr="00D5464D">
        <w:rPr>
          <w:rFonts w:cs="Calibri"/>
          <w:lang w:val="pt-BR"/>
        </w:rPr>
        <w:t xml:space="preserve"> </w:t>
      </w:r>
      <w:r w:rsidR="00A1358C" w:rsidRPr="00D5464D">
        <w:rPr>
          <w:rFonts w:cs="Calibri"/>
          <w:lang w:val="pt-BR"/>
        </w:rPr>
        <w:t xml:space="preserve">simultânea </w:t>
      </w:r>
      <w:r w:rsidR="00E045D9" w:rsidRPr="00D5464D">
        <w:rPr>
          <w:rFonts w:cs="Calibri"/>
          <w:lang w:val="pt-BR"/>
        </w:rPr>
        <w:t xml:space="preserve">e </w:t>
      </w:r>
      <w:r w:rsidR="00EF30D7" w:rsidRPr="00D5464D">
        <w:rPr>
          <w:rFonts w:cs="Calibri"/>
          <w:lang w:val="pt-BR"/>
        </w:rPr>
        <w:t>conjunta</w:t>
      </w:r>
      <w:r w:rsidR="00470ADC" w:rsidRPr="00D5464D">
        <w:rPr>
          <w:rFonts w:cs="Calibri"/>
          <w:lang w:val="pt-BR"/>
        </w:rPr>
        <w:t xml:space="preserve"> da boa </w:t>
      </w:r>
      <w:r w:rsidR="005820BE" w:rsidRPr="00D5464D">
        <w:rPr>
          <w:rFonts w:cs="Calibri"/>
          <w:lang w:val="pt-BR"/>
        </w:rPr>
        <w:t>fé</w:t>
      </w:r>
      <w:r w:rsidR="00EF30D7" w:rsidRPr="00D5464D">
        <w:rPr>
          <w:rFonts w:cs="Calibri"/>
          <w:lang w:val="pt-BR"/>
        </w:rPr>
        <w:t>,</w:t>
      </w:r>
      <w:r w:rsidR="00470ADC" w:rsidRPr="00D5464D">
        <w:rPr>
          <w:rFonts w:cs="Calibri"/>
          <w:lang w:val="pt-BR"/>
        </w:rPr>
        <w:t xml:space="preserve"> </w:t>
      </w:r>
      <w:r w:rsidR="005820BE" w:rsidRPr="00D5464D">
        <w:rPr>
          <w:rFonts w:cs="Calibri"/>
          <w:lang w:val="pt-BR"/>
        </w:rPr>
        <w:t>d</w:t>
      </w:r>
      <w:r w:rsidR="00470ADC" w:rsidRPr="00D5464D">
        <w:rPr>
          <w:rFonts w:cs="Calibri"/>
          <w:lang w:val="pt-BR"/>
        </w:rPr>
        <w:t xml:space="preserve">o </w:t>
      </w:r>
      <w:r w:rsidR="00EF30D7" w:rsidRPr="00D5464D">
        <w:rPr>
          <w:rFonts w:cs="Calibri"/>
          <w:lang w:val="pt-BR"/>
        </w:rPr>
        <w:t xml:space="preserve">sentido </w:t>
      </w:r>
      <w:r w:rsidR="005820BE" w:rsidRPr="00D5464D">
        <w:rPr>
          <w:rFonts w:cs="Calibri"/>
          <w:lang w:val="pt-BR"/>
        </w:rPr>
        <w:t xml:space="preserve">comum </w:t>
      </w:r>
      <w:r w:rsidR="00470ADC" w:rsidRPr="00D5464D">
        <w:rPr>
          <w:rFonts w:cs="Calibri"/>
          <w:lang w:val="pt-BR"/>
        </w:rPr>
        <w:t xml:space="preserve">dos </w:t>
      </w:r>
      <w:r w:rsidR="00E045D9" w:rsidRPr="00D5464D">
        <w:rPr>
          <w:rFonts w:cs="Calibri"/>
          <w:lang w:val="pt-BR"/>
        </w:rPr>
        <w:t>termo</w:t>
      </w:r>
      <w:r w:rsidR="00EF30D7" w:rsidRPr="00D5464D">
        <w:rPr>
          <w:rFonts w:cs="Calibri"/>
          <w:lang w:val="pt-BR"/>
        </w:rPr>
        <w:t xml:space="preserve">s </w:t>
      </w:r>
      <w:r w:rsidR="00230C71" w:rsidRPr="00D5464D">
        <w:rPr>
          <w:rFonts w:cs="Calibri"/>
          <w:lang w:val="pt-BR"/>
        </w:rPr>
        <w:t>empregad</w:t>
      </w:r>
      <w:r w:rsidR="00EF30D7" w:rsidRPr="00D5464D">
        <w:rPr>
          <w:rFonts w:cs="Calibri"/>
          <w:lang w:val="pt-BR"/>
        </w:rPr>
        <w:t>os</w:t>
      </w:r>
      <w:r w:rsidR="00E045D9" w:rsidRPr="00D5464D">
        <w:rPr>
          <w:rFonts w:cs="Calibri"/>
          <w:lang w:val="pt-BR"/>
        </w:rPr>
        <w:t xml:space="preserve"> no </w:t>
      </w:r>
      <w:r w:rsidR="00EF30D7" w:rsidRPr="00D5464D">
        <w:rPr>
          <w:rFonts w:cs="Calibri"/>
          <w:lang w:val="pt-BR"/>
        </w:rPr>
        <w:t xml:space="preserve">tratado </w:t>
      </w:r>
      <w:r w:rsidRPr="00D5464D">
        <w:rPr>
          <w:rFonts w:cs="Calibri"/>
          <w:lang w:val="pt-BR"/>
        </w:rPr>
        <w:t>em questão</w:t>
      </w:r>
      <w:r w:rsidR="00EF30D7" w:rsidRPr="00D5464D">
        <w:rPr>
          <w:rFonts w:cs="Calibri"/>
          <w:lang w:val="pt-BR"/>
        </w:rPr>
        <w:t>,</w:t>
      </w:r>
      <w:r w:rsidR="00470ADC" w:rsidRPr="00D5464D">
        <w:rPr>
          <w:rFonts w:cs="Calibri"/>
          <w:lang w:val="pt-BR"/>
        </w:rPr>
        <w:t xml:space="preserve"> </w:t>
      </w:r>
      <w:r w:rsidR="005820BE" w:rsidRPr="00D5464D">
        <w:rPr>
          <w:rFonts w:cs="Calibri"/>
          <w:lang w:val="pt-BR"/>
        </w:rPr>
        <w:t>d</w:t>
      </w:r>
      <w:r w:rsidR="00470ADC" w:rsidRPr="00D5464D">
        <w:rPr>
          <w:rFonts w:cs="Calibri"/>
          <w:lang w:val="pt-BR"/>
        </w:rPr>
        <w:t xml:space="preserve">o </w:t>
      </w:r>
      <w:r w:rsidR="005820BE" w:rsidRPr="00D5464D">
        <w:rPr>
          <w:rFonts w:cs="Calibri"/>
          <w:lang w:val="pt-BR"/>
        </w:rPr>
        <w:t xml:space="preserve">seu </w:t>
      </w:r>
      <w:r w:rsidR="00EF30D7" w:rsidRPr="00D5464D">
        <w:rPr>
          <w:rFonts w:cs="Calibri"/>
          <w:lang w:val="pt-BR"/>
        </w:rPr>
        <w:t xml:space="preserve">contexto </w:t>
      </w:r>
      <w:r w:rsidR="00E045D9" w:rsidRPr="00D5464D">
        <w:rPr>
          <w:rFonts w:cs="Calibri"/>
          <w:lang w:val="pt-BR"/>
        </w:rPr>
        <w:t xml:space="preserve">e </w:t>
      </w:r>
      <w:r w:rsidR="005820BE" w:rsidRPr="00D5464D">
        <w:rPr>
          <w:rFonts w:cs="Calibri"/>
          <w:lang w:val="pt-BR"/>
        </w:rPr>
        <w:t>d</w:t>
      </w:r>
      <w:r w:rsidR="00470ADC" w:rsidRPr="00D5464D">
        <w:rPr>
          <w:rFonts w:cs="Calibri"/>
          <w:lang w:val="pt-BR"/>
        </w:rPr>
        <w:t xml:space="preserve">o </w:t>
      </w:r>
      <w:r w:rsidR="005820BE" w:rsidRPr="00D5464D">
        <w:rPr>
          <w:rFonts w:cs="Calibri"/>
          <w:lang w:val="pt-BR"/>
        </w:rPr>
        <w:t xml:space="preserve">seu </w:t>
      </w:r>
      <w:r w:rsidR="00EF30D7" w:rsidRPr="00D5464D">
        <w:rPr>
          <w:rFonts w:cs="Calibri"/>
          <w:lang w:val="pt-BR"/>
        </w:rPr>
        <w:t>objeto</w:t>
      </w:r>
      <w:r w:rsidR="00E045D9" w:rsidRPr="00D5464D">
        <w:rPr>
          <w:rFonts w:cs="Calibri"/>
          <w:lang w:val="pt-BR"/>
        </w:rPr>
        <w:t xml:space="preserve"> e </w:t>
      </w:r>
      <w:r w:rsidR="00470ADC" w:rsidRPr="00D5464D">
        <w:rPr>
          <w:rFonts w:cs="Calibri"/>
          <w:lang w:val="pt-BR"/>
        </w:rPr>
        <w:t>fim</w:t>
      </w:r>
      <w:r w:rsidR="00230C71" w:rsidRPr="00D5464D">
        <w:rPr>
          <w:rFonts w:cs="Calibri"/>
          <w:lang w:val="pt-BR"/>
        </w:rPr>
        <w:t>.</w:t>
      </w:r>
      <w:r w:rsidR="00EF30D7" w:rsidRPr="00D5464D">
        <w:rPr>
          <w:rFonts w:cs="Calibri"/>
          <w:lang w:val="pt-BR"/>
        </w:rPr>
        <w:t xml:space="preserve"> </w:t>
      </w:r>
      <w:r w:rsidR="00350187" w:rsidRPr="00D5464D">
        <w:rPr>
          <w:rFonts w:cs="Calibri"/>
          <w:lang w:val="pt-BR"/>
        </w:rPr>
        <w:t xml:space="preserve">Por isso, </w:t>
      </w:r>
      <w:r w:rsidR="002C330E" w:rsidRPr="00D5464D">
        <w:rPr>
          <w:rFonts w:cs="Calibri"/>
          <w:lang w:val="pt-BR"/>
        </w:rPr>
        <w:t xml:space="preserve">a </w:t>
      </w:r>
      <w:r w:rsidR="00EF30D7" w:rsidRPr="00D5464D">
        <w:rPr>
          <w:lang w:val="pt-BR"/>
        </w:rPr>
        <w:t>Corte</w:t>
      </w:r>
      <w:r w:rsidR="002C330E" w:rsidRPr="00D5464D">
        <w:rPr>
          <w:lang w:val="pt-BR"/>
        </w:rPr>
        <w:t xml:space="preserve"> fará </w:t>
      </w:r>
      <w:r w:rsidR="00EF30D7" w:rsidRPr="00D5464D">
        <w:rPr>
          <w:lang w:val="pt-BR"/>
        </w:rPr>
        <w:t>uso</w:t>
      </w:r>
      <w:r w:rsidR="00470ADC" w:rsidRPr="00D5464D">
        <w:rPr>
          <w:lang w:val="pt-BR"/>
        </w:rPr>
        <w:t xml:space="preserve"> dos </w:t>
      </w:r>
      <w:r w:rsidR="00EF30D7" w:rsidRPr="00D5464D">
        <w:rPr>
          <w:lang w:val="pt-BR"/>
        </w:rPr>
        <w:t>métodos de interpreta</w:t>
      </w:r>
      <w:r w:rsidR="00470ADC" w:rsidRPr="00D5464D">
        <w:rPr>
          <w:lang w:val="pt-BR"/>
        </w:rPr>
        <w:t>ção</w:t>
      </w:r>
      <w:r w:rsidR="00EF30D7" w:rsidRPr="00D5464D">
        <w:rPr>
          <w:lang w:val="pt-BR"/>
        </w:rPr>
        <w:t xml:space="preserve"> estipulados</w:t>
      </w:r>
      <w:r w:rsidR="00E045D9" w:rsidRPr="00D5464D">
        <w:rPr>
          <w:lang w:val="pt-BR"/>
        </w:rPr>
        <w:t xml:space="preserve"> nos </w:t>
      </w:r>
      <w:r w:rsidR="00470ADC" w:rsidRPr="00D5464D">
        <w:rPr>
          <w:lang w:val="pt-BR"/>
        </w:rPr>
        <w:t>artigo</w:t>
      </w:r>
      <w:r w:rsidR="00EF30D7" w:rsidRPr="00D5464D">
        <w:rPr>
          <w:lang w:val="pt-BR"/>
        </w:rPr>
        <w:t>s 31</w:t>
      </w:r>
      <w:r w:rsidR="00EF30D7" w:rsidRPr="00D5464D">
        <w:rPr>
          <w:rStyle w:val="Refdenotaalpie"/>
          <w:lang w:val="pt-BR"/>
        </w:rPr>
        <w:footnoteReference w:id="360"/>
      </w:r>
      <w:r w:rsidR="00E045D9" w:rsidRPr="00D5464D">
        <w:rPr>
          <w:lang w:val="pt-BR"/>
        </w:rPr>
        <w:t xml:space="preserve"> e </w:t>
      </w:r>
      <w:r w:rsidR="00EF30D7" w:rsidRPr="00D5464D">
        <w:rPr>
          <w:lang w:val="pt-BR"/>
        </w:rPr>
        <w:t>32</w:t>
      </w:r>
      <w:r w:rsidR="00EF30D7" w:rsidRPr="00D5464D">
        <w:rPr>
          <w:rStyle w:val="Refdenotaalpie"/>
          <w:lang w:val="pt-BR"/>
        </w:rPr>
        <w:footnoteReference w:id="361"/>
      </w:r>
      <w:r w:rsidR="00470ADC" w:rsidRPr="00D5464D">
        <w:rPr>
          <w:lang w:val="pt-BR"/>
        </w:rPr>
        <w:t xml:space="preserve"> da </w:t>
      </w:r>
      <w:r w:rsidR="00EF30D7" w:rsidRPr="00D5464D">
        <w:rPr>
          <w:lang w:val="pt-BR"/>
        </w:rPr>
        <w:t>Conven</w:t>
      </w:r>
      <w:r w:rsidR="00470ADC" w:rsidRPr="00D5464D">
        <w:rPr>
          <w:lang w:val="pt-BR"/>
        </w:rPr>
        <w:t>ção</w:t>
      </w:r>
      <w:r w:rsidR="00EF30D7" w:rsidRPr="00D5464D">
        <w:rPr>
          <w:lang w:val="pt-BR"/>
        </w:rPr>
        <w:t xml:space="preserve"> de Viena para</w:t>
      </w:r>
      <w:r w:rsidR="002C330E" w:rsidRPr="00D5464D">
        <w:rPr>
          <w:lang w:val="pt-BR"/>
        </w:rPr>
        <w:t xml:space="preserve"> lev</w:t>
      </w:r>
      <w:r w:rsidR="00EF30D7" w:rsidRPr="00D5464D">
        <w:rPr>
          <w:lang w:val="pt-BR"/>
        </w:rPr>
        <w:t xml:space="preserve">ar a cabo </w:t>
      </w:r>
      <w:r w:rsidR="00470ADC" w:rsidRPr="00D5464D">
        <w:rPr>
          <w:lang w:val="pt-BR"/>
        </w:rPr>
        <w:t>esta</w:t>
      </w:r>
      <w:r w:rsidR="00EF30D7" w:rsidRPr="00D5464D">
        <w:rPr>
          <w:lang w:val="pt-BR"/>
        </w:rPr>
        <w:t xml:space="preserve"> interpreta</w:t>
      </w:r>
      <w:r w:rsidR="00470ADC" w:rsidRPr="00D5464D">
        <w:rPr>
          <w:lang w:val="pt-BR"/>
        </w:rPr>
        <w:t>ção</w:t>
      </w:r>
      <w:r w:rsidR="005820BE" w:rsidRPr="00D5464D">
        <w:rPr>
          <w:lang w:val="pt-BR"/>
        </w:rPr>
        <w:t>.</w:t>
      </w:r>
      <w:r w:rsidR="00E65F7D" w:rsidRPr="00D5464D">
        <w:rPr>
          <w:rStyle w:val="Refdenotaalpie"/>
          <w:lang w:val="pt-BR"/>
        </w:rPr>
        <w:footnoteReference w:id="362"/>
      </w:r>
    </w:p>
    <w:p w14:paraId="20B5F142" w14:textId="77777777" w:rsidR="00207197" w:rsidRPr="00D5464D" w:rsidRDefault="00207197" w:rsidP="00140440">
      <w:pPr>
        <w:jc w:val="both"/>
        <w:rPr>
          <w:lang w:val="pt-BR"/>
        </w:rPr>
      </w:pPr>
    </w:p>
    <w:p w14:paraId="7EF53D40" w14:textId="53374D5E" w:rsidR="00207197" w:rsidRPr="00D5464D" w:rsidRDefault="00470ADC" w:rsidP="00F37DC4">
      <w:pPr>
        <w:pStyle w:val="Prrafodelista"/>
        <w:numPr>
          <w:ilvl w:val="0"/>
          <w:numId w:val="1"/>
        </w:numPr>
        <w:contextualSpacing w:val="0"/>
        <w:rPr>
          <w:lang w:val="pt-BR"/>
        </w:rPr>
      </w:pPr>
      <w:r w:rsidRPr="00D5464D">
        <w:rPr>
          <w:lang w:val="pt-BR"/>
        </w:rPr>
        <w:t xml:space="preserve">No </w:t>
      </w:r>
      <w:r w:rsidR="00207197" w:rsidRPr="00D5464D">
        <w:rPr>
          <w:lang w:val="pt-BR"/>
        </w:rPr>
        <w:t>presente caso,</w:t>
      </w:r>
      <w:r w:rsidRPr="00D5464D">
        <w:rPr>
          <w:lang w:val="pt-BR"/>
        </w:rPr>
        <w:t xml:space="preserve"> ao analisar</w:t>
      </w:r>
      <w:r w:rsidR="002C330E" w:rsidRPr="00D5464D">
        <w:rPr>
          <w:lang w:val="pt-BR"/>
        </w:rPr>
        <w:t xml:space="preserve"> os </w:t>
      </w:r>
      <w:r w:rsidR="00207197" w:rsidRPr="00D5464D">
        <w:rPr>
          <w:lang w:val="pt-BR"/>
        </w:rPr>
        <w:t xml:space="preserve">alcances </w:t>
      </w:r>
      <w:r w:rsidRPr="00D5464D">
        <w:rPr>
          <w:lang w:val="pt-BR"/>
        </w:rPr>
        <w:t>do artigo</w:t>
      </w:r>
      <w:r w:rsidR="00207197" w:rsidRPr="00D5464D">
        <w:rPr>
          <w:lang w:val="pt-BR"/>
        </w:rPr>
        <w:t xml:space="preserve"> 6</w:t>
      </w:r>
      <w:r w:rsidRPr="00D5464D">
        <w:rPr>
          <w:lang w:val="pt-BR"/>
        </w:rPr>
        <w:t xml:space="preserve"> da </w:t>
      </w:r>
      <w:r w:rsidR="00207197" w:rsidRPr="00D5464D">
        <w:rPr>
          <w:lang w:val="pt-BR"/>
        </w:rPr>
        <w:t>Conven</w:t>
      </w:r>
      <w:r w:rsidRPr="00D5464D">
        <w:rPr>
          <w:lang w:val="pt-BR"/>
        </w:rPr>
        <w:t>ção</w:t>
      </w:r>
      <w:r w:rsidR="00A54539" w:rsidRPr="00D5464D">
        <w:rPr>
          <w:lang w:val="pt-BR"/>
        </w:rPr>
        <w:t xml:space="preserve"> Americana</w:t>
      </w:r>
      <w:r w:rsidR="00207197" w:rsidRPr="00D5464D">
        <w:rPr>
          <w:lang w:val="pt-BR"/>
        </w:rPr>
        <w:t>,</w:t>
      </w:r>
      <w:r w:rsidRPr="00D5464D">
        <w:rPr>
          <w:lang w:val="pt-BR"/>
        </w:rPr>
        <w:t xml:space="preserve"> o </w:t>
      </w:r>
      <w:r w:rsidR="00207197" w:rsidRPr="00D5464D">
        <w:rPr>
          <w:lang w:val="pt-BR"/>
        </w:rPr>
        <w:t>Tribunal considera útil</w:t>
      </w:r>
      <w:r w:rsidR="00E045D9" w:rsidRPr="00D5464D">
        <w:rPr>
          <w:lang w:val="pt-BR"/>
        </w:rPr>
        <w:t xml:space="preserve"> e apropriad</w:t>
      </w:r>
      <w:r w:rsidR="00207197" w:rsidRPr="00D5464D">
        <w:rPr>
          <w:lang w:val="pt-BR"/>
        </w:rPr>
        <w:t xml:space="preserve">o utilizar </w:t>
      </w:r>
      <w:r w:rsidR="002C330E" w:rsidRPr="00D5464D">
        <w:rPr>
          <w:lang w:val="pt-BR"/>
        </w:rPr>
        <w:t>outros</w:t>
      </w:r>
      <w:r w:rsidR="00207197" w:rsidRPr="00D5464D">
        <w:rPr>
          <w:lang w:val="pt-BR"/>
        </w:rPr>
        <w:t xml:space="preserve"> tratados </w:t>
      </w:r>
      <w:r w:rsidR="002C330E" w:rsidRPr="00D5464D">
        <w:rPr>
          <w:lang w:val="pt-BR"/>
        </w:rPr>
        <w:t>internacionais</w:t>
      </w:r>
      <w:r w:rsidR="00592688" w:rsidRPr="00D5464D">
        <w:rPr>
          <w:lang w:val="pt-BR"/>
        </w:rPr>
        <w:t xml:space="preserve"> distintos</w:t>
      </w:r>
      <w:r w:rsidRPr="00D5464D">
        <w:rPr>
          <w:lang w:val="pt-BR"/>
        </w:rPr>
        <w:t xml:space="preserve"> à </w:t>
      </w:r>
      <w:r w:rsidR="00592688" w:rsidRPr="00D5464D">
        <w:rPr>
          <w:lang w:val="pt-BR"/>
        </w:rPr>
        <w:t>Conven</w:t>
      </w:r>
      <w:r w:rsidRPr="00D5464D">
        <w:rPr>
          <w:lang w:val="pt-BR"/>
        </w:rPr>
        <w:t>ção</w:t>
      </w:r>
      <w:r w:rsidR="008000DD" w:rsidRPr="00D5464D">
        <w:rPr>
          <w:lang w:val="pt-BR"/>
        </w:rPr>
        <w:t>,</w:t>
      </w:r>
      <w:r w:rsidR="00207197" w:rsidRPr="00D5464D">
        <w:rPr>
          <w:b/>
          <w:lang w:val="pt-BR"/>
        </w:rPr>
        <w:t xml:space="preserve"> </w:t>
      </w:r>
      <w:r w:rsidR="00207197" w:rsidRPr="00D5464D">
        <w:rPr>
          <w:lang w:val="pt-BR"/>
        </w:rPr>
        <w:t>para interpretar su</w:t>
      </w:r>
      <w:r w:rsidR="000A1145" w:rsidRPr="00D5464D">
        <w:rPr>
          <w:lang w:val="pt-BR"/>
        </w:rPr>
        <w:t>a</w:t>
      </w:r>
      <w:r w:rsidR="00207197" w:rsidRPr="00D5464D">
        <w:rPr>
          <w:lang w:val="pt-BR"/>
        </w:rPr>
        <w:t>s disposi</w:t>
      </w:r>
      <w:r w:rsidRPr="00D5464D">
        <w:rPr>
          <w:lang w:val="pt-BR"/>
        </w:rPr>
        <w:t>ções</w:t>
      </w:r>
      <w:r w:rsidR="00207197" w:rsidRPr="00D5464D">
        <w:rPr>
          <w:lang w:val="pt-BR"/>
        </w:rPr>
        <w:t xml:space="preserve"> de </w:t>
      </w:r>
      <w:r w:rsidRPr="00D5464D">
        <w:rPr>
          <w:lang w:val="pt-BR"/>
        </w:rPr>
        <w:t xml:space="preserve">acordo </w:t>
      </w:r>
      <w:r w:rsidR="005820BE" w:rsidRPr="00D5464D">
        <w:rPr>
          <w:lang w:val="pt-BR"/>
        </w:rPr>
        <w:t xml:space="preserve">com a </w:t>
      </w:r>
      <w:r w:rsidR="00207197" w:rsidRPr="00D5464D">
        <w:rPr>
          <w:lang w:val="pt-BR"/>
        </w:rPr>
        <w:t>evolu</w:t>
      </w:r>
      <w:r w:rsidRPr="00D5464D">
        <w:rPr>
          <w:lang w:val="pt-BR"/>
        </w:rPr>
        <w:t>ção</w:t>
      </w:r>
      <w:r w:rsidR="00207197" w:rsidRPr="00D5464D">
        <w:rPr>
          <w:lang w:val="pt-BR"/>
        </w:rPr>
        <w:t xml:space="preserve"> </w:t>
      </w:r>
      <w:r w:rsidRPr="00D5464D">
        <w:rPr>
          <w:lang w:val="pt-BR"/>
        </w:rPr>
        <w:t xml:space="preserve">do </w:t>
      </w:r>
      <w:r w:rsidR="005820BE" w:rsidRPr="00D5464D">
        <w:rPr>
          <w:lang w:val="pt-BR"/>
        </w:rPr>
        <w:t>S</w:t>
      </w:r>
      <w:r w:rsidR="00207197" w:rsidRPr="00D5464D">
        <w:rPr>
          <w:lang w:val="pt-BR"/>
        </w:rPr>
        <w:t xml:space="preserve">istema </w:t>
      </w:r>
      <w:r w:rsidR="005820BE" w:rsidRPr="00D5464D">
        <w:rPr>
          <w:lang w:val="pt-BR"/>
        </w:rPr>
        <w:t>I</w:t>
      </w:r>
      <w:r w:rsidR="00207197" w:rsidRPr="00D5464D">
        <w:rPr>
          <w:lang w:val="pt-BR"/>
        </w:rPr>
        <w:t xml:space="preserve">nteramericano, </w:t>
      </w:r>
      <w:r w:rsidR="00F02442" w:rsidRPr="00D5464D">
        <w:rPr>
          <w:lang w:val="pt-BR"/>
        </w:rPr>
        <w:t xml:space="preserve">levando em </w:t>
      </w:r>
      <w:r w:rsidR="00207197" w:rsidRPr="00D5464D">
        <w:rPr>
          <w:lang w:val="pt-BR"/>
        </w:rPr>
        <w:t>considera</w:t>
      </w:r>
      <w:r w:rsidRPr="00D5464D">
        <w:rPr>
          <w:lang w:val="pt-BR"/>
        </w:rPr>
        <w:t>ção</w:t>
      </w:r>
      <w:r w:rsidR="00207197" w:rsidRPr="00D5464D">
        <w:rPr>
          <w:lang w:val="pt-BR"/>
        </w:rPr>
        <w:t xml:space="preserve"> </w:t>
      </w:r>
      <w:r w:rsidRPr="00D5464D">
        <w:rPr>
          <w:lang w:val="pt-BR"/>
        </w:rPr>
        <w:t>o desenvolvimento</w:t>
      </w:r>
      <w:r w:rsidR="00207197" w:rsidRPr="00D5464D">
        <w:rPr>
          <w:lang w:val="pt-BR"/>
        </w:rPr>
        <w:t xml:space="preserve"> experimentado</w:t>
      </w:r>
      <w:r w:rsidR="00E045D9" w:rsidRPr="00D5464D">
        <w:rPr>
          <w:lang w:val="pt-BR"/>
        </w:rPr>
        <w:t xml:space="preserve"> nesta </w:t>
      </w:r>
      <w:r w:rsidR="002C330E" w:rsidRPr="00D5464D">
        <w:rPr>
          <w:lang w:val="pt-BR"/>
        </w:rPr>
        <w:t>matéria</w:t>
      </w:r>
      <w:r w:rsidR="00E045D9" w:rsidRPr="00D5464D">
        <w:rPr>
          <w:lang w:val="pt-BR"/>
        </w:rPr>
        <w:t xml:space="preserve"> </w:t>
      </w:r>
      <w:r w:rsidR="00F02442" w:rsidRPr="00D5464D">
        <w:rPr>
          <w:lang w:val="pt-BR"/>
        </w:rPr>
        <w:t xml:space="preserve">nos vários ramos </w:t>
      </w:r>
      <w:r w:rsidRPr="00D5464D">
        <w:rPr>
          <w:lang w:val="pt-BR"/>
        </w:rPr>
        <w:t xml:space="preserve">do </w:t>
      </w:r>
      <w:r w:rsidR="00E765C2" w:rsidRPr="00D5464D">
        <w:rPr>
          <w:lang w:val="pt-BR"/>
        </w:rPr>
        <w:t>Direito Internacional</w:t>
      </w:r>
      <w:r w:rsidR="00207197" w:rsidRPr="00D5464D">
        <w:rPr>
          <w:lang w:val="pt-BR"/>
        </w:rPr>
        <w:t>,</w:t>
      </w:r>
      <w:r w:rsidRPr="00D5464D">
        <w:rPr>
          <w:lang w:val="pt-BR"/>
        </w:rPr>
        <w:t xml:space="preserve"> em </w:t>
      </w:r>
      <w:r w:rsidR="00207197" w:rsidRPr="00D5464D">
        <w:rPr>
          <w:lang w:val="pt-BR"/>
        </w:rPr>
        <w:t>particular</w:t>
      </w:r>
      <w:r w:rsidRPr="00D5464D">
        <w:rPr>
          <w:lang w:val="pt-BR"/>
        </w:rPr>
        <w:t xml:space="preserve"> o </w:t>
      </w:r>
      <w:r w:rsidR="00E765C2" w:rsidRPr="00D5464D">
        <w:rPr>
          <w:lang w:val="pt-BR"/>
        </w:rPr>
        <w:t>Direito Internacional</w:t>
      </w:r>
      <w:r w:rsidRPr="00D5464D">
        <w:rPr>
          <w:lang w:val="pt-BR"/>
        </w:rPr>
        <w:t xml:space="preserve"> dos </w:t>
      </w:r>
      <w:r w:rsidR="00F02442" w:rsidRPr="00D5464D">
        <w:rPr>
          <w:lang w:val="pt-BR"/>
        </w:rPr>
        <w:t>D</w:t>
      </w:r>
      <w:r w:rsidRPr="00D5464D">
        <w:rPr>
          <w:lang w:val="pt-BR"/>
        </w:rPr>
        <w:t>ireito</w:t>
      </w:r>
      <w:r w:rsidR="00207197" w:rsidRPr="00D5464D">
        <w:rPr>
          <w:lang w:val="pt-BR"/>
        </w:rPr>
        <w:t xml:space="preserve">s </w:t>
      </w:r>
      <w:r w:rsidR="00F02442" w:rsidRPr="00D5464D">
        <w:rPr>
          <w:lang w:val="pt-BR"/>
        </w:rPr>
        <w:t>H</w:t>
      </w:r>
      <w:r w:rsidR="00207197" w:rsidRPr="00D5464D">
        <w:rPr>
          <w:lang w:val="pt-BR"/>
        </w:rPr>
        <w:t>umanos</w:t>
      </w:r>
      <w:r w:rsidR="00F02442" w:rsidRPr="00D5464D">
        <w:rPr>
          <w:lang w:val="pt-BR"/>
        </w:rPr>
        <w:t>.</w:t>
      </w:r>
      <w:r w:rsidR="00207197" w:rsidRPr="00D5464D">
        <w:rPr>
          <w:vertAlign w:val="superscript"/>
          <w:lang w:val="pt-BR"/>
        </w:rPr>
        <w:footnoteReference w:id="363"/>
      </w:r>
    </w:p>
    <w:p w14:paraId="213BBD02" w14:textId="77777777" w:rsidR="00207197" w:rsidRPr="00D5464D" w:rsidRDefault="00207197" w:rsidP="00140440">
      <w:pPr>
        <w:jc w:val="both"/>
        <w:rPr>
          <w:lang w:val="pt-BR"/>
        </w:rPr>
      </w:pPr>
    </w:p>
    <w:p w14:paraId="0BCEB9D7" w14:textId="31AF7AC2" w:rsidR="00207197" w:rsidRPr="00D5464D" w:rsidRDefault="008B5D60" w:rsidP="008B5D60">
      <w:pPr>
        <w:pStyle w:val="Ttulo3"/>
        <w:rPr>
          <w:lang w:val="pt-BR"/>
        </w:rPr>
      </w:pPr>
      <w:bookmarkStart w:id="392" w:name="_Toc468433920"/>
      <w:r w:rsidRPr="00D5464D">
        <w:rPr>
          <w:lang w:val="pt-BR"/>
        </w:rPr>
        <w:t>B.1</w:t>
      </w:r>
      <w:r w:rsidR="00CB7E29" w:rsidRPr="00D5464D">
        <w:rPr>
          <w:lang w:val="pt-BR"/>
        </w:rPr>
        <w:t>.</w:t>
      </w:r>
      <w:r w:rsidR="009158E8" w:rsidRPr="00D5464D">
        <w:rPr>
          <w:lang w:val="pt-BR"/>
        </w:rPr>
        <w:t xml:space="preserve"> A</w:t>
      </w:r>
      <w:r w:rsidR="002C330E" w:rsidRPr="00D5464D">
        <w:rPr>
          <w:lang w:val="pt-BR"/>
        </w:rPr>
        <w:t xml:space="preserve"> </w:t>
      </w:r>
      <w:r w:rsidR="00207197" w:rsidRPr="00D5464D">
        <w:rPr>
          <w:lang w:val="pt-BR"/>
        </w:rPr>
        <w:t>evolu</w:t>
      </w:r>
      <w:r w:rsidR="00470ADC" w:rsidRPr="00D5464D">
        <w:rPr>
          <w:lang w:val="pt-BR"/>
        </w:rPr>
        <w:t xml:space="preserve">ção da </w:t>
      </w:r>
      <w:r w:rsidR="002C330E" w:rsidRPr="00D5464D">
        <w:rPr>
          <w:lang w:val="pt-BR"/>
        </w:rPr>
        <w:t>proibição</w:t>
      </w:r>
      <w:r w:rsidR="00470ADC" w:rsidRPr="00D5464D">
        <w:rPr>
          <w:lang w:val="pt-BR"/>
        </w:rPr>
        <w:t xml:space="preserve"> da </w:t>
      </w:r>
      <w:r w:rsidR="000B376D" w:rsidRPr="00D5464D">
        <w:rPr>
          <w:lang w:val="pt-BR"/>
        </w:rPr>
        <w:t>escravidão</w:t>
      </w:r>
      <w:r w:rsidR="00064461" w:rsidRPr="00D5464D">
        <w:rPr>
          <w:lang w:val="pt-BR"/>
        </w:rPr>
        <w:t>,</w:t>
      </w:r>
      <w:r w:rsidR="002C330E" w:rsidRPr="00D5464D">
        <w:rPr>
          <w:lang w:val="pt-BR"/>
        </w:rPr>
        <w:t xml:space="preserve"> </w:t>
      </w:r>
      <w:r w:rsidR="009158E8" w:rsidRPr="00D5464D">
        <w:rPr>
          <w:lang w:val="pt-BR"/>
        </w:rPr>
        <w:t>d</w:t>
      </w:r>
      <w:r w:rsidR="002C330E" w:rsidRPr="00D5464D">
        <w:rPr>
          <w:lang w:val="pt-BR"/>
        </w:rPr>
        <w:t xml:space="preserve">a </w:t>
      </w:r>
      <w:r w:rsidR="000B376D" w:rsidRPr="00D5464D">
        <w:rPr>
          <w:lang w:val="pt-BR"/>
        </w:rPr>
        <w:t>servidão</w:t>
      </w:r>
      <w:r w:rsidR="00064461" w:rsidRPr="00D5464D">
        <w:rPr>
          <w:lang w:val="pt-BR"/>
        </w:rPr>
        <w:t>,</w:t>
      </w:r>
      <w:r w:rsidR="00470ADC" w:rsidRPr="00D5464D">
        <w:rPr>
          <w:lang w:val="pt-BR"/>
        </w:rPr>
        <w:t xml:space="preserve"> </w:t>
      </w:r>
      <w:r w:rsidR="009158E8" w:rsidRPr="00D5464D">
        <w:rPr>
          <w:lang w:val="pt-BR"/>
        </w:rPr>
        <w:t>d</w:t>
      </w:r>
      <w:r w:rsidR="00470ADC" w:rsidRPr="00D5464D">
        <w:rPr>
          <w:lang w:val="pt-BR"/>
        </w:rPr>
        <w:t xml:space="preserve">o </w:t>
      </w:r>
      <w:r w:rsidR="00E045D9" w:rsidRPr="00D5464D">
        <w:rPr>
          <w:lang w:val="pt-BR"/>
        </w:rPr>
        <w:t>trabalho</w:t>
      </w:r>
      <w:r w:rsidR="001B63D0" w:rsidRPr="00D5464D">
        <w:rPr>
          <w:lang w:val="pt-BR"/>
        </w:rPr>
        <w:t xml:space="preserve"> </w:t>
      </w:r>
      <w:r w:rsidR="00230C71" w:rsidRPr="00D5464D">
        <w:rPr>
          <w:lang w:val="pt-BR"/>
        </w:rPr>
        <w:t>forçado</w:t>
      </w:r>
      <w:r w:rsidR="00E045D9" w:rsidRPr="00D5464D">
        <w:rPr>
          <w:lang w:val="pt-BR"/>
        </w:rPr>
        <w:t xml:space="preserve"> e </w:t>
      </w:r>
      <w:r w:rsidR="009158E8" w:rsidRPr="00D5464D">
        <w:rPr>
          <w:lang w:val="pt-BR"/>
        </w:rPr>
        <w:t>de</w:t>
      </w:r>
      <w:r w:rsidR="002C330E" w:rsidRPr="00D5464D">
        <w:rPr>
          <w:lang w:val="pt-BR"/>
        </w:rPr>
        <w:t xml:space="preserve"> prática</w:t>
      </w:r>
      <w:r w:rsidR="00323FC8" w:rsidRPr="00D5464D">
        <w:rPr>
          <w:lang w:val="pt-BR"/>
        </w:rPr>
        <w:t xml:space="preserve">s </w:t>
      </w:r>
      <w:r w:rsidR="006665EF" w:rsidRPr="00D5464D">
        <w:rPr>
          <w:lang w:val="pt-BR"/>
        </w:rPr>
        <w:t>análogas</w:t>
      </w:r>
      <w:r w:rsidR="00350187" w:rsidRPr="00D5464D">
        <w:rPr>
          <w:lang w:val="pt-BR"/>
        </w:rPr>
        <w:t xml:space="preserve"> </w:t>
      </w:r>
      <w:r w:rsidR="00470ADC" w:rsidRPr="00D5464D">
        <w:rPr>
          <w:lang w:val="pt-BR"/>
        </w:rPr>
        <w:t xml:space="preserve">à </w:t>
      </w:r>
      <w:r w:rsidR="000B376D" w:rsidRPr="00D5464D">
        <w:rPr>
          <w:lang w:val="pt-BR"/>
        </w:rPr>
        <w:t>escravidão</w:t>
      </w:r>
      <w:r w:rsidR="00E045D9" w:rsidRPr="00D5464D">
        <w:rPr>
          <w:lang w:val="pt-BR"/>
        </w:rPr>
        <w:t xml:space="preserve"> no </w:t>
      </w:r>
      <w:r w:rsidR="00E765C2" w:rsidRPr="00D5464D">
        <w:rPr>
          <w:lang w:val="pt-BR"/>
        </w:rPr>
        <w:t>Direito Internacional</w:t>
      </w:r>
      <w:bookmarkEnd w:id="392"/>
    </w:p>
    <w:p w14:paraId="2E8490C0" w14:textId="77777777" w:rsidR="00DE3E58" w:rsidRPr="00D5464D" w:rsidRDefault="00DE3E58" w:rsidP="00DE3E58">
      <w:pPr>
        <w:pStyle w:val="Prrafodelista"/>
        <w:ind w:left="0"/>
        <w:contextualSpacing w:val="0"/>
        <w:rPr>
          <w:lang w:val="pt-BR"/>
        </w:rPr>
      </w:pPr>
    </w:p>
    <w:p w14:paraId="10DE9E6F" w14:textId="6079136A" w:rsidR="00207197" w:rsidRPr="00D5464D" w:rsidRDefault="00470ADC" w:rsidP="00F37DC4">
      <w:pPr>
        <w:pStyle w:val="Prrafodelista"/>
        <w:numPr>
          <w:ilvl w:val="0"/>
          <w:numId w:val="1"/>
        </w:numPr>
        <w:contextualSpacing w:val="0"/>
        <w:rPr>
          <w:lang w:val="pt-BR"/>
        </w:rPr>
      </w:pPr>
      <w:r w:rsidRPr="00D5464D">
        <w:rPr>
          <w:lang w:val="pt-BR"/>
        </w:rPr>
        <w:t xml:space="preserve">O </w:t>
      </w:r>
      <w:r w:rsidR="002C330E" w:rsidRPr="00D5464D">
        <w:rPr>
          <w:lang w:val="pt-BR"/>
        </w:rPr>
        <w:t>processo</w:t>
      </w:r>
      <w:r w:rsidR="00402077" w:rsidRPr="00D5464D">
        <w:rPr>
          <w:lang w:val="pt-BR"/>
        </w:rPr>
        <w:t xml:space="preserve"> de elimina</w:t>
      </w:r>
      <w:r w:rsidRPr="00D5464D">
        <w:rPr>
          <w:lang w:val="pt-BR"/>
        </w:rPr>
        <w:t>ção</w:t>
      </w:r>
      <w:r w:rsidR="00402077" w:rsidRPr="00D5464D">
        <w:rPr>
          <w:lang w:val="pt-BR"/>
        </w:rPr>
        <w:t xml:space="preserve"> universal</w:t>
      </w:r>
      <w:r w:rsidRPr="00D5464D">
        <w:rPr>
          <w:lang w:val="pt-BR"/>
        </w:rPr>
        <w:t xml:space="preserve"> da </w:t>
      </w:r>
      <w:r w:rsidR="002C330E" w:rsidRPr="00D5464D">
        <w:rPr>
          <w:lang w:val="pt-BR"/>
        </w:rPr>
        <w:t>prática</w:t>
      </w:r>
      <w:r w:rsidRPr="00D5464D">
        <w:rPr>
          <w:lang w:val="pt-BR"/>
        </w:rPr>
        <w:t xml:space="preserve"> da </w:t>
      </w:r>
      <w:r w:rsidR="000B376D" w:rsidRPr="00D5464D">
        <w:rPr>
          <w:lang w:val="pt-BR"/>
        </w:rPr>
        <w:t>escravidão</w:t>
      </w:r>
      <w:r w:rsidR="00207197" w:rsidRPr="00D5464D">
        <w:rPr>
          <w:lang w:val="pt-BR"/>
        </w:rPr>
        <w:t xml:space="preserve"> </w:t>
      </w:r>
      <w:r w:rsidR="00A1358C" w:rsidRPr="00D5464D">
        <w:rPr>
          <w:lang w:val="pt-BR"/>
        </w:rPr>
        <w:t>tomou</w:t>
      </w:r>
      <w:r w:rsidR="00402077" w:rsidRPr="00D5464D">
        <w:rPr>
          <w:lang w:val="pt-BR"/>
        </w:rPr>
        <w:t xml:space="preserve"> </w:t>
      </w:r>
      <w:r w:rsidRPr="00D5464D">
        <w:rPr>
          <w:lang w:val="pt-BR"/>
        </w:rPr>
        <w:t>corpo</w:t>
      </w:r>
      <w:r w:rsidR="00E045D9" w:rsidRPr="00D5464D">
        <w:rPr>
          <w:lang w:val="pt-BR"/>
        </w:rPr>
        <w:t xml:space="preserve"> no </w:t>
      </w:r>
      <w:r w:rsidR="002C330E" w:rsidRPr="00D5464D">
        <w:rPr>
          <w:lang w:val="pt-BR"/>
        </w:rPr>
        <w:t xml:space="preserve">século </w:t>
      </w:r>
      <w:r w:rsidR="00207197" w:rsidRPr="00D5464D">
        <w:rPr>
          <w:lang w:val="pt-BR"/>
        </w:rPr>
        <w:t xml:space="preserve">XVIII, </w:t>
      </w:r>
      <w:r w:rsidRPr="00D5464D">
        <w:rPr>
          <w:lang w:val="pt-BR"/>
        </w:rPr>
        <w:t>quando</w:t>
      </w:r>
      <w:r w:rsidR="00207197" w:rsidRPr="00D5464D">
        <w:rPr>
          <w:lang w:val="pt-BR"/>
        </w:rPr>
        <w:t xml:space="preserve"> </w:t>
      </w:r>
      <w:r w:rsidR="00E045D9" w:rsidRPr="00D5464D">
        <w:rPr>
          <w:lang w:val="pt-BR"/>
        </w:rPr>
        <w:t>vários</w:t>
      </w:r>
      <w:r w:rsidR="00207197" w:rsidRPr="00D5464D">
        <w:rPr>
          <w:lang w:val="pt-BR"/>
        </w:rPr>
        <w:t xml:space="preserve"> </w:t>
      </w:r>
      <w:r w:rsidR="00E045D9" w:rsidRPr="00D5464D">
        <w:rPr>
          <w:lang w:val="pt-BR"/>
        </w:rPr>
        <w:t>tribunais</w:t>
      </w:r>
      <w:r w:rsidR="00207197" w:rsidRPr="00D5464D">
        <w:rPr>
          <w:lang w:val="pt-BR"/>
        </w:rPr>
        <w:t xml:space="preserve"> </w:t>
      </w:r>
      <w:r w:rsidR="002C330E" w:rsidRPr="00D5464D">
        <w:rPr>
          <w:lang w:val="pt-BR"/>
        </w:rPr>
        <w:t>nacionais</w:t>
      </w:r>
      <w:r w:rsidR="00207197" w:rsidRPr="00D5464D">
        <w:rPr>
          <w:lang w:val="pt-BR"/>
        </w:rPr>
        <w:t xml:space="preserve"> </w:t>
      </w:r>
      <w:r w:rsidR="00A1358C" w:rsidRPr="00D5464D">
        <w:rPr>
          <w:lang w:val="pt-BR"/>
        </w:rPr>
        <w:t>passaram</w:t>
      </w:r>
      <w:r w:rsidR="00207197" w:rsidRPr="00D5464D">
        <w:rPr>
          <w:lang w:val="pt-BR"/>
        </w:rPr>
        <w:t xml:space="preserve"> a declarar que </w:t>
      </w:r>
      <w:r w:rsidRPr="00D5464D">
        <w:rPr>
          <w:lang w:val="pt-BR"/>
        </w:rPr>
        <w:t>esta</w:t>
      </w:r>
      <w:r w:rsidR="00207197" w:rsidRPr="00D5464D">
        <w:rPr>
          <w:lang w:val="pt-BR"/>
        </w:rPr>
        <w:t xml:space="preserve"> </w:t>
      </w:r>
      <w:r w:rsidR="002C330E" w:rsidRPr="00D5464D">
        <w:rPr>
          <w:lang w:val="pt-BR"/>
        </w:rPr>
        <w:t>prática</w:t>
      </w:r>
      <w:r w:rsidR="00E045D9" w:rsidRPr="00D5464D">
        <w:rPr>
          <w:lang w:val="pt-BR"/>
        </w:rPr>
        <w:t xml:space="preserve"> já</w:t>
      </w:r>
      <w:r w:rsidR="00737270" w:rsidRPr="00D5464D">
        <w:rPr>
          <w:lang w:val="pt-BR"/>
        </w:rPr>
        <w:t xml:space="preserve"> não era </w:t>
      </w:r>
      <w:r w:rsidR="00230C71" w:rsidRPr="00D5464D">
        <w:rPr>
          <w:lang w:val="pt-BR"/>
        </w:rPr>
        <w:t>aceitável</w:t>
      </w:r>
      <w:r w:rsidR="00C91CB1" w:rsidRPr="00D5464D">
        <w:rPr>
          <w:lang w:val="pt-BR"/>
        </w:rPr>
        <w:t xml:space="preserve">. Sem </w:t>
      </w:r>
      <w:r w:rsidR="002C330E" w:rsidRPr="00D5464D">
        <w:rPr>
          <w:lang w:val="pt-BR"/>
        </w:rPr>
        <w:t>prejuízo</w:t>
      </w:r>
      <w:r w:rsidR="00207197" w:rsidRPr="00D5464D">
        <w:rPr>
          <w:lang w:val="pt-BR"/>
        </w:rPr>
        <w:t xml:space="preserve"> de </w:t>
      </w:r>
      <w:r w:rsidR="00E07DAB" w:rsidRPr="00D5464D">
        <w:rPr>
          <w:lang w:val="pt-BR"/>
        </w:rPr>
        <w:t>distintas</w:t>
      </w:r>
      <w:r w:rsidR="00820FB5" w:rsidRPr="00D5464D">
        <w:rPr>
          <w:lang w:val="pt-BR"/>
        </w:rPr>
        <w:t xml:space="preserve"> </w:t>
      </w:r>
      <w:r w:rsidR="00207197" w:rsidRPr="00D5464D">
        <w:rPr>
          <w:lang w:val="pt-BR"/>
        </w:rPr>
        <w:t xml:space="preserve">iniciativas </w:t>
      </w:r>
      <w:r w:rsidR="00EB1CE9" w:rsidRPr="00D5464D">
        <w:rPr>
          <w:lang w:val="pt-BR"/>
        </w:rPr>
        <w:t>bilaterais</w:t>
      </w:r>
      <w:r w:rsidR="00E045D9" w:rsidRPr="00D5464D">
        <w:rPr>
          <w:lang w:val="pt-BR"/>
        </w:rPr>
        <w:t xml:space="preserve"> e </w:t>
      </w:r>
      <w:r w:rsidR="00EB1CE9" w:rsidRPr="00D5464D">
        <w:rPr>
          <w:lang w:val="pt-BR"/>
        </w:rPr>
        <w:t>multilaterais</w:t>
      </w:r>
      <w:r w:rsidR="00207197" w:rsidRPr="00D5464D">
        <w:rPr>
          <w:lang w:val="pt-BR"/>
        </w:rPr>
        <w:t xml:space="preserve"> para </w:t>
      </w:r>
      <w:r w:rsidR="00E045D9" w:rsidRPr="00D5464D">
        <w:rPr>
          <w:lang w:val="pt-BR"/>
        </w:rPr>
        <w:t>proibir</w:t>
      </w:r>
      <w:r w:rsidR="002C330E" w:rsidRPr="00D5464D">
        <w:rPr>
          <w:lang w:val="pt-BR"/>
        </w:rPr>
        <w:t xml:space="preserve"> a </w:t>
      </w:r>
      <w:r w:rsidR="000B376D" w:rsidRPr="00D5464D">
        <w:rPr>
          <w:lang w:val="pt-BR"/>
        </w:rPr>
        <w:t>escravidão</w:t>
      </w:r>
      <w:r w:rsidR="00E045D9" w:rsidRPr="00D5464D">
        <w:rPr>
          <w:lang w:val="pt-BR"/>
        </w:rPr>
        <w:t xml:space="preserve"> no </w:t>
      </w:r>
      <w:r w:rsidR="002C330E" w:rsidRPr="00D5464D">
        <w:rPr>
          <w:lang w:val="pt-BR"/>
        </w:rPr>
        <w:t xml:space="preserve">século </w:t>
      </w:r>
      <w:r w:rsidR="00207197" w:rsidRPr="00D5464D">
        <w:rPr>
          <w:lang w:val="pt-BR"/>
        </w:rPr>
        <w:t>XIX,</w:t>
      </w:r>
      <w:r w:rsidRPr="00D5464D">
        <w:rPr>
          <w:lang w:val="pt-BR"/>
        </w:rPr>
        <w:t xml:space="preserve"> o</w:t>
      </w:r>
      <w:r w:rsidR="002C330E" w:rsidRPr="00D5464D">
        <w:rPr>
          <w:lang w:val="pt-BR"/>
        </w:rPr>
        <w:t xml:space="preserve"> primeiro </w:t>
      </w:r>
      <w:r w:rsidR="00207197" w:rsidRPr="00D5464D">
        <w:rPr>
          <w:lang w:val="pt-BR"/>
        </w:rPr>
        <w:t>tratado universal sobre</w:t>
      </w:r>
      <w:r w:rsidR="002C330E" w:rsidRPr="00D5464D">
        <w:rPr>
          <w:lang w:val="pt-BR"/>
        </w:rPr>
        <w:t xml:space="preserve"> a matéria </w:t>
      </w:r>
      <w:r w:rsidRPr="00D5464D">
        <w:rPr>
          <w:lang w:val="pt-BR"/>
        </w:rPr>
        <w:t>foi</w:t>
      </w:r>
      <w:r w:rsidR="002C330E" w:rsidRPr="00D5464D">
        <w:rPr>
          <w:lang w:val="pt-BR"/>
        </w:rPr>
        <w:t xml:space="preserve"> a </w:t>
      </w:r>
      <w:r w:rsidR="00207197" w:rsidRPr="00D5464D">
        <w:rPr>
          <w:lang w:val="pt-BR"/>
        </w:rPr>
        <w:t>Conven</w:t>
      </w:r>
      <w:r w:rsidRPr="00D5464D">
        <w:rPr>
          <w:lang w:val="pt-BR"/>
        </w:rPr>
        <w:t>ção</w:t>
      </w:r>
      <w:r w:rsidR="00207197" w:rsidRPr="00D5464D">
        <w:rPr>
          <w:lang w:val="pt-BR"/>
        </w:rPr>
        <w:t xml:space="preserve"> sobre</w:t>
      </w:r>
      <w:r w:rsidR="002C330E" w:rsidRPr="00D5464D">
        <w:rPr>
          <w:lang w:val="pt-BR"/>
        </w:rPr>
        <w:t xml:space="preserve"> </w:t>
      </w:r>
      <w:r w:rsidR="004E3449" w:rsidRPr="00D5464D">
        <w:rPr>
          <w:lang w:val="pt-BR"/>
        </w:rPr>
        <w:t>Escravatura</w:t>
      </w:r>
      <w:r w:rsidR="00207197" w:rsidRPr="00D5464D">
        <w:rPr>
          <w:lang w:val="pt-BR"/>
        </w:rPr>
        <w:t xml:space="preserve">, </w:t>
      </w:r>
      <w:r w:rsidRPr="00D5464D">
        <w:rPr>
          <w:lang w:val="pt-BR"/>
        </w:rPr>
        <w:t>adot</w:t>
      </w:r>
      <w:r w:rsidR="00207197" w:rsidRPr="00D5464D">
        <w:rPr>
          <w:lang w:val="pt-BR"/>
        </w:rPr>
        <w:t>ada</w:t>
      </w:r>
      <w:r w:rsidRPr="00D5464D">
        <w:rPr>
          <w:lang w:val="pt-BR"/>
        </w:rPr>
        <w:t xml:space="preserve"> em </w:t>
      </w:r>
      <w:r w:rsidR="002C330E" w:rsidRPr="00D5464D">
        <w:rPr>
          <w:lang w:val="pt-BR"/>
        </w:rPr>
        <w:t>Genebra</w:t>
      </w:r>
      <w:r w:rsidR="009158E8" w:rsidRPr="00D5464D">
        <w:rPr>
          <w:lang w:val="pt-BR"/>
        </w:rPr>
        <w:t>,</w:t>
      </w:r>
      <w:r w:rsidR="002C330E" w:rsidRPr="00D5464D">
        <w:rPr>
          <w:lang w:val="pt-BR"/>
        </w:rPr>
        <w:t xml:space="preserve"> em 2</w:t>
      </w:r>
      <w:r w:rsidR="00207197" w:rsidRPr="00D5464D">
        <w:rPr>
          <w:lang w:val="pt-BR"/>
        </w:rPr>
        <w:t xml:space="preserve">5 de </w:t>
      </w:r>
      <w:r w:rsidR="002C330E" w:rsidRPr="00D5464D">
        <w:rPr>
          <w:lang w:val="pt-BR"/>
        </w:rPr>
        <w:t>setembro</w:t>
      </w:r>
      <w:r w:rsidR="00207197" w:rsidRPr="00D5464D">
        <w:rPr>
          <w:lang w:val="pt-BR"/>
        </w:rPr>
        <w:t xml:space="preserve"> de 1926,</w:t>
      </w:r>
      <w:r w:rsidRPr="00D5464D">
        <w:rPr>
          <w:lang w:val="pt-BR"/>
        </w:rPr>
        <w:t xml:space="preserve"> sob</w:t>
      </w:r>
      <w:r w:rsidR="002C330E" w:rsidRPr="00D5464D">
        <w:rPr>
          <w:lang w:val="pt-BR"/>
        </w:rPr>
        <w:t xml:space="preserve"> os </w:t>
      </w:r>
      <w:r w:rsidR="00A8241B" w:rsidRPr="00D5464D">
        <w:rPr>
          <w:lang w:val="pt-BR"/>
        </w:rPr>
        <w:t>auspícios</w:t>
      </w:r>
      <w:r w:rsidRPr="00D5464D">
        <w:rPr>
          <w:lang w:val="pt-BR"/>
        </w:rPr>
        <w:t xml:space="preserve"> da </w:t>
      </w:r>
      <w:r w:rsidR="00207197" w:rsidRPr="00D5464D">
        <w:rPr>
          <w:lang w:val="pt-BR"/>
        </w:rPr>
        <w:t>Liga de Na</w:t>
      </w:r>
      <w:r w:rsidRPr="00D5464D">
        <w:rPr>
          <w:lang w:val="pt-BR"/>
        </w:rPr>
        <w:t>ções</w:t>
      </w:r>
      <w:r w:rsidR="00207197" w:rsidRPr="00D5464D">
        <w:rPr>
          <w:lang w:val="pt-BR"/>
        </w:rPr>
        <w:t>,</w:t>
      </w:r>
      <w:r w:rsidR="002C330E" w:rsidRPr="00D5464D">
        <w:rPr>
          <w:lang w:val="pt-BR"/>
        </w:rPr>
        <w:t xml:space="preserve"> a </w:t>
      </w:r>
      <w:r w:rsidRPr="00D5464D">
        <w:rPr>
          <w:lang w:val="pt-BR"/>
        </w:rPr>
        <w:t xml:space="preserve">qual </w:t>
      </w:r>
      <w:r w:rsidR="00207197" w:rsidRPr="00D5464D">
        <w:rPr>
          <w:lang w:val="pt-BR"/>
        </w:rPr>
        <w:t>pr</w:t>
      </w:r>
      <w:r w:rsidRPr="00D5464D">
        <w:rPr>
          <w:lang w:val="pt-BR"/>
        </w:rPr>
        <w:t>escreveu</w:t>
      </w:r>
      <w:r w:rsidR="00207197" w:rsidRPr="00D5464D">
        <w:rPr>
          <w:lang w:val="pt-BR"/>
        </w:rPr>
        <w:t xml:space="preserve"> que: </w:t>
      </w:r>
    </w:p>
    <w:p w14:paraId="4770B6A1" w14:textId="77777777" w:rsidR="00207197" w:rsidRPr="00D5464D" w:rsidRDefault="00207197" w:rsidP="00140440">
      <w:pPr>
        <w:jc w:val="both"/>
        <w:rPr>
          <w:lang w:val="pt-BR"/>
        </w:rPr>
      </w:pPr>
    </w:p>
    <w:p w14:paraId="4A1B2211" w14:textId="11EE00FD" w:rsidR="00207197" w:rsidRPr="00D5464D" w:rsidRDefault="00470ADC" w:rsidP="00F37DC4">
      <w:pPr>
        <w:tabs>
          <w:tab w:val="clear" w:pos="4419"/>
          <w:tab w:val="clear" w:pos="8838"/>
          <w:tab w:val="center" w:pos="709"/>
        </w:tabs>
        <w:ind w:left="709" w:right="758"/>
        <w:jc w:val="both"/>
        <w:rPr>
          <w:sz w:val="16"/>
          <w:szCs w:val="16"/>
          <w:lang w:val="pt-BR"/>
        </w:rPr>
      </w:pPr>
      <w:r w:rsidRPr="00D5464D">
        <w:rPr>
          <w:sz w:val="16"/>
          <w:szCs w:val="16"/>
          <w:lang w:val="pt-BR"/>
        </w:rPr>
        <w:t>Artigo</w:t>
      </w:r>
      <w:r w:rsidR="00207197" w:rsidRPr="00D5464D">
        <w:rPr>
          <w:sz w:val="16"/>
          <w:szCs w:val="16"/>
          <w:lang w:val="pt-BR"/>
        </w:rPr>
        <w:t xml:space="preserve"> 1</w:t>
      </w:r>
      <w:r w:rsidR="003675CA" w:rsidRPr="00D5464D">
        <w:rPr>
          <w:sz w:val="16"/>
          <w:szCs w:val="16"/>
          <w:vertAlign w:val="superscript"/>
          <w:lang w:val="pt-BR"/>
        </w:rPr>
        <w:t>o</w:t>
      </w:r>
      <w:r w:rsidR="003675CA" w:rsidRPr="00D5464D">
        <w:rPr>
          <w:sz w:val="16"/>
          <w:szCs w:val="16"/>
          <w:lang w:val="pt-BR"/>
        </w:rPr>
        <w:t xml:space="preserve"> </w:t>
      </w:r>
    </w:p>
    <w:p w14:paraId="0C3F9CD2" w14:textId="525E1D25" w:rsidR="003675CA" w:rsidRPr="00D5464D" w:rsidRDefault="003675CA" w:rsidP="003675CA">
      <w:pPr>
        <w:tabs>
          <w:tab w:val="clear" w:pos="4419"/>
          <w:tab w:val="clear" w:pos="8838"/>
          <w:tab w:val="center" w:pos="709"/>
        </w:tabs>
        <w:ind w:left="709" w:right="758"/>
        <w:jc w:val="both"/>
        <w:rPr>
          <w:sz w:val="16"/>
          <w:szCs w:val="16"/>
          <w:lang w:val="pt-BR"/>
        </w:rPr>
      </w:pPr>
      <w:r w:rsidRPr="00D5464D">
        <w:rPr>
          <w:sz w:val="16"/>
          <w:szCs w:val="16"/>
          <w:lang w:val="pt-BR"/>
        </w:rPr>
        <w:t xml:space="preserve">Para os fins da Presente </w:t>
      </w:r>
      <w:r w:rsidR="004668DB" w:rsidRPr="00D5464D">
        <w:rPr>
          <w:sz w:val="16"/>
          <w:szCs w:val="16"/>
          <w:lang w:val="pt-BR"/>
        </w:rPr>
        <w:t>Convenção</w:t>
      </w:r>
      <w:r w:rsidRPr="00D5464D">
        <w:rPr>
          <w:sz w:val="16"/>
          <w:szCs w:val="16"/>
          <w:lang w:val="pt-BR"/>
        </w:rPr>
        <w:t>, fica entendido que:</w:t>
      </w:r>
    </w:p>
    <w:p w14:paraId="7F6FE540" w14:textId="1BF5D875" w:rsidR="003675CA" w:rsidRPr="00D5464D" w:rsidRDefault="003675CA" w:rsidP="003675CA">
      <w:pPr>
        <w:tabs>
          <w:tab w:val="clear" w:pos="4419"/>
          <w:tab w:val="clear" w:pos="8838"/>
          <w:tab w:val="center" w:pos="709"/>
        </w:tabs>
        <w:ind w:left="709" w:right="758"/>
        <w:jc w:val="both"/>
        <w:rPr>
          <w:sz w:val="16"/>
          <w:szCs w:val="16"/>
          <w:lang w:val="pt-BR"/>
        </w:rPr>
      </w:pPr>
      <w:r w:rsidRPr="00D5464D">
        <w:rPr>
          <w:sz w:val="16"/>
          <w:szCs w:val="16"/>
          <w:lang w:val="pt-BR"/>
        </w:rPr>
        <w:t>1</w:t>
      </w:r>
      <w:r w:rsidRPr="00D5464D">
        <w:rPr>
          <w:sz w:val="16"/>
          <w:szCs w:val="16"/>
          <w:vertAlign w:val="superscript"/>
          <w:lang w:val="pt-BR"/>
        </w:rPr>
        <w:t>o</w:t>
      </w:r>
      <w:r w:rsidRPr="00D5464D">
        <w:rPr>
          <w:sz w:val="16"/>
          <w:szCs w:val="16"/>
          <w:lang w:val="pt-BR"/>
        </w:rPr>
        <w:t xml:space="preserve"> A </w:t>
      </w:r>
      <w:r w:rsidR="004668DB" w:rsidRPr="00D5464D">
        <w:rPr>
          <w:sz w:val="16"/>
          <w:szCs w:val="16"/>
          <w:lang w:val="pt-BR"/>
        </w:rPr>
        <w:t>escravidão</w:t>
      </w:r>
      <w:r w:rsidRPr="00D5464D">
        <w:rPr>
          <w:sz w:val="16"/>
          <w:szCs w:val="16"/>
          <w:lang w:val="pt-BR"/>
        </w:rPr>
        <w:t xml:space="preserve"> é o estado ou</w:t>
      </w:r>
      <w:r w:rsidR="00DD2230" w:rsidRPr="00D5464D">
        <w:rPr>
          <w:sz w:val="16"/>
          <w:szCs w:val="16"/>
          <w:lang w:val="pt-BR"/>
        </w:rPr>
        <w:t xml:space="preserve"> </w:t>
      </w:r>
      <w:r w:rsidR="004668DB" w:rsidRPr="00D5464D">
        <w:rPr>
          <w:sz w:val="16"/>
          <w:szCs w:val="16"/>
          <w:lang w:val="pt-BR"/>
        </w:rPr>
        <w:t>condição</w:t>
      </w:r>
      <w:r w:rsidR="00DD2230" w:rsidRPr="00D5464D">
        <w:rPr>
          <w:sz w:val="16"/>
          <w:szCs w:val="16"/>
          <w:lang w:val="pt-BR"/>
        </w:rPr>
        <w:t xml:space="preserve"> de um </w:t>
      </w:r>
      <w:r w:rsidR="004668DB" w:rsidRPr="00D5464D">
        <w:rPr>
          <w:sz w:val="16"/>
          <w:szCs w:val="16"/>
          <w:lang w:val="pt-BR"/>
        </w:rPr>
        <w:t>individuo</w:t>
      </w:r>
      <w:r w:rsidR="00DD2230" w:rsidRPr="00D5464D">
        <w:rPr>
          <w:sz w:val="16"/>
          <w:szCs w:val="16"/>
          <w:lang w:val="pt-BR"/>
        </w:rPr>
        <w:t xml:space="preserve"> so</w:t>
      </w:r>
      <w:r w:rsidRPr="00D5464D">
        <w:rPr>
          <w:sz w:val="16"/>
          <w:szCs w:val="16"/>
          <w:lang w:val="pt-BR"/>
        </w:rPr>
        <w:t>bre o qual se exercem, total ou parcialmente, os atributos do direito de propriedade;</w:t>
      </w:r>
    </w:p>
    <w:p w14:paraId="02BAB49A" w14:textId="23A3DCA8" w:rsidR="003675CA" w:rsidRPr="00D5464D" w:rsidRDefault="003675CA" w:rsidP="003675CA">
      <w:pPr>
        <w:tabs>
          <w:tab w:val="clear" w:pos="4419"/>
          <w:tab w:val="clear" w:pos="8838"/>
          <w:tab w:val="center" w:pos="709"/>
        </w:tabs>
        <w:ind w:left="709" w:right="758"/>
        <w:jc w:val="both"/>
        <w:rPr>
          <w:sz w:val="16"/>
          <w:szCs w:val="16"/>
          <w:lang w:val="pt-BR"/>
        </w:rPr>
      </w:pPr>
      <w:r w:rsidRPr="00D5464D">
        <w:rPr>
          <w:sz w:val="16"/>
          <w:szCs w:val="16"/>
          <w:lang w:val="pt-BR"/>
        </w:rPr>
        <w:t>2</w:t>
      </w:r>
      <w:r w:rsidRPr="00D5464D">
        <w:rPr>
          <w:sz w:val="16"/>
          <w:szCs w:val="16"/>
          <w:vertAlign w:val="superscript"/>
          <w:lang w:val="pt-BR"/>
        </w:rPr>
        <w:t>o</w:t>
      </w:r>
      <w:r w:rsidRPr="00D5464D">
        <w:rPr>
          <w:sz w:val="16"/>
          <w:szCs w:val="16"/>
          <w:lang w:val="pt-BR"/>
        </w:rPr>
        <w:t xml:space="preserve"> O </w:t>
      </w:r>
      <w:r w:rsidR="004668DB" w:rsidRPr="00D5464D">
        <w:rPr>
          <w:sz w:val="16"/>
          <w:szCs w:val="16"/>
          <w:lang w:val="pt-BR"/>
        </w:rPr>
        <w:t>tráfico</w:t>
      </w:r>
      <w:r w:rsidRPr="00D5464D">
        <w:rPr>
          <w:sz w:val="16"/>
          <w:szCs w:val="16"/>
          <w:lang w:val="pt-BR"/>
        </w:rPr>
        <w:t xml:space="preserve"> de escravos compreende todo ato de captura, </w:t>
      </w:r>
      <w:r w:rsidR="004668DB" w:rsidRPr="00D5464D">
        <w:rPr>
          <w:sz w:val="16"/>
          <w:szCs w:val="16"/>
          <w:lang w:val="pt-BR"/>
        </w:rPr>
        <w:t>aquisição</w:t>
      </w:r>
      <w:r w:rsidRPr="00D5464D">
        <w:rPr>
          <w:sz w:val="16"/>
          <w:szCs w:val="16"/>
          <w:lang w:val="pt-BR"/>
        </w:rPr>
        <w:t xml:space="preserve"> ou </w:t>
      </w:r>
      <w:r w:rsidR="004668DB" w:rsidRPr="00D5464D">
        <w:rPr>
          <w:sz w:val="16"/>
          <w:szCs w:val="16"/>
          <w:lang w:val="pt-BR"/>
        </w:rPr>
        <w:t>sessão</w:t>
      </w:r>
      <w:r w:rsidRPr="00D5464D">
        <w:rPr>
          <w:sz w:val="16"/>
          <w:szCs w:val="16"/>
          <w:lang w:val="pt-BR"/>
        </w:rPr>
        <w:t xml:space="preserve"> de um </w:t>
      </w:r>
      <w:r w:rsidR="004668DB" w:rsidRPr="00D5464D">
        <w:rPr>
          <w:sz w:val="16"/>
          <w:szCs w:val="16"/>
          <w:lang w:val="pt-BR"/>
        </w:rPr>
        <w:t>individuo</w:t>
      </w:r>
      <w:r w:rsidRPr="00D5464D">
        <w:rPr>
          <w:sz w:val="16"/>
          <w:szCs w:val="16"/>
          <w:lang w:val="pt-BR"/>
        </w:rPr>
        <w:t xml:space="preserve"> c</w:t>
      </w:r>
      <w:r w:rsidR="00A94737" w:rsidRPr="00D5464D">
        <w:rPr>
          <w:sz w:val="16"/>
          <w:szCs w:val="16"/>
          <w:lang w:val="pt-BR"/>
        </w:rPr>
        <w:t>om o propósito de escravizá</w:t>
      </w:r>
      <w:r w:rsidR="004668DB" w:rsidRPr="00D5464D">
        <w:rPr>
          <w:sz w:val="16"/>
          <w:szCs w:val="16"/>
          <w:lang w:val="pt-BR"/>
        </w:rPr>
        <w:t>-lo</w:t>
      </w:r>
      <w:r w:rsidRPr="00D5464D">
        <w:rPr>
          <w:sz w:val="16"/>
          <w:szCs w:val="16"/>
          <w:lang w:val="pt-BR"/>
        </w:rPr>
        <w:t xml:space="preserve">; todo ato de </w:t>
      </w:r>
      <w:r w:rsidR="004668DB" w:rsidRPr="00D5464D">
        <w:rPr>
          <w:sz w:val="16"/>
          <w:szCs w:val="16"/>
          <w:lang w:val="pt-BR"/>
        </w:rPr>
        <w:t>aquisição</w:t>
      </w:r>
      <w:r w:rsidRPr="00D5464D">
        <w:rPr>
          <w:sz w:val="16"/>
          <w:szCs w:val="16"/>
          <w:lang w:val="pt-BR"/>
        </w:rPr>
        <w:t xml:space="preserve"> de um escravo com o </w:t>
      </w:r>
      <w:r w:rsidR="004668DB" w:rsidRPr="00D5464D">
        <w:rPr>
          <w:sz w:val="16"/>
          <w:szCs w:val="16"/>
          <w:lang w:val="pt-BR"/>
        </w:rPr>
        <w:t>proposito</w:t>
      </w:r>
      <w:r w:rsidR="00A94737" w:rsidRPr="00D5464D">
        <w:rPr>
          <w:sz w:val="16"/>
          <w:szCs w:val="16"/>
          <w:lang w:val="pt-BR"/>
        </w:rPr>
        <w:t xml:space="preserve"> de vendê-lo ou trocá</w:t>
      </w:r>
      <w:r w:rsidRPr="00D5464D">
        <w:rPr>
          <w:sz w:val="16"/>
          <w:szCs w:val="16"/>
          <w:lang w:val="pt-BR"/>
        </w:rPr>
        <w:t xml:space="preserve">-lo; todo ato de </w:t>
      </w:r>
      <w:r w:rsidR="004668DB" w:rsidRPr="00D5464D">
        <w:rPr>
          <w:sz w:val="16"/>
          <w:szCs w:val="16"/>
          <w:lang w:val="pt-BR"/>
        </w:rPr>
        <w:t>cessão</w:t>
      </w:r>
      <w:r w:rsidRPr="00D5464D">
        <w:rPr>
          <w:sz w:val="16"/>
          <w:szCs w:val="16"/>
          <w:lang w:val="pt-BR"/>
        </w:rPr>
        <w:t xml:space="preserve">, por meio de venda ou troca, de um escravo adquirido para ser vendido ou trocado; assim como em geral todo ato de </w:t>
      </w:r>
      <w:r w:rsidR="004668DB" w:rsidRPr="00D5464D">
        <w:rPr>
          <w:sz w:val="16"/>
          <w:szCs w:val="16"/>
          <w:lang w:val="pt-BR"/>
        </w:rPr>
        <w:t>comércio</w:t>
      </w:r>
      <w:r w:rsidRPr="00D5464D">
        <w:rPr>
          <w:sz w:val="16"/>
          <w:szCs w:val="16"/>
          <w:lang w:val="pt-BR"/>
        </w:rPr>
        <w:t xml:space="preserve"> ou de transportes de escravos.</w:t>
      </w:r>
    </w:p>
    <w:p w14:paraId="5E68A658" w14:textId="77777777" w:rsidR="003675CA" w:rsidRPr="00D5464D" w:rsidRDefault="003675CA" w:rsidP="003675CA">
      <w:pPr>
        <w:tabs>
          <w:tab w:val="clear" w:pos="4419"/>
          <w:tab w:val="clear" w:pos="8838"/>
          <w:tab w:val="center" w:pos="709"/>
        </w:tabs>
        <w:ind w:left="709" w:right="758"/>
        <w:jc w:val="both"/>
        <w:rPr>
          <w:sz w:val="16"/>
          <w:szCs w:val="16"/>
          <w:lang w:val="pt-BR"/>
        </w:rPr>
      </w:pPr>
    </w:p>
    <w:p w14:paraId="4FAF1E3C" w14:textId="6FC27421" w:rsidR="003675CA" w:rsidRPr="00D5464D" w:rsidRDefault="003675CA" w:rsidP="003675CA">
      <w:pPr>
        <w:tabs>
          <w:tab w:val="clear" w:pos="4419"/>
          <w:tab w:val="clear" w:pos="8838"/>
          <w:tab w:val="center" w:pos="709"/>
        </w:tabs>
        <w:ind w:left="709" w:right="758"/>
        <w:jc w:val="both"/>
        <w:rPr>
          <w:sz w:val="16"/>
          <w:szCs w:val="16"/>
          <w:lang w:val="pt-BR"/>
        </w:rPr>
      </w:pPr>
      <w:r w:rsidRPr="00D5464D">
        <w:rPr>
          <w:sz w:val="16"/>
          <w:szCs w:val="16"/>
          <w:lang w:val="pt-BR"/>
        </w:rPr>
        <w:t>Artigo 2</w:t>
      </w:r>
      <w:r w:rsidRPr="00D5464D">
        <w:rPr>
          <w:sz w:val="16"/>
          <w:szCs w:val="16"/>
          <w:vertAlign w:val="superscript"/>
          <w:lang w:val="pt-BR"/>
        </w:rPr>
        <w:t>o</w:t>
      </w:r>
      <w:r w:rsidRPr="00D5464D">
        <w:rPr>
          <w:sz w:val="16"/>
          <w:szCs w:val="16"/>
          <w:lang w:val="pt-BR"/>
        </w:rPr>
        <w:t xml:space="preserve"> </w:t>
      </w:r>
    </w:p>
    <w:p w14:paraId="0C27B6AC" w14:textId="5F8920F3" w:rsidR="003675CA" w:rsidRPr="00D5464D" w:rsidRDefault="003675CA" w:rsidP="003675CA">
      <w:pPr>
        <w:tabs>
          <w:tab w:val="clear" w:pos="4419"/>
          <w:tab w:val="clear" w:pos="8838"/>
          <w:tab w:val="center" w:pos="709"/>
        </w:tabs>
        <w:ind w:left="709" w:right="758"/>
        <w:jc w:val="both"/>
        <w:rPr>
          <w:sz w:val="16"/>
          <w:szCs w:val="16"/>
          <w:lang w:val="pt-BR"/>
        </w:rPr>
      </w:pPr>
      <w:r w:rsidRPr="00D5464D">
        <w:rPr>
          <w:sz w:val="16"/>
          <w:szCs w:val="16"/>
          <w:lang w:val="pt-BR"/>
        </w:rPr>
        <w:t xml:space="preserve">As Altas Partes contratantes se comprometem, na medida em que ainda </w:t>
      </w:r>
      <w:r w:rsidR="004668DB" w:rsidRPr="00D5464D">
        <w:rPr>
          <w:sz w:val="16"/>
          <w:szCs w:val="16"/>
          <w:lang w:val="pt-BR"/>
        </w:rPr>
        <w:t>não</w:t>
      </w:r>
      <w:r w:rsidRPr="00D5464D">
        <w:rPr>
          <w:sz w:val="16"/>
          <w:szCs w:val="16"/>
          <w:lang w:val="pt-BR"/>
        </w:rPr>
        <w:t xml:space="preserve"> hajam tomado as </w:t>
      </w:r>
      <w:r w:rsidR="004668DB" w:rsidRPr="00D5464D">
        <w:rPr>
          <w:sz w:val="16"/>
          <w:szCs w:val="16"/>
          <w:lang w:val="pt-BR"/>
        </w:rPr>
        <w:t>necessárias</w:t>
      </w:r>
      <w:r w:rsidRPr="00D5464D">
        <w:rPr>
          <w:sz w:val="16"/>
          <w:szCs w:val="16"/>
          <w:lang w:val="pt-BR"/>
        </w:rPr>
        <w:t xml:space="preserve"> </w:t>
      </w:r>
      <w:r w:rsidR="004668DB" w:rsidRPr="00D5464D">
        <w:rPr>
          <w:sz w:val="16"/>
          <w:szCs w:val="16"/>
          <w:lang w:val="pt-BR"/>
        </w:rPr>
        <w:t>providências</w:t>
      </w:r>
      <w:r w:rsidRPr="00D5464D">
        <w:rPr>
          <w:sz w:val="16"/>
          <w:szCs w:val="16"/>
          <w:lang w:val="pt-BR"/>
        </w:rPr>
        <w:t xml:space="preserve">, e cada uma no que diz respeito aos </w:t>
      </w:r>
      <w:r w:rsidR="004668DB" w:rsidRPr="00D5464D">
        <w:rPr>
          <w:sz w:val="16"/>
          <w:szCs w:val="16"/>
          <w:lang w:val="pt-BR"/>
        </w:rPr>
        <w:t>territórios</w:t>
      </w:r>
      <w:r w:rsidRPr="00D5464D">
        <w:rPr>
          <w:sz w:val="16"/>
          <w:szCs w:val="16"/>
          <w:lang w:val="pt-BR"/>
        </w:rPr>
        <w:t xml:space="preserve"> colocados sob a sua soberania, </w:t>
      </w:r>
      <w:r w:rsidR="004668DB" w:rsidRPr="00D5464D">
        <w:rPr>
          <w:sz w:val="16"/>
          <w:szCs w:val="16"/>
          <w:lang w:val="pt-BR"/>
        </w:rPr>
        <w:t>jurisdição</w:t>
      </w:r>
      <w:r w:rsidRPr="00D5464D">
        <w:rPr>
          <w:sz w:val="16"/>
          <w:szCs w:val="16"/>
          <w:lang w:val="pt-BR"/>
        </w:rPr>
        <w:t xml:space="preserve">, </w:t>
      </w:r>
      <w:r w:rsidR="004668DB" w:rsidRPr="00D5464D">
        <w:rPr>
          <w:sz w:val="16"/>
          <w:szCs w:val="16"/>
          <w:lang w:val="pt-BR"/>
        </w:rPr>
        <w:t>proteção</w:t>
      </w:r>
      <w:r w:rsidRPr="00D5464D">
        <w:rPr>
          <w:sz w:val="16"/>
          <w:szCs w:val="16"/>
          <w:lang w:val="pt-BR"/>
        </w:rPr>
        <w:t>, suserania ou tutela:</w:t>
      </w:r>
    </w:p>
    <w:p w14:paraId="6A97AAEA" w14:textId="6C1C9BC6" w:rsidR="003675CA" w:rsidRPr="00D5464D" w:rsidRDefault="003675CA" w:rsidP="003675CA">
      <w:pPr>
        <w:tabs>
          <w:tab w:val="clear" w:pos="4419"/>
          <w:tab w:val="clear" w:pos="8838"/>
          <w:tab w:val="center" w:pos="709"/>
        </w:tabs>
        <w:ind w:left="709" w:right="758"/>
        <w:jc w:val="both"/>
        <w:rPr>
          <w:sz w:val="16"/>
          <w:szCs w:val="16"/>
          <w:lang w:val="pt-BR"/>
        </w:rPr>
      </w:pPr>
      <w:r w:rsidRPr="00D5464D">
        <w:rPr>
          <w:sz w:val="16"/>
          <w:szCs w:val="16"/>
          <w:lang w:val="pt-BR"/>
        </w:rPr>
        <w:t xml:space="preserve">a) a impedir e reprimir o </w:t>
      </w:r>
      <w:r w:rsidR="004668DB" w:rsidRPr="00D5464D">
        <w:rPr>
          <w:sz w:val="16"/>
          <w:szCs w:val="16"/>
          <w:lang w:val="pt-BR"/>
        </w:rPr>
        <w:t>tráfico</w:t>
      </w:r>
      <w:r w:rsidRPr="00D5464D">
        <w:rPr>
          <w:sz w:val="16"/>
          <w:szCs w:val="16"/>
          <w:lang w:val="pt-BR"/>
        </w:rPr>
        <w:t xml:space="preserve"> de escravos;</w:t>
      </w:r>
    </w:p>
    <w:p w14:paraId="65FF82D7" w14:textId="0507EC03" w:rsidR="00207197" w:rsidRPr="00D5464D" w:rsidRDefault="003675CA" w:rsidP="003675CA">
      <w:pPr>
        <w:tabs>
          <w:tab w:val="clear" w:pos="4419"/>
          <w:tab w:val="clear" w:pos="8838"/>
          <w:tab w:val="center" w:pos="709"/>
        </w:tabs>
        <w:ind w:left="709" w:right="758"/>
        <w:jc w:val="both"/>
        <w:rPr>
          <w:sz w:val="16"/>
          <w:szCs w:val="16"/>
          <w:lang w:val="pt-BR"/>
        </w:rPr>
      </w:pPr>
      <w:r w:rsidRPr="00D5464D">
        <w:rPr>
          <w:sz w:val="16"/>
          <w:szCs w:val="16"/>
          <w:lang w:val="pt-BR"/>
        </w:rPr>
        <w:t xml:space="preserve">b) a promover a </w:t>
      </w:r>
      <w:r w:rsidR="004668DB" w:rsidRPr="00D5464D">
        <w:rPr>
          <w:sz w:val="16"/>
          <w:szCs w:val="16"/>
          <w:lang w:val="pt-BR"/>
        </w:rPr>
        <w:t>abolição</w:t>
      </w:r>
      <w:r w:rsidR="00DD2230" w:rsidRPr="00D5464D">
        <w:rPr>
          <w:sz w:val="16"/>
          <w:szCs w:val="16"/>
          <w:lang w:val="pt-BR"/>
        </w:rPr>
        <w:t xml:space="preserve"> completa da </w:t>
      </w:r>
      <w:r w:rsidR="004668DB" w:rsidRPr="00D5464D">
        <w:rPr>
          <w:sz w:val="16"/>
          <w:szCs w:val="16"/>
          <w:lang w:val="pt-BR"/>
        </w:rPr>
        <w:t>escravidão</w:t>
      </w:r>
      <w:r w:rsidR="00DD2230" w:rsidRPr="00D5464D">
        <w:rPr>
          <w:sz w:val="16"/>
          <w:szCs w:val="16"/>
          <w:lang w:val="pt-BR"/>
        </w:rPr>
        <w:t xml:space="preserve"> sob to</w:t>
      </w:r>
      <w:r w:rsidRPr="00D5464D">
        <w:rPr>
          <w:sz w:val="16"/>
          <w:szCs w:val="16"/>
          <w:lang w:val="pt-BR"/>
        </w:rPr>
        <w:t xml:space="preserve">das as suas formas progressivamente e logo que </w:t>
      </w:r>
      <w:r w:rsidR="004668DB" w:rsidRPr="00D5464D">
        <w:rPr>
          <w:sz w:val="16"/>
          <w:szCs w:val="16"/>
          <w:lang w:val="pt-BR"/>
        </w:rPr>
        <w:t>possível</w:t>
      </w:r>
      <w:r w:rsidRPr="00D5464D">
        <w:rPr>
          <w:sz w:val="16"/>
          <w:szCs w:val="16"/>
          <w:lang w:val="pt-BR"/>
        </w:rPr>
        <w:t>.</w:t>
      </w:r>
    </w:p>
    <w:p w14:paraId="164B60E3" w14:textId="77777777" w:rsidR="00207197" w:rsidRPr="00D5464D" w:rsidRDefault="00207197" w:rsidP="00140440">
      <w:pPr>
        <w:jc w:val="both"/>
        <w:rPr>
          <w:szCs w:val="20"/>
          <w:lang w:val="pt-BR"/>
        </w:rPr>
      </w:pPr>
    </w:p>
    <w:p w14:paraId="64D09278" w14:textId="0EA5E5B7" w:rsidR="00207197" w:rsidRPr="00D5464D" w:rsidRDefault="00207197" w:rsidP="00F37DC4">
      <w:pPr>
        <w:pStyle w:val="Prrafodelista"/>
        <w:numPr>
          <w:ilvl w:val="0"/>
          <w:numId w:val="1"/>
        </w:numPr>
        <w:contextualSpacing w:val="0"/>
        <w:rPr>
          <w:lang w:val="pt-BR"/>
        </w:rPr>
      </w:pPr>
      <w:r w:rsidRPr="00D5464D">
        <w:rPr>
          <w:lang w:val="pt-BR"/>
        </w:rPr>
        <w:t xml:space="preserve">A partir de </w:t>
      </w:r>
      <w:r w:rsidR="00E045D9" w:rsidRPr="00D5464D">
        <w:rPr>
          <w:lang w:val="pt-BR"/>
        </w:rPr>
        <w:t>então</w:t>
      </w:r>
      <w:r w:rsidR="004B01BE" w:rsidRPr="00D5464D">
        <w:rPr>
          <w:lang w:val="pt-BR"/>
        </w:rPr>
        <w:t>,</w:t>
      </w:r>
      <w:r w:rsidRPr="00D5464D">
        <w:rPr>
          <w:lang w:val="pt-BR"/>
        </w:rPr>
        <w:t xml:space="preserve"> </w:t>
      </w:r>
      <w:r w:rsidR="00E045D9" w:rsidRPr="00D5464D">
        <w:rPr>
          <w:lang w:val="pt-BR"/>
        </w:rPr>
        <w:t>vários</w:t>
      </w:r>
      <w:r w:rsidRPr="00D5464D">
        <w:rPr>
          <w:lang w:val="pt-BR"/>
        </w:rPr>
        <w:t xml:space="preserve"> tratados </w:t>
      </w:r>
      <w:r w:rsidR="002C330E" w:rsidRPr="00D5464D">
        <w:rPr>
          <w:lang w:val="pt-BR"/>
        </w:rPr>
        <w:t>internacionais</w:t>
      </w:r>
      <w:r w:rsidRPr="00D5464D">
        <w:rPr>
          <w:lang w:val="pt-BR"/>
        </w:rPr>
        <w:t xml:space="preserve"> </w:t>
      </w:r>
      <w:r w:rsidR="00DD2230" w:rsidRPr="00D5464D">
        <w:rPr>
          <w:lang w:val="pt-BR"/>
        </w:rPr>
        <w:t xml:space="preserve">tem </w:t>
      </w:r>
      <w:r w:rsidRPr="00D5464D">
        <w:rPr>
          <w:lang w:val="pt-BR"/>
        </w:rPr>
        <w:t>reiterado</w:t>
      </w:r>
      <w:r w:rsidR="002C330E" w:rsidRPr="00D5464D">
        <w:rPr>
          <w:lang w:val="pt-BR"/>
        </w:rPr>
        <w:t xml:space="preserve"> a proibição</w:t>
      </w:r>
      <w:r w:rsidR="00470ADC" w:rsidRPr="00D5464D">
        <w:rPr>
          <w:lang w:val="pt-BR"/>
        </w:rPr>
        <w:t xml:space="preserve"> da </w:t>
      </w:r>
      <w:r w:rsidR="000B376D" w:rsidRPr="00D5464D">
        <w:rPr>
          <w:lang w:val="pt-BR"/>
        </w:rPr>
        <w:t>escravidão</w:t>
      </w:r>
      <w:r w:rsidR="009158E8" w:rsidRPr="00D5464D">
        <w:rPr>
          <w:lang w:val="pt-BR"/>
        </w:rPr>
        <w:t>,</w:t>
      </w:r>
      <w:r w:rsidRPr="00D5464D">
        <w:rPr>
          <w:rStyle w:val="Refdenotaalpie"/>
          <w:lang w:val="pt-BR"/>
        </w:rPr>
        <w:footnoteReference w:id="364"/>
      </w:r>
      <w:r w:rsidR="002C330E" w:rsidRPr="00D5464D">
        <w:rPr>
          <w:lang w:val="pt-BR"/>
        </w:rPr>
        <w:t xml:space="preserve"> a </w:t>
      </w:r>
      <w:r w:rsidR="00470ADC" w:rsidRPr="00D5464D">
        <w:rPr>
          <w:lang w:val="pt-BR"/>
        </w:rPr>
        <w:t xml:space="preserve">qual é </w:t>
      </w:r>
      <w:r w:rsidRPr="00D5464D">
        <w:rPr>
          <w:lang w:val="pt-BR"/>
        </w:rPr>
        <w:t>considerada</w:t>
      </w:r>
      <w:r w:rsidR="00E045D9" w:rsidRPr="00D5464D">
        <w:rPr>
          <w:lang w:val="pt-BR"/>
        </w:rPr>
        <w:t xml:space="preserve"> uma </w:t>
      </w:r>
      <w:r w:rsidRPr="00D5464D">
        <w:rPr>
          <w:lang w:val="pt-BR"/>
        </w:rPr>
        <w:t xml:space="preserve">norma imperativa </w:t>
      </w:r>
      <w:r w:rsidR="00470ADC" w:rsidRPr="00D5464D">
        <w:rPr>
          <w:lang w:val="pt-BR"/>
        </w:rPr>
        <w:t xml:space="preserve">do </w:t>
      </w:r>
      <w:r w:rsidR="00E765C2" w:rsidRPr="00D5464D">
        <w:rPr>
          <w:lang w:val="pt-BR"/>
        </w:rPr>
        <w:t>Direito Internacional</w:t>
      </w:r>
      <w:r w:rsidRPr="00D5464D">
        <w:rPr>
          <w:lang w:val="pt-BR"/>
        </w:rPr>
        <w:t xml:space="preserve"> (</w:t>
      </w:r>
      <w:r w:rsidRPr="00D5464D">
        <w:rPr>
          <w:i/>
          <w:lang w:val="pt-BR"/>
        </w:rPr>
        <w:t>jus cogens</w:t>
      </w:r>
      <w:r w:rsidRPr="00D5464D">
        <w:rPr>
          <w:lang w:val="pt-BR"/>
        </w:rPr>
        <w:t>)</w:t>
      </w:r>
      <w:r w:rsidR="009158E8" w:rsidRPr="00D5464D">
        <w:rPr>
          <w:lang w:val="pt-BR"/>
        </w:rPr>
        <w:t>,</w:t>
      </w:r>
      <w:r w:rsidRPr="00D5464D">
        <w:rPr>
          <w:rStyle w:val="Refdenotaalpie"/>
          <w:lang w:val="pt-BR"/>
        </w:rPr>
        <w:footnoteReference w:id="365"/>
      </w:r>
      <w:r w:rsidR="00470ADC" w:rsidRPr="00D5464D">
        <w:rPr>
          <w:lang w:val="pt-BR"/>
        </w:rPr>
        <w:t xml:space="preserve"> e</w:t>
      </w:r>
      <w:r w:rsidRPr="00D5464D">
        <w:rPr>
          <w:lang w:val="pt-BR"/>
        </w:rPr>
        <w:t xml:space="preserve"> </w:t>
      </w:r>
      <w:r w:rsidR="00C91CB1" w:rsidRPr="00D5464D">
        <w:rPr>
          <w:lang w:val="pt-BR"/>
        </w:rPr>
        <w:t>implica</w:t>
      </w:r>
      <w:r w:rsidRPr="00D5464D">
        <w:rPr>
          <w:lang w:val="pt-BR"/>
        </w:rPr>
        <w:t xml:space="preserve"> </w:t>
      </w:r>
      <w:r w:rsidR="00767387" w:rsidRPr="00D5464D">
        <w:rPr>
          <w:lang w:val="pt-BR"/>
        </w:rPr>
        <w:t xml:space="preserve">em </w:t>
      </w:r>
      <w:r w:rsidR="002C330E" w:rsidRPr="00D5464D">
        <w:rPr>
          <w:lang w:val="pt-BR"/>
        </w:rPr>
        <w:t>obrigações</w:t>
      </w:r>
      <w:r w:rsidRPr="00D5464D">
        <w:rPr>
          <w:lang w:val="pt-BR"/>
        </w:rPr>
        <w:t xml:space="preserve"> </w:t>
      </w:r>
      <w:r w:rsidRPr="00D5464D">
        <w:rPr>
          <w:i/>
          <w:lang w:val="pt-BR"/>
        </w:rPr>
        <w:t>erga omnes</w:t>
      </w:r>
      <w:r w:rsidRPr="00D5464D">
        <w:rPr>
          <w:lang w:val="pt-BR"/>
        </w:rPr>
        <w:t xml:space="preserve"> </w:t>
      </w:r>
      <w:r w:rsidR="00DD2230" w:rsidRPr="00D5464D">
        <w:rPr>
          <w:lang w:val="pt-BR"/>
        </w:rPr>
        <w:t xml:space="preserve">de acordo com </w:t>
      </w:r>
      <w:r w:rsidR="002C330E" w:rsidRPr="00D5464D">
        <w:rPr>
          <w:lang w:val="pt-BR"/>
        </w:rPr>
        <w:t xml:space="preserve">a </w:t>
      </w:r>
      <w:r w:rsidRPr="00D5464D">
        <w:rPr>
          <w:lang w:val="pt-BR"/>
        </w:rPr>
        <w:t xml:space="preserve">Corte Internacional de </w:t>
      </w:r>
      <w:r w:rsidR="002C330E" w:rsidRPr="00D5464D">
        <w:rPr>
          <w:lang w:val="pt-BR"/>
        </w:rPr>
        <w:t>Justiça</w:t>
      </w:r>
      <w:r w:rsidR="009158E8" w:rsidRPr="00D5464D">
        <w:rPr>
          <w:lang w:val="pt-BR"/>
        </w:rPr>
        <w:t>.</w:t>
      </w:r>
      <w:r w:rsidRPr="00D5464D">
        <w:rPr>
          <w:rStyle w:val="Refdenotaalpie"/>
          <w:lang w:val="pt-BR"/>
        </w:rPr>
        <w:footnoteReference w:id="366"/>
      </w:r>
      <w:r w:rsidR="00C91CB1" w:rsidRPr="00D5464D">
        <w:rPr>
          <w:lang w:val="pt-BR"/>
        </w:rPr>
        <w:t xml:space="preserve"> No </w:t>
      </w:r>
      <w:r w:rsidRPr="00D5464D">
        <w:rPr>
          <w:lang w:val="pt-BR"/>
        </w:rPr>
        <w:t>presente caso</w:t>
      </w:r>
      <w:r w:rsidR="004B01BE" w:rsidRPr="00D5464D">
        <w:rPr>
          <w:lang w:val="pt-BR"/>
        </w:rPr>
        <w:t>,</w:t>
      </w:r>
      <w:r w:rsidRPr="00D5464D">
        <w:rPr>
          <w:lang w:val="pt-BR"/>
        </w:rPr>
        <w:t xml:space="preserve"> todas</w:t>
      </w:r>
      <w:r w:rsidR="002C330E" w:rsidRPr="00D5464D">
        <w:rPr>
          <w:lang w:val="pt-BR"/>
        </w:rPr>
        <w:t xml:space="preserve"> as </w:t>
      </w:r>
      <w:r w:rsidRPr="00D5464D">
        <w:rPr>
          <w:lang w:val="pt-BR"/>
        </w:rPr>
        <w:t xml:space="preserve">partes </w:t>
      </w:r>
      <w:r w:rsidR="00350187" w:rsidRPr="00D5464D">
        <w:rPr>
          <w:lang w:val="pt-BR"/>
        </w:rPr>
        <w:t>reconheceram</w:t>
      </w:r>
      <w:r w:rsidRPr="00D5464D">
        <w:rPr>
          <w:lang w:val="pt-BR"/>
        </w:rPr>
        <w:t xml:space="preserve"> </w:t>
      </w:r>
      <w:r w:rsidR="00470ADC" w:rsidRPr="00D5464D">
        <w:rPr>
          <w:lang w:val="pt-BR"/>
        </w:rPr>
        <w:t>expressa</w:t>
      </w:r>
      <w:r w:rsidRPr="00D5464D">
        <w:rPr>
          <w:lang w:val="pt-BR"/>
        </w:rPr>
        <w:t>mente</w:t>
      </w:r>
      <w:r w:rsidR="00470ADC" w:rsidRPr="00D5464D">
        <w:rPr>
          <w:lang w:val="pt-BR"/>
        </w:rPr>
        <w:t xml:space="preserve"> esse </w:t>
      </w:r>
      <w:r w:rsidRPr="00D5464D">
        <w:rPr>
          <w:i/>
          <w:lang w:val="pt-BR"/>
        </w:rPr>
        <w:t>status</w:t>
      </w:r>
      <w:r w:rsidRPr="00D5464D">
        <w:rPr>
          <w:lang w:val="pt-BR"/>
        </w:rPr>
        <w:t xml:space="preserve"> jurídico internacional</w:t>
      </w:r>
      <w:r w:rsidR="00470ADC" w:rsidRPr="00D5464D">
        <w:rPr>
          <w:lang w:val="pt-BR"/>
        </w:rPr>
        <w:t xml:space="preserve"> da </w:t>
      </w:r>
      <w:r w:rsidR="002C330E" w:rsidRPr="00D5464D">
        <w:rPr>
          <w:lang w:val="pt-BR"/>
        </w:rPr>
        <w:t>proibição</w:t>
      </w:r>
      <w:r w:rsidR="00470ADC" w:rsidRPr="00D5464D">
        <w:rPr>
          <w:lang w:val="pt-BR"/>
        </w:rPr>
        <w:t xml:space="preserve"> da </w:t>
      </w:r>
      <w:r w:rsidR="000B376D" w:rsidRPr="00D5464D">
        <w:rPr>
          <w:lang w:val="pt-BR"/>
        </w:rPr>
        <w:t>escravidão</w:t>
      </w:r>
      <w:r w:rsidRPr="00D5464D">
        <w:rPr>
          <w:lang w:val="pt-BR"/>
        </w:rPr>
        <w:t>.</w:t>
      </w:r>
      <w:r w:rsidR="00BB4320" w:rsidRPr="00D5464D">
        <w:rPr>
          <w:lang w:val="pt-BR"/>
        </w:rPr>
        <w:t xml:space="preserve"> </w:t>
      </w:r>
      <w:r w:rsidR="00350187" w:rsidRPr="00D5464D">
        <w:rPr>
          <w:lang w:val="pt-BR"/>
        </w:rPr>
        <w:t xml:space="preserve">Além disso, </w:t>
      </w:r>
      <w:r w:rsidR="00BB4320" w:rsidRPr="00D5464D">
        <w:rPr>
          <w:lang w:val="pt-BR"/>
        </w:rPr>
        <w:t xml:space="preserve">tanto </w:t>
      </w:r>
      <w:r w:rsidR="00DD2230" w:rsidRPr="00D5464D">
        <w:rPr>
          <w:lang w:val="pt-BR"/>
        </w:rPr>
        <w:t xml:space="preserve">o </w:t>
      </w:r>
      <w:r w:rsidR="00BB4320" w:rsidRPr="00D5464D">
        <w:rPr>
          <w:lang w:val="pt-BR"/>
        </w:rPr>
        <w:t>Brasil como</w:t>
      </w:r>
      <w:r w:rsidR="002C330E" w:rsidRPr="00D5464D">
        <w:rPr>
          <w:lang w:val="pt-BR"/>
        </w:rPr>
        <w:t xml:space="preserve"> a maioria</w:t>
      </w:r>
      <w:r w:rsidR="00470ADC" w:rsidRPr="00D5464D">
        <w:rPr>
          <w:lang w:val="pt-BR"/>
        </w:rPr>
        <w:t xml:space="preserve"> dos </w:t>
      </w:r>
      <w:r w:rsidR="00BB4320" w:rsidRPr="00D5464D">
        <w:rPr>
          <w:lang w:val="pt-BR"/>
        </w:rPr>
        <w:t>estados</w:t>
      </w:r>
      <w:r w:rsidR="00470ADC" w:rsidRPr="00D5464D">
        <w:rPr>
          <w:lang w:val="pt-BR"/>
        </w:rPr>
        <w:t xml:space="preserve"> da </w:t>
      </w:r>
      <w:r w:rsidR="002C330E" w:rsidRPr="00D5464D">
        <w:rPr>
          <w:lang w:val="pt-BR"/>
        </w:rPr>
        <w:t>região</w:t>
      </w:r>
      <w:r w:rsidR="00302931" w:rsidRPr="00D5464D">
        <w:rPr>
          <w:rStyle w:val="Refdenotaalpie"/>
          <w:lang w:val="pt-BR"/>
        </w:rPr>
        <w:footnoteReference w:id="367"/>
      </w:r>
      <w:r w:rsidR="002C330E" w:rsidRPr="00D5464D">
        <w:rPr>
          <w:lang w:val="pt-BR"/>
        </w:rPr>
        <w:t xml:space="preserve"> são </w:t>
      </w:r>
      <w:r w:rsidR="00A60D61" w:rsidRPr="00D5464D">
        <w:rPr>
          <w:lang w:val="pt-BR"/>
        </w:rPr>
        <w:t>parte</w:t>
      </w:r>
      <w:r w:rsidR="00470ADC" w:rsidRPr="00D5464D">
        <w:rPr>
          <w:lang w:val="pt-BR"/>
        </w:rPr>
        <w:t xml:space="preserve"> da </w:t>
      </w:r>
      <w:r w:rsidR="00BB4320" w:rsidRPr="00D5464D">
        <w:rPr>
          <w:lang w:val="pt-BR"/>
        </w:rPr>
        <w:t>Conven</w:t>
      </w:r>
      <w:r w:rsidR="00470ADC" w:rsidRPr="00D5464D">
        <w:rPr>
          <w:lang w:val="pt-BR"/>
        </w:rPr>
        <w:t>ção</w:t>
      </w:r>
      <w:r w:rsidR="00BB4320" w:rsidRPr="00D5464D">
        <w:rPr>
          <w:lang w:val="pt-BR"/>
        </w:rPr>
        <w:t xml:space="preserve"> sobre</w:t>
      </w:r>
      <w:r w:rsidR="002C330E" w:rsidRPr="00D5464D">
        <w:rPr>
          <w:lang w:val="pt-BR"/>
        </w:rPr>
        <w:t xml:space="preserve"> a </w:t>
      </w:r>
      <w:r w:rsidR="00DD2230" w:rsidRPr="00D5464D">
        <w:rPr>
          <w:lang w:val="pt-BR"/>
        </w:rPr>
        <w:t xml:space="preserve">Escravatura </w:t>
      </w:r>
      <w:r w:rsidR="00BB4320" w:rsidRPr="00D5464D">
        <w:rPr>
          <w:lang w:val="pt-BR"/>
        </w:rPr>
        <w:t>de 1926</w:t>
      </w:r>
      <w:r w:rsidR="00E045D9" w:rsidRPr="00D5464D">
        <w:rPr>
          <w:lang w:val="pt-BR"/>
        </w:rPr>
        <w:t xml:space="preserve"> e </w:t>
      </w:r>
      <w:r w:rsidR="00DD2230" w:rsidRPr="00D5464D">
        <w:rPr>
          <w:lang w:val="pt-BR"/>
        </w:rPr>
        <w:t>d</w:t>
      </w:r>
      <w:r w:rsidR="002C330E" w:rsidRPr="00D5464D">
        <w:rPr>
          <w:lang w:val="pt-BR"/>
        </w:rPr>
        <w:t xml:space="preserve">a </w:t>
      </w:r>
      <w:r w:rsidR="00BB4320" w:rsidRPr="00D5464D">
        <w:rPr>
          <w:lang w:val="pt-BR"/>
        </w:rPr>
        <w:t>Conven</w:t>
      </w:r>
      <w:r w:rsidR="00470ADC" w:rsidRPr="00D5464D">
        <w:rPr>
          <w:lang w:val="pt-BR"/>
        </w:rPr>
        <w:t>ção</w:t>
      </w:r>
      <w:r w:rsidR="00BB4320" w:rsidRPr="00D5464D">
        <w:rPr>
          <w:lang w:val="pt-BR"/>
        </w:rPr>
        <w:t xml:space="preserve"> </w:t>
      </w:r>
      <w:r w:rsidR="00DD2230" w:rsidRPr="00D5464D">
        <w:rPr>
          <w:lang w:val="pt-BR"/>
        </w:rPr>
        <w:t>Suplementar</w:t>
      </w:r>
      <w:r w:rsidR="00BB4320" w:rsidRPr="00D5464D">
        <w:rPr>
          <w:lang w:val="pt-BR"/>
        </w:rPr>
        <w:t xml:space="preserve"> sobre</w:t>
      </w:r>
      <w:r w:rsidR="002C330E" w:rsidRPr="00D5464D">
        <w:rPr>
          <w:lang w:val="pt-BR"/>
        </w:rPr>
        <w:t xml:space="preserve"> a </w:t>
      </w:r>
      <w:r w:rsidR="00DD2230" w:rsidRPr="00D5464D">
        <w:rPr>
          <w:lang w:val="pt-BR"/>
        </w:rPr>
        <w:t>A</w:t>
      </w:r>
      <w:r w:rsidR="00BB4320" w:rsidRPr="00D5464D">
        <w:rPr>
          <w:lang w:val="pt-BR"/>
        </w:rPr>
        <w:t>boli</w:t>
      </w:r>
      <w:r w:rsidR="00470ADC" w:rsidRPr="00D5464D">
        <w:rPr>
          <w:lang w:val="pt-BR"/>
        </w:rPr>
        <w:t xml:space="preserve">ção da </w:t>
      </w:r>
      <w:r w:rsidR="00DD2230" w:rsidRPr="00D5464D">
        <w:rPr>
          <w:lang w:val="pt-BR"/>
        </w:rPr>
        <w:t xml:space="preserve">Escravatura </w:t>
      </w:r>
      <w:r w:rsidR="00BB4320" w:rsidRPr="00D5464D">
        <w:rPr>
          <w:lang w:val="pt-BR"/>
        </w:rPr>
        <w:t>de 1956.</w:t>
      </w:r>
    </w:p>
    <w:p w14:paraId="163CC59E" w14:textId="77777777" w:rsidR="00DE3E58" w:rsidRPr="00D5464D" w:rsidRDefault="00DE3E58" w:rsidP="00DE3E58">
      <w:pPr>
        <w:pStyle w:val="Prrafodelista"/>
        <w:ind w:left="0"/>
        <w:contextualSpacing w:val="0"/>
        <w:rPr>
          <w:lang w:val="pt-BR"/>
        </w:rPr>
      </w:pPr>
    </w:p>
    <w:p w14:paraId="1D839415" w14:textId="559BC111" w:rsidR="00207197" w:rsidRPr="00D5464D" w:rsidRDefault="00470ADC" w:rsidP="00F37DC4">
      <w:pPr>
        <w:pStyle w:val="Prrafodelista"/>
        <w:numPr>
          <w:ilvl w:val="0"/>
          <w:numId w:val="1"/>
        </w:numPr>
        <w:contextualSpacing w:val="0"/>
        <w:rPr>
          <w:lang w:val="pt-BR"/>
        </w:rPr>
      </w:pPr>
      <w:r w:rsidRPr="00D5464D">
        <w:rPr>
          <w:lang w:val="pt-BR"/>
        </w:rPr>
        <w:t xml:space="preserve">A </w:t>
      </w:r>
      <w:r w:rsidR="00E238C8" w:rsidRPr="00D5464D">
        <w:rPr>
          <w:lang w:val="pt-BR"/>
        </w:rPr>
        <w:t>Convenção Suplementar sobre a Abolição da Escravatura</w:t>
      </w:r>
      <w:r w:rsidR="00207197" w:rsidRPr="00D5464D">
        <w:rPr>
          <w:lang w:val="pt-BR"/>
        </w:rPr>
        <w:t xml:space="preserve"> de 1956</w:t>
      </w:r>
      <w:r w:rsidR="009158E8" w:rsidRPr="00D5464D">
        <w:rPr>
          <w:lang w:val="pt-BR"/>
        </w:rPr>
        <w:t>,</w:t>
      </w:r>
      <w:r w:rsidR="00D15AA9" w:rsidRPr="00D5464D">
        <w:rPr>
          <w:rStyle w:val="Refdenotaalpie"/>
          <w:lang w:val="pt-BR"/>
        </w:rPr>
        <w:footnoteReference w:id="368"/>
      </w:r>
      <w:r w:rsidR="00207197" w:rsidRPr="00D5464D">
        <w:rPr>
          <w:lang w:val="pt-BR"/>
        </w:rPr>
        <w:t xml:space="preserve"> </w:t>
      </w:r>
      <w:r w:rsidR="00350187" w:rsidRPr="00D5464D">
        <w:rPr>
          <w:lang w:val="pt-BR"/>
        </w:rPr>
        <w:t>ampl</w:t>
      </w:r>
      <w:r w:rsidR="00A14A09" w:rsidRPr="00D5464D">
        <w:rPr>
          <w:lang w:val="pt-BR"/>
        </w:rPr>
        <w:t>i</w:t>
      </w:r>
      <w:r w:rsidR="00350187" w:rsidRPr="00D5464D">
        <w:rPr>
          <w:lang w:val="pt-BR"/>
        </w:rPr>
        <w:t>o</w:t>
      </w:r>
      <w:r w:rsidR="00737270" w:rsidRPr="00D5464D">
        <w:rPr>
          <w:lang w:val="pt-BR"/>
        </w:rPr>
        <w:t>u</w:t>
      </w:r>
      <w:r w:rsidR="002C330E" w:rsidRPr="00D5464D">
        <w:rPr>
          <w:lang w:val="pt-BR"/>
        </w:rPr>
        <w:t xml:space="preserve"> a </w:t>
      </w:r>
      <w:r w:rsidR="00207197" w:rsidRPr="00D5464D">
        <w:rPr>
          <w:lang w:val="pt-BR"/>
        </w:rPr>
        <w:t>defini</w:t>
      </w:r>
      <w:r w:rsidRPr="00D5464D">
        <w:rPr>
          <w:lang w:val="pt-BR"/>
        </w:rPr>
        <w:t>ção</w:t>
      </w:r>
      <w:r w:rsidR="00207197" w:rsidRPr="00D5464D">
        <w:rPr>
          <w:lang w:val="pt-BR"/>
        </w:rPr>
        <w:t xml:space="preserve"> de </w:t>
      </w:r>
      <w:r w:rsidR="000B376D" w:rsidRPr="00D5464D">
        <w:rPr>
          <w:lang w:val="pt-BR"/>
        </w:rPr>
        <w:t>escravidão</w:t>
      </w:r>
      <w:r w:rsidRPr="00D5464D">
        <w:rPr>
          <w:lang w:val="pt-BR"/>
        </w:rPr>
        <w:t xml:space="preserve"> ao </w:t>
      </w:r>
      <w:r w:rsidR="00A14A09" w:rsidRPr="00D5464D">
        <w:rPr>
          <w:lang w:val="pt-BR"/>
        </w:rPr>
        <w:t>refletir</w:t>
      </w:r>
      <w:r w:rsidR="00207197" w:rsidRPr="00D5464D">
        <w:rPr>
          <w:lang w:val="pt-BR"/>
        </w:rPr>
        <w:t xml:space="preserve"> dentro</w:t>
      </w:r>
      <w:r w:rsidRPr="00D5464D">
        <w:rPr>
          <w:lang w:val="pt-BR"/>
        </w:rPr>
        <w:t xml:space="preserve"> da </w:t>
      </w:r>
      <w:r w:rsidR="002C330E" w:rsidRPr="00D5464D">
        <w:rPr>
          <w:lang w:val="pt-BR"/>
        </w:rPr>
        <w:t>proibição</w:t>
      </w:r>
      <w:r w:rsidR="00207197" w:rsidRPr="00D5464D">
        <w:rPr>
          <w:lang w:val="pt-BR"/>
        </w:rPr>
        <w:t xml:space="preserve"> absoluta </w:t>
      </w:r>
      <w:r w:rsidR="002C330E" w:rsidRPr="00D5464D">
        <w:rPr>
          <w:lang w:val="pt-BR"/>
        </w:rPr>
        <w:t>outorga</w:t>
      </w:r>
      <w:r w:rsidR="00207197" w:rsidRPr="00D5464D">
        <w:rPr>
          <w:lang w:val="pt-BR"/>
        </w:rPr>
        <w:t>da</w:t>
      </w:r>
      <w:r w:rsidRPr="00D5464D">
        <w:rPr>
          <w:lang w:val="pt-BR"/>
        </w:rPr>
        <w:t xml:space="preserve"> à </w:t>
      </w:r>
      <w:r w:rsidR="000B376D" w:rsidRPr="00D5464D">
        <w:rPr>
          <w:lang w:val="pt-BR"/>
        </w:rPr>
        <w:t>escravidão</w:t>
      </w:r>
      <w:r w:rsidR="00207197" w:rsidRPr="00D5464D">
        <w:rPr>
          <w:lang w:val="pt-BR"/>
        </w:rPr>
        <w:t xml:space="preserve"> </w:t>
      </w:r>
      <w:r w:rsidR="00E045D9" w:rsidRPr="00D5464D">
        <w:rPr>
          <w:lang w:val="pt-BR"/>
        </w:rPr>
        <w:t>também</w:t>
      </w:r>
      <w:r w:rsidR="00207197" w:rsidRPr="00D5464D">
        <w:rPr>
          <w:lang w:val="pt-BR"/>
        </w:rPr>
        <w:t xml:space="preserve"> a</w:t>
      </w:r>
      <w:r w:rsidR="00B4058C" w:rsidRPr="00D5464D">
        <w:rPr>
          <w:lang w:val="pt-BR"/>
        </w:rPr>
        <w:t>s</w:t>
      </w:r>
      <w:r w:rsidR="00207197" w:rsidRPr="00D5464D">
        <w:rPr>
          <w:lang w:val="pt-BR"/>
        </w:rPr>
        <w:t xml:space="preserve"> “</w:t>
      </w:r>
      <w:r w:rsidR="002C330E" w:rsidRPr="00D5464D">
        <w:rPr>
          <w:lang w:val="pt-BR"/>
        </w:rPr>
        <w:t>instituições</w:t>
      </w:r>
      <w:r w:rsidR="00E045D9" w:rsidRPr="00D5464D">
        <w:rPr>
          <w:lang w:val="pt-BR"/>
        </w:rPr>
        <w:t xml:space="preserve"> e </w:t>
      </w:r>
      <w:r w:rsidR="002C330E" w:rsidRPr="00D5464D">
        <w:rPr>
          <w:lang w:val="pt-BR"/>
        </w:rPr>
        <w:t>prática</w:t>
      </w:r>
      <w:r w:rsidR="00207197" w:rsidRPr="00D5464D">
        <w:rPr>
          <w:lang w:val="pt-BR"/>
        </w:rPr>
        <w:t xml:space="preserve">s </w:t>
      </w:r>
      <w:r w:rsidR="006665EF" w:rsidRPr="00D5464D">
        <w:rPr>
          <w:lang w:val="pt-BR"/>
        </w:rPr>
        <w:t>análogas</w:t>
      </w:r>
      <w:r w:rsidR="00350187" w:rsidRPr="00D5464D">
        <w:rPr>
          <w:lang w:val="pt-BR"/>
        </w:rPr>
        <w:t xml:space="preserve"> </w:t>
      </w:r>
      <w:r w:rsidRPr="00D5464D">
        <w:rPr>
          <w:lang w:val="pt-BR"/>
        </w:rPr>
        <w:t xml:space="preserve">à </w:t>
      </w:r>
      <w:r w:rsidR="000B376D" w:rsidRPr="00D5464D">
        <w:rPr>
          <w:lang w:val="pt-BR"/>
        </w:rPr>
        <w:t>escravidão</w:t>
      </w:r>
      <w:r w:rsidR="00207197" w:rsidRPr="00D5464D">
        <w:rPr>
          <w:lang w:val="pt-BR"/>
        </w:rPr>
        <w:t>”, como</w:t>
      </w:r>
      <w:r w:rsidR="002C330E" w:rsidRPr="00D5464D">
        <w:rPr>
          <w:lang w:val="pt-BR"/>
        </w:rPr>
        <w:t xml:space="preserve"> a </w:t>
      </w:r>
      <w:r w:rsidR="000B376D" w:rsidRPr="00D5464D">
        <w:rPr>
          <w:lang w:val="pt-BR"/>
        </w:rPr>
        <w:t>servidão</w:t>
      </w:r>
      <w:r w:rsidR="00AE4701" w:rsidRPr="00D5464D">
        <w:rPr>
          <w:lang w:val="pt-BR"/>
        </w:rPr>
        <w:t xml:space="preserve"> por </w:t>
      </w:r>
      <w:r w:rsidRPr="00D5464D">
        <w:rPr>
          <w:lang w:val="pt-BR"/>
        </w:rPr>
        <w:t>dívida</w:t>
      </w:r>
      <w:r w:rsidR="00AE4701" w:rsidRPr="00D5464D">
        <w:rPr>
          <w:lang w:val="pt-BR"/>
        </w:rPr>
        <w:t>s</w:t>
      </w:r>
      <w:r w:rsidR="00E045D9" w:rsidRPr="00D5464D">
        <w:rPr>
          <w:lang w:val="pt-BR"/>
        </w:rPr>
        <w:t xml:space="preserve"> e</w:t>
      </w:r>
      <w:r w:rsidR="00041EA2" w:rsidRPr="00D5464D">
        <w:rPr>
          <w:lang w:val="pt-BR"/>
        </w:rPr>
        <w:t xml:space="preserve"> a</w:t>
      </w:r>
      <w:r w:rsidR="00E045D9" w:rsidRPr="00D5464D">
        <w:rPr>
          <w:lang w:val="pt-BR"/>
        </w:rPr>
        <w:t xml:space="preserve"> </w:t>
      </w:r>
      <w:r w:rsidR="000B376D" w:rsidRPr="00D5464D">
        <w:rPr>
          <w:lang w:val="pt-BR"/>
        </w:rPr>
        <w:t>servidão</w:t>
      </w:r>
      <w:r w:rsidR="00207197" w:rsidRPr="00D5464D">
        <w:rPr>
          <w:lang w:val="pt-BR"/>
        </w:rPr>
        <w:t xml:space="preserve">, entre </w:t>
      </w:r>
      <w:r w:rsidR="002C330E" w:rsidRPr="00D5464D">
        <w:rPr>
          <w:lang w:val="pt-BR"/>
        </w:rPr>
        <w:t>outra</w:t>
      </w:r>
      <w:r w:rsidR="00207197" w:rsidRPr="00D5464D">
        <w:rPr>
          <w:lang w:val="pt-BR"/>
        </w:rPr>
        <w:t>s</w:t>
      </w:r>
      <w:r w:rsidR="00B4058C" w:rsidRPr="00D5464D">
        <w:rPr>
          <w:lang w:val="pt-BR"/>
        </w:rPr>
        <w:t>.</w:t>
      </w:r>
      <w:r w:rsidR="00207197" w:rsidRPr="00D5464D">
        <w:rPr>
          <w:rStyle w:val="Refdenotaalpie"/>
          <w:lang w:val="pt-BR"/>
        </w:rPr>
        <w:footnoteReference w:id="369"/>
      </w:r>
    </w:p>
    <w:p w14:paraId="5BD49C81" w14:textId="77777777" w:rsidR="00207197" w:rsidRPr="00D5464D" w:rsidRDefault="00207197" w:rsidP="00140440">
      <w:pPr>
        <w:jc w:val="both"/>
        <w:rPr>
          <w:lang w:val="pt-BR"/>
        </w:rPr>
      </w:pPr>
    </w:p>
    <w:p w14:paraId="0684E785" w14:textId="3341653A" w:rsidR="00207197" w:rsidRPr="00D5464D" w:rsidRDefault="00470ADC" w:rsidP="00F37DC4">
      <w:pPr>
        <w:pStyle w:val="Prrafodelista"/>
        <w:numPr>
          <w:ilvl w:val="0"/>
          <w:numId w:val="1"/>
        </w:numPr>
        <w:contextualSpacing w:val="0"/>
        <w:rPr>
          <w:lang w:val="pt-BR"/>
        </w:rPr>
      </w:pPr>
      <w:r w:rsidRPr="00D5464D">
        <w:rPr>
          <w:lang w:val="pt-BR"/>
        </w:rPr>
        <w:t>No âmbito</w:t>
      </w:r>
      <w:r w:rsidR="00207197" w:rsidRPr="00D5464D">
        <w:rPr>
          <w:lang w:val="pt-BR"/>
        </w:rPr>
        <w:t xml:space="preserve"> </w:t>
      </w:r>
      <w:r w:rsidRPr="00D5464D">
        <w:rPr>
          <w:lang w:val="pt-BR"/>
        </w:rPr>
        <w:t xml:space="preserve">do </w:t>
      </w:r>
      <w:r w:rsidR="00E765C2" w:rsidRPr="00D5464D">
        <w:rPr>
          <w:lang w:val="pt-BR"/>
        </w:rPr>
        <w:t>Direito Internacional</w:t>
      </w:r>
      <w:r w:rsidRPr="00D5464D">
        <w:rPr>
          <w:lang w:val="pt-BR"/>
        </w:rPr>
        <w:t xml:space="preserve"> dos </w:t>
      </w:r>
      <w:r w:rsidR="00461F4D" w:rsidRPr="00D5464D">
        <w:rPr>
          <w:lang w:val="pt-BR"/>
        </w:rPr>
        <w:t>D</w:t>
      </w:r>
      <w:r w:rsidRPr="00D5464D">
        <w:rPr>
          <w:lang w:val="pt-BR"/>
        </w:rPr>
        <w:t>ireito</w:t>
      </w:r>
      <w:r w:rsidR="00207197" w:rsidRPr="00D5464D">
        <w:rPr>
          <w:lang w:val="pt-BR"/>
        </w:rPr>
        <w:t xml:space="preserve">s </w:t>
      </w:r>
      <w:r w:rsidR="00461F4D" w:rsidRPr="00D5464D">
        <w:rPr>
          <w:lang w:val="pt-BR"/>
        </w:rPr>
        <w:t>H</w:t>
      </w:r>
      <w:r w:rsidR="00207197" w:rsidRPr="00D5464D">
        <w:rPr>
          <w:lang w:val="pt-BR"/>
        </w:rPr>
        <w:t>umanos,</w:t>
      </w:r>
      <w:r w:rsidR="002C330E" w:rsidRPr="00D5464D">
        <w:rPr>
          <w:lang w:val="pt-BR"/>
        </w:rPr>
        <w:t xml:space="preserve"> a </w:t>
      </w:r>
      <w:r w:rsidR="00207197" w:rsidRPr="00D5464D">
        <w:rPr>
          <w:lang w:val="pt-BR"/>
        </w:rPr>
        <w:t>Declara</w:t>
      </w:r>
      <w:r w:rsidRPr="00D5464D">
        <w:rPr>
          <w:lang w:val="pt-BR"/>
        </w:rPr>
        <w:t>ção</w:t>
      </w:r>
      <w:r w:rsidR="00207197" w:rsidRPr="00D5464D">
        <w:rPr>
          <w:lang w:val="pt-BR"/>
        </w:rPr>
        <w:t xml:space="preserve"> Universal de </w:t>
      </w:r>
      <w:r w:rsidRPr="00D5464D">
        <w:rPr>
          <w:lang w:val="pt-BR"/>
        </w:rPr>
        <w:t>Direito</w:t>
      </w:r>
      <w:r w:rsidR="00207197" w:rsidRPr="00D5464D">
        <w:rPr>
          <w:lang w:val="pt-BR"/>
        </w:rPr>
        <w:t>s Humanos</w:t>
      </w:r>
      <w:r w:rsidR="008000DD" w:rsidRPr="00D5464D">
        <w:rPr>
          <w:lang w:val="pt-BR"/>
        </w:rPr>
        <w:t>,</w:t>
      </w:r>
      <w:r w:rsidR="00207197" w:rsidRPr="00D5464D">
        <w:rPr>
          <w:lang w:val="pt-BR"/>
        </w:rPr>
        <w:t xml:space="preserve"> de 1948</w:t>
      </w:r>
      <w:r w:rsidR="008000DD" w:rsidRPr="00D5464D">
        <w:rPr>
          <w:lang w:val="pt-BR"/>
        </w:rPr>
        <w:t>,</w:t>
      </w:r>
      <w:r w:rsidR="00207197" w:rsidRPr="00D5464D">
        <w:rPr>
          <w:lang w:val="pt-BR"/>
        </w:rPr>
        <w:t xml:space="preserve"> </w:t>
      </w:r>
      <w:r w:rsidRPr="00D5464D">
        <w:rPr>
          <w:lang w:val="pt-BR"/>
        </w:rPr>
        <w:t>dispõe em</w:t>
      </w:r>
      <w:r w:rsidR="002C330E" w:rsidRPr="00D5464D">
        <w:rPr>
          <w:lang w:val="pt-BR"/>
        </w:rPr>
        <w:t xml:space="preserve"> seu artigo </w:t>
      </w:r>
      <w:r w:rsidR="00207197" w:rsidRPr="00D5464D">
        <w:rPr>
          <w:lang w:val="pt-BR"/>
        </w:rPr>
        <w:t xml:space="preserve">4 que </w:t>
      </w:r>
      <w:bookmarkStart w:id="393" w:name="a4"/>
      <w:bookmarkEnd w:id="393"/>
      <w:r w:rsidR="00207197" w:rsidRPr="00D5464D">
        <w:rPr>
          <w:lang w:val="pt-BR"/>
        </w:rPr>
        <w:t>“</w:t>
      </w:r>
      <w:r w:rsidR="00155B0D" w:rsidRPr="00D5464D">
        <w:rPr>
          <w:lang w:val="pt-BR"/>
        </w:rPr>
        <w:t>[</w:t>
      </w:r>
      <w:r w:rsidR="00207197" w:rsidRPr="00D5464D">
        <w:rPr>
          <w:lang w:val="pt-BR"/>
        </w:rPr>
        <w:t>n</w:t>
      </w:r>
      <w:r w:rsidR="00155B0D" w:rsidRPr="00D5464D">
        <w:rPr>
          <w:lang w:val="pt-BR"/>
        </w:rPr>
        <w:t>]</w:t>
      </w:r>
      <w:r w:rsidR="00461F4D" w:rsidRPr="00D5464D">
        <w:rPr>
          <w:lang w:val="pt-BR"/>
        </w:rPr>
        <w:t xml:space="preserve">inguém será mantido em </w:t>
      </w:r>
      <w:r w:rsidR="000B376D" w:rsidRPr="00D5464D">
        <w:rPr>
          <w:lang w:val="pt-BR"/>
        </w:rPr>
        <w:t>escravidão</w:t>
      </w:r>
      <w:r w:rsidR="002C330E" w:rsidRPr="00D5464D">
        <w:rPr>
          <w:lang w:val="pt-BR"/>
        </w:rPr>
        <w:t xml:space="preserve"> </w:t>
      </w:r>
      <w:r w:rsidR="00461F4D" w:rsidRPr="00D5464D">
        <w:rPr>
          <w:lang w:val="pt-BR"/>
        </w:rPr>
        <w:t xml:space="preserve">ou </w:t>
      </w:r>
      <w:r w:rsidR="000B376D" w:rsidRPr="00D5464D">
        <w:rPr>
          <w:lang w:val="pt-BR"/>
        </w:rPr>
        <w:t>servidão</w:t>
      </w:r>
      <w:r w:rsidR="00207197" w:rsidRPr="00D5464D">
        <w:rPr>
          <w:lang w:val="pt-BR"/>
        </w:rPr>
        <w:t>”</w:t>
      </w:r>
      <w:r w:rsidR="00E045D9" w:rsidRPr="00D5464D">
        <w:rPr>
          <w:lang w:val="pt-BR"/>
        </w:rPr>
        <w:t xml:space="preserve"> e </w:t>
      </w:r>
      <w:r w:rsidR="00207197" w:rsidRPr="00D5464D">
        <w:rPr>
          <w:lang w:val="pt-BR"/>
        </w:rPr>
        <w:t xml:space="preserve">que </w:t>
      </w:r>
      <w:r w:rsidRPr="00D5464D">
        <w:rPr>
          <w:lang w:val="pt-BR"/>
        </w:rPr>
        <w:t xml:space="preserve">“a </w:t>
      </w:r>
      <w:r w:rsidR="000B376D" w:rsidRPr="00D5464D">
        <w:rPr>
          <w:lang w:val="pt-BR"/>
        </w:rPr>
        <w:t>escravidão</w:t>
      </w:r>
      <w:r w:rsidR="00E045D9" w:rsidRPr="00D5464D">
        <w:rPr>
          <w:lang w:val="pt-BR"/>
        </w:rPr>
        <w:t xml:space="preserve"> </w:t>
      </w:r>
      <w:r w:rsidR="00461F4D" w:rsidRPr="00D5464D">
        <w:rPr>
          <w:lang w:val="pt-BR"/>
        </w:rPr>
        <w:t xml:space="preserve">e o </w:t>
      </w:r>
      <w:r w:rsidR="00DB2B76" w:rsidRPr="00D5464D">
        <w:rPr>
          <w:lang w:val="pt-BR"/>
        </w:rPr>
        <w:t>tráfico</w:t>
      </w:r>
      <w:r w:rsidR="00461F4D" w:rsidRPr="00D5464D">
        <w:rPr>
          <w:lang w:val="pt-BR"/>
        </w:rPr>
        <w:t xml:space="preserve"> de escravos </w:t>
      </w:r>
      <w:r w:rsidR="00DB2B76" w:rsidRPr="00D5464D">
        <w:rPr>
          <w:lang w:val="pt-BR"/>
        </w:rPr>
        <w:t>serão</w:t>
      </w:r>
      <w:r w:rsidR="00461F4D" w:rsidRPr="00D5464D">
        <w:rPr>
          <w:lang w:val="pt-BR"/>
        </w:rPr>
        <w:t xml:space="preserve"> proibidos em todas as suas formas</w:t>
      </w:r>
      <w:r w:rsidR="00207197" w:rsidRPr="00D5464D">
        <w:rPr>
          <w:lang w:val="pt-BR"/>
        </w:rPr>
        <w:t>”</w:t>
      </w:r>
      <w:r w:rsidR="00461F4D" w:rsidRPr="00D5464D">
        <w:rPr>
          <w:lang w:val="pt-BR"/>
        </w:rPr>
        <w:t>.</w:t>
      </w:r>
      <w:r w:rsidR="00207197" w:rsidRPr="00D5464D">
        <w:rPr>
          <w:rStyle w:val="Refdenotaalpie"/>
          <w:lang w:val="pt-BR"/>
        </w:rPr>
        <w:footnoteReference w:id="370"/>
      </w:r>
      <w:r w:rsidR="00A1358C" w:rsidRPr="00D5464D">
        <w:rPr>
          <w:lang w:val="pt-BR"/>
        </w:rPr>
        <w:t xml:space="preserve"> O </w:t>
      </w:r>
      <w:r w:rsidR="00207197" w:rsidRPr="00D5464D">
        <w:rPr>
          <w:lang w:val="pt-BR"/>
        </w:rPr>
        <w:t xml:space="preserve">Pacto Internacional de </w:t>
      </w:r>
      <w:r w:rsidRPr="00D5464D">
        <w:rPr>
          <w:lang w:val="pt-BR"/>
        </w:rPr>
        <w:t>Direito</w:t>
      </w:r>
      <w:r w:rsidR="00207197" w:rsidRPr="00D5464D">
        <w:rPr>
          <w:lang w:val="pt-BR"/>
        </w:rPr>
        <w:t xml:space="preserve">s </w:t>
      </w:r>
      <w:r w:rsidRPr="00D5464D">
        <w:rPr>
          <w:lang w:val="pt-BR"/>
        </w:rPr>
        <w:t>Civis</w:t>
      </w:r>
      <w:r w:rsidR="00E045D9" w:rsidRPr="00D5464D">
        <w:rPr>
          <w:lang w:val="pt-BR"/>
        </w:rPr>
        <w:t xml:space="preserve"> e </w:t>
      </w:r>
      <w:r w:rsidR="00207197" w:rsidRPr="00D5464D">
        <w:rPr>
          <w:lang w:val="pt-BR"/>
        </w:rPr>
        <w:t>Políticos</w:t>
      </w:r>
      <w:r w:rsidR="008000DD" w:rsidRPr="00D5464D">
        <w:rPr>
          <w:lang w:val="pt-BR"/>
        </w:rPr>
        <w:t>,</w:t>
      </w:r>
      <w:r w:rsidR="00207197" w:rsidRPr="00D5464D">
        <w:rPr>
          <w:lang w:val="pt-BR"/>
        </w:rPr>
        <w:t xml:space="preserve"> de 1966</w:t>
      </w:r>
      <w:r w:rsidR="008000DD" w:rsidRPr="00D5464D">
        <w:rPr>
          <w:lang w:val="pt-BR"/>
        </w:rPr>
        <w:t>,</w:t>
      </w:r>
      <w:r w:rsidR="00207197" w:rsidRPr="00D5464D">
        <w:rPr>
          <w:lang w:val="pt-BR"/>
        </w:rPr>
        <w:t xml:space="preserve"> </w:t>
      </w:r>
      <w:r w:rsidRPr="00D5464D">
        <w:rPr>
          <w:lang w:val="pt-BR"/>
        </w:rPr>
        <w:t>dispõe em</w:t>
      </w:r>
      <w:r w:rsidR="002C330E" w:rsidRPr="00D5464D">
        <w:rPr>
          <w:lang w:val="pt-BR"/>
        </w:rPr>
        <w:t xml:space="preserve"> seu artigo </w:t>
      </w:r>
      <w:r w:rsidR="00207197" w:rsidRPr="00D5464D">
        <w:rPr>
          <w:lang w:val="pt-BR"/>
        </w:rPr>
        <w:t>8.1</w:t>
      </w:r>
      <w:r w:rsidR="00E045D9" w:rsidRPr="00D5464D">
        <w:rPr>
          <w:lang w:val="pt-BR"/>
        </w:rPr>
        <w:t xml:space="preserve"> e </w:t>
      </w:r>
      <w:r w:rsidR="00207197" w:rsidRPr="00D5464D">
        <w:rPr>
          <w:lang w:val="pt-BR"/>
        </w:rPr>
        <w:t>8.2 que “</w:t>
      </w:r>
      <w:r w:rsidR="00155B0D" w:rsidRPr="00D5464D">
        <w:rPr>
          <w:lang w:val="pt-BR"/>
        </w:rPr>
        <w:t>[</w:t>
      </w:r>
      <w:r w:rsidR="00207197" w:rsidRPr="00D5464D">
        <w:rPr>
          <w:lang w:val="pt-BR"/>
        </w:rPr>
        <w:t>n</w:t>
      </w:r>
      <w:r w:rsidR="00155B0D" w:rsidRPr="00D5464D">
        <w:rPr>
          <w:lang w:val="pt-BR"/>
        </w:rPr>
        <w:t>]</w:t>
      </w:r>
      <w:r w:rsidR="00461F4D" w:rsidRPr="00D5464D">
        <w:rPr>
          <w:lang w:val="pt-BR"/>
        </w:rPr>
        <w:t xml:space="preserve">inguém </w:t>
      </w:r>
      <w:r w:rsidR="00F93A6E" w:rsidRPr="00D5464D">
        <w:rPr>
          <w:lang w:val="pt-BR"/>
        </w:rPr>
        <w:t>poderá ser</w:t>
      </w:r>
      <w:r w:rsidR="00207197" w:rsidRPr="00D5464D">
        <w:rPr>
          <w:lang w:val="pt-BR"/>
        </w:rPr>
        <w:t xml:space="preserve"> </w:t>
      </w:r>
      <w:r w:rsidR="002C330E" w:rsidRPr="00D5464D">
        <w:rPr>
          <w:lang w:val="pt-BR"/>
        </w:rPr>
        <w:t>submetido</w:t>
      </w:r>
      <w:r w:rsidR="00207197" w:rsidRPr="00D5464D">
        <w:rPr>
          <w:lang w:val="pt-BR"/>
        </w:rPr>
        <w:t xml:space="preserve"> </w:t>
      </w:r>
      <w:r w:rsidR="00F93A6E" w:rsidRPr="00D5464D">
        <w:rPr>
          <w:lang w:val="pt-BR"/>
        </w:rPr>
        <w:t>à</w:t>
      </w:r>
      <w:r w:rsidR="00207197" w:rsidRPr="00D5464D">
        <w:rPr>
          <w:lang w:val="pt-BR"/>
        </w:rPr>
        <w:t xml:space="preserve"> </w:t>
      </w:r>
      <w:r w:rsidR="000B376D" w:rsidRPr="00D5464D">
        <w:rPr>
          <w:lang w:val="pt-BR"/>
        </w:rPr>
        <w:t>escravidão</w:t>
      </w:r>
      <w:r w:rsidR="00207197" w:rsidRPr="00D5464D">
        <w:rPr>
          <w:lang w:val="pt-BR"/>
        </w:rPr>
        <w:t xml:space="preserve">”, que </w:t>
      </w:r>
      <w:r w:rsidRPr="00D5464D">
        <w:rPr>
          <w:lang w:val="pt-BR"/>
        </w:rPr>
        <w:t>“</w:t>
      </w:r>
      <w:r w:rsidR="00F93A6E" w:rsidRPr="00D5464D">
        <w:rPr>
          <w:lang w:val="pt-BR"/>
        </w:rPr>
        <w:t>a escravidão e o tráfico de escravos, em todos as suas formas, ficam proibidos</w:t>
      </w:r>
      <w:r w:rsidR="00207197" w:rsidRPr="00D5464D">
        <w:rPr>
          <w:lang w:val="pt-BR"/>
        </w:rPr>
        <w:t>”</w:t>
      </w:r>
      <w:r w:rsidR="002A0C2B" w:rsidRPr="00D5464D">
        <w:rPr>
          <w:lang w:val="pt-BR"/>
        </w:rPr>
        <w:t xml:space="preserve"> e </w:t>
      </w:r>
      <w:r w:rsidR="00207197" w:rsidRPr="00D5464D">
        <w:rPr>
          <w:lang w:val="pt-BR"/>
        </w:rPr>
        <w:t>que “</w:t>
      </w:r>
      <w:r w:rsidR="00155B0D" w:rsidRPr="00D5464D">
        <w:rPr>
          <w:lang w:val="pt-BR"/>
        </w:rPr>
        <w:t>[</w:t>
      </w:r>
      <w:r w:rsidR="00207197" w:rsidRPr="00D5464D">
        <w:rPr>
          <w:lang w:val="pt-BR"/>
        </w:rPr>
        <w:t>n</w:t>
      </w:r>
      <w:r w:rsidR="00155B0D" w:rsidRPr="00D5464D">
        <w:rPr>
          <w:lang w:val="pt-BR"/>
        </w:rPr>
        <w:t>]</w:t>
      </w:r>
      <w:r w:rsidR="00461F4D" w:rsidRPr="00D5464D">
        <w:rPr>
          <w:lang w:val="pt-BR"/>
        </w:rPr>
        <w:t xml:space="preserve">inguém </w:t>
      </w:r>
      <w:r w:rsidR="00F93A6E" w:rsidRPr="00D5464D">
        <w:rPr>
          <w:lang w:val="pt-BR"/>
        </w:rPr>
        <w:t>poderá ser</w:t>
      </w:r>
      <w:r w:rsidR="00207197" w:rsidRPr="00D5464D">
        <w:rPr>
          <w:lang w:val="pt-BR"/>
        </w:rPr>
        <w:t xml:space="preserve"> </w:t>
      </w:r>
      <w:r w:rsidR="002C330E" w:rsidRPr="00D5464D">
        <w:rPr>
          <w:lang w:val="pt-BR"/>
        </w:rPr>
        <w:t>submetido</w:t>
      </w:r>
      <w:r w:rsidR="00F93A6E" w:rsidRPr="00D5464D">
        <w:rPr>
          <w:lang w:val="pt-BR"/>
        </w:rPr>
        <w:t xml:space="preserve"> à</w:t>
      </w:r>
      <w:r w:rsidR="00207197" w:rsidRPr="00D5464D">
        <w:rPr>
          <w:lang w:val="pt-BR"/>
        </w:rPr>
        <w:t xml:space="preserve"> </w:t>
      </w:r>
      <w:r w:rsidR="000B376D" w:rsidRPr="00D5464D">
        <w:rPr>
          <w:lang w:val="pt-BR"/>
        </w:rPr>
        <w:t>servidão</w:t>
      </w:r>
      <w:r w:rsidR="00F93A6E" w:rsidRPr="00D5464D">
        <w:rPr>
          <w:lang w:val="pt-BR"/>
        </w:rPr>
        <w:t>.</w:t>
      </w:r>
      <w:r w:rsidR="00207197" w:rsidRPr="00D5464D">
        <w:rPr>
          <w:lang w:val="pt-BR"/>
        </w:rPr>
        <w:t>”</w:t>
      </w:r>
      <w:r w:rsidR="00207197" w:rsidRPr="00D5464D">
        <w:rPr>
          <w:rStyle w:val="Refdenotaalpie"/>
          <w:lang w:val="pt-BR"/>
        </w:rPr>
        <w:footnoteReference w:id="371"/>
      </w:r>
      <w:r w:rsidR="00207197" w:rsidRPr="00D5464D">
        <w:rPr>
          <w:lang w:val="pt-BR"/>
        </w:rPr>
        <w:t xml:space="preserve"> </w:t>
      </w:r>
    </w:p>
    <w:p w14:paraId="33B286F3" w14:textId="77777777" w:rsidR="00207197" w:rsidRPr="00D5464D" w:rsidRDefault="00207197" w:rsidP="00140440">
      <w:pPr>
        <w:jc w:val="both"/>
        <w:rPr>
          <w:lang w:val="pt-BR"/>
        </w:rPr>
      </w:pPr>
    </w:p>
    <w:p w14:paraId="62EFE381" w14:textId="12B34352" w:rsidR="00207197" w:rsidRPr="00D5464D" w:rsidRDefault="00470ADC" w:rsidP="00F37DC4">
      <w:pPr>
        <w:pStyle w:val="Prrafodelista"/>
        <w:numPr>
          <w:ilvl w:val="0"/>
          <w:numId w:val="1"/>
        </w:numPr>
        <w:contextualSpacing w:val="0"/>
        <w:rPr>
          <w:lang w:val="pt-BR"/>
        </w:rPr>
      </w:pPr>
      <w:r w:rsidRPr="00D5464D">
        <w:rPr>
          <w:lang w:val="pt-BR"/>
        </w:rPr>
        <w:t>No âmbito</w:t>
      </w:r>
      <w:r w:rsidR="00207197" w:rsidRPr="00D5464D">
        <w:rPr>
          <w:lang w:val="pt-BR"/>
        </w:rPr>
        <w:t xml:space="preserve"> regional,</w:t>
      </w:r>
      <w:r w:rsidR="00EF7281" w:rsidRPr="00D5464D">
        <w:rPr>
          <w:lang w:val="pt-BR"/>
        </w:rPr>
        <w:t xml:space="preserve"> </w:t>
      </w:r>
      <w:r w:rsidR="001A4B58" w:rsidRPr="00D5464D">
        <w:rPr>
          <w:lang w:val="pt-BR"/>
        </w:rPr>
        <w:t>a Convenção Europeia de Direitos do Homem</w:t>
      </w:r>
      <w:r w:rsidR="008000DD" w:rsidRPr="00D5464D">
        <w:rPr>
          <w:lang w:val="pt-BR"/>
        </w:rPr>
        <w:t>,</w:t>
      </w:r>
      <w:r w:rsidR="00207197" w:rsidRPr="00D5464D">
        <w:rPr>
          <w:lang w:val="pt-BR"/>
        </w:rPr>
        <w:t xml:space="preserve"> de 1950</w:t>
      </w:r>
      <w:r w:rsidR="008000DD" w:rsidRPr="00D5464D">
        <w:rPr>
          <w:lang w:val="pt-BR"/>
        </w:rPr>
        <w:t>,</w:t>
      </w:r>
      <w:r w:rsidR="00207197" w:rsidRPr="00D5464D">
        <w:rPr>
          <w:lang w:val="pt-BR"/>
        </w:rPr>
        <w:t xml:space="preserve"> </w:t>
      </w:r>
      <w:r w:rsidRPr="00D5464D">
        <w:rPr>
          <w:lang w:val="pt-BR"/>
        </w:rPr>
        <w:t>dispõe</w:t>
      </w:r>
      <w:r w:rsidR="002C330E" w:rsidRPr="00D5464D">
        <w:rPr>
          <w:lang w:val="pt-BR"/>
        </w:rPr>
        <w:t xml:space="preserve"> </w:t>
      </w:r>
      <w:r w:rsidR="004B01BE" w:rsidRPr="00D5464D">
        <w:rPr>
          <w:lang w:val="pt-BR"/>
        </w:rPr>
        <w:t xml:space="preserve">sobre </w:t>
      </w:r>
      <w:r w:rsidR="002C330E" w:rsidRPr="00D5464D">
        <w:rPr>
          <w:lang w:val="pt-BR"/>
        </w:rPr>
        <w:t>a proibição</w:t>
      </w:r>
      <w:r w:rsidRPr="00D5464D">
        <w:rPr>
          <w:lang w:val="pt-BR"/>
        </w:rPr>
        <w:t xml:space="preserve"> da </w:t>
      </w:r>
      <w:r w:rsidR="000B376D" w:rsidRPr="00D5464D">
        <w:rPr>
          <w:lang w:val="pt-BR"/>
        </w:rPr>
        <w:t>escravidão</w:t>
      </w:r>
      <w:r w:rsidR="00207197" w:rsidRPr="00D5464D">
        <w:rPr>
          <w:lang w:val="pt-BR"/>
        </w:rPr>
        <w:t>,</w:t>
      </w:r>
      <w:r w:rsidRPr="00D5464D">
        <w:rPr>
          <w:lang w:val="pt-BR"/>
        </w:rPr>
        <w:t xml:space="preserve"> da </w:t>
      </w:r>
      <w:r w:rsidR="000B376D" w:rsidRPr="00D5464D">
        <w:rPr>
          <w:lang w:val="pt-BR"/>
        </w:rPr>
        <w:t>servidão</w:t>
      </w:r>
      <w:r w:rsidR="00E045D9" w:rsidRPr="00D5464D">
        <w:rPr>
          <w:lang w:val="pt-BR"/>
        </w:rPr>
        <w:t xml:space="preserve"> e </w:t>
      </w:r>
      <w:r w:rsidRPr="00D5464D">
        <w:rPr>
          <w:lang w:val="pt-BR"/>
        </w:rPr>
        <w:t xml:space="preserve">do </w:t>
      </w:r>
      <w:r w:rsidR="00E045D9" w:rsidRPr="00D5464D">
        <w:rPr>
          <w:lang w:val="pt-BR"/>
        </w:rPr>
        <w:t>trabalho</w:t>
      </w:r>
      <w:r w:rsidR="001B63D0" w:rsidRPr="00D5464D">
        <w:rPr>
          <w:lang w:val="pt-BR"/>
        </w:rPr>
        <w:t xml:space="preserve"> </w:t>
      </w:r>
      <w:r w:rsidR="00230C71" w:rsidRPr="00D5464D">
        <w:rPr>
          <w:lang w:val="pt-BR"/>
        </w:rPr>
        <w:t>forçado</w:t>
      </w:r>
      <w:r w:rsidR="00207197" w:rsidRPr="00D5464D">
        <w:rPr>
          <w:lang w:val="pt-BR"/>
        </w:rPr>
        <w:t xml:space="preserve"> de </w:t>
      </w:r>
      <w:r w:rsidR="002C330E" w:rsidRPr="00D5464D">
        <w:rPr>
          <w:lang w:val="pt-BR"/>
        </w:rPr>
        <w:t>maneira</w:t>
      </w:r>
      <w:r w:rsidR="00207197" w:rsidRPr="00D5464D">
        <w:rPr>
          <w:lang w:val="pt-BR"/>
        </w:rPr>
        <w:t xml:space="preserve"> genérica</w:t>
      </w:r>
      <w:r w:rsidRPr="00D5464D">
        <w:rPr>
          <w:lang w:val="pt-BR"/>
        </w:rPr>
        <w:t xml:space="preserve"> em</w:t>
      </w:r>
      <w:r w:rsidR="002C330E" w:rsidRPr="00D5464D">
        <w:rPr>
          <w:lang w:val="pt-BR"/>
        </w:rPr>
        <w:t xml:space="preserve"> seu artigo </w:t>
      </w:r>
      <w:r w:rsidR="00207197" w:rsidRPr="00D5464D">
        <w:rPr>
          <w:lang w:val="pt-BR"/>
        </w:rPr>
        <w:t>4</w:t>
      </w:r>
      <w:r w:rsidR="00EF7281" w:rsidRPr="00D5464D">
        <w:rPr>
          <w:lang w:val="pt-BR"/>
        </w:rPr>
        <w:t>.</w:t>
      </w:r>
      <w:r w:rsidR="00207197" w:rsidRPr="00D5464D">
        <w:rPr>
          <w:rStyle w:val="Refdenotaalpie"/>
          <w:lang w:val="pt-BR"/>
        </w:rPr>
        <w:footnoteReference w:id="372"/>
      </w:r>
      <w:r w:rsidR="00C91CB1" w:rsidRPr="00D5464D">
        <w:rPr>
          <w:lang w:val="pt-BR"/>
        </w:rPr>
        <w:t xml:space="preserve"> Por </w:t>
      </w:r>
      <w:r w:rsidRPr="00D5464D">
        <w:rPr>
          <w:lang w:val="pt-BR"/>
        </w:rPr>
        <w:t>sua vez</w:t>
      </w:r>
      <w:r w:rsidR="00207197" w:rsidRPr="00D5464D">
        <w:rPr>
          <w:lang w:val="pt-BR"/>
        </w:rPr>
        <w:t>,</w:t>
      </w:r>
      <w:r w:rsidR="002C330E" w:rsidRPr="00D5464D">
        <w:rPr>
          <w:lang w:val="pt-BR"/>
        </w:rPr>
        <w:t xml:space="preserve"> a </w:t>
      </w:r>
      <w:r w:rsidR="00207197" w:rsidRPr="00D5464D">
        <w:rPr>
          <w:lang w:val="pt-BR"/>
        </w:rPr>
        <w:t xml:space="preserve">Carta Africana de </w:t>
      </w:r>
      <w:r w:rsidRPr="00D5464D">
        <w:rPr>
          <w:lang w:val="pt-BR"/>
        </w:rPr>
        <w:t>Direito</w:t>
      </w:r>
      <w:r w:rsidR="00207197" w:rsidRPr="00D5464D">
        <w:rPr>
          <w:lang w:val="pt-BR"/>
        </w:rPr>
        <w:t>s Humanos</w:t>
      </w:r>
      <w:r w:rsidR="00E045D9" w:rsidRPr="00D5464D">
        <w:rPr>
          <w:lang w:val="pt-BR"/>
        </w:rPr>
        <w:t xml:space="preserve"> e </w:t>
      </w:r>
      <w:r w:rsidRPr="00D5464D">
        <w:rPr>
          <w:lang w:val="pt-BR"/>
        </w:rPr>
        <w:t xml:space="preserve">dos </w:t>
      </w:r>
      <w:r w:rsidR="002C330E" w:rsidRPr="00D5464D">
        <w:rPr>
          <w:lang w:val="pt-BR"/>
        </w:rPr>
        <w:t>Povo</w:t>
      </w:r>
      <w:r w:rsidR="00207197" w:rsidRPr="00D5464D">
        <w:rPr>
          <w:lang w:val="pt-BR"/>
        </w:rPr>
        <w:t>s</w:t>
      </w:r>
      <w:r w:rsidR="008000DD" w:rsidRPr="00D5464D">
        <w:rPr>
          <w:lang w:val="pt-BR"/>
        </w:rPr>
        <w:t>,</w:t>
      </w:r>
      <w:r w:rsidR="00207197" w:rsidRPr="00D5464D">
        <w:rPr>
          <w:lang w:val="pt-BR"/>
        </w:rPr>
        <w:t xml:space="preserve"> de 1981</w:t>
      </w:r>
      <w:r w:rsidR="008000DD" w:rsidRPr="00D5464D">
        <w:rPr>
          <w:lang w:val="pt-BR"/>
        </w:rPr>
        <w:t>,</w:t>
      </w:r>
      <w:r w:rsidR="00207197" w:rsidRPr="00D5464D">
        <w:rPr>
          <w:lang w:val="pt-BR"/>
        </w:rPr>
        <w:t xml:space="preserve"> </w:t>
      </w:r>
      <w:r w:rsidR="002C330E" w:rsidRPr="00D5464D">
        <w:rPr>
          <w:lang w:val="pt-BR"/>
        </w:rPr>
        <w:t xml:space="preserve">proíbe a </w:t>
      </w:r>
      <w:r w:rsidR="000B376D" w:rsidRPr="00D5464D">
        <w:rPr>
          <w:lang w:val="pt-BR"/>
        </w:rPr>
        <w:t>escravidão</w:t>
      </w:r>
      <w:r w:rsidRPr="00D5464D">
        <w:rPr>
          <w:lang w:val="pt-BR"/>
        </w:rPr>
        <w:t xml:space="preserve"> em </w:t>
      </w:r>
      <w:r w:rsidR="0032139C" w:rsidRPr="00D5464D">
        <w:rPr>
          <w:lang w:val="pt-BR"/>
        </w:rPr>
        <w:t>conjunto</w:t>
      </w:r>
      <w:r w:rsidRPr="00D5464D">
        <w:rPr>
          <w:lang w:val="pt-BR"/>
        </w:rPr>
        <w:t xml:space="preserve"> com </w:t>
      </w:r>
      <w:r w:rsidR="002C330E" w:rsidRPr="00D5464D">
        <w:rPr>
          <w:lang w:val="pt-BR"/>
        </w:rPr>
        <w:t>outra</w:t>
      </w:r>
      <w:r w:rsidR="00207197" w:rsidRPr="00D5464D">
        <w:rPr>
          <w:lang w:val="pt-BR"/>
        </w:rPr>
        <w:t xml:space="preserve">s formas de </w:t>
      </w:r>
      <w:r w:rsidR="00230C71" w:rsidRPr="00D5464D">
        <w:rPr>
          <w:lang w:val="pt-BR"/>
        </w:rPr>
        <w:t>exploração</w:t>
      </w:r>
      <w:r w:rsidR="00E045D9" w:rsidRPr="00D5464D">
        <w:rPr>
          <w:lang w:val="pt-BR"/>
        </w:rPr>
        <w:t xml:space="preserve"> e </w:t>
      </w:r>
      <w:r w:rsidR="00207197" w:rsidRPr="00D5464D">
        <w:rPr>
          <w:lang w:val="pt-BR"/>
        </w:rPr>
        <w:t>degrada</w:t>
      </w:r>
      <w:r w:rsidRPr="00D5464D">
        <w:rPr>
          <w:lang w:val="pt-BR"/>
        </w:rPr>
        <w:t>ção</w:t>
      </w:r>
      <w:r w:rsidR="00207197" w:rsidRPr="00D5464D">
        <w:rPr>
          <w:lang w:val="pt-BR"/>
        </w:rPr>
        <w:t xml:space="preserve"> </w:t>
      </w:r>
      <w:r w:rsidRPr="00D5464D">
        <w:rPr>
          <w:lang w:val="pt-BR"/>
        </w:rPr>
        <w:t xml:space="preserve">do </w:t>
      </w:r>
      <w:r w:rsidR="002C330E" w:rsidRPr="00D5464D">
        <w:rPr>
          <w:lang w:val="pt-BR"/>
        </w:rPr>
        <w:t>homem</w:t>
      </w:r>
      <w:r w:rsidR="00207197" w:rsidRPr="00D5464D">
        <w:rPr>
          <w:lang w:val="pt-BR"/>
        </w:rPr>
        <w:t>, como</w:t>
      </w:r>
      <w:r w:rsidRPr="00D5464D">
        <w:rPr>
          <w:lang w:val="pt-BR"/>
        </w:rPr>
        <w:t xml:space="preserve"> o </w:t>
      </w:r>
      <w:r w:rsidR="00EF7281" w:rsidRPr="00D5464D">
        <w:rPr>
          <w:lang w:val="pt-BR"/>
        </w:rPr>
        <w:t>tráfico</w:t>
      </w:r>
      <w:r w:rsidR="00207197" w:rsidRPr="00D5464D">
        <w:rPr>
          <w:lang w:val="pt-BR"/>
        </w:rPr>
        <w:t xml:space="preserve"> de </w:t>
      </w:r>
      <w:r w:rsidR="004F1CC2" w:rsidRPr="00D5464D">
        <w:rPr>
          <w:lang w:val="pt-BR"/>
        </w:rPr>
        <w:t>escravo</w:t>
      </w:r>
      <w:r w:rsidR="00207197" w:rsidRPr="00D5464D">
        <w:rPr>
          <w:lang w:val="pt-BR"/>
        </w:rPr>
        <w:t>s,</w:t>
      </w:r>
      <w:r w:rsidR="002C330E" w:rsidRPr="00D5464D">
        <w:rPr>
          <w:lang w:val="pt-BR"/>
        </w:rPr>
        <w:t xml:space="preserve"> a </w:t>
      </w:r>
      <w:r w:rsidR="00207197" w:rsidRPr="00D5464D">
        <w:rPr>
          <w:lang w:val="pt-BR"/>
        </w:rPr>
        <w:t>tortura,</w:t>
      </w:r>
      <w:r w:rsidRPr="00D5464D">
        <w:rPr>
          <w:lang w:val="pt-BR"/>
        </w:rPr>
        <w:t xml:space="preserve"> </w:t>
      </w:r>
      <w:r w:rsidR="00EF7281" w:rsidRPr="00D5464D">
        <w:rPr>
          <w:lang w:val="pt-BR"/>
        </w:rPr>
        <w:t xml:space="preserve">as penas e </w:t>
      </w:r>
      <w:r w:rsidR="00A1358C" w:rsidRPr="00D5464D">
        <w:rPr>
          <w:lang w:val="pt-BR"/>
        </w:rPr>
        <w:t>tratamento</w:t>
      </w:r>
      <w:r w:rsidR="00EF7281" w:rsidRPr="00D5464D">
        <w:rPr>
          <w:lang w:val="pt-BR"/>
        </w:rPr>
        <w:t>s</w:t>
      </w:r>
      <w:r w:rsidR="00A1358C" w:rsidRPr="00D5464D">
        <w:rPr>
          <w:lang w:val="pt-BR"/>
        </w:rPr>
        <w:t xml:space="preserve"> </w:t>
      </w:r>
      <w:r w:rsidR="00EF7281" w:rsidRPr="00D5464D">
        <w:rPr>
          <w:lang w:val="pt-BR"/>
        </w:rPr>
        <w:t>cruéis</w:t>
      </w:r>
      <w:r w:rsidR="00207197" w:rsidRPr="00D5464D">
        <w:rPr>
          <w:lang w:val="pt-BR"/>
        </w:rPr>
        <w:t xml:space="preserve">, </w:t>
      </w:r>
      <w:r w:rsidR="00350187" w:rsidRPr="00D5464D">
        <w:rPr>
          <w:lang w:val="pt-BR"/>
        </w:rPr>
        <w:t>desumano</w:t>
      </w:r>
      <w:r w:rsidR="00EF7281" w:rsidRPr="00D5464D">
        <w:rPr>
          <w:lang w:val="pt-BR"/>
        </w:rPr>
        <w:t>s</w:t>
      </w:r>
      <w:r w:rsidR="00207197" w:rsidRPr="00D5464D">
        <w:rPr>
          <w:lang w:val="pt-BR"/>
        </w:rPr>
        <w:t xml:space="preserve"> o</w:t>
      </w:r>
      <w:r w:rsidR="00EF7281" w:rsidRPr="00D5464D">
        <w:rPr>
          <w:lang w:val="pt-BR"/>
        </w:rPr>
        <w:t>u</w:t>
      </w:r>
      <w:r w:rsidR="00207197" w:rsidRPr="00D5464D">
        <w:rPr>
          <w:lang w:val="pt-BR"/>
        </w:rPr>
        <w:t xml:space="preserve"> degradante</w:t>
      </w:r>
      <w:r w:rsidR="00EF7281" w:rsidRPr="00D5464D">
        <w:rPr>
          <w:lang w:val="pt-BR"/>
        </w:rPr>
        <w:t>s.</w:t>
      </w:r>
      <w:r w:rsidR="00207197" w:rsidRPr="00D5464D">
        <w:rPr>
          <w:rStyle w:val="Refdenotaalpie"/>
          <w:lang w:val="pt-BR"/>
        </w:rPr>
        <w:footnoteReference w:id="373"/>
      </w:r>
      <w:r w:rsidR="00207197" w:rsidRPr="00D5464D">
        <w:rPr>
          <w:lang w:val="pt-BR"/>
        </w:rPr>
        <w:t xml:space="preserve"> </w:t>
      </w:r>
    </w:p>
    <w:p w14:paraId="06256DB2" w14:textId="77777777" w:rsidR="00DE3E58" w:rsidRPr="00D5464D" w:rsidRDefault="00DE3E58" w:rsidP="00DE3E58">
      <w:pPr>
        <w:pStyle w:val="Prrafodelista"/>
        <w:ind w:left="0"/>
        <w:contextualSpacing w:val="0"/>
        <w:rPr>
          <w:lang w:val="pt-BR"/>
        </w:rPr>
      </w:pPr>
    </w:p>
    <w:p w14:paraId="64B923BF" w14:textId="112CD988" w:rsidR="00207197" w:rsidRPr="00D5464D" w:rsidRDefault="00470ADC" w:rsidP="00F37DC4">
      <w:pPr>
        <w:pStyle w:val="Prrafodelista"/>
        <w:numPr>
          <w:ilvl w:val="0"/>
          <w:numId w:val="1"/>
        </w:numPr>
        <w:contextualSpacing w:val="0"/>
        <w:rPr>
          <w:lang w:val="pt-BR"/>
        </w:rPr>
      </w:pPr>
      <w:r w:rsidRPr="00D5464D">
        <w:rPr>
          <w:lang w:val="pt-BR"/>
        </w:rPr>
        <w:t xml:space="preserve">A </w:t>
      </w:r>
      <w:r w:rsidR="00207197" w:rsidRPr="00D5464D">
        <w:rPr>
          <w:lang w:val="pt-BR"/>
        </w:rPr>
        <w:t>Organiza</w:t>
      </w:r>
      <w:r w:rsidRPr="00D5464D">
        <w:rPr>
          <w:lang w:val="pt-BR"/>
        </w:rPr>
        <w:t>ção</w:t>
      </w:r>
      <w:r w:rsidR="00207197" w:rsidRPr="00D5464D">
        <w:rPr>
          <w:lang w:val="pt-BR"/>
        </w:rPr>
        <w:t xml:space="preserve"> Internacional </w:t>
      </w:r>
      <w:r w:rsidRPr="00D5464D">
        <w:rPr>
          <w:lang w:val="pt-BR"/>
        </w:rPr>
        <w:t xml:space="preserve">do </w:t>
      </w:r>
      <w:r w:rsidR="00E045D9" w:rsidRPr="00D5464D">
        <w:rPr>
          <w:lang w:val="pt-BR"/>
        </w:rPr>
        <w:t>Trabalho</w:t>
      </w:r>
      <w:r w:rsidR="00207197" w:rsidRPr="00D5464D">
        <w:rPr>
          <w:lang w:val="pt-BR"/>
        </w:rPr>
        <w:t xml:space="preserve"> </w:t>
      </w:r>
      <w:r w:rsidR="00155B0D" w:rsidRPr="00D5464D">
        <w:rPr>
          <w:lang w:val="pt-BR"/>
        </w:rPr>
        <w:t xml:space="preserve">(OIT) </w:t>
      </w:r>
      <w:r w:rsidR="00E045D9" w:rsidRPr="00D5464D">
        <w:rPr>
          <w:lang w:val="pt-BR"/>
        </w:rPr>
        <w:t>também</w:t>
      </w:r>
      <w:r w:rsidR="00207197" w:rsidRPr="00D5464D">
        <w:rPr>
          <w:lang w:val="pt-BR"/>
        </w:rPr>
        <w:t xml:space="preserve"> se </w:t>
      </w:r>
      <w:r w:rsidR="002C330E" w:rsidRPr="00D5464D">
        <w:rPr>
          <w:lang w:val="pt-BR"/>
        </w:rPr>
        <w:t>referiu</w:t>
      </w:r>
      <w:r w:rsidRPr="00D5464D">
        <w:rPr>
          <w:lang w:val="pt-BR"/>
        </w:rPr>
        <w:t xml:space="preserve"> à </w:t>
      </w:r>
      <w:r w:rsidR="002C330E" w:rsidRPr="00D5464D">
        <w:rPr>
          <w:lang w:val="pt-BR"/>
        </w:rPr>
        <w:t>proibição</w:t>
      </w:r>
      <w:r w:rsidRPr="00D5464D">
        <w:rPr>
          <w:lang w:val="pt-BR"/>
        </w:rPr>
        <w:t xml:space="preserve"> da </w:t>
      </w:r>
      <w:r w:rsidR="000B376D" w:rsidRPr="00D5464D">
        <w:rPr>
          <w:lang w:val="pt-BR"/>
        </w:rPr>
        <w:t>escravidão</w:t>
      </w:r>
      <w:r w:rsidR="00E045D9" w:rsidRPr="00D5464D">
        <w:rPr>
          <w:lang w:val="pt-BR"/>
        </w:rPr>
        <w:t xml:space="preserve"> e </w:t>
      </w:r>
      <w:r w:rsidR="00230C71" w:rsidRPr="00D5464D">
        <w:rPr>
          <w:lang w:val="pt-BR"/>
        </w:rPr>
        <w:t>suas práticas</w:t>
      </w:r>
      <w:r w:rsidR="00207197" w:rsidRPr="00D5464D">
        <w:rPr>
          <w:lang w:val="pt-BR"/>
        </w:rPr>
        <w:t xml:space="preserve"> </w:t>
      </w:r>
      <w:r w:rsidR="006665EF" w:rsidRPr="00D5464D">
        <w:rPr>
          <w:lang w:val="pt-BR"/>
        </w:rPr>
        <w:t>análogas</w:t>
      </w:r>
      <w:r w:rsidR="00350187" w:rsidRPr="00D5464D">
        <w:rPr>
          <w:lang w:val="pt-BR"/>
        </w:rPr>
        <w:t xml:space="preserve"> </w:t>
      </w:r>
      <w:r w:rsidRPr="00D5464D">
        <w:rPr>
          <w:lang w:val="pt-BR"/>
        </w:rPr>
        <w:t>através</w:t>
      </w:r>
      <w:r w:rsidR="00207197" w:rsidRPr="00D5464D">
        <w:rPr>
          <w:lang w:val="pt-BR"/>
        </w:rPr>
        <w:t xml:space="preserve"> de su</w:t>
      </w:r>
      <w:r w:rsidR="00DD6473" w:rsidRPr="00D5464D">
        <w:rPr>
          <w:lang w:val="pt-BR"/>
        </w:rPr>
        <w:t>a</w:t>
      </w:r>
      <w:r w:rsidRPr="00D5464D">
        <w:rPr>
          <w:lang w:val="pt-BR"/>
        </w:rPr>
        <w:t xml:space="preserve"> </w:t>
      </w:r>
      <w:r w:rsidR="00DD6473" w:rsidRPr="00D5464D">
        <w:rPr>
          <w:lang w:val="pt-BR"/>
        </w:rPr>
        <w:t>Convenção nº</w:t>
      </w:r>
      <w:r w:rsidR="00A1358C" w:rsidRPr="00D5464D">
        <w:rPr>
          <w:lang w:val="pt-BR"/>
        </w:rPr>
        <w:t xml:space="preserve"> </w:t>
      </w:r>
      <w:r w:rsidR="00207197" w:rsidRPr="00D5464D">
        <w:rPr>
          <w:lang w:val="pt-BR"/>
        </w:rPr>
        <w:t>182, de 1999, sobre</w:t>
      </w:r>
      <w:r w:rsidR="002C330E" w:rsidRPr="00D5464D">
        <w:rPr>
          <w:lang w:val="pt-BR"/>
        </w:rPr>
        <w:t xml:space="preserve"> a Proibição</w:t>
      </w:r>
      <w:r w:rsidRPr="00D5464D">
        <w:rPr>
          <w:lang w:val="pt-BR"/>
        </w:rPr>
        <w:t xml:space="preserve"> das</w:t>
      </w:r>
      <w:r w:rsidR="00C91CB1" w:rsidRPr="00D5464D">
        <w:rPr>
          <w:lang w:val="pt-BR"/>
        </w:rPr>
        <w:t xml:space="preserve"> </w:t>
      </w:r>
      <w:r w:rsidR="00DD6473" w:rsidRPr="00D5464D">
        <w:rPr>
          <w:lang w:val="pt-BR"/>
        </w:rPr>
        <w:t>P</w:t>
      </w:r>
      <w:r w:rsidR="00C91CB1" w:rsidRPr="00D5464D">
        <w:rPr>
          <w:lang w:val="pt-BR"/>
        </w:rPr>
        <w:t>ior</w:t>
      </w:r>
      <w:r w:rsidR="00207197" w:rsidRPr="00D5464D">
        <w:rPr>
          <w:lang w:val="pt-BR"/>
        </w:rPr>
        <w:t xml:space="preserve">es Formas de </w:t>
      </w:r>
      <w:r w:rsidR="00E045D9" w:rsidRPr="00D5464D">
        <w:rPr>
          <w:lang w:val="pt-BR"/>
        </w:rPr>
        <w:t>Trabalho</w:t>
      </w:r>
      <w:r w:rsidR="00207197" w:rsidRPr="00D5464D">
        <w:rPr>
          <w:lang w:val="pt-BR"/>
        </w:rPr>
        <w:t xml:space="preserve"> Infantil</w:t>
      </w:r>
      <w:r w:rsidR="00E045D9" w:rsidRPr="00D5464D">
        <w:rPr>
          <w:lang w:val="pt-BR"/>
        </w:rPr>
        <w:t xml:space="preserve"> e </w:t>
      </w:r>
      <w:r w:rsidR="002C330E" w:rsidRPr="00D5464D">
        <w:rPr>
          <w:lang w:val="pt-BR"/>
        </w:rPr>
        <w:t xml:space="preserve">a </w:t>
      </w:r>
      <w:r w:rsidR="00737270" w:rsidRPr="00D5464D">
        <w:rPr>
          <w:lang w:val="pt-BR"/>
        </w:rPr>
        <w:t>Ação</w:t>
      </w:r>
      <w:r w:rsidR="00207197" w:rsidRPr="00D5464D">
        <w:rPr>
          <w:lang w:val="pt-BR"/>
        </w:rPr>
        <w:t xml:space="preserve"> </w:t>
      </w:r>
      <w:r w:rsidR="002C330E" w:rsidRPr="00D5464D">
        <w:rPr>
          <w:lang w:val="pt-BR"/>
        </w:rPr>
        <w:t>Imediat</w:t>
      </w:r>
      <w:r w:rsidR="00207197" w:rsidRPr="00D5464D">
        <w:rPr>
          <w:lang w:val="pt-BR"/>
        </w:rPr>
        <w:t>a para su</w:t>
      </w:r>
      <w:r w:rsidR="00DD6473" w:rsidRPr="00D5464D">
        <w:rPr>
          <w:lang w:val="pt-BR"/>
        </w:rPr>
        <w:t>a</w:t>
      </w:r>
      <w:r w:rsidR="00207197" w:rsidRPr="00D5464D">
        <w:rPr>
          <w:lang w:val="pt-BR"/>
        </w:rPr>
        <w:t xml:space="preserve"> Elimina</w:t>
      </w:r>
      <w:r w:rsidRPr="00D5464D">
        <w:rPr>
          <w:lang w:val="pt-BR"/>
        </w:rPr>
        <w:t>ção</w:t>
      </w:r>
      <w:r w:rsidR="00DD6473" w:rsidRPr="00D5464D">
        <w:rPr>
          <w:lang w:val="pt-BR"/>
        </w:rPr>
        <w:t>.</w:t>
      </w:r>
      <w:r w:rsidR="00207197" w:rsidRPr="00D5464D">
        <w:rPr>
          <w:rStyle w:val="Refdenotaalpie"/>
          <w:lang w:val="pt-BR"/>
        </w:rPr>
        <w:footnoteReference w:id="374"/>
      </w:r>
      <w:r w:rsidR="00A87AF5" w:rsidRPr="00D5464D">
        <w:rPr>
          <w:lang w:val="pt-BR"/>
        </w:rPr>
        <w:t xml:space="preserve"> </w:t>
      </w:r>
      <w:r w:rsidRPr="00D5464D">
        <w:rPr>
          <w:lang w:val="pt-BR"/>
        </w:rPr>
        <w:t>Ademais</w:t>
      </w:r>
      <w:r w:rsidR="00A87AF5" w:rsidRPr="00D5464D">
        <w:rPr>
          <w:lang w:val="pt-BR"/>
        </w:rPr>
        <w:t>,</w:t>
      </w:r>
      <w:r w:rsidR="002C330E" w:rsidRPr="00D5464D">
        <w:rPr>
          <w:lang w:val="pt-BR"/>
        </w:rPr>
        <w:t xml:space="preserve"> a </w:t>
      </w:r>
      <w:r w:rsidR="00A87AF5" w:rsidRPr="00D5464D">
        <w:rPr>
          <w:lang w:val="pt-BR"/>
        </w:rPr>
        <w:t xml:space="preserve">OIT </w:t>
      </w:r>
      <w:r w:rsidR="00A760C9" w:rsidRPr="00D5464D">
        <w:rPr>
          <w:lang w:val="pt-BR"/>
        </w:rPr>
        <w:t xml:space="preserve">se </w:t>
      </w:r>
      <w:r w:rsidR="002C330E" w:rsidRPr="00D5464D">
        <w:rPr>
          <w:lang w:val="pt-BR"/>
        </w:rPr>
        <w:t>referiu</w:t>
      </w:r>
      <w:r w:rsidR="00A760C9" w:rsidRPr="00D5464D">
        <w:rPr>
          <w:lang w:val="pt-BR"/>
        </w:rPr>
        <w:t xml:space="preserve"> </w:t>
      </w:r>
      <w:r w:rsidRPr="00D5464D">
        <w:rPr>
          <w:lang w:val="pt-BR"/>
        </w:rPr>
        <w:t>expressa</w:t>
      </w:r>
      <w:r w:rsidR="00A760C9" w:rsidRPr="00D5464D">
        <w:rPr>
          <w:lang w:val="pt-BR"/>
        </w:rPr>
        <w:t>mente</w:t>
      </w:r>
      <w:r w:rsidRPr="00D5464D">
        <w:rPr>
          <w:lang w:val="pt-BR"/>
        </w:rPr>
        <w:t xml:space="preserve"> à </w:t>
      </w:r>
      <w:r w:rsidR="00FB26F8" w:rsidRPr="00D5464D">
        <w:rPr>
          <w:lang w:val="pt-BR"/>
        </w:rPr>
        <w:t>Convenção Suplementar de 1956</w:t>
      </w:r>
      <w:r w:rsidR="00155B0D" w:rsidRPr="00D5464D">
        <w:rPr>
          <w:lang w:val="pt-BR"/>
        </w:rPr>
        <w:t>,</w:t>
      </w:r>
      <w:r w:rsidRPr="00D5464D">
        <w:rPr>
          <w:lang w:val="pt-BR"/>
        </w:rPr>
        <w:t xml:space="preserve"> ao </w:t>
      </w:r>
      <w:r w:rsidR="00A760C9" w:rsidRPr="00D5464D">
        <w:rPr>
          <w:lang w:val="pt-BR"/>
        </w:rPr>
        <w:t xml:space="preserve">considerar que </w:t>
      </w:r>
      <w:r w:rsidRPr="00D5464D">
        <w:rPr>
          <w:lang w:val="pt-BR"/>
        </w:rPr>
        <w:t>“</w:t>
      </w:r>
      <w:r w:rsidR="003C3E89" w:rsidRPr="00D5464D">
        <w:rPr>
          <w:lang w:val="pt-BR"/>
        </w:rPr>
        <w:t>o trabalho forçado ou obrigatório [pode vir a produzir] condições análogas a escravidão</w:t>
      </w:r>
      <w:r w:rsidR="00A760C9" w:rsidRPr="00D5464D">
        <w:rPr>
          <w:lang w:val="pt-BR"/>
        </w:rPr>
        <w:t>”</w:t>
      </w:r>
      <w:r w:rsidR="00155B0D" w:rsidRPr="00D5464D">
        <w:rPr>
          <w:lang w:val="pt-BR"/>
        </w:rPr>
        <w:t>,</w:t>
      </w:r>
      <w:r w:rsidRPr="00D5464D">
        <w:rPr>
          <w:lang w:val="pt-BR"/>
        </w:rPr>
        <w:t xml:space="preserve"> ao </w:t>
      </w:r>
      <w:r w:rsidR="00A760C9" w:rsidRPr="00D5464D">
        <w:rPr>
          <w:lang w:val="pt-BR"/>
        </w:rPr>
        <w:t xml:space="preserve">momento de </w:t>
      </w:r>
      <w:r w:rsidR="00C91CB1" w:rsidRPr="00D5464D">
        <w:rPr>
          <w:lang w:val="pt-BR"/>
        </w:rPr>
        <w:t>obrigar</w:t>
      </w:r>
      <w:r w:rsidR="00C143A1" w:rsidRPr="00D5464D">
        <w:rPr>
          <w:lang w:val="pt-BR"/>
        </w:rPr>
        <w:t xml:space="preserve"> a </w:t>
      </w:r>
      <w:r w:rsidR="00481124" w:rsidRPr="00D5464D">
        <w:rPr>
          <w:lang w:val="pt-BR"/>
        </w:rPr>
        <w:t>supressão d</w:t>
      </w:r>
      <w:r w:rsidRPr="00D5464D">
        <w:rPr>
          <w:lang w:val="pt-BR"/>
        </w:rPr>
        <w:t xml:space="preserve">o </w:t>
      </w:r>
      <w:r w:rsidR="00E045D9" w:rsidRPr="00D5464D">
        <w:rPr>
          <w:lang w:val="pt-BR"/>
        </w:rPr>
        <w:t>trabalho</w:t>
      </w:r>
      <w:r w:rsidR="00C143A1" w:rsidRPr="00D5464D">
        <w:rPr>
          <w:lang w:val="pt-BR"/>
        </w:rPr>
        <w:t xml:space="preserve"> </w:t>
      </w:r>
      <w:r w:rsidR="00230C71" w:rsidRPr="00D5464D">
        <w:rPr>
          <w:lang w:val="pt-BR"/>
        </w:rPr>
        <w:t>forçado</w:t>
      </w:r>
      <w:r w:rsidR="00555BC8" w:rsidRPr="00D5464D">
        <w:rPr>
          <w:lang w:val="pt-BR"/>
        </w:rPr>
        <w:t>.</w:t>
      </w:r>
      <w:r w:rsidR="00A87AF5" w:rsidRPr="00D5464D">
        <w:rPr>
          <w:rStyle w:val="Refdenotaalpie"/>
          <w:lang w:val="pt-BR"/>
        </w:rPr>
        <w:footnoteReference w:id="375"/>
      </w:r>
    </w:p>
    <w:p w14:paraId="2D9D4EA6" w14:textId="77777777" w:rsidR="00207197" w:rsidRPr="00D5464D" w:rsidRDefault="00207197" w:rsidP="00140440">
      <w:pPr>
        <w:jc w:val="both"/>
        <w:rPr>
          <w:lang w:val="pt-BR"/>
        </w:rPr>
      </w:pPr>
    </w:p>
    <w:p w14:paraId="06DEFE3D" w14:textId="576CB382" w:rsidR="00207197" w:rsidRPr="00D5464D" w:rsidRDefault="00555BC8" w:rsidP="00F37DC4">
      <w:pPr>
        <w:pStyle w:val="Prrafodelista"/>
        <w:numPr>
          <w:ilvl w:val="0"/>
          <w:numId w:val="1"/>
        </w:numPr>
        <w:contextualSpacing w:val="0"/>
        <w:rPr>
          <w:lang w:val="pt-BR"/>
        </w:rPr>
      </w:pPr>
      <w:r w:rsidRPr="00D5464D">
        <w:rPr>
          <w:lang w:val="pt-BR"/>
        </w:rPr>
        <w:t>Além</w:t>
      </w:r>
      <w:r w:rsidR="00470ADC" w:rsidRPr="00D5464D">
        <w:rPr>
          <w:lang w:val="pt-BR"/>
        </w:rPr>
        <w:t xml:space="preserve"> dos </w:t>
      </w:r>
      <w:r w:rsidR="00207197" w:rsidRPr="00D5464D">
        <w:rPr>
          <w:lang w:val="pt-BR"/>
        </w:rPr>
        <w:t xml:space="preserve">tratados de </w:t>
      </w:r>
      <w:r w:rsidR="00470ADC" w:rsidRPr="00D5464D">
        <w:rPr>
          <w:lang w:val="pt-BR"/>
        </w:rPr>
        <w:t>âmbito</w:t>
      </w:r>
      <w:r w:rsidR="00207197" w:rsidRPr="00D5464D">
        <w:rPr>
          <w:lang w:val="pt-BR"/>
        </w:rPr>
        <w:t xml:space="preserve"> regional</w:t>
      </w:r>
      <w:r w:rsidR="00E045D9" w:rsidRPr="00D5464D">
        <w:rPr>
          <w:lang w:val="pt-BR"/>
        </w:rPr>
        <w:t xml:space="preserve"> e </w:t>
      </w:r>
      <w:r w:rsidR="00207197" w:rsidRPr="00D5464D">
        <w:rPr>
          <w:lang w:val="pt-BR"/>
        </w:rPr>
        <w:t xml:space="preserve">universal antes mencionados, </w:t>
      </w:r>
      <w:r w:rsidR="002C330E" w:rsidRPr="00D5464D">
        <w:rPr>
          <w:lang w:val="pt-BR"/>
        </w:rPr>
        <w:t>outros</w:t>
      </w:r>
      <w:r w:rsidR="00207197" w:rsidRPr="00D5464D">
        <w:rPr>
          <w:lang w:val="pt-BR"/>
        </w:rPr>
        <w:t xml:space="preserve"> documentos jurídicos relevantes </w:t>
      </w:r>
      <w:r w:rsidR="00FD1A90" w:rsidRPr="00D5464D">
        <w:rPr>
          <w:lang w:val="pt-BR"/>
        </w:rPr>
        <w:t xml:space="preserve">de diferentes </w:t>
      </w:r>
      <w:r w:rsidR="00753D11" w:rsidRPr="00D5464D">
        <w:rPr>
          <w:lang w:val="pt-BR"/>
        </w:rPr>
        <w:t xml:space="preserve">ramos </w:t>
      </w:r>
      <w:r w:rsidR="00470ADC" w:rsidRPr="00D5464D">
        <w:rPr>
          <w:lang w:val="pt-BR"/>
        </w:rPr>
        <w:t xml:space="preserve">do </w:t>
      </w:r>
      <w:r w:rsidR="00E765C2" w:rsidRPr="00D5464D">
        <w:rPr>
          <w:lang w:val="pt-BR"/>
        </w:rPr>
        <w:t>Direito Internacional</w:t>
      </w:r>
      <w:r w:rsidR="00FD1A90" w:rsidRPr="00D5464D">
        <w:rPr>
          <w:lang w:val="pt-BR"/>
        </w:rPr>
        <w:t xml:space="preserve"> </w:t>
      </w:r>
      <w:r w:rsidR="00350187" w:rsidRPr="00D5464D">
        <w:rPr>
          <w:lang w:val="pt-BR"/>
        </w:rPr>
        <w:t>refletem</w:t>
      </w:r>
      <w:r w:rsidR="002C330E" w:rsidRPr="00D5464D">
        <w:rPr>
          <w:lang w:val="pt-BR"/>
        </w:rPr>
        <w:t xml:space="preserve"> a proibição</w:t>
      </w:r>
      <w:r w:rsidR="00470ADC" w:rsidRPr="00D5464D">
        <w:rPr>
          <w:lang w:val="pt-BR"/>
        </w:rPr>
        <w:t xml:space="preserve"> da </w:t>
      </w:r>
      <w:r w:rsidR="000B376D" w:rsidRPr="00D5464D">
        <w:rPr>
          <w:lang w:val="pt-BR"/>
        </w:rPr>
        <w:t>escravidão</w:t>
      </w:r>
      <w:r w:rsidR="00E045D9" w:rsidRPr="00D5464D">
        <w:rPr>
          <w:lang w:val="pt-BR"/>
        </w:rPr>
        <w:t xml:space="preserve"> e </w:t>
      </w:r>
      <w:r w:rsidR="00230C71" w:rsidRPr="00D5464D">
        <w:rPr>
          <w:lang w:val="pt-BR"/>
        </w:rPr>
        <w:t>suas formas</w:t>
      </w:r>
      <w:r w:rsidR="00207197" w:rsidRPr="00D5464D">
        <w:rPr>
          <w:lang w:val="pt-BR"/>
        </w:rPr>
        <w:t xml:space="preserve"> análogas</w:t>
      </w:r>
      <w:r w:rsidR="00A1358C" w:rsidRPr="00D5464D">
        <w:rPr>
          <w:lang w:val="pt-BR"/>
        </w:rPr>
        <w:t xml:space="preserve">. </w:t>
      </w:r>
      <w:r w:rsidR="00753D11" w:rsidRPr="00D5464D">
        <w:rPr>
          <w:lang w:val="pt-BR"/>
        </w:rPr>
        <w:t xml:space="preserve">No que concerne aos </w:t>
      </w:r>
      <w:r w:rsidR="00E045D9" w:rsidRPr="00D5464D">
        <w:rPr>
          <w:lang w:val="pt-BR"/>
        </w:rPr>
        <w:t>tribunais</w:t>
      </w:r>
      <w:r w:rsidR="00207197" w:rsidRPr="00D5464D">
        <w:rPr>
          <w:lang w:val="pt-BR"/>
        </w:rPr>
        <w:t xml:space="preserve"> </w:t>
      </w:r>
      <w:r w:rsidR="002C330E" w:rsidRPr="00D5464D">
        <w:rPr>
          <w:lang w:val="pt-BR"/>
        </w:rPr>
        <w:t>internacionais</w:t>
      </w:r>
      <w:r w:rsidR="00207197" w:rsidRPr="00D5464D">
        <w:rPr>
          <w:lang w:val="pt-BR"/>
        </w:rPr>
        <w:t xml:space="preserve"> </w:t>
      </w:r>
      <w:r w:rsidR="00470ADC" w:rsidRPr="00D5464D">
        <w:rPr>
          <w:lang w:val="pt-BR"/>
        </w:rPr>
        <w:t xml:space="preserve">do </w:t>
      </w:r>
      <w:r w:rsidR="00753D11" w:rsidRPr="00D5464D">
        <w:rPr>
          <w:lang w:val="pt-BR"/>
        </w:rPr>
        <w:t>pós</w:t>
      </w:r>
      <w:r w:rsidR="00207197" w:rsidRPr="00D5464D">
        <w:rPr>
          <w:lang w:val="pt-BR"/>
        </w:rPr>
        <w:t>-guerra,</w:t>
      </w:r>
      <w:r w:rsidR="00470ADC" w:rsidRPr="00D5464D">
        <w:rPr>
          <w:lang w:val="pt-BR"/>
        </w:rPr>
        <w:t xml:space="preserve"> o </w:t>
      </w:r>
      <w:r w:rsidR="00207197" w:rsidRPr="00D5464D">
        <w:rPr>
          <w:lang w:val="pt-BR"/>
        </w:rPr>
        <w:t xml:space="preserve">Estatuto </w:t>
      </w:r>
      <w:r w:rsidR="00470ADC" w:rsidRPr="00D5464D">
        <w:rPr>
          <w:lang w:val="pt-BR"/>
        </w:rPr>
        <w:t xml:space="preserve">do </w:t>
      </w:r>
      <w:r w:rsidR="00207197" w:rsidRPr="00D5464D">
        <w:rPr>
          <w:lang w:val="pt-BR"/>
        </w:rPr>
        <w:t>Trib</w:t>
      </w:r>
      <w:r w:rsidR="00753D11" w:rsidRPr="00D5464D">
        <w:rPr>
          <w:lang w:val="pt-BR"/>
        </w:rPr>
        <w:t>unal Militar Internacional de Nu</w:t>
      </w:r>
      <w:r w:rsidR="00207197" w:rsidRPr="00D5464D">
        <w:rPr>
          <w:lang w:val="pt-BR"/>
        </w:rPr>
        <w:t>remberg</w:t>
      </w:r>
      <w:r w:rsidR="008000DD" w:rsidRPr="00D5464D">
        <w:rPr>
          <w:lang w:val="pt-BR"/>
        </w:rPr>
        <w:t>,</w:t>
      </w:r>
      <w:r w:rsidR="00207197" w:rsidRPr="00D5464D">
        <w:rPr>
          <w:lang w:val="pt-BR"/>
        </w:rPr>
        <w:t xml:space="preserve"> </w:t>
      </w:r>
      <w:r w:rsidR="00155B0D" w:rsidRPr="00D5464D">
        <w:rPr>
          <w:lang w:val="pt-BR"/>
        </w:rPr>
        <w:t xml:space="preserve">de </w:t>
      </w:r>
      <w:r w:rsidR="00207197" w:rsidRPr="00D5464D">
        <w:rPr>
          <w:lang w:val="pt-BR"/>
        </w:rPr>
        <w:t>1945</w:t>
      </w:r>
      <w:r w:rsidR="008000DD" w:rsidRPr="00D5464D">
        <w:rPr>
          <w:lang w:val="pt-BR"/>
        </w:rPr>
        <w:t>,</w:t>
      </w:r>
      <w:r w:rsidR="00207197" w:rsidRPr="00D5464D">
        <w:rPr>
          <w:rStyle w:val="Refdenotaalpie"/>
          <w:lang w:val="pt-BR"/>
        </w:rPr>
        <w:footnoteReference w:id="376"/>
      </w:r>
      <w:r w:rsidR="00470ADC" w:rsidRPr="00D5464D">
        <w:rPr>
          <w:lang w:val="pt-BR"/>
        </w:rPr>
        <w:t xml:space="preserve"> e</w:t>
      </w:r>
      <w:r w:rsidR="00207197" w:rsidRPr="00D5464D">
        <w:rPr>
          <w:lang w:val="pt-BR"/>
        </w:rPr>
        <w:t xml:space="preserve"> </w:t>
      </w:r>
      <w:r w:rsidR="00470ADC" w:rsidRPr="00D5464D">
        <w:rPr>
          <w:lang w:val="pt-BR"/>
        </w:rPr>
        <w:t xml:space="preserve">do </w:t>
      </w:r>
      <w:r w:rsidR="00207197" w:rsidRPr="00D5464D">
        <w:rPr>
          <w:lang w:val="pt-BR"/>
        </w:rPr>
        <w:t>Tribuna</w:t>
      </w:r>
      <w:r w:rsidR="006465DE" w:rsidRPr="00D5464D">
        <w:rPr>
          <w:lang w:val="pt-BR"/>
        </w:rPr>
        <w:t>l Militar Internacional de Tóquio</w:t>
      </w:r>
      <w:r w:rsidR="008000DD" w:rsidRPr="00D5464D">
        <w:rPr>
          <w:lang w:val="pt-BR"/>
        </w:rPr>
        <w:t>,</w:t>
      </w:r>
      <w:r w:rsidR="00155B0D" w:rsidRPr="00D5464D">
        <w:rPr>
          <w:lang w:val="pt-BR"/>
        </w:rPr>
        <w:t xml:space="preserve"> de 1946</w:t>
      </w:r>
      <w:r w:rsidR="008000DD" w:rsidRPr="00D5464D">
        <w:rPr>
          <w:lang w:val="pt-BR"/>
        </w:rPr>
        <w:t>,</w:t>
      </w:r>
      <w:r w:rsidR="00207197" w:rsidRPr="00D5464D">
        <w:rPr>
          <w:rStyle w:val="Refdenotaalpie"/>
          <w:lang w:val="pt-BR"/>
        </w:rPr>
        <w:footnoteReference w:id="377"/>
      </w:r>
      <w:r w:rsidR="00207197" w:rsidRPr="00D5464D">
        <w:rPr>
          <w:lang w:val="pt-BR"/>
        </w:rPr>
        <w:t xml:space="preserve"> pro</w:t>
      </w:r>
      <w:r w:rsidR="00753D11" w:rsidRPr="00D5464D">
        <w:rPr>
          <w:lang w:val="pt-BR"/>
        </w:rPr>
        <w:t xml:space="preserve">íbem </w:t>
      </w:r>
      <w:r w:rsidR="00470ADC" w:rsidRPr="00D5464D">
        <w:rPr>
          <w:lang w:val="pt-BR"/>
        </w:rPr>
        <w:t xml:space="preserve">a </w:t>
      </w:r>
      <w:r w:rsidR="000B376D" w:rsidRPr="00D5464D">
        <w:rPr>
          <w:lang w:val="pt-BR"/>
        </w:rPr>
        <w:t>escravidão</w:t>
      </w:r>
      <w:r w:rsidR="00207197" w:rsidRPr="00D5464D">
        <w:rPr>
          <w:lang w:val="pt-BR"/>
        </w:rPr>
        <w:t xml:space="preserve"> como </w:t>
      </w:r>
      <w:r w:rsidR="00470ADC" w:rsidRPr="00D5464D">
        <w:rPr>
          <w:lang w:val="pt-BR"/>
        </w:rPr>
        <w:t>crime</w:t>
      </w:r>
      <w:r w:rsidR="00207197" w:rsidRPr="00D5464D">
        <w:rPr>
          <w:lang w:val="pt-BR"/>
        </w:rPr>
        <w:t xml:space="preserve"> contra</w:t>
      </w:r>
      <w:r w:rsidR="002C330E" w:rsidRPr="00D5464D">
        <w:rPr>
          <w:lang w:val="pt-BR"/>
        </w:rPr>
        <w:t xml:space="preserve"> a humanidade</w:t>
      </w:r>
      <w:r w:rsidR="00207197" w:rsidRPr="00D5464D">
        <w:rPr>
          <w:lang w:val="pt-BR"/>
        </w:rPr>
        <w:t>.</w:t>
      </w:r>
    </w:p>
    <w:p w14:paraId="33CC2C06" w14:textId="77777777" w:rsidR="00207197" w:rsidRPr="00D5464D" w:rsidRDefault="00207197" w:rsidP="00140440">
      <w:pPr>
        <w:jc w:val="both"/>
        <w:rPr>
          <w:lang w:val="pt-BR"/>
        </w:rPr>
      </w:pPr>
    </w:p>
    <w:p w14:paraId="3AC1AF0F" w14:textId="5A39D326" w:rsidR="00207197" w:rsidRPr="00D5464D" w:rsidRDefault="00E045D9" w:rsidP="00F37DC4">
      <w:pPr>
        <w:pStyle w:val="Prrafodelista"/>
        <w:numPr>
          <w:ilvl w:val="0"/>
          <w:numId w:val="1"/>
        </w:numPr>
        <w:contextualSpacing w:val="0"/>
        <w:rPr>
          <w:lang w:val="pt-BR"/>
        </w:rPr>
      </w:pPr>
      <w:r w:rsidRPr="00D5464D">
        <w:rPr>
          <w:lang w:val="pt-BR"/>
        </w:rPr>
        <w:t xml:space="preserve">Também na </w:t>
      </w:r>
      <w:r w:rsidR="00207197" w:rsidRPr="00D5464D">
        <w:rPr>
          <w:lang w:val="pt-BR"/>
        </w:rPr>
        <w:t xml:space="preserve">esfera </w:t>
      </w:r>
      <w:r w:rsidR="00470ADC" w:rsidRPr="00D5464D">
        <w:rPr>
          <w:lang w:val="pt-BR"/>
        </w:rPr>
        <w:t xml:space="preserve">do </w:t>
      </w:r>
      <w:r w:rsidR="00E765C2" w:rsidRPr="00D5464D">
        <w:rPr>
          <w:lang w:val="pt-BR"/>
        </w:rPr>
        <w:t>Direito Internacional</w:t>
      </w:r>
      <w:r w:rsidR="00207197" w:rsidRPr="00D5464D">
        <w:rPr>
          <w:lang w:val="pt-BR"/>
        </w:rPr>
        <w:t xml:space="preserve"> </w:t>
      </w:r>
      <w:r w:rsidR="00753D11" w:rsidRPr="00D5464D">
        <w:rPr>
          <w:lang w:val="pt-BR"/>
        </w:rPr>
        <w:t>H</w:t>
      </w:r>
      <w:r w:rsidR="002C330E" w:rsidRPr="00D5464D">
        <w:rPr>
          <w:lang w:val="pt-BR"/>
        </w:rPr>
        <w:t>umanitári</w:t>
      </w:r>
      <w:r w:rsidR="00207197" w:rsidRPr="00D5464D">
        <w:rPr>
          <w:lang w:val="pt-BR"/>
        </w:rPr>
        <w:t>o,</w:t>
      </w:r>
      <w:r w:rsidR="00470ADC" w:rsidRPr="00D5464D">
        <w:rPr>
          <w:lang w:val="pt-BR"/>
        </w:rPr>
        <w:t xml:space="preserve"> o </w:t>
      </w:r>
      <w:r w:rsidR="00207197" w:rsidRPr="00D5464D">
        <w:rPr>
          <w:lang w:val="pt-BR"/>
        </w:rPr>
        <w:t>Protocolo Adicional II</w:t>
      </w:r>
      <w:r w:rsidRPr="00D5464D">
        <w:rPr>
          <w:lang w:val="pt-BR"/>
        </w:rPr>
        <w:t xml:space="preserve"> </w:t>
      </w:r>
      <w:r w:rsidR="00753D11" w:rsidRPr="00D5464D">
        <w:rPr>
          <w:lang w:val="pt-BR"/>
        </w:rPr>
        <w:t xml:space="preserve">às Convenções </w:t>
      </w:r>
      <w:r w:rsidR="00207197" w:rsidRPr="00D5464D">
        <w:rPr>
          <w:lang w:val="pt-BR"/>
        </w:rPr>
        <w:t xml:space="preserve">de </w:t>
      </w:r>
      <w:r w:rsidR="002C330E" w:rsidRPr="00D5464D">
        <w:rPr>
          <w:lang w:val="pt-BR"/>
        </w:rPr>
        <w:t>Genebra</w:t>
      </w:r>
      <w:r w:rsidR="00207197" w:rsidRPr="00D5464D">
        <w:rPr>
          <w:lang w:val="pt-BR"/>
        </w:rPr>
        <w:t xml:space="preserve"> declara</w:t>
      </w:r>
      <w:r w:rsidR="002C330E" w:rsidRPr="00D5464D">
        <w:rPr>
          <w:lang w:val="pt-BR"/>
        </w:rPr>
        <w:t xml:space="preserve"> a proibição</w:t>
      </w:r>
      <w:r w:rsidR="00753D11" w:rsidRPr="00D5464D">
        <w:rPr>
          <w:lang w:val="pt-BR"/>
        </w:rPr>
        <w:t xml:space="preserve"> “</w:t>
      </w:r>
      <w:r w:rsidR="0022259B" w:rsidRPr="00D5464D">
        <w:rPr>
          <w:lang w:val="pt-BR"/>
        </w:rPr>
        <w:t>em qualquer momento ou lugar” da</w:t>
      </w:r>
      <w:r w:rsidR="00207197" w:rsidRPr="00D5464D">
        <w:rPr>
          <w:lang w:val="pt-BR"/>
        </w:rPr>
        <w:t xml:space="preserve"> </w:t>
      </w:r>
      <w:r w:rsidR="00470ADC" w:rsidRPr="00D5464D">
        <w:rPr>
          <w:lang w:val="pt-BR"/>
        </w:rPr>
        <w:t>“</w:t>
      </w:r>
      <w:r w:rsidR="0022259B" w:rsidRPr="00D5464D">
        <w:rPr>
          <w:lang w:val="pt-BR"/>
        </w:rPr>
        <w:t>escravatura e o tráfico de escravos, qualquer que seja a sua forma</w:t>
      </w:r>
      <w:r w:rsidR="00207197" w:rsidRPr="00D5464D">
        <w:rPr>
          <w:lang w:val="pt-BR"/>
        </w:rPr>
        <w:t>”</w:t>
      </w:r>
      <w:r w:rsidR="0022259B" w:rsidRPr="00D5464D">
        <w:rPr>
          <w:lang w:val="pt-BR"/>
        </w:rPr>
        <w:t>.</w:t>
      </w:r>
      <w:r w:rsidR="00207197" w:rsidRPr="00D5464D">
        <w:rPr>
          <w:rStyle w:val="Refdenotaalpie"/>
          <w:lang w:val="pt-BR"/>
        </w:rPr>
        <w:footnoteReference w:id="378"/>
      </w:r>
      <w:r w:rsidR="00207197" w:rsidRPr="00D5464D">
        <w:rPr>
          <w:lang w:val="pt-BR"/>
        </w:rPr>
        <w:t xml:space="preserve"> </w:t>
      </w:r>
    </w:p>
    <w:p w14:paraId="336593DD" w14:textId="77777777" w:rsidR="00207197" w:rsidRPr="00D5464D" w:rsidRDefault="00207197" w:rsidP="00140440">
      <w:pPr>
        <w:jc w:val="both"/>
        <w:rPr>
          <w:lang w:val="pt-BR"/>
        </w:rPr>
      </w:pPr>
    </w:p>
    <w:p w14:paraId="5AE64EB7" w14:textId="040F5F62" w:rsidR="00207197" w:rsidRPr="00D5464D" w:rsidRDefault="00470ADC" w:rsidP="00F37DC4">
      <w:pPr>
        <w:pStyle w:val="Prrafodelista"/>
        <w:numPr>
          <w:ilvl w:val="0"/>
          <w:numId w:val="1"/>
        </w:numPr>
        <w:contextualSpacing w:val="0"/>
        <w:rPr>
          <w:lang w:val="pt-BR"/>
        </w:rPr>
      </w:pPr>
      <w:r w:rsidRPr="00D5464D">
        <w:rPr>
          <w:lang w:val="pt-BR"/>
        </w:rPr>
        <w:t>Ademais</w:t>
      </w:r>
      <w:r w:rsidR="00363C55" w:rsidRPr="00D5464D">
        <w:rPr>
          <w:lang w:val="pt-BR"/>
        </w:rPr>
        <w:t xml:space="preserve">, </w:t>
      </w:r>
      <w:r w:rsidR="002C330E" w:rsidRPr="00D5464D">
        <w:rPr>
          <w:lang w:val="pt-BR"/>
        </w:rPr>
        <w:t xml:space="preserve">a </w:t>
      </w:r>
      <w:r w:rsidR="000B376D" w:rsidRPr="00D5464D">
        <w:rPr>
          <w:lang w:val="pt-BR"/>
        </w:rPr>
        <w:t>escravidão</w:t>
      </w:r>
      <w:r w:rsidR="00207197" w:rsidRPr="00D5464D">
        <w:rPr>
          <w:lang w:val="pt-BR"/>
        </w:rPr>
        <w:t xml:space="preserve"> como delito </w:t>
      </w:r>
      <w:r w:rsidR="006465DE" w:rsidRPr="00D5464D">
        <w:rPr>
          <w:lang w:val="pt-BR"/>
        </w:rPr>
        <w:t xml:space="preserve">contra a </w:t>
      </w:r>
      <w:r w:rsidR="002C330E" w:rsidRPr="00D5464D">
        <w:rPr>
          <w:lang w:val="pt-BR"/>
        </w:rPr>
        <w:t>humanida</w:t>
      </w:r>
      <w:r w:rsidR="00E045D9" w:rsidRPr="00D5464D">
        <w:rPr>
          <w:lang w:val="pt-BR"/>
        </w:rPr>
        <w:t>d</w:t>
      </w:r>
      <w:r w:rsidR="00984F93" w:rsidRPr="00D5464D">
        <w:rPr>
          <w:lang w:val="pt-BR"/>
        </w:rPr>
        <w:t xml:space="preserve">e foi incluída no rol de crimes sobre os quais </w:t>
      </w:r>
      <w:r w:rsidR="002C330E" w:rsidRPr="00D5464D">
        <w:rPr>
          <w:lang w:val="pt-BR"/>
        </w:rPr>
        <w:t xml:space="preserve">os </w:t>
      </w:r>
      <w:r w:rsidR="00E045D9" w:rsidRPr="00D5464D">
        <w:rPr>
          <w:lang w:val="pt-BR"/>
        </w:rPr>
        <w:t>tribunais</w:t>
      </w:r>
      <w:r w:rsidR="00EF5CD4" w:rsidRPr="00D5464D">
        <w:rPr>
          <w:lang w:val="pt-BR"/>
        </w:rPr>
        <w:t xml:space="preserve"> </w:t>
      </w:r>
      <w:r w:rsidR="002C330E" w:rsidRPr="00D5464D">
        <w:rPr>
          <w:lang w:val="pt-BR"/>
        </w:rPr>
        <w:t>penais</w:t>
      </w:r>
      <w:r w:rsidR="00EF5CD4" w:rsidRPr="00D5464D">
        <w:rPr>
          <w:lang w:val="pt-BR"/>
        </w:rPr>
        <w:t xml:space="preserve"> </w:t>
      </w:r>
      <w:r w:rsidR="002C330E" w:rsidRPr="00D5464D">
        <w:rPr>
          <w:lang w:val="pt-BR"/>
        </w:rPr>
        <w:t>internacionais</w:t>
      </w:r>
      <w:r w:rsidR="00EF5CD4" w:rsidRPr="00D5464D">
        <w:rPr>
          <w:lang w:val="pt-BR"/>
        </w:rPr>
        <w:t xml:space="preserve"> </w:t>
      </w:r>
      <w:r w:rsidR="00E045D9" w:rsidRPr="00D5464D">
        <w:rPr>
          <w:lang w:val="pt-BR"/>
        </w:rPr>
        <w:t>têm</w:t>
      </w:r>
      <w:r w:rsidR="00207197" w:rsidRPr="00D5464D">
        <w:rPr>
          <w:lang w:val="pt-BR"/>
        </w:rPr>
        <w:t xml:space="preserve"> </w:t>
      </w:r>
      <w:r w:rsidRPr="00D5464D">
        <w:rPr>
          <w:lang w:val="pt-BR"/>
        </w:rPr>
        <w:t>competência</w:t>
      </w:r>
      <w:r w:rsidR="00207197" w:rsidRPr="00D5464D">
        <w:rPr>
          <w:lang w:val="pt-BR"/>
        </w:rPr>
        <w:t xml:space="preserve">. </w:t>
      </w:r>
      <w:r w:rsidRPr="00D5464D">
        <w:rPr>
          <w:lang w:val="pt-BR"/>
        </w:rPr>
        <w:t>Assim</w:t>
      </w:r>
      <w:r w:rsidR="00207197" w:rsidRPr="00D5464D">
        <w:rPr>
          <w:lang w:val="pt-BR"/>
        </w:rPr>
        <w:t>,</w:t>
      </w:r>
      <w:r w:rsidRPr="00D5464D">
        <w:rPr>
          <w:lang w:val="pt-BR"/>
        </w:rPr>
        <w:t xml:space="preserve"> o </w:t>
      </w:r>
      <w:r w:rsidR="00207197" w:rsidRPr="00D5464D">
        <w:rPr>
          <w:lang w:val="pt-BR"/>
        </w:rPr>
        <w:t xml:space="preserve">Estatuto </w:t>
      </w:r>
      <w:r w:rsidRPr="00D5464D">
        <w:rPr>
          <w:lang w:val="pt-BR"/>
        </w:rPr>
        <w:t xml:space="preserve">do </w:t>
      </w:r>
      <w:r w:rsidR="00207197" w:rsidRPr="00D5464D">
        <w:rPr>
          <w:lang w:val="pt-BR"/>
        </w:rPr>
        <w:t xml:space="preserve">Tribunal Internacional para </w:t>
      </w:r>
      <w:r w:rsidR="00984F93" w:rsidRPr="00D5464D">
        <w:rPr>
          <w:lang w:val="pt-BR"/>
        </w:rPr>
        <w:t>J</w:t>
      </w:r>
      <w:r w:rsidR="002C330E" w:rsidRPr="00D5464D">
        <w:rPr>
          <w:lang w:val="pt-BR"/>
        </w:rPr>
        <w:t>ulgar</w:t>
      </w:r>
      <w:r w:rsidR="00E045D9" w:rsidRPr="00D5464D">
        <w:rPr>
          <w:lang w:val="pt-BR"/>
        </w:rPr>
        <w:t xml:space="preserve"> os </w:t>
      </w:r>
      <w:r w:rsidR="00984F93" w:rsidRPr="00D5464D">
        <w:rPr>
          <w:lang w:val="pt-BR"/>
        </w:rPr>
        <w:t>S</w:t>
      </w:r>
      <w:r w:rsidR="002C330E" w:rsidRPr="00D5464D">
        <w:rPr>
          <w:lang w:val="pt-BR"/>
        </w:rPr>
        <w:t>upostos</w:t>
      </w:r>
      <w:r w:rsidR="00207197" w:rsidRPr="00D5464D">
        <w:rPr>
          <w:lang w:val="pt-BR"/>
        </w:rPr>
        <w:t xml:space="preserve"> </w:t>
      </w:r>
      <w:r w:rsidR="00984F93" w:rsidRPr="00D5464D">
        <w:rPr>
          <w:lang w:val="pt-BR"/>
        </w:rPr>
        <w:t>R</w:t>
      </w:r>
      <w:r w:rsidR="002C330E" w:rsidRPr="00D5464D">
        <w:rPr>
          <w:lang w:val="pt-BR"/>
        </w:rPr>
        <w:t>esponsáveis</w:t>
      </w:r>
      <w:r w:rsidR="00984F93" w:rsidRPr="00D5464D">
        <w:rPr>
          <w:lang w:val="pt-BR"/>
        </w:rPr>
        <w:t xml:space="preserve"> por</w:t>
      </w:r>
      <w:r w:rsidR="00207197" w:rsidRPr="00D5464D">
        <w:rPr>
          <w:lang w:val="pt-BR"/>
        </w:rPr>
        <w:t xml:space="preserve"> </w:t>
      </w:r>
      <w:r w:rsidR="00984F93" w:rsidRPr="00D5464D">
        <w:rPr>
          <w:lang w:val="pt-BR"/>
        </w:rPr>
        <w:t>G</w:t>
      </w:r>
      <w:r w:rsidR="00207197" w:rsidRPr="00D5464D">
        <w:rPr>
          <w:lang w:val="pt-BR"/>
        </w:rPr>
        <w:t xml:space="preserve">raves </w:t>
      </w:r>
      <w:r w:rsidR="00984F93" w:rsidRPr="00D5464D">
        <w:rPr>
          <w:lang w:val="pt-BR"/>
        </w:rPr>
        <w:t>V</w:t>
      </w:r>
      <w:r w:rsidR="00207197" w:rsidRPr="00D5464D">
        <w:rPr>
          <w:lang w:val="pt-BR"/>
        </w:rPr>
        <w:t>iola</w:t>
      </w:r>
      <w:r w:rsidRPr="00D5464D">
        <w:rPr>
          <w:lang w:val="pt-BR"/>
        </w:rPr>
        <w:t>ções</w:t>
      </w:r>
      <w:r w:rsidR="00207197" w:rsidRPr="00D5464D">
        <w:rPr>
          <w:lang w:val="pt-BR"/>
        </w:rPr>
        <w:t xml:space="preserve"> </w:t>
      </w:r>
      <w:r w:rsidR="009277C0" w:rsidRPr="00D5464D">
        <w:rPr>
          <w:lang w:val="pt-BR"/>
        </w:rPr>
        <w:t>a</w:t>
      </w:r>
      <w:r w:rsidRPr="00D5464D">
        <w:rPr>
          <w:lang w:val="pt-BR"/>
        </w:rPr>
        <w:t xml:space="preserve">o </w:t>
      </w:r>
      <w:r w:rsidR="00E765C2" w:rsidRPr="00D5464D">
        <w:rPr>
          <w:lang w:val="pt-BR"/>
        </w:rPr>
        <w:t>Direito Internacional</w:t>
      </w:r>
      <w:r w:rsidR="00207197" w:rsidRPr="00D5464D">
        <w:rPr>
          <w:lang w:val="pt-BR"/>
        </w:rPr>
        <w:t xml:space="preserve"> </w:t>
      </w:r>
      <w:r w:rsidR="00984F93" w:rsidRPr="00D5464D">
        <w:rPr>
          <w:lang w:val="pt-BR"/>
        </w:rPr>
        <w:t>H</w:t>
      </w:r>
      <w:r w:rsidR="002C330E" w:rsidRPr="00D5464D">
        <w:rPr>
          <w:lang w:val="pt-BR"/>
        </w:rPr>
        <w:t>umanitári</w:t>
      </w:r>
      <w:r w:rsidR="00207197" w:rsidRPr="00D5464D">
        <w:rPr>
          <w:lang w:val="pt-BR"/>
        </w:rPr>
        <w:t>o cometidas</w:t>
      </w:r>
      <w:r w:rsidR="00E045D9" w:rsidRPr="00D5464D">
        <w:rPr>
          <w:lang w:val="pt-BR"/>
        </w:rPr>
        <w:t xml:space="preserve"> no </w:t>
      </w:r>
      <w:r w:rsidR="00984F93" w:rsidRPr="00D5464D">
        <w:rPr>
          <w:lang w:val="pt-BR"/>
        </w:rPr>
        <w:t>T</w:t>
      </w:r>
      <w:r w:rsidR="00E045D9" w:rsidRPr="00D5464D">
        <w:rPr>
          <w:lang w:val="pt-BR"/>
        </w:rPr>
        <w:t>erritório</w:t>
      </w:r>
      <w:r w:rsidRPr="00D5464D">
        <w:rPr>
          <w:lang w:val="pt-BR"/>
        </w:rPr>
        <w:t xml:space="preserve"> da </w:t>
      </w:r>
      <w:r w:rsidR="00DB2B76" w:rsidRPr="00D5464D">
        <w:rPr>
          <w:lang w:val="pt-BR"/>
        </w:rPr>
        <w:t>antiga Iugoslávia</w:t>
      </w:r>
      <w:r w:rsidR="00207197" w:rsidRPr="00D5464D">
        <w:rPr>
          <w:lang w:val="pt-BR"/>
        </w:rPr>
        <w:t xml:space="preserve"> (</w:t>
      </w:r>
      <w:r w:rsidR="00350187" w:rsidRPr="00D5464D">
        <w:rPr>
          <w:lang w:val="pt-BR"/>
        </w:rPr>
        <w:t>doravante denominad</w:t>
      </w:r>
      <w:r w:rsidR="00984F93" w:rsidRPr="00D5464D">
        <w:rPr>
          <w:lang w:val="pt-BR"/>
        </w:rPr>
        <w:t>o</w:t>
      </w:r>
      <w:r w:rsidR="00207197" w:rsidRPr="00D5464D">
        <w:rPr>
          <w:lang w:val="pt-BR"/>
        </w:rPr>
        <w:t xml:space="preserve"> “</w:t>
      </w:r>
      <w:r w:rsidR="007A680A" w:rsidRPr="00D5464D">
        <w:rPr>
          <w:lang w:val="pt-BR"/>
        </w:rPr>
        <w:t>Tribunal Penal Internacional Ad Hoc para</w:t>
      </w:r>
      <w:r w:rsidR="002C330E" w:rsidRPr="00D5464D">
        <w:rPr>
          <w:lang w:val="pt-BR"/>
        </w:rPr>
        <w:t xml:space="preserve"> a </w:t>
      </w:r>
      <w:r w:rsidR="00DB2B76" w:rsidRPr="00D5464D">
        <w:rPr>
          <w:lang w:val="pt-BR"/>
        </w:rPr>
        <w:t>antiga Iugoslávia</w:t>
      </w:r>
      <w:r w:rsidRPr="00D5464D">
        <w:rPr>
          <w:lang w:val="pt-BR"/>
        </w:rPr>
        <w:t>” ou “</w:t>
      </w:r>
      <w:r w:rsidR="007A680A" w:rsidRPr="00D5464D">
        <w:rPr>
          <w:lang w:val="pt-BR"/>
        </w:rPr>
        <w:t>TPIY”</w:t>
      </w:r>
      <w:r w:rsidR="00207197" w:rsidRPr="00D5464D">
        <w:rPr>
          <w:lang w:val="pt-BR"/>
        </w:rPr>
        <w:t xml:space="preserve">), de 1993, </w:t>
      </w:r>
      <w:r w:rsidRPr="00D5464D">
        <w:rPr>
          <w:lang w:val="pt-BR"/>
        </w:rPr>
        <w:t>estabelece</w:t>
      </w:r>
      <w:r w:rsidR="002C330E" w:rsidRPr="00D5464D">
        <w:rPr>
          <w:lang w:val="pt-BR"/>
        </w:rPr>
        <w:t xml:space="preserve"> a </w:t>
      </w:r>
      <w:r w:rsidR="00207197" w:rsidRPr="00D5464D">
        <w:rPr>
          <w:lang w:val="pt-BR"/>
        </w:rPr>
        <w:t>“</w:t>
      </w:r>
      <w:r w:rsidR="000B376D" w:rsidRPr="00D5464D">
        <w:rPr>
          <w:lang w:val="pt-BR"/>
        </w:rPr>
        <w:t>escravidão</w:t>
      </w:r>
      <w:r w:rsidR="00207197" w:rsidRPr="00D5464D">
        <w:rPr>
          <w:lang w:val="pt-BR"/>
        </w:rPr>
        <w:t>” (</w:t>
      </w:r>
      <w:r w:rsidR="00207197" w:rsidRPr="00D5464D">
        <w:rPr>
          <w:i/>
          <w:lang w:val="pt-BR"/>
        </w:rPr>
        <w:t>enslavement</w:t>
      </w:r>
      <w:r w:rsidR="00207197" w:rsidRPr="00D5464D">
        <w:rPr>
          <w:lang w:val="pt-BR"/>
        </w:rPr>
        <w:t>) como</w:t>
      </w:r>
      <w:r w:rsidR="00E045D9" w:rsidRPr="00D5464D">
        <w:rPr>
          <w:lang w:val="pt-BR"/>
        </w:rPr>
        <w:t xml:space="preserve"> um </w:t>
      </w:r>
      <w:r w:rsidRPr="00D5464D">
        <w:rPr>
          <w:lang w:val="pt-BR"/>
        </w:rPr>
        <w:t>crime</w:t>
      </w:r>
      <w:r w:rsidR="00207197" w:rsidRPr="00D5464D">
        <w:rPr>
          <w:lang w:val="pt-BR"/>
        </w:rPr>
        <w:t xml:space="preserve"> contra</w:t>
      </w:r>
      <w:r w:rsidR="002C330E" w:rsidRPr="00D5464D">
        <w:rPr>
          <w:lang w:val="pt-BR"/>
        </w:rPr>
        <w:t xml:space="preserve"> a humanidade</w:t>
      </w:r>
      <w:r w:rsidR="00207197" w:rsidRPr="00D5464D">
        <w:rPr>
          <w:lang w:val="pt-BR"/>
        </w:rPr>
        <w:t xml:space="preserve"> (</w:t>
      </w:r>
      <w:r w:rsidRPr="00D5464D">
        <w:rPr>
          <w:lang w:val="pt-BR"/>
        </w:rPr>
        <w:t>artigo</w:t>
      </w:r>
      <w:r w:rsidR="00207197" w:rsidRPr="00D5464D">
        <w:rPr>
          <w:lang w:val="pt-BR"/>
        </w:rPr>
        <w:t xml:space="preserve"> 5.c)</w:t>
      </w:r>
      <w:r w:rsidR="00984F93" w:rsidRPr="00D5464D">
        <w:rPr>
          <w:lang w:val="pt-BR"/>
        </w:rPr>
        <w:t>.</w:t>
      </w:r>
      <w:r w:rsidR="00207197" w:rsidRPr="00D5464D">
        <w:rPr>
          <w:rStyle w:val="Refdenotaalpie"/>
          <w:lang w:val="pt-BR"/>
        </w:rPr>
        <w:footnoteReference w:id="379"/>
      </w:r>
      <w:r w:rsidR="00C91CB1" w:rsidRPr="00D5464D">
        <w:rPr>
          <w:lang w:val="pt-BR"/>
        </w:rPr>
        <w:t xml:space="preserve"> Os </w:t>
      </w:r>
      <w:r w:rsidR="00207197" w:rsidRPr="00D5464D">
        <w:rPr>
          <w:lang w:val="pt-BR"/>
        </w:rPr>
        <w:t>Estatutos</w:t>
      </w:r>
      <w:r w:rsidR="00363C55" w:rsidRPr="00D5464D">
        <w:rPr>
          <w:lang w:val="pt-BR"/>
        </w:rPr>
        <w:t>,</w:t>
      </w:r>
      <w:r w:rsidR="00207197" w:rsidRPr="00D5464D">
        <w:rPr>
          <w:lang w:val="pt-BR"/>
        </w:rPr>
        <w:t xml:space="preserve"> tanto </w:t>
      </w:r>
      <w:r w:rsidRPr="00D5464D">
        <w:rPr>
          <w:lang w:val="pt-BR"/>
        </w:rPr>
        <w:t xml:space="preserve">do </w:t>
      </w:r>
      <w:r w:rsidR="00207197" w:rsidRPr="00D5464D">
        <w:rPr>
          <w:lang w:val="pt-BR"/>
        </w:rPr>
        <w:t xml:space="preserve">Tribunal Internacional para Ruanda, de 1994, como </w:t>
      </w:r>
      <w:r w:rsidRPr="00D5464D">
        <w:rPr>
          <w:lang w:val="pt-BR"/>
        </w:rPr>
        <w:t xml:space="preserve">do </w:t>
      </w:r>
      <w:r w:rsidR="00207197" w:rsidRPr="00D5464D">
        <w:rPr>
          <w:lang w:val="pt-BR"/>
        </w:rPr>
        <w:t xml:space="preserve">Tribunal Especial para </w:t>
      </w:r>
      <w:r w:rsidR="00E045D9" w:rsidRPr="00D5464D">
        <w:rPr>
          <w:lang w:val="pt-BR"/>
        </w:rPr>
        <w:t>Serra Leoa</w:t>
      </w:r>
      <w:r w:rsidR="00363C55" w:rsidRPr="00D5464D">
        <w:rPr>
          <w:lang w:val="pt-BR"/>
        </w:rPr>
        <w:t>, de 2000,</w:t>
      </w:r>
      <w:r w:rsidR="00207197" w:rsidRPr="00D5464D">
        <w:rPr>
          <w:lang w:val="pt-BR"/>
        </w:rPr>
        <w:t xml:space="preserve"> </w:t>
      </w:r>
      <w:r w:rsidR="00230C71" w:rsidRPr="00D5464D">
        <w:rPr>
          <w:lang w:val="pt-BR"/>
        </w:rPr>
        <w:t>incluem</w:t>
      </w:r>
      <w:r w:rsidR="00984F93" w:rsidRPr="00D5464D">
        <w:rPr>
          <w:lang w:val="pt-BR"/>
        </w:rPr>
        <w:t xml:space="preserve"> a</w:t>
      </w:r>
      <w:r w:rsidRPr="00D5464D">
        <w:rPr>
          <w:lang w:val="pt-BR"/>
        </w:rPr>
        <w:t xml:space="preserve"> </w:t>
      </w:r>
      <w:r w:rsidR="00207197" w:rsidRPr="00D5464D">
        <w:rPr>
          <w:lang w:val="pt-BR"/>
        </w:rPr>
        <w:t>“</w:t>
      </w:r>
      <w:r w:rsidR="000B376D" w:rsidRPr="00D5464D">
        <w:rPr>
          <w:lang w:val="pt-BR"/>
        </w:rPr>
        <w:t>escravidão</w:t>
      </w:r>
      <w:r w:rsidR="00207197" w:rsidRPr="00D5464D">
        <w:rPr>
          <w:lang w:val="pt-BR"/>
        </w:rPr>
        <w:t xml:space="preserve">” como delito </w:t>
      </w:r>
      <w:r w:rsidR="006465DE" w:rsidRPr="00D5464D">
        <w:rPr>
          <w:lang w:val="pt-BR"/>
        </w:rPr>
        <w:t xml:space="preserve">contra a </w:t>
      </w:r>
      <w:r w:rsidR="002C330E" w:rsidRPr="00D5464D">
        <w:rPr>
          <w:lang w:val="pt-BR"/>
        </w:rPr>
        <w:t>humanidade</w:t>
      </w:r>
      <w:r w:rsidR="00984F93" w:rsidRPr="00D5464D">
        <w:rPr>
          <w:lang w:val="pt-BR"/>
        </w:rPr>
        <w:t>, respectivamente,</w:t>
      </w:r>
      <w:r w:rsidRPr="00D5464D">
        <w:rPr>
          <w:lang w:val="pt-BR"/>
        </w:rPr>
        <w:t xml:space="preserve"> em </w:t>
      </w:r>
      <w:r w:rsidR="00E045D9" w:rsidRPr="00D5464D">
        <w:rPr>
          <w:lang w:val="pt-BR"/>
        </w:rPr>
        <w:t>seus artigos</w:t>
      </w:r>
      <w:r w:rsidR="00207197" w:rsidRPr="00D5464D">
        <w:rPr>
          <w:lang w:val="pt-BR"/>
        </w:rPr>
        <w:t xml:space="preserve"> 3.c</w:t>
      </w:r>
      <w:r w:rsidR="00E045D9" w:rsidRPr="00D5464D">
        <w:rPr>
          <w:lang w:val="pt-BR"/>
        </w:rPr>
        <w:t xml:space="preserve"> e </w:t>
      </w:r>
      <w:r w:rsidR="00207197" w:rsidRPr="00D5464D">
        <w:rPr>
          <w:lang w:val="pt-BR"/>
        </w:rPr>
        <w:t>2.c</w:t>
      </w:r>
      <w:r w:rsidR="00984F93" w:rsidRPr="00D5464D">
        <w:rPr>
          <w:lang w:val="pt-BR"/>
        </w:rPr>
        <w:t>.</w:t>
      </w:r>
      <w:r w:rsidR="00207197" w:rsidRPr="00D5464D">
        <w:rPr>
          <w:rStyle w:val="Refdenotaalpie"/>
          <w:lang w:val="pt-BR"/>
        </w:rPr>
        <w:footnoteReference w:id="380"/>
      </w:r>
      <w:r w:rsidR="00207197" w:rsidRPr="00D5464D">
        <w:rPr>
          <w:lang w:val="pt-BR"/>
        </w:rPr>
        <w:t xml:space="preserve"> Finalmente,</w:t>
      </w:r>
      <w:r w:rsidRPr="00D5464D">
        <w:rPr>
          <w:lang w:val="pt-BR"/>
        </w:rPr>
        <w:t xml:space="preserve"> o </w:t>
      </w:r>
      <w:r w:rsidR="00207197" w:rsidRPr="00D5464D">
        <w:rPr>
          <w:lang w:val="pt-BR"/>
        </w:rPr>
        <w:t>Estatuto de Roma</w:t>
      </w:r>
      <w:r w:rsidRPr="00D5464D">
        <w:rPr>
          <w:lang w:val="pt-BR"/>
        </w:rPr>
        <w:t xml:space="preserve"> da </w:t>
      </w:r>
      <w:r w:rsidR="00207197" w:rsidRPr="00D5464D">
        <w:rPr>
          <w:lang w:val="pt-BR"/>
        </w:rPr>
        <w:t xml:space="preserve">Corte Penal Internacional, </w:t>
      </w:r>
      <w:r w:rsidR="00363C55" w:rsidRPr="00D5464D">
        <w:rPr>
          <w:lang w:val="pt-BR"/>
        </w:rPr>
        <w:t>de</w:t>
      </w:r>
      <w:r w:rsidR="00984F93" w:rsidRPr="00D5464D">
        <w:rPr>
          <w:lang w:val="pt-BR"/>
        </w:rPr>
        <w:t xml:space="preserve"> 1998, tipificou</w:t>
      </w:r>
      <w:r w:rsidR="002C330E" w:rsidRPr="00D5464D">
        <w:rPr>
          <w:lang w:val="pt-BR"/>
        </w:rPr>
        <w:t xml:space="preserve"> a </w:t>
      </w:r>
      <w:r w:rsidR="000B376D" w:rsidRPr="00D5464D">
        <w:rPr>
          <w:lang w:val="pt-BR"/>
        </w:rPr>
        <w:t>escravidão</w:t>
      </w:r>
      <w:r w:rsidR="00207197" w:rsidRPr="00D5464D">
        <w:rPr>
          <w:lang w:val="pt-BR"/>
        </w:rPr>
        <w:t xml:space="preserve"> como </w:t>
      </w:r>
      <w:r w:rsidRPr="00D5464D">
        <w:rPr>
          <w:lang w:val="pt-BR"/>
        </w:rPr>
        <w:t>crime</w:t>
      </w:r>
      <w:r w:rsidR="00207197" w:rsidRPr="00D5464D">
        <w:rPr>
          <w:lang w:val="pt-BR"/>
        </w:rPr>
        <w:t xml:space="preserve"> </w:t>
      </w:r>
      <w:r w:rsidR="006465DE" w:rsidRPr="00D5464D">
        <w:rPr>
          <w:lang w:val="pt-BR"/>
        </w:rPr>
        <w:t xml:space="preserve">contra a </w:t>
      </w:r>
      <w:r w:rsidR="002C330E" w:rsidRPr="00D5464D">
        <w:rPr>
          <w:lang w:val="pt-BR"/>
        </w:rPr>
        <w:t>humanidade</w:t>
      </w:r>
      <w:r w:rsidR="00E045D9" w:rsidRPr="00D5464D">
        <w:rPr>
          <w:lang w:val="pt-BR"/>
        </w:rPr>
        <w:t xml:space="preserve"> e </w:t>
      </w:r>
      <w:r w:rsidR="00C91CB1" w:rsidRPr="00D5464D">
        <w:rPr>
          <w:lang w:val="pt-BR"/>
        </w:rPr>
        <w:t>definiu</w:t>
      </w:r>
      <w:r w:rsidR="002C330E" w:rsidRPr="00D5464D">
        <w:rPr>
          <w:lang w:val="pt-BR"/>
        </w:rPr>
        <w:t xml:space="preserve"> a </w:t>
      </w:r>
      <w:r w:rsidR="000B376D" w:rsidRPr="00D5464D">
        <w:rPr>
          <w:lang w:val="pt-BR"/>
        </w:rPr>
        <w:t>escravidão</w:t>
      </w:r>
      <w:r w:rsidR="00207197" w:rsidRPr="00D5464D">
        <w:rPr>
          <w:lang w:val="pt-BR"/>
        </w:rPr>
        <w:t xml:space="preserve"> como </w:t>
      </w:r>
      <w:r w:rsidRPr="00D5464D">
        <w:rPr>
          <w:lang w:val="pt-BR"/>
        </w:rPr>
        <w:t>“</w:t>
      </w:r>
      <w:r w:rsidR="00585C75" w:rsidRPr="00D5464D">
        <w:rPr>
          <w:lang w:val="pt-BR"/>
        </w:rPr>
        <w:t>o exercício, relativamente a uma pessoa, de um poder ou de um conjunto de poderes que traduzam um direito de propriedade sobre uma pessoa, incluindo o exercício desse poder no âmbito do tráfico de pessoas, em particular mulheres e crianças</w:t>
      </w:r>
      <w:r w:rsidR="00207197" w:rsidRPr="00D5464D">
        <w:rPr>
          <w:lang w:val="pt-BR"/>
        </w:rPr>
        <w:t>”</w:t>
      </w:r>
      <w:r w:rsidR="00585C75" w:rsidRPr="00D5464D">
        <w:rPr>
          <w:lang w:val="pt-BR"/>
        </w:rPr>
        <w:t>.</w:t>
      </w:r>
      <w:r w:rsidR="00207197" w:rsidRPr="00D5464D">
        <w:rPr>
          <w:rStyle w:val="Refdenotaalpie"/>
          <w:lang w:val="pt-BR"/>
        </w:rPr>
        <w:footnoteReference w:id="381"/>
      </w:r>
      <w:r w:rsidR="00207197" w:rsidRPr="00D5464D">
        <w:rPr>
          <w:lang w:val="pt-BR"/>
        </w:rPr>
        <w:t xml:space="preserve"> </w:t>
      </w:r>
    </w:p>
    <w:p w14:paraId="50669C9E" w14:textId="77777777" w:rsidR="00207197" w:rsidRPr="00D5464D" w:rsidRDefault="00207197" w:rsidP="00140440">
      <w:pPr>
        <w:jc w:val="both"/>
        <w:rPr>
          <w:lang w:val="pt-BR"/>
        </w:rPr>
      </w:pPr>
    </w:p>
    <w:p w14:paraId="0B9346F2" w14:textId="198BF100" w:rsidR="00207197" w:rsidRPr="00D5464D" w:rsidRDefault="002C330E" w:rsidP="00F37DC4">
      <w:pPr>
        <w:pStyle w:val="Prrafodelista"/>
        <w:numPr>
          <w:ilvl w:val="0"/>
          <w:numId w:val="1"/>
        </w:numPr>
        <w:contextualSpacing w:val="0"/>
        <w:rPr>
          <w:lang w:val="pt-BR"/>
        </w:rPr>
      </w:pPr>
      <w:r w:rsidRPr="00D5464D">
        <w:rPr>
          <w:lang w:val="pt-BR"/>
        </w:rPr>
        <w:t>Mais recente</w:t>
      </w:r>
      <w:r w:rsidR="00207197" w:rsidRPr="00D5464D">
        <w:rPr>
          <w:lang w:val="pt-BR"/>
        </w:rPr>
        <w:t>mente, tanto</w:t>
      </w:r>
      <w:r w:rsidR="00470ADC" w:rsidRPr="00D5464D">
        <w:rPr>
          <w:lang w:val="pt-BR"/>
        </w:rPr>
        <w:t xml:space="preserve"> o </w:t>
      </w:r>
      <w:r w:rsidRPr="00D5464D">
        <w:rPr>
          <w:lang w:val="pt-BR"/>
        </w:rPr>
        <w:t>Projeto</w:t>
      </w:r>
      <w:r w:rsidR="00933088" w:rsidRPr="00D5464D">
        <w:rPr>
          <w:lang w:val="pt-BR"/>
        </w:rPr>
        <w:t xml:space="preserve"> de C</w:t>
      </w:r>
      <w:r w:rsidR="00207197" w:rsidRPr="00D5464D">
        <w:rPr>
          <w:lang w:val="pt-BR"/>
        </w:rPr>
        <w:t xml:space="preserve">ódigo de </w:t>
      </w:r>
      <w:r w:rsidR="00933088" w:rsidRPr="00D5464D">
        <w:rPr>
          <w:lang w:val="pt-BR"/>
        </w:rPr>
        <w:t>C</w:t>
      </w:r>
      <w:r w:rsidR="00470ADC" w:rsidRPr="00D5464D">
        <w:rPr>
          <w:lang w:val="pt-BR"/>
        </w:rPr>
        <w:t>rimes</w:t>
      </w:r>
      <w:r w:rsidR="00207197" w:rsidRPr="00D5464D">
        <w:rPr>
          <w:lang w:val="pt-BR"/>
        </w:rPr>
        <w:t xml:space="preserve"> contra</w:t>
      </w:r>
      <w:r w:rsidRPr="00D5464D">
        <w:rPr>
          <w:lang w:val="pt-BR"/>
        </w:rPr>
        <w:t xml:space="preserve"> a </w:t>
      </w:r>
      <w:r w:rsidR="00933088" w:rsidRPr="00D5464D">
        <w:rPr>
          <w:lang w:val="pt-BR"/>
        </w:rPr>
        <w:t>P</w:t>
      </w:r>
      <w:r w:rsidR="00207197" w:rsidRPr="00D5464D">
        <w:rPr>
          <w:lang w:val="pt-BR"/>
        </w:rPr>
        <w:t>az</w:t>
      </w:r>
      <w:r w:rsidR="00E045D9" w:rsidRPr="00D5464D">
        <w:rPr>
          <w:lang w:val="pt-BR"/>
        </w:rPr>
        <w:t xml:space="preserve"> e </w:t>
      </w:r>
      <w:r w:rsidRPr="00D5464D">
        <w:rPr>
          <w:lang w:val="pt-BR"/>
        </w:rPr>
        <w:t xml:space="preserve">a </w:t>
      </w:r>
      <w:r w:rsidR="00933088" w:rsidRPr="00D5464D">
        <w:rPr>
          <w:lang w:val="pt-BR"/>
        </w:rPr>
        <w:t>S</w:t>
      </w:r>
      <w:r w:rsidRPr="00D5464D">
        <w:rPr>
          <w:lang w:val="pt-BR"/>
        </w:rPr>
        <w:t>egurança</w:t>
      </w:r>
      <w:r w:rsidR="00470ADC" w:rsidRPr="00D5464D">
        <w:rPr>
          <w:lang w:val="pt-BR"/>
        </w:rPr>
        <w:t xml:space="preserve"> da </w:t>
      </w:r>
      <w:r w:rsidR="00933088" w:rsidRPr="00D5464D">
        <w:rPr>
          <w:lang w:val="pt-BR"/>
        </w:rPr>
        <w:t>H</w:t>
      </w:r>
      <w:r w:rsidRPr="00D5464D">
        <w:rPr>
          <w:lang w:val="pt-BR"/>
        </w:rPr>
        <w:t>umanidade</w:t>
      </w:r>
      <w:r w:rsidR="00207197" w:rsidRPr="00D5464D">
        <w:rPr>
          <w:lang w:val="pt-BR"/>
        </w:rPr>
        <w:t>, a</w:t>
      </w:r>
      <w:r w:rsidRPr="00D5464D">
        <w:rPr>
          <w:lang w:val="pt-BR"/>
        </w:rPr>
        <w:t>provad</w:t>
      </w:r>
      <w:r w:rsidR="00207197" w:rsidRPr="00D5464D">
        <w:rPr>
          <w:lang w:val="pt-BR"/>
        </w:rPr>
        <w:t>o</w:t>
      </w:r>
      <w:r w:rsidR="00470ADC" w:rsidRPr="00D5464D">
        <w:rPr>
          <w:lang w:val="pt-BR"/>
        </w:rPr>
        <w:t xml:space="preserve"> em </w:t>
      </w:r>
      <w:r w:rsidR="00207197" w:rsidRPr="00D5464D">
        <w:rPr>
          <w:lang w:val="pt-BR"/>
        </w:rPr>
        <w:t>1996</w:t>
      </w:r>
      <w:r w:rsidRPr="00D5464D">
        <w:rPr>
          <w:lang w:val="pt-BR"/>
        </w:rPr>
        <w:t xml:space="preserve"> pela </w:t>
      </w:r>
      <w:r w:rsidR="00470ADC" w:rsidRPr="00D5464D">
        <w:rPr>
          <w:lang w:val="pt-BR"/>
        </w:rPr>
        <w:t>Comissão</w:t>
      </w:r>
      <w:r w:rsidR="00207197" w:rsidRPr="00D5464D">
        <w:rPr>
          <w:lang w:val="pt-BR"/>
        </w:rPr>
        <w:t xml:space="preserve"> de </w:t>
      </w:r>
      <w:r w:rsidR="00E765C2" w:rsidRPr="00D5464D">
        <w:rPr>
          <w:lang w:val="pt-BR"/>
        </w:rPr>
        <w:t>Direito Internacional</w:t>
      </w:r>
      <w:r w:rsidR="00933088" w:rsidRPr="00D5464D">
        <w:rPr>
          <w:lang w:val="pt-BR"/>
        </w:rPr>
        <w:t xml:space="preserve"> </w:t>
      </w:r>
      <w:r w:rsidR="00207197" w:rsidRPr="00D5464D">
        <w:rPr>
          <w:lang w:val="pt-BR"/>
        </w:rPr>
        <w:t>(</w:t>
      </w:r>
      <w:r w:rsidR="00470ADC" w:rsidRPr="00D5464D">
        <w:rPr>
          <w:lang w:val="pt-BR"/>
        </w:rPr>
        <w:t>artigo</w:t>
      </w:r>
      <w:r w:rsidR="00207197" w:rsidRPr="00D5464D">
        <w:rPr>
          <w:lang w:val="pt-BR"/>
        </w:rPr>
        <w:t xml:space="preserve"> 18.d)</w:t>
      </w:r>
      <w:r w:rsidR="00933088" w:rsidRPr="00D5464D">
        <w:rPr>
          <w:lang w:val="pt-BR"/>
        </w:rPr>
        <w:t>,</w:t>
      </w:r>
      <w:r w:rsidR="00207197" w:rsidRPr="00D5464D">
        <w:rPr>
          <w:rStyle w:val="Refdenotaalpie"/>
          <w:lang w:val="pt-BR"/>
        </w:rPr>
        <w:footnoteReference w:id="382"/>
      </w:r>
      <w:r w:rsidR="00207197" w:rsidRPr="00D5464D">
        <w:rPr>
          <w:lang w:val="pt-BR"/>
        </w:rPr>
        <w:t xml:space="preserve"> como</w:t>
      </w:r>
      <w:r w:rsidR="00470ADC" w:rsidRPr="00D5464D">
        <w:rPr>
          <w:lang w:val="pt-BR"/>
        </w:rPr>
        <w:t xml:space="preserve"> o </w:t>
      </w:r>
      <w:r w:rsidR="00207197" w:rsidRPr="00D5464D">
        <w:rPr>
          <w:lang w:val="pt-BR"/>
        </w:rPr>
        <w:t>posterior Texto</w:t>
      </w:r>
      <w:r w:rsidR="00470ADC" w:rsidRPr="00D5464D">
        <w:rPr>
          <w:lang w:val="pt-BR"/>
        </w:rPr>
        <w:t xml:space="preserve"> dos </w:t>
      </w:r>
      <w:r w:rsidRPr="00D5464D">
        <w:rPr>
          <w:lang w:val="pt-BR"/>
        </w:rPr>
        <w:t>Projeto</w:t>
      </w:r>
      <w:r w:rsidR="00207197" w:rsidRPr="00D5464D">
        <w:rPr>
          <w:lang w:val="pt-BR"/>
        </w:rPr>
        <w:t xml:space="preserve">s de </w:t>
      </w:r>
      <w:r w:rsidR="00933088" w:rsidRPr="00D5464D">
        <w:rPr>
          <w:lang w:val="pt-BR"/>
        </w:rPr>
        <w:t>A</w:t>
      </w:r>
      <w:r w:rsidR="00470ADC" w:rsidRPr="00D5464D">
        <w:rPr>
          <w:lang w:val="pt-BR"/>
        </w:rPr>
        <w:t>rtigo</w:t>
      </w:r>
      <w:r w:rsidR="00207197" w:rsidRPr="00D5464D">
        <w:rPr>
          <w:lang w:val="pt-BR"/>
        </w:rPr>
        <w:t xml:space="preserve"> sobre</w:t>
      </w:r>
      <w:r w:rsidRPr="00D5464D">
        <w:rPr>
          <w:lang w:val="pt-BR"/>
        </w:rPr>
        <w:t xml:space="preserve"> os </w:t>
      </w:r>
      <w:r w:rsidR="00933088" w:rsidRPr="00D5464D">
        <w:rPr>
          <w:lang w:val="pt-BR"/>
        </w:rPr>
        <w:t>C</w:t>
      </w:r>
      <w:r w:rsidR="00470ADC" w:rsidRPr="00D5464D">
        <w:rPr>
          <w:lang w:val="pt-BR"/>
        </w:rPr>
        <w:t>rimes</w:t>
      </w:r>
      <w:r w:rsidR="00207197" w:rsidRPr="00D5464D">
        <w:rPr>
          <w:lang w:val="pt-BR"/>
        </w:rPr>
        <w:t xml:space="preserve"> </w:t>
      </w:r>
      <w:r w:rsidR="006465DE" w:rsidRPr="00D5464D">
        <w:rPr>
          <w:lang w:val="pt-BR"/>
        </w:rPr>
        <w:t>contra a H</w:t>
      </w:r>
      <w:r w:rsidRPr="00D5464D">
        <w:rPr>
          <w:lang w:val="pt-BR"/>
        </w:rPr>
        <w:t>umanidade</w:t>
      </w:r>
      <w:r w:rsidR="00207197" w:rsidRPr="00D5464D">
        <w:rPr>
          <w:lang w:val="pt-BR"/>
        </w:rPr>
        <w:t>, a</w:t>
      </w:r>
      <w:r w:rsidRPr="00D5464D">
        <w:rPr>
          <w:lang w:val="pt-BR"/>
        </w:rPr>
        <w:t>provad</w:t>
      </w:r>
      <w:r w:rsidR="00207197" w:rsidRPr="00D5464D">
        <w:rPr>
          <w:lang w:val="pt-BR"/>
        </w:rPr>
        <w:t xml:space="preserve">os </w:t>
      </w:r>
      <w:r w:rsidR="00C91CB1" w:rsidRPr="00D5464D">
        <w:rPr>
          <w:lang w:val="pt-BR"/>
        </w:rPr>
        <w:t>provisoriamente</w:t>
      </w:r>
      <w:r w:rsidR="00470ADC" w:rsidRPr="00D5464D">
        <w:rPr>
          <w:lang w:val="pt-BR"/>
        </w:rPr>
        <w:t xml:space="preserve"> em </w:t>
      </w:r>
      <w:r w:rsidR="00207197" w:rsidRPr="00D5464D">
        <w:rPr>
          <w:lang w:val="pt-BR"/>
        </w:rPr>
        <w:t>2015</w:t>
      </w:r>
      <w:r w:rsidR="00B502F2" w:rsidRPr="00D5464D">
        <w:rPr>
          <w:lang w:val="pt-BR"/>
        </w:rPr>
        <w:t>,</w:t>
      </w:r>
      <w:r w:rsidR="00207197" w:rsidRPr="00D5464D">
        <w:rPr>
          <w:lang w:val="pt-BR"/>
        </w:rPr>
        <w:t xml:space="preserve"> </w:t>
      </w:r>
      <w:r w:rsidR="00E045D9" w:rsidRPr="00D5464D">
        <w:rPr>
          <w:lang w:val="pt-BR"/>
        </w:rPr>
        <w:t>também</w:t>
      </w:r>
      <w:r w:rsidRPr="00D5464D">
        <w:rPr>
          <w:lang w:val="pt-BR"/>
        </w:rPr>
        <w:t xml:space="preserve"> pela </w:t>
      </w:r>
      <w:r w:rsidR="00470ADC" w:rsidRPr="00D5464D">
        <w:rPr>
          <w:lang w:val="pt-BR"/>
        </w:rPr>
        <w:t>Comissão</w:t>
      </w:r>
      <w:r w:rsidR="00207197" w:rsidRPr="00D5464D">
        <w:rPr>
          <w:lang w:val="pt-BR"/>
        </w:rPr>
        <w:t xml:space="preserve"> de </w:t>
      </w:r>
      <w:r w:rsidR="00E765C2" w:rsidRPr="00D5464D">
        <w:rPr>
          <w:lang w:val="pt-BR"/>
        </w:rPr>
        <w:t>Direito Internacional</w:t>
      </w:r>
      <w:r w:rsidR="00207197" w:rsidRPr="00D5464D">
        <w:rPr>
          <w:lang w:val="pt-BR"/>
        </w:rPr>
        <w:t xml:space="preserve">, </w:t>
      </w:r>
      <w:r w:rsidR="00E045D9" w:rsidRPr="00D5464D">
        <w:rPr>
          <w:lang w:val="pt-BR"/>
        </w:rPr>
        <w:t>estabelecem</w:t>
      </w:r>
      <w:r w:rsidR="00207197" w:rsidRPr="00D5464D">
        <w:rPr>
          <w:lang w:val="pt-BR"/>
        </w:rPr>
        <w:t xml:space="preserve"> que</w:t>
      </w:r>
      <w:r w:rsidRPr="00D5464D">
        <w:rPr>
          <w:lang w:val="pt-BR"/>
        </w:rPr>
        <w:t xml:space="preserve"> a </w:t>
      </w:r>
      <w:r w:rsidR="000B376D" w:rsidRPr="00D5464D">
        <w:rPr>
          <w:lang w:val="pt-BR"/>
        </w:rPr>
        <w:t>escravidão</w:t>
      </w:r>
      <w:r w:rsidR="00470ADC" w:rsidRPr="00D5464D">
        <w:rPr>
          <w:lang w:val="pt-BR"/>
        </w:rPr>
        <w:t xml:space="preserve"> é</w:t>
      </w:r>
      <w:r w:rsidR="00E045D9" w:rsidRPr="00D5464D">
        <w:rPr>
          <w:lang w:val="pt-BR"/>
        </w:rPr>
        <w:t xml:space="preserve"> um </w:t>
      </w:r>
      <w:r w:rsidR="00207197" w:rsidRPr="00D5464D">
        <w:rPr>
          <w:lang w:val="pt-BR"/>
        </w:rPr>
        <w:t>delito contra</w:t>
      </w:r>
      <w:r w:rsidRPr="00D5464D">
        <w:rPr>
          <w:lang w:val="pt-BR"/>
        </w:rPr>
        <w:t xml:space="preserve"> a humanidade</w:t>
      </w:r>
      <w:r w:rsidR="00207197" w:rsidRPr="00D5464D">
        <w:rPr>
          <w:lang w:val="pt-BR"/>
        </w:rPr>
        <w:t xml:space="preserve"> (</w:t>
      </w:r>
      <w:r w:rsidR="00470ADC" w:rsidRPr="00D5464D">
        <w:rPr>
          <w:lang w:val="pt-BR"/>
        </w:rPr>
        <w:t>artigo</w:t>
      </w:r>
      <w:r w:rsidR="00207197" w:rsidRPr="00D5464D">
        <w:rPr>
          <w:lang w:val="pt-BR"/>
        </w:rPr>
        <w:t xml:space="preserve"> 3.1.c),</w:t>
      </w:r>
      <w:r w:rsidR="00470ADC" w:rsidRPr="00D5464D">
        <w:rPr>
          <w:lang w:val="pt-BR"/>
        </w:rPr>
        <w:t xml:space="preserve"> o qual é </w:t>
      </w:r>
      <w:r w:rsidR="00207197" w:rsidRPr="00D5464D">
        <w:rPr>
          <w:lang w:val="pt-BR"/>
        </w:rPr>
        <w:t>definido</w:t>
      </w:r>
      <w:r w:rsidR="00E045D9" w:rsidRPr="00D5464D">
        <w:rPr>
          <w:lang w:val="pt-BR"/>
        </w:rPr>
        <w:t xml:space="preserve"> no </w:t>
      </w:r>
      <w:r w:rsidR="00207197" w:rsidRPr="00D5464D">
        <w:rPr>
          <w:lang w:val="pt-BR"/>
        </w:rPr>
        <w:t xml:space="preserve">último documento como </w:t>
      </w:r>
      <w:r w:rsidR="00470ADC" w:rsidRPr="00D5464D">
        <w:rPr>
          <w:lang w:val="pt-BR"/>
        </w:rPr>
        <w:t xml:space="preserve">“o exercício dos </w:t>
      </w:r>
      <w:r w:rsidR="00207197" w:rsidRPr="00D5464D">
        <w:rPr>
          <w:lang w:val="pt-BR"/>
        </w:rPr>
        <w:t xml:space="preserve">atributos </w:t>
      </w:r>
      <w:r w:rsidR="00470ADC" w:rsidRPr="00D5464D">
        <w:rPr>
          <w:lang w:val="pt-BR"/>
        </w:rPr>
        <w:t>do direito</w:t>
      </w:r>
      <w:r w:rsidR="00207197" w:rsidRPr="00D5464D">
        <w:rPr>
          <w:lang w:val="pt-BR"/>
        </w:rPr>
        <w:t xml:space="preserve"> de </w:t>
      </w:r>
      <w:r w:rsidRPr="00D5464D">
        <w:rPr>
          <w:lang w:val="pt-BR"/>
        </w:rPr>
        <w:t>propriedade</w:t>
      </w:r>
      <w:r w:rsidR="00207197" w:rsidRPr="00D5464D">
        <w:rPr>
          <w:lang w:val="pt-BR"/>
        </w:rPr>
        <w:t xml:space="preserve"> sobre</w:t>
      </w:r>
      <w:r w:rsidR="00E045D9" w:rsidRPr="00D5464D">
        <w:rPr>
          <w:lang w:val="pt-BR"/>
        </w:rPr>
        <w:t xml:space="preserve"> uma </w:t>
      </w:r>
      <w:r w:rsidRPr="00D5464D">
        <w:rPr>
          <w:lang w:val="pt-BR"/>
        </w:rPr>
        <w:t>pessoa</w:t>
      </w:r>
      <w:r w:rsidR="00207197" w:rsidRPr="00D5464D">
        <w:rPr>
          <w:lang w:val="pt-BR"/>
        </w:rPr>
        <w:t>, o</w:t>
      </w:r>
      <w:r w:rsidR="00933088" w:rsidRPr="00D5464D">
        <w:rPr>
          <w:lang w:val="pt-BR"/>
        </w:rPr>
        <w:t>u</w:t>
      </w:r>
      <w:r w:rsidR="00207197" w:rsidRPr="00D5464D">
        <w:rPr>
          <w:lang w:val="pt-BR"/>
        </w:rPr>
        <w:t xml:space="preserve"> de </w:t>
      </w:r>
      <w:r w:rsidR="00470ADC" w:rsidRPr="00D5464D">
        <w:rPr>
          <w:lang w:val="pt-BR"/>
        </w:rPr>
        <w:t>alguns</w:t>
      </w:r>
      <w:r w:rsidR="00350187" w:rsidRPr="00D5464D">
        <w:rPr>
          <w:lang w:val="pt-BR"/>
        </w:rPr>
        <w:t xml:space="preserve"> dele</w:t>
      </w:r>
      <w:r w:rsidR="00207197" w:rsidRPr="00D5464D">
        <w:rPr>
          <w:lang w:val="pt-BR"/>
        </w:rPr>
        <w:t xml:space="preserve">s, </w:t>
      </w:r>
      <w:r w:rsidRPr="00D5464D">
        <w:rPr>
          <w:lang w:val="pt-BR"/>
        </w:rPr>
        <w:t>incluíd</w:t>
      </w:r>
      <w:r w:rsidR="00207197" w:rsidRPr="00D5464D">
        <w:rPr>
          <w:lang w:val="pt-BR"/>
        </w:rPr>
        <w:t>o</w:t>
      </w:r>
      <w:r w:rsidR="00470ADC" w:rsidRPr="00D5464D">
        <w:rPr>
          <w:lang w:val="pt-BR"/>
        </w:rPr>
        <w:t xml:space="preserve"> o exercício</w:t>
      </w:r>
      <w:r w:rsidR="00207197" w:rsidRPr="00D5464D">
        <w:rPr>
          <w:lang w:val="pt-BR"/>
        </w:rPr>
        <w:t xml:space="preserve"> </w:t>
      </w:r>
      <w:r w:rsidR="00E045D9" w:rsidRPr="00D5464D">
        <w:rPr>
          <w:lang w:val="pt-BR"/>
        </w:rPr>
        <w:t>deste</w:t>
      </w:r>
      <w:r w:rsidR="00470ADC" w:rsidRPr="00D5464D">
        <w:rPr>
          <w:lang w:val="pt-BR"/>
        </w:rPr>
        <w:t xml:space="preserve">s </w:t>
      </w:r>
      <w:r w:rsidR="00207197" w:rsidRPr="00D5464D">
        <w:rPr>
          <w:lang w:val="pt-BR"/>
        </w:rPr>
        <w:t>atributos</w:t>
      </w:r>
      <w:r w:rsidR="00E045D9" w:rsidRPr="00D5464D">
        <w:rPr>
          <w:lang w:val="pt-BR"/>
        </w:rPr>
        <w:t xml:space="preserve"> no </w:t>
      </w:r>
      <w:r w:rsidR="00207197" w:rsidRPr="00D5464D">
        <w:rPr>
          <w:lang w:val="pt-BR"/>
        </w:rPr>
        <w:t xml:space="preserve">tráfico de </w:t>
      </w:r>
      <w:r w:rsidRPr="00D5464D">
        <w:rPr>
          <w:lang w:val="pt-BR"/>
        </w:rPr>
        <w:t>pessoa</w:t>
      </w:r>
      <w:r w:rsidR="00207197" w:rsidRPr="00D5464D">
        <w:rPr>
          <w:lang w:val="pt-BR"/>
        </w:rPr>
        <w:t>s,</w:t>
      </w:r>
      <w:r w:rsidR="00470ADC" w:rsidRPr="00D5464D">
        <w:rPr>
          <w:lang w:val="pt-BR"/>
        </w:rPr>
        <w:t xml:space="preserve"> em </w:t>
      </w:r>
      <w:r w:rsidR="00207197" w:rsidRPr="00D5464D">
        <w:rPr>
          <w:lang w:val="pt-BR"/>
        </w:rPr>
        <w:t xml:space="preserve">particular </w:t>
      </w:r>
      <w:r w:rsidR="00933088" w:rsidRPr="00D5464D">
        <w:rPr>
          <w:lang w:val="pt-BR"/>
        </w:rPr>
        <w:t xml:space="preserve">de </w:t>
      </w:r>
      <w:r w:rsidRPr="00D5464D">
        <w:rPr>
          <w:lang w:val="pt-BR"/>
        </w:rPr>
        <w:t>mulher</w:t>
      </w:r>
      <w:r w:rsidR="00207197" w:rsidRPr="00D5464D">
        <w:rPr>
          <w:lang w:val="pt-BR"/>
        </w:rPr>
        <w:t>es</w:t>
      </w:r>
      <w:r w:rsidR="00E045D9" w:rsidRPr="00D5464D">
        <w:rPr>
          <w:lang w:val="pt-BR"/>
        </w:rPr>
        <w:t xml:space="preserve"> e </w:t>
      </w:r>
      <w:r w:rsidRPr="00D5464D">
        <w:rPr>
          <w:lang w:val="pt-BR"/>
        </w:rPr>
        <w:t>crianças</w:t>
      </w:r>
      <w:r w:rsidR="00207197" w:rsidRPr="00D5464D">
        <w:rPr>
          <w:lang w:val="pt-BR"/>
        </w:rPr>
        <w:t>” (</w:t>
      </w:r>
      <w:r w:rsidR="00470ADC" w:rsidRPr="00D5464D">
        <w:rPr>
          <w:lang w:val="pt-BR"/>
        </w:rPr>
        <w:t>artigo</w:t>
      </w:r>
      <w:r w:rsidR="00207197" w:rsidRPr="00D5464D">
        <w:rPr>
          <w:lang w:val="pt-BR"/>
        </w:rPr>
        <w:t xml:space="preserve"> 3.2.c)</w:t>
      </w:r>
      <w:r w:rsidR="00933088" w:rsidRPr="00D5464D">
        <w:rPr>
          <w:lang w:val="pt-BR"/>
        </w:rPr>
        <w:t>.</w:t>
      </w:r>
      <w:r w:rsidR="00207197" w:rsidRPr="00D5464D">
        <w:rPr>
          <w:rStyle w:val="Refdenotaalpie"/>
          <w:lang w:val="pt-BR"/>
        </w:rPr>
        <w:footnoteReference w:id="383"/>
      </w:r>
    </w:p>
    <w:p w14:paraId="2C157AD2" w14:textId="77777777" w:rsidR="00207197" w:rsidRPr="00D5464D" w:rsidRDefault="00207197" w:rsidP="00140440">
      <w:pPr>
        <w:jc w:val="both"/>
        <w:rPr>
          <w:lang w:val="pt-BR"/>
        </w:rPr>
      </w:pPr>
    </w:p>
    <w:p w14:paraId="4F159A03" w14:textId="5CCAEB79" w:rsidR="00207197" w:rsidRPr="00D5464D" w:rsidRDefault="00E765C2" w:rsidP="00F37DC4">
      <w:pPr>
        <w:pStyle w:val="Prrafodelista"/>
        <w:numPr>
          <w:ilvl w:val="0"/>
          <w:numId w:val="1"/>
        </w:numPr>
        <w:contextualSpacing w:val="0"/>
        <w:rPr>
          <w:lang w:val="pt-BR"/>
        </w:rPr>
      </w:pPr>
      <w:r w:rsidRPr="00D5464D">
        <w:rPr>
          <w:lang w:val="pt-BR"/>
        </w:rPr>
        <w:t>A seguir</w:t>
      </w:r>
      <w:r w:rsidR="00B502F2" w:rsidRPr="00D5464D">
        <w:rPr>
          <w:lang w:val="pt-BR"/>
        </w:rPr>
        <w:t>,</w:t>
      </w:r>
      <w:r w:rsidR="002C330E" w:rsidRPr="00D5464D">
        <w:rPr>
          <w:lang w:val="pt-BR"/>
        </w:rPr>
        <w:t xml:space="preserve"> a </w:t>
      </w:r>
      <w:r w:rsidR="00207197" w:rsidRPr="00D5464D">
        <w:rPr>
          <w:lang w:val="pt-BR"/>
        </w:rPr>
        <w:t xml:space="preserve">Corte </w:t>
      </w:r>
      <w:r w:rsidR="00933088" w:rsidRPr="00D5464D">
        <w:rPr>
          <w:lang w:val="pt-BR"/>
        </w:rPr>
        <w:t>resumi</w:t>
      </w:r>
      <w:r w:rsidR="00207197" w:rsidRPr="00D5464D">
        <w:rPr>
          <w:lang w:val="pt-BR"/>
        </w:rPr>
        <w:t>rá</w:t>
      </w:r>
      <w:r w:rsidR="002C330E" w:rsidRPr="00D5464D">
        <w:rPr>
          <w:lang w:val="pt-BR"/>
        </w:rPr>
        <w:t xml:space="preserve"> a </w:t>
      </w:r>
      <w:r w:rsidR="00207197" w:rsidRPr="00D5464D">
        <w:rPr>
          <w:lang w:val="pt-BR"/>
        </w:rPr>
        <w:t>interpreta</w:t>
      </w:r>
      <w:r w:rsidR="00470ADC" w:rsidRPr="00D5464D">
        <w:rPr>
          <w:lang w:val="pt-BR"/>
        </w:rPr>
        <w:t xml:space="preserve">ção da </w:t>
      </w:r>
      <w:r w:rsidR="00207197" w:rsidRPr="00D5464D">
        <w:rPr>
          <w:lang w:val="pt-BR"/>
        </w:rPr>
        <w:t>defini</w:t>
      </w:r>
      <w:r w:rsidR="00470ADC" w:rsidRPr="00D5464D">
        <w:rPr>
          <w:lang w:val="pt-BR"/>
        </w:rPr>
        <w:t>ção</w:t>
      </w:r>
      <w:r w:rsidR="00207197" w:rsidRPr="00D5464D">
        <w:rPr>
          <w:lang w:val="pt-BR"/>
        </w:rPr>
        <w:t xml:space="preserve"> de </w:t>
      </w:r>
      <w:r w:rsidR="000B376D" w:rsidRPr="00D5464D">
        <w:rPr>
          <w:lang w:val="pt-BR"/>
        </w:rPr>
        <w:t>escravidão</w:t>
      </w:r>
      <w:r w:rsidR="00E045D9" w:rsidRPr="00D5464D">
        <w:rPr>
          <w:lang w:val="pt-BR"/>
        </w:rPr>
        <w:t xml:space="preserve"> e </w:t>
      </w:r>
      <w:r w:rsidR="00933088" w:rsidRPr="00D5464D">
        <w:rPr>
          <w:lang w:val="pt-BR"/>
        </w:rPr>
        <w:t xml:space="preserve">de </w:t>
      </w:r>
      <w:r w:rsidR="00230C71" w:rsidRPr="00D5464D">
        <w:rPr>
          <w:lang w:val="pt-BR"/>
        </w:rPr>
        <w:t>suas formas</w:t>
      </w:r>
      <w:r w:rsidR="00207197" w:rsidRPr="00D5464D">
        <w:rPr>
          <w:lang w:val="pt-BR"/>
        </w:rPr>
        <w:t xml:space="preserve"> análogas</w:t>
      </w:r>
      <w:r w:rsidR="00B502F2" w:rsidRPr="00D5464D">
        <w:rPr>
          <w:lang w:val="pt-BR"/>
        </w:rPr>
        <w:t>,</w:t>
      </w:r>
      <w:r w:rsidR="00207197" w:rsidRPr="00D5464D">
        <w:rPr>
          <w:lang w:val="pt-BR"/>
        </w:rPr>
        <w:t xml:space="preserve"> realizada por diversos </w:t>
      </w:r>
      <w:r w:rsidR="00E045D9" w:rsidRPr="00D5464D">
        <w:rPr>
          <w:lang w:val="pt-BR"/>
        </w:rPr>
        <w:t>tribunais</w:t>
      </w:r>
      <w:r w:rsidR="00207197" w:rsidRPr="00D5464D">
        <w:rPr>
          <w:lang w:val="pt-BR"/>
        </w:rPr>
        <w:t xml:space="preserve"> </w:t>
      </w:r>
      <w:r w:rsidR="002C330E" w:rsidRPr="00D5464D">
        <w:rPr>
          <w:lang w:val="pt-BR"/>
        </w:rPr>
        <w:t>internacionais</w:t>
      </w:r>
      <w:r w:rsidR="00207197" w:rsidRPr="00D5464D">
        <w:rPr>
          <w:lang w:val="pt-BR"/>
        </w:rPr>
        <w:t xml:space="preserve"> que </w:t>
      </w:r>
      <w:r w:rsidR="00350187" w:rsidRPr="00D5464D">
        <w:rPr>
          <w:lang w:val="pt-BR"/>
        </w:rPr>
        <w:t>tiveram</w:t>
      </w:r>
      <w:r w:rsidR="002C330E" w:rsidRPr="00D5464D">
        <w:rPr>
          <w:lang w:val="pt-BR"/>
        </w:rPr>
        <w:t xml:space="preserve"> a oportunidade </w:t>
      </w:r>
      <w:r w:rsidR="00207197" w:rsidRPr="00D5464D">
        <w:rPr>
          <w:lang w:val="pt-BR"/>
        </w:rPr>
        <w:t xml:space="preserve">de </w:t>
      </w:r>
      <w:r w:rsidR="00F10401" w:rsidRPr="00D5464D">
        <w:rPr>
          <w:lang w:val="pt-BR"/>
        </w:rPr>
        <w:t xml:space="preserve">se </w:t>
      </w:r>
      <w:r w:rsidR="002C330E" w:rsidRPr="00D5464D">
        <w:rPr>
          <w:lang w:val="pt-BR"/>
        </w:rPr>
        <w:t>pronunciar</w:t>
      </w:r>
      <w:r w:rsidR="00207197" w:rsidRPr="00D5464D">
        <w:rPr>
          <w:lang w:val="pt-BR"/>
        </w:rPr>
        <w:t xml:space="preserve"> sobre</w:t>
      </w:r>
      <w:r w:rsidR="00470ADC" w:rsidRPr="00D5464D">
        <w:rPr>
          <w:lang w:val="pt-BR"/>
        </w:rPr>
        <w:t xml:space="preserve"> esse </w:t>
      </w:r>
      <w:r w:rsidR="00207197" w:rsidRPr="00D5464D">
        <w:rPr>
          <w:lang w:val="pt-BR"/>
        </w:rPr>
        <w:t>delito</w:t>
      </w:r>
      <w:r w:rsidR="00B502F2" w:rsidRPr="00D5464D">
        <w:rPr>
          <w:lang w:val="pt-BR"/>
        </w:rPr>
        <w:t>;</w:t>
      </w:r>
      <w:r w:rsidR="00207197" w:rsidRPr="00D5464D">
        <w:rPr>
          <w:lang w:val="pt-BR"/>
        </w:rPr>
        <w:t xml:space="preserve"> </w:t>
      </w:r>
      <w:r w:rsidR="00933088" w:rsidRPr="00D5464D">
        <w:rPr>
          <w:lang w:val="pt-BR"/>
        </w:rPr>
        <w:t xml:space="preserve">bem </w:t>
      </w:r>
      <w:r w:rsidR="00207197" w:rsidRPr="00D5464D">
        <w:rPr>
          <w:lang w:val="pt-BR"/>
        </w:rPr>
        <w:t>como</w:t>
      </w:r>
      <w:r w:rsidR="00470ADC" w:rsidRPr="00D5464D">
        <w:rPr>
          <w:lang w:val="pt-BR"/>
        </w:rPr>
        <w:t xml:space="preserve"> o desenvolvimento</w:t>
      </w:r>
      <w:r w:rsidR="00207197" w:rsidRPr="00D5464D">
        <w:rPr>
          <w:lang w:val="pt-BR"/>
        </w:rPr>
        <w:t xml:space="preserve"> por parte</w:t>
      </w:r>
      <w:r w:rsidR="00470ADC" w:rsidRPr="00D5464D">
        <w:rPr>
          <w:lang w:val="pt-BR"/>
        </w:rPr>
        <w:t xml:space="preserve"> da </w:t>
      </w:r>
      <w:r w:rsidR="00207197" w:rsidRPr="00D5464D">
        <w:rPr>
          <w:lang w:val="pt-BR"/>
        </w:rPr>
        <w:t>Organiza</w:t>
      </w:r>
      <w:r w:rsidR="00470ADC" w:rsidRPr="00D5464D">
        <w:rPr>
          <w:lang w:val="pt-BR"/>
        </w:rPr>
        <w:t>ção</w:t>
      </w:r>
      <w:r w:rsidR="00207197" w:rsidRPr="00D5464D">
        <w:rPr>
          <w:lang w:val="pt-BR"/>
        </w:rPr>
        <w:t xml:space="preserve"> Internacional </w:t>
      </w:r>
      <w:r w:rsidR="00470ADC" w:rsidRPr="00D5464D">
        <w:rPr>
          <w:lang w:val="pt-BR"/>
        </w:rPr>
        <w:t xml:space="preserve">do </w:t>
      </w:r>
      <w:r w:rsidR="00E045D9" w:rsidRPr="00D5464D">
        <w:rPr>
          <w:lang w:val="pt-BR"/>
        </w:rPr>
        <w:t xml:space="preserve">Trabalho e </w:t>
      </w:r>
      <w:r w:rsidR="00207197" w:rsidRPr="00D5464D">
        <w:rPr>
          <w:lang w:val="pt-BR"/>
        </w:rPr>
        <w:t xml:space="preserve">de </w:t>
      </w:r>
      <w:r w:rsidR="002C330E" w:rsidRPr="00D5464D">
        <w:rPr>
          <w:lang w:val="pt-BR"/>
        </w:rPr>
        <w:t>órgão</w:t>
      </w:r>
      <w:r w:rsidR="00933088" w:rsidRPr="00D5464D">
        <w:rPr>
          <w:lang w:val="pt-BR"/>
        </w:rPr>
        <w:t>s especializados das</w:t>
      </w:r>
      <w:r w:rsidR="00207197" w:rsidRPr="00D5464D">
        <w:rPr>
          <w:lang w:val="pt-BR"/>
        </w:rPr>
        <w:t xml:space="preserve"> Na</w:t>
      </w:r>
      <w:r w:rsidR="00470ADC" w:rsidRPr="00D5464D">
        <w:rPr>
          <w:lang w:val="pt-BR"/>
        </w:rPr>
        <w:t>ções</w:t>
      </w:r>
      <w:r w:rsidR="00207197" w:rsidRPr="00D5464D">
        <w:rPr>
          <w:lang w:val="pt-BR"/>
        </w:rPr>
        <w:t xml:space="preserve"> Unidas sobre</w:t>
      </w:r>
      <w:r w:rsidR="002C330E" w:rsidRPr="00D5464D">
        <w:rPr>
          <w:lang w:val="pt-BR"/>
        </w:rPr>
        <w:t xml:space="preserve"> a </w:t>
      </w:r>
      <w:r w:rsidR="00A1358C" w:rsidRPr="00D5464D">
        <w:rPr>
          <w:lang w:val="pt-BR"/>
        </w:rPr>
        <w:t>matéria.</w:t>
      </w:r>
      <w:r w:rsidR="00207197" w:rsidRPr="00D5464D">
        <w:rPr>
          <w:lang w:val="pt-BR"/>
        </w:rPr>
        <w:t xml:space="preserve"> </w:t>
      </w:r>
    </w:p>
    <w:p w14:paraId="0AC2491F" w14:textId="77777777" w:rsidR="008B22F5" w:rsidRPr="00D5464D" w:rsidRDefault="008B22F5" w:rsidP="008B5D60">
      <w:pPr>
        <w:pStyle w:val="Ttulo3"/>
        <w:rPr>
          <w:lang w:val="pt-BR"/>
        </w:rPr>
      </w:pPr>
    </w:p>
    <w:p w14:paraId="5A7BF08B" w14:textId="34052631" w:rsidR="00207197" w:rsidRPr="00D5464D" w:rsidRDefault="008B5D60" w:rsidP="008B5D60">
      <w:pPr>
        <w:pStyle w:val="Ttulo3"/>
        <w:rPr>
          <w:lang w:val="pt-BR"/>
        </w:rPr>
      </w:pPr>
      <w:bookmarkStart w:id="394" w:name="_Toc468433921"/>
      <w:r w:rsidRPr="00D5464D">
        <w:rPr>
          <w:lang w:val="pt-BR"/>
        </w:rPr>
        <w:t>B.2</w:t>
      </w:r>
      <w:r w:rsidR="00CB7E29" w:rsidRPr="00D5464D">
        <w:rPr>
          <w:lang w:val="pt-BR"/>
        </w:rPr>
        <w:t>.</w:t>
      </w:r>
      <w:r w:rsidR="00207197" w:rsidRPr="00D5464D">
        <w:rPr>
          <w:lang w:val="pt-BR"/>
        </w:rPr>
        <w:t xml:space="preserve"> </w:t>
      </w:r>
      <w:r w:rsidR="00E045D9" w:rsidRPr="00D5464D">
        <w:rPr>
          <w:lang w:val="pt-BR"/>
        </w:rPr>
        <w:t>Tribunais</w:t>
      </w:r>
      <w:r w:rsidR="00207197" w:rsidRPr="00D5464D">
        <w:rPr>
          <w:lang w:val="pt-BR"/>
        </w:rPr>
        <w:t xml:space="preserve"> </w:t>
      </w:r>
      <w:r w:rsidR="002C330E" w:rsidRPr="00D5464D">
        <w:rPr>
          <w:lang w:val="pt-BR"/>
        </w:rPr>
        <w:t>Internacionais</w:t>
      </w:r>
      <w:r w:rsidR="00E045D9" w:rsidRPr="00D5464D">
        <w:rPr>
          <w:lang w:val="pt-BR"/>
        </w:rPr>
        <w:t xml:space="preserve"> e </w:t>
      </w:r>
      <w:r w:rsidR="002C330E" w:rsidRPr="00D5464D">
        <w:rPr>
          <w:lang w:val="pt-BR"/>
        </w:rPr>
        <w:t>Órgão</w:t>
      </w:r>
      <w:r w:rsidR="00207197" w:rsidRPr="00D5464D">
        <w:rPr>
          <w:lang w:val="pt-BR"/>
        </w:rPr>
        <w:t xml:space="preserve">s </w:t>
      </w:r>
      <w:r w:rsidR="00F10401" w:rsidRPr="00D5464D">
        <w:rPr>
          <w:lang w:val="pt-BR"/>
        </w:rPr>
        <w:t>Q</w:t>
      </w:r>
      <w:r w:rsidR="00C93A4F" w:rsidRPr="00D5464D">
        <w:rPr>
          <w:lang w:val="pt-BR"/>
        </w:rPr>
        <w:t>uase</w:t>
      </w:r>
      <w:r w:rsidR="00207197" w:rsidRPr="00D5464D">
        <w:rPr>
          <w:lang w:val="pt-BR"/>
        </w:rPr>
        <w:t>-</w:t>
      </w:r>
      <w:r w:rsidR="002C330E" w:rsidRPr="00D5464D">
        <w:rPr>
          <w:lang w:val="pt-BR"/>
        </w:rPr>
        <w:t>Judiciais</w:t>
      </w:r>
      <w:bookmarkEnd w:id="394"/>
    </w:p>
    <w:p w14:paraId="5FC7ECDF" w14:textId="77777777" w:rsidR="00207197" w:rsidRPr="00D5464D" w:rsidRDefault="00207197" w:rsidP="00AB60EE">
      <w:pPr>
        <w:jc w:val="both"/>
        <w:rPr>
          <w:lang w:val="pt-BR"/>
        </w:rPr>
      </w:pPr>
    </w:p>
    <w:p w14:paraId="13D701D4" w14:textId="336A6FAB" w:rsidR="00207197" w:rsidRPr="00D5464D" w:rsidRDefault="00C91CB1" w:rsidP="00F37DC4">
      <w:pPr>
        <w:pStyle w:val="Prrafodelista"/>
        <w:numPr>
          <w:ilvl w:val="0"/>
          <w:numId w:val="1"/>
        </w:numPr>
        <w:contextualSpacing w:val="0"/>
        <w:rPr>
          <w:lang w:val="pt-BR"/>
        </w:rPr>
      </w:pPr>
      <w:r w:rsidRPr="00D5464D">
        <w:rPr>
          <w:lang w:val="pt-BR"/>
        </w:rPr>
        <w:t xml:space="preserve">Em </w:t>
      </w:r>
      <w:r w:rsidR="00207197" w:rsidRPr="00D5464D">
        <w:rPr>
          <w:lang w:val="pt-BR"/>
        </w:rPr>
        <w:t>su</w:t>
      </w:r>
      <w:r w:rsidR="00F50687" w:rsidRPr="00D5464D">
        <w:rPr>
          <w:lang w:val="pt-BR"/>
        </w:rPr>
        <w:t>a</w:t>
      </w:r>
      <w:r w:rsidR="00207197" w:rsidRPr="00D5464D">
        <w:rPr>
          <w:lang w:val="pt-BR"/>
        </w:rPr>
        <w:t xml:space="preserve"> histórica </w:t>
      </w:r>
      <w:r w:rsidR="00470ADC" w:rsidRPr="00D5464D">
        <w:rPr>
          <w:lang w:val="pt-BR"/>
        </w:rPr>
        <w:t>decisão</w:t>
      </w:r>
      <w:r w:rsidR="00207197" w:rsidRPr="00D5464D">
        <w:rPr>
          <w:lang w:val="pt-BR"/>
        </w:rPr>
        <w:t xml:space="preserve"> </w:t>
      </w:r>
      <w:r w:rsidR="00F50687" w:rsidRPr="00D5464D">
        <w:rPr>
          <w:lang w:val="pt-BR"/>
        </w:rPr>
        <w:t>n</w:t>
      </w:r>
      <w:r w:rsidR="00470ADC" w:rsidRPr="00D5464D">
        <w:rPr>
          <w:lang w:val="pt-BR"/>
        </w:rPr>
        <w:t xml:space="preserve">o </w:t>
      </w:r>
      <w:r w:rsidR="00207197" w:rsidRPr="00D5464D">
        <w:rPr>
          <w:i/>
          <w:lang w:val="pt-BR"/>
        </w:rPr>
        <w:t xml:space="preserve">Caso </w:t>
      </w:r>
      <w:r w:rsidR="00470ADC" w:rsidRPr="00D5464D">
        <w:rPr>
          <w:i/>
          <w:lang w:val="pt-BR"/>
        </w:rPr>
        <w:t xml:space="preserve">Promotor </w:t>
      </w:r>
      <w:r w:rsidR="00122B46" w:rsidRPr="00D5464D">
        <w:rPr>
          <w:i/>
          <w:lang w:val="pt-BR"/>
        </w:rPr>
        <w:t>V</w:t>
      </w:r>
      <w:r w:rsidR="00207197" w:rsidRPr="00D5464D">
        <w:rPr>
          <w:i/>
          <w:lang w:val="pt-BR"/>
        </w:rPr>
        <w:t>s. Kunarac</w:t>
      </w:r>
      <w:r w:rsidR="00F50687" w:rsidRPr="00D5464D">
        <w:rPr>
          <w:lang w:val="pt-BR"/>
        </w:rPr>
        <w:t>,</w:t>
      </w:r>
      <w:r w:rsidR="00207197" w:rsidRPr="00D5464D">
        <w:rPr>
          <w:vertAlign w:val="superscript"/>
          <w:lang w:val="pt-BR"/>
        </w:rPr>
        <w:footnoteReference w:id="384"/>
      </w:r>
      <w:r w:rsidR="002C330E" w:rsidRPr="00D5464D">
        <w:rPr>
          <w:lang w:val="pt-BR"/>
        </w:rPr>
        <w:t xml:space="preserve"> a </w:t>
      </w:r>
      <w:r w:rsidR="00A1358C" w:rsidRPr="00D5464D">
        <w:rPr>
          <w:lang w:val="pt-BR"/>
        </w:rPr>
        <w:t xml:space="preserve">Câmara </w:t>
      </w:r>
      <w:r w:rsidR="00207197" w:rsidRPr="00D5464D">
        <w:rPr>
          <w:lang w:val="pt-BR"/>
        </w:rPr>
        <w:t>de Apela</w:t>
      </w:r>
      <w:r w:rsidR="00470ADC" w:rsidRPr="00D5464D">
        <w:rPr>
          <w:lang w:val="pt-BR"/>
        </w:rPr>
        <w:t>ções</w:t>
      </w:r>
      <w:r w:rsidR="00207197" w:rsidRPr="00D5464D">
        <w:rPr>
          <w:lang w:val="pt-BR"/>
        </w:rPr>
        <w:t xml:space="preserve"> </w:t>
      </w:r>
      <w:r w:rsidR="00470ADC" w:rsidRPr="00D5464D">
        <w:rPr>
          <w:lang w:val="pt-BR"/>
        </w:rPr>
        <w:t xml:space="preserve">do </w:t>
      </w:r>
      <w:r w:rsidR="00207197" w:rsidRPr="00D5464D">
        <w:rPr>
          <w:lang w:val="pt-BR"/>
        </w:rPr>
        <w:t>Tribunal Penal Internacional</w:t>
      </w:r>
      <w:r w:rsidR="00041EA2" w:rsidRPr="00D5464D">
        <w:rPr>
          <w:lang w:val="pt-BR"/>
        </w:rPr>
        <w:t xml:space="preserve"> Ad </w:t>
      </w:r>
      <w:r w:rsidR="00B502F2" w:rsidRPr="00D5464D">
        <w:rPr>
          <w:lang w:val="pt-BR"/>
        </w:rPr>
        <w:t>Hoc</w:t>
      </w:r>
      <w:r w:rsidR="00207197" w:rsidRPr="00D5464D">
        <w:rPr>
          <w:lang w:val="pt-BR"/>
        </w:rPr>
        <w:t xml:space="preserve"> para</w:t>
      </w:r>
      <w:r w:rsidR="002C330E" w:rsidRPr="00D5464D">
        <w:rPr>
          <w:lang w:val="pt-BR"/>
        </w:rPr>
        <w:t xml:space="preserve"> a </w:t>
      </w:r>
      <w:r w:rsidR="00627239" w:rsidRPr="00D5464D">
        <w:rPr>
          <w:lang w:val="pt-BR"/>
        </w:rPr>
        <w:t>antiga Iugoslávia</w:t>
      </w:r>
      <w:r w:rsidR="00207197" w:rsidRPr="00D5464D">
        <w:rPr>
          <w:lang w:val="pt-BR"/>
        </w:rPr>
        <w:t xml:space="preserve"> </w:t>
      </w:r>
      <w:r w:rsidRPr="00D5464D">
        <w:rPr>
          <w:lang w:val="pt-BR"/>
        </w:rPr>
        <w:t>definiu</w:t>
      </w:r>
      <w:r w:rsidR="002C330E" w:rsidRPr="00D5464D">
        <w:rPr>
          <w:lang w:val="pt-BR"/>
        </w:rPr>
        <w:t xml:space="preserve"> a </w:t>
      </w:r>
      <w:r w:rsidR="000B376D" w:rsidRPr="00D5464D">
        <w:rPr>
          <w:lang w:val="pt-BR"/>
        </w:rPr>
        <w:t>escravidão</w:t>
      </w:r>
      <w:r w:rsidR="00207197" w:rsidRPr="00D5464D">
        <w:rPr>
          <w:lang w:val="pt-BR"/>
        </w:rPr>
        <w:t xml:space="preserve"> como </w:t>
      </w:r>
      <w:r w:rsidR="00470ADC" w:rsidRPr="00D5464D">
        <w:rPr>
          <w:lang w:val="pt-BR"/>
        </w:rPr>
        <w:t>“o exercício</w:t>
      </w:r>
      <w:r w:rsidR="00207197" w:rsidRPr="00D5464D">
        <w:rPr>
          <w:lang w:val="pt-BR"/>
        </w:rPr>
        <w:t xml:space="preserve"> de </w:t>
      </w:r>
      <w:r w:rsidR="00470ADC" w:rsidRPr="00D5464D">
        <w:rPr>
          <w:lang w:val="pt-BR"/>
        </w:rPr>
        <w:t xml:space="preserve">algum </w:t>
      </w:r>
      <w:r w:rsidR="00207197" w:rsidRPr="00D5464D">
        <w:rPr>
          <w:lang w:val="pt-BR"/>
        </w:rPr>
        <w:t>o</w:t>
      </w:r>
      <w:r w:rsidR="003728CE" w:rsidRPr="00D5464D">
        <w:rPr>
          <w:lang w:val="pt-BR"/>
        </w:rPr>
        <w:t>u</w:t>
      </w:r>
      <w:r w:rsidR="00207197" w:rsidRPr="00D5464D">
        <w:rPr>
          <w:lang w:val="pt-BR"/>
        </w:rPr>
        <w:t xml:space="preserve"> de todos</w:t>
      </w:r>
      <w:r w:rsidR="002C330E" w:rsidRPr="00D5464D">
        <w:rPr>
          <w:lang w:val="pt-BR"/>
        </w:rPr>
        <w:t xml:space="preserve"> os </w:t>
      </w:r>
      <w:r w:rsidR="00207197" w:rsidRPr="00D5464D">
        <w:rPr>
          <w:lang w:val="pt-BR"/>
        </w:rPr>
        <w:t xml:space="preserve">poderes que </w:t>
      </w:r>
      <w:r w:rsidR="00E045D9" w:rsidRPr="00D5464D">
        <w:rPr>
          <w:lang w:val="pt-BR"/>
        </w:rPr>
        <w:t>decorrem</w:t>
      </w:r>
      <w:r w:rsidR="00207197" w:rsidRPr="00D5464D">
        <w:rPr>
          <w:lang w:val="pt-BR"/>
        </w:rPr>
        <w:t xml:space="preserve"> </w:t>
      </w:r>
      <w:r w:rsidR="00470ADC" w:rsidRPr="00D5464D">
        <w:rPr>
          <w:lang w:val="pt-BR"/>
        </w:rPr>
        <w:t>do direito</w:t>
      </w:r>
      <w:r w:rsidR="00207197" w:rsidRPr="00D5464D">
        <w:rPr>
          <w:lang w:val="pt-BR"/>
        </w:rPr>
        <w:t xml:space="preserve"> de </w:t>
      </w:r>
      <w:r w:rsidR="002C330E" w:rsidRPr="00D5464D">
        <w:rPr>
          <w:lang w:val="pt-BR"/>
        </w:rPr>
        <w:t>propriedade</w:t>
      </w:r>
      <w:r w:rsidR="00207197" w:rsidRPr="00D5464D">
        <w:rPr>
          <w:lang w:val="pt-BR"/>
        </w:rPr>
        <w:t xml:space="preserve"> sobre</w:t>
      </w:r>
      <w:r w:rsidR="00E045D9" w:rsidRPr="00D5464D">
        <w:rPr>
          <w:lang w:val="pt-BR"/>
        </w:rPr>
        <w:t xml:space="preserve"> uma </w:t>
      </w:r>
      <w:r w:rsidR="002C330E" w:rsidRPr="00D5464D">
        <w:rPr>
          <w:lang w:val="pt-BR"/>
        </w:rPr>
        <w:t>pessoa</w:t>
      </w:r>
      <w:r w:rsidR="00207197" w:rsidRPr="00D5464D">
        <w:rPr>
          <w:lang w:val="pt-BR"/>
        </w:rPr>
        <w:t>”.</w:t>
      </w:r>
      <w:r w:rsidR="00470ADC" w:rsidRPr="00D5464D">
        <w:rPr>
          <w:lang w:val="pt-BR"/>
        </w:rPr>
        <w:t xml:space="preserve"> </w:t>
      </w:r>
      <w:r w:rsidR="003728CE" w:rsidRPr="00D5464D">
        <w:rPr>
          <w:lang w:val="pt-BR"/>
        </w:rPr>
        <w:t>É</w:t>
      </w:r>
      <w:r w:rsidR="00470ADC" w:rsidRPr="00D5464D">
        <w:rPr>
          <w:lang w:val="pt-BR"/>
        </w:rPr>
        <w:t xml:space="preserve"> </w:t>
      </w:r>
      <w:r w:rsidR="00207197" w:rsidRPr="00D5464D">
        <w:rPr>
          <w:lang w:val="pt-BR"/>
        </w:rPr>
        <w:t>importante notar que</w:t>
      </w:r>
      <w:r w:rsidR="00470ADC" w:rsidRPr="00D5464D">
        <w:rPr>
          <w:lang w:val="pt-BR"/>
        </w:rPr>
        <w:t xml:space="preserve"> o </w:t>
      </w:r>
      <w:r w:rsidR="007A680A" w:rsidRPr="00D5464D">
        <w:rPr>
          <w:lang w:val="pt-BR"/>
        </w:rPr>
        <w:t>Tribunal Penal Internacional Ad Hoc para</w:t>
      </w:r>
      <w:r w:rsidR="002C330E" w:rsidRPr="00D5464D">
        <w:rPr>
          <w:lang w:val="pt-BR"/>
        </w:rPr>
        <w:t xml:space="preserve"> a </w:t>
      </w:r>
      <w:r w:rsidR="00627239" w:rsidRPr="00D5464D">
        <w:rPr>
          <w:lang w:val="pt-BR"/>
        </w:rPr>
        <w:t>antiga Iugoslávia</w:t>
      </w:r>
      <w:r w:rsidR="007F692E" w:rsidRPr="00D5464D">
        <w:rPr>
          <w:lang w:val="pt-BR"/>
        </w:rPr>
        <w:t>,</w:t>
      </w:r>
      <w:r w:rsidR="00470ADC" w:rsidRPr="00D5464D">
        <w:rPr>
          <w:lang w:val="pt-BR"/>
        </w:rPr>
        <w:t xml:space="preserve"> em </w:t>
      </w:r>
      <w:r w:rsidR="00E045D9" w:rsidRPr="00D5464D">
        <w:rPr>
          <w:lang w:val="pt-BR"/>
        </w:rPr>
        <w:t>sua sentença</w:t>
      </w:r>
      <w:r w:rsidR="007F692E" w:rsidRPr="00D5464D">
        <w:rPr>
          <w:lang w:val="pt-BR"/>
        </w:rPr>
        <w:t xml:space="preserve"> de </w:t>
      </w:r>
      <w:r w:rsidR="002C330E" w:rsidRPr="00D5464D">
        <w:rPr>
          <w:lang w:val="pt-BR"/>
        </w:rPr>
        <w:t>primeira</w:t>
      </w:r>
      <w:r w:rsidR="007F692E" w:rsidRPr="00D5464D">
        <w:rPr>
          <w:lang w:val="pt-BR"/>
        </w:rPr>
        <w:t xml:space="preserve"> </w:t>
      </w:r>
      <w:r w:rsidR="002C330E" w:rsidRPr="00D5464D">
        <w:rPr>
          <w:lang w:val="pt-BR"/>
        </w:rPr>
        <w:t>instância</w:t>
      </w:r>
      <w:r w:rsidR="007F692E" w:rsidRPr="00D5464D">
        <w:rPr>
          <w:lang w:val="pt-BR"/>
        </w:rPr>
        <w:t>,</w:t>
      </w:r>
      <w:r w:rsidR="00207197" w:rsidRPr="00D5464D">
        <w:rPr>
          <w:lang w:val="pt-BR"/>
        </w:rPr>
        <w:t xml:space="preserve"> </w:t>
      </w:r>
      <w:r w:rsidR="00470ADC" w:rsidRPr="00D5464D">
        <w:rPr>
          <w:lang w:val="pt-BR"/>
        </w:rPr>
        <w:t>estabeleceu</w:t>
      </w:r>
      <w:r w:rsidR="002C330E" w:rsidRPr="00D5464D">
        <w:rPr>
          <w:lang w:val="pt-BR"/>
        </w:rPr>
        <w:t xml:space="preserve"> os seguinte</w:t>
      </w:r>
      <w:r w:rsidR="00207197" w:rsidRPr="00D5464D">
        <w:rPr>
          <w:lang w:val="pt-BR"/>
        </w:rPr>
        <w:t xml:space="preserve">s </w:t>
      </w:r>
      <w:r w:rsidR="00470ADC" w:rsidRPr="00D5464D">
        <w:rPr>
          <w:lang w:val="pt-BR"/>
        </w:rPr>
        <w:t>critério</w:t>
      </w:r>
      <w:r w:rsidR="00207197" w:rsidRPr="00D5464D">
        <w:rPr>
          <w:lang w:val="pt-BR"/>
        </w:rPr>
        <w:t>s para determinar</w:t>
      </w:r>
      <w:r w:rsidR="002C330E" w:rsidRPr="00D5464D">
        <w:rPr>
          <w:lang w:val="pt-BR"/>
        </w:rPr>
        <w:t xml:space="preserve"> a </w:t>
      </w:r>
      <w:r w:rsidR="00E045D9" w:rsidRPr="00D5464D">
        <w:rPr>
          <w:lang w:val="pt-BR"/>
        </w:rPr>
        <w:t>existência</w:t>
      </w:r>
      <w:r w:rsidR="00207197" w:rsidRPr="00D5464D">
        <w:rPr>
          <w:lang w:val="pt-BR"/>
        </w:rPr>
        <w:t xml:space="preserve"> de</w:t>
      </w:r>
      <w:r w:rsidR="00E045D9" w:rsidRPr="00D5464D">
        <w:rPr>
          <w:lang w:val="pt-BR"/>
        </w:rPr>
        <w:t xml:space="preserve"> uma </w:t>
      </w:r>
      <w:r w:rsidR="00207197" w:rsidRPr="00D5464D">
        <w:rPr>
          <w:lang w:val="pt-BR"/>
        </w:rPr>
        <w:t>situa</w:t>
      </w:r>
      <w:r w:rsidR="00470ADC" w:rsidRPr="00D5464D">
        <w:rPr>
          <w:lang w:val="pt-BR"/>
        </w:rPr>
        <w:t>ção</w:t>
      </w:r>
      <w:r w:rsidR="00207197" w:rsidRPr="00D5464D">
        <w:rPr>
          <w:lang w:val="pt-BR"/>
        </w:rPr>
        <w:t xml:space="preserve"> de </w:t>
      </w:r>
      <w:r w:rsidR="000B376D" w:rsidRPr="00D5464D">
        <w:rPr>
          <w:lang w:val="pt-BR"/>
        </w:rPr>
        <w:t>escravidão</w:t>
      </w:r>
      <w:r w:rsidR="00207197" w:rsidRPr="00D5464D">
        <w:rPr>
          <w:lang w:val="pt-BR"/>
        </w:rPr>
        <w:t xml:space="preserve"> o</w:t>
      </w:r>
      <w:r w:rsidR="003728CE" w:rsidRPr="00D5464D">
        <w:rPr>
          <w:lang w:val="pt-BR"/>
        </w:rPr>
        <w:t>u</w:t>
      </w:r>
      <w:r w:rsidR="00207197" w:rsidRPr="00D5464D">
        <w:rPr>
          <w:lang w:val="pt-BR"/>
        </w:rPr>
        <w:t xml:space="preserve"> </w:t>
      </w:r>
      <w:r w:rsidR="00737270" w:rsidRPr="00D5464D">
        <w:rPr>
          <w:lang w:val="pt-BR"/>
        </w:rPr>
        <w:t>redução</w:t>
      </w:r>
      <w:r w:rsidR="00470ADC" w:rsidRPr="00D5464D">
        <w:rPr>
          <w:lang w:val="pt-BR"/>
        </w:rPr>
        <w:t xml:space="preserve"> à </w:t>
      </w:r>
      <w:r w:rsidR="000B376D" w:rsidRPr="00D5464D">
        <w:rPr>
          <w:lang w:val="pt-BR"/>
        </w:rPr>
        <w:t>servidão</w:t>
      </w:r>
      <w:r w:rsidR="00207197" w:rsidRPr="00D5464D">
        <w:rPr>
          <w:lang w:val="pt-BR"/>
        </w:rPr>
        <w:t xml:space="preserve">: a) </w:t>
      </w:r>
      <w:r w:rsidR="002C330E" w:rsidRPr="00D5464D">
        <w:rPr>
          <w:lang w:val="pt-BR"/>
        </w:rPr>
        <w:t>restrição</w:t>
      </w:r>
      <w:r w:rsidR="00207197" w:rsidRPr="00D5464D">
        <w:rPr>
          <w:lang w:val="pt-BR"/>
        </w:rPr>
        <w:t xml:space="preserve"> o</w:t>
      </w:r>
      <w:r w:rsidR="003728CE" w:rsidRPr="00D5464D">
        <w:rPr>
          <w:lang w:val="pt-BR"/>
        </w:rPr>
        <w:t>u</w:t>
      </w:r>
      <w:r w:rsidR="00207197" w:rsidRPr="00D5464D">
        <w:rPr>
          <w:lang w:val="pt-BR"/>
        </w:rPr>
        <w:t xml:space="preserve"> </w:t>
      </w:r>
      <w:r w:rsidR="00470ADC" w:rsidRPr="00D5464D">
        <w:rPr>
          <w:lang w:val="pt-BR"/>
        </w:rPr>
        <w:t>controle da autonomia</w:t>
      </w:r>
      <w:r w:rsidR="00207197" w:rsidRPr="00D5464D">
        <w:rPr>
          <w:lang w:val="pt-BR"/>
        </w:rPr>
        <w:t xml:space="preserve"> individual</w:t>
      </w:r>
      <w:r w:rsidR="00B502F2" w:rsidRPr="00D5464D">
        <w:rPr>
          <w:lang w:val="pt-BR"/>
        </w:rPr>
        <w:t>,</w:t>
      </w:r>
      <w:r w:rsidR="002C330E" w:rsidRPr="00D5464D">
        <w:rPr>
          <w:lang w:val="pt-BR"/>
        </w:rPr>
        <w:t xml:space="preserve"> a liberdade</w:t>
      </w:r>
      <w:r w:rsidR="00350187" w:rsidRPr="00D5464D">
        <w:rPr>
          <w:lang w:val="pt-BR"/>
        </w:rPr>
        <w:t xml:space="preserve"> de</w:t>
      </w:r>
      <w:r w:rsidR="003728CE" w:rsidRPr="00D5464D">
        <w:rPr>
          <w:lang w:val="pt-BR"/>
        </w:rPr>
        <w:t xml:space="preserve"> escolha</w:t>
      </w:r>
      <w:r w:rsidR="00207197" w:rsidRPr="00D5464D">
        <w:rPr>
          <w:lang w:val="pt-BR"/>
        </w:rPr>
        <w:t xml:space="preserve"> o</w:t>
      </w:r>
      <w:r w:rsidR="003728CE" w:rsidRPr="00D5464D">
        <w:rPr>
          <w:lang w:val="pt-BR"/>
        </w:rPr>
        <w:t>u</w:t>
      </w:r>
      <w:r w:rsidR="002C330E" w:rsidRPr="00D5464D">
        <w:rPr>
          <w:lang w:val="pt-BR"/>
        </w:rPr>
        <w:t xml:space="preserve"> a liberdade </w:t>
      </w:r>
      <w:r w:rsidR="00207197" w:rsidRPr="00D5464D">
        <w:rPr>
          <w:lang w:val="pt-BR"/>
        </w:rPr>
        <w:t xml:space="preserve">de </w:t>
      </w:r>
      <w:r w:rsidR="002C330E" w:rsidRPr="00D5464D">
        <w:rPr>
          <w:lang w:val="pt-BR"/>
        </w:rPr>
        <w:t>movimento</w:t>
      </w:r>
      <w:r w:rsidR="00207197" w:rsidRPr="00D5464D">
        <w:rPr>
          <w:lang w:val="pt-BR"/>
        </w:rPr>
        <w:t xml:space="preserve"> de</w:t>
      </w:r>
      <w:r w:rsidR="00E045D9" w:rsidRPr="00D5464D">
        <w:rPr>
          <w:lang w:val="pt-BR"/>
        </w:rPr>
        <w:t xml:space="preserve"> uma </w:t>
      </w:r>
      <w:r w:rsidR="002C330E" w:rsidRPr="00D5464D">
        <w:rPr>
          <w:lang w:val="pt-BR"/>
        </w:rPr>
        <w:t>pessoa</w:t>
      </w:r>
      <w:r w:rsidR="00207197" w:rsidRPr="00D5464D">
        <w:rPr>
          <w:lang w:val="pt-BR"/>
        </w:rPr>
        <w:t xml:space="preserve">; </w:t>
      </w:r>
      <w:r w:rsidR="00B502F2" w:rsidRPr="00D5464D">
        <w:rPr>
          <w:lang w:val="pt-BR"/>
        </w:rPr>
        <w:t>b</w:t>
      </w:r>
      <w:r w:rsidR="00207197" w:rsidRPr="00D5464D">
        <w:rPr>
          <w:lang w:val="pt-BR"/>
        </w:rPr>
        <w:t>)</w:t>
      </w:r>
      <w:r w:rsidR="002C330E" w:rsidRPr="00D5464D">
        <w:rPr>
          <w:lang w:val="pt-BR"/>
        </w:rPr>
        <w:t xml:space="preserve"> a </w:t>
      </w:r>
      <w:r w:rsidR="00207197" w:rsidRPr="00D5464D">
        <w:rPr>
          <w:lang w:val="pt-BR"/>
        </w:rPr>
        <w:t>obten</w:t>
      </w:r>
      <w:r w:rsidR="00470ADC" w:rsidRPr="00D5464D">
        <w:rPr>
          <w:lang w:val="pt-BR"/>
        </w:rPr>
        <w:t>ção</w:t>
      </w:r>
      <w:r w:rsidR="00207197" w:rsidRPr="00D5464D">
        <w:rPr>
          <w:lang w:val="pt-BR"/>
        </w:rPr>
        <w:t xml:space="preserve"> de</w:t>
      </w:r>
      <w:r w:rsidR="00E045D9" w:rsidRPr="00D5464D">
        <w:rPr>
          <w:lang w:val="pt-BR"/>
        </w:rPr>
        <w:t xml:space="preserve"> um </w:t>
      </w:r>
      <w:r w:rsidR="00733A32" w:rsidRPr="00D5464D">
        <w:rPr>
          <w:lang w:val="pt-BR"/>
        </w:rPr>
        <w:t>benefício</w:t>
      </w:r>
      <w:r w:rsidR="003728CE" w:rsidRPr="00D5464D">
        <w:rPr>
          <w:lang w:val="pt-BR"/>
        </w:rPr>
        <w:t xml:space="preserve"> </w:t>
      </w:r>
      <w:r w:rsidR="00207197" w:rsidRPr="00D5464D">
        <w:rPr>
          <w:lang w:val="pt-BR"/>
        </w:rPr>
        <w:t xml:space="preserve">por parte </w:t>
      </w:r>
      <w:r w:rsidR="00470ADC" w:rsidRPr="00D5464D">
        <w:rPr>
          <w:lang w:val="pt-BR"/>
        </w:rPr>
        <w:t xml:space="preserve">do </w:t>
      </w:r>
      <w:r w:rsidR="00207197" w:rsidRPr="00D5464D">
        <w:rPr>
          <w:lang w:val="pt-BR"/>
        </w:rPr>
        <w:t xml:space="preserve">perpetrador; </w:t>
      </w:r>
      <w:r w:rsidR="00B502F2" w:rsidRPr="00D5464D">
        <w:rPr>
          <w:lang w:val="pt-BR"/>
        </w:rPr>
        <w:t>c</w:t>
      </w:r>
      <w:r w:rsidR="00207197" w:rsidRPr="00D5464D">
        <w:rPr>
          <w:lang w:val="pt-BR"/>
        </w:rPr>
        <w:t>)</w:t>
      </w:r>
      <w:r w:rsidR="002C330E" w:rsidRPr="00D5464D">
        <w:rPr>
          <w:lang w:val="pt-BR"/>
        </w:rPr>
        <w:t xml:space="preserve"> a </w:t>
      </w:r>
      <w:r w:rsidR="00470ADC" w:rsidRPr="00D5464D">
        <w:rPr>
          <w:lang w:val="pt-BR"/>
        </w:rPr>
        <w:t>ausência</w:t>
      </w:r>
      <w:r w:rsidR="00207197" w:rsidRPr="00D5464D">
        <w:rPr>
          <w:lang w:val="pt-BR"/>
        </w:rPr>
        <w:t xml:space="preserve"> de </w:t>
      </w:r>
      <w:r w:rsidR="00470ADC" w:rsidRPr="00D5464D">
        <w:rPr>
          <w:lang w:val="pt-BR"/>
        </w:rPr>
        <w:t>consentimento</w:t>
      </w:r>
      <w:r w:rsidR="00207197" w:rsidRPr="00D5464D">
        <w:rPr>
          <w:lang w:val="pt-BR"/>
        </w:rPr>
        <w:t xml:space="preserve"> o</w:t>
      </w:r>
      <w:r w:rsidR="00733A32" w:rsidRPr="00D5464D">
        <w:rPr>
          <w:lang w:val="pt-BR"/>
        </w:rPr>
        <w:t>u do</w:t>
      </w:r>
      <w:r w:rsidR="002C330E" w:rsidRPr="00D5464D">
        <w:rPr>
          <w:lang w:val="pt-BR"/>
        </w:rPr>
        <w:t xml:space="preserve"> livre </w:t>
      </w:r>
      <w:r w:rsidR="00EB1CE9" w:rsidRPr="00D5464D">
        <w:rPr>
          <w:lang w:val="pt-BR"/>
        </w:rPr>
        <w:t>arbítrio</w:t>
      </w:r>
      <w:r w:rsidR="00470ADC" w:rsidRPr="00D5464D">
        <w:rPr>
          <w:lang w:val="pt-BR"/>
        </w:rPr>
        <w:t xml:space="preserve"> da </w:t>
      </w:r>
      <w:r w:rsidR="00E045D9" w:rsidRPr="00D5464D">
        <w:rPr>
          <w:lang w:val="pt-BR"/>
        </w:rPr>
        <w:t>vítima</w:t>
      </w:r>
      <w:r w:rsidR="00207197" w:rsidRPr="00D5464D">
        <w:rPr>
          <w:lang w:val="pt-BR"/>
        </w:rPr>
        <w:t>, o</w:t>
      </w:r>
      <w:r w:rsidR="00733A32" w:rsidRPr="00D5464D">
        <w:rPr>
          <w:lang w:val="pt-BR"/>
        </w:rPr>
        <w:t>u</w:t>
      </w:r>
      <w:r w:rsidR="00207197" w:rsidRPr="00D5464D">
        <w:rPr>
          <w:lang w:val="pt-BR"/>
        </w:rPr>
        <w:t xml:space="preserve"> su</w:t>
      </w:r>
      <w:r w:rsidR="00733A32" w:rsidRPr="00D5464D">
        <w:rPr>
          <w:lang w:val="pt-BR"/>
        </w:rPr>
        <w:t>a</w:t>
      </w:r>
      <w:r w:rsidR="00207197" w:rsidRPr="00D5464D">
        <w:rPr>
          <w:lang w:val="pt-BR"/>
        </w:rPr>
        <w:t xml:space="preserve"> im</w:t>
      </w:r>
      <w:r w:rsidR="002C330E" w:rsidRPr="00D5464D">
        <w:rPr>
          <w:lang w:val="pt-BR"/>
        </w:rPr>
        <w:t>possibilida</w:t>
      </w:r>
      <w:r w:rsidR="00E045D9" w:rsidRPr="00D5464D">
        <w:rPr>
          <w:lang w:val="pt-BR"/>
        </w:rPr>
        <w:t>d</w:t>
      </w:r>
      <w:r w:rsidR="00733A32" w:rsidRPr="00D5464D">
        <w:rPr>
          <w:lang w:val="pt-BR"/>
        </w:rPr>
        <w:t xml:space="preserve">e </w:t>
      </w:r>
      <w:r w:rsidR="00E045D9" w:rsidRPr="00D5464D">
        <w:rPr>
          <w:lang w:val="pt-BR"/>
        </w:rPr>
        <w:t>o</w:t>
      </w:r>
      <w:r w:rsidR="00733A32" w:rsidRPr="00D5464D">
        <w:rPr>
          <w:lang w:val="pt-BR"/>
        </w:rPr>
        <w:t>u</w:t>
      </w:r>
      <w:r w:rsidR="00E045D9" w:rsidRPr="00D5464D">
        <w:rPr>
          <w:lang w:val="pt-BR"/>
        </w:rPr>
        <w:t xml:space="preserve"> </w:t>
      </w:r>
      <w:r w:rsidR="00207197" w:rsidRPr="00D5464D">
        <w:rPr>
          <w:lang w:val="pt-BR"/>
        </w:rPr>
        <w:t>ir</w:t>
      </w:r>
      <w:r w:rsidR="002C330E" w:rsidRPr="00D5464D">
        <w:rPr>
          <w:lang w:val="pt-BR"/>
        </w:rPr>
        <w:t>relevância</w:t>
      </w:r>
      <w:r w:rsidR="00207197" w:rsidRPr="00D5464D">
        <w:rPr>
          <w:lang w:val="pt-BR"/>
        </w:rPr>
        <w:t xml:space="preserve"> </w:t>
      </w:r>
      <w:r w:rsidR="00470ADC" w:rsidRPr="00D5464D">
        <w:rPr>
          <w:lang w:val="pt-BR"/>
        </w:rPr>
        <w:t>devido à ameaça</w:t>
      </w:r>
      <w:r w:rsidR="00207197" w:rsidRPr="00D5464D">
        <w:rPr>
          <w:lang w:val="pt-BR"/>
        </w:rPr>
        <w:t xml:space="preserve"> de uso</w:t>
      </w:r>
      <w:r w:rsidR="00470ADC" w:rsidRPr="00D5464D">
        <w:rPr>
          <w:lang w:val="pt-BR"/>
        </w:rPr>
        <w:t xml:space="preserve"> da </w:t>
      </w:r>
      <w:r w:rsidR="00E045D9" w:rsidRPr="00D5464D">
        <w:rPr>
          <w:lang w:val="pt-BR"/>
        </w:rPr>
        <w:t xml:space="preserve">violência ou </w:t>
      </w:r>
      <w:r w:rsidR="002C330E" w:rsidRPr="00D5464D">
        <w:rPr>
          <w:lang w:val="pt-BR"/>
        </w:rPr>
        <w:t>outra</w:t>
      </w:r>
      <w:r w:rsidR="00207197" w:rsidRPr="00D5464D">
        <w:rPr>
          <w:lang w:val="pt-BR"/>
        </w:rPr>
        <w:t>s formas de coer</w:t>
      </w:r>
      <w:r w:rsidR="00470ADC" w:rsidRPr="00D5464D">
        <w:rPr>
          <w:lang w:val="pt-BR"/>
        </w:rPr>
        <w:t>ção</w:t>
      </w:r>
      <w:r w:rsidR="00207197" w:rsidRPr="00D5464D">
        <w:rPr>
          <w:lang w:val="pt-BR"/>
        </w:rPr>
        <w:t>,</w:t>
      </w:r>
      <w:r w:rsidR="00470ADC" w:rsidRPr="00D5464D">
        <w:rPr>
          <w:lang w:val="pt-BR"/>
        </w:rPr>
        <w:t xml:space="preserve"> </w:t>
      </w:r>
      <w:r w:rsidR="002C330E" w:rsidRPr="00D5464D">
        <w:rPr>
          <w:lang w:val="pt-BR"/>
        </w:rPr>
        <w:t xml:space="preserve">medo </w:t>
      </w:r>
      <w:r w:rsidR="00207197" w:rsidRPr="00D5464D">
        <w:rPr>
          <w:lang w:val="pt-BR"/>
        </w:rPr>
        <w:t xml:space="preserve">de </w:t>
      </w:r>
      <w:r w:rsidR="00E045D9" w:rsidRPr="00D5464D">
        <w:rPr>
          <w:lang w:val="pt-BR"/>
        </w:rPr>
        <w:t>violência</w:t>
      </w:r>
      <w:r w:rsidR="00207197" w:rsidRPr="00D5464D">
        <w:rPr>
          <w:lang w:val="pt-BR"/>
        </w:rPr>
        <w:t>,</w:t>
      </w:r>
      <w:r w:rsidR="00470ADC" w:rsidRPr="00D5464D">
        <w:rPr>
          <w:lang w:val="pt-BR"/>
        </w:rPr>
        <w:t xml:space="preserve"> </w:t>
      </w:r>
      <w:r w:rsidR="00733A32" w:rsidRPr="00D5464D">
        <w:rPr>
          <w:lang w:val="pt-BR"/>
        </w:rPr>
        <w:t xml:space="preserve">fraude ou </w:t>
      </w:r>
      <w:r w:rsidR="00207197" w:rsidRPr="00D5464D">
        <w:rPr>
          <w:lang w:val="pt-BR"/>
        </w:rPr>
        <w:t xml:space="preserve">falsas </w:t>
      </w:r>
      <w:r w:rsidR="00A1358C" w:rsidRPr="00D5464D">
        <w:rPr>
          <w:lang w:val="pt-BR"/>
        </w:rPr>
        <w:t>promessa</w:t>
      </w:r>
      <w:r w:rsidR="00207197" w:rsidRPr="00D5464D">
        <w:rPr>
          <w:lang w:val="pt-BR"/>
        </w:rPr>
        <w:t xml:space="preserve">s; </w:t>
      </w:r>
      <w:r w:rsidR="00B502F2" w:rsidRPr="00D5464D">
        <w:rPr>
          <w:lang w:val="pt-BR"/>
        </w:rPr>
        <w:t>d</w:t>
      </w:r>
      <w:r w:rsidR="00207197" w:rsidRPr="00D5464D">
        <w:rPr>
          <w:lang w:val="pt-BR"/>
        </w:rPr>
        <w:t>)</w:t>
      </w:r>
      <w:r w:rsidR="00470ADC" w:rsidRPr="00D5464D">
        <w:rPr>
          <w:lang w:val="pt-BR"/>
        </w:rPr>
        <w:t xml:space="preserve"> o </w:t>
      </w:r>
      <w:r w:rsidR="00207197" w:rsidRPr="00D5464D">
        <w:rPr>
          <w:lang w:val="pt-BR"/>
        </w:rPr>
        <w:t xml:space="preserve">abuso de poder; </w:t>
      </w:r>
      <w:r w:rsidR="00B502F2" w:rsidRPr="00D5464D">
        <w:rPr>
          <w:lang w:val="pt-BR"/>
        </w:rPr>
        <w:t>e</w:t>
      </w:r>
      <w:r w:rsidR="00207197" w:rsidRPr="00D5464D">
        <w:rPr>
          <w:lang w:val="pt-BR"/>
        </w:rPr>
        <w:t>)</w:t>
      </w:r>
      <w:r w:rsidR="002C330E" w:rsidRPr="00D5464D">
        <w:rPr>
          <w:lang w:val="pt-BR"/>
        </w:rPr>
        <w:t xml:space="preserve"> a </w:t>
      </w:r>
      <w:r w:rsidR="00207197" w:rsidRPr="00D5464D">
        <w:rPr>
          <w:lang w:val="pt-BR"/>
        </w:rPr>
        <w:t>posi</w:t>
      </w:r>
      <w:r w:rsidR="00470ADC" w:rsidRPr="00D5464D">
        <w:rPr>
          <w:lang w:val="pt-BR"/>
        </w:rPr>
        <w:t>ção</w:t>
      </w:r>
      <w:r w:rsidR="00207197" w:rsidRPr="00D5464D">
        <w:rPr>
          <w:lang w:val="pt-BR"/>
        </w:rPr>
        <w:t xml:space="preserve"> de </w:t>
      </w:r>
      <w:r w:rsidR="00E045D9" w:rsidRPr="00D5464D">
        <w:rPr>
          <w:lang w:val="pt-BR"/>
        </w:rPr>
        <w:t xml:space="preserve">vulnerabilidade </w:t>
      </w:r>
      <w:r w:rsidR="00470ADC" w:rsidRPr="00D5464D">
        <w:rPr>
          <w:lang w:val="pt-BR"/>
        </w:rPr>
        <w:t xml:space="preserve">da </w:t>
      </w:r>
      <w:r w:rsidR="00E045D9" w:rsidRPr="00D5464D">
        <w:rPr>
          <w:lang w:val="pt-BR"/>
        </w:rPr>
        <w:t>vítima</w:t>
      </w:r>
      <w:r w:rsidR="00207197" w:rsidRPr="00D5464D">
        <w:rPr>
          <w:lang w:val="pt-BR"/>
        </w:rPr>
        <w:t xml:space="preserve">; </w:t>
      </w:r>
      <w:r w:rsidR="00B502F2" w:rsidRPr="00D5464D">
        <w:rPr>
          <w:lang w:val="pt-BR"/>
        </w:rPr>
        <w:t>f</w:t>
      </w:r>
      <w:r w:rsidR="00207197" w:rsidRPr="00D5464D">
        <w:rPr>
          <w:lang w:val="pt-BR"/>
        </w:rPr>
        <w:t>)</w:t>
      </w:r>
      <w:r w:rsidR="002C330E" w:rsidRPr="00D5464D">
        <w:rPr>
          <w:lang w:val="pt-BR"/>
        </w:rPr>
        <w:t xml:space="preserve"> a </w:t>
      </w:r>
      <w:r w:rsidR="00207197" w:rsidRPr="00D5464D">
        <w:rPr>
          <w:lang w:val="pt-BR"/>
        </w:rPr>
        <w:t>deten</w:t>
      </w:r>
      <w:r w:rsidR="00470ADC" w:rsidRPr="00D5464D">
        <w:rPr>
          <w:lang w:val="pt-BR"/>
        </w:rPr>
        <w:t>ção</w:t>
      </w:r>
      <w:r w:rsidR="00207197" w:rsidRPr="00D5464D">
        <w:rPr>
          <w:lang w:val="pt-BR"/>
        </w:rPr>
        <w:t xml:space="preserve"> o</w:t>
      </w:r>
      <w:r w:rsidR="00733A32" w:rsidRPr="00D5464D">
        <w:rPr>
          <w:lang w:val="pt-BR"/>
        </w:rPr>
        <w:t>u</w:t>
      </w:r>
      <w:r w:rsidR="00207197" w:rsidRPr="00D5464D">
        <w:rPr>
          <w:lang w:val="pt-BR"/>
        </w:rPr>
        <w:t xml:space="preserve"> </w:t>
      </w:r>
      <w:r w:rsidR="00470ADC" w:rsidRPr="00D5464D">
        <w:rPr>
          <w:lang w:val="pt-BR"/>
        </w:rPr>
        <w:t>cativeiro</w:t>
      </w:r>
      <w:r w:rsidR="002A0C2B" w:rsidRPr="00D5464D">
        <w:rPr>
          <w:lang w:val="pt-BR"/>
        </w:rPr>
        <w:t xml:space="preserve"> e </w:t>
      </w:r>
      <w:r w:rsidR="00B502F2" w:rsidRPr="00D5464D">
        <w:rPr>
          <w:lang w:val="pt-BR"/>
        </w:rPr>
        <w:t>g</w:t>
      </w:r>
      <w:r w:rsidR="00207197" w:rsidRPr="00D5464D">
        <w:rPr>
          <w:lang w:val="pt-BR"/>
        </w:rPr>
        <w:t>)</w:t>
      </w:r>
      <w:r w:rsidR="002C330E" w:rsidRPr="00D5464D">
        <w:rPr>
          <w:lang w:val="pt-BR"/>
        </w:rPr>
        <w:t xml:space="preserve"> a </w:t>
      </w:r>
      <w:r w:rsidR="00207197" w:rsidRPr="00D5464D">
        <w:rPr>
          <w:lang w:val="pt-BR"/>
        </w:rPr>
        <w:t>o</w:t>
      </w:r>
      <w:r w:rsidR="002C330E" w:rsidRPr="00D5464D">
        <w:rPr>
          <w:lang w:val="pt-BR"/>
        </w:rPr>
        <w:t>pressão</w:t>
      </w:r>
      <w:r w:rsidR="00207197" w:rsidRPr="00D5464D">
        <w:rPr>
          <w:lang w:val="pt-BR"/>
        </w:rPr>
        <w:t xml:space="preserve"> psicológica</w:t>
      </w:r>
      <w:r w:rsidR="002C330E" w:rsidRPr="00D5464D">
        <w:rPr>
          <w:lang w:val="pt-BR"/>
        </w:rPr>
        <w:t xml:space="preserve"> </w:t>
      </w:r>
      <w:r w:rsidR="00733A32" w:rsidRPr="00D5464D">
        <w:rPr>
          <w:lang w:val="pt-BR"/>
        </w:rPr>
        <w:t xml:space="preserve">em virtude de </w:t>
      </w:r>
      <w:r w:rsidR="00207197" w:rsidRPr="00D5464D">
        <w:rPr>
          <w:lang w:val="pt-BR"/>
        </w:rPr>
        <w:t>condi</w:t>
      </w:r>
      <w:r w:rsidR="00470ADC" w:rsidRPr="00D5464D">
        <w:rPr>
          <w:lang w:val="pt-BR"/>
        </w:rPr>
        <w:t>ções</w:t>
      </w:r>
      <w:r w:rsidR="00207197" w:rsidRPr="00D5464D">
        <w:rPr>
          <w:lang w:val="pt-BR"/>
        </w:rPr>
        <w:t xml:space="preserve"> </w:t>
      </w:r>
      <w:r w:rsidR="00DB2B76" w:rsidRPr="00D5464D">
        <w:rPr>
          <w:lang w:val="pt-BR"/>
        </w:rPr>
        <w:t>socioeconômicas</w:t>
      </w:r>
      <w:r w:rsidR="00207197" w:rsidRPr="00D5464D">
        <w:rPr>
          <w:lang w:val="pt-BR"/>
        </w:rPr>
        <w:t xml:space="preserve">. </w:t>
      </w:r>
      <w:r w:rsidR="002C330E" w:rsidRPr="00D5464D">
        <w:rPr>
          <w:lang w:val="pt-BR"/>
        </w:rPr>
        <w:t>Outros</w:t>
      </w:r>
      <w:r w:rsidR="00207197" w:rsidRPr="00D5464D">
        <w:rPr>
          <w:lang w:val="pt-BR"/>
        </w:rPr>
        <w:t xml:space="preserve"> indicadores de </w:t>
      </w:r>
      <w:r w:rsidR="000B376D" w:rsidRPr="00D5464D">
        <w:rPr>
          <w:lang w:val="pt-BR"/>
        </w:rPr>
        <w:t>escravidão</w:t>
      </w:r>
      <w:r w:rsidR="00207197" w:rsidRPr="00D5464D">
        <w:rPr>
          <w:lang w:val="pt-BR"/>
        </w:rPr>
        <w:t xml:space="preserve"> </w:t>
      </w:r>
      <w:r w:rsidR="00737270" w:rsidRPr="00D5464D">
        <w:rPr>
          <w:lang w:val="pt-BR"/>
        </w:rPr>
        <w:t>seriam</w:t>
      </w:r>
      <w:r w:rsidR="00207197" w:rsidRPr="00D5464D">
        <w:rPr>
          <w:lang w:val="pt-BR"/>
        </w:rPr>
        <w:t xml:space="preserve">: </w:t>
      </w:r>
      <w:r w:rsidR="00B502F2" w:rsidRPr="00D5464D">
        <w:rPr>
          <w:lang w:val="pt-BR"/>
        </w:rPr>
        <w:t>h</w:t>
      </w:r>
      <w:r w:rsidR="00207197" w:rsidRPr="00D5464D">
        <w:rPr>
          <w:lang w:val="pt-BR"/>
        </w:rPr>
        <w:t>)</w:t>
      </w:r>
      <w:r w:rsidR="002C330E" w:rsidRPr="00D5464D">
        <w:rPr>
          <w:lang w:val="pt-BR"/>
        </w:rPr>
        <w:t xml:space="preserve"> a </w:t>
      </w:r>
      <w:r w:rsidR="00230C71" w:rsidRPr="00D5464D">
        <w:rPr>
          <w:lang w:val="pt-BR"/>
        </w:rPr>
        <w:t>exploração</w:t>
      </w:r>
      <w:r w:rsidR="00207197" w:rsidRPr="00D5464D">
        <w:rPr>
          <w:lang w:val="pt-BR"/>
        </w:rPr>
        <w:t xml:space="preserve">; </w:t>
      </w:r>
      <w:r w:rsidR="00B502F2" w:rsidRPr="00D5464D">
        <w:rPr>
          <w:lang w:val="pt-BR"/>
        </w:rPr>
        <w:t>i</w:t>
      </w:r>
      <w:r w:rsidR="00207197" w:rsidRPr="00D5464D">
        <w:rPr>
          <w:lang w:val="pt-BR"/>
        </w:rPr>
        <w:t>)</w:t>
      </w:r>
      <w:r w:rsidR="002C330E" w:rsidRPr="00D5464D">
        <w:rPr>
          <w:lang w:val="pt-BR"/>
        </w:rPr>
        <w:t xml:space="preserve"> a </w:t>
      </w:r>
      <w:r w:rsidR="00207197" w:rsidRPr="00D5464D">
        <w:rPr>
          <w:lang w:val="pt-BR"/>
        </w:rPr>
        <w:t>ex</w:t>
      </w:r>
      <w:r w:rsidR="00733A32" w:rsidRPr="00D5464D">
        <w:rPr>
          <w:lang w:val="pt-BR"/>
        </w:rPr>
        <w:t>tr</w:t>
      </w:r>
      <w:r w:rsidR="00737270" w:rsidRPr="00D5464D">
        <w:rPr>
          <w:lang w:val="pt-BR"/>
        </w:rPr>
        <w:t>ação</w:t>
      </w:r>
      <w:r w:rsidR="00207197" w:rsidRPr="00D5464D">
        <w:rPr>
          <w:lang w:val="pt-BR"/>
        </w:rPr>
        <w:t xml:space="preserve"> de </w:t>
      </w:r>
      <w:r w:rsidR="00E045D9" w:rsidRPr="00D5464D">
        <w:rPr>
          <w:lang w:val="pt-BR"/>
        </w:rPr>
        <w:t>trabalho</w:t>
      </w:r>
      <w:r w:rsidR="00207197" w:rsidRPr="00D5464D">
        <w:rPr>
          <w:lang w:val="pt-BR"/>
        </w:rPr>
        <w:t xml:space="preserve"> o</w:t>
      </w:r>
      <w:r w:rsidR="00733A32" w:rsidRPr="00D5464D">
        <w:rPr>
          <w:lang w:val="pt-BR"/>
        </w:rPr>
        <w:t>u</w:t>
      </w:r>
      <w:r w:rsidR="00207197" w:rsidRPr="00D5464D">
        <w:rPr>
          <w:lang w:val="pt-BR"/>
        </w:rPr>
        <w:t xml:space="preserve"> </w:t>
      </w:r>
      <w:r w:rsidR="002C330E" w:rsidRPr="00D5464D">
        <w:rPr>
          <w:lang w:val="pt-BR"/>
        </w:rPr>
        <w:t>serviço</w:t>
      </w:r>
      <w:r w:rsidR="00207197" w:rsidRPr="00D5464D">
        <w:rPr>
          <w:lang w:val="pt-BR"/>
        </w:rPr>
        <w:t xml:space="preserve">s </w:t>
      </w:r>
      <w:r w:rsidR="00230C71" w:rsidRPr="00D5464D">
        <w:rPr>
          <w:lang w:val="pt-BR"/>
        </w:rPr>
        <w:t>forçado</w:t>
      </w:r>
      <w:r w:rsidR="00207197" w:rsidRPr="00D5464D">
        <w:rPr>
          <w:lang w:val="pt-BR"/>
        </w:rPr>
        <w:t>s</w:t>
      </w:r>
      <w:r w:rsidR="00E045D9" w:rsidRPr="00D5464D">
        <w:rPr>
          <w:lang w:val="pt-BR"/>
        </w:rPr>
        <w:t xml:space="preserve"> ou </w:t>
      </w:r>
      <w:r w:rsidR="002C330E" w:rsidRPr="00D5464D">
        <w:rPr>
          <w:lang w:val="pt-BR"/>
        </w:rPr>
        <w:t>obrigatóri</w:t>
      </w:r>
      <w:r w:rsidR="00207197" w:rsidRPr="00D5464D">
        <w:rPr>
          <w:lang w:val="pt-BR"/>
        </w:rPr>
        <w:t>os</w:t>
      </w:r>
      <w:r w:rsidR="00EB1CE9" w:rsidRPr="00D5464D">
        <w:rPr>
          <w:lang w:val="pt-BR"/>
        </w:rPr>
        <w:t xml:space="preserve">, </w:t>
      </w:r>
      <w:r w:rsidR="00733A32" w:rsidRPr="00D5464D">
        <w:rPr>
          <w:lang w:val="pt-BR"/>
        </w:rPr>
        <w:t xml:space="preserve">em </w:t>
      </w:r>
      <w:r w:rsidR="002C330E" w:rsidRPr="00D5464D">
        <w:rPr>
          <w:lang w:val="pt-BR"/>
        </w:rPr>
        <w:t xml:space="preserve">geral sem </w:t>
      </w:r>
      <w:r w:rsidR="00207197" w:rsidRPr="00D5464D">
        <w:rPr>
          <w:lang w:val="pt-BR"/>
        </w:rPr>
        <w:t>remunera</w:t>
      </w:r>
      <w:r w:rsidR="00470ADC" w:rsidRPr="00D5464D">
        <w:rPr>
          <w:lang w:val="pt-BR"/>
        </w:rPr>
        <w:t>ção</w:t>
      </w:r>
      <w:r w:rsidR="00E045D9" w:rsidRPr="00D5464D">
        <w:rPr>
          <w:lang w:val="pt-BR"/>
        </w:rPr>
        <w:t xml:space="preserve"> e </w:t>
      </w:r>
      <w:r w:rsidR="00207197" w:rsidRPr="00D5464D">
        <w:rPr>
          <w:lang w:val="pt-BR"/>
        </w:rPr>
        <w:t xml:space="preserve">ligados </w:t>
      </w:r>
      <w:r w:rsidR="00470ADC" w:rsidRPr="00D5464D">
        <w:rPr>
          <w:lang w:val="pt-BR"/>
        </w:rPr>
        <w:t>frequentemente</w:t>
      </w:r>
      <w:r w:rsidR="00207197" w:rsidRPr="00D5464D">
        <w:rPr>
          <w:lang w:val="pt-BR"/>
        </w:rPr>
        <w:t xml:space="preserve"> –</w:t>
      </w:r>
      <w:r w:rsidR="008000DD" w:rsidRPr="00D5464D">
        <w:rPr>
          <w:lang w:val="pt-BR"/>
        </w:rPr>
        <w:t>m</w:t>
      </w:r>
      <w:r w:rsidR="00733A32" w:rsidRPr="00D5464D">
        <w:rPr>
          <w:lang w:val="pt-BR"/>
        </w:rPr>
        <w:t xml:space="preserve">esmo </w:t>
      </w:r>
      <w:r w:rsidR="00470ADC" w:rsidRPr="00D5464D">
        <w:rPr>
          <w:lang w:val="pt-BR"/>
        </w:rPr>
        <w:t>que</w:t>
      </w:r>
      <w:r w:rsidR="00207197" w:rsidRPr="00D5464D">
        <w:rPr>
          <w:lang w:val="pt-BR"/>
        </w:rPr>
        <w:t xml:space="preserve"> </w:t>
      </w:r>
      <w:r w:rsidRPr="00D5464D">
        <w:rPr>
          <w:lang w:val="pt-BR"/>
        </w:rPr>
        <w:t>não necessariamente</w:t>
      </w:r>
      <w:r w:rsidR="00207197" w:rsidRPr="00D5464D">
        <w:rPr>
          <w:lang w:val="pt-BR"/>
        </w:rPr>
        <w:t>–</w:t>
      </w:r>
      <w:r w:rsidR="00470ADC" w:rsidRPr="00D5464D">
        <w:rPr>
          <w:lang w:val="pt-BR"/>
        </w:rPr>
        <w:t xml:space="preserve"> à </w:t>
      </w:r>
      <w:r w:rsidR="00DB2B76" w:rsidRPr="00D5464D">
        <w:rPr>
          <w:lang w:val="pt-BR"/>
        </w:rPr>
        <w:t>penúria</w:t>
      </w:r>
      <w:r w:rsidR="00207197" w:rsidRPr="00D5464D">
        <w:rPr>
          <w:lang w:val="pt-BR"/>
        </w:rPr>
        <w:t xml:space="preserve"> física,</w:t>
      </w:r>
      <w:r w:rsidR="00470ADC" w:rsidRPr="00D5464D">
        <w:rPr>
          <w:lang w:val="pt-BR"/>
        </w:rPr>
        <w:t xml:space="preserve"> </w:t>
      </w:r>
      <w:r w:rsidR="00207197" w:rsidRPr="00D5464D">
        <w:rPr>
          <w:lang w:val="pt-BR"/>
        </w:rPr>
        <w:t>sexo,</w:t>
      </w:r>
      <w:r w:rsidR="002C330E" w:rsidRPr="00D5464D">
        <w:rPr>
          <w:lang w:val="pt-BR"/>
        </w:rPr>
        <w:t xml:space="preserve"> </w:t>
      </w:r>
      <w:r w:rsidR="00CB7095" w:rsidRPr="00D5464D">
        <w:rPr>
          <w:lang w:val="pt-BR"/>
        </w:rPr>
        <w:t>prostituição</w:t>
      </w:r>
      <w:r w:rsidR="00E045D9" w:rsidRPr="00D5464D">
        <w:rPr>
          <w:lang w:val="pt-BR"/>
        </w:rPr>
        <w:t xml:space="preserve"> e </w:t>
      </w:r>
      <w:r w:rsidR="004F1CC2" w:rsidRPr="00D5464D">
        <w:rPr>
          <w:lang w:val="pt-BR"/>
        </w:rPr>
        <w:t>tráfico</w:t>
      </w:r>
      <w:r w:rsidR="000B376D" w:rsidRPr="00D5464D">
        <w:rPr>
          <w:lang w:val="pt-BR"/>
        </w:rPr>
        <w:t xml:space="preserve"> de </w:t>
      </w:r>
      <w:r w:rsidR="002C330E" w:rsidRPr="00D5464D">
        <w:rPr>
          <w:lang w:val="pt-BR"/>
        </w:rPr>
        <w:t>pessoa</w:t>
      </w:r>
      <w:r w:rsidR="00207197" w:rsidRPr="00D5464D">
        <w:rPr>
          <w:lang w:val="pt-BR"/>
        </w:rPr>
        <w:t>s</w:t>
      </w:r>
      <w:r w:rsidR="00733A32" w:rsidRPr="00D5464D">
        <w:rPr>
          <w:lang w:val="pt-BR"/>
        </w:rPr>
        <w:t>.</w:t>
      </w:r>
      <w:r w:rsidR="00207197" w:rsidRPr="00D5464D">
        <w:rPr>
          <w:rStyle w:val="Refdenotaalpie"/>
          <w:lang w:val="pt-BR"/>
        </w:rPr>
        <w:footnoteReference w:id="385"/>
      </w:r>
      <w:r w:rsidRPr="00D5464D">
        <w:rPr>
          <w:lang w:val="pt-BR"/>
        </w:rPr>
        <w:t xml:space="preserve"> Na </w:t>
      </w:r>
      <w:r w:rsidR="002C330E" w:rsidRPr="00D5464D">
        <w:rPr>
          <w:lang w:val="pt-BR"/>
        </w:rPr>
        <w:t>Sentença</w:t>
      </w:r>
      <w:r w:rsidR="00470ADC" w:rsidRPr="00D5464D">
        <w:rPr>
          <w:lang w:val="pt-BR"/>
        </w:rPr>
        <w:t xml:space="preserve"> da </w:t>
      </w:r>
      <w:r w:rsidR="00A1358C" w:rsidRPr="00D5464D">
        <w:rPr>
          <w:lang w:val="pt-BR"/>
        </w:rPr>
        <w:t xml:space="preserve">Câmara </w:t>
      </w:r>
      <w:r w:rsidR="00207197" w:rsidRPr="00D5464D">
        <w:rPr>
          <w:lang w:val="pt-BR"/>
        </w:rPr>
        <w:t>de Apela</w:t>
      </w:r>
      <w:r w:rsidR="00470ADC" w:rsidRPr="00D5464D">
        <w:rPr>
          <w:lang w:val="pt-BR"/>
        </w:rPr>
        <w:t>ções</w:t>
      </w:r>
      <w:r w:rsidR="00657A24" w:rsidRPr="00D5464D">
        <w:rPr>
          <w:lang w:val="pt-BR"/>
        </w:rPr>
        <w:t>,</w:t>
      </w:r>
      <w:r w:rsidR="00207197" w:rsidRPr="00D5464D">
        <w:rPr>
          <w:lang w:val="pt-BR"/>
        </w:rPr>
        <w:t xml:space="preserve"> se destaca</w:t>
      </w:r>
      <w:r w:rsidR="002C330E" w:rsidRPr="00D5464D">
        <w:rPr>
          <w:lang w:val="pt-BR"/>
        </w:rPr>
        <w:t xml:space="preserve"> a </w:t>
      </w:r>
      <w:r w:rsidR="00207197" w:rsidRPr="00D5464D">
        <w:rPr>
          <w:lang w:val="pt-BR"/>
        </w:rPr>
        <w:t>interpreta</w:t>
      </w:r>
      <w:r w:rsidR="00470ADC" w:rsidRPr="00D5464D">
        <w:rPr>
          <w:lang w:val="pt-BR"/>
        </w:rPr>
        <w:t>ção</w:t>
      </w:r>
      <w:r w:rsidR="00207197" w:rsidRPr="00D5464D">
        <w:rPr>
          <w:lang w:val="pt-BR"/>
        </w:rPr>
        <w:t xml:space="preserve"> evolutiva </w:t>
      </w:r>
      <w:r w:rsidR="00470ADC" w:rsidRPr="00D5464D">
        <w:rPr>
          <w:lang w:val="pt-BR"/>
        </w:rPr>
        <w:t>do conceito</w:t>
      </w:r>
      <w:r w:rsidR="00207197" w:rsidRPr="00D5464D">
        <w:rPr>
          <w:lang w:val="pt-BR"/>
        </w:rPr>
        <w:t xml:space="preserve"> de </w:t>
      </w:r>
      <w:r w:rsidR="000B376D" w:rsidRPr="00D5464D">
        <w:rPr>
          <w:lang w:val="pt-BR"/>
        </w:rPr>
        <w:t>escravidão</w:t>
      </w:r>
      <w:r w:rsidR="00207197" w:rsidRPr="00D5464D">
        <w:rPr>
          <w:lang w:val="pt-BR"/>
        </w:rPr>
        <w:t>,</w:t>
      </w:r>
      <w:r w:rsidR="00470ADC" w:rsidRPr="00D5464D">
        <w:rPr>
          <w:lang w:val="pt-BR"/>
        </w:rPr>
        <w:t xml:space="preserve"> ao </w:t>
      </w:r>
      <w:r w:rsidR="00207197" w:rsidRPr="00D5464D">
        <w:rPr>
          <w:lang w:val="pt-BR"/>
        </w:rPr>
        <w:t>considerar que</w:t>
      </w:r>
      <w:r w:rsidR="00041EA2" w:rsidRPr="00D5464D">
        <w:rPr>
          <w:lang w:val="pt-BR"/>
        </w:rPr>
        <w:t>,</w:t>
      </w:r>
      <w:r w:rsidRPr="00D5464D">
        <w:rPr>
          <w:lang w:val="pt-BR"/>
        </w:rPr>
        <w:t xml:space="preserve"> </w:t>
      </w:r>
      <w:r w:rsidR="00470ADC" w:rsidRPr="00D5464D">
        <w:rPr>
          <w:lang w:val="pt-BR"/>
        </w:rPr>
        <w:t>atual</w:t>
      </w:r>
      <w:r w:rsidR="00207197" w:rsidRPr="00D5464D">
        <w:rPr>
          <w:lang w:val="pt-BR"/>
        </w:rPr>
        <w:t>mente</w:t>
      </w:r>
      <w:r w:rsidR="00041EA2" w:rsidRPr="00D5464D">
        <w:rPr>
          <w:lang w:val="pt-BR"/>
        </w:rPr>
        <w:t>,</w:t>
      </w:r>
      <w:r w:rsidR="00207197" w:rsidRPr="00D5464D">
        <w:rPr>
          <w:lang w:val="pt-BR"/>
        </w:rPr>
        <w:t xml:space="preserve"> </w:t>
      </w:r>
      <w:r w:rsidR="00852ECC" w:rsidRPr="00D5464D">
        <w:rPr>
          <w:lang w:val="pt-BR"/>
        </w:rPr>
        <w:t xml:space="preserve">o importante </w:t>
      </w:r>
      <w:r w:rsidR="00737270" w:rsidRPr="00D5464D">
        <w:rPr>
          <w:lang w:val="pt-BR"/>
        </w:rPr>
        <w:t>não é</w:t>
      </w:r>
      <w:r w:rsidR="002C330E" w:rsidRPr="00D5464D">
        <w:rPr>
          <w:lang w:val="pt-BR"/>
        </w:rPr>
        <w:t xml:space="preserve"> a </w:t>
      </w:r>
      <w:r w:rsidR="00E045D9" w:rsidRPr="00D5464D">
        <w:rPr>
          <w:lang w:val="pt-BR"/>
        </w:rPr>
        <w:t>existência</w:t>
      </w:r>
      <w:r w:rsidR="00207197" w:rsidRPr="00D5464D">
        <w:rPr>
          <w:lang w:val="pt-BR"/>
        </w:rPr>
        <w:t xml:space="preserve"> de</w:t>
      </w:r>
      <w:r w:rsidR="00E045D9" w:rsidRPr="00D5464D">
        <w:rPr>
          <w:lang w:val="pt-BR"/>
        </w:rPr>
        <w:t xml:space="preserve"> um </w:t>
      </w:r>
      <w:r w:rsidR="00207197" w:rsidRPr="00D5464D">
        <w:rPr>
          <w:lang w:val="pt-BR"/>
        </w:rPr>
        <w:t xml:space="preserve">título de </w:t>
      </w:r>
      <w:r w:rsidR="002C330E" w:rsidRPr="00D5464D">
        <w:rPr>
          <w:lang w:val="pt-BR"/>
        </w:rPr>
        <w:t>propriedade</w:t>
      </w:r>
      <w:r w:rsidR="00207197" w:rsidRPr="00D5464D">
        <w:rPr>
          <w:lang w:val="pt-BR"/>
        </w:rPr>
        <w:t xml:space="preserve"> sobre</w:t>
      </w:r>
      <w:r w:rsidR="00470ADC" w:rsidRPr="00D5464D">
        <w:rPr>
          <w:lang w:val="pt-BR"/>
        </w:rPr>
        <w:t xml:space="preserve"> o </w:t>
      </w:r>
      <w:r w:rsidR="004F1CC2" w:rsidRPr="00D5464D">
        <w:rPr>
          <w:lang w:val="pt-BR"/>
        </w:rPr>
        <w:t>escravo</w:t>
      </w:r>
      <w:r w:rsidR="00207197" w:rsidRPr="00D5464D">
        <w:rPr>
          <w:lang w:val="pt-BR"/>
        </w:rPr>
        <w:t>,</w:t>
      </w:r>
      <w:r w:rsidR="002C330E" w:rsidRPr="00D5464D">
        <w:rPr>
          <w:lang w:val="pt-BR"/>
        </w:rPr>
        <w:t xml:space="preserve"> mas </w:t>
      </w:r>
      <w:r w:rsidR="00470ADC" w:rsidRPr="00D5464D">
        <w:rPr>
          <w:lang w:val="pt-BR"/>
        </w:rPr>
        <w:t>o exercício</w:t>
      </w:r>
      <w:r w:rsidR="00207197" w:rsidRPr="00D5464D">
        <w:rPr>
          <w:lang w:val="pt-BR"/>
        </w:rPr>
        <w:t xml:space="preserve"> de poderes vinculados</w:t>
      </w:r>
      <w:r w:rsidR="00470ADC" w:rsidRPr="00D5464D">
        <w:rPr>
          <w:lang w:val="pt-BR"/>
        </w:rPr>
        <w:t xml:space="preserve"> </w:t>
      </w:r>
      <w:r w:rsidR="00852ECC" w:rsidRPr="00D5464D">
        <w:rPr>
          <w:lang w:val="pt-BR"/>
        </w:rPr>
        <w:t>à</w:t>
      </w:r>
      <w:r w:rsidR="002C330E" w:rsidRPr="00D5464D">
        <w:rPr>
          <w:lang w:val="pt-BR"/>
        </w:rPr>
        <w:t xml:space="preserve"> propriedade</w:t>
      </w:r>
      <w:r w:rsidR="00207197" w:rsidRPr="00D5464D">
        <w:rPr>
          <w:lang w:val="pt-BR"/>
        </w:rPr>
        <w:t xml:space="preserve"> que se </w:t>
      </w:r>
      <w:r w:rsidR="00230C71" w:rsidRPr="00D5464D">
        <w:rPr>
          <w:lang w:val="pt-BR"/>
        </w:rPr>
        <w:t>traduz</w:t>
      </w:r>
      <w:r w:rsidR="00852ECC" w:rsidRPr="00D5464D">
        <w:rPr>
          <w:lang w:val="pt-BR"/>
        </w:rPr>
        <w:t>em</w:t>
      </w:r>
      <w:r w:rsidR="00E045D9" w:rsidRPr="00D5464D">
        <w:rPr>
          <w:lang w:val="pt-BR"/>
        </w:rPr>
        <w:t xml:space="preserve"> na destruição</w:t>
      </w:r>
      <w:r w:rsidR="00207197" w:rsidRPr="00D5464D">
        <w:rPr>
          <w:lang w:val="pt-BR"/>
        </w:rPr>
        <w:t xml:space="preserve"> o</w:t>
      </w:r>
      <w:r w:rsidR="00852ECC" w:rsidRPr="00D5464D">
        <w:rPr>
          <w:lang w:val="pt-BR"/>
        </w:rPr>
        <w:t>u</w:t>
      </w:r>
      <w:r w:rsidR="00207197" w:rsidRPr="00D5464D">
        <w:rPr>
          <w:lang w:val="pt-BR"/>
        </w:rPr>
        <w:t xml:space="preserve"> anula</w:t>
      </w:r>
      <w:r w:rsidR="00470ADC" w:rsidRPr="00D5464D">
        <w:rPr>
          <w:lang w:val="pt-BR"/>
        </w:rPr>
        <w:t xml:space="preserve">ção da </w:t>
      </w:r>
      <w:r w:rsidR="002C330E" w:rsidRPr="00D5464D">
        <w:rPr>
          <w:lang w:val="pt-BR"/>
        </w:rPr>
        <w:t xml:space="preserve">personalidade </w:t>
      </w:r>
      <w:r w:rsidR="00207197" w:rsidRPr="00D5464D">
        <w:rPr>
          <w:lang w:val="pt-BR"/>
        </w:rPr>
        <w:t xml:space="preserve">jurídica </w:t>
      </w:r>
      <w:r w:rsidR="00470ADC" w:rsidRPr="00D5464D">
        <w:rPr>
          <w:lang w:val="pt-BR"/>
        </w:rPr>
        <w:t xml:space="preserve">do </w:t>
      </w:r>
      <w:r w:rsidR="00207197" w:rsidRPr="00D5464D">
        <w:rPr>
          <w:lang w:val="pt-BR"/>
        </w:rPr>
        <w:t>ser humano</w:t>
      </w:r>
      <w:r w:rsidR="00733A32" w:rsidRPr="00D5464D">
        <w:rPr>
          <w:lang w:val="pt-BR"/>
        </w:rPr>
        <w:t>.</w:t>
      </w:r>
      <w:r w:rsidR="00207197" w:rsidRPr="00D5464D">
        <w:rPr>
          <w:rStyle w:val="Refdenotaalpie"/>
          <w:lang w:val="pt-BR"/>
        </w:rPr>
        <w:footnoteReference w:id="386"/>
      </w:r>
      <w:r w:rsidR="00A1358C" w:rsidRPr="00D5464D">
        <w:rPr>
          <w:lang w:val="pt-BR"/>
        </w:rPr>
        <w:t xml:space="preserve"> O</w:t>
      </w:r>
      <w:r w:rsidR="00FF1290" w:rsidRPr="00D5464D">
        <w:rPr>
          <w:lang w:val="pt-BR"/>
        </w:rPr>
        <w:t xml:space="preserve"> </w:t>
      </w:r>
      <w:r w:rsidR="005856BF" w:rsidRPr="00D5464D">
        <w:rPr>
          <w:lang w:val="pt-BR"/>
        </w:rPr>
        <w:t>Tribunal Penal Internacional Ad Hoc para</w:t>
      </w:r>
      <w:r w:rsidR="002C330E" w:rsidRPr="00D5464D">
        <w:rPr>
          <w:lang w:val="pt-BR"/>
        </w:rPr>
        <w:t xml:space="preserve"> a </w:t>
      </w:r>
      <w:r w:rsidR="00627239" w:rsidRPr="00D5464D">
        <w:rPr>
          <w:lang w:val="pt-BR"/>
        </w:rPr>
        <w:t>antiga Iugoslávia</w:t>
      </w:r>
      <w:r w:rsidR="00207197" w:rsidRPr="00D5464D">
        <w:rPr>
          <w:lang w:val="pt-BR"/>
        </w:rPr>
        <w:t xml:space="preserve"> </w:t>
      </w:r>
      <w:r w:rsidR="00470ADC" w:rsidRPr="00D5464D">
        <w:rPr>
          <w:lang w:val="pt-BR"/>
        </w:rPr>
        <w:t>considerou</w:t>
      </w:r>
      <w:r w:rsidR="00207197" w:rsidRPr="00D5464D">
        <w:rPr>
          <w:lang w:val="pt-BR"/>
        </w:rPr>
        <w:t xml:space="preserve"> que</w:t>
      </w:r>
      <w:r w:rsidR="00076D10" w:rsidRPr="00D5464D">
        <w:rPr>
          <w:lang w:val="pt-BR"/>
        </w:rPr>
        <w:t>,</w:t>
      </w:r>
      <w:r w:rsidR="00470ADC" w:rsidRPr="00D5464D">
        <w:rPr>
          <w:lang w:val="pt-BR"/>
        </w:rPr>
        <w:t xml:space="preserve"> </w:t>
      </w:r>
      <w:r w:rsidR="00852ECC" w:rsidRPr="00D5464D">
        <w:rPr>
          <w:lang w:val="pt-BR"/>
        </w:rPr>
        <w:t>n</w:t>
      </w:r>
      <w:r w:rsidR="00470ADC" w:rsidRPr="00D5464D">
        <w:rPr>
          <w:lang w:val="pt-BR"/>
        </w:rPr>
        <w:t xml:space="preserve">o </w:t>
      </w:r>
      <w:r w:rsidR="00207197" w:rsidRPr="00D5464D">
        <w:rPr>
          <w:lang w:val="pt-BR"/>
        </w:rPr>
        <w:t>momento</w:t>
      </w:r>
      <w:r w:rsidR="00470ADC" w:rsidRPr="00D5464D">
        <w:rPr>
          <w:lang w:val="pt-BR"/>
        </w:rPr>
        <w:t xml:space="preserve"> dos </w:t>
      </w:r>
      <w:r w:rsidR="002C330E" w:rsidRPr="00D5464D">
        <w:rPr>
          <w:lang w:val="pt-BR"/>
        </w:rPr>
        <w:t>fatos</w:t>
      </w:r>
      <w:r w:rsidR="00207197" w:rsidRPr="00D5464D">
        <w:rPr>
          <w:lang w:val="pt-BR"/>
        </w:rPr>
        <w:t xml:space="preserve"> </w:t>
      </w:r>
      <w:r w:rsidR="00852ECC" w:rsidRPr="00D5464D">
        <w:rPr>
          <w:lang w:val="pt-BR"/>
        </w:rPr>
        <w:t>daquele</w:t>
      </w:r>
      <w:r w:rsidR="00470ADC" w:rsidRPr="00D5464D">
        <w:rPr>
          <w:lang w:val="pt-BR"/>
        </w:rPr>
        <w:t xml:space="preserve"> </w:t>
      </w:r>
      <w:r w:rsidR="00207197" w:rsidRPr="00D5464D">
        <w:rPr>
          <w:lang w:val="pt-BR"/>
        </w:rPr>
        <w:t>caso (</w:t>
      </w:r>
      <w:r w:rsidR="002C330E" w:rsidRPr="00D5464D">
        <w:rPr>
          <w:lang w:val="pt-BR"/>
        </w:rPr>
        <w:t>ocorrid</w:t>
      </w:r>
      <w:r w:rsidR="00207197" w:rsidRPr="00D5464D">
        <w:rPr>
          <w:lang w:val="pt-BR"/>
        </w:rPr>
        <w:t>os</w:t>
      </w:r>
      <w:r w:rsidR="00470ADC" w:rsidRPr="00D5464D">
        <w:rPr>
          <w:lang w:val="pt-BR"/>
        </w:rPr>
        <w:t xml:space="preserve"> em </w:t>
      </w:r>
      <w:r w:rsidR="00207197" w:rsidRPr="00D5464D">
        <w:rPr>
          <w:lang w:val="pt-BR"/>
        </w:rPr>
        <w:t>1992)</w:t>
      </w:r>
      <w:r w:rsidR="00852ECC" w:rsidRPr="00D5464D">
        <w:rPr>
          <w:lang w:val="pt-BR"/>
        </w:rPr>
        <w:t>,</w:t>
      </w:r>
      <w:r w:rsidR="002C330E" w:rsidRPr="00D5464D">
        <w:rPr>
          <w:lang w:val="pt-BR"/>
        </w:rPr>
        <w:t xml:space="preserve"> as </w:t>
      </w:r>
      <w:r w:rsidR="00207197" w:rsidRPr="00D5464D">
        <w:rPr>
          <w:lang w:val="pt-BR"/>
        </w:rPr>
        <w:t xml:space="preserve">formas </w:t>
      </w:r>
      <w:r w:rsidR="00470ADC" w:rsidRPr="00D5464D">
        <w:rPr>
          <w:lang w:val="pt-BR"/>
        </w:rPr>
        <w:t>contemporânea</w:t>
      </w:r>
      <w:r w:rsidR="00207197" w:rsidRPr="00D5464D">
        <w:rPr>
          <w:lang w:val="pt-BR"/>
        </w:rPr>
        <w:t xml:space="preserve">s de </w:t>
      </w:r>
      <w:r w:rsidR="000B376D" w:rsidRPr="00D5464D">
        <w:rPr>
          <w:lang w:val="pt-BR"/>
        </w:rPr>
        <w:t>escravidão</w:t>
      </w:r>
      <w:r w:rsidR="00207197" w:rsidRPr="00D5464D">
        <w:rPr>
          <w:lang w:val="pt-BR"/>
        </w:rPr>
        <w:t xml:space="preserve"> identificadas</w:t>
      </w:r>
      <w:r w:rsidR="00E045D9" w:rsidRPr="00D5464D">
        <w:rPr>
          <w:lang w:val="pt-BR"/>
        </w:rPr>
        <w:t xml:space="preserve"> </w:t>
      </w:r>
      <w:r w:rsidR="00852ECC" w:rsidRPr="00D5464D">
        <w:rPr>
          <w:lang w:val="pt-BR"/>
        </w:rPr>
        <w:t xml:space="preserve">naquela </w:t>
      </w:r>
      <w:r w:rsidR="002C330E" w:rsidRPr="00D5464D">
        <w:rPr>
          <w:lang w:val="pt-BR"/>
        </w:rPr>
        <w:t>Sentença</w:t>
      </w:r>
      <w:r w:rsidR="00470ADC" w:rsidRPr="00D5464D">
        <w:rPr>
          <w:lang w:val="pt-BR"/>
        </w:rPr>
        <w:t xml:space="preserve"> eram </w:t>
      </w:r>
      <w:r w:rsidR="00207197" w:rsidRPr="00D5464D">
        <w:rPr>
          <w:lang w:val="pt-BR"/>
        </w:rPr>
        <w:t>parte</w:t>
      </w:r>
      <w:r w:rsidR="00470ADC" w:rsidRPr="00D5464D">
        <w:rPr>
          <w:lang w:val="pt-BR"/>
        </w:rPr>
        <w:t xml:space="preserve"> da </w:t>
      </w:r>
      <w:r w:rsidR="000B376D" w:rsidRPr="00D5464D">
        <w:rPr>
          <w:lang w:val="pt-BR"/>
        </w:rPr>
        <w:t>escravidão</w:t>
      </w:r>
      <w:r w:rsidR="00207197" w:rsidRPr="00D5464D">
        <w:rPr>
          <w:lang w:val="pt-BR"/>
        </w:rPr>
        <w:t xml:space="preserve"> como delito </w:t>
      </w:r>
      <w:r w:rsidR="006465DE" w:rsidRPr="00D5464D">
        <w:rPr>
          <w:lang w:val="pt-BR"/>
        </w:rPr>
        <w:t xml:space="preserve">contra a </w:t>
      </w:r>
      <w:r w:rsidR="002C330E" w:rsidRPr="00D5464D">
        <w:rPr>
          <w:lang w:val="pt-BR"/>
        </w:rPr>
        <w:t>humanidade</w:t>
      </w:r>
      <w:r w:rsidR="00470ADC" w:rsidRPr="00D5464D">
        <w:rPr>
          <w:lang w:val="pt-BR"/>
        </w:rPr>
        <w:t xml:space="preserve"> </w:t>
      </w:r>
      <w:r w:rsidR="00852ECC" w:rsidRPr="00D5464D">
        <w:rPr>
          <w:lang w:val="pt-BR"/>
        </w:rPr>
        <w:t xml:space="preserve">de acordo com </w:t>
      </w:r>
      <w:r w:rsidR="00470ADC" w:rsidRPr="00D5464D">
        <w:rPr>
          <w:lang w:val="pt-BR"/>
        </w:rPr>
        <w:t xml:space="preserve">o </w:t>
      </w:r>
      <w:r w:rsidR="00E765C2" w:rsidRPr="00D5464D">
        <w:rPr>
          <w:lang w:val="pt-BR"/>
        </w:rPr>
        <w:t>Direito Internacional</w:t>
      </w:r>
      <w:r w:rsidR="00207197" w:rsidRPr="00D5464D">
        <w:rPr>
          <w:lang w:val="pt-BR"/>
        </w:rPr>
        <w:t xml:space="preserve"> </w:t>
      </w:r>
      <w:r w:rsidR="00852ECC" w:rsidRPr="00D5464D">
        <w:rPr>
          <w:lang w:val="pt-BR"/>
        </w:rPr>
        <w:t>C</w:t>
      </w:r>
      <w:r w:rsidR="00470ADC" w:rsidRPr="00D5464D">
        <w:rPr>
          <w:lang w:val="pt-BR"/>
        </w:rPr>
        <w:t>onsuetudinário</w:t>
      </w:r>
      <w:r w:rsidR="00207197" w:rsidRPr="00D5464D">
        <w:rPr>
          <w:lang w:val="pt-BR"/>
        </w:rPr>
        <w:t xml:space="preserve"> (</w:t>
      </w:r>
      <w:r w:rsidR="00207197" w:rsidRPr="00D5464D">
        <w:rPr>
          <w:i/>
          <w:lang w:val="pt-BR"/>
        </w:rPr>
        <w:t>customary international law</w:t>
      </w:r>
      <w:r w:rsidR="00207197" w:rsidRPr="00D5464D">
        <w:rPr>
          <w:lang w:val="pt-BR"/>
        </w:rPr>
        <w:t>)</w:t>
      </w:r>
      <w:r w:rsidR="00733A32" w:rsidRPr="00D5464D">
        <w:rPr>
          <w:lang w:val="pt-BR"/>
        </w:rPr>
        <w:t>.</w:t>
      </w:r>
      <w:r w:rsidR="00207197" w:rsidRPr="00D5464D">
        <w:rPr>
          <w:rStyle w:val="Refdenotaalpie"/>
          <w:lang w:val="pt-BR"/>
        </w:rPr>
        <w:footnoteReference w:id="387"/>
      </w:r>
    </w:p>
    <w:p w14:paraId="3A6DDB30" w14:textId="77777777" w:rsidR="00207197" w:rsidRPr="00D5464D" w:rsidRDefault="00207197" w:rsidP="00140440">
      <w:pPr>
        <w:jc w:val="both"/>
        <w:rPr>
          <w:lang w:val="pt-BR"/>
        </w:rPr>
      </w:pPr>
    </w:p>
    <w:p w14:paraId="237E8A9E" w14:textId="5F680A5A" w:rsidR="00207197" w:rsidRPr="00D5464D" w:rsidRDefault="00207197" w:rsidP="00F37DC4">
      <w:pPr>
        <w:pStyle w:val="Prrafodelista"/>
        <w:numPr>
          <w:ilvl w:val="0"/>
          <w:numId w:val="1"/>
        </w:numPr>
        <w:contextualSpacing w:val="0"/>
        <w:rPr>
          <w:lang w:val="pt-BR"/>
        </w:rPr>
      </w:pPr>
      <w:r w:rsidRPr="00D5464D">
        <w:rPr>
          <w:lang w:val="pt-BR"/>
        </w:rPr>
        <w:t>Posteriormente,</w:t>
      </w:r>
      <w:r w:rsidR="00E045D9" w:rsidRPr="00D5464D">
        <w:rPr>
          <w:lang w:val="pt-BR"/>
        </w:rPr>
        <w:t xml:space="preserve"> no </w:t>
      </w:r>
      <w:r w:rsidR="00122B46" w:rsidRPr="00D5464D">
        <w:rPr>
          <w:i/>
          <w:lang w:val="pt-BR"/>
        </w:rPr>
        <w:t>C</w:t>
      </w:r>
      <w:r w:rsidRPr="00D5464D">
        <w:rPr>
          <w:i/>
          <w:lang w:val="pt-BR"/>
        </w:rPr>
        <w:t>aso Krnojelac</w:t>
      </w:r>
      <w:r w:rsidRPr="00D5464D">
        <w:rPr>
          <w:lang w:val="pt-BR"/>
        </w:rPr>
        <w:t>,</w:t>
      </w:r>
      <w:r w:rsidR="00470ADC" w:rsidRPr="00D5464D">
        <w:rPr>
          <w:lang w:val="pt-BR"/>
        </w:rPr>
        <w:t xml:space="preserve"> o </w:t>
      </w:r>
      <w:r w:rsidR="007A680A" w:rsidRPr="00D5464D">
        <w:rPr>
          <w:lang w:val="pt-BR"/>
        </w:rPr>
        <w:t>Tribunal Penal Internacional Ad Hoc para</w:t>
      </w:r>
      <w:r w:rsidR="002C330E" w:rsidRPr="00D5464D">
        <w:rPr>
          <w:lang w:val="pt-BR"/>
        </w:rPr>
        <w:t xml:space="preserve"> a </w:t>
      </w:r>
      <w:r w:rsidR="00627239" w:rsidRPr="00D5464D">
        <w:rPr>
          <w:lang w:val="pt-BR"/>
        </w:rPr>
        <w:t>antiga Iugoslávia</w:t>
      </w:r>
      <w:r w:rsidRPr="00D5464D">
        <w:rPr>
          <w:lang w:val="pt-BR"/>
        </w:rPr>
        <w:t xml:space="preserve"> </w:t>
      </w:r>
      <w:r w:rsidR="00470ADC" w:rsidRPr="00D5464D">
        <w:rPr>
          <w:lang w:val="pt-BR"/>
        </w:rPr>
        <w:t>confirmou</w:t>
      </w:r>
      <w:r w:rsidR="002C330E" w:rsidRPr="00D5464D">
        <w:rPr>
          <w:lang w:val="pt-BR"/>
        </w:rPr>
        <w:t xml:space="preserve"> os </w:t>
      </w:r>
      <w:r w:rsidR="00470ADC" w:rsidRPr="00D5464D">
        <w:rPr>
          <w:lang w:val="pt-BR"/>
        </w:rPr>
        <w:t>critério</w:t>
      </w:r>
      <w:r w:rsidRPr="00D5464D">
        <w:rPr>
          <w:lang w:val="pt-BR"/>
        </w:rPr>
        <w:t xml:space="preserve">s </w:t>
      </w:r>
      <w:r w:rsidR="00470ADC" w:rsidRPr="00D5464D">
        <w:rPr>
          <w:lang w:val="pt-BR"/>
        </w:rPr>
        <w:t>estabelecid</w:t>
      </w:r>
      <w:r w:rsidRPr="00D5464D">
        <w:rPr>
          <w:lang w:val="pt-BR"/>
        </w:rPr>
        <w:t>os</w:t>
      </w:r>
      <w:r w:rsidR="00E045D9" w:rsidRPr="00D5464D">
        <w:rPr>
          <w:lang w:val="pt-BR"/>
        </w:rPr>
        <w:t xml:space="preserve"> no </w:t>
      </w:r>
      <w:r w:rsidR="00122B46" w:rsidRPr="00D5464D">
        <w:rPr>
          <w:i/>
          <w:lang w:val="pt-BR"/>
        </w:rPr>
        <w:t>C</w:t>
      </w:r>
      <w:r w:rsidR="00B502F2" w:rsidRPr="00D5464D">
        <w:rPr>
          <w:i/>
          <w:lang w:val="pt-BR"/>
        </w:rPr>
        <w:t xml:space="preserve">aso </w:t>
      </w:r>
      <w:r w:rsidRPr="00D5464D">
        <w:rPr>
          <w:i/>
          <w:lang w:val="pt-BR"/>
        </w:rPr>
        <w:t>Kunarac</w:t>
      </w:r>
      <w:r w:rsidR="00E045D9" w:rsidRPr="00D5464D">
        <w:rPr>
          <w:lang w:val="pt-BR"/>
        </w:rPr>
        <w:t xml:space="preserve"> e </w:t>
      </w:r>
      <w:r w:rsidR="002C330E" w:rsidRPr="00D5464D">
        <w:rPr>
          <w:lang w:val="pt-BR"/>
        </w:rPr>
        <w:t>afirmou</w:t>
      </w:r>
      <w:r w:rsidRPr="00D5464D">
        <w:rPr>
          <w:lang w:val="pt-BR"/>
        </w:rPr>
        <w:t xml:space="preserve"> que</w:t>
      </w:r>
      <w:r w:rsidR="00076D10" w:rsidRPr="00D5464D">
        <w:rPr>
          <w:lang w:val="pt-BR"/>
        </w:rPr>
        <w:t>,</w:t>
      </w:r>
      <w:r w:rsidR="00470ADC" w:rsidRPr="00D5464D">
        <w:rPr>
          <w:lang w:val="pt-BR"/>
        </w:rPr>
        <w:t xml:space="preserve"> </w:t>
      </w:r>
      <w:r w:rsidR="00852ECC" w:rsidRPr="00D5464D">
        <w:rPr>
          <w:lang w:val="pt-BR"/>
        </w:rPr>
        <w:t xml:space="preserve">naquele </w:t>
      </w:r>
      <w:r w:rsidRPr="00D5464D">
        <w:rPr>
          <w:lang w:val="pt-BR"/>
        </w:rPr>
        <w:t>caso</w:t>
      </w:r>
      <w:r w:rsidR="00076D10" w:rsidRPr="00D5464D">
        <w:rPr>
          <w:lang w:val="pt-BR"/>
        </w:rPr>
        <w:t>,</w:t>
      </w:r>
      <w:r w:rsidR="002C330E" w:rsidRPr="00D5464D">
        <w:rPr>
          <w:lang w:val="pt-BR"/>
        </w:rPr>
        <w:t xml:space="preserve"> a </w:t>
      </w:r>
      <w:r w:rsidR="000B376D" w:rsidRPr="00D5464D">
        <w:rPr>
          <w:lang w:val="pt-BR"/>
        </w:rPr>
        <w:t>escravidão</w:t>
      </w:r>
      <w:r w:rsidRPr="00D5464D">
        <w:rPr>
          <w:lang w:val="pt-BR"/>
        </w:rPr>
        <w:t xml:space="preserve"> </w:t>
      </w:r>
      <w:r w:rsidR="00470ADC" w:rsidRPr="00D5464D">
        <w:rPr>
          <w:lang w:val="pt-BR"/>
        </w:rPr>
        <w:t>estava</w:t>
      </w:r>
      <w:r w:rsidRPr="00D5464D">
        <w:rPr>
          <w:lang w:val="pt-BR"/>
        </w:rPr>
        <w:t xml:space="preserve"> relacionada</w:t>
      </w:r>
      <w:r w:rsidR="00470ADC" w:rsidRPr="00D5464D">
        <w:rPr>
          <w:lang w:val="pt-BR"/>
        </w:rPr>
        <w:t xml:space="preserve"> ao </w:t>
      </w:r>
      <w:r w:rsidRPr="00D5464D">
        <w:rPr>
          <w:lang w:val="pt-BR"/>
        </w:rPr>
        <w:t xml:space="preserve">propósito de </w:t>
      </w:r>
      <w:r w:rsidR="00E045D9" w:rsidRPr="00D5464D">
        <w:rPr>
          <w:lang w:val="pt-BR"/>
        </w:rPr>
        <w:t>trabalho</w:t>
      </w:r>
      <w:r w:rsidRPr="00D5464D">
        <w:rPr>
          <w:lang w:val="pt-BR"/>
        </w:rPr>
        <w:t xml:space="preserve"> </w:t>
      </w:r>
      <w:r w:rsidR="00230C71" w:rsidRPr="00D5464D">
        <w:rPr>
          <w:lang w:val="pt-BR"/>
        </w:rPr>
        <w:t>forçado</w:t>
      </w:r>
      <w:r w:rsidR="00852ECC" w:rsidRPr="00D5464D">
        <w:rPr>
          <w:lang w:val="pt-BR"/>
        </w:rPr>
        <w:t>.</w:t>
      </w:r>
      <w:r w:rsidRPr="00D5464D">
        <w:rPr>
          <w:rStyle w:val="Refdenotaalpie"/>
          <w:lang w:val="pt-BR"/>
        </w:rPr>
        <w:footnoteReference w:id="388"/>
      </w:r>
      <w:r w:rsidRPr="00D5464D">
        <w:rPr>
          <w:lang w:val="pt-BR"/>
        </w:rPr>
        <w:t xml:space="preserve"> </w:t>
      </w:r>
    </w:p>
    <w:p w14:paraId="68351100" w14:textId="77777777" w:rsidR="00DE3E58" w:rsidRPr="00D5464D" w:rsidRDefault="00DE3E58" w:rsidP="00DE3E58">
      <w:pPr>
        <w:pStyle w:val="Prrafodelista"/>
        <w:ind w:left="0"/>
        <w:contextualSpacing w:val="0"/>
        <w:rPr>
          <w:lang w:val="pt-BR"/>
        </w:rPr>
      </w:pPr>
    </w:p>
    <w:p w14:paraId="229EA679" w14:textId="49987A14" w:rsidR="00207197" w:rsidRPr="00D5464D" w:rsidRDefault="00470ADC" w:rsidP="00F37DC4">
      <w:pPr>
        <w:pStyle w:val="Prrafodelista"/>
        <w:numPr>
          <w:ilvl w:val="0"/>
          <w:numId w:val="1"/>
        </w:numPr>
        <w:contextualSpacing w:val="0"/>
        <w:rPr>
          <w:lang w:val="pt-BR"/>
        </w:rPr>
      </w:pPr>
      <w:r w:rsidRPr="00D5464D">
        <w:rPr>
          <w:lang w:val="pt-BR"/>
        </w:rPr>
        <w:t xml:space="preserve">O </w:t>
      </w:r>
      <w:r w:rsidR="00207197" w:rsidRPr="00D5464D">
        <w:rPr>
          <w:lang w:val="pt-BR"/>
        </w:rPr>
        <w:t xml:space="preserve">Tribunal Especial para </w:t>
      </w:r>
      <w:r w:rsidR="00E045D9" w:rsidRPr="00D5464D">
        <w:rPr>
          <w:lang w:val="pt-BR"/>
        </w:rPr>
        <w:t>Serra Leoa</w:t>
      </w:r>
      <w:r w:rsidR="00207197" w:rsidRPr="00D5464D">
        <w:rPr>
          <w:lang w:val="pt-BR"/>
        </w:rPr>
        <w:t xml:space="preserve"> (</w:t>
      </w:r>
      <w:r w:rsidR="00350187" w:rsidRPr="00D5464D">
        <w:rPr>
          <w:lang w:val="pt-BR"/>
        </w:rPr>
        <w:t>doravante denominad</w:t>
      </w:r>
      <w:r w:rsidR="00852ECC" w:rsidRPr="00D5464D">
        <w:rPr>
          <w:lang w:val="pt-BR"/>
        </w:rPr>
        <w:t>o</w:t>
      </w:r>
      <w:r w:rsidR="00207197" w:rsidRPr="00D5464D">
        <w:rPr>
          <w:lang w:val="pt-BR"/>
        </w:rPr>
        <w:t xml:space="preserve"> </w:t>
      </w:r>
      <w:r w:rsidR="00E045D9" w:rsidRPr="00D5464D">
        <w:rPr>
          <w:lang w:val="pt-BR"/>
        </w:rPr>
        <w:t>também</w:t>
      </w:r>
      <w:r w:rsidR="00B2396C" w:rsidRPr="00D5464D">
        <w:rPr>
          <w:lang w:val="pt-BR"/>
        </w:rPr>
        <w:t xml:space="preserve"> </w:t>
      </w:r>
      <w:r w:rsidR="00207197" w:rsidRPr="00D5464D">
        <w:rPr>
          <w:lang w:val="pt-BR"/>
        </w:rPr>
        <w:t>“</w:t>
      </w:r>
      <w:r w:rsidR="008000DD" w:rsidRPr="00D5464D">
        <w:rPr>
          <w:lang w:val="pt-BR"/>
        </w:rPr>
        <w:t>TESL</w:t>
      </w:r>
      <w:r w:rsidR="00207197" w:rsidRPr="00D5464D">
        <w:rPr>
          <w:lang w:val="pt-BR"/>
        </w:rPr>
        <w:t>”),</w:t>
      </w:r>
      <w:r w:rsidR="00E045D9" w:rsidRPr="00D5464D">
        <w:rPr>
          <w:lang w:val="pt-BR"/>
        </w:rPr>
        <w:t xml:space="preserve"> nas </w:t>
      </w:r>
      <w:r w:rsidR="002C330E" w:rsidRPr="00D5464D">
        <w:rPr>
          <w:lang w:val="pt-BR"/>
        </w:rPr>
        <w:t>Sentença</w:t>
      </w:r>
      <w:r w:rsidR="00207197" w:rsidRPr="00D5464D">
        <w:rPr>
          <w:lang w:val="pt-BR"/>
        </w:rPr>
        <w:t>s</w:t>
      </w:r>
      <w:r w:rsidRPr="00D5464D">
        <w:rPr>
          <w:lang w:val="pt-BR"/>
        </w:rPr>
        <w:t xml:space="preserve"> dos </w:t>
      </w:r>
      <w:r w:rsidR="00207197" w:rsidRPr="00D5464D">
        <w:rPr>
          <w:i/>
          <w:lang w:val="pt-BR"/>
        </w:rPr>
        <w:t xml:space="preserve">Casos </w:t>
      </w:r>
      <w:r w:rsidR="00207197" w:rsidRPr="00D5464D">
        <w:rPr>
          <w:i/>
          <w:iCs/>
          <w:lang w:val="pt-BR"/>
        </w:rPr>
        <w:t>Sesay, Kallon and Gbao</w:t>
      </w:r>
      <w:r w:rsidR="00207197" w:rsidRPr="00D5464D">
        <w:rPr>
          <w:rStyle w:val="Refdenotaalpie"/>
          <w:lang w:val="pt-BR"/>
        </w:rPr>
        <w:footnoteReference w:id="389"/>
      </w:r>
      <w:r w:rsidR="00E045D9" w:rsidRPr="00D5464D">
        <w:rPr>
          <w:lang w:val="pt-BR"/>
        </w:rPr>
        <w:t xml:space="preserve"> e </w:t>
      </w:r>
      <w:r w:rsidR="00207197" w:rsidRPr="00D5464D">
        <w:rPr>
          <w:i/>
          <w:lang w:val="pt-BR"/>
        </w:rPr>
        <w:t>Brima, Kamara, Kanu</w:t>
      </w:r>
      <w:r w:rsidR="00207197" w:rsidRPr="00D5464D">
        <w:rPr>
          <w:lang w:val="pt-BR"/>
        </w:rPr>
        <w:t>, de 2007, re</w:t>
      </w:r>
      <w:r w:rsidRPr="00D5464D">
        <w:rPr>
          <w:lang w:val="pt-BR"/>
        </w:rPr>
        <w:t>afirmou</w:t>
      </w:r>
      <w:r w:rsidR="002C330E" w:rsidRPr="00D5464D">
        <w:rPr>
          <w:lang w:val="pt-BR"/>
        </w:rPr>
        <w:t xml:space="preserve"> os </w:t>
      </w:r>
      <w:r w:rsidRPr="00D5464D">
        <w:rPr>
          <w:lang w:val="pt-BR"/>
        </w:rPr>
        <w:t>critério</w:t>
      </w:r>
      <w:r w:rsidR="00207197" w:rsidRPr="00D5464D">
        <w:rPr>
          <w:lang w:val="pt-BR"/>
        </w:rPr>
        <w:t xml:space="preserve">s </w:t>
      </w:r>
      <w:r w:rsidRPr="00D5464D">
        <w:rPr>
          <w:lang w:val="pt-BR"/>
        </w:rPr>
        <w:t>estabelecid</w:t>
      </w:r>
      <w:r w:rsidR="00207197" w:rsidRPr="00D5464D">
        <w:rPr>
          <w:lang w:val="pt-BR"/>
        </w:rPr>
        <w:t>os</w:t>
      </w:r>
      <w:r w:rsidR="002C330E" w:rsidRPr="00D5464D">
        <w:rPr>
          <w:lang w:val="pt-BR"/>
        </w:rPr>
        <w:t xml:space="preserve"> pelo </w:t>
      </w:r>
      <w:r w:rsidR="007A680A" w:rsidRPr="00D5464D">
        <w:rPr>
          <w:lang w:val="pt-BR"/>
        </w:rPr>
        <w:t>Tribunal Penal Internacional Ad Hoc para</w:t>
      </w:r>
      <w:r w:rsidR="002C330E" w:rsidRPr="00D5464D">
        <w:rPr>
          <w:lang w:val="pt-BR"/>
        </w:rPr>
        <w:t xml:space="preserve"> a </w:t>
      </w:r>
      <w:r w:rsidR="00627239" w:rsidRPr="00D5464D">
        <w:rPr>
          <w:lang w:val="pt-BR"/>
        </w:rPr>
        <w:t>antiga Iugoslávia</w:t>
      </w:r>
      <w:r w:rsidR="00E045D9" w:rsidRPr="00D5464D">
        <w:rPr>
          <w:lang w:val="pt-BR"/>
        </w:rPr>
        <w:t xml:space="preserve"> nos </w:t>
      </w:r>
      <w:r w:rsidR="00231EE9" w:rsidRPr="00D5464D">
        <w:rPr>
          <w:lang w:val="pt-BR"/>
        </w:rPr>
        <w:t xml:space="preserve">casos </w:t>
      </w:r>
      <w:r w:rsidR="00207197" w:rsidRPr="00D5464D">
        <w:rPr>
          <w:i/>
          <w:lang w:val="pt-BR"/>
        </w:rPr>
        <w:t>Kunarac</w:t>
      </w:r>
      <w:r w:rsidR="00E045D9" w:rsidRPr="00D5464D">
        <w:rPr>
          <w:lang w:val="pt-BR"/>
        </w:rPr>
        <w:t xml:space="preserve"> e </w:t>
      </w:r>
      <w:r w:rsidR="00207197" w:rsidRPr="00D5464D">
        <w:rPr>
          <w:i/>
          <w:lang w:val="pt-BR"/>
        </w:rPr>
        <w:t>Krnojelac</w:t>
      </w:r>
      <w:r w:rsidR="00852ECC" w:rsidRPr="00D5464D">
        <w:rPr>
          <w:lang w:val="pt-BR"/>
        </w:rPr>
        <w:t>.</w:t>
      </w:r>
      <w:r w:rsidR="00207197" w:rsidRPr="00D5464D">
        <w:rPr>
          <w:rStyle w:val="Refdenotaalpie"/>
          <w:lang w:val="pt-BR"/>
        </w:rPr>
        <w:footnoteReference w:id="390"/>
      </w:r>
      <w:r w:rsidR="00A1358C" w:rsidRPr="00D5464D">
        <w:rPr>
          <w:lang w:val="pt-BR"/>
        </w:rPr>
        <w:t xml:space="preserve"> O </w:t>
      </w:r>
      <w:r w:rsidR="005856BF" w:rsidRPr="00D5464D">
        <w:rPr>
          <w:lang w:val="pt-BR"/>
        </w:rPr>
        <w:t xml:space="preserve">Tribunal Especial para </w:t>
      </w:r>
      <w:r w:rsidR="00E045D9" w:rsidRPr="00D5464D">
        <w:rPr>
          <w:lang w:val="pt-BR"/>
        </w:rPr>
        <w:t>Serra Leoa</w:t>
      </w:r>
      <w:r w:rsidR="00207197" w:rsidRPr="00D5464D">
        <w:rPr>
          <w:lang w:val="pt-BR"/>
        </w:rPr>
        <w:t xml:space="preserve"> </w:t>
      </w:r>
      <w:r w:rsidR="00E045D9" w:rsidRPr="00D5464D">
        <w:rPr>
          <w:lang w:val="pt-BR"/>
        </w:rPr>
        <w:t>também</w:t>
      </w:r>
      <w:r w:rsidR="00207197" w:rsidRPr="00D5464D">
        <w:rPr>
          <w:lang w:val="pt-BR"/>
        </w:rPr>
        <w:t xml:space="preserve"> </w:t>
      </w:r>
      <w:r w:rsidRPr="00D5464D">
        <w:rPr>
          <w:lang w:val="pt-BR"/>
        </w:rPr>
        <w:t xml:space="preserve">considerou o </w:t>
      </w:r>
      <w:r w:rsidR="00E045D9" w:rsidRPr="00D5464D">
        <w:rPr>
          <w:lang w:val="pt-BR"/>
        </w:rPr>
        <w:t>trabalho</w:t>
      </w:r>
      <w:r w:rsidR="00207197" w:rsidRPr="00D5464D">
        <w:rPr>
          <w:lang w:val="pt-BR"/>
        </w:rPr>
        <w:t xml:space="preserve"> </w:t>
      </w:r>
      <w:r w:rsidR="00230C71" w:rsidRPr="00D5464D">
        <w:rPr>
          <w:lang w:val="pt-BR"/>
        </w:rPr>
        <w:t>forçado</w:t>
      </w:r>
      <w:r w:rsidR="00207197" w:rsidRPr="00D5464D">
        <w:rPr>
          <w:lang w:val="pt-BR"/>
        </w:rPr>
        <w:t xml:space="preserve"> como</w:t>
      </w:r>
      <w:r w:rsidR="00E045D9" w:rsidRPr="00D5464D">
        <w:rPr>
          <w:lang w:val="pt-BR"/>
        </w:rPr>
        <w:t xml:space="preserve"> uma </w:t>
      </w:r>
      <w:r w:rsidR="00207197" w:rsidRPr="00D5464D">
        <w:rPr>
          <w:lang w:val="pt-BR"/>
        </w:rPr>
        <w:t xml:space="preserve">forma de </w:t>
      </w:r>
      <w:r w:rsidR="000B376D" w:rsidRPr="00D5464D">
        <w:rPr>
          <w:lang w:val="pt-BR"/>
        </w:rPr>
        <w:t>escravidão</w:t>
      </w:r>
      <w:r w:rsidR="00207197" w:rsidRPr="00D5464D">
        <w:rPr>
          <w:lang w:val="pt-BR"/>
        </w:rPr>
        <w:t xml:space="preserve">, entre </w:t>
      </w:r>
      <w:r w:rsidR="002C330E" w:rsidRPr="00D5464D">
        <w:rPr>
          <w:lang w:val="pt-BR"/>
        </w:rPr>
        <w:t>outros</w:t>
      </w:r>
      <w:r w:rsidR="00207197" w:rsidRPr="00D5464D">
        <w:rPr>
          <w:lang w:val="pt-BR"/>
        </w:rPr>
        <w:t>,</w:t>
      </w:r>
      <w:r w:rsidR="00E045D9" w:rsidRPr="00D5464D">
        <w:rPr>
          <w:lang w:val="pt-BR"/>
        </w:rPr>
        <w:t xml:space="preserve"> no </w:t>
      </w:r>
      <w:r w:rsidR="00207197" w:rsidRPr="00D5464D">
        <w:rPr>
          <w:i/>
          <w:lang w:val="pt-BR"/>
        </w:rPr>
        <w:t>Caso Charles Taylor</w:t>
      </w:r>
      <w:r w:rsidR="00A1358C" w:rsidRPr="00D5464D">
        <w:rPr>
          <w:lang w:val="pt-BR"/>
        </w:rPr>
        <w:t xml:space="preserve">. A </w:t>
      </w:r>
      <w:r w:rsidR="00737270" w:rsidRPr="00D5464D">
        <w:rPr>
          <w:lang w:val="pt-BR"/>
        </w:rPr>
        <w:t>este respeito</w:t>
      </w:r>
      <w:r w:rsidR="00207197" w:rsidRPr="00D5464D">
        <w:rPr>
          <w:lang w:val="pt-BR"/>
        </w:rPr>
        <w:t xml:space="preserve">, </w:t>
      </w:r>
      <w:r w:rsidRPr="00D5464D">
        <w:rPr>
          <w:lang w:val="pt-BR"/>
        </w:rPr>
        <w:t>afirmou</w:t>
      </w:r>
      <w:r w:rsidR="00207197" w:rsidRPr="00D5464D">
        <w:rPr>
          <w:lang w:val="pt-BR"/>
        </w:rPr>
        <w:t xml:space="preserve"> que “para considerar </w:t>
      </w:r>
      <w:r w:rsidR="00852ECC" w:rsidRPr="00D5464D">
        <w:rPr>
          <w:lang w:val="pt-BR"/>
        </w:rPr>
        <w:t xml:space="preserve">o </w:t>
      </w:r>
      <w:r w:rsidR="00E045D9" w:rsidRPr="00D5464D">
        <w:rPr>
          <w:lang w:val="pt-BR"/>
        </w:rPr>
        <w:t>trabalho</w:t>
      </w:r>
      <w:r w:rsidR="00207197" w:rsidRPr="00D5464D">
        <w:rPr>
          <w:lang w:val="pt-BR"/>
        </w:rPr>
        <w:t xml:space="preserve"> </w:t>
      </w:r>
      <w:r w:rsidR="00230C71" w:rsidRPr="00D5464D">
        <w:rPr>
          <w:lang w:val="pt-BR"/>
        </w:rPr>
        <w:t>forçado</w:t>
      </w:r>
      <w:r w:rsidR="00207197" w:rsidRPr="00D5464D">
        <w:rPr>
          <w:lang w:val="pt-BR"/>
        </w:rPr>
        <w:t xml:space="preserve"> como </w:t>
      </w:r>
      <w:r w:rsidR="000B376D" w:rsidRPr="00D5464D">
        <w:rPr>
          <w:lang w:val="pt-BR"/>
        </w:rPr>
        <w:t>escravidão</w:t>
      </w:r>
      <w:r w:rsidR="00207197" w:rsidRPr="00D5464D">
        <w:rPr>
          <w:lang w:val="pt-BR"/>
        </w:rPr>
        <w:t>,</w:t>
      </w:r>
      <w:r w:rsidR="00C91CB1" w:rsidRPr="00D5464D">
        <w:rPr>
          <w:lang w:val="pt-BR"/>
        </w:rPr>
        <w:t xml:space="preserve"> </w:t>
      </w:r>
      <w:r w:rsidR="00852ECC" w:rsidRPr="00D5464D">
        <w:rPr>
          <w:lang w:val="pt-BR"/>
        </w:rPr>
        <w:t xml:space="preserve">é </w:t>
      </w:r>
      <w:r w:rsidR="00207197" w:rsidRPr="00D5464D">
        <w:rPr>
          <w:lang w:val="pt-BR"/>
        </w:rPr>
        <w:t>relevante</w:t>
      </w:r>
      <w:r w:rsidRPr="00D5464D">
        <w:rPr>
          <w:lang w:val="pt-BR"/>
        </w:rPr>
        <w:t xml:space="preserve"> </w:t>
      </w:r>
      <w:r w:rsidR="00207197" w:rsidRPr="00D5464D">
        <w:rPr>
          <w:lang w:val="pt-BR"/>
        </w:rPr>
        <w:t>considerar</w:t>
      </w:r>
      <w:r w:rsidR="002C330E" w:rsidRPr="00D5464D">
        <w:rPr>
          <w:lang w:val="pt-BR"/>
        </w:rPr>
        <w:t xml:space="preserve"> se </w:t>
      </w:r>
      <w:r w:rsidR="00852ECC" w:rsidRPr="00D5464D">
        <w:rPr>
          <w:lang w:val="pt-BR"/>
        </w:rPr>
        <w:t>‘</w:t>
      </w:r>
      <w:r w:rsidR="00207197" w:rsidRPr="00D5464D">
        <w:rPr>
          <w:lang w:val="pt-BR"/>
        </w:rPr>
        <w:t xml:space="preserve">as </w:t>
      </w:r>
      <w:r w:rsidR="002C330E" w:rsidRPr="00D5464D">
        <w:rPr>
          <w:lang w:val="pt-BR"/>
        </w:rPr>
        <w:t>pessoa</w:t>
      </w:r>
      <w:r w:rsidR="00207197" w:rsidRPr="00D5464D">
        <w:rPr>
          <w:lang w:val="pt-BR"/>
        </w:rPr>
        <w:t>s</w:t>
      </w:r>
      <w:r w:rsidRPr="00D5464D">
        <w:rPr>
          <w:lang w:val="pt-BR"/>
        </w:rPr>
        <w:t xml:space="preserve"> em questão</w:t>
      </w:r>
      <w:r w:rsidR="00230C71" w:rsidRPr="00D5464D">
        <w:rPr>
          <w:lang w:val="pt-BR"/>
        </w:rPr>
        <w:t xml:space="preserve"> não tinha</w:t>
      </w:r>
      <w:r w:rsidR="00E045D9" w:rsidRPr="00D5464D">
        <w:rPr>
          <w:lang w:val="pt-BR"/>
        </w:rPr>
        <w:t>m</w:t>
      </w:r>
      <w:r w:rsidR="00207197" w:rsidRPr="00D5464D">
        <w:rPr>
          <w:lang w:val="pt-BR"/>
        </w:rPr>
        <w:t xml:space="preserve"> op</w:t>
      </w:r>
      <w:r w:rsidRPr="00D5464D">
        <w:rPr>
          <w:lang w:val="pt-BR"/>
        </w:rPr>
        <w:t>ção</w:t>
      </w:r>
      <w:r w:rsidR="00207197" w:rsidRPr="00D5464D">
        <w:rPr>
          <w:lang w:val="pt-BR"/>
        </w:rPr>
        <w:t xml:space="preserve"> sobre</w:t>
      </w:r>
      <w:r w:rsidRPr="00D5464D">
        <w:rPr>
          <w:lang w:val="pt-BR"/>
        </w:rPr>
        <w:t xml:space="preserve"> onde</w:t>
      </w:r>
      <w:r w:rsidR="00207197" w:rsidRPr="00D5464D">
        <w:rPr>
          <w:lang w:val="pt-BR"/>
        </w:rPr>
        <w:t xml:space="preserve"> </w:t>
      </w:r>
      <w:r w:rsidR="00E045D9" w:rsidRPr="00D5464D">
        <w:rPr>
          <w:lang w:val="pt-BR"/>
        </w:rPr>
        <w:t>trabalh</w:t>
      </w:r>
      <w:r w:rsidR="00207197" w:rsidRPr="00D5464D">
        <w:rPr>
          <w:lang w:val="pt-BR"/>
        </w:rPr>
        <w:t>ar</w:t>
      </w:r>
      <w:r w:rsidR="00852ECC" w:rsidRPr="00D5464D">
        <w:rPr>
          <w:lang w:val="pt-BR"/>
        </w:rPr>
        <w:t>iam</w:t>
      </w:r>
      <w:r w:rsidR="00207197" w:rsidRPr="00D5464D">
        <w:rPr>
          <w:lang w:val="pt-BR"/>
        </w:rPr>
        <w:t>’,</w:t>
      </w:r>
      <w:r w:rsidR="002C330E" w:rsidRPr="00D5464D">
        <w:rPr>
          <w:lang w:val="pt-BR"/>
        </w:rPr>
        <w:t xml:space="preserve"> o que </w:t>
      </w:r>
      <w:r w:rsidRPr="00D5464D">
        <w:rPr>
          <w:lang w:val="pt-BR"/>
        </w:rPr>
        <w:t>é</w:t>
      </w:r>
      <w:r w:rsidR="00E045D9" w:rsidRPr="00D5464D">
        <w:rPr>
          <w:lang w:val="pt-BR"/>
        </w:rPr>
        <w:t xml:space="preserve"> uma </w:t>
      </w:r>
      <w:r w:rsidR="00207197" w:rsidRPr="00D5464D">
        <w:rPr>
          <w:lang w:val="pt-BR"/>
        </w:rPr>
        <w:t>determina</w:t>
      </w:r>
      <w:r w:rsidRPr="00D5464D">
        <w:rPr>
          <w:lang w:val="pt-BR"/>
        </w:rPr>
        <w:t>ção</w:t>
      </w:r>
      <w:r w:rsidR="00207197" w:rsidRPr="00D5464D">
        <w:rPr>
          <w:lang w:val="pt-BR"/>
        </w:rPr>
        <w:t xml:space="preserve"> f</w:t>
      </w:r>
      <w:r w:rsidRPr="00D5464D">
        <w:rPr>
          <w:lang w:val="pt-BR"/>
        </w:rPr>
        <w:t>a</w:t>
      </w:r>
      <w:r w:rsidR="00852ECC" w:rsidRPr="00D5464D">
        <w:rPr>
          <w:lang w:val="pt-BR"/>
        </w:rPr>
        <w:t>c</w:t>
      </w:r>
      <w:r w:rsidRPr="00D5464D">
        <w:rPr>
          <w:lang w:val="pt-BR"/>
        </w:rPr>
        <w:t>tual</w:t>
      </w:r>
      <w:r w:rsidR="00207197" w:rsidRPr="00D5464D">
        <w:rPr>
          <w:lang w:val="pt-BR"/>
        </w:rPr>
        <w:t>” objetiva</w:t>
      </w:r>
      <w:r w:rsidRPr="00D5464D">
        <w:rPr>
          <w:lang w:val="pt-BR"/>
        </w:rPr>
        <w:t xml:space="preserve"> e</w:t>
      </w:r>
      <w:r w:rsidR="00207197" w:rsidRPr="00D5464D">
        <w:rPr>
          <w:lang w:val="pt-BR"/>
        </w:rPr>
        <w:t xml:space="preserve"> n</w:t>
      </w:r>
      <w:r w:rsidR="00852ECC" w:rsidRPr="00D5464D">
        <w:rPr>
          <w:lang w:val="pt-BR"/>
        </w:rPr>
        <w:t>ã</w:t>
      </w:r>
      <w:r w:rsidR="00207197" w:rsidRPr="00D5464D">
        <w:rPr>
          <w:lang w:val="pt-BR"/>
        </w:rPr>
        <w:t>o</w:t>
      </w:r>
      <w:r w:rsidR="00A1358C" w:rsidRPr="00D5464D">
        <w:rPr>
          <w:lang w:val="pt-BR"/>
        </w:rPr>
        <w:t xml:space="preserve"> baseada</w:t>
      </w:r>
      <w:r w:rsidR="00E045D9" w:rsidRPr="00D5464D">
        <w:rPr>
          <w:lang w:val="pt-BR"/>
        </w:rPr>
        <w:t xml:space="preserve"> na </w:t>
      </w:r>
      <w:r w:rsidR="00207197" w:rsidRPr="00D5464D">
        <w:rPr>
          <w:lang w:val="pt-BR"/>
        </w:rPr>
        <w:t>perspectiva subjetiva</w:t>
      </w:r>
      <w:r w:rsidRPr="00D5464D">
        <w:rPr>
          <w:lang w:val="pt-BR"/>
        </w:rPr>
        <w:t xml:space="preserve"> das </w:t>
      </w:r>
      <w:r w:rsidR="00E045D9" w:rsidRPr="00D5464D">
        <w:rPr>
          <w:lang w:val="pt-BR"/>
        </w:rPr>
        <w:t>vítima</w:t>
      </w:r>
      <w:r w:rsidR="00207197" w:rsidRPr="00D5464D">
        <w:rPr>
          <w:lang w:val="pt-BR"/>
        </w:rPr>
        <w:t>s</w:t>
      </w:r>
      <w:r w:rsidR="00852ECC" w:rsidRPr="00D5464D">
        <w:rPr>
          <w:lang w:val="pt-BR"/>
        </w:rPr>
        <w:t>.</w:t>
      </w:r>
      <w:r w:rsidR="00207197" w:rsidRPr="00D5464D">
        <w:rPr>
          <w:rStyle w:val="Refdenotaalpie"/>
          <w:lang w:val="pt-BR"/>
        </w:rPr>
        <w:footnoteReference w:id="391"/>
      </w:r>
      <w:r w:rsidR="00207197" w:rsidRPr="00D5464D">
        <w:rPr>
          <w:lang w:val="pt-BR"/>
        </w:rPr>
        <w:t xml:space="preserve"> </w:t>
      </w:r>
    </w:p>
    <w:p w14:paraId="2747B3BD" w14:textId="77777777" w:rsidR="00DE3E58" w:rsidRPr="00D5464D" w:rsidRDefault="00DE3E58" w:rsidP="00DE3E58">
      <w:pPr>
        <w:pStyle w:val="Prrafodelista"/>
        <w:ind w:left="0"/>
        <w:contextualSpacing w:val="0"/>
        <w:rPr>
          <w:lang w:val="pt-BR"/>
        </w:rPr>
      </w:pPr>
    </w:p>
    <w:p w14:paraId="35D2FF8B" w14:textId="450B31B6" w:rsidR="00207197" w:rsidRPr="00D5464D" w:rsidRDefault="00470ADC" w:rsidP="00F37DC4">
      <w:pPr>
        <w:pStyle w:val="Prrafodelista"/>
        <w:numPr>
          <w:ilvl w:val="0"/>
          <w:numId w:val="1"/>
        </w:numPr>
        <w:contextualSpacing w:val="0"/>
        <w:rPr>
          <w:lang w:val="pt-BR"/>
        </w:rPr>
      </w:pPr>
      <w:r w:rsidRPr="00D5464D">
        <w:rPr>
          <w:lang w:val="pt-BR"/>
        </w:rPr>
        <w:t xml:space="preserve">O </w:t>
      </w:r>
      <w:r w:rsidR="00207197" w:rsidRPr="00D5464D">
        <w:rPr>
          <w:lang w:val="pt-BR"/>
        </w:rPr>
        <w:t xml:space="preserve">Tribunal de </w:t>
      </w:r>
      <w:r w:rsidR="002C330E" w:rsidRPr="00D5464D">
        <w:rPr>
          <w:lang w:val="pt-BR"/>
        </w:rPr>
        <w:t>Justiça</w:t>
      </w:r>
      <w:r w:rsidRPr="00D5464D">
        <w:rPr>
          <w:lang w:val="pt-BR"/>
        </w:rPr>
        <w:t xml:space="preserve"> da Comunidade Econômic</w:t>
      </w:r>
      <w:r w:rsidR="00207197" w:rsidRPr="00D5464D">
        <w:rPr>
          <w:lang w:val="pt-BR"/>
        </w:rPr>
        <w:t>a </w:t>
      </w:r>
      <w:r w:rsidR="00A1358C" w:rsidRPr="00D5464D">
        <w:rPr>
          <w:bCs/>
          <w:lang w:val="pt-BR"/>
        </w:rPr>
        <w:t>de Estado</w:t>
      </w:r>
      <w:r w:rsidR="00207197" w:rsidRPr="00D5464D">
        <w:rPr>
          <w:lang w:val="pt-BR"/>
        </w:rPr>
        <w:t>s </w:t>
      </w:r>
      <w:r w:rsidR="00041EA2" w:rsidRPr="00D5464D">
        <w:rPr>
          <w:bCs/>
          <w:lang w:val="pt-BR"/>
        </w:rPr>
        <w:t>da</w:t>
      </w:r>
      <w:r w:rsidR="00DD5B73" w:rsidRPr="00D5464D">
        <w:rPr>
          <w:lang w:val="pt-BR"/>
        </w:rPr>
        <w:t> África O</w:t>
      </w:r>
      <w:r w:rsidR="00207197" w:rsidRPr="00D5464D">
        <w:rPr>
          <w:lang w:val="pt-BR"/>
        </w:rPr>
        <w:t>cidental (</w:t>
      </w:r>
      <w:r w:rsidR="00350187" w:rsidRPr="00D5464D">
        <w:rPr>
          <w:lang w:val="pt-BR"/>
        </w:rPr>
        <w:t>doravante denominad</w:t>
      </w:r>
      <w:r w:rsidR="00DD5B73" w:rsidRPr="00D5464D">
        <w:rPr>
          <w:lang w:val="pt-BR"/>
        </w:rPr>
        <w:t>o</w:t>
      </w:r>
      <w:r w:rsidR="00207197" w:rsidRPr="00D5464D">
        <w:rPr>
          <w:lang w:val="pt-BR"/>
        </w:rPr>
        <w:t xml:space="preserve"> </w:t>
      </w:r>
      <w:r w:rsidR="00E045D9" w:rsidRPr="00D5464D">
        <w:rPr>
          <w:lang w:val="pt-BR"/>
        </w:rPr>
        <w:t>também</w:t>
      </w:r>
      <w:r w:rsidR="00B2396C" w:rsidRPr="00D5464D">
        <w:rPr>
          <w:lang w:val="pt-BR"/>
        </w:rPr>
        <w:t xml:space="preserve"> </w:t>
      </w:r>
      <w:r w:rsidR="00207197" w:rsidRPr="00D5464D">
        <w:rPr>
          <w:lang w:val="pt-BR"/>
        </w:rPr>
        <w:t>“</w:t>
      </w:r>
      <w:r w:rsidR="002F6AD8" w:rsidRPr="00D5464D">
        <w:rPr>
          <w:lang w:val="pt-BR"/>
        </w:rPr>
        <w:t xml:space="preserve">Tribunal de </w:t>
      </w:r>
      <w:r w:rsidR="002C330E" w:rsidRPr="00D5464D">
        <w:rPr>
          <w:lang w:val="pt-BR"/>
        </w:rPr>
        <w:t>Justiça</w:t>
      </w:r>
      <w:r w:rsidR="00DD5B73" w:rsidRPr="00D5464D">
        <w:rPr>
          <w:lang w:val="pt-BR"/>
        </w:rPr>
        <w:t xml:space="preserve"> da</w:t>
      </w:r>
      <w:r w:rsidR="00B2396C" w:rsidRPr="00D5464D">
        <w:rPr>
          <w:lang w:val="pt-BR"/>
        </w:rPr>
        <w:t xml:space="preserve"> </w:t>
      </w:r>
      <w:r w:rsidR="007A680A" w:rsidRPr="00D5464D">
        <w:rPr>
          <w:lang w:val="pt-BR"/>
        </w:rPr>
        <w:t>CEEAO</w:t>
      </w:r>
      <w:r w:rsidR="00207197" w:rsidRPr="00D5464D">
        <w:rPr>
          <w:lang w:val="pt-BR"/>
        </w:rPr>
        <w:t>”),</w:t>
      </w:r>
      <w:r w:rsidR="00E045D9" w:rsidRPr="00D5464D">
        <w:rPr>
          <w:lang w:val="pt-BR"/>
        </w:rPr>
        <w:t xml:space="preserve"> no </w:t>
      </w:r>
      <w:r w:rsidR="00122B46" w:rsidRPr="00D5464D">
        <w:rPr>
          <w:i/>
          <w:lang w:val="pt-BR"/>
        </w:rPr>
        <w:t>C</w:t>
      </w:r>
      <w:r w:rsidR="00207197" w:rsidRPr="00D5464D">
        <w:rPr>
          <w:i/>
          <w:lang w:val="pt-BR"/>
        </w:rPr>
        <w:t>aso Adijatou Mani Koraou Vs. Niger</w:t>
      </w:r>
      <w:r w:rsidR="00DD5B73" w:rsidRPr="00D5464D">
        <w:rPr>
          <w:lang w:val="pt-BR"/>
        </w:rPr>
        <w:t>,</w:t>
      </w:r>
      <w:r w:rsidR="00207197" w:rsidRPr="00D5464D">
        <w:rPr>
          <w:rStyle w:val="Refdenotaalpie"/>
          <w:lang w:val="pt-BR"/>
        </w:rPr>
        <w:footnoteReference w:id="392"/>
      </w:r>
      <w:r w:rsidR="00207197" w:rsidRPr="00D5464D">
        <w:rPr>
          <w:lang w:val="pt-BR"/>
        </w:rPr>
        <w:t xml:space="preserve"> re</w:t>
      </w:r>
      <w:r w:rsidRPr="00D5464D">
        <w:rPr>
          <w:lang w:val="pt-BR"/>
        </w:rPr>
        <w:t>afirmou</w:t>
      </w:r>
      <w:r w:rsidR="002C330E" w:rsidRPr="00D5464D">
        <w:rPr>
          <w:lang w:val="pt-BR"/>
        </w:rPr>
        <w:t xml:space="preserve"> a proibição</w:t>
      </w:r>
      <w:r w:rsidR="00207197" w:rsidRPr="00D5464D">
        <w:rPr>
          <w:lang w:val="pt-BR"/>
        </w:rPr>
        <w:t xml:space="preserve"> absoluta</w:t>
      </w:r>
      <w:r w:rsidRPr="00D5464D">
        <w:rPr>
          <w:lang w:val="pt-BR"/>
        </w:rPr>
        <w:t xml:space="preserve"> da </w:t>
      </w:r>
      <w:r w:rsidR="000B376D" w:rsidRPr="00D5464D">
        <w:rPr>
          <w:lang w:val="pt-BR"/>
        </w:rPr>
        <w:t>escravidão</w:t>
      </w:r>
      <w:r w:rsidR="00E045D9" w:rsidRPr="00D5464D">
        <w:rPr>
          <w:lang w:val="pt-BR"/>
        </w:rPr>
        <w:t xml:space="preserve"> no </w:t>
      </w:r>
      <w:r w:rsidR="00E765C2" w:rsidRPr="00D5464D">
        <w:rPr>
          <w:lang w:val="pt-BR"/>
        </w:rPr>
        <w:t>Direito Internacional</w:t>
      </w:r>
      <w:r w:rsidR="00E045D9" w:rsidRPr="00D5464D">
        <w:rPr>
          <w:lang w:val="pt-BR"/>
        </w:rPr>
        <w:t xml:space="preserve"> e </w:t>
      </w:r>
      <w:r w:rsidR="002C330E" w:rsidRPr="00D5464D">
        <w:rPr>
          <w:lang w:val="pt-BR"/>
        </w:rPr>
        <w:t xml:space="preserve">os </w:t>
      </w:r>
      <w:r w:rsidRPr="00D5464D">
        <w:rPr>
          <w:lang w:val="pt-BR"/>
        </w:rPr>
        <w:t>desenvolvimento</w:t>
      </w:r>
      <w:r w:rsidR="00207197" w:rsidRPr="00D5464D">
        <w:rPr>
          <w:lang w:val="pt-BR"/>
        </w:rPr>
        <w:t xml:space="preserve">s </w:t>
      </w:r>
      <w:r w:rsidR="00C91CB1" w:rsidRPr="00D5464D">
        <w:rPr>
          <w:lang w:val="pt-BR"/>
        </w:rPr>
        <w:t>resumidos</w:t>
      </w:r>
      <w:r w:rsidR="00350187" w:rsidRPr="00D5464D">
        <w:rPr>
          <w:lang w:val="pt-BR"/>
        </w:rPr>
        <w:t xml:space="preserve"> </w:t>
      </w:r>
      <w:r w:rsidR="00DD5B73" w:rsidRPr="00D5464D">
        <w:rPr>
          <w:lang w:val="pt-BR"/>
        </w:rPr>
        <w:t>acima</w:t>
      </w:r>
      <w:r w:rsidR="00350187" w:rsidRPr="00D5464D">
        <w:rPr>
          <w:lang w:val="pt-BR"/>
        </w:rPr>
        <w:t>,</w:t>
      </w:r>
      <w:r w:rsidR="00207197" w:rsidRPr="00D5464D">
        <w:rPr>
          <w:lang w:val="pt-BR"/>
        </w:rPr>
        <w:t xml:space="preserve"> para afirmar que</w:t>
      </w:r>
      <w:r w:rsidRPr="00D5464D">
        <w:rPr>
          <w:lang w:val="pt-BR"/>
        </w:rPr>
        <w:t xml:space="preserve"> o </w:t>
      </w:r>
      <w:r w:rsidR="00207197" w:rsidRPr="00D5464D">
        <w:rPr>
          <w:lang w:val="pt-BR"/>
        </w:rPr>
        <w:t xml:space="preserve">delito de </w:t>
      </w:r>
      <w:r w:rsidR="000B376D" w:rsidRPr="00D5464D">
        <w:rPr>
          <w:lang w:val="pt-BR"/>
        </w:rPr>
        <w:t>escravidão</w:t>
      </w:r>
      <w:r w:rsidR="00207197" w:rsidRPr="00D5464D">
        <w:rPr>
          <w:lang w:val="pt-BR"/>
        </w:rPr>
        <w:t xml:space="preserve"> se caracteriza </w:t>
      </w:r>
      <w:r w:rsidR="00737270" w:rsidRPr="00D5464D">
        <w:rPr>
          <w:lang w:val="pt-BR"/>
        </w:rPr>
        <w:t>dependendo</w:t>
      </w:r>
      <w:r w:rsidRPr="00D5464D">
        <w:rPr>
          <w:lang w:val="pt-BR"/>
        </w:rPr>
        <w:t xml:space="preserve"> da </w:t>
      </w:r>
      <w:r w:rsidR="00207197" w:rsidRPr="00D5464D">
        <w:rPr>
          <w:lang w:val="pt-BR"/>
        </w:rPr>
        <w:t>no</w:t>
      </w:r>
      <w:r w:rsidRPr="00D5464D">
        <w:rPr>
          <w:lang w:val="pt-BR"/>
        </w:rPr>
        <w:t xml:space="preserve">ção dos </w:t>
      </w:r>
      <w:r w:rsidR="00207197" w:rsidRPr="00D5464D">
        <w:rPr>
          <w:lang w:val="pt-BR"/>
        </w:rPr>
        <w:t>“atributos relacionados</w:t>
      </w:r>
      <w:r w:rsidRPr="00D5464D">
        <w:rPr>
          <w:lang w:val="pt-BR"/>
        </w:rPr>
        <w:t xml:space="preserve"> à </w:t>
      </w:r>
      <w:r w:rsidR="002C330E" w:rsidRPr="00D5464D">
        <w:rPr>
          <w:lang w:val="pt-BR"/>
        </w:rPr>
        <w:t>propriedade</w:t>
      </w:r>
      <w:r w:rsidR="00207197" w:rsidRPr="00D5464D">
        <w:rPr>
          <w:lang w:val="pt-BR"/>
        </w:rPr>
        <w:t>”, considerando como elemento fundamental</w:t>
      </w:r>
      <w:r w:rsidRPr="00D5464D">
        <w:rPr>
          <w:lang w:val="pt-BR"/>
        </w:rPr>
        <w:t xml:space="preserve"> o</w:t>
      </w:r>
      <w:r w:rsidR="002C330E" w:rsidRPr="00D5464D">
        <w:rPr>
          <w:lang w:val="pt-BR"/>
        </w:rPr>
        <w:t xml:space="preserve"> grau </w:t>
      </w:r>
      <w:r w:rsidR="00207197" w:rsidRPr="00D5464D">
        <w:rPr>
          <w:lang w:val="pt-BR"/>
        </w:rPr>
        <w:t>de poder o</w:t>
      </w:r>
      <w:r w:rsidR="00DD5B73" w:rsidRPr="00D5464D">
        <w:rPr>
          <w:lang w:val="pt-BR"/>
        </w:rPr>
        <w:t>u</w:t>
      </w:r>
      <w:r w:rsidR="00207197" w:rsidRPr="00D5464D">
        <w:rPr>
          <w:lang w:val="pt-BR"/>
        </w:rPr>
        <w:t xml:space="preserve"> </w:t>
      </w:r>
      <w:r w:rsidRPr="00D5464D">
        <w:rPr>
          <w:lang w:val="pt-BR"/>
        </w:rPr>
        <w:t>controle exercido</w:t>
      </w:r>
      <w:r w:rsidR="00207197" w:rsidRPr="00D5464D">
        <w:rPr>
          <w:lang w:val="pt-BR"/>
        </w:rPr>
        <w:t xml:space="preserve"> sobre</w:t>
      </w:r>
      <w:r w:rsidR="00E045D9" w:rsidRPr="00D5464D">
        <w:rPr>
          <w:lang w:val="pt-BR"/>
        </w:rPr>
        <w:t xml:space="preserve"> um </w:t>
      </w:r>
      <w:r w:rsidR="002C330E" w:rsidRPr="00D5464D">
        <w:rPr>
          <w:lang w:val="pt-BR"/>
        </w:rPr>
        <w:t>indivíduo</w:t>
      </w:r>
      <w:r w:rsidR="00A1358C" w:rsidRPr="00D5464D">
        <w:rPr>
          <w:lang w:val="pt-BR"/>
        </w:rPr>
        <w:t xml:space="preserve">. O </w:t>
      </w:r>
      <w:r w:rsidR="004242F3" w:rsidRPr="00D5464D">
        <w:rPr>
          <w:lang w:val="pt-BR"/>
        </w:rPr>
        <w:t xml:space="preserve">Tribunal de </w:t>
      </w:r>
      <w:r w:rsidR="002C330E" w:rsidRPr="00D5464D">
        <w:rPr>
          <w:lang w:val="pt-BR"/>
        </w:rPr>
        <w:t>Justiça</w:t>
      </w:r>
      <w:r w:rsidR="004242F3" w:rsidRPr="00D5464D">
        <w:rPr>
          <w:lang w:val="pt-BR"/>
        </w:rPr>
        <w:t xml:space="preserve"> </w:t>
      </w:r>
      <w:r w:rsidR="00DD5B73" w:rsidRPr="00D5464D">
        <w:rPr>
          <w:lang w:val="pt-BR"/>
        </w:rPr>
        <w:t>da</w:t>
      </w:r>
      <w:r w:rsidR="00207197" w:rsidRPr="00D5464D">
        <w:rPr>
          <w:lang w:val="pt-BR"/>
        </w:rPr>
        <w:t xml:space="preserve"> </w:t>
      </w:r>
      <w:r w:rsidR="007A680A" w:rsidRPr="00D5464D">
        <w:rPr>
          <w:lang w:val="pt-BR"/>
        </w:rPr>
        <w:t>CEEAO</w:t>
      </w:r>
      <w:r w:rsidR="00207197" w:rsidRPr="00D5464D">
        <w:rPr>
          <w:lang w:val="pt-BR"/>
        </w:rPr>
        <w:t xml:space="preserve"> </w:t>
      </w:r>
      <w:r w:rsidRPr="00D5464D">
        <w:rPr>
          <w:lang w:val="pt-BR"/>
        </w:rPr>
        <w:t xml:space="preserve">coincidiu com o </w:t>
      </w:r>
      <w:r w:rsidR="007A680A" w:rsidRPr="00D5464D">
        <w:rPr>
          <w:lang w:val="pt-BR"/>
        </w:rPr>
        <w:t>Tribunal Penal Internacional Ad Hoc para</w:t>
      </w:r>
      <w:r w:rsidR="002C330E" w:rsidRPr="00D5464D">
        <w:rPr>
          <w:lang w:val="pt-BR"/>
        </w:rPr>
        <w:t xml:space="preserve"> a </w:t>
      </w:r>
      <w:r w:rsidR="00627239" w:rsidRPr="00D5464D">
        <w:rPr>
          <w:lang w:val="pt-BR"/>
        </w:rPr>
        <w:t>antiga Iugoslávia</w:t>
      </w:r>
      <w:r w:rsidR="00207197" w:rsidRPr="00D5464D">
        <w:rPr>
          <w:lang w:val="pt-BR"/>
        </w:rPr>
        <w:t xml:space="preserve"> (</w:t>
      </w:r>
      <w:r w:rsidRPr="00D5464D">
        <w:rPr>
          <w:i/>
          <w:lang w:val="pt-BR"/>
        </w:rPr>
        <w:t xml:space="preserve">Promotor </w:t>
      </w:r>
      <w:r w:rsidR="00207197" w:rsidRPr="00D5464D">
        <w:rPr>
          <w:i/>
          <w:lang w:val="pt-BR"/>
        </w:rPr>
        <w:t>Vs. Kunarac</w:t>
      </w:r>
      <w:r w:rsidR="00207197" w:rsidRPr="00D5464D">
        <w:rPr>
          <w:lang w:val="pt-BR"/>
        </w:rPr>
        <w:t>)</w:t>
      </w:r>
      <w:r w:rsidR="00E045D9" w:rsidRPr="00D5464D">
        <w:rPr>
          <w:lang w:val="pt-BR"/>
        </w:rPr>
        <w:t xml:space="preserve"> no </w:t>
      </w:r>
      <w:r w:rsidR="00207197" w:rsidRPr="00D5464D">
        <w:rPr>
          <w:lang w:val="pt-BR"/>
        </w:rPr>
        <w:t>sentido de que</w:t>
      </w:r>
      <w:r w:rsidR="002C330E" w:rsidRPr="00D5464D">
        <w:rPr>
          <w:lang w:val="pt-BR"/>
        </w:rPr>
        <w:t xml:space="preserve"> a </w:t>
      </w:r>
      <w:r w:rsidR="000B376D" w:rsidRPr="00D5464D">
        <w:rPr>
          <w:lang w:val="pt-BR"/>
        </w:rPr>
        <w:t>escravidão</w:t>
      </w:r>
      <w:r w:rsidR="00207197" w:rsidRPr="00D5464D">
        <w:rPr>
          <w:lang w:val="pt-BR"/>
        </w:rPr>
        <w:t xml:space="preserve"> depende</w:t>
      </w:r>
      <w:r w:rsidRPr="00D5464D">
        <w:rPr>
          <w:lang w:val="pt-BR"/>
        </w:rPr>
        <w:t xml:space="preserve"> da </w:t>
      </w:r>
      <w:r w:rsidR="00E045D9" w:rsidRPr="00D5464D">
        <w:rPr>
          <w:lang w:val="pt-BR"/>
        </w:rPr>
        <w:t>ocorrência</w:t>
      </w:r>
      <w:r w:rsidR="00207197" w:rsidRPr="00D5464D">
        <w:rPr>
          <w:lang w:val="pt-BR"/>
        </w:rPr>
        <w:t xml:space="preserve"> de </w:t>
      </w:r>
      <w:r w:rsidRPr="00D5464D">
        <w:rPr>
          <w:lang w:val="pt-BR"/>
        </w:rPr>
        <w:t>fato</w:t>
      </w:r>
      <w:r w:rsidR="00207197" w:rsidRPr="00D5464D">
        <w:rPr>
          <w:lang w:val="pt-BR"/>
        </w:rPr>
        <w:t>res o</w:t>
      </w:r>
      <w:r w:rsidR="00DD5B73" w:rsidRPr="00D5464D">
        <w:rPr>
          <w:lang w:val="pt-BR"/>
        </w:rPr>
        <w:t>u</w:t>
      </w:r>
      <w:r w:rsidR="00207197" w:rsidRPr="00D5464D">
        <w:rPr>
          <w:lang w:val="pt-BR"/>
        </w:rPr>
        <w:t xml:space="preserve"> </w:t>
      </w:r>
      <w:r w:rsidR="00737270" w:rsidRPr="00D5464D">
        <w:rPr>
          <w:lang w:val="pt-BR"/>
        </w:rPr>
        <w:t>indícios</w:t>
      </w:r>
      <w:r w:rsidR="00207197" w:rsidRPr="00D5464D">
        <w:rPr>
          <w:lang w:val="pt-BR"/>
        </w:rPr>
        <w:t xml:space="preserve"> de </w:t>
      </w:r>
      <w:r w:rsidR="000B376D" w:rsidRPr="00D5464D">
        <w:rPr>
          <w:lang w:val="pt-BR"/>
        </w:rPr>
        <w:t>servidão</w:t>
      </w:r>
      <w:r w:rsidR="00207197" w:rsidRPr="00D5464D">
        <w:rPr>
          <w:lang w:val="pt-BR"/>
        </w:rPr>
        <w:t xml:space="preserve"> como</w:t>
      </w:r>
      <w:r w:rsidRPr="00D5464D">
        <w:rPr>
          <w:lang w:val="pt-BR"/>
        </w:rPr>
        <w:t xml:space="preserve"> o controle dos </w:t>
      </w:r>
      <w:r w:rsidR="002C330E" w:rsidRPr="00D5464D">
        <w:rPr>
          <w:lang w:val="pt-BR"/>
        </w:rPr>
        <w:t>movimento</w:t>
      </w:r>
      <w:r w:rsidR="00207197" w:rsidRPr="00D5464D">
        <w:rPr>
          <w:lang w:val="pt-BR"/>
        </w:rPr>
        <w:t>s de</w:t>
      </w:r>
      <w:r w:rsidR="00E045D9" w:rsidRPr="00D5464D">
        <w:rPr>
          <w:lang w:val="pt-BR"/>
        </w:rPr>
        <w:t xml:space="preserve"> uma </w:t>
      </w:r>
      <w:r w:rsidR="002C330E" w:rsidRPr="00D5464D">
        <w:rPr>
          <w:lang w:val="pt-BR"/>
        </w:rPr>
        <w:t>pessoa</w:t>
      </w:r>
      <w:r w:rsidR="00207197" w:rsidRPr="00D5464D">
        <w:rPr>
          <w:lang w:val="pt-BR"/>
        </w:rPr>
        <w:t>,</w:t>
      </w:r>
      <w:r w:rsidRPr="00D5464D">
        <w:rPr>
          <w:lang w:val="pt-BR"/>
        </w:rPr>
        <w:t xml:space="preserve"> o controle do </w:t>
      </w:r>
      <w:r w:rsidR="00207197" w:rsidRPr="00D5464D">
        <w:rPr>
          <w:lang w:val="pt-BR"/>
        </w:rPr>
        <w:t xml:space="preserve">ambiente físico, </w:t>
      </w:r>
      <w:r w:rsidRPr="00D5464D">
        <w:rPr>
          <w:lang w:val="pt-BR"/>
        </w:rPr>
        <w:t>controle</w:t>
      </w:r>
      <w:r w:rsidR="00350187" w:rsidRPr="00D5464D">
        <w:rPr>
          <w:lang w:val="pt-BR"/>
        </w:rPr>
        <w:t xml:space="preserve"> psicológic</w:t>
      </w:r>
      <w:r w:rsidR="00207197" w:rsidRPr="00D5464D">
        <w:rPr>
          <w:lang w:val="pt-BR"/>
        </w:rPr>
        <w:t>o, medidas tomadas para prevenir o</w:t>
      </w:r>
      <w:r w:rsidR="00DD5B73" w:rsidRPr="00D5464D">
        <w:rPr>
          <w:lang w:val="pt-BR"/>
        </w:rPr>
        <w:t>u</w:t>
      </w:r>
      <w:r w:rsidR="00207197" w:rsidRPr="00D5464D">
        <w:rPr>
          <w:lang w:val="pt-BR"/>
        </w:rPr>
        <w:t xml:space="preserve"> impedir</w:t>
      </w:r>
      <w:r w:rsidR="002C330E" w:rsidRPr="00D5464D">
        <w:rPr>
          <w:lang w:val="pt-BR"/>
        </w:rPr>
        <w:t xml:space="preserve"> a </w:t>
      </w:r>
      <w:r w:rsidR="00207197" w:rsidRPr="00D5464D">
        <w:rPr>
          <w:lang w:val="pt-BR"/>
        </w:rPr>
        <w:t>fuga,</w:t>
      </w:r>
      <w:r w:rsidRPr="00D5464D">
        <w:rPr>
          <w:lang w:val="pt-BR"/>
        </w:rPr>
        <w:t xml:space="preserve"> o </w:t>
      </w:r>
      <w:r w:rsidR="00207197" w:rsidRPr="00D5464D">
        <w:rPr>
          <w:lang w:val="pt-BR"/>
        </w:rPr>
        <w:t>uso</w:t>
      </w:r>
      <w:r w:rsidRPr="00D5464D">
        <w:rPr>
          <w:lang w:val="pt-BR"/>
        </w:rPr>
        <w:t xml:space="preserve"> da </w:t>
      </w:r>
      <w:r w:rsidR="00A1358C" w:rsidRPr="00D5464D">
        <w:rPr>
          <w:lang w:val="pt-BR"/>
        </w:rPr>
        <w:t>força</w:t>
      </w:r>
      <w:r w:rsidR="00207197" w:rsidRPr="00D5464D">
        <w:rPr>
          <w:lang w:val="pt-BR"/>
        </w:rPr>
        <w:t xml:space="preserve">, </w:t>
      </w:r>
      <w:r w:rsidRPr="00D5464D">
        <w:rPr>
          <w:lang w:val="pt-BR"/>
        </w:rPr>
        <w:t>ameaça</w:t>
      </w:r>
      <w:r w:rsidR="00207197" w:rsidRPr="00D5464D">
        <w:rPr>
          <w:lang w:val="pt-BR"/>
        </w:rPr>
        <w:t xml:space="preserve"> o</w:t>
      </w:r>
      <w:r w:rsidR="00DD5B73" w:rsidRPr="00D5464D">
        <w:rPr>
          <w:lang w:val="pt-BR"/>
        </w:rPr>
        <w:t>u</w:t>
      </w:r>
      <w:r w:rsidR="00207197" w:rsidRPr="00D5464D">
        <w:rPr>
          <w:lang w:val="pt-BR"/>
        </w:rPr>
        <w:t xml:space="preserve"> coer</w:t>
      </w:r>
      <w:r w:rsidRPr="00D5464D">
        <w:rPr>
          <w:lang w:val="pt-BR"/>
        </w:rPr>
        <w:t>ção</w:t>
      </w:r>
      <w:r w:rsidR="00207197" w:rsidRPr="00D5464D">
        <w:rPr>
          <w:lang w:val="pt-BR"/>
        </w:rPr>
        <w:t>,</w:t>
      </w:r>
      <w:r w:rsidR="002C330E" w:rsidRPr="00D5464D">
        <w:rPr>
          <w:lang w:val="pt-BR"/>
        </w:rPr>
        <w:t xml:space="preserve"> a </w:t>
      </w:r>
      <w:r w:rsidR="00207197" w:rsidRPr="00D5464D">
        <w:rPr>
          <w:lang w:val="pt-BR"/>
        </w:rPr>
        <w:t>dura</w:t>
      </w:r>
      <w:r w:rsidRPr="00D5464D">
        <w:rPr>
          <w:lang w:val="pt-BR"/>
        </w:rPr>
        <w:t>ção</w:t>
      </w:r>
      <w:r w:rsidR="00207197" w:rsidRPr="00D5464D">
        <w:rPr>
          <w:lang w:val="pt-BR"/>
        </w:rPr>
        <w:t>,</w:t>
      </w:r>
      <w:r w:rsidRPr="00D5464D">
        <w:rPr>
          <w:lang w:val="pt-BR"/>
        </w:rPr>
        <w:t xml:space="preserve"> o</w:t>
      </w:r>
      <w:r w:rsidR="00DD5B73" w:rsidRPr="00D5464D">
        <w:rPr>
          <w:lang w:val="pt-BR"/>
        </w:rPr>
        <w:t>u</w:t>
      </w:r>
      <w:r w:rsidRPr="00D5464D">
        <w:rPr>
          <w:lang w:val="pt-BR"/>
        </w:rPr>
        <w:t xml:space="preserve"> </w:t>
      </w:r>
      <w:r w:rsidR="002C330E" w:rsidRPr="00D5464D">
        <w:rPr>
          <w:lang w:val="pt-BR"/>
        </w:rPr>
        <w:t>submissão</w:t>
      </w:r>
      <w:r w:rsidR="00207197" w:rsidRPr="00D5464D">
        <w:rPr>
          <w:lang w:val="pt-BR"/>
        </w:rPr>
        <w:t xml:space="preserve"> a </w:t>
      </w:r>
      <w:r w:rsidR="00E045D9" w:rsidRPr="00D5464D">
        <w:rPr>
          <w:lang w:val="pt-BR"/>
        </w:rPr>
        <w:t xml:space="preserve">tratamentos </w:t>
      </w:r>
      <w:r w:rsidR="00350187" w:rsidRPr="00D5464D">
        <w:rPr>
          <w:lang w:val="pt-BR"/>
        </w:rPr>
        <w:t>cruéis</w:t>
      </w:r>
      <w:r w:rsidR="00E045D9" w:rsidRPr="00D5464D">
        <w:rPr>
          <w:lang w:val="pt-BR"/>
        </w:rPr>
        <w:t xml:space="preserve"> e </w:t>
      </w:r>
      <w:r w:rsidR="00207197" w:rsidRPr="00D5464D">
        <w:rPr>
          <w:lang w:val="pt-BR"/>
        </w:rPr>
        <w:t>abuso,</w:t>
      </w:r>
      <w:r w:rsidRPr="00D5464D">
        <w:rPr>
          <w:lang w:val="pt-BR"/>
        </w:rPr>
        <w:t xml:space="preserve"> o controle da </w:t>
      </w:r>
      <w:r w:rsidR="00207197" w:rsidRPr="00D5464D">
        <w:rPr>
          <w:lang w:val="pt-BR"/>
        </w:rPr>
        <w:t>sexu</w:t>
      </w:r>
      <w:r w:rsidR="00EB1CE9" w:rsidRPr="00D5464D">
        <w:rPr>
          <w:lang w:val="pt-BR"/>
        </w:rPr>
        <w:t xml:space="preserve">alidade </w:t>
      </w:r>
      <w:r w:rsidR="00E045D9" w:rsidRPr="00D5464D">
        <w:rPr>
          <w:lang w:val="pt-BR"/>
        </w:rPr>
        <w:t xml:space="preserve">e </w:t>
      </w:r>
      <w:r w:rsidR="002C330E" w:rsidRPr="00D5464D">
        <w:rPr>
          <w:lang w:val="pt-BR"/>
        </w:rPr>
        <w:t xml:space="preserve">os </w:t>
      </w:r>
      <w:r w:rsidR="00E045D9" w:rsidRPr="00D5464D">
        <w:rPr>
          <w:lang w:val="pt-BR"/>
        </w:rPr>
        <w:t>trabalho</w:t>
      </w:r>
      <w:r w:rsidR="00207197" w:rsidRPr="00D5464D">
        <w:rPr>
          <w:lang w:val="pt-BR"/>
        </w:rPr>
        <w:t xml:space="preserve">s </w:t>
      </w:r>
      <w:r w:rsidRPr="00D5464D">
        <w:rPr>
          <w:lang w:val="pt-BR"/>
        </w:rPr>
        <w:t>forçado</w:t>
      </w:r>
      <w:r w:rsidR="00207197" w:rsidRPr="00D5464D">
        <w:rPr>
          <w:lang w:val="pt-BR"/>
        </w:rPr>
        <w:t>s</w:t>
      </w:r>
      <w:r w:rsidR="00DD5B73" w:rsidRPr="00D5464D">
        <w:rPr>
          <w:lang w:val="pt-BR"/>
        </w:rPr>
        <w:t>.</w:t>
      </w:r>
      <w:r w:rsidR="00207197" w:rsidRPr="00D5464D">
        <w:rPr>
          <w:rStyle w:val="Refdenotaalpie"/>
          <w:lang w:val="pt-BR"/>
        </w:rPr>
        <w:footnoteReference w:id="393"/>
      </w:r>
      <w:r w:rsidR="00207197" w:rsidRPr="00D5464D">
        <w:rPr>
          <w:lang w:val="pt-BR"/>
        </w:rPr>
        <w:t xml:space="preserve"> </w:t>
      </w:r>
    </w:p>
    <w:p w14:paraId="7AA24D49" w14:textId="77777777" w:rsidR="00207197" w:rsidRPr="00D5464D" w:rsidRDefault="00207197" w:rsidP="00140440">
      <w:pPr>
        <w:jc w:val="both"/>
        <w:rPr>
          <w:lang w:val="pt-BR"/>
        </w:rPr>
      </w:pPr>
    </w:p>
    <w:p w14:paraId="3F7BE8E6" w14:textId="57FAB279" w:rsidR="00207197" w:rsidRPr="00D5464D" w:rsidRDefault="00737270" w:rsidP="00F37DC4">
      <w:pPr>
        <w:pStyle w:val="Prrafodelista"/>
        <w:numPr>
          <w:ilvl w:val="0"/>
          <w:numId w:val="1"/>
        </w:numPr>
        <w:contextualSpacing w:val="0"/>
        <w:rPr>
          <w:lang w:val="pt-BR"/>
        </w:rPr>
      </w:pPr>
      <w:r w:rsidRPr="00D5464D">
        <w:rPr>
          <w:lang w:val="pt-BR"/>
        </w:rPr>
        <w:t>Por sua vez</w:t>
      </w:r>
      <w:r w:rsidR="00207197" w:rsidRPr="00D5464D">
        <w:rPr>
          <w:lang w:val="pt-BR"/>
        </w:rPr>
        <w:t>,</w:t>
      </w:r>
      <w:r w:rsidR="00470ADC" w:rsidRPr="00D5464D">
        <w:rPr>
          <w:lang w:val="pt-BR"/>
        </w:rPr>
        <w:t xml:space="preserve"> em </w:t>
      </w:r>
      <w:r w:rsidR="00207197" w:rsidRPr="00D5464D">
        <w:rPr>
          <w:lang w:val="pt-BR"/>
        </w:rPr>
        <w:t>2005</w:t>
      </w:r>
      <w:r w:rsidR="00041EA2" w:rsidRPr="00D5464D">
        <w:rPr>
          <w:lang w:val="pt-BR"/>
        </w:rPr>
        <w:t>,</w:t>
      </w:r>
      <w:r w:rsidR="00470ADC" w:rsidRPr="00D5464D">
        <w:rPr>
          <w:lang w:val="pt-BR"/>
        </w:rPr>
        <w:t xml:space="preserve"> o </w:t>
      </w:r>
      <w:r w:rsidR="00207197" w:rsidRPr="00D5464D">
        <w:rPr>
          <w:lang w:val="pt-BR"/>
        </w:rPr>
        <w:t xml:space="preserve">Tribunal </w:t>
      </w:r>
      <w:r w:rsidR="00470ADC" w:rsidRPr="00D5464D">
        <w:rPr>
          <w:lang w:val="pt-BR"/>
        </w:rPr>
        <w:t>Europeu</w:t>
      </w:r>
      <w:r w:rsidR="00207197" w:rsidRPr="00D5464D">
        <w:rPr>
          <w:lang w:val="pt-BR"/>
        </w:rPr>
        <w:t xml:space="preserve"> de </w:t>
      </w:r>
      <w:r w:rsidR="00470ADC" w:rsidRPr="00D5464D">
        <w:rPr>
          <w:lang w:val="pt-BR"/>
        </w:rPr>
        <w:t>Direito</w:t>
      </w:r>
      <w:r w:rsidR="00207197" w:rsidRPr="00D5464D">
        <w:rPr>
          <w:lang w:val="pt-BR"/>
        </w:rPr>
        <w:t xml:space="preserve">s Humanos </w:t>
      </w:r>
      <w:r w:rsidR="00E045D9" w:rsidRPr="00D5464D">
        <w:rPr>
          <w:lang w:val="pt-BR"/>
        </w:rPr>
        <w:t>teve</w:t>
      </w:r>
      <w:r w:rsidR="002C330E" w:rsidRPr="00D5464D">
        <w:rPr>
          <w:lang w:val="pt-BR"/>
        </w:rPr>
        <w:t xml:space="preserve"> a oportunidade </w:t>
      </w:r>
      <w:r w:rsidR="00207197" w:rsidRPr="00D5464D">
        <w:rPr>
          <w:lang w:val="pt-BR"/>
        </w:rPr>
        <w:t>de considerar</w:t>
      </w:r>
      <w:r w:rsidR="00EC6DD9" w:rsidRPr="00D5464D">
        <w:rPr>
          <w:lang w:val="pt-BR"/>
        </w:rPr>
        <w:t>,</w:t>
      </w:r>
      <w:r w:rsidR="00E765C2" w:rsidRPr="00D5464D">
        <w:rPr>
          <w:lang w:val="pt-BR"/>
        </w:rPr>
        <w:t xml:space="preserve"> pela primeira vez</w:t>
      </w:r>
      <w:r w:rsidR="00EC6DD9" w:rsidRPr="00D5464D">
        <w:rPr>
          <w:lang w:val="pt-BR"/>
        </w:rPr>
        <w:t>,</w:t>
      </w:r>
      <w:r w:rsidR="00470ADC" w:rsidRPr="00D5464D">
        <w:rPr>
          <w:lang w:val="pt-BR"/>
        </w:rPr>
        <w:t xml:space="preserve"> o fenômeno da </w:t>
      </w:r>
      <w:r w:rsidR="000B376D" w:rsidRPr="00D5464D">
        <w:rPr>
          <w:lang w:val="pt-BR"/>
        </w:rPr>
        <w:t>escravidão</w:t>
      </w:r>
      <w:r w:rsidR="00E045D9" w:rsidRPr="00D5464D">
        <w:rPr>
          <w:lang w:val="pt-BR"/>
        </w:rPr>
        <w:t xml:space="preserve"> e </w:t>
      </w:r>
      <w:r w:rsidR="00EC6DD9" w:rsidRPr="00D5464D">
        <w:rPr>
          <w:lang w:val="pt-BR"/>
        </w:rPr>
        <w:t xml:space="preserve">da </w:t>
      </w:r>
      <w:r w:rsidR="000B376D" w:rsidRPr="00D5464D">
        <w:rPr>
          <w:lang w:val="pt-BR"/>
        </w:rPr>
        <w:t>servidão</w:t>
      </w:r>
      <w:r w:rsidR="00E045D9" w:rsidRPr="00D5464D">
        <w:rPr>
          <w:lang w:val="pt-BR"/>
        </w:rPr>
        <w:t xml:space="preserve"> no </w:t>
      </w:r>
      <w:r w:rsidR="000348FA" w:rsidRPr="00D5464D">
        <w:rPr>
          <w:i/>
          <w:lang w:val="pt-BR"/>
        </w:rPr>
        <w:t>C</w:t>
      </w:r>
      <w:r w:rsidR="00207197" w:rsidRPr="00D5464D">
        <w:rPr>
          <w:i/>
          <w:lang w:val="pt-BR"/>
        </w:rPr>
        <w:t>aso</w:t>
      </w:r>
      <w:r w:rsidR="00207197" w:rsidRPr="00D5464D">
        <w:rPr>
          <w:lang w:val="pt-BR"/>
        </w:rPr>
        <w:t xml:space="preserve"> </w:t>
      </w:r>
      <w:r w:rsidR="00207197" w:rsidRPr="00D5464D">
        <w:rPr>
          <w:i/>
          <w:lang w:val="pt-BR"/>
        </w:rPr>
        <w:t xml:space="preserve">Siliadin Vs. </w:t>
      </w:r>
      <w:r w:rsidR="00470ADC" w:rsidRPr="00D5464D">
        <w:rPr>
          <w:i/>
          <w:lang w:val="pt-BR"/>
        </w:rPr>
        <w:t>França</w:t>
      </w:r>
      <w:r w:rsidR="00EC6DD9" w:rsidRPr="00D5464D">
        <w:rPr>
          <w:lang w:val="pt-BR"/>
        </w:rPr>
        <w:t>.</w:t>
      </w:r>
      <w:r w:rsidR="00207197" w:rsidRPr="00D5464D">
        <w:rPr>
          <w:vertAlign w:val="superscript"/>
          <w:lang w:val="pt-BR"/>
        </w:rPr>
        <w:footnoteReference w:id="394"/>
      </w:r>
      <w:r w:rsidR="00C91CB1" w:rsidRPr="00D5464D">
        <w:rPr>
          <w:lang w:val="pt-BR"/>
        </w:rPr>
        <w:t xml:space="preserve"> </w:t>
      </w:r>
      <w:r w:rsidR="00EC6DD9" w:rsidRPr="00D5464D">
        <w:rPr>
          <w:lang w:val="pt-BR"/>
        </w:rPr>
        <w:t xml:space="preserve">Apesar de </w:t>
      </w:r>
      <w:r w:rsidR="00470ADC" w:rsidRPr="00D5464D">
        <w:rPr>
          <w:lang w:val="pt-BR"/>
        </w:rPr>
        <w:t xml:space="preserve">o </w:t>
      </w:r>
      <w:r w:rsidR="00207197" w:rsidRPr="00D5464D">
        <w:rPr>
          <w:lang w:val="pt-BR"/>
        </w:rPr>
        <w:t>TEDH n</w:t>
      </w:r>
      <w:r w:rsidR="00EC6DD9" w:rsidRPr="00D5464D">
        <w:rPr>
          <w:lang w:val="pt-BR"/>
        </w:rPr>
        <w:t>ã</w:t>
      </w:r>
      <w:r w:rsidR="00207197" w:rsidRPr="00D5464D">
        <w:rPr>
          <w:lang w:val="pt-BR"/>
        </w:rPr>
        <w:t xml:space="preserve">o </w:t>
      </w:r>
      <w:r w:rsidR="00EC6DD9" w:rsidRPr="00D5464D">
        <w:rPr>
          <w:lang w:val="pt-BR"/>
        </w:rPr>
        <w:t xml:space="preserve">haver qualificado </w:t>
      </w:r>
      <w:r w:rsidR="002C330E" w:rsidRPr="00D5464D">
        <w:rPr>
          <w:lang w:val="pt-BR"/>
        </w:rPr>
        <w:t xml:space="preserve">a </w:t>
      </w:r>
      <w:r w:rsidR="00207197" w:rsidRPr="00D5464D">
        <w:rPr>
          <w:lang w:val="pt-BR"/>
        </w:rPr>
        <w:t>situa</w:t>
      </w:r>
      <w:r w:rsidR="00470ADC" w:rsidRPr="00D5464D">
        <w:rPr>
          <w:lang w:val="pt-BR"/>
        </w:rPr>
        <w:t>ção</w:t>
      </w:r>
      <w:r w:rsidR="00207197" w:rsidRPr="00D5464D">
        <w:rPr>
          <w:lang w:val="pt-BR"/>
        </w:rPr>
        <w:t xml:space="preserve"> específica</w:t>
      </w:r>
      <w:r w:rsidR="00470ADC" w:rsidRPr="00D5464D">
        <w:rPr>
          <w:lang w:val="pt-BR"/>
        </w:rPr>
        <w:t xml:space="preserve"> em </w:t>
      </w:r>
      <w:r w:rsidR="002C330E" w:rsidRPr="00D5464D">
        <w:rPr>
          <w:lang w:val="pt-BR"/>
        </w:rPr>
        <w:t>litígio</w:t>
      </w:r>
      <w:r w:rsidR="004242F3" w:rsidRPr="00D5464D">
        <w:rPr>
          <w:lang w:val="pt-BR"/>
        </w:rPr>
        <w:t xml:space="preserve"> como </w:t>
      </w:r>
      <w:r w:rsidR="000B376D" w:rsidRPr="00D5464D">
        <w:rPr>
          <w:lang w:val="pt-BR"/>
        </w:rPr>
        <w:t>escravidão</w:t>
      </w:r>
      <w:r w:rsidR="004242F3" w:rsidRPr="00D5464D">
        <w:rPr>
          <w:lang w:val="pt-BR"/>
        </w:rPr>
        <w:t xml:space="preserve"> (entendida</w:t>
      </w:r>
      <w:r w:rsidR="00470ADC" w:rsidRPr="00D5464D">
        <w:rPr>
          <w:lang w:val="pt-BR"/>
        </w:rPr>
        <w:t xml:space="preserve"> </w:t>
      </w:r>
      <w:r w:rsidR="00DB2B76" w:rsidRPr="00D5464D">
        <w:rPr>
          <w:lang w:val="pt-BR"/>
        </w:rPr>
        <w:t>naquele</w:t>
      </w:r>
      <w:r w:rsidR="00EC6DD9" w:rsidRPr="00D5464D">
        <w:rPr>
          <w:lang w:val="pt-BR"/>
        </w:rPr>
        <w:t xml:space="preserve"> </w:t>
      </w:r>
      <w:r w:rsidR="004242F3" w:rsidRPr="00D5464D">
        <w:rPr>
          <w:lang w:val="pt-BR"/>
        </w:rPr>
        <w:t>momento</w:t>
      </w:r>
      <w:r w:rsidR="00E045D9" w:rsidRPr="00D5464D">
        <w:rPr>
          <w:lang w:val="pt-BR"/>
        </w:rPr>
        <w:t xml:space="preserve"> no </w:t>
      </w:r>
      <w:r w:rsidR="00207197" w:rsidRPr="00D5464D">
        <w:rPr>
          <w:lang w:val="pt-BR"/>
        </w:rPr>
        <w:t>sentido</w:t>
      </w:r>
      <w:r w:rsidR="00470ADC" w:rsidRPr="00D5464D">
        <w:rPr>
          <w:lang w:val="pt-BR"/>
        </w:rPr>
        <w:t xml:space="preserve"> da </w:t>
      </w:r>
      <w:r w:rsidR="00207197" w:rsidRPr="00D5464D">
        <w:rPr>
          <w:lang w:val="pt-BR"/>
        </w:rPr>
        <w:t>defini</w:t>
      </w:r>
      <w:r w:rsidR="00470ADC" w:rsidRPr="00D5464D">
        <w:rPr>
          <w:lang w:val="pt-BR"/>
        </w:rPr>
        <w:t>ção</w:t>
      </w:r>
      <w:r w:rsidR="00207197" w:rsidRPr="00D5464D">
        <w:rPr>
          <w:lang w:val="pt-BR"/>
        </w:rPr>
        <w:t xml:space="preserve"> </w:t>
      </w:r>
      <w:r w:rsidR="00EB1CE9" w:rsidRPr="00D5464D">
        <w:rPr>
          <w:lang w:val="pt-BR"/>
        </w:rPr>
        <w:t>clássica</w:t>
      </w:r>
      <w:r w:rsidR="00470ADC" w:rsidRPr="00D5464D">
        <w:rPr>
          <w:lang w:val="pt-BR"/>
        </w:rPr>
        <w:t xml:space="preserve"> da </w:t>
      </w:r>
      <w:r w:rsidR="00207197" w:rsidRPr="00D5464D">
        <w:rPr>
          <w:lang w:val="pt-BR"/>
        </w:rPr>
        <w:t>Conven</w:t>
      </w:r>
      <w:r w:rsidR="00470ADC" w:rsidRPr="00D5464D">
        <w:rPr>
          <w:lang w:val="pt-BR"/>
        </w:rPr>
        <w:t>ção</w:t>
      </w:r>
      <w:r w:rsidR="00207197" w:rsidRPr="00D5464D">
        <w:rPr>
          <w:lang w:val="pt-BR"/>
        </w:rPr>
        <w:t xml:space="preserve"> de 1926), </w:t>
      </w:r>
      <w:r w:rsidR="00470ADC" w:rsidRPr="00D5464D">
        <w:rPr>
          <w:lang w:val="pt-BR"/>
        </w:rPr>
        <w:t>considerou</w:t>
      </w:r>
      <w:r w:rsidR="00207197" w:rsidRPr="00D5464D">
        <w:rPr>
          <w:lang w:val="pt-BR"/>
        </w:rPr>
        <w:t xml:space="preserve"> que</w:t>
      </w:r>
      <w:r w:rsidR="002C330E" w:rsidRPr="00D5464D">
        <w:rPr>
          <w:lang w:val="pt-BR"/>
        </w:rPr>
        <w:t xml:space="preserve"> a </w:t>
      </w:r>
      <w:r w:rsidR="00207197" w:rsidRPr="00D5464D">
        <w:rPr>
          <w:lang w:val="pt-BR"/>
        </w:rPr>
        <w:t>situa</w:t>
      </w:r>
      <w:r w:rsidR="00470ADC" w:rsidRPr="00D5464D">
        <w:rPr>
          <w:lang w:val="pt-BR"/>
        </w:rPr>
        <w:t xml:space="preserve">ção da </w:t>
      </w:r>
      <w:r w:rsidR="002C330E" w:rsidRPr="00D5464D">
        <w:rPr>
          <w:lang w:val="pt-BR"/>
        </w:rPr>
        <w:t>senhora</w:t>
      </w:r>
      <w:r w:rsidR="00207197" w:rsidRPr="00D5464D">
        <w:rPr>
          <w:lang w:val="pt-BR"/>
        </w:rPr>
        <w:t xml:space="preserve"> Siliadin constituía </w:t>
      </w:r>
      <w:r w:rsidR="000B376D" w:rsidRPr="00D5464D">
        <w:rPr>
          <w:lang w:val="pt-BR"/>
        </w:rPr>
        <w:t>servidão</w:t>
      </w:r>
      <w:r w:rsidR="00207197" w:rsidRPr="00D5464D">
        <w:rPr>
          <w:lang w:val="pt-BR"/>
        </w:rPr>
        <w:t>.</w:t>
      </w:r>
      <w:r w:rsidR="00470ADC" w:rsidRPr="00D5464D">
        <w:rPr>
          <w:lang w:val="pt-BR"/>
        </w:rPr>
        <w:t xml:space="preserve"> </w:t>
      </w:r>
      <w:r w:rsidR="00EC6DD9" w:rsidRPr="00D5464D">
        <w:rPr>
          <w:lang w:val="pt-BR"/>
        </w:rPr>
        <w:t>N</w:t>
      </w:r>
      <w:r w:rsidRPr="00D5464D">
        <w:rPr>
          <w:lang w:val="pt-BR"/>
        </w:rPr>
        <w:t>esse</w:t>
      </w:r>
      <w:r w:rsidR="00470ADC" w:rsidRPr="00D5464D">
        <w:rPr>
          <w:lang w:val="pt-BR"/>
        </w:rPr>
        <w:t xml:space="preserve"> </w:t>
      </w:r>
      <w:r w:rsidR="00207197" w:rsidRPr="00D5464D">
        <w:rPr>
          <w:lang w:val="pt-BR"/>
        </w:rPr>
        <w:t xml:space="preserve">sentido, </w:t>
      </w:r>
      <w:r w:rsidR="002C330E" w:rsidRPr="00D5464D">
        <w:rPr>
          <w:lang w:val="pt-BR"/>
        </w:rPr>
        <w:t>fez</w:t>
      </w:r>
      <w:r w:rsidR="00207197" w:rsidRPr="00D5464D">
        <w:rPr>
          <w:lang w:val="pt-BR"/>
        </w:rPr>
        <w:t xml:space="preserve"> men</w:t>
      </w:r>
      <w:r w:rsidR="00470ADC" w:rsidRPr="00D5464D">
        <w:rPr>
          <w:lang w:val="pt-BR"/>
        </w:rPr>
        <w:t>ção</w:t>
      </w:r>
      <w:r w:rsidR="00207197" w:rsidRPr="00D5464D">
        <w:rPr>
          <w:lang w:val="pt-BR"/>
        </w:rPr>
        <w:t xml:space="preserve">, entre </w:t>
      </w:r>
      <w:r w:rsidR="002C330E" w:rsidRPr="00D5464D">
        <w:rPr>
          <w:lang w:val="pt-BR"/>
        </w:rPr>
        <w:t>outros</w:t>
      </w:r>
      <w:r w:rsidR="00207197" w:rsidRPr="00D5464D">
        <w:rPr>
          <w:lang w:val="pt-BR"/>
        </w:rPr>
        <w:t>,</w:t>
      </w:r>
      <w:r w:rsidR="00470ADC" w:rsidRPr="00D5464D">
        <w:rPr>
          <w:lang w:val="pt-BR"/>
        </w:rPr>
        <w:t xml:space="preserve"> à </w:t>
      </w:r>
      <w:r w:rsidR="00FB26F8" w:rsidRPr="00D5464D">
        <w:rPr>
          <w:lang w:val="pt-BR"/>
        </w:rPr>
        <w:t>Convenção Suplementar de 1956</w:t>
      </w:r>
      <w:r w:rsidR="00041EA2" w:rsidRPr="00D5464D">
        <w:rPr>
          <w:lang w:val="pt-BR"/>
        </w:rPr>
        <w:t xml:space="preserve"> e </w:t>
      </w:r>
      <w:r w:rsidR="00470ADC" w:rsidRPr="00D5464D">
        <w:rPr>
          <w:lang w:val="pt-BR"/>
        </w:rPr>
        <w:t>concluiu</w:t>
      </w:r>
      <w:r w:rsidR="00207197" w:rsidRPr="00D5464D">
        <w:rPr>
          <w:lang w:val="pt-BR"/>
        </w:rPr>
        <w:t xml:space="preserve"> que</w:t>
      </w:r>
      <w:r w:rsidR="002C330E" w:rsidRPr="00D5464D">
        <w:rPr>
          <w:lang w:val="pt-BR"/>
        </w:rPr>
        <w:t xml:space="preserve"> a </w:t>
      </w:r>
      <w:r w:rsidR="000B376D" w:rsidRPr="00D5464D">
        <w:rPr>
          <w:lang w:val="pt-BR"/>
        </w:rPr>
        <w:t>servidão</w:t>
      </w:r>
      <w:r w:rsidR="00207197" w:rsidRPr="00D5464D">
        <w:rPr>
          <w:lang w:val="pt-BR"/>
        </w:rPr>
        <w:t xml:space="preserve"> representa</w:t>
      </w:r>
      <w:r w:rsidR="002C330E" w:rsidRPr="00D5464D">
        <w:rPr>
          <w:lang w:val="pt-BR"/>
        </w:rPr>
        <w:t xml:space="preserve"> a </w:t>
      </w:r>
      <w:r w:rsidR="00207197" w:rsidRPr="00D5464D">
        <w:rPr>
          <w:lang w:val="pt-BR"/>
        </w:rPr>
        <w:t>“</w:t>
      </w:r>
      <w:r w:rsidR="002C330E" w:rsidRPr="00D5464D">
        <w:rPr>
          <w:lang w:val="pt-BR"/>
        </w:rPr>
        <w:t>obrigação</w:t>
      </w:r>
      <w:r w:rsidR="00207197" w:rsidRPr="00D5464D">
        <w:rPr>
          <w:lang w:val="pt-BR"/>
        </w:rPr>
        <w:t xml:space="preserve"> de </w:t>
      </w:r>
      <w:r w:rsidR="00350187" w:rsidRPr="00D5464D">
        <w:rPr>
          <w:lang w:val="pt-BR"/>
        </w:rPr>
        <w:t>prover</w:t>
      </w:r>
      <w:r w:rsidR="00207197" w:rsidRPr="00D5464D">
        <w:rPr>
          <w:lang w:val="pt-BR"/>
        </w:rPr>
        <w:t xml:space="preserve"> </w:t>
      </w:r>
      <w:r w:rsidR="002C330E" w:rsidRPr="00D5464D">
        <w:rPr>
          <w:lang w:val="pt-BR"/>
        </w:rPr>
        <w:t>serviço</w:t>
      </w:r>
      <w:r w:rsidR="00207197" w:rsidRPr="00D5464D">
        <w:rPr>
          <w:lang w:val="pt-BR"/>
        </w:rPr>
        <w:t xml:space="preserve">s a </w:t>
      </w:r>
      <w:r w:rsidR="00EC6DD9" w:rsidRPr="00D5464D">
        <w:rPr>
          <w:lang w:val="pt-BR"/>
        </w:rPr>
        <w:t>outro</w:t>
      </w:r>
      <w:r w:rsidR="00207197" w:rsidRPr="00D5464D">
        <w:rPr>
          <w:lang w:val="pt-BR"/>
        </w:rPr>
        <w:t>,</w:t>
      </w:r>
      <w:r w:rsidR="00470ADC" w:rsidRPr="00D5464D">
        <w:rPr>
          <w:lang w:val="pt-BR"/>
        </w:rPr>
        <w:t xml:space="preserve"> através</w:t>
      </w:r>
      <w:r w:rsidR="00207197" w:rsidRPr="00D5464D">
        <w:rPr>
          <w:lang w:val="pt-BR"/>
        </w:rPr>
        <w:t xml:space="preserve"> de coer</w:t>
      </w:r>
      <w:r w:rsidR="00470ADC" w:rsidRPr="00D5464D">
        <w:rPr>
          <w:lang w:val="pt-BR"/>
        </w:rPr>
        <w:t>ção, e</w:t>
      </w:r>
      <w:r w:rsidR="00207197" w:rsidRPr="00D5464D">
        <w:rPr>
          <w:lang w:val="pt-BR"/>
        </w:rPr>
        <w:t xml:space="preserve"> está vinculada</w:t>
      </w:r>
      <w:r w:rsidR="00470ADC" w:rsidRPr="00D5464D">
        <w:rPr>
          <w:lang w:val="pt-BR"/>
        </w:rPr>
        <w:t xml:space="preserve"> à </w:t>
      </w:r>
      <w:r w:rsidR="000B376D" w:rsidRPr="00D5464D">
        <w:rPr>
          <w:lang w:val="pt-BR"/>
        </w:rPr>
        <w:t>escravidão</w:t>
      </w:r>
      <w:r w:rsidR="00207197" w:rsidRPr="00D5464D">
        <w:rPr>
          <w:lang w:val="pt-BR"/>
        </w:rPr>
        <w:t xml:space="preserve">”. </w:t>
      </w:r>
      <w:r w:rsidR="00350187" w:rsidRPr="00D5464D">
        <w:rPr>
          <w:lang w:val="pt-BR"/>
        </w:rPr>
        <w:t xml:space="preserve">Além disso, </w:t>
      </w:r>
      <w:r w:rsidR="00470ADC" w:rsidRPr="00D5464D">
        <w:rPr>
          <w:lang w:val="pt-BR"/>
        </w:rPr>
        <w:t xml:space="preserve">o </w:t>
      </w:r>
      <w:r w:rsidR="00EC6DD9" w:rsidRPr="00D5464D">
        <w:rPr>
          <w:lang w:val="pt-BR"/>
        </w:rPr>
        <w:t>“s</w:t>
      </w:r>
      <w:r w:rsidR="00207197" w:rsidRPr="00D5464D">
        <w:rPr>
          <w:lang w:val="pt-BR"/>
        </w:rPr>
        <w:t xml:space="preserve">ervo” está </w:t>
      </w:r>
      <w:r w:rsidR="002C330E" w:rsidRPr="00D5464D">
        <w:rPr>
          <w:lang w:val="pt-BR"/>
        </w:rPr>
        <w:t>obrigad</w:t>
      </w:r>
      <w:r w:rsidR="00207197" w:rsidRPr="00D5464D">
        <w:rPr>
          <w:lang w:val="pt-BR"/>
        </w:rPr>
        <w:t xml:space="preserve">o a </w:t>
      </w:r>
      <w:r w:rsidR="00E045D9" w:rsidRPr="00D5464D">
        <w:rPr>
          <w:lang w:val="pt-BR"/>
        </w:rPr>
        <w:t xml:space="preserve">viver na </w:t>
      </w:r>
      <w:r w:rsidR="002C330E" w:rsidRPr="00D5464D">
        <w:rPr>
          <w:lang w:val="pt-BR"/>
        </w:rPr>
        <w:t>propriedade</w:t>
      </w:r>
      <w:r w:rsidR="00207197" w:rsidRPr="00D5464D">
        <w:rPr>
          <w:lang w:val="pt-BR"/>
        </w:rPr>
        <w:t xml:space="preserve"> </w:t>
      </w:r>
      <w:r w:rsidR="00470ADC" w:rsidRPr="00D5464D">
        <w:rPr>
          <w:lang w:val="pt-BR"/>
        </w:rPr>
        <w:t>d</w:t>
      </w:r>
      <w:r w:rsidR="00EC6DD9" w:rsidRPr="00D5464D">
        <w:rPr>
          <w:lang w:val="pt-BR"/>
        </w:rPr>
        <w:t xml:space="preserve">a outra pessoa </w:t>
      </w:r>
      <w:r w:rsidR="00E045D9" w:rsidRPr="00D5464D">
        <w:rPr>
          <w:lang w:val="pt-BR"/>
        </w:rPr>
        <w:t xml:space="preserve">e </w:t>
      </w:r>
      <w:r w:rsidR="002C330E" w:rsidRPr="00D5464D">
        <w:rPr>
          <w:lang w:val="pt-BR"/>
        </w:rPr>
        <w:t xml:space="preserve">não </w:t>
      </w:r>
      <w:r w:rsidR="00041EA2" w:rsidRPr="00D5464D">
        <w:rPr>
          <w:lang w:val="pt-BR"/>
        </w:rPr>
        <w:t>tem a</w:t>
      </w:r>
      <w:r w:rsidR="002C330E" w:rsidRPr="00D5464D">
        <w:rPr>
          <w:lang w:val="pt-BR"/>
        </w:rPr>
        <w:t xml:space="preserve"> possibilidade </w:t>
      </w:r>
      <w:r w:rsidR="00207197" w:rsidRPr="00D5464D">
        <w:rPr>
          <w:lang w:val="pt-BR"/>
        </w:rPr>
        <w:t xml:space="preserve">de </w:t>
      </w:r>
      <w:r w:rsidR="00EC6DD9" w:rsidRPr="00D5464D">
        <w:rPr>
          <w:lang w:val="pt-BR"/>
        </w:rPr>
        <w:t xml:space="preserve">alterar </w:t>
      </w:r>
      <w:r w:rsidR="00A1358C" w:rsidRPr="00D5464D">
        <w:rPr>
          <w:lang w:val="pt-BR"/>
        </w:rPr>
        <w:t>sua condição</w:t>
      </w:r>
      <w:r w:rsidR="00EC6DD9" w:rsidRPr="00D5464D">
        <w:rPr>
          <w:lang w:val="pt-BR"/>
        </w:rPr>
        <w:t>.</w:t>
      </w:r>
      <w:r w:rsidR="00207197" w:rsidRPr="00D5464D">
        <w:rPr>
          <w:rStyle w:val="Refdenotaalpie"/>
          <w:lang w:val="pt-BR"/>
        </w:rPr>
        <w:footnoteReference w:id="395"/>
      </w:r>
      <w:r w:rsidR="00207197" w:rsidRPr="00D5464D">
        <w:rPr>
          <w:lang w:val="pt-BR"/>
        </w:rPr>
        <w:t xml:space="preserve"> </w:t>
      </w:r>
      <w:r w:rsidR="002C330E" w:rsidRPr="00D5464D">
        <w:rPr>
          <w:lang w:val="pt-BR"/>
        </w:rPr>
        <w:t>Outros</w:t>
      </w:r>
      <w:r w:rsidR="00207197" w:rsidRPr="00D5464D">
        <w:rPr>
          <w:lang w:val="pt-BR"/>
        </w:rPr>
        <w:t xml:space="preserve"> </w:t>
      </w:r>
      <w:r w:rsidR="00470ADC" w:rsidRPr="00D5464D">
        <w:rPr>
          <w:lang w:val="pt-BR"/>
        </w:rPr>
        <w:t>fato</w:t>
      </w:r>
      <w:r w:rsidR="00207197" w:rsidRPr="00D5464D">
        <w:rPr>
          <w:lang w:val="pt-BR"/>
        </w:rPr>
        <w:t>res relevantes para</w:t>
      </w:r>
      <w:r w:rsidR="002C330E" w:rsidRPr="00D5464D">
        <w:rPr>
          <w:lang w:val="pt-BR"/>
        </w:rPr>
        <w:t xml:space="preserve"> a </w:t>
      </w:r>
      <w:r w:rsidR="00207197" w:rsidRPr="00D5464D">
        <w:rPr>
          <w:lang w:val="pt-BR"/>
        </w:rPr>
        <w:t>determina</w:t>
      </w:r>
      <w:r w:rsidR="00470ADC" w:rsidRPr="00D5464D">
        <w:rPr>
          <w:lang w:val="pt-BR"/>
        </w:rPr>
        <w:t xml:space="preserve">ção da </w:t>
      </w:r>
      <w:r w:rsidR="00207197" w:rsidRPr="00D5464D">
        <w:rPr>
          <w:lang w:val="pt-BR"/>
        </w:rPr>
        <w:t>condi</w:t>
      </w:r>
      <w:r w:rsidR="00470ADC" w:rsidRPr="00D5464D">
        <w:rPr>
          <w:lang w:val="pt-BR"/>
        </w:rPr>
        <w:t>ção</w:t>
      </w:r>
      <w:r w:rsidR="00207197" w:rsidRPr="00D5464D">
        <w:rPr>
          <w:lang w:val="pt-BR"/>
        </w:rPr>
        <w:t xml:space="preserve"> de </w:t>
      </w:r>
      <w:r w:rsidR="000B376D" w:rsidRPr="00D5464D">
        <w:rPr>
          <w:lang w:val="pt-BR"/>
        </w:rPr>
        <w:t>servidão</w:t>
      </w:r>
      <w:r w:rsidR="00207197" w:rsidRPr="00D5464D">
        <w:rPr>
          <w:lang w:val="pt-BR"/>
        </w:rPr>
        <w:t xml:space="preserve"> </w:t>
      </w:r>
      <w:r w:rsidR="00470ADC" w:rsidRPr="00D5464D">
        <w:rPr>
          <w:lang w:val="pt-BR"/>
        </w:rPr>
        <w:t>foram o</w:t>
      </w:r>
      <w:r w:rsidR="002C330E" w:rsidRPr="00D5464D">
        <w:rPr>
          <w:lang w:val="pt-BR"/>
        </w:rPr>
        <w:t xml:space="preserve"> fato </w:t>
      </w:r>
      <w:r w:rsidR="00207197" w:rsidRPr="00D5464D">
        <w:rPr>
          <w:lang w:val="pt-BR"/>
        </w:rPr>
        <w:t>de que</w:t>
      </w:r>
      <w:r w:rsidR="002C330E" w:rsidRPr="00D5464D">
        <w:rPr>
          <w:lang w:val="pt-BR"/>
        </w:rPr>
        <w:t xml:space="preserve"> a </w:t>
      </w:r>
      <w:r w:rsidR="00E045D9" w:rsidRPr="00D5464D">
        <w:rPr>
          <w:lang w:val="pt-BR"/>
        </w:rPr>
        <w:t>vítima</w:t>
      </w:r>
      <w:r w:rsidR="00207197" w:rsidRPr="00D5464D">
        <w:rPr>
          <w:lang w:val="pt-BR"/>
        </w:rPr>
        <w:t xml:space="preserve"> era menor de</w:t>
      </w:r>
      <w:r w:rsidR="00470ADC" w:rsidRPr="00D5464D">
        <w:rPr>
          <w:lang w:val="pt-BR"/>
        </w:rPr>
        <w:t xml:space="preserve"> idade</w:t>
      </w:r>
      <w:r w:rsidR="00E045D9" w:rsidRPr="00D5464D">
        <w:rPr>
          <w:lang w:val="pt-BR"/>
        </w:rPr>
        <w:t xml:space="preserve"> e </w:t>
      </w:r>
      <w:r w:rsidR="002C330E" w:rsidRPr="00D5464D">
        <w:rPr>
          <w:lang w:val="pt-BR"/>
        </w:rPr>
        <w:t xml:space="preserve">sem </w:t>
      </w:r>
      <w:r w:rsidR="00207197" w:rsidRPr="00D5464D">
        <w:rPr>
          <w:lang w:val="pt-BR"/>
        </w:rPr>
        <w:t xml:space="preserve">recursos, </w:t>
      </w:r>
      <w:r w:rsidR="00EC6DD9" w:rsidRPr="00D5464D">
        <w:rPr>
          <w:lang w:val="pt-BR"/>
        </w:rPr>
        <w:t xml:space="preserve">bem </w:t>
      </w:r>
      <w:r w:rsidR="00207197" w:rsidRPr="00D5464D">
        <w:rPr>
          <w:lang w:val="pt-BR"/>
        </w:rPr>
        <w:t>como</w:t>
      </w:r>
      <w:r w:rsidR="002C330E" w:rsidRPr="00D5464D">
        <w:rPr>
          <w:lang w:val="pt-BR"/>
        </w:rPr>
        <w:t xml:space="preserve"> </w:t>
      </w:r>
      <w:r w:rsidR="00EC6DD9" w:rsidRPr="00D5464D">
        <w:rPr>
          <w:lang w:val="pt-BR"/>
        </w:rPr>
        <w:t>su</w:t>
      </w:r>
      <w:r w:rsidR="002C330E" w:rsidRPr="00D5464D">
        <w:rPr>
          <w:lang w:val="pt-BR"/>
        </w:rPr>
        <w:t xml:space="preserve">a </w:t>
      </w:r>
      <w:r w:rsidR="00E045D9" w:rsidRPr="00D5464D">
        <w:rPr>
          <w:lang w:val="pt-BR"/>
        </w:rPr>
        <w:t xml:space="preserve">vulnerabilidade e </w:t>
      </w:r>
      <w:r w:rsidR="00470ADC" w:rsidRPr="00D5464D">
        <w:rPr>
          <w:lang w:val="pt-BR"/>
        </w:rPr>
        <w:t>isolamento</w:t>
      </w:r>
      <w:r w:rsidR="00207197" w:rsidRPr="00D5464D">
        <w:rPr>
          <w:lang w:val="pt-BR"/>
        </w:rPr>
        <w:t xml:space="preserve"> por </w:t>
      </w:r>
      <w:r w:rsidRPr="00D5464D">
        <w:rPr>
          <w:lang w:val="pt-BR"/>
        </w:rPr>
        <w:t>não pode</w:t>
      </w:r>
      <w:r w:rsidR="00207197" w:rsidRPr="00D5464D">
        <w:rPr>
          <w:lang w:val="pt-BR"/>
        </w:rPr>
        <w:t xml:space="preserve">r </w:t>
      </w:r>
      <w:r w:rsidR="00E045D9" w:rsidRPr="00D5464D">
        <w:rPr>
          <w:lang w:val="pt-BR"/>
        </w:rPr>
        <w:t>viver</w:t>
      </w:r>
      <w:r w:rsidR="00470ADC" w:rsidRPr="00D5464D">
        <w:rPr>
          <w:lang w:val="pt-BR"/>
        </w:rPr>
        <w:t xml:space="preserve"> em</w:t>
      </w:r>
      <w:r w:rsidR="002C330E" w:rsidRPr="00D5464D">
        <w:rPr>
          <w:lang w:val="pt-BR"/>
        </w:rPr>
        <w:t xml:space="preserve"> outro </w:t>
      </w:r>
      <w:r w:rsidR="00207197" w:rsidRPr="00D5464D">
        <w:rPr>
          <w:lang w:val="pt-BR"/>
        </w:rPr>
        <w:t>lugar</w:t>
      </w:r>
      <w:r w:rsidR="00E045D9" w:rsidRPr="00D5464D">
        <w:rPr>
          <w:lang w:val="pt-BR"/>
        </w:rPr>
        <w:t xml:space="preserve"> e </w:t>
      </w:r>
      <w:r w:rsidR="002C330E" w:rsidRPr="00D5464D">
        <w:rPr>
          <w:lang w:val="pt-BR"/>
        </w:rPr>
        <w:t xml:space="preserve">a </w:t>
      </w:r>
      <w:r w:rsidR="00E045D9" w:rsidRPr="00D5464D">
        <w:rPr>
          <w:lang w:val="pt-BR"/>
        </w:rPr>
        <w:t>dependência</w:t>
      </w:r>
      <w:r w:rsidR="00207197" w:rsidRPr="00D5464D">
        <w:rPr>
          <w:lang w:val="pt-BR"/>
        </w:rPr>
        <w:t xml:space="preserve"> completa de s</w:t>
      </w:r>
      <w:r w:rsidR="00EC6DD9" w:rsidRPr="00D5464D">
        <w:rPr>
          <w:lang w:val="pt-BR"/>
        </w:rPr>
        <w:t>e</w:t>
      </w:r>
      <w:r w:rsidR="00207197" w:rsidRPr="00D5464D">
        <w:rPr>
          <w:lang w:val="pt-BR"/>
        </w:rPr>
        <w:t xml:space="preserve">us </w:t>
      </w:r>
      <w:r w:rsidR="00C1076E" w:rsidRPr="00D5464D">
        <w:rPr>
          <w:lang w:val="pt-BR"/>
        </w:rPr>
        <w:t>algozes</w:t>
      </w:r>
      <w:r w:rsidR="00207197" w:rsidRPr="00D5464D">
        <w:rPr>
          <w:lang w:val="pt-BR"/>
        </w:rPr>
        <w:t>,</w:t>
      </w:r>
      <w:r w:rsidR="002C330E" w:rsidRPr="00D5464D">
        <w:rPr>
          <w:lang w:val="pt-BR"/>
        </w:rPr>
        <w:t xml:space="preserve"> sem liberdade </w:t>
      </w:r>
      <w:r w:rsidR="00207197" w:rsidRPr="00D5464D">
        <w:rPr>
          <w:lang w:val="pt-BR"/>
        </w:rPr>
        <w:t xml:space="preserve">de </w:t>
      </w:r>
      <w:r w:rsidR="002C330E" w:rsidRPr="00D5464D">
        <w:rPr>
          <w:lang w:val="pt-BR"/>
        </w:rPr>
        <w:t>movimento</w:t>
      </w:r>
      <w:r w:rsidR="00207197" w:rsidRPr="00D5464D">
        <w:rPr>
          <w:lang w:val="pt-BR"/>
        </w:rPr>
        <w:t xml:space="preserve"> o</w:t>
      </w:r>
      <w:r w:rsidR="00C1076E" w:rsidRPr="00D5464D">
        <w:rPr>
          <w:lang w:val="pt-BR"/>
        </w:rPr>
        <w:t>u</w:t>
      </w:r>
      <w:r w:rsidR="00207197" w:rsidRPr="00D5464D">
        <w:rPr>
          <w:lang w:val="pt-BR"/>
        </w:rPr>
        <w:t xml:space="preserve"> </w:t>
      </w:r>
      <w:r w:rsidR="00E045D9" w:rsidRPr="00D5464D">
        <w:rPr>
          <w:lang w:val="pt-BR"/>
        </w:rPr>
        <w:t>tempo</w:t>
      </w:r>
      <w:r w:rsidR="00207197" w:rsidRPr="00D5464D">
        <w:rPr>
          <w:lang w:val="pt-BR"/>
        </w:rPr>
        <w:t xml:space="preserve"> li</w:t>
      </w:r>
      <w:r w:rsidR="00041EA2" w:rsidRPr="00D5464D">
        <w:rPr>
          <w:lang w:val="pt-BR"/>
        </w:rPr>
        <w:t>v</w:t>
      </w:r>
      <w:r w:rsidR="00207197" w:rsidRPr="00D5464D">
        <w:rPr>
          <w:lang w:val="pt-BR"/>
        </w:rPr>
        <w:t>re</w:t>
      </w:r>
      <w:r w:rsidR="00C1076E" w:rsidRPr="00D5464D">
        <w:rPr>
          <w:lang w:val="pt-BR"/>
        </w:rPr>
        <w:t>.</w:t>
      </w:r>
      <w:r w:rsidR="00207197" w:rsidRPr="00D5464D">
        <w:rPr>
          <w:rStyle w:val="Refdenotaalpie"/>
          <w:lang w:val="pt-BR"/>
        </w:rPr>
        <w:footnoteReference w:id="396"/>
      </w:r>
      <w:r w:rsidR="00207197" w:rsidRPr="00D5464D">
        <w:rPr>
          <w:lang w:val="pt-BR"/>
        </w:rPr>
        <w:t xml:space="preserve"> </w:t>
      </w:r>
    </w:p>
    <w:p w14:paraId="0FA2914E" w14:textId="77777777" w:rsidR="00207197" w:rsidRPr="00D5464D" w:rsidRDefault="00207197" w:rsidP="00140440">
      <w:pPr>
        <w:jc w:val="both"/>
        <w:rPr>
          <w:lang w:val="pt-BR"/>
        </w:rPr>
      </w:pPr>
    </w:p>
    <w:p w14:paraId="6AAD1754" w14:textId="4A1BB86E" w:rsidR="00207197" w:rsidRPr="00D5464D" w:rsidRDefault="00207197" w:rsidP="00F37DC4">
      <w:pPr>
        <w:pStyle w:val="Prrafodelista"/>
        <w:numPr>
          <w:ilvl w:val="0"/>
          <w:numId w:val="1"/>
        </w:numPr>
        <w:contextualSpacing w:val="0"/>
        <w:rPr>
          <w:lang w:val="pt-BR"/>
        </w:rPr>
      </w:pPr>
      <w:r w:rsidRPr="00D5464D">
        <w:rPr>
          <w:lang w:val="pt-BR"/>
        </w:rPr>
        <w:t>Por</w:t>
      </w:r>
      <w:r w:rsidR="002C330E" w:rsidRPr="00D5464D">
        <w:rPr>
          <w:lang w:val="pt-BR"/>
        </w:rPr>
        <w:t xml:space="preserve"> outro </w:t>
      </w:r>
      <w:r w:rsidRPr="00D5464D">
        <w:rPr>
          <w:lang w:val="pt-BR"/>
        </w:rPr>
        <w:t>lado,</w:t>
      </w:r>
      <w:r w:rsidR="00470ADC" w:rsidRPr="00D5464D">
        <w:rPr>
          <w:lang w:val="pt-BR"/>
        </w:rPr>
        <w:t xml:space="preserve"> em</w:t>
      </w:r>
      <w:r w:rsidR="00E045D9" w:rsidRPr="00D5464D">
        <w:rPr>
          <w:lang w:val="pt-BR"/>
        </w:rPr>
        <w:t xml:space="preserve"> uma </w:t>
      </w:r>
      <w:r w:rsidR="002C330E" w:rsidRPr="00D5464D">
        <w:rPr>
          <w:lang w:val="pt-BR"/>
        </w:rPr>
        <w:t>sentença</w:t>
      </w:r>
      <w:r w:rsidRPr="00D5464D">
        <w:rPr>
          <w:lang w:val="pt-BR"/>
        </w:rPr>
        <w:t xml:space="preserve"> </w:t>
      </w:r>
      <w:r w:rsidR="002C330E" w:rsidRPr="00D5464D">
        <w:rPr>
          <w:lang w:val="pt-BR"/>
        </w:rPr>
        <w:t>mais recente</w:t>
      </w:r>
      <w:r w:rsidRPr="00D5464D">
        <w:rPr>
          <w:lang w:val="pt-BR"/>
        </w:rPr>
        <w:t>,</w:t>
      </w:r>
      <w:r w:rsidR="00470ADC" w:rsidRPr="00D5464D">
        <w:rPr>
          <w:lang w:val="pt-BR"/>
        </w:rPr>
        <w:t xml:space="preserve"> em </w:t>
      </w:r>
      <w:r w:rsidRPr="00D5464D">
        <w:rPr>
          <w:lang w:val="pt-BR"/>
        </w:rPr>
        <w:t>2010,</w:t>
      </w:r>
      <w:r w:rsidR="00470ADC" w:rsidRPr="00D5464D">
        <w:rPr>
          <w:lang w:val="pt-BR"/>
        </w:rPr>
        <w:t xml:space="preserve"> o </w:t>
      </w:r>
      <w:r w:rsidRPr="00D5464D">
        <w:rPr>
          <w:lang w:val="pt-BR"/>
        </w:rPr>
        <w:t xml:space="preserve">Tribunal </w:t>
      </w:r>
      <w:r w:rsidR="00470ADC" w:rsidRPr="00D5464D">
        <w:rPr>
          <w:lang w:val="pt-BR"/>
        </w:rPr>
        <w:t>Europeu</w:t>
      </w:r>
      <w:r w:rsidRPr="00D5464D">
        <w:rPr>
          <w:lang w:val="pt-BR"/>
        </w:rPr>
        <w:t xml:space="preserve"> se </w:t>
      </w:r>
      <w:r w:rsidR="00C1076E" w:rsidRPr="00D5464D">
        <w:rPr>
          <w:lang w:val="pt-BR"/>
        </w:rPr>
        <w:t>afastou</w:t>
      </w:r>
      <w:r w:rsidR="00470ADC" w:rsidRPr="00D5464D">
        <w:rPr>
          <w:lang w:val="pt-BR"/>
        </w:rPr>
        <w:t xml:space="preserve"> da </w:t>
      </w:r>
      <w:r w:rsidRPr="00D5464D">
        <w:rPr>
          <w:lang w:val="pt-BR"/>
        </w:rPr>
        <w:t>defini</w:t>
      </w:r>
      <w:r w:rsidR="00470ADC" w:rsidRPr="00D5464D">
        <w:rPr>
          <w:lang w:val="pt-BR"/>
        </w:rPr>
        <w:t>ção</w:t>
      </w:r>
      <w:r w:rsidRPr="00D5464D">
        <w:rPr>
          <w:lang w:val="pt-BR"/>
        </w:rPr>
        <w:t xml:space="preserve"> “</w:t>
      </w:r>
      <w:r w:rsidR="00EB1CE9" w:rsidRPr="00D5464D">
        <w:rPr>
          <w:lang w:val="pt-BR"/>
        </w:rPr>
        <w:t>clássica</w:t>
      </w:r>
      <w:r w:rsidRPr="00D5464D">
        <w:rPr>
          <w:lang w:val="pt-BR"/>
        </w:rPr>
        <w:t xml:space="preserve">” de </w:t>
      </w:r>
      <w:r w:rsidR="000B376D" w:rsidRPr="00D5464D">
        <w:rPr>
          <w:lang w:val="pt-BR"/>
        </w:rPr>
        <w:t>escravidão</w:t>
      </w:r>
      <w:r w:rsidRPr="00D5464D">
        <w:rPr>
          <w:lang w:val="pt-BR"/>
        </w:rPr>
        <w:t xml:space="preserve"> mencionada</w:t>
      </w:r>
      <w:r w:rsidR="00E045D9" w:rsidRPr="00D5464D">
        <w:rPr>
          <w:lang w:val="pt-BR"/>
        </w:rPr>
        <w:t xml:space="preserve"> no </w:t>
      </w:r>
      <w:r w:rsidR="000348FA" w:rsidRPr="00D5464D">
        <w:rPr>
          <w:i/>
          <w:lang w:val="pt-BR"/>
        </w:rPr>
        <w:t xml:space="preserve">Caso </w:t>
      </w:r>
      <w:r w:rsidRPr="00D5464D">
        <w:rPr>
          <w:i/>
          <w:lang w:val="pt-BR"/>
        </w:rPr>
        <w:t>Siliadin</w:t>
      </w:r>
      <w:r w:rsidRPr="00D5464D">
        <w:rPr>
          <w:lang w:val="pt-BR"/>
        </w:rPr>
        <w:t>, para re</w:t>
      </w:r>
      <w:r w:rsidR="00470ADC" w:rsidRPr="00D5464D">
        <w:rPr>
          <w:lang w:val="pt-BR"/>
        </w:rPr>
        <w:t>conhecer</w:t>
      </w:r>
      <w:r w:rsidRPr="00D5464D">
        <w:rPr>
          <w:lang w:val="pt-BR"/>
        </w:rPr>
        <w:t xml:space="preserve">, como </w:t>
      </w:r>
      <w:r w:rsidR="00C1076E" w:rsidRPr="00D5464D">
        <w:rPr>
          <w:lang w:val="pt-BR"/>
        </w:rPr>
        <w:t xml:space="preserve">havia feito </w:t>
      </w:r>
      <w:r w:rsidR="00470ADC" w:rsidRPr="00D5464D">
        <w:rPr>
          <w:lang w:val="pt-BR"/>
        </w:rPr>
        <w:t xml:space="preserve">o </w:t>
      </w:r>
      <w:r w:rsidR="007A680A" w:rsidRPr="00D5464D">
        <w:rPr>
          <w:lang w:val="pt-BR"/>
        </w:rPr>
        <w:t>Tribunal Penal Internacional Ad Hoc para</w:t>
      </w:r>
      <w:r w:rsidR="002C330E" w:rsidRPr="00D5464D">
        <w:rPr>
          <w:lang w:val="pt-BR"/>
        </w:rPr>
        <w:t xml:space="preserve"> a </w:t>
      </w:r>
      <w:r w:rsidR="00627239" w:rsidRPr="00D5464D">
        <w:rPr>
          <w:lang w:val="pt-BR"/>
        </w:rPr>
        <w:t>antiga Iugoslávia</w:t>
      </w:r>
      <w:r w:rsidR="00E045D9" w:rsidRPr="00D5464D">
        <w:rPr>
          <w:lang w:val="pt-BR"/>
        </w:rPr>
        <w:t xml:space="preserve"> no </w:t>
      </w:r>
      <w:r w:rsidR="000348FA" w:rsidRPr="00D5464D">
        <w:rPr>
          <w:i/>
          <w:lang w:val="pt-BR"/>
        </w:rPr>
        <w:t>C</w:t>
      </w:r>
      <w:r w:rsidRPr="00D5464D">
        <w:rPr>
          <w:i/>
          <w:lang w:val="pt-BR"/>
        </w:rPr>
        <w:t>aso Kunarac</w:t>
      </w:r>
      <w:r w:rsidRPr="00D5464D">
        <w:rPr>
          <w:lang w:val="pt-BR"/>
        </w:rPr>
        <w:t>, que</w:t>
      </w:r>
      <w:r w:rsidR="00470ADC" w:rsidRPr="00D5464D">
        <w:rPr>
          <w:lang w:val="pt-BR"/>
        </w:rPr>
        <w:t xml:space="preserve"> o conceito</w:t>
      </w:r>
      <w:r w:rsidRPr="00D5464D">
        <w:rPr>
          <w:lang w:val="pt-BR"/>
        </w:rPr>
        <w:t xml:space="preserve"> tradicional de </w:t>
      </w:r>
      <w:r w:rsidR="000B376D" w:rsidRPr="00D5464D">
        <w:rPr>
          <w:lang w:val="pt-BR"/>
        </w:rPr>
        <w:t>escravidão</w:t>
      </w:r>
      <w:r w:rsidRPr="00D5464D">
        <w:rPr>
          <w:lang w:val="pt-BR"/>
        </w:rPr>
        <w:t xml:space="preserve"> </w:t>
      </w:r>
      <w:r w:rsidR="00041EA2" w:rsidRPr="00D5464D">
        <w:rPr>
          <w:lang w:val="pt-BR"/>
        </w:rPr>
        <w:t xml:space="preserve">evoluiu no sentido de incluir </w:t>
      </w:r>
      <w:r w:rsidRPr="00D5464D">
        <w:rPr>
          <w:lang w:val="pt-BR"/>
        </w:rPr>
        <w:t xml:space="preserve">distintas formas de </w:t>
      </w:r>
      <w:r w:rsidR="000B376D" w:rsidRPr="00D5464D">
        <w:rPr>
          <w:lang w:val="pt-BR"/>
        </w:rPr>
        <w:t>escravidão</w:t>
      </w:r>
      <w:r w:rsidR="00A1358C" w:rsidRPr="00D5464D">
        <w:rPr>
          <w:lang w:val="pt-BR"/>
        </w:rPr>
        <w:t xml:space="preserve"> baseada</w:t>
      </w:r>
      <w:r w:rsidRPr="00D5464D">
        <w:rPr>
          <w:lang w:val="pt-BR"/>
        </w:rPr>
        <w:t>s</w:t>
      </w:r>
      <w:r w:rsidR="00E045D9" w:rsidRPr="00D5464D">
        <w:rPr>
          <w:lang w:val="pt-BR"/>
        </w:rPr>
        <w:t xml:space="preserve"> no </w:t>
      </w:r>
      <w:r w:rsidR="00470ADC" w:rsidRPr="00D5464D">
        <w:rPr>
          <w:lang w:val="pt-BR"/>
        </w:rPr>
        <w:t>exercício</w:t>
      </w:r>
      <w:r w:rsidRPr="00D5464D">
        <w:rPr>
          <w:lang w:val="pt-BR"/>
        </w:rPr>
        <w:t xml:space="preserve"> de </w:t>
      </w:r>
      <w:r w:rsidR="00470ADC" w:rsidRPr="00D5464D">
        <w:rPr>
          <w:lang w:val="pt-BR"/>
        </w:rPr>
        <w:t xml:space="preserve">algum </w:t>
      </w:r>
      <w:r w:rsidRPr="00D5464D">
        <w:rPr>
          <w:lang w:val="pt-BR"/>
        </w:rPr>
        <w:t>o</w:t>
      </w:r>
      <w:r w:rsidR="00C1076E" w:rsidRPr="00D5464D">
        <w:rPr>
          <w:lang w:val="pt-BR"/>
        </w:rPr>
        <w:t>u de</w:t>
      </w:r>
      <w:r w:rsidRPr="00D5464D">
        <w:rPr>
          <w:lang w:val="pt-BR"/>
        </w:rPr>
        <w:t xml:space="preserve"> todos</w:t>
      </w:r>
      <w:r w:rsidR="00470ADC" w:rsidRPr="00D5464D">
        <w:rPr>
          <w:lang w:val="pt-BR"/>
        </w:rPr>
        <w:t xml:space="preserve"> os </w:t>
      </w:r>
      <w:r w:rsidRPr="00D5464D">
        <w:rPr>
          <w:lang w:val="pt-BR"/>
        </w:rPr>
        <w:t xml:space="preserve">atributos </w:t>
      </w:r>
      <w:r w:rsidR="00470ADC" w:rsidRPr="00D5464D">
        <w:rPr>
          <w:lang w:val="pt-BR"/>
        </w:rPr>
        <w:t>do direito</w:t>
      </w:r>
      <w:r w:rsidRPr="00D5464D">
        <w:rPr>
          <w:lang w:val="pt-BR"/>
        </w:rPr>
        <w:t xml:space="preserve"> de </w:t>
      </w:r>
      <w:r w:rsidR="002C330E" w:rsidRPr="00D5464D">
        <w:rPr>
          <w:lang w:val="pt-BR"/>
        </w:rPr>
        <w:t>propriedade</w:t>
      </w:r>
      <w:r w:rsidRPr="00D5464D">
        <w:rPr>
          <w:lang w:val="pt-BR"/>
        </w:rPr>
        <w:t xml:space="preserve">, </w:t>
      </w:r>
      <w:r w:rsidR="00C1076E" w:rsidRPr="00D5464D">
        <w:rPr>
          <w:lang w:val="pt-BR"/>
        </w:rPr>
        <w:t>reiteran</w:t>
      </w:r>
      <w:r w:rsidRPr="00D5464D">
        <w:rPr>
          <w:lang w:val="pt-BR"/>
        </w:rPr>
        <w:t>do</w:t>
      </w:r>
      <w:r w:rsidR="002C330E" w:rsidRPr="00D5464D">
        <w:rPr>
          <w:lang w:val="pt-BR"/>
        </w:rPr>
        <w:t xml:space="preserve"> os </w:t>
      </w:r>
      <w:r w:rsidR="00470ADC" w:rsidRPr="00D5464D">
        <w:rPr>
          <w:lang w:val="pt-BR"/>
        </w:rPr>
        <w:t>fato</w:t>
      </w:r>
      <w:r w:rsidRPr="00D5464D">
        <w:rPr>
          <w:lang w:val="pt-BR"/>
        </w:rPr>
        <w:t xml:space="preserve">res relevantes </w:t>
      </w:r>
      <w:r w:rsidR="00E045D9" w:rsidRPr="00D5464D">
        <w:rPr>
          <w:lang w:val="pt-BR"/>
        </w:rPr>
        <w:t>lista</w:t>
      </w:r>
      <w:r w:rsidR="00C1076E" w:rsidRPr="00D5464D">
        <w:rPr>
          <w:lang w:val="pt-BR"/>
        </w:rPr>
        <w:t>do</w:t>
      </w:r>
      <w:r w:rsidRPr="00D5464D">
        <w:rPr>
          <w:lang w:val="pt-BR"/>
        </w:rPr>
        <w:t>s</w:t>
      </w:r>
      <w:r w:rsidR="002C330E" w:rsidRPr="00D5464D">
        <w:rPr>
          <w:lang w:val="pt-BR"/>
        </w:rPr>
        <w:t xml:space="preserve"> pelo </w:t>
      </w:r>
      <w:r w:rsidR="007A680A" w:rsidRPr="00D5464D">
        <w:rPr>
          <w:lang w:val="pt-BR"/>
        </w:rPr>
        <w:t>Tribunal Penal Internacional Ad Hoc para</w:t>
      </w:r>
      <w:r w:rsidR="002C330E" w:rsidRPr="00D5464D">
        <w:rPr>
          <w:lang w:val="pt-BR"/>
        </w:rPr>
        <w:t xml:space="preserve"> a </w:t>
      </w:r>
      <w:r w:rsidR="00627239" w:rsidRPr="00D5464D">
        <w:rPr>
          <w:lang w:val="pt-BR"/>
        </w:rPr>
        <w:t>antiga Iugoslávia</w:t>
      </w:r>
      <w:r w:rsidRPr="00D5464D">
        <w:rPr>
          <w:lang w:val="pt-BR"/>
        </w:rPr>
        <w:t xml:space="preserve"> para determinar</w:t>
      </w:r>
      <w:r w:rsidR="002C330E" w:rsidRPr="00D5464D">
        <w:rPr>
          <w:lang w:val="pt-BR"/>
        </w:rPr>
        <w:t xml:space="preserve"> se a </w:t>
      </w:r>
      <w:r w:rsidRPr="00D5464D">
        <w:rPr>
          <w:lang w:val="pt-BR"/>
        </w:rPr>
        <w:t>situa</w:t>
      </w:r>
      <w:r w:rsidR="00470ADC" w:rsidRPr="00D5464D">
        <w:rPr>
          <w:lang w:val="pt-BR"/>
        </w:rPr>
        <w:t>ção em questão</w:t>
      </w:r>
      <w:r w:rsidRPr="00D5464D">
        <w:rPr>
          <w:lang w:val="pt-BR"/>
        </w:rPr>
        <w:t xml:space="preserve"> represent</w:t>
      </w:r>
      <w:r w:rsidR="00E765C2" w:rsidRPr="00D5464D">
        <w:rPr>
          <w:lang w:val="pt-BR"/>
        </w:rPr>
        <w:t xml:space="preserve">aria </w:t>
      </w:r>
      <w:r w:rsidR="00E045D9" w:rsidRPr="00D5464D">
        <w:rPr>
          <w:lang w:val="pt-BR"/>
        </w:rPr>
        <w:t xml:space="preserve">uma </w:t>
      </w:r>
      <w:r w:rsidRPr="00D5464D">
        <w:rPr>
          <w:lang w:val="pt-BR"/>
        </w:rPr>
        <w:t xml:space="preserve">forma </w:t>
      </w:r>
      <w:r w:rsidR="00470ADC" w:rsidRPr="00D5464D">
        <w:rPr>
          <w:lang w:val="pt-BR"/>
        </w:rPr>
        <w:t>contemporânea</w:t>
      </w:r>
      <w:r w:rsidRPr="00D5464D">
        <w:rPr>
          <w:lang w:val="pt-BR"/>
        </w:rPr>
        <w:t xml:space="preserve"> de </w:t>
      </w:r>
      <w:r w:rsidR="000B376D" w:rsidRPr="00D5464D">
        <w:rPr>
          <w:lang w:val="pt-BR"/>
        </w:rPr>
        <w:t>escravidão</w:t>
      </w:r>
      <w:r w:rsidR="00C1076E" w:rsidRPr="00D5464D">
        <w:rPr>
          <w:lang w:val="pt-BR"/>
        </w:rPr>
        <w:t>.</w:t>
      </w:r>
      <w:r w:rsidRPr="00D5464D">
        <w:rPr>
          <w:rStyle w:val="Refdenotaalpie"/>
          <w:lang w:val="pt-BR"/>
        </w:rPr>
        <w:footnoteReference w:id="397"/>
      </w:r>
      <w:r w:rsidRPr="00D5464D">
        <w:rPr>
          <w:lang w:val="pt-BR"/>
        </w:rPr>
        <w:t xml:space="preserve"> </w:t>
      </w:r>
    </w:p>
    <w:p w14:paraId="0D64E1FD" w14:textId="77777777" w:rsidR="0065579B" w:rsidRPr="00D5464D" w:rsidRDefault="0065579B" w:rsidP="0065579B">
      <w:pPr>
        <w:pStyle w:val="Prrafodelista"/>
        <w:rPr>
          <w:lang w:val="pt-BR"/>
        </w:rPr>
      </w:pPr>
    </w:p>
    <w:p w14:paraId="723E4CAC" w14:textId="1780C8EF" w:rsidR="0065579B" w:rsidRPr="00D5464D" w:rsidRDefault="002C330E" w:rsidP="00F37DC4">
      <w:pPr>
        <w:pStyle w:val="Prrafodelista"/>
        <w:numPr>
          <w:ilvl w:val="0"/>
          <w:numId w:val="1"/>
        </w:numPr>
        <w:contextualSpacing w:val="0"/>
        <w:rPr>
          <w:lang w:val="pt-BR"/>
        </w:rPr>
      </w:pPr>
      <w:r w:rsidRPr="00D5464D">
        <w:rPr>
          <w:lang w:val="pt-BR"/>
        </w:rPr>
        <w:t>Recente</w:t>
      </w:r>
      <w:r w:rsidR="0065579B" w:rsidRPr="00D5464D">
        <w:rPr>
          <w:lang w:val="pt-BR"/>
        </w:rPr>
        <w:t xml:space="preserve">mente, </w:t>
      </w:r>
      <w:r w:rsidR="00E045D9" w:rsidRPr="00D5464D">
        <w:rPr>
          <w:lang w:val="pt-BR"/>
        </w:rPr>
        <w:t>também</w:t>
      </w:r>
      <w:r w:rsidRPr="00D5464D">
        <w:rPr>
          <w:lang w:val="pt-BR"/>
        </w:rPr>
        <w:t xml:space="preserve"> as </w:t>
      </w:r>
      <w:r w:rsidR="0065579B" w:rsidRPr="00D5464D">
        <w:rPr>
          <w:lang w:val="pt-BR"/>
        </w:rPr>
        <w:t>Salas Extra</w:t>
      </w:r>
      <w:r w:rsidRPr="00D5464D">
        <w:rPr>
          <w:lang w:val="pt-BR"/>
        </w:rPr>
        <w:t>ordinári</w:t>
      </w:r>
      <w:r w:rsidR="0065579B" w:rsidRPr="00D5464D">
        <w:rPr>
          <w:lang w:val="pt-BR"/>
        </w:rPr>
        <w:t>as</w:t>
      </w:r>
      <w:r w:rsidR="00470ADC" w:rsidRPr="00D5464D">
        <w:rPr>
          <w:lang w:val="pt-BR"/>
        </w:rPr>
        <w:t xml:space="preserve"> das </w:t>
      </w:r>
      <w:r w:rsidR="0065579B" w:rsidRPr="00D5464D">
        <w:rPr>
          <w:lang w:val="pt-BR"/>
        </w:rPr>
        <w:t>Cortes d</w:t>
      </w:r>
      <w:r w:rsidR="00C1076E" w:rsidRPr="00D5464D">
        <w:rPr>
          <w:lang w:val="pt-BR"/>
        </w:rPr>
        <w:t>o Camboja</w:t>
      </w:r>
      <w:r w:rsidR="0065579B" w:rsidRPr="00D5464D">
        <w:rPr>
          <w:lang w:val="pt-BR"/>
        </w:rPr>
        <w:t>,</w:t>
      </w:r>
      <w:r w:rsidR="00E045D9" w:rsidRPr="00D5464D">
        <w:rPr>
          <w:lang w:val="pt-BR"/>
        </w:rPr>
        <w:t xml:space="preserve"> na </w:t>
      </w:r>
      <w:r w:rsidRPr="00D5464D">
        <w:rPr>
          <w:lang w:val="pt-BR"/>
        </w:rPr>
        <w:t>sentença</w:t>
      </w:r>
      <w:r w:rsidR="00577388" w:rsidRPr="00D5464D">
        <w:rPr>
          <w:lang w:val="pt-BR"/>
        </w:rPr>
        <w:t xml:space="preserve"> </w:t>
      </w:r>
      <w:r w:rsidR="00470ADC" w:rsidRPr="00D5464D">
        <w:rPr>
          <w:lang w:val="pt-BR"/>
        </w:rPr>
        <w:t xml:space="preserve">do </w:t>
      </w:r>
      <w:r w:rsidR="000348FA" w:rsidRPr="00D5464D">
        <w:rPr>
          <w:i/>
          <w:lang w:val="pt-BR"/>
        </w:rPr>
        <w:t>C</w:t>
      </w:r>
      <w:r w:rsidR="0065579B" w:rsidRPr="00D5464D">
        <w:rPr>
          <w:i/>
          <w:lang w:val="pt-BR"/>
        </w:rPr>
        <w:t>aso Duch</w:t>
      </w:r>
      <w:r w:rsidR="00C1076E" w:rsidRPr="00D5464D">
        <w:rPr>
          <w:lang w:val="pt-BR"/>
        </w:rPr>
        <w:t>,</w:t>
      </w:r>
      <w:r w:rsidR="0065579B" w:rsidRPr="00D5464D">
        <w:rPr>
          <w:rStyle w:val="Refdenotaalpie"/>
          <w:lang w:val="pt-BR"/>
        </w:rPr>
        <w:footnoteReference w:id="398"/>
      </w:r>
      <w:r w:rsidR="0065579B" w:rsidRPr="00D5464D">
        <w:rPr>
          <w:lang w:val="pt-BR"/>
        </w:rPr>
        <w:t xml:space="preserve"> </w:t>
      </w:r>
      <w:r w:rsidRPr="00D5464D">
        <w:rPr>
          <w:lang w:val="pt-BR"/>
        </w:rPr>
        <w:t>fizeram</w:t>
      </w:r>
      <w:r w:rsidR="00577388" w:rsidRPr="00D5464D">
        <w:rPr>
          <w:lang w:val="pt-BR"/>
        </w:rPr>
        <w:t xml:space="preserve"> uso </w:t>
      </w:r>
      <w:r w:rsidR="00470ADC" w:rsidRPr="00D5464D">
        <w:rPr>
          <w:lang w:val="pt-BR"/>
        </w:rPr>
        <w:t>do desenvolvimento</w:t>
      </w:r>
      <w:r w:rsidR="00577388" w:rsidRPr="00D5464D">
        <w:rPr>
          <w:lang w:val="pt-BR"/>
        </w:rPr>
        <w:t xml:space="preserve"> </w:t>
      </w:r>
      <w:r w:rsidR="00470ADC" w:rsidRPr="00D5464D">
        <w:rPr>
          <w:lang w:val="pt-BR"/>
        </w:rPr>
        <w:t>do conceito</w:t>
      </w:r>
      <w:r w:rsidR="00577388" w:rsidRPr="00D5464D">
        <w:rPr>
          <w:lang w:val="pt-BR"/>
        </w:rPr>
        <w:t xml:space="preserve"> de </w:t>
      </w:r>
      <w:r w:rsidR="000B376D" w:rsidRPr="00D5464D">
        <w:rPr>
          <w:lang w:val="pt-BR"/>
        </w:rPr>
        <w:t>escravidão</w:t>
      </w:r>
      <w:r w:rsidR="00577388" w:rsidRPr="00D5464D">
        <w:rPr>
          <w:lang w:val="pt-BR"/>
        </w:rPr>
        <w:t xml:space="preserve"> para </w:t>
      </w:r>
      <w:r w:rsidR="00470ADC" w:rsidRPr="00D5464D">
        <w:rPr>
          <w:lang w:val="pt-BR"/>
        </w:rPr>
        <w:t>estabelece</w:t>
      </w:r>
      <w:r w:rsidR="00577388" w:rsidRPr="00D5464D">
        <w:rPr>
          <w:lang w:val="pt-BR"/>
        </w:rPr>
        <w:t>r su</w:t>
      </w:r>
      <w:r w:rsidR="00C1076E" w:rsidRPr="00D5464D">
        <w:rPr>
          <w:lang w:val="pt-BR"/>
        </w:rPr>
        <w:t>a</w:t>
      </w:r>
      <w:r w:rsidR="00577388" w:rsidRPr="00D5464D">
        <w:rPr>
          <w:lang w:val="pt-BR"/>
        </w:rPr>
        <w:t xml:space="preserve"> defini</w:t>
      </w:r>
      <w:r w:rsidR="00470ADC" w:rsidRPr="00D5464D">
        <w:rPr>
          <w:lang w:val="pt-BR"/>
        </w:rPr>
        <w:t>ção</w:t>
      </w:r>
      <w:r w:rsidR="00E045D9" w:rsidRPr="00D5464D">
        <w:rPr>
          <w:lang w:val="pt-BR"/>
        </w:rPr>
        <w:t xml:space="preserve"> no </w:t>
      </w:r>
      <w:r w:rsidRPr="00D5464D">
        <w:rPr>
          <w:lang w:val="pt-BR"/>
        </w:rPr>
        <w:t>mesm</w:t>
      </w:r>
      <w:r w:rsidR="00577388" w:rsidRPr="00D5464D">
        <w:rPr>
          <w:lang w:val="pt-BR"/>
        </w:rPr>
        <w:t xml:space="preserve">o sentido </w:t>
      </w:r>
      <w:r w:rsidR="00470ADC" w:rsidRPr="00D5464D">
        <w:rPr>
          <w:lang w:val="pt-BR"/>
        </w:rPr>
        <w:t>expressa</w:t>
      </w:r>
      <w:r w:rsidR="00577388" w:rsidRPr="00D5464D">
        <w:rPr>
          <w:lang w:val="pt-BR"/>
        </w:rPr>
        <w:t>do</w:t>
      </w:r>
      <w:r w:rsidRPr="00D5464D">
        <w:rPr>
          <w:lang w:val="pt-BR"/>
        </w:rPr>
        <w:t xml:space="preserve"> pelo </w:t>
      </w:r>
      <w:r w:rsidR="007A680A" w:rsidRPr="00D5464D">
        <w:rPr>
          <w:lang w:val="pt-BR"/>
        </w:rPr>
        <w:t>Tribunal Penal Internacional Ad Hoc para</w:t>
      </w:r>
      <w:r w:rsidRPr="00D5464D">
        <w:rPr>
          <w:lang w:val="pt-BR"/>
        </w:rPr>
        <w:t xml:space="preserve"> a </w:t>
      </w:r>
      <w:r w:rsidR="00627239" w:rsidRPr="00D5464D">
        <w:rPr>
          <w:lang w:val="pt-BR"/>
        </w:rPr>
        <w:t>antiga Iugoslávia</w:t>
      </w:r>
      <w:r w:rsidR="00470ADC" w:rsidRPr="00D5464D">
        <w:rPr>
          <w:lang w:val="pt-BR"/>
        </w:rPr>
        <w:t xml:space="preserve"> em </w:t>
      </w:r>
      <w:r w:rsidR="00577388" w:rsidRPr="00D5464D">
        <w:rPr>
          <w:i/>
          <w:lang w:val="pt-BR"/>
        </w:rPr>
        <w:t>Kunarac</w:t>
      </w:r>
      <w:r w:rsidR="00E045D9" w:rsidRPr="00D5464D">
        <w:rPr>
          <w:lang w:val="pt-BR"/>
        </w:rPr>
        <w:t xml:space="preserve"> e </w:t>
      </w:r>
      <w:r w:rsidR="00C1076E" w:rsidRPr="00D5464D">
        <w:rPr>
          <w:lang w:val="pt-BR"/>
        </w:rPr>
        <w:t>pel</w:t>
      </w:r>
      <w:r w:rsidRPr="00D5464D">
        <w:rPr>
          <w:lang w:val="pt-BR"/>
        </w:rPr>
        <w:t xml:space="preserve">os </w:t>
      </w:r>
      <w:r w:rsidR="00E045D9" w:rsidRPr="00D5464D">
        <w:rPr>
          <w:lang w:val="pt-BR"/>
        </w:rPr>
        <w:t>tribunais</w:t>
      </w:r>
      <w:r w:rsidR="00577388" w:rsidRPr="00D5464D">
        <w:rPr>
          <w:lang w:val="pt-BR"/>
        </w:rPr>
        <w:t xml:space="preserve"> </w:t>
      </w:r>
      <w:r w:rsidRPr="00D5464D">
        <w:rPr>
          <w:lang w:val="pt-BR"/>
        </w:rPr>
        <w:t>internacionais</w:t>
      </w:r>
      <w:r w:rsidR="00577388" w:rsidRPr="00D5464D">
        <w:rPr>
          <w:lang w:val="pt-BR"/>
        </w:rPr>
        <w:t xml:space="preserve"> </w:t>
      </w:r>
      <w:r w:rsidR="007F203E" w:rsidRPr="00D5464D">
        <w:rPr>
          <w:lang w:val="pt-BR"/>
        </w:rPr>
        <w:t xml:space="preserve">indicados </w:t>
      </w:r>
      <w:r w:rsidR="00C1076E" w:rsidRPr="00D5464D">
        <w:rPr>
          <w:lang w:val="pt-BR"/>
        </w:rPr>
        <w:t>acima</w:t>
      </w:r>
      <w:r w:rsidR="00577388" w:rsidRPr="00D5464D">
        <w:rPr>
          <w:lang w:val="pt-BR"/>
        </w:rPr>
        <w:t xml:space="preserve">. </w:t>
      </w:r>
    </w:p>
    <w:p w14:paraId="5308347B" w14:textId="77777777" w:rsidR="00DE3E58" w:rsidRPr="00D5464D" w:rsidRDefault="00DE3E58" w:rsidP="00DE3E58">
      <w:pPr>
        <w:pStyle w:val="Prrafodelista"/>
        <w:ind w:left="0"/>
        <w:contextualSpacing w:val="0"/>
        <w:rPr>
          <w:bCs/>
          <w:lang w:val="pt-BR"/>
        </w:rPr>
      </w:pPr>
    </w:p>
    <w:p w14:paraId="1C0BE9B1" w14:textId="2D87233D" w:rsidR="00207197" w:rsidRPr="00D5464D" w:rsidRDefault="00470ADC" w:rsidP="00F37DC4">
      <w:pPr>
        <w:pStyle w:val="Prrafodelista"/>
        <w:numPr>
          <w:ilvl w:val="0"/>
          <w:numId w:val="1"/>
        </w:numPr>
        <w:contextualSpacing w:val="0"/>
        <w:rPr>
          <w:bCs/>
          <w:lang w:val="pt-BR"/>
        </w:rPr>
      </w:pPr>
      <w:r w:rsidRPr="00D5464D">
        <w:rPr>
          <w:lang w:val="pt-BR"/>
        </w:rPr>
        <w:t>A Comissão</w:t>
      </w:r>
      <w:r w:rsidR="00207197" w:rsidRPr="00D5464D">
        <w:rPr>
          <w:lang w:val="pt-BR"/>
        </w:rPr>
        <w:t xml:space="preserve"> Africana de </w:t>
      </w:r>
      <w:r w:rsidRPr="00D5464D">
        <w:rPr>
          <w:lang w:val="pt-BR"/>
        </w:rPr>
        <w:t>Direito</w:t>
      </w:r>
      <w:r w:rsidR="00207197" w:rsidRPr="00D5464D">
        <w:rPr>
          <w:lang w:val="pt-BR"/>
        </w:rPr>
        <w:t>s Humanos</w:t>
      </w:r>
      <w:r w:rsidR="00E045D9" w:rsidRPr="00D5464D">
        <w:rPr>
          <w:lang w:val="pt-BR"/>
        </w:rPr>
        <w:t xml:space="preserve"> e </w:t>
      </w:r>
      <w:r w:rsidRPr="00D5464D">
        <w:rPr>
          <w:lang w:val="pt-BR"/>
        </w:rPr>
        <w:t xml:space="preserve">dos </w:t>
      </w:r>
      <w:r w:rsidR="002C330E" w:rsidRPr="00D5464D">
        <w:rPr>
          <w:lang w:val="pt-BR"/>
        </w:rPr>
        <w:t>Povo</w:t>
      </w:r>
      <w:r w:rsidR="00207197" w:rsidRPr="00D5464D">
        <w:rPr>
          <w:lang w:val="pt-BR"/>
        </w:rPr>
        <w:t>s,</w:t>
      </w:r>
      <w:r w:rsidR="00E045D9" w:rsidRPr="00D5464D">
        <w:rPr>
          <w:lang w:val="pt-BR"/>
        </w:rPr>
        <w:t xml:space="preserve"> no </w:t>
      </w:r>
      <w:r w:rsidR="00207197" w:rsidRPr="00D5464D">
        <w:rPr>
          <w:lang w:val="pt-BR"/>
        </w:rPr>
        <w:t xml:space="preserve">caso </w:t>
      </w:r>
      <w:r w:rsidR="00207197" w:rsidRPr="00D5464D">
        <w:rPr>
          <w:i/>
          <w:lang w:val="pt-BR"/>
        </w:rPr>
        <w:t>Malawi African Association</w:t>
      </w:r>
      <w:r w:rsidR="00E045D9" w:rsidRPr="00D5464D">
        <w:rPr>
          <w:i/>
          <w:lang w:val="pt-BR"/>
        </w:rPr>
        <w:t xml:space="preserve"> e </w:t>
      </w:r>
      <w:r w:rsidR="002C330E" w:rsidRPr="00D5464D">
        <w:rPr>
          <w:i/>
          <w:lang w:val="pt-BR"/>
        </w:rPr>
        <w:t>outros</w:t>
      </w:r>
      <w:r w:rsidR="00207197" w:rsidRPr="00D5464D">
        <w:rPr>
          <w:i/>
          <w:lang w:val="pt-BR"/>
        </w:rPr>
        <w:t xml:space="preserve"> </w:t>
      </w:r>
      <w:r w:rsidR="000348FA" w:rsidRPr="00D5464D">
        <w:rPr>
          <w:i/>
          <w:lang w:val="pt-BR"/>
        </w:rPr>
        <w:t>Vs</w:t>
      </w:r>
      <w:r w:rsidR="00A8241B" w:rsidRPr="00D5464D">
        <w:rPr>
          <w:i/>
          <w:lang w:val="pt-BR"/>
        </w:rPr>
        <w:t>. Mauritâ</w:t>
      </w:r>
      <w:r w:rsidR="00207197" w:rsidRPr="00D5464D">
        <w:rPr>
          <w:i/>
          <w:lang w:val="pt-BR"/>
        </w:rPr>
        <w:t>nia</w:t>
      </w:r>
      <w:r w:rsidR="00A87161" w:rsidRPr="00D5464D">
        <w:rPr>
          <w:lang w:val="pt-BR"/>
        </w:rPr>
        <w:t>,</w:t>
      </w:r>
      <w:r w:rsidR="00207197" w:rsidRPr="00D5464D">
        <w:rPr>
          <w:bCs/>
          <w:vertAlign w:val="superscript"/>
          <w:lang w:val="pt-BR"/>
        </w:rPr>
        <w:footnoteReference w:id="399"/>
      </w:r>
      <w:r w:rsidR="00EB33A4" w:rsidRPr="00D5464D">
        <w:rPr>
          <w:lang w:val="pt-BR"/>
        </w:rPr>
        <w:t xml:space="preserve"> sobre </w:t>
      </w:r>
      <w:r w:rsidR="002C330E" w:rsidRPr="00D5464D">
        <w:rPr>
          <w:lang w:val="pt-BR"/>
        </w:rPr>
        <w:t>prática</w:t>
      </w:r>
      <w:r w:rsidR="0025091B" w:rsidRPr="00D5464D">
        <w:rPr>
          <w:lang w:val="pt-BR"/>
        </w:rPr>
        <w:t xml:space="preserve">s </w:t>
      </w:r>
      <w:r w:rsidR="006665EF" w:rsidRPr="00D5464D">
        <w:rPr>
          <w:lang w:val="pt-BR"/>
        </w:rPr>
        <w:t>análogas</w:t>
      </w:r>
      <w:r w:rsidR="00350187" w:rsidRPr="00D5464D">
        <w:rPr>
          <w:lang w:val="pt-BR"/>
        </w:rPr>
        <w:t xml:space="preserve"> </w:t>
      </w:r>
      <w:r w:rsidRPr="00D5464D">
        <w:rPr>
          <w:lang w:val="pt-BR"/>
        </w:rPr>
        <w:t xml:space="preserve">à </w:t>
      </w:r>
      <w:r w:rsidR="000B376D" w:rsidRPr="00D5464D">
        <w:rPr>
          <w:lang w:val="pt-BR"/>
        </w:rPr>
        <w:t>escravidão</w:t>
      </w:r>
      <w:r w:rsidR="00E045D9" w:rsidRPr="00D5464D">
        <w:rPr>
          <w:lang w:val="pt-BR"/>
        </w:rPr>
        <w:t xml:space="preserve"> e </w:t>
      </w:r>
      <w:r w:rsidR="0025091B" w:rsidRPr="00D5464D">
        <w:rPr>
          <w:lang w:val="pt-BR"/>
        </w:rPr>
        <w:t>discrimina</w:t>
      </w:r>
      <w:r w:rsidRPr="00D5464D">
        <w:rPr>
          <w:lang w:val="pt-BR"/>
        </w:rPr>
        <w:t>ção</w:t>
      </w:r>
      <w:r w:rsidR="0025091B" w:rsidRPr="00D5464D">
        <w:rPr>
          <w:lang w:val="pt-BR"/>
        </w:rPr>
        <w:t xml:space="preserve"> racial contra grupos étnicos negros</w:t>
      </w:r>
      <w:r w:rsidR="00207197" w:rsidRPr="00D5464D">
        <w:rPr>
          <w:lang w:val="pt-BR"/>
        </w:rPr>
        <w:t xml:space="preserve">, </w:t>
      </w:r>
      <w:r w:rsidRPr="00D5464D">
        <w:rPr>
          <w:lang w:val="pt-BR"/>
        </w:rPr>
        <w:t>considerou</w:t>
      </w:r>
      <w:r w:rsidR="00207197" w:rsidRPr="00D5464D">
        <w:rPr>
          <w:lang w:val="pt-BR"/>
        </w:rPr>
        <w:t xml:space="preserve"> violado</w:t>
      </w:r>
      <w:r w:rsidRPr="00D5464D">
        <w:rPr>
          <w:lang w:val="pt-BR"/>
        </w:rPr>
        <w:t xml:space="preserve"> o artigo</w:t>
      </w:r>
      <w:r w:rsidR="00207197" w:rsidRPr="00D5464D">
        <w:rPr>
          <w:lang w:val="pt-BR"/>
        </w:rPr>
        <w:t xml:space="preserve"> 5</w:t>
      </w:r>
      <w:r w:rsidRPr="00D5464D">
        <w:rPr>
          <w:lang w:val="pt-BR"/>
        </w:rPr>
        <w:t xml:space="preserve"> da </w:t>
      </w:r>
      <w:r w:rsidR="00207197" w:rsidRPr="00D5464D">
        <w:rPr>
          <w:lang w:val="pt-BR"/>
        </w:rPr>
        <w:t xml:space="preserve">Carta Africana de </w:t>
      </w:r>
      <w:r w:rsidRPr="00D5464D">
        <w:rPr>
          <w:lang w:val="pt-BR"/>
        </w:rPr>
        <w:t>Direito</w:t>
      </w:r>
      <w:r w:rsidR="00207197" w:rsidRPr="00D5464D">
        <w:rPr>
          <w:lang w:val="pt-BR"/>
        </w:rPr>
        <w:t>s Humanos</w:t>
      </w:r>
      <w:r w:rsidR="00E045D9" w:rsidRPr="00D5464D">
        <w:rPr>
          <w:lang w:val="pt-BR"/>
        </w:rPr>
        <w:t xml:space="preserve"> e </w:t>
      </w:r>
      <w:r w:rsidRPr="00D5464D">
        <w:rPr>
          <w:lang w:val="pt-BR"/>
        </w:rPr>
        <w:t xml:space="preserve">dos </w:t>
      </w:r>
      <w:r w:rsidR="002C330E" w:rsidRPr="00D5464D">
        <w:rPr>
          <w:lang w:val="pt-BR"/>
        </w:rPr>
        <w:t>Povo</w:t>
      </w:r>
      <w:r w:rsidR="00207197" w:rsidRPr="00D5464D">
        <w:rPr>
          <w:lang w:val="pt-BR"/>
        </w:rPr>
        <w:t>s</w:t>
      </w:r>
      <w:r w:rsidR="00A87161" w:rsidRPr="00D5464D">
        <w:rPr>
          <w:lang w:val="pt-BR"/>
        </w:rPr>
        <w:t>,</w:t>
      </w:r>
      <w:r w:rsidR="00207197" w:rsidRPr="00D5464D">
        <w:rPr>
          <w:rStyle w:val="Refdenotaalpie"/>
          <w:iCs/>
          <w:lang w:val="pt-BR"/>
        </w:rPr>
        <w:footnoteReference w:id="400"/>
      </w:r>
      <w:r w:rsidRPr="00D5464D">
        <w:rPr>
          <w:lang w:val="pt-BR"/>
        </w:rPr>
        <w:t xml:space="preserve"> em </w:t>
      </w:r>
      <w:r w:rsidR="002C330E" w:rsidRPr="00D5464D">
        <w:rPr>
          <w:bCs/>
          <w:lang w:val="pt-BR"/>
        </w:rPr>
        <w:t>razão</w:t>
      </w:r>
      <w:r w:rsidRPr="00D5464D">
        <w:rPr>
          <w:bCs/>
          <w:lang w:val="pt-BR"/>
        </w:rPr>
        <w:t xml:space="preserve"> da </w:t>
      </w:r>
      <w:r w:rsidR="00207197" w:rsidRPr="00D5464D">
        <w:rPr>
          <w:bCs/>
          <w:lang w:val="pt-BR"/>
        </w:rPr>
        <w:t xml:space="preserve">falta de </w:t>
      </w:r>
      <w:r w:rsidR="00737270" w:rsidRPr="00D5464D">
        <w:rPr>
          <w:bCs/>
          <w:lang w:val="pt-BR"/>
        </w:rPr>
        <w:t>atuação</w:t>
      </w:r>
      <w:r w:rsidR="00207197" w:rsidRPr="00D5464D">
        <w:rPr>
          <w:bCs/>
          <w:lang w:val="pt-BR"/>
        </w:rPr>
        <w:t xml:space="preserve"> </w:t>
      </w:r>
      <w:r w:rsidRPr="00D5464D">
        <w:rPr>
          <w:bCs/>
          <w:lang w:val="pt-BR"/>
        </w:rPr>
        <w:t xml:space="preserve">do </w:t>
      </w:r>
      <w:r w:rsidR="00207197" w:rsidRPr="00D5464D">
        <w:rPr>
          <w:bCs/>
          <w:lang w:val="pt-BR"/>
        </w:rPr>
        <w:t xml:space="preserve">Estado para impedir </w:t>
      </w:r>
      <w:r w:rsidR="002C330E" w:rsidRPr="00D5464D">
        <w:rPr>
          <w:bCs/>
          <w:lang w:val="pt-BR"/>
        </w:rPr>
        <w:t>prática</w:t>
      </w:r>
      <w:r w:rsidR="00207197" w:rsidRPr="00D5464D">
        <w:rPr>
          <w:bCs/>
          <w:lang w:val="pt-BR"/>
        </w:rPr>
        <w:t xml:space="preserve">s </w:t>
      </w:r>
      <w:r w:rsidR="006665EF" w:rsidRPr="00D5464D">
        <w:rPr>
          <w:bCs/>
          <w:lang w:val="pt-BR"/>
        </w:rPr>
        <w:t>análogas</w:t>
      </w:r>
      <w:r w:rsidR="00350187" w:rsidRPr="00D5464D">
        <w:rPr>
          <w:bCs/>
          <w:lang w:val="pt-BR"/>
        </w:rPr>
        <w:t xml:space="preserve"> </w:t>
      </w:r>
      <w:r w:rsidRPr="00D5464D">
        <w:rPr>
          <w:bCs/>
          <w:lang w:val="pt-BR"/>
        </w:rPr>
        <w:t xml:space="preserve">à </w:t>
      </w:r>
      <w:r w:rsidR="000B376D" w:rsidRPr="00D5464D">
        <w:rPr>
          <w:bCs/>
          <w:lang w:val="pt-BR"/>
        </w:rPr>
        <w:t>escravidão</w:t>
      </w:r>
      <w:r w:rsidRPr="00D5464D">
        <w:rPr>
          <w:bCs/>
          <w:lang w:val="pt-BR"/>
        </w:rPr>
        <w:t xml:space="preserve"> em </w:t>
      </w:r>
      <w:r w:rsidR="00230C71" w:rsidRPr="00D5464D">
        <w:rPr>
          <w:bCs/>
          <w:lang w:val="pt-BR"/>
        </w:rPr>
        <w:t>seu território</w:t>
      </w:r>
      <w:r w:rsidR="00207197" w:rsidRPr="00D5464D">
        <w:rPr>
          <w:bCs/>
          <w:lang w:val="pt-BR"/>
        </w:rPr>
        <w:t xml:space="preserve">. </w:t>
      </w:r>
    </w:p>
    <w:p w14:paraId="1010E24D" w14:textId="77777777" w:rsidR="00207197" w:rsidRPr="00D5464D" w:rsidRDefault="00207197" w:rsidP="00140440">
      <w:pPr>
        <w:jc w:val="both"/>
        <w:rPr>
          <w:lang w:val="pt-BR"/>
        </w:rPr>
      </w:pPr>
    </w:p>
    <w:p w14:paraId="72C663E2" w14:textId="4B16299B" w:rsidR="00207197" w:rsidRPr="00D5464D" w:rsidRDefault="00A87161" w:rsidP="00F4422D">
      <w:pPr>
        <w:pStyle w:val="Prrafodelista"/>
        <w:numPr>
          <w:ilvl w:val="0"/>
          <w:numId w:val="1"/>
        </w:numPr>
        <w:contextualSpacing w:val="0"/>
        <w:rPr>
          <w:lang w:val="pt-BR"/>
        </w:rPr>
      </w:pPr>
      <w:r w:rsidRPr="00D5464D">
        <w:rPr>
          <w:lang w:val="pt-BR"/>
        </w:rPr>
        <w:t>Além</w:t>
      </w:r>
      <w:r w:rsidR="00207197" w:rsidRPr="00D5464D">
        <w:rPr>
          <w:lang w:val="pt-BR"/>
        </w:rPr>
        <w:t xml:space="preserve"> </w:t>
      </w:r>
      <w:r w:rsidR="00E045D9" w:rsidRPr="00D5464D">
        <w:rPr>
          <w:lang w:val="pt-BR"/>
        </w:rPr>
        <w:t>deste</w:t>
      </w:r>
      <w:r w:rsidR="00470ADC" w:rsidRPr="00D5464D">
        <w:rPr>
          <w:lang w:val="pt-BR"/>
        </w:rPr>
        <w:t xml:space="preserve">s </w:t>
      </w:r>
      <w:r w:rsidR="00E045D9" w:rsidRPr="00D5464D">
        <w:rPr>
          <w:lang w:val="pt-BR"/>
        </w:rPr>
        <w:t>tribunais</w:t>
      </w:r>
      <w:r w:rsidR="00207197" w:rsidRPr="00D5464D">
        <w:rPr>
          <w:lang w:val="pt-BR"/>
        </w:rPr>
        <w:t xml:space="preserve"> </w:t>
      </w:r>
      <w:r w:rsidR="002C330E" w:rsidRPr="00D5464D">
        <w:rPr>
          <w:lang w:val="pt-BR"/>
        </w:rPr>
        <w:t>internacionais</w:t>
      </w:r>
      <w:r w:rsidR="00207197" w:rsidRPr="00D5464D">
        <w:rPr>
          <w:lang w:val="pt-BR"/>
        </w:rPr>
        <w:t xml:space="preserve">, </w:t>
      </w:r>
      <w:r w:rsidR="002C330E" w:rsidRPr="00D5464D">
        <w:rPr>
          <w:lang w:val="pt-BR"/>
        </w:rPr>
        <w:t>outros</w:t>
      </w:r>
      <w:r w:rsidR="00207197" w:rsidRPr="00D5464D">
        <w:rPr>
          <w:lang w:val="pt-BR"/>
        </w:rPr>
        <w:t xml:space="preserve"> </w:t>
      </w:r>
      <w:r w:rsidR="002C330E" w:rsidRPr="00D5464D">
        <w:rPr>
          <w:lang w:val="pt-BR"/>
        </w:rPr>
        <w:t>órgão</w:t>
      </w:r>
      <w:r w:rsidR="00207197" w:rsidRPr="00D5464D">
        <w:rPr>
          <w:lang w:val="pt-BR"/>
        </w:rPr>
        <w:t xml:space="preserve">s </w:t>
      </w:r>
      <w:r w:rsidR="002C330E" w:rsidRPr="00D5464D">
        <w:rPr>
          <w:lang w:val="pt-BR"/>
        </w:rPr>
        <w:t>internacionais</w:t>
      </w:r>
      <w:r w:rsidR="00207197" w:rsidRPr="00D5464D">
        <w:rPr>
          <w:lang w:val="pt-BR"/>
        </w:rPr>
        <w:t xml:space="preserve"> </w:t>
      </w:r>
      <w:r w:rsidRPr="00D5464D">
        <w:rPr>
          <w:lang w:val="pt-BR"/>
        </w:rPr>
        <w:t xml:space="preserve">já </w:t>
      </w:r>
      <w:r w:rsidR="00207197" w:rsidRPr="00D5464D">
        <w:rPr>
          <w:lang w:val="pt-BR"/>
        </w:rPr>
        <w:t xml:space="preserve">se </w:t>
      </w:r>
      <w:r w:rsidR="00230C71" w:rsidRPr="00D5464D">
        <w:rPr>
          <w:lang w:val="pt-BR"/>
        </w:rPr>
        <w:t>manifestaram</w:t>
      </w:r>
      <w:r w:rsidR="00470ADC" w:rsidRPr="00D5464D">
        <w:rPr>
          <w:lang w:val="pt-BR"/>
        </w:rPr>
        <w:t xml:space="preserve"> em </w:t>
      </w:r>
      <w:r w:rsidRPr="00D5464D">
        <w:rPr>
          <w:lang w:val="pt-BR"/>
        </w:rPr>
        <w:t xml:space="preserve">um sentido </w:t>
      </w:r>
      <w:r w:rsidR="00207197" w:rsidRPr="00D5464D">
        <w:rPr>
          <w:lang w:val="pt-BR"/>
        </w:rPr>
        <w:t xml:space="preserve">similar, </w:t>
      </w:r>
      <w:r w:rsidRPr="00D5464D">
        <w:rPr>
          <w:lang w:val="pt-BR"/>
        </w:rPr>
        <w:t>determinando o</w:t>
      </w:r>
      <w:r w:rsidR="00207197" w:rsidRPr="00D5464D">
        <w:rPr>
          <w:lang w:val="pt-BR"/>
        </w:rPr>
        <w:t xml:space="preserve"> </w:t>
      </w:r>
      <w:r w:rsidR="00470ADC" w:rsidRPr="00D5464D">
        <w:rPr>
          <w:lang w:val="pt-BR"/>
        </w:rPr>
        <w:t xml:space="preserve">conteúdo </w:t>
      </w:r>
      <w:r w:rsidRPr="00D5464D">
        <w:rPr>
          <w:lang w:val="pt-BR"/>
        </w:rPr>
        <w:t>d</w:t>
      </w:r>
      <w:r w:rsidR="00470ADC" w:rsidRPr="00D5464D">
        <w:rPr>
          <w:lang w:val="pt-BR"/>
        </w:rPr>
        <w:t>o fenômeno</w:t>
      </w:r>
      <w:r w:rsidRPr="00D5464D">
        <w:rPr>
          <w:lang w:val="pt-BR"/>
        </w:rPr>
        <w:t xml:space="preserve"> da</w:t>
      </w:r>
      <w:r w:rsidR="00207197" w:rsidRPr="00D5464D">
        <w:rPr>
          <w:lang w:val="pt-BR"/>
        </w:rPr>
        <w:t xml:space="preserve"> </w:t>
      </w:r>
      <w:r w:rsidR="000B376D" w:rsidRPr="00D5464D">
        <w:rPr>
          <w:lang w:val="pt-BR"/>
        </w:rPr>
        <w:t>escravidão</w:t>
      </w:r>
      <w:r w:rsidR="00E045D9" w:rsidRPr="00D5464D">
        <w:rPr>
          <w:lang w:val="pt-BR"/>
        </w:rPr>
        <w:t xml:space="preserve"> nos </w:t>
      </w:r>
      <w:r w:rsidR="00470ADC" w:rsidRPr="00D5464D">
        <w:rPr>
          <w:lang w:val="pt-BR"/>
        </w:rPr>
        <w:t>dia</w:t>
      </w:r>
      <w:r w:rsidR="00207197" w:rsidRPr="00D5464D">
        <w:rPr>
          <w:lang w:val="pt-BR"/>
        </w:rPr>
        <w:t xml:space="preserve">s </w:t>
      </w:r>
      <w:r w:rsidR="00470ADC" w:rsidRPr="00D5464D">
        <w:rPr>
          <w:lang w:val="pt-BR"/>
        </w:rPr>
        <w:t>atuais</w:t>
      </w:r>
      <w:r w:rsidR="00207197" w:rsidRPr="00D5464D">
        <w:rPr>
          <w:lang w:val="pt-BR"/>
        </w:rPr>
        <w:t xml:space="preserve"> para incluir formas </w:t>
      </w:r>
      <w:r w:rsidR="006665EF" w:rsidRPr="00D5464D">
        <w:rPr>
          <w:lang w:val="pt-BR"/>
        </w:rPr>
        <w:t>análogas</w:t>
      </w:r>
      <w:r w:rsidR="00350187" w:rsidRPr="00D5464D">
        <w:rPr>
          <w:lang w:val="pt-BR"/>
        </w:rPr>
        <w:t xml:space="preserve"> </w:t>
      </w:r>
      <w:r w:rsidR="00207197" w:rsidRPr="00D5464D">
        <w:rPr>
          <w:lang w:val="pt-BR"/>
        </w:rPr>
        <w:t>o</w:t>
      </w:r>
      <w:r w:rsidRPr="00D5464D">
        <w:rPr>
          <w:lang w:val="pt-BR"/>
        </w:rPr>
        <w:t>u</w:t>
      </w:r>
      <w:r w:rsidR="00207197" w:rsidRPr="00D5464D">
        <w:rPr>
          <w:lang w:val="pt-BR"/>
        </w:rPr>
        <w:t xml:space="preserve"> </w:t>
      </w:r>
      <w:r w:rsidR="00470ADC" w:rsidRPr="00D5464D">
        <w:rPr>
          <w:lang w:val="pt-BR"/>
        </w:rPr>
        <w:t>contemporânea</w:t>
      </w:r>
      <w:r w:rsidR="00207197" w:rsidRPr="00D5464D">
        <w:rPr>
          <w:lang w:val="pt-BR"/>
        </w:rPr>
        <w:t>s.</w:t>
      </w:r>
      <w:r w:rsidR="00470ADC" w:rsidRPr="00D5464D">
        <w:rPr>
          <w:lang w:val="pt-BR"/>
        </w:rPr>
        <w:t xml:space="preserve"> </w:t>
      </w:r>
      <w:r w:rsidRPr="00D5464D">
        <w:rPr>
          <w:lang w:val="pt-BR"/>
        </w:rPr>
        <w:t>N</w:t>
      </w:r>
      <w:r w:rsidR="00737270" w:rsidRPr="00D5464D">
        <w:rPr>
          <w:lang w:val="pt-BR"/>
        </w:rPr>
        <w:t>esse</w:t>
      </w:r>
      <w:r w:rsidR="00470ADC" w:rsidRPr="00D5464D">
        <w:rPr>
          <w:lang w:val="pt-BR"/>
        </w:rPr>
        <w:t xml:space="preserve"> </w:t>
      </w:r>
      <w:r w:rsidR="00207197" w:rsidRPr="00D5464D">
        <w:rPr>
          <w:lang w:val="pt-BR"/>
        </w:rPr>
        <w:t>sentido,</w:t>
      </w:r>
      <w:r w:rsidR="002C330E" w:rsidRPr="00D5464D">
        <w:rPr>
          <w:lang w:val="pt-BR"/>
        </w:rPr>
        <w:t xml:space="preserve"> a </w:t>
      </w:r>
      <w:r w:rsidR="00207197" w:rsidRPr="00D5464D">
        <w:rPr>
          <w:lang w:val="pt-BR"/>
        </w:rPr>
        <w:t>Corte destaca</w:t>
      </w:r>
      <w:r w:rsidR="002C330E" w:rsidRPr="00D5464D">
        <w:rPr>
          <w:lang w:val="pt-BR"/>
        </w:rPr>
        <w:t xml:space="preserve"> os pronunciamento</w:t>
      </w:r>
      <w:r w:rsidR="00207197" w:rsidRPr="00D5464D">
        <w:rPr>
          <w:lang w:val="pt-BR"/>
        </w:rPr>
        <w:t xml:space="preserve">s </w:t>
      </w:r>
      <w:r w:rsidR="00470ADC" w:rsidRPr="00D5464D">
        <w:rPr>
          <w:lang w:val="pt-BR"/>
        </w:rPr>
        <w:t>do Comitê</w:t>
      </w:r>
      <w:r w:rsidR="00041EA2" w:rsidRPr="00D5464D">
        <w:rPr>
          <w:lang w:val="pt-BR"/>
        </w:rPr>
        <w:t xml:space="preserve"> CEDAW das</w:t>
      </w:r>
      <w:r w:rsidR="00207197" w:rsidRPr="00D5464D">
        <w:rPr>
          <w:lang w:val="pt-BR"/>
        </w:rPr>
        <w:t xml:space="preserve"> Na</w:t>
      </w:r>
      <w:r w:rsidR="00470ADC" w:rsidRPr="00D5464D">
        <w:rPr>
          <w:lang w:val="pt-BR"/>
        </w:rPr>
        <w:t>ções</w:t>
      </w:r>
      <w:r w:rsidR="00207197" w:rsidRPr="00D5464D">
        <w:rPr>
          <w:lang w:val="pt-BR"/>
        </w:rPr>
        <w:t xml:space="preserve"> Unidas</w:t>
      </w:r>
      <w:r w:rsidRPr="00D5464D">
        <w:rPr>
          <w:lang w:val="pt-BR"/>
        </w:rPr>
        <w:t>,</w:t>
      </w:r>
      <w:r w:rsidR="00207197" w:rsidRPr="00D5464D">
        <w:rPr>
          <w:rStyle w:val="Refdenotaalpie"/>
          <w:bCs/>
          <w:iCs/>
          <w:lang w:val="pt-BR"/>
        </w:rPr>
        <w:footnoteReference w:id="401"/>
      </w:r>
      <w:r w:rsidR="00207197" w:rsidRPr="00D5464D">
        <w:rPr>
          <w:lang w:val="pt-BR"/>
        </w:rPr>
        <w:t xml:space="preserve"> </w:t>
      </w:r>
      <w:r w:rsidR="00470ADC" w:rsidRPr="00D5464D">
        <w:rPr>
          <w:lang w:val="pt-BR"/>
        </w:rPr>
        <w:t>do Comitê</w:t>
      </w:r>
      <w:r w:rsidR="00207197" w:rsidRPr="00D5464D">
        <w:rPr>
          <w:lang w:val="pt-BR"/>
        </w:rPr>
        <w:t xml:space="preserve"> de </w:t>
      </w:r>
      <w:r w:rsidR="00470ADC" w:rsidRPr="00D5464D">
        <w:rPr>
          <w:lang w:val="pt-BR"/>
        </w:rPr>
        <w:t>Direito</w:t>
      </w:r>
      <w:r w:rsidR="00207197" w:rsidRPr="00D5464D">
        <w:rPr>
          <w:lang w:val="pt-BR"/>
        </w:rPr>
        <w:t>s Humanos d</w:t>
      </w:r>
      <w:r w:rsidR="00041EA2" w:rsidRPr="00D5464D">
        <w:rPr>
          <w:lang w:val="pt-BR"/>
        </w:rPr>
        <w:t>as</w:t>
      </w:r>
      <w:r w:rsidR="00207197" w:rsidRPr="00D5464D">
        <w:rPr>
          <w:lang w:val="pt-BR"/>
        </w:rPr>
        <w:t xml:space="preserve"> Na</w:t>
      </w:r>
      <w:r w:rsidR="00470ADC" w:rsidRPr="00D5464D">
        <w:rPr>
          <w:lang w:val="pt-BR"/>
        </w:rPr>
        <w:t>ções</w:t>
      </w:r>
      <w:r w:rsidR="00207197" w:rsidRPr="00D5464D">
        <w:rPr>
          <w:lang w:val="pt-BR"/>
        </w:rPr>
        <w:t xml:space="preserve"> Unidas</w:t>
      </w:r>
      <w:r w:rsidRPr="00D5464D">
        <w:rPr>
          <w:lang w:val="pt-BR"/>
        </w:rPr>
        <w:t>,</w:t>
      </w:r>
      <w:r w:rsidR="00207197" w:rsidRPr="00D5464D">
        <w:rPr>
          <w:rStyle w:val="Refdenotaalpie"/>
          <w:bCs/>
          <w:iCs/>
          <w:lang w:val="pt-BR"/>
        </w:rPr>
        <w:footnoteReference w:id="402"/>
      </w:r>
      <w:r w:rsidR="00207197" w:rsidRPr="00D5464D">
        <w:rPr>
          <w:lang w:val="pt-BR"/>
        </w:rPr>
        <w:t xml:space="preserve"> </w:t>
      </w:r>
      <w:r w:rsidR="00470ADC" w:rsidRPr="00D5464D">
        <w:rPr>
          <w:lang w:val="pt-BR"/>
        </w:rPr>
        <w:t xml:space="preserve">do </w:t>
      </w:r>
      <w:r w:rsidR="00207197" w:rsidRPr="00D5464D">
        <w:rPr>
          <w:lang w:val="pt-BR"/>
        </w:rPr>
        <w:t xml:space="preserve">Grupo de </w:t>
      </w:r>
      <w:r w:rsidR="00E045D9" w:rsidRPr="00D5464D">
        <w:rPr>
          <w:lang w:val="pt-BR"/>
        </w:rPr>
        <w:t>Trabalho</w:t>
      </w:r>
      <w:r w:rsidRPr="00D5464D">
        <w:rPr>
          <w:lang w:val="pt-BR"/>
        </w:rPr>
        <w:t xml:space="preserve"> das</w:t>
      </w:r>
      <w:r w:rsidR="00207197" w:rsidRPr="00D5464D">
        <w:rPr>
          <w:lang w:val="pt-BR"/>
        </w:rPr>
        <w:t xml:space="preserve"> Na</w:t>
      </w:r>
      <w:r w:rsidR="00470ADC" w:rsidRPr="00D5464D">
        <w:rPr>
          <w:lang w:val="pt-BR"/>
        </w:rPr>
        <w:t>ções</w:t>
      </w:r>
      <w:r w:rsidR="00207197" w:rsidRPr="00D5464D">
        <w:rPr>
          <w:lang w:val="pt-BR"/>
        </w:rPr>
        <w:t xml:space="preserve"> Unidas sobre Formas </w:t>
      </w:r>
      <w:r w:rsidR="00470ADC" w:rsidRPr="00D5464D">
        <w:rPr>
          <w:lang w:val="pt-BR"/>
        </w:rPr>
        <w:t>Contemporânea</w:t>
      </w:r>
      <w:r w:rsidR="00207197" w:rsidRPr="00D5464D">
        <w:rPr>
          <w:lang w:val="pt-BR"/>
        </w:rPr>
        <w:t xml:space="preserve">s de </w:t>
      </w:r>
      <w:r w:rsidR="000B376D" w:rsidRPr="00D5464D">
        <w:rPr>
          <w:lang w:val="pt-BR"/>
        </w:rPr>
        <w:t>Escravidão</w:t>
      </w:r>
      <w:r w:rsidRPr="00D5464D">
        <w:rPr>
          <w:lang w:val="pt-BR"/>
        </w:rPr>
        <w:t>,</w:t>
      </w:r>
      <w:r w:rsidR="00207197" w:rsidRPr="00D5464D">
        <w:rPr>
          <w:rStyle w:val="Refdenotaalpie"/>
          <w:bCs/>
          <w:iCs/>
          <w:lang w:val="pt-BR"/>
        </w:rPr>
        <w:footnoteReference w:id="403"/>
      </w:r>
      <w:r w:rsidR="00470ADC" w:rsidRPr="00D5464D">
        <w:rPr>
          <w:lang w:val="pt-BR"/>
        </w:rPr>
        <w:t xml:space="preserve"> da </w:t>
      </w:r>
      <w:r w:rsidRPr="00D5464D">
        <w:rPr>
          <w:lang w:val="pt-BR"/>
        </w:rPr>
        <w:t>Relatora Especial das</w:t>
      </w:r>
      <w:r w:rsidR="00207197" w:rsidRPr="00D5464D">
        <w:rPr>
          <w:lang w:val="pt-BR"/>
        </w:rPr>
        <w:t xml:space="preserve"> </w:t>
      </w:r>
      <w:r w:rsidR="000348FA" w:rsidRPr="00D5464D">
        <w:rPr>
          <w:lang w:val="pt-BR"/>
        </w:rPr>
        <w:t>Na</w:t>
      </w:r>
      <w:r w:rsidR="00470ADC" w:rsidRPr="00D5464D">
        <w:rPr>
          <w:lang w:val="pt-BR"/>
        </w:rPr>
        <w:t>ções</w:t>
      </w:r>
      <w:r w:rsidR="000348FA" w:rsidRPr="00D5464D">
        <w:rPr>
          <w:lang w:val="pt-BR"/>
        </w:rPr>
        <w:t xml:space="preserve"> Unidas</w:t>
      </w:r>
      <w:r w:rsidR="00207197" w:rsidRPr="00D5464D">
        <w:rPr>
          <w:lang w:val="pt-BR"/>
        </w:rPr>
        <w:t xml:space="preserve"> sobre </w:t>
      </w:r>
      <w:r w:rsidRPr="00D5464D">
        <w:rPr>
          <w:lang w:val="pt-BR"/>
        </w:rPr>
        <w:t>T</w:t>
      </w:r>
      <w:r w:rsidR="00207197" w:rsidRPr="00D5464D">
        <w:rPr>
          <w:lang w:val="pt-BR"/>
        </w:rPr>
        <w:t xml:space="preserve">ráfico de </w:t>
      </w:r>
      <w:r w:rsidRPr="00D5464D">
        <w:rPr>
          <w:lang w:val="pt-BR"/>
        </w:rPr>
        <w:t>P</w:t>
      </w:r>
      <w:r w:rsidR="002C330E" w:rsidRPr="00D5464D">
        <w:rPr>
          <w:lang w:val="pt-BR"/>
        </w:rPr>
        <w:t>essoa</w:t>
      </w:r>
      <w:r w:rsidR="00207197" w:rsidRPr="00D5464D">
        <w:rPr>
          <w:lang w:val="pt-BR"/>
        </w:rPr>
        <w:t>s</w:t>
      </w:r>
      <w:r w:rsidRPr="00D5464D">
        <w:rPr>
          <w:lang w:val="pt-BR"/>
        </w:rPr>
        <w:t>,</w:t>
      </w:r>
      <w:r w:rsidR="00207197" w:rsidRPr="00D5464D">
        <w:rPr>
          <w:rStyle w:val="Refdenotaalpie"/>
          <w:bCs/>
          <w:iCs/>
          <w:lang w:val="pt-BR"/>
        </w:rPr>
        <w:footnoteReference w:id="404"/>
      </w:r>
      <w:r w:rsidR="00470ADC" w:rsidRPr="00D5464D">
        <w:rPr>
          <w:lang w:val="pt-BR"/>
        </w:rPr>
        <w:t xml:space="preserve"> d</w:t>
      </w:r>
      <w:r w:rsidR="00041EA2" w:rsidRPr="00D5464D">
        <w:rPr>
          <w:lang w:val="pt-BR"/>
        </w:rPr>
        <w:t>o</w:t>
      </w:r>
      <w:r w:rsidR="00470ADC" w:rsidRPr="00D5464D">
        <w:rPr>
          <w:lang w:val="pt-BR"/>
        </w:rPr>
        <w:t xml:space="preserve"> </w:t>
      </w:r>
      <w:r w:rsidR="00350187" w:rsidRPr="00D5464D">
        <w:rPr>
          <w:lang w:val="pt-BR"/>
        </w:rPr>
        <w:t>Escritório do Alto Comissário</w:t>
      </w:r>
      <w:r w:rsidR="00470ADC" w:rsidRPr="00D5464D">
        <w:rPr>
          <w:lang w:val="pt-BR"/>
        </w:rPr>
        <w:t xml:space="preserve"> dos Direito</w:t>
      </w:r>
      <w:r w:rsidRPr="00D5464D">
        <w:rPr>
          <w:lang w:val="pt-BR"/>
        </w:rPr>
        <w:t>s Humanos das</w:t>
      </w:r>
      <w:r w:rsidR="00207197" w:rsidRPr="00D5464D">
        <w:rPr>
          <w:lang w:val="pt-BR"/>
        </w:rPr>
        <w:t xml:space="preserve"> Na</w:t>
      </w:r>
      <w:r w:rsidR="00470ADC" w:rsidRPr="00D5464D">
        <w:rPr>
          <w:lang w:val="pt-BR"/>
        </w:rPr>
        <w:t>ções</w:t>
      </w:r>
      <w:r w:rsidR="00207197" w:rsidRPr="00D5464D">
        <w:rPr>
          <w:lang w:val="pt-BR"/>
        </w:rPr>
        <w:t xml:space="preserve"> Unidas</w:t>
      </w:r>
      <w:r w:rsidR="00207197" w:rsidRPr="00D5464D">
        <w:rPr>
          <w:rStyle w:val="Refdenotaalpie"/>
          <w:bCs/>
          <w:iCs/>
          <w:lang w:val="pt-BR"/>
        </w:rPr>
        <w:footnoteReference w:id="405"/>
      </w:r>
      <w:r w:rsidR="00E045D9" w:rsidRPr="00D5464D">
        <w:rPr>
          <w:lang w:val="pt-BR"/>
        </w:rPr>
        <w:t xml:space="preserve"> e </w:t>
      </w:r>
      <w:r w:rsidR="00470ADC" w:rsidRPr="00D5464D">
        <w:rPr>
          <w:lang w:val="pt-BR"/>
        </w:rPr>
        <w:t>da Comissão</w:t>
      </w:r>
      <w:r w:rsidR="00207197" w:rsidRPr="00D5464D">
        <w:rPr>
          <w:lang w:val="pt-BR"/>
        </w:rPr>
        <w:t xml:space="preserve"> Interamericana de </w:t>
      </w:r>
      <w:r w:rsidR="00470ADC" w:rsidRPr="00D5464D">
        <w:rPr>
          <w:lang w:val="pt-BR"/>
        </w:rPr>
        <w:t>Direito</w:t>
      </w:r>
      <w:r w:rsidR="00207197" w:rsidRPr="00D5464D">
        <w:rPr>
          <w:lang w:val="pt-BR"/>
        </w:rPr>
        <w:t>s Humanos</w:t>
      </w:r>
      <w:r w:rsidRPr="00D5464D">
        <w:rPr>
          <w:lang w:val="pt-BR"/>
        </w:rPr>
        <w:t>.</w:t>
      </w:r>
      <w:r w:rsidR="00207197" w:rsidRPr="00D5464D">
        <w:rPr>
          <w:rStyle w:val="Refdenotaalpie"/>
          <w:bCs/>
          <w:iCs/>
          <w:lang w:val="pt-BR"/>
        </w:rPr>
        <w:footnoteReference w:id="406"/>
      </w:r>
    </w:p>
    <w:p w14:paraId="3FF2D2FB" w14:textId="77777777" w:rsidR="00207197" w:rsidRPr="00D5464D" w:rsidRDefault="00207197" w:rsidP="00140440">
      <w:pPr>
        <w:jc w:val="both"/>
        <w:rPr>
          <w:lang w:val="pt-BR"/>
        </w:rPr>
      </w:pPr>
    </w:p>
    <w:p w14:paraId="6194C704" w14:textId="521CD3B1" w:rsidR="00207197" w:rsidRPr="00D5464D" w:rsidRDefault="00207197" w:rsidP="00223EEA">
      <w:pPr>
        <w:pStyle w:val="Prrafodelista"/>
        <w:numPr>
          <w:ilvl w:val="0"/>
          <w:numId w:val="1"/>
        </w:numPr>
        <w:rPr>
          <w:lang w:val="pt-BR"/>
        </w:rPr>
      </w:pPr>
      <w:r w:rsidRPr="00D5464D">
        <w:rPr>
          <w:lang w:val="pt-BR"/>
        </w:rPr>
        <w:t xml:space="preserve">A partir </w:t>
      </w:r>
      <w:r w:rsidR="00470ADC" w:rsidRPr="00D5464D">
        <w:rPr>
          <w:lang w:val="pt-BR"/>
        </w:rPr>
        <w:t xml:space="preserve">do </w:t>
      </w:r>
      <w:r w:rsidR="002C330E" w:rsidRPr="00D5464D">
        <w:rPr>
          <w:lang w:val="pt-BR"/>
        </w:rPr>
        <w:t>resumo</w:t>
      </w:r>
      <w:r w:rsidRPr="00D5464D">
        <w:rPr>
          <w:lang w:val="pt-BR"/>
        </w:rPr>
        <w:t xml:space="preserve"> de instrumentos </w:t>
      </w:r>
      <w:r w:rsidR="002C330E" w:rsidRPr="00D5464D">
        <w:rPr>
          <w:lang w:val="pt-BR"/>
        </w:rPr>
        <w:t>internacionais</w:t>
      </w:r>
      <w:r w:rsidRPr="00D5464D">
        <w:rPr>
          <w:lang w:val="pt-BR"/>
        </w:rPr>
        <w:t xml:space="preserve"> vinculantes</w:t>
      </w:r>
      <w:r w:rsidR="00E045D9" w:rsidRPr="00D5464D">
        <w:rPr>
          <w:lang w:val="pt-BR"/>
        </w:rPr>
        <w:t xml:space="preserve"> e </w:t>
      </w:r>
      <w:r w:rsidR="00B45472" w:rsidRPr="00D5464D">
        <w:rPr>
          <w:lang w:val="pt-BR"/>
        </w:rPr>
        <w:t>d</w:t>
      </w:r>
      <w:r w:rsidR="002C330E" w:rsidRPr="00D5464D">
        <w:rPr>
          <w:lang w:val="pt-BR"/>
        </w:rPr>
        <w:t xml:space="preserve">as </w:t>
      </w:r>
      <w:r w:rsidR="00470ADC" w:rsidRPr="00D5464D">
        <w:rPr>
          <w:lang w:val="pt-BR"/>
        </w:rPr>
        <w:t>decisões</w:t>
      </w:r>
      <w:r w:rsidRPr="00D5464D">
        <w:rPr>
          <w:lang w:val="pt-BR"/>
        </w:rPr>
        <w:t xml:space="preserve"> de </w:t>
      </w:r>
      <w:r w:rsidR="00E045D9" w:rsidRPr="00D5464D">
        <w:rPr>
          <w:lang w:val="pt-BR"/>
        </w:rPr>
        <w:t>tribunais</w:t>
      </w:r>
      <w:r w:rsidRPr="00D5464D">
        <w:rPr>
          <w:lang w:val="pt-BR"/>
        </w:rPr>
        <w:t xml:space="preserve"> </w:t>
      </w:r>
      <w:r w:rsidR="002C330E" w:rsidRPr="00D5464D">
        <w:rPr>
          <w:lang w:val="pt-BR"/>
        </w:rPr>
        <w:t>internacionais</w:t>
      </w:r>
      <w:r w:rsidRPr="00D5464D">
        <w:rPr>
          <w:lang w:val="pt-BR"/>
        </w:rPr>
        <w:t xml:space="preserve"> </w:t>
      </w:r>
      <w:r w:rsidR="00E045D9" w:rsidRPr="00D5464D">
        <w:rPr>
          <w:lang w:val="pt-BR"/>
        </w:rPr>
        <w:t>lista</w:t>
      </w:r>
      <w:r w:rsidR="00B45472" w:rsidRPr="00D5464D">
        <w:rPr>
          <w:lang w:val="pt-BR"/>
        </w:rPr>
        <w:t>da</w:t>
      </w:r>
      <w:r w:rsidRPr="00D5464D">
        <w:rPr>
          <w:lang w:val="pt-BR"/>
        </w:rPr>
        <w:t>s anteriormente, observa</w:t>
      </w:r>
      <w:r w:rsidR="00B45472" w:rsidRPr="00D5464D">
        <w:rPr>
          <w:lang w:val="pt-BR"/>
        </w:rPr>
        <w:t>-se</w:t>
      </w:r>
      <w:r w:rsidRPr="00D5464D">
        <w:rPr>
          <w:lang w:val="pt-BR"/>
        </w:rPr>
        <w:t xml:space="preserve"> que</w:t>
      </w:r>
      <w:r w:rsidR="002C330E" w:rsidRPr="00D5464D">
        <w:rPr>
          <w:lang w:val="pt-BR"/>
        </w:rPr>
        <w:t xml:space="preserve"> a proibição</w:t>
      </w:r>
      <w:r w:rsidRPr="00D5464D">
        <w:rPr>
          <w:lang w:val="pt-BR"/>
        </w:rPr>
        <w:t xml:space="preserve"> absoluta</w:t>
      </w:r>
      <w:r w:rsidR="00E045D9" w:rsidRPr="00D5464D">
        <w:rPr>
          <w:lang w:val="pt-BR"/>
        </w:rPr>
        <w:t xml:space="preserve"> e </w:t>
      </w:r>
      <w:r w:rsidRPr="00D5464D">
        <w:rPr>
          <w:lang w:val="pt-BR"/>
        </w:rPr>
        <w:t>universal</w:t>
      </w:r>
      <w:r w:rsidR="00470ADC" w:rsidRPr="00D5464D">
        <w:rPr>
          <w:lang w:val="pt-BR"/>
        </w:rPr>
        <w:t xml:space="preserve"> da </w:t>
      </w:r>
      <w:r w:rsidR="000B376D" w:rsidRPr="00D5464D">
        <w:rPr>
          <w:lang w:val="pt-BR"/>
        </w:rPr>
        <w:t>escravidão</w:t>
      </w:r>
      <w:r w:rsidRPr="00D5464D">
        <w:rPr>
          <w:lang w:val="pt-BR"/>
        </w:rPr>
        <w:t xml:space="preserve"> está consolidada</w:t>
      </w:r>
      <w:r w:rsidR="00E045D9" w:rsidRPr="00D5464D">
        <w:rPr>
          <w:lang w:val="pt-BR"/>
        </w:rPr>
        <w:t xml:space="preserve"> no </w:t>
      </w:r>
      <w:r w:rsidR="00E765C2" w:rsidRPr="00D5464D">
        <w:rPr>
          <w:lang w:val="pt-BR"/>
        </w:rPr>
        <w:t>Direito Internacional</w:t>
      </w:r>
      <w:r w:rsidR="00470ADC" w:rsidRPr="00D5464D">
        <w:rPr>
          <w:lang w:val="pt-BR"/>
        </w:rPr>
        <w:t xml:space="preserve"> e</w:t>
      </w:r>
      <w:r w:rsidR="002C330E" w:rsidRPr="00D5464D">
        <w:rPr>
          <w:lang w:val="pt-BR"/>
        </w:rPr>
        <w:t xml:space="preserve"> a </w:t>
      </w:r>
      <w:r w:rsidRPr="00D5464D">
        <w:rPr>
          <w:lang w:val="pt-BR"/>
        </w:rPr>
        <w:t>defini</w:t>
      </w:r>
      <w:r w:rsidR="00470ADC" w:rsidRPr="00D5464D">
        <w:rPr>
          <w:lang w:val="pt-BR"/>
        </w:rPr>
        <w:t>ção desse conceito</w:t>
      </w:r>
      <w:r w:rsidRPr="00D5464D">
        <w:rPr>
          <w:lang w:val="pt-BR"/>
        </w:rPr>
        <w:t xml:space="preserve"> n</w:t>
      </w:r>
      <w:r w:rsidR="00B45472" w:rsidRPr="00D5464D">
        <w:rPr>
          <w:lang w:val="pt-BR"/>
        </w:rPr>
        <w:t>ã</w:t>
      </w:r>
      <w:r w:rsidRPr="00D5464D">
        <w:rPr>
          <w:lang w:val="pt-BR"/>
        </w:rPr>
        <w:t xml:space="preserve">o </w:t>
      </w:r>
      <w:r w:rsidR="00B45472" w:rsidRPr="00D5464D">
        <w:rPr>
          <w:lang w:val="pt-BR"/>
        </w:rPr>
        <w:t xml:space="preserve">variou </w:t>
      </w:r>
      <w:r w:rsidR="00737270" w:rsidRPr="00D5464D">
        <w:rPr>
          <w:lang w:val="pt-BR"/>
        </w:rPr>
        <w:t>substancialmente</w:t>
      </w:r>
      <w:r w:rsidRPr="00D5464D">
        <w:rPr>
          <w:lang w:val="pt-BR"/>
        </w:rPr>
        <w:t xml:space="preserve"> </w:t>
      </w:r>
      <w:r w:rsidR="00230C71" w:rsidRPr="00D5464D">
        <w:rPr>
          <w:lang w:val="pt-BR"/>
        </w:rPr>
        <w:t>desde a</w:t>
      </w:r>
      <w:r w:rsidR="00E045D9" w:rsidRPr="00D5464D">
        <w:rPr>
          <w:lang w:val="pt-BR"/>
        </w:rPr>
        <w:t xml:space="preserve"> </w:t>
      </w:r>
      <w:r w:rsidRPr="00D5464D">
        <w:rPr>
          <w:lang w:val="pt-BR"/>
        </w:rPr>
        <w:t>Conven</w:t>
      </w:r>
      <w:r w:rsidR="00470ADC" w:rsidRPr="00D5464D">
        <w:rPr>
          <w:lang w:val="pt-BR"/>
        </w:rPr>
        <w:t>ção</w:t>
      </w:r>
      <w:r w:rsidRPr="00D5464D">
        <w:rPr>
          <w:lang w:val="pt-BR"/>
        </w:rPr>
        <w:t xml:space="preserve"> de 1926:</w:t>
      </w:r>
      <w:r w:rsidR="008C4E2D" w:rsidRPr="00D5464D">
        <w:rPr>
          <w:lang w:val="pt-BR"/>
        </w:rPr>
        <w:t xml:space="preserve"> </w:t>
      </w:r>
      <w:r w:rsidR="00470ADC" w:rsidRPr="00D5464D">
        <w:rPr>
          <w:lang w:val="pt-BR"/>
        </w:rPr>
        <w:t xml:space="preserve">“a </w:t>
      </w:r>
      <w:r w:rsidR="000B376D" w:rsidRPr="00D5464D">
        <w:rPr>
          <w:lang w:val="pt-BR"/>
        </w:rPr>
        <w:t>escravidão</w:t>
      </w:r>
      <w:r w:rsidR="00470ADC" w:rsidRPr="00D5464D">
        <w:rPr>
          <w:lang w:val="pt-BR"/>
        </w:rPr>
        <w:t xml:space="preserve"> </w:t>
      </w:r>
      <w:r w:rsidR="00223EEA" w:rsidRPr="00D5464D">
        <w:rPr>
          <w:lang w:val="pt-BR"/>
        </w:rPr>
        <w:t xml:space="preserve">é o estado ou </w:t>
      </w:r>
      <w:r w:rsidR="00DB2B76" w:rsidRPr="00D5464D">
        <w:rPr>
          <w:lang w:val="pt-BR"/>
        </w:rPr>
        <w:t>condição</w:t>
      </w:r>
      <w:r w:rsidR="00223EEA" w:rsidRPr="00D5464D">
        <w:rPr>
          <w:lang w:val="pt-BR"/>
        </w:rPr>
        <w:t xml:space="preserve"> de um </w:t>
      </w:r>
      <w:r w:rsidR="00DB2B76" w:rsidRPr="00D5464D">
        <w:rPr>
          <w:lang w:val="pt-BR"/>
        </w:rPr>
        <w:t>indivíduo</w:t>
      </w:r>
      <w:r w:rsidR="00223EEA" w:rsidRPr="00D5464D">
        <w:rPr>
          <w:lang w:val="pt-BR"/>
        </w:rPr>
        <w:t xml:space="preserve"> sobre o qual se exercem, total ou parcialmente, os atributos do direito de propriedade</w:t>
      </w:r>
      <w:r w:rsidRPr="00D5464D">
        <w:rPr>
          <w:lang w:val="pt-BR"/>
        </w:rPr>
        <w:t>”</w:t>
      </w:r>
      <w:r w:rsidR="00C91CB1" w:rsidRPr="00D5464D">
        <w:rPr>
          <w:lang w:val="pt-BR"/>
        </w:rPr>
        <w:t xml:space="preserve">. Em </w:t>
      </w:r>
      <w:r w:rsidR="00E90FA0" w:rsidRPr="00D5464D">
        <w:rPr>
          <w:lang w:val="pt-BR"/>
        </w:rPr>
        <w:t>rela</w:t>
      </w:r>
      <w:r w:rsidR="00470ADC" w:rsidRPr="00D5464D">
        <w:rPr>
          <w:lang w:val="pt-BR"/>
        </w:rPr>
        <w:t xml:space="preserve">ção </w:t>
      </w:r>
      <w:r w:rsidR="00223EEA" w:rsidRPr="00D5464D">
        <w:rPr>
          <w:lang w:val="pt-BR"/>
        </w:rPr>
        <w:t>a</w:t>
      </w:r>
      <w:r w:rsidR="002C330E" w:rsidRPr="00D5464D">
        <w:rPr>
          <w:lang w:val="pt-BR"/>
        </w:rPr>
        <w:t xml:space="preserve">os </w:t>
      </w:r>
      <w:r w:rsidRPr="00D5464D">
        <w:rPr>
          <w:lang w:val="pt-BR"/>
        </w:rPr>
        <w:t>do</w:t>
      </w:r>
      <w:r w:rsidR="00223EEA" w:rsidRPr="00D5464D">
        <w:rPr>
          <w:lang w:val="pt-BR"/>
        </w:rPr>
        <w:t>i</w:t>
      </w:r>
      <w:r w:rsidRPr="00D5464D">
        <w:rPr>
          <w:lang w:val="pt-BR"/>
        </w:rPr>
        <w:t>s elementos</w:t>
      </w:r>
      <w:r w:rsidR="00470ADC" w:rsidRPr="00D5464D">
        <w:rPr>
          <w:lang w:val="pt-BR"/>
        </w:rPr>
        <w:t xml:space="preserve"> da </w:t>
      </w:r>
      <w:r w:rsidRPr="00D5464D">
        <w:rPr>
          <w:lang w:val="pt-BR"/>
        </w:rPr>
        <w:t>defini</w:t>
      </w:r>
      <w:r w:rsidR="00470ADC" w:rsidRPr="00D5464D">
        <w:rPr>
          <w:lang w:val="pt-BR"/>
        </w:rPr>
        <w:t>ção</w:t>
      </w:r>
      <w:r w:rsidRPr="00D5464D">
        <w:rPr>
          <w:lang w:val="pt-BR"/>
        </w:rPr>
        <w:t xml:space="preserve"> de </w:t>
      </w:r>
      <w:r w:rsidR="000B376D" w:rsidRPr="00D5464D">
        <w:rPr>
          <w:lang w:val="pt-BR"/>
        </w:rPr>
        <w:t>escravidão</w:t>
      </w:r>
      <w:r w:rsidRPr="00D5464D">
        <w:rPr>
          <w:lang w:val="pt-BR"/>
        </w:rPr>
        <w:t xml:space="preserve"> tradicional, o</w:t>
      </w:r>
      <w:r w:rsidR="00223EEA" w:rsidRPr="00D5464D">
        <w:rPr>
          <w:lang w:val="pt-BR"/>
        </w:rPr>
        <w:t>u</w:t>
      </w:r>
      <w:r w:rsidRPr="00D5464D">
        <w:rPr>
          <w:lang w:val="pt-BR"/>
        </w:rPr>
        <w:t xml:space="preserve"> </w:t>
      </w:r>
      <w:r w:rsidRPr="00D5464D">
        <w:rPr>
          <w:i/>
          <w:lang w:val="pt-BR"/>
        </w:rPr>
        <w:t>chattel</w:t>
      </w:r>
      <w:r w:rsidRPr="00D5464D">
        <w:rPr>
          <w:rStyle w:val="Refdenotaalpie"/>
          <w:lang w:val="pt-BR"/>
        </w:rPr>
        <w:footnoteReference w:id="407"/>
      </w:r>
      <w:r w:rsidRPr="00D5464D">
        <w:rPr>
          <w:lang w:val="pt-BR"/>
        </w:rPr>
        <w:t xml:space="preserve"> (estado o</w:t>
      </w:r>
      <w:r w:rsidR="00223EEA" w:rsidRPr="00D5464D">
        <w:rPr>
          <w:lang w:val="pt-BR"/>
        </w:rPr>
        <w:t>u</w:t>
      </w:r>
      <w:r w:rsidRPr="00D5464D">
        <w:rPr>
          <w:lang w:val="pt-BR"/>
        </w:rPr>
        <w:t xml:space="preserve"> condi</w:t>
      </w:r>
      <w:r w:rsidR="00470ADC" w:rsidRPr="00D5464D">
        <w:rPr>
          <w:lang w:val="pt-BR"/>
        </w:rPr>
        <w:t>ção</w:t>
      </w:r>
      <w:r w:rsidRPr="00D5464D">
        <w:rPr>
          <w:lang w:val="pt-BR"/>
        </w:rPr>
        <w:t xml:space="preserve"> de</w:t>
      </w:r>
      <w:r w:rsidR="00E045D9" w:rsidRPr="00D5464D">
        <w:rPr>
          <w:lang w:val="pt-BR"/>
        </w:rPr>
        <w:t xml:space="preserve"> um </w:t>
      </w:r>
      <w:r w:rsidR="002C330E" w:rsidRPr="00D5464D">
        <w:rPr>
          <w:lang w:val="pt-BR"/>
        </w:rPr>
        <w:t>indivíduo</w:t>
      </w:r>
      <w:r w:rsidRPr="00D5464D">
        <w:rPr>
          <w:lang w:val="pt-BR"/>
        </w:rPr>
        <w:t xml:space="preserve">; </w:t>
      </w:r>
      <w:r w:rsidR="00470ADC" w:rsidRPr="00D5464D">
        <w:rPr>
          <w:lang w:val="pt-BR"/>
        </w:rPr>
        <w:t>exercício</w:t>
      </w:r>
      <w:r w:rsidRPr="00D5464D">
        <w:rPr>
          <w:lang w:val="pt-BR"/>
        </w:rPr>
        <w:t xml:space="preserve"> de</w:t>
      </w:r>
      <w:r w:rsidR="00A1358C" w:rsidRPr="00D5464D">
        <w:rPr>
          <w:lang w:val="pt-BR"/>
        </w:rPr>
        <w:t xml:space="preserve"> um </w:t>
      </w:r>
      <w:r w:rsidRPr="00D5464D">
        <w:rPr>
          <w:lang w:val="pt-BR"/>
        </w:rPr>
        <w:t>o</w:t>
      </w:r>
      <w:r w:rsidR="00223EEA" w:rsidRPr="00D5464D">
        <w:rPr>
          <w:lang w:val="pt-BR"/>
        </w:rPr>
        <w:t>u</w:t>
      </w:r>
      <w:r w:rsidRPr="00D5464D">
        <w:rPr>
          <w:lang w:val="pt-BR"/>
        </w:rPr>
        <w:t xml:space="preserve"> </w:t>
      </w:r>
      <w:r w:rsidR="002C330E" w:rsidRPr="00D5464D">
        <w:rPr>
          <w:lang w:val="pt-BR"/>
        </w:rPr>
        <w:t xml:space="preserve">mais </w:t>
      </w:r>
      <w:r w:rsidRPr="00D5464D">
        <w:rPr>
          <w:lang w:val="pt-BR"/>
        </w:rPr>
        <w:t xml:space="preserve">atributos </w:t>
      </w:r>
      <w:r w:rsidR="00470ADC" w:rsidRPr="00D5464D">
        <w:rPr>
          <w:lang w:val="pt-BR"/>
        </w:rPr>
        <w:t>do direito</w:t>
      </w:r>
      <w:r w:rsidRPr="00D5464D">
        <w:rPr>
          <w:lang w:val="pt-BR"/>
        </w:rPr>
        <w:t xml:space="preserve"> de </w:t>
      </w:r>
      <w:r w:rsidR="002C330E" w:rsidRPr="00D5464D">
        <w:rPr>
          <w:lang w:val="pt-BR"/>
        </w:rPr>
        <w:t>propriedade</w:t>
      </w:r>
      <w:r w:rsidRPr="00D5464D">
        <w:rPr>
          <w:lang w:val="pt-BR"/>
        </w:rPr>
        <w:t>) verifica</w:t>
      </w:r>
      <w:r w:rsidR="00223EEA" w:rsidRPr="00D5464D">
        <w:rPr>
          <w:lang w:val="pt-BR"/>
        </w:rPr>
        <w:t>-se</w:t>
      </w:r>
      <w:r w:rsidRPr="00D5464D">
        <w:rPr>
          <w:lang w:val="pt-BR"/>
        </w:rPr>
        <w:t xml:space="preserve"> que: i) </w:t>
      </w:r>
      <w:r w:rsidR="00230C71" w:rsidRPr="00D5464D">
        <w:rPr>
          <w:lang w:val="pt-BR"/>
        </w:rPr>
        <w:t>desde a</w:t>
      </w:r>
      <w:r w:rsidR="00E045D9" w:rsidRPr="00D5464D">
        <w:rPr>
          <w:lang w:val="pt-BR"/>
        </w:rPr>
        <w:t xml:space="preserve"> </w:t>
      </w:r>
      <w:r w:rsidRPr="00D5464D">
        <w:rPr>
          <w:lang w:val="pt-BR"/>
        </w:rPr>
        <w:t>Conven</w:t>
      </w:r>
      <w:r w:rsidR="00470ADC" w:rsidRPr="00D5464D">
        <w:rPr>
          <w:lang w:val="pt-BR"/>
        </w:rPr>
        <w:t>ção</w:t>
      </w:r>
      <w:r w:rsidRPr="00D5464D">
        <w:rPr>
          <w:lang w:val="pt-BR"/>
        </w:rPr>
        <w:t xml:space="preserve"> de 1926</w:t>
      </w:r>
      <w:r w:rsidR="002C330E" w:rsidRPr="00D5464D">
        <w:rPr>
          <w:lang w:val="pt-BR"/>
        </w:rPr>
        <w:t xml:space="preserve"> </w:t>
      </w:r>
      <w:r w:rsidR="004F1CC2" w:rsidRPr="00D5464D">
        <w:rPr>
          <w:lang w:val="pt-BR"/>
        </w:rPr>
        <w:t>o tráfico</w:t>
      </w:r>
      <w:r w:rsidR="000B376D" w:rsidRPr="00D5464D">
        <w:rPr>
          <w:lang w:val="pt-BR"/>
        </w:rPr>
        <w:t xml:space="preserve"> de escravos</w:t>
      </w:r>
      <w:r w:rsidR="00470ADC" w:rsidRPr="00D5464D">
        <w:rPr>
          <w:lang w:val="pt-BR"/>
        </w:rPr>
        <w:t xml:space="preserve"> é </w:t>
      </w:r>
      <w:r w:rsidR="00223EEA" w:rsidRPr="00D5464D">
        <w:rPr>
          <w:lang w:val="pt-BR"/>
        </w:rPr>
        <w:t>equiparado</w:t>
      </w:r>
      <w:r w:rsidR="00470ADC" w:rsidRPr="00D5464D">
        <w:rPr>
          <w:lang w:val="pt-BR"/>
        </w:rPr>
        <w:t xml:space="preserve"> à </w:t>
      </w:r>
      <w:r w:rsidR="000B376D" w:rsidRPr="00D5464D">
        <w:rPr>
          <w:lang w:val="pt-BR"/>
        </w:rPr>
        <w:t>escravidão</w:t>
      </w:r>
      <w:r w:rsidRPr="00D5464D">
        <w:rPr>
          <w:lang w:val="pt-BR"/>
        </w:rPr>
        <w:t xml:space="preserve"> para </w:t>
      </w:r>
      <w:r w:rsidR="00470ADC" w:rsidRPr="00D5464D">
        <w:rPr>
          <w:lang w:val="pt-BR"/>
        </w:rPr>
        <w:t>efeito</w:t>
      </w:r>
      <w:r w:rsidRPr="00D5464D">
        <w:rPr>
          <w:lang w:val="pt-BR"/>
        </w:rPr>
        <w:t>s</w:t>
      </w:r>
      <w:r w:rsidR="00470ADC" w:rsidRPr="00D5464D">
        <w:rPr>
          <w:lang w:val="pt-BR"/>
        </w:rPr>
        <w:t xml:space="preserve"> da </w:t>
      </w:r>
      <w:r w:rsidR="002C330E" w:rsidRPr="00D5464D">
        <w:rPr>
          <w:lang w:val="pt-BR"/>
        </w:rPr>
        <w:t>proibição</w:t>
      </w:r>
      <w:r w:rsidR="00E045D9" w:rsidRPr="00D5464D">
        <w:rPr>
          <w:lang w:val="pt-BR"/>
        </w:rPr>
        <w:t xml:space="preserve"> e </w:t>
      </w:r>
      <w:r w:rsidRPr="00D5464D">
        <w:rPr>
          <w:lang w:val="pt-BR"/>
        </w:rPr>
        <w:t>su</w:t>
      </w:r>
      <w:r w:rsidR="00223EEA" w:rsidRPr="00D5464D">
        <w:rPr>
          <w:lang w:val="pt-BR"/>
        </w:rPr>
        <w:t>a</w:t>
      </w:r>
      <w:r w:rsidRPr="00D5464D">
        <w:rPr>
          <w:lang w:val="pt-BR"/>
        </w:rPr>
        <w:t xml:space="preserve"> elimina</w:t>
      </w:r>
      <w:r w:rsidR="00470ADC" w:rsidRPr="00D5464D">
        <w:rPr>
          <w:lang w:val="pt-BR"/>
        </w:rPr>
        <w:t>ção</w:t>
      </w:r>
      <w:r w:rsidRPr="00D5464D">
        <w:rPr>
          <w:lang w:val="pt-BR"/>
        </w:rPr>
        <w:t>; ii)</w:t>
      </w:r>
      <w:r w:rsidR="002C330E" w:rsidRPr="00D5464D">
        <w:rPr>
          <w:lang w:val="pt-BR"/>
        </w:rPr>
        <w:t xml:space="preserve"> a </w:t>
      </w:r>
      <w:r w:rsidR="00FB26F8" w:rsidRPr="00D5464D">
        <w:rPr>
          <w:lang w:val="pt-BR"/>
        </w:rPr>
        <w:t>Convenção Suplementar de 1956</w:t>
      </w:r>
      <w:r w:rsidRPr="00D5464D">
        <w:rPr>
          <w:lang w:val="pt-BR"/>
        </w:rPr>
        <w:t xml:space="preserve"> </w:t>
      </w:r>
      <w:r w:rsidR="00223EEA" w:rsidRPr="00D5464D">
        <w:rPr>
          <w:lang w:val="pt-BR"/>
        </w:rPr>
        <w:t xml:space="preserve">ampliou </w:t>
      </w:r>
      <w:r w:rsidR="002C330E" w:rsidRPr="00D5464D">
        <w:rPr>
          <w:lang w:val="pt-BR"/>
        </w:rPr>
        <w:t>a proteção</w:t>
      </w:r>
      <w:r w:rsidRPr="00D5464D">
        <w:rPr>
          <w:lang w:val="pt-BR"/>
        </w:rPr>
        <w:t xml:space="preserve"> contra</w:t>
      </w:r>
      <w:r w:rsidR="002C330E" w:rsidRPr="00D5464D">
        <w:rPr>
          <w:lang w:val="pt-BR"/>
        </w:rPr>
        <w:t xml:space="preserve"> a </w:t>
      </w:r>
      <w:r w:rsidR="000B376D" w:rsidRPr="00D5464D">
        <w:rPr>
          <w:lang w:val="pt-BR"/>
        </w:rPr>
        <w:t>escravidão</w:t>
      </w:r>
      <w:r w:rsidRPr="00D5464D">
        <w:rPr>
          <w:lang w:val="pt-BR"/>
        </w:rPr>
        <w:t xml:space="preserve"> </w:t>
      </w:r>
      <w:r w:rsidR="00E045D9" w:rsidRPr="00D5464D">
        <w:rPr>
          <w:lang w:val="pt-BR"/>
        </w:rPr>
        <w:t>também</w:t>
      </w:r>
      <w:r w:rsidRPr="00D5464D">
        <w:rPr>
          <w:lang w:val="pt-BR"/>
        </w:rPr>
        <w:t xml:space="preserve"> para </w:t>
      </w:r>
      <w:r w:rsidR="00041EA2" w:rsidRPr="00D5464D">
        <w:rPr>
          <w:lang w:val="pt-BR"/>
        </w:rPr>
        <w:t xml:space="preserve">as </w:t>
      </w:r>
      <w:r w:rsidRPr="00D5464D">
        <w:rPr>
          <w:lang w:val="pt-BR"/>
        </w:rPr>
        <w:t>“</w:t>
      </w:r>
      <w:r w:rsidR="002C330E" w:rsidRPr="00D5464D">
        <w:rPr>
          <w:lang w:val="pt-BR"/>
        </w:rPr>
        <w:t>instituições</w:t>
      </w:r>
      <w:r w:rsidR="00E045D9" w:rsidRPr="00D5464D">
        <w:rPr>
          <w:lang w:val="pt-BR"/>
        </w:rPr>
        <w:t xml:space="preserve"> e </w:t>
      </w:r>
      <w:r w:rsidR="002C330E" w:rsidRPr="00D5464D">
        <w:rPr>
          <w:lang w:val="pt-BR"/>
        </w:rPr>
        <w:t>prática</w:t>
      </w:r>
      <w:r w:rsidRPr="00D5464D">
        <w:rPr>
          <w:lang w:val="pt-BR"/>
        </w:rPr>
        <w:t xml:space="preserve">s </w:t>
      </w:r>
      <w:r w:rsidR="006665EF" w:rsidRPr="00D5464D">
        <w:rPr>
          <w:lang w:val="pt-BR"/>
        </w:rPr>
        <w:t>análogas</w:t>
      </w:r>
      <w:r w:rsidR="00350187" w:rsidRPr="00D5464D">
        <w:rPr>
          <w:lang w:val="pt-BR"/>
        </w:rPr>
        <w:t xml:space="preserve"> </w:t>
      </w:r>
      <w:r w:rsidR="00470ADC" w:rsidRPr="00D5464D">
        <w:rPr>
          <w:lang w:val="pt-BR"/>
        </w:rPr>
        <w:t xml:space="preserve">à </w:t>
      </w:r>
      <w:r w:rsidR="000B376D" w:rsidRPr="00D5464D">
        <w:rPr>
          <w:lang w:val="pt-BR"/>
        </w:rPr>
        <w:t>escravidão</w:t>
      </w:r>
      <w:r w:rsidRPr="00D5464D">
        <w:rPr>
          <w:lang w:val="pt-BR"/>
        </w:rPr>
        <w:t>”, como</w:t>
      </w:r>
      <w:r w:rsidR="002C330E" w:rsidRPr="00D5464D">
        <w:rPr>
          <w:lang w:val="pt-BR"/>
        </w:rPr>
        <w:t xml:space="preserve"> a </w:t>
      </w:r>
      <w:r w:rsidR="000B376D" w:rsidRPr="00D5464D">
        <w:rPr>
          <w:lang w:val="pt-BR"/>
        </w:rPr>
        <w:t>servidão</w:t>
      </w:r>
      <w:r w:rsidRPr="00D5464D">
        <w:rPr>
          <w:lang w:val="pt-BR"/>
        </w:rPr>
        <w:t xml:space="preserve"> por </w:t>
      </w:r>
      <w:r w:rsidR="00470ADC" w:rsidRPr="00D5464D">
        <w:rPr>
          <w:lang w:val="pt-BR"/>
        </w:rPr>
        <w:t>dívida</w:t>
      </w:r>
      <w:r w:rsidRPr="00D5464D">
        <w:rPr>
          <w:lang w:val="pt-BR"/>
        </w:rPr>
        <w:t>s,</w:t>
      </w:r>
      <w:r w:rsidR="002C330E" w:rsidRPr="00D5464D">
        <w:rPr>
          <w:lang w:val="pt-BR"/>
        </w:rPr>
        <w:t xml:space="preserve"> a </w:t>
      </w:r>
      <w:r w:rsidR="000B376D" w:rsidRPr="00D5464D">
        <w:rPr>
          <w:lang w:val="pt-BR"/>
        </w:rPr>
        <w:t>servidão</w:t>
      </w:r>
      <w:r w:rsidRPr="00D5464D">
        <w:rPr>
          <w:lang w:val="pt-BR"/>
        </w:rPr>
        <w:t xml:space="preserve">, entre </w:t>
      </w:r>
      <w:r w:rsidR="002C330E" w:rsidRPr="00D5464D">
        <w:rPr>
          <w:lang w:val="pt-BR"/>
        </w:rPr>
        <w:t>outra</w:t>
      </w:r>
      <w:r w:rsidRPr="00D5464D">
        <w:rPr>
          <w:lang w:val="pt-BR"/>
        </w:rPr>
        <w:t>s,</w:t>
      </w:r>
      <w:r w:rsidRPr="00D5464D">
        <w:rPr>
          <w:rStyle w:val="Refdenotaalpie"/>
          <w:lang w:val="pt-BR"/>
        </w:rPr>
        <w:footnoteReference w:id="408"/>
      </w:r>
      <w:r w:rsidRPr="00D5464D">
        <w:rPr>
          <w:lang w:val="pt-BR"/>
        </w:rPr>
        <w:t xml:space="preserve"> </w:t>
      </w:r>
      <w:r w:rsidR="00350187" w:rsidRPr="00D5464D">
        <w:rPr>
          <w:lang w:val="pt-BR"/>
        </w:rPr>
        <w:t xml:space="preserve">além de </w:t>
      </w:r>
      <w:r w:rsidRPr="00D5464D">
        <w:rPr>
          <w:lang w:val="pt-BR"/>
        </w:rPr>
        <w:t>precisar</w:t>
      </w:r>
      <w:r w:rsidR="002C330E" w:rsidRPr="00D5464D">
        <w:rPr>
          <w:lang w:val="pt-BR"/>
        </w:rPr>
        <w:t xml:space="preserve"> a proibição</w:t>
      </w:r>
      <w:r w:rsidR="00E045D9" w:rsidRPr="00D5464D">
        <w:rPr>
          <w:lang w:val="pt-BR"/>
        </w:rPr>
        <w:t xml:space="preserve"> e </w:t>
      </w:r>
      <w:r w:rsidR="002C330E" w:rsidRPr="00D5464D">
        <w:rPr>
          <w:lang w:val="pt-BR"/>
        </w:rPr>
        <w:t>as obrigações</w:t>
      </w:r>
      <w:r w:rsidR="00470ADC" w:rsidRPr="00D5464D">
        <w:rPr>
          <w:lang w:val="pt-BR"/>
        </w:rPr>
        <w:t xml:space="preserve"> dos </w:t>
      </w:r>
      <w:r w:rsidR="00EC100E" w:rsidRPr="00D5464D">
        <w:rPr>
          <w:lang w:val="pt-BR"/>
        </w:rPr>
        <w:t xml:space="preserve">Estados </w:t>
      </w:r>
      <w:r w:rsidR="00223EEA" w:rsidRPr="00D5464D">
        <w:rPr>
          <w:lang w:val="pt-BR"/>
        </w:rPr>
        <w:t xml:space="preserve">com </w:t>
      </w:r>
      <w:r w:rsidR="002C330E" w:rsidRPr="00D5464D">
        <w:rPr>
          <w:lang w:val="pt-BR"/>
        </w:rPr>
        <w:t>respeito</w:t>
      </w:r>
      <w:r w:rsidR="00470ADC" w:rsidRPr="00D5464D">
        <w:rPr>
          <w:lang w:val="pt-BR"/>
        </w:rPr>
        <w:t xml:space="preserve"> </w:t>
      </w:r>
      <w:r w:rsidR="00223EEA" w:rsidRPr="00D5464D">
        <w:rPr>
          <w:lang w:val="pt-BR"/>
        </w:rPr>
        <w:t>ao tráfico</w:t>
      </w:r>
      <w:r w:rsidR="002A0C2B" w:rsidRPr="00D5464D">
        <w:rPr>
          <w:lang w:val="pt-BR"/>
        </w:rPr>
        <w:t xml:space="preserve"> e </w:t>
      </w:r>
      <w:r w:rsidRPr="00D5464D">
        <w:rPr>
          <w:lang w:val="pt-BR"/>
        </w:rPr>
        <w:t>iii)</w:t>
      </w:r>
      <w:r w:rsidR="00470ADC" w:rsidRPr="00D5464D">
        <w:rPr>
          <w:lang w:val="pt-BR"/>
        </w:rPr>
        <w:t xml:space="preserve"> o </w:t>
      </w:r>
      <w:r w:rsidRPr="00D5464D">
        <w:rPr>
          <w:lang w:val="pt-BR"/>
        </w:rPr>
        <w:t>Estatuto de Roma</w:t>
      </w:r>
      <w:r w:rsidR="00E045D9" w:rsidRPr="00D5464D">
        <w:rPr>
          <w:lang w:val="pt-BR"/>
        </w:rPr>
        <w:t xml:space="preserve"> e </w:t>
      </w:r>
      <w:r w:rsidR="002C330E" w:rsidRPr="00D5464D">
        <w:rPr>
          <w:lang w:val="pt-BR"/>
        </w:rPr>
        <w:t xml:space="preserve">a </w:t>
      </w:r>
      <w:r w:rsidR="00470ADC" w:rsidRPr="00D5464D">
        <w:rPr>
          <w:lang w:val="pt-BR"/>
        </w:rPr>
        <w:t>Comissão</w:t>
      </w:r>
      <w:r w:rsidRPr="00D5464D">
        <w:rPr>
          <w:lang w:val="pt-BR"/>
        </w:rPr>
        <w:t xml:space="preserve"> de </w:t>
      </w:r>
      <w:r w:rsidR="00E765C2" w:rsidRPr="00D5464D">
        <w:rPr>
          <w:lang w:val="pt-BR"/>
        </w:rPr>
        <w:t>Direito Internacional</w:t>
      </w:r>
      <w:r w:rsidRPr="00D5464D">
        <w:rPr>
          <w:lang w:val="pt-BR"/>
        </w:rPr>
        <w:t xml:space="preserve"> </w:t>
      </w:r>
      <w:r w:rsidR="00737270" w:rsidRPr="00D5464D">
        <w:rPr>
          <w:lang w:val="pt-BR"/>
        </w:rPr>
        <w:t>acrescentaram</w:t>
      </w:r>
      <w:r w:rsidR="00470ADC" w:rsidRPr="00D5464D">
        <w:rPr>
          <w:lang w:val="pt-BR"/>
        </w:rPr>
        <w:t xml:space="preserve"> o </w:t>
      </w:r>
      <w:r w:rsidRPr="00D5464D">
        <w:rPr>
          <w:lang w:val="pt-BR"/>
        </w:rPr>
        <w:t>“</w:t>
      </w:r>
      <w:r w:rsidR="00470ADC" w:rsidRPr="00D5464D">
        <w:rPr>
          <w:lang w:val="pt-BR"/>
        </w:rPr>
        <w:t xml:space="preserve">exercício dos </w:t>
      </w:r>
      <w:r w:rsidRPr="00D5464D">
        <w:rPr>
          <w:lang w:val="pt-BR"/>
        </w:rPr>
        <w:t xml:space="preserve">atributos </w:t>
      </w:r>
      <w:r w:rsidR="00470ADC" w:rsidRPr="00D5464D">
        <w:rPr>
          <w:lang w:val="pt-BR"/>
        </w:rPr>
        <w:t>do direito</w:t>
      </w:r>
      <w:r w:rsidRPr="00D5464D">
        <w:rPr>
          <w:lang w:val="pt-BR"/>
        </w:rPr>
        <w:t xml:space="preserve"> de </w:t>
      </w:r>
      <w:r w:rsidR="002C330E" w:rsidRPr="00D5464D">
        <w:rPr>
          <w:lang w:val="pt-BR"/>
        </w:rPr>
        <w:t>propriedade</w:t>
      </w:r>
      <w:r w:rsidR="00E045D9" w:rsidRPr="00D5464D">
        <w:rPr>
          <w:lang w:val="pt-BR"/>
        </w:rPr>
        <w:t xml:space="preserve"> no </w:t>
      </w:r>
      <w:r w:rsidRPr="00D5464D">
        <w:rPr>
          <w:lang w:val="pt-BR"/>
        </w:rPr>
        <w:t xml:space="preserve">tráfico de </w:t>
      </w:r>
      <w:r w:rsidR="002C330E" w:rsidRPr="00D5464D">
        <w:rPr>
          <w:lang w:val="pt-BR"/>
        </w:rPr>
        <w:t>pessoa</w:t>
      </w:r>
      <w:r w:rsidRPr="00D5464D">
        <w:rPr>
          <w:lang w:val="pt-BR"/>
        </w:rPr>
        <w:t>s”</w:t>
      </w:r>
      <w:r w:rsidR="00470ADC" w:rsidRPr="00D5464D">
        <w:rPr>
          <w:lang w:val="pt-BR"/>
        </w:rPr>
        <w:t xml:space="preserve"> à </w:t>
      </w:r>
      <w:r w:rsidRPr="00D5464D">
        <w:rPr>
          <w:lang w:val="pt-BR"/>
        </w:rPr>
        <w:t>defini</w:t>
      </w:r>
      <w:r w:rsidR="00470ADC" w:rsidRPr="00D5464D">
        <w:rPr>
          <w:lang w:val="pt-BR"/>
        </w:rPr>
        <w:t>ção</w:t>
      </w:r>
      <w:r w:rsidRPr="00D5464D">
        <w:rPr>
          <w:lang w:val="pt-BR"/>
        </w:rPr>
        <w:t xml:space="preserve"> de </w:t>
      </w:r>
      <w:r w:rsidR="000B376D" w:rsidRPr="00D5464D">
        <w:rPr>
          <w:lang w:val="pt-BR"/>
        </w:rPr>
        <w:t>escravidão</w:t>
      </w:r>
      <w:r w:rsidRPr="00D5464D">
        <w:rPr>
          <w:lang w:val="pt-BR"/>
        </w:rPr>
        <w:t xml:space="preserve">. </w:t>
      </w:r>
    </w:p>
    <w:p w14:paraId="23A3CA82" w14:textId="77777777" w:rsidR="00207197" w:rsidRPr="00D5464D" w:rsidRDefault="00207197" w:rsidP="00140440">
      <w:pPr>
        <w:jc w:val="both"/>
        <w:rPr>
          <w:lang w:val="pt-BR"/>
        </w:rPr>
      </w:pPr>
    </w:p>
    <w:p w14:paraId="5D9C9FD6" w14:textId="4496E4BE" w:rsidR="00207197" w:rsidRPr="00D5464D" w:rsidRDefault="005D2CE2" w:rsidP="005D2CE2">
      <w:pPr>
        <w:pStyle w:val="Ttulo3"/>
        <w:rPr>
          <w:lang w:val="pt-BR"/>
        </w:rPr>
      </w:pPr>
      <w:bookmarkStart w:id="395" w:name="_Toc468433922"/>
      <w:r w:rsidRPr="00D5464D">
        <w:rPr>
          <w:lang w:val="pt-BR"/>
        </w:rPr>
        <w:t>B.3</w:t>
      </w:r>
      <w:r w:rsidR="00CB7E29" w:rsidRPr="00D5464D">
        <w:rPr>
          <w:lang w:val="pt-BR"/>
        </w:rPr>
        <w:t>.</w:t>
      </w:r>
      <w:r w:rsidR="00207197" w:rsidRPr="00D5464D">
        <w:rPr>
          <w:lang w:val="pt-BR"/>
        </w:rPr>
        <w:t xml:space="preserve"> Elementos</w:t>
      </w:r>
      <w:r w:rsidR="007F203E" w:rsidRPr="00D5464D">
        <w:rPr>
          <w:lang w:val="pt-BR"/>
        </w:rPr>
        <w:t xml:space="preserve"> </w:t>
      </w:r>
      <w:r w:rsidR="00470ADC" w:rsidRPr="00D5464D">
        <w:rPr>
          <w:lang w:val="pt-BR"/>
        </w:rPr>
        <w:t>do conceito</w:t>
      </w:r>
      <w:r w:rsidR="007F203E" w:rsidRPr="00D5464D">
        <w:rPr>
          <w:lang w:val="pt-BR"/>
        </w:rPr>
        <w:t xml:space="preserve"> de </w:t>
      </w:r>
      <w:r w:rsidR="000B376D" w:rsidRPr="00D5464D">
        <w:rPr>
          <w:lang w:val="pt-BR"/>
        </w:rPr>
        <w:t>escravidão</w:t>
      </w:r>
      <w:bookmarkEnd w:id="395"/>
    </w:p>
    <w:p w14:paraId="5CACC0F0" w14:textId="77777777" w:rsidR="00207197" w:rsidRPr="00D5464D" w:rsidRDefault="00207197" w:rsidP="00140440">
      <w:pPr>
        <w:jc w:val="both"/>
        <w:rPr>
          <w:lang w:val="pt-BR"/>
        </w:rPr>
      </w:pPr>
    </w:p>
    <w:p w14:paraId="6A729C1D" w14:textId="24D1B9B2" w:rsidR="00207197" w:rsidRPr="00D5464D" w:rsidRDefault="00207197" w:rsidP="00F37DC4">
      <w:pPr>
        <w:pStyle w:val="Prrafodelista"/>
        <w:numPr>
          <w:ilvl w:val="0"/>
          <w:numId w:val="1"/>
        </w:numPr>
        <w:contextualSpacing w:val="0"/>
        <w:rPr>
          <w:lang w:val="pt-BR"/>
        </w:rPr>
      </w:pPr>
      <w:r w:rsidRPr="00D5464D">
        <w:rPr>
          <w:lang w:val="pt-BR"/>
        </w:rPr>
        <w:t xml:space="preserve">A partir </w:t>
      </w:r>
      <w:r w:rsidR="00470ADC" w:rsidRPr="00D5464D">
        <w:rPr>
          <w:lang w:val="pt-BR"/>
        </w:rPr>
        <w:t>do desenvolvimento do conceito</w:t>
      </w:r>
      <w:r w:rsidRPr="00D5464D">
        <w:rPr>
          <w:lang w:val="pt-BR"/>
        </w:rPr>
        <w:t xml:space="preserve"> de </w:t>
      </w:r>
      <w:r w:rsidR="000B376D" w:rsidRPr="00D5464D">
        <w:rPr>
          <w:lang w:val="pt-BR"/>
        </w:rPr>
        <w:t>escravidão</w:t>
      </w:r>
      <w:r w:rsidR="00E045D9" w:rsidRPr="00D5464D">
        <w:rPr>
          <w:lang w:val="pt-BR"/>
        </w:rPr>
        <w:t xml:space="preserve"> no </w:t>
      </w:r>
      <w:r w:rsidR="00E765C2" w:rsidRPr="00D5464D">
        <w:rPr>
          <w:lang w:val="pt-BR"/>
        </w:rPr>
        <w:t>Direito Internacional</w:t>
      </w:r>
      <w:r w:rsidR="00E045D9" w:rsidRPr="00D5464D">
        <w:rPr>
          <w:lang w:val="pt-BR"/>
        </w:rPr>
        <w:t xml:space="preserve"> e </w:t>
      </w:r>
      <w:r w:rsidR="00470ADC" w:rsidRPr="00D5464D">
        <w:rPr>
          <w:lang w:val="pt-BR"/>
        </w:rPr>
        <w:t xml:space="preserve">da </w:t>
      </w:r>
      <w:r w:rsidR="002C330E" w:rsidRPr="00D5464D">
        <w:rPr>
          <w:lang w:val="pt-BR"/>
        </w:rPr>
        <w:t>proibição</w:t>
      </w:r>
      <w:r w:rsidRPr="00D5464D">
        <w:rPr>
          <w:lang w:val="pt-BR"/>
        </w:rPr>
        <w:t xml:space="preserve"> </w:t>
      </w:r>
      <w:r w:rsidR="00470ADC" w:rsidRPr="00D5464D">
        <w:rPr>
          <w:lang w:val="pt-BR"/>
        </w:rPr>
        <w:t>estabelecid</w:t>
      </w:r>
      <w:r w:rsidRPr="00D5464D">
        <w:rPr>
          <w:lang w:val="pt-BR"/>
        </w:rPr>
        <w:t>a</w:t>
      </w:r>
      <w:r w:rsidR="00E045D9" w:rsidRPr="00D5464D">
        <w:rPr>
          <w:lang w:val="pt-BR"/>
        </w:rPr>
        <w:t xml:space="preserve"> no </w:t>
      </w:r>
      <w:r w:rsidR="00470ADC" w:rsidRPr="00D5464D">
        <w:rPr>
          <w:lang w:val="pt-BR"/>
        </w:rPr>
        <w:t>artigo</w:t>
      </w:r>
      <w:r w:rsidRPr="00D5464D">
        <w:rPr>
          <w:lang w:val="pt-BR"/>
        </w:rPr>
        <w:t xml:space="preserve"> 6</w:t>
      </w:r>
      <w:r w:rsidR="00470ADC" w:rsidRPr="00D5464D">
        <w:rPr>
          <w:lang w:val="pt-BR"/>
        </w:rPr>
        <w:t xml:space="preserve"> da </w:t>
      </w:r>
      <w:r w:rsidRPr="00D5464D">
        <w:rPr>
          <w:lang w:val="pt-BR"/>
        </w:rPr>
        <w:t>Conven</w:t>
      </w:r>
      <w:r w:rsidR="00470ADC" w:rsidRPr="00D5464D">
        <w:rPr>
          <w:lang w:val="pt-BR"/>
        </w:rPr>
        <w:t>ção</w:t>
      </w:r>
      <w:r w:rsidRPr="00D5464D">
        <w:rPr>
          <w:lang w:val="pt-BR"/>
        </w:rPr>
        <w:t xml:space="preserve"> Americana sobre </w:t>
      </w:r>
      <w:r w:rsidR="00470ADC" w:rsidRPr="00D5464D">
        <w:rPr>
          <w:lang w:val="pt-BR"/>
        </w:rPr>
        <w:t>Direito</w:t>
      </w:r>
      <w:r w:rsidRPr="00D5464D">
        <w:rPr>
          <w:lang w:val="pt-BR"/>
        </w:rPr>
        <w:t>s Humanos,</w:t>
      </w:r>
      <w:r w:rsidR="002C330E" w:rsidRPr="00D5464D">
        <w:rPr>
          <w:lang w:val="pt-BR"/>
        </w:rPr>
        <w:t xml:space="preserve"> a </w:t>
      </w:r>
      <w:r w:rsidR="00DD3E22" w:rsidRPr="00D5464D">
        <w:rPr>
          <w:lang w:val="pt-BR"/>
        </w:rPr>
        <w:t>Corte observa que e</w:t>
      </w:r>
      <w:r w:rsidR="00592688" w:rsidRPr="00D5464D">
        <w:rPr>
          <w:lang w:val="pt-BR"/>
        </w:rPr>
        <w:t>ste</w:t>
      </w:r>
      <w:r w:rsidR="00DD3E22" w:rsidRPr="00D5464D">
        <w:rPr>
          <w:lang w:val="pt-BR"/>
        </w:rPr>
        <w:t xml:space="preserve"> </w:t>
      </w:r>
      <w:r w:rsidR="00470ADC" w:rsidRPr="00D5464D">
        <w:rPr>
          <w:lang w:val="pt-BR"/>
        </w:rPr>
        <w:t>conceito</w:t>
      </w:r>
      <w:r w:rsidR="00DD3E22" w:rsidRPr="00D5464D">
        <w:rPr>
          <w:lang w:val="pt-BR"/>
        </w:rPr>
        <w:t xml:space="preserve"> </w:t>
      </w:r>
      <w:r w:rsidR="001F3394" w:rsidRPr="00D5464D">
        <w:rPr>
          <w:lang w:val="pt-BR"/>
        </w:rPr>
        <w:t xml:space="preserve">evoluiu </w:t>
      </w:r>
      <w:r w:rsidR="00E045D9" w:rsidRPr="00D5464D">
        <w:rPr>
          <w:lang w:val="pt-BR"/>
        </w:rPr>
        <w:t xml:space="preserve">e já </w:t>
      </w:r>
      <w:r w:rsidR="00DD3E22" w:rsidRPr="00D5464D">
        <w:rPr>
          <w:lang w:val="pt-BR"/>
        </w:rPr>
        <w:t>n</w:t>
      </w:r>
      <w:r w:rsidR="001F3394" w:rsidRPr="00D5464D">
        <w:rPr>
          <w:lang w:val="pt-BR"/>
        </w:rPr>
        <w:t>ã</w:t>
      </w:r>
      <w:r w:rsidR="00DD3E22" w:rsidRPr="00D5464D">
        <w:rPr>
          <w:lang w:val="pt-BR"/>
        </w:rPr>
        <w:t>o se limita</w:t>
      </w:r>
      <w:r w:rsidR="00470ADC" w:rsidRPr="00D5464D">
        <w:rPr>
          <w:lang w:val="pt-BR"/>
        </w:rPr>
        <w:t xml:space="preserve"> à </w:t>
      </w:r>
      <w:r w:rsidR="002C330E" w:rsidRPr="00D5464D">
        <w:rPr>
          <w:lang w:val="pt-BR"/>
        </w:rPr>
        <w:t>propriedade</w:t>
      </w:r>
      <w:r w:rsidR="00DD3E22" w:rsidRPr="00D5464D">
        <w:rPr>
          <w:lang w:val="pt-BR"/>
        </w:rPr>
        <w:t xml:space="preserve"> sobre</w:t>
      </w:r>
      <w:r w:rsidR="002C330E" w:rsidRPr="00D5464D">
        <w:rPr>
          <w:lang w:val="pt-BR"/>
        </w:rPr>
        <w:t xml:space="preserve"> a pessoa</w:t>
      </w:r>
      <w:r w:rsidR="00A1358C" w:rsidRPr="00D5464D">
        <w:rPr>
          <w:lang w:val="pt-BR"/>
        </w:rPr>
        <w:t xml:space="preserve">. A </w:t>
      </w:r>
      <w:r w:rsidR="00737270" w:rsidRPr="00D5464D">
        <w:rPr>
          <w:lang w:val="pt-BR"/>
        </w:rPr>
        <w:t>es</w:t>
      </w:r>
      <w:r w:rsidR="00BC37B2" w:rsidRPr="00D5464D">
        <w:rPr>
          <w:lang w:val="pt-BR"/>
        </w:rPr>
        <w:t>s</w:t>
      </w:r>
      <w:r w:rsidR="00737270" w:rsidRPr="00D5464D">
        <w:rPr>
          <w:lang w:val="pt-BR"/>
        </w:rPr>
        <w:t>e respeito</w:t>
      </w:r>
      <w:r w:rsidR="00770BC5" w:rsidRPr="00D5464D">
        <w:rPr>
          <w:lang w:val="pt-BR"/>
        </w:rPr>
        <w:t>,</w:t>
      </w:r>
      <w:r w:rsidR="002C330E" w:rsidRPr="00D5464D">
        <w:rPr>
          <w:lang w:val="pt-BR"/>
        </w:rPr>
        <w:t xml:space="preserve"> a </w:t>
      </w:r>
      <w:r w:rsidRPr="00D5464D">
        <w:rPr>
          <w:lang w:val="pt-BR"/>
        </w:rPr>
        <w:t>Corte considera que</w:t>
      </w:r>
      <w:r w:rsidR="002C330E" w:rsidRPr="00D5464D">
        <w:rPr>
          <w:lang w:val="pt-BR"/>
        </w:rPr>
        <w:t xml:space="preserve"> os </w:t>
      </w:r>
      <w:r w:rsidRPr="00D5464D">
        <w:rPr>
          <w:lang w:val="pt-BR"/>
        </w:rPr>
        <w:t>do</w:t>
      </w:r>
      <w:r w:rsidR="001F3394" w:rsidRPr="00D5464D">
        <w:rPr>
          <w:lang w:val="pt-BR"/>
        </w:rPr>
        <w:t>i</w:t>
      </w:r>
      <w:r w:rsidRPr="00D5464D">
        <w:rPr>
          <w:lang w:val="pt-BR"/>
        </w:rPr>
        <w:t xml:space="preserve">s elementos </w:t>
      </w:r>
      <w:r w:rsidR="002C330E" w:rsidRPr="00D5464D">
        <w:rPr>
          <w:lang w:val="pt-BR"/>
        </w:rPr>
        <w:t>fundamentais</w:t>
      </w:r>
      <w:r w:rsidRPr="00D5464D">
        <w:rPr>
          <w:lang w:val="pt-BR"/>
        </w:rPr>
        <w:t xml:space="preserve"> para definir</w:t>
      </w:r>
      <w:r w:rsidR="00E045D9" w:rsidRPr="00D5464D">
        <w:rPr>
          <w:lang w:val="pt-BR"/>
        </w:rPr>
        <w:t xml:space="preserve"> uma </w:t>
      </w:r>
      <w:r w:rsidRPr="00D5464D">
        <w:rPr>
          <w:lang w:val="pt-BR"/>
        </w:rPr>
        <w:t>situa</w:t>
      </w:r>
      <w:r w:rsidR="00470ADC" w:rsidRPr="00D5464D">
        <w:rPr>
          <w:lang w:val="pt-BR"/>
        </w:rPr>
        <w:t>ção</w:t>
      </w:r>
      <w:r w:rsidRPr="00D5464D">
        <w:rPr>
          <w:lang w:val="pt-BR"/>
        </w:rPr>
        <w:t xml:space="preserve"> como </w:t>
      </w:r>
      <w:r w:rsidR="000B376D" w:rsidRPr="00D5464D">
        <w:rPr>
          <w:lang w:val="pt-BR"/>
        </w:rPr>
        <w:t>escravidão</w:t>
      </w:r>
      <w:r w:rsidR="00737270" w:rsidRPr="00D5464D">
        <w:rPr>
          <w:lang w:val="pt-BR"/>
        </w:rPr>
        <w:t xml:space="preserve"> são:</w:t>
      </w:r>
      <w:r w:rsidRPr="00D5464D">
        <w:rPr>
          <w:lang w:val="pt-BR"/>
        </w:rPr>
        <w:t xml:space="preserve"> i)</w:t>
      </w:r>
      <w:r w:rsidR="00470ADC" w:rsidRPr="00D5464D">
        <w:rPr>
          <w:lang w:val="pt-BR"/>
        </w:rPr>
        <w:t xml:space="preserve"> o </w:t>
      </w:r>
      <w:r w:rsidRPr="00D5464D">
        <w:rPr>
          <w:lang w:val="pt-BR"/>
        </w:rPr>
        <w:t>estado o</w:t>
      </w:r>
      <w:r w:rsidR="001F3394" w:rsidRPr="00D5464D">
        <w:rPr>
          <w:lang w:val="pt-BR"/>
        </w:rPr>
        <w:t>u</w:t>
      </w:r>
      <w:r w:rsidRPr="00D5464D">
        <w:rPr>
          <w:lang w:val="pt-BR"/>
        </w:rPr>
        <w:t xml:space="preserve"> condi</w:t>
      </w:r>
      <w:r w:rsidR="00470ADC" w:rsidRPr="00D5464D">
        <w:rPr>
          <w:lang w:val="pt-BR"/>
        </w:rPr>
        <w:t>ção</w:t>
      </w:r>
      <w:r w:rsidRPr="00D5464D">
        <w:rPr>
          <w:lang w:val="pt-BR"/>
        </w:rPr>
        <w:t xml:space="preserve"> de</w:t>
      </w:r>
      <w:r w:rsidR="00E045D9" w:rsidRPr="00D5464D">
        <w:rPr>
          <w:lang w:val="pt-BR"/>
        </w:rPr>
        <w:t xml:space="preserve"> um </w:t>
      </w:r>
      <w:r w:rsidR="002C330E" w:rsidRPr="00D5464D">
        <w:rPr>
          <w:lang w:val="pt-BR"/>
        </w:rPr>
        <w:t>indivíduo</w:t>
      </w:r>
      <w:r w:rsidR="00E045D9" w:rsidRPr="00D5464D">
        <w:rPr>
          <w:lang w:val="pt-BR"/>
        </w:rPr>
        <w:t xml:space="preserve"> e </w:t>
      </w:r>
      <w:r w:rsidRPr="00D5464D">
        <w:rPr>
          <w:lang w:val="pt-BR"/>
        </w:rPr>
        <w:t>ii)</w:t>
      </w:r>
      <w:r w:rsidR="00470ADC" w:rsidRPr="00D5464D">
        <w:rPr>
          <w:lang w:val="pt-BR"/>
        </w:rPr>
        <w:t xml:space="preserve"> o exercício</w:t>
      </w:r>
      <w:r w:rsidRPr="00D5464D">
        <w:rPr>
          <w:lang w:val="pt-BR"/>
        </w:rPr>
        <w:t xml:space="preserve"> de </w:t>
      </w:r>
      <w:r w:rsidR="00470ADC" w:rsidRPr="00D5464D">
        <w:rPr>
          <w:lang w:val="pt-BR"/>
        </w:rPr>
        <w:t xml:space="preserve">algum dos </w:t>
      </w:r>
      <w:r w:rsidRPr="00D5464D">
        <w:rPr>
          <w:lang w:val="pt-BR"/>
        </w:rPr>
        <w:t xml:space="preserve">atributos </w:t>
      </w:r>
      <w:r w:rsidR="00470ADC" w:rsidRPr="00D5464D">
        <w:rPr>
          <w:lang w:val="pt-BR"/>
        </w:rPr>
        <w:t>do direito</w:t>
      </w:r>
      <w:r w:rsidRPr="00D5464D">
        <w:rPr>
          <w:lang w:val="pt-BR"/>
        </w:rPr>
        <w:t xml:space="preserve"> de </w:t>
      </w:r>
      <w:r w:rsidR="002C330E" w:rsidRPr="00D5464D">
        <w:rPr>
          <w:lang w:val="pt-BR"/>
        </w:rPr>
        <w:t>propriedade</w:t>
      </w:r>
      <w:r w:rsidR="00A1358C" w:rsidRPr="00D5464D">
        <w:rPr>
          <w:lang w:val="pt-BR"/>
        </w:rPr>
        <w:t>, isto é,</w:t>
      </w:r>
      <w:r w:rsidRPr="00D5464D">
        <w:rPr>
          <w:lang w:val="pt-BR"/>
        </w:rPr>
        <w:t xml:space="preserve"> que</w:t>
      </w:r>
      <w:r w:rsidR="00470ADC" w:rsidRPr="00D5464D">
        <w:rPr>
          <w:lang w:val="pt-BR"/>
        </w:rPr>
        <w:t xml:space="preserve"> o </w:t>
      </w:r>
      <w:r w:rsidR="003E22C8" w:rsidRPr="00D5464D">
        <w:rPr>
          <w:lang w:val="pt-BR"/>
        </w:rPr>
        <w:t>escravi</w:t>
      </w:r>
      <w:r w:rsidRPr="00D5464D">
        <w:rPr>
          <w:lang w:val="pt-BR"/>
        </w:rPr>
        <w:t xml:space="preserve">zador </w:t>
      </w:r>
      <w:r w:rsidR="00C91CB1" w:rsidRPr="00D5464D">
        <w:rPr>
          <w:lang w:val="pt-BR"/>
        </w:rPr>
        <w:t>exerça</w:t>
      </w:r>
      <w:r w:rsidRPr="00D5464D">
        <w:rPr>
          <w:lang w:val="pt-BR"/>
        </w:rPr>
        <w:t xml:space="preserve"> poder o</w:t>
      </w:r>
      <w:r w:rsidR="001F3394" w:rsidRPr="00D5464D">
        <w:rPr>
          <w:lang w:val="pt-BR"/>
        </w:rPr>
        <w:t>u</w:t>
      </w:r>
      <w:r w:rsidRPr="00D5464D">
        <w:rPr>
          <w:lang w:val="pt-BR"/>
        </w:rPr>
        <w:t xml:space="preserve"> </w:t>
      </w:r>
      <w:r w:rsidR="00470ADC" w:rsidRPr="00D5464D">
        <w:rPr>
          <w:lang w:val="pt-BR"/>
        </w:rPr>
        <w:t xml:space="preserve">controle </w:t>
      </w:r>
      <w:r w:rsidRPr="00D5464D">
        <w:rPr>
          <w:lang w:val="pt-BR"/>
        </w:rPr>
        <w:t>sobre</w:t>
      </w:r>
      <w:r w:rsidR="002C330E" w:rsidRPr="00D5464D">
        <w:rPr>
          <w:lang w:val="pt-BR"/>
        </w:rPr>
        <w:t xml:space="preserve"> a pessoa</w:t>
      </w:r>
      <w:r w:rsidRPr="00D5464D">
        <w:rPr>
          <w:lang w:val="pt-BR"/>
        </w:rPr>
        <w:t xml:space="preserve"> </w:t>
      </w:r>
      <w:r w:rsidR="003E22C8" w:rsidRPr="00D5464D">
        <w:rPr>
          <w:lang w:val="pt-BR"/>
        </w:rPr>
        <w:t>escravi</w:t>
      </w:r>
      <w:r w:rsidRPr="00D5464D">
        <w:rPr>
          <w:lang w:val="pt-BR"/>
        </w:rPr>
        <w:t>zada</w:t>
      </w:r>
      <w:r w:rsidR="00470ADC" w:rsidRPr="00D5464D">
        <w:rPr>
          <w:lang w:val="pt-BR"/>
        </w:rPr>
        <w:t xml:space="preserve"> ao</w:t>
      </w:r>
      <w:r w:rsidR="002C330E" w:rsidRPr="00D5464D">
        <w:rPr>
          <w:lang w:val="pt-BR"/>
        </w:rPr>
        <w:t xml:space="preserve"> ponto </w:t>
      </w:r>
      <w:r w:rsidRPr="00D5464D">
        <w:rPr>
          <w:lang w:val="pt-BR"/>
        </w:rPr>
        <w:t>de anular</w:t>
      </w:r>
      <w:r w:rsidR="002C330E" w:rsidRPr="00D5464D">
        <w:rPr>
          <w:lang w:val="pt-BR"/>
        </w:rPr>
        <w:t xml:space="preserve"> a personalidade </w:t>
      </w:r>
      <w:r w:rsidR="00470ADC" w:rsidRPr="00D5464D">
        <w:rPr>
          <w:lang w:val="pt-BR"/>
        </w:rPr>
        <w:t xml:space="preserve">da </w:t>
      </w:r>
      <w:r w:rsidR="00E045D9" w:rsidRPr="00D5464D">
        <w:rPr>
          <w:lang w:val="pt-BR"/>
        </w:rPr>
        <w:t>vítima</w:t>
      </w:r>
      <w:r w:rsidR="00C91CB1" w:rsidRPr="00D5464D">
        <w:rPr>
          <w:lang w:val="pt-BR"/>
        </w:rPr>
        <w:t xml:space="preserve">. As </w:t>
      </w:r>
      <w:r w:rsidRPr="00D5464D">
        <w:rPr>
          <w:lang w:val="pt-BR"/>
        </w:rPr>
        <w:t xml:space="preserve">características de </w:t>
      </w:r>
      <w:r w:rsidR="00737270" w:rsidRPr="00D5464D">
        <w:rPr>
          <w:lang w:val="pt-BR"/>
        </w:rPr>
        <w:t>cada um</w:t>
      </w:r>
      <w:r w:rsidR="001F3394" w:rsidRPr="00D5464D">
        <w:rPr>
          <w:lang w:val="pt-BR"/>
        </w:rPr>
        <w:t xml:space="preserve"> </w:t>
      </w:r>
      <w:r w:rsidR="00E045D9" w:rsidRPr="00D5464D">
        <w:rPr>
          <w:lang w:val="pt-BR"/>
        </w:rPr>
        <w:t>deste</w:t>
      </w:r>
      <w:r w:rsidR="00470ADC" w:rsidRPr="00D5464D">
        <w:rPr>
          <w:lang w:val="pt-BR"/>
        </w:rPr>
        <w:t xml:space="preserve">s </w:t>
      </w:r>
      <w:r w:rsidRPr="00D5464D">
        <w:rPr>
          <w:lang w:val="pt-BR"/>
        </w:rPr>
        <w:t>elementos</w:t>
      </w:r>
      <w:r w:rsidR="002C330E" w:rsidRPr="00D5464D">
        <w:rPr>
          <w:lang w:val="pt-BR"/>
        </w:rPr>
        <w:t xml:space="preserve"> são </w:t>
      </w:r>
      <w:r w:rsidRPr="00D5464D">
        <w:rPr>
          <w:lang w:val="pt-BR"/>
        </w:rPr>
        <w:t xml:space="preserve">entendidas de </w:t>
      </w:r>
      <w:r w:rsidR="00470ADC" w:rsidRPr="00D5464D">
        <w:rPr>
          <w:lang w:val="pt-BR"/>
        </w:rPr>
        <w:t>acordo com</w:t>
      </w:r>
      <w:r w:rsidR="002C330E" w:rsidRPr="00D5464D">
        <w:rPr>
          <w:lang w:val="pt-BR"/>
        </w:rPr>
        <w:t xml:space="preserve"> os </w:t>
      </w:r>
      <w:r w:rsidR="00470ADC" w:rsidRPr="00D5464D">
        <w:rPr>
          <w:lang w:val="pt-BR"/>
        </w:rPr>
        <w:t>critério</w:t>
      </w:r>
      <w:r w:rsidRPr="00D5464D">
        <w:rPr>
          <w:lang w:val="pt-BR"/>
        </w:rPr>
        <w:t>s o</w:t>
      </w:r>
      <w:r w:rsidR="001F3394" w:rsidRPr="00D5464D">
        <w:rPr>
          <w:lang w:val="pt-BR"/>
        </w:rPr>
        <w:t>u</w:t>
      </w:r>
      <w:r w:rsidRPr="00D5464D">
        <w:rPr>
          <w:lang w:val="pt-BR"/>
        </w:rPr>
        <w:t xml:space="preserve"> </w:t>
      </w:r>
      <w:r w:rsidR="00470ADC" w:rsidRPr="00D5464D">
        <w:rPr>
          <w:lang w:val="pt-BR"/>
        </w:rPr>
        <w:t>fato</w:t>
      </w:r>
      <w:r w:rsidRPr="00D5464D">
        <w:rPr>
          <w:lang w:val="pt-BR"/>
        </w:rPr>
        <w:t xml:space="preserve">res identificados </w:t>
      </w:r>
      <w:r w:rsidR="00E765C2" w:rsidRPr="00D5464D">
        <w:rPr>
          <w:lang w:val="pt-BR"/>
        </w:rPr>
        <w:t>a seguir</w:t>
      </w:r>
      <w:r w:rsidRPr="00D5464D">
        <w:rPr>
          <w:lang w:val="pt-BR"/>
        </w:rPr>
        <w:t xml:space="preserve">. </w:t>
      </w:r>
    </w:p>
    <w:p w14:paraId="56E3340A" w14:textId="77777777" w:rsidR="00DE3E58" w:rsidRPr="00D5464D" w:rsidRDefault="00DE3E58" w:rsidP="00DE3E58">
      <w:pPr>
        <w:pStyle w:val="Prrafodelista"/>
        <w:ind w:left="0"/>
        <w:contextualSpacing w:val="0"/>
        <w:rPr>
          <w:lang w:val="pt-BR"/>
        </w:rPr>
      </w:pPr>
    </w:p>
    <w:p w14:paraId="16C8CE31" w14:textId="4FF7C5B3" w:rsidR="00207197" w:rsidRPr="00D5464D" w:rsidRDefault="00470ADC" w:rsidP="00F37DC4">
      <w:pPr>
        <w:pStyle w:val="Prrafodelista"/>
        <w:numPr>
          <w:ilvl w:val="0"/>
          <w:numId w:val="1"/>
        </w:numPr>
        <w:contextualSpacing w:val="0"/>
        <w:rPr>
          <w:lang w:val="pt-BR"/>
        </w:rPr>
      </w:pPr>
      <w:r w:rsidRPr="00D5464D">
        <w:rPr>
          <w:lang w:val="pt-BR"/>
        </w:rPr>
        <w:t>O</w:t>
      </w:r>
      <w:r w:rsidR="002C330E" w:rsidRPr="00D5464D">
        <w:rPr>
          <w:lang w:val="pt-BR"/>
        </w:rPr>
        <w:t xml:space="preserve"> primeiro </w:t>
      </w:r>
      <w:r w:rsidR="00207197" w:rsidRPr="00D5464D">
        <w:rPr>
          <w:lang w:val="pt-BR"/>
        </w:rPr>
        <w:t>elemento (estado o</w:t>
      </w:r>
      <w:r w:rsidR="00DA4B69" w:rsidRPr="00D5464D">
        <w:rPr>
          <w:lang w:val="pt-BR"/>
        </w:rPr>
        <w:t>u</w:t>
      </w:r>
      <w:r w:rsidR="00207197" w:rsidRPr="00D5464D">
        <w:rPr>
          <w:lang w:val="pt-BR"/>
        </w:rPr>
        <w:t xml:space="preserve"> condi</w:t>
      </w:r>
      <w:r w:rsidRPr="00D5464D">
        <w:rPr>
          <w:lang w:val="pt-BR"/>
        </w:rPr>
        <w:t>ção</w:t>
      </w:r>
      <w:r w:rsidR="00207197" w:rsidRPr="00D5464D">
        <w:rPr>
          <w:lang w:val="pt-BR"/>
        </w:rPr>
        <w:t xml:space="preserve">) se </w:t>
      </w:r>
      <w:r w:rsidR="002C330E" w:rsidRPr="00D5464D">
        <w:rPr>
          <w:lang w:val="pt-BR"/>
        </w:rPr>
        <w:t>refere</w:t>
      </w:r>
      <w:r w:rsidR="00207197" w:rsidRPr="00D5464D">
        <w:rPr>
          <w:lang w:val="pt-BR"/>
        </w:rPr>
        <w:t xml:space="preserve"> tanto</w:t>
      </w:r>
      <w:r w:rsidRPr="00D5464D">
        <w:rPr>
          <w:lang w:val="pt-BR"/>
        </w:rPr>
        <w:t xml:space="preserve"> à </w:t>
      </w:r>
      <w:r w:rsidR="00C44C4F" w:rsidRPr="00D5464D">
        <w:rPr>
          <w:lang w:val="pt-BR"/>
        </w:rPr>
        <w:t>situa</w:t>
      </w:r>
      <w:r w:rsidRPr="00D5464D">
        <w:rPr>
          <w:lang w:val="pt-BR"/>
        </w:rPr>
        <w:t>ção</w:t>
      </w:r>
      <w:r w:rsidR="00C44C4F" w:rsidRPr="00D5464D">
        <w:rPr>
          <w:lang w:val="pt-BR"/>
        </w:rPr>
        <w:t xml:space="preserve"> </w:t>
      </w:r>
      <w:r w:rsidR="00207197" w:rsidRPr="00D5464D">
        <w:rPr>
          <w:i/>
          <w:lang w:val="pt-BR"/>
        </w:rPr>
        <w:t>de jure</w:t>
      </w:r>
      <w:r w:rsidR="00207197" w:rsidRPr="00D5464D">
        <w:rPr>
          <w:lang w:val="pt-BR"/>
        </w:rPr>
        <w:t xml:space="preserve"> como </w:t>
      </w:r>
      <w:r w:rsidR="00207197" w:rsidRPr="00D5464D">
        <w:rPr>
          <w:i/>
          <w:lang w:val="pt-BR"/>
        </w:rPr>
        <w:t>de f</w:t>
      </w:r>
      <w:r w:rsidRPr="00D5464D">
        <w:rPr>
          <w:i/>
          <w:lang w:val="pt-BR"/>
        </w:rPr>
        <w:t>a</w:t>
      </w:r>
      <w:r w:rsidR="00BD50AC" w:rsidRPr="00D5464D">
        <w:rPr>
          <w:i/>
          <w:lang w:val="pt-BR"/>
        </w:rPr>
        <w:t>c</w:t>
      </w:r>
      <w:r w:rsidRPr="00D5464D">
        <w:rPr>
          <w:i/>
          <w:lang w:val="pt-BR"/>
        </w:rPr>
        <w:t>to,</w:t>
      </w:r>
      <w:r w:rsidRPr="00D5464D">
        <w:rPr>
          <w:lang w:val="pt-BR"/>
        </w:rPr>
        <w:t xml:space="preserve"> </w:t>
      </w:r>
      <w:r w:rsidR="00586524" w:rsidRPr="00D5464D">
        <w:rPr>
          <w:lang w:val="pt-BR"/>
        </w:rPr>
        <w:t xml:space="preserve">isto é, </w:t>
      </w:r>
      <w:r w:rsidR="00737270" w:rsidRPr="00D5464D">
        <w:rPr>
          <w:lang w:val="pt-BR"/>
        </w:rPr>
        <w:t>não é</w:t>
      </w:r>
      <w:r w:rsidRPr="00D5464D">
        <w:rPr>
          <w:lang w:val="pt-BR"/>
        </w:rPr>
        <w:t xml:space="preserve"> essencial</w:t>
      </w:r>
      <w:r w:rsidR="002C330E" w:rsidRPr="00D5464D">
        <w:rPr>
          <w:lang w:val="pt-BR"/>
        </w:rPr>
        <w:t xml:space="preserve"> a </w:t>
      </w:r>
      <w:r w:rsidR="00E045D9" w:rsidRPr="00D5464D">
        <w:rPr>
          <w:lang w:val="pt-BR"/>
        </w:rPr>
        <w:t>existência</w:t>
      </w:r>
      <w:r w:rsidR="00207197" w:rsidRPr="00D5464D">
        <w:rPr>
          <w:lang w:val="pt-BR"/>
        </w:rPr>
        <w:t xml:space="preserve"> de</w:t>
      </w:r>
      <w:r w:rsidR="00E045D9" w:rsidRPr="00D5464D">
        <w:rPr>
          <w:lang w:val="pt-BR"/>
        </w:rPr>
        <w:t xml:space="preserve"> um </w:t>
      </w:r>
      <w:r w:rsidR="00207197" w:rsidRPr="00D5464D">
        <w:rPr>
          <w:lang w:val="pt-BR"/>
        </w:rPr>
        <w:t>documento formal o</w:t>
      </w:r>
      <w:r w:rsidR="00586524" w:rsidRPr="00D5464D">
        <w:rPr>
          <w:lang w:val="pt-BR"/>
        </w:rPr>
        <w:t>u de</w:t>
      </w:r>
      <w:r w:rsidR="00E045D9" w:rsidRPr="00D5464D">
        <w:rPr>
          <w:lang w:val="pt-BR"/>
        </w:rPr>
        <w:t xml:space="preserve"> uma </w:t>
      </w:r>
      <w:r w:rsidR="00207197" w:rsidRPr="00D5464D">
        <w:rPr>
          <w:lang w:val="pt-BR"/>
        </w:rPr>
        <w:t xml:space="preserve">norma </w:t>
      </w:r>
      <w:r w:rsidR="00586524" w:rsidRPr="00D5464D">
        <w:rPr>
          <w:lang w:val="pt-BR"/>
        </w:rPr>
        <w:t>jurídica</w:t>
      </w:r>
      <w:r w:rsidR="00207197" w:rsidRPr="00D5464D">
        <w:rPr>
          <w:lang w:val="pt-BR"/>
        </w:rPr>
        <w:t xml:space="preserve"> para</w:t>
      </w:r>
      <w:r w:rsidR="002C330E" w:rsidRPr="00D5464D">
        <w:rPr>
          <w:lang w:val="pt-BR"/>
        </w:rPr>
        <w:t xml:space="preserve"> a </w:t>
      </w:r>
      <w:r w:rsidR="007F203E" w:rsidRPr="00D5464D">
        <w:rPr>
          <w:lang w:val="pt-BR"/>
        </w:rPr>
        <w:t>caracteriza</w:t>
      </w:r>
      <w:r w:rsidRPr="00D5464D">
        <w:rPr>
          <w:lang w:val="pt-BR"/>
        </w:rPr>
        <w:t>ção desse fenômeno</w:t>
      </w:r>
      <w:r w:rsidR="00C44C4F" w:rsidRPr="00D5464D">
        <w:rPr>
          <w:lang w:val="pt-BR"/>
        </w:rPr>
        <w:t>, como</w:t>
      </w:r>
      <w:r w:rsidR="00E045D9" w:rsidRPr="00D5464D">
        <w:rPr>
          <w:lang w:val="pt-BR"/>
        </w:rPr>
        <w:t xml:space="preserve"> no </w:t>
      </w:r>
      <w:r w:rsidR="00C44C4F" w:rsidRPr="00D5464D">
        <w:rPr>
          <w:lang w:val="pt-BR"/>
        </w:rPr>
        <w:t>caso</w:t>
      </w:r>
      <w:r w:rsidRPr="00D5464D">
        <w:rPr>
          <w:lang w:val="pt-BR"/>
        </w:rPr>
        <w:t xml:space="preserve"> da </w:t>
      </w:r>
      <w:r w:rsidR="000B376D" w:rsidRPr="00D5464D">
        <w:rPr>
          <w:lang w:val="pt-BR"/>
        </w:rPr>
        <w:t>escravidão</w:t>
      </w:r>
      <w:r w:rsidR="00C44C4F" w:rsidRPr="00D5464D">
        <w:rPr>
          <w:lang w:val="pt-BR"/>
        </w:rPr>
        <w:t xml:space="preserve"> </w:t>
      </w:r>
      <w:r w:rsidR="00C44C4F" w:rsidRPr="00D5464D">
        <w:rPr>
          <w:i/>
          <w:lang w:val="pt-BR"/>
        </w:rPr>
        <w:t>cha</w:t>
      </w:r>
      <w:r w:rsidR="00692D4A" w:rsidRPr="00D5464D">
        <w:rPr>
          <w:i/>
          <w:lang w:val="pt-BR"/>
        </w:rPr>
        <w:t>t</w:t>
      </w:r>
      <w:r w:rsidR="00C44C4F" w:rsidRPr="00D5464D">
        <w:rPr>
          <w:i/>
          <w:lang w:val="pt-BR"/>
        </w:rPr>
        <w:t xml:space="preserve">tel </w:t>
      </w:r>
      <w:r w:rsidR="00C44C4F" w:rsidRPr="00D5464D">
        <w:rPr>
          <w:lang w:val="pt-BR"/>
        </w:rPr>
        <w:t>o</w:t>
      </w:r>
      <w:r w:rsidR="00586524" w:rsidRPr="00D5464D">
        <w:rPr>
          <w:lang w:val="pt-BR"/>
        </w:rPr>
        <w:t>u</w:t>
      </w:r>
      <w:r w:rsidR="00C44C4F" w:rsidRPr="00D5464D">
        <w:rPr>
          <w:lang w:val="pt-BR"/>
        </w:rPr>
        <w:t xml:space="preserve"> tradicional</w:t>
      </w:r>
      <w:r w:rsidR="00207197" w:rsidRPr="00D5464D">
        <w:rPr>
          <w:lang w:val="pt-BR"/>
        </w:rPr>
        <w:t xml:space="preserve">. </w:t>
      </w:r>
    </w:p>
    <w:p w14:paraId="309AE6BF" w14:textId="77777777" w:rsidR="00207197" w:rsidRPr="00D5464D" w:rsidRDefault="00207197" w:rsidP="00140440">
      <w:pPr>
        <w:jc w:val="both"/>
        <w:rPr>
          <w:lang w:val="pt-BR"/>
        </w:rPr>
      </w:pPr>
    </w:p>
    <w:p w14:paraId="41930906" w14:textId="75CBEA26" w:rsidR="00C44C4F" w:rsidRPr="00D5464D" w:rsidRDefault="00041EA2" w:rsidP="00F37DC4">
      <w:pPr>
        <w:pStyle w:val="Prrafodelista"/>
        <w:numPr>
          <w:ilvl w:val="0"/>
          <w:numId w:val="1"/>
        </w:numPr>
        <w:contextualSpacing w:val="0"/>
        <w:rPr>
          <w:lang w:val="pt-BR"/>
        </w:rPr>
      </w:pPr>
      <w:r w:rsidRPr="00D5464D">
        <w:rPr>
          <w:lang w:val="pt-BR"/>
        </w:rPr>
        <w:t>Com</w:t>
      </w:r>
      <w:r w:rsidR="002C330E" w:rsidRPr="00D5464D">
        <w:rPr>
          <w:lang w:val="pt-BR"/>
        </w:rPr>
        <w:t xml:space="preserve"> respeito</w:t>
      </w:r>
      <w:r w:rsidR="00207197" w:rsidRPr="00D5464D">
        <w:rPr>
          <w:lang w:val="pt-BR"/>
        </w:rPr>
        <w:t xml:space="preserve"> </w:t>
      </w:r>
      <w:r w:rsidRPr="00D5464D">
        <w:rPr>
          <w:lang w:val="pt-BR"/>
        </w:rPr>
        <w:t>a</w:t>
      </w:r>
      <w:r w:rsidR="00470ADC" w:rsidRPr="00D5464D">
        <w:rPr>
          <w:lang w:val="pt-BR"/>
        </w:rPr>
        <w:t xml:space="preserve">o </w:t>
      </w:r>
      <w:r w:rsidR="00207197" w:rsidRPr="00D5464D">
        <w:rPr>
          <w:lang w:val="pt-BR"/>
        </w:rPr>
        <w:t>elemento de “</w:t>
      </w:r>
      <w:r w:rsidR="002C330E" w:rsidRPr="00D5464D">
        <w:rPr>
          <w:lang w:val="pt-BR"/>
        </w:rPr>
        <w:t>propriedade</w:t>
      </w:r>
      <w:r w:rsidR="00207197" w:rsidRPr="00D5464D">
        <w:rPr>
          <w:lang w:val="pt-BR"/>
        </w:rPr>
        <w:t>”, este</w:t>
      </w:r>
      <w:r w:rsidR="00470ADC" w:rsidRPr="00D5464D">
        <w:rPr>
          <w:lang w:val="pt-BR"/>
        </w:rPr>
        <w:t xml:space="preserve"> deve </w:t>
      </w:r>
      <w:r w:rsidR="00207197" w:rsidRPr="00D5464D">
        <w:rPr>
          <w:lang w:val="pt-BR"/>
        </w:rPr>
        <w:t xml:space="preserve">ser </w:t>
      </w:r>
      <w:r w:rsidR="00EE0A78" w:rsidRPr="00D5464D">
        <w:rPr>
          <w:lang w:val="pt-BR"/>
        </w:rPr>
        <w:t>entendido</w:t>
      </w:r>
      <w:r w:rsidR="00E045D9" w:rsidRPr="00D5464D">
        <w:rPr>
          <w:lang w:val="pt-BR"/>
        </w:rPr>
        <w:t xml:space="preserve"> no </w:t>
      </w:r>
      <w:r w:rsidR="00470ADC" w:rsidRPr="00D5464D">
        <w:rPr>
          <w:lang w:val="pt-BR"/>
        </w:rPr>
        <w:t>fenômeno</w:t>
      </w:r>
      <w:r w:rsidR="00207197" w:rsidRPr="00D5464D">
        <w:rPr>
          <w:lang w:val="pt-BR"/>
        </w:rPr>
        <w:t xml:space="preserve"> de </w:t>
      </w:r>
      <w:r w:rsidR="000B376D" w:rsidRPr="00D5464D">
        <w:rPr>
          <w:lang w:val="pt-BR"/>
        </w:rPr>
        <w:t>escravidão</w:t>
      </w:r>
      <w:r w:rsidR="00207197" w:rsidRPr="00D5464D">
        <w:rPr>
          <w:lang w:val="pt-BR"/>
        </w:rPr>
        <w:t xml:space="preserve"> como “</w:t>
      </w:r>
      <w:r w:rsidR="00230C71" w:rsidRPr="00D5464D">
        <w:rPr>
          <w:lang w:val="pt-BR"/>
        </w:rPr>
        <w:t>posse</w:t>
      </w:r>
      <w:r w:rsidR="00207197" w:rsidRPr="00D5464D">
        <w:rPr>
          <w:lang w:val="pt-BR"/>
        </w:rPr>
        <w:t>”,</w:t>
      </w:r>
      <w:r w:rsidR="00470ADC" w:rsidRPr="00D5464D">
        <w:rPr>
          <w:lang w:val="pt-BR"/>
        </w:rPr>
        <w:t xml:space="preserve"> </w:t>
      </w:r>
      <w:r w:rsidR="00EE0A78" w:rsidRPr="00D5464D">
        <w:rPr>
          <w:lang w:val="pt-BR"/>
        </w:rPr>
        <w:t xml:space="preserve">isto é, </w:t>
      </w:r>
      <w:r w:rsidR="002C330E" w:rsidRPr="00D5464D">
        <w:rPr>
          <w:lang w:val="pt-BR"/>
        </w:rPr>
        <w:t xml:space="preserve">a </w:t>
      </w:r>
      <w:r w:rsidR="00350187" w:rsidRPr="00D5464D">
        <w:rPr>
          <w:lang w:val="pt-BR"/>
        </w:rPr>
        <w:t>demonstr</w:t>
      </w:r>
      <w:r w:rsidR="00737270" w:rsidRPr="00D5464D">
        <w:rPr>
          <w:lang w:val="pt-BR"/>
        </w:rPr>
        <w:t>a</w:t>
      </w:r>
      <w:r w:rsidR="00470ADC" w:rsidRPr="00D5464D">
        <w:rPr>
          <w:lang w:val="pt-BR"/>
        </w:rPr>
        <w:t>ção</w:t>
      </w:r>
      <w:r w:rsidR="00207197" w:rsidRPr="00D5464D">
        <w:rPr>
          <w:lang w:val="pt-BR"/>
        </w:rPr>
        <w:t xml:space="preserve"> de </w:t>
      </w:r>
      <w:r w:rsidR="00470ADC" w:rsidRPr="00D5464D">
        <w:rPr>
          <w:lang w:val="pt-BR"/>
        </w:rPr>
        <w:t xml:space="preserve">controle </w:t>
      </w:r>
      <w:r w:rsidR="00207197" w:rsidRPr="00D5464D">
        <w:rPr>
          <w:lang w:val="pt-BR"/>
        </w:rPr>
        <w:t>de</w:t>
      </w:r>
      <w:r w:rsidR="00E045D9" w:rsidRPr="00D5464D">
        <w:rPr>
          <w:lang w:val="pt-BR"/>
        </w:rPr>
        <w:t xml:space="preserve"> uma </w:t>
      </w:r>
      <w:r w:rsidR="002C330E" w:rsidRPr="00D5464D">
        <w:rPr>
          <w:lang w:val="pt-BR"/>
        </w:rPr>
        <w:t>pessoa</w:t>
      </w:r>
      <w:r w:rsidR="00207197" w:rsidRPr="00D5464D">
        <w:rPr>
          <w:lang w:val="pt-BR"/>
        </w:rPr>
        <w:t xml:space="preserve"> sobre </w:t>
      </w:r>
      <w:r w:rsidR="002C330E" w:rsidRPr="00D5464D">
        <w:rPr>
          <w:lang w:val="pt-BR"/>
        </w:rPr>
        <w:t>outra</w:t>
      </w:r>
      <w:r w:rsidR="00207197" w:rsidRPr="00D5464D">
        <w:rPr>
          <w:lang w:val="pt-BR"/>
        </w:rPr>
        <w:t xml:space="preserve">. </w:t>
      </w:r>
      <w:r w:rsidR="002C330E" w:rsidRPr="00D5464D">
        <w:rPr>
          <w:lang w:val="pt-BR"/>
        </w:rPr>
        <w:t>Portanto</w:t>
      </w:r>
      <w:r w:rsidR="00207197" w:rsidRPr="00D5464D">
        <w:rPr>
          <w:lang w:val="pt-BR"/>
        </w:rPr>
        <w:t>, “</w:t>
      </w:r>
      <w:r w:rsidR="00EE0A78" w:rsidRPr="00D5464D">
        <w:rPr>
          <w:lang w:val="pt-BR"/>
        </w:rPr>
        <w:t>no</w:t>
      </w:r>
      <w:r w:rsidR="00DB2B76" w:rsidRPr="00D5464D">
        <w:rPr>
          <w:lang w:val="pt-BR"/>
        </w:rPr>
        <w:t xml:space="preserve"> </w:t>
      </w:r>
      <w:r w:rsidR="00EE0A78" w:rsidRPr="00D5464D">
        <w:rPr>
          <w:lang w:val="pt-BR"/>
        </w:rPr>
        <w:t xml:space="preserve">momento </w:t>
      </w:r>
      <w:r w:rsidR="00207197" w:rsidRPr="00D5464D">
        <w:rPr>
          <w:lang w:val="pt-BR"/>
        </w:rPr>
        <w:t>de determinar</w:t>
      </w:r>
      <w:r w:rsidR="00470ADC" w:rsidRPr="00D5464D">
        <w:rPr>
          <w:lang w:val="pt-BR"/>
        </w:rPr>
        <w:t xml:space="preserve"> o</w:t>
      </w:r>
      <w:r w:rsidR="002C330E" w:rsidRPr="00D5464D">
        <w:rPr>
          <w:lang w:val="pt-BR"/>
        </w:rPr>
        <w:t xml:space="preserve"> nível </w:t>
      </w:r>
      <w:r w:rsidR="00207197" w:rsidRPr="00D5464D">
        <w:rPr>
          <w:lang w:val="pt-BR"/>
        </w:rPr>
        <w:t xml:space="preserve">de </w:t>
      </w:r>
      <w:r w:rsidR="00470ADC" w:rsidRPr="00D5464D">
        <w:rPr>
          <w:lang w:val="pt-BR"/>
        </w:rPr>
        <w:t xml:space="preserve">controle </w:t>
      </w:r>
      <w:r w:rsidR="00207197" w:rsidRPr="00D5464D">
        <w:rPr>
          <w:lang w:val="pt-BR"/>
        </w:rPr>
        <w:t>requerido para considerar</w:t>
      </w:r>
      <w:r w:rsidR="00E045D9" w:rsidRPr="00D5464D">
        <w:rPr>
          <w:lang w:val="pt-BR"/>
        </w:rPr>
        <w:t xml:space="preserve"> um </w:t>
      </w:r>
      <w:r w:rsidR="00470ADC" w:rsidRPr="00D5464D">
        <w:rPr>
          <w:lang w:val="pt-BR"/>
        </w:rPr>
        <w:t xml:space="preserve">ato </w:t>
      </w:r>
      <w:r w:rsidR="00207197" w:rsidRPr="00D5464D">
        <w:rPr>
          <w:lang w:val="pt-BR"/>
        </w:rPr>
        <w:t xml:space="preserve">como </w:t>
      </w:r>
      <w:r w:rsidR="000B376D" w:rsidRPr="00D5464D">
        <w:rPr>
          <w:lang w:val="pt-BR"/>
        </w:rPr>
        <w:t>escravidão</w:t>
      </w:r>
      <w:r w:rsidR="00207197" w:rsidRPr="00D5464D">
        <w:rPr>
          <w:lang w:val="pt-BR"/>
        </w:rPr>
        <w:t>, […]</w:t>
      </w:r>
      <w:r w:rsidR="00DB2B76" w:rsidRPr="00D5464D">
        <w:rPr>
          <w:lang w:val="pt-BR"/>
        </w:rPr>
        <w:t xml:space="preserve"> poder-se-ia</w:t>
      </w:r>
      <w:r w:rsidR="00207197" w:rsidRPr="00D5464D">
        <w:rPr>
          <w:lang w:val="pt-BR"/>
        </w:rPr>
        <w:t xml:space="preserve"> equipar</w:t>
      </w:r>
      <w:r w:rsidR="00EE0A78" w:rsidRPr="00D5464D">
        <w:rPr>
          <w:lang w:val="pt-BR"/>
        </w:rPr>
        <w:t>á-lo</w:t>
      </w:r>
      <w:r w:rsidR="00470ADC" w:rsidRPr="00D5464D">
        <w:rPr>
          <w:lang w:val="pt-BR"/>
        </w:rPr>
        <w:t xml:space="preserve"> à </w:t>
      </w:r>
      <w:r w:rsidR="002C330E" w:rsidRPr="00D5464D">
        <w:rPr>
          <w:lang w:val="pt-BR"/>
        </w:rPr>
        <w:t>perda</w:t>
      </w:r>
      <w:r w:rsidR="00470ADC" w:rsidRPr="00D5464D">
        <w:rPr>
          <w:lang w:val="pt-BR"/>
        </w:rPr>
        <w:t xml:space="preserve"> da </w:t>
      </w:r>
      <w:r w:rsidR="002C330E" w:rsidRPr="00D5464D">
        <w:rPr>
          <w:lang w:val="pt-BR"/>
        </w:rPr>
        <w:t xml:space="preserve">própria </w:t>
      </w:r>
      <w:r w:rsidR="00E045D9" w:rsidRPr="00D5464D">
        <w:rPr>
          <w:lang w:val="pt-BR"/>
        </w:rPr>
        <w:t>vontad</w:t>
      </w:r>
      <w:r w:rsidR="00EE0A78" w:rsidRPr="00D5464D">
        <w:rPr>
          <w:lang w:val="pt-BR"/>
        </w:rPr>
        <w:t xml:space="preserve">e </w:t>
      </w:r>
      <w:r w:rsidR="00E045D9" w:rsidRPr="00D5464D">
        <w:rPr>
          <w:lang w:val="pt-BR"/>
        </w:rPr>
        <w:t>o</w:t>
      </w:r>
      <w:r w:rsidR="00EE0A78" w:rsidRPr="00D5464D">
        <w:rPr>
          <w:lang w:val="pt-BR"/>
        </w:rPr>
        <w:t>u</w:t>
      </w:r>
      <w:r w:rsidR="00E045D9" w:rsidRPr="00D5464D">
        <w:rPr>
          <w:lang w:val="pt-BR"/>
        </w:rPr>
        <w:t xml:space="preserve"> </w:t>
      </w:r>
      <w:r w:rsidR="00207197" w:rsidRPr="00D5464D">
        <w:rPr>
          <w:lang w:val="pt-BR"/>
        </w:rPr>
        <w:t>a</w:t>
      </w:r>
      <w:r w:rsidR="00E045D9" w:rsidRPr="00D5464D">
        <w:rPr>
          <w:lang w:val="pt-BR"/>
        </w:rPr>
        <w:t xml:space="preserve"> uma </w:t>
      </w:r>
      <w:r w:rsidR="00A1358C" w:rsidRPr="00D5464D">
        <w:rPr>
          <w:lang w:val="pt-BR"/>
        </w:rPr>
        <w:t>diminuição</w:t>
      </w:r>
      <w:r w:rsidR="00207197" w:rsidRPr="00D5464D">
        <w:rPr>
          <w:lang w:val="pt-BR"/>
        </w:rPr>
        <w:t xml:space="preserve"> </w:t>
      </w:r>
      <w:r w:rsidR="00230C71" w:rsidRPr="00D5464D">
        <w:rPr>
          <w:lang w:val="pt-BR"/>
        </w:rPr>
        <w:t>considerá</w:t>
      </w:r>
      <w:r w:rsidR="00EE0A78" w:rsidRPr="00D5464D">
        <w:rPr>
          <w:lang w:val="pt-BR"/>
        </w:rPr>
        <w:t xml:space="preserve">vel da </w:t>
      </w:r>
      <w:r w:rsidR="00470ADC" w:rsidRPr="00D5464D">
        <w:rPr>
          <w:lang w:val="pt-BR"/>
        </w:rPr>
        <w:t>autonomia</w:t>
      </w:r>
      <w:r w:rsidR="00207197" w:rsidRPr="00D5464D">
        <w:rPr>
          <w:lang w:val="pt-BR"/>
        </w:rPr>
        <w:t xml:space="preserve"> </w:t>
      </w:r>
      <w:r w:rsidR="002C330E" w:rsidRPr="00D5464D">
        <w:rPr>
          <w:lang w:val="pt-BR"/>
        </w:rPr>
        <w:t>pessoa</w:t>
      </w:r>
      <w:r w:rsidR="00207197" w:rsidRPr="00D5464D">
        <w:rPr>
          <w:lang w:val="pt-BR"/>
        </w:rPr>
        <w:t>l”</w:t>
      </w:r>
      <w:r w:rsidR="00BD50AC" w:rsidRPr="00D5464D">
        <w:rPr>
          <w:lang w:val="pt-BR"/>
        </w:rPr>
        <w:t>.</w:t>
      </w:r>
      <w:r w:rsidR="00C44C4F" w:rsidRPr="00D5464D">
        <w:rPr>
          <w:rStyle w:val="Refdenotaalpie"/>
          <w:lang w:val="pt-BR"/>
        </w:rPr>
        <w:footnoteReference w:id="409"/>
      </w:r>
      <w:r w:rsidR="00470ADC" w:rsidRPr="00D5464D">
        <w:rPr>
          <w:lang w:val="pt-BR"/>
        </w:rPr>
        <w:t xml:space="preserve"> </w:t>
      </w:r>
      <w:r w:rsidR="00EE0A78" w:rsidRPr="00D5464D">
        <w:rPr>
          <w:lang w:val="pt-BR"/>
        </w:rPr>
        <w:t>N</w:t>
      </w:r>
      <w:r w:rsidR="00737270" w:rsidRPr="00D5464D">
        <w:rPr>
          <w:lang w:val="pt-BR"/>
        </w:rPr>
        <w:t>esse</w:t>
      </w:r>
      <w:r w:rsidR="00470ADC" w:rsidRPr="00D5464D">
        <w:rPr>
          <w:lang w:val="pt-BR"/>
        </w:rPr>
        <w:t xml:space="preserve"> </w:t>
      </w:r>
      <w:r w:rsidR="00207197" w:rsidRPr="00D5464D">
        <w:rPr>
          <w:lang w:val="pt-BR"/>
        </w:rPr>
        <w:t>sentido,</w:t>
      </w:r>
      <w:r w:rsidR="00470ADC" w:rsidRPr="00D5464D">
        <w:rPr>
          <w:lang w:val="pt-BR"/>
        </w:rPr>
        <w:t xml:space="preserve"> o </w:t>
      </w:r>
      <w:r w:rsidR="00E045D9" w:rsidRPr="00D5464D">
        <w:rPr>
          <w:lang w:val="pt-BR"/>
        </w:rPr>
        <w:t>chamado</w:t>
      </w:r>
      <w:r w:rsidR="00207197" w:rsidRPr="00D5464D">
        <w:rPr>
          <w:lang w:val="pt-BR"/>
        </w:rPr>
        <w:t xml:space="preserve"> “</w:t>
      </w:r>
      <w:r w:rsidR="00470ADC" w:rsidRPr="00D5464D">
        <w:rPr>
          <w:lang w:val="pt-BR"/>
        </w:rPr>
        <w:t>exercício</w:t>
      </w:r>
      <w:r w:rsidR="00207197" w:rsidRPr="00D5464D">
        <w:rPr>
          <w:lang w:val="pt-BR"/>
        </w:rPr>
        <w:t xml:space="preserve"> de atributos</w:t>
      </w:r>
      <w:r w:rsidR="00470ADC" w:rsidRPr="00D5464D">
        <w:rPr>
          <w:lang w:val="pt-BR"/>
        </w:rPr>
        <w:t xml:space="preserve"> da </w:t>
      </w:r>
      <w:r w:rsidR="002C330E" w:rsidRPr="00D5464D">
        <w:rPr>
          <w:lang w:val="pt-BR"/>
        </w:rPr>
        <w:t>propriedade</w:t>
      </w:r>
      <w:r w:rsidR="00207197" w:rsidRPr="00D5464D">
        <w:rPr>
          <w:lang w:val="pt-BR"/>
        </w:rPr>
        <w:t>”</w:t>
      </w:r>
      <w:r w:rsidR="00470ADC" w:rsidRPr="00D5464D">
        <w:rPr>
          <w:lang w:val="pt-BR"/>
        </w:rPr>
        <w:t xml:space="preserve"> deve </w:t>
      </w:r>
      <w:r w:rsidR="00207197" w:rsidRPr="00D5464D">
        <w:rPr>
          <w:lang w:val="pt-BR"/>
        </w:rPr>
        <w:t>ser entendido</w:t>
      </w:r>
      <w:r w:rsidR="00E045D9" w:rsidRPr="00D5464D">
        <w:rPr>
          <w:lang w:val="pt-BR"/>
        </w:rPr>
        <w:t xml:space="preserve"> nos </w:t>
      </w:r>
      <w:r w:rsidR="00470ADC" w:rsidRPr="00D5464D">
        <w:rPr>
          <w:lang w:val="pt-BR"/>
        </w:rPr>
        <w:t>dia</w:t>
      </w:r>
      <w:r w:rsidR="00207197" w:rsidRPr="00D5464D">
        <w:rPr>
          <w:lang w:val="pt-BR"/>
        </w:rPr>
        <w:t xml:space="preserve">s </w:t>
      </w:r>
      <w:r w:rsidR="00470ADC" w:rsidRPr="00D5464D">
        <w:rPr>
          <w:lang w:val="pt-BR"/>
        </w:rPr>
        <w:t>atuais</w:t>
      </w:r>
      <w:r w:rsidR="00207197" w:rsidRPr="00D5464D">
        <w:rPr>
          <w:lang w:val="pt-BR"/>
        </w:rPr>
        <w:t xml:space="preserve"> como</w:t>
      </w:r>
      <w:r w:rsidR="00470ADC" w:rsidRPr="00D5464D">
        <w:rPr>
          <w:lang w:val="pt-BR"/>
        </w:rPr>
        <w:t xml:space="preserve"> o controle exercido</w:t>
      </w:r>
      <w:r w:rsidR="00207197" w:rsidRPr="00D5464D">
        <w:rPr>
          <w:lang w:val="pt-BR"/>
        </w:rPr>
        <w:t xml:space="preserve"> sobre</w:t>
      </w:r>
      <w:r w:rsidR="00E045D9" w:rsidRPr="00D5464D">
        <w:rPr>
          <w:lang w:val="pt-BR"/>
        </w:rPr>
        <w:t xml:space="preserve"> uma </w:t>
      </w:r>
      <w:r w:rsidR="002C330E" w:rsidRPr="00D5464D">
        <w:rPr>
          <w:lang w:val="pt-BR"/>
        </w:rPr>
        <w:t>pessoa</w:t>
      </w:r>
      <w:r w:rsidR="00207197" w:rsidRPr="00D5464D">
        <w:rPr>
          <w:lang w:val="pt-BR"/>
        </w:rPr>
        <w:t xml:space="preserve"> que</w:t>
      </w:r>
      <w:r w:rsidR="00350187" w:rsidRPr="00D5464D">
        <w:rPr>
          <w:lang w:val="pt-BR"/>
        </w:rPr>
        <w:t xml:space="preserve"> lhe </w:t>
      </w:r>
      <w:r w:rsidR="00C44C4F" w:rsidRPr="00D5464D">
        <w:rPr>
          <w:lang w:val="pt-BR"/>
        </w:rPr>
        <w:t>restrinja o</w:t>
      </w:r>
      <w:r w:rsidR="00EE0A78" w:rsidRPr="00D5464D">
        <w:rPr>
          <w:lang w:val="pt-BR"/>
        </w:rPr>
        <w:t>u</w:t>
      </w:r>
      <w:r w:rsidR="00C44C4F" w:rsidRPr="00D5464D">
        <w:rPr>
          <w:lang w:val="pt-BR"/>
        </w:rPr>
        <w:t xml:space="preserve"> </w:t>
      </w:r>
      <w:r w:rsidR="00207197" w:rsidRPr="00D5464D">
        <w:rPr>
          <w:lang w:val="pt-BR"/>
        </w:rPr>
        <w:t xml:space="preserve">prive significativamente de </w:t>
      </w:r>
      <w:r w:rsidR="00E045D9" w:rsidRPr="00D5464D">
        <w:rPr>
          <w:lang w:val="pt-BR"/>
        </w:rPr>
        <w:t>sua liberdade</w:t>
      </w:r>
      <w:r w:rsidR="002C330E" w:rsidRPr="00D5464D">
        <w:rPr>
          <w:lang w:val="pt-BR"/>
        </w:rPr>
        <w:t xml:space="preserve"> </w:t>
      </w:r>
      <w:r w:rsidR="00207197" w:rsidRPr="00D5464D">
        <w:rPr>
          <w:lang w:val="pt-BR"/>
        </w:rPr>
        <w:t>individual</w:t>
      </w:r>
      <w:r w:rsidR="00BD50AC" w:rsidRPr="00D5464D">
        <w:rPr>
          <w:lang w:val="pt-BR"/>
        </w:rPr>
        <w:t>,</w:t>
      </w:r>
      <w:r w:rsidR="00207197" w:rsidRPr="00D5464D">
        <w:rPr>
          <w:rStyle w:val="Refdenotaalpie"/>
          <w:lang w:val="pt-BR"/>
        </w:rPr>
        <w:footnoteReference w:id="410"/>
      </w:r>
      <w:r w:rsidR="00470ADC" w:rsidRPr="00D5464D">
        <w:rPr>
          <w:lang w:val="pt-BR"/>
        </w:rPr>
        <w:t xml:space="preserve"> com </w:t>
      </w:r>
      <w:r w:rsidR="00207197" w:rsidRPr="00D5464D">
        <w:rPr>
          <w:lang w:val="pt-BR"/>
        </w:rPr>
        <w:t>inten</w:t>
      </w:r>
      <w:r w:rsidR="00470ADC" w:rsidRPr="00D5464D">
        <w:rPr>
          <w:lang w:val="pt-BR"/>
        </w:rPr>
        <w:t>ção</w:t>
      </w:r>
      <w:r w:rsidR="00207197" w:rsidRPr="00D5464D">
        <w:rPr>
          <w:lang w:val="pt-BR"/>
        </w:rPr>
        <w:t xml:space="preserve"> de </w:t>
      </w:r>
      <w:r w:rsidR="00230C71" w:rsidRPr="00D5464D">
        <w:rPr>
          <w:lang w:val="pt-BR"/>
        </w:rPr>
        <w:t>exploração</w:t>
      </w:r>
      <w:r w:rsidR="00207197" w:rsidRPr="00D5464D">
        <w:rPr>
          <w:lang w:val="pt-BR"/>
        </w:rPr>
        <w:t xml:space="preserve"> mediante</w:t>
      </w:r>
      <w:r w:rsidR="00470ADC" w:rsidRPr="00D5464D">
        <w:rPr>
          <w:lang w:val="pt-BR"/>
        </w:rPr>
        <w:t xml:space="preserve"> o </w:t>
      </w:r>
      <w:r w:rsidR="00207197" w:rsidRPr="00D5464D">
        <w:rPr>
          <w:lang w:val="pt-BR"/>
        </w:rPr>
        <w:t>uso,</w:t>
      </w:r>
      <w:r w:rsidR="002C330E" w:rsidRPr="00D5464D">
        <w:rPr>
          <w:lang w:val="pt-BR"/>
        </w:rPr>
        <w:t xml:space="preserve"> a gestão</w:t>
      </w:r>
      <w:r w:rsidR="00207197" w:rsidRPr="00D5464D">
        <w:rPr>
          <w:lang w:val="pt-BR"/>
        </w:rPr>
        <w:t>,</w:t>
      </w:r>
      <w:r w:rsidR="00470ADC" w:rsidRPr="00D5464D">
        <w:rPr>
          <w:lang w:val="pt-BR"/>
        </w:rPr>
        <w:t xml:space="preserve"> o benefício</w:t>
      </w:r>
      <w:r w:rsidR="00207197" w:rsidRPr="00D5464D">
        <w:rPr>
          <w:lang w:val="pt-BR"/>
        </w:rPr>
        <w:t>,</w:t>
      </w:r>
      <w:r w:rsidR="002C330E" w:rsidRPr="00D5464D">
        <w:rPr>
          <w:lang w:val="pt-BR"/>
        </w:rPr>
        <w:t xml:space="preserve"> a </w:t>
      </w:r>
      <w:r w:rsidR="00E045D9" w:rsidRPr="00D5464D">
        <w:rPr>
          <w:lang w:val="pt-BR"/>
        </w:rPr>
        <w:t>transferência</w:t>
      </w:r>
      <w:r w:rsidR="00207197" w:rsidRPr="00D5464D">
        <w:rPr>
          <w:lang w:val="pt-BR"/>
        </w:rPr>
        <w:t xml:space="preserve"> o</w:t>
      </w:r>
      <w:r w:rsidR="00A06951" w:rsidRPr="00D5464D">
        <w:rPr>
          <w:lang w:val="pt-BR"/>
        </w:rPr>
        <w:t>u</w:t>
      </w:r>
      <w:r w:rsidR="00470ADC" w:rsidRPr="00D5464D">
        <w:rPr>
          <w:lang w:val="pt-BR"/>
        </w:rPr>
        <w:t xml:space="preserve"> o </w:t>
      </w:r>
      <w:r w:rsidR="00207197" w:rsidRPr="00D5464D">
        <w:rPr>
          <w:lang w:val="pt-BR"/>
        </w:rPr>
        <w:t>despoj</w:t>
      </w:r>
      <w:r w:rsidR="00C91CB1" w:rsidRPr="00D5464D">
        <w:rPr>
          <w:lang w:val="pt-BR"/>
        </w:rPr>
        <w:t>a</w:t>
      </w:r>
      <w:r w:rsidR="00A06951" w:rsidRPr="00D5464D">
        <w:rPr>
          <w:lang w:val="pt-BR"/>
        </w:rPr>
        <w:t xml:space="preserve">mento </w:t>
      </w:r>
      <w:r w:rsidR="00207197" w:rsidRPr="00D5464D">
        <w:rPr>
          <w:lang w:val="pt-BR"/>
        </w:rPr>
        <w:t>de</w:t>
      </w:r>
      <w:r w:rsidR="00E045D9" w:rsidRPr="00D5464D">
        <w:rPr>
          <w:lang w:val="pt-BR"/>
        </w:rPr>
        <w:t xml:space="preserve"> uma </w:t>
      </w:r>
      <w:r w:rsidR="002C330E" w:rsidRPr="00D5464D">
        <w:rPr>
          <w:lang w:val="pt-BR"/>
        </w:rPr>
        <w:t>pessoa</w:t>
      </w:r>
      <w:r w:rsidR="00207197" w:rsidRPr="00D5464D">
        <w:rPr>
          <w:lang w:val="pt-BR"/>
        </w:rPr>
        <w:t xml:space="preserve">. </w:t>
      </w:r>
      <w:r w:rsidR="00A06951" w:rsidRPr="00D5464D">
        <w:rPr>
          <w:lang w:val="pt-BR"/>
        </w:rPr>
        <w:t xml:space="preserve">Em </w:t>
      </w:r>
      <w:r w:rsidR="002C330E" w:rsidRPr="00D5464D">
        <w:rPr>
          <w:lang w:val="pt-BR"/>
        </w:rPr>
        <w:t>geral</w:t>
      </w:r>
      <w:r w:rsidR="00207197" w:rsidRPr="00D5464D">
        <w:rPr>
          <w:lang w:val="pt-BR"/>
        </w:rPr>
        <w:t xml:space="preserve">, este </w:t>
      </w:r>
      <w:r w:rsidR="00470ADC" w:rsidRPr="00D5464D">
        <w:rPr>
          <w:lang w:val="pt-BR"/>
        </w:rPr>
        <w:t>exercício</w:t>
      </w:r>
      <w:r w:rsidR="00207197" w:rsidRPr="00D5464D">
        <w:rPr>
          <w:lang w:val="pt-BR"/>
        </w:rPr>
        <w:t xml:space="preserve"> se </w:t>
      </w:r>
      <w:r w:rsidR="00A1358C" w:rsidRPr="00D5464D">
        <w:rPr>
          <w:lang w:val="pt-BR"/>
        </w:rPr>
        <w:t>apoiar</w:t>
      </w:r>
      <w:r w:rsidR="00207197" w:rsidRPr="00D5464D">
        <w:rPr>
          <w:lang w:val="pt-BR"/>
        </w:rPr>
        <w:t>á</w:t>
      </w:r>
      <w:r w:rsidR="00E045D9" w:rsidRPr="00D5464D">
        <w:rPr>
          <w:lang w:val="pt-BR"/>
        </w:rPr>
        <w:t xml:space="preserve"> e </w:t>
      </w:r>
      <w:r w:rsidR="00207197" w:rsidRPr="00D5464D">
        <w:rPr>
          <w:lang w:val="pt-BR"/>
        </w:rPr>
        <w:t>se</w:t>
      </w:r>
      <w:r w:rsidR="00A06951" w:rsidRPr="00D5464D">
        <w:rPr>
          <w:lang w:val="pt-BR"/>
        </w:rPr>
        <w:t xml:space="preserve">rá obtido </w:t>
      </w:r>
      <w:r w:rsidR="00470ADC" w:rsidRPr="00D5464D">
        <w:rPr>
          <w:lang w:val="pt-BR"/>
        </w:rPr>
        <w:t>através</w:t>
      </w:r>
      <w:r w:rsidR="00207197" w:rsidRPr="00D5464D">
        <w:rPr>
          <w:lang w:val="pt-BR"/>
        </w:rPr>
        <w:t xml:space="preserve"> de</w:t>
      </w:r>
      <w:r w:rsidR="00350187" w:rsidRPr="00D5464D">
        <w:rPr>
          <w:lang w:val="pt-BR"/>
        </w:rPr>
        <w:t xml:space="preserve"> meios </w:t>
      </w:r>
      <w:r w:rsidR="00E045D9" w:rsidRPr="00D5464D">
        <w:rPr>
          <w:lang w:val="pt-BR"/>
        </w:rPr>
        <w:t xml:space="preserve">tais </w:t>
      </w:r>
      <w:r w:rsidR="00207197" w:rsidRPr="00D5464D">
        <w:rPr>
          <w:lang w:val="pt-BR"/>
        </w:rPr>
        <w:t>como</w:t>
      </w:r>
      <w:r w:rsidR="002C330E" w:rsidRPr="00D5464D">
        <w:rPr>
          <w:lang w:val="pt-BR"/>
        </w:rPr>
        <w:t xml:space="preserve"> a </w:t>
      </w:r>
      <w:r w:rsidR="00E045D9" w:rsidRPr="00D5464D">
        <w:rPr>
          <w:lang w:val="pt-BR"/>
        </w:rPr>
        <w:t>violência</w:t>
      </w:r>
      <w:r w:rsidR="00207197" w:rsidRPr="00D5464D">
        <w:rPr>
          <w:lang w:val="pt-BR"/>
        </w:rPr>
        <w:t>,</w:t>
      </w:r>
      <w:r w:rsidR="00470ADC" w:rsidRPr="00D5464D">
        <w:rPr>
          <w:lang w:val="pt-BR"/>
        </w:rPr>
        <w:t xml:space="preserve"> </w:t>
      </w:r>
      <w:r w:rsidR="00A06951" w:rsidRPr="00D5464D">
        <w:rPr>
          <w:lang w:val="pt-BR"/>
        </w:rPr>
        <w:t>fraude</w:t>
      </w:r>
      <w:r w:rsidR="00E045D9" w:rsidRPr="00D5464D">
        <w:rPr>
          <w:lang w:val="pt-BR"/>
        </w:rPr>
        <w:t xml:space="preserve"> e/ou </w:t>
      </w:r>
      <w:r w:rsidR="002C330E" w:rsidRPr="00D5464D">
        <w:rPr>
          <w:lang w:val="pt-BR"/>
        </w:rPr>
        <w:t xml:space="preserve">a </w:t>
      </w:r>
      <w:r w:rsidR="00207197" w:rsidRPr="00D5464D">
        <w:rPr>
          <w:lang w:val="pt-BR"/>
        </w:rPr>
        <w:t>co</w:t>
      </w:r>
      <w:r w:rsidR="00737270" w:rsidRPr="00D5464D">
        <w:rPr>
          <w:lang w:val="pt-BR"/>
        </w:rPr>
        <w:t>ação</w:t>
      </w:r>
      <w:r w:rsidR="00BD50AC" w:rsidRPr="00D5464D">
        <w:rPr>
          <w:lang w:val="pt-BR"/>
        </w:rPr>
        <w:t>.</w:t>
      </w:r>
      <w:r w:rsidR="00207197" w:rsidRPr="00D5464D">
        <w:rPr>
          <w:rStyle w:val="Refdenotaalpie"/>
          <w:lang w:val="pt-BR"/>
        </w:rPr>
        <w:footnoteReference w:id="411"/>
      </w:r>
      <w:r w:rsidR="00207197" w:rsidRPr="00D5464D">
        <w:rPr>
          <w:lang w:val="pt-BR"/>
        </w:rPr>
        <w:t xml:space="preserve"> </w:t>
      </w:r>
    </w:p>
    <w:p w14:paraId="67123189" w14:textId="77777777" w:rsidR="00DE3E58" w:rsidRPr="00D5464D" w:rsidRDefault="00DE3E58" w:rsidP="00DE3E58">
      <w:pPr>
        <w:pStyle w:val="Prrafodelista"/>
        <w:ind w:left="0"/>
        <w:contextualSpacing w:val="0"/>
        <w:rPr>
          <w:lang w:val="pt-BR"/>
        </w:rPr>
      </w:pPr>
    </w:p>
    <w:p w14:paraId="3B7AF8CA" w14:textId="32ACB0C6" w:rsidR="00207197" w:rsidRPr="00D5464D" w:rsidRDefault="00470ADC" w:rsidP="00F37DC4">
      <w:pPr>
        <w:pStyle w:val="Prrafodelista"/>
        <w:numPr>
          <w:ilvl w:val="0"/>
          <w:numId w:val="1"/>
        </w:numPr>
        <w:contextualSpacing w:val="0"/>
        <w:rPr>
          <w:lang w:val="pt-BR"/>
        </w:rPr>
      </w:pPr>
      <w:r w:rsidRPr="00D5464D">
        <w:rPr>
          <w:lang w:val="pt-BR"/>
        </w:rPr>
        <w:t xml:space="preserve">A </w:t>
      </w:r>
      <w:r w:rsidR="00207197" w:rsidRPr="00D5464D">
        <w:rPr>
          <w:lang w:val="pt-BR"/>
        </w:rPr>
        <w:t xml:space="preserve">Corte </w:t>
      </w:r>
      <w:r w:rsidRPr="00D5464D">
        <w:rPr>
          <w:lang w:val="pt-BR"/>
        </w:rPr>
        <w:t xml:space="preserve">compartilha </w:t>
      </w:r>
      <w:r w:rsidR="00C93ED7" w:rsidRPr="00D5464D">
        <w:rPr>
          <w:lang w:val="pt-BR"/>
        </w:rPr>
        <w:t>d</w:t>
      </w:r>
      <w:r w:rsidRPr="00D5464D">
        <w:rPr>
          <w:lang w:val="pt-BR"/>
        </w:rPr>
        <w:t>esse critério</w:t>
      </w:r>
      <w:r w:rsidR="00E045D9" w:rsidRPr="00D5464D">
        <w:rPr>
          <w:lang w:val="pt-BR"/>
        </w:rPr>
        <w:t xml:space="preserve"> e</w:t>
      </w:r>
      <w:r w:rsidR="00C91CB1" w:rsidRPr="00D5464D">
        <w:rPr>
          <w:lang w:val="pt-BR"/>
        </w:rPr>
        <w:t xml:space="preserve"> o </w:t>
      </w:r>
      <w:r w:rsidR="00207197" w:rsidRPr="00D5464D">
        <w:rPr>
          <w:lang w:val="pt-BR"/>
        </w:rPr>
        <w:t xml:space="preserve">considera </w:t>
      </w:r>
      <w:r w:rsidR="00687E8E" w:rsidRPr="00D5464D">
        <w:rPr>
          <w:lang w:val="pt-BR"/>
        </w:rPr>
        <w:t>concordante</w:t>
      </w:r>
      <w:r w:rsidRPr="00D5464D">
        <w:rPr>
          <w:lang w:val="pt-BR"/>
        </w:rPr>
        <w:t xml:space="preserve"> com</w:t>
      </w:r>
      <w:r w:rsidR="00C91CB1" w:rsidRPr="00D5464D">
        <w:rPr>
          <w:lang w:val="pt-BR"/>
        </w:rPr>
        <w:t xml:space="preserve"> o </w:t>
      </w:r>
      <w:r w:rsidR="00207197" w:rsidRPr="00D5464D">
        <w:rPr>
          <w:lang w:val="pt-BR"/>
        </w:rPr>
        <w:t>decidido</w:t>
      </w:r>
      <w:r w:rsidR="002C330E" w:rsidRPr="00D5464D">
        <w:rPr>
          <w:lang w:val="pt-BR"/>
        </w:rPr>
        <w:t xml:space="preserve"> pelo </w:t>
      </w:r>
      <w:r w:rsidR="007A680A" w:rsidRPr="00D5464D">
        <w:rPr>
          <w:lang w:val="pt-BR"/>
        </w:rPr>
        <w:t>Tribunal Penal Internacional Ad Hoc para</w:t>
      </w:r>
      <w:r w:rsidR="002C330E" w:rsidRPr="00D5464D">
        <w:rPr>
          <w:lang w:val="pt-BR"/>
        </w:rPr>
        <w:t xml:space="preserve"> a </w:t>
      </w:r>
      <w:r w:rsidR="00627239" w:rsidRPr="00D5464D">
        <w:rPr>
          <w:lang w:val="pt-BR"/>
        </w:rPr>
        <w:t>antiga Iugoslávia</w:t>
      </w:r>
      <w:r w:rsidR="00207197" w:rsidRPr="00D5464D">
        <w:rPr>
          <w:lang w:val="pt-BR"/>
        </w:rPr>
        <w:t>,</w:t>
      </w:r>
      <w:r w:rsidRPr="00D5464D">
        <w:rPr>
          <w:lang w:val="pt-BR"/>
        </w:rPr>
        <w:t xml:space="preserve"> o </w:t>
      </w:r>
      <w:r w:rsidR="00665818" w:rsidRPr="00D5464D">
        <w:rPr>
          <w:lang w:val="pt-BR"/>
        </w:rPr>
        <w:t xml:space="preserve">Tribunal Especial para </w:t>
      </w:r>
      <w:r w:rsidR="00E045D9" w:rsidRPr="00D5464D">
        <w:rPr>
          <w:lang w:val="pt-BR"/>
        </w:rPr>
        <w:t>Serra Leoa</w:t>
      </w:r>
      <w:r w:rsidRPr="00D5464D">
        <w:rPr>
          <w:lang w:val="pt-BR"/>
        </w:rPr>
        <w:t xml:space="preserve"> e</w:t>
      </w:r>
      <w:r w:rsidR="002C330E" w:rsidRPr="00D5464D">
        <w:rPr>
          <w:lang w:val="pt-BR"/>
        </w:rPr>
        <w:t xml:space="preserve"> a </w:t>
      </w:r>
      <w:r w:rsidR="00207197" w:rsidRPr="00D5464D">
        <w:rPr>
          <w:lang w:val="pt-BR"/>
        </w:rPr>
        <w:t xml:space="preserve">Corte de </w:t>
      </w:r>
      <w:r w:rsidR="002C330E" w:rsidRPr="00D5464D">
        <w:rPr>
          <w:lang w:val="pt-BR"/>
        </w:rPr>
        <w:t>Justiça</w:t>
      </w:r>
      <w:r w:rsidRPr="00D5464D">
        <w:rPr>
          <w:lang w:val="pt-BR"/>
        </w:rPr>
        <w:t xml:space="preserve"> da Comunidade Econômic</w:t>
      </w:r>
      <w:r w:rsidR="00A06951" w:rsidRPr="00D5464D">
        <w:rPr>
          <w:lang w:val="pt-BR"/>
        </w:rPr>
        <w:t>a da</w:t>
      </w:r>
      <w:r w:rsidR="00665818" w:rsidRPr="00D5464D">
        <w:rPr>
          <w:lang w:val="pt-BR"/>
        </w:rPr>
        <w:t xml:space="preserve"> África Ocidental </w:t>
      </w:r>
      <w:r w:rsidR="00207197" w:rsidRPr="00D5464D">
        <w:rPr>
          <w:lang w:val="pt-BR"/>
        </w:rPr>
        <w:t>(</w:t>
      </w:r>
      <w:r w:rsidR="002C330E" w:rsidRPr="00D5464D">
        <w:rPr>
          <w:lang w:val="pt-BR"/>
        </w:rPr>
        <w:t>pars.</w:t>
      </w:r>
      <w:r w:rsidR="00207197" w:rsidRPr="00D5464D">
        <w:rPr>
          <w:lang w:val="pt-BR"/>
        </w:rPr>
        <w:t xml:space="preserve"> </w:t>
      </w:r>
      <w:r w:rsidR="00A05771" w:rsidRPr="00D5464D">
        <w:rPr>
          <w:lang w:val="pt-BR"/>
        </w:rPr>
        <w:t>259 a 262</w:t>
      </w:r>
      <w:r w:rsidR="00A06951" w:rsidRPr="00D5464D">
        <w:rPr>
          <w:i/>
          <w:lang w:val="pt-BR"/>
        </w:rPr>
        <w:t xml:space="preserve"> supra</w:t>
      </w:r>
      <w:r w:rsidR="00207197" w:rsidRPr="00D5464D">
        <w:rPr>
          <w:lang w:val="pt-BR"/>
        </w:rPr>
        <w:t>), de modo que</w:t>
      </w:r>
      <w:r w:rsidR="00C93ED7" w:rsidRPr="00D5464D">
        <w:rPr>
          <w:lang w:val="pt-BR"/>
        </w:rPr>
        <w:t>,</w:t>
      </w:r>
      <w:r w:rsidR="00207197" w:rsidRPr="00D5464D">
        <w:rPr>
          <w:lang w:val="pt-BR"/>
        </w:rPr>
        <w:t xml:space="preserve"> para determinar</w:t>
      </w:r>
      <w:r w:rsidR="00E045D9" w:rsidRPr="00D5464D">
        <w:rPr>
          <w:lang w:val="pt-BR"/>
        </w:rPr>
        <w:t xml:space="preserve"> uma </w:t>
      </w:r>
      <w:r w:rsidR="00207197" w:rsidRPr="00D5464D">
        <w:rPr>
          <w:lang w:val="pt-BR"/>
        </w:rPr>
        <w:t>situa</w:t>
      </w:r>
      <w:r w:rsidRPr="00D5464D">
        <w:rPr>
          <w:lang w:val="pt-BR"/>
        </w:rPr>
        <w:t>ção</w:t>
      </w:r>
      <w:r w:rsidR="00207197" w:rsidRPr="00D5464D">
        <w:rPr>
          <w:lang w:val="pt-BR"/>
        </w:rPr>
        <w:t xml:space="preserve"> como </w:t>
      </w:r>
      <w:r w:rsidR="000B376D" w:rsidRPr="00D5464D">
        <w:rPr>
          <w:lang w:val="pt-BR"/>
        </w:rPr>
        <w:t>escravidão</w:t>
      </w:r>
      <w:r w:rsidR="00E045D9" w:rsidRPr="00D5464D">
        <w:rPr>
          <w:lang w:val="pt-BR"/>
        </w:rPr>
        <w:t xml:space="preserve"> nos </w:t>
      </w:r>
      <w:r w:rsidRPr="00D5464D">
        <w:rPr>
          <w:lang w:val="pt-BR"/>
        </w:rPr>
        <w:t>dia</w:t>
      </w:r>
      <w:r w:rsidR="00DD1625" w:rsidRPr="00D5464D">
        <w:rPr>
          <w:lang w:val="pt-BR"/>
        </w:rPr>
        <w:t xml:space="preserve">s </w:t>
      </w:r>
      <w:r w:rsidRPr="00D5464D">
        <w:rPr>
          <w:lang w:val="pt-BR"/>
        </w:rPr>
        <w:t>atuais</w:t>
      </w:r>
      <w:r w:rsidR="00207197" w:rsidRPr="00D5464D">
        <w:rPr>
          <w:lang w:val="pt-BR"/>
        </w:rPr>
        <w:t xml:space="preserve">, </w:t>
      </w:r>
      <w:r w:rsidR="00A06951" w:rsidRPr="00D5464D">
        <w:rPr>
          <w:lang w:val="pt-BR"/>
        </w:rPr>
        <w:t xml:space="preserve">deve-se </w:t>
      </w:r>
      <w:r w:rsidRPr="00D5464D">
        <w:rPr>
          <w:lang w:val="pt-BR"/>
        </w:rPr>
        <w:t>avaliar</w:t>
      </w:r>
      <w:r w:rsidR="00592688" w:rsidRPr="00D5464D">
        <w:rPr>
          <w:lang w:val="pt-BR"/>
        </w:rPr>
        <w:t>,</w:t>
      </w:r>
      <w:r w:rsidRPr="00D5464D">
        <w:rPr>
          <w:lang w:val="pt-BR"/>
        </w:rPr>
        <w:t xml:space="preserve"> com </w:t>
      </w:r>
      <w:r w:rsidR="00665818" w:rsidRPr="00D5464D">
        <w:rPr>
          <w:lang w:val="pt-BR"/>
        </w:rPr>
        <w:t>base</w:t>
      </w:r>
      <w:r w:rsidR="00E045D9" w:rsidRPr="00D5464D">
        <w:rPr>
          <w:lang w:val="pt-BR"/>
        </w:rPr>
        <w:t xml:space="preserve"> nos </w:t>
      </w:r>
      <w:r w:rsidR="002C330E" w:rsidRPr="00D5464D">
        <w:rPr>
          <w:lang w:val="pt-BR"/>
        </w:rPr>
        <w:t>seguinte</w:t>
      </w:r>
      <w:r w:rsidR="00207197" w:rsidRPr="00D5464D">
        <w:rPr>
          <w:lang w:val="pt-BR"/>
        </w:rPr>
        <w:t xml:space="preserve">s </w:t>
      </w:r>
      <w:r w:rsidR="00C44C4F" w:rsidRPr="00D5464D">
        <w:rPr>
          <w:lang w:val="pt-BR"/>
        </w:rPr>
        <w:t>elementos</w:t>
      </w:r>
      <w:r w:rsidR="00665818" w:rsidRPr="00D5464D">
        <w:rPr>
          <w:lang w:val="pt-BR"/>
        </w:rPr>
        <w:t>,</w:t>
      </w:r>
      <w:r w:rsidR="002C330E" w:rsidRPr="00D5464D">
        <w:rPr>
          <w:lang w:val="pt-BR"/>
        </w:rPr>
        <w:t xml:space="preserve"> a </w:t>
      </w:r>
      <w:r w:rsidR="00207197" w:rsidRPr="00D5464D">
        <w:rPr>
          <w:lang w:val="pt-BR"/>
        </w:rPr>
        <w:t>manifesta</w:t>
      </w:r>
      <w:r w:rsidRPr="00D5464D">
        <w:rPr>
          <w:lang w:val="pt-BR"/>
        </w:rPr>
        <w:t xml:space="preserve">ção dos </w:t>
      </w:r>
      <w:r w:rsidR="00E045D9" w:rsidRPr="00D5464D">
        <w:rPr>
          <w:lang w:val="pt-BR"/>
        </w:rPr>
        <w:t>chamado</w:t>
      </w:r>
      <w:r w:rsidR="00207197" w:rsidRPr="00D5464D">
        <w:rPr>
          <w:lang w:val="pt-BR"/>
        </w:rPr>
        <w:t xml:space="preserve">s “atributos </w:t>
      </w:r>
      <w:r w:rsidRPr="00D5464D">
        <w:rPr>
          <w:lang w:val="pt-BR"/>
        </w:rPr>
        <w:t>do direito</w:t>
      </w:r>
      <w:r w:rsidR="00207197" w:rsidRPr="00D5464D">
        <w:rPr>
          <w:lang w:val="pt-BR"/>
        </w:rPr>
        <w:t xml:space="preserve"> de </w:t>
      </w:r>
      <w:r w:rsidR="002C330E" w:rsidRPr="00D5464D">
        <w:rPr>
          <w:lang w:val="pt-BR"/>
        </w:rPr>
        <w:t>propriedade</w:t>
      </w:r>
      <w:r w:rsidR="00207197" w:rsidRPr="00D5464D">
        <w:rPr>
          <w:lang w:val="pt-BR"/>
        </w:rPr>
        <w:t xml:space="preserve">”: </w:t>
      </w:r>
    </w:p>
    <w:p w14:paraId="77A73499" w14:textId="77777777" w:rsidR="00207197" w:rsidRPr="00D5464D" w:rsidRDefault="00207197" w:rsidP="00140440">
      <w:pPr>
        <w:jc w:val="both"/>
        <w:rPr>
          <w:lang w:val="pt-BR"/>
        </w:rPr>
      </w:pPr>
    </w:p>
    <w:p w14:paraId="6499BBE7" w14:textId="1316B35B" w:rsidR="00207197" w:rsidRPr="00D5464D" w:rsidRDefault="00207197" w:rsidP="00D152C2">
      <w:pPr>
        <w:spacing w:after="120"/>
        <w:ind w:left="851"/>
        <w:jc w:val="both"/>
        <w:rPr>
          <w:lang w:val="pt-BR"/>
        </w:rPr>
      </w:pPr>
      <w:r w:rsidRPr="00D5464D">
        <w:rPr>
          <w:lang w:val="pt-BR"/>
        </w:rPr>
        <w:t xml:space="preserve">a) </w:t>
      </w:r>
      <w:r w:rsidR="002C330E" w:rsidRPr="00D5464D">
        <w:rPr>
          <w:lang w:val="pt-BR"/>
        </w:rPr>
        <w:t>restrição</w:t>
      </w:r>
      <w:r w:rsidRPr="00D5464D">
        <w:rPr>
          <w:lang w:val="pt-BR"/>
        </w:rPr>
        <w:t xml:space="preserve"> o</w:t>
      </w:r>
      <w:r w:rsidR="00A06951" w:rsidRPr="00D5464D">
        <w:rPr>
          <w:lang w:val="pt-BR"/>
        </w:rPr>
        <w:t>u</w:t>
      </w:r>
      <w:r w:rsidRPr="00D5464D">
        <w:rPr>
          <w:lang w:val="pt-BR"/>
        </w:rPr>
        <w:t xml:space="preserve"> </w:t>
      </w:r>
      <w:r w:rsidR="00470ADC" w:rsidRPr="00D5464D">
        <w:rPr>
          <w:lang w:val="pt-BR"/>
        </w:rPr>
        <w:t>controle da autonomia</w:t>
      </w:r>
      <w:r w:rsidRPr="00D5464D">
        <w:rPr>
          <w:lang w:val="pt-BR"/>
        </w:rPr>
        <w:t xml:space="preserve"> individual; </w:t>
      </w:r>
    </w:p>
    <w:p w14:paraId="78CA8387" w14:textId="68EB6B8B" w:rsidR="00207197" w:rsidRPr="00D5464D" w:rsidRDefault="00207197" w:rsidP="00D152C2">
      <w:pPr>
        <w:spacing w:after="120"/>
        <w:ind w:left="851"/>
        <w:jc w:val="both"/>
        <w:rPr>
          <w:lang w:val="pt-BR"/>
        </w:rPr>
      </w:pPr>
      <w:r w:rsidRPr="00D5464D">
        <w:rPr>
          <w:lang w:val="pt-BR"/>
        </w:rPr>
        <w:t xml:space="preserve">b) </w:t>
      </w:r>
      <w:r w:rsidR="002C330E" w:rsidRPr="00D5464D">
        <w:rPr>
          <w:lang w:val="pt-BR"/>
        </w:rPr>
        <w:t>perda</w:t>
      </w:r>
      <w:r w:rsidRPr="00D5464D">
        <w:rPr>
          <w:lang w:val="pt-BR"/>
        </w:rPr>
        <w:t xml:space="preserve"> o</w:t>
      </w:r>
      <w:r w:rsidR="00A06951" w:rsidRPr="00D5464D">
        <w:rPr>
          <w:lang w:val="pt-BR"/>
        </w:rPr>
        <w:t>u</w:t>
      </w:r>
      <w:r w:rsidRPr="00D5464D">
        <w:rPr>
          <w:lang w:val="pt-BR"/>
        </w:rPr>
        <w:t xml:space="preserve"> </w:t>
      </w:r>
      <w:r w:rsidR="002C330E" w:rsidRPr="00D5464D">
        <w:rPr>
          <w:lang w:val="pt-BR"/>
        </w:rPr>
        <w:t>restrição</w:t>
      </w:r>
      <w:r w:rsidR="00470ADC" w:rsidRPr="00D5464D">
        <w:rPr>
          <w:lang w:val="pt-BR"/>
        </w:rPr>
        <w:t xml:space="preserve"> da </w:t>
      </w:r>
      <w:r w:rsidR="002C330E" w:rsidRPr="00D5464D">
        <w:rPr>
          <w:lang w:val="pt-BR"/>
        </w:rPr>
        <w:t xml:space="preserve">liberdade </w:t>
      </w:r>
      <w:r w:rsidRPr="00D5464D">
        <w:rPr>
          <w:lang w:val="pt-BR"/>
        </w:rPr>
        <w:t xml:space="preserve">de </w:t>
      </w:r>
      <w:r w:rsidR="002C330E" w:rsidRPr="00D5464D">
        <w:rPr>
          <w:lang w:val="pt-BR"/>
        </w:rPr>
        <w:t>movimento</w:t>
      </w:r>
      <w:r w:rsidRPr="00D5464D">
        <w:rPr>
          <w:lang w:val="pt-BR"/>
        </w:rPr>
        <w:t xml:space="preserve"> de</w:t>
      </w:r>
      <w:r w:rsidR="00E045D9" w:rsidRPr="00D5464D">
        <w:rPr>
          <w:lang w:val="pt-BR"/>
        </w:rPr>
        <w:t xml:space="preserve"> uma </w:t>
      </w:r>
      <w:r w:rsidR="002C330E" w:rsidRPr="00D5464D">
        <w:rPr>
          <w:lang w:val="pt-BR"/>
        </w:rPr>
        <w:t>pessoa</w:t>
      </w:r>
      <w:r w:rsidRPr="00D5464D">
        <w:rPr>
          <w:lang w:val="pt-BR"/>
        </w:rPr>
        <w:t xml:space="preserve">; </w:t>
      </w:r>
    </w:p>
    <w:p w14:paraId="0C24C07E" w14:textId="566B3F1C" w:rsidR="00207197" w:rsidRPr="00D5464D" w:rsidRDefault="00207197" w:rsidP="00D152C2">
      <w:pPr>
        <w:spacing w:after="120"/>
        <w:ind w:left="851"/>
        <w:jc w:val="both"/>
        <w:rPr>
          <w:lang w:val="pt-BR"/>
        </w:rPr>
      </w:pPr>
      <w:r w:rsidRPr="00D5464D">
        <w:rPr>
          <w:lang w:val="pt-BR"/>
        </w:rPr>
        <w:t>c)</w:t>
      </w:r>
      <w:r w:rsidR="002C330E" w:rsidRPr="00D5464D">
        <w:rPr>
          <w:lang w:val="pt-BR"/>
        </w:rPr>
        <w:t xml:space="preserve"> </w:t>
      </w:r>
      <w:r w:rsidRPr="00D5464D">
        <w:rPr>
          <w:lang w:val="pt-BR"/>
        </w:rPr>
        <w:t>obten</w:t>
      </w:r>
      <w:r w:rsidR="00470ADC" w:rsidRPr="00D5464D">
        <w:rPr>
          <w:lang w:val="pt-BR"/>
        </w:rPr>
        <w:t>ção</w:t>
      </w:r>
      <w:r w:rsidRPr="00D5464D">
        <w:rPr>
          <w:lang w:val="pt-BR"/>
        </w:rPr>
        <w:t xml:space="preserve"> de</w:t>
      </w:r>
      <w:r w:rsidR="00E045D9" w:rsidRPr="00D5464D">
        <w:rPr>
          <w:lang w:val="pt-BR"/>
        </w:rPr>
        <w:t xml:space="preserve"> um </w:t>
      </w:r>
      <w:r w:rsidR="00A06951" w:rsidRPr="00D5464D">
        <w:rPr>
          <w:lang w:val="pt-BR"/>
        </w:rPr>
        <w:t xml:space="preserve">benefício </w:t>
      </w:r>
      <w:r w:rsidRPr="00D5464D">
        <w:rPr>
          <w:lang w:val="pt-BR"/>
        </w:rPr>
        <w:t xml:space="preserve">por parte </w:t>
      </w:r>
      <w:r w:rsidR="00470ADC" w:rsidRPr="00D5464D">
        <w:rPr>
          <w:lang w:val="pt-BR"/>
        </w:rPr>
        <w:t xml:space="preserve">do </w:t>
      </w:r>
      <w:r w:rsidRPr="00D5464D">
        <w:rPr>
          <w:lang w:val="pt-BR"/>
        </w:rPr>
        <w:t xml:space="preserve">perpetrador; </w:t>
      </w:r>
    </w:p>
    <w:p w14:paraId="78F94B5B" w14:textId="02E8DECE" w:rsidR="00207197" w:rsidRPr="00D5464D" w:rsidRDefault="00207197" w:rsidP="00D152C2">
      <w:pPr>
        <w:spacing w:after="120"/>
        <w:ind w:left="851"/>
        <w:jc w:val="both"/>
        <w:rPr>
          <w:lang w:val="pt-BR"/>
        </w:rPr>
      </w:pPr>
      <w:r w:rsidRPr="00D5464D">
        <w:rPr>
          <w:lang w:val="pt-BR"/>
        </w:rPr>
        <w:t>d)</w:t>
      </w:r>
      <w:r w:rsidR="002C330E" w:rsidRPr="00D5464D">
        <w:rPr>
          <w:lang w:val="pt-BR"/>
        </w:rPr>
        <w:t xml:space="preserve"> </w:t>
      </w:r>
      <w:r w:rsidR="00470ADC" w:rsidRPr="00D5464D">
        <w:rPr>
          <w:lang w:val="pt-BR"/>
        </w:rPr>
        <w:t>ausência</w:t>
      </w:r>
      <w:r w:rsidRPr="00D5464D">
        <w:rPr>
          <w:lang w:val="pt-BR"/>
        </w:rPr>
        <w:t xml:space="preserve"> de </w:t>
      </w:r>
      <w:r w:rsidR="00470ADC" w:rsidRPr="00D5464D">
        <w:rPr>
          <w:lang w:val="pt-BR"/>
        </w:rPr>
        <w:t>consentimento</w:t>
      </w:r>
      <w:r w:rsidRPr="00D5464D">
        <w:rPr>
          <w:lang w:val="pt-BR"/>
        </w:rPr>
        <w:t xml:space="preserve"> o</w:t>
      </w:r>
      <w:r w:rsidR="00A06951" w:rsidRPr="00D5464D">
        <w:rPr>
          <w:lang w:val="pt-BR"/>
        </w:rPr>
        <w:t>u</w:t>
      </w:r>
      <w:r w:rsidRPr="00D5464D">
        <w:rPr>
          <w:lang w:val="pt-BR"/>
        </w:rPr>
        <w:t xml:space="preserve"> de</w:t>
      </w:r>
      <w:r w:rsidR="002C330E" w:rsidRPr="00D5464D">
        <w:rPr>
          <w:lang w:val="pt-BR"/>
        </w:rPr>
        <w:t xml:space="preserve"> livre </w:t>
      </w:r>
      <w:r w:rsidR="00EB1CE9" w:rsidRPr="00D5464D">
        <w:rPr>
          <w:lang w:val="pt-BR"/>
        </w:rPr>
        <w:t>arbítrio</w:t>
      </w:r>
      <w:r w:rsidR="00470ADC" w:rsidRPr="00D5464D">
        <w:rPr>
          <w:lang w:val="pt-BR"/>
        </w:rPr>
        <w:t xml:space="preserve"> da </w:t>
      </w:r>
      <w:r w:rsidR="00E045D9" w:rsidRPr="00D5464D">
        <w:rPr>
          <w:lang w:val="pt-BR"/>
        </w:rPr>
        <w:t>vítima</w:t>
      </w:r>
      <w:r w:rsidRPr="00D5464D">
        <w:rPr>
          <w:lang w:val="pt-BR"/>
        </w:rPr>
        <w:t>, o</w:t>
      </w:r>
      <w:r w:rsidR="00A06951" w:rsidRPr="00D5464D">
        <w:rPr>
          <w:lang w:val="pt-BR"/>
        </w:rPr>
        <w:t xml:space="preserve">u sua </w:t>
      </w:r>
      <w:r w:rsidRPr="00D5464D">
        <w:rPr>
          <w:lang w:val="pt-BR"/>
        </w:rPr>
        <w:t>im</w:t>
      </w:r>
      <w:r w:rsidR="002C330E" w:rsidRPr="00D5464D">
        <w:rPr>
          <w:lang w:val="pt-BR"/>
        </w:rPr>
        <w:t>possibilida</w:t>
      </w:r>
      <w:r w:rsidR="00E045D9" w:rsidRPr="00D5464D">
        <w:rPr>
          <w:lang w:val="pt-BR"/>
        </w:rPr>
        <w:t>d</w:t>
      </w:r>
      <w:r w:rsidR="00A06951" w:rsidRPr="00D5464D">
        <w:rPr>
          <w:lang w:val="pt-BR"/>
        </w:rPr>
        <w:t xml:space="preserve">e </w:t>
      </w:r>
      <w:r w:rsidR="00E045D9" w:rsidRPr="00D5464D">
        <w:rPr>
          <w:lang w:val="pt-BR"/>
        </w:rPr>
        <w:t>o</w:t>
      </w:r>
      <w:r w:rsidR="00A06951" w:rsidRPr="00D5464D">
        <w:rPr>
          <w:lang w:val="pt-BR"/>
        </w:rPr>
        <w:t>u</w:t>
      </w:r>
      <w:r w:rsidR="00E045D9" w:rsidRPr="00D5464D">
        <w:rPr>
          <w:lang w:val="pt-BR"/>
        </w:rPr>
        <w:t xml:space="preserve"> </w:t>
      </w:r>
      <w:r w:rsidRPr="00D5464D">
        <w:rPr>
          <w:lang w:val="pt-BR"/>
        </w:rPr>
        <w:t>ir</w:t>
      </w:r>
      <w:r w:rsidR="002C330E" w:rsidRPr="00D5464D">
        <w:rPr>
          <w:lang w:val="pt-BR"/>
        </w:rPr>
        <w:t>relevância</w:t>
      </w:r>
      <w:r w:rsidRPr="00D5464D">
        <w:rPr>
          <w:lang w:val="pt-BR"/>
        </w:rPr>
        <w:t xml:space="preserve"> </w:t>
      </w:r>
      <w:r w:rsidR="00470ADC" w:rsidRPr="00D5464D">
        <w:rPr>
          <w:lang w:val="pt-BR"/>
        </w:rPr>
        <w:t>devido à ameaça</w:t>
      </w:r>
      <w:r w:rsidRPr="00D5464D">
        <w:rPr>
          <w:lang w:val="pt-BR"/>
        </w:rPr>
        <w:t xml:space="preserve"> de uso</w:t>
      </w:r>
      <w:r w:rsidR="00470ADC" w:rsidRPr="00D5464D">
        <w:rPr>
          <w:lang w:val="pt-BR"/>
        </w:rPr>
        <w:t xml:space="preserve"> da </w:t>
      </w:r>
      <w:r w:rsidR="00E045D9" w:rsidRPr="00D5464D">
        <w:rPr>
          <w:lang w:val="pt-BR"/>
        </w:rPr>
        <w:t xml:space="preserve">violência ou </w:t>
      </w:r>
      <w:r w:rsidR="002C330E" w:rsidRPr="00D5464D">
        <w:rPr>
          <w:lang w:val="pt-BR"/>
        </w:rPr>
        <w:t>outra</w:t>
      </w:r>
      <w:r w:rsidRPr="00D5464D">
        <w:rPr>
          <w:lang w:val="pt-BR"/>
        </w:rPr>
        <w:t>s formas de coer</w:t>
      </w:r>
      <w:r w:rsidR="00470ADC" w:rsidRPr="00D5464D">
        <w:rPr>
          <w:lang w:val="pt-BR"/>
        </w:rPr>
        <w:t>ção</w:t>
      </w:r>
      <w:r w:rsidRPr="00D5464D">
        <w:rPr>
          <w:lang w:val="pt-BR"/>
        </w:rPr>
        <w:t>,</w:t>
      </w:r>
      <w:r w:rsidR="00470ADC" w:rsidRPr="00D5464D">
        <w:rPr>
          <w:lang w:val="pt-BR"/>
        </w:rPr>
        <w:t xml:space="preserve"> o</w:t>
      </w:r>
      <w:r w:rsidR="002C330E" w:rsidRPr="00D5464D">
        <w:rPr>
          <w:lang w:val="pt-BR"/>
        </w:rPr>
        <w:t xml:space="preserve"> medo </w:t>
      </w:r>
      <w:r w:rsidRPr="00D5464D">
        <w:rPr>
          <w:lang w:val="pt-BR"/>
        </w:rPr>
        <w:t xml:space="preserve">de </w:t>
      </w:r>
      <w:r w:rsidR="00E045D9" w:rsidRPr="00D5464D">
        <w:rPr>
          <w:lang w:val="pt-BR"/>
        </w:rPr>
        <w:t>violência</w:t>
      </w:r>
      <w:r w:rsidRPr="00D5464D">
        <w:rPr>
          <w:lang w:val="pt-BR"/>
        </w:rPr>
        <w:t>,</w:t>
      </w:r>
      <w:r w:rsidR="00470ADC" w:rsidRPr="00D5464D">
        <w:rPr>
          <w:lang w:val="pt-BR"/>
        </w:rPr>
        <w:t xml:space="preserve"> </w:t>
      </w:r>
      <w:r w:rsidR="00A06951" w:rsidRPr="00D5464D">
        <w:rPr>
          <w:lang w:val="pt-BR"/>
        </w:rPr>
        <w:t xml:space="preserve">fraude </w:t>
      </w:r>
      <w:r w:rsidRPr="00D5464D">
        <w:rPr>
          <w:lang w:val="pt-BR"/>
        </w:rPr>
        <w:t>o</w:t>
      </w:r>
      <w:r w:rsidR="00A06951" w:rsidRPr="00D5464D">
        <w:rPr>
          <w:lang w:val="pt-BR"/>
        </w:rPr>
        <w:t>u</w:t>
      </w:r>
      <w:r w:rsidR="002C330E" w:rsidRPr="00D5464D">
        <w:rPr>
          <w:lang w:val="pt-BR"/>
        </w:rPr>
        <w:t xml:space="preserve"> </w:t>
      </w:r>
      <w:r w:rsidRPr="00D5464D">
        <w:rPr>
          <w:lang w:val="pt-BR"/>
        </w:rPr>
        <w:t xml:space="preserve">falsas </w:t>
      </w:r>
      <w:r w:rsidR="00A1358C" w:rsidRPr="00D5464D">
        <w:rPr>
          <w:lang w:val="pt-BR"/>
        </w:rPr>
        <w:t>promessa</w:t>
      </w:r>
      <w:r w:rsidRPr="00D5464D">
        <w:rPr>
          <w:lang w:val="pt-BR"/>
        </w:rPr>
        <w:t xml:space="preserve">s; </w:t>
      </w:r>
    </w:p>
    <w:p w14:paraId="0ECCDAFF" w14:textId="49D095AA" w:rsidR="00207197" w:rsidRPr="00D5464D" w:rsidRDefault="00207197" w:rsidP="00D152C2">
      <w:pPr>
        <w:spacing w:after="120"/>
        <w:ind w:left="851"/>
        <w:jc w:val="both"/>
        <w:rPr>
          <w:lang w:val="pt-BR"/>
        </w:rPr>
      </w:pPr>
      <w:r w:rsidRPr="00D5464D">
        <w:rPr>
          <w:lang w:val="pt-BR"/>
        </w:rPr>
        <w:t>e)</w:t>
      </w:r>
      <w:r w:rsidR="00470ADC" w:rsidRPr="00D5464D">
        <w:rPr>
          <w:lang w:val="pt-BR"/>
        </w:rPr>
        <w:t xml:space="preserve"> </w:t>
      </w:r>
      <w:r w:rsidRPr="00D5464D">
        <w:rPr>
          <w:lang w:val="pt-BR"/>
        </w:rPr>
        <w:t xml:space="preserve">uso de </w:t>
      </w:r>
      <w:r w:rsidR="00E045D9" w:rsidRPr="00D5464D">
        <w:rPr>
          <w:lang w:val="pt-BR"/>
        </w:rPr>
        <w:t>violência</w:t>
      </w:r>
      <w:r w:rsidRPr="00D5464D">
        <w:rPr>
          <w:lang w:val="pt-BR"/>
        </w:rPr>
        <w:t xml:space="preserve"> física o</w:t>
      </w:r>
      <w:r w:rsidR="00A06951" w:rsidRPr="00D5464D">
        <w:rPr>
          <w:lang w:val="pt-BR"/>
        </w:rPr>
        <w:t>u</w:t>
      </w:r>
      <w:r w:rsidRPr="00D5464D">
        <w:rPr>
          <w:lang w:val="pt-BR"/>
        </w:rPr>
        <w:t xml:space="preserve"> psicológica; </w:t>
      </w:r>
    </w:p>
    <w:p w14:paraId="63FA22B4" w14:textId="4880A839" w:rsidR="00207197" w:rsidRPr="00D5464D" w:rsidRDefault="00207197" w:rsidP="00D152C2">
      <w:pPr>
        <w:spacing w:after="120"/>
        <w:ind w:left="851"/>
        <w:jc w:val="both"/>
        <w:rPr>
          <w:lang w:val="pt-BR"/>
        </w:rPr>
      </w:pPr>
      <w:r w:rsidRPr="00D5464D">
        <w:rPr>
          <w:lang w:val="pt-BR"/>
        </w:rPr>
        <w:t>f)</w:t>
      </w:r>
      <w:r w:rsidR="002C330E" w:rsidRPr="00D5464D">
        <w:rPr>
          <w:lang w:val="pt-BR"/>
        </w:rPr>
        <w:t xml:space="preserve"> </w:t>
      </w:r>
      <w:r w:rsidRPr="00D5464D">
        <w:rPr>
          <w:lang w:val="pt-BR"/>
        </w:rPr>
        <w:t>posi</w:t>
      </w:r>
      <w:r w:rsidR="00470ADC" w:rsidRPr="00D5464D">
        <w:rPr>
          <w:lang w:val="pt-BR"/>
        </w:rPr>
        <w:t>ção</w:t>
      </w:r>
      <w:r w:rsidRPr="00D5464D">
        <w:rPr>
          <w:lang w:val="pt-BR"/>
        </w:rPr>
        <w:t xml:space="preserve"> de </w:t>
      </w:r>
      <w:r w:rsidR="00E045D9" w:rsidRPr="00D5464D">
        <w:rPr>
          <w:lang w:val="pt-BR"/>
        </w:rPr>
        <w:t xml:space="preserve">vulnerabilidade </w:t>
      </w:r>
      <w:r w:rsidR="00470ADC" w:rsidRPr="00D5464D">
        <w:rPr>
          <w:lang w:val="pt-BR"/>
        </w:rPr>
        <w:t xml:space="preserve">da </w:t>
      </w:r>
      <w:r w:rsidR="00E045D9" w:rsidRPr="00D5464D">
        <w:rPr>
          <w:lang w:val="pt-BR"/>
        </w:rPr>
        <w:t>vítima</w:t>
      </w:r>
      <w:r w:rsidRPr="00D5464D">
        <w:rPr>
          <w:lang w:val="pt-BR"/>
        </w:rPr>
        <w:t xml:space="preserve">; </w:t>
      </w:r>
    </w:p>
    <w:p w14:paraId="0E124AD4" w14:textId="41721ACA" w:rsidR="00207197" w:rsidRPr="00D5464D" w:rsidRDefault="00207197" w:rsidP="00D152C2">
      <w:pPr>
        <w:spacing w:after="120"/>
        <w:ind w:left="851"/>
        <w:jc w:val="both"/>
        <w:rPr>
          <w:lang w:val="pt-BR"/>
        </w:rPr>
      </w:pPr>
      <w:r w:rsidRPr="00D5464D">
        <w:rPr>
          <w:lang w:val="pt-BR"/>
        </w:rPr>
        <w:t>g)</w:t>
      </w:r>
      <w:r w:rsidR="002C330E" w:rsidRPr="00D5464D">
        <w:rPr>
          <w:lang w:val="pt-BR"/>
        </w:rPr>
        <w:t xml:space="preserve"> </w:t>
      </w:r>
      <w:r w:rsidRPr="00D5464D">
        <w:rPr>
          <w:lang w:val="pt-BR"/>
        </w:rPr>
        <w:t>deten</w:t>
      </w:r>
      <w:r w:rsidR="00470ADC" w:rsidRPr="00D5464D">
        <w:rPr>
          <w:lang w:val="pt-BR"/>
        </w:rPr>
        <w:t>ção</w:t>
      </w:r>
      <w:r w:rsidRPr="00D5464D">
        <w:rPr>
          <w:lang w:val="pt-BR"/>
        </w:rPr>
        <w:t xml:space="preserve"> o</w:t>
      </w:r>
      <w:r w:rsidR="00A06951" w:rsidRPr="00D5464D">
        <w:rPr>
          <w:lang w:val="pt-BR"/>
        </w:rPr>
        <w:t>u</w:t>
      </w:r>
      <w:r w:rsidRPr="00D5464D">
        <w:rPr>
          <w:lang w:val="pt-BR"/>
        </w:rPr>
        <w:t xml:space="preserve"> </w:t>
      </w:r>
      <w:r w:rsidR="00470ADC" w:rsidRPr="00D5464D">
        <w:rPr>
          <w:lang w:val="pt-BR"/>
        </w:rPr>
        <w:t>cativeiro</w:t>
      </w:r>
      <w:r w:rsidR="00C44C4F" w:rsidRPr="00D5464D">
        <w:rPr>
          <w:lang w:val="pt-BR"/>
        </w:rPr>
        <w:t>,</w:t>
      </w:r>
      <w:r w:rsidR="00FF1290" w:rsidRPr="00D5464D">
        <w:rPr>
          <w:lang w:val="pt-BR"/>
        </w:rPr>
        <w:t xml:space="preserve"> </w:t>
      </w:r>
    </w:p>
    <w:p w14:paraId="6ECD6F05" w14:textId="0324E219" w:rsidR="00207197" w:rsidRPr="00D5464D" w:rsidRDefault="00207197" w:rsidP="00F727E4">
      <w:pPr>
        <w:ind w:left="851"/>
        <w:jc w:val="both"/>
        <w:rPr>
          <w:lang w:val="pt-BR"/>
        </w:rPr>
      </w:pPr>
      <w:r w:rsidRPr="00D5464D">
        <w:rPr>
          <w:lang w:val="pt-BR"/>
        </w:rPr>
        <w:t>i)</w:t>
      </w:r>
      <w:r w:rsidR="002C330E" w:rsidRPr="00D5464D">
        <w:rPr>
          <w:lang w:val="pt-BR"/>
        </w:rPr>
        <w:t xml:space="preserve"> </w:t>
      </w:r>
      <w:r w:rsidR="00230C71" w:rsidRPr="00D5464D">
        <w:rPr>
          <w:lang w:val="pt-BR"/>
        </w:rPr>
        <w:t>exploração</w:t>
      </w:r>
      <w:r w:rsidR="00C44C4F" w:rsidRPr="00D5464D">
        <w:rPr>
          <w:lang w:val="pt-BR"/>
        </w:rPr>
        <w:t>.</w:t>
      </w:r>
      <w:r w:rsidRPr="00D5464D">
        <w:rPr>
          <w:rStyle w:val="Refdenotaalpie"/>
          <w:sz w:val="18"/>
          <w:szCs w:val="18"/>
          <w:lang w:val="pt-BR"/>
        </w:rPr>
        <w:footnoteReference w:id="412"/>
      </w:r>
      <w:r w:rsidRPr="00D5464D">
        <w:rPr>
          <w:lang w:val="pt-BR"/>
        </w:rPr>
        <w:t xml:space="preserve"> </w:t>
      </w:r>
    </w:p>
    <w:p w14:paraId="5A290202" w14:textId="77777777" w:rsidR="00207197" w:rsidRPr="00D5464D" w:rsidRDefault="00207197" w:rsidP="00140440">
      <w:pPr>
        <w:jc w:val="both"/>
        <w:rPr>
          <w:lang w:val="pt-BR"/>
        </w:rPr>
      </w:pPr>
    </w:p>
    <w:p w14:paraId="723EF5D8" w14:textId="084B33B8" w:rsidR="00207197" w:rsidRPr="00D5464D" w:rsidRDefault="00C93ED7" w:rsidP="00F37DC4">
      <w:pPr>
        <w:pStyle w:val="Prrafodelista"/>
        <w:numPr>
          <w:ilvl w:val="0"/>
          <w:numId w:val="1"/>
        </w:numPr>
        <w:contextualSpacing w:val="0"/>
        <w:rPr>
          <w:lang w:val="pt-BR"/>
        </w:rPr>
      </w:pPr>
      <w:r w:rsidRPr="00D5464D">
        <w:rPr>
          <w:lang w:val="pt-BR"/>
        </w:rPr>
        <w:t>A partir do exposto, fica</w:t>
      </w:r>
      <w:r w:rsidR="00FF1290" w:rsidRPr="00D5464D">
        <w:rPr>
          <w:lang w:val="pt-BR"/>
        </w:rPr>
        <w:t xml:space="preserve"> </w:t>
      </w:r>
      <w:r w:rsidR="00207197" w:rsidRPr="00D5464D">
        <w:rPr>
          <w:lang w:val="pt-BR"/>
        </w:rPr>
        <w:t>evidente que</w:t>
      </w:r>
      <w:r w:rsidR="002C330E" w:rsidRPr="00D5464D">
        <w:rPr>
          <w:lang w:val="pt-BR"/>
        </w:rPr>
        <w:t xml:space="preserve"> a </w:t>
      </w:r>
      <w:r w:rsidR="00207197" w:rsidRPr="00D5464D">
        <w:rPr>
          <w:lang w:val="pt-BR"/>
        </w:rPr>
        <w:t>constata</w:t>
      </w:r>
      <w:r w:rsidR="00470ADC" w:rsidRPr="00D5464D">
        <w:rPr>
          <w:lang w:val="pt-BR"/>
        </w:rPr>
        <w:t>ção</w:t>
      </w:r>
      <w:r w:rsidR="00207197" w:rsidRPr="00D5464D">
        <w:rPr>
          <w:lang w:val="pt-BR"/>
        </w:rPr>
        <w:t xml:space="preserve"> de</w:t>
      </w:r>
      <w:r w:rsidR="00E045D9" w:rsidRPr="00D5464D">
        <w:rPr>
          <w:lang w:val="pt-BR"/>
        </w:rPr>
        <w:t xml:space="preserve"> uma </w:t>
      </w:r>
      <w:r w:rsidR="00207197" w:rsidRPr="00D5464D">
        <w:rPr>
          <w:lang w:val="pt-BR"/>
        </w:rPr>
        <w:t>situa</w:t>
      </w:r>
      <w:r w:rsidR="00470ADC" w:rsidRPr="00D5464D">
        <w:rPr>
          <w:lang w:val="pt-BR"/>
        </w:rPr>
        <w:t>ção</w:t>
      </w:r>
      <w:r w:rsidR="00207197" w:rsidRPr="00D5464D">
        <w:rPr>
          <w:lang w:val="pt-BR"/>
        </w:rPr>
        <w:t xml:space="preserve"> de </w:t>
      </w:r>
      <w:r w:rsidR="000B376D" w:rsidRPr="00D5464D">
        <w:rPr>
          <w:lang w:val="pt-BR"/>
        </w:rPr>
        <w:t>escravidão</w:t>
      </w:r>
      <w:r w:rsidR="00207197" w:rsidRPr="00D5464D">
        <w:rPr>
          <w:lang w:val="pt-BR"/>
        </w:rPr>
        <w:t xml:space="preserve"> representa</w:t>
      </w:r>
      <w:r w:rsidR="00E045D9" w:rsidRPr="00D5464D">
        <w:rPr>
          <w:lang w:val="pt-BR"/>
        </w:rPr>
        <w:t xml:space="preserve"> uma </w:t>
      </w:r>
      <w:r w:rsidR="002C330E" w:rsidRPr="00D5464D">
        <w:rPr>
          <w:lang w:val="pt-BR"/>
        </w:rPr>
        <w:t>restrição</w:t>
      </w:r>
      <w:r w:rsidR="00C44C4F" w:rsidRPr="00D5464D">
        <w:rPr>
          <w:lang w:val="pt-BR"/>
        </w:rPr>
        <w:t xml:space="preserve"> </w:t>
      </w:r>
      <w:r w:rsidR="00E045D9" w:rsidRPr="00D5464D">
        <w:rPr>
          <w:lang w:val="pt-BR"/>
        </w:rPr>
        <w:t xml:space="preserve">substantiva </w:t>
      </w:r>
      <w:r w:rsidR="00470ADC" w:rsidRPr="00D5464D">
        <w:rPr>
          <w:lang w:val="pt-BR"/>
        </w:rPr>
        <w:t xml:space="preserve">da </w:t>
      </w:r>
      <w:r w:rsidR="002C330E" w:rsidRPr="00D5464D">
        <w:rPr>
          <w:lang w:val="pt-BR"/>
        </w:rPr>
        <w:t xml:space="preserve">personalidade </w:t>
      </w:r>
      <w:r w:rsidR="00207197" w:rsidRPr="00D5464D">
        <w:rPr>
          <w:lang w:val="pt-BR"/>
        </w:rPr>
        <w:t xml:space="preserve">jurídica </w:t>
      </w:r>
      <w:r w:rsidR="00470ADC" w:rsidRPr="00D5464D">
        <w:rPr>
          <w:lang w:val="pt-BR"/>
        </w:rPr>
        <w:t xml:space="preserve">do </w:t>
      </w:r>
      <w:r w:rsidR="00207197" w:rsidRPr="00D5464D">
        <w:rPr>
          <w:lang w:val="pt-BR"/>
        </w:rPr>
        <w:t>ser humano</w:t>
      </w:r>
      <w:r w:rsidR="00207197" w:rsidRPr="00D5464D">
        <w:rPr>
          <w:rStyle w:val="Refdenotaalpie"/>
          <w:lang w:val="pt-BR"/>
        </w:rPr>
        <w:footnoteReference w:id="413"/>
      </w:r>
      <w:r w:rsidR="00E045D9" w:rsidRPr="00D5464D">
        <w:rPr>
          <w:lang w:val="pt-BR"/>
        </w:rPr>
        <w:t xml:space="preserve"> e </w:t>
      </w:r>
      <w:r w:rsidR="002C330E" w:rsidRPr="00D5464D">
        <w:rPr>
          <w:lang w:val="pt-BR"/>
        </w:rPr>
        <w:t>poderia</w:t>
      </w:r>
      <w:r w:rsidR="00A162E1" w:rsidRPr="00D5464D">
        <w:rPr>
          <w:lang w:val="pt-BR"/>
        </w:rPr>
        <w:t xml:space="preserve"> representar</w:t>
      </w:r>
      <w:r w:rsidR="00207197" w:rsidRPr="00D5464D">
        <w:rPr>
          <w:lang w:val="pt-BR"/>
        </w:rPr>
        <w:t xml:space="preserve">, </w:t>
      </w:r>
      <w:r w:rsidR="00470ADC" w:rsidRPr="00D5464D">
        <w:rPr>
          <w:lang w:val="pt-BR"/>
        </w:rPr>
        <w:t>ademais</w:t>
      </w:r>
      <w:r w:rsidR="00207197" w:rsidRPr="00D5464D">
        <w:rPr>
          <w:lang w:val="pt-BR"/>
        </w:rPr>
        <w:t>, viola</w:t>
      </w:r>
      <w:r w:rsidR="00470ADC" w:rsidRPr="00D5464D">
        <w:rPr>
          <w:lang w:val="pt-BR"/>
        </w:rPr>
        <w:t>ções</w:t>
      </w:r>
      <w:r w:rsidR="00E045D9" w:rsidRPr="00D5464D">
        <w:rPr>
          <w:lang w:val="pt-BR"/>
        </w:rPr>
        <w:t xml:space="preserve"> aos </w:t>
      </w:r>
      <w:r w:rsidR="00470ADC" w:rsidRPr="00D5464D">
        <w:rPr>
          <w:lang w:val="pt-BR"/>
        </w:rPr>
        <w:t>direito</w:t>
      </w:r>
      <w:r w:rsidR="00207197" w:rsidRPr="00D5464D">
        <w:rPr>
          <w:lang w:val="pt-BR"/>
        </w:rPr>
        <w:t>s</w:t>
      </w:r>
      <w:r w:rsidR="00470ADC" w:rsidRPr="00D5464D">
        <w:rPr>
          <w:lang w:val="pt-BR"/>
        </w:rPr>
        <w:t xml:space="preserve"> à </w:t>
      </w:r>
      <w:r w:rsidR="002C330E" w:rsidRPr="00D5464D">
        <w:rPr>
          <w:lang w:val="pt-BR"/>
        </w:rPr>
        <w:t>integridade pessoa</w:t>
      </w:r>
      <w:r w:rsidR="00207197" w:rsidRPr="00D5464D">
        <w:rPr>
          <w:lang w:val="pt-BR"/>
        </w:rPr>
        <w:t>l,</w:t>
      </w:r>
      <w:r w:rsidR="00470ADC" w:rsidRPr="00D5464D">
        <w:rPr>
          <w:lang w:val="pt-BR"/>
        </w:rPr>
        <w:t xml:space="preserve"> à </w:t>
      </w:r>
      <w:r w:rsidR="002C330E" w:rsidRPr="00D5464D">
        <w:rPr>
          <w:lang w:val="pt-BR"/>
        </w:rPr>
        <w:t>liberdade pessoa</w:t>
      </w:r>
      <w:r w:rsidR="00207197" w:rsidRPr="00D5464D">
        <w:rPr>
          <w:lang w:val="pt-BR"/>
        </w:rPr>
        <w:t>l</w:t>
      </w:r>
      <w:r w:rsidR="00E045D9" w:rsidRPr="00D5464D">
        <w:rPr>
          <w:lang w:val="pt-BR"/>
        </w:rPr>
        <w:t xml:space="preserve"> e </w:t>
      </w:r>
      <w:r w:rsidR="00470ADC" w:rsidRPr="00D5464D">
        <w:rPr>
          <w:lang w:val="pt-BR"/>
        </w:rPr>
        <w:t xml:space="preserve">à </w:t>
      </w:r>
      <w:r w:rsidR="00207197" w:rsidRPr="00D5464D">
        <w:rPr>
          <w:lang w:val="pt-BR"/>
        </w:rPr>
        <w:t>dig</w:t>
      </w:r>
      <w:r w:rsidR="00737270" w:rsidRPr="00D5464D">
        <w:rPr>
          <w:lang w:val="pt-BR"/>
        </w:rPr>
        <w:t xml:space="preserve">nidade, </w:t>
      </w:r>
      <w:r w:rsidR="00375852" w:rsidRPr="00D5464D">
        <w:rPr>
          <w:lang w:val="pt-BR"/>
        </w:rPr>
        <w:t xml:space="preserve">entre outros, </w:t>
      </w:r>
      <w:r w:rsidR="00737270" w:rsidRPr="00D5464D">
        <w:rPr>
          <w:lang w:val="pt-BR"/>
        </w:rPr>
        <w:t>dependendo</w:t>
      </w:r>
      <w:r w:rsidR="00470ADC" w:rsidRPr="00D5464D">
        <w:rPr>
          <w:lang w:val="pt-BR"/>
        </w:rPr>
        <w:t xml:space="preserve"> das circunstâncias</w:t>
      </w:r>
      <w:r w:rsidR="00207197" w:rsidRPr="00D5464D">
        <w:rPr>
          <w:lang w:val="pt-BR"/>
        </w:rPr>
        <w:t xml:space="preserve"> específicas de cada caso. </w:t>
      </w:r>
    </w:p>
    <w:p w14:paraId="746A479E" w14:textId="77777777" w:rsidR="00307914" w:rsidRPr="00D5464D" w:rsidRDefault="00307914" w:rsidP="00140440">
      <w:pPr>
        <w:pStyle w:val="Prrafodelista"/>
        <w:ind w:left="0"/>
        <w:rPr>
          <w:b/>
          <w:lang w:val="pt-BR"/>
        </w:rPr>
      </w:pPr>
    </w:p>
    <w:p w14:paraId="2C4A64D2" w14:textId="6BD216AD" w:rsidR="00207197" w:rsidRPr="00D5464D" w:rsidRDefault="005D2CE2" w:rsidP="005D2CE2">
      <w:pPr>
        <w:pStyle w:val="Ttulo3"/>
        <w:rPr>
          <w:lang w:val="pt-BR"/>
        </w:rPr>
      </w:pPr>
      <w:bookmarkStart w:id="396" w:name="_Toc468433923"/>
      <w:r w:rsidRPr="00D5464D">
        <w:rPr>
          <w:lang w:val="pt-BR"/>
        </w:rPr>
        <w:t>B.4</w:t>
      </w:r>
      <w:r w:rsidR="00CB7E29" w:rsidRPr="00D5464D">
        <w:rPr>
          <w:lang w:val="pt-BR"/>
        </w:rPr>
        <w:t>.</w:t>
      </w:r>
      <w:r w:rsidR="00207197" w:rsidRPr="00D5464D">
        <w:rPr>
          <w:lang w:val="pt-BR"/>
        </w:rPr>
        <w:t xml:space="preserve"> </w:t>
      </w:r>
      <w:r w:rsidR="002C330E" w:rsidRPr="00D5464D">
        <w:rPr>
          <w:lang w:val="pt-BR"/>
        </w:rPr>
        <w:t>Proibição</w:t>
      </w:r>
      <w:r w:rsidR="00E045D9" w:rsidRPr="00D5464D">
        <w:rPr>
          <w:lang w:val="pt-BR"/>
        </w:rPr>
        <w:t xml:space="preserve"> e </w:t>
      </w:r>
      <w:r w:rsidR="00207197" w:rsidRPr="00D5464D">
        <w:rPr>
          <w:lang w:val="pt-BR"/>
        </w:rPr>
        <w:t>defini</w:t>
      </w:r>
      <w:r w:rsidR="00470ADC" w:rsidRPr="00D5464D">
        <w:rPr>
          <w:lang w:val="pt-BR"/>
        </w:rPr>
        <w:t>ção</w:t>
      </w:r>
      <w:r w:rsidR="00207197" w:rsidRPr="00D5464D">
        <w:rPr>
          <w:lang w:val="pt-BR"/>
        </w:rPr>
        <w:t xml:space="preserve"> de </w:t>
      </w:r>
      <w:r w:rsidR="000B376D" w:rsidRPr="00D5464D">
        <w:rPr>
          <w:lang w:val="pt-BR"/>
        </w:rPr>
        <w:t>servidão</w:t>
      </w:r>
      <w:r w:rsidR="00207197" w:rsidRPr="00D5464D">
        <w:rPr>
          <w:lang w:val="pt-BR"/>
        </w:rPr>
        <w:t xml:space="preserve"> como forma análoga </w:t>
      </w:r>
      <w:r w:rsidR="00E42DF0" w:rsidRPr="00D5464D">
        <w:rPr>
          <w:lang w:val="pt-BR"/>
        </w:rPr>
        <w:t>à</w:t>
      </w:r>
      <w:r w:rsidR="00207197" w:rsidRPr="00D5464D">
        <w:rPr>
          <w:lang w:val="pt-BR"/>
        </w:rPr>
        <w:t xml:space="preserve"> </w:t>
      </w:r>
      <w:r w:rsidR="000B376D" w:rsidRPr="00D5464D">
        <w:rPr>
          <w:lang w:val="pt-BR"/>
        </w:rPr>
        <w:t>escravidão</w:t>
      </w:r>
      <w:bookmarkEnd w:id="396"/>
    </w:p>
    <w:p w14:paraId="3D0A9FD6" w14:textId="77777777" w:rsidR="00207197" w:rsidRPr="00D5464D" w:rsidRDefault="00207197" w:rsidP="00140440">
      <w:pPr>
        <w:jc w:val="both"/>
        <w:rPr>
          <w:lang w:val="pt-BR"/>
        </w:rPr>
      </w:pPr>
    </w:p>
    <w:p w14:paraId="5BA29C86" w14:textId="7EC56440" w:rsidR="00207197" w:rsidRPr="00D5464D" w:rsidRDefault="00207197" w:rsidP="00F37DC4">
      <w:pPr>
        <w:pStyle w:val="Prrafodelista"/>
        <w:numPr>
          <w:ilvl w:val="0"/>
          <w:numId w:val="1"/>
        </w:numPr>
        <w:contextualSpacing w:val="0"/>
        <w:rPr>
          <w:lang w:val="pt-BR"/>
        </w:rPr>
      </w:pPr>
      <w:r w:rsidRPr="00D5464D">
        <w:rPr>
          <w:lang w:val="pt-BR"/>
        </w:rPr>
        <w:t xml:space="preserve">Antes de </w:t>
      </w:r>
      <w:r w:rsidR="00230C71" w:rsidRPr="00D5464D">
        <w:rPr>
          <w:lang w:val="pt-BR"/>
        </w:rPr>
        <w:t>passar</w:t>
      </w:r>
      <w:r w:rsidR="00470ADC" w:rsidRPr="00D5464D">
        <w:rPr>
          <w:lang w:val="pt-BR"/>
        </w:rPr>
        <w:t xml:space="preserve"> </w:t>
      </w:r>
      <w:r w:rsidR="00E42DF0" w:rsidRPr="00D5464D">
        <w:rPr>
          <w:lang w:val="pt-BR"/>
        </w:rPr>
        <w:t>à</w:t>
      </w:r>
      <w:r w:rsidR="00A1358C" w:rsidRPr="00D5464D">
        <w:rPr>
          <w:lang w:val="pt-BR"/>
        </w:rPr>
        <w:t xml:space="preserve"> análise</w:t>
      </w:r>
      <w:r w:rsidR="00470ADC" w:rsidRPr="00D5464D">
        <w:rPr>
          <w:lang w:val="pt-BR"/>
        </w:rPr>
        <w:t xml:space="preserve"> dos </w:t>
      </w:r>
      <w:r w:rsidR="002C330E" w:rsidRPr="00D5464D">
        <w:rPr>
          <w:lang w:val="pt-BR"/>
        </w:rPr>
        <w:t>fatos</w:t>
      </w:r>
      <w:r w:rsidRPr="00D5464D">
        <w:rPr>
          <w:lang w:val="pt-BR"/>
        </w:rPr>
        <w:t xml:space="preserve"> concretos </w:t>
      </w:r>
      <w:r w:rsidR="00470ADC" w:rsidRPr="00D5464D">
        <w:rPr>
          <w:lang w:val="pt-BR"/>
        </w:rPr>
        <w:t xml:space="preserve">do </w:t>
      </w:r>
      <w:r w:rsidRPr="00D5464D">
        <w:rPr>
          <w:lang w:val="pt-BR"/>
        </w:rPr>
        <w:t>presente caso,</w:t>
      </w:r>
      <w:r w:rsidR="002C330E" w:rsidRPr="00D5464D">
        <w:rPr>
          <w:lang w:val="pt-BR"/>
        </w:rPr>
        <w:t xml:space="preserve"> a </w:t>
      </w:r>
      <w:r w:rsidRPr="00D5464D">
        <w:rPr>
          <w:lang w:val="pt-BR"/>
        </w:rPr>
        <w:t xml:space="preserve">Corte considera pertinente realizar </w:t>
      </w:r>
      <w:r w:rsidR="00470ADC" w:rsidRPr="00D5464D">
        <w:rPr>
          <w:lang w:val="pt-BR"/>
        </w:rPr>
        <w:t>algumas</w:t>
      </w:r>
      <w:r w:rsidRPr="00D5464D">
        <w:rPr>
          <w:lang w:val="pt-BR"/>
        </w:rPr>
        <w:t xml:space="preserve"> considera</w:t>
      </w:r>
      <w:r w:rsidR="00470ADC" w:rsidRPr="00D5464D">
        <w:rPr>
          <w:lang w:val="pt-BR"/>
        </w:rPr>
        <w:t>ções</w:t>
      </w:r>
      <w:r w:rsidRPr="00D5464D">
        <w:rPr>
          <w:lang w:val="pt-BR"/>
        </w:rPr>
        <w:t xml:space="preserve"> sobre</w:t>
      </w:r>
      <w:r w:rsidR="002C330E" w:rsidRPr="00D5464D">
        <w:rPr>
          <w:lang w:val="pt-BR"/>
        </w:rPr>
        <w:t xml:space="preserve"> a </w:t>
      </w:r>
      <w:r w:rsidRPr="00D5464D">
        <w:rPr>
          <w:lang w:val="pt-BR"/>
        </w:rPr>
        <w:t>interpreta</w:t>
      </w:r>
      <w:r w:rsidR="00470ADC" w:rsidRPr="00D5464D">
        <w:rPr>
          <w:lang w:val="pt-BR"/>
        </w:rPr>
        <w:t xml:space="preserve">ção da </w:t>
      </w:r>
      <w:r w:rsidR="000B376D" w:rsidRPr="00D5464D">
        <w:rPr>
          <w:lang w:val="pt-BR"/>
        </w:rPr>
        <w:t>servidão</w:t>
      </w:r>
      <w:r w:rsidR="0070011D" w:rsidRPr="00D5464D">
        <w:rPr>
          <w:lang w:val="pt-BR"/>
        </w:rPr>
        <w:t>,</w:t>
      </w:r>
      <w:r w:rsidR="002C330E" w:rsidRPr="00D5464D">
        <w:rPr>
          <w:lang w:val="pt-BR"/>
        </w:rPr>
        <w:t xml:space="preserve"> </w:t>
      </w:r>
      <w:r w:rsidR="00E42DF0" w:rsidRPr="00D5464D">
        <w:rPr>
          <w:lang w:val="pt-BR"/>
        </w:rPr>
        <w:t>d</w:t>
      </w:r>
      <w:r w:rsidR="004F1CC2" w:rsidRPr="00D5464D">
        <w:rPr>
          <w:lang w:val="pt-BR"/>
        </w:rPr>
        <w:t>o tráfico</w:t>
      </w:r>
      <w:r w:rsidR="000B376D" w:rsidRPr="00D5464D">
        <w:rPr>
          <w:lang w:val="pt-BR"/>
        </w:rPr>
        <w:t xml:space="preserve"> de escravos</w:t>
      </w:r>
      <w:r w:rsidR="00E045D9" w:rsidRPr="00D5464D">
        <w:rPr>
          <w:lang w:val="pt-BR"/>
        </w:rPr>
        <w:t xml:space="preserve"> e </w:t>
      </w:r>
      <w:r w:rsidR="0070011D" w:rsidRPr="00D5464D">
        <w:rPr>
          <w:lang w:val="pt-BR"/>
        </w:rPr>
        <w:t xml:space="preserve">de </w:t>
      </w:r>
      <w:r w:rsidR="002C330E" w:rsidRPr="00D5464D">
        <w:rPr>
          <w:lang w:val="pt-BR"/>
        </w:rPr>
        <w:t>mulher</w:t>
      </w:r>
      <w:r w:rsidR="0070011D" w:rsidRPr="00D5464D">
        <w:rPr>
          <w:lang w:val="pt-BR"/>
        </w:rPr>
        <w:t>es</w:t>
      </w:r>
      <w:r w:rsidR="00E045D9" w:rsidRPr="00D5464D">
        <w:rPr>
          <w:lang w:val="pt-BR"/>
        </w:rPr>
        <w:t xml:space="preserve"> e </w:t>
      </w:r>
      <w:r w:rsidR="00E42DF0" w:rsidRPr="00D5464D">
        <w:rPr>
          <w:lang w:val="pt-BR"/>
        </w:rPr>
        <w:t>d</w:t>
      </w:r>
      <w:r w:rsidR="00470ADC" w:rsidRPr="00D5464D">
        <w:rPr>
          <w:lang w:val="pt-BR"/>
        </w:rPr>
        <w:t xml:space="preserve">o </w:t>
      </w:r>
      <w:r w:rsidR="00E045D9" w:rsidRPr="00D5464D">
        <w:rPr>
          <w:lang w:val="pt-BR"/>
        </w:rPr>
        <w:t>trabalho</w:t>
      </w:r>
      <w:r w:rsidR="0070011D" w:rsidRPr="00D5464D">
        <w:rPr>
          <w:lang w:val="pt-BR"/>
        </w:rPr>
        <w:t xml:space="preserve"> </w:t>
      </w:r>
      <w:r w:rsidR="00230C71" w:rsidRPr="00D5464D">
        <w:rPr>
          <w:lang w:val="pt-BR"/>
        </w:rPr>
        <w:t>forçado</w:t>
      </w:r>
      <w:r w:rsidR="00470ADC" w:rsidRPr="00D5464D">
        <w:rPr>
          <w:lang w:val="pt-BR"/>
        </w:rPr>
        <w:t xml:space="preserve"> à </w:t>
      </w:r>
      <w:r w:rsidRPr="00D5464D">
        <w:rPr>
          <w:lang w:val="pt-BR"/>
        </w:rPr>
        <w:t xml:space="preserve">luz </w:t>
      </w:r>
      <w:r w:rsidR="00470ADC" w:rsidRPr="00D5464D">
        <w:rPr>
          <w:lang w:val="pt-BR"/>
        </w:rPr>
        <w:t>do artigo</w:t>
      </w:r>
      <w:r w:rsidRPr="00D5464D">
        <w:rPr>
          <w:lang w:val="pt-BR"/>
        </w:rPr>
        <w:t xml:space="preserve"> 6</w:t>
      </w:r>
      <w:r w:rsidR="00470ADC" w:rsidRPr="00D5464D">
        <w:rPr>
          <w:lang w:val="pt-BR"/>
        </w:rPr>
        <w:t xml:space="preserve"> da </w:t>
      </w:r>
      <w:r w:rsidRPr="00D5464D">
        <w:rPr>
          <w:lang w:val="pt-BR"/>
        </w:rPr>
        <w:t>Conven</w:t>
      </w:r>
      <w:r w:rsidR="00470ADC" w:rsidRPr="00D5464D">
        <w:rPr>
          <w:lang w:val="pt-BR"/>
        </w:rPr>
        <w:t>ção</w:t>
      </w:r>
      <w:r w:rsidRPr="00D5464D">
        <w:rPr>
          <w:lang w:val="pt-BR"/>
        </w:rPr>
        <w:t xml:space="preserve"> Americana.</w:t>
      </w:r>
      <w:r w:rsidR="0070011D" w:rsidRPr="00D5464D">
        <w:rPr>
          <w:lang w:val="pt-BR"/>
        </w:rPr>
        <w:t xml:space="preserve"> Para tanto</w:t>
      </w:r>
      <w:r w:rsidR="002C330E" w:rsidRPr="00D5464D">
        <w:rPr>
          <w:lang w:val="pt-BR"/>
        </w:rPr>
        <w:t xml:space="preserve"> a </w:t>
      </w:r>
      <w:r w:rsidR="0070011D" w:rsidRPr="00D5464D">
        <w:rPr>
          <w:lang w:val="pt-BR"/>
        </w:rPr>
        <w:t>Corte</w:t>
      </w:r>
      <w:r w:rsidR="002C330E" w:rsidRPr="00D5464D">
        <w:rPr>
          <w:lang w:val="pt-BR"/>
        </w:rPr>
        <w:t xml:space="preserve"> fará referência </w:t>
      </w:r>
      <w:r w:rsidR="00470ADC" w:rsidRPr="00D5464D">
        <w:rPr>
          <w:lang w:val="pt-BR"/>
        </w:rPr>
        <w:t>ao desenvolvimento</w:t>
      </w:r>
      <w:r w:rsidR="0070011D" w:rsidRPr="00D5464D">
        <w:rPr>
          <w:lang w:val="pt-BR"/>
        </w:rPr>
        <w:t xml:space="preserve"> </w:t>
      </w:r>
      <w:r w:rsidR="00E045D9" w:rsidRPr="00D5464D">
        <w:rPr>
          <w:lang w:val="pt-BR"/>
        </w:rPr>
        <w:t>deste</w:t>
      </w:r>
      <w:r w:rsidR="0070011D" w:rsidRPr="00D5464D">
        <w:rPr>
          <w:lang w:val="pt-BR"/>
        </w:rPr>
        <w:t xml:space="preserve">s </w:t>
      </w:r>
      <w:r w:rsidR="00470ADC" w:rsidRPr="00D5464D">
        <w:rPr>
          <w:lang w:val="pt-BR"/>
        </w:rPr>
        <w:t>conceito</w:t>
      </w:r>
      <w:r w:rsidR="0070011D" w:rsidRPr="00D5464D">
        <w:rPr>
          <w:lang w:val="pt-BR"/>
        </w:rPr>
        <w:t>s</w:t>
      </w:r>
      <w:r w:rsidR="00E045D9" w:rsidRPr="00D5464D">
        <w:rPr>
          <w:lang w:val="pt-BR"/>
        </w:rPr>
        <w:t xml:space="preserve"> no </w:t>
      </w:r>
      <w:r w:rsidR="00E765C2" w:rsidRPr="00D5464D">
        <w:rPr>
          <w:lang w:val="pt-BR"/>
        </w:rPr>
        <w:t>Direito Internacional</w:t>
      </w:r>
      <w:r w:rsidR="0070011D" w:rsidRPr="00D5464D">
        <w:rPr>
          <w:lang w:val="pt-BR"/>
        </w:rPr>
        <w:t xml:space="preserve">. </w:t>
      </w:r>
    </w:p>
    <w:p w14:paraId="085B9AF9" w14:textId="77777777" w:rsidR="00207197" w:rsidRPr="00D5464D" w:rsidRDefault="00207197" w:rsidP="00140440">
      <w:pPr>
        <w:pStyle w:val="Prrafodelista"/>
        <w:ind w:left="0"/>
        <w:rPr>
          <w:lang w:val="pt-BR"/>
        </w:rPr>
      </w:pPr>
    </w:p>
    <w:p w14:paraId="3D54F136" w14:textId="7F9B2FA4" w:rsidR="00207197" w:rsidRPr="00D5464D" w:rsidRDefault="001734D2" w:rsidP="00F37DC4">
      <w:pPr>
        <w:pStyle w:val="Prrafodelista"/>
        <w:numPr>
          <w:ilvl w:val="0"/>
          <w:numId w:val="1"/>
        </w:numPr>
        <w:contextualSpacing w:val="0"/>
        <w:rPr>
          <w:lang w:val="pt-BR"/>
        </w:rPr>
      </w:pPr>
      <w:r w:rsidRPr="00D5464D">
        <w:rPr>
          <w:lang w:val="pt-BR"/>
        </w:rPr>
        <w:t>Com</w:t>
      </w:r>
      <w:r w:rsidR="002C330E" w:rsidRPr="00D5464D">
        <w:rPr>
          <w:lang w:val="pt-BR"/>
        </w:rPr>
        <w:t xml:space="preserve"> respeito</w:t>
      </w:r>
      <w:r w:rsidR="00470ADC" w:rsidRPr="00D5464D">
        <w:rPr>
          <w:lang w:val="pt-BR"/>
        </w:rPr>
        <w:t xml:space="preserve"> à </w:t>
      </w:r>
      <w:r w:rsidR="000B376D" w:rsidRPr="00D5464D">
        <w:rPr>
          <w:lang w:val="pt-BR"/>
        </w:rPr>
        <w:t>servidão</w:t>
      </w:r>
      <w:r w:rsidR="0070011D" w:rsidRPr="00D5464D">
        <w:rPr>
          <w:lang w:val="pt-BR"/>
        </w:rPr>
        <w:t>, su</w:t>
      </w:r>
      <w:r w:rsidRPr="00D5464D">
        <w:rPr>
          <w:lang w:val="pt-BR"/>
        </w:rPr>
        <w:t>a</w:t>
      </w:r>
      <w:r w:rsidR="0070011D" w:rsidRPr="00D5464D">
        <w:rPr>
          <w:lang w:val="pt-BR"/>
        </w:rPr>
        <w:t xml:space="preserve"> </w:t>
      </w:r>
      <w:r w:rsidR="002C330E" w:rsidRPr="00D5464D">
        <w:rPr>
          <w:lang w:val="pt-BR"/>
        </w:rPr>
        <w:t>proibição</w:t>
      </w:r>
      <w:r w:rsidR="00207197" w:rsidRPr="00D5464D">
        <w:rPr>
          <w:lang w:val="pt-BR"/>
        </w:rPr>
        <w:t xml:space="preserve"> absoluta </w:t>
      </w:r>
      <w:r w:rsidR="00041EA2" w:rsidRPr="00D5464D">
        <w:rPr>
          <w:lang w:val="pt-BR"/>
        </w:rPr>
        <w:t>tem origem na</w:t>
      </w:r>
      <w:r w:rsidR="00207197" w:rsidRPr="00D5464D">
        <w:rPr>
          <w:lang w:val="pt-BR"/>
        </w:rPr>
        <w:t xml:space="preserve"> </w:t>
      </w:r>
      <w:r w:rsidR="00FB26F8" w:rsidRPr="00D5464D">
        <w:rPr>
          <w:lang w:val="pt-BR"/>
        </w:rPr>
        <w:t>Convenção Suplementar de 1956</w:t>
      </w:r>
      <w:r w:rsidR="00E045D9" w:rsidRPr="00D5464D">
        <w:rPr>
          <w:lang w:val="pt-BR"/>
        </w:rPr>
        <w:t xml:space="preserve"> e </w:t>
      </w:r>
      <w:r w:rsidR="002525C6" w:rsidRPr="00D5464D">
        <w:rPr>
          <w:lang w:val="pt-BR"/>
        </w:rPr>
        <w:t>de su</w:t>
      </w:r>
      <w:r w:rsidRPr="00D5464D">
        <w:rPr>
          <w:lang w:val="pt-BR"/>
        </w:rPr>
        <w:t>a</w:t>
      </w:r>
      <w:r w:rsidR="00207197" w:rsidRPr="00D5464D">
        <w:rPr>
          <w:lang w:val="pt-BR"/>
        </w:rPr>
        <w:t xml:space="preserve"> codifica</w:t>
      </w:r>
      <w:r w:rsidR="00470ADC" w:rsidRPr="00D5464D">
        <w:rPr>
          <w:lang w:val="pt-BR"/>
        </w:rPr>
        <w:t>ção</w:t>
      </w:r>
      <w:r w:rsidR="00E045D9" w:rsidRPr="00D5464D">
        <w:rPr>
          <w:lang w:val="pt-BR"/>
        </w:rPr>
        <w:t xml:space="preserve"> nos </w:t>
      </w:r>
      <w:r w:rsidRPr="00D5464D">
        <w:rPr>
          <w:lang w:val="pt-BR"/>
        </w:rPr>
        <w:t>instrumentos subseq</w:t>
      </w:r>
      <w:r w:rsidR="00207197" w:rsidRPr="00D5464D">
        <w:rPr>
          <w:lang w:val="pt-BR"/>
        </w:rPr>
        <w:t xml:space="preserve">uentes </w:t>
      </w:r>
      <w:r w:rsidR="00470ADC" w:rsidRPr="00D5464D">
        <w:rPr>
          <w:lang w:val="pt-BR"/>
        </w:rPr>
        <w:t xml:space="preserve">do </w:t>
      </w:r>
      <w:r w:rsidR="00E765C2" w:rsidRPr="00D5464D">
        <w:rPr>
          <w:lang w:val="pt-BR"/>
        </w:rPr>
        <w:t>Direito Internacional</w:t>
      </w:r>
      <w:r w:rsidR="00207197" w:rsidRPr="00D5464D">
        <w:rPr>
          <w:lang w:val="pt-BR"/>
        </w:rPr>
        <w:t xml:space="preserve"> (</w:t>
      </w:r>
      <w:r w:rsidR="002C330E" w:rsidRPr="00D5464D">
        <w:rPr>
          <w:lang w:val="pt-BR"/>
        </w:rPr>
        <w:t>pars.</w:t>
      </w:r>
      <w:r w:rsidR="00207197" w:rsidRPr="00D5464D">
        <w:rPr>
          <w:lang w:val="pt-BR"/>
        </w:rPr>
        <w:t xml:space="preserve"> </w:t>
      </w:r>
      <w:r w:rsidR="004F5957" w:rsidRPr="00D5464D">
        <w:rPr>
          <w:lang w:val="pt-BR"/>
        </w:rPr>
        <w:t>249</w:t>
      </w:r>
      <w:r w:rsidR="00207197" w:rsidRPr="00D5464D">
        <w:rPr>
          <w:lang w:val="pt-BR"/>
        </w:rPr>
        <w:t xml:space="preserve"> a </w:t>
      </w:r>
      <w:r w:rsidR="004F5957" w:rsidRPr="00D5464D">
        <w:rPr>
          <w:lang w:val="pt-BR"/>
        </w:rPr>
        <w:t>257</w:t>
      </w:r>
      <w:r w:rsidRPr="00D5464D">
        <w:rPr>
          <w:i/>
          <w:lang w:val="pt-BR"/>
        </w:rPr>
        <w:t xml:space="preserve"> supra</w:t>
      </w:r>
      <w:r w:rsidR="00207197" w:rsidRPr="00D5464D">
        <w:rPr>
          <w:lang w:val="pt-BR"/>
        </w:rPr>
        <w:t>)</w:t>
      </w:r>
      <w:r w:rsidR="00A1358C" w:rsidRPr="00D5464D">
        <w:rPr>
          <w:lang w:val="pt-BR"/>
        </w:rPr>
        <w:t xml:space="preserve">. A </w:t>
      </w:r>
      <w:r w:rsidR="00737270" w:rsidRPr="00D5464D">
        <w:rPr>
          <w:lang w:val="pt-BR"/>
        </w:rPr>
        <w:t>este respeito</w:t>
      </w:r>
      <w:r w:rsidR="00734415" w:rsidRPr="00D5464D">
        <w:rPr>
          <w:lang w:val="pt-BR"/>
        </w:rPr>
        <w:t>,</w:t>
      </w:r>
      <w:r w:rsidR="00470ADC" w:rsidRPr="00D5464D">
        <w:rPr>
          <w:lang w:val="pt-BR"/>
        </w:rPr>
        <w:t xml:space="preserve"> o artigo</w:t>
      </w:r>
      <w:r w:rsidR="00734415" w:rsidRPr="00D5464D">
        <w:rPr>
          <w:lang w:val="pt-BR"/>
        </w:rPr>
        <w:t xml:space="preserve"> 1</w:t>
      </w:r>
      <w:r w:rsidRPr="00D5464D">
        <w:rPr>
          <w:vertAlign w:val="superscript"/>
          <w:lang w:val="pt-BR"/>
        </w:rPr>
        <w:t>o</w:t>
      </w:r>
      <w:r w:rsidRPr="00D5464D">
        <w:rPr>
          <w:lang w:val="pt-BR"/>
        </w:rPr>
        <w:t xml:space="preserve"> </w:t>
      </w:r>
      <w:r w:rsidR="00470ADC" w:rsidRPr="00D5464D">
        <w:rPr>
          <w:lang w:val="pt-BR"/>
        </w:rPr>
        <w:t xml:space="preserve">da </w:t>
      </w:r>
      <w:r w:rsidR="00FB26F8" w:rsidRPr="00D5464D">
        <w:rPr>
          <w:lang w:val="pt-BR"/>
        </w:rPr>
        <w:t>Convenção Suplementar de 1956</w:t>
      </w:r>
      <w:r w:rsidR="00734415" w:rsidRPr="00D5464D">
        <w:rPr>
          <w:lang w:val="pt-BR"/>
        </w:rPr>
        <w:t xml:space="preserve"> </w:t>
      </w:r>
      <w:r w:rsidR="002C330E" w:rsidRPr="00D5464D">
        <w:rPr>
          <w:lang w:val="pt-BR"/>
        </w:rPr>
        <w:t xml:space="preserve">afirma </w:t>
      </w:r>
      <w:r w:rsidR="00734415" w:rsidRPr="00D5464D">
        <w:rPr>
          <w:lang w:val="pt-BR"/>
        </w:rPr>
        <w:t>que</w:t>
      </w:r>
      <w:r w:rsidR="002C330E" w:rsidRPr="00D5464D">
        <w:rPr>
          <w:lang w:val="pt-BR"/>
        </w:rPr>
        <w:t xml:space="preserve"> a </w:t>
      </w:r>
      <w:r w:rsidR="000B376D" w:rsidRPr="00D5464D">
        <w:rPr>
          <w:lang w:val="pt-BR"/>
        </w:rPr>
        <w:t>servidão</w:t>
      </w:r>
      <w:r w:rsidR="00734415" w:rsidRPr="00D5464D">
        <w:rPr>
          <w:lang w:val="pt-BR"/>
        </w:rPr>
        <w:t xml:space="preserve"> por </w:t>
      </w:r>
      <w:r w:rsidR="00470ADC" w:rsidRPr="00D5464D">
        <w:rPr>
          <w:lang w:val="pt-BR"/>
        </w:rPr>
        <w:t>dívida</w:t>
      </w:r>
      <w:r w:rsidR="00734415" w:rsidRPr="00D5464D">
        <w:rPr>
          <w:lang w:val="pt-BR"/>
        </w:rPr>
        <w:t>s</w:t>
      </w:r>
      <w:r w:rsidR="00E045D9" w:rsidRPr="00D5464D">
        <w:rPr>
          <w:lang w:val="pt-BR"/>
        </w:rPr>
        <w:t xml:space="preserve"> e </w:t>
      </w:r>
      <w:r w:rsidR="002C330E" w:rsidRPr="00D5464D">
        <w:rPr>
          <w:lang w:val="pt-BR"/>
        </w:rPr>
        <w:t xml:space="preserve">a </w:t>
      </w:r>
      <w:r w:rsidR="000B376D" w:rsidRPr="00D5464D">
        <w:rPr>
          <w:lang w:val="pt-BR"/>
        </w:rPr>
        <w:t>servidão</w:t>
      </w:r>
      <w:r w:rsidR="002C330E" w:rsidRPr="00D5464D">
        <w:rPr>
          <w:lang w:val="pt-BR"/>
        </w:rPr>
        <w:t xml:space="preserve"> são prática</w:t>
      </w:r>
      <w:r w:rsidR="00734415" w:rsidRPr="00D5464D">
        <w:rPr>
          <w:lang w:val="pt-BR"/>
        </w:rPr>
        <w:t xml:space="preserve">s </w:t>
      </w:r>
      <w:r w:rsidR="006665EF" w:rsidRPr="00D5464D">
        <w:rPr>
          <w:lang w:val="pt-BR"/>
        </w:rPr>
        <w:t>análogas</w:t>
      </w:r>
      <w:r w:rsidR="00350187" w:rsidRPr="00D5464D">
        <w:rPr>
          <w:lang w:val="pt-BR"/>
        </w:rPr>
        <w:t xml:space="preserve"> </w:t>
      </w:r>
      <w:r w:rsidR="00470ADC" w:rsidRPr="00D5464D">
        <w:rPr>
          <w:lang w:val="pt-BR"/>
        </w:rPr>
        <w:t xml:space="preserve">à </w:t>
      </w:r>
      <w:r w:rsidR="000B376D" w:rsidRPr="00D5464D">
        <w:rPr>
          <w:lang w:val="pt-BR"/>
        </w:rPr>
        <w:t>escravidão</w:t>
      </w:r>
      <w:r w:rsidR="00734415" w:rsidRPr="00D5464D">
        <w:rPr>
          <w:lang w:val="pt-BR"/>
        </w:rPr>
        <w:t xml:space="preserve"> que </w:t>
      </w:r>
      <w:r w:rsidR="00470ADC" w:rsidRPr="00D5464D">
        <w:rPr>
          <w:lang w:val="pt-BR"/>
        </w:rPr>
        <w:t>devem</w:t>
      </w:r>
      <w:r w:rsidR="00734415" w:rsidRPr="00D5464D">
        <w:rPr>
          <w:lang w:val="pt-BR"/>
        </w:rPr>
        <w:t xml:space="preserve"> ser abolidas</w:t>
      </w:r>
      <w:r w:rsidR="00E045D9" w:rsidRPr="00D5464D">
        <w:rPr>
          <w:lang w:val="pt-BR"/>
        </w:rPr>
        <w:t xml:space="preserve"> e </w:t>
      </w:r>
      <w:r w:rsidR="00734415" w:rsidRPr="00D5464D">
        <w:rPr>
          <w:lang w:val="pt-BR"/>
        </w:rPr>
        <w:t>abandonadas</w:t>
      </w:r>
      <w:r w:rsidR="00207197" w:rsidRPr="00D5464D">
        <w:rPr>
          <w:lang w:val="pt-BR"/>
        </w:rPr>
        <w:t>. Todos</w:t>
      </w:r>
      <w:r w:rsidR="002C330E" w:rsidRPr="00D5464D">
        <w:rPr>
          <w:lang w:val="pt-BR"/>
        </w:rPr>
        <w:t xml:space="preserve"> os </w:t>
      </w:r>
      <w:r w:rsidR="00207197" w:rsidRPr="00D5464D">
        <w:rPr>
          <w:lang w:val="pt-BR"/>
        </w:rPr>
        <w:t xml:space="preserve">instrumentos </w:t>
      </w:r>
      <w:r w:rsidR="00E045D9" w:rsidRPr="00D5464D">
        <w:rPr>
          <w:lang w:val="pt-BR"/>
        </w:rPr>
        <w:t>regionais</w:t>
      </w:r>
      <w:r w:rsidR="00207197" w:rsidRPr="00D5464D">
        <w:rPr>
          <w:lang w:val="pt-BR"/>
        </w:rPr>
        <w:t xml:space="preserve"> inclu</w:t>
      </w:r>
      <w:r w:rsidRPr="00D5464D">
        <w:rPr>
          <w:lang w:val="pt-BR"/>
        </w:rPr>
        <w:t xml:space="preserve">em a </w:t>
      </w:r>
      <w:r w:rsidR="002C330E" w:rsidRPr="00D5464D">
        <w:rPr>
          <w:lang w:val="pt-BR"/>
        </w:rPr>
        <w:t>proibição</w:t>
      </w:r>
      <w:r w:rsidR="00470ADC" w:rsidRPr="00D5464D">
        <w:rPr>
          <w:lang w:val="pt-BR"/>
        </w:rPr>
        <w:t xml:space="preserve"> da </w:t>
      </w:r>
      <w:r w:rsidR="000B376D" w:rsidRPr="00D5464D">
        <w:rPr>
          <w:lang w:val="pt-BR"/>
        </w:rPr>
        <w:t>servidão</w:t>
      </w:r>
      <w:r w:rsidR="00470ADC" w:rsidRPr="00D5464D">
        <w:rPr>
          <w:lang w:val="pt-BR"/>
        </w:rPr>
        <w:t xml:space="preserve"> e</w:t>
      </w:r>
      <w:r w:rsidR="002C330E" w:rsidRPr="00D5464D">
        <w:rPr>
          <w:lang w:val="pt-BR"/>
        </w:rPr>
        <w:t xml:space="preserve"> a mesm</w:t>
      </w:r>
      <w:r w:rsidR="00207197" w:rsidRPr="00D5464D">
        <w:rPr>
          <w:lang w:val="pt-BR"/>
        </w:rPr>
        <w:t>a</w:t>
      </w:r>
      <w:r w:rsidR="00470ADC" w:rsidRPr="00D5464D">
        <w:rPr>
          <w:lang w:val="pt-BR"/>
        </w:rPr>
        <w:t xml:space="preserve"> foi </w:t>
      </w:r>
      <w:r w:rsidR="00207197" w:rsidRPr="00D5464D">
        <w:rPr>
          <w:lang w:val="pt-BR"/>
        </w:rPr>
        <w:t>considerada</w:t>
      </w:r>
      <w:r w:rsidR="00E045D9" w:rsidRPr="00D5464D">
        <w:rPr>
          <w:lang w:val="pt-BR"/>
        </w:rPr>
        <w:t xml:space="preserve"> </w:t>
      </w:r>
      <w:r w:rsidRPr="00D5464D">
        <w:rPr>
          <w:lang w:val="pt-BR"/>
        </w:rPr>
        <w:t xml:space="preserve">como </w:t>
      </w:r>
      <w:r w:rsidR="00E045D9" w:rsidRPr="00D5464D">
        <w:rPr>
          <w:lang w:val="pt-BR"/>
        </w:rPr>
        <w:t xml:space="preserve">uma </w:t>
      </w:r>
      <w:r w:rsidR="00207197" w:rsidRPr="00D5464D">
        <w:rPr>
          <w:lang w:val="pt-BR"/>
        </w:rPr>
        <w:t xml:space="preserve">forma análoga </w:t>
      </w:r>
      <w:r w:rsidRPr="00D5464D">
        <w:rPr>
          <w:lang w:val="pt-BR"/>
        </w:rPr>
        <w:t>à</w:t>
      </w:r>
      <w:r w:rsidR="00207197" w:rsidRPr="00D5464D">
        <w:rPr>
          <w:lang w:val="pt-BR"/>
        </w:rPr>
        <w:t xml:space="preserve"> </w:t>
      </w:r>
      <w:r w:rsidR="000B376D" w:rsidRPr="00D5464D">
        <w:rPr>
          <w:lang w:val="pt-BR"/>
        </w:rPr>
        <w:t>escravidão</w:t>
      </w:r>
      <w:r w:rsidR="00207197" w:rsidRPr="00D5464D">
        <w:rPr>
          <w:lang w:val="pt-BR"/>
        </w:rPr>
        <w:t xml:space="preserve">, entre </w:t>
      </w:r>
      <w:r w:rsidR="002C330E" w:rsidRPr="00D5464D">
        <w:rPr>
          <w:lang w:val="pt-BR"/>
        </w:rPr>
        <w:t>outros</w:t>
      </w:r>
      <w:r w:rsidR="00207197" w:rsidRPr="00D5464D">
        <w:rPr>
          <w:lang w:val="pt-BR"/>
        </w:rPr>
        <w:t>,</w:t>
      </w:r>
      <w:r w:rsidR="002C330E" w:rsidRPr="00D5464D">
        <w:rPr>
          <w:lang w:val="pt-BR"/>
        </w:rPr>
        <w:t xml:space="preserve"> pelo </w:t>
      </w:r>
      <w:r w:rsidR="00207197" w:rsidRPr="00D5464D">
        <w:rPr>
          <w:lang w:val="pt-BR"/>
        </w:rPr>
        <w:t xml:space="preserve">Tribunal </w:t>
      </w:r>
      <w:r w:rsidR="00470ADC" w:rsidRPr="00D5464D">
        <w:rPr>
          <w:lang w:val="pt-BR"/>
        </w:rPr>
        <w:t>Europeu</w:t>
      </w:r>
      <w:r w:rsidR="004F5957" w:rsidRPr="00D5464D">
        <w:rPr>
          <w:lang w:val="pt-BR"/>
        </w:rPr>
        <w:t xml:space="preserve"> de </w:t>
      </w:r>
      <w:r w:rsidR="00470ADC" w:rsidRPr="00D5464D">
        <w:rPr>
          <w:lang w:val="pt-BR"/>
        </w:rPr>
        <w:t>Direito</w:t>
      </w:r>
      <w:r w:rsidR="004F5957" w:rsidRPr="00D5464D">
        <w:rPr>
          <w:lang w:val="pt-BR"/>
        </w:rPr>
        <w:t>s Humanos</w:t>
      </w:r>
      <w:r w:rsidRPr="00D5464D">
        <w:rPr>
          <w:lang w:val="pt-BR"/>
        </w:rPr>
        <w:t>,</w:t>
      </w:r>
      <w:r w:rsidR="00207197" w:rsidRPr="00D5464D">
        <w:rPr>
          <w:rStyle w:val="Refdenotaalpie"/>
          <w:lang w:val="pt-BR"/>
        </w:rPr>
        <w:footnoteReference w:id="414"/>
      </w:r>
      <w:r w:rsidR="00207197" w:rsidRPr="00D5464D">
        <w:rPr>
          <w:lang w:val="pt-BR"/>
        </w:rPr>
        <w:t xml:space="preserve"> </w:t>
      </w:r>
      <w:r w:rsidR="007A680A" w:rsidRPr="00D5464D">
        <w:rPr>
          <w:lang w:val="pt-BR"/>
        </w:rPr>
        <w:t>Tribunal Penal Internacional Ad Hoc para</w:t>
      </w:r>
      <w:r w:rsidR="002C330E" w:rsidRPr="00D5464D">
        <w:rPr>
          <w:lang w:val="pt-BR"/>
        </w:rPr>
        <w:t xml:space="preserve"> a </w:t>
      </w:r>
      <w:r w:rsidR="00627239" w:rsidRPr="00D5464D">
        <w:rPr>
          <w:lang w:val="pt-BR"/>
        </w:rPr>
        <w:t>antiga Iugoslávia</w:t>
      </w:r>
      <w:r w:rsidR="00207197" w:rsidRPr="00D5464D">
        <w:rPr>
          <w:lang w:val="pt-BR"/>
        </w:rPr>
        <w:t xml:space="preserve">, </w:t>
      </w:r>
      <w:r w:rsidR="005856BF" w:rsidRPr="00D5464D">
        <w:rPr>
          <w:lang w:val="pt-BR"/>
        </w:rPr>
        <w:t xml:space="preserve">Tribunal Especial para </w:t>
      </w:r>
      <w:r w:rsidR="00E045D9" w:rsidRPr="00D5464D">
        <w:rPr>
          <w:lang w:val="pt-BR"/>
        </w:rPr>
        <w:t>Serra Leoa</w:t>
      </w:r>
      <w:r w:rsidR="002A0C2B" w:rsidRPr="00D5464D">
        <w:rPr>
          <w:lang w:val="pt-BR"/>
        </w:rPr>
        <w:t xml:space="preserve"> e </w:t>
      </w:r>
      <w:r w:rsidR="002C330E" w:rsidRPr="00D5464D">
        <w:rPr>
          <w:lang w:val="pt-BR"/>
        </w:rPr>
        <w:t>outros</w:t>
      </w:r>
      <w:r w:rsidR="00207197" w:rsidRPr="00D5464D">
        <w:rPr>
          <w:lang w:val="pt-BR"/>
        </w:rPr>
        <w:t xml:space="preserve"> </w:t>
      </w:r>
      <w:r w:rsidR="002C330E" w:rsidRPr="00D5464D">
        <w:rPr>
          <w:lang w:val="pt-BR"/>
        </w:rPr>
        <w:t>órgão</w:t>
      </w:r>
      <w:r w:rsidR="00207197" w:rsidRPr="00D5464D">
        <w:rPr>
          <w:lang w:val="pt-BR"/>
        </w:rPr>
        <w:t>s especializados (</w:t>
      </w:r>
      <w:r w:rsidR="002C330E" w:rsidRPr="00D5464D">
        <w:rPr>
          <w:lang w:val="pt-BR"/>
        </w:rPr>
        <w:t>pars.</w:t>
      </w:r>
      <w:r w:rsidR="00207197" w:rsidRPr="00D5464D">
        <w:rPr>
          <w:lang w:val="pt-BR"/>
        </w:rPr>
        <w:t xml:space="preserve"> </w:t>
      </w:r>
      <w:r w:rsidR="00E90245" w:rsidRPr="00D5464D">
        <w:rPr>
          <w:lang w:val="pt-BR"/>
        </w:rPr>
        <w:t>259</w:t>
      </w:r>
      <w:r w:rsidR="00207197" w:rsidRPr="00D5464D">
        <w:rPr>
          <w:lang w:val="pt-BR"/>
        </w:rPr>
        <w:t xml:space="preserve"> a </w:t>
      </w:r>
      <w:r w:rsidR="00E90245" w:rsidRPr="00D5464D">
        <w:rPr>
          <w:lang w:val="pt-BR"/>
        </w:rPr>
        <w:t>268</w:t>
      </w:r>
      <w:r w:rsidRPr="00D5464D">
        <w:rPr>
          <w:i/>
          <w:lang w:val="pt-BR"/>
        </w:rPr>
        <w:t xml:space="preserve"> supra</w:t>
      </w:r>
      <w:r w:rsidR="00207197" w:rsidRPr="00D5464D">
        <w:rPr>
          <w:lang w:val="pt-BR"/>
        </w:rPr>
        <w:t xml:space="preserve">). </w:t>
      </w:r>
    </w:p>
    <w:p w14:paraId="7EB68BA4" w14:textId="77777777" w:rsidR="00207197" w:rsidRPr="00D5464D" w:rsidRDefault="00207197" w:rsidP="00140440">
      <w:pPr>
        <w:jc w:val="both"/>
        <w:rPr>
          <w:lang w:val="pt-BR"/>
        </w:rPr>
      </w:pPr>
    </w:p>
    <w:p w14:paraId="3C18096A" w14:textId="0B052A53" w:rsidR="004C4889" w:rsidRPr="00D5464D" w:rsidRDefault="001734D2" w:rsidP="004C4889">
      <w:pPr>
        <w:pStyle w:val="Prrafodelista"/>
        <w:numPr>
          <w:ilvl w:val="0"/>
          <w:numId w:val="1"/>
        </w:numPr>
        <w:contextualSpacing w:val="0"/>
        <w:rPr>
          <w:lang w:val="pt-BR"/>
        </w:rPr>
      </w:pPr>
      <w:r w:rsidRPr="00D5464D">
        <w:rPr>
          <w:lang w:val="pt-BR"/>
        </w:rPr>
        <w:t>A partir d</w:t>
      </w:r>
      <w:r w:rsidR="00A54497" w:rsidRPr="00D5464D">
        <w:rPr>
          <w:lang w:val="pt-BR"/>
        </w:rPr>
        <w:t>iss</w:t>
      </w:r>
      <w:r w:rsidR="00C91CB1" w:rsidRPr="00D5464D">
        <w:rPr>
          <w:lang w:val="pt-BR"/>
        </w:rPr>
        <w:t>o</w:t>
      </w:r>
      <w:r w:rsidR="00E90245" w:rsidRPr="00D5464D">
        <w:rPr>
          <w:lang w:val="pt-BR"/>
        </w:rPr>
        <w:t>,</w:t>
      </w:r>
      <w:r w:rsidR="002C330E" w:rsidRPr="00D5464D">
        <w:rPr>
          <w:lang w:val="pt-BR"/>
        </w:rPr>
        <w:t xml:space="preserve"> a </w:t>
      </w:r>
      <w:r w:rsidR="004C4889" w:rsidRPr="00D5464D">
        <w:rPr>
          <w:lang w:val="pt-BR"/>
        </w:rPr>
        <w:t>Corte constata que</w:t>
      </w:r>
      <w:r w:rsidR="002C330E" w:rsidRPr="00D5464D">
        <w:rPr>
          <w:lang w:val="pt-BR"/>
        </w:rPr>
        <w:t xml:space="preserve"> a proibição</w:t>
      </w:r>
      <w:r w:rsidR="004C4889" w:rsidRPr="00D5464D">
        <w:rPr>
          <w:lang w:val="pt-BR"/>
        </w:rPr>
        <w:t xml:space="preserve"> absoluta</w:t>
      </w:r>
      <w:r w:rsidR="00470ADC" w:rsidRPr="00D5464D">
        <w:rPr>
          <w:lang w:val="pt-BR"/>
        </w:rPr>
        <w:t xml:space="preserve"> da </w:t>
      </w:r>
      <w:r w:rsidR="000B376D" w:rsidRPr="00D5464D">
        <w:rPr>
          <w:lang w:val="pt-BR"/>
        </w:rPr>
        <w:t>escravidão</w:t>
      </w:r>
      <w:r w:rsidR="004C4889" w:rsidRPr="00D5464D">
        <w:rPr>
          <w:lang w:val="pt-BR"/>
        </w:rPr>
        <w:t xml:space="preserve"> tradicional</w:t>
      </w:r>
      <w:r w:rsidR="00E045D9" w:rsidRPr="00D5464D">
        <w:rPr>
          <w:lang w:val="pt-BR"/>
        </w:rPr>
        <w:t xml:space="preserve"> e sua interpretação</w:t>
      </w:r>
      <w:r w:rsidR="004C4889" w:rsidRPr="00D5464D">
        <w:rPr>
          <w:lang w:val="pt-BR"/>
        </w:rPr>
        <w:t xml:space="preserve"> </w:t>
      </w:r>
      <w:r w:rsidRPr="00D5464D">
        <w:rPr>
          <w:lang w:val="pt-BR"/>
        </w:rPr>
        <w:t xml:space="preserve">evoluíram </w:t>
      </w:r>
      <w:r w:rsidR="004C4889" w:rsidRPr="00D5464D">
        <w:rPr>
          <w:lang w:val="pt-BR"/>
        </w:rPr>
        <w:t xml:space="preserve">de modo </w:t>
      </w:r>
      <w:r w:rsidR="00A54497" w:rsidRPr="00D5464D">
        <w:rPr>
          <w:lang w:val="pt-BR"/>
        </w:rPr>
        <w:t xml:space="preserve">a </w:t>
      </w:r>
      <w:r w:rsidR="00350187" w:rsidRPr="00D5464D">
        <w:rPr>
          <w:lang w:val="pt-BR"/>
        </w:rPr>
        <w:t>compreende</w:t>
      </w:r>
      <w:r w:rsidR="000140F2" w:rsidRPr="00D5464D">
        <w:rPr>
          <w:lang w:val="pt-BR"/>
        </w:rPr>
        <w:t>r</w:t>
      </w:r>
      <w:r w:rsidR="00A54497" w:rsidRPr="00D5464D">
        <w:rPr>
          <w:lang w:val="pt-BR"/>
        </w:rPr>
        <w:t xml:space="preserve"> também</w:t>
      </w:r>
      <w:r w:rsidR="004C4889" w:rsidRPr="00D5464D">
        <w:rPr>
          <w:lang w:val="pt-BR"/>
        </w:rPr>
        <w:t xml:space="preserve"> determinadas formas </w:t>
      </w:r>
      <w:r w:rsidR="006665EF" w:rsidRPr="00D5464D">
        <w:rPr>
          <w:lang w:val="pt-BR"/>
        </w:rPr>
        <w:t>análogas</w:t>
      </w:r>
      <w:r w:rsidR="00350187" w:rsidRPr="00D5464D">
        <w:rPr>
          <w:lang w:val="pt-BR"/>
        </w:rPr>
        <w:t xml:space="preserve"> </w:t>
      </w:r>
      <w:r w:rsidR="00470ADC" w:rsidRPr="00D5464D">
        <w:rPr>
          <w:lang w:val="pt-BR"/>
        </w:rPr>
        <w:t>desse fenômeno</w:t>
      </w:r>
      <w:r w:rsidR="004C4889" w:rsidRPr="00D5464D">
        <w:rPr>
          <w:lang w:val="pt-BR"/>
        </w:rPr>
        <w:t>,</w:t>
      </w:r>
      <w:r w:rsidR="00470ADC" w:rsidRPr="00D5464D">
        <w:rPr>
          <w:lang w:val="pt-BR"/>
        </w:rPr>
        <w:t xml:space="preserve"> o qual </w:t>
      </w:r>
      <w:r w:rsidR="004C4889" w:rsidRPr="00D5464D">
        <w:rPr>
          <w:lang w:val="pt-BR"/>
        </w:rPr>
        <w:t xml:space="preserve">se </w:t>
      </w:r>
      <w:r w:rsidR="002C330E" w:rsidRPr="00D5464D">
        <w:rPr>
          <w:lang w:val="pt-BR"/>
        </w:rPr>
        <w:t>manifesta</w:t>
      </w:r>
      <w:r w:rsidR="00E045D9" w:rsidRPr="00D5464D">
        <w:rPr>
          <w:lang w:val="pt-BR"/>
        </w:rPr>
        <w:t xml:space="preserve"> </w:t>
      </w:r>
      <w:r w:rsidR="004C4889" w:rsidRPr="00D5464D">
        <w:rPr>
          <w:lang w:val="pt-BR"/>
        </w:rPr>
        <w:t xml:space="preserve">de diversas </w:t>
      </w:r>
      <w:r w:rsidR="008365E3" w:rsidRPr="00D5464D">
        <w:rPr>
          <w:lang w:val="pt-BR"/>
        </w:rPr>
        <w:t>formas nos dias atuais</w:t>
      </w:r>
      <w:r w:rsidR="004C4889" w:rsidRPr="00D5464D">
        <w:rPr>
          <w:lang w:val="pt-BR"/>
        </w:rPr>
        <w:t xml:space="preserve">, </w:t>
      </w:r>
      <w:r w:rsidR="002C330E" w:rsidRPr="00D5464D">
        <w:rPr>
          <w:lang w:val="pt-BR"/>
        </w:rPr>
        <w:t>mas</w:t>
      </w:r>
      <w:r w:rsidR="004C4889" w:rsidRPr="00D5464D">
        <w:rPr>
          <w:lang w:val="pt-BR"/>
        </w:rPr>
        <w:t xml:space="preserve"> man</w:t>
      </w:r>
      <w:r w:rsidR="00E045D9" w:rsidRPr="00D5464D">
        <w:rPr>
          <w:lang w:val="pt-BR"/>
        </w:rPr>
        <w:t>tendo</w:t>
      </w:r>
      <w:r w:rsidR="004C4889" w:rsidRPr="00D5464D">
        <w:rPr>
          <w:lang w:val="pt-BR"/>
        </w:rPr>
        <w:t xml:space="preserve"> determinadas características </w:t>
      </w:r>
      <w:r w:rsidR="00470ADC" w:rsidRPr="00D5464D">
        <w:rPr>
          <w:lang w:val="pt-BR"/>
        </w:rPr>
        <w:t>essenciais</w:t>
      </w:r>
      <w:r w:rsidR="004C4889" w:rsidRPr="00D5464D">
        <w:rPr>
          <w:lang w:val="pt-BR"/>
        </w:rPr>
        <w:t xml:space="preserve"> </w:t>
      </w:r>
      <w:r w:rsidR="00470ADC" w:rsidRPr="00D5464D">
        <w:rPr>
          <w:lang w:val="pt-BR"/>
        </w:rPr>
        <w:t xml:space="preserve">comuns à </w:t>
      </w:r>
      <w:r w:rsidR="000B376D" w:rsidRPr="00D5464D">
        <w:rPr>
          <w:lang w:val="pt-BR"/>
        </w:rPr>
        <w:t>escravidão</w:t>
      </w:r>
      <w:r w:rsidR="004C4889" w:rsidRPr="00D5464D">
        <w:rPr>
          <w:lang w:val="pt-BR"/>
        </w:rPr>
        <w:t xml:space="preserve"> tradicional, como</w:t>
      </w:r>
      <w:r w:rsidR="00470ADC" w:rsidRPr="00D5464D">
        <w:rPr>
          <w:lang w:val="pt-BR"/>
        </w:rPr>
        <w:t xml:space="preserve"> o exercício</w:t>
      </w:r>
      <w:r w:rsidR="008365E3" w:rsidRPr="00D5464D">
        <w:rPr>
          <w:lang w:val="pt-BR"/>
        </w:rPr>
        <w:t xml:space="preserve"> do</w:t>
      </w:r>
      <w:r w:rsidR="004C4889" w:rsidRPr="00D5464D">
        <w:rPr>
          <w:lang w:val="pt-BR"/>
        </w:rPr>
        <w:t xml:space="preserve"> </w:t>
      </w:r>
      <w:r w:rsidR="00470ADC" w:rsidRPr="00D5464D">
        <w:rPr>
          <w:lang w:val="pt-BR"/>
        </w:rPr>
        <w:t xml:space="preserve">controle </w:t>
      </w:r>
      <w:r w:rsidR="004C4889" w:rsidRPr="00D5464D">
        <w:rPr>
          <w:lang w:val="pt-BR"/>
        </w:rPr>
        <w:t>sobre</w:t>
      </w:r>
      <w:r w:rsidR="00E045D9" w:rsidRPr="00D5464D">
        <w:rPr>
          <w:lang w:val="pt-BR"/>
        </w:rPr>
        <w:t xml:space="preserve"> uma </w:t>
      </w:r>
      <w:r w:rsidR="002C330E" w:rsidRPr="00D5464D">
        <w:rPr>
          <w:lang w:val="pt-BR"/>
        </w:rPr>
        <w:t>pessoa</w:t>
      </w:r>
      <w:r w:rsidR="004C4889" w:rsidRPr="00D5464D">
        <w:rPr>
          <w:lang w:val="pt-BR"/>
        </w:rPr>
        <w:t xml:space="preserve"> mediante co</w:t>
      </w:r>
      <w:r w:rsidR="00737270" w:rsidRPr="00D5464D">
        <w:rPr>
          <w:lang w:val="pt-BR"/>
        </w:rPr>
        <w:t>ação</w:t>
      </w:r>
      <w:r w:rsidR="004C4889" w:rsidRPr="00D5464D">
        <w:rPr>
          <w:lang w:val="pt-BR"/>
        </w:rPr>
        <w:t xml:space="preserve"> física o</w:t>
      </w:r>
      <w:r w:rsidR="008365E3" w:rsidRPr="00D5464D">
        <w:rPr>
          <w:lang w:val="pt-BR"/>
        </w:rPr>
        <w:t>u</w:t>
      </w:r>
      <w:r w:rsidR="004C4889" w:rsidRPr="00D5464D">
        <w:rPr>
          <w:lang w:val="pt-BR"/>
        </w:rPr>
        <w:t xml:space="preserve"> psicológica de </w:t>
      </w:r>
      <w:r w:rsidR="002C330E" w:rsidRPr="00D5464D">
        <w:rPr>
          <w:lang w:val="pt-BR"/>
        </w:rPr>
        <w:t>maneira</w:t>
      </w:r>
      <w:r w:rsidR="004C4889" w:rsidRPr="00D5464D">
        <w:rPr>
          <w:lang w:val="pt-BR"/>
        </w:rPr>
        <w:t xml:space="preserve"> que </w:t>
      </w:r>
      <w:r w:rsidR="008365E3" w:rsidRPr="00D5464D">
        <w:rPr>
          <w:lang w:val="pt-BR"/>
        </w:rPr>
        <w:t xml:space="preserve">signifique </w:t>
      </w:r>
      <w:r w:rsidR="002C330E" w:rsidRPr="00D5464D">
        <w:rPr>
          <w:lang w:val="pt-BR"/>
        </w:rPr>
        <w:t xml:space="preserve">a </w:t>
      </w:r>
      <w:r w:rsidR="008365E3" w:rsidRPr="00D5464D">
        <w:rPr>
          <w:lang w:val="pt-BR"/>
        </w:rPr>
        <w:t>perd</w:t>
      </w:r>
      <w:r w:rsidR="004C4889" w:rsidRPr="00D5464D">
        <w:rPr>
          <w:lang w:val="pt-BR"/>
        </w:rPr>
        <w:t xml:space="preserve">a de </w:t>
      </w:r>
      <w:r w:rsidR="00E045D9" w:rsidRPr="00D5464D">
        <w:rPr>
          <w:lang w:val="pt-BR"/>
        </w:rPr>
        <w:t>sua autonomia</w:t>
      </w:r>
      <w:r w:rsidR="004C4889" w:rsidRPr="00D5464D">
        <w:rPr>
          <w:lang w:val="pt-BR"/>
        </w:rPr>
        <w:t xml:space="preserve"> individual</w:t>
      </w:r>
      <w:r w:rsidR="00E045D9" w:rsidRPr="00D5464D">
        <w:rPr>
          <w:lang w:val="pt-BR"/>
        </w:rPr>
        <w:t xml:space="preserve"> e </w:t>
      </w:r>
      <w:r w:rsidR="002C330E" w:rsidRPr="00D5464D">
        <w:rPr>
          <w:lang w:val="pt-BR"/>
        </w:rPr>
        <w:t xml:space="preserve">a </w:t>
      </w:r>
      <w:r w:rsidR="00230C71" w:rsidRPr="00D5464D">
        <w:rPr>
          <w:lang w:val="pt-BR"/>
        </w:rPr>
        <w:t>exploração</w:t>
      </w:r>
      <w:r w:rsidR="004C4889" w:rsidRPr="00D5464D">
        <w:rPr>
          <w:lang w:val="pt-BR"/>
        </w:rPr>
        <w:t xml:space="preserve"> contra su</w:t>
      </w:r>
      <w:r w:rsidR="008365E3" w:rsidRPr="00D5464D">
        <w:rPr>
          <w:lang w:val="pt-BR"/>
        </w:rPr>
        <w:t>a</w:t>
      </w:r>
      <w:r w:rsidR="004C4889" w:rsidRPr="00D5464D">
        <w:rPr>
          <w:lang w:val="pt-BR"/>
        </w:rPr>
        <w:t xml:space="preserve"> </w:t>
      </w:r>
      <w:r w:rsidR="00230C71" w:rsidRPr="00D5464D">
        <w:rPr>
          <w:lang w:val="pt-BR"/>
        </w:rPr>
        <w:t>vontade</w:t>
      </w:r>
      <w:r w:rsidR="008365E3" w:rsidRPr="00D5464D">
        <w:rPr>
          <w:lang w:val="pt-BR"/>
        </w:rPr>
        <w:t>.</w:t>
      </w:r>
      <w:r w:rsidR="004C4889" w:rsidRPr="00D5464D">
        <w:rPr>
          <w:rStyle w:val="Refdenotaalpie"/>
          <w:lang w:val="pt-BR"/>
        </w:rPr>
        <w:footnoteReference w:id="415"/>
      </w:r>
      <w:r w:rsidR="004C4889" w:rsidRPr="00D5464D">
        <w:rPr>
          <w:lang w:val="pt-BR"/>
        </w:rPr>
        <w:t xml:space="preserve"> </w:t>
      </w:r>
      <w:r w:rsidR="002C330E" w:rsidRPr="00D5464D">
        <w:rPr>
          <w:lang w:val="pt-BR"/>
        </w:rPr>
        <w:t>Portanto</w:t>
      </w:r>
      <w:r w:rsidR="004C4889" w:rsidRPr="00D5464D">
        <w:rPr>
          <w:lang w:val="pt-BR"/>
        </w:rPr>
        <w:t>,</w:t>
      </w:r>
      <w:r w:rsidR="002C330E" w:rsidRPr="00D5464D">
        <w:rPr>
          <w:lang w:val="pt-BR"/>
        </w:rPr>
        <w:t xml:space="preserve"> a </w:t>
      </w:r>
      <w:r w:rsidR="004C4889" w:rsidRPr="00D5464D">
        <w:rPr>
          <w:lang w:val="pt-BR"/>
        </w:rPr>
        <w:t>Corte Interamericana considera que</w:t>
      </w:r>
      <w:r w:rsidR="002C330E" w:rsidRPr="00D5464D">
        <w:rPr>
          <w:lang w:val="pt-BR"/>
        </w:rPr>
        <w:t xml:space="preserve"> a </w:t>
      </w:r>
      <w:r w:rsidR="000B376D" w:rsidRPr="00D5464D">
        <w:rPr>
          <w:lang w:val="pt-BR"/>
        </w:rPr>
        <w:t>servidão</w:t>
      </w:r>
      <w:r w:rsidR="00470ADC" w:rsidRPr="00D5464D">
        <w:rPr>
          <w:lang w:val="pt-BR"/>
        </w:rPr>
        <w:t xml:space="preserve"> é</w:t>
      </w:r>
      <w:r w:rsidR="00E045D9" w:rsidRPr="00D5464D">
        <w:rPr>
          <w:lang w:val="pt-BR"/>
        </w:rPr>
        <w:t xml:space="preserve"> uma </w:t>
      </w:r>
      <w:r w:rsidR="00592688" w:rsidRPr="00D5464D">
        <w:rPr>
          <w:lang w:val="pt-BR"/>
        </w:rPr>
        <w:t xml:space="preserve">forma análoga </w:t>
      </w:r>
      <w:r w:rsidR="008365E3" w:rsidRPr="00D5464D">
        <w:rPr>
          <w:lang w:val="pt-BR"/>
        </w:rPr>
        <w:t>à</w:t>
      </w:r>
      <w:r w:rsidR="00592688" w:rsidRPr="00D5464D">
        <w:rPr>
          <w:lang w:val="pt-BR"/>
        </w:rPr>
        <w:t xml:space="preserve"> </w:t>
      </w:r>
      <w:r w:rsidR="000B376D" w:rsidRPr="00D5464D">
        <w:rPr>
          <w:lang w:val="pt-BR"/>
        </w:rPr>
        <w:t>escravidão</w:t>
      </w:r>
      <w:r w:rsidR="00E045D9" w:rsidRPr="00D5464D">
        <w:rPr>
          <w:lang w:val="pt-BR"/>
        </w:rPr>
        <w:t xml:space="preserve"> e </w:t>
      </w:r>
      <w:r w:rsidR="00470ADC" w:rsidRPr="00D5464D">
        <w:rPr>
          <w:lang w:val="pt-BR"/>
        </w:rPr>
        <w:t xml:space="preserve">deve </w:t>
      </w:r>
      <w:r w:rsidR="002C330E" w:rsidRPr="00D5464D">
        <w:rPr>
          <w:lang w:val="pt-BR"/>
        </w:rPr>
        <w:t>receber a mesm</w:t>
      </w:r>
      <w:r w:rsidR="004C4889" w:rsidRPr="00D5464D">
        <w:rPr>
          <w:lang w:val="pt-BR"/>
        </w:rPr>
        <w:t xml:space="preserve">a </w:t>
      </w:r>
      <w:r w:rsidR="002C330E" w:rsidRPr="00D5464D">
        <w:rPr>
          <w:lang w:val="pt-BR"/>
        </w:rPr>
        <w:t>proteção</w:t>
      </w:r>
      <w:r w:rsidR="00E045D9" w:rsidRPr="00D5464D">
        <w:rPr>
          <w:lang w:val="pt-BR"/>
        </w:rPr>
        <w:t xml:space="preserve"> e </w:t>
      </w:r>
      <w:r w:rsidR="00041EA2" w:rsidRPr="00D5464D">
        <w:rPr>
          <w:lang w:val="pt-BR"/>
        </w:rPr>
        <w:t>projeta</w:t>
      </w:r>
      <w:r w:rsidR="00BC37B2" w:rsidRPr="00D5464D">
        <w:rPr>
          <w:lang w:val="pt-BR"/>
        </w:rPr>
        <w:t>r</w:t>
      </w:r>
      <w:r w:rsidR="002C330E" w:rsidRPr="00D5464D">
        <w:rPr>
          <w:lang w:val="pt-BR"/>
        </w:rPr>
        <w:t xml:space="preserve"> as mesm</w:t>
      </w:r>
      <w:r w:rsidR="004C4889" w:rsidRPr="00D5464D">
        <w:rPr>
          <w:lang w:val="pt-BR"/>
        </w:rPr>
        <w:t xml:space="preserve">as </w:t>
      </w:r>
      <w:r w:rsidR="002C330E" w:rsidRPr="00D5464D">
        <w:rPr>
          <w:lang w:val="pt-BR"/>
        </w:rPr>
        <w:t>obrigações</w:t>
      </w:r>
      <w:r w:rsidR="004C4889" w:rsidRPr="00D5464D">
        <w:rPr>
          <w:lang w:val="pt-BR"/>
        </w:rPr>
        <w:t xml:space="preserve"> </w:t>
      </w:r>
      <w:r w:rsidR="00A54497" w:rsidRPr="00D5464D">
        <w:rPr>
          <w:lang w:val="pt-BR"/>
        </w:rPr>
        <w:t>que a</w:t>
      </w:r>
      <w:r w:rsidR="002C330E" w:rsidRPr="00D5464D">
        <w:rPr>
          <w:lang w:val="pt-BR"/>
        </w:rPr>
        <w:t xml:space="preserve"> </w:t>
      </w:r>
      <w:r w:rsidR="000B376D" w:rsidRPr="00D5464D">
        <w:rPr>
          <w:lang w:val="pt-BR"/>
        </w:rPr>
        <w:t>escravidão</w:t>
      </w:r>
      <w:r w:rsidR="004C4889" w:rsidRPr="00D5464D">
        <w:rPr>
          <w:lang w:val="pt-BR"/>
        </w:rPr>
        <w:t xml:space="preserve"> tradicional.</w:t>
      </w:r>
      <w:r w:rsidR="009B2EDB" w:rsidRPr="00D5464D">
        <w:rPr>
          <w:lang w:val="pt-BR"/>
        </w:rPr>
        <w:t xml:space="preserve"> </w:t>
      </w:r>
    </w:p>
    <w:p w14:paraId="012E04A6" w14:textId="77777777" w:rsidR="004C4889" w:rsidRPr="00D5464D" w:rsidRDefault="004C4889" w:rsidP="00140440">
      <w:pPr>
        <w:jc w:val="both"/>
        <w:rPr>
          <w:lang w:val="pt-BR"/>
        </w:rPr>
      </w:pPr>
    </w:p>
    <w:p w14:paraId="5D74FF50" w14:textId="0ED2D065" w:rsidR="00207197" w:rsidRPr="00D5464D" w:rsidRDefault="00DB1C1D" w:rsidP="00F37DC4">
      <w:pPr>
        <w:pStyle w:val="Prrafodelista"/>
        <w:numPr>
          <w:ilvl w:val="0"/>
          <w:numId w:val="1"/>
        </w:numPr>
        <w:contextualSpacing w:val="0"/>
        <w:rPr>
          <w:bCs/>
          <w:lang w:val="pt-BR"/>
        </w:rPr>
      </w:pPr>
      <w:r w:rsidRPr="00D5464D">
        <w:rPr>
          <w:lang w:val="pt-BR"/>
        </w:rPr>
        <w:t>Por</w:t>
      </w:r>
      <w:r w:rsidR="008365E3" w:rsidRPr="00D5464D">
        <w:rPr>
          <w:lang w:val="pt-BR"/>
        </w:rPr>
        <w:t>tanto</w:t>
      </w:r>
      <w:r w:rsidR="00207197" w:rsidRPr="00D5464D">
        <w:rPr>
          <w:lang w:val="pt-BR"/>
        </w:rPr>
        <w:t>,</w:t>
      </w:r>
      <w:r w:rsidR="002C330E" w:rsidRPr="00D5464D">
        <w:rPr>
          <w:lang w:val="pt-BR"/>
        </w:rPr>
        <w:t xml:space="preserve"> a </w:t>
      </w:r>
      <w:r w:rsidR="00207197" w:rsidRPr="00D5464D">
        <w:rPr>
          <w:lang w:val="pt-BR"/>
        </w:rPr>
        <w:t xml:space="preserve">Corte </w:t>
      </w:r>
      <w:r w:rsidR="008365E3" w:rsidRPr="00D5464D">
        <w:rPr>
          <w:lang w:val="pt-BR"/>
        </w:rPr>
        <w:t>precisará</w:t>
      </w:r>
      <w:r w:rsidR="00470ADC" w:rsidRPr="00D5464D">
        <w:rPr>
          <w:lang w:val="pt-BR"/>
        </w:rPr>
        <w:t xml:space="preserve"> o </w:t>
      </w:r>
      <w:r w:rsidR="00207197" w:rsidRPr="00D5464D">
        <w:rPr>
          <w:lang w:val="pt-BR"/>
        </w:rPr>
        <w:t xml:space="preserve">alcance </w:t>
      </w:r>
      <w:r w:rsidR="00E045D9" w:rsidRPr="00D5464D">
        <w:rPr>
          <w:lang w:val="pt-BR"/>
        </w:rPr>
        <w:t>desta</w:t>
      </w:r>
      <w:r w:rsidR="00207197" w:rsidRPr="00D5464D">
        <w:rPr>
          <w:lang w:val="pt-BR"/>
        </w:rPr>
        <w:t xml:space="preserve"> </w:t>
      </w:r>
      <w:r w:rsidR="002C330E" w:rsidRPr="00D5464D">
        <w:rPr>
          <w:lang w:val="pt-BR"/>
        </w:rPr>
        <w:t>proibição</w:t>
      </w:r>
      <w:r w:rsidR="00207197" w:rsidRPr="00D5464D">
        <w:rPr>
          <w:lang w:val="pt-BR"/>
        </w:rPr>
        <w:t xml:space="preserve"> prevista</w:t>
      </w:r>
      <w:r w:rsidR="00E045D9" w:rsidRPr="00D5464D">
        <w:rPr>
          <w:lang w:val="pt-BR"/>
        </w:rPr>
        <w:t xml:space="preserve"> no </w:t>
      </w:r>
      <w:r w:rsidR="00470ADC" w:rsidRPr="00D5464D">
        <w:rPr>
          <w:bCs/>
          <w:lang w:val="pt-BR"/>
        </w:rPr>
        <w:t>artigo</w:t>
      </w:r>
      <w:r w:rsidR="00207197" w:rsidRPr="00D5464D">
        <w:rPr>
          <w:bCs/>
          <w:lang w:val="pt-BR"/>
        </w:rPr>
        <w:t xml:space="preserve"> 6.1</w:t>
      </w:r>
      <w:r w:rsidR="00470ADC" w:rsidRPr="00D5464D">
        <w:rPr>
          <w:bCs/>
          <w:lang w:val="pt-BR"/>
        </w:rPr>
        <w:t xml:space="preserve"> da </w:t>
      </w:r>
      <w:r w:rsidR="00207197" w:rsidRPr="00D5464D">
        <w:rPr>
          <w:bCs/>
          <w:lang w:val="pt-BR"/>
        </w:rPr>
        <w:t>Conven</w:t>
      </w:r>
      <w:r w:rsidR="00470ADC" w:rsidRPr="00D5464D">
        <w:rPr>
          <w:bCs/>
          <w:lang w:val="pt-BR"/>
        </w:rPr>
        <w:t>ção</w:t>
      </w:r>
      <w:r w:rsidRPr="00D5464D">
        <w:rPr>
          <w:bCs/>
          <w:lang w:val="pt-BR"/>
        </w:rPr>
        <w:t xml:space="preserve">. </w:t>
      </w:r>
      <w:r w:rsidR="00350187" w:rsidRPr="00D5464D">
        <w:rPr>
          <w:bCs/>
          <w:lang w:val="pt-BR"/>
        </w:rPr>
        <w:t xml:space="preserve">Para isso, </w:t>
      </w:r>
      <w:r w:rsidR="00470ADC" w:rsidRPr="00D5464D">
        <w:rPr>
          <w:bCs/>
          <w:lang w:val="pt-BR"/>
        </w:rPr>
        <w:t xml:space="preserve">o </w:t>
      </w:r>
      <w:r w:rsidR="00207197" w:rsidRPr="00D5464D">
        <w:rPr>
          <w:bCs/>
          <w:lang w:val="pt-BR"/>
        </w:rPr>
        <w:t>Tribunal considera útil</w:t>
      </w:r>
      <w:r w:rsidR="00E045D9" w:rsidRPr="00D5464D">
        <w:rPr>
          <w:bCs/>
          <w:lang w:val="pt-BR"/>
        </w:rPr>
        <w:t xml:space="preserve"> e apropriad</w:t>
      </w:r>
      <w:r w:rsidR="00207197" w:rsidRPr="00D5464D">
        <w:rPr>
          <w:bCs/>
          <w:lang w:val="pt-BR"/>
        </w:rPr>
        <w:t xml:space="preserve">o </w:t>
      </w:r>
      <w:r w:rsidR="00470ADC" w:rsidRPr="00D5464D">
        <w:rPr>
          <w:bCs/>
          <w:lang w:val="pt-BR"/>
        </w:rPr>
        <w:t>analisar o desenvolvimento</w:t>
      </w:r>
      <w:r w:rsidR="00207197" w:rsidRPr="00D5464D">
        <w:rPr>
          <w:bCs/>
          <w:lang w:val="pt-BR"/>
        </w:rPr>
        <w:t xml:space="preserve"> </w:t>
      </w:r>
      <w:r w:rsidR="008365E3" w:rsidRPr="00D5464D">
        <w:rPr>
          <w:bCs/>
          <w:lang w:val="pt-BR"/>
        </w:rPr>
        <w:t>observado</w:t>
      </w:r>
      <w:r w:rsidR="00E045D9" w:rsidRPr="00D5464D">
        <w:rPr>
          <w:bCs/>
          <w:lang w:val="pt-BR"/>
        </w:rPr>
        <w:t xml:space="preserve"> </w:t>
      </w:r>
      <w:r w:rsidR="00801D7C" w:rsidRPr="00D5464D">
        <w:rPr>
          <w:bCs/>
          <w:lang w:val="pt-BR"/>
        </w:rPr>
        <w:t xml:space="preserve">quanto à </w:t>
      </w:r>
      <w:r w:rsidR="002C330E" w:rsidRPr="00D5464D">
        <w:rPr>
          <w:bCs/>
          <w:lang w:val="pt-BR"/>
        </w:rPr>
        <w:t>matéria</w:t>
      </w:r>
      <w:r w:rsidR="00E045D9" w:rsidRPr="00D5464D">
        <w:rPr>
          <w:bCs/>
          <w:lang w:val="pt-BR"/>
        </w:rPr>
        <w:t xml:space="preserve"> no </w:t>
      </w:r>
      <w:r w:rsidR="00E765C2" w:rsidRPr="00D5464D">
        <w:rPr>
          <w:bCs/>
          <w:lang w:val="pt-BR"/>
        </w:rPr>
        <w:t>Direito Internacional</w:t>
      </w:r>
      <w:r w:rsidR="00470ADC" w:rsidRPr="00D5464D">
        <w:rPr>
          <w:bCs/>
          <w:lang w:val="pt-BR"/>
        </w:rPr>
        <w:t xml:space="preserve"> dos </w:t>
      </w:r>
      <w:r w:rsidR="008365E3" w:rsidRPr="00D5464D">
        <w:rPr>
          <w:bCs/>
          <w:lang w:val="pt-BR"/>
        </w:rPr>
        <w:t>D</w:t>
      </w:r>
      <w:r w:rsidR="00470ADC" w:rsidRPr="00D5464D">
        <w:rPr>
          <w:bCs/>
          <w:lang w:val="pt-BR"/>
        </w:rPr>
        <w:t>ireito</w:t>
      </w:r>
      <w:r w:rsidR="00207197" w:rsidRPr="00D5464D">
        <w:rPr>
          <w:bCs/>
          <w:lang w:val="pt-BR"/>
        </w:rPr>
        <w:t xml:space="preserve">s </w:t>
      </w:r>
      <w:r w:rsidR="008365E3" w:rsidRPr="00D5464D">
        <w:rPr>
          <w:bCs/>
          <w:lang w:val="pt-BR"/>
        </w:rPr>
        <w:t>H</w:t>
      </w:r>
      <w:r w:rsidR="00207197" w:rsidRPr="00D5464D">
        <w:rPr>
          <w:bCs/>
          <w:lang w:val="pt-BR"/>
        </w:rPr>
        <w:t>umanos.</w:t>
      </w:r>
    </w:p>
    <w:p w14:paraId="6C7383F1" w14:textId="77777777" w:rsidR="00207197" w:rsidRPr="00D5464D" w:rsidRDefault="00207197" w:rsidP="00140440">
      <w:pPr>
        <w:jc w:val="both"/>
        <w:rPr>
          <w:lang w:val="pt-BR"/>
        </w:rPr>
      </w:pPr>
    </w:p>
    <w:p w14:paraId="26999EBA" w14:textId="189FC792" w:rsidR="00207197" w:rsidRPr="00D5464D" w:rsidRDefault="00F01959" w:rsidP="00F37DC4">
      <w:pPr>
        <w:pStyle w:val="Prrafodelista"/>
        <w:numPr>
          <w:ilvl w:val="0"/>
          <w:numId w:val="1"/>
        </w:numPr>
        <w:contextualSpacing w:val="0"/>
        <w:rPr>
          <w:lang w:val="pt-BR"/>
        </w:rPr>
      </w:pPr>
      <w:r w:rsidRPr="00D5464D">
        <w:rPr>
          <w:lang w:val="pt-BR"/>
        </w:rPr>
        <w:t>C</w:t>
      </w:r>
      <w:r w:rsidR="00207197" w:rsidRPr="00D5464D">
        <w:rPr>
          <w:lang w:val="pt-BR"/>
        </w:rPr>
        <w:t>omo</w:t>
      </w:r>
      <w:r w:rsidR="002C330E" w:rsidRPr="00D5464D">
        <w:rPr>
          <w:lang w:val="pt-BR"/>
        </w:rPr>
        <w:t xml:space="preserve"> foi </w:t>
      </w:r>
      <w:r w:rsidR="00207197" w:rsidRPr="00D5464D">
        <w:rPr>
          <w:lang w:val="pt-BR"/>
        </w:rPr>
        <w:t>afirmado anteriormente,</w:t>
      </w:r>
      <w:r w:rsidR="002C330E" w:rsidRPr="00D5464D">
        <w:rPr>
          <w:lang w:val="pt-BR"/>
        </w:rPr>
        <w:t xml:space="preserve"> a </w:t>
      </w:r>
      <w:r w:rsidR="00FB26F8" w:rsidRPr="00D5464D">
        <w:rPr>
          <w:lang w:val="pt-BR"/>
        </w:rPr>
        <w:t>Convenção Suplementar de 1956</w:t>
      </w:r>
      <w:r w:rsidR="00207197" w:rsidRPr="00D5464D">
        <w:rPr>
          <w:lang w:val="pt-BR"/>
        </w:rPr>
        <w:t xml:space="preserve"> </w:t>
      </w:r>
      <w:r w:rsidR="00C91CB1" w:rsidRPr="00D5464D">
        <w:rPr>
          <w:lang w:val="pt-BR"/>
        </w:rPr>
        <w:t>definiu</w:t>
      </w:r>
      <w:r w:rsidR="002C330E" w:rsidRPr="00D5464D">
        <w:rPr>
          <w:lang w:val="pt-BR"/>
        </w:rPr>
        <w:t xml:space="preserve"> as </w:t>
      </w:r>
      <w:r w:rsidR="00207197" w:rsidRPr="00D5464D">
        <w:rPr>
          <w:lang w:val="pt-BR"/>
        </w:rPr>
        <w:t xml:space="preserve">formas </w:t>
      </w:r>
      <w:r w:rsidR="006665EF" w:rsidRPr="00D5464D">
        <w:rPr>
          <w:lang w:val="pt-BR"/>
        </w:rPr>
        <w:t>análogas</w:t>
      </w:r>
      <w:r w:rsidR="00350187" w:rsidRPr="00D5464D">
        <w:rPr>
          <w:lang w:val="pt-BR"/>
        </w:rPr>
        <w:t xml:space="preserve"> </w:t>
      </w:r>
      <w:r w:rsidR="00470ADC" w:rsidRPr="00D5464D">
        <w:rPr>
          <w:lang w:val="pt-BR"/>
        </w:rPr>
        <w:t xml:space="preserve">à </w:t>
      </w:r>
      <w:r w:rsidR="000B376D" w:rsidRPr="00D5464D">
        <w:rPr>
          <w:lang w:val="pt-BR"/>
        </w:rPr>
        <w:t>escravidão</w:t>
      </w:r>
      <w:r w:rsidR="00207197" w:rsidRPr="00D5464D">
        <w:rPr>
          <w:lang w:val="pt-BR"/>
        </w:rPr>
        <w:t xml:space="preserve"> como </w:t>
      </w:r>
      <w:r w:rsidR="000B376D" w:rsidRPr="00D5464D">
        <w:rPr>
          <w:lang w:val="pt-BR"/>
        </w:rPr>
        <w:t>servidão</w:t>
      </w:r>
      <w:r w:rsidR="008365E3" w:rsidRPr="00D5464D">
        <w:rPr>
          <w:lang w:val="pt-BR"/>
        </w:rPr>
        <w:t>,</w:t>
      </w:r>
      <w:r w:rsidR="00207197" w:rsidRPr="00D5464D">
        <w:rPr>
          <w:rStyle w:val="Refdenotaalpie"/>
          <w:lang w:val="pt-BR"/>
        </w:rPr>
        <w:footnoteReference w:id="416"/>
      </w:r>
      <w:r w:rsidR="00207197" w:rsidRPr="00D5464D">
        <w:rPr>
          <w:lang w:val="pt-BR"/>
        </w:rPr>
        <w:t xml:space="preserve"> </w:t>
      </w:r>
      <w:r w:rsidR="000B376D" w:rsidRPr="00D5464D">
        <w:rPr>
          <w:lang w:val="pt-BR"/>
        </w:rPr>
        <w:t>servidão</w:t>
      </w:r>
      <w:r w:rsidR="000C63BE" w:rsidRPr="00D5464D">
        <w:rPr>
          <w:lang w:val="pt-BR"/>
        </w:rPr>
        <w:t xml:space="preserve"> por dívidas</w:t>
      </w:r>
      <w:r w:rsidR="008365E3" w:rsidRPr="00D5464D">
        <w:rPr>
          <w:lang w:val="pt-BR"/>
        </w:rPr>
        <w:t>,</w:t>
      </w:r>
      <w:r w:rsidR="00207197" w:rsidRPr="00D5464D">
        <w:rPr>
          <w:rStyle w:val="Refdenotaalpie"/>
          <w:lang w:val="pt-BR"/>
        </w:rPr>
        <w:footnoteReference w:id="417"/>
      </w:r>
      <w:r w:rsidR="00207197" w:rsidRPr="00D5464D">
        <w:rPr>
          <w:lang w:val="pt-BR"/>
        </w:rPr>
        <w:t xml:space="preserve"> entre </w:t>
      </w:r>
      <w:r w:rsidR="002C330E" w:rsidRPr="00D5464D">
        <w:rPr>
          <w:lang w:val="pt-BR"/>
        </w:rPr>
        <w:t>outra</w:t>
      </w:r>
      <w:r w:rsidR="00207197" w:rsidRPr="00D5464D">
        <w:rPr>
          <w:lang w:val="pt-BR"/>
        </w:rPr>
        <w:t>s formas</w:t>
      </w:r>
      <w:r w:rsidR="008365E3" w:rsidRPr="00D5464D">
        <w:rPr>
          <w:lang w:val="pt-BR"/>
        </w:rPr>
        <w:t>.</w:t>
      </w:r>
      <w:r w:rsidR="00207197" w:rsidRPr="00D5464D">
        <w:rPr>
          <w:rStyle w:val="Refdenotaalpie"/>
          <w:lang w:val="pt-BR"/>
        </w:rPr>
        <w:footnoteReference w:id="418"/>
      </w:r>
      <w:r w:rsidR="00207197" w:rsidRPr="00D5464D">
        <w:rPr>
          <w:lang w:val="pt-BR"/>
        </w:rPr>
        <w:t xml:space="preserve"> </w:t>
      </w:r>
    </w:p>
    <w:p w14:paraId="6E236742" w14:textId="77777777" w:rsidR="00DE3E58" w:rsidRPr="00D5464D" w:rsidRDefault="00DE3E58" w:rsidP="00DE3E58">
      <w:pPr>
        <w:pStyle w:val="Prrafodelista"/>
        <w:ind w:left="0"/>
        <w:contextualSpacing w:val="0"/>
        <w:rPr>
          <w:lang w:val="pt-BR"/>
        </w:rPr>
      </w:pPr>
    </w:p>
    <w:p w14:paraId="1B1A396D" w14:textId="2A353A9D" w:rsidR="00207197" w:rsidRPr="00D5464D" w:rsidRDefault="00470ADC" w:rsidP="00F37DC4">
      <w:pPr>
        <w:pStyle w:val="Prrafodelista"/>
        <w:numPr>
          <w:ilvl w:val="0"/>
          <w:numId w:val="1"/>
        </w:numPr>
        <w:contextualSpacing w:val="0"/>
        <w:rPr>
          <w:lang w:val="pt-BR"/>
        </w:rPr>
      </w:pPr>
      <w:r w:rsidRPr="00D5464D">
        <w:rPr>
          <w:lang w:val="pt-BR"/>
        </w:rPr>
        <w:t xml:space="preserve">O </w:t>
      </w:r>
      <w:r w:rsidR="00207197" w:rsidRPr="00D5464D">
        <w:rPr>
          <w:lang w:val="pt-BR"/>
        </w:rPr>
        <w:t xml:space="preserve">Tribunal </w:t>
      </w:r>
      <w:r w:rsidRPr="00D5464D">
        <w:rPr>
          <w:lang w:val="pt-BR"/>
        </w:rPr>
        <w:t>Europeu</w:t>
      </w:r>
      <w:r w:rsidR="007F32C3" w:rsidRPr="00D5464D">
        <w:rPr>
          <w:lang w:val="pt-BR"/>
        </w:rPr>
        <w:t xml:space="preserve"> de </w:t>
      </w:r>
      <w:r w:rsidRPr="00D5464D">
        <w:rPr>
          <w:lang w:val="pt-BR"/>
        </w:rPr>
        <w:t>Direito</w:t>
      </w:r>
      <w:r w:rsidR="007F32C3" w:rsidRPr="00D5464D">
        <w:rPr>
          <w:lang w:val="pt-BR"/>
        </w:rPr>
        <w:t>s Humanos</w:t>
      </w:r>
      <w:r w:rsidR="00207197" w:rsidRPr="00D5464D">
        <w:rPr>
          <w:lang w:val="pt-BR"/>
        </w:rPr>
        <w:t>,</w:t>
      </w:r>
      <w:r w:rsidR="00E045D9" w:rsidRPr="00D5464D">
        <w:rPr>
          <w:lang w:val="pt-BR"/>
        </w:rPr>
        <w:t xml:space="preserve"> no </w:t>
      </w:r>
      <w:r w:rsidR="007F32C3" w:rsidRPr="00D5464D">
        <w:rPr>
          <w:i/>
          <w:lang w:val="pt-BR"/>
        </w:rPr>
        <w:t xml:space="preserve">Caso </w:t>
      </w:r>
      <w:r w:rsidR="00207197" w:rsidRPr="00D5464D">
        <w:rPr>
          <w:i/>
          <w:lang w:val="pt-BR"/>
        </w:rPr>
        <w:t xml:space="preserve">Siliadin Vs. </w:t>
      </w:r>
      <w:r w:rsidRPr="00D5464D">
        <w:rPr>
          <w:i/>
          <w:lang w:val="pt-BR"/>
        </w:rPr>
        <w:t>França</w:t>
      </w:r>
      <w:r w:rsidR="00207197" w:rsidRPr="00D5464D">
        <w:rPr>
          <w:lang w:val="pt-BR"/>
        </w:rPr>
        <w:t xml:space="preserve"> mencionado anteriormente, </w:t>
      </w:r>
      <w:r w:rsidRPr="00D5464D">
        <w:rPr>
          <w:lang w:val="pt-BR"/>
        </w:rPr>
        <w:t>determinou</w:t>
      </w:r>
      <w:r w:rsidR="00207197" w:rsidRPr="00D5464D">
        <w:rPr>
          <w:lang w:val="pt-BR"/>
        </w:rPr>
        <w:t xml:space="preserve"> que</w:t>
      </w:r>
      <w:r w:rsidR="002C330E" w:rsidRPr="00D5464D">
        <w:rPr>
          <w:lang w:val="pt-BR"/>
        </w:rPr>
        <w:t xml:space="preserve"> a </w:t>
      </w:r>
      <w:r w:rsidR="000B376D" w:rsidRPr="00D5464D">
        <w:rPr>
          <w:lang w:val="pt-BR"/>
        </w:rPr>
        <w:t>servidão</w:t>
      </w:r>
      <w:r w:rsidR="00207197" w:rsidRPr="00D5464D">
        <w:rPr>
          <w:lang w:val="pt-BR"/>
        </w:rPr>
        <w:t xml:space="preserve"> consiste</w:t>
      </w:r>
      <w:r w:rsidRPr="00D5464D">
        <w:rPr>
          <w:lang w:val="pt-BR"/>
        </w:rPr>
        <w:t xml:space="preserve"> </w:t>
      </w:r>
      <w:r w:rsidR="000C63BE" w:rsidRPr="00D5464D">
        <w:rPr>
          <w:lang w:val="pt-BR"/>
        </w:rPr>
        <w:t xml:space="preserve">na </w:t>
      </w:r>
      <w:r w:rsidRPr="00D5464D">
        <w:rPr>
          <w:lang w:val="pt-BR"/>
        </w:rPr>
        <w:t>“</w:t>
      </w:r>
      <w:r w:rsidR="002C330E" w:rsidRPr="00D5464D">
        <w:rPr>
          <w:lang w:val="pt-BR"/>
        </w:rPr>
        <w:t>obrigação</w:t>
      </w:r>
      <w:r w:rsidR="00207197" w:rsidRPr="00D5464D">
        <w:rPr>
          <w:lang w:val="pt-BR"/>
        </w:rPr>
        <w:t xml:space="preserve"> de realizar </w:t>
      </w:r>
      <w:r w:rsidR="00E045D9" w:rsidRPr="00D5464D">
        <w:rPr>
          <w:lang w:val="pt-BR"/>
        </w:rPr>
        <w:t>trabalho</w:t>
      </w:r>
      <w:r w:rsidR="00207197" w:rsidRPr="00D5464D">
        <w:rPr>
          <w:lang w:val="pt-BR"/>
        </w:rPr>
        <w:t xml:space="preserve"> para </w:t>
      </w:r>
      <w:r w:rsidR="002C330E" w:rsidRPr="00D5464D">
        <w:rPr>
          <w:lang w:val="pt-BR"/>
        </w:rPr>
        <w:t>outros</w:t>
      </w:r>
      <w:r w:rsidR="00207197" w:rsidRPr="00D5464D">
        <w:rPr>
          <w:lang w:val="pt-BR"/>
        </w:rPr>
        <w:t xml:space="preserve">, </w:t>
      </w:r>
      <w:r w:rsidR="002C330E" w:rsidRPr="00D5464D">
        <w:rPr>
          <w:lang w:val="pt-BR"/>
        </w:rPr>
        <w:t>imposto</w:t>
      </w:r>
      <w:r w:rsidR="00207197" w:rsidRPr="00D5464D">
        <w:rPr>
          <w:lang w:val="pt-BR"/>
        </w:rPr>
        <w:t xml:space="preserve"> por </w:t>
      </w:r>
      <w:r w:rsidR="002C330E" w:rsidRPr="00D5464D">
        <w:rPr>
          <w:lang w:val="pt-BR"/>
        </w:rPr>
        <w:t xml:space="preserve">meio </w:t>
      </w:r>
      <w:r w:rsidR="00207197" w:rsidRPr="00D5464D">
        <w:rPr>
          <w:lang w:val="pt-BR"/>
        </w:rPr>
        <w:t>de coer</w:t>
      </w:r>
      <w:r w:rsidRPr="00D5464D">
        <w:rPr>
          <w:lang w:val="pt-BR"/>
        </w:rPr>
        <w:t>ção, e</w:t>
      </w:r>
      <w:r w:rsidR="002C330E" w:rsidRPr="00D5464D">
        <w:rPr>
          <w:lang w:val="pt-BR"/>
        </w:rPr>
        <w:t xml:space="preserve"> a obrigação</w:t>
      </w:r>
      <w:r w:rsidR="00207197" w:rsidRPr="00D5464D">
        <w:rPr>
          <w:lang w:val="pt-BR"/>
        </w:rPr>
        <w:t xml:space="preserve"> de </w:t>
      </w:r>
      <w:r w:rsidR="00E045D9" w:rsidRPr="00D5464D">
        <w:rPr>
          <w:lang w:val="pt-BR"/>
        </w:rPr>
        <w:t xml:space="preserve">viver na </w:t>
      </w:r>
      <w:r w:rsidR="002C330E" w:rsidRPr="00D5464D">
        <w:rPr>
          <w:lang w:val="pt-BR"/>
        </w:rPr>
        <w:t>propriedade</w:t>
      </w:r>
      <w:r w:rsidR="00207197" w:rsidRPr="00D5464D">
        <w:rPr>
          <w:lang w:val="pt-BR"/>
        </w:rPr>
        <w:t xml:space="preserve"> de</w:t>
      </w:r>
      <w:r w:rsidR="002C330E" w:rsidRPr="00D5464D">
        <w:rPr>
          <w:lang w:val="pt-BR"/>
        </w:rPr>
        <w:t xml:space="preserve"> outra pessoa</w:t>
      </w:r>
      <w:r w:rsidR="00207197" w:rsidRPr="00D5464D">
        <w:rPr>
          <w:lang w:val="pt-BR"/>
        </w:rPr>
        <w:t>,</w:t>
      </w:r>
      <w:r w:rsidR="002C330E" w:rsidRPr="00D5464D">
        <w:rPr>
          <w:lang w:val="pt-BR"/>
        </w:rPr>
        <w:t xml:space="preserve"> sem a possibilidade </w:t>
      </w:r>
      <w:r w:rsidR="00207197" w:rsidRPr="00D5464D">
        <w:rPr>
          <w:lang w:val="pt-BR"/>
        </w:rPr>
        <w:t xml:space="preserve">de </w:t>
      </w:r>
      <w:r w:rsidR="000C63BE" w:rsidRPr="00D5464D">
        <w:rPr>
          <w:lang w:val="pt-BR"/>
        </w:rPr>
        <w:t xml:space="preserve">alterar </w:t>
      </w:r>
      <w:r w:rsidRPr="00D5464D">
        <w:rPr>
          <w:lang w:val="pt-BR"/>
        </w:rPr>
        <w:t xml:space="preserve">essa </w:t>
      </w:r>
      <w:r w:rsidR="00207197" w:rsidRPr="00D5464D">
        <w:rPr>
          <w:lang w:val="pt-BR"/>
        </w:rPr>
        <w:t>condi</w:t>
      </w:r>
      <w:r w:rsidRPr="00D5464D">
        <w:rPr>
          <w:lang w:val="pt-BR"/>
        </w:rPr>
        <w:t>ção</w:t>
      </w:r>
      <w:r w:rsidR="00207197" w:rsidRPr="00D5464D">
        <w:rPr>
          <w:lang w:val="pt-BR"/>
        </w:rPr>
        <w:t>”</w:t>
      </w:r>
      <w:r w:rsidR="000C63BE" w:rsidRPr="00D5464D">
        <w:rPr>
          <w:lang w:val="pt-BR"/>
        </w:rPr>
        <w:t>.</w:t>
      </w:r>
      <w:r w:rsidR="00207197" w:rsidRPr="00D5464D">
        <w:rPr>
          <w:rStyle w:val="Refdenotaalpie"/>
          <w:lang w:val="pt-BR"/>
        </w:rPr>
        <w:footnoteReference w:id="419"/>
      </w:r>
      <w:r w:rsidR="00207197" w:rsidRPr="00D5464D">
        <w:rPr>
          <w:lang w:val="pt-BR"/>
        </w:rPr>
        <w:t xml:space="preserve"> </w:t>
      </w:r>
      <w:r w:rsidR="0070011D" w:rsidRPr="00D5464D">
        <w:rPr>
          <w:lang w:val="pt-BR"/>
        </w:rPr>
        <w:t>Posteriormente,</w:t>
      </w:r>
      <w:r w:rsidRPr="00D5464D">
        <w:rPr>
          <w:lang w:val="pt-BR"/>
        </w:rPr>
        <w:t xml:space="preserve"> o </w:t>
      </w:r>
      <w:r w:rsidR="00207197" w:rsidRPr="00D5464D">
        <w:rPr>
          <w:lang w:val="pt-BR"/>
        </w:rPr>
        <w:t xml:space="preserve">Tribunal </w:t>
      </w:r>
      <w:r w:rsidRPr="00D5464D">
        <w:rPr>
          <w:lang w:val="pt-BR"/>
        </w:rPr>
        <w:t>Europeu</w:t>
      </w:r>
      <w:r w:rsidR="0070011D" w:rsidRPr="00D5464D">
        <w:rPr>
          <w:lang w:val="pt-BR"/>
        </w:rPr>
        <w:t xml:space="preserve"> </w:t>
      </w:r>
      <w:r w:rsidRPr="00D5464D">
        <w:rPr>
          <w:lang w:val="pt-BR"/>
        </w:rPr>
        <w:t>considerou</w:t>
      </w:r>
      <w:r w:rsidR="002C330E" w:rsidRPr="00D5464D">
        <w:rPr>
          <w:lang w:val="pt-BR"/>
        </w:rPr>
        <w:t xml:space="preserve"> a </w:t>
      </w:r>
      <w:r w:rsidR="000B376D" w:rsidRPr="00D5464D">
        <w:rPr>
          <w:lang w:val="pt-BR"/>
        </w:rPr>
        <w:t>servidão</w:t>
      </w:r>
      <w:r w:rsidR="00207197" w:rsidRPr="00D5464D">
        <w:rPr>
          <w:lang w:val="pt-BR"/>
        </w:rPr>
        <w:t xml:space="preserve"> </w:t>
      </w:r>
      <w:r w:rsidR="0070011D" w:rsidRPr="00D5464D">
        <w:rPr>
          <w:lang w:val="pt-BR"/>
        </w:rPr>
        <w:t>como</w:t>
      </w:r>
      <w:r w:rsidR="00207197" w:rsidRPr="00D5464D">
        <w:rPr>
          <w:lang w:val="pt-BR"/>
        </w:rPr>
        <w:t xml:space="preserve"> </w:t>
      </w:r>
      <w:r w:rsidRPr="00D5464D">
        <w:rPr>
          <w:lang w:val="pt-BR"/>
        </w:rPr>
        <w:t>“um</w:t>
      </w:r>
      <w:r w:rsidR="00207197" w:rsidRPr="00D5464D">
        <w:rPr>
          <w:lang w:val="pt-BR"/>
        </w:rPr>
        <w:t xml:space="preserve">a forma agravada de </w:t>
      </w:r>
      <w:r w:rsidR="00E045D9" w:rsidRPr="00D5464D">
        <w:rPr>
          <w:lang w:val="pt-BR"/>
        </w:rPr>
        <w:t>trabalho</w:t>
      </w:r>
      <w:r w:rsidR="00207197" w:rsidRPr="00D5464D">
        <w:rPr>
          <w:lang w:val="pt-BR"/>
        </w:rPr>
        <w:t xml:space="preserve"> </w:t>
      </w:r>
      <w:r w:rsidR="00230C71" w:rsidRPr="00D5464D">
        <w:rPr>
          <w:lang w:val="pt-BR"/>
        </w:rPr>
        <w:t>forçado</w:t>
      </w:r>
      <w:r w:rsidR="00207197" w:rsidRPr="00D5464D">
        <w:rPr>
          <w:lang w:val="pt-BR"/>
        </w:rPr>
        <w:t xml:space="preserve"> o</w:t>
      </w:r>
      <w:r w:rsidR="000C63BE" w:rsidRPr="00D5464D">
        <w:rPr>
          <w:lang w:val="pt-BR"/>
        </w:rPr>
        <w:t>u compulsó</w:t>
      </w:r>
      <w:r w:rsidR="00207197" w:rsidRPr="00D5464D">
        <w:rPr>
          <w:lang w:val="pt-BR"/>
        </w:rPr>
        <w:t>rio”</w:t>
      </w:r>
      <w:r w:rsidR="007F32C3" w:rsidRPr="00D5464D">
        <w:rPr>
          <w:lang w:val="pt-BR"/>
        </w:rPr>
        <w:t>,</w:t>
      </w:r>
      <w:r w:rsidR="00E045D9" w:rsidRPr="00D5464D">
        <w:rPr>
          <w:lang w:val="pt-BR"/>
        </w:rPr>
        <w:t xml:space="preserve"> no </w:t>
      </w:r>
      <w:r w:rsidR="00207197" w:rsidRPr="00D5464D">
        <w:rPr>
          <w:lang w:val="pt-BR"/>
        </w:rPr>
        <w:t>sentido de que</w:t>
      </w:r>
      <w:r w:rsidR="002C330E" w:rsidRPr="00D5464D">
        <w:rPr>
          <w:lang w:val="pt-BR"/>
        </w:rPr>
        <w:t xml:space="preserve"> a </w:t>
      </w:r>
      <w:r w:rsidR="00E045D9" w:rsidRPr="00D5464D">
        <w:rPr>
          <w:lang w:val="pt-BR"/>
        </w:rPr>
        <w:t>vítima</w:t>
      </w:r>
      <w:r w:rsidR="00350187" w:rsidRPr="00D5464D">
        <w:rPr>
          <w:lang w:val="pt-BR"/>
        </w:rPr>
        <w:t xml:space="preserve"> sente</w:t>
      </w:r>
      <w:r w:rsidR="00207197" w:rsidRPr="00D5464D">
        <w:rPr>
          <w:lang w:val="pt-BR"/>
        </w:rPr>
        <w:t xml:space="preserve"> que </w:t>
      </w:r>
      <w:r w:rsidR="00A1358C" w:rsidRPr="00D5464D">
        <w:rPr>
          <w:lang w:val="pt-BR"/>
        </w:rPr>
        <w:t>sua condição</w:t>
      </w:r>
      <w:r w:rsidRPr="00D5464D">
        <w:rPr>
          <w:lang w:val="pt-BR"/>
        </w:rPr>
        <w:t xml:space="preserve"> é </w:t>
      </w:r>
      <w:r w:rsidR="00207197" w:rsidRPr="00D5464D">
        <w:rPr>
          <w:lang w:val="pt-BR"/>
        </w:rPr>
        <w:t>permanente</w:t>
      </w:r>
      <w:r w:rsidR="00E045D9" w:rsidRPr="00D5464D">
        <w:rPr>
          <w:lang w:val="pt-BR"/>
        </w:rPr>
        <w:t xml:space="preserve"> e </w:t>
      </w:r>
      <w:r w:rsidR="00207197" w:rsidRPr="00D5464D">
        <w:rPr>
          <w:lang w:val="pt-BR"/>
        </w:rPr>
        <w:t>n</w:t>
      </w:r>
      <w:r w:rsidR="000C63BE" w:rsidRPr="00D5464D">
        <w:rPr>
          <w:lang w:val="pt-BR"/>
        </w:rPr>
        <w:t>ã</w:t>
      </w:r>
      <w:r w:rsidR="00207197" w:rsidRPr="00D5464D">
        <w:rPr>
          <w:lang w:val="pt-BR"/>
        </w:rPr>
        <w:t xml:space="preserve">o </w:t>
      </w:r>
      <w:r w:rsidR="002C330E" w:rsidRPr="00D5464D">
        <w:rPr>
          <w:lang w:val="pt-BR"/>
        </w:rPr>
        <w:t xml:space="preserve">há possibilidade </w:t>
      </w:r>
      <w:r w:rsidR="00207197" w:rsidRPr="00D5464D">
        <w:rPr>
          <w:lang w:val="pt-BR"/>
        </w:rPr>
        <w:t xml:space="preserve">de </w:t>
      </w:r>
      <w:r w:rsidR="000C63BE" w:rsidRPr="00D5464D">
        <w:rPr>
          <w:lang w:val="pt-BR"/>
        </w:rPr>
        <w:t>mudanças.</w:t>
      </w:r>
      <w:r w:rsidR="00207197" w:rsidRPr="00D5464D">
        <w:rPr>
          <w:rStyle w:val="Refdenotaalpie"/>
          <w:lang w:val="pt-BR"/>
        </w:rPr>
        <w:footnoteReference w:id="420"/>
      </w:r>
      <w:r w:rsidR="00207197" w:rsidRPr="00D5464D">
        <w:rPr>
          <w:lang w:val="pt-BR"/>
        </w:rPr>
        <w:t xml:space="preserve"> </w:t>
      </w:r>
      <w:r w:rsidR="00350187" w:rsidRPr="00D5464D">
        <w:rPr>
          <w:lang w:val="pt-BR"/>
        </w:rPr>
        <w:t xml:space="preserve">Além disso, </w:t>
      </w:r>
      <w:r w:rsidR="002C330E" w:rsidRPr="00D5464D">
        <w:rPr>
          <w:lang w:val="pt-BR"/>
        </w:rPr>
        <w:t xml:space="preserve">as </w:t>
      </w:r>
      <w:r w:rsidR="00207197" w:rsidRPr="00D5464D">
        <w:rPr>
          <w:lang w:val="pt-BR"/>
        </w:rPr>
        <w:t>formas de coer</w:t>
      </w:r>
      <w:r w:rsidRPr="00D5464D">
        <w:rPr>
          <w:lang w:val="pt-BR"/>
        </w:rPr>
        <w:t>ção</w:t>
      </w:r>
      <w:r w:rsidR="00207197" w:rsidRPr="00D5464D">
        <w:rPr>
          <w:lang w:val="pt-BR"/>
        </w:rPr>
        <w:t xml:space="preserve"> </w:t>
      </w:r>
      <w:r w:rsidR="00230C71" w:rsidRPr="00D5464D">
        <w:rPr>
          <w:lang w:val="pt-BR"/>
        </w:rPr>
        <w:t xml:space="preserve">podem </w:t>
      </w:r>
      <w:r w:rsidR="00207197" w:rsidRPr="00D5464D">
        <w:rPr>
          <w:lang w:val="pt-BR"/>
        </w:rPr>
        <w:t xml:space="preserve">ser tanto explícitas como </w:t>
      </w:r>
      <w:r w:rsidR="000C63BE" w:rsidRPr="00D5464D">
        <w:rPr>
          <w:lang w:val="pt-BR"/>
        </w:rPr>
        <w:t>implícitas.</w:t>
      </w:r>
      <w:r w:rsidR="00207197" w:rsidRPr="00D5464D">
        <w:rPr>
          <w:rStyle w:val="Refdenotaalpie"/>
          <w:lang w:val="pt-BR"/>
        </w:rPr>
        <w:footnoteReference w:id="421"/>
      </w:r>
    </w:p>
    <w:p w14:paraId="5819D9A5" w14:textId="77777777" w:rsidR="00207197" w:rsidRPr="00D5464D" w:rsidRDefault="00207197" w:rsidP="00140440">
      <w:pPr>
        <w:jc w:val="both"/>
        <w:rPr>
          <w:lang w:val="pt-BR"/>
        </w:rPr>
      </w:pPr>
    </w:p>
    <w:p w14:paraId="72BF80FB" w14:textId="0F53B6EA" w:rsidR="00207197" w:rsidRPr="00D5464D" w:rsidRDefault="000C63BE" w:rsidP="00F37DC4">
      <w:pPr>
        <w:pStyle w:val="Prrafodelista"/>
        <w:numPr>
          <w:ilvl w:val="0"/>
          <w:numId w:val="1"/>
        </w:numPr>
        <w:contextualSpacing w:val="0"/>
        <w:rPr>
          <w:lang w:val="pt-BR"/>
        </w:rPr>
      </w:pPr>
      <w:r w:rsidRPr="00D5464D">
        <w:rPr>
          <w:lang w:val="pt-BR"/>
        </w:rPr>
        <w:t>Em virtude d</w:t>
      </w:r>
      <w:r w:rsidR="001D30B1" w:rsidRPr="00D5464D">
        <w:rPr>
          <w:lang w:val="pt-BR"/>
        </w:rPr>
        <w:t>isso</w:t>
      </w:r>
      <w:r w:rsidR="00207197" w:rsidRPr="00D5464D">
        <w:rPr>
          <w:lang w:val="pt-BR"/>
        </w:rPr>
        <w:t>,</w:t>
      </w:r>
      <w:r w:rsidR="002C330E" w:rsidRPr="00D5464D">
        <w:rPr>
          <w:lang w:val="pt-BR"/>
        </w:rPr>
        <w:t xml:space="preserve"> a </w:t>
      </w:r>
      <w:r w:rsidR="00207197" w:rsidRPr="00D5464D">
        <w:rPr>
          <w:lang w:val="pt-BR"/>
        </w:rPr>
        <w:t>Corte coincide</w:t>
      </w:r>
      <w:r w:rsidR="00470ADC" w:rsidRPr="00D5464D">
        <w:rPr>
          <w:lang w:val="pt-BR"/>
        </w:rPr>
        <w:t xml:space="preserve"> com</w:t>
      </w:r>
      <w:r w:rsidR="002C330E" w:rsidRPr="00D5464D">
        <w:rPr>
          <w:lang w:val="pt-BR"/>
        </w:rPr>
        <w:t xml:space="preserve"> a </w:t>
      </w:r>
      <w:r w:rsidR="00207197" w:rsidRPr="00D5464D">
        <w:rPr>
          <w:lang w:val="pt-BR"/>
        </w:rPr>
        <w:t>defini</w:t>
      </w:r>
      <w:r w:rsidR="00470ADC" w:rsidRPr="00D5464D">
        <w:rPr>
          <w:lang w:val="pt-BR"/>
        </w:rPr>
        <w:t>ção</w:t>
      </w:r>
      <w:r w:rsidR="00207197" w:rsidRPr="00D5464D">
        <w:rPr>
          <w:lang w:val="pt-BR"/>
        </w:rPr>
        <w:t xml:space="preserve"> </w:t>
      </w:r>
      <w:r w:rsidR="00470ADC" w:rsidRPr="00D5464D">
        <w:rPr>
          <w:lang w:val="pt-BR"/>
        </w:rPr>
        <w:t xml:space="preserve">do </w:t>
      </w:r>
      <w:r w:rsidR="00207197" w:rsidRPr="00D5464D">
        <w:rPr>
          <w:lang w:val="pt-BR"/>
        </w:rPr>
        <w:t xml:space="preserve">Tribunal </w:t>
      </w:r>
      <w:r w:rsidR="00470ADC" w:rsidRPr="00D5464D">
        <w:rPr>
          <w:lang w:val="pt-BR"/>
        </w:rPr>
        <w:t>Europeu</w:t>
      </w:r>
      <w:r w:rsidR="00207197" w:rsidRPr="00D5464D">
        <w:rPr>
          <w:lang w:val="pt-BR"/>
        </w:rPr>
        <w:t xml:space="preserve"> de </w:t>
      </w:r>
      <w:r w:rsidR="00470ADC" w:rsidRPr="00D5464D">
        <w:rPr>
          <w:lang w:val="pt-BR"/>
        </w:rPr>
        <w:t>Direito</w:t>
      </w:r>
      <w:r w:rsidR="00207197" w:rsidRPr="00D5464D">
        <w:rPr>
          <w:lang w:val="pt-BR"/>
        </w:rPr>
        <w:t>s Humanos sobre “</w:t>
      </w:r>
      <w:r w:rsidR="000B376D" w:rsidRPr="00D5464D">
        <w:rPr>
          <w:lang w:val="pt-BR"/>
        </w:rPr>
        <w:t>servidão</w:t>
      </w:r>
      <w:r w:rsidR="00207197" w:rsidRPr="00D5464D">
        <w:rPr>
          <w:lang w:val="pt-BR"/>
        </w:rPr>
        <w:t>”</w:t>
      </w:r>
      <w:r w:rsidR="00470ADC" w:rsidRPr="00D5464D">
        <w:rPr>
          <w:lang w:val="pt-BR"/>
        </w:rPr>
        <w:t>, e</w:t>
      </w:r>
      <w:r w:rsidR="00207197" w:rsidRPr="00D5464D">
        <w:rPr>
          <w:lang w:val="pt-BR"/>
        </w:rPr>
        <w:t xml:space="preserve"> considera que</w:t>
      </w:r>
      <w:r w:rsidR="00470ADC" w:rsidRPr="00D5464D">
        <w:rPr>
          <w:lang w:val="pt-BR"/>
        </w:rPr>
        <w:t xml:space="preserve"> essa expressão</w:t>
      </w:r>
      <w:r w:rsidR="00207197" w:rsidRPr="00D5464D">
        <w:rPr>
          <w:lang w:val="pt-BR"/>
        </w:rPr>
        <w:t xml:space="preserve"> </w:t>
      </w:r>
      <w:r w:rsidR="00470ADC" w:rsidRPr="00D5464D">
        <w:rPr>
          <w:lang w:val="pt-BR"/>
        </w:rPr>
        <w:t>do artigo</w:t>
      </w:r>
      <w:r w:rsidR="00207197" w:rsidRPr="00D5464D">
        <w:rPr>
          <w:lang w:val="pt-BR"/>
        </w:rPr>
        <w:t xml:space="preserve"> 6.1</w:t>
      </w:r>
      <w:r w:rsidR="00470ADC" w:rsidRPr="00D5464D">
        <w:rPr>
          <w:lang w:val="pt-BR"/>
        </w:rPr>
        <w:t xml:space="preserve"> da </w:t>
      </w:r>
      <w:r w:rsidR="00207197" w:rsidRPr="00D5464D">
        <w:rPr>
          <w:lang w:val="pt-BR"/>
        </w:rPr>
        <w:t>Conven</w:t>
      </w:r>
      <w:r w:rsidR="00470ADC" w:rsidRPr="00D5464D">
        <w:rPr>
          <w:lang w:val="pt-BR"/>
        </w:rPr>
        <w:t xml:space="preserve">ção deve </w:t>
      </w:r>
      <w:r w:rsidR="00207197" w:rsidRPr="00D5464D">
        <w:rPr>
          <w:lang w:val="pt-BR"/>
        </w:rPr>
        <w:t xml:space="preserve">ser interpretada como </w:t>
      </w:r>
      <w:r w:rsidR="00470ADC" w:rsidRPr="00D5464D">
        <w:rPr>
          <w:lang w:val="pt-BR"/>
        </w:rPr>
        <w:t xml:space="preserve">“a </w:t>
      </w:r>
      <w:r w:rsidR="002C330E" w:rsidRPr="00D5464D">
        <w:rPr>
          <w:lang w:val="pt-BR"/>
        </w:rPr>
        <w:t>obrigação</w:t>
      </w:r>
      <w:r w:rsidR="00207197" w:rsidRPr="00D5464D">
        <w:rPr>
          <w:lang w:val="pt-BR"/>
        </w:rPr>
        <w:t xml:space="preserve"> de realizar </w:t>
      </w:r>
      <w:r w:rsidR="00E045D9" w:rsidRPr="00D5464D">
        <w:rPr>
          <w:lang w:val="pt-BR"/>
        </w:rPr>
        <w:t>trabalho</w:t>
      </w:r>
      <w:r w:rsidR="00207197" w:rsidRPr="00D5464D">
        <w:rPr>
          <w:lang w:val="pt-BR"/>
        </w:rPr>
        <w:t xml:space="preserve"> para </w:t>
      </w:r>
      <w:r w:rsidR="002C330E" w:rsidRPr="00D5464D">
        <w:rPr>
          <w:lang w:val="pt-BR"/>
        </w:rPr>
        <w:t>outros</w:t>
      </w:r>
      <w:r w:rsidR="00207197" w:rsidRPr="00D5464D">
        <w:rPr>
          <w:lang w:val="pt-BR"/>
        </w:rPr>
        <w:t xml:space="preserve">, </w:t>
      </w:r>
      <w:r w:rsidR="002C330E" w:rsidRPr="00D5464D">
        <w:rPr>
          <w:lang w:val="pt-BR"/>
        </w:rPr>
        <w:t>imposto</w:t>
      </w:r>
      <w:r w:rsidR="00207197" w:rsidRPr="00D5464D">
        <w:rPr>
          <w:lang w:val="pt-BR"/>
        </w:rPr>
        <w:t xml:space="preserve"> por </w:t>
      </w:r>
      <w:r w:rsidR="002C330E" w:rsidRPr="00D5464D">
        <w:rPr>
          <w:lang w:val="pt-BR"/>
        </w:rPr>
        <w:t xml:space="preserve">meio </w:t>
      </w:r>
      <w:r w:rsidR="00207197" w:rsidRPr="00D5464D">
        <w:rPr>
          <w:lang w:val="pt-BR"/>
        </w:rPr>
        <w:t>de coer</w:t>
      </w:r>
      <w:r w:rsidR="00470ADC" w:rsidRPr="00D5464D">
        <w:rPr>
          <w:lang w:val="pt-BR"/>
        </w:rPr>
        <w:t>ção, e</w:t>
      </w:r>
      <w:r w:rsidR="002C330E" w:rsidRPr="00D5464D">
        <w:rPr>
          <w:lang w:val="pt-BR"/>
        </w:rPr>
        <w:t xml:space="preserve"> a obrigação</w:t>
      </w:r>
      <w:r w:rsidR="00207197" w:rsidRPr="00D5464D">
        <w:rPr>
          <w:lang w:val="pt-BR"/>
        </w:rPr>
        <w:t xml:space="preserve"> de </w:t>
      </w:r>
      <w:r w:rsidR="00E045D9" w:rsidRPr="00D5464D">
        <w:rPr>
          <w:lang w:val="pt-BR"/>
        </w:rPr>
        <w:t xml:space="preserve">viver na </w:t>
      </w:r>
      <w:r w:rsidR="002C330E" w:rsidRPr="00D5464D">
        <w:rPr>
          <w:lang w:val="pt-BR"/>
        </w:rPr>
        <w:t>propriedade</w:t>
      </w:r>
      <w:r w:rsidR="00207197" w:rsidRPr="00D5464D">
        <w:rPr>
          <w:lang w:val="pt-BR"/>
        </w:rPr>
        <w:t xml:space="preserve"> de</w:t>
      </w:r>
      <w:r w:rsidR="002C330E" w:rsidRPr="00D5464D">
        <w:rPr>
          <w:lang w:val="pt-BR"/>
        </w:rPr>
        <w:t xml:space="preserve"> outra pessoa</w:t>
      </w:r>
      <w:r w:rsidR="00207197" w:rsidRPr="00D5464D">
        <w:rPr>
          <w:lang w:val="pt-BR"/>
        </w:rPr>
        <w:t>,</w:t>
      </w:r>
      <w:r w:rsidR="002C330E" w:rsidRPr="00D5464D">
        <w:rPr>
          <w:lang w:val="pt-BR"/>
        </w:rPr>
        <w:t xml:space="preserve"> sem a possibilidade </w:t>
      </w:r>
      <w:r w:rsidR="00207197" w:rsidRPr="00D5464D">
        <w:rPr>
          <w:lang w:val="pt-BR"/>
        </w:rPr>
        <w:t xml:space="preserve">de </w:t>
      </w:r>
      <w:r w:rsidRPr="00D5464D">
        <w:rPr>
          <w:lang w:val="pt-BR"/>
        </w:rPr>
        <w:t xml:space="preserve">alterar </w:t>
      </w:r>
      <w:r w:rsidR="00470ADC" w:rsidRPr="00D5464D">
        <w:rPr>
          <w:lang w:val="pt-BR"/>
        </w:rPr>
        <w:t xml:space="preserve">essa </w:t>
      </w:r>
      <w:r w:rsidR="00207197" w:rsidRPr="00D5464D">
        <w:rPr>
          <w:lang w:val="pt-BR"/>
        </w:rPr>
        <w:t>condi</w:t>
      </w:r>
      <w:r w:rsidR="00470ADC" w:rsidRPr="00D5464D">
        <w:rPr>
          <w:lang w:val="pt-BR"/>
        </w:rPr>
        <w:t>ção</w:t>
      </w:r>
      <w:r w:rsidR="00207197" w:rsidRPr="00D5464D">
        <w:rPr>
          <w:lang w:val="pt-BR"/>
        </w:rPr>
        <w:t xml:space="preserve">”. </w:t>
      </w:r>
    </w:p>
    <w:p w14:paraId="37C4088F" w14:textId="77777777" w:rsidR="00207197" w:rsidRPr="00D5464D" w:rsidRDefault="00207197" w:rsidP="00140440">
      <w:pPr>
        <w:jc w:val="both"/>
        <w:rPr>
          <w:szCs w:val="20"/>
          <w:lang w:val="pt-BR"/>
        </w:rPr>
      </w:pPr>
    </w:p>
    <w:p w14:paraId="768914A9" w14:textId="75BCD9E3" w:rsidR="00F01959" w:rsidRPr="00D5464D" w:rsidRDefault="005D2CE2" w:rsidP="005D2CE2">
      <w:pPr>
        <w:pStyle w:val="Ttulo3"/>
        <w:rPr>
          <w:lang w:val="pt-BR"/>
        </w:rPr>
      </w:pPr>
      <w:bookmarkStart w:id="397" w:name="_Toc468433924"/>
      <w:r w:rsidRPr="00D5464D">
        <w:rPr>
          <w:lang w:val="pt-BR"/>
        </w:rPr>
        <w:t>B.5</w:t>
      </w:r>
      <w:r w:rsidR="00CB7E29" w:rsidRPr="00D5464D">
        <w:rPr>
          <w:lang w:val="pt-BR"/>
        </w:rPr>
        <w:t>.</w:t>
      </w:r>
      <w:r w:rsidR="00F01959" w:rsidRPr="00D5464D">
        <w:rPr>
          <w:lang w:val="pt-BR"/>
        </w:rPr>
        <w:t xml:space="preserve"> </w:t>
      </w:r>
      <w:r w:rsidR="002C330E" w:rsidRPr="00D5464D">
        <w:rPr>
          <w:lang w:val="pt-BR"/>
        </w:rPr>
        <w:t>Proibição</w:t>
      </w:r>
      <w:r w:rsidR="00E045D9" w:rsidRPr="00D5464D">
        <w:rPr>
          <w:lang w:val="pt-BR"/>
        </w:rPr>
        <w:t xml:space="preserve"> e </w:t>
      </w:r>
      <w:r w:rsidR="0070011D" w:rsidRPr="00D5464D">
        <w:rPr>
          <w:lang w:val="pt-BR"/>
        </w:rPr>
        <w:t>defini</w:t>
      </w:r>
      <w:r w:rsidR="00470ADC" w:rsidRPr="00D5464D">
        <w:rPr>
          <w:lang w:val="pt-BR"/>
        </w:rPr>
        <w:t>ção d</w:t>
      </w:r>
      <w:r w:rsidR="004F1CC2" w:rsidRPr="00D5464D">
        <w:rPr>
          <w:lang w:val="pt-BR"/>
        </w:rPr>
        <w:t>o tráfico</w:t>
      </w:r>
      <w:r w:rsidR="000B376D" w:rsidRPr="00D5464D">
        <w:rPr>
          <w:lang w:val="pt-BR"/>
        </w:rPr>
        <w:t xml:space="preserve"> de escravos</w:t>
      </w:r>
      <w:r w:rsidR="00E045D9" w:rsidRPr="00D5464D">
        <w:rPr>
          <w:lang w:val="pt-BR"/>
        </w:rPr>
        <w:t xml:space="preserve"> e </w:t>
      </w:r>
      <w:r w:rsidR="00107D98" w:rsidRPr="00D5464D">
        <w:rPr>
          <w:lang w:val="pt-BR"/>
        </w:rPr>
        <w:t>d</w:t>
      </w:r>
      <w:r w:rsidR="004F1CC2" w:rsidRPr="00D5464D">
        <w:rPr>
          <w:lang w:val="pt-BR"/>
        </w:rPr>
        <w:t>o tráfico de mulheres</w:t>
      </w:r>
      <w:bookmarkEnd w:id="397"/>
      <w:r w:rsidR="0070011D" w:rsidRPr="00D5464D">
        <w:rPr>
          <w:lang w:val="pt-BR"/>
        </w:rPr>
        <w:t xml:space="preserve"> </w:t>
      </w:r>
    </w:p>
    <w:p w14:paraId="1A26BA62" w14:textId="77777777" w:rsidR="00DE3E58" w:rsidRPr="00D5464D" w:rsidRDefault="00DE3E58" w:rsidP="00DE3E58">
      <w:pPr>
        <w:tabs>
          <w:tab w:val="clear" w:pos="4419"/>
          <w:tab w:val="clear" w:pos="8838"/>
        </w:tabs>
        <w:jc w:val="both"/>
        <w:rPr>
          <w:rFonts w:eastAsia="Calibri" w:cs="Times New Roman"/>
          <w:szCs w:val="20"/>
          <w:lang w:val="pt-BR"/>
        </w:rPr>
      </w:pPr>
    </w:p>
    <w:p w14:paraId="59F7780E" w14:textId="40D9E255" w:rsidR="0038138B" w:rsidRPr="00D5464D" w:rsidRDefault="00470ADC" w:rsidP="003F32D2">
      <w:pPr>
        <w:numPr>
          <w:ilvl w:val="0"/>
          <w:numId w:val="1"/>
        </w:numPr>
        <w:tabs>
          <w:tab w:val="clear" w:pos="4419"/>
          <w:tab w:val="clear" w:pos="8838"/>
        </w:tabs>
        <w:jc w:val="both"/>
        <w:rPr>
          <w:rFonts w:eastAsia="Calibri" w:cs="Times New Roman"/>
          <w:szCs w:val="20"/>
          <w:lang w:val="pt-BR"/>
        </w:rPr>
      </w:pPr>
      <w:r w:rsidRPr="00D5464D">
        <w:rPr>
          <w:rFonts w:eastAsia="Calibri" w:cs="Times New Roman"/>
          <w:szCs w:val="20"/>
          <w:lang w:val="pt-BR"/>
        </w:rPr>
        <w:t xml:space="preserve">A </w:t>
      </w:r>
      <w:r w:rsidR="0038138B" w:rsidRPr="00D5464D">
        <w:rPr>
          <w:rFonts w:eastAsia="Calibri" w:cs="Times New Roman"/>
          <w:szCs w:val="20"/>
          <w:lang w:val="pt-BR"/>
        </w:rPr>
        <w:t>Conven</w:t>
      </w:r>
      <w:r w:rsidRPr="00D5464D">
        <w:rPr>
          <w:rFonts w:eastAsia="Calibri" w:cs="Times New Roman"/>
          <w:szCs w:val="20"/>
          <w:lang w:val="pt-BR"/>
        </w:rPr>
        <w:t>ção</w:t>
      </w:r>
      <w:r w:rsidR="0038138B" w:rsidRPr="00D5464D">
        <w:rPr>
          <w:rFonts w:eastAsia="Calibri" w:cs="Times New Roman"/>
          <w:szCs w:val="20"/>
          <w:lang w:val="pt-BR"/>
        </w:rPr>
        <w:t xml:space="preserve"> Americana </w:t>
      </w:r>
      <w:r w:rsidR="002C330E" w:rsidRPr="00D5464D">
        <w:rPr>
          <w:rFonts w:eastAsia="Calibri" w:cs="Times New Roman"/>
          <w:szCs w:val="20"/>
          <w:lang w:val="pt-BR"/>
        </w:rPr>
        <w:t>proíbe</w:t>
      </w:r>
      <w:r w:rsidR="0038138B" w:rsidRPr="00D5464D">
        <w:rPr>
          <w:rFonts w:eastAsia="Calibri" w:cs="Times New Roman"/>
          <w:szCs w:val="20"/>
          <w:lang w:val="pt-BR"/>
        </w:rPr>
        <w:t xml:space="preserve"> tanto</w:t>
      </w:r>
      <w:r w:rsidR="002C330E" w:rsidRPr="00D5464D">
        <w:rPr>
          <w:rFonts w:eastAsia="Calibri" w:cs="Times New Roman"/>
          <w:szCs w:val="20"/>
          <w:lang w:val="pt-BR"/>
        </w:rPr>
        <w:t xml:space="preserve"> </w:t>
      </w:r>
      <w:r w:rsidR="004F1CC2" w:rsidRPr="00D5464D">
        <w:rPr>
          <w:rFonts w:eastAsia="Calibri" w:cs="Times New Roman"/>
          <w:szCs w:val="20"/>
          <w:lang w:val="pt-BR"/>
        </w:rPr>
        <w:t>o tráfico</w:t>
      </w:r>
      <w:r w:rsidR="000B376D" w:rsidRPr="00D5464D">
        <w:rPr>
          <w:rFonts w:eastAsia="Calibri" w:cs="Times New Roman"/>
          <w:szCs w:val="20"/>
          <w:lang w:val="pt-BR"/>
        </w:rPr>
        <w:t xml:space="preserve"> de escravos</w:t>
      </w:r>
      <w:r w:rsidR="0038138B" w:rsidRPr="00D5464D">
        <w:rPr>
          <w:rFonts w:eastAsia="Calibri" w:cs="Times New Roman"/>
          <w:szCs w:val="20"/>
          <w:lang w:val="pt-BR"/>
        </w:rPr>
        <w:t xml:space="preserve"> como</w:t>
      </w:r>
      <w:r w:rsidR="002C330E" w:rsidRPr="00D5464D">
        <w:rPr>
          <w:rFonts w:eastAsia="Calibri" w:cs="Times New Roman"/>
          <w:szCs w:val="20"/>
          <w:lang w:val="pt-BR"/>
        </w:rPr>
        <w:t xml:space="preserve"> </w:t>
      </w:r>
      <w:r w:rsidR="004F1CC2" w:rsidRPr="00D5464D">
        <w:rPr>
          <w:rFonts w:eastAsia="Calibri" w:cs="Times New Roman"/>
          <w:szCs w:val="20"/>
          <w:lang w:val="pt-BR"/>
        </w:rPr>
        <w:t>o tráfico de mulheres</w:t>
      </w:r>
      <w:r w:rsidR="00C5267E" w:rsidRPr="00D5464D">
        <w:rPr>
          <w:rFonts w:eastAsia="Calibri" w:cs="Times New Roman"/>
          <w:szCs w:val="20"/>
          <w:lang w:val="pt-BR"/>
        </w:rPr>
        <w:t xml:space="preserve"> “em</w:t>
      </w:r>
      <w:r w:rsidR="0038138B" w:rsidRPr="00D5464D">
        <w:rPr>
          <w:rFonts w:eastAsia="Calibri" w:cs="Times New Roman"/>
          <w:szCs w:val="20"/>
          <w:lang w:val="pt-BR"/>
        </w:rPr>
        <w:t xml:space="preserve"> todas </w:t>
      </w:r>
      <w:r w:rsidR="00C5267E" w:rsidRPr="00D5464D">
        <w:rPr>
          <w:rFonts w:eastAsia="Calibri" w:cs="Times New Roman"/>
          <w:szCs w:val="20"/>
          <w:lang w:val="pt-BR"/>
        </w:rPr>
        <w:t xml:space="preserve">as </w:t>
      </w:r>
      <w:r w:rsidR="00230C71" w:rsidRPr="00D5464D">
        <w:rPr>
          <w:rFonts w:eastAsia="Calibri" w:cs="Times New Roman"/>
          <w:szCs w:val="20"/>
          <w:lang w:val="pt-BR"/>
        </w:rPr>
        <w:t>suas formas</w:t>
      </w:r>
      <w:r w:rsidR="0038138B" w:rsidRPr="00D5464D">
        <w:rPr>
          <w:rFonts w:eastAsia="Calibri" w:cs="Times New Roman"/>
          <w:szCs w:val="20"/>
          <w:lang w:val="pt-BR"/>
        </w:rPr>
        <w:t xml:space="preserve">”, de </w:t>
      </w:r>
      <w:r w:rsidR="002C330E" w:rsidRPr="00D5464D">
        <w:rPr>
          <w:rFonts w:eastAsia="Calibri" w:cs="Times New Roman"/>
          <w:szCs w:val="20"/>
          <w:lang w:val="pt-BR"/>
        </w:rPr>
        <w:t>maneira</w:t>
      </w:r>
      <w:r w:rsidR="0038138B" w:rsidRPr="00D5464D">
        <w:rPr>
          <w:rFonts w:eastAsia="Calibri" w:cs="Times New Roman"/>
          <w:szCs w:val="20"/>
          <w:lang w:val="pt-BR"/>
        </w:rPr>
        <w:t xml:space="preserve"> que</w:t>
      </w:r>
      <w:r w:rsidR="002C330E" w:rsidRPr="00D5464D">
        <w:rPr>
          <w:rFonts w:eastAsia="Calibri" w:cs="Times New Roman"/>
          <w:szCs w:val="20"/>
          <w:lang w:val="pt-BR"/>
        </w:rPr>
        <w:t xml:space="preserve"> a </w:t>
      </w:r>
      <w:r w:rsidR="0038138B" w:rsidRPr="00D5464D">
        <w:rPr>
          <w:rFonts w:eastAsia="Calibri" w:cs="Times New Roman"/>
          <w:szCs w:val="20"/>
          <w:lang w:val="pt-BR"/>
        </w:rPr>
        <w:t>Corte interpreta</w:t>
      </w:r>
      <w:r w:rsidRPr="00D5464D">
        <w:rPr>
          <w:rFonts w:eastAsia="Calibri" w:cs="Times New Roman"/>
          <w:szCs w:val="20"/>
          <w:lang w:val="pt-BR"/>
        </w:rPr>
        <w:t xml:space="preserve"> essa </w:t>
      </w:r>
      <w:r w:rsidR="002C330E" w:rsidRPr="00D5464D">
        <w:rPr>
          <w:rFonts w:eastAsia="Calibri" w:cs="Times New Roman"/>
          <w:szCs w:val="20"/>
          <w:lang w:val="pt-BR"/>
        </w:rPr>
        <w:t>proibição</w:t>
      </w:r>
      <w:r w:rsidR="0038138B" w:rsidRPr="00D5464D">
        <w:rPr>
          <w:rFonts w:eastAsia="Calibri" w:cs="Times New Roman"/>
          <w:szCs w:val="20"/>
          <w:lang w:val="pt-BR"/>
        </w:rPr>
        <w:t xml:space="preserve"> de forma </w:t>
      </w:r>
      <w:r w:rsidRPr="00D5464D">
        <w:rPr>
          <w:rFonts w:eastAsia="Calibri" w:cs="Times New Roman"/>
          <w:szCs w:val="20"/>
          <w:lang w:val="pt-BR"/>
        </w:rPr>
        <w:t>ampla</w:t>
      </w:r>
      <w:r w:rsidR="00E045D9" w:rsidRPr="00D5464D">
        <w:rPr>
          <w:rFonts w:eastAsia="Calibri" w:cs="Times New Roman"/>
          <w:szCs w:val="20"/>
          <w:lang w:val="pt-BR"/>
        </w:rPr>
        <w:t xml:space="preserve"> e sujeita às </w:t>
      </w:r>
      <w:r w:rsidR="00A1358C" w:rsidRPr="00D5464D">
        <w:rPr>
          <w:rFonts w:eastAsia="Calibri" w:cs="Times New Roman"/>
          <w:szCs w:val="20"/>
          <w:lang w:val="pt-BR"/>
        </w:rPr>
        <w:t>precisões</w:t>
      </w:r>
      <w:r w:rsidR="0038138B" w:rsidRPr="00D5464D">
        <w:rPr>
          <w:rFonts w:eastAsia="Calibri" w:cs="Times New Roman"/>
          <w:szCs w:val="20"/>
          <w:lang w:val="pt-BR"/>
        </w:rPr>
        <w:t xml:space="preserve"> de su</w:t>
      </w:r>
      <w:r w:rsidR="00C5267E" w:rsidRPr="00D5464D">
        <w:rPr>
          <w:rFonts w:eastAsia="Calibri" w:cs="Times New Roman"/>
          <w:szCs w:val="20"/>
          <w:lang w:val="pt-BR"/>
        </w:rPr>
        <w:t>a</w:t>
      </w:r>
      <w:r w:rsidR="0038138B" w:rsidRPr="00D5464D">
        <w:rPr>
          <w:rFonts w:eastAsia="Calibri" w:cs="Times New Roman"/>
          <w:szCs w:val="20"/>
          <w:lang w:val="pt-BR"/>
        </w:rPr>
        <w:t xml:space="preserve"> defini</w:t>
      </w:r>
      <w:r w:rsidRPr="00D5464D">
        <w:rPr>
          <w:rFonts w:eastAsia="Calibri" w:cs="Times New Roman"/>
          <w:szCs w:val="20"/>
          <w:lang w:val="pt-BR"/>
        </w:rPr>
        <w:t>ção</w:t>
      </w:r>
      <w:r w:rsidR="0038138B" w:rsidRPr="00D5464D">
        <w:rPr>
          <w:rFonts w:eastAsia="Calibri" w:cs="Times New Roman"/>
          <w:szCs w:val="20"/>
          <w:lang w:val="pt-BR"/>
        </w:rPr>
        <w:t xml:space="preserve"> de </w:t>
      </w:r>
      <w:r w:rsidRPr="00D5464D">
        <w:rPr>
          <w:rFonts w:eastAsia="Calibri" w:cs="Times New Roman"/>
          <w:szCs w:val="20"/>
          <w:lang w:val="pt-BR"/>
        </w:rPr>
        <w:t xml:space="preserve">acordo com </w:t>
      </w:r>
      <w:r w:rsidR="00230C71" w:rsidRPr="00D5464D">
        <w:rPr>
          <w:rFonts w:eastAsia="Calibri" w:cs="Times New Roman"/>
          <w:szCs w:val="20"/>
          <w:lang w:val="pt-BR"/>
        </w:rPr>
        <w:t>seu desenvolvimento</w:t>
      </w:r>
      <w:r w:rsidR="00E045D9" w:rsidRPr="00D5464D">
        <w:rPr>
          <w:rFonts w:eastAsia="Calibri" w:cs="Times New Roman"/>
          <w:szCs w:val="20"/>
          <w:lang w:val="pt-BR"/>
        </w:rPr>
        <w:t xml:space="preserve"> no </w:t>
      </w:r>
      <w:r w:rsidR="00E765C2" w:rsidRPr="00D5464D">
        <w:rPr>
          <w:rFonts w:eastAsia="Calibri" w:cs="Times New Roman"/>
          <w:szCs w:val="20"/>
          <w:lang w:val="pt-BR"/>
        </w:rPr>
        <w:t>Direito Internacional</w:t>
      </w:r>
      <w:r w:rsidR="00A1358C" w:rsidRPr="00D5464D">
        <w:rPr>
          <w:rFonts w:eastAsia="Calibri" w:cs="Times New Roman"/>
          <w:szCs w:val="20"/>
          <w:lang w:val="pt-BR"/>
        </w:rPr>
        <w:t xml:space="preserve">. A </w:t>
      </w:r>
      <w:r w:rsidR="0038138B" w:rsidRPr="00D5464D">
        <w:rPr>
          <w:rFonts w:eastAsia="Calibri" w:cs="Times New Roman"/>
          <w:szCs w:val="20"/>
          <w:lang w:val="pt-BR"/>
        </w:rPr>
        <w:t xml:space="preserve">Corte </w:t>
      </w:r>
      <w:r w:rsidR="002C330E" w:rsidRPr="00D5464D">
        <w:rPr>
          <w:rFonts w:eastAsia="Calibri" w:cs="Times New Roman"/>
          <w:szCs w:val="20"/>
          <w:lang w:val="pt-BR"/>
        </w:rPr>
        <w:t>passará</w:t>
      </w:r>
      <w:r w:rsidR="0038138B" w:rsidRPr="00D5464D">
        <w:rPr>
          <w:rFonts w:eastAsia="Calibri" w:cs="Times New Roman"/>
          <w:szCs w:val="20"/>
          <w:lang w:val="pt-BR"/>
        </w:rPr>
        <w:t xml:space="preserve"> </w:t>
      </w:r>
      <w:r w:rsidRPr="00D5464D">
        <w:rPr>
          <w:rFonts w:eastAsia="Calibri" w:cs="Times New Roman"/>
          <w:szCs w:val="20"/>
          <w:lang w:val="pt-BR"/>
        </w:rPr>
        <w:t>agora</w:t>
      </w:r>
      <w:r w:rsidR="0038138B" w:rsidRPr="00D5464D">
        <w:rPr>
          <w:rFonts w:eastAsia="Calibri" w:cs="Times New Roman"/>
          <w:szCs w:val="20"/>
          <w:lang w:val="pt-BR"/>
        </w:rPr>
        <w:t xml:space="preserve"> a </w:t>
      </w:r>
      <w:r w:rsidRPr="00D5464D">
        <w:rPr>
          <w:rFonts w:eastAsia="Calibri" w:cs="Times New Roman"/>
          <w:szCs w:val="20"/>
          <w:lang w:val="pt-BR"/>
        </w:rPr>
        <w:t>avaliar</w:t>
      </w:r>
      <w:r w:rsidR="002C330E" w:rsidRPr="00D5464D">
        <w:rPr>
          <w:rFonts w:eastAsia="Calibri" w:cs="Times New Roman"/>
          <w:szCs w:val="20"/>
          <w:lang w:val="pt-BR"/>
        </w:rPr>
        <w:t xml:space="preserve"> a </w:t>
      </w:r>
      <w:r w:rsidR="0038138B" w:rsidRPr="00D5464D">
        <w:rPr>
          <w:rFonts w:eastAsia="Calibri" w:cs="Times New Roman"/>
          <w:szCs w:val="20"/>
          <w:lang w:val="pt-BR"/>
        </w:rPr>
        <w:t>evolu</w:t>
      </w:r>
      <w:r w:rsidRPr="00D5464D">
        <w:rPr>
          <w:rFonts w:eastAsia="Calibri" w:cs="Times New Roman"/>
          <w:szCs w:val="20"/>
          <w:lang w:val="pt-BR"/>
        </w:rPr>
        <w:t xml:space="preserve">ção da </w:t>
      </w:r>
      <w:r w:rsidR="002C330E" w:rsidRPr="00D5464D">
        <w:rPr>
          <w:rFonts w:eastAsia="Calibri" w:cs="Times New Roman"/>
          <w:szCs w:val="20"/>
          <w:lang w:val="pt-BR"/>
        </w:rPr>
        <w:t>proibição</w:t>
      </w:r>
      <w:r w:rsidRPr="00D5464D">
        <w:rPr>
          <w:rFonts w:eastAsia="Calibri" w:cs="Times New Roman"/>
          <w:szCs w:val="20"/>
          <w:lang w:val="pt-BR"/>
        </w:rPr>
        <w:t xml:space="preserve"> d</w:t>
      </w:r>
      <w:r w:rsidR="004F1CC2" w:rsidRPr="00D5464D">
        <w:rPr>
          <w:rFonts w:eastAsia="Calibri" w:cs="Times New Roman"/>
          <w:szCs w:val="20"/>
          <w:lang w:val="pt-BR"/>
        </w:rPr>
        <w:t>o tráfico</w:t>
      </w:r>
      <w:r w:rsidR="000B376D" w:rsidRPr="00D5464D">
        <w:rPr>
          <w:rFonts w:eastAsia="Calibri" w:cs="Times New Roman"/>
          <w:szCs w:val="20"/>
          <w:lang w:val="pt-BR"/>
        </w:rPr>
        <w:t xml:space="preserve"> de escravos</w:t>
      </w:r>
      <w:r w:rsidR="00E045D9" w:rsidRPr="00D5464D">
        <w:rPr>
          <w:rFonts w:eastAsia="Calibri" w:cs="Times New Roman"/>
          <w:szCs w:val="20"/>
          <w:lang w:val="pt-BR"/>
        </w:rPr>
        <w:t xml:space="preserve"> e </w:t>
      </w:r>
      <w:r w:rsidR="0038138B" w:rsidRPr="00D5464D">
        <w:rPr>
          <w:rFonts w:eastAsia="Calibri" w:cs="Times New Roman"/>
          <w:szCs w:val="20"/>
          <w:lang w:val="pt-BR"/>
        </w:rPr>
        <w:t xml:space="preserve">de </w:t>
      </w:r>
      <w:r w:rsidR="002C330E" w:rsidRPr="00D5464D">
        <w:rPr>
          <w:rFonts w:eastAsia="Calibri" w:cs="Times New Roman"/>
          <w:szCs w:val="20"/>
          <w:lang w:val="pt-BR"/>
        </w:rPr>
        <w:t>mulher</w:t>
      </w:r>
      <w:r w:rsidR="0038138B" w:rsidRPr="00D5464D">
        <w:rPr>
          <w:rFonts w:eastAsia="Calibri" w:cs="Times New Roman"/>
          <w:szCs w:val="20"/>
          <w:lang w:val="pt-BR"/>
        </w:rPr>
        <w:t>es</w:t>
      </w:r>
      <w:r w:rsidR="00E045D9" w:rsidRPr="00D5464D">
        <w:rPr>
          <w:rFonts w:eastAsia="Calibri" w:cs="Times New Roman"/>
          <w:szCs w:val="20"/>
          <w:lang w:val="pt-BR"/>
        </w:rPr>
        <w:t xml:space="preserve"> no </w:t>
      </w:r>
      <w:r w:rsidR="00E765C2" w:rsidRPr="00D5464D">
        <w:rPr>
          <w:rFonts w:eastAsia="Calibri" w:cs="Times New Roman"/>
          <w:szCs w:val="20"/>
          <w:lang w:val="pt-BR"/>
        </w:rPr>
        <w:t>Direito Internacional</w:t>
      </w:r>
      <w:r w:rsidR="00C5267E" w:rsidRPr="00D5464D">
        <w:rPr>
          <w:rFonts w:eastAsia="Calibri" w:cs="Times New Roman"/>
          <w:szCs w:val="20"/>
          <w:lang w:val="pt-BR"/>
        </w:rPr>
        <w:t>, de</w:t>
      </w:r>
      <w:r w:rsidR="0038138B" w:rsidRPr="00D5464D">
        <w:rPr>
          <w:rFonts w:eastAsia="Calibri" w:cs="Times New Roman"/>
          <w:szCs w:val="20"/>
          <w:lang w:val="pt-BR"/>
        </w:rPr>
        <w:t xml:space="preserve"> modo </w:t>
      </w:r>
      <w:r w:rsidR="00FB626B" w:rsidRPr="00D5464D">
        <w:rPr>
          <w:rFonts w:eastAsia="Calibri" w:cs="Times New Roman"/>
          <w:szCs w:val="20"/>
          <w:lang w:val="pt-BR"/>
        </w:rPr>
        <w:t>de</w:t>
      </w:r>
      <w:r w:rsidR="0038138B" w:rsidRPr="00D5464D">
        <w:rPr>
          <w:rFonts w:eastAsia="Calibri" w:cs="Times New Roman"/>
          <w:szCs w:val="20"/>
          <w:lang w:val="pt-BR"/>
        </w:rPr>
        <w:t xml:space="preserve"> definir</w:t>
      </w:r>
      <w:r w:rsidRPr="00D5464D">
        <w:rPr>
          <w:rFonts w:eastAsia="Calibri" w:cs="Times New Roman"/>
          <w:szCs w:val="20"/>
          <w:lang w:val="pt-BR"/>
        </w:rPr>
        <w:t xml:space="preserve"> o conteúdo</w:t>
      </w:r>
      <w:r w:rsidR="0038138B" w:rsidRPr="00D5464D">
        <w:rPr>
          <w:rFonts w:eastAsia="Calibri" w:cs="Times New Roman"/>
          <w:szCs w:val="20"/>
          <w:lang w:val="pt-BR"/>
        </w:rPr>
        <w:t xml:space="preserve"> normativo </w:t>
      </w:r>
      <w:r w:rsidR="00E045D9" w:rsidRPr="00D5464D">
        <w:rPr>
          <w:rFonts w:eastAsia="Calibri" w:cs="Times New Roman"/>
          <w:szCs w:val="20"/>
          <w:lang w:val="pt-BR"/>
        </w:rPr>
        <w:t>desta</w:t>
      </w:r>
      <w:r w:rsidR="0038138B" w:rsidRPr="00D5464D">
        <w:rPr>
          <w:rFonts w:eastAsia="Calibri" w:cs="Times New Roman"/>
          <w:szCs w:val="20"/>
          <w:lang w:val="pt-BR"/>
        </w:rPr>
        <w:t xml:space="preserve"> </w:t>
      </w:r>
      <w:r w:rsidR="002C330E" w:rsidRPr="00D5464D">
        <w:rPr>
          <w:rFonts w:eastAsia="Calibri" w:cs="Times New Roman"/>
          <w:szCs w:val="20"/>
          <w:lang w:val="pt-BR"/>
        </w:rPr>
        <w:t>proibição</w:t>
      </w:r>
      <w:r w:rsidR="0038138B" w:rsidRPr="00D5464D">
        <w:rPr>
          <w:rFonts w:eastAsia="Calibri" w:cs="Times New Roman"/>
          <w:szCs w:val="20"/>
          <w:lang w:val="pt-BR"/>
        </w:rPr>
        <w:t xml:space="preserve"> prevista</w:t>
      </w:r>
      <w:r w:rsidR="00E045D9" w:rsidRPr="00D5464D">
        <w:rPr>
          <w:rFonts w:eastAsia="Calibri" w:cs="Times New Roman"/>
          <w:szCs w:val="20"/>
          <w:lang w:val="pt-BR"/>
        </w:rPr>
        <w:t xml:space="preserve"> na </w:t>
      </w:r>
      <w:r w:rsidR="0038138B" w:rsidRPr="00D5464D">
        <w:rPr>
          <w:rFonts w:eastAsia="Calibri" w:cs="Times New Roman"/>
          <w:szCs w:val="20"/>
          <w:lang w:val="pt-BR"/>
        </w:rPr>
        <w:t>Conven</w:t>
      </w:r>
      <w:r w:rsidRPr="00D5464D">
        <w:rPr>
          <w:rFonts w:eastAsia="Calibri" w:cs="Times New Roman"/>
          <w:szCs w:val="20"/>
          <w:lang w:val="pt-BR"/>
        </w:rPr>
        <w:t>ção</w:t>
      </w:r>
      <w:r w:rsidR="0038138B" w:rsidRPr="00D5464D">
        <w:rPr>
          <w:rFonts w:eastAsia="Calibri" w:cs="Times New Roman"/>
          <w:szCs w:val="20"/>
          <w:lang w:val="pt-BR"/>
        </w:rPr>
        <w:t xml:space="preserve"> Americana.</w:t>
      </w:r>
    </w:p>
    <w:p w14:paraId="05C59126" w14:textId="77777777" w:rsidR="0038138B" w:rsidRPr="00D5464D" w:rsidRDefault="0038138B" w:rsidP="0038138B">
      <w:pPr>
        <w:tabs>
          <w:tab w:val="clear" w:pos="4419"/>
          <w:tab w:val="clear" w:pos="8838"/>
        </w:tabs>
        <w:jc w:val="both"/>
        <w:rPr>
          <w:rFonts w:eastAsia="Calibri" w:cs="Times New Roman"/>
          <w:szCs w:val="20"/>
          <w:lang w:val="pt-BR"/>
        </w:rPr>
      </w:pPr>
    </w:p>
    <w:p w14:paraId="075E0D0A" w14:textId="4DB76DF4" w:rsidR="00D43A25" w:rsidRPr="00D5464D" w:rsidRDefault="00C5267E" w:rsidP="003F32D2">
      <w:pPr>
        <w:numPr>
          <w:ilvl w:val="0"/>
          <w:numId w:val="1"/>
        </w:numPr>
        <w:tabs>
          <w:tab w:val="clear" w:pos="4419"/>
          <w:tab w:val="clear" w:pos="8838"/>
        </w:tabs>
        <w:jc w:val="both"/>
        <w:rPr>
          <w:rFonts w:eastAsia="Calibri" w:cs="Times New Roman"/>
          <w:szCs w:val="20"/>
          <w:lang w:val="pt-BR"/>
        </w:rPr>
      </w:pPr>
      <w:r w:rsidRPr="00D5464D">
        <w:rPr>
          <w:rFonts w:eastAsia="Calibri" w:cs="Times New Roman"/>
          <w:szCs w:val="20"/>
          <w:lang w:val="pt-BR"/>
        </w:rPr>
        <w:t>N</w:t>
      </w:r>
      <w:r w:rsidR="002C330E" w:rsidRPr="00D5464D">
        <w:rPr>
          <w:rFonts w:eastAsia="Calibri" w:cs="Times New Roman"/>
          <w:szCs w:val="20"/>
          <w:lang w:val="pt-BR"/>
        </w:rPr>
        <w:t xml:space="preserve">o que </w:t>
      </w:r>
      <w:r w:rsidR="009072A3" w:rsidRPr="00D5464D">
        <w:rPr>
          <w:rFonts w:eastAsia="Calibri" w:cs="Times New Roman"/>
          <w:szCs w:val="20"/>
          <w:lang w:val="pt-BR"/>
        </w:rPr>
        <w:t>diz respeito</w:t>
      </w:r>
      <w:r w:rsidR="00FF1290" w:rsidRPr="00D5464D">
        <w:rPr>
          <w:rFonts w:eastAsia="Calibri" w:cs="Times New Roman"/>
          <w:szCs w:val="20"/>
          <w:lang w:val="pt-BR"/>
        </w:rPr>
        <w:t xml:space="preserve"> </w:t>
      </w:r>
      <w:r w:rsidR="00470ADC" w:rsidRPr="00D5464D">
        <w:rPr>
          <w:rFonts w:eastAsia="Calibri" w:cs="Times New Roman"/>
          <w:szCs w:val="20"/>
          <w:lang w:val="pt-BR"/>
        </w:rPr>
        <w:t xml:space="preserve">à </w:t>
      </w:r>
      <w:r w:rsidR="002C330E" w:rsidRPr="00D5464D">
        <w:rPr>
          <w:rFonts w:eastAsia="Calibri" w:cs="Times New Roman"/>
          <w:szCs w:val="20"/>
          <w:lang w:val="pt-BR"/>
        </w:rPr>
        <w:t>proibição</w:t>
      </w:r>
      <w:r w:rsidR="00470ADC" w:rsidRPr="00D5464D">
        <w:rPr>
          <w:rFonts w:eastAsia="Calibri" w:cs="Times New Roman"/>
          <w:szCs w:val="20"/>
          <w:lang w:val="pt-BR"/>
        </w:rPr>
        <w:t xml:space="preserve"> d</w:t>
      </w:r>
      <w:r w:rsidR="004F1CC2" w:rsidRPr="00D5464D">
        <w:rPr>
          <w:rFonts w:eastAsia="Calibri" w:cs="Times New Roman"/>
          <w:szCs w:val="20"/>
          <w:lang w:val="pt-BR"/>
        </w:rPr>
        <w:t>o tráfico</w:t>
      </w:r>
      <w:r w:rsidR="000B376D" w:rsidRPr="00D5464D">
        <w:rPr>
          <w:rFonts w:eastAsia="Calibri" w:cs="Times New Roman"/>
          <w:szCs w:val="20"/>
          <w:lang w:val="pt-BR"/>
        </w:rPr>
        <w:t xml:space="preserve"> de escravos</w:t>
      </w:r>
      <w:r w:rsidR="00F727E4" w:rsidRPr="00D5464D">
        <w:rPr>
          <w:rFonts w:eastAsia="Calibri" w:cs="Times New Roman"/>
          <w:szCs w:val="20"/>
          <w:lang w:val="pt-BR"/>
        </w:rPr>
        <w:t>,</w:t>
      </w:r>
      <w:r w:rsidR="00470ADC" w:rsidRPr="00D5464D">
        <w:rPr>
          <w:rFonts w:eastAsia="Calibri" w:cs="Times New Roman"/>
          <w:szCs w:val="20"/>
          <w:lang w:val="pt-BR"/>
        </w:rPr>
        <w:t xml:space="preserve"> ela</w:t>
      </w:r>
      <w:r w:rsidR="00F727E4" w:rsidRPr="00D5464D">
        <w:rPr>
          <w:rFonts w:eastAsia="Calibri" w:cs="Times New Roman"/>
          <w:szCs w:val="20"/>
          <w:lang w:val="pt-BR"/>
        </w:rPr>
        <w:t xml:space="preserve"> se </w:t>
      </w:r>
      <w:r w:rsidR="00470ADC" w:rsidRPr="00D5464D">
        <w:rPr>
          <w:rFonts w:eastAsia="Calibri" w:cs="Times New Roman"/>
          <w:szCs w:val="20"/>
          <w:lang w:val="pt-BR"/>
        </w:rPr>
        <w:t xml:space="preserve">encontra </w:t>
      </w:r>
      <w:r w:rsidR="00E045D9" w:rsidRPr="00D5464D">
        <w:rPr>
          <w:rFonts w:eastAsia="Calibri" w:cs="Times New Roman"/>
          <w:szCs w:val="20"/>
          <w:lang w:val="pt-BR"/>
        </w:rPr>
        <w:t>associad</w:t>
      </w:r>
      <w:r w:rsidR="00F727E4" w:rsidRPr="00D5464D">
        <w:rPr>
          <w:rFonts w:eastAsia="Calibri" w:cs="Times New Roman"/>
          <w:szCs w:val="20"/>
          <w:lang w:val="pt-BR"/>
        </w:rPr>
        <w:t>a</w:t>
      </w:r>
      <w:r w:rsidR="00470ADC" w:rsidRPr="00D5464D">
        <w:rPr>
          <w:rFonts w:eastAsia="Calibri" w:cs="Times New Roman"/>
          <w:szCs w:val="20"/>
          <w:lang w:val="pt-BR"/>
        </w:rPr>
        <w:t xml:space="preserve"> à </w:t>
      </w:r>
      <w:r w:rsidR="002C330E" w:rsidRPr="00D5464D">
        <w:rPr>
          <w:rFonts w:eastAsia="Calibri" w:cs="Times New Roman"/>
          <w:szCs w:val="20"/>
          <w:lang w:val="pt-BR"/>
        </w:rPr>
        <w:t xml:space="preserve">própria </w:t>
      </w:r>
      <w:r w:rsidR="000B376D" w:rsidRPr="00D5464D">
        <w:rPr>
          <w:rFonts w:eastAsia="Calibri" w:cs="Times New Roman"/>
          <w:szCs w:val="20"/>
          <w:lang w:val="pt-BR"/>
        </w:rPr>
        <w:t>escravidão</w:t>
      </w:r>
      <w:r w:rsidR="00F727E4" w:rsidRPr="00D5464D">
        <w:rPr>
          <w:rFonts w:eastAsia="Calibri" w:cs="Times New Roman"/>
          <w:szCs w:val="20"/>
          <w:vertAlign w:val="superscript"/>
          <w:lang w:val="pt-BR"/>
        </w:rPr>
        <w:footnoteReference w:id="422"/>
      </w:r>
      <w:r w:rsidR="00F727E4" w:rsidRPr="00D5464D">
        <w:rPr>
          <w:rFonts w:eastAsia="Calibri" w:cs="Times New Roman"/>
          <w:szCs w:val="20"/>
          <w:lang w:val="pt-BR"/>
        </w:rPr>
        <w:t xml:space="preserve"> </w:t>
      </w:r>
      <w:r w:rsidR="00230C71" w:rsidRPr="00D5464D">
        <w:rPr>
          <w:rFonts w:eastAsia="Calibri" w:cs="Times New Roman"/>
          <w:szCs w:val="20"/>
          <w:lang w:val="pt-BR"/>
        </w:rPr>
        <w:t>desde a</w:t>
      </w:r>
      <w:r w:rsidR="00E045D9" w:rsidRPr="00D5464D">
        <w:rPr>
          <w:rFonts w:eastAsia="Calibri" w:cs="Times New Roman"/>
          <w:szCs w:val="20"/>
          <w:lang w:val="pt-BR"/>
        </w:rPr>
        <w:t xml:space="preserve"> </w:t>
      </w:r>
      <w:r w:rsidR="00F727E4" w:rsidRPr="00D5464D">
        <w:rPr>
          <w:rFonts w:eastAsia="Calibri" w:cs="Times New Roman"/>
          <w:szCs w:val="20"/>
          <w:lang w:val="pt-BR"/>
        </w:rPr>
        <w:t>Conven</w:t>
      </w:r>
      <w:r w:rsidR="00470ADC" w:rsidRPr="00D5464D">
        <w:rPr>
          <w:rFonts w:eastAsia="Calibri" w:cs="Times New Roman"/>
          <w:szCs w:val="20"/>
          <w:lang w:val="pt-BR"/>
        </w:rPr>
        <w:t>ção</w:t>
      </w:r>
      <w:r w:rsidR="00F727E4" w:rsidRPr="00D5464D">
        <w:rPr>
          <w:rFonts w:eastAsia="Calibri" w:cs="Times New Roman"/>
          <w:szCs w:val="20"/>
          <w:lang w:val="pt-BR"/>
        </w:rPr>
        <w:t xml:space="preserve"> de 1926 e </w:t>
      </w:r>
      <w:r w:rsidRPr="00D5464D">
        <w:rPr>
          <w:rFonts w:eastAsia="Calibri" w:cs="Times New Roman"/>
          <w:szCs w:val="20"/>
          <w:lang w:val="pt-BR"/>
        </w:rPr>
        <w:t xml:space="preserve">impõe </w:t>
      </w:r>
      <w:r w:rsidR="002C330E" w:rsidRPr="00D5464D">
        <w:rPr>
          <w:rFonts w:eastAsia="Calibri" w:cs="Times New Roman"/>
          <w:szCs w:val="20"/>
          <w:lang w:val="pt-BR"/>
        </w:rPr>
        <w:t>obrigações</w:t>
      </w:r>
      <w:r w:rsidR="00F727E4" w:rsidRPr="00D5464D">
        <w:rPr>
          <w:rFonts w:eastAsia="Calibri" w:cs="Times New Roman"/>
          <w:szCs w:val="20"/>
          <w:lang w:val="pt-BR"/>
        </w:rPr>
        <w:t xml:space="preserve"> para</w:t>
      </w:r>
      <w:r w:rsidR="002C330E" w:rsidRPr="00D5464D">
        <w:rPr>
          <w:rFonts w:eastAsia="Calibri" w:cs="Times New Roman"/>
          <w:szCs w:val="20"/>
          <w:lang w:val="pt-BR"/>
        </w:rPr>
        <w:t xml:space="preserve"> os </w:t>
      </w:r>
      <w:r w:rsidR="00F727E4" w:rsidRPr="00D5464D">
        <w:rPr>
          <w:rFonts w:eastAsia="Calibri" w:cs="Times New Roman"/>
          <w:szCs w:val="20"/>
          <w:lang w:val="pt-BR"/>
        </w:rPr>
        <w:t>Estados de abolir</w:t>
      </w:r>
      <w:r w:rsidRPr="00D5464D">
        <w:rPr>
          <w:rFonts w:eastAsia="Calibri" w:cs="Times New Roman"/>
          <w:szCs w:val="20"/>
          <w:lang w:val="pt-BR"/>
        </w:rPr>
        <w:t>em</w:t>
      </w:r>
      <w:r w:rsidR="00F727E4" w:rsidRPr="00D5464D">
        <w:rPr>
          <w:rFonts w:eastAsia="Calibri" w:cs="Times New Roman"/>
          <w:szCs w:val="20"/>
          <w:lang w:val="pt-BR"/>
        </w:rPr>
        <w:t xml:space="preserve"> </w:t>
      </w:r>
      <w:r w:rsidR="00470ADC" w:rsidRPr="00D5464D">
        <w:rPr>
          <w:rFonts w:eastAsia="Calibri" w:cs="Times New Roman"/>
          <w:szCs w:val="20"/>
          <w:lang w:val="pt-BR"/>
        </w:rPr>
        <w:t>esta</w:t>
      </w:r>
      <w:r w:rsidR="00F727E4" w:rsidRPr="00D5464D">
        <w:rPr>
          <w:rFonts w:eastAsia="Calibri" w:cs="Times New Roman"/>
          <w:szCs w:val="20"/>
          <w:lang w:val="pt-BR"/>
        </w:rPr>
        <w:t xml:space="preserve"> </w:t>
      </w:r>
      <w:r w:rsidR="002C330E" w:rsidRPr="00D5464D">
        <w:rPr>
          <w:rFonts w:eastAsia="Calibri" w:cs="Times New Roman"/>
          <w:szCs w:val="20"/>
          <w:lang w:val="pt-BR"/>
        </w:rPr>
        <w:t>prática</w:t>
      </w:r>
      <w:r w:rsidRPr="00D5464D">
        <w:rPr>
          <w:rFonts w:eastAsia="Calibri" w:cs="Times New Roman"/>
          <w:szCs w:val="20"/>
          <w:lang w:val="pt-BR"/>
        </w:rPr>
        <w:t>.</w:t>
      </w:r>
      <w:r w:rsidR="00F727E4" w:rsidRPr="00D5464D">
        <w:rPr>
          <w:rFonts w:eastAsia="Calibri" w:cs="Times New Roman"/>
          <w:szCs w:val="20"/>
          <w:vertAlign w:val="superscript"/>
          <w:lang w:val="pt-BR"/>
        </w:rPr>
        <w:footnoteReference w:id="423"/>
      </w:r>
      <w:r w:rsidR="00F727E4" w:rsidRPr="00D5464D">
        <w:rPr>
          <w:rFonts w:eastAsia="Calibri" w:cs="Times New Roman"/>
          <w:szCs w:val="20"/>
          <w:lang w:val="pt-BR"/>
        </w:rPr>
        <w:t xml:space="preserve"> Su</w:t>
      </w:r>
      <w:r w:rsidRPr="00D5464D">
        <w:rPr>
          <w:rFonts w:eastAsia="Calibri" w:cs="Times New Roman"/>
          <w:szCs w:val="20"/>
          <w:lang w:val="pt-BR"/>
        </w:rPr>
        <w:t>a</w:t>
      </w:r>
      <w:r w:rsidR="00F727E4" w:rsidRPr="00D5464D">
        <w:rPr>
          <w:rFonts w:eastAsia="Calibri" w:cs="Times New Roman"/>
          <w:szCs w:val="20"/>
          <w:lang w:val="pt-BR"/>
        </w:rPr>
        <w:t xml:space="preserve"> </w:t>
      </w:r>
      <w:r w:rsidR="002C330E" w:rsidRPr="00D5464D">
        <w:rPr>
          <w:rFonts w:eastAsia="Calibri" w:cs="Times New Roman"/>
          <w:szCs w:val="20"/>
          <w:lang w:val="pt-BR"/>
        </w:rPr>
        <w:t>proibição</w:t>
      </w:r>
      <w:r w:rsidR="00F727E4" w:rsidRPr="00D5464D">
        <w:rPr>
          <w:rFonts w:eastAsia="Calibri" w:cs="Times New Roman"/>
          <w:szCs w:val="20"/>
          <w:lang w:val="pt-BR"/>
        </w:rPr>
        <w:t xml:space="preserve"> </w:t>
      </w:r>
      <w:r w:rsidR="00E045D9" w:rsidRPr="00D5464D">
        <w:rPr>
          <w:rFonts w:eastAsia="Calibri" w:cs="Times New Roman"/>
          <w:szCs w:val="20"/>
          <w:lang w:val="pt-BR"/>
        </w:rPr>
        <w:t>também</w:t>
      </w:r>
      <w:r w:rsidR="00470ADC" w:rsidRPr="00D5464D">
        <w:rPr>
          <w:rFonts w:eastAsia="Calibri" w:cs="Times New Roman"/>
          <w:szCs w:val="20"/>
          <w:lang w:val="pt-BR"/>
        </w:rPr>
        <w:t xml:space="preserve"> é </w:t>
      </w:r>
      <w:r w:rsidR="00F727E4" w:rsidRPr="00D5464D">
        <w:rPr>
          <w:rFonts w:eastAsia="Calibri" w:cs="Times New Roman"/>
          <w:szCs w:val="20"/>
          <w:lang w:val="pt-BR"/>
        </w:rPr>
        <w:t>absoluta</w:t>
      </w:r>
      <w:r w:rsidR="00E045D9" w:rsidRPr="00D5464D">
        <w:rPr>
          <w:rFonts w:eastAsia="Calibri" w:cs="Times New Roman"/>
          <w:szCs w:val="20"/>
          <w:lang w:val="pt-BR"/>
        </w:rPr>
        <w:t xml:space="preserve"> e </w:t>
      </w:r>
      <w:r w:rsidR="00F727E4" w:rsidRPr="00D5464D">
        <w:rPr>
          <w:rFonts w:eastAsia="Calibri" w:cs="Times New Roman"/>
          <w:szCs w:val="20"/>
          <w:lang w:val="pt-BR"/>
        </w:rPr>
        <w:t xml:space="preserve">está </w:t>
      </w:r>
      <w:r w:rsidR="00470ADC" w:rsidRPr="00D5464D">
        <w:rPr>
          <w:rFonts w:eastAsia="Calibri" w:cs="Times New Roman"/>
          <w:szCs w:val="20"/>
          <w:lang w:val="pt-BR"/>
        </w:rPr>
        <w:t xml:space="preserve">expressa em </w:t>
      </w:r>
      <w:r w:rsidR="00F727E4" w:rsidRPr="00D5464D">
        <w:rPr>
          <w:rFonts w:eastAsia="Calibri" w:cs="Times New Roman"/>
          <w:szCs w:val="20"/>
          <w:lang w:val="pt-BR"/>
        </w:rPr>
        <w:t>todos</w:t>
      </w:r>
      <w:r w:rsidR="002C330E" w:rsidRPr="00D5464D">
        <w:rPr>
          <w:rFonts w:eastAsia="Calibri" w:cs="Times New Roman"/>
          <w:szCs w:val="20"/>
          <w:lang w:val="pt-BR"/>
        </w:rPr>
        <w:t xml:space="preserve"> os </w:t>
      </w:r>
      <w:r w:rsidR="00F727E4" w:rsidRPr="00D5464D">
        <w:rPr>
          <w:rFonts w:eastAsia="Calibri" w:cs="Times New Roman"/>
          <w:szCs w:val="20"/>
          <w:lang w:val="pt-BR"/>
        </w:rPr>
        <w:t xml:space="preserve">instrumentos </w:t>
      </w:r>
      <w:r w:rsidR="00C91CB1" w:rsidRPr="00D5464D">
        <w:rPr>
          <w:rFonts w:eastAsia="Calibri" w:cs="Times New Roman"/>
          <w:szCs w:val="20"/>
          <w:lang w:val="pt-BR"/>
        </w:rPr>
        <w:t>resumidos</w:t>
      </w:r>
      <w:r w:rsidRPr="00D5464D">
        <w:rPr>
          <w:rFonts w:eastAsia="Calibri" w:cs="Times New Roman"/>
          <w:szCs w:val="20"/>
          <w:lang w:val="pt-BR"/>
        </w:rPr>
        <w:t xml:space="preserve"> na</w:t>
      </w:r>
      <w:r w:rsidR="00E045D9" w:rsidRPr="00D5464D">
        <w:rPr>
          <w:rFonts w:eastAsia="Calibri" w:cs="Times New Roman"/>
          <w:szCs w:val="20"/>
          <w:lang w:val="pt-BR"/>
        </w:rPr>
        <w:t xml:space="preserve">s </w:t>
      </w:r>
      <w:r w:rsidR="00DB2B76" w:rsidRPr="00D5464D">
        <w:rPr>
          <w:rFonts w:eastAsia="Calibri" w:cs="Times New Roman"/>
          <w:szCs w:val="20"/>
          <w:lang w:val="pt-BR"/>
        </w:rPr>
        <w:t>seções</w:t>
      </w:r>
      <w:r w:rsidR="00F727E4" w:rsidRPr="00D5464D">
        <w:rPr>
          <w:rFonts w:eastAsia="Calibri" w:cs="Times New Roman"/>
          <w:szCs w:val="20"/>
          <w:lang w:val="pt-BR"/>
        </w:rPr>
        <w:t xml:space="preserve"> anteriores. </w:t>
      </w:r>
    </w:p>
    <w:p w14:paraId="277F6EFA" w14:textId="77777777" w:rsidR="00DE3E58" w:rsidRPr="00D5464D" w:rsidRDefault="00DE3E58" w:rsidP="00DE3E58">
      <w:pPr>
        <w:tabs>
          <w:tab w:val="clear" w:pos="4419"/>
          <w:tab w:val="clear" w:pos="8838"/>
        </w:tabs>
        <w:jc w:val="both"/>
        <w:rPr>
          <w:rFonts w:eastAsia="Calibri" w:cs="Times New Roman"/>
          <w:szCs w:val="20"/>
          <w:lang w:val="pt-BR"/>
        </w:rPr>
      </w:pPr>
    </w:p>
    <w:p w14:paraId="76A71B0E" w14:textId="125D1BE8" w:rsidR="003F32D2" w:rsidRPr="00D5464D" w:rsidRDefault="00470ADC" w:rsidP="009117DF">
      <w:pPr>
        <w:numPr>
          <w:ilvl w:val="0"/>
          <w:numId w:val="1"/>
        </w:numPr>
        <w:tabs>
          <w:tab w:val="clear" w:pos="4419"/>
          <w:tab w:val="clear" w:pos="8838"/>
        </w:tabs>
        <w:jc w:val="both"/>
        <w:rPr>
          <w:rFonts w:eastAsia="Calibri" w:cs="Times New Roman"/>
          <w:szCs w:val="20"/>
          <w:lang w:val="pt-BR"/>
        </w:rPr>
      </w:pPr>
      <w:r w:rsidRPr="00D5464D">
        <w:rPr>
          <w:rFonts w:eastAsia="Calibri" w:cs="Times New Roman"/>
          <w:szCs w:val="20"/>
          <w:lang w:val="pt-BR"/>
        </w:rPr>
        <w:t xml:space="preserve">A </w:t>
      </w:r>
      <w:r w:rsidR="002C330E" w:rsidRPr="00D5464D">
        <w:rPr>
          <w:rFonts w:eastAsia="Calibri" w:cs="Times New Roman"/>
          <w:szCs w:val="20"/>
          <w:lang w:val="pt-BR"/>
        </w:rPr>
        <w:t>proibição</w:t>
      </w:r>
      <w:r w:rsidR="00C5267E" w:rsidRPr="00D5464D">
        <w:rPr>
          <w:rFonts w:eastAsia="Calibri" w:cs="Times New Roman"/>
          <w:szCs w:val="20"/>
          <w:lang w:val="pt-BR"/>
        </w:rPr>
        <w:t xml:space="preserve"> ao</w:t>
      </w:r>
      <w:r w:rsidR="004F1CC2" w:rsidRPr="00D5464D">
        <w:rPr>
          <w:rFonts w:eastAsia="Calibri" w:cs="Times New Roman"/>
          <w:szCs w:val="20"/>
          <w:lang w:val="pt-BR"/>
        </w:rPr>
        <w:t xml:space="preserve"> tráfico de mulheres</w:t>
      </w:r>
      <w:r w:rsidR="00C5267E" w:rsidRPr="00D5464D">
        <w:rPr>
          <w:rFonts w:eastAsia="Calibri" w:cs="Times New Roman"/>
          <w:szCs w:val="20"/>
          <w:lang w:val="pt-BR"/>
        </w:rPr>
        <w:t xml:space="preserve"> (e</w:t>
      </w:r>
      <w:r w:rsidR="00D43A25" w:rsidRPr="00D5464D">
        <w:rPr>
          <w:rFonts w:eastAsia="Calibri" w:cs="Times New Roman"/>
          <w:szCs w:val="20"/>
          <w:lang w:val="pt-BR"/>
        </w:rPr>
        <w:t xml:space="preserve"> de </w:t>
      </w:r>
      <w:r w:rsidR="00E045D9" w:rsidRPr="00D5464D">
        <w:rPr>
          <w:rFonts w:eastAsia="Calibri" w:cs="Times New Roman"/>
          <w:szCs w:val="20"/>
          <w:lang w:val="pt-BR"/>
        </w:rPr>
        <w:t>crianças</w:t>
      </w:r>
      <w:r w:rsidR="00D43A25" w:rsidRPr="00D5464D">
        <w:rPr>
          <w:rFonts w:eastAsia="Calibri" w:cs="Times New Roman"/>
          <w:szCs w:val="20"/>
          <w:lang w:val="pt-BR"/>
        </w:rPr>
        <w:t>)</w:t>
      </w:r>
      <w:r w:rsidRPr="00D5464D">
        <w:rPr>
          <w:rFonts w:eastAsia="Calibri" w:cs="Times New Roman"/>
          <w:szCs w:val="20"/>
          <w:lang w:val="pt-BR"/>
        </w:rPr>
        <w:t xml:space="preserve"> é </w:t>
      </w:r>
      <w:r w:rsidR="00D43A25" w:rsidRPr="00D5464D">
        <w:rPr>
          <w:rFonts w:eastAsia="Calibri" w:cs="Times New Roman"/>
          <w:szCs w:val="20"/>
          <w:lang w:val="pt-BR"/>
        </w:rPr>
        <w:t xml:space="preserve">objeto de </w:t>
      </w:r>
      <w:r w:rsidR="00E045D9" w:rsidRPr="00D5464D">
        <w:rPr>
          <w:rFonts w:eastAsia="Calibri" w:cs="Times New Roman"/>
          <w:szCs w:val="20"/>
          <w:lang w:val="pt-BR"/>
        </w:rPr>
        <w:t>vários</w:t>
      </w:r>
      <w:r w:rsidR="00D43A25" w:rsidRPr="00D5464D">
        <w:rPr>
          <w:rFonts w:eastAsia="Calibri" w:cs="Times New Roman"/>
          <w:szCs w:val="20"/>
          <w:lang w:val="pt-BR"/>
        </w:rPr>
        <w:t xml:space="preserve"> tratados </w:t>
      </w:r>
      <w:r w:rsidR="002C330E" w:rsidRPr="00D5464D">
        <w:rPr>
          <w:rFonts w:eastAsia="Calibri" w:cs="Times New Roman"/>
          <w:szCs w:val="20"/>
          <w:lang w:val="pt-BR"/>
        </w:rPr>
        <w:t>internacionais</w:t>
      </w:r>
      <w:r w:rsidR="00D43A25" w:rsidRPr="00D5464D">
        <w:rPr>
          <w:rFonts w:eastAsia="Calibri" w:cs="Times New Roman"/>
          <w:szCs w:val="20"/>
          <w:lang w:val="pt-BR"/>
        </w:rPr>
        <w:t xml:space="preserve"> a</w:t>
      </w:r>
      <w:r w:rsidR="002C330E" w:rsidRPr="00D5464D">
        <w:rPr>
          <w:rFonts w:eastAsia="Calibri" w:cs="Times New Roman"/>
          <w:szCs w:val="20"/>
          <w:lang w:val="pt-BR"/>
        </w:rPr>
        <w:t>provad</w:t>
      </w:r>
      <w:r w:rsidR="00D43A25" w:rsidRPr="00D5464D">
        <w:rPr>
          <w:rFonts w:eastAsia="Calibri" w:cs="Times New Roman"/>
          <w:szCs w:val="20"/>
          <w:lang w:val="pt-BR"/>
        </w:rPr>
        <w:t>os durante</w:t>
      </w:r>
      <w:r w:rsidRPr="00D5464D">
        <w:rPr>
          <w:rFonts w:eastAsia="Calibri" w:cs="Times New Roman"/>
          <w:szCs w:val="20"/>
          <w:lang w:val="pt-BR"/>
        </w:rPr>
        <w:t xml:space="preserve"> o </w:t>
      </w:r>
      <w:r w:rsidR="002C330E" w:rsidRPr="00D5464D">
        <w:rPr>
          <w:rFonts w:eastAsia="Calibri" w:cs="Times New Roman"/>
          <w:szCs w:val="20"/>
          <w:lang w:val="pt-BR"/>
        </w:rPr>
        <w:t xml:space="preserve">século </w:t>
      </w:r>
      <w:r w:rsidR="00D43A25" w:rsidRPr="00D5464D">
        <w:rPr>
          <w:rFonts w:eastAsia="Calibri" w:cs="Times New Roman"/>
          <w:szCs w:val="20"/>
          <w:lang w:val="pt-BR"/>
        </w:rPr>
        <w:t>XX</w:t>
      </w:r>
      <w:r w:rsidR="00C5267E" w:rsidRPr="00D5464D">
        <w:rPr>
          <w:rFonts w:eastAsia="Calibri" w:cs="Times New Roman"/>
          <w:szCs w:val="20"/>
          <w:lang w:val="pt-BR"/>
        </w:rPr>
        <w:t>,</w:t>
      </w:r>
      <w:r w:rsidR="00D43A25" w:rsidRPr="00D5464D">
        <w:rPr>
          <w:rStyle w:val="Refdenotaalpie"/>
          <w:rFonts w:eastAsia="Calibri"/>
          <w:lang w:val="pt-BR"/>
        </w:rPr>
        <w:footnoteReference w:id="424"/>
      </w:r>
      <w:r w:rsidR="002C330E" w:rsidRPr="00D5464D">
        <w:rPr>
          <w:rFonts w:eastAsia="Calibri" w:cs="Times New Roman"/>
          <w:szCs w:val="20"/>
          <w:lang w:val="pt-BR"/>
        </w:rPr>
        <w:t xml:space="preserve"> a </w:t>
      </w:r>
      <w:r w:rsidRPr="00D5464D">
        <w:rPr>
          <w:rFonts w:eastAsia="Calibri" w:cs="Times New Roman"/>
          <w:szCs w:val="20"/>
          <w:lang w:val="pt-BR"/>
        </w:rPr>
        <w:t xml:space="preserve">qual foi </w:t>
      </w:r>
      <w:r w:rsidR="003F32D2" w:rsidRPr="00D5464D">
        <w:rPr>
          <w:rFonts w:eastAsia="Calibri" w:cs="Times New Roman"/>
          <w:szCs w:val="20"/>
          <w:lang w:val="pt-BR"/>
        </w:rPr>
        <w:t>consolidada</w:t>
      </w:r>
      <w:r w:rsidRPr="00D5464D">
        <w:rPr>
          <w:rFonts w:eastAsia="Calibri" w:cs="Times New Roman"/>
          <w:szCs w:val="20"/>
          <w:lang w:val="pt-BR"/>
        </w:rPr>
        <w:t xml:space="preserve"> com </w:t>
      </w:r>
      <w:r w:rsidR="009117DF" w:rsidRPr="00D5464D">
        <w:rPr>
          <w:rFonts w:eastAsia="Calibri" w:cs="Times New Roman"/>
          <w:szCs w:val="20"/>
          <w:lang w:val="pt-BR"/>
        </w:rPr>
        <w:t>a</w:t>
      </w:r>
      <w:r w:rsidRPr="00D5464D">
        <w:rPr>
          <w:rFonts w:eastAsia="Calibri" w:cs="Times New Roman"/>
          <w:szCs w:val="20"/>
          <w:lang w:val="pt-BR"/>
        </w:rPr>
        <w:t xml:space="preserve"> </w:t>
      </w:r>
      <w:r w:rsidR="009117DF" w:rsidRPr="00D5464D">
        <w:rPr>
          <w:rFonts w:eastAsia="Calibri" w:cs="Times New Roman"/>
          <w:szCs w:val="20"/>
          <w:lang w:val="pt-BR"/>
        </w:rPr>
        <w:t>Convenção para a Repressão do Tráfico de Pessoas e do Lenocínio</w:t>
      </w:r>
      <w:r w:rsidR="00C5267E" w:rsidRPr="00D5464D">
        <w:rPr>
          <w:rFonts w:eastAsia="Calibri" w:cs="Times New Roman"/>
          <w:szCs w:val="20"/>
          <w:lang w:val="pt-BR"/>
        </w:rPr>
        <w:t>,</w:t>
      </w:r>
      <w:r w:rsidR="00D43A25" w:rsidRPr="00D5464D">
        <w:rPr>
          <w:rStyle w:val="Refdenotaalpie"/>
          <w:rFonts w:eastAsia="Calibri"/>
          <w:lang w:val="pt-BR"/>
        </w:rPr>
        <w:footnoteReference w:id="425"/>
      </w:r>
      <w:r w:rsidR="00C5267E" w:rsidRPr="00D5464D">
        <w:rPr>
          <w:rFonts w:eastAsia="Calibri" w:cs="Times New Roman"/>
          <w:szCs w:val="20"/>
          <w:lang w:val="pt-BR"/>
        </w:rPr>
        <w:t xml:space="preserve"> de 1949. Como elemento ch</w:t>
      </w:r>
      <w:r w:rsidR="003F32D2" w:rsidRPr="00D5464D">
        <w:rPr>
          <w:rFonts w:eastAsia="Calibri" w:cs="Times New Roman"/>
          <w:szCs w:val="20"/>
          <w:lang w:val="pt-BR"/>
        </w:rPr>
        <w:t>ave</w:t>
      </w:r>
      <w:r w:rsidRPr="00D5464D">
        <w:rPr>
          <w:rFonts w:eastAsia="Calibri" w:cs="Times New Roman"/>
          <w:szCs w:val="20"/>
          <w:lang w:val="pt-BR"/>
        </w:rPr>
        <w:t xml:space="preserve"> da </w:t>
      </w:r>
      <w:r w:rsidR="002C330E" w:rsidRPr="00D5464D">
        <w:rPr>
          <w:rFonts w:eastAsia="Calibri" w:cs="Times New Roman"/>
          <w:szCs w:val="20"/>
          <w:lang w:val="pt-BR"/>
        </w:rPr>
        <w:t>proibição</w:t>
      </w:r>
      <w:r w:rsidRPr="00D5464D">
        <w:rPr>
          <w:rFonts w:eastAsia="Calibri" w:cs="Times New Roman"/>
          <w:szCs w:val="20"/>
          <w:lang w:val="pt-BR"/>
        </w:rPr>
        <w:t xml:space="preserve"> da </w:t>
      </w:r>
      <w:r w:rsidR="005564AC" w:rsidRPr="00D5464D">
        <w:rPr>
          <w:rFonts w:eastAsia="Calibri" w:cs="Times New Roman"/>
          <w:szCs w:val="20"/>
          <w:lang w:val="pt-BR"/>
        </w:rPr>
        <w:t xml:space="preserve">(exploração da) </w:t>
      </w:r>
      <w:r w:rsidR="003F32D2" w:rsidRPr="00D5464D">
        <w:rPr>
          <w:rFonts w:eastAsia="Calibri" w:cs="Times New Roman"/>
          <w:szCs w:val="20"/>
          <w:lang w:val="pt-BR"/>
        </w:rPr>
        <w:t>prostitu</w:t>
      </w:r>
      <w:r w:rsidR="00C5267E" w:rsidRPr="00D5464D">
        <w:rPr>
          <w:rFonts w:eastAsia="Calibri" w:cs="Times New Roman"/>
          <w:szCs w:val="20"/>
          <w:lang w:val="pt-BR"/>
        </w:rPr>
        <w:t>i</w:t>
      </w:r>
      <w:r w:rsidRPr="00D5464D">
        <w:rPr>
          <w:rFonts w:eastAsia="Calibri" w:cs="Times New Roman"/>
          <w:szCs w:val="20"/>
          <w:lang w:val="pt-BR"/>
        </w:rPr>
        <w:t>ção</w:t>
      </w:r>
      <w:r w:rsidR="00E045D9" w:rsidRPr="00D5464D">
        <w:rPr>
          <w:rFonts w:eastAsia="Calibri" w:cs="Times New Roman"/>
          <w:szCs w:val="20"/>
          <w:lang w:val="pt-BR"/>
        </w:rPr>
        <w:t xml:space="preserve"> e </w:t>
      </w:r>
      <w:r w:rsidRPr="00D5464D">
        <w:rPr>
          <w:rFonts w:eastAsia="Calibri" w:cs="Times New Roman"/>
          <w:szCs w:val="20"/>
          <w:lang w:val="pt-BR"/>
        </w:rPr>
        <w:t>d</w:t>
      </w:r>
      <w:r w:rsidR="004F1CC2" w:rsidRPr="00D5464D">
        <w:rPr>
          <w:rFonts w:eastAsia="Calibri" w:cs="Times New Roman"/>
          <w:szCs w:val="20"/>
          <w:lang w:val="pt-BR"/>
        </w:rPr>
        <w:t>o tráfico de pessoas</w:t>
      </w:r>
      <w:r w:rsidR="00CE5161" w:rsidRPr="00D5464D">
        <w:rPr>
          <w:rFonts w:eastAsia="Calibri" w:cs="Times New Roman"/>
          <w:szCs w:val="20"/>
          <w:lang w:val="pt-BR"/>
        </w:rPr>
        <w:t xml:space="preserve"> para</w:t>
      </w:r>
      <w:r w:rsidRPr="00D5464D">
        <w:rPr>
          <w:rFonts w:eastAsia="Calibri" w:cs="Times New Roman"/>
          <w:szCs w:val="20"/>
          <w:lang w:val="pt-BR"/>
        </w:rPr>
        <w:t xml:space="preserve"> esse </w:t>
      </w:r>
      <w:r w:rsidR="00E045D9" w:rsidRPr="00D5464D">
        <w:rPr>
          <w:rFonts w:eastAsia="Calibri" w:cs="Times New Roman"/>
          <w:szCs w:val="20"/>
          <w:lang w:val="pt-BR"/>
        </w:rPr>
        <w:t>fim,</w:t>
      </w:r>
      <w:r w:rsidRPr="00D5464D">
        <w:rPr>
          <w:rFonts w:eastAsia="Calibri" w:cs="Times New Roman"/>
          <w:szCs w:val="20"/>
          <w:lang w:val="pt-BR"/>
        </w:rPr>
        <w:t xml:space="preserve"> o artigo</w:t>
      </w:r>
      <w:r w:rsidR="003F32D2" w:rsidRPr="00D5464D">
        <w:rPr>
          <w:rFonts w:eastAsia="Calibri" w:cs="Times New Roman"/>
          <w:szCs w:val="20"/>
          <w:lang w:val="pt-BR"/>
        </w:rPr>
        <w:t xml:space="preserve"> 1</w:t>
      </w:r>
      <w:r w:rsidR="009117DF" w:rsidRPr="00D5464D">
        <w:rPr>
          <w:rFonts w:eastAsia="Calibri" w:cs="Times New Roman"/>
          <w:szCs w:val="20"/>
          <w:lang w:val="pt-BR"/>
        </w:rPr>
        <w:t xml:space="preserve">º </w:t>
      </w:r>
      <w:r w:rsidR="00E045D9" w:rsidRPr="00D5464D">
        <w:rPr>
          <w:rFonts w:eastAsia="Calibri" w:cs="Times New Roman"/>
          <w:szCs w:val="20"/>
          <w:lang w:val="pt-BR"/>
        </w:rPr>
        <w:t>deste</w:t>
      </w:r>
      <w:r w:rsidRPr="00D5464D">
        <w:rPr>
          <w:rFonts w:eastAsia="Calibri" w:cs="Times New Roman"/>
          <w:szCs w:val="20"/>
          <w:lang w:val="pt-BR"/>
        </w:rPr>
        <w:t xml:space="preserve"> convênio </w:t>
      </w:r>
      <w:r w:rsidR="003F32D2" w:rsidRPr="00D5464D">
        <w:rPr>
          <w:rFonts w:eastAsia="Calibri" w:cs="Times New Roman"/>
          <w:szCs w:val="20"/>
          <w:lang w:val="pt-BR"/>
        </w:rPr>
        <w:t xml:space="preserve">se </w:t>
      </w:r>
      <w:r w:rsidR="002C330E" w:rsidRPr="00D5464D">
        <w:rPr>
          <w:rFonts w:eastAsia="Calibri" w:cs="Times New Roman"/>
          <w:szCs w:val="20"/>
          <w:lang w:val="pt-BR"/>
        </w:rPr>
        <w:t>refere</w:t>
      </w:r>
      <w:r w:rsidRPr="00D5464D">
        <w:rPr>
          <w:rFonts w:eastAsia="Calibri" w:cs="Times New Roman"/>
          <w:szCs w:val="20"/>
          <w:lang w:val="pt-BR"/>
        </w:rPr>
        <w:t xml:space="preserve"> </w:t>
      </w:r>
      <w:r w:rsidR="003B073A" w:rsidRPr="00D5464D">
        <w:rPr>
          <w:rFonts w:eastAsia="Calibri" w:cs="Times New Roman"/>
          <w:szCs w:val="20"/>
          <w:lang w:val="pt-BR"/>
        </w:rPr>
        <w:t xml:space="preserve">ao elemento de </w:t>
      </w:r>
      <w:r w:rsidR="003F32D2" w:rsidRPr="00D5464D">
        <w:rPr>
          <w:rFonts w:eastAsia="Calibri" w:cs="Times New Roman"/>
          <w:szCs w:val="20"/>
          <w:lang w:val="pt-BR"/>
        </w:rPr>
        <w:t>“</w:t>
      </w:r>
      <w:r w:rsidRPr="00D5464D">
        <w:rPr>
          <w:rFonts w:eastAsia="Calibri" w:cs="Times New Roman"/>
          <w:szCs w:val="20"/>
          <w:lang w:val="pt-BR"/>
        </w:rPr>
        <w:t>consentimento</w:t>
      </w:r>
      <w:r w:rsidR="003F32D2" w:rsidRPr="00D5464D">
        <w:rPr>
          <w:rFonts w:eastAsia="Calibri" w:cs="Times New Roman"/>
          <w:szCs w:val="20"/>
          <w:lang w:val="pt-BR"/>
        </w:rPr>
        <w:t>”</w:t>
      </w:r>
      <w:r w:rsidR="00E045D9" w:rsidRPr="00D5464D">
        <w:rPr>
          <w:rFonts w:eastAsia="Calibri" w:cs="Times New Roman"/>
          <w:szCs w:val="20"/>
          <w:lang w:val="pt-BR"/>
        </w:rPr>
        <w:t xml:space="preserve"> e </w:t>
      </w:r>
      <w:r w:rsidR="00C5267E" w:rsidRPr="00D5464D">
        <w:rPr>
          <w:rFonts w:eastAsia="Calibri" w:cs="Times New Roman"/>
          <w:szCs w:val="20"/>
          <w:lang w:val="pt-BR"/>
        </w:rPr>
        <w:t>à</w:t>
      </w:r>
      <w:r w:rsidR="002C330E" w:rsidRPr="00D5464D">
        <w:rPr>
          <w:rFonts w:eastAsia="Calibri" w:cs="Times New Roman"/>
          <w:szCs w:val="20"/>
          <w:lang w:val="pt-BR"/>
        </w:rPr>
        <w:t xml:space="preserve"> </w:t>
      </w:r>
      <w:r w:rsidR="00230C71" w:rsidRPr="00D5464D">
        <w:rPr>
          <w:rFonts w:eastAsia="Calibri" w:cs="Times New Roman"/>
          <w:szCs w:val="20"/>
          <w:lang w:val="pt-BR"/>
        </w:rPr>
        <w:t>exploração</w:t>
      </w:r>
      <w:r w:rsidR="003F32D2" w:rsidRPr="00D5464D">
        <w:rPr>
          <w:rFonts w:eastAsia="Calibri" w:cs="Times New Roman"/>
          <w:szCs w:val="20"/>
          <w:lang w:val="pt-BR"/>
        </w:rPr>
        <w:t xml:space="preserve"> (</w:t>
      </w:r>
      <w:r w:rsidR="00E045D9" w:rsidRPr="00D5464D">
        <w:rPr>
          <w:rFonts w:eastAsia="Calibri" w:cs="Times New Roman"/>
          <w:szCs w:val="20"/>
          <w:lang w:val="pt-BR"/>
        </w:rPr>
        <w:t xml:space="preserve">da </w:t>
      </w:r>
      <w:r w:rsidR="003F32D2" w:rsidRPr="00D5464D">
        <w:rPr>
          <w:rFonts w:eastAsia="Calibri" w:cs="Times New Roman"/>
          <w:szCs w:val="20"/>
          <w:lang w:val="pt-BR"/>
        </w:rPr>
        <w:t>prostitu</w:t>
      </w:r>
      <w:r w:rsidR="00C5267E" w:rsidRPr="00D5464D">
        <w:rPr>
          <w:rFonts w:eastAsia="Calibri" w:cs="Times New Roman"/>
          <w:szCs w:val="20"/>
          <w:lang w:val="pt-BR"/>
        </w:rPr>
        <w:t>i</w:t>
      </w:r>
      <w:r w:rsidRPr="00D5464D">
        <w:rPr>
          <w:rFonts w:eastAsia="Calibri" w:cs="Times New Roman"/>
          <w:szCs w:val="20"/>
          <w:lang w:val="pt-BR"/>
        </w:rPr>
        <w:t>ção</w:t>
      </w:r>
      <w:r w:rsidR="003F32D2" w:rsidRPr="00D5464D">
        <w:rPr>
          <w:rFonts w:eastAsia="Calibri" w:cs="Times New Roman"/>
          <w:szCs w:val="20"/>
          <w:lang w:val="pt-BR"/>
        </w:rPr>
        <w:t>) de</w:t>
      </w:r>
      <w:r w:rsidR="002C330E" w:rsidRPr="00D5464D">
        <w:rPr>
          <w:rFonts w:eastAsia="Calibri" w:cs="Times New Roman"/>
          <w:szCs w:val="20"/>
          <w:lang w:val="pt-BR"/>
        </w:rPr>
        <w:t xml:space="preserve"> outra pessoa</w:t>
      </w:r>
      <w:r w:rsidR="003F32D2" w:rsidRPr="00D5464D">
        <w:rPr>
          <w:rFonts w:eastAsia="Calibri" w:cs="Times New Roman"/>
          <w:szCs w:val="20"/>
          <w:lang w:val="pt-BR"/>
        </w:rPr>
        <w:t xml:space="preserve">. </w:t>
      </w:r>
    </w:p>
    <w:p w14:paraId="03C5E8D1" w14:textId="77777777" w:rsidR="003F32D2" w:rsidRPr="00D5464D" w:rsidRDefault="003F32D2" w:rsidP="00ED3AD0">
      <w:pPr>
        <w:pStyle w:val="Prrafodelista"/>
        <w:rPr>
          <w:rFonts w:eastAsia="Calibri" w:cs="Times New Roman"/>
          <w:szCs w:val="20"/>
          <w:lang w:val="pt-BR"/>
        </w:rPr>
      </w:pPr>
    </w:p>
    <w:p w14:paraId="5A814FCC" w14:textId="1D473CC5" w:rsidR="00CE5161" w:rsidRPr="00D5464D" w:rsidRDefault="00815436" w:rsidP="00CE5161">
      <w:pPr>
        <w:numPr>
          <w:ilvl w:val="0"/>
          <w:numId w:val="1"/>
        </w:numPr>
        <w:tabs>
          <w:tab w:val="clear" w:pos="4419"/>
          <w:tab w:val="clear" w:pos="8838"/>
        </w:tabs>
        <w:jc w:val="both"/>
        <w:rPr>
          <w:rFonts w:eastAsia="Calibri" w:cs="Times New Roman"/>
          <w:szCs w:val="20"/>
          <w:lang w:val="pt-BR"/>
        </w:rPr>
      </w:pPr>
      <w:r w:rsidRPr="00D5464D">
        <w:rPr>
          <w:rFonts w:eastAsia="Calibri" w:cs="Times New Roman"/>
          <w:szCs w:val="20"/>
          <w:lang w:val="pt-BR"/>
        </w:rPr>
        <w:t>Por outra</w:t>
      </w:r>
      <w:r w:rsidR="00A1358C" w:rsidRPr="00D5464D">
        <w:rPr>
          <w:rFonts w:eastAsia="Calibri" w:cs="Times New Roman"/>
          <w:szCs w:val="20"/>
          <w:lang w:val="pt-BR"/>
        </w:rPr>
        <w:t xml:space="preserve"> </w:t>
      </w:r>
      <w:r w:rsidRPr="00D5464D">
        <w:rPr>
          <w:rFonts w:eastAsia="Calibri" w:cs="Times New Roman"/>
          <w:szCs w:val="20"/>
          <w:lang w:val="pt-BR"/>
        </w:rPr>
        <w:t>parte</w:t>
      </w:r>
      <w:r w:rsidR="00A1358C" w:rsidRPr="00D5464D">
        <w:rPr>
          <w:rFonts w:eastAsia="Calibri" w:cs="Times New Roman"/>
          <w:szCs w:val="20"/>
          <w:lang w:val="pt-BR"/>
        </w:rPr>
        <w:t>,</w:t>
      </w:r>
      <w:r w:rsidR="00470ADC" w:rsidRPr="00D5464D">
        <w:rPr>
          <w:rFonts w:eastAsia="Calibri" w:cs="Times New Roman"/>
          <w:szCs w:val="20"/>
          <w:lang w:val="pt-BR"/>
        </w:rPr>
        <w:t xml:space="preserve"> o </w:t>
      </w:r>
      <w:r w:rsidR="003F32D2" w:rsidRPr="00D5464D">
        <w:rPr>
          <w:rFonts w:eastAsia="Calibri" w:cs="Times New Roman"/>
          <w:szCs w:val="20"/>
          <w:lang w:val="pt-BR"/>
        </w:rPr>
        <w:t>principal tratado internacional especializado sobre</w:t>
      </w:r>
      <w:r w:rsidR="002C330E" w:rsidRPr="00D5464D">
        <w:rPr>
          <w:rFonts w:eastAsia="Calibri" w:cs="Times New Roman"/>
          <w:szCs w:val="20"/>
          <w:lang w:val="pt-BR"/>
        </w:rPr>
        <w:t xml:space="preserve"> </w:t>
      </w:r>
      <w:r w:rsidR="004F1CC2" w:rsidRPr="00D5464D">
        <w:rPr>
          <w:rFonts w:eastAsia="Calibri" w:cs="Times New Roman"/>
          <w:szCs w:val="20"/>
          <w:lang w:val="pt-BR"/>
        </w:rPr>
        <w:t>o tráfico de pessoas</w:t>
      </w:r>
      <w:r w:rsidR="003F32D2" w:rsidRPr="00D5464D">
        <w:rPr>
          <w:rFonts w:eastAsia="Calibri" w:cs="Times New Roman"/>
          <w:szCs w:val="20"/>
          <w:lang w:val="pt-BR"/>
        </w:rPr>
        <w:t>,</w:t>
      </w:r>
      <w:r w:rsidR="00470ADC" w:rsidRPr="00D5464D">
        <w:rPr>
          <w:rFonts w:eastAsia="Calibri" w:cs="Times New Roman"/>
          <w:szCs w:val="20"/>
          <w:lang w:val="pt-BR"/>
        </w:rPr>
        <w:t xml:space="preserve"> o </w:t>
      </w:r>
      <w:r w:rsidR="003F32D2" w:rsidRPr="00D5464D">
        <w:rPr>
          <w:rFonts w:eastAsia="Calibri" w:cs="Times New Roman"/>
          <w:szCs w:val="20"/>
          <w:lang w:val="pt-BR"/>
        </w:rPr>
        <w:t xml:space="preserve">Protocolo </w:t>
      </w:r>
      <w:r w:rsidRPr="00D5464D">
        <w:rPr>
          <w:rFonts w:eastAsia="Calibri" w:cs="Times New Roman"/>
          <w:szCs w:val="20"/>
          <w:lang w:val="pt-BR"/>
        </w:rPr>
        <w:t>Relativo à Prevenção, Repressão e Punição do Tráfico de Pessoas, em Especial Mulheres e Crianças</w:t>
      </w:r>
      <w:r w:rsidR="00470ADC" w:rsidRPr="00D5464D">
        <w:rPr>
          <w:rFonts w:eastAsia="Calibri" w:cs="Times New Roman"/>
          <w:szCs w:val="20"/>
          <w:lang w:val="pt-BR"/>
        </w:rPr>
        <w:t xml:space="preserve"> da </w:t>
      </w:r>
      <w:r w:rsidR="003F32D2" w:rsidRPr="00D5464D">
        <w:rPr>
          <w:rFonts w:eastAsia="Calibri" w:cs="Times New Roman"/>
          <w:szCs w:val="20"/>
          <w:lang w:val="pt-BR"/>
        </w:rPr>
        <w:t>Conven</w:t>
      </w:r>
      <w:r w:rsidR="00470ADC" w:rsidRPr="00D5464D">
        <w:rPr>
          <w:rFonts w:eastAsia="Calibri" w:cs="Times New Roman"/>
          <w:szCs w:val="20"/>
          <w:lang w:val="pt-BR"/>
        </w:rPr>
        <w:t xml:space="preserve">ção das </w:t>
      </w:r>
      <w:r w:rsidR="003F32D2" w:rsidRPr="00D5464D">
        <w:rPr>
          <w:rFonts w:eastAsia="Calibri" w:cs="Times New Roman"/>
          <w:szCs w:val="20"/>
          <w:lang w:val="pt-BR"/>
        </w:rPr>
        <w:t>Na</w:t>
      </w:r>
      <w:r w:rsidR="00470ADC" w:rsidRPr="00D5464D">
        <w:rPr>
          <w:rFonts w:eastAsia="Calibri" w:cs="Times New Roman"/>
          <w:szCs w:val="20"/>
          <w:lang w:val="pt-BR"/>
        </w:rPr>
        <w:t>ções</w:t>
      </w:r>
      <w:r w:rsidR="003F32D2" w:rsidRPr="00D5464D">
        <w:rPr>
          <w:rFonts w:eastAsia="Calibri" w:cs="Times New Roman"/>
          <w:szCs w:val="20"/>
          <w:lang w:val="pt-BR"/>
        </w:rPr>
        <w:t xml:space="preserve"> Unidas contra</w:t>
      </w:r>
      <w:r w:rsidR="002C330E" w:rsidRPr="00D5464D">
        <w:rPr>
          <w:rFonts w:eastAsia="Calibri" w:cs="Times New Roman"/>
          <w:szCs w:val="20"/>
          <w:lang w:val="pt-BR"/>
        </w:rPr>
        <w:t xml:space="preserve"> </w:t>
      </w:r>
      <w:r w:rsidRPr="00D5464D">
        <w:rPr>
          <w:rFonts w:eastAsia="Calibri" w:cs="Times New Roman"/>
          <w:szCs w:val="20"/>
          <w:lang w:val="pt-BR"/>
        </w:rPr>
        <w:t xml:space="preserve">o Crime </w:t>
      </w:r>
      <w:r w:rsidR="003F32D2" w:rsidRPr="00D5464D">
        <w:rPr>
          <w:rFonts w:eastAsia="Calibri" w:cs="Times New Roman"/>
          <w:szCs w:val="20"/>
          <w:lang w:val="pt-BR"/>
        </w:rPr>
        <w:t>Organizad</w:t>
      </w:r>
      <w:r w:rsidRPr="00D5464D">
        <w:rPr>
          <w:rFonts w:eastAsia="Calibri" w:cs="Times New Roman"/>
          <w:szCs w:val="20"/>
          <w:lang w:val="pt-BR"/>
        </w:rPr>
        <w:t>o</w:t>
      </w:r>
      <w:r w:rsidR="003F32D2" w:rsidRPr="00D5464D">
        <w:rPr>
          <w:rFonts w:eastAsia="Calibri" w:cs="Times New Roman"/>
          <w:szCs w:val="20"/>
          <w:lang w:val="pt-BR"/>
        </w:rPr>
        <w:t xml:space="preserve"> Transnacional (</w:t>
      </w:r>
      <w:r w:rsidR="00350187" w:rsidRPr="00D5464D">
        <w:rPr>
          <w:rFonts w:eastAsia="Calibri" w:cs="Times New Roman"/>
          <w:szCs w:val="20"/>
          <w:lang w:val="pt-BR"/>
        </w:rPr>
        <w:t>doravante denominad</w:t>
      </w:r>
      <w:r w:rsidRPr="00D5464D">
        <w:rPr>
          <w:rFonts w:eastAsia="Calibri" w:cs="Times New Roman"/>
          <w:szCs w:val="20"/>
          <w:lang w:val="pt-BR"/>
        </w:rPr>
        <w:t>o</w:t>
      </w:r>
      <w:r w:rsidR="003F32D2" w:rsidRPr="00D5464D">
        <w:rPr>
          <w:rFonts w:eastAsia="Calibri" w:cs="Times New Roman"/>
          <w:szCs w:val="20"/>
          <w:lang w:val="pt-BR"/>
        </w:rPr>
        <w:t xml:space="preserve"> “Protocolo de Palermo”), </w:t>
      </w:r>
      <w:r w:rsidR="00470ADC" w:rsidRPr="00D5464D">
        <w:rPr>
          <w:rFonts w:eastAsia="Calibri" w:cs="Times New Roman"/>
          <w:szCs w:val="20"/>
          <w:lang w:val="pt-BR"/>
        </w:rPr>
        <w:t xml:space="preserve">do ano </w:t>
      </w:r>
      <w:r w:rsidR="003F32D2" w:rsidRPr="00D5464D">
        <w:rPr>
          <w:rFonts w:eastAsia="Calibri" w:cs="Times New Roman"/>
          <w:szCs w:val="20"/>
          <w:lang w:val="pt-BR"/>
        </w:rPr>
        <w:t xml:space="preserve">2000, </w:t>
      </w:r>
      <w:r w:rsidR="00470ADC" w:rsidRPr="00D5464D">
        <w:rPr>
          <w:rFonts w:eastAsia="Calibri" w:cs="Times New Roman"/>
          <w:szCs w:val="20"/>
          <w:lang w:val="pt-BR"/>
        </w:rPr>
        <w:t>estabelece</w:t>
      </w:r>
      <w:r w:rsidR="003F32D2" w:rsidRPr="00D5464D">
        <w:rPr>
          <w:rFonts w:eastAsia="Calibri" w:cs="Times New Roman"/>
          <w:szCs w:val="20"/>
          <w:lang w:val="pt-BR"/>
        </w:rPr>
        <w:t xml:space="preserve"> de </w:t>
      </w:r>
      <w:r w:rsidR="002C330E" w:rsidRPr="00D5464D">
        <w:rPr>
          <w:rFonts w:eastAsia="Calibri" w:cs="Times New Roman"/>
          <w:szCs w:val="20"/>
          <w:lang w:val="pt-BR"/>
        </w:rPr>
        <w:t>maneira</w:t>
      </w:r>
      <w:r w:rsidR="003F32D2" w:rsidRPr="00D5464D">
        <w:rPr>
          <w:rFonts w:eastAsia="Calibri" w:cs="Times New Roman"/>
          <w:szCs w:val="20"/>
          <w:lang w:val="pt-BR"/>
        </w:rPr>
        <w:t xml:space="preserve"> clara</w:t>
      </w:r>
      <w:r w:rsidR="002C330E" w:rsidRPr="00D5464D">
        <w:rPr>
          <w:rFonts w:eastAsia="Calibri" w:cs="Times New Roman"/>
          <w:szCs w:val="20"/>
          <w:lang w:val="pt-BR"/>
        </w:rPr>
        <w:t xml:space="preserve"> a proibição</w:t>
      </w:r>
      <w:r w:rsidR="00470ADC" w:rsidRPr="00D5464D">
        <w:rPr>
          <w:rFonts w:eastAsia="Calibri" w:cs="Times New Roman"/>
          <w:szCs w:val="20"/>
          <w:lang w:val="pt-BR"/>
        </w:rPr>
        <w:t xml:space="preserve"> d</w:t>
      </w:r>
      <w:r w:rsidR="004F1CC2" w:rsidRPr="00D5464D">
        <w:rPr>
          <w:rFonts w:eastAsia="Calibri" w:cs="Times New Roman"/>
          <w:szCs w:val="20"/>
          <w:lang w:val="pt-BR"/>
        </w:rPr>
        <w:t>o tráfico de pessoas</w:t>
      </w:r>
      <w:r w:rsidR="00470ADC" w:rsidRPr="00D5464D">
        <w:rPr>
          <w:rFonts w:eastAsia="Calibri" w:cs="Times New Roman"/>
          <w:szCs w:val="20"/>
          <w:lang w:val="pt-BR"/>
        </w:rPr>
        <w:t xml:space="preserve"> em</w:t>
      </w:r>
      <w:r w:rsidR="002C330E" w:rsidRPr="00D5464D">
        <w:rPr>
          <w:rFonts w:eastAsia="Calibri" w:cs="Times New Roman"/>
          <w:szCs w:val="20"/>
          <w:lang w:val="pt-BR"/>
        </w:rPr>
        <w:t xml:space="preserve"> seu artigo </w:t>
      </w:r>
      <w:r w:rsidR="003F32D2" w:rsidRPr="00D5464D">
        <w:rPr>
          <w:rFonts w:eastAsia="Calibri" w:cs="Times New Roman"/>
          <w:szCs w:val="20"/>
          <w:lang w:val="pt-BR"/>
        </w:rPr>
        <w:t>4</w:t>
      </w:r>
      <w:r w:rsidRPr="00D5464D">
        <w:rPr>
          <w:rFonts w:eastAsia="Calibri" w:cs="Times New Roman"/>
          <w:szCs w:val="20"/>
          <w:lang w:val="pt-BR"/>
        </w:rPr>
        <w:t>.</w:t>
      </w:r>
      <w:r w:rsidR="003F32D2" w:rsidRPr="00D5464D">
        <w:rPr>
          <w:rFonts w:eastAsia="Calibri" w:cs="Times New Roman"/>
          <w:szCs w:val="20"/>
          <w:vertAlign w:val="superscript"/>
          <w:lang w:val="pt-BR"/>
        </w:rPr>
        <w:footnoteReference w:id="426"/>
      </w:r>
      <w:r w:rsidR="003F32D2" w:rsidRPr="00D5464D">
        <w:rPr>
          <w:rFonts w:eastAsia="Calibri" w:cs="Times New Roman"/>
          <w:szCs w:val="20"/>
          <w:lang w:val="pt-BR"/>
        </w:rPr>
        <w:t xml:space="preserve"> </w:t>
      </w:r>
      <w:r w:rsidR="00350187" w:rsidRPr="00D5464D">
        <w:rPr>
          <w:rFonts w:eastAsia="Calibri" w:cs="Times New Roman"/>
          <w:szCs w:val="20"/>
          <w:lang w:val="pt-BR"/>
        </w:rPr>
        <w:t xml:space="preserve">Além disso, </w:t>
      </w:r>
      <w:r w:rsidR="00470ADC" w:rsidRPr="00D5464D">
        <w:rPr>
          <w:rFonts w:eastAsia="Calibri" w:cs="Times New Roman"/>
          <w:szCs w:val="20"/>
          <w:lang w:val="pt-BR"/>
        </w:rPr>
        <w:t>em</w:t>
      </w:r>
      <w:r w:rsidR="002C330E" w:rsidRPr="00D5464D">
        <w:rPr>
          <w:rFonts w:eastAsia="Calibri" w:cs="Times New Roman"/>
          <w:szCs w:val="20"/>
          <w:lang w:val="pt-BR"/>
        </w:rPr>
        <w:t xml:space="preserve"> seu artigo </w:t>
      </w:r>
      <w:r w:rsidR="00CE5161" w:rsidRPr="00D5464D">
        <w:rPr>
          <w:rFonts w:eastAsia="Calibri" w:cs="Times New Roman"/>
          <w:szCs w:val="20"/>
          <w:lang w:val="pt-BR"/>
        </w:rPr>
        <w:t>3</w:t>
      </w:r>
      <w:r w:rsidRPr="00D5464D">
        <w:rPr>
          <w:rFonts w:eastAsia="Calibri" w:cs="Times New Roman"/>
          <w:szCs w:val="20"/>
          <w:lang w:val="pt-BR"/>
        </w:rPr>
        <w:t xml:space="preserve">º, </w:t>
      </w:r>
      <w:r w:rsidR="00470ADC" w:rsidRPr="00D5464D">
        <w:rPr>
          <w:rFonts w:eastAsia="Calibri" w:cs="Times New Roman"/>
          <w:szCs w:val="20"/>
          <w:lang w:val="pt-BR"/>
        </w:rPr>
        <w:t>este</w:t>
      </w:r>
      <w:r w:rsidR="00CE5161" w:rsidRPr="00D5464D">
        <w:rPr>
          <w:rFonts w:eastAsia="Calibri" w:cs="Times New Roman"/>
          <w:szCs w:val="20"/>
          <w:lang w:val="pt-BR"/>
        </w:rPr>
        <w:t xml:space="preserve"> Protocolo define</w:t>
      </w:r>
      <w:r w:rsidR="002C330E" w:rsidRPr="00D5464D">
        <w:rPr>
          <w:rFonts w:eastAsia="Calibri" w:cs="Times New Roman"/>
          <w:szCs w:val="20"/>
          <w:lang w:val="pt-BR"/>
        </w:rPr>
        <w:t xml:space="preserve"> </w:t>
      </w:r>
      <w:r w:rsidRPr="00D5464D">
        <w:rPr>
          <w:rFonts w:eastAsia="Calibri" w:cs="Times New Roman"/>
          <w:szCs w:val="20"/>
          <w:lang w:val="pt-BR"/>
        </w:rPr>
        <w:t xml:space="preserve">o tráfico </w:t>
      </w:r>
      <w:r w:rsidR="00CE5161" w:rsidRPr="00D5464D">
        <w:rPr>
          <w:rFonts w:eastAsia="Calibri" w:cs="Times New Roman"/>
          <w:szCs w:val="20"/>
          <w:lang w:val="pt-BR"/>
        </w:rPr>
        <w:t>de seres humanos</w:t>
      </w:r>
      <w:r w:rsidRPr="00D5464D">
        <w:rPr>
          <w:rFonts w:eastAsia="Calibri" w:cs="Times New Roman"/>
          <w:szCs w:val="20"/>
          <w:lang w:val="pt-BR"/>
        </w:rPr>
        <w:t>,</w:t>
      </w:r>
      <w:r w:rsidR="00CE5161" w:rsidRPr="00D5464D">
        <w:rPr>
          <w:rFonts w:eastAsia="Calibri" w:cs="Times New Roman"/>
          <w:szCs w:val="20"/>
          <w:lang w:val="pt-BR"/>
        </w:rPr>
        <w:t xml:space="preserve"> o</w:t>
      </w:r>
      <w:r w:rsidRPr="00D5464D">
        <w:rPr>
          <w:rFonts w:eastAsia="Calibri" w:cs="Times New Roman"/>
          <w:szCs w:val="20"/>
          <w:lang w:val="pt-BR"/>
        </w:rPr>
        <w:t>u</w:t>
      </w:r>
      <w:r w:rsidR="00CE5161" w:rsidRPr="00D5464D">
        <w:rPr>
          <w:rFonts w:eastAsia="Calibri" w:cs="Times New Roman"/>
          <w:szCs w:val="20"/>
          <w:lang w:val="pt-BR"/>
        </w:rPr>
        <w:t xml:space="preserve"> tráfico de </w:t>
      </w:r>
      <w:r w:rsidR="002C330E" w:rsidRPr="00D5464D">
        <w:rPr>
          <w:rFonts w:eastAsia="Calibri" w:cs="Times New Roman"/>
          <w:szCs w:val="20"/>
          <w:lang w:val="pt-BR"/>
        </w:rPr>
        <w:t>pessoa</w:t>
      </w:r>
      <w:r w:rsidR="00CE5161" w:rsidRPr="00D5464D">
        <w:rPr>
          <w:rFonts w:eastAsia="Calibri" w:cs="Times New Roman"/>
          <w:szCs w:val="20"/>
          <w:lang w:val="pt-BR"/>
        </w:rPr>
        <w:t>s</w:t>
      </w:r>
      <w:r w:rsidRPr="00D5464D">
        <w:rPr>
          <w:rFonts w:eastAsia="Calibri" w:cs="Times New Roman"/>
          <w:szCs w:val="20"/>
          <w:lang w:val="pt-BR"/>
        </w:rPr>
        <w:t>,</w:t>
      </w:r>
      <w:r w:rsidR="00E045D9" w:rsidRPr="00D5464D">
        <w:rPr>
          <w:rFonts w:eastAsia="Calibri" w:cs="Times New Roman"/>
          <w:szCs w:val="20"/>
          <w:lang w:val="pt-BR"/>
        </w:rPr>
        <w:t xml:space="preserve"> nos </w:t>
      </w:r>
      <w:r w:rsidR="002C330E" w:rsidRPr="00D5464D">
        <w:rPr>
          <w:rFonts w:eastAsia="Calibri" w:cs="Times New Roman"/>
          <w:szCs w:val="20"/>
          <w:lang w:val="pt-BR"/>
        </w:rPr>
        <w:t>seguinte</w:t>
      </w:r>
      <w:r w:rsidR="00CE5161" w:rsidRPr="00D5464D">
        <w:rPr>
          <w:rFonts w:eastAsia="Calibri" w:cs="Times New Roman"/>
          <w:szCs w:val="20"/>
          <w:lang w:val="pt-BR"/>
        </w:rPr>
        <w:t xml:space="preserve">s </w:t>
      </w:r>
      <w:r w:rsidR="00E045D9" w:rsidRPr="00D5464D">
        <w:rPr>
          <w:rFonts w:eastAsia="Calibri" w:cs="Times New Roman"/>
          <w:szCs w:val="20"/>
          <w:lang w:val="pt-BR"/>
        </w:rPr>
        <w:t>termo</w:t>
      </w:r>
      <w:r w:rsidR="00CE5161" w:rsidRPr="00D5464D">
        <w:rPr>
          <w:rFonts w:eastAsia="Calibri" w:cs="Times New Roman"/>
          <w:szCs w:val="20"/>
          <w:lang w:val="pt-BR"/>
        </w:rPr>
        <w:t>s:</w:t>
      </w:r>
    </w:p>
    <w:p w14:paraId="2DDF35F4" w14:textId="77777777" w:rsidR="00CE5161" w:rsidRPr="00D5464D" w:rsidRDefault="00CE5161" w:rsidP="00CE5161">
      <w:pPr>
        <w:tabs>
          <w:tab w:val="clear" w:pos="4419"/>
          <w:tab w:val="clear" w:pos="8838"/>
        </w:tabs>
        <w:jc w:val="both"/>
        <w:rPr>
          <w:rFonts w:eastAsia="Calibri" w:cs="Times New Roman"/>
          <w:szCs w:val="20"/>
          <w:lang w:val="pt-BR"/>
        </w:rPr>
      </w:pPr>
    </w:p>
    <w:p w14:paraId="3C66D58A" w14:textId="77777777" w:rsidR="00815436" w:rsidRPr="00D5464D" w:rsidRDefault="00815436" w:rsidP="00815436">
      <w:pPr>
        <w:tabs>
          <w:tab w:val="clear" w:pos="4419"/>
          <w:tab w:val="clear" w:pos="8838"/>
        </w:tabs>
        <w:ind w:left="851" w:right="1182"/>
        <w:jc w:val="both"/>
        <w:rPr>
          <w:rFonts w:eastAsia="Calibri" w:cs="Times New Roman"/>
          <w:sz w:val="16"/>
          <w:szCs w:val="16"/>
          <w:lang w:val="pt-BR"/>
        </w:rPr>
      </w:pPr>
      <w:r w:rsidRPr="00D5464D">
        <w:rPr>
          <w:rFonts w:eastAsia="Calibri" w:cs="Times New Roman"/>
          <w:sz w:val="16"/>
          <w:szCs w:val="16"/>
          <w:lang w:val="pt-BR"/>
        </w:rPr>
        <w:t>a) A expressão "tráfico de pessoas" significa o recrutamento, o transporte, a transferência, o alojamento ou o acolhimento de pessoas, recorrendo à ameaça ou uso da força ou a outras formas de coação, ao rapto, à fraude, ao engano, ao abuso de autoridade ou à situação de vulnerabilidade ou à entrega ou aceitação de pagamentos ou benefícios para obter o consentimento de uma pessoa que tenha autoridade sobre outra para fins de exploração. A exploração incluirá, no mínimo, a exploração da prostituição de outrem ou outras formas de exploração sexual, o trabalho ou serviços forçados, escravatura ou práticas similares à escravatura, a servidão ou a remoção de órgãos;</w:t>
      </w:r>
    </w:p>
    <w:p w14:paraId="501ADA36" w14:textId="77777777" w:rsidR="00815436" w:rsidRPr="00D5464D" w:rsidRDefault="00815436" w:rsidP="00815436">
      <w:pPr>
        <w:tabs>
          <w:tab w:val="clear" w:pos="4419"/>
          <w:tab w:val="clear" w:pos="8838"/>
        </w:tabs>
        <w:ind w:left="851" w:right="1182"/>
        <w:jc w:val="both"/>
        <w:rPr>
          <w:rFonts w:eastAsia="Calibri" w:cs="Times New Roman"/>
          <w:sz w:val="16"/>
          <w:szCs w:val="16"/>
          <w:lang w:val="pt-BR"/>
        </w:rPr>
      </w:pPr>
      <w:r w:rsidRPr="00D5464D">
        <w:rPr>
          <w:rFonts w:eastAsia="Calibri" w:cs="Times New Roman"/>
          <w:sz w:val="16"/>
          <w:szCs w:val="16"/>
          <w:lang w:val="pt-BR"/>
        </w:rPr>
        <w:t>b) O consentimento dado pela vítima de tráfico de pessoas tendo em vista qualquer tipo de exploração descrito na alínea a) do presente Artigo será considerado irrelevante se tiver sido utilizado qualquer um dos meios referidos na alínea a);</w:t>
      </w:r>
    </w:p>
    <w:p w14:paraId="6683DC98" w14:textId="0869A407" w:rsidR="00CE5161" w:rsidRPr="00D5464D" w:rsidRDefault="00815436" w:rsidP="00CE5161">
      <w:pPr>
        <w:tabs>
          <w:tab w:val="clear" w:pos="4419"/>
          <w:tab w:val="clear" w:pos="8838"/>
        </w:tabs>
        <w:ind w:left="851" w:right="1182"/>
        <w:jc w:val="both"/>
        <w:rPr>
          <w:rFonts w:eastAsia="Calibri" w:cs="Times New Roman"/>
          <w:sz w:val="16"/>
          <w:szCs w:val="16"/>
          <w:lang w:val="pt-BR"/>
        </w:rPr>
      </w:pPr>
      <w:r w:rsidRPr="00D5464D">
        <w:rPr>
          <w:rFonts w:eastAsia="Calibri" w:cs="Times New Roman"/>
          <w:sz w:val="16"/>
          <w:szCs w:val="16"/>
          <w:lang w:val="pt-BR"/>
        </w:rPr>
        <w:t>c) O recrutamento, o transporte, a transferência, o alojamento ou o acolhimento de uma criança para fins de exploração serão considerados "tráfico de pessoas" mesmo que não envolvam nenhum dos meios referidos da alínea a) do presente Artigo</w:t>
      </w:r>
      <w:r w:rsidR="00CE5161" w:rsidRPr="00D5464D">
        <w:rPr>
          <w:rFonts w:eastAsia="Calibri" w:cs="Times New Roman"/>
          <w:sz w:val="16"/>
          <w:szCs w:val="16"/>
          <w:lang w:val="pt-BR"/>
        </w:rPr>
        <w:t xml:space="preserve"> […]</w:t>
      </w:r>
    </w:p>
    <w:p w14:paraId="6BB29E5D" w14:textId="77777777" w:rsidR="00CE5161" w:rsidRPr="00D5464D" w:rsidRDefault="00CE5161" w:rsidP="00ED3AD0">
      <w:pPr>
        <w:pStyle w:val="Prrafodelista"/>
        <w:rPr>
          <w:rFonts w:eastAsia="Calibri" w:cs="Times New Roman"/>
          <w:szCs w:val="20"/>
          <w:lang w:val="pt-BR"/>
        </w:rPr>
      </w:pPr>
    </w:p>
    <w:p w14:paraId="3E724C3F" w14:textId="5CC0ECBA" w:rsidR="003F32D2" w:rsidRPr="00D5464D" w:rsidRDefault="003F32D2" w:rsidP="003F32D2">
      <w:pPr>
        <w:numPr>
          <w:ilvl w:val="0"/>
          <w:numId w:val="1"/>
        </w:numPr>
        <w:tabs>
          <w:tab w:val="clear" w:pos="4419"/>
          <w:tab w:val="clear" w:pos="8838"/>
        </w:tabs>
        <w:jc w:val="both"/>
        <w:rPr>
          <w:rFonts w:eastAsia="Calibri" w:cs="Times New Roman"/>
          <w:szCs w:val="20"/>
          <w:lang w:val="pt-BR"/>
        </w:rPr>
      </w:pPr>
      <w:r w:rsidRPr="00D5464D">
        <w:rPr>
          <w:rFonts w:eastAsia="Calibri" w:cs="Times New Roman"/>
          <w:szCs w:val="20"/>
          <w:lang w:val="pt-BR"/>
        </w:rPr>
        <w:t>De forma similar,</w:t>
      </w:r>
      <w:r w:rsidR="0017180F" w:rsidRPr="00D5464D">
        <w:rPr>
          <w:rFonts w:eastAsia="Calibri" w:cs="Times New Roman"/>
          <w:szCs w:val="20"/>
          <w:lang w:val="pt-BR"/>
        </w:rPr>
        <w:t xml:space="preserve"> a</w:t>
      </w:r>
      <w:r w:rsidR="00815436" w:rsidRPr="00D5464D">
        <w:rPr>
          <w:rFonts w:eastAsia="Calibri" w:cs="Times New Roman"/>
          <w:szCs w:val="20"/>
          <w:lang w:val="pt-BR"/>
        </w:rPr>
        <w:t xml:space="preserve"> </w:t>
      </w:r>
      <w:r w:rsidR="0017180F" w:rsidRPr="00D5464D">
        <w:rPr>
          <w:rFonts w:eastAsia="Calibri" w:cs="Times New Roman"/>
          <w:szCs w:val="20"/>
          <w:lang w:val="pt-BR"/>
        </w:rPr>
        <w:t xml:space="preserve">Convenção </w:t>
      </w:r>
      <w:r w:rsidR="00470ADC" w:rsidRPr="00D5464D">
        <w:rPr>
          <w:rFonts w:eastAsia="Calibri" w:cs="Times New Roman"/>
          <w:szCs w:val="20"/>
          <w:lang w:val="pt-BR"/>
        </w:rPr>
        <w:t xml:space="preserve">do </w:t>
      </w:r>
      <w:r w:rsidR="00EB1CE9" w:rsidRPr="00D5464D">
        <w:rPr>
          <w:rFonts w:eastAsia="Calibri" w:cs="Times New Roman"/>
          <w:szCs w:val="20"/>
          <w:lang w:val="pt-BR"/>
        </w:rPr>
        <w:t>Conselho da Europa</w:t>
      </w:r>
      <w:r w:rsidR="00230C71" w:rsidRPr="00D5464D">
        <w:rPr>
          <w:rFonts w:eastAsia="Calibri" w:cs="Times New Roman"/>
          <w:szCs w:val="20"/>
          <w:lang w:val="pt-BR"/>
        </w:rPr>
        <w:t xml:space="preserve"> </w:t>
      </w:r>
      <w:r w:rsidR="0017180F" w:rsidRPr="00D5464D">
        <w:rPr>
          <w:rFonts w:eastAsia="Calibri" w:cs="Times New Roman"/>
          <w:szCs w:val="20"/>
          <w:lang w:val="pt-BR"/>
        </w:rPr>
        <w:t>relativa à L</w:t>
      </w:r>
      <w:r w:rsidR="002C330E" w:rsidRPr="00D5464D">
        <w:rPr>
          <w:rFonts w:eastAsia="Calibri" w:cs="Times New Roman"/>
          <w:szCs w:val="20"/>
          <w:lang w:val="pt-BR"/>
        </w:rPr>
        <w:t>uta</w:t>
      </w:r>
      <w:r w:rsidRPr="00D5464D">
        <w:rPr>
          <w:rFonts w:eastAsia="Calibri" w:cs="Times New Roman"/>
          <w:szCs w:val="20"/>
          <w:lang w:val="pt-BR"/>
        </w:rPr>
        <w:t xml:space="preserve"> </w:t>
      </w:r>
      <w:r w:rsidR="0017180F" w:rsidRPr="00D5464D">
        <w:rPr>
          <w:rFonts w:eastAsia="Calibri" w:cs="Times New Roman"/>
          <w:szCs w:val="20"/>
          <w:lang w:val="pt-BR"/>
        </w:rPr>
        <w:t>C</w:t>
      </w:r>
      <w:r w:rsidRPr="00D5464D">
        <w:rPr>
          <w:rFonts w:eastAsia="Calibri" w:cs="Times New Roman"/>
          <w:szCs w:val="20"/>
          <w:lang w:val="pt-BR"/>
        </w:rPr>
        <w:t>ontra</w:t>
      </w:r>
      <w:r w:rsidR="002C330E" w:rsidRPr="00D5464D">
        <w:rPr>
          <w:rFonts w:eastAsia="Calibri" w:cs="Times New Roman"/>
          <w:szCs w:val="20"/>
          <w:lang w:val="pt-BR"/>
        </w:rPr>
        <w:t xml:space="preserve"> </w:t>
      </w:r>
      <w:r w:rsidR="0017180F" w:rsidRPr="00D5464D">
        <w:rPr>
          <w:rFonts w:eastAsia="Calibri" w:cs="Times New Roman"/>
          <w:szCs w:val="20"/>
          <w:lang w:val="pt-BR"/>
        </w:rPr>
        <w:t xml:space="preserve">o Tráfico </w:t>
      </w:r>
      <w:r w:rsidRPr="00D5464D">
        <w:rPr>
          <w:rFonts w:eastAsia="Calibri" w:cs="Times New Roman"/>
          <w:szCs w:val="20"/>
          <w:lang w:val="pt-BR"/>
        </w:rPr>
        <w:t xml:space="preserve">de </w:t>
      </w:r>
      <w:r w:rsidR="0017180F" w:rsidRPr="00D5464D">
        <w:rPr>
          <w:rFonts w:eastAsia="Calibri" w:cs="Times New Roman"/>
          <w:szCs w:val="20"/>
          <w:lang w:val="pt-BR"/>
        </w:rPr>
        <w:t>S</w:t>
      </w:r>
      <w:r w:rsidRPr="00D5464D">
        <w:rPr>
          <w:rFonts w:eastAsia="Calibri" w:cs="Times New Roman"/>
          <w:szCs w:val="20"/>
          <w:lang w:val="pt-BR"/>
        </w:rPr>
        <w:t xml:space="preserve">eres </w:t>
      </w:r>
      <w:r w:rsidR="0017180F" w:rsidRPr="00D5464D">
        <w:rPr>
          <w:rFonts w:eastAsia="Calibri" w:cs="Times New Roman"/>
          <w:szCs w:val="20"/>
          <w:lang w:val="pt-BR"/>
        </w:rPr>
        <w:t>H</w:t>
      </w:r>
      <w:r w:rsidRPr="00D5464D">
        <w:rPr>
          <w:rFonts w:eastAsia="Calibri" w:cs="Times New Roman"/>
          <w:szCs w:val="20"/>
          <w:lang w:val="pt-BR"/>
        </w:rPr>
        <w:t>umanos, de 2005,</w:t>
      </w:r>
      <w:r w:rsidR="00CE5161" w:rsidRPr="00D5464D">
        <w:rPr>
          <w:rFonts w:eastAsia="Calibri" w:cs="Times New Roman"/>
          <w:szCs w:val="20"/>
          <w:lang w:val="pt-BR"/>
        </w:rPr>
        <w:t xml:space="preserve"> </w:t>
      </w:r>
      <w:r w:rsidR="00470ADC" w:rsidRPr="00D5464D">
        <w:rPr>
          <w:rFonts w:eastAsia="Calibri" w:cs="Times New Roman"/>
          <w:szCs w:val="20"/>
          <w:lang w:val="pt-BR"/>
        </w:rPr>
        <w:t>estabelece</w:t>
      </w:r>
      <w:r w:rsidR="002C330E" w:rsidRPr="00D5464D">
        <w:rPr>
          <w:rFonts w:eastAsia="Calibri" w:cs="Times New Roman"/>
          <w:szCs w:val="20"/>
          <w:lang w:val="pt-BR"/>
        </w:rPr>
        <w:t xml:space="preserve"> a proibição</w:t>
      </w:r>
      <w:r w:rsidR="00470ADC" w:rsidRPr="00D5464D">
        <w:rPr>
          <w:rFonts w:eastAsia="Calibri" w:cs="Times New Roman"/>
          <w:szCs w:val="20"/>
          <w:lang w:val="pt-BR"/>
        </w:rPr>
        <w:t xml:space="preserve"> d</w:t>
      </w:r>
      <w:r w:rsidR="0017180F" w:rsidRPr="00D5464D">
        <w:rPr>
          <w:rFonts w:eastAsia="Calibri" w:cs="Times New Roman"/>
          <w:szCs w:val="20"/>
          <w:lang w:val="pt-BR"/>
        </w:rPr>
        <w:t xml:space="preserve">o tráfico </w:t>
      </w:r>
      <w:r w:rsidRPr="00D5464D">
        <w:rPr>
          <w:rFonts w:eastAsia="Calibri" w:cs="Times New Roman"/>
          <w:szCs w:val="20"/>
          <w:lang w:val="pt-BR"/>
        </w:rPr>
        <w:t>de seres humanos</w:t>
      </w:r>
      <w:r w:rsidR="00E045D9" w:rsidRPr="00D5464D">
        <w:rPr>
          <w:rFonts w:eastAsia="Calibri" w:cs="Times New Roman"/>
          <w:szCs w:val="20"/>
          <w:lang w:val="pt-BR"/>
        </w:rPr>
        <w:t xml:space="preserve"> e </w:t>
      </w:r>
      <w:r w:rsidRPr="00D5464D">
        <w:rPr>
          <w:rFonts w:eastAsia="Calibri" w:cs="Times New Roman"/>
          <w:szCs w:val="20"/>
          <w:lang w:val="pt-BR"/>
        </w:rPr>
        <w:t>determina</w:t>
      </w:r>
      <w:r w:rsidR="002C330E" w:rsidRPr="00D5464D">
        <w:rPr>
          <w:rFonts w:eastAsia="Calibri" w:cs="Times New Roman"/>
          <w:szCs w:val="20"/>
          <w:lang w:val="pt-BR"/>
        </w:rPr>
        <w:t xml:space="preserve"> as obrigações</w:t>
      </w:r>
      <w:r w:rsidRPr="00D5464D">
        <w:rPr>
          <w:rFonts w:eastAsia="Calibri" w:cs="Times New Roman"/>
          <w:szCs w:val="20"/>
          <w:lang w:val="pt-BR"/>
        </w:rPr>
        <w:t xml:space="preserve"> esta</w:t>
      </w:r>
      <w:r w:rsidR="00E045D9" w:rsidRPr="00D5464D">
        <w:rPr>
          <w:rFonts w:eastAsia="Calibri" w:cs="Times New Roman"/>
          <w:szCs w:val="20"/>
          <w:lang w:val="pt-BR"/>
        </w:rPr>
        <w:t>tais</w:t>
      </w:r>
      <w:r w:rsidR="00470ADC" w:rsidRPr="00D5464D">
        <w:rPr>
          <w:rFonts w:eastAsia="Calibri" w:cs="Times New Roman"/>
          <w:szCs w:val="20"/>
          <w:lang w:val="pt-BR"/>
        </w:rPr>
        <w:t xml:space="preserve"> </w:t>
      </w:r>
      <w:r w:rsidR="00C91CB1" w:rsidRPr="00D5464D">
        <w:rPr>
          <w:rFonts w:eastAsia="Calibri" w:cs="Times New Roman"/>
          <w:szCs w:val="20"/>
          <w:lang w:val="pt-BR"/>
        </w:rPr>
        <w:t xml:space="preserve">a </w:t>
      </w:r>
      <w:r w:rsidR="0017180F" w:rsidRPr="00D5464D">
        <w:rPr>
          <w:rFonts w:eastAsia="Calibri" w:cs="Times New Roman"/>
          <w:szCs w:val="20"/>
          <w:lang w:val="pt-BR"/>
        </w:rPr>
        <w:t xml:space="preserve">este </w:t>
      </w:r>
      <w:r w:rsidR="00C91CB1" w:rsidRPr="00D5464D">
        <w:rPr>
          <w:rFonts w:eastAsia="Calibri" w:cs="Times New Roman"/>
          <w:szCs w:val="20"/>
          <w:lang w:val="pt-BR"/>
        </w:rPr>
        <w:t>respeito</w:t>
      </w:r>
      <w:r w:rsidR="00470ADC" w:rsidRPr="00D5464D">
        <w:rPr>
          <w:rFonts w:eastAsia="Calibri" w:cs="Times New Roman"/>
          <w:szCs w:val="20"/>
          <w:lang w:val="pt-BR"/>
        </w:rPr>
        <w:t xml:space="preserve"> em </w:t>
      </w:r>
      <w:r w:rsidR="00E045D9" w:rsidRPr="00D5464D">
        <w:rPr>
          <w:rFonts w:eastAsia="Calibri" w:cs="Times New Roman"/>
          <w:szCs w:val="20"/>
          <w:lang w:val="pt-BR"/>
        </w:rPr>
        <w:t>termo</w:t>
      </w:r>
      <w:r w:rsidR="00CE5161" w:rsidRPr="00D5464D">
        <w:rPr>
          <w:rFonts w:eastAsia="Calibri" w:cs="Times New Roman"/>
          <w:szCs w:val="20"/>
          <w:lang w:val="pt-BR"/>
        </w:rPr>
        <w:t>s similares</w:t>
      </w:r>
      <w:r w:rsidR="00470ADC" w:rsidRPr="00D5464D">
        <w:rPr>
          <w:rFonts w:eastAsia="Calibri" w:cs="Times New Roman"/>
          <w:szCs w:val="20"/>
          <w:lang w:val="pt-BR"/>
        </w:rPr>
        <w:t xml:space="preserve"> ao </w:t>
      </w:r>
      <w:r w:rsidR="00CE5161" w:rsidRPr="00D5464D">
        <w:rPr>
          <w:rFonts w:eastAsia="Calibri" w:cs="Times New Roman"/>
          <w:szCs w:val="20"/>
          <w:lang w:val="pt-BR"/>
        </w:rPr>
        <w:t>Protocolo de Palermo</w:t>
      </w:r>
      <w:r w:rsidR="0017180F" w:rsidRPr="00D5464D">
        <w:rPr>
          <w:rFonts w:eastAsia="Calibri" w:cs="Times New Roman"/>
          <w:szCs w:val="20"/>
          <w:lang w:val="pt-BR"/>
        </w:rPr>
        <w:t>.</w:t>
      </w:r>
      <w:r w:rsidRPr="00D5464D">
        <w:rPr>
          <w:rFonts w:eastAsia="Calibri" w:cs="Times New Roman"/>
          <w:szCs w:val="20"/>
          <w:vertAlign w:val="superscript"/>
          <w:lang w:val="pt-BR"/>
        </w:rPr>
        <w:footnoteReference w:id="427"/>
      </w:r>
    </w:p>
    <w:p w14:paraId="41E3ED78" w14:textId="77777777" w:rsidR="003F32D2" w:rsidRPr="00D5464D" w:rsidRDefault="003F32D2" w:rsidP="003F32D2">
      <w:pPr>
        <w:tabs>
          <w:tab w:val="clear" w:pos="4419"/>
          <w:tab w:val="clear" w:pos="8838"/>
        </w:tabs>
        <w:ind w:left="720"/>
        <w:contextualSpacing/>
        <w:jc w:val="both"/>
        <w:rPr>
          <w:rFonts w:eastAsia="Calibri" w:cs="Times New Roman"/>
          <w:szCs w:val="20"/>
          <w:lang w:val="pt-BR"/>
        </w:rPr>
      </w:pPr>
    </w:p>
    <w:p w14:paraId="6019F39A" w14:textId="1CCDB630" w:rsidR="003F32D2" w:rsidRPr="00D5464D" w:rsidRDefault="00470ADC" w:rsidP="003F32D2">
      <w:pPr>
        <w:numPr>
          <w:ilvl w:val="0"/>
          <w:numId w:val="1"/>
        </w:numPr>
        <w:tabs>
          <w:tab w:val="clear" w:pos="4419"/>
          <w:tab w:val="clear" w:pos="8838"/>
        </w:tabs>
        <w:jc w:val="both"/>
        <w:rPr>
          <w:rFonts w:eastAsia="Calibri" w:cs="Times New Roman"/>
          <w:szCs w:val="20"/>
          <w:lang w:val="pt-BR"/>
        </w:rPr>
      </w:pPr>
      <w:r w:rsidRPr="00D5464D">
        <w:rPr>
          <w:rFonts w:eastAsia="Calibri" w:cs="Times New Roman"/>
          <w:szCs w:val="20"/>
          <w:lang w:val="pt-BR"/>
        </w:rPr>
        <w:t>Ademais</w:t>
      </w:r>
      <w:r w:rsidR="00CE5161" w:rsidRPr="00D5464D">
        <w:rPr>
          <w:rFonts w:eastAsia="Calibri" w:cs="Times New Roman"/>
          <w:szCs w:val="20"/>
          <w:lang w:val="pt-BR"/>
        </w:rPr>
        <w:t>,</w:t>
      </w:r>
      <w:r w:rsidR="002C330E" w:rsidRPr="00D5464D">
        <w:rPr>
          <w:rFonts w:eastAsia="Calibri" w:cs="Times New Roman"/>
          <w:szCs w:val="20"/>
          <w:lang w:val="pt-BR"/>
        </w:rPr>
        <w:t xml:space="preserve"> </w:t>
      </w:r>
      <w:r w:rsidR="004F1CC2" w:rsidRPr="00D5464D">
        <w:rPr>
          <w:rFonts w:eastAsia="Calibri" w:cs="Times New Roman"/>
          <w:szCs w:val="20"/>
          <w:lang w:val="pt-BR"/>
        </w:rPr>
        <w:t>o tráfico de pessoas</w:t>
      </w:r>
      <w:r w:rsidR="003F32D2" w:rsidRPr="00D5464D">
        <w:rPr>
          <w:rFonts w:eastAsia="Calibri" w:cs="Times New Roman"/>
          <w:szCs w:val="20"/>
          <w:lang w:val="pt-BR"/>
        </w:rPr>
        <w:t xml:space="preserve"> </w:t>
      </w:r>
      <w:r w:rsidR="00E045D9" w:rsidRPr="00D5464D">
        <w:rPr>
          <w:rFonts w:eastAsia="Calibri" w:cs="Times New Roman"/>
          <w:szCs w:val="20"/>
          <w:lang w:val="pt-BR"/>
        </w:rPr>
        <w:t>também</w:t>
      </w:r>
      <w:r w:rsidRPr="00D5464D">
        <w:rPr>
          <w:rFonts w:eastAsia="Calibri" w:cs="Times New Roman"/>
          <w:szCs w:val="20"/>
          <w:lang w:val="pt-BR"/>
        </w:rPr>
        <w:t xml:space="preserve"> foi </w:t>
      </w:r>
      <w:r w:rsidR="0017180F" w:rsidRPr="00D5464D">
        <w:rPr>
          <w:rFonts w:eastAsia="Calibri" w:cs="Times New Roman"/>
          <w:szCs w:val="20"/>
          <w:lang w:val="pt-BR"/>
        </w:rPr>
        <w:t>mencionado</w:t>
      </w:r>
      <w:r w:rsidR="003F32D2" w:rsidRPr="00D5464D">
        <w:rPr>
          <w:rFonts w:eastAsia="Calibri" w:cs="Times New Roman"/>
          <w:szCs w:val="20"/>
          <w:lang w:val="pt-BR"/>
        </w:rPr>
        <w:t xml:space="preserve"> </w:t>
      </w:r>
      <w:r w:rsidRPr="00D5464D">
        <w:rPr>
          <w:rFonts w:eastAsia="Calibri" w:cs="Times New Roman"/>
          <w:szCs w:val="20"/>
          <w:lang w:val="pt-BR"/>
        </w:rPr>
        <w:t>diret</w:t>
      </w:r>
      <w:r w:rsidR="003F32D2" w:rsidRPr="00D5464D">
        <w:rPr>
          <w:rFonts w:eastAsia="Calibri" w:cs="Times New Roman"/>
          <w:szCs w:val="20"/>
          <w:lang w:val="pt-BR"/>
        </w:rPr>
        <w:t>amente como</w:t>
      </w:r>
      <w:r w:rsidR="00E045D9" w:rsidRPr="00D5464D">
        <w:rPr>
          <w:rFonts w:eastAsia="Calibri" w:cs="Times New Roman"/>
          <w:szCs w:val="20"/>
          <w:lang w:val="pt-BR"/>
        </w:rPr>
        <w:t xml:space="preserve"> uma </w:t>
      </w:r>
      <w:r w:rsidR="003F32D2" w:rsidRPr="00D5464D">
        <w:rPr>
          <w:rFonts w:eastAsia="Calibri" w:cs="Times New Roman"/>
          <w:szCs w:val="20"/>
          <w:lang w:val="pt-BR"/>
        </w:rPr>
        <w:t xml:space="preserve">forma de </w:t>
      </w:r>
      <w:r w:rsidR="000B376D" w:rsidRPr="00D5464D">
        <w:rPr>
          <w:rFonts w:eastAsia="Calibri" w:cs="Times New Roman"/>
          <w:szCs w:val="20"/>
          <w:lang w:val="pt-BR"/>
        </w:rPr>
        <w:t>escravidão</w:t>
      </w:r>
      <w:r w:rsidR="003F32D2" w:rsidRPr="00D5464D">
        <w:rPr>
          <w:rFonts w:eastAsia="Calibri" w:cs="Times New Roman"/>
          <w:szCs w:val="20"/>
          <w:lang w:val="pt-BR"/>
        </w:rPr>
        <w:t xml:space="preserve"> por </w:t>
      </w:r>
      <w:r w:rsidR="00E045D9" w:rsidRPr="00D5464D">
        <w:rPr>
          <w:rFonts w:eastAsia="Calibri" w:cs="Times New Roman"/>
          <w:szCs w:val="20"/>
          <w:lang w:val="pt-BR"/>
        </w:rPr>
        <w:t>vários</w:t>
      </w:r>
      <w:r w:rsidR="003F32D2" w:rsidRPr="00D5464D">
        <w:rPr>
          <w:rFonts w:eastAsia="Calibri" w:cs="Times New Roman"/>
          <w:szCs w:val="20"/>
          <w:lang w:val="pt-BR"/>
        </w:rPr>
        <w:t xml:space="preserve"> Mecanismos </w:t>
      </w:r>
      <w:r w:rsidRPr="00D5464D">
        <w:rPr>
          <w:rFonts w:eastAsia="Calibri" w:cs="Times New Roman"/>
          <w:szCs w:val="20"/>
          <w:lang w:val="pt-BR"/>
        </w:rPr>
        <w:t>Especiais</w:t>
      </w:r>
      <w:r w:rsidR="003F32D2" w:rsidRPr="00D5464D">
        <w:rPr>
          <w:rFonts w:eastAsia="Calibri" w:cs="Times New Roman"/>
          <w:szCs w:val="20"/>
          <w:lang w:val="pt-BR"/>
        </w:rPr>
        <w:t xml:space="preserve"> d</w:t>
      </w:r>
      <w:r w:rsidR="0017180F" w:rsidRPr="00D5464D">
        <w:rPr>
          <w:rFonts w:eastAsia="Calibri" w:cs="Times New Roman"/>
          <w:szCs w:val="20"/>
          <w:lang w:val="pt-BR"/>
        </w:rPr>
        <w:t>as</w:t>
      </w:r>
      <w:r w:rsidR="003F32D2" w:rsidRPr="00D5464D">
        <w:rPr>
          <w:rFonts w:eastAsia="Calibri" w:cs="Times New Roman"/>
          <w:szCs w:val="20"/>
          <w:lang w:val="pt-BR"/>
        </w:rPr>
        <w:t xml:space="preserve"> Na</w:t>
      </w:r>
      <w:r w:rsidRPr="00D5464D">
        <w:rPr>
          <w:rFonts w:eastAsia="Calibri" w:cs="Times New Roman"/>
          <w:szCs w:val="20"/>
          <w:lang w:val="pt-BR"/>
        </w:rPr>
        <w:t>ções</w:t>
      </w:r>
      <w:r w:rsidR="003F32D2" w:rsidRPr="00D5464D">
        <w:rPr>
          <w:rFonts w:eastAsia="Calibri" w:cs="Times New Roman"/>
          <w:szCs w:val="20"/>
          <w:lang w:val="pt-BR"/>
        </w:rPr>
        <w:t xml:space="preserve"> Unidas vinculados</w:t>
      </w:r>
      <w:r w:rsidRPr="00D5464D">
        <w:rPr>
          <w:rFonts w:eastAsia="Calibri" w:cs="Times New Roman"/>
          <w:szCs w:val="20"/>
          <w:lang w:val="pt-BR"/>
        </w:rPr>
        <w:t xml:space="preserve"> ao </w:t>
      </w:r>
      <w:r w:rsidR="003F32D2" w:rsidRPr="00D5464D">
        <w:rPr>
          <w:rFonts w:eastAsia="Calibri" w:cs="Times New Roman"/>
          <w:szCs w:val="20"/>
          <w:lang w:val="pt-BR"/>
        </w:rPr>
        <w:t xml:space="preserve">tema. </w:t>
      </w:r>
      <w:r w:rsidRPr="00D5464D">
        <w:rPr>
          <w:rFonts w:eastAsia="Calibri" w:cs="Times New Roman"/>
          <w:szCs w:val="20"/>
          <w:lang w:val="pt-BR"/>
        </w:rPr>
        <w:t>Assim</w:t>
      </w:r>
      <w:r w:rsidR="003F32D2" w:rsidRPr="00D5464D">
        <w:rPr>
          <w:rFonts w:eastAsia="Calibri" w:cs="Times New Roman"/>
          <w:szCs w:val="20"/>
          <w:lang w:val="pt-BR"/>
        </w:rPr>
        <w:t>,</w:t>
      </w:r>
      <w:r w:rsidRPr="00D5464D">
        <w:rPr>
          <w:rFonts w:eastAsia="Calibri" w:cs="Times New Roman"/>
          <w:szCs w:val="20"/>
          <w:lang w:val="pt-BR"/>
        </w:rPr>
        <w:t xml:space="preserve"> o </w:t>
      </w:r>
      <w:r w:rsidR="003F32D2" w:rsidRPr="00D5464D">
        <w:rPr>
          <w:rFonts w:eastAsia="Calibri" w:cs="Times New Roman"/>
          <w:szCs w:val="20"/>
          <w:lang w:val="pt-BR"/>
        </w:rPr>
        <w:t xml:space="preserve">Grupo de </w:t>
      </w:r>
      <w:r w:rsidR="00E045D9" w:rsidRPr="00D5464D">
        <w:rPr>
          <w:rFonts w:eastAsia="Calibri" w:cs="Times New Roman"/>
          <w:szCs w:val="20"/>
          <w:lang w:val="pt-BR"/>
        </w:rPr>
        <w:t>Trabalho</w:t>
      </w:r>
      <w:r w:rsidR="003F32D2" w:rsidRPr="00D5464D">
        <w:rPr>
          <w:rFonts w:eastAsia="Calibri" w:cs="Times New Roman"/>
          <w:szCs w:val="20"/>
          <w:lang w:val="pt-BR"/>
        </w:rPr>
        <w:t xml:space="preserve"> sobre Formas </w:t>
      </w:r>
      <w:r w:rsidRPr="00D5464D">
        <w:rPr>
          <w:rFonts w:eastAsia="Calibri" w:cs="Times New Roman"/>
          <w:szCs w:val="20"/>
          <w:lang w:val="pt-BR"/>
        </w:rPr>
        <w:t>Contemporânea</w:t>
      </w:r>
      <w:r w:rsidR="003F32D2" w:rsidRPr="00D5464D">
        <w:rPr>
          <w:rFonts w:eastAsia="Calibri" w:cs="Times New Roman"/>
          <w:szCs w:val="20"/>
          <w:lang w:val="pt-BR"/>
        </w:rPr>
        <w:t xml:space="preserve">s de </w:t>
      </w:r>
      <w:r w:rsidR="000B376D" w:rsidRPr="00D5464D">
        <w:rPr>
          <w:rFonts w:eastAsia="Calibri" w:cs="Times New Roman"/>
          <w:szCs w:val="20"/>
          <w:lang w:val="pt-BR"/>
        </w:rPr>
        <w:t>Escravidão</w:t>
      </w:r>
      <w:r w:rsidR="003F32D2" w:rsidRPr="00D5464D">
        <w:rPr>
          <w:rFonts w:eastAsia="Calibri" w:cs="Times New Roman"/>
          <w:szCs w:val="20"/>
          <w:lang w:val="pt-BR"/>
        </w:rPr>
        <w:t xml:space="preserve"> </w:t>
      </w:r>
      <w:r w:rsidRPr="00D5464D">
        <w:rPr>
          <w:rFonts w:eastAsia="Calibri" w:cs="Times New Roman"/>
          <w:szCs w:val="20"/>
          <w:lang w:val="pt-BR"/>
        </w:rPr>
        <w:t>declarou</w:t>
      </w:r>
      <w:r w:rsidR="00F53C51" w:rsidRPr="00D5464D">
        <w:rPr>
          <w:rFonts w:eastAsia="Calibri" w:cs="Times New Roman"/>
          <w:szCs w:val="20"/>
          <w:lang w:val="pt-BR"/>
        </w:rPr>
        <w:t xml:space="preserve"> </w:t>
      </w:r>
      <w:r w:rsidR="003F32D2" w:rsidRPr="00D5464D">
        <w:rPr>
          <w:rFonts w:eastAsia="Calibri" w:cs="Times New Roman"/>
          <w:szCs w:val="20"/>
          <w:lang w:val="pt-BR"/>
        </w:rPr>
        <w:t>que</w:t>
      </w:r>
      <w:r w:rsidR="002C330E" w:rsidRPr="00D5464D">
        <w:rPr>
          <w:rFonts w:eastAsia="Calibri" w:cs="Times New Roman"/>
          <w:szCs w:val="20"/>
          <w:lang w:val="pt-BR"/>
        </w:rPr>
        <w:t xml:space="preserve"> </w:t>
      </w:r>
      <w:r w:rsidR="004F1CC2" w:rsidRPr="00D5464D">
        <w:rPr>
          <w:rFonts w:eastAsia="Calibri" w:cs="Times New Roman"/>
          <w:szCs w:val="20"/>
          <w:lang w:val="pt-BR"/>
        </w:rPr>
        <w:t>o tráfico de mulheres</w:t>
      </w:r>
      <w:r w:rsidR="00E045D9" w:rsidRPr="00D5464D">
        <w:rPr>
          <w:rFonts w:eastAsia="Calibri" w:cs="Times New Roman"/>
          <w:szCs w:val="20"/>
          <w:lang w:val="pt-BR"/>
        </w:rPr>
        <w:t xml:space="preserve"> e </w:t>
      </w:r>
      <w:r w:rsidR="000B2B14" w:rsidRPr="00D5464D">
        <w:rPr>
          <w:rFonts w:eastAsia="Calibri" w:cs="Times New Roman"/>
          <w:szCs w:val="20"/>
          <w:lang w:val="pt-BR"/>
        </w:rPr>
        <w:t xml:space="preserve">de </w:t>
      </w:r>
      <w:r w:rsidR="002C330E" w:rsidRPr="00D5464D">
        <w:rPr>
          <w:rFonts w:eastAsia="Calibri" w:cs="Times New Roman"/>
          <w:szCs w:val="20"/>
          <w:lang w:val="pt-BR"/>
        </w:rPr>
        <w:t>crianças</w:t>
      </w:r>
      <w:r w:rsidR="00F53C51" w:rsidRPr="00D5464D">
        <w:rPr>
          <w:rFonts w:eastAsia="Calibri" w:cs="Times New Roman"/>
          <w:szCs w:val="20"/>
          <w:lang w:val="pt-BR"/>
        </w:rPr>
        <w:t xml:space="preserve"> para</w:t>
      </w:r>
      <w:r w:rsidRPr="00D5464D">
        <w:rPr>
          <w:rFonts w:eastAsia="Calibri" w:cs="Times New Roman"/>
          <w:szCs w:val="20"/>
          <w:lang w:val="pt-BR"/>
        </w:rPr>
        <w:t xml:space="preserve"> fins </w:t>
      </w:r>
      <w:r w:rsidR="00F53C51" w:rsidRPr="00D5464D">
        <w:rPr>
          <w:rFonts w:eastAsia="Calibri" w:cs="Times New Roman"/>
          <w:szCs w:val="20"/>
          <w:lang w:val="pt-BR"/>
        </w:rPr>
        <w:t xml:space="preserve">de </w:t>
      </w:r>
      <w:r w:rsidR="00230C71" w:rsidRPr="00D5464D">
        <w:rPr>
          <w:rFonts w:eastAsia="Calibri" w:cs="Times New Roman"/>
          <w:szCs w:val="20"/>
          <w:lang w:val="pt-BR"/>
        </w:rPr>
        <w:t>exploração</w:t>
      </w:r>
      <w:r w:rsidRPr="00D5464D">
        <w:rPr>
          <w:rFonts w:eastAsia="Calibri" w:cs="Times New Roman"/>
          <w:szCs w:val="20"/>
          <w:lang w:val="pt-BR"/>
        </w:rPr>
        <w:t xml:space="preserve"> é</w:t>
      </w:r>
      <w:r w:rsidR="00E045D9" w:rsidRPr="00D5464D">
        <w:rPr>
          <w:rFonts w:eastAsia="Calibri" w:cs="Times New Roman"/>
          <w:szCs w:val="20"/>
          <w:lang w:val="pt-BR"/>
        </w:rPr>
        <w:t xml:space="preserve"> uma </w:t>
      </w:r>
      <w:r w:rsidR="003F32D2" w:rsidRPr="00D5464D">
        <w:rPr>
          <w:rFonts w:eastAsia="Calibri" w:cs="Times New Roman"/>
          <w:szCs w:val="20"/>
          <w:lang w:val="pt-BR"/>
        </w:rPr>
        <w:t xml:space="preserve">forma </w:t>
      </w:r>
      <w:r w:rsidRPr="00D5464D">
        <w:rPr>
          <w:rFonts w:eastAsia="Calibri" w:cs="Times New Roman"/>
          <w:szCs w:val="20"/>
          <w:lang w:val="pt-BR"/>
        </w:rPr>
        <w:t>contemporânea</w:t>
      </w:r>
      <w:r w:rsidR="00E775A7" w:rsidRPr="00D5464D">
        <w:rPr>
          <w:rFonts w:eastAsia="Calibri" w:cs="Times New Roman"/>
          <w:szCs w:val="20"/>
          <w:lang w:val="pt-BR"/>
        </w:rPr>
        <w:t xml:space="preserve"> </w:t>
      </w:r>
      <w:r w:rsidR="003F32D2" w:rsidRPr="00D5464D">
        <w:rPr>
          <w:rFonts w:eastAsia="Calibri" w:cs="Times New Roman"/>
          <w:szCs w:val="20"/>
          <w:lang w:val="pt-BR"/>
        </w:rPr>
        <w:t xml:space="preserve">de </w:t>
      </w:r>
      <w:r w:rsidR="000B376D" w:rsidRPr="00D5464D">
        <w:rPr>
          <w:rFonts w:eastAsia="Calibri" w:cs="Times New Roman"/>
          <w:szCs w:val="20"/>
          <w:lang w:val="pt-BR"/>
        </w:rPr>
        <w:t>escravidão</w:t>
      </w:r>
      <w:r w:rsidR="00E045D9" w:rsidRPr="00D5464D">
        <w:rPr>
          <w:rFonts w:eastAsia="Calibri" w:cs="Times New Roman"/>
          <w:szCs w:val="20"/>
          <w:lang w:val="pt-BR"/>
        </w:rPr>
        <w:t xml:space="preserve"> e </w:t>
      </w:r>
      <w:r w:rsidR="003F32D2" w:rsidRPr="00D5464D">
        <w:rPr>
          <w:rFonts w:eastAsia="Calibri" w:cs="Times New Roman"/>
          <w:szCs w:val="20"/>
          <w:lang w:val="pt-BR"/>
        </w:rPr>
        <w:t>que</w:t>
      </w:r>
      <w:r w:rsidR="002C330E" w:rsidRPr="00D5464D">
        <w:rPr>
          <w:rFonts w:eastAsia="Calibri" w:cs="Times New Roman"/>
          <w:szCs w:val="20"/>
          <w:lang w:val="pt-BR"/>
        </w:rPr>
        <w:t xml:space="preserve"> os </w:t>
      </w:r>
      <w:r w:rsidR="003F32D2" w:rsidRPr="00D5464D">
        <w:rPr>
          <w:rFonts w:eastAsia="Calibri" w:cs="Times New Roman"/>
          <w:szCs w:val="20"/>
          <w:lang w:val="pt-BR"/>
        </w:rPr>
        <w:t xml:space="preserve">tratados </w:t>
      </w:r>
      <w:r w:rsidR="002C330E" w:rsidRPr="00D5464D">
        <w:rPr>
          <w:rFonts w:eastAsia="Calibri" w:cs="Times New Roman"/>
          <w:szCs w:val="20"/>
          <w:lang w:val="pt-BR"/>
        </w:rPr>
        <w:t>internacionais</w:t>
      </w:r>
      <w:r w:rsidR="003F32D2" w:rsidRPr="00D5464D">
        <w:rPr>
          <w:rFonts w:eastAsia="Calibri" w:cs="Times New Roman"/>
          <w:szCs w:val="20"/>
          <w:lang w:val="pt-BR"/>
        </w:rPr>
        <w:t xml:space="preserve"> contra</w:t>
      </w:r>
      <w:r w:rsidR="002C330E" w:rsidRPr="00D5464D">
        <w:rPr>
          <w:rFonts w:eastAsia="Calibri" w:cs="Times New Roman"/>
          <w:szCs w:val="20"/>
          <w:lang w:val="pt-BR"/>
        </w:rPr>
        <w:t xml:space="preserve"> a </w:t>
      </w:r>
      <w:r w:rsidR="000B376D" w:rsidRPr="00D5464D">
        <w:rPr>
          <w:rFonts w:eastAsia="Calibri" w:cs="Times New Roman"/>
          <w:szCs w:val="20"/>
          <w:lang w:val="pt-BR"/>
        </w:rPr>
        <w:t>escravidão</w:t>
      </w:r>
      <w:r w:rsidR="009117DF" w:rsidRPr="00D5464D">
        <w:rPr>
          <w:rFonts w:eastAsia="Calibri" w:cs="Times New Roman"/>
          <w:szCs w:val="20"/>
          <w:lang w:val="pt-BR"/>
        </w:rPr>
        <w:t xml:space="preserve"> incluem o tráfico.</w:t>
      </w:r>
      <w:r w:rsidR="003F32D2" w:rsidRPr="00D5464D">
        <w:rPr>
          <w:rFonts w:eastAsia="Calibri" w:cs="Times New Roman"/>
          <w:szCs w:val="20"/>
          <w:vertAlign w:val="superscript"/>
          <w:lang w:val="pt-BR"/>
        </w:rPr>
        <w:footnoteReference w:id="428"/>
      </w:r>
      <w:r w:rsidR="00A1358C" w:rsidRPr="00D5464D">
        <w:rPr>
          <w:rFonts w:eastAsia="Calibri" w:cs="Times New Roman"/>
          <w:szCs w:val="20"/>
          <w:lang w:val="pt-BR"/>
        </w:rPr>
        <w:t xml:space="preserve"> A </w:t>
      </w:r>
      <w:r w:rsidR="003F32D2" w:rsidRPr="00D5464D">
        <w:rPr>
          <w:rFonts w:eastAsia="Calibri" w:cs="Times New Roman"/>
          <w:szCs w:val="20"/>
          <w:lang w:val="pt-BR"/>
        </w:rPr>
        <w:t xml:space="preserve">Relatora Especial sobre </w:t>
      </w:r>
      <w:r w:rsidR="00E045D9" w:rsidRPr="00D5464D">
        <w:rPr>
          <w:rFonts w:eastAsia="Calibri" w:cs="Times New Roman"/>
          <w:szCs w:val="20"/>
          <w:lang w:val="pt-BR"/>
        </w:rPr>
        <w:t>Violência</w:t>
      </w:r>
      <w:r w:rsidR="003F32D2" w:rsidRPr="00D5464D">
        <w:rPr>
          <w:rFonts w:eastAsia="Calibri" w:cs="Times New Roman"/>
          <w:szCs w:val="20"/>
          <w:lang w:val="pt-BR"/>
        </w:rPr>
        <w:t xml:space="preserve"> contra</w:t>
      </w:r>
      <w:r w:rsidR="002C330E" w:rsidRPr="00D5464D">
        <w:rPr>
          <w:rFonts w:eastAsia="Calibri" w:cs="Times New Roman"/>
          <w:szCs w:val="20"/>
          <w:lang w:val="pt-BR"/>
        </w:rPr>
        <w:t xml:space="preserve"> a Mulher</w:t>
      </w:r>
      <w:r w:rsidR="003F32D2" w:rsidRPr="00D5464D">
        <w:rPr>
          <w:rFonts w:eastAsia="Calibri" w:cs="Times New Roman"/>
          <w:szCs w:val="20"/>
          <w:lang w:val="pt-BR"/>
        </w:rPr>
        <w:t xml:space="preserve"> </w:t>
      </w:r>
      <w:r w:rsidR="00E045D9" w:rsidRPr="00D5464D">
        <w:rPr>
          <w:rFonts w:eastAsia="Calibri" w:cs="Times New Roman"/>
          <w:szCs w:val="20"/>
          <w:lang w:val="pt-BR"/>
        </w:rPr>
        <w:t>também</w:t>
      </w:r>
      <w:r w:rsidR="003F32D2" w:rsidRPr="00D5464D">
        <w:rPr>
          <w:rFonts w:eastAsia="Calibri" w:cs="Times New Roman"/>
          <w:szCs w:val="20"/>
          <w:lang w:val="pt-BR"/>
        </w:rPr>
        <w:t xml:space="preserve"> </w:t>
      </w:r>
      <w:r w:rsidRPr="00D5464D">
        <w:rPr>
          <w:rFonts w:eastAsia="Calibri" w:cs="Times New Roman"/>
          <w:szCs w:val="20"/>
          <w:lang w:val="pt-BR"/>
        </w:rPr>
        <w:t>adotou</w:t>
      </w:r>
      <w:r w:rsidR="00E045D9" w:rsidRPr="00D5464D">
        <w:rPr>
          <w:rFonts w:eastAsia="Calibri" w:cs="Times New Roman"/>
          <w:szCs w:val="20"/>
          <w:lang w:val="pt-BR"/>
        </w:rPr>
        <w:t xml:space="preserve"> uma </w:t>
      </w:r>
      <w:r w:rsidR="003F32D2" w:rsidRPr="00D5464D">
        <w:rPr>
          <w:rFonts w:eastAsia="Calibri" w:cs="Times New Roman"/>
          <w:szCs w:val="20"/>
          <w:lang w:val="pt-BR"/>
        </w:rPr>
        <w:t>posi</w:t>
      </w:r>
      <w:r w:rsidRPr="00D5464D">
        <w:rPr>
          <w:rFonts w:eastAsia="Calibri" w:cs="Times New Roman"/>
          <w:szCs w:val="20"/>
          <w:lang w:val="pt-BR"/>
        </w:rPr>
        <w:t>ção</w:t>
      </w:r>
      <w:r w:rsidR="003F32D2" w:rsidRPr="00D5464D">
        <w:rPr>
          <w:rFonts w:eastAsia="Calibri" w:cs="Times New Roman"/>
          <w:szCs w:val="20"/>
          <w:lang w:val="pt-BR"/>
        </w:rPr>
        <w:t xml:space="preserve"> similar</w:t>
      </w:r>
      <w:r w:rsidR="00AE6345" w:rsidRPr="00D5464D">
        <w:rPr>
          <w:rFonts w:eastAsia="Calibri" w:cs="Times New Roman"/>
          <w:szCs w:val="20"/>
          <w:lang w:val="pt-BR"/>
        </w:rPr>
        <w:t>.</w:t>
      </w:r>
      <w:r w:rsidR="003F32D2" w:rsidRPr="00D5464D">
        <w:rPr>
          <w:rFonts w:eastAsia="Calibri" w:cs="Times New Roman"/>
          <w:szCs w:val="20"/>
          <w:vertAlign w:val="superscript"/>
          <w:lang w:val="pt-BR"/>
        </w:rPr>
        <w:footnoteReference w:id="429"/>
      </w:r>
      <w:r w:rsidR="003F32D2" w:rsidRPr="00D5464D">
        <w:rPr>
          <w:rFonts w:eastAsia="Calibri" w:cs="Times New Roman"/>
          <w:szCs w:val="20"/>
          <w:lang w:val="pt-BR"/>
        </w:rPr>
        <w:t xml:space="preserve"> </w:t>
      </w:r>
      <w:r w:rsidR="00A1358C" w:rsidRPr="00D5464D">
        <w:rPr>
          <w:rFonts w:eastAsia="Calibri" w:cs="Times New Roman"/>
          <w:szCs w:val="20"/>
          <w:lang w:val="pt-BR"/>
        </w:rPr>
        <w:t>Por outr</w:t>
      </w:r>
      <w:r w:rsidR="00AE6345" w:rsidRPr="00D5464D">
        <w:rPr>
          <w:rFonts w:eastAsia="Calibri" w:cs="Times New Roman"/>
          <w:szCs w:val="20"/>
          <w:lang w:val="pt-BR"/>
        </w:rPr>
        <w:t>a parte</w:t>
      </w:r>
      <w:r w:rsidR="00A1358C" w:rsidRPr="00D5464D">
        <w:rPr>
          <w:rFonts w:eastAsia="Calibri" w:cs="Times New Roman"/>
          <w:szCs w:val="20"/>
          <w:lang w:val="pt-BR"/>
        </w:rPr>
        <w:t>,</w:t>
      </w:r>
      <w:r w:rsidR="002C330E" w:rsidRPr="00D5464D">
        <w:rPr>
          <w:rFonts w:eastAsia="Calibri" w:cs="Times New Roman"/>
          <w:szCs w:val="20"/>
          <w:lang w:val="pt-BR"/>
        </w:rPr>
        <w:t xml:space="preserve"> a </w:t>
      </w:r>
      <w:r w:rsidR="003F32D2" w:rsidRPr="00D5464D">
        <w:rPr>
          <w:rFonts w:eastAsia="Calibri" w:cs="Times New Roman"/>
          <w:szCs w:val="20"/>
          <w:lang w:val="pt-BR"/>
        </w:rPr>
        <w:t xml:space="preserve">Relatora Especial sobre Formas </w:t>
      </w:r>
      <w:r w:rsidRPr="00D5464D">
        <w:rPr>
          <w:rFonts w:eastAsia="Calibri" w:cs="Times New Roman"/>
          <w:szCs w:val="20"/>
          <w:lang w:val="pt-BR"/>
        </w:rPr>
        <w:t>Contemporânea</w:t>
      </w:r>
      <w:r w:rsidR="003F32D2" w:rsidRPr="00D5464D">
        <w:rPr>
          <w:rFonts w:eastAsia="Calibri" w:cs="Times New Roman"/>
          <w:szCs w:val="20"/>
          <w:lang w:val="pt-BR"/>
        </w:rPr>
        <w:t xml:space="preserve">s de </w:t>
      </w:r>
      <w:r w:rsidR="000B376D" w:rsidRPr="00D5464D">
        <w:rPr>
          <w:rFonts w:eastAsia="Calibri" w:cs="Times New Roman"/>
          <w:szCs w:val="20"/>
          <w:lang w:val="pt-BR"/>
        </w:rPr>
        <w:t>Escravidão</w:t>
      </w:r>
      <w:r w:rsidR="003F32D2" w:rsidRPr="00D5464D">
        <w:rPr>
          <w:rFonts w:eastAsia="Calibri" w:cs="Times New Roman"/>
          <w:szCs w:val="20"/>
          <w:lang w:val="pt-BR"/>
        </w:rPr>
        <w:t>, su</w:t>
      </w:r>
      <w:r w:rsidR="00AE6345" w:rsidRPr="00D5464D">
        <w:rPr>
          <w:rFonts w:eastAsia="Calibri" w:cs="Times New Roman"/>
          <w:szCs w:val="20"/>
          <w:lang w:val="pt-BR"/>
        </w:rPr>
        <w:t>a</w:t>
      </w:r>
      <w:r w:rsidR="003F32D2" w:rsidRPr="00D5464D">
        <w:rPr>
          <w:rFonts w:eastAsia="Calibri" w:cs="Times New Roman"/>
          <w:szCs w:val="20"/>
          <w:lang w:val="pt-BR"/>
        </w:rPr>
        <w:t xml:space="preserve">s </w:t>
      </w:r>
      <w:r w:rsidR="00AE6345" w:rsidRPr="00D5464D">
        <w:rPr>
          <w:rFonts w:eastAsia="Calibri" w:cs="Times New Roman"/>
          <w:szCs w:val="20"/>
          <w:lang w:val="pt-BR"/>
        </w:rPr>
        <w:t>C</w:t>
      </w:r>
      <w:r w:rsidR="003F32D2" w:rsidRPr="00D5464D">
        <w:rPr>
          <w:rFonts w:eastAsia="Calibri" w:cs="Times New Roman"/>
          <w:szCs w:val="20"/>
          <w:lang w:val="pt-BR"/>
        </w:rPr>
        <w:t>ausas</w:t>
      </w:r>
      <w:r w:rsidR="00E045D9" w:rsidRPr="00D5464D">
        <w:rPr>
          <w:rFonts w:eastAsia="Calibri" w:cs="Times New Roman"/>
          <w:szCs w:val="20"/>
          <w:lang w:val="pt-BR"/>
        </w:rPr>
        <w:t xml:space="preserve"> e </w:t>
      </w:r>
      <w:r w:rsidR="00AE6345" w:rsidRPr="00D5464D">
        <w:rPr>
          <w:rFonts w:eastAsia="Calibri" w:cs="Times New Roman"/>
          <w:szCs w:val="20"/>
          <w:lang w:val="pt-BR"/>
        </w:rPr>
        <w:t>C</w:t>
      </w:r>
      <w:r w:rsidRPr="00D5464D">
        <w:rPr>
          <w:rFonts w:eastAsia="Calibri" w:cs="Times New Roman"/>
          <w:szCs w:val="20"/>
          <w:lang w:val="pt-BR"/>
        </w:rPr>
        <w:t>onsequência</w:t>
      </w:r>
      <w:r w:rsidR="003F32D2" w:rsidRPr="00D5464D">
        <w:rPr>
          <w:rFonts w:eastAsia="Calibri" w:cs="Times New Roman"/>
          <w:szCs w:val="20"/>
          <w:lang w:val="pt-BR"/>
        </w:rPr>
        <w:t>s</w:t>
      </w:r>
      <w:r w:rsidR="00AE6345" w:rsidRPr="00D5464D">
        <w:rPr>
          <w:rFonts w:eastAsia="Calibri" w:cs="Times New Roman"/>
          <w:szCs w:val="20"/>
          <w:lang w:val="pt-BR"/>
        </w:rPr>
        <w:t>,</w:t>
      </w:r>
      <w:r w:rsidR="003F32D2" w:rsidRPr="00D5464D">
        <w:rPr>
          <w:rFonts w:eastAsia="Calibri" w:cs="Times New Roman"/>
          <w:szCs w:val="20"/>
          <w:lang w:val="pt-BR"/>
        </w:rPr>
        <w:t xml:space="preserve"> </w:t>
      </w:r>
      <w:r w:rsidRPr="00D5464D">
        <w:rPr>
          <w:rFonts w:eastAsia="Calibri" w:cs="Times New Roman"/>
          <w:szCs w:val="20"/>
          <w:lang w:val="pt-BR"/>
        </w:rPr>
        <w:t>afirmou</w:t>
      </w:r>
      <w:r w:rsidR="00AE6345" w:rsidRPr="00D5464D">
        <w:rPr>
          <w:rFonts w:eastAsia="Calibri" w:cs="Times New Roman"/>
          <w:szCs w:val="20"/>
          <w:lang w:val="pt-BR"/>
        </w:rPr>
        <w:t>,</w:t>
      </w:r>
      <w:r w:rsidRPr="00D5464D">
        <w:rPr>
          <w:rFonts w:eastAsia="Calibri" w:cs="Times New Roman"/>
          <w:szCs w:val="20"/>
          <w:lang w:val="pt-BR"/>
        </w:rPr>
        <w:t xml:space="preserve"> em </w:t>
      </w:r>
      <w:r w:rsidR="003F32D2" w:rsidRPr="00D5464D">
        <w:rPr>
          <w:rFonts w:eastAsia="Calibri" w:cs="Times New Roman"/>
          <w:szCs w:val="20"/>
          <w:lang w:val="pt-BR"/>
        </w:rPr>
        <w:t>2009</w:t>
      </w:r>
      <w:r w:rsidR="00AE6345" w:rsidRPr="00D5464D">
        <w:rPr>
          <w:rFonts w:eastAsia="Calibri" w:cs="Times New Roman"/>
          <w:szCs w:val="20"/>
          <w:lang w:val="pt-BR"/>
        </w:rPr>
        <w:t>,</w:t>
      </w:r>
      <w:r w:rsidR="003F32D2" w:rsidRPr="00D5464D">
        <w:rPr>
          <w:rFonts w:eastAsia="Calibri" w:cs="Times New Roman"/>
          <w:szCs w:val="20"/>
          <w:lang w:val="pt-BR"/>
        </w:rPr>
        <w:t xml:space="preserve"> que</w:t>
      </w:r>
      <w:r w:rsidR="002C330E" w:rsidRPr="00D5464D">
        <w:rPr>
          <w:rFonts w:eastAsia="Calibri" w:cs="Times New Roman"/>
          <w:szCs w:val="20"/>
          <w:lang w:val="pt-BR"/>
        </w:rPr>
        <w:t xml:space="preserve"> </w:t>
      </w:r>
      <w:r w:rsidR="004F1CC2" w:rsidRPr="00D5464D">
        <w:rPr>
          <w:rFonts w:eastAsia="Calibri" w:cs="Times New Roman"/>
          <w:szCs w:val="20"/>
          <w:lang w:val="pt-BR"/>
        </w:rPr>
        <w:t>o tráfico de pessoas</w:t>
      </w:r>
      <w:r w:rsidR="00E045D9" w:rsidRPr="00D5464D">
        <w:rPr>
          <w:rFonts w:eastAsia="Calibri" w:cs="Times New Roman"/>
          <w:szCs w:val="20"/>
          <w:lang w:val="pt-BR"/>
        </w:rPr>
        <w:t xml:space="preserve"> no </w:t>
      </w:r>
      <w:r w:rsidR="003F32D2" w:rsidRPr="00D5464D">
        <w:rPr>
          <w:rFonts w:eastAsia="Calibri" w:cs="Times New Roman"/>
          <w:szCs w:val="20"/>
          <w:lang w:val="pt-BR"/>
        </w:rPr>
        <w:t xml:space="preserve">contexto de </w:t>
      </w:r>
      <w:r w:rsidR="000B376D" w:rsidRPr="00D5464D">
        <w:rPr>
          <w:rFonts w:eastAsia="Calibri" w:cs="Times New Roman"/>
          <w:szCs w:val="20"/>
          <w:lang w:val="pt-BR"/>
        </w:rPr>
        <w:t>servidão</w:t>
      </w:r>
      <w:r w:rsidR="003F32D2" w:rsidRPr="00D5464D">
        <w:rPr>
          <w:rFonts w:eastAsia="Calibri" w:cs="Times New Roman"/>
          <w:szCs w:val="20"/>
          <w:lang w:val="pt-BR"/>
        </w:rPr>
        <w:t xml:space="preserve"> (</w:t>
      </w:r>
      <w:r w:rsidR="003F32D2" w:rsidRPr="00D5464D">
        <w:rPr>
          <w:rFonts w:eastAsia="Calibri" w:cs="Times New Roman"/>
          <w:i/>
          <w:szCs w:val="20"/>
          <w:lang w:val="pt-BR"/>
        </w:rPr>
        <w:t>bonded labour</w:t>
      </w:r>
      <w:r w:rsidR="003F32D2" w:rsidRPr="00D5464D">
        <w:rPr>
          <w:rFonts w:eastAsia="Calibri" w:cs="Times New Roman"/>
          <w:szCs w:val="20"/>
          <w:lang w:val="pt-BR"/>
        </w:rPr>
        <w:t>)</w:t>
      </w:r>
      <w:r w:rsidR="00E045D9" w:rsidRPr="00D5464D">
        <w:rPr>
          <w:rFonts w:eastAsia="Calibri" w:cs="Times New Roman"/>
          <w:szCs w:val="20"/>
          <w:lang w:val="pt-BR"/>
        </w:rPr>
        <w:t xml:space="preserve"> e </w:t>
      </w:r>
      <w:r w:rsidR="00AE6345" w:rsidRPr="00D5464D">
        <w:rPr>
          <w:rFonts w:eastAsia="Calibri" w:cs="Times New Roman"/>
          <w:szCs w:val="20"/>
          <w:lang w:val="pt-BR"/>
        </w:rPr>
        <w:t xml:space="preserve">de </w:t>
      </w:r>
      <w:r w:rsidR="002C330E" w:rsidRPr="00D5464D">
        <w:rPr>
          <w:rFonts w:eastAsia="Calibri" w:cs="Times New Roman"/>
          <w:szCs w:val="20"/>
          <w:lang w:val="pt-BR"/>
        </w:rPr>
        <w:t>pagamento</w:t>
      </w:r>
      <w:r w:rsidR="003F32D2" w:rsidRPr="00D5464D">
        <w:rPr>
          <w:rFonts w:eastAsia="Calibri" w:cs="Times New Roman"/>
          <w:szCs w:val="20"/>
          <w:lang w:val="pt-BR"/>
        </w:rPr>
        <w:t xml:space="preserve">s </w:t>
      </w:r>
      <w:r w:rsidRPr="00D5464D">
        <w:rPr>
          <w:rFonts w:eastAsia="Calibri" w:cs="Times New Roman"/>
          <w:szCs w:val="20"/>
          <w:lang w:val="pt-BR"/>
        </w:rPr>
        <w:t>antecipad</w:t>
      </w:r>
      <w:r w:rsidR="003F32D2" w:rsidRPr="00D5464D">
        <w:rPr>
          <w:rFonts w:eastAsia="Calibri" w:cs="Times New Roman"/>
          <w:szCs w:val="20"/>
          <w:lang w:val="pt-BR"/>
        </w:rPr>
        <w:t xml:space="preserve">os </w:t>
      </w:r>
      <w:r w:rsidR="00E045D9" w:rsidRPr="00D5464D">
        <w:rPr>
          <w:rFonts w:eastAsia="Calibri" w:cs="Times New Roman"/>
          <w:szCs w:val="20"/>
          <w:lang w:val="pt-BR"/>
        </w:rPr>
        <w:t xml:space="preserve">seria uma </w:t>
      </w:r>
      <w:r w:rsidR="003F32D2" w:rsidRPr="00D5464D">
        <w:rPr>
          <w:rFonts w:eastAsia="Calibri" w:cs="Times New Roman"/>
          <w:szCs w:val="20"/>
          <w:lang w:val="pt-BR"/>
        </w:rPr>
        <w:t xml:space="preserve">forma de </w:t>
      </w:r>
      <w:r w:rsidR="000B376D" w:rsidRPr="00D5464D">
        <w:rPr>
          <w:rFonts w:eastAsia="Calibri" w:cs="Times New Roman"/>
          <w:szCs w:val="20"/>
          <w:lang w:val="pt-BR"/>
        </w:rPr>
        <w:t>escravidão</w:t>
      </w:r>
      <w:r w:rsidRPr="00D5464D">
        <w:rPr>
          <w:rFonts w:eastAsia="Calibri" w:cs="Times New Roman"/>
          <w:szCs w:val="20"/>
          <w:lang w:val="pt-BR"/>
        </w:rPr>
        <w:t xml:space="preserve"> através da qual o </w:t>
      </w:r>
      <w:r w:rsidR="003F32D2" w:rsidRPr="00D5464D">
        <w:rPr>
          <w:rFonts w:eastAsia="Calibri" w:cs="Times New Roman"/>
          <w:szCs w:val="20"/>
          <w:lang w:val="pt-BR"/>
        </w:rPr>
        <w:t>traficante está</w:t>
      </w:r>
      <w:r w:rsidRPr="00D5464D">
        <w:rPr>
          <w:rFonts w:eastAsia="Calibri" w:cs="Times New Roman"/>
          <w:szCs w:val="20"/>
          <w:lang w:val="pt-BR"/>
        </w:rPr>
        <w:t xml:space="preserve"> em</w:t>
      </w:r>
      <w:r w:rsidR="00E045D9" w:rsidRPr="00D5464D">
        <w:rPr>
          <w:rFonts w:eastAsia="Calibri" w:cs="Times New Roman"/>
          <w:szCs w:val="20"/>
          <w:lang w:val="pt-BR"/>
        </w:rPr>
        <w:t xml:space="preserve"> uma </w:t>
      </w:r>
      <w:r w:rsidR="003F32D2" w:rsidRPr="00D5464D">
        <w:rPr>
          <w:rFonts w:eastAsia="Calibri" w:cs="Times New Roman"/>
          <w:szCs w:val="20"/>
          <w:lang w:val="pt-BR"/>
        </w:rPr>
        <w:t>posi</w:t>
      </w:r>
      <w:r w:rsidRPr="00D5464D">
        <w:rPr>
          <w:rFonts w:eastAsia="Calibri" w:cs="Times New Roman"/>
          <w:szCs w:val="20"/>
          <w:lang w:val="pt-BR"/>
        </w:rPr>
        <w:t>ção</w:t>
      </w:r>
      <w:r w:rsidR="003F32D2" w:rsidRPr="00D5464D">
        <w:rPr>
          <w:rFonts w:eastAsia="Calibri" w:cs="Times New Roman"/>
          <w:szCs w:val="20"/>
          <w:lang w:val="pt-BR"/>
        </w:rPr>
        <w:t xml:space="preserve"> dominante</w:t>
      </w:r>
      <w:r w:rsidR="00AE6345" w:rsidRPr="00D5464D">
        <w:rPr>
          <w:rFonts w:eastAsia="Calibri" w:cs="Times New Roman"/>
          <w:szCs w:val="20"/>
          <w:lang w:val="pt-BR"/>
        </w:rPr>
        <w:t>.</w:t>
      </w:r>
      <w:r w:rsidR="003F32D2" w:rsidRPr="00D5464D">
        <w:rPr>
          <w:rFonts w:eastAsia="Calibri" w:cs="Times New Roman"/>
          <w:szCs w:val="20"/>
          <w:vertAlign w:val="superscript"/>
          <w:lang w:val="pt-BR"/>
        </w:rPr>
        <w:footnoteReference w:id="430"/>
      </w:r>
      <w:r w:rsidR="00A1358C" w:rsidRPr="00D5464D">
        <w:rPr>
          <w:rFonts w:eastAsia="Calibri" w:cs="Times New Roman"/>
          <w:szCs w:val="20"/>
          <w:lang w:val="pt-BR"/>
        </w:rPr>
        <w:t xml:space="preserve"> A </w:t>
      </w:r>
      <w:r w:rsidR="003F32D2" w:rsidRPr="00D5464D">
        <w:rPr>
          <w:rFonts w:eastAsia="Calibri" w:cs="Times New Roman"/>
          <w:szCs w:val="20"/>
          <w:lang w:val="pt-BR"/>
        </w:rPr>
        <w:t>Relatora Especial sobre</w:t>
      </w:r>
      <w:r w:rsidR="004F1CC2" w:rsidRPr="00D5464D">
        <w:rPr>
          <w:rFonts w:eastAsia="Calibri" w:cs="Times New Roman"/>
          <w:szCs w:val="20"/>
          <w:lang w:val="pt-BR"/>
        </w:rPr>
        <w:t xml:space="preserve"> </w:t>
      </w:r>
      <w:r w:rsidR="00AE6345" w:rsidRPr="00D5464D">
        <w:rPr>
          <w:rFonts w:eastAsia="Calibri" w:cs="Times New Roman"/>
          <w:szCs w:val="20"/>
          <w:lang w:val="pt-BR"/>
        </w:rPr>
        <w:t>T</w:t>
      </w:r>
      <w:r w:rsidR="004F1CC2" w:rsidRPr="00D5464D">
        <w:rPr>
          <w:rFonts w:eastAsia="Calibri" w:cs="Times New Roman"/>
          <w:szCs w:val="20"/>
          <w:lang w:val="pt-BR"/>
        </w:rPr>
        <w:t xml:space="preserve">ráfico de </w:t>
      </w:r>
      <w:r w:rsidR="00AE6345" w:rsidRPr="00D5464D">
        <w:rPr>
          <w:rFonts w:eastAsia="Calibri" w:cs="Times New Roman"/>
          <w:szCs w:val="20"/>
          <w:lang w:val="pt-BR"/>
        </w:rPr>
        <w:t>P</w:t>
      </w:r>
      <w:r w:rsidR="004F1CC2" w:rsidRPr="00D5464D">
        <w:rPr>
          <w:rFonts w:eastAsia="Calibri" w:cs="Times New Roman"/>
          <w:szCs w:val="20"/>
          <w:lang w:val="pt-BR"/>
        </w:rPr>
        <w:t>essoas</w:t>
      </w:r>
      <w:r w:rsidR="003F32D2" w:rsidRPr="00D5464D">
        <w:rPr>
          <w:rFonts w:eastAsia="Calibri" w:cs="Times New Roman"/>
          <w:szCs w:val="20"/>
          <w:lang w:val="pt-BR"/>
        </w:rPr>
        <w:t>,</w:t>
      </w:r>
      <w:r w:rsidRPr="00D5464D">
        <w:rPr>
          <w:rFonts w:eastAsia="Calibri" w:cs="Times New Roman"/>
          <w:szCs w:val="20"/>
          <w:lang w:val="pt-BR"/>
        </w:rPr>
        <w:t xml:space="preserve"> em </w:t>
      </w:r>
      <w:r w:rsidR="00AE6345" w:rsidRPr="00D5464D">
        <w:rPr>
          <w:rFonts w:eastAsia="Calibri" w:cs="Times New Roman"/>
          <w:szCs w:val="20"/>
          <w:lang w:val="pt-BR"/>
        </w:rPr>
        <w:t>E</w:t>
      </w:r>
      <w:r w:rsidR="003F32D2" w:rsidRPr="00D5464D">
        <w:rPr>
          <w:rFonts w:eastAsia="Calibri" w:cs="Times New Roman"/>
          <w:szCs w:val="20"/>
          <w:lang w:val="pt-BR"/>
        </w:rPr>
        <w:t xml:space="preserve">special de </w:t>
      </w:r>
      <w:r w:rsidR="00AE6345" w:rsidRPr="00D5464D">
        <w:rPr>
          <w:rFonts w:eastAsia="Calibri" w:cs="Times New Roman"/>
          <w:szCs w:val="20"/>
          <w:lang w:val="pt-BR"/>
        </w:rPr>
        <w:t>M</w:t>
      </w:r>
      <w:r w:rsidR="002C330E" w:rsidRPr="00D5464D">
        <w:rPr>
          <w:rFonts w:eastAsia="Calibri" w:cs="Times New Roman"/>
          <w:szCs w:val="20"/>
          <w:lang w:val="pt-BR"/>
        </w:rPr>
        <w:t>ulher</w:t>
      </w:r>
      <w:r w:rsidR="003F32D2" w:rsidRPr="00D5464D">
        <w:rPr>
          <w:rFonts w:eastAsia="Calibri" w:cs="Times New Roman"/>
          <w:szCs w:val="20"/>
          <w:lang w:val="pt-BR"/>
        </w:rPr>
        <w:t>es</w:t>
      </w:r>
      <w:r w:rsidR="00E045D9" w:rsidRPr="00D5464D">
        <w:rPr>
          <w:rFonts w:eastAsia="Calibri" w:cs="Times New Roman"/>
          <w:szCs w:val="20"/>
          <w:lang w:val="pt-BR"/>
        </w:rPr>
        <w:t xml:space="preserve"> e </w:t>
      </w:r>
      <w:r w:rsidR="00AE6345" w:rsidRPr="00D5464D">
        <w:rPr>
          <w:rFonts w:eastAsia="Calibri" w:cs="Times New Roman"/>
          <w:szCs w:val="20"/>
          <w:lang w:val="pt-BR"/>
        </w:rPr>
        <w:t>C</w:t>
      </w:r>
      <w:r w:rsidR="002C330E" w:rsidRPr="00D5464D">
        <w:rPr>
          <w:rFonts w:eastAsia="Calibri" w:cs="Times New Roman"/>
          <w:szCs w:val="20"/>
          <w:lang w:val="pt-BR"/>
        </w:rPr>
        <w:t>rianças</w:t>
      </w:r>
      <w:r w:rsidR="003F32D2" w:rsidRPr="00D5464D">
        <w:rPr>
          <w:rFonts w:eastAsia="Calibri" w:cs="Times New Roman"/>
          <w:szCs w:val="20"/>
          <w:lang w:val="pt-BR"/>
        </w:rPr>
        <w:t xml:space="preserve">, </w:t>
      </w:r>
      <w:r w:rsidR="00E045D9" w:rsidRPr="00D5464D">
        <w:rPr>
          <w:rFonts w:eastAsia="Calibri" w:cs="Times New Roman"/>
          <w:szCs w:val="20"/>
          <w:lang w:val="pt-BR"/>
        </w:rPr>
        <w:t>também</w:t>
      </w:r>
      <w:r w:rsidR="003F32D2" w:rsidRPr="00D5464D">
        <w:rPr>
          <w:rFonts w:eastAsia="Calibri" w:cs="Times New Roman"/>
          <w:szCs w:val="20"/>
          <w:lang w:val="pt-BR"/>
        </w:rPr>
        <w:t xml:space="preserve"> </w:t>
      </w:r>
      <w:r w:rsidRPr="00D5464D">
        <w:rPr>
          <w:rFonts w:eastAsia="Calibri" w:cs="Times New Roman"/>
          <w:szCs w:val="20"/>
          <w:lang w:val="pt-BR"/>
        </w:rPr>
        <w:t>considerou</w:t>
      </w:r>
      <w:r w:rsidR="002C330E" w:rsidRPr="00D5464D">
        <w:rPr>
          <w:rFonts w:eastAsia="Calibri" w:cs="Times New Roman"/>
          <w:szCs w:val="20"/>
          <w:lang w:val="pt-BR"/>
        </w:rPr>
        <w:t xml:space="preserve"> </w:t>
      </w:r>
      <w:r w:rsidR="004F1CC2" w:rsidRPr="00D5464D">
        <w:rPr>
          <w:rFonts w:eastAsia="Calibri" w:cs="Times New Roman"/>
          <w:szCs w:val="20"/>
          <w:lang w:val="pt-BR"/>
        </w:rPr>
        <w:t>o tráfico de pessoas</w:t>
      </w:r>
      <w:r w:rsidR="003F32D2" w:rsidRPr="00D5464D">
        <w:rPr>
          <w:rFonts w:eastAsia="Calibri" w:cs="Times New Roman"/>
          <w:szCs w:val="20"/>
          <w:lang w:val="pt-BR"/>
        </w:rPr>
        <w:t xml:space="preserve"> como “</w:t>
      </w:r>
      <w:r w:rsidR="00AE6345" w:rsidRPr="00D5464D">
        <w:rPr>
          <w:rFonts w:eastAsia="Calibri" w:cs="Times New Roman"/>
          <w:szCs w:val="20"/>
          <w:lang w:val="pt-BR"/>
        </w:rPr>
        <w:t xml:space="preserve">tráfico </w:t>
      </w:r>
      <w:r w:rsidR="003F32D2" w:rsidRPr="00D5464D">
        <w:rPr>
          <w:rFonts w:eastAsia="Calibri" w:cs="Times New Roman"/>
          <w:szCs w:val="20"/>
          <w:lang w:val="pt-BR"/>
        </w:rPr>
        <w:t xml:space="preserve">de </w:t>
      </w:r>
      <w:r w:rsidR="004F1CC2" w:rsidRPr="00D5464D">
        <w:rPr>
          <w:rFonts w:eastAsia="Calibri" w:cs="Times New Roman"/>
          <w:szCs w:val="20"/>
          <w:lang w:val="pt-BR"/>
        </w:rPr>
        <w:t>escravo</w:t>
      </w:r>
      <w:r w:rsidR="003F32D2" w:rsidRPr="00D5464D">
        <w:rPr>
          <w:rFonts w:eastAsia="Calibri" w:cs="Times New Roman"/>
          <w:szCs w:val="20"/>
          <w:lang w:val="pt-BR"/>
        </w:rPr>
        <w:t>s</w:t>
      </w:r>
      <w:r w:rsidRPr="00D5464D">
        <w:rPr>
          <w:rFonts w:eastAsia="Calibri" w:cs="Times New Roman"/>
          <w:szCs w:val="20"/>
          <w:lang w:val="pt-BR"/>
        </w:rPr>
        <w:t xml:space="preserve"> dos dia</w:t>
      </w:r>
      <w:r w:rsidR="003F32D2" w:rsidRPr="00D5464D">
        <w:rPr>
          <w:rFonts w:eastAsia="Calibri" w:cs="Times New Roman"/>
          <w:szCs w:val="20"/>
          <w:lang w:val="pt-BR"/>
        </w:rPr>
        <w:t>s modernos”</w:t>
      </w:r>
      <w:r w:rsidRPr="00D5464D">
        <w:rPr>
          <w:rFonts w:eastAsia="Calibri" w:cs="Times New Roman"/>
          <w:szCs w:val="20"/>
          <w:lang w:val="pt-BR"/>
        </w:rPr>
        <w:t xml:space="preserve"> em</w:t>
      </w:r>
      <w:r w:rsidR="00E045D9" w:rsidRPr="00D5464D">
        <w:rPr>
          <w:rFonts w:eastAsia="Calibri" w:cs="Times New Roman"/>
          <w:szCs w:val="20"/>
          <w:lang w:val="pt-BR"/>
        </w:rPr>
        <w:t xml:space="preserve"> uma </w:t>
      </w:r>
      <w:r w:rsidR="003F32D2" w:rsidRPr="00D5464D">
        <w:rPr>
          <w:rFonts w:eastAsia="Calibri" w:cs="Times New Roman"/>
          <w:szCs w:val="20"/>
          <w:lang w:val="pt-BR"/>
        </w:rPr>
        <w:t xml:space="preserve">escala </w:t>
      </w:r>
      <w:r w:rsidR="002C330E" w:rsidRPr="00D5464D">
        <w:rPr>
          <w:rFonts w:eastAsia="Calibri" w:cs="Times New Roman"/>
          <w:szCs w:val="20"/>
          <w:lang w:val="pt-BR"/>
        </w:rPr>
        <w:t>massiva</w:t>
      </w:r>
      <w:r w:rsidR="00AE6345" w:rsidRPr="00D5464D">
        <w:rPr>
          <w:rFonts w:eastAsia="Calibri" w:cs="Times New Roman"/>
          <w:szCs w:val="20"/>
          <w:lang w:val="pt-BR"/>
        </w:rPr>
        <w:t>.</w:t>
      </w:r>
      <w:r w:rsidR="003F32D2" w:rsidRPr="00D5464D">
        <w:rPr>
          <w:rFonts w:eastAsia="Calibri" w:cs="Times New Roman"/>
          <w:szCs w:val="20"/>
          <w:vertAlign w:val="superscript"/>
          <w:lang w:val="pt-BR"/>
        </w:rPr>
        <w:footnoteReference w:id="431"/>
      </w:r>
      <w:r w:rsidR="003F32D2" w:rsidRPr="00D5464D">
        <w:rPr>
          <w:rFonts w:eastAsia="Calibri" w:cs="Times New Roman"/>
          <w:szCs w:val="20"/>
          <w:lang w:val="pt-BR"/>
        </w:rPr>
        <w:t xml:space="preserve"> </w:t>
      </w:r>
      <w:r w:rsidR="00AE6345" w:rsidRPr="00D5464D">
        <w:rPr>
          <w:rFonts w:eastAsia="Calibri" w:cs="Times New Roman"/>
          <w:szCs w:val="20"/>
          <w:lang w:val="pt-BR"/>
        </w:rPr>
        <w:t>Além disso</w:t>
      </w:r>
      <w:r w:rsidR="003F32D2" w:rsidRPr="00D5464D">
        <w:rPr>
          <w:rFonts w:eastAsia="Calibri" w:cs="Times New Roman"/>
          <w:szCs w:val="20"/>
          <w:lang w:val="pt-BR"/>
        </w:rPr>
        <w:t>,</w:t>
      </w:r>
      <w:r w:rsidR="002C330E" w:rsidRPr="00D5464D">
        <w:rPr>
          <w:rFonts w:eastAsia="Calibri" w:cs="Times New Roman"/>
          <w:szCs w:val="20"/>
          <w:lang w:val="pt-BR"/>
        </w:rPr>
        <w:t xml:space="preserve"> a </w:t>
      </w:r>
      <w:r w:rsidR="003F32D2" w:rsidRPr="00D5464D">
        <w:rPr>
          <w:rFonts w:eastAsia="Calibri" w:cs="Times New Roman"/>
          <w:szCs w:val="20"/>
          <w:lang w:val="pt-BR"/>
        </w:rPr>
        <w:t xml:space="preserve">Relatora </w:t>
      </w:r>
      <w:r w:rsidRPr="00D5464D">
        <w:rPr>
          <w:rFonts w:eastAsia="Calibri" w:cs="Times New Roman"/>
          <w:szCs w:val="20"/>
          <w:lang w:val="pt-BR"/>
        </w:rPr>
        <w:t>afirmou</w:t>
      </w:r>
      <w:r w:rsidR="003F32D2" w:rsidRPr="00D5464D">
        <w:rPr>
          <w:rFonts w:eastAsia="Calibri" w:cs="Times New Roman"/>
          <w:szCs w:val="20"/>
          <w:lang w:val="pt-BR"/>
        </w:rPr>
        <w:t xml:space="preserve"> que</w:t>
      </w:r>
      <w:r w:rsidR="002C330E" w:rsidRPr="00D5464D">
        <w:rPr>
          <w:rFonts w:eastAsia="Calibri" w:cs="Times New Roman"/>
          <w:szCs w:val="20"/>
          <w:lang w:val="pt-BR"/>
        </w:rPr>
        <w:t xml:space="preserve"> </w:t>
      </w:r>
      <w:r w:rsidR="004F1CC2" w:rsidRPr="00D5464D">
        <w:rPr>
          <w:rFonts w:eastAsia="Calibri" w:cs="Times New Roman"/>
          <w:szCs w:val="20"/>
          <w:lang w:val="pt-BR"/>
        </w:rPr>
        <w:t>o tráfico de pessoas</w:t>
      </w:r>
      <w:r w:rsidRPr="00D5464D">
        <w:rPr>
          <w:rFonts w:eastAsia="Calibri" w:cs="Times New Roman"/>
          <w:szCs w:val="20"/>
          <w:lang w:val="pt-BR"/>
        </w:rPr>
        <w:t xml:space="preserve"> </w:t>
      </w:r>
      <w:r w:rsidR="005564AC" w:rsidRPr="00D5464D">
        <w:rPr>
          <w:rFonts w:eastAsia="Calibri" w:cs="Times New Roman"/>
          <w:szCs w:val="20"/>
          <w:lang w:val="pt-BR"/>
        </w:rPr>
        <w:t xml:space="preserve">constitui </w:t>
      </w:r>
      <w:r w:rsidR="00E045D9" w:rsidRPr="00D5464D">
        <w:rPr>
          <w:rFonts w:eastAsia="Calibri" w:cs="Times New Roman"/>
          <w:szCs w:val="20"/>
          <w:lang w:val="pt-BR"/>
        </w:rPr>
        <w:t xml:space="preserve">uma </w:t>
      </w:r>
      <w:r w:rsidR="003F32D2" w:rsidRPr="00D5464D">
        <w:rPr>
          <w:rFonts w:eastAsia="Calibri" w:cs="Times New Roman"/>
          <w:szCs w:val="20"/>
          <w:lang w:val="pt-BR"/>
        </w:rPr>
        <w:t>viola</w:t>
      </w:r>
      <w:r w:rsidRPr="00D5464D">
        <w:rPr>
          <w:rFonts w:eastAsia="Calibri" w:cs="Times New Roman"/>
          <w:szCs w:val="20"/>
          <w:lang w:val="pt-BR"/>
        </w:rPr>
        <w:t>ção</w:t>
      </w:r>
      <w:r w:rsidR="003F32D2" w:rsidRPr="00D5464D">
        <w:rPr>
          <w:rFonts w:eastAsia="Calibri" w:cs="Times New Roman"/>
          <w:szCs w:val="20"/>
          <w:lang w:val="pt-BR"/>
        </w:rPr>
        <w:t xml:space="preserve"> de </w:t>
      </w:r>
      <w:r w:rsidR="00E045D9" w:rsidRPr="00D5464D">
        <w:rPr>
          <w:rFonts w:eastAsia="Calibri" w:cs="Times New Roman"/>
          <w:szCs w:val="20"/>
          <w:lang w:val="pt-BR"/>
        </w:rPr>
        <w:t>vários</w:t>
      </w:r>
      <w:r w:rsidR="003F32D2" w:rsidRPr="00D5464D">
        <w:rPr>
          <w:rFonts w:eastAsia="Calibri" w:cs="Times New Roman"/>
          <w:szCs w:val="20"/>
          <w:lang w:val="pt-BR"/>
        </w:rPr>
        <w:t xml:space="preserve"> </w:t>
      </w:r>
      <w:r w:rsidRPr="00D5464D">
        <w:rPr>
          <w:rFonts w:eastAsia="Calibri" w:cs="Times New Roman"/>
          <w:szCs w:val="20"/>
          <w:lang w:val="pt-BR"/>
        </w:rPr>
        <w:t>direito</w:t>
      </w:r>
      <w:r w:rsidR="003F32D2" w:rsidRPr="00D5464D">
        <w:rPr>
          <w:rFonts w:eastAsia="Calibri" w:cs="Times New Roman"/>
          <w:szCs w:val="20"/>
          <w:lang w:val="pt-BR"/>
        </w:rPr>
        <w:t>s humanos, entre</w:t>
      </w:r>
      <w:r w:rsidRPr="00D5464D">
        <w:rPr>
          <w:rFonts w:eastAsia="Calibri" w:cs="Times New Roman"/>
          <w:szCs w:val="20"/>
          <w:lang w:val="pt-BR"/>
        </w:rPr>
        <w:t xml:space="preserve"> ele</w:t>
      </w:r>
      <w:r w:rsidR="003F32D2" w:rsidRPr="00D5464D">
        <w:rPr>
          <w:rFonts w:eastAsia="Calibri" w:cs="Times New Roman"/>
          <w:szCs w:val="20"/>
          <w:lang w:val="pt-BR"/>
        </w:rPr>
        <w:t>s</w:t>
      </w:r>
      <w:r w:rsidRPr="00D5464D">
        <w:rPr>
          <w:rFonts w:eastAsia="Calibri" w:cs="Times New Roman"/>
          <w:szCs w:val="20"/>
          <w:lang w:val="pt-BR"/>
        </w:rPr>
        <w:t xml:space="preserve"> o direito</w:t>
      </w:r>
      <w:r w:rsidR="003F32D2" w:rsidRPr="00D5464D">
        <w:rPr>
          <w:rFonts w:eastAsia="Calibri" w:cs="Times New Roman"/>
          <w:szCs w:val="20"/>
          <w:lang w:val="pt-BR"/>
        </w:rPr>
        <w:t xml:space="preserve"> </w:t>
      </w:r>
      <w:r w:rsidR="00230C71" w:rsidRPr="00D5464D">
        <w:rPr>
          <w:rFonts w:eastAsia="Calibri" w:cs="Times New Roman"/>
          <w:szCs w:val="20"/>
          <w:lang w:val="pt-BR"/>
        </w:rPr>
        <w:t xml:space="preserve">a não ser </w:t>
      </w:r>
      <w:r w:rsidR="002C330E" w:rsidRPr="00D5464D">
        <w:rPr>
          <w:rFonts w:eastAsia="Calibri" w:cs="Times New Roman"/>
          <w:szCs w:val="20"/>
          <w:lang w:val="pt-BR"/>
        </w:rPr>
        <w:t>submetido</w:t>
      </w:r>
      <w:r w:rsidR="003F32D2" w:rsidRPr="00D5464D">
        <w:rPr>
          <w:rFonts w:eastAsia="Calibri" w:cs="Times New Roman"/>
          <w:szCs w:val="20"/>
          <w:lang w:val="pt-BR"/>
        </w:rPr>
        <w:t xml:space="preserve"> </w:t>
      </w:r>
      <w:r w:rsidR="00AE6345" w:rsidRPr="00D5464D">
        <w:rPr>
          <w:rFonts w:eastAsia="Calibri" w:cs="Times New Roman"/>
          <w:szCs w:val="20"/>
          <w:lang w:val="pt-BR"/>
        </w:rPr>
        <w:t>à</w:t>
      </w:r>
      <w:r w:rsidR="003F32D2" w:rsidRPr="00D5464D">
        <w:rPr>
          <w:rFonts w:eastAsia="Calibri" w:cs="Times New Roman"/>
          <w:szCs w:val="20"/>
          <w:lang w:val="pt-BR"/>
        </w:rPr>
        <w:t xml:space="preserve"> </w:t>
      </w:r>
      <w:r w:rsidR="000B376D" w:rsidRPr="00D5464D">
        <w:rPr>
          <w:rFonts w:eastAsia="Calibri" w:cs="Times New Roman"/>
          <w:szCs w:val="20"/>
          <w:lang w:val="pt-BR"/>
        </w:rPr>
        <w:t>escravidão</w:t>
      </w:r>
      <w:r w:rsidR="003F32D2" w:rsidRPr="00D5464D">
        <w:rPr>
          <w:rFonts w:eastAsia="Calibri" w:cs="Times New Roman"/>
          <w:szCs w:val="20"/>
          <w:lang w:val="pt-BR"/>
        </w:rPr>
        <w:t xml:space="preserve"> o</w:t>
      </w:r>
      <w:r w:rsidR="00AE6345" w:rsidRPr="00D5464D">
        <w:rPr>
          <w:rFonts w:eastAsia="Calibri" w:cs="Times New Roman"/>
          <w:szCs w:val="20"/>
          <w:lang w:val="pt-BR"/>
        </w:rPr>
        <w:t>u</w:t>
      </w:r>
      <w:r w:rsidR="003F32D2" w:rsidRPr="00D5464D">
        <w:rPr>
          <w:rFonts w:eastAsia="Calibri" w:cs="Times New Roman"/>
          <w:szCs w:val="20"/>
          <w:lang w:val="pt-BR"/>
        </w:rPr>
        <w:t xml:space="preserve"> </w:t>
      </w:r>
      <w:r w:rsidR="000B376D" w:rsidRPr="00D5464D">
        <w:rPr>
          <w:rFonts w:eastAsia="Calibri" w:cs="Times New Roman"/>
          <w:szCs w:val="20"/>
          <w:lang w:val="pt-BR"/>
        </w:rPr>
        <w:t>servidão</w:t>
      </w:r>
      <w:r w:rsidR="00AE6345" w:rsidRPr="00D5464D">
        <w:rPr>
          <w:rFonts w:eastAsia="Calibri" w:cs="Times New Roman"/>
          <w:szCs w:val="20"/>
          <w:lang w:val="pt-BR"/>
        </w:rPr>
        <w:t>.</w:t>
      </w:r>
      <w:r w:rsidR="003F32D2" w:rsidRPr="00D5464D">
        <w:rPr>
          <w:rFonts w:eastAsia="Calibri" w:cs="Times New Roman"/>
          <w:szCs w:val="20"/>
          <w:vertAlign w:val="superscript"/>
          <w:lang w:val="pt-BR"/>
        </w:rPr>
        <w:footnoteReference w:id="432"/>
      </w:r>
    </w:p>
    <w:p w14:paraId="5EA34112" w14:textId="77777777" w:rsidR="003F32D2" w:rsidRPr="00D5464D" w:rsidRDefault="003F32D2" w:rsidP="00ED3AD0">
      <w:pPr>
        <w:tabs>
          <w:tab w:val="clear" w:pos="4419"/>
          <w:tab w:val="clear" w:pos="8838"/>
        </w:tabs>
        <w:jc w:val="both"/>
        <w:rPr>
          <w:rFonts w:eastAsia="Calibri" w:cs="Times New Roman"/>
          <w:szCs w:val="20"/>
          <w:lang w:val="pt-BR"/>
        </w:rPr>
      </w:pPr>
    </w:p>
    <w:p w14:paraId="38043F7C" w14:textId="51E911F4" w:rsidR="00F727E4" w:rsidRPr="00D5464D" w:rsidRDefault="00470ADC" w:rsidP="00ED3AD0">
      <w:pPr>
        <w:numPr>
          <w:ilvl w:val="0"/>
          <w:numId w:val="1"/>
        </w:numPr>
        <w:tabs>
          <w:tab w:val="clear" w:pos="4419"/>
          <w:tab w:val="clear" w:pos="8838"/>
        </w:tabs>
        <w:jc w:val="both"/>
        <w:rPr>
          <w:rFonts w:eastAsia="Calibri" w:cs="Times New Roman"/>
          <w:szCs w:val="20"/>
          <w:lang w:val="pt-BR"/>
        </w:rPr>
      </w:pPr>
      <w:r w:rsidRPr="00D5464D">
        <w:rPr>
          <w:rFonts w:eastAsia="Calibri" w:cs="Times New Roman"/>
          <w:szCs w:val="20"/>
          <w:lang w:val="pt-BR"/>
        </w:rPr>
        <w:t>No âmbito</w:t>
      </w:r>
      <w:r w:rsidR="00A046A2" w:rsidRPr="00D5464D">
        <w:rPr>
          <w:rFonts w:eastAsia="Calibri" w:cs="Times New Roman"/>
          <w:szCs w:val="20"/>
          <w:lang w:val="pt-BR"/>
        </w:rPr>
        <w:t xml:space="preserve"> </w:t>
      </w:r>
      <w:r w:rsidRPr="00D5464D">
        <w:rPr>
          <w:rFonts w:eastAsia="Calibri" w:cs="Times New Roman"/>
          <w:szCs w:val="20"/>
          <w:lang w:val="pt-BR"/>
        </w:rPr>
        <w:t xml:space="preserve">do </w:t>
      </w:r>
      <w:r w:rsidR="00AE6345" w:rsidRPr="00D5464D">
        <w:rPr>
          <w:rFonts w:eastAsia="Calibri" w:cs="Times New Roman"/>
          <w:szCs w:val="20"/>
          <w:lang w:val="pt-BR"/>
        </w:rPr>
        <w:t>S</w:t>
      </w:r>
      <w:r w:rsidR="00CE5161" w:rsidRPr="00D5464D">
        <w:rPr>
          <w:rFonts w:eastAsia="Calibri" w:cs="Times New Roman"/>
          <w:szCs w:val="20"/>
          <w:lang w:val="pt-BR"/>
        </w:rPr>
        <w:t xml:space="preserve">istema </w:t>
      </w:r>
      <w:r w:rsidR="00AE6345" w:rsidRPr="00D5464D">
        <w:rPr>
          <w:rFonts w:eastAsia="Calibri" w:cs="Times New Roman"/>
          <w:szCs w:val="20"/>
          <w:lang w:val="pt-BR"/>
        </w:rPr>
        <w:t>E</w:t>
      </w:r>
      <w:r w:rsidRPr="00D5464D">
        <w:rPr>
          <w:rFonts w:eastAsia="Calibri" w:cs="Times New Roman"/>
          <w:szCs w:val="20"/>
          <w:lang w:val="pt-BR"/>
        </w:rPr>
        <w:t>uropeu</w:t>
      </w:r>
      <w:r w:rsidR="00CE5161" w:rsidRPr="00D5464D">
        <w:rPr>
          <w:rFonts w:eastAsia="Calibri" w:cs="Times New Roman"/>
          <w:szCs w:val="20"/>
          <w:lang w:val="pt-BR"/>
        </w:rPr>
        <w:t xml:space="preserve"> de </w:t>
      </w:r>
      <w:r w:rsidR="00AE6345" w:rsidRPr="00D5464D">
        <w:rPr>
          <w:rFonts w:eastAsia="Calibri" w:cs="Times New Roman"/>
          <w:szCs w:val="20"/>
          <w:lang w:val="pt-BR"/>
        </w:rPr>
        <w:t>D</w:t>
      </w:r>
      <w:r w:rsidRPr="00D5464D">
        <w:rPr>
          <w:rFonts w:eastAsia="Calibri" w:cs="Times New Roman"/>
          <w:szCs w:val="20"/>
          <w:lang w:val="pt-BR"/>
        </w:rPr>
        <w:t>ireito</w:t>
      </w:r>
      <w:r w:rsidR="00CE5161" w:rsidRPr="00D5464D">
        <w:rPr>
          <w:rFonts w:eastAsia="Calibri" w:cs="Times New Roman"/>
          <w:szCs w:val="20"/>
          <w:lang w:val="pt-BR"/>
        </w:rPr>
        <w:t xml:space="preserve">s </w:t>
      </w:r>
      <w:r w:rsidR="00AE6345" w:rsidRPr="00D5464D">
        <w:rPr>
          <w:rFonts w:eastAsia="Calibri" w:cs="Times New Roman"/>
          <w:szCs w:val="20"/>
          <w:lang w:val="pt-BR"/>
        </w:rPr>
        <w:t>H</w:t>
      </w:r>
      <w:r w:rsidR="00CE5161" w:rsidRPr="00D5464D">
        <w:rPr>
          <w:rFonts w:eastAsia="Calibri" w:cs="Times New Roman"/>
          <w:szCs w:val="20"/>
          <w:lang w:val="pt-BR"/>
        </w:rPr>
        <w:t>umanos</w:t>
      </w:r>
      <w:r w:rsidR="00A046A2" w:rsidRPr="00D5464D">
        <w:rPr>
          <w:rFonts w:eastAsia="Calibri" w:cs="Times New Roman"/>
          <w:szCs w:val="20"/>
          <w:lang w:val="pt-BR"/>
        </w:rPr>
        <w:t>,</w:t>
      </w:r>
      <w:r w:rsidRPr="00D5464D">
        <w:rPr>
          <w:rFonts w:eastAsia="Calibri" w:cs="Times New Roman"/>
          <w:szCs w:val="20"/>
          <w:lang w:val="pt-BR"/>
        </w:rPr>
        <w:t xml:space="preserve"> </w:t>
      </w:r>
      <w:r w:rsidR="000B2B14" w:rsidRPr="00D5464D">
        <w:rPr>
          <w:rFonts w:eastAsia="Calibri" w:cs="Times New Roman"/>
          <w:szCs w:val="20"/>
          <w:lang w:val="pt-BR"/>
        </w:rPr>
        <w:t>mesmo</w:t>
      </w:r>
      <w:r w:rsidR="002C330E" w:rsidRPr="00D5464D">
        <w:rPr>
          <w:rFonts w:eastAsia="Calibri" w:cs="Times New Roman"/>
          <w:szCs w:val="20"/>
          <w:lang w:val="pt-BR"/>
        </w:rPr>
        <w:t xml:space="preserve"> sem </w:t>
      </w:r>
      <w:r w:rsidR="00F727E4" w:rsidRPr="00D5464D">
        <w:rPr>
          <w:rFonts w:eastAsia="Calibri" w:cs="Times New Roman"/>
          <w:szCs w:val="20"/>
          <w:lang w:val="pt-BR"/>
        </w:rPr>
        <w:t>men</w:t>
      </w:r>
      <w:r w:rsidRPr="00D5464D">
        <w:rPr>
          <w:rFonts w:eastAsia="Calibri" w:cs="Times New Roman"/>
          <w:szCs w:val="20"/>
          <w:lang w:val="pt-BR"/>
        </w:rPr>
        <w:t>ção</w:t>
      </w:r>
      <w:r w:rsidR="00F727E4" w:rsidRPr="00D5464D">
        <w:rPr>
          <w:rFonts w:eastAsia="Calibri" w:cs="Times New Roman"/>
          <w:szCs w:val="20"/>
          <w:lang w:val="pt-BR"/>
        </w:rPr>
        <w:t xml:space="preserve"> </w:t>
      </w:r>
      <w:r w:rsidRPr="00D5464D">
        <w:rPr>
          <w:rFonts w:eastAsia="Calibri" w:cs="Times New Roman"/>
          <w:szCs w:val="20"/>
          <w:lang w:val="pt-BR"/>
        </w:rPr>
        <w:t>expressa</w:t>
      </w:r>
      <w:r w:rsidR="00F727E4" w:rsidRPr="00D5464D">
        <w:rPr>
          <w:rFonts w:eastAsia="Calibri" w:cs="Times New Roman"/>
          <w:szCs w:val="20"/>
          <w:lang w:val="pt-BR"/>
        </w:rPr>
        <w:t xml:space="preserve"> a</w:t>
      </w:r>
      <w:r w:rsidRPr="00D5464D">
        <w:rPr>
          <w:rFonts w:eastAsia="Calibri" w:cs="Times New Roman"/>
          <w:szCs w:val="20"/>
          <w:lang w:val="pt-BR"/>
        </w:rPr>
        <w:t xml:space="preserve"> esse fenômeno</w:t>
      </w:r>
      <w:r w:rsidR="00E045D9" w:rsidRPr="00D5464D">
        <w:rPr>
          <w:rFonts w:eastAsia="Calibri" w:cs="Times New Roman"/>
          <w:szCs w:val="20"/>
          <w:lang w:val="pt-BR"/>
        </w:rPr>
        <w:t xml:space="preserve"> n</w:t>
      </w:r>
      <w:r w:rsidR="001A4B58" w:rsidRPr="00D5464D">
        <w:rPr>
          <w:rFonts w:eastAsia="Calibri" w:cs="Times New Roman"/>
          <w:szCs w:val="20"/>
          <w:lang w:val="pt-BR"/>
        </w:rPr>
        <w:t>a Convenção Europeia de Direitos do Homem</w:t>
      </w:r>
      <w:r w:rsidR="00AE6345" w:rsidRPr="00D5464D">
        <w:rPr>
          <w:rFonts w:eastAsia="Calibri" w:cs="Times New Roman"/>
          <w:szCs w:val="20"/>
          <w:lang w:val="pt-BR"/>
        </w:rPr>
        <w:t>,</w:t>
      </w:r>
      <w:r w:rsidR="00F727E4" w:rsidRPr="00D5464D">
        <w:rPr>
          <w:rFonts w:eastAsia="Calibri" w:cs="Times New Roman"/>
          <w:szCs w:val="20"/>
          <w:vertAlign w:val="superscript"/>
          <w:lang w:val="pt-BR"/>
        </w:rPr>
        <w:footnoteReference w:id="433"/>
      </w:r>
      <w:r w:rsidRPr="00D5464D">
        <w:rPr>
          <w:rFonts w:eastAsia="Calibri" w:cs="Times New Roman"/>
          <w:szCs w:val="20"/>
          <w:lang w:val="pt-BR"/>
        </w:rPr>
        <w:t xml:space="preserve"> o </w:t>
      </w:r>
      <w:r w:rsidR="00CE5161" w:rsidRPr="00D5464D">
        <w:rPr>
          <w:rFonts w:eastAsia="Calibri" w:cs="Times New Roman"/>
          <w:szCs w:val="20"/>
          <w:lang w:val="pt-BR"/>
        </w:rPr>
        <w:t xml:space="preserve">Tribunal </w:t>
      </w:r>
      <w:r w:rsidRPr="00D5464D">
        <w:rPr>
          <w:rFonts w:eastAsia="Calibri" w:cs="Times New Roman"/>
          <w:szCs w:val="20"/>
          <w:lang w:val="pt-BR"/>
        </w:rPr>
        <w:t>Europeu</w:t>
      </w:r>
      <w:r w:rsidR="00CE5161" w:rsidRPr="00D5464D">
        <w:rPr>
          <w:rFonts w:eastAsia="Calibri" w:cs="Times New Roman"/>
          <w:szCs w:val="20"/>
          <w:lang w:val="pt-BR"/>
        </w:rPr>
        <w:t xml:space="preserve"> </w:t>
      </w:r>
      <w:r w:rsidRPr="00D5464D">
        <w:rPr>
          <w:rFonts w:eastAsia="Calibri" w:cs="Times New Roman"/>
          <w:szCs w:val="20"/>
          <w:lang w:val="pt-BR"/>
        </w:rPr>
        <w:t>afirmou</w:t>
      </w:r>
      <w:r w:rsidR="00F727E4" w:rsidRPr="00D5464D">
        <w:rPr>
          <w:rFonts w:eastAsia="Calibri" w:cs="Times New Roman"/>
          <w:szCs w:val="20"/>
          <w:lang w:val="pt-BR"/>
        </w:rPr>
        <w:t xml:space="preserve"> que</w:t>
      </w:r>
      <w:r w:rsidR="002C330E" w:rsidRPr="00D5464D">
        <w:rPr>
          <w:rFonts w:eastAsia="Calibri" w:cs="Times New Roman"/>
          <w:szCs w:val="20"/>
          <w:lang w:val="pt-BR"/>
        </w:rPr>
        <w:t xml:space="preserve"> a </w:t>
      </w:r>
      <w:r w:rsidR="00F727E4" w:rsidRPr="00D5464D">
        <w:rPr>
          <w:rFonts w:eastAsia="Calibri" w:cs="Times New Roman"/>
          <w:szCs w:val="20"/>
          <w:lang w:val="pt-BR"/>
        </w:rPr>
        <w:t>defini</w:t>
      </w:r>
      <w:r w:rsidRPr="00D5464D">
        <w:rPr>
          <w:rFonts w:eastAsia="Calibri" w:cs="Times New Roman"/>
          <w:szCs w:val="20"/>
          <w:lang w:val="pt-BR"/>
        </w:rPr>
        <w:t>ção</w:t>
      </w:r>
      <w:r w:rsidR="00F727E4" w:rsidRPr="00D5464D">
        <w:rPr>
          <w:rFonts w:eastAsia="Calibri" w:cs="Times New Roman"/>
          <w:szCs w:val="20"/>
          <w:lang w:val="pt-BR"/>
        </w:rPr>
        <w:t xml:space="preserve"> de</w:t>
      </w:r>
      <w:r w:rsidR="004F1CC2" w:rsidRPr="00D5464D">
        <w:rPr>
          <w:rFonts w:eastAsia="Calibri" w:cs="Times New Roman"/>
          <w:szCs w:val="20"/>
          <w:lang w:val="pt-BR"/>
        </w:rPr>
        <w:t xml:space="preserve"> tráfico de pessoas</w:t>
      </w:r>
      <w:r w:rsidR="00F727E4" w:rsidRPr="00D5464D">
        <w:rPr>
          <w:rFonts w:eastAsia="Calibri" w:cs="Times New Roman"/>
          <w:szCs w:val="20"/>
          <w:lang w:val="pt-BR"/>
        </w:rPr>
        <w:t xml:space="preserve"> </w:t>
      </w:r>
      <w:r w:rsidRPr="00D5464D">
        <w:rPr>
          <w:rFonts w:eastAsia="Calibri" w:cs="Times New Roman"/>
          <w:szCs w:val="20"/>
          <w:lang w:val="pt-BR"/>
        </w:rPr>
        <w:t xml:space="preserve">do </w:t>
      </w:r>
      <w:r w:rsidR="00F727E4" w:rsidRPr="00D5464D">
        <w:rPr>
          <w:rFonts w:eastAsia="Calibri" w:cs="Times New Roman"/>
          <w:szCs w:val="20"/>
          <w:lang w:val="pt-BR"/>
        </w:rPr>
        <w:t xml:space="preserve">Protocolo de Palermo está </w:t>
      </w:r>
      <w:r w:rsidR="002C330E" w:rsidRPr="00D5464D">
        <w:rPr>
          <w:rFonts w:eastAsia="Calibri" w:cs="Times New Roman"/>
          <w:szCs w:val="20"/>
          <w:lang w:val="pt-BR"/>
        </w:rPr>
        <w:t>incluíd</w:t>
      </w:r>
      <w:r w:rsidR="00F727E4" w:rsidRPr="00D5464D">
        <w:rPr>
          <w:rFonts w:eastAsia="Calibri" w:cs="Times New Roman"/>
          <w:szCs w:val="20"/>
          <w:lang w:val="pt-BR"/>
        </w:rPr>
        <w:t>a</w:t>
      </w:r>
      <w:r w:rsidR="00E045D9" w:rsidRPr="00D5464D">
        <w:rPr>
          <w:rFonts w:eastAsia="Calibri" w:cs="Times New Roman"/>
          <w:szCs w:val="20"/>
          <w:lang w:val="pt-BR"/>
        </w:rPr>
        <w:t xml:space="preserve"> na </w:t>
      </w:r>
      <w:r w:rsidR="002C330E" w:rsidRPr="00D5464D">
        <w:rPr>
          <w:rFonts w:eastAsia="Calibri" w:cs="Times New Roman"/>
          <w:szCs w:val="20"/>
          <w:lang w:val="pt-BR"/>
        </w:rPr>
        <w:t>proibição</w:t>
      </w:r>
      <w:r w:rsidRPr="00D5464D">
        <w:rPr>
          <w:rFonts w:eastAsia="Calibri" w:cs="Times New Roman"/>
          <w:szCs w:val="20"/>
          <w:lang w:val="pt-BR"/>
        </w:rPr>
        <w:t xml:space="preserve"> da </w:t>
      </w:r>
      <w:r w:rsidR="000B376D" w:rsidRPr="00D5464D">
        <w:rPr>
          <w:rFonts w:eastAsia="Calibri" w:cs="Times New Roman"/>
          <w:szCs w:val="20"/>
          <w:lang w:val="pt-BR"/>
        </w:rPr>
        <w:t>escravidão</w:t>
      </w:r>
      <w:r w:rsidR="00F727E4" w:rsidRPr="00D5464D">
        <w:rPr>
          <w:rFonts w:eastAsia="Calibri" w:cs="Times New Roman"/>
          <w:szCs w:val="20"/>
          <w:lang w:val="pt-BR"/>
        </w:rPr>
        <w:t xml:space="preserve">, </w:t>
      </w:r>
      <w:r w:rsidR="000B376D" w:rsidRPr="00D5464D">
        <w:rPr>
          <w:rFonts w:eastAsia="Calibri" w:cs="Times New Roman"/>
          <w:szCs w:val="20"/>
          <w:lang w:val="pt-BR"/>
        </w:rPr>
        <w:t>servidão</w:t>
      </w:r>
      <w:r w:rsidR="00E045D9" w:rsidRPr="00D5464D">
        <w:rPr>
          <w:rFonts w:eastAsia="Calibri" w:cs="Times New Roman"/>
          <w:szCs w:val="20"/>
          <w:lang w:val="pt-BR"/>
        </w:rPr>
        <w:t xml:space="preserve"> e trabalho</w:t>
      </w:r>
      <w:r w:rsidR="00F727E4" w:rsidRPr="00D5464D">
        <w:rPr>
          <w:rFonts w:eastAsia="Calibri" w:cs="Times New Roman"/>
          <w:szCs w:val="20"/>
          <w:lang w:val="pt-BR"/>
        </w:rPr>
        <w:t xml:space="preserve"> </w:t>
      </w:r>
      <w:r w:rsidR="00230C71" w:rsidRPr="00D5464D">
        <w:rPr>
          <w:rFonts w:eastAsia="Calibri" w:cs="Times New Roman"/>
          <w:szCs w:val="20"/>
          <w:lang w:val="pt-BR"/>
        </w:rPr>
        <w:t>forçado</w:t>
      </w:r>
      <w:r w:rsidR="00F727E4" w:rsidRPr="00D5464D">
        <w:rPr>
          <w:rFonts w:eastAsia="Calibri" w:cs="Times New Roman"/>
          <w:szCs w:val="20"/>
          <w:lang w:val="pt-BR"/>
        </w:rPr>
        <w:t xml:space="preserve"> </w:t>
      </w:r>
      <w:r w:rsidRPr="00D5464D">
        <w:rPr>
          <w:rFonts w:eastAsia="Calibri" w:cs="Times New Roman"/>
          <w:szCs w:val="20"/>
          <w:lang w:val="pt-BR"/>
        </w:rPr>
        <w:t>do artigo</w:t>
      </w:r>
      <w:r w:rsidR="00F727E4" w:rsidRPr="00D5464D">
        <w:rPr>
          <w:rFonts w:eastAsia="Calibri" w:cs="Times New Roman"/>
          <w:szCs w:val="20"/>
          <w:lang w:val="pt-BR"/>
        </w:rPr>
        <w:t xml:space="preserve"> 4</w:t>
      </w:r>
      <w:r w:rsidR="00AE6345" w:rsidRPr="00D5464D">
        <w:rPr>
          <w:rFonts w:eastAsia="Calibri" w:cs="Times New Roman"/>
          <w:szCs w:val="20"/>
          <w:lang w:val="pt-BR"/>
        </w:rPr>
        <w:t xml:space="preserve">º </w:t>
      </w:r>
      <w:r w:rsidRPr="00D5464D">
        <w:rPr>
          <w:rFonts w:eastAsia="Calibri" w:cs="Times New Roman"/>
          <w:szCs w:val="20"/>
          <w:lang w:val="pt-BR"/>
        </w:rPr>
        <w:t>d</w:t>
      </w:r>
      <w:r w:rsidR="001A4B58" w:rsidRPr="00D5464D">
        <w:rPr>
          <w:rFonts w:eastAsia="Calibri" w:cs="Times New Roman"/>
          <w:szCs w:val="20"/>
          <w:lang w:val="pt-BR"/>
        </w:rPr>
        <w:t>a</w:t>
      </w:r>
      <w:r w:rsidRPr="00D5464D">
        <w:rPr>
          <w:rFonts w:eastAsia="Calibri" w:cs="Times New Roman"/>
          <w:szCs w:val="20"/>
          <w:lang w:val="pt-BR"/>
        </w:rPr>
        <w:t xml:space="preserve"> </w:t>
      </w:r>
      <w:r w:rsidR="001A4B58" w:rsidRPr="00D5464D">
        <w:rPr>
          <w:rFonts w:eastAsia="Calibri" w:cs="Times New Roman"/>
          <w:szCs w:val="20"/>
          <w:lang w:val="pt-BR"/>
        </w:rPr>
        <w:t>Convenção Europeia</w:t>
      </w:r>
      <w:r w:rsidR="00AE6345" w:rsidRPr="00D5464D">
        <w:rPr>
          <w:rFonts w:eastAsia="Calibri" w:cs="Times New Roman"/>
          <w:szCs w:val="20"/>
          <w:lang w:val="pt-BR"/>
        </w:rPr>
        <w:t>.</w:t>
      </w:r>
      <w:r w:rsidR="00F727E4" w:rsidRPr="00D5464D">
        <w:rPr>
          <w:rFonts w:eastAsia="Calibri" w:cs="Times New Roman"/>
          <w:szCs w:val="20"/>
          <w:vertAlign w:val="superscript"/>
          <w:lang w:val="pt-BR"/>
        </w:rPr>
        <w:footnoteReference w:id="434"/>
      </w:r>
      <w:r w:rsidR="00C91CB1" w:rsidRPr="00D5464D">
        <w:rPr>
          <w:rFonts w:eastAsia="Calibri" w:cs="Times New Roman"/>
          <w:szCs w:val="20"/>
          <w:lang w:val="pt-BR"/>
        </w:rPr>
        <w:t xml:space="preserve"> No </w:t>
      </w:r>
      <w:r w:rsidR="007E573C" w:rsidRPr="00D5464D">
        <w:rPr>
          <w:rFonts w:eastAsia="Calibri" w:cs="Times New Roman"/>
          <w:i/>
          <w:szCs w:val="20"/>
          <w:lang w:val="pt-BR"/>
        </w:rPr>
        <w:t>C</w:t>
      </w:r>
      <w:r w:rsidR="00F727E4" w:rsidRPr="00D5464D">
        <w:rPr>
          <w:rFonts w:eastAsia="Calibri" w:cs="Times New Roman"/>
          <w:i/>
          <w:szCs w:val="20"/>
          <w:lang w:val="pt-BR"/>
        </w:rPr>
        <w:t>aso Rantsev Vs. Chipre</w:t>
      </w:r>
      <w:r w:rsidR="00E045D9" w:rsidRPr="00D5464D">
        <w:rPr>
          <w:rFonts w:eastAsia="Calibri" w:cs="Times New Roman"/>
          <w:i/>
          <w:szCs w:val="20"/>
          <w:lang w:val="pt-BR"/>
        </w:rPr>
        <w:t xml:space="preserve"> e </w:t>
      </w:r>
      <w:r w:rsidR="002C330E" w:rsidRPr="00D5464D">
        <w:rPr>
          <w:rFonts w:eastAsia="Calibri" w:cs="Times New Roman"/>
          <w:i/>
          <w:szCs w:val="20"/>
          <w:lang w:val="pt-BR"/>
        </w:rPr>
        <w:t>Rússia</w:t>
      </w:r>
      <w:r w:rsidR="00F727E4" w:rsidRPr="00D5464D">
        <w:rPr>
          <w:rFonts w:eastAsia="Calibri" w:cs="Times New Roman"/>
          <w:szCs w:val="20"/>
          <w:lang w:val="pt-BR"/>
        </w:rPr>
        <w:t>,</w:t>
      </w:r>
      <w:r w:rsidRPr="00D5464D">
        <w:rPr>
          <w:rFonts w:eastAsia="Calibri" w:cs="Times New Roman"/>
          <w:szCs w:val="20"/>
          <w:lang w:val="pt-BR"/>
        </w:rPr>
        <w:t xml:space="preserve"> o </w:t>
      </w:r>
      <w:r w:rsidR="00F727E4" w:rsidRPr="00D5464D">
        <w:rPr>
          <w:rFonts w:eastAsia="Calibri" w:cs="Times New Roman"/>
          <w:szCs w:val="20"/>
          <w:lang w:val="pt-BR"/>
        </w:rPr>
        <w:t xml:space="preserve">Tribunal </w:t>
      </w:r>
      <w:r w:rsidRPr="00D5464D">
        <w:rPr>
          <w:rFonts w:eastAsia="Calibri" w:cs="Times New Roman"/>
          <w:szCs w:val="20"/>
          <w:lang w:val="pt-BR"/>
        </w:rPr>
        <w:t>Europeu</w:t>
      </w:r>
      <w:r w:rsidR="00F727E4" w:rsidRPr="00D5464D">
        <w:rPr>
          <w:rFonts w:eastAsia="Calibri" w:cs="Times New Roman"/>
          <w:szCs w:val="20"/>
          <w:lang w:val="pt-BR"/>
        </w:rPr>
        <w:t xml:space="preserve"> </w:t>
      </w:r>
      <w:r w:rsidRPr="00D5464D">
        <w:rPr>
          <w:rFonts w:eastAsia="Calibri" w:cs="Times New Roman"/>
          <w:szCs w:val="20"/>
          <w:lang w:val="pt-BR"/>
        </w:rPr>
        <w:t>estabeleceu</w:t>
      </w:r>
      <w:r w:rsidR="00F727E4" w:rsidRPr="00D5464D">
        <w:rPr>
          <w:rFonts w:eastAsia="Calibri" w:cs="Times New Roman"/>
          <w:szCs w:val="20"/>
          <w:lang w:val="pt-BR"/>
        </w:rPr>
        <w:t xml:space="preserve"> que </w:t>
      </w:r>
      <w:r w:rsidRPr="00D5464D">
        <w:rPr>
          <w:rFonts w:eastAsia="Calibri" w:cs="Times New Roman"/>
          <w:szCs w:val="20"/>
          <w:lang w:val="pt-BR"/>
        </w:rPr>
        <w:t>“</w:t>
      </w:r>
      <w:r w:rsidR="004F1CC2" w:rsidRPr="00D5464D">
        <w:rPr>
          <w:rFonts w:eastAsia="Calibri" w:cs="Times New Roman"/>
          <w:szCs w:val="20"/>
          <w:lang w:val="pt-BR"/>
        </w:rPr>
        <w:t>o tráfico de pessoas</w:t>
      </w:r>
      <w:r w:rsidR="00EB1CE9" w:rsidRPr="00D5464D">
        <w:rPr>
          <w:rFonts w:eastAsia="Calibri" w:cs="Times New Roman"/>
          <w:szCs w:val="20"/>
          <w:lang w:val="pt-BR"/>
        </w:rPr>
        <w:t xml:space="preserve">, por </w:t>
      </w:r>
      <w:r w:rsidR="00230C71" w:rsidRPr="00D5464D">
        <w:rPr>
          <w:rFonts w:eastAsia="Calibri" w:cs="Times New Roman"/>
          <w:szCs w:val="20"/>
          <w:lang w:val="pt-BR"/>
        </w:rPr>
        <w:t>sua própria</w:t>
      </w:r>
      <w:r w:rsidR="002C330E" w:rsidRPr="00D5464D">
        <w:rPr>
          <w:rFonts w:eastAsia="Calibri" w:cs="Times New Roman"/>
          <w:szCs w:val="20"/>
          <w:lang w:val="pt-BR"/>
        </w:rPr>
        <w:t xml:space="preserve"> natureza</w:t>
      </w:r>
      <w:r w:rsidR="00E045D9" w:rsidRPr="00D5464D">
        <w:rPr>
          <w:rFonts w:eastAsia="Calibri" w:cs="Times New Roman"/>
          <w:szCs w:val="20"/>
          <w:lang w:val="pt-BR"/>
        </w:rPr>
        <w:t xml:space="preserve"> e </w:t>
      </w:r>
      <w:r w:rsidRPr="00D5464D">
        <w:rPr>
          <w:rFonts w:eastAsia="Calibri" w:cs="Times New Roman"/>
          <w:szCs w:val="20"/>
          <w:lang w:val="pt-BR"/>
        </w:rPr>
        <w:t xml:space="preserve">fim </w:t>
      </w:r>
      <w:r w:rsidR="00F727E4" w:rsidRPr="00D5464D">
        <w:rPr>
          <w:rFonts w:eastAsia="Calibri" w:cs="Times New Roman"/>
          <w:szCs w:val="20"/>
          <w:lang w:val="pt-BR"/>
        </w:rPr>
        <w:t xml:space="preserve">de </w:t>
      </w:r>
      <w:r w:rsidR="00230C71" w:rsidRPr="00D5464D">
        <w:rPr>
          <w:rFonts w:eastAsia="Calibri" w:cs="Times New Roman"/>
          <w:szCs w:val="20"/>
          <w:lang w:val="pt-BR"/>
        </w:rPr>
        <w:t>exploração</w:t>
      </w:r>
      <w:r w:rsidR="00F727E4" w:rsidRPr="00D5464D">
        <w:rPr>
          <w:rFonts w:eastAsia="Calibri" w:cs="Times New Roman"/>
          <w:szCs w:val="20"/>
          <w:lang w:val="pt-BR"/>
        </w:rPr>
        <w:t>, está</w:t>
      </w:r>
      <w:r w:rsidR="00A1358C" w:rsidRPr="00D5464D">
        <w:rPr>
          <w:rFonts w:eastAsia="Calibri" w:cs="Times New Roman"/>
          <w:szCs w:val="20"/>
          <w:lang w:val="pt-BR"/>
        </w:rPr>
        <w:t xml:space="preserve"> basead</w:t>
      </w:r>
      <w:r w:rsidR="00AE6345" w:rsidRPr="00D5464D">
        <w:rPr>
          <w:rFonts w:eastAsia="Calibri" w:cs="Times New Roman"/>
          <w:szCs w:val="20"/>
          <w:lang w:val="pt-BR"/>
        </w:rPr>
        <w:t>o</w:t>
      </w:r>
      <w:r w:rsidR="00F727E4" w:rsidRPr="00D5464D">
        <w:rPr>
          <w:rFonts w:eastAsia="Calibri" w:cs="Times New Roman"/>
          <w:szCs w:val="20"/>
          <w:lang w:val="pt-BR"/>
        </w:rPr>
        <w:t xml:space="preserve"> </w:t>
      </w:r>
      <w:r w:rsidR="00AE6345" w:rsidRPr="00D5464D">
        <w:rPr>
          <w:rFonts w:eastAsia="Calibri" w:cs="Times New Roman"/>
          <w:szCs w:val="20"/>
          <w:lang w:val="pt-BR"/>
        </w:rPr>
        <w:t>n</w:t>
      </w:r>
      <w:r w:rsidRPr="00D5464D">
        <w:rPr>
          <w:rFonts w:eastAsia="Calibri" w:cs="Times New Roman"/>
          <w:szCs w:val="20"/>
          <w:lang w:val="pt-BR"/>
        </w:rPr>
        <w:t>o exercício</w:t>
      </w:r>
      <w:r w:rsidR="00F727E4" w:rsidRPr="00D5464D">
        <w:rPr>
          <w:rFonts w:eastAsia="Calibri" w:cs="Times New Roman"/>
          <w:szCs w:val="20"/>
          <w:lang w:val="pt-BR"/>
        </w:rPr>
        <w:t xml:space="preserve"> de poderes vinculados</w:t>
      </w:r>
      <w:r w:rsidRPr="00D5464D">
        <w:rPr>
          <w:rFonts w:eastAsia="Calibri" w:cs="Times New Roman"/>
          <w:szCs w:val="20"/>
          <w:lang w:val="pt-BR"/>
        </w:rPr>
        <w:t xml:space="preserve"> </w:t>
      </w:r>
      <w:r w:rsidR="00AE6345" w:rsidRPr="00D5464D">
        <w:rPr>
          <w:rFonts w:eastAsia="Calibri" w:cs="Times New Roman"/>
          <w:szCs w:val="20"/>
          <w:lang w:val="pt-BR"/>
        </w:rPr>
        <w:t>a</w:t>
      </w:r>
      <w:r w:rsidRPr="00D5464D">
        <w:rPr>
          <w:rFonts w:eastAsia="Calibri" w:cs="Times New Roman"/>
          <w:szCs w:val="20"/>
          <w:lang w:val="pt-BR"/>
        </w:rPr>
        <w:t>o direito</w:t>
      </w:r>
      <w:r w:rsidR="00F727E4" w:rsidRPr="00D5464D">
        <w:rPr>
          <w:rFonts w:eastAsia="Calibri" w:cs="Times New Roman"/>
          <w:szCs w:val="20"/>
          <w:lang w:val="pt-BR"/>
        </w:rPr>
        <w:t xml:space="preserve"> de </w:t>
      </w:r>
      <w:r w:rsidR="002C330E" w:rsidRPr="00D5464D">
        <w:rPr>
          <w:rFonts w:eastAsia="Calibri" w:cs="Times New Roman"/>
          <w:szCs w:val="20"/>
          <w:lang w:val="pt-BR"/>
        </w:rPr>
        <w:t>propriedade</w:t>
      </w:r>
      <w:r w:rsidR="00F727E4" w:rsidRPr="00D5464D">
        <w:rPr>
          <w:rFonts w:eastAsia="Calibri" w:cs="Times New Roman"/>
          <w:szCs w:val="20"/>
          <w:lang w:val="pt-BR"/>
        </w:rPr>
        <w:t>. Considera</w:t>
      </w:r>
      <w:r w:rsidR="00E045D9" w:rsidRPr="00D5464D">
        <w:rPr>
          <w:rFonts w:eastAsia="Calibri" w:cs="Times New Roman"/>
          <w:szCs w:val="20"/>
          <w:lang w:val="pt-BR"/>
        </w:rPr>
        <w:t xml:space="preserve"> os </w:t>
      </w:r>
      <w:r w:rsidR="00F727E4" w:rsidRPr="00D5464D">
        <w:rPr>
          <w:rFonts w:eastAsia="Calibri" w:cs="Times New Roman"/>
          <w:szCs w:val="20"/>
          <w:lang w:val="pt-BR"/>
        </w:rPr>
        <w:t xml:space="preserve">seres humanos </w:t>
      </w:r>
      <w:r w:rsidR="00AE6345" w:rsidRPr="00D5464D">
        <w:rPr>
          <w:rFonts w:eastAsia="Calibri" w:cs="Times New Roman"/>
          <w:szCs w:val="20"/>
          <w:lang w:val="pt-BR"/>
        </w:rPr>
        <w:t xml:space="preserve">como mercadoria </w:t>
      </w:r>
      <w:r w:rsidR="00F727E4" w:rsidRPr="00D5464D">
        <w:rPr>
          <w:rFonts w:eastAsia="Calibri" w:cs="Times New Roman"/>
          <w:szCs w:val="20"/>
          <w:lang w:val="pt-BR"/>
        </w:rPr>
        <w:t xml:space="preserve">que </w:t>
      </w:r>
      <w:r w:rsidR="002C330E" w:rsidRPr="00D5464D">
        <w:rPr>
          <w:rFonts w:eastAsia="Calibri" w:cs="Times New Roman"/>
          <w:szCs w:val="20"/>
          <w:lang w:val="pt-BR"/>
        </w:rPr>
        <w:t>pode</w:t>
      </w:r>
      <w:r w:rsidR="003924C3" w:rsidRPr="00D5464D">
        <w:rPr>
          <w:rFonts w:eastAsia="Calibri" w:cs="Times New Roman"/>
          <w:szCs w:val="20"/>
          <w:lang w:val="pt-BR"/>
        </w:rPr>
        <w:t>m</w:t>
      </w:r>
      <w:r w:rsidR="00F727E4" w:rsidRPr="00D5464D">
        <w:rPr>
          <w:rFonts w:eastAsia="Calibri" w:cs="Times New Roman"/>
          <w:szCs w:val="20"/>
          <w:lang w:val="pt-BR"/>
        </w:rPr>
        <w:t xml:space="preserve"> ser comprada</w:t>
      </w:r>
      <w:r w:rsidR="003924C3" w:rsidRPr="00D5464D">
        <w:rPr>
          <w:rFonts w:eastAsia="Calibri" w:cs="Times New Roman"/>
          <w:szCs w:val="20"/>
          <w:lang w:val="pt-BR"/>
        </w:rPr>
        <w:t>s,</w:t>
      </w:r>
      <w:r w:rsidR="00E045D9" w:rsidRPr="00D5464D">
        <w:rPr>
          <w:rFonts w:eastAsia="Calibri" w:cs="Times New Roman"/>
          <w:szCs w:val="20"/>
          <w:lang w:val="pt-BR"/>
        </w:rPr>
        <w:t xml:space="preserve"> </w:t>
      </w:r>
      <w:r w:rsidR="00F727E4" w:rsidRPr="00D5464D">
        <w:rPr>
          <w:rFonts w:eastAsia="Calibri" w:cs="Times New Roman"/>
          <w:szCs w:val="20"/>
          <w:lang w:val="pt-BR"/>
        </w:rPr>
        <w:t>vendida</w:t>
      </w:r>
      <w:r w:rsidR="003924C3" w:rsidRPr="00D5464D">
        <w:rPr>
          <w:rFonts w:eastAsia="Calibri" w:cs="Times New Roman"/>
          <w:szCs w:val="20"/>
          <w:lang w:val="pt-BR"/>
        </w:rPr>
        <w:t>s</w:t>
      </w:r>
      <w:r w:rsidR="00E045D9" w:rsidRPr="00D5464D">
        <w:rPr>
          <w:rFonts w:eastAsia="Calibri" w:cs="Times New Roman"/>
          <w:szCs w:val="20"/>
          <w:lang w:val="pt-BR"/>
        </w:rPr>
        <w:t xml:space="preserve"> e </w:t>
      </w:r>
      <w:r w:rsidR="002C330E" w:rsidRPr="00D5464D">
        <w:rPr>
          <w:rFonts w:eastAsia="Calibri" w:cs="Times New Roman"/>
          <w:szCs w:val="20"/>
          <w:lang w:val="pt-BR"/>
        </w:rPr>
        <w:t>submetida</w:t>
      </w:r>
      <w:r w:rsidR="003924C3" w:rsidRPr="00D5464D">
        <w:rPr>
          <w:rFonts w:eastAsia="Calibri" w:cs="Times New Roman"/>
          <w:szCs w:val="20"/>
          <w:lang w:val="pt-BR"/>
        </w:rPr>
        <w:t>s</w:t>
      </w:r>
      <w:r w:rsidR="00F727E4" w:rsidRPr="00D5464D">
        <w:rPr>
          <w:rFonts w:eastAsia="Calibri" w:cs="Times New Roman"/>
          <w:szCs w:val="20"/>
          <w:lang w:val="pt-BR"/>
        </w:rPr>
        <w:t xml:space="preserve"> a </w:t>
      </w:r>
      <w:r w:rsidR="00E045D9" w:rsidRPr="00D5464D">
        <w:rPr>
          <w:rFonts w:eastAsia="Calibri" w:cs="Times New Roman"/>
          <w:szCs w:val="20"/>
          <w:lang w:val="pt-BR"/>
        </w:rPr>
        <w:t>trabalho</w:t>
      </w:r>
      <w:r w:rsidR="00F727E4" w:rsidRPr="00D5464D">
        <w:rPr>
          <w:rFonts w:eastAsia="Calibri" w:cs="Times New Roman"/>
          <w:szCs w:val="20"/>
          <w:lang w:val="pt-BR"/>
        </w:rPr>
        <w:t xml:space="preserve"> </w:t>
      </w:r>
      <w:r w:rsidR="00230C71" w:rsidRPr="00D5464D">
        <w:rPr>
          <w:rFonts w:eastAsia="Calibri" w:cs="Times New Roman"/>
          <w:szCs w:val="20"/>
          <w:lang w:val="pt-BR"/>
        </w:rPr>
        <w:t>forçado</w:t>
      </w:r>
      <w:r w:rsidR="00F727E4" w:rsidRPr="00D5464D">
        <w:rPr>
          <w:rFonts w:eastAsia="Calibri" w:cs="Times New Roman"/>
          <w:szCs w:val="20"/>
          <w:lang w:val="pt-BR"/>
        </w:rPr>
        <w:t xml:space="preserve">, </w:t>
      </w:r>
      <w:r w:rsidRPr="00D5464D">
        <w:rPr>
          <w:rFonts w:eastAsia="Calibri" w:cs="Times New Roman"/>
          <w:szCs w:val="20"/>
          <w:lang w:val="pt-BR"/>
        </w:rPr>
        <w:t>frequentemente</w:t>
      </w:r>
      <w:r w:rsidR="00F727E4" w:rsidRPr="00D5464D">
        <w:rPr>
          <w:rFonts w:eastAsia="Calibri" w:cs="Times New Roman"/>
          <w:szCs w:val="20"/>
          <w:lang w:val="pt-BR"/>
        </w:rPr>
        <w:t xml:space="preserve"> </w:t>
      </w:r>
      <w:r w:rsidR="00AE6345" w:rsidRPr="00D5464D">
        <w:rPr>
          <w:rFonts w:eastAsia="Calibri" w:cs="Times New Roman"/>
          <w:szCs w:val="20"/>
          <w:lang w:val="pt-BR"/>
        </w:rPr>
        <w:t xml:space="preserve">em troca </w:t>
      </w:r>
      <w:r w:rsidR="00F727E4" w:rsidRPr="00D5464D">
        <w:rPr>
          <w:rFonts w:eastAsia="Calibri" w:cs="Times New Roman"/>
          <w:szCs w:val="20"/>
          <w:lang w:val="pt-BR"/>
        </w:rPr>
        <w:t xml:space="preserve">de </w:t>
      </w:r>
      <w:r w:rsidR="002C330E" w:rsidRPr="00D5464D">
        <w:rPr>
          <w:rFonts w:eastAsia="Calibri" w:cs="Times New Roman"/>
          <w:szCs w:val="20"/>
          <w:lang w:val="pt-BR"/>
        </w:rPr>
        <w:t>pouc</w:t>
      </w:r>
      <w:r w:rsidR="000B2B14" w:rsidRPr="00D5464D">
        <w:rPr>
          <w:rFonts w:eastAsia="Calibri" w:cs="Times New Roman"/>
          <w:szCs w:val="20"/>
          <w:lang w:val="pt-BR"/>
        </w:rPr>
        <w:t>o</w:t>
      </w:r>
      <w:r w:rsidR="002C330E" w:rsidRPr="00D5464D">
        <w:rPr>
          <w:rFonts w:eastAsia="Calibri" w:cs="Times New Roman"/>
          <w:szCs w:val="20"/>
          <w:lang w:val="pt-BR"/>
        </w:rPr>
        <w:t xml:space="preserve"> </w:t>
      </w:r>
      <w:r w:rsidR="00F727E4" w:rsidRPr="00D5464D">
        <w:rPr>
          <w:rFonts w:eastAsia="Calibri" w:cs="Times New Roman"/>
          <w:szCs w:val="20"/>
          <w:lang w:val="pt-BR"/>
        </w:rPr>
        <w:t>o</w:t>
      </w:r>
      <w:r w:rsidR="00AE6345" w:rsidRPr="00D5464D">
        <w:rPr>
          <w:rFonts w:eastAsia="Calibri" w:cs="Times New Roman"/>
          <w:szCs w:val="20"/>
          <w:lang w:val="pt-BR"/>
        </w:rPr>
        <w:t>u</w:t>
      </w:r>
      <w:r w:rsidR="00F727E4" w:rsidRPr="00D5464D">
        <w:rPr>
          <w:rFonts w:eastAsia="Calibri" w:cs="Times New Roman"/>
          <w:szCs w:val="20"/>
          <w:lang w:val="pt-BR"/>
        </w:rPr>
        <w:t xml:space="preserve"> </w:t>
      </w:r>
      <w:r w:rsidR="002C330E" w:rsidRPr="00D5464D">
        <w:rPr>
          <w:rFonts w:eastAsia="Calibri" w:cs="Times New Roman"/>
          <w:szCs w:val="20"/>
          <w:lang w:val="pt-BR"/>
        </w:rPr>
        <w:t>nenhum</w:t>
      </w:r>
      <w:r w:rsidR="00AE6345" w:rsidRPr="00D5464D">
        <w:rPr>
          <w:rFonts w:eastAsia="Calibri" w:cs="Times New Roman"/>
          <w:szCs w:val="20"/>
          <w:lang w:val="pt-BR"/>
        </w:rPr>
        <w:t xml:space="preserve"> pagamento</w:t>
      </w:r>
      <w:r w:rsidR="00F727E4" w:rsidRPr="00D5464D">
        <w:rPr>
          <w:rFonts w:eastAsia="Calibri" w:cs="Times New Roman"/>
          <w:szCs w:val="20"/>
          <w:lang w:val="pt-BR"/>
        </w:rPr>
        <w:t>, habitualmente</w:t>
      </w:r>
      <w:r w:rsidR="00E045D9" w:rsidRPr="00D5464D">
        <w:rPr>
          <w:rFonts w:eastAsia="Calibri" w:cs="Times New Roman"/>
          <w:szCs w:val="20"/>
          <w:lang w:val="pt-BR"/>
        </w:rPr>
        <w:t xml:space="preserve"> na </w:t>
      </w:r>
      <w:r w:rsidR="00AE6345" w:rsidRPr="00D5464D">
        <w:rPr>
          <w:rFonts w:eastAsia="Calibri" w:cs="Times New Roman"/>
          <w:szCs w:val="20"/>
          <w:lang w:val="pt-BR"/>
        </w:rPr>
        <w:t xml:space="preserve">indústria </w:t>
      </w:r>
      <w:r w:rsidRPr="00D5464D">
        <w:rPr>
          <w:rFonts w:eastAsia="Calibri" w:cs="Times New Roman"/>
          <w:szCs w:val="20"/>
          <w:lang w:val="pt-BR"/>
        </w:rPr>
        <w:t xml:space="preserve">do </w:t>
      </w:r>
      <w:r w:rsidR="00F727E4" w:rsidRPr="00D5464D">
        <w:rPr>
          <w:rFonts w:eastAsia="Calibri" w:cs="Times New Roman"/>
          <w:szCs w:val="20"/>
          <w:lang w:val="pt-BR"/>
        </w:rPr>
        <w:t>sexo</w:t>
      </w:r>
      <w:r w:rsidR="00AE6345" w:rsidRPr="00D5464D">
        <w:rPr>
          <w:rFonts w:eastAsia="Calibri" w:cs="Times New Roman"/>
          <w:szCs w:val="20"/>
          <w:lang w:val="pt-BR"/>
        </w:rPr>
        <w:t>,</w:t>
      </w:r>
      <w:r w:rsidR="00F727E4" w:rsidRPr="00D5464D">
        <w:rPr>
          <w:rFonts w:eastAsia="Calibri" w:cs="Times New Roman"/>
          <w:szCs w:val="20"/>
          <w:lang w:val="pt-BR"/>
        </w:rPr>
        <w:t xml:space="preserve"> </w:t>
      </w:r>
      <w:r w:rsidR="002C330E" w:rsidRPr="00D5464D">
        <w:rPr>
          <w:rFonts w:eastAsia="Calibri" w:cs="Times New Roman"/>
          <w:szCs w:val="20"/>
          <w:lang w:val="pt-BR"/>
        </w:rPr>
        <w:t>mas</w:t>
      </w:r>
      <w:r w:rsidR="00F727E4" w:rsidRPr="00D5464D">
        <w:rPr>
          <w:rFonts w:eastAsia="Calibri" w:cs="Times New Roman"/>
          <w:szCs w:val="20"/>
          <w:lang w:val="pt-BR"/>
        </w:rPr>
        <w:t xml:space="preserve"> </w:t>
      </w:r>
      <w:r w:rsidR="00E045D9" w:rsidRPr="00D5464D">
        <w:rPr>
          <w:rFonts w:eastAsia="Calibri" w:cs="Times New Roman"/>
          <w:szCs w:val="20"/>
          <w:lang w:val="pt-BR"/>
        </w:rPr>
        <w:t>também</w:t>
      </w:r>
      <w:r w:rsidRPr="00D5464D">
        <w:rPr>
          <w:rFonts w:eastAsia="Calibri" w:cs="Times New Roman"/>
          <w:szCs w:val="20"/>
          <w:lang w:val="pt-BR"/>
        </w:rPr>
        <w:t xml:space="preserve"> em </w:t>
      </w:r>
      <w:r w:rsidR="002C330E" w:rsidRPr="00D5464D">
        <w:rPr>
          <w:rFonts w:eastAsia="Calibri" w:cs="Times New Roman"/>
          <w:szCs w:val="20"/>
          <w:lang w:val="pt-BR"/>
        </w:rPr>
        <w:t>outros</w:t>
      </w:r>
      <w:r w:rsidR="00F727E4" w:rsidRPr="00D5464D">
        <w:rPr>
          <w:rFonts w:eastAsia="Calibri" w:cs="Times New Roman"/>
          <w:szCs w:val="20"/>
          <w:lang w:val="pt-BR"/>
        </w:rPr>
        <w:t xml:space="preserve"> </w:t>
      </w:r>
      <w:r w:rsidR="002C330E" w:rsidRPr="00D5464D">
        <w:rPr>
          <w:rFonts w:eastAsia="Calibri" w:cs="Times New Roman"/>
          <w:szCs w:val="20"/>
          <w:lang w:val="pt-BR"/>
        </w:rPr>
        <w:t>setores</w:t>
      </w:r>
      <w:r w:rsidR="00A1358C" w:rsidRPr="00D5464D">
        <w:rPr>
          <w:rFonts w:eastAsia="Calibri" w:cs="Times New Roman"/>
          <w:szCs w:val="20"/>
          <w:lang w:val="pt-BR"/>
        </w:rPr>
        <w:t xml:space="preserve">. </w:t>
      </w:r>
      <w:r w:rsidR="00AE6345" w:rsidRPr="00D5464D">
        <w:rPr>
          <w:rFonts w:eastAsia="Calibri" w:cs="Times New Roman"/>
          <w:szCs w:val="20"/>
          <w:lang w:val="pt-BR"/>
        </w:rPr>
        <w:t>O tráfico pres</w:t>
      </w:r>
      <w:r w:rsidR="00E045D9" w:rsidRPr="00D5464D">
        <w:rPr>
          <w:rFonts w:eastAsia="Calibri" w:cs="Times New Roman"/>
          <w:szCs w:val="20"/>
          <w:lang w:val="pt-BR"/>
        </w:rPr>
        <w:t>supõe uma vigilância</w:t>
      </w:r>
      <w:r w:rsidR="00F727E4" w:rsidRPr="00D5464D">
        <w:rPr>
          <w:rFonts w:eastAsia="Calibri" w:cs="Times New Roman"/>
          <w:szCs w:val="20"/>
          <w:lang w:val="pt-BR"/>
        </w:rPr>
        <w:t xml:space="preserve"> </w:t>
      </w:r>
      <w:r w:rsidRPr="00D5464D">
        <w:rPr>
          <w:rFonts w:eastAsia="Calibri" w:cs="Times New Roman"/>
          <w:szCs w:val="20"/>
          <w:lang w:val="pt-BR"/>
        </w:rPr>
        <w:t>estrit</w:t>
      </w:r>
      <w:r w:rsidR="00F727E4" w:rsidRPr="00D5464D">
        <w:rPr>
          <w:rFonts w:eastAsia="Calibri" w:cs="Times New Roman"/>
          <w:szCs w:val="20"/>
          <w:lang w:val="pt-BR"/>
        </w:rPr>
        <w:t>a</w:t>
      </w:r>
      <w:r w:rsidRPr="00D5464D">
        <w:rPr>
          <w:rFonts w:eastAsia="Calibri" w:cs="Times New Roman"/>
          <w:szCs w:val="20"/>
          <w:lang w:val="pt-BR"/>
        </w:rPr>
        <w:t xml:space="preserve"> das ativ</w:t>
      </w:r>
      <w:r w:rsidR="00F727E4" w:rsidRPr="00D5464D">
        <w:rPr>
          <w:rFonts w:eastAsia="Calibri" w:cs="Times New Roman"/>
          <w:szCs w:val="20"/>
          <w:lang w:val="pt-BR"/>
        </w:rPr>
        <w:t>idades</w:t>
      </w:r>
      <w:r w:rsidRPr="00D5464D">
        <w:rPr>
          <w:rFonts w:eastAsia="Calibri" w:cs="Times New Roman"/>
          <w:szCs w:val="20"/>
          <w:lang w:val="pt-BR"/>
        </w:rPr>
        <w:t xml:space="preserve"> das </w:t>
      </w:r>
      <w:r w:rsidR="00E045D9" w:rsidRPr="00D5464D">
        <w:rPr>
          <w:rFonts w:eastAsia="Calibri" w:cs="Times New Roman"/>
          <w:szCs w:val="20"/>
          <w:lang w:val="pt-BR"/>
        </w:rPr>
        <w:t>vítima</w:t>
      </w:r>
      <w:r w:rsidR="00F727E4" w:rsidRPr="00D5464D">
        <w:rPr>
          <w:rFonts w:eastAsia="Calibri" w:cs="Times New Roman"/>
          <w:szCs w:val="20"/>
          <w:lang w:val="pt-BR"/>
        </w:rPr>
        <w:t xml:space="preserve">s, </w:t>
      </w:r>
      <w:r w:rsidRPr="00D5464D">
        <w:rPr>
          <w:rFonts w:eastAsia="Calibri" w:cs="Times New Roman"/>
          <w:szCs w:val="20"/>
          <w:lang w:val="pt-BR"/>
        </w:rPr>
        <w:t>cujo</w:t>
      </w:r>
      <w:r w:rsidR="00F727E4" w:rsidRPr="00D5464D">
        <w:rPr>
          <w:rFonts w:eastAsia="Calibri" w:cs="Times New Roman"/>
          <w:szCs w:val="20"/>
          <w:lang w:val="pt-BR"/>
        </w:rPr>
        <w:t xml:space="preserve">s </w:t>
      </w:r>
      <w:r w:rsidR="002C330E" w:rsidRPr="00D5464D">
        <w:rPr>
          <w:rFonts w:eastAsia="Calibri" w:cs="Times New Roman"/>
          <w:szCs w:val="20"/>
          <w:lang w:val="pt-BR"/>
        </w:rPr>
        <w:t>movimento</w:t>
      </w:r>
      <w:r w:rsidR="00F727E4" w:rsidRPr="00D5464D">
        <w:rPr>
          <w:rFonts w:eastAsia="Calibri" w:cs="Times New Roman"/>
          <w:szCs w:val="20"/>
          <w:lang w:val="pt-BR"/>
        </w:rPr>
        <w:t xml:space="preserve">s </w:t>
      </w:r>
      <w:r w:rsidR="00737270" w:rsidRPr="00D5464D">
        <w:rPr>
          <w:rFonts w:eastAsia="Calibri" w:cs="Times New Roman"/>
          <w:szCs w:val="20"/>
          <w:lang w:val="pt-BR"/>
        </w:rPr>
        <w:t>resultam</w:t>
      </w:r>
      <w:r w:rsidR="00AE6345" w:rsidRPr="00D5464D">
        <w:rPr>
          <w:rFonts w:eastAsia="Calibri" w:cs="Times New Roman"/>
          <w:szCs w:val="20"/>
          <w:lang w:val="pt-BR"/>
        </w:rPr>
        <w:t>,</w:t>
      </w:r>
      <w:r w:rsidRPr="00D5464D">
        <w:rPr>
          <w:rFonts w:eastAsia="Calibri" w:cs="Times New Roman"/>
          <w:szCs w:val="20"/>
          <w:lang w:val="pt-BR"/>
        </w:rPr>
        <w:t xml:space="preserve"> com frequência</w:t>
      </w:r>
      <w:r w:rsidR="00AE6345" w:rsidRPr="00D5464D">
        <w:rPr>
          <w:rFonts w:eastAsia="Calibri" w:cs="Times New Roman"/>
          <w:szCs w:val="20"/>
          <w:lang w:val="pt-BR"/>
        </w:rPr>
        <w:t>,</w:t>
      </w:r>
      <w:r w:rsidR="00F727E4" w:rsidRPr="00D5464D">
        <w:rPr>
          <w:rFonts w:eastAsia="Calibri" w:cs="Times New Roman"/>
          <w:szCs w:val="20"/>
          <w:lang w:val="pt-BR"/>
        </w:rPr>
        <w:t xml:space="preserve"> limitados. </w:t>
      </w:r>
      <w:r w:rsidR="002C330E" w:rsidRPr="00D5464D">
        <w:rPr>
          <w:rFonts w:eastAsia="Calibri" w:cs="Times New Roman"/>
          <w:szCs w:val="20"/>
          <w:lang w:val="pt-BR"/>
        </w:rPr>
        <w:t>Envolve</w:t>
      </w:r>
      <w:r w:rsidRPr="00D5464D">
        <w:rPr>
          <w:rFonts w:eastAsia="Calibri" w:cs="Times New Roman"/>
          <w:szCs w:val="20"/>
          <w:lang w:val="pt-BR"/>
        </w:rPr>
        <w:t xml:space="preserve"> o </w:t>
      </w:r>
      <w:r w:rsidR="00F727E4" w:rsidRPr="00D5464D">
        <w:rPr>
          <w:rFonts w:eastAsia="Calibri" w:cs="Times New Roman"/>
          <w:szCs w:val="20"/>
          <w:lang w:val="pt-BR"/>
        </w:rPr>
        <w:t xml:space="preserve">uso de </w:t>
      </w:r>
      <w:r w:rsidR="00E045D9" w:rsidRPr="00D5464D">
        <w:rPr>
          <w:rFonts w:eastAsia="Calibri" w:cs="Times New Roman"/>
          <w:szCs w:val="20"/>
          <w:lang w:val="pt-BR"/>
        </w:rPr>
        <w:t xml:space="preserve">violência e </w:t>
      </w:r>
      <w:r w:rsidRPr="00D5464D">
        <w:rPr>
          <w:rFonts w:eastAsia="Calibri" w:cs="Times New Roman"/>
          <w:szCs w:val="20"/>
          <w:lang w:val="pt-BR"/>
        </w:rPr>
        <w:t>ameaça</w:t>
      </w:r>
      <w:r w:rsidR="00F727E4" w:rsidRPr="00D5464D">
        <w:rPr>
          <w:rFonts w:eastAsia="Calibri" w:cs="Times New Roman"/>
          <w:szCs w:val="20"/>
          <w:lang w:val="pt-BR"/>
        </w:rPr>
        <w:t xml:space="preserve"> contra</w:t>
      </w:r>
      <w:r w:rsidR="002C330E" w:rsidRPr="00D5464D">
        <w:rPr>
          <w:rFonts w:eastAsia="Calibri" w:cs="Times New Roman"/>
          <w:szCs w:val="20"/>
          <w:lang w:val="pt-BR"/>
        </w:rPr>
        <w:t xml:space="preserve"> as </w:t>
      </w:r>
      <w:r w:rsidR="00E045D9" w:rsidRPr="00D5464D">
        <w:rPr>
          <w:rFonts w:eastAsia="Calibri" w:cs="Times New Roman"/>
          <w:szCs w:val="20"/>
          <w:lang w:val="pt-BR"/>
        </w:rPr>
        <w:t>vítima</w:t>
      </w:r>
      <w:r w:rsidR="00F727E4" w:rsidRPr="00D5464D">
        <w:rPr>
          <w:rFonts w:eastAsia="Calibri" w:cs="Times New Roman"/>
          <w:szCs w:val="20"/>
          <w:lang w:val="pt-BR"/>
        </w:rPr>
        <w:t xml:space="preserve">s, </w:t>
      </w:r>
      <w:r w:rsidR="002C330E" w:rsidRPr="00D5464D">
        <w:rPr>
          <w:rFonts w:eastAsia="Calibri" w:cs="Times New Roman"/>
          <w:szCs w:val="20"/>
          <w:lang w:val="pt-BR"/>
        </w:rPr>
        <w:t>que</w:t>
      </w:r>
      <w:r w:rsidR="00F727E4" w:rsidRPr="00D5464D">
        <w:rPr>
          <w:rFonts w:eastAsia="Calibri" w:cs="Times New Roman"/>
          <w:szCs w:val="20"/>
          <w:lang w:val="pt-BR"/>
        </w:rPr>
        <w:t xml:space="preserve"> </w:t>
      </w:r>
      <w:r w:rsidR="00E045D9" w:rsidRPr="00D5464D">
        <w:rPr>
          <w:rFonts w:eastAsia="Calibri" w:cs="Times New Roman"/>
          <w:szCs w:val="20"/>
          <w:lang w:val="pt-BR"/>
        </w:rPr>
        <w:t xml:space="preserve">vivem e </w:t>
      </w:r>
      <w:r w:rsidR="00C91CB1" w:rsidRPr="00D5464D">
        <w:rPr>
          <w:rFonts w:eastAsia="Calibri" w:cs="Times New Roman"/>
          <w:szCs w:val="20"/>
          <w:lang w:val="pt-BR"/>
        </w:rPr>
        <w:t>trabalham</w:t>
      </w:r>
      <w:r w:rsidRPr="00D5464D">
        <w:rPr>
          <w:rFonts w:eastAsia="Calibri" w:cs="Times New Roman"/>
          <w:szCs w:val="20"/>
          <w:lang w:val="pt-BR"/>
        </w:rPr>
        <w:t xml:space="preserve"> em </w:t>
      </w:r>
      <w:r w:rsidR="00F727E4" w:rsidRPr="00D5464D">
        <w:rPr>
          <w:rFonts w:eastAsia="Calibri" w:cs="Times New Roman"/>
          <w:szCs w:val="20"/>
          <w:lang w:val="pt-BR"/>
        </w:rPr>
        <w:t>condi</w:t>
      </w:r>
      <w:r w:rsidRPr="00D5464D">
        <w:rPr>
          <w:rFonts w:eastAsia="Calibri" w:cs="Times New Roman"/>
          <w:szCs w:val="20"/>
          <w:lang w:val="pt-BR"/>
        </w:rPr>
        <w:t>ções</w:t>
      </w:r>
      <w:r w:rsidR="00F727E4" w:rsidRPr="00D5464D">
        <w:rPr>
          <w:rFonts w:eastAsia="Calibri" w:cs="Times New Roman"/>
          <w:szCs w:val="20"/>
          <w:lang w:val="pt-BR"/>
        </w:rPr>
        <w:t xml:space="preserve"> de pobreza</w:t>
      </w:r>
      <w:r w:rsidR="00AE6345" w:rsidRPr="00D5464D">
        <w:rPr>
          <w:rFonts w:eastAsia="Calibri" w:cs="Times New Roman"/>
          <w:szCs w:val="20"/>
          <w:lang w:val="pt-BR"/>
        </w:rPr>
        <w:t>.</w:t>
      </w:r>
      <w:r w:rsidR="00F727E4" w:rsidRPr="00D5464D">
        <w:rPr>
          <w:rFonts w:eastAsia="Calibri" w:cs="Times New Roman"/>
          <w:szCs w:val="20"/>
          <w:lang w:val="pt-BR"/>
        </w:rPr>
        <w:t>”</w:t>
      </w:r>
      <w:r w:rsidR="00F727E4" w:rsidRPr="00D5464D">
        <w:rPr>
          <w:rFonts w:eastAsia="Calibri" w:cs="Times New Roman"/>
          <w:szCs w:val="20"/>
          <w:vertAlign w:val="superscript"/>
          <w:lang w:val="pt-BR"/>
        </w:rPr>
        <w:footnoteReference w:id="435"/>
      </w:r>
    </w:p>
    <w:p w14:paraId="1CE78079" w14:textId="77777777" w:rsidR="00DE3E58" w:rsidRPr="00D5464D" w:rsidRDefault="00DE3E58" w:rsidP="00DE3E58">
      <w:pPr>
        <w:tabs>
          <w:tab w:val="clear" w:pos="4419"/>
          <w:tab w:val="clear" w:pos="8838"/>
        </w:tabs>
        <w:jc w:val="both"/>
        <w:rPr>
          <w:rFonts w:eastAsia="Calibri" w:cs="Times New Roman"/>
          <w:szCs w:val="20"/>
          <w:u w:val="single"/>
          <w:lang w:val="pt-BR"/>
        </w:rPr>
      </w:pPr>
    </w:p>
    <w:p w14:paraId="3B28ACC8" w14:textId="5EE35BC4" w:rsidR="00C773A0" w:rsidRPr="00D5464D" w:rsidRDefault="00470ADC" w:rsidP="00F727E4">
      <w:pPr>
        <w:numPr>
          <w:ilvl w:val="0"/>
          <w:numId w:val="1"/>
        </w:numPr>
        <w:tabs>
          <w:tab w:val="clear" w:pos="4419"/>
          <w:tab w:val="clear" w:pos="8838"/>
        </w:tabs>
        <w:jc w:val="both"/>
        <w:rPr>
          <w:rFonts w:eastAsia="Calibri" w:cs="Times New Roman"/>
          <w:szCs w:val="20"/>
          <w:u w:val="single"/>
          <w:lang w:val="pt-BR"/>
        </w:rPr>
      </w:pPr>
      <w:r w:rsidRPr="00D5464D">
        <w:rPr>
          <w:rFonts w:eastAsia="Calibri" w:cs="Times New Roman"/>
          <w:szCs w:val="20"/>
          <w:lang w:val="pt-BR"/>
        </w:rPr>
        <w:t xml:space="preserve">As </w:t>
      </w:r>
      <w:r w:rsidR="00F727E4" w:rsidRPr="00D5464D">
        <w:rPr>
          <w:rFonts w:eastAsia="Calibri" w:cs="Times New Roman"/>
          <w:szCs w:val="20"/>
          <w:lang w:val="pt-BR"/>
        </w:rPr>
        <w:t>defini</w:t>
      </w:r>
      <w:r w:rsidRPr="00D5464D">
        <w:rPr>
          <w:rFonts w:eastAsia="Calibri" w:cs="Times New Roman"/>
          <w:szCs w:val="20"/>
          <w:lang w:val="pt-BR"/>
        </w:rPr>
        <w:t>ções</w:t>
      </w:r>
      <w:r w:rsidR="00F727E4" w:rsidRPr="00D5464D">
        <w:rPr>
          <w:rFonts w:eastAsia="Calibri" w:cs="Times New Roman"/>
          <w:szCs w:val="20"/>
          <w:lang w:val="pt-BR"/>
        </w:rPr>
        <w:t xml:space="preserve"> </w:t>
      </w:r>
      <w:r w:rsidRPr="00D5464D">
        <w:rPr>
          <w:rFonts w:eastAsia="Calibri" w:cs="Times New Roman"/>
          <w:szCs w:val="20"/>
          <w:lang w:val="pt-BR"/>
        </w:rPr>
        <w:t>incluídas</w:t>
      </w:r>
      <w:r w:rsidR="00E045D9" w:rsidRPr="00D5464D">
        <w:rPr>
          <w:rFonts w:eastAsia="Calibri" w:cs="Times New Roman"/>
          <w:szCs w:val="20"/>
          <w:lang w:val="pt-BR"/>
        </w:rPr>
        <w:t xml:space="preserve"> nos </w:t>
      </w:r>
      <w:r w:rsidR="00F727E4" w:rsidRPr="00D5464D">
        <w:rPr>
          <w:rFonts w:eastAsia="Calibri" w:cs="Times New Roman"/>
          <w:szCs w:val="20"/>
          <w:lang w:val="pt-BR"/>
        </w:rPr>
        <w:t xml:space="preserve">tratados </w:t>
      </w:r>
      <w:r w:rsidR="002C330E" w:rsidRPr="00D5464D">
        <w:rPr>
          <w:rFonts w:eastAsia="Calibri" w:cs="Times New Roman"/>
          <w:szCs w:val="20"/>
          <w:lang w:val="pt-BR"/>
        </w:rPr>
        <w:t>internacionais</w:t>
      </w:r>
      <w:r w:rsidR="00F727E4" w:rsidRPr="00D5464D">
        <w:rPr>
          <w:rFonts w:eastAsia="Calibri" w:cs="Times New Roman"/>
          <w:szCs w:val="20"/>
          <w:lang w:val="pt-BR"/>
        </w:rPr>
        <w:t xml:space="preserve"> anteriormente </w:t>
      </w:r>
      <w:r w:rsidR="00C91CB1" w:rsidRPr="00D5464D">
        <w:rPr>
          <w:rFonts w:eastAsia="Calibri" w:cs="Times New Roman"/>
          <w:szCs w:val="20"/>
          <w:lang w:val="pt-BR"/>
        </w:rPr>
        <w:t>resumidos</w:t>
      </w:r>
      <w:r w:rsidR="00E045D9" w:rsidRPr="00D5464D">
        <w:rPr>
          <w:rFonts w:eastAsia="Calibri" w:cs="Times New Roman"/>
          <w:szCs w:val="20"/>
          <w:lang w:val="pt-BR"/>
        </w:rPr>
        <w:t xml:space="preserve"> e </w:t>
      </w:r>
      <w:r w:rsidR="002C330E" w:rsidRPr="00D5464D">
        <w:rPr>
          <w:rFonts w:eastAsia="Calibri" w:cs="Times New Roman"/>
          <w:szCs w:val="20"/>
          <w:lang w:val="pt-BR"/>
        </w:rPr>
        <w:t xml:space="preserve">a </w:t>
      </w:r>
      <w:r w:rsidR="00F727E4" w:rsidRPr="00D5464D">
        <w:rPr>
          <w:rFonts w:eastAsia="Calibri" w:cs="Times New Roman"/>
          <w:szCs w:val="20"/>
          <w:lang w:val="pt-BR"/>
        </w:rPr>
        <w:t>interpreta</w:t>
      </w:r>
      <w:r w:rsidRPr="00D5464D">
        <w:rPr>
          <w:rFonts w:eastAsia="Calibri" w:cs="Times New Roman"/>
          <w:szCs w:val="20"/>
          <w:lang w:val="pt-BR"/>
        </w:rPr>
        <w:t>ção</w:t>
      </w:r>
      <w:r w:rsidR="00F727E4" w:rsidRPr="00D5464D">
        <w:rPr>
          <w:rFonts w:eastAsia="Calibri" w:cs="Times New Roman"/>
          <w:szCs w:val="20"/>
          <w:lang w:val="pt-BR"/>
        </w:rPr>
        <w:t xml:space="preserve"> realizada</w:t>
      </w:r>
      <w:r w:rsidR="002C330E" w:rsidRPr="00D5464D">
        <w:rPr>
          <w:rFonts w:eastAsia="Calibri" w:cs="Times New Roman"/>
          <w:szCs w:val="20"/>
          <w:lang w:val="pt-BR"/>
        </w:rPr>
        <w:t xml:space="preserve"> pelo </w:t>
      </w:r>
      <w:r w:rsidR="00C773A0" w:rsidRPr="00D5464D">
        <w:rPr>
          <w:rFonts w:eastAsia="Calibri" w:cs="Times New Roman"/>
          <w:szCs w:val="20"/>
          <w:lang w:val="pt-BR"/>
        </w:rPr>
        <w:t xml:space="preserve">Tribunal </w:t>
      </w:r>
      <w:r w:rsidRPr="00D5464D">
        <w:rPr>
          <w:rFonts w:eastAsia="Calibri" w:cs="Times New Roman"/>
          <w:szCs w:val="20"/>
          <w:lang w:val="pt-BR"/>
        </w:rPr>
        <w:t>Europeu</w:t>
      </w:r>
      <w:r w:rsidR="00F727E4" w:rsidRPr="00D5464D">
        <w:rPr>
          <w:rFonts w:eastAsia="Calibri" w:cs="Times New Roman"/>
          <w:szCs w:val="20"/>
          <w:lang w:val="pt-BR"/>
        </w:rPr>
        <w:t xml:space="preserve"> de </w:t>
      </w:r>
      <w:r w:rsidRPr="00D5464D">
        <w:rPr>
          <w:rFonts w:eastAsia="Calibri" w:cs="Times New Roman"/>
          <w:szCs w:val="20"/>
          <w:lang w:val="pt-BR"/>
        </w:rPr>
        <w:t>Direito</w:t>
      </w:r>
      <w:r w:rsidR="00F727E4" w:rsidRPr="00D5464D">
        <w:rPr>
          <w:rFonts w:eastAsia="Calibri" w:cs="Times New Roman"/>
          <w:szCs w:val="20"/>
          <w:lang w:val="pt-BR"/>
        </w:rPr>
        <w:t>s Humanos</w:t>
      </w:r>
      <w:r w:rsidR="00E045D9" w:rsidRPr="00D5464D">
        <w:rPr>
          <w:rFonts w:eastAsia="Calibri" w:cs="Times New Roman"/>
          <w:szCs w:val="20"/>
          <w:lang w:val="pt-BR"/>
        </w:rPr>
        <w:t xml:space="preserve"> no </w:t>
      </w:r>
      <w:r w:rsidR="00F727E4" w:rsidRPr="00D5464D">
        <w:rPr>
          <w:rFonts w:eastAsia="Calibri" w:cs="Times New Roman"/>
          <w:i/>
          <w:szCs w:val="20"/>
          <w:lang w:val="pt-BR"/>
        </w:rPr>
        <w:t>Caso Rantsev</w:t>
      </w:r>
      <w:r w:rsidR="00F727E4" w:rsidRPr="00D5464D">
        <w:rPr>
          <w:rFonts w:eastAsia="Calibri" w:cs="Times New Roman"/>
          <w:szCs w:val="20"/>
          <w:lang w:val="pt-BR"/>
        </w:rPr>
        <w:t xml:space="preserve"> </w:t>
      </w:r>
      <w:r w:rsidR="00AE6345" w:rsidRPr="00D5464D">
        <w:rPr>
          <w:rFonts w:eastAsia="Calibri" w:cs="Times New Roman"/>
          <w:szCs w:val="20"/>
          <w:lang w:val="pt-BR"/>
        </w:rPr>
        <w:t xml:space="preserve">não deixam </w:t>
      </w:r>
      <w:r w:rsidRPr="00D5464D">
        <w:rPr>
          <w:rFonts w:eastAsia="Calibri" w:cs="Times New Roman"/>
          <w:szCs w:val="20"/>
          <w:lang w:val="pt-BR"/>
        </w:rPr>
        <w:t>dúvida</w:t>
      </w:r>
      <w:r w:rsidR="00F727E4" w:rsidRPr="00D5464D">
        <w:rPr>
          <w:rFonts w:eastAsia="Calibri" w:cs="Times New Roman"/>
          <w:szCs w:val="20"/>
          <w:lang w:val="pt-BR"/>
        </w:rPr>
        <w:t xml:space="preserve"> </w:t>
      </w:r>
      <w:r w:rsidR="007E573C" w:rsidRPr="00D5464D">
        <w:rPr>
          <w:rFonts w:eastAsia="Calibri" w:cs="Times New Roman"/>
          <w:szCs w:val="20"/>
          <w:lang w:val="pt-BR"/>
        </w:rPr>
        <w:t>de</w:t>
      </w:r>
      <w:r w:rsidR="00F727E4" w:rsidRPr="00D5464D">
        <w:rPr>
          <w:rFonts w:eastAsia="Calibri" w:cs="Times New Roman"/>
          <w:szCs w:val="20"/>
          <w:lang w:val="pt-BR"/>
        </w:rPr>
        <w:t xml:space="preserve"> que</w:t>
      </w:r>
      <w:r w:rsidR="002C330E" w:rsidRPr="00D5464D">
        <w:rPr>
          <w:rFonts w:eastAsia="Calibri" w:cs="Times New Roman"/>
          <w:szCs w:val="20"/>
          <w:lang w:val="pt-BR"/>
        </w:rPr>
        <w:t xml:space="preserve"> os </w:t>
      </w:r>
      <w:r w:rsidRPr="00D5464D">
        <w:rPr>
          <w:rFonts w:eastAsia="Calibri" w:cs="Times New Roman"/>
          <w:szCs w:val="20"/>
          <w:lang w:val="pt-BR"/>
        </w:rPr>
        <w:t>conceito</w:t>
      </w:r>
      <w:r w:rsidR="00F727E4" w:rsidRPr="00D5464D">
        <w:rPr>
          <w:rFonts w:eastAsia="Calibri" w:cs="Times New Roman"/>
          <w:szCs w:val="20"/>
          <w:lang w:val="pt-BR"/>
        </w:rPr>
        <w:t xml:space="preserve">s </w:t>
      </w:r>
      <w:r w:rsidR="00CF3C54" w:rsidRPr="00D5464D">
        <w:rPr>
          <w:rFonts w:eastAsia="Calibri" w:cs="Times New Roman"/>
          <w:szCs w:val="20"/>
          <w:lang w:val="pt-BR"/>
        </w:rPr>
        <w:t>de</w:t>
      </w:r>
      <w:r w:rsidR="000B376D" w:rsidRPr="00D5464D">
        <w:rPr>
          <w:rFonts w:eastAsia="Calibri" w:cs="Times New Roman"/>
          <w:szCs w:val="20"/>
          <w:lang w:val="pt-BR"/>
        </w:rPr>
        <w:t xml:space="preserve"> tráfico de escravos</w:t>
      </w:r>
      <w:r w:rsidR="00E045D9" w:rsidRPr="00D5464D">
        <w:rPr>
          <w:rFonts w:eastAsia="Calibri" w:cs="Times New Roman"/>
          <w:szCs w:val="20"/>
          <w:lang w:val="pt-BR"/>
        </w:rPr>
        <w:t xml:space="preserve"> e </w:t>
      </w:r>
      <w:r w:rsidR="00CF3C54" w:rsidRPr="00D5464D">
        <w:rPr>
          <w:rFonts w:eastAsia="Calibri" w:cs="Times New Roman"/>
          <w:szCs w:val="20"/>
          <w:lang w:val="pt-BR"/>
        </w:rPr>
        <w:t xml:space="preserve">de </w:t>
      </w:r>
      <w:r w:rsidR="002C330E" w:rsidRPr="00D5464D">
        <w:rPr>
          <w:rFonts w:eastAsia="Calibri" w:cs="Times New Roman"/>
          <w:szCs w:val="20"/>
          <w:lang w:val="pt-BR"/>
        </w:rPr>
        <w:t>mulher</w:t>
      </w:r>
      <w:r w:rsidR="00CF3C54" w:rsidRPr="00D5464D">
        <w:rPr>
          <w:rFonts w:eastAsia="Calibri" w:cs="Times New Roman"/>
          <w:szCs w:val="20"/>
          <w:lang w:val="pt-BR"/>
        </w:rPr>
        <w:t xml:space="preserve">es </w:t>
      </w:r>
      <w:r w:rsidR="00AE6345" w:rsidRPr="00D5464D">
        <w:rPr>
          <w:rFonts w:eastAsia="Calibri" w:cs="Times New Roman"/>
          <w:szCs w:val="20"/>
          <w:lang w:val="pt-BR"/>
        </w:rPr>
        <w:t xml:space="preserve">transcenderam o seu </w:t>
      </w:r>
      <w:r w:rsidR="00CF3C54" w:rsidRPr="00D5464D">
        <w:rPr>
          <w:rFonts w:eastAsia="Calibri" w:cs="Times New Roman"/>
          <w:szCs w:val="20"/>
          <w:lang w:val="pt-BR"/>
        </w:rPr>
        <w:t xml:space="preserve">sentido literal </w:t>
      </w:r>
      <w:r w:rsidR="00AE6345" w:rsidRPr="00D5464D">
        <w:rPr>
          <w:rFonts w:eastAsia="Calibri" w:cs="Times New Roman"/>
          <w:szCs w:val="20"/>
          <w:lang w:val="pt-BR"/>
        </w:rPr>
        <w:t xml:space="preserve">de </w:t>
      </w:r>
      <w:r w:rsidR="008455B0" w:rsidRPr="00D5464D">
        <w:rPr>
          <w:rFonts w:eastAsia="Calibri" w:cs="Times New Roman"/>
          <w:szCs w:val="20"/>
          <w:lang w:val="pt-BR"/>
        </w:rPr>
        <w:t xml:space="preserve">modo </w:t>
      </w:r>
      <w:r w:rsidR="003924C3" w:rsidRPr="00D5464D">
        <w:rPr>
          <w:rFonts w:eastAsia="Calibri" w:cs="Times New Roman"/>
          <w:szCs w:val="20"/>
          <w:lang w:val="pt-BR"/>
        </w:rPr>
        <w:t xml:space="preserve">a </w:t>
      </w:r>
      <w:r w:rsidR="008455B0" w:rsidRPr="00D5464D">
        <w:rPr>
          <w:rFonts w:eastAsia="Calibri" w:cs="Times New Roman"/>
          <w:szCs w:val="20"/>
          <w:lang w:val="pt-BR"/>
        </w:rPr>
        <w:t>proteger</w:t>
      </w:r>
      <w:r w:rsidR="00CF3C54" w:rsidRPr="00D5464D">
        <w:rPr>
          <w:rFonts w:eastAsia="Calibri" w:cs="Times New Roman"/>
          <w:szCs w:val="20"/>
          <w:lang w:val="pt-BR"/>
        </w:rPr>
        <w:t>,</w:t>
      </w:r>
      <w:r w:rsidR="00E045D9" w:rsidRPr="00D5464D">
        <w:rPr>
          <w:rFonts w:eastAsia="Calibri" w:cs="Times New Roman"/>
          <w:szCs w:val="20"/>
          <w:lang w:val="pt-BR"/>
        </w:rPr>
        <w:t xml:space="preserve"> na </w:t>
      </w:r>
      <w:r w:rsidRPr="00D5464D">
        <w:rPr>
          <w:rFonts w:eastAsia="Calibri" w:cs="Times New Roman"/>
          <w:szCs w:val="20"/>
          <w:lang w:val="pt-BR"/>
        </w:rPr>
        <w:t>atual</w:t>
      </w:r>
      <w:r w:rsidR="00CF3C54" w:rsidRPr="00D5464D">
        <w:rPr>
          <w:rFonts w:eastAsia="Calibri" w:cs="Times New Roman"/>
          <w:szCs w:val="20"/>
          <w:lang w:val="pt-BR"/>
        </w:rPr>
        <w:t xml:space="preserve"> fase de </w:t>
      </w:r>
      <w:r w:rsidRPr="00D5464D">
        <w:rPr>
          <w:rFonts w:eastAsia="Calibri" w:cs="Times New Roman"/>
          <w:szCs w:val="20"/>
          <w:lang w:val="pt-BR"/>
        </w:rPr>
        <w:t>desenvolvimento</w:t>
      </w:r>
      <w:r w:rsidR="00CF3C54" w:rsidRPr="00D5464D">
        <w:rPr>
          <w:rFonts w:eastAsia="Calibri" w:cs="Times New Roman"/>
          <w:szCs w:val="20"/>
          <w:lang w:val="pt-BR"/>
        </w:rPr>
        <w:t xml:space="preserve"> </w:t>
      </w:r>
      <w:r w:rsidRPr="00D5464D">
        <w:rPr>
          <w:rFonts w:eastAsia="Calibri" w:cs="Times New Roman"/>
          <w:szCs w:val="20"/>
          <w:lang w:val="pt-BR"/>
        </w:rPr>
        <w:t xml:space="preserve">do </w:t>
      </w:r>
      <w:r w:rsidR="00E765C2" w:rsidRPr="00D5464D">
        <w:rPr>
          <w:rFonts w:eastAsia="Calibri" w:cs="Times New Roman"/>
          <w:szCs w:val="20"/>
          <w:lang w:val="pt-BR"/>
        </w:rPr>
        <w:t>Direito Internacional</w:t>
      </w:r>
      <w:r w:rsidRPr="00D5464D">
        <w:rPr>
          <w:rFonts w:eastAsia="Calibri" w:cs="Times New Roman"/>
          <w:szCs w:val="20"/>
          <w:lang w:val="pt-BR"/>
        </w:rPr>
        <w:t xml:space="preserve"> dos </w:t>
      </w:r>
      <w:r w:rsidR="00AE6345" w:rsidRPr="00D5464D">
        <w:rPr>
          <w:rFonts w:eastAsia="Calibri" w:cs="Times New Roman"/>
          <w:szCs w:val="20"/>
          <w:lang w:val="pt-BR"/>
        </w:rPr>
        <w:t>D</w:t>
      </w:r>
      <w:r w:rsidRPr="00D5464D">
        <w:rPr>
          <w:rFonts w:eastAsia="Calibri" w:cs="Times New Roman"/>
          <w:szCs w:val="20"/>
          <w:lang w:val="pt-BR"/>
        </w:rPr>
        <w:t>ireito</w:t>
      </w:r>
      <w:r w:rsidR="00CF3C54" w:rsidRPr="00D5464D">
        <w:rPr>
          <w:rFonts w:eastAsia="Calibri" w:cs="Times New Roman"/>
          <w:szCs w:val="20"/>
          <w:lang w:val="pt-BR"/>
        </w:rPr>
        <w:t xml:space="preserve">s </w:t>
      </w:r>
      <w:r w:rsidR="00AE6345" w:rsidRPr="00D5464D">
        <w:rPr>
          <w:rFonts w:eastAsia="Calibri" w:cs="Times New Roman"/>
          <w:szCs w:val="20"/>
          <w:lang w:val="pt-BR"/>
        </w:rPr>
        <w:t>H</w:t>
      </w:r>
      <w:r w:rsidR="00CF3C54" w:rsidRPr="00D5464D">
        <w:rPr>
          <w:rFonts w:eastAsia="Calibri" w:cs="Times New Roman"/>
          <w:szCs w:val="20"/>
          <w:lang w:val="pt-BR"/>
        </w:rPr>
        <w:t>umanos,</w:t>
      </w:r>
      <w:r w:rsidR="00E045D9" w:rsidRPr="00D5464D">
        <w:rPr>
          <w:rFonts w:eastAsia="Calibri" w:cs="Times New Roman"/>
          <w:szCs w:val="20"/>
          <w:lang w:val="pt-BR"/>
        </w:rPr>
        <w:t xml:space="preserve"> </w:t>
      </w:r>
      <w:r w:rsidR="003924C3" w:rsidRPr="00D5464D">
        <w:rPr>
          <w:rFonts w:eastAsia="Calibri" w:cs="Times New Roman"/>
          <w:szCs w:val="20"/>
          <w:lang w:val="pt-BR"/>
        </w:rPr>
        <w:t xml:space="preserve">as </w:t>
      </w:r>
      <w:r w:rsidR="008455B0" w:rsidRPr="00D5464D">
        <w:rPr>
          <w:rFonts w:eastAsia="Calibri" w:cs="Times New Roman"/>
          <w:szCs w:val="20"/>
          <w:lang w:val="pt-BR"/>
        </w:rPr>
        <w:t>“</w:t>
      </w:r>
      <w:r w:rsidR="002C330E" w:rsidRPr="00D5464D">
        <w:rPr>
          <w:rFonts w:eastAsia="Calibri" w:cs="Times New Roman"/>
          <w:szCs w:val="20"/>
          <w:lang w:val="pt-BR"/>
        </w:rPr>
        <w:t>pessoa</w:t>
      </w:r>
      <w:r w:rsidR="008455B0" w:rsidRPr="00D5464D">
        <w:rPr>
          <w:rFonts w:eastAsia="Calibri" w:cs="Times New Roman"/>
          <w:szCs w:val="20"/>
          <w:lang w:val="pt-BR"/>
        </w:rPr>
        <w:t xml:space="preserve">s” </w:t>
      </w:r>
      <w:r w:rsidR="00C773A0" w:rsidRPr="00D5464D">
        <w:rPr>
          <w:rFonts w:eastAsia="Calibri" w:cs="Times New Roman"/>
          <w:szCs w:val="20"/>
          <w:lang w:val="pt-BR"/>
        </w:rPr>
        <w:t xml:space="preserve">traficadas para </w:t>
      </w:r>
      <w:r w:rsidR="002C330E" w:rsidRPr="00D5464D">
        <w:rPr>
          <w:rFonts w:eastAsia="Calibri" w:cs="Times New Roman"/>
          <w:szCs w:val="20"/>
          <w:lang w:val="pt-BR"/>
        </w:rPr>
        <w:t>submissão</w:t>
      </w:r>
      <w:r w:rsidR="00C773A0" w:rsidRPr="00D5464D">
        <w:rPr>
          <w:rFonts w:eastAsia="Calibri" w:cs="Times New Roman"/>
          <w:szCs w:val="20"/>
          <w:lang w:val="pt-BR"/>
        </w:rPr>
        <w:t xml:space="preserve"> a </w:t>
      </w:r>
      <w:r w:rsidR="00AE6345" w:rsidRPr="00D5464D">
        <w:rPr>
          <w:rFonts w:eastAsia="Calibri" w:cs="Times New Roman"/>
          <w:szCs w:val="20"/>
          <w:lang w:val="pt-BR"/>
        </w:rPr>
        <w:t xml:space="preserve">várias </w:t>
      </w:r>
      <w:r w:rsidR="00C773A0" w:rsidRPr="00D5464D">
        <w:rPr>
          <w:rFonts w:eastAsia="Calibri" w:cs="Times New Roman"/>
          <w:szCs w:val="20"/>
          <w:lang w:val="pt-BR"/>
        </w:rPr>
        <w:t xml:space="preserve">formas de </w:t>
      </w:r>
      <w:r w:rsidR="00230C71" w:rsidRPr="00D5464D">
        <w:rPr>
          <w:rFonts w:eastAsia="Calibri" w:cs="Times New Roman"/>
          <w:szCs w:val="20"/>
          <w:lang w:val="pt-BR"/>
        </w:rPr>
        <w:t>exploração</w:t>
      </w:r>
      <w:r w:rsidR="002C330E" w:rsidRPr="00D5464D">
        <w:rPr>
          <w:rFonts w:eastAsia="Calibri" w:cs="Times New Roman"/>
          <w:szCs w:val="20"/>
          <w:lang w:val="pt-BR"/>
        </w:rPr>
        <w:t xml:space="preserve"> sem </w:t>
      </w:r>
      <w:r w:rsidR="00AE6345" w:rsidRPr="00D5464D">
        <w:rPr>
          <w:rFonts w:eastAsia="Calibri" w:cs="Times New Roman"/>
          <w:szCs w:val="20"/>
          <w:lang w:val="pt-BR"/>
        </w:rPr>
        <w:t xml:space="preserve">o </w:t>
      </w:r>
      <w:r w:rsidR="00230C71" w:rsidRPr="00D5464D">
        <w:rPr>
          <w:rFonts w:eastAsia="Calibri" w:cs="Times New Roman"/>
          <w:szCs w:val="20"/>
          <w:lang w:val="pt-BR"/>
        </w:rPr>
        <w:t>seu consentimento</w:t>
      </w:r>
      <w:r w:rsidR="00A1358C" w:rsidRPr="00D5464D">
        <w:rPr>
          <w:rFonts w:eastAsia="Calibri" w:cs="Times New Roman"/>
          <w:szCs w:val="20"/>
          <w:lang w:val="pt-BR"/>
        </w:rPr>
        <w:t xml:space="preserve">. O </w:t>
      </w:r>
      <w:r w:rsidR="00C773A0" w:rsidRPr="00D5464D">
        <w:rPr>
          <w:rFonts w:eastAsia="Calibri" w:cs="Times New Roman"/>
          <w:szCs w:val="20"/>
          <w:lang w:val="pt-BR"/>
        </w:rPr>
        <w:t>elemento que vincula</w:t>
      </w:r>
      <w:r w:rsidR="002C330E" w:rsidRPr="00D5464D">
        <w:rPr>
          <w:rFonts w:eastAsia="Calibri" w:cs="Times New Roman"/>
          <w:szCs w:val="20"/>
          <w:lang w:val="pt-BR"/>
        </w:rPr>
        <w:t xml:space="preserve"> as proibições</w:t>
      </w:r>
      <w:r w:rsidR="00C773A0" w:rsidRPr="00D5464D">
        <w:rPr>
          <w:rFonts w:eastAsia="Calibri" w:cs="Times New Roman"/>
          <w:szCs w:val="20"/>
          <w:lang w:val="pt-BR"/>
        </w:rPr>
        <w:t xml:space="preserve"> de</w:t>
      </w:r>
      <w:r w:rsidR="000B376D" w:rsidRPr="00D5464D">
        <w:rPr>
          <w:rFonts w:eastAsia="Calibri" w:cs="Times New Roman"/>
          <w:szCs w:val="20"/>
          <w:lang w:val="pt-BR"/>
        </w:rPr>
        <w:t xml:space="preserve"> tráfico de escravos</w:t>
      </w:r>
      <w:r w:rsidR="00E045D9" w:rsidRPr="00D5464D">
        <w:rPr>
          <w:rFonts w:eastAsia="Calibri" w:cs="Times New Roman"/>
          <w:szCs w:val="20"/>
          <w:lang w:val="pt-BR"/>
        </w:rPr>
        <w:t xml:space="preserve"> e </w:t>
      </w:r>
      <w:r w:rsidR="00C773A0" w:rsidRPr="00D5464D">
        <w:rPr>
          <w:rFonts w:eastAsia="Calibri" w:cs="Times New Roman"/>
          <w:szCs w:val="20"/>
          <w:lang w:val="pt-BR"/>
        </w:rPr>
        <w:t xml:space="preserve">de </w:t>
      </w:r>
      <w:r w:rsidR="002C330E" w:rsidRPr="00D5464D">
        <w:rPr>
          <w:rFonts w:eastAsia="Calibri" w:cs="Times New Roman"/>
          <w:szCs w:val="20"/>
          <w:lang w:val="pt-BR"/>
        </w:rPr>
        <w:t>mulher</w:t>
      </w:r>
      <w:r w:rsidR="00C773A0" w:rsidRPr="00D5464D">
        <w:rPr>
          <w:rFonts w:eastAsia="Calibri" w:cs="Times New Roman"/>
          <w:szCs w:val="20"/>
          <w:lang w:val="pt-BR"/>
        </w:rPr>
        <w:t>es</w:t>
      </w:r>
      <w:r w:rsidRPr="00D5464D">
        <w:rPr>
          <w:rFonts w:eastAsia="Calibri" w:cs="Times New Roman"/>
          <w:szCs w:val="20"/>
          <w:lang w:val="pt-BR"/>
        </w:rPr>
        <w:t xml:space="preserve"> é o </w:t>
      </w:r>
      <w:r w:rsidR="002C330E" w:rsidRPr="00D5464D">
        <w:rPr>
          <w:rFonts w:eastAsia="Calibri" w:cs="Times New Roman"/>
          <w:szCs w:val="20"/>
          <w:lang w:val="pt-BR"/>
        </w:rPr>
        <w:t>mesm</w:t>
      </w:r>
      <w:r w:rsidR="00CF3C54" w:rsidRPr="00D5464D">
        <w:rPr>
          <w:rFonts w:eastAsia="Calibri" w:cs="Times New Roman"/>
          <w:szCs w:val="20"/>
          <w:lang w:val="pt-BR"/>
        </w:rPr>
        <w:t>o</w:t>
      </w:r>
      <w:r w:rsidR="00A1358C" w:rsidRPr="00D5464D">
        <w:rPr>
          <w:rFonts w:eastAsia="Calibri" w:cs="Times New Roman"/>
          <w:szCs w:val="20"/>
          <w:lang w:val="pt-BR"/>
        </w:rPr>
        <w:t>, isto é,</w:t>
      </w:r>
      <w:r w:rsidRPr="00D5464D">
        <w:rPr>
          <w:rFonts w:eastAsia="Calibri" w:cs="Times New Roman"/>
          <w:szCs w:val="20"/>
          <w:lang w:val="pt-BR"/>
        </w:rPr>
        <w:t xml:space="preserve"> o controle exercido</w:t>
      </w:r>
      <w:r w:rsidR="002C330E" w:rsidRPr="00D5464D">
        <w:rPr>
          <w:rFonts w:eastAsia="Calibri" w:cs="Times New Roman"/>
          <w:szCs w:val="20"/>
          <w:lang w:val="pt-BR"/>
        </w:rPr>
        <w:t xml:space="preserve"> pelos </w:t>
      </w:r>
      <w:r w:rsidR="00C773A0" w:rsidRPr="00D5464D">
        <w:rPr>
          <w:rFonts w:eastAsia="Calibri" w:cs="Times New Roman"/>
          <w:szCs w:val="20"/>
          <w:lang w:val="pt-BR"/>
        </w:rPr>
        <w:t>perpetradores sobre</w:t>
      </w:r>
      <w:r w:rsidR="002C330E" w:rsidRPr="00D5464D">
        <w:rPr>
          <w:rFonts w:eastAsia="Calibri" w:cs="Times New Roman"/>
          <w:szCs w:val="20"/>
          <w:lang w:val="pt-BR"/>
        </w:rPr>
        <w:t xml:space="preserve"> as </w:t>
      </w:r>
      <w:r w:rsidR="00E045D9" w:rsidRPr="00D5464D">
        <w:rPr>
          <w:rFonts w:eastAsia="Calibri" w:cs="Times New Roman"/>
          <w:szCs w:val="20"/>
          <w:lang w:val="pt-BR"/>
        </w:rPr>
        <w:t>vítima</w:t>
      </w:r>
      <w:r w:rsidR="00C773A0" w:rsidRPr="00D5464D">
        <w:rPr>
          <w:rFonts w:eastAsia="Calibri" w:cs="Times New Roman"/>
          <w:szCs w:val="20"/>
          <w:lang w:val="pt-BR"/>
        </w:rPr>
        <w:t>s durante</w:t>
      </w:r>
      <w:r w:rsidRPr="00D5464D">
        <w:rPr>
          <w:rFonts w:eastAsia="Calibri" w:cs="Times New Roman"/>
          <w:szCs w:val="20"/>
          <w:lang w:val="pt-BR"/>
        </w:rPr>
        <w:t xml:space="preserve"> o </w:t>
      </w:r>
      <w:r w:rsidR="00C773A0" w:rsidRPr="00D5464D">
        <w:rPr>
          <w:rFonts w:eastAsia="Calibri" w:cs="Times New Roman"/>
          <w:szCs w:val="20"/>
          <w:lang w:val="pt-BR"/>
        </w:rPr>
        <w:t>transporte o</w:t>
      </w:r>
      <w:r w:rsidR="00AE6345" w:rsidRPr="00D5464D">
        <w:rPr>
          <w:rFonts w:eastAsia="Calibri" w:cs="Times New Roman"/>
          <w:szCs w:val="20"/>
          <w:lang w:val="pt-BR"/>
        </w:rPr>
        <w:t>u</w:t>
      </w:r>
      <w:r w:rsidR="00C773A0" w:rsidRPr="00D5464D">
        <w:rPr>
          <w:rFonts w:eastAsia="Calibri" w:cs="Times New Roman"/>
          <w:szCs w:val="20"/>
          <w:lang w:val="pt-BR"/>
        </w:rPr>
        <w:t xml:space="preserve"> traslado</w:t>
      </w:r>
      <w:r w:rsidRPr="00D5464D">
        <w:rPr>
          <w:rFonts w:eastAsia="Calibri" w:cs="Times New Roman"/>
          <w:szCs w:val="20"/>
          <w:lang w:val="pt-BR"/>
        </w:rPr>
        <w:t xml:space="preserve"> com fins </w:t>
      </w:r>
      <w:r w:rsidR="00C773A0" w:rsidRPr="00D5464D">
        <w:rPr>
          <w:rFonts w:eastAsia="Calibri" w:cs="Times New Roman"/>
          <w:szCs w:val="20"/>
          <w:lang w:val="pt-BR"/>
        </w:rPr>
        <w:t xml:space="preserve">de </w:t>
      </w:r>
      <w:r w:rsidR="00230C71" w:rsidRPr="00D5464D">
        <w:rPr>
          <w:rFonts w:eastAsia="Calibri" w:cs="Times New Roman"/>
          <w:szCs w:val="20"/>
          <w:lang w:val="pt-BR"/>
        </w:rPr>
        <w:t>exploração</w:t>
      </w:r>
      <w:r w:rsidR="00C773A0" w:rsidRPr="00D5464D">
        <w:rPr>
          <w:rFonts w:eastAsia="Calibri" w:cs="Times New Roman"/>
          <w:szCs w:val="20"/>
          <w:lang w:val="pt-BR"/>
        </w:rPr>
        <w:t xml:space="preserve">. </w:t>
      </w:r>
      <w:r w:rsidR="00350187" w:rsidRPr="00D5464D">
        <w:rPr>
          <w:rFonts w:eastAsia="Calibri" w:cs="Times New Roman"/>
          <w:szCs w:val="20"/>
          <w:lang w:val="pt-BR"/>
        </w:rPr>
        <w:t xml:space="preserve">Além disso, </w:t>
      </w:r>
      <w:r w:rsidR="002C330E" w:rsidRPr="00D5464D">
        <w:rPr>
          <w:rFonts w:eastAsia="Calibri" w:cs="Times New Roman"/>
          <w:szCs w:val="20"/>
          <w:lang w:val="pt-BR"/>
        </w:rPr>
        <w:t xml:space="preserve">a </w:t>
      </w:r>
      <w:r w:rsidR="0018065A" w:rsidRPr="00D5464D">
        <w:rPr>
          <w:rFonts w:eastAsia="Calibri" w:cs="Times New Roman"/>
          <w:szCs w:val="20"/>
          <w:lang w:val="pt-BR"/>
        </w:rPr>
        <w:t>Corte identifica</w:t>
      </w:r>
      <w:r w:rsidR="002C330E" w:rsidRPr="00D5464D">
        <w:rPr>
          <w:rFonts w:eastAsia="Calibri" w:cs="Times New Roman"/>
          <w:szCs w:val="20"/>
          <w:lang w:val="pt-BR"/>
        </w:rPr>
        <w:t xml:space="preserve"> os seguinte</w:t>
      </w:r>
      <w:r w:rsidR="00C25F96" w:rsidRPr="00D5464D">
        <w:rPr>
          <w:rFonts w:eastAsia="Calibri" w:cs="Times New Roman"/>
          <w:szCs w:val="20"/>
          <w:lang w:val="pt-BR"/>
        </w:rPr>
        <w:t>s</w:t>
      </w:r>
      <w:r w:rsidR="0018065A" w:rsidRPr="00D5464D">
        <w:rPr>
          <w:rFonts w:eastAsia="Calibri" w:cs="Times New Roman"/>
          <w:szCs w:val="20"/>
          <w:lang w:val="pt-BR"/>
        </w:rPr>
        <w:t xml:space="preserve"> elementos </w:t>
      </w:r>
      <w:r w:rsidRPr="00D5464D">
        <w:rPr>
          <w:rFonts w:eastAsia="Calibri" w:cs="Times New Roman"/>
          <w:szCs w:val="20"/>
          <w:lang w:val="pt-BR"/>
        </w:rPr>
        <w:t>comuns</w:t>
      </w:r>
      <w:r w:rsidR="0018065A" w:rsidRPr="00D5464D">
        <w:rPr>
          <w:rFonts w:eastAsia="Calibri" w:cs="Times New Roman"/>
          <w:szCs w:val="20"/>
          <w:lang w:val="pt-BR"/>
        </w:rPr>
        <w:t xml:space="preserve"> a ambas </w:t>
      </w:r>
      <w:r w:rsidR="00AE6345" w:rsidRPr="00D5464D">
        <w:rPr>
          <w:rFonts w:eastAsia="Calibri" w:cs="Times New Roman"/>
          <w:szCs w:val="20"/>
          <w:lang w:val="pt-BR"/>
        </w:rPr>
        <w:t xml:space="preserve">as </w:t>
      </w:r>
      <w:r w:rsidR="0018065A" w:rsidRPr="00D5464D">
        <w:rPr>
          <w:rFonts w:eastAsia="Calibri" w:cs="Times New Roman"/>
          <w:szCs w:val="20"/>
          <w:lang w:val="pt-BR"/>
        </w:rPr>
        <w:t xml:space="preserve">formas de </w:t>
      </w:r>
      <w:r w:rsidR="00AE6345" w:rsidRPr="00D5464D">
        <w:rPr>
          <w:rFonts w:eastAsia="Calibri" w:cs="Times New Roman"/>
          <w:szCs w:val="20"/>
          <w:lang w:val="pt-BR"/>
        </w:rPr>
        <w:t>tráfico</w:t>
      </w:r>
      <w:r w:rsidR="0018065A" w:rsidRPr="00D5464D">
        <w:rPr>
          <w:rFonts w:eastAsia="Calibri" w:cs="Times New Roman"/>
          <w:szCs w:val="20"/>
          <w:lang w:val="pt-BR"/>
        </w:rPr>
        <w:t>: i)</w:t>
      </w:r>
      <w:r w:rsidRPr="00D5464D">
        <w:rPr>
          <w:rFonts w:eastAsia="Calibri" w:cs="Times New Roman"/>
          <w:szCs w:val="20"/>
          <w:lang w:val="pt-BR"/>
        </w:rPr>
        <w:t xml:space="preserve"> o controle </w:t>
      </w:r>
      <w:r w:rsidR="0018065A" w:rsidRPr="00D5464D">
        <w:rPr>
          <w:rFonts w:eastAsia="Calibri" w:cs="Times New Roman"/>
          <w:szCs w:val="20"/>
          <w:lang w:val="pt-BR"/>
        </w:rPr>
        <w:t xml:space="preserve">de </w:t>
      </w:r>
      <w:r w:rsidR="002C330E" w:rsidRPr="00D5464D">
        <w:rPr>
          <w:rFonts w:eastAsia="Calibri" w:cs="Times New Roman"/>
          <w:szCs w:val="20"/>
          <w:lang w:val="pt-BR"/>
        </w:rPr>
        <w:t>movimento</w:t>
      </w:r>
      <w:r w:rsidR="0018065A" w:rsidRPr="00D5464D">
        <w:rPr>
          <w:rFonts w:eastAsia="Calibri" w:cs="Times New Roman"/>
          <w:szCs w:val="20"/>
          <w:lang w:val="pt-BR"/>
        </w:rPr>
        <w:t xml:space="preserve"> o</w:t>
      </w:r>
      <w:r w:rsidR="00AE6345" w:rsidRPr="00D5464D">
        <w:rPr>
          <w:rFonts w:eastAsia="Calibri" w:cs="Times New Roman"/>
          <w:szCs w:val="20"/>
          <w:lang w:val="pt-BR"/>
        </w:rPr>
        <w:t>u</w:t>
      </w:r>
      <w:r w:rsidR="0018065A" w:rsidRPr="00D5464D">
        <w:rPr>
          <w:rFonts w:eastAsia="Calibri" w:cs="Times New Roman"/>
          <w:szCs w:val="20"/>
          <w:lang w:val="pt-BR"/>
        </w:rPr>
        <w:t xml:space="preserve"> </w:t>
      </w:r>
      <w:r w:rsidRPr="00D5464D">
        <w:rPr>
          <w:rFonts w:eastAsia="Calibri" w:cs="Times New Roman"/>
          <w:szCs w:val="20"/>
          <w:lang w:val="pt-BR"/>
        </w:rPr>
        <w:t xml:space="preserve">do </w:t>
      </w:r>
      <w:r w:rsidR="0018065A" w:rsidRPr="00D5464D">
        <w:rPr>
          <w:rFonts w:eastAsia="Calibri" w:cs="Times New Roman"/>
          <w:szCs w:val="20"/>
          <w:lang w:val="pt-BR"/>
        </w:rPr>
        <w:t>ambiente físico</w:t>
      </w:r>
      <w:r w:rsidRPr="00D5464D">
        <w:rPr>
          <w:rFonts w:eastAsia="Calibri" w:cs="Times New Roman"/>
          <w:szCs w:val="20"/>
          <w:lang w:val="pt-BR"/>
        </w:rPr>
        <w:t xml:space="preserve"> da </w:t>
      </w:r>
      <w:r w:rsidR="002C330E" w:rsidRPr="00D5464D">
        <w:rPr>
          <w:rFonts w:eastAsia="Calibri" w:cs="Times New Roman"/>
          <w:szCs w:val="20"/>
          <w:lang w:val="pt-BR"/>
        </w:rPr>
        <w:t>pessoa</w:t>
      </w:r>
      <w:r w:rsidR="0018065A" w:rsidRPr="00D5464D">
        <w:rPr>
          <w:rFonts w:eastAsia="Calibri" w:cs="Times New Roman"/>
          <w:szCs w:val="20"/>
          <w:lang w:val="pt-BR"/>
        </w:rPr>
        <w:t>; ii)</w:t>
      </w:r>
      <w:r w:rsidRPr="00D5464D">
        <w:rPr>
          <w:rFonts w:eastAsia="Calibri" w:cs="Times New Roman"/>
          <w:szCs w:val="20"/>
          <w:lang w:val="pt-BR"/>
        </w:rPr>
        <w:t xml:space="preserve"> o controle </w:t>
      </w:r>
      <w:r w:rsidR="0018065A" w:rsidRPr="00D5464D">
        <w:rPr>
          <w:rFonts w:eastAsia="Calibri" w:cs="Times New Roman"/>
          <w:szCs w:val="20"/>
          <w:lang w:val="pt-BR"/>
        </w:rPr>
        <w:t>psicológico; iii)</w:t>
      </w:r>
      <w:r w:rsidR="002C330E" w:rsidRPr="00D5464D">
        <w:rPr>
          <w:rFonts w:eastAsia="Calibri" w:cs="Times New Roman"/>
          <w:szCs w:val="20"/>
          <w:lang w:val="pt-BR"/>
        </w:rPr>
        <w:t xml:space="preserve"> a </w:t>
      </w:r>
      <w:r w:rsidRPr="00D5464D">
        <w:rPr>
          <w:rFonts w:eastAsia="Calibri" w:cs="Times New Roman"/>
          <w:szCs w:val="20"/>
          <w:lang w:val="pt-BR"/>
        </w:rPr>
        <w:t>adoção</w:t>
      </w:r>
      <w:r w:rsidR="0018065A" w:rsidRPr="00D5464D">
        <w:rPr>
          <w:rFonts w:eastAsia="Calibri" w:cs="Times New Roman"/>
          <w:szCs w:val="20"/>
          <w:lang w:val="pt-BR"/>
        </w:rPr>
        <w:t xml:space="preserve"> de medidas para impedir</w:t>
      </w:r>
      <w:r w:rsidR="002C330E" w:rsidRPr="00D5464D">
        <w:rPr>
          <w:rFonts w:eastAsia="Calibri" w:cs="Times New Roman"/>
          <w:szCs w:val="20"/>
          <w:lang w:val="pt-BR"/>
        </w:rPr>
        <w:t xml:space="preserve"> a </w:t>
      </w:r>
      <w:r w:rsidR="0018065A" w:rsidRPr="00D5464D">
        <w:rPr>
          <w:rFonts w:eastAsia="Calibri" w:cs="Times New Roman"/>
          <w:szCs w:val="20"/>
          <w:lang w:val="pt-BR"/>
        </w:rPr>
        <w:t>fuga</w:t>
      </w:r>
      <w:r w:rsidR="002A0C2B" w:rsidRPr="00D5464D">
        <w:rPr>
          <w:rFonts w:eastAsia="Calibri" w:cs="Times New Roman"/>
          <w:szCs w:val="20"/>
          <w:lang w:val="pt-BR"/>
        </w:rPr>
        <w:t xml:space="preserve"> e </w:t>
      </w:r>
      <w:r w:rsidR="0018065A" w:rsidRPr="00D5464D">
        <w:rPr>
          <w:rFonts w:eastAsia="Calibri" w:cs="Times New Roman"/>
          <w:szCs w:val="20"/>
          <w:lang w:val="pt-BR"/>
        </w:rPr>
        <w:t>iv)</w:t>
      </w:r>
      <w:r w:rsidRPr="00D5464D">
        <w:rPr>
          <w:rFonts w:eastAsia="Calibri" w:cs="Times New Roman"/>
          <w:szCs w:val="20"/>
          <w:lang w:val="pt-BR"/>
        </w:rPr>
        <w:t xml:space="preserve"> o </w:t>
      </w:r>
      <w:r w:rsidR="00E045D9" w:rsidRPr="00D5464D">
        <w:rPr>
          <w:rFonts w:eastAsia="Calibri" w:cs="Times New Roman"/>
          <w:szCs w:val="20"/>
          <w:lang w:val="pt-BR"/>
        </w:rPr>
        <w:t>trabalho</w:t>
      </w:r>
      <w:r w:rsidR="0018065A" w:rsidRPr="00D5464D">
        <w:rPr>
          <w:rFonts w:eastAsia="Calibri" w:cs="Times New Roman"/>
          <w:szCs w:val="20"/>
          <w:lang w:val="pt-BR"/>
        </w:rPr>
        <w:t xml:space="preserve"> </w:t>
      </w:r>
      <w:r w:rsidR="00230C71" w:rsidRPr="00D5464D">
        <w:rPr>
          <w:rFonts w:eastAsia="Calibri" w:cs="Times New Roman"/>
          <w:szCs w:val="20"/>
          <w:lang w:val="pt-BR"/>
        </w:rPr>
        <w:t>forçado</w:t>
      </w:r>
      <w:r w:rsidR="00E045D9" w:rsidRPr="00D5464D">
        <w:rPr>
          <w:rFonts w:eastAsia="Calibri" w:cs="Times New Roman"/>
          <w:szCs w:val="20"/>
          <w:lang w:val="pt-BR"/>
        </w:rPr>
        <w:t xml:space="preserve"> ou </w:t>
      </w:r>
      <w:r w:rsidR="002C330E" w:rsidRPr="00D5464D">
        <w:rPr>
          <w:rFonts w:eastAsia="Calibri" w:cs="Times New Roman"/>
          <w:szCs w:val="20"/>
          <w:lang w:val="pt-BR"/>
        </w:rPr>
        <w:t>obrigatóri</w:t>
      </w:r>
      <w:r w:rsidR="0018065A" w:rsidRPr="00D5464D">
        <w:rPr>
          <w:rFonts w:eastAsia="Calibri" w:cs="Times New Roman"/>
          <w:szCs w:val="20"/>
          <w:lang w:val="pt-BR"/>
        </w:rPr>
        <w:t>o</w:t>
      </w:r>
      <w:r w:rsidR="00AE6345" w:rsidRPr="00D5464D">
        <w:rPr>
          <w:rFonts w:eastAsia="Calibri" w:cs="Times New Roman"/>
          <w:szCs w:val="20"/>
          <w:lang w:val="pt-BR"/>
        </w:rPr>
        <w:t>,</w:t>
      </w:r>
      <w:r w:rsidR="0018065A" w:rsidRPr="00D5464D">
        <w:rPr>
          <w:rFonts w:eastAsia="Calibri" w:cs="Times New Roman"/>
          <w:szCs w:val="20"/>
          <w:vertAlign w:val="superscript"/>
          <w:lang w:val="pt-BR"/>
        </w:rPr>
        <w:footnoteReference w:id="436"/>
      </w:r>
      <w:r w:rsidR="0018065A" w:rsidRPr="00D5464D">
        <w:rPr>
          <w:rFonts w:eastAsia="Calibri" w:cs="Times New Roman"/>
          <w:szCs w:val="20"/>
          <w:lang w:val="pt-BR"/>
        </w:rPr>
        <w:t xml:space="preserve"> </w:t>
      </w:r>
      <w:r w:rsidR="00E045D9" w:rsidRPr="00D5464D">
        <w:rPr>
          <w:rFonts w:eastAsia="Calibri" w:cs="Times New Roman"/>
          <w:szCs w:val="20"/>
          <w:lang w:val="pt-BR"/>
        </w:rPr>
        <w:t>incluindo</w:t>
      </w:r>
      <w:r w:rsidR="002C330E" w:rsidRPr="00D5464D">
        <w:rPr>
          <w:rFonts w:eastAsia="Calibri" w:cs="Times New Roman"/>
          <w:szCs w:val="20"/>
          <w:lang w:val="pt-BR"/>
        </w:rPr>
        <w:t xml:space="preserve"> a </w:t>
      </w:r>
      <w:r w:rsidR="00CB7095" w:rsidRPr="00D5464D">
        <w:rPr>
          <w:rFonts w:eastAsia="Calibri" w:cs="Times New Roman"/>
          <w:szCs w:val="20"/>
          <w:lang w:val="pt-BR"/>
        </w:rPr>
        <w:t>prostituição</w:t>
      </w:r>
      <w:r w:rsidR="0018065A" w:rsidRPr="00D5464D">
        <w:rPr>
          <w:rFonts w:eastAsia="Calibri" w:cs="Times New Roman"/>
          <w:szCs w:val="20"/>
          <w:lang w:val="pt-BR"/>
        </w:rPr>
        <w:t>.</w:t>
      </w:r>
    </w:p>
    <w:p w14:paraId="22793E50" w14:textId="77777777" w:rsidR="00C773A0" w:rsidRPr="00D5464D" w:rsidRDefault="00C773A0" w:rsidP="00ED3AD0">
      <w:pPr>
        <w:pStyle w:val="Prrafodelista"/>
        <w:rPr>
          <w:rFonts w:eastAsia="Calibri" w:cs="Times New Roman"/>
          <w:szCs w:val="20"/>
          <w:u w:val="single"/>
          <w:lang w:val="pt-BR"/>
        </w:rPr>
      </w:pPr>
    </w:p>
    <w:p w14:paraId="20584BBF" w14:textId="5E7D6E36" w:rsidR="00F727E4" w:rsidRPr="00D5464D" w:rsidRDefault="00D75CDB" w:rsidP="00F727E4">
      <w:pPr>
        <w:numPr>
          <w:ilvl w:val="0"/>
          <w:numId w:val="1"/>
        </w:numPr>
        <w:tabs>
          <w:tab w:val="clear" w:pos="4419"/>
          <w:tab w:val="clear" w:pos="8838"/>
        </w:tabs>
        <w:jc w:val="both"/>
        <w:rPr>
          <w:rFonts w:eastAsia="Calibri" w:cs="Times New Roman"/>
          <w:szCs w:val="20"/>
          <w:lang w:val="pt-BR"/>
        </w:rPr>
      </w:pPr>
      <w:r w:rsidRPr="00D5464D">
        <w:rPr>
          <w:rFonts w:eastAsia="Calibri" w:cs="Times New Roman"/>
          <w:szCs w:val="20"/>
          <w:lang w:val="pt-BR"/>
        </w:rPr>
        <w:t>Em atenção a</w:t>
      </w:r>
      <w:r w:rsidR="00C91CB1" w:rsidRPr="00D5464D">
        <w:rPr>
          <w:rFonts w:eastAsia="Calibri" w:cs="Times New Roman"/>
          <w:szCs w:val="20"/>
          <w:lang w:val="pt-BR"/>
        </w:rPr>
        <w:t xml:space="preserve">o </w:t>
      </w:r>
      <w:r w:rsidR="003924C3" w:rsidRPr="00D5464D">
        <w:rPr>
          <w:rFonts w:eastAsia="Calibri" w:cs="Times New Roman"/>
          <w:szCs w:val="20"/>
          <w:lang w:val="pt-BR"/>
        </w:rPr>
        <w:t>exposto acima</w:t>
      </w:r>
      <w:r w:rsidR="007E573C" w:rsidRPr="00D5464D">
        <w:rPr>
          <w:rFonts w:eastAsia="Calibri" w:cs="Times New Roman"/>
          <w:szCs w:val="20"/>
          <w:lang w:val="pt-BR"/>
        </w:rPr>
        <w:t>,</w:t>
      </w:r>
      <w:r w:rsidR="002C330E" w:rsidRPr="00D5464D">
        <w:rPr>
          <w:rFonts w:eastAsia="Calibri" w:cs="Times New Roman"/>
          <w:szCs w:val="20"/>
          <w:lang w:val="pt-BR"/>
        </w:rPr>
        <w:t xml:space="preserve"> a </w:t>
      </w:r>
      <w:r w:rsidR="00C773A0" w:rsidRPr="00D5464D">
        <w:rPr>
          <w:rFonts w:eastAsia="Calibri" w:cs="Times New Roman"/>
          <w:szCs w:val="20"/>
          <w:lang w:val="pt-BR"/>
        </w:rPr>
        <w:t>Corte Interamericana considera que</w:t>
      </w:r>
      <w:r w:rsidRPr="00D5464D">
        <w:rPr>
          <w:rFonts w:eastAsia="Calibri" w:cs="Times New Roman"/>
          <w:szCs w:val="20"/>
          <w:lang w:val="pt-BR"/>
        </w:rPr>
        <w:t>,</w:t>
      </w:r>
      <w:r w:rsidR="00470ADC" w:rsidRPr="00D5464D">
        <w:rPr>
          <w:rFonts w:eastAsia="Calibri" w:cs="Times New Roman"/>
          <w:szCs w:val="20"/>
          <w:lang w:val="pt-BR"/>
        </w:rPr>
        <w:t xml:space="preserve"> à </w:t>
      </w:r>
      <w:r w:rsidR="0018065A" w:rsidRPr="00D5464D">
        <w:rPr>
          <w:rFonts w:eastAsia="Calibri" w:cs="Times New Roman"/>
          <w:szCs w:val="20"/>
          <w:lang w:val="pt-BR"/>
        </w:rPr>
        <w:t xml:space="preserve">luz </w:t>
      </w:r>
      <w:r w:rsidR="00470ADC" w:rsidRPr="00D5464D">
        <w:rPr>
          <w:rFonts w:eastAsia="Calibri" w:cs="Times New Roman"/>
          <w:szCs w:val="20"/>
          <w:lang w:val="pt-BR"/>
        </w:rPr>
        <w:t>do desenvolvimento</w:t>
      </w:r>
      <w:r w:rsidR="0018065A" w:rsidRPr="00D5464D">
        <w:rPr>
          <w:rFonts w:eastAsia="Calibri" w:cs="Times New Roman"/>
          <w:szCs w:val="20"/>
          <w:lang w:val="pt-BR"/>
        </w:rPr>
        <w:t xml:space="preserve"> </w:t>
      </w:r>
      <w:r w:rsidR="002C330E" w:rsidRPr="00D5464D">
        <w:rPr>
          <w:rFonts w:eastAsia="Calibri" w:cs="Times New Roman"/>
          <w:szCs w:val="20"/>
          <w:lang w:val="pt-BR"/>
        </w:rPr>
        <w:t>ocorrid</w:t>
      </w:r>
      <w:r w:rsidR="0018065A" w:rsidRPr="00D5464D">
        <w:rPr>
          <w:rFonts w:eastAsia="Calibri" w:cs="Times New Roman"/>
          <w:szCs w:val="20"/>
          <w:lang w:val="pt-BR"/>
        </w:rPr>
        <w:t>o</w:t>
      </w:r>
      <w:r w:rsidR="00E045D9" w:rsidRPr="00D5464D">
        <w:rPr>
          <w:rFonts w:eastAsia="Calibri" w:cs="Times New Roman"/>
          <w:szCs w:val="20"/>
          <w:lang w:val="pt-BR"/>
        </w:rPr>
        <w:t xml:space="preserve"> no </w:t>
      </w:r>
      <w:r w:rsidR="00E765C2" w:rsidRPr="00D5464D">
        <w:rPr>
          <w:rFonts w:eastAsia="Calibri" w:cs="Times New Roman"/>
          <w:szCs w:val="20"/>
          <w:lang w:val="pt-BR"/>
        </w:rPr>
        <w:t>Direito Internacional</w:t>
      </w:r>
      <w:r w:rsidR="00E045D9" w:rsidRPr="00D5464D">
        <w:rPr>
          <w:rFonts w:eastAsia="Calibri" w:cs="Times New Roman"/>
          <w:szCs w:val="20"/>
          <w:lang w:val="pt-BR"/>
        </w:rPr>
        <w:t xml:space="preserve"> nas </w:t>
      </w:r>
      <w:r w:rsidR="0018065A" w:rsidRPr="00D5464D">
        <w:rPr>
          <w:rFonts w:eastAsia="Calibri" w:cs="Times New Roman"/>
          <w:szCs w:val="20"/>
          <w:lang w:val="pt-BR"/>
        </w:rPr>
        <w:t>últimas décadas,</w:t>
      </w:r>
      <w:r w:rsidR="002C330E" w:rsidRPr="00D5464D">
        <w:rPr>
          <w:rFonts w:eastAsia="Calibri" w:cs="Times New Roman"/>
          <w:szCs w:val="20"/>
          <w:lang w:val="pt-BR"/>
        </w:rPr>
        <w:t xml:space="preserve"> a </w:t>
      </w:r>
      <w:r w:rsidR="00470ADC" w:rsidRPr="00D5464D">
        <w:rPr>
          <w:rFonts w:eastAsia="Calibri" w:cs="Times New Roman"/>
          <w:szCs w:val="20"/>
          <w:lang w:val="pt-BR"/>
        </w:rPr>
        <w:t>expressão</w:t>
      </w:r>
      <w:r w:rsidR="00F727E4" w:rsidRPr="00D5464D">
        <w:rPr>
          <w:rFonts w:eastAsia="Calibri" w:cs="Times New Roman"/>
          <w:szCs w:val="20"/>
          <w:lang w:val="pt-BR"/>
        </w:rPr>
        <w:t xml:space="preserve"> “</w:t>
      </w:r>
      <w:r w:rsidRPr="00D5464D">
        <w:rPr>
          <w:rFonts w:eastAsia="Calibri" w:cs="Times New Roman"/>
          <w:szCs w:val="20"/>
          <w:lang w:val="pt-BR"/>
        </w:rPr>
        <w:t>tráfico</w:t>
      </w:r>
      <w:r w:rsidR="00F727E4" w:rsidRPr="00D5464D">
        <w:rPr>
          <w:rFonts w:eastAsia="Calibri" w:cs="Times New Roman"/>
          <w:szCs w:val="20"/>
          <w:lang w:val="pt-BR"/>
        </w:rPr>
        <w:t xml:space="preserve"> de </w:t>
      </w:r>
      <w:r w:rsidR="004F1CC2" w:rsidRPr="00D5464D">
        <w:rPr>
          <w:rFonts w:eastAsia="Calibri" w:cs="Times New Roman"/>
          <w:szCs w:val="20"/>
          <w:lang w:val="pt-BR"/>
        </w:rPr>
        <w:t>escravo</w:t>
      </w:r>
      <w:r w:rsidR="00F727E4" w:rsidRPr="00D5464D">
        <w:rPr>
          <w:rFonts w:eastAsia="Calibri" w:cs="Times New Roman"/>
          <w:szCs w:val="20"/>
          <w:lang w:val="pt-BR"/>
        </w:rPr>
        <w:t>s</w:t>
      </w:r>
      <w:r w:rsidR="00E045D9" w:rsidRPr="00D5464D">
        <w:rPr>
          <w:rFonts w:eastAsia="Calibri" w:cs="Times New Roman"/>
          <w:szCs w:val="20"/>
          <w:lang w:val="pt-BR"/>
        </w:rPr>
        <w:t xml:space="preserve"> e </w:t>
      </w:r>
      <w:r w:rsidR="00C773A0" w:rsidRPr="00D5464D">
        <w:rPr>
          <w:rFonts w:eastAsia="Calibri" w:cs="Times New Roman"/>
          <w:szCs w:val="20"/>
          <w:lang w:val="pt-BR"/>
        </w:rPr>
        <w:t xml:space="preserve">de </w:t>
      </w:r>
      <w:r w:rsidR="002C330E" w:rsidRPr="00D5464D">
        <w:rPr>
          <w:rFonts w:eastAsia="Calibri" w:cs="Times New Roman"/>
          <w:szCs w:val="20"/>
          <w:lang w:val="pt-BR"/>
        </w:rPr>
        <w:t>mulher</w:t>
      </w:r>
      <w:r w:rsidR="00C773A0" w:rsidRPr="00D5464D">
        <w:rPr>
          <w:rFonts w:eastAsia="Calibri" w:cs="Times New Roman"/>
          <w:szCs w:val="20"/>
          <w:lang w:val="pt-BR"/>
        </w:rPr>
        <w:t>es</w:t>
      </w:r>
      <w:r w:rsidR="00F727E4" w:rsidRPr="00D5464D">
        <w:rPr>
          <w:rFonts w:eastAsia="Calibri" w:cs="Times New Roman"/>
          <w:szCs w:val="20"/>
          <w:lang w:val="pt-BR"/>
        </w:rPr>
        <w:t xml:space="preserve">” </w:t>
      </w:r>
      <w:r w:rsidR="00470ADC" w:rsidRPr="00D5464D">
        <w:rPr>
          <w:rFonts w:eastAsia="Calibri" w:cs="Times New Roman"/>
          <w:szCs w:val="20"/>
          <w:lang w:val="pt-BR"/>
        </w:rPr>
        <w:t>do artigo</w:t>
      </w:r>
      <w:r w:rsidR="00CF3C54" w:rsidRPr="00D5464D">
        <w:rPr>
          <w:rFonts w:eastAsia="Calibri" w:cs="Times New Roman"/>
          <w:szCs w:val="20"/>
          <w:lang w:val="pt-BR"/>
        </w:rPr>
        <w:t xml:space="preserve"> 6.1</w:t>
      </w:r>
      <w:r w:rsidR="00470ADC" w:rsidRPr="00D5464D">
        <w:rPr>
          <w:rFonts w:eastAsia="Calibri" w:cs="Times New Roman"/>
          <w:szCs w:val="20"/>
          <w:lang w:val="pt-BR"/>
        </w:rPr>
        <w:t xml:space="preserve"> da </w:t>
      </w:r>
      <w:r w:rsidR="00C773A0" w:rsidRPr="00D5464D">
        <w:rPr>
          <w:rFonts w:eastAsia="Calibri" w:cs="Times New Roman"/>
          <w:szCs w:val="20"/>
          <w:lang w:val="pt-BR"/>
        </w:rPr>
        <w:t>Conven</w:t>
      </w:r>
      <w:r w:rsidR="00470ADC" w:rsidRPr="00D5464D">
        <w:rPr>
          <w:rFonts w:eastAsia="Calibri" w:cs="Times New Roman"/>
          <w:szCs w:val="20"/>
          <w:lang w:val="pt-BR"/>
        </w:rPr>
        <w:t>ção</w:t>
      </w:r>
      <w:r w:rsidR="00C773A0" w:rsidRPr="00D5464D">
        <w:rPr>
          <w:rFonts w:eastAsia="Calibri" w:cs="Times New Roman"/>
          <w:szCs w:val="20"/>
          <w:lang w:val="pt-BR"/>
        </w:rPr>
        <w:t xml:space="preserve"> Americana</w:t>
      </w:r>
      <w:r w:rsidR="00470ADC" w:rsidRPr="00D5464D">
        <w:rPr>
          <w:rFonts w:eastAsia="Calibri" w:cs="Times New Roman"/>
          <w:szCs w:val="20"/>
          <w:lang w:val="pt-BR"/>
        </w:rPr>
        <w:t xml:space="preserve"> deve </w:t>
      </w:r>
      <w:r w:rsidR="00F727E4" w:rsidRPr="00D5464D">
        <w:rPr>
          <w:rFonts w:eastAsia="Calibri" w:cs="Times New Roman"/>
          <w:szCs w:val="20"/>
          <w:lang w:val="pt-BR"/>
        </w:rPr>
        <w:t xml:space="preserve">ser </w:t>
      </w:r>
      <w:r w:rsidR="0018065A" w:rsidRPr="00D5464D">
        <w:rPr>
          <w:rFonts w:eastAsia="Calibri" w:cs="Times New Roman"/>
          <w:szCs w:val="20"/>
          <w:lang w:val="pt-BR"/>
        </w:rPr>
        <w:t xml:space="preserve">interpretada de </w:t>
      </w:r>
      <w:r w:rsidR="002C330E" w:rsidRPr="00D5464D">
        <w:rPr>
          <w:rFonts w:eastAsia="Calibri" w:cs="Times New Roman"/>
          <w:szCs w:val="20"/>
          <w:lang w:val="pt-BR"/>
        </w:rPr>
        <w:t>maneira</w:t>
      </w:r>
      <w:r w:rsidR="0018065A" w:rsidRPr="00D5464D">
        <w:rPr>
          <w:rFonts w:eastAsia="Calibri" w:cs="Times New Roman"/>
          <w:szCs w:val="20"/>
          <w:lang w:val="pt-BR"/>
        </w:rPr>
        <w:t xml:space="preserve"> </w:t>
      </w:r>
      <w:r w:rsidR="00470ADC" w:rsidRPr="00D5464D">
        <w:rPr>
          <w:rFonts w:eastAsia="Calibri" w:cs="Times New Roman"/>
          <w:szCs w:val="20"/>
          <w:lang w:val="pt-BR"/>
        </w:rPr>
        <w:t>ampla</w:t>
      </w:r>
      <w:r w:rsidR="0018065A" w:rsidRPr="00D5464D">
        <w:rPr>
          <w:rFonts w:eastAsia="Calibri" w:cs="Times New Roman"/>
          <w:szCs w:val="20"/>
          <w:lang w:val="pt-BR"/>
        </w:rPr>
        <w:t xml:space="preserve"> para </w:t>
      </w:r>
      <w:r w:rsidR="002C330E" w:rsidRPr="00D5464D">
        <w:rPr>
          <w:rFonts w:eastAsia="Calibri" w:cs="Times New Roman"/>
          <w:szCs w:val="20"/>
          <w:lang w:val="pt-BR"/>
        </w:rPr>
        <w:t>referir-se</w:t>
      </w:r>
      <w:r w:rsidR="00470ADC" w:rsidRPr="00D5464D">
        <w:rPr>
          <w:rFonts w:eastAsia="Calibri" w:cs="Times New Roman"/>
          <w:szCs w:val="20"/>
          <w:lang w:val="pt-BR"/>
        </w:rPr>
        <w:t xml:space="preserve"> </w:t>
      </w:r>
      <w:r w:rsidRPr="00D5464D">
        <w:rPr>
          <w:rFonts w:eastAsia="Calibri" w:cs="Times New Roman"/>
          <w:szCs w:val="20"/>
          <w:lang w:val="pt-BR"/>
        </w:rPr>
        <w:t>ao</w:t>
      </w:r>
      <w:r w:rsidR="00470ADC" w:rsidRPr="00D5464D">
        <w:rPr>
          <w:rFonts w:eastAsia="Calibri" w:cs="Times New Roman"/>
          <w:szCs w:val="20"/>
          <w:lang w:val="pt-BR"/>
        </w:rPr>
        <w:t xml:space="preserve"> </w:t>
      </w:r>
      <w:r w:rsidR="00F727E4" w:rsidRPr="00D5464D">
        <w:rPr>
          <w:rFonts w:eastAsia="Calibri" w:cs="Times New Roman"/>
          <w:szCs w:val="20"/>
          <w:lang w:val="pt-BR"/>
        </w:rPr>
        <w:t>“tr</w:t>
      </w:r>
      <w:r w:rsidRPr="00D5464D">
        <w:rPr>
          <w:rFonts w:eastAsia="Calibri" w:cs="Times New Roman"/>
          <w:szCs w:val="20"/>
          <w:lang w:val="pt-BR"/>
        </w:rPr>
        <w:t xml:space="preserve">áfico </w:t>
      </w:r>
      <w:r w:rsidR="00F727E4" w:rsidRPr="00D5464D">
        <w:rPr>
          <w:rFonts w:eastAsia="Calibri" w:cs="Times New Roman"/>
          <w:szCs w:val="20"/>
          <w:lang w:val="pt-BR"/>
        </w:rPr>
        <w:t xml:space="preserve">de </w:t>
      </w:r>
      <w:r w:rsidR="002C330E" w:rsidRPr="00D5464D">
        <w:rPr>
          <w:rFonts w:eastAsia="Calibri" w:cs="Times New Roman"/>
          <w:szCs w:val="20"/>
          <w:lang w:val="pt-BR"/>
        </w:rPr>
        <w:t>pessoa</w:t>
      </w:r>
      <w:r w:rsidR="00F727E4" w:rsidRPr="00D5464D">
        <w:rPr>
          <w:rFonts w:eastAsia="Calibri" w:cs="Times New Roman"/>
          <w:szCs w:val="20"/>
          <w:lang w:val="pt-BR"/>
        </w:rPr>
        <w:t>s”</w:t>
      </w:r>
      <w:r w:rsidR="00C91CB1" w:rsidRPr="00D5464D">
        <w:rPr>
          <w:rFonts w:eastAsia="Calibri" w:cs="Times New Roman"/>
          <w:szCs w:val="20"/>
          <w:lang w:val="pt-BR"/>
        </w:rPr>
        <w:t xml:space="preserve">. Da </w:t>
      </w:r>
      <w:r w:rsidR="002C330E" w:rsidRPr="00D5464D">
        <w:rPr>
          <w:rFonts w:eastAsia="Calibri" w:cs="Times New Roman"/>
          <w:szCs w:val="20"/>
          <w:lang w:val="pt-BR"/>
        </w:rPr>
        <w:t>mesm</w:t>
      </w:r>
      <w:r w:rsidR="00CF3C54" w:rsidRPr="00D5464D">
        <w:rPr>
          <w:rFonts w:eastAsia="Calibri" w:cs="Times New Roman"/>
          <w:szCs w:val="20"/>
          <w:lang w:val="pt-BR"/>
        </w:rPr>
        <w:t xml:space="preserve">a forma </w:t>
      </w:r>
      <w:r w:rsidR="000B2B14" w:rsidRPr="00D5464D">
        <w:rPr>
          <w:rFonts w:eastAsia="Calibri" w:cs="Times New Roman"/>
          <w:szCs w:val="20"/>
          <w:lang w:val="pt-BR"/>
        </w:rPr>
        <w:t xml:space="preserve">que </w:t>
      </w:r>
      <w:r w:rsidR="003924C3" w:rsidRPr="00D5464D">
        <w:rPr>
          <w:rFonts w:eastAsia="Calibri" w:cs="Times New Roman"/>
          <w:szCs w:val="20"/>
          <w:lang w:val="pt-BR"/>
        </w:rPr>
        <w:t>a finalidade</w:t>
      </w:r>
      <w:r w:rsidR="00FF1290" w:rsidRPr="00D5464D">
        <w:rPr>
          <w:rFonts w:eastAsia="Calibri" w:cs="Times New Roman"/>
          <w:szCs w:val="20"/>
          <w:lang w:val="pt-BR"/>
        </w:rPr>
        <w:t xml:space="preserve"> </w:t>
      </w:r>
      <w:r w:rsidRPr="00D5464D">
        <w:rPr>
          <w:rFonts w:eastAsia="Calibri" w:cs="Times New Roman"/>
          <w:szCs w:val="20"/>
          <w:lang w:val="pt-BR"/>
        </w:rPr>
        <w:t xml:space="preserve">do </w:t>
      </w:r>
      <w:r w:rsidR="004F1CC2" w:rsidRPr="00D5464D">
        <w:rPr>
          <w:rFonts w:eastAsia="Calibri" w:cs="Times New Roman"/>
          <w:szCs w:val="20"/>
          <w:lang w:val="pt-BR"/>
        </w:rPr>
        <w:t>tráfico</w:t>
      </w:r>
      <w:r w:rsidR="000B376D" w:rsidRPr="00D5464D">
        <w:rPr>
          <w:rFonts w:eastAsia="Calibri" w:cs="Times New Roman"/>
          <w:szCs w:val="20"/>
          <w:lang w:val="pt-BR"/>
        </w:rPr>
        <w:t xml:space="preserve"> de escravos</w:t>
      </w:r>
      <w:r w:rsidR="00E045D9" w:rsidRPr="00D5464D">
        <w:rPr>
          <w:rFonts w:eastAsia="Calibri" w:cs="Times New Roman"/>
          <w:szCs w:val="20"/>
          <w:lang w:val="pt-BR"/>
        </w:rPr>
        <w:t xml:space="preserve"> e </w:t>
      </w:r>
      <w:r w:rsidR="00CF3C54" w:rsidRPr="00D5464D">
        <w:rPr>
          <w:rFonts w:eastAsia="Calibri" w:cs="Times New Roman"/>
          <w:szCs w:val="20"/>
          <w:lang w:val="pt-BR"/>
        </w:rPr>
        <w:t xml:space="preserve">de </w:t>
      </w:r>
      <w:r w:rsidR="002C330E" w:rsidRPr="00D5464D">
        <w:rPr>
          <w:rFonts w:eastAsia="Calibri" w:cs="Times New Roman"/>
          <w:szCs w:val="20"/>
          <w:lang w:val="pt-BR"/>
        </w:rPr>
        <w:t>mulher</w:t>
      </w:r>
      <w:r w:rsidR="00CF3C54" w:rsidRPr="00D5464D">
        <w:rPr>
          <w:rFonts w:eastAsia="Calibri" w:cs="Times New Roman"/>
          <w:szCs w:val="20"/>
          <w:lang w:val="pt-BR"/>
        </w:rPr>
        <w:t xml:space="preserve">es </w:t>
      </w:r>
      <w:r w:rsidRPr="00D5464D">
        <w:rPr>
          <w:rFonts w:eastAsia="Calibri" w:cs="Times New Roman"/>
          <w:szCs w:val="20"/>
          <w:lang w:val="pt-BR"/>
        </w:rPr>
        <w:t xml:space="preserve">é </w:t>
      </w:r>
      <w:r w:rsidR="002C330E" w:rsidRPr="00D5464D">
        <w:rPr>
          <w:rFonts w:eastAsia="Calibri" w:cs="Times New Roman"/>
          <w:szCs w:val="20"/>
          <w:lang w:val="pt-BR"/>
        </w:rPr>
        <w:t xml:space="preserve">a </w:t>
      </w:r>
      <w:r w:rsidR="00230C71" w:rsidRPr="00D5464D">
        <w:rPr>
          <w:rFonts w:eastAsia="Calibri" w:cs="Times New Roman"/>
          <w:szCs w:val="20"/>
          <w:lang w:val="pt-BR"/>
        </w:rPr>
        <w:t>exploração</w:t>
      </w:r>
      <w:r w:rsidR="00CF3C54" w:rsidRPr="00D5464D">
        <w:rPr>
          <w:rFonts w:eastAsia="Calibri" w:cs="Times New Roman"/>
          <w:szCs w:val="20"/>
          <w:lang w:val="pt-BR"/>
        </w:rPr>
        <w:t xml:space="preserve"> </w:t>
      </w:r>
      <w:r w:rsidR="00470ADC" w:rsidRPr="00D5464D">
        <w:rPr>
          <w:rFonts w:eastAsia="Calibri" w:cs="Times New Roman"/>
          <w:szCs w:val="20"/>
          <w:lang w:val="pt-BR"/>
        </w:rPr>
        <w:t xml:space="preserve">do </w:t>
      </w:r>
      <w:r w:rsidR="00CF3C54" w:rsidRPr="00D5464D">
        <w:rPr>
          <w:rFonts w:eastAsia="Calibri" w:cs="Times New Roman"/>
          <w:szCs w:val="20"/>
          <w:lang w:val="pt-BR"/>
        </w:rPr>
        <w:t>ser humano,</w:t>
      </w:r>
      <w:r w:rsidR="002C330E" w:rsidRPr="00D5464D">
        <w:rPr>
          <w:rFonts w:eastAsia="Calibri" w:cs="Times New Roman"/>
          <w:szCs w:val="20"/>
          <w:lang w:val="pt-BR"/>
        </w:rPr>
        <w:t xml:space="preserve"> a </w:t>
      </w:r>
      <w:r w:rsidR="00CF3C54" w:rsidRPr="00D5464D">
        <w:rPr>
          <w:rFonts w:eastAsia="Calibri" w:cs="Times New Roman"/>
          <w:szCs w:val="20"/>
          <w:lang w:val="pt-BR"/>
        </w:rPr>
        <w:t xml:space="preserve">Corte </w:t>
      </w:r>
      <w:r w:rsidR="00737270" w:rsidRPr="00D5464D">
        <w:rPr>
          <w:rFonts w:eastAsia="Calibri" w:cs="Times New Roman"/>
          <w:szCs w:val="20"/>
          <w:lang w:val="pt-BR"/>
        </w:rPr>
        <w:t>não pode</w:t>
      </w:r>
      <w:r w:rsidR="002C330E" w:rsidRPr="00D5464D">
        <w:rPr>
          <w:rFonts w:eastAsia="Calibri" w:cs="Times New Roman"/>
          <w:szCs w:val="20"/>
          <w:lang w:val="pt-BR"/>
        </w:rPr>
        <w:t>ria</w:t>
      </w:r>
      <w:r w:rsidR="00CF3C54" w:rsidRPr="00D5464D">
        <w:rPr>
          <w:rFonts w:eastAsia="Calibri" w:cs="Times New Roman"/>
          <w:szCs w:val="20"/>
          <w:lang w:val="pt-BR"/>
        </w:rPr>
        <w:t xml:space="preserve"> limitar</w:t>
      </w:r>
      <w:r w:rsidR="002C330E" w:rsidRPr="00D5464D">
        <w:rPr>
          <w:rFonts w:eastAsia="Calibri" w:cs="Times New Roman"/>
          <w:szCs w:val="20"/>
          <w:lang w:val="pt-BR"/>
        </w:rPr>
        <w:t xml:space="preserve"> a proteção</w:t>
      </w:r>
      <w:r w:rsidR="00F727E4" w:rsidRPr="00D5464D">
        <w:rPr>
          <w:rFonts w:eastAsia="Calibri" w:cs="Times New Roman"/>
          <w:szCs w:val="20"/>
          <w:lang w:val="pt-BR"/>
        </w:rPr>
        <w:t xml:space="preserve"> conferida por</w:t>
      </w:r>
      <w:r w:rsidR="00470ADC" w:rsidRPr="00D5464D">
        <w:rPr>
          <w:rFonts w:eastAsia="Calibri" w:cs="Times New Roman"/>
          <w:szCs w:val="20"/>
          <w:lang w:val="pt-BR"/>
        </w:rPr>
        <w:t xml:space="preserve"> esse artigo</w:t>
      </w:r>
      <w:r w:rsidR="00F727E4" w:rsidRPr="00D5464D">
        <w:rPr>
          <w:rFonts w:eastAsia="Calibri" w:cs="Times New Roman"/>
          <w:szCs w:val="20"/>
          <w:lang w:val="pt-BR"/>
        </w:rPr>
        <w:t xml:space="preserve"> </w:t>
      </w:r>
      <w:r w:rsidR="00E045D9" w:rsidRPr="00D5464D">
        <w:rPr>
          <w:rFonts w:eastAsia="Calibri" w:cs="Times New Roman"/>
          <w:szCs w:val="20"/>
          <w:lang w:val="pt-BR"/>
        </w:rPr>
        <w:t xml:space="preserve">unicamente às </w:t>
      </w:r>
      <w:r w:rsidR="002C330E" w:rsidRPr="00D5464D">
        <w:rPr>
          <w:rFonts w:eastAsia="Calibri" w:cs="Times New Roman"/>
          <w:szCs w:val="20"/>
          <w:lang w:val="pt-BR"/>
        </w:rPr>
        <w:t>mulher</w:t>
      </w:r>
      <w:r w:rsidR="00F727E4" w:rsidRPr="00D5464D">
        <w:rPr>
          <w:rFonts w:eastAsia="Calibri" w:cs="Times New Roman"/>
          <w:szCs w:val="20"/>
          <w:lang w:val="pt-BR"/>
        </w:rPr>
        <w:t xml:space="preserve">es </w:t>
      </w:r>
      <w:r w:rsidR="0018065A" w:rsidRPr="00D5464D">
        <w:rPr>
          <w:rFonts w:eastAsia="Calibri" w:cs="Times New Roman"/>
          <w:szCs w:val="20"/>
          <w:lang w:val="pt-BR"/>
        </w:rPr>
        <w:t>o</w:t>
      </w:r>
      <w:r w:rsidRPr="00D5464D">
        <w:rPr>
          <w:rFonts w:eastAsia="Calibri" w:cs="Times New Roman"/>
          <w:szCs w:val="20"/>
          <w:lang w:val="pt-BR"/>
        </w:rPr>
        <w:t>u</w:t>
      </w:r>
      <w:r w:rsidR="00E045D9" w:rsidRPr="00D5464D">
        <w:rPr>
          <w:rFonts w:eastAsia="Calibri" w:cs="Times New Roman"/>
          <w:szCs w:val="20"/>
          <w:lang w:val="pt-BR"/>
        </w:rPr>
        <w:t xml:space="preserve"> aos </w:t>
      </w:r>
      <w:r w:rsidRPr="00D5464D">
        <w:rPr>
          <w:rFonts w:eastAsia="Calibri" w:cs="Times New Roman"/>
          <w:szCs w:val="20"/>
          <w:lang w:val="pt-BR"/>
        </w:rPr>
        <w:t>chamados</w:t>
      </w:r>
      <w:r w:rsidR="0018065A" w:rsidRPr="00D5464D">
        <w:rPr>
          <w:rFonts w:eastAsia="Calibri" w:cs="Times New Roman"/>
          <w:szCs w:val="20"/>
          <w:lang w:val="pt-BR"/>
        </w:rPr>
        <w:t xml:space="preserve"> “</w:t>
      </w:r>
      <w:r w:rsidR="004F1CC2" w:rsidRPr="00D5464D">
        <w:rPr>
          <w:rFonts w:eastAsia="Calibri" w:cs="Times New Roman"/>
          <w:szCs w:val="20"/>
          <w:lang w:val="pt-BR"/>
        </w:rPr>
        <w:t>escravo</w:t>
      </w:r>
      <w:r w:rsidR="0018065A" w:rsidRPr="00D5464D">
        <w:rPr>
          <w:rFonts w:eastAsia="Calibri" w:cs="Times New Roman"/>
          <w:szCs w:val="20"/>
          <w:lang w:val="pt-BR"/>
        </w:rPr>
        <w:t>s”</w:t>
      </w:r>
      <w:r w:rsidR="007E573C" w:rsidRPr="00D5464D">
        <w:rPr>
          <w:rFonts w:eastAsia="Calibri" w:cs="Times New Roman"/>
          <w:szCs w:val="20"/>
          <w:lang w:val="pt-BR"/>
        </w:rPr>
        <w:t>,</w:t>
      </w:r>
      <w:r w:rsidR="00470ADC" w:rsidRPr="00D5464D">
        <w:rPr>
          <w:rFonts w:eastAsia="Calibri" w:cs="Times New Roman"/>
          <w:szCs w:val="20"/>
          <w:lang w:val="pt-BR"/>
        </w:rPr>
        <w:t xml:space="preserve"> sob</w:t>
      </w:r>
      <w:r w:rsidR="002C330E" w:rsidRPr="00D5464D">
        <w:rPr>
          <w:rFonts w:eastAsia="Calibri" w:cs="Times New Roman"/>
          <w:szCs w:val="20"/>
          <w:lang w:val="pt-BR"/>
        </w:rPr>
        <w:t xml:space="preserve"> a </w:t>
      </w:r>
      <w:r w:rsidR="00EB1CE9" w:rsidRPr="00D5464D">
        <w:rPr>
          <w:rFonts w:eastAsia="Calibri" w:cs="Times New Roman"/>
          <w:szCs w:val="20"/>
          <w:lang w:val="pt-BR"/>
        </w:rPr>
        <w:t>ótica</w:t>
      </w:r>
      <w:r w:rsidR="00470ADC" w:rsidRPr="00D5464D">
        <w:rPr>
          <w:rFonts w:eastAsia="Calibri" w:cs="Times New Roman"/>
          <w:szCs w:val="20"/>
          <w:lang w:val="pt-BR"/>
        </w:rPr>
        <w:t xml:space="preserve"> da </w:t>
      </w:r>
      <w:r w:rsidR="00F727E4" w:rsidRPr="00D5464D">
        <w:rPr>
          <w:rFonts w:eastAsia="Calibri" w:cs="Times New Roman"/>
          <w:szCs w:val="20"/>
          <w:lang w:val="pt-BR"/>
        </w:rPr>
        <w:t>interpreta</w:t>
      </w:r>
      <w:r w:rsidR="00470ADC" w:rsidRPr="00D5464D">
        <w:rPr>
          <w:rFonts w:eastAsia="Calibri" w:cs="Times New Roman"/>
          <w:szCs w:val="20"/>
          <w:lang w:val="pt-BR"/>
        </w:rPr>
        <w:t>ção</w:t>
      </w:r>
      <w:r w:rsidR="00F727E4" w:rsidRPr="00D5464D">
        <w:rPr>
          <w:rFonts w:eastAsia="Calibri" w:cs="Times New Roman"/>
          <w:szCs w:val="20"/>
          <w:lang w:val="pt-BR"/>
        </w:rPr>
        <w:t xml:space="preserve"> </w:t>
      </w:r>
      <w:r w:rsidR="002C330E" w:rsidRPr="00D5464D">
        <w:rPr>
          <w:rFonts w:eastAsia="Calibri" w:cs="Times New Roman"/>
          <w:szCs w:val="20"/>
          <w:lang w:val="pt-BR"/>
        </w:rPr>
        <w:t xml:space="preserve">mais </w:t>
      </w:r>
      <w:r w:rsidR="00470ADC" w:rsidRPr="00D5464D">
        <w:rPr>
          <w:rFonts w:eastAsia="Calibri" w:cs="Times New Roman"/>
          <w:szCs w:val="20"/>
          <w:lang w:val="pt-BR"/>
        </w:rPr>
        <w:t xml:space="preserve">favorável ao </w:t>
      </w:r>
      <w:r w:rsidR="00F727E4" w:rsidRPr="00D5464D">
        <w:rPr>
          <w:rFonts w:eastAsia="Calibri" w:cs="Times New Roman"/>
          <w:szCs w:val="20"/>
          <w:lang w:val="pt-BR"/>
        </w:rPr>
        <w:t>ser humano</w:t>
      </w:r>
      <w:r w:rsidR="00E045D9" w:rsidRPr="00D5464D">
        <w:rPr>
          <w:rFonts w:eastAsia="Calibri" w:cs="Times New Roman"/>
          <w:szCs w:val="20"/>
          <w:lang w:val="pt-BR"/>
        </w:rPr>
        <w:t xml:space="preserve"> e </w:t>
      </w:r>
      <w:r w:rsidRPr="00D5464D">
        <w:rPr>
          <w:rFonts w:eastAsia="Calibri" w:cs="Times New Roman"/>
          <w:szCs w:val="20"/>
          <w:lang w:val="pt-BR"/>
        </w:rPr>
        <w:t>d</w:t>
      </w:r>
      <w:r w:rsidR="00470ADC" w:rsidRPr="00D5464D">
        <w:rPr>
          <w:rFonts w:eastAsia="Calibri" w:cs="Times New Roman"/>
          <w:szCs w:val="20"/>
          <w:lang w:val="pt-BR"/>
        </w:rPr>
        <w:t xml:space="preserve">o </w:t>
      </w:r>
      <w:r w:rsidR="002C330E" w:rsidRPr="00D5464D">
        <w:rPr>
          <w:rFonts w:eastAsia="Calibri" w:cs="Times New Roman"/>
          <w:szCs w:val="20"/>
          <w:lang w:val="pt-BR"/>
        </w:rPr>
        <w:t>princípio</w:t>
      </w:r>
      <w:r w:rsidR="00F727E4" w:rsidRPr="00D5464D">
        <w:rPr>
          <w:rFonts w:eastAsia="Calibri" w:cs="Times New Roman"/>
          <w:szCs w:val="20"/>
          <w:lang w:val="pt-BR"/>
        </w:rPr>
        <w:t xml:space="preserve"> </w:t>
      </w:r>
      <w:r w:rsidR="00F727E4" w:rsidRPr="00D5464D">
        <w:rPr>
          <w:rFonts w:eastAsia="Calibri" w:cs="Times New Roman"/>
          <w:i/>
          <w:szCs w:val="20"/>
          <w:lang w:val="pt-BR"/>
        </w:rPr>
        <w:t xml:space="preserve">pro </w:t>
      </w:r>
      <w:r w:rsidR="002C330E" w:rsidRPr="00D5464D">
        <w:rPr>
          <w:rFonts w:eastAsia="Calibri" w:cs="Times New Roman"/>
          <w:i/>
          <w:szCs w:val="20"/>
          <w:lang w:val="pt-BR"/>
        </w:rPr>
        <w:t>pe</w:t>
      </w:r>
      <w:r w:rsidRPr="00D5464D">
        <w:rPr>
          <w:rFonts w:eastAsia="Calibri" w:cs="Times New Roman"/>
          <w:i/>
          <w:szCs w:val="20"/>
          <w:lang w:val="pt-BR"/>
        </w:rPr>
        <w:t>rsonae</w:t>
      </w:r>
      <w:r w:rsidRPr="00D5464D">
        <w:rPr>
          <w:rFonts w:eastAsia="Calibri" w:cs="Times New Roman"/>
          <w:szCs w:val="20"/>
          <w:lang w:val="pt-BR"/>
        </w:rPr>
        <w:t>.</w:t>
      </w:r>
      <w:r w:rsidR="00F727E4" w:rsidRPr="00D5464D">
        <w:rPr>
          <w:rFonts w:eastAsia="Calibri" w:cs="Times New Roman"/>
          <w:szCs w:val="20"/>
          <w:vertAlign w:val="superscript"/>
          <w:lang w:val="pt-BR"/>
        </w:rPr>
        <w:footnoteReference w:id="437"/>
      </w:r>
      <w:r w:rsidR="002C330E" w:rsidRPr="00D5464D">
        <w:rPr>
          <w:rFonts w:eastAsia="Calibri" w:cs="Times New Roman"/>
          <w:szCs w:val="20"/>
          <w:lang w:val="pt-BR"/>
        </w:rPr>
        <w:t xml:space="preserve"> </w:t>
      </w:r>
      <w:r w:rsidR="003924C3" w:rsidRPr="00D5464D">
        <w:rPr>
          <w:rFonts w:eastAsia="Calibri" w:cs="Times New Roman"/>
          <w:szCs w:val="20"/>
          <w:lang w:val="pt-BR"/>
        </w:rPr>
        <w:t>Isso</w:t>
      </w:r>
      <w:r w:rsidR="002C330E" w:rsidRPr="00D5464D">
        <w:rPr>
          <w:rFonts w:eastAsia="Calibri" w:cs="Times New Roman"/>
          <w:szCs w:val="20"/>
          <w:lang w:val="pt-BR"/>
        </w:rPr>
        <w:t xml:space="preserve"> </w:t>
      </w:r>
      <w:r w:rsidR="00470ADC" w:rsidRPr="00D5464D">
        <w:rPr>
          <w:rFonts w:eastAsia="Calibri" w:cs="Times New Roman"/>
          <w:szCs w:val="20"/>
          <w:lang w:val="pt-BR"/>
        </w:rPr>
        <w:t xml:space="preserve">é </w:t>
      </w:r>
      <w:r w:rsidR="00F727E4" w:rsidRPr="00D5464D">
        <w:rPr>
          <w:rFonts w:eastAsia="Calibri" w:cs="Times New Roman"/>
          <w:szCs w:val="20"/>
          <w:lang w:val="pt-BR"/>
        </w:rPr>
        <w:t xml:space="preserve">importante para dar </w:t>
      </w:r>
      <w:r w:rsidR="00470ADC" w:rsidRPr="00D5464D">
        <w:rPr>
          <w:rFonts w:eastAsia="Calibri" w:cs="Times New Roman"/>
          <w:szCs w:val="20"/>
          <w:lang w:val="pt-BR"/>
        </w:rPr>
        <w:t>efeito</w:t>
      </w:r>
      <w:r w:rsidR="00F727E4" w:rsidRPr="00D5464D">
        <w:rPr>
          <w:rFonts w:eastAsia="Calibri" w:cs="Times New Roman"/>
          <w:szCs w:val="20"/>
          <w:lang w:val="pt-BR"/>
        </w:rPr>
        <w:t xml:space="preserve"> útil</w:t>
      </w:r>
      <w:r w:rsidR="00470ADC" w:rsidRPr="00D5464D">
        <w:rPr>
          <w:rFonts w:eastAsia="Calibri" w:cs="Times New Roman"/>
          <w:szCs w:val="20"/>
          <w:lang w:val="pt-BR"/>
        </w:rPr>
        <w:t xml:space="preserve"> à </w:t>
      </w:r>
      <w:r w:rsidR="002C330E" w:rsidRPr="00D5464D">
        <w:rPr>
          <w:rFonts w:eastAsia="Calibri" w:cs="Times New Roman"/>
          <w:szCs w:val="20"/>
          <w:lang w:val="pt-BR"/>
        </w:rPr>
        <w:t>proibição</w:t>
      </w:r>
      <w:r w:rsidR="00F727E4" w:rsidRPr="00D5464D">
        <w:rPr>
          <w:rFonts w:eastAsia="Calibri" w:cs="Times New Roman"/>
          <w:szCs w:val="20"/>
          <w:lang w:val="pt-BR"/>
        </w:rPr>
        <w:t xml:space="preserve"> prevista</w:t>
      </w:r>
      <w:r w:rsidR="00E045D9" w:rsidRPr="00D5464D">
        <w:rPr>
          <w:rFonts w:eastAsia="Calibri" w:cs="Times New Roman"/>
          <w:szCs w:val="20"/>
          <w:lang w:val="pt-BR"/>
        </w:rPr>
        <w:t xml:space="preserve"> na </w:t>
      </w:r>
      <w:r w:rsidR="00F727E4" w:rsidRPr="00D5464D">
        <w:rPr>
          <w:rFonts w:eastAsia="Calibri" w:cs="Times New Roman"/>
          <w:szCs w:val="20"/>
          <w:lang w:val="pt-BR"/>
        </w:rPr>
        <w:t>Conven</w:t>
      </w:r>
      <w:r w:rsidR="00470ADC" w:rsidRPr="00D5464D">
        <w:rPr>
          <w:rFonts w:eastAsia="Calibri" w:cs="Times New Roman"/>
          <w:szCs w:val="20"/>
          <w:lang w:val="pt-BR"/>
        </w:rPr>
        <w:t>ção</w:t>
      </w:r>
      <w:r w:rsidR="00F727E4" w:rsidRPr="00D5464D">
        <w:rPr>
          <w:rFonts w:eastAsia="Calibri" w:cs="Times New Roman"/>
          <w:szCs w:val="20"/>
          <w:lang w:val="pt-BR"/>
        </w:rPr>
        <w:t xml:space="preserve"> Americana</w:t>
      </w:r>
      <w:r w:rsidRPr="00D5464D">
        <w:rPr>
          <w:rFonts w:eastAsia="Calibri" w:cs="Times New Roman"/>
          <w:szCs w:val="20"/>
          <w:lang w:val="pt-BR"/>
        </w:rPr>
        <w:t>,</w:t>
      </w:r>
      <w:r w:rsidR="00F727E4" w:rsidRPr="00D5464D">
        <w:rPr>
          <w:rFonts w:eastAsia="Calibri" w:cs="Times New Roman"/>
          <w:szCs w:val="20"/>
          <w:lang w:val="pt-BR"/>
        </w:rPr>
        <w:t xml:space="preserve"> </w:t>
      </w:r>
      <w:r w:rsidR="00470ADC" w:rsidRPr="00D5464D">
        <w:rPr>
          <w:rFonts w:eastAsia="Calibri" w:cs="Times New Roman"/>
          <w:szCs w:val="20"/>
          <w:lang w:val="pt-BR"/>
        </w:rPr>
        <w:t>de acordo com</w:t>
      </w:r>
      <w:r w:rsidR="002C330E" w:rsidRPr="00D5464D">
        <w:rPr>
          <w:rFonts w:eastAsia="Calibri" w:cs="Times New Roman"/>
          <w:szCs w:val="20"/>
          <w:lang w:val="pt-BR"/>
        </w:rPr>
        <w:t xml:space="preserve"> a </w:t>
      </w:r>
      <w:r w:rsidR="00F727E4" w:rsidRPr="00D5464D">
        <w:rPr>
          <w:rFonts w:eastAsia="Calibri" w:cs="Times New Roman"/>
          <w:szCs w:val="20"/>
          <w:lang w:val="pt-BR"/>
        </w:rPr>
        <w:t>evolu</w:t>
      </w:r>
      <w:r w:rsidR="00470ADC" w:rsidRPr="00D5464D">
        <w:rPr>
          <w:rFonts w:eastAsia="Calibri" w:cs="Times New Roman"/>
          <w:szCs w:val="20"/>
          <w:lang w:val="pt-BR"/>
        </w:rPr>
        <w:t>ção</w:t>
      </w:r>
      <w:r w:rsidR="00F727E4" w:rsidRPr="00D5464D">
        <w:rPr>
          <w:rFonts w:eastAsia="Calibri" w:cs="Times New Roman"/>
          <w:szCs w:val="20"/>
          <w:lang w:val="pt-BR"/>
        </w:rPr>
        <w:t xml:space="preserve"> </w:t>
      </w:r>
      <w:r w:rsidR="00470ADC" w:rsidRPr="00D5464D">
        <w:rPr>
          <w:rFonts w:eastAsia="Calibri" w:cs="Times New Roman"/>
          <w:szCs w:val="20"/>
          <w:lang w:val="pt-BR"/>
        </w:rPr>
        <w:t>do fenômeno d</w:t>
      </w:r>
      <w:r w:rsidRPr="00D5464D">
        <w:rPr>
          <w:rFonts w:eastAsia="Calibri" w:cs="Times New Roman"/>
          <w:szCs w:val="20"/>
          <w:lang w:val="pt-BR"/>
        </w:rPr>
        <w:t>o</w:t>
      </w:r>
      <w:r w:rsidR="00470ADC" w:rsidRPr="00D5464D">
        <w:rPr>
          <w:rFonts w:eastAsia="Calibri" w:cs="Times New Roman"/>
          <w:szCs w:val="20"/>
          <w:lang w:val="pt-BR"/>
        </w:rPr>
        <w:t xml:space="preserve"> </w:t>
      </w:r>
      <w:r w:rsidR="0017180F" w:rsidRPr="00D5464D">
        <w:rPr>
          <w:rFonts w:eastAsia="Calibri" w:cs="Times New Roman"/>
          <w:szCs w:val="20"/>
          <w:lang w:val="pt-BR"/>
        </w:rPr>
        <w:t>tráfico de seres</w:t>
      </w:r>
      <w:r w:rsidR="00CF3C54" w:rsidRPr="00D5464D">
        <w:rPr>
          <w:rFonts w:eastAsia="Calibri" w:cs="Times New Roman"/>
          <w:szCs w:val="20"/>
          <w:lang w:val="pt-BR"/>
        </w:rPr>
        <w:t xml:space="preserve"> humanos</w:t>
      </w:r>
      <w:r w:rsidR="00470ADC" w:rsidRPr="00D5464D">
        <w:rPr>
          <w:rFonts w:eastAsia="Calibri" w:cs="Times New Roman"/>
          <w:szCs w:val="20"/>
          <w:lang w:val="pt-BR"/>
        </w:rPr>
        <w:t xml:space="preserve"> em </w:t>
      </w:r>
      <w:r w:rsidR="00E045D9" w:rsidRPr="00D5464D">
        <w:rPr>
          <w:rFonts w:eastAsia="Calibri" w:cs="Times New Roman"/>
          <w:szCs w:val="20"/>
          <w:lang w:val="pt-BR"/>
        </w:rPr>
        <w:t>nossa</w:t>
      </w:r>
      <w:r w:rsidR="00F727E4" w:rsidRPr="00D5464D">
        <w:rPr>
          <w:rFonts w:eastAsia="Calibri" w:cs="Times New Roman"/>
          <w:szCs w:val="20"/>
          <w:lang w:val="pt-BR"/>
        </w:rPr>
        <w:t xml:space="preserve">s sociedades. </w:t>
      </w:r>
    </w:p>
    <w:p w14:paraId="765E9934" w14:textId="77777777" w:rsidR="00CF3C54" w:rsidRPr="00D5464D" w:rsidRDefault="00CF3C54" w:rsidP="00ED3AD0">
      <w:pPr>
        <w:tabs>
          <w:tab w:val="clear" w:pos="4419"/>
          <w:tab w:val="clear" w:pos="8838"/>
        </w:tabs>
        <w:jc w:val="both"/>
        <w:rPr>
          <w:rFonts w:eastAsia="Calibri" w:cs="Times New Roman"/>
          <w:szCs w:val="20"/>
          <w:u w:val="single"/>
          <w:lang w:val="pt-BR"/>
        </w:rPr>
      </w:pPr>
    </w:p>
    <w:p w14:paraId="26285049" w14:textId="4B486FF0" w:rsidR="00F727E4" w:rsidRPr="00D5464D" w:rsidRDefault="002C330E" w:rsidP="00F727E4">
      <w:pPr>
        <w:numPr>
          <w:ilvl w:val="0"/>
          <w:numId w:val="1"/>
        </w:numPr>
        <w:tabs>
          <w:tab w:val="clear" w:pos="4419"/>
          <w:tab w:val="clear" w:pos="8838"/>
        </w:tabs>
        <w:jc w:val="both"/>
        <w:rPr>
          <w:rFonts w:eastAsia="Calibri" w:cs="Times New Roman"/>
          <w:szCs w:val="20"/>
          <w:lang w:val="pt-BR"/>
        </w:rPr>
      </w:pPr>
      <w:r w:rsidRPr="00D5464D">
        <w:rPr>
          <w:rFonts w:eastAsia="Calibri" w:cs="Times New Roman"/>
          <w:szCs w:val="20"/>
          <w:lang w:val="pt-BR"/>
        </w:rPr>
        <w:t>Portanto</w:t>
      </w:r>
      <w:r w:rsidR="0018065A" w:rsidRPr="00D5464D">
        <w:rPr>
          <w:rFonts w:eastAsia="Calibri" w:cs="Times New Roman"/>
          <w:szCs w:val="20"/>
          <w:lang w:val="pt-BR"/>
        </w:rPr>
        <w:t>,</w:t>
      </w:r>
      <w:r w:rsidRPr="00D5464D">
        <w:rPr>
          <w:rFonts w:eastAsia="Calibri" w:cs="Times New Roman"/>
          <w:szCs w:val="20"/>
          <w:lang w:val="pt-BR"/>
        </w:rPr>
        <w:t xml:space="preserve"> a proibição</w:t>
      </w:r>
      <w:r w:rsidR="0018065A" w:rsidRPr="00D5464D">
        <w:rPr>
          <w:rFonts w:eastAsia="Calibri" w:cs="Times New Roman"/>
          <w:szCs w:val="20"/>
          <w:lang w:val="pt-BR"/>
        </w:rPr>
        <w:t xml:space="preserve"> d</w:t>
      </w:r>
      <w:r w:rsidR="00D75CDB" w:rsidRPr="00D5464D">
        <w:rPr>
          <w:rFonts w:eastAsia="Calibri" w:cs="Times New Roman"/>
          <w:szCs w:val="20"/>
          <w:lang w:val="pt-BR"/>
        </w:rPr>
        <w:t>o</w:t>
      </w:r>
      <w:r w:rsidR="0018065A" w:rsidRPr="00D5464D">
        <w:rPr>
          <w:rFonts w:eastAsia="Calibri" w:cs="Times New Roman"/>
          <w:szCs w:val="20"/>
          <w:lang w:val="pt-BR"/>
        </w:rPr>
        <w:t xml:space="preserve"> </w:t>
      </w:r>
      <w:r w:rsidR="00470ADC" w:rsidRPr="00D5464D">
        <w:rPr>
          <w:rFonts w:eastAsia="Calibri" w:cs="Times New Roman"/>
          <w:szCs w:val="20"/>
          <w:lang w:val="pt-BR"/>
        </w:rPr>
        <w:t>“</w:t>
      </w:r>
      <w:r w:rsidR="004F1CC2" w:rsidRPr="00D5464D">
        <w:rPr>
          <w:rFonts w:eastAsia="Calibri" w:cs="Times New Roman"/>
          <w:szCs w:val="20"/>
          <w:lang w:val="pt-BR"/>
        </w:rPr>
        <w:t>tráfico</w:t>
      </w:r>
      <w:r w:rsidR="000B376D" w:rsidRPr="00D5464D">
        <w:rPr>
          <w:rFonts w:eastAsia="Calibri" w:cs="Times New Roman"/>
          <w:szCs w:val="20"/>
          <w:lang w:val="pt-BR"/>
        </w:rPr>
        <w:t xml:space="preserve"> de escravos</w:t>
      </w:r>
      <w:r w:rsidR="00E045D9" w:rsidRPr="00D5464D">
        <w:rPr>
          <w:rFonts w:eastAsia="Calibri" w:cs="Times New Roman"/>
          <w:szCs w:val="20"/>
          <w:lang w:val="pt-BR"/>
        </w:rPr>
        <w:t xml:space="preserve"> e </w:t>
      </w:r>
      <w:r w:rsidR="004F1CC2" w:rsidRPr="00D5464D">
        <w:rPr>
          <w:rFonts w:eastAsia="Calibri" w:cs="Times New Roman"/>
          <w:szCs w:val="20"/>
          <w:lang w:val="pt-BR"/>
        </w:rPr>
        <w:t>o tráfico de mulheres</w:t>
      </w:r>
      <w:r w:rsidR="0038138B" w:rsidRPr="00D5464D">
        <w:rPr>
          <w:rFonts w:eastAsia="Calibri" w:cs="Times New Roman"/>
          <w:szCs w:val="20"/>
          <w:lang w:val="pt-BR"/>
        </w:rPr>
        <w:t>”</w:t>
      </w:r>
      <w:r w:rsidR="00D75CDB" w:rsidRPr="00D5464D">
        <w:rPr>
          <w:rFonts w:eastAsia="Calibri" w:cs="Times New Roman"/>
          <w:szCs w:val="20"/>
          <w:lang w:val="pt-BR"/>
        </w:rPr>
        <w:t>,</w:t>
      </w:r>
      <w:r w:rsidR="0038138B" w:rsidRPr="00D5464D">
        <w:rPr>
          <w:rFonts w:eastAsia="Calibri" w:cs="Times New Roman"/>
          <w:szCs w:val="20"/>
          <w:lang w:val="pt-BR"/>
        </w:rPr>
        <w:t xml:space="preserve"> </w:t>
      </w:r>
      <w:r w:rsidR="00350187" w:rsidRPr="00D5464D">
        <w:rPr>
          <w:rFonts w:eastAsia="Calibri" w:cs="Times New Roman"/>
          <w:szCs w:val="20"/>
          <w:lang w:val="pt-BR"/>
        </w:rPr>
        <w:t>contida</w:t>
      </w:r>
      <w:r w:rsidR="00E045D9" w:rsidRPr="00D5464D">
        <w:rPr>
          <w:rFonts w:eastAsia="Calibri" w:cs="Times New Roman"/>
          <w:szCs w:val="20"/>
          <w:lang w:val="pt-BR"/>
        </w:rPr>
        <w:t xml:space="preserve"> no </w:t>
      </w:r>
      <w:r w:rsidR="00470ADC" w:rsidRPr="00D5464D">
        <w:rPr>
          <w:rFonts w:eastAsia="Calibri" w:cs="Times New Roman"/>
          <w:szCs w:val="20"/>
          <w:lang w:val="pt-BR"/>
        </w:rPr>
        <w:t>artigo</w:t>
      </w:r>
      <w:r w:rsidR="00DB1C1D" w:rsidRPr="00D5464D">
        <w:rPr>
          <w:rFonts w:eastAsia="Calibri" w:cs="Times New Roman"/>
          <w:szCs w:val="20"/>
          <w:lang w:val="pt-BR"/>
        </w:rPr>
        <w:t xml:space="preserve"> 6.1</w:t>
      </w:r>
      <w:r w:rsidR="00470ADC" w:rsidRPr="00D5464D">
        <w:rPr>
          <w:rFonts w:eastAsia="Calibri" w:cs="Times New Roman"/>
          <w:szCs w:val="20"/>
          <w:lang w:val="pt-BR"/>
        </w:rPr>
        <w:t xml:space="preserve"> da </w:t>
      </w:r>
      <w:r w:rsidR="0018065A" w:rsidRPr="00D5464D">
        <w:rPr>
          <w:rFonts w:eastAsia="Calibri" w:cs="Times New Roman"/>
          <w:szCs w:val="20"/>
          <w:lang w:val="pt-BR"/>
        </w:rPr>
        <w:t>Conven</w:t>
      </w:r>
      <w:r w:rsidR="00470ADC" w:rsidRPr="00D5464D">
        <w:rPr>
          <w:rFonts w:eastAsia="Calibri" w:cs="Times New Roman"/>
          <w:szCs w:val="20"/>
          <w:lang w:val="pt-BR"/>
        </w:rPr>
        <w:t>ção</w:t>
      </w:r>
      <w:r w:rsidR="0018065A" w:rsidRPr="00D5464D">
        <w:rPr>
          <w:rFonts w:eastAsia="Calibri" w:cs="Times New Roman"/>
          <w:szCs w:val="20"/>
          <w:lang w:val="pt-BR"/>
        </w:rPr>
        <w:t xml:space="preserve"> Americana</w:t>
      </w:r>
      <w:r w:rsidR="00D75CDB" w:rsidRPr="00D5464D">
        <w:rPr>
          <w:rFonts w:eastAsia="Calibri" w:cs="Times New Roman"/>
          <w:szCs w:val="20"/>
          <w:lang w:val="pt-BR"/>
        </w:rPr>
        <w:t>,</w:t>
      </w:r>
      <w:r w:rsidR="0018065A" w:rsidRPr="00D5464D">
        <w:rPr>
          <w:rFonts w:eastAsia="Calibri" w:cs="Times New Roman"/>
          <w:szCs w:val="20"/>
          <w:lang w:val="pt-BR"/>
        </w:rPr>
        <w:t xml:space="preserve"> </w:t>
      </w:r>
      <w:r w:rsidRPr="00D5464D">
        <w:rPr>
          <w:rFonts w:eastAsia="Calibri" w:cs="Times New Roman"/>
          <w:szCs w:val="20"/>
          <w:lang w:val="pt-BR"/>
        </w:rPr>
        <w:t>refere</w:t>
      </w:r>
      <w:r w:rsidR="00D75CDB" w:rsidRPr="00D5464D">
        <w:rPr>
          <w:rFonts w:eastAsia="Calibri" w:cs="Times New Roman"/>
          <w:szCs w:val="20"/>
          <w:lang w:val="pt-BR"/>
        </w:rPr>
        <w:t>-se</w:t>
      </w:r>
      <w:r w:rsidR="00F727E4" w:rsidRPr="00D5464D">
        <w:rPr>
          <w:rFonts w:eastAsia="Calibri" w:cs="Times New Roman"/>
          <w:szCs w:val="20"/>
          <w:lang w:val="pt-BR"/>
        </w:rPr>
        <w:t xml:space="preserve"> a: </w:t>
      </w:r>
    </w:p>
    <w:p w14:paraId="24F7ABCF" w14:textId="77777777" w:rsidR="00D75CDB" w:rsidRPr="00D5464D" w:rsidRDefault="00D75CDB" w:rsidP="00D75CDB">
      <w:pPr>
        <w:tabs>
          <w:tab w:val="clear" w:pos="4419"/>
          <w:tab w:val="clear" w:pos="8838"/>
        </w:tabs>
        <w:spacing w:after="120"/>
        <w:ind w:left="709" w:right="902"/>
        <w:jc w:val="both"/>
        <w:rPr>
          <w:rFonts w:eastAsia="Calibri" w:cs="Times New Roman"/>
          <w:szCs w:val="20"/>
          <w:lang w:val="pt-BR"/>
        </w:rPr>
      </w:pPr>
    </w:p>
    <w:p w14:paraId="605870C9" w14:textId="629CDF4B" w:rsidR="00F727E4" w:rsidRPr="00D5464D" w:rsidRDefault="00EB5961" w:rsidP="00F306D7">
      <w:pPr>
        <w:numPr>
          <w:ilvl w:val="0"/>
          <w:numId w:val="11"/>
        </w:numPr>
        <w:tabs>
          <w:tab w:val="clear" w:pos="4419"/>
          <w:tab w:val="clear" w:pos="8838"/>
        </w:tabs>
        <w:spacing w:after="120"/>
        <w:ind w:left="709" w:right="902" w:firstLine="0"/>
        <w:jc w:val="both"/>
        <w:rPr>
          <w:rFonts w:eastAsia="Calibri" w:cs="Times New Roman"/>
          <w:szCs w:val="20"/>
          <w:lang w:val="pt-BR"/>
        </w:rPr>
      </w:pPr>
      <w:r w:rsidRPr="00D5464D">
        <w:rPr>
          <w:rFonts w:eastAsia="Calibri" w:cs="Times New Roman"/>
          <w:szCs w:val="20"/>
          <w:lang w:val="pt-BR"/>
        </w:rPr>
        <w:t>O recrutamento</w:t>
      </w:r>
      <w:r w:rsidR="00F727E4" w:rsidRPr="00D5464D">
        <w:rPr>
          <w:rFonts w:eastAsia="Calibri" w:cs="Times New Roman"/>
          <w:szCs w:val="20"/>
          <w:lang w:val="pt-BR"/>
        </w:rPr>
        <w:t>,</w:t>
      </w:r>
      <w:r w:rsidR="00470ADC" w:rsidRPr="00D5464D">
        <w:rPr>
          <w:rFonts w:eastAsia="Calibri" w:cs="Times New Roman"/>
          <w:szCs w:val="20"/>
          <w:lang w:val="pt-BR"/>
        </w:rPr>
        <w:t xml:space="preserve"> o </w:t>
      </w:r>
      <w:r w:rsidR="00F727E4" w:rsidRPr="00D5464D">
        <w:rPr>
          <w:rFonts w:eastAsia="Calibri" w:cs="Times New Roman"/>
          <w:szCs w:val="20"/>
          <w:lang w:val="pt-BR"/>
        </w:rPr>
        <w:t>transporte,</w:t>
      </w:r>
      <w:r w:rsidR="00470ADC" w:rsidRPr="00D5464D">
        <w:rPr>
          <w:rFonts w:eastAsia="Calibri" w:cs="Times New Roman"/>
          <w:szCs w:val="20"/>
          <w:lang w:val="pt-BR"/>
        </w:rPr>
        <w:t xml:space="preserve"> </w:t>
      </w:r>
      <w:r w:rsidRPr="00D5464D">
        <w:rPr>
          <w:rFonts w:eastAsia="Calibri" w:cs="Times New Roman"/>
          <w:szCs w:val="20"/>
          <w:lang w:val="pt-BR"/>
        </w:rPr>
        <w:t>a transferência</w:t>
      </w:r>
      <w:r w:rsidR="00F727E4" w:rsidRPr="00D5464D">
        <w:rPr>
          <w:rFonts w:eastAsia="Calibri" w:cs="Times New Roman"/>
          <w:szCs w:val="20"/>
          <w:lang w:val="pt-BR"/>
        </w:rPr>
        <w:t>,</w:t>
      </w:r>
      <w:r w:rsidR="002C330E" w:rsidRPr="00D5464D">
        <w:rPr>
          <w:rFonts w:eastAsia="Calibri" w:cs="Times New Roman"/>
          <w:szCs w:val="20"/>
          <w:lang w:val="pt-BR"/>
        </w:rPr>
        <w:t xml:space="preserve"> </w:t>
      </w:r>
      <w:r w:rsidRPr="00D5464D">
        <w:rPr>
          <w:rFonts w:eastAsia="Calibri" w:cs="Times New Roman"/>
          <w:szCs w:val="20"/>
          <w:lang w:val="pt-BR"/>
        </w:rPr>
        <w:t xml:space="preserve">o alojamento </w:t>
      </w:r>
      <w:r w:rsidR="00F727E4" w:rsidRPr="00D5464D">
        <w:rPr>
          <w:rFonts w:eastAsia="Calibri" w:cs="Times New Roman"/>
          <w:szCs w:val="20"/>
          <w:lang w:val="pt-BR"/>
        </w:rPr>
        <w:t>o</w:t>
      </w:r>
      <w:r w:rsidRPr="00D5464D">
        <w:rPr>
          <w:rFonts w:eastAsia="Calibri" w:cs="Times New Roman"/>
          <w:szCs w:val="20"/>
          <w:lang w:val="pt-BR"/>
        </w:rPr>
        <w:t>u</w:t>
      </w:r>
      <w:r w:rsidR="002C330E" w:rsidRPr="00D5464D">
        <w:rPr>
          <w:rFonts w:eastAsia="Calibri" w:cs="Times New Roman"/>
          <w:szCs w:val="20"/>
          <w:lang w:val="pt-BR"/>
        </w:rPr>
        <w:t xml:space="preserve"> </w:t>
      </w:r>
      <w:r w:rsidRPr="00D5464D">
        <w:rPr>
          <w:rFonts w:eastAsia="Calibri" w:cs="Times New Roman"/>
          <w:szCs w:val="20"/>
          <w:lang w:val="pt-BR"/>
        </w:rPr>
        <w:t xml:space="preserve">o acolhimento </w:t>
      </w:r>
      <w:r w:rsidR="00F727E4" w:rsidRPr="00D5464D">
        <w:rPr>
          <w:rFonts w:eastAsia="Calibri" w:cs="Times New Roman"/>
          <w:szCs w:val="20"/>
          <w:lang w:val="pt-BR"/>
        </w:rPr>
        <w:t xml:space="preserve">de </w:t>
      </w:r>
      <w:r w:rsidR="002C330E" w:rsidRPr="00D5464D">
        <w:rPr>
          <w:rFonts w:eastAsia="Calibri" w:cs="Times New Roman"/>
          <w:szCs w:val="20"/>
          <w:lang w:val="pt-BR"/>
        </w:rPr>
        <w:t>pessoa</w:t>
      </w:r>
      <w:r w:rsidR="00F727E4" w:rsidRPr="00D5464D">
        <w:rPr>
          <w:rFonts w:eastAsia="Calibri" w:cs="Times New Roman"/>
          <w:szCs w:val="20"/>
          <w:lang w:val="pt-BR"/>
        </w:rPr>
        <w:t xml:space="preserve">s; </w:t>
      </w:r>
    </w:p>
    <w:p w14:paraId="3BEBC170" w14:textId="7BE4CDDE" w:rsidR="00F727E4" w:rsidRPr="00D5464D" w:rsidRDefault="00EB5961" w:rsidP="00F306D7">
      <w:pPr>
        <w:numPr>
          <w:ilvl w:val="0"/>
          <w:numId w:val="11"/>
        </w:numPr>
        <w:tabs>
          <w:tab w:val="clear" w:pos="4419"/>
          <w:tab w:val="clear" w:pos="8838"/>
        </w:tabs>
        <w:spacing w:after="120"/>
        <w:ind w:left="709" w:right="902" w:firstLine="0"/>
        <w:jc w:val="both"/>
        <w:rPr>
          <w:rFonts w:eastAsia="Calibri" w:cs="Times New Roman"/>
          <w:szCs w:val="20"/>
          <w:lang w:val="pt-BR"/>
        </w:rPr>
      </w:pPr>
      <w:r w:rsidRPr="00D5464D">
        <w:rPr>
          <w:rFonts w:eastAsia="Calibri" w:cs="Times New Roman"/>
          <w:szCs w:val="20"/>
          <w:lang w:val="pt-BR"/>
        </w:rPr>
        <w:t>R</w:t>
      </w:r>
      <w:r w:rsidR="00EB1CE9" w:rsidRPr="00D5464D">
        <w:rPr>
          <w:rFonts w:eastAsia="Calibri" w:cs="Times New Roman"/>
          <w:szCs w:val="20"/>
          <w:lang w:val="pt-BR"/>
        </w:rPr>
        <w:t>ecorrendo</w:t>
      </w:r>
      <w:r w:rsidR="00470ADC" w:rsidRPr="00D5464D">
        <w:rPr>
          <w:rFonts w:eastAsia="Calibri" w:cs="Times New Roman"/>
          <w:szCs w:val="20"/>
          <w:lang w:val="pt-BR"/>
        </w:rPr>
        <w:t xml:space="preserve"> à ameaça</w:t>
      </w:r>
      <w:r w:rsidR="00F727E4" w:rsidRPr="00D5464D">
        <w:rPr>
          <w:rFonts w:eastAsia="Calibri" w:cs="Times New Roman"/>
          <w:szCs w:val="20"/>
          <w:lang w:val="pt-BR"/>
        </w:rPr>
        <w:t xml:space="preserve"> o</w:t>
      </w:r>
      <w:r w:rsidRPr="00D5464D">
        <w:rPr>
          <w:rFonts w:eastAsia="Calibri" w:cs="Times New Roman"/>
          <w:szCs w:val="20"/>
          <w:lang w:val="pt-BR"/>
        </w:rPr>
        <w:t>u</w:t>
      </w:r>
      <w:r w:rsidR="00470ADC" w:rsidRPr="00D5464D">
        <w:rPr>
          <w:rFonts w:eastAsia="Calibri" w:cs="Times New Roman"/>
          <w:szCs w:val="20"/>
          <w:lang w:val="pt-BR"/>
        </w:rPr>
        <w:t xml:space="preserve"> ao </w:t>
      </w:r>
      <w:r w:rsidR="00F727E4" w:rsidRPr="00D5464D">
        <w:rPr>
          <w:rFonts w:eastAsia="Calibri" w:cs="Times New Roman"/>
          <w:szCs w:val="20"/>
          <w:lang w:val="pt-BR"/>
        </w:rPr>
        <w:t>uso</w:t>
      </w:r>
      <w:r w:rsidR="00470ADC" w:rsidRPr="00D5464D">
        <w:rPr>
          <w:rFonts w:eastAsia="Calibri" w:cs="Times New Roman"/>
          <w:szCs w:val="20"/>
          <w:lang w:val="pt-BR"/>
        </w:rPr>
        <w:t xml:space="preserve"> da </w:t>
      </w:r>
      <w:r w:rsidR="002C330E" w:rsidRPr="00D5464D">
        <w:rPr>
          <w:rFonts w:eastAsia="Calibri" w:cs="Times New Roman"/>
          <w:szCs w:val="20"/>
          <w:lang w:val="pt-BR"/>
        </w:rPr>
        <w:t>força</w:t>
      </w:r>
      <w:r w:rsidR="00E045D9" w:rsidRPr="00D5464D">
        <w:rPr>
          <w:rFonts w:eastAsia="Calibri" w:cs="Times New Roman"/>
          <w:szCs w:val="20"/>
          <w:lang w:val="pt-BR"/>
        </w:rPr>
        <w:t xml:space="preserve"> ou </w:t>
      </w:r>
      <w:r w:rsidR="002C330E" w:rsidRPr="00D5464D">
        <w:rPr>
          <w:rFonts w:eastAsia="Calibri" w:cs="Times New Roman"/>
          <w:szCs w:val="20"/>
          <w:lang w:val="pt-BR"/>
        </w:rPr>
        <w:t>outra</w:t>
      </w:r>
      <w:r w:rsidR="00F727E4" w:rsidRPr="00D5464D">
        <w:rPr>
          <w:rFonts w:eastAsia="Calibri" w:cs="Times New Roman"/>
          <w:szCs w:val="20"/>
          <w:lang w:val="pt-BR"/>
        </w:rPr>
        <w:t>s formas de co</w:t>
      </w:r>
      <w:r w:rsidR="00737270" w:rsidRPr="00D5464D">
        <w:rPr>
          <w:rFonts w:eastAsia="Calibri" w:cs="Times New Roman"/>
          <w:szCs w:val="20"/>
          <w:lang w:val="pt-BR"/>
        </w:rPr>
        <w:t>ação</w:t>
      </w:r>
      <w:r w:rsidR="00F727E4" w:rsidRPr="00D5464D">
        <w:rPr>
          <w:rFonts w:eastAsia="Calibri" w:cs="Times New Roman"/>
          <w:szCs w:val="20"/>
          <w:lang w:val="pt-BR"/>
        </w:rPr>
        <w:t>,</w:t>
      </w:r>
      <w:r w:rsidR="00470ADC" w:rsidRPr="00D5464D">
        <w:rPr>
          <w:rFonts w:eastAsia="Calibri" w:cs="Times New Roman"/>
          <w:szCs w:val="20"/>
          <w:lang w:val="pt-BR"/>
        </w:rPr>
        <w:t xml:space="preserve"> ao </w:t>
      </w:r>
      <w:r w:rsidR="00F727E4" w:rsidRPr="00D5464D">
        <w:rPr>
          <w:rFonts w:eastAsia="Calibri" w:cs="Times New Roman"/>
          <w:szCs w:val="20"/>
          <w:lang w:val="pt-BR"/>
        </w:rPr>
        <w:t>rapto,</w:t>
      </w:r>
      <w:r w:rsidR="00470ADC" w:rsidRPr="00D5464D">
        <w:rPr>
          <w:rFonts w:eastAsia="Calibri" w:cs="Times New Roman"/>
          <w:szCs w:val="20"/>
          <w:lang w:val="pt-BR"/>
        </w:rPr>
        <w:t xml:space="preserve"> </w:t>
      </w:r>
      <w:r w:rsidRPr="00D5464D">
        <w:rPr>
          <w:rFonts w:eastAsia="Calibri" w:cs="Times New Roman"/>
          <w:szCs w:val="20"/>
          <w:lang w:val="pt-BR"/>
        </w:rPr>
        <w:t>à</w:t>
      </w:r>
      <w:r w:rsidR="00470ADC" w:rsidRPr="00D5464D">
        <w:rPr>
          <w:rFonts w:eastAsia="Calibri" w:cs="Times New Roman"/>
          <w:szCs w:val="20"/>
          <w:lang w:val="pt-BR"/>
        </w:rPr>
        <w:t xml:space="preserve"> </w:t>
      </w:r>
      <w:r w:rsidR="00F727E4" w:rsidRPr="00D5464D">
        <w:rPr>
          <w:rFonts w:eastAsia="Calibri" w:cs="Times New Roman"/>
          <w:szCs w:val="20"/>
          <w:lang w:val="pt-BR"/>
        </w:rPr>
        <w:t>fraude,</w:t>
      </w:r>
      <w:r w:rsidR="00470ADC" w:rsidRPr="00D5464D">
        <w:rPr>
          <w:rFonts w:eastAsia="Calibri" w:cs="Times New Roman"/>
          <w:szCs w:val="20"/>
          <w:lang w:val="pt-BR"/>
        </w:rPr>
        <w:t xml:space="preserve"> ao </w:t>
      </w:r>
      <w:r w:rsidR="00F727E4" w:rsidRPr="00D5464D">
        <w:rPr>
          <w:rFonts w:eastAsia="Calibri" w:cs="Times New Roman"/>
          <w:szCs w:val="20"/>
          <w:lang w:val="pt-BR"/>
        </w:rPr>
        <w:t>eng</w:t>
      </w:r>
      <w:r w:rsidR="00E045D9" w:rsidRPr="00D5464D">
        <w:rPr>
          <w:rFonts w:eastAsia="Calibri" w:cs="Times New Roman"/>
          <w:szCs w:val="20"/>
          <w:lang w:val="pt-BR"/>
        </w:rPr>
        <w:t>ano,</w:t>
      </w:r>
      <w:r w:rsidR="00470ADC" w:rsidRPr="00D5464D">
        <w:rPr>
          <w:rFonts w:eastAsia="Calibri" w:cs="Times New Roman"/>
          <w:szCs w:val="20"/>
          <w:lang w:val="pt-BR"/>
        </w:rPr>
        <w:t xml:space="preserve"> ao </w:t>
      </w:r>
      <w:r w:rsidR="00F727E4" w:rsidRPr="00D5464D">
        <w:rPr>
          <w:rFonts w:eastAsia="Calibri" w:cs="Times New Roman"/>
          <w:szCs w:val="20"/>
          <w:lang w:val="pt-BR"/>
        </w:rPr>
        <w:t xml:space="preserve">abuso de </w:t>
      </w:r>
      <w:r w:rsidRPr="00D5464D">
        <w:rPr>
          <w:rFonts w:eastAsia="Calibri" w:cs="Times New Roman"/>
          <w:szCs w:val="20"/>
          <w:lang w:val="pt-BR"/>
        </w:rPr>
        <w:t xml:space="preserve">autoridade ou </w:t>
      </w:r>
      <w:r w:rsidR="002F77EF" w:rsidRPr="00D5464D">
        <w:rPr>
          <w:rFonts w:eastAsia="Calibri" w:cs="Times New Roman"/>
          <w:szCs w:val="20"/>
          <w:lang w:val="pt-BR"/>
        </w:rPr>
        <w:t>à</w:t>
      </w:r>
      <w:r w:rsidR="00E045D9" w:rsidRPr="00D5464D">
        <w:rPr>
          <w:rFonts w:eastAsia="Calibri" w:cs="Times New Roman"/>
          <w:szCs w:val="20"/>
          <w:lang w:val="pt-BR"/>
        </w:rPr>
        <w:t xml:space="preserve"> uma </w:t>
      </w:r>
      <w:r w:rsidR="00F727E4" w:rsidRPr="00D5464D">
        <w:rPr>
          <w:rFonts w:eastAsia="Calibri" w:cs="Times New Roman"/>
          <w:szCs w:val="20"/>
          <w:lang w:val="pt-BR"/>
        </w:rPr>
        <w:t>situa</w:t>
      </w:r>
      <w:r w:rsidR="00470ADC" w:rsidRPr="00D5464D">
        <w:rPr>
          <w:rFonts w:eastAsia="Calibri" w:cs="Times New Roman"/>
          <w:szCs w:val="20"/>
          <w:lang w:val="pt-BR"/>
        </w:rPr>
        <w:t>ção</w:t>
      </w:r>
      <w:r w:rsidR="00F727E4" w:rsidRPr="00D5464D">
        <w:rPr>
          <w:rFonts w:eastAsia="Calibri" w:cs="Times New Roman"/>
          <w:szCs w:val="20"/>
          <w:lang w:val="pt-BR"/>
        </w:rPr>
        <w:t xml:space="preserve"> de </w:t>
      </w:r>
      <w:r w:rsidR="00E045D9" w:rsidRPr="00D5464D">
        <w:rPr>
          <w:rFonts w:eastAsia="Calibri" w:cs="Times New Roman"/>
          <w:szCs w:val="20"/>
          <w:lang w:val="pt-BR"/>
        </w:rPr>
        <w:t>vulnerabilidad</w:t>
      </w:r>
      <w:r w:rsidR="002F77EF" w:rsidRPr="00D5464D">
        <w:rPr>
          <w:rFonts w:eastAsia="Calibri" w:cs="Times New Roman"/>
          <w:szCs w:val="20"/>
          <w:lang w:val="pt-BR"/>
        </w:rPr>
        <w:t xml:space="preserve">e </w:t>
      </w:r>
      <w:r w:rsidR="00E045D9" w:rsidRPr="00D5464D">
        <w:rPr>
          <w:rFonts w:eastAsia="Calibri" w:cs="Times New Roman"/>
          <w:szCs w:val="20"/>
          <w:lang w:val="pt-BR"/>
        </w:rPr>
        <w:t>o</w:t>
      </w:r>
      <w:r w:rsidR="002F77EF" w:rsidRPr="00D5464D">
        <w:rPr>
          <w:rFonts w:eastAsia="Calibri" w:cs="Times New Roman"/>
          <w:szCs w:val="20"/>
          <w:lang w:val="pt-BR"/>
        </w:rPr>
        <w:t>u</w:t>
      </w:r>
      <w:r w:rsidR="00E045D9" w:rsidRPr="00D5464D">
        <w:rPr>
          <w:rFonts w:eastAsia="Calibri" w:cs="Times New Roman"/>
          <w:szCs w:val="20"/>
          <w:lang w:val="pt-BR"/>
        </w:rPr>
        <w:t xml:space="preserve"> </w:t>
      </w:r>
      <w:r w:rsidR="00470ADC" w:rsidRPr="00D5464D">
        <w:rPr>
          <w:rFonts w:eastAsia="Calibri" w:cs="Times New Roman"/>
          <w:szCs w:val="20"/>
          <w:lang w:val="pt-BR"/>
        </w:rPr>
        <w:t xml:space="preserve">à </w:t>
      </w:r>
      <w:r w:rsidR="002F77EF" w:rsidRPr="00D5464D">
        <w:rPr>
          <w:rFonts w:eastAsia="Calibri" w:cs="Times New Roman"/>
          <w:szCs w:val="20"/>
          <w:lang w:val="pt-BR"/>
        </w:rPr>
        <w:t xml:space="preserve">entrega ou aceitação </w:t>
      </w:r>
      <w:r w:rsidR="00F727E4" w:rsidRPr="00D5464D">
        <w:rPr>
          <w:rFonts w:eastAsia="Calibri" w:cs="Times New Roman"/>
          <w:szCs w:val="20"/>
          <w:lang w:val="pt-BR"/>
        </w:rPr>
        <w:t xml:space="preserve">de </w:t>
      </w:r>
      <w:r w:rsidR="002C330E" w:rsidRPr="00D5464D">
        <w:rPr>
          <w:rFonts w:eastAsia="Calibri" w:cs="Times New Roman"/>
          <w:szCs w:val="20"/>
          <w:lang w:val="pt-BR"/>
        </w:rPr>
        <w:t>pagamento</w:t>
      </w:r>
      <w:r w:rsidR="00F727E4" w:rsidRPr="00D5464D">
        <w:rPr>
          <w:rFonts w:eastAsia="Calibri" w:cs="Times New Roman"/>
          <w:szCs w:val="20"/>
          <w:lang w:val="pt-BR"/>
        </w:rPr>
        <w:t>s o</w:t>
      </w:r>
      <w:r w:rsidR="002F77EF" w:rsidRPr="00D5464D">
        <w:rPr>
          <w:rFonts w:eastAsia="Calibri" w:cs="Times New Roman"/>
          <w:szCs w:val="20"/>
          <w:lang w:val="pt-BR"/>
        </w:rPr>
        <w:t>u</w:t>
      </w:r>
      <w:r w:rsidR="00F727E4" w:rsidRPr="00D5464D">
        <w:rPr>
          <w:rFonts w:eastAsia="Calibri" w:cs="Times New Roman"/>
          <w:szCs w:val="20"/>
          <w:lang w:val="pt-BR"/>
        </w:rPr>
        <w:t xml:space="preserve"> </w:t>
      </w:r>
      <w:r w:rsidR="00470ADC" w:rsidRPr="00D5464D">
        <w:rPr>
          <w:rFonts w:eastAsia="Calibri" w:cs="Times New Roman"/>
          <w:szCs w:val="20"/>
          <w:lang w:val="pt-BR"/>
        </w:rPr>
        <w:t>benefício</w:t>
      </w:r>
      <w:r w:rsidR="00F727E4" w:rsidRPr="00D5464D">
        <w:rPr>
          <w:rFonts w:eastAsia="Calibri" w:cs="Times New Roman"/>
          <w:szCs w:val="20"/>
          <w:lang w:val="pt-BR"/>
        </w:rPr>
        <w:t>s</w:t>
      </w:r>
      <w:r w:rsidR="00420A16" w:rsidRPr="00D5464D">
        <w:rPr>
          <w:rFonts w:eastAsia="Calibri" w:cs="Times New Roman"/>
          <w:szCs w:val="20"/>
          <w:lang w:val="pt-BR"/>
        </w:rPr>
        <w:t>,</w:t>
      </w:r>
      <w:r w:rsidR="00F727E4" w:rsidRPr="00D5464D">
        <w:rPr>
          <w:rFonts w:eastAsia="Calibri" w:cs="Times New Roman"/>
          <w:szCs w:val="20"/>
          <w:lang w:val="pt-BR"/>
        </w:rPr>
        <w:t xml:space="preserve"> para </w:t>
      </w:r>
      <w:r w:rsidR="002C330E" w:rsidRPr="00D5464D">
        <w:rPr>
          <w:rFonts w:eastAsia="Calibri" w:cs="Times New Roman"/>
          <w:szCs w:val="20"/>
          <w:lang w:val="pt-BR"/>
        </w:rPr>
        <w:t>obter</w:t>
      </w:r>
      <w:r w:rsidR="00470ADC" w:rsidRPr="00D5464D">
        <w:rPr>
          <w:rFonts w:eastAsia="Calibri" w:cs="Times New Roman"/>
          <w:szCs w:val="20"/>
          <w:lang w:val="pt-BR"/>
        </w:rPr>
        <w:t xml:space="preserve"> o consentimento</w:t>
      </w:r>
      <w:r w:rsidR="00F727E4" w:rsidRPr="00D5464D">
        <w:rPr>
          <w:rFonts w:eastAsia="Calibri" w:cs="Times New Roman"/>
          <w:szCs w:val="20"/>
          <w:lang w:val="pt-BR"/>
        </w:rPr>
        <w:t xml:space="preserve"> de</w:t>
      </w:r>
      <w:r w:rsidR="00E045D9" w:rsidRPr="00D5464D">
        <w:rPr>
          <w:rFonts w:eastAsia="Calibri" w:cs="Times New Roman"/>
          <w:szCs w:val="20"/>
          <w:lang w:val="pt-BR"/>
        </w:rPr>
        <w:t xml:space="preserve"> uma </w:t>
      </w:r>
      <w:r w:rsidR="002C330E" w:rsidRPr="00D5464D">
        <w:rPr>
          <w:rFonts w:eastAsia="Calibri" w:cs="Times New Roman"/>
          <w:szCs w:val="20"/>
          <w:lang w:val="pt-BR"/>
        </w:rPr>
        <w:t>pessoa</w:t>
      </w:r>
      <w:r w:rsidR="00F727E4" w:rsidRPr="00D5464D">
        <w:rPr>
          <w:rFonts w:eastAsia="Calibri" w:cs="Times New Roman"/>
          <w:szCs w:val="20"/>
          <w:lang w:val="pt-BR"/>
        </w:rPr>
        <w:t xml:space="preserve"> </w:t>
      </w:r>
      <w:r w:rsidR="003924C3" w:rsidRPr="00D5464D">
        <w:rPr>
          <w:rFonts w:eastAsia="Calibri" w:cs="Times New Roman"/>
          <w:szCs w:val="20"/>
          <w:lang w:val="pt-BR"/>
        </w:rPr>
        <w:t xml:space="preserve">a fim de </w:t>
      </w:r>
      <w:r w:rsidR="00F727E4" w:rsidRPr="00D5464D">
        <w:rPr>
          <w:rFonts w:eastAsia="Calibri" w:cs="Times New Roman"/>
          <w:szCs w:val="20"/>
          <w:lang w:val="pt-BR"/>
        </w:rPr>
        <w:t xml:space="preserve">que </w:t>
      </w:r>
      <w:r w:rsidR="00420A16" w:rsidRPr="00D5464D">
        <w:rPr>
          <w:rFonts w:eastAsia="Calibri" w:cs="Times New Roman"/>
          <w:szCs w:val="20"/>
          <w:lang w:val="pt-BR"/>
        </w:rPr>
        <w:t xml:space="preserve">se </w:t>
      </w:r>
      <w:r w:rsidR="00E045D9" w:rsidRPr="00D5464D">
        <w:rPr>
          <w:rFonts w:eastAsia="Calibri" w:cs="Times New Roman"/>
          <w:szCs w:val="20"/>
          <w:lang w:val="pt-BR"/>
        </w:rPr>
        <w:t>tenha</w:t>
      </w:r>
      <w:r w:rsidR="00F727E4" w:rsidRPr="00D5464D">
        <w:rPr>
          <w:rFonts w:eastAsia="Calibri" w:cs="Times New Roman"/>
          <w:szCs w:val="20"/>
          <w:lang w:val="pt-BR"/>
        </w:rPr>
        <w:t xml:space="preserve"> </w:t>
      </w:r>
      <w:r w:rsidR="00470ADC" w:rsidRPr="00D5464D">
        <w:rPr>
          <w:rFonts w:eastAsia="Calibri" w:cs="Times New Roman"/>
          <w:szCs w:val="20"/>
          <w:lang w:val="pt-BR"/>
        </w:rPr>
        <w:t xml:space="preserve">autoridade </w:t>
      </w:r>
      <w:r w:rsidR="00F727E4" w:rsidRPr="00D5464D">
        <w:rPr>
          <w:rFonts w:eastAsia="Calibri" w:cs="Times New Roman"/>
          <w:szCs w:val="20"/>
          <w:lang w:val="pt-BR"/>
        </w:rPr>
        <w:t xml:space="preserve">sobre </w:t>
      </w:r>
      <w:r w:rsidR="00420A16" w:rsidRPr="00D5464D">
        <w:rPr>
          <w:rFonts w:eastAsia="Calibri" w:cs="Times New Roman"/>
          <w:szCs w:val="20"/>
          <w:lang w:val="pt-BR"/>
        </w:rPr>
        <w:t>ela</w:t>
      </w:r>
      <w:r w:rsidR="00F727E4" w:rsidRPr="00D5464D">
        <w:rPr>
          <w:rFonts w:eastAsia="Calibri" w:cs="Times New Roman"/>
          <w:szCs w:val="20"/>
          <w:lang w:val="pt-BR"/>
        </w:rPr>
        <w:t>. Para</w:t>
      </w:r>
      <w:r w:rsidR="002C330E" w:rsidRPr="00D5464D">
        <w:rPr>
          <w:rFonts w:eastAsia="Calibri" w:cs="Times New Roman"/>
          <w:szCs w:val="20"/>
          <w:lang w:val="pt-BR"/>
        </w:rPr>
        <w:t xml:space="preserve"> os </w:t>
      </w:r>
      <w:r w:rsidR="00F727E4" w:rsidRPr="00D5464D">
        <w:rPr>
          <w:rFonts w:eastAsia="Calibri" w:cs="Times New Roman"/>
          <w:szCs w:val="20"/>
          <w:lang w:val="pt-BR"/>
        </w:rPr>
        <w:t xml:space="preserve">menores de 18 </w:t>
      </w:r>
      <w:r w:rsidR="00470ADC" w:rsidRPr="00D5464D">
        <w:rPr>
          <w:rFonts w:eastAsia="Calibri" w:cs="Times New Roman"/>
          <w:szCs w:val="20"/>
          <w:lang w:val="pt-BR"/>
        </w:rPr>
        <w:t xml:space="preserve">anos estes </w:t>
      </w:r>
      <w:r w:rsidR="00F727E4" w:rsidRPr="00D5464D">
        <w:rPr>
          <w:rFonts w:eastAsia="Calibri" w:cs="Times New Roman"/>
          <w:szCs w:val="20"/>
          <w:lang w:val="pt-BR"/>
        </w:rPr>
        <w:t xml:space="preserve">requisitos </w:t>
      </w:r>
      <w:r w:rsidR="00737270" w:rsidRPr="00D5464D">
        <w:rPr>
          <w:rFonts w:eastAsia="Calibri" w:cs="Times New Roman"/>
          <w:szCs w:val="20"/>
          <w:lang w:val="pt-BR"/>
        </w:rPr>
        <w:t>não são</w:t>
      </w:r>
      <w:r w:rsidR="002C330E" w:rsidRPr="00D5464D">
        <w:rPr>
          <w:rFonts w:eastAsia="Calibri" w:cs="Times New Roman"/>
          <w:szCs w:val="20"/>
          <w:lang w:val="pt-BR"/>
        </w:rPr>
        <w:t xml:space="preserve"> </w:t>
      </w:r>
      <w:r w:rsidR="00F727E4" w:rsidRPr="00D5464D">
        <w:rPr>
          <w:rFonts w:eastAsia="Calibri" w:cs="Times New Roman"/>
          <w:szCs w:val="20"/>
          <w:lang w:val="pt-BR"/>
        </w:rPr>
        <w:t>condi</w:t>
      </w:r>
      <w:r w:rsidR="00470ADC" w:rsidRPr="00D5464D">
        <w:rPr>
          <w:rFonts w:eastAsia="Calibri" w:cs="Times New Roman"/>
          <w:szCs w:val="20"/>
          <w:lang w:val="pt-BR"/>
        </w:rPr>
        <w:t>ção</w:t>
      </w:r>
      <w:r w:rsidR="00F727E4" w:rsidRPr="00D5464D">
        <w:rPr>
          <w:rFonts w:eastAsia="Calibri" w:cs="Times New Roman"/>
          <w:szCs w:val="20"/>
          <w:lang w:val="pt-BR"/>
        </w:rPr>
        <w:t xml:space="preserve"> </w:t>
      </w:r>
      <w:r w:rsidR="002C330E" w:rsidRPr="00D5464D">
        <w:rPr>
          <w:rFonts w:eastAsia="Calibri" w:cs="Times New Roman"/>
          <w:szCs w:val="20"/>
          <w:lang w:val="pt-BR"/>
        </w:rPr>
        <w:t>necessári</w:t>
      </w:r>
      <w:r w:rsidR="00F727E4" w:rsidRPr="00D5464D">
        <w:rPr>
          <w:rFonts w:eastAsia="Calibri" w:cs="Times New Roman"/>
          <w:szCs w:val="20"/>
          <w:lang w:val="pt-BR"/>
        </w:rPr>
        <w:t>a para</w:t>
      </w:r>
      <w:r w:rsidR="002C330E" w:rsidRPr="00D5464D">
        <w:rPr>
          <w:rFonts w:eastAsia="Calibri" w:cs="Times New Roman"/>
          <w:szCs w:val="20"/>
          <w:lang w:val="pt-BR"/>
        </w:rPr>
        <w:t xml:space="preserve"> a </w:t>
      </w:r>
      <w:r w:rsidR="00F727E4" w:rsidRPr="00D5464D">
        <w:rPr>
          <w:rFonts w:eastAsia="Calibri" w:cs="Times New Roman"/>
          <w:szCs w:val="20"/>
          <w:lang w:val="pt-BR"/>
        </w:rPr>
        <w:t>caracteriza</w:t>
      </w:r>
      <w:r w:rsidR="00470ADC" w:rsidRPr="00D5464D">
        <w:rPr>
          <w:rFonts w:eastAsia="Calibri" w:cs="Times New Roman"/>
          <w:szCs w:val="20"/>
          <w:lang w:val="pt-BR"/>
        </w:rPr>
        <w:t>ção</w:t>
      </w:r>
      <w:r w:rsidR="00F727E4" w:rsidRPr="00D5464D">
        <w:rPr>
          <w:rFonts w:eastAsia="Calibri" w:cs="Times New Roman"/>
          <w:szCs w:val="20"/>
          <w:lang w:val="pt-BR"/>
        </w:rPr>
        <w:t xml:space="preserve"> de </w:t>
      </w:r>
      <w:r w:rsidR="002F77EF" w:rsidRPr="00D5464D">
        <w:rPr>
          <w:rFonts w:eastAsia="Calibri" w:cs="Times New Roman"/>
          <w:szCs w:val="20"/>
          <w:lang w:val="pt-BR"/>
        </w:rPr>
        <w:t>tráfico</w:t>
      </w:r>
      <w:r w:rsidR="00F727E4" w:rsidRPr="00D5464D">
        <w:rPr>
          <w:rFonts w:eastAsia="Calibri" w:cs="Times New Roman"/>
          <w:szCs w:val="20"/>
          <w:lang w:val="pt-BR"/>
        </w:rPr>
        <w:t xml:space="preserve">; </w:t>
      </w:r>
    </w:p>
    <w:p w14:paraId="5E68A72C" w14:textId="5B0CD5A3" w:rsidR="00F727E4" w:rsidRPr="00D5464D" w:rsidRDefault="002F77EF" w:rsidP="00F306D7">
      <w:pPr>
        <w:numPr>
          <w:ilvl w:val="0"/>
          <w:numId w:val="11"/>
        </w:numPr>
        <w:tabs>
          <w:tab w:val="clear" w:pos="4419"/>
          <w:tab w:val="clear" w:pos="8838"/>
        </w:tabs>
        <w:ind w:left="709" w:right="899" w:firstLine="0"/>
        <w:jc w:val="both"/>
        <w:rPr>
          <w:rFonts w:eastAsia="Calibri" w:cs="Times New Roman"/>
          <w:szCs w:val="20"/>
          <w:lang w:val="pt-BR"/>
        </w:rPr>
      </w:pPr>
      <w:r w:rsidRPr="00D5464D">
        <w:rPr>
          <w:rFonts w:eastAsia="Calibri" w:cs="Times New Roman"/>
          <w:szCs w:val="20"/>
          <w:lang w:val="pt-BR"/>
        </w:rPr>
        <w:t xml:space="preserve">Com </w:t>
      </w:r>
      <w:r w:rsidR="00470ADC" w:rsidRPr="00D5464D">
        <w:rPr>
          <w:rFonts w:eastAsia="Calibri" w:cs="Times New Roman"/>
          <w:szCs w:val="20"/>
          <w:lang w:val="pt-BR"/>
        </w:rPr>
        <w:t xml:space="preserve">qualquer fim </w:t>
      </w:r>
      <w:r w:rsidR="00F727E4" w:rsidRPr="00D5464D">
        <w:rPr>
          <w:rFonts w:eastAsia="Calibri" w:cs="Times New Roman"/>
          <w:szCs w:val="20"/>
          <w:lang w:val="pt-BR"/>
        </w:rPr>
        <w:t xml:space="preserve">de </w:t>
      </w:r>
      <w:r w:rsidR="00230C71" w:rsidRPr="00D5464D">
        <w:rPr>
          <w:rFonts w:eastAsia="Calibri" w:cs="Times New Roman"/>
          <w:szCs w:val="20"/>
          <w:lang w:val="pt-BR"/>
        </w:rPr>
        <w:t>exploração</w:t>
      </w:r>
      <w:r w:rsidRPr="00D5464D">
        <w:rPr>
          <w:rFonts w:eastAsia="Calibri" w:cs="Times New Roman"/>
          <w:szCs w:val="20"/>
          <w:lang w:val="pt-BR"/>
        </w:rPr>
        <w:t>.</w:t>
      </w:r>
      <w:r w:rsidR="00F727E4" w:rsidRPr="00D5464D">
        <w:rPr>
          <w:rFonts w:eastAsia="Calibri" w:cs="Times New Roman"/>
          <w:szCs w:val="20"/>
          <w:vertAlign w:val="superscript"/>
          <w:lang w:val="pt-BR"/>
        </w:rPr>
        <w:footnoteReference w:id="438"/>
      </w:r>
    </w:p>
    <w:p w14:paraId="6FE239BE" w14:textId="77777777" w:rsidR="00F727E4" w:rsidRPr="00D5464D" w:rsidRDefault="00F727E4" w:rsidP="00F727E4">
      <w:pPr>
        <w:tabs>
          <w:tab w:val="clear" w:pos="4419"/>
          <w:tab w:val="clear" w:pos="8838"/>
        </w:tabs>
        <w:jc w:val="both"/>
        <w:rPr>
          <w:rFonts w:eastAsia="Calibri" w:cs="Times New Roman"/>
          <w:szCs w:val="20"/>
          <w:lang w:val="pt-BR"/>
        </w:rPr>
      </w:pPr>
    </w:p>
    <w:p w14:paraId="54CE2A67" w14:textId="68FFE102" w:rsidR="00207197" w:rsidRPr="00D5464D" w:rsidRDefault="00B21658" w:rsidP="005D2CE2">
      <w:pPr>
        <w:pStyle w:val="Ttulo3"/>
        <w:rPr>
          <w:lang w:val="pt-BR"/>
        </w:rPr>
      </w:pPr>
      <w:bookmarkStart w:id="398" w:name="_Toc468433925"/>
      <w:r w:rsidRPr="00D5464D">
        <w:rPr>
          <w:lang w:val="pt-BR"/>
        </w:rPr>
        <w:t>B.</w:t>
      </w:r>
      <w:r w:rsidR="005D2CE2" w:rsidRPr="00D5464D">
        <w:rPr>
          <w:lang w:val="pt-BR"/>
        </w:rPr>
        <w:t>6</w:t>
      </w:r>
      <w:r w:rsidR="00CB7E29" w:rsidRPr="00D5464D">
        <w:rPr>
          <w:lang w:val="pt-BR"/>
        </w:rPr>
        <w:t>.</w:t>
      </w:r>
      <w:r w:rsidR="00207197" w:rsidRPr="00D5464D">
        <w:rPr>
          <w:lang w:val="pt-BR"/>
        </w:rPr>
        <w:t xml:space="preserve"> </w:t>
      </w:r>
      <w:r w:rsidR="00E045D9" w:rsidRPr="00D5464D">
        <w:rPr>
          <w:lang w:val="pt-BR"/>
        </w:rPr>
        <w:t>Trabalho</w:t>
      </w:r>
      <w:r w:rsidR="00207197" w:rsidRPr="00D5464D">
        <w:rPr>
          <w:lang w:val="pt-BR"/>
        </w:rPr>
        <w:t xml:space="preserve"> </w:t>
      </w:r>
      <w:r w:rsidR="00230C71" w:rsidRPr="00D5464D">
        <w:rPr>
          <w:lang w:val="pt-BR"/>
        </w:rPr>
        <w:t>Forçado</w:t>
      </w:r>
      <w:r w:rsidR="00E045D9" w:rsidRPr="00D5464D">
        <w:rPr>
          <w:lang w:val="pt-BR"/>
        </w:rPr>
        <w:t xml:space="preserve"> ou </w:t>
      </w:r>
      <w:r w:rsidR="002C330E" w:rsidRPr="00D5464D">
        <w:rPr>
          <w:lang w:val="pt-BR"/>
        </w:rPr>
        <w:t>Obrigatóri</w:t>
      </w:r>
      <w:r w:rsidR="00207197" w:rsidRPr="00D5464D">
        <w:rPr>
          <w:lang w:val="pt-BR"/>
        </w:rPr>
        <w:t>o</w:t>
      </w:r>
      <w:bookmarkEnd w:id="398"/>
    </w:p>
    <w:p w14:paraId="043D9F57" w14:textId="77777777" w:rsidR="00207197" w:rsidRPr="00D5464D" w:rsidRDefault="00207197" w:rsidP="00140440">
      <w:pPr>
        <w:jc w:val="both"/>
        <w:rPr>
          <w:szCs w:val="20"/>
          <w:lang w:val="pt-BR"/>
        </w:rPr>
      </w:pPr>
    </w:p>
    <w:p w14:paraId="4B1691FD" w14:textId="6A443441" w:rsidR="00207197" w:rsidRPr="00D5464D" w:rsidRDefault="00A1358C" w:rsidP="00F37DC4">
      <w:pPr>
        <w:pStyle w:val="Prrafodelista"/>
        <w:numPr>
          <w:ilvl w:val="0"/>
          <w:numId w:val="1"/>
        </w:numPr>
        <w:contextualSpacing w:val="0"/>
        <w:rPr>
          <w:lang w:val="pt-BR"/>
        </w:rPr>
      </w:pPr>
      <w:r w:rsidRPr="00D5464D">
        <w:rPr>
          <w:lang w:val="pt-BR"/>
        </w:rPr>
        <w:t>Com respeito</w:t>
      </w:r>
      <w:r w:rsidR="00470ADC" w:rsidRPr="00D5464D">
        <w:rPr>
          <w:lang w:val="pt-BR"/>
        </w:rPr>
        <w:t xml:space="preserve"> ao </w:t>
      </w:r>
      <w:r w:rsidR="00E045D9" w:rsidRPr="00D5464D">
        <w:rPr>
          <w:lang w:val="pt-BR"/>
        </w:rPr>
        <w:t>trabalho</w:t>
      </w:r>
      <w:r w:rsidR="00207197" w:rsidRPr="00D5464D">
        <w:rPr>
          <w:lang w:val="pt-BR"/>
        </w:rPr>
        <w:t xml:space="preserve"> </w:t>
      </w:r>
      <w:r w:rsidR="00230C71" w:rsidRPr="00D5464D">
        <w:rPr>
          <w:lang w:val="pt-BR"/>
        </w:rPr>
        <w:t>forçado</w:t>
      </w:r>
      <w:r w:rsidR="00E045D9" w:rsidRPr="00D5464D">
        <w:rPr>
          <w:lang w:val="pt-BR"/>
        </w:rPr>
        <w:t xml:space="preserve"> ou </w:t>
      </w:r>
      <w:r w:rsidR="002C330E" w:rsidRPr="00D5464D">
        <w:rPr>
          <w:lang w:val="pt-BR"/>
        </w:rPr>
        <w:t>obrigatóri</w:t>
      </w:r>
      <w:r w:rsidR="00207197" w:rsidRPr="00D5464D">
        <w:rPr>
          <w:lang w:val="pt-BR"/>
        </w:rPr>
        <w:t xml:space="preserve">o, </w:t>
      </w:r>
      <w:r w:rsidR="00737270" w:rsidRPr="00D5464D">
        <w:rPr>
          <w:lang w:val="pt-BR"/>
        </w:rPr>
        <w:t>proibid</w:t>
      </w:r>
      <w:r w:rsidR="00207197" w:rsidRPr="00D5464D">
        <w:rPr>
          <w:lang w:val="pt-BR"/>
        </w:rPr>
        <w:t>o</w:t>
      </w:r>
      <w:r w:rsidR="00E045D9" w:rsidRPr="00D5464D">
        <w:rPr>
          <w:lang w:val="pt-BR"/>
        </w:rPr>
        <w:t xml:space="preserve"> </w:t>
      </w:r>
      <w:r w:rsidR="002F77EF" w:rsidRPr="00D5464D">
        <w:rPr>
          <w:lang w:val="pt-BR"/>
        </w:rPr>
        <w:t>pel</w:t>
      </w:r>
      <w:r w:rsidR="00E045D9" w:rsidRPr="00D5464D">
        <w:rPr>
          <w:lang w:val="pt-BR"/>
        </w:rPr>
        <w:t xml:space="preserve">o </w:t>
      </w:r>
      <w:r w:rsidR="00470ADC" w:rsidRPr="00D5464D">
        <w:rPr>
          <w:lang w:val="pt-BR"/>
        </w:rPr>
        <w:t>artigo</w:t>
      </w:r>
      <w:r w:rsidR="00207197" w:rsidRPr="00D5464D">
        <w:rPr>
          <w:lang w:val="pt-BR"/>
        </w:rPr>
        <w:t xml:space="preserve"> 6.2</w:t>
      </w:r>
      <w:r w:rsidR="00470ADC" w:rsidRPr="00D5464D">
        <w:rPr>
          <w:lang w:val="pt-BR"/>
        </w:rPr>
        <w:t xml:space="preserve"> da </w:t>
      </w:r>
      <w:r w:rsidR="00207197" w:rsidRPr="00D5464D">
        <w:rPr>
          <w:lang w:val="pt-BR"/>
        </w:rPr>
        <w:t>Conven</w:t>
      </w:r>
      <w:r w:rsidR="00470ADC" w:rsidRPr="00D5464D">
        <w:rPr>
          <w:lang w:val="pt-BR"/>
        </w:rPr>
        <w:t>ção</w:t>
      </w:r>
      <w:r w:rsidR="00207197" w:rsidRPr="00D5464D">
        <w:rPr>
          <w:lang w:val="pt-BR"/>
        </w:rPr>
        <w:t xml:space="preserve"> Americana,</w:t>
      </w:r>
      <w:r w:rsidR="002C330E" w:rsidRPr="00D5464D">
        <w:rPr>
          <w:lang w:val="pt-BR"/>
        </w:rPr>
        <w:t xml:space="preserve"> a </w:t>
      </w:r>
      <w:r w:rsidR="00207197" w:rsidRPr="00D5464D">
        <w:rPr>
          <w:lang w:val="pt-BR"/>
        </w:rPr>
        <w:t>Corte</w:t>
      </w:r>
      <w:r w:rsidR="00E045D9" w:rsidRPr="00D5464D">
        <w:rPr>
          <w:lang w:val="pt-BR"/>
        </w:rPr>
        <w:t xml:space="preserve"> já </w:t>
      </w:r>
      <w:r w:rsidR="00207197" w:rsidRPr="00D5464D">
        <w:rPr>
          <w:lang w:val="pt-BR"/>
        </w:rPr>
        <w:t xml:space="preserve">se </w:t>
      </w:r>
      <w:r w:rsidR="00350187" w:rsidRPr="00D5464D">
        <w:rPr>
          <w:lang w:val="pt-BR"/>
        </w:rPr>
        <w:t>pronunciou</w:t>
      </w:r>
      <w:r w:rsidR="00207197" w:rsidRPr="00D5464D">
        <w:rPr>
          <w:lang w:val="pt-BR"/>
        </w:rPr>
        <w:t xml:space="preserve"> sobre</w:t>
      </w:r>
      <w:r w:rsidR="00470ADC" w:rsidRPr="00D5464D">
        <w:rPr>
          <w:lang w:val="pt-BR"/>
        </w:rPr>
        <w:t xml:space="preserve"> o conteúdo</w:t>
      </w:r>
      <w:r w:rsidR="00E045D9" w:rsidRPr="00D5464D">
        <w:rPr>
          <w:lang w:val="pt-BR"/>
        </w:rPr>
        <w:t xml:space="preserve"> e </w:t>
      </w:r>
      <w:r w:rsidR="00207197" w:rsidRPr="00D5464D">
        <w:rPr>
          <w:lang w:val="pt-BR"/>
        </w:rPr>
        <w:t xml:space="preserve">alcance </w:t>
      </w:r>
      <w:r w:rsidR="00E045D9" w:rsidRPr="00D5464D">
        <w:rPr>
          <w:lang w:val="pt-BR"/>
        </w:rPr>
        <w:t>desta</w:t>
      </w:r>
      <w:r w:rsidR="00207197" w:rsidRPr="00D5464D">
        <w:rPr>
          <w:lang w:val="pt-BR"/>
        </w:rPr>
        <w:t xml:space="preserve"> norma</w:t>
      </w:r>
      <w:r w:rsidR="00E045D9" w:rsidRPr="00D5464D">
        <w:rPr>
          <w:lang w:val="pt-BR"/>
        </w:rPr>
        <w:t xml:space="preserve"> no </w:t>
      </w:r>
      <w:r w:rsidRPr="00D5464D">
        <w:rPr>
          <w:i/>
          <w:lang w:val="pt-BR"/>
        </w:rPr>
        <w:t>Caso dos Massacres de Ituango</w:t>
      </w:r>
      <w:r w:rsidR="00207197" w:rsidRPr="00D5464D">
        <w:rPr>
          <w:i/>
          <w:lang w:val="pt-BR"/>
        </w:rPr>
        <w:t xml:space="preserve"> Vs. </w:t>
      </w:r>
      <w:r w:rsidR="00230C71" w:rsidRPr="00D5464D">
        <w:rPr>
          <w:i/>
          <w:lang w:val="pt-BR"/>
        </w:rPr>
        <w:t>Colômbia</w:t>
      </w:r>
      <w:r w:rsidR="002F77EF" w:rsidRPr="00D5464D">
        <w:rPr>
          <w:lang w:val="pt-BR"/>
        </w:rPr>
        <w:t>.</w:t>
      </w:r>
      <w:r w:rsidR="00207197" w:rsidRPr="00D5464D">
        <w:rPr>
          <w:rStyle w:val="Refdenotaalpie"/>
          <w:lang w:val="pt-BR"/>
        </w:rPr>
        <w:footnoteReference w:id="439"/>
      </w:r>
      <w:r w:rsidR="00C91CB1" w:rsidRPr="00D5464D">
        <w:rPr>
          <w:lang w:val="pt-BR"/>
        </w:rPr>
        <w:t xml:space="preserve"> N</w:t>
      </w:r>
      <w:r w:rsidR="002F77EF" w:rsidRPr="00D5464D">
        <w:rPr>
          <w:lang w:val="pt-BR"/>
        </w:rPr>
        <w:t xml:space="preserve">aquela </w:t>
      </w:r>
      <w:r w:rsidR="002C330E" w:rsidRPr="00D5464D">
        <w:rPr>
          <w:lang w:val="pt-BR"/>
        </w:rPr>
        <w:t>Sentença</w:t>
      </w:r>
      <w:r w:rsidR="00207197" w:rsidRPr="00D5464D">
        <w:rPr>
          <w:lang w:val="pt-BR"/>
        </w:rPr>
        <w:t>,</w:t>
      </w:r>
      <w:r w:rsidR="002C330E" w:rsidRPr="00D5464D">
        <w:rPr>
          <w:lang w:val="pt-BR"/>
        </w:rPr>
        <w:t xml:space="preserve"> a </w:t>
      </w:r>
      <w:r w:rsidR="00207197" w:rsidRPr="00D5464D">
        <w:rPr>
          <w:lang w:val="pt-BR"/>
        </w:rPr>
        <w:t xml:space="preserve">Corte </w:t>
      </w:r>
      <w:r w:rsidR="00E045D9" w:rsidRPr="00D5464D">
        <w:rPr>
          <w:lang w:val="pt-BR"/>
        </w:rPr>
        <w:t>aceitou</w:t>
      </w:r>
      <w:r w:rsidR="002C330E" w:rsidRPr="00D5464D">
        <w:rPr>
          <w:lang w:val="pt-BR"/>
        </w:rPr>
        <w:t xml:space="preserve"> a </w:t>
      </w:r>
      <w:r w:rsidR="00207197" w:rsidRPr="00D5464D">
        <w:rPr>
          <w:lang w:val="pt-BR"/>
        </w:rPr>
        <w:t>defini</w:t>
      </w:r>
      <w:r w:rsidR="00470ADC" w:rsidRPr="00D5464D">
        <w:rPr>
          <w:lang w:val="pt-BR"/>
        </w:rPr>
        <w:t>ção</w:t>
      </w:r>
      <w:r w:rsidR="00207197" w:rsidRPr="00D5464D">
        <w:rPr>
          <w:lang w:val="pt-BR"/>
        </w:rPr>
        <w:t xml:space="preserve"> de </w:t>
      </w:r>
      <w:r w:rsidR="00E045D9" w:rsidRPr="00D5464D">
        <w:rPr>
          <w:lang w:val="pt-BR"/>
        </w:rPr>
        <w:t>trabalho</w:t>
      </w:r>
      <w:r w:rsidR="00207197" w:rsidRPr="00D5464D">
        <w:rPr>
          <w:lang w:val="pt-BR"/>
        </w:rPr>
        <w:t xml:space="preserve"> </w:t>
      </w:r>
      <w:r w:rsidR="00230C71" w:rsidRPr="00D5464D">
        <w:rPr>
          <w:lang w:val="pt-BR"/>
        </w:rPr>
        <w:t>forçado</w:t>
      </w:r>
      <w:r w:rsidR="00207197" w:rsidRPr="00D5464D">
        <w:rPr>
          <w:lang w:val="pt-BR"/>
        </w:rPr>
        <w:t xml:space="preserve"> </w:t>
      </w:r>
      <w:r w:rsidR="00350187" w:rsidRPr="00D5464D">
        <w:rPr>
          <w:lang w:val="pt-BR"/>
        </w:rPr>
        <w:t>contida</w:t>
      </w:r>
      <w:r w:rsidR="00E045D9" w:rsidRPr="00D5464D">
        <w:rPr>
          <w:lang w:val="pt-BR"/>
        </w:rPr>
        <w:t xml:space="preserve"> no </w:t>
      </w:r>
      <w:r w:rsidR="00470ADC" w:rsidRPr="00D5464D">
        <w:rPr>
          <w:lang w:val="pt-BR"/>
        </w:rPr>
        <w:t>artigo</w:t>
      </w:r>
      <w:r w:rsidR="00207197" w:rsidRPr="00D5464D">
        <w:rPr>
          <w:lang w:val="pt-BR"/>
        </w:rPr>
        <w:t xml:space="preserve"> 2.1 </w:t>
      </w:r>
      <w:r w:rsidR="002F77EF" w:rsidRPr="00D5464D">
        <w:rPr>
          <w:lang w:val="pt-BR"/>
        </w:rPr>
        <w:t>da</w:t>
      </w:r>
      <w:r w:rsidR="00470ADC" w:rsidRPr="00D5464D">
        <w:rPr>
          <w:lang w:val="pt-BR"/>
        </w:rPr>
        <w:t xml:space="preserve"> </w:t>
      </w:r>
      <w:r w:rsidR="00DD6473" w:rsidRPr="00D5464D">
        <w:rPr>
          <w:lang w:val="pt-BR"/>
        </w:rPr>
        <w:t>Convenção nº</w:t>
      </w:r>
      <w:r w:rsidRPr="00D5464D">
        <w:rPr>
          <w:lang w:val="pt-BR"/>
        </w:rPr>
        <w:t xml:space="preserve"> </w:t>
      </w:r>
      <w:r w:rsidR="00207197" w:rsidRPr="00D5464D">
        <w:rPr>
          <w:lang w:val="pt-BR"/>
        </w:rPr>
        <w:t>29</w:t>
      </w:r>
      <w:r w:rsidR="00470ADC" w:rsidRPr="00D5464D">
        <w:rPr>
          <w:lang w:val="pt-BR"/>
        </w:rPr>
        <w:t xml:space="preserve"> da </w:t>
      </w:r>
      <w:r w:rsidR="00207197" w:rsidRPr="00D5464D">
        <w:rPr>
          <w:lang w:val="pt-BR"/>
        </w:rPr>
        <w:t>OIT,</w:t>
      </w:r>
      <w:r w:rsidR="002C330E" w:rsidRPr="00D5464D">
        <w:rPr>
          <w:lang w:val="pt-BR"/>
        </w:rPr>
        <w:t xml:space="preserve"> a </w:t>
      </w:r>
      <w:r w:rsidR="00470ADC" w:rsidRPr="00D5464D">
        <w:rPr>
          <w:lang w:val="pt-BR"/>
        </w:rPr>
        <w:t>qual dispõe</w:t>
      </w:r>
      <w:r w:rsidR="00207197" w:rsidRPr="00D5464D">
        <w:rPr>
          <w:lang w:val="pt-BR"/>
        </w:rPr>
        <w:t xml:space="preserve"> que:</w:t>
      </w:r>
    </w:p>
    <w:p w14:paraId="3BEB7864" w14:textId="77777777" w:rsidR="00207197" w:rsidRPr="00D5464D" w:rsidRDefault="00207197" w:rsidP="00140440">
      <w:pPr>
        <w:jc w:val="both"/>
        <w:rPr>
          <w:lang w:val="pt-BR"/>
        </w:rPr>
      </w:pPr>
    </w:p>
    <w:p w14:paraId="53767A3B" w14:textId="22D9D3C1" w:rsidR="00207197" w:rsidRPr="00D5464D" w:rsidRDefault="00A1358C" w:rsidP="00140440">
      <w:pPr>
        <w:pStyle w:val="Textodebloque"/>
        <w:jc w:val="both"/>
        <w:rPr>
          <w:lang w:val="pt-BR"/>
        </w:rPr>
      </w:pPr>
      <w:r w:rsidRPr="00D5464D">
        <w:rPr>
          <w:lang w:val="pt-BR"/>
        </w:rPr>
        <w:t>[a]</w:t>
      </w:r>
      <w:r w:rsidR="00207197" w:rsidRPr="00D5464D">
        <w:rPr>
          <w:lang w:val="pt-BR"/>
        </w:rPr>
        <w:t xml:space="preserve"> </w:t>
      </w:r>
      <w:r w:rsidR="00470ADC" w:rsidRPr="00D5464D">
        <w:rPr>
          <w:lang w:val="pt-BR"/>
        </w:rPr>
        <w:t>expressão</w:t>
      </w:r>
      <w:r w:rsidR="00207197" w:rsidRPr="00D5464D">
        <w:rPr>
          <w:lang w:val="pt-BR"/>
        </w:rPr>
        <w:t xml:space="preserve"> “</w:t>
      </w:r>
      <w:r w:rsidR="00E045D9" w:rsidRPr="00D5464D">
        <w:rPr>
          <w:lang w:val="pt-BR"/>
        </w:rPr>
        <w:t>trabalho</w:t>
      </w:r>
      <w:r w:rsidR="00207197" w:rsidRPr="00D5464D">
        <w:rPr>
          <w:lang w:val="pt-BR"/>
        </w:rPr>
        <w:t xml:space="preserve"> </w:t>
      </w:r>
      <w:r w:rsidR="00230C71" w:rsidRPr="00D5464D">
        <w:rPr>
          <w:lang w:val="pt-BR"/>
        </w:rPr>
        <w:t>forçado</w:t>
      </w:r>
      <w:r w:rsidR="00E045D9" w:rsidRPr="00D5464D">
        <w:rPr>
          <w:lang w:val="pt-BR"/>
        </w:rPr>
        <w:t xml:space="preserve"> ou </w:t>
      </w:r>
      <w:r w:rsidR="002C330E" w:rsidRPr="00D5464D">
        <w:rPr>
          <w:lang w:val="pt-BR"/>
        </w:rPr>
        <w:t>obrigatóri</w:t>
      </w:r>
      <w:r w:rsidR="00207197" w:rsidRPr="00D5464D">
        <w:rPr>
          <w:lang w:val="pt-BR"/>
        </w:rPr>
        <w:t>o</w:t>
      </w:r>
      <w:r w:rsidR="003B75DB" w:rsidRPr="00D5464D">
        <w:rPr>
          <w:lang w:val="pt-BR"/>
        </w:rPr>
        <w:t>” designará todo trabalho ou serviço exigido de um indivíduo sob ameaça de qualquer penalidade e para o qual ele não se ofereceu de espontânea vontade</w:t>
      </w:r>
      <w:r w:rsidR="00207197" w:rsidRPr="00D5464D">
        <w:rPr>
          <w:lang w:val="pt-BR"/>
        </w:rPr>
        <w:t>.</w:t>
      </w:r>
    </w:p>
    <w:p w14:paraId="033C047A" w14:textId="77777777" w:rsidR="00207197" w:rsidRPr="00D5464D" w:rsidRDefault="00207197" w:rsidP="00140440">
      <w:pPr>
        <w:jc w:val="both"/>
        <w:rPr>
          <w:lang w:val="pt-BR"/>
        </w:rPr>
      </w:pPr>
    </w:p>
    <w:p w14:paraId="30846409" w14:textId="0CF9FD1D" w:rsidR="00207197" w:rsidRPr="00D5464D" w:rsidRDefault="003B75DB" w:rsidP="00F37DC4">
      <w:pPr>
        <w:pStyle w:val="Prrafodelista"/>
        <w:numPr>
          <w:ilvl w:val="0"/>
          <w:numId w:val="1"/>
        </w:numPr>
        <w:contextualSpacing w:val="0"/>
        <w:rPr>
          <w:lang w:val="pt-BR"/>
        </w:rPr>
      </w:pPr>
      <w:r w:rsidRPr="00D5464D">
        <w:rPr>
          <w:lang w:val="pt-BR"/>
        </w:rPr>
        <w:t xml:space="preserve">Naquela </w:t>
      </w:r>
      <w:r w:rsidR="002C330E" w:rsidRPr="00D5464D">
        <w:rPr>
          <w:lang w:val="pt-BR"/>
        </w:rPr>
        <w:t>Sentença</w:t>
      </w:r>
      <w:r w:rsidR="00207197" w:rsidRPr="00D5464D">
        <w:rPr>
          <w:lang w:val="pt-BR"/>
        </w:rPr>
        <w:t>,</w:t>
      </w:r>
      <w:r w:rsidR="00470ADC" w:rsidRPr="00D5464D">
        <w:rPr>
          <w:lang w:val="pt-BR"/>
        </w:rPr>
        <w:t xml:space="preserve"> o </w:t>
      </w:r>
      <w:r w:rsidR="00207197" w:rsidRPr="00D5464D">
        <w:rPr>
          <w:lang w:val="pt-BR"/>
        </w:rPr>
        <w:t xml:space="preserve">Tribunal </w:t>
      </w:r>
      <w:r w:rsidR="00470ADC" w:rsidRPr="00D5464D">
        <w:rPr>
          <w:lang w:val="pt-BR"/>
        </w:rPr>
        <w:t>considerou</w:t>
      </w:r>
      <w:r w:rsidR="00207197" w:rsidRPr="00D5464D">
        <w:rPr>
          <w:lang w:val="pt-BR"/>
        </w:rPr>
        <w:t xml:space="preserve"> que</w:t>
      </w:r>
      <w:r w:rsidR="002C330E" w:rsidRPr="00D5464D">
        <w:rPr>
          <w:lang w:val="pt-BR"/>
        </w:rPr>
        <w:t xml:space="preserve"> a </w:t>
      </w:r>
      <w:r w:rsidR="00207197" w:rsidRPr="00D5464D">
        <w:rPr>
          <w:lang w:val="pt-BR"/>
        </w:rPr>
        <w:t>defini</w:t>
      </w:r>
      <w:r w:rsidR="00470ADC" w:rsidRPr="00D5464D">
        <w:rPr>
          <w:lang w:val="pt-BR"/>
        </w:rPr>
        <w:t>ção</w:t>
      </w:r>
      <w:r w:rsidR="00207197" w:rsidRPr="00D5464D">
        <w:rPr>
          <w:lang w:val="pt-BR"/>
        </w:rPr>
        <w:t xml:space="preserve"> de </w:t>
      </w:r>
      <w:r w:rsidR="00E045D9" w:rsidRPr="00D5464D">
        <w:rPr>
          <w:lang w:val="pt-BR"/>
        </w:rPr>
        <w:t>trabalho</w:t>
      </w:r>
      <w:r w:rsidR="00207197" w:rsidRPr="00D5464D">
        <w:rPr>
          <w:lang w:val="pt-BR"/>
        </w:rPr>
        <w:t xml:space="preserve"> </w:t>
      </w:r>
      <w:r w:rsidR="00230C71" w:rsidRPr="00D5464D">
        <w:rPr>
          <w:lang w:val="pt-BR"/>
        </w:rPr>
        <w:t>forçado</w:t>
      </w:r>
      <w:r w:rsidR="00E045D9" w:rsidRPr="00D5464D">
        <w:rPr>
          <w:lang w:val="pt-BR"/>
        </w:rPr>
        <w:t xml:space="preserve"> ou </w:t>
      </w:r>
      <w:r w:rsidR="002C330E" w:rsidRPr="00D5464D">
        <w:rPr>
          <w:lang w:val="pt-BR"/>
        </w:rPr>
        <w:t>obrigatóri</w:t>
      </w:r>
      <w:r w:rsidR="00207197" w:rsidRPr="00D5464D">
        <w:rPr>
          <w:lang w:val="pt-BR"/>
        </w:rPr>
        <w:t xml:space="preserve">o </w:t>
      </w:r>
      <w:r w:rsidRPr="00D5464D">
        <w:rPr>
          <w:lang w:val="pt-BR"/>
        </w:rPr>
        <w:t xml:space="preserve">possui </w:t>
      </w:r>
      <w:r w:rsidR="00207197" w:rsidRPr="00D5464D">
        <w:rPr>
          <w:lang w:val="pt-BR"/>
        </w:rPr>
        <w:t>do</w:t>
      </w:r>
      <w:r w:rsidRPr="00D5464D">
        <w:rPr>
          <w:lang w:val="pt-BR"/>
        </w:rPr>
        <w:t>i</w:t>
      </w:r>
      <w:r w:rsidR="00207197" w:rsidRPr="00D5464D">
        <w:rPr>
          <w:lang w:val="pt-BR"/>
        </w:rPr>
        <w:t>s elementos básicos: que</w:t>
      </w:r>
      <w:r w:rsidR="00470ADC" w:rsidRPr="00D5464D">
        <w:rPr>
          <w:lang w:val="pt-BR"/>
        </w:rPr>
        <w:t xml:space="preserve"> o </w:t>
      </w:r>
      <w:r w:rsidR="00E045D9" w:rsidRPr="00D5464D">
        <w:rPr>
          <w:lang w:val="pt-BR"/>
        </w:rPr>
        <w:t>trabalho</w:t>
      </w:r>
      <w:r w:rsidR="00207197" w:rsidRPr="00D5464D">
        <w:rPr>
          <w:lang w:val="pt-BR"/>
        </w:rPr>
        <w:t xml:space="preserve"> o</w:t>
      </w:r>
      <w:r w:rsidRPr="00D5464D">
        <w:rPr>
          <w:lang w:val="pt-BR"/>
        </w:rPr>
        <w:t>u</w:t>
      </w:r>
      <w:r w:rsidR="00470ADC" w:rsidRPr="00D5464D">
        <w:rPr>
          <w:lang w:val="pt-BR"/>
        </w:rPr>
        <w:t xml:space="preserve"> </w:t>
      </w:r>
      <w:r w:rsidR="002C330E" w:rsidRPr="00D5464D">
        <w:rPr>
          <w:lang w:val="pt-BR"/>
        </w:rPr>
        <w:t>serviço</w:t>
      </w:r>
      <w:r w:rsidR="00207197" w:rsidRPr="00D5464D">
        <w:rPr>
          <w:lang w:val="pt-BR"/>
        </w:rPr>
        <w:t xml:space="preserve"> se</w:t>
      </w:r>
      <w:r w:rsidRPr="00D5464D">
        <w:rPr>
          <w:lang w:val="pt-BR"/>
        </w:rPr>
        <w:t xml:space="preserve">ja exigido </w:t>
      </w:r>
      <w:r w:rsidR="00207197" w:rsidRPr="00D5464D">
        <w:rPr>
          <w:lang w:val="pt-BR"/>
        </w:rPr>
        <w:t>“</w:t>
      </w:r>
      <w:r w:rsidRPr="00D5464D">
        <w:rPr>
          <w:lang w:val="pt-BR"/>
        </w:rPr>
        <w:t xml:space="preserve">sob </w:t>
      </w:r>
      <w:r w:rsidR="00470ADC" w:rsidRPr="00D5464D">
        <w:rPr>
          <w:lang w:val="pt-BR"/>
        </w:rPr>
        <w:t>ameaça</w:t>
      </w:r>
      <w:r w:rsidR="00207197" w:rsidRPr="00D5464D">
        <w:rPr>
          <w:lang w:val="pt-BR"/>
        </w:rPr>
        <w:t xml:space="preserve"> de</w:t>
      </w:r>
      <w:r w:rsidR="00E045D9" w:rsidRPr="00D5464D">
        <w:rPr>
          <w:lang w:val="pt-BR"/>
        </w:rPr>
        <w:t xml:space="preserve"> uma </w:t>
      </w:r>
      <w:r w:rsidR="00207197" w:rsidRPr="00D5464D">
        <w:rPr>
          <w:lang w:val="pt-BR"/>
        </w:rPr>
        <w:t>pena”</w:t>
      </w:r>
      <w:r w:rsidR="00470ADC" w:rsidRPr="00D5464D">
        <w:rPr>
          <w:lang w:val="pt-BR"/>
        </w:rPr>
        <w:t xml:space="preserve"> e</w:t>
      </w:r>
      <w:r w:rsidR="00207197" w:rsidRPr="00D5464D">
        <w:rPr>
          <w:lang w:val="pt-BR"/>
        </w:rPr>
        <w:t xml:space="preserve"> que</w:t>
      </w:r>
      <w:r w:rsidR="00470ADC" w:rsidRPr="00D5464D">
        <w:rPr>
          <w:lang w:val="pt-BR"/>
        </w:rPr>
        <w:t xml:space="preserve"> </w:t>
      </w:r>
      <w:r w:rsidRPr="00D5464D">
        <w:rPr>
          <w:lang w:val="pt-BR"/>
        </w:rPr>
        <w:t xml:space="preserve">sejam realizados </w:t>
      </w:r>
      <w:r w:rsidR="00207197" w:rsidRPr="00D5464D">
        <w:rPr>
          <w:lang w:val="pt-BR"/>
        </w:rPr>
        <w:t>de forma in</w:t>
      </w:r>
      <w:r w:rsidR="00737270" w:rsidRPr="00D5464D">
        <w:rPr>
          <w:lang w:val="pt-BR"/>
        </w:rPr>
        <w:t>voluntári</w:t>
      </w:r>
      <w:r w:rsidR="00207197" w:rsidRPr="00D5464D">
        <w:rPr>
          <w:lang w:val="pt-BR"/>
        </w:rPr>
        <w:t>a</w:t>
      </w:r>
      <w:r w:rsidRPr="00D5464D">
        <w:rPr>
          <w:lang w:val="pt-BR"/>
        </w:rPr>
        <w:t>.</w:t>
      </w:r>
      <w:r w:rsidR="00207197" w:rsidRPr="00D5464D">
        <w:rPr>
          <w:rStyle w:val="Refdenotaalpie"/>
          <w:lang w:val="pt-BR"/>
        </w:rPr>
        <w:footnoteReference w:id="440"/>
      </w:r>
      <w:r w:rsidR="00207197" w:rsidRPr="00D5464D">
        <w:rPr>
          <w:lang w:val="pt-BR"/>
        </w:rPr>
        <w:t xml:space="preserve"> </w:t>
      </w:r>
      <w:r w:rsidR="00350187" w:rsidRPr="00D5464D">
        <w:rPr>
          <w:lang w:val="pt-BR"/>
        </w:rPr>
        <w:t xml:space="preserve">Além disso, </w:t>
      </w:r>
      <w:r w:rsidRPr="00D5464D">
        <w:rPr>
          <w:lang w:val="pt-BR"/>
        </w:rPr>
        <w:t>di</w:t>
      </w:r>
      <w:r w:rsidR="00207197" w:rsidRPr="00D5464D">
        <w:rPr>
          <w:lang w:val="pt-BR"/>
        </w:rPr>
        <w:t>ante</w:t>
      </w:r>
      <w:r w:rsidR="002C330E" w:rsidRPr="00D5464D">
        <w:rPr>
          <w:lang w:val="pt-BR"/>
        </w:rPr>
        <w:t xml:space="preserve"> </w:t>
      </w:r>
      <w:r w:rsidRPr="00D5464D">
        <w:rPr>
          <w:lang w:val="pt-BR"/>
        </w:rPr>
        <w:t>d</w:t>
      </w:r>
      <w:r w:rsidR="002C330E" w:rsidRPr="00D5464D">
        <w:rPr>
          <w:lang w:val="pt-BR"/>
        </w:rPr>
        <w:t xml:space="preserve">as </w:t>
      </w:r>
      <w:r w:rsidR="00470ADC" w:rsidRPr="00D5464D">
        <w:rPr>
          <w:lang w:val="pt-BR"/>
        </w:rPr>
        <w:t>circunstâncias</w:t>
      </w:r>
      <w:r w:rsidR="00207197" w:rsidRPr="00D5464D">
        <w:rPr>
          <w:lang w:val="pt-BR"/>
        </w:rPr>
        <w:t xml:space="preserve"> </w:t>
      </w:r>
      <w:r w:rsidR="00470ADC" w:rsidRPr="00D5464D">
        <w:rPr>
          <w:lang w:val="pt-BR"/>
        </w:rPr>
        <w:t>d</w:t>
      </w:r>
      <w:r w:rsidRPr="00D5464D">
        <w:rPr>
          <w:lang w:val="pt-BR"/>
        </w:rPr>
        <w:t>aquele</w:t>
      </w:r>
      <w:r w:rsidR="00470ADC" w:rsidRPr="00D5464D">
        <w:rPr>
          <w:lang w:val="pt-BR"/>
        </w:rPr>
        <w:t xml:space="preserve"> </w:t>
      </w:r>
      <w:r w:rsidR="00207197" w:rsidRPr="00D5464D">
        <w:rPr>
          <w:lang w:val="pt-BR"/>
        </w:rPr>
        <w:t>caso,</w:t>
      </w:r>
      <w:r w:rsidR="00470ADC" w:rsidRPr="00D5464D">
        <w:rPr>
          <w:lang w:val="pt-BR"/>
        </w:rPr>
        <w:t xml:space="preserve"> o </w:t>
      </w:r>
      <w:r w:rsidR="00207197" w:rsidRPr="00D5464D">
        <w:rPr>
          <w:lang w:val="pt-BR"/>
        </w:rPr>
        <w:t xml:space="preserve">Tribunal </w:t>
      </w:r>
      <w:r w:rsidR="00470ADC" w:rsidRPr="00D5464D">
        <w:rPr>
          <w:lang w:val="pt-BR"/>
        </w:rPr>
        <w:t>considerou</w:t>
      </w:r>
      <w:r w:rsidR="00207197" w:rsidRPr="00D5464D">
        <w:rPr>
          <w:lang w:val="pt-BR"/>
        </w:rPr>
        <w:t xml:space="preserve"> que</w:t>
      </w:r>
      <w:r w:rsidRPr="00D5464D">
        <w:rPr>
          <w:lang w:val="pt-BR"/>
        </w:rPr>
        <w:t>,</w:t>
      </w:r>
      <w:r w:rsidR="00207197" w:rsidRPr="00D5464D">
        <w:rPr>
          <w:lang w:val="pt-BR"/>
        </w:rPr>
        <w:t xml:space="preserve"> para </w:t>
      </w:r>
      <w:r w:rsidRPr="00D5464D">
        <w:rPr>
          <w:lang w:val="pt-BR"/>
        </w:rPr>
        <w:t xml:space="preserve">a caracterização de </w:t>
      </w:r>
      <w:r w:rsidR="00E045D9" w:rsidRPr="00D5464D">
        <w:rPr>
          <w:lang w:val="pt-BR"/>
        </w:rPr>
        <w:t xml:space="preserve">uma </w:t>
      </w:r>
      <w:r w:rsidR="00207197" w:rsidRPr="00D5464D">
        <w:rPr>
          <w:lang w:val="pt-BR"/>
        </w:rPr>
        <w:t>viola</w:t>
      </w:r>
      <w:r w:rsidR="00470ADC" w:rsidRPr="00D5464D">
        <w:rPr>
          <w:lang w:val="pt-BR"/>
        </w:rPr>
        <w:t>ção</w:t>
      </w:r>
      <w:r w:rsidR="00207197" w:rsidRPr="00D5464D">
        <w:rPr>
          <w:lang w:val="pt-BR"/>
        </w:rPr>
        <w:t xml:space="preserve"> </w:t>
      </w:r>
      <w:r w:rsidR="00470ADC" w:rsidRPr="00D5464D">
        <w:rPr>
          <w:lang w:val="pt-BR"/>
        </w:rPr>
        <w:t>do artigo</w:t>
      </w:r>
      <w:r w:rsidR="00207197" w:rsidRPr="00D5464D">
        <w:rPr>
          <w:lang w:val="pt-BR"/>
        </w:rPr>
        <w:t xml:space="preserve"> 6.2</w:t>
      </w:r>
      <w:r w:rsidR="00470ADC" w:rsidRPr="00D5464D">
        <w:rPr>
          <w:lang w:val="pt-BR"/>
        </w:rPr>
        <w:t xml:space="preserve"> da </w:t>
      </w:r>
      <w:r w:rsidR="00207197" w:rsidRPr="00D5464D">
        <w:rPr>
          <w:lang w:val="pt-BR"/>
        </w:rPr>
        <w:t>Conven</w:t>
      </w:r>
      <w:r w:rsidR="00470ADC" w:rsidRPr="00D5464D">
        <w:rPr>
          <w:lang w:val="pt-BR"/>
        </w:rPr>
        <w:t>ção</w:t>
      </w:r>
      <w:r w:rsidR="00207197" w:rsidRPr="00D5464D">
        <w:rPr>
          <w:lang w:val="pt-BR"/>
        </w:rPr>
        <w:t xml:space="preserve"> </w:t>
      </w:r>
      <w:r w:rsidR="00E045D9" w:rsidRPr="00D5464D">
        <w:rPr>
          <w:lang w:val="pt-BR"/>
        </w:rPr>
        <w:t xml:space="preserve">seria </w:t>
      </w:r>
      <w:r w:rsidR="002C330E" w:rsidRPr="00D5464D">
        <w:rPr>
          <w:lang w:val="pt-BR"/>
        </w:rPr>
        <w:t>necessári</w:t>
      </w:r>
      <w:r w:rsidR="00207197" w:rsidRPr="00D5464D">
        <w:rPr>
          <w:lang w:val="pt-BR"/>
        </w:rPr>
        <w:t>o que</w:t>
      </w:r>
      <w:r w:rsidR="002C330E" w:rsidRPr="00D5464D">
        <w:rPr>
          <w:lang w:val="pt-BR"/>
        </w:rPr>
        <w:t xml:space="preserve"> a suposta</w:t>
      </w:r>
      <w:r w:rsidR="00207197" w:rsidRPr="00D5464D">
        <w:rPr>
          <w:lang w:val="pt-BR"/>
        </w:rPr>
        <w:t xml:space="preserve"> viola</w:t>
      </w:r>
      <w:r w:rsidR="00470ADC" w:rsidRPr="00D5464D">
        <w:rPr>
          <w:lang w:val="pt-BR"/>
        </w:rPr>
        <w:t>ção</w:t>
      </w:r>
      <w:r w:rsidR="002C330E" w:rsidRPr="00D5464D">
        <w:rPr>
          <w:lang w:val="pt-BR"/>
        </w:rPr>
        <w:t xml:space="preserve"> </w:t>
      </w:r>
      <w:r w:rsidRPr="00D5464D">
        <w:rPr>
          <w:lang w:val="pt-BR"/>
        </w:rPr>
        <w:t xml:space="preserve">fosse </w:t>
      </w:r>
      <w:r w:rsidR="00230C71" w:rsidRPr="00D5464D">
        <w:rPr>
          <w:lang w:val="pt-BR"/>
        </w:rPr>
        <w:t>atribuível</w:t>
      </w:r>
      <w:r w:rsidR="00207197" w:rsidRPr="00D5464D">
        <w:rPr>
          <w:lang w:val="pt-BR"/>
        </w:rPr>
        <w:t xml:space="preserve"> a agentes </w:t>
      </w:r>
      <w:r w:rsidR="00470ADC" w:rsidRPr="00D5464D">
        <w:rPr>
          <w:lang w:val="pt-BR"/>
        </w:rPr>
        <w:t xml:space="preserve">do </w:t>
      </w:r>
      <w:r w:rsidR="00207197" w:rsidRPr="00D5464D">
        <w:rPr>
          <w:lang w:val="pt-BR"/>
        </w:rPr>
        <w:t>Estado</w:t>
      </w:r>
      <w:r w:rsidR="00470ADC" w:rsidRPr="00D5464D">
        <w:rPr>
          <w:lang w:val="pt-BR"/>
        </w:rPr>
        <w:t>,</w:t>
      </w:r>
      <w:r w:rsidR="00737270" w:rsidRPr="00D5464D">
        <w:rPr>
          <w:lang w:val="pt-BR"/>
        </w:rPr>
        <w:t xml:space="preserve"> </w:t>
      </w:r>
      <w:r w:rsidR="002C330E" w:rsidRPr="00D5464D">
        <w:rPr>
          <w:lang w:val="pt-BR"/>
        </w:rPr>
        <w:t xml:space="preserve">seja </w:t>
      </w:r>
      <w:r w:rsidR="00207197" w:rsidRPr="00D5464D">
        <w:rPr>
          <w:lang w:val="pt-BR"/>
        </w:rPr>
        <w:t xml:space="preserve">por </w:t>
      </w:r>
      <w:r w:rsidR="002C330E" w:rsidRPr="00D5464D">
        <w:rPr>
          <w:lang w:val="pt-BR"/>
        </w:rPr>
        <w:t xml:space="preserve">meio </w:t>
      </w:r>
      <w:r w:rsidR="00470ADC" w:rsidRPr="00D5464D">
        <w:rPr>
          <w:lang w:val="pt-BR"/>
        </w:rPr>
        <w:t>d</w:t>
      </w:r>
      <w:r w:rsidRPr="00D5464D">
        <w:rPr>
          <w:lang w:val="pt-BR"/>
        </w:rPr>
        <w:t xml:space="preserve">e sua </w:t>
      </w:r>
      <w:r w:rsidR="00207197" w:rsidRPr="00D5464D">
        <w:rPr>
          <w:lang w:val="pt-BR"/>
        </w:rPr>
        <w:t>participa</w:t>
      </w:r>
      <w:r w:rsidR="00470ADC" w:rsidRPr="00D5464D">
        <w:rPr>
          <w:lang w:val="pt-BR"/>
        </w:rPr>
        <w:t>ção</w:t>
      </w:r>
      <w:r w:rsidR="00207197" w:rsidRPr="00D5464D">
        <w:rPr>
          <w:lang w:val="pt-BR"/>
        </w:rPr>
        <w:t xml:space="preserve"> </w:t>
      </w:r>
      <w:r w:rsidR="00470ADC" w:rsidRPr="00D5464D">
        <w:rPr>
          <w:lang w:val="pt-BR"/>
        </w:rPr>
        <w:t>diret</w:t>
      </w:r>
      <w:r w:rsidR="00207197" w:rsidRPr="00D5464D">
        <w:rPr>
          <w:lang w:val="pt-BR"/>
        </w:rPr>
        <w:t xml:space="preserve">a </w:t>
      </w:r>
      <w:r w:rsidRPr="00D5464D">
        <w:rPr>
          <w:lang w:val="pt-BR"/>
        </w:rPr>
        <w:t xml:space="preserve">ou </w:t>
      </w:r>
      <w:r w:rsidR="00207197" w:rsidRPr="00D5464D">
        <w:rPr>
          <w:lang w:val="pt-BR"/>
        </w:rPr>
        <w:t xml:space="preserve">por </w:t>
      </w:r>
      <w:r w:rsidR="00E045D9" w:rsidRPr="00D5464D">
        <w:rPr>
          <w:lang w:val="pt-BR"/>
        </w:rPr>
        <w:t xml:space="preserve">sua aquiescência </w:t>
      </w:r>
      <w:r w:rsidRPr="00D5464D">
        <w:rPr>
          <w:lang w:val="pt-BR"/>
        </w:rPr>
        <w:t xml:space="preserve">em relação aos </w:t>
      </w:r>
      <w:r w:rsidR="002C330E" w:rsidRPr="00D5464D">
        <w:rPr>
          <w:lang w:val="pt-BR"/>
        </w:rPr>
        <w:t>fatos</w:t>
      </w:r>
      <w:r w:rsidRPr="00D5464D">
        <w:rPr>
          <w:lang w:val="pt-BR"/>
        </w:rPr>
        <w:t>.</w:t>
      </w:r>
      <w:r w:rsidR="00207197" w:rsidRPr="00D5464D">
        <w:rPr>
          <w:rStyle w:val="Refdenotaalpie"/>
          <w:lang w:val="pt-BR"/>
        </w:rPr>
        <w:footnoteReference w:id="441"/>
      </w:r>
      <w:r w:rsidR="00A1358C" w:rsidRPr="00D5464D">
        <w:rPr>
          <w:lang w:val="pt-BR"/>
        </w:rPr>
        <w:t xml:space="preserve"> A </w:t>
      </w:r>
      <w:r w:rsidR="00207197" w:rsidRPr="00D5464D">
        <w:rPr>
          <w:lang w:val="pt-BR"/>
        </w:rPr>
        <w:t xml:space="preserve">Corte </w:t>
      </w:r>
      <w:r w:rsidR="00470ADC" w:rsidRPr="00D5464D">
        <w:rPr>
          <w:lang w:val="pt-BR"/>
        </w:rPr>
        <w:t>analisar</w:t>
      </w:r>
      <w:r w:rsidR="00B27F8A" w:rsidRPr="00D5464D">
        <w:rPr>
          <w:lang w:val="pt-BR"/>
        </w:rPr>
        <w:t>á</w:t>
      </w:r>
      <w:r w:rsidR="002C330E" w:rsidRPr="00D5464D">
        <w:rPr>
          <w:lang w:val="pt-BR"/>
        </w:rPr>
        <w:t xml:space="preserve"> os fatos</w:t>
      </w:r>
      <w:r w:rsidR="00207197" w:rsidRPr="00D5464D">
        <w:rPr>
          <w:lang w:val="pt-BR"/>
        </w:rPr>
        <w:t xml:space="preserve"> </w:t>
      </w:r>
      <w:r w:rsidR="00470ADC" w:rsidRPr="00D5464D">
        <w:rPr>
          <w:lang w:val="pt-BR"/>
        </w:rPr>
        <w:t xml:space="preserve">do </w:t>
      </w:r>
      <w:r w:rsidR="00207197" w:rsidRPr="00D5464D">
        <w:rPr>
          <w:lang w:val="pt-BR"/>
        </w:rPr>
        <w:t>presente caso</w:t>
      </w:r>
      <w:r w:rsidR="00470ADC" w:rsidRPr="00D5464D">
        <w:rPr>
          <w:lang w:val="pt-BR"/>
        </w:rPr>
        <w:t xml:space="preserve"> à </w:t>
      </w:r>
      <w:r w:rsidR="00207197" w:rsidRPr="00D5464D">
        <w:rPr>
          <w:lang w:val="pt-BR"/>
        </w:rPr>
        <w:t xml:space="preserve">luz </w:t>
      </w:r>
      <w:r w:rsidR="00E045D9" w:rsidRPr="00D5464D">
        <w:rPr>
          <w:lang w:val="pt-BR"/>
        </w:rPr>
        <w:t>deste</w:t>
      </w:r>
      <w:r w:rsidR="00470ADC" w:rsidRPr="00D5464D">
        <w:rPr>
          <w:lang w:val="pt-BR"/>
        </w:rPr>
        <w:t>s</w:t>
      </w:r>
      <w:r w:rsidR="00E045D9" w:rsidRPr="00D5464D">
        <w:rPr>
          <w:lang w:val="pt-BR"/>
        </w:rPr>
        <w:t xml:space="preserve"> três </w:t>
      </w:r>
      <w:r w:rsidR="00207197" w:rsidRPr="00D5464D">
        <w:rPr>
          <w:lang w:val="pt-BR"/>
        </w:rPr>
        <w:t xml:space="preserve">elementos de </w:t>
      </w:r>
      <w:r w:rsidR="002C330E" w:rsidRPr="00D5464D">
        <w:rPr>
          <w:lang w:val="pt-BR"/>
        </w:rPr>
        <w:t>juízo</w:t>
      </w:r>
      <w:r w:rsidR="00207197" w:rsidRPr="00D5464D">
        <w:rPr>
          <w:lang w:val="pt-BR"/>
        </w:rPr>
        <w:t>.</w:t>
      </w:r>
    </w:p>
    <w:p w14:paraId="61FE6B16" w14:textId="77777777" w:rsidR="00207197" w:rsidRPr="00D5464D" w:rsidRDefault="00207197" w:rsidP="00140440">
      <w:pPr>
        <w:jc w:val="both"/>
        <w:rPr>
          <w:lang w:val="pt-BR"/>
        </w:rPr>
      </w:pPr>
    </w:p>
    <w:p w14:paraId="785F1636" w14:textId="6D6FFFCC" w:rsidR="00207197" w:rsidRPr="00D5464D" w:rsidRDefault="003B75DB" w:rsidP="00F37DC4">
      <w:pPr>
        <w:pStyle w:val="Prrafodelista"/>
        <w:numPr>
          <w:ilvl w:val="0"/>
          <w:numId w:val="1"/>
        </w:numPr>
        <w:contextualSpacing w:val="0"/>
        <w:rPr>
          <w:lang w:val="pt-BR"/>
        </w:rPr>
      </w:pPr>
      <w:r w:rsidRPr="00D5464D">
        <w:rPr>
          <w:lang w:val="pt-BR"/>
        </w:rPr>
        <w:t xml:space="preserve">No tocante </w:t>
      </w:r>
      <w:r w:rsidR="00470ADC" w:rsidRPr="00D5464D">
        <w:rPr>
          <w:lang w:val="pt-BR"/>
        </w:rPr>
        <w:t xml:space="preserve">à </w:t>
      </w:r>
      <w:r w:rsidR="00207197" w:rsidRPr="00D5464D">
        <w:rPr>
          <w:lang w:val="pt-BR"/>
        </w:rPr>
        <w:t>“</w:t>
      </w:r>
      <w:r w:rsidR="00470ADC" w:rsidRPr="00D5464D">
        <w:rPr>
          <w:lang w:val="pt-BR"/>
        </w:rPr>
        <w:t>ameaça</w:t>
      </w:r>
      <w:r w:rsidR="00207197" w:rsidRPr="00D5464D">
        <w:rPr>
          <w:lang w:val="pt-BR"/>
        </w:rPr>
        <w:t xml:space="preserve"> de</w:t>
      </w:r>
      <w:r w:rsidR="00E045D9" w:rsidRPr="00D5464D">
        <w:rPr>
          <w:lang w:val="pt-BR"/>
        </w:rPr>
        <w:t xml:space="preserve"> uma </w:t>
      </w:r>
      <w:r w:rsidR="00207197" w:rsidRPr="00D5464D">
        <w:rPr>
          <w:lang w:val="pt-BR"/>
        </w:rPr>
        <w:t xml:space="preserve">pena”, </w:t>
      </w:r>
      <w:r w:rsidRPr="00D5464D">
        <w:rPr>
          <w:lang w:val="pt-BR"/>
        </w:rPr>
        <w:t xml:space="preserve">esta </w:t>
      </w:r>
      <w:r w:rsidR="002C330E" w:rsidRPr="00D5464D">
        <w:rPr>
          <w:lang w:val="pt-BR"/>
        </w:rPr>
        <w:t>pode</w:t>
      </w:r>
      <w:r w:rsidR="00207197" w:rsidRPr="00D5464D">
        <w:rPr>
          <w:lang w:val="pt-BR"/>
        </w:rPr>
        <w:t xml:space="preserve"> consistir, entre </w:t>
      </w:r>
      <w:r w:rsidR="002C330E" w:rsidRPr="00D5464D">
        <w:rPr>
          <w:lang w:val="pt-BR"/>
        </w:rPr>
        <w:t>outros</w:t>
      </w:r>
      <w:r w:rsidR="00207197" w:rsidRPr="00D5464D">
        <w:rPr>
          <w:lang w:val="pt-BR"/>
        </w:rPr>
        <w:t>,</w:t>
      </w:r>
      <w:r w:rsidR="00E045D9" w:rsidRPr="00D5464D">
        <w:rPr>
          <w:lang w:val="pt-BR"/>
        </w:rPr>
        <w:t xml:space="preserve"> na </w:t>
      </w:r>
      <w:r w:rsidR="002C330E" w:rsidRPr="00D5464D">
        <w:rPr>
          <w:lang w:val="pt-BR"/>
        </w:rPr>
        <w:t xml:space="preserve">presença </w:t>
      </w:r>
      <w:r w:rsidR="00207197" w:rsidRPr="00D5464D">
        <w:rPr>
          <w:lang w:val="pt-BR"/>
        </w:rPr>
        <w:t>real</w:t>
      </w:r>
      <w:r w:rsidR="00E045D9" w:rsidRPr="00D5464D">
        <w:rPr>
          <w:lang w:val="pt-BR"/>
        </w:rPr>
        <w:t xml:space="preserve"> e </w:t>
      </w:r>
      <w:r w:rsidR="000B2B14" w:rsidRPr="00D5464D">
        <w:rPr>
          <w:lang w:val="pt-BR"/>
        </w:rPr>
        <w:t>iminente</w:t>
      </w:r>
      <w:r w:rsidR="00207197" w:rsidRPr="00D5464D">
        <w:rPr>
          <w:lang w:val="pt-BR"/>
        </w:rPr>
        <w:t xml:space="preserve"> de</w:t>
      </w:r>
      <w:r w:rsidR="00E045D9" w:rsidRPr="00D5464D">
        <w:rPr>
          <w:lang w:val="pt-BR"/>
        </w:rPr>
        <w:t xml:space="preserve"> </w:t>
      </w:r>
      <w:r w:rsidR="00207197" w:rsidRPr="00D5464D">
        <w:rPr>
          <w:lang w:val="pt-BR"/>
        </w:rPr>
        <w:t>intimida</w:t>
      </w:r>
      <w:r w:rsidR="00470ADC" w:rsidRPr="00D5464D">
        <w:rPr>
          <w:lang w:val="pt-BR"/>
        </w:rPr>
        <w:t>ção</w:t>
      </w:r>
      <w:r w:rsidR="00207197" w:rsidRPr="00D5464D">
        <w:rPr>
          <w:lang w:val="pt-BR"/>
        </w:rPr>
        <w:t xml:space="preserve">, que </w:t>
      </w:r>
      <w:r w:rsidR="002C330E" w:rsidRPr="00D5464D">
        <w:rPr>
          <w:lang w:val="pt-BR"/>
        </w:rPr>
        <w:t>pode</w:t>
      </w:r>
      <w:r w:rsidR="00207197" w:rsidRPr="00D5464D">
        <w:rPr>
          <w:lang w:val="pt-BR"/>
        </w:rPr>
        <w:t xml:space="preserve"> </w:t>
      </w:r>
      <w:r w:rsidR="00470ADC" w:rsidRPr="00D5464D">
        <w:rPr>
          <w:lang w:val="pt-BR"/>
        </w:rPr>
        <w:t>assumir</w:t>
      </w:r>
      <w:r w:rsidR="00207197" w:rsidRPr="00D5464D">
        <w:rPr>
          <w:lang w:val="pt-BR"/>
        </w:rPr>
        <w:t xml:space="preserve"> formas</w:t>
      </w:r>
      <w:r w:rsidR="00E045D9" w:rsidRPr="00D5464D">
        <w:rPr>
          <w:lang w:val="pt-BR"/>
        </w:rPr>
        <w:t xml:space="preserve"> e </w:t>
      </w:r>
      <w:r w:rsidR="00207197" w:rsidRPr="00D5464D">
        <w:rPr>
          <w:lang w:val="pt-BR"/>
        </w:rPr>
        <w:t>gradua</w:t>
      </w:r>
      <w:r w:rsidR="00470ADC" w:rsidRPr="00D5464D">
        <w:rPr>
          <w:lang w:val="pt-BR"/>
        </w:rPr>
        <w:t>ções</w:t>
      </w:r>
      <w:r w:rsidR="00207197" w:rsidRPr="00D5464D">
        <w:rPr>
          <w:lang w:val="pt-BR"/>
        </w:rPr>
        <w:t xml:space="preserve"> </w:t>
      </w:r>
      <w:r w:rsidR="00230C71" w:rsidRPr="00D5464D">
        <w:rPr>
          <w:lang w:val="pt-BR"/>
        </w:rPr>
        <w:t>heterogêne</w:t>
      </w:r>
      <w:r w:rsidR="00207197" w:rsidRPr="00D5464D">
        <w:rPr>
          <w:lang w:val="pt-BR"/>
        </w:rPr>
        <w:t>as,</w:t>
      </w:r>
      <w:r w:rsidR="00470ADC" w:rsidRPr="00D5464D">
        <w:rPr>
          <w:lang w:val="pt-BR"/>
        </w:rPr>
        <w:t xml:space="preserve"> das quais</w:t>
      </w:r>
      <w:r w:rsidR="002C330E" w:rsidRPr="00D5464D">
        <w:rPr>
          <w:lang w:val="pt-BR"/>
        </w:rPr>
        <w:t xml:space="preserve"> as mais </w:t>
      </w:r>
      <w:r w:rsidR="00207197" w:rsidRPr="00D5464D">
        <w:rPr>
          <w:lang w:val="pt-BR"/>
        </w:rPr>
        <w:t>extremas</w:t>
      </w:r>
      <w:r w:rsidR="002C330E" w:rsidRPr="00D5464D">
        <w:rPr>
          <w:lang w:val="pt-BR"/>
        </w:rPr>
        <w:t xml:space="preserve"> são </w:t>
      </w:r>
      <w:r w:rsidR="00470ADC" w:rsidRPr="00D5464D">
        <w:rPr>
          <w:lang w:val="pt-BR"/>
        </w:rPr>
        <w:t>aquelas</w:t>
      </w:r>
      <w:r w:rsidR="00207197" w:rsidRPr="00D5464D">
        <w:rPr>
          <w:lang w:val="pt-BR"/>
        </w:rPr>
        <w:t xml:space="preserve"> que </w:t>
      </w:r>
      <w:r w:rsidRPr="00D5464D">
        <w:rPr>
          <w:lang w:val="pt-BR"/>
        </w:rPr>
        <w:t xml:space="preserve">representam </w:t>
      </w:r>
      <w:r w:rsidR="00207197" w:rsidRPr="00D5464D">
        <w:rPr>
          <w:lang w:val="pt-BR"/>
        </w:rPr>
        <w:t>co</w:t>
      </w:r>
      <w:r w:rsidR="00737270" w:rsidRPr="00D5464D">
        <w:rPr>
          <w:lang w:val="pt-BR"/>
        </w:rPr>
        <w:t>ação</w:t>
      </w:r>
      <w:r w:rsidR="00207197" w:rsidRPr="00D5464D">
        <w:rPr>
          <w:lang w:val="pt-BR"/>
        </w:rPr>
        <w:t xml:space="preserve">, </w:t>
      </w:r>
      <w:r w:rsidR="00E045D9" w:rsidRPr="00D5464D">
        <w:rPr>
          <w:lang w:val="pt-BR"/>
        </w:rPr>
        <w:t>violência</w:t>
      </w:r>
      <w:r w:rsidR="00207197" w:rsidRPr="00D5464D">
        <w:rPr>
          <w:lang w:val="pt-BR"/>
        </w:rPr>
        <w:t xml:space="preserve"> física, </w:t>
      </w:r>
      <w:r w:rsidR="00470ADC" w:rsidRPr="00D5464D">
        <w:rPr>
          <w:lang w:val="pt-BR"/>
        </w:rPr>
        <w:t>isolamento</w:t>
      </w:r>
      <w:r w:rsidR="00207197" w:rsidRPr="00D5464D">
        <w:rPr>
          <w:lang w:val="pt-BR"/>
        </w:rPr>
        <w:t xml:space="preserve"> o</w:t>
      </w:r>
      <w:r w:rsidRPr="00D5464D">
        <w:rPr>
          <w:lang w:val="pt-BR"/>
        </w:rPr>
        <w:t>u</w:t>
      </w:r>
      <w:r w:rsidR="00207197" w:rsidRPr="00D5464D">
        <w:rPr>
          <w:lang w:val="pt-BR"/>
        </w:rPr>
        <w:t xml:space="preserve"> confina</w:t>
      </w:r>
      <w:r w:rsidRPr="00D5464D">
        <w:rPr>
          <w:lang w:val="pt-BR"/>
        </w:rPr>
        <w:t>mento</w:t>
      </w:r>
      <w:r w:rsidR="00207197" w:rsidRPr="00D5464D">
        <w:rPr>
          <w:lang w:val="pt-BR"/>
        </w:rPr>
        <w:t xml:space="preserve">, </w:t>
      </w:r>
      <w:r w:rsidRPr="00D5464D">
        <w:rPr>
          <w:lang w:val="pt-BR"/>
        </w:rPr>
        <w:t xml:space="preserve">bem </w:t>
      </w:r>
      <w:r w:rsidR="00207197" w:rsidRPr="00D5464D">
        <w:rPr>
          <w:lang w:val="pt-BR"/>
        </w:rPr>
        <w:t>como</w:t>
      </w:r>
      <w:r w:rsidR="002C330E" w:rsidRPr="00D5464D">
        <w:rPr>
          <w:lang w:val="pt-BR"/>
        </w:rPr>
        <w:t xml:space="preserve"> a </w:t>
      </w:r>
      <w:r w:rsidR="00470ADC" w:rsidRPr="00D5464D">
        <w:rPr>
          <w:lang w:val="pt-BR"/>
        </w:rPr>
        <w:t>ameaça</w:t>
      </w:r>
      <w:r w:rsidR="00207197" w:rsidRPr="00D5464D">
        <w:rPr>
          <w:lang w:val="pt-BR"/>
        </w:rPr>
        <w:t xml:space="preserve"> de </w:t>
      </w:r>
      <w:r w:rsidR="002C330E" w:rsidRPr="00D5464D">
        <w:rPr>
          <w:lang w:val="pt-BR"/>
        </w:rPr>
        <w:t>morte</w:t>
      </w:r>
      <w:r w:rsidR="00207197" w:rsidRPr="00D5464D">
        <w:rPr>
          <w:lang w:val="pt-BR"/>
        </w:rPr>
        <w:t xml:space="preserve"> dirigida</w:t>
      </w:r>
      <w:r w:rsidR="00470ADC" w:rsidRPr="00D5464D">
        <w:rPr>
          <w:lang w:val="pt-BR"/>
        </w:rPr>
        <w:t xml:space="preserve"> à </w:t>
      </w:r>
      <w:r w:rsidR="00E045D9" w:rsidRPr="00D5464D">
        <w:rPr>
          <w:lang w:val="pt-BR"/>
        </w:rPr>
        <w:t>vítima</w:t>
      </w:r>
      <w:r w:rsidR="00207197" w:rsidRPr="00D5464D">
        <w:rPr>
          <w:lang w:val="pt-BR"/>
        </w:rPr>
        <w:t xml:space="preserve"> o</w:t>
      </w:r>
      <w:r w:rsidRPr="00D5464D">
        <w:rPr>
          <w:lang w:val="pt-BR"/>
        </w:rPr>
        <w:t>u</w:t>
      </w:r>
      <w:r w:rsidR="00207197" w:rsidRPr="00D5464D">
        <w:rPr>
          <w:lang w:val="pt-BR"/>
        </w:rPr>
        <w:t xml:space="preserve"> a </w:t>
      </w:r>
      <w:r w:rsidR="00E045D9" w:rsidRPr="00D5464D">
        <w:rPr>
          <w:lang w:val="pt-BR"/>
        </w:rPr>
        <w:t>seus familiares</w:t>
      </w:r>
      <w:r w:rsidRPr="00D5464D">
        <w:rPr>
          <w:lang w:val="pt-BR"/>
        </w:rPr>
        <w:t>.</w:t>
      </w:r>
      <w:r w:rsidR="00207197" w:rsidRPr="00D5464D">
        <w:rPr>
          <w:vertAlign w:val="superscript"/>
          <w:lang w:val="pt-BR"/>
        </w:rPr>
        <w:footnoteReference w:id="442"/>
      </w:r>
      <w:r w:rsidR="00E045D9" w:rsidRPr="00D5464D">
        <w:rPr>
          <w:lang w:val="pt-BR"/>
        </w:rPr>
        <w:t xml:space="preserve"> </w:t>
      </w:r>
      <w:r w:rsidRPr="00D5464D">
        <w:rPr>
          <w:lang w:val="pt-BR"/>
        </w:rPr>
        <w:t xml:space="preserve">E </w:t>
      </w:r>
      <w:r w:rsidR="00E045D9" w:rsidRPr="00D5464D">
        <w:rPr>
          <w:lang w:val="pt-BR"/>
        </w:rPr>
        <w:t xml:space="preserve">no </w:t>
      </w:r>
      <w:r w:rsidR="002C330E" w:rsidRPr="00D5464D">
        <w:rPr>
          <w:lang w:val="pt-BR"/>
        </w:rPr>
        <w:t xml:space="preserve">que </w:t>
      </w:r>
      <w:r w:rsidRPr="00D5464D">
        <w:rPr>
          <w:lang w:val="pt-BR"/>
        </w:rPr>
        <w:t xml:space="preserve">se refere </w:t>
      </w:r>
      <w:r w:rsidR="00470ADC" w:rsidRPr="00D5464D">
        <w:rPr>
          <w:lang w:val="pt-BR"/>
        </w:rPr>
        <w:t xml:space="preserve">à </w:t>
      </w:r>
      <w:r w:rsidR="00207197" w:rsidRPr="00D5464D">
        <w:rPr>
          <w:lang w:val="pt-BR"/>
        </w:rPr>
        <w:t xml:space="preserve">“falta de </w:t>
      </w:r>
      <w:r w:rsidR="00E045D9" w:rsidRPr="00D5464D">
        <w:rPr>
          <w:lang w:val="pt-BR"/>
        </w:rPr>
        <w:t xml:space="preserve">vontade </w:t>
      </w:r>
      <w:r w:rsidR="00207197" w:rsidRPr="00D5464D">
        <w:rPr>
          <w:lang w:val="pt-BR"/>
        </w:rPr>
        <w:t>para realizar</w:t>
      </w:r>
      <w:r w:rsidR="00470ADC" w:rsidRPr="00D5464D">
        <w:rPr>
          <w:lang w:val="pt-BR"/>
        </w:rPr>
        <w:t xml:space="preserve"> o </w:t>
      </w:r>
      <w:r w:rsidR="00E045D9" w:rsidRPr="00D5464D">
        <w:rPr>
          <w:lang w:val="pt-BR"/>
        </w:rPr>
        <w:t>trabalho</w:t>
      </w:r>
      <w:r w:rsidR="00207197" w:rsidRPr="00D5464D">
        <w:rPr>
          <w:lang w:val="pt-BR"/>
        </w:rPr>
        <w:t xml:space="preserve"> o</w:t>
      </w:r>
      <w:r w:rsidRPr="00D5464D">
        <w:rPr>
          <w:lang w:val="pt-BR"/>
        </w:rPr>
        <w:t>u</w:t>
      </w:r>
      <w:r w:rsidR="00207197" w:rsidRPr="00D5464D">
        <w:rPr>
          <w:lang w:val="pt-BR"/>
        </w:rPr>
        <w:t xml:space="preserve"> </w:t>
      </w:r>
      <w:r w:rsidR="002C330E" w:rsidRPr="00D5464D">
        <w:rPr>
          <w:lang w:val="pt-BR"/>
        </w:rPr>
        <w:t>serviço</w:t>
      </w:r>
      <w:r w:rsidR="00207197" w:rsidRPr="00D5464D">
        <w:rPr>
          <w:lang w:val="pt-BR"/>
        </w:rPr>
        <w:t>”, est</w:t>
      </w:r>
      <w:r w:rsidRPr="00D5464D">
        <w:rPr>
          <w:lang w:val="pt-BR"/>
        </w:rPr>
        <w:t>e</w:t>
      </w:r>
      <w:r w:rsidR="00207197" w:rsidRPr="00D5464D">
        <w:rPr>
          <w:lang w:val="pt-BR"/>
        </w:rPr>
        <w:t xml:space="preserve"> consiste</w:t>
      </w:r>
      <w:r w:rsidR="00E045D9" w:rsidRPr="00D5464D">
        <w:rPr>
          <w:lang w:val="pt-BR"/>
        </w:rPr>
        <w:t xml:space="preserve"> na </w:t>
      </w:r>
      <w:r w:rsidR="00470ADC" w:rsidRPr="00D5464D">
        <w:rPr>
          <w:lang w:val="pt-BR"/>
        </w:rPr>
        <w:t>ausência</w:t>
      </w:r>
      <w:r w:rsidR="00207197" w:rsidRPr="00D5464D">
        <w:rPr>
          <w:lang w:val="pt-BR"/>
        </w:rPr>
        <w:t xml:space="preserve"> de </w:t>
      </w:r>
      <w:r w:rsidR="00470ADC" w:rsidRPr="00D5464D">
        <w:rPr>
          <w:lang w:val="pt-BR"/>
        </w:rPr>
        <w:t>consentimento</w:t>
      </w:r>
      <w:r w:rsidR="00207197" w:rsidRPr="00D5464D">
        <w:rPr>
          <w:lang w:val="pt-BR"/>
        </w:rPr>
        <w:t xml:space="preserve"> o</w:t>
      </w:r>
      <w:r w:rsidRPr="00D5464D">
        <w:rPr>
          <w:lang w:val="pt-BR"/>
        </w:rPr>
        <w:t>u</w:t>
      </w:r>
      <w:r w:rsidR="00207197" w:rsidRPr="00D5464D">
        <w:rPr>
          <w:lang w:val="pt-BR"/>
        </w:rPr>
        <w:t xml:space="preserve"> de</w:t>
      </w:r>
      <w:r w:rsidR="002C330E" w:rsidRPr="00D5464D">
        <w:rPr>
          <w:lang w:val="pt-BR"/>
        </w:rPr>
        <w:t xml:space="preserve"> livre </w:t>
      </w:r>
      <w:r w:rsidRPr="00D5464D">
        <w:rPr>
          <w:lang w:val="pt-BR"/>
        </w:rPr>
        <w:t xml:space="preserve">escolha </w:t>
      </w:r>
      <w:r w:rsidR="00E045D9" w:rsidRPr="00D5464D">
        <w:rPr>
          <w:lang w:val="pt-BR"/>
        </w:rPr>
        <w:t xml:space="preserve">no </w:t>
      </w:r>
      <w:r w:rsidR="00207197" w:rsidRPr="00D5464D">
        <w:rPr>
          <w:lang w:val="pt-BR"/>
        </w:rPr>
        <w:t xml:space="preserve">momento </w:t>
      </w:r>
      <w:r w:rsidR="00470ADC" w:rsidRPr="00D5464D">
        <w:rPr>
          <w:lang w:val="pt-BR"/>
        </w:rPr>
        <w:t>do começo</w:t>
      </w:r>
      <w:r w:rsidR="00207197" w:rsidRPr="00D5464D">
        <w:rPr>
          <w:lang w:val="pt-BR"/>
        </w:rPr>
        <w:t xml:space="preserve"> o</w:t>
      </w:r>
      <w:r w:rsidRPr="00D5464D">
        <w:rPr>
          <w:lang w:val="pt-BR"/>
        </w:rPr>
        <w:t>u</w:t>
      </w:r>
      <w:r w:rsidR="00207197" w:rsidRPr="00D5464D">
        <w:rPr>
          <w:lang w:val="pt-BR"/>
        </w:rPr>
        <w:t xml:space="preserve"> continu</w:t>
      </w:r>
      <w:r w:rsidR="00B27F8A" w:rsidRPr="00D5464D">
        <w:rPr>
          <w:lang w:val="pt-BR"/>
        </w:rPr>
        <w:t>idade</w:t>
      </w:r>
      <w:r w:rsidR="00470ADC" w:rsidRPr="00D5464D">
        <w:rPr>
          <w:lang w:val="pt-BR"/>
        </w:rPr>
        <w:t xml:space="preserve"> da </w:t>
      </w:r>
      <w:r w:rsidR="00207197" w:rsidRPr="00D5464D">
        <w:rPr>
          <w:lang w:val="pt-BR"/>
        </w:rPr>
        <w:t>situa</w:t>
      </w:r>
      <w:r w:rsidR="00470ADC" w:rsidRPr="00D5464D">
        <w:rPr>
          <w:lang w:val="pt-BR"/>
        </w:rPr>
        <w:t>ção</w:t>
      </w:r>
      <w:r w:rsidR="00207197" w:rsidRPr="00D5464D">
        <w:rPr>
          <w:lang w:val="pt-BR"/>
        </w:rPr>
        <w:t xml:space="preserve"> de </w:t>
      </w:r>
      <w:r w:rsidR="00E045D9" w:rsidRPr="00D5464D">
        <w:rPr>
          <w:lang w:val="pt-BR"/>
        </w:rPr>
        <w:t>trabalho</w:t>
      </w:r>
      <w:r w:rsidR="00207197" w:rsidRPr="00D5464D">
        <w:rPr>
          <w:lang w:val="pt-BR"/>
        </w:rPr>
        <w:t xml:space="preserve"> </w:t>
      </w:r>
      <w:r w:rsidR="00230C71" w:rsidRPr="00D5464D">
        <w:rPr>
          <w:lang w:val="pt-BR"/>
        </w:rPr>
        <w:t>forçado</w:t>
      </w:r>
      <w:r w:rsidR="00207197" w:rsidRPr="00D5464D">
        <w:rPr>
          <w:lang w:val="pt-BR"/>
        </w:rPr>
        <w:t xml:space="preserve">. Esta </w:t>
      </w:r>
      <w:r w:rsidRPr="00D5464D">
        <w:rPr>
          <w:lang w:val="pt-BR"/>
        </w:rPr>
        <w:t xml:space="preserve">situação pode ocorrer </w:t>
      </w:r>
      <w:r w:rsidR="00B27F8A" w:rsidRPr="00D5464D">
        <w:rPr>
          <w:lang w:val="pt-BR"/>
        </w:rPr>
        <w:t>por</w:t>
      </w:r>
      <w:r w:rsidRPr="00D5464D">
        <w:rPr>
          <w:lang w:val="pt-BR"/>
        </w:rPr>
        <w:t xml:space="preserve"> distintas</w:t>
      </w:r>
      <w:r w:rsidR="000B2B14" w:rsidRPr="00D5464D">
        <w:rPr>
          <w:lang w:val="pt-BR"/>
        </w:rPr>
        <w:t xml:space="preserve"> causas</w:t>
      </w:r>
      <w:r w:rsidR="00207197" w:rsidRPr="00D5464D">
        <w:rPr>
          <w:lang w:val="pt-BR"/>
        </w:rPr>
        <w:t>,</w:t>
      </w:r>
      <w:r w:rsidR="00E045D9" w:rsidRPr="00D5464D">
        <w:rPr>
          <w:lang w:val="pt-BR"/>
        </w:rPr>
        <w:t xml:space="preserve"> tais </w:t>
      </w:r>
      <w:r w:rsidR="00207197" w:rsidRPr="00D5464D">
        <w:rPr>
          <w:lang w:val="pt-BR"/>
        </w:rPr>
        <w:t>como</w:t>
      </w:r>
      <w:r w:rsidR="002C330E" w:rsidRPr="00D5464D">
        <w:rPr>
          <w:lang w:val="pt-BR"/>
        </w:rPr>
        <w:t xml:space="preserve"> a </w:t>
      </w:r>
      <w:r w:rsidR="00207197" w:rsidRPr="00D5464D">
        <w:rPr>
          <w:lang w:val="pt-BR"/>
        </w:rPr>
        <w:t>priva</w:t>
      </w:r>
      <w:r w:rsidR="00470ADC" w:rsidRPr="00D5464D">
        <w:rPr>
          <w:lang w:val="pt-BR"/>
        </w:rPr>
        <w:t>ção</w:t>
      </w:r>
      <w:r w:rsidR="00207197" w:rsidRPr="00D5464D">
        <w:rPr>
          <w:lang w:val="pt-BR"/>
        </w:rPr>
        <w:t xml:space="preserve"> ilegal d</w:t>
      </w:r>
      <w:r w:rsidRPr="00D5464D">
        <w:rPr>
          <w:lang w:val="pt-BR"/>
        </w:rPr>
        <w:t>a</w:t>
      </w:r>
      <w:r w:rsidR="00207197" w:rsidRPr="00D5464D">
        <w:rPr>
          <w:lang w:val="pt-BR"/>
        </w:rPr>
        <w:t xml:space="preserve"> </w:t>
      </w:r>
      <w:r w:rsidR="00737270" w:rsidRPr="00D5464D">
        <w:rPr>
          <w:lang w:val="pt-BR"/>
        </w:rPr>
        <w:t>liberdade,</w:t>
      </w:r>
      <w:r w:rsidR="00470ADC" w:rsidRPr="00D5464D">
        <w:rPr>
          <w:lang w:val="pt-BR"/>
        </w:rPr>
        <w:t xml:space="preserve"> o </w:t>
      </w:r>
      <w:r w:rsidR="00207197" w:rsidRPr="00D5464D">
        <w:rPr>
          <w:lang w:val="pt-BR"/>
        </w:rPr>
        <w:t>enga</w:t>
      </w:r>
      <w:r w:rsidR="00350187" w:rsidRPr="00D5464D">
        <w:rPr>
          <w:lang w:val="pt-BR"/>
        </w:rPr>
        <w:t>n</w:t>
      </w:r>
      <w:r w:rsidR="00207197" w:rsidRPr="00D5464D">
        <w:rPr>
          <w:lang w:val="pt-BR"/>
        </w:rPr>
        <w:t>o o</w:t>
      </w:r>
      <w:r w:rsidRPr="00D5464D">
        <w:rPr>
          <w:lang w:val="pt-BR"/>
        </w:rPr>
        <w:t>u</w:t>
      </w:r>
      <w:r w:rsidR="002C330E" w:rsidRPr="00D5464D">
        <w:rPr>
          <w:lang w:val="pt-BR"/>
        </w:rPr>
        <w:t xml:space="preserve"> a </w:t>
      </w:r>
      <w:r w:rsidR="00207197" w:rsidRPr="00D5464D">
        <w:rPr>
          <w:lang w:val="pt-BR"/>
        </w:rPr>
        <w:t>co</w:t>
      </w:r>
      <w:r w:rsidR="00737270" w:rsidRPr="00D5464D">
        <w:rPr>
          <w:lang w:val="pt-BR"/>
        </w:rPr>
        <w:t>ação</w:t>
      </w:r>
      <w:r w:rsidR="00207197" w:rsidRPr="00D5464D">
        <w:rPr>
          <w:lang w:val="pt-BR"/>
        </w:rPr>
        <w:t xml:space="preserve"> psicológica</w:t>
      </w:r>
      <w:r w:rsidRPr="00D5464D">
        <w:rPr>
          <w:lang w:val="pt-BR"/>
        </w:rPr>
        <w:t>.</w:t>
      </w:r>
      <w:r w:rsidR="00207197" w:rsidRPr="00D5464D">
        <w:rPr>
          <w:rStyle w:val="Refdenotaalpie"/>
          <w:lang w:val="pt-BR"/>
        </w:rPr>
        <w:footnoteReference w:id="443"/>
      </w:r>
      <w:r w:rsidR="00C91CB1" w:rsidRPr="00D5464D">
        <w:rPr>
          <w:lang w:val="pt-BR"/>
        </w:rPr>
        <w:t xml:space="preserve"> Em </w:t>
      </w:r>
      <w:r w:rsidR="00207197" w:rsidRPr="00D5464D">
        <w:rPr>
          <w:lang w:val="pt-BR"/>
        </w:rPr>
        <w:t>rela</w:t>
      </w:r>
      <w:r w:rsidR="00470ADC" w:rsidRPr="00D5464D">
        <w:rPr>
          <w:lang w:val="pt-BR"/>
        </w:rPr>
        <w:t xml:space="preserve">ção </w:t>
      </w:r>
      <w:r w:rsidRPr="00D5464D">
        <w:rPr>
          <w:lang w:val="pt-BR"/>
        </w:rPr>
        <w:t>a</w:t>
      </w:r>
      <w:r w:rsidR="00470ADC" w:rsidRPr="00D5464D">
        <w:rPr>
          <w:lang w:val="pt-BR"/>
        </w:rPr>
        <w:t xml:space="preserve">o </w:t>
      </w:r>
      <w:r w:rsidR="00207197" w:rsidRPr="00D5464D">
        <w:rPr>
          <w:lang w:val="pt-BR"/>
        </w:rPr>
        <w:t>vínculo</w:t>
      </w:r>
      <w:r w:rsidR="00470ADC" w:rsidRPr="00D5464D">
        <w:rPr>
          <w:lang w:val="pt-BR"/>
        </w:rPr>
        <w:t xml:space="preserve"> com </w:t>
      </w:r>
      <w:r w:rsidR="00207197" w:rsidRPr="00D5464D">
        <w:rPr>
          <w:lang w:val="pt-BR"/>
        </w:rPr>
        <w:t xml:space="preserve">agentes </w:t>
      </w:r>
      <w:r w:rsidR="00470ADC" w:rsidRPr="00D5464D">
        <w:rPr>
          <w:lang w:val="pt-BR"/>
        </w:rPr>
        <w:t xml:space="preserve">do </w:t>
      </w:r>
      <w:r w:rsidR="00207197" w:rsidRPr="00D5464D">
        <w:rPr>
          <w:lang w:val="pt-BR"/>
        </w:rPr>
        <w:t>Estado,</w:t>
      </w:r>
      <w:r w:rsidR="002C330E" w:rsidRPr="00D5464D">
        <w:rPr>
          <w:lang w:val="pt-BR"/>
        </w:rPr>
        <w:t xml:space="preserve"> a </w:t>
      </w:r>
      <w:r w:rsidR="00207197" w:rsidRPr="00D5464D">
        <w:rPr>
          <w:lang w:val="pt-BR"/>
        </w:rPr>
        <w:t xml:space="preserve">Corte considera que </w:t>
      </w:r>
      <w:r w:rsidR="00470ADC" w:rsidRPr="00D5464D">
        <w:rPr>
          <w:lang w:val="pt-BR"/>
        </w:rPr>
        <w:t>este</w:t>
      </w:r>
      <w:r w:rsidR="00207197" w:rsidRPr="00D5464D">
        <w:rPr>
          <w:lang w:val="pt-BR"/>
        </w:rPr>
        <w:t xml:space="preserve"> </w:t>
      </w:r>
      <w:r w:rsidR="00470ADC" w:rsidRPr="00D5464D">
        <w:rPr>
          <w:lang w:val="pt-BR"/>
        </w:rPr>
        <w:t>critério</w:t>
      </w:r>
      <w:r w:rsidR="00207197" w:rsidRPr="00D5464D">
        <w:rPr>
          <w:lang w:val="pt-BR"/>
        </w:rPr>
        <w:t xml:space="preserve"> se restringe</w:t>
      </w:r>
      <w:r w:rsidR="00470ADC" w:rsidRPr="00D5464D">
        <w:rPr>
          <w:lang w:val="pt-BR"/>
        </w:rPr>
        <w:t xml:space="preserve"> à </w:t>
      </w:r>
      <w:r w:rsidR="002C330E" w:rsidRPr="00D5464D">
        <w:rPr>
          <w:lang w:val="pt-BR"/>
        </w:rPr>
        <w:t>obrigação</w:t>
      </w:r>
      <w:r w:rsidR="00207197" w:rsidRPr="00D5464D">
        <w:rPr>
          <w:lang w:val="pt-BR"/>
        </w:rPr>
        <w:t xml:space="preserve"> de </w:t>
      </w:r>
      <w:r w:rsidR="002C330E" w:rsidRPr="00D5464D">
        <w:rPr>
          <w:lang w:val="pt-BR"/>
        </w:rPr>
        <w:t>respeitar a proibição</w:t>
      </w:r>
      <w:r w:rsidR="00207197" w:rsidRPr="00D5464D">
        <w:rPr>
          <w:lang w:val="pt-BR"/>
        </w:rPr>
        <w:t xml:space="preserve"> </w:t>
      </w:r>
      <w:r w:rsidR="00470ADC" w:rsidRPr="00D5464D">
        <w:rPr>
          <w:lang w:val="pt-BR"/>
        </w:rPr>
        <w:t xml:space="preserve">do </w:t>
      </w:r>
      <w:r w:rsidR="00E045D9" w:rsidRPr="00D5464D">
        <w:rPr>
          <w:lang w:val="pt-BR"/>
        </w:rPr>
        <w:t>trabalho</w:t>
      </w:r>
      <w:r w:rsidR="00207197" w:rsidRPr="00D5464D">
        <w:rPr>
          <w:lang w:val="pt-BR"/>
        </w:rPr>
        <w:t xml:space="preserve"> </w:t>
      </w:r>
      <w:r w:rsidR="00230C71" w:rsidRPr="00D5464D">
        <w:rPr>
          <w:lang w:val="pt-BR"/>
        </w:rPr>
        <w:t>forçado</w:t>
      </w:r>
      <w:r w:rsidR="00207197" w:rsidRPr="00D5464D">
        <w:rPr>
          <w:lang w:val="pt-BR"/>
        </w:rPr>
        <w:t>,</w:t>
      </w:r>
      <w:r w:rsidR="002C330E" w:rsidRPr="00D5464D">
        <w:rPr>
          <w:lang w:val="pt-BR"/>
        </w:rPr>
        <w:t xml:space="preserve"> o que </w:t>
      </w:r>
      <w:r w:rsidR="00207197" w:rsidRPr="00D5464D">
        <w:rPr>
          <w:lang w:val="pt-BR"/>
        </w:rPr>
        <w:t>era relevante</w:t>
      </w:r>
      <w:r w:rsidR="00E045D9" w:rsidRPr="00D5464D">
        <w:rPr>
          <w:lang w:val="pt-BR"/>
        </w:rPr>
        <w:t xml:space="preserve"> no </w:t>
      </w:r>
      <w:r w:rsidR="00A1358C" w:rsidRPr="00D5464D">
        <w:rPr>
          <w:i/>
          <w:lang w:val="pt-BR"/>
        </w:rPr>
        <w:t>Caso dos Massacres de Ituango</w:t>
      </w:r>
      <w:r w:rsidRPr="00D5464D">
        <w:rPr>
          <w:lang w:val="pt-BR"/>
        </w:rPr>
        <w:t>,</w:t>
      </w:r>
      <w:r w:rsidR="00470ADC" w:rsidRPr="00D5464D">
        <w:rPr>
          <w:lang w:val="pt-BR"/>
        </w:rPr>
        <w:t xml:space="preserve"> em </w:t>
      </w:r>
      <w:r w:rsidR="00E045D9" w:rsidRPr="00D5464D">
        <w:rPr>
          <w:lang w:val="pt-BR"/>
        </w:rPr>
        <w:t xml:space="preserve">virtude </w:t>
      </w:r>
      <w:r w:rsidR="00207197" w:rsidRPr="00D5464D">
        <w:rPr>
          <w:lang w:val="pt-BR"/>
        </w:rPr>
        <w:t>de su</w:t>
      </w:r>
      <w:r w:rsidRPr="00D5464D">
        <w:rPr>
          <w:lang w:val="pt-BR"/>
        </w:rPr>
        <w:t>a</w:t>
      </w:r>
      <w:r w:rsidR="00207197" w:rsidRPr="00D5464D">
        <w:rPr>
          <w:lang w:val="pt-BR"/>
        </w:rPr>
        <w:t xml:space="preserve">s </w:t>
      </w:r>
      <w:r w:rsidR="00470ADC" w:rsidRPr="00D5464D">
        <w:rPr>
          <w:lang w:val="pt-BR"/>
        </w:rPr>
        <w:t>circunstâncias</w:t>
      </w:r>
      <w:r w:rsidR="00207197" w:rsidRPr="00D5464D">
        <w:rPr>
          <w:lang w:val="pt-BR"/>
        </w:rPr>
        <w:t xml:space="preserve"> </w:t>
      </w:r>
      <w:r w:rsidR="00230C71" w:rsidRPr="00D5464D">
        <w:rPr>
          <w:lang w:val="pt-BR"/>
        </w:rPr>
        <w:t>fática</w:t>
      </w:r>
      <w:r w:rsidR="00207197" w:rsidRPr="00D5464D">
        <w:rPr>
          <w:lang w:val="pt-BR"/>
        </w:rPr>
        <w:t xml:space="preserve">s específicas. </w:t>
      </w:r>
      <w:r w:rsidRPr="00D5464D">
        <w:rPr>
          <w:lang w:val="pt-BR"/>
        </w:rPr>
        <w:t xml:space="preserve">Entretanto, </w:t>
      </w:r>
      <w:r w:rsidR="00470ADC" w:rsidRPr="00D5464D">
        <w:rPr>
          <w:lang w:val="pt-BR"/>
        </w:rPr>
        <w:t>esse critério</w:t>
      </w:r>
      <w:r w:rsidR="00207197" w:rsidRPr="00D5464D">
        <w:rPr>
          <w:lang w:val="pt-BR"/>
        </w:rPr>
        <w:t xml:space="preserve"> </w:t>
      </w:r>
      <w:r w:rsidR="00737270" w:rsidRPr="00D5464D">
        <w:rPr>
          <w:lang w:val="pt-BR"/>
        </w:rPr>
        <w:t>não pode</w:t>
      </w:r>
      <w:r w:rsidR="00207197" w:rsidRPr="00D5464D">
        <w:rPr>
          <w:lang w:val="pt-BR"/>
        </w:rPr>
        <w:t xml:space="preserve"> ser </w:t>
      </w:r>
      <w:r w:rsidR="00E045D9" w:rsidRPr="00D5464D">
        <w:rPr>
          <w:lang w:val="pt-BR"/>
        </w:rPr>
        <w:t>sustentad</w:t>
      </w:r>
      <w:r w:rsidR="00207197" w:rsidRPr="00D5464D">
        <w:rPr>
          <w:lang w:val="pt-BR"/>
        </w:rPr>
        <w:t xml:space="preserve">o </w:t>
      </w:r>
      <w:r w:rsidR="00470ADC" w:rsidRPr="00D5464D">
        <w:rPr>
          <w:lang w:val="pt-BR"/>
        </w:rPr>
        <w:t>quando</w:t>
      </w:r>
      <w:r w:rsidR="002C330E" w:rsidRPr="00D5464D">
        <w:rPr>
          <w:lang w:val="pt-BR"/>
        </w:rPr>
        <w:t xml:space="preserve"> a </w:t>
      </w:r>
      <w:r w:rsidR="00207197" w:rsidRPr="00D5464D">
        <w:rPr>
          <w:lang w:val="pt-BR"/>
        </w:rPr>
        <w:t>viola</w:t>
      </w:r>
      <w:r w:rsidR="00470ADC" w:rsidRPr="00D5464D">
        <w:rPr>
          <w:lang w:val="pt-BR"/>
        </w:rPr>
        <w:t>ção</w:t>
      </w:r>
      <w:r w:rsidR="00207197" w:rsidRPr="00D5464D">
        <w:rPr>
          <w:lang w:val="pt-BR"/>
        </w:rPr>
        <w:t xml:space="preserve"> alegada se </w:t>
      </w:r>
      <w:r w:rsidR="002C330E" w:rsidRPr="00D5464D">
        <w:rPr>
          <w:lang w:val="pt-BR"/>
        </w:rPr>
        <w:t>refere</w:t>
      </w:r>
      <w:r w:rsidR="00E045D9" w:rsidRPr="00D5464D">
        <w:rPr>
          <w:lang w:val="pt-BR"/>
        </w:rPr>
        <w:t xml:space="preserve"> às </w:t>
      </w:r>
      <w:r w:rsidR="002C330E" w:rsidRPr="00D5464D">
        <w:rPr>
          <w:lang w:val="pt-BR"/>
        </w:rPr>
        <w:t>obrigações</w:t>
      </w:r>
      <w:r w:rsidR="00207197" w:rsidRPr="00D5464D">
        <w:rPr>
          <w:lang w:val="pt-BR"/>
        </w:rPr>
        <w:t xml:space="preserve"> de preven</w:t>
      </w:r>
      <w:r w:rsidR="00470ADC" w:rsidRPr="00D5464D">
        <w:rPr>
          <w:lang w:val="pt-BR"/>
        </w:rPr>
        <w:t>ção</w:t>
      </w:r>
      <w:r w:rsidR="00E045D9" w:rsidRPr="00D5464D">
        <w:rPr>
          <w:lang w:val="pt-BR"/>
        </w:rPr>
        <w:t xml:space="preserve"> e </w:t>
      </w:r>
      <w:r w:rsidR="002C330E" w:rsidRPr="00D5464D">
        <w:rPr>
          <w:lang w:val="pt-BR"/>
        </w:rPr>
        <w:t xml:space="preserve">garantia </w:t>
      </w:r>
      <w:r w:rsidR="00207197" w:rsidRPr="00D5464D">
        <w:rPr>
          <w:lang w:val="pt-BR"/>
        </w:rPr>
        <w:t>de</w:t>
      </w:r>
      <w:r w:rsidR="00E045D9" w:rsidRPr="00D5464D">
        <w:rPr>
          <w:lang w:val="pt-BR"/>
        </w:rPr>
        <w:t xml:space="preserve"> um </w:t>
      </w:r>
      <w:r w:rsidR="00470ADC" w:rsidRPr="00D5464D">
        <w:rPr>
          <w:lang w:val="pt-BR"/>
        </w:rPr>
        <w:t>direito</w:t>
      </w:r>
      <w:r w:rsidR="00207197" w:rsidRPr="00D5464D">
        <w:rPr>
          <w:lang w:val="pt-BR"/>
        </w:rPr>
        <w:t xml:space="preserve"> humano </w:t>
      </w:r>
      <w:r w:rsidR="00470ADC" w:rsidRPr="00D5464D">
        <w:rPr>
          <w:lang w:val="pt-BR"/>
        </w:rPr>
        <w:t>estabelecid</w:t>
      </w:r>
      <w:r w:rsidR="00207197" w:rsidRPr="00D5464D">
        <w:rPr>
          <w:lang w:val="pt-BR"/>
        </w:rPr>
        <w:t>o</w:t>
      </w:r>
      <w:r w:rsidR="00E045D9" w:rsidRPr="00D5464D">
        <w:rPr>
          <w:lang w:val="pt-BR"/>
        </w:rPr>
        <w:t xml:space="preserve"> na </w:t>
      </w:r>
      <w:r w:rsidR="00207197" w:rsidRPr="00D5464D">
        <w:rPr>
          <w:lang w:val="pt-BR"/>
        </w:rPr>
        <w:t>Conven</w:t>
      </w:r>
      <w:r w:rsidR="00470ADC" w:rsidRPr="00D5464D">
        <w:rPr>
          <w:lang w:val="pt-BR"/>
        </w:rPr>
        <w:t>ção</w:t>
      </w:r>
      <w:r w:rsidR="00207197" w:rsidRPr="00D5464D">
        <w:rPr>
          <w:lang w:val="pt-BR"/>
        </w:rPr>
        <w:t xml:space="preserve"> Americana,</w:t>
      </w:r>
      <w:r w:rsidR="002C330E" w:rsidRPr="00D5464D">
        <w:rPr>
          <w:lang w:val="pt-BR"/>
        </w:rPr>
        <w:t xml:space="preserve"> </w:t>
      </w:r>
      <w:r w:rsidRPr="00D5464D">
        <w:rPr>
          <w:lang w:val="pt-BR"/>
        </w:rPr>
        <w:t xml:space="preserve">de modo </w:t>
      </w:r>
      <w:r w:rsidR="002C330E" w:rsidRPr="00D5464D">
        <w:rPr>
          <w:lang w:val="pt-BR"/>
        </w:rPr>
        <w:t xml:space="preserve">que </w:t>
      </w:r>
      <w:r w:rsidR="00207197" w:rsidRPr="00D5464D">
        <w:rPr>
          <w:lang w:val="pt-BR"/>
        </w:rPr>
        <w:t>n</w:t>
      </w:r>
      <w:r w:rsidRPr="00D5464D">
        <w:rPr>
          <w:lang w:val="pt-BR"/>
        </w:rPr>
        <w:t>ã</w:t>
      </w:r>
      <w:r w:rsidR="00207197" w:rsidRPr="00D5464D">
        <w:rPr>
          <w:lang w:val="pt-BR"/>
        </w:rPr>
        <w:t xml:space="preserve">o resulta </w:t>
      </w:r>
      <w:r w:rsidR="002C330E" w:rsidRPr="00D5464D">
        <w:rPr>
          <w:lang w:val="pt-BR"/>
        </w:rPr>
        <w:t>necessári</w:t>
      </w:r>
      <w:r w:rsidR="00207197" w:rsidRPr="00D5464D">
        <w:rPr>
          <w:lang w:val="pt-BR"/>
        </w:rPr>
        <w:t>a</w:t>
      </w:r>
      <w:r w:rsidR="002C330E" w:rsidRPr="00D5464D">
        <w:rPr>
          <w:lang w:val="pt-BR"/>
        </w:rPr>
        <w:t xml:space="preserve"> a </w:t>
      </w:r>
      <w:r w:rsidR="00A1358C" w:rsidRPr="00D5464D">
        <w:rPr>
          <w:lang w:val="pt-BR"/>
        </w:rPr>
        <w:t>atribuição</w:t>
      </w:r>
      <w:r w:rsidR="00207197" w:rsidRPr="00D5464D">
        <w:rPr>
          <w:lang w:val="pt-BR"/>
        </w:rPr>
        <w:t xml:space="preserve"> </w:t>
      </w:r>
      <w:r w:rsidR="003D0FF4" w:rsidRPr="00D5464D">
        <w:rPr>
          <w:lang w:val="pt-BR"/>
        </w:rPr>
        <w:t xml:space="preserve">do ato </w:t>
      </w:r>
      <w:r w:rsidR="00207197" w:rsidRPr="00D5464D">
        <w:rPr>
          <w:lang w:val="pt-BR"/>
        </w:rPr>
        <w:t xml:space="preserve">a agentes </w:t>
      </w:r>
      <w:r w:rsidR="00470ADC" w:rsidRPr="00D5464D">
        <w:rPr>
          <w:lang w:val="pt-BR"/>
        </w:rPr>
        <w:t xml:space="preserve">do </w:t>
      </w:r>
      <w:r w:rsidR="00207197" w:rsidRPr="00D5464D">
        <w:rPr>
          <w:lang w:val="pt-BR"/>
        </w:rPr>
        <w:t xml:space="preserve">Estado para </w:t>
      </w:r>
      <w:r w:rsidR="003D0FF4" w:rsidRPr="00D5464D">
        <w:rPr>
          <w:lang w:val="pt-BR"/>
        </w:rPr>
        <w:t xml:space="preserve">a configuração do </w:t>
      </w:r>
      <w:r w:rsidR="00E045D9" w:rsidRPr="00D5464D">
        <w:rPr>
          <w:lang w:val="pt-BR"/>
        </w:rPr>
        <w:t>trabalho</w:t>
      </w:r>
      <w:r w:rsidR="00207197" w:rsidRPr="00D5464D">
        <w:rPr>
          <w:lang w:val="pt-BR"/>
        </w:rPr>
        <w:t xml:space="preserve"> </w:t>
      </w:r>
      <w:r w:rsidR="00230C71" w:rsidRPr="00D5464D">
        <w:rPr>
          <w:lang w:val="pt-BR"/>
        </w:rPr>
        <w:t>forçado</w:t>
      </w:r>
      <w:r w:rsidR="00A1358C" w:rsidRPr="00D5464D">
        <w:rPr>
          <w:lang w:val="pt-BR"/>
        </w:rPr>
        <w:t xml:space="preserve">. A </w:t>
      </w:r>
      <w:r w:rsidR="00470ADC" w:rsidRPr="00D5464D">
        <w:rPr>
          <w:lang w:val="pt-BR"/>
        </w:rPr>
        <w:t xml:space="preserve">esse </w:t>
      </w:r>
      <w:r w:rsidR="002C330E" w:rsidRPr="00D5464D">
        <w:rPr>
          <w:lang w:val="pt-BR"/>
        </w:rPr>
        <w:t>respeito</w:t>
      </w:r>
      <w:r w:rsidR="00207197" w:rsidRPr="00D5464D">
        <w:rPr>
          <w:lang w:val="pt-BR"/>
        </w:rPr>
        <w:t>,</w:t>
      </w:r>
      <w:r w:rsidR="00E045D9" w:rsidRPr="00D5464D">
        <w:rPr>
          <w:lang w:val="pt-BR"/>
        </w:rPr>
        <w:t xml:space="preserve"> n</w:t>
      </w:r>
      <w:r w:rsidR="003D0FF4" w:rsidRPr="00D5464D">
        <w:rPr>
          <w:lang w:val="pt-BR"/>
        </w:rPr>
        <w:t>a</w:t>
      </w:r>
      <w:r w:rsidR="00E045D9" w:rsidRPr="00D5464D">
        <w:rPr>
          <w:lang w:val="pt-BR"/>
        </w:rPr>
        <w:t xml:space="preserve"> </w:t>
      </w:r>
      <w:r w:rsidR="00207197" w:rsidRPr="00D5464D">
        <w:rPr>
          <w:lang w:val="pt-BR"/>
        </w:rPr>
        <w:t>próxim</w:t>
      </w:r>
      <w:r w:rsidR="003D0FF4" w:rsidRPr="00D5464D">
        <w:rPr>
          <w:lang w:val="pt-BR"/>
        </w:rPr>
        <w:t>a</w:t>
      </w:r>
      <w:r w:rsidR="00207197" w:rsidRPr="00D5464D">
        <w:rPr>
          <w:lang w:val="pt-BR"/>
        </w:rPr>
        <w:t xml:space="preserve"> </w:t>
      </w:r>
      <w:r w:rsidR="00C91CB1" w:rsidRPr="00D5464D">
        <w:rPr>
          <w:lang w:val="pt-BR"/>
        </w:rPr>
        <w:t>seção</w:t>
      </w:r>
      <w:r w:rsidR="002C330E" w:rsidRPr="00D5464D">
        <w:rPr>
          <w:lang w:val="pt-BR"/>
        </w:rPr>
        <w:t xml:space="preserve"> a </w:t>
      </w:r>
      <w:r w:rsidR="00207197" w:rsidRPr="00D5464D">
        <w:rPr>
          <w:lang w:val="pt-BR"/>
        </w:rPr>
        <w:t xml:space="preserve">Corte </w:t>
      </w:r>
      <w:r w:rsidR="00470ADC" w:rsidRPr="00D5464D">
        <w:rPr>
          <w:lang w:val="pt-BR"/>
        </w:rPr>
        <w:t>estabelece</w:t>
      </w:r>
      <w:r w:rsidR="00207197" w:rsidRPr="00D5464D">
        <w:rPr>
          <w:lang w:val="pt-BR"/>
        </w:rPr>
        <w:t>rá</w:t>
      </w:r>
      <w:r w:rsidR="002C330E" w:rsidRPr="00D5464D">
        <w:rPr>
          <w:lang w:val="pt-BR"/>
        </w:rPr>
        <w:t xml:space="preserve"> as obrigações</w:t>
      </w:r>
      <w:r w:rsidR="00207197" w:rsidRPr="00D5464D">
        <w:rPr>
          <w:lang w:val="pt-BR"/>
        </w:rPr>
        <w:t xml:space="preserve"> </w:t>
      </w:r>
      <w:r w:rsidR="00470ADC" w:rsidRPr="00D5464D">
        <w:rPr>
          <w:lang w:val="pt-BR"/>
        </w:rPr>
        <w:t xml:space="preserve">do </w:t>
      </w:r>
      <w:r w:rsidR="00207197" w:rsidRPr="00D5464D">
        <w:rPr>
          <w:lang w:val="pt-BR"/>
        </w:rPr>
        <w:t>Estado</w:t>
      </w:r>
      <w:r w:rsidR="00470ADC" w:rsidRPr="00D5464D">
        <w:rPr>
          <w:lang w:val="pt-BR"/>
        </w:rPr>
        <w:t xml:space="preserve"> em </w:t>
      </w:r>
      <w:r w:rsidR="002C330E" w:rsidRPr="00D5464D">
        <w:rPr>
          <w:lang w:val="pt-BR"/>
        </w:rPr>
        <w:t xml:space="preserve">matéria </w:t>
      </w:r>
      <w:r w:rsidR="00207197" w:rsidRPr="00D5464D">
        <w:rPr>
          <w:lang w:val="pt-BR"/>
        </w:rPr>
        <w:t xml:space="preserve">de </w:t>
      </w:r>
      <w:r w:rsidR="002C330E" w:rsidRPr="00D5464D">
        <w:rPr>
          <w:lang w:val="pt-BR"/>
        </w:rPr>
        <w:t>proibição</w:t>
      </w:r>
      <w:r w:rsidR="00207197" w:rsidRPr="00D5464D">
        <w:rPr>
          <w:lang w:val="pt-BR"/>
        </w:rPr>
        <w:t xml:space="preserve"> de </w:t>
      </w:r>
      <w:r w:rsidR="000B376D" w:rsidRPr="00D5464D">
        <w:rPr>
          <w:lang w:val="pt-BR"/>
        </w:rPr>
        <w:t>escravidão</w:t>
      </w:r>
      <w:r w:rsidR="00207197" w:rsidRPr="00D5464D">
        <w:rPr>
          <w:lang w:val="pt-BR"/>
        </w:rPr>
        <w:t xml:space="preserve">, </w:t>
      </w:r>
      <w:r w:rsidR="000B376D" w:rsidRPr="00D5464D">
        <w:rPr>
          <w:lang w:val="pt-BR"/>
        </w:rPr>
        <w:t>servidão</w:t>
      </w:r>
      <w:r w:rsidR="00207197" w:rsidRPr="00D5464D">
        <w:rPr>
          <w:lang w:val="pt-BR"/>
        </w:rPr>
        <w:t>,</w:t>
      </w:r>
      <w:r w:rsidR="004F1CC2" w:rsidRPr="00D5464D">
        <w:rPr>
          <w:lang w:val="pt-BR"/>
        </w:rPr>
        <w:t xml:space="preserve"> tráfico de pessoas</w:t>
      </w:r>
      <w:r w:rsidR="00E045D9" w:rsidRPr="00D5464D">
        <w:rPr>
          <w:lang w:val="pt-BR"/>
        </w:rPr>
        <w:t xml:space="preserve"> e trabalho</w:t>
      </w:r>
      <w:r w:rsidR="00207197" w:rsidRPr="00D5464D">
        <w:rPr>
          <w:lang w:val="pt-BR"/>
        </w:rPr>
        <w:t xml:space="preserve"> </w:t>
      </w:r>
      <w:r w:rsidR="00230C71" w:rsidRPr="00D5464D">
        <w:rPr>
          <w:lang w:val="pt-BR"/>
        </w:rPr>
        <w:t>forçado</w:t>
      </w:r>
      <w:r w:rsidR="00207197" w:rsidRPr="00D5464D">
        <w:rPr>
          <w:lang w:val="pt-BR"/>
        </w:rPr>
        <w:t xml:space="preserve">. </w:t>
      </w:r>
    </w:p>
    <w:p w14:paraId="72E4130B" w14:textId="77777777" w:rsidR="00207197" w:rsidRPr="00D5464D" w:rsidRDefault="00207197" w:rsidP="00140440">
      <w:pPr>
        <w:jc w:val="both"/>
        <w:rPr>
          <w:szCs w:val="20"/>
          <w:lang w:val="pt-BR"/>
        </w:rPr>
      </w:pPr>
    </w:p>
    <w:p w14:paraId="32BB8FE6" w14:textId="3B67FA32" w:rsidR="00207197" w:rsidRPr="00D5464D" w:rsidRDefault="00B21658" w:rsidP="005D2CE2">
      <w:pPr>
        <w:pStyle w:val="Ttulo3"/>
        <w:rPr>
          <w:lang w:val="pt-BR"/>
        </w:rPr>
      </w:pPr>
      <w:bookmarkStart w:id="399" w:name="_Toc468433926"/>
      <w:r w:rsidRPr="00D5464D">
        <w:rPr>
          <w:lang w:val="pt-BR"/>
        </w:rPr>
        <w:t>B.</w:t>
      </w:r>
      <w:r w:rsidR="005D2CE2" w:rsidRPr="00D5464D">
        <w:rPr>
          <w:lang w:val="pt-BR"/>
        </w:rPr>
        <w:t>7</w:t>
      </w:r>
      <w:r w:rsidR="00CB7E29" w:rsidRPr="00D5464D">
        <w:rPr>
          <w:lang w:val="pt-BR"/>
        </w:rPr>
        <w:t>.</w:t>
      </w:r>
      <w:r w:rsidR="002C330E" w:rsidRPr="00D5464D">
        <w:rPr>
          <w:lang w:val="pt-BR"/>
        </w:rPr>
        <w:t xml:space="preserve"> </w:t>
      </w:r>
      <w:r w:rsidR="003D0FF4" w:rsidRPr="00D5464D">
        <w:rPr>
          <w:lang w:val="pt-BR"/>
        </w:rPr>
        <w:t>O</w:t>
      </w:r>
      <w:r w:rsidR="002C330E" w:rsidRPr="00D5464D">
        <w:rPr>
          <w:lang w:val="pt-BR"/>
        </w:rPr>
        <w:t>s fatos</w:t>
      </w:r>
      <w:r w:rsidR="00207197" w:rsidRPr="00D5464D">
        <w:rPr>
          <w:lang w:val="pt-BR"/>
        </w:rPr>
        <w:t xml:space="preserve"> </w:t>
      </w:r>
      <w:r w:rsidR="00470ADC" w:rsidRPr="00D5464D">
        <w:rPr>
          <w:lang w:val="pt-BR"/>
        </w:rPr>
        <w:t xml:space="preserve">do </w:t>
      </w:r>
      <w:r w:rsidR="00207197" w:rsidRPr="00D5464D">
        <w:rPr>
          <w:lang w:val="pt-BR"/>
        </w:rPr>
        <w:t>presente caso</w:t>
      </w:r>
      <w:r w:rsidR="00470ADC" w:rsidRPr="00D5464D">
        <w:rPr>
          <w:lang w:val="pt-BR"/>
        </w:rPr>
        <w:t xml:space="preserve"> à </w:t>
      </w:r>
      <w:r w:rsidR="00207197" w:rsidRPr="00D5464D">
        <w:rPr>
          <w:lang w:val="pt-BR"/>
        </w:rPr>
        <w:t>luz</w:t>
      </w:r>
      <w:r w:rsidR="00470ADC" w:rsidRPr="00D5464D">
        <w:rPr>
          <w:lang w:val="pt-BR"/>
        </w:rPr>
        <w:t xml:space="preserve"> dos padrões</w:t>
      </w:r>
      <w:r w:rsidR="00207197" w:rsidRPr="00D5464D">
        <w:rPr>
          <w:lang w:val="pt-BR"/>
        </w:rPr>
        <w:t xml:space="preserve"> </w:t>
      </w:r>
      <w:r w:rsidR="002C330E" w:rsidRPr="00D5464D">
        <w:rPr>
          <w:lang w:val="pt-BR"/>
        </w:rPr>
        <w:t>internacionais</w:t>
      </w:r>
      <w:bookmarkEnd w:id="399"/>
    </w:p>
    <w:p w14:paraId="608C2A9E" w14:textId="77777777" w:rsidR="00207197" w:rsidRPr="00D5464D" w:rsidRDefault="00207197" w:rsidP="00140440">
      <w:pPr>
        <w:jc w:val="both"/>
        <w:rPr>
          <w:szCs w:val="20"/>
          <w:lang w:val="pt-BR"/>
        </w:rPr>
      </w:pPr>
    </w:p>
    <w:p w14:paraId="7C4BD4D9" w14:textId="005675E8" w:rsidR="00207197" w:rsidRPr="00D5464D" w:rsidRDefault="00E765C2" w:rsidP="00F37DC4">
      <w:pPr>
        <w:pStyle w:val="Prrafodelista"/>
        <w:numPr>
          <w:ilvl w:val="0"/>
          <w:numId w:val="1"/>
        </w:numPr>
        <w:contextualSpacing w:val="0"/>
        <w:rPr>
          <w:lang w:val="pt-BR"/>
        </w:rPr>
      </w:pPr>
      <w:r w:rsidRPr="00D5464D">
        <w:rPr>
          <w:lang w:val="pt-BR"/>
        </w:rPr>
        <w:t>A seguir</w:t>
      </w:r>
      <w:r w:rsidR="002C330E" w:rsidRPr="00D5464D">
        <w:rPr>
          <w:lang w:val="pt-BR"/>
        </w:rPr>
        <w:t xml:space="preserve"> a </w:t>
      </w:r>
      <w:r w:rsidR="00207197" w:rsidRPr="00D5464D">
        <w:rPr>
          <w:lang w:val="pt-BR"/>
        </w:rPr>
        <w:t xml:space="preserve">Corte </w:t>
      </w:r>
      <w:r w:rsidR="00470ADC" w:rsidRPr="00D5464D">
        <w:rPr>
          <w:lang w:val="pt-BR"/>
        </w:rPr>
        <w:t>analisará</w:t>
      </w:r>
      <w:r w:rsidR="002C330E" w:rsidRPr="00D5464D">
        <w:rPr>
          <w:lang w:val="pt-BR"/>
        </w:rPr>
        <w:t xml:space="preserve"> os fatos</w:t>
      </w:r>
      <w:r w:rsidR="00207197" w:rsidRPr="00D5464D">
        <w:rPr>
          <w:lang w:val="pt-BR"/>
        </w:rPr>
        <w:t xml:space="preserve"> </w:t>
      </w:r>
      <w:r w:rsidR="00470ADC" w:rsidRPr="00D5464D">
        <w:rPr>
          <w:lang w:val="pt-BR"/>
        </w:rPr>
        <w:t xml:space="preserve">do </w:t>
      </w:r>
      <w:r w:rsidR="00207197" w:rsidRPr="00D5464D">
        <w:rPr>
          <w:lang w:val="pt-BR"/>
        </w:rPr>
        <w:t>presente caso para determinar</w:t>
      </w:r>
      <w:r w:rsidR="002C330E" w:rsidRPr="00D5464D">
        <w:rPr>
          <w:lang w:val="pt-BR"/>
        </w:rPr>
        <w:t xml:space="preserve"> se </w:t>
      </w:r>
      <w:r w:rsidR="00207197" w:rsidRPr="00D5464D">
        <w:rPr>
          <w:lang w:val="pt-BR"/>
        </w:rPr>
        <w:t>cor</w:t>
      </w:r>
      <w:r w:rsidR="00737270" w:rsidRPr="00D5464D">
        <w:rPr>
          <w:lang w:val="pt-BR"/>
        </w:rPr>
        <w:t>responderam</w:t>
      </w:r>
      <w:r w:rsidR="00207197" w:rsidRPr="00D5464D">
        <w:rPr>
          <w:lang w:val="pt-BR"/>
        </w:rPr>
        <w:t xml:space="preserve"> a </w:t>
      </w:r>
      <w:r w:rsidR="00E045D9" w:rsidRPr="00D5464D">
        <w:rPr>
          <w:lang w:val="pt-BR"/>
        </w:rPr>
        <w:t>alguma</w:t>
      </w:r>
      <w:r w:rsidR="00470ADC" w:rsidRPr="00D5464D">
        <w:rPr>
          <w:lang w:val="pt-BR"/>
        </w:rPr>
        <w:t xml:space="preserve"> das </w:t>
      </w:r>
      <w:r w:rsidR="00207197" w:rsidRPr="00D5464D">
        <w:rPr>
          <w:lang w:val="pt-BR"/>
        </w:rPr>
        <w:t>situa</w:t>
      </w:r>
      <w:r w:rsidR="00470ADC" w:rsidRPr="00D5464D">
        <w:rPr>
          <w:lang w:val="pt-BR"/>
        </w:rPr>
        <w:t>ções</w:t>
      </w:r>
      <w:r w:rsidR="00207197" w:rsidRPr="00D5464D">
        <w:rPr>
          <w:lang w:val="pt-BR"/>
        </w:rPr>
        <w:t xml:space="preserve"> </w:t>
      </w:r>
      <w:r w:rsidR="004A13F3" w:rsidRPr="00D5464D">
        <w:rPr>
          <w:lang w:val="pt-BR"/>
        </w:rPr>
        <w:t xml:space="preserve">especificadas </w:t>
      </w:r>
      <w:r w:rsidR="00E045D9" w:rsidRPr="00D5464D">
        <w:rPr>
          <w:lang w:val="pt-BR"/>
        </w:rPr>
        <w:t>n</w:t>
      </w:r>
      <w:r w:rsidR="004A13F3" w:rsidRPr="00D5464D">
        <w:rPr>
          <w:lang w:val="pt-BR"/>
        </w:rPr>
        <w:t xml:space="preserve">as seções </w:t>
      </w:r>
      <w:r w:rsidR="00207197" w:rsidRPr="00D5464D">
        <w:rPr>
          <w:lang w:val="pt-BR"/>
        </w:rPr>
        <w:t>anteriores.</w:t>
      </w:r>
      <w:r w:rsidR="00E045D9" w:rsidRPr="00D5464D">
        <w:rPr>
          <w:lang w:val="pt-BR"/>
        </w:rPr>
        <w:t xml:space="preserve"> </w:t>
      </w:r>
      <w:r w:rsidR="004A13F3" w:rsidRPr="00D5464D">
        <w:rPr>
          <w:lang w:val="pt-BR"/>
        </w:rPr>
        <w:t>U</w:t>
      </w:r>
      <w:r w:rsidR="00E045D9" w:rsidRPr="00D5464D">
        <w:rPr>
          <w:lang w:val="pt-BR"/>
        </w:rPr>
        <w:t xml:space="preserve">ma </w:t>
      </w:r>
      <w:r w:rsidR="00207197" w:rsidRPr="00D5464D">
        <w:rPr>
          <w:lang w:val="pt-BR"/>
        </w:rPr>
        <w:t>vez determinado</w:t>
      </w:r>
      <w:r w:rsidR="00470ADC" w:rsidRPr="00D5464D">
        <w:rPr>
          <w:lang w:val="pt-BR"/>
        </w:rPr>
        <w:t xml:space="preserve"> o </w:t>
      </w:r>
      <w:r w:rsidR="00207197" w:rsidRPr="00D5464D">
        <w:rPr>
          <w:lang w:val="pt-BR"/>
        </w:rPr>
        <w:t xml:space="preserve">tipo de </w:t>
      </w:r>
      <w:r w:rsidR="00F727E4" w:rsidRPr="00D5464D">
        <w:rPr>
          <w:lang w:val="pt-BR"/>
        </w:rPr>
        <w:t>situa</w:t>
      </w:r>
      <w:r w:rsidR="00470ADC" w:rsidRPr="00D5464D">
        <w:rPr>
          <w:lang w:val="pt-BR"/>
        </w:rPr>
        <w:t xml:space="preserve">ção ao </w:t>
      </w:r>
      <w:r w:rsidR="004A13F3" w:rsidRPr="00D5464D">
        <w:rPr>
          <w:lang w:val="pt-BR"/>
        </w:rPr>
        <w:t>qual</w:t>
      </w:r>
      <w:r w:rsidR="002C330E" w:rsidRPr="00D5464D">
        <w:rPr>
          <w:lang w:val="pt-BR"/>
        </w:rPr>
        <w:t xml:space="preserve"> as suposta</w:t>
      </w:r>
      <w:r w:rsidR="00207197" w:rsidRPr="00D5464D">
        <w:rPr>
          <w:lang w:val="pt-BR"/>
        </w:rPr>
        <w:t xml:space="preserve">s </w:t>
      </w:r>
      <w:r w:rsidR="00E045D9" w:rsidRPr="00D5464D">
        <w:rPr>
          <w:lang w:val="pt-BR"/>
        </w:rPr>
        <w:t>vítima</w:t>
      </w:r>
      <w:r w:rsidR="00207197" w:rsidRPr="00D5464D">
        <w:rPr>
          <w:lang w:val="pt-BR"/>
        </w:rPr>
        <w:t>s</w:t>
      </w:r>
      <w:r w:rsidR="00E045D9" w:rsidRPr="00D5464D">
        <w:rPr>
          <w:lang w:val="pt-BR"/>
        </w:rPr>
        <w:t xml:space="preserve"> teriam </w:t>
      </w:r>
      <w:r w:rsidR="00207197" w:rsidRPr="00D5464D">
        <w:rPr>
          <w:lang w:val="pt-BR"/>
        </w:rPr>
        <w:t xml:space="preserve">sido </w:t>
      </w:r>
      <w:r w:rsidR="00E045D9" w:rsidRPr="00D5464D">
        <w:rPr>
          <w:lang w:val="pt-BR"/>
        </w:rPr>
        <w:t>su</w:t>
      </w:r>
      <w:r w:rsidR="004A13F3" w:rsidRPr="00D5464D">
        <w:rPr>
          <w:lang w:val="pt-BR"/>
        </w:rPr>
        <w:t xml:space="preserve">bmetidas </w:t>
      </w:r>
      <w:r w:rsidR="00E045D9" w:rsidRPr="00D5464D">
        <w:rPr>
          <w:lang w:val="pt-BR"/>
        </w:rPr>
        <w:t xml:space="preserve">na </w:t>
      </w:r>
      <w:r w:rsidR="00D809F0" w:rsidRPr="00D5464D">
        <w:rPr>
          <w:lang w:val="pt-BR"/>
        </w:rPr>
        <w:t>Fazenda</w:t>
      </w:r>
      <w:r w:rsidR="00207197" w:rsidRPr="00D5464D">
        <w:rPr>
          <w:lang w:val="pt-BR"/>
        </w:rPr>
        <w:t xml:space="preserve"> Brasil Verde,</w:t>
      </w:r>
      <w:r w:rsidR="002C330E" w:rsidRPr="00D5464D">
        <w:rPr>
          <w:lang w:val="pt-BR"/>
        </w:rPr>
        <w:t xml:space="preserve"> a </w:t>
      </w:r>
      <w:r w:rsidR="00207197" w:rsidRPr="00D5464D">
        <w:rPr>
          <w:lang w:val="pt-BR"/>
        </w:rPr>
        <w:t xml:space="preserve">Corte </w:t>
      </w:r>
      <w:r w:rsidR="004A13F3" w:rsidRPr="00D5464D">
        <w:rPr>
          <w:lang w:val="pt-BR"/>
        </w:rPr>
        <w:t>especificará</w:t>
      </w:r>
      <w:r w:rsidR="002C330E" w:rsidRPr="00D5464D">
        <w:rPr>
          <w:lang w:val="pt-BR"/>
        </w:rPr>
        <w:t xml:space="preserve"> as obrigações</w:t>
      </w:r>
      <w:r w:rsidR="00207197" w:rsidRPr="00D5464D">
        <w:rPr>
          <w:lang w:val="pt-BR"/>
        </w:rPr>
        <w:t xml:space="preserve"> </w:t>
      </w:r>
      <w:r w:rsidR="00470ADC" w:rsidRPr="00D5464D">
        <w:rPr>
          <w:lang w:val="pt-BR"/>
        </w:rPr>
        <w:t xml:space="preserve">do </w:t>
      </w:r>
      <w:r w:rsidR="00207197" w:rsidRPr="00D5464D">
        <w:rPr>
          <w:lang w:val="pt-BR"/>
        </w:rPr>
        <w:t xml:space="preserve">Estado que </w:t>
      </w:r>
      <w:r w:rsidR="00A1358C" w:rsidRPr="00D5464D">
        <w:rPr>
          <w:lang w:val="pt-BR"/>
        </w:rPr>
        <w:t>poderiam</w:t>
      </w:r>
      <w:r w:rsidR="00207197" w:rsidRPr="00D5464D">
        <w:rPr>
          <w:lang w:val="pt-BR"/>
        </w:rPr>
        <w:t xml:space="preserve"> </w:t>
      </w:r>
      <w:r w:rsidR="002C330E" w:rsidRPr="00D5464D">
        <w:rPr>
          <w:lang w:val="pt-BR"/>
        </w:rPr>
        <w:t>ter</w:t>
      </w:r>
      <w:r w:rsidR="00207197" w:rsidRPr="00D5464D">
        <w:rPr>
          <w:lang w:val="pt-BR"/>
        </w:rPr>
        <w:t xml:space="preserve"> sido violadas</w:t>
      </w:r>
      <w:r w:rsidR="00E045D9" w:rsidRPr="00D5464D">
        <w:rPr>
          <w:lang w:val="pt-BR"/>
        </w:rPr>
        <w:t xml:space="preserve"> no </w:t>
      </w:r>
      <w:r w:rsidR="00207197" w:rsidRPr="00D5464D">
        <w:rPr>
          <w:lang w:val="pt-BR"/>
        </w:rPr>
        <w:t>presente caso.</w:t>
      </w:r>
      <w:r w:rsidR="00F727E4" w:rsidRPr="00D5464D">
        <w:rPr>
          <w:lang w:val="pt-BR"/>
        </w:rPr>
        <w:t xml:space="preserve"> </w:t>
      </w:r>
    </w:p>
    <w:p w14:paraId="043186CA" w14:textId="77777777" w:rsidR="00207197" w:rsidRPr="00D5464D" w:rsidRDefault="00207197" w:rsidP="00140440">
      <w:pPr>
        <w:pStyle w:val="Prrafodelista"/>
        <w:ind w:left="0"/>
        <w:rPr>
          <w:lang w:val="pt-BR"/>
        </w:rPr>
      </w:pPr>
      <w:r w:rsidRPr="00D5464D">
        <w:rPr>
          <w:lang w:val="pt-BR"/>
        </w:rPr>
        <w:t xml:space="preserve"> </w:t>
      </w:r>
    </w:p>
    <w:p w14:paraId="7B0CB3E5" w14:textId="7CB53323" w:rsidR="00207197" w:rsidRPr="00D5464D" w:rsidRDefault="00207197" w:rsidP="00EC5C1A">
      <w:pPr>
        <w:pStyle w:val="Prrafodelista"/>
        <w:numPr>
          <w:ilvl w:val="0"/>
          <w:numId w:val="1"/>
        </w:numPr>
        <w:contextualSpacing w:val="0"/>
        <w:rPr>
          <w:lang w:val="pt-BR"/>
        </w:rPr>
      </w:pPr>
      <w:r w:rsidRPr="00D5464D">
        <w:rPr>
          <w:lang w:val="pt-BR"/>
        </w:rPr>
        <w:t>Inicialmente,</w:t>
      </w:r>
      <w:r w:rsidR="00470ADC" w:rsidRPr="00D5464D">
        <w:rPr>
          <w:lang w:val="pt-BR"/>
        </w:rPr>
        <w:t xml:space="preserve"> </w:t>
      </w:r>
      <w:r w:rsidR="000B2B14" w:rsidRPr="00D5464D">
        <w:rPr>
          <w:lang w:val="pt-BR"/>
        </w:rPr>
        <w:t>é</w:t>
      </w:r>
      <w:r w:rsidR="00470ADC" w:rsidRPr="00D5464D">
        <w:rPr>
          <w:lang w:val="pt-BR"/>
        </w:rPr>
        <w:t xml:space="preserve"> </w:t>
      </w:r>
      <w:r w:rsidR="002C330E" w:rsidRPr="00D5464D">
        <w:rPr>
          <w:lang w:val="pt-BR"/>
        </w:rPr>
        <w:t>necessári</w:t>
      </w:r>
      <w:r w:rsidRPr="00D5464D">
        <w:rPr>
          <w:lang w:val="pt-BR"/>
        </w:rPr>
        <w:t>o</w:t>
      </w:r>
      <w:r w:rsidR="002C330E" w:rsidRPr="00D5464D">
        <w:rPr>
          <w:lang w:val="pt-BR"/>
        </w:rPr>
        <w:t xml:space="preserve"> </w:t>
      </w:r>
      <w:r w:rsidR="00B27F8A" w:rsidRPr="00D5464D">
        <w:rPr>
          <w:lang w:val="pt-BR"/>
        </w:rPr>
        <w:t>registrar</w:t>
      </w:r>
      <w:r w:rsidR="00FF1290" w:rsidRPr="00D5464D">
        <w:rPr>
          <w:lang w:val="pt-BR"/>
        </w:rPr>
        <w:t xml:space="preserve"> </w:t>
      </w:r>
      <w:r w:rsidRPr="00D5464D">
        <w:rPr>
          <w:lang w:val="pt-BR"/>
        </w:rPr>
        <w:t>que n</w:t>
      </w:r>
      <w:r w:rsidR="004A13F3" w:rsidRPr="00D5464D">
        <w:rPr>
          <w:lang w:val="pt-BR"/>
        </w:rPr>
        <w:t>ã</w:t>
      </w:r>
      <w:r w:rsidRPr="00D5464D">
        <w:rPr>
          <w:lang w:val="pt-BR"/>
        </w:rPr>
        <w:t xml:space="preserve">o </w:t>
      </w:r>
      <w:r w:rsidR="002C330E" w:rsidRPr="00D5464D">
        <w:rPr>
          <w:lang w:val="pt-BR"/>
        </w:rPr>
        <w:t xml:space="preserve">há </w:t>
      </w:r>
      <w:r w:rsidR="00470ADC" w:rsidRPr="00D5464D">
        <w:rPr>
          <w:lang w:val="pt-BR"/>
        </w:rPr>
        <w:t>controvérsia</w:t>
      </w:r>
      <w:r w:rsidRPr="00D5464D">
        <w:rPr>
          <w:lang w:val="pt-BR"/>
        </w:rPr>
        <w:t xml:space="preserve"> entre</w:t>
      </w:r>
      <w:r w:rsidR="002C330E" w:rsidRPr="00D5464D">
        <w:rPr>
          <w:lang w:val="pt-BR"/>
        </w:rPr>
        <w:t xml:space="preserve"> as </w:t>
      </w:r>
      <w:r w:rsidRPr="00D5464D">
        <w:rPr>
          <w:lang w:val="pt-BR"/>
        </w:rPr>
        <w:t>partes sobre</w:t>
      </w:r>
      <w:r w:rsidR="002C330E" w:rsidRPr="00D5464D">
        <w:rPr>
          <w:lang w:val="pt-BR"/>
        </w:rPr>
        <w:t xml:space="preserve"> a </w:t>
      </w:r>
      <w:r w:rsidRPr="00D5464D">
        <w:rPr>
          <w:lang w:val="pt-BR"/>
        </w:rPr>
        <w:t>evolu</w:t>
      </w:r>
      <w:r w:rsidR="00470ADC" w:rsidRPr="00D5464D">
        <w:rPr>
          <w:lang w:val="pt-BR"/>
        </w:rPr>
        <w:t>ção</w:t>
      </w:r>
      <w:r w:rsidRPr="00D5464D">
        <w:rPr>
          <w:lang w:val="pt-BR"/>
        </w:rPr>
        <w:t xml:space="preserve"> histórica </w:t>
      </w:r>
      <w:r w:rsidR="00470ADC" w:rsidRPr="00D5464D">
        <w:rPr>
          <w:lang w:val="pt-BR"/>
        </w:rPr>
        <w:t xml:space="preserve">do fenômeno da </w:t>
      </w:r>
      <w:r w:rsidR="000B376D" w:rsidRPr="00D5464D">
        <w:rPr>
          <w:lang w:val="pt-BR"/>
        </w:rPr>
        <w:t>escravidão</w:t>
      </w:r>
      <w:r w:rsidR="006665EF" w:rsidRPr="00D5464D">
        <w:rPr>
          <w:lang w:val="pt-BR"/>
        </w:rPr>
        <w:t xml:space="preserve"> no Brasil</w:t>
      </w:r>
      <w:r w:rsidRPr="00D5464D">
        <w:rPr>
          <w:lang w:val="pt-BR"/>
        </w:rPr>
        <w:t>,</w:t>
      </w:r>
      <w:r w:rsidR="00470ADC" w:rsidRPr="00D5464D">
        <w:rPr>
          <w:lang w:val="pt-BR"/>
        </w:rPr>
        <w:t xml:space="preserve"> em </w:t>
      </w:r>
      <w:r w:rsidRPr="00D5464D">
        <w:rPr>
          <w:lang w:val="pt-BR"/>
        </w:rPr>
        <w:t>particular</w:t>
      </w:r>
      <w:r w:rsidR="00E045D9" w:rsidRPr="00D5464D">
        <w:rPr>
          <w:lang w:val="pt-BR"/>
        </w:rPr>
        <w:t xml:space="preserve"> no </w:t>
      </w:r>
      <w:r w:rsidRPr="00D5464D">
        <w:rPr>
          <w:lang w:val="pt-BR"/>
        </w:rPr>
        <w:t>ambiente rural. Tam</w:t>
      </w:r>
      <w:r w:rsidR="002C330E" w:rsidRPr="00D5464D">
        <w:rPr>
          <w:lang w:val="pt-BR"/>
        </w:rPr>
        <w:t xml:space="preserve">pouco há </w:t>
      </w:r>
      <w:r w:rsidR="00470ADC" w:rsidRPr="00D5464D">
        <w:rPr>
          <w:lang w:val="pt-BR"/>
        </w:rPr>
        <w:t>controvérsia</w:t>
      </w:r>
      <w:r w:rsidRPr="00D5464D">
        <w:rPr>
          <w:lang w:val="pt-BR"/>
        </w:rPr>
        <w:t xml:space="preserve"> sobre</w:t>
      </w:r>
      <w:r w:rsidR="002C330E" w:rsidRPr="00D5464D">
        <w:rPr>
          <w:lang w:val="pt-BR"/>
        </w:rPr>
        <w:t xml:space="preserve"> as </w:t>
      </w:r>
      <w:r w:rsidR="00470ADC" w:rsidRPr="00D5464D">
        <w:rPr>
          <w:lang w:val="pt-BR"/>
        </w:rPr>
        <w:t xml:space="preserve">denúncias </w:t>
      </w:r>
      <w:r w:rsidRPr="00D5464D">
        <w:rPr>
          <w:lang w:val="pt-BR"/>
        </w:rPr>
        <w:t>realizadas</w:t>
      </w:r>
      <w:r w:rsidR="002C330E" w:rsidRPr="00D5464D">
        <w:rPr>
          <w:lang w:val="pt-BR"/>
        </w:rPr>
        <w:t xml:space="preserve"> pela </w:t>
      </w:r>
      <w:r w:rsidR="00C45062" w:rsidRPr="00D5464D">
        <w:rPr>
          <w:lang w:val="pt-BR"/>
        </w:rPr>
        <w:t xml:space="preserve">CPT </w:t>
      </w:r>
      <w:r w:rsidR="00E045D9" w:rsidRPr="00D5464D">
        <w:rPr>
          <w:lang w:val="pt-BR"/>
        </w:rPr>
        <w:t xml:space="preserve">e </w:t>
      </w:r>
      <w:r w:rsidR="002C330E" w:rsidRPr="00D5464D">
        <w:rPr>
          <w:lang w:val="pt-BR"/>
        </w:rPr>
        <w:t>outra</w:t>
      </w:r>
      <w:r w:rsidRPr="00D5464D">
        <w:rPr>
          <w:lang w:val="pt-BR"/>
        </w:rPr>
        <w:t>s organiza</w:t>
      </w:r>
      <w:r w:rsidR="00470ADC" w:rsidRPr="00D5464D">
        <w:rPr>
          <w:lang w:val="pt-BR"/>
        </w:rPr>
        <w:t>ções</w:t>
      </w:r>
      <w:r w:rsidRPr="00D5464D">
        <w:rPr>
          <w:lang w:val="pt-BR"/>
        </w:rPr>
        <w:t xml:space="preserve"> a partir</w:t>
      </w:r>
      <w:r w:rsidR="00470ADC" w:rsidRPr="00D5464D">
        <w:rPr>
          <w:lang w:val="pt-BR"/>
        </w:rPr>
        <w:t xml:space="preserve"> da </w:t>
      </w:r>
      <w:r w:rsidRPr="00D5464D">
        <w:rPr>
          <w:lang w:val="pt-BR"/>
        </w:rPr>
        <w:t>década de 1970</w:t>
      </w:r>
      <w:r w:rsidR="00F21A87" w:rsidRPr="00D5464D">
        <w:rPr>
          <w:lang w:val="pt-BR"/>
        </w:rPr>
        <w:t>,</w:t>
      </w:r>
      <w:r w:rsidRPr="00D5464D">
        <w:rPr>
          <w:lang w:val="pt-BR"/>
        </w:rPr>
        <w:t xml:space="preserve"> sobre</w:t>
      </w:r>
      <w:r w:rsidR="002C330E" w:rsidRPr="00D5464D">
        <w:rPr>
          <w:lang w:val="pt-BR"/>
        </w:rPr>
        <w:t xml:space="preserve"> a </w:t>
      </w:r>
      <w:r w:rsidR="00E045D9" w:rsidRPr="00D5464D">
        <w:rPr>
          <w:lang w:val="pt-BR"/>
        </w:rPr>
        <w:t>ocorrência</w:t>
      </w:r>
      <w:r w:rsidRPr="00D5464D">
        <w:rPr>
          <w:lang w:val="pt-BR"/>
        </w:rPr>
        <w:t xml:space="preserve"> de “</w:t>
      </w:r>
      <w:r w:rsidR="00E045D9" w:rsidRPr="00D5464D">
        <w:rPr>
          <w:lang w:val="pt-BR"/>
        </w:rPr>
        <w:t>trabalho</w:t>
      </w:r>
      <w:r w:rsidRPr="00D5464D">
        <w:rPr>
          <w:lang w:val="pt-BR"/>
        </w:rPr>
        <w:t xml:space="preserve"> </w:t>
      </w:r>
      <w:r w:rsidR="004F1CC2" w:rsidRPr="00D5464D">
        <w:rPr>
          <w:lang w:val="pt-BR"/>
        </w:rPr>
        <w:t>escravo</w:t>
      </w:r>
      <w:r w:rsidRPr="00D5464D">
        <w:rPr>
          <w:lang w:val="pt-BR"/>
        </w:rPr>
        <w:t>”</w:t>
      </w:r>
      <w:r w:rsidR="00E045D9" w:rsidRPr="00D5464D">
        <w:rPr>
          <w:lang w:val="pt-BR"/>
        </w:rPr>
        <w:t xml:space="preserve"> nas </w:t>
      </w:r>
      <w:r w:rsidR="002C330E" w:rsidRPr="00D5464D">
        <w:rPr>
          <w:lang w:val="pt-BR"/>
        </w:rPr>
        <w:t>regiões</w:t>
      </w:r>
      <w:r w:rsidRPr="00D5464D">
        <w:rPr>
          <w:lang w:val="pt-BR"/>
        </w:rPr>
        <w:t xml:space="preserve"> norte</w:t>
      </w:r>
      <w:r w:rsidR="00E045D9" w:rsidRPr="00D5464D">
        <w:rPr>
          <w:lang w:val="pt-BR"/>
        </w:rPr>
        <w:t xml:space="preserve"> e </w:t>
      </w:r>
      <w:r w:rsidRPr="00D5464D">
        <w:rPr>
          <w:lang w:val="pt-BR"/>
        </w:rPr>
        <w:t>nor</w:t>
      </w:r>
      <w:r w:rsidR="004A13F3" w:rsidRPr="00D5464D">
        <w:rPr>
          <w:lang w:val="pt-BR"/>
        </w:rPr>
        <w:t>d</w:t>
      </w:r>
      <w:r w:rsidRPr="00D5464D">
        <w:rPr>
          <w:lang w:val="pt-BR"/>
        </w:rPr>
        <w:t xml:space="preserve">este </w:t>
      </w:r>
      <w:r w:rsidR="00470ADC" w:rsidRPr="00D5464D">
        <w:rPr>
          <w:lang w:val="pt-BR"/>
        </w:rPr>
        <w:t xml:space="preserve">do </w:t>
      </w:r>
      <w:r w:rsidRPr="00D5464D">
        <w:rPr>
          <w:lang w:val="pt-BR"/>
        </w:rPr>
        <w:t>país,</w:t>
      </w:r>
      <w:r w:rsidR="002C330E" w:rsidRPr="00D5464D">
        <w:rPr>
          <w:lang w:val="pt-BR"/>
        </w:rPr>
        <w:t xml:space="preserve"> </w:t>
      </w:r>
      <w:r w:rsidR="004A13F3" w:rsidRPr="00D5464D">
        <w:rPr>
          <w:lang w:val="pt-BR"/>
        </w:rPr>
        <w:t xml:space="preserve">e tampouco </w:t>
      </w:r>
      <w:r w:rsidRPr="00D5464D">
        <w:rPr>
          <w:lang w:val="pt-BR"/>
        </w:rPr>
        <w:t>sobre</w:t>
      </w:r>
      <w:r w:rsidR="002C330E" w:rsidRPr="00D5464D">
        <w:rPr>
          <w:lang w:val="pt-BR"/>
        </w:rPr>
        <w:t xml:space="preserve"> a </w:t>
      </w:r>
      <w:r w:rsidR="004A13F3" w:rsidRPr="00D5464D">
        <w:rPr>
          <w:lang w:val="pt-BR"/>
        </w:rPr>
        <w:t>F</w:t>
      </w:r>
      <w:r w:rsidR="00D809F0" w:rsidRPr="00D5464D">
        <w:rPr>
          <w:lang w:val="pt-BR"/>
        </w:rPr>
        <w:t>azenda</w:t>
      </w:r>
      <w:r w:rsidRPr="00D5464D">
        <w:rPr>
          <w:lang w:val="pt-BR"/>
        </w:rPr>
        <w:t xml:space="preserve"> Brasil Verde</w:t>
      </w:r>
      <w:r w:rsidR="004A13F3" w:rsidRPr="00D5464D">
        <w:rPr>
          <w:lang w:val="pt-BR"/>
        </w:rPr>
        <w:t>,</w:t>
      </w:r>
      <w:r w:rsidRPr="00D5464D">
        <w:rPr>
          <w:lang w:val="pt-BR"/>
        </w:rPr>
        <w:t xml:space="preserve"> </w:t>
      </w:r>
      <w:r w:rsidR="00E045D9" w:rsidRPr="00D5464D">
        <w:rPr>
          <w:lang w:val="pt-BR"/>
        </w:rPr>
        <w:t>especificamente</w:t>
      </w:r>
      <w:r w:rsidRPr="00D5464D">
        <w:rPr>
          <w:lang w:val="pt-BR"/>
        </w:rPr>
        <w:t xml:space="preserve"> </w:t>
      </w:r>
      <w:r w:rsidR="00470ADC" w:rsidRPr="00D5464D">
        <w:rPr>
          <w:lang w:val="pt-BR"/>
        </w:rPr>
        <w:t xml:space="preserve">do ano </w:t>
      </w:r>
      <w:r w:rsidRPr="00D5464D">
        <w:rPr>
          <w:lang w:val="pt-BR"/>
        </w:rPr>
        <w:t xml:space="preserve">1988 </w:t>
      </w:r>
      <w:r w:rsidR="002C330E" w:rsidRPr="00D5464D">
        <w:rPr>
          <w:lang w:val="pt-BR"/>
        </w:rPr>
        <w:t>até</w:t>
      </w:r>
      <w:r w:rsidR="00470ADC" w:rsidRPr="00D5464D">
        <w:rPr>
          <w:lang w:val="pt-BR"/>
        </w:rPr>
        <w:t xml:space="preserve"> o ano </w:t>
      </w:r>
      <w:r w:rsidRPr="00D5464D">
        <w:rPr>
          <w:lang w:val="pt-BR"/>
        </w:rPr>
        <w:t>2000 (</w:t>
      </w:r>
      <w:r w:rsidR="002C330E" w:rsidRPr="00D5464D">
        <w:rPr>
          <w:lang w:val="pt-BR"/>
        </w:rPr>
        <w:t>pars.</w:t>
      </w:r>
      <w:r w:rsidRPr="00D5464D">
        <w:rPr>
          <w:lang w:val="pt-BR"/>
        </w:rPr>
        <w:t xml:space="preserve"> </w:t>
      </w:r>
      <w:r w:rsidR="00CE22AD" w:rsidRPr="00D5464D">
        <w:rPr>
          <w:lang w:val="pt-BR"/>
        </w:rPr>
        <w:t>110</w:t>
      </w:r>
      <w:r w:rsidRPr="00D5464D">
        <w:rPr>
          <w:lang w:val="pt-BR"/>
        </w:rPr>
        <w:t xml:space="preserve"> a </w:t>
      </w:r>
      <w:r w:rsidR="00CE22AD" w:rsidRPr="00D5464D">
        <w:rPr>
          <w:lang w:val="pt-BR"/>
        </w:rPr>
        <w:t>115</w:t>
      </w:r>
      <w:r w:rsidR="004A13F3" w:rsidRPr="00D5464D">
        <w:rPr>
          <w:i/>
          <w:lang w:val="pt-BR"/>
        </w:rPr>
        <w:t xml:space="preserve"> supra</w:t>
      </w:r>
      <w:r w:rsidRPr="00D5464D">
        <w:rPr>
          <w:lang w:val="pt-BR"/>
        </w:rPr>
        <w:t>). Finalmente,</w:t>
      </w:r>
      <w:r w:rsidR="002C330E" w:rsidRPr="00D5464D">
        <w:rPr>
          <w:lang w:val="pt-BR"/>
        </w:rPr>
        <w:t xml:space="preserve"> a </w:t>
      </w:r>
      <w:r w:rsidRPr="00D5464D">
        <w:rPr>
          <w:lang w:val="pt-BR"/>
        </w:rPr>
        <w:t>Corte considera que n</w:t>
      </w:r>
      <w:r w:rsidR="004A13F3" w:rsidRPr="00D5464D">
        <w:rPr>
          <w:lang w:val="pt-BR"/>
        </w:rPr>
        <w:t>ã</w:t>
      </w:r>
      <w:r w:rsidRPr="00D5464D">
        <w:rPr>
          <w:lang w:val="pt-BR"/>
        </w:rPr>
        <w:t xml:space="preserve">o </w:t>
      </w:r>
      <w:r w:rsidR="002C330E" w:rsidRPr="00D5464D">
        <w:rPr>
          <w:lang w:val="pt-BR"/>
        </w:rPr>
        <w:t xml:space="preserve">há </w:t>
      </w:r>
      <w:r w:rsidR="00470ADC" w:rsidRPr="00D5464D">
        <w:rPr>
          <w:lang w:val="pt-BR"/>
        </w:rPr>
        <w:t>controvérsia</w:t>
      </w:r>
      <w:r w:rsidRPr="00D5464D">
        <w:rPr>
          <w:lang w:val="pt-BR"/>
        </w:rPr>
        <w:t xml:space="preserve"> </w:t>
      </w:r>
      <w:r w:rsidR="002C330E" w:rsidRPr="00D5464D">
        <w:rPr>
          <w:lang w:val="pt-BR"/>
        </w:rPr>
        <w:t>a respeito</w:t>
      </w:r>
      <w:r w:rsidRPr="00D5464D">
        <w:rPr>
          <w:lang w:val="pt-BR"/>
        </w:rPr>
        <w:t xml:space="preserve"> de que agentes esta</w:t>
      </w:r>
      <w:r w:rsidR="00E045D9" w:rsidRPr="00D5464D">
        <w:rPr>
          <w:lang w:val="pt-BR"/>
        </w:rPr>
        <w:t>tais</w:t>
      </w:r>
      <w:r w:rsidRPr="00D5464D">
        <w:rPr>
          <w:lang w:val="pt-BR"/>
        </w:rPr>
        <w:t xml:space="preserve"> n</w:t>
      </w:r>
      <w:r w:rsidR="004A13F3" w:rsidRPr="00D5464D">
        <w:rPr>
          <w:lang w:val="pt-BR"/>
        </w:rPr>
        <w:t>ã</w:t>
      </w:r>
      <w:r w:rsidRPr="00D5464D">
        <w:rPr>
          <w:lang w:val="pt-BR"/>
        </w:rPr>
        <w:t xml:space="preserve">o </w:t>
      </w:r>
      <w:r w:rsidR="002C330E" w:rsidRPr="00D5464D">
        <w:rPr>
          <w:lang w:val="pt-BR"/>
        </w:rPr>
        <w:t>participaram</w:t>
      </w:r>
      <w:r w:rsidRPr="00D5464D">
        <w:rPr>
          <w:lang w:val="pt-BR"/>
        </w:rPr>
        <w:t xml:space="preserve"> </w:t>
      </w:r>
      <w:r w:rsidR="00470ADC" w:rsidRPr="00D5464D">
        <w:rPr>
          <w:lang w:val="pt-BR"/>
        </w:rPr>
        <w:t>ativ</w:t>
      </w:r>
      <w:r w:rsidRPr="00D5464D">
        <w:rPr>
          <w:lang w:val="pt-BR"/>
        </w:rPr>
        <w:t>a</w:t>
      </w:r>
      <w:r w:rsidR="00E045D9" w:rsidRPr="00D5464D">
        <w:rPr>
          <w:lang w:val="pt-BR"/>
        </w:rPr>
        <w:t xml:space="preserve"> e </w:t>
      </w:r>
      <w:r w:rsidR="00470ADC" w:rsidRPr="00D5464D">
        <w:rPr>
          <w:lang w:val="pt-BR"/>
        </w:rPr>
        <w:t>diret</w:t>
      </w:r>
      <w:r w:rsidRPr="00D5464D">
        <w:rPr>
          <w:lang w:val="pt-BR"/>
        </w:rPr>
        <w:t>amente</w:t>
      </w:r>
      <w:r w:rsidR="00E045D9" w:rsidRPr="00D5464D">
        <w:rPr>
          <w:lang w:val="pt-BR"/>
        </w:rPr>
        <w:t xml:space="preserve"> n</w:t>
      </w:r>
      <w:r w:rsidR="004A13F3" w:rsidRPr="00D5464D">
        <w:rPr>
          <w:lang w:val="pt-BR"/>
        </w:rPr>
        <w:t>a</w:t>
      </w:r>
      <w:r w:rsidR="00E045D9" w:rsidRPr="00D5464D">
        <w:rPr>
          <w:lang w:val="pt-BR"/>
        </w:rPr>
        <w:t xml:space="preserve"> </w:t>
      </w:r>
      <w:r w:rsidR="002C330E" w:rsidRPr="00D5464D">
        <w:rPr>
          <w:lang w:val="pt-BR"/>
        </w:rPr>
        <w:t>submissão</w:t>
      </w:r>
      <w:r w:rsidR="00470ADC" w:rsidRPr="00D5464D">
        <w:rPr>
          <w:lang w:val="pt-BR"/>
        </w:rPr>
        <w:t xml:space="preserve"> dos </w:t>
      </w:r>
      <w:r w:rsidR="00E045D9" w:rsidRPr="00D5464D">
        <w:rPr>
          <w:lang w:val="pt-BR"/>
        </w:rPr>
        <w:t>trabalhadores</w:t>
      </w:r>
      <w:r w:rsidR="00470ADC" w:rsidRPr="00D5464D">
        <w:rPr>
          <w:lang w:val="pt-BR"/>
        </w:rPr>
        <w:t xml:space="preserve"> à </w:t>
      </w:r>
      <w:r w:rsidR="00B16982" w:rsidRPr="00D5464D">
        <w:rPr>
          <w:lang w:val="pt-BR"/>
        </w:rPr>
        <w:t>alegada situa</w:t>
      </w:r>
      <w:r w:rsidR="00470ADC" w:rsidRPr="00D5464D">
        <w:rPr>
          <w:lang w:val="pt-BR"/>
        </w:rPr>
        <w:t>ção</w:t>
      </w:r>
      <w:r w:rsidR="00B16982" w:rsidRPr="00D5464D">
        <w:rPr>
          <w:lang w:val="pt-BR"/>
        </w:rPr>
        <w:t xml:space="preserve"> de “</w:t>
      </w:r>
      <w:r w:rsidR="00E045D9" w:rsidRPr="00D5464D">
        <w:rPr>
          <w:lang w:val="pt-BR"/>
        </w:rPr>
        <w:t>trabalho</w:t>
      </w:r>
      <w:r w:rsidR="00B16982" w:rsidRPr="00D5464D">
        <w:rPr>
          <w:lang w:val="pt-BR"/>
        </w:rPr>
        <w:t xml:space="preserve"> </w:t>
      </w:r>
      <w:r w:rsidR="004F1CC2" w:rsidRPr="00D5464D">
        <w:rPr>
          <w:lang w:val="pt-BR"/>
        </w:rPr>
        <w:t>escravo</w:t>
      </w:r>
      <w:r w:rsidR="00B16982" w:rsidRPr="00D5464D">
        <w:rPr>
          <w:lang w:val="pt-BR"/>
        </w:rPr>
        <w:t>”</w:t>
      </w:r>
      <w:r w:rsidR="00E045D9" w:rsidRPr="00D5464D">
        <w:rPr>
          <w:lang w:val="pt-BR"/>
        </w:rPr>
        <w:t xml:space="preserve"> na </w:t>
      </w:r>
      <w:r w:rsidR="00D809F0" w:rsidRPr="00D5464D">
        <w:rPr>
          <w:lang w:val="pt-BR"/>
        </w:rPr>
        <w:t>Fazenda</w:t>
      </w:r>
      <w:r w:rsidR="00B16982" w:rsidRPr="00D5464D">
        <w:rPr>
          <w:lang w:val="pt-BR"/>
        </w:rPr>
        <w:t xml:space="preserve"> Brasil Verde, </w:t>
      </w:r>
      <w:r w:rsidR="002C330E" w:rsidRPr="00D5464D">
        <w:rPr>
          <w:lang w:val="pt-BR"/>
        </w:rPr>
        <w:t xml:space="preserve">mas </w:t>
      </w:r>
      <w:r w:rsidR="00F27843" w:rsidRPr="00D5464D">
        <w:rPr>
          <w:lang w:val="pt-BR"/>
        </w:rPr>
        <w:t xml:space="preserve">sim que essa submissão esteve a cargo de </w:t>
      </w:r>
      <w:r w:rsidR="00E045D9" w:rsidRPr="00D5464D">
        <w:rPr>
          <w:lang w:val="pt-BR"/>
        </w:rPr>
        <w:t>terceiro</w:t>
      </w:r>
      <w:r w:rsidRPr="00D5464D">
        <w:rPr>
          <w:lang w:val="pt-BR"/>
        </w:rPr>
        <w:t xml:space="preserve">s particulares. </w:t>
      </w:r>
    </w:p>
    <w:p w14:paraId="315E4118" w14:textId="77777777" w:rsidR="00207197" w:rsidRPr="00D5464D" w:rsidRDefault="00207197" w:rsidP="00140440">
      <w:pPr>
        <w:pStyle w:val="Prrafodelista"/>
        <w:ind w:left="0"/>
        <w:rPr>
          <w:lang w:val="pt-BR"/>
        </w:rPr>
      </w:pPr>
    </w:p>
    <w:p w14:paraId="07F3F496" w14:textId="7CC9B266" w:rsidR="00207197" w:rsidRPr="00D5464D" w:rsidRDefault="004A13F3" w:rsidP="00F37DC4">
      <w:pPr>
        <w:pStyle w:val="Prrafodelista"/>
        <w:numPr>
          <w:ilvl w:val="0"/>
          <w:numId w:val="1"/>
        </w:numPr>
        <w:contextualSpacing w:val="0"/>
        <w:rPr>
          <w:lang w:val="pt-BR"/>
        </w:rPr>
      </w:pPr>
      <w:r w:rsidRPr="00D5464D">
        <w:rPr>
          <w:lang w:val="pt-BR"/>
        </w:rPr>
        <w:t xml:space="preserve">No que tange </w:t>
      </w:r>
      <w:r w:rsidR="00E045D9" w:rsidRPr="00D5464D">
        <w:rPr>
          <w:lang w:val="pt-BR"/>
        </w:rPr>
        <w:t xml:space="preserve">aos </w:t>
      </w:r>
      <w:r w:rsidR="002C330E" w:rsidRPr="00D5464D">
        <w:rPr>
          <w:lang w:val="pt-BR"/>
        </w:rPr>
        <w:t>fatos</w:t>
      </w:r>
      <w:r w:rsidR="00207197" w:rsidRPr="00D5464D">
        <w:rPr>
          <w:lang w:val="pt-BR"/>
        </w:rPr>
        <w:t xml:space="preserve"> específicos </w:t>
      </w:r>
      <w:r w:rsidR="00470ADC" w:rsidRPr="00D5464D">
        <w:rPr>
          <w:lang w:val="pt-BR"/>
        </w:rPr>
        <w:t xml:space="preserve">do </w:t>
      </w:r>
      <w:r w:rsidR="00207197" w:rsidRPr="00D5464D">
        <w:rPr>
          <w:lang w:val="pt-BR"/>
        </w:rPr>
        <w:t xml:space="preserve">caso que </w:t>
      </w:r>
      <w:r w:rsidR="00470ADC" w:rsidRPr="00D5464D">
        <w:rPr>
          <w:lang w:val="pt-BR"/>
        </w:rPr>
        <w:t>foram</w:t>
      </w:r>
      <w:r w:rsidR="00207197" w:rsidRPr="00D5464D">
        <w:rPr>
          <w:lang w:val="pt-BR"/>
        </w:rPr>
        <w:t xml:space="preserve"> alegados como viola</w:t>
      </w:r>
      <w:r w:rsidR="00470ADC" w:rsidRPr="00D5464D">
        <w:rPr>
          <w:lang w:val="pt-BR"/>
        </w:rPr>
        <w:t>ção ao artigo</w:t>
      </w:r>
      <w:r w:rsidR="00207197" w:rsidRPr="00D5464D">
        <w:rPr>
          <w:lang w:val="pt-BR"/>
        </w:rPr>
        <w:t xml:space="preserve"> 6.1</w:t>
      </w:r>
      <w:r w:rsidR="00470ADC" w:rsidRPr="00D5464D">
        <w:rPr>
          <w:lang w:val="pt-BR"/>
        </w:rPr>
        <w:t xml:space="preserve"> da </w:t>
      </w:r>
      <w:r w:rsidR="00207197" w:rsidRPr="00D5464D">
        <w:rPr>
          <w:lang w:val="pt-BR"/>
        </w:rPr>
        <w:t>Conven</w:t>
      </w:r>
      <w:r w:rsidR="00470ADC" w:rsidRPr="00D5464D">
        <w:rPr>
          <w:lang w:val="pt-BR"/>
        </w:rPr>
        <w:t>ção</w:t>
      </w:r>
      <w:r w:rsidR="00207197" w:rsidRPr="00D5464D">
        <w:rPr>
          <w:lang w:val="pt-BR"/>
        </w:rPr>
        <w:t xml:space="preserve"> Americana, </w:t>
      </w:r>
      <w:r w:rsidRPr="00D5464D">
        <w:rPr>
          <w:lang w:val="pt-BR"/>
        </w:rPr>
        <w:t xml:space="preserve">após </w:t>
      </w:r>
      <w:r w:rsidR="00A1358C" w:rsidRPr="00D5464D">
        <w:rPr>
          <w:lang w:val="pt-BR"/>
        </w:rPr>
        <w:t>estuda</w:t>
      </w:r>
      <w:r w:rsidR="00207197" w:rsidRPr="00D5464D">
        <w:rPr>
          <w:lang w:val="pt-BR"/>
        </w:rPr>
        <w:t>r</w:t>
      </w:r>
      <w:r w:rsidRPr="00D5464D">
        <w:rPr>
          <w:lang w:val="pt-BR"/>
        </w:rPr>
        <w:t xml:space="preserve"> minuciosamente</w:t>
      </w:r>
      <w:r w:rsidR="00207197" w:rsidRPr="00D5464D">
        <w:rPr>
          <w:lang w:val="pt-BR"/>
        </w:rPr>
        <w:t xml:space="preserve"> </w:t>
      </w:r>
      <w:r w:rsidRPr="00D5464D">
        <w:rPr>
          <w:lang w:val="pt-BR"/>
        </w:rPr>
        <w:t xml:space="preserve">os autos e </w:t>
      </w:r>
      <w:r w:rsidR="002C330E" w:rsidRPr="00D5464D">
        <w:rPr>
          <w:lang w:val="pt-BR"/>
        </w:rPr>
        <w:t>as prova</w:t>
      </w:r>
      <w:r w:rsidR="00207197" w:rsidRPr="00D5464D">
        <w:rPr>
          <w:lang w:val="pt-BR"/>
        </w:rPr>
        <w:t>s</w:t>
      </w:r>
      <w:r w:rsidR="002C330E" w:rsidRPr="00D5464D">
        <w:rPr>
          <w:lang w:val="pt-BR"/>
        </w:rPr>
        <w:t xml:space="preserve"> apresentadas pelas </w:t>
      </w:r>
      <w:r w:rsidR="00207197" w:rsidRPr="00D5464D">
        <w:rPr>
          <w:lang w:val="pt-BR"/>
        </w:rPr>
        <w:t>partes</w:t>
      </w:r>
      <w:r w:rsidR="00E045D9" w:rsidRPr="00D5464D">
        <w:rPr>
          <w:lang w:val="pt-BR"/>
        </w:rPr>
        <w:t xml:space="preserve"> no </w:t>
      </w:r>
      <w:r w:rsidR="00207197" w:rsidRPr="00D5464D">
        <w:rPr>
          <w:lang w:val="pt-BR"/>
        </w:rPr>
        <w:t xml:space="preserve">presente </w:t>
      </w:r>
      <w:r w:rsidR="002C330E" w:rsidRPr="00D5464D">
        <w:rPr>
          <w:lang w:val="pt-BR"/>
        </w:rPr>
        <w:t>litígio</w:t>
      </w:r>
      <w:r w:rsidR="00207197" w:rsidRPr="00D5464D">
        <w:rPr>
          <w:lang w:val="pt-BR"/>
        </w:rPr>
        <w:t>,</w:t>
      </w:r>
      <w:r w:rsidR="002C330E" w:rsidRPr="00D5464D">
        <w:rPr>
          <w:lang w:val="pt-BR"/>
        </w:rPr>
        <w:t xml:space="preserve"> a </w:t>
      </w:r>
      <w:r w:rsidR="00207197" w:rsidRPr="00D5464D">
        <w:rPr>
          <w:lang w:val="pt-BR"/>
        </w:rPr>
        <w:t xml:space="preserve">Corte </w:t>
      </w:r>
      <w:r w:rsidR="00470ADC" w:rsidRPr="00D5464D">
        <w:rPr>
          <w:lang w:val="pt-BR"/>
        </w:rPr>
        <w:t>estabeleceu</w:t>
      </w:r>
      <w:r w:rsidR="002C330E" w:rsidRPr="00D5464D">
        <w:rPr>
          <w:lang w:val="pt-BR"/>
        </w:rPr>
        <w:t xml:space="preserve"> os fatos</w:t>
      </w:r>
      <w:r w:rsidR="00207197" w:rsidRPr="00D5464D">
        <w:rPr>
          <w:lang w:val="pt-BR"/>
        </w:rPr>
        <w:t xml:space="preserve"> relevantes que </w:t>
      </w:r>
      <w:r w:rsidRPr="00D5464D">
        <w:rPr>
          <w:lang w:val="pt-BR"/>
        </w:rPr>
        <w:t xml:space="preserve">serão detalhados </w:t>
      </w:r>
      <w:r w:rsidR="00E765C2" w:rsidRPr="00D5464D">
        <w:rPr>
          <w:lang w:val="pt-BR"/>
        </w:rPr>
        <w:t>a seguir</w:t>
      </w:r>
      <w:r w:rsidR="00207197" w:rsidRPr="00D5464D">
        <w:rPr>
          <w:lang w:val="pt-BR"/>
        </w:rPr>
        <w:t xml:space="preserve">. </w:t>
      </w:r>
    </w:p>
    <w:p w14:paraId="34FAE12E" w14:textId="77777777" w:rsidR="00207197" w:rsidRPr="00D5464D" w:rsidRDefault="00207197" w:rsidP="00140440">
      <w:pPr>
        <w:pStyle w:val="Prrafodelista"/>
        <w:ind w:left="0"/>
        <w:rPr>
          <w:lang w:val="pt-BR"/>
        </w:rPr>
      </w:pPr>
    </w:p>
    <w:p w14:paraId="179D6E84" w14:textId="3375BA6C" w:rsidR="00207197" w:rsidRPr="00D5464D" w:rsidRDefault="00207197" w:rsidP="00F37DC4">
      <w:pPr>
        <w:pStyle w:val="Prrafodelista"/>
        <w:numPr>
          <w:ilvl w:val="0"/>
          <w:numId w:val="1"/>
        </w:numPr>
        <w:contextualSpacing w:val="0"/>
        <w:rPr>
          <w:lang w:val="pt-BR"/>
        </w:rPr>
      </w:pPr>
      <w:r w:rsidRPr="00D5464D">
        <w:rPr>
          <w:lang w:val="pt-BR"/>
        </w:rPr>
        <w:t>Durante</w:t>
      </w:r>
      <w:r w:rsidR="00470ADC" w:rsidRPr="00D5464D">
        <w:rPr>
          <w:lang w:val="pt-BR"/>
        </w:rPr>
        <w:t xml:space="preserve"> o</w:t>
      </w:r>
      <w:r w:rsidR="002C330E" w:rsidRPr="00D5464D">
        <w:rPr>
          <w:lang w:val="pt-BR"/>
        </w:rPr>
        <w:t xml:space="preserve"> mês </w:t>
      </w:r>
      <w:r w:rsidRPr="00D5464D">
        <w:rPr>
          <w:lang w:val="pt-BR"/>
        </w:rPr>
        <w:t xml:space="preserve">de </w:t>
      </w:r>
      <w:r w:rsidR="00470ADC" w:rsidRPr="00D5464D">
        <w:rPr>
          <w:lang w:val="pt-BR"/>
        </w:rPr>
        <w:t>fevereiro</w:t>
      </w:r>
      <w:r w:rsidRPr="00D5464D">
        <w:rPr>
          <w:lang w:val="pt-BR"/>
        </w:rPr>
        <w:t xml:space="preserve"> </w:t>
      </w:r>
      <w:r w:rsidR="007B5AFA" w:rsidRPr="00D5464D">
        <w:rPr>
          <w:lang w:val="pt-BR"/>
        </w:rPr>
        <w:t xml:space="preserve">de </w:t>
      </w:r>
      <w:r w:rsidRPr="00D5464D">
        <w:rPr>
          <w:lang w:val="pt-BR"/>
        </w:rPr>
        <w:t>2000,</w:t>
      </w:r>
      <w:r w:rsidR="00470ADC" w:rsidRPr="00D5464D">
        <w:rPr>
          <w:lang w:val="pt-BR"/>
        </w:rPr>
        <w:t xml:space="preserve"> o </w:t>
      </w:r>
      <w:r w:rsidR="00C32FB5" w:rsidRPr="00D5464D">
        <w:rPr>
          <w:lang w:val="pt-BR"/>
        </w:rPr>
        <w:t xml:space="preserve">gato </w:t>
      </w:r>
      <w:r w:rsidR="00470ADC" w:rsidRPr="00D5464D">
        <w:rPr>
          <w:lang w:val="pt-BR"/>
        </w:rPr>
        <w:t>conhecido</w:t>
      </w:r>
      <w:r w:rsidRPr="00D5464D">
        <w:rPr>
          <w:lang w:val="pt-BR"/>
        </w:rPr>
        <w:t xml:space="preserve"> como “Meladinho” </w:t>
      </w:r>
      <w:r w:rsidR="004A13F3" w:rsidRPr="00D5464D">
        <w:rPr>
          <w:lang w:val="pt-BR"/>
        </w:rPr>
        <w:t xml:space="preserve">aliciou </w:t>
      </w:r>
      <w:r w:rsidRPr="00D5464D">
        <w:rPr>
          <w:lang w:val="pt-BR"/>
        </w:rPr>
        <w:t xml:space="preserve">a </w:t>
      </w:r>
      <w:r w:rsidR="00E765C2" w:rsidRPr="00D5464D">
        <w:rPr>
          <w:lang w:val="pt-BR"/>
        </w:rPr>
        <w:t>dezenas</w:t>
      </w:r>
      <w:r w:rsidR="00EA26F4" w:rsidRPr="00D5464D">
        <w:rPr>
          <w:lang w:val="pt-BR"/>
        </w:rPr>
        <w:t xml:space="preserve"> de </w:t>
      </w:r>
      <w:r w:rsidR="00E045D9" w:rsidRPr="00D5464D">
        <w:rPr>
          <w:lang w:val="pt-BR"/>
        </w:rPr>
        <w:t xml:space="preserve">trabalhadores no </w:t>
      </w:r>
      <w:r w:rsidR="00230C71" w:rsidRPr="00D5464D">
        <w:rPr>
          <w:lang w:val="pt-BR"/>
        </w:rPr>
        <w:t>Município</w:t>
      </w:r>
      <w:r w:rsidRPr="00D5464D">
        <w:rPr>
          <w:lang w:val="pt-BR"/>
        </w:rPr>
        <w:t xml:space="preserve"> de Barras, Estado d</w:t>
      </w:r>
      <w:r w:rsidR="004A13F3" w:rsidRPr="00D5464D">
        <w:rPr>
          <w:lang w:val="pt-BR"/>
        </w:rPr>
        <w:t>o</w:t>
      </w:r>
      <w:r w:rsidRPr="00D5464D">
        <w:rPr>
          <w:lang w:val="pt-BR"/>
        </w:rPr>
        <w:t xml:space="preserve"> Piauí, para </w:t>
      </w:r>
      <w:r w:rsidR="00E045D9" w:rsidRPr="00D5464D">
        <w:rPr>
          <w:lang w:val="pt-BR"/>
        </w:rPr>
        <w:t>trabalh</w:t>
      </w:r>
      <w:r w:rsidRPr="00D5464D">
        <w:rPr>
          <w:lang w:val="pt-BR"/>
        </w:rPr>
        <w:t>ar</w:t>
      </w:r>
      <w:r w:rsidR="004A13F3" w:rsidRPr="00D5464D">
        <w:rPr>
          <w:lang w:val="pt-BR"/>
        </w:rPr>
        <w:t>em</w:t>
      </w:r>
      <w:r w:rsidR="00E045D9" w:rsidRPr="00D5464D">
        <w:rPr>
          <w:lang w:val="pt-BR"/>
        </w:rPr>
        <w:t xml:space="preserve"> na </w:t>
      </w:r>
      <w:r w:rsidR="00D809F0" w:rsidRPr="00D5464D">
        <w:rPr>
          <w:lang w:val="pt-BR"/>
        </w:rPr>
        <w:t>Fazenda</w:t>
      </w:r>
      <w:r w:rsidRPr="00D5464D">
        <w:rPr>
          <w:lang w:val="pt-BR"/>
        </w:rPr>
        <w:t xml:space="preserve"> Brasil Verde</w:t>
      </w:r>
      <w:r w:rsidR="0073312C" w:rsidRPr="00D5464D">
        <w:rPr>
          <w:lang w:val="pt-BR"/>
        </w:rPr>
        <w:t xml:space="preserve"> (</w:t>
      </w:r>
      <w:r w:rsidR="00C85EA9" w:rsidRPr="00D5464D">
        <w:rPr>
          <w:lang w:val="pt-BR"/>
        </w:rPr>
        <w:t xml:space="preserve">par. </w:t>
      </w:r>
      <w:r w:rsidR="00D036E7" w:rsidRPr="00D5464D">
        <w:rPr>
          <w:lang w:val="pt-BR"/>
        </w:rPr>
        <w:t>164</w:t>
      </w:r>
      <w:r w:rsidR="00D036E7" w:rsidRPr="00D5464D">
        <w:rPr>
          <w:i/>
          <w:lang w:val="pt-BR"/>
        </w:rPr>
        <w:t xml:space="preserve"> supra</w:t>
      </w:r>
      <w:r w:rsidR="00D036E7" w:rsidRPr="00D5464D">
        <w:rPr>
          <w:lang w:val="pt-BR"/>
        </w:rPr>
        <w:t>)</w:t>
      </w:r>
      <w:r w:rsidRPr="00D5464D">
        <w:rPr>
          <w:lang w:val="pt-BR"/>
        </w:rPr>
        <w:t xml:space="preserve">. </w:t>
      </w:r>
    </w:p>
    <w:p w14:paraId="0DA57867" w14:textId="77777777" w:rsidR="00207197" w:rsidRPr="00D5464D" w:rsidRDefault="00207197" w:rsidP="00140440">
      <w:pPr>
        <w:pStyle w:val="Prrafodelista"/>
        <w:ind w:left="0"/>
        <w:rPr>
          <w:lang w:val="pt-BR"/>
        </w:rPr>
      </w:pPr>
    </w:p>
    <w:p w14:paraId="2008AE9C" w14:textId="323654CA" w:rsidR="00207197" w:rsidRPr="00D5464D" w:rsidRDefault="00207197" w:rsidP="00F37DC4">
      <w:pPr>
        <w:pStyle w:val="Prrafodelista"/>
        <w:numPr>
          <w:ilvl w:val="0"/>
          <w:numId w:val="1"/>
        </w:numPr>
        <w:contextualSpacing w:val="0"/>
        <w:rPr>
          <w:lang w:val="pt-BR"/>
        </w:rPr>
      </w:pPr>
      <w:r w:rsidRPr="00D5464D">
        <w:rPr>
          <w:lang w:val="pt-BR"/>
        </w:rPr>
        <w:t xml:space="preserve">Para </w:t>
      </w:r>
      <w:r w:rsidR="00737270" w:rsidRPr="00D5464D">
        <w:rPr>
          <w:lang w:val="pt-BR"/>
        </w:rPr>
        <w:t>chegar</w:t>
      </w:r>
      <w:r w:rsidR="00470ADC" w:rsidRPr="00D5464D">
        <w:rPr>
          <w:lang w:val="pt-BR"/>
        </w:rPr>
        <w:t xml:space="preserve"> à </w:t>
      </w:r>
      <w:r w:rsidR="00D809F0" w:rsidRPr="00D5464D">
        <w:rPr>
          <w:lang w:val="pt-BR"/>
        </w:rPr>
        <w:t>Fazenda</w:t>
      </w:r>
      <w:r w:rsidRPr="00D5464D">
        <w:rPr>
          <w:lang w:val="pt-BR"/>
        </w:rPr>
        <w:t xml:space="preserve"> Brasil Verde,</w:t>
      </w:r>
      <w:r w:rsidR="002C330E" w:rsidRPr="00D5464D">
        <w:rPr>
          <w:lang w:val="pt-BR"/>
        </w:rPr>
        <w:t xml:space="preserve"> os </w:t>
      </w:r>
      <w:r w:rsidR="00E045D9" w:rsidRPr="00D5464D">
        <w:rPr>
          <w:lang w:val="pt-BR"/>
        </w:rPr>
        <w:t>trabalhadores</w:t>
      </w:r>
      <w:r w:rsidRPr="00D5464D">
        <w:rPr>
          <w:lang w:val="pt-BR"/>
        </w:rPr>
        <w:t xml:space="preserve"> </w:t>
      </w:r>
      <w:r w:rsidR="004A13F3" w:rsidRPr="00D5464D">
        <w:rPr>
          <w:lang w:val="pt-BR"/>
        </w:rPr>
        <w:t xml:space="preserve">aliciados </w:t>
      </w:r>
      <w:r w:rsidRPr="00D5464D">
        <w:rPr>
          <w:lang w:val="pt-BR"/>
        </w:rPr>
        <w:t>viaj</w:t>
      </w:r>
      <w:r w:rsidR="00350187" w:rsidRPr="00D5464D">
        <w:rPr>
          <w:lang w:val="pt-BR"/>
        </w:rPr>
        <w:t xml:space="preserve">aram </w:t>
      </w:r>
      <w:r w:rsidRPr="00D5464D">
        <w:rPr>
          <w:lang w:val="pt-BR"/>
        </w:rPr>
        <w:t>durante aproximadamente</w:t>
      </w:r>
      <w:r w:rsidR="00E045D9" w:rsidRPr="00D5464D">
        <w:rPr>
          <w:lang w:val="pt-BR"/>
        </w:rPr>
        <w:t xml:space="preserve"> três </w:t>
      </w:r>
      <w:r w:rsidR="00470ADC" w:rsidRPr="00D5464D">
        <w:rPr>
          <w:lang w:val="pt-BR"/>
        </w:rPr>
        <w:t>dia</w:t>
      </w:r>
      <w:r w:rsidRPr="00D5464D">
        <w:rPr>
          <w:lang w:val="pt-BR"/>
        </w:rPr>
        <w:t>s</w:t>
      </w:r>
      <w:r w:rsidR="00470ADC" w:rsidRPr="00D5464D">
        <w:rPr>
          <w:lang w:val="pt-BR"/>
        </w:rPr>
        <w:t xml:space="preserve"> em </w:t>
      </w:r>
      <w:r w:rsidR="004A13F3" w:rsidRPr="00D5464D">
        <w:rPr>
          <w:lang w:val="pt-BR"/>
        </w:rPr>
        <w:t>ônibus, trem</w:t>
      </w:r>
      <w:r w:rsidR="00E045D9" w:rsidRPr="00D5464D">
        <w:rPr>
          <w:lang w:val="pt-BR"/>
        </w:rPr>
        <w:t xml:space="preserve"> e </w:t>
      </w:r>
      <w:r w:rsidR="00C91CB1" w:rsidRPr="00D5464D">
        <w:rPr>
          <w:lang w:val="pt-BR"/>
        </w:rPr>
        <w:t>caminhão</w:t>
      </w:r>
      <w:r w:rsidR="0073312C" w:rsidRPr="00D5464D">
        <w:rPr>
          <w:lang w:val="pt-BR"/>
        </w:rPr>
        <w:t xml:space="preserve"> (</w:t>
      </w:r>
      <w:r w:rsidR="00C85EA9" w:rsidRPr="00D5464D">
        <w:rPr>
          <w:lang w:val="pt-BR"/>
        </w:rPr>
        <w:t xml:space="preserve">par. </w:t>
      </w:r>
      <w:r w:rsidR="00D036E7" w:rsidRPr="00D5464D">
        <w:rPr>
          <w:lang w:val="pt-BR"/>
        </w:rPr>
        <w:t>165</w:t>
      </w:r>
      <w:r w:rsidR="00D036E7" w:rsidRPr="00D5464D">
        <w:rPr>
          <w:i/>
          <w:lang w:val="pt-BR"/>
        </w:rPr>
        <w:t xml:space="preserve"> supra</w:t>
      </w:r>
      <w:r w:rsidR="00D036E7" w:rsidRPr="00D5464D">
        <w:rPr>
          <w:lang w:val="pt-BR"/>
        </w:rPr>
        <w:t>)</w:t>
      </w:r>
      <w:r w:rsidRPr="00D5464D">
        <w:rPr>
          <w:lang w:val="pt-BR"/>
        </w:rPr>
        <w:t xml:space="preserve">. </w:t>
      </w:r>
      <w:r w:rsidR="00470ADC" w:rsidRPr="00D5464D">
        <w:rPr>
          <w:lang w:val="pt-BR"/>
        </w:rPr>
        <w:t>Ademais</w:t>
      </w:r>
      <w:r w:rsidRPr="00D5464D">
        <w:rPr>
          <w:lang w:val="pt-BR"/>
        </w:rPr>
        <w:t>,</w:t>
      </w:r>
      <w:r w:rsidR="002C330E" w:rsidRPr="00D5464D">
        <w:rPr>
          <w:lang w:val="pt-BR"/>
        </w:rPr>
        <w:t xml:space="preserve"> os </w:t>
      </w:r>
      <w:r w:rsidR="00E045D9" w:rsidRPr="00D5464D">
        <w:rPr>
          <w:lang w:val="pt-BR"/>
        </w:rPr>
        <w:t>trabalhadores</w:t>
      </w:r>
      <w:r w:rsidRPr="00D5464D">
        <w:rPr>
          <w:lang w:val="pt-BR"/>
        </w:rPr>
        <w:t xml:space="preserve"> </w:t>
      </w:r>
      <w:r w:rsidR="00E045D9" w:rsidRPr="00D5464D">
        <w:rPr>
          <w:lang w:val="pt-BR"/>
        </w:rPr>
        <w:t>tiveram</w:t>
      </w:r>
      <w:r w:rsidRPr="00D5464D">
        <w:rPr>
          <w:lang w:val="pt-BR"/>
        </w:rPr>
        <w:t xml:space="preserve"> </w:t>
      </w:r>
      <w:r w:rsidR="00F27843" w:rsidRPr="00D5464D">
        <w:rPr>
          <w:lang w:val="pt-BR"/>
        </w:rPr>
        <w:t xml:space="preserve">que </w:t>
      </w:r>
      <w:r w:rsidRPr="00D5464D">
        <w:rPr>
          <w:lang w:val="pt-BR"/>
        </w:rPr>
        <w:t>permanecer</w:t>
      </w:r>
      <w:r w:rsidR="00E045D9" w:rsidRPr="00D5464D">
        <w:rPr>
          <w:lang w:val="pt-BR"/>
        </w:rPr>
        <w:t xml:space="preserve"> uma </w:t>
      </w:r>
      <w:r w:rsidR="002C330E" w:rsidRPr="00D5464D">
        <w:rPr>
          <w:lang w:val="pt-BR"/>
        </w:rPr>
        <w:t>noite</w:t>
      </w:r>
      <w:r w:rsidR="00470ADC" w:rsidRPr="00D5464D">
        <w:rPr>
          <w:lang w:val="pt-BR"/>
        </w:rPr>
        <w:t xml:space="preserve"> em</w:t>
      </w:r>
      <w:r w:rsidR="00E045D9" w:rsidRPr="00D5464D">
        <w:rPr>
          <w:lang w:val="pt-BR"/>
        </w:rPr>
        <w:t xml:space="preserve"> um </w:t>
      </w:r>
      <w:r w:rsidRPr="00D5464D">
        <w:rPr>
          <w:lang w:val="pt-BR"/>
        </w:rPr>
        <w:t>hotel situado</w:t>
      </w:r>
      <w:r w:rsidR="00E045D9" w:rsidRPr="00D5464D">
        <w:rPr>
          <w:lang w:val="pt-BR"/>
        </w:rPr>
        <w:t xml:space="preserve"> na </w:t>
      </w:r>
      <w:r w:rsidR="00470ADC" w:rsidRPr="00D5464D">
        <w:rPr>
          <w:lang w:val="pt-BR"/>
        </w:rPr>
        <w:t>cidade</w:t>
      </w:r>
      <w:r w:rsidRPr="00D5464D">
        <w:rPr>
          <w:lang w:val="pt-BR"/>
        </w:rPr>
        <w:t xml:space="preserve"> de Xinguara,</w:t>
      </w:r>
      <w:r w:rsidR="00470ADC" w:rsidRPr="00D5464D">
        <w:rPr>
          <w:lang w:val="pt-BR"/>
        </w:rPr>
        <w:t xml:space="preserve"> com</w:t>
      </w:r>
      <w:r w:rsidR="004A13F3" w:rsidRPr="00D5464D">
        <w:rPr>
          <w:lang w:val="pt-BR"/>
        </w:rPr>
        <w:t xml:space="preserve"> o qu</w:t>
      </w:r>
      <w:r w:rsidR="00420A16" w:rsidRPr="00D5464D">
        <w:rPr>
          <w:lang w:val="pt-BR"/>
        </w:rPr>
        <w:t>e</w:t>
      </w:r>
      <w:r w:rsidR="00A1358C" w:rsidRPr="00D5464D">
        <w:rPr>
          <w:lang w:val="pt-BR"/>
        </w:rPr>
        <w:t xml:space="preserve"> </w:t>
      </w:r>
      <w:r w:rsidR="00230C71" w:rsidRPr="00D5464D">
        <w:rPr>
          <w:lang w:val="pt-BR"/>
        </w:rPr>
        <w:t>ficaram</w:t>
      </w:r>
      <w:r w:rsidRPr="00D5464D">
        <w:rPr>
          <w:lang w:val="pt-BR"/>
        </w:rPr>
        <w:t xml:space="preserve"> </w:t>
      </w:r>
      <w:r w:rsidR="004A13F3" w:rsidRPr="00D5464D">
        <w:rPr>
          <w:lang w:val="pt-BR"/>
        </w:rPr>
        <w:t xml:space="preserve">endividados </w:t>
      </w:r>
      <w:r w:rsidR="0073312C" w:rsidRPr="00D5464D">
        <w:rPr>
          <w:lang w:val="pt-BR"/>
        </w:rPr>
        <w:t>(</w:t>
      </w:r>
      <w:r w:rsidR="00C85EA9" w:rsidRPr="00D5464D">
        <w:rPr>
          <w:lang w:val="pt-BR"/>
        </w:rPr>
        <w:t xml:space="preserve">par. </w:t>
      </w:r>
      <w:r w:rsidR="00D036E7" w:rsidRPr="00D5464D">
        <w:rPr>
          <w:lang w:val="pt-BR"/>
        </w:rPr>
        <w:t>165</w:t>
      </w:r>
      <w:r w:rsidR="00D036E7" w:rsidRPr="00D5464D">
        <w:rPr>
          <w:i/>
          <w:lang w:val="pt-BR"/>
        </w:rPr>
        <w:t xml:space="preserve"> supra</w:t>
      </w:r>
      <w:r w:rsidR="00D036E7" w:rsidRPr="00D5464D">
        <w:rPr>
          <w:lang w:val="pt-BR"/>
        </w:rPr>
        <w:t>)</w:t>
      </w:r>
      <w:r w:rsidRPr="00D5464D">
        <w:rPr>
          <w:lang w:val="pt-BR"/>
        </w:rPr>
        <w:t>.</w:t>
      </w:r>
    </w:p>
    <w:p w14:paraId="081F4A14" w14:textId="77777777" w:rsidR="00207197" w:rsidRPr="00D5464D" w:rsidRDefault="00207197" w:rsidP="00140440">
      <w:pPr>
        <w:pStyle w:val="Prrafodelista"/>
        <w:ind w:left="0"/>
        <w:rPr>
          <w:lang w:val="pt-BR"/>
        </w:rPr>
      </w:pPr>
    </w:p>
    <w:p w14:paraId="3369859B" w14:textId="695F97C1" w:rsidR="00207197" w:rsidRPr="00D5464D" w:rsidRDefault="00470ADC" w:rsidP="00F37DC4">
      <w:pPr>
        <w:pStyle w:val="Prrafodelista"/>
        <w:numPr>
          <w:ilvl w:val="0"/>
          <w:numId w:val="1"/>
        </w:numPr>
        <w:contextualSpacing w:val="0"/>
        <w:rPr>
          <w:lang w:val="pt-BR"/>
        </w:rPr>
      </w:pPr>
      <w:r w:rsidRPr="00D5464D">
        <w:rPr>
          <w:lang w:val="pt-BR"/>
        </w:rPr>
        <w:t>Quando</w:t>
      </w:r>
      <w:r w:rsidR="002C330E" w:rsidRPr="00D5464D">
        <w:rPr>
          <w:lang w:val="pt-BR"/>
        </w:rPr>
        <w:t xml:space="preserve"> os </w:t>
      </w:r>
      <w:r w:rsidR="00E045D9" w:rsidRPr="00D5464D">
        <w:rPr>
          <w:lang w:val="pt-BR"/>
        </w:rPr>
        <w:t>trabalhadores</w:t>
      </w:r>
      <w:r w:rsidR="00207197" w:rsidRPr="00D5464D">
        <w:rPr>
          <w:lang w:val="pt-BR"/>
        </w:rPr>
        <w:t xml:space="preserve"> </w:t>
      </w:r>
      <w:r w:rsidR="002C330E" w:rsidRPr="00D5464D">
        <w:rPr>
          <w:lang w:val="pt-BR"/>
        </w:rPr>
        <w:t>chegaram</w:t>
      </w:r>
      <w:r w:rsidRPr="00D5464D">
        <w:rPr>
          <w:lang w:val="pt-BR"/>
        </w:rPr>
        <w:t xml:space="preserve"> à </w:t>
      </w:r>
      <w:r w:rsidR="00D809F0" w:rsidRPr="00D5464D">
        <w:rPr>
          <w:lang w:val="pt-BR"/>
        </w:rPr>
        <w:t>Fazenda</w:t>
      </w:r>
      <w:r w:rsidR="00207197" w:rsidRPr="00D5464D">
        <w:rPr>
          <w:lang w:val="pt-BR"/>
        </w:rPr>
        <w:t xml:space="preserve"> Brasil Verde</w:t>
      </w:r>
      <w:r w:rsidR="00495C4C" w:rsidRPr="00D5464D">
        <w:rPr>
          <w:lang w:val="pt-BR"/>
        </w:rPr>
        <w:t>,</w:t>
      </w:r>
      <w:r w:rsidR="00207197" w:rsidRPr="00D5464D">
        <w:rPr>
          <w:lang w:val="pt-BR"/>
        </w:rPr>
        <w:t xml:space="preserve"> </w:t>
      </w:r>
      <w:r w:rsidR="00350187" w:rsidRPr="00D5464D">
        <w:rPr>
          <w:lang w:val="pt-BR"/>
        </w:rPr>
        <w:t>entregaram</w:t>
      </w:r>
      <w:r w:rsidR="00207197" w:rsidRPr="00D5464D">
        <w:rPr>
          <w:lang w:val="pt-BR"/>
        </w:rPr>
        <w:t xml:space="preserve"> su</w:t>
      </w:r>
      <w:r w:rsidR="00495C4C" w:rsidRPr="00D5464D">
        <w:rPr>
          <w:lang w:val="pt-BR"/>
        </w:rPr>
        <w:t>a</w:t>
      </w:r>
      <w:r w:rsidR="00207197" w:rsidRPr="00D5464D">
        <w:rPr>
          <w:lang w:val="pt-BR"/>
        </w:rPr>
        <w:t xml:space="preserve">s </w:t>
      </w:r>
      <w:r w:rsidR="00A641AE" w:rsidRPr="00D5464D">
        <w:rPr>
          <w:lang w:val="pt-BR"/>
        </w:rPr>
        <w:t>carteiras de trabalho</w:t>
      </w:r>
      <w:r w:rsidRPr="00D5464D">
        <w:rPr>
          <w:lang w:val="pt-BR"/>
        </w:rPr>
        <w:t xml:space="preserve"> ao </w:t>
      </w:r>
      <w:r w:rsidR="00207197" w:rsidRPr="00D5464D">
        <w:rPr>
          <w:lang w:val="pt-BR"/>
        </w:rPr>
        <w:t xml:space="preserve">gerente, </w:t>
      </w:r>
      <w:r w:rsidR="002C330E" w:rsidRPr="00D5464D">
        <w:rPr>
          <w:lang w:val="pt-BR"/>
        </w:rPr>
        <w:t>que os obrigou</w:t>
      </w:r>
      <w:r w:rsidR="00207197" w:rsidRPr="00D5464D">
        <w:rPr>
          <w:lang w:val="pt-BR"/>
        </w:rPr>
        <w:t xml:space="preserve"> a</w:t>
      </w:r>
      <w:r w:rsidRPr="00D5464D">
        <w:rPr>
          <w:lang w:val="pt-BR"/>
        </w:rPr>
        <w:t xml:space="preserve"> assinar </w:t>
      </w:r>
      <w:r w:rsidR="00207197" w:rsidRPr="00D5464D">
        <w:rPr>
          <w:lang w:val="pt-BR"/>
        </w:rPr>
        <w:t>documentos</w:t>
      </w:r>
      <w:r w:rsidRPr="00D5464D">
        <w:rPr>
          <w:lang w:val="pt-BR"/>
        </w:rPr>
        <w:t xml:space="preserve"> </w:t>
      </w:r>
      <w:r w:rsidR="00AF0F26" w:rsidRPr="00D5464D">
        <w:rPr>
          <w:lang w:val="pt-BR"/>
        </w:rPr>
        <w:t>em branco</w:t>
      </w:r>
      <w:r w:rsidR="00207197" w:rsidRPr="00D5464D">
        <w:rPr>
          <w:lang w:val="pt-BR"/>
        </w:rPr>
        <w:t xml:space="preserve">. </w:t>
      </w:r>
      <w:r w:rsidRPr="00D5464D">
        <w:rPr>
          <w:lang w:val="pt-BR"/>
        </w:rPr>
        <w:t>Esta</w:t>
      </w:r>
      <w:r w:rsidR="00207197" w:rsidRPr="00D5464D">
        <w:rPr>
          <w:lang w:val="pt-BR"/>
        </w:rPr>
        <w:t xml:space="preserve"> </w:t>
      </w:r>
      <w:r w:rsidR="002C330E" w:rsidRPr="00D5464D">
        <w:rPr>
          <w:lang w:val="pt-BR"/>
        </w:rPr>
        <w:t>prática</w:t>
      </w:r>
      <w:r w:rsidR="00207197" w:rsidRPr="00D5464D">
        <w:rPr>
          <w:lang w:val="pt-BR"/>
        </w:rPr>
        <w:t xml:space="preserve"> era </w:t>
      </w:r>
      <w:r w:rsidR="00737270" w:rsidRPr="00D5464D">
        <w:rPr>
          <w:lang w:val="pt-BR"/>
        </w:rPr>
        <w:t>conheci</w:t>
      </w:r>
      <w:r w:rsidR="00207197" w:rsidRPr="00D5464D">
        <w:rPr>
          <w:lang w:val="pt-BR"/>
        </w:rPr>
        <w:t>da</w:t>
      </w:r>
      <w:r w:rsidR="002C330E" w:rsidRPr="00D5464D">
        <w:rPr>
          <w:lang w:val="pt-BR"/>
        </w:rPr>
        <w:t xml:space="preserve"> pelo </w:t>
      </w:r>
      <w:r w:rsidR="00207197" w:rsidRPr="00D5464D">
        <w:rPr>
          <w:lang w:val="pt-BR"/>
        </w:rPr>
        <w:t>Estado</w:t>
      </w:r>
      <w:r w:rsidRPr="00D5464D">
        <w:rPr>
          <w:lang w:val="pt-BR"/>
        </w:rPr>
        <w:t xml:space="preserve"> em </w:t>
      </w:r>
      <w:r w:rsidR="00E045D9" w:rsidRPr="00D5464D">
        <w:rPr>
          <w:lang w:val="pt-BR"/>
        </w:rPr>
        <w:t xml:space="preserve">virtude </w:t>
      </w:r>
      <w:r w:rsidR="00207197" w:rsidRPr="00D5464D">
        <w:rPr>
          <w:lang w:val="pt-BR"/>
        </w:rPr>
        <w:t xml:space="preserve">de </w:t>
      </w:r>
      <w:r w:rsidR="0031040E" w:rsidRPr="00D5464D">
        <w:rPr>
          <w:lang w:val="pt-BR"/>
        </w:rPr>
        <w:t>fiscalizações</w:t>
      </w:r>
      <w:r w:rsidR="00207197" w:rsidRPr="00D5464D">
        <w:rPr>
          <w:lang w:val="pt-BR"/>
        </w:rPr>
        <w:t xml:space="preserve"> anteriores</w:t>
      </w:r>
      <w:r w:rsidR="004C75FC" w:rsidRPr="00D5464D">
        <w:rPr>
          <w:lang w:val="pt-BR"/>
        </w:rPr>
        <w:t xml:space="preserve"> (</w:t>
      </w:r>
      <w:r w:rsidR="00C85EA9" w:rsidRPr="00D5464D">
        <w:rPr>
          <w:lang w:val="pt-BR"/>
        </w:rPr>
        <w:t xml:space="preserve">par. </w:t>
      </w:r>
      <w:r w:rsidR="00D036E7" w:rsidRPr="00D5464D">
        <w:rPr>
          <w:lang w:val="pt-BR"/>
        </w:rPr>
        <w:t>166</w:t>
      </w:r>
      <w:r w:rsidR="00D036E7" w:rsidRPr="00D5464D">
        <w:rPr>
          <w:i/>
          <w:lang w:val="pt-BR"/>
        </w:rPr>
        <w:t xml:space="preserve"> supra</w:t>
      </w:r>
      <w:r w:rsidR="00D036E7" w:rsidRPr="00D5464D">
        <w:rPr>
          <w:lang w:val="pt-BR"/>
        </w:rPr>
        <w:t>)</w:t>
      </w:r>
      <w:r w:rsidR="00495C4C" w:rsidRPr="00D5464D">
        <w:rPr>
          <w:lang w:val="pt-BR"/>
        </w:rPr>
        <w:t>.</w:t>
      </w:r>
      <w:r w:rsidR="00207197" w:rsidRPr="00D5464D">
        <w:rPr>
          <w:rStyle w:val="Refdenotaalpie"/>
          <w:lang w:val="pt-BR"/>
        </w:rPr>
        <w:footnoteReference w:id="444"/>
      </w:r>
      <w:r w:rsidR="00207197" w:rsidRPr="00D5464D">
        <w:rPr>
          <w:lang w:val="pt-BR"/>
        </w:rPr>
        <w:t xml:space="preserve"> </w:t>
      </w:r>
      <w:r w:rsidR="00350187" w:rsidRPr="00D5464D">
        <w:rPr>
          <w:lang w:val="pt-BR"/>
        </w:rPr>
        <w:t xml:space="preserve">Além disso, </w:t>
      </w:r>
      <w:r w:rsidR="00E045D9" w:rsidRPr="00D5464D">
        <w:rPr>
          <w:lang w:val="pt-BR"/>
        </w:rPr>
        <w:t xml:space="preserve">no </w:t>
      </w:r>
      <w:r w:rsidR="00207197" w:rsidRPr="00D5464D">
        <w:rPr>
          <w:lang w:val="pt-BR"/>
        </w:rPr>
        <w:t>caso</w:t>
      </w:r>
      <w:r w:rsidRPr="00D5464D">
        <w:rPr>
          <w:lang w:val="pt-BR"/>
        </w:rPr>
        <w:t xml:space="preserve"> da </w:t>
      </w:r>
      <w:r w:rsidR="002C330E" w:rsidRPr="00D5464D">
        <w:rPr>
          <w:lang w:val="pt-BR"/>
        </w:rPr>
        <w:t>suposta</w:t>
      </w:r>
      <w:r w:rsidR="00207197" w:rsidRPr="00D5464D">
        <w:rPr>
          <w:lang w:val="pt-BR"/>
        </w:rPr>
        <w:t xml:space="preserve"> </w:t>
      </w:r>
      <w:r w:rsidR="00E045D9" w:rsidRPr="00D5464D">
        <w:rPr>
          <w:lang w:val="pt-BR"/>
        </w:rPr>
        <w:t>vítima</w:t>
      </w:r>
      <w:r w:rsidR="00207197" w:rsidRPr="00D5464D">
        <w:rPr>
          <w:lang w:val="pt-BR"/>
        </w:rPr>
        <w:t xml:space="preserve"> </w:t>
      </w:r>
      <w:r w:rsidR="00E42F61" w:rsidRPr="00D5464D">
        <w:rPr>
          <w:lang w:val="pt-BR"/>
        </w:rPr>
        <w:t xml:space="preserve">Antônio </w:t>
      </w:r>
      <w:r w:rsidR="00207197" w:rsidRPr="00D5464D">
        <w:rPr>
          <w:lang w:val="pt-BR"/>
        </w:rPr>
        <w:t>Francisco da Silva,</w:t>
      </w:r>
      <w:r w:rsidR="002C330E" w:rsidRPr="00D5464D">
        <w:rPr>
          <w:lang w:val="pt-BR"/>
        </w:rPr>
        <w:t xml:space="preserve"> os </w:t>
      </w:r>
      <w:r w:rsidR="00737270" w:rsidRPr="00D5464D">
        <w:rPr>
          <w:lang w:val="pt-BR"/>
        </w:rPr>
        <w:t>encarregad</w:t>
      </w:r>
      <w:r w:rsidR="00207197" w:rsidRPr="00D5464D">
        <w:rPr>
          <w:lang w:val="pt-BR"/>
        </w:rPr>
        <w:t>os alter</w:t>
      </w:r>
      <w:r w:rsidR="00350187" w:rsidRPr="00D5464D">
        <w:rPr>
          <w:lang w:val="pt-BR"/>
        </w:rPr>
        <w:t xml:space="preserve">aram </w:t>
      </w:r>
      <w:r w:rsidR="002C330E" w:rsidRPr="00D5464D">
        <w:rPr>
          <w:lang w:val="pt-BR"/>
        </w:rPr>
        <w:t xml:space="preserve">a </w:t>
      </w:r>
      <w:r w:rsidRPr="00D5464D">
        <w:rPr>
          <w:lang w:val="pt-BR"/>
        </w:rPr>
        <w:t>data</w:t>
      </w:r>
      <w:r w:rsidR="00207197" w:rsidRPr="00D5464D">
        <w:rPr>
          <w:lang w:val="pt-BR"/>
        </w:rPr>
        <w:t xml:space="preserve"> de </w:t>
      </w:r>
      <w:r w:rsidR="002C330E" w:rsidRPr="00D5464D">
        <w:rPr>
          <w:lang w:val="pt-BR"/>
        </w:rPr>
        <w:t>nascimento</w:t>
      </w:r>
      <w:r w:rsidR="00207197" w:rsidRPr="00D5464D">
        <w:rPr>
          <w:lang w:val="pt-BR"/>
        </w:rPr>
        <w:t xml:space="preserve"> registrada</w:t>
      </w:r>
      <w:r w:rsidRPr="00D5464D">
        <w:rPr>
          <w:lang w:val="pt-BR"/>
        </w:rPr>
        <w:t xml:space="preserve"> em </w:t>
      </w:r>
      <w:r w:rsidR="00207197" w:rsidRPr="00D5464D">
        <w:rPr>
          <w:lang w:val="pt-BR"/>
        </w:rPr>
        <w:t>su</w:t>
      </w:r>
      <w:r w:rsidR="00495C4C" w:rsidRPr="00D5464D">
        <w:rPr>
          <w:lang w:val="pt-BR"/>
        </w:rPr>
        <w:t>a</w:t>
      </w:r>
      <w:r w:rsidR="00207197" w:rsidRPr="00D5464D">
        <w:rPr>
          <w:lang w:val="pt-BR"/>
        </w:rPr>
        <w:t xml:space="preserve"> </w:t>
      </w:r>
      <w:r w:rsidR="00495C4C" w:rsidRPr="00D5464D">
        <w:rPr>
          <w:lang w:val="pt-BR"/>
        </w:rPr>
        <w:t xml:space="preserve">carteira </w:t>
      </w:r>
      <w:r w:rsidR="00207197" w:rsidRPr="00D5464D">
        <w:rPr>
          <w:lang w:val="pt-BR"/>
        </w:rPr>
        <w:t xml:space="preserve">de </w:t>
      </w:r>
      <w:r w:rsidR="00E045D9" w:rsidRPr="00D5464D">
        <w:rPr>
          <w:lang w:val="pt-BR"/>
        </w:rPr>
        <w:t>trabalho</w:t>
      </w:r>
      <w:r w:rsidR="00207197" w:rsidRPr="00D5464D">
        <w:rPr>
          <w:lang w:val="pt-BR"/>
        </w:rPr>
        <w:t xml:space="preserve"> para que </w:t>
      </w:r>
      <w:r w:rsidR="00495C4C" w:rsidRPr="00D5464D">
        <w:rPr>
          <w:lang w:val="pt-BR"/>
        </w:rPr>
        <w:t xml:space="preserve">constasse </w:t>
      </w:r>
      <w:r w:rsidR="00207197" w:rsidRPr="00D5464D">
        <w:rPr>
          <w:lang w:val="pt-BR"/>
        </w:rPr>
        <w:t xml:space="preserve">como </w:t>
      </w:r>
      <w:r w:rsidR="002C330E" w:rsidRPr="00D5464D">
        <w:rPr>
          <w:lang w:val="pt-BR"/>
        </w:rPr>
        <w:t xml:space="preserve">maior </w:t>
      </w:r>
      <w:r w:rsidR="00207197" w:rsidRPr="00D5464D">
        <w:rPr>
          <w:lang w:val="pt-BR"/>
        </w:rPr>
        <w:t>de</w:t>
      </w:r>
      <w:r w:rsidRPr="00D5464D">
        <w:rPr>
          <w:lang w:val="pt-BR"/>
        </w:rPr>
        <w:t xml:space="preserve"> idade</w:t>
      </w:r>
      <w:r w:rsidR="00E045D9" w:rsidRPr="00D5464D">
        <w:rPr>
          <w:lang w:val="pt-BR"/>
        </w:rPr>
        <w:t xml:space="preserve"> e</w:t>
      </w:r>
      <w:r w:rsidR="00495C4C" w:rsidRPr="00D5464D">
        <w:rPr>
          <w:lang w:val="pt-BR"/>
        </w:rPr>
        <w:t>,</w:t>
      </w:r>
      <w:r w:rsidR="00E045D9" w:rsidRPr="00D5464D">
        <w:rPr>
          <w:lang w:val="pt-BR"/>
        </w:rPr>
        <w:t xml:space="preserve"> </w:t>
      </w:r>
      <w:r w:rsidRPr="00D5464D">
        <w:rPr>
          <w:lang w:val="pt-BR"/>
        </w:rPr>
        <w:t>assim</w:t>
      </w:r>
      <w:r w:rsidR="00495C4C" w:rsidRPr="00D5464D">
        <w:rPr>
          <w:lang w:val="pt-BR"/>
        </w:rPr>
        <w:t>,</w:t>
      </w:r>
      <w:r w:rsidR="00207197" w:rsidRPr="00D5464D">
        <w:rPr>
          <w:lang w:val="pt-BR"/>
        </w:rPr>
        <w:t xml:space="preserve"> </w:t>
      </w:r>
      <w:r w:rsidR="00737270" w:rsidRPr="00D5464D">
        <w:rPr>
          <w:lang w:val="pt-BR"/>
        </w:rPr>
        <w:t>pudesse</w:t>
      </w:r>
      <w:r w:rsidR="00207197" w:rsidRPr="00D5464D">
        <w:rPr>
          <w:lang w:val="pt-BR"/>
        </w:rPr>
        <w:t xml:space="preserve"> prestar </w:t>
      </w:r>
      <w:r w:rsidR="002C330E" w:rsidRPr="00D5464D">
        <w:rPr>
          <w:lang w:val="pt-BR"/>
        </w:rPr>
        <w:t>serviço</w:t>
      </w:r>
      <w:r w:rsidR="00207197" w:rsidRPr="00D5464D">
        <w:rPr>
          <w:lang w:val="pt-BR"/>
        </w:rPr>
        <w:t>s</w:t>
      </w:r>
      <w:r w:rsidR="00E045D9" w:rsidRPr="00D5464D">
        <w:rPr>
          <w:lang w:val="pt-BR"/>
        </w:rPr>
        <w:t xml:space="preserve"> na </w:t>
      </w:r>
      <w:r w:rsidR="00D809F0" w:rsidRPr="00D5464D">
        <w:rPr>
          <w:lang w:val="pt-BR"/>
        </w:rPr>
        <w:t>fazenda</w:t>
      </w:r>
      <w:r w:rsidR="00207197" w:rsidRPr="00D5464D">
        <w:rPr>
          <w:lang w:val="pt-BR"/>
        </w:rPr>
        <w:t xml:space="preserve">. </w:t>
      </w:r>
    </w:p>
    <w:p w14:paraId="3C905F38" w14:textId="77777777" w:rsidR="00DE3E58" w:rsidRPr="00D5464D" w:rsidRDefault="00DE3E58" w:rsidP="00DE3E58">
      <w:pPr>
        <w:pStyle w:val="Prrafodelista"/>
        <w:ind w:left="0"/>
        <w:contextualSpacing w:val="0"/>
        <w:rPr>
          <w:lang w:val="pt-BR"/>
        </w:rPr>
      </w:pPr>
    </w:p>
    <w:p w14:paraId="52BD0E24" w14:textId="7D5297BA" w:rsidR="00526541" w:rsidRPr="00D5464D" w:rsidRDefault="00470ADC" w:rsidP="005512DA">
      <w:pPr>
        <w:pStyle w:val="Prrafodelista"/>
        <w:numPr>
          <w:ilvl w:val="0"/>
          <w:numId w:val="1"/>
        </w:numPr>
        <w:contextualSpacing w:val="0"/>
        <w:rPr>
          <w:lang w:val="pt-BR"/>
        </w:rPr>
      </w:pPr>
      <w:r w:rsidRPr="00D5464D">
        <w:rPr>
          <w:lang w:val="pt-BR"/>
        </w:rPr>
        <w:t xml:space="preserve">As </w:t>
      </w:r>
      <w:r w:rsidR="00BA5F4E" w:rsidRPr="00D5464D">
        <w:rPr>
          <w:lang w:val="pt-BR"/>
        </w:rPr>
        <w:t>declara</w:t>
      </w:r>
      <w:r w:rsidRPr="00D5464D">
        <w:rPr>
          <w:lang w:val="pt-BR"/>
        </w:rPr>
        <w:t xml:space="preserve">ções dos </w:t>
      </w:r>
      <w:r w:rsidR="00E045D9" w:rsidRPr="00D5464D">
        <w:rPr>
          <w:lang w:val="pt-BR"/>
        </w:rPr>
        <w:t>trabalhadores</w:t>
      </w:r>
      <w:r w:rsidR="00BA5F4E" w:rsidRPr="00D5464D">
        <w:rPr>
          <w:lang w:val="pt-BR"/>
        </w:rPr>
        <w:t xml:space="preserve"> </w:t>
      </w:r>
      <w:r w:rsidR="00350187" w:rsidRPr="00D5464D">
        <w:rPr>
          <w:lang w:val="pt-BR"/>
        </w:rPr>
        <w:t>demonstr</w:t>
      </w:r>
      <w:r w:rsidR="00737270" w:rsidRPr="00D5464D">
        <w:rPr>
          <w:lang w:val="pt-BR"/>
        </w:rPr>
        <w:t>a</w:t>
      </w:r>
      <w:r w:rsidR="002C330E" w:rsidRPr="00D5464D">
        <w:rPr>
          <w:lang w:val="pt-BR"/>
        </w:rPr>
        <w:t>m</w:t>
      </w:r>
      <w:r w:rsidR="00BA5F4E" w:rsidRPr="00D5464D">
        <w:rPr>
          <w:lang w:val="pt-BR"/>
        </w:rPr>
        <w:t xml:space="preserve"> que</w:t>
      </w:r>
      <w:r w:rsidR="00495C4C" w:rsidRPr="00D5464D">
        <w:rPr>
          <w:lang w:val="pt-BR"/>
        </w:rPr>
        <w:t>,</w:t>
      </w:r>
      <w:r w:rsidRPr="00D5464D">
        <w:rPr>
          <w:lang w:val="pt-BR"/>
        </w:rPr>
        <w:t xml:space="preserve"> ao </w:t>
      </w:r>
      <w:r w:rsidR="00737270" w:rsidRPr="00D5464D">
        <w:rPr>
          <w:lang w:val="pt-BR"/>
        </w:rPr>
        <w:t>chegar</w:t>
      </w:r>
      <w:r w:rsidRPr="00D5464D">
        <w:rPr>
          <w:lang w:val="pt-BR"/>
        </w:rPr>
        <w:t xml:space="preserve"> à </w:t>
      </w:r>
      <w:r w:rsidR="00D809F0" w:rsidRPr="00D5464D">
        <w:rPr>
          <w:lang w:val="pt-BR"/>
        </w:rPr>
        <w:t>fazenda</w:t>
      </w:r>
      <w:r w:rsidR="00495C4C" w:rsidRPr="00D5464D">
        <w:rPr>
          <w:lang w:val="pt-BR"/>
        </w:rPr>
        <w:t xml:space="preserve">, perceberam </w:t>
      </w:r>
      <w:r w:rsidR="00207197" w:rsidRPr="00D5464D">
        <w:rPr>
          <w:lang w:val="pt-BR"/>
        </w:rPr>
        <w:t>que nada</w:t>
      </w:r>
      <w:r w:rsidRPr="00D5464D">
        <w:rPr>
          <w:lang w:val="pt-BR"/>
        </w:rPr>
        <w:t xml:space="preserve"> do </w:t>
      </w:r>
      <w:r w:rsidR="000C4AC2" w:rsidRPr="00D5464D">
        <w:rPr>
          <w:lang w:val="pt-BR"/>
        </w:rPr>
        <w:t xml:space="preserve">que fora </w:t>
      </w:r>
      <w:r w:rsidR="002C330E" w:rsidRPr="00D5464D">
        <w:rPr>
          <w:lang w:val="pt-BR"/>
        </w:rPr>
        <w:t>oferecid</w:t>
      </w:r>
      <w:r w:rsidR="00207197" w:rsidRPr="00D5464D">
        <w:rPr>
          <w:lang w:val="pt-BR"/>
        </w:rPr>
        <w:t>o</w:t>
      </w:r>
      <w:r w:rsidR="002C330E" w:rsidRPr="00D5464D">
        <w:rPr>
          <w:lang w:val="pt-BR"/>
        </w:rPr>
        <w:t xml:space="preserve"> pelo </w:t>
      </w:r>
      <w:r w:rsidR="00C32FB5" w:rsidRPr="00D5464D">
        <w:rPr>
          <w:lang w:val="pt-BR"/>
        </w:rPr>
        <w:t xml:space="preserve">gato </w:t>
      </w:r>
      <w:r w:rsidR="00207197" w:rsidRPr="00D5464D">
        <w:rPr>
          <w:lang w:val="pt-BR"/>
        </w:rPr>
        <w:t xml:space="preserve">era </w:t>
      </w:r>
      <w:r w:rsidR="00495C4C" w:rsidRPr="00D5464D">
        <w:rPr>
          <w:lang w:val="pt-BR"/>
        </w:rPr>
        <w:t xml:space="preserve">verdadeiro </w:t>
      </w:r>
      <w:r w:rsidR="00BA5F4E" w:rsidRPr="00D5464D">
        <w:rPr>
          <w:lang w:val="pt-BR"/>
        </w:rPr>
        <w:t>(</w:t>
      </w:r>
      <w:r w:rsidR="00C85EA9" w:rsidRPr="00D5464D">
        <w:rPr>
          <w:lang w:val="pt-BR"/>
        </w:rPr>
        <w:t xml:space="preserve">par. </w:t>
      </w:r>
      <w:r w:rsidR="00D036E7" w:rsidRPr="00D5464D">
        <w:rPr>
          <w:lang w:val="pt-BR"/>
        </w:rPr>
        <w:t>166</w:t>
      </w:r>
      <w:r w:rsidR="00D036E7" w:rsidRPr="00D5464D">
        <w:rPr>
          <w:i/>
          <w:lang w:val="pt-BR"/>
        </w:rPr>
        <w:t xml:space="preserve"> supra</w:t>
      </w:r>
      <w:r w:rsidR="00D036E7" w:rsidRPr="00D5464D">
        <w:rPr>
          <w:lang w:val="pt-BR"/>
        </w:rPr>
        <w:t>)</w:t>
      </w:r>
      <w:r w:rsidR="00BA5F4E" w:rsidRPr="00D5464D">
        <w:rPr>
          <w:lang w:val="pt-BR"/>
        </w:rPr>
        <w:t>.</w:t>
      </w:r>
      <w:r w:rsidR="005512DA" w:rsidRPr="00D5464D">
        <w:rPr>
          <w:lang w:val="pt-BR"/>
        </w:rPr>
        <w:t xml:space="preserve"> </w:t>
      </w:r>
      <w:r w:rsidR="00230C71" w:rsidRPr="00D5464D">
        <w:rPr>
          <w:lang w:val="pt-BR"/>
        </w:rPr>
        <w:t>Suas condições</w:t>
      </w:r>
      <w:r w:rsidR="00BA5F4E" w:rsidRPr="00D5464D">
        <w:rPr>
          <w:lang w:val="pt-BR"/>
        </w:rPr>
        <w:t xml:space="preserve"> de vida</w:t>
      </w:r>
      <w:r w:rsidR="00E045D9" w:rsidRPr="00D5464D">
        <w:rPr>
          <w:lang w:val="pt-BR"/>
        </w:rPr>
        <w:t xml:space="preserve"> e </w:t>
      </w:r>
      <w:r w:rsidR="00BA5F4E" w:rsidRPr="00D5464D">
        <w:rPr>
          <w:lang w:val="pt-BR"/>
        </w:rPr>
        <w:t xml:space="preserve">de </w:t>
      </w:r>
      <w:r w:rsidR="00E045D9" w:rsidRPr="00D5464D">
        <w:rPr>
          <w:lang w:val="pt-BR"/>
        </w:rPr>
        <w:t>trabalho</w:t>
      </w:r>
      <w:r w:rsidRPr="00D5464D">
        <w:rPr>
          <w:lang w:val="pt-BR"/>
        </w:rPr>
        <w:t xml:space="preserve"> eram </w:t>
      </w:r>
      <w:r w:rsidR="00BA5F4E" w:rsidRPr="00D5464D">
        <w:rPr>
          <w:lang w:val="pt-BR"/>
        </w:rPr>
        <w:t>degradantes</w:t>
      </w:r>
      <w:r w:rsidR="00E045D9" w:rsidRPr="00D5464D">
        <w:rPr>
          <w:lang w:val="pt-BR"/>
        </w:rPr>
        <w:t xml:space="preserve"> e </w:t>
      </w:r>
      <w:r w:rsidR="000C4AC2" w:rsidRPr="00D5464D">
        <w:rPr>
          <w:lang w:val="pt-BR"/>
        </w:rPr>
        <w:t>anti-higiênicas</w:t>
      </w:r>
      <w:r w:rsidR="00A1358C" w:rsidRPr="00D5464D">
        <w:rPr>
          <w:lang w:val="pt-BR"/>
        </w:rPr>
        <w:t xml:space="preserve">. A </w:t>
      </w:r>
      <w:r w:rsidR="00207197" w:rsidRPr="00D5464D">
        <w:rPr>
          <w:lang w:val="pt-BR"/>
        </w:rPr>
        <w:t>alimenta</w:t>
      </w:r>
      <w:r w:rsidRPr="00D5464D">
        <w:rPr>
          <w:lang w:val="pt-BR"/>
        </w:rPr>
        <w:t>ção</w:t>
      </w:r>
      <w:r w:rsidR="00207197" w:rsidRPr="00D5464D">
        <w:rPr>
          <w:lang w:val="pt-BR"/>
        </w:rPr>
        <w:t xml:space="preserve"> </w:t>
      </w:r>
      <w:r w:rsidR="000C4AC2" w:rsidRPr="00D5464D">
        <w:rPr>
          <w:lang w:val="pt-BR"/>
        </w:rPr>
        <w:t xml:space="preserve">recebida </w:t>
      </w:r>
      <w:r w:rsidR="00207197" w:rsidRPr="00D5464D">
        <w:rPr>
          <w:lang w:val="pt-BR"/>
        </w:rPr>
        <w:t>era insuficiente</w:t>
      </w:r>
      <w:r w:rsidR="00E045D9" w:rsidRPr="00D5464D">
        <w:rPr>
          <w:lang w:val="pt-BR"/>
        </w:rPr>
        <w:t xml:space="preserve"> e </w:t>
      </w:r>
      <w:r w:rsidR="00207197" w:rsidRPr="00D5464D">
        <w:rPr>
          <w:lang w:val="pt-BR"/>
        </w:rPr>
        <w:t xml:space="preserve">de </w:t>
      </w:r>
      <w:r w:rsidR="000C4AC2" w:rsidRPr="00D5464D">
        <w:rPr>
          <w:lang w:val="pt-BR"/>
        </w:rPr>
        <w:t xml:space="preserve">má </w:t>
      </w:r>
      <w:r w:rsidR="00350187" w:rsidRPr="00D5464D">
        <w:rPr>
          <w:lang w:val="pt-BR"/>
        </w:rPr>
        <w:t>qualidade</w:t>
      </w:r>
      <w:r w:rsidR="00A1358C" w:rsidRPr="00D5464D">
        <w:rPr>
          <w:lang w:val="pt-BR"/>
        </w:rPr>
        <w:t>. A água</w:t>
      </w:r>
      <w:r w:rsidR="00230C71" w:rsidRPr="00D5464D">
        <w:rPr>
          <w:lang w:val="pt-BR"/>
        </w:rPr>
        <w:t xml:space="preserve"> </w:t>
      </w:r>
      <w:r w:rsidR="000C4AC2" w:rsidRPr="00D5464D">
        <w:rPr>
          <w:lang w:val="pt-BR"/>
        </w:rPr>
        <w:t xml:space="preserve">ingerida </w:t>
      </w:r>
      <w:r w:rsidR="00207197" w:rsidRPr="00D5464D">
        <w:rPr>
          <w:lang w:val="pt-BR"/>
        </w:rPr>
        <w:t>pro</w:t>
      </w:r>
      <w:r w:rsidR="00350187" w:rsidRPr="00D5464D">
        <w:rPr>
          <w:lang w:val="pt-BR"/>
        </w:rPr>
        <w:t xml:space="preserve">vinha </w:t>
      </w:r>
      <w:r w:rsidR="00207197" w:rsidRPr="00D5464D">
        <w:rPr>
          <w:lang w:val="pt-BR"/>
        </w:rPr>
        <w:t>de</w:t>
      </w:r>
      <w:r w:rsidR="00E045D9" w:rsidRPr="00D5464D">
        <w:rPr>
          <w:lang w:val="pt-BR"/>
        </w:rPr>
        <w:t xml:space="preserve"> um </w:t>
      </w:r>
      <w:r w:rsidR="002C330E" w:rsidRPr="00D5464D">
        <w:rPr>
          <w:lang w:val="pt-BR"/>
        </w:rPr>
        <w:t>pequen</w:t>
      </w:r>
      <w:r w:rsidR="000C4AC2" w:rsidRPr="00D5464D">
        <w:rPr>
          <w:lang w:val="pt-BR"/>
        </w:rPr>
        <w:t xml:space="preserve">o poço no meio da mata, </w:t>
      </w:r>
      <w:r w:rsidR="00207197" w:rsidRPr="00D5464D">
        <w:rPr>
          <w:lang w:val="pt-BR"/>
        </w:rPr>
        <w:t>era a</w:t>
      </w:r>
      <w:r w:rsidR="000C4AC2" w:rsidRPr="00D5464D">
        <w:rPr>
          <w:lang w:val="pt-BR"/>
        </w:rPr>
        <w:t>r</w:t>
      </w:r>
      <w:r w:rsidR="00207197" w:rsidRPr="00D5464D">
        <w:rPr>
          <w:lang w:val="pt-BR"/>
        </w:rPr>
        <w:t>ma</w:t>
      </w:r>
      <w:r w:rsidR="000C4AC2" w:rsidRPr="00D5464D">
        <w:rPr>
          <w:lang w:val="pt-BR"/>
        </w:rPr>
        <w:t>z</w:t>
      </w:r>
      <w:r w:rsidR="00207197" w:rsidRPr="00D5464D">
        <w:rPr>
          <w:lang w:val="pt-BR"/>
        </w:rPr>
        <w:t>enada</w:t>
      </w:r>
      <w:r w:rsidRPr="00D5464D">
        <w:rPr>
          <w:lang w:val="pt-BR"/>
        </w:rPr>
        <w:t xml:space="preserve"> em </w:t>
      </w:r>
      <w:r w:rsidR="00207197" w:rsidRPr="00D5464D">
        <w:rPr>
          <w:lang w:val="pt-BR"/>
        </w:rPr>
        <w:t>recipientes in</w:t>
      </w:r>
      <w:r w:rsidRPr="00D5464D">
        <w:rPr>
          <w:lang w:val="pt-BR"/>
        </w:rPr>
        <w:t>adequad</w:t>
      </w:r>
      <w:r w:rsidR="00207197" w:rsidRPr="00D5464D">
        <w:rPr>
          <w:lang w:val="pt-BR"/>
        </w:rPr>
        <w:t>os</w:t>
      </w:r>
      <w:r w:rsidR="00E045D9" w:rsidRPr="00D5464D">
        <w:rPr>
          <w:lang w:val="pt-BR"/>
        </w:rPr>
        <w:t xml:space="preserve"> e </w:t>
      </w:r>
      <w:r w:rsidR="000C4AC2" w:rsidRPr="00D5464D">
        <w:rPr>
          <w:lang w:val="pt-BR"/>
        </w:rPr>
        <w:t xml:space="preserve">distribuída </w:t>
      </w:r>
      <w:r w:rsidRPr="00D5464D">
        <w:rPr>
          <w:lang w:val="pt-BR"/>
        </w:rPr>
        <w:t xml:space="preserve">em </w:t>
      </w:r>
      <w:r w:rsidR="00350187" w:rsidRPr="00D5464D">
        <w:rPr>
          <w:lang w:val="pt-BR"/>
        </w:rPr>
        <w:t>garrafa</w:t>
      </w:r>
      <w:r w:rsidR="00207197" w:rsidRPr="00D5464D">
        <w:rPr>
          <w:lang w:val="pt-BR"/>
        </w:rPr>
        <w:t xml:space="preserve">s </w:t>
      </w:r>
      <w:r w:rsidRPr="00D5464D">
        <w:rPr>
          <w:lang w:val="pt-BR"/>
        </w:rPr>
        <w:t>coletiv</w:t>
      </w:r>
      <w:r w:rsidR="00207197" w:rsidRPr="00D5464D">
        <w:rPr>
          <w:lang w:val="pt-BR"/>
        </w:rPr>
        <w:t>as</w:t>
      </w:r>
      <w:r w:rsidR="00526541" w:rsidRPr="00D5464D">
        <w:rPr>
          <w:lang w:val="pt-BR"/>
        </w:rPr>
        <w:t xml:space="preserve"> (</w:t>
      </w:r>
      <w:r w:rsidR="00C85EA9" w:rsidRPr="00D5464D">
        <w:rPr>
          <w:lang w:val="pt-BR"/>
        </w:rPr>
        <w:t xml:space="preserve">par. </w:t>
      </w:r>
      <w:r w:rsidR="00D036E7" w:rsidRPr="00D5464D">
        <w:rPr>
          <w:lang w:val="pt-BR"/>
        </w:rPr>
        <w:t>167</w:t>
      </w:r>
      <w:r w:rsidR="00D036E7" w:rsidRPr="00D5464D">
        <w:rPr>
          <w:i/>
          <w:lang w:val="pt-BR"/>
        </w:rPr>
        <w:t xml:space="preserve"> supra</w:t>
      </w:r>
      <w:r w:rsidR="00D036E7" w:rsidRPr="00D5464D">
        <w:rPr>
          <w:lang w:val="pt-BR"/>
        </w:rPr>
        <w:t>)</w:t>
      </w:r>
      <w:r w:rsidR="00A1358C" w:rsidRPr="00D5464D">
        <w:rPr>
          <w:lang w:val="pt-BR"/>
        </w:rPr>
        <w:t xml:space="preserve">. A </w:t>
      </w:r>
      <w:r w:rsidR="00526541" w:rsidRPr="00D5464D">
        <w:rPr>
          <w:lang w:val="pt-BR"/>
        </w:rPr>
        <w:t xml:space="preserve">jornada de </w:t>
      </w:r>
      <w:r w:rsidR="00E045D9" w:rsidRPr="00D5464D">
        <w:rPr>
          <w:lang w:val="pt-BR"/>
        </w:rPr>
        <w:t>trabalho</w:t>
      </w:r>
      <w:r w:rsidR="00526541" w:rsidRPr="00D5464D">
        <w:rPr>
          <w:lang w:val="pt-BR"/>
        </w:rPr>
        <w:t xml:space="preserve"> era </w:t>
      </w:r>
      <w:r w:rsidR="000C4AC2" w:rsidRPr="00D5464D">
        <w:rPr>
          <w:lang w:val="pt-BR"/>
        </w:rPr>
        <w:t>exaustiva</w:t>
      </w:r>
      <w:r w:rsidR="00526541" w:rsidRPr="00D5464D">
        <w:rPr>
          <w:lang w:val="pt-BR"/>
        </w:rPr>
        <w:t>,</w:t>
      </w:r>
      <w:r w:rsidRPr="00D5464D">
        <w:rPr>
          <w:lang w:val="pt-BR"/>
        </w:rPr>
        <w:t xml:space="preserve"> com </w:t>
      </w:r>
      <w:r w:rsidR="00526541" w:rsidRPr="00D5464D">
        <w:rPr>
          <w:lang w:val="pt-BR"/>
        </w:rPr>
        <w:t>dura</w:t>
      </w:r>
      <w:r w:rsidRPr="00D5464D">
        <w:rPr>
          <w:lang w:val="pt-BR"/>
        </w:rPr>
        <w:t>ção</w:t>
      </w:r>
      <w:r w:rsidR="00526541" w:rsidRPr="00D5464D">
        <w:rPr>
          <w:lang w:val="pt-BR"/>
        </w:rPr>
        <w:t xml:space="preserve"> de 12 horas o</w:t>
      </w:r>
      <w:r w:rsidR="000C4AC2" w:rsidRPr="00D5464D">
        <w:rPr>
          <w:lang w:val="pt-BR"/>
        </w:rPr>
        <w:t>u</w:t>
      </w:r>
      <w:r w:rsidR="00526541" w:rsidRPr="00D5464D">
        <w:rPr>
          <w:lang w:val="pt-BR"/>
        </w:rPr>
        <w:t xml:space="preserve"> </w:t>
      </w:r>
      <w:r w:rsidR="002C330E" w:rsidRPr="00D5464D">
        <w:rPr>
          <w:lang w:val="pt-BR"/>
        </w:rPr>
        <w:t xml:space="preserve">mais </w:t>
      </w:r>
      <w:r w:rsidR="00526541" w:rsidRPr="00D5464D">
        <w:rPr>
          <w:lang w:val="pt-BR"/>
        </w:rPr>
        <w:t>todos</w:t>
      </w:r>
      <w:r w:rsidR="002C330E" w:rsidRPr="00D5464D">
        <w:rPr>
          <w:lang w:val="pt-BR"/>
        </w:rPr>
        <w:t xml:space="preserve"> os </w:t>
      </w:r>
      <w:r w:rsidRPr="00D5464D">
        <w:rPr>
          <w:lang w:val="pt-BR"/>
        </w:rPr>
        <w:t>dia</w:t>
      </w:r>
      <w:r w:rsidR="00526541" w:rsidRPr="00D5464D">
        <w:rPr>
          <w:lang w:val="pt-BR"/>
        </w:rPr>
        <w:t xml:space="preserve">s, </w:t>
      </w:r>
      <w:r w:rsidR="00A1358C" w:rsidRPr="00D5464D">
        <w:rPr>
          <w:lang w:val="pt-BR"/>
        </w:rPr>
        <w:t>exceto</w:t>
      </w:r>
      <w:r w:rsidR="002C330E" w:rsidRPr="00D5464D">
        <w:rPr>
          <w:lang w:val="pt-BR"/>
        </w:rPr>
        <w:t xml:space="preserve"> </w:t>
      </w:r>
      <w:r w:rsidR="006E7B1B" w:rsidRPr="00D5464D">
        <w:rPr>
          <w:lang w:val="pt-BR"/>
        </w:rPr>
        <w:t>a</w:t>
      </w:r>
      <w:r w:rsidR="002C330E" w:rsidRPr="00D5464D">
        <w:rPr>
          <w:lang w:val="pt-BR"/>
        </w:rPr>
        <w:t xml:space="preserve">os </w:t>
      </w:r>
      <w:r w:rsidR="00526541" w:rsidRPr="00D5464D">
        <w:rPr>
          <w:lang w:val="pt-BR"/>
        </w:rPr>
        <w:t>domingos (</w:t>
      </w:r>
      <w:r w:rsidR="00C85EA9" w:rsidRPr="00D5464D">
        <w:rPr>
          <w:lang w:val="pt-BR"/>
        </w:rPr>
        <w:t xml:space="preserve">par. </w:t>
      </w:r>
      <w:r w:rsidR="00D036E7" w:rsidRPr="00D5464D">
        <w:rPr>
          <w:lang w:val="pt-BR"/>
        </w:rPr>
        <w:t>168</w:t>
      </w:r>
      <w:r w:rsidR="00D036E7" w:rsidRPr="00D5464D">
        <w:rPr>
          <w:i/>
          <w:lang w:val="pt-BR"/>
        </w:rPr>
        <w:t xml:space="preserve"> supra</w:t>
      </w:r>
      <w:r w:rsidR="00D036E7" w:rsidRPr="00D5464D">
        <w:rPr>
          <w:lang w:val="pt-BR"/>
        </w:rPr>
        <w:t>)</w:t>
      </w:r>
      <w:r w:rsidR="00526541" w:rsidRPr="00D5464D">
        <w:rPr>
          <w:lang w:val="pt-BR"/>
        </w:rPr>
        <w:t xml:space="preserve">. </w:t>
      </w:r>
    </w:p>
    <w:p w14:paraId="39D44A6E" w14:textId="77777777" w:rsidR="00526541" w:rsidRPr="00D5464D" w:rsidRDefault="00526541" w:rsidP="00ED3AD0">
      <w:pPr>
        <w:pStyle w:val="Prrafodelista"/>
        <w:rPr>
          <w:lang w:val="pt-BR"/>
        </w:rPr>
      </w:pPr>
    </w:p>
    <w:p w14:paraId="20381F27" w14:textId="11EA19C0" w:rsidR="00207197" w:rsidRPr="00D5464D" w:rsidRDefault="00F46084" w:rsidP="00363CDD">
      <w:pPr>
        <w:pStyle w:val="Prrafodelista"/>
        <w:numPr>
          <w:ilvl w:val="0"/>
          <w:numId w:val="1"/>
        </w:numPr>
        <w:contextualSpacing w:val="0"/>
        <w:rPr>
          <w:lang w:val="pt-BR"/>
        </w:rPr>
      </w:pPr>
      <w:r w:rsidRPr="00D5464D">
        <w:rPr>
          <w:lang w:val="pt-BR"/>
        </w:rPr>
        <w:t>T</w:t>
      </w:r>
      <w:r w:rsidR="00207197" w:rsidRPr="00D5464D">
        <w:rPr>
          <w:lang w:val="pt-BR"/>
        </w:rPr>
        <w:t>oda</w:t>
      </w:r>
      <w:r w:rsidR="002C330E" w:rsidRPr="00D5464D">
        <w:rPr>
          <w:lang w:val="pt-BR"/>
        </w:rPr>
        <w:t xml:space="preserve"> a </w:t>
      </w:r>
      <w:r w:rsidR="00207197" w:rsidRPr="00D5464D">
        <w:rPr>
          <w:lang w:val="pt-BR"/>
        </w:rPr>
        <w:t xml:space="preserve">comida </w:t>
      </w:r>
      <w:r w:rsidR="000C4AC2" w:rsidRPr="00D5464D">
        <w:rPr>
          <w:lang w:val="pt-BR"/>
        </w:rPr>
        <w:t xml:space="preserve">consumida </w:t>
      </w:r>
      <w:r w:rsidR="00207197" w:rsidRPr="00D5464D">
        <w:rPr>
          <w:lang w:val="pt-BR"/>
        </w:rPr>
        <w:t>era anotada</w:t>
      </w:r>
      <w:r w:rsidR="00470ADC" w:rsidRPr="00D5464D">
        <w:rPr>
          <w:lang w:val="pt-BR"/>
        </w:rPr>
        <w:t xml:space="preserve"> em </w:t>
      </w:r>
      <w:r w:rsidR="00C91CB1" w:rsidRPr="00D5464D">
        <w:rPr>
          <w:lang w:val="pt-BR"/>
        </w:rPr>
        <w:t>caderno</w:t>
      </w:r>
      <w:r w:rsidR="00207197" w:rsidRPr="00D5464D">
        <w:rPr>
          <w:lang w:val="pt-BR"/>
        </w:rPr>
        <w:t>s</w:t>
      </w:r>
      <w:r w:rsidR="000C4AC2" w:rsidRPr="00D5464D">
        <w:rPr>
          <w:lang w:val="pt-BR"/>
        </w:rPr>
        <w:t>,</w:t>
      </w:r>
      <w:r w:rsidR="00207197" w:rsidRPr="00D5464D">
        <w:rPr>
          <w:lang w:val="pt-BR"/>
        </w:rPr>
        <w:t xml:space="preserve"> para </w:t>
      </w:r>
      <w:r w:rsidR="000C4AC2" w:rsidRPr="00D5464D">
        <w:rPr>
          <w:lang w:val="pt-BR"/>
        </w:rPr>
        <w:t xml:space="preserve">posteriormente </w:t>
      </w:r>
      <w:r w:rsidR="00207197" w:rsidRPr="00D5464D">
        <w:rPr>
          <w:lang w:val="pt-BR"/>
        </w:rPr>
        <w:t>descont</w:t>
      </w:r>
      <w:r w:rsidR="00737270" w:rsidRPr="00D5464D">
        <w:rPr>
          <w:lang w:val="pt-BR"/>
        </w:rPr>
        <w:t xml:space="preserve">á-la </w:t>
      </w:r>
      <w:r w:rsidR="00207197" w:rsidRPr="00D5464D">
        <w:rPr>
          <w:lang w:val="pt-BR"/>
        </w:rPr>
        <w:t>de s</w:t>
      </w:r>
      <w:r w:rsidR="000C4AC2" w:rsidRPr="00D5464D">
        <w:rPr>
          <w:lang w:val="pt-BR"/>
        </w:rPr>
        <w:t>e</w:t>
      </w:r>
      <w:r w:rsidR="00207197" w:rsidRPr="00D5464D">
        <w:rPr>
          <w:lang w:val="pt-BR"/>
        </w:rPr>
        <w:t xml:space="preserve">us </w:t>
      </w:r>
      <w:r w:rsidR="00E045D9" w:rsidRPr="00D5464D">
        <w:rPr>
          <w:lang w:val="pt-BR"/>
        </w:rPr>
        <w:t>salário</w:t>
      </w:r>
      <w:r w:rsidR="00207197" w:rsidRPr="00D5464D">
        <w:rPr>
          <w:lang w:val="pt-BR"/>
        </w:rPr>
        <w:t>s</w:t>
      </w:r>
      <w:r w:rsidR="006F47BB" w:rsidRPr="00D5464D">
        <w:rPr>
          <w:lang w:val="pt-BR"/>
        </w:rPr>
        <w:t>,</w:t>
      </w:r>
      <w:r w:rsidR="002C330E" w:rsidRPr="00D5464D">
        <w:rPr>
          <w:lang w:val="pt-BR"/>
        </w:rPr>
        <w:t xml:space="preserve"> o que </w:t>
      </w:r>
      <w:r w:rsidR="00350187" w:rsidRPr="00D5464D">
        <w:rPr>
          <w:lang w:val="pt-BR"/>
        </w:rPr>
        <w:t>aumentava</w:t>
      </w:r>
      <w:r w:rsidR="006F47BB" w:rsidRPr="00D5464D">
        <w:rPr>
          <w:lang w:val="pt-BR"/>
        </w:rPr>
        <w:t xml:space="preserve"> su</w:t>
      </w:r>
      <w:r w:rsidR="000C4AC2" w:rsidRPr="00D5464D">
        <w:rPr>
          <w:lang w:val="pt-BR"/>
        </w:rPr>
        <w:t>a</w:t>
      </w:r>
      <w:r w:rsidR="006F47BB" w:rsidRPr="00D5464D">
        <w:rPr>
          <w:lang w:val="pt-BR"/>
        </w:rPr>
        <w:t xml:space="preserve">s </w:t>
      </w:r>
      <w:r w:rsidR="00470ADC" w:rsidRPr="00D5464D">
        <w:rPr>
          <w:lang w:val="pt-BR"/>
        </w:rPr>
        <w:t>dívida</w:t>
      </w:r>
      <w:r w:rsidR="006F47BB" w:rsidRPr="00D5464D">
        <w:rPr>
          <w:lang w:val="pt-BR"/>
        </w:rPr>
        <w:t>s</w:t>
      </w:r>
      <w:r w:rsidR="00470ADC" w:rsidRPr="00D5464D">
        <w:rPr>
          <w:lang w:val="pt-BR"/>
        </w:rPr>
        <w:t xml:space="preserve"> com o </w:t>
      </w:r>
      <w:r w:rsidR="00230C71" w:rsidRPr="00D5464D">
        <w:rPr>
          <w:lang w:val="pt-BR"/>
        </w:rPr>
        <w:t>empregad</w:t>
      </w:r>
      <w:r w:rsidR="006F47BB" w:rsidRPr="00D5464D">
        <w:rPr>
          <w:lang w:val="pt-BR"/>
        </w:rPr>
        <w:t>or (</w:t>
      </w:r>
      <w:r w:rsidR="00C85EA9" w:rsidRPr="00D5464D">
        <w:rPr>
          <w:lang w:val="pt-BR"/>
        </w:rPr>
        <w:t xml:space="preserve">par. </w:t>
      </w:r>
      <w:r w:rsidR="00D036E7" w:rsidRPr="00D5464D">
        <w:rPr>
          <w:lang w:val="pt-BR"/>
        </w:rPr>
        <w:t>167</w:t>
      </w:r>
      <w:r w:rsidR="00D036E7" w:rsidRPr="00D5464D">
        <w:rPr>
          <w:i/>
          <w:lang w:val="pt-BR"/>
        </w:rPr>
        <w:t xml:space="preserve"> supra</w:t>
      </w:r>
      <w:r w:rsidR="00D036E7" w:rsidRPr="00D5464D">
        <w:rPr>
          <w:lang w:val="pt-BR"/>
        </w:rPr>
        <w:t>)</w:t>
      </w:r>
      <w:r w:rsidR="006F47BB" w:rsidRPr="00D5464D">
        <w:rPr>
          <w:lang w:val="pt-BR"/>
        </w:rPr>
        <w:t>.</w:t>
      </w:r>
      <w:r w:rsidRPr="00D5464D">
        <w:rPr>
          <w:lang w:val="pt-BR"/>
        </w:rPr>
        <w:t xml:space="preserve"> </w:t>
      </w:r>
      <w:r w:rsidR="000C4AC2" w:rsidRPr="00D5464D">
        <w:rPr>
          <w:lang w:val="pt-BR"/>
        </w:rPr>
        <w:t>Além disso</w:t>
      </w:r>
      <w:r w:rsidRPr="00D5464D">
        <w:rPr>
          <w:lang w:val="pt-BR"/>
        </w:rPr>
        <w:t>,</w:t>
      </w:r>
      <w:r w:rsidR="002C330E" w:rsidRPr="00D5464D">
        <w:rPr>
          <w:lang w:val="pt-BR"/>
        </w:rPr>
        <w:t xml:space="preserve"> os </w:t>
      </w:r>
      <w:r w:rsidR="00E045D9" w:rsidRPr="00D5464D">
        <w:rPr>
          <w:lang w:val="pt-BR"/>
        </w:rPr>
        <w:t>trabalhadores</w:t>
      </w:r>
      <w:r w:rsidR="00470ADC" w:rsidRPr="00D5464D">
        <w:rPr>
          <w:lang w:val="pt-BR"/>
        </w:rPr>
        <w:t xml:space="preserve"> eram </w:t>
      </w:r>
      <w:r w:rsidR="002C330E" w:rsidRPr="00D5464D">
        <w:rPr>
          <w:lang w:val="pt-BR"/>
        </w:rPr>
        <w:t>obrigad</w:t>
      </w:r>
      <w:r w:rsidR="00207197" w:rsidRPr="00D5464D">
        <w:rPr>
          <w:lang w:val="pt-BR"/>
        </w:rPr>
        <w:t>os a realizar s</w:t>
      </w:r>
      <w:r w:rsidR="000C4AC2" w:rsidRPr="00D5464D">
        <w:rPr>
          <w:lang w:val="pt-BR"/>
        </w:rPr>
        <w:t>e</w:t>
      </w:r>
      <w:r w:rsidR="00207197" w:rsidRPr="00D5464D">
        <w:rPr>
          <w:lang w:val="pt-BR"/>
        </w:rPr>
        <w:t xml:space="preserve">us </w:t>
      </w:r>
      <w:r w:rsidR="00C91CB1" w:rsidRPr="00D5464D">
        <w:rPr>
          <w:lang w:val="pt-BR"/>
        </w:rPr>
        <w:t>trabalhos</w:t>
      </w:r>
      <w:r w:rsidR="00470ADC" w:rsidRPr="00D5464D">
        <w:rPr>
          <w:lang w:val="pt-BR"/>
        </w:rPr>
        <w:t xml:space="preserve"> sob</w:t>
      </w:r>
      <w:r w:rsidR="002C330E" w:rsidRPr="00D5464D">
        <w:rPr>
          <w:lang w:val="pt-BR"/>
        </w:rPr>
        <w:t xml:space="preserve"> ordens</w:t>
      </w:r>
      <w:r w:rsidR="00E045D9" w:rsidRPr="00D5464D">
        <w:rPr>
          <w:lang w:val="pt-BR"/>
        </w:rPr>
        <w:t xml:space="preserve"> e </w:t>
      </w:r>
      <w:r w:rsidR="00470ADC" w:rsidRPr="00D5464D">
        <w:rPr>
          <w:lang w:val="pt-BR"/>
        </w:rPr>
        <w:t>ameaça</w:t>
      </w:r>
      <w:r w:rsidR="00207197" w:rsidRPr="00D5464D">
        <w:rPr>
          <w:lang w:val="pt-BR"/>
        </w:rPr>
        <w:t>s</w:t>
      </w:r>
      <w:r w:rsidR="00470ADC" w:rsidRPr="00D5464D">
        <w:rPr>
          <w:lang w:val="pt-BR"/>
        </w:rPr>
        <w:t xml:space="preserve"> dos </w:t>
      </w:r>
      <w:r w:rsidR="000C4AC2" w:rsidRPr="00D5464D">
        <w:rPr>
          <w:lang w:val="pt-BR"/>
        </w:rPr>
        <w:t xml:space="preserve">capatazes </w:t>
      </w:r>
      <w:r w:rsidR="00470ADC" w:rsidRPr="00D5464D">
        <w:rPr>
          <w:lang w:val="pt-BR"/>
        </w:rPr>
        <w:t xml:space="preserve">da </w:t>
      </w:r>
      <w:r w:rsidR="00D809F0" w:rsidRPr="00D5464D">
        <w:rPr>
          <w:lang w:val="pt-BR"/>
        </w:rPr>
        <w:t>fazenda</w:t>
      </w:r>
      <w:r w:rsidR="00526541" w:rsidRPr="00D5464D">
        <w:rPr>
          <w:lang w:val="pt-BR"/>
        </w:rPr>
        <w:t xml:space="preserve">, </w:t>
      </w:r>
      <w:r w:rsidR="002C330E" w:rsidRPr="00D5464D">
        <w:rPr>
          <w:lang w:val="pt-BR"/>
        </w:rPr>
        <w:t>que</w:t>
      </w:r>
      <w:r w:rsidR="00526541" w:rsidRPr="00D5464D">
        <w:rPr>
          <w:lang w:val="pt-BR"/>
        </w:rPr>
        <w:t xml:space="preserve"> </w:t>
      </w:r>
      <w:r w:rsidR="00207197" w:rsidRPr="00D5464D">
        <w:rPr>
          <w:lang w:val="pt-BR"/>
        </w:rPr>
        <w:t>port</w:t>
      </w:r>
      <w:r w:rsidR="00EB1CE9" w:rsidRPr="00D5464D">
        <w:rPr>
          <w:lang w:val="pt-BR"/>
        </w:rPr>
        <w:t xml:space="preserve">avam </w:t>
      </w:r>
      <w:r w:rsidR="00207197" w:rsidRPr="00D5464D">
        <w:rPr>
          <w:lang w:val="pt-BR"/>
        </w:rPr>
        <w:t xml:space="preserve">armas de </w:t>
      </w:r>
      <w:r w:rsidR="00470ADC" w:rsidRPr="00D5464D">
        <w:rPr>
          <w:lang w:val="pt-BR"/>
        </w:rPr>
        <w:t>fogo</w:t>
      </w:r>
      <w:r w:rsidR="00E045D9" w:rsidRPr="00D5464D">
        <w:rPr>
          <w:lang w:val="pt-BR"/>
        </w:rPr>
        <w:t xml:space="preserve"> e </w:t>
      </w:r>
      <w:r w:rsidR="002C330E" w:rsidRPr="00D5464D">
        <w:rPr>
          <w:lang w:val="pt-BR"/>
        </w:rPr>
        <w:t xml:space="preserve">os </w:t>
      </w:r>
      <w:r w:rsidR="00E045D9" w:rsidRPr="00D5464D">
        <w:rPr>
          <w:lang w:val="pt-BR"/>
        </w:rPr>
        <w:t>vigi</w:t>
      </w:r>
      <w:r w:rsidR="00350187" w:rsidRPr="00D5464D">
        <w:rPr>
          <w:lang w:val="pt-BR"/>
        </w:rPr>
        <w:t xml:space="preserve">avam </w:t>
      </w:r>
      <w:r w:rsidR="00207197" w:rsidRPr="00D5464D">
        <w:rPr>
          <w:lang w:val="pt-BR"/>
        </w:rPr>
        <w:t>permanentemente</w:t>
      </w:r>
      <w:r w:rsidR="00526541" w:rsidRPr="00D5464D">
        <w:rPr>
          <w:lang w:val="pt-BR"/>
        </w:rPr>
        <w:t xml:space="preserve"> (</w:t>
      </w:r>
      <w:r w:rsidR="00C85EA9" w:rsidRPr="00D5464D">
        <w:rPr>
          <w:lang w:val="pt-BR"/>
        </w:rPr>
        <w:t xml:space="preserve">par. </w:t>
      </w:r>
      <w:r w:rsidR="00D036E7" w:rsidRPr="00D5464D">
        <w:rPr>
          <w:lang w:val="pt-BR"/>
        </w:rPr>
        <w:t>171</w:t>
      </w:r>
      <w:r w:rsidR="00D036E7" w:rsidRPr="00D5464D">
        <w:rPr>
          <w:i/>
          <w:lang w:val="pt-BR"/>
        </w:rPr>
        <w:t xml:space="preserve"> supra</w:t>
      </w:r>
      <w:r w:rsidR="00D036E7" w:rsidRPr="00D5464D">
        <w:rPr>
          <w:lang w:val="pt-BR"/>
        </w:rPr>
        <w:t>)</w:t>
      </w:r>
      <w:r w:rsidR="00526541" w:rsidRPr="00D5464D">
        <w:rPr>
          <w:lang w:val="pt-BR"/>
        </w:rPr>
        <w:t xml:space="preserve">. </w:t>
      </w:r>
      <w:r w:rsidR="00363CDD" w:rsidRPr="00D5464D">
        <w:rPr>
          <w:lang w:val="pt-BR"/>
        </w:rPr>
        <w:t>C</w:t>
      </w:r>
      <w:r w:rsidR="00207197" w:rsidRPr="00D5464D">
        <w:rPr>
          <w:lang w:val="pt-BR"/>
        </w:rPr>
        <w:t xml:space="preserve">omo </w:t>
      </w:r>
      <w:r w:rsidR="00470ADC" w:rsidRPr="00D5464D">
        <w:rPr>
          <w:lang w:val="pt-BR"/>
        </w:rPr>
        <w:t>consequência</w:t>
      </w:r>
      <w:r w:rsidR="00207197" w:rsidRPr="00D5464D">
        <w:rPr>
          <w:lang w:val="pt-BR"/>
        </w:rPr>
        <w:t xml:space="preserve"> de </w:t>
      </w:r>
      <w:r w:rsidR="000C4AC2" w:rsidRPr="00D5464D">
        <w:rPr>
          <w:lang w:val="pt-BR"/>
        </w:rPr>
        <w:t xml:space="preserve">estarem impedidos de sair da fazenda, quando os trabalhadores </w:t>
      </w:r>
      <w:r w:rsidR="00350187" w:rsidRPr="00D5464D">
        <w:rPr>
          <w:lang w:val="pt-BR"/>
        </w:rPr>
        <w:t>necessit</w:t>
      </w:r>
      <w:r w:rsidR="00EB1CE9" w:rsidRPr="00D5464D">
        <w:rPr>
          <w:lang w:val="pt-BR"/>
        </w:rPr>
        <w:t xml:space="preserve">avam </w:t>
      </w:r>
      <w:r w:rsidR="00207197" w:rsidRPr="00D5464D">
        <w:rPr>
          <w:lang w:val="pt-BR"/>
        </w:rPr>
        <w:t xml:space="preserve">comprar </w:t>
      </w:r>
      <w:r w:rsidR="00230C71" w:rsidRPr="00D5464D">
        <w:rPr>
          <w:lang w:val="pt-BR"/>
        </w:rPr>
        <w:t>algum</w:t>
      </w:r>
      <w:r w:rsidR="00207197" w:rsidRPr="00D5464D">
        <w:rPr>
          <w:lang w:val="pt-BR"/>
        </w:rPr>
        <w:t xml:space="preserve"> </w:t>
      </w:r>
      <w:r w:rsidR="002C330E" w:rsidRPr="00D5464D">
        <w:rPr>
          <w:lang w:val="pt-BR"/>
        </w:rPr>
        <w:t>produto</w:t>
      </w:r>
      <w:r w:rsidR="000B2B14" w:rsidRPr="00D5464D">
        <w:rPr>
          <w:lang w:val="pt-BR"/>
        </w:rPr>
        <w:t>,</w:t>
      </w:r>
      <w:r w:rsidR="00470ADC" w:rsidRPr="00D5464D">
        <w:rPr>
          <w:lang w:val="pt-BR"/>
        </w:rPr>
        <w:t xml:space="preserve"> eram </w:t>
      </w:r>
      <w:r w:rsidR="002C330E" w:rsidRPr="00D5464D">
        <w:rPr>
          <w:lang w:val="pt-BR"/>
        </w:rPr>
        <w:t>obrigad</w:t>
      </w:r>
      <w:r w:rsidR="00687C31" w:rsidRPr="00D5464D">
        <w:rPr>
          <w:lang w:val="pt-BR"/>
        </w:rPr>
        <w:t>os a pedir</w:t>
      </w:r>
      <w:r w:rsidR="00E045D9" w:rsidRPr="00D5464D">
        <w:rPr>
          <w:lang w:val="pt-BR"/>
        </w:rPr>
        <w:t xml:space="preserve"> aos </w:t>
      </w:r>
      <w:r w:rsidR="00737270" w:rsidRPr="00D5464D">
        <w:rPr>
          <w:lang w:val="pt-BR"/>
        </w:rPr>
        <w:t>encarregad</w:t>
      </w:r>
      <w:r w:rsidR="00207197" w:rsidRPr="00D5464D">
        <w:rPr>
          <w:lang w:val="pt-BR"/>
        </w:rPr>
        <w:t>os</w:t>
      </w:r>
      <w:r w:rsidR="00470ADC" w:rsidRPr="00D5464D">
        <w:rPr>
          <w:lang w:val="pt-BR"/>
        </w:rPr>
        <w:t xml:space="preserve"> da </w:t>
      </w:r>
      <w:r w:rsidR="00D809F0" w:rsidRPr="00D5464D">
        <w:rPr>
          <w:lang w:val="pt-BR"/>
        </w:rPr>
        <w:t>fazenda</w:t>
      </w:r>
      <w:r w:rsidR="00207197" w:rsidRPr="00D5464D">
        <w:rPr>
          <w:lang w:val="pt-BR"/>
        </w:rPr>
        <w:t>,</w:t>
      </w:r>
      <w:r w:rsidR="00470ADC" w:rsidRPr="00D5464D">
        <w:rPr>
          <w:lang w:val="pt-BR"/>
        </w:rPr>
        <w:t xml:space="preserve"> com</w:t>
      </w:r>
      <w:r w:rsidR="002C330E" w:rsidRPr="00D5464D">
        <w:rPr>
          <w:lang w:val="pt-BR"/>
        </w:rPr>
        <w:t xml:space="preserve"> a </w:t>
      </w:r>
      <w:r w:rsidR="00470ADC" w:rsidRPr="00D5464D">
        <w:rPr>
          <w:lang w:val="pt-BR"/>
        </w:rPr>
        <w:t>correspondente</w:t>
      </w:r>
      <w:r w:rsidR="00207197" w:rsidRPr="00D5464D">
        <w:rPr>
          <w:lang w:val="pt-BR"/>
        </w:rPr>
        <w:t xml:space="preserve"> </w:t>
      </w:r>
      <w:r w:rsidR="00350187" w:rsidRPr="00D5464D">
        <w:rPr>
          <w:lang w:val="pt-BR"/>
        </w:rPr>
        <w:t>dedução</w:t>
      </w:r>
      <w:r w:rsidR="00207197" w:rsidRPr="00D5464D">
        <w:rPr>
          <w:lang w:val="pt-BR"/>
        </w:rPr>
        <w:t xml:space="preserve"> </w:t>
      </w:r>
      <w:r w:rsidR="00470ADC" w:rsidRPr="00D5464D">
        <w:rPr>
          <w:lang w:val="pt-BR"/>
        </w:rPr>
        <w:t xml:space="preserve">do </w:t>
      </w:r>
      <w:r w:rsidR="00E045D9" w:rsidRPr="00D5464D">
        <w:rPr>
          <w:lang w:val="pt-BR"/>
        </w:rPr>
        <w:t>salário</w:t>
      </w:r>
      <w:r w:rsidR="00687C31" w:rsidRPr="00D5464D">
        <w:rPr>
          <w:lang w:val="pt-BR"/>
        </w:rPr>
        <w:t xml:space="preserve"> (</w:t>
      </w:r>
      <w:r w:rsidR="00C85EA9" w:rsidRPr="00D5464D">
        <w:rPr>
          <w:lang w:val="pt-BR"/>
        </w:rPr>
        <w:t xml:space="preserve">par. </w:t>
      </w:r>
      <w:r w:rsidR="00D036E7" w:rsidRPr="00D5464D">
        <w:rPr>
          <w:lang w:val="pt-BR"/>
        </w:rPr>
        <w:t>172</w:t>
      </w:r>
      <w:r w:rsidR="00D036E7" w:rsidRPr="00D5464D">
        <w:rPr>
          <w:i/>
          <w:lang w:val="pt-BR"/>
        </w:rPr>
        <w:t xml:space="preserve"> supra</w:t>
      </w:r>
      <w:r w:rsidR="00D036E7" w:rsidRPr="00D5464D">
        <w:rPr>
          <w:lang w:val="pt-BR"/>
        </w:rPr>
        <w:t>)</w:t>
      </w:r>
      <w:r w:rsidR="00207197" w:rsidRPr="00D5464D">
        <w:rPr>
          <w:lang w:val="pt-BR"/>
        </w:rPr>
        <w:t xml:space="preserve">. </w:t>
      </w:r>
    </w:p>
    <w:p w14:paraId="3149E8B4" w14:textId="77777777" w:rsidR="00DE3E58" w:rsidRPr="00D5464D" w:rsidRDefault="00DE3E58" w:rsidP="00DE3E58">
      <w:pPr>
        <w:pStyle w:val="Prrafodelista"/>
        <w:ind w:left="0"/>
        <w:contextualSpacing w:val="0"/>
        <w:rPr>
          <w:lang w:val="pt-BR"/>
        </w:rPr>
      </w:pPr>
    </w:p>
    <w:p w14:paraId="0D9F9FCE" w14:textId="5B548F43" w:rsidR="00207197" w:rsidRPr="00D5464D" w:rsidRDefault="00470ADC" w:rsidP="00F37DC4">
      <w:pPr>
        <w:pStyle w:val="Prrafodelista"/>
        <w:numPr>
          <w:ilvl w:val="0"/>
          <w:numId w:val="1"/>
        </w:numPr>
        <w:contextualSpacing w:val="0"/>
        <w:rPr>
          <w:lang w:val="pt-BR"/>
        </w:rPr>
      </w:pPr>
      <w:r w:rsidRPr="00D5464D">
        <w:rPr>
          <w:lang w:val="pt-BR"/>
        </w:rPr>
        <w:t xml:space="preserve">A </w:t>
      </w:r>
      <w:r w:rsidR="00207197" w:rsidRPr="00D5464D">
        <w:rPr>
          <w:lang w:val="pt-BR"/>
        </w:rPr>
        <w:t>situa</w:t>
      </w:r>
      <w:r w:rsidRPr="00D5464D">
        <w:rPr>
          <w:lang w:val="pt-BR"/>
        </w:rPr>
        <w:t>ção</w:t>
      </w:r>
      <w:r w:rsidR="00E045D9" w:rsidRPr="00D5464D">
        <w:rPr>
          <w:lang w:val="pt-BR"/>
        </w:rPr>
        <w:t xml:space="preserve"> </w:t>
      </w:r>
      <w:r w:rsidR="000C4AC2" w:rsidRPr="00D5464D">
        <w:rPr>
          <w:lang w:val="pt-BR"/>
        </w:rPr>
        <w:t>dos trabalhadores</w:t>
      </w:r>
      <w:r w:rsidR="00FF1290" w:rsidRPr="00D5464D">
        <w:rPr>
          <w:lang w:val="pt-BR"/>
        </w:rPr>
        <w:t xml:space="preserve"> </w:t>
      </w:r>
      <w:r w:rsidR="00AB4D46" w:rsidRPr="00D5464D">
        <w:rPr>
          <w:lang w:val="pt-BR"/>
        </w:rPr>
        <w:t>provocava neles</w:t>
      </w:r>
      <w:r w:rsidR="00350187" w:rsidRPr="00D5464D">
        <w:rPr>
          <w:lang w:val="pt-BR"/>
        </w:rPr>
        <w:t xml:space="preserve"> </w:t>
      </w:r>
      <w:r w:rsidR="00E045D9" w:rsidRPr="00D5464D">
        <w:rPr>
          <w:lang w:val="pt-BR"/>
        </w:rPr>
        <w:t xml:space="preserve">um </w:t>
      </w:r>
      <w:r w:rsidR="00207197" w:rsidRPr="00D5464D">
        <w:rPr>
          <w:lang w:val="pt-BR"/>
        </w:rPr>
        <w:t>profundo</w:t>
      </w:r>
      <w:r w:rsidR="00737270" w:rsidRPr="00D5464D">
        <w:rPr>
          <w:lang w:val="pt-BR"/>
        </w:rPr>
        <w:t xml:space="preserve"> desejo </w:t>
      </w:r>
      <w:r w:rsidR="00207197" w:rsidRPr="00D5464D">
        <w:rPr>
          <w:lang w:val="pt-BR"/>
        </w:rPr>
        <w:t>de</w:t>
      </w:r>
      <w:r w:rsidR="00E045D9" w:rsidRPr="00D5464D">
        <w:rPr>
          <w:lang w:val="pt-BR"/>
        </w:rPr>
        <w:t xml:space="preserve"> fugir </w:t>
      </w:r>
      <w:r w:rsidRPr="00D5464D">
        <w:rPr>
          <w:lang w:val="pt-BR"/>
        </w:rPr>
        <w:t xml:space="preserve">da </w:t>
      </w:r>
      <w:r w:rsidR="00D809F0" w:rsidRPr="00D5464D">
        <w:rPr>
          <w:lang w:val="pt-BR"/>
        </w:rPr>
        <w:t>fazenda</w:t>
      </w:r>
      <w:r w:rsidR="00737270" w:rsidRPr="00D5464D">
        <w:rPr>
          <w:lang w:val="pt-BR"/>
        </w:rPr>
        <w:t>. No entanto</w:t>
      </w:r>
      <w:r w:rsidR="00207197" w:rsidRPr="00D5464D">
        <w:rPr>
          <w:lang w:val="pt-BR"/>
        </w:rPr>
        <w:t>,</w:t>
      </w:r>
      <w:r w:rsidR="002C330E" w:rsidRPr="00D5464D">
        <w:rPr>
          <w:lang w:val="pt-BR"/>
        </w:rPr>
        <w:t xml:space="preserve"> a </w:t>
      </w:r>
      <w:r w:rsidR="00E045D9" w:rsidRPr="00D5464D">
        <w:rPr>
          <w:lang w:val="pt-BR"/>
        </w:rPr>
        <w:t>vigilância</w:t>
      </w:r>
      <w:r w:rsidRPr="00D5464D">
        <w:rPr>
          <w:lang w:val="pt-BR"/>
        </w:rPr>
        <w:t xml:space="preserve"> sob</w:t>
      </w:r>
      <w:r w:rsidR="002C330E" w:rsidRPr="00D5464D">
        <w:rPr>
          <w:lang w:val="pt-BR"/>
        </w:rPr>
        <w:t xml:space="preserve"> a </w:t>
      </w:r>
      <w:r w:rsidR="000C4AC2" w:rsidRPr="00D5464D">
        <w:rPr>
          <w:lang w:val="pt-BR"/>
        </w:rPr>
        <w:t>qual</w:t>
      </w:r>
      <w:r w:rsidR="00207197" w:rsidRPr="00D5464D">
        <w:rPr>
          <w:lang w:val="pt-BR"/>
        </w:rPr>
        <w:t xml:space="preserve"> se </w:t>
      </w:r>
      <w:r w:rsidRPr="00D5464D">
        <w:rPr>
          <w:lang w:val="pt-BR"/>
        </w:rPr>
        <w:t>encontravam</w:t>
      </w:r>
      <w:r w:rsidR="00207197" w:rsidRPr="00D5464D">
        <w:rPr>
          <w:lang w:val="pt-BR"/>
        </w:rPr>
        <w:t>,</w:t>
      </w:r>
      <w:r w:rsidR="00E765C2" w:rsidRPr="00D5464D">
        <w:rPr>
          <w:lang w:val="pt-BR"/>
        </w:rPr>
        <w:t xml:space="preserve"> somad</w:t>
      </w:r>
      <w:r w:rsidR="000C4AC2" w:rsidRPr="00D5464D">
        <w:rPr>
          <w:lang w:val="pt-BR"/>
        </w:rPr>
        <w:t>a</w:t>
      </w:r>
      <w:r w:rsidR="00E765C2" w:rsidRPr="00D5464D">
        <w:rPr>
          <w:lang w:val="pt-BR"/>
        </w:rPr>
        <w:t xml:space="preserve"> </w:t>
      </w:r>
      <w:r w:rsidRPr="00D5464D">
        <w:rPr>
          <w:lang w:val="pt-BR"/>
        </w:rPr>
        <w:t xml:space="preserve">à </w:t>
      </w:r>
      <w:r w:rsidR="00A1358C" w:rsidRPr="00D5464D">
        <w:rPr>
          <w:lang w:val="pt-BR"/>
        </w:rPr>
        <w:t xml:space="preserve">carência </w:t>
      </w:r>
      <w:r w:rsidR="00207197" w:rsidRPr="00D5464D">
        <w:rPr>
          <w:lang w:val="pt-BR"/>
        </w:rPr>
        <w:t xml:space="preserve">de </w:t>
      </w:r>
      <w:r w:rsidR="00E045D9" w:rsidRPr="00D5464D">
        <w:rPr>
          <w:lang w:val="pt-BR"/>
        </w:rPr>
        <w:t>salário</w:t>
      </w:r>
      <w:r w:rsidR="00207197" w:rsidRPr="00D5464D">
        <w:rPr>
          <w:lang w:val="pt-BR"/>
        </w:rPr>
        <w:t>,</w:t>
      </w:r>
      <w:r w:rsidR="002C330E" w:rsidRPr="00D5464D">
        <w:rPr>
          <w:lang w:val="pt-BR"/>
        </w:rPr>
        <w:t xml:space="preserve"> </w:t>
      </w:r>
      <w:r w:rsidR="000C4AC2" w:rsidRPr="00D5464D">
        <w:rPr>
          <w:lang w:val="pt-BR"/>
        </w:rPr>
        <w:t>à</w:t>
      </w:r>
      <w:r w:rsidR="002C330E" w:rsidRPr="00D5464D">
        <w:rPr>
          <w:lang w:val="pt-BR"/>
        </w:rPr>
        <w:t xml:space="preserve"> </w:t>
      </w:r>
      <w:r w:rsidR="00E045D9" w:rsidRPr="00D5464D">
        <w:rPr>
          <w:lang w:val="pt-BR"/>
        </w:rPr>
        <w:t>localização</w:t>
      </w:r>
      <w:r w:rsidR="00207197" w:rsidRPr="00D5464D">
        <w:rPr>
          <w:lang w:val="pt-BR"/>
        </w:rPr>
        <w:t xml:space="preserve"> </w:t>
      </w:r>
      <w:r w:rsidR="00A1358C" w:rsidRPr="00D5464D">
        <w:rPr>
          <w:lang w:val="pt-BR"/>
        </w:rPr>
        <w:t>isolad</w:t>
      </w:r>
      <w:r w:rsidR="00207197" w:rsidRPr="00D5464D">
        <w:rPr>
          <w:lang w:val="pt-BR"/>
        </w:rPr>
        <w:t>a</w:t>
      </w:r>
      <w:r w:rsidRPr="00D5464D">
        <w:rPr>
          <w:lang w:val="pt-BR"/>
        </w:rPr>
        <w:t xml:space="preserve"> da </w:t>
      </w:r>
      <w:r w:rsidR="00D809F0" w:rsidRPr="00D5464D">
        <w:rPr>
          <w:lang w:val="pt-BR"/>
        </w:rPr>
        <w:t>fazenda</w:t>
      </w:r>
      <w:r w:rsidRPr="00D5464D">
        <w:rPr>
          <w:lang w:val="pt-BR"/>
        </w:rPr>
        <w:t xml:space="preserve"> com</w:t>
      </w:r>
      <w:r w:rsidR="002C330E" w:rsidRPr="00D5464D">
        <w:rPr>
          <w:lang w:val="pt-BR"/>
        </w:rPr>
        <w:t xml:space="preserve"> a presença </w:t>
      </w:r>
      <w:r w:rsidR="00207197" w:rsidRPr="00D5464D">
        <w:rPr>
          <w:lang w:val="pt-BR"/>
        </w:rPr>
        <w:t xml:space="preserve">de </w:t>
      </w:r>
      <w:r w:rsidR="00E045D9" w:rsidRPr="00D5464D">
        <w:rPr>
          <w:lang w:val="pt-BR"/>
        </w:rPr>
        <w:t>animais</w:t>
      </w:r>
      <w:r w:rsidR="00207197" w:rsidRPr="00D5464D">
        <w:rPr>
          <w:lang w:val="pt-BR"/>
        </w:rPr>
        <w:t xml:space="preserve"> </w:t>
      </w:r>
      <w:r w:rsidR="000C4AC2" w:rsidRPr="00D5464D">
        <w:rPr>
          <w:lang w:val="pt-BR"/>
        </w:rPr>
        <w:t xml:space="preserve">selvagens ao seu </w:t>
      </w:r>
      <w:r w:rsidR="00737270" w:rsidRPr="00D5464D">
        <w:rPr>
          <w:lang w:val="pt-BR"/>
        </w:rPr>
        <w:t>redor</w:t>
      </w:r>
      <w:r w:rsidR="00207197" w:rsidRPr="00D5464D">
        <w:rPr>
          <w:lang w:val="pt-BR"/>
        </w:rPr>
        <w:t>,</w:t>
      </w:r>
      <w:r w:rsidR="002C330E" w:rsidRPr="00D5464D">
        <w:rPr>
          <w:lang w:val="pt-BR"/>
        </w:rPr>
        <w:t xml:space="preserve"> </w:t>
      </w:r>
      <w:r w:rsidR="00207197" w:rsidRPr="00D5464D">
        <w:rPr>
          <w:lang w:val="pt-BR"/>
        </w:rPr>
        <w:t>impe</w:t>
      </w:r>
      <w:r w:rsidRPr="00D5464D">
        <w:rPr>
          <w:lang w:val="pt-BR"/>
        </w:rPr>
        <w:t>dia</w:t>
      </w:r>
      <w:r w:rsidR="00AB4D46" w:rsidRPr="00D5464D">
        <w:rPr>
          <w:lang w:val="pt-BR"/>
        </w:rPr>
        <w:t>-os</w:t>
      </w:r>
      <w:r w:rsidR="00207197" w:rsidRPr="00D5464D">
        <w:rPr>
          <w:lang w:val="pt-BR"/>
        </w:rPr>
        <w:t xml:space="preserve"> </w:t>
      </w:r>
      <w:r w:rsidR="000C4AC2" w:rsidRPr="00D5464D">
        <w:rPr>
          <w:lang w:val="pt-BR"/>
        </w:rPr>
        <w:t xml:space="preserve">de </w:t>
      </w:r>
      <w:r w:rsidR="00230C71" w:rsidRPr="00D5464D">
        <w:rPr>
          <w:lang w:val="pt-BR"/>
        </w:rPr>
        <w:t>regressar</w:t>
      </w:r>
      <w:r w:rsidR="00207197" w:rsidRPr="00D5464D">
        <w:rPr>
          <w:lang w:val="pt-BR"/>
        </w:rPr>
        <w:t xml:space="preserve"> a su</w:t>
      </w:r>
      <w:r w:rsidR="000C4AC2" w:rsidRPr="00D5464D">
        <w:rPr>
          <w:lang w:val="pt-BR"/>
        </w:rPr>
        <w:t>a</w:t>
      </w:r>
      <w:r w:rsidR="00207197" w:rsidRPr="00D5464D">
        <w:rPr>
          <w:lang w:val="pt-BR"/>
        </w:rPr>
        <w:t xml:space="preserve">s </w:t>
      </w:r>
      <w:r w:rsidR="000C4AC2" w:rsidRPr="00D5464D">
        <w:rPr>
          <w:lang w:val="pt-BR"/>
        </w:rPr>
        <w:t xml:space="preserve">casas </w:t>
      </w:r>
      <w:r w:rsidR="001532EE" w:rsidRPr="00D5464D">
        <w:rPr>
          <w:lang w:val="pt-BR"/>
        </w:rPr>
        <w:t>(</w:t>
      </w:r>
      <w:r w:rsidR="00C85EA9" w:rsidRPr="00D5464D">
        <w:rPr>
          <w:lang w:val="pt-BR"/>
        </w:rPr>
        <w:t xml:space="preserve">par. </w:t>
      </w:r>
      <w:r w:rsidR="00D036E7" w:rsidRPr="00D5464D">
        <w:rPr>
          <w:lang w:val="pt-BR"/>
        </w:rPr>
        <w:t>173</w:t>
      </w:r>
      <w:r w:rsidR="00D036E7" w:rsidRPr="00D5464D">
        <w:rPr>
          <w:i/>
          <w:lang w:val="pt-BR"/>
        </w:rPr>
        <w:t xml:space="preserve"> supra</w:t>
      </w:r>
      <w:r w:rsidR="00D036E7" w:rsidRPr="00D5464D">
        <w:rPr>
          <w:lang w:val="pt-BR"/>
        </w:rPr>
        <w:t>)</w:t>
      </w:r>
      <w:r w:rsidR="00207197" w:rsidRPr="00D5464D">
        <w:rPr>
          <w:lang w:val="pt-BR"/>
        </w:rPr>
        <w:t xml:space="preserve">. </w:t>
      </w:r>
      <w:r w:rsidR="00AB4D46" w:rsidRPr="00D5464D">
        <w:rPr>
          <w:lang w:val="pt-BR"/>
        </w:rPr>
        <w:t>Essas circunstâncias foram</w:t>
      </w:r>
      <w:r w:rsidR="00FF1290" w:rsidRPr="00D5464D">
        <w:rPr>
          <w:lang w:val="pt-BR"/>
        </w:rPr>
        <w:t xml:space="preserve"> </w:t>
      </w:r>
      <w:r w:rsidR="00D608DD" w:rsidRPr="00D5464D">
        <w:rPr>
          <w:lang w:val="pt-BR"/>
        </w:rPr>
        <w:t>caracterizad</w:t>
      </w:r>
      <w:r w:rsidR="00AB4D46" w:rsidRPr="00D5464D">
        <w:rPr>
          <w:lang w:val="pt-BR"/>
        </w:rPr>
        <w:t>as</w:t>
      </w:r>
      <w:r w:rsidR="002C330E" w:rsidRPr="00D5464D">
        <w:rPr>
          <w:lang w:val="pt-BR"/>
        </w:rPr>
        <w:t xml:space="preserve"> pelo Ministério</w:t>
      </w:r>
      <w:r w:rsidR="00D608DD" w:rsidRPr="00D5464D">
        <w:rPr>
          <w:lang w:val="pt-BR"/>
        </w:rPr>
        <w:t xml:space="preserve"> Público como</w:t>
      </w:r>
      <w:r w:rsidR="00E045D9" w:rsidRPr="00D5464D">
        <w:rPr>
          <w:lang w:val="pt-BR"/>
        </w:rPr>
        <w:t xml:space="preserve"> um </w:t>
      </w:r>
      <w:r w:rsidR="00D608DD" w:rsidRPr="00D5464D">
        <w:rPr>
          <w:lang w:val="pt-BR"/>
        </w:rPr>
        <w:t>“</w:t>
      </w:r>
      <w:r w:rsidR="00207197" w:rsidRPr="00D5464D">
        <w:rPr>
          <w:lang w:val="pt-BR"/>
        </w:rPr>
        <w:t xml:space="preserve">sistema de </w:t>
      </w:r>
      <w:r w:rsidR="000C4AC2" w:rsidRPr="00D5464D">
        <w:rPr>
          <w:lang w:val="pt-BR"/>
        </w:rPr>
        <w:t xml:space="preserve">cárcere </w:t>
      </w:r>
      <w:r w:rsidR="00207197" w:rsidRPr="00D5464D">
        <w:rPr>
          <w:lang w:val="pt-BR"/>
        </w:rPr>
        <w:t>privad</w:t>
      </w:r>
      <w:r w:rsidR="000C4AC2" w:rsidRPr="00D5464D">
        <w:rPr>
          <w:lang w:val="pt-BR"/>
        </w:rPr>
        <w:t>o</w:t>
      </w:r>
      <w:r w:rsidR="00D608DD" w:rsidRPr="00D5464D">
        <w:rPr>
          <w:lang w:val="pt-BR"/>
        </w:rPr>
        <w:t>”</w:t>
      </w:r>
      <w:r w:rsidR="00D608DD" w:rsidRPr="00D5464D">
        <w:rPr>
          <w:vertAlign w:val="superscript"/>
          <w:lang w:val="pt-BR"/>
        </w:rPr>
        <w:t xml:space="preserve"> </w:t>
      </w:r>
      <w:r w:rsidR="00D608DD" w:rsidRPr="00D5464D">
        <w:rPr>
          <w:lang w:val="pt-BR"/>
        </w:rPr>
        <w:t>(</w:t>
      </w:r>
      <w:r w:rsidR="00C85EA9" w:rsidRPr="00D5464D">
        <w:rPr>
          <w:lang w:val="pt-BR"/>
        </w:rPr>
        <w:t xml:space="preserve">par. </w:t>
      </w:r>
      <w:r w:rsidR="00D036E7" w:rsidRPr="00D5464D">
        <w:rPr>
          <w:lang w:val="pt-BR"/>
        </w:rPr>
        <w:t>179</w:t>
      </w:r>
      <w:r w:rsidR="00D036E7" w:rsidRPr="00D5464D">
        <w:rPr>
          <w:i/>
          <w:lang w:val="pt-BR"/>
        </w:rPr>
        <w:t xml:space="preserve"> supra</w:t>
      </w:r>
      <w:r w:rsidR="00D036E7" w:rsidRPr="00D5464D">
        <w:rPr>
          <w:lang w:val="pt-BR"/>
        </w:rPr>
        <w:t>)</w:t>
      </w:r>
      <w:r w:rsidR="00D608DD" w:rsidRPr="00D5464D">
        <w:rPr>
          <w:lang w:val="pt-BR"/>
        </w:rPr>
        <w:t>.</w:t>
      </w:r>
    </w:p>
    <w:p w14:paraId="3FC267E5" w14:textId="77777777" w:rsidR="00D608DD" w:rsidRPr="00D5464D" w:rsidRDefault="00D608DD" w:rsidP="00ED3AD0">
      <w:pPr>
        <w:pStyle w:val="Prrafodelista"/>
        <w:rPr>
          <w:lang w:val="pt-BR"/>
        </w:rPr>
      </w:pPr>
    </w:p>
    <w:p w14:paraId="20188FAA" w14:textId="7D58E1FE" w:rsidR="00D608DD" w:rsidRPr="00D5464D" w:rsidRDefault="00706C00" w:rsidP="00D608DD">
      <w:pPr>
        <w:pStyle w:val="Prrafodelista"/>
        <w:numPr>
          <w:ilvl w:val="0"/>
          <w:numId w:val="1"/>
        </w:numPr>
        <w:contextualSpacing w:val="0"/>
        <w:rPr>
          <w:lang w:val="pt-BR"/>
        </w:rPr>
      </w:pPr>
      <w:r w:rsidRPr="00D5464D">
        <w:rPr>
          <w:lang w:val="pt-BR"/>
        </w:rPr>
        <w:t xml:space="preserve">O </w:t>
      </w:r>
      <w:r w:rsidR="002C330E" w:rsidRPr="00D5464D">
        <w:rPr>
          <w:lang w:val="pt-BR"/>
        </w:rPr>
        <w:t>resumo</w:t>
      </w:r>
      <w:r w:rsidR="00D608DD" w:rsidRPr="00D5464D">
        <w:rPr>
          <w:lang w:val="pt-BR"/>
        </w:rPr>
        <w:t xml:space="preserve"> d</w:t>
      </w:r>
      <w:r w:rsidRPr="00D5464D">
        <w:rPr>
          <w:lang w:val="pt-BR"/>
        </w:rPr>
        <w:t>os</w:t>
      </w:r>
      <w:r w:rsidR="00D608DD" w:rsidRPr="00D5464D">
        <w:rPr>
          <w:lang w:val="pt-BR"/>
        </w:rPr>
        <w:t xml:space="preserve"> </w:t>
      </w:r>
      <w:r w:rsidR="002C330E" w:rsidRPr="00D5464D">
        <w:rPr>
          <w:lang w:val="pt-BR"/>
        </w:rPr>
        <w:t>fatos</w:t>
      </w:r>
      <w:r w:rsidR="00D608DD" w:rsidRPr="00D5464D">
        <w:rPr>
          <w:lang w:val="pt-BR"/>
        </w:rPr>
        <w:t xml:space="preserve"> </w:t>
      </w:r>
      <w:r w:rsidR="00470ADC" w:rsidRPr="00D5464D">
        <w:rPr>
          <w:lang w:val="pt-BR"/>
        </w:rPr>
        <w:t>contidos</w:t>
      </w:r>
      <w:r w:rsidR="00E045D9" w:rsidRPr="00D5464D">
        <w:rPr>
          <w:lang w:val="pt-BR"/>
        </w:rPr>
        <w:t xml:space="preserve"> nos </w:t>
      </w:r>
      <w:r w:rsidR="002C330E" w:rsidRPr="00D5464D">
        <w:rPr>
          <w:lang w:val="pt-BR"/>
        </w:rPr>
        <w:t>parágrafo</w:t>
      </w:r>
      <w:r w:rsidR="00D608DD" w:rsidRPr="00D5464D">
        <w:rPr>
          <w:lang w:val="pt-BR"/>
        </w:rPr>
        <w:t>s anteriores</w:t>
      </w:r>
      <w:r w:rsidRPr="00D5464D">
        <w:rPr>
          <w:lang w:val="pt-BR"/>
        </w:rPr>
        <w:t xml:space="preserve"> indica a </w:t>
      </w:r>
      <w:r w:rsidR="002713DE" w:rsidRPr="00D5464D">
        <w:rPr>
          <w:lang w:val="pt-BR"/>
        </w:rPr>
        <w:t>evidente</w:t>
      </w:r>
      <w:r w:rsidR="00230C71" w:rsidRPr="00D5464D">
        <w:rPr>
          <w:lang w:val="pt-BR"/>
        </w:rPr>
        <w:t xml:space="preserve"> </w:t>
      </w:r>
      <w:r w:rsidR="00E045D9" w:rsidRPr="00D5464D">
        <w:rPr>
          <w:lang w:val="pt-BR"/>
        </w:rPr>
        <w:t>existência</w:t>
      </w:r>
      <w:r w:rsidR="00D608DD" w:rsidRPr="00D5464D">
        <w:rPr>
          <w:lang w:val="pt-BR"/>
        </w:rPr>
        <w:t xml:space="preserve"> de</w:t>
      </w:r>
      <w:r w:rsidR="00E045D9" w:rsidRPr="00D5464D">
        <w:rPr>
          <w:lang w:val="pt-BR"/>
        </w:rPr>
        <w:t xml:space="preserve"> um </w:t>
      </w:r>
      <w:r w:rsidR="00D608DD" w:rsidRPr="00D5464D">
        <w:rPr>
          <w:lang w:val="pt-BR"/>
        </w:rPr>
        <w:t xml:space="preserve">mecanismo de </w:t>
      </w:r>
      <w:r w:rsidRPr="00D5464D">
        <w:rPr>
          <w:lang w:val="pt-BR"/>
        </w:rPr>
        <w:t xml:space="preserve">aliciamento </w:t>
      </w:r>
      <w:r w:rsidR="00D608DD" w:rsidRPr="00D5464D">
        <w:rPr>
          <w:lang w:val="pt-BR"/>
        </w:rPr>
        <w:t xml:space="preserve">de </w:t>
      </w:r>
      <w:r w:rsidR="00E045D9" w:rsidRPr="00D5464D">
        <w:rPr>
          <w:lang w:val="pt-BR"/>
        </w:rPr>
        <w:t>trabalhadores</w:t>
      </w:r>
      <w:r w:rsidR="00470ADC" w:rsidRPr="00D5464D">
        <w:rPr>
          <w:lang w:val="pt-BR"/>
        </w:rPr>
        <w:t xml:space="preserve"> através</w:t>
      </w:r>
      <w:r w:rsidR="00D608DD" w:rsidRPr="00D5464D">
        <w:rPr>
          <w:lang w:val="pt-BR"/>
        </w:rPr>
        <w:t xml:space="preserve"> de fraude</w:t>
      </w:r>
      <w:r w:rsidR="00DE1D5D" w:rsidRPr="00D5464D">
        <w:rPr>
          <w:lang w:val="pt-BR"/>
        </w:rPr>
        <w:t>s</w:t>
      </w:r>
      <w:r w:rsidR="00E045D9" w:rsidRPr="00D5464D">
        <w:rPr>
          <w:lang w:val="pt-BR"/>
        </w:rPr>
        <w:t xml:space="preserve"> e </w:t>
      </w:r>
      <w:r w:rsidR="00D608DD" w:rsidRPr="00D5464D">
        <w:rPr>
          <w:lang w:val="pt-BR"/>
        </w:rPr>
        <w:t>eng</w:t>
      </w:r>
      <w:r w:rsidR="00470ADC" w:rsidRPr="00D5464D">
        <w:rPr>
          <w:lang w:val="pt-BR"/>
        </w:rPr>
        <w:t>anos</w:t>
      </w:r>
      <w:r w:rsidR="00D608DD" w:rsidRPr="00D5464D">
        <w:rPr>
          <w:lang w:val="pt-BR"/>
        </w:rPr>
        <w:t xml:space="preserve">. </w:t>
      </w:r>
      <w:r w:rsidR="00470ADC" w:rsidRPr="00D5464D">
        <w:rPr>
          <w:lang w:val="pt-BR"/>
        </w:rPr>
        <w:t>Ademais</w:t>
      </w:r>
      <w:r w:rsidR="00D608DD" w:rsidRPr="00D5464D">
        <w:rPr>
          <w:lang w:val="pt-BR"/>
        </w:rPr>
        <w:t>,</w:t>
      </w:r>
      <w:r w:rsidR="002C330E" w:rsidRPr="00D5464D">
        <w:rPr>
          <w:lang w:val="pt-BR"/>
        </w:rPr>
        <w:t xml:space="preserve"> a </w:t>
      </w:r>
      <w:r w:rsidR="00D608DD" w:rsidRPr="00D5464D">
        <w:rPr>
          <w:lang w:val="pt-BR"/>
        </w:rPr>
        <w:t>Corte considera que,</w:t>
      </w:r>
      <w:r w:rsidR="00470ADC" w:rsidRPr="00D5464D">
        <w:rPr>
          <w:lang w:val="pt-BR"/>
        </w:rPr>
        <w:t xml:space="preserve"> </w:t>
      </w:r>
      <w:r w:rsidRPr="00D5464D">
        <w:rPr>
          <w:lang w:val="pt-BR"/>
        </w:rPr>
        <w:t xml:space="preserve">com </w:t>
      </w:r>
      <w:r w:rsidR="00470ADC" w:rsidRPr="00D5464D">
        <w:rPr>
          <w:lang w:val="pt-BR"/>
        </w:rPr>
        <w:t>efeito</w:t>
      </w:r>
      <w:r w:rsidR="00D608DD" w:rsidRPr="00D5464D">
        <w:rPr>
          <w:lang w:val="pt-BR"/>
        </w:rPr>
        <w:t>,</w:t>
      </w:r>
      <w:r w:rsidR="002C330E" w:rsidRPr="00D5464D">
        <w:rPr>
          <w:lang w:val="pt-BR"/>
        </w:rPr>
        <w:t xml:space="preserve"> os fatos</w:t>
      </w:r>
      <w:r w:rsidR="00D608DD" w:rsidRPr="00D5464D">
        <w:rPr>
          <w:lang w:val="pt-BR"/>
        </w:rPr>
        <w:t xml:space="preserve"> </w:t>
      </w:r>
      <w:r w:rsidR="00470ADC" w:rsidRPr="00D5464D">
        <w:rPr>
          <w:lang w:val="pt-BR"/>
        </w:rPr>
        <w:t xml:space="preserve">do </w:t>
      </w:r>
      <w:r w:rsidR="00D608DD" w:rsidRPr="00D5464D">
        <w:rPr>
          <w:lang w:val="pt-BR"/>
        </w:rPr>
        <w:t xml:space="preserve">caso </w:t>
      </w:r>
      <w:r w:rsidR="00E045D9" w:rsidRPr="00D5464D">
        <w:rPr>
          <w:lang w:val="pt-BR"/>
        </w:rPr>
        <w:t>indicam</w:t>
      </w:r>
      <w:r w:rsidR="002C330E" w:rsidRPr="00D5464D">
        <w:rPr>
          <w:lang w:val="pt-BR"/>
        </w:rPr>
        <w:t xml:space="preserve"> a </w:t>
      </w:r>
      <w:r w:rsidR="00E045D9" w:rsidRPr="00D5464D">
        <w:rPr>
          <w:lang w:val="pt-BR"/>
        </w:rPr>
        <w:t>existência</w:t>
      </w:r>
      <w:r w:rsidR="00D608DD" w:rsidRPr="00D5464D">
        <w:rPr>
          <w:lang w:val="pt-BR"/>
        </w:rPr>
        <w:t xml:space="preserve"> de</w:t>
      </w:r>
      <w:r w:rsidR="00E045D9" w:rsidRPr="00D5464D">
        <w:rPr>
          <w:lang w:val="pt-BR"/>
        </w:rPr>
        <w:t xml:space="preserve"> uma </w:t>
      </w:r>
      <w:r w:rsidR="00D608DD" w:rsidRPr="00D5464D">
        <w:rPr>
          <w:lang w:val="pt-BR"/>
        </w:rPr>
        <w:t>situa</w:t>
      </w:r>
      <w:r w:rsidR="00470ADC" w:rsidRPr="00D5464D">
        <w:rPr>
          <w:lang w:val="pt-BR"/>
        </w:rPr>
        <w:t>ção</w:t>
      </w:r>
      <w:r w:rsidR="00D608DD" w:rsidRPr="00D5464D">
        <w:rPr>
          <w:lang w:val="pt-BR"/>
        </w:rPr>
        <w:t xml:space="preserve"> de </w:t>
      </w:r>
      <w:r w:rsidR="000B376D" w:rsidRPr="00D5464D">
        <w:rPr>
          <w:lang w:val="pt-BR"/>
        </w:rPr>
        <w:t>servidão</w:t>
      </w:r>
      <w:r w:rsidR="00D608DD" w:rsidRPr="00D5464D">
        <w:rPr>
          <w:lang w:val="pt-BR"/>
        </w:rPr>
        <w:t xml:space="preserve"> por </w:t>
      </w:r>
      <w:r w:rsidR="00470ADC" w:rsidRPr="00D5464D">
        <w:rPr>
          <w:lang w:val="pt-BR"/>
        </w:rPr>
        <w:t>dívida</w:t>
      </w:r>
      <w:r w:rsidR="00EC5C1A" w:rsidRPr="00D5464D">
        <w:rPr>
          <w:lang w:val="pt-BR"/>
        </w:rPr>
        <w:t xml:space="preserve">, </w:t>
      </w:r>
      <w:r w:rsidRPr="00D5464D">
        <w:rPr>
          <w:lang w:val="pt-BR"/>
        </w:rPr>
        <w:t xml:space="preserve">uma vez </w:t>
      </w:r>
      <w:r w:rsidR="00D608DD" w:rsidRPr="00D5464D">
        <w:rPr>
          <w:lang w:val="pt-BR"/>
        </w:rPr>
        <w:t>que</w:t>
      </w:r>
      <w:r w:rsidR="00C60007" w:rsidRPr="00D5464D">
        <w:rPr>
          <w:lang w:val="pt-BR"/>
        </w:rPr>
        <w:t>,</w:t>
      </w:r>
      <w:r w:rsidR="00D608DD" w:rsidRPr="00D5464D">
        <w:rPr>
          <w:lang w:val="pt-BR"/>
        </w:rPr>
        <w:t xml:space="preserve"> a partir </w:t>
      </w:r>
      <w:r w:rsidR="00470ADC" w:rsidRPr="00D5464D">
        <w:rPr>
          <w:lang w:val="pt-BR"/>
        </w:rPr>
        <w:t xml:space="preserve">do </w:t>
      </w:r>
      <w:r w:rsidR="00D608DD" w:rsidRPr="00D5464D">
        <w:rPr>
          <w:lang w:val="pt-BR"/>
        </w:rPr>
        <w:t>momento</w:t>
      </w:r>
      <w:r w:rsidR="00470ADC" w:rsidRPr="00D5464D">
        <w:rPr>
          <w:lang w:val="pt-BR"/>
        </w:rPr>
        <w:t xml:space="preserve"> em </w:t>
      </w:r>
      <w:r w:rsidR="00D608DD" w:rsidRPr="00D5464D">
        <w:rPr>
          <w:lang w:val="pt-BR"/>
        </w:rPr>
        <w:t>que</w:t>
      </w:r>
      <w:r w:rsidR="002C330E" w:rsidRPr="00D5464D">
        <w:rPr>
          <w:lang w:val="pt-BR"/>
        </w:rPr>
        <w:t xml:space="preserve"> os </w:t>
      </w:r>
      <w:r w:rsidR="00E045D9" w:rsidRPr="00D5464D">
        <w:rPr>
          <w:lang w:val="pt-BR"/>
        </w:rPr>
        <w:t>trabalhadores</w:t>
      </w:r>
      <w:r w:rsidR="00D608DD" w:rsidRPr="00D5464D">
        <w:rPr>
          <w:lang w:val="pt-BR"/>
        </w:rPr>
        <w:t xml:space="preserve"> </w:t>
      </w:r>
      <w:r w:rsidR="00230C71" w:rsidRPr="00D5464D">
        <w:rPr>
          <w:lang w:val="pt-BR"/>
        </w:rPr>
        <w:t>recebiam</w:t>
      </w:r>
      <w:r w:rsidR="00470ADC" w:rsidRPr="00D5464D">
        <w:rPr>
          <w:lang w:val="pt-BR"/>
        </w:rPr>
        <w:t xml:space="preserve"> o </w:t>
      </w:r>
      <w:r w:rsidRPr="00D5464D">
        <w:rPr>
          <w:lang w:val="pt-BR"/>
        </w:rPr>
        <w:t xml:space="preserve">adiantamento em </w:t>
      </w:r>
      <w:r w:rsidR="00737270" w:rsidRPr="00D5464D">
        <w:rPr>
          <w:lang w:val="pt-BR"/>
        </w:rPr>
        <w:t>dinheiro</w:t>
      </w:r>
      <w:r w:rsidR="00D608DD" w:rsidRPr="00D5464D">
        <w:rPr>
          <w:lang w:val="pt-BR"/>
        </w:rPr>
        <w:t xml:space="preserve"> por parte </w:t>
      </w:r>
      <w:r w:rsidR="00470ADC" w:rsidRPr="00D5464D">
        <w:rPr>
          <w:lang w:val="pt-BR"/>
        </w:rPr>
        <w:t xml:space="preserve">do </w:t>
      </w:r>
      <w:r w:rsidR="00D608DD" w:rsidRPr="00D5464D">
        <w:rPr>
          <w:iCs/>
          <w:lang w:val="pt-BR"/>
        </w:rPr>
        <w:t>gato</w:t>
      </w:r>
      <w:r w:rsidR="00D608DD" w:rsidRPr="00D5464D">
        <w:rPr>
          <w:lang w:val="pt-BR"/>
        </w:rPr>
        <w:t xml:space="preserve">, </w:t>
      </w:r>
      <w:r w:rsidR="002C330E" w:rsidRPr="00D5464D">
        <w:rPr>
          <w:lang w:val="pt-BR"/>
        </w:rPr>
        <w:t xml:space="preserve">até os </w:t>
      </w:r>
      <w:r w:rsidR="00E045D9" w:rsidRPr="00D5464D">
        <w:rPr>
          <w:lang w:val="pt-BR"/>
        </w:rPr>
        <w:t>salário</w:t>
      </w:r>
      <w:r w:rsidR="00D608DD" w:rsidRPr="00D5464D">
        <w:rPr>
          <w:lang w:val="pt-BR"/>
        </w:rPr>
        <w:t xml:space="preserve">s </w:t>
      </w:r>
      <w:r w:rsidRPr="00D5464D">
        <w:rPr>
          <w:lang w:val="pt-BR"/>
        </w:rPr>
        <w:t xml:space="preserve">irrisórios </w:t>
      </w:r>
      <w:r w:rsidR="00E045D9" w:rsidRPr="00D5464D">
        <w:rPr>
          <w:lang w:val="pt-BR"/>
        </w:rPr>
        <w:t xml:space="preserve">e </w:t>
      </w:r>
      <w:r w:rsidR="00350187" w:rsidRPr="00D5464D">
        <w:rPr>
          <w:lang w:val="pt-BR"/>
        </w:rPr>
        <w:t>desconto</w:t>
      </w:r>
      <w:r w:rsidR="00D608DD" w:rsidRPr="00D5464D">
        <w:rPr>
          <w:lang w:val="pt-BR"/>
        </w:rPr>
        <w:t>s por comida, medicamentos</w:t>
      </w:r>
      <w:r w:rsidR="00E045D9" w:rsidRPr="00D5464D">
        <w:rPr>
          <w:lang w:val="pt-BR"/>
        </w:rPr>
        <w:t xml:space="preserve"> e </w:t>
      </w:r>
      <w:r w:rsidR="002C330E" w:rsidRPr="00D5464D">
        <w:rPr>
          <w:lang w:val="pt-BR"/>
        </w:rPr>
        <w:t>outros</w:t>
      </w:r>
      <w:r w:rsidR="00D608DD" w:rsidRPr="00D5464D">
        <w:rPr>
          <w:lang w:val="pt-BR"/>
        </w:rPr>
        <w:t xml:space="preserve"> </w:t>
      </w:r>
      <w:r w:rsidR="002C330E" w:rsidRPr="00D5464D">
        <w:rPr>
          <w:lang w:val="pt-BR"/>
        </w:rPr>
        <w:t>produto</w:t>
      </w:r>
      <w:r w:rsidR="00D608DD" w:rsidRPr="00D5464D">
        <w:rPr>
          <w:lang w:val="pt-BR"/>
        </w:rPr>
        <w:t xml:space="preserve">s, </w:t>
      </w:r>
      <w:r w:rsidRPr="00D5464D">
        <w:rPr>
          <w:lang w:val="pt-BR"/>
        </w:rPr>
        <w:t>originava-se</w:t>
      </w:r>
      <w:r w:rsidR="00350187" w:rsidRPr="00D5464D">
        <w:rPr>
          <w:lang w:val="pt-BR"/>
        </w:rPr>
        <w:t xml:space="preserve"> </w:t>
      </w:r>
      <w:r w:rsidR="00C60007" w:rsidRPr="00D5464D">
        <w:rPr>
          <w:lang w:val="pt-BR"/>
        </w:rPr>
        <w:t xml:space="preserve">para eles </w:t>
      </w:r>
      <w:r w:rsidR="00E045D9" w:rsidRPr="00D5464D">
        <w:rPr>
          <w:lang w:val="pt-BR"/>
        </w:rPr>
        <w:t xml:space="preserve">uma </w:t>
      </w:r>
      <w:r w:rsidR="00470ADC" w:rsidRPr="00D5464D">
        <w:rPr>
          <w:lang w:val="pt-BR"/>
        </w:rPr>
        <w:t>dívida</w:t>
      </w:r>
      <w:r w:rsidR="00D608DD" w:rsidRPr="00D5464D">
        <w:rPr>
          <w:lang w:val="pt-BR"/>
        </w:rPr>
        <w:t xml:space="preserve"> impag</w:t>
      </w:r>
      <w:r w:rsidR="00350187" w:rsidRPr="00D5464D">
        <w:rPr>
          <w:lang w:val="pt-BR"/>
        </w:rPr>
        <w:t>ável</w:t>
      </w:r>
      <w:r w:rsidR="00D608DD" w:rsidRPr="00D5464D">
        <w:rPr>
          <w:lang w:val="pt-BR"/>
        </w:rPr>
        <w:t>. Como agravante a</w:t>
      </w:r>
      <w:r w:rsidR="00470ADC" w:rsidRPr="00D5464D">
        <w:rPr>
          <w:lang w:val="pt-BR"/>
        </w:rPr>
        <w:t xml:space="preserve"> esse </w:t>
      </w:r>
      <w:r w:rsidR="00D608DD" w:rsidRPr="00D5464D">
        <w:rPr>
          <w:lang w:val="pt-BR"/>
        </w:rPr>
        <w:t>sistema</w:t>
      </w:r>
      <w:r w:rsidRPr="00D5464D">
        <w:rPr>
          <w:lang w:val="pt-BR"/>
        </w:rPr>
        <w:t>,</w:t>
      </w:r>
      <w:r w:rsidR="00D608DD" w:rsidRPr="00D5464D">
        <w:rPr>
          <w:lang w:val="pt-BR"/>
        </w:rPr>
        <w:t xml:space="preserve"> </w:t>
      </w:r>
      <w:r w:rsidR="00470ADC" w:rsidRPr="00D5464D">
        <w:rPr>
          <w:lang w:val="pt-BR"/>
        </w:rPr>
        <w:t>conhecido</w:t>
      </w:r>
      <w:r w:rsidR="00D608DD" w:rsidRPr="00D5464D">
        <w:rPr>
          <w:lang w:val="pt-BR"/>
        </w:rPr>
        <w:t xml:space="preserve"> como </w:t>
      </w:r>
      <w:r w:rsidR="00D608DD" w:rsidRPr="00D5464D">
        <w:rPr>
          <w:i/>
          <w:iCs/>
          <w:lang w:val="pt-BR"/>
        </w:rPr>
        <w:t xml:space="preserve">truck system, </w:t>
      </w:r>
      <w:r w:rsidR="00D608DD" w:rsidRPr="00D5464D">
        <w:rPr>
          <w:i/>
          <w:lang w:val="pt-BR"/>
        </w:rPr>
        <w:t>peonaje</w:t>
      </w:r>
      <w:r w:rsidR="00D608DD" w:rsidRPr="00D5464D">
        <w:rPr>
          <w:lang w:val="pt-BR"/>
        </w:rPr>
        <w:t xml:space="preserve"> o</w:t>
      </w:r>
      <w:r w:rsidRPr="00D5464D">
        <w:rPr>
          <w:lang w:val="pt-BR"/>
        </w:rPr>
        <w:t>u</w:t>
      </w:r>
      <w:r w:rsidR="00D608DD" w:rsidRPr="00D5464D">
        <w:rPr>
          <w:lang w:val="pt-BR"/>
        </w:rPr>
        <w:t xml:space="preserve"> </w:t>
      </w:r>
      <w:r w:rsidR="00D608DD" w:rsidRPr="00D5464D">
        <w:rPr>
          <w:iCs/>
          <w:lang w:val="pt-BR"/>
        </w:rPr>
        <w:t>sistema de barracão</w:t>
      </w:r>
      <w:r w:rsidR="00470ADC" w:rsidRPr="00D5464D">
        <w:rPr>
          <w:i/>
          <w:iCs/>
          <w:lang w:val="pt-BR"/>
        </w:rPr>
        <w:t xml:space="preserve"> </w:t>
      </w:r>
      <w:r w:rsidR="00470ADC" w:rsidRPr="00D5464D">
        <w:rPr>
          <w:iCs/>
          <w:lang w:val="pt-BR"/>
        </w:rPr>
        <w:t>em</w:t>
      </w:r>
      <w:r w:rsidR="00470ADC" w:rsidRPr="00D5464D">
        <w:rPr>
          <w:i/>
          <w:iCs/>
          <w:lang w:val="pt-BR"/>
        </w:rPr>
        <w:t xml:space="preserve"> </w:t>
      </w:r>
      <w:r w:rsidR="00470ADC" w:rsidRPr="00D5464D">
        <w:rPr>
          <w:lang w:val="pt-BR"/>
        </w:rPr>
        <w:t xml:space="preserve">alguns </w:t>
      </w:r>
      <w:r w:rsidR="00D608DD" w:rsidRPr="00D5464D">
        <w:rPr>
          <w:lang w:val="pt-BR"/>
        </w:rPr>
        <w:t>países,</w:t>
      </w:r>
      <w:r w:rsidR="002C330E" w:rsidRPr="00D5464D">
        <w:rPr>
          <w:lang w:val="pt-BR"/>
        </w:rPr>
        <w:t xml:space="preserve"> os </w:t>
      </w:r>
      <w:r w:rsidR="00E045D9" w:rsidRPr="00D5464D">
        <w:rPr>
          <w:lang w:val="pt-BR"/>
        </w:rPr>
        <w:t>trabalhadores</w:t>
      </w:r>
      <w:r w:rsidR="00470ADC" w:rsidRPr="00D5464D">
        <w:rPr>
          <w:lang w:val="pt-BR"/>
        </w:rPr>
        <w:t xml:space="preserve"> eram </w:t>
      </w:r>
      <w:r w:rsidR="002C330E" w:rsidRPr="00D5464D">
        <w:rPr>
          <w:lang w:val="pt-BR"/>
        </w:rPr>
        <w:t>submetido</w:t>
      </w:r>
      <w:r w:rsidR="00D608DD" w:rsidRPr="00D5464D">
        <w:rPr>
          <w:lang w:val="pt-BR"/>
        </w:rPr>
        <w:t xml:space="preserve">s a jornadas </w:t>
      </w:r>
      <w:r w:rsidRPr="00D5464D">
        <w:rPr>
          <w:lang w:val="pt-BR"/>
        </w:rPr>
        <w:t xml:space="preserve">exaustivas </w:t>
      </w:r>
      <w:r w:rsidR="00D608DD" w:rsidRPr="00D5464D">
        <w:rPr>
          <w:lang w:val="pt-BR"/>
        </w:rPr>
        <w:t xml:space="preserve">de </w:t>
      </w:r>
      <w:r w:rsidR="00E045D9" w:rsidRPr="00D5464D">
        <w:rPr>
          <w:lang w:val="pt-BR"/>
        </w:rPr>
        <w:t>trabalho</w:t>
      </w:r>
      <w:r w:rsidRPr="00D5464D">
        <w:rPr>
          <w:lang w:val="pt-BR"/>
        </w:rPr>
        <w:t>,</w:t>
      </w:r>
      <w:r w:rsidR="00470ADC" w:rsidRPr="00D5464D">
        <w:rPr>
          <w:lang w:val="pt-BR"/>
        </w:rPr>
        <w:t xml:space="preserve"> sob ameaça</w:t>
      </w:r>
      <w:r w:rsidR="00D608DD" w:rsidRPr="00D5464D">
        <w:rPr>
          <w:lang w:val="pt-BR"/>
        </w:rPr>
        <w:t>s</w:t>
      </w:r>
      <w:r w:rsidR="00E045D9" w:rsidRPr="00D5464D">
        <w:rPr>
          <w:lang w:val="pt-BR"/>
        </w:rPr>
        <w:t xml:space="preserve"> e violência</w:t>
      </w:r>
      <w:r w:rsidR="00D608DD" w:rsidRPr="00D5464D">
        <w:rPr>
          <w:lang w:val="pt-BR"/>
        </w:rPr>
        <w:t xml:space="preserve">, </w:t>
      </w:r>
      <w:r w:rsidR="00E045D9" w:rsidRPr="00D5464D">
        <w:rPr>
          <w:lang w:val="pt-BR"/>
        </w:rPr>
        <w:t>vivendo</w:t>
      </w:r>
      <w:r w:rsidR="00470ADC" w:rsidRPr="00D5464D">
        <w:rPr>
          <w:lang w:val="pt-BR"/>
        </w:rPr>
        <w:t xml:space="preserve"> em </w:t>
      </w:r>
      <w:r w:rsidR="00EC5C1A" w:rsidRPr="00D5464D">
        <w:rPr>
          <w:lang w:val="pt-BR"/>
        </w:rPr>
        <w:t>condi</w:t>
      </w:r>
      <w:r w:rsidR="00470ADC" w:rsidRPr="00D5464D">
        <w:rPr>
          <w:lang w:val="pt-BR"/>
        </w:rPr>
        <w:t>ções</w:t>
      </w:r>
      <w:r w:rsidR="00EC5C1A" w:rsidRPr="00D5464D">
        <w:rPr>
          <w:lang w:val="pt-BR"/>
        </w:rPr>
        <w:t xml:space="preserve"> degradantes</w:t>
      </w:r>
      <w:r w:rsidR="00D608DD" w:rsidRPr="00D5464D">
        <w:rPr>
          <w:lang w:val="pt-BR"/>
        </w:rPr>
        <w:t xml:space="preserve">. </w:t>
      </w:r>
      <w:r w:rsidR="00350187" w:rsidRPr="00D5464D">
        <w:rPr>
          <w:lang w:val="pt-BR"/>
        </w:rPr>
        <w:t xml:space="preserve">Além disso, </w:t>
      </w:r>
      <w:r w:rsidR="002C330E" w:rsidRPr="00D5464D">
        <w:rPr>
          <w:lang w:val="pt-BR"/>
        </w:rPr>
        <w:t xml:space="preserve">os </w:t>
      </w:r>
      <w:r w:rsidR="00E045D9" w:rsidRPr="00D5464D">
        <w:rPr>
          <w:lang w:val="pt-BR"/>
        </w:rPr>
        <w:t>trabalhadores</w:t>
      </w:r>
      <w:r w:rsidR="00230C71" w:rsidRPr="00D5464D">
        <w:rPr>
          <w:lang w:val="pt-BR"/>
        </w:rPr>
        <w:t xml:space="preserve"> não tinha</w:t>
      </w:r>
      <w:r w:rsidR="00E045D9" w:rsidRPr="00D5464D">
        <w:rPr>
          <w:lang w:val="pt-BR"/>
        </w:rPr>
        <w:t>m</w:t>
      </w:r>
      <w:r w:rsidR="00D608DD" w:rsidRPr="00D5464D">
        <w:rPr>
          <w:lang w:val="pt-BR"/>
        </w:rPr>
        <w:t xml:space="preserve"> perspectiva de poder </w:t>
      </w:r>
      <w:r w:rsidR="002C330E" w:rsidRPr="00D5464D">
        <w:rPr>
          <w:lang w:val="pt-BR"/>
        </w:rPr>
        <w:t>sair</w:t>
      </w:r>
      <w:r w:rsidR="00D608DD" w:rsidRPr="00D5464D">
        <w:rPr>
          <w:lang w:val="pt-BR"/>
        </w:rPr>
        <w:t xml:space="preserve"> </w:t>
      </w:r>
      <w:r w:rsidR="00E045D9" w:rsidRPr="00D5464D">
        <w:rPr>
          <w:lang w:val="pt-BR"/>
        </w:rPr>
        <w:t>dessa</w:t>
      </w:r>
      <w:r w:rsidR="00470ADC" w:rsidRPr="00D5464D">
        <w:rPr>
          <w:lang w:val="pt-BR"/>
        </w:rPr>
        <w:t xml:space="preserve"> </w:t>
      </w:r>
      <w:r w:rsidR="00D608DD" w:rsidRPr="00D5464D">
        <w:rPr>
          <w:lang w:val="pt-BR"/>
        </w:rPr>
        <w:t>situa</w:t>
      </w:r>
      <w:r w:rsidR="00470ADC" w:rsidRPr="00D5464D">
        <w:rPr>
          <w:lang w:val="pt-BR"/>
        </w:rPr>
        <w:t xml:space="preserve">ção em </w:t>
      </w:r>
      <w:r w:rsidR="002C330E" w:rsidRPr="00D5464D">
        <w:rPr>
          <w:lang w:val="pt-BR"/>
        </w:rPr>
        <w:t>razão</w:t>
      </w:r>
      <w:r w:rsidR="00D608DD" w:rsidRPr="00D5464D">
        <w:rPr>
          <w:lang w:val="pt-BR"/>
        </w:rPr>
        <w:t xml:space="preserve"> de: i)</w:t>
      </w:r>
      <w:r w:rsidR="002C330E" w:rsidRPr="00D5464D">
        <w:rPr>
          <w:lang w:val="pt-BR"/>
        </w:rPr>
        <w:t xml:space="preserve"> a presença </w:t>
      </w:r>
      <w:r w:rsidR="00D608DD" w:rsidRPr="00D5464D">
        <w:rPr>
          <w:lang w:val="pt-BR"/>
        </w:rPr>
        <w:t xml:space="preserve">de </w:t>
      </w:r>
      <w:r w:rsidR="00C91CB1" w:rsidRPr="00D5464D">
        <w:rPr>
          <w:lang w:val="pt-BR"/>
        </w:rPr>
        <w:t>guarda</w:t>
      </w:r>
      <w:r w:rsidR="00DE1D5D" w:rsidRPr="00D5464D">
        <w:rPr>
          <w:lang w:val="pt-BR"/>
        </w:rPr>
        <w:t xml:space="preserve">s </w:t>
      </w:r>
      <w:r w:rsidR="00D608DD" w:rsidRPr="00D5464D">
        <w:rPr>
          <w:lang w:val="pt-BR"/>
        </w:rPr>
        <w:t>armados; ii)</w:t>
      </w:r>
      <w:r w:rsidR="002C330E" w:rsidRPr="00D5464D">
        <w:rPr>
          <w:lang w:val="pt-BR"/>
        </w:rPr>
        <w:t xml:space="preserve"> a restrição</w:t>
      </w:r>
      <w:r w:rsidR="00D608DD" w:rsidRPr="00D5464D">
        <w:rPr>
          <w:lang w:val="pt-BR"/>
        </w:rPr>
        <w:t xml:space="preserve"> de</w:t>
      </w:r>
      <w:r w:rsidR="002C330E" w:rsidRPr="00D5464D">
        <w:rPr>
          <w:lang w:val="pt-BR"/>
        </w:rPr>
        <w:t xml:space="preserve"> saída </w:t>
      </w:r>
      <w:r w:rsidR="00470ADC" w:rsidRPr="00D5464D">
        <w:rPr>
          <w:lang w:val="pt-BR"/>
        </w:rPr>
        <w:t xml:space="preserve">da </w:t>
      </w:r>
      <w:r w:rsidR="00D809F0" w:rsidRPr="00D5464D">
        <w:rPr>
          <w:lang w:val="pt-BR"/>
        </w:rPr>
        <w:t>Fazenda</w:t>
      </w:r>
      <w:r w:rsidR="002C330E" w:rsidRPr="00D5464D">
        <w:rPr>
          <w:lang w:val="pt-BR"/>
        </w:rPr>
        <w:t xml:space="preserve"> sem </w:t>
      </w:r>
      <w:r w:rsidR="00470ADC" w:rsidRPr="00D5464D">
        <w:rPr>
          <w:lang w:val="pt-BR"/>
        </w:rPr>
        <w:t xml:space="preserve">o </w:t>
      </w:r>
      <w:r w:rsidR="002C330E" w:rsidRPr="00D5464D">
        <w:rPr>
          <w:lang w:val="pt-BR"/>
        </w:rPr>
        <w:t>pagamento</w:t>
      </w:r>
      <w:r w:rsidR="00470ADC" w:rsidRPr="00D5464D">
        <w:rPr>
          <w:lang w:val="pt-BR"/>
        </w:rPr>
        <w:t xml:space="preserve"> da dívida</w:t>
      </w:r>
      <w:r w:rsidR="00D608DD" w:rsidRPr="00D5464D">
        <w:rPr>
          <w:lang w:val="pt-BR"/>
        </w:rPr>
        <w:t xml:space="preserve"> adquirida; iii)</w:t>
      </w:r>
      <w:r w:rsidR="002C330E" w:rsidRPr="00D5464D">
        <w:rPr>
          <w:lang w:val="pt-BR"/>
        </w:rPr>
        <w:t xml:space="preserve"> a </w:t>
      </w:r>
      <w:r w:rsidR="00D608DD" w:rsidRPr="00D5464D">
        <w:rPr>
          <w:lang w:val="pt-BR"/>
        </w:rPr>
        <w:t>co</w:t>
      </w:r>
      <w:r w:rsidR="00737270" w:rsidRPr="00D5464D">
        <w:rPr>
          <w:lang w:val="pt-BR"/>
        </w:rPr>
        <w:t>ação</w:t>
      </w:r>
      <w:r w:rsidR="00D608DD" w:rsidRPr="00D5464D">
        <w:rPr>
          <w:lang w:val="pt-BR"/>
        </w:rPr>
        <w:t xml:space="preserve"> física</w:t>
      </w:r>
      <w:r w:rsidR="00E045D9" w:rsidRPr="00D5464D">
        <w:rPr>
          <w:lang w:val="pt-BR"/>
        </w:rPr>
        <w:t xml:space="preserve"> e </w:t>
      </w:r>
      <w:r w:rsidR="00D608DD" w:rsidRPr="00D5464D">
        <w:rPr>
          <w:lang w:val="pt-BR"/>
        </w:rPr>
        <w:t xml:space="preserve">psicológica </w:t>
      </w:r>
      <w:r w:rsidRPr="00D5464D">
        <w:rPr>
          <w:lang w:val="pt-BR"/>
        </w:rPr>
        <w:t>por</w:t>
      </w:r>
      <w:r w:rsidR="00D608DD" w:rsidRPr="00D5464D">
        <w:rPr>
          <w:lang w:val="pt-BR"/>
        </w:rPr>
        <w:t xml:space="preserve"> parte de </w:t>
      </w:r>
      <w:r w:rsidR="00996473" w:rsidRPr="00D5464D">
        <w:rPr>
          <w:lang w:val="pt-BR"/>
        </w:rPr>
        <w:t>gatos</w:t>
      </w:r>
      <w:r w:rsidR="00E045D9" w:rsidRPr="00D5464D">
        <w:rPr>
          <w:lang w:val="pt-BR"/>
        </w:rPr>
        <w:t xml:space="preserve"> e </w:t>
      </w:r>
      <w:r w:rsidR="00C91CB1" w:rsidRPr="00D5464D">
        <w:rPr>
          <w:lang w:val="pt-BR"/>
        </w:rPr>
        <w:t>guarda</w:t>
      </w:r>
      <w:r w:rsidR="00D608DD" w:rsidRPr="00D5464D">
        <w:rPr>
          <w:lang w:val="pt-BR"/>
        </w:rPr>
        <w:t xml:space="preserve">s de </w:t>
      </w:r>
      <w:r w:rsidR="002C330E" w:rsidRPr="00D5464D">
        <w:rPr>
          <w:lang w:val="pt-BR"/>
        </w:rPr>
        <w:t>segurança</w:t>
      </w:r>
      <w:r w:rsidR="002A0C2B" w:rsidRPr="00D5464D">
        <w:rPr>
          <w:lang w:val="pt-BR"/>
        </w:rPr>
        <w:t xml:space="preserve"> e </w:t>
      </w:r>
      <w:r w:rsidR="00D608DD" w:rsidRPr="00D5464D">
        <w:rPr>
          <w:lang w:val="pt-BR"/>
        </w:rPr>
        <w:t>iv)</w:t>
      </w:r>
      <w:r w:rsidR="00470ADC" w:rsidRPr="00D5464D">
        <w:rPr>
          <w:lang w:val="pt-BR"/>
        </w:rPr>
        <w:t xml:space="preserve"> o</w:t>
      </w:r>
      <w:r w:rsidR="002C330E" w:rsidRPr="00D5464D">
        <w:rPr>
          <w:lang w:val="pt-BR"/>
        </w:rPr>
        <w:t xml:space="preserve"> medo </w:t>
      </w:r>
      <w:r w:rsidR="00D608DD" w:rsidRPr="00D5464D">
        <w:rPr>
          <w:lang w:val="pt-BR"/>
        </w:rPr>
        <w:t xml:space="preserve">de </w:t>
      </w:r>
      <w:r w:rsidR="00230C71" w:rsidRPr="00D5464D">
        <w:rPr>
          <w:lang w:val="pt-BR"/>
        </w:rPr>
        <w:t>represália</w:t>
      </w:r>
      <w:r w:rsidR="00D608DD" w:rsidRPr="00D5464D">
        <w:rPr>
          <w:lang w:val="pt-BR"/>
        </w:rPr>
        <w:t>s</w:t>
      </w:r>
      <w:r w:rsidR="00E045D9" w:rsidRPr="00D5464D">
        <w:rPr>
          <w:lang w:val="pt-BR"/>
        </w:rPr>
        <w:t xml:space="preserve"> e </w:t>
      </w:r>
      <w:r w:rsidR="00D608DD" w:rsidRPr="00D5464D">
        <w:rPr>
          <w:lang w:val="pt-BR"/>
        </w:rPr>
        <w:t xml:space="preserve">de </w:t>
      </w:r>
      <w:r w:rsidR="00EB1CE9" w:rsidRPr="00D5464D">
        <w:rPr>
          <w:lang w:val="pt-BR"/>
        </w:rPr>
        <w:t>morrer</w:t>
      </w:r>
      <w:r w:rsidRPr="00D5464D">
        <w:rPr>
          <w:lang w:val="pt-BR"/>
        </w:rPr>
        <w:t>em</w:t>
      </w:r>
      <w:r w:rsidR="00EB1CE9" w:rsidRPr="00D5464D">
        <w:rPr>
          <w:lang w:val="pt-BR"/>
        </w:rPr>
        <w:t xml:space="preserve"> </w:t>
      </w:r>
      <w:r w:rsidR="00E045D9" w:rsidRPr="00D5464D">
        <w:rPr>
          <w:lang w:val="pt-BR"/>
        </w:rPr>
        <w:t xml:space="preserve">na </w:t>
      </w:r>
      <w:r w:rsidRPr="00D5464D">
        <w:rPr>
          <w:lang w:val="pt-BR"/>
        </w:rPr>
        <w:t xml:space="preserve">mata </w:t>
      </w:r>
      <w:r w:rsidR="00470ADC" w:rsidRPr="00D5464D">
        <w:rPr>
          <w:lang w:val="pt-BR"/>
        </w:rPr>
        <w:t xml:space="preserve">em </w:t>
      </w:r>
      <w:r w:rsidR="00D608DD" w:rsidRPr="00D5464D">
        <w:rPr>
          <w:lang w:val="pt-BR"/>
        </w:rPr>
        <w:t>caso de fuga</w:t>
      </w:r>
      <w:r w:rsidR="00C91CB1" w:rsidRPr="00D5464D">
        <w:rPr>
          <w:lang w:val="pt-BR"/>
        </w:rPr>
        <w:t xml:space="preserve">. As </w:t>
      </w:r>
      <w:r w:rsidR="00D608DD" w:rsidRPr="00D5464D">
        <w:rPr>
          <w:lang w:val="pt-BR"/>
        </w:rPr>
        <w:t>condi</w:t>
      </w:r>
      <w:r w:rsidR="00470ADC" w:rsidRPr="00D5464D">
        <w:rPr>
          <w:lang w:val="pt-BR"/>
        </w:rPr>
        <w:t>ções</w:t>
      </w:r>
      <w:r w:rsidR="00D608DD" w:rsidRPr="00D5464D">
        <w:rPr>
          <w:lang w:val="pt-BR"/>
        </w:rPr>
        <w:t xml:space="preserve"> anteriores se </w:t>
      </w:r>
      <w:r w:rsidR="00A1358C" w:rsidRPr="00D5464D">
        <w:rPr>
          <w:lang w:val="pt-BR"/>
        </w:rPr>
        <w:t>potencial</w:t>
      </w:r>
      <w:r w:rsidR="00D608DD" w:rsidRPr="00D5464D">
        <w:rPr>
          <w:lang w:val="pt-BR"/>
        </w:rPr>
        <w:t>i</w:t>
      </w:r>
      <w:r w:rsidR="00350187" w:rsidRPr="00D5464D">
        <w:rPr>
          <w:lang w:val="pt-BR"/>
        </w:rPr>
        <w:t>zavam</w:t>
      </w:r>
      <w:r w:rsidR="002C330E" w:rsidRPr="00D5464D">
        <w:rPr>
          <w:lang w:val="pt-BR"/>
        </w:rPr>
        <w:t xml:space="preserve"> </w:t>
      </w:r>
      <w:r w:rsidRPr="00D5464D">
        <w:rPr>
          <w:lang w:val="pt-BR"/>
        </w:rPr>
        <w:t xml:space="preserve">em virtude da </w:t>
      </w:r>
      <w:r w:rsidR="00D608DD" w:rsidRPr="00D5464D">
        <w:rPr>
          <w:lang w:val="pt-BR"/>
        </w:rPr>
        <w:t>condi</w:t>
      </w:r>
      <w:r w:rsidR="00470ADC" w:rsidRPr="00D5464D">
        <w:rPr>
          <w:lang w:val="pt-BR"/>
        </w:rPr>
        <w:t>ção</w:t>
      </w:r>
      <w:r w:rsidR="00D608DD" w:rsidRPr="00D5464D">
        <w:rPr>
          <w:lang w:val="pt-BR"/>
        </w:rPr>
        <w:t xml:space="preserve"> de </w:t>
      </w:r>
      <w:r w:rsidR="00E045D9" w:rsidRPr="00D5464D">
        <w:rPr>
          <w:lang w:val="pt-BR"/>
        </w:rPr>
        <w:t xml:space="preserve">vulnerabilidade </w:t>
      </w:r>
      <w:r w:rsidR="00470ADC" w:rsidRPr="00D5464D">
        <w:rPr>
          <w:lang w:val="pt-BR"/>
        </w:rPr>
        <w:t xml:space="preserve">dos </w:t>
      </w:r>
      <w:r w:rsidR="00E045D9" w:rsidRPr="00D5464D">
        <w:rPr>
          <w:lang w:val="pt-BR"/>
        </w:rPr>
        <w:t>trabalhadores</w:t>
      </w:r>
      <w:r w:rsidR="00D608DD" w:rsidRPr="00D5464D">
        <w:rPr>
          <w:lang w:val="pt-BR"/>
        </w:rPr>
        <w:t>,</w:t>
      </w:r>
      <w:r w:rsidR="002C330E" w:rsidRPr="00D5464D">
        <w:rPr>
          <w:lang w:val="pt-BR"/>
        </w:rPr>
        <w:t xml:space="preserve"> os </w:t>
      </w:r>
      <w:r w:rsidR="00470ADC" w:rsidRPr="00D5464D">
        <w:rPr>
          <w:lang w:val="pt-BR"/>
        </w:rPr>
        <w:t>quais eram</w:t>
      </w:r>
      <w:r w:rsidRPr="00D5464D">
        <w:rPr>
          <w:lang w:val="pt-BR"/>
        </w:rPr>
        <w:t>,</w:t>
      </w:r>
      <w:r w:rsidR="00470ADC" w:rsidRPr="00D5464D">
        <w:rPr>
          <w:lang w:val="pt-BR"/>
        </w:rPr>
        <w:t xml:space="preserve"> em </w:t>
      </w:r>
      <w:r w:rsidR="00737270" w:rsidRPr="00D5464D">
        <w:rPr>
          <w:lang w:val="pt-BR"/>
        </w:rPr>
        <w:t>sua maioria</w:t>
      </w:r>
      <w:r w:rsidRPr="00D5464D">
        <w:rPr>
          <w:lang w:val="pt-BR"/>
        </w:rPr>
        <w:t>,</w:t>
      </w:r>
      <w:r w:rsidR="00D608DD" w:rsidRPr="00D5464D">
        <w:rPr>
          <w:lang w:val="pt-BR"/>
        </w:rPr>
        <w:t xml:space="preserve"> analfabetos, </w:t>
      </w:r>
      <w:r w:rsidRPr="00D5464D">
        <w:rPr>
          <w:lang w:val="pt-BR"/>
        </w:rPr>
        <w:t xml:space="preserve">provenientes </w:t>
      </w:r>
      <w:r w:rsidR="00D608DD" w:rsidRPr="00D5464D">
        <w:rPr>
          <w:lang w:val="pt-BR"/>
        </w:rPr>
        <w:t>de</w:t>
      </w:r>
      <w:r w:rsidR="00E045D9" w:rsidRPr="00D5464D">
        <w:rPr>
          <w:lang w:val="pt-BR"/>
        </w:rPr>
        <w:t xml:space="preserve"> uma </w:t>
      </w:r>
      <w:r w:rsidR="002C330E" w:rsidRPr="00D5464D">
        <w:rPr>
          <w:lang w:val="pt-BR"/>
        </w:rPr>
        <w:t>região</w:t>
      </w:r>
      <w:r w:rsidR="00D608DD" w:rsidRPr="00D5464D">
        <w:rPr>
          <w:lang w:val="pt-BR"/>
        </w:rPr>
        <w:t xml:space="preserve"> </w:t>
      </w:r>
      <w:r w:rsidR="002C330E" w:rsidRPr="00D5464D">
        <w:rPr>
          <w:lang w:val="pt-BR"/>
        </w:rPr>
        <w:t>muito</w:t>
      </w:r>
      <w:r w:rsidR="00D608DD" w:rsidRPr="00D5464D">
        <w:rPr>
          <w:lang w:val="pt-BR"/>
        </w:rPr>
        <w:t xml:space="preserve"> distante </w:t>
      </w:r>
      <w:r w:rsidR="00470ADC" w:rsidRPr="00D5464D">
        <w:rPr>
          <w:lang w:val="pt-BR"/>
        </w:rPr>
        <w:t xml:space="preserve">do </w:t>
      </w:r>
      <w:r w:rsidR="00D608DD" w:rsidRPr="00D5464D">
        <w:rPr>
          <w:lang w:val="pt-BR"/>
        </w:rPr>
        <w:t>país, n</w:t>
      </w:r>
      <w:r w:rsidRPr="00D5464D">
        <w:rPr>
          <w:lang w:val="pt-BR"/>
        </w:rPr>
        <w:t>ã</w:t>
      </w:r>
      <w:r w:rsidR="00D608DD" w:rsidRPr="00D5464D">
        <w:rPr>
          <w:lang w:val="pt-BR"/>
        </w:rPr>
        <w:t xml:space="preserve">o </w:t>
      </w:r>
      <w:r w:rsidR="00A1358C" w:rsidRPr="00D5464D">
        <w:rPr>
          <w:lang w:val="pt-BR"/>
        </w:rPr>
        <w:t>conhecia</w:t>
      </w:r>
      <w:r w:rsidRPr="00D5464D">
        <w:rPr>
          <w:lang w:val="pt-BR"/>
        </w:rPr>
        <w:t>m os ar</w:t>
      </w:r>
      <w:r w:rsidR="00737270" w:rsidRPr="00D5464D">
        <w:rPr>
          <w:lang w:val="pt-BR"/>
        </w:rPr>
        <w:t>redor</w:t>
      </w:r>
      <w:r w:rsidR="00D608DD" w:rsidRPr="00D5464D">
        <w:rPr>
          <w:lang w:val="pt-BR"/>
        </w:rPr>
        <w:t>es</w:t>
      </w:r>
      <w:r w:rsidR="00470ADC" w:rsidRPr="00D5464D">
        <w:rPr>
          <w:lang w:val="pt-BR"/>
        </w:rPr>
        <w:t xml:space="preserve"> da </w:t>
      </w:r>
      <w:r w:rsidR="00D809F0" w:rsidRPr="00D5464D">
        <w:rPr>
          <w:lang w:val="pt-BR"/>
        </w:rPr>
        <w:t>Fazenda</w:t>
      </w:r>
      <w:r w:rsidR="00D608DD" w:rsidRPr="00D5464D">
        <w:rPr>
          <w:lang w:val="pt-BR"/>
        </w:rPr>
        <w:t xml:space="preserve"> Brasil Verde</w:t>
      </w:r>
      <w:r w:rsidR="00E045D9" w:rsidRPr="00D5464D">
        <w:rPr>
          <w:lang w:val="pt-BR"/>
        </w:rPr>
        <w:t xml:space="preserve"> e </w:t>
      </w:r>
      <w:r w:rsidR="00470ADC" w:rsidRPr="00D5464D">
        <w:rPr>
          <w:lang w:val="pt-BR"/>
        </w:rPr>
        <w:t>estavam</w:t>
      </w:r>
      <w:r w:rsidR="00044CBD" w:rsidRPr="00D5464D">
        <w:rPr>
          <w:lang w:val="pt-BR"/>
        </w:rPr>
        <w:t xml:space="preserve"> </w:t>
      </w:r>
      <w:r w:rsidR="002C330E" w:rsidRPr="00D5464D">
        <w:rPr>
          <w:lang w:val="pt-BR"/>
        </w:rPr>
        <w:t>submetido</w:t>
      </w:r>
      <w:r w:rsidR="00D608DD" w:rsidRPr="00D5464D">
        <w:rPr>
          <w:lang w:val="pt-BR"/>
        </w:rPr>
        <w:t>s a condi</w:t>
      </w:r>
      <w:r w:rsidR="00470ADC" w:rsidRPr="00D5464D">
        <w:rPr>
          <w:lang w:val="pt-BR"/>
        </w:rPr>
        <w:t>ções</w:t>
      </w:r>
      <w:r w:rsidR="00D608DD" w:rsidRPr="00D5464D">
        <w:rPr>
          <w:lang w:val="pt-BR"/>
        </w:rPr>
        <w:t> </w:t>
      </w:r>
      <w:r w:rsidR="00350187" w:rsidRPr="00D5464D">
        <w:rPr>
          <w:lang w:val="pt-BR"/>
        </w:rPr>
        <w:t>desuman</w:t>
      </w:r>
      <w:r w:rsidR="00D608DD" w:rsidRPr="00D5464D">
        <w:rPr>
          <w:lang w:val="pt-BR"/>
        </w:rPr>
        <w:t>as de vida. </w:t>
      </w:r>
    </w:p>
    <w:p w14:paraId="694C2D92" w14:textId="77777777" w:rsidR="00207197" w:rsidRPr="00D5464D" w:rsidRDefault="00207197" w:rsidP="00A4639F">
      <w:pPr>
        <w:pStyle w:val="Prrafodelista"/>
        <w:ind w:left="0"/>
        <w:contextualSpacing w:val="0"/>
        <w:rPr>
          <w:lang w:val="pt-BR"/>
        </w:rPr>
      </w:pPr>
    </w:p>
    <w:p w14:paraId="2A7D1873" w14:textId="1F884179" w:rsidR="000968FA" w:rsidRPr="00D5464D" w:rsidRDefault="00EA2F68" w:rsidP="00122276">
      <w:pPr>
        <w:pStyle w:val="Prrafodelista"/>
        <w:numPr>
          <w:ilvl w:val="0"/>
          <w:numId w:val="1"/>
        </w:numPr>
        <w:contextualSpacing w:val="0"/>
        <w:rPr>
          <w:lang w:val="pt-BR"/>
        </w:rPr>
      </w:pPr>
      <w:r w:rsidRPr="00D5464D">
        <w:rPr>
          <w:lang w:val="pt-BR"/>
        </w:rPr>
        <w:t>Diante do exposto</w:t>
      </w:r>
      <w:r w:rsidR="007F49A4" w:rsidRPr="00D5464D">
        <w:rPr>
          <w:lang w:val="pt-BR"/>
        </w:rPr>
        <w:t>,</w:t>
      </w:r>
      <w:r w:rsidR="00470ADC" w:rsidRPr="00D5464D">
        <w:rPr>
          <w:lang w:val="pt-BR"/>
        </w:rPr>
        <w:t xml:space="preserve"> é </w:t>
      </w:r>
      <w:r w:rsidR="007F49A4" w:rsidRPr="00D5464D">
        <w:rPr>
          <w:lang w:val="pt-BR"/>
        </w:rPr>
        <w:t>evidente para</w:t>
      </w:r>
      <w:r w:rsidR="002C330E" w:rsidRPr="00D5464D">
        <w:rPr>
          <w:lang w:val="pt-BR"/>
        </w:rPr>
        <w:t xml:space="preserve"> a </w:t>
      </w:r>
      <w:r w:rsidR="007F49A4" w:rsidRPr="00D5464D">
        <w:rPr>
          <w:lang w:val="pt-BR"/>
        </w:rPr>
        <w:t>Corte que</w:t>
      </w:r>
      <w:r w:rsidR="002C330E" w:rsidRPr="00D5464D">
        <w:rPr>
          <w:lang w:val="pt-BR"/>
        </w:rPr>
        <w:t xml:space="preserve"> os </w:t>
      </w:r>
      <w:r w:rsidR="00E045D9" w:rsidRPr="00D5464D">
        <w:rPr>
          <w:lang w:val="pt-BR"/>
        </w:rPr>
        <w:t>trabalhadores</w:t>
      </w:r>
      <w:r w:rsidR="007F49A4" w:rsidRPr="00D5464D">
        <w:rPr>
          <w:lang w:val="pt-BR"/>
        </w:rPr>
        <w:t xml:space="preserve"> </w:t>
      </w:r>
      <w:r w:rsidR="0090341D" w:rsidRPr="00D5464D">
        <w:rPr>
          <w:lang w:val="pt-BR"/>
        </w:rPr>
        <w:t>resgatado</w:t>
      </w:r>
      <w:r w:rsidR="007F49A4" w:rsidRPr="00D5464D">
        <w:rPr>
          <w:lang w:val="pt-BR"/>
        </w:rPr>
        <w:t>s</w:t>
      </w:r>
      <w:r w:rsidR="00470ADC" w:rsidRPr="00D5464D">
        <w:rPr>
          <w:lang w:val="pt-BR"/>
        </w:rPr>
        <w:t xml:space="preserve"> da </w:t>
      </w:r>
      <w:r w:rsidR="00D809F0" w:rsidRPr="00D5464D">
        <w:rPr>
          <w:lang w:val="pt-BR"/>
        </w:rPr>
        <w:t>Fazenda</w:t>
      </w:r>
      <w:r w:rsidR="007F49A4" w:rsidRPr="00D5464D">
        <w:rPr>
          <w:lang w:val="pt-BR"/>
        </w:rPr>
        <w:t xml:space="preserve"> Brasil Verde se </w:t>
      </w:r>
      <w:r w:rsidR="00470ADC" w:rsidRPr="00D5464D">
        <w:rPr>
          <w:lang w:val="pt-BR"/>
        </w:rPr>
        <w:t>encontravam em</w:t>
      </w:r>
      <w:r w:rsidR="00E045D9" w:rsidRPr="00D5464D">
        <w:rPr>
          <w:lang w:val="pt-BR"/>
        </w:rPr>
        <w:t xml:space="preserve"> uma </w:t>
      </w:r>
      <w:r w:rsidR="007F49A4" w:rsidRPr="00D5464D">
        <w:rPr>
          <w:lang w:val="pt-BR"/>
        </w:rPr>
        <w:t>situa</w:t>
      </w:r>
      <w:r w:rsidR="00470ADC" w:rsidRPr="00D5464D">
        <w:rPr>
          <w:lang w:val="pt-BR"/>
        </w:rPr>
        <w:t>ção</w:t>
      </w:r>
      <w:r w:rsidR="007F49A4" w:rsidRPr="00D5464D">
        <w:rPr>
          <w:lang w:val="pt-BR"/>
        </w:rPr>
        <w:t xml:space="preserve"> de </w:t>
      </w:r>
      <w:r w:rsidR="000B376D" w:rsidRPr="00D5464D">
        <w:rPr>
          <w:lang w:val="pt-BR"/>
        </w:rPr>
        <w:t>servidão</w:t>
      </w:r>
      <w:r w:rsidR="007F49A4" w:rsidRPr="00D5464D">
        <w:rPr>
          <w:lang w:val="pt-BR"/>
        </w:rPr>
        <w:t xml:space="preserve"> por </w:t>
      </w:r>
      <w:r w:rsidR="00470ADC" w:rsidRPr="00D5464D">
        <w:rPr>
          <w:lang w:val="pt-BR"/>
        </w:rPr>
        <w:t>dívida</w:t>
      </w:r>
      <w:r w:rsidR="00E045D9" w:rsidRPr="00D5464D">
        <w:rPr>
          <w:lang w:val="pt-BR"/>
        </w:rPr>
        <w:t xml:space="preserve"> e </w:t>
      </w:r>
      <w:r w:rsidR="007F49A4" w:rsidRPr="00D5464D">
        <w:rPr>
          <w:lang w:val="pt-BR"/>
        </w:rPr>
        <w:t xml:space="preserve">de </w:t>
      </w:r>
      <w:r w:rsidR="002C330E" w:rsidRPr="00D5464D">
        <w:rPr>
          <w:lang w:val="pt-BR"/>
        </w:rPr>
        <w:t>submissão</w:t>
      </w:r>
      <w:r w:rsidR="007F49A4" w:rsidRPr="00D5464D">
        <w:rPr>
          <w:lang w:val="pt-BR"/>
        </w:rPr>
        <w:t xml:space="preserve"> a </w:t>
      </w:r>
      <w:r w:rsidR="00E045D9" w:rsidRPr="00D5464D">
        <w:rPr>
          <w:lang w:val="pt-BR"/>
        </w:rPr>
        <w:t>trabalho</w:t>
      </w:r>
      <w:r w:rsidR="007F49A4" w:rsidRPr="00D5464D">
        <w:rPr>
          <w:lang w:val="pt-BR"/>
        </w:rPr>
        <w:t xml:space="preserve">s </w:t>
      </w:r>
      <w:r w:rsidR="00230C71" w:rsidRPr="00D5464D">
        <w:rPr>
          <w:lang w:val="pt-BR"/>
        </w:rPr>
        <w:t>forçado</w:t>
      </w:r>
      <w:r w:rsidR="007F49A4" w:rsidRPr="00D5464D">
        <w:rPr>
          <w:lang w:val="pt-BR"/>
        </w:rPr>
        <w:t>s</w:t>
      </w:r>
      <w:r w:rsidR="00C91CB1" w:rsidRPr="00D5464D">
        <w:rPr>
          <w:lang w:val="pt-BR"/>
        </w:rPr>
        <w:t xml:space="preserve">. Sem </w:t>
      </w:r>
      <w:r w:rsidR="002C330E" w:rsidRPr="00D5464D">
        <w:rPr>
          <w:lang w:val="pt-BR"/>
        </w:rPr>
        <w:t>prejuízo</w:t>
      </w:r>
      <w:r w:rsidR="00470ADC" w:rsidRPr="00D5464D">
        <w:rPr>
          <w:lang w:val="pt-BR"/>
        </w:rPr>
        <w:t xml:space="preserve"> do </w:t>
      </w:r>
      <w:r w:rsidR="007F49A4" w:rsidRPr="00D5464D">
        <w:rPr>
          <w:lang w:val="pt-BR"/>
        </w:rPr>
        <w:t>anterior,</w:t>
      </w:r>
      <w:r w:rsidR="00470ADC" w:rsidRPr="00D5464D">
        <w:rPr>
          <w:lang w:val="pt-BR"/>
        </w:rPr>
        <w:t xml:space="preserve"> o </w:t>
      </w:r>
      <w:r w:rsidR="007F49A4" w:rsidRPr="00D5464D">
        <w:rPr>
          <w:lang w:val="pt-BR"/>
        </w:rPr>
        <w:t>Tribunal considera que</w:t>
      </w:r>
      <w:r w:rsidR="002C330E" w:rsidRPr="00D5464D">
        <w:rPr>
          <w:lang w:val="pt-BR"/>
        </w:rPr>
        <w:t xml:space="preserve"> as </w:t>
      </w:r>
      <w:r w:rsidR="007F49A4" w:rsidRPr="00D5464D">
        <w:rPr>
          <w:lang w:val="pt-BR"/>
        </w:rPr>
        <w:t xml:space="preserve">características específicas a que </w:t>
      </w:r>
      <w:r w:rsidR="00470ADC" w:rsidRPr="00D5464D">
        <w:rPr>
          <w:lang w:val="pt-BR"/>
        </w:rPr>
        <w:t>foram</w:t>
      </w:r>
      <w:r w:rsidR="007F49A4" w:rsidRPr="00D5464D">
        <w:rPr>
          <w:lang w:val="pt-BR"/>
        </w:rPr>
        <w:t xml:space="preserve"> </w:t>
      </w:r>
      <w:r w:rsidR="002C330E" w:rsidRPr="00D5464D">
        <w:rPr>
          <w:lang w:val="pt-BR"/>
        </w:rPr>
        <w:t>submetido</w:t>
      </w:r>
      <w:r w:rsidR="007F49A4" w:rsidRPr="00D5464D">
        <w:rPr>
          <w:lang w:val="pt-BR"/>
        </w:rPr>
        <w:t>s</w:t>
      </w:r>
      <w:r w:rsidR="002C330E" w:rsidRPr="00D5464D">
        <w:rPr>
          <w:lang w:val="pt-BR"/>
        </w:rPr>
        <w:t xml:space="preserve"> os </w:t>
      </w:r>
      <w:r w:rsidR="007F49A4" w:rsidRPr="00D5464D">
        <w:rPr>
          <w:lang w:val="pt-BR"/>
        </w:rPr>
        <w:t xml:space="preserve">85 </w:t>
      </w:r>
      <w:r w:rsidR="00E045D9" w:rsidRPr="00D5464D">
        <w:rPr>
          <w:lang w:val="pt-BR"/>
        </w:rPr>
        <w:t>trabalhadores</w:t>
      </w:r>
      <w:r w:rsidR="007F49A4" w:rsidRPr="00D5464D">
        <w:rPr>
          <w:lang w:val="pt-BR"/>
        </w:rPr>
        <w:t xml:space="preserve"> </w:t>
      </w:r>
      <w:r w:rsidR="0090341D" w:rsidRPr="00D5464D">
        <w:rPr>
          <w:lang w:val="pt-BR"/>
        </w:rPr>
        <w:t>resgatado</w:t>
      </w:r>
      <w:r w:rsidR="007F49A4" w:rsidRPr="00D5464D">
        <w:rPr>
          <w:lang w:val="pt-BR"/>
        </w:rPr>
        <w:t>s</w:t>
      </w:r>
      <w:r w:rsidR="00C91CB1" w:rsidRPr="00D5464D">
        <w:rPr>
          <w:lang w:val="pt-BR"/>
        </w:rPr>
        <w:t xml:space="preserve"> em 1</w:t>
      </w:r>
      <w:r w:rsidR="007F49A4" w:rsidRPr="00D5464D">
        <w:rPr>
          <w:lang w:val="pt-BR"/>
        </w:rPr>
        <w:t xml:space="preserve">5 de </w:t>
      </w:r>
      <w:r w:rsidR="002C330E" w:rsidRPr="00D5464D">
        <w:rPr>
          <w:lang w:val="pt-BR"/>
        </w:rPr>
        <w:t>março</w:t>
      </w:r>
      <w:r w:rsidR="007F49A4" w:rsidRPr="00D5464D">
        <w:rPr>
          <w:lang w:val="pt-BR"/>
        </w:rPr>
        <w:t xml:space="preserve"> de 2000 </w:t>
      </w:r>
      <w:r w:rsidR="00C91CB1" w:rsidRPr="00D5464D">
        <w:rPr>
          <w:lang w:val="pt-BR"/>
        </w:rPr>
        <w:t>ultrapass</w:t>
      </w:r>
      <w:r w:rsidR="00EB1CE9" w:rsidRPr="00D5464D">
        <w:rPr>
          <w:lang w:val="pt-BR"/>
        </w:rPr>
        <w:t xml:space="preserve">avam </w:t>
      </w:r>
      <w:r w:rsidR="002C330E" w:rsidRPr="00D5464D">
        <w:rPr>
          <w:lang w:val="pt-BR"/>
        </w:rPr>
        <w:t xml:space="preserve">os </w:t>
      </w:r>
      <w:r w:rsidR="00706C00" w:rsidRPr="00D5464D">
        <w:rPr>
          <w:lang w:val="pt-BR"/>
        </w:rPr>
        <w:t xml:space="preserve">elementos da </w:t>
      </w:r>
      <w:r w:rsidR="000B376D" w:rsidRPr="00D5464D">
        <w:rPr>
          <w:lang w:val="pt-BR"/>
        </w:rPr>
        <w:t>servidão</w:t>
      </w:r>
      <w:r w:rsidR="007F49A4" w:rsidRPr="00D5464D">
        <w:rPr>
          <w:lang w:val="pt-BR"/>
        </w:rPr>
        <w:t xml:space="preserve"> por </w:t>
      </w:r>
      <w:r w:rsidR="00470ADC" w:rsidRPr="00D5464D">
        <w:rPr>
          <w:lang w:val="pt-BR"/>
        </w:rPr>
        <w:t>dívida</w:t>
      </w:r>
      <w:r w:rsidR="00E045D9" w:rsidRPr="00D5464D">
        <w:rPr>
          <w:lang w:val="pt-BR"/>
        </w:rPr>
        <w:t xml:space="preserve"> e </w:t>
      </w:r>
      <w:r w:rsidR="00706C00" w:rsidRPr="00D5464D">
        <w:rPr>
          <w:lang w:val="pt-BR"/>
        </w:rPr>
        <w:t xml:space="preserve">de </w:t>
      </w:r>
      <w:r w:rsidR="00E045D9" w:rsidRPr="00D5464D">
        <w:rPr>
          <w:lang w:val="pt-BR"/>
        </w:rPr>
        <w:t>trabalho</w:t>
      </w:r>
      <w:r w:rsidR="007F49A4" w:rsidRPr="00D5464D">
        <w:rPr>
          <w:lang w:val="pt-BR"/>
        </w:rPr>
        <w:t xml:space="preserve"> </w:t>
      </w:r>
      <w:r w:rsidR="00230C71" w:rsidRPr="00D5464D">
        <w:rPr>
          <w:lang w:val="pt-BR"/>
        </w:rPr>
        <w:t>forçado</w:t>
      </w:r>
      <w:r w:rsidR="00706C00" w:rsidRPr="00D5464D">
        <w:rPr>
          <w:lang w:val="pt-BR"/>
        </w:rPr>
        <w:t>,</w:t>
      </w:r>
      <w:r w:rsidR="007F49A4" w:rsidRPr="00D5464D">
        <w:rPr>
          <w:lang w:val="pt-BR"/>
        </w:rPr>
        <w:t xml:space="preserve"> para </w:t>
      </w:r>
      <w:r w:rsidR="00706C00" w:rsidRPr="00D5464D">
        <w:rPr>
          <w:lang w:val="pt-BR"/>
        </w:rPr>
        <w:t xml:space="preserve">atingir e cumprir </w:t>
      </w:r>
      <w:r w:rsidR="002C330E" w:rsidRPr="00D5464D">
        <w:rPr>
          <w:lang w:val="pt-BR"/>
        </w:rPr>
        <w:t xml:space="preserve">os </w:t>
      </w:r>
      <w:r w:rsidR="007F49A4" w:rsidRPr="00D5464D">
        <w:rPr>
          <w:lang w:val="pt-BR"/>
        </w:rPr>
        <w:t xml:space="preserve">elementos </w:t>
      </w:r>
      <w:r w:rsidR="002C330E" w:rsidRPr="00D5464D">
        <w:rPr>
          <w:lang w:val="pt-BR"/>
        </w:rPr>
        <w:t xml:space="preserve">mais </w:t>
      </w:r>
      <w:r w:rsidR="00A1358C" w:rsidRPr="00D5464D">
        <w:rPr>
          <w:lang w:val="pt-BR"/>
        </w:rPr>
        <w:t>estrit</w:t>
      </w:r>
      <w:r w:rsidR="007F49A4" w:rsidRPr="00D5464D">
        <w:rPr>
          <w:lang w:val="pt-BR"/>
        </w:rPr>
        <w:t>os</w:t>
      </w:r>
      <w:r w:rsidR="00470ADC" w:rsidRPr="00D5464D">
        <w:rPr>
          <w:lang w:val="pt-BR"/>
        </w:rPr>
        <w:t xml:space="preserve"> da </w:t>
      </w:r>
      <w:r w:rsidR="007F49A4" w:rsidRPr="00D5464D">
        <w:rPr>
          <w:lang w:val="pt-BR"/>
        </w:rPr>
        <w:t>defini</w:t>
      </w:r>
      <w:r w:rsidR="00470ADC" w:rsidRPr="00D5464D">
        <w:rPr>
          <w:lang w:val="pt-BR"/>
        </w:rPr>
        <w:t>ção</w:t>
      </w:r>
      <w:r w:rsidR="007F49A4" w:rsidRPr="00D5464D">
        <w:rPr>
          <w:lang w:val="pt-BR"/>
        </w:rPr>
        <w:t xml:space="preserve"> de </w:t>
      </w:r>
      <w:r w:rsidR="000B376D" w:rsidRPr="00D5464D">
        <w:rPr>
          <w:lang w:val="pt-BR"/>
        </w:rPr>
        <w:t>escravidão</w:t>
      </w:r>
      <w:r w:rsidR="007F49A4" w:rsidRPr="00D5464D">
        <w:rPr>
          <w:lang w:val="pt-BR"/>
        </w:rPr>
        <w:t xml:space="preserve"> </w:t>
      </w:r>
      <w:r w:rsidR="00470ADC" w:rsidRPr="00D5464D">
        <w:rPr>
          <w:lang w:val="pt-BR"/>
        </w:rPr>
        <w:t>estabelecid</w:t>
      </w:r>
      <w:r w:rsidR="007F49A4" w:rsidRPr="00D5464D">
        <w:rPr>
          <w:lang w:val="pt-BR"/>
        </w:rPr>
        <w:t>a</w:t>
      </w:r>
      <w:r w:rsidR="002C330E" w:rsidRPr="00D5464D">
        <w:rPr>
          <w:lang w:val="pt-BR"/>
        </w:rPr>
        <w:t xml:space="preserve"> pela </w:t>
      </w:r>
      <w:r w:rsidR="007F49A4" w:rsidRPr="00D5464D">
        <w:rPr>
          <w:lang w:val="pt-BR"/>
        </w:rPr>
        <w:t>Corte (</w:t>
      </w:r>
      <w:r w:rsidR="00C85EA9" w:rsidRPr="00D5464D">
        <w:rPr>
          <w:iCs/>
          <w:lang w:val="pt-BR"/>
        </w:rPr>
        <w:t xml:space="preserve">par. </w:t>
      </w:r>
      <w:r w:rsidR="00D036E7" w:rsidRPr="00D5464D">
        <w:rPr>
          <w:iCs/>
          <w:lang w:val="pt-BR"/>
        </w:rPr>
        <w:t>272</w:t>
      </w:r>
      <w:r w:rsidR="00D036E7" w:rsidRPr="00D5464D">
        <w:rPr>
          <w:i/>
          <w:iCs/>
          <w:lang w:val="pt-BR"/>
        </w:rPr>
        <w:t xml:space="preserve"> supra)</w:t>
      </w:r>
      <w:r w:rsidR="007F49A4" w:rsidRPr="00D5464D">
        <w:rPr>
          <w:lang w:val="pt-BR"/>
        </w:rPr>
        <w:t>,</w:t>
      </w:r>
      <w:r w:rsidR="00470ADC" w:rsidRPr="00D5464D">
        <w:rPr>
          <w:lang w:val="pt-BR"/>
        </w:rPr>
        <w:t xml:space="preserve"> em </w:t>
      </w:r>
      <w:r w:rsidR="007F49A4" w:rsidRPr="00D5464D">
        <w:rPr>
          <w:lang w:val="pt-BR"/>
        </w:rPr>
        <w:t>particular</w:t>
      </w:r>
      <w:r w:rsidR="00470ADC" w:rsidRPr="00D5464D">
        <w:rPr>
          <w:lang w:val="pt-BR"/>
        </w:rPr>
        <w:t xml:space="preserve"> o exercício</w:t>
      </w:r>
      <w:r w:rsidR="007F49A4" w:rsidRPr="00D5464D">
        <w:rPr>
          <w:lang w:val="pt-BR"/>
        </w:rPr>
        <w:t xml:space="preserve"> de </w:t>
      </w:r>
      <w:r w:rsidR="00470ADC" w:rsidRPr="00D5464D">
        <w:rPr>
          <w:lang w:val="pt-BR"/>
        </w:rPr>
        <w:t xml:space="preserve">controle </w:t>
      </w:r>
      <w:r w:rsidR="007F49A4" w:rsidRPr="00D5464D">
        <w:rPr>
          <w:lang w:val="pt-BR"/>
        </w:rPr>
        <w:t>como manifesta</w:t>
      </w:r>
      <w:r w:rsidR="00470ADC" w:rsidRPr="00D5464D">
        <w:rPr>
          <w:lang w:val="pt-BR"/>
        </w:rPr>
        <w:t>ção</w:t>
      </w:r>
      <w:r w:rsidR="007F49A4" w:rsidRPr="00D5464D">
        <w:rPr>
          <w:lang w:val="pt-BR"/>
        </w:rPr>
        <w:t xml:space="preserve"> </w:t>
      </w:r>
      <w:r w:rsidR="00470ADC" w:rsidRPr="00D5464D">
        <w:rPr>
          <w:lang w:val="pt-BR"/>
        </w:rPr>
        <w:t>do direito</w:t>
      </w:r>
      <w:r w:rsidR="007F49A4" w:rsidRPr="00D5464D">
        <w:rPr>
          <w:lang w:val="pt-BR"/>
        </w:rPr>
        <w:t xml:space="preserve"> de </w:t>
      </w:r>
      <w:r w:rsidR="002C330E" w:rsidRPr="00D5464D">
        <w:rPr>
          <w:lang w:val="pt-BR"/>
        </w:rPr>
        <w:t>propriedade</w:t>
      </w:r>
      <w:r w:rsidR="007F49A4" w:rsidRPr="00D5464D">
        <w:rPr>
          <w:lang w:val="pt-BR"/>
        </w:rPr>
        <w:t>.</w:t>
      </w:r>
      <w:r w:rsidR="00470ADC" w:rsidRPr="00D5464D">
        <w:rPr>
          <w:lang w:val="pt-BR"/>
        </w:rPr>
        <w:t xml:space="preserve"> </w:t>
      </w:r>
      <w:r w:rsidR="00055F6E" w:rsidRPr="00D5464D">
        <w:rPr>
          <w:lang w:val="pt-BR"/>
        </w:rPr>
        <w:t>N</w:t>
      </w:r>
      <w:r w:rsidR="00737270" w:rsidRPr="00D5464D">
        <w:rPr>
          <w:lang w:val="pt-BR"/>
        </w:rPr>
        <w:t>esse</w:t>
      </w:r>
      <w:r w:rsidR="00470ADC" w:rsidRPr="00D5464D">
        <w:rPr>
          <w:lang w:val="pt-BR"/>
        </w:rPr>
        <w:t xml:space="preserve"> </w:t>
      </w:r>
      <w:r w:rsidR="007F49A4" w:rsidRPr="00D5464D">
        <w:rPr>
          <w:lang w:val="pt-BR"/>
        </w:rPr>
        <w:t>sentido,</w:t>
      </w:r>
      <w:r w:rsidR="002C330E" w:rsidRPr="00D5464D">
        <w:rPr>
          <w:lang w:val="pt-BR"/>
        </w:rPr>
        <w:t xml:space="preserve"> a </w:t>
      </w:r>
      <w:r w:rsidR="007F49A4" w:rsidRPr="00D5464D">
        <w:rPr>
          <w:lang w:val="pt-BR"/>
        </w:rPr>
        <w:t>Corte constata que: i)</w:t>
      </w:r>
      <w:r w:rsidR="002C330E" w:rsidRPr="00D5464D">
        <w:rPr>
          <w:lang w:val="pt-BR"/>
        </w:rPr>
        <w:t xml:space="preserve"> os </w:t>
      </w:r>
      <w:r w:rsidR="00E045D9" w:rsidRPr="00D5464D">
        <w:rPr>
          <w:lang w:val="pt-BR"/>
        </w:rPr>
        <w:t>trabalhadores</w:t>
      </w:r>
      <w:r w:rsidR="007F49A4" w:rsidRPr="00D5464D">
        <w:rPr>
          <w:lang w:val="pt-BR"/>
        </w:rPr>
        <w:t xml:space="preserve"> se </w:t>
      </w:r>
      <w:r w:rsidR="00470ADC" w:rsidRPr="00D5464D">
        <w:rPr>
          <w:lang w:val="pt-BR"/>
        </w:rPr>
        <w:t>encontravam</w:t>
      </w:r>
      <w:r w:rsidR="007F49A4" w:rsidRPr="00D5464D">
        <w:rPr>
          <w:lang w:val="pt-BR"/>
        </w:rPr>
        <w:t xml:space="preserve"> </w:t>
      </w:r>
      <w:r w:rsidR="002C330E" w:rsidRPr="00D5464D">
        <w:rPr>
          <w:lang w:val="pt-BR"/>
        </w:rPr>
        <w:t>submetido</w:t>
      </w:r>
      <w:r w:rsidR="007F49A4" w:rsidRPr="00D5464D">
        <w:rPr>
          <w:lang w:val="pt-BR"/>
        </w:rPr>
        <w:t>s</w:t>
      </w:r>
      <w:r w:rsidR="00470ADC" w:rsidRPr="00D5464D">
        <w:rPr>
          <w:lang w:val="pt-BR"/>
        </w:rPr>
        <w:t xml:space="preserve"> ao efetiv</w:t>
      </w:r>
      <w:r w:rsidR="007F49A4" w:rsidRPr="00D5464D">
        <w:rPr>
          <w:lang w:val="pt-BR"/>
        </w:rPr>
        <w:t xml:space="preserve">o </w:t>
      </w:r>
      <w:r w:rsidR="00470ADC" w:rsidRPr="00D5464D">
        <w:rPr>
          <w:lang w:val="pt-BR"/>
        </w:rPr>
        <w:t xml:space="preserve">controle dos </w:t>
      </w:r>
      <w:r w:rsidR="00996473" w:rsidRPr="00D5464D">
        <w:rPr>
          <w:iCs/>
          <w:lang w:val="pt-BR"/>
        </w:rPr>
        <w:t>gatos</w:t>
      </w:r>
      <w:r w:rsidR="007F49A4" w:rsidRPr="00D5464D">
        <w:rPr>
          <w:lang w:val="pt-BR"/>
        </w:rPr>
        <w:t>, gerentes, guardas armados</w:t>
      </w:r>
      <w:r w:rsidR="00470ADC" w:rsidRPr="00D5464D">
        <w:rPr>
          <w:lang w:val="pt-BR"/>
        </w:rPr>
        <w:t xml:space="preserve"> da </w:t>
      </w:r>
      <w:r w:rsidR="00D809F0" w:rsidRPr="00D5464D">
        <w:rPr>
          <w:lang w:val="pt-BR"/>
        </w:rPr>
        <w:t>fazenda</w:t>
      </w:r>
      <w:r w:rsidR="00470ADC" w:rsidRPr="00D5464D">
        <w:rPr>
          <w:lang w:val="pt-BR"/>
        </w:rPr>
        <w:t>, e</w:t>
      </w:r>
      <w:r w:rsidR="00055F6E" w:rsidRPr="00D5464D">
        <w:rPr>
          <w:lang w:val="pt-BR"/>
        </w:rPr>
        <w:t>,</w:t>
      </w:r>
      <w:r w:rsidR="00470ADC" w:rsidRPr="00D5464D">
        <w:rPr>
          <w:lang w:val="pt-BR"/>
        </w:rPr>
        <w:t xml:space="preserve"> em </w:t>
      </w:r>
      <w:r w:rsidR="00055F6E" w:rsidRPr="00D5464D">
        <w:rPr>
          <w:lang w:val="pt-BR"/>
        </w:rPr>
        <w:t xml:space="preserve">última análise, </w:t>
      </w:r>
      <w:r w:rsidR="00E045D9" w:rsidRPr="00D5464D">
        <w:rPr>
          <w:lang w:val="pt-BR"/>
        </w:rPr>
        <w:t>também</w:t>
      </w:r>
      <w:r w:rsidR="007F49A4" w:rsidRPr="00D5464D">
        <w:rPr>
          <w:lang w:val="pt-BR"/>
        </w:rPr>
        <w:t xml:space="preserve"> de s</w:t>
      </w:r>
      <w:r w:rsidR="00055F6E" w:rsidRPr="00D5464D">
        <w:rPr>
          <w:lang w:val="pt-BR"/>
        </w:rPr>
        <w:t>e</w:t>
      </w:r>
      <w:r w:rsidR="007F49A4" w:rsidRPr="00D5464D">
        <w:rPr>
          <w:lang w:val="pt-BR"/>
        </w:rPr>
        <w:t xml:space="preserve">u </w:t>
      </w:r>
      <w:r w:rsidR="00230C71" w:rsidRPr="00D5464D">
        <w:rPr>
          <w:lang w:val="pt-BR"/>
        </w:rPr>
        <w:t>proprietário</w:t>
      </w:r>
      <w:r w:rsidR="007F49A4" w:rsidRPr="00D5464D">
        <w:rPr>
          <w:lang w:val="pt-BR"/>
        </w:rPr>
        <w:t xml:space="preserve">; ii) de forma tal que </w:t>
      </w:r>
      <w:r w:rsidR="00055F6E" w:rsidRPr="00D5464D">
        <w:rPr>
          <w:lang w:val="pt-BR"/>
        </w:rPr>
        <w:t>sua autonomia e liberdade individuais estavam restringidas</w:t>
      </w:r>
      <w:r w:rsidR="007F49A4" w:rsidRPr="00D5464D">
        <w:rPr>
          <w:lang w:val="pt-BR"/>
        </w:rPr>
        <w:t>; iii)</w:t>
      </w:r>
      <w:r w:rsidR="002C330E" w:rsidRPr="00D5464D">
        <w:rPr>
          <w:lang w:val="pt-BR"/>
        </w:rPr>
        <w:t xml:space="preserve"> sem </w:t>
      </w:r>
      <w:r w:rsidR="007F49A4" w:rsidRPr="00D5464D">
        <w:rPr>
          <w:lang w:val="pt-BR"/>
        </w:rPr>
        <w:t>s</w:t>
      </w:r>
      <w:r w:rsidR="00055F6E" w:rsidRPr="00D5464D">
        <w:rPr>
          <w:lang w:val="pt-BR"/>
        </w:rPr>
        <w:t>e</w:t>
      </w:r>
      <w:r w:rsidR="007F49A4" w:rsidRPr="00D5464D">
        <w:rPr>
          <w:lang w:val="pt-BR"/>
        </w:rPr>
        <w:t>u</w:t>
      </w:r>
      <w:r w:rsidR="002C330E" w:rsidRPr="00D5464D">
        <w:rPr>
          <w:lang w:val="pt-BR"/>
        </w:rPr>
        <w:t xml:space="preserve"> livre </w:t>
      </w:r>
      <w:r w:rsidR="00470ADC" w:rsidRPr="00D5464D">
        <w:rPr>
          <w:lang w:val="pt-BR"/>
        </w:rPr>
        <w:t>consentimento</w:t>
      </w:r>
      <w:r w:rsidR="00044CBD" w:rsidRPr="00D5464D">
        <w:rPr>
          <w:lang w:val="pt-BR"/>
        </w:rPr>
        <w:t>;</w:t>
      </w:r>
      <w:r w:rsidR="007F49A4" w:rsidRPr="00D5464D">
        <w:rPr>
          <w:lang w:val="pt-BR"/>
        </w:rPr>
        <w:t xml:space="preserve"> iv)</w:t>
      </w:r>
      <w:r w:rsidR="00470ADC" w:rsidRPr="00D5464D">
        <w:rPr>
          <w:lang w:val="pt-BR"/>
        </w:rPr>
        <w:t xml:space="preserve"> através</w:t>
      </w:r>
      <w:r w:rsidR="007F49A4" w:rsidRPr="00D5464D">
        <w:rPr>
          <w:lang w:val="pt-BR"/>
        </w:rPr>
        <w:t xml:space="preserve"> de </w:t>
      </w:r>
      <w:r w:rsidR="00470ADC" w:rsidRPr="00D5464D">
        <w:rPr>
          <w:lang w:val="pt-BR"/>
        </w:rPr>
        <w:t>ameaça</w:t>
      </w:r>
      <w:r w:rsidR="007F49A4" w:rsidRPr="00D5464D">
        <w:rPr>
          <w:lang w:val="pt-BR"/>
        </w:rPr>
        <w:t xml:space="preserve">s, </w:t>
      </w:r>
      <w:r w:rsidR="00E045D9" w:rsidRPr="00D5464D">
        <w:rPr>
          <w:lang w:val="pt-BR"/>
        </w:rPr>
        <w:t>violência</w:t>
      </w:r>
      <w:r w:rsidR="007F49A4" w:rsidRPr="00D5464D">
        <w:rPr>
          <w:lang w:val="pt-BR"/>
        </w:rPr>
        <w:t xml:space="preserve"> física</w:t>
      </w:r>
      <w:r w:rsidR="00E045D9" w:rsidRPr="00D5464D">
        <w:rPr>
          <w:lang w:val="pt-BR"/>
        </w:rPr>
        <w:t xml:space="preserve"> e </w:t>
      </w:r>
      <w:r w:rsidR="007F49A4" w:rsidRPr="00D5464D">
        <w:rPr>
          <w:lang w:val="pt-BR"/>
        </w:rPr>
        <w:t>psicológica</w:t>
      </w:r>
      <w:r w:rsidR="00531F92" w:rsidRPr="00D5464D">
        <w:rPr>
          <w:lang w:val="pt-BR"/>
        </w:rPr>
        <w:t>,</w:t>
      </w:r>
      <w:r w:rsidR="00044CBD" w:rsidRPr="00D5464D">
        <w:rPr>
          <w:lang w:val="pt-BR"/>
        </w:rPr>
        <w:t xml:space="preserve"> </w:t>
      </w:r>
      <w:r w:rsidR="007F49A4" w:rsidRPr="00D5464D">
        <w:rPr>
          <w:lang w:val="pt-BR"/>
        </w:rPr>
        <w:t>v) para explo</w:t>
      </w:r>
      <w:r w:rsidR="00055F6E" w:rsidRPr="00D5464D">
        <w:rPr>
          <w:lang w:val="pt-BR"/>
        </w:rPr>
        <w:t>r</w:t>
      </w:r>
      <w:r w:rsidR="007F49A4" w:rsidRPr="00D5464D">
        <w:rPr>
          <w:lang w:val="pt-BR"/>
        </w:rPr>
        <w:t xml:space="preserve">ar </w:t>
      </w:r>
      <w:r w:rsidR="00737270" w:rsidRPr="00D5464D">
        <w:rPr>
          <w:lang w:val="pt-BR"/>
        </w:rPr>
        <w:t>seu trabalho</w:t>
      </w:r>
      <w:r w:rsidR="007F49A4" w:rsidRPr="00D5464D">
        <w:rPr>
          <w:lang w:val="pt-BR"/>
        </w:rPr>
        <w:t xml:space="preserve"> </w:t>
      </w:r>
      <w:r w:rsidR="00230C71" w:rsidRPr="00D5464D">
        <w:rPr>
          <w:lang w:val="pt-BR"/>
        </w:rPr>
        <w:t>forçado</w:t>
      </w:r>
      <w:r w:rsidR="00470ADC" w:rsidRPr="00D5464D">
        <w:rPr>
          <w:lang w:val="pt-BR"/>
        </w:rPr>
        <w:t xml:space="preserve"> em </w:t>
      </w:r>
      <w:r w:rsidR="007F49A4" w:rsidRPr="00D5464D">
        <w:rPr>
          <w:lang w:val="pt-BR"/>
        </w:rPr>
        <w:t>condi</w:t>
      </w:r>
      <w:r w:rsidR="00470ADC" w:rsidRPr="00D5464D">
        <w:rPr>
          <w:lang w:val="pt-BR"/>
        </w:rPr>
        <w:t>ções</w:t>
      </w:r>
      <w:r w:rsidR="007F49A4" w:rsidRPr="00D5464D">
        <w:rPr>
          <w:lang w:val="pt-BR"/>
        </w:rPr>
        <w:t xml:space="preserve"> </w:t>
      </w:r>
      <w:r w:rsidR="00350187" w:rsidRPr="00D5464D">
        <w:rPr>
          <w:lang w:val="pt-BR"/>
        </w:rPr>
        <w:t>desuman</w:t>
      </w:r>
      <w:r w:rsidR="007F49A4" w:rsidRPr="00D5464D">
        <w:rPr>
          <w:lang w:val="pt-BR"/>
        </w:rPr>
        <w:t xml:space="preserve">as. </w:t>
      </w:r>
      <w:r w:rsidR="00350187" w:rsidRPr="00D5464D">
        <w:rPr>
          <w:lang w:val="pt-BR"/>
        </w:rPr>
        <w:t xml:space="preserve">Além disso, </w:t>
      </w:r>
      <w:r w:rsidR="002C330E" w:rsidRPr="00D5464D">
        <w:rPr>
          <w:lang w:val="pt-BR"/>
        </w:rPr>
        <w:t xml:space="preserve">as </w:t>
      </w:r>
      <w:r w:rsidR="00470ADC" w:rsidRPr="00D5464D">
        <w:rPr>
          <w:lang w:val="pt-BR"/>
        </w:rPr>
        <w:t xml:space="preserve">circunstâncias da </w:t>
      </w:r>
      <w:r w:rsidR="007F49A4" w:rsidRPr="00D5464D">
        <w:rPr>
          <w:lang w:val="pt-BR"/>
        </w:rPr>
        <w:t xml:space="preserve">fuga </w:t>
      </w:r>
      <w:r w:rsidR="00055F6E" w:rsidRPr="00D5464D">
        <w:rPr>
          <w:lang w:val="pt-BR"/>
        </w:rPr>
        <w:t xml:space="preserve">realizada </w:t>
      </w:r>
      <w:r w:rsidR="002C330E" w:rsidRPr="00D5464D">
        <w:rPr>
          <w:lang w:val="pt-BR"/>
        </w:rPr>
        <w:t>pelos senhores</w:t>
      </w:r>
      <w:r w:rsidR="007F49A4" w:rsidRPr="00D5464D">
        <w:rPr>
          <w:lang w:val="pt-BR"/>
        </w:rPr>
        <w:t xml:space="preserve"> </w:t>
      </w:r>
      <w:r w:rsidR="00E42F61" w:rsidRPr="00D5464D">
        <w:rPr>
          <w:lang w:val="pt-BR"/>
        </w:rPr>
        <w:t xml:space="preserve">Antônio </w:t>
      </w:r>
      <w:r w:rsidR="007F49A4" w:rsidRPr="00D5464D">
        <w:rPr>
          <w:lang w:val="pt-BR"/>
        </w:rPr>
        <w:t>Francisco da Silva</w:t>
      </w:r>
      <w:r w:rsidR="00E045D9" w:rsidRPr="00D5464D">
        <w:rPr>
          <w:lang w:val="pt-BR"/>
        </w:rPr>
        <w:t xml:space="preserve"> e </w:t>
      </w:r>
      <w:r w:rsidR="00D47B1B" w:rsidRPr="00D5464D">
        <w:rPr>
          <w:rFonts w:cs="Times New Roman"/>
          <w:szCs w:val="20"/>
          <w:lang w:val="pt-BR"/>
        </w:rPr>
        <w:t>José Francisco Furtado de Sousa</w:t>
      </w:r>
      <w:r w:rsidR="00D47B1B" w:rsidRPr="00D5464D">
        <w:rPr>
          <w:lang w:val="pt-BR"/>
        </w:rPr>
        <w:t xml:space="preserve"> </w:t>
      </w:r>
      <w:r w:rsidR="00E045D9" w:rsidRPr="00D5464D">
        <w:rPr>
          <w:lang w:val="pt-BR"/>
        </w:rPr>
        <w:t xml:space="preserve">e </w:t>
      </w:r>
      <w:r w:rsidR="002C330E" w:rsidRPr="00D5464D">
        <w:rPr>
          <w:lang w:val="pt-BR"/>
        </w:rPr>
        <w:t>os risco</w:t>
      </w:r>
      <w:r w:rsidR="007F49A4" w:rsidRPr="00D5464D">
        <w:rPr>
          <w:lang w:val="pt-BR"/>
        </w:rPr>
        <w:t xml:space="preserve">s </w:t>
      </w:r>
      <w:r w:rsidR="00EB1CE9" w:rsidRPr="00D5464D">
        <w:rPr>
          <w:lang w:val="pt-BR"/>
        </w:rPr>
        <w:t>enfrenta</w:t>
      </w:r>
      <w:r w:rsidR="007F49A4" w:rsidRPr="00D5464D">
        <w:rPr>
          <w:lang w:val="pt-BR"/>
        </w:rPr>
        <w:t xml:space="preserve">dos </w:t>
      </w:r>
      <w:r w:rsidR="002C330E" w:rsidRPr="00D5464D">
        <w:rPr>
          <w:lang w:val="pt-BR"/>
        </w:rPr>
        <w:t>até</w:t>
      </w:r>
      <w:r w:rsidR="007F49A4" w:rsidRPr="00D5464D">
        <w:rPr>
          <w:lang w:val="pt-BR"/>
        </w:rPr>
        <w:t xml:space="preserve"> denunciar</w:t>
      </w:r>
      <w:r w:rsidR="00055F6E" w:rsidRPr="00D5464D">
        <w:rPr>
          <w:lang w:val="pt-BR"/>
        </w:rPr>
        <w:t>em</w:t>
      </w:r>
      <w:r w:rsidR="00C91CB1" w:rsidRPr="00D5464D">
        <w:rPr>
          <w:lang w:val="pt-BR"/>
        </w:rPr>
        <w:t xml:space="preserve"> o </w:t>
      </w:r>
      <w:r w:rsidR="002C330E" w:rsidRPr="00D5464D">
        <w:rPr>
          <w:lang w:val="pt-BR"/>
        </w:rPr>
        <w:t>ocorrid</w:t>
      </w:r>
      <w:r w:rsidR="007F49A4" w:rsidRPr="00D5464D">
        <w:rPr>
          <w:lang w:val="pt-BR"/>
        </w:rPr>
        <w:t>o</w:t>
      </w:r>
      <w:r w:rsidR="00470ADC" w:rsidRPr="00D5464D">
        <w:rPr>
          <w:lang w:val="pt-BR"/>
        </w:rPr>
        <w:t xml:space="preserve"> à </w:t>
      </w:r>
      <w:r w:rsidR="00C91CB1" w:rsidRPr="00D5464D">
        <w:rPr>
          <w:lang w:val="pt-BR"/>
        </w:rPr>
        <w:t xml:space="preserve">Polícia </w:t>
      </w:r>
      <w:r w:rsidR="007F49A4" w:rsidRPr="00D5464D">
        <w:rPr>
          <w:lang w:val="pt-BR"/>
        </w:rPr>
        <w:t xml:space="preserve">Federal </w:t>
      </w:r>
      <w:r w:rsidR="00350187" w:rsidRPr="00D5464D">
        <w:rPr>
          <w:lang w:val="pt-BR"/>
        </w:rPr>
        <w:t>demonstr</w:t>
      </w:r>
      <w:r w:rsidR="00737270" w:rsidRPr="00D5464D">
        <w:rPr>
          <w:lang w:val="pt-BR"/>
        </w:rPr>
        <w:t>a</w:t>
      </w:r>
      <w:r w:rsidR="002C330E" w:rsidRPr="00D5464D">
        <w:rPr>
          <w:lang w:val="pt-BR"/>
        </w:rPr>
        <w:t>m</w:t>
      </w:r>
      <w:r w:rsidR="00044CBD" w:rsidRPr="00D5464D">
        <w:rPr>
          <w:lang w:val="pt-BR"/>
        </w:rPr>
        <w:t>:</w:t>
      </w:r>
      <w:r w:rsidR="007F49A4" w:rsidRPr="00D5464D">
        <w:rPr>
          <w:lang w:val="pt-BR"/>
        </w:rPr>
        <w:t xml:space="preserve"> vi)</w:t>
      </w:r>
      <w:r w:rsidR="002C330E" w:rsidRPr="00D5464D">
        <w:rPr>
          <w:lang w:val="pt-BR"/>
        </w:rPr>
        <w:t xml:space="preserve"> a </w:t>
      </w:r>
      <w:r w:rsidR="00E045D9" w:rsidRPr="00D5464D">
        <w:rPr>
          <w:lang w:val="pt-BR"/>
        </w:rPr>
        <w:t xml:space="preserve">vulnerabilidade </w:t>
      </w:r>
      <w:r w:rsidR="00470ADC" w:rsidRPr="00D5464D">
        <w:rPr>
          <w:lang w:val="pt-BR"/>
        </w:rPr>
        <w:t xml:space="preserve">dos </w:t>
      </w:r>
      <w:r w:rsidR="00E045D9" w:rsidRPr="00D5464D">
        <w:rPr>
          <w:lang w:val="pt-BR"/>
        </w:rPr>
        <w:t xml:space="preserve">trabalhadores e </w:t>
      </w:r>
      <w:r w:rsidR="007F49A4" w:rsidRPr="00D5464D">
        <w:rPr>
          <w:lang w:val="pt-BR"/>
        </w:rPr>
        <w:t>vii)</w:t>
      </w:r>
      <w:r w:rsidR="00470ADC" w:rsidRPr="00D5464D">
        <w:rPr>
          <w:lang w:val="pt-BR"/>
        </w:rPr>
        <w:t xml:space="preserve"> o </w:t>
      </w:r>
      <w:r w:rsidR="007F49A4" w:rsidRPr="00D5464D">
        <w:rPr>
          <w:lang w:val="pt-BR"/>
        </w:rPr>
        <w:t>ambiente de co</w:t>
      </w:r>
      <w:r w:rsidR="00737270" w:rsidRPr="00D5464D">
        <w:rPr>
          <w:lang w:val="pt-BR"/>
        </w:rPr>
        <w:t>ação</w:t>
      </w:r>
      <w:r w:rsidR="007F49A4" w:rsidRPr="00D5464D">
        <w:rPr>
          <w:lang w:val="pt-BR"/>
        </w:rPr>
        <w:t xml:space="preserve"> </w:t>
      </w:r>
      <w:r w:rsidR="00737270" w:rsidRPr="00D5464D">
        <w:rPr>
          <w:lang w:val="pt-BR"/>
        </w:rPr>
        <w:t>existente</w:t>
      </w:r>
      <w:r w:rsidR="00E045D9" w:rsidRPr="00D5464D">
        <w:rPr>
          <w:lang w:val="pt-BR"/>
        </w:rPr>
        <w:t xml:space="preserve"> nesta </w:t>
      </w:r>
      <w:r w:rsidR="00D809F0" w:rsidRPr="00D5464D">
        <w:rPr>
          <w:lang w:val="pt-BR"/>
        </w:rPr>
        <w:t>fazenda</w:t>
      </w:r>
      <w:r w:rsidR="007F49A4" w:rsidRPr="00D5464D">
        <w:rPr>
          <w:lang w:val="pt-BR"/>
        </w:rPr>
        <w:t>,</w:t>
      </w:r>
      <w:r w:rsidR="002C330E" w:rsidRPr="00D5464D">
        <w:rPr>
          <w:lang w:val="pt-BR"/>
        </w:rPr>
        <w:t xml:space="preserve"> os </w:t>
      </w:r>
      <w:r w:rsidR="00470ADC" w:rsidRPr="00D5464D">
        <w:rPr>
          <w:lang w:val="pt-BR"/>
        </w:rPr>
        <w:t>quais</w:t>
      </w:r>
      <w:r w:rsidR="007F49A4" w:rsidRPr="00D5464D">
        <w:rPr>
          <w:lang w:val="pt-BR"/>
        </w:rPr>
        <w:t xml:space="preserve"> viii) n</w:t>
      </w:r>
      <w:r w:rsidR="00055F6E" w:rsidRPr="00D5464D">
        <w:rPr>
          <w:lang w:val="pt-BR"/>
        </w:rPr>
        <w:t>ã</w:t>
      </w:r>
      <w:r w:rsidR="007F49A4" w:rsidRPr="00D5464D">
        <w:rPr>
          <w:lang w:val="pt-BR"/>
        </w:rPr>
        <w:t>o</w:t>
      </w:r>
      <w:r w:rsidR="002C330E" w:rsidRPr="00D5464D">
        <w:rPr>
          <w:lang w:val="pt-BR"/>
        </w:rPr>
        <w:t xml:space="preserve"> lhes </w:t>
      </w:r>
      <w:r w:rsidR="00055F6E" w:rsidRPr="00D5464D">
        <w:rPr>
          <w:lang w:val="pt-BR"/>
        </w:rPr>
        <w:t xml:space="preserve">permitiam alterar </w:t>
      </w:r>
      <w:r w:rsidR="00737270" w:rsidRPr="00D5464D">
        <w:rPr>
          <w:lang w:val="pt-BR"/>
        </w:rPr>
        <w:t xml:space="preserve">sua situação </w:t>
      </w:r>
      <w:r w:rsidR="00E045D9" w:rsidRPr="00D5464D">
        <w:rPr>
          <w:lang w:val="pt-BR"/>
        </w:rPr>
        <w:t xml:space="preserve">e </w:t>
      </w:r>
      <w:r w:rsidR="007F49A4" w:rsidRPr="00D5464D">
        <w:rPr>
          <w:lang w:val="pt-BR"/>
        </w:rPr>
        <w:t xml:space="preserve">recuperar </w:t>
      </w:r>
      <w:r w:rsidR="00E045D9" w:rsidRPr="00D5464D">
        <w:rPr>
          <w:lang w:val="pt-BR"/>
        </w:rPr>
        <w:t>sua liberdade</w:t>
      </w:r>
      <w:r w:rsidR="002C330E" w:rsidRPr="00D5464D">
        <w:rPr>
          <w:lang w:val="pt-BR"/>
        </w:rPr>
        <w:t>.</w:t>
      </w:r>
      <w:r w:rsidR="007F49A4" w:rsidRPr="00D5464D">
        <w:rPr>
          <w:lang w:val="pt-BR"/>
        </w:rPr>
        <w:t xml:space="preserve"> Por </w:t>
      </w:r>
      <w:r w:rsidR="00C91CB1" w:rsidRPr="00D5464D">
        <w:rPr>
          <w:lang w:val="pt-BR"/>
        </w:rPr>
        <w:t xml:space="preserve">todo o </w:t>
      </w:r>
      <w:r w:rsidR="003D4674" w:rsidRPr="00D5464D">
        <w:rPr>
          <w:lang w:val="pt-BR"/>
        </w:rPr>
        <w:t>exposto</w:t>
      </w:r>
      <w:r w:rsidR="007F49A4" w:rsidRPr="00D5464D">
        <w:rPr>
          <w:lang w:val="pt-BR"/>
        </w:rPr>
        <w:t>,</w:t>
      </w:r>
      <w:r w:rsidR="002C330E" w:rsidRPr="00D5464D">
        <w:rPr>
          <w:lang w:val="pt-BR"/>
        </w:rPr>
        <w:t xml:space="preserve"> a </w:t>
      </w:r>
      <w:r w:rsidR="007F49A4" w:rsidRPr="00D5464D">
        <w:rPr>
          <w:lang w:val="pt-BR"/>
        </w:rPr>
        <w:t xml:space="preserve">Corte </w:t>
      </w:r>
      <w:r w:rsidR="00470ADC" w:rsidRPr="00D5464D">
        <w:rPr>
          <w:lang w:val="pt-BR"/>
        </w:rPr>
        <w:t xml:space="preserve">conclui </w:t>
      </w:r>
      <w:r w:rsidR="007F49A4" w:rsidRPr="00D5464D">
        <w:rPr>
          <w:lang w:val="pt-BR"/>
        </w:rPr>
        <w:t>que</w:t>
      </w:r>
      <w:r w:rsidR="002C330E" w:rsidRPr="00D5464D">
        <w:rPr>
          <w:lang w:val="pt-BR"/>
        </w:rPr>
        <w:t xml:space="preserve"> a </w:t>
      </w:r>
      <w:r w:rsidR="000B2B14" w:rsidRPr="00D5464D">
        <w:rPr>
          <w:lang w:val="pt-BR"/>
        </w:rPr>
        <w:t>circunstância</w:t>
      </w:r>
      <w:r w:rsidR="007F49A4" w:rsidRPr="00D5464D">
        <w:rPr>
          <w:lang w:val="pt-BR"/>
        </w:rPr>
        <w:t xml:space="preserve"> verificada</w:t>
      </w:r>
      <w:r w:rsidR="00E045D9" w:rsidRPr="00D5464D">
        <w:rPr>
          <w:lang w:val="pt-BR"/>
        </w:rPr>
        <w:t xml:space="preserve"> na </w:t>
      </w:r>
      <w:r w:rsidR="00D809F0" w:rsidRPr="00D5464D">
        <w:rPr>
          <w:lang w:val="pt-BR"/>
        </w:rPr>
        <w:t>Fazenda</w:t>
      </w:r>
      <w:r w:rsidR="007F49A4" w:rsidRPr="00D5464D">
        <w:rPr>
          <w:lang w:val="pt-BR"/>
        </w:rPr>
        <w:t xml:space="preserve"> Brasil Verde</w:t>
      </w:r>
      <w:r w:rsidR="00470ADC" w:rsidRPr="00D5464D">
        <w:rPr>
          <w:lang w:val="pt-BR"/>
        </w:rPr>
        <w:t xml:space="preserve"> em </w:t>
      </w:r>
      <w:r w:rsidR="002C330E" w:rsidRPr="00D5464D">
        <w:rPr>
          <w:lang w:val="pt-BR"/>
        </w:rPr>
        <w:t>março</w:t>
      </w:r>
      <w:r w:rsidR="007F49A4" w:rsidRPr="00D5464D">
        <w:rPr>
          <w:lang w:val="pt-BR"/>
        </w:rPr>
        <w:t xml:space="preserve"> de 2000 represent</w:t>
      </w:r>
      <w:r w:rsidR="00350187" w:rsidRPr="00D5464D">
        <w:rPr>
          <w:lang w:val="pt-BR"/>
        </w:rPr>
        <w:t xml:space="preserve">ava </w:t>
      </w:r>
      <w:r w:rsidR="00E045D9" w:rsidRPr="00D5464D">
        <w:rPr>
          <w:lang w:val="pt-BR"/>
        </w:rPr>
        <w:t xml:space="preserve">uma </w:t>
      </w:r>
      <w:r w:rsidR="007F49A4" w:rsidRPr="00D5464D">
        <w:rPr>
          <w:lang w:val="pt-BR"/>
        </w:rPr>
        <w:t>situa</w:t>
      </w:r>
      <w:r w:rsidR="00470ADC" w:rsidRPr="00D5464D">
        <w:rPr>
          <w:lang w:val="pt-BR"/>
        </w:rPr>
        <w:t>ção</w:t>
      </w:r>
      <w:r w:rsidR="007F49A4" w:rsidRPr="00D5464D">
        <w:rPr>
          <w:lang w:val="pt-BR"/>
        </w:rPr>
        <w:t xml:space="preserve"> de </w:t>
      </w:r>
      <w:r w:rsidR="000B376D" w:rsidRPr="00D5464D">
        <w:rPr>
          <w:lang w:val="pt-BR"/>
        </w:rPr>
        <w:t>escravidão</w:t>
      </w:r>
      <w:r w:rsidR="007F49A4" w:rsidRPr="00D5464D">
        <w:rPr>
          <w:lang w:val="pt-BR"/>
        </w:rPr>
        <w:t>.</w:t>
      </w:r>
    </w:p>
    <w:p w14:paraId="1C1FC886" w14:textId="77777777" w:rsidR="00207197" w:rsidRPr="00D5464D" w:rsidRDefault="00207197" w:rsidP="00140440">
      <w:pPr>
        <w:pStyle w:val="Prrafodelista"/>
        <w:ind w:left="0"/>
        <w:rPr>
          <w:lang w:val="pt-BR"/>
        </w:rPr>
      </w:pPr>
    </w:p>
    <w:p w14:paraId="0A5C80DE" w14:textId="19E81455" w:rsidR="00207197" w:rsidRPr="00D5464D" w:rsidRDefault="00055F6E" w:rsidP="00F37DC4">
      <w:pPr>
        <w:pStyle w:val="Prrafodelista"/>
        <w:numPr>
          <w:ilvl w:val="0"/>
          <w:numId w:val="1"/>
        </w:numPr>
        <w:contextualSpacing w:val="0"/>
        <w:rPr>
          <w:lang w:val="pt-BR"/>
        </w:rPr>
      </w:pPr>
      <w:r w:rsidRPr="00D5464D">
        <w:rPr>
          <w:lang w:val="pt-BR"/>
        </w:rPr>
        <w:t>De outra parte</w:t>
      </w:r>
      <w:r w:rsidR="00A1358C" w:rsidRPr="00D5464D">
        <w:rPr>
          <w:lang w:val="pt-BR"/>
        </w:rPr>
        <w:t>,</w:t>
      </w:r>
      <w:r w:rsidR="00207197" w:rsidRPr="00D5464D">
        <w:rPr>
          <w:lang w:val="pt-BR"/>
        </w:rPr>
        <w:t xml:space="preserve"> considerando</w:t>
      </w:r>
      <w:r w:rsidR="00470ADC" w:rsidRPr="00D5464D">
        <w:rPr>
          <w:lang w:val="pt-BR"/>
        </w:rPr>
        <w:t xml:space="preserve"> o </w:t>
      </w:r>
      <w:r w:rsidR="00207197" w:rsidRPr="00D5464D">
        <w:rPr>
          <w:lang w:val="pt-BR"/>
        </w:rPr>
        <w:t xml:space="preserve">contexto </w:t>
      </w:r>
      <w:r w:rsidR="00470ADC" w:rsidRPr="00D5464D">
        <w:rPr>
          <w:lang w:val="pt-BR"/>
        </w:rPr>
        <w:t xml:space="preserve">do </w:t>
      </w:r>
      <w:r w:rsidR="00207197" w:rsidRPr="00D5464D">
        <w:rPr>
          <w:lang w:val="pt-BR"/>
        </w:rPr>
        <w:t xml:space="preserve">presente caso </w:t>
      </w:r>
      <w:r w:rsidRPr="00D5464D">
        <w:rPr>
          <w:lang w:val="pt-BR"/>
        </w:rPr>
        <w:t xml:space="preserve">em relação </w:t>
      </w:r>
      <w:r w:rsidR="00470ADC" w:rsidRPr="00D5464D">
        <w:rPr>
          <w:lang w:val="pt-BR"/>
        </w:rPr>
        <w:t xml:space="preserve">à </w:t>
      </w:r>
      <w:r w:rsidR="00207197" w:rsidRPr="00D5464D">
        <w:rPr>
          <w:lang w:val="pt-BR"/>
        </w:rPr>
        <w:t>capta</w:t>
      </w:r>
      <w:r w:rsidR="00470ADC" w:rsidRPr="00D5464D">
        <w:rPr>
          <w:lang w:val="pt-BR"/>
        </w:rPr>
        <w:t>ção</w:t>
      </w:r>
      <w:r w:rsidR="00207197" w:rsidRPr="00D5464D">
        <w:rPr>
          <w:lang w:val="pt-BR"/>
        </w:rPr>
        <w:t xml:space="preserve"> o</w:t>
      </w:r>
      <w:r w:rsidRPr="00D5464D">
        <w:rPr>
          <w:lang w:val="pt-BR"/>
        </w:rPr>
        <w:t>u</w:t>
      </w:r>
      <w:r w:rsidR="00207197" w:rsidRPr="00D5464D">
        <w:rPr>
          <w:lang w:val="pt-BR"/>
        </w:rPr>
        <w:t xml:space="preserve"> </w:t>
      </w:r>
      <w:r w:rsidRPr="00D5464D">
        <w:rPr>
          <w:lang w:val="pt-BR"/>
        </w:rPr>
        <w:t xml:space="preserve">aliciamento </w:t>
      </w:r>
      <w:r w:rsidR="00207197" w:rsidRPr="00D5464D">
        <w:rPr>
          <w:lang w:val="pt-BR"/>
        </w:rPr>
        <w:t xml:space="preserve">de </w:t>
      </w:r>
      <w:r w:rsidR="00E045D9" w:rsidRPr="00D5464D">
        <w:rPr>
          <w:lang w:val="pt-BR"/>
        </w:rPr>
        <w:t>trabalhadores</w:t>
      </w:r>
      <w:r w:rsidR="00470ADC" w:rsidRPr="00D5464D">
        <w:rPr>
          <w:lang w:val="pt-BR"/>
        </w:rPr>
        <w:t xml:space="preserve"> através</w:t>
      </w:r>
      <w:r w:rsidR="00207197" w:rsidRPr="00D5464D">
        <w:rPr>
          <w:lang w:val="pt-BR"/>
        </w:rPr>
        <w:t xml:space="preserve"> de fraude, enga</w:t>
      </w:r>
      <w:r w:rsidR="00350187" w:rsidRPr="00D5464D">
        <w:rPr>
          <w:lang w:val="pt-BR"/>
        </w:rPr>
        <w:t>n</w:t>
      </w:r>
      <w:r w:rsidR="00207197" w:rsidRPr="00D5464D">
        <w:rPr>
          <w:lang w:val="pt-BR"/>
        </w:rPr>
        <w:t>o</w:t>
      </w:r>
      <w:r w:rsidRPr="00D5464D">
        <w:rPr>
          <w:lang w:val="pt-BR"/>
        </w:rPr>
        <w:t>s</w:t>
      </w:r>
      <w:r w:rsidR="00E045D9" w:rsidRPr="00D5464D">
        <w:rPr>
          <w:lang w:val="pt-BR"/>
        </w:rPr>
        <w:t xml:space="preserve"> e </w:t>
      </w:r>
      <w:r w:rsidR="00207197" w:rsidRPr="00D5464D">
        <w:rPr>
          <w:lang w:val="pt-BR"/>
        </w:rPr>
        <w:t xml:space="preserve">falsas </w:t>
      </w:r>
      <w:r w:rsidR="00A1358C" w:rsidRPr="00D5464D">
        <w:rPr>
          <w:lang w:val="pt-BR"/>
        </w:rPr>
        <w:t>promessa</w:t>
      </w:r>
      <w:r w:rsidR="00207197" w:rsidRPr="00D5464D">
        <w:rPr>
          <w:lang w:val="pt-BR"/>
        </w:rPr>
        <w:t xml:space="preserve">s </w:t>
      </w:r>
      <w:r w:rsidR="00230C71" w:rsidRPr="00D5464D">
        <w:rPr>
          <w:lang w:val="pt-BR"/>
        </w:rPr>
        <w:t>desde a</w:t>
      </w:r>
      <w:r w:rsidR="00E045D9" w:rsidRPr="00D5464D">
        <w:rPr>
          <w:lang w:val="pt-BR"/>
        </w:rPr>
        <w:t xml:space="preserve">s </w:t>
      </w:r>
      <w:r w:rsidR="002C330E" w:rsidRPr="00D5464D">
        <w:rPr>
          <w:lang w:val="pt-BR"/>
        </w:rPr>
        <w:t>regiões</w:t>
      </w:r>
      <w:r w:rsidR="00207197" w:rsidRPr="00D5464D">
        <w:rPr>
          <w:lang w:val="pt-BR"/>
        </w:rPr>
        <w:t xml:space="preserve"> </w:t>
      </w:r>
      <w:r w:rsidR="002C330E" w:rsidRPr="00D5464D">
        <w:rPr>
          <w:lang w:val="pt-BR"/>
        </w:rPr>
        <w:t xml:space="preserve">mais </w:t>
      </w:r>
      <w:r w:rsidR="00207197" w:rsidRPr="00D5464D">
        <w:rPr>
          <w:lang w:val="pt-BR"/>
        </w:rPr>
        <w:t xml:space="preserve">pobres </w:t>
      </w:r>
      <w:r w:rsidR="00470ADC" w:rsidRPr="00D5464D">
        <w:rPr>
          <w:lang w:val="pt-BR"/>
        </w:rPr>
        <w:t xml:space="preserve">do </w:t>
      </w:r>
      <w:r w:rsidR="00207197" w:rsidRPr="00D5464D">
        <w:rPr>
          <w:lang w:val="pt-BR"/>
        </w:rPr>
        <w:t>país</w:t>
      </w:r>
      <w:r w:rsidRPr="00D5464D">
        <w:rPr>
          <w:lang w:val="pt-BR"/>
        </w:rPr>
        <w:t>,</w:t>
      </w:r>
      <w:r w:rsidR="00350187" w:rsidRPr="00D5464D">
        <w:rPr>
          <w:lang w:val="pt-BR"/>
        </w:rPr>
        <w:t xml:space="preserve"> sobretudo </w:t>
      </w:r>
      <w:r w:rsidRPr="00D5464D">
        <w:rPr>
          <w:lang w:val="pt-BR"/>
        </w:rPr>
        <w:t xml:space="preserve">em direção a </w:t>
      </w:r>
      <w:r w:rsidR="00D809F0" w:rsidRPr="00D5464D">
        <w:rPr>
          <w:lang w:val="pt-BR"/>
        </w:rPr>
        <w:t>fazenda</w:t>
      </w:r>
      <w:r w:rsidR="00207197" w:rsidRPr="00D5464D">
        <w:rPr>
          <w:lang w:val="pt-BR"/>
        </w:rPr>
        <w:t>s</w:t>
      </w:r>
      <w:r w:rsidR="00470ADC" w:rsidRPr="00D5464D">
        <w:rPr>
          <w:lang w:val="pt-BR"/>
        </w:rPr>
        <w:t xml:space="preserve"> dos </w:t>
      </w:r>
      <w:r w:rsidR="00207197" w:rsidRPr="00D5464D">
        <w:rPr>
          <w:lang w:val="pt-BR"/>
        </w:rPr>
        <w:t>Estados d</w:t>
      </w:r>
      <w:r w:rsidRPr="00D5464D">
        <w:rPr>
          <w:lang w:val="pt-BR"/>
        </w:rPr>
        <w:t>o</w:t>
      </w:r>
      <w:r w:rsidR="00207197" w:rsidRPr="00D5464D">
        <w:rPr>
          <w:lang w:val="pt-BR"/>
        </w:rPr>
        <w:t xml:space="preserve"> Maranhão, </w:t>
      </w:r>
      <w:r w:rsidR="00193110" w:rsidRPr="00D5464D">
        <w:rPr>
          <w:lang w:val="pt-BR"/>
        </w:rPr>
        <w:t xml:space="preserve">Mato Grosso, </w:t>
      </w:r>
      <w:r w:rsidR="00207197" w:rsidRPr="00D5464D">
        <w:rPr>
          <w:lang w:val="pt-BR"/>
        </w:rPr>
        <w:t>Pará</w:t>
      </w:r>
      <w:r w:rsidR="00E045D9" w:rsidRPr="00D5464D">
        <w:rPr>
          <w:lang w:val="pt-BR"/>
        </w:rPr>
        <w:t xml:space="preserve"> e </w:t>
      </w:r>
      <w:r w:rsidR="00207197" w:rsidRPr="00D5464D">
        <w:rPr>
          <w:lang w:val="pt-BR"/>
        </w:rPr>
        <w:t>Tocantins (</w:t>
      </w:r>
      <w:r w:rsidR="00C85EA9" w:rsidRPr="00D5464D">
        <w:rPr>
          <w:lang w:val="pt-BR"/>
        </w:rPr>
        <w:t xml:space="preserve">par. </w:t>
      </w:r>
      <w:r w:rsidR="00D036E7" w:rsidRPr="00D5464D">
        <w:rPr>
          <w:lang w:val="pt-BR"/>
        </w:rPr>
        <w:t>112</w:t>
      </w:r>
      <w:r w:rsidR="00D036E7" w:rsidRPr="00D5464D">
        <w:rPr>
          <w:i/>
          <w:lang w:val="pt-BR"/>
        </w:rPr>
        <w:t xml:space="preserve"> supra)</w:t>
      </w:r>
      <w:r w:rsidR="00446C55" w:rsidRPr="00D5464D">
        <w:rPr>
          <w:lang w:val="pt-BR"/>
        </w:rPr>
        <w:t xml:space="preserve">, </w:t>
      </w:r>
      <w:r w:rsidRPr="00D5464D">
        <w:rPr>
          <w:lang w:val="pt-BR"/>
        </w:rPr>
        <w:t xml:space="preserve">bem </w:t>
      </w:r>
      <w:r w:rsidR="00207197" w:rsidRPr="00D5464D">
        <w:rPr>
          <w:lang w:val="pt-BR"/>
        </w:rPr>
        <w:t>como</w:t>
      </w:r>
      <w:r w:rsidR="002C330E" w:rsidRPr="00D5464D">
        <w:rPr>
          <w:lang w:val="pt-BR"/>
        </w:rPr>
        <w:t xml:space="preserve"> a </w:t>
      </w:r>
      <w:r w:rsidR="00207197" w:rsidRPr="00D5464D">
        <w:rPr>
          <w:lang w:val="pt-BR"/>
        </w:rPr>
        <w:t>declara</w:t>
      </w:r>
      <w:r w:rsidR="00470ADC" w:rsidRPr="00D5464D">
        <w:rPr>
          <w:lang w:val="pt-BR"/>
        </w:rPr>
        <w:t>ção</w:t>
      </w:r>
      <w:r w:rsidR="00207197" w:rsidRPr="00D5464D">
        <w:rPr>
          <w:lang w:val="pt-BR"/>
        </w:rPr>
        <w:t xml:space="preserve"> pericial</w:t>
      </w:r>
      <w:r w:rsidR="00470ADC" w:rsidRPr="00D5464D">
        <w:rPr>
          <w:lang w:val="pt-BR"/>
        </w:rPr>
        <w:t xml:space="preserve"> da </w:t>
      </w:r>
      <w:r w:rsidR="00207197" w:rsidRPr="00D5464D">
        <w:rPr>
          <w:lang w:val="pt-BR"/>
        </w:rPr>
        <w:t>Procuradora Federal Raquel Elias Dodge</w:t>
      </w:r>
      <w:r w:rsidRPr="00D5464D">
        <w:rPr>
          <w:lang w:val="pt-BR"/>
        </w:rPr>
        <w:t>,</w:t>
      </w:r>
      <w:r w:rsidR="00207197" w:rsidRPr="00D5464D">
        <w:rPr>
          <w:lang w:val="pt-BR"/>
        </w:rPr>
        <w:t xml:space="preserve"> durante</w:t>
      </w:r>
      <w:r w:rsidR="002C330E" w:rsidRPr="00D5464D">
        <w:rPr>
          <w:lang w:val="pt-BR"/>
        </w:rPr>
        <w:t xml:space="preserve"> a </w:t>
      </w:r>
      <w:r w:rsidR="00470ADC" w:rsidRPr="00D5464D">
        <w:rPr>
          <w:lang w:val="pt-BR"/>
        </w:rPr>
        <w:t>audiência</w:t>
      </w:r>
      <w:r w:rsidR="00207197" w:rsidRPr="00D5464D">
        <w:rPr>
          <w:lang w:val="pt-BR"/>
        </w:rPr>
        <w:t xml:space="preserve"> pública</w:t>
      </w:r>
      <w:r w:rsidR="00470ADC" w:rsidRPr="00D5464D">
        <w:rPr>
          <w:lang w:val="pt-BR"/>
        </w:rPr>
        <w:t xml:space="preserve"> deste </w:t>
      </w:r>
      <w:r w:rsidR="00D36269" w:rsidRPr="00D5464D">
        <w:rPr>
          <w:lang w:val="pt-BR"/>
        </w:rPr>
        <w:t>caso</w:t>
      </w:r>
      <w:r w:rsidR="00207197" w:rsidRPr="00D5464D">
        <w:rPr>
          <w:lang w:val="pt-BR"/>
        </w:rPr>
        <w:t>,</w:t>
      </w:r>
      <w:r w:rsidR="00E045D9" w:rsidRPr="00D5464D">
        <w:rPr>
          <w:lang w:val="pt-BR"/>
        </w:rPr>
        <w:t xml:space="preserve"> na </w:t>
      </w:r>
      <w:r w:rsidR="00470ADC" w:rsidRPr="00D5464D">
        <w:rPr>
          <w:lang w:val="pt-BR"/>
        </w:rPr>
        <w:t xml:space="preserve">qual </w:t>
      </w:r>
      <w:r w:rsidRPr="00D5464D">
        <w:rPr>
          <w:lang w:val="pt-BR"/>
        </w:rPr>
        <w:t xml:space="preserve">precisou </w:t>
      </w:r>
      <w:r w:rsidR="00470ADC" w:rsidRPr="00D5464D">
        <w:rPr>
          <w:lang w:val="pt-BR"/>
        </w:rPr>
        <w:t xml:space="preserve">com </w:t>
      </w:r>
      <w:r w:rsidR="00E045D9" w:rsidRPr="00D5464D">
        <w:rPr>
          <w:lang w:val="pt-BR"/>
        </w:rPr>
        <w:t>detalhe</w:t>
      </w:r>
      <w:r w:rsidR="00207197" w:rsidRPr="00D5464D">
        <w:rPr>
          <w:lang w:val="pt-BR"/>
        </w:rPr>
        <w:t>s</w:t>
      </w:r>
      <w:r w:rsidR="00470ADC" w:rsidRPr="00D5464D">
        <w:rPr>
          <w:lang w:val="pt-BR"/>
        </w:rPr>
        <w:t xml:space="preserve"> o </w:t>
      </w:r>
      <w:r w:rsidR="00E045D9" w:rsidRPr="00D5464D">
        <w:rPr>
          <w:lang w:val="pt-BR"/>
        </w:rPr>
        <w:t>funcionamento</w:t>
      </w:r>
      <w:r w:rsidR="00470ADC" w:rsidRPr="00D5464D">
        <w:rPr>
          <w:lang w:val="pt-BR"/>
        </w:rPr>
        <w:t xml:space="preserve"> d</w:t>
      </w:r>
      <w:r w:rsidRPr="00D5464D">
        <w:rPr>
          <w:lang w:val="pt-BR"/>
        </w:rPr>
        <w:t>o</w:t>
      </w:r>
      <w:r w:rsidR="00470ADC" w:rsidRPr="00D5464D">
        <w:rPr>
          <w:lang w:val="pt-BR"/>
        </w:rPr>
        <w:t xml:space="preserve"> </w:t>
      </w:r>
      <w:r w:rsidR="0017180F" w:rsidRPr="00D5464D">
        <w:rPr>
          <w:lang w:val="pt-BR"/>
        </w:rPr>
        <w:t>tráfico de seres</w:t>
      </w:r>
      <w:r w:rsidR="00207197" w:rsidRPr="00D5464D">
        <w:rPr>
          <w:lang w:val="pt-BR"/>
        </w:rPr>
        <w:t xml:space="preserve"> humanos </w:t>
      </w:r>
      <w:r w:rsidR="00470ADC" w:rsidRPr="00D5464D">
        <w:rPr>
          <w:lang w:val="pt-BR"/>
        </w:rPr>
        <w:t>contemporâne</w:t>
      </w:r>
      <w:r w:rsidRPr="00D5464D">
        <w:rPr>
          <w:lang w:val="pt-BR"/>
        </w:rPr>
        <w:t>o</w:t>
      </w:r>
      <w:r w:rsidR="00207197" w:rsidRPr="00D5464D">
        <w:rPr>
          <w:lang w:val="pt-BR"/>
        </w:rPr>
        <w:t xml:space="preserve"> para</w:t>
      </w:r>
      <w:r w:rsidR="00470ADC" w:rsidRPr="00D5464D">
        <w:rPr>
          <w:lang w:val="pt-BR"/>
        </w:rPr>
        <w:t xml:space="preserve"> fins </w:t>
      </w:r>
      <w:r w:rsidR="00207197" w:rsidRPr="00D5464D">
        <w:rPr>
          <w:lang w:val="pt-BR"/>
        </w:rPr>
        <w:t xml:space="preserve">de </w:t>
      </w:r>
      <w:r w:rsidR="00230C71" w:rsidRPr="00D5464D">
        <w:rPr>
          <w:lang w:val="pt-BR"/>
        </w:rPr>
        <w:t>exploração</w:t>
      </w:r>
      <w:r w:rsidR="00207197" w:rsidRPr="00D5464D">
        <w:rPr>
          <w:lang w:val="pt-BR"/>
        </w:rPr>
        <w:t xml:space="preserve"> laboral</w:t>
      </w:r>
      <w:r w:rsidR="006665EF" w:rsidRPr="00D5464D">
        <w:rPr>
          <w:lang w:val="pt-BR"/>
        </w:rPr>
        <w:t xml:space="preserve"> no Brasil</w:t>
      </w:r>
      <w:r w:rsidR="00207197" w:rsidRPr="00D5464D">
        <w:rPr>
          <w:lang w:val="pt-BR"/>
        </w:rPr>
        <w:t xml:space="preserve">, </w:t>
      </w:r>
      <w:r w:rsidRPr="00D5464D">
        <w:rPr>
          <w:lang w:val="pt-BR"/>
        </w:rPr>
        <w:t xml:space="preserve">além </w:t>
      </w:r>
      <w:r w:rsidR="00470ADC" w:rsidRPr="00D5464D">
        <w:rPr>
          <w:lang w:val="pt-BR"/>
        </w:rPr>
        <w:t xml:space="preserve">das </w:t>
      </w:r>
      <w:r w:rsidR="00207197" w:rsidRPr="00D5464D">
        <w:rPr>
          <w:lang w:val="pt-BR"/>
        </w:rPr>
        <w:t>“fichas de entrevista”</w:t>
      </w:r>
      <w:r w:rsidR="00470ADC" w:rsidRPr="00D5464D">
        <w:rPr>
          <w:lang w:val="pt-BR"/>
        </w:rPr>
        <w:t xml:space="preserve"> dos </w:t>
      </w:r>
      <w:r w:rsidR="00E045D9" w:rsidRPr="00D5464D">
        <w:rPr>
          <w:lang w:val="pt-BR"/>
        </w:rPr>
        <w:t>trabalhadores</w:t>
      </w:r>
      <w:r w:rsidR="00207197" w:rsidRPr="00D5464D">
        <w:rPr>
          <w:lang w:val="pt-BR"/>
        </w:rPr>
        <w:t xml:space="preserve"> </w:t>
      </w:r>
      <w:r w:rsidR="0090341D" w:rsidRPr="00D5464D">
        <w:rPr>
          <w:lang w:val="pt-BR"/>
        </w:rPr>
        <w:t>resgatado</w:t>
      </w:r>
      <w:r w:rsidR="00207197" w:rsidRPr="00D5464D">
        <w:rPr>
          <w:lang w:val="pt-BR"/>
        </w:rPr>
        <w:t>s</w:t>
      </w:r>
      <w:r w:rsidR="00E045D9" w:rsidRPr="00D5464D">
        <w:rPr>
          <w:lang w:val="pt-BR"/>
        </w:rPr>
        <w:t xml:space="preserve"> na </w:t>
      </w:r>
      <w:r w:rsidR="00207197" w:rsidRPr="00D5464D">
        <w:rPr>
          <w:lang w:val="pt-BR"/>
        </w:rPr>
        <w:t>fiscaliza</w:t>
      </w:r>
      <w:r w:rsidR="00470ADC" w:rsidRPr="00D5464D">
        <w:rPr>
          <w:lang w:val="pt-BR"/>
        </w:rPr>
        <w:t>ção</w:t>
      </w:r>
      <w:r w:rsidR="00207197" w:rsidRPr="00D5464D">
        <w:rPr>
          <w:lang w:val="pt-BR"/>
        </w:rPr>
        <w:t xml:space="preserve"> de </w:t>
      </w:r>
      <w:r w:rsidR="002C330E" w:rsidRPr="00D5464D">
        <w:rPr>
          <w:lang w:val="pt-BR"/>
        </w:rPr>
        <w:t>março</w:t>
      </w:r>
      <w:r w:rsidR="00207197" w:rsidRPr="00D5464D">
        <w:rPr>
          <w:lang w:val="pt-BR"/>
        </w:rPr>
        <w:t xml:space="preserve"> de 2000,</w:t>
      </w:r>
      <w:r w:rsidR="002C330E" w:rsidRPr="00D5464D">
        <w:rPr>
          <w:lang w:val="pt-BR"/>
        </w:rPr>
        <w:t xml:space="preserve"> as </w:t>
      </w:r>
      <w:r w:rsidR="00470ADC" w:rsidRPr="00D5464D">
        <w:rPr>
          <w:lang w:val="pt-BR"/>
        </w:rPr>
        <w:t xml:space="preserve">denúncias </w:t>
      </w:r>
      <w:r w:rsidR="00207197" w:rsidRPr="00D5464D">
        <w:rPr>
          <w:lang w:val="pt-BR"/>
        </w:rPr>
        <w:t xml:space="preserve">de </w:t>
      </w:r>
      <w:r w:rsidR="00E42F61" w:rsidRPr="00D5464D">
        <w:rPr>
          <w:lang w:val="pt-BR"/>
        </w:rPr>
        <w:t xml:space="preserve">Antônio </w:t>
      </w:r>
      <w:r w:rsidR="0021497B" w:rsidRPr="00D5464D">
        <w:rPr>
          <w:lang w:val="pt-BR"/>
        </w:rPr>
        <w:t>Francisco da Silva</w:t>
      </w:r>
      <w:r w:rsidR="00E045D9" w:rsidRPr="00D5464D">
        <w:rPr>
          <w:lang w:val="pt-BR"/>
        </w:rPr>
        <w:t xml:space="preserve"> e </w:t>
      </w:r>
      <w:r w:rsidR="00D47B1B" w:rsidRPr="00D5464D">
        <w:rPr>
          <w:rFonts w:cs="Times New Roman"/>
          <w:szCs w:val="20"/>
          <w:lang w:val="pt-BR"/>
        </w:rPr>
        <w:t>José Francisco Furtado de Sousa</w:t>
      </w:r>
      <w:r w:rsidR="00D47B1B" w:rsidRPr="00D5464D">
        <w:rPr>
          <w:lang w:val="pt-BR"/>
        </w:rPr>
        <w:t xml:space="preserve"> </w:t>
      </w:r>
      <w:r w:rsidR="00207197" w:rsidRPr="00D5464D">
        <w:rPr>
          <w:lang w:val="pt-BR"/>
        </w:rPr>
        <w:t xml:space="preserve">que </w:t>
      </w:r>
      <w:r w:rsidR="00A1358C" w:rsidRPr="00D5464D">
        <w:rPr>
          <w:lang w:val="pt-BR"/>
        </w:rPr>
        <w:t>deram</w:t>
      </w:r>
      <w:r w:rsidR="00207197" w:rsidRPr="00D5464D">
        <w:rPr>
          <w:lang w:val="pt-BR"/>
        </w:rPr>
        <w:t xml:space="preserve"> </w:t>
      </w:r>
      <w:r w:rsidR="002C330E" w:rsidRPr="00D5464D">
        <w:rPr>
          <w:lang w:val="pt-BR"/>
        </w:rPr>
        <w:t>origem</w:t>
      </w:r>
      <w:r w:rsidR="00470ADC" w:rsidRPr="00D5464D">
        <w:rPr>
          <w:lang w:val="pt-BR"/>
        </w:rPr>
        <w:t xml:space="preserve"> à </w:t>
      </w:r>
      <w:r w:rsidR="00207197" w:rsidRPr="00D5464D">
        <w:rPr>
          <w:lang w:val="pt-BR"/>
        </w:rPr>
        <w:t xml:space="preserve">referida </w:t>
      </w:r>
      <w:r w:rsidR="00AB4663" w:rsidRPr="00D5464D">
        <w:rPr>
          <w:lang w:val="pt-BR"/>
        </w:rPr>
        <w:t>fiscalização</w:t>
      </w:r>
      <w:r w:rsidR="00E045D9" w:rsidRPr="00D5464D">
        <w:rPr>
          <w:lang w:val="pt-BR"/>
        </w:rPr>
        <w:t xml:space="preserve"> e </w:t>
      </w:r>
      <w:r w:rsidR="002C330E" w:rsidRPr="00D5464D">
        <w:rPr>
          <w:lang w:val="pt-BR"/>
        </w:rPr>
        <w:t xml:space="preserve">os </w:t>
      </w:r>
      <w:r w:rsidR="00E045D9" w:rsidRPr="00D5464D">
        <w:rPr>
          <w:lang w:val="pt-BR"/>
        </w:rPr>
        <w:t>testemunho</w:t>
      </w:r>
      <w:r w:rsidR="00207197" w:rsidRPr="00D5464D">
        <w:rPr>
          <w:lang w:val="pt-BR"/>
        </w:rPr>
        <w:t xml:space="preserve">s de </w:t>
      </w:r>
      <w:r w:rsidR="00446C55" w:rsidRPr="00D5464D">
        <w:rPr>
          <w:szCs w:val="20"/>
          <w:lang w:val="pt-BR"/>
        </w:rPr>
        <w:t xml:space="preserve">Marcos </w:t>
      </w:r>
      <w:r w:rsidR="00E42F61" w:rsidRPr="00D5464D">
        <w:rPr>
          <w:szCs w:val="20"/>
          <w:lang w:val="pt-BR"/>
        </w:rPr>
        <w:t xml:space="preserve">Antônio </w:t>
      </w:r>
      <w:r w:rsidR="00446C55" w:rsidRPr="00D5464D">
        <w:rPr>
          <w:szCs w:val="20"/>
          <w:lang w:val="pt-BR"/>
        </w:rPr>
        <w:t>Lima, Francisco Fabiano Leandro, Rogerio Felix Silva</w:t>
      </w:r>
      <w:r w:rsidR="002A0C2B" w:rsidRPr="00D5464D">
        <w:rPr>
          <w:szCs w:val="20"/>
          <w:lang w:val="pt-BR"/>
        </w:rPr>
        <w:t xml:space="preserve"> e </w:t>
      </w:r>
      <w:r w:rsidR="00446C55" w:rsidRPr="00D5464D">
        <w:rPr>
          <w:szCs w:val="20"/>
          <w:lang w:val="pt-BR"/>
        </w:rPr>
        <w:t xml:space="preserve">Francisco das </w:t>
      </w:r>
      <w:r w:rsidR="00D54143" w:rsidRPr="00D5464D">
        <w:rPr>
          <w:szCs w:val="20"/>
          <w:lang w:val="pt-BR"/>
        </w:rPr>
        <w:t xml:space="preserve">Chagas </w:t>
      </w:r>
      <w:r w:rsidR="00446C55" w:rsidRPr="00D5464D">
        <w:rPr>
          <w:szCs w:val="20"/>
          <w:lang w:val="pt-BR"/>
        </w:rPr>
        <w:t xml:space="preserve">Bastos Sousa, </w:t>
      </w:r>
      <w:r w:rsidR="00207197" w:rsidRPr="00D5464D">
        <w:rPr>
          <w:lang w:val="pt-BR"/>
        </w:rPr>
        <w:t>durante</w:t>
      </w:r>
      <w:r w:rsidR="002C330E" w:rsidRPr="00D5464D">
        <w:rPr>
          <w:lang w:val="pt-BR"/>
        </w:rPr>
        <w:t xml:space="preserve"> a </w:t>
      </w:r>
      <w:r w:rsidR="00470ADC" w:rsidRPr="00D5464D">
        <w:rPr>
          <w:lang w:val="pt-BR"/>
        </w:rPr>
        <w:t>diligência</w:t>
      </w:r>
      <w:r w:rsidR="00207197" w:rsidRPr="00D5464D">
        <w:rPr>
          <w:lang w:val="pt-BR"/>
        </w:rPr>
        <w:t xml:space="preserve"> </w:t>
      </w:r>
      <w:r w:rsidR="00207197" w:rsidRPr="00D5464D">
        <w:rPr>
          <w:i/>
          <w:lang w:val="pt-BR"/>
        </w:rPr>
        <w:t>in situ</w:t>
      </w:r>
      <w:r w:rsidR="00207197" w:rsidRPr="00D5464D">
        <w:rPr>
          <w:lang w:val="pt-BR"/>
        </w:rPr>
        <w:t xml:space="preserve"> </w:t>
      </w:r>
      <w:r w:rsidR="00470ADC" w:rsidRPr="00D5464D">
        <w:rPr>
          <w:lang w:val="pt-BR"/>
        </w:rPr>
        <w:t xml:space="preserve">do </w:t>
      </w:r>
      <w:r w:rsidR="00207197" w:rsidRPr="00D5464D">
        <w:rPr>
          <w:lang w:val="pt-BR"/>
        </w:rPr>
        <w:t>presente caso,</w:t>
      </w:r>
      <w:r w:rsidR="002C330E" w:rsidRPr="00D5464D">
        <w:rPr>
          <w:lang w:val="pt-BR"/>
        </w:rPr>
        <w:t xml:space="preserve"> a </w:t>
      </w:r>
      <w:r w:rsidR="00207197" w:rsidRPr="00D5464D">
        <w:rPr>
          <w:lang w:val="pt-BR"/>
        </w:rPr>
        <w:t xml:space="preserve">Corte considera </w:t>
      </w:r>
      <w:r w:rsidR="002C330E" w:rsidRPr="00D5464D">
        <w:rPr>
          <w:lang w:val="pt-BR"/>
        </w:rPr>
        <w:t>provad</w:t>
      </w:r>
      <w:r w:rsidR="00207197" w:rsidRPr="00D5464D">
        <w:rPr>
          <w:lang w:val="pt-BR"/>
        </w:rPr>
        <w:t>o que</w:t>
      </w:r>
      <w:r w:rsidR="002C330E" w:rsidRPr="00D5464D">
        <w:rPr>
          <w:lang w:val="pt-BR"/>
        </w:rPr>
        <w:t xml:space="preserve"> os </w:t>
      </w:r>
      <w:r w:rsidR="00E045D9" w:rsidRPr="00D5464D">
        <w:rPr>
          <w:lang w:val="pt-BR"/>
        </w:rPr>
        <w:t>trabalhadores</w:t>
      </w:r>
      <w:r w:rsidR="00207197" w:rsidRPr="00D5464D">
        <w:rPr>
          <w:lang w:val="pt-BR"/>
        </w:rPr>
        <w:t xml:space="preserve"> </w:t>
      </w:r>
      <w:r w:rsidR="0090341D" w:rsidRPr="00D5464D">
        <w:rPr>
          <w:lang w:val="pt-BR"/>
        </w:rPr>
        <w:t>resgatado</w:t>
      </w:r>
      <w:r w:rsidR="00207197" w:rsidRPr="00D5464D">
        <w:rPr>
          <w:lang w:val="pt-BR"/>
        </w:rPr>
        <w:t>s</w:t>
      </w:r>
      <w:r w:rsidR="00470ADC" w:rsidRPr="00D5464D">
        <w:rPr>
          <w:lang w:val="pt-BR"/>
        </w:rPr>
        <w:t xml:space="preserve"> em </w:t>
      </w:r>
      <w:r w:rsidR="002C330E" w:rsidRPr="00D5464D">
        <w:rPr>
          <w:lang w:val="pt-BR"/>
        </w:rPr>
        <w:t>março</w:t>
      </w:r>
      <w:r w:rsidR="00207197" w:rsidRPr="00D5464D">
        <w:rPr>
          <w:lang w:val="pt-BR"/>
        </w:rPr>
        <w:t xml:space="preserve"> de 2000</w:t>
      </w:r>
      <w:r w:rsidR="00737270" w:rsidRPr="00D5464D">
        <w:rPr>
          <w:lang w:val="pt-BR"/>
        </w:rPr>
        <w:t xml:space="preserve"> haviam </w:t>
      </w:r>
      <w:r w:rsidR="00F9204B" w:rsidRPr="00D5464D">
        <w:rPr>
          <w:lang w:val="pt-BR"/>
        </w:rPr>
        <w:t xml:space="preserve">sido </w:t>
      </w:r>
      <w:r w:rsidR="00E045D9" w:rsidRPr="00D5464D">
        <w:rPr>
          <w:lang w:val="pt-BR"/>
        </w:rPr>
        <w:t>também</w:t>
      </w:r>
      <w:r w:rsidR="00207197" w:rsidRPr="00D5464D">
        <w:rPr>
          <w:lang w:val="pt-BR"/>
        </w:rPr>
        <w:t xml:space="preserve"> </w:t>
      </w:r>
      <w:r w:rsidR="00E045D9" w:rsidRPr="00D5464D">
        <w:rPr>
          <w:lang w:val="pt-BR"/>
        </w:rPr>
        <w:t>vítima</w:t>
      </w:r>
      <w:r w:rsidR="00207197" w:rsidRPr="00D5464D">
        <w:rPr>
          <w:lang w:val="pt-BR"/>
        </w:rPr>
        <w:t>s de</w:t>
      </w:r>
      <w:r w:rsidR="004F1CC2" w:rsidRPr="00D5464D">
        <w:rPr>
          <w:lang w:val="pt-BR"/>
        </w:rPr>
        <w:t xml:space="preserve"> tráfico de pessoas</w:t>
      </w:r>
      <w:r w:rsidR="00207197" w:rsidRPr="00D5464D">
        <w:rPr>
          <w:lang w:val="pt-BR"/>
        </w:rPr>
        <w:t xml:space="preserve">. </w:t>
      </w:r>
    </w:p>
    <w:p w14:paraId="19C8835E" w14:textId="77777777" w:rsidR="00103A50" w:rsidRPr="00D5464D" w:rsidRDefault="00103A50" w:rsidP="00103A50">
      <w:pPr>
        <w:pStyle w:val="Prrafodelista"/>
        <w:rPr>
          <w:lang w:val="pt-BR"/>
        </w:rPr>
      </w:pPr>
    </w:p>
    <w:p w14:paraId="3C6461E6" w14:textId="28AB9028" w:rsidR="00FF291B" w:rsidRPr="00D5464D" w:rsidRDefault="00470ADC" w:rsidP="00877676">
      <w:pPr>
        <w:pStyle w:val="Prrafodelista"/>
        <w:numPr>
          <w:ilvl w:val="0"/>
          <w:numId w:val="1"/>
        </w:numPr>
        <w:contextualSpacing w:val="0"/>
        <w:rPr>
          <w:lang w:val="pt-BR"/>
        </w:rPr>
      </w:pPr>
      <w:r w:rsidRPr="00D5464D">
        <w:rPr>
          <w:lang w:val="pt-BR"/>
        </w:rPr>
        <w:t xml:space="preserve">No </w:t>
      </w:r>
      <w:r w:rsidR="00FF291B" w:rsidRPr="00D5464D">
        <w:rPr>
          <w:lang w:val="pt-BR"/>
        </w:rPr>
        <w:t>presente caso,</w:t>
      </w:r>
      <w:r w:rsidR="002C330E" w:rsidRPr="00D5464D">
        <w:rPr>
          <w:lang w:val="pt-BR"/>
        </w:rPr>
        <w:t xml:space="preserve"> os </w:t>
      </w:r>
      <w:r w:rsidR="00EB1CE9" w:rsidRPr="00D5464D">
        <w:rPr>
          <w:lang w:val="pt-BR"/>
        </w:rPr>
        <w:t>representante</w:t>
      </w:r>
      <w:r w:rsidR="00FF291B" w:rsidRPr="00D5464D">
        <w:rPr>
          <w:lang w:val="pt-BR"/>
        </w:rPr>
        <w:t xml:space="preserve">s </w:t>
      </w:r>
      <w:r w:rsidRPr="00D5464D">
        <w:rPr>
          <w:lang w:val="pt-BR"/>
        </w:rPr>
        <w:t>alegaram</w:t>
      </w:r>
      <w:r w:rsidR="00FF291B" w:rsidRPr="00D5464D">
        <w:rPr>
          <w:lang w:val="pt-BR"/>
        </w:rPr>
        <w:t xml:space="preserve"> que</w:t>
      </w:r>
      <w:r w:rsidR="002C330E" w:rsidRPr="00D5464D">
        <w:rPr>
          <w:lang w:val="pt-BR"/>
        </w:rPr>
        <w:t xml:space="preserve"> a </w:t>
      </w:r>
      <w:r w:rsidR="00FF291B" w:rsidRPr="00D5464D">
        <w:rPr>
          <w:lang w:val="pt-BR"/>
        </w:rPr>
        <w:t>situa</w:t>
      </w:r>
      <w:r w:rsidRPr="00D5464D">
        <w:rPr>
          <w:lang w:val="pt-BR"/>
        </w:rPr>
        <w:t>ção</w:t>
      </w:r>
      <w:r w:rsidR="00FF291B" w:rsidRPr="00D5464D">
        <w:rPr>
          <w:lang w:val="pt-BR"/>
        </w:rPr>
        <w:t xml:space="preserve"> </w:t>
      </w:r>
      <w:r w:rsidR="00230C71" w:rsidRPr="00D5464D">
        <w:rPr>
          <w:lang w:val="pt-BR"/>
        </w:rPr>
        <w:t>fática</w:t>
      </w:r>
      <w:r w:rsidR="00E045D9" w:rsidRPr="00D5464D">
        <w:rPr>
          <w:lang w:val="pt-BR"/>
        </w:rPr>
        <w:t xml:space="preserve"> e </w:t>
      </w:r>
      <w:r w:rsidR="002C330E" w:rsidRPr="00D5464D">
        <w:rPr>
          <w:lang w:val="pt-BR"/>
        </w:rPr>
        <w:t xml:space="preserve">as </w:t>
      </w:r>
      <w:r w:rsidRPr="00D5464D">
        <w:rPr>
          <w:lang w:val="pt-BR"/>
        </w:rPr>
        <w:t>circunstâncias</w:t>
      </w:r>
      <w:r w:rsidR="00FF291B" w:rsidRPr="00D5464D">
        <w:rPr>
          <w:lang w:val="pt-BR"/>
        </w:rPr>
        <w:t xml:space="preserve"> presentes</w:t>
      </w:r>
      <w:r w:rsidR="00E045D9" w:rsidRPr="00D5464D">
        <w:rPr>
          <w:lang w:val="pt-BR"/>
        </w:rPr>
        <w:t xml:space="preserve"> na </w:t>
      </w:r>
      <w:r w:rsidR="00D809F0" w:rsidRPr="00D5464D">
        <w:rPr>
          <w:lang w:val="pt-BR"/>
        </w:rPr>
        <w:t>Fazenda</w:t>
      </w:r>
      <w:r w:rsidR="00FF291B" w:rsidRPr="00D5464D">
        <w:rPr>
          <w:lang w:val="pt-BR"/>
        </w:rPr>
        <w:t xml:space="preserve"> Brasil Verde</w:t>
      </w:r>
      <w:r w:rsidRPr="00D5464D">
        <w:rPr>
          <w:lang w:val="pt-BR"/>
        </w:rPr>
        <w:t xml:space="preserve"> em </w:t>
      </w:r>
      <w:r w:rsidR="002C330E" w:rsidRPr="00D5464D">
        <w:rPr>
          <w:lang w:val="pt-BR"/>
        </w:rPr>
        <w:t>março</w:t>
      </w:r>
      <w:r w:rsidR="00FF291B" w:rsidRPr="00D5464D">
        <w:rPr>
          <w:lang w:val="pt-BR"/>
        </w:rPr>
        <w:t xml:space="preserve"> de 2000 </w:t>
      </w:r>
      <w:r w:rsidR="00E045D9" w:rsidRPr="00D5464D">
        <w:rPr>
          <w:lang w:val="pt-BR"/>
        </w:rPr>
        <w:t>também</w:t>
      </w:r>
      <w:r w:rsidR="00FF291B" w:rsidRPr="00D5464D">
        <w:rPr>
          <w:lang w:val="pt-BR"/>
        </w:rPr>
        <w:t xml:space="preserve"> represent</w:t>
      </w:r>
      <w:r w:rsidR="00E765C2" w:rsidRPr="00D5464D">
        <w:rPr>
          <w:lang w:val="pt-BR"/>
        </w:rPr>
        <w:t>aria</w:t>
      </w:r>
      <w:r w:rsidR="00055F6E" w:rsidRPr="00D5464D">
        <w:rPr>
          <w:lang w:val="pt-BR"/>
        </w:rPr>
        <w:t>m</w:t>
      </w:r>
      <w:r w:rsidR="00E765C2" w:rsidRPr="00D5464D">
        <w:rPr>
          <w:lang w:val="pt-BR"/>
        </w:rPr>
        <w:t xml:space="preserve"> </w:t>
      </w:r>
      <w:r w:rsidR="00055F6E" w:rsidRPr="00D5464D">
        <w:rPr>
          <w:lang w:val="pt-BR"/>
        </w:rPr>
        <w:t xml:space="preserve">violações </w:t>
      </w:r>
      <w:r w:rsidR="00E045D9" w:rsidRPr="00D5464D">
        <w:rPr>
          <w:lang w:val="pt-BR"/>
        </w:rPr>
        <w:t xml:space="preserve">aos </w:t>
      </w:r>
      <w:r w:rsidRPr="00D5464D">
        <w:rPr>
          <w:lang w:val="pt-BR"/>
        </w:rPr>
        <w:t>direito</w:t>
      </w:r>
      <w:r w:rsidR="00FF291B" w:rsidRPr="00D5464D">
        <w:rPr>
          <w:lang w:val="pt-BR"/>
        </w:rPr>
        <w:t>s</w:t>
      </w:r>
      <w:r w:rsidRPr="00D5464D">
        <w:rPr>
          <w:lang w:val="pt-BR"/>
        </w:rPr>
        <w:t xml:space="preserve"> à </w:t>
      </w:r>
      <w:r w:rsidR="002C330E" w:rsidRPr="00D5464D">
        <w:rPr>
          <w:lang w:val="pt-BR"/>
        </w:rPr>
        <w:t xml:space="preserve">personalidade </w:t>
      </w:r>
      <w:r w:rsidR="00FF291B" w:rsidRPr="00D5464D">
        <w:rPr>
          <w:lang w:val="pt-BR"/>
        </w:rPr>
        <w:t xml:space="preserve">jurídica, </w:t>
      </w:r>
      <w:r w:rsidR="00055F6E" w:rsidRPr="00D5464D">
        <w:rPr>
          <w:lang w:val="pt-BR"/>
        </w:rPr>
        <w:t xml:space="preserve">à </w:t>
      </w:r>
      <w:r w:rsidR="002C330E" w:rsidRPr="00D5464D">
        <w:rPr>
          <w:lang w:val="pt-BR"/>
        </w:rPr>
        <w:t>integridade pessoa</w:t>
      </w:r>
      <w:r w:rsidR="00FF291B" w:rsidRPr="00D5464D">
        <w:rPr>
          <w:lang w:val="pt-BR"/>
        </w:rPr>
        <w:t xml:space="preserve">l, </w:t>
      </w:r>
      <w:r w:rsidR="00055F6E" w:rsidRPr="00D5464D">
        <w:rPr>
          <w:lang w:val="pt-BR"/>
        </w:rPr>
        <w:t xml:space="preserve">à </w:t>
      </w:r>
      <w:r w:rsidR="002C330E" w:rsidRPr="00D5464D">
        <w:rPr>
          <w:lang w:val="pt-BR"/>
        </w:rPr>
        <w:t>liberdade pessoa</w:t>
      </w:r>
      <w:r w:rsidR="00FF291B" w:rsidRPr="00D5464D">
        <w:rPr>
          <w:lang w:val="pt-BR"/>
        </w:rPr>
        <w:t xml:space="preserve">l, </w:t>
      </w:r>
      <w:r w:rsidR="00055F6E" w:rsidRPr="00D5464D">
        <w:rPr>
          <w:lang w:val="pt-BR"/>
        </w:rPr>
        <w:t xml:space="preserve">à </w:t>
      </w:r>
      <w:r w:rsidR="00FF291B" w:rsidRPr="00D5464D">
        <w:rPr>
          <w:lang w:val="pt-BR"/>
        </w:rPr>
        <w:t>honra</w:t>
      </w:r>
      <w:r w:rsidR="00E045D9" w:rsidRPr="00D5464D">
        <w:rPr>
          <w:lang w:val="pt-BR"/>
        </w:rPr>
        <w:t xml:space="preserve"> e </w:t>
      </w:r>
      <w:r w:rsidRPr="00D5464D">
        <w:rPr>
          <w:lang w:val="pt-BR"/>
        </w:rPr>
        <w:t>dignidade</w:t>
      </w:r>
      <w:r w:rsidR="00E045D9" w:rsidRPr="00D5464D">
        <w:rPr>
          <w:lang w:val="pt-BR"/>
        </w:rPr>
        <w:t xml:space="preserve"> e </w:t>
      </w:r>
      <w:r w:rsidRPr="00D5464D">
        <w:rPr>
          <w:lang w:val="pt-BR"/>
        </w:rPr>
        <w:t>ao direito</w:t>
      </w:r>
      <w:r w:rsidR="00FF291B" w:rsidRPr="00D5464D">
        <w:rPr>
          <w:lang w:val="pt-BR"/>
        </w:rPr>
        <w:t xml:space="preserve"> de circula</w:t>
      </w:r>
      <w:r w:rsidRPr="00D5464D">
        <w:rPr>
          <w:lang w:val="pt-BR"/>
        </w:rPr>
        <w:t>ção</w:t>
      </w:r>
      <w:r w:rsidR="00E045D9" w:rsidRPr="00D5464D">
        <w:rPr>
          <w:lang w:val="pt-BR"/>
        </w:rPr>
        <w:t xml:space="preserve"> e </w:t>
      </w:r>
      <w:r w:rsidR="002C330E" w:rsidRPr="00D5464D">
        <w:rPr>
          <w:lang w:val="pt-BR"/>
        </w:rPr>
        <w:t>residência</w:t>
      </w:r>
      <w:r w:rsidR="00A1358C" w:rsidRPr="00D5464D">
        <w:rPr>
          <w:lang w:val="pt-BR"/>
        </w:rPr>
        <w:t xml:space="preserve">. A </w:t>
      </w:r>
      <w:r w:rsidR="00737270" w:rsidRPr="00D5464D">
        <w:rPr>
          <w:lang w:val="pt-BR"/>
        </w:rPr>
        <w:t>este respeito</w:t>
      </w:r>
      <w:r w:rsidR="00FF291B" w:rsidRPr="00D5464D">
        <w:rPr>
          <w:lang w:val="pt-BR"/>
        </w:rPr>
        <w:t>,</w:t>
      </w:r>
      <w:r w:rsidRPr="00D5464D">
        <w:rPr>
          <w:lang w:val="pt-BR"/>
        </w:rPr>
        <w:t xml:space="preserve"> o </w:t>
      </w:r>
      <w:r w:rsidR="00FF291B" w:rsidRPr="00D5464D">
        <w:rPr>
          <w:lang w:val="pt-BR"/>
        </w:rPr>
        <w:t xml:space="preserve">Tribunal </w:t>
      </w:r>
      <w:r w:rsidR="008B0A8B" w:rsidRPr="00D5464D">
        <w:rPr>
          <w:lang w:val="pt-BR"/>
        </w:rPr>
        <w:t>nota que</w:t>
      </w:r>
      <w:r w:rsidRPr="00D5464D">
        <w:rPr>
          <w:lang w:val="pt-BR"/>
        </w:rPr>
        <w:t xml:space="preserve"> </w:t>
      </w:r>
      <w:r w:rsidR="00EB1CE9" w:rsidRPr="00D5464D">
        <w:rPr>
          <w:lang w:val="pt-BR"/>
        </w:rPr>
        <w:t>estas alegações</w:t>
      </w:r>
      <w:r w:rsidR="00230C71" w:rsidRPr="00D5464D">
        <w:rPr>
          <w:lang w:val="pt-BR"/>
        </w:rPr>
        <w:t xml:space="preserve"> fazem </w:t>
      </w:r>
      <w:r w:rsidR="002C330E" w:rsidRPr="00D5464D">
        <w:rPr>
          <w:lang w:val="pt-BR"/>
        </w:rPr>
        <w:t>referência</w:t>
      </w:r>
      <w:r w:rsidR="00E045D9" w:rsidRPr="00D5464D">
        <w:rPr>
          <w:lang w:val="pt-BR"/>
        </w:rPr>
        <w:t xml:space="preserve"> aos </w:t>
      </w:r>
      <w:r w:rsidR="002C330E" w:rsidRPr="00D5464D">
        <w:rPr>
          <w:lang w:val="pt-BR"/>
        </w:rPr>
        <w:t>mesm</w:t>
      </w:r>
      <w:r w:rsidR="008B0A8B" w:rsidRPr="00D5464D">
        <w:rPr>
          <w:lang w:val="pt-BR"/>
        </w:rPr>
        <w:t xml:space="preserve">os </w:t>
      </w:r>
      <w:r w:rsidR="002C330E" w:rsidRPr="00D5464D">
        <w:rPr>
          <w:lang w:val="pt-BR"/>
        </w:rPr>
        <w:t>fatos</w:t>
      </w:r>
      <w:r w:rsidR="008B0A8B" w:rsidRPr="00D5464D">
        <w:rPr>
          <w:lang w:val="pt-BR"/>
        </w:rPr>
        <w:t xml:space="preserve"> que</w:t>
      </w:r>
      <w:r w:rsidR="00E045D9" w:rsidRPr="00D5464D">
        <w:rPr>
          <w:lang w:val="pt-BR"/>
        </w:rPr>
        <w:t xml:space="preserve"> já </w:t>
      </w:r>
      <w:r w:rsidR="002C330E" w:rsidRPr="00D5464D">
        <w:rPr>
          <w:lang w:val="pt-BR"/>
        </w:rPr>
        <w:t>foram</w:t>
      </w:r>
      <w:r w:rsidR="008B0A8B" w:rsidRPr="00D5464D">
        <w:rPr>
          <w:lang w:val="pt-BR"/>
        </w:rPr>
        <w:t xml:space="preserve"> </w:t>
      </w:r>
      <w:r w:rsidRPr="00D5464D">
        <w:rPr>
          <w:lang w:val="pt-BR"/>
        </w:rPr>
        <w:t>analisado</w:t>
      </w:r>
      <w:r w:rsidR="008B0A8B" w:rsidRPr="00D5464D">
        <w:rPr>
          <w:lang w:val="pt-BR"/>
        </w:rPr>
        <w:t>s</w:t>
      </w:r>
      <w:r w:rsidRPr="00D5464D">
        <w:rPr>
          <w:lang w:val="pt-BR"/>
        </w:rPr>
        <w:t xml:space="preserve"> à </w:t>
      </w:r>
      <w:r w:rsidR="008B0A8B" w:rsidRPr="00D5464D">
        <w:rPr>
          <w:lang w:val="pt-BR"/>
        </w:rPr>
        <w:t xml:space="preserve">luz </w:t>
      </w:r>
      <w:r w:rsidRPr="00D5464D">
        <w:rPr>
          <w:lang w:val="pt-BR"/>
        </w:rPr>
        <w:t>do artigo</w:t>
      </w:r>
      <w:r w:rsidR="008B0A8B" w:rsidRPr="00D5464D">
        <w:rPr>
          <w:lang w:val="pt-BR"/>
        </w:rPr>
        <w:t xml:space="preserve"> 6</w:t>
      </w:r>
      <w:r w:rsidRPr="00D5464D">
        <w:rPr>
          <w:lang w:val="pt-BR"/>
        </w:rPr>
        <w:t xml:space="preserve"> da </w:t>
      </w:r>
      <w:r w:rsidR="008B0A8B" w:rsidRPr="00D5464D">
        <w:rPr>
          <w:lang w:val="pt-BR"/>
        </w:rPr>
        <w:t>Conven</w:t>
      </w:r>
      <w:r w:rsidRPr="00D5464D">
        <w:rPr>
          <w:lang w:val="pt-BR"/>
        </w:rPr>
        <w:t>ção</w:t>
      </w:r>
      <w:r w:rsidR="00A1358C" w:rsidRPr="00D5464D">
        <w:rPr>
          <w:lang w:val="pt-BR"/>
        </w:rPr>
        <w:t xml:space="preserve">. A </w:t>
      </w:r>
      <w:r w:rsidR="00737270" w:rsidRPr="00D5464D">
        <w:rPr>
          <w:lang w:val="pt-BR"/>
        </w:rPr>
        <w:t>este respeito</w:t>
      </w:r>
      <w:r w:rsidR="00A3112D" w:rsidRPr="00D5464D">
        <w:rPr>
          <w:lang w:val="pt-BR"/>
        </w:rPr>
        <w:t>,</w:t>
      </w:r>
      <w:r w:rsidR="002C330E" w:rsidRPr="00D5464D">
        <w:rPr>
          <w:lang w:val="pt-BR"/>
        </w:rPr>
        <w:t xml:space="preserve"> a </w:t>
      </w:r>
      <w:r w:rsidR="00405792" w:rsidRPr="00D5464D">
        <w:rPr>
          <w:lang w:val="pt-BR"/>
        </w:rPr>
        <w:t>Corte considera que</w:t>
      </w:r>
      <w:r w:rsidR="00055F6E" w:rsidRPr="00D5464D">
        <w:rPr>
          <w:lang w:val="pt-BR"/>
        </w:rPr>
        <w:t>,</w:t>
      </w:r>
      <w:r w:rsidRPr="00D5464D">
        <w:rPr>
          <w:lang w:val="pt-BR"/>
        </w:rPr>
        <w:t xml:space="preserve"> em </w:t>
      </w:r>
      <w:r w:rsidR="00E045D9" w:rsidRPr="00D5464D">
        <w:rPr>
          <w:lang w:val="pt-BR"/>
        </w:rPr>
        <w:t xml:space="preserve">virtude </w:t>
      </w:r>
      <w:r w:rsidRPr="00D5464D">
        <w:rPr>
          <w:lang w:val="pt-BR"/>
        </w:rPr>
        <w:t>do caráter</w:t>
      </w:r>
      <w:r w:rsidR="008A0F6C" w:rsidRPr="00D5464D">
        <w:rPr>
          <w:lang w:val="pt-BR"/>
        </w:rPr>
        <w:t xml:space="preserve"> pluriofensivo</w:t>
      </w:r>
      <w:r w:rsidRPr="00D5464D">
        <w:rPr>
          <w:lang w:val="pt-BR"/>
        </w:rPr>
        <w:t xml:space="preserve"> da </w:t>
      </w:r>
      <w:r w:rsidR="000B376D" w:rsidRPr="00D5464D">
        <w:rPr>
          <w:lang w:val="pt-BR"/>
        </w:rPr>
        <w:t>escravidão</w:t>
      </w:r>
      <w:r w:rsidR="008A0F6C" w:rsidRPr="00D5464D">
        <w:rPr>
          <w:lang w:val="pt-BR"/>
        </w:rPr>
        <w:t>,</w:t>
      </w:r>
      <w:r w:rsidRPr="00D5464D">
        <w:rPr>
          <w:lang w:val="pt-BR"/>
        </w:rPr>
        <w:t xml:space="preserve"> ao </w:t>
      </w:r>
      <w:r w:rsidR="002C330E" w:rsidRPr="00D5464D">
        <w:rPr>
          <w:lang w:val="pt-BR"/>
        </w:rPr>
        <w:t>submeter</w:t>
      </w:r>
      <w:r w:rsidR="00E045D9" w:rsidRPr="00D5464D">
        <w:rPr>
          <w:lang w:val="pt-BR"/>
        </w:rPr>
        <w:t xml:space="preserve"> uma </w:t>
      </w:r>
      <w:r w:rsidR="002C330E" w:rsidRPr="00D5464D">
        <w:rPr>
          <w:lang w:val="pt-BR"/>
        </w:rPr>
        <w:t>pessoa</w:t>
      </w:r>
      <w:r w:rsidR="00405792" w:rsidRPr="00D5464D">
        <w:rPr>
          <w:lang w:val="pt-BR"/>
        </w:rPr>
        <w:t xml:space="preserve"> a </w:t>
      </w:r>
      <w:r w:rsidRPr="00D5464D">
        <w:rPr>
          <w:lang w:val="pt-BR"/>
        </w:rPr>
        <w:t>esta</w:t>
      </w:r>
      <w:r w:rsidR="008A0F6C" w:rsidRPr="00D5464D">
        <w:rPr>
          <w:lang w:val="pt-BR"/>
        </w:rPr>
        <w:t xml:space="preserve"> condi</w:t>
      </w:r>
      <w:r w:rsidRPr="00D5464D">
        <w:rPr>
          <w:lang w:val="pt-BR"/>
        </w:rPr>
        <w:t>ção</w:t>
      </w:r>
      <w:r w:rsidR="00405792" w:rsidRPr="00D5464D">
        <w:rPr>
          <w:lang w:val="pt-BR"/>
        </w:rPr>
        <w:t xml:space="preserve">, </w:t>
      </w:r>
      <w:r w:rsidR="00055F6E" w:rsidRPr="00D5464D">
        <w:rPr>
          <w:lang w:val="pt-BR"/>
        </w:rPr>
        <w:t xml:space="preserve">são violados </w:t>
      </w:r>
      <w:r w:rsidR="00E045D9" w:rsidRPr="00D5464D">
        <w:rPr>
          <w:lang w:val="pt-BR"/>
        </w:rPr>
        <w:t>vários</w:t>
      </w:r>
      <w:r w:rsidR="00405792" w:rsidRPr="00D5464D">
        <w:rPr>
          <w:lang w:val="pt-BR"/>
        </w:rPr>
        <w:t xml:space="preserve"> </w:t>
      </w:r>
      <w:r w:rsidRPr="00D5464D">
        <w:rPr>
          <w:lang w:val="pt-BR"/>
        </w:rPr>
        <w:t>direito</w:t>
      </w:r>
      <w:r w:rsidR="00405792" w:rsidRPr="00D5464D">
        <w:rPr>
          <w:lang w:val="pt-BR"/>
        </w:rPr>
        <w:t>s individualmente</w:t>
      </w:r>
      <w:r w:rsidR="00A3112D" w:rsidRPr="00D5464D">
        <w:rPr>
          <w:lang w:val="pt-BR"/>
        </w:rPr>
        <w:t xml:space="preserve">, </w:t>
      </w:r>
      <w:r w:rsidRPr="00D5464D">
        <w:rPr>
          <w:lang w:val="pt-BR"/>
        </w:rPr>
        <w:t xml:space="preserve">alguns em </w:t>
      </w:r>
      <w:r w:rsidR="002C330E" w:rsidRPr="00D5464D">
        <w:rPr>
          <w:lang w:val="pt-BR"/>
        </w:rPr>
        <w:t xml:space="preserve">maior </w:t>
      </w:r>
      <w:r w:rsidR="00A3112D" w:rsidRPr="00D5464D">
        <w:rPr>
          <w:lang w:val="pt-BR"/>
        </w:rPr>
        <w:t>o</w:t>
      </w:r>
      <w:r w:rsidR="00055F6E" w:rsidRPr="00D5464D">
        <w:rPr>
          <w:lang w:val="pt-BR"/>
        </w:rPr>
        <w:t>u</w:t>
      </w:r>
      <w:r w:rsidR="00A3112D" w:rsidRPr="00D5464D">
        <w:rPr>
          <w:lang w:val="pt-BR"/>
        </w:rPr>
        <w:t xml:space="preserve"> menor </w:t>
      </w:r>
      <w:r w:rsidR="00E045D9" w:rsidRPr="00D5464D">
        <w:rPr>
          <w:lang w:val="pt-BR"/>
        </w:rPr>
        <w:t>intens</w:t>
      </w:r>
      <w:r w:rsidR="00EB1CE9" w:rsidRPr="00D5464D">
        <w:rPr>
          <w:lang w:val="pt-BR"/>
        </w:rPr>
        <w:t>idade</w:t>
      </w:r>
      <w:r w:rsidR="00055F6E" w:rsidRPr="00D5464D">
        <w:rPr>
          <w:lang w:val="pt-BR"/>
        </w:rPr>
        <w:t>,</w:t>
      </w:r>
      <w:r w:rsidR="002C330E" w:rsidRPr="00D5464D">
        <w:rPr>
          <w:lang w:val="pt-BR"/>
        </w:rPr>
        <w:t xml:space="preserve"> </w:t>
      </w:r>
      <w:r w:rsidR="00737270" w:rsidRPr="00D5464D">
        <w:rPr>
          <w:lang w:val="pt-BR"/>
        </w:rPr>
        <w:t>dependendo</w:t>
      </w:r>
      <w:r w:rsidRPr="00D5464D">
        <w:rPr>
          <w:lang w:val="pt-BR"/>
        </w:rPr>
        <w:t xml:space="preserve"> das circunstâncias</w:t>
      </w:r>
      <w:r w:rsidR="00A3112D" w:rsidRPr="00D5464D">
        <w:rPr>
          <w:lang w:val="pt-BR"/>
        </w:rPr>
        <w:t xml:space="preserve"> </w:t>
      </w:r>
      <w:r w:rsidR="00230C71" w:rsidRPr="00D5464D">
        <w:rPr>
          <w:lang w:val="pt-BR"/>
        </w:rPr>
        <w:t>fática</w:t>
      </w:r>
      <w:r w:rsidR="00F21A87" w:rsidRPr="00D5464D">
        <w:rPr>
          <w:lang w:val="pt-BR"/>
        </w:rPr>
        <w:t>s específicas de cad</w:t>
      </w:r>
      <w:r w:rsidR="00A3112D" w:rsidRPr="00D5464D">
        <w:rPr>
          <w:lang w:val="pt-BR"/>
        </w:rPr>
        <w:t>a caso</w:t>
      </w:r>
      <w:r w:rsidR="00C91CB1" w:rsidRPr="00D5464D">
        <w:rPr>
          <w:lang w:val="pt-BR"/>
        </w:rPr>
        <w:t xml:space="preserve">. Sem </w:t>
      </w:r>
      <w:r w:rsidR="002C330E" w:rsidRPr="00D5464D">
        <w:rPr>
          <w:lang w:val="pt-BR"/>
        </w:rPr>
        <w:t>prejuízo</w:t>
      </w:r>
      <w:r w:rsidRPr="00D5464D">
        <w:rPr>
          <w:lang w:val="pt-BR"/>
        </w:rPr>
        <w:t xml:space="preserve"> do </w:t>
      </w:r>
      <w:r w:rsidR="00A3112D" w:rsidRPr="00D5464D">
        <w:rPr>
          <w:lang w:val="pt-BR"/>
        </w:rPr>
        <w:t>anterior,</w:t>
      </w:r>
      <w:r w:rsidRPr="00D5464D">
        <w:rPr>
          <w:lang w:val="pt-BR"/>
        </w:rPr>
        <w:t xml:space="preserve"> em </w:t>
      </w:r>
      <w:r w:rsidR="00E045D9" w:rsidRPr="00D5464D">
        <w:rPr>
          <w:lang w:val="pt-BR"/>
        </w:rPr>
        <w:t xml:space="preserve">virtude </w:t>
      </w:r>
      <w:r w:rsidRPr="00D5464D">
        <w:rPr>
          <w:lang w:val="pt-BR"/>
        </w:rPr>
        <w:t xml:space="preserve">da </w:t>
      </w:r>
      <w:r w:rsidR="00A3112D" w:rsidRPr="00D5464D">
        <w:rPr>
          <w:lang w:val="pt-BR"/>
        </w:rPr>
        <w:t>defini</w:t>
      </w:r>
      <w:r w:rsidRPr="00D5464D">
        <w:rPr>
          <w:lang w:val="pt-BR"/>
        </w:rPr>
        <w:t>ção</w:t>
      </w:r>
      <w:r w:rsidR="00405792" w:rsidRPr="00D5464D">
        <w:rPr>
          <w:lang w:val="pt-BR"/>
        </w:rPr>
        <w:t xml:space="preserve"> </w:t>
      </w:r>
      <w:r w:rsidR="00A3112D" w:rsidRPr="00D5464D">
        <w:rPr>
          <w:lang w:val="pt-BR"/>
        </w:rPr>
        <w:t>específica</w:t>
      </w:r>
      <w:r w:rsidR="00E045D9" w:rsidRPr="00D5464D">
        <w:rPr>
          <w:lang w:val="pt-BR"/>
        </w:rPr>
        <w:t xml:space="preserve"> e complex</w:t>
      </w:r>
      <w:r w:rsidR="00A3112D" w:rsidRPr="00D5464D">
        <w:rPr>
          <w:lang w:val="pt-BR"/>
        </w:rPr>
        <w:t xml:space="preserve">a </w:t>
      </w:r>
      <w:r w:rsidRPr="00D5464D">
        <w:rPr>
          <w:lang w:val="pt-BR"/>
        </w:rPr>
        <w:t>do conceito</w:t>
      </w:r>
      <w:r w:rsidR="00A3112D" w:rsidRPr="00D5464D">
        <w:rPr>
          <w:lang w:val="pt-BR"/>
        </w:rPr>
        <w:t xml:space="preserve"> de </w:t>
      </w:r>
      <w:r w:rsidR="000B376D" w:rsidRPr="00D5464D">
        <w:rPr>
          <w:lang w:val="pt-BR"/>
        </w:rPr>
        <w:t>escravidão</w:t>
      </w:r>
      <w:r w:rsidR="00405792" w:rsidRPr="00D5464D">
        <w:rPr>
          <w:lang w:val="pt-BR"/>
        </w:rPr>
        <w:t xml:space="preserve">, </w:t>
      </w:r>
      <w:r w:rsidRPr="00D5464D">
        <w:rPr>
          <w:lang w:val="pt-BR"/>
        </w:rPr>
        <w:t>quando</w:t>
      </w:r>
      <w:r w:rsidR="0081303A" w:rsidRPr="00D5464D">
        <w:rPr>
          <w:lang w:val="pt-BR"/>
        </w:rPr>
        <w:t xml:space="preserve"> se trata</w:t>
      </w:r>
      <w:r w:rsidRPr="00D5464D">
        <w:rPr>
          <w:lang w:val="pt-BR"/>
        </w:rPr>
        <w:t xml:space="preserve"> da </w:t>
      </w:r>
      <w:r w:rsidR="0081303A" w:rsidRPr="00D5464D">
        <w:rPr>
          <w:lang w:val="pt-BR"/>
        </w:rPr>
        <w:t>verifica</w:t>
      </w:r>
      <w:r w:rsidRPr="00D5464D">
        <w:rPr>
          <w:lang w:val="pt-BR"/>
        </w:rPr>
        <w:t>ção</w:t>
      </w:r>
      <w:r w:rsidR="0081303A" w:rsidRPr="00D5464D">
        <w:rPr>
          <w:lang w:val="pt-BR"/>
        </w:rPr>
        <w:t xml:space="preserve"> de</w:t>
      </w:r>
      <w:r w:rsidR="00E045D9" w:rsidRPr="00D5464D">
        <w:rPr>
          <w:lang w:val="pt-BR"/>
        </w:rPr>
        <w:t xml:space="preserve"> uma </w:t>
      </w:r>
      <w:r w:rsidR="0081303A" w:rsidRPr="00D5464D">
        <w:rPr>
          <w:lang w:val="pt-BR"/>
        </w:rPr>
        <w:t>situa</w:t>
      </w:r>
      <w:r w:rsidRPr="00D5464D">
        <w:rPr>
          <w:lang w:val="pt-BR"/>
        </w:rPr>
        <w:t>ção</w:t>
      </w:r>
      <w:r w:rsidR="0081303A" w:rsidRPr="00D5464D">
        <w:rPr>
          <w:lang w:val="pt-BR"/>
        </w:rPr>
        <w:t xml:space="preserve"> de </w:t>
      </w:r>
      <w:r w:rsidR="000B376D" w:rsidRPr="00D5464D">
        <w:rPr>
          <w:lang w:val="pt-BR"/>
        </w:rPr>
        <w:t>escravidão</w:t>
      </w:r>
      <w:r w:rsidR="0081303A" w:rsidRPr="00D5464D">
        <w:rPr>
          <w:lang w:val="pt-BR"/>
        </w:rPr>
        <w:t xml:space="preserve">, </w:t>
      </w:r>
      <w:r w:rsidRPr="00D5464D">
        <w:rPr>
          <w:lang w:val="pt-BR"/>
        </w:rPr>
        <w:t>este</w:t>
      </w:r>
      <w:r w:rsidR="0081303A" w:rsidRPr="00D5464D">
        <w:rPr>
          <w:lang w:val="pt-BR"/>
        </w:rPr>
        <w:t xml:space="preserve">s </w:t>
      </w:r>
      <w:r w:rsidRPr="00D5464D">
        <w:rPr>
          <w:lang w:val="pt-BR"/>
        </w:rPr>
        <w:t>direito</w:t>
      </w:r>
      <w:r w:rsidR="0081303A" w:rsidRPr="00D5464D">
        <w:rPr>
          <w:lang w:val="pt-BR"/>
        </w:rPr>
        <w:t xml:space="preserve">s </w:t>
      </w:r>
      <w:r w:rsidR="00055F6E" w:rsidRPr="00D5464D">
        <w:rPr>
          <w:lang w:val="pt-BR"/>
        </w:rPr>
        <w:t xml:space="preserve">são subsumidos </w:t>
      </w:r>
      <w:r w:rsidR="00E045D9" w:rsidRPr="00D5464D">
        <w:rPr>
          <w:lang w:val="pt-BR"/>
        </w:rPr>
        <w:t xml:space="preserve">na </w:t>
      </w:r>
      <w:r w:rsidR="00405792" w:rsidRPr="00D5464D">
        <w:rPr>
          <w:lang w:val="pt-BR"/>
        </w:rPr>
        <w:t>Conven</w:t>
      </w:r>
      <w:r w:rsidRPr="00D5464D">
        <w:rPr>
          <w:lang w:val="pt-BR"/>
        </w:rPr>
        <w:t>ção sob o artigo</w:t>
      </w:r>
      <w:r w:rsidR="0081303A" w:rsidRPr="00D5464D">
        <w:rPr>
          <w:lang w:val="pt-BR"/>
        </w:rPr>
        <w:t xml:space="preserve"> 6</w:t>
      </w:r>
      <w:r w:rsidR="00A3112D" w:rsidRPr="00D5464D">
        <w:rPr>
          <w:lang w:val="pt-BR"/>
        </w:rPr>
        <w:t>.</w:t>
      </w:r>
      <w:r w:rsidRPr="00D5464D">
        <w:rPr>
          <w:lang w:val="pt-BR"/>
        </w:rPr>
        <w:t xml:space="preserve"> </w:t>
      </w:r>
      <w:r w:rsidR="002B000E" w:rsidRPr="00D5464D">
        <w:rPr>
          <w:lang w:val="pt-BR"/>
        </w:rPr>
        <w:t>N</w:t>
      </w:r>
      <w:r w:rsidR="00737270" w:rsidRPr="00D5464D">
        <w:rPr>
          <w:lang w:val="pt-BR"/>
        </w:rPr>
        <w:t>esse</w:t>
      </w:r>
      <w:r w:rsidRPr="00D5464D">
        <w:rPr>
          <w:lang w:val="pt-BR"/>
        </w:rPr>
        <w:t xml:space="preserve"> </w:t>
      </w:r>
      <w:r w:rsidR="00A3112D" w:rsidRPr="00D5464D">
        <w:rPr>
          <w:lang w:val="pt-BR"/>
        </w:rPr>
        <w:t>sentido,</w:t>
      </w:r>
      <w:r w:rsidR="002C330E" w:rsidRPr="00D5464D">
        <w:rPr>
          <w:lang w:val="pt-BR"/>
        </w:rPr>
        <w:t xml:space="preserve"> a </w:t>
      </w:r>
      <w:r w:rsidR="00732D99" w:rsidRPr="00D5464D">
        <w:rPr>
          <w:lang w:val="pt-BR"/>
        </w:rPr>
        <w:t>Corte considera que</w:t>
      </w:r>
      <w:r w:rsidR="00230C71" w:rsidRPr="00D5464D">
        <w:rPr>
          <w:lang w:val="pt-BR"/>
        </w:rPr>
        <w:t xml:space="preserve"> a análise</w:t>
      </w:r>
      <w:r w:rsidRPr="00D5464D">
        <w:rPr>
          <w:lang w:val="pt-BR"/>
        </w:rPr>
        <w:t xml:space="preserve"> da </w:t>
      </w:r>
      <w:r w:rsidR="00732D99" w:rsidRPr="00D5464D">
        <w:rPr>
          <w:lang w:val="pt-BR"/>
        </w:rPr>
        <w:t>viola</w:t>
      </w:r>
      <w:r w:rsidRPr="00D5464D">
        <w:rPr>
          <w:lang w:val="pt-BR"/>
        </w:rPr>
        <w:t>ção ao artigo</w:t>
      </w:r>
      <w:r w:rsidR="00732D99" w:rsidRPr="00D5464D">
        <w:rPr>
          <w:lang w:val="pt-BR"/>
        </w:rPr>
        <w:t xml:space="preserve"> 6</w:t>
      </w:r>
      <w:r w:rsidRPr="00D5464D">
        <w:rPr>
          <w:lang w:val="pt-BR"/>
        </w:rPr>
        <w:t xml:space="preserve"> da </w:t>
      </w:r>
      <w:r w:rsidR="00732D99" w:rsidRPr="00D5464D">
        <w:rPr>
          <w:lang w:val="pt-BR"/>
        </w:rPr>
        <w:t>Conven</w:t>
      </w:r>
      <w:r w:rsidRPr="00D5464D">
        <w:rPr>
          <w:lang w:val="pt-BR"/>
        </w:rPr>
        <w:t>ção</w:t>
      </w:r>
      <w:r w:rsidR="00E045D9" w:rsidRPr="00D5464D">
        <w:rPr>
          <w:lang w:val="pt-BR"/>
        </w:rPr>
        <w:t xml:space="preserve"> já </w:t>
      </w:r>
      <w:r w:rsidR="00230C71" w:rsidRPr="00D5464D">
        <w:rPr>
          <w:lang w:val="pt-BR"/>
        </w:rPr>
        <w:t>tomou</w:t>
      </w:r>
      <w:r w:rsidRPr="00D5464D">
        <w:rPr>
          <w:lang w:val="pt-BR"/>
        </w:rPr>
        <w:t xml:space="preserve"> em </w:t>
      </w:r>
      <w:r w:rsidR="00732D99" w:rsidRPr="00D5464D">
        <w:rPr>
          <w:lang w:val="pt-BR"/>
        </w:rPr>
        <w:t>considera</w:t>
      </w:r>
      <w:r w:rsidRPr="00D5464D">
        <w:rPr>
          <w:lang w:val="pt-BR"/>
        </w:rPr>
        <w:t>ção</w:t>
      </w:r>
      <w:r w:rsidR="002C330E" w:rsidRPr="00D5464D">
        <w:rPr>
          <w:lang w:val="pt-BR"/>
        </w:rPr>
        <w:t xml:space="preserve"> os </w:t>
      </w:r>
      <w:r w:rsidR="00732D99" w:rsidRPr="00D5464D">
        <w:rPr>
          <w:lang w:val="pt-BR"/>
        </w:rPr>
        <w:t>elementos alegados</w:t>
      </w:r>
      <w:r w:rsidR="002C330E" w:rsidRPr="00D5464D">
        <w:rPr>
          <w:lang w:val="pt-BR"/>
        </w:rPr>
        <w:t xml:space="preserve"> </w:t>
      </w:r>
      <w:r w:rsidR="00737270" w:rsidRPr="00D5464D">
        <w:rPr>
          <w:lang w:val="pt-BR"/>
        </w:rPr>
        <w:t xml:space="preserve">pelos </w:t>
      </w:r>
      <w:r w:rsidR="00EB1CE9" w:rsidRPr="00D5464D">
        <w:rPr>
          <w:lang w:val="pt-BR"/>
        </w:rPr>
        <w:t>representante</w:t>
      </w:r>
      <w:r w:rsidR="00737270" w:rsidRPr="00D5464D">
        <w:rPr>
          <w:lang w:val="pt-BR"/>
        </w:rPr>
        <w:t xml:space="preserve">s </w:t>
      </w:r>
      <w:r w:rsidR="00732D99" w:rsidRPr="00D5464D">
        <w:rPr>
          <w:lang w:val="pt-BR"/>
        </w:rPr>
        <w:t>com</w:t>
      </w:r>
      <w:r w:rsidR="00E9115E" w:rsidRPr="00D5464D">
        <w:rPr>
          <w:lang w:val="pt-BR"/>
        </w:rPr>
        <w:t xml:space="preserve">o </w:t>
      </w:r>
      <w:r w:rsidR="002B000E" w:rsidRPr="00D5464D">
        <w:rPr>
          <w:lang w:val="pt-BR"/>
        </w:rPr>
        <w:t xml:space="preserve">violações </w:t>
      </w:r>
      <w:r w:rsidR="00E9115E" w:rsidRPr="00D5464D">
        <w:rPr>
          <w:lang w:val="pt-BR"/>
        </w:rPr>
        <w:t xml:space="preserve">a </w:t>
      </w:r>
      <w:r w:rsidR="002C330E" w:rsidRPr="00D5464D">
        <w:rPr>
          <w:lang w:val="pt-BR"/>
        </w:rPr>
        <w:t>outros</w:t>
      </w:r>
      <w:r w:rsidR="00E9115E" w:rsidRPr="00D5464D">
        <w:rPr>
          <w:lang w:val="pt-BR"/>
        </w:rPr>
        <w:t xml:space="preserve"> </w:t>
      </w:r>
      <w:r w:rsidRPr="00D5464D">
        <w:rPr>
          <w:lang w:val="pt-BR"/>
        </w:rPr>
        <w:t>direito</w:t>
      </w:r>
      <w:r w:rsidR="00E9115E" w:rsidRPr="00D5464D">
        <w:rPr>
          <w:lang w:val="pt-BR"/>
        </w:rPr>
        <w:t>s</w:t>
      </w:r>
      <w:r w:rsidR="00310620" w:rsidRPr="00D5464D">
        <w:rPr>
          <w:lang w:val="pt-BR"/>
        </w:rPr>
        <w:t>,</w:t>
      </w:r>
      <w:r w:rsidR="002C330E" w:rsidRPr="00D5464D">
        <w:rPr>
          <w:lang w:val="pt-BR"/>
        </w:rPr>
        <w:t xml:space="preserve"> pois</w:t>
      </w:r>
      <w:r w:rsidR="00E045D9" w:rsidRPr="00D5464D">
        <w:rPr>
          <w:lang w:val="pt-BR"/>
        </w:rPr>
        <w:t xml:space="preserve"> n</w:t>
      </w:r>
      <w:r w:rsidR="00A1358C" w:rsidRPr="00D5464D">
        <w:rPr>
          <w:lang w:val="pt-BR"/>
        </w:rPr>
        <w:t>a análise</w:t>
      </w:r>
      <w:r w:rsidR="00E73720" w:rsidRPr="00D5464D">
        <w:rPr>
          <w:lang w:val="pt-BR"/>
        </w:rPr>
        <w:t xml:space="preserve"> </w:t>
      </w:r>
      <w:r w:rsidR="00E045D9" w:rsidRPr="00D5464D">
        <w:rPr>
          <w:lang w:val="pt-BR"/>
        </w:rPr>
        <w:t>fátic</w:t>
      </w:r>
      <w:r w:rsidR="002B000E" w:rsidRPr="00D5464D">
        <w:rPr>
          <w:lang w:val="pt-BR"/>
        </w:rPr>
        <w:t>a</w:t>
      </w:r>
      <w:r w:rsidR="00E73720" w:rsidRPr="00D5464D">
        <w:rPr>
          <w:lang w:val="pt-BR"/>
        </w:rPr>
        <w:t xml:space="preserve"> </w:t>
      </w:r>
      <w:r w:rsidRPr="00D5464D">
        <w:rPr>
          <w:lang w:val="pt-BR"/>
        </w:rPr>
        <w:t xml:space="preserve">do </w:t>
      </w:r>
      <w:r w:rsidR="00E73720" w:rsidRPr="00D5464D">
        <w:rPr>
          <w:lang w:val="pt-BR"/>
        </w:rPr>
        <w:t>caso</w:t>
      </w:r>
      <w:r w:rsidR="002C330E" w:rsidRPr="00D5464D">
        <w:rPr>
          <w:lang w:val="pt-BR"/>
        </w:rPr>
        <w:t xml:space="preserve"> a </w:t>
      </w:r>
      <w:r w:rsidR="00E73720" w:rsidRPr="00D5464D">
        <w:rPr>
          <w:lang w:val="pt-BR"/>
        </w:rPr>
        <w:t xml:space="preserve">Corte </w:t>
      </w:r>
      <w:r w:rsidR="00E045D9" w:rsidRPr="00D5464D">
        <w:rPr>
          <w:lang w:val="pt-BR"/>
        </w:rPr>
        <w:t>constatou</w:t>
      </w:r>
      <w:r w:rsidR="00E73720" w:rsidRPr="00D5464D">
        <w:rPr>
          <w:lang w:val="pt-BR"/>
        </w:rPr>
        <w:t xml:space="preserve"> que</w:t>
      </w:r>
      <w:r w:rsidR="002C330E" w:rsidRPr="00D5464D">
        <w:rPr>
          <w:lang w:val="pt-BR"/>
        </w:rPr>
        <w:t xml:space="preserve"> a </w:t>
      </w:r>
      <w:r w:rsidR="002B000E" w:rsidRPr="00D5464D">
        <w:rPr>
          <w:lang w:val="pt-BR"/>
        </w:rPr>
        <w:t xml:space="preserve">violação </w:t>
      </w:r>
      <w:r w:rsidRPr="00D5464D">
        <w:rPr>
          <w:lang w:val="pt-BR"/>
        </w:rPr>
        <w:t xml:space="preserve">à </w:t>
      </w:r>
      <w:r w:rsidR="002C330E" w:rsidRPr="00D5464D">
        <w:rPr>
          <w:lang w:val="pt-BR"/>
        </w:rPr>
        <w:t>integridade</w:t>
      </w:r>
      <w:r w:rsidR="00E045D9" w:rsidRPr="00D5464D">
        <w:rPr>
          <w:lang w:val="pt-BR"/>
        </w:rPr>
        <w:t xml:space="preserve"> e </w:t>
      </w:r>
      <w:r w:rsidR="002B000E" w:rsidRPr="00D5464D">
        <w:rPr>
          <w:lang w:val="pt-BR"/>
        </w:rPr>
        <w:t xml:space="preserve">à </w:t>
      </w:r>
      <w:r w:rsidR="002C330E" w:rsidRPr="00D5464D">
        <w:rPr>
          <w:lang w:val="pt-BR"/>
        </w:rPr>
        <w:t>liberdade pessoais</w:t>
      </w:r>
      <w:r w:rsidR="00FC200D" w:rsidRPr="00D5464D">
        <w:rPr>
          <w:lang w:val="pt-BR"/>
        </w:rPr>
        <w:t xml:space="preserve"> (</w:t>
      </w:r>
      <w:r w:rsidR="00E045D9" w:rsidRPr="00D5464D">
        <w:rPr>
          <w:lang w:val="pt-BR"/>
        </w:rPr>
        <w:t xml:space="preserve">violência e </w:t>
      </w:r>
      <w:r w:rsidRPr="00D5464D">
        <w:rPr>
          <w:lang w:val="pt-BR"/>
        </w:rPr>
        <w:t>ameaça</w:t>
      </w:r>
      <w:r w:rsidR="00405792" w:rsidRPr="00D5464D">
        <w:rPr>
          <w:lang w:val="pt-BR"/>
        </w:rPr>
        <w:t xml:space="preserve">s de </w:t>
      </w:r>
      <w:r w:rsidR="00E045D9" w:rsidRPr="00D5464D">
        <w:rPr>
          <w:lang w:val="pt-BR"/>
        </w:rPr>
        <w:t>violência</w:t>
      </w:r>
      <w:r w:rsidR="00405792" w:rsidRPr="00D5464D">
        <w:rPr>
          <w:lang w:val="pt-BR"/>
        </w:rPr>
        <w:t>, coer</w:t>
      </w:r>
      <w:r w:rsidRPr="00D5464D">
        <w:rPr>
          <w:lang w:val="pt-BR"/>
        </w:rPr>
        <w:t>ção</w:t>
      </w:r>
      <w:r w:rsidR="00405792" w:rsidRPr="00D5464D">
        <w:rPr>
          <w:lang w:val="pt-BR"/>
        </w:rPr>
        <w:t xml:space="preserve"> física</w:t>
      </w:r>
      <w:r w:rsidR="00E045D9" w:rsidRPr="00D5464D">
        <w:rPr>
          <w:lang w:val="pt-BR"/>
        </w:rPr>
        <w:t xml:space="preserve"> e </w:t>
      </w:r>
      <w:r w:rsidR="00405792" w:rsidRPr="00D5464D">
        <w:rPr>
          <w:lang w:val="pt-BR"/>
        </w:rPr>
        <w:t>psicológica</w:t>
      </w:r>
      <w:r w:rsidRPr="00D5464D">
        <w:rPr>
          <w:lang w:val="pt-BR"/>
        </w:rPr>
        <w:t xml:space="preserve"> dos </w:t>
      </w:r>
      <w:r w:rsidR="00E045D9" w:rsidRPr="00D5464D">
        <w:rPr>
          <w:lang w:val="pt-BR"/>
        </w:rPr>
        <w:t>trabalhadores</w:t>
      </w:r>
      <w:r w:rsidR="00405792" w:rsidRPr="00D5464D">
        <w:rPr>
          <w:lang w:val="pt-BR"/>
        </w:rPr>
        <w:t xml:space="preserve">, </w:t>
      </w:r>
      <w:r w:rsidR="00737270" w:rsidRPr="00D5464D">
        <w:rPr>
          <w:lang w:val="pt-BR"/>
        </w:rPr>
        <w:t>restrições</w:t>
      </w:r>
      <w:r w:rsidRPr="00D5464D">
        <w:rPr>
          <w:lang w:val="pt-BR"/>
        </w:rPr>
        <w:t xml:space="preserve"> da </w:t>
      </w:r>
      <w:r w:rsidR="002C330E" w:rsidRPr="00D5464D">
        <w:rPr>
          <w:lang w:val="pt-BR"/>
        </w:rPr>
        <w:t xml:space="preserve">liberdade </w:t>
      </w:r>
      <w:r w:rsidR="00405792" w:rsidRPr="00D5464D">
        <w:rPr>
          <w:lang w:val="pt-BR"/>
        </w:rPr>
        <w:t xml:space="preserve">de </w:t>
      </w:r>
      <w:r w:rsidR="002C330E" w:rsidRPr="00D5464D">
        <w:rPr>
          <w:lang w:val="pt-BR"/>
        </w:rPr>
        <w:t>movimento</w:t>
      </w:r>
      <w:r w:rsidR="00FC200D" w:rsidRPr="00D5464D">
        <w:rPr>
          <w:lang w:val="pt-BR"/>
        </w:rPr>
        <w:t>)</w:t>
      </w:r>
      <w:r w:rsidR="00310620" w:rsidRPr="00D5464D">
        <w:rPr>
          <w:lang w:val="pt-BR"/>
        </w:rPr>
        <w:t>,</w:t>
      </w:r>
      <w:r w:rsidR="002C330E" w:rsidRPr="00D5464D">
        <w:rPr>
          <w:lang w:val="pt-BR"/>
        </w:rPr>
        <w:t xml:space="preserve"> os</w:t>
      </w:r>
      <w:r w:rsidR="00350187" w:rsidRPr="00D5464D">
        <w:rPr>
          <w:lang w:val="pt-BR"/>
        </w:rPr>
        <w:t xml:space="preserve"> tratamentos</w:t>
      </w:r>
      <w:r w:rsidR="00E73720" w:rsidRPr="00D5464D">
        <w:rPr>
          <w:lang w:val="pt-BR"/>
        </w:rPr>
        <w:t xml:space="preserve"> indignos </w:t>
      </w:r>
      <w:r w:rsidR="00FC200D" w:rsidRPr="00D5464D">
        <w:rPr>
          <w:lang w:val="pt-BR"/>
        </w:rPr>
        <w:t>(</w:t>
      </w:r>
      <w:r w:rsidR="00405792" w:rsidRPr="00D5464D">
        <w:rPr>
          <w:lang w:val="pt-BR"/>
        </w:rPr>
        <w:t>condi</w:t>
      </w:r>
      <w:r w:rsidRPr="00D5464D">
        <w:rPr>
          <w:lang w:val="pt-BR"/>
        </w:rPr>
        <w:t>ções</w:t>
      </w:r>
      <w:r w:rsidR="00405792" w:rsidRPr="00D5464D">
        <w:rPr>
          <w:lang w:val="pt-BR"/>
        </w:rPr>
        <w:t xml:space="preserve"> degradantes de </w:t>
      </w:r>
      <w:r w:rsidR="00E045D9" w:rsidRPr="00D5464D">
        <w:rPr>
          <w:lang w:val="pt-BR"/>
        </w:rPr>
        <w:t>habitação</w:t>
      </w:r>
      <w:r w:rsidR="00405792" w:rsidRPr="00D5464D">
        <w:rPr>
          <w:lang w:val="pt-BR"/>
        </w:rPr>
        <w:t>, alimenta</w:t>
      </w:r>
      <w:r w:rsidRPr="00D5464D">
        <w:rPr>
          <w:lang w:val="pt-BR"/>
        </w:rPr>
        <w:t>ção</w:t>
      </w:r>
      <w:r w:rsidR="00E045D9" w:rsidRPr="00D5464D">
        <w:rPr>
          <w:lang w:val="pt-BR"/>
        </w:rPr>
        <w:t xml:space="preserve"> e </w:t>
      </w:r>
      <w:r w:rsidR="00405792" w:rsidRPr="00D5464D">
        <w:rPr>
          <w:lang w:val="pt-BR"/>
        </w:rPr>
        <w:t xml:space="preserve">de </w:t>
      </w:r>
      <w:r w:rsidR="00E045D9" w:rsidRPr="00D5464D">
        <w:rPr>
          <w:lang w:val="pt-BR"/>
        </w:rPr>
        <w:t>trabalho</w:t>
      </w:r>
      <w:r w:rsidR="00FC200D" w:rsidRPr="00D5464D">
        <w:rPr>
          <w:lang w:val="pt-BR"/>
        </w:rPr>
        <w:t>)</w:t>
      </w:r>
      <w:r w:rsidR="00E045D9" w:rsidRPr="00D5464D">
        <w:rPr>
          <w:lang w:val="pt-BR"/>
        </w:rPr>
        <w:t xml:space="preserve"> e </w:t>
      </w:r>
      <w:r w:rsidR="002C330E" w:rsidRPr="00D5464D">
        <w:rPr>
          <w:lang w:val="pt-BR"/>
        </w:rPr>
        <w:t xml:space="preserve">a </w:t>
      </w:r>
      <w:r w:rsidR="00310620" w:rsidRPr="00D5464D">
        <w:rPr>
          <w:lang w:val="pt-BR"/>
        </w:rPr>
        <w:t>limita</w:t>
      </w:r>
      <w:r w:rsidRPr="00D5464D">
        <w:rPr>
          <w:lang w:val="pt-BR"/>
        </w:rPr>
        <w:t xml:space="preserve">ção da </w:t>
      </w:r>
      <w:r w:rsidR="002C330E" w:rsidRPr="00D5464D">
        <w:rPr>
          <w:lang w:val="pt-BR"/>
        </w:rPr>
        <w:t xml:space="preserve">liberdade </w:t>
      </w:r>
      <w:r w:rsidR="00310620" w:rsidRPr="00D5464D">
        <w:rPr>
          <w:lang w:val="pt-BR"/>
        </w:rPr>
        <w:t>de circula</w:t>
      </w:r>
      <w:r w:rsidRPr="00D5464D">
        <w:rPr>
          <w:lang w:val="pt-BR"/>
        </w:rPr>
        <w:t>ção</w:t>
      </w:r>
      <w:r w:rsidR="00FC200D" w:rsidRPr="00D5464D">
        <w:rPr>
          <w:lang w:val="pt-BR"/>
        </w:rPr>
        <w:t xml:space="preserve"> (</w:t>
      </w:r>
      <w:r w:rsidR="002C330E" w:rsidRPr="00D5464D">
        <w:rPr>
          <w:lang w:val="pt-BR"/>
        </w:rPr>
        <w:t>restrição</w:t>
      </w:r>
      <w:r w:rsidR="00405792" w:rsidRPr="00D5464D">
        <w:rPr>
          <w:lang w:val="pt-BR"/>
        </w:rPr>
        <w:t xml:space="preserve"> de circula</w:t>
      </w:r>
      <w:r w:rsidRPr="00D5464D">
        <w:rPr>
          <w:lang w:val="pt-BR"/>
        </w:rPr>
        <w:t xml:space="preserve">ção em </w:t>
      </w:r>
      <w:r w:rsidR="002C330E" w:rsidRPr="00D5464D">
        <w:rPr>
          <w:lang w:val="pt-BR"/>
        </w:rPr>
        <w:t>razão</w:t>
      </w:r>
      <w:r w:rsidR="00405792" w:rsidRPr="00D5464D">
        <w:rPr>
          <w:lang w:val="pt-BR"/>
        </w:rPr>
        <w:t xml:space="preserve"> de </w:t>
      </w:r>
      <w:r w:rsidRPr="00D5464D">
        <w:rPr>
          <w:lang w:val="pt-BR"/>
        </w:rPr>
        <w:t>dívida</w:t>
      </w:r>
      <w:r w:rsidR="00405792" w:rsidRPr="00D5464D">
        <w:rPr>
          <w:lang w:val="pt-BR"/>
        </w:rPr>
        <w:t>s</w:t>
      </w:r>
      <w:r w:rsidR="00E045D9" w:rsidRPr="00D5464D">
        <w:rPr>
          <w:lang w:val="pt-BR"/>
        </w:rPr>
        <w:t xml:space="preserve"> e </w:t>
      </w:r>
      <w:r w:rsidRPr="00D5464D">
        <w:rPr>
          <w:lang w:val="pt-BR"/>
        </w:rPr>
        <w:t xml:space="preserve">do </w:t>
      </w:r>
      <w:r w:rsidR="00E045D9" w:rsidRPr="00D5464D">
        <w:rPr>
          <w:lang w:val="pt-BR"/>
        </w:rPr>
        <w:t>trabalho</w:t>
      </w:r>
      <w:r w:rsidR="00405792" w:rsidRPr="00D5464D">
        <w:rPr>
          <w:lang w:val="pt-BR"/>
        </w:rPr>
        <w:t xml:space="preserve"> </w:t>
      </w:r>
      <w:r w:rsidR="00230C71" w:rsidRPr="00D5464D">
        <w:rPr>
          <w:lang w:val="pt-BR"/>
        </w:rPr>
        <w:t>forçado</w:t>
      </w:r>
      <w:r w:rsidR="00405792" w:rsidRPr="00D5464D">
        <w:rPr>
          <w:lang w:val="pt-BR"/>
        </w:rPr>
        <w:t xml:space="preserve"> exigido</w:t>
      </w:r>
      <w:r w:rsidR="00FC200D" w:rsidRPr="00D5464D">
        <w:rPr>
          <w:lang w:val="pt-BR"/>
        </w:rPr>
        <w:t>)</w:t>
      </w:r>
      <w:r w:rsidR="00310620" w:rsidRPr="00D5464D">
        <w:rPr>
          <w:lang w:val="pt-BR"/>
        </w:rPr>
        <w:t xml:space="preserve">, </w:t>
      </w:r>
      <w:r w:rsidRPr="00D5464D">
        <w:rPr>
          <w:lang w:val="pt-BR"/>
        </w:rPr>
        <w:t>foram</w:t>
      </w:r>
      <w:r w:rsidR="00310620" w:rsidRPr="00D5464D">
        <w:rPr>
          <w:lang w:val="pt-BR"/>
        </w:rPr>
        <w:t xml:space="preserve"> elementos constitutivos</w:t>
      </w:r>
      <w:r w:rsidRPr="00D5464D">
        <w:rPr>
          <w:lang w:val="pt-BR"/>
        </w:rPr>
        <w:t xml:space="preserve"> da </w:t>
      </w:r>
      <w:r w:rsidR="000B376D" w:rsidRPr="00D5464D">
        <w:rPr>
          <w:lang w:val="pt-BR"/>
        </w:rPr>
        <w:t>escravidão</w:t>
      </w:r>
      <w:r w:rsidR="00E045D9" w:rsidRPr="00D5464D">
        <w:rPr>
          <w:lang w:val="pt-BR"/>
        </w:rPr>
        <w:t xml:space="preserve"> no </w:t>
      </w:r>
      <w:r w:rsidR="001113DC" w:rsidRPr="00D5464D">
        <w:rPr>
          <w:lang w:val="pt-BR"/>
        </w:rPr>
        <w:t>presente caso</w:t>
      </w:r>
      <w:r w:rsidR="00310620" w:rsidRPr="00D5464D">
        <w:rPr>
          <w:lang w:val="pt-BR"/>
        </w:rPr>
        <w:t>,</w:t>
      </w:r>
      <w:r w:rsidR="002C330E" w:rsidRPr="00D5464D">
        <w:rPr>
          <w:szCs w:val="20"/>
          <w:lang w:val="pt-BR"/>
        </w:rPr>
        <w:t xml:space="preserve"> </w:t>
      </w:r>
      <w:r w:rsidR="002B000E" w:rsidRPr="00D5464D">
        <w:rPr>
          <w:szCs w:val="20"/>
          <w:lang w:val="pt-BR"/>
        </w:rPr>
        <w:t xml:space="preserve">de modo </w:t>
      </w:r>
      <w:r w:rsidR="002C330E" w:rsidRPr="00D5464D">
        <w:rPr>
          <w:lang w:val="pt-BR"/>
        </w:rPr>
        <w:t>que</w:t>
      </w:r>
      <w:r w:rsidR="00A1358C" w:rsidRPr="00D5464D">
        <w:rPr>
          <w:lang w:val="pt-BR"/>
        </w:rPr>
        <w:t xml:space="preserve"> não </w:t>
      </w:r>
      <w:r w:rsidR="000E4F31" w:rsidRPr="00D5464D">
        <w:rPr>
          <w:lang w:val="pt-BR"/>
        </w:rPr>
        <w:t>é</w:t>
      </w:r>
      <w:r w:rsidR="00E9115E" w:rsidRPr="00D5464D">
        <w:rPr>
          <w:lang w:val="pt-BR"/>
        </w:rPr>
        <w:t xml:space="preserve"> </w:t>
      </w:r>
      <w:r w:rsidR="002C330E" w:rsidRPr="00D5464D">
        <w:rPr>
          <w:lang w:val="pt-BR"/>
        </w:rPr>
        <w:t>necessári</w:t>
      </w:r>
      <w:r w:rsidR="00E9115E" w:rsidRPr="00D5464D">
        <w:rPr>
          <w:lang w:val="pt-BR"/>
        </w:rPr>
        <w:t>o</w:t>
      </w:r>
      <w:r w:rsidR="002C330E" w:rsidRPr="00D5464D">
        <w:rPr>
          <w:lang w:val="pt-BR"/>
        </w:rPr>
        <w:t xml:space="preserve"> fazer</w:t>
      </w:r>
      <w:r w:rsidR="00E045D9" w:rsidRPr="00D5464D">
        <w:rPr>
          <w:lang w:val="pt-BR"/>
        </w:rPr>
        <w:t xml:space="preserve"> um </w:t>
      </w:r>
      <w:r w:rsidR="002C330E" w:rsidRPr="00D5464D">
        <w:rPr>
          <w:lang w:val="pt-BR"/>
        </w:rPr>
        <w:t>pronunciamento</w:t>
      </w:r>
      <w:r w:rsidR="00E9115E" w:rsidRPr="00D5464D">
        <w:rPr>
          <w:lang w:val="pt-BR"/>
        </w:rPr>
        <w:t xml:space="preserve"> </w:t>
      </w:r>
      <w:r w:rsidR="002B000E" w:rsidRPr="00D5464D">
        <w:rPr>
          <w:lang w:val="pt-BR"/>
        </w:rPr>
        <w:t xml:space="preserve">individual </w:t>
      </w:r>
      <w:r w:rsidR="003D4674" w:rsidRPr="00D5464D">
        <w:rPr>
          <w:lang w:val="pt-BR"/>
        </w:rPr>
        <w:t xml:space="preserve">a </w:t>
      </w:r>
      <w:r w:rsidR="00737270" w:rsidRPr="00D5464D">
        <w:rPr>
          <w:lang w:val="pt-BR"/>
        </w:rPr>
        <w:t>respeito</w:t>
      </w:r>
      <w:r w:rsidR="00E045D9" w:rsidRPr="00D5464D">
        <w:rPr>
          <w:lang w:val="pt-BR"/>
        </w:rPr>
        <w:t xml:space="preserve"> </w:t>
      </w:r>
      <w:r w:rsidR="003D4674" w:rsidRPr="00D5464D">
        <w:rPr>
          <w:lang w:val="pt-BR"/>
        </w:rPr>
        <w:t>d</w:t>
      </w:r>
      <w:r w:rsidR="00E045D9" w:rsidRPr="00D5464D">
        <w:rPr>
          <w:lang w:val="pt-BR"/>
        </w:rPr>
        <w:t xml:space="preserve">os </w:t>
      </w:r>
      <w:r w:rsidR="002C330E" w:rsidRPr="00D5464D">
        <w:rPr>
          <w:lang w:val="pt-BR"/>
        </w:rPr>
        <w:t>outros</w:t>
      </w:r>
      <w:r w:rsidR="005759C6" w:rsidRPr="00D5464D">
        <w:rPr>
          <w:lang w:val="pt-BR"/>
        </w:rPr>
        <w:t xml:space="preserve"> </w:t>
      </w:r>
      <w:r w:rsidRPr="00D5464D">
        <w:rPr>
          <w:lang w:val="pt-BR"/>
        </w:rPr>
        <w:t>direito</w:t>
      </w:r>
      <w:r w:rsidR="005759C6" w:rsidRPr="00D5464D">
        <w:rPr>
          <w:lang w:val="pt-BR"/>
        </w:rPr>
        <w:t>s alegados</w:t>
      </w:r>
      <w:r w:rsidR="002C330E" w:rsidRPr="00D5464D">
        <w:rPr>
          <w:lang w:val="pt-BR"/>
        </w:rPr>
        <w:t xml:space="preserve"> pelos </w:t>
      </w:r>
      <w:r w:rsidR="00EB1CE9" w:rsidRPr="00D5464D">
        <w:rPr>
          <w:lang w:val="pt-BR"/>
        </w:rPr>
        <w:t>representante</w:t>
      </w:r>
      <w:r w:rsidR="005759C6" w:rsidRPr="00D5464D">
        <w:rPr>
          <w:lang w:val="pt-BR"/>
        </w:rPr>
        <w:t>s</w:t>
      </w:r>
      <w:r w:rsidR="002B000E" w:rsidRPr="00D5464D">
        <w:rPr>
          <w:lang w:val="pt-BR"/>
        </w:rPr>
        <w:t>.</w:t>
      </w:r>
      <w:r w:rsidR="00044CBD" w:rsidRPr="00D5464D">
        <w:rPr>
          <w:rStyle w:val="Refdenotaalpie"/>
          <w:lang w:val="pt-BR"/>
        </w:rPr>
        <w:footnoteReference w:id="445"/>
      </w:r>
      <w:r w:rsidR="0098727F" w:rsidRPr="00D5464D">
        <w:rPr>
          <w:spacing w:val="-3"/>
          <w:szCs w:val="20"/>
          <w:lang w:val="pt-BR"/>
        </w:rPr>
        <w:t xml:space="preserve"> </w:t>
      </w:r>
      <w:r w:rsidR="00A1358C" w:rsidRPr="00D5464D">
        <w:rPr>
          <w:lang w:val="pt-BR"/>
        </w:rPr>
        <w:t>Não obstante isso,</w:t>
      </w:r>
      <w:r w:rsidR="00FF291B" w:rsidRPr="00D5464D">
        <w:rPr>
          <w:lang w:val="pt-BR"/>
        </w:rPr>
        <w:t xml:space="preserve"> </w:t>
      </w:r>
      <w:r w:rsidR="002C330E" w:rsidRPr="00D5464D">
        <w:rPr>
          <w:lang w:val="pt-BR"/>
        </w:rPr>
        <w:t>serão</w:t>
      </w:r>
      <w:r w:rsidR="00FF291B" w:rsidRPr="00D5464D">
        <w:rPr>
          <w:lang w:val="pt-BR"/>
        </w:rPr>
        <w:t xml:space="preserve"> </w:t>
      </w:r>
      <w:r w:rsidR="002B000E" w:rsidRPr="00D5464D">
        <w:rPr>
          <w:lang w:val="pt-BR"/>
        </w:rPr>
        <w:t xml:space="preserve">levados em consideração </w:t>
      </w:r>
      <w:r w:rsidRPr="00D5464D">
        <w:rPr>
          <w:lang w:val="pt-BR"/>
        </w:rPr>
        <w:t xml:space="preserve">ao </w:t>
      </w:r>
      <w:r w:rsidR="00EC2B75" w:rsidRPr="00D5464D">
        <w:rPr>
          <w:lang w:val="pt-BR"/>
        </w:rPr>
        <w:t>realizar</w:t>
      </w:r>
      <w:r w:rsidR="002C330E" w:rsidRPr="00D5464D">
        <w:rPr>
          <w:lang w:val="pt-BR"/>
        </w:rPr>
        <w:t xml:space="preserve"> a </w:t>
      </w:r>
      <w:r w:rsidR="00EC2B75" w:rsidRPr="00D5464D">
        <w:rPr>
          <w:lang w:val="pt-BR"/>
        </w:rPr>
        <w:t>determina</w:t>
      </w:r>
      <w:r w:rsidRPr="00D5464D">
        <w:rPr>
          <w:lang w:val="pt-BR"/>
        </w:rPr>
        <w:t>ção</w:t>
      </w:r>
      <w:r w:rsidR="00EC2B75" w:rsidRPr="00D5464D">
        <w:rPr>
          <w:lang w:val="pt-BR"/>
        </w:rPr>
        <w:t xml:space="preserve"> sobre</w:t>
      </w:r>
      <w:r w:rsidR="002C330E" w:rsidRPr="00D5464D">
        <w:rPr>
          <w:lang w:val="pt-BR"/>
        </w:rPr>
        <w:t xml:space="preserve"> a </w:t>
      </w:r>
      <w:r w:rsidR="00C91CB1" w:rsidRPr="00D5464D">
        <w:rPr>
          <w:lang w:val="pt-BR"/>
        </w:rPr>
        <w:t>responsabilidade estatal</w:t>
      </w:r>
      <w:r w:rsidR="00E045D9" w:rsidRPr="00D5464D">
        <w:rPr>
          <w:lang w:val="pt-BR"/>
        </w:rPr>
        <w:t xml:space="preserve"> no </w:t>
      </w:r>
      <w:r w:rsidR="00EC2B75" w:rsidRPr="00D5464D">
        <w:rPr>
          <w:lang w:val="pt-BR"/>
        </w:rPr>
        <w:t>presente caso</w:t>
      </w:r>
      <w:r w:rsidR="00E045D9" w:rsidRPr="00D5464D">
        <w:rPr>
          <w:lang w:val="pt-BR"/>
        </w:rPr>
        <w:t xml:space="preserve"> e</w:t>
      </w:r>
      <w:r w:rsidR="002B000E" w:rsidRPr="00D5464D">
        <w:rPr>
          <w:lang w:val="pt-BR"/>
        </w:rPr>
        <w:t xml:space="preserve"> no que </w:t>
      </w:r>
      <w:r w:rsidR="003D4674" w:rsidRPr="00D5464D">
        <w:rPr>
          <w:lang w:val="pt-BR"/>
        </w:rPr>
        <w:t>for</w:t>
      </w:r>
      <w:r w:rsidR="002B000E" w:rsidRPr="00D5464D">
        <w:rPr>
          <w:lang w:val="pt-BR"/>
        </w:rPr>
        <w:t xml:space="preserve"> </w:t>
      </w:r>
      <w:r w:rsidR="00FF291B" w:rsidRPr="00D5464D">
        <w:rPr>
          <w:lang w:val="pt-BR"/>
        </w:rPr>
        <w:t>pertinente</w:t>
      </w:r>
      <w:r w:rsidRPr="00D5464D">
        <w:rPr>
          <w:lang w:val="pt-BR"/>
        </w:rPr>
        <w:t xml:space="preserve"> ao </w:t>
      </w:r>
      <w:r w:rsidR="00FF291B" w:rsidRPr="00D5464D">
        <w:rPr>
          <w:lang w:val="pt-BR"/>
        </w:rPr>
        <w:t>ordenar</w:t>
      </w:r>
      <w:r w:rsidR="002C330E" w:rsidRPr="00D5464D">
        <w:rPr>
          <w:lang w:val="pt-BR"/>
        </w:rPr>
        <w:t xml:space="preserve"> as </w:t>
      </w:r>
      <w:r w:rsidR="00FF291B" w:rsidRPr="00D5464D">
        <w:rPr>
          <w:lang w:val="pt-BR"/>
        </w:rPr>
        <w:t>repara</w:t>
      </w:r>
      <w:r w:rsidRPr="00D5464D">
        <w:rPr>
          <w:lang w:val="pt-BR"/>
        </w:rPr>
        <w:t>ções</w:t>
      </w:r>
      <w:r w:rsidR="00FF291B" w:rsidRPr="00D5464D">
        <w:rPr>
          <w:lang w:val="pt-BR"/>
        </w:rPr>
        <w:t>.</w:t>
      </w:r>
      <w:r w:rsidR="00DE1D5D" w:rsidRPr="00D5464D">
        <w:rPr>
          <w:lang w:val="pt-BR"/>
        </w:rPr>
        <w:t xml:space="preserve"> </w:t>
      </w:r>
    </w:p>
    <w:p w14:paraId="720C8998" w14:textId="77777777" w:rsidR="00637B75" w:rsidRPr="00D5464D" w:rsidRDefault="00637B75" w:rsidP="00140440">
      <w:pPr>
        <w:pStyle w:val="Prrafodelista"/>
        <w:ind w:left="0"/>
        <w:rPr>
          <w:lang w:val="pt-BR"/>
        </w:rPr>
      </w:pPr>
    </w:p>
    <w:p w14:paraId="660792A3" w14:textId="1EF61C4B" w:rsidR="001E1449" w:rsidRPr="00D5464D" w:rsidRDefault="001E1449" w:rsidP="001E1449">
      <w:pPr>
        <w:pStyle w:val="Ttulo3"/>
        <w:rPr>
          <w:lang w:val="pt-BR"/>
        </w:rPr>
      </w:pPr>
      <w:bookmarkStart w:id="400" w:name="_Toc468433927"/>
      <w:r w:rsidRPr="00D5464D">
        <w:rPr>
          <w:lang w:val="pt-BR"/>
        </w:rPr>
        <w:t>B.8</w:t>
      </w:r>
      <w:r w:rsidR="00CB7E29" w:rsidRPr="00D5464D">
        <w:rPr>
          <w:lang w:val="pt-BR"/>
        </w:rPr>
        <w:t>.</w:t>
      </w:r>
      <w:r w:rsidRPr="00D5464D">
        <w:rPr>
          <w:lang w:val="pt-BR"/>
        </w:rPr>
        <w:t xml:space="preserve"> Legisla</w:t>
      </w:r>
      <w:r w:rsidR="00470ADC" w:rsidRPr="00D5464D">
        <w:rPr>
          <w:lang w:val="pt-BR"/>
        </w:rPr>
        <w:t>ção</w:t>
      </w:r>
      <w:r w:rsidRPr="00D5464D">
        <w:rPr>
          <w:lang w:val="pt-BR"/>
        </w:rPr>
        <w:t xml:space="preserve"> penal </w:t>
      </w:r>
      <w:r w:rsidR="00470ADC" w:rsidRPr="00D5464D">
        <w:rPr>
          <w:lang w:val="pt-BR"/>
        </w:rPr>
        <w:t>brasileir</w:t>
      </w:r>
      <w:r w:rsidRPr="00D5464D">
        <w:rPr>
          <w:lang w:val="pt-BR"/>
        </w:rPr>
        <w:t>a</w:t>
      </w:r>
      <w:bookmarkEnd w:id="400"/>
    </w:p>
    <w:p w14:paraId="6E612874" w14:textId="77777777" w:rsidR="00DE3E58" w:rsidRPr="00D5464D" w:rsidRDefault="00DE3E58" w:rsidP="00DE3E58">
      <w:pPr>
        <w:pStyle w:val="Prrafodelista"/>
        <w:ind w:left="0"/>
        <w:contextualSpacing w:val="0"/>
        <w:rPr>
          <w:lang w:val="pt-BR"/>
        </w:rPr>
      </w:pPr>
    </w:p>
    <w:p w14:paraId="25DB9E57" w14:textId="1B80E5CC" w:rsidR="001E1449" w:rsidRPr="00D5464D" w:rsidRDefault="00470ADC" w:rsidP="001E1449">
      <w:pPr>
        <w:pStyle w:val="Prrafodelista"/>
        <w:numPr>
          <w:ilvl w:val="0"/>
          <w:numId w:val="1"/>
        </w:numPr>
        <w:contextualSpacing w:val="0"/>
        <w:rPr>
          <w:lang w:val="pt-BR"/>
        </w:rPr>
      </w:pPr>
      <w:r w:rsidRPr="00D5464D">
        <w:rPr>
          <w:lang w:val="pt-BR"/>
        </w:rPr>
        <w:t xml:space="preserve">A </w:t>
      </w:r>
      <w:r w:rsidR="001E1449" w:rsidRPr="00D5464D">
        <w:rPr>
          <w:lang w:val="pt-BR"/>
        </w:rPr>
        <w:t xml:space="preserve">Corte considera oportuno realizar </w:t>
      </w:r>
      <w:r w:rsidRPr="00D5464D">
        <w:rPr>
          <w:lang w:val="pt-BR"/>
        </w:rPr>
        <w:t>algumas</w:t>
      </w:r>
      <w:r w:rsidR="001E1449" w:rsidRPr="00D5464D">
        <w:rPr>
          <w:lang w:val="pt-BR"/>
        </w:rPr>
        <w:t xml:space="preserve"> considera</w:t>
      </w:r>
      <w:r w:rsidRPr="00D5464D">
        <w:rPr>
          <w:lang w:val="pt-BR"/>
        </w:rPr>
        <w:t>ções</w:t>
      </w:r>
      <w:r w:rsidR="001E1449" w:rsidRPr="00D5464D">
        <w:rPr>
          <w:lang w:val="pt-BR"/>
        </w:rPr>
        <w:t xml:space="preserve"> sobre</w:t>
      </w:r>
      <w:r w:rsidRPr="00D5464D">
        <w:rPr>
          <w:lang w:val="pt-BR"/>
        </w:rPr>
        <w:t xml:space="preserve"> </w:t>
      </w:r>
      <w:r w:rsidR="00350187" w:rsidRPr="00D5464D">
        <w:rPr>
          <w:lang w:val="pt-BR"/>
        </w:rPr>
        <w:t>a alegação</w:t>
      </w:r>
      <w:r w:rsidR="001E1449" w:rsidRPr="00D5464D">
        <w:rPr>
          <w:lang w:val="pt-BR"/>
        </w:rPr>
        <w:t xml:space="preserve"> </w:t>
      </w:r>
      <w:r w:rsidRPr="00D5464D">
        <w:rPr>
          <w:lang w:val="pt-BR"/>
        </w:rPr>
        <w:t xml:space="preserve">do </w:t>
      </w:r>
      <w:r w:rsidR="001E1449" w:rsidRPr="00D5464D">
        <w:rPr>
          <w:lang w:val="pt-BR"/>
        </w:rPr>
        <w:t>Estado d</w:t>
      </w:r>
      <w:r w:rsidR="0018563C" w:rsidRPr="00D5464D">
        <w:rPr>
          <w:lang w:val="pt-BR"/>
        </w:rPr>
        <w:t>o</w:t>
      </w:r>
      <w:r w:rsidR="001E1449" w:rsidRPr="00D5464D">
        <w:rPr>
          <w:lang w:val="pt-BR"/>
        </w:rPr>
        <w:t xml:space="preserve"> Brasil</w:t>
      </w:r>
      <w:r w:rsidRPr="00D5464D">
        <w:rPr>
          <w:lang w:val="pt-BR"/>
        </w:rPr>
        <w:t xml:space="preserve"> em </w:t>
      </w:r>
      <w:r w:rsidR="001E1449" w:rsidRPr="00D5464D">
        <w:rPr>
          <w:lang w:val="pt-BR"/>
        </w:rPr>
        <w:t>rela</w:t>
      </w:r>
      <w:r w:rsidRPr="00D5464D">
        <w:rPr>
          <w:lang w:val="pt-BR"/>
        </w:rPr>
        <w:t>ção</w:t>
      </w:r>
      <w:r w:rsidR="001E1449" w:rsidRPr="00D5464D">
        <w:rPr>
          <w:lang w:val="pt-BR"/>
        </w:rPr>
        <w:t xml:space="preserve"> a que</w:t>
      </w:r>
      <w:r w:rsidR="002C330E" w:rsidRPr="00D5464D">
        <w:rPr>
          <w:lang w:val="pt-BR"/>
        </w:rPr>
        <w:t xml:space="preserve"> a </w:t>
      </w:r>
      <w:r w:rsidR="001E1449" w:rsidRPr="00D5464D">
        <w:rPr>
          <w:lang w:val="pt-BR"/>
        </w:rPr>
        <w:t>situa</w:t>
      </w:r>
      <w:r w:rsidRPr="00D5464D">
        <w:rPr>
          <w:lang w:val="pt-BR"/>
        </w:rPr>
        <w:t>ção</w:t>
      </w:r>
      <w:r w:rsidR="001E1449" w:rsidRPr="00D5464D">
        <w:rPr>
          <w:lang w:val="pt-BR"/>
        </w:rPr>
        <w:t xml:space="preserve"> identificada</w:t>
      </w:r>
      <w:r w:rsidR="00E045D9" w:rsidRPr="00D5464D">
        <w:rPr>
          <w:lang w:val="pt-BR"/>
        </w:rPr>
        <w:t xml:space="preserve"> na </w:t>
      </w:r>
      <w:r w:rsidR="00D809F0" w:rsidRPr="00D5464D">
        <w:rPr>
          <w:lang w:val="pt-BR"/>
        </w:rPr>
        <w:t>Fazenda</w:t>
      </w:r>
      <w:r w:rsidR="001E1449" w:rsidRPr="00D5464D">
        <w:rPr>
          <w:lang w:val="pt-BR"/>
        </w:rPr>
        <w:t xml:space="preserve"> Brasil Verde represent</w:t>
      </w:r>
      <w:r w:rsidR="00E765C2" w:rsidRPr="00D5464D">
        <w:rPr>
          <w:lang w:val="pt-BR"/>
        </w:rPr>
        <w:t xml:space="preserve">aria </w:t>
      </w:r>
      <w:r w:rsidR="0018563C" w:rsidRPr="00D5464D">
        <w:rPr>
          <w:lang w:val="pt-BR"/>
        </w:rPr>
        <w:t xml:space="preserve">apenas </w:t>
      </w:r>
      <w:r w:rsidR="001E1449" w:rsidRPr="00D5464D">
        <w:rPr>
          <w:lang w:val="pt-BR"/>
        </w:rPr>
        <w:t>viola</w:t>
      </w:r>
      <w:r w:rsidRPr="00D5464D">
        <w:rPr>
          <w:lang w:val="pt-BR"/>
        </w:rPr>
        <w:t>ções</w:t>
      </w:r>
      <w:r w:rsidR="001E1449" w:rsidRPr="00D5464D">
        <w:rPr>
          <w:lang w:val="pt-BR"/>
        </w:rPr>
        <w:t xml:space="preserve"> a </w:t>
      </w:r>
      <w:r w:rsidR="00351C4B" w:rsidRPr="00D5464D">
        <w:rPr>
          <w:lang w:val="pt-BR"/>
        </w:rPr>
        <w:t>direitos trabalhistas</w:t>
      </w:r>
      <w:r w:rsidRPr="00D5464D">
        <w:rPr>
          <w:lang w:val="pt-BR"/>
        </w:rPr>
        <w:t xml:space="preserve"> </w:t>
      </w:r>
      <w:r w:rsidR="0018563C" w:rsidRPr="00D5464D">
        <w:rPr>
          <w:lang w:val="pt-BR"/>
        </w:rPr>
        <w:t xml:space="preserve">de acordo com </w:t>
      </w:r>
      <w:r w:rsidR="002C330E" w:rsidRPr="00D5464D">
        <w:rPr>
          <w:lang w:val="pt-BR"/>
        </w:rPr>
        <w:t xml:space="preserve">a </w:t>
      </w:r>
      <w:r w:rsidR="001E1449" w:rsidRPr="00D5464D">
        <w:rPr>
          <w:lang w:val="pt-BR"/>
        </w:rPr>
        <w:t>legisla</w:t>
      </w:r>
      <w:r w:rsidRPr="00D5464D">
        <w:rPr>
          <w:lang w:val="pt-BR"/>
        </w:rPr>
        <w:t>ção</w:t>
      </w:r>
      <w:r w:rsidR="001E1449" w:rsidRPr="00D5464D">
        <w:rPr>
          <w:lang w:val="pt-BR"/>
        </w:rPr>
        <w:t xml:space="preserve"> </w:t>
      </w:r>
      <w:r w:rsidRPr="00D5464D">
        <w:rPr>
          <w:lang w:val="pt-BR"/>
        </w:rPr>
        <w:t>brasileir</w:t>
      </w:r>
      <w:r w:rsidR="001E1449" w:rsidRPr="00D5464D">
        <w:rPr>
          <w:lang w:val="pt-BR"/>
        </w:rPr>
        <w:t>a</w:t>
      </w:r>
      <w:r w:rsidR="00E045D9" w:rsidRPr="00D5464D">
        <w:rPr>
          <w:lang w:val="pt-BR"/>
        </w:rPr>
        <w:t xml:space="preserve"> e </w:t>
      </w:r>
      <w:r w:rsidR="001E1449" w:rsidRPr="00D5464D">
        <w:rPr>
          <w:lang w:val="pt-BR"/>
        </w:rPr>
        <w:t>que, eventualmente</w:t>
      </w:r>
      <w:r w:rsidR="0018563C" w:rsidRPr="00D5464D">
        <w:rPr>
          <w:lang w:val="pt-BR"/>
        </w:rPr>
        <w:t>,</w:t>
      </w:r>
      <w:r w:rsidR="001E1449" w:rsidRPr="00D5464D">
        <w:rPr>
          <w:lang w:val="pt-BR"/>
        </w:rPr>
        <w:t xml:space="preserve"> </w:t>
      </w:r>
      <w:r w:rsidR="002C330E" w:rsidRPr="00D5464D">
        <w:rPr>
          <w:lang w:val="pt-BR"/>
        </w:rPr>
        <w:t>poderia</w:t>
      </w:r>
      <w:r w:rsidR="001E1449" w:rsidRPr="00D5464D">
        <w:rPr>
          <w:lang w:val="pt-BR"/>
        </w:rPr>
        <w:t xml:space="preserve"> </w:t>
      </w:r>
      <w:r w:rsidR="002C330E" w:rsidRPr="00D5464D">
        <w:rPr>
          <w:lang w:val="pt-BR"/>
        </w:rPr>
        <w:t>ter</w:t>
      </w:r>
      <w:r w:rsidR="001E1449" w:rsidRPr="00D5464D">
        <w:rPr>
          <w:lang w:val="pt-BR"/>
        </w:rPr>
        <w:t xml:space="preserve"> sido caracterizada como</w:t>
      </w:r>
      <w:r w:rsidR="00E045D9" w:rsidRPr="00D5464D">
        <w:rPr>
          <w:lang w:val="pt-BR"/>
        </w:rPr>
        <w:t xml:space="preserve"> um </w:t>
      </w:r>
      <w:r w:rsidR="001E1449" w:rsidRPr="00D5464D">
        <w:rPr>
          <w:lang w:val="pt-BR"/>
        </w:rPr>
        <w:t xml:space="preserve">delito de </w:t>
      </w:r>
      <w:r w:rsidRPr="00D5464D">
        <w:rPr>
          <w:lang w:val="pt-BR"/>
        </w:rPr>
        <w:t>acordo com o artigo</w:t>
      </w:r>
      <w:r w:rsidR="001E1449" w:rsidRPr="00D5464D">
        <w:rPr>
          <w:lang w:val="pt-BR"/>
        </w:rPr>
        <w:t xml:space="preserve"> 149 </w:t>
      </w:r>
      <w:r w:rsidRPr="00D5464D">
        <w:rPr>
          <w:lang w:val="pt-BR"/>
        </w:rPr>
        <w:t xml:space="preserve">do </w:t>
      </w:r>
      <w:r w:rsidR="001E1449" w:rsidRPr="00D5464D">
        <w:rPr>
          <w:lang w:val="pt-BR"/>
        </w:rPr>
        <w:t xml:space="preserve">Código Penal, </w:t>
      </w:r>
      <w:r w:rsidR="002C330E" w:rsidRPr="00D5464D">
        <w:rPr>
          <w:lang w:val="pt-BR"/>
        </w:rPr>
        <w:t>mas</w:t>
      </w:r>
      <w:r w:rsidR="001E1449" w:rsidRPr="00D5464D">
        <w:rPr>
          <w:lang w:val="pt-BR"/>
        </w:rPr>
        <w:t xml:space="preserve"> que</w:t>
      </w:r>
      <w:r w:rsidR="0018563C" w:rsidRPr="00D5464D">
        <w:rPr>
          <w:lang w:val="pt-BR"/>
        </w:rPr>
        <w:t>,</w:t>
      </w:r>
      <w:r w:rsidRPr="00D5464D">
        <w:rPr>
          <w:lang w:val="pt-BR"/>
        </w:rPr>
        <w:t xml:space="preserve"> em </w:t>
      </w:r>
      <w:r w:rsidR="002C330E" w:rsidRPr="00D5464D">
        <w:rPr>
          <w:lang w:val="pt-BR"/>
        </w:rPr>
        <w:t>nenhuma</w:t>
      </w:r>
      <w:r w:rsidR="001E1449" w:rsidRPr="00D5464D">
        <w:rPr>
          <w:lang w:val="pt-BR"/>
        </w:rPr>
        <w:t xml:space="preserve"> hipó</w:t>
      </w:r>
      <w:r w:rsidR="00E045D9" w:rsidRPr="00D5464D">
        <w:rPr>
          <w:lang w:val="pt-BR"/>
        </w:rPr>
        <w:t>tese</w:t>
      </w:r>
      <w:r w:rsidR="0018563C" w:rsidRPr="00D5464D">
        <w:rPr>
          <w:lang w:val="pt-BR"/>
        </w:rPr>
        <w:t>,</w:t>
      </w:r>
      <w:r w:rsidR="001E1449" w:rsidRPr="00D5464D">
        <w:rPr>
          <w:lang w:val="pt-BR"/>
        </w:rPr>
        <w:t xml:space="preserve"> </w:t>
      </w:r>
      <w:r w:rsidR="002C330E" w:rsidRPr="00D5464D">
        <w:rPr>
          <w:lang w:val="pt-BR"/>
        </w:rPr>
        <w:t>poderia</w:t>
      </w:r>
      <w:r w:rsidR="001E1449" w:rsidRPr="00D5464D">
        <w:rPr>
          <w:lang w:val="pt-BR"/>
        </w:rPr>
        <w:t xml:space="preserve"> caracteriz</w:t>
      </w:r>
      <w:r w:rsidR="00C91CB1" w:rsidRPr="00D5464D">
        <w:rPr>
          <w:lang w:val="pt-BR"/>
        </w:rPr>
        <w:t xml:space="preserve">ar-se </w:t>
      </w:r>
      <w:r w:rsidR="001E1449" w:rsidRPr="00D5464D">
        <w:rPr>
          <w:lang w:val="pt-BR"/>
        </w:rPr>
        <w:t xml:space="preserve">como </w:t>
      </w:r>
      <w:r w:rsidR="000B376D" w:rsidRPr="00D5464D">
        <w:rPr>
          <w:lang w:val="pt-BR"/>
        </w:rPr>
        <w:t>escravidão</w:t>
      </w:r>
      <w:r w:rsidR="001E1449" w:rsidRPr="00D5464D">
        <w:rPr>
          <w:lang w:val="pt-BR"/>
        </w:rPr>
        <w:t xml:space="preserve">, </w:t>
      </w:r>
      <w:r w:rsidR="000B376D" w:rsidRPr="00D5464D">
        <w:rPr>
          <w:lang w:val="pt-BR"/>
        </w:rPr>
        <w:t>servidão</w:t>
      </w:r>
      <w:r w:rsidR="001E1449" w:rsidRPr="00D5464D">
        <w:rPr>
          <w:lang w:val="pt-BR"/>
        </w:rPr>
        <w:t xml:space="preserve"> o</w:t>
      </w:r>
      <w:r w:rsidR="0018563C" w:rsidRPr="00D5464D">
        <w:rPr>
          <w:lang w:val="pt-BR"/>
        </w:rPr>
        <w:t>u</w:t>
      </w:r>
      <w:r w:rsidR="001E1449" w:rsidRPr="00D5464D">
        <w:rPr>
          <w:lang w:val="pt-BR"/>
        </w:rPr>
        <w:t xml:space="preserve"> </w:t>
      </w:r>
      <w:r w:rsidR="00E045D9" w:rsidRPr="00D5464D">
        <w:rPr>
          <w:lang w:val="pt-BR"/>
        </w:rPr>
        <w:t>trabalho</w:t>
      </w:r>
      <w:r w:rsidR="001E1449" w:rsidRPr="00D5464D">
        <w:rPr>
          <w:lang w:val="pt-BR"/>
        </w:rPr>
        <w:t xml:space="preserve"> </w:t>
      </w:r>
      <w:r w:rsidR="00230C71" w:rsidRPr="00D5464D">
        <w:rPr>
          <w:lang w:val="pt-BR"/>
        </w:rPr>
        <w:t>forçado</w:t>
      </w:r>
      <w:r w:rsidRPr="00D5464D">
        <w:rPr>
          <w:lang w:val="pt-BR"/>
        </w:rPr>
        <w:t xml:space="preserve"> </w:t>
      </w:r>
      <w:r w:rsidR="0018563C" w:rsidRPr="00D5464D">
        <w:rPr>
          <w:lang w:val="pt-BR"/>
        </w:rPr>
        <w:t>em atenção à</w:t>
      </w:r>
      <w:r w:rsidR="002C330E" w:rsidRPr="00D5464D">
        <w:rPr>
          <w:lang w:val="pt-BR"/>
        </w:rPr>
        <w:t>s regras</w:t>
      </w:r>
      <w:r w:rsidR="001E1449" w:rsidRPr="00D5464D">
        <w:rPr>
          <w:lang w:val="pt-BR"/>
        </w:rPr>
        <w:t xml:space="preserve"> relevantes </w:t>
      </w:r>
      <w:r w:rsidRPr="00D5464D">
        <w:rPr>
          <w:lang w:val="pt-BR"/>
        </w:rPr>
        <w:t xml:space="preserve">do </w:t>
      </w:r>
      <w:r w:rsidR="00E765C2" w:rsidRPr="00D5464D">
        <w:rPr>
          <w:lang w:val="pt-BR"/>
        </w:rPr>
        <w:t>Direito Internacional</w:t>
      </w:r>
      <w:r w:rsidRPr="00D5464D">
        <w:rPr>
          <w:lang w:val="pt-BR"/>
        </w:rPr>
        <w:t xml:space="preserve"> dos </w:t>
      </w:r>
      <w:r w:rsidR="0018563C" w:rsidRPr="00D5464D">
        <w:rPr>
          <w:lang w:val="pt-BR"/>
        </w:rPr>
        <w:t>D</w:t>
      </w:r>
      <w:r w:rsidRPr="00D5464D">
        <w:rPr>
          <w:lang w:val="pt-BR"/>
        </w:rPr>
        <w:t>ireito</w:t>
      </w:r>
      <w:r w:rsidR="001E1449" w:rsidRPr="00D5464D">
        <w:rPr>
          <w:lang w:val="pt-BR"/>
        </w:rPr>
        <w:t xml:space="preserve">s </w:t>
      </w:r>
      <w:r w:rsidR="0018563C" w:rsidRPr="00D5464D">
        <w:rPr>
          <w:lang w:val="pt-BR"/>
        </w:rPr>
        <w:t>H</w:t>
      </w:r>
      <w:r w:rsidR="001E1449" w:rsidRPr="00D5464D">
        <w:rPr>
          <w:lang w:val="pt-BR"/>
        </w:rPr>
        <w:t xml:space="preserve">umanos. </w:t>
      </w:r>
    </w:p>
    <w:p w14:paraId="5F1381EB" w14:textId="77777777" w:rsidR="00DE3E58" w:rsidRPr="00D5464D" w:rsidRDefault="00DE3E58" w:rsidP="00DE3E58">
      <w:pPr>
        <w:pStyle w:val="Prrafodelista"/>
        <w:ind w:left="0"/>
        <w:contextualSpacing w:val="0"/>
        <w:rPr>
          <w:lang w:val="pt-BR"/>
        </w:rPr>
      </w:pPr>
    </w:p>
    <w:p w14:paraId="063BDAE8" w14:textId="48297997" w:rsidR="001E1449" w:rsidRPr="00D5464D" w:rsidRDefault="00470ADC" w:rsidP="001E1449">
      <w:pPr>
        <w:pStyle w:val="Prrafodelista"/>
        <w:numPr>
          <w:ilvl w:val="0"/>
          <w:numId w:val="1"/>
        </w:numPr>
        <w:contextualSpacing w:val="0"/>
        <w:rPr>
          <w:lang w:val="pt-BR"/>
        </w:rPr>
      </w:pPr>
      <w:r w:rsidRPr="00D5464D">
        <w:rPr>
          <w:lang w:val="pt-BR"/>
        </w:rPr>
        <w:t xml:space="preserve">A </w:t>
      </w:r>
      <w:r w:rsidR="001E1449" w:rsidRPr="00D5464D">
        <w:rPr>
          <w:lang w:val="pt-BR"/>
        </w:rPr>
        <w:t xml:space="preserve">Corte </w:t>
      </w:r>
      <w:r w:rsidR="00350187" w:rsidRPr="00D5464D">
        <w:rPr>
          <w:lang w:val="pt-BR"/>
        </w:rPr>
        <w:t>examinou</w:t>
      </w:r>
      <w:r w:rsidR="002C330E" w:rsidRPr="00D5464D">
        <w:rPr>
          <w:lang w:val="pt-BR"/>
        </w:rPr>
        <w:t xml:space="preserve"> os fatos</w:t>
      </w:r>
      <w:r w:rsidR="001E1449" w:rsidRPr="00D5464D">
        <w:rPr>
          <w:lang w:val="pt-BR"/>
        </w:rPr>
        <w:t xml:space="preserve"> </w:t>
      </w:r>
      <w:r w:rsidRPr="00D5464D">
        <w:rPr>
          <w:lang w:val="pt-BR"/>
        </w:rPr>
        <w:t xml:space="preserve">do </w:t>
      </w:r>
      <w:r w:rsidR="001E1449" w:rsidRPr="00D5464D">
        <w:rPr>
          <w:lang w:val="pt-BR"/>
        </w:rPr>
        <w:t>presente caso</w:t>
      </w:r>
      <w:r w:rsidRPr="00D5464D">
        <w:rPr>
          <w:lang w:val="pt-BR"/>
        </w:rPr>
        <w:t xml:space="preserve"> à </w:t>
      </w:r>
      <w:r w:rsidR="001E1449" w:rsidRPr="00D5464D">
        <w:rPr>
          <w:lang w:val="pt-BR"/>
        </w:rPr>
        <w:t xml:space="preserve">luz </w:t>
      </w:r>
      <w:r w:rsidR="0018563C" w:rsidRPr="00D5464D">
        <w:rPr>
          <w:lang w:val="pt-BR"/>
        </w:rPr>
        <w:t xml:space="preserve">da evolução </w:t>
      </w:r>
      <w:r w:rsidRPr="00D5464D">
        <w:rPr>
          <w:lang w:val="pt-BR"/>
        </w:rPr>
        <w:t xml:space="preserve">do </w:t>
      </w:r>
      <w:r w:rsidR="00E765C2" w:rsidRPr="00D5464D">
        <w:rPr>
          <w:lang w:val="pt-BR"/>
        </w:rPr>
        <w:t>Direito Internacional</w:t>
      </w:r>
      <w:r w:rsidRPr="00D5464D">
        <w:rPr>
          <w:lang w:val="pt-BR"/>
        </w:rPr>
        <w:t xml:space="preserve"> dos </w:t>
      </w:r>
      <w:r w:rsidR="0018563C" w:rsidRPr="00D5464D">
        <w:rPr>
          <w:lang w:val="pt-BR"/>
        </w:rPr>
        <w:t>D</w:t>
      </w:r>
      <w:r w:rsidRPr="00D5464D">
        <w:rPr>
          <w:lang w:val="pt-BR"/>
        </w:rPr>
        <w:t>ireito</w:t>
      </w:r>
      <w:r w:rsidR="001E1449" w:rsidRPr="00D5464D">
        <w:rPr>
          <w:lang w:val="pt-BR"/>
        </w:rPr>
        <w:t xml:space="preserve">s </w:t>
      </w:r>
      <w:r w:rsidR="0018563C" w:rsidRPr="00D5464D">
        <w:rPr>
          <w:lang w:val="pt-BR"/>
        </w:rPr>
        <w:t>H</w:t>
      </w:r>
      <w:r w:rsidR="001E1449" w:rsidRPr="00D5464D">
        <w:rPr>
          <w:lang w:val="pt-BR"/>
        </w:rPr>
        <w:t>umanos</w:t>
      </w:r>
      <w:r w:rsidR="00E045D9" w:rsidRPr="00D5464D">
        <w:rPr>
          <w:lang w:val="pt-BR"/>
        </w:rPr>
        <w:t xml:space="preserve"> na </w:t>
      </w:r>
      <w:r w:rsidR="002C330E" w:rsidRPr="00D5464D">
        <w:rPr>
          <w:lang w:val="pt-BR"/>
        </w:rPr>
        <w:t>matéria</w:t>
      </w:r>
      <w:r w:rsidR="00E045D9" w:rsidRPr="00D5464D">
        <w:rPr>
          <w:lang w:val="pt-BR"/>
        </w:rPr>
        <w:t xml:space="preserve"> e </w:t>
      </w:r>
      <w:r w:rsidRPr="00D5464D">
        <w:rPr>
          <w:lang w:val="pt-BR"/>
        </w:rPr>
        <w:t>concluiu</w:t>
      </w:r>
      <w:r w:rsidR="001E1449" w:rsidRPr="00D5464D">
        <w:rPr>
          <w:lang w:val="pt-BR"/>
        </w:rPr>
        <w:t xml:space="preserve"> que</w:t>
      </w:r>
      <w:r w:rsidR="002C330E" w:rsidRPr="00D5464D">
        <w:rPr>
          <w:lang w:val="pt-BR"/>
        </w:rPr>
        <w:t xml:space="preserve"> a </w:t>
      </w:r>
      <w:r w:rsidR="001E1449" w:rsidRPr="00D5464D">
        <w:rPr>
          <w:lang w:val="pt-BR"/>
        </w:rPr>
        <w:t>situa</w:t>
      </w:r>
      <w:r w:rsidRPr="00D5464D">
        <w:rPr>
          <w:lang w:val="pt-BR"/>
        </w:rPr>
        <w:t xml:space="preserve">ção dos </w:t>
      </w:r>
      <w:r w:rsidR="00E045D9" w:rsidRPr="00D5464D">
        <w:rPr>
          <w:lang w:val="pt-BR"/>
        </w:rPr>
        <w:t>trabalhadores</w:t>
      </w:r>
      <w:r w:rsidR="001E1449" w:rsidRPr="00D5464D">
        <w:rPr>
          <w:lang w:val="pt-BR"/>
        </w:rPr>
        <w:t xml:space="preserve"> </w:t>
      </w:r>
      <w:r w:rsidR="0090341D" w:rsidRPr="00D5464D">
        <w:rPr>
          <w:lang w:val="pt-BR"/>
        </w:rPr>
        <w:t>resgatado</w:t>
      </w:r>
      <w:r w:rsidR="001E1449" w:rsidRPr="00D5464D">
        <w:rPr>
          <w:lang w:val="pt-BR"/>
        </w:rPr>
        <w:t>s</w:t>
      </w:r>
      <w:r w:rsidRPr="00D5464D">
        <w:rPr>
          <w:lang w:val="pt-BR"/>
        </w:rPr>
        <w:t xml:space="preserve"> em </w:t>
      </w:r>
      <w:r w:rsidR="002C330E" w:rsidRPr="00D5464D">
        <w:rPr>
          <w:lang w:val="pt-BR"/>
        </w:rPr>
        <w:t>março</w:t>
      </w:r>
      <w:r w:rsidR="001E1449" w:rsidRPr="00D5464D">
        <w:rPr>
          <w:lang w:val="pt-BR"/>
        </w:rPr>
        <w:t xml:space="preserve"> de 2000 constituía</w:t>
      </w:r>
      <w:r w:rsidR="00E045D9" w:rsidRPr="00D5464D">
        <w:rPr>
          <w:lang w:val="pt-BR"/>
        </w:rPr>
        <w:t xml:space="preserve"> uma </w:t>
      </w:r>
      <w:r w:rsidR="001E1449" w:rsidRPr="00D5464D">
        <w:rPr>
          <w:lang w:val="pt-BR"/>
        </w:rPr>
        <w:t>forma análoga</w:t>
      </w:r>
      <w:r w:rsidRPr="00D5464D">
        <w:rPr>
          <w:lang w:val="pt-BR"/>
        </w:rPr>
        <w:t xml:space="preserve"> à </w:t>
      </w:r>
      <w:r w:rsidR="000B376D" w:rsidRPr="00D5464D">
        <w:rPr>
          <w:lang w:val="pt-BR"/>
        </w:rPr>
        <w:t>escravidão</w:t>
      </w:r>
      <w:r w:rsidR="001E1449" w:rsidRPr="00D5464D">
        <w:rPr>
          <w:lang w:val="pt-BR"/>
        </w:rPr>
        <w:t xml:space="preserve">, </w:t>
      </w:r>
      <w:r w:rsidR="00737270" w:rsidRPr="00D5464D">
        <w:rPr>
          <w:lang w:val="pt-BR"/>
        </w:rPr>
        <w:t>proibid</w:t>
      </w:r>
      <w:r w:rsidR="001E1449" w:rsidRPr="00D5464D">
        <w:rPr>
          <w:lang w:val="pt-BR"/>
        </w:rPr>
        <w:t>a</w:t>
      </w:r>
      <w:r w:rsidR="002C330E" w:rsidRPr="00D5464D">
        <w:rPr>
          <w:lang w:val="pt-BR"/>
        </w:rPr>
        <w:t xml:space="preserve"> pelo </w:t>
      </w:r>
      <w:r w:rsidRPr="00D5464D">
        <w:rPr>
          <w:lang w:val="pt-BR"/>
        </w:rPr>
        <w:t>artigo</w:t>
      </w:r>
      <w:r w:rsidR="001E1449" w:rsidRPr="00D5464D">
        <w:rPr>
          <w:lang w:val="pt-BR"/>
        </w:rPr>
        <w:t xml:space="preserve"> 6.1</w:t>
      </w:r>
      <w:r w:rsidRPr="00D5464D">
        <w:rPr>
          <w:lang w:val="pt-BR"/>
        </w:rPr>
        <w:t xml:space="preserve"> da </w:t>
      </w:r>
      <w:r w:rsidR="001E1449" w:rsidRPr="00D5464D">
        <w:rPr>
          <w:lang w:val="pt-BR"/>
        </w:rPr>
        <w:t>Conven</w:t>
      </w:r>
      <w:r w:rsidRPr="00D5464D">
        <w:rPr>
          <w:lang w:val="pt-BR"/>
        </w:rPr>
        <w:t>ção</w:t>
      </w:r>
      <w:r w:rsidR="001E1449" w:rsidRPr="00D5464D">
        <w:rPr>
          <w:lang w:val="pt-BR"/>
        </w:rPr>
        <w:t xml:space="preserve"> Americana (</w:t>
      </w:r>
      <w:r w:rsidR="00C85EA9" w:rsidRPr="00D5464D">
        <w:rPr>
          <w:lang w:val="pt-BR"/>
        </w:rPr>
        <w:t xml:space="preserve">par. </w:t>
      </w:r>
      <w:r w:rsidR="00D036E7" w:rsidRPr="00D5464D">
        <w:rPr>
          <w:lang w:val="pt-BR"/>
        </w:rPr>
        <w:t>241</w:t>
      </w:r>
      <w:r w:rsidR="00D036E7" w:rsidRPr="00D5464D">
        <w:rPr>
          <w:i/>
          <w:lang w:val="pt-BR"/>
        </w:rPr>
        <w:t xml:space="preserve"> supra)</w:t>
      </w:r>
      <w:r w:rsidR="00A1358C" w:rsidRPr="00D5464D">
        <w:rPr>
          <w:lang w:val="pt-BR"/>
        </w:rPr>
        <w:t xml:space="preserve">. </w:t>
      </w:r>
      <w:r w:rsidR="005C10AE" w:rsidRPr="00D5464D">
        <w:rPr>
          <w:lang w:val="pt-BR"/>
        </w:rPr>
        <w:t>Segundo o</w:t>
      </w:r>
      <w:r w:rsidR="00A1358C" w:rsidRPr="00D5464D">
        <w:rPr>
          <w:lang w:val="pt-BR"/>
        </w:rPr>
        <w:t xml:space="preserve"> </w:t>
      </w:r>
      <w:r w:rsidR="001E1449" w:rsidRPr="00D5464D">
        <w:rPr>
          <w:lang w:val="pt-BR"/>
        </w:rPr>
        <w:t xml:space="preserve">argumento </w:t>
      </w:r>
      <w:r w:rsidRPr="00D5464D">
        <w:rPr>
          <w:lang w:val="pt-BR"/>
        </w:rPr>
        <w:t xml:space="preserve">do </w:t>
      </w:r>
      <w:r w:rsidR="001E1449" w:rsidRPr="00D5464D">
        <w:rPr>
          <w:lang w:val="pt-BR"/>
        </w:rPr>
        <w:t>Estado</w:t>
      </w:r>
      <w:r w:rsidR="005C10AE" w:rsidRPr="00D5464D">
        <w:rPr>
          <w:lang w:val="pt-BR"/>
        </w:rPr>
        <w:t>,</w:t>
      </w:r>
      <w:r w:rsidR="001E1449" w:rsidRPr="00D5464D">
        <w:rPr>
          <w:lang w:val="pt-BR"/>
        </w:rPr>
        <w:t xml:space="preserve"> </w:t>
      </w:r>
      <w:r w:rsidRPr="00D5464D">
        <w:rPr>
          <w:lang w:val="pt-BR"/>
        </w:rPr>
        <w:t xml:space="preserve">o </w:t>
      </w:r>
      <w:r w:rsidR="001E1449" w:rsidRPr="00D5464D">
        <w:rPr>
          <w:lang w:val="pt-BR"/>
        </w:rPr>
        <w:t xml:space="preserve">tipo penal </w:t>
      </w:r>
      <w:r w:rsidRPr="00D5464D">
        <w:rPr>
          <w:lang w:val="pt-BR"/>
        </w:rPr>
        <w:t xml:space="preserve">do </w:t>
      </w:r>
      <w:r w:rsidR="001E1449" w:rsidRPr="00D5464D">
        <w:rPr>
          <w:lang w:val="pt-BR"/>
        </w:rPr>
        <w:t xml:space="preserve">delito de </w:t>
      </w:r>
      <w:r w:rsidR="00737270" w:rsidRPr="00D5464D">
        <w:rPr>
          <w:lang w:val="pt-BR"/>
        </w:rPr>
        <w:t>redução</w:t>
      </w:r>
      <w:r w:rsidR="001E1449" w:rsidRPr="00D5464D">
        <w:rPr>
          <w:lang w:val="pt-BR"/>
        </w:rPr>
        <w:t xml:space="preserve"> </w:t>
      </w:r>
      <w:r w:rsidR="0018563C" w:rsidRPr="00D5464D">
        <w:rPr>
          <w:lang w:val="pt-BR"/>
        </w:rPr>
        <w:t>à</w:t>
      </w:r>
      <w:r w:rsidR="001E1449" w:rsidRPr="00D5464D">
        <w:rPr>
          <w:lang w:val="pt-BR"/>
        </w:rPr>
        <w:t xml:space="preserve"> condi</w:t>
      </w:r>
      <w:r w:rsidRPr="00D5464D">
        <w:rPr>
          <w:lang w:val="pt-BR"/>
        </w:rPr>
        <w:t>ção</w:t>
      </w:r>
      <w:r w:rsidR="001E1449" w:rsidRPr="00D5464D">
        <w:rPr>
          <w:lang w:val="pt-BR"/>
        </w:rPr>
        <w:t xml:space="preserve"> de </w:t>
      </w:r>
      <w:r w:rsidR="004F1CC2" w:rsidRPr="00D5464D">
        <w:rPr>
          <w:lang w:val="pt-BR"/>
        </w:rPr>
        <w:t>escravo</w:t>
      </w:r>
      <w:r w:rsidR="001E1449" w:rsidRPr="00D5464D">
        <w:rPr>
          <w:lang w:val="pt-BR"/>
        </w:rPr>
        <w:t xml:space="preserve"> </w:t>
      </w:r>
      <w:r w:rsidRPr="00D5464D">
        <w:rPr>
          <w:lang w:val="pt-BR"/>
        </w:rPr>
        <w:t>do artigo</w:t>
      </w:r>
      <w:r w:rsidR="001E1449" w:rsidRPr="00D5464D">
        <w:rPr>
          <w:lang w:val="pt-BR"/>
        </w:rPr>
        <w:t xml:space="preserve"> 149 </w:t>
      </w:r>
      <w:r w:rsidRPr="00D5464D">
        <w:rPr>
          <w:lang w:val="pt-BR"/>
        </w:rPr>
        <w:t xml:space="preserve">do </w:t>
      </w:r>
      <w:r w:rsidR="001E1449" w:rsidRPr="00D5464D">
        <w:rPr>
          <w:lang w:val="pt-BR"/>
        </w:rPr>
        <w:t xml:space="preserve">Código Penal </w:t>
      </w:r>
      <w:r w:rsidRPr="00D5464D">
        <w:rPr>
          <w:lang w:val="pt-BR"/>
        </w:rPr>
        <w:t>brasileir</w:t>
      </w:r>
      <w:r w:rsidR="001E1449" w:rsidRPr="00D5464D">
        <w:rPr>
          <w:lang w:val="pt-BR"/>
        </w:rPr>
        <w:t xml:space="preserve">o </w:t>
      </w:r>
      <w:r w:rsidR="005C10AE" w:rsidRPr="00D5464D">
        <w:rPr>
          <w:lang w:val="pt-BR"/>
        </w:rPr>
        <w:t xml:space="preserve">seria </w:t>
      </w:r>
      <w:r w:rsidR="0018563C" w:rsidRPr="00D5464D">
        <w:rPr>
          <w:lang w:val="pt-BR"/>
        </w:rPr>
        <w:t xml:space="preserve">muito </w:t>
      </w:r>
      <w:r w:rsidR="00350187" w:rsidRPr="00D5464D">
        <w:rPr>
          <w:lang w:val="pt-BR"/>
        </w:rPr>
        <w:t>amplo</w:t>
      </w:r>
      <w:r w:rsidR="001E1449" w:rsidRPr="00D5464D">
        <w:rPr>
          <w:lang w:val="pt-BR"/>
        </w:rPr>
        <w:t>, su</w:t>
      </w:r>
      <w:r w:rsidR="002C330E" w:rsidRPr="00D5464D">
        <w:rPr>
          <w:lang w:val="pt-BR"/>
        </w:rPr>
        <w:t>posta</w:t>
      </w:r>
      <w:r w:rsidR="001E1449" w:rsidRPr="00D5464D">
        <w:rPr>
          <w:lang w:val="pt-BR"/>
        </w:rPr>
        <w:t>mente incorporando figuras n</w:t>
      </w:r>
      <w:r w:rsidR="0018563C" w:rsidRPr="00D5464D">
        <w:rPr>
          <w:lang w:val="pt-BR"/>
        </w:rPr>
        <w:t>ã</w:t>
      </w:r>
      <w:r w:rsidR="001E1449" w:rsidRPr="00D5464D">
        <w:rPr>
          <w:lang w:val="pt-BR"/>
        </w:rPr>
        <w:t>o contempladas</w:t>
      </w:r>
      <w:r w:rsidR="002C330E" w:rsidRPr="00D5464D">
        <w:rPr>
          <w:lang w:val="pt-BR"/>
        </w:rPr>
        <w:t xml:space="preserve"> </w:t>
      </w:r>
      <w:r w:rsidR="0018563C" w:rsidRPr="00D5464D">
        <w:rPr>
          <w:lang w:val="pt-BR"/>
        </w:rPr>
        <w:t xml:space="preserve">no </w:t>
      </w:r>
      <w:r w:rsidR="00E765C2" w:rsidRPr="00D5464D">
        <w:rPr>
          <w:lang w:val="pt-BR"/>
        </w:rPr>
        <w:t>Direito Internacional</w:t>
      </w:r>
      <w:r w:rsidR="00A1358C" w:rsidRPr="00D5464D">
        <w:rPr>
          <w:lang w:val="pt-BR"/>
        </w:rPr>
        <w:t xml:space="preserve">. A </w:t>
      </w:r>
      <w:r w:rsidR="00950507" w:rsidRPr="00D5464D">
        <w:rPr>
          <w:lang w:val="pt-BR"/>
        </w:rPr>
        <w:t xml:space="preserve">esse </w:t>
      </w:r>
      <w:r w:rsidR="00737270" w:rsidRPr="00D5464D">
        <w:rPr>
          <w:lang w:val="pt-BR"/>
        </w:rPr>
        <w:t>respeito</w:t>
      </w:r>
      <w:r w:rsidR="001E1449" w:rsidRPr="00D5464D">
        <w:rPr>
          <w:lang w:val="pt-BR"/>
        </w:rPr>
        <w:t>,</w:t>
      </w:r>
      <w:r w:rsidR="002C330E" w:rsidRPr="00D5464D">
        <w:rPr>
          <w:lang w:val="pt-BR"/>
        </w:rPr>
        <w:t xml:space="preserve"> a </w:t>
      </w:r>
      <w:r w:rsidR="001E1449" w:rsidRPr="00D5464D">
        <w:rPr>
          <w:lang w:val="pt-BR"/>
        </w:rPr>
        <w:t>Corte considera relevante destacar do</w:t>
      </w:r>
      <w:r w:rsidR="0018563C" w:rsidRPr="00D5464D">
        <w:rPr>
          <w:lang w:val="pt-BR"/>
        </w:rPr>
        <w:t>i</w:t>
      </w:r>
      <w:r w:rsidR="001E1449" w:rsidRPr="00D5464D">
        <w:rPr>
          <w:lang w:val="pt-BR"/>
        </w:rPr>
        <w:t xml:space="preserve">s </w:t>
      </w:r>
      <w:r w:rsidR="002C330E" w:rsidRPr="00D5464D">
        <w:rPr>
          <w:lang w:val="pt-BR"/>
        </w:rPr>
        <w:t>pontos</w:t>
      </w:r>
      <w:r w:rsidR="001E1449" w:rsidRPr="00D5464D">
        <w:rPr>
          <w:lang w:val="pt-BR"/>
        </w:rPr>
        <w:t xml:space="preserve"> </w:t>
      </w:r>
      <w:r w:rsidR="002C330E" w:rsidRPr="00D5464D">
        <w:rPr>
          <w:lang w:val="pt-BR"/>
        </w:rPr>
        <w:t>principais</w:t>
      </w:r>
      <w:r w:rsidR="001E1449" w:rsidRPr="00D5464D">
        <w:rPr>
          <w:lang w:val="pt-BR"/>
        </w:rPr>
        <w:t xml:space="preserve">. </w:t>
      </w:r>
    </w:p>
    <w:p w14:paraId="4149A4F6" w14:textId="77777777" w:rsidR="001E1449" w:rsidRPr="00D5464D" w:rsidRDefault="001E1449" w:rsidP="001E1449">
      <w:pPr>
        <w:pStyle w:val="Prrafodelista"/>
        <w:ind w:left="0"/>
        <w:rPr>
          <w:lang w:val="pt-BR"/>
        </w:rPr>
      </w:pPr>
    </w:p>
    <w:p w14:paraId="414A516D" w14:textId="5FFCC802" w:rsidR="001E1449" w:rsidRPr="00D5464D" w:rsidRDefault="00737270" w:rsidP="001E1449">
      <w:pPr>
        <w:pStyle w:val="Prrafodelista"/>
        <w:numPr>
          <w:ilvl w:val="0"/>
          <w:numId w:val="1"/>
        </w:numPr>
        <w:contextualSpacing w:val="0"/>
        <w:rPr>
          <w:lang w:val="pt-BR"/>
        </w:rPr>
      </w:pPr>
      <w:r w:rsidRPr="00D5464D">
        <w:rPr>
          <w:lang w:val="pt-BR"/>
        </w:rPr>
        <w:t>Em primeiro</w:t>
      </w:r>
      <w:r w:rsidR="002C330E" w:rsidRPr="00D5464D">
        <w:rPr>
          <w:lang w:val="pt-BR"/>
        </w:rPr>
        <w:t xml:space="preserve"> </w:t>
      </w:r>
      <w:r w:rsidR="001E1449" w:rsidRPr="00D5464D">
        <w:rPr>
          <w:lang w:val="pt-BR"/>
        </w:rPr>
        <w:t>lugar</w:t>
      </w:r>
      <w:r w:rsidR="0018563C" w:rsidRPr="00D5464D">
        <w:rPr>
          <w:lang w:val="pt-BR"/>
        </w:rPr>
        <w:t>,</w:t>
      </w:r>
      <w:r w:rsidR="00470ADC" w:rsidRPr="00D5464D">
        <w:rPr>
          <w:lang w:val="pt-BR"/>
        </w:rPr>
        <w:t xml:space="preserve"> é </w:t>
      </w:r>
      <w:r w:rsidR="002C330E" w:rsidRPr="00D5464D">
        <w:rPr>
          <w:lang w:val="pt-BR"/>
        </w:rPr>
        <w:t>necessári</w:t>
      </w:r>
      <w:r w:rsidR="001E1449" w:rsidRPr="00D5464D">
        <w:rPr>
          <w:lang w:val="pt-BR"/>
        </w:rPr>
        <w:t>o precisar que</w:t>
      </w:r>
      <w:r w:rsidR="00470ADC" w:rsidRPr="00D5464D">
        <w:rPr>
          <w:lang w:val="pt-BR"/>
        </w:rPr>
        <w:t xml:space="preserve"> o </w:t>
      </w:r>
      <w:r w:rsidR="001E1449" w:rsidRPr="00D5464D">
        <w:rPr>
          <w:lang w:val="pt-BR"/>
        </w:rPr>
        <w:t>tipo penal</w:t>
      </w:r>
      <w:r w:rsidR="00E045D9" w:rsidRPr="00D5464D">
        <w:rPr>
          <w:lang w:val="pt-BR"/>
        </w:rPr>
        <w:t xml:space="preserve"> </w:t>
      </w:r>
      <w:r w:rsidR="0018563C" w:rsidRPr="00D5464D">
        <w:rPr>
          <w:lang w:val="pt-BR"/>
        </w:rPr>
        <w:t xml:space="preserve">vigente </w:t>
      </w:r>
      <w:r w:rsidR="00E045D9" w:rsidRPr="00D5464D">
        <w:rPr>
          <w:lang w:val="pt-BR"/>
        </w:rPr>
        <w:t>na época</w:t>
      </w:r>
      <w:r w:rsidR="002C330E" w:rsidRPr="00D5464D">
        <w:rPr>
          <w:lang w:val="pt-BR"/>
        </w:rPr>
        <w:t xml:space="preserve"> </w:t>
      </w:r>
      <w:r w:rsidR="00470ADC" w:rsidRPr="00D5464D">
        <w:rPr>
          <w:lang w:val="pt-BR"/>
        </w:rPr>
        <w:t xml:space="preserve">dos </w:t>
      </w:r>
      <w:r w:rsidR="002C330E" w:rsidRPr="00D5464D">
        <w:rPr>
          <w:lang w:val="pt-BR"/>
        </w:rPr>
        <w:t>fatos</w:t>
      </w:r>
      <w:r w:rsidR="001E1449" w:rsidRPr="00D5464D">
        <w:rPr>
          <w:lang w:val="pt-BR"/>
        </w:rPr>
        <w:t xml:space="preserve"> </w:t>
      </w:r>
      <w:r w:rsidR="00470ADC" w:rsidRPr="00D5464D">
        <w:rPr>
          <w:lang w:val="pt-BR"/>
        </w:rPr>
        <w:t xml:space="preserve">do </w:t>
      </w:r>
      <w:r w:rsidR="001E1449" w:rsidRPr="00D5464D">
        <w:rPr>
          <w:lang w:val="pt-BR"/>
        </w:rPr>
        <w:t xml:space="preserve">caso </w:t>
      </w:r>
      <w:r w:rsidR="002C330E" w:rsidRPr="00D5464D">
        <w:rPr>
          <w:lang w:val="pt-BR"/>
        </w:rPr>
        <w:t>simplesmente</w:t>
      </w:r>
      <w:r w:rsidR="001E1449" w:rsidRPr="00D5464D">
        <w:rPr>
          <w:lang w:val="pt-BR"/>
        </w:rPr>
        <w:t xml:space="preserve"> declara</w:t>
      </w:r>
      <w:r w:rsidR="0018563C" w:rsidRPr="00D5464D">
        <w:rPr>
          <w:lang w:val="pt-BR"/>
        </w:rPr>
        <w:t>v</w:t>
      </w:r>
      <w:r w:rsidR="001E1449" w:rsidRPr="00D5464D">
        <w:rPr>
          <w:lang w:val="pt-BR"/>
        </w:rPr>
        <w:t xml:space="preserve">a: “Art. 149 - </w:t>
      </w:r>
      <w:r w:rsidR="00A1358C" w:rsidRPr="00D5464D">
        <w:rPr>
          <w:lang w:val="pt-BR"/>
        </w:rPr>
        <w:t>Reduzir</w:t>
      </w:r>
      <w:r w:rsidR="001E1449" w:rsidRPr="00D5464D">
        <w:rPr>
          <w:lang w:val="pt-BR"/>
        </w:rPr>
        <w:t xml:space="preserve"> </w:t>
      </w:r>
      <w:r w:rsidR="00A1358C" w:rsidRPr="00D5464D">
        <w:rPr>
          <w:lang w:val="pt-BR"/>
        </w:rPr>
        <w:t>alguém</w:t>
      </w:r>
      <w:r w:rsidR="00470ADC" w:rsidRPr="00D5464D">
        <w:rPr>
          <w:lang w:val="pt-BR"/>
        </w:rPr>
        <w:t xml:space="preserve"> </w:t>
      </w:r>
      <w:r w:rsidR="0018563C" w:rsidRPr="00D5464D">
        <w:rPr>
          <w:lang w:val="pt-BR"/>
        </w:rPr>
        <w:t>a</w:t>
      </w:r>
      <w:r w:rsidR="00470ADC" w:rsidRPr="00D5464D">
        <w:rPr>
          <w:lang w:val="pt-BR"/>
        </w:rPr>
        <w:t xml:space="preserve"> </w:t>
      </w:r>
      <w:r w:rsidR="00D36269" w:rsidRPr="00D5464D">
        <w:rPr>
          <w:lang w:val="pt-BR"/>
        </w:rPr>
        <w:t>condi</w:t>
      </w:r>
      <w:r w:rsidR="00470ADC" w:rsidRPr="00D5464D">
        <w:rPr>
          <w:lang w:val="pt-BR"/>
        </w:rPr>
        <w:t>ção</w:t>
      </w:r>
      <w:r w:rsidR="00D36269" w:rsidRPr="00D5464D">
        <w:rPr>
          <w:lang w:val="pt-BR"/>
        </w:rPr>
        <w:t xml:space="preserve"> </w:t>
      </w:r>
      <w:r w:rsidR="001E1449" w:rsidRPr="00D5464D">
        <w:rPr>
          <w:lang w:val="pt-BR"/>
        </w:rPr>
        <w:t>análoga</w:t>
      </w:r>
      <w:r w:rsidR="00470ADC" w:rsidRPr="00D5464D">
        <w:rPr>
          <w:lang w:val="pt-BR"/>
        </w:rPr>
        <w:t xml:space="preserve"> à </w:t>
      </w:r>
      <w:r w:rsidR="00D36269" w:rsidRPr="00D5464D">
        <w:rPr>
          <w:lang w:val="pt-BR"/>
        </w:rPr>
        <w:t xml:space="preserve">de </w:t>
      </w:r>
      <w:r w:rsidR="004F1CC2" w:rsidRPr="00D5464D">
        <w:rPr>
          <w:lang w:val="pt-BR"/>
        </w:rPr>
        <w:t>escravo</w:t>
      </w:r>
      <w:r w:rsidR="001E1449" w:rsidRPr="00D5464D">
        <w:rPr>
          <w:lang w:val="pt-BR"/>
        </w:rPr>
        <w:t xml:space="preserve">: Pena - </w:t>
      </w:r>
      <w:r w:rsidR="002C330E" w:rsidRPr="00D5464D">
        <w:rPr>
          <w:lang w:val="pt-BR"/>
        </w:rPr>
        <w:t>reclusão</w:t>
      </w:r>
      <w:r w:rsidR="001E1449" w:rsidRPr="00D5464D">
        <w:rPr>
          <w:lang w:val="pt-BR"/>
        </w:rPr>
        <w:t>, de 2 (do</w:t>
      </w:r>
      <w:r w:rsidR="0018563C" w:rsidRPr="00D5464D">
        <w:rPr>
          <w:lang w:val="pt-BR"/>
        </w:rPr>
        <w:t>i</w:t>
      </w:r>
      <w:r w:rsidR="001E1449" w:rsidRPr="00D5464D">
        <w:rPr>
          <w:lang w:val="pt-BR"/>
        </w:rPr>
        <w:t>s) a 8 (</w:t>
      </w:r>
      <w:r w:rsidR="002C330E" w:rsidRPr="00D5464D">
        <w:rPr>
          <w:lang w:val="pt-BR"/>
        </w:rPr>
        <w:t>oito</w:t>
      </w:r>
      <w:r w:rsidR="001E1449" w:rsidRPr="00D5464D">
        <w:rPr>
          <w:lang w:val="pt-BR"/>
        </w:rPr>
        <w:t xml:space="preserve">) </w:t>
      </w:r>
      <w:r w:rsidR="00470ADC" w:rsidRPr="00D5464D">
        <w:rPr>
          <w:lang w:val="pt-BR"/>
        </w:rPr>
        <w:t>anos</w:t>
      </w:r>
      <w:r w:rsidR="001E1449" w:rsidRPr="00D5464D">
        <w:rPr>
          <w:lang w:val="pt-BR"/>
        </w:rPr>
        <w:t>”</w:t>
      </w:r>
      <w:r w:rsidR="00D36269" w:rsidRPr="00D5464D">
        <w:rPr>
          <w:lang w:val="pt-BR"/>
        </w:rPr>
        <w:t>.</w:t>
      </w:r>
      <w:r w:rsidR="00470ADC" w:rsidRPr="00D5464D">
        <w:rPr>
          <w:lang w:val="pt-BR"/>
        </w:rPr>
        <w:t xml:space="preserve"> </w:t>
      </w:r>
      <w:r w:rsidR="00290DC5" w:rsidRPr="00D5464D">
        <w:rPr>
          <w:lang w:val="pt-BR"/>
        </w:rPr>
        <w:t xml:space="preserve">Isso significa </w:t>
      </w:r>
      <w:r w:rsidR="001E1449" w:rsidRPr="00D5464D">
        <w:rPr>
          <w:lang w:val="pt-BR"/>
        </w:rPr>
        <w:t>que n</w:t>
      </w:r>
      <w:r w:rsidR="00290DC5" w:rsidRPr="00D5464D">
        <w:rPr>
          <w:lang w:val="pt-BR"/>
        </w:rPr>
        <w:t>ã</w:t>
      </w:r>
      <w:r w:rsidR="001E1449" w:rsidRPr="00D5464D">
        <w:rPr>
          <w:lang w:val="pt-BR"/>
        </w:rPr>
        <w:t>o se trat</w:t>
      </w:r>
      <w:r w:rsidR="00350187" w:rsidRPr="00D5464D">
        <w:rPr>
          <w:lang w:val="pt-BR"/>
        </w:rPr>
        <w:t xml:space="preserve">ava </w:t>
      </w:r>
      <w:r w:rsidR="00470ADC" w:rsidRPr="00D5464D">
        <w:rPr>
          <w:lang w:val="pt-BR"/>
        </w:rPr>
        <w:t xml:space="preserve">do </w:t>
      </w:r>
      <w:r w:rsidR="002C330E" w:rsidRPr="00D5464D">
        <w:rPr>
          <w:lang w:val="pt-BR"/>
        </w:rPr>
        <w:t>novo</w:t>
      </w:r>
      <w:r w:rsidR="001E1449" w:rsidRPr="00D5464D">
        <w:rPr>
          <w:lang w:val="pt-BR"/>
        </w:rPr>
        <w:t xml:space="preserve"> tipo penal </w:t>
      </w:r>
      <w:r w:rsidR="002C330E" w:rsidRPr="00D5464D">
        <w:rPr>
          <w:lang w:val="pt-BR"/>
        </w:rPr>
        <w:t>produto</w:t>
      </w:r>
      <w:r w:rsidR="00470ADC" w:rsidRPr="00D5464D">
        <w:rPr>
          <w:lang w:val="pt-BR"/>
        </w:rPr>
        <w:t xml:space="preserve"> da </w:t>
      </w:r>
      <w:r w:rsidR="001E1449" w:rsidRPr="00D5464D">
        <w:rPr>
          <w:lang w:val="pt-BR"/>
        </w:rPr>
        <w:t xml:space="preserve">reforma </w:t>
      </w:r>
      <w:r w:rsidR="00470ADC" w:rsidRPr="00D5464D">
        <w:rPr>
          <w:lang w:val="pt-BR"/>
        </w:rPr>
        <w:t xml:space="preserve">do ano </w:t>
      </w:r>
      <w:r w:rsidR="001E1449" w:rsidRPr="00D5464D">
        <w:rPr>
          <w:lang w:val="pt-BR"/>
        </w:rPr>
        <w:t>2003,</w:t>
      </w:r>
      <w:r w:rsidR="00470ADC" w:rsidRPr="00D5464D">
        <w:rPr>
          <w:lang w:val="pt-BR"/>
        </w:rPr>
        <w:t xml:space="preserve"> o qual</w:t>
      </w:r>
      <w:r w:rsidR="00E045D9" w:rsidRPr="00D5464D">
        <w:rPr>
          <w:lang w:val="pt-BR"/>
        </w:rPr>
        <w:t xml:space="preserve"> inclui </w:t>
      </w:r>
      <w:r w:rsidR="00470ADC" w:rsidRPr="00D5464D">
        <w:rPr>
          <w:lang w:val="pt-BR"/>
        </w:rPr>
        <w:t>quatro</w:t>
      </w:r>
      <w:r w:rsidR="001E1449" w:rsidRPr="00D5464D">
        <w:rPr>
          <w:lang w:val="pt-BR"/>
        </w:rPr>
        <w:t xml:space="preserve"> </w:t>
      </w:r>
      <w:r w:rsidR="00290DC5" w:rsidRPr="00D5464D">
        <w:rPr>
          <w:lang w:val="pt-BR"/>
        </w:rPr>
        <w:t xml:space="preserve">outras </w:t>
      </w:r>
      <w:r w:rsidR="001E1449" w:rsidRPr="00D5464D">
        <w:rPr>
          <w:lang w:val="pt-BR"/>
        </w:rPr>
        <w:t xml:space="preserve">figuras como </w:t>
      </w:r>
      <w:r w:rsidR="006665EF" w:rsidRPr="00D5464D">
        <w:rPr>
          <w:lang w:val="pt-BR"/>
        </w:rPr>
        <w:t>análogas</w:t>
      </w:r>
      <w:r w:rsidR="00350187" w:rsidRPr="00D5464D">
        <w:rPr>
          <w:lang w:val="pt-BR"/>
        </w:rPr>
        <w:t xml:space="preserve"> </w:t>
      </w:r>
      <w:r w:rsidR="00470ADC" w:rsidRPr="00D5464D">
        <w:rPr>
          <w:lang w:val="pt-BR"/>
        </w:rPr>
        <w:t xml:space="preserve">à </w:t>
      </w:r>
      <w:r w:rsidR="001E1449" w:rsidRPr="00D5464D">
        <w:rPr>
          <w:lang w:val="pt-BR"/>
        </w:rPr>
        <w:t>condi</w:t>
      </w:r>
      <w:r w:rsidR="00470ADC" w:rsidRPr="00D5464D">
        <w:rPr>
          <w:lang w:val="pt-BR"/>
        </w:rPr>
        <w:t>ção</w:t>
      </w:r>
      <w:r w:rsidR="001E1449" w:rsidRPr="00D5464D">
        <w:rPr>
          <w:lang w:val="pt-BR"/>
        </w:rPr>
        <w:t xml:space="preserve"> de </w:t>
      </w:r>
      <w:r w:rsidR="004F1CC2" w:rsidRPr="00D5464D">
        <w:rPr>
          <w:lang w:val="pt-BR"/>
        </w:rPr>
        <w:t>escravo</w:t>
      </w:r>
      <w:r w:rsidR="001E1449" w:rsidRPr="00D5464D">
        <w:rPr>
          <w:lang w:val="pt-BR"/>
        </w:rPr>
        <w:t xml:space="preserve"> (</w:t>
      </w:r>
      <w:r w:rsidR="00E045D9" w:rsidRPr="00D5464D">
        <w:rPr>
          <w:lang w:val="pt-BR"/>
        </w:rPr>
        <w:t>trabalho</w:t>
      </w:r>
      <w:r w:rsidR="001E1449" w:rsidRPr="00D5464D">
        <w:rPr>
          <w:lang w:val="pt-BR"/>
        </w:rPr>
        <w:t xml:space="preserve"> </w:t>
      </w:r>
      <w:r w:rsidR="00230C71" w:rsidRPr="00D5464D">
        <w:rPr>
          <w:lang w:val="pt-BR"/>
        </w:rPr>
        <w:t>forçado</w:t>
      </w:r>
      <w:r w:rsidR="001E1449" w:rsidRPr="00D5464D">
        <w:rPr>
          <w:lang w:val="pt-BR"/>
        </w:rPr>
        <w:t xml:space="preserve">, jornada </w:t>
      </w:r>
      <w:r w:rsidRPr="00D5464D">
        <w:rPr>
          <w:lang w:val="pt-BR"/>
        </w:rPr>
        <w:t>exaustiv</w:t>
      </w:r>
      <w:r w:rsidR="001E1449" w:rsidRPr="00D5464D">
        <w:rPr>
          <w:lang w:val="pt-BR"/>
        </w:rPr>
        <w:t>a, condi</w:t>
      </w:r>
      <w:r w:rsidR="00470ADC" w:rsidRPr="00D5464D">
        <w:rPr>
          <w:lang w:val="pt-BR"/>
        </w:rPr>
        <w:t>ções</w:t>
      </w:r>
      <w:r w:rsidR="001E1449" w:rsidRPr="00D5464D">
        <w:rPr>
          <w:lang w:val="pt-BR"/>
        </w:rPr>
        <w:t xml:space="preserve"> degradantes de </w:t>
      </w:r>
      <w:r w:rsidR="00E045D9" w:rsidRPr="00D5464D">
        <w:rPr>
          <w:lang w:val="pt-BR"/>
        </w:rPr>
        <w:t>trabalho</w:t>
      </w:r>
      <w:r w:rsidR="001E1449" w:rsidRPr="00D5464D">
        <w:rPr>
          <w:lang w:val="pt-BR"/>
        </w:rPr>
        <w:t xml:space="preserve">, </w:t>
      </w:r>
      <w:r w:rsidR="002C330E" w:rsidRPr="00D5464D">
        <w:rPr>
          <w:lang w:val="pt-BR"/>
        </w:rPr>
        <w:t>restrição</w:t>
      </w:r>
      <w:r w:rsidR="001E1449" w:rsidRPr="00D5464D">
        <w:rPr>
          <w:lang w:val="pt-BR"/>
        </w:rPr>
        <w:t xml:space="preserve"> de </w:t>
      </w:r>
      <w:r w:rsidR="002C330E" w:rsidRPr="00D5464D">
        <w:rPr>
          <w:lang w:val="pt-BR"/>
        </w:rPr>
        <w:t>movimento</w:t>
      </w:r>
      <w:r w:rsidR="00470ADC" w:rsidRPr="00D5464D">
        <w:rPr>
          <w:lang w:val="pt-BR"/>
        </w:rPr>
        <w:t xml:space="preserve"> com </w:t>
      </w:r>
      <w:r w:rsidR="001E1449" w:rsidRPr="00D5464D">
        <w:rPr>
          <w:lang w:val="pt-BR"/>
        </w:rPr>
        <w:t>base</w:t>
      </w:r>
      <w:r w:rsidR="00470ADC" w:rsidRPr="00D5464D">
        <w:rPr>
          <w:lang w:val="pt-BR"/>
        </w:rPr>
        <w:t xml:space="preserve"> em dívida com o </w:t>
      </w:r>
      <w:r w:rsidR="00230C71" w:rsidRPr="00D5464D">
        <w:rPr>
          <w:lang w:val="pt-BR"/>
        </w:rPr>
        <w:t>empregad</w:t>
      </w:r>
      <w:r w:rsidR="001E1449" w:rsidRPr="00D5464D">
        <w:rPr>
          <w:lang w:val="pt-BR"/>
        </w:rPr>
        <w:t>or)</w:t>
      </w:r>
      <w:r w:rsidR="00290DC5" w:rsidRPr="00D5464D">
        <w:rPr>
          <w:lang w:val="pt-BR"/>
        </w:rPr>
        <w:t>.</w:t>
      </w:r>
      <w:r w:rsidR="001E1449" w:rsidRPr="00D5464D">
        <w:rPr>
          <w:rStyle w:val="Refdenotaalpie"/>
          <w:lang w:val="pt-BR"/>
        </w:rPr>
        <w:footnoteReference w:id="446"/>
      </w:r>
      <w:r w:rsidR="001E1449" w:rsidRPr="00D5464D">
        <w:rPr>
          <w:lang w:val="pt-BR"/>
        </w:rPr>
        <w:t xml:space="preserve"> </w:t>
      </w:r>
      <w:r w:rsidR="00470ADC" w:rsidRPr="00D5464D">
        <w:rPr>
          <w:lang w:val="pt-BR"/>
        </w:rPr>
        <w:t>Assim</w:t>
      </w:r>
      <w:r w:rsidR="001E1449" w:rsidRPr="00D5464D">
        <w:rPr>
          <w:lang w:val="pt-BR"/>
        </w:rPr>
        <w:t>,</w:t>
      </w:r>
      <w:r w:rsidR="00470ADC" w:rsidRPr="00D5464D">
        <w:rPr>
          <w:lang w:val="pt-BR"/>
        </w:rPr>
        <w:t xml:space="preserve"> </w:t>
      </w:r>
      <w:r w:rsidR="005C10AE" w:rsidRPr="00D5464D">
        <w:rPr>
          <w:lang w:val="pt-BR"/>
        </w:rPr>
        <w:t>é</w:t>
      </w:r>
      <w:r w:rsidR="00290DC5" w:rsidRPr="00D5464D">
        <w:rPr>
          <w:lang w:val="pt-BR"/>
        </w:rPr>
        <w:t xml:space="preserve"> necessário </w:t>
      </w:r>
      <w:r w:rsidR="00E045D9" w:rsidRPr="00D5464D">
        <w:rPr>
          <w:lang w:val="pt-BR"/>
        </w:rPr>
        <w:t xml:space="preserve">ter </w:t>
      </w:r>
      <w:r w:rsidR="005C10AE" w:rsidRPr="00D5464D">
        <w:rPr>
          <w:lang w:val="pt-BR"/>
        </w:rPr>
        <w:t>em conta</w:t>
      </w:r>
      <w:r w:rsidR="001E1449" w:rsidRPr="00D5464D">
        <w:rPr>
          <w:lang w:val="pt-BR"/>
        </w:rPr>
        <w:t xml:space="preserve"> que</w:t>
      </w:r>
      <w:r w:rsidR="00470ADC" w:rsidRPr="00D5464D">
        <w:rPr>
          <w:lang w:val="pt-BR"/>
        </w:rPr>
        <w:t xml:space="preserve"> o </w:t>
      </w:r>
      <w:r w:rsidR="001E1449" w:rsidRPr="00D5464D">
        <w:rPr>
          <w:lang w:val="pt-BR"/>
        </w:rPr>
        <w:t>tipo penal vigente</w:t>
      </w:r>
      <w:r w:rsidR="00470ADC" w:rsidRPr="00D5464D">
        <w:rPr>
          <w:lang w:val="pt-BR"/>
        </w:rPr>
        <w:t xml:space="preserve"> à </w:t>
      </w:r>
      <w:r w:rsidR="00E045D9" w:rsidRPr="00D5464D">
        <w:rPr>
          <w:lang w:val="pt-BR"/>
        </w:rPr>
        <w:t>época</w:t>
      </w:r>
      <w:r w:rsidR="002C330E" w:rsidRPr="00D5464D">
        <w:rPr>
          <w:lang w:val="pt-BR"/>
        </w:rPr>
        <w:t xml:space="preserve"> </w:t>
      </w:r>
      <w:r w:rsidR="00470ADC" w:rsidRPr="00D5464D">
        <w:rPr>
          <w:lang w:val="pt-BR"/>
        </w:rPr>
        <w:t xml:space="preserve">dos </w:t>
      </w:r>
      <w:r w:rsidR="002C330E" w:rsidRPr="00D5464D">
        <w:rPr>
          <w:lang w:val="pt-BR"/>
        </w:rPr>
        <w:t>fatos</w:t>
      </w:r>
      <w:r w:rsidR="001E1449" w:rsidRPr="00D5464D">
        <w:rPr>
          <w:lang w:val="pt-BR"/>
        </w:rPr>
        <w:t xml:space="preserve"> </w:t>
      </w:r>
      <w:r w:rsidRPr="00D5464D">
        <w:rPr>
          <w:lang w:val="pt-BR"/>
        </w:rPr>
        <w:t>não pode</w:t>
      </w:r>
      <w:r w:rsidR="002C330E" w:rsidRPr="00D5464D">
        <w:rPr>
          <w:lang w:val="pt-BR"/>
        </w:rPr>
        <w:t>ria</w:t>
      </w:r>
      <w:r w:rsidR="001E1449" w:rsidRPr="00D5464D">
        <w:rPr>
          <w:lang w:val="pt-BR"/>
        </w:rPr>
        <w:t xml:space="preserve"> ser caracterizado como distinto</w:t>
      </w:r>
      <w:r w:rsidR="00470ADC" w:rsidRPr="00D5464D">
        <w:rPr>
          <w:lang w:val="pt-BR"/>
        </w:rPr>
        <w:t xml:space="preserve"> à </w:t>
      </w:r>
      <w:r w:rsidR="002C330E" w:rsidRPr="00D5464D">
        <w:rPr>
          <w:lang w:val="pt-BR"/>
        </w:rPr>
        <w:t>proibição</w:t>
      </w:r>
      <w:r w:rsidR="001E1449" w:rsidRPr="00D5464D">
        <w:rPr>
          <w:lang w:val="pt-BR"/>
        </w:rPr>
        <w:t xml:space="preserve"> </w:t>
      </w:r>
      <w:r w:rsidRPr="00D5464D">
        <w:rPr>
          <w:lang w:val="pt-BR"/>
        </w:rPr>
        <w:t>existente</w:t>
      </w:r>
      <w:r w:rsidR="00E045D9" w:rsidRPr="00D5464D">
        <w:rPr>
          <w:lang w:val="pt-BR"/>
        </w:rPr>
        <w:t xml:space="preserve"> na </w:t>
      </w:r>
      <w:r w:rsidR="001E1449" w:rsidRPr="00D5464D">
        <w:rPr>
          <w:lang w:val="pt-BR"/>
        </w:rPr>
        <w:t>Conven</w:t>
      </w:r>
      <w:r w:rsidR="00470ADC" w:rsidRPr="00D5464D">
        <w:rPr>
          <w:lang w:val="pt-BR"/>
        </w:rPr>
        <w:t>ção</w:t>
      </w:r>
      <w:r w:rsidR="001E1449" w:rsidRPr="00D5464D">
        <w:rPr>
          <w:lang w:val="pt-BR"/>
        </w:rPr>
        <w:t xml:space="preserve"> Americana, o</w:t>
      </w:r>
      <w:r w:rsidR="00290DC5" w:rsidRPr="00D5464D">
        <w:rPr>
          <w:lang w:val="pt-BR"/>
        </w:rPr>
        <w:t>u</w:t>
      </w:r>
      <w:r w:rsidR="001E1449" w:rsidRPr="00D5464D">
        <w:rPr>
          <w:lang w:val="pt-BR"/>
        </w:rPr>
        <w:t xml:space="preserve"> “</w:t>
      </w:r>
      <w:r w:rsidR="00290DC5" w:rsidRPr="00D5464D">
        <w:rPr>
          <w:lang w:val="pt-BR"/>
        </w:rPr>
        <w:t xml:space="preserve">muito </w:t>
      </w:r>
      <w:r w:rsidR="00350187" w:rsidRPr="00D5464D">
        <w:rPr>
          <w:lang w:val="pt-BR"/>
        </w:rPr>
        <w:t>amplo</w:t>
      </w:r>
      <w:r w:rsidR="001E1449" w:rsidRPr="00D5464D">
        <w:rPr>
          <w:lang w:val="pt-BR"/>
        </w:rPr>
        <w:t xml:space="preserve">” como </w:t>
      </w:r>
      <w:r w:rsidR="00230C71" w:rsidRPr="00D5464D">
        <w:rPr>
          <w:lang w:val="pt-BR"/>
        </w:rPr>
        <w:t>sugere</w:t>
      </w:r>
      <w:r w:rsidR="00470ADC" w:rsidRPr="00D5464D">
        <w:rPr>
          <w:lang w:val="pt-BR"/>
        </w:rPr>
        <w:t xml:space="preserve"> o </w:t>
      </w:r>
      <w:r w:rsidR="001E1449" w:rsidRPr="00D5464D">
        <w:rPr>
          <w:lang w:val="pt-BR"/>
        </w:rPr>
        <w:t xml:space="preserve">Estado. </w:t>
      </w:r>
    </w:p>
    <w:p w14:paraId="5B229731" w14:textId="77777777" w:rsidR="001E1449" w:rsidRPr="00D5464D" w:rsidRDefault="001E1449" w:rsidP="001E1449">
      <w:pPr>
        <w:pStyle w:val="Prrafodelista"/>
        <w:ind w:left="0"/>
        <w:rPr>
          <w:lang w:val="pt-BR"/>
        </w:rPr>
      </w:pPr>
    </w:p>
    <w:p w14:paraId="590F0F69" w14:textId="5793EE63" w:rsidR="001E1449" w:rsidRPr="00D5464D" w:rsidRDefault="00350187" w:rsidP="001E1449">
      <w:pPr>
        <w:pStyle w:val="Prrafodelista"/>
        <w:numPr>
          <w:ilvl w:val="0"/>
          <w:numId w:val="1"/>
        </w:numPr>
        <w:contextualSpacing w:val="0"/>
        <w:rPr>
          <w:lang w:val="pt-BR"/>
        </w:rPr>
      </w:pPr>
      <w:r w:rsidRPr="00D5464D">
        <w:rPr>
          <w:lang w:val="pt-BR"/>
        </w:rPr>
        <w:t xml:space="preserve">Além disso, </w:t>
      </w:r>
      <w:r w:rsidR="00290DC5" w:rsidRPr="00D5464D">
        <w:rPr>
          <w:lang w:val="pt-BR"/>
        </w:rPr>
        <w:t xml:space="preserve">a revisão </w:t>
      </w:r>
      <w:r w:rsidR="00470ADC" w:rsidRPr="00D5464D">
        <w:rPr>
          <w:lang w:val="pt-BR"/>
        </w:rPr>
        <w:t xml:space="preserve">da </w:t>
      </w:r>
      <w:r w:rsidR="002C330E" w:rsidRPr="00D5464D">
        <w:rPr>
          <w:lang w:val="pt-BR"/>
        </w:rPr>
        <w:t xml:space="preserve">jurisprudência </w:t>
      </w:r>
      <w:r w:rsidR="001E1449" w:rsidRPr="00D5464D">
        <w:rPr>
          <w:lang w:val="pt-BR"/>
        </w:rPr>
        <w:t xml:space="preserve">de </w:t>
      </w:r>
      <w:r w:rsidR="00E045D9" w:rsidRPr="00D5464D">
        <w:rPr>
          <w:lang w:val="pt-BR"/>
        </w:rPr>
        <w:t>tribunais</w:t>
      </w:r>
      <w:r w:rsidR="001E1449" w:rsidRPr="00D5464D">
        <w:rPr>
          <w:lang w:val="pt-BR"/>
        </w:rPr>
        <w:t xml:space="preserve"> superiores </w:t>
      </w:r>
      <w:r w:rsidR="00470ADC" w:rsidRPr="00D5464D">
        <w:rPr>
          <w:lang w:val="pt-BR"/>
        </w:rPr>
        <w:t>brasileir</w:t>
      </w:r>
      <w:r w:rsidR="001E1449" w:rsidRPr="00D5464D">
        <w:rPr>
          <w:lang w:val="pt-BR"/>
        </w:rPr>
        <w:t>os</w:t>
      </w:r>
      <w:r w:rsidR="00290DC5" w:rsidRPr="00D5464D">
        <w:rPr>
          <w:lang w:val="pt-BR"/>
        </w:rPr>
        <w:t>,</w:t>
      </w:r>
      <w:r w:rsidRPr="00D5464D">
        <w:rPr>
          <w:lang w:val="pt-BR"/>
        </w:rPr>
        <w:t xml:space="preserve"> apresent</w:t>
      </w:r>
      <w:r w:rsidR="001E1449" w:rsidRPr="00D5464D">
        <w:rPr>
          <w:lang w:val="pt-BR"/>
        </w:rPr>
        <w:t>a</w:t>
      </w:r>
      <w:r w:rsidR="00290DC5" w:rsidRPr="00D5464D">
        <w:rPr>
          <w:lang w:val="pt-BR"/>
        </w:rPr>
        <w:t>da</w:t>
      </w:r>
      <w:r w:rsidR="00470ADC" w:rsidRPr="00D5464D">
        <w:rPr>
          <w:lang w:val="pt-BR"/>
        </w:rPr>
        <w:t xml:space="preserve"> ao </w:t>
      </w:r>
      <w:r w:rsidR="001E1449" w:rsidRPr="00D5464D">
        <w:rPr>
          <w:lang w:val="pt-BR"/>
        </w:rPr>
        <w:t>Tribunal durante</w:t>
      </w:r>
      <w:r w:rsidR="00470ADC" w:rsidRPr="00D5464D">
        <w:rPr>
          <w:lang w:val="pt-BR"/>
        </w:rPr>
        <w:t xml:space="preserve"> o </w:t>
      </w:r>
      <w:r w:rsidR="002C330E" w:rsidRPr="00D5464D">
        <w:rPr>
          <w:lang w:val="pt-BR"/>
        </w:rPr>
        <w:t>litígio</w:t>
      </w:r>
      <w:r w:rsidR="001E1449" w:rsidRPr="00D5464D">
        <w:rPr>
          <w:lang w:val="pt-BR"/>
        </w:rPr>
        <w:t xml:space="preserve"> </w:t>
      </w:r>
      <w:r w:rsidR="00470ADC" w:rsidRPr="00D5464D">
        <w:rPr>
          <w:lang w:val="pt-BR"/>
        </w:rPr>
        <w:t xml:space="preserve">do </w:t>
      </w:r>
      <w:r w:rsidR="001E1449" w:rsidRPr="00D5464D">
        <w:rPr>
          <w:lang w:val="pt-BR"/>
        </w:rPr>
        <w:t>presente caso, tanto</w:t>
      </w:r>
      <w:r w:rsidR="002C330E" w:rsidRPr="00D5464D">
        <w:rPr>
          <w:lang w:val="pt-BR"/>
        </w:rPr>
        <w:t xml:space="preserve"> pelo </w:t>
      </w:r>
      <w:r w:rsidR="001E1449" w:rsidRPr="00D5464D">
        <w:rPr>
          <w:lang w:val="pt-BR"/>
        </w:rPr>
        <w:t>Estado como</w:t>
      </w:r>
      <w:r w:rsidR="002C330E" w:rsidRPr="00D5464D">
        <w:rPr>
          <w:lang w:val="pt-BR"/>
        </w:rPr>
        <w:t xml:space="preserve"> pelos </w:t>
      </w:r>
      <w:r w:rsidR="00EB1CE9" w:rsidRPr="00D5464D">
        <w:rPr>
          <w:lang w:val="pt-BR"/>
        </w:rPr>
        <w:t>representante</w:t>
      </w:r>
      <w:r w:rsidR="001E1449" w:rsidRPr="00D5464D">
        <w:rPr>
          <w:lang w:val="pt-BR"/>
        </w:rPr>
        <w:t xml:space="preserve">s, </w:t>
      </w:r>
      <w:r w:rsidR="00E045D9" w:rsidRPr="00D5464D">
        <w:rPr>
          <w:lang w:val="pt-BR"/>
        </w:rPr>
        <w:t>testemunha</w:t>
      </w:r>
      <w:r w:rsidR="001E1449" w:rsidRPr="00D5464D">
        <w:rPr>
          <w:lang w:val="pt-BR"/>
        </w:rPr>
        <w:t>s, declarantes a título informativo</w:t>
      </w:r>
      <w:r w:rsidR="00E045D9" w:rsidRPr="00D5464D">
        <w:rPr>
          <w:lang w:val="pt-BR"/>
        </w:rPr>
        <w:t xml:space="preserve"> e </w:t>
      </w:r>
      <w:r w:rsidR="001E1449" w:rsidRPr="00D5464D">
        <w:rPr>
          <w:lang w:val="pt-BR"/>
        </w:rPr>
        <w:t>peritos, destaca que</w:t>
      </w:r>
      <w:r w:rsidR="00470ADC" w:rsidRPr="00D5464D">
        <w:rPr>
          <w:lang w:val="pt-BR"/>
        </w:rPr>
        <w:t xml:space="preserve"> o </w:t>
      </w:r>
      <w:r w:rsidR="001E1449" w:rsidRPr="00D5464D">
        <w:rPr>
          <w:lang w:val="pt-BR"/>
        </w:rPr>
        <w:t>elemento fundamental para determinar</w:t>
      </w:r>
      <w:r w:rsidR="002C330E" w:rsidRPr="00D5464D">
        <w:rPr>
          <w:lang w:val="pt-BR"/>
        </w:rPr>
        <w:t xml:space="preserve"> a </w:t>
      </w:r>
      <w:r w:rsidR="00E045D9" w:rsidRPr="00D5464D">
        <w:rPr>
          <w:lang w:val="pt-BR"/>
        </w:rPr>
        <w:t>existência</w:t>
      </w:r>
      <w:r w:rsidR="001E1449" w:rsidRPr="00D5464D">
        <w:rPr>
          <w:lang w:val="pt-BR"/>
        </w:rPr>
        <w:t xml:space="preserve"> de</w:t>
      </w:r>
      <w:r w:rsidR="00E045D9" w:rsidRPr="00D5464D">
        <w:rPr>
          <w:lang w:val="pt-BR"/>
        </w:rPr>
        <w:t xml:space="preserve"> uma </w:t>
      </w:r>
      <w:r w:rsidR="001E1449" w:rsidRPr="00D5464D">
        <w:rPr>
          <w:lang w:val="pt-BR"/>
        </w:rPr>
        <w:t>situa</w:t>
      </w:r>
      <w:r w:rsidR="00470ADC" w:rsidRPr="00D5464D">
        <w:rPr>
          <w:lang w:val="pt-BR"/>
        </w:rPr>
        <w:t>ção</w:t>
      </w:r>
      <w:r w:rsidR="001E1449" w:rsidRPr="00D5464D">
        <w:rPr>
          <w:lang w:val="pt-BR"/>
        </w:rPr>
        <w:t xml:space="preserve"> análoga</w:t>
      </w:r>
      <w:r w:rsidR="00470ADC" w:rsidRPr="00D5464D">
        <w:rPr>
          <w:lang w:val="pt-BR"/>
        </w:rPr>
        <w:t xml:space="preserve"> à </w:t>
      </w:r>
      <w:r w:rsidR="00260035" w:rsidRPr="00D5464D">
        <w:rPr>
          <w:lang w:val="pt-BR"/>
        </w:rPr>
        <w:t xml:space="preserve">de </w:t>
      </w:r>
      <w:r w:rsidR="004F1CC2" w:rsidRPr="00D5464D">
        <w:rPr>
          <w:lang w:val="pt-BR"/>
        </w:rPr>
        <w:t>escravo</w:t>
      </w:r>
      <w:r w:rsidR="002C330E" w:rsidRPr="00D5464D">
        <w:rPr>
          <w:lang w:val="pt-BR"/>
        </w:rPr>
        <w:t xml:space="preserve"> pelos </w:t>
      </w:r>
      <w:r w:rsidR="00E045D9" w:rsidRPr="00D5464D">
        <w:rPr>
          <w:lang w:val="pt-BR"/>
        </w:rPr>
        <w:t>tribunais</w:t>
      </w:r>
      <w:r w:rsidR="001E1449" w:rsidRPr="00D5464D">
        <w:rPr>
          <w:lang w:val="pt-BR"/>
        </w:rPr>
        <w:t xml:space="preserve"> </w:t>
      </w:r>
      <w:r w:rsidR="00470ADC" w:rsidRPr="00D5464D">
        <w:rPr>
          <w:lang w:val="pt-BR"/>
        </w:rPr>
        <w:t>brasileir</w:t>
      </w:r>
      <w:r w:rsidR="001E1449" w:rsidRPr="00D5464D">
        <w:rPr>
          <w:lang w:val="pt-BR"/>
        </w:rPr>
        <w:t>os</w:t>
      </w:r>
      <w:r w:rsidR="00D36269" w:rsidRPr="00D5464D">
        <w:rPr>
          <w:lang w:val="pt-BR"/>
        </w:rPr>
        <w:t>,</w:t>
      </w:r>
      <w:r w:rsidR="001E1449" w:rsidRPr="00D5464D">
        <w:rPr>
          <w:lang w:val="pt-BR"/>
        </w:rPr>
        <w:t xml:space="preserve"> antes</w:t>
      </w:r>
      <w:r w:rsidR="00470ADC" w:rsidRPr="00D5464D">
        <w:rPr>
          <w:lang w:val="pt-BR"/>
        </w:rPr>
        <w:t xml:space="preserve"> da </w:t>
      </w:r>
      <w:r w:rsidR="001E1449" w:rsidRPr="00D5464D">
        <w:rPr>
          <w:lang w:val="pt-BR"/>
        </w:rPr>
        <w:t xml:space="preserve">reforma </w:t>
      </w:r>
      <w:r w:rsidR="00470ADC" w:rsidRPr="00D5464D">
        <w:rPr>
          <w:lang w:val="pt-BR"/>
        </w:rPr>
        <w:t xml:space="preserve">do </w:t>
      </w:r>
      <w:r w:rsidR="001E1449" w:rsidRPr="00D5464D">
        <w:rPr>
          <w:lang w:val="pt-BR"/>
        </w:rPr>
        <w:t>tipo penal</w:t>
      </w:r>
      <w:r w:rsidR="00470ADC" w:rsidRPr="00D5464D">
        <w:rPr>
          <w:lang w:val="pt-BR"/>
        </w:rPr>
        <w:t xml:space="preserve"> em </w:t>
      </w:r>
      <w:r w:rsidR="001E1449" w:rsidRPr="00D5464D">
        <w:rPr>
          <w:lang w:val="pt-BR"/>
        </w:rPr>
        <w:t>2003</w:t>
      </w:r>
      <w:r w:rsidR="00D36269" w:rsidRPr="00D5464D">
        <w:rPr>
          <w:lang w:val="pt-BR"/>
        </w:rPr>
        <w:t>,</w:t>
      </w:r>
      <w:r w:rsidR="001E1449" w:rsidRPr="00D5464D">
        <w:rPr>
          <w:lang w:val="pt-BR"/>
        </w:rPr>
        <w:t xml:space="preserve"> era</w:t>
      </w:r>
      <w:r w:rsidR="002C330E" w:rsidRPr="00D5464D">
        <w:rPr>
          <w:lang w:val="pt-BR"/>
        </w:rPr>
        <w:t xml:space="preserve"> a </w:t>
      </w:r>
      <w:r w:rsidR="001E1449" w:rsidRPr="00D5464D">
        <w:rPr>
          <w:lang w:val="pt-BR"/>
        </w:rPr>
        <w:t>priva</w:t>
      </w:r>
      <w:r w:rsidR="00470ADC" w:rsidRPr="00D5464D">
        <w:rPr>
          <w:lang w:val="pt-BR"/>
        </w:rPr>
        <w:t>ção</w:t>
      </w:r>
      <w:r w:rsidR="001E1449" w:rsidRPr="00D5464D">
        <w:rPr>
          <w:lang w:val="pt-BR"/>
        </w:rPr>
        <w:t xml:space="preserve"> de </w:t>
      </w:r>
      <w:r w:rsidR="002C330E" w:rsidRPr="00D5464D">
        <w:rPr>
          <w:lang w:val="pt-BR"/>
        </w:rPr>
        <w:t xml:space="preserve">liberdade </w:t>
      </w:r>
      <w:r w:rsidR="00470ADC" w:rsidRPr="00D5464D">
        <w:rPr>
          <w:lang w:val="pt-BR"/>
        </w:rPr>
        <w:t xml:space="preserve">do </w:t>
      </w:r>
      <w:r w:rsidR="00E045D9" w:rsidRPr="00D5464D">
        <w:rPr>
          <w:lang w:val="pt-BR"/>
        </w:rPr>
        <w:t>trabalh</w:t>
      </w:r>
      <w:r w:rsidR="001E1449" w:rsidRPr="00D5464D">
        <w:rPr>
          <w:lang w:val="pt-BR"/>
        </w:rPr>
        <w:t>ador</w:t>
      </w:r>
      <w:r w:rsidR="00A1358C" w:rsidRPr="00D5464D">
        <w:rPr>
          <w:lang w:val="pt-BR"/>
        </w:rPr>
        <w:t xml:space="preserve">. A </w:t>
      </w:r>
      <w:r w:rsidR="001E1449" w:rsidRPr="00D5464D">
        <w:rPr>
          <w:lang w:val="pt-BR"/>
        </w:rPr>
        <w:t>interpreta</w:t>
      </w:r>
      <w:r w:rsidR="00470ADC" w:rsidRPr="00D5464D">
        <w:rPr>
          <w:lang w:val="pt-BR"/>
        </w:rPr>
        <w:t xml:space="preserve">ção da </w:t>
      </w:r>
      <w:r w:rsidR="002C330E" w:rsidRPr="00D5464D">
        <w:rPr>
          <w:lang w:val="pt-BR"/>
        </w:rPr>
        <w:t>proibição</w:t>
      </w:r>
      <w:r w:rsidR="00470ADC" w:rsidRPr="00D5464D">
        <w:rPr>
          <w:lang w:val="pt-BR"/>
        </w:rPr>
        <w:t xml:space="preserve"> da </w:t>
      </w:r>
      <w:r w:rsidR="000B376D" w:rsidRPr="00D5464D">
        <w:rPr>
          <w:lang w:val="pt-BR"/>
        </w:rPr>
        <w:t>escravidão</w:t>
      </w:r>
      <w:r w:rsidR="00E045D9" w:rsidRPr="00D5464D">
        <w:rPr>
          <w:lang w:val="pt-BR"/>
        </w:rPr>
        <w:t xml:space="preserve"> no </w:t>
      </w:r>
      <w:r w:rsidR="00470ADC" w:rsidRPr="00D5464D">
        <w:rPr>
          <w:lang w:val="pt-BR"/>
        </w:rPr>
        <w:t>artigo</w:t>
      </w:r>
      <w:r w:rsidR="001E1449" w:rsidRPr="00D5464D">
        <w:rPr>
          <w:lang w:val="pt-BR"/>
        </w:rPr>
        <w:t xml:space="preserve"> 149 </w:t>
      </w:r>
      <w:r w:rsidR="00470ADC" w:rsidRPr="00D5464D">
        <w:rPr>
          <w:lang w:val="pt-BR"/>
        </w:rPr>
        <w:t xml:space="preserve">do </w:t>
      </w:r>
      <w:r w:rsidR="001E1449" w:rsidRPr="00D5464D">
        <w:rPr>
          <w:lang w:val="pt-BR"/>
        </w:rPr>
        <w:t>Código Penal</w:t>
      </w:r>
      <w:r w:rsidR="00286C57" w:rsidRPr="00D5464D">
        <w:rPr>
          <w:lang w:val="pt-BR"/>
        </w:rPr>
        <w:t>, em sua redação original,</w:t>
      </w:r>
      <w:r w:rsidR="001E1449" w:rsidRPr="00D5464D">
        <w:rPr>
          <w:lang w:val="pt-BR"/>
        </w:rPr>
        <w:t xml:space="preserve"> </w:t>
      </w:r>
      <w:r w:rsidR="00290DC5" w:rsidRPr="00D5464D">
        <w:rPr>
          <w:lang w:val="pt-BR"/>
        </w:rPr>
        <w:t xml:space="preserve">exigia como </w:t>
      </w:r>
      <w:r w:rsidR="002C330E" w:rsidRPr="00D5464D">
        <w:rPr>
          <w:lang w:val="pt-BR"/>
        </w:rPr>
        <w:t>necessári</w:t>
      </w:r>
      <w:r w:rsidR="001E1449" w:rsidRPr="00D5464D">
        <w:rPr>
          <w:lang w:val="pt-BR"/>
        </w:rPr>
        <w:t>a</w:t>
      </w:r>
      <w:r w:rsidR="002C330E" w:rsidRPr="00D5464D">
        <w:rPr>
          <w:lang w:val="pt-BR"/>
        </w:rPr>
        <w:t xml:space="preserve"> a </w:t>
      </w:r>
      <w:r w:rsidR="00E045D9" w:rsidRPr="00D5464D">
        <w:rPr>
          <w:lang w:val="pt-BR"/>
        </w:rPr>
        <w:t>ocorrência</w:t>
      </w:r>
      <w:r w:rsidR="001E1449" w:rsidRPr="00D5464D">
        <w:rPr>
          <w:lang w:val="pt-BR"/>
        </w:rPr>
        <w:t xml:space="preserve"> de</w:t>
      </w:r>
      <w:r w:rsidR="00E045D9" w:rsidRPr="00D5464D">
        <w:rPr>
          <w:lang w:val="pt-BR"/>
        </w:rPr>
        <w:t xml:space="preserve"> uma </w:t>
      </w:r>
      <w:r w:rsidR="002C330E" w:rsidRPr="00D5464D">
        <w:rPr>
          <w:lang w:val="pt-BR"/>
        </w:rPr>
        <w:t>restrição</w:t>
      </w:r>
      <w:r w:rsidR="00470ADC" w:rsidRPr="00D5464D">
        <w:rPr>
          <w:lang w:val="pt-BR"/>
        </w:rPr>
        <w:t xml:space="preserve"> à </w:t>
      </w:r>
      <w:r w:rsidR="002C330E" w:rsidRPr="00D5464D">
        <w:rPr>
          <w:lang w:val="pt-BR"/>
        </w:rPr>
        <w:t xml:space="preserve">liberdade </w:t>
      </w:r>
      <w:r w:rsidR="00470ADC" w:rsidRPr="00D5464D">
        <w:rPr>
          <w:lang w:val="pt-BR"/>
        </w:rPr>
        <w:t xml:space="preserve">das </w:t>
      </w:r>
      <w:r w:rsidR="00E045D9" w:rsidRPr="00D5464D">
        <w:rPr>
          <w:lang w:val="pt-BR"/>
        </w:rPr>
        <w:t>vítima</w:t>
      </w:r>
      <w:r w:rsidR="001E1449" w:rsidRPr="00D5464D">
        <w:rPr>
          <w:lang w:val="pt-BR"/>
        </w:rPr>
        <w:t>s,</w:t>
      </w:r>
      <w:r w:rsidR="002C330E" w:rsidRPr="00D5464D">
        <w:rPr>
          <w:lang w:val="pt-BR"/>
        </w:rPr>
        <w:t xml:space="preserve"> fato </w:t>
      </w:r>
      <w:r w:rsidR="001E1449" w:rsidRPr="00D5464D">
        <w:rPr>
          <w:lang w:val="pt-BR"/>
        </w:rPr>
        <w:t>confirmado</w:t>
      </w:r>
      <w:r w:rsidR="00E045D9" w:rsidRPr="00D5464D">
        <w:rPr>
          <w:lang w:val="pt-BR"/>
        </w:rPr>
        <w:t xml:space="preserve"> no </w:t>
      </w:r>
      <w:r w:rsidR="001E1449" w:rsidRPr="00D5464D">
        <w:rPr>
          <w:lang w:val="pt-BR"/>
        </w:rPr>
        <w:t>presente caso</w:t>
      </w:r>
      <w:r w:rsidR="00470ADC" w:rsidRPr="00D5464D">
        <w:rPr>
          <w:lang w:val="pt-BR"/>
        </w:rPr>
        <w:t xml:space="preserve"> em </w:t>
      </w:r>
      <w:r w:rsidR="00E045D9" w:rsidRPr="00D5464D">
        <w:rPr>
          <w:lang w:val="pt-BR"/>
        </w:rPr>
        <w:t xml:space="preserve">virtude </w:t>
      </w:r>
      <w:r w:rsidR="00470ADC" w:rsidRPr="00D5464D">
        <w:rPr>
          <w:lang w:val="pt-BR"/>
        </w:rPr>
        <w:t>das ameaça</w:t>
      </w:r>
      <w:r w:rsidR="001E1449" w:rsidRPr="00D5464D">
        <w:rPr>
          <w:lang w:val="pt-BR"/>
        </w:rPr>
        <w:t xml:space="preserve">s, </w:t>
      </w:r>
      <w:r w:rsidR="00290DC5" w:rsidRPr="00D5464D">
        <w:rPr>
          <w:lang w:val="pt-BR"/>
        </w:rPr>
        <w:t xml:space="preserve">da </w:t>
      </w:r>
      <w:r w:rsidR="00E045D9" w:rsidRPr="00D5464D">
        <w:rPr>
          <w:lang w:val="pt-BR"/>
        </w:rPr>
        <w:t xml:space="preserve">violência e </w:t>
      </w:r>
      <w:r w:rsidR="00290DC5" w:rsidRPr="00D5464D">
        <w:rPr>
          <w:lang w:val="pt-BR"/>
        </w:rPr>
        <w:t xml:space="preserve">da </w:t>
      </w:r>
      <w:r w:rsidR="000B376D" w:rsidRPr="00D5464D">
        <w:rPr>
          <w:lang w:val="pt-BR"/>
        </w:rPr>
        <w:t>servidão</w:t>
      </w:r>
      <w:r w:rsidR="001E1449" w:rsidRPr="00D5464D">
        <w:rPr>
          <w:lang w:val="pt-BR"/>
        </w:rPr>
        <w:t xml:space="preserve"> por </w:t>
      </w:r>
      <w:r w:rsidR="00470ADC" w:rsidRPr="00D5464D">
        <w:rPr>
          <w:lang w:val="pt-BR"/>
        </w:rPr>
        <w:t>dívida</w:t>
      </w:r>
      <w:r w:rsidR="001E1449" w:rsidRPr="00D5464D">
        <w:rPr>
          <w:lang w:val="pt-BR"/>
        </w:rPr>
        <w:t xml:space="preserve"> </w:t>
      </w:r>
      <w:r w:rsidR="00737270" w:rsidRPr="00D5464D">
        <w:rPr>
          <w:lang w:val="pt-BR"/>
        </w:rPr>
        <w:t>existentes</w:t>
      </w:r>
      <w:r w:rsidR="00E045D9" w:rsidRPr="00D5464D">
        <w:rPr>
          <w:lang w:val="pt-BR"/>
        </w:rPr>
        <w:t xml:space="preserve"> na </w:t>
      </w:r>
      <w:r w:rsidR="00D809F0" w:rsidRPr="00D5464D">
        <w:rPr>
          <w:lang w:val="pt-BR"/>
        </w:rPr>
        <w:t>Fazenda</w:t>
      </w:r>
      <w:r w:rsidR="001E1449" w:rsidRPr="00D5464D">
        <w:rPr>
          <w:lang w:val="pt-BR"/>
        </w:rPr>
        <w:t xml:space="preserve"> Brasil Verde (</w:t>
      </w:r>
      <w:r w:rsidR="00C85EA9" w:rsidRPr="00D5464D">
        <w:rPr>
          <w:lang w:val="pt-BR"/>
        </w:rPr>
        <w:t xml:space="preserve">par. </w:t>
      </w:r>
      <w:r w:rsidR="00D036E7" w:rsidRPr="00D5464D">
        <w:rPr>
          <w:lang w:val="pt-BR"/>
        </w:rPr>
        <w:t>304</w:t>
      </w:r>
      <w:r w:rsidR="00D036E7" w:rsidRPr="00D5464D">
        <w:rPr>
          <w:i/>
          <w:lang w:val="pt-BR"/>
        </w:rPr>
        <w:t xml:space="preserve"> supra</w:t>
      </w:r>
      <w:r w:rsidR="00D036E7" w:rsidRPr="00D5464D">
        <w:rPr>
          <w:lang w:val="pt-BR"/>
        </w:rPr>
        <w:t>)</w:t>
      </w:r>
      <w:r w:rsidR="001E1449" w:rsidRPr="00D5464D">
        <w:rPr>
          <w:lang w:val="pt-BR"/>
        </w:rPr>
        <w:t xml:space="preserve">. </w:t>
      </w:r>
      <w:r w:rsidRPr="00D5464D">
        <w:rPr>
          <w:lang w:val="pt-BR"/>
        </w:rPr>
        <w:t xml:space="preserve">Além disso, </w:t>
      </w:r>
      <w:r w:rsidR="00470ADC" w:rsidRPr="00D5464D">
        <w:rPr>
          <w:lang w:val="pt-BR"/>
        </w:rPr>
        <w:t xml:space="preserve">foi </w:t>
      </w:r>
      <w:r w:rsidR="001E1449" w:rsidRPr="00D5464D">
        <w:rPr>
          <w:lang w:val="pt-BR"/>
        </w:rPr>
        <w:t>constatada</w:t>
      </w:r>
      <w:r w:rsidR="002C330E" w:rsidRPr="00D5464D">
        <w:rPr>
          <w:lang w:val="pt-BR"/>
        </w:rPr>
        <w:t xml:space="preserve"> a </w:t>
      </w:r>
      <w:r w:rsidR="00E045D9" w:rsidRPr="00D5464D">
        <w:rPr>
          <w:lang w:val="pt-BR"/>
        </w:rPr>
        <w:t>existência</w:t>
      </w:r>
      <w:r w:rsidR="001E1449" w:rsidRPr="00D5464D">
        <w:rPr>
          <w:lang w:val="pt-BR"/>
        </w:rPr>
        <w:t xml:space="preserve"> de </w:t>
      </w:r>
      <w:r w:rsidR="00E045D9" w:rsidRPr="00D5464D">
        <w:rPr>
          <w:lang w:val="pt-BR"/>
        </w:rPr>
        <w:t>trabalho</w:t>
      </w:r>
      <w:r w:rsidR="001E1449" w:rsidRPr="00D5464D">
        <w:rPr>
          <w:lang w:val="pt-BR"/>
        </w:rPr>
        <w:t xml:space="preserve"> </w:t>
      </w:r>
      <w:r w:rsidR="00290DC5" w:rsidRPr="00D5464D">
        <w:rPr>
          <w:lang w:val="pt-BR"/>
        </w:rPr>
        <w:t>exaustivo</w:t>
      </w:r>
      <w:r w:rsidR="001E1449" w:rsidRPr="00D5464D">
        <w:rPr>
          <w:lang w:val="pt-BR"/>
        </w:rPr>
        <w:t>, condi</w:t>
      </w:r>
      <w:r w:rsidR="00470ADC" w:rsidRPr="00D5464D">
        <w:rPr>
          <w:lang w:val="pt-BR"/>
        </w:rPr>
        <w:t>ções</w:t>
      </w:r>
      <w:r w:rsidR="001E1449" w:rsidRPr="00D5464D">
        <w:rPr>
          <w:lang w:val="pt-BR"/>
        </w:rPr>
        <w:t xml:space="preserve"> degradantes de vi</w:t>
      </w:r>
      <w:r w:rsidR="00531F92" w:rsidRPr="00D5464D">
        <w:rPr>
          <w:lang w:val="pt-BR"/>
        </w:rPr>
        <w:t>da, falsifica</w:t>
      </w:r>
      <w:r w:rsidR="00470ADC" w:rsidRPr="00D5464D">
        <w:rPr>
          <w:lang w:val="pt-BR"/>
        </w:rPr>
        <w:t>ção</w:t>
      </w:r>
      <w:r w:rsidR="00531F92" w:rsidRPr="00D5464D">
        <w:rPr>
          <w:lang w:val="pt-BR"/>
        </w:rPr>
        <w:t xml:space="preserve"> de documentos</w:t>
      </w:r>
      <w:r w:rsidR="00E045D9" w:rsidRPr="00D5464D">
        <w:rPr>
          <w:lang w:val="pt-BR"/>
        </w:rPr>
        <w:t xml:space="preserve"> e </w:t>
      </w:r>
      <w:r w:rsidR="002C330E" w:rsidRPr="00D5464D">
        <w:rPr>
          <w:lang w:val="pt-BR"/>
        </w:rPr>
        <w:t xml:space="preserve">a presença </w:t>
      </w:r>
      <w:r w:rsidR="001E1449" w:rsidRPr="00D5464D">
        <w:rPr>
          <w:lang w:val="pt-BR"/>
        </w:rPr>
        <w:t>de menores de</w:t>
      </w:r>
      <w:r w:rsidR="00470ADC" w:rsidRPr="00D5464D">
        <w:rPr>
          <w:lang w:val="pt-BR"/>
        </w:rPr>
        <w:t xml:space="preserve"> idade</w:t>
      </w:r>
      <w:r w:rsidR="001E1449" w:rsidRPr="00D5464D">
        <w:rPr>
          <w:lang w:val="pt-BR"/>
        </w:rPr>
        <w:t>.</w:t>
      </w:r>
      <w:r w:rsidR="002C330E" w:rsidRPr="00D5464D">
        <w:rPr>
          <w:lang w:val="pt-BR"/>
        </w:rPr>
        <w:t xml:space="preserve"> </w:t>
      </w:r>
      <w:r w:rsidR="00286C57" w:rsidRPr="00D5464D">
        <w:rPr>
          <w:lang w:val="pt-BR"/>
        </w:rPr>
        <w:t>Isso</w:t>
      </w:r>
      <w:r w:rsidR="002C330E" w:rsidRPr="00D5464D">
        <w:rPr>
          <w:lang w:val="pt-BR"/>
        </w:rPr>
        <w:t xml:space="preserve"> </w:t>
      </w:r>
      <w:r w:rsidR="001E1449" w:rsidRPr="00D5464D">
        <w:rPr>
          <w:lang w:val="pt-BR"/>
        </w:rPr>
        <w:t>contra</w:t>
      </w:r>
      <w:r w:rsidR="00470ADC" w:rsidRPr="00D5464D">
        <w:rPr>
          <w:lang w:val="pt-BR"/>
        </w:rPr>
        <w:t xml:space="preserve">diz </w:t>
      </w:r>
      <w:r w:rsidR="001E1449" w:rsidRPr="00D5464D">
        <w:rPr>
          <w:lang w:val="pt-BR"/>
        </w:rPr>
        <w:t>rotundamente</w:t>
      </w:r>
      <w:r w:rsidR="00470ADC" w:rsidRPr="00D5464D">
        <w:rPr>
          <w:lang w:val="pt-BR"/>
        </w:rPr>
        <w:t xml:space="preserve"> o </w:t>
      </w:r>
      <w:r w:rsidR="001E1449" w:rsidRPr="00D5464D">
        <w:rPr>
          <w:lang w:val="pt-BR"/>
        </w:rPr>
        <w:t xml:space="preserve">argumento </w:t>
      </w:r>
      <w:r w:rsidR="00470ADC" w:rsidRPr="00D5464D">
        <w:rPr>
          <w:lang w:val="pt-BR"/>
        </w:rPr>
        <w:t xml:space="preserve">do </w:t>
      </w:r>
      <w:r w:rsidR="001E1449" w:rsidRPr="00D5464D">
        <w:rPr>
          <w:lang w:val="pt-BR"/>
        </w:rPr>
        <w:t xml:space="preserve">Estado </w:t>
      </w:r>
      <w:r w:rsidR="002C330E" w:rsidRPr="00D5464D">
        <w:rPr>
          <w:lang w:val="pt-BR"/>
        </w:rPr>
        <w:t>a respeito</w:t>
      </w:r>
      <w:r w:rsidR="001E1449" w:rsidRPr="00D5464D">
        <w:rPr>
          <w:lang w:val="pt-BR"/>
        </w:rPr>
        <w:t xml:space="preserve"> </w:t>
      </w:r>
      <w:r w:rsidR="00290DC5" w:rsidRPr="00D5464D">
        <w:rPr>
          <w:lang w:val="pt-BR"/>
        </w:rPr>
        <w:t>de</w:t>
      </w:r>
      <w:r w:rsidR="001E1449" w:rsidRPr="00D5464D">
        <w:rPr>
          <w:lang w:val="pt-BR"/>
        </w:rPr>
        <w:t xml:space="preserve"> que</w:t>
      </w:r>
      <w:r w:rsidR="002C330E" w:rsidRPr="00D5464D">
        <w:rPr>
          <w:lang w:val="pt-BR"/>
        </w:rPr>
        <w:t xml:space="preserve"> os </w:t>
      </w:r>
      <w:r w:rsidR="00E045D9" w:rsidRPr="00D5464D">
        <w:rPr>
          <w:lang w:val="pt-BR"/>
        </w:rPr>
        <w:t>trabalhadores</w:t>
      </w:r>
      <w:r w:rsidR="00470ADC" w:rsidRPr="00D5464D">
        <w:rPr>
          <w:lang w:val="pt-BR"/>
        </w:rPr>
        <w:t xml:space="preserve"> eram </w:t>
      </w:r>
      <w:r w:rsidR="001E1449" w:rsidRPr="00D5464D">
        <w:rPr>
          <w:lang w:val="pt-BR"/>
        </w:rPr>
        <w:t>li</w:t>
      </w:r>
      <w:r w:rsidR="00290DC5" w:rsidRPr="00D5464D">
        <w:rPr>
          <w:lang w:val="pt-BR"/>
        </w:rPr>
        <w:t>v</w:t>
      </w:r>
      <w:r w:rsidR="001E1449" w:rsidRPr="00D5464D">
        <w:rPr>
          <w:lang w:val="pt-BR"/>
        </w:rPr>
        <w:t xml:space="preserve">res para </w:t>
      </w:r>
      <w:r w:rsidR="00290DC5" w:rsidRPr="00D5464D">
        <w:rPr>
          <w:lang w:val="pt-BR"/>
        </w:rPr>
        <w:t xml:space="preserve">saírem </w:t>
      </w:r>
      <w:r w:rsidR="00470ADC" w:rsidRPr="00D5464D">
        <w:rPr>
          <w:lang w:val="pt-BR"/>
        </w:rPr>
        <w:t xml:space="preserve">da </w:t>
      </w:r>
      <w:r w:rsidR="00D809F0" w:rsidRPr="00D5464D">
        <w:rPr>
          <w:lang w:val="pt-BR"/>
        </w:rPr>
        <w:t>fazenda</w:t>
      </w:r>
      <w:r w:rsidR="00C91CB1" w:rsidRPr="00D5464D">
        <w:rPr>
          <w:lang w:val="pt-BR"/>
        </w:rPr>
        <w:t xml:space="preserve">. Em </w:t>
      </w:r>
      <w:r w:rsidR="00E045D9" w:rsidRPr="00D5464D">
        <w:rPr>
          <w:lang w:val="pt-BR"/>
        </w:rPr>
        <w:t xml:space="preserve">virtude </w:t>
      </w:r>
      <w:r w:rsidR="00470ADC" w:rsidRPr="00D5464D">
        <w:rPr>
          <w:lang w:val="pt-BR"/>
        </w:rPr>
        <w:t xml:space="preserve">do </w:t>
      </w:r>
      <w:r w:rsidR="001E1449" w:rsidRPr="00D5464D">
        <w:rPr>
          <w:lang w:val="pt-BR"/>
        </w:rPr>
        <w:t>anterior,</w:t>
      </w:r>
      <w:r w:rsidR="00470ADC" w:rsidRPr="00D5464D">
        <w:rPr>
          <w:lang w:val="pt-BR"/>
        </w:rPr>
        <w:t xml:space="preserve"> o </w:t>
      </w:r>
      <w:r w:rsidR="001E1449" w:rsidRPr="00D5464D">
        <w:rPr>
          <w:lang w:val="pt-BR"/>
        </w:rPr>
        <w:t xml:space="preserve">argumento </w:t>
      </w:r>
      <w:r w:rsidR="00470ADC" w:rsidRPr="00D5464D">
        <w:rPr>
          <w:lang w:val="pt-BR"/>
        </w:rPr>
        <w:t xml:space="preserve">do </w:t>
      </w:r>
      <w:r w:rsidR="001E1449" w:rsidRPr="00D5464D">
        <w:rPr>
          <w:lang w:val="pt-BR"/>
        </w:rPr>
        <w:t xml:space="preserve">Estado </w:t>
      </w:r>
      <w:r w:rsidR="000B2B14" w:rsidRPr="00D5464D">
        <w:rPr>
          <w:lang w:val="pt-BR"/>
        </w:rPr>
        <w:t>de</w:t>
      </w:r>
      <w:r w:rsidR="00290DC5" w:rsidRPr="00D5464D">
        <w:rPr>
          <w:lang w:val="pt-BR"/>
        </w:rPr>
        <w:t xml:space="preserve"> </w:t>
      </w:r>
      <w:r w:rsidR="001E1449" w:rsidRPr="00D5464D">
        <w:rPr>
          <w:lang w:val="pt-BR"/>
        </w:rPr>
        <w:t>que</w:t>
      </w:r>
      <w:r w:rsidR="002C330E" w:rsidRPr="00D5464D">
        <w:rPr>
          <w:lang w:val="pt-BR"/>
        </w:rPr>
        <w:t xml:space="preserve"> os fatos</w:t>
      </w:r>
      <w:r w:rsidR="001E1449" w:rsidRPr="00D5464D">
        <w:rPr>
          <w:lang w:val="pt-BR"/>
        </w:rPr>
        <w:t xml:space="preserve"> </w:t>
      </w:r>
      <w:r w:rsidR="00A1358C" w:rsidRPr="00D5464D">
        <w:rPr>
          <w:lang w:val="pt-BR"/>
        </w:rPr>
        <w:t>poderiam</w:t>
      </w:r>
      <w:r w:rsidR="001E1449" w:rsidRPr="00D5464D">
        <w:rPr>
          <w:lang w:val="pt-BR"/>
        </w:rPr>
        <w:t xml:space="preserve"> caracterizar </w:t>
      </w:r>
      <w:r w:rsidR="000B376D" w:rsidRPr="00D5464D">
        <w:rPr>
          <w:lang w:val="pt-BR"/>
        </w:rPr>
        <w:t>escravidão</w:t>
      </w:r>
      <w:r w:rsidR="001E1449" w:rsidRPr="00D5464D">
        <w:rPr>
          <w:lang w:val="pt-BR"/>
        </w:rPr>
        <w:t xml:space="preserve"> </w:t>
      </w:r>
      <w:r w:rsidR="00E045D9" w:rsidRPr="00D5464D">
        <w:rPr>
          <w:lang w:val="pt-BR"/>
        </w:rPr>
        <w:t>unicamente</w:t>
      </w:r>
      <w:r w:rsidR="00470ADC" w:rsidRPr="00D5464D">
        <w:rPr>
          <w:lang w:val="pt-BR"/>
        </w:rPr>
        <w:t xml:space="preserve"> sob</w:t>
      </w:r>
      <w:r w:rsidR="002C330E" w:rsidRPr="00D5464D">
        <w:rPr>
          <w:lang w:val="pt-BR"/>
        </w:rPr>
        <w:t xml:space="preserve"> </w:t>
      </w:r>
      <w:r w:rsidR="00290DC5" w:rsidRPr="00D5464D">
        <w:rPr>
          <w:lang w:val="pt-BR"/>
        </w:rPr>
        <w:t>a égide d</w:t>
      </w:r>
      <w:r w:rsidR="002C330E" w:rsidRPr="00D5464D">
        <w:rPr>
          <w:lang w:val="pt-BR"/>
        </w:rPr>
        <w:t xml:space="preserve">a </w:t>
      </w:r>
      <w:r w:rsidR="001E1449" w:rsidRPr="00D5464D">
        <w:rPr>
          <w:lang w:val="pt-BR"/>
        </w:rPr>
        <w:t>legisla</w:t>
      </w:r>
      <w:r w:rsidR="00470ADC" w:rsidRPr="00D5464D">
        <w:rPr>
          <w:lang w:val="pt-BR"/>
        </w:rPr>
        <w:t>ção</w:t>
      </w:r>
      <w:r w:rsidR="001E1449" w:rsidRPr="00D5464D">
        <w:rPr>
          <w:lang w:val="pt-BR"/>
        </w:rPr>
        <w:t xml:space="preserve"> nacional –</w:t>
      </w:r>
      <w:r w:rsidR="00E045D9" w:rsidRPr="00D5464D">
        <w:rPr>
          <w:lang w:val="pt-BR"/>
        </w:rPr>
        <w:t xml:space="preserve"> e </w:t>
      </w:r>
      <w:r w:rsidR="001E1449" w:rsidRPr="00D5464D">
        <w:rPr>
          <w:lang w:val="pt-BR"/>
        </w:rPr>
        <w:t>n</w:t>
      </w:r>
      <w:r w:rsidR="00290DC5" w:rsidRPr="00D5464D">
        <w:rPr>
          <w:lang w:val="pt-BR"/>
        </w:rPr>
        <w:t>ã</w:t>
      </w:r>
      <w:r w:rsidR="001E1449" w:rsidRPr="00D5464D">
        <w:rPr>
          <w:lang w:val="pt-BR"/>
        </w:rPr>
        <w:t>o</w:t>
      </w:r>
      <w:r w:rsidR="00470ADC" w:rsidRPr="00D5464D">
        <w:rPr>
          <w:lang w:val="pt-BR"/>
        </w:rPr>
        <w:t xml:space="preserve"> com </w:t>
      </w:r>
      <w:r w:rsidR="001E1449" w:rsidRPr="00D5464D">
        <w:rPr>
          <w:lang w:val="pt-BR"/>
        </w:rPr>
        <w:t>base</w:t>
      </w:r>
      <w:r w:rsidR="00E045D9" w:rsidRPr="00D5464D">
        <w:rPr>
          <w:lang w:val="pt-BR"/>
        </w:rPr>
        <w:t xml:space="preserve"> no </w:t>
      </w:r>
      <w:r w:rsidR="00E765C2" w:rsidRPr="00D5464D">
        <w:rPr>
          <w:lang w:val="pt-BR"/>
        </w:rPr>
        <w:t>Direito Internacional</w:t>
      </w:r>
      <w:r w:rsidR="001E1449" w:rsidRPr="00D5464D">
        <w:rPr>
          <w:lang w:val="pt-BR"/>
        </w:rPr>
        <w:t xml:space="preserve"> – </w:t>
      </w:r>
      <w:r w:rsidR="002C330E" w:rsidRPr="00D5464D">
        <w:rPr>
          <w:lang w:val="pt-BR"/>
        </w:rPr>
        <w:t xml:space="preserve">não possui </w:t>
      </w:r>
      <w:r w:rsidR="00286C57" w:rsidRPr="00D5464D">
        <w:rPr>
          <w:lang w:val="pt-BR"/>
        </w:rPr>
        <w:t>fundamento</w:t>
      </w:r>
      <w:r w:rsidR="001E1449" w:rsidRPr="00D5464D">
        <w:rPr>
          <w:lang w:val="pt-BR"/>
        </w:rPr>
        <w:t xml:space="preserve">. </w:t>
      </w:r>
    </w:p>
    <w:p w14:paraId="31CF1C77" w14:textId="77777777" w:rsidR="001E1449" w:rsidRPr="00D5464D" w:rsidRDefault="001E1449" w:rsidP="001E1449">
      <w:pPr>
        <w:pStyle w:val="Prrafodelista"/>
        <w:ind w:left="0"/>
        <w:rPr>
          <w:lang w:val="pt-BR"/>
        </w:rPr>
      </w:pPr>
    </w:p>
    <w:p w14:paraId="7183DB97" w14:textId="612D1E9C" w:rsidR="001E1449" w:rsidRPr="00D5464D" w:rsidRDefault="00737270" w:rsidP="001E1449">
      <w:pPr>
        <w:pStyle w:val="Prrafodelista"/>
        <w:numPr>
          <w:ilvl w:val="0"/>
          <w:numId w:val="1"/>
        </w:numPr>
        <w:contextualSpacing w:val="0"/>
        <w:rPr>
          <w:lang w:val="pt-BR"/>
        </w:rPr>
      </w:pPr>
      <w:r w:rsidRPr="00D5464D">
        <w:rPr>
          <w:lang w:val="pt-BR"/>
        </w:rPr>
        <w:t>Em segundo</w:t>
      </w:r>
      <w:r w:rsidR="001E1449" w:rsidRPr="00D5464D">
        <w:rPr>
          <w:lang w:val="pt-BR"/>
        </w:rPr>
        <w:t xml:space="preserve"> lugar,</w:t>
      </w:r>
      <w:r w:rsidR="00470ADC" w:rsidRPr="00D5464D">
        <w:rPr>
          <w:lang w:val="pt-BR"/>
        </w:rPr>
        <w:t xml:space="preserve"> </w:t>
      </w:r>
      <w:r w:rsidR="00C22373" w:rsidRPr="00D5464D">
        <w:rPr>
          <w:lang w:val="pt-BR"/>
        </w:rPr>
        <w:t xml:space="preserve">faz-se mister </w:t>
      </w:r>
      <w:r w:rsidR="001E1449" w:rsidRPr="00D5464D">
        <w:rPr>
          <w:lang w:val="pt-BR"/>
        </w:rPr>
        <w:t>notar que</w:t>
      </w:r>
      <w:r w:rsidR="00C22373" w:rsidRPr="00D5464D">
        <w:rPr>
          <w:lang w:val="pt-BR"/>
        </w:rPr>
        <w:t>,</w:t>
      </w:r>
      <w:r w:rsidR="002C330E" w:rsidRPr="00D5464D">
        <w:rPr>
          <w:lang w:val="pt-BR"/>
        </w:rPr>
        <w:t xml:space="preserve"> se</w:t>
      </w:r>
      <w:r w:rsidR="00E045D9" w:rsidRPr="00D5464D">
        <w:rPr>
          <w:lang w:val="pt-BR"/>
        </w:rPr>
        <w:t xml:space="preserve"> um </w:t>
      </w:r>
      <w:r w:rsidR="001E1449" w:rsidRPr="00D5464D">
        <w:rPr>
          <w:lang w:val="pt-BR"/>
        </w:rPr>
        <w:t xml:space="preserve">país </w:t>
      </w:r>
      <w:r w:rsidR="00470ADC" w:rsidRPr="00D5464D">
        <w:rPr>
          <w:lang w:val="pt-BR"/>
        </w:rPr>
        <w:t>adot</w:t>
      </w:r>
      <w:r w:rsidR="001E1449" w:rsidRPr="00D5464D">
        <w:rPr>
          <w:lang w:val="pt-BR"/>
        </w:rPr>
        <w:t>a normas que</w:t>
      </w:r>
      <w:r w:rsidR="002C330E" w:rsidRPr="00D5464D">
        <w:rPr>
          <w:lang w:val="pt-BR"/>
        </w:rPr>
        <w:t xml:space="preserve"> sejam mais </w:t>
      </w:r>
      <w:r w:rsidR="00350187" w:rsidRPr="00D5464D">
        <w:rPr>
          <w:lang w:val="pt-BR"/>
        </w:rPr>
        <w:t>protetor</w:t>
      </w:r>
      <w:r w:rsidR="001E1449" w:rsidRPr="00D5464D">
        <w:rPr>
          <w:lang w:val="pt-BR"/>
        </w:rPr>
        <w:t>as</w:t>
      </w:r>
      <w:r w:rsidR="00470ADC" w:rsidRPr="00D5464D">
        <w:rPr>
          <w:lang w:val="pt-BR"/>
        </w:rPr>
        <w:t xml:space="preserve"> à </w:t>
      </w:r>
      <w:r w:rsidR="002C330E" w:rsidRPr="00D5464D">
        <w:rPr>
          <w:lang w:val="pt-BR"/>
        </w:rPr>
        <w:t>pessoa</w:t>
      </w:r>
      <w:r w:rsidR="001E1449" w:rsidRPr="00D5464D">
        <w:rPr>
          <w:lang w:val="pt-BR"/>
        </w:rPr>
        <w:t xml:space="preserve"> humana, como </w:t>
      </w:r>
      <w:r w:rsidR="00286C57" w:rsidRPr="00D5464D">
        <w:rPr>
          <w:lang w:val="pt-BR"/>
        </w:rPr>
        <w:t xml:space="preserve">se </w:t>
      </w:r>
      <w:r w:rsidR="002C330E" w:rsidRPr="00D5464D">
        <w:rPr>
          <w:lang w:val="pt-BR"/>
        </w:rPr>
        <w:t>poderia</w:t>
      </w:r>
      <w:r w:rsidR="001E1449" w:rsidRPr="00D5464D">
        <w:rPr>
          <w:lang w:val="pt-BR"/>
        </w:rPr>
        <w:t xml:space="preserve"> </w:t>
      </w:r>
      <w:r w:rsidR="00470ADC" w:rsidRPr="00D5464D">
        <w:rPr>
          <w:lang w:val="pt-BR"/>
        </w:rPr>
        <w:t>entender</w:t>
      </w:r>
      <w:r w:rsidR="002C330E" w:rsidRPr="00D5464D">
        <w:rPr>
          <w:lang w:val="pt-BR"/>
        </w:rPr>
        <w:t xml:space="preserve"> a proibição</w:t>
      </w:r>
      <w:r w:rsidR="00470ADC" w:rsidRPr="00D5464D">
        <w:rPr>
          <w:lang w:val="pt-BR"/>
        </w:rPr>
        <w:t xml:space="preserve"> da </w:t>
      </w:r>
      <w:r w:rsidR="000B376D" w:rsidRPr="00D5464D">
        <w:rPr>
          <w:lang w:val="pt-BR"/>
        </w:rPr>
        <w:t>escravidão</w:t>
      </w:r>
      <w:r w:rsidR="00E045D9" w:rsidRPr="00D5464D">
        <w:rPr>
          <w:lang w:val="pt-BR"/>
        </w:rPr>
        <w:t xml:space="preserve"> no </w:t>
      </w:r>
      <w:r w:rsidR="002C330E" w:rsidRPr="00D5464D">
        <w:rPr>
          <w:lang w:val="pt-BR"/>
        </w:rPr>
        <w:t>ordenamento</w:t>
      </w:r>
      <w:r w:rsidR="001E1449" w:rsidRPr="00D5464D">
        <w:rPr>
          <w:lang w:val="pt-BR"/>
        </w:rPr>
        <w:t xml:space="preserve"> jurídico </w:t>
      </w:r>
      <w:r w:rsidR="00470ADC" w:rsidRPr="00D5464D">
        <w:rPr>
          <w:lang w:val="pt-BR"/>
        </w:rPr>
        <w:t>brasileir</w:t>
      </w:r>
      <w:r w:rsidR="001E1449" w:rsidRPr="00D5464D">
        <w:rPr>
          <w:lang w:val="pt-BR"/>
        </w:rPr>
        <w:t>o a partir de 2003,</w:t>
      </w:r>
      <w:r w:rsidR="00470ADC" w:rsidRPr="00D5464D">
        <w:rPr>
          <w:lang w:val="pt-BR"/>
        </w:rPr>
        <w:t xml:space="preserve"> o </w:t>
      </w:r>
      <w:r w:rsidR="001E1449" w:rsidRPr="00D5464D">
        <w:rPr>
          <w:lang w:val="pt-BR"/>
        </w:rPr>
        <w:t xml:space="preserve">Tribunal </w:t>
      </w:r>
      <w:r w:rsidRPr="00D5464D">
        <w:rPr>
          <w:lang w:val="pt-BR"/>
        </w:rPr>
        <w:t>não pode</w:t>
      </w:r>
      <w:r w:rsidR="002C330E" w:rsidRPr="00D5464D">
        <w:rPr>
          <w:lang w:val="pt-BR"/>
        </w:rPr>
        <w:t>ria</w:t>
      </w:r>
      <w:r w:rsidR="001E1449" w:rsidRPr="00D5464D">
        <w:rPr>
          <w:lang w:val="pt-BR"/>
        </w:rPr>
        <w:t xml:space="preserve"> restringir su</w:t>
      </w:r>
      <w:r w:rsidR="00C22373" w:rsidRPr="00D5464D">
        <w:rPr>
          <w:lang w:val="pt-BR"/>
        </w:rPr>
        <w:t>a</w:t>
      </w:r>
      <w:r w:rsidR="001E1449" w:rsidRPr="00D5464D">
        <w:rPr>
          <w:lang w:val="pt-BR"/>
        </w:rPr>
        <w:t xml:space="preserve"> </w:t>
      </w:r>
      <w:r w:rsidR="00470ADC" w:rsidRPr="00D5464D">
        <w:rPr>
          <w:lang w:val="pt-BR"/>
        </w:rPr>
        <w:t xml:space="preserve">análise da </w:t>
      </w:r>
      <w:r w:rsidR="001E1449" w:rsidRPr="00D5464D">
        <w:rPr>
          <w:lang w:val="pt-BR"/>
        </w:rPr>
        <w:t>situa</w:t>
      </w:r>
      <w:r w:rsidR="00470ADC" w:rsidRPr="00D5464D">
        <w:rPr>
          <w:lang w:val="pt-BR"/>
        </w:rPr>
        <w:t>ção</w:t>
      </w:r>
      <w:r w:rsidR="001E1449" w:rsidRPr="00D5464D">
        <w:rPr>
          <w:lang w:val="pt-BR"/>
        </w:rPr>
        <w:t xml:space="preserve"> específica</w:t>
      </w:r>
      <w:r w:rsidR="00470ADC" w:rsidRPr="00D5464D">
        <w:rPr>
          <w:lang w:val="pt-BR"/>
        </w:rPr>
        <w:t xml:space="preserve"> com </w:t>
      </w:r>
      <w:r w:rsidR="000B2B14" w:rsidRPr="00D5464D">
        <w:rPr>
          <w:lang w:val="pt-BR"/>
        </w:rPr>
        <w:t>base em</w:t>
      </w:r>
      <w:r w:rsidR="00E045D9" w:rsidRPr="00D5464D">
        <w:rPr>
          <w:lang w:val="pt-BR"/>
        </w:rPr>
        <w:t xml:space="preserve"> uma </w:t>
      </w:r>
      <w:r w:rsidR="001E1449" w:rsidRPr="00D5464D">
        <w:rPr>
          <w:lang w:val="pt-BR"/>
        </w:rPr>
        <w:t xml:space="preserve">norma que </w:t>
      </w:r>
      <w:r w:rsidR="00C22373" w:rsidRPr="00D5464D">
        <w:rPr>
          <w:lang w:val="pt-BR"/>
        </w:rPr>
        <w:t xml:space="preserve">ofereça </w:t>
      </w:r>
      <w:r w:rsidR="001E1449" w:rsidRPr="00D5464D">
        <w:rPr>
          <w:lang w:val="pt-BR"/>
        </w:rPr>
        <w:t xml:space="preserve">menos </w:t>
      </w:r>
      <w:r w:rsidR="002C330E" w:rsidRPr="00D5464D">
        <w:rPr>
          <w:lang w:val="pt-BR"/>
        </w:rPr>
        <w:t>proteção</w:t>
      </w:r>
      <w:r w:rsidR="00C91CB1" w:rsidRPr="00D5464D">
        <w:rPr>
          <w:lang w:val="pt-BR"/>
        </w:rPr>
        <w:t xml:space="preserve">. Esse </w:t>
      </w:r>
      <w:r w:rsidR="00470ADC" w:rsidRPr="00D5464D">
        <w:rPr>
          <w:lang w:val="pt-BR"/>
        </w:rPr>
        <w:t>é o espírito</w:t>
      </w:r>
      <w:r w:rsidR="001E1449" w:rsidRPr="00D5464D">
        <w:rPr>
          <w:lang w:val="pt-BR"/>
        </w:rPr>
        <w:t xml:space="preserve"> </w:t>
      </w:r>
      <w:r w:rsidR="00470ADC" w:rsidRPr="00D5464D">
        <w:rPr>
          <w:lang w:val="pt-BR"/>
        </w:rPr>
        <w:t>do artigo</w:t>
      </w:r>
      <w:r w:rsidR="001E1449" w:rsidRPr="00D5464D">
        <w:rPr>
          <w:lang w:val="pt-BR"/>
        </w:rPr>
        <w:t xml:space="preserve"> 29</w:t>
      </w:r>
      <w:r w:rsidR="00470ADC" w:rsidRPr="00D5464D">
        <w:rPr>
          <w:lang w:val="pt-BR"/>
        </w:rPr>
        <w:t xml:space="preserve"> da </w:t>
      </w:r>
      <w:r w:rsidR="001E1449" w:rsidRPr="00D5464D">
        <w:rPr>
          <w:lang w:val="pt-BR"/>
        </w:rPr>
        <w:t>Conven</w:t>
      </w:r>
      <w:r w:rsidR="00470ADC" w:rsidRPr="00D5464D">
        <w:rPr>
          <w:lang w:val="pt-BR"/>
        </w:rPr>
        <w:t>ção</w:t>
      </w:r>
      <w:r w:rsidR="001E1449" w:rsidRPr="00D5464D">
        <w:rPr>
          <w:lang w:val="pt-BR"/>
        </w:rPr>
        <w:t xml:space="preserve"> Americana,</w:t>
      </w:r>
      <w:r w:rsidR="00470ADC" w:rsidRPr="00D5464D">
        <w:rPr>
          <w:lang w:val="pt-BR"/>
        </w:rPr>
        <w:t xml:space="preserve"> o qual dispõe</w:t>
      </w:r>
      <w:r w:rsidR="001E1449" w:rsidRPr="00D5464D">
        <w:rPr>
          <w:lang w:val="pt-BR"/>
        </w:rPr>
        <w:t xml:space="preserve"> que:</w:t>
      </w:r>
    </w:p>
    <w:p w14:paraId="6A8C324E" w14:textId="77777777" w:rsidR="001E1449" w:rsidRPr="00D5464D" w:rsidRDefault="001E1449" w:rsidP="001E1449">
      <w:pPr>
        <w:pStyle w:val="Prrafodelista"/>
        <w:ind w:left="0"/>
        <w:rPr>
          <w:lang w:val="pt-BR"/>
        </w:rPr>
      </w:pPr>
    </w:p>
    <w:p w14:paraId="1F72BD52" w14:textId="6FD23067" w:rsidR="001E1449" w:rsidRPr="00D5464D" w:rsidRDefault="001E1449" w:rsidP="006912F8">
      <w:pPr>
        <w:pStyle w:val="Prrafodelista"/>
        <w:ind w:left="851" w:right="804"/>
        <w:rPr>
          <w:sz w:val="16"/>
          <w:szCs w:val="16"/>
          <w:lang w:val="pt-BR"/>
        </w:rPr>
      </w:pPr>
      <w:r w:rsidRPr="00D5464D">
        <w:rPr>
          <w:sz w:val="16"/>
          <w:szCs w:val="16"/>
          <w:lang w:val="pt-BR"/>
        </w:rPr>
        <w:t>Ar</w:t>
      </w:r>
      <w:r w:rsidR="0055296D" w:rsidRPr="00D5464D">
        <w:rPr>
          <w:sz w:val="16"/>
          <w:szCs w:val="16"/>
          <w:lang w:val="pt-BR"/>
        </w:rPr>
        <w:t>tigo</w:t>
      </w:r>
      <w:r w:rsidRPr="00D5464D">
        <w:rPr>
          <w:sz w:val="16"/>
          <w:szCs w:val="16"/>
          <w:lang w:val="pt-BR"/>
        </w:rPr>
        <w:t xml:space="preserve"> 29. Normas de Interpreta</w:t>
      </w:r>
      <w:r w:rsidR="00EC61F2" w:rsidRPr="00D5464D">
        <w:rPr>
          <w:sz w:val="16"/>
          <w:szCs w:val="16"/>
          <w:lang w:val="pt-BR"/>
        </w:rPr>
        <w:t xml:space="preserve">ção </w:t>
      </w:r>
    </w:p>
    <w:p w14:paraId="73D7A9B9" w14:textId="77777777" w:rsidR="0055296D" w:rsidRPr="00D5464D" w:rsidRDefault="0055296D" w:rsidP="0055296D">
      <w:pPr>
        <w:pStyle w:val="Prrafodelista"/>
        <w:ind w:left="851" w:right="804"/>
        <w:rPr>
          <w:sz w:val="16"/>
          <w:szCs w:val="16"/>
          <w:lang w:val="pt-BR"/>
        </w:rPr>
      </w:pPr>
      <w:r w:rsidRPr="00D5464D">
        <w:rPr>
          <w:sz w:val="16"/>
          <w:szCs w:val="16"/>
          <w:lang w:val="pt-BR"/>
        </w:rPr>
        <w:t>Nenhuma disposição desta Convenção pode ser interpretada no sentido de:</w:t>
      </w:r>
    </w:p>
    <w:p w14:paraId="3397163E" w14:textId="77777777" w:rsidR="0055296D" w:rsidRPr="00D5464D" w:rsidRDefault="0055296D" w:rsidP="0055296D">
      <w:pPr>
        <w:pStyle w:val="Prrafodelista"/>
        <w:ind w:left="851" w:right="804"/>
        <w:rPr>
          <w:sz w:val="16"/>
          <w:szCs w:val="16"/>
          <w:lang w:val="pt-BR"/>
        </w:rPr>
      </w:pPr>
      <w:r w:rsidRPr="00D5464D">
        <w:rPr>
          <w:sz w:val="16"/>
          <w:szCs w:val="16"/>
          <w:lang w:val="pt-BR"/>
        </w:rPr>
        <w:t>a. permitir a qualquer dos Estados Partes, grupo ou pessoa, suprimir o gozo e exercício dos direitos e liberdades reconhecidos na Convenção ou limitá-los em maior medida do que a nela prevista;</w:t>
      </w:r>
    </w:p>
    <w:p w14:paraId="463D21EA" w14:textId="77777777" w:rsidR="0055296D" w:rsidRPr="00D5464D" w:rsidRDefault="0055296D" w:rsidP="0055296D">
      <w:pPr>
        <w:pStyle w:val="Prrafodelista"/>
        <w:ind w:left="851" w:right="804"/>
        <w:rPr>
          <w:sz w:val="16"/>
          <w:szCs w:val="16"/>
          <w:lang w:val="pt-BR"/>
        </w:rPr>
      </w:pPr>
      <w:r w:rsidRPr="00D5464D">
        <w:rPr>
          <w:sz w:val="16"/>
          <w:szCs w:val="16"/>
          <w:lang w:val="pt-BR"/>
        </w:rPr>
        <w:t>b. limitar o gozo e exercício de qualquer direito ou liberdade que possam ser reconhecidos de acordo com as leis de qualquer dos Estados Partes ou de acordo com outra convenção em que seja parte um dos referidos Estados;</w:t>
      </w:r>
    </w:p>
    <w:p w14:paraId="324ADC3C" w14:textId="77777777" w:rsidR="0055296D" w:rsidRPr="00D5464D" w:rsidRDefault="0055296D" w:rsidP="0055296D">
      <w:pPr>
        <w:pStyle w:val="Prrafodelista"/>
        <w:ind w:left="851" w:right="804"/>
        <w:rPr>
          <w:sz w:val="16"/>
          <w:szCs w:val="16"/>
          <w:lang w:val="pt-BR"/>
        </w:rPr>
      </w:pPr>
      <w:r w:rsidRPr="00D5464D">
        <w:rPr>
          <w:sz w:val="16"/>
          <w:szCs w:val="16"/>
          <w:lang w:val="pt-BR"/>
        </w:rPr>
        <w:t>c. excluir outros direitos e garantias que são inerentes ao ser humano ou que decorrem da forma democrática representativa de governo; e</w:t>
      </w:r>
    </w:p>
    <w:p w14:paraId="1B2FB141" w14:textId="52A37620" w:rsidR="001E1449" w:rsidRPr="00D5464D" w:rsidRDefault="0055296D" w:rsidP="006912F8">
      <w:pPr>
        <w:pStyle w:val="Prrafodelista"/>
        <w:ind w:left="851" w:right="804"/>
        <w:rPr>
          <w:sz w:val="16"/>
          <w:szCs w:val="16"/>
          <w:lang w:val="pt-BR"/>
        </w:rPr>
      </w:pPr>
      <w:r w:rsidRPr="00D5464D">
        <w:rPr>
          <w:sz w:val="16"/>
          <w:szCs w:val="16"/>
          <w:lang w:val="pt-BR"/>
        </w:rPr>
        <w:t>d. excluir ou limitar o efeito que possam produzir a Declaração Americana dos Direitos e Deveres do Homem e outros atos internacionais da mesma natureza.</w:t>
      </w:r>
      <w:r w:rsidR="001E1449" w:rsidRPr="00D5464D">
        <w:rPr>
          <w:sz w:val="16"/>
          <w:szCs w:val="16"/>
          <w:lang w:val="pt-BR"/>
        </w:rPr>
        <w:t xml:space="preserve"> </w:t>
      </w:r>
    </w:p>
    <w:p w14:paraId="5127CDB1" w14:textId="77777777" w:rsidR="00DE3E58" w:rsidRPr="00D5464D" w:rsidRDefault="00DE3E58" w:rsidP="00DE3E58">
      <w:pPr>
        <w:pStyle w:val="Prrafodelista"/>
        <w:ind w:left="0"/>
        <w:contextualSpacing w:val="0"/>
        <w:rPr>
          <w:lang w:val="pt-BR"/>
        </w:rPr>
      </w:pPr>
    </w:p>
    <w:p w14:paraId="64EB40B7" w14:textId="561FD6AB" w:rsidR="001E1449" w:rsidRPr="00D5464D" w:rsidRDefault="00470ADC" w:rsidP="001E1449">
      <w:pPr>
        <w:pStyle w:val="Prrafodelista"/>
        <w:numPr>
          <w:ilvl w:val="0"/>
          <w:numId w:val="1"/>
        </w:numPr>
        <w:contextualSpacing w:val="0"/>
        <w:rPr>
          <w:lang w:val="pt-BR"/>
        </w:rPr>
      </w:pPr>
      <w:r w:rsidRPr="00D5464D">
        <w:rPr>
          <w:szCs w:val="20"/>
          <w:lang w:val="pt-BR"/>
        </w:rPr>
        <w:t xml:space="preserve">A </w:t>
      </w:r>
      <w:r w:rsidR="00737270" w:rsidRPr="00D5464D">
        <w:rPr>
          <w:lang w:val="pt-BR"/>
        </w:rPr>
        <w:t>leitura</w:t>
      </w:r>
      <w:r w:rsidR="001E1449" w:rsidRPr="00D5464D">
        <w:rPr>
          <w:lang w:val="pt-BR"/>
        </w:rPr>
        <w:t xml:space="preserve"> literal </w:t>
      </w:r>
      <w:r w:rsidRPr="00D5464D">
        <w:rPr>
          <w:lang w:val="pt-BR"/>
        </w:rPr>
        <w:t xml:space="preserve">do </w:t>
      </w:r>
      <w:r w:rsidR="001E1449" w:rsidRPr="00D5464D">
        <w:rPr>
          <w:lang w:val="pt-BR"/>
        </w:rPr>
        <w:t>inciso b</w:t>
      </w:r>
      <w:r w:rsidR="00475F4D" w:rsidRPr="00D5464D">
        <w:rPr>
          <w:lang w:val="pt-BR"/>
        </w:rPr>
        <w:t>)</w:t>
      </w:r>
      <w:r w:rsidR="001E1449" w:rsidRPr="00D5464D">
        <w:rPr>
          <w:lang w:val="pt-BR"/>
        </w:rPr>
        <w:t xml:space="preserve"> </w:t>
      </w:r>
      <w:r w:rsidRPr="00D5464D">
        <w:rPr>
          <w:lang w:val="pt-BR"/>
        </w:rPr>
        <w:t>do artigo</w:t>
      </w:r>
      <w:r w:rsidR="001E1449" w:rsidRPr="00D5464D">
        <w:rPr>
          <w:lang w:val="pt-BR"/>
        </w:rPr>
        <w:t xml:space="preserve"> 29</w:t>
      </w:r>
      <w:r w:rsidRPr="00D5464D">
        <w:rPr>
          <w:lang w:val="pt-BR"/>
        </w:rPr>
        <w:t xml:space="preserve"> é </w:t>
      </w:r>
      <w:r w:rsidR="001E1449" w:rsidRPr="00D5464D">
        <w:rPr>
          <w:lang w:val="pt-BR"/>
        </w:rPr>
        <w:t>clara</w:t>
      </w:r>
      <w:r w:rsidRPr="00D5464D">
        <w:rPr>
          <w:lang w:val="pt-BR"/>
        </w:rPr>
        <w:t xml:space="preserve"> ao </w:t>
      </w:r>
      <w:r w:rsidR="00350187" w:rsidRPr="00D5464D">
        <w:rPr>
          <w:lang w:val="pt-BR"/>
        </w:rPr>
        <w:t>demonstr</w:t>
      </w:r>
      <w:r w:rsidRPr="00D5464D">
        <w:rPr>
          <w:lang w:val="pt-BR"/>
        </w:rPr>
        <w:t>ar</w:t>
      </w:r>
      <w:r w:rsidR="001E1449" w:rsidRPr="00D5464D">
        <w:rPr>
          <w:lang w:val="pt-BR"/>
        </w:rPr>
        <w:t xml:space="preserve"> que</w:t>
      </w:r>
      <w:r w:rsidR="002C330E" w:rsidRPr="00D5464D">
        <w:rPr>
          <w:lang w:val="pt-BR"/>
        </w:rPr>
        <w:t xml:space="preserve"> a </w:t>
      </w:r>
      <w:r w:rsidR="001E1449" w:rsidRPr="00D5464D">
        <w:rPr>
          <w:lang w:val="pt-BR"/>
        </w:rPr>
        <w:t>Conven</w:t>
      </w:r>
      <w:r w:rsidRPr="00D5464D">
        <w:rPr>
          <w:lang w:val="pt-BR"/>
        </w:rPr>
        <w:t>ção</w:t>
      </w:r>
      <w:r w:rsidR="001E1449" w:rsidRPr="00D5464D">
        <w:rPr>
          <w:lang w:val="pt-BR"/>
        </w:rPr>
        <w:t xml:space="preserve"> n</w:t>
      </w:r>
      <w:r w:rsidR="0055296D" w:rsidRPr="00D5464D">
        <w:rPr>
          <w:lang w:val="pt-BR"/>
        </w:rPr>
        <w:t>ã</w:t>
      </w:r>
      <w:r w:rsidR="001E1449" w:rsidRPr="00D5464D">
        <w:rPr>
          <w:lang w:val="pt-BR"/>
        </w:rPr>
        <w:t>o permite</w:t>
      </w:r>
      <w:r w:rsidR="00E045D9" w:rsidRPr="00D5464D">
        <w:rPr>
          <w:lang w:val="pt-BR"/>
        </w:rPr>
        <w:t xml:space="preserve"> uma </w:t>
      </w:r>
      <w:r w:rsidR="001E1449" w:rsidRPr="00D5464D">
        <w:rPr>
          <w:lang w:val="pt-BR"/>
        </w:rPr>
        <w:t>interpreta</w:t>
      </w:r>
      <w:r w:rsidRPr="00D5464D">
        <w:rPr>
          <w:lang w:val="pt-BR"/>
        </w:rPr>
        <w:t>ção</w:t>
      </w:r>
      <w:r w:rsidR="001E1449" w:rsidRPr="00D5464D">
        <w:rPr>
          <w:lang w:val="pt-BR"/>
        </w:rPr>
        <w:t xml:space="preserve"> que limite</w:t>
      </w:r>
      <w:r w:rsidRPr="00D5464D">
        <w:rPr>
          <w:lang w:val="pt-BR"/>
        </w:rPr>
        <w:t xml:space="preserve"> o </w:t>
      </w:r>
      <w:r w:rsidR="00350187" w:rsidRPr="00D5464D">
        <w:rPr>
          <w:lang w:val="pt-BR"/>
        </w:rPr>
        <w:t>gozo</w:t>
      </w:r>
      <w:r w:rsidR="00E045D9" w:rsidRPr="00D5464D">
        <w:rPr>
          <w:lang w:val="pt-BR"/>
        </w:rPr>
        <w:t xml:space="preserve"> e </w:t>
      </w:r>
      <w:r w:rsidRPr="00D5464D">
        <w:rPr>
          <w:lang w:val="pt-BR"/>
        </w:rPr>
        <w:t>o exercício dos direito</w:t>
      </w:r>
      <w:r w:rsidR="001E1449" w:rsidRPr="00D5464D">
        <w:rPr>
          <w:lang w:val="pt-BR"/>
        </w:rPr>
        <w:t>s humanos</w:t>
      </w:r>
      <w:r w:rsidR="0055296D" w:rsidRPr="00D5464D">
        <w:rPr>
          <w:lang w:val="pt-BR"/>
        </w:rPr>
        <w:t>.</w:t>
      </w:r>
      <w:r w:rsidR="001E1449" w:rsidRPr="00D5464D">
        <w:rPr>
          <w:rStyle w:val="Refdenotaalpie"/>
          <w:lang w:val="pt-BR"/>
        </w:rPr>
        <w:footnoteReference w:id="447"/>
      </w:r>
      <w:r w:rsidR="00A1358C" w:rsidRPr="00D5464D">
        <w:rPr>
          <w:lang w:val="pt-BR"/>
        </w:rPr>
        <w:t xml:space="preserve"> A </w:t>
      </w:r>
      <w:r w:rsidR="001E1449" w:rsidRPr="00D5464D">
        <w:rPr>
          <w:lang w:val="pt-BR"/>
        </w:rPr>
        <w:t>interpreta</w:t>
      </w:r>
      <w:r w:rsidRPr="00D5464D">
        <w:rPr>
          <w:lang w:val="pt-BR"/>
        </w:rPr>
        <w:t>ção</w:t>
      </w:r>
      <w:r w:rsidR="001E1449" w:rsidRPr="00D5464D">
        <w:rPr>
          <w:lang w:val="pt-BR"/>
        </w:rPr>
        <w:t xml:space="preserve"> </w:t>
      </w:r>
      <w:r w:rsidR="001E1449" w:rsidRPr="00D5464D">
        <w:rPr>
          <w:i/>
          <w:lang w:val="pt-BR"/>
        </w:rPr>
        <w:t xml:space="preserve">pro </w:t>
      </w:r>
      <w:r w:rsidR="002C330E" w:rsidRPr="00D5464D">
        <w:rPr>
          <w:i/>
          <w:lang w:val="pt-BR"/>
        </w:rPr>
        <w:t>pe</w:t>
      </w:r>
      <w:r w:rsidR="0055296D" w:rsidRPr="00D5464D">
        <w:rPr>
          <w:i/>
          <w:lang w:val="pt-BR"/>
        </w:rPr>
        <w:t>rsonae</w:t>
      </w:r>
      <w:r w:rsidR="001E1449" w:rsidRPr="00D5464D">
        <w:rPr>
          <w:i/>
          <w:lang w:val="pt-BR"/>
        </w:rPr>
        <w:t xml:space="preserve"> </w:t>
      </w:r>
      <w:r w:rsidR="001E1449" w:rsidRPr="00D5464D">
        <w:rPr>
          <w:lang w:val="pt-BR"/>
        </w:rPr>
        <w:t>exige que</w:t>
      </w:r>
      <w:r w:rsidR="002C330E" w:rsidRPr="00D5464D">
        <w:rPr>
          <w:lang w:val="pt-BR"/>
        </w:rPr>
        <w:t xml:space="preserve"> a </w:t>
      </w:r>
      <w:r w:rsidR="001E1449" w:rsidRPr="00D5464D">
        <w:rPr>
          <w:lang w:val="pt-BR"/>
        </w:rPr>
        <w:t>Corte interprete</w:t>
      </w:r>
      <w:r w:rsidR="002C330E" w:rsidRPr="00D5464D">
        <w:rPr>
          <w:lang w:val="pt-BR"/>
        </w:rPr>
        <w:t xml:space="preserve"> os </w:t>
      </w:r>
      <w:r w:rsidRPr="00D5464D">
        <w:rPr>
          <w:lang w:val="pt-BR"/>
        </w:rPr>
        <w:t>direito</w:t>
      </w:r>
      <w:r w:rsidR="001E1449" w:rsidRPr="00D5464D">
        <w:rPr>
          <w:lang w:val="pt-BR"/>
        </w:rPr>
        <w:t>s humanos previstos</w:t>
      </w:r>
      <w:r w:rsidR="00E045D9" w:rsidRPr="00D5464D">
        <w:rPr>
          <w:lang w:val="pt-BR"/>
        </w:rPr>
        <w:t xml:space="preserve"> na </w:t>
      </w:r>
      <w:r w:rsidR="001E1449" w:rsidRPr="00D5464D">
        <w:rPr>
          <w:lang w:val="pt-BR"/>
        </w:rPr>
        <w:t>Conven</w:t>
      </w:r>
      <w:r w:rsidRPr="00D5464D">
        <w:rPr>
          <w:lang w:val="pt-BR"/>
        </w:rPr>
        <w:t>ção</w:t>
      </w:r>
      <w:r w:rsidR="001E1449" w:rsidRPr="00D5464D">
        <w:rPr>
          <w:lang w:val="pt-BR"/>
        </w:rPr>
        <w:t xml:space="preserve"> Americana</w:t>
      </w:r>
      <w:r w:rsidRPr="00D5464D">
        <w:rPr>
          <w:lang w:val="pt-BR"/>
        </w:rPr>
        <w:t xml:space="preserve"> à </w:t>
      </w:r>
      <w:r w:rsidR="001E1449" w:rsidRPr="00D5464D">
        <w:rPr>
          <w:lang w:val="pt-BR"/>
        </w:rPr>
        <w:t>luz</w:t>
      </w:r>
      <w:r w:rsidRPr="00D5464D">
        <w:rPr>
          <w:lang w:val="pt-BR"/>
        </w:rPr>
        <w:t xml:space="preserve"> da </w:t>
      </w:r>
      <w:r w:rsidR="001E1449" w:rsidRPr="00D5464D">
        <w:rPr>
          <w:lang w:val="pt-BR"/>
        </w:rPr>
        <w:t xml:space="preserve">norma </w:t>
      </w:r>
      <w:r w:rsidR="002C330E" w:rsidRPr="00D5464D">
        <w:rPr>
          <w:lang w:val="pt-BR"/>
        </w:rPr>
        <w:t xml:space="preserve">mais </w:t>
      </w:r>
      <w:r w:rsidR="00350187" w:rsidRPr="00D5464D">
        <w:rPr>
          <w:lang w:val="pt-BR"/>
        </w:rPr>
        <w:t>protetor</w:t>
      </w:r>
      <w:r w:rsidR="001E1449" w:rsidRPr="00D5464D">
        <w:rPr>
          <w:lang w:val="pt-BR"/>
        </w:rPr>
        <w:t xml:space="preserve">a </w:t>
      </w:r>
      <w:r w:rsidR="0055296D" w:rsidRPr="00D5464D">
        <w:rPr>
          <w:lang w:val="pt-BR"/>
        </w:rPr>
        <w:t xml:space="preserve">em relação à </w:t>
      </w:r>
      <w:r w:rsidRPr="00D5464D">
        <w:rPr>
          <w:lang w:val="pt-BR"/>
        </w:rPr>
        <w:t>qual</w:t>
      </w:r>
      <w:r w:rsidR="002C330E" w:rsidRPr="00D5464D">
        <w:rPr>
          <w:lang w:val="pt-BR"/>
        </w:rPr>
        <w:t xml:space="preserve"> as pessoa</w:t>
      </w:r>
      <w:r w:rsidR="001E1449" w:rsidRPr="00D5464D">
        <w:rPr>
          <w:lang w:val="pt-BR"/>
        </w:rPr>
        <w:t>s</w:t>
      </w:r>
      <w:r w:rsidRPr="00D5464D">
        <w:rPr>
          <w:lang w:val="pt-BR"/>
        </w:rPr>
        <w:t xml:space="preserve"> sob </w:t>
      </w:r>
      <w:r w:rsidR="00E045D9" w:rsidRPr="00D5464D">
        <w:rPr>
          <w:lang w:val="pt-BR"/>
        </w:rPr>
        <w:t>sua jurisdição</w:t>
      </w:r>
      <w:r w:rsidRPr="00D5464D">
        <w:rPr>
          <w:lang w:val="pt-BR"/>
        </w:rPr>
        <w:t xml:space="preserve"> estão </w:t>
      </w:r>
      <w:r w:rsidR="002C330E" w:rsidRPr="00D5464D">
        <w:rPr>
          <w:lang w:val="pt-BR"/>
        </w:rPr>
        <w:t>submetida</w:t>
      </w:r>
      <w:r w:rsidR="001E1449" w:rsidRPr="00D5464D">
        <w:rPr>
          <w:lang w:val="pt-BR"/>
        </w:rPr>
        <w:t xml:space="preserve">s. </w:t>
      </w:r>
    </w:p>
    <w:p w14:paraId="301E9010" w14:textId="77777777" w:rsidR="001E1449" w:rsidRPr="00D5464D" w:rsidRDefault="001E1449" w:rsidP="001E1449">
      <w:pPr>
        <w:pStyle w:val="Prrafodelista"/>
        <w:ind w:left="0"/>
        <w:rPr>
          <w:lang w:val="pt-BR"/>
        </w:rPr>
      </w:pPr>
    </w:p>
    <w:p w14:paraId="1F8978A7" w14:textId="5D583D05" w:rsidR="001E1449" w:rsidRPr="00D5464D" w:rsidRDefault="001E1449" w:rsidP="001E1449">
      <w:pPr>
        <w:pStyle w:val="Prrafodelista"/>
        <w:numPr>
          <w:ilvl w:val="0"/>
          <w:numId w:val="1"/>
        </w:numPr>
        <w:contextualSpacing w:val="0"/>
        <w:rPr>
          <w:lang w:val="pt-BR"/>
        </w:rPr>
      </w:pPr>
      <w:r w:rsidRPr="00D5464D">
        <w:rPr>
          <w:lang w:val="pt-BR"/>
        </w:rPr>
        <w:t>Finalmente,</w:t>
      </w:r>
      <w:r w:rsidR="002C330E" w:rsidRPr="00D5464D">
        <w:rPr>
          <w:lang w:val="pt-BR"/>
        </w:rPr>
        <w:t xml:space="preserve"> a </w:t>
      </w:r>
      <w:r w:rsidRPr="00D5464D">
        <w:rPr>
          <w:lang w:val="pt-BR"/>
        </w:rPr>
        <w:t>Corte</w:t>
      </w:r>
      <w:r w:rsidR="002C330E" w:rsidRPr="00D5464D">
        <w:rPr>
          <w:lang w:val="pt-BR"/>
        </w:rPr>
        <w:t xml:space="preserve"> </w:t>
      </w:r>
      <w:r w:rsidR="0055296D" w:rsidRPr="00D5464D">
        <w:rPr>
          <w:lang w:val="pt-BR"/>
        </w:rPr>
        <w:t xml:space="preserve">observa </w:t>
      </w:r>
      <w:r w:rsidRPr="00D5464D">
        <w:rPr>
          <w:lang w:val="pt-BR"/>
        </w:rPr>
        <w:t>que</w:t>
      </w:r>
      <w:r w:rsidR="002C330E" w:rsidRPr="00D5464D">
        <w:rPr>
          <w:lang w:val="pt-BR"/>
        </w:rPr>
        <w:t xml:space="preserve"> a jurisprudência recente</w:t>
      </w:r>
      <w:r w:rsidRPr="00D5464D">
        <w:rPr>
          <w:lang w:val="pt-BR"/>
        </w:rPr>
        <w:t xml:space="preserve"> </w:t>
      </w:r>
      <w:r w:rsidR="00470ADC" w:rsidRPr="00D5464D">
        <w:rPr>
          <w:lang w:val="pt-BR"/>
        </w:rPr>
        <w:t xml:space="preserve">do </w:t>
      </w:r>
      <w:r w:rsidRPr="00D5464D">
        <w:rPr>
          <w:lang w:val="pt-BR"/>
        </w:rPr>
        <w:t>Supremo Tribunal Federal (STF) d</w:t>
      </w:r>
      <w:r w:rsidR="0055296D" w:rsidRPr="00D5464D">
        <w:rPr>
          <w:lang w:val="pt-BR"/>
        </w:rPr>
        <w:t>o</w:t>
      </w:r>
      <w:r w:rsidRPr="00D5464D">
        <w:rPr>
          <w:lang w:val="pt-BR"/>
        </w:rPr>
        <w:t xml:space="preserve"> Brasil se </w:t>
      </w:r>
      <w:r w:rsidR="00470ADC" w:rsidRPr="00D5464D">
        <w:rPr>
          <w:lang w:val="pt-BR"/>
        </w:rPr>
        <w:t xml:space="preserve">encontra em </w:t>
      </w:r>
      <w:r w:rsidR="00EB1CE9" w:rsidRPr="00D5464D">
        <w:rPr>
          <w:lang w:val="pt-BR"/>
        </w:rPr>
        <w:t>consonância</w:t>
      </w:r>
      <w:r w:rsidR="00470ADC" w:rsidRPr="00D5464D">
        <w:rPr>
          <w:lang w:val="pt-BR"/>
        </w:rPr>
        <w:t xml:space="preserve"> com o </w:t>
      </w:r>
      <w:r w:rsidR="002C330E" w:rsidRPr="00D5464D">
        <w:rPr>
          <w:lang w:val="pt-BR"/>
        </w:rPr>
        <w:t>pronunciamento</w:t>
      </w:r>
      <w:r w:rsidR="00470ADC" w:rsidRPr="00D5464D">
        <w:rPr>
          <w:lang w:val="pt-BR"/>
        </w:rPr>
        <w:t xml:space="preserve"> da </w:t>
      </w:r>
      <w:r w:rsidRPr="00D5464D">
        <w:rPr>
          <w:lang w:val="pt-BR"/>
        </w:rPr>
        <w:t>Corte Interamericana</w:t>
      </w:r>
      <w:r w:rsidR="00E045D9" w:rsidRPr="00D5464D">
        <w:rPr>
          <w:lang w:val="pt-BR"/>
        </w:rPr>
        <w:t xml:space="preserve"> no </w:t>
      </w:r>
      <w:r w:rsidRPr="00D5464D">
        <w:rPr>
          <w:lang w:val="pt-BR"/>
        </w:rPr>
        <w:t>presente caso</w:t>
      </w:r>
      <w:r w:rsidR="00C91CB1" w:rsidRPr="00D5464D">
        <w:rPr>
          <w:lang w:val="pt-BR"/>
        </w:rPr>
        <w:t xml:space="preserve">. </w:t>
      </w:r>
      <w:r w:rsidR="0055296D" w:rsidRPr="00D5464D">
        <w:rPr>
          <w:lang w:val="pt-BR"/>
        </w:rPr>
        <w:t>A</w:t>
      </w:r>
      <w:r w:rsidR="00C91CB1" w:rsidRPr="00D5464D">
        <w:rPr>
          <w:lang w:val="pt-BR"/>
        </w:rPr>
        <w:t xml:space="preserve">s </w:t>
      </w:r>
      <w:r w:rsidR="00E045D9" w:rsidRPr="00D5464D">
        <w:rPr>
          <w:lang w:val="pt-BR"/>
        </w:rPr>
        <w:t>decisões</w:t>
      </w:r>
      <w:r w:rsidR="002C330E" w:rsidRPr="00D5464D">
        <w:rPr>
          <w:lang w:val="pt-BR"/>
        </w:rPr>
        <w:t xml:space="preserve"> apresentad</w:t>
      </w:r>
      <w:r w:rsidR="0055296D" w:rsidRPr="00D5464D">
        <w:rPr>
          <w:lang w:val="pt-BR"/>
        </w:rPr>
        <w:t>a</w:t>
      </w:r>
      <w:r w:rsidR="002C330E" w:rsidRPr="00D5464D">
        <w:rPr>
          <w:lang w:val="pt-BR"/>
        </w:rPr>
        <w:t xml:space="preserve">s </w:t>
      </w:r>
      <w:r w:rsidRPr="00D5464D">
        <w:rPr>
          <w:lang w:val="pt-BR"/>
        </w:rPr>
        <w:t xml:space="preserve">durante este </w:t>
      </w:r>
      <w:r w:rsidR="002C330E" w:rsidRPr="00D5464D">
        <w:rPr>
          <w:lang w:val="pt-BR"/>
        </w:rPr>
        <w:t>litígio</w:t>
      </w:r>
      <w:r w:rsidRPr="00D5464D">
        <w:rPr>
          <w:lang w:val="pt-BR"/>
        </w:rPr>
        <w:t xml:space="preserve"> </w:t>
      </w:r>
      <w:r w:rsidR="00350187" w:rsidRPr="00D5464D">
        <w:rPr>
          <w:lang w:val="pt-BR"/>
        </w:rPr>
        <w:t>demonstr</w:t>
      </w:r>
      <w:r w:rsidR="00737270" w:rsidRPr="00D5464D">
        <w:rPr>
          <w:lang w:val="pt-BR"/>
        </w:rPr>
        <w:t>a</w:t>
      </w:r>
      <w:r w:rsidR="002C330E" w:rsidRPr="00D5464D">
        <w:rPr>
          <w:lang w:val="pt-BR"/>
        </w:rPr>
        <w:t>m</w:t>
      </w:r>
      <w:r w:rsidRPr="00D5464D">
        <w:rPr>
          <w:lang w:val="pt-BR"/>
        </w:rPr>
        <w:t xml:space="preserve"> que</w:t>
      </w:r>
      <w:r w:rsidR="00470ADC" w:rsidRPr="00D5464D">
        <w:rPr>
          <w:lang w:val="pt-BR"/>
        </w:rPr>
        <w:t xml:space="preserve"> o </w:t>
      </w:r>
      <w:r w:rsidRPr="00D5464D">
        <w:rPr>
          <w:lang w:val="pt-BR"/>
        </w:rPr>
        <w:t xml:space="preserve">Tribunal Superior </w:t>
      </w:r>
      <w:r w:rsidR="00470ADC" w:rsidRPr="00D5464D">
        <w:rPr>
          <w:lang w:val="pt-BR"/>
        </w:rPr>
        <w:t xml:space="preserve">do </w:t>
      </w:r>
      <w:r w:rsidR="00E045D9" w:rsidRPr="00D5464D">
        <w:rPr>
          <w:lang w:val="pt-BR"/>
        </w:rPr>
        <w:t>Trabalho</w:t>
      </w:r>
      <w:r w:rsidRPr="00D5464D">
        <w:rPr>
          <w:lang w:val="pt-BR"/>
        </w:rPr>
        <w:t xml:space="preserve"> (TST)</w:t>
      </w:r>
      <w:r w:rsidR="00E045D9" w:rsidRPr="00D5464D">
        <w:rPr>
          <w:lang w:val="pt-BR"/>
        </w:rPr>
        <w:t xml:space="preserve"> e </w:t>
      </w:r>
      <w:r w:rsidR="00470ADC" w:rsidRPr="00D5464D">
        <w:rPr>
          <w:lang w:val="pt-BR"/>
        </w:rPr>
        <w:t xml:space="preserve">o </w:t>
      </w:r>
      <w:r w:rsidR="002C330E" w:rsidRPr="00D5464D">
        <w:rPr>
          <w:lang w:val="pt-BR"/>
        </w:rPr>
        <w:t>próprio</w:t>
      </w:r>
      <w:r w:rsidRPr="00D5464D">
        <w:rPr>
          <w:lang w:val="pt-BR"/>
        </w:rPr>
        <w:t xml:space="preserve"> STF </w:t>
      </w:r>
      <w:r w:rsidR="00EB1CE9" w:rsidRPr="00D5464D">
        <w:rPr>
          <w:lang w:val="pt-BR"/>
        </w:rPr>
        <w:t>interpretam</w:t>
      </w:r>
      <w:r w:rsidR="002C330E" w:rsidRPr="00D5464D">
        <w:rPr>
          <w:lang w:val="pt-BR"/>
        </w:rPr>
        <w:t xml:space="preserve"> as </w:t>
      </w:r>
      <w:r w:rsidRPr="00D5464D">
        <w:rPr>
          <w:lang w:val="pt-BR"/>
        </w:rPr>
        <w:t>situa</w:t>
      </w:r>
      <w:r w:rsidR="00470ADC" w:rsidRPr="00D5464D">
        <w:rPr>
          <w:lang w:val="pt-BR"/>
        </w:rPr>
        <w:t>ções</w:t>
      </w:r>
      <w:r w:rsidRPr="00D5464D">
        <w:rPr>
          <w:lang w:val="pt-BR"/>
        </w:rPr>
        <w:t xml:space="preserve"> </w:t>
      </w:r>
      <w:r w:rsidR="006665EF" w:rsidRPr="00D5464D">
        <w:rPr>
          <w:lang w:val="pt-BR"/>
        </w:rPr>
        <w:t>análogas</w:t>
      </w:r>
      <w:r w:rsidR="00350187" w:rsidRPr="00D5464D">
        <w:rPr>
          <w:lang w:val="pt-BR"/>
        </w:rPr>
        <w:t xml:space="preserve"> </w:t>
      </w:r>
      <w:r w:rsidR="00470ADC" w:rsidRPr="00D5464D">
        <w:rPr>
          <w:lang w:val="pt-BR"/>
        </w:rPr>
        <w:t xml:space="preserve">à </w:t>
      </w:r>
      <w:r w:rsidR="000B376D" w:rsidRPr="00D5464D">
        <w:rPr>
          <w:lang w:val="pt-BR"/>
        </w:rPr>
        <w:t>escravidão</w:t>
      </w:r>
      <w:r w:rsidRPr="00D5464D">
        <w:rPr>
          <w:lang w:val="pt-BR"/>
        </w:rPr>
        <w:t xml:space="preserve"> de </w:t>
      </w:r>
      <w:r w:rsidR="002C330E" w:rsidRPr="00D5464D">
        <w:rPr>
          <w:lang w:val="pt-BR"/>
        </w:rPr>
        <w:t>maneira</w:t>
      </w:r>
      <w:r w:rsidRPr="00D5464D">
        <w:rPr>
          <w:lang w:val="pt-BR"/>
        </w:rPr>
        <w:t xml:space="preserve"> </w:t>
      </w:r>
      <w:r w:rsidR="00E765C2" w:rsidRPr="00D5464D">
        <w:rPr>
          <w:lang w:val="pt-BR"/>
        </w:rPr>
        <w:t>responsável,</w:t>
      </w:r>
      <w:r w:rsidRPr="00D5464D">
        <w:rPr>
          <w:lang w:val="pt-BR"/>
        </w:rPr>
        <w:t xml:space="preserve"> </w:t>
      </w:r>
      <w:r w:rsidR="00470ADC" w:rsidRPr="00D5464D">
        <w:rPr>
          <w:lang w:val="pt-BR"/>
        </w:rPr>
        <w:t>deixando</w:t>
      </w:r>
      <w:r w:rsidRPr="00D5464D">
        <w:rPr>
          <w:lang w:val="pt-BR"/>
        </w:rPr>
        <w:t xml:space="preserve"> claro que</w:t>
      </w:r>
      <w:r w:rsidR="00E045D9" w:rsidRPr="00D5464D">
        <w:rPr>
          <w:lang w:val="pt-BR"/>
        </w:rPr>
        <w:t xml:space="preserve"> uma </w:t>
      </w:r>
      <w:r w:rsidRPr="00D5464D">
        <w:rPr>
          <w:lang w:val="pt-BR"/>
        </w:rPr>
        <w:t>mera viola</w:t>
      </w:r>
      <w:r w:rsidR="00470ADC" w:rsidRPr="00D5464D">
        <w:rPr>
          <w:lang w:val="pt-BR"/>
        </w:rPr>
        <w:t xml:space="preserve">ção à </w:t>
      </w:r>
      <w:r w:rsidRPr="00D5464D">
        <w:rPr>
          <w:lang w:val="pt-BR"/>
        </w:rPr>
        <w:t>legisla</w:t>
      </w:r>
      <w:r w:rsidR="00470ADC" w:rsidRPr="00D5464D">
        <w:rPr>
          <w:lang w:val="pt-BR"/>
        </w:rPr>
        <w:t>ção</w:t>
      </w:r>
      <w:r w:rsidRPr="00D5464D">
        <w:rPr>
          <w:lang w:val="pt-BR"/>
        </w:rPr>
        <w:t xml:space="preserve"> </w:t>
      </w:r>
      <w:r w:rsidR="0055296D" w:rsidRPr="00D5464D">
        <w:rPr>
          <w:lang w:val="pt-BR"/>
        </w:rPr>
        <w:t xml:space="preserve">trabalhista não atinge </w:t>
      </w:r>
      <w:r w:rsidR="00470ADC" w:rsidRPr="00D5464D">
        <w:rPr>
          <w:lang w:val="pt-BR"/>
        </w:rPr>
        <w:t xml:space="preserve">o </w:t>
      </w:r>
      <w:r w:rsidR="0055296D" w:rsidRPr="00D5464D">
        <w:rPr>
          <w:lang w:val="pt-BR"/>
        </w:rPr>
        <w:t>limiar da</w:t>
      </w:r>
      <w:r w:rsidRPr="00D5464D">
        <w:rPr>
          <w:lang w:val="pt-BR"/>
        </w:rPr>
        <w:t xml:space="preserve"> </w:t>
      </w:r>
      <w:r w:rsidR="00737270" w:rsidRPr="00D5464D">
        <w:rPr>
          <w:lang w:val="pt-BR"/>
        </w:rPr>
        <w:t>redução</w:t>
      </w:r>
      <w:r w:rsidR="00470ADC" w:rsidRPr="00D5464D">
        <w:rPr>
          <w:lang w:val="pt-BR"/>
        </w:rPr>
        <w:t xml:space="preserve"> à </w:t>
      </w:r>
      <w:r w:rsidR="000B376D" w:rsidRPr="00D5464D">
        <w:rPr>
          <w:lang w:val="pt-BR"/>
        </w:rPr>
        <w:t>escravidão</w:t>
      </w:r>
      <w:r w:rsidRPr="00D5464D">
        <w:rPr>
          <w:lang w:val="pt-BR"/>
        </w:rPr>
        <w:t>,</w:t>
      </w:r>
      <w:r w:rsidR="002C330E" w:rsidRPr="00D5464D">
        <w:rPr>
          <w:lang w:val="pt-BR"/>
        </w:rPr>
        <w:t xml:space="preserve"> mas </w:t>
      </w:r>
      <w:r w:rsidR="0055296D" w:rsidRPr="00D5464D">
        <w:rPr>
          <w:lang w:val="pt-BR"/>
        </w:rPr>
        <w:t xml:space="preserve">é necessário que </w:t>
      </w:r>
      <w:r w:rsidR="002C330E" w:rsidRPr="00D5464D">
        <w:rPr>
          <w:lang w:val="pt-BR"/>
        </w:rPr>
        <w:t xml:space="preserve">as </w:t>
      </w:r>
      <w:r w:rsidRPr="00D5464D">
        <w:rPr>
          <w:lang w:val="pt-BR"/>
        </w:rPr>
        <w:t>viola</w:t>
      </w:r>
      <w:r w:rsidR="00470ADC" w:rsidRPr="00D5464D">
        <w:rPr>
          <w:lang w:val="pt-BR"/>
        </w:rPr>
        <w:t>ções</w:t>
      </w:r>
      <w:r w:rsidR="002C330E" w:rsidRPr="00D5464D">
        <w:rPr>
          <w:lang w:val="pt-BR"/>
        </w:rPr>
        <w:t xml:space="preserve"> sejam </w:t>
      </w:r>
      <w:r w:rsidRPr="00D5464D">
        <w:rPr>
          <w:lang w:val="pt-BR"/>
        </w:rPr>
        <w:t xml:space="preserve">graves, </w:t>
      </w:r>
      <w:r w:rsidR="00A1358C" w:rsidRPr="00D5464D">
        <w:rPr>
          <w:lang w:val="pt-BR"/>
        </w:rPr>
        <w:t>persist</w:t>
      </w:r>
      <w:r w:rsidR="00C91CB1" w:rsidRPr="00D5464D">
        <w:rPr>
          <w:lang w:val="pt-BR"/>
        </w:rPr>
        <w:t>ente</w:t>
      </w:r>
      <w:r w:rsidRPr="00D5464D">
        <w:rPr>
          <w:lang w:val="pt-BR"/>
        </w:rPr>
        <w:t>s</w:t>
      </w:r>
      <w:r w:rsidR="00E045D9" w:rsidRPr="00D5464D">
        <w:rPr>
          <w:lang w:val="pt-BR"/>
        </w:rPr>
        <w:t xml:space="preserve"> e </w:t>
      </w:r>
      <w:r w:rsidRPr="00D5464D">
        <w:rPr>
          <w:lang w:val="pt-BR"/>
        </w:rPr>
        <w:t>que</w:t>
      </w:r>
      <w:r w:rsidR="00A1358C" w:rsidRPr="00D5464D">
        <w:rPr>
          <w:lang w:val="pt-BR"/>
        </w:rPr>
        <w:t xml:space="preserve"> cheg</w:t>
      </w:r>
      <w:r w:rsidRPr="00D5464D">
        <w:rPr>
          <w:lang w:val="pt-BR"/>
        </w:rPr>
        <w:t>ue</w:t>
      </w:r>
      <w:r w:rsidR="0055296D" w:rsidRPr="00D5464D">
        <w:rPr>
          <w:lang w:val="pt-BR"/>
        </w:rPr>
        <w:t>m</w:t>
      </w:r>
      <w:r w:rsidRPr="00D5464D">
        <w:rPr>
          <w:lang w:val="pt-BR"/>
        </w:rPr>
        <w:t xml:space="preserve"> a </w:t>
      </w:r>
      <w:r w:rsidR="00470ADC" w:rsidRPr="00D5464D">
        <w:rPr>
          <w:lang w:val="pt-BR"/>
        </w:rPr>
        <w:t>afeta</w:t>
      </w:r>
      <w:r w:rsidRPr="00D5464D">
        <w:rPr>
          <w:lang w:val="pt-BR"/>
        </w:rPr>
        <w:t>r</w:t>
      </w:r>
      <w:r w:rsidR="002C330E" w:rsidRPr="00D5464D">
        <w:rPr>
          <w:lang w:val="pt-BR"/>
        </w:rPr>
        <w:t xml:space="preserve"> a livre </w:t>
      </w:r>
      <w:r w:rsidRPr="00D5464D">
        <w:rPr>
          <w:lang w:val="pt-BR"/>
        </w:rPr>
        <w:t>determina</w:t>
      </w:r>
      <w:r w:rsidR="00470ADC" w:rsidRPr="00D5464D">
        <w:rPr>
          <w:lang w:val="pt-BR"/>
        </w:rPr>
        <w:t xml:space="preserve">ção da </w:t>
      </w:r>
      <w:r w:rsidR="00E045D9" w:rsidRPr="00D5464D">
        <w:rPr>
          <w:lang w:val="pt-BR"/>
        </w:rPr>
        <w:t>vítima</w:t>
      </w:r>
      <w:r w:rsidRPr="00D5464D">
        <w:rPr>
          <w:lang w:val="pt-BR"/>
        </w:rPr>
        <w:t>.</w:t>
      </w:r>
      <w:r w:rsidR="00470ADC" w:rsidRPr="00D5464D">
        <w:rPr>
          <w:lang w:val="pt-BR"/>
        </w:rPr>
        <w:t xml:space="preserve"> </w:t>
      </w:r>
      <w:r w:rsidR="0055296D" w:rsidRPr="00D5464D">
        <w:rPr>
          <w:lang w:val="pt-BR"/>
        </w:rPr>
        <w:t>N</w:t>
      </w:r>
      <w:r w:rsidR="00737270" w:rsidRPr="00D5464D">
        <w:rPr>
          <w:lang w:val="pt-BR"/>
        </w:rPr>
        <w:t>esse</w:t>
      </w:r>
      <w:r w:rsidR="00470ADC" w:rsidRPr="00D5464D">
        <w:rPr>
          <w:lang w:val="pt-BR"/>
        </w:rPr>
        <w:t xml:space="preserve"> </w:t>
      </w:r>
      <w:r w:rsidRPr="00D5464D">
        <w:rPr>
          <w:lang w:val="pt-BR"/>
        </w:rPr>
        <w:t>sentido</w:t>
      </w:r>
      <w:r w:rsidR="00470ADC" w:rsidRPr="00D5464D">
        <w:rPr>
          <w:lang w:val="pt-BR"/>
        </w:rPr>
        <w:t xml:space="preserve"> foi o </w:t>
      </w:r>
      <w:r w:rsidRPr="00D5464D">
        <w:rPr>
          <w:lang w:val="pt-BR"/>
        </w:rPr>
        <w:t>Voto</w:t>
      </w:r>
      <w:r w:rsidR="00470ADC" w:rsidRPr="00D5464D">
        <w:rPr>
          <w:lang w:val="pt-BR"/>
        </w:rPr>
        <w:t xml:space="preserve"> da </w:t>
      </w:r>
      <w:r w:rsidRPr="00D5464D">
        <w:rPr>
          <w:lang w:val="pt-BR"/>
        </w:rPr>
        <w:t>Ministra Rosa Weber</w:t>
      </w:r>
      <w:r w:rsidR="00E045D9" w:rsidRPr="00D5464D">
        <w:rPr>
          <w:lang w:val="pt-BR"/>
        </w:rPr>
        <w:t xml:space="preserve"> no </w:t>
      </w:r>
      <w:r w:rsidRPr="00D5464D">
        <w:rPr>
          <w:lang w:val="pt-BR"/>
        </w:rPr>
        <w:t xml:space="preserve">Recurso Especial 459510/MT: </w:t>
      </w:r>
    </w:p>
    <w:p w14:paraId="77E6530A" w14:textId="77777777" w:rsidR="001E1449" w:rsidRPr="00D5464D" w:rsidRDefault="001E1449" w:rsidP="001E1449">
      <w:pPr>
        <w:pStyle w:val="Prrafodelista"/>
        <w:ind w:left="0"/>
        <w:rPr>
          <w:lang w:val="pt-BR"/>
        </w:rPr>
      </w:pPr>
    </w:p>
    <w:p w14:paraId="5A0CA58F" w14:textId="2D16E72B" w:rsidR="001E1449" w:rsidRPr="00D5464D" w:rsidRDefault="001E1449" w:rsidP="001E1449">
      <w:pPr>
        <w:pStyle w:val="Prrafodelista"/>
        <w:ind w:left="709" w:right="804"/>
        <w:rPr>
          <w:sz w:val="16"/>
          <w:szCs w:val="16"/>
          <w:lang w:val="pt-BR"/>
        </w:rPr>
      </w:pPr>
      <w:r w:rsidRPr="00D5464D">
        <w:rPr>
          <w:sz w:val="16"/>
          <w:szCs w:val="16"/>
          <w:lang w:val="pt-BR"/>
        </w:rPr>
        <w:t>“</w:t>
      </w:r>
      <w:r w:rsidR="0055296D" w:rsidRPr="00D5464D">
        <w:rPr>
          <w:sz w:val="16"/>
          <w:szCs w:val="16"/>
          <w:lang w:val="pt-BR"/>
        </w:rPr>
        <w:t>Por óbvio, nem toda violação dos direitos trabalhistas configura trabalho escravo. Contudo, se a afronta aos direitos assegurados pela legislação regente do trabalho é intensa e persistente, se atinge níveis gritantes e se os trabalhadores são submetidos a trabalhos forçados, jornadas exaustivas ou a condições degradantes, é possível, em tese, o enquadramento no crime do art. 149 do Código Penal, pois conferido aos trabalhadores tratamento análogo ao de escravos, com a privação de sua liberdade e</w:t>
      </w:r>
      <w:r w:rsidR="00286C57" w:rsidRPr="00D5464D">
        <w:rPr>
          <w:sz w:val="16"/>
          <w:szCs w:val="16"/>
          <w:lang w:val="pt-BR"/>
        </w:rPr>
        <w:t>,</w:t>
      </w:r>
      <w:r w:rsidR="0055296D" w:rsidRPr="00D5464D">
        <w:rPr>
          <w:sz w:val="16"/>
          <w:szCs w:val="16"/>
          <w:lang w:val="pt-BR"/>
        </w:rPr>
        <w:t xml:space="preserve"> sobretudo</w:t>
      </w:r>
      <w:r w:rsidR="00286C57" w:rsidRPr="00D5464D">
        <w:rPr>
          <w:sz w:val="16"/>
          <w:szCs w:val="16"/>
          <w:lang w:val="pt-BR"/>
        </w:rPr>
        <w:t>,</w:t>
      </w:r>
      <w:r w:rsidR="0055296D" w:rsidRPr="00D5464D">
        <w:rPr>
          <w:sz w:val="16"/>
          <w:szCs w:val="16"/>
          <w:lang w:val="pt-BR"/>
        </w:rPr>
        <w:t xml:space="preserve"> de sua dignidade, mesmo na ausência de coação direta contra a liberdade de ir e vir</w:t>
      </w:r>
      <w:r w:rsidRPr="00D5464D">
        <w:rPr>
          <w:sz w:val="16"/>
          <w:szCs w:val="16"/>
          <w:lang w:val="pt-BR"/>
        </w:rPr>
        <w:t>.”</w:t>
      </w:r>
      <w:r w:rsidR="00B066A0" w:rsidRPr="00D5464D">
        <w:rPr>
          <w:rStyle w:val="Refdenotaalpie"/>
          <w:sz w:val="16"/>
          <w:lang w:val="pt-BR"/>
        </w:rPr>
        <w:footnoteReference w:id="448"/>
      </w:r>
      <w:r w:rsidR="00FF1290" w:rsidRPr="00D5464D">
        <w:rPr>
          <w:sz w:val="16"/>
          <w:szCs w:val="16"/>
          <w:lang w:val="pt-BR"/>
        </w:rPr>
        <w:t xml:space="preserve"> </w:t>
      </w:r>
    </w:p>
    <w:p w14:paraId="323853C3" w14:textId="77777777" w:rsidR="001E1449" w:rsidRPr="00D5464D" w:rsidRDefault="001E1449" w:rsidP="001E1449">
      <w:pPr>
        <w:pStyle w:val="Prrafodelista"/>
        <w:ind w:left="0"/>
        <w:rPr>
          <w:szCs w:val="20"/>
          <w:lang w:val="pt-BR"/>
        </w:rPr>
      </w:pPr>
    </w:p>
    <w:p w14:paraId="35F24080" w14:textId="577A9C1C" w:rsidR="001E1449" w:rsidRPr="00D5464D" w:rsidRDefault="001E1449" w:rsidP="001E1449">
      <w:pPr>
        <w:pStyle w:val="Prrafodelista"/>
        <w:numPr>
          <w:ilvl w:val="0"/>
          <w:numId w:val="1"/>
        </w:numPr>
        <w:contextualSpacing w:val="0"/>
        <w:rPr>
          <w:bCs/>
          <w:lang w:val="pt-BR"/>
        </w:rPr>
      </w:pPr>
      <w:r w:rsidRPr="00D5464D">
        <w:rPr>
          <w:lang w:val="pt-BR"/>
        </w:rPr>
        <w:t xml:space="preserve">Por </w:t>
      </w:r>
      <w:r w:rsidR="00C91CB1" w:rsidRPr="00D5464D">
        <w:rPr>
          <w:lang w:val="pt-BR"/>
        </w:rPr>
        <w:t>todo o anterior</w:t>
      </w:r>
      <w:r w:rsidRPr="00D5464D">
        <w:rPr>
          <w:lang w:val="pt-BR"/>
        </w:rPr>
        <w:t>,</w:t>
      </w:r>
      <w:r w:rsidR="002C330E" w:rsidRPr="00D5464D">
        <w:rPr>
          <w:lang w:val="pt-BR"/>
        </w:rPr>
        <w:t xml:space="preserve"> a </w:t>
      </w:r>
      <w:r w:rsidRPr="00D5464D">
        <w:rPr>
          <w:lang w:val="pt-BR"/>
        </w:rPr>
        <w:t>Corte</w:t>
      </w:r>
      <w:r w:rsidR="00A1358C" w:rsidRPr="00D5464D">
        <w:rPr>
          <w:lang w:val="pt-BR"/>
        </w:rPr>
        <w:t xml:space="preserve"> não considera</w:t>
      </w:r>
      <w:r w:rsidRPr="00D5464D">
        <w:rPr>
          <w:lang w:val="pt-BR"/>
        </w:rPr>
        <w:t xml:space="preserve"> que</w:t>
      </w:r>
      <w:r w:rsidR="00470ADC" w:rsidRPr="00D5464D">
        <w:rPr>
          <w:lang w:val="pt-BR"/>
        </w:rPr>
        <w:t xml:space="preserve"> o </w:t>
      </w:r>
      <w:r w:rsidRPr="00D5464D">
        <w:rPr>
          <w:lang w:val="pt-BR"/>
        </w:rPr>
        <w:t xml:space="preserve">argumento </w:t>
      </w:r>
      <w:r w:rsidR="003C667A" w:rsidRPr="00D5464D">
        <w:rPr>
          <w:lang w:val="pt-BR"/>
        </w:rPr>
        <w:t xml:space="preserve">do Estado </w:t>
      </w:r>
      <w:r w:rsidRPr="00D5464D">
        <w:rPr>
          <w:lang w:val="pt-BR"/>
        </w:rPr>
        <w:t>sobre</w:t>
      </w:r>
      <w:r w:rsidR="00E045D9" w:rsidRPr="00D5464D">
        <w:rPr>
          <w:lang w:val="pt-BR"/>
        </w:rPr>
        <w:t xml:space="preserve"> uma </w:t>
      </w:r>
      <w:r w:rsidR="002C330E" w:rsidRPr="00D5464D">
        <w:rPr>
          <w:lang w:val="pt-BR"/>
        </w:rPr>
        <w:t>proteção</w:t>
      </w:r>
      <w:r w:rsidRPr="00D5464D">
        <w:rPr>
          <w:lang w:val="pt-BR"/>
        </w:rPr>
        <w:t xml:space="preserve"> </w:t>
      </w:r>
      <w:r w:rsidR="002C330E" w:rsidRPr="00D5464D">
        <w:rPr>
          <w:lang w:val="pt-BR"/>
        </w:rPr>
        <w:t xml:space="preserve">mais </w:t>
      </w:r>
      <w:r w:rsidR="00470ADC" w:rsidRPr="00D5464D">
        <w:rPr>
          <w:lang w:val="pt-BR"/>
        </w:rPr>
        <w:t>ampla</w:t>
      </w:r>
      <w:r w:rsidRPr="00D5464D">
        <w:rPr>
          <w:lang w:val="pt-BR"/>
        </w:rPr>
        <w:t xml:space="preserve"> </w:t>
      </w:r>
      <w:r w:rsidR="003C667A" w:rsidRPr="00D5464D">
        <w:rPr>
          <w:lang w:val="pt-BR"/>
        </w:rPr>
        <w:t xml:space="preserve">oferecida </w:t>
      </w:r>
      <w:r w:rsidR="002C330E" w:rsidRPr="00D5464D">
        <w:rPr>
          <w:lang w:val="pt-BR"/>
        </w:rPr>
        <w:t xml:space="preserve">pelo </w:t>
      </w:r>
      <w:r w:rsidR="00470ADC" w:rsidRPr="00D5464D">
        <w:rPr>
          <w:lang w:val="pt-BR"/>
        </w:rPr>
        <w:t>artigo</w:t>
      </w:r>
      <w:r w:rsidRPr="00D5464D">
        <w:rPr>
          <w:lang w:val="pt-BR"/>
        </w:rPr>
        <w:t xml:space="preserve"> 149 </w:t>
      </w:r>
      <w:r w:rsidR="00470ADC" w:rsidRPr="00D5464D">
        <w:rPr>
          <w:lang w:val="pt-BR"/>
        </w:rPr>
        <w:t xml:space="preserve">do </w:t>
      </w:r>
      <w:r w:rsidRPr="00D5464D">
        <w:rPr>
          <w:lang w:val="pt-BR"/>
        </w:rPr>
        <w:t xml:space="preserve">Código Penal </w:t>
      </w:r>
      <w:r w:rsidR="00470ADC" w:rsidRPr="00D5464D">
        <w:rPr>
          <w:lang w:val="pt-BR"/>
        </w:rPr>
        <w:t>brasileir</w:t>
      </w:r>
      <w:r w:rsidRPr="00D5464D">
        <w:rPr>
          <w:lang w:val="pt-BR"/>
        </w:rPr>
        <w:t xml:space="preserve">o </w:t>
      </w:r>
      <w:r w:rsidR="002C330E" w:rsidRPr="00D5464D">
        <w:rPr>
          <w:lang w:val="pt-BR"/>
        </w:rPr>
        <w:t>possa</w:t>
      </w:r>
      <w:r w:rsidRPr="00D5464D">
        <w:rPr>
          <w:lang w:val="pt-BR"/>
        </w:rPr>
        <w:t xml:space="preserve"> </w:t>
      </w:r>
      <w:r w:rsidR="00286C57" w:rsidRPr="00D5464D">
        <w:rPr>
          <w:lang w:val="pt-BR"/>
        </w:rPr>
        <w:t>eximí-lo</w:t>
      </w:r>
      <w:r w:rsidRPr="00D5464D">
        <w:rPr>
          <w:lang w:val="pt-BR"/>
        </w:rPr>
        <w:t xml:space="preserve"> de </w:t>
      </w:r>
      <w:r w:rsidR="00E045D9" w:rsidRPr="00D5464D">
        <w:rPr>
          <w:lang w:val="pt-BR"/>
        </w:rPr>
        <w:t xml:space="preserve">sua responsabilidade no </w:t>
      </w:r>
      <w:r w:rsidRPr="00D5464D">
        <w:rPr>
          <w:lang w:val="pt-BR"/>
        </w:rPr>
        <w:t xml:space="preserve">presente caso. </w:t>
      </w:r>
    </w:p>
    <w:p w14:paraId="29A12E1E" w14:textId="77777777" w:rsidR="001E1449" w:rsidRPr="00D5464D" w:rsidRDefault="001E1449" w:rsidP="005D2CE2">
      <w:pPr>
        <w:pStyle w:val="Ttulo3"/>
        <w:rPr>
          <w:lang w:val="pt-BR"/>
        </w:rPr>
      </w:pPr>
    </w:p>
    <w:p w14:paraId="2772F08B" w14:textId="62A831B3" w:rsidR="00207197" w:rsidRPr="00D5464D" w:rsidRDefault="00F9204B" w:rsidP="005D2CE2">
      <w:pPr>
        <w:pStyle w:val="Ttulo3"/>
        <w:rPr>
          <w:lang w:val="pt-BR"/>
        </w:rPr>
      </w:pPr>
      <w:bookmarkStart w:id="401" w:name="_Toc468433928"/>
      <w:r w:rsidRPr="00D5464D">
        <w:rPr>
          <w:lang w:val="pt-BR"/>
        </w:rPr>
        <w:t>B.</w:t>
      </w:r>
      <w:r w:rsidR="001E1449" w:rsidRPr="00D5464D">
        <w:rPr>
          <w:lang w:val="pt-BR"/>
        </w:rPr>
        <w:t>9</w:t>
      </w:r>
      <w:r w:rsidR="00CB7E29" w:rsidRPr="00D5464D">
        <w:rPr>
          <w:lang w:val="pt-BR"/>
        </w:rPr>
        <w:t>.</w:t>
      </w:r>
      <w:r w:rsidR="002C330E" w:rsidRPr="00D5464D">
        <w:rPr>
          <w:lang w:val="pt-BR"/>
        </w:rPr>
        <w:t xml:space="preserve"> </w:t>
      </w:r>
      <w:r w:rsidR="003C667A" w:rsidRPr="00D5464D">
        <w:rPr>
          <w:lang w:val="pt-BR"/>
        </w:rPr>
        <w:t>A</w:t>
      </w:r>
      <w:r w:rsidR="002C330E" w:rsidRPr="00D5464D">
        <w:rPr>
          <w:lang w:val="pt-BR"/>
        </w:rPr>
        <w:t xml:space="preserve"> responsabilidade </w:t>
      </w:r>
      <w:r w:rsidR="00470ADC" w:rsidRPr="00D5464D">
        <w:rPr>
          <w:lang w:val="pt-BR"/>
        </w:rPr>
        <w:t xml:space="preserve">do </w:t>
      </w:r>
      <w:r w:rsidR="00207197" w:rsidRPr="00D5464D">
        <w:rPr>
          <w:lang w:val="pt-BR"/>
        </w:rPr>
        <w:t>Estado</w:t>
      </w:r>
      <w:r w:rsidR="00E045D9" w:rsidRPr="00D5464D">
        <w:rPr>
          <w:lang w:val="pt-BR"/>
        </w:rPr>
        <w:t xml:space="preserve"> no </w:t>
      </w:r>
      <w:r w:rsidR="00207197" w:rsidRPr="00D5464D">
        <w:rPr>
          <w:lang w:val="pt-BR"/>
        </w:rPr>
        <w:t>presente caso</w:t>
      </w:r>
      <w:bookmarkEnd w:id="401"/>
    </w:p>
    <w:p w14:paraId="7F82CE72" w14:textId="77777777" w:rsidR="00207197" w:rsidRPr="00D5464D" w:rsidRDefault="00207197" w:rsidP="00140440">
      <w:pPr>
        <w:jc w:val="both"/>
        <w:rPr>
          <w:lang w:val="pt-BR"/>
        </w:rPr>
      </w:pPr>
    </w:p>
    <w:p w14:paraId="5836F654" w14:textId="32E403AA" w:rsidR="00207197" w:rsidRPr="00D5464D" w:rsidRDefault="00207197" w:rsidP="00F37DC4">
      <w:pPr>
        <w:pStyle w:val="Prrafodelista"/>
        <w:numPr>
          <w:ilvl w:val="0"/>
          <w:numId w:val="1"/>
        </w:numPr>
        <w:contextualSpacing w:val="0"/>
        <w:rPr>
          <w:lang w:val="pt-BR"/>
        </w:rPr>
      </w:pPr>
      <w:r w:rsidRPr="00D5464D">
        <w:rPr>
          <w:lang w:val="pt-BR"/>
        </w:rPr>
        <w:t>Una vez caracterizada</w:t>
      </w:r>
      <w:r w:rsidR="002C330E" w:rsidRPr="00D5464D">
        <w:rPr>
          <w:lang w:val="pt-BR"/>
        </w:rPr>
        <w:t xml:space="preserve"> a </w:t>
      </w:r>
      <w:r w:rsidRPr="00D5464D">
        <w:rPr>
          <w:lang w:val="pt-BR"/>
        </w:rPr>
        <w:t>situa</w:t>
      </w:r>
      <w:r w:rsidR="00470ADC" w:rsidRPr="00D5464D">
        <w:rPr>
          <w:lang w:val="pt-BR"/>
        </w:rPr>
        <w:t xml:space="preserve">ção dos </w:t>
      </w:r>
      <w:r w:rsidR="00E045D9" w:rsidRPr="00D5464D">
        <w:rPr>
          <w:lang w:val="pt-BR"/>
        </w:rPr>
        <w:t>trabalhadores</w:t>
      </w:r>
      <w:r w:rsidRPr="00D5464D">
        <w:rPr>
          <w:lang w:val="pt-BR"/>
        </w:rPr>
        <w:t xml:space="preserve"> presentes</w:t>
      </w:r>
      <w:r w:rsidR="00E045D9" w:rsidRPr="00D5464D">
        <w:rPr>
          <w:lang w:val="pt-BR"/>
        </w:rPr>
        <w:t xml:space="preserve"> na </w:t>
      </w:r>
      <w:r w:rsidR="00D809F0" w:rsidRPr="00D5464D">
        <w:rPr>
          <w:lang w:val="pt-BR"/>
        </w:rPr>
        <w:t>Fazenda</w:t>
      </w:r>
      <w:r w:rsidRPr="00D5464D">
        <w:rPr>
          <w:lang w:val="pt-BR"/>
        </w:rPr>
        <w:t xml:space="preserve"> Brasil Verde como</w:t>
      </w:r>
      <w:r w:rsidR="00E045D9" w:rsidRPr="00D5464D">
        <w:rPr>
          <w:lang w:val="pt-BR"/>
        </w:rPr>
        <w:t xml:space="preserve"> uma </w:t>
      </w:r>
      <w:r w:rsidRPr="00D5464D">
        <w:rPr>
          <w:lang w:val="pt-BR"/>
        </w:rPr>
        <w:t>manifesta</w:t>
      </w:r>
      <w:r w:rsidR="00470ADC" w:rsidRPr="00D5464D">
        <w:rPr>
          <w:lang w:val="pt-BR"/>
        </w:rPr>
        <w:t>ção</w:t>
      </w:r>
      <w:r w:rsidRPr="00D5464D">
        <w:rPr>
          <w:lang w:val="pt-BR"/>
        </w:rPr>
        <w:t xml:space="preserve"> de </w:t>
      </w:r>
      <w:r w:rsidR="000B376D" w:rsidRPr="00D5464D">
        <w:rPr>
          <w:lang w:val="pt-BR"/>
        </w:rPr>
        <w:t>escravidão</w:t>
      </w:r>
      <w:r w:rsidRPr="00D5464D">
        <w:rPr>
          <w:lang w:val="pt-BR"/>
        </w:rPr>
        <w:t>,</w:t>
      </w:r>
      <w:r w:rsidR="002C330E" w:rsidRPr="00D5464D">
        <w:rPr>
          <w:lang w:val="pt-BR"/>
        </w:rPr>
        <w:t xml:space="preserve"> a </w:t>
      </w:r>
      <w:r w:rsidRPr="00D5464D">
        <w:rPr>
          <w:lang w:val="pt-BR"/>
        </w:rPr>
        <w:t xml:space="preserve">Corte </w:t>
      </w:r>
      <w:r w:rsidR="00470ADC" w:rsidRPr="00D5464D">
        <w:rPr>
          <w:lang w:val="pt-BR"/>
        </w:rPr>
        <w:t>analisará</w:t>
      </w:r>
      <w:r w:rsidR="002C330E" w:rsidRPr="00D5464D">
        <w:rPr>
          <w:lang w:val="pt-BR"/>
        </w:rPr>
        <w:t xml:space="preserve"> se </w:t>
      </w:r>
      <w:r w:rsidR="00737270" w:rsidRPr="00D5464D">
        <w:rPr>
          <w:lang w:val="pt-BR"/>
        </w:rPr>
        <w:t>existiu</w:t>
      </w:r>
      <w:r w:rsidRPr="00D5464D">
        <w:rPr>
          <w:lang w:val="pt-BR"/>
        </w:rPr>
        <w:t xml:space="preserve"> </w:t>
      </w:r>
      <w:r w:rsidR="002C330E" w:rsidRPr="00D5464D">
        <w:rPr>
          <w:lang w:val="pt-BR"/>
        </w:rPr>
        <w:t xml:space="preserve">responsabilidade </w:t>
      </w:r>
      <w:r w:rsidR="00470ADC" w:rsidRPr="00D5464D">
        <w:rPr>
          <w:lang w:val="pt-BR"/>
        </w:rPr>
        <w:t xml:space="preserve">do </w:t>
      </w:r>
      <w:r w:rsidRPr="00D5464D">
        <w:rPr>
          <w:lang w:val="pt-BR"/>
        </w:rPr>
        <w:t>Estado por</w:t>
      </w:r>
      <w:r w:rsidR="00470ADC" w:rsidRPr="00D5464D">
        <w:rPr>
          <w:lang w:val="pt-BR"/>
        </w:rPr>
        <w:t xml:space="preserve"> estes </w:t>
      </w:r>
      <w:r w:rsidR="002C330E" w:rsidRPr="00D5464D">
        <w:rPr>
          <w:lang w:val="pt-BR"/>
        </w:rPr>
        <w:t>fatos</w:t>
      </w:r>
      <w:r w:rsidR="00470ADC" w:rsidRPr="00D5464D">
        <w:rPr>
          <w:lang w:val="pt-BR"/>
        </w:rPr>
        <w:t xml:space="preserve"> com </w:t>
      </w:r>
      <w:r w:rsidRPr="00D5464D">
        <w:rPr>
          <w:lang w:val="pt-BR"/>
        </w:rPr>
        <w:t>base</w:t>
      </w:r>
      <w:r w:rsidR="00E045D9" w:rsidRPr="00D5464D">
        <w:rPr>
          <w:lang w:val="pt-BR"/>
        </w:rPr>
        <w:t xml:space="preserve"> na </w:t>
      </w:r>
      <w:r w:rsidRPr="00D5464D">
        <w:rPr>
          <w:lang w:val="pt-BR"/>
        </w:rPr>
        <w:t>Conven</w:t>
      </w:r>
      <w:r w:rsidR="00470ADC" w:rsidRPr="00D5464D">
        <w:rPr>
          <w:lang w:val="pt-BR"/>
        </w:rPr>
        <w:t>ção</w:t>
      </w:r>
      <w:r w:rsidRPr="00D5464D">
        <w:rPr>
          <w:lang w:val="pt-BR"/>
        </w:rPr>
        <w:t xml:space="preserve"> Americana.</w:t>
      </w:r>
    </w:p>
    <w:p w14:paraId="4F94EBBA" w14:textId="77777777" w:rsidR="00207197" w:rsidRPr="00D5464D" w:rsidRDefault="00207197" w:rsidP="00140440">
      <w:pPr>
        <w:pStyle w:val="Prrafodelista"/>
        <w:ind w:left="0"/>
        <w:rPr>
          <w:lang w:val="pt-BR"/>
        </w:rPr>
      </w:pPr>
    </w:p>
    <w:p w14:paraId="1F241809" w14:textId="15C3D529" w:rsidR="00207197" w:rsidRPr="00D5464D" w:rsidRDefault="00737270" w:rsidP="00F37DC4">
      <w:pPr>
        <w:pStyle w:val="Prrafodelista"/>
        <w:numPr>
          <w:ilvl w:val="0"/>
          <w:numId w:val="1"/>
        </w:numPr>
        <w:contextualSpacing w:val="0"/>
        <w:rPr>
          <w:lang w:val="pt-BR"/>
        </w:rPr>
      </w:pPr>
      <w:r w:rsidRPr="00D5464D">
        <w:rPr>
          <w:lang w:val="pt-BR"/>
        </w:rPr>
        <w:t>Como fez</w:t>
      </w:r>
      <w:r w:rsidR="002C330E" w:rsidRPr="00D5464D">
        <w:rPr>
          <w:lang w:val="pt-BR"/>
        </w:rPr>
        <w:t xml:space="preserve"> </w:t>
      </w:r>
      <w:r w:rsidR="00470ADC" w:rsidRPr="00D5464D">
        <w:rPr>
          <w:lang w:val="pt-BR"/>
        </w:rPr>
        <w:t xml:space="preserve">em </w:t>
      </w:r>
      <w:r w:rsidR="002C330E" w:rsidRPr="00D5464D">
        <w:rPr>
          <w:lang w:val="pt-BR"/>
        </w:rPr>
        <w:t>outra</w:t>
      </w:r>
      <w:r w:rsidR="00207197" w:rsidRPr="00D5464D">
        <w:rPr>
          <w:lang w:val="pt-BR"/>
        </w:rPr>
        <w:t>s oportunidades,</w:t>
      </w:r>
      <w:r w:rsidR="002C330E" w:rsidRPr="00D5464D">
        <w:rPr>
          <w:lang w:val="pt-BR"/>
        </w:rPr>
        <w:t xml:space="preserve"> a </w:t>
      </w:r>
      <w:r w:rsidR="00207197" w:rsidRPr="00D5464D">
        <w:rPr>
          <w:lang w:val="pt-BR"/>
        </w:rPr>
        <w:t xml:space="preserve">Corte reitera que </w:t>
      </w:r>
      <w:r w:rsidR="00492C20" w:rsidRPr="00D5464D">
        <w:rPr>
          <w:lang w:val="pt-BR"/>
        </w:rPr>
        <w:t xml:space="preserve">não </w:t>
      </w:r>
      <w:r w:rsidR="00207197" w:rsidRPr="00D5464D">
        <w:rPr>
          <w:lang w:val="pt-BR"/>
        </w:rPr>
        <w:t>basta que</w:t>
      </w:r>
      <w:r w:rsidR="002C330E" w:rsidRPr="00D5464D">
        <w:rPr>
          <w:lang w:val="pt-BR"/>
        </w:rPr>
        <w:t xml:space="preserve"> os </w:t>
      </w:r>
      <w:r w:rsidR="00207197" w:rsidRPr="00D5464D">
        <w:rPr>
          <w:lang w:val="pt-BR"/>
        </w:rPr>
        <w:t>Estados se abs</w:t>
      </w:r>
      <w:r w:rsidR="00E045D9" w:rsidRPr="00D5464D">
        <w:rPr>
          <w:lang w:val="pt-BR"/>
        </w:rPr>
        <w:t xml:space="preserve">tenham </w:t>
      </w:r>
      <w:r w:rsidR="00207197" w:rsidRPr="00D5464D">
        <w:rPr>
          <w:lang w:val="pt-BR"/>
        </w:rPr>
        <w:t>de violar</w:t>
      </w:r>
      <w:r w:rsidR="002C330E" w:rsidRPr="00D5464D">
        <w:rPr>
          <w:lang w:val="pt-BR"/>
        </w:rPr>
        <w:t xml:space="preserve"> os </w:t>
      </w:r>
      <w:r w:rsidR="00470ADC" w:rsidRPr="00D5464D">
        <w:rPr>
          <w:lang w:val="pt-BR"/>
        </w:rPr>
        <w:t>direito</w:t>
      </w:r>
      <w:r w:rsidR="00207197" w:rsidRPr="00D5464D">
        <w:rPr>
          <w:lang w:val="pt-BR"/>
        </w:rPr>
        <w:t>s,</w:t>
      </w:r>
      <w:r w:rsidR="002C330E" w:rsidRPr="00D5464D">
        <w:rPr>
          <w:lang w:val="pt-BR"/>
        </w:rPr>
        <w:t xml:space="preserve"> mas </w:t>
      </w:r>
      <w:r w:rsidR="00470ADC" w:rsidRPr="00D5464D">
        <w:rPr>
          <w:lang w:val="pt-BR"/>
        </w:rPr>
        <w:t xml:space="preserve">é </w:t>
      </w:r>
      <w:r w:rsidR="00207197" w:rsidRPr="00D5464D">
        <w:rPr>
          <w:lang w:val="pt-BR"/>
        </w:rPr>
        <w:t>imperativa</w:t>
      </w:r>
      <w:r w:rsidR="002C330E" w:rsidRPr="00D5464D">
        <w:rPr>
          <w:lang w:val="pt-BR"/>
        </w:rPr>
        <w:t xml:space="preserve"> a </w:t>
      </w:r>
      <w:r w:rsidR="00470ADC" w:rsidRPr="00D5464D">
        <w:rPr>
          <w:lang w:val="pt-BR"/>
        </w:rPr>
        <w:t>adoção</w:t>
      </w:r>
      <w:r w:rsidR="00207197" w:rsidRPr="00D5464D">
        <w:rPr>
          <w:lang w:val="pt-BR"/>
        </w:rPr>
        <w:t xml:space="preserve"> de medidas positivas, determin</w:t>
      </w:r>
      <w:r w:rsidR="00E045D9" w:rsidRPr="00D5464D">
        <w:rPr>
          <w:lang w:val="pt-BR"/>
        </w:rPr>
        <w:t xml:space="preserve">áveis </w:t>
      </w:r>
      <w:r w:rsidR="00470ADC" w:rsidRPr="00D5464D">
        <w:rPr>
          <w:lang w:val="pt-BR"/>
        </w:rPr>
        <w:t xml:space="preserve">em </w:t>
      </w:r>
      <w:r w:rsidR="00207197" w:rsidRPr="00D5464D">
        <w:rPr>
          <w:lang w:val="pt-BR"/>
        </w:rPr>
        <w:t>fun</w:t>
      </w:r>
      <w:r w:rsidR="00470ADC" w:rsidRPr="00D5464D">
        <w:rPr>
          <w:lang w:val="pt-BR"/>
        </w:rPr>
        <w:t xml:space="preserve">ção das </w:t>
      </w:r>
      <w:r w:rsidR="00207197" w:rsidRPr="00D5464D">
        <w:rPr>
          <w:lang w:val="pt-BR"/>
        </w:rPr>
        <w:t xml:space="preserve">particulares </w:t>
      </w:r>
      <w:r w:rsidR="002C330E" w:rsidRPr="00D5464D">
        <w:rPr>
          <w:lang w:val="pt-BR"/>
        </w:rPr>
        <w:t>necessidad</w:t>
      </w:r>
      <w:r w:rsidR="00207197" w:rsidRPr="00D5464D">
        <w:rPr>
          <w:lang w:val="pt-BR"/>
        </w:rPr>
        <w:t xml:space="preserve">es de </w:t>
      </w:r>
      <w:r w:rsidR="002C330E" w:rsidRPr="00D5464D">
        <w:rPr>
          <w:lang w:val="pt-BR"/>
        </w:rPr>
        <w:t>proteção</w:t>
      </w:r>
      <w:r w:rsidR="00207197" w:rsidRPr="00D5464D">
        <w:rPr>
          <w:lang w:val="pt-BR"/>
        </w:rPr>
        <w:t xml:space="preserve"> </w:t>
      </w:r>
      <w:r w:rsidR="00470ADC" w:rsidRPr="00D5464D">
        <w:rPr>
          <w:lang w:val="pt-BR"/>
        </w:rPr>
        <w:t xml:space="preserve">do </w:t>
      </w:r>
      <w:r w:rsidR="00E045D9" w:rsidRPr="00D5464D">
        <w:rPr>
          <w:lang w:val="pt-BR"/>
        </w:rPr>
        <w:t>sujeito</w:t>
      </w:r>
      <w:r w:rsidR="00207197" w:rsidRPr="00D5464D">
        <w:rPr>
          <w:lang w:val="pt-BR"/>
        </w:rPr>
        <w:t xml:space="preserve"> de </w:t>
      </w:r>
      <w:r w:rsidR="00470ADC" w:rsidRPr="00D5464D">
        <w:rPr>
          <w:lang w:val="pt-BR"/>
        </w:rPr>
        <w:t>direito,</w:t>
      </w:r>
      <w:r w:rsidRPr="00D5464D">
        <w:rPr>
          <w:lang w:val="pt-BR"/>
        </w:rPr>
        <w:t xml:space="preserve"> </w:t>
      </w:r>
      <w:r w:rsidR="002C330E" w:rsidRPr="00D5464D">
        <w:rPr>
          <w:lang w:val="pt-BR"/>
        </w:rPr>
        <w:t xml:space="preserve">seja </w:t>
      </w:r>
      <w:r w:rsidR="00207197" w:rsidRPr="00D5464D">
        <w:rPr>
          <w:lang w:val="pt-BR"/>
        </w:rPr>
        <w:t xml:space="preserve">por </w:t>
      </w:r>
      <w:r w:rsidR="00A1358C" w:rsidRPr="00D5464D">
        <w:rPr>
          <w:lang w:val="pt-BR"/>
        </w:rPr>
        <w:t>sua condição</w:t>
      </w:r>
      <w:r w:rsidR="00207197" w:rsidRPr="00D5464D">
        <w:rPr>
          <w:lang w:val="pt-BR"/>
        </w:rPr>
        <w:t xml:space="preserve"> </w:t>
      </w:r>
      <w:r w:rsidR="002C330E" w:rsidRPr="00D5464D">
        <w:rPr>
          <w:lang w:val="pt-BR"/>
        </w:rPr>
        <w:t>pessoa</w:t>
      </w:r>
      <w:r w:rsidR="00207197" w:rsidRPr="00D5464D">
        <w:rPr>
          <w:lang w:val="pt-BR"/>
        </w:rPr>
        <w:t>l o</w:t>
      </w:r>
      <w:r w:rsidR="00492C20" w:rsidRPr="00D5464D">
        <w:rPr>
          <w:lang w:val="pt-BR"/>
        </w:rPr>
        <w:t>u</w:t>
      </w:r>
      <w:r w:rsidR="002C330E" w:rsidRPr="00D5464D">
        <w:rPr>
          <w:lang w:val="pt-BR"/>
        </w:rPr>
        <w:t xml:space="preserve"> pela </w:t>
      </w:r>
      <w:r w:rsidR="00207197" w:rsidRPr="00D5464D">
        <w:rPr>
          <w:lang w:val="pt-BR"/>
        </w:rPr>
        <w:t>situa</w:t>
      </w:r>
      <w:r w:rsidR="00470ADC" w:rsidRPr="00D5464D">
        <w:rPr>
          <w:lang w:val="pt-BR"/>
        </w:rPr>
        <w:t>ção</w:t>
      </w:r>
      <w:r w:rsidR="00207197" w:rsidRPr="00D5464D">
        <w:rPr>
          <w:lang w:val="pt-BR"/>
        </w:rPr>
        <w:t xml:space="preserve"> específica</w:t>
      </w:r>
      <w:r w:rsidR="00470ADC" w:rsidRPr="00D5464D">
        <w:rPr>
          <w:lang w:val="pt-BR"/>
        </w:rPr>
        <w:t xml:space="preserve"> em </w:t>
      </w:r>
      <w:r w:rsidR="00207197" w:rsidRPr="00D5464D">
        <w:rPr>
          <w:lang w:val="pt-BR"/>
        </w:rPr>
        <w:t xml:space="preserve">que se </w:t>
      </w:r>
      <w:r w:rsidR="00470ADC" w:rsidRPr="00D5464D">
        <w:rPr>
          <w:lang w:val="pt-BR"/>
        </w:rPr>
        <w:t>encontre</w:t>
      </w:r>
      <w:bookmarkStart w:id="402" w:name="_Ref248140230"/>
      <w:r w:rsidR="00492C20" w:rsidRPr="00D5464D">
        <w:rPr>
          <w:lang w:val="pt-BR"/>
        </w:rPr>
        <w:t>.</w:t>
      </w:r>
      <w:r w:rsidR="00207197" w:rsidRPr="00D5464D">
        <w:rPr>
          <w:vertAlign w:val="superscript"/>
          <w:lang w:val="pt-BR"/>
        </w:rPr>
        <w:footnoteReference w:id="449"/>
      </w:r>
      <w:bookmarkEnd w:id="402"/>
    </w:p>
    <w:p w14:paraId="46BAE677" w14:textId="77777777" w:rsidR="00207197" w:rsidRPr="00D5464D" w:rsidRDefault="00207197" w:rsidP="00140440">
      <w:pPr>
        <w:pStyle w:val="Prrafodelista"/>
        <w:ind w:left="0"/>
        <w:rPr>
          <w:lang w:val="pt-BR"/>
        </w:rPr>
      </w:pPr>
    </w:p>
    <w:p w14:paraId="0B282ADE" w14:textId="006E00B1" w:rsidR="00207197" w:rsidRPr="00D5464D" w:rsidRDefault="00350187" w:rsidP="00F37DC4">
      <w:pPr>
        <w:pStyle w:val="Prrafodelista"/>
        <w:numPr>
          <w:ilvl w:val="0"/>
          <w:numId w:val="1"/>
        </w:numPr>
        <w:contextualSpacing w:val="0"/>
        <w:rPr>
          <w:lang w:val="pt-BR"/>
        </w:rPr>
      </w:pPr>
      <w:bookmarkStart w:id="403" w:name="_Ref243801398"/>
      <w:r w:rsidRPr="00D5464D">
        <w:rPr>
          <w:lang w:val="pt-BR"/>
        </w:rPr>
        <w:t xml:space="preserve">Além disso, </w:t>
      </w:r>
      <w:r w:rsidR="002C330E" w:rsidRPr="00D5464D">
        <w:rPr>
          <w:lang w:val="pt-BR"/>
        </w:rPr>
        <w:t>a proibição</w:t>
      </w:r>
      <w:r w:rsidR="00207197" w:rsidRPr="00D5464D">
        <w:rPr>
          <w:lang w:val="pt-BR"/>
        </w:rPr>
        <w:t xml:space="preserve"> </w:t>
      </w:r>
      <w:r w:rsidR="00492C20" w:rsidRPr="00D5464D">
        <w:rPr>
          <w:lang w:val="pt-BR"/>
        </w:rPr>
        <w:t>de</w:t>
      </w:r>
      <w:r w:rsidR="00230C71" w:rsidRPr="00D5464D">
        <w:rPr>
          <w:lang w:val="pt-BR"/>
        </w:rPr>
        <w:t xml:space="preserve"> não ser </w:t>
      </w:r>
      <w:r w:rsidR="002C330E" w:rsidRPr="00D5464D">
        <w:rPr>
          <w:lang w:val="pt-BR"/>
        </w:rPr>
        <w:t>submetido</w:t>
      </w:r>
      <w:r w:rsidR="00207197" w:rsidRPr="00D5464D">
        <w:rPr>
          <w:lang w:val="pt-BR"/>
        </w:rPr>
        <w:t xml:space="preserve"> </w:t>
      </w:r>
      <w:r w:rsidR="00492C20" w:rsidRPr="00D5464D">
        <w:rPr>
          <w:lang w:val="pt-BR"/>
        </w:rPr>
        <w:t>à</w:t>
      </w:r>
      <w:r w:rsidR="00207197" w:rsidRPr="00D5464D">
        <w:rPr>
          <w:lang w:val="pt-BR"/>
        </w:rPr>
        <w:t xml:space="preserve"> </w:t>
      </w:r>
      <w:r w:rsidR="000B376D" w:rsidRPr="00D5464D">
        <w:rPr>
          <w:lang w:val="pt-BR"/>
        </w:rPr>
        <w:t>escravidão</w:t>
      </w:r>
      <w:r w:rsidR="00207197" w:rsidRPr="00D5464D">
        <w:rPr>
          <w:lang w:val="pt-BR"/>
        </w:rPr>
        <w:t xml:space="preserve"> </w:t>
      </w:r>
      <w:r w:rsidR="00492C20" w:rsidRPr="00D5464D">
        <w:rPr>
          <w:lang w:val="pt-BR"/>
        </w:rPr>
        <w:t xml:space="preserve">possui </w:t>
      </w:r>
      <w:r w:rsidR="00E045D9" w:rsidRPr="00D5464D">
        <w:rPr>
          <w:lang w:val="pt-BR"/>
        </w:rPr>
        <w:t xml:space="preserve">um </w:t>
      </w:r>
      <w:r w:rsidR="00207197" w:rsidRPr="00D5464D">
        <w:rPr>
          <w:lang w:val="pt-BR"/>
        </w:rPr>
        <w:t>papel fundamental</w:t>
      </w:r>
      <w:r w:rsidR="00E045D9" w:rsidRPr="00D5464D">
        <w:rPr>
          <w:lang w:val="pt-BR"/>
        </w:rPr>
        <w:t xml:space="preserve"> na </w:t>
      </w:r>
      <w:r w:rsidR="00207197" w:rsidRPr="00D5464D">
        <w:rPr>
          <w:lang w:val="pt-BR"/>
        </w:rPr>
        <w:t>Conven</w:t>
      </w:r>
      <w:r w:rsidR="00470ADC" w:rsidRPr="00D5464D">
        <w:rPr>
          <w:lang w:val="pt-BR"/>
        </w:rPr>
        <w:t>ção</w:t>
      </w:r>
      <w:r w:rsidR="00207197" w:rsidRPr="00D5464D">
        <w:rPr>
          <w:lang w:val="pt-BR"/>
        </w:rPr>
        <w:t xml:space="preserve"> Americana</w:t>
      </w:r>
      <w:r w:rsidR="00EB1CE9" w:rsidRPr="00D5464D">
        <w:rPr>
          <w:lang w:val="pt-BR"/>
        </w:rPr>
        <w:t xml:space="preserve">, por </w:t>
      </w:r>
      <w:r w:rsidR="00207197" w:rsidRPr="00D5464D">
        <w:rPr>
          <w:lang w:val="pt-BR"/>
        </w:rPr>
        <w:t>representar</w:t>
      </w:r>
      <w:r w:rsidR="00E045D9" w:rsidRPr="00D5464D">
        <w:rPr>
          <w:lang w:val="pt-BR"/>
        </w:rPr>
        <w:t xml:space="preserve"> uma </w:t>
      </w:r>
      <w:r w:rsidR="00470ADC" w:rsidRPr="00D5464D">
        <w:rPr>
          <w:lang w:val="pt-BR"/>
        </w:rPr>
        <w:t xml:space="preserve">das </w:t>
      </w:r>
      <w:r w:rsidR="00207197" w:rsidRPr="00D5464D">
        <w:rPr>
          <w:lang w:val="pt-BR"/>
        </w:rPr>
        <w:t>viola</w:t>
      </w:r>
      <w:r w:rsidR="00470ADC" w:rsidRPr="00D5464D">
        <w:rPr>
          <w:lang w:val="pt-BR"/>
        </w:rPr>
        <w:t>ções</w:t>
      </w:r>
      <w:r w:rsidR="00207197" w:rsidRPr="00D5464D">
        <w:rPr>
          <w:lang w:val="pt-BR"/>
        </w:rPr>
        <w:t xml:space="preserve"> </w:t>
      </w:r>
      <w:r w:rsidR="002C330E" w:rsidRPr="00D5464D">
        <w:rPr>
          <w:lang w:val="pt-BR"/>
        </w:rPr>
        <w:t>mais fundamentais</w:t>
      </w:r>
      <w:r w:rsidR="00470ADC" w:rsidRPr="00D5464D">
        <w:rPr>
          <w:lang w:val="pt-BR"/>
        </w:rPr>
        <w:t xml:space="preserve"> </w:t>
      </w:r>
      <w:r w:rsidR="000B2B14" w:rsidRPr="00D5464D">
        <w:rPr>
          <w:lang w:val="pt-BR"/>
        </w:rPr>
        <w:t>à</w:t>
      </w:r>
      <w:r w:rsidR="00470ADC" w:rsidRPr="00D5464D">
        <w:rPr>
          <w:lang w:val="pt-BR"/>
        </w:rPr>
        <w:t xml:space="preserve"> dignidade da </w:t>
      </w:r>
      <w:r w:rsidR="002C330E" w:rsidRPr="00D5464D">
        <w:rPr>
          <w:lang w:val="pt-BR"/>
        </w:rPr>
        <w:t>pessoa</w:t>
      </w:r>
      <w:r w:rsidR="00207197" w:rsidRPr="00D5464D">
        <w:rPr>
          <w:lang w:val="pt-BR"/>
        </w:rPr>
        <w:t xml:space="preserve"> humana</w:t>
      </w:r>
      <w:r w:rsidR="00E045D9" w:rsidRPr="00D5464D">
        <w:rPr>
          <w:lang w:val="pt-BR"/>
        </w:rPr>
        <w:t xml:space="preserve"> e,</w:t>
      </w:r>
      <w:r w:rsidR="00207197" w:rsidRPr="00D5464D">
        <w:rPr>
          <w:lang w:val="pt-BR"/>
        </w:rPr>
        <w:t xml:space="preserve"> concomitantemente, de </w:t>
      </w:r>
      <w:r w:rsidR="00E045D9" w:rsidRPr="00D5464D">
        <w:rPr>
          <w:lang w:val="pt-BR"/>
        </w:rPr>
        <w:t>vários</w:t>
      </w:r>
      <w:r w:rsidR="00207197" w:rsidRPr="00D5464D">
        <w:rPr>
          <w:lang w:val="pt-BR"/>
        </w:rPr>
        <w:t xml:space="preserve"> </w:t>
      </w:r>
      <w:r w:rsidR="00470ADC" w:rsidRPr="00D5464D">
        <w:rPr>
          <w:lang w:val="pt-BR"/>
        </w:rPr>
        <w:t>direito</w:t>
      </w:r>
      <w:r w:rsidR="00207197" w:rsidRPr="00D5464D">
        <w:rPr>
          <w:lang w:val="pt-BR"/>
        </w:rPr>
        <w:t>s</w:t>
      </w:r>
      <w:r w:rsidR="00470ADC" w:rsidRPr="00D5464D">
        <w:rPr>
          <w:lang w:val="pt-BR"/>
        </w:rPr>
        <w:t xml:space="preserve"> da </w:t>
      </w:r>
      <w:r w:rsidR="00207197" w:rsidRPr="00D5464D">
        <w:rPr>
          <w:lang w:val="pt-BR"/>
        </w:rPr>
        <w:t>Conven</w:t>
      </w:r>
      <w:r w:rsidR="00470ADC" w:rsidRPr="00D5464D">
        <w:rPr>
          <w:lang w:val="pt-BR"/>
        </w:rPr>
        <w:t>ção</w:t>
      </w:r>
      <w:r w:rsidR="000944E7" w:rsidRPr="00D5464D">
        <w:rPr>
          <w:lang w:val="pt-BR"/>
        </w:rPr>
        <w:t xml:space="preserve"> (</w:t>
      </w:r>
      <w:r w:rsidR="00C85EA9" w:rsidRPr="00D5464D">
        <w:rPr>
          <w:lang w:val="pt-BR"/>
        </w:rPr>
        <w:t xml:space="preserve">par. </w:t>
      </w:r>
      <w:r w:rsidR="00D036E7" w:rsidRPr="00D5464D">
        <w:rPr>
          <w:lang w:val="pt-BR"/>
        </w:rPr>
        <w:t>306</w:t>
      </w:r>
      <w:r w:rsidR="00D036E7" w:rsidRPr="00D5464D">
        <w:rPr>
          <w:i/>
          <w:lang w:val="pt-BR"/>
        </w:rPr>
        <w:t xml:space="preserve"> supra</w:t>
      </w:r>
      <w:r w:rsidR="00D036E7" w:rsidRPr="00D5464D">
        <w:rPr>
          <w:lang w:val="pt-BR"/>
        </w:rPr>
        <w:t>)</w:t>
      </w:r>
      <w:r w:rsidR="00C91CB1" w:rsidRPr="00D5464D">
        <w:rPr>
          <w:lang w:val="pt-BR"/>
        </w:rPr>
        <w:t xml:space="preserve">. Os </w:t>
      </w:r>
      <w:r w:rsidR="00207197" w:rsidRPr="00D5464D">
        <w:rPr>
          <w:lang w:val="pt-BR"/>
        </w:rPr>
        <w:t xml:space="preserve">Estados </w:t>
      </w:r>
      <w:r w:rsidR="00230C71" w:rsidRPr="00D5464D">
        <w:rPr>
          <w:lang w:val="pt-BR"/>
        </w:rPr>
        <w:t>têm a</w:t>
      </w:r>
      <w:r w:rsidR="00470ADC" w:rsidRPr="00D5464D">
        <w:rPr>
          <w:lang w:val="pt-BR"/>
        </w:rPr>
        <w:t xml:space="preserve"> </w:t>
      </w:r>
      <w:r w:rsidR="002C330E" w:rsidRPr="00D5464D">
        <w:rPr>
          <w:lang w:val="pt-BR"/>
        </w:rPr>
        <w:t>obrigação</w:t>
      </w:r>
      <w:r w:rsidR="00207197" w:rsidRPr="00D5464D">
        <w:rPr>
          <w:lang w:val="pt-BR"/>
        </w:rPr>
        <w:t xml:space="preserve"> de </w:t>
      </w:r>
      <w:r w:rsidR="002C330E" w:rsidRPr="00D5464D">
        <w:rPr>
          <w:lang w:val="pt-BR"/>
        </w:rPr>
        <w:t xml:space="preserve">garantir a </w:t>
      </w:r>
      <w:r w:rsidR="00470ADC" w:rsidRPr="00D5464D">
        <w:rPr>
          <w:lang w:val="pt-BR"/>
        </w:rPr>
        <w:t xml:space="preserve">criação das </w:t>
      </w:r>
      <w:r w:rsidR="00207197" w:rsidRPr="00D5464D">
        <w:rPr>
          <w:lang w:val="pt-BR"/>
        </w:rPr>
        <w:t>condi</w:t>
      </w:r>
      <w:r w:rsidR="00470ADC" w:rsidRPr="00D5464D">
        <w:rPr>
          <w:lang w:val="pt-BR"/>
        </w:rPr>
        <w:t>ções</w:t>
      </w:r>
      <w:r w:rsidR="00207197" w:rsidRPr="00D5464D">
        <w:rPr>
          <w:lang w:val="pt-BR"/>
        </w:rPr>
        <w:t xml:space="preserve"> </w:t>
      </w:r>
      <w:r w:rsidR="00594672" w:rsidRPr="00D5464D">
        <w:rPr>
          <w:lang w:val="pt-BR"/>
        </w:rPr>
        <w:t xml:space="preserve">necessárias </w:t>
      </w:r>
      <w:r w:rsidR="00207197" w:rsidRPr="00D5464D">
        <w:rPr>
          <w:lang w:val="pt-BR"/>
        </w:rPr>
        <w:t>para que n</w:t>
      </w:r>
      <w:r w:rsidR="00594672" w:rsidRPr="00D5464D">
        <w:rPr>
          <w:lang w:val="pt-BR"/>
        </w:rPr>
        <w:t>ã</w:t>
      </w:r>
      <w:r w:rsidR="00207197" w:rsidRPr="00D5464D">
        <w:rPr>
          <w:lang w:val="pt-BR"/>
        </w:rPr>
        <w:t xml:space="preserve">o </w:t>
      </w:r>
      <w:r w:rsidR="00594672" w:rsidRPr="00D5464D">
        <w:rPr>
          <w:lang w:val="pt-BR"/>
        </w:rPr>
        <w:t xml:space="preserve">ocorram </w:t>
      </w:r>
      <w:r w:rsidR="00207197" w:rsidRPr="00D5464D">
        <w:rPr>
          <w:lang w:val="pt-BR"/>
        </w:rPr>
        <w:t>viola</w:t>
      </w:r>
      <w:r w:rsidR="00470ADC" w:rsidRPr="00D5464D">
        <w:rPr>
          <w:lang w:val="pt-BR"/>
        </w:rPr>
        <w:t xml:space="preserve">ções </w:t>
      </w:r>
      <w:r w:rsidR="00594672" w:rsidRPr="00D5464D">
        <w:rPr>
          <w:lang w:val="pt-BR"/>
        </w:rPr>
        <w:t xml:space="preserve">a </w:t>
      </w:r>
      <w:r w:rsidR="00470ADC" w:rsidRPr="00D5464D">
        <w:rPr>
          <w:lang w:val="pt-BR"/>
        </w:rPr>
        <w:t>esse direito</w:t>
      </w:r>
      <w:r w:rsidR="00207197" w:rsidRPr="00D5464D">
        <w:rPr>
          <w:lang w:val="pt-BR"/>
        </w:rPr>
        <w:t xml:space="preserve"> </w:t>
      </w:r>
      <w:r w:rsidR="00737270" w:rsidRPr="00D5464D">
        <w:rPr>
          <w:lang w:val="pt-BR"/>
        </w:rPr>
        <w:t>inalienável</w:t>
      </w:r>
      <w:r w:rsidR="00E045D9" w:rsidRPr="00D5464D">
        <w:rPr>
          <w:lang w:val="pt-BR"/>
        </w:rPr>
        <w:t xml:space="preserve"> e,</w:t>
      </w:r>
      <w:r w:rsidR="00470ADC" w:rsidRPr="00D5464D">
        <w:rPr>
          <w:lang w:val="pt-BR"/>
        </w:rPr>
        <w:t xml:space="preserve"> em </w:t>
      </w:r>
      <w:r w:rsidR="00207197" w:rsidRPr="00D5464D">
        <w:rPr>
          <w:lang w:val="pt-BR"/>
        </w:rPr>
        <w:t>particular,</w:t>
      </w:r>
      <w:r w:rsidR="00470ADC" w:rsidRPr="00D5464D">
        <w:rPr>
          <w:lang w:val="pt-BR"/>
        </w:rPr>
        <w:t xml:space="preserve"> o dever</w:t>
      </w:r>
      <w:r w:rsidR="00207197" w:rsidRPr="00D5464D">
        <w:rPr>
          <w:lang w:val="pt-BR"/>
        </w:rPr>
        <w:t xml:space="preserve"> de impedir que </w:t>
      </w:r>
      <w:r w:rsidR="00E045D9" w:rsidRPr="00D5464D">
        <w:rPr>
          <w:lang w:val="pt-BR"/>
        </w:rPr>
        <w:t>seus agentes e terceiro</w:t>
      </w:r>
      <w:r w:rsidR="00A331F4" w:rsidRPr="00D5464D">
        <w:rPr>
          <w:lang w:val="pt-BR"/>
        </w:rPr>
        <w:t>s particulares</w:t>
      </w:r>
      <w:r w:rsidR="00207197" w:rsidRPr="00D5464D">
        <w:rPr>
          <w:lang w:val="pt-BR"/>
        </w:rPr>
        <w:t xml:space="preserve"> </w:t>
      </w:r>
      <w:r w:rsidR="00230C71" w:rsidRPr="00D5464D">
        <w:rPr>
          <w:lang w:val="pt-BR"/>
        </w:rPr>
        <w:t>atentem</w:t>
      </w:r>
      <w:r w:rsidR="00207197" w:rsidRPr="00D5464D">
        <w:rPr>
          <w:lang w:val="pt-BR"/>
        </w:rPr>
        <w:t xml:space="preserve"> contra </w:t>
      </w:r>
      <w:r w:rsidR="00230C71" w:rsidRPr="00D5464D">
        <w:rPr>
          <w:lang w:val="pt-BR"/>
        </w:rPr>
        <w:t>ele</w:t>
      </w:r>
      <w:r w:rsidR="00A1358C" w:rsidRPr="00D5464D">
        <w:rPr>
          <w:lang w:val="pt-BR"/>
        </w:rPr>
        <w:t xml:space="preserve">. A </w:t>
      </w:r>
      <w:r w:rsidR="002C330E" w:rsidRPr="00D5464D">
        <w:rPr>
          <w:lang w:val="pt-BR"/>
        </w:rPr>
        <w:t>observância</w:t>
      </w:r>
      <w:r w:rsidR="00207197" w:rsidRPr="00D5464D">
        <w:rPr>
          <w:lang w:val="pt-BR"/>
        </w:rPr>
        <w:t xml:space="preserve"> </w:t>
      </w:r>
      <w:r w:rsidR="00470ADC" w:rsidRPr="00D5464D">
        <w:rPr>
          <w:lang w:val="pt-BR"/>
        </w:rPr>
        <w:t>do artigo</w:t>
      </w:r>
      <w:r w:rsidR="00207197" w:rsidRPr="00D5464D">
        <w:rPr>
          <w:lang w:val="pt-BR"/>
        </w:rPr>
        <w:t xml:space="preserve"> 6, relacionado</w:t>
      </w:r>
      <w:r w:rsidR="00470ADC" w:rsidRPr="00D5464D">
        <w:rPr>
          <w:lang w:val="pt-BR"/>
        </w:rPr>
        <w:t xml:space="preserve"> </w:t>
      </w:r>
      <w:r w:rsidR="00594672" w:rsidRPr="00D5464D">
        <w:rPr>
          <w:lang w:val="pt-BR"/>
        </w:rPr>
        <w:t>a</w:t>
      </w:r>
      <w:r w:rsidR="00470ADC" w:rsidRPr="00D5464D">
        <w:rPr>
          <w:lang w:val="pt-BR"/>
        </w:rPr>
        <w:t>o artigo</w:t>
      </w:r>
      <w:r w:rsidR="00207197" w:rsidRPr="00D5464D">
        <w:rPr>
          <w:lang w:val="pt-BR"/>
        </w:rPr>
        <w:t xml:space="preserve"> 1.1</w:t>
      </w:r>
      <w:r w:rsidR="00470ADC" w:rsidRPr="00D5464D">
        <w:rPr>
          <w:lang w:val="pt-BR"/>
        </w:rPr>
        <w:t xml:space="preserve"> da </w:t>
      </w:r>
      <w:r w:rsidR="00207197" w:rsidRPr="00D5464D">
        <w:rPr>
          <w:lang w:val="pt-BR"/>
        </w:rPr>
        <w:t>Conven</w:t>
      </w:r>
      <w:r w:rsidR="00470ADC" w:rsidRPr="00D5464D">
        <w:rPr>
          <w:lang w:val="pt-BR"/>
        </w:rPr>
        <w:t>ção</w:t>
      </w:r>
      <w:r w:rsidR="00207197" w:rsidRPr="00D5464D">
        <w:rPr>
          <w:lang w:val="pt-BR"/>
        </w:rPr>
        <w:t xml:space="preserve"> Americana, </w:t>
      </w:r>
      <w:r w:rsidRPr="00D5464D">
        <w:rPr>
          <w:lang w:val="pt-BR"/>
        </w:rPr>
        <w:t xml:space="preserve">não apenas </w:t>
      </w:r>
      <w:r w:rsidR="00207197" w:rsidRPr="00D5464D">
        <w:rPr>
          <w:lang w:val="pt-BR"/>
        </w:rPr>
        <w:t>pre</w:t>
      </w:r>
      <w:r w:rsidR="00E045D9" w:rsidRPr="00D5464D">
        <w:rPr>
          <w:lang w:val="pt-BR"/>
        </w:rPr>
        <w:t>s</w:t>
      </w:r>
      <w:r w:rsidR="00492C20" w:rsidRPr="00D5464D">
        <w:rPr>
          <w:lang w:val="pt-BR"/>
        </w:rPr>
        <w:t>s</w:t>
      </w:r>
      <w:r w:rsidR="00E045D9" w:rsidRPr="00D5464D">
        <w:rPr>
          <w:lang w:val="pt-BR"/>
        </w:rPr>
        <w:t xml:space="preserve">upõe </w:t>
      </w:r>
      <w:r w:rsidR="00207197" w:rsidRPr="00D5464D">
        <w:rPr>
          <w:lang w:val="pt-BR"/>
        </w:rPr>
        <w:t xml:space="preserve">que </w:t>
      </w:r>
      <w:r w:rsidR="002C330E" w:rsidRPr="00D5464D">
        <w:rPr>
          <w:lang w:val="pt-BR"/>
        </w:rPr>
        <w:t>nenhuma</w:t>
      </w:r>
      <w:r w:rsidR="00207197" w:rsidRPr="00D5464D">
        <w:rPr>
          <w:lang w:val="pt-BR"/>
        </w:rPr>
        <w:t xml:space="preserve"> </w:t>
      </w:r>
      <w:r w:rsidR="002C330E" w:rsidRPr="00D5464D">
        <w:rPr>
          <w:lang w:val="pt-BR"/>
        </w:rPr>
        <w:t>pessoa seja submetida</w:t>
      </w:r>
      <w:r w:rsidR="00207197" w:rsidRPr="00D5464D">
        <w:rPr>
          <w:lang w:val="pt-BR"/>
        </w:rPr>
        <w:t xml:space="preserve"> a </w:t>
      </w:r>
      <w:r w:rsidR="000B376D" w:rsidRPr="00D5464D">
        <w:rPr>
          <w:lang w:val="pt-BR"/>
        </w:rPr>
        <w:t>escravidão</w:t>
      </w:r>
      <w:r w:rsidR="00207197" w:rsidRPr="00D5464D">
        <w:rPr>
          <w:lang w:val="pt-BR"/>
        </w:rPr>
        <w:t xml:space="preserve">, </w:t>
      </w:r>
      <w:r w:rsidR="000B376D" w:rsidRPr="00D5464D">
        <w:rPr>
          <w:lang w:val="pt-BR"/>
        </w:rPr>
        <w:t>servidão</w:t>
      </w:r>
      <w:r w:rsidR="00207197" w:rsidRPr="00D5464D">
        <w:rPr>
          <w:lang w:val="pt-BR"/>
        </w:rPr>
        <w:t xml:space="preserve">, </w:t>
      </w:r>
      <w:r w:rsidR="00594672" w:rsidRPr="00D5464D">
        <w:rPr>
          <w:lang w:val="pt-BR"/>
        </w:rPr>
        <w:t xml:space="preserve">tráfico ou </w:t>
      </w:r>
      <w:r w:rsidR="00E045D9" w:rsidRPr="00D5464D">
        <w:rPr>
          <w:lang w:val="pt-BR"/>
        </w:rPr>
        <w:t>trabalho</w:t>
      </w:r>
      <w:r w:rsidR="00207197" w:rsidRPr="00D5464D">
        <w:rPr>
          <w:lang w:val="pt-BR"/>
        </w:rPr>
        <w:t xml:space="preserve"> </w:t>
      </w:r>
      <w:r w:rsidR="00230C71" w:rsidRPr="00D5464D">
        <w:rPr>
          <w:lang w:val="pt-BR"/>
        </w:rPr>
        <w:t>forçado</w:t>
      </w:r>
      <w:r w:rsidR="00207197" w:rsidRPr="00D5464D">
        <w:rPr>
          <w:lang w:val="pt-BR"/>
        </w:rPr>
        <w:t>,</w:t>
      </w:r>
      <w:r w:rsidR="002C330E" w:rsidRPr="00D5464D">
        <w:rPr>
          <w:lang w:val="pt-BR"/>
        </w:rPr>
        <w:t xml:space="preserve"> mas </w:t>
      </w:r>
      <w:r w:rsidR="00594672" w:rsidRPr="00D5464D">
        <w:rPr>
          <w:lang w:val="pt-BR"/>
        </w:rPr>
        <w:t xml:space="preserve">também </w:t>
      </w:r>
      <w:r w:rsidR="002C330E" w:rsidRPr="00D5464D">
        <w:rPr>
          <w:lang w:val="pt-BR"/>
        </w:rPr>
        <w:t xml:space="preserve">requer </w:t>
      </w:r>
      <w:r w:rsidR="00207197" w:rsidRPr="00D5464D">
        <w:rPr>
          <w:lang w:val="pt-BR"/>
        </w:rPr>
        <w:t>que</w:t>
      </w:r>
      <w:r w:rsidR="002C330E" w:rsidRPr="00D5464D">
        <w:rPr>
          <w:lang w:val="pt-BR"/>
        </w:rPr>
        <w:t xml:space="preserve"> os </w:t>
      </w:r>
      <w:r w:rsidR="00207197" w:rsidRPr="00D5464D">
        <w:rPr>
          <w:lang w:val="pt-BR"/>
        </w:rPr>
        <w:t xml:space="preserve">Estados </w:t>
      </w:r>
      <w:r w:rsidRPr="00D5464D">
        <w:rPr>
          <w:lang w:val="pt-BR"/>
        </w:rPr>
        <w:t>adotem</w:t>
      </w:r>
      <w:r w:rsidR="00207197" w:rsidRPr="00D5464D">
        <w:rPr>
          <w:lang w:val="pt-BR"/>
        </w:rPr>
        <w:t xml:space="preserve"> todas</w:t>
      </w:r>
      <w:r w:rsidR="002C330E" w:rsidRPr="00D5464D">
        <w:rPr>
          <w:lang w:val="pt-BR"/>
        </w:rPr>
        <w:t xml:space="preserve"> as </w:t>
      </w:r>
      <w:r w:rsidR="00207197" w:rsidRPr="00D5464D">
        <w:rPr>
          <w:lang w:val="pt-BR"/>
        </w:rPr>
        <w:t xml:space="preserve">medidas </w:t>
      </w:r>
      <w:r w:rsidR="00E045D9" w:rsidRPr="00D5464D">
        <w:rPr>
          <w:lang w:val="pt-BR"/>
        </w:rPr>
        <w:t>apropriad</w:t>
      </w:r>
      <w:r w:rsidR="00207197" w:rsidRPr="00D5464D">
        <w:rPr>
          <w:lang w:val="pt-BR"/>
        </w:rPr>
        <w:t xml:space="preserve">as para </w:t>
      </w:r>
      <w:r w:rsidR="00A1358C" w:rsidRPr="00D5464D">
        <w:rPr>
          <w:lang w:val="pt-BR"/>
        </w:rPr>
        <w:t xml:space="preserve">por </w:t>
      </w:r>
      <w:r w:rsidR="00470ADC" w:rsidRPr="00D5464D">
        <w:rPr>
          <w:lang w:val="pt-BR"/>
        </w:rPr>
        <w:t xml:space="preserve">fim </w:t>
      </w:r>
      <w:r w:rsidR="00A331F4" w:rsidRPr="00D5464D">
        <w:rPr>
          <w:lang w:val="pt-BR"/>
        </w:rPr>
        <w:t xml:space="preserve">a </w:t>
      </w:r>
      <w:r w:rsidR="00470ADC" w:rsidRPr="00D5464D">
        <w:rPr>
          <w:lang w:val="pt-BR"/>
        </w:rPr>
        <w:t>esta</w:t>
      </w:r>
      <w:r w:rsidR="00A331F4" w:rsidRPr="00D5464D">
        <w:rPr>
          <w:lang w:val="pt-BR"/>
        </w:rPr>
        <w:t xml:space="preserve">s </w:t>
      </w:r>
      <w:r w:rsidR="002C330E" w:rsidRPr="00D5464D">
        <w:rPr>
          <w:lang w:val="pt-BR"/>
        </w:rPr>
        <w:t>prática</w:t>
      </w:r>
      <w:r w:rsidR="00A331F4" w:rsidRPr="00D5464D">
        <w:rPr>
          <w:lang w:val="pt-BR"/>
        </w:rPr>
        <w:t>s</w:t>
      </w:r>
      <w:r w:rsidR="00E045D9" w:rsidRPr="00D5464D">
        <w:rPr>
          <w:lang w:val="pt-BR"/>
        </w:rPr>
        <w:t xml:space="preserve"> e </w:t>
      </w:r>
      <w:r w:rsidR="00A331F4" w:rsidRPr="00D5464D">
        <w:rPr>
          <w:lang w:val="pt-BR"/>
        </w:rPr>
        <w:t xml:space="preserve">prevenir </w:t>
      </w:r>
      <w:r w:rsidR="00DD19D5" w:rsidRPr="00D5464D">
        <w:rPr>
          <w:lang w:val="pt-BR"/>
        </w:rPr>
        <w:t>a violação do</w:t>
      </w:r>
      <w:r w:rsidR="00470ADC" w:rsidRPr="00D5464D">
        <w:rPr>
          <w:lang w:val="pt-BR"/>
        </w:rPr>
        <w:t xml:space="preserve"> direito</w:t>
      </w:r>
      <w:r w:rsidR="00207197" w:rsidRPr="00D5464D">
        <w:rPr>
          <w:lang w:val="pt-BR"/>
        </w:rPr>
        <w:t xml:space="preserve"> </w:t>
      </w:r>
      <w:r w:rsidR="00230C71" w:rsidRPr="00D5464D">
        <w:rPr>
          <w:lang w:val="pt-BR"/>
        </w:rPr>
        <w:t xml:space="preserve">a não ser </w:t>
      </w:r>
      <w:r w:rsidR="002C330E" w:rsidRPr="00D5464D">
        <w:rPr>
          <w:lang w:val="pt-BR"/>
        </w:rPr>
        <w:t>submetido</w:t>
      </w:r>
      <w:r w:rsidR="00207197" w:rsidRPr="00D5464D">
        <w:rPr>
          <w:lang w:val="pt-BR"/>
        </w:rPr>
        <w:t xml:space="preserve"> a</w:t>
      </w:r>
      <w:r w:rsidR="00470ADC" w:rsidRPr="00D5464D">
        <w:rPr>
          <w:lang w:val="pt-BR"/>
        </w:rPr>
        <w:t xml:space="preserve"> essas </w:t>
      </w:r>
      <w:r w:rsidR="00207197" w:rsidRPr="00D5464D">
        <w:rPr>
          <w:lang w:val="pt-BR"/>
        </w:rPr>
        <w:t>condi</w:t>
      </w:r>
      <w:r w:rsidR="00470ADC" w:rsidRPr="00D5464D">
        <w:rPr>
          <w:lang w:val="pt-BR"/>
        </w:rPr>
        <w:t>ções</w:t>
      </w:r>
      <w:r w:rsidR="00207197" w:rsidRPr="00D5464D">
        <w:rPr>
          <w:lang w:val="pt-BR"/>
        </w:rPr>
        <w:t xml:space="preserve">, </w:t>
      </w:r>
      <w:r w:rsidR="00594672" w:rsidRPr="00D5464D">
        <w:rPr>
          <w:lang w:val="pt-BR"/>
        </w:rPr>
        <w:t xml:space="preserve">em conformidade com </w:t>
      </w:r>
      <w:r w:rsidR="00470ADC" w:rsidRPr="00D5464D">
        <w:rPr>
          <w:lang w:val="pt-BR"/>
        </w:rPr>
        <w:t>o dever</w:t>
      </w:r>
      <w:r w:rsidR="00207197" w:rsidRPr="00D5464D">
        <w:rPr>
          <w:lang w:val="pt-BR"/>
        </w:rPr>
        <w:t xml:space="preserve"> de </w:t>
      </w:r>
      <w:r w:rsidR="002C330E" w:rsidRPr="00D5464D">
        <w:rPr>
          <w:lang w:val="pt-BR"/>
        </w:rPr>
        <w:t>garantir</w:t>
      </w:r>
      <w:r w:rsidR="00470ADC" w:rsidRPr="00D5464D">
        <w:rPr>
          <w:lang w:val="pt-BR"/>
        </w:rPr>
        <w:t xml:space="preserve"> o </w:t>
      </w:r>
      <w:r w:rsidR="00207197" w:rsidRPr="00D5464D">
        <w:rPr>
          <w:lang w:val="pt-BR"/>
        </w:rPr>
        <w:t>pleno</w:t>
      </w:r>
      <w:r w:rsidR="00E045D9" w:rsidRPr="00D5464D">
        <w:rPr>
          <w:lang w:val="pt-BR"/>
        </w:rPr>
        <w:t xml:space="preserve"> e </w:t>
      </w:r>
      <w:r w:rsidR="002C330E" w:rsidRPr="00D5464D">
        <w:rPr>
          <w:lang w:val="pt-BR"/>
        </w:rPr>
        <w:t xml:space="preserve">livre </w:t>
      </w:r>
      <w:r w:rsidR="00470ADC" w:rsidRPr="00D5464D">
        <w:rPr>
          <w:lang w:val="pt-BR"/>
        </w:rPr>
        <w:t>exercício dos direito</w:t>
      </w:r>
      <w:r w:rsidR="00207197" w:rsidRPr="00D5464D">
        <w:rPr>
          <w:lang w:val="pt-BR"/>
        </w:rPr>
        <w:t>s de todas</w:t>
      </w:r>
      <w:r w:rsidR="002C330E" w:rsidRPr="00D5464D">
        <w:rPr>
          <w:lang w:val="pt-BR"/>
        </w:rPr>
        <w:t xml:space="preserve"> as pessoa</w:t>
      </w:r>
      <w:r w:rsidR="00207197" w:rsidRPr="00D5464D">
        <w:rPr>
          <w:lang w:val="pt-BR"/>
        </w:rPr>
        <w:t>s</w:t>
      </w:r>
      <w:r w:rsidR="00470ADC" w:rsidRPr="00D5464D">
        <w:rPr>
          <w:lang w:val="pt-BR"/>
        </w:rPr>
        <w:t xml:space="preserve"> sob </w:t>
      </w:r>
      <w:r w:rsidR="00E045D9" w:rsidRPr="00D5464D">
        <w:rPr>
          <w:lang w:val="pt-BR"/>
        </w:rPr>
        <w:t>sua jurisdição</w:t>
      </w:r>
      <w:r w:rsidR="00492C20" w:rsidRPr="00D5464D">
        <w:rPr>
          <w:lang w:val="pt-BR"/>
        </w:rPr>
        <w:t>.</w:t>
      </w:r>
      <w:r w:rsidR="00207197" w:rsidRPr="00D5464D">
        <w:rPr>
          <w:vertAlign w:val="superscript"/>
          <w:lang w:val="pt-BR"/>
        </w:rPr>
        <w:footnoteReference w:id="450"/>
      </w:r>
      <w:bookmarkStart w:id="404" w:name="_Ref243816827"/>
      <w:bookmarkStart w:id="405" w:name="_Ref243801479"/>
      <w:bookmarkEnd w:id="403"/>
      <w:r w:rsidR="00B83BEA" w:rsidRPr="00D5464D">
        <w:rPr>
          <w:lang w:val="pt-BR"/>
        </w:rPr>
        <w:t xml:space="preserve"> </w:t>
      </w:r>
    </w:p>
    <w:p w14:paraId="1F012CA4" w14:textId="77777777" w:rsidR="00207197" w:rsidRPr="00D5464D" w:rsidRDefault="00207197" w:rsidP="00140440">
      <w:pPr>
        <w:pStyle w:val="Prrafodelista"/>
        <w:ind w:left="0"/>
        <w:rPr>
          <w:lang w:val="pt-BR"/>
        </w:rPr>
      </w:pPr>
    </w:p>
    <w:p w14:paraId="0B1A4694" w14:textId="7CC79011" w:rsidR="00386419" w:rsidRPr="00D5464D" w:rsidRDefault="00594672" w:rsidP="00B83BEA">
      <w:pPr>
        <w:pStyle w:val="Prrafodelista"/>
        <w:numPr>
          <w:ilvl w:val="0"/>
          <w:numId w:val="1"/>
        </w:numPr>
        <w:rPr>
          <w:iCs/>
          <w:lang w:val="pt-BR"/>
        </w:rPr>
      </w:pPr>
      <w:r w:rsidRPr="00D5464D">
        <w:rPr>
          <w:iCs/>
          <w:lang w:val="pt-BR"/>
        </w:rPr>
        <w:t>De outra parte</w:t>
      </w:r>
      <w:r w:rsidR="00A1358C" w:rsidRPr="00D5464D">
        <w:rPr>
          <w:iCs/>
          <w:lang w:val="pt-BR"/>
        </w:rPr>
        <w:t>,</w:t>
      </w:r>
      <w:r w:rsidR="00470ADC" w:rsidRPr="00D5464D">
        <w:rPr>
          <w:iCs/>
          <w:lang w:val="pt-BR"/>
        </w:rPr>
        <w:t xml:space="preserve"> em atenção ao </w:t>
      </w:r>
      <w:r w:rsidR="00386419" w:rsidRPr="00D5464D">
        <w:rPr>
          <w:iCs/>
          <w:lang w:val="pt-BR"/>
        </w:rPr>
        <w:t xml:space="preserve">elevado número de </w:t>
      </w:r>
      <w:r w:rsidR="00E045D9" w:rsidRPr="00D5464D">
        <w:rPr>
          <w:iCs/>
          <w:lang w:val="pt-BR"/>
        </w:rPr>
        <w:t>vítima</w:t>
      </w:r>
      <w:r w:rsidR="00386419" w:rsidRPr="00D5464D">
        <w:rPr>
          <w:iCs/>
          <w:lang w:val="pt-BR"/>
        </w:rPr>
        <w:t xml:space="preserve">s de </w:t>
      </w:r>
      <w:r w:rsidR="000B376D" w:rsidRPr="00D5464D">
        <w:rPr>
          <w:iCs/>
          <w:lang w:val="pt-BR"/>
        </w:rPr>
        <w:t>escravidão</w:t>
      </w:r>
      <w:r w:rsidR="00386419" w:rsidRPr="00D5464D">
        <w:rPr>
          <w:iCs/>
          <w:lang w:val="pt-BR"/>
        </w:rPr>
        <w:t xml:space="preserve">, </w:t>
      </w:r>
      <w:r w:rsidRPr="00D5464D">
        <w:rPr>
          <w:iCs/>
          <w:lang w:val="pt-BR"/>
        </w:rPr>
        <w:t xml:space="preserve">tráfico </w:t>
      </w:r>
      <w:r w:rsidR="00E045D9" w:rsidRPr="00D5464D">
        <w:rPr>
          <w:iCs/>
          <w:lang w:val="pt-BR"/>
        </w:rPr>
        <w:t xml:space="preserve">e </w:t>
      </w:r>
      <w:r w:rsidR="000B376D" w:rsidRPr="00D5464D">
        <w:rPr>
          <w:iCs/>
          <w:lang w:val="pt-BR"/>
        </w:rPr>
        <w:t>servidão</w:t>
      </w:r>
      <w:r w:rsidR="00386419" w:rsidRPr="00D5464D">
        <w:rPr>
          <w:iCs/>
          <w:lang w:val="pt-BR"/>
        </w:rPr>
        <w:t xml:space="preserve"> que </w:t>
      </w:r>
      <w:r w:rsidR="00470ADC" w:rsidRPr="00D5464D">
        <w:rPr>
          <w:iCs/>
          <w:lang w:val="pt-BR"/>
        </w:rPr>
        <w:t>continuam</w:t>
      </w:r>
      <w:r w:rsidR="00386419" w:rsidRPr="00D5464D">
        <w:rPr>
          <w:iCs/>
          <w:lang w:val="pt-BR"/>
        </w:rPr>
        <w:t xml:space="preserve"> </w:t>
      </w:r>
      <w:r w:rsidR="002C330E" w:rsidRPr="00D5464D">
        <w:rPr>
          <w:iCs/>
          <w:lang w:val="pt-BR"/>
        </w:rPr>
        <w:t>sendo</w:t>
      </w:r>
      <w:r w:rsidR="00386419" w:rsidRPr="00D5464D">
        <w:rPr>
          <w:iCs/>
          <w:lang w:val="pt-BR"/>
        </w:rPr>
        <w:t xml:space="preserve"> liberadas por parte</w:t>
      </w:r>
      <w:r w:rsidR="00470ADC" w:rsidRPr="00D5464D">
        <w:rPr>
          <w:iCs/>
          <w:lang w:val="pt-BR"/>
        </w:rPr>
        <w:t xml:space="preserve"> das </w:t>
      </w:r>
      <w:r w:rsidR="00386419" w:rsidRPr="00D5464D">
        <w:rPr>
          <w:iCs/>
          <w:lang w:val="pt-BR"/>
        </w:rPr>
        <w:t xml:space="preserve">autoridades </w:t>
      </w:r>
      <w:r w:rsidR="00470ADC" w:rsidRPr="00D5464D">
        <w:rPr>
          <w:iCs/>
          <w:lang w:val="pt-BR"/>
        </w:rPr>
        <w:t>brasileir</w:t>
      </w:r>
      <w:r w:rsidR="00386419" w:rsidRPr="00D5464D">
        <w:rPr>
          <w:iCs/>
          <w:lang w:val="pt-BR"/>
        </w:rPr>
        <w:t>as</w:t>
      </w:r>
      <w:r w:rsidRPr="00D5464D">
        <w:rPr>
          <w:iCs/>
          <w:lang w:val="pt-BR"/>
        </w:rPr>
        <w:t xml:space="preserve"> e à mudança </w:t>
      </w:r>
      <w:r w:rsidR="00386419" w:rsidRPr="00D5464D">
        <w:rPr>
          <w:iCs/>
          <w:lang w:val="pt-BR"/>
        </w:rPr>
        <w:t xml:space="preserve">de perspectiva </w:t>
      </w:r>
      <w:r w:rsidR="00E045D9" w:rsidRPr="00D5464D">
        <w:rPr>
          <w:iCs/>
          <w:lang w:val="pt-BR"/>
        </w:rPr>
        <w:t>deste</w:t>
      </w:r>
      <w:r w:rsidR="00470ADC" w:rsidRPr="00D5464D">
        <w:rPr>
          <w:iCs/>
          <w:lang w:val="pt-BR"/>
        </w:rPr>
        <w:t>s fenômeno</w:t>
      </w:r>
      <w:r w:rsidR="00386419" w:rsidRPr="00D5464D">
        <w:rPr>
          <w:iCs/>
          <w:lang w:val="pt-BR"/>
        </w:rPr>
        <w:t>s</w:t>
      </w:r>
      <w:r w:rsidR="00E045D9" w:rsidRPr="00D5464D">
        <w:rPr>
          <w:iCs/>
          <w:lang w:val="pt-BR"/>
        </w:rPr>
        <w:t xml:space="preserve"> e </w:t>
      </w:r>
      <w:r w:rsidR="00C91CB1" w:rsidRPr="00D5464D">
        <w:rPr>
          <w:iCs/>
          <w:lang w:val="pt-BR"/>
        </w:rPr>
        <w:t>sua ocorrência</w:t>
      </w:r>
      <w:r w:rsidR="00386419" w:rsidRPr="00D5464D">
        <w:rPr>
          <w:iCs/>
          <w:lang w:val="pt-BR"/>
        </w:rPr>
        <w:t xml:space="preserve"> “</w:t>
      </w:r>
      <w:r w:rsidRPr="00D5464D">
        <w:rPr>
          <w:iCs/>
          <w:lang w:val="pt-BR"/>
        </w:rPr>
        <w:t>n</w:t>
      </w:r>
      <w:r w:rsidR="002C330E" w:rsidRPr="00D5464D">
        <w:rPr>
          <w:iCs/>
          <w:lang w:val="pt-BR"/>
        </w:rPr>
        <w:t xml:space="preserve">os </w:t>
      </w:r>
      <w:r w:rsidR="00386419" w:rsidRPr="00D5464D">
        <w:rPr>
          <w:iCs/>
          <w:lang w:val="pt-BR"/>
        </w:rPr>
        <w:t xml:space="preserve">últimos </w:t>
      </w:r>
      <w:r w:rsidRPr="00D5464D">
        <w:rPr>
          <w:iCs/>
          <w:lang w:val="pt-BR"/>
        </w:rPr>
        <w:t xml:space="preserve">escalões das cadeias </w:t>
      </w:r>
      <w:r w:rsidR="00386419" w:rsidRPr="00D5464D">
        <w:rPr>
          <w:iCs/>
          <w:lang w:val="pt-BR"/>
        </w:rPr>
        <w:t xml:space="preserve">de </w:t>
      </w:r>
      <w:r w:rsidR="00230C71" w:rsidRPr="00D5464D">
        <w:rPr>
          <w:iCs/>
          <w:lang w:val="pt-BR"/>
        </w:rPr>
        <w:t>fornecimento</w:t>
      </w:r>
      <w:r w:rsidR="00386419" w:rsidRPr="00D5464D">
        <w:rPr>
          <w:iCs/>
          <w:lang w:val="pt-BR"/>
        </w:rPr>
        <w:t xml:space="preserve"> de</w:t>
      </w:r>
      <w:r w:rsidR="00E045D9" w:rsidRPr="00D5464D">
        <w:rPr>
          <w:iCs/>
          <w:lang w:val="pt-BR"/>
        </w:rPr>
        <w:t xml:space="preserve"> uma </w:t>
      </w:r>
      <w:r w:rsidR="00230C71" w:rsidRPr="00D5464D">
        <w:rPr>
          <w:iCs/>
          <w:lang w:val="pt-BR"/>
        </w:rPr>
        <w:t>economia</w:t>
      </w:r>
      <w:r w:rsidR="00386419" w:rsidRPr="00D5464D">
        <w:rPr>
          <w:iCs/>
          <w:lang w:val="pt-BR"/>
        </w:rPr>
        <w:t xml:space="preserve"> globalizada”</w:t>
      </w:r>
      <w:r w:rsidR="00492C20" w:rsidRPr="00D5464D">
        <w:rPr>
          <w:iCs/>
          <w:lang w:val="pt-BR"/>
        </w:rPr>
        <w:t>,</w:t>
      </w:r>
      <w:r w:rsidR="00386419" w:rsidRPr="00D5464D">
        <w:rPr>
          <w:iCs/>
          <w:vertAlign w:val="superscript"/>
          <w:lang w:val="pt-BR"/>
        </w:rPr>
        <w:footnoteReference w:id="451"/>
      </w:r>
      <w:r w:rsidR="00470ADC" w:rsidRPr="00D5464D">
        <w:rPr>
          <w:iCs/>
          <w:lang w:val="pt-BR"/>
        </w:rPr>
        <w:t xml:space="preserve"> é </w:t>
      </w:r>
      <w:r w:rsidR="00386419" w:rsidRPr="00D5464D">
        <w:rPr>
          <w:iCs/>
          <w:lang w:val="pt-BR"/>
        </w:rPr>
        <w:t>importante que</w:t>
      </w:r>
      <w:r w:rsidR="00470ADC" w:rsidRPr="00D5464D">
        <w:rPr>
          <w:iCs/>
          <w:lang w:val="pt-BR"/>
        </w:rPr>
        <w:t xml:space="preserve"> o </w:t>
      </w:r>
      <w:r w:rsidR="00386419" w:rsidRPr="00D5464D">
        <w:rPr>
          <w:iCs/>
          <w:lang w:val="pt-BR"/>
        </w:rPr>
        <w:t xml:space="preserve">Estado </w:t>
      </w:r>
      <w:r w:rsidR="00470ADC" w:rsidRPr="00D5464D">
        <w:rPr>
          <w:iCs/>
          <w:lang w:val="pt-BR"/>
        </w:rPr>
        <w:t>adot</w:t>
      </w:r>
      <w:r w:rsidR="00386419" w:rsidRPr="00D5464D">
        <w:rPr>
          <w:iCs/>
          <w:lang w:val="pt-BR"/>
        </w:rPr>
        <w:t xml:space="preserve">e medidas para </w:t>
      </w:r>
      <w:r w:rsidRPr="00D5464D">
        <w:rPr>
          <w:iCs/>
          <w:lang w:val="pt-BR"/>
        </w:rPr>
        <w:t xml:space="preserve">enfraquecer </w:t>
      </w:r>
      <w:r w:rsidR="002C330E" w:rsidRPr="00D5464D">
        <w:rPr>
          <w:iCs/>
          <w:lang w:val="pt-BR"/>
        </w:rPr>
        <w:t xml:space="preserve">a </w:t>
      </w:r>
      <w:r w:rsidR="00386419" w:rsidRPr="00D5464D">
        <w:rPr>
          <w:iCs/>
          <w:lang w:val="pt-BR"/>
        </w:rPr>
        <w:t>demanda que alimenta</w:t>
      </w:r>
      <w:r w:rsidR="002C330E" w:rsidRPr="00D5464D">
        <w:rPr>
          <w:iCs/>
          <w:lang w:val="pt-BR"/>
        </w:rPr>
        <w:t xml:space="preserve"> a </w:t>
      </w:r>
      <w:r w:rsidR="00230C71" w:rsidRPr="00D5464D">
        <w:rPr>
          <w:iCs/>
          <w:lang w:val="pt-BR"/>
        </w:rPr>
        <w:t>exploração</w:t>
      </w:r>
      <w:r w:rsidR="00386419" w:rsidRPr="00D5464D">
        <w:rPr>
          <w:iCs/>
          <w:lang w:val="pt-BR"/>
        </w:rPr>
        <w:t xml:space="preserve"> </w:t>
      </w:r>
      <w:r w:rsidR="00470ADC" w:rsidRPr="00D5464D">
        <w:rPr>
          <w:iCs/>
          <w:lang w:val="pt-BR"/>
        </w:rPr>
        <w:t xml:space="preserve">do </w:t>
      </w:r>
      <w:r w:rsidR="00E045D9" w:rsidRPr="00D5464D">
        <w:rPr>
          <w:iCs/>
          <w:lang w:val="pt-BR"/>
        </w:rPr>
        <w:t>trabalho</w:t>
      </w:r>
      <w:r w:rsidR="00386419" w:rsidRPr="00D5464D">
        <w:rPr>
          <w:iCs/>
          <w:lang w:val="pt-BR"/>
        </w:rPr>
        <w:t>, tanto</w:t>
      </w:r>
      <w:r w:rsidR="00470ADC" w:rsidRPr="00D5464D">
        <w:rPr>
          <w:iCs/>
          <w:lang w:val="pt-BR"/>
        </w:rPr>
        <w:t xml:space="preserve"> através</w:t>
      </w:r>
      <w:r w:rsidR="00386419" w:rsidRPr="00D5464D">
        <w:rPr>
          <w:iCs/>
          <w:lang w:val="pt-BR"/>
        </w:rPr>
        <w:t xml:space="preserve"> d</w:t>
      </w:r>
      <w:r w:rsidRPr="00D5464D">
        <w:rPr>
          <w:iCs/>
          <w:lang w:val="pt-BR"/>
        </w:rPr>
        <w:t>o</w:t>
      </w:r>
      <w:r w:rsidR="00386419" w:rsidRPr="00D5464D">
        <w:rPr>
          <w:iCs/>
          <w:lang w:val="pt-BR"/>
        </w:rPr>
        <w:t xml:space="preserve"> </w:t>
      </w:r>
      <w:r w:rsidR="00E045D9" w:rsidRPr="00D5464D">
        <w:rPr>
          <w:iCs/>
          <w:lang w:val="pt-BR"/>
        </w:rPr>
        <w:t>trabalho</w:t>
      </w:r>
      <w:r w:rsidR="00386419" w:rsidRPr="00D5464D">
        <w:rPr>
          <w:iCs/>
          <w:lang w:val="pt-BR"/>
        </w:rPr>
        <w:t xml:space="preserve"> </w:t>
      </w:r>
      <w:r w:rsidR="00230C71" w:rsidRPr="00D5464D">
        <w:rPr>
          <w:iCs/>
          <w:lang w:val="pt-BR"/>
        </w:rPr>
        <w:t>forçado</w:t>
      </w:r>
      <w:r w:rsidR="004D1879" w:rsidRPr="00D5464D">
        <w:rPr>
          <w:iCs/>
          <w:lang w:val="pt-BR"/>
        </w:rPr>
        <w:t>,</w:t>
      </w:r>
      <w:r w:rsidR="00386419" w:rsidRPr="00D5464D">
        <w:rPr>
          <w:iCs/>
          <w:lang w:val="pt-BR"/>
        </w:rPr>
        <w:t xml:space="preserve"> como d</w:t>
      </w:r>
      <w:r w:rsidRPr="00D5464D">
        <w:rPr>
          <w:iCs/>
          <w:lang w:val="pt-BR"/>
        </w:rPr>
        <w:t>a</w:t>
      </w:r>
      <w:r w:rsidR="00386419" w:rsidRPr="00D5464D">
        <w:rPr>
          <w:iCs/>
          <w:lang w:val="pt-BR"/>
        </w:rPr>
        <w:t xml:space="preserve"> </w:t>
      </w:r>
      <w:r w:rsidR="000B376D" w:rsidRPr="00D5464D">
        <w:rPr>
          <w:iCs/>
          <w:lang w:val="pt-BR"/>
        </w:rPr>
        <w:t>servidão</w:t>
      </w:r>
      <w:r w:rsidR="00E045D9" w:rsidRPr="00D5464D">
        <w:rPr>
          <w:iCs/>
          <w:lang w:val="pt-BR"/>
        </w:rPr>
        <w:t xml:space="preserve"> e </w:t>
      </w:r>
      <w:r w:rsidRPr="00D5464D">
        <w:rPr>
          <w:iCs/>
          <w:lang w:val="pt-BR"/>
        </w:rPr>
        <w:t xml:space="preserve">da </w:t>
      </w:r>
      <w:r w:rsidR="000B376D" w:rsidRPr="00D5464D">
        <w:rPr>
          <w:iCs/>
          <w:lang w:val="pt-BR"/>
        </w:rPr>
        <w:t>escravidão</w:t>
      </w:r>
      <w:r w:rsidR="00492C20" w:rsidRPr="00D5464D">
        <w:rPr>
          <w:iCs/>
          <w:lang w:val="pt-BR"/>
        </w:rPr>
        <w:t>.</w:t>
      </w:r>
      <w:r w:rsidR="00386419" w:rsidRPr="00D5464D">
        <w:rPr>
          <w:rStyle w:val="Refdenotaalpie"/>
          <w:iCs/>
          <w:lang w:val="pt-BR"/>
        </w:rPr>
        <w:footnoteReference w:id="452"/>
      </w:r>
    </w:p>
    <w:p w14:paraId="0A125BAF" w14:textId="77777777" w:rsidR="00386419" w:rsidRPr="00D5464D" w:rsidRDefault="00386419" w:rsidP="00386419">
      <w:pPr>
        <w:pStyle w:val="Prrafodelista"/>
        <w:rPr>
          <w:lang w:val="pt-BR"/>
        </w:rPr>
      </w:pPr>
    </w:p>
    <w:p w14:paraId="7D53F9B9" w14:textId="320A70C4" w:rsidR="00B83BEA" w:rsidRPr="00D5464D" w:rsidRDefault="00594672" w:rsidP="00B83BEA">
      <w:pPr>
        <w:pStyle w:val="Prrafodelista"/>
        <w:numPr>
          <w:ilvl w:val="0"/>
          <w:numId w:val="1"/>
        </w:numPr>
        <w:rPr>
          <w:iCs/>
          <w:lang w:val="pt-BR"/>
        </w:rPr>
      </w:pPr>
      <w:r w:rsidRPr="00D5464D">
        <w:rPr>
          <w:lang w:val="pt-BR"/>
        </w:rPr>
        <w:t>No tocante à</w:t>
      </w:r>
      <w:r w:rsidR="00470ADC" w:rsidRPr="00D5464D">
        <w:rPr>
          <w:lang w:val="pt-BR"/>
        </w:rPr>
        <w:t xml:space="preserve"> </w:t>
      </w:r>
      <w:r w:rsidR="002C330E" w:rsidRPr="00D5464D">
        <w:rPr>
          <w:lang w:val="pt-BR"/>
        </w:rPr>
        <w:t>obrigação</w:t>
      </w:r>
      <w:r w:rsidR="00207197" w:rsidRPr="00D5464D">
        <w:rPr>
          <w:lang w:val="pt-BR"/>
        </w:rPr>
        <w:t xml:space="preserve"> de </w:t>
      </w:r>
      <w:r w:rsidR="002C330E" w:rsidRPr="00D5464D">
        <w:rPr>
          <w:lang w:val="pt-BR"/>
        </w:rPr>
        <w:t>garantir</w:t>
      </w:r>
      <w:r w:rsidR="00470ADC" w:rsidRPr="00D5464D">
        <w:rPr>
          <w:lang w:val="pt-BR"/>
        </w:rPr>
        <w:t xml:space="preserve"> o direito</w:t>
      </w:r>
      <w:r w:rsidR="00207197" w:rsidRPr="00D5464D">
        <w:rPr>
          <w:lang w:val="pt-BR"/>
        </w:rPr>
        <w:t xml:space="preserve"> re</w:t>
      </w:r>
      <w:r w:rsidR="00470ADC" w:rsidRPr="00D5464D">
        <w:rPr>
          <w:lang w:val="pt-BR"/>
        </w:rPr>
        <w:t>conhecido</w:t>
      </w:r>
      <w:r w:rsidR="00E045D9" w:rsidRPr="00D5464D">
        <w:rPr>
          <w:lang w:val="pt-BR"/>
        </w:rPr>
        <w:t xml:space="preserve"> no </w:t>
      </w:r>
      <w:r w:rsidR="00470ADC" w:rsidRPr="00D5464D">
        <w:rPr>
          <w:lang w:val="pt-BR"/>
        </w:rPr>
        <w:t>artigo</w:t>
      </w:r>
      <w:r w:rsidR="00207197" w:rsidRPr="00D5464D">
        <w:rPr>
          <w:lang w:val="pt-BR"/>
        </w:rPr>
        <w:t xml:space="preserve"> 6</w:t>
      </w:r>
      <w:r w:rsidR="00470ADC" w:rsidRPr="00D5464D">
        <w:rPr>
          <w:lang w:val="pt-BR"/>
        </w:rPr>
        <w:t xml:space="preserve"> da </w:t>
      </w:r>
      <w:r w:rsidR="00207197" w:rsidRPr="00D5464D">
        <w:rPr>
          <w:lang w:val="pt-BR"/>
        </w:rPr>
        <w:t>Conven</w:t>
      </w:r>
      <w:r w:rsidR="00470ADC" w:rsidRPr="00D5464D">
        <w:rPr>
          <w:lang w:val="pt-BR"/>
        </w:rPr>
        <w:t>ção</w:t>
      </w:r>
      <w:r w:rsidR="00207197" w:rsidRPr="00D5464D">
        <w:rPr>
          <w:lang w:val="pt-BR"/>
        </w:rPr>
        <w:t xml:space="preserve"> Americana,</w:t>
      </w:r>
      <w:r w:rsidR="002C330E" w:rsidRPr="00D5464D">
        <w:rPr>
          <w:lang w:val="pt-BR"/>
        </w:rPr>
        <w:t xml:space="preserve"> a </w:t>
      </w:r>
      <w:r w:rsidR="00207197" w:rsidRPr="00D5464D">
        <w:rPr>
          <w:lang w:val="pt-BR"/>
        </w:rPr>
        <w:t>Corte considera que</w:t>
      </w:r>
      <w:r w:rsidR="00470ADC" w:rsidRPr="00D5464D">
        <w:rPr>
          <w:lang w:val="pt-BR"/>
        </w:rPr>
        <w:t xml:space="preserve"> </w:t>
      </w:r>
      <w:r w:rsidRPr="00D5464D">
        <w:rPr>
          <w:lang w:val="pt-BR"/>
        </w:rPr>
        <w:t xml:space="preserve">isso </w:t>
      </w:r>
      <w:r w:rsidR="00207197" w:rsidRPr="00D5464D">
        <w:rPr>
          <w:lang w:val="pt-BR"/>
        </w:rPr>
        <w:t>implica</w:t>
      </w:r>
      <w:r w:rsidR="00470ADC" w:rsidRPr="00D5464D">
        <w:rPr>
          <w:lang w:val="pt-BR"/>
        </w:rPr>
        <w:t xml:space="preserve"> </w:t>
      </w:r>
      <w:r w:rsidRPr="00D5464D">
        <w:rPr>
          <w:lang w:val="pt-BR"/>
        </w:rPr>
        <w:t>n</w:t>
      </w:r>
      <w:r w:rsidR="00470ADC" w:rsidRPr="00D5464D">
        <w:rPr>
          <w:lang w:val="pt-BR"/>
        </w:rPr>
        <w:t>o dever</w:t>
      </w:r>
      <w:r w:rsidR="00207197" w:rsidRPr="00D5464D">
        <w:rPr>
          <w:lang w:val="pt-BR"/>
        </w:rPr>
        <w:t xml:space="preserve"> </w:t>
      </w:r>
      <w:r w:rsidR="00470ADC" w:rsidRPr="00D5464D">
        <w:rPr>
          <w:lang w:val="pt-BR"/>
        </w:rPr>
        <w:t xml:space="preserve">do </w:t>
      </w:r>
      <w:r w:rsidR="00207197" w:rsidRPr="00D5464D">
        <w:rPr>
          <w:lang w:val="pt-BR"/>
        </w:rPr>
        <w:t xml:space="preserve">Estado de prevenir e investigar </w:t>
      </w:r>
      <w:r w:rsidR="00737270" w:rsidRPr="00D5464D">
        <w:rPr>
          <w:lang w:val="pt-BR"/>
        </w:rPr>
        <w:t>possíveis</w:t>
      </w:r>
      <w:r w:rsidR="002C330E" w:rsidRPr="00D5464D">
        <w:rPr>
          <w:lang w:val="pt-BR"/>
        </w:rPr>
        <w:t xml:space="preserve"> </w:t>
      </w:r>
      <w:r w:rsidR="00207197" w:rsidRPr="00D5464D">
        <w:rPr>
          <w:lang w:val="pt-BR"/>
        </w:rPr>
        <w:t>situa</w:t>
      </w:r>
      <w:r w:rsidR="00470ADC" w:rsidRPr="00D5464D">
        <w:rPr>
          <w:lang w:val="pt-BR"/>
        </w:rPr>
        <w:t>ções</w:t>
      </w:r>
      <w:r w:rsidR="00207197" w:rsidRPr="00D5464D">
        <w:rPr>
          <w:lang w:val="pt-BR"/>
        </w:rPr>
        <w:t xml:space="preserve"> de </w:t>
      </w:r>
      <w:r w:rsidR="000B376D" w:rsidRPr="00D5464D">
        <w:rPr>
          <w:lang w:val="pt-BR"/>
        </w:rPr>
        <w:t>escravidão</w:t>
      </w:r>
      <w:r w:rsidR="00207197" w:rsidRPr="00D5464D">
        <w:rPr>
          <w:lang w:val="pt-BR"/>
        </w:rPr>
        <w:t xml:space="preserve">, </w:t>
      </w:r>
      <w:r w:rsidR="000B376D" w:rsidRPr="00D5464D">
        <w:rPr>
          <w:lang w:val="pt-BR"/>
        </w:rPr>
        <w:t>servidão</w:t>
      </w:r>
      <w:r w:rsidR="00207197" w:rsidRPr="00D5464D">
        <w:rPr>
          <w:lang w:val="pt-BR"/>
        </w:rPr>
        <w:t>,</w:t>
      </w:r>
      <w:r w:rsidR="004F1CC2" w:rsidRPr="00D5464D">
        <w:rPr>
          <w:lang w:val="pt-BR"/>
        </w:rPr>
        <w:t xml:space="preserve"> tráfico de pessoas</w:t>
      </w:r>
      <w:r w:rsidR="00E045D9" w:rsidRPr="00D5464D">
        <w:rPr>
          <w:lang w:val="pt-BR"/>
        </w:rPr>
        <w:t xml:space="preserve"> e trabalho</w:t>
      </w:r>
      <w:r w:rsidR="00207197" w:rsidRPr="00D5464D">
        <w:rPr>
          <w:lang w:val="pt-BR"/>
        </w:rPr>
        <w:t xml:space="preserve"> </w:t>
      </w:r>
      <w:r w:rsidR="00230C71" w:rsidRPr="00D5464D">
        <w:rPr>
          <w:lang w:val="pt-BR"/>
        </w:rPr>
        <w:t>forçado</w:t>
      </w:r>
      <w:r w:rsidR="00207197" w:rsidRPr="00D5464D">
        <w:rPr>
          <w:lang w:val="pt-BR"/>
        </w:rPr>
        <w:t xml:space="preserve">. </w:t>
      </w:r>
      <w:r w:rsidR="00B83BEA" w:rsidRPr="00D5464D">
        <w:rPr>
          <w:lang w:val="pt-BR"/>
        </w:rPr>
        <w:t>E</w:t>
      </w:r>
      <w:r w:rsidR="00207197" w:rsidRPr="00D5464D">
        <w:rPr>
          <w:lang w:val="pt-BR"/>
        </w:rPr>
        <w:t xml:space="preserve">ntre </w:t>
      </w:r>
      <w:r w:rsidR="002C330E" w:rsidRPr="00D5464D">
        <w:rPr>
          <w:lang w:val="pt-BR"/>
        </w:rPr>
        <w:t>outra</w:t>
      </w:r>
      <w:r w:rsidR="00B83BEA" w:rsidRPr="00D5464D">
        <w:rPr>
          <w:lang w:val="pt-BR"/>
        </w:rPr>
        <w:t>s medidas</w:t>
      </w:r>
      <w:r w:rsidR="00207197" w:rsidRPr="00D5464D">
        <w:rPr>
          <w:lang w:val="pt-BR"/>
        </w:rPr>
        <w:t>,</w:t>
      </w:r>
      <w:r w:rsidR="002C330E" w:rsidRPr="00D5464D">
        <w:rPr>
          <w:lang w:val="pt-BR"/>
        </w:rPr>
        <w:t xml:space="preserve"> os </w:t>
      </w:r>
      <w:r w:rsidR="00207197" w:rsidRPr="00D5464D">
        <w:rPr>
          <w:lang w:val="pt-BR"/>
        </w:rPr>
        <w:t xml:space="preserve">Estados </w:t>
      </w:r>
      <w:r w:rsidR="00230C71" w:rsidRPr="00D5464D">
        <w:rPr>
          <w:lang w:val="pt-BR"/>
        </w:rPr>
        <w:t>têm a</w:t>
      </w:r>
      <w:r w:rsidR="00470ADC" w:rsidRPr="00D5464D">
        <w:rPr>
          <w:lang w:val="pt-BR"/>
        </w:rPr>
        <w:t xml:space="preserve"> </w:t>
      </w:r>
      <w:r w:rsidR="002C330E" w:rsidRPr="00D5464D">
        <w:rPr>
          <w:lang w:val="pt-BR"/>
        </w:rPr>
        <w:t>obrigação</w:t>
      </w:r>
      <w:r w:rsidR="00207197" w:rsidRPr="00D5464D">
        <w:rPr>
          <w:lang w:val="pt-BR"/>
        </w:rPr>
        <w:t xml:space="preserve"> de</w:t>
      </w:r>
      <w:r w:rsidR="004D1879" w:rsidRPr="00D5464D">
        <w:rPr>
          <w:lang w:val="pt-BR"/>
        </w:rPr>
        <w:t>:</w:t>
      </w:r>
      <w:r w:rsidR="00207197" w:rsidRPr="00D5464D">
        <w:rPr>
          <w:lang w:val="pt-BR"/>
        </w:rPr>
        <w:t xml:space="preserve"> </w:t>
      </w:r>
      <w:r w:rsidR="00B83BEA" w:rsidRPr="00D5464D">
        <w:rPr>
          <w:lang w:val="pt-BR"/>
        </w:rPr>
        <w:t xml:space="preserve">i) </w:t>
      </w:r>
      <w:r w:rsidR="00207197" w:rsidRPr="00D5464D">
        <w:rPr>
          <w:lang w:val="pt-BR"/>
        </w:rPr>
        <w:t>iniciar</w:t>
      </w:r>
      <w:r w:rsidRPr="00D5464D">
        <w:rPr>
          <w:lang w:val="pt-BR"/>
        </w:rPr>
        <w:t>,</w:t>
      </w:r>
      <w:r w:rsidR="00207197" w:rsidRPr="00D5464D">
        <w:rPr>
          <w:lang w:val="pt-BR"/>
        </w:rPr>
        <w:t xml:space="preserve"> de </w:t>
      </w:r>
      <w:r w:rsidR="002C330E" w:rsidRPr="00D5464D">
        <w:rPr>
          <w:lang w:val="pt-BR"/>
        </w:rPr>
        <w:t xml:space="preserve">ofício </w:t>
      </w:r>
      <w:r w:rsidR="00207197" w:rsidRPr="00D5464D">
        <w:rPr>
          <w:lang w:val="pt-BR"/>
        </w:rPr>
        <w:t xml:space="preserve">e </w:t>
      </w:r>
      <w:r w:rsidR="002C330E" w:rsidRPr="00D5464D">
        <w:rPr>
          <w:lang w:val="pt-BR"/>
        </w:rPr>
        <w:t>imediat</w:t>
      </w:r>
      <w:r w:rsidR="00207197" w:rsidRPr="00D5464D">
        <w:rPr>
          <w:lang w:val="pt-BR"/>
        </w:rPr>
        <w:t>amente</w:t>
      </w:r>
      <w:r w:rsidRPr="00D5464D">
        <w:rPr>
          <w:lang w:val="pt-BR"/>
        </w:rPr>
        <w:t>,</w:t>
      </w:r>
      <w:r w:rsidR="00E045D9" w:rsidRPr="00D5464D">
        <w:rPr>
          <w:lang w:val="pt-BR"/>
        </w:rPr>
        <w:t xml:space="preserve"> uma </w:t>
      </w:r>
      <w:r w:rsidR="00207197" w:rsidRPr="00D5464D">
        <w:rPr>
          <w:lang w:val="pt-BR"/>
        </w:rPr>
        <w:t>investiga</w:t>
      </w:r>
      <w:r w:rsidR="00470ADC" w:rsidRPr="00D5464D">
        <w:rPr>
          <w:lang w:val="pt-BR"/>
        </w:rPr>
        <w:t>ção</w:t>
      </w:r>
      <w:r w:rsidR="00207197" w:rsidRPr="00D5464D">
        <w:rPr>
          <w:lang w:val="pt-BR"/>
        </w:rPr>
        <w:t xml:space="preserve"> </w:t>
      </w:r>
      <w:r w:rsidR="00470ADC" w:rsidRPr="00D5464D">
        <w:rPr>
          <w:lang w:val="pt-BR"/>
        </w:rPr>
        <w:t>efetiv</w:t>
      </w:r>
      <w:r w:rsidR="00207197" w:rsidRPr="00D5464D">
        <w:rPr>
          <w:lang w:val="pt-BR"/>
        </w:rPr>
        <w:t xml:space="preserve">a que permita identificar, </w:t>
      </w:r>
      <w:r w:rsidR="002C330E" w:rsidRPr="00D5464D">
        <w:rPr>
          <w:lang w:val="pt-BR"/>
        </w:rPr>
        <w:t>julgar</w:t>
      </w:r>
      <w:r w:rsidR="00E045D9" w:rsidRPr="00D5464D">
        <w:rPr>
          <w:lang w:val="pt-BR"/>
        </w:rPr>
        <w:t xml:space="preserve"> e </w:t>
      </w:r>
      <w:r w:rsidRPr="00D5464D">
        <w:rPr>
          <w:lang w:val="pt-BR"/>
        </w:rPr>
        <w:t xml:space="preserve">punir </w:t>
      </w:r>
      <w:r w:rsidR="00E045D9" w:rsidRPr="00D5464D">
        <w:rPr>
          <w:lang w:val="pt-BR"/>
        </w:rPr>
        <w:t xml:space="preserve">os </w:t>
      </w:r>
      <w:r w:rsidR="002C330E" w:rsidRPr="00D5464D">
        <w:rPr>
          <w:lang w:val="pt-BR"/>
        </w:rPr>
        <w:t>responsáveis</w:t>
      </w:r>
      <w:r w:rsidR="00207197" w:rsidRPr="00D5464D">
        <w:rPr>
          <w:lang w:val="pt-BR"/>
        </w:rPr>
        <w:t xml:space="preserve">, </w:t>
      </w:r>
      <w:r w:rsidR="00470ADC" w:rsidRPr="00D5464D">
        <w:rPr>
          <w:lang w:val="pt-BR"/>
        </w:rPr>
        <w:t>quando</w:t>
      </w:r>
      <w:r w:rsidR="00207197" w:rsidRPr="00D5464D">
        <w:rPr>
          <w:lang w:val="pt-BR"/>
        </w:rPr>
        <w:t xml:space="preserve"> exist</w:t>
      </w:r>
      <w:r w:rsidRPr="00D5464D">
        <w:rPr>
          <w:lang w:val="pt-BR"/>
        </w:rPr>
        <w:t>a</w:t>
      </w:r>
      <w:r w:rsidR="00207197" w:rsidRPr="00D5464D">
        <w:rPr>
          <w:lang w:val="pt-BR"/>
        </w:rPr>
        <w:t xml:space="preserve"> </w:t>
      </w:r>
      <w:r w:rsidR="00470ADC" w:rsidRPr="00D5464D">
        <w:rPr>
          <w:lang w:val="pt-BR"/>
        </w:rPr>
        <w:t xml:space="preserve">denúncia </w:t>
      </w:r>
      <w:r w:rsidR="00207197" w:rsidRPr="00D5464D">
        <w:rPr>
          <w:lang w:val="pt-BR"/>
        </w:rPr>
        <w:t>o</w:t>
      </w:r>
      <w:r w:rsidRPr="00D5464D">
        <w:rPr>
          <w:lang w:val="pt-BR"/>
        </w:rPr>
        <w:t>u</w:t>
      </w:r>
      <w:r w:rsidR="00207197" w:rsidRPr="00D5464D">
        <w:rPr>
          <w:lang w:val="pt-BR"/>
        </w:rPr>
        <w:t xml:space="preserve"> </w:t>
      </w:r>
      <w:r w:rsidR="002C330E" w:rsidRPr="00D5464D">
        <w:rPr>
          <w:lang w:val="pt-BR"/>
        </w:rPr>
        <w:t>razão</w:t>
      </w:r>
      <w:r w:rsidR="00207197" w:rsidRPr="00D5464D">
        <w:rPr>
          <w:lang w:val="pt-BR"/>
        </w:rPr>
        <w:t xml:space="preserve"> </w:t>
      </w:r>
      <w:r w:rsidR="00FB37F8" w:rsidRPr="00D5464D">
        <w:rPr>
          <w:lang w:val="pt-BR"/>
        </w:rPr>
        <w:t>fundadas para crer que pessoas sujeitas à sua jurisdição se encontrem submetidas a uma das situações previstas no artigo 6.1 e 6.2 da Convenção</w:t>
      </w:r>
      <w:r w:rsidR="00B83BEA" w:rsidRPr="00D5464D">
        <w:rPr>
          <w:lang w:val="pt-BR"/>
        </w:rPr>
        <w:t>; ii)</w:t>
      </w:r>
      <w:r w:rsidR="00B83BEA" w:rsidRPr="00D5464D">
        <w:rPr>
          <w:iCs/>
          <w:lang w:val="pt-BR"/>
        </w:rPr>
        <w:t xml:space="preserve"> eliminar </w:t>
      </w:r>
      <w:r w:rsidRPr="00D5464D">
        <w:rPr>
          <w:iCs/>
          <w:lang w:val="pt-BR"/>
        </w:rPr>
        <w:t xml:space="preserve">qualquer norma </w:t>
      </w:r>
      <w:r w:rsidR="00B83BEA" w:rsidRPr="00D5464D">
        <w:rPr>
          <w:iCs/>
          <w:lang w:val="pt-BR"/>
        </w:rPr>
        <w:t>que legali</w:t>
      </w:r>
      <w:r w:rsidRPr="00D5464D">
        <w:rPr>
          <w:iCs/>
          <w:lang w:val="pt-BR"/>
        </w:rPr>
        <w:t>z</w:t>
      </w:r>
      <w:r w:rsidR="00B83BEA" w:rsidRPr="00D5464D">
        <w:rPr>
          <w:iCs/>
          <w:lang w:val="pt-BR"/>
        </w:rPr>
        <w:t>e o</w:t>
      </w:r>
      <w:r w:rsidRPr="00D5464D">
        <w:rPr>
          <w:iCs/>
          <w:lang w:val="pt-BR"/>
        </w:rPr>
        <w:t>u</w:t>
      </w:r>
      <w:r w:rsidR="00B83BEA" w:rsidRPr="00D5464D">
        <w:rPr>
          <w:iCs/>
          <w:lang w:val="pt-BR"/>
        </w:rPr>
        <w:t xml:space="preserve"> tolere</w:t>
      </w:r>
      <w:r w:rsidR="002C330E" w:rsidRPr="00D5464D">
        <w:rPr>
          <w:iCs/>
          <w:lang w:val="pt-BR"/>
        </w:rPr>
        <w:t xml:space="preserve"> a </w:t>
      </w:r>
      <w:r w:rsidR="000B376D" w:rsidRPr="00D5464D">
        <w:rPr>
          <w:iCs/>
          <w:lang w:val="pt-BR"/>
        </w:rPr>
        <w:t>escravidão</w:t>
      </w:r>
      <w:r w:rsidR="00E045D9" w:rsidRPr="00D5464D">
        <w:rPr>
          <w:iCs/>
          <w:lang w:val="pt-BR"/>
        </w:rPr>
        <w:t xml:space="preserve"> e </w:t>
      </w:r>
      <w:r w:rsidR="002C330E" w:rsidRPr="00D5464D">
        <w:rPr>
          <w:iCs/>
          <w:lang w:val="pt-BR"/>
        </w:rPr>
        <w:t xml:space="preserve">a </w:t>
      </w:r>
      <w:r w:rsidR="000B376D" w:rsidRPr="00D5464D">
        <w:rPr>
          <w:iCs/>
          <w:lang w:val="pt-BR"/>
        </w:rPr>
        <w:t>servidão</w:t>
      </w:r>
      <w:r w:rsidR="00B83BEA" w:rsidRPr="00D5464D">
        <w:rPr>
          <w:iCs/>
          <w:lang w:val="pt-BR"/>
        </w:rPr>
        <w:t xml:space="preserve">; iii) tipificar </w:t>
      </w:r>
      <w:r w:rsidRPr="00D5464D">
        <w:rPr>
          <w:iCs/>
          <w:lang w:val="pt-BR"/>
        </w:rPr>
        <w:t>criminalmente</w:t>
      </w:r>
      <w:r w:rsidR="00B83BEA" w:rsidRPr="00D5464D">
        <w:rPr>
          <w:iCs/>
          <w:lang w:val="pt-BR"/>
        </w:rPr>
        <w:t xml:space="preserve"> </w:t>
      </w:r>
      <w:r w:rsidR="00470ADC" w:rsidRPr="00D5464D">
        <w:rPr>
          <w:iCs/>
          <w:lang w:val="pt-BR"/>
        </w:rPr>
        <w:t>esta</w:t>
      </w:r>
      <w:r w:rsidR="00B83BEA" w:rsidRPr="00D5464D">
        <w:rPr>
          <w:iCs/>
          <w:lang w:val="pt-BR"/>
        </w:rPr>
        <w:t>s figuras,</w:t>
      </w:r>
      <w:r w:rsidR="00470ADC" w:rsidRPr="00D5464D">
        <w:rPr>
          <w:iCs/>
          <w:lang w:val="pt-BR"/>
        </w:rPr>
        <w:t xml:space="preserve"> com </w:t>
      </w:r>
      <w:r w:rsidRPr="00D5464D">
        <w:rPr>
          <w:iCs/>
          <w:lang w:val="pt-BR"/>
        </w:rPr>
        <w:t xml:space="preserve">punições </w:t>
      </w:r>
      <w:r w:rsidR="00B83BEA" w:rsidRPr="00D5464D">
        <w:rPr>
          <w:iCs/>
          <w:lang w:val="pt-BR"/>
        </w:rPr>
        <w:t xml:space="preserve">severas; iv) realizar </w:t>
      </w:r>
      <w:r w:rsidR="0031040E" w:rsidRPr="00D5464D">
        <w:rPr>
          <w:iCs/>
          <w:lang w:val="pt-BR"/>
        </w:rPr>
        <w:t>fiscalizações</w:t>
      </w:r>
      <w:r w:rsidR="00E045D9" w:rsidRPr="00D5464D">
        <w:rPr>
          <w:iCs/>
          <w:lang w:val="pt-BR"/>
        </w:rPr>
        <w:t xml:space="preserve"> ou </w:t>
      </w:r>
      <w:r w:rsidR="002C330E" w:rsidRPr="00D5464D">
        <w:rPr>
          <w:iCs/>
          <w:lang w:val="pt-BR"/>
        </w:rPr>
        <w:t>outra</w:t>
      </w:r>
      <w:r w:rsidR="00B83BEA" w:rsidRPr="00D5464D">
        <w:rPr>
          <w:iCs/>
          <w:lang w:val="pt-BR"/>
        </w:rPr>
        <w:t>s medidas de detec</w:t>
      </w:r>
      <w:r w:rsidR="00470ADC" w:rsidRPr="00D5464D">
        <w:rPr>
          <w:iCs/>
          <w:lang w:val="pt-BR"/>
        </w:rPr>
        <w:t>ção</w:t>
      </w:r>
      <w:r w:rsidR="00B83BEA" w:rsidRPr="00D5464D">
        <w:rPr>
          <w:iCs/>
          <w:lang w:val="pt-BR"/>
        </w:rPr>
        <w:t xml:space="preserve"> </w:t>
      </w:r>
      <w:r w:rsidR="00E045D9" w:rsidRPr="00D5464D">
        <w:rPr>
          <w:iCs/>
          <w:lang w:val="pt-BR"/>
        </w:rPr>
        <w:t>desta</w:t>
      </w:r>
      <w:r w:rsidR="00B83BEA" w:rsidRPr="00D5464D">
        <w:rPr>
          <w:iCs/>
          <w:lang w:val="pt-BR"/>
        </w:rPr>
        <w:t xml:space="preserve">s </w:t>
      </w:r>
      <w:r w:rsidR="002C330E" w:rsidRPr="00D5464D">
        <w:rPr>
          <w:iCs/>
          <w:lang w:val="pt-BR"/>
        </w:rPr>
        <w:t>prática</w:t>
      </w:r>
      <w:r w:rsidR="00B83BEA" w:rsidRPr="00D5464D">
        <w:rPr>
          <w:iCs/>
          <w:lang w:val="pt-BR"/>
        </w:rPr>
        <w:t>s</w:t>
      </w:r>
      <w:r w:rsidR="002A0C2B" w:rsidRPr="00D5464D">
        <w:rPr>
          <w:iCs/>
          <w:lang w:val="pt-BR"/>
        </w:rPr>
        <w:t xml:space="preserve"> e </w:t>
      </w:r>
      <w:r w:rsidR="00B83BEA" w:rsidRPr="00D5464D">
        <w:rPr>
          <w:iCs/>
          <w:lang w:val="pt-BR"/>
        </w:rPr>
        <w:t xml:space="preserve">v) </w:t>
      </w:r>
      <w:r w:rsidR="00470ADC" w:rsidRPr="00D5464D">
        <w:rPr>
          <w:iCs/>
          <w:lang w:val="pt-BR"/>
        </w:rPr>
        <w:t>adot</w:t>
      </w:r>
      <w:r w:rsidR="00B83BEA" w:rsidRPr="00D5464D">
        <w:rPr>
          <w:iCs/>
          <w:lang w:val="pt-BR"/>
        </w:rPr>
        <w:t xml:space="preserve">ar medidas de </w:t>
      </w:r>
      <w:r w:rsidR="002C330E" w:rsidRPr="00D5464D">
        <w:rPr>
          <w:iCs/>
          <w:lang w:val="pt-BR"/>
        </w:rPr>
        <w:t>proteção</w:t>
      </w:r>
      <w:r w:rsidR="00E045D9" w:rsidRPr="00D5464D">
        <w:rPr>
          <w:iCs/>
          <w:lang w:val="pt-BR"/>
        </w:rPr>
        <w:t xml:space="preserve"> e </w:t>
      </w:r>
      <w:r w:rsidR="00470ADC" w:rsidRPr="00D5464D">
        <w:rPr>
          <w:iCs/>
          <w:lang w:val="pt-BR"/>
        </w:rPr>
        <w:t>assistência</w:t>
      </w:r>
      <w:r w:rsidR="00E045D9" w:rsidRPr="00D5464D">
        <w:rPr>
          <w:iCs/>
          <w:lang w:val="pt-BR"/>
        </w:rPr>
        <w:t xml:space="preserve"> às vítima</w:t>
      </w:r>
      <w:r w:rsidR="00B83BEA" w:rsidRPr="00D5464D">
        <w:rPr>
          <w:iCs/>
          <w:lang w:val="pt-BR"/>
        </w:rPr>
        <w:t>s.</w:t>
      </w:r>
    </w:p>
    <w:p w14:paraId="19A03468" w14:textId="77777777" w:rsidR="00207197" w:rsidRPr="00D5464D" w:rsidRDefault="00207197" w:rsidP="00140440">
      <w:pPr>
        <w:pStyle w:val="Prrafodelista"/>
        <w:ind w:left="0"/>
        <w:rPr>
          <w:lang w:val="pt-BR"/>
        </w:rPr>
      </w:pPr>
    </w:p>
    <w:p w14:paraId="3207398C" w14:textId="5EE80F81" w:rsidR="00386419" w:rsidRPr="00D5464D" w:rsidRDefault="00FB37F8" w:rsidP="00F37DC4">
      <w:pPr>
        <w:pStyle w:val="Prrafodelista"/>
        <w:numPr>
          <w:ilvl w:val="0"/>
          <w:numId w:val="1"/>
        </w:numPr>
        <w:contextualSpacing w:val="0"/>
        <w:rPr>
          <w:lang w:val="pt-BR"/>
        </w:rPr>
      </w:pPr>
      <w:r w:rsidRPr="00D5464D">
        <w:rPr>
          <w:lang w:val="pt-BR"/>
        </w:rPr>
        <w:t xml:space="preserve">Em atenção a todo </w:t>
      </w:r>
      <w:r w:rsidR="00C91CB1" w:rsidRPr="00D5464D">
        <w:rPr>
          <w:lang w:val="pt-BR"/>
        </w:rPr>
        <w:t>o anterior</w:t>
      </w:r>
      <w:r w:rsidR="00386419" w:rsidRPr="00D5464D">
        <w:rPr>
          <w:lang w:val="pt-BR"/>
        </w:rPr>
        <w:t xml:space="preserve">, </w:t>
      </w:r>
      <w:r w:rsidRPr="00D5464D">
        <w:rPr>
          <w:lang w:val="pt-BR"/>
        </w:rPr>
        <w:t xml:space="preserve">conclui-se </w:t>
      </w:r>
      <w:r w:rsidR="00386419" w:rsidRPr="00D5464D">
        <w:rPr>
          <w:lang w:val="pt-BR"/>
        </w:rPr>
        <w:t>que</w:t>
      </w:r>
      <w:r w:rsidR="002C330E" w:rsidRPr="00D5464D">
        <w:rPr>
          <w:lang w:val="pt-BR"/>
        </w:rPr>
        <w:t xml:space="preserve"> os </w:t>
      </w:r>
      <w:r w:rsidR="00386419" w:rsidRPr="00D5464D">
        <w:rPr>
          <w:lang w:val="pt-BR"/>
        </w:rPr>
        <w:t xml:space="preserve">Estados </w:t>
      </w:r>
      <w:r w:rsidR="00470ADC" w:rsidRPr="00D5464D">
        <w:rPr>
          <w:lang w:val="pt-BR"/>
        </w:rPr>
        <w:t>devem</w:t>
      </w:r>
      <w:r w:rsidR="00386419" w:rsidRPr="00D5464D">
        <w:rPr>
          <w:lang w:val="pt-BR"/>
        </w:rPr>
        <w:t xml:space="preserve"> </w:t>
      </w:r>
      <w:r w:rsidR="00470ADC" w:rsidRPr="00D5464D">
        <w:rPr>
          <w:lang w:val="pt-BR"/>
        </w:rPr>
        <w:t>adot</w:t>
      </w:r>
      <w:r w:rsidR="00386419" w:rsidRPr="00D5464D">
        <w:rPr>
          <w:lang w:val="pt-BR"/>
        </w:rPr>
        <w:t xml:space="preserve">ar medidas </w:t>
      </w:r>
      <w:r w:rsidR="00E045D9" w:rsidRPr="00D5464D">
        <w:rPr>
          <w:lang w:val="pt-BR"/>
        </w:rPr>
        <w:t>integrais</w:t>
      </w:r>
      <w:r w:rsidR="00386419" w:rsidRPr="00D5464D">
        <w:rPr>
          <w:lang w:val="pt-BR"/>
        </w:rPr>
        <w:t xml:space="preserve"> para </w:t>
      </w:r>
      <w:r w:rsidR="00A1358C" w:rsidRPr="00D5464D">
        <w:rPr>
          <w:lang w:val="pt-BR"/>
        </w:rPr>
        <w:t>cumprir</w:t>
      </w:r>
      <w:r w:rsidR="002C330E" w:rsidRPr="00D5464D">
        <w:rPr>
          <w:lang w:val="pt-BR"/>
        </w:rPr>
        <w:t xml:space="preserve"> a </w:t>
      </w:r>
      <w:r w:rsidR="00470ADC" w:rsidRPr="00D5464D">
        <w:rPr>
          <w:lang w:val="pt-BR"/>
        </w:rPr>
        <w:t xml:space="preserve">devida diligência em </w:t>
      </w:r>
      <w:r w:rsidR="00386419" w:rsidRPr="00D5464D">
        <w:rPr>
          <w:lang w:val="pt-BR"/>
        </w:rPr>
        <w:t xml:space="preserve">casos de </w:t>
      </w:r>
      <w:r w:rsidR="000B376D" w:rsidRPr="00D5464D">
        <w:rPr>
          <w:lang w:val="pt-BR"/>
        </w:rPr>
        <w:t>servidão</w:t>
      </w:r>
      <w:r w:rsidR="00386419" w:rsidRPr="00D5464D">
        <w:rPr>
          <w:lang w:val="pt-BR"/>
        </w:rPr>
        <w:t xml:space="preserve">, </w:t>
      </w:r>
      <w:r w:rsidR="000B376D" w:rsidRPr="00D5464D">
        <w:rPr>
          <w:lang w:val="pt-BR"/>
        </w:rPr>
        <w:t>escravidão</w:t>
      </w:r>
      <w:r w:rsidR="004D1879" w:rsidRPr="00D5464D">
        <w:rPr>
          <w:lang w:val="pt-BR"/>
        </w:rPr>
        <w:t>,</w:t>
      </w:r>
      <w:r w:rsidR="004F1CC2" w:rsidRPr="00D5464D">
        <w:rPr>
          <w:lang w:val="pt-BR"/>
        </w:rPr>
        <w:t xml:space="preserve"> tráfico de pessoas</w:t>
      </w:r>
      <w:r w:rsidR="00E045D9" w:rsidRPr="00D5464D">
        <w:rPr>
          <w:lang w:val="pt-BR"/>
        </w:rPr>
        <w:t xml:space="preserve"> e trabalho</w:t>
      </w:r>
      <w:r w:rsidR="004D1879" w:rsidRPr="00D5464D">
        <w:rPr>
          <w:lang w:val="pt-BR"/>
        </w:rPr>
        <w:t xml:space="preserve"> </w:t>
      </w:r>
      <w:r w:rsidR="00230C71" w:rsidRPr="00D5464D">
        <w:rPr>
          <w:lang w:val="pt-BR"/>
        </w:rPr>
        <w:t>forçado</w:t>
      </w:r>
      <w:r w:rsidR="00A1358C" w:rsidRPr="00D5464D">
        <w:rPr>
          <w:lang w:val="pt-BR"/>
        </w:rPr>
        <w:t>. Em particular</w:t>
      </w:r>
      <w:r w:rsidR="00386419" w:rsidRPr="00D5464D">
        <w:rPr>
          <w:lang w:val="pt-BR"/>
        </w:rPr>
        <w:t>,</w:t>
      </w:r>
      <w:r w:rsidR="002C330E" w:rsidRPr="00D5464D">
        <w:rPr>
          <w:lang w:val="pt-BR"/>
        </w:rPr>
        <w:t xml:space="preserve"> os </w:t>
      </w:r>
      <w:r w:rsidR="00386419" w:rsidRPr="00D5464D">
        <w:rPr>
          <w:lang w:val="pt-BR"/>
        </w:rPr>
        <w:t xml:space="preserve">Estados </w:t>
      </w:r>
      <w:r w:rsidR="00470ADC" w:rsidRPr="00D5464D">
        <w:rPr>
          <w:lang w:val="pt-BR"/>
        </w:rPr>
        <w:t>devem</w:t>
      </w:r>
      <w:r w:rsidR="00386419" w:rsidRPr="00D5464D">
        <w:rPr>
          <w:lang w:val="pt-BR"/>
        </w:rPr>
        <w:t xml:space="preserve"> contar</w:t>
      </w:r>
      <w:r w:rsidR="00470ADC" w:rsidRPr="00D5464D">
        <w:rPr>
          <w:lang w:val="pt-BR"/>
        </w:rPr>
        <w:t xml:space="preserve"> com</w:t>
      </w:r>
      <w:r w:rsidR="00E045D9" w:rsidRPr="00D5464D">
        <w:rPr>
          <w:lang w:val="pt-BR"/>
        </w:rPr>
        <w:t xml:space="preserve"> um </w:t>
      </w:r>
      <w:r w:rsidR="00386419" w:rsidRPr="00D5464D">
        <w:rPr>
          <w:lang w:val="pt-BR"/>
        </w:rPr>
        <w:t xml:space="preserve">marco jurídico de </w:t>
      </w:r>
      <w:r w:rsidR="002C330E" w:rsidRPr="00D5464D">
        <w:rPr>
          <w:lang w:val="pt-BR"/>
        </w:rPr>
        <w:t>proteção</w:t>
      </w:r>
      <w:r w:rsidRPr="00D5464D">
        <w:rPr>
          <w:lang w:val="pt-BR"/>
        </w:rPr>
        <w:t xml:space="preserve"> adequado</w:t>
      </w:r>
      <w:r w:rsidR="00386419" w:rsidRPr="00D5464D">
        <w:rPr>
          <w:lang w:val="pt-BR"/>
        </w:rPr>
        <w:t>,</w:t>
      </w:r>
      <w:r w:rsidR="00470ADC" w:rsidRPr="00D5464D">
        <w:rPr>
          <w:lang w:val="pt-BR"/>
        </w:rPr>
        <w:t xml:space="preserve"> com</w:t>
      </w:r>
      <w:r w:rsidR="00E045D9" w:rsidRPr="00D5464D">
        <w:rPr>
          <w:lang w:val="pt-BR"/>
        </w:rPr>
        <w:t xml:space="preserve"> uma </w:t>
      </w:r>
      <w:r w:rsidR="00386419" w:rsidRPr="00D5464D">
        <w:rPr>
          <w:lang w:val="pt-BR"/>
        </w:rPr>
        <w:t>aplica</w:t>
      </w:r>
      <w:r w:rsidR="00470ADC" w:rsidRPr="00D5464D">
        <w:rPr>
          <w:lang w:val="pt-BR"/>
        </w:rPr>
        <w:t>ção</w:t>
      </w:r>
      <w:r w:rsidR="00386419" w:rsidRPr="00D5464D">
        <w:rPr>
          <w:lang w:val="pt-BR"/>
        </w:rPr>
        <w:t xml:space="preserve"> </w:t>
      </w:r>
      <w:r w:rsidR="00470ADC" w:rsidRPr="00D5464D">
        <w:rPr>
          <w:lang w:val="pt-BR"/>
        </w:rPr>
        <w:t>efetiv</w:t>
      </w:r>
      <w:r w:rsidR="00386419" w:rsidRPr="00D5464D">
        <w:rPr>
          <w:lang w:val="pt-BR"/>
        </w:rPr>
        <w:t xml:space="preserve">a </w:t>
      </w:r>
      <w:r w:rsidR="00470ADC" w:rsidRPr="00D5464D">
        <w:rPr>
          <w:lang w:val="pt-BR"/>
        </w:rPr>
        <w:t xml:space="preserve">do </w:t>
      </w:r>
      <w:r w:rsidR="002C330E" w:rsidRPr="00D5464D">
        <w:rPr>
          <w:lang w:val="pt-BR"/>
        </w:rPr>
        <w:t>mesm</w:t>
      </w:r>
      <w:r w:rsidR="00386419" w:rsidRPr="00D5464D">
        <w:rPr>
          <w:lang w:val="pt-BR"/>
        </w:rPr>
        <w:t>o</w:t>
      </w:r>
      <w:r w:rsidR="00E045D9" w:rsidRPr="00D5464D">
        <w:rPr>
          <w:lang w:val="pt-BR"/>
        </w:rPr>
        <w:t xml:space="preserve"> e </w:t>
      </w:r>
      <w:r w:rsidR="00386419" w:rsidRPr="00D5464D">
        <w:rPr>
          <w:lang w:val="pt-BR"/>
        </w:rPr>
        <w:t>políticas de preven</w:t>
      </w:r>
      <w:r w:rsidR="00470ADC" w:rsidRPr="00D5464D">
        <w:rPr>
          <w:lang w:val="pt-BR"/>
        </w:rPr>
        <w:t>ção</w:t>
      </w:r>
      <w:r w:rsidR="00E045D9" w:rsidRPr="00D5464D">
        <w:rPr>
          <w:lang w:val="pt-BR"/>
        </w:rPr>
        <w:t xml:space="preserve"> e </w:t>
      </w:r>
      <w:r w:rsidR="002C330E" w:rsidRPr="00D5464D">
        <w:rPr>
          <w:lang w:val="pt-BR"/>
        </w:rPr>
        <w:t>prática</w:t>
      </w:r>
      <w:r w:rsidR="00386419" w:rsidRPr="00D5464D">
        <w:rPr>
          <w:lang w:val="pt-BR"/>
        </w:rPr>
        <w:t xml:space="preserve">s que </w:t>
      </w:r>
      <w:r w:rsidR="002C330E" w:rsidRPr="00D5464D">
        <w:rPr>
          <w:lang w:val="pt-BR"/>
        </w:rPr>
        <w:t>permitam</w:t>
      </w:r>
      <w:r w:rsidR="00386419" w:rsidRPr="00D5464D">
        <w:rPr>
          <w:lang w:val="pt-BR"/>
        </w:rPr>
        <w:t xml:space="preserve"> </w:t>
      </w:r>
      <w:r w:rsidR="00470ADC" w:rsidRPr="00D5464D">
        <w:rPr>
          <w:lang w:val="pt-BR"/>
        </w:rPr>
        <w:t xml:space="preserve">atuar </w:t>
      </w:r>
      <w:r w:rsidR="00386419" w:rsidRPr="00D5464D">
        <w:rPr>
          <w:lang w:val="pt-BR"/>
        </w:rPr>
        <w:t>de</w:t>
      </w:r>
      <w:r w:rsidR="00E045D9" w:rsidRPr="00D5464D">
        <w:rPr>
          <w:lang w:val="pt-BR"/>
        </w:rPr>
        <w:t xml:space="preserve"> </w:t>
      </w:r>
      <w:r w:rsidR="002C330E" w:rsidRPr="00D5464D">
        <w:rPr>
          <w:lang w:val="pt-BR"/>
        </w:rPr>
        <w:t>maneira</w:t>
      </w:r>
      <w:r w:rsidR="00386419" w:rsidRPr="00D5464D">
        <w:rPr>
          <w:lang w:val="pt-BR"/>
        </w:rPr>
        <w:t xml:space="preserve"> eficaz </w:t>
      </w:r>
      <w:r w:rsidRPr="00D5464D">
        <w:rPr>
          <w:lang w:val="pt-BR"/>
        </w:rPr>
        <w:t>di</w:t>
      </w:r>
      <w:r w:rsidR="00386419" w:rsidRPr="00D5464D">
        <w:rPr>
          <w:lang w:val="pt-BR"/>
        </w:rPr>
        <w:t>ante</w:t>
      </w:r>
      <w:r w:rsidR="002C330E" w:rsidRPr="00D5464D">
        <w:rPr>
          <w:lang w:val="pt-BR"/>
        </w:rPr>
        <w:t xml:space="preserve"> </w:t>
      </w:r>
      <w:r w:rsidRPr="00D5464D">
        <w:rPr>
          <w:lang w:val="pt-BR"/>
        </w:rPr>
        <w:t>de</w:t>
      </w:r>
      <w:r w:rsidR="002C330E" w:rsidRPr="00D5464D">
        <w:rPr>
          <w:lang w:val="pt-BR"/>
        </w:rPr>
        <w:t xml:space="preserve"> </w:t>
      </w:r>
      <w:r w:rsidR="00470ADC" w:rsidRPr="00D5464D">
        <w:rPr>
          <w:lang w:val="pt-BR"/>
        </w:rPr>
        <w:t>denúncias</w:t>
      </w:r>
      <w:r w:rsidR="00A1358C" w:rsidRPr="00D5464D">
        <w:rPr>
          <w:lang w:val="pt-BR"/>
        </w:rPr>
        <w:t xml:space="preserve">. A </w:t>
      </w:r>
      <w:r w:rsidR="00E045D9" w:rsidRPr="00D5464D">
        <w:rPr>
          <w:lang w:val="pt-BR"/>
        </w:rPr>
        <w:t>estratégia</w:t>
      </w:r>
      <w:r w:rsidR="00386419" w:rsidRPr="00D5464D">
        <w:rPr>
          <w:lang w:val="pt-BR"/>
        </w:rPr>
        <w:t xml:space="preserve"> de preven</w:t>
      </w:r>
      <w:r w:rsidR="00470ADC" w:rsidRPr="00D5464D">
        <w:rPr>
          <w:lang w:val="pt-BR"/>
        </w:rPr>
        <w:t xml:space="preserve">ção deve </w:t>
      </w:r>
      <w:r w:rsidR="00386419" w:rsidRPr="00D5464D">
        <w:rPr>
          <w:lang w:val="pt-BR"/>
        </w:rPr>
        <w:t>ser integral</w:t>
      </w:r>
      <w:r w:rsidR="00A1358C" w:rsidRPr="00D5464D">
        <w:rPr>
          <w:lang w:val="pt-BR"/>
        </w:rPr>
        <w:t>, isto é,</w:t>
      </w:r>
      <w:r w:rsidR="00470ADC" w:rsidRPr="00D5464D">
        <w:rPr>
          <w:lang w:val="pt-BR"/>
        </w:rPr>
        <w:t xml:space="preserve"> deve </w:t>
      </w:r>
      <w:r w:rsidR="00386419" w:rsidRPr="00D5464D">
        <w:rPr>
          <w:lang w:val="pt-BR"/>
        </w:rPr>
        <w:t>prevenir</w:t>
      </w:r>
      <w:r w:rsidR="002C330E" w:rsidRPr="00D5464D">
        <w:rPr>
          <w:lang w:val="pt-BR"/>
        </w:rPr>
        <w:t xml:space="preserve"> os </w:t>
      </w:r>
      <w:r w:rsidR="00470ADC" w:rsidRPr="00D5464D">
        <w:rPr>
          <w:lang w:val="pt-BR"/>
        </w:rPr>
        <w:t>fato</w:t>
      </w:r>
      <w:r w:rsidR="00386419" w:rsidRPr="00D5464D">
        <w:rPr>
          <w:lang w:val="pt-BR"/>
        </w:rPr>
        <w:t xml:space="preserve">res de </w:t>
      </w:r>
      <w:r w:rsidR="002C330E" w:rsidRPr="00D5464D">
        <w:rPr>
          <w:lang w:val="pt-BR"/>
        </w:rPr>
        <w:t>risco</w:t>
      </w:r>
      <w:r w:rsidR="00E045D9" w:rsidRPr="00D5464D">
        <w:rPr>
          <w:lang w:val="pt-BR"/>
        </w:rPr>
        <w:t xml:space="preserve"> e </w:t>
      </w:r>
      <w:r w:rsidRPr="00D5464D">
        <w:rPr>
          <w:lang w:val="pt-BR"/>
        </w:rPr>
        <w:t xml:space="preserve">também </w:t>
      </w:r>
      <w:r w:rsidR="00386419" w:rsidRPr="00D5464D">
        <w:rPr>
          <w:lang w:val="pt-BR"/>
        </w:rPr>
        <w:t>fortalecer</w:t>
      </w:r>
      <w:r w:rsidR="002C330E" w:rsidRPr="00D5464D">
        <w:rPr>
          <w:lang w:val="pt-BR"/>
        </w:rPr>
        <w:t xml:space="preserve"> as instituições</w:t>
      </w:r>
      <w:r w:rsidR="00386419" w:rsidRPr="00D5464D">
        <w:rPr>
          <w:lang w:val="pt-BR"/>
        </w:rPr>
        <w:t xml:space="preserve"> para que </w:t>
      </w:r>
      <w:r w:rsidR="00737270" w:rsidRPr="00D5464D">
        <w:rPr>
          <w:lang w:val="pt-BR"/>
        </w:rPr>
        <w:t>possam</w:t>
      </w:r>
      <w:r w:rsidR="00386419" w:rsidRPr="00D5464D">
        <w:rPr>
          <w:lang w:val="pt-BR"/>
        </w:rPr>
        <w:t xml:space="preserve"> proporcionar</w:t>
      </w:r>
      <w:r w:rsidR="00E045D9" w:rsidRPr="00D5464D">
        <w:rPr>
          <w:lang w:val="pt-BR"/>
        </w:rPr>
        <w:t xml:space="preserve"> uma </w:t>
      </w:r>
      <w:r w:rsidR="00386419" w:rsidRPr="00D5464D">
        <w:rPr>
          <w:lang w:val="pt-BR"/>
        </w:rPr>
        <w:t>res</w:t>
      </w:r>
      <w:r w:rsidR="002C330E" w:rsidRPr="00D5464D">
        <w:rPr>
          <w:lang w:val="pt-BR"/>
        </w:rPr>
        <w:t>posta</w:t>
      </w:r>
      <w:r w:rsidR="00386419" w:rsidRPr="00D5464D">
        <w:rPr>
          <w:lang w:val="pt-BR"/>
        </w:rPr>
        <w:t xml:space="preserve"> </w:t>
      </w:r>
      <w:r w:rsidR="00470ADC" w:rsidRPr="00D5464D">
        <w:rPr>
          <w:lang w:val="pt-BR"/>
        </w:rPr>
        <w:t>efetiv</w:t>
      </w:r>
      <w:r w:rsidR="00386419" w:rsidRPr="00D5464D">
        <w:rPr>
          <w:lang w:val="pt-BR"/>
        </w:rPr>
        <w:t>a</w:t>
      </w:r>
      <w:r w:rsidR="00470ADC" w:rsidRPr="00D5464D">
        <w:rPr>
          <w:lang w:val="pt-BR"/>
        </w:rPr>
        <w:t xml:space="preserve"> ao fenômeno da </w:t>
      </w:r>
      <w:r w:rsidR="000B376D" w:rsidRPr="00D5464D">
        <w:rPr>
          <w:lang w:val="pt-BR"/>
        </w:rPr>
        <w:t>escravidão</w:t>
      </w:r>
      <w:r w:rsidR="00386419" w:rsidRPr="00D5464D">
        <w:rPr>
          <w:lang w:val="pt-BR"/>
        </w:rPr>
        <w:t xml:space="preserve"> </w:t>
      </w:r>
      <w:r w:rsidR="00470ADC" w:rsidRPr="00D5464D">
        <w:rPr>
          <w:lang w:val="pt-BR"/>
        </w:rPr>
        <w:t>contemporânea</w:t>
      </w:r>
      <w:r w:rsidR="00386419" w:rsidRPr="00D5464D">
        <w:rPr>
          <w:lang w:val="pt-BR"/>
        </w:rPr>
        <w:t xml:space="preserve">. </w:t>
      </w:r>
      <w:r w:rsidR="00350187" w:rsidRPr="00D5464D">
        <w:rPr>
          <w:lang w:val="pt-BR"/>
        </w:rPr>
        <w:t xml:space="preserve">Além disso, </w:t>
      </w:r>
      <w:r w:rsidR="002C330E" w:rsidRPr="00D5464D">
        <w:rPr>
          <w:lang w:val="pt-BR"/>
        </w:rPr>
        <w:t xml:space="preserve">os </w:t>
      </w:r>
      <w:r w:rsidR="00386419" w:rsidRPr="00D5464D">
        <w:rPr>
          <w:lang w:val="pt-BR"/>
        </w:rPr>
        <w:t xml:space="preserve">Estados </w:t>
      </w:r>
      <w:r w:rsidR="00470ADC" w:rsidRPr="00D5464D">
        <w:rPr>
          <w:lang w:val="pt-BR"/>
        </w:rPr>
        <w:t>devem</w:t>
      </w:r>
      <w:r w:rsidR="00386419" w:rsidRPr="00D5464D">
        <w:rPr>
          <w:lang w:val="pt-BR"/>
        </w:rPr>
        <w:t xml:space="preserve"> </w:t>
      </w:r>
      <w:r w:rsidR="00470ADC" w:rsidRPr="00D5464D">
        <w:rPr>
          <w:lang w:val="pt-BR"/>
        </w:rPr>
        <w:t>adot</w:t>
      </w:r>
      <w:r w:rsidR="00386419" w:rsidRPr="00D5464D">
        <w:rPr>
          <w:lang w:val="pt-BR"/>
        </w:rPr>
        <w:t>ar medidas preventivas</w:t>
      </w:r>
      <w:r w:rsidR="00470ADC" w:rsidRPr="00D5464D">
        <w:rPr>
          <w:lang w:val="pt-BR"/>
        </w:rPr>
        <w:t xml:space="preserve"> em </w:t>
      </w:r>
      <w:r w:rsidR="00386419" w:rsidRPr="00D5464D">
        <w:rPr>
          <w:lang w:val="pt-BR"/>
        </w:rPr>
        <w:t>casos específicos</w:t>
      </w:r>
      <w:r w:rsidR="00E045D9" w:rsidRPr="00D5464D">
        <w:rPr>
          <w:lang w:val="pt-BR"/>
        </w:rPr>
        <w:t xml:space="preserve"> nos </w:t>
      </w:r>
      <w:r w:rsidRPr="00D5464D">
        <w:rPr>
          <w:lang w:val="pt-BR"/>
        </w:rPr>
        <w:t>quais</w:t>
      </w:r>
      <w:r w:rsidR="00470ADC" w:rsidRPr="00D5464D">
        <w:rPr>
          <w:lang w:val="pt-BR"/>
        </w:rPr>
        <w:t xml:space="preserve"> é </w:t>
      </w:r>
      <w:r w:rsidR="00386419" w:rsidRPr="00D5464D">
        <w:rPr>
          <w:lang w:val="pt-BR"/>
        </w:rPr>
        <w:t xml:space="preserve">evidente que determinados grupos de </w:t>
      </w:r>
      <w:r w:rsidR="002C330E" w:rsidRPr="00D5464D">
        <w:rPr>
          <w:lang w:val="pt-BR"/>
        </w:rPr>
        <w:t>pessoa</w:t>
      </w:r>
      <w:r w:rsidR="00386419" w:rsidRPr="00D5464D">
        <w:rPr>
          <w:lang w:val="pt-BR"/>
        </w:rPr>
        <w:t xml:space="preserve">s </w:t>
      </w:r>
      <w:r w:rsidR="00230C71" w:rsidRPr="00D5464D">
        <w:rPr>
          <w:lang w:val="pt-BR"/>
        </w:rPr>
        <w:t xml:space="preserve">podem </w:t>
      </w:r>
      <w:r w:rsidR="00386419" w:rsidRPr="00D5464D">
        <w:rPr>
          <w:lang w:val="pt-BR"/>
        </w:rPr>
        <w:t xml:space="preserve">ser </w:t>
      </w:r>
      <w:r w:rsidR="00E045D9" w:rsidRPr="00D5464D">
        <w:rPr>
          <w:lang w:val="pt-BR"/>
        </w:rPr>
        <w:t>vítima</w:t>
      </w:r>
      <w:r w:rsidR="00386419" w:rsidRPr="00D5464D">
        <w:rPr>
          <w:lang w:val="pt-BR"/>
        </w:rPr>
        <w:t xml:space="preserve">s de </w:t>
      </w:r>
      <w:r w:rsidRPr="00D5464D">
        <w:rPr>
          <w:lang w:val="pt-BR"/>
        </w:rPr>
        <w:t xml:space="preserve">tráfico ou </w:t>
      </w:r>
      <w:r w:rsidR="00386419" w:rsidRPr="00D5464D">
        <w:rPr>
          <w:lang w:val="pt-BR"/>
        </w:rPr>
        <w:t xml:space="preserve">de </w:t>
      </w:r>
      <w:r w:rsidR="000B376D" w:rsidRPr="00D5464D">
        <w:rPr>
          <w:lang w:val="pt-BR"/>
        </w:rPr>
        <w:t>escravidão</w:t>
      </w:r>
      <w:r w:rsidR="00386419" w:rsidRPr="00D5464D">
        <w:rPr>
          <w:lang w:val="pt-BR"/>
        </w:rPr>
        <w:t>.</w:t>
      </w:r>
      <w:r w:rsidR="00470ADC" w:rsidRPr="00D5464D">
        <w:rPr>
          <w:lang w:val="pt-BR"/>
        </w:rPr>
        <w:t xml:space="preserve"> </w:t>
      </w:r>
      <w:r w:rsidRPr="00D5464D">
        <w:rPr>
          <w:lang w:val="pt-BR"/>
        </w:rPr>
        <w:t>E</w:t>
      </w:r>
      <w:r w:rsidR="00470ADC" w:rsidRPr="00D5464D">
        <w:rPr>
          <w:lang w:val="pt-BR"/>
        </w:rPr>
        <w:t xml:space="preserve">ssa </w:t>
      </w:r>
      <w:r w:rsidR="002C330E" w:rsidRPr="00D5464D">
        <w:rPr>
          <w:lang w:val="pt-BR"/>
        </w:rPr>
        <w:t>obrigação</w:t>
      </w:r>
      <w:r w:rsidR="00470ADC" w:rsidRPr="00D5464D">
        <w:rPr>
          <w:lang w:val="pt-BR"/>
        </w:rPr>
        <w:t xml:space="preserve"> é </w:t>
      </w:r>
      <w:r w:rsidR="00386419" w:rsidRPr="00D5464D">
        <w:rPr>
          <w:lang w:val="pt-BR"/>
        </w:rPr>
        <w:t>re</w:t>
      </w:r>
      <w:r w:rsidR="00470ADC" w:rsidRPr="00D5464D">
        <w:rPr>
          <w:lang w:val="pt-BR"/>
        </w:rPr>
        <w:t xml:space="preserve">forçada em </w:t>
      </w:r>
      <w:r w:rsidRPr="00D5464D">
        <w:rPr>
          <w:lang w:val="pt-BR"/>
        </w:rPr>
        <w:t>virtude d</w:t>
      </w:r>
      <w:r w:rsidR="00470ADC" w:rsidRPr="00D5464D">
        <w:rPr>
          <w:lang w:val="pt-BR"/>
        </w:rPr>
        <w:t>o caráter</w:t>
      </w:r>
      <w:r w:rsidR="00386419" w:rsidRPr="00D5464D">
        <w:rPr>
          <w:lang w:val="pt-BR"/>
        </w:rPr>
        <w:t xml:space="preserve"> de norma imperativa de </w:t>
      </w:r>
      <w:r w:rsidR="00E765C2" w:rsidRPr="00D5464D">
        <w:rPr>
          <w:lang w:val="pt-BR"/>
        </w:rPr>
        <w:t>Direito Internacional</w:t>
      </w:r>
      <w:r w:rsidR="00470ADC" w:rsidRPr="00D5464D">
        <w:rPr>
          <w:lang w:val="pt-BR"/>
        </w:rPr>
        <w:t xml:space="preserve"> da </w:t>
      </w:r>
      <w:r w:rsidR="002C330E" w:rsidRPr="00D5464D">
        <w:rPr>
          <w:lang w:val="pt-BR"/>
        </w:rPr>
        <w:t>proibição</w:t>
      </w:r>
      <w:r w:rsidR="00470ADC" w:rsidRPr="00D5464D">
        <w:rPr>
          <w:lang w:val="pt-BR"/>
        </w:rPr>
        <w:t xml:space="preserve"> da </w:t>
      </w:r>
      <w:r w:rsidR="000B376D" w:rsidRPr="00D5464D">
        <w:rPr>
          <w:lang w:val="pt-BR"/>
        </w:rPr>
        <w:t>escravidão</w:t>
      </w:r>
      <w:r w:rsidR="00386419" w:rsidRPr="00D5464D">
        <w:rPr>
          <w:lang w:val="pt-BR"/>
        </w:rPr>
        <w:t xml:space="preserve"> (</w:t>
      </w:r>
      <w:r w:rsidR="00C85EA9" w:rsidRPr="00D5464D">
        <w:rPr>
          <w:lang w:val="pt-BR"/>
        </w:rPr>
        <w:t xml:space="preserve">par. </w:t>
      </w:r>
      <w:r w:rsidR="00D036E7" w:rsidRPr="00D5464D">
        <w:rPr>
          <w:lang w:val="pt-BR"/>
        </w:rPr>
        <w:t>249</w:t>
      </w:r>
      <w:r w:rsidR="00D036E7" w:rsidRPr="00D5464D">
        <w:rPr>
          <w:i/>
          <w:lang w:val="pt-BR"/>
        </w:rPr>
        <w:t xml:space="preserve"> supra</w:t>
      </w:r>
      <w:r w:rsidR="00D036E7" w:rsidRPr="00D5464D">
        <w:rPr>
          <w:lang w:val="pt-BR"/>
        </w:rPr>
        <w:t>)</w:t>
      </w:r>
      <w:r w:rsidR="00E045D9" w:rsidRPr="00D5464D">
        <w:rPr>
          <w:lang w:val="pt-BR"/>
        </w:rPr>
        <w:t xml:space="preserve"> e </w:t>
      </w:r>
      <w:r w:rsidR="00470ADC" w:rsidRPr="00D5464D">
        <w:rPr>
          <w:lang w:val="pt-BR"/>
        </w:rPr>
        <w:t xml:space="preserve">da </w:t>
      </w:r>
      <w:r w:rsidR="002C330E" w:rsidRPr="00D5464D">
        <w:rPr>
          <w:lang w:val="pt-BR"/>
        </w:rPr>
        <w:t xml:space="preserve">gravidade </w:t>
      </w:r>
      <w:r w:rsidR="00386419" w:rsidRPr="00D5464D">
        <w:rPr>
          <w:lang w:val="pt-BR"/>
        </w:rPr>
        <w:t xml:space="preserve">e </w:t>
      </w:r>
      <w:r w:rsidR="00E045D9" w:rsidRPr="00D5464D">
        <w:rPr>
          <w:lang w:val="pt-BR"/>
        </w:rPr>
        <w:t>intens</w:t>
      </w:r>
      <w:r w:rsidR="00EB1CE9" w:rsidRPr="00D5464D">
        <w:rPr>
          <w:lang w:val="pt-BR"/>
        </w:rPr>
        <w:t>idade</w:t>
      </w:r>
      <w:r w:rsidR="002C330E" w:rsidRPr="00D5464D">
        <w:rPr>
          <w:lang w:val="pt-BR"/>
        </w:rPr>
        <w:t xml:space="preserve"> </w:t>
      </w:r>
      <w:r w:rsidR="00470ADC" w:rsidRPr="00D5464D">
        <w:rPr>
          <w:lang w:val="pt-BR"/>
        </w:rPr>
        <w:t xml:space="preserve">da </w:t>
      </w:r>
      <w:r w:rsidR="00386419" w:rsidRPr="00D5464D">
        <w:rPr>
          <w:lang w:val="pt-BR"/>
        </w:rPr>
        <w:t>viola</w:t>
      </w:r>
      <w:r w:rsidR="00470ADC" w:rsidRPr="00D5464D">
        <w:rPr>
          <w:lang w:val="pt-BR"/>
        </w:rPr>
        <w:t>ção</w:t>
      </w:r>
      <w:r w:rsidR="00386419" w:rsidRPr="00D5464D">
        <w:rPr>
          <w:lang w:val="pt-BR"/>
        </w:rPr>
        <w:t xml:space="preserve"> de </w:t>
      </w:r>
      <w:r w:rsidR="00470ADC" w:rsidRPr="00D5464D">
        <w:rPr>
          <w:lang w:val="pt-BR"/>
        </w:rPr>
        <w:t>direito</w:t>
      </w:r>
      <w:r w:rsidR="00386419" w:rsidRPr="00D5464D">
        <w:rPr>
          <w:lang w:val="pt-BR"/>
        </w:rPr>
        <w:t xml:space="preserve">s </w:t>
      </w:r>
      <w:r w:rsidRPr="00D5464D">
        <w:rPr>
          <w:lang w:val="pt-BR"/>
        </w:rPr>
        <w:t xml:space="preserve">ocasionada </w:t>
      </w:r>
      <w:r w:rsidR="00386419" w:rsidRPr="00D5464D">
        <w:rPr>
          <w:lang w:val="pt-BR"/>
        </w:rPr>
        <w:t>por</w:t>
      </w:r>
      <w:r w:rsidR="00470ADC" w:rsidRPr="00D5464D">
        <w:rPr>
          <w:lang w:val="pt-BR"/>
        </w:rPr>
        <w:t xml:space="preserve"> essa </w:t>
      </w:r>
      <w:r w:rsidR="002C330E" w:rsidRPr="00D5464D">
        <w:rPr>
          <w:lang w:val="pt-BR"/>
        </w:rPr>
        <w:t>prática</w:t>
      </w:r>
      <w:r w:rsidR="00386419" w:rsidRPr="00D5464D">
        <w:rPr>
          <w:lang w:val="pt-BR"/>
        </w:rPr>
        <w:t xml:space="preserve">. </w:t>
      </w:r>
    </w:p>
    <w:p w14:paraId="5A377970" w14:textId="3C122922" w:rsidR="00386419" w:rsidRPr="00D5464D" w:rsidRDefault="00FB37F8" w:rsidP="00386419">
      <w:pPr>
        <w:pStyle w:val="Prrafodelista"/>
        <w:rPr>
          <w:lang w:val="pt-BR"/>
        </w:rPr>
      </w:pPr>
      <w:r w:rsidRPr="00D5464D">
        <w:rPr>
          <w:lang w:val="pt-BR"/>
        </w:rPr>
        <w:t xml:space="preserve"> </w:t>
      </w:r>
    </w:p>
    <w:p w14:paraId="1D3AA5C4" w14:textId="21970490" w:rsidR="00207197" w:rsidRPr="00D5464D" w:rsidRDefault="00207197" w:rsidP="00F37DC4">
      <w:pPr>
        <w:pStyle w:val="Prrafodelista"/>
        <w:numPr>
          <w:ilvl w:val="0"/>
          <w:numId w:val="1"/>
        </w:numPr>
        <w:contextualSpacing w:val="0"/>
        <w:rPr>
          <w:lang w:val="pt-BR"/>
        </w:rPr>
      </w:pPr>
      <w:r w:rsidRPr="00D5464D">
        <w:rPr>
          <w:lang w:val="pt-BR"/>
        </w:rPr>
        <w:t xml:space="preserve">Corresponde </w:t>
      </w:r>
      <w:r w:rsidR="00470ADC" w:rsidRPr="00D5464D">
        <w:rPr>
          <w:lang w:val="pt-BR"/>
        </w:rPr>
        <w:t xml:space="preserve">agora ao </w:t>
      </w:r>
      <w:r w:rsidRPr="00D5464D">
        <w:rPr>
          <w:lang w:val="pt-BR"/>
        </w:rPr>
        <w:t xml:space="preserve">Tribunal </w:t>
      </w:r>
      <w:r w:rsidR="00470ADC" w:rsidRPr="00D5464D">
        <w:rPr>
          <w:lang w:val="pt-BR"/>
        </w:rPr>
        <w:t>analisar</w:t>
      </w:r>
      <w:r w:rsidR="002C330E" w:rsidRPr="00D5464D">
        <w:rPr>
          <w:lang w:val="pt-BR"/>
        </w:rPr>
        <w:t xml:space="preserve"> se </w:t>
      </w:r>
      <w:r w:rsidR="00470ADC" w:rsidRPr="00D5464D">
        <w:rPr>
          <w:lang w:val="pt-BR"/>
        </w:rPr>
        <w:t xml:space="preserve">o </w:t>
      </w:r>
      <w:r w:rsidRPr="00D5464D">
        <w:rPr>
          <w:lang w:val="pt-BR"/>
        </w:rPr>
        <w:t>Estado prev</w:t>
      </w:r>
      <w:r w:rsidR="00FB37F8" w:rsidRPr="00D5464D">
        <w:rPr>
          <w:lang w:val="pt-BR"/>
        </w:rPr>
        <w:t>eniu</w:t>
      </w:r>
      <w:r w:rsidRPr="00D5464D">
        <w:rPr>
          <w:lang w:val="pt-BR"/>
        </w:rPr>
        <w:t xml:space="preserve"> </w:t>
      </w:r>
      <w:r w:rsidR="00470ADC" w:rsidRPr="00D5464D">
        <w:rPr>
          <w:lang w:val="pt-BR"/>
        </w:rPr>
        <w:t>adequad</w:t>
      </w:r>
      <w:r w:rsidRPr="00D5464D">
        <w:rPr>
          <w:lang w:val="pt-BR"/>
        </w:rPr>
        <w:t>amente</w:t>
      </w:r>
      <w:r w:rsidR="002C330E" w:rsidRPr="00D5464D">
        <w:rPr>
          <w:lang w:val="pt-BR"/>
        </w:rPr>
        <w:t xml:space="preserve"> a </w:t>
      </w:r>
      <w:r w:rsidRPr="00D5464D">
        <w:rPr>
          <w:lang w:val="pt-BR"/>
        </w:rPr>
        <w:t>situa</w:t>
      </w:r>
      <w:r w:rsidR="00470ADC" w:rsidRPr="00D5464D">
        <w:rPr>
          <w:lang w:val="pt-BR"/>
        </w:rPr>
        <w:t>ção</w:t>
      </w:r>
      <w:r w:rsidRPr="00D5464D">
        <w:rPr>
          <w:lang w:val="pt-BR"/>
        </w:rPr>
        <w:t xml:space="preserve"> de </w:t>
      </w:r>
      <w:r w:rsidR="000B376D" w:rsidRPr="00D5464D">
        <w:rPr>
          <w:lang w:val="pt-BR"/>
        </w:rPr>
        <w:t>escravidão</w:t>
      </w:r>
      <w:r w:rsidRPr="00D5464D">
        <w:rPr>
          <w:lang w:val="pt-BR"/>
        </w:rPr>
        <w:t xml:space="preserve"> verificada</w:t>
      </w:r>
      <w:r w:rsidR="00E045D9" w:rsidRPr="00D5464D">
        <w:rPr>
          <w:lang w:val="pt-BR"/>
        </w:rPr>
        <w:t xml:space="preserve"> no </w:t>
      </w:r>
      <w:r w:rsidRPr="00D5464D">
        <w:rPr>
          <w:lang w:val="pt-BR"/>
        </w:rPr>
        <w:t>presente caso</w:t>
      </w:r>
      <w:r w:rsidR="00230C71" w:rsidRPr="00D5464D">
        <w:rPr>
          <w:lang w:val="pt-BR"/>
        </w:rPr>
        <w:t xml:space="preserve">. Isto é, </w:t>
      </w:r>
      <w:r w:rsidR="002C330E" w:rsidRPr="00D5464D">
        <w:rPr>
          <w:lang w:val="pt-BR"/>
        </w:rPr>
        <w:t xml:space="preserve">se </w:t>
      </w:r>
      <w:r w:rsidR="00350187" w:rsidRPr="00D5464D">
        <w:rPr>
          <w:lang w:val="pt-BR"/>
        </w:rPr>
        <w:t>cumpriu</w:t>
      </w:r>
      <w:r w:rsidR="00470ADC" w:rsidRPr="00D5464D">
        <w:rPr>
          <w:lang w:val="pt-BR"/>
        </w:rPr>
        <w:t xml:space="preserve"> o dever</w:t>
      </w:r>
      <w:r w:rsidRPr="00D5464D">
        <w:rPr>
          <w:lang w:val="pt-BR"/>
        </w:rPr>
        <w:t xml:space="preserve"> de </w:t>
      </w:r>
      <w:r w:rsidR="002C330E" w:rsidRPr="00D5464D">
        <w:rPr>
          <w:lang w:val="pt-BR"/>
        </w:rPr>
        <w:t xml:space="preserve">garantia </w:t>
      </w:r>
      <w:r w:rsidR="00470ADC" w:rsidRPr="00D5464D">
        <w:rPr>
          <w:lang w:val="pt-BR"/>
        </w:rPr>
        <w:t>do artigo</w:t>
      </w:r>
      <w:r w:rsidRPr="00D5464D">
        <w:rPr>
          <w:lang w:val="pt-BR"/>
        </w:rPr>
        <w:t xml:space="preserve"> 6</w:t>
      </w:r>
      <w:r w:rsidR="00470ADC" w:rsidRPr="00D5464D">
        <w:rPr>
          <w:lang w:val="pt-BR"/>
        </w:rPr>
        <w:t xml:space="preserve"> da </w:t>
      </w:r>
      <w:r w:rsidRPr="00D5464D">
        <w:rPr>
          <w:lang w:val="pt-BR"/>
        </w:rPr>
        <w:t>Conven</w:t>
      </w:r>
      <w:r w:rsidR="00470ADC" w:rsidRPr="00D5464D">
        <w:rPr>
          <w:lang w:val="pt-BR"/>
        </w:rPr>
        <w:t>ção</w:t>
      </w:r>
      <w:r w:rsidRPr="00D5464D">
        <w:rPr>
          <w:lang w:val="pt-BR"/>
        </w:rPr>
        <w:t xml:space="preserve"> Americana, </w:t>
      </w:r>
      <w:r w:rsidR="00FB37F8" w:rsidRPr="00D5464D">
        <w:rPr>
          <w:lang w:val="pt-BR"/>
        </w:rPr>
        <w:t xml:space="preserve">em conformidade com </w:t>
      </w:r>
      <w:r w:rsidR="00470ADC" w:rsidRPr="00D5464D">
        <w:rPr>
          <w:lang w:val="pt-BR"/>
        </w:rPr>
        <w:t xml:space="preserve">o </w:t>
      </w:r>
      <w:bookmarkEnd w:id="404"/>
      <w:bookmarkEnd w:id="405"/>
      <w:r w:rsidR="00470ADC" w:rsidRPr="00D5464D">
        <w:rPr>
          <w:lang w:val="pt-BR"/>
        </w:rPr>
        <w:t>artigo</w:t>
      </w:r>
      <w:r w:rsidRPr="00D5464D">
        <w:rPr>
          <w:lang w:val="pt-BR"/>
        </w:rPr>
        <w:t xml:space="preserve"> 1.1</w:t>
      </w:r>
      <w:r w:rsidR="00470ADC" w:rsidRPr="00D5464D">
        <w:rPr>
          <w:lang w:val="pt-BR"/>
        </w:rPr>
        <w:t xml:space="preserve"> da </w:t>
      </w:r>
      <w:r w:rsidR="002C330E" w:rsidRPr="00D5464D">
        <w:rPr>
          <w:lang w:val="pt-BR"/>
        </w:rPr>
        <w:t>mesm</w:t>
      </w:r>
      <w:r w:rsidRPr="00D5464D">
        <w:rPr>
          <w:lang w:val="pt-BR"/>
        </w:rPr>
        <w:t>a</w:t>
      </w:r>
      <w:r w:rsidR="00A1358C" w:rsidRPr="00D5464D">
        <w:rPr>
          <w:lang w:val="pt-BR"/>
        </w:rPr>
        <w:t xml:space="preserve">. A </w:t>
      </w:r>
      <w:r w:rsidRPr="00D5464D">
        <w:rPr>
          <w:lang w:val="pt-BR"/>
        </w:rPr>
        <w:t>determina</w:t>
      </w:r>
      <w:r w:rsidR="00470ADC" w:rsidRPr="00D5464D">
        <w:rPr>
          <w:lang w:val="pt-BR"/>
        </w:rPr>
        <w:t>ção</w:t>
      </w:r>
      <w:r w:rsidRPr="00D5464D">
        <w:rPr>
          <w:lang w:val="pt-BR"/>
        </w:rPr>
        <w:t xml:space="preserve"> sobre</w:t>
      </w:r>
      <w:r w:rsidR="00470ADC" w:rsidRPr="00D5464D">
        <w:rPr>
          <w:lang w:val="pt-BR"/>
        </w:rPr>
        <w:t xml:space="preserve"> o direito</w:t>
      </w:r>
      <w:r w:rsidRPr="00D5464D">
        <w:rPr>
          <w:lang w:val="pt-BR"/>
        </w:rPr>
        <w:t xml:space="preserve"> de </w:t>
      </w:r>
      <w:r w:rsidR="00470ADC" w:rsidRPr="00D5464D">
        <w:rPr>
          <w:lang w:val="pt-BR"/>
        </w:rPr>
        <w:t xml:space="preserve">acesso à </w:t>
      </w:r>
      <w:r w:rsidR="002C330E" w:rsidRPr="00D5464D">
        <w:rPr>
          <w:lang w:val="pt-BR"/>
        </w:rPr>
        <w:t>justiça</w:t>
      </w:r>
      <w:r w:rsidR="00470ADC" w:rsidRPr="00D5464D">
        <w:rPr>
          <w:lang w:val="pt-BR"/>
        </w:rPr>
        <w:t xml:space="preserve"> das </w:t>
      </w:r>
      <w:r w:rsidR="00E045D9" w:rsidRPr="00D5464D">
        <w:rPr>
          <w:lang w:val="pt-BR"/>
        </w:rPr>
        <w:t>vítima</w:t>
      </w:r>
      <w:r w:rsidRPr="00D5464D">
        <w:rPr>
          <w:lang w:val="pt-BR"/>
        </w:rPr>
        <w:t xml:space="preserve">s será </w:t>
      </w:r>
      <w:r w:rsidR="00FB37F8" w:rsidRPr="00D5464D">
        <w:rPr>
          <w:lang w:val="pt-BR"/>
        </w:rPr>
        <w:t>feita</w:t>
      </w:r>
      <w:r w:rsidR="00E045D9" w:rsidRPr="00D5464D">
        <w:rPr>
          <w:lang w:val="pt-BR"/>
        </w:rPr>
        <w:t xml:space="preserve"> no </w:t>
      </w:r>
      <w:r w:rsidRPr="00D5464D">
        <w:rPr>
          <w:lang w:val="pt-BR"/>
        </w:rPr>
        <w:t>capítulo relativo</w:t>
      </w:r>
      <w:r w:rsidR="00E045D9" w:rsidRPr="00D5464D">
        <w:rPr>
          <w:lang w:val="pt-BR"/>
        </w:rPr>
        <w:t xml:space="preserve"> aos </w:t>
      </w:r>
      <w:bookmarkStart w:id="406" w:name="_Ref118170518"/>
      <w:r w:rsidR="00470ADC" w:rsidRPr="00D5464D">
        <w:rPr>
          <w:lang w:val="pt-BR"/>
        </w:rPr>
        <w:t>artigo</w:t>
      </w:r>
      <w:r w:rsidRPr="00D5464D">
        <w:rPr>
          <w:lang w:val="pt-BR"/>
        </w:rPr>
        <w:t>s 8.1</w:t>
      </w:r>
      <w:r w:rsidR="00E045D9" w:rsidRPr="00D5464D">
        <w:rPr>
          <w:lang w:val="pt-BR"/>
        </w:rPr>
        <w:t xml:space="preserve"> e </w:t>
      </w:r>
      <w:r w:rsidRPr="00D5464D">
        <w:rPr>
          <w:lang w:val="pt-BR"/>
        </w:rPr>
        <w:t>25.1</w:t>
      </w:r>
      <w:r w:rsidR="00470ADC" w:rsidRPr="00D5464D">
        <w:rPr>
          <w:lang w:val="pt-BR"/>
        </w:rPr>
        <w:t xml:space="preserve"> da </w:t>
      </w:r>
      <w:r w:rsidRPr="00D5464D">
        <w:rPr>
          <w:lang w:val="pt-BR"/>
        </w:rPr>
        <w:t>Conven</w:t>
      </w:r>
      <w:r w:rsidR="00470ADC" w:rsidRPr="00D5464D">
        <w:rPr>
          <w:lang w:val="pt-BR"/>
        </w:rPr>
        <w:t>ção</w:t>
      </w:r>
      <w:r w:rsidRPr="00D5464D">
        <w:rPr>
          <w:lang w:val="pt-BR"/>
        </w:rPr>
        <w:t xml:space="preserve"> Americana,</w:t>
      </w:r>
      <w:r w:rsidR="00470ADC" w:rsidRPr="00D5464D">
        <w:rPr>
          <w:lang w:val="pt-BR"/>
        </w:rPr>
        <w:t xml:space="preserve"> </w:t>
      </w:r>
      <w:r w:rsidR="00A1358C" w:rsidRPr="00D5464D">
        <w:rPr>
          <w:lang w:val="pt-BR"/>
        </w:rPr>
        <w:t>em relação aos artigos</w:t>
      </w:r>
      <w:r w:rsidRPr="00D5464D">
        <w:rPr>
          <w:lang w:val="pt-BR"/>
        </w:rPr>
        <w:t xml:space="preserve"> 1.1</w:t>
      </w:r>
      <w:r w:rsidR="00E045D9" w:rsidRPr="00D5464D">
        <w:rPr>
          <w:lang w:val="pt-BR"/>
        </w:rPr>
        <w:t xml:space="preserve"> e </w:t>
      </w:r>
      <w:r w:rsidRPr="00D5464D">
        <w:rPr>
          <w:lang w:val="pt-BR"/>
        </w:rPr>
        <w:t>2</w:t>
      </w:r>
      <w:r w:rsidR="00470ADC" w:rsidRPr="00D5464D">
        <w:rPr>
          <w:lang w:val="pt-BR"/>
        </w:rPr>
        <w:t xml:space="preserve"> da </w:t>
      </w:r>
      <w:r w:rsidR="002C330E" w:rsidRPr="00D5464D">
        <w:rPr>
          <w:lang w:val="pt-BR"/>
        </w:rPr>
        <w:t>mesm</w:t>
      </w:r>
      <w:r w:rsidRPr="00D5464D">
        <w:rPr>
          <w:lang w:val="pt-BR"/>
        </w:rPr>
        <w:t>a.</w:t>
      </w:r>
      <w:bookmarkStart w:id="407" w:name="_Ref244172477"/>
      <w:bookmarkEnd w:id="406"/>
    </w:p>
    <w:p w14:paraId="6DF60F24" w14:textId="77777777" w:rsidR="00207197" w:rsidRPr="00D5464D" w:rsidRDefault="00207197" w:rsidP="00140440">
      <w:pPr>
        <w:pStyle w:val="Prrafodelista"/>
        <w:ind w:left="0"/>
        <w:rPr>
          <w:lang w:val="pt-BR"/>
        </w:rPr>
      </w:pPr>
    </w:p>
    <w:p w14:paraId="13AFC819" w14:textId="698792AA" w:rsidR="00207197" w:rsidRPr="00D5464D" w:rsidRDefault="00F9204B" w:rsidP="005D2CE2">
      <w:pPr>
        <w:pStyle w:val="Ttulo3"/>
        <w:rPr>
          <w:lang w:val="pt-BR"/>
        </w:rPr>
      </w:pPr>
      <w:bookmarkStart w:id="408" w:name="_Toc468433929"/>
      <w:r w:rsidRPr="00D5464D">
        <w:rPr>
          <w:lang w:val="pt-BR"/>
        </w:rPr>
        <w:t>B.</w:t>
      </w:r>
      <w:r w:rsidR="001E1449" w:rsidRPr="00D5464D">
        <w:rPr>
          <w:lang w:val="pt-BR"/>
        </w:rPr>
        <w:t>10</w:t>
      </w:r>
      <w:r w:rsidR="00CB7E29" w:rsidRPr="00D5464D">
        <w:rPr>
          <w:lang w:val="pt-BR"/>
        </w:rPr>
        <w:t>.</w:t>
      </w:r>
      <w:r w:rsidR="00207197" w:rsidRPr="00D5464D">
        <w:rPr>
          <w:lang w:val="pt-BR"/>
        </w:rPr>
        <w:t xml:space="preserve"> </w:t>
      </w:r>
      <w:r w:rsidR="00470ADC" w:rsidRPr="00D5464D">
        <w:rPr>
          <w:lang w:val="pt-BR"/>
        </w:rPr>
        <w:t>Dever</w:t>
      </w:r>
      <w:r w:rsidR="00207197" w:rsidRPr="00D5464D">
        <w:rPr>
          <w:lang w:val="pt-BR"/>
        </w:rPr>
        <w:t xml:space="preserve"> de preven</w:t>
      </w:r>
      <w:r w:rsidR="00470ADC" w:rsidRPr="00D5464D">
        <w:rPr>
          <w:lang w:val="pt-BR"/>
        </w:rPr>
        <w:t>ção</w:t>
      </w:r>
      <w:r w:rsidR="00E045D9" w:rsidRPr="00D5464D">
        <w:rPr>
          <w:lang w:val="pt-BR"/>
        </w:rPr>
        <w:t xml:space="preserve"> e</w:t>
      </w:r>
      <w:r w:rsidR="00A1358C" w:rsidRPr="00D5464D">
        <w:rPr>
          <w:lang w:val="pt-BR"/>
        </w:rPr>
        <w:t xml:space="preserve"> não discriminação</w:t>
      </w:r>
      <w:bookmarkEnd w:id="408"/>
    </w:p>
    <w:bookmarkEnd w:id="407"/>
    <w:p w14:paraId="6855930B" w14:textId="77777777" w:rsidR="00FB37F8" w:rsidRPr="00D5464D" w:rsidRDefault="00FB37F8" w:rsidP="00FB37F8">
      <w:pPr>
        <w:pStyle w:val="Prrafodelista"/>
        <w:ind w:left="0"/>
        <w:contextualSpacing w:val="0"/>
        <w:rPr>
          <w:b/>
          <w:lang w:val="pt-BR"/>
        </w:rPr>
      </w:pPr>
    </w:p>
    <w:p w14:paraId="57E40CE4" w14:textId="1CAD4FF3" w:rsidR="00207197" w:rsidRPr="00D5464D" w:rsidRDefault="00470ADC" w:rsidP="00F37DC4">
      <w:pPr>
        <w:pStyle w:val="Prrafodelista"/>
        <w:numPr>
          <w:ilvl w:val="0"/>
          <w:numId w:val="1"/>
        </w:numPr>
        <w:contextualSpacing w:val="0"/>
        <w:rPr>
          <w:b/>
          <w:lang w:val="pt-BR"/>
        </w:rPr>
      </w:pPr>
      <w:r w:rsidRPr="00D5464D">
        <w:rPr>
          <w:lang w:val="pt-BR"/>
        </w:rPr>
        <w:t xml:space="preserve">A </w:t>
      </w:r>
      <w:r w:rsidR="00207197" w:rsidRPr="00D5464D">
        <w:rPr>
          <w:lang w:val="pt-BR"/>
        </w:rPr>
        <w:t xml:space="preserve">Corte </w:t>
      </w:r>
      <w:r w:rsidR="002C330E" w:rsidRPr="00D5464D">
        <w:rPr>
          <w:lang w:val="pt-BR"/>
        </w:rPr>
        <w:t>estabeleceu</w:t>
      </w:r>
      <w:r w:rsidR="00207197" w:rsidRPr="00D5464D">
        <w:rPr>
          <w:lang w:val="pt-BR"/>
        </w:rPr>
        <w:t xml:space="preserve"> que</w:t>
      </w:r>
      <w:r w:rsidRPr="00D5464D">
        <w:rPr>
          <w:lang w:val="pt-BR"/>
        </w:rPr>
        <w:t xml:space="preserve"> o dever</w:t>
      </w:r>
      <w:r w:rsidR="00207197" w:rsidRPr="00D5464D">
        <w:rPr>
          <w:lang w:val="pt-BR"/>
        </w:rPr>
        <w:t xml:space="preserve"> de preven</w:t>
      </w:r>
      <w:r w:rsidRPr="00D5464D">
        <w:rPr>
          <w:lang w:val="pt-BR"/>
        </w:rPr>
        <w:t>ção</w:t>
      </w:r>
      <w:r w:rsidR="00207197" w:rsidRPr="00D5464D">
        <w:rPr>
          <w:lang w:val="pt-BR"/>
        </w:rPr>
        <w:t xml:space="preserve"> </w:t>
      </w:r>
      <w:r w:rsidR="00350187" w:rsidRPr="00D5464D">
        <w:rPr>
          <w:lang w:val="pt-BR"/>
        </w:rPr>
        <w:t xml:space="preserve">inclui </w:t>
      </w:r>
      <w:r w:rsidR="00207197" w:rsidRPr="00D5464D">
        <w:rPr>
          <w:lang w:val="pt-BR"/>
        </w:rPr>
        <w:t xml:space="preserve">todas </w:t>
      </w:r>
      <w:r w:rsidRPr="00D5464D">
        <w:rPr>
          <w:lang w:val="pt-BR"/>
        </w:rPr>
        <w:t>as</w:t>
      </w:r>
      <w:r w:rsidR="00207197" w:rsidRPr="00D5464D">
        <w:rPr>
          <w:lang w:val="pt-BR"/>
        </w:rPr>
        <w:t xml:space="preserve"> medidas de </w:t>
      </w:r>
      <w:r w:rsidRPr="00D5464D">
        <w:rPr>
          <w:lang w:val="pt-BR"/>
        </w:rPr>
        <w:t>caráter</w:t>
      </w:r>
      <w:r w:rsidR="00207197" w:rsidRPr="00D5464D">
        <w:rPr>
          <w:lang w:val="pt-BR"/>
        </w:rPr>
        <w:t xml:space="preserve"> jurídico, político, administrativo</w:t>
      </w:r>
      <w:r w:rsidR="00E045D9" w:rsidRPr="00D5464D">
        <w:rPr>
          <w:lang w:val="pt-BR"/>
        </w:rPr>
        <w:t xml:space="preserve"> e </w:t>
      </w:r>
      <w:r w:rsidR="00207197" w:rsidRPr="00D5464D">
        <w:rPr>
          <w:lang w:val="pt-BR"/>
        </w:rPr>
        <w:t xml:space="preserve">cultural que </w:t>
      </w:r>
      <w:r w:rsidR="002C330E" w:rsidRPr="00D5464D">
        <w:rPr>
          <w:lang w:val="pt-BR"/>
        </w:rPr>
        <w:t xml:space="preserve">promovam a </w:t>
      </w:r>
      <w:r w:rsidR="00207197" w:rsidRPr="00D5464D">
        <w:rPr>
          <w:lang w:val="pt-BR"/>
        </w:rPr>
        <w:t>salvaguarda</w:t>
      </w:r>
      <w:r w:rsidRPr="00D5464D">
        <w:rPr>
          <w:lang w:val="pt-BR"/>
        </w:rPr>
        <w:t xml:space="preserve"> dos direito</w:t>
      </w:r>
      <w:r w:rsidR="00207197" w:rsidRPr="00D5464D">
        <w:rPr>
          <w:lang w:val="pt-BR"/>
        </w:rPr>
        <w:t>s humanos</w:t>
      </w:r>
      <w:r w:rsidR="00E045D9" w:rsidRPr="00D5464D">
        <w:rPr>
          <w:lang w:val="pt-BR"/>
        </w:rPr>
        <w:t xml:space="preserve"> e </w:t>
      </w:r>
      <w:r w:rsidR="00207197" w:rsidRPr="00D5464D">
        <w:rPr>
          <w:lang w:val="pt-BR"/>
        </w:rPr>
        <w:t xml:space="preserve">que </w:t>
      </w:r>
      <w:r w:rsidR="00C91CB1" w:rsidRPr="00D5464D">
        <w:rPr>
          <w:lang w:val="pt-BR"/>
        </w:rPr>
        <w:t>assegurem</w:t>
      </w:r>
      <w:r w:rsidR="00207197" w:rsidRPr="00D5464D">
        <w:rPr>
          <w:lang w:val="pt-BR"/>
        </w:rPr>
        <w:t xml:space="preserve"> que</w:t>
      </w:r>
      <w:r w:rsidR="002C330E" w:rsidRPr="00D5464D">
        <w:rPr>
          <w:lang w:val="pt-BR"/>
        </w:rPr>
        <w:t xml:space="preserve"> </w:t>
      </w:r>
      <w:r w:rsidRPr="00D5464D">
        <w:rPr>
          <w:lang w:val="pt-BR"/>
        </w:rPr>
        <w:t>eventuais</w:t>
      </w:r>
      <w:r w:rsidR="00207197" w:rsidRPr="00D5464D">
        <w:rPr>
          <w:lang w:val="pt-BR"/>
        </w:rPr>
        <w:t xml:space="preserve"> viola</w:t>
      </w:r>
      <w:r w:rsidRPr="00D5464D">
        <w:rPr>
          <w:lang w:val="pt-BR"/>
        </w:rPr>
        <w:t>ções</w:t>
      </w:r>
      <w:r w:rsidR="005F2023" w:rsidRPr="00D5464D">
        <w:rPr>
          <w:lang w:val="pt-BR"/>
        </w:rPr>
        <w:t xml:space="preserve"> a esses direitos</w:t>
      </w:r>
      <w:r w:rsidR="00E045D9" w:rsidRPr="00D5464D">
        <w:rPr>
          <w:lang w:val="pt-BR"/>
        </w:rPr>
        <w:t xml:space="preserve"> </w:t>
      </w:r>
      <w:r w:rsidR="002C330E" w:rsidRPr="00D5464D">
        <w:rPr>
          <w:lang w:val="pt-BR"/>
        </w:rPr>
        <w:t xml:space="preserve">sejam </w:t>
      </w:r>
      <w:r w:rsidRPr="00D5464D">
        <w:rPr>
          <w:lang w:val="pt-BR"/>
        </w:rPr>
        <w:t>efetiv</w:t>
      </w:r>
      <w:r w:rsidR="00207197" w:rsidRPr="00D5464D">
        <w:rPr>
          <w:lang w:val="pt-BR"/>
        </w:rPr>
        <w:t>amente consideradas</w:t>
      </w:r>
      <w:r w:rsidR="00E045D9" w:rsidRPr="00D5464D">
        <w:rPr>
          <w:lang w:val="pt-BR"/>
        </w:rPr>
        <w:t xml:space="preserve"> e </w:t>
      </w:r>
      <w:r w:rsidR="00207197" w:rsidRPr="00D5464D">
        <w:rPr>
          <w:lang w:val="pt-BR"/>
        </w:rPr>
        <w:t>tratadas como</w:t>
      </w:r>
      <w:r w:rsidR="00E045D9" w:rsidRPr="00D5464D">
        <w:rPr>
          <w:lang w:val="pt-BR"/>
        </w:rPr>
        <w:t xml:space="preserve"> um </w:t>
      </w:r>
      <w:r w:rsidR="002C330E" w:rsidRPr="00D5464D">
        <w:rPr>
          <w:lang w:val="pt-BR"/>
        </w:rPr>
        <w:t xml:space="preserve">fato </w:t>
      </w:r>
      <w:r w:rsidR="00207197" w:rsidRPr="00D5464D">
        <w:rPr>
          <w:lang w:val="pt-BR"/>
        </w:rPr>
        <w:t xml:space="preserve">ilícito </w:t>
      </w:r>
      <w:r w:rsidR="00F95A72" w:rsidRPr="00D5464D">
        <w:rPr>
          <w:lang w:val="pt-BR"/>
        </w:rPr>
        <w:t>o qual</w:t>
      </w:r>
      <w:r w:rsidR="00207197" w:rsidRPr="00D5464D">
        <w:rPr>
          <w:lang w:val="pt-BR"/>
        </w:rPr>
        <w:t>, como tal,</w:t>
      </w:r>
      <w:r w:rsidRPr="00D5464D">
        <w:rPr>
          <w:lang w:val="pt-BR"/>
        </w:rPr>
        <w:t xml:space="preserve"> é </w:t>
      </w:r>
      <w:r w:rsidR="00E045D9" w:rsidRPr="00D5464D">
        <w:rPr>
          <w:lang w:val="pt-BR"/>
        </w:rPr>
        <w:t>suscetível</w:t>
      </w:r>
      <w:r w:rsidR="00207197" w:rsidRPr="00D5464D">
        <w:rPr>
          <w:lang w:val="pt-BR"/>
        </w:rPr>
        <w:t xml:space="preserve"> de </w:t>
      </w:r>
      <w:r w:rsidR="00F95A72" w:rsidRPr="00D5464D">
        <w:rPr>
          <w:lang w:val="pt-BR"/>
        </w:rPr>
        <w:t xml:space="preserve">gerar punições </w:t>
      </w:r>
      <w:r w:rsidR="00207197" w:rsidRPr="00D5464D">
        <w:rPr>
          <w:lang w:val="pt-BR"/>
        </w:rPr>
        <w:t xml:space="preserve">para </w:t>
      </w:r>
      <w:r w:rsidR="00F21A87" w:rsidRPr="00D5464D">
        <w:rPr>
          <w:lang w:val="pt-BR"/>
        </w:rPr>
        <w:t>quem o</w:t>
      </w:r>
      <w:r w:rsidR="002C330E" w:rsidRPr="00D5464D">
        <w:rPr>
          <w:lang w:val="pt-BR"/>
        </w:rPr>
        <w:t xml:space="preserve">s </w:t>
      </w:r>
      <w:r w:rsidR="00207197" w:rsidRPr="00D5464D">
        <w:rPr>
          <w:lang w:val="pt-BR"/>
        </w:rPr>
        <w:t xml:space="preserve">cometa, </w:t>
      </w:r>
      <w:r w:rsidR="00F95A72" w:rsidRPr="00D5464D">
        <w:rPr>
          <w:lang w:val="pt-BR"/>
        </w:rPr>
        <w:t xml:space="preserve">bem </w:t>
      </w:r>
      <w:r w:rsidR="00207197" w:rsidRPr="00D5464D">
        <w:rPr>
          <w:lang w:val="pt-BR"/>
        </w:rPr>
        <w:t>como</w:t>
      </w:r>
      <w:r w:rsidR="002C330E" w:rsidRPr="00D5464D">
        <w:rPr>
          <w:lang w:val="pt-BR"/>
        </w:rPr>
        <w:t xml:space="preserve"> a obrigação</w:t>
      </w:r>
      <w:r w:rsidR="00207197" w:rsidRPr="00D5464D">
        <w:rPr>
          <w:lang w:val="pt-BR"/>
        </w:rPr>
        <w:t xml:space="preserve"> de </w:t>
      </w:r>
      <w:r w:rsidR="00230C71" w:rsidRPr="00D5464D">
        <w:rPr>
          <w:lang w:val="pt-BR"/>
        </w:rPr>
        <w:t>indeniz</w:t>
      </w:r>
      <w:r w:rsidR="00207197" w:rsidRPr="00D5464D">
        <w:rPr>
          <w:lang w:val="pt-BR"/>
        </w:rPr>
        <w:t>ar</w:t>
      </w:r>
      <w:r w:rsidR="00E045D9" w:rsidRPr="00D5464D">
        <w:rPr>
          <w:lang w:val="pt-BR"/>
        </w:rPr>
        <w:t xml:space="preserve"> às vítima</w:t>
      </w:r>
      <w:r w:rsidR="00207197" w:rsidRPr="00D5464D">
        <w:rPr>
          <w:lang w:val="pt-BR"/>
        </w:rPr>
        <w:t xml:space="preserve">s por </w:t>
      </w:r>
      <w:r w:rsidR="00E045D9" w:rsidRPr="00D5464D">
        <w:rPr>
          <w:lang w:val="pt-BR"/>
        </w:rPr>
        <w:t>suas consequências</w:t>
      </w:r>
      <w:r w:rsidR="00207197" w:rsidRPr="00D5464D">
        <w:rPr>
          <w:lang w:val="pt-BR"/>
        </w:rPr>
        <w:t xml:space="preserve"> p</w:t>
      </w:r>
      <w:r w:rsidR="00F95A72" w:rsidRPr="00D5464D">
        <w:rPr>
          <w:lang w:val="pt-BR"/>
        </w:rPr>
        <w:t>r</w:t>
      </w:r>
      <w:r w:rsidR="00207197" w:rsidRPr="00D5464D">
        <w:rPr>
          <w:lang w:val="pt-BR"/>
        </w:rPr>
        <w:t>e</w:t>
      </w:r>
      <w:r w:rsidR="002C330E" w:rsidRPr="00D5464D">
        <w:rPr>
          <w:lang w:val="pt-BR"/>
        </w:rPr>
        <w:t>judiciais</w:t>
      </w:r>
      <w:r w:rsidR="00207197" w:rsidRPr="00D5464D">
        <w:rPr>
          <w:lang w:val="pt-BR"/>
        </w:rPr>
        <w:t>.</w:t>
      </w:r>
      <w:r w:rsidRPr="00D5464D">
        <w:rPr>
          <w:lang w:val="pt-BR"/>
        </w:rPr>
        <w:t xml:space="preserve"> </w:t>
      </w:r>
      <w:r w:rsidR="00F95A72" w:rsidRPr="00D5464D">
        <w:rPr>
          <w:lang w:val="pt-BR"/>
        </w:rPr>
        <w:t>Resta</w:t>
      </w:r>
      <w:r w:rsidRPr="00D5464D">
        <w:rPr>
          <w:lang w:val="pt-BR"/>
        </w:rPr>
        <w:t xml:space="preserve"> </w:t>
      </w:r>
      <w:r w:rsidR="00207197" w:rsidRPr="00D5464D">
        <w:rPr>
          <w:lang w:val="pt-BR"/>
        </w:rPr>
        <w:t>claro</w:t>
      </w:r>
      <w:r w:rsidR="00EB1CE9" w:rsidRPr="00D5464D">
        <w:rPr>
          <w:lang w:val="pt-BR"/>
        </w:rPr>
        <w:t xml:space="preserve">, por </w:t>
      </w:r>
      <w:r w:rsidRPr="00D5464D">
        <w:rPr>
          <w:lang w:val="pt-BR"/>
        </w:rPr>
        <w:t>sua vez</w:t>
      </w:r>
      <w:r w:rsidR="00207197" w:rsidRPr="00D5464D">
        <w:rPr>
          <w:lang w:val="pt-BR"/>
        </w:rPr>
        <w:t>, que</w:t>
      </w:r>
      <w:r w:rsidR="002C330E" w:rsidRPr="00D5464D">
        <w:rPr>
          <w:lang w:val="pt-BR"/>
        </w:rPr>
        <w:t xml:space="preserve"> a obrigação</w:t>
      </w:r>
      <w:r w:rsidR="00207197" w:rsidRPr="00D5464D">
        <w:rPr>
          <w:lang w:val="pt-BR"/>
        </w:rPr>
        <w:t xml:space="preserve"> de prevenir</w:t>
      </w:r>
      <w:r w:rsidRPr="00D5464D">
        <w:rPr>
          <w:lang w:val="pt-BR"/>
        </w:rPr>
        <w:t xml:space="preserve"> é </w:t>
      </w:r>
      <w:r w:rsidR="00207197" w:rsidRPr="00D5464D">
        <w:rPr>
          <w:lang w:val="pt-BR"/>
        </w:rPr>
        <w:t xml:space="preserve">de </w:t>
      </w:r>
      <w:r w:rsidR="002C330E" w:rsidRPr="00D5464D">
        <w:rPr>
          <w:lang w:val="pt-BR"/>
        </w:rPr>
        <w:t xml:space="preserve">meio </w:t>
      </w:r>
      <w:r w:rsidR="00207197" w:rsidRPr="00D5464D">
        <w:rPr>
          <w:lang w:val="pt-BR"/>
        </w:rPr>
        <w:t>o</w:t>
      </w:r>
      <w:r w:rsidR="00F95A72" w:rsidRPr="00D5464D">
        <w:rPr>
          <w:lang w:val="pt-BR"/>
        </w:rPr>
        <w:t>u</w:t>
      </w:r>
      <w:r w:rsidR="00207197" w:rsidRPr="00D5464D">
        <w:rPr>
          <w:lang w:val="pt-BR"/>
        </w:rPr>
        <w:t xml:space="preserve"> </w:t>
      </w:r>
      <w:r w:rsidR="00E045D9" w:rsidRPr="00D5464D">
        <w:rPr>
          <w:lang w:val="pt-BR"/>
        </w:rPr>
        <w:t>comportamento</w:t>
      </w:r>
      <w:r w:rsidR="00F95A72" w:rsidRPr="00D5464D">
        <w:rPr>
          <w:lang w:val="pt-BR"/>
        </w:rPr>
        <w:t>,</w:t>
      </w:r>
      <w:r w:rsidR="00E045D9" w:rsidRPr="00D5464D">
        <w:rPr>
          <w:lang w:val="pt-BR"/>
        </w:rPr>
        <w:t xml:space="preserve"> e </w:t>
      </w:r>
      <w:r w:rsidR="00207197" w:rsidRPr="00D5464D">
        <w:rPr>
          <w:lang w:val="pt-BR"/>
        </w:rPr>
        <w:t>n</w:t>
      </w:r>
      <w:r w:rsidR="00F95A72" w:rsidRPr="00D5464D">
        <w:rPr>
          <w:lang w:val="pt-BR"/>
        </w:rPr>
        <w:t>ã</w:t>
      </w:r>
      <w:r w:rsidR="00207197" w:rsidRPr="00D5464D">
        <w:rPr>
          <w:lang w:val="pt-BR"/>
        </w:rPr>
        <w:t xml:space="preserve">o se </w:t>
      </w:r>
      <w:r w:rsidR="00350187" w:rsidRPr="00D5464D">
        <w:rPr>
          <w:lang w:val="pt-BR"/>
        </w:rPr>
        <w:t>demonstr</w:t>
      </w:r>
      <w:r w:rsidR="00737270" w:rsidRPr="00D5464D">
        <w:rPr>
          <w:lang w:val="pt-BR"/>
        </w:rPr>
        <w:t>a</w:t>
      </w:r>
      <w:r w:rsidR="002C330E" w:rsidRPr="00D5464D">
        <w:rPr>
          <w:lang w:val="pt-BR"/>
        </w:rPr>
        <w:t xml:space="preserve"> </w:t>
      </w:r>
      <w:r w:rsidR="00207197" w:rsidRPr="00D5464D">
        <w:rPr>
          <w:lang w:val="pt-BR"/>
        </w:rPr>
        <w:t>s</w:t>
      </w:r>
      <w:r w:rsidR="00F95A72" w:rsidRPr="00D5464D">
        <w:rPr>
          <w:lang w:val="pt-BR"/>
        </w:rPr>
        <w:t>e</w:t>
      </w:r>
      <w:r w:rsidR="00207197" w:rsidRPr="00D5464D">
        <w:rPr>
          <w:lang w:val="pt-BR"/>
        </w:rPr>
        <w:t xml:space="preserve">u </w:t>
      </w:r>
      <w:r w:rsidR="002C330E" w:rsidRPr="00D5464D">
        <w:rPr>
          <w:lang w:val="pt-BR"/>
        </w:rPr>
        <w:t xml:space="preserve">descumprimento pelo </w:t>
      </w:r>
      <w:r w:rsidR="00207197" w:rsidRPr="00D5464D">
        <w:rPr>
          <w:lang w:val="pt-BR"/>
        </w:rPr>
        <w:t>mero</w:t>
      </w:r>
      <w:r w:rsidR="002C330E" w:rsidRPr="00D5464D">
        <w:rPr>
          <w:lang w:val="pt-BR"/>
        </w:rPr>
        <w:t xml:space="preserve"> fato </w:t>
      </w:r>
      <w:r w:rsidR="00207197" w:rsidRPr="00D5464D">
        <w:rPr>
          <w:lang w:val="pt-BR"/>
        </w:rPr>
        <w:t>de que</w:t>
      </w:r>
      <w:r w:rsidR="00E045D9" w:rsidRPr="00D5464D">
        <w:rPr>
          <w:lang w:val="pt-BR"/>
        </w:rPr>
        <w:t xml:space="preserve"> um </w:t>
      </w:r>
      <w:r w:rsidRPr="00D5464D">
        <w:rPr>
          <w:lang w:val="pt-BR"/>
        </w:rPr>
        <w:t>direito</w:t>
      </w:r>
      <w:r w:rsidR="00E045D9" w:rsidRPr="00D5464D">
        <w:rPr>
          <w:lang w:val="pt-BR"/>
        </w:rPr>
        <w:t xml:space="preserve"> tenha </w:t>
      </w:r>
      <w:r w:rsidR="00207197" w:rsidRPr="00D5464D">
        <w:rPr>
          <w:lang w:val="pt-BR"/>
        </w:rPr>
        <w:t>sido violado</w:t>
      </w:r>
      <w:r w:rsidR="00F95A72" w:rsidRPr="00D5464D">
        <w:rPr>
          <w:lang w:val="pt-BR"/>
        </w:rPr>
        <w:t>.</w:t>
      </w:r>
      <w:r w:rsidR="00207197" w:rsidRPr="00D5464D">
        <w:rPr>
          <w:rStyle w:val="Refdenotaalpie"/>
          <w:lang w:val="pt-BR"/>
        </w:rPr>
        <w:footnoteReference w:id="453"/>
      </w:r>
    </w:p>
    <w:p w14:paraId="62CF7319" w14:textId="77777777" w:rsidR="00207197" w:rsidRPr="00D5464D" w:rsidRDefault="00207197" w:rsidP="00140440">
      <w:pPr>
        <w:pStyle w:val="Prrafodelista"/>
        <w:ind w:left="0"/>
        <w:rPr>
          <w:lang w:val="pt-BR"/>
        </w:rPr>
      </w:pPr>
    </w:p>
    <w:p w14:paraId="4B7F71FA" w14:textId="73EC1F84" w:rsidR="00207197" w:rsidRPr="00D5464D" w:rsidRDefault="00F95A72" w:rsidP="00F37DC4">
      <w:pPr>
        <w:pStyle w:val="Prrafodelista"/>
        <w:numPr>
          <w:ilvl w:val="0"/>
          <w:numId w:val="1"/>
        </w:numPr>
        <w:contextualSpacing w:val="0"/>
        <w:rPr>
          <w:lang w:val="pt-BR"/>
        </w:rPr>
      </w:pPr>
      <w:r w:rsidRPr="00D5464D">
        <w:rPr>
          <w:lang w:val="pt-BR"/>
        </w:rPr>
        <w:t xml:space="preserve">De acordo com </w:t>
      </w:r>
      <w:r w:rsidR="00207197" w:rsidRPr="00D5464D">
        <w:rPr>
          <w:lang w:val="pt-BR"/>
        </w:rPr>
        <w:t xml:space="preserve">a </w:t>
      </w:r>
      <w:r w:rsidR="002C330E" w:rsidRPr="00D5464D">
        <w:rPr>
          <w:lang w:val="pt-BR"/>
        </w:rPr>
        <w:t xml:space="preserve">jurisprudência </w:t>
      </w:r>
      <w:r w:rsidR="00470ADC" w:rsidRPr="00D5464D">
        <w:rPr>
          <w:lang w:val="pt-BR"/>
        </w:rPr>
        <w:t xml:space="preserve">da </w:t>
      </w:r>
      <w:r w:rsidR="00207197" w:rsidRPr="00D5464D">
        <w:rPr>
          <w:lang w:val="pt-BR"/>
        </w:rPr>
        <w:t>Corte</w:t>
      </w:r>
      <w:r w:rsidR="00FD1ED7" w:rsidRPr="00D5464D">
        <w:rPr>
          <w:lang w:val="pt-BR"/>
        </w:rPr>
        <w:t>,</w:t>
      </w:r>
      <w:r w:rsidR="00470ADC" w:rsidRPr="00D5464D">
        <w:rPr>
          <w:lang w:val="pt-BR"/>
        </w:rPr>
        <w:t xml:space="preserve"> é </w:t>
      </w:r>
      <w:r w:rsidRPr="00D5464D">
        <w:rPr>
          <w:lang w:val="pt-BR"/>
        </w:rPr>
        <w:t xml:space="preserve">evidente </w:t>
      </w:r>
      <w:r w:rsidR="00207197" w:rsidRPr="00D5464D">
        <w:rPr>
          <w:lang w:val="pt-BR"/>
        </w:rPr>
        <w:t>que</w:t>
      </w:r>
      <w:r w:rsidR="00E045D9" w:rsidRPr="00D5464D">
        <w:rPr>
          <w:lang w:val="pt-BR"/>
        </w:rPr>
        <w:t xml:space="preserve"> um </w:t>
      </w:r>
      <w:r w:rsidR="00207197" w:rsidRPr="00D5464D">
        <w:rPr>
          <w:lang w:val="pt-BR"/>
        </w:rPr>
        <w:t xml:space="preserve">Estado </w:t>
      </w:r>
      <w:r w:rsidR="00737270" w:rsidRPr="00D5464D">
        <w:rPr>
          <w:lang w:val="pt-BR"/>
        </w:rPr>
        <w:t>não pode</w:t>
      </w:r>
      <w:r w:rsidR="00207197" w:rsidRPr="00D5464D">
        <w:rPr>
          <w:lang w:val="pt-BR"/>
        </w:rPr>
        <w:t xml:space="preserve"> ser </w:t>
      </w:r>
      <w:r w:rsidR="002C330E" w:rsidRPr="00D5464D">
        <w:rPr>
          <w:lang w:val="pt-BR"/>
        </w:rPr>
        <w:t xml:space="preserve">responsável </w:t>
      </w:r>
      <w:r w:rsidR="00207197" w:rsidRPr="00D5464D">
        <w:rPr>
          <w:lang w:val="pt-BR"/>
        </w:rPr>
        <w:t xml:space="preserve">por </w:t>
      </w:r>
      <w:r w:rsidR="00470ADC" w:rsidRPr="00D5464D">
        <w:rPr>
          <w:lang w:val="pt-BR"/>
        </w:rPr>
        <w:t>qualquer</w:t>
      </w:r>
      <w:r w:rsidR="00207197" w:rsidRPr="00D5464D">
        <w:rPr>
          <w:lang w:val="pt-BR"/>
        </w:rPr>
        <w:t xml:space="preserve"> viola</w:t>
      </w:r>
      <w:r w:rsidR="00470ADC" w:rsidRPr="00D5464D">
        <w:rPr>
          <w:lang w:val="pt-BR"/>
        </w:rPr>
        <w:t>ção</w:t>
      </w:r>
      <w:r w:rsidR="00207197" w:rsidRPr="00D5464D">
        <w:rPr>
          <w:lang w:val="pt-BR"/>
        </w:rPr>
        <w:t xml:space="preserve"> de </w:t>
      </w:r>
      <w:r w:rsidR="00470ADC" w:rsidRPr="00D5464D">
        <w:rPr>
          <w:lang w:val="pt-BR"/>
        </w:rPr>
        <w:t>direito</w:t>
      </w:r>
      <w:r w:rsidR="00207197" w:rsidRPr="00D5464D">
        <w:rPr>
          <w:lang w:val="pt-BR"/>
        </w:rPr>
        <w:t xml:space="preserve">s humanos cometida entre particulares dentro de </w:t>
      </w:r>
      <w:r w:rsidR="00E045D9" w:rsidRPr="00D5464D">
        <w:rPr>
          <w:lang w:val="pt-BR"/>
        </w:rPr>
        <w:t>sua jurisdição</w:t>
      </w:r>
      <w:r w:rsidR="00A1358C" w:rsidRPr="00D5464D">
        <w:rPr>
          <w:lang w:val="pt-BR"/>
        </w:rPr>
        <w:t>. Com efeito</w:t>
      </w:r>
      <w:r w:rsidR="00207197" w:rsidRPr="00D5464D">
        <w:rPr>
          <w:lang w:val="pt-BR"/>
        </w:rPr>
        <w:t>,</w:t>
      </w:r>
      <w:r w:rsidR="002C330E" w:rsidRPr="00D5464D">
        <w:rPr>
          <w:lang w:val="pt-BR"/>
        </w:rPr>
        <w:t xml:space="preserve"> as obrigações</w:t>
      </w:r>
      <w:r w:rsidR="00207197" w:rsidRPr="00D5464D">
        <w:rPr>
          <w:lang w:val="pt-BR"/>
        </w:rPr>
        <w:t xml:space="preserve"> </w:t>
      </w:r>
      <w:r w:rsidR="00470ADC" w:rsidRPr="00D5464D">
        <w:rPr>
          <w:lang w:val="pt-BR"/>
        </w:rPr>
        <w:t>convencionais</w:t>
      </w:r>
      <w:r w:rsidR="00207197" w:rsidRPr="00D5464D">
        <w:rPr>
          <w:lang w:val="pt-BR"/>
        </w:rPr>
        <w:t xml:space="preserve"> de </w:t>
      </w:r>
      <w:r w:rsidR="002C330E" w:rsidRPr="00D5464D">
        <w:rPr>
          <w:lang w:val="pt-BR"/>
        </w:rPr>
        <w:t xml:space="preserve">garantia </w:t>
      </w:r>
      <w:r w:rsidRPr="00D5464D">
        <w:rPr>
          <w:lang w:val="pt-BR"/>
        </w:rPr>
        <w:t>sob responsabilidade</w:t>
      </w:r>
      <w:r w:rsidR="00FF1290" w:rsidRPr="00D5464D">
        <w:rPr>
          <w:lang w:val="pt-BR"/>
        </w:rPr>
        <w:t xml:space="preserve"> </w:t>
      </w:r>
      <w:r w:rsidR="00470ADC" w:rsidRPr="00D5464D">
        <w:rPr>
          <w:lang w:val="pt-BR"/>
        </w:rPr>
        <w:t xml:space="preserve">dos </w:t>
      </w:r>
      <w:r w:rsidR="00207197" w:rsidRPr="00D5464D">
        <w:rPr>
          <w:lang w:val="pt-BR"/>
        </w:rPr>
        <w:t>Estados n</w:t>
      </w:r>
      <w:r w:rsidRPr="00D5464D">
        <w:rPr>
          <w:lang w:val="pt-BR"/>
        </w:rPr>
        <w:t>ã</w:t>
      </w:r>
      <w:r w:rsidR="00207197" w:rsidRPr="00D5464D">
        <w:rPr>
          <w:lang w:val="pt-BR"/>
        </w:rPr>
        <w:t xml:space="preserve">o </w:t>
      </w:r>
      <w:r w:rsidRPr="00D5464D">
        <w:rPr>
          <w:lang w:val="pt-BR"/>
        </w:rPr>
        <w:t xml:space="preserve">significam </w:t>
      </w:r>
      <w:r w:rsidR="00E045D9" w:rsidRPr="00D5464D">
        <w:rPr>
          <w:lang w:val="pt-BR"/>
        </w:rPr>
        <w:t xml:space="preserve">uma </w:t>
      </w:r>
      <w:r w:rsidR="002C330E" w:rsidRPr="00D5464D">
        <w:rPr>
          <w:lang w:val="pt-BR"/>
        </w:rPr>
        <w:t xml:space="preserve">responsabilidade </w:t>
      </w:r>
      <w:r w:rsidR="00207197" w:rsidRPr="00D5464D">
        <w:rPr>
          <w:lang w:val="pt-BR"/>
        </w:rPr>
        <w:t>ilimitada</w:t>
      </w:r>
      <w:r w:rsidR="00470ADC" w:rsidRPr="00D5464D">
        <w:rPr>
          <w:lang w:val="pt-BR"/>
        </w:rPr>
        <w:t xml:space="preserve"> dos </w:t>
      </w:r>
      <w:r w:rsidR="00207197" w:rsidRPr="00D5464D">
        <w:rPr>
          <w:lang w:val="pt-BR"/>
        </w:rPr>
        <w:t xml:space="preserve">Estados frente a </w:t>
      </w:r>
      <w:r w:rsidR="00470ADC" w:rsidRPr="00D5464D">
        <w:rPr>
          <w:lang w:val="pt-BR"/>
        </w:rPr>
        <w:t xml:space="preserve">qualquer ato </w:t>
      </w:r>
      <w:r w:rsidR="00207197" w:rsidRPr="00D5464D">
        <w:rPr>
          <w:lang w:val="pt-BR"/>
        </w:rPr>
        <w:t>o</w:t>
      </w:r>
      <w:r w:rsidRPr="00D5464D">
        <w:rPr>
          <w:lang w:val="pt-BR"/>
        </w:rPr>
        <w:t>u</w:t>
      </w:r>
      <w:r w:rsidR="002C330E" w:rsidRPr="00D5464D">
        <w:rPr>
          <w:lang w:val="pt-BR"/>
        </w:rPr>
        <w:t xml:space="preserve"> fato </w:t>
      </w:r>
      <w:r w:rsidR="00207197" w:rsidRPr="00D5464D">
        <w:rPr>
          <w:lang w:val="pt-BR"/>
        </w:rPr>
        <w:t>de particulares,</w:t>
      </w:r>
      <w:r w:rsidR="002C330E" w:rsidRPr="00D5464D">
        <w:rPr>
          <w:lang w:val="pt-BR"/>
        </w:rPr>
        <w:t xml:space="preserve"> pois </w:t>
      </w:r>
      <w:r w:rsidR="00A1358C" w:rsidRPr="00D5464D">
        <w:rPr>
          <w:lang w:val="pt-BR"/>
        </w:rPr>
        <w:t>seus deveres</w:t>
      </w:r>
      <w:r w:rsidR="00207197" w:rsidRPr="00D5464D">
        <w:rPr>
          <w:lang w:val="pt-BR"/>
        </w:rPr>
        <w:t xml:space="preserve"> de </w:t>
      </w:r>
      <w:r w:rsidR="00470ADC" w:rsidRPr="00D5464D">
        <w:rPr>
          <w:lang w:val="pt-BR"/>
        </w:rPr>
        <w:t>adot</w:t>
      </w:r>
      <w:r w:rsidR="00207197" w:rsidRPr="00D5464D">
        <w:rPr>
          <w:lang w:val="pt-BR"/>
        </w:rPr>
        <w:t>ar medidas de preven</w:t>
      </w:r>
      <w:r w:rsidR="00470ADC" w:rsidRPr="00D5464D">
        <w:rPr>
          <w:lang w:val="pt-BR"/>
        </w:rPr>
        <w:t>ção</w:t>
      </w:r>
      <w:r w:rsidR="00E045D9" w:rsidRPr="00D5464D">
        <w:rPr>
          <w:lang w:val="pt-BR"/>
        </w:rPr>
        <w:t xml:space="preserve"> e </w:t>
      </w:r>
      <w:r w:rsidR="002C330E" w:rsidRPr="00D5464D">
        <w:rPr>
          <w:lang w:val="pt-BR"/>
        </w:rPr>
        <w:t>proteção</w:t>
      </w:r>
      <w:r w:rsidR="00470ADC" w:rsidRPr="00D5464D">
        <w:rPr>
          <w:lang w:val="pt-BR"/>
        </w:rPr>
        <w:t xml:space="preserve"> dos </w:t>
      </w:r>
      <w:r w:rsidR="00207197" w:rsidRPr="00D5464D">
        <w:rPr>
          <w:lang w:val="pt-BR"/>
        </w:rPr>
        <w:t>particulares</w:t>
      </w:r>
      <w:r w:rsidR="00470ADC" w:rsidRPr="00D5464D">
        <w:rPr>
          <w:lang w:val="pt-BR"/>
        </w:rPr>
        <w:t xml:space="preserve"> em </w:t>
      </w:r>
      <w:r w:rsidR="00737270" w:rsidRPr="00D5464D">
        <w:rPr>
          <w:lang w:val="pt-BR"/>
        </w:rPr>
        <w:t>suas relações</w:t>
      </w:r>
      <w:r w:rsidR="00207197" w:rsidRPr="00D5464D">
        <w:rPr>
          <w:lang w:val="pt-BR"/>
        </w:rPr>
        <w:t xml:space="preserve"> entre </w:t>
      </w:r>
      <w:r w:rsidR="002C330E" w:rsidRPr="00D5464D">
        <w:rPr>
          <w:lang w:val="pt-BR"/>
        </w:rPr>
        <w:t xml:space="preserve">si </w:t>
      </w:r>
      <w:r w:rsidR="00207197" w:rsidRPr="00D5464D">
        <w:rPr>
          <w:lang w:val="pt-BR"/>
        </w:rPr>
        <w:t xml:space="preserve">se </w:t>
      </w:r>
      <w:r w:rsidR="00470ADC" w:rsidRPr="00D5464D">
        <w:rPr>
          <w:lang w:val="pt-BR"/>
        </w:rPr>
        <w:t>encontram</w:t>
      </w:r>
      <w:r w:rsidR="00207197" w:rsidRPr="00D5464D">
        <w:rPr>
          <w:lang w:val="pt-BR"/>
        </w:rPr>
        <w:t xml:space="preserve"> condicionados</w:t>
      </w:r>
      <w:r w:rsidR="00470ADC" w:rsidRPr="00D5464D">
        <w:rPr>
          <w:lang w:val="pt-BR"/>
        </w:rPr>
        <w:t xml:space="preserve"> ao conhecimento</w:t>
      </w:r>
      <w:r w:rsidR="00207197" w:rsidRPr="00D5464D">
        <w:rPr>
          <w:lang w:val="pt-BR"/>
        </w:rPr>
        <w:t xml:space="preserve"> de</w:t>
      </w:r>
      <w:r w:rsidR="00E045D9" w:rsidRPr="00D5464D">
        <w:rPr>
          <w:lang w:val="pt-BR"/>
        </w:rPr>
        <w:t xml:space="preserve"> uma </w:t>
      </w:r>
      <w:r w:rsidR="00207197" w:rsidRPr="00D5464D">
        <w:rPr>
          <w:lang w:val="pt-BR"/>
        </w:rPr>
        <w:t>situa</w:t>
      </w:r>
      <w:r w:rsidR="00470ADC" w:rsidRPr="00D5464D">
        <w:rPr>
          <w:lang w:val="pt-BR"/>
        </w:rPr>
        <w:t>ção</w:t>
      </w:r>
      <w:r w:rsidR="00207197" w:rsidRPr="00D5464D">
        <w:rPr>
          <w:lang w:val="pt-BR"/>
        </w:rPr>
        <w:t xml:space="preserve"> de </w:t>
      </w:r>
      <w:r w:rsidR="002C330E" w:rsidRPr="00D5464D">
        <w:rPr>
          <w:lang w:val="pt-BR"/>
        </w:rPr>
        <w:t>risco</w:t>
      </w:r>
      <w:r w:rsidR="00207197" w:rsidRPr="00D5464D">
        <w:rPr>
          <w:lang w:val="pt-BR"/>
        </w:rPr>
        <w:t xml:space="preserve"> real e </w:t>
      </w:r>
      <w:r w:rsidR="002C330E" w:rsidRPr="00D5464D">
        <w:rPr>
          <w:lang w:val="pt-BR"/>
        </w:rPr>
        <w:t>imediat</w:t>
      </w:r>
      <w:r w:rsidR="00207197" w:rsidRPr="00D5464D">
        <w:rPr>
          <w:lang w:val="pt-BR"/>
        </w:rPr>
        <w:t>o para</w:t>
      </w:r>
      <w:r w:rsidR="00E045D9" w:rsidRPr="00D5464D">
        <w:rPr>
          <w:lang w:val="pt-BR"/>
        </w:rPr>
        <w:t xml:space="preserve"> um </w:t>
      </w:r>
      <w:r w:rsidR="002C330E" w:rsidRPr="00D5464D">
        <w:rPr>
          <w:lang w:val="pt-BR"/>
        </w:rPr>
        <w:t>indivíduo</w:t>
      </w:r>
      <w:r w:rsidR="00207197" w:rsidRPr="00D5464D">
        <w:rPr>
          <w:lang w:val="pt-BR"/>
        </w:rPr>
        <w:t xml:space="preserve"> o</w:t>
      </w:r>
      <w:r w:rsidRPr="00D5464D">
        <w:rPr>
          <w:lang w:val="pt-BR"/>
        </w:rPr>
        <w:t>u</w:t>
      </w:r>
      <w:r w:rsidR="00207197" w:rsidRPr="00D5464D">
        <w:rPr>
          <w:lang w:val="pt-BR"/>
        </w:rPr>
        <w:t xml:space="preserve"> grupo de </w:t>
      </w:r>
      <w:r w:rsidR="002C330E" w:rsidRPr="00D5464D">
        <w:rPr>
          <w:lang w:val="pt-BR"/>
        </w:rPr>
        <w:t>indivíduo</w:t>
      </w:r>
      <w:r w:rsidR="00207197" w:rsidRPr="00D5464D">
        <w:rPr>
          <w:lang w:val="pt-BR"/>
        </w:rPr>
        <w:t>s determinado</w:t>
      </w:r>
      <w:r w:rsidR="00E045D9" w:rsidRPr="00D5464D">
        <w:rPr>
          <w:lang w:val="pt-BR"/>
        </w:rPr>
        <w:t xml:space="preserve"> e às </w:t>
      </w:r>
      <w:r w:rsidR="00737270" w:rsidRPr="00D5464D">
        <w:rPr>
          <w:lang w:val="pt-BR"/>
        </w:rPr>
        <w:t>possibilidade</w:t>
      </w:r>
      <w:r w:rsidR="00207197" w:rsidRPr="00D5464D">
        <w:rPr>
          <w:lang w:val="pt-BR"/>
        </w:rPr>
        <w:t xml:space="preserve">s </w:t>
      </w:r>
      <w:r w:rsidR="00E045D9" w:rsidRPr="00D5464D">
        <w:rPr>
          <w:lang w:val="pt-BR"/>
        </w:rPr>
        <w:t>razoáveis</w:t>
      </w:r>
      <w:r w:rsidR="00207197" w:rsidRPr="00D5464D">
        <w:rPr>
          <w:lang w:val="pt-BR"/>
        </w:rPr>
        <w:t xml:space="preserve"> de prevenir o</w:t>
      </w:r>
      <w:r w:rsidRPr="00D5464D">
        <w:rPr>
          <w:lang w:val="pt-BR"/>
        </w:rPr>
        <w:t>u</w:t>
      </w:r>
      <w:r w:rsidR="00207197" w:rsidRPr="00D5464D">
        <w:rPr>
          <w:lang w:val="pt-BR"/>
        </w:rPr>
        <w:t xml:space="preserve"> evitar</w:t>
      </w:r>
      <w:r w:rsidR="00470ADC" w:rsidRPr="00D5464D">
        <w:rPr>
          <w:lang w:val="pt-BR"/>
        </w:rPr>
        <w:t xml:space="preserve"> esse </w:t>
      </w:r>
      <w:r w:rsidR="002C330E" w:rsidRPr="00D5464D">
        <w:rPr>
          <w:lang w:val="pt-BR"/>
        </w:rPr>
        <w:t>risco</w:t>
      </w:r>
      <w:r w:rsidR="00230C71" w:rsidRPr="00D5464D">
        <w:rPr>
          <w:lang w:val="pt-BR"/>
        </w:rPr>
        <w:t xml:space="preserve">. Isto é, </w:t>
      </w:r>
      <w:r w:rsidRPr="00D5464D">
        <w:rPr>
          <w:lang w:val="pt-BR"/>
        </w:rPr>
        <w:t xml:space="preserve">mesmo </w:t>
      </w:r>
      <w:r w:rsidR="00470ADC" w:rsidRPr="00D5464D">
        <w:rPr>
          <w:lang w:val="pt-BR"/>
        </w:rPr>
        <w:t>que</w:t>
      </w:r>
      <w:r w:rsidR="00E045D9" w:rsidRPr="00D5464D">
        <w:rPr>
          <w:lang w:val="pt-BR"/>
        </w:rPr>
        <w:t xml:space="preserve"> um </w:t>
      </w:r>
      <w:r w:rsidR="00470ADC" w:rsidRPr="00D5464D">
        <w:rPr>
          <w:lang w:val="pt-BR"/>
        </w:rPr>
        <w:t>ato</w:t>
      </w:r>
      <w:r w:rsidR="00E045D9" w:rsidRPr="00D5464D">
        <w:rPr>
          <w:lang w:val="pt-BR"/>
        </w:rPr>
        <w:t xml:space="preserve"> ou </w:t>
      </w:r>
      <w:r w:rsidR="00207197" w:rsidRPr="00D5464D">
        <w:rPr>
          <w:lang w:val="pt-BR"/>
        </w:rPr>
        <w:t>o</w:t>
      </w:r>
      <w:r w:rsidR="002C330E" w:rsidRPr="00D5464D">
        <w:rPr>
          <w:lang w:val="pt-BR"/>
        </w:rPr>
        <w:t>missão</w:t>
      </w:r>
      <w:r w:rsidR="00207197" w:rsidRPr="00D5464D">
        <w:rPr>
          <w:lang w:val="pt-BR"/>
        </w:rPr>
        <w:t xml:space="preserve"> de</w:t>
      </w:r>
      <w:r w:rsidR="00E045D9" w:rsidRPr="00D5464D">
        <w:rPr>
          <w:lang w:val="pt-BR"/>
        </w:rPr>
        <w:t xml:space="preserve"> um </w:t>
      </w:r>
      <w:r w:rsidR="00207197" w:rsidRPr="00D5464D">
        <w:rPr>
          <w:lang w:val="pt-BR"/>
        </w:rPr>
        <w:t xml:space="preserve">particular </w:t>
      </w:r>
      <w:r w:rsidR="00E045D9" w:rsidRPr="00D5464D">
        <w:rPr>
          <w:lang w:val="pt-BR"/>
        </w:rPr>
        <w:t>tenha</w:t>
      </w:r>
      <w:r w:rsidR="00207197" w:rsidRPr="00D5464D">
        <w:rPr>
          <w:lang w:val="pt-BR"/>
        </w:rPr>
        <w:t xml:space="preserve"> como </w:t>
      </w:r>
      <w:r w:rsidR="00470ADC" w:rsidRPr="00D5464D">
        <w:rPr>
          <w:lang w:val="pt-BR"/>
        </w:rPr>
        <w:t>consequência</w:t>
      </w:r>
      <w:r w:rsidR="00207197" w:rsidRPr="00D5464D">
        <w:rPr>
          <w:lang w:val="pt-BR"/>
        </w:rPr>
        <w:t xml:space="preserve"> jurídica</w:t>
      </w:r>
      <w:r w:rsidR="002C330E" w:rsidRPr="00D5464D">
        <w:rPr>
          <w:lang w:val="pt-BR"/>
        </w:rPr>
        <w:t xml:space="preserve"> a </w:t>
      </w:r>
      <w:r w:rsidR="00207197" w:rsidRPr="00D5464D">
        <w:rPr>
          <w:lang w:val="pt-BR"/>
        </w:rPr>
        <w:t>viola</w:t>
      </w:r>
      <w:r w:rsidR="00470ADC" w:rsidRPr="00D5464D">
        <w:rPr>
          <w:lang w:val="pt-BR"/>
        </w:rPr>
        <w:t>ção</w:t>
      </w:r>
      <w:r w:rsidR="00207197" w:rsidRPr="00D5464D">
        <w:rPr>
          <w:lang w:val="pt-BR"/>
        </w:rPr>
        <w:t xml:space="preserve"> de determinados </w:t>
      </w:r>
      <w:r w:rsidR="00470ADC" w:rsidRPr="00D5464D">
        <w:rPr>
          <w:lang w:val="pt-BR"/>
        </w:rPr>
        <w:t>direito</w:t>
      </w:r>
      <w:r w:rsidR="00207197" w:rsidRPr="00D5464D">
        <w:rPr>
          <w:lang w:val="pt-BR"/>
        </w:rPr>
        <w:t>s humanos de</w:t>
      </w:r>
      <w:r w:rsidR="002C330E" w:rsidRPr="00D5464D">
        <w:rPr>
          <w:lang w:val="pt-BR"/>
        </w:rPr>
        <w:t xml:space="preserve"> outro </w:t>
      </w:r>
      <w:r w:rsidR="00207197" w:rsidRPr="00D5464D">
        <w:rPr>
          <w:lang w:val="pt-BR"/>
        </w:rPr>
        <w:t xml:space="preserve">particular, </w:t>
      </w:r>
      <w:r w:rsidR="00C91CB1" w:rsidRPr="00D5464D">
        <w:rPr>
          <w:lang w:val="pt-BR"/>
        </w:rPr>
        <w:t xml:space="preserve">aquele </w:t>
      </w:r>
      <w:r w:rsidR="00737270" w:rsidRPr="00D5464D">
        <w:rPr>
          <w:lang w:val="pt-BR"/>
        </w:rPr>
        <w:t>não é</w:t>
      </w:r>
      <w:r w:rsidR="00470ADC" w:rsidRPr="00D5464D">
        <w:rPr>
          <w:lang w:val="pt-BR"/>
        </w:rPr>
        <w:t xml:space="preserve"> </w:t>
      </w:r>
      <w:r w:rsidR="00C91CB1" w:rsidRPr="00D5464D">
        <w:rPr>
          <w:lang w:val="pt-BR"/>
        </w:rPr>
        <w:t>automaticamente</w:t>
      </w:r>
      <w:r w:rsidR="00207197" w:rsidRPr="00D5464D">
        <w:rPr>
          <w:lang w:val="pt-BR"/>
        </w:rPr>
        <w:t xml:space="preserve"> </w:t>
      </w:r>
      <w:r w:rsidR="00230C71" w:rsidRPr="00D5464D">
        <w:rPr>
          <w:lang w:val="pt-BR"/>
        </w:rPr>
        <w:t>atribuível</w:t>
      </w:r>
      <w:r w:rsidR="00470ADC" w:rsidRPr="00D5464D">
        <w:rPr>
          <w:lang w:val="pt-BR"/>
        </w:rPr>
        <w:t xml:space="preserve"> ao </w:t>
      </w:r>
      <w:r w:rsidR="00207197" w:rsidRPr="00D5464D">
        <w:rPr>
          <w:lang w:val="pt-BR"/>
        </w:rPr>
        <w:t>Estado,</w:t>
      </w:r>
      <w:r w:rsidR="002C330E" w:rsidRPr="00D5464D">
        <w:rPr>
          <w:lang w:val="pt-BR"/>
        </w:rPr>
        <w:t xml:space="preserve"> pois </w:t>
      </w:r>
      <w:r w:rsidR="00470ADC" w:rsidRPr="00D5464D">
        <w:rPr>
          <w:lang w:val="pt-BR"/>
        </w:rPr>
        <w:t>deve</w:t>
      </w:r>
      <w:r w:rsidRPr="00D5464D">
        <w:rPr>
          <w:lang w:val="pt-BR"/>
        </w:rPr>
        <w:t>-se verificar a</w:t>
      </w:r>
      <w:r w:rsidR="00E045D9" w:rsidRPr="00D5464D">
        <w:rPr>
          <w:lang w:val="pt-BR"/>
        </w:rPr>
        <w:t xml:space="preserve">s </w:t>
      </w:r>
      <w:r w:rsidR="00470ADC" w:rsidRPr="00D5464D">
        <w:rPr>
          <w:lang w:val="pt-BR"/>
        </w:rPr>
        <w:t>circunstâncias</w:t>
      </w:r>
      <w:r w:rsidR="00207197" w:rsidRPr="00D5464D">
        <w:rPr>
          <w:lang w:val="pt-BR"/>
        </w:rPr>
        <w:t xml:space="preserve"> particulares </w:t>
      </w:r>
      <w:r w:rsidR="00470ADC" w:rsidRPr="00D5464D">
        <w:rPr>
          <w:lang w:val="pt-BR"/>
        </w:rPr>
        <w:t xml:space="preserve">do </w:t>
      </w:r>
      <w:r w:rsidR="00207197" w:rsidRPr="00D5464D">
        <w:rPr>
          <w:lang w:val="pt-BR"/>
        </w:rPr>
        <w:t>caso</w:t>
      </w:r>
      <w:r w:rsidR="00E045D9" w:rsidRPr="00D5464D">
        <w:rPr>
          <w:lang w:val="pt-BR"/>
        </w:rPr>
        <w:t xml:space="preserve"> e </w:t>
      </w:r>
      <w:r w:rsidRPr="00D5464D">
        <w:rPr>
          <w:lang w:val="pt-BR"/>
        </w:rPr>
        <w:t>a</w:t>
      </w:r>
      <w:r w:rsidR="00470ADC" w:rsidRPr="00D5464D">
        <w:rPr>
          <w:lang w:val="pt-BR"/>
        </w:rPr>
        <w:t xml:space="preserve"> </w:t>
      </w:r>
      <w:r w:rsidR="00C91CB1" w:rsidRPr="00D5464D">
        <w:rPr>
          <w:lang w:val="pt-BR"/>
        </w:rPr>
        <w:t>concretização</w:t>
      </w:r>
      <w:r w:rsidR="00207197" w:rsidRPr="00D5464D">
        <w:rPr>
          <w:lang w:val="pt-BR"/>
        </w:rPr>
        <w:t xml:space="preserve"> </w:t>
      </w:r>
      <w:r w:rsidR="00E045D9" w:rsidRPr="00D5464D">
        <w:rPr>
          <w:lang w:val="pt-BR"/>
        </w:rPr>
        <w:t>desta</w:t>
      </w:r>
      <w:r w:rsidR="00207197" w:rsidRPr="00D5464D">
        <w:rPr>
          <w:lang w:val="pt-BR"/>
        </w:rPr>
        <w:t xml:space="preserve">s </w:t>
      </w:r>
      <w:r w:rsidR="002C330E" w:rsidRPr="00D5464D">
        <w:rPr>
          <w:lang w:val="pt-BR"/>
        </w:rPr>
        <w:t>obrigações</w:t>
      </w:r>
      <w:r w:rsidR="00207197" w:rsidRPr="00D5464D">
        <w:rPr>
          <w:lang w:val="pt-BR"/>
        </w:rPr>
        <w:t xml:space="preserve"> de </w:t>
      </w:r>
      <w:r w:rsidR="00737270" w:rsidRPr="00D5464D">
        <w:rPr>
          <w:lang w:val="pt-BR"/>
        </w:rPr>
        <w:t>garantia</w:t>
      </w:r>
      <w:r w:rsidRPr="00D5464D">
        <w:rPr>
          <w:lang w:val="pt-BR"/>
        </w:rPr>
        <w:t>.</w:t>
      </w:r>
      <w:r w:rsidR="00207197" w:rsidRPr="00D5464D">
        <w:rPr>
          <w:vertAlign w:val="superscript"/>
          <w:lang w:val="pt-BR"/>
        </w:rPr>
        <w:footnoteReference w:id="454"/>
      </w:r>
    </w:p>
    <w:p w14:paraId="7344733C" w14:textId="77777777" w:rsidR="00207197" w:rsidRPr="00D5464D" w:rsidRDefault="00207197" w:rsidP="00140440">
      <w:pPr>
        <w:pStyle w:val="Prrafodelista"/>
        <w:ind w:left="0"/>
        <w:rPr>
          <w:b/>
          <w:lang w:val="pt-BR"/>
        </w:rPr>
      </w:pPr>
    </w:p>
    <w:p w14:paraId="2405C8D3" w14:textId="1BA4E15B" w:rsidR="00A51198" w:rsidRPr="00D5464D" w:rsidRDefault="008829AF" w:rsidP="00F37DC4">
      <w:pPr>
        <w:pStyle w:val="Prrafodelista"/>
        <w:numPr>
          <w:ilvl w:val="0"/>
          <w:numId w:val="1"/>
        </w:numPr>
        <w:contextualSpacing w:val="0"/>
        <w:rPr>
          <w:b/>
          <w:lang w:val="pt-BR"/>
        </w:rPr>
      </w:pPr>
      <w:r w:rsidRPr="00D5464D">
        <w:rPr>
          <w:lang w:val="pt-BR"/>
        </w:rPr>
        <w:t>Para</w:t>
      </w:r>
      <w:r w:rsidR="00230C71" w:rsidRPr="00D5464D">
        <w:rPr>
          <w:lang w:val="pt-BR"/>
        </w:rPr>
        <w:t xml:space="preserve"> a análise</w:t>
      </w:r>
      <w:r w:rsidRPr="00D5464D">
        <w:rPr>
          <w:lang w:val="pt-BR"/>
        </w:rPr>
        <w:t xml:space="preserve"> </w:t>
      </w:r>
      <w:r w:rsidR="00470ADC" w:rsidRPr="00D5464D">
        <w:rPr>
          <w:lang w:val="pt-BR"/>
        </w:rPr>
        <w:t xml:space="preserve">do </w:t>
      </w:r>
      <w:r w:rsidRPr="00D5464D">
        <w:rPr>
          <w:lang w:val="pt-BR"/>
        </w:rPr>
        <w:t>caso concreto,</w:t>
      </w:r>
      <w:r w:rsidR="002C330E" w:rsidRPr="00D5464D">
        <w:rPr>
          <w:lang w:val="pt-BR"/>
        </w:rPr>
        <w:t xml:space="preserve"> </w:t>
      </w:r>
      <w:r w:rsidR="00350187" w:rsidRPr="00D5464D">
        <w:rPr>
          <w:lang w:val="pt-BR"/>
        </w:rPr>
        <w:t>entretanto</w:t>
      </w:r>
      <w:r w:rsidRPr="00D5464D">
        <w:rPr>
          <w:lang w:val="pt-BR"/>
        </w:rPr>
        <w:t>,</w:t>
      </w:r>
      <w:r w:rsidR="002C330E" w:rsidRPr="00D5464D">
        <w:rPr>
          <w:lang w:val="pt-BR"/>
        </w:rPr>
        <w:t xml:space="preserve"> a jurisprudência </w:t>
      </w:r>
      <w:r w:rsidRPr="00D5464D">
        <w:rPr>
          <w:lang w:val="pt-BR"/>
        </w:rPr>
        <w:t>constante</w:t>
      </w:r>
      <w:r w:rsidR="00470ADC" w:rsidRPr="00D5464D">
        <w:rPr>
          <w:lang w:val="pt-BR"/>
        </w:rPr>
        <w:t xml:space="preserve"> deste </w:t>
      </w:r>
      <w:r w:rsidR="00A51198" w:rsidRPr="00D5464D">
        <w:rPr>
          <w:lang w:val="pt-BR"/>
        </w:rPr>
        <w:t>Tribunal</w:t>
      </w:r>
      <w:r w:rsidRPr="00D5464D">
        <w:rPr>
          <w:lang w:val="pt-BR"/>
        </w:rPr>
        <w:t xml:space="preserve"> determina que</w:t>
      </w:r>
      <w:r w:rsidR="005F2023" w:rsidRPr="00D5464D">
        <w:rPr>
          <w:lang w:val="pt-BR"/>
        </w:rPr>
        <w:t>,</w:t>
      </w:r>
      <w:r w:rsidR="00D741C5" w:rsidRPr="00D5464D">
        <w:rPr>
          <w:lang w:val="pt-BR"/>
        </w:rPr>
        <w:t xml:space="preserve"> para </w:t>
      </w:r>
      <w:r w:rsidR="00470ADC" w:rsidRPr="00D5464D">
        <w:rPr>
          <w:lang w:val="pt-BR"/>
        </w:rPr>
        <w:t>estabelece</w:t>
      </w:r>
      <w:r w:rsidR="00D741C5" w:rsidRPr="00D5464D">
        <w:rPr>
          <w:lang w:val="pt-BR"/>
        </w:rPr>
        <w:t>r</w:t>
      </w:r>
      <w:r w:rsidR="002C330E" w:rsidRPr="00D5464D">
        <w:rPr>
          <w:lang w:val="pt-BR"/>
        </w:rPr>
        <w:t xml:space="preserve"> a </w:t>
      </w:r>
      <w:r w:rsidR="00C91CB1" w:rsidRPr="00D5464D">
        <w:rPr>
          <w:lang w:val="pt-BR"/>
        </w:rPr>
        <w:t>responsabilidade estatal</w:t>
      </w:r>
      <w:r w:rsidR="005F2023" w:rsidRPr="00D5464D">
        <w:rPr>
          <w:lang w:val="pt-BR"/>
        </w:rPr>
        <w:t>,</w:t>
      </w:r>
      <w:r w:rsidR="00470ADC" w:rsidRPr="00D5464D">
        <w:rPr>
          <w:lang w:val="pt-BR"/>
        </w:rPr>
        <w:t xml:space="preserve"> é </w:t>
      </w:r>
      <w:r w:rsidR="00D741C5" w:rsidRPr="00D5464D">
        <w:rPr>
          <w:lang w:val="pt-BR"/>
        </w:rPr>
        <w:t xml:space="preserve">preciso </w:t>
      </w:r>
      <w:r w:rsidR="00470ADC" w:rsidRPr="00D5464D">
        <w:rPr>
          <w:lang w:val="pt-BR"/>
        </w:rPr>
        <w:t>estabelece</w:t>
      </w:r>
      <w:r w:rsidR="00D741C5" w:rsidRPr="00D5464D">
        <w:rPr>
          <w:lang w:val="pt-BR"/>
        </w:rPr>
        <w:t>r</w:t>
      </w:r>
      <w:r w:rsidR="002C330E" w:rsidRPr="00D5464D">
        <w:rPr>
          <w:lang w:val="pt-BR"/>
        </w:rPr>
        <w:t xml:space="preserve"> se</w:t>
      </w:r>
      <w:r w:rsidR="005F2023" w:rsidRPr="00D5464D">
        <w:rPr>
          <w:lang w:val="pt-BR"/>
        </w:rPr>
        <w:t>,</w:t>
      </w:r>
      <w:r w:rsidR="002C330E" w:rsidRPr="00D5464D">
        <w:rPr>
          <w:lang w:val="pt-BR"/>
        </w:rPr>
        <w:t xml:space="preserve"> </w:t>
      </w:r>
      <w:r w:rsidR="00A51198" w:rsidRPr="00D5464D">
        <w:rPr>
          <w:lang w:val="pt-BR"/>
        </w:rPr>
        <w:t>“</w:t>
      </w:r>
      <w:r w:rsidR="00F95A72" w:rsidRPr="00D5464D">
        <w:rPr>
          <w:lang w:val="pt-BR"/>
        </w:rPr>
        <w:t>no</w:t>
      </w:r>
      <w:r w:rsidR="00470ADC" w:rsidRPr="00D5464D">
        <w:rPr>
          <w:lang w:val="pt-BR"/>
        </w:rPr>
        <w:t xml:space="preserve"> </w:t>
      </w:r>
      <w:r w:rsidR="00A51198" w:rsidRPr="00D5464D">
        <w:rPr>
          <w:lang w:val="pt-BR"/>
        </w:rPr>
        <w:t>momento</w:t>
      </w:r>
      <w:r w:rsidR="00470ADC" w:rsidRPr="00D5464D">
        <w:rPr>
          <w:lang w:val="pt-BR"/>
        </w:rPr>
        <w:t xml:space="preserve"> dos </w:t>
      </w:r>
      <w:r w:rsidR="002C330E" w:rsidRPr="00D5464D">
        <w:rPr>
          <w:lang w:val="pt-BR"/>
        </w:rPr>
        <w:t>fatos</w:t>
      </w:r>
      <w:r w:rsidR="00A51198" w:rsidRPr="00D5464D">
        <w:rPr>
          <w:lang w:val="pt-BR"/>
        </w:rPr>
        <w:t>,</w:t>
      </w:r>
      <w:r w:rsidR="002C330E" w:rsidRPr="00D5464D">
        <w:rPr>
          <w:lang w:val="pt-BR"/>
        </w:rPr>
        <w:t xml:space="preserve"> as </w:t>
      </w:r>
      <w:r w:rsidR="00A51198" w:rsidRPr="00D5464D">
        <w:rPr>
          <w:lang w:val="pt-BR"/>
        </w:rPr>
        <w:t>autoridades esta</w:t>
      </w:r>
      <w:r w:rsidR="00E045D9" w:rsidRPr="00D5464D">
        <w:rPr>
          <w:lang w:val="pt-BR"/>
        </w:rPr>
        <w:t>tais</w:t>
      </w:r>
      <w:r w:rsidR="00A51198" w:rsidRPr="00D5464D">
        <w:rPr>
          <w:lang w:val="pt-BR"/>
        </w:rPr>
        <w:t xml:space="preserve"> </w:t>
      </w:r>
      <w:r w:rsidR="00EB1CE9" w:rsidRPr="00D5464D">
        <w:rPr>
          <w:lang w:val="pt-BR"/>
        </w:rPr>
        <w:t>sabiam</w:t>
      </w:r>
      <w:r w:rsidR="00A51198" w:rsidRPr="00D5464D">
        <w:rPr>
          <w:lang w:val="pt-BR"/>
        </w:rPr>
        <w:t xml:space="preserve"> o</w:t>
      </w:r>
      <w:r w:rsidR="00F95A72" w:rsidRPr="00D5464D">
        <w:rPr>
          <w:lang w:val="pt-BR"/>
        </w:rPr>
        <w:t>u</w:t>
      </w:r>
      <w:r w:rsidR="00A51198" w:rsidRPr="00D5464D">
        <w:rPr>
          <w:lang w:val="pt-BR"/>
        </w:rPr>
        <w:t xml:space="preserve"> </w:t>
      </w:r>
      <w:r w:rsidR="00A1358C" w:rsidRPr="00D5464D">
        <w:rPr>
          <w:lang w:val="pt-BR"/>
        </w:rPr>
        <w:t>deveriam</w:t>
      </w:r>
      <w:r w:rsidR="00A51198" w:rsidRPr="00D5464D">
        <w:rPr>
          <w:lang w:val="pt-BR"/>
        </w:rPr>
        <w:t xml:space="preserve"> </w:t>
      </w:r>
      <w:r w:rsidR="002C330E" w:rsidRPr="00D5464D">
        <w:rPr>
          <w:lang w:val="pt-BR"/>
        </w:rPr>
        <w:t>ter</w:t>
      </w:r>
      <w:r w:rsidR="00A51198" w:rsidRPr="00D5464D">
        <w:rPr>
          <w:lang w:val="pt-BR"/>
        </w:rPr>
        <w:t xml:space="preserve"> sabido</w:t>
      </w:r>
      <w:r w:rsidR="00470ADC" w:rsidRPr="00D5464D">
        <w:rPr>
          <w:lang w:val="pt-BR"/>
        </w:rPr>
        <w:t xml:space="preserve"> da </w:t>
      </w:r>
      <w:r w:rsidR="00E045D9" w:rsidRPr="00D5464D">
        <w:rPr>
          <w:lang w:val="pt-BR"/>
        </w:rPr>
        <w:t>existência</w:t>
      </w:r>
      <w:r w:rsidR="00A51198" w:rsidRPr="00D5464D">
        <w:rPr>
          <w:lang w:val="pt-BR"/>
        </w:rPr>
        <w:t xml:space="preserve"> de</w:t>
      </w:r>
      <w:r w:rsidR="00E045D9" w:rsidRPr="00D5464D">
        <w:rPr>
          <w:lang w:val="pt-BR"/>
        </w:rPr>
        <w:t xml:space="preserve"> uma </w:t>
      </w:r>
      <w:r w:rsidR="00A51198" w:rsidRPr="00D5464D">
        <w:rPr>
          <w:lang w:val="pt-BR"/>
        </w:rPr>
        <w:t>situa</w:t>
      </w:r>
      <w:r w:rsidR="00470ADC" w:rsidRPr="00D5464D">
        <w:rPr>
          <w:lang w:val="pt-BR"/>
        </w:rPr>
        <w:t>ção</w:t>
      </w:r>
      <w:r w:rsidR="00A51198" w:rsidRPr="00D5464D">
        <w:rPr>
          <w:lang w:val="pt-BR"/>
        </w:rPr>
        <w:t xml:space="preserve"> </w:t>
      </w:r>
      <w:r w:rsidR="00F95A72" w:rsidRPr="00D5464D">
        <w:rPr>
          <w:lang w:val="pt-BR"/>
        </w:rPr>
        <w:t xml:space="preserve">envolvendo </w:t>
      </w:r>
      <w:r w:rsidR="00E045D9" w:rsidRPr="00D5464D">
        <w:rPr>
          <w:lang w:val="pt-BR"/>
        </w:rPr>
        <w:t xml:space="preserve">um </w:t>
      </w:r>
      <w:r w:rsidR="002C330E" w:rsidRPr="00D5464D">
        <w:rPr>
          <w:lang w:val="pt-BR"/>
        </w:rPr>
        <w:t>risco</w:t>
      </w:r>
      <w:r w:rsidR="00A51198" w:rsidRPr="00D5464D">
        <w:rPr>
          <w:lang w:val="pt-BR"/>
        </w:rPr>
        <w:t xml:space="preserve"> real e </w:t>
      </w:r>
      <w:r w:rsidR="002C330E" w:rsidRPr="00D5464D">
        <w:rPr>
          <w:lang w:val="pt-BR"/>
        </w:rPr>
        <w:t>imediat</w:t>
      </w:r>
      <w:r w:rsidR="00A51198" w:rsidRPr="00D5464D">
        <w:rPr>
          <w:lang w:val="pt-BR"/>
        </w:rPr>
        <w:t>o para</w:t>
      </w:r>
      <w:r w:rsidR="002C330E" w:rsidRPr="00D5464D">
        <w:rPr>
          <w:lang w:val="pt-BR"/>
        </w:rPr>
        <w:t xml:space="preserve"> a </w:t>
      </w:r>
      <w:r w:rsidR="00A51198" w:rsidRPr="00D5464D">
        <w:rPr>
          <w:lang w:val="pt-BR"/>
        </w:rPr>
        <w:t>vida de</w:t>
      </w:r>
      <w:r w:rsidR="00E045D9" w:rsidRPr="00D5464D">
        <w:rPr>
          <w:lang w:val="pt-BR"/>
        </w:rPr>
        <w:t xml:space="preserve"> um </w:t>
      </w:r>
      <w:r w:rsidR="002C330E" w:rsidRPr="00D5464D">
        <w:rPr>
          <w:lang w:val="pt-BR"/>
        </w:rPr>
        <w:t>indivíduo</w:t>
      </w:r>
      <w:r w:rsidR="00A51198" w:rsidRPr="00D5464D">
        <w:rPr>
          <w:lang w:val="pt-BR"/>
        </w:rPr>
        <w:t xml:space="preserve"> o</w:t>
      </w:r>
      <w:r w:rsidR="00F95A72" w:rsidRPr="00D5464D">
        <w:rPr>
          <w:lang w:val="pt-BR"/>
        </w:rPr>
        <w:t>u</w:t>
      </w:r>
      <w:r w:rsidR="00E045D9" w:rsidRPr="00D5464D">
        <w:rPr>
          <w:lang w:val="pt-BR"/>
        </w:rPr>
        <w:t xml:space="preserve"> </w:t>
      </w:r>
      <w:r w:rsidR="00A51198" w:rsidRPr="00D5464D">
        <w:rPr>
          <w:lang w:val="pt-BR"/>
        </w:rPr>
        <w:t xml:space="preserve">grupo de </w:t>
      </w:r>
      <w:r w:rsidR="002C330E" w:rsidRPr="00D5464D">
        <w:rPr>
          <w:lang w:val="pt-BR"/>
        </w:rPr>
        <w:t>indivíduo</w:t>
      </w:r>
      <w:r w:rsidR="00A51198" w:rsidRPr="00D5464D">
        <w:rPr>
          <w:lang w:val="pt-BR"/>
        </w:rPr>
        <w:t>s</w:t>
      </w:r>
      <w:r w:rsidR="00470ADC" w:rsidRPr="00D5464D">
        <w:rPr>
          <w:lang w:val="pt-BR"/>
        </w:rPr>
        <w:t>, e</w:t>
      </w:r>
      <w:r w:rsidR="00A51198" w:rsidRPr="00D5464D">
        <w:rPr>
          <w:lang w:val="pt-BR"/>
        </w:rPr>
        <w:t xml:space="preserve"> </w:t>
      </w:r>
      <w:r w:rsidR="00F95A72" w:rsidRPr="00D5464D">
        <w:rPr>
          <w:lang w:val="pt-BR"/>
        </w:rPr>
        <w:t xml:space="preserve">que não tenham sido adotadas </w:t>
      </w:r>
      <w:r w:rsidR="002C330E" w:rsidRPr="00D5464D">
        <w:rPr>
          <w:lang w:val="pt-BR"/>
        </w:rPr>
        <w:t xml:space="preserve">as </w:t>
      </w:r>
      <w:r w:rsidR="00A51198" w:rsidRPr="00D5464D">
        <w:rPr>
          <w:lang w:val="pt-BR"/>
        </w:rPr>
        <w:t xml:space="preserve">medidas </w:t>
      </w:r>
      <w:r w:rsidR="002C330E" w:rsidRPr="00D5464D">
        <w:rPr>
          <w:lang w:val="pt-BR"/>
        </w:rPr>
        <w:t>necessári</w:t>
      </w:r>
      <w:r w:rsidR="00A51198" w:rsidRPr="00D5464D">
        <w:rPr>
          <w:lang w:val="pt-BR"/>
        </w:rPr>
        <w:t>as</w:t>
      </w:r>
      <w:r w:rsidR="00F95A72" w:rsidRPr="00D5464D">
        <w:rPr>
          <w:lang w:val="pt-BR"/>
        </w:rPr>
        <w:t>,</w:t>
      </w:r>
      <w:r w:rsidR="00A51198" w:rsidRPr="00D5464D">
        <w:rPr>
          <w:lang w:val="pt-BR"/>
        </w:rPr>
        <w:t xml:space="preserve"> dentro </w:t>
      </w:r>
      <w:r w:rsidR="00470ADC" w:rsidRPr="00D5464D">
        <w:rPr>
          <w:lang w:val="pt-BR"/>
        </w:rPr>
        <w:t>do âmbito</w:t>
      </w:r>
      <w:r w:rsidR="00A51198" w:rsidRPr="00D5464D">
        <w:rPr>
          <w:lang w:val="pt-BR"/>
        </w:rPr>
        <w:t xml:space="preserve"> de </w:t>
      </w:r>
      <w:r w:rsidR="00737270" w:rsidRPr="00D5464D">
        <w:rPr>
          <w:lang w:val="pt-BR"/>
        </w:rPr>
        <w:t>su</w:t>
      </w:r>
      <w:r w:rsidR="00F95A72" w:rsidRPr="00D5464D">
        <w:rPr>
          <w:lang w:val="pt-BR"/>
        </w:rPr>
        <w:t>a</w:t>
      </w:r>
      <w:r w:rsidR="00737270" w:rsidRPr="00D5464D">
        <w:rPr>
          <w:lang w:val="pt-BR"/>
        </w:rPr>
        <w:t xml:space="preserve"> autor</w:t>
      </w:r>
      <w:r w:rsidR="00470ADC" w:rsidRPr="00D5464D">
        <w:rPr>
          <w:lang w:val="pt-BR"/>
        </w:rPr>
        <w:t>idade</w:t>
      </w:r>
      <w:r w:rsidR="00F95A72" w:rsidRPr="00D5464D">
        <w:rPr>
          <w:lang w:val="pt-BR"/>
        </w:rPr>
        <w:t>,</w:t>
      </w:r>
      <w:r w:rsidR="00470ADC" w:rsidRPr="00D5464D">
        <w:rPr>
          <w:lang w:val="pt-BR"/>
        </w:rPr>
        <w:t xml:space="preserve"> </w:t>
      </w:r>
      <w:r w:rsidR="00A51198" w:rsidRPr="00D5464D">
        <w:rPr>
          <w:lang w:val="pt-BR"/>
        </w:rPr>
        <w:t>para prevenir o</w:t>
      </w:r>
      <w:r w:rsidR="00F95A72" w:rsidRPr="00D5464D">
        <w:rPr>
          <w:lang w:val="pt-BR"/>
        </w:rPr>
        <w:t>u</w:t>
      </w:r>
      <w:r w:rsidR="00A51198" w:rsidRPr="00D5464D">
        <w:rPr>
          <w:lang w:val="pt-BR"/>
        </w:rPr>
        <w:t xml:space="preserve"> evitar</w:t>
      </w:r>
      <w:r w:rsidR="00470ADC" w:rsidRPr="00D5464D">
        <w:rPr>
          <w:lang w:val="pt-BR"/>
        </w:rPr>
        <w:t xml:space="preserve"> esse </w:t>
      </w:r>
      <w:r w:rsidR="002C330E" w:rsidRPr="00D5464D">
        <w:rPr>
          <w:lang w:val="pt-BR"/>
        </w:rPr>
        <w:t>risco</w:t>
      </w:r>
      <w:r w:rsidR="00A51198" w:rsidRPr="00D5464D">
        <w:rPr>
          <w:lang w:val="pt-BR"/>
        </w:rPr>
        <w:t xml:space="preserve">”. </w:t>
      </w:r>
    </w:p>
    <w:p w14:paraId="0CF5FC3B" w14:textId="77777777" w:rsidR="00A51198" w:rsidRPr="00D5464D" w:rsidRDefault="00A51198" w:rsidP="00ED3AD0">
      <w:pPr>
        <w:pStyle w:val="Prrafodelista"/>
        <w:rPr>
          <w:lang w:val="pt-BR"/>
        </w:rPr>
      </w:pPr>
    </w:p>
    <w:p w14:paraId="53DA120A" w14:textId="5610406B" w:rsidR="009B15CC" w:rsidRPr="00D5464D" w:rsidRDefault="00737270" w:rsidP="00ED3AD0">
      <w:pPr>
        <w:pStyle w:val="Prrafodelista"/>
        <w:numPr>
          <w:ilvl w:val="0"/>
          <w:numId w:val="1"/>
        </w:numPr>
        <w:contextualSpacing w:val="0"/>
        <w:rPr>
          <w:lang w:val="pt-BR"/>
        </w:rPr>
      </w:pPr>
      <w:r w:rsidRPr="00D5464D">
        <w:rPr>
          <w:lang w:val="pt-BR"/>
        </w:rPr>
        <w:t>A este respeito</w:t>
      </w:r>
      <w:r w:rsidR="008829AF" w:rsidRPr="00D5464D">
        <w:rPr>
          <w:lang w:val="pt-BR"/>
        </w:rPr>
        <w:t>,</w:t>
      </w:r>
      <w:r w:rsidR="00E045D9" w:rsidRPr="00D5464D">
        <w:rPr>
          <w:lang w:val="pt-BR"/>
        </w:rPr>
        <w:t xml:space="preserve"> no </w:t>
      </w:r>
      <w:r w:rsidR="00207197" w:rsidRPr="00D5464D">
        <w:rPr>
          <w:lang w:val="pt-BR"/>
        </w:rPr>
        <w:t>caso concreto</w:t>
      </w:r>
      <w:r w:rsidR="00E050C4" w:rsidRPr="00D5464D">
        <w:rPr>
          <w:lang w:val="pt-BR"/>
        </w:rPr>
        <w:t>,</w:t>
      </w:r>
      <w:r w:rsidR="002C330E" w:rsidRPr="00D5464D">
        <w:rPr>
          <w:lang w:val="pt-BR"/>
        </w:rPr>
        <w:t xml:space="preserve"> a </w:t>
      </w:r>
      <w:r w:rsidR="00207197" w:rsidRPr="00D5464D">
        <w:rPr>
          <w:lang w:val="pt-BR"/>
        </w:rPr>
        <w:t xml:space="preserve">Corte </w:t>
      </w:r>
      <w:r w:rsidR="00E045D9" w:rsidRPr="00D5464D">
        <w:rPr>
          <w:lang w:val="pt-BR"/>
        </w:rPr>
        <w:t xml:space="preserve">constatou uma </w:t>
      </w:r>
      <w:r w:rsidR="002C330E" w:rsidRPr="00D5464D">
        <w:rPr>
          <w:lang w:val="pt-BR"/>
        </w:rPr>
        <w:t>série</w:t>
      </w:r>
      <w:r w:rsidR="00207197" w:rsidRPr="00D5464D">
        <w:rPr>
          <w:lang w:val="pt-BR"/>
        </w:rPr>
        <w:t xml:space="preserve"> de</w:t>
      </w:r>
      <w:r w:rsidR="00E765C2" w:rsidRPr="00D5464D">
        <w:rPr>
          <w:lang w:val="pt-BR"/>
        </w:rPr>
        <w:t xml:space="preserve"> falhas </w:t>
      </w:r>
      <w:r w:rsidR="00E045D9" w:rsidRPr="00D5464D">
        <w:rPr>
          <w:lang w:val="pt-BR"/>
        </w:rPr>
        <w:t xml:space="preserve">e </w:t>
      </w:r>
      <w:r w:rsidR="00230C71" w:rsidRPr="00D5464D">
        <w:rPr>
          <w:lang w:val="pt-BR"/>
        </w:rPr>
        <w:t>negligência</w:t>
      </w:r>
      <w:r w:rsidR="00207197" w:rsidRPr="00D5464D">
        <w:rPr>
          <w:lang w:val="pt-BR"/>
        </w:rPr>
        <w:t xml:space="preserve"> </w:t>
      </w:r>
      <w:r w:rsidR="00F95A72" w:rsidRPr="00D5464D">
        <w:rPr>
          <w:lang w:val="pt-BR"/>
        </w:rPr>
        <w:t xml:space="preserve">por </w:t>
      </w:r>
      <w:r w:rsidR="00207197" w:rsidRPr="00D5464D">
        <w:rPr>
          <w:lang w:val="pt-BR"/>
        </w:rPr>
        <w:t xml:space="preserve">parte </w:t>
      </w:r>
      <w:r w:rsidR="00470ADC" w:rsidRPr="00D5464D">
        <w:rPr>
          <w:lang w:val="pt-BR"/>
        </w:rPr>
        <w:t xml:space="preserve">do </w:t>
      </w:r>
      <w:r w:rsidR="00207197" w:rsidRPr="00D5464D">
        <w:rPr>
          <w:lang w:val="pt-BR"/>
        </w:rPr>
        <w:t>Estado</w:t>
      </w:r>
      <w:r w:rsidR="00E045D9" w:rsidRPr="00D5464D">
        <w:rPr>
          <w:lang w:val="pt-BR"/>
        </w:rPr>
        <w:t xml:space="preserve"> no </w:t>
      </w:r>
      <w:r w:rsidR="008829AF" w:rsidRPr="00D5464D">
        <w:rPr>
          <w:lang w:val="pt-BR"/>
        </w:rPr>
        <w:t>sentido de prevenir</w:t>
      </w:r>
      <w:r w:rsidR="002C330E" w:rsidRPr="00D5464D">
        <w:rPr>
          <w:lang w:val="pt-BR"/>
        </w:rPr>
        <w:t xml:space="preserve"> a </w:t>
      </w:r>
      <w:r w:rsidR="00E045D9" w:rsidRPr="00D5464D">
        <w:rPr>
          <w:lang w:val="pt-BR"/>
        </w:rPr>
        <w:t>ocorrência</w:t>
      </w:r>
      <w:r w:rsidR="008829AF" w:rsidRPr="00D5464D">
        <w:rPr>
          <w:lang w:val="pt-BR"/>
        </w:rPr>
        <w:t xml:space="preserve"> de </w:t>
      </w:r>
      <w:r w:rsidR="000B376D" w:rsidRPr="00D5464D">
        <w:rPr>
          <w:lang w:val="pt-BR"/>
        </w:rPr>
        <w:t>servidão</w:t>
      </w:r>
      <w:r w:rsidR="008829AF" w:rsidRPr="00D5464D">
        <w:rPr>
          <w:lang w:val="pt-BR"/>
        </w:rPr>
        <w:t xml:space="preserve">, </w:t>
      </w:r>
      <w:r w:rsidR="00F95A72" w:rsidRPr="00D5464D">
        <w:rPr>
          <w:lang w:val="pt-BR"/>
        </w:rPr>
        <w:t xml:space="preserve">tráfico de pessoas </w:t>
      </w:r>
      <w:r w:rsidR="00E045D9" w:rsidRPr="00D5464D">
        <w:rPr>
          <w:lang w:val="pt-BR"/>
        </w:rPr>
        <w:t xml:space="preserve">e </w:t>
      </w:r>
      <w:r w:rsidR="000B376D" w:rsidRPr="00D5464D">
        <w:rPr>
          <w:lang w:val="pt-BR"/>
        </w:rPr>
        <w:t>escravidão</w:t>
      </w:r>
      <w:r w:rsidR="00470ADC" w:rsidRPr="00D5464D">
        <w:rPr>
          <w:lang w:val="pt-BR"/>
        </w:rPr>
        <w:t xml:space="preserve"> em </w:t>
      </w:r>
      <w:r w:rsidR="00230C71" w:rsidRPr="00D5464D">
        <w:rPr>
          <w:lang w:val="pt-BR"/>
        </w:rPr>
        <w:t>seu território</w:t>
      </w:r>
      <w:r w:rsidR="00470ADC" w:rsidRPr="00D5464D">
        <w:rPr>
          <w:lang w:val="pt-BR"/>
        </w:rPr>
        <w:t xml:space="preserve"> </w:t>
      </w:r>
      <w:r w:rsidR="00F95A72" w:rsidRPr="00D5464D">
        <w:rPr>
          <w:lang w:val="pt-BR"/>
        </w:rPr>
        <w:t xml:space="preserve">antes do ano </w:t>
      </w:r>
      <w:r w:rsidR="008829AF" w:rsidRPr="00D5464D">
        <w:rPr>
          <w:lang w:val="pt-BR"/>
        </w:rPr>
        <w:t xml:space="preserve">2000, </w:t>
      </w:r>
      <w:r w:rsidR="002C330E" w:rsidRPr="00D5464D">
        <w:rPr>
          <w:lang w:val="pt-BR"/>
        </w:rPr>
        <w:t>mas</w:t>
      </w:r>
      <w:r w:rsidR="008829AF" w:rsidRPr="00D5464D">
        <w:rPr>
          <w:lang w:val="pt-BR"/>
        </w:rPr>
        <w:t xml:space="preserve"> </w:t>
      </w:r>
      <w:r w:rsidR="00E045D9" w:rsidRPr="00D5464D">
        <w:rPr>
          <w:lang w:val="pt-BR"/>
        </w:rPr>
        <w:t>também</w:t>
      </w:r>
      <w:r w:rsidR="008829AF" w:rsidRPr="00D5464D">
        <w:rPr>
          <w:lang w:val="pt-BR"/>
        </w:rPr>
        <w:t xml:space="preserve"> a partir</w:t>
      </w:r>
      <w:r w:rsidR="00470ADC" w:rsidRPr="00D5464D">
        <w:rPr>
          <w:lang w:val="pt-BR"/>
        </w:rPr>
        <w:t xml:space="preserve"> da denúncia </w:t>
      </w:r>
      <w:r w:rsidR="008829AF" w:rsidRPr="00D5464D">
        <w:rPr>
          <w:lang w:val="pt-BR"/>
        </w:rPr>
        <w:t>concreta realizada</w:t>
      </w:r>
      <w:r w:rsidR="002C330E" w:rsidRPr="00D5464D">
        <w:rPr>
          <w:lang w:val="pt-BR"/>
        </w:rPr>
        <w:t xml:space="preserve"> pelos </w:t>
      </w:r>
      <w:r w:rsidR="00FD1ED7" w:rsidRPr="00D5464D">
        <w:rPr>
          <w:lang w:val="pt-BR"/>
        </w:rPr>
        <w:t xml:space="preserve">adolescentes </w:t>
      </w:r>
      <w:r w:rsidR="00E42F61" w:rsidRPr="00D5464D">
        <w:rPr>
          <w:lang w:val="pt-BR"/>
        </w:rPr>
        <w:t xml:space="preserve">Antônio </w:t>
      </w:r>
      <w:r w:rsidR="008829AF" w:rsidRPr="00D5464D">
        <w:rPr>
          <w:lang w:val="pt-BR"/>
        </w:rPr>
        <w:t>Francisco da Silva</w:t>
      </w:r>
      <w:r w:rsidR="00E045D9" w:rsidRPr="00D5464D">
        <w:rPr>
          <w:lang w:val="pt-BR"/>
        </w:rPr>
        <w:t xml:space="preserve"> e </w:t>
      </w:r>
      <w:r w:rsidR="00D47B1B" w:rsidRPr="00D5464D">
        <w:rPr>
          <w:rFonts w:cs="Times New Roman"/>
          <w:szCs w:val="20"/>
          <w:lang w:val="pt-BR"/>
        </w:rPr>
        <w:t>José Francisco Furtado de Sousa</w:t>
      </w:r>
      <w:r w:rsidR="00207197" w:rsidRPr="00D5464D">
        <w:rPr>
          <w:lang w:val="pt-BR"/>
        </w:rPr>
        <w:t xml:space="preserve">. </w:t>
      </w:r>
    </w:p>
    <w:p w14:paraId="6FF2E2B8" w14:textId="77777777" w:rsidR="009B15CC" w:rsidRPr="00D5464D" w:rsidRDefault="009B15CC" w:rsidP="009B15CC">
      <w:pPr>
        <w:pStyle w:val="Prrafodelista"/>
        <w:rPr>
          <w:lang w:val="pt-BR"/>
        </w:rPr>
      </w:pPr>
    </w:p>
    <w:p w14:paraId="53F0ABEC" w14:textId="39B09668" w:rsidR="00207197" w:rsidRPr="00D5464D" w:rsidRDefault="00207197" w:rsidP="00ED3AD0">
      <w:pPr>
        <w:pStyle w:val="Prrafodelista"/>
        <w:numPr>
          <w:ilvl w:val="0"/>
          <w:numId w:val="1"/>
        </w:numPr>
        <w:contextualSpacing w:val="0"/>
        <w:rPr>
          <w:lang w:val="pt-BR"/>
        </w:rPr>
      </w:pPr>
      <w:r w:rsidRPr="00D5464D">
        <w:rPr>
          <w:lang w:val="pt-BR"/>
        </w:rPr>
        <w:t>Desde</w:t>
      </w:r>
      <w:r w:rsidRPr="00D5464D">
        <w:rPr>
          <w:b/>
          <w:lang w:val="pt-BR"/>
        </w:rPr>
        <w:t xml:space="preserve"> </w:t>
      </w:r>
      <w:r w:rsidRPr="00D5464D">
        <w:rPr>
          <w:lang w:val="pt-BR"/>
        </w:rPr>
        <w:t>1988</w:t>
      </w:r>
      <w:r w:rsidR="002C330E" w:rsidRPr="00D5464D">
        <w:rPr>
          <w:lang w:val="pt-BR"/>
        </w:rPr>
        <w:t xml:space="preserve"> a</w:t>
      </w:r>
      <w:r w:rsidR="00375852" w:rsidRPr="00D5464D">
        <w:rPr>
          <w:lang w:val="pt-BR"/>
        </w:rPr>
        <w:t xml:space="preserve"> Comissão Pastoral da Terra (</w:t>
      </w:r>
      <w:r w:rsidRPr="00D5464D">
        <w:rPr>
          <w:lang w:val="pt-BR"/>
        </w:rPr>
        <w:t>CPT</w:t>
      </w:r>
      <w:r w:rsidR="00375852" w:rsidRPr="00D5464D">
        <w:rPr>
          <w:lang w:val="pt-BR"/>
        </w:rPr>
        <w:t>)</w:t>
      </w:r>
      <w:r w:rsidRPr="00D5464D">
        <w:rPr>
          <w:lang w:val="pt-BR"/>
        </w:rPr>
        <w:t xml:space="preserve"> </w:t>
      </w:r>
      <w:r w:rsidR="00737270" w:rsidRPr="00D5464D">
        <w:rPr>
          <w:lang w:val="pt-BR"/>
        </w:rPr>
        <w:t>realizou</w:t>
      </w:r>
      <w:r w:rsidRPr="00D5464D">
        <w:rPr>
          <w:lang w:val="pt-BR"/>
        </w:rPr>
        <w:t xml:space="preserve"> </w:t>
      </w:r>
      <w:r w:rsidR="00E045D9" w:rsidRPr="00D5464D">
        <w:rPr>
          <w:lang w:val="pt-BR"/>
        </w:rPr>
        <w:t>várias</w:t>
      </w:r>
      <w:r w:rsidRPr="00D5464D">
        <w:rPr>
          <w:lang w:val="pt-BR"/>
        </w:rPr>
        <w:t xml:space="preserve"> </w:t>
      </w:r>
      <w:r w:rsidR="00470ADC" w:rsidRPr="00D5464D">
        <w:rPr>
          <w:lang w:val="pt-BR"/>
        </w:rPr>
        <w:t xml:space="preserve">denúncias </w:t>
      </w:r>
      <w:r w:rsidRPr="00D5464D">
        <w:rPr>
          <w:lang w:val="pt-BR"/>
        </w:rPr>
        <w:t>sobre</w:t>
      </w:r>
      <w:r w:rsidR="002C330E" w:rsidRPr="00D5464D">
        <w:rPr>
          <w:lang w:val="pt-BR"/>
        </w:rPr>
        <w:t xml:space="preserve"> a </w:t>
      </w:r>
      <w:r w:rsidR="00E045D9" w:rsidRPr="00D5464D">
        <w:rPr>
          <w:lang w:val="pt-BR"/>
        </w:rPr>
        <w:t>existência</w:t>
      </w:r>
      <w:r w:rsidRPr="00D5464D">
        <w:rPr>
          <w:lang w:val="pt-BR"/>
        </w:rPr>
        <w:t xml:space="preserve"> de</w:t>
      </w:r>
      <w:r w:rsidR="00E045D9" w:rsidRPr="00D5464D">
        <w:rPr>
          <w:lang w:val="pt-BR"/>
        </w:rPr>
        <w:t xml:space="preserve"> uma </w:t>
      </w:r>
      <w:r w:rsidRPr="00D5464D">
        <w:rPr>
          <w:lang w:val="pt-BR"/>
        </w:rPr>
        <w:t>situa</w:t>
      </w:r>
      <w:r w:rsidR="00470ADC" w:rsidRPr="00D5464D">
        <w:rPr>
          <w:lang w:val="pt-BR"/>
        </w:rPr>
        <w:t>ção</w:t>
      </w:r>
      <w:r w:rsidRPr="00D5464D">
        <w:rPr>
          <w:lang w:val="pt-BR"/>
        </w:rPr>
        <w:t xml:space="preserve"> análoga</w:t>
      </w:r>
      <w:r w:rsidR="00470ADC" w:rsidRPr="00D5464D">
        <w:rPr>
          <w:lang w:val="pt-BR"/>
        </w:rPr>
        <w:t xml:space="preserve"> à </w:t>
      </w:r>
      <w:r w:rsidR="000B376D" w:rsidRPr="00D5464D">
        <w:rPr>
          <w:lang w:val="pt-BR"/>
        </w:rPr>
        <w:t>escravidão</w:t>
      </w:r>
      <w:r w:rsidR="00E045D9" w:rsidRPr="00D5464D">
        <w:rPr>
          <w:lang w:val="pt-BR"/>
        </w:rPr>
        <w:t xml:space="preserve"> no </w:t>
      </w:r>
      <w:r w:rsidR="00996473" w:rsidRPr="00D5464D">
        <w:rPr>
          <w:lang w:val="pt-BR"/>
        </w:rPr>
        <w:t>Estado do Pará</w:t>
      </w:r>
      <w:r w:rsidR="00470ADC" w:rsidRPr="00D5464D">
        <w:rPr>
          <w:lang w:val="pt-BR"/>
        </w:rPr>
        <w:t xml:space="preserve"> e</w:t>
      </w:r>
      <w:r w:rsidR="00E050C4" w:rsidRPr="00D5464D">
        <w:rPr>
          <w:lang w:val="pt-BR"/>
        </w:rPr>
        <w:t>,</w:t>
      </w:r>
      <w:r w:rsidRPr="00D5464D">
        <w:rPr>
          <w:lang w:val="pt-BR"/>
        </w:rPr>
        <w:t xml:space="preserve"> </w:t>
      </w:r>
      <w:r w:rsidR="00E045D9" w:rsidRPr="00D5464D">
        <w:rPr>
          <w:lang w:val="pt-BR"/>
        </w:rPr>
        <w:t>especificamente</w:t>
      </w:r>
      <w:r w:rsidR="00E050C4" w:rsidRPr="00D5464D">
        <w:rPr>
          <w:lang w:val="pt-BR"/>
        </w:rPr>
        <w:t>,</w:t>
      </w:r>
      <w:r w:rsidR="00E045D9" w:rsidRPr="00D5464D">
        <w:rPr>
          <w:lang w:val="pt-BR"/>
        </w:rPr>
        <w:t xml:space="preserve"> na </w:t>
      </w:r>
      <w:r w:rsidR="00D809F0" w:rsidRPr="00D5464D">
        <w:rPr>
          <w:lang w:val="pt-BR"/>
        </w:rPr>
        <w:t>Fazenda</w:t>
      </w:r>
      <w:r w:rsidRPr="00D5464D">
        <w:rPr>
          <w:lang w:val="pt-BR"/>
        </w:rPr>
        <w:t xml:space="preserve"> Brasil Verde. </w:t>
      </w:r>
      <w:r w:rsidR="00470ADC" w:rsidRPr="00D5464D">
        <w:rPr>
          <w:lang w:val="pt-BR"/>
        </w:rPr>
        <w:t>Esta</w:t>
      </w:r>
      <w:r w:rsidRPr="00D5464D">
        <w:rPr>
          <w:lang w:val="pt-BR"/>
        </w:rPr>
        <w:t xml:space="preserve">s </w:t>
      </w:r>
      <w:r w:rsidR="00470ADC" w:rsidRPr="00D5464D">
        <w:rPr>
          <w:lang w:val="pt-BR"/>
        </w:rPr>
        <w:t xml:space="preserve">denúncias </w:t>
      </w:r>
      <w:r w:rsidRPr="00D5464D">
        <w:rPr>
          <w:lang w:val="pt-BR"/>
        </w:rPr>
        <w:t>identific</w:t>
      </w:r>
      <w:r w:rsidR="00EB1CE9" w:rsidRPr="00D5464D">
        <w:rPr>
          <w:lang w:val="pt-BR"/>
        </w:rPr>
        <w:t xml:space="preserve">avam </w:t>
      </w:r>
      <w:r w:rsidR="00E045D9" w:rsidRPr="00D5464D">
        <w:rPr>
          <w:lang w:val="pt-BR"/>
        </w:rPr>
        <w:t xml:space="preserve">um </w:t>
      </w:r>
      <w:r w:rsidRPr="00D5464D">
        <w:rPr>
          <w:i/>
          <w:lang w:val="pt-BR"/>
        </w:rPr>
        <w:t xml:space="preserve">modus </w:t>
      </w:r>
      <w:r w:rsidR="00350187" w:rsidRPr="00D5464D">
        <w:rPr>
          <w:i/>
          <w:lang w:val="pt-BR"/>
        </w:rPr>
        <w:t>operandi</w:t>
      </w:r>
      <w:r w:rsidRPr="00D5464D">
        <w:rPr>
          <w:lang w:val="pt-BR"/>
        </w:rPr>
        <w:t xml:space="preserve"> de </w:t>
      </w:r>
      <w:r w:rsidR="00F95A72" w:rsidRPr="00D5464D">
        <w:rPr>
          <w:lang w:val="pt-BR"/>
        </w:rPr>
        <w:t xml:space="preserve">aliciamento </w:t>
      </w:r>
      <w:r w:rsidR="00E045D9" w:rsidRPr="00D5464D">
        <w:rPr>
          <w:lang w:val="pt-BR"/>
        </w:rPr>
        <w:t xml:space="preserve">e </w:t>
      </w:r>
      <w:r w:rsidR="00230C71" w:rsidRPr="00D5464D">
        <w:rPr>
          <w:lang w:val="pt-BR"/>
        </w:rPr>
        <w:t>exploração</w:t>
      </w:r>
      <w:r w:rsidRPr="00D5464D">
        <w:rPr>
          <w:lang w:val="pt-BR"/>
        </w:rPr>
        <w:t xml:space="preserve"> de </w:t>
      </w:r>
      <w:r w:rsidR="00E045D9" w:rsidRPr="00D5464D">
        <w:rPr>
          <w:lang w:val="pt-BR"/>
        </w:rPr>
        <w:t xml:space="preserve">trabalhadores na </w:t>
      </w:r>
      <w:r w:rsidR="002C330E" w:rsidRPr="00D5464D">
        <w:rPr>
          <w:lang w:val="pt-BR"/>
        </w:rPr>
        <w:t>região</w:t>
      </w:r>
      <w:r w:rsidRPr="00D5464D">
        <w:rPr>
          <w:lang w:val="pt-BR"/>
        </w:rPr>
        <w:t xml:space="preserve"> específica </w:t>
      </w:r>
      <w:r w:rsidR="00470ADC" w:rsidRPr="00D5464D">
        <w:rPr>
          <w:lang w:val="pt-BR"/>
        </w:rPr>
        <w:t>do</w:t>
      </w:r>
      <w:r w:rsidR="00E045D9" w:rsidRPr="00D5464D">
        <w:rPr>
          <w:lang w:val="pt-BR"/>
        </w:rPr>
        <w:t xml:space="preserve"> sul </w:t>
      </w:r>
      <w:r w:rsidR="00470ADC" w:rsidRPr="00D5464D">
        <w:rPr>
          <w:lang w:val="pt-BR"/>
        </w:rPr>
        <w:t xml:space="preserve">do </w:t>
      </w:r>
      <w:r w:rsidR="00996473" w:rsidRPr="00D5464D">
        <w:rPr>
          <w:lang w:val="pt-BR"/>
        </w:rPr>
        <w:t>Estado do Pará</w:t>
      </w:r>
      <w:r w:rsidR="00A1358C" w:rsidRPr="00D5464D">
        <w:rPr>
          <w:lang w:val="pt-BR"/>
        </w:rPr>
        <w:t xml:space="preserve">. O </w:t>
      </w:r>
      <w:r w:rsidR="006A00D0" w:rsidRPr="00D5464D">
        <w:rPr>
          <w:lang w:val="pt-BR"/>
        </w:rPr>
        <w:t xml:space="preserve">Estado </w:t>
      </w:r>
      <w:r w:rsidR="00E045D9" w:rsidRPr="00D5464D">
        <w:rPr>
          <w:lang w:val="pt-BR"/>
        </w:rPr>
        <w:t>tinha</w:t>
      </w:r>
      <w:r w:rsidR="006A00D0" w:rsidRPr="00D5464D">
        <w:rPr>
          <w:lang w:val="pt-BR"/>
        </w:rPr>
        <w:t xml:space="preserve"> </w:t>
      </w:r>
      <w:r w:rsidR="00470ADC" w:rsidRPr="00D5464D">
        <w:rPr>
          <w:lang w:val="pt-BR"/>
        </w:rPr>
        <w:t>conhecimento</w:t>
      </w:r>
      <w:r w:rsidR="006A00D0" w:rsidRPr="00D5464D">
        <w:rPr>
          <w:lang w:val="pt-BR"/>
        </w:rPr>
        <w:t xml:space="preserve"> </w:t>
      </w:r>
      <w:r w:rsidR="00E045D9" w:rsidRPr="00D5464D">
        <w:rPr>
          <w:lang w:val="pt-BR"/>
        </w:rPr>
        <w:t>dessa</w:t>
      </w:r>
      <w:r w:rsidR="00470ADC" w:rsidRPr="00D5464D">
        <w:rPr>
          <w:lang w:val="pt-BR"/>
        </w:rPr>
        <w:t xml:space="preserve"> </w:t>
      </w:r>
      <w:r w:rsidR="006A00D0" w:rsidRPr="00D5464D">
        <w:rPr>
          <w:lang w:val="pt-BR"/>
        </w:rPr>
        <w:t>situa</w:t>
      </w:r>
      <w:r w:rsidR="00470ADC" w:rsidRPr="00D5464D">
        <w:rPr>
          <w:lang w:val="pt-BR"/>
        </w:rPr>
        <w:t>ção</w:t>
      </w:r>
      <w:r w:rsidR="00E050C4" w:rsidRPr="00D5464D">
        <w:rPr>
          <w:lang w:val="pt-BR"/>
        </w:rPr>
        <w:t>,</w:t>
      </w:r>
      <w:r w:rsidR="002C330E" w:rsidRPr="00D5464D">
        <w:rPr>
          <w:lang w:val="pt-BR"/>
        </w:rPr>
        <w:t xml:space="preserve"> pois</w:t>
      </w:r>
      <w:r w:rsidR="000B2B14" w:rsidRPr="00D5464D">
        <w:rPr>
          <w:lang w:val="pt-BR"/>
        </w:rPr>
        <w:t>,</w:t>
      </w:r>
      <w:r w:rsidR="002C330E" w:rsidRPr="00D5464D">
        <w:rPr>
          <w:lang w:val="pt-BR"/>
        </w:rPr>
        <w:t xml:space="preserve"> </w:t>
      </w:r>
      <w:r w:rsidRPr="00D5464D">
        <w:rPr>
          <w:lang w:val="pt-BR"/>
        </w:rPr>
        <w:t xml:space="preserve">como resultado </w:t>
      </w:r>
      <w:r w:rsidR="00E045D9" w:rsidRPr="00D5464D">
        <w:rPr>
          <w:lang w:val="pt-BR"/>
        </w:rPr>
        <w:t>desta</w:t>
      </w:r>
      <w:r w:rsidRPr="00D5464D">
        <w:rPr>
          <w:lang w:val="pt-BR"/>
        </w:rPr>
        <w:t xml:space="preserve">s </w:t>
      </w:r>
      <w:r w:rsidR="00470ADC" w:rsidRPr="00D5464D">
        <w:rPr>
          <w:lang w:val="pt-BR"/>
        </w:rPr>
        <w:t>denúncias</w:t>
      </w:r>
      <w:r w:rsidRPr="00D5464D">
        <w:rPr>
          <w:lang w:val="pt-BR"/>
        </w:rPr>
        <w:t xml:space="preserve">, </w:t>
      </w:r>
      <w:r w:rsidR="00470ADC" w:rsidRPr="00D5464D">
        <w:rPr>
          <w:lang w:val="pt-BR"/>
        </w:rPr>
        <w:t>foram</w:t>
      </w:r>
      <w:r w:rsidRPr="00D5464D">
        <w:rPr>
          <w:lang w:val="pt-BR"/>
        </w:rPr>
        <w:t xml:space="preserve"> realizadas </w:t>
      </w:r>
      <w:r w:rsidR="0031040E" w:rsidRPr="00D5464D">
        <w:rPr>
          <w:lang w:val="pt-BR"/>
        </w:rPr>
        <w:t>fiscalizações</w:t>
      </w:r>
      <w:r w:rsidR="00E045D9" w:rsidRPr="00D5464D">
        <w:rPr>
          <w:lang w:val="pt-BR"/>
        </w:rPr>
        <w:t xml:space="preserve"> na </w:t>
      </w:r>
      <w:r w:rsidR="00D809F0" w:rsidRPr="00D5464D">
        <w:rPr>
          <w:lang w:val="pt-BR"/>
        </w:rPr>
        <w:t>Fazenda</w:t>
      </w:r>
      <w:r w:rsidRPr="00D5464D">
        <w:rPr>
          <w:lang w:val="pt-BR"/>
        </w:rPr>
        <w:t xml:space="preserve"> Brasil Verde</w:t>
      </w:r>
      <w:r w:rsidR="00E045D9" w:rsidRPr="00D5464D">
        <w:rPr>
          <w:lang w:val="pt-BR"/>
        </w:rPr>
        <w:t xml:space="preserve"> nos </w:t>
      </w:r>
      <w:r w:rsidR="00470ADC" w:rsidRPr="00D5464D">
        <w:rPr>
          <w:lang w:val="pt-BR"/>
        </w:rPr>
        <w:t>anos</w:t>
      </w:r>
      <w:r w:rsidRPr="00D5464D">
        <w:rPr>
          <w:lang w:val="pt-BR"/>
        </w:rPr>
        <w:t xml:space="preserve"> 1989, 1992, 1993, 1996, 1997, 1999</w:t>
      </w:r>
      <w:r w:rsidR="00E045D9" w:rsidRPr="00D5464D">
        <w:rPr>
          <w:lang w:val="pt-BR"/>
        </w:rPr>
        <w:t xml:space="preserve"> e </w:t>
      </w:r>
      <w:r w:rsidRPr="00D5464D">
        <w:rPr>
          <w:lang w:val="pt-BR"/>
        </w:rPr>
        <w:t>2000</w:t>
      </w:r>
      <w:r w:rsidR="00C91CB1" w:rsidRPr="00D5464D">
        <w:rPr>
          <w:lang w:val="pt-BR"/>
        </w:rPr>
        <w:t xml:space="preserve">. Em </w:t>
      </w:r>
      <w:r w:rsidR="00E045D9" w:rsidRPr="00D5464D">
        <w:rPr>
          <w:lang w:val="pt-BR"/>
        </w:rPr>
        <w:t>várias</w:t>
      </w:r>
      <w:r w:rsidR="00737270" w:rsidRPr="00D5464D">
        <w:rPr>
          <w:lang w:val="pt-BR"/>
        </w:rPr>
        <w:t xml:space="preserve"> delas </w:t>
      </w:r>
      <w:r w:rsidR="00470ADC" w:rsidRPr="00D5464D">
        <w:rPr>
          <w:lang w:val="pt-BR"/>
        </w:rPr>
        <w:t>foram</w:t>
      </w:r>
      <w:r w:rsidRPr="00D5464D">
        <w:rPr>
          <w:lang w:val="pt-BR"/>
        </w:rPr>
        <w:t xml:space="preserve"> constatadas viola</w:t>
      </w:r>
      <w:r w:rsidR="00470ADC" w:rsidRPr="00D5464D">
        <w:rPr>
          <w:lang w:val="pt-BR"/>
        </w:rPr>
        <w:t>ções</w:t>
      </w:r>
      <w:r w:rsidR="00E045D9" w:rsidRPr="00D5464D">
        <w:rPr>
          <w:lang w:val="pt-BR"/>
        </w:rPr>
        <w:t xml:space="preserve"> às </w:t>
      </w:r>
      <w:r w:rsidR="002C330E" w:rsidRPr="00D5464D">
        <w:rPr>
          <w:lang w:val="pt-BR"/>
        </w:rPr>
        <w:t>leis</w:t>
      </w:r>
      <w:r w:rsidRPr="00D5464D">
        <w:rPr>
          <w:lang w:val="pt-BR"/>
        </w:rPr>
        <w:t xml:space="preserve"> </w:t>
      </w:r>
      <w:r w:rsidR="00F95A72" w:rsidRPr="00D5464D">
        <w:rPr>
          <w:lang w:val="pt-BR"/>
        </w:rPr>
        <w:t>trabalhistas</w:t>
      </w:r>
      <w:r w:rsidRPr="00D5464D">
        <w:rPr>
          <w:lang w:val="pt-BR"/>
        </w:rPr>
        <w:t>, condi</w:t>
      </w:r>
      <w:r w:rsidR="00470ADC" w:rsidRPr="00D5464D">
        <w:rPr>
          <w:lang w:val="pt-BR"/>
        </w:rPr>
        <w:t>ções</w:t>
      </w:r>
      <w:r w:rsidRPr="00D5464D">
        <w:rPr>
          <w:lang w:val="pt-BR"/>
        </w:rPr>
        <w:t xml:space="preserve"> degradantes de vida</w:t>
      </w:r>
      <w:r w:rsidR="00E045D9" w:rsidRPr="00D5464D">
        <w:rPr>
          <w:lang w:val="pt-BR"/>
        </w:rPr>
        <w:t xml:space="preserve"> e </w:t>
      </w:r>
      <w:r w:rsidRPr="00D5464D">
        <w:rPr>
          <w:lang w:val="pt-BR"/>
        </w:rPr>
        <w:t xml:space="preserve">de </w:t>
      </w:r>
      <w:r w:rsidR="00E045D9" w:rsidRPr="00D5464D">
        <w:rPr>
          <w:lang w:val="pt-BR"/>
        </w:rPr>
        <w:t>trabalho</w:t>
      </w:r>
      <w:r w:rsidR="00470ADC" w:rsidRPr="00D5464D">
        <w:rPr>
          <w:lang w:val="pt-BR"/>
        </w:rPr>
        <w:t>, e</w:t>
      </w:r>
      <w:r w:rsidRPr="00D5464D">
        <w:rPr>
          <w:lang w:val="pt-BR"/>
        </w:rPr>
        <w:t xml:space="preserve"> situa</w:t>
      </w:r>
      <w:r w:rsidR="00470ADC" w:rsidRPr="00D5464D">
        <w:rPr>
          <w:lang w:val="pt-BR"/>
        </w:rPr>
        <w:t>ções</w:t>
      </w:r>
      <w:r w:rsidR="006A00D0" w:rsidRPr="00D5464D">
        <w:rPr>
          <w:lang w:val="pt-BR"/>
        </w:rPr>
        <w:t xml:space="preserve"> </w:t>
      </w:r>
      <w:r w:rsidR="006665EF" w:rsidRPr="00D5464D">
        <w:rPr>
          <w:lang w:val="pt-BR"/>
        </w:rPr>
        <w:t>análogas</w:t>
      </w:r>
      <w:r w:rsidR="00350187" w:rsidRPr="00D5464D">
        <w:rPr>
          <w:lang w:val="pt-BR"/>
        </w:rPr>
        <w:t xml:space="preserve"> </w:t>
      </w:r>
      <w:r w:rsidR="00470ADC" w:rsidRPr="00D5464D">
        <w:rPr>
          <w:lang w:val="pt-BR"/>
        </w:rPr>
        <w:t xml:space="preserve">à </w:t>
      </w:r>
      <w:r w:rsidR="000B376D" w:rsidRPr="00D5464D">
        <w:rPr>
          <w:lang w:val="pt-BR"/>
        </w:rPr>
        <w:t>escravidão</w:t>
      </w:r>
      <w:r w:rsidRPr="00D5464D">
        <w:rPr>
          <w:lang w:val="pt-BR"/>
        </w:rPr>
        <w:t>.</w:t>
      </w:r>
      <w:r w:rsidR="00470ADC" w:rsidRPr="00D5464D">
        <w:rPr>
          <w:lang w:val="pt-BR"/>
        </w:rPr>
        <w:t xml:space="preserve"> </w:t>
      </w:r>
      <w:r w:rsidR="00F95A72" w:rsidRPr="00D5464D">
        <w:rPr>
          <w:lang w:val="pt-BR"/>
        </w:rPr>
        <w:t>E</w:t>
      </w:r>
      <w:r w:rsidR="00470ADC" w:rsidRPr="00D5464D">
        <w:rPr>
          <w:lang w:val="pt-BR"/>
        </w:rPr>
        <w:t xml:space="preserve">ssas </w:t>
      </w:r>
      <w:r w:rsidRPr="00D5464D">
        <w:rPr>
          <w:lang w:val="pt-BR"/>
        </w:rPr>
        <w:t>constata</w:t>
      </w:r>
      <w:r w:rsidR="00470ADC" w:rsidRPr="00D5464D">
        <w:rPr>
          <w:lang w:val="pt-BR"/>
        </w:rPr>
        <w:t>ções</w:t>
      </w:r>
      <w:r w:rsidR="002C330E" w:rsidRPr="00D5464D">
        <w:rPr>
          <w:lang w:val="pt-BR"/>
        </w:rPr>
        <w:t xml:space="preserve"> </w:t>
      </w:r>
      <w:r w:rsidR="00E045D9" w:rsidRPr="00D5464D">
        <w:rPr>
          <w:lang w:val="pt-BR"/>
        </w:rPr>
        <w:t>levaram</w:t>
      </w:r>
      <w:r w:rsidR="00470ADC" w:rsidRPr="00D5464D">
        <w:rPr>
          <w:lang w:val="pt-BR"/>
        </w:rPr>
        <w:t xml:space="preserve"> à abertura</w:t>
      </w:r>
      <w:r w:rsidR="006A00D0" w:rsidRPr="00D5464D">
        <w:rPr>
          <w:lang w:val="pt-BR"/>
        </w:rPr>
        <w:t xml:space="preserve"> de </w:t>
      </w:r>
      <w:r w:rsidR="002C330E" w:rsidRPr="00D5464D">
        <w:rPr>
          <w:lang w:val="pt-BR"/>
        </w:rPr>
        <w:t>procedimento</w:t>
      </w:r>
      <w:r w:rsidR="006A00D0" w:rsidRPr="00D5464D">
        <w:rPr>
          <w:lang w:val="pt-BR"/>
        </w:rPr>
        <w:t xml:space="preserve">s </w:t>
      </w:r>
      <w:r w:rsidR="002C330E" w:rsidRPr="00D5464D">
        <w:rPr>
          <w:lang w:val="pt-BR"/>
        </w:rPr>
        <w:t>penais</w:t>
      </w:r>
      <w:r w:rsidR="00E045D9" w:rsidRPr="00D5464D">
        <w:rPr>
          <w:lang w:val="pt-BR"/>
        </w:rPr>
        <w:t xml:space="preserve"> e </w:t>
      </w:r>
      <w:r w:rsidR="00F95A72" w:rsidRPr="00D5464D">
        <w:rPr>
          <w:lang w:val="pt-BR"/>
        </w:rPr>
        <w:t>trabalhistas</w:t>
      </w:r>
      <w:r w:rsidR="006A00D0" w:rsidRPr="00D5464D">
        <w:rPr>
          <w:lang w:val="pt-BR"/>
        </w:rPr>
        <w:t xml:space="preserve">, </w:t>
      </w:r>
      <w:r w:rsidR="002C330E" w:rsidRPr="00D5464D">
        <w:rPr>
          <w:lang w:val="pt-BR"/>
        </w:rPr>
        <w:t>mas</w:t>
      </w:r>
      <w:r w:rsidR="00230C71" w:rsidRPr="00D5464D">
        <w:rPr>
          <w:lang w:val="pt-BR"/>
        </w:rPr>
        <w:t xml:space="preserve"> não foram</w:t>
      </w:r>
      <w:r w:rsidR="006A00D0" w:rsidRPr="00D5464D">
        <w:rPr>
          <w:lang w:val="pt-BR"/>
        </w:rPr>
        <w:t xml:space="preserve"> </w:t>
      </w:r>
      <w:r w:rsidR="00470ADC" w:rsidRPr="00D5464D">
        <w:rPr>
          <w:lang w:val="pt-BR"/>
        </w:rPr>
        <w:t>efetiv</w:t>
      </w:r>
      <w:r w:rsidR="00F95A72" w:rsidRPr="00D5464D">
        <w:rPr>
          <w:lang w:val="pt-BR"/>
        </w:rPr>
        <w:t>o</w:t>
      </w:r>
      <w:r w:rsidR="006A00D0" w:rsidRPr="00D5464D">
        <w:rPr>
          <w:lang w:val="pt-BR"/>
        </w:rPr>
        <w:t>s para prevenir</w:t>
      </w:r>
      <w:r w:rsidR="002C330E" w:rsidRPr="00D5464D">
        <w:rPr>
          <w:lang w:val="pt-BR"/>
        </w:rPr>
        <w:t xml:space="preserve"> a </w:t>
      </w:r>
      <w:r w:rsidR="006A00D0" w:rsidRPr="00D5464D">
        <w:rPr>
          <w:lang w:val="pt-BR"/>
        </w:rPr>
        <w:t>situa</w:t>
      </w:r>
      <w:r w:rsidR="00470ADC" w:rsidRPr="00D5464D">
        <w:rPr>
          <w:lang w:val="pt-BR"/>
        </w:rPr>
        <w:t>ção</w:t>
      </w:r>
      <w:r w:rsidR="006A00D0" w:rsidRPr="00D5464D">
        <w:rPr>
          <w:lang w:val="pt-BR"/>
        </w:rPr>
        <w:t xml:space="preserve"> verificada</w:t>
      </w:r>
      <w:r w:rsidR="00470ADC" w:rsidRPr="00D5464D">
        <w:rPr>
          <w:lang w:val="pt-BR"/>
        </w:rPr>
        <w:t xml:space="preserve"> em </w:t>
      </w:r>
      <w:r w:rsidR="002C330E" w:rsidRPr="00D5464D">
        <w:rPr>
          <w:lang w:val="pt-BR"/>
        </w:rPr>
        <w:t>março</w:t>
      </w:r>
      <w:r w:rsidR="006A00D0" w:rsidRPr="00D5464D">
        <w:rPr>
          <w:lang w:val="pt-BR"/>
        </w:rPr>
        <w:t xml:space="preserve"> de 2000</w:t>
      </w:r>
      <w:r w:rsidR="00F95A72" w:rsidRPr="00D5464D">
        <w:rPr>
          <w:lang w:val="pt-BR"/>
        </w:rPr>
        <w:t>.</w:t>
      </w:r>
      <w:r w:rsidR="006A00D0" w:rsidRPr="00D5464D">
        <w:rPr>
          <w:rStyle w:val="Refdenotaalpie"/>
          <w:lang w:val="pt-BR"/>
        </w:rPr>
        <w:footnoteReference w:id="455"/>
      </w:r>
      <w:r w:rsidR="006A00D0" w:rsidRPr="00D5464D">
        <w:rPr>
          <w:lang w:val="pt-BR"/>
        </w:rPr>
        <w:t xml:space="preserve"> </w:t>
      </w:r>
      <w:r w:rsidR="00350187" w:rsidRPr="00D5464D">
        <w:rPr>
          <w:lang w:val="pt-BR"/>
        </w:rPr>
        <w:t xml:space="preserve">Além disso, </w:t>
      </w:r>
      <w:r w:rsidR="00F95A72" w:rsidRPr="00D5464D">
        <w:rPr>
          <w:lang w:val="pt-BR"/>
        </w:rPr>
        <w:t>di</w:t>
      </w:r>
      <w:r w:rsidRPr="00D5464D">
        <w:rPr>
          <w:lang w:val="pt-BR"/>
        </w:rPr>
        <w:t>ante</w:t>
      </w:r>
      <w:r w:rsidR="002C330E" w:rsidRPr="00D5464D">
        <w:rPr>
          <w:lang w:val="pt-BR"/>
        </w:rPr>
        <w:t xml:space="preserve"> </w:t>
      </w:r>
      <w:r w:rsidR="00F95A72" w:rsidRPr="00D5464D">
        <w:rPr>
          <w:lang w:val="pt-BR"/>
        </w:rPr>
        <w:t>d</w:t>
      </w:r>
      <w:r w:rsidR="002C330E" w:rsidRPr="00D5464D">
        <w:rPr>
          <w:lang w:val="pt-BR"/>
        </w:rPr>
        <w:t xml:space="preserve">as </w:t>
      </w:r>
      <w:r w:rsidR="00737270" w:rsidRPr="00D5464D">
        <w:rPr>
          <w:lang w:val="pt-BR"/>
        </w:rPr>
        <w:t>frequente</w:t>
      </w:r>
      <w:r w:rsidRPr="00D5464D">
        <w:rPr>
          <w:lang w:val="pt-BR"/>
        </w:rPr>
        <w:t xml:space="preserve">s </w:t>
      </w:r>
      <w:r w:rsidR="00470ADC" w:rsidRPr="00D5464D">
        <w:rPr>
          <w:lang w:val="pt-BR"/>
        </w:rPr>
        <w:t>denúncias</w:t>
      </w:r>
      <w:r w:rsidR="006A00D0" w:rsidRPr="00D5464D">
        <w:rPr>
          <w:lang w:val="pt-BR"/>
        </w:rPr>
        <w:t>,</w:t>
      </w:r>
      <w:r w:rsidR="002C330E" w:rsidRPr="00D5464D">
        <w:rPr>
          <w:lang w:val="pt-BR"/>
        </w:rPr>
        <w:t xml:space="preserve"> </w:t>
      </w:r>
      <w:r w:rsidR="000B2B14" w:rsidRPr="00D5464D">
        <w:rPr>
          <w:lang w:val="pt-BR"/>
        </w:rPr>
        <w:t>d</w:t>
      </w:r>
      <w:r w:rsidR="002C330E" w:rsidRPr="00D5464D">
        <w:rPr>
          <w:lang w:val="pt-BR"/>
        </w:rPr>
        <w:t xml:space="preserve">a gravidade </w:t>
      </w:r>
      <w:r w:rsidR="00470ADC" w:rsidRPr="00D5464D">
        <w:rPr>
          <w:lang w:val="pt-BR"/>
        </w:rPr>
        <w:t xml:space="preserve">dos </w:t>
      </w:r>
      <w:r w:rsidR="002C330E" w:rsidRPr="00D5464D">
        <w:rPr>
          <w:lang w:val="pt-BR"/>
        </w:rPr>
        <w:t>fatos</w:t>
      </w:r>
      <w:r w:rsidR="006A00D0" w:rsidRPr="00D5464D">
        <w:rPr>
          <w:lang w:val="pt-BR"/>
        </w:rPr>
        <w:t xml:space="preserve"> denunciados</w:t>
      </w:r>
      <w:r w:rsidR="00E045D9" w:rsidRPr="00D5464D">
        <w:rPr>
          <w:lang w:val="pt-BR"/>
        </w:rPr>
        <w:t xml:space="preserve"> e </w:t>
      </w:r>
      <w:r w:rsidR="000B2B14" w:rsidRPr="00D5464D">
        <w:rPr>
          <w:lang w:val="pt-BR"/>
        </w:rPr>
        <w:t>d</w:t>
      </w:r>
      <w:r w:rsidR="002C330E" w:rsidRPr="00D5464D">
        <w:rPr>
          <w:lang w:val="pt-BR"/>
        </w:rPr>
        <w:t>a obrigação</w:t>
      </w:r>
      <w:r w:rsidR="006A00D0" w:rsidRPr="00D5464D">
        <w:rPr>
          <w:lang w:val="pt-BR"/>
        </w:rPr>
        <w:t xml:space="preserve"> especial de preven</w:t>
      </w:r>
      <w:r w:rsidR="00470ADC" w:rsidRPr="00D5464D">
        <w:rPr>
          <w:lang w:val="pt-BR"/>
        </w:rPr>
        <w:t>ção</w:t>
      </w:r>
      <w:r w:rsidR="006A00D0" w:rsidRPr="00D5464D">
        <w:rPr>
          <w:lang w:val="pt-BR"/>
        </w:rPr>
        <w:t xml:space="preserve"> </w:t>
      </w:r>
      <w:r w:rsidR="00F95A72" w:rsidRPr="00D5464D">
        <w:rPr>
          <w:lang w:val="pt-BR"/>
        </w:rPr>
        <w:t xml:space="preserve">imposta </w:t>
      </w:r>
      <w:r w:rsidR="00470ADC" w:rsidRPr="00D5464D">
        <w:rPr>
          <w:lang w:val="pt-BR"/>
        </w:rPr>
        <w:t xml:space="preserve">ao </w:t>
      </w:r>
      <w:r w:rsidR="006A00D0" w:rsidRPr="00D5464D">
        <w:rPr>
          <w:lang w:val="pt-BR"/>
        </w:rPr>
        <w:t xml:space="preserve">Estado </w:t>
      </w:r>
      <w:r w:rsidR="00F95A72" w:rsidRPr="00D5464D">
        <w:rPr>
          <w:lang w:val="pt-BR"/>
        </w:rPr>
        <w:t xml:space="preserve">em relação à </w:t>
      </w:r>
      <w:r w:rsidR="000B376D" w:rsidRPr="00D5464D">
        <w:rPr>
          <w:lang w:val="pt-BR"/>
        </w:rPr>
        <w:t>escravidão</w:t>
      </w:r>
      <w:r w:rsidRPr="00D5464D">
        <w:rPr>
          <w:lang w:val="pt-BR"/>
        </w:rPr>
        <w:t xml:space="preserve">, era </w:t>
      </w:r>
      <w:r w:rsidR="002C330E" w:rsidRPr="00D5464D">
        <w:rPr>
          <w:lang w:val="pt-BR"/>
        </w:rPr>
        <w:t>necessári</w:t>
      </w:r>
      <w:r w:rsidR="00F95A72" w:rsidRPr="00D5464D">
        <w:rPr>
          <w:lang w:val="pt-BR"/>
        </w:rPr>
        <w:t>a a intensificação d</w:t>
      </w:r>
      <w:r w:rsidR="002C330E" w:rsidRPr="00D5464D">
        <w:rPr>
          <w:lang w:val="pt-BR"/>
        </w:rPr>
        <w:t xml:space="preserve">as </w:t>
      </w:r>
      <w:r w:rsidR="0031040E" w:rsidRPr="00D5464D">
        <w:rPr>
          <w:lang w:val="pt-BR"/>
        </w:rPr>
        <w:t>fiscalizações</w:t>
      </w:r>
      <w:r w:rsidR="00E045D9" w:rsidRPr="00D5464D">
        <w:rPr>
          <w:lang w:val="pt-BR"/>
        </w:rPr>
        <w:t xml:space="preserve"> nesta </w:t>
      </w:r>
      <w:r w:rsidR="00D809F0" w:rsidRPr="00D5464D">
        <w:rPr>
          <w:lang w:val="pt-BR"/>
        </w:rPr>
        <w:t>fazenda</w:t>
      </w:r>
      <w:r w:rsidR="00F95A72" w:rsidRPr="00D5464D">
        <w:rPr>
          <w:lang w:val="pt-BR"/>
        </w:rPr>
        <w:t xml:space="preserve"> por parte do Estado</w:t>
      </w:r>
      <w:r w:rsidRPr="00D5464D">
        <w:rPr>
          <w:lang w:val="pt-BR"/>
        </w:rPr>
        <w:t xml:space="preserve">, de modo a </w:t>
      </w:r>
      <w:r w:rsidR="006A00D0" w:rsidRPr="00D5464D">
        <w:rPr>
          <w:lang w:val="pt-BR"/>
        </w:rPr>
        <w:t>erradicar</w:t>
      </w:r>
      <w:r w:rsidR="002C330E" w:rsidRPr="00D5464D">
        <w:rPr>
          <w:lang w:val="pt-BR"/>
        </w:rPr>
        <w:t xml:space="preserve"> a prática</w:t>
      </w:r>
      <w:r w:rsidRPr="00D5464D">
        <w:rPr>
          <w:lang w:val="pt-BR"/>
        </w:rPr>
        <w:t xml:space="preserve"> de </w:t>
      </w:r>
      <w:r w:rsidR="000B376D" w:rsidRPr="00D5464D">
        <w:rPr>
          <w:lang w:val="pt-BR"/>
        </w:rPr>
        <w:t>escravidão</w:t>
      </w:r>
      <w:r w:rsidR="00E045D9" w:rsidRPr="00D5464D">
        <w:rPr>
          <w:lang w:val="pt-BR"/>
        </w:rPr>
        <w:t xml:space="preserve"> no </w:t>
      </w:r>
      <w:r w:rsidRPr="00D5464D">
        <w:rPr>
          <w:lang w:val="pt-BR"/>
        </w:rPr>
        <w:t>referid</w:t>
      </w:r>
      <w:r w:rsidR="006A00D0" w:rsidRPr="00D5464D">
        <w:rPr>
          <w:lang w:val="pt-BR"/>
        </w:rPr>
        <w:t>o</w:t>
      </w:r>
      <w:r w:rsidRPr="00D5464D">
        <w:rPr>
          <w:lang w:val="pt-BR"/>
        </w:rPr>
        <w:t xml:space="preserve"> </w:t>
      </w:r>
      <w:r w:rsidR="00470ADC" w:rsidRPr="00D5464D">
        <w:rPr>
          <w:lang w:val="pt-BR"/>
        </w:rPr>
        <w:t>estabelecimento</w:t>
      </w:r>
      <w:r w:rsidRPr="00D5464D">
        <w:rPr>
          <w:lang w:val="pt-BR"/>
        </w:rPr>
        <w:t xml:space="preserve">. </w:t>
      </w:r>
    </w:p>
    <w:p w14:paraId="530058F8" w14:textId="77777777" w:rsidR="00207197" w:rsidRPr="00D5464D" w:rsidRDefault="00207197" w:rsidP="00140440">
      <w:pPr>
        <w:pStyle w:val="Prrafodelista"/>
        <w:ind w:left="0"/>
        <w:rPr>
          <w:b/>
          <w:lang w:val="pt-BR"/>
        </w:rPr>
      </w:pPr>
    </w:p>
    <w:p w14:paraId="4F6212EF" w14:textId="0F03BF80" w:rsidR="00207197" w:rsidRPr="00D5464D" w:rsidRDefault="00F95A72" w:rsidP="00F37DC4">
      <w:pPr>
        <w:pStyle w:val="Prrafodelista"/>
        <w:numPr>
          <w:ilvl w:val="0"/>
          <w:numId w:val="1"/>
        </w:numPr>
        <w:contextualSpacing w:val="0"/>
        <w:rPr>
          <w:b/>
          <w:lang w:val="pt-BR"/>
        </w:rPr>
      </w:pPr>
      <w:r w:rsidRPr="00D5464D">
        <w:rPr>
          <w:lang w:val="pt-BR"/>
        </w:rPr>
        <w:t>De outro modo</w:t>
      </w:r>
      <w:r w:rsidR="00A1358C" w:rsidRPr="00D5464D">
        <w:rPr>
          <w:lang w:val="pt-BR"/>
        </w:rPr>
        <w:t>,</w:t>
      </w:r>
      <w:r w:rsidR="00207197" w:rsidRPr="00D5464D">
        <w:rPr>
          <w:lang w:val="pt-BR"/>
        </w:rPr>
        <w:t xml:space="preserve"> </w:t>
      </w:r>
      <w:r w:rsidRPr="00D5464D">
        <w:rPr>
          <w:lang w:val="pt-BR"/>
        </w:rPr>
        <w:t xml:space="preserve">além </w:t>
      </w:r>
      <w:r w:rsidR="00470ADC" w:rsidRPr="00D5464D">
        <w:rPr>
          <w:lang w:val="pt-BR"/>
        </w:rPr>
        <w:t xml:space="preserve">do </w:t>
      </w:r>
      <w:r w:rsidR="002C330E" w:rsidRPr="00D5464D">
        <w:rPr>
          <w:lang w:val="pt-BR"/>
        </w:rPr>
        <w:t>risco</w:t>
      </w:r>
      <w:r w:rsidR="00E045D9" w:rsidRPr="00D5464D">
        <w:rPr>
          <w:lang w:val="pt-BR"/>
        </w:rPr>
        <w:t xml:space="preserve"> já </w:t>
      </w:r>
      <w:r w:rsidR="00470ADC" w:rsidRPr="00D5464D">
        <w:rPr>
          <w:lang w:val="pt-BR"/>
        </w:rPr>
        <w:t>conhecido</w:t>
      </w:r>
      <w:r w:rsidR="001D0A2C" w:rsidRPr="00D5464D">
        <w:rPr>
          <w:lang w:val="pt-BR"/>
        </w:rPr>
        <w:t xml:space="preserve"> </w:t>
      </w:r>
      <w:r w:rsidR="00F47E54" w:rsidRPr="00D5464D">
        <w:rPr>
          <w:lang w:val="pt-BR"/>
        </w:rPr>
        <w:t xml:space="preserve">que foi </w:t>
      </w:r>
      <w:r w:rsidR="00470ADC" w:rsidRPr="00D5464D">
        <w:rPr>
          <w:lang w:val="pt-BR"/>
        </w:rPr>
        <w:t>detalhad</w:t>
      </w:r>
      <w:r w:rsidR="001D0A2C" w:rsidRPr="00D5464D">
        <w:rPr>
          <w:lang w:val="pt-BR"/>
        </w:rPr>
        <w:t>o anteriormente,</w:t>
      </w:r>
      <w:r w:rsidR="002C330E" w:rsidRPr="00D5464D">
        <w:rPr>
          <w:lang w:val="pt-BR"/>
        </w:rPr>
        <w:t xml:space="preserve"> a </w:t>
      </w:r>
      <w:r w:rsidR="001D0A2C" w:rsidRPr="00D5464D">
        <w:rPr>
          <w:lang w:val="pt-BR"/>
        </w:rPr>
        <w:t>situa</w:t>
      </w:r>
      <w:r w:rsidR="00470ADC" w:rsidRPr="00D5464D">
        <w:rPr>
          <w:lang w:val="pt-BR"/>
        </w:rPr>
        <w:t>ção</w:t>
      </w:r>
      <w:r w:rsidR="001D0A2C" w:rsidRPr="00D5464D">
        <w:rPr>
          <w:lang w:val="pt-BR"/>
        </w:rPr>
        <w:t xml:space="preserve"> de </w:t>
      </w:r>
      <w:r w:rsidR="002C330E" w:rsidRPr="00D5464D">
        <w:rPr>
          <w:lang w:val="pt-BR"/>
        </w:rPr>
        <w:t>risco</w:t>
      </w:r>
      <w:r w:rsidR="001D0A2C" w:rsidRPr="00D5464D">
        <w:rPr>
          <w:lang w:val="pt-BR"/>
        </w:rPr>
        <w:t xml:space="preserve"> </w:t>
      </w:r>
      <w:r w:rsidR="00F47E54" w:rsidRPr="00D5464D">
        <w:rPr>
          <w:lang w:val="pt-BR"/>
        </w:rPr>
        <w:t>iminente</w:t>
      </w:r>
      <w:r w:rsidR="001D0A2C" w:rsidRPr="00D5464D">
        <w:rPr>
          <w:lang w:val="pt-BR"/>
        </w:rPr>
        <w:t xml:space="preserve"> </w:t>
      </w:r>
      <w:r w:rsidR="00F47E54" w:rsidRPr="00D5464D">
        <w:rPr>
          <w:lang w:val="pt-BR"/>
        </w:rPr>
        <w:t xml:space="preserve">foi verificada </w:t>
      </w:r>
      <w:r w:rsidR="00E045D9" w:rsidRPr="00D5464D">
        <w:rPr>
          <w:lang w:val="pt-BR"/>
        </w:rPr>
        <w:t xml:space="preserve">uma </w:t>
      </w:r>
      <w:r w:rsidR="001D0A2C" w:rsidRPr="00D5464D">
        <w:rPr>
          <w:lang w:val="pt-BR"/>
        </w:rPr>
        <w:t>vez que</w:t>
      </w:r>
      <w:r w:rsidR="002C330E" w:rsidRPr="00D5464D">
        <w:rPr>
          <w:lang w:val="pt-BR"/>
        </w:rPr>
        <w:t xml:space="preserve"> </w:t>
      </w:r>
      <w:r w:rsidR="00E42F61" w:rsidRPr="00D5464D">
        <w:rPr>
          <w:lang w:val="pt-BR"/>
        </w:rPr>
        <w:t xml:space="preserve">Antônio </w:t>
      </w:r>
      <w:r w:rsidR="00DF57D3" w:rsidRPr="00D5464D">
        <w:rPr>
          <w:lang w:val="pt-BR"/>
        </w:rPr>
        <w:t>Francisco da Silva</w:t>
      </w:r>
      <w:r w:rsidR="00E045D9" w:rsidRPr="00D5464D">
        <w:rPr>
          <w:lang w:val="pt-BR"/>
        </w:rPr>
        <w:t xml:space="preserve"> e </w:t>
      </w:r>
      <w:r w:rsidR="00D47B1B" w:rsidRPr="00D5464D">
        <w:rPr>
          <w:rFonts w:cs="Times New Roman"/>
          <w:szCs w:val="20"/>
          <w:lang w:val="pt-BR"/>
        </w:rPr>
        <w:t>José Francisco Furtado de Sousa</w:t>
      </w:r>
      <w:r w:rsidR="001D0A2C" w:rsidRPr="00D5464D">
        <w:rPr>
          <w:lang w:val="pt-BR"/>
        </w:rPr>
        <w:t xml:space="preserve"> </w:t>
      </w:r>
      <w:r w:rsidR="00E045D9" w:rsidRPr="00D5464D">
        <w:rPr>
          <w:lang w:val="pt-BR"/>
        </w:rPr>
        <w:t xml:space="preserve">conseguiram fugir </w:t>
      </w:r>
      <w:r w:rsidR="00470ADC" w:rsidRPr="00D5464D">
        <w:rPr>
          <w:lang w:val="pt-BR"/>
        </w:rPr>
        <w:t xml:space="preserve">da </w:t>
      </w:r>
      <w:r w:rsidR="00D809F0" w:rsidRPr="00D5464D">
        <w:rPr>
          <w:lang w:val="pt-BR"/>
        </w:rPr>
        <w:t>Fazenda</w:t>
      </w:r>
      <w:r w:rsidR="001D0A2C" w:rsidRPr="00D5464D">
        <w:rPr>
          <w:lang w:val="pt-BR"/>
        </w:rPr>
        <w:t xml:space="preserve"> Brasil Verde</w:t>
      </w:r>
      <w:r w:rsidR="00E045D9" w:rsidRPr="00D5464D">
        <w:rPr>
          <w:lang w:val="pt-BR"/>
        </w:rPr>
        <w:t xml:space="preserve"> e </w:t>
      </w:r>
      <w:r w:rsidR="001D0A2C" w:rsidRPr="00D5464D">
        <w:rPr>
          <w:lang w:val="pt-BR"/>
        </w:rPr>
        <w:t xml:space="preserve">se </w:t>
      </w:r>
      <w:r w:rsidR="002C330E" w:rsidRPr="00D5464D">
        <w:rPr>
          <w:lang w:val="pt-BR"/>
        </w:rPr>
        <w:t>apresentaram</w:t>
      </w:r>
      <w:r w:rsidR="00470ADC" w:rsidRPr="00D5464D">
        <w:rPr>
          <w:lang w:val="pt-BR"/>
        </w:rPr>
        <w:t xml:space="preserve"> </w:t>
      </w:r>
      <w:r w:rsidR="00F47E54" w:rsidRPr="00D5464D">
        <w:rPr>
          <w:lang w:val="pt-BR"/>
        </w:rPr>
        <w:t>à</w:t>
      </w:r>
      <w:r w:rsidR="00470ADC" w:rsidRPr="00D5464D">
        <w:rPr>
          <w:lang w:val="pt-BR"/>
        </w:rPr>
        <w:t xml:space="preserve"> </w:t>
      </w:r>
      <w:r w:rsidR="00C91CB1" w:rsidRPr="00D5464D">
        <w:rPr>
          <w:lang w:val="pt-BR"/>
        </w:rPr>
        <w:t xml:space="preserve">Polícia </w:t>
      </w:r>
      <w:r w:rsidR="001D0A2C" w:rsidRPr="00D5464D">
        <w:rPr>
          <w:lang w:val="pt-BR"/>
        </w:rPr>
        <w:t>Federal de Marabá</w:t>
      </w:r>
      <w:r w:rsidR="00C91CB1" w:rsidRPr="00D5464D">
        <w:rPr>
          <w:lang w:val="pt-BR"/>
        </w:rPr>
        <w:t>. Nessa</w:t>
      </w:r>
      <w:r w:rsidR="00470ADC" w:rsidRPr="00D5464D">
        <w:rPr>
          <w:lang w:val="pt-BR"/>
        </w:rPr>
        <w:t xml:space="preserve"> </w:t>
      </w:r>
      <w:r w:rsidR="00207197" w:rsidRPr="00D5464D">
        <w:rPr>
          <w:lang w:val="pt-BR"/>
        </w:rPr>
        <w:t>oportu</w:t>
      </w:r>
      <w:r w:rsidR="00737270" w:rsidRPr="00D5464D">
        <w:rPr>
          <w:lang w:val="pt-BR"/>
        </w:rPr>
        <w:t xml:space="preserve">nidade, </w:t>
      </w:r>
      <w:r w:rsidR="00470ADC" w:rsidRPr="00D5464D">
        <w:rPr>
          <w:lang w:val="pt-BR"/>
        </w:rPr>
        <w:t xml:space="preserve">ao </w:t>
      </w:r>
      <w:r w:rsidR="002C330E" w:rsidRPr="00D5464D">
        <w:rPr>
          <w:lang w:val="pt-BR"/>
        </w:rPr>
        <w:t xml:space="preserve">receber a </w:t>
      </w:r>
      <w:r w:rsidR="00470ADC" w:rsidRPr="00D5464D">
        <w:rPr>
          <w:lang w:val="pt-BR"/>
        </w:rPr>
        <w:t xml:space="preserve">denúncia dos </w:t>
      </w:r>
      <w:r w:rsidR="001D0A2C" w:rsidRPr="00D5464D">
        <w:rPr>
          <w:lang w:val="pt-BR"/>
        </w:rPr>
        <w:t>adolescentes sobre</w:t>
      </w:r>
      <w:r w:rsidR="002C330E" w:rsidRPr="00D5464D">
        <w:rPr>
          <w:lang w:val="pt-BR"/>
        </w:rPr>
        <w:t xml:space="preserve"> os </w:t>
      </w:r>
      <w:r w:rsidR="001D0A2C" w:rsidRPr="00D5464D">
        <w:rPr>
          <w:lang w:val="pt-BR"/>
        </w:rPr>
        <w:t xml:space="preserve">delitos </w:t>
      </w:r>
      <w:r w:rsidR="00F47E54" w:rsidRPr="00D5464D">
        <w:rPr>
          <w:lang w:val="pt-BR"/>
        </w:rPr>
        <w:t xml:space="preserve">que estavam em curso </w:t>
      </w:r>
      <w:r w:rsidR="00E045D9" w:rsidRPr="00D5464D">
        <w:rPr>
          <w:lang w:val="pt-BR"/>
        </w:rPr>
        <w:t xml:space="preserve">na </w:t>
      </w:r>
      <w:r w:rsidR="001D0A2C" w:rsidRPr="00D5464D">
        <w:rPr>
          <w:lang w:val="pt-BR"/>
        </w:rPr>
        <w:t xml:space="preserve">referida </w:t>
      </w:r>
      <w:r w:rsidR="00D809F0" w:rsidRPr="00D5464D">
        <w:rPr>
          <w:lang w:val="pt-BR"/>
        </w:rPr>
        <w:t>fazenda</w:t>
      </w:r>
      <w:r w:rsidR="001D0A2C" w:rsidRPr="00D5464D">
        <w:rPr>
          <w:lang w:val="pt-BR"/>
        </w:rPr>
        <w:t>,</w:t>
      </w:r>
      <w:r w:rsidR="002C330E" w:rsidRPr="00D5464D">
        <w:rPr>
          <w:lang w:val="pt-BR"/>
        </w:rPr>
        <w:t xml:space="preserve"> a </w:t>
      </w:r>
      <w:r w:rsidR="001D0A2C" w:rsidRPr="00D5464D">
        <w:rPr>
          <w:lang w:val="pt-BR"/>
        </w:rPr>
        <w:t>condi</w:t>
      </w:r>
      <w:r w:rsidR="00470ADC" w:rsidRPr="00D5464D">
        <w:rPr>
          <w:lang w:val="pt-BR"/>
        </w:rPr>
        <w:t>ção</w:t>
      </w:r>
      <w:r w:rsidR="001D0A2C" w:rsidRPr="00D5464D">
        <w:rPr>
          <w:lang w:val="pt-BR"/>
        </w:rPr>
        <w:t xml:space="preserve"> de </w:t>
      </w:r>
      <w:r w:rsidR="002C330E" w:rsidRPr="00D5464D">
        <w:rPr>
          <w:lang w:val="pt-BR"/>
        </w:rPr>
        <w:t xml:space="preserve">criança </w:t>
      </w:r>
      <w:r w:rsidR="00DF57D3" w:rsidRPr="00D5464D">
        <w:rPr>
          <w:lang w:val="pt-BR"/>
        </w:rPr>
        <w:t xml:space="preserve">de </w:t>
      </w:r>
      <w:r w:rsidR="00E42F61" w:rsidRPr="00D5464D">
        <w:rPr>
          <w:lang w:val="pt-BR"/>
        </w:rPr>
        <w:t xml:space="preserve">Antônio </w:t>
      </w:r>
      <w:r w:rsidR="00DF57D3" w:rsidRPr="00D5464D">
        <w:rPr>
          <w:lang w:val="pt-BR"/>
        </w:rPr>
        <w:t>Francisco da Silva</w:t>
      </w:r>
      <w:r w:rsidR="00E045D9" w:rsidRPr="00D5464D">
        <w:rPr>
          <w:lang w:val="pt-BR"/>
        </w:rPr>
        <w:t xml:space="preserve"> e </w:t>
      </w:r>
      <w:r w:rsidR="002C330E" w:rsidRPr="00D5464D">
        <w:rPr>
          <w:lang w:val="pt-BR"/>
        </w:rPr>
        <w:t xml:space="preserve">a gravidade </w:t>
      </w:r>
      <w:r w:rsidR="00470ADC" w:rsidRPr="00D5464D">
        <w:rPr>
          <w:lang w:val="pt-BR"/>
        </w:rPr>
        <w:t xml:space="preserve">dos </w:t>
      </w:r>
      <w:r w:rsidR="002C330E" w:rsidRPr="00D5464D">
        <w:rPr>
          <w:lang w:val="pt-BR"/>
        </w:rPr>
        <w:t>fatos</w:t>
      </w:r>
      <w:r w:rsidR="001D0A2C" w:rsidRPr="00D5464D">
        <w:rPr>
          <w:lang w:val="pt-BR"/>
        </w:rPr>
        <w:t xml:space="preserve"> denunciados,</w:t>
      </w:r>
      <w:r w:rsidR="002C330E" w:rsidRPr="00D5464D">
        <w:rPr>
          <w:lang w:val="pt-BR"/>
        </w:rPr>
        <w:t xml:space="preserve"> a </w:t>
      </w:r>
      <w:r w:rsidR="00E765C2" w:rsidRPr="00D5464D">
        <w:rPr>
          <w:lang w:val="pt-BR"/>
        </w:rPr>
        <w:t xml:space="preserve">polícia </w:t>
      </w:r>
      <w:r w:rsidR="002C330E" w:rsidRPr="00D5464D">
        <w:rPr>
          <w:lang w:val="pt-BR"/>
        </w:rPr>
        <w:t>simplesmente</w:t>
      </w:r>
      <w:r w:rsidR="001D0A2C" w:rsidRPr="00D5464D">
        <w:rPr>
          <w:lang w:val="pt-BR"/>
        </w:rPr>
        <w:t xml:space="preserve"> </w:t>
      </w:r>
      <w:r w:rsidR="002C330E" w:rsidRPr="00D5464D">
        <w:rPr>
          <w:lang w:val="pt-BR"/>
        </w:rPr>
        <w:t>informou</w:t>
      </w:r>
      <w:r w:rsidR="00207197" w:rsidRPr="00D5464D">
        <w:rPr>
          <w:lang w:val="pt-BR"/>
        </w:rPr>
        <w:t xml:space="preserve"> que </w:t>
      </w:r>
      <w:r w:rsidR="00737270" w:rsidRPr="00D5464D">
        <w:rPr>
          <w:lang w:val="pt-BR"/>
        </w:rPr>
        <w:t>não pode</w:t>
      </w:r>
      <w:r w:rsidR="002C330E" w:rsidRPr="00D5464D">
        <w:rPr>
          <w:lang w:val="pt-BR"/>
        </w:rPr>
        <w:t>ria</w:t>
      </w:r>
      <w:r w:rsidR="000B2B14" w:rsidRPr="00D5464D">
        <w:rPr>
          <w:lang w:val="pt-BR"/>
        </w:rPr>
        <w:t xml:space="preserve"> atendê</w:t>
      </w:r>
      <w:r w:rsidR="00F47E54" w:rsidRPr="00D5464D">
        <w:rPr>
          <w:lang w:val="pt-BR"/>
        </w:rPr>
        <w:t>-</w:t>
      </w:r>
      <w:r w:rsidR="00207197" w:rsidRPr="00D5464D">
        <w:rPr>
          <w:lang w:val="pt-BR"/>
        </w:rPr>
        <w:t>los por ser carnaval</w:t>
      </w:r>
      <w:r w:rsidR="00E045D9" w:rsidRPr="00D5464D">
        <w:rPr>
          <w:lang w:val="pt-BR"/>
        </w:rPr>
        <w:t xml:space="preserve"> e </w:t>
      </w:r>
      <w:r w:rsidR="002C330E" w:rsidRPr="00D5464D">
        <w:rPr>
          <w:lang w:val="pt-BR"/>
        </w:rPr>
        <w:t xml:space="preserve">lhes </w:t>
      </w:r>
      <w:r w:rsidR="00A1358C" w:rsidRPr="00D5464D">
        <w:rPr>
          <w:lang w:val="pt-BR"/>
        </w:rPr>
        <w:t>orientou</w:t>
      </w:r>
      <w:r w:rsidR="00207197" w:rsidRPr="00D5464D">
        <w:rPr>
          <w:lang w:val="pt-BR"/>
        </w:rPr>
        <w:t xml:space="preserve"> a </w:t>
      </w:r>
      <w:r w:rsidR="00230C71" w:rsidRPr="00D5464D">
        <w:rPr>
          <w:lang w:val="pt-BR"/>
        </w:rPr>
        <w:t>regressar</w:t>
      </w:r>
      <w:r w:rsidR="00207197" w:rsidRPr="00D5464D">
        <w:rPr>
          <w:lang w:val="pt-BR"/>
        </w:rPr>
        <w:t xml:space="preserve"> dentro de do</w:t>
      </w:r>
      <w:r w:rsidR="00F47E54" w:rsidRPr="00D5464D">
        <w:rPr>
          <w:lang w:val="pt-BR"/>
        </w:rPr>
        <w:t>i</w:t>
      </w:r>
      <w:r w:rsidR="00207197" w:rsidRPr="00D5464D">
        <w:rPr>
          <w:lang w:val="pt-BR"/>
        </w:rPr>
        <w:t xml:space="preserve">s </w:t>
      </w:r>
      <w:r w:rsidR="00470ADC" w:rsidRPr="00D5464D">
        <w:rPr>
          <w:lang w:val="pt-BR"/>
        </w:rPr>
        <w:t>dia</w:t>
      </w:r>
      <w:r w:rsidR="00207197" w:rsidRPr="00D5464D">
        <w:rPr>
          <w:lang w:val="pt-BR"/>
        </w:rPr>
        <w:t xml:space="preserve">s. </w:t>
      </w:r>
      <w:r w:rsidR="00470ADC" w:rsidRPr="00D5464D">
        <w:rPr>
          <w:lang w:val="pt-BR"/>
        </w:rPr>
        <w:t>Esta</w:t>
      </w:r>
      <w:r w:rsidR="00207197" w:rsidRPr="00D5464D">
        <w:rPr>
          <w:lang w:val="pt-BR"/>
        </w:rPr>
        <w:t xml:space="preserve"> </w:t>
      </w:r>
      <w:r w:rsidR="00470ADC" w:rsidRPr="00D5464D">
        <w:rPr>
          <w:lang w:val="pt-BR"/>
        </w:rPr>
        <w:t>atitu</w:t>
      </w:r>
      <w:r w:rsidR="00E045D9" w:rsidRPr="00D5464D">
        <w:rPr>
          <w:lang w:val="pt-BR"/>
        </w:rPr>
        <w:t>de</w:t>
      </w:r>
      <w:r w:rsidR="00F47E54" w:rsidRPr="00D5464D">
        <w:rPr>
          <w:lang w:val="pt-BR"/>
        </w:rPr>
        <w:t xml:space="preserve"> e</w:t>
      </w:r>
      <w:r w:rsidR="00E045D9" w:rsidRPr="00D5464D">
        <w:rPr>
          <w:lang w:val="pt-BR"/>
        </w:rPr>
        <w:t>ste</w:t>
      </w:r>
      <w:r w:rsidR="00470ADC" w:rsidRPr="00D5464D">
        <w:rPr>
          <w:lang w:val="pt-BR"/>
        </w:rPr>
        <w:t xml:space="preserve">ve em </w:t>
      </w:r>
      <w:r w:rsidR="00207197" w:rsidRPr="00D5464D">
        <w:rPr>
          <w:lang w:val="pt-BR"/>
        </w:rPr>
        <w:t xml:space="preserve">franca </w:t>
      </w:r>
      <w:r w:rsidR="00470ADC" w:rsidRPr="00D5464D">
        <w:rPr>
          <w:lang w:val="pt-BR"/>
        </w:rPr>
        <w:t>contradição com</w:t>
      </w:r>
      <w:r w:rsidR="002C330E" w:rsidRPr="00D5464D">
        <w:rPr>
          <w:lang w:val="pt-BR"/>
        </w:rPr>
        <w:t xml:space="preserve"> a obrigação</w:t>
      </w:r>
      <w:r w:rsidR="00207197" w:rsidRPr="00D5464D">
        <w:rPr>
          <w:lang w:val="pt-BR"/>
        </w:rPr>
        <w:t xml:space="preserve"> de </w:t>
      </w:r>
      <w:r w:rsidR="00470ADC" w:rsidRPr="00D5464D">
        <w:rPr>
          <w:lang w:val="pt-BR"/>
        </w:rPr>
        <w:t>devida diligência</w:t>
      </w:r>
      <w:r w:rsidR="00207197" w:rsidRPr="00D5464D">
        <w:rPr>
          <w:lang w:val="pt-BR"/>
        </w:rPr>
        <w:t>,</w:t>
      </w:r>
      <w:r w:rsidR="00350187" w:rsidRPr="00D5464D">
        <w:rPr>
          <w:lang w:val="pt-BR"/>
        </w:rPr>
        <w:t xml:space="preserve"> sobretudo </w:t>
      </w:r>
      <w:r w:rsidR="00470ADC" w:rsidRPr="00D5464D">
        <w:rPr>
          <w:lang w:val="pt-BR"/>
        </w:rPr>
        <w:t>quando</w:t>
      </w:r>
      <w:r w:rsidR="002C330E" w:rsidRPr="00D5464D">
        <w:rPr>
          <w:lang w:val="pt-BR"/>
        </w:rPr>
        <w:t xml:space="preserve"> os fatos</w:t>
      </w:r>
      <w:r w:rsidR="00207197" w:rsidRPr="00D5464D">
        <w:rPr>
          <w:lang w:val="pt-BR"/>
        </w:rPr>
        <w:t xml:space="preserve"> denunciados se refe</w:t>
      </w:r>
      <w:r w:rsidR="00350187" w:rsidRPr="00D5464D">
        <w:rPr>
          <w:lang w:val="pt-BR"/>
        </w:rPr>
        <w:t xml:space="preserve">riam </w:t>
      </w:r>
      <w:r w:rsidR="00207197" w:rsidRPr="00D5464D">
        <w:rPr>
          <w:lang w:val="pt-BR"/>
        </w:rPr>
        <w:t>a</w:t>
      </w:r>
      <w:r w:rsidR="00E045D9" w:rsidRPr="00D5464D">
        <w:rPr>
          <w:lang w:val="pt-BR"/>
        </w:rPr>
        <w:t xml:space="preserve"> um </w:t>
      </w:r>
      <w:r w:rsidR="00207197" w:rsidRPr="00D5464D">
        <w:rPr>
          <w:lang w:val="pt-BR"/>
        </w:rPr>
        <w:t>delito</w:t>
      </w:r>
      <w:r w:rsidR="00E045D9" w:rsidRPr="00D5464D">
        <w:rPr>
          <w:lang w:val="pt-BR"/>
        </w:rPr>
        <w:t xml:space="preserve"> tão </w:t>
      </w:r>
      <w:r w:rsidR="00207197" w:rsidRPr="00D5464D">
        <w:rPr>
          <w:lang w:val="pt-BR"/>
        </w:rPr>
        <w:t>grave como</w:t>
      </w:r>
      <w:r w:rsidR="002C330E" w:rsidRPr="00D5464D">
        <w:rPr>
          <w:lang w:val="pt-BR"/>
        </w:rPr>
        <w:t xml:space="preserve"> a </w:t>
      </w:r>
      <w:r w:rsidR="000B376D" w:rsidRPr="00D5464D">
        <w:rPr>
          <w:lang w:val="pt-BR"/>
        </w:rPr>
        <w:t>escravidão</w:t>
      </w:r>
      <w:r w:rsidR="00C91CB1" w:rsidRPr="00D5464D">
        <w:rPr>
          <w:lang w:val="pt-BR"/>
        </w:rPr>
        <w:t xml:space="preserve">. Ao </w:t>
      </w:r>
      <w:r w:rsidR="002C330E" w:rsidRPr="00D5464D">
        <w:rPr>
          <w:lang w:val="pt-BR"/>
        </w:rPr>
        <w:t>receber</w:t>
      </w:r>
      <w:r w:rsidR="00207197" w:rsidRPr="00D5464D">
        <w:rPr>
          <w:lang w:val="pt-BR"/>
        </w:rPr>
        <w:t xml:space="preserve"> </w:t>
      </w:r>
      <w:r w:rsidR="00D3671A" w:rsidRPr="00D5464D">
        <w:rPr>
          <w:lang w:val="pt-BR"/>
        </w:rPr>
        <w:t xml:space="preserve">a </w:t>
      </w:r>
      <w:r w:rsidR="00C91CB1" w:rsidRPr="00D5464D">
        <w:rPr>
          <w:lang w:val="pt-BR"/>
        </w:rPr>
        <w:t xml:space="preserve">notícia </w:t>
      </w:r>
      <w:r w:rsidR="00470ADC" w:rsidRPr="00D5464D">
        <w:rPr>
          <w:lang w:val="pt-BR"/>
        </w:rPr>
        <w:t xml:space="preserve">da </w:t>
      </w:r>
      <w:r w:rsidR="00E045D9" w:rsidRPr="00D5464D">
        <w:rPr>
          <w:lang w:val="pt-BR"/>
        </w:rPr>
        <w:t>ocorrência</w:t>
      </w:r>
      <w:r w:rsidR="00207197" w:rsidRPr="00D5464D">
        <w:rPr>
          <w:lang w:val="pt-BR"/>
        </w:rPr>
        <w:t xml:space="preserve"> de </w:t>
      </w:r>
      <w:r w:rsidR="000B376D" w:rsidRPr="00D5464D">
        <w:rPr>
          <w:lang w:val="pt-BR"/>
        </w:rPr>
        <w:t>escravidão</w:t>
      </w:r>
      <w:r w:rsidR="00E045D9" w:rsidRPr="00D5464D">
        <w:rPr>
          <w:lang w:val="pt-BR"/>
        </w:rPr>
        <w:t xml:space="preserve"> e </w:t>
      </w:r>
      <w:r w:rsidR="00207197" w:rsidRPr="00D5464D">
        <w:rPr>
          <w:lang w:val="pt-BR"/>
        </w:rPr>
        <w:t xml:space="preserve">de </w:t>
      </w:r>
      <w:r w:rsidR="00E045D9" w:rsidRPr="00D5464D">
        <w:rPr>
          <w:lang w:val="pt-BR"/>
        </w:rPr>
        <w:t>violência</w:t>
      </w:r>
      <w:r w:rsidR="00207197" w:rsidRPr="00D5464D">
        <w:rPr>
          <w:lang w:val="pt-BR"/>
        </w:rPr>
        <w:t xml:space="preserve"> contra</w:t>
      </w:r>
      <w:r w:rsidR="00E045D9" w:rsidRPr="00D5464D">
        <w:rPr>
          <w:lang w:val="pt-BR"/>
        </w:rPr>
        <w:t xml:space="preserve"> </w:t>
      </w:r>
      <w:r w:rsidR="00A1358C" w:rsidRPr="00D5464D">
        <w:rPr>
          <w:lang w:val="pt-BR"/>
        </w:rPr>
        <w:t>uma criança</w:t>
      </w:r>
      <w:r w:rsidR="00F47E54" w:rsidRPr="00D5464D">
        <w:rPr>
          <w:lang w:val="pt-BR"/>
        </w:rPr>
        <w:t>,</w:t>
      </w:r>
      <w:r w:rsidR="002C330E" w:rsidRPr="00D5464D">
        <w:rPr>
          <w:lang w:val="pt-BR"/>
        </w:rPr>
        <w:t xml:space="preserve"> </w:t>
      </w:r>
      <w:r w:rsidR="00470ADC" w:rsidRPr="00D5464D">
        <w:rPr>
          <w:lang w:val="pt-BR"/>
        </w:rPr>
        <w:t xml:space="preserve">o </w:t>
      </w:r>
      <w:r w:rsidR="00207197" w:rsidRPr="00D5464D">
        <w:rPr>
          <w:lang w:val="pt-BR"/>
        </w:rPr>
        <w:t xml:space="preserve">Estado </w:t>
      </w:r>
      <w:r w:rsidR="00E045D9" w:rsidRPr="00D5464D">
        <w:rPr>
          <w:lang w:val="pt-BR"/>
        </w:rPr>
        <w:t>tinha</w:t>
      </w:r>
      <w:r w:rsidR="00470ADC" w:rsidRPr="00D5464D">
        <w:rPr>
          <w:lang w:val="pt-BR"/>
        </w:rPr>
        <w:t xml:space="preserve"> o dever</w:t>
      </w:r>
      <w:r w:rsidR="00207197" w:rsidRPr="00D5464D">
        <w:rPr>
          <w:lang w:val="pt-BR"/>
        </w:rPr>
        <w:t xml:space="preserve"> de </w:t>
      </w:r>
      <w:r w:rsidR="00F47E54" w:rsidRPr="00D5464D">
        <w:rPr>
          <w:lang w:val="pt-BR"/>
        </w:rPr>
        <w:t xml:space="preserve">empenhar </w:t>
      </w:r>
      <w:r w:rsidR="00207197" w:rsidRPr="00D5464D">
        <w:rPr>
          <w:lang w:val="pt-BR"/>
        </w:rPr>
        <w:t xml:space="preserve">todo </w:t>
      </w:r>
      <w:r w:rsidR="00F47E54" w:rsidRPr="00D5464D">
        <w:rPr>
          <w:lang w:val="pt-BR"/>
        </w:rPr>
        <w:t xml:space="preserve">o seu </w:t>
      </w:r>
      <w:r w:rsidR="00207197" w:rsidRPr="00D5464D">
        <w:rPr>
          <w:lang w:val="pt-BR"/>
        </w:rPr>
        <w:t>aparato para</w:t>
      </w:r>
      <w:r w:rsidR="002C330E" w:rsidRPr="00D5464D">
        <w:rPr>
          <w:lang w:val="pt-BR"/>
        </w:rPr>
        <w:t xml:space="preserve"> fazer </w:t>
      </w:r>
      <w:r w:rsidR="00207197" w:rsidRPr="00D5464D">
        <w:rPr>
          <w:lang w:val="pt-BR"/>
        </w:rPr>
        <w:t>frente a</w:t>
      </w:r>
      <w:r w:rsidR="00470ADC" w:rsidRPr="00D5464D">
        <w:rPr>
          <w:lang w:val="pt-BR"/>
        </w:rPr>
        <w:t xml:space="preserve"> essas </w:t>
      </w:r>
      <w:r w:rsidR="00207197" w:rsidRPr="00D5464D">
        <w:rPr>
          <w:lang w:val="pt-BR"/>
        </w:rPr>
        <w:t>viola</w:t>
      </w:r>
      <w:r w:rsidR="00470ADC" w:rsidRPr="00D5464D">
        <w:rPr>
          <w:lang w:val="pt-BR"/>
        </w:rPr>
        <w:t>ções</w:t>
      </w:r>
      <w:r w:rsidR="00207197" w:rsidRPr="00D5464D">
        <w:rPr>
          <w:lang w:val="pt-BR"/>
        </w:rPr>
        <w:t xml:space="preserve"> de </w:t>
      </w:r>
      <w:r w:rsidR="00470ADC" w:rsidRPr="00D5464D">
        <w:rPr>
          <w:lang w:val="pt-BR"/>
        </w:rPr>
        <w:t>direito</w:t>
      </w:r>
      <w:r w:rsidR="00207197" w:rsidRPr="00D5464D">
        <w:rPr>
          <w:lang w:val="pt-BR"/>
        </w:rPr>
        <w:t xml:space="preserve">s humanos. </w:t>
      </w:r>
      <w:r w:rsidR="00F52FC2" w:rsidRPr="00D5464D">
        <w:rPr>
          <w:lang w:val="pt-BR"/>
        </w:rPr>
        <w:t xml:space="preserve">Proceder de modo </w:t>
      </w:r>
      <w:r w:rsidR="00C91CB1" w:rsidRPr="00D5464D">
        <w:rPr>
          <w:lang w:val="pt-BR"/>
        </w:rPr>
        <w:t xml:space="preserve">contrário </w:t>
      </w:r>
      <w:r w:rsidR="00E045D9" w:rsidRPr="00D5464D">
        <w:rPr>
          <w:lang w:val="pt-BR"/>
        </w:rPr>
        <w:t>violou</w:t>
      </w:r>
      <w:r w:rsidR="00470ADC" w:rsidRPr="00D5464D">
        <w:rPr>
          <w:lang w:val="pt-BR"/>
        </w:rPr>
        <w:t xml:space="preserve"> o dever</w:t>
      </w:r>
      <w:r w:rsidR="00F52FC2" w:rsidRPr="00D5464D">
        <w:rPr>
          <w:lang w:val="pt-BR"/>
        </w:rPr>
        <w:t xml:space="preserve"> estatal de prevenir</w:t>
      </w:r>
      <w:r w:rsidR="002C330E" w:rsidRPr="00D5464D">
        <w:rPr>
          <w:lang w:val="pt-BR"/>
        </w:rPr>
        <w:t xml:space="preserve"> a </w:t>
      </w:r>
      <w:r w:rsidR="00E045D9" w:rsidRPr="00D5464D">
        <w:rPr>
          <w:lang w:val="pt-BR"/>
        </w:rPr>
        <w:t>ocorrência</w:t>
      </w:r>
      <w:r w:rsidR="00F52FC2" w:rsidRPr="00D5464D">
        <w:rPr>
          <w:lang w:val="pt-BR"/>
        </w:rPr>
        <w:t xml:space="preserve"> de </w:t>
      </w:r>
      <w:r w:rsidR="000B376D" w:rsidRPr="00D5464D">
        <w:rPr>
          <w:lang w:val="pt-BR"/>
        </w:rPr>
        <w:t>escravidão</w:t>
      </w:r>
      <w:r w:rsidR="00470ADC" w:rsidRPr="00D5464D">
        <w:rPr>
          <w:lang w:val="pt-BR"/>
        </w:rPr>
        <w:t xml:space="preserve"> em </w:t>
      </w:r>
      <w:r w:rsidR="00230C71" w:rsidRPr="00D5464D">
        <w:rPr>
          <w:lang w:val="pt-BR"/>
        </w:rPr>
        <w:t>seu território</w:t>
      </w:r>
      <w:r w:rsidR="00F52FC2" w:rsidRPr="00D5464D">
        <w:rPr>
          <w:lang w:val="pt-BR"/>
        </w:rPr>
        <w:t>.</w:t>
      </w:r>
    </w:p>
    <w:p w14:paraId="007D49CC" w14:textId="77777777" w:rsidR="00207197" w:rsidRPr="00D5464D" w:rsidRDefault="00207197" w:rsidP="00140440">
      <w:pPr>
        <w:pStyle w:val="Prrafodelista"/>
        <w:ind w:left="0"/>
        <w:rPr>
          <w:lang w:val="pt-BR"/>
        </w:rPr>
      </w:pPr>
    </w:p>
    <w:p w14:paraId="6184CAF5" w14:textId="48639833" w:rsidR="00207197" w:rsidRPr="00D5464D" w:rsidRDefault="00207197" w:rsidP="00F37DC4">
      <w:pPr>
        <w:pStyle w:val="Prrafodelista"/>
        <w:numPr>
          <w:ilvl w:val="0"/>
          <w:numId w:val="1"/>
        </w:numPr>
        <w:contextualSpacing w:val="0"/>
        <w:rPr>
          <w:lang w:val="pt-BR"/>
        </w:rPr>
      </w:pPr>
      <w:r w:rsidRPr="00D5464D">
        <w:rPr>
          <w:lang w:val="pt-BR"/>
        </w:rPr>
        <w:t xml:space="preserve">Apesar de </w:t>
      </w:r>
      <w:r w:rsidR="00470ADC" w:rsidRPr="00D5464D">
        <w:rPr>
          <w:lang w:val="pt-BR"/>
        </w:rPr>
        <w:t xml:space="preserve">o </w:t>
      </w:r>
      <w:r w:rsidRPr="00D5464D">
        <w:rPr>
          <w:lang w:val="pt-BR"/>
        </w:rPr>
        <w:t xml:space="preserve">Estado </w:t>
      </w:r>
      <w:r w:rsidR="00E050C4" w:rsidRPr="00D5464D">
        <w:rPr>
          <w:lang w:val="pt-BR"/>
        </w:rPr>
        <w:t>ter</w:t>
      </w:r>
      <w:r w:rsidR="00FF1290" w:rsidRPr="00D5464D">
        <w:rPr>
          <w:lang w:val="pt-BR"/>
        </w:rPr>
        <w:t xml:space="preserve"> </w:t>
      </w:r>
      <w:r w:rsidRPr="00D5464D">
        <w:rPr>
          <w:lang w:val="pt-BR"/>
        </w:rPr>
        <w:t xml:space="preserve">pleno </w:t>
      </w:r>
      <w:r w:rsidR="00470ADC" w:rsidRPr="00D5464D">
        <w:rPr>
          <w:lang w:val="pt-BR"/>
        </w:rPr>
        <w:t>conhecimento</w:t>
      </w:r>
      <w:r w:rsidRPr="00D5464D">
        <w:rPr>
          <w:lang w:val="pt-BR"/>
        </w:rPr>
        <w:t xml:space="preserve"> </w:t>
      </w:r>
      <w:r w:rsidR="00470ADC" w:rsidRPr="00D5464D">
        <w:rPr>
          <w:lang w:val="pt-BR"/>
        </w:rPr>
        <w:t xml:space="preserve">do </w:t>
      </w:r>
      <w:r w:rsidR="002C330E" w:rsidRPr="00D5464D">
        <w:rPr>
          <w:lang w:val="pt-BR"/>
        </w:rPr>
        <w:t>risco</w:t>
      </w:r>
      <w:r w:rsidRPr="00D5464D">
        <w:rPr>
          <w:lang w:val="pt-BR"/>
        </w:rPr>
        <w:t xml:space="preserve"> </w:t>
      </w:r>
      <w:r w:rsidR="00F47E54" w:rsidRPr="00D5464D">
        <w:rPr>
          <w:lang w:val="pt-BR"/>
        </w:rPr>
        <w:t>sofrido pel</w:t>
      </w:r>
      <w:r w:rsidR="002C330E" w:rsidRPr="00D5464D">
        <w:rPr>
          <w:lang w:val="pt-BR"/>
        </w:rPr>
        <w:t xml:space="preserve">os </w:t>
      </w:r>
      <w:r w:rsidR="00E045D9" w:rsidRPr="00D5464D">
        <w:rPr>
          <w:lang w:val="pt-BR"/>
        </w:rPr>
        <w:t>trabalhadores</w:t>
      </w:r>
      <w:r w:rsidRPr="00D5464D">
        <w:rPr>
          <w:lang w:val="pt-BR"/>
        </w:rPr>
        <w:t xml:space="preserve"> </w:t>
      </w:r>
      <w:r w:rsidR="002C330E" w:rsidRPr="00D5464D">
        <w:rPr>
          <w:lang w:val="pt-BR"/>
        </w:rPr>
        <w:t>submetido</w:t>
      </w:r>
      <w:r w:rsidRPr="00D5464D">
        <w:rPr>
          <w:lang w:val="pt-BR"/>
        </w:rPr>
        <w:t xml:space="preserve">s </w:t>
      </w:r>
      <w:r w:rsidR="00F47E54" w:rsidRPr="00D5464D">
        <w:rPr>
          <w:lang w:val="pt-BR"/>
        </w:rPr>
        <w:t>à</w:t>
      </w:r>
      <w:r w:rsidRPr="00D5464D">
        <w:rPr>
          <w:lang w:val="pt-BR"/>
        </w:rPr>
        <w:t xml:space="preserve"> </w:t>
      </w:r>
      <w:r w:rsidR="000B376D" w:rsidRPr="00D5464D">
        <w:rPr>
          <w:lang w:val="pt-BR"/>
        </w:rPr>
        <w:t>escravidão</w:t>
      </w:r>
      <w:r w:rsidRPr="00D5464D">
        <w:rPr>
          <w:lang w:val="pt-BR"/>
        </w:rPr>
        <w:t xml:space="preserve"> </w:t>
      </w:r>
      <w:r w:rsidR="00F47E54" w:rsidRPr="00D5464D">
        <w:rPr>
          <w:lang w:val="pt-BR"/>
        </w:rPr>
        <w:t xml:space="preserve">ou </w:t>
      </w:r>
      <w:r w:rsidR="00E045D9" w:rsidRPr="00D5464D">
        <w:rPr>
          <w:lang w:val="pt-BR"/>
        </w:rPr>
        <w:t>trabalho</w:t>
      </w:r>
      <w:r w:rsidR="001B63D0" w:rsidRPr="00D5464D">
        <w:rPr>
          <w:lang w:val="pt-BR"/>
        </w:rPr>
        <w:t xml:space="preserve"> </w:t>
      </w:r>
      <w:r w:rsidR="00230C71" w:rsidRPr="00D5464D">
        <w:rPr>
          <w:lang w:val="pt-BR"/>
        </w:rPr>
        <w:t>forçado</w:t>
      </w:r>
      <w:r w:rsidR="00E045D9" w:rsidRPr="00D5464D">
        <w:rPr>
          <w:lang w:val="pt-BR"/>
        </w:rPr>
        <w:t xml:space="preserve"> no </w:t>
      </w:r>
      <w:r w:rsidR="00996473" w:rsidRPr="00D5464D">
        <w:rPr>
          <w:lang w:val="pt-BR"/>
        </w:rPr>
        <w:t>Estado do Pará</w:t>
      </w:r>
      <w:r w:rsidR="008720B2" w:rsidRPr="00D5464D">
        <w:rPr>
          <w:rStyle w:val="Refdenotaalpie"/>
          <w:lang w:val="pt-BR"/>
        </w:rPr>
        <w:footnoteReference w:id="456"/>
      </w:r>
      <w:r w:rsidR="00E045D9" w:rsidRPr="00D5464D">
        <w:rPr>
          <w:lang w:val="pt-BR"/>
        </w:rPr>
        <w:t xml:space="preserve"> e</w:t>
      </w:r>
      <w:r w:rsidR="00F47E54" w:rsidRPr="00D5464D">
        <w:rPr>
          <w:lang w:val="pt-BR"/>
        </w:rPr>
        <w:t>,</w:t>
      </w:r>
      <w:r w:rsidR="00E045D9" w:rsidRPr="00D5464D">
        <w:rPr>
          <w:lang w:val="pt-BR"/>
        </w:rPr>
        <w:t xml:space="preserve"> especificamente</w:t>
      </w:r>
      <w:r w:rsidR="00F47E54" w:rsidRPr="00D5464D">
        <w:rPr>
          <w:lang w:val="pt-BR"/>
        </w:rPr>
        <w:t>,</w:t>
      </w:r>
      <w:r w:rsidR="00E045D9" w:rsidRPr="00D5464D">
        <w:rPr>
          <w:lang w:val="pt-BR"/>
        </w:rPr>
        <w:t xml:space="preserve"> na </w:t>
      </w:r>
      <w:r w:rsidR="00D809F0" w:rsidRPr="00D5464D">
        <w:rPr>
          <w:lang w:val="pt-BR"/>
        </w:rPr>
        <w:t>Fazenda</w:t>
      </w:r>
      <w:r w:rsidRPr="00D5464D">
        <w:rPr>
          <w:lang w:val="pt-BR"/>
        </w:rPr>
        <w:t xml:space="preserve"> Brasil Verde</w:t>
      </w:r>
      <w:r w:rsidR="00F47E54" w:rsidRPr="00D5464D">
        <w:rPr>
          <w:lang w:val="pt-BR"/>
        </w:rPr>
        <w:t>,</w:t>
      </w:r>
      <w:r w:rsidR="00CC0C20" w:rsidRPr="00D5464D">
        <w:rPr>
          <w:rStyle w:val="Refdenotaalpie"/>
          <w:lang w:val="pt-BR"/>
        </w:rPr>
        <w:footnoteReference w:id="457"/>
      </w:r>
      <w:r w:rsidR="00A1358C" w:rsidRPr="00D5464D">
        <w:rPr>
          <w:lang w:val="pt-BR"/>
        </w:rPr>
        <w:t xml:space="preserve"> não </w:t>
      </w:r>
      <w:r w:rsidR="00350187" w:rsidRPr="00D5464D">
        <w:rPr>
          <w:lang w:val="pt-BR"/>
        </w:rPr>
        <w:t>demonstr</w:t>
      </w:r>
      <w:r w:rsidR="00A1358C" w:rsidRPr="00D5464D">
        <w:rPr>
          <w:lang w:val="pt-BR"/>
        </w:rPr>
        <w:t>ou</w:t>
      </w:r>
      <w:r w:rsidRPr="00D5464D">
        <w:rPr>
          <w:lang w:val="pt-BR"/>
        </w:rPr>
        <w:t xml:space="preserve"> </w:t>
      </w:r>
      <w:r w:rsidR="002C330E" w:rsidRPr="00D5464D">
        <w:rPr>
          <w:lang w:val="pt-BR"/>
        </w:rPr>
        <w:t>ter</w:t>
      </w:r>
      <w:r w:rsidRPr="00D5464D">
        <w:rPr>
          <w:lang w:val="pt-BR"/>
        </w:rPr>
        <w:t xml:space="preserve"> </w:t>
      </w:r>
      <w:r w:rsidR="00470ADC" w:rsidRPr="00D5464D">
        <w:rPr>
          <w:lang w:val="pt-BR"/>
        </w:rPr>
        <w:t>adot</w:t>
      </w:r>
      <w:r w:rsidRPr="00D5464D">
        <w:rPr>
          <w:lang w:val="pt-BR"/>
        </w:rPr>
        <w:t xml:space="preserve">ado medidas </w:t>
      </w:r>
      <w:r w:rsidR="00470ADC" w:rsidRPr="00D5464D">
        <w:rPr>
          <w:lang w:val="pt-BR"/>
        </w:rPr>
        <w:t>efetiv</w:t>
      </w:r>
      <w:r w:rsidRPr="00D5464D">
        <w:rPr>
          <w:lang w:val="pt-BR"/>
        </w:rPr>
        <w:t>as de preven</w:t>
      </w:r>
      <w:r w:rsidR="00470ADC" w:rsidRPr="00D5464D">
        <w:rPr>
          <w:lang w:val="pt-BR"/>
        </w:rPr>
        <w:t>ção</w:t>
      </w:r>
      <w:r w:rsidRPr="00D5464D">
        <w:rPr>
          <w:lang w:val="pt-BR"/>
        </w:rPr>
        <w:t xml:space="preserve"> antes de </w:t>
      </w:r>
      <w:r w:rsidR="002C330E" w:rsidRPr="00D5464D">
        <w:rPr>
          <w:lang w:val="pt-BR"/>
        </w:rPr>
        <w:t>março</w:t>
      </w:r>
      <w:r w:rsidRPr="00D5464D">
        <w:rPr>
          <w:lang w:val="pt-BR"/>
        </w:rPr>
        <w:t xml:space="preserve"> de 2000</w:t>
      </w:r>
      <w:r w:rsidR="00E045D9" w:rsidRPr="00D5464D">
        <w:rPr>
          <w:lang w:val="pt-BR"/>
        </w:rPr>
        <w:t xml:space="preserve"> no </w:t>
      </w:r>
      <w:r w:rsidRPr="00D5464D">
        <w:rPr>
          <w:lang w:val="pt-BR"/>
        </w:rPr>
        <w:t>sentido de impedir</w:t>
      </w:r>
      <w:r w:rsidR="00470ADC" w:rsidRPr="00D5464D">
        <w:rPr>
          <w:lang w:val="pt-BR"/>
        </w:rPr>
        <w:t xml:space="preserve"> essa </w:t>
      </w:r>
      <w:r w:rsidR="002C330E" w:rsidRPr="00D5464D">
        <w:rPr>
          <w:lang w:val="pt-BR"/>
        </w:rPr>
        <w:t>prática</w:t>
      </w:r>
      <w:r w:rsidR="00E045D9" w:rsidRPr="00D5464D">
        <w:rPr>
          <w:lang w:val="pt-BR"/>
        </w:rPr>
        <w:t xml:space="preserve"> e </w:t>
      </w:r>
      <w:r w:rsidR="00F47E54" w:rsidRPr="00D5464D">
        <w:rPr>
          <w:lang w:val="pt-BR"/>
        </w:rPr>
        <w:t>a</w:t>
      </w:r>
      <w:r w:rsidR="00470ADC" w:rsidRPr="00D5464D">
        <w:rPr>
          <w:lang w:val="pt-BR"/>
        </w:rPr>
        <w:t xml:space="preserve"> </w:t>
      </w:r>
      <w:r w:rsidR="002C330E" w:rsidRPr="00D5464D">
        <w:rPr>
          <w:lang w:val="pt-BR"/>
        </w:rPr>
        <w:t>submissão</w:t>
      </w:r>
      <w:r w:rsidRPr="00D5464D">
        <w:rPr>
          <w:lang w:val="pt-BR"/>
        </w:rPr>
        <w:t xml:space="preserve"> de seres humanos</w:t>
      </w:r>
      <w:r w:rsidR="00E045D9" w:rsidRPr="00D5464D">
        <w:rPr>
          <w:lang w:val="pt-BR"/>
        </w:rPr>
        <w:t xml:space="preserve"> </w:t>
      </w:r>
      <w:r w:rsidR="00F47E54" w:rsidRPr="00D5464D">
        <w:rPr>
          <w:lang w:val="pt-BR"/>
        </w:rPr>
        <w:t>às</w:t>
      </w:r>
      <w:r w:rsidR="00E045D9" w:rsidRPr="00D5464D">
        <w:rPr>
          <w:lang w:val="pt-BR"/>
        </w:rPr>
        <w:t xml:space="preserve"> </w:t>
      </w:r>
      <w:r w:rsidRPr="00D5464D">
        <w:rPr>
          <w:lang w:val="pt-BR"/>
        </w:rPr>
        <w:t>condi</w:t>
      </w:r>
      <w:r w:rsidR="00470ADC" w:rsidRPr="00D5464D">
        <w:rPr>
          <w:lang w:val="pt-BR"/>
        </w:rPr>
        <w:t>ções</w:t>
      </w:r>
      <w:r w:rsidRPr="00D5464D">
        <w:rPr>
          <w:lang w:val="pt-BR"/>
        </w:rPr>
        <w:t xml:space="preserve"> degradantes e </w:t>
      </w:r>
      <w:r w:rsidR="00350187" w:rsidRPr="00D5464D">
        <w:rPr>
          <w:lang w:val="pt-BR"/>
        </w:rPr>
        <w:t>desuman</w:t>
      </w:r>
      <w:r w:rsidRPr="00D5464D">
        <w:rPr>
          <w:lang w:val="pt-BR"/>
        </w:rPr>
        <w:t xml:space="preserve">as identificadas. </w:t>
      </w:r>
      <w:r w:rsidR="00F47E54" w:rsidRPr="00D5464D">
        <w:rPr>
          <w:lang w:val="pt-BR"/>
        </w:rPr>
        <w:t xml:space="preserve">Mesmo </w:t>
      </w:r>
      <w:r w:rsidR="00470ADC" w:rsidRPr="00D5464D">
        <w:rPr>
          <w:lang w:val="pt-BR"/>
        </w:rPr>
        <w:t>que o dever</w:t>
      </w:r>
      <w:r w:rsidRPr="00D5464D">
        <w:rPr>
          <w:lang w:val="pt-BR"/>
        </w:rPr>
        <w:t xml:space="preserve"> de preven</w:t>
      </w:r>
      <w:r w:rsidR="00470ADC" w:rsidRPr="00D5464D">
        <w:rPr>
          <w:lang w:val="pt-BR"/>
        </w:rPr>
        <w:t>ção</w:t>
      </w:r>
      <w:r w:rsidR="002C330E" w:rsidRPr="00D5464D">
        <w:rPr>
          <w:lang w:val="pt-BR"/>
        </w:rPr>
        <w:t xml:space="preserve"> seja</w:t>
      </w:r>
      <w:r w:rsidR="00A1358C" w:rsidRPr="00D5464D">
        <w:rPr>
          <w:lang w:val="pt-BR"/>
        </w:rPr>
        <w:t xml:space="preserve"> </w:t>
      </w:r>
      <w:r w:rsidRPr="00D5464D">
        <w:rPr>
          <w:lang w:val="pt-BR"/>
        </w:rPr>
        <w:t xml:space="preserve">de </w:t>
      </w:r>
      <w:r w:rsidR="002C330E" w:rsidRPr="00D5464D">
        <w:rPr>
          <w:lang w:val="pt-BR"/>
        </w:rPr>
        <w:t>meio</w:t>
      </w:r>
      <w:r w:rsidR="00E045D9" w:rsidRPr="00D5464D">
        <w:rPr>
          <w:lang w:val="pt-BR"/>
        </w:rPr>
        <w:t xml:space="preserve"> e não de resultado</w:t>
      </w:r>
      <w:r w:rsidRPr="00D5464D">
        <w:rPr>
          <w:lang w:val="pt-BR"/>
        </w:rPr>
        <w:t>,</w:t>
      </w:r>
      <w:r w:rsidR="00470ADC" w:rsidRPr="00D5464D">
        <w:rPr>
          <w:lang w:val="pt-BR"/>
        </w:rPr>
        <w:t xml:space="preserve"> o </w:t>
      </w:r>
      <w:r w:rsidRPr="00D5464D">
        <w:rPr>
          <w:lang w:val="pt-BR"/>
        </w:rPr>
        <w:t>Estado</w:t>
      </w:r>
      <w:r w:rsidR="00A1358C" w:rsidRPr="00D5464D">
        <w:rPr>
          <w:lang w:val="pt-BR"/>
        </w:rPr>
        <w:t xml:space="preserve"> não </w:t>
      </w:r>
      <w:r w:rsidR="00350187" w:rsidRPr="00D5464D">
        <w:rPr>
          <w:lang w:val="pt-BR"/>
        </w:rPr>
        <w:t>demonstr</w:t>
      </w:r>
      <w:r w:rsidR="00A1358C" w:rsidRPr="00D5464D">
        <w:rPr>
          <w:lang w:val="pt-BR"/>
        </w:rPr>
        <w:t>ou</w:t>
      </w:r>
      <w:r w:rsidRPr="00D5464D">
        <w:rPr>
          <w:lang w:val="pt-BR"/>
        </w:rPr>
        <w:t xml:space="preserve"> que</w:t>
      </w:r>
      <w:r w:rsidR="002C330E" w:rsidRPr="00D5464D">
        <w:rPr>
          <w:lang w:val="pt-BR"/>
        </w:rPr>
        <w:t xml:space="preserve"> as </w:t>
      </w:r>
      <w:r w:rsidRPr="00D5464D">
        <w:rPr>
          <w:lang w:val="pt-BR"/>
        </w:rPr>
        <w:t xml:space="preserve">políticas públicas </w:t>
      </w:r>
      <w:r w:rsidR="00470ADC" w:rsidRPr="00D5464D">
        <w:rPr>
          <w:lang w:val="pt-BR"/>
        </w:rPr>
        <w:t>adot</w:t>
      </w:r>
      <w:r w:rsidRPr="00D5464D">
        <w:rPr>
          <w:lang w:val="pt-BR"/>
        </w:rPr>
        <w:t>adas entre 1995</w:t>
      </w:r>
      <w:r w:rsidR="00E045D9" w:rsidRPr="00D5464D">
        <w:rPr>
          <w:lang w:val="pt-BR"/>
        </w:rPr>
        <w:t xml:space="preserve"> e </w:t>
      </w:r>
      <w:r w:rsidRPr="00D5464D">
        <w:rPr>
          <w:lang w:val="pt-BR"/>
        </w:rPr>
        <w:t>2000</w:t>
      </w:r>
      <w:r w:rsidR="00E045D9" w:rsidRPr="00D5464D">
        <w:rPr>
          <w:lang w:val="pt-BR"/>
        </w:rPr>
        <w:t xml:space="preserve"> e </w:t>
      </w:r>
      <w:r w:rsidR="002C330E" w:rsidRPr="00D5464D">
        <w:rPr>
          <w:lang w:val="pt-BR"/>
        </w:rPr>
        <w:t xml:space="preserve">as </w:t>
      </w:r>
      <w:r w:rsidR="0031040E" w:rsidRPr="00D5464D">
        <w:rPr>
          <w:lang w:val="pt-BR"/>
        </w:rPr>
        <w:t>fiscalizações</w:t>
      </w:r>
      <w:r w:rsidRPr="00D5464D">
        <w:rPr>
          <w:lang w:val="pt-BR"/>
        </w:rPr>
        <w:t xml:space="preserve"> anteriores realizadas por </w:t>
      </w:r>
      <w:r w:rsidR="002C330E" w:rsidRPr="00D5464D">
        <w:rPr>
          <w:lang w:val="pt-BR"/>
        </w:rPr>
        <w:t>funcionári</w:t>
      </w:r>
      <w:r w:rsidRPr="00D5464D">
        <w:rPr>
          <w:lang w:val="pt-BR"/>
        </w:rPr>
        <w:t xml:space="preserve">os </w:t>
      </w:r>
      <w:r w:rsidR="00470ADC" w:rsidRPr="00D5464D">
        <w:rPr>
          <w:lang w:val="pt-BR"/>
        </w:rPr>
        <w:t xml:space="preserve">do </w:t>
      </w:r>
      <w:r w:rsidR="002C330E" w:rsidRPr="00D5464D">
        <w:rPr>
          <w:lang w:val="pt-BR"/>
        </w:rPr>
        <w:t>Ministério</w:t>
      </w:r>
      <w:r w:rsidRPr="00D5464D">
        <w:rPr>
          <w:lang w:val="pt-BR"/>
        </w:rPr>
        <w:t xml:space="preserve"> </w:t>
      </w:r>
      <w:r w:rsidR="00470ADC" w:rsidRPr="00D5464D">
        <w:rPr>
          <w:lang w:val="pt-BR"/>
        </w:rPr>
        <w:t xml:space="preserve">do </w:t>
      </w:r>
      <w:r w:rsidR="00E045D9" w:rsidRPr="00D5464D">
        <w:rPr>
          <w:lang w:val="pt-BR"/>
        </w:rPr>
        <w:t>Trabalho</w:t>
      </w:r>
      <w:r w:rsidR="00EB1CE9" w:rsidRPr="00D5464D">
        <w:rPr>
          <w:lang w:val="pt-BR"/>
        </w:rPr>
        <w:t>,</w:t>
      </w:r>
      <w:r w:rsidR="00F47E54" w:rsidRPr="00D5464D">
        <w:rPr>
          <w:lang w:val="pt-BR"/>
        </w:rPr>
        <w:t xml:space="preserve"> </w:t>
      </w:r>
      <w:r w:rsidR="00EB1CE9" w:rsidRPr="00D5464D">
        <w:rPr>
          <w:lang w:val="pt-BR"/>
        </w:rPr>
        <w:t xml:space="preserve">por </w:t>
      </w:r>
      <w:r w:rsidR="002C330E" w:rsidRPr="00D5464D">
        <w:rPr>
          <w:lang w:val="pt-BR"/>
        </w:rPr>
        <w:t xml:space="preserve">mais </w:t>
      </w:r>
      <w:r w:rsidRPr="00D5464D">
        <w:rPr>
          <w:lang w:val="pt-BR"/>
        </w:rPr>
        <w:t xml:space="preserve">que </w:t>
      </w:r>
      <w:r w:rsidR="000B2B14" w:rsidRPr="00D5464D">
        <w:rPr>
          <w:lang w:val="pt-BR"/>
        </w:rPr>
        <w:t>fossem</w:t>
      </w:r>
      <w:r w:rsidR="00F47E54" w:rsidRPr="00D5464D">
        <w:rPr>
          <w:lang w:val="pt-BR"/>
        </w:rPr>
        <w:t xml:space="preserve"> </w:t>
      </w:r>
      <w:r w:rsidR="002C330E" w:rsidRPr="00D5464D">
        <w:rPr>
          <w:lang w:val="pt-BR"/>
        </w:rPr>
        <w:t>necessári</w:t>
      </w:r>
      <w:r w:rsidRPr="00D5464D">
        <w:rPr>
          <w:lang w:val="pt-BR"/>
        </w:rPr>
        <w:t>as</w:t>
      </w:r>
      <w:r w:rsidR="00E045D9" w:rsidRPr="00D5464D">
        <w:rPr>
          <w:lang w:val="pt-BR"/>
        </w:rPr>
        <w:t xml:space="preserve"> e </w:t>
      </w:r>
      <w:r w:rsidR="00350187" w:rsidRPr="00D5464D">
        <w:rPr>
          <w:lang w:val="pt-BR"/>
        </w:rPr>
        <w:t>demonstrem</w:t>
      </w:r>
      <w:r w:rsidR="00E045D9" w:rsidRPr="00D5464D">
        <w:rPr>
          <w:lang w:val="pt-BR"/>
        </w:rPr>
        <w:t xml:space="preserve"> um compromisso</w:t>
      </w:r>
      <w:r w:rsidRPr="00D5464D">
        <w:rPr>
          <w:lang w:val="pt-BR"/>
        </w:rPr>
        <w:t xml:space="preserve"> estatal, </w:t>
      </w:r>
      <w:r w:rsidR="00504F1E" w:rsidRPr="00D5464D">
        <w:rPr>
          <w:lang w:val="pt-BR"/>
        </w:rPr>
        <w:t>foram</w:t>
      </w:r>
      <w:r w:rsidRPr="00D5464D">
        <w:rPr>
          <w:lang w:val="pt-BR"/>
        </w:rPr>
        <w:t xml:space="preserve"> suficientes</w:t>
      </w:r>
      <w:r w:rsidR="00E045D9" w:rsidRPr="00D5464D">
        <w:rPr>
          <w:lang w:val="pt-BR"/>
        </w:rPr>
        <w:t xml:space="preserve"> e </w:t>
      </w:r>
      <w:r w:rsidR="00470ADC" w:rsidRPr="00D5464D">
        <w:rPr>
          <w:lang w:val="pt-BR"/>
        </w:rPr>
        <w:t>efetiv</w:t>
      </w:r>
      <w:r w:rsidRPr="00D5464D">
        <w:rPr>
          <w:lang w:val="pt-BR"/>
        </w:rPr>
        <w:t>as para prevenir</w:t>
      </w:r>
      <w:r w:rsidR="00470ADC" w:rsidRPr="00D5464D">
        <w:rPr>
          <w:lang w:val="pt-BR"/>
        </w:rPr>
        <w:t xml:space="preserve"> </w:t>
      </w:r>
      <w:r w:rsidR="00504F1E" w:rsidRPr="00D5464D">
        <w:rPr>
          <w:lang w:val="pt-BR"/>
        </w:rPr>
        <w:t>a</w:t>
      </w:r>
      <w:r w:rsidR="00470ADC" w:rsidRPr="00D5464D">
        <w:rPr>
          <w:lang w:val="pt-BR"/>
        </w:rPr>
        <w:t xml:space="preserve"> </w:t>
      </w:r>
      <w:r w:rsidR="002C330E" w:rsidRPr="00D5464D">
        <w:rPr>
          <w:lang w:val="pt-BR"/>
        </w:rPr>
        <w:t>submissão</w:t>
      </w:r>
      <w:r w:rsidRPr="00D5464D">
        <w:rPr>
          <w:lang w:val="pt-BR"/>
        </w:rPr>
        <w:t xml:space="preserve"> de 85 </w:t>
      </w:r>
      <w:r w:rsidR="00E045D9" w:rsidRPr="00D5464D">
        <w:rPr>
          <w:lang w:val="pt-BR"/>
        </w:rPr>
        <w:t>trabalhadores</w:t>
      </w:r>
      <w:r w:rsidRPr="00D5464D">
        <w:rPr>
          <w:lang w:val="pt-BR"/>
        </w:rPr>
        <w:t xml:space="preserve"> </w:t>
      </w:r>
      <w:r w:rsidR="00504F1E" w:rsidRPr="00D5464D">
        <w:rPr>
          <w:lang w:val="pt-BR"/>
        </w:rPr>
        <w:t>à</w:t>
      </w:r>
      <w:r w:rsidRPr="00D5464D">
        <w:rPr>
          <w:lang w:val="pt-BR"/>
        </w:rPr>
        <w:t xml:space="preserve"> </w:t>
      </w:r>
      <w:r w:rsidR="000B376D" w:rsidRPr="00D5464D">
        <w:rPr>
          <w:lang w:val="pt-BR"/>
        </w:rPr>
        <w:t>escravidão</w:t>
      </w:r>
      <w:r w:rsidR="00E045D9" w:rsidRPr="00D5464D">
        <w:rPr>
          <w:lang w:val="pt-BR"/>
        </w:rPr>
        <w:t xml:space="preserve"> na </w:t>
      </w:r>
      <w:r w:rsidR="00D809F0" w:rsidRPr="00D5464D">
        <w:rPr>
          <w:lang w:val="pt-BR"/>
        </w:rPr>
        <w:t>Fazenda</w:t>
      </w:r>
      <w:r w:rsidRPr="00D5464D">
        <w:rPr>
          <w:lang w:val="pt-BR"/>
        </w:rPr>
        <w:t xml:space="preserve"> Brasil Verde</w:t>
      </w:r>
      <w:r w:rsidR="001E1449" w:rsidRPr="00D5464D">
        <w:rPr>
          <w:lang w:val="pt-BR"/>
        </w:rPr>
        <w:t xml:space="preserve"> (prime</w:t>
      </w:r>
      <w:r w:rsidR="00504F1E" w:rsidRPr="00D5464D">
        <w:rPr>
          <w:lang w:val="pt-BR"/>
        </w:rPr>
        <w:t>i</w:t>
      </w:r>
      <w:r w:rsidR="001E1449" w:rsidRPr="00D5464D">
        <w:rPr>
          <w:lang w:val="pt-BR"/>
        </w:rPr>
        <w:t>r</w:t>
      </w:r>
      <w:r w:rsidR="00504F1E" w:rsidRPr="00D5464D">
        <w:rPr>
          <w:lang w:val="pt-BR"/>
        </w:rPr>
        <w:t>o</w:t>
      </w:r>
      <w:r w:rsidR="001E1449" w:rsidRPr="00D5464D">
        <w:rPr>
          <w:lang w:val="pt-BR"/>
        </w:rPr>
        <w:t xml:space="preserve"> momento </w:t>
      </w:r>
      <w:r w:rsidR="00470ADC" w:rsidRPr="00D5464D">
        <w:rPr>
          <w:lang w:val="pt-BR"/>
        </w:rPr>
        <w:t>do dever</w:t>
      </w:r>
      <w:r w:rsidR="001E1449" w:rsidRPr="00D5464D">
        <w:rPr>
          <w:lang w:val="pt-BR"/>
        </w:rPr>
        <w:t xml:space="preserve"> de preven</w:t>
      </w:r>
      <w:r w:rsidR="00470ADC" w:rsidRPr="00D5464D">
        <w:rPr>
          <w:lang w:val="pt-BR"/>
        </w:rPr>
        <w:t>ção</w:t>
      </w:r>
      <w:r w:rsidR="001E1449" w:rsidRPr="00D5464D">
        <w:rPr>
          <w:lang w:val="pt-BR"/>
        </w:rPr>
        <w:t>)</w:t>
      </w:r>
      <w:r w:rsidRPr="00D5464D">
        <w:rPr>
          <w:lang w:val="pt-BR"/>
        </w:rPr>
        <w:t xml:space="preserve">. </w:t>
      </w:r>
      <w:r w:rsidR="00350187" w:rsidRPr="00D5464D">
        <w:rPr>
          <w:lang w:val="pt-BR"/>
        </w:rPr>
        <w:t xml:space="preserve">Além disso, </w:t>
      </w:r>
      <w:r w:rsidR="00504F1E" w:rsidRPr="00D5464D">
        <w:rPr>
          <w:lang w:val="pt-BR"/>
        </w:rPr>
        <w:t xml:space="preserve">ante </w:t>
      </w:r>
      <w:r w:rsidR="00470ADC" w:rsidRPr="00D5464D">
        <w:rPr>
          <w:lang w:val="pt-BR"/>
        </w:rPr>
        <w:t xml:space="preserve">a denúncia </w:t>
      </w:r>
      <w:r w:rsidR="00367152" w:rsidRPr="00D5464D">
        <w:rPr>
          <w:lang w:val="pt-BR"/>
        </w:rPr>
        <w:t xml:space="preserve">de </w:t>
      </w:r>
      <w:r w:rsidR="00E045D9" w:rsidRPr="00D5464D">
        <w:rPr>
          <w:lang w:val="pt-BR"/>
        </w:rPr>
        <w:t xml:space="preserve">violência e </w:t>
      </w:r>
      <w:r w:rsidR="00367152" w:rsidRPr="00D5464D">
        <w:rPr>
          <w:lang w:val="pt-BR"/>
        </w:rPr>
        <w:t xml:space="preserve">de </w:t>
      </w:r>
      <w:r w:rsidR="002C330E" w:rsidRPr="00D5464D">
        <w:rPr>
          <w:lang w:val="pt-BR"/>
        </w:rPr>
        <w:t>submissão</w:t>
      </w:r>
      <w:r w:rsidR="00367152" w:rsidRPr="00D5464D">
        <w:rPr>
          <w:lang w:val="pt-BR"/>
        </w:rPr>
        <w:t xml:space="preserve"> </w:t>
      </w:r>
      <w:r w:rsidR="00504F1E" w:rsidRPr="00D5464D">
        <w:rPr>
          <w:lang w:val="pt-BR"/>
        </w:rPr>
        <w:t>à</w:t>
      </w:r>
      <w:r w:rsidR="00367152" w:rsidRPr="00D5464D">
        <w:rPr>
          <w:lang w:val="pt-BR"/>
        </w:rPr>
        <w:t xml:space="preserve"> situa</w:t>
      </w:r>
      <w:r w:rsidR="00470ADC" w:rsidRPr="00D5464D">
        <w:rPr>
          <w:lang w:val="pt-BR"/>
        </w:rPr>
        <w:t>ção</w:t>
      </w:r>
      <w:r w:rsidR="00367152" w:rsidRPr="00D5464D">
        <w:rPr>
          <w:lang w:val="pt-BR"/>
        </w:rPr>
        <w:t xml:space="preserve"> de </w:t>
      </w:r>
      <w:r w:rsidR="000B376D" w:rsidRPr="00D5464D">
        <w:rPr>
          <w:lang w:val="pt-BR"/>
        </w:rPr>
        <w:t>escravidão</w:t>
      </w:r>
      <w:r w:rsidR="00367152" w:rsidRPr="00D5464D">
        <w:rPr>
          <w:lang w:val="pt-BR"/>
        </w:rPr>
        <w:t>,</w:t>
      </w:r>
      <w:r w:rsidR="00470ADC" w:rsidRPr="00D5464D">
        <w:rPr>
          <w:lang w:val="pt-BR"/>
        </w:rPr>
        <w:t xml:space="preserve"> o </w:t>
      </w:r>
      <w:r w:rsidR="00367152" w:rsidRPr="00D5464D">
        <w:rPr>
          <w:lang w:val="pt-BR"/>
        </w:rPr>
        <w:t>Estado n</w:t>
      </w:r>
      <w:r w:rsidR="00504F1E" w:rsidRPr="00D5464D">
        <w:rPr>
          <w:lang w:val="pt-BR"/>
        </w:rPr>
        <w:t>ã</w:t>
      </w:r>
      <w:r w:rsidR="00367152" w:rsidRPr="00D5464D">
        <w:rPr>
          <w:lang w:val="pt-BR"/>
        </w:rPr>
        <w:t xml:space="preserve">o </w:t>
      </w:r>
      <w:r w:rsidR="00350187" w:rsidRPr="00D5464D">
        <w:rPr>
          <w:lang w:val="pt-BR"/>
        </w:rPr>
        <w:t>reagiu</w:t>
      </w:r>
      <w:r w:rsidR="00470ADC" w:rsidRPr="00D5464D">
        <w:rPr>
          <w:lang w:val="pt-BR"/>
        </w:rPr>
        <w:t xml:space="preserve"> com</w:t>
      </w:r>
      <w:r w:rsidR="002C330E" w:rsidRPr="00D5464D">
        <w:rPr>
          <w:lang w:val="pt-BR"/>
        </w:rPr>
        <w:t xml:space="preserve"> a </w:t>
      </w:r>
      <w:r w:rsidR="00470ADC" w:rsidRPr="00D5464D">
        <w:rPr>
          <w:lang w:val="pt-BR"/>
        </w:rPr>
        <w:t>devida diligência</w:t>
      </w:r>
      <w:r w:rsidR="00C077EA" w:rsidRPr="00D5464D">
        <w:rPr>
          <w:lang w:val="pt-BR"/>
        </w:rPr>
        <w:t xml:space="preserve"> requerida</w:t>
      </w:r>
      <w:r w:rsidR="00470ADC" w:rsidRPr="00D5464D">
        <w:rPr>
          <w:lang w:val="pt-BR"/>
        </w:rPr>
        <w:t xml:space="preserve"> em </w:t>
      </w:r>
      <w:r w:rsidR="00E045D9" w:rsidRPr="00D5464D">
        <w:rPr>
          <w:lang w:val="pt-BR"/>
        </w:rPr>
        <w:t xml:space="preserve">virtude </w:t>
      </w:r>
      <w:r w:rsidR="00470ADC" w:rsidRPr="00D5464D">
        <w:rPr>
          <w:lang w:val="pt-BR"/>
        </w:rPr>
        <w:t xml:space="preserve">da </w:t>
      </w:r>
      <w:r w:rsidR="002C330E" w:rsidRPr="00D5464D">
        <w:rPr>
          <w:lang w:val="pt-BR"/>
        </w:rPr>
        <w:t xml:space="preserve">gravidade </w:t>
      </w:r>
      <w:r w:rsidR="00470ADC" w:rsidRPr="00D5464D">
        <w:rPr>
          <w:lang w:val="pt-BR"/>
        </w:rPr>
        <w:t xml:space="preserve">dos </w:t>
      </w:r>
      <w:r w:rsidR="002C330E" w:rsidRPr="00D5464D">
        <w:rPr>
          <w:lang w:val="pt-BR"/>
        </w:rPr>
        <w:t>fatos</w:t>
      </w:r>
      <w:r w:rsidR="00C077EA" w:rsidRPr="00D5464D">
        <w:rPr>
          <w:lang w:val="pt-BR"/>
        </w:rPr>
        <w:t>,</w:t>
      </w:r>
      <w:r w:rsidR="00470ADC" w:rsidRPr="00D5464D">
        <w:rPr>
          <w:lang w:val="pt-BR"/>
        </w:rPr>
        <w:t xml:space="preserve"> da </w:t>
      </w:r>
      <w:r w:rsidR="00DF57D3" w:rsidRPr="00D5464D">
        <w:rPr>
          <w:lang w:val="pt-BR"/>
        </w:rPr>
        <w:t>situa</w:t>
      </w:r>
      <w:r w:rsidR="00470ADC" w:rsidRPr="00D5464D">
        <w:rPr>
          <w:lang w:val="pt-BR"/>
        </w:rPr>
        <w:t>ção</w:t>
      </w:r>
      <w:r w:rsidR="00DF57D3" w:rsidRPr="00D5464D">
        <w:rPr>
          <w:lang w:val="pt-BR"/>
        </w:rPr>
        <w:t xml:space="preserve"> de </w:t>
      </w:r>
      <w:r w:rsidR="00E045D9" w:rsidRPr="00D5464D">
        <w:rPr>
          <w:lang w:val="pt-BR"/>
        </w:rPr>
        <w:t xml:space="preserve">vulnerabilidade </w:t>
      </w:r>
      <w:r w:rsidR="00470ADC" w:rsidRPr="00D5464D">
        <w:rPr>
          <w:lang w:val="pt-BR"/>
        </w:rPr>
        <w:t xml:space="preserve">das </w:t>
      </w:r>
      <w:r w:rsidR="00E045D9" w:rsidRPr="00D5464D">
        <w:rPr>
          <w:lang w:val="pt-BR"/>
        </w:rPr>
        <w:t>vítima</w:t>
      </w:r>
      <w:r w:rsidR="00C077EA" w:rsidRPr="00D5464D">
        <w:rPr>
          <w:lang w:val="pt-BR"/>
        </w:rPr>
        <w:t>s</w:t>
      </w:r>
      <w:r w:rsidR="00E045D9" w:rsidRPr="00D5464D">
        <w:rPr>
          <w:lang w:val="pt-BR"/>
        </w:rPr>
        <w:t xml:space="preserve"> e </w:t>
      </w:r>
      <w:r w:rsidR="00C077EA" w:rsidRPr="00D5464D">
        <w:rPr>
          <w:lang w:val="pt-BR"/>
        </w:rPr>
        <w:t xml:space="preserve">de </w:t>
      </w:r>
      <w:r w:rsidR="00E045D9" w:rsidRPr="00D5464D">
        <w:rPr>
          <w:lang w:val="pt-BR"/>
        </w:rPr>
        <w:t>sua obrigação</w:t>
      </w:r>
      <w:r w:rsidR="00C077EA" w:rsidRPr="00D5464D">
        <w:rPr>
          <w:lang w:val="pt-BR"/>
        </w:rPr>
        <w:t xml:space="preserve"> internacional de prevenir</w:t>
      </w:r>
      <w:r w:rsidR="002C330E" w:rsidRPr="00D5464D">
        <w:rPr>
          <w:lang w:val="pt-BR"/>
        </w:rPr>
        <w:t xml:space="preserve"> a </w:t>
      </w:r>
      <w:r w:rsidR="000B376D" w:rsidRPr="00D5464D">
        <w:rPr>
          <w:lang w:val="pt-BR"/>
        </w:rPr>
        <w:t>escravidão</w:t>
      </w:r>
      <w:r w:rsidR="001E1449" w:rsidRPr="00D5464D">
        <w:rPr>
          <w:lang w:val="pt-BR"/>
        </w:rPr>
        <w:t xml:space="preserve"> (segundo momento </w:t>
      </w:r>
      <w:r w:rsidR="00470ADC" w:rsidRPr="00D5464D">
        <w:rPr>
          <w:lang w:val="pt-BR"/>
        </w:rPr>
        <w:t>do dever</w:t>
      </w:r>
      <w:r w:rsidR="001E1449" w:rsidRPr="00D5464D">
        <w:rPr>
          <w:lang w:val="pt-BR"/>
        </w:rPr>
        <w:t xml:space="preserve"> de preven</w:t>
      </w:r>
      <w:r w:rsidR="00470ADC" w:rsidRPr="00D5464D">
        <w:rPr>
          <w:lang w:val="pt-BR"/>
        </w:rPr>
        <w:t>ção</w:t>
      </w:r>
      <w:r w:rsidR="001E1449" w:rsidRPr="00D5464D">
        <w:rPr>
          <w:lang w:val="pt-BR"/>
        </w:rPr>
        <w:t xml:space="preserve"> a partir</w:t>
      </w:r>
      <w:r w:rsidR="00470ADC" w:rsidRPr="00D5464D">
        <w:rPr>
          <w:lang w:val="pt-BR"/>
        </w:rPr>
        <w:t xml:space="preserve"> das </w:t>
      </w:r>
      <w:r w:rsidR="001E1449" w:rsidRPr="00D5464D">
        <w:rPr>
          <w:lang w:val="pt-BR"/>
        </w:rPr>
        <w:t>d</w:t>
      </w:r>
      <w:r w:rsidR="00504F1E" w:rsidRPr="00D5464D">
        <w:rPr>
          <w:lang w:val="pt-BR"/>
        </w:rPr>
        <w:t>ua</w:t>
      </w:r>
      <w:r w:rsidR="001E1449" w:rsidRPr="00D5464D">
        <w:rPr>
          <w:lang w:val="pt-BR"/>
        </w:rPr>
        <w:t xml:space="preserve">s </w:t>
      </w:r>
      <w:r w:rsidR="00470ADC" w:rsidRPr="00D5464D">
        <w:rPr>
          <w:lang w:val="pt-BR"/>
        </w:rPr>
        <w:t xml:space="preserve">denúncias </w:t>
      </w:r>
      <w:r w:rsidR="002C330E" w:rsidRPr="00D5464D">
        <w:rPr>
          <w:lang w:val="pt-BR"/>
        </w:rPr>
        <w:t>interpost</w:t>
      </w:r>
      <w:r w:rsidR="001E1449" w:rsidRPr="00D5464D">
        <w:rPr>
          <w:lang w:val="pt-BR"/>
        </w:rPr>
        <w:t>as)</w:t>
      </w:r>
      <w:r w:rsidR="00C077EA" w:rsidRPr="00D5464D">
        <w:rPr>
          <w:lang w:val="pt-BR"/>
        </w:rPr>
        <w:t xml:space="preserve">. </w:t>
      </w:r>
    </w:p>
    <w:p w14:paraId="3E6B0D85" w14:textId="77777777" w:rsidR="00207197" w:rsidRPr="00D5464D" w:rsidRDefault="00207197" w:rsidP="00140440">
      <w:pPr>
        <w:pStyle w:val="Prrafodelista"/>
        <w:ind w:left="0"/>
        <w:rPr>
          <w:lang w:val="pt-BR"/>
        </w:rPr>
      </w:pPr>
    </w:p>
    <w:p w14:paraId="2BF27791" w14:textId="11128084" w:rsidR="00207197" w:rsidRPr="00D5464D" w:rsidRDefault="00CA1CA8" w:rsidP="005D2CE2">
      <w:pPr>
        <w:pStyle w:val="Ttulo3"/>
        <w:rPr>
          <w:lang w:val="pt-BR"/>
        </w:rPr>
      </w:pPr>
      <w:bookmarkStart w:id="409" w:name="_Toc468433930"/>
      <w:r w:rsidRPr="00D5464D">
        <w:rPr>
          <w:lang w:val="pt-BR"/>
        </w:rPr>
        <w:t>B.1</w:t>
      </w:r>
      <w:r w:rsidR="001E1449" w:rsidRPr="00D5464D">
        <w:rPr>
          <w:lang w:val="pt-BR"/>
        </w:rPr>
        <w:t>1</w:t>
      </w:r>
      <w:r w:rsidR="00CB7E29" w:rsidRPr="00D5464D">
        <w:rPr>
          <w:lang w:val="pt-BR"/>
        </w:rPr>
        <w:t>.</w:t>
      </w:r>
      <w:r w:rsidR="00207197" w:rsidRPr="00D5464D">
        <w:rPr>
          <w:lang w:val="pt-BR"/>
        </w:rPr>
        <w:t xml:space="preserve"> </w:t>
      </w:r>
      <w:r w:rsidR="00470ADC" w:rsidRPr="00D5464D">
        <w:rPr>
          <w:lang w:val="pt-BR"/>
        </w:rPr>
        <w:t>Direito</w:t>
      </w:r>
      <w:r w:rsidR="00531F92" w:rsidRPr="00D5464D">
        <w:rPr>
          <w:lang w:val="pt-BR"/>
        </w:rPr>
        <w:t>s</w:t>
      </w:r>
      <w:r w:rsidR="00207197" w:rsidRPr="00D5464D">
        <w:rPr>
          <w:lang w:val="pt-BR"/>
        </w:rPr>
        <w:t xml:space="preserve"> </w:t>
      </w:r>
      <w:r w:rsidR="00230C71" w:rsidRPr="00D5464D">
        <w:rPr>
          <w:lang w:val="pt-BR"/>
        </w:rPr>
        <w:t>da Criança</w:t>
      </w:r>
      <w:bookmarkEnd w:id="409"/>
    </w:p>
    <w:p w14:paraId="0FE1BDC3" w14:textId="77777777" w:rsidR="00207197" w:rsidRPr="00D5464D" w:rsidRDefault="00207197" w:rsidP="00140440">
      <w:pPr>
        <w:pStyle w:val="Prrafodelista"/>
        <w:ind w:left="0"/>
        <w:rPr>
          <w:lang w:val="pt-BR"/>
        </w:rPr>
      </w:pPr>
    </w:p>
    <w:p w14:paraId="62398B46" w14:textId="205746B8" w:rsidR="004713F4" w:rsidRPr="00D5464D" w:rsidRDefault="00504F1E" w:rsidP="001113DC">
      <w:pPr>
        <w:numPr>
          <w:ilvl w:val="0"/>
          <w:numId w:val="1"/>
        </w:numPr>
        <w:tabs>
          <w:tab w:val="clear" w:pos="4419"/>
          <w:tab w:val="clear" w:pos="8838"/>
        </w:tabs>
        <w:jc w:val="both"/>
        <w:rPr>
          <w:lang w:val="pt-BR"/>
        </w:rPr>
      </w:pPr>
      <w:r w:rsidRPr="00D5464D">
        <w:rPr>
          <w:lang w:val="pt-BR"/>
        </w:rPr>
        <w:t>Em outra perspectiva</w:t>
      </w:r>
      <w:r w:rsidR="00A1358C" w:rsidRPr="00D5464D">
        <w:rPr>
          <w:lang w:val="pt-BR"/>
        </w:rPr>
        <w:t>,</w:t>
      </w:r>
      <w:r w:rsidR="00470ADC" w:rsidRPr="00D5464D">
        <w:rPr>
          <w:lang w:val="pt-BR"/>
        </w:rPr>
        <w:t xml:space="preserve"> os </w:t>
      </w:r>
      <w:r w:rsidR="002C330E" w:rsidRPr="00D5464D">
        <w:rPr>
          <w:lang w:val="pt-BR"/>
        </w:rPr>
        <w:t>fatos</w:t>
      </w:r>
      <w:r w:rsidR="004713F4" w:rsidRPr="00D5464D">
        <w:rPr>
          <w:lang w:val="pt-BR"/>
        </w:rPr>
        <w:t xml:space="preserve"> relacionados</w:t>
      </w:r>
      <w:r w:rsidR="00470ADC" w:rsidRPr="00D5464D">
        <w:rPr>
          <w:lang w:val="pt-BR"/>
        </w:rPr>
        <w:t xml:space="preserve"> à </w:t>
      </w:r>
      <w:r w:rsidR="00AB4663" w:rsidRPr="00D5464D">
        <w:rPr>
          <w:lang w:val="pt-BR"/>
        </w:rPr>
        <w:t>fiscalização</w:t>
      </w:r>
      <w:r w:rsidR="004713F4" w:rsidRPr="00D5464D">
        <w:rPr>
          <w:lang w:val="pt-BR"/>
        </w:rPr>
        <w:t xml:space="preserve"> de </w:t>
      </w:r>
      <w:r w:rsidR="002C330E" w:rsidRPr="00D5464D">
        <w:rPr>
          <w:lang w:val="pt-BR"/>
        </w:rPr>
        <w:t>março</w:t>
      </w:r>
      <w:r w:rsidRPr="00D5464D">
        <w:rPr>
          <w:lang w:val="pt-BR"/>
        </w:rPr>
        <w:t xml:space="preserve"> de 2000 indicam </w:t>
      </w:r>
      <w:r w:rsidR="004713F4" w:rsidRPr="00D5464D">
        <w:rPr>
          <w:lang w:val="pt-BR"/>
        </w:rPr>
        <w:t>que</w:t>
      </w:r>
      <w:r w:rsidR="00470ADC" w:rsidRPr="00D5464D">
        <w:rPr>
          <w:lang w:val="pt-BR"/>
        </w:rPr>
        <w:t xml:space="preserve"> o </w:t>
      </w:r>
      <w:r w:rsidR="002C330E" w:rsidRPr="00D5464D">
        <w:rPr>
          <w:lang w:val="pt-BR"/>
        </w:rPr>
        <w:t xml:space="preserve">senhor </w:t>
      </w:r>
      <w:r w:rsidR="00E42F61" w:rsidRPr="00D5464D">
        <w:rPr>
          <w:lang w:val="pt-BR"/>
        </w:rPr>
        <w:t xml:space="preserve">Antônio </w:t>
      </w:r>
      <w:r w:rsidR="004713F4" w:rsidRPr="00D5464D">
        <w:rPr>
          <w:lang w:val="pt-BR"/>
        </w:rPr>
        <w:t xml:space="preserve">Francisco da Silva, </w:t>
      </w:r>
      <w:r w:rsidR="002C330E" w:rsidRPr="00D5464D">
        <w:rPr>
          <w:lang w:val="pt-BR"/>
        </w:rPr>
        <w:t xml:space="preserve">que </w:t>
      </w:r>
      <w:r w:rsidRPr="00D5464D">
        <w:rPr>
          <w:lang w:val="pt-BR"/>
        </w:rPr>
        <w:t xml:space="preserve">fugiu </w:t>
      </w:r>
      <w:r w:rsidR="00470ADC" w:rsidRPr="00D5464D">
        <w:rPr>
          <w:lang w:val="pt-BR"/>
        </w:rPr>
        <w:t xml:space="preserve">da </w:t>
      </w:r>
      <w:r w:rsidR="00D809F0" w:rsidRPr="00D5464D">
        <w:rPr>
          <w:lang w:val="pt-BR"/>
        </w:rPr>
        <w:t>fazenda</w:t>
      </w:r>
      <w:r w:rsidR="00E045D9" w:rsidRPr="00D5464D">
        <w:rPr>
          <w:lang w:val="pt-BR"/>
        </w:rPr>
        <w:t xml:space="preserve"> e</w:t>
      </w:r>
      <w:r w:rsidRPr="00D5464D">
        <w:rPr>
          <w:lang w:val="pt-BR"/>
        </w:rPr>
        <w:t>,</w:t>
      </w:r>
      <w:r w:rsidR="00E045D9" w:rsidRPr="00D5464D">
        <w:rPr>
          <w:lang w:val="pt-BR"/>
        </w:rPr>
        <w:t xml:space="preserve"> </w:t>
      </w:r>
      <w:r w:rsidR="00470ADC" w:rsidRPr="00D5464D">
        <w:rPr>
          <w:lang w:val="pt-BR"/>
        </w:rPr>
        <w:t>depois</w:t>
      </w:r>
      <w:r w:rsidR="004713F4" w:rsidRPr="00D5464D">
        <w:rPr>
          <w:lang w:val="pt-BR"/>
        </w:rPr>
        <w:t xml:space="preserve"> de </w:t>
      </w:r>
      <w:r w:rsidR="002C330E" w:rsidRPr="00D5464D">
        <w:rPr>
          <w:lang w:val="pt-BR"/>
        </w:rPr>
        <w:t>muito</w:t>
      </w:r>
      <w:r w:rsidR="004713F4" w:rsidRPr="00D5464D">
        <w:rPr>
          <w:lang w:val="pt-BR"/>
        </w:rPr>
        <w:t xml:space="preserve"> </w:t>
      </w:r>
      <w:r w:rsidR="00470ADC" w:rsidRPr="00D5464D">
        <w:rPr>
          <w:lang w:val="pt-BR"/>
        </w:rPr>
        <w:t>esforço</w:t>
      </w:r>
      <w:r w:rsidRPr="00D5464D">
        <w:rPr>
          <w:lang w:val="pt-BR"/>
        </w:rPr>
        <w:t>,</w:t>
      </w:r>
      <w:r w:rsidR="004713F4" w:rsidRPr="00D5464D">
        <w:rPr>
          <w:lang w:val="pt-BR"/>
        </w:rPr>
        <w:t xml:space="preserve"> </w:t>
      </w:r>
      <w:r w:rsidR="00E045D9" w:rsidRPr="00D5464D">
        <w:rPr>
          <w:lang w:val="pt-BR"/>
        </w:rPr>
        <w:t>conseguiu</w:t>
      </w:r>
      <w:r w:rsidR="004713F4" w:rsidRPr="00D5464D">
        <w:rPr>
          <w:lang w:val="pt-BR"/>
        </w:rPr>
        <w:t xml:space="preserve"> denunciar</w:t>
      </w:r>
      <w:r w:rsidR="002C330E" w:rsidRPr="00D5464D">
        <w:rPr>
          <w:lang w:val="pt-BR"/>
        </w:rPr>
        <w:t xml:space="preserve"> a </w:t>
      </w:r>
      <w:r w:rsidR="00E045D9" w:rsidRPr="00D5464D">
        <w:rPr>
          <w:lang w:val="pt-BR"/>
        </w:rPr>
        <w:t>existência</w:t>
      </w:r>
      <w:r w:rsidR="004713F4" w:rsidRPr="00D5464D">
        <w:rPr>
          <w:lang w:val="pt-BR"/>
        </w:rPr>
        <w:t xml:space="preserve"> de situa</w:t>
      </w:r>
      <w:r w:rsidR="00470ADC" w:rsidRPr="00D5464D">
        <w:rPr>
          <w:lang w:val="pt-BR"/>
        </w:rPr>
        <w:t>ção</w:t>
      </w:r>
      <w:r w:rsidR="004713F4" w:rsidRPr="00D5464D">
        <w:rPr>
          <w:lang w:val="pt-BR"/>
        </w:rPr>
        <w:t xml:space="preserve"> </w:t>
      </w:r>
      <w:r w:rsidRPr="00D5464D">
        <w:rPr>
          <w:lang w:val="pt-BR"/>
        </w:rPr>
        <w:t xml:space="preserve">de </w:t>
      </w:r>
      <w:r w:rsidR="000B376D" w:rsidRPr="00D5464D">
        <w:rPr>
          <w:lang w:val="pt-BR"/>
        </w:rPr>
        <w:t>escravidão</w:t>
      </w:r>
      <w:r w:rsidR="004713F4" w:rsidRPr="00D5464D">
        <w:rPr>
          <w:lang w:val="pt-BR"/>
        </w:rPr>
        <w:t xml:space="preserve">, </w:t>
      </w:r>
      <w:r w:rsidR="00470ADC" w:rsidRPr="00D5464D">
        <w:rPr>
          <w:lang w:val="pt-BR"/>
        </w:rPr>
        <w:t>ameaça</w:t>
      </w:r>
      <w:r w:rsidR="004713F4" w:rsidRPr="00D5464D">
        <w:rPr>
          <w:lang w:val="pt-BR"/>
        </w:rPr>
        <w:t>s</w:t>
      </w:r>
      <w:r w:rsidR="00E045D9" w:rsidRPr="00D5464D">
        <w:rPr>
          <w:lang w:val="pt-BR"/>
        </w:rPr>
        <w:t xml:space="preserve"> e violência na </w:t>
      </w:r>
      <w:r w:rsidR="00D809F0" w:rsidRPr="00D5464D">
        <w:rPr>
          <w:lang w:val="pt-BR"/>
        </w:rPr>
        <w:t>Fazenda</w:t>
      </w:r>
      <w:r w:rsidR="004713F4" w:rsidRPr="00D5464D">
        <w:rPr>
          <w:lang w:val="pt-BR"/>
        </w:rPr>
        <w:t xml:space="preserve"> Brasil Verde, era </w:t>
      </w:r>
      <w:r w:rsidR="002C330E" w:rsidRPr="00D5464D">
        <w:rPr>
          <w:lang w:val="pt-BR"/>
        </w:rPr>
        <w:t xml:space="preserve">criança </w:t>
      </w:r>
      <w:r w:rsidRPr="00D5464D">
        <w:rPr>
          <w:lang w:val="pt-BR"/>
        </w:rPr>
        <w:t>naquele</w:t>
      </w:r>
      <w:r w:rsidR="00470ADC" w:rsidRPr="00D5464D">
        <w:rPr>
          <w:lang w:val="pt-BR"/>
        </w:rPr>
        <w:t xml:space="preserve"> </w:t>
      </w:r>
      <w:r w:rsidR="004713F4" w:rsidRPr="00D5464D">
        <w:rPr>
          <w:lang w:val="pt-BR"/>
        </w:rPr>
        <w:t>momento (</w:t>
      </w:r>
      <w:r w:rsidR="002C330E" w:rsidRPr="00D5464D">
        <w:rPr>
          <w:lang w:val="pt-BR"/>
        </w:rPr>
        <w:t>pars.</w:t>
      </w:r>
      <w:r w:rsidR="004713F4" w:rsidRPr="00D5464D">
        <w:rPr>
          <w:lang w:val="pt-BR"/>
        </w:rPr>
        <w:t xml:space="preserve"> </w:t>
      </w:r>
      <w:r w:rsidR="00146AEA" w:rsidRPr="00D5464D">
        <w:rPr>
          <w:lang w:val="pt-BR"/>
        </w:rPr>
        <w:t>174,</w:t>
      </w:r>
      <w:r w:rsidR="00BB7553" w:rsidRPr="00D5464D">
        <w:rPr>
          <w:lang w:val="pt-BR"/>
        </w:rPr>
        <w:t xml:space="preserve"> 175</w:t>
      </w:r>
      <w:r w:rsidR="00E045D9" w:rsidRPr="00D5464D">
        <w:rPr>
          <w:lang w:val="pt-BR"/>
        </w:rPr>
        <w:t xml:space="preserve"> e </w:t>
      </w:r>
      <w:r w:rsidR="00146AEA" w:rsidRPr="00D5464D">
        <w:rPr>
          <w:lang w:val="pt-BR"/>
        </w:rPr>
        <w:t>299</w:t>
      </w:r>
      <w:r w:rsidRPr="00D5464D">
        <w:rPr>
          <w:i/>
          <w:lang w:val="pt-BR"/>
        </w:rPr>
        <w:t xml:space="preserve"> supra</w:t>
      </w:r>
      <w:r w:rsidR="004713F4" w:rsidRPr="00D5464D">
        <w:rPr>
          <w:lang w:val="pt-BR"/>
        </w:rPr>
        <w:t>).</w:t>
      </w:r>
      <w:r w:rsidR="00470ADC" w:rsidRPr="00D5464D">
        <w:rPr>
          <w:lang w:val="pt-BR"/>
        </w:rPr>
        <w:t xml:space="preserve"> </w:t>
      </w:r>
      <w:r w:rsidRPr="00D5464D">
        <w:rPr>
          <w:lang w:val="pt-BR"/>
        </w:rPr>
        <w:t>P</w:t>
      </w:r>
      <w:r w:rsidR="00470ADC" w:rsidRPr="00D5464D">
        <w:rPr>
          <w:lang w:val="pt-BR"/>
        </w:rPr>
        <w:t xml:space="preserve">erante a </w:t>
      </w:r>
      <w:r w:rsidR="004713F4" w:rsidRPr="00D5464D">
        <w:rPr>
          <w:lang w:val="pt-BR"/>
        </w:rPr>
        <w:t>Corte</w:t>
      </w:r>
      <w:r w:rsidRPr="00D5464D">
        <w:rPr>
          <w:lang w:val="pt-BR"/>
        </w:rPr>
        <w:t>,</w:t>
      </w:r>
      <w:r w:rsidR="00470ADC" w:rsidRPr="00D5464D">
        <w:rPr>
          <w:lang w:val="pt-BR"/>
        </w:rPr>
        <w:t xml:space="preserve"> o </w:t>
      </w:r>
      <w:r w:rsidR="002C330E" w:rsidRPr="00D5464D">
        <w:rPr>
          <w:lang w:val="pt-BR"/>
        </w:rPr>
        <w:t xml:space="preserve">senhor </w:t>
      </w:r>
      <w:r w:rsidR="00E42F61" w:rsidRPr="00D5464D">
        <w:rPr>
          <w:lang w:val="pt-BR"/>
        </w:rPr>
        <w:t xml:space="preserve">Antônio </w:t>
      </w:r>
      <w:r w:rsidR="004713F4" w:rsidRPr="00D5464D">
        <w:rPr>
          <w:lang w:val="pt-BR"/>
        </w:rPr>
        <w:t xml:space="preserve">Francisco da Silva </w:t>
      </w:r>
      <w:r w:rsidR="00470ADC" w:rsidRPr="00D5464D">
        <w:rPr>
          <w:lang w:val="pt-BR"/>
        </w:rPr>
        <w:t>declarou</w:t>
      </w:r>
      <w:r w:rsidR="004713F4" w:rsidRPr="00D5464D">
        <w:rPr>
          <w:lang w:val="pt-BR"/>
        </w:rPr>
        <w:t xml:space="preserve"> que </w:t>
      </w:r>
      <w:r w:rsidR="00470ADC" w:rsidRPr="00D5464D">
        <w:rPr>
          <w:lang w:val="pt-BR"/>
        </w:rPr>
        <w:t>denunciou esse</w:t>
      </w:r>
      <w:r w:rsidR="002C330E" w:rsidRPr="00D5464D">
        <w:rPr>
          <w:lang w:val="pt-BR"/>
        </w:rPr>
        <w:t xml:space="preserve"> fato </w:t>
      </w:r>
      <w:r w:rsidR="00470ADC" w:rsidRPr="00D5464D">
        <w:rPr>
          <w:lang w:val="pt-BR"/>
        </w:rPr>
        <w:t xml:space="preserve">à </w:t>
      </w:r>
      <w:r w:rsidRPr="00D5464D">
        <w:rPr>
          <w:lang w:val="pt-BR"/>
        </w:rPr>
        <w:t>P</w:t>
      </w:r>
      <w:r w:rsidR="00E765C2" w:rsidRPr="00D5464D">
        <w:rPr>
          <w:lang w:val="pt-BR"/>
        </w:rPr>
        <w:t xml:space="preserve">olícia </w:t>
      </w:r>
      <w:r w:rsidRPr="00D5464D">
        <w:rPr>
          <w:lang w:val="pt-BR"/>
        </w:rPr>
        <w:t>F</w:t>
      </w:r>
      <w:r w:rsidR="004713F4" w:rsidRPr="00D5464D">
        <w:rPr>
          <w:lang w:val="pt-BR"/>
        </w:rPr>
        <w:t>ederal</w:t>
      </w:r>
      <w:r w:rsidR="00E045D9" w:rsidRPr="00D5464D">
        <w:rPr>
          <w:lang w:val="pt-BR"/>
        </w:rPr>
        <w:t xml:space="preserve"> e também</w:t>
      </w:r>
      <w:r w:rsidR="00470ADC" w:rsidRPr="00D5464D">
        <w:rPr>
          <w:lang w:val="pt-BR"/>
        </w:rPr>
        <w:t xml:space="preserve"> à </w:t>
      </w:r>
      <w:r w:rsidR="004713F4" w:rsidRPr="00D5464D">
        <w:rPr>
          <w:lang w:val="pt-BR"/>
        </w:rPr>
        <w:t>CPT</w:t>
      </w:r>
      <w:r w:rsidR="00303055" w:rsidRPr="00D5464D">
        <w:rPr>
          <w:lang w:val="pt-BR"/>
        </w:rPr>
        <w:t>.</w:t>
      </w:r>
      <w:r w:rsidR="004713F4" w:rsidRPr="00D5464D">
        <w:rPr>
          <w:lang w:val="pt-BR"/>
        </w:rPr>
        <w:t xml:space="preserve"> </w:t>
      </w:r>
    </w:p>
    <w:p w14:paraId="1828F47A" w14:textId="77777777" w:rsidR="00DE3E58" w:rsidRPr="00D5464D" w:rsidRDefault="00DE3E58" w:rsidP="00DE3E58">
      <w:pPr>
        <w:tabs>
          <w:tab w:val="clear" w:pos="4419"/>
          <w:tab w:val="clear" w:pos="8838"/>
        </w:tabs>
        <w:jc w:val="both"/>
        <w:rPr>
          <w:lang w:val="pt-BR"/>
        </w:rPr>
      </w:pPr>
    </w:p>
    <w:p w14:paraId="3BDB2920" w14:textId="1E960E12" w:rsidR="004713F4" w:rsidRPr="00D5464D" w:rsidRDefault="00470ADC" w:rsidP="00D57137">
      <w:pPr>
        <w:numPr>
          <w:ilvl w:val="0"/>
          <w:numId w:val="1"/>
        </w:numPr>
        <w:tabs>
          <w:tab w:val="clear" w:pos="4419"/>
          <w:tab w:val="clear" w:pos="8838"/>
        </w:tabs>
        <w:jc w:val="both"/>
        <w:rPr>
          <w:lang w:val="pt-BR"/>
        </w:rPr>
      </w:pPr>
      <w:r w:rsidRPr="00D5464D">
        <w:rPr>
          <w:lang w:val="pt-BR" w:eastAsia="es-ES"/>
        </w:rPr>
        <w:t xml:space="preserve">A </w:t>
      </w:r>
      <w:r w:rsidR="00D57137" w:rsidRPr="00D5464D">
        <w:rPr>
          <w:lang w:val="pt-BR"/>
        </w:rPr>
        <w:t xml:space="preserve">Corte </w:t>
      </w:r>
      <w:r w:rsidR="002C330E" w:rsidRPr="00D5464D">
        <w:rPr>
          <w:lang w:val="pt-BR"/>
        </w:rPr>
        <w:t xml:space="preserve">ressalta </w:t>
      </w:r>
      <w:r w:rsidR="00D57137" w:rsidRPr="00D5464D">
        <w:rPr>
          <w:lang w:val="pt-BR"/>
        </w:rPr>
        <w:t>que</w:t>
      </w:r>
      <w:r w:rsidR="002C330E" w:rsidRPr="00D5464D">
        <w:rPr>
          <w:lang w:val="pt-BR"/>
        </w:rPr>
        <w:t xml:space="preserve"> </w:t>
      </w:r>
      <w:r w:rsidR="00A1358C" w:rsidRPr="00D5464D">
        <w:rPr>
          <w:lang w:val="pt-BR"/>
        </w:rPr>
        <w:t>as crianças</w:t>
      </w:r>
      <w:r w:rsidR="00E045D9" w:rsidRPr="00D5464D">
        <w:rPr>
          <w:lang w:val="pt-BR"/>
        </w:rPr>
        <w:t xml:space="preserve"> </w:t>
      </w:r>
      <w:r w:rsidR="002C330E" w:rsidRPr="00D5464D">
        <w:rPr>
          <w:lang w:val="pt-BR"/>
        </w:rPr>
        <w:t xml:space="preserve">são </w:t>
      </w:r>
      <w:r w:rsidR="00D57137" w:rsidRPr="00D5464D">
        <w:rPr>
          <w:lang w:val="pt-BR"/>
        </w:rPr>
        <w:t>titulares</w:t>
      </w:r>
      <w:r w:rsidRPr="00D5464D">
        <w:rPr>
          <w:lang w:val="pt-BR"/>
        </w:rPr>
        <w:t xml:space="preserve"> dos direito</w:t>
      </w:r>
      <w:r w:rsidR="00D57137" w:rsidRPr="00D5464D">
        <w:rPr>
          <w:lang w:val="pt-BR"/>
        </w:rPr>
        <w:t xml:space="preserve">s </w:t>
      </w:r>
      <w:r w:rsidRPr="00D5464D">
        <w:rPr>
          <w:lang w:val="pt-BR"/>
        </w:rPr>
        <w:t>estabelecid</w:t>
      </w:r>
      <w:r w:rsidR="00D57137" w:rsidRPr="00D5464D">
        <w:rPr>
          <w:lang w:val="pt-BR"/>
        </w:rPr>
        <w:t>os</w:t>
      </w:r>
      <w:r w:rsidR="00E045D9" w:rsidRPr="00D5464D">
        <w:rPr>
          <w:lang w:val="pt-BR"/>
        </w:rPr>
        <w:t xml:space="preserve"> na </w:t>
      </w:r>
      <w:r w:rsidR="00D57137" w:rsidRPr="00D5464D">
        <w:rPr>
          <w:lang w:val="pt-BR"/>
        </w:rPr>
        <w:t>Conven</w:t>
      </w:r>
      <w:r w:rsidRPr="00D5464D">
        <w:rPr>
          <w:lang w:val="pt-BR"/>
        </w:rPr>
        <w:t>ção</w:t>
      </w:r>
      <w:r w:rsidR="00D57137" w:rsidRPr="00D5464D">
        <w:rPr>
          <w:lang w:val="pt-BR"/>
        </w:rPr>
        <w:t xml:space="preserve"> Americana</w:t>
      </w:r>
      <w:r w:rsidR="00EB1CE9" w:rsidRPr="00D5464D">
        <w:rPr>
          <w:lang w:val="pt-BR"/>
        </w:rPr>
        <w:t xml:space="preserve">, além </w:t>
      </w:r>
      <w:r w:rsidR="00350187" w:rsidRPr="00D5464D">
        <w:rPr>
          <w:lang w:val="pt-BR"/>
        </w:rPr>
        <w:t xml:space="preserve">de </w:t>
      </w:r>
      <w:r w:rsidR="00D57137" w:rsidRPr="00D5464D">
        <w:rPr>
          <w:lang w:val="pt-BR"/>
        </w:rPr>
        <w:t>contar</w:t>
      </w:r>
      <w:r w:rsidR="00504F1E" w:rsidRPr="00D5464D">
        <w:rPr>
          <w:lang w:val="pt-BR"/>
        </w:rPr>
        <w:t>em</w:t>
      </w:r>
      <w:r w:rsidRPr="00D5464D">
        <w:rPr>
          <w:lang w:val="pt-BR"/>
        </w:rPr>
        <w:t xml:space="preserve"> com</w:t>
      </w:r>
      <w:r w:rsidR="002C330E" w:rsidRPr="00D5464D">
        <w:rPr>
          <w:lang w:val="pt-BR"/>
        </w:rPr>
        <w:t xml:space="preserve"> as </w:t>
      </w:r>
      <w:r w:rsidR="00D57137" w:rsidRPr="00D5464D">
        <w:rPr>
          <w:bCs/>
          <w:lang w:val="pt-BR"/>
        </w:rPr>
        <w:t xml:space="preserve">medidas </w:t>
      </w:r>
      <w:r w:rsidRPr="00D5464D">
        <w:rPr>
          <w:bCs/>
          <w:lang w:val="pt-BR"/>
        </w:rPr>
        <w:t>especiais</w:t>
      </w:r>
      <w:r w:rsidR="00D57137" w:rsidRPr="00D5464D">
        <w:rPr>
          <w:bCs/>
          <w:lang w:val="pt-BR"/>
        </w:rPr>
        <w:t xml:space="preserve"> de </w:t>
      </w:r>
      <w:r w:rsidR="002C330E" w:rsidRPr="00D5464D">
        <w:rPr>
          <w:bCs/>
          <w:lang w:val="pt-BR"/>
        </w:rPr>
        <w:t>proteção</w:t>
      </w:r>
      <w:r w:rsidR="00D57137" w:rsidRPr="00D5464D">
        <w:rPr>
          <w:bCs/>
          <w:lang w:val="pt-BR"/>
        </w:rPr>
        <w:t xml:space="preserve"> contempladas</w:t>
      </w:r>
      <w:r w:rsidR="00E045D9" w:rsidRPr="00D5464D">
        <w:rPr>
          <w:bCs/>
          <w:lang w:val="pt-BR"/>
        </w:rPr>
        <w:t xml:space="preserve"> no </w:t>
      </w:r>
      <w:r w:rsidRPr="00D5464D">
        <w:rPr>
          <w:bCs/>
          <w:lang w:val="pt-BR"/>
        </w:rPr>
        <w:t>artigo</w:t>
      </w:r>
      <w:r w:rsidR="00D57137" w:rsidRPr="00D5464D">
        <w:rPr>
          <w:bCs/>
          <w:lang w:val="pt-BR"/>
        </w:rPr>
        <w:t xml:space="preserve"> 19</w:t>
      </w:r>
      <w:r w:rsidRPr="00D5464D">
        <w:rPr>
          <w:bCs/>
          <w:lang w:val="pt-BR"/>
        </w:rPr>
        <w:t xml:space="preserve"> da </w:t>
      </w:r>
      <w:r w:rsidR="00D57137" w:rsidRPr="00D5464D">
        <w:rPr>
          <w:bCs/>
          <w:lang w:val="pt-BR"/>
        </w:rPr>
        <w:t>Conven</w:t>
      </w:r>
      <w:r w:rsidRPr="00D5464D">
        <w:rPr>
          <w:bCs/>
          <w:lang w:val="pt-BR"/>
        </w:rPr>
        <w:t>ção</w:t>
      </w:r>
      <w:r w:rsidR="00D57137" w:rsidRPr="00D5464D">
        <w:rPr>
          <w:bCs/>
          <w:lang w:val="pt-BR"/>
        </w:rPr>
        <w:t>,</w:t>
      </w:r>
      <w:r w:rsidR="002C330E" w:rsidRPr="00D5464D">
        <w:rPr>
          <w:bCs/>
          <w:lang w:val="pt-BR"/>
        </w:rPr>
        <w:t xml:space="preserve"> as </w:t>
      </w:r>
      <w:r w:rsidRPr="00D5464D">
        <w:rPr>
          <w:bCs/>
          <w:lang w:val="pt-BR"/>
        </w:rPr>
        <w:t>quais</w:t>
      </w:r>
      <w:r w:rsidR="00D57137" w:rsidRPr="00D5464D">
        <w:rPr>
          <w:bCs/>
          <w:lang w:val="pt-BR"/>
        </w:rPr>
        <w:t xml:space="preserve"> </w:t>
      </w:r>
      <w:r w:rsidRPr="00D5464D">
        <w:rPr>
          <w:bCs/>
          <w:lang w:val="pt-BR"/>
        </w:rPr>
        <w:t>devem</w:t>
      </w:r>
      <w:r w:rsidR="00D57137" w:rsidRPr="00D5464D">
        <w:rPr>
          <w:bCs/>
          <w:lang w:val="pt-BR"/>
        </w:rPr>
        <w:t xml:space="preserve"> ser definidas </w:t>
      </w:r>
      <w:r w:rsidR="00504F1E" w:rsidRPr="00D5464D">
        <w:rPr>
          <w:bCs/>
          <w:lang w:val="pt-BR"/>
        </w:rPr>
        <w:t xml:space="preserve">de acordo com </w:t>
      </w:r>
      <w:r w:rsidR="002C330E" w:rsidRPr="00D5464D">
        <w:rPr>
          <w:bCs/>
          <w:lang w:val="pt-BR"/>
        </w:rPr>
        <w:t xml:space="preserve">as </w:t>
      </w:r>
      <w:r w:rsidRPr="00D5464D">
        <w:rPr>
          <w:bCs/>
          <w:lang w:val="pt-BR"/>
        </w:rPr>
        <w:t>circunstâncias</w:t>
      </w:r>
      <w:r w:rsidR="00D57137" w:rsidRPr="00D5464D">
        <w:rPr>
          <w:bCs/>
          <w:lang w:val="pt-BR"/>
        </w:rPr>
        <w:t xml:space="preserve"> particulares de cada caso concreto</w:t>
      </w:r>
      <w:bookmarkStart w:id="410" w:name="_Ref318129080"/>
      <w:r w:rsidR="00504F1E" w:rsidRPr="00D5464D">
        <w:rPr>
          <w:bCs/>
          <w:lang w:val="pt-BR"/>
        </w:rPr>
        <w:t>.</w:t>
      </w:r>
      <w:r w:rsidR="00D57137" w:rsidRPr="00D5464D">
        <w:rPr>
          <w:rStyle w:val="Refdenotaalpie"/>
          <w:bCs/>
          <w:lang w:val="pt-BR"/>
        </w:rPr>
        <w:footnoteReference w:id="458"/>
      </w:r>
      <w:bookmarkEnd w:id="410"/>
      <w:r w:rsidR="00A1358C" w:rsidRPr="00D5464D">
        <w:rPr>
          <w:lang w:val="pt-BR"/>
        </w:rPr>
        <w:t xml:space="preserve"> O </w:t>
      </w:r>
      <w:r w:rsidRPr="00D5464D">
        <w:rPr>
          <w:lang w:val="pt-BR"/>
        </w:rPr>
        <w:t>artigo</w:t>
      </w:r>
      <w:r w:rsidR="004713F4" w:rsidRPr="00D5464D">
        <w:rPr>
          <w:lang w:val="pt-BR"/>
        </w:rPr>
        <w:t xml:space="preserve"> 19</w:t>
      </w:r>
      <w:r w:rsidRPr="00D5464D">
        <w:rPr>
          <w:lang w:val="pt-BR"/>
        </w:rPr>
        <w:t xml:space="preserve"> da </w:t>
      </w:r>
      <w:r w:rsidR="004713F4" w:rsidRPr="00D5464D">
        <w:rPr>
          <w:lang w:val="pt-BR"/>
        </w:rPr>
        <w:t>Conven</w:t>
      </w:r>
      <w:r w:rsidRPr="00D5464D">
        <w:rPr>
          <w:lang w:val="pt-BR"/>
        </w:rPr>
        <w:t>ção</w:t>
      </w:r>
      <w:r w:rsidR="004713F4" w:rsidRPr="00D5464D">
        <w:rPr>
          <w:lang w:val="pt-BR"/>
        </w:rPr>
        <w:t xml:space="preserve"> </w:t>
      </w:r>
      <w:r w:rsidRPr="00D5464D">
        <w:rPr>
          <w:lang w:val="pt-BR"/>
        </w:rPr>
        <w:t>estabelece</w:t>
      </w:r>
      <w:r w:rsidR="002C330E" w:rsidRPr="00D5464D">
        <w:rPr>
          <w:lang w:val="pt-BR"/>
        </w:rPr>
        <w:t xml:space="preserve"> a obrigação</w:t>
      </w:r>
      <w:r w:rsidR="004713F4" w:rsidRPr="00D5464D">
        <w:rPr>
          <w:lang w:val="pt-BR"/>
        </w:rPr>
        <w:t xml:space="preserve"> de </w:t>
      </w:r>
      <w:r w:rsidRPr="00D5464D">
        <w:rPr>
          <w:lang w:val="pt-BR"/>
        </w:rPr>
        <w:t>adot</w:t>
      </w:r>
      <w:r w:rsidR="004713F4" w:rsidRPr="00D5464D">
        <w:rPr>
          <w:lang w:val="pt-BR"/>
        </w:rPr>
        <w:t xml:space="preserve">ar medidas de </w:t>
      </w:r>
      <w:r w:rsidR="002C330E" w:rsidRPr="00D5464D">
        <w:rPr>
          <w:lang w:val="pt-BR"/>
        </w:rPr>
        <w:t>proteção</w:t>
      </w:r>
      <w:r w:rsidR="004713F4" w:rsidRPr="00D5464D">
        <w:rPr>
          <w:lang w:val="pt-BR"/>
        </w:rPr>
        <w:t xml:space="preserve"> especial a favor de toda </w:t>
      </w:r>
      <w:r w:rsidR="002C330E" w:rsidRPr="00D5464D">
        <w:rPr>
          <w:lang w:val="pt-BR"/>
        </w:rPr>
        <w:t xml:space="preserve">criança </w:t>
      </w:r>
      <w:r w:rsidRPr="00D5464D">
        <w:rPr>
          <w:lang w:val="pt-BR"/>
        </w:rPr>
        <w:t xml:space="preserve">em </w:t>
      </w:r>
      <w:r w:rsidR="00E045D9" w:rsidRPr="00D5464D">
        <w:rPr>
          <w:lang w:val="pt-BR"/>
        </w:rPr>
        <w:t xml:space="preserve">virtude </w:t>
      </w:r>
      <w:r w:rsidR="004713F4" w:rsidRPr="00D5464D">
        <w:rPr>
          <w:lang w:val="pt-BR"/>
        </w:rPr>
        <w:t xml:space="preserve">de </w:t>
      </w:r>
      <w:r w:rsidR="00A1358C" w:rsidRPr="00D5464D">
        <w:rPr>
          <w:lang w:val="pt-BR"/>
        </w:rPr>
        <w:t>sua condição</w:t>
      </w:r>
      <w:r w:rsidR="00504F1E" w:rsidRPr="00D5464D">
        <w:rPr>
          <w:lang w:val="pt-BR"/>
        </w:rPr>
        <w:t xml:space="preserve"> como tal</w:t>
      </w:r>
      <w:r w:rsidR="004713F4" w:rsidRPr="00D5464D">
        <w:rPr>
          <w:lang w:val="pt-BR"/>
        </w:rPr>
        <w:t>,</w:t>
      </w:r>
      <w:r w:rsidR="002C330E" w:rsidRPr="00D5464D">
        <w:rPr>
          <w:lang w:val="pt-BR"/>
        </w:rPr>
        <w:t xml:space="preserve"> a </w:t>
      </w:r>
      <w:r w:rsidRPr="00D5464D">
        <w:rPr>
          <w:lang w:val="pt-BR"/>
        </w:rPr>
        <w:t xml:space="preserve">qual </w:t>
      </w:r>
      <w:r w:rsidR="004713F4" w:rsidRPr="00D5464D">
        <w:rPr>
          <w:lang w:val="pt-BR"/>
        </w:rPr>
        <w:t xml:space="preserve">irradia </w:t>
      </w:r>
      <w:r w:rsidR="00A1358C" w:rsidRPr="00D5464D">
        <w:rPr>
          <w:lang w:val="pt-BR"/>
        </w:rPr>
        <w:t>seus efeitos</w:t>
      </w:r>
      <w:r w:rsidR="00E045D9" w:rsidRPr="00D5464D">
        <w:rPr>
          <w:lang w:val="pt-BR"/>
        </w:rPr>
        <w:t xml:space="preserve"> na </w:t>
      </w:r>
      <w:r w:rsidR="004713F4" w:rsidRPr="00D5464D">
        <w:rPr>
          <w:lang w:val="pt-BR"/>
        </w:rPr>
        <w:t>interpreta</w:t>
      </w:r>
      <w:r w:rsidRPr="00D5464D">
        <w:rPr>
          <w:lang w:val="pt-BR"/>
        </w:rPr>
        <w:t>ção</w:t>
      </w:r>
      <w:r w:rsidR="004713F4" w:rsidRPr="00D5464D">
        <w:rPr>
          <w:lang w:val="pt-BR"/>
        </w:rPr>
        <w:t xml:space="preserve"> de todos</w:t>
      </w:r>
      <w:r w:rsidR="002C330E" w:rsidRPr="00D5464D">
        <w:rPr>
          <w:lang w:val="pt-BR"/>
        </w:rPr>
        <w:t xml:space="preserve"> os </w:t>
      </w:r>
      <w:r w:rsidRPr="00D5464D">
        <w:rPr>
          <w:lang w:val="pt-BR"/>
        </w:rPr>
        <w:t>demais</w:t>
      </w:r>
      <w:r w:rsidR="004713F4" w:rsidRPr="00D5464D">
        <w:rPr>
          <w:lang w:val="pt-BR"/>
        </w:rPr>
        <w:t xml:space="preserve"> </w:t>
      </w:r>
      <w:r w:rsidRPr="00D5464D">
        <w:rPr>
          <w:lang w:val="pt-BR"/>
        </w:rPr>
        <w:t>direito</w:t>
      </w:r>
      <w:r w:rsidR="004713F4" w:rsidRPr="00D5464D">
        <w:rPr>
          <w:lang w:val="pt-BR"/>
        </w:rPr>
        <w:t xml:space="preserve">s </w:t>
      </w:r>
      <w:r w:rsidRPr="00D5464D">
        <w:rPr>
          <w:lang w:val="pt-BR"/>
        </w:rPr>
        <w:t xml:space="preserve">quando o </w:t>
      </w:r>
      <w:r w:rsidR="004713F4" w:rsidRPr="00D5464D">
        <w:rPr>
          <w:lang w:val="pt-BR"/>
        </w:rPr>
        <w:t>caso se refer</w:t>
      </w:r>
      <w:r w:rsidR="00504F1E" w:rsidRPr="00D5464D">
        <w:rPr>
          <w:lang w:val="pt-BR"/>
        </w:rPr>
        <w:t>e</w:t>
      </w:r>
      <w:r w:rsidR="004713F4" w:rsidRPr="00D5464D">
        <w:rPr>
          <w:lang w:val="pt-BR"/>
        </w:rPr>
        <w:t xml:space="preserve"> a menores de</w:t>
      </w:r>
      <w:r w:rsidRPr="00D5464D">
        <w:rPr>
          <w:lang w:val="pt-BR"/>
        </w:rPr>
        <w:t xml:space="preserve"> idade</w:t>
      </w:r>
      <w:r w:rsidR="00A1358C" w:rsidRPr="00D5464D">
        <w:rPr>
          <w:lang w:val="pt-BR"/>
        </w:rPr>
        <w:t>. Nesta</w:t>
      </w:r>
      <w:r w:rsidR="00E045D9" w:rsidRPr="00D5464D">
        <w:rPr>
          <w:lang w:val="pt-BR"/>
        </w:rPr>
        <w:t xml:space="preserve"> </w:t>
      </w:r>
      <w:r w:rsidR="002C330E" w:rsidRPr="00D5464D">
        <w:rPr>
          <w:lang w:val="pt-BR"/>
        </w:rPr>
        <w:t>linha</w:t>
      </w:r>
      <w:r w:rsidR="004713F4" w:rsidRPr="00D5464D">
        <w:rPr>
          <w:lang w:val="pt-BR"/>
        </w:rPr>
        <w:t>,</w:t>
      </w:r>
      <w:r w:rsidR="002C330E" w:rsidRPr="00D5464D">
        <w:rPr>
          <w:lang w:val="pt-BR"/>
        </w:rPr>
        <w:t xml:space="preserve"> a </w:t>
      </w:r>
      <w:r w:rsidR="004713F4" w:rsidRPr="00D5464D">
        <w:rPr>
          <w:lang w:val="pt-BR"/>
        </w:rPr>
        <w:t xml:space="preserve">Corte </w:t>
      </w:r>
      <w:r w:rsidR="00737270" w:rsidRPr="00D5464D">
        <w:rPr>
          <w:lang w:val="pt-BR"/>
        </w:rPr>
        <w:t>considerou</w:t>
      </w:r>
      <w:r w:rsidR="004713F4" w:rsidRPr="00D5464D">
        <w:rPr>
          <w:lang w:val="pt-BR"/>
        </w:rPr>
        <w:t xml:space="preserve"> que</w:t>
      </w:r>
      <w:r w:rsidR="002C330E" w:rsidRPr="00D5464D">
        <w:rPr>
          <w:lang w:val="pt-BR"/>
        </w:rPr>
        <w:t xml:space="preserve"> a </w:t>
      </w:r>
      <w:r w:rsidRPr="00D5464D">
        <w:rPr>
          <w:lang w:val="pt-BR"/>
        </w:rPr>
        <w:t xml:space="preserve">devida </w:t>
      </w:r>
      <w:r w:rsidR="002C330E" w:rsidRPr="00D5464D">
        <w:rPr>
          <w:lang w:val="pt-BR"/>
        </w:rPr>
        <w:t>proteção</w:t>
      </w:r>
      <w:r w:rsidRPr="00D5464D">
        <w:rPr>
          <w:lang w:val="pt-BR"/>
        </w:rPr>
        <w:t xml:space="preserve"> dos direito</w:t>
      </w:r>
      <w:r w:rsidR="004713F4" w:rsidRPr="00D5464D">
        <w:rPr>
          <w:lang w:val="pt-BR"/>
        </w:rPr>
        <w:t>s</w:t>
      </w:r>
      <w:r w:rsidRPr="00D5464D">
        <w:rPr>
          <w:lang w:val="pt-BR"/>
        </w:rPr>
        <w:t xml:space="preserve"> das </w:t>
      </w:r>
      <w:r w:rsidR="00E045D9" w:rsidRPr="00D5464D">
        <w:rPr>
          <w:lang w:val="pt-BR"/>
        </w:rPr>
        <w:t>crianças</w:t>
      </w:r>
      <w:r w:rsidR="004713F4" w:rsidRPr="00D5464D">
        <w:rPr>
          <w:lang w:val="pt-BR"/>
        </w:rPr>
        <w:t>,</w:t>
      </w:r>
      <w:r w:rsidRPr="00D5464D">
        <w:rPr>
          <w:lang w:val="pt-BR"/>
        </w:rPr>
        <w:t xml:space="preserve"> em </w:t>
      </w:r>
      <w:r w:rsidR="00E045D9" w:rsidRPr="00D5464D">
        <w:rPr>
          <w:lang w:val="pt-BR"/>
        </w:rPr>
        <w:t>sua qualidade</w:t>
      </w:r>
      <w:r w:rsidRPr="00D5464D">
        <w:rPr>
          <w:lang w:val="pt-BR"/>
        </w:rPr>
        <w:t xml:space="preserve"> </w:t>
      </w:r>
      <w:r w:rsidR="004713F4" w:rsidRPr="00D5464D">
        <w:rPr>
          <w:lang w:val="pt-BR"/>
        </w:rPr>
        <w:t xml:space="preserve">de </w:t>
      </w:r>
      <w:r w:rsidR="00E045D9" w:rsidRPr="00D5464D">
        <w:rPr>
          <w:lang w:val="pt-BR"/>
        </w:rPr>
        <w:t>sujeito</w:t>
      </w:r>
      <w:r w:rsidR="004713F4" w:rsidRPr="00D5464D">
        <w:rPr>
          <w:lang w:val="pt-BR"/>
        </w:rPr>
        <w:t xml:space="preserve">s de </w:t>
      </w:r>
      <w:r w:rsidRPr="00D5464D">
        <w:rPr>
          <w:lang w:val="pt-BR"/>
        </w:rPr>
        <w:t>direito</w:t>
      </w:r>
      <w:r w:rsidR="004713F4" w:rsidRPr="00D5464D">
        <w:rPr>
          <w:lang w:val="pt-BR"/>
        </w:rPr>
        <w:t>s,</w:t>
      </w:r>
      <w:r w:rsidRPr="00D5464D">
        <w:rPr>
          <w:lang w:val="pt-BR"/>
        </w:rPr>
        <w:t xml:space="preserve"> deve </w:t>
      </w:r>
      <w:r w:rsidR="00E050C4" w:rsidRPr="00D5464D">
        <w:rPr>
          <w:lang w:val="pt-BR"/>
        </w:rPr>
        <w:t xml:space="preserve">levar </w:t>
      </w:r>
      <w:r w:rsidRPr="00D5464D">
        <w:rPr>
          <w:lang w:val="pt-BR"/>
        </w:rPr>
        <w:t xml:space="preserve">em </w:t>
      </w:r>
      <w:r w:rsidR="004713F4" w:rsidRPr="00D5464D">
        <w:rPr>
          <w:lang w:val="pt-BR"/>
        </w:rPr>
        <w:t>considera</w:t>
      </w:r>
      <w:r w:rsidRPr="00D5464D">
        <w:rPr>
          <w:lang w:val="pt-BR"/>
        </w:rPr>
        <w:t>ção</w:t>
      </w:r>
      <w:r w:rsidR="004713F4" w:rsidRPr="00D5464D">
        <w:rPr>
          <w:lang w:val="pt-BR"/>
        </w:rPr>
        <w:t xml:space="preserve"> </w:t>
      </w:r>
      <w:r w:rsidR="00E045D9" w:rsidRPr="00D5464D">
        <w:rPr>
          <w:lang w:val="pt-BR"/>
        </w:rPr>
        <w:t>suas características</w:t>
      </w:r>
      <w:r w:rsidR="00230C71" w:rsidRPr="00D5464D">
        <w:rPr>
          <w:lang w:val="pt-BR"/>
        </w:rPr>
        <w:t xml:space="preserve"> própria</w:t>
      </w:r>
      <w:r w:rsidR="004713F4" w:rsidRPr="00D5464D">
        <w:rPr>
          <w:lang w:val="pt-BR"/>
        </w:rPr>
        <w:t>s</w:t>
      </w:r>
      <w:r w:rsidR="00E045D9" w:rsidRPr="00D5464D">
        <w:rPr>
          <w:lang w:val="pt-BR"/>
        </w:rPr>
        <w:t xml:space="preserve"> e </w:t>
      </w:r>
      <w:r w:rsidR="002C330E" w:rsidRPr="00D5464D">
        <w:rPr>
          <w:lang w:val="pt-BR"/>
        </w:rPr>
        <w:t xml:space="preserve">a necessidade </w:t>
      </w:r>
      <w:r w:rsidR="004713F4" w:rsidRPr="00D5464D">
        <w:rPr>
          <w:lang w:val="pt-BR"/>
        </w:rPr>
        <w:t xml:space="preserve">de propiciar </w:t>
      </w:r>
      <w:r w:rsidR="00230C71" w:rsidRPr="00D5464D">
        <w:rPr>
          <w:lang w:val="pt-BR"/>
        </w:rPr>
        <w:t>seu desenvolvimento</w:t>
      </w:r>
      <w:r w:rsidR="004713F4" w:rsidRPr="00D5464D">
        <w:rPr>
          <w:lang w:val="pt-BR"/>
        </w:rPr>
        <w:t xml:space="preserve">, </w:t>
      </w:r>
      <w:r w:rsidR="00504F1E" w:rsidRPr="00D5464D">
        <w:rPr>
          <w:lang w:val="pt-BR"/>
        </w:rPr>
        <w:t>oferecendo-lhes</w:t>
      </w:r>
      <w:r w:rsidR="002C330E" w:rsidRPr="00D5464D">
        <w:rPr>
          <w:lang w:val="pt-BR"/>
        </w:rPr>
        <w:t xml:space="preserve"> as </w:t>
      </w:r>
      <w:r w:rsidR="004713F4" w:rsidRPr="00D5464D">
        <w:rPr>
          <w:lang w:val="pt-BR"/>
        </w:rPr>
        <w:t>condi</w:t>
      </w:r>
      <w:r w:rsidRPr="00D5464D">
        <w:rPr>
          <w:lang w:val="pt-BR"/>
        </w:rPr>
        <w:t>ções</w:t>
      </w:r>
      <w:r w:rsidR="004713F4" w:rsidRPr="00D5464D">
        <w:rPr>
          <w:lang w:val="pt-BR"/>
        </w:rPr>
        <w:t xml:space="preserve"> </w:t>
      </w:r>
      <w:r w:rsidR="002C330E" w:rsidRPr="00D5464D">
        <w:rPr>
          <w:lang w:val="pt-BR"/>
        </w:rPr>
        <w:t>necessári</w:t>
      </w:r>
      <w:r w:rsidR="004713F4" w:rsidRPr="00D5464D">
        <w:rPr>
          <w:lang w:val="pt-BR"/>
        </w:rPr>
        <w:t>as para que viva</w:t>
      </w:r>
      <w:r w:rsidR="00504F1E" w:rsidRPr="00D5464D">
        <w:rPr>
          <w:lang w:val="pt-BR"/>
        </w:rPr>
        <w:t>m</w:t>
      </w:r>
      <w:r w:rsidR="00E045D9" w:rsidRPr="00D5464D">
        <w:rPr>
          <w:lang w:val="pt-BR"/>
        </w:rPr>
        <w:t xml:space="preserve"> e </w:t>
      </w:r>
      <w:r w:rsidR="00C91CB1" w:rsidRPr="00D5464D">
        <w:rPr>
          <w:lang w:val="pt-BR"/>
        </w:rPr>
        <w:t>des</w:t>
      </w:r>
      <w:r w:rsidR="00E765C2" w:rsidRPr="00D5464D">
        <w:rPr>
          <w:lang w:val="pt-BR"/>
        </w:rPr>
        <w:t>envolvam</w:t>
      </w:r>
      <w:r w:rsidR="004713F4" w:rsidRPr="00D5464D">
        <w:rPr>
          <w:lang w:val="pt-BR"/>
        </w:rPr>
        <w:t xml:space="preserve"> su</w:t>
      </w:r>
      <w:r w:rsidR="00504F1E" w:rsidRPr="00D5464D">
        <w:rPr>
          <w:lang w:val="pt-BR"/>
        </w:rPr>
        <w:t>a</w:t>
      </w:r>
      <w:r w:rsidR="004713F4" w:rsidRPr="00D5464D">
        <w:rPr>
          <w:lang w:val="pt-BR"/>
        </w:rPr>
        <w:t xml:space="preserve">s </w:t>
      </w:r>
      <w:r w:rsidR="00504F1E" w:rsidRPr="00D5464D">
        <w:rPr>
          <w:lang w:val="pt-BR"/>
        </w:rPr>
        <w:t xml:space="preserve">aptidões </w:t>
      </w:r>
      <w:r w:rsidRPr="00D5464D">
        <w:rPr>
          <w:lang w:val="pt-BR"/>
        </w:rPr>
        <w:t xml:space="preserve">com </w:t>
      </w:r>
      <w:r w:rsidR="004713F4" w:rsidRPr="00D5464D">
        <w:rPr>
          <w:lang w:val="pt-BR"/>
        </w:rPr>
        <w:t xml:space="preserve">pleno </w:t>
      </w:r>
      <w:r w:rsidR="00A1358C" w:rsidRPr="00D5464D">
        <w:rPr>
          <w:lang w:val="pt-BR"/>
        </w:rPr>
        <w:t>aproveitamento</w:t>
      </w:r>
      <w:r w:rsidR="004713F4" w:rsidRPr="00D5464D">
        <w:rPr>
          <w:lang w:val="pt-BR"/>
        </w:rPr>
        <w:t xml:space="preserve"> de su</w:t>
      </w:r>
      <w:r w:rsidR="00504F1E" w:rsidRPr="00D5464D">
        <w:rPr>
          <w:lang w:val="pt-BR"/>
        </w:rPr>
        <w:t>a</w:t>
      </w:r>
      <w:r w:rsidR="004713F4" w:rsidRPr="00D5464D">
        <w:rPr>
          <w:lang w:val="pt-BR"/>
        </w:rPr>
        <w:t xml:space="preserve">s </w:t>
      </w:r>
      <w:r w:rsidR="00A1358C" w:rsidRPr="00D5464D">
        <w:rPr>
          <w:lang w:val="pt-BR"/>
        </w:rPr>
        <w:t>potencial</w:t>
      </w:r>
      <w:r w:rsidR="004713F4" w:rsidRPr="00D5464D">
        <w:rPr>
          <w:lang w:val="pt-BR"/>
        </w:rPr>
        <w:t>idades</w:t>
      </w:r>
      <w:r w:rsidR="00504F1E" w:rsidRPr="00D5464D">
        <w:rPr>
          <w:lang w:val="pt-BR"/>
        </w:rPr>
        <w:t>.</w:t>
      </w:r>
      <w:r w:rsidR="004713F4" w:rsidRPr="00D5464D">
        <w:rPr>
          <w:vertAlign w:val="superscript"/>
          <w:lang w:val="pt-BR"/>
        </w:rPr>
        <w:footnoteReference w:id="459"/>
      </w:r>
      <w:r w:rsidR="00A1358C" w:rsidRPr="00D5464D">
        <w:rPr>
          <w:lang w:val="pt-BR"/>
        </w:rPr>
        <w:t xml:space="preserve"> A </w:t>
      </w:r>
      <w:r w:rsidRPr="00D5464D">
        <w:rPr>
          <w:lang w:val="pt-BR"/>
        </w:rPr>
        <w:t xml:space="preserve">fim </w:t>
      </w:r>
      <w:r w:rsidR="004713F4" w:rsidRPr="00D5464D">
        <w:rPr>
          <w:lang w:val="pt-BR"/>
        </w:rPr>
        <w:t>de definir</w:t>
      </w:r>
      <w:r w:rsidRPr="00D5464D">
        <w:rPr>
          <w:lang w:val="pt-BR"/>
        </w:rPr>
        <w:t xml:space="preserve"> o conteúdo</w:t>
      </w:r>
      <w:r w:rsidR="00E045D9" w:rsidRPr="00D5464D">
        <w:rPr>
          <w:lang w:val="pt-BR"/>
        </w:rPr>
        <w:t xml:space="preserve"> e </w:t>
      </w:r>
      <w:r w:rsidR="002C330E" w:rsidRPr="00D5464D">
        <w:rPr>
          <w:lang w:val="pt-BR"/>
        </w:rPr>
        <w:t xml:space="preserve">os </w:t>
      </w:r>
      <w:r w:rsidR="004713F4" w:rsidRPr="00D5464D">
        <w:rPr>
          <w:lang w:val="pt-BR"/>
        </w:rPr>
        <w:t>alcances</w:t>
      </w:r>
      <w:r w:rsidRPr="00D5464D">
        <w:rPr>
          <w:lang w:val="pt-BR"/>
        </w:rPr>
        <w:t xml:space="preserve"> das </w:t>
      </w:r>
      <w:r w:rsidR="002C330E" w:rsidRPr="00D5464D">
        <w:rPr>
          <w:lang w:val="pt-BR"/>
        </w:rPr>
        <w:t>obrigações</w:t>
      </w:r>
      <w:r w:rsidR="004713F4" w:rsidRPr="00D5464D">
        <w:rPr>
          <w:lang w:val="pt-BR"/>
        </w:rPr>
        <w:t xml:space="preserve"> </w:t>
      </w:r>
      <w:r w:rsidR="00504F1E" w:rsidRPr="00D5464D">
        <w:rPr>
          <w:lang w:val="pt-BR"/>
        </w:rPr>
        <w:t xml:space="preserve">assumidas pelo </w:t>
      </w:r>
      <w:r w:rsidR="004713F4" w:rsidRPr="00D5464D">
        <w:rPr>
          <w:lang w:val="pt-BR"/>
        </w:rPr>
        <w:t xml:space="preserve">Estado </w:t>
      </w:r>
      <w:r w:rsidRPr="00D5464D">
        <w:rPr>
          <w:lang w:val="pt-BR"/>
        </w:rPr>
        <w:t>quando</w:t>
      </w:r>
      <w:r w:rsidR="004713F4" w:rsidRPr="00D5464D">
        <w:rPr>
          <w:lang w:val="pt-BR"/>
        </w:rPr>
        <w:t xml:space="preserve"> </w:t>
      </w:r>
      <w:r w:rsidR="000B2B14" w:rsidRPr="00D5464D">
        <w:rPr>
          <w:lang w:val="pt-BR"/>
        </w:rPr>
        <w:t xml:space="preserve">são analisados </w:t>
      </w:r>
      <w:r w:rsidR="002C330E" w:rsidRPr="00D5464D">
        <w:rPr>
          <w:lang w:val="pt-BR"/>
        </w:rPr>
        <w:t xml:space="preserve">os </w:t>
      </w:r>
      <w:r w:rsidRPr="00D5464D">
        <w:rPr>
          <w:lang w:val="pt-BR"/>
        </w:rPr>
        <w:t>direito</w:t>
      </w:r>
      <w:r w:rsidR="004713F4" w:rsidRPr="00D5464D">
        <w:rPr>
          <w:lang w:val="pt-BR"/>
        </w:rPr>
        <w:t>s</w:t>
      </w:r>
      <w:r w:rsidRPr="00D5464D">
        <w:rPr>
          <w:lang w:val="pt-BR"/>
        </w:rPr>
        <w:t xml:space="preserve"> das </w:t>
      </w:r>
      <w:r w:rsidR="002C330E" w:rsidRPr="00D5464D">
        <w:rPr>
          <w:lang w:val="pt-BR"/>
        </w:rPr>
        <w:t>crianças</w:t>
      </w:r>
      <w:r w:rsidR="00504F1E" w:rsidRPr="00D5464D">
        <w:rPr>
          <w:lang w:val="pt-BR"/>
        </w:rPr>
        <w:t>,</w:t>
      </w:r>
      <w:r w:rsidR="00E045D9" w:rsidRPr="00D5464D">
        <w:rPr>
          <w:lang w:val="pt-BR"/>
        </w:rPr>
        <w:t xml:space="preserve"> </w:t>
      </w:r>
      <w:r w:rsidR="002C330E" w:rsidRPr="00D5464D">
        <w:rPr>
          <w:lang w:val="pt-BR"/>
        </w:rPr>
        <w:t xml:space="preserve">a </w:t>
      </w:r>
      <w:r w:rsidR="004713F4" w:rsidRPr="00D5464D">
        <w:rPr>
          <w:lang w:val="pt-BR"/>
        </w:rPr>
        <w:t xml:space="preserve">Corte </w:t>
      </w:r>
      <w:r w:rsidR="00A1358C" w:rsidRPr="00D5464D">
        <w:rPr>
          <w:lang w:val="pt-BR"/>
        </w:rPr>
        <w:t>recorrer</w:t>
      </w:r>
      <w:r w:rsidR="004713F4" w:rsidRPr="00D5464D">
        <w:rPr>
          <w:lang w:val="pt-BR"/>
        </w:rPr>
        <w:t xml:space="preserve">á, </w:t>
      </w:r>
      <w:r w:rsidR="00737270" w:rsidRPr="00D5464D">
        <w:rPr>
          <w:lang w:val="pt-BR"/>
        </w:rPr>
        <w:t>como fez</w:t>
      </w:r>
      <w:r w:rsidR="002C330E" w:rsidRPr="00D5464D">
        <w:rPr>
          <w:lang w:val="pt-BR"/>
        </w:rPr>
        <w:t xml:space="preserve"> </w:t>
      </w:r>
      <w:r w:rsidRPr="00D5464D">
        <w:rPr>
          <w:lang w:val="pt-BR"/>
        </w:rPr>
        <w:t xml:space="preserve">em </w:t>
      </w:r>
      <w:r w:rsidR="00504F1E" w:rsidRPr="00D5464D">
        <w:rPr>
          <w:lang w:val="pt-BR"/>
        </w:rPr>
        <w:t xml:space="preserve">ocasiões </w:t>
      </w:r>
      <w:r w:rsidR="004713F4" w:rsidRPr="00D5464D">
        <w:rPr>
          <w:lang w:val="pt-BR"/>
        </w:rPr>
        <w:t>anteriores,</w:t>
      </w:r>
      <w:r w:rsidRPr="00D5464D">
        <w:rPr>
          <w:lang w:val="pt-BR"/>
        </w:rPr>
        <w:t xml:space="preserve"> ao </w:t>
      </w:r>
      <w:r w:rsidR="004713F4" w:rsidRPr="00D5464D">
        <w:rPr>
          <w:i/>
          <w:lang w:val="pt-BR"/>
        </w:rPr>
        <w:t xml:space="preserve">corpus iuris </w:t>
      </w:r>
      <w:r w:rsidR="004713F4" w:rsidRPr="00D5464D">
        <w:rPr>
          <w:lang w:val="pt-BR"/>
        </w:rPr>
        <w:t xml:space="preserve">internacional de </w:t>
      </w:r>
      <w:r w:rsidR="002C330E" w:rsidRPr="00D5464D">
        <w:rPr>
          <w:lang w:val="pt-BR"/>
        </w:rPr>
        <w:t>proteção</w:t>
      </w:r>
      <w:r w:rsidRPr="00D5464D">
        <w:rPr>
          <w:lang w:val="pt-BR"/>
        </w:rPr>
        <w:t xml:space="preserve"> das </w:t>
      </w:r>
      <w:r w:rsidR="002C330E" w:rsidRPr="00D5464D">
        <w:rPr>
          <w:lang w:val="pt-BR"/>
        </w:rPr>
        <w:t>crianças</w:t>
      </w:r>
      <w:r w:rsidR="00504F1E" w:rsidRPr="00D5464D">
        <w:rPr>
          <w:lang w:val="pt-BR"/>
        </w:rPr>
        <w:t>.</w:t>
      </w:r>
      <w:r w:rsidR="004713F4" w:rsidRPr="00D5464D">
        <w:rPr>
          <w:vertAlign w:val="superscript"/>
          <w:lang w:val="pt-BR"/>
        </w:rPr>
        <w:footnoteReference w:id="460"/>
      </w:r>
    </w:p>
    <w:p w14:paraId="5DA7DD81" w14:textId="77777777" w:rsidR="00DE3E58" w:rsidRPr="00D5464D" w:rsidRDefault="00DE3E58" w:rsidP="00DE3E58">
      <w:pPr>
        <w:tabs>
          <w:tab w:val="clear" w:pos="4419"/>
          <w:tab w:val="clear" w:pos="8838"/>
        </w:tabs>
        <w:jc w:val="both"/>
        <w:rPr>
          <w:bCs/>
          <w:lang w:val="pt-BR"/>
        </w:rPr>
      </w:pPr>
    </w:p>
    <w:p w14:paraId="6EDA1161" w14:textId="7ECB6D41" w:rsidR="00E535CD" w:rsidRPr="00D5464D" w:rsidRDefault="00470ADC" w:rsidP="00E535CD">
      <w:pPr>
        <w:numPr>
          <w:ilvl w:val="0"/>
          <w:numId w:val="1"/>
        </w:numPr>
        <w:tabs>
          <w:tab w:val="clear" w:pos="4419"/>
          <w:tab w:val="clear" w:pos="8838"/>
          <w:tab w:val="num" w:pos="720"/>
        </w:tabs>
        <w:jc w:val="both"/>
        <w:rPr>
          <w:bCs/>
          <w:lang w:val="pt-BR"/>
        </w:rPr>
      </w:pPr>
      <w:r w:rsidRPr="00D5464D">
        <w:rPr>
          <w:bCs/>
          <w:lang w:val="pt-BR"/>
        </w:rPr>
        <w:t xml:space="preserve">As </w:t>
      </w:r>
      <w:r w:rsidR="00E535CD" w:rsidRPr="00D5464D">
        <w:rPr>
          <w:lang w:val="pt-BR"/>
        </w:rPr>
        <w:t xml:space="preserve">normas </w:t>
      </w:r>
      <w:r w:rsidRPr="00D5464D">
        <w:rPr>
          <w:lang w:val="pt-BR"/>
        </w:rPr>
        <w:t>incluídas</w:t>
      </w:r>
      <w:r w:rsidR="00E045D9" w:rsidRPr="00D5464D">
        <w:rPr>
          <w:lang w:val="pt-BR"/>
        </w:rPr>
        <w:t xml:space="preserve"> na </w:t>
      </w:r>
      <w:r w:rsidR="00E535CD" w:rsidRPr="00D5464D">
        <w:rPr>
          <w:lang w:val="pt-BR"/>
        </w:rPr>
        <w:t>Conven</w:t>
      </w:r>
      <w:r w:rsidRPr="00D5464D">
        <w:rPr>
          <w:lang w:val="pt-BR"/>
        </w:rPr>
        <w:t>ção</w:t>
      </w:r>
      <w:r w:rsidR="00E535CD" w:rsidRPr="00D5464D">
        <w:rPr>
          <w:lang w:val="pt-BR"/>
        </w:rPr>
        <w:t xml:space="preserve"> sobre</w:t>
      </w:r>
      <w:r w:rsidR="002C330E" w:rsidRPr="00D5464D">
        <w:rPr>
          <w:lang w:val="pt-BR"/>
        </w:rPr>
        <w:t xml:space="preserve"> os </w:t>
      </w:r>
      <w:r w:rsidRPr="00D5464D">
        <w:rPr>
          <w:lang w:val="pt-BR"/>
        </w:rPr>
        <w:t>Direito</w:t>
      </w:r>
      <w:r w:rsidR="00E535CD" w:rsidRPr="00D5464D">
        <w:rPr>
          <w:lang w:val="pt-BR"/>
        </w:rPr>
        <w:t xml:space="preserve">s </w:t>
      </w:r>
      <w:r w:rsidRPr="00D5464D">
        <w:rPr>
          <w:lang w:val="pt-BR"/>
        </w:rPr>
        <w:t>d</w:t>
      </w:r>
      <w:r w:rsidR="00504F1E" w:rsidRPr="00D5464D">
        <w:rPr>
          <w:lang w:val="pt-BR"/>
        </w:rPr>
        <w:t>a C</w:t>
      </w:r>
      <w:r w:rsidR="00230C71" w:rsidRPr="00D5464D">
        <w:rPr>
          <w:lang w:val="pt-BR"/>
        </w:rPr>
        <w:t>riança</w:t>
      </w:r>
      <w:r w:rsidR="00E045D9" w:rsidRPr="00D5464D">
        <w:rPr>
          <w:lang w:val="pt-BR"/>
        </w:rPr>
        <w:t xml:space="preserve"> e </w:t>
      </w:r>
      <w:r w:rsidR="00504F1E" w:rsidRPr="00D5464D">
        <w:rPr>
          <w:lang w:val="pt-BR"/>
        </w:rPr>
        <w:t>a</w:t>
      </w:r>
      <w:r w:rsidR="002C330E" w:rsidRPr="00D5464D">
        <w:rPr>
          <w:lang w:val="pt-BR"/>
        </w:rPr>
        <w:t xml:space="preserve">s </w:t>
      </w:r>
      <w:r w:rsidR="00504F1E" w:rsidRPr="00D5464D">
        <w:rPr>
          <w:lang w:val="pt-BR"/>
        </w:rPr>
        <w:t xml:space="preserve">Convenções </w:t>
      </w:r>
      <w:r w:rsidR="00E535CD" w:rsidRPr="00D5464D">
        <w:rPr>
          <w:lang w:val="pt-BR"/>
        </w:rPr>
        <w:t>138</w:t>
      </w:r>
      <w:r w:rsidR="00E045D9" w:rsidRPr="00D5464D">
        <w:rPr>
          <w:lang w:val="pt-BR"/>
        </w:rPr>
        <w:t xml:space="preserve"> e </w:t>
      </w:r>
      <w:r w:rsidR="00E535CD" w:rsidRPr="00D5464D">
        <w:rPr>
          <w:lang w:val="pt-BR"/>
        </w:rPr>
        <w:t>182</w:t>
      </w:r>
      <w:r w:rsidRPr="00D5464D">
        <w:rPr>
          <w:lang w:val="pt-BR"/>
        </w:rPr>
        <w:t xml:space="preserve"> da </w:t>
      </w:r>
      <w:r w:rsidR="00E535CD" w:rsidRPr="00D5464D">
        <w:rPr>
          <w:lang w:val="pt-BR"/>
        </w:rPr>
        <w:t>OIT</w:t>
      </w:r>
      <w:r w:rsidR="00E535CD" w:rsidRPr="00D5464D">
        <w:rPr>
          <w:rStyle w:val="Refdenotaalpie"/>
          <w:lang w:val="pt-BR"/>
        </w:rPr>
        <w:footnoteReference w:id="461"/>
      </w:r>
      <w:r w:rsidR="00E535CD" w:rsidRPr="00D5464D">
        <w:rPr>
          <w:lang w:val="pt-BR"/>
        </w:rPr>
        <w:t xml:space="preserve"> </w:t>
      </w:r>
      <w:r w:rsidR="00E535CD" w:rsidRPr="00D5464D">
        <w:rPr>
          <w:bCs/>
          <w:lang w:val="pt-BR"/>
        </w:rPr>
        <w:t>inte</w:t>
      </w:r>
      <w:r w:rsidR="002C330E" w:rsidRPr="00D5464D">
        <w:rPr>
          <w:bCs/>
          <w:lang w:val="pt-BR"/>
        </w:rPr>
        <w:t>gra</w:t>
      </w:r>
      <w:r w:rsidR="008A6717" w:rsidRPr="00D5464D">
        <w:rPr>
          <w:bCs/>
          <w:lang w:val="pt-BR"/>
        </w:rPr>
        <w:t>m</w:t>
      </w:r>
      <w:r w:rsidR="00E045D9" w:rsidRPr="00D5464D">
        <w:rPr>
          <w:bCs/>
          <w:lang w:val="pt-BR"/>
        </w:rPr>
        <w:t xml:space="preserve"> </w:t>
      </w:r>
      <w:r w:rsidR="00E535CD" w:rsidRPr="00D5464D">
        <w:rPr>
          <w:bCs/>
          <w:i/>
          <w:lang w:val="pt-BR"/>
        </w:rPr>
        <w:t>corpus iuris</w:t>
      </w:r>
      <w:r w:rsidR="00E045D9" w:rsidRPr="00D5464D">
        <w:rPr>
          <w:bCs/>
          <w:lang w:val="pt-BR"/>
        </w:rPr>
        <w:t xml:space="preserve"> na </w:t>
      </w:r>
      <w:r w:rsidR="00A1358C" w:rsidRPr="00D5464D">
        <w:rPr>
          <w:bCs/>
          <w:lang w:val="pt-BR"/>
        </w:rPr>
        <w:t xml:space="preserve">matéria. O </w:t>
      </w:r>
      <w:r w:rsidRPr="00D5464D">
        <w:rPr>
          <w:bCs/>
          <w:lang w:val="pt-BR"/>
        </w:rPr>
        <w:t>artigo</w:t>
      </w:r>
      <w:r w:rsidR="00E535CD" w:rsidRPr="00D5464D">
        <w:rPr>
          <w:bCs/>
          <w:lang w:val="pt-BR"/>
        </w:rPr>
        <w:t xml:space="preserve"> 32</w:t>
      </w:r>
      <w:r w:rsidRPr="00D5464D">
        <w:rPr>
          <w:bCs/>
          <w:lang w:val="pt-BR"/>
        </w:rPr>
        <w:t xml:space="preserve"> da </w:t>
      </w:r>
      <w:r w:rsidR="00E535CD" w:rsidRPr="00D5464D">
        <w:rPr>
          <w:bCs/>
          <w:lang w:val="pt-BR"/>
        </w:rPr>
        <w:t>Conven</w:t>
      </w:r>
      <w:r w:rsidRPr="00D5464D">
        <w:rPr>
          <w:bCs/>
          <w:lang w:val="pt-BR"/>
        </w:rPr>
        <w:t>ção</w:t>
      </w:r>
      <w:r w:rsidR="00E535CD" w:rsidRPr="00D5464D">
        <w:rPr>
          <w:bCs/>
          <w:lang w:val="pt-BR"/>
        </w:rPr>
        <w:t xml:space="preserve"> sobre</w:t>
      </w:r>
      <w:r w:rsidR="002C330E" w:rsidRPr="00D5464D">
        <w:rPr>
          <w:bCs/>
          <w:lang w:val="pt-BR"/>
        </w:rPr>
        <w:t xml:space="preserve"> os </w:t>
      </w:r>
      <w:r w:rsidRPr="00D5464D">
        <w:rPr>
          <w:bCs/>
          <w:lang w:val="pt-BR"/>
        </w:rPr>
        <w:t>Direito</w:t>
      </w:r>
      <w:r w:rsidR="00E535CD" w:rsidRPr="00D5464D">
        <w:rPr>
          <w:bCs/>
          <w:lang w:val="pt-BR"/>
        </w:rPr>
        <w:t xml:space="preserve">s </w:t>
      </w:r>
      <w:r w:rsidRPr="00D5464D">
        <w:rPr>
          <w:bCs/>
          <w:lang w:val="pt-BR"/>
        </w:rPr>
        <w:t>d</w:t>
      </w:r>
      <w:r w:rsidR="00230C71" w:rsidRPr="00D5464D">
        <w:rPr>
          <w:bCs/>
          <w:lang w:val="pt-BR"/>
        </w:rPr>
        <w:t xml:space="preserve">a </w:t>
      </w:r>
      <w:r w:rsidR="008A6717" w:rsidRPr="00D5464D">
        <w:rPr>
          <w:bCs/>
          <w:lang w:val="pt-BR"/>
        </w:rPr>
        <w:t>C</w:t>
      </w:r>
      <w:r w:rsidR="00230C71" w:rsidRPr="00D5464D">
        <w:rPr>
          <w:bCs/>
          <w:lang w:val="pt-BR"/>
        </w:rPr>
        <w:t>riança</w:t>
      </w:r>
      <w:r w:rsidR="002C330E" w:rsidRPr="00D5464D">
        <w:rPr>
          <w:bCs/>
          <w:lang w:val="pt-BR"/>
        </w:rPr>
        <w:t xml:space="preserve"> </w:t>
      </w:r>
      <w:r w:rsidR="00350187" w:rsidRPr="00D5464D">
        <w:rPr>
          <w:bCs/>
          <w:lang w:val="pt-BR"/>
        </w:rPr>
        <w:t>prevê</w:t>
      </w:r>
      <w:r w:rsidR="00E535CD" w:rsidRPr="00D5464D">
        <w:rPr>
          <w:bCs/>
          <w:lang w:val="pt-BR"/>
        </w:rPr>
        <w:t xml:space="preserve"> </w:t>
      </w:r>
      <w:r w:rsidR="00C54C3D" w:rsidRPr="00D5464D">
        <w:rPr>
          <w:bCs/>
          <w:lang w:val="pt-BR"/>
        </w:rPr>
        <w:t>que</w:t>
      </w:r>
      <w:r w:rsidR="002C330E" w:rsidRPr="00D5464D">
        <w:rPr>
          <w:bCs/>
          <w:lang w:val="pt-BR"/>
        </w:rPr>
        <w:t xml:space="preserve"> os </w:t>
      </w:r>
      <w:r w:rsidR="00E535CD" w:rsidRPr="00D5464D">
        <w:rPr>
          <w:bCs/>
          <w:lang w:val="pt-BR"/>
        </w:rPr>
        <w:t xml:space="preserve">Estados Partes </w:t>
      </w:r>
      <w:r w:rsidR="008A6717" w:rsidRPr="00D5464D">
        <w:rPr>
          <w:bCs/>
          <w:lang w:val="pt-BR"/>
        </w:rPr>
        <w:t>reconheçam o</w:t>
      </w:r>
      <w:r w:rsidRPr="00D5464D">
        <w:rPr>
          <w:bCs/>
          <w:lang w:val="pt-BR"/>
        </w:rPr>
        <w:t xml:space="preserve"> direito</w:t>
      </w:r>
      <w:r w:rsidR="00E535CD" w:rsidRPr="00D5464D">
        <w:rPr>
          <w:bCs/>
          <w:lang w:val="pt-BR"/>
        </w:rPr>
        <w:t xml:space="preserve"> </w:t>
      </w:r>
      <w:r w:rsidRPr="00D5464D">
        <w:rPr>
          <w:bCs/>
          <w:lang w:val="pt-BR"/>
        </w:rPr>
        <w:t>d</w:t>
      </w:r>
      <w:r w:rsidR="00230C71" w:rsidRPr="00D5464D">
        <w:rPr>
          <w:bCs/>
          <w:lang w:val="pt-BR"/>
        </w:rPr>
        <w:t>a criança</w:t>
      </w:r>
      <w:r w:rsidR="002C330E" w:rsidRPr="00D5464D">
        <w:rPr>
          <w:bCs/>
          <w:lang w:val="pt-BR"/>
        </w:rPr>
        <w:t xml:space="preserve"> </w:t>
      </w:r>
      <w:r w:rsidR="008A6717" w:rsidRPr="00D5464D">
        <w:rPr>
          <w:bCs/>
          <w:lang w:val="pt-BR"/>
        </w:rPr>
        <w:t>de</w:t>
      </w:r>
      <w:r w:rsidR="00E535CD" w:rsidRPr="00D5464D">
        <w:rPr>
          <w:bCs/>
          <w:lang w:val="pt-BR"/>
        </w:rPr>
        <w:t xml:space="preserve"> estar protegid</w:t>
      </w:r>
      <w:r w:rsidR="000B2B14" w:rsidRPr="00D5464D">
        <w:rPr>
          <w:bCs/>
          <w:lang w:val="pt-BR"/>
        </w:rPr>
        <w:t>a</w:t>
      </w:r>
      <w:r w:rsidR="00E535CD" w:rsidRPr="00D5464D">
        <w:rPr>
          <w:bCs/>
          <w:lang w:val="pt-BR"/>
        </w:rPr>
        <w:t xml:space="preserve"> contra</w:t>
      </w:r>
      <w:r w:rsidR="002C330E" w:rsidRPr="00D5464D">
        <w:rPr>
          <w:bCs/>
          <w:lang w:val="pt-BR"/>
        </w:rPr>
        <w:t xml:space="preserve"> a </w:t>
      </w:r>
      <w:r w:rsidR="00230C71" w:rsidRPr="00D5464D">
        <w:rPr>
          <w:bCs/>
          <w:lang w:val="pt-BR"/>
        </w:rPr>
        <w:t>exploração</w:t>
      </w:r>
      <w:r w:rsidR="00E535CD" w:rsidRPr="00D5464D">
        <w:rPr>
          <w:bCs/>
          <w:lang w:val="pt-BR"/>
        </w:rPr>
        <w:t xml:space="preserve"> </w:t>
      </w:r>
      <w:r w:rsidRPr="00D5464D">
        <w:rPr>
          <w:bCs/>
          <w:lang w:val="pt-BR"/>
        </w:rPr>
        <w:t>econômic</w:t>
      </w:r>
      <w:r w:rsidR="00E535CD" w:rsidRPr="00D5464D">
        <w:rPr>
          <w:bCs/>
          <w:lang w:val="pt-BR"/>
        </w:rPr>
        <w:t>a</w:t>
      </w:r>
      <w:r w:rsidR="00E045D9" w:rsidRPr="00D5464D">
        <w:rPr>
          <w:bCs/>
          <w:lang w:val="pt-BR"/>
        </w:rPr>
        <w:t xml:space="preserve"> e </w:t>
      </w:r>
      <w:r w:rsidR="00E535CD" w:rsidRPr="00D5464D">
        <w:rPr>
          <w:bCs/>
          <w:lang w:val="pt-BR"/>
        </w:rPr>
        <w:t>contra</w:t>
      </w:r>
      <w:r w:rsidRPr="00D5464D">
        <w:rPr>
          <w:bCs/>
          <w:lang w:val="pt-BR"/>
        </w:rPr>
        <w:t xml:space="preserve"> o </w:t>
      </w:r>
      <w:r w:rsidR="00737270" w:rsidRPr="00D5464D">
        <w:rPr>
          <w:bCs/>
          <w:lang w:val="pt-BR"/>
        </w:rPr>
        <w:t>desempenh</w:t>
      </w:r>
      <w:r w:rsidR="00E535CD" w:rsidRPr="00D5464D">
        <w:rPr>
          <w:bCs/>
          <w:lang w:val="pt-BR"/>
        </w:rPr>
        <w:t xml:space="preserve">o de </w:t>
      </w:r>
      <w:r w:rsidRPr="00D5464D">
        <w:rPr>
          <w:bCs/>
          <w:lang w:val="pt-BR"/>
        </w:rPr>
        <w:t>qualquer</w:t>
      </w:r>
      <w:r w:rsidR="00E535CD" w:rsidRPr="00D5464D">
        <w:rPr>
          <w:bCs/>
          <w:lang w:val="pt-BR"/>
        </w:rPr>
        <w:t xml:space="preserve"> </w:t>
      </w:r>
      <w:r w:rsidR="00E045D9" w:rsidRPr="00D5464D">
        <w:rPr>
          <w:bCs/>
          <w:lang w:val="pt-BR"/>
        </w:rPr>
        <w:t>trabalho</w:t>
      </w:r>
      <w:r w:rsidR="00E535CD" w:rsidRPr="00D5464D">
        <w:rPr>
          <w:bCs/>
          <w:lang w:val="pt-BR"/>
        </w:rPr>
        <w:t xml:space="preserve"> que </w:t>
      </w:r>
      <w:r w:rsidR="002C330E" w:rsidRPr="00D5464D">
        <w:rPr>
          <w:bCs/>
          <w:lang w:val="pt-BR"/>
        </w:rPr>
        <w:t>possa</w:t>
      </w:r>
      <w:r w:rsidR="00E535CD" w:rsidRPr="00D5464D">
        <w:rPr>
          <w:bCs/>
          <w:lang w:val="pt-BR"/>
        </w:rPr>
        <w:t xml:space="preserve"> ser </w:t>
      </w:r>
      <w:r w:rsidR="002C330E" w:rsidRPr="00D5464D">
        <w:rPr>
          <w:bCs/>
          <w:lang w:val="pt-BR"/>
        </w:rPr>
        <w:t>perigo</w:t>
      </w:r>
      <w:r w:rsidR="00E535CD" w:rsidRPr="00D5464D">
        <w:rPr>
          <w:bCs/>
          <w:lang w:val="pt-BR"/>
        </w:rPr>
        <w:t>so o</w:t>
      </w:r>
      <w:r w:rsidR="008A6717" w:rsidRPr="00D5464D">
        <w:rPr>
          <w:bCs/>
          <w:lang w:val="pt-BR"/>
        </w:rPr>
        <w:t>u</w:t>
      </w:r>
      <w:r w:rsidR="00E535CD" w:rsidRPr="00D5464D">
        <w:rPr>
          <w:bCs/>
          <w:lang w:val="pt-BR"/>
        </w:rPr>
        <w:t xml:space="preserve"> </w:t>
      </w:r>
      <w:r w:rsidR="008A6717" w:rsidRPr="00D5464D">
        <w:rPr>
          <w:bCs/>
          <w:lang w:val="pt-BR"/>
        </w:rPr>
        <w:t xml:space="preserve">interferir em </w:t>
      </w:r>
      <w:r w:rsidR="00E535CD" w:rsidRPr="00D5464D">
        <w:rPr>
          <w:bCs/>
          <w:lang w:val="pt-BR"/>
        </w:rPr>
        <w:t>su</w:t>
      </w:r>
      <w:r w:rsidR="008A6717" w:rsidRPr="00D5464D">
        <w:rPr>
          <w:bCs/>
          <w:lang w:val="pt-BR"/>
        </w:rPr>
        <w:t>a</w:t>
      </w:r>
      <w:r w:rsidR="00E535CD" w:rsidRPr="00D5464D">
        <w:rPr>
          <w:bCs/>
          <w:lang w:val="pt-BR"/>
        </w:rPr>
        <w:t xml:space="preserve"> educa</w:t>
      </w:r>
      <w:r w:rsidRPr="00D5464D">
        <w:rPr>
          <w:bCs/>
          <w:lang w:val="pt-BR"/>
        </w:rPr>
        <w:t>ção</w:t>
      </w:r>
      <w:r w:rsidR="00E535CD" w:rsidRPr="00D5464D">
        <w:rPr>
          <w:bCs/>
          <w:lang w:val="pt-BR"/>
        </w:rPr>
        <w:t>, o</w:t>
      </w:r>
      <w:r w:rsidR="008A6717" w:rsidRPr="00D5464D">
        <w:rPr>
          <w:bCs/>
          <w:lang w:val="pt-BR"/>
        </w:rPr>
        <w:t>u</w:t>
      </w:r>
      <w:r w:rsidR="00E535CD" w:rsidRPr="00D5464D">
        <w:rPr>
          <w:bCs/>
          <w:lang w:val="pt-BR"/>
        </w:rPr>
        <w:t xml:space="preserve"> que</w:t>
      </w:r>
      <w:r w:rsidR="002C330E" w:rsidRPr="00D5464D">
        <w:rPr>
          <w:bCs/>
          <w:lang w:val="pt-BR"/>
        </w:rPr>
        <w:t xml:space="preserve"> seja </w:t>
      </w:r>
      <w:r w:rsidR="00E535CD" w:rsidRPr="00D5464D">
        <w:rPr>
          <w:bCs/>
          <w:lang w:val="pt-BR"/>
        </w:rPr>
        <w:t>nocivo para su</w:t>
      </w:r>
      <w:r w:rsidR="008A6717" w:rsidRPr="00D5464D">
        <w:rPr>
          <w:bCs/>
          <w:lang w:val="pt-BR"/>
        </w:rPr>
        <w:t>a</w:t>
      </w:r>
      <w:r w:rsidR="00E535CD" w:rsidRPr="00D5464D">
        <w:rPr>
          <w:bCs/>
          <w:lang w:val="pt-BR"/>
        </w:rPr>
        <w:t xml:space="preserve"> </w:t>
      </w:r>
      <w:r w:rsidR="002C330E" w:rsidRPr="00D5464D">
        <w:rPr>
          <w:bCs/>
          <w:lang w:val="pt-BR"/>
        </w:rPr>
        <w:t>saú</w:t>
      </w:r>
      <w:r w:rsidR="00E045D9" w:rsidRPr="00D5464D">
        <w:rPr>
          <w:bCs/>
          <w:lang w:val="pt-BR"/>
        </w:rPr>
        <w:t>d</w:t>
      </w:r>
      <w:r w:rsidR="008A6717" w:rsidRPr="00D5464D">
        <w:rPr>
          <w:bCs/>
          <w:lang w:val="pt-BR"/>
        </w:rPr>
        <w:t xml:space="preserve">e </w:t>
      </w:r>
      <w:r w:rsidR="00E045D9" w:rsidRPr="00D5464D">
        <w:rPr>
          <w:bCs/>
          <w:lang w:val="pt-BR"/>
        </w:rPr>
        <w:t>o</w:t>
      </w:r>
      <w:r w:rsidR="008A6717" w:rsidRPr="00D5464D">
        <w:rPr>
          <w:bCs/>
          <w:lang w:val="pt-BR"/>
        </w:rPr>
        <w:t>u</w:t>
      </w:r>
      <w:r w:rsidR="00E045D9" w:rsidRPr="00D5464D">
        <w:rPr>
          <w:bCs/>
          <w:lang w:val="pt-BR"/>
        </w:rPr>
        <w:t xml:space="preserve"> </w:t>
      </w:r>
      <w:r w:rsidR="00E535CD" w:rsidRPr="00D5464D">
        <w:rPr>
          <w:bCs/>
          <w:lang w:val="pt-BR"/>
        </w:rPr>
        <w:t xml:space="preserve">para </w:t>
      </w:r>
      <w:r w:rsidR="00230C71" w:rsidRPr="00D5464D">
        <w:rPr>
          <w:bCs/>
          <w:lang w:val="pt-BR"/>
        </w:rPr>
        <w:t>seu desenvolvimento</w:t>
      </w:r>
      <w:r w:rsidR="00E535CD" w:rsidRPr="00D5464D">
        <w:rPr>
          <w:bCs/>
          <w:lang w:val="pt-BR"/>
        </w:rPr>
        <w:t xml:space="preserve"> físico, mental, espiritual, moral o</w:t>
      </w:r>
      <w:r w:rsidR="008A6717" w:rsidRPr="00D5464D">
        <w:rPr>
          <w:bCs/>
          <w:lang w:val="pt-BR"/>
        </w:rPr>
        <w:t>u</w:t>
      </w:r>
      <w:r w:rsidR="00E535CD" w:rsidRPr="00D5464D">
        <w:rPr>
          <w:bCs/>
          <w:lang w:val="pt-BR"/>
        </w:rPr>
        <w:t xml:space="preserve"> social</w:t>
      </w:r>
      <w:r w:rsidR="00A1358C" w:rsidRPr="00D5464D">
        <w:rPr>
          <w:bCs/>
          <w:lang w:val="pt-BR"/>
        </w:rPr>
        <w:t xml:space="preserve">. O </w:t>
      </w:r>
      <w:r w:rsidR="002C330E" w:rsidRPr="00D5464D">
        <w:rPr>
          <w:bCs/>
          <w:lang w:val="pt-BR"/>
        </w:rPr>
        <w:t>mesm</w:t>
      </w:r>
      <w:r w:rsidR="00E535CD" w:rsidRPr="00D5464D">
        <w:rPr>
          <w:bCs/>
          <w:lang w:val="pt-BR"/>
        </w:rPr>
        <w:t xml:space="preserve">o </w:t>
      </w:r>
      <w:r w:rsidR="00A1358C" w:rsidRPr="00D5464D">
        <w:rPr>
          <w:bCs/>
          <w:lang w:val="pt-BR"/>
        </w:rPr>
        <w:t>preceito</w:t>
      </w:r>
      <w:r w:rsidR="00E535CD" w:rsidRPr="00D5464D">
        <w:rPr>
          <w:bCs/>
          <w:lang w:val="pt-BR"/>
        </w:rPr>
        <w:t xml:space="preserve"> </w:t>
      </w:r>
      <w:r w:rsidR="002C330E" w:rsidRPr="00D5464D">
        <w:rPr>
          <w:bCs/>
          <w:lang w:val="pt-BR"/>
        </w:rPr>
        <w:t xml:space="preserve">afirma </w:t>
      </w:r>
      <w:r w:rsidR="00E535CD" w:rsidRPr="00D5464D">
        <w:rPr>
          <w:bCs/>
          <w:lang w:val="pt-BR"/>
        </w:rPr>
        <w:t>que</w:t>
      </w:r>
      <w:r w:rsidR="002C330E" w:rsidRPr="00D5464D">
        <w:rPr>
          <w:bCs/>
          <w:lang w:val="pt-BR"/>
        </w:rPr>
        <w:t xml:space="preserve"> os </w:t>
      </w:r>
      <w:r w:rsidR="00E535CD" w:rsidRPr="00D5464D">
        <w:rPr>
          <w:bCs/>
          <w:lang w:val="pt-BR"/>
        </w:rPr>
        <w:t xml:space="preserve">Estados partes </w:t>
      </w:r>
      <w:r w:rsidR="00230C71" w:rsidRPr="00D5464D">
        <w:rPr>
          <w:bCs/>
          <w:lang w:val="pt-BR"/>
        </w:rPr>
        <w:t>fix</w:t>
      </w:r>
      <w:r w:rsidR="00E765C2" w:rsidRPr="00D5464D">
        <w:rPr>
          <w:bCs/>
          <w:lang w:val="pt-BR"/>
        </w:rPr>
        <w:t xml:space="preserve">arão </w:t>
      </w:r>
      <w:r w:rsidR="00E045D9" w:rsidRPr="00D5464D">
        <w:rPr>
          <w:bCs/>
          <w:lang w:val="pt-BR"/>
        </w:rPr>
        <w:t xml:space="preserve">uma </w:t>
      </w:r>
      <w:r w:rsidRPr="00D5464D">
        <w:rPr>
          <w:bCs/>
          <w:lang w:val="pt-BR"/>
        </w:rPr>
        <w:t>idade</w:t>
      </w:r>
      <w:r w:rsidR="00E535CD" w:rsidRPr="00D5464D">
        <w:rPr>
          <w:bCs/>
          <w:lang w:val="pt-BR"/>
        </w:rPr>
        <w:t xml:space="preserve"> mínima para </w:t>
      </w:r>
      <w:r w:rsidR="00E045D9" w:rsidRPr="00D5464D">
        <w:rPr>
          <w:bCs/>
          <w:lang w:val="pt-BR"/>
        </w:rPr>
        <w:t>trabalh</w:t>
      </w:r>
      <w:r w:rsidR="00E535CD" w:rsidRPr="00D5464D">
        <w:rPr>
          <w:bCs/>
          <w:lang w:val="pt-BR"/>
        </w:rPr>
        <w:t xml:space="preserve">ar. </w:t>
      </w:r>
      <w:r w:rsidR="00A1358C" w:rsidRPr="00D5464D">
        <w:rPr>
          <w:bCs/>
          <w:lang w:val="pt-BR"/>
        </w:rPr>
        <w:t xml:space="preserve">Por </w:t>
      </w:r>
      <w:r w:rsidR="008A6717" w:rsidRPr="00D5464D">
        <w:rPr>
          <w:bCs/>
          <w:lang w:val="pt-BR"/>
        </w:rPr>
        <w:t>outra parte</w:t>
      </w:r>
      <w:r w:rsidR="00A1358C" w:rsidRPr="00D5464D">
        <w:rPr>
          <w:bCs/>
          <w:lang w:val="pt-BR"/>
        </w:rPr>
        <w:t>,</w:t>
      </w:r>
      <w:r w:rsidRPr="00D5464D">
        <w:rPr>
          <w:bCs/>
          <w:lang w:val="pt-BR"/>
        </w:rPr>
        <w:t xml:space="preserve"> o artigo</w:t>
      </w:r>
      <w:r w:rsidR="00E535CD" w:rsidRPr="00D5464D">
        <w:rPr>
          <w:bCs/>
          <w:lang w:val="pt-BR"/>
        </w:rPr>
        <w:t xml:space="preserve"> 3</w:t>
      </w:r>
      <w:r w:rsidR="008A6717" w:rsidRPr="00D5464D">
        <w:rPr>
          <w:bCs/>
          <w:lang w:val="pt-BR"/>
        </w:rPr>
        <w:t xml:space="preserve">º da Convenção </w:t>
      </w:r>
      <w:r w:rsidR="00E535CD" w:rsidRPr="00D5464D">
        <w:rPr>
          <w:bCs/>
          <w:lang w:val="pt-BR"/>
        </w:rPr>
        <w:t>138</w:t>
      </w:r>
      <w:r w:rsidRPr="00D5464D">
        <w:rPr>
          <w:bCs/>
          <w:lang w:val="pt-BR"/>
        </w:rPr>
        <w:t xml:space="preserve"> da </w:t>
      </w:r>
      <w:r w:rsidR="00E535CD" w:rsidRPr="00D5464D">
        <w:rPr>
          <w:bCs/>
          <w:lang w:val="pt-BR"/>
        </w:rPr>
        <w:t xml:space="preserve">OIT </w:t>
      </w:r>
      <w:r w:rsidR="002C330E" w:rsidRPr="00D5464D">
        <w:rPr>
          <w:bCs/>
          <w:lang w:val="pt-BR"/>
        </w:rPr>
        <w:t xml:space="preserve">afirma </w:t>
      </w:r>
      <w:r w:rsidR="00E535CD" w:rsidRPr="00D5464D">
        <w:rPr>
          <w:bCs/>
          <w:lang w:val="pt-BR"/>
        </w:rPr>
        <w:t>que</w:t>
      </w:r>
      <w:r w:rsidR="002C330E" w:rsidRPr="00D5464D">
        <w:rPr>
          <w:bCs/>
          <w:lang w:val="pt-BR"/>
        </w:rPr>
        <w:t xml:space="preserve"> a </w:t>
      </w:r>
      <w:r w:rsidRPr="00D5464D">
        <w:rPr>
          <w:bCs/>
          <w:lang w:val="pt-BR"/>
        </w:rPr>
        <w:t>idade</w:t>
      </w:r>
      <w:r w:rsidR="00E535CD" w:rsidRPr="00D5464D">
        <w:rPr>
          <w:bCs/>
          <w:lang w:val="pt-BR"/>
        </w:rPr>
        <w:t xml:space="preserve"> mínima de </w:t>
      </w:r>
      <w:r w:rsidRPr="00D5464D">
        <w:rPr>
          <w:bCs/>
          <w:lang w:val="pt-BR"/>
        </w:rPr>
        <w:t xml:space="preserve">admissão </w:t>
      </w:r>
      <w:r w:rsidR="00E535CD" w:rsidRPr="00D5464D">
        <w:rPr>
          <w:bCs/>
          <w:lang w:val="pt-BR"/>
        </w:rPr>
        <w:t xml:space="preserve">a </w:t>
      </w:r>
      <w:r w:rsidR="008A6717" w:rsidRPr="00D5464D">
        <w:rPr>
          <w:bCs/>
          <w:lang w:val="pt-BR"/>
        </w:rPr>
        <w:t xml:space="preserve">qualquer </w:t>
      </w:r>
      <w:r w:rsidR="00E535CD" w:rsidRPr="00D5464D">
        <w:rPr>
          <w:bCs/>
          <w:lang w:val="pt-BR"/>
        </w:rPr>
        <w:t xml:space="preserve">tipo de </w:t>
      </w:r>
      <w:r w:rsidR="00A1358C" w:rsidRPr="00D5464D">
        <w:rPr>
          <w:bCs/>
          <w:lang w:val="pt-BR"/>
        </w:rPr>
        <w:t>emprego</w:t>
      </w:r>
      <w:r w:rsidR="00E535CD" w:rsidRPr="00D5464D">
        <w:rPr>
          <w:bCs/>
          <w:lang w:val="pt-BR"/>
        </w:rPr>
        <w:t xml:space="preserve"> o</w:t>
      </w:r>
      <w:r w:rsidR="008A6717" w:rsidRPr="00D5464D">
        <w:rPr>
          <w:bCs/>
          <w:lang w:val="pt-BR"/>
        </w:rPr>
        <w:t>u</w:t>
      </w:r>
      <w:r w:rsidR="00E535CD" w:rsidRPr="00D5464D">
        <w:rPr>
          <w:bCs/>
          <w:lang w:val="pt-BR"/>
        </w:rPr>
        <w:t xml:space="preserve"> </w:t>
      </w:r>
      <w:r w:rsidR="00E045D9" w:rsidRPr="00D5464D">
        <w:rPr>
          <w:bCs/>
          <w:lang w:val="pt-BR"/>
        </w:rPr>
        <w:t>trabalho</w:t>
      </w:r>
      <w:r w:rsidR="00E535CD" w:rsidRPr="00D5464D">
        <w:rPr>
          <w:bCs/>
          <w:lang w:val="pt-BR"/>
        </w:rPr>
        <w:t xml:space="preserve"> que</w:t>
      </w:r>
      <w:r w:rsidR="008A6717" w:rsidRPr="00D5464D">
        <w:rPr>
          <w:bCs/>
          <w:lang w:val="pt-BR"/>
        </w:rPr>
        <w:t>,</w:t>
      </w:r>
      <w:r w:rsidR="00E535CD" w:rsidRPr="00D5464D">
        <w:rPr>
          <w:bCs/>
          <w:lang w:val="pt-BR"/>
        </w:rPr>
        <w:t xml:space="preserve"> por </w:t>
      </w:r>
      <w:r w:rsidR="00230C71" w:rsidRPr="00D5464D">
        <w:rPr>
          <w:bCs/>
          <w:lang w:val="pt-BR"/>
        </w:rPr>
        <w:t>sua natureza</w:t>
      </w:r>
      <w:r w:rsidR="00E535CD" w:rsidRPr="00D5464D">
        <w:rPr>
          <w:bCs/>
          <w:lang w:val="pt-BR"/>
        </w:rPr>
        <w:t xml:space="preserve"> o</w:t>
      </w:r>
      <w:r w:rsidR="008A6717" w:rsidRPr="00D5464D">
        <w:rPr>
          <w:bCs/>
          <w:lang w:val="pt-BR"/>
        </w:rPr>
        <w:t xml:space="preserve">u </w:t>
      </w:r>
      <w:r w:rsidR="000B2B14" w:rsidRPr="00D5464D">
        <w:rPr>
          <w:bCs/>
          <w:lang w:val="pt-BR"/>
        </w:rPr>
        <w:t xml:space="preserve">pelas </w:t>
      </w:r>
      <w:r w:rsidR="008A6717" w:rsidRPr="00D5464D">
        <w:rPr>
          <w:bCs/>
          <w:lang w:val="pt-BR"/>
        </w:rPr>
        <w:t>circunst</w:t>
      </w:r>
      <w:r w:rsidR="000B2B14" w:rsidRPr="00D5464D">
        <w:rPr>
          <w:bCs/>
          <w:lang w:val="pt-BR"/>
        </w:rPr>
        <w:t>â</w:t>
      </w:r>
      <w:r w:rsidR="008A6717" w:rsidRPr="00D5464D">
        <w:rPr>
          <w:bCs/>
          <w:lang w:val="pt-BR"/>
        </w:rPr>
        <w:t>ncia</w:t>
      </w:r>
      <w:r w:rsidR="000B2B14" w:rsidRPr="00D5464D">
        <w:rPr>
          <w:bCs/>
          <w:lang w:val="pt-BR"/>
        </w:rPr>
        <w:t xml:space="preserve">s </w:t>
      </w:r>
      <w:r w:rsidR="008A6717" w:rsidRPr="00D5464D">
        <w:rPr>
          <w:bCs/>
          <w:lang w:val="pt-BR"/>
        </w:rPr>
        <w:t xml:space="preserve">em que for executado, </w:t>
      </w:r>
      <w:r w:rsidR="002C330E" w:rsidRPr="00D5464D">
        <w:rPr>
          <w:bCs/>
          <w:lang w:val="pt-BR"/>
        </w:rPr>
        <w:t>possa</w:t>
      </w:r>
      <w:r w:rsidR="00E535CD" w:rsidRPr="00D5464D">
        <w:rPr>
          <w:bCs/>
          <w:lang w:val="pt-BR"/>
        </w:rPr>
        <w:t xml:space="preserve"> </w:t>
      </w:r>
      <w:r w:rsidR="008A6717" w:rsidRPr="00D5464D">
        <w:rPr>
          <w:bCs/>
          <w:lang w:val="pt-BR"/>
        </w:rPr>
        <w:t xml:space="preserve">prejudicar </w:t>
      </w:r>
      <w:r w:rsidR="002C330E" w:rsidRPr="00D5464D">
        <w:rPr>
          <w:bCs/>
          <w:lang w:val="pt-BR"/>
        </w:rPr>
        <w:t>a saúde</w:t>
      </w:r>
      <w:r w:rsidR="00E535CD" w:rsidRPr="00D5464D">
        <w:rPr>
          <w:bCs/>
          <w:lang w:val="pt-BR"/>
        </w:rPr>
        <w:t>,</w:t>
      </w:r>
      <w:r w:rsidR="002C330E" w:rsidRPr="00D5464D">
        <w:rPr>
          <w:bCs/>
          <w:lang w:val="pt-BR"/>
        </w:rPr>
        <w:t xml:space="preserve"> a segurança</w:t>
      </w:r>
      <w:r w:rsidR="00E535CD" w:rsidRPr="00D5464D">
        <w:rPr>
          <w:bCs/>
          <w:lang w:val="pt-BR"/>
        </w:rPr>
        <w:t xml:space="preserve"> o</w:t>
      </w:r>
      <w:r w:rsidR="000B2B14" w:rsidRPr="00D5464D">
        <w:rPr>
          <w:bCs/>
          <w:lang w:val="pt-BR"/>
        </w:rPr>
        <w:t>u</w:t>
      </w:r>
      <w:r w:rsidR="002C330E" w:rsidRPr="00D5464D">
        <w:rPr>
          <w:bCs/>
          <w:lang w:val="pt-BR"/>
        </w:rPr>
        <w:t xml:space="preserve"> a </w:t>
      </w:r>
      <w:r w:rsidR="00E535CD" w:rsidRPr="00D5464D">
        <w:rPr>
          <w:bCs/>
          <w:lang w:val="pt-BR"/>
        </w:rPr>
        <w:t>mor</w:t>
      </w:r>
      <w:r w:rsidR="00EB1CE9" w:rsidRPr="00D5464D">
        <w:rPr>
          <w:bCs/>
          <w:lang w:val="pt-BR"/>
        </w:rPr>
        <w:t>al</w:t>
      </w:r>
      <w:r w:rsidR="008A6717" w:rsidRPr="00D5464D">
        <w:rPr>
          <w:bCs/>
          <w:lang w:val="pt-BR"/>
        </w:rPr>
        <w:t xml:space="preserve"> do adolescente </w:t>
      </w:r>
      <w:r w:rsidR="00E535CD" w:rsidRPr="00D5464D">
        <w:rPr>
          <w:bCs/>
          <w:lang w:val="pt-BR"/>
        </w:rPr>
        <w:t>n</w:t>
      </w:r>
      <w:r w:rsidR="008A6717" w:rsidRPr="00D5464D">
        <w:rPr>
          <w:bCs/>
          <w:lang w:val="pt-BR"/>
        </w:rPr>
        <w:t>ã</w:t>
      </w:r>
      <w:r w:rsidR="00E535CD" w:rsidRPr="00D5464D">
        <w:rPr>
          <w:bCs/>
          <w:lang w:val="pt-BR"/>
        </w:rPr>
        <w:t xml:space="preserve">o </w:t>
      </w:r>
      <w:r w:rsidRPr="00D5464D">
        <w:rPr>
          <w:bCs/>
          <w:lang w:val="pt-BR"/>
        </w:rPr>
        <w:t>dever</w:t>
      </w:r>
      <w:r w:rsidR="00E535CD" w:rsidRPr="00D5464D">
        <w:rPr>
          <w:bCs/>
          <w:lang w:val="pt-BR"/>
        </w:rPr>
        <w:t xml:space="preserve">á ser inferior a </w:t>
      </w:r>
      <w:r w:rsidR="00C54C3D" w:rsidRPr="00D5464D">
        <w:rPr>
          <w:bCs/>
          <w:lang w:val="pt-BR"/>
        </w:rPr>
        <w:t>18</w:t>
      </w:r>
      <w:r w:rsidR="00E535CD" w:rsidRPr="00D5464D">
        <w:rPr>
          <w:bCs/>
          <w:lang w:val="pt-BR"/>
        </w:rPr>
        <w:t xml:space="preserve"> </w:t>
      </w:r>
      <w:r w:rsidRPr="00D5464D">
        <w:rPr>
          <w:bCs/>
          <w:lang w:val="pt-BR"/>
        </w:rPr>
        <w:t>anos</w:t>
      </w:r>
      <w:r w:rsidR="00C91CB1" w:rsidRPr="00D5464D">
        <w:rPr>
          <w:bCs/>
          <w:lang w:val="pt-BR"/>
        </w:rPr>
        <w:t xml:space="preserve">. No </w:t>
      </w:r>
      <w:r w:rsidR="002C330E" w:rsidRPr="00D5464D">
        <w:rPr>
          <w:lang w:val="pt-BR"/>
        </w:rPr>
        <w:t>mesm</w:t>
      </w:r>
      <w:r w:rsidR="00E535CD" w:rsidRPr="00D5464D">
        <w:rPr>
          <w:lang w:val="pt-BR"/>
        </w:rPr>
        <w:t>o sentido</w:t>
      </w:r>
      <w:r w:rsidR="008A6717" w:rsidRPr="00D5464D">
        <w:rPr>
          <w:lang w:val="pt-BR"/>
        </w:rPr>
        <w:t xml:space="preserve">, a Convenção </w:t>
      </w:r>
      <w:r w:rsidR="00E535CD" w:rsidRPr="00D5464D">
        <w:rPr>
          <w:lang w:val="pt-BR"/>
        </w:rPr>
        <w:t>182</w:t>
      </w:r>
      <w:r w:rsidRPr="00D5464D">
        <w:rPr>
          <w:lang w:val="pt-BR"/>
        </w:rPr>
        <w:t xml:space="preserve"> da </w:t>
      </w:r>
      <w:r w:rsidR="00E535CD" w:rsidRPr="00D5464D">
        <w:rPr>
          <w:lang w:val="pt-BR"/>
        </w:rPr>
        <w:t xml:space="preserve">OIT </w:t>
      </w:r>
      <w:r w:rsidR="00350187" w:rsidRPr="00D5464D">
        <w:rPr>
          <w:lang w:val="pt-BR"/>
        </w:rPr>
        <w:t>prevê</w:t>
      </w:r>
      <w:r w:rsidR="00E535CD" w:rsidRPr="00D5464D">
        <w:rPr>
          <w:lang w:val="pt-BR"/>
        </w:rPr>
        <w:t xml:space="preserve"> que todas</w:t>
      </w:r>
      <w:r w:rsidR="002C330E" w:rsidRPr="00D5464D">
        <w:rPr>
          <w:lang w:val="pt-BR"/>
        </w:rPr>
        <w:t xml:space="preserve"> as </w:t>
      </w:r>
      <w:r w:rsidR="00E535CD" w:rsidRPr="00D5464D">
        <w:rPr>
          <w:lang w:val="pt-BR"/>
        </w:rPr>
        <w:t xml:space="preserve">formas de </w:t>
      </w:r>
      <w:r w:rsidR="000B376D" w:rsidRPr="00D5464D">
        <w:rPr>
          <w:lang w:val="pt-BR"/>
        </w:rPr>
        <w:t>escravidão</w:t>
      </w:r>
      <w:r w:rsidR="00E535CD" w:rsidRPr="00D5464D">
        <w:rPr>
          <w:lang w:val="pt-BR"/>
        </w:rPr>
        <w:t xml:space="preserve">, </w:t>
      </w:r>
      <w:r w:rsidR="00230C71" w:rsidRPr="00D5464D">
        <w:rPr>
          <w:lang w:val="pt-BR"/>
        </w:rPr>
        <w:t>suas práticas</w:t>
      </w:r>
      <w:r w:rsidR="00E535CD" w:rsidRPr="00D5464D">
        <w:rPr>
          <w:lang w:val="pt-BR"/>
        </w:rPr>
        <w:t xml:space="preserve"> análogas,</w:t>
      </w:r>
      <w:r w:rsidR="002C330E" w:rsidRPr="00D5464D">
        <w:rPr>
          <w:lang w:val="pt-BR"/>
        </w:rPr>
        <w:t xml:space="preserve"> a </w:t>
      </w:r>
      <w:r w:rsidR="000B376D" w:rsidRPr="00D5464D">
        <w:rPr>
          <w:lang w:val="pt-BR"/>
        </w:rPr>
        <w:t>servidão</w:t>
      </w:r>
      <w:r w:rsidR="00E535CD" w:rsidRPr="00D5464D">
        <w:rPr>
          <w:lang w:val="pt-BR"/>
        </w:rPr>
        <w:t xml:space="preserve"> por </w:t>
      </w:r>
      <w:r w:rsidRPr="00D5464D">
        <w:rPr>
          <w:lang w:val="pt-BR"/>
        </w:rPr>
        <w:t>dívida</w:t>
      </w:r>
      <w:r w:rsidR="00E535CD" w:rsidRPr="00D5464D">
        <w:rPr>
          <w:lang w:val="pt-BR"/>
        </w:rPr>
        <w:t>s</w:t>
      </w:r>
      <w:r w:rsidR="00E045D9" w:rsidRPr="00D5464D">
        <w:rPr>
          <w:lang w:val="pt-BR"/>
        </w:rPr>
        <w:t xml:space="preserve"> e </w:t>
      </w:r>
      <w:r w:rsidR="002C330E" w:rsidRPr="00D5464D">
        <w:rPr>
          <w:lang w:val="pt-BR"/>
        </w:rPr>
        <w:t xml:space="preserve">a </w:t>
      </w:r>
      <w:r w:rsidR="00E535CD" w:rsidRPr="00D5464D">
        <w:rPr>
          <w:lang w:val="pt-BR"/>
        </w:rPr>
        <w:t>condi</w:t>
      </w:r>
      <w:r w:rsidRPr="00D5464D">
        <w:rPr>
          <w:lang w:val="pt-BR"/>
        </w:rPr>
        <w:t>ção</w:t>
      </w:r>
      <w:r w:rsidR="00E535CD" w:rsidRPr="00D5464D">
        <w:rPr>
          <w:lang w:val="pt-BR"/>
        </w:rPr>
        <w:t xml:space="preserve"> de servo,</w:t>
      </w:r>
      <w:r w:rsidRPr="00D5464D">
        <w:rPr>
          <w:lang w:val="pt-BR"/>
        </w:rPr>
        <w:t xml:space="preserve"> o </w:t>
      </w:r>
      <w:r w:rsidR="00E045D9" w:rsidRPr="00D5464D">
        <w:rPr>
          <w:lang w:val="pt-BR"/>
        </w:rPr>
        <w:t>trabalho</w:t>
      </w:r>
      <w:r w:rsidR="00E535CD" w:rsidRPr="00D5464D">
        <w:rPr>
          <w:lang w:val="pt-BR"/>
        </w:rPr>
        <w:t xml:space="preserve"> </w:t>
      </w:r>
      <w:r w:rsidR="00230C71" w:rsidRPr="00D5464D">
        <w:rPr>
          <w:lang w:val="pt-BR"/>
        </w:rPr>
        <w:t>forçado</w:t>
      </w:r>
      <w:r w:rsidR="00E045D9" w:rsidRPr="00D5464D">
        <w:rPr>
          <w:lang w:val="pt-BR"/>
        </w:rPr>
        <w:t xml:space="preserve"> ou </w:t>
      </w:r>
      <w:r w:rsidR="002C330E" w:rsidRPr="00D5464D">
        <w:rPr>
          <w:lang w:val="pt-BR"/>
        </w:rPr>
        <w:t>obrigatóri</w:t>
      </w:r>
      <w:r w:rsidR="00E535CD" w:rsidRPr="00D5464D">
        <w:rPr>
          <w:lang w:val="pt-BR"/>
        </w:rPr>
        <w:t>o</w:t>
      </w:r>
      <w:r w:rsidRPr="00D5464D">
        <w:rPr>
          <w:lang w:val="pt-BR"/>
        </w:rPr>
        <w:t xml:space="preserve">, e o </w:t>
      </w:r>
      <w:r w:rsidR="00E045D9" w:rsidRPr="00D5464D">
        <w:rPr>
          <w:lang w:val="pt-BR"/>
        </w:rPr>
        <w:t>trabalho</w:t>
      </w:r>
      <w:r w:rsidR="00E535CD" w:rsidRPr="00D5464D">
        <w:rPr>
          <w:lang w:val="pt-BR"/>
        </w:rPr>
        <w:t xml:space="preserve"> que</w:t>
      </w:r>
      <w:r w:rsidR="00EB1CE9" w:rsidRPr="00D5464D">
        <w:rPr>
          <w:lang w:val="pt-BR"/>
        </w:rPr>
        <w:t xml:space="preserve">, por </w:t>
      </w:r>
      <w:r w:rsidR="00230C71" w:rsidRPr="00D5464D">
        <w:rPr>
          <w:lang w:val="pt-BR"/>
        </w:rPr>
        <w:t>sua natureza</w:t>
      </w:r>
      <w:r w:rsidR="00E535CD" w:rsidRPr="00D5464D">
        <w:rPr>
          <w:lang w:val="pt-BR"/>
        </w:rPr>
        <w:t xml:space="preserve"> o</w:t>
      </w:r>
      <w:r w:rsidR="007208E4" w:rsidRPr="00D5464D">
        <w:rPr>
          <w:lang w:val="pt-BR"/>
        </w:rPr>
        <w:t>u</w:t>
      </w:r>
      <w:r w:rsidR="002C330E" w:rsidRPr="00D5464D">
        <w:rPr>
          <w:lang w:val="pt-BR"/>
        </w:rPr>
        <w:t xml:space="preserve"> pelas </w:t>
      </w:r>
      <w:r w:rsidR="00E535CD" w:rsidRPr="00D5464D">
        <w:rPr>
          <w:lang w:val="pt-BR"/>
        </w:rPr>
        <w:t>condi</w:t>
      </w:r>
      <w:r w:rsidRPr="00D5464D">
        <w:rPr>
          <w:lang w:val="pt-BR"/>
        </w:rPr>
        <w:t xml:space="preserve">ções em </w:t>
      </w:r>
      <w:r w:rsidR="000B2B14" w:rsidRPr="00D5464D">
        <w:rPr>
          <w:lang w:val="pt-BR"/>
        </w:rPr>
        <w:t xml:space="preserve">que for </w:t>
      </w:r>
      <w:r w:rsidR="007208E4" w:rsidRPr="00D5464D">
        <w:rPr>
          <w:lang w:val="pt-BR"/>
        </w:rPr>
        <w:t>realizado</w:t>
      </w:r>
      <w:r w:rsidR="00E535CD" w:rsidRPr="00D5464D">
        <w:rPr>
          <w:lang w:val="pt-BR"/>
        </w:rPr>
        <w:t>,</w:t>
      </w:r>
      <w:r w:rsidRPr="00D5464D">
        <w:rPr>
          <w:lang w:val="pt-BR"/>
        </w:rPr>
        <w:t xml:space="preserve"> </w:t>
      </w:r>
      <w:r w:rsidR="000B2B14" w:rsidRPr="00D5464D">
        <w:rPr>
          <w:lang w:val="pt-BR"/>
        </w:rPr>
        <w:t>seja</w:t>
      </w:r>
      <w:r w:rsidRPr="00D5464D">
        <w:rPr>
          <w:lang w:val="pt-BR"/>
        </w:rPr>
        <w:t xml:space="preserve"> </w:t>
      </w:r>
      <w:r w:rsidR="007208E4" w:rsidRPr="00D5464D">
        <w:rPr>
          <w:lang w:val="pt-BR"/>
        </w:rPr>
        <w:t xml:space="preserve">suscetível de prejudicar </w:t>
      </w:r>
      <w:r w:rsidR="002C330E" w:rsidRPr="00D5464D">
        <w:rPr>
          <w:lang w:val="pt-BR"/>
        </w:rPr>
        <w:t>a saúde</w:t>
      </w:r>
      <w:r w:rsidR="00E535CD" w:rsidRPr="00D5464D">
        <w:rPr>
          <w:lang w:val="pt-BR"/>
        </w:rPr>
        <w:t>,</w:t>
      </w:r>
      <w:r w:rsidR="002C330E" w:rsidRPr="00D5464D">
        <w:rPr>
          <w:lang w:val="pt-BR"/>
        </w:rPr>
        <w:t xml:space="preserve"> a segurança</w:t>
      </w:r>
      <w:r w:rsidR="00E535CD" w:rsidRPr="00D5464D">
        <w:rPr>
          <w:lang w:val="pt-BR"/>
        </w:rPr>
        <w:t xml:space="preserve"> o</w:t>
      </w:r>
      <w:r w:rsidR="000B2B14" w:rsidRPr="00D5464D">
        <w:rPr>
          <w:lang w:val="pt-BR"/>
        </w:rPr>
        <w:t>u</w:t>
      </w:r>
      <w:r w:rsidR="002C330E" w:rsidRPr="00D5464D">
        <w:rPr>
          <w:lang w:val="pt-BR"/>
        </w:rPr>
        <w:t xml:space="preserve"> a </w:t>
      </w:r>
      <w:r w:rsidR="00E535CD" w:rsidRPr="00D5464D">
        <w:rPr>
          <w:lang w:val="pt-BR"/>
        </w:rPr>
        <w:t>mor</w:t>
      </w:r>
      <w:r w:rsidR="00EB1CE9" w:rsidRPr="00D5464D">
        <w:rPr>
          <w:lang w:val="pt-BR"/>
        </w:rPr>
        <w:t xml:space="preserve">al </w:t>
      </w:r>
      <w:r w:rsidR="00E045D9" w:rsidRPr="00D5464D">
        <w:rPr>
          <w:lang w:val="pt-BR"/>
        </w:rPr>
        <w:t>das crianças</w:t>
      </w:r>
      <w:r w:rsidR="00E535CD" w:rsidRPr="00D5464D">
        <w:rPr>
          <w:lang w:val="pt-BR"/>
        </w:rPr>
        <w:t xml:space="preserve">, entre </w:t>
      </w:r>
      <w:r w:rsidR="002C330E" w:rsidRPr="00D5464D">
        <w:rPr>
          <w:lang w:val="pt-BR"/>
        </w:rPr>
        <w:t>outros</w:t>
      </w:r>
      <w:r w:rsidR="00E535CD" w:rsidRPr="00D5464D">
        <w:rPr>
          <w:lang w:val="pt-BR"/>
        </w:rPr>
        <w:t>,</w:t>
      </w:r>
      <w:r w:rsidR="002C330E" w:rsidRPr="00D5464D">
        <w:rPr>
          <w:lang w:val="pt-BR"/>
        </w:rPr>
        <w:t xml:space="preserve"> são </w:t>
      </w:r>
      <w:r w:rsidR="00E535CD" w:rsidRPr="00D5464D">
        <w:rPr>
          <w:lang w:val="pt-BR"/>
        </w:rPr>
        <w:t>considerados como</w:t>
      </w:r>
      <w:r w:rsidR="002C330E" w:rsidRPr="00D5464D">
        <w:rPr>
          <w:lang w:val="pt-BR"/>
        </w:rPr>
        <w:t xml:space="preserve"> as</w:t>
      </w:r>
      <w:r w:rsidR="00C91CB1" w:rsidRPr="00D5464D">
        <w:rPr>
          <w:lang w:val="pt-BR"/>
        </w:rPr>
        <w:t xml:space="preserve"> pior</w:t>
      </w:r>
      <w:r w:rsidR="00E535CD" w:rsidRPr="00D5464D">
        <w:rPr>
          <w:lang w:val="pt-BR"/>
        </w:rPr>
        <w:t xml:space="preserve">es formas de </w:t>
      </w:r>
      <w:r w:rsidR="00E045D9" w:rsidRPr="00D5464D">
        <w:rPr>
          <w:lang w:val="pt-BR"/>
        </w:rPr>
        <w:t>trabalho</w:t>
      </w:r>
      <w:r w:rsidR="00E535CD" w:rsidRPr="00D5464D">
        <w:rPr>
          <w:lang w:val="pt-BR"/>
        </w:rPr>
        <w:t xml:space="preserve"> infantil</w:t>
      </w:r>
      <w:r w:rsidR="007208E4" w:rsidRPr="00D5464D">
        <w:rPr>
          <w:lang w:val="pt-BR"/>
        </w:rPr>
        <w:t>.</w:t>
      </w:r>
      <w:r w:rsidR="00E535CD" w:rsidRPr="00D5464D">
        <w:rPr>
          <w:rStyle w:val="Refdenotaalpie"/>
          <w:lang w:val="pt-BR"/>
        </w:rPr>
        <w:footnoteReference w:id="462"/>
      </w:r>
      <w:r w:rsidR="00E535CD" w:rsidRPr="00D5464D">
        <w:rPr>
          <w:lang w:val="pt-BR"/>
        </w:rPr>
        <w:t xml:space="preserve"> </w:t>
      </w:r>
    </w:p>
    <w:p w14:paraId="3ED9A788" w14:textId="77777777" w:rsidR="00E535CD" w:rsidRPr="00D5464D" w:rsidRDefault="00E535CD" w:rsidP="00E535CD">
      <w:pPr>
        <w:tabs>
          <w:tab w:val="clear" w:pos="4419"/>
          <w:tab w:val="clear" w:pos="8838"/>
        </w:tabs>
        <w:jc w:val="both"/>
        <w:rPr>
          <w:bCs/>
          <w:lang w:val="pt-BR"/>
        </w:rPr>
      </w:pPr>
    </w:p>
    <w:p w14:paraId="3EFCD875" w14:textId="48CC2A10" w:rsidR="00E535CD" w:rsidRPr="00D5464D" w:rsidRDefault="00D06339" w:rsidP="00E535CD">
      <w:pPr>
        <w:numPr>
          <w:ilvl w:val="0"/>
          <w:numId w:val="1"/>
        </w:numPr>
        <w:tabs>
          <w:tab w:val="clear" w:pos="4419"/>
          <w:tab w:val="clear" w:pos="8838"/>
          <w:tab w:val="num" w:pos="720"/>
        </w:tabs>
        <w:jc w:val="both"/>
        <w:rPr>
          <w:bCs/>
          <w:lang w:val="pt-BR"/>
        </w:rPr>
      </w:pPr>
      <w:r w:rsidRPr="00D5464D">
        <w:rPr>
          <w:lang w:val="pt-BR"/>
        </w:rPr>
        <w:t>Nesse sentido,</w:t>
      </w:r>
      <w:r w:rsidR="002C330E" w:rsidRPr="00D5464D">
        <w:rPr>
          <w:lang w:val="pt-BR"/>
        </w:rPr>
        <w:t xml:space="preserve"> a </w:t>
      </w:r>
      <w:r w:rsidR="00E535CD" w:rsidRPr="00D5464D">
        <w:rPr>
          <w:lang w:val="pt-BR"/>
        </w:rPr>
        <w:t>Corte destaca que</w:t>
      </w:r>
      <w:r w:rsidR="002C330E" w:rsidRPr="00D5464D">
        <w:rPr>
          <w:lang w:val="pt-BR"/>
        </w:rPr>
        <w:t xml:space="preserve"> as obrigações</w:t>
      </w:r>
      <w:r w:rsidR="00E535CD" w:rsidRPr="00D5464D">
        <w:rPr>
          <w:lang w:val="pt-BR"/>
        </w:rPr>
        <w:t xml:space="preserve"> que</w:t>
      </w:r>
      <w:r w:rsidR="00470ADC" w:rsidRPr="00D5464D">
        <w:rPr>
          <w:lang w:val="pt-BR"/>
        </w:rPr>
        <w:t xml:space="preserve"> o </w:t>
      </w:r>
      <w:r w:rsidR="00E535CD" w:rsidRPr="00D5464D">
        <w:rPr>
          <w:lang w:val="pt-BR"/>
        </w:rPr>
        <w:t>Estado</w:t>
      </w:r>
      <w:r w:rsidR="00470ADC" w:rsidRPr="00D5464D">
        <w:rPr>
          <w:lang w:val="pt-BR"/>
        </w:rPr>
        <w:t xml:space="preserve"> deve adot</w:t>
      </w:r>
      <w:r w:rsidR="00E535CD" w:rsidRPr="00D5464D">
        <w:rPr>
          <w:lang w:val="pt-BR"/>
        </w:rPr>
        <w:t>ar para eliminar</w:t>
      </w:r>
      <w:r w:rsidR="002C330E" w:rsidRPr="00D5464D">
        <w:rPr>
          <w:lang w:val="pt-BR"/>
        </w:rPr>
        <w:t xml:space="preserve"> as</w:t>
      </w:r>
      <w:r w:rsidR="00C91CB1" w:rsidRPr="00D5464D">
        <w:rPr>
          <w:lang w:val="pt-BR"/>
        </w:rPr>
        <w:t xml:space="preserve"> pior</w:t>
      </w:r>
      <w:r w:rsidR="00E535CD" w:rsidRPr="00D5464D">
        <w:rPr>
          <w:lang w:val="pt-BR"/>
        </w:rPr>
        <w:t xml:space="preserve">es formas de </w:t>
      </w:r>
      <w:r w:rsidR="00E045D9" w:rsidRPr="00D5464D">
        <w:rPr>
          <w:lang w:val="pt-BR"/>
        </w:rPr>
        <w:t>trabalho</w:t>
      </w:r>
      <w:r w:rsidR="00E535CD" w:rsidRPr="00D5464D">
        <w:rPr>
          <w:lang w:val="pt-BR"/>
        </w:rPr>
        <w:t xml:space="preserve"> infantil </w:t>
      </w:r>
      <w:r w:rsidR="007208E4" w:rsidRPr="00D5464D">
        <w:rPr>
          <w:lang w:val="pt-BR"/>
        </w:rPr>
        <w:t xml:space="preserve">possuem </w:t>
      </w:r>
      <w:r w:rsidR="00470ADC" w:rsidRPr="00D5464D">
        <w:rPr>
          <w:lang w:val="pt-BR"/>
        </w:rPr>
        <w:t>caráter</w:t>
      </w:r>
      <w:r w:rsidR="00E535CD" w:rsidRPr="00D5464D">
        <w:rPr>
          <w:lang w:val="pt-BR"/>
        </w:rPr>
        <w:t xml:space="preserve"> priori</w:t>
      </w:r>
      <w:r w:rsidR="00C91CB1" w:rsidRPr="00D5464D">
        <w:rPr>
          <w:lang w:val="pt-BR"/>
        </w:rPr>
        <w:t xml:space="preserve">tário </w:t>
      </w:r>
      <w:r w:rsidR="00E535CD" w:rsidRPr="00D5464D">
        <w:rPr>
          <w:lang w:val="pt-BR"/>
        </w:rPr>
        <w:t xml:space="preserve">e </w:t>
      </w:r>
      <w:r w:rsidR="00230C71" w:rsidRPr="00D5464D">
        <w:rPr>
          <w:lang w:val="pt-BR"/>
        </w:rPr>
        <w:t>incluem</w:t>
      </w:r>
      <w:r w:rsidR="00E535CD" w:rsidRPr="00D5464D">
        <w:rPr>
          <w:lang w:val="pt-BR"/>
        </w:rPr>
        <w:t xml:space="preserve">, entre </w:t>
      </w:r>
      <w:r w:rsidR="002C330E" w:rsidRPr="00D5464D">
        <w:rPr>
          <w:lang w:val="pt-BR"/>
        </w:rPr>
        <w:t>outra</w:t>
      </w:r>
      <w:r w:rsidR="00E535CD" w:rsidRPr="00D5464D">
        <w:rPr>
          <w:lang w:val="pt-BR"/>
        </w:rPr>
        <w:t xml:space="preserve">s, </w:t>
      </w:r>
      <w:r w:rsidR="007208E4" w:rsidRPr="00D5464D">
        <w:rPr>
          <w:lang w:val="pt-BR"/>
        </w:rPr>
        <w:t xml:space="preserve">elaborar </w:t>
      </w:r>
      <w:r w:rsidR="00E045D9" w:rsidRPr="00D5464D">
        <w:rPr>
          <w:lang w:val="pt-BR"/>
        </w:rPr>
        <w:t xml:space="preserve">e </w:t>
      </w:r>
      <w:r w:rsidR="007208E4" w:rsidRPr="00D5464D">
        <w:rPr>
          <w:lang w:val="pt-BR"/>
        </w:rPr>
        <w:t xml:space="preserve">colocar </w:t>
      </w:r>
      <w:r w:rsidR="00470ADC" w:rsidRPr="00D5464D">
        <w:rPr>
          <w:lang w:val="pt-BR"/>
        </w:rPr>
        <w:t xml:space="preserve">em </w:t>
      </w:r>
      <w:r w:rsidR="002C330E" w:rsidRPr="00D5464D">
        <w:rPr>
          <w:lang w:val="pt-BR"/>
        </w:rPr>
        <w:t>prática</w:t>
      </w:r>
      <w:r w:rsidR="00E535CD" w:rsidRPr="00D5464D">
        <w:rPr>
          <w:lang w:val="pt-BR"/>
        </w:rPr>
        <w:t xml:space="preserve"> programas de </w:t>
      </w:r>
      <w:r w:rsidR="00737270" w:rsidRPr="00D5464D">
        <w:rPr>
          <w:lang w:val="pt-BR"/>
        </w:rPr>
        <w:t>ação</w:t>
      </w:r>
      <w:r w:rsidR="00E535CD" w:rsidRPr="00D5464D">
        <w:rPr>
          <w:lang w:val="pt-BR"/>
        </w:rPr>
        <w:t xml:space="preserve"> para </w:t>
      </w:r>
      <w:r w:rsidR="00470ADC" w:rsidRPr="00D5464D">
        <w:rPr>
          <w:lang w:val="pt-BR"/>
        </w:rPr>
        <w:t>assegurar o exercício</w:t>
      </w:r>
      <w:r w:rsidR="00E045D9" w:rsidRPr="00D5464D">
        <w:rPr>
          <w:lang w:val="pt-BR"/>
        </w:rPr>
        <w:t xml:space="preserve"> e </w:t>
      </w:r>
      <w:r w:rsidR="007208E4" w:rsidRPr="00D5464D">
        <w:rPr>
          <w:lang w:val="pt-BR"/>
        </w:rPr>
        <w:t xml:space="preserve">o </w:t>
      </w:r>
      <w:r w:rsidR="00230C71" w:rsidRPr="00D5464D">
        <w:rPr>
          <w:lang w:val="pt-BR"/>
        </w:rPr>
        <w:t>desfrute</w:t>
      </w:r>
      <w:r w:rsidR="00E535CD" w:rsidRPr="00D5464D">
        <w:rPr>
          <w:lang w:val="pt-BR"/>
        </w:rPr>
        <w:t xml:space="preserve"> pleno de </w:t>
      </w:r>
      <w:r w:rsidR="00E045D9" w:rsidRPr="00D5464D">
        <w:rPr>
          <w:lang w:val="pt-BR"/>
        </w:rPr>
        <w:t>seus direitos</w:t>
      </w:r>
      <w:r w:rsidR="007208E4" w:rsidRPr="00D5464D">
        <w:rPr>
          <w:lang w:val="pt-BR"/>
        </w:rPr>
        <w:t>.</w:t>
      </w:r>
      <w:r w:rsidR="00E535CD" w:rsidRPr="00D5464D">
        <w:rPr>
          <w:vertAlign w:val="superscript"/>
          <w:lang w:val="pt-BR"/>
        </w:rPr>
        <w:footnoteReference w:id="463"/>
      </w:r>
      <w:r w:rsidR="00C91CB1" w:rsidRPr="00D5464D">
        <w:rPr>
          <w:lang w:val="pt-BR"/>
        </w:rPr>
        <w:t xml:space="preserve"> Em </w:t>
      </w:r>
      <w:r w:rsidR="00E535CD" w:rsidRPr="00D5464D">
        <w:rPr>
          <w:lang w:val="pt-BR"/>
        </w:rPr>
        <w:t>concreto,</w:t>
      </w:r>
      <w:r w:rsidR="00470ADC" w:rsidRPr="00D5464D">
        <w:rPr>
          <w:lang w:val="pt-BR"/>
        </w:rPr>
        <w:t xml:space="preserve"> o </w:t>
      </w:r>
      <w:r w:rsidR="00E535CD" w:rsidRPr="00D5464D">
        <w:rPr>
          <w:lang w:val="pt-BR"/>
        </w:rPr>
        <w:t xml:space="preserve">Estado </w:t>
      </w:r>
      <w:r w:rsidR="00E045D9" w:rsidRPr="00D5464D">
        <w:rPr>
          <w:lang w:val="pt-BR"/>
        </w:rPr>
        <w:t xml:space="preserve">tem </w:t>
      </w:r>
      <w:r w:rsidR="002C330E" w:rsidRPr="00D5464D">
        <w:rPr>
          <w:lang w:val="pt-BR"/>
        </w:rPr>
        <w:t>a obrigação</w:t>
      </w:r>
      <w:r w:rsidR="00E535CD" w:rsidRPr="00D5464D">
        <w:rPr>
          <w:lang w:val="pt-BR"/>
        </w:rPr>
        <w:t xml:space="preserve"> de</w:t>
      </w:r>
      <w:r w:rsidR="00DF57D3" w:rsidRPr="00D5464D">
        <w:rPr>
          <w:lang w:val="pt-BR"/>
        </w:rPr>
        <w:t>:</w:t>
      </w:r>
      <w:r w:rsidR="00E535CD" w:rsidRPr="00D5464D">
        <w:rPr>
          <w:lang w:val="pt-BR"/>
        </w:rPr>
        <w:t xml:space="preserve"> i) impedir</w:t>
      </w:r>
      <w:r w:rsidR="002C330E" w:rsidRPr="00D5464D">
        <w:rPr>
          <w:lang w:val="pt-BR"/>
        </w:rPr>
        <w:t xml:space="preserve"> a </w:t>
      </w:r>
      <w:r w:rsidR="00E535CD" w:rsidRPr="00D5464D">
        <w:rPr>
          <w:lang w:val="pt-BR"/>
        </w:rPr>
        <w:t>ocupa</w:t>
      </w:r>
      <w:r w:rsidR="00470ADC" w:rsidRPr="00D5464D">
        <w:rPr>
          <w:lang w:val="pt-BR"/>
        </w:rPr>
        <w:t>ção</w:t>
      </w:r>
      <w:r w:rsidR="00E535CD" w:rsidRPr="00D5464D">
        <w:rPr>
          <w:lang w:val="pt-BR"/>
        </w:rPr>
        <w:t xml:space="preserve"> de </w:t>
      </w:r>
      <w:r w:rsidR="002C330E" w:rsidRPr="00D5464D">
        <w:rPr>
          <w:lang w:val="pt-BR"/>
        </w:rPr>
        <w:t>crianças</w:t>
      </w:r>
      <w:r w:rsidR="00E045D9" w:rsidRPr="00D5464D">
        <w:rPr>
          <w:lang w:val="pt-BR"/>
        </w:rPr>
        <w:t xml:space="preserve"> nas</w:t>
      </w:r>
      <w:r w:rsidR="00C91CB1" w:rsidRPr="00D5464D">
        <w:rPr>
          <w:lang w:val="pt-BR"/>
        </w:rPr>
        <w:t xml:space="preserve"> pior</w:t>
      </w:r>
      <w:r w:rsidR="00E535CD" w:rsidRPr="00D5464D">
        <w:rPr>
          <w:lang w:val="pt-BR"/>
        </w:rPr>
        <w:t xml:space="preserve">es formas de </w:t>
      </w:r>
      <w:r w:rsidR="00E045D9" w:rsidRPr="00D5464D">
        <w:rPr>
          <w:lang w:val="pt-BR"/>
        </w:rPr>
        <w:t>trabalho</w:t>
      </w:r>
      <w:r w:rsidR="00E535CD" w:rsidRPr="00D5464D">
        <w:rPr>
          <w:lang w:val="pt-BR"/>
        </w:rPr>
        <w:t xml:space="preserve"> infantil; ii) prestar</w:t>
      </w:r>
      <w:r w:rsidR="002C330E" w:rsidRPr="00D5464D">
        <w:rPr>
          <w:lang w:val="pt-BR"/>
        </w:rPr>
        <w:t xml:space="preserve"> a </w:t>
      </w:r>
      <w:r w:rsidR="00470ADC" w:rsidRPr="00D5464D">
        <w:rPr>
          <w:lang w:val="pt-BR"/>
        </w:rPr>
        <w:t>assistência diret</w:t>
      </w:r>
      <w:r w:rsidR="00E535CD" w:rsidRPr="00D5464D">
        <w:rPr>
          <w:lang w:val="pt-BR"/>
        </w:rPr>
        <w:t xml:space="preserve">a </w:t>
      </w:r>
      <w:r w:rsidR="002C330E" w:rsidRPr="00D5464D">
        <w:rPr>
          <w:lang w:val="pt-BR"/>
        </w:rPr>
        <w:t>necessári</w:t>
      </w:r>
      <w:r w:rsidR="00E535CD" w:rsidRPr="00D5464D">
        <w:rPr>
          <w:lang w:val="pt-BR"/>
        </w:rPr>
        <w:t>a</w:t>
      </w:r>
      <w:r w:rsidR="00E045D9" w:rsidRPr="00D5464D">
        <w:rPr>
          <w:lang w:val="pt-BR"/>
        </w:rPr>
        <w:t xml:space="preserve"> e </w:t>
      </w:r>
      <w:r w:rsidR="00470ADC" w:rsidRPr="00D5464D">
        <w:rPr>
          <w:lang w:val="pt-BR"/>
        </w:rPr>
        <w:t>adequad</w:t>
      </w:r>
      <w:r w:rsidR="00E535CD" w:rsidRPr="00D5464D">
        <w:rPr>
          <w:lang w:val="pt-BR"/>
        </w:rPr>
        <w:t xml:space="preserve">a para </w:t>
      </w:r>
      <w:r w:rsidR="007208E4" w:rsidRPr="00D5464D">
        <w:rPr>
          <w:lang w:val="pt-BR"/>
        </w:rPr>
        <w:t xml:space="preserve">retirar as </w:t>
      </w:r>
      <w:r w:rsidR="00A1358C" w:rsidRPr="00D5464D">
        <w:rPr>
          <w:lang w:val="pt-BR"/>
        </w:rPr>
        <w:t>crianças</w:t>
      </w:r>
      <w:r w:rsidR="00470ADC" w:rsidRPr="00D5464D">
        <w:rPr>
          <w:lang w:val="pt-BR"/>
        </w:rPr>
        <w:t xml:space="preserve"> das</w:t>
      </w:r>
      <w:r w:rsidR="00C91CB1" w:rsidRPr="00D5464D">
        <w:rPr>
          <w:lang w:val="pt-BR"/>
        </w:rPr>
        <w:t xml:space="preserve"> pior</w:t>
      </w:r>
      <w:r w:rsidR="00E535CD" w:rsidRPr="00D5464D">
        <w:rPr>
          <w:lang w:val="pt-BR"/>
        </w:rPr>
        <w:t xml:space="preserve">es formas de </w:t>
      </w:r>
      <w:r w:rsidR="00E045D9" w:rsidRPr="00D5464D">
        <w:rPr>
          <w:lang w:val="pt-BR"/>
        </w:rPr>
        <w:t>trabalho</w:t>
      </w:r>
      <w:r w:rsidR="00E535CD" w:rsidRPr="00D5464D">
        <w:rPr>
          <w:lang w:val="pt-BR"/>
        </w:rPr>
        <w:t xml:space="preserve"> infantil</w:t>
      </w:r>
      <w:r w:rsidR="00E045D9" w:rsidRPr="00D5464D">
        <w:rPr>
          <w:lang w:val="pt-BR"/>
        </w:rPr>
        <w:t xml:space="preserve"> e </w:t>
      </w:r>
      <w:r w:rsidR="00470ADC" w:rsidRPr="00D5464D">
        <w:rPr>
          <w:lang w:val="pt-BR"/>
        </w:rPr>
        <w:t>assegurar</w:t>
      </w:r>
      <w:r w:rsidR="00E535CD" w:rsidRPr="00D5464D">
        <w:rPr>
          <w:lang w:val="pt-BR"/>
        </w:rPr>
        <w:t xml:space="preserve"> su</w:t>
      </w:r>
      <w:r w:rsidR="007208E4" w:rsidRPr="00D5464D">
        <w:rPr>
          <w:lang w:val="pt-BR"/>
        </w:rPr>
        <w:t>a</w:t>
      </w:r>
      <w:r w:rsidR="00E535CD" w:rsidRPr="00D5464D">
        <w:rPr>
          <w:lang w:val="pt-BR"/>
        </w:rPr>
        <w:t xml:space="preserve"> </w:t>
      </w:r>
      <w:r w:rsidR="00E045D9" w:rsidRPr="00D5464D">
        <w:rPr>
          <w:lang w:val="pt-BR"/>
        </w:rPr>
        <w:t>reabilitação</w:t>
      </w:r>
      <w:r w:rsidR="00E535CD" w:rsidRPr="00D5464D">
        <w:rPr>
          <w:lang w:val="pt-BR"/>
        </w:rPr>
        <w:t xml:space="preserve"> e inser</w:t>
      </w:r>
      <w:r w:rsidR="00470ADC" w:rsidRPr="00D5464D">
        <w:rPr>
          <w:lang w:val="pt-BR"/>
        </w:rPr>
        <w:t>ção</w:t>
      </w:r>
      <w:r w:rsidR="00E535CD" w:rsidRPr="00D5464D">
        <w:rPr>
          <w:lang w:val="pt-BR"/>
        </w:rPr>
        <w:t xml:space="preserve"> social; iii) </w:t>
      </w:r>
      <w:r w:rsidR="00470ADC" w:rsidRPr="00D5464D">
        <w:rPr>
          <w:lang w:val="pt-BR"/>
        </w:rPr>
        <w:t>assegurar</w:t>
      </w:r>
      <w:r w:rsidR="00E535CD" w:rsidRPr="00D5464D">
        <w:rPr>
          <w:lang w:val="pt-BR"/>
        </w:rPr>
        <w:t xml:space="preserve"> a tod</w:t>
      </w:r>
      <w:r w:rsidR="007208E4" w:rsidRPr="00D5464D">
        <w:rPr>
          <w:lang w:val="pt-BR"/>
        </w:rPr>
        <w:t>a</w:t>
      </w:r>
      <w:r w:rsidR="00E535CD" w:rsidRPr="00D5464D">
        <w:rPr>
          <w:lang w:val="pt-BR"/>
        </w:rPr>
        <w:t>s</w:t>
      </w:r>
      <w:r w:rsidR="002C330E" w:rsidRPr="00D5464D">
        <w:rPr>
          <w:lang w:val="pt-BR"/>
        </w:rPr>
        <w:t xml:space="preserve"> </w:t>
      </w:r>
      <w:r w:rsidR="00A1358C" w:rsidRPr="00D5464D">
        <w:rPr>
          <w:lang w:val="pt-BR"/>
        </w:rPr>
        <w:t>as crianças</w:t>
      </w:r>
      <w:r w:rsidR="00E535CD" w:rsidRPr="00D5464D">
        <w:rPr>
          <w:lang w:val="pt-BR"/>
        </w:rPr>
        <w:t xml:space="preserve"> que </w:t>
      </w:r>
      <w:r w:rsidR="002C330E" w:rsidRPr="00D5464D">
        <w:rPr>
          <w:lang w:val="pt-BR"/>
        </w:rPr>
        <w:t>tenham</w:t>
      </w:r>
      <w:r w:rsidR="00E535CD" w:rsidRPr="00D5464D">
        <w:rPr>
          <w:lang w:val="pt-BR"/>
        </w:rPr>
        <w:t xml:space="preserve"> sido </w:t>
      </w:r>
      <w:r w:rsidR="007208E4" w:rsidRPr="00D5464D">
        <w:rPr>
          <w:lang w:val="pt-BR"/>
        </w:rPr>
        <w:t xml:space="preserve">retiradas </w:t>
      </w:r>
      <w:r w:rsidR="00470ADC" w:rsidRPr="00D5464D">
        <w:rPr>
          <w:lang w:val="pt-BR"/>
        </w:rPr>
        <w:t>das</w:t>
      </w:r>
      <w:r w:rsidR="00C91CB1" w:rsidRPr="00D5464D">
        <w:rPr>
          <w:lang w:val="pt-BR"/>
        </w:rPr>
        <w:t xml:space="preserve"> pior</w:t>
      </w:r>
      <w:r w:rsidR="00E535CD" w:rsidRPr="00D5464D">
        <w:rPr>
          <w:lang w:val="pt-BR"/>
        </w:rPr>
        <w:t xml:space="preserve">es formas de </w:t>
      </w:r>
      <w:r w:rsidR="00E045D9" w:rsidRPr="00D5464D">
        <w:rPr>
          <w:lang w:val="pt-BR"/>
        </w:rPr>
        <w:t>trabalho</w:t>
      </w:r>
      <w:r w:rsidR="00E535CD" w:rsidRPr="00D5464D">
        <w:rPr>
          <w:lang w:val="pt-BR"/>
        </w:rPr>
        <w:t xml:space="preserve"> infantil</w:t>
      </w:r>
      <w:r w:rsidR="00470ADC" w:rsidRPr="00D5464D">
        <w:rPr>
          <w:lang w:val="pt-BR"/>
        </w:rPr>
        <w:t xml:space="preserve"> o acesso </w:t>
      </w:r>
      <w:r w:rsidR="007208E4" w:rsidRPr="00D5464D">
        <w:rPr>
          <w:lang w:val="pt-BR"/>
        </w:rPr>
        <w:t>ao ensino básico gratuito</w:t>
      </w:r>
      <w:r w:rsidR="00E045D9" w:rsidRPr="00D5464D">
        <w:rPr>
          <w:lang w:val="pt-BR"/>
        </w:rPr>
        <w:t xml:space="preserve"> e,</w:t>
      </w:r>
      <w:r w:rsidR="00E535CD" w:rsidRPr="00D5464D">
        <w:rPr>
          <w:lang w:val="pt-BR"/>
        </w:rPr>
        <w:t xml:space="preserve"> </w:t>
      </w:r>
      <w:r w:rsidR="00470ADC" w:rsidRPr="00D5464D">
        <w:rPr>
          <w:lang w:val="pt-BR"/>
        </w:rPr>
        <w:t>quando</w:t>
      </w:r>
      <w:r w:rsidR="002C330E" w:rsidRPr="00D5464D">
        <w:rPr>
          <w:lang w:val="pt-BR"/>
        </w:rPr>
        <w:t xml:space="preserve"> </w:t>
      </w:r>
      <w:r w:rsidR="007208E4" w:rsidRPr="00D5464D">
        <w:rPr>
          <w:lang w:val="pt-BR"/>
        </w:rPr>
        <w:t xml:space="preserve">for possível </w:t>
      </w:r>
      <w:r w:rsidR="00E045D9" w:rsidRPr="00D5464D">
        <w:rPr>
          <w:lang w:val="pt-BR"/>
        </w:rPr>
        <w:t xml:space="preserve">e </w:t>
      </w:r>
      <w:r w:rsidR="00470ADC" w:rsidRPr="00D5464D">
        <w:rPr>
          <w:lang w:val="pt-BR"/>
        </w:rPr>
        <w:t>adequad</w:t>
      </w:r>
      <w:r w:rsidR="00E535CD" w:rsidRPr="00D5464D">
        <w:rPr>
          <w:lang w:val="pt-BR"/>
        </w:rPr>
        <w:t>o,</w:t>
      </w:r>
      <w:r w:rsidR="00470ADC" w:rsidRPr="00D5464D">
        <w:rPr>
          <w:lang w:val="pt-BR"/>
        </w:rPr>
        <w:t xml:space="preserve"> à </w:t>
      </w:r>
      <w:r w:rsidR="00E535CD" w:rsidRPr="00D5464D">
        <w:rPr>
          <w:lang w:val="pt-BR"/>
        </w:rPr>
        <w:t>forma</w:t>
      </w:r>
      <w:r w:rsidR="00470ADC" w:rsidRPr="00D5464D">
        <w:rPr>
          <w:lang w:val="pt-BR"/>
        </w:rPr>
        <w:t>ção</w:t>
      </w:r>
      <w:r w:rsidR="00E535CD" w:rsidRPr="00D5464D">
        <w:rPr>
          <w:lang w:val="pt-BR"/>
        </w:rPr>
        <w:t xml:space="preserve"> </w:t>
      </w:r>
      <w:r w:rsidR="00350187" w:rsidRPr="00D5464D">
        <w:rPr>
          <w:lang w:val="pt-BR"/>
        </w:rPr>
        <w:t>profissional</w:t>
      </w:r>
      <w:r w:rsidR="00E535CD" w:rsidRPr="00D5464D">
        <w:rPr>
          <w:lang w:val="pt-BR"/>
        </w:rPr>
        <w:t>; iv) identificar</w:t>
      </w:r>
      <w:r w:rsidR="00E045D9" w:rsidRPr="00D5464D">
        <w:rPr>
          <w:lang w:val="pt-BR"/>
        </w:rPr>
        <w:t xml:space="preserve"> </w:t>
      </w:r>
      <w:r w:rsidR="00A1358C" w:rsidRPr="00D5464D">
        <w:rPr>
          <w:lang w:val="pt-BR"/>
        </w:rPr>
        <w:t>as crianças</w:t>
      </w:r>
      <w:r w:rsidR="00E535CD" w:rsidRPr="00D5464D">
        <w:rPr>
          <w:lang w:val="pt-BR"/>
        </w:rPr>
        <w:t xml:space="preserve"> que</w:t>
      </w:r>
      <w:r w:rsidR="00470ADC" w:rsidRPr="00D5464D">
        <w:rPr>
          <w:lang w:val="pt-BR"/>
        </w:rPr>
        <w:t xml:space="preserve"> est</w:t>
      </w:r>
      <w:r w:rsidR="007208E4" w:rsidRPr="00D5464D">
        <w:rPr>
          <w:lang w:val="pt-BR"/>
        </w:rPr>
        <w:t xml:space="preserve">ejam </w:t>
      </w:r>
      <w:r w:rsidR="00E535CD" w:rsidRPr="00D5464D">
        <w:rPr>
          <w:lang w:val="pt-BR"/>
        </w:rPr>
        <w:t xml:space="preserve">particularmente </w:t>
      </w:r>
      <w:r w:rsidR="00470ADC" w:rsidRPr="00D5464D">
        <w:rPr>
          <w:lang w:val="pt-BR"/>
        </w:rPr>
        <w:t>expost</w:t>
      </w:r>
      <w:r w:rsidR="007208E4" w:rsidRPr="00D5464D">
        <w:rPr>
          <w:lang w:val="pt-BR"/>
        </w:rPr>
        <w:t>a</w:t>
      </w:r>
      <w:r w:rsidR="00E535CD" w:rsidRPr="00D5464D">
        <w:rPr>
          <w:lang w:val="pt-BR"/>
        </w:rPr>
        <w:t xml:space="preserve">s a </w:t>
      </w:r>
      <w:r w:rsidR="002C330E" w:rsidRPr="00D5464D">
        <w:rPr>
          <w:lang w:val="pt-BR"/>
        </w:rPr>
        <w:t>risco</w:t>
      </w:r>
      <w:r w:rsidR="00E535CD" w:rsidRPr="00D5464D">
        <w:rPr>
          <w:lang w:val="pt-BR"/>
        </w:rPr>
        <w:t>s</w:t>
      </w:r>
      <w:r w:rsidR="00E045D9" w:rsidRPr="00D5464D">
        <w:rPr>
          <w:lang w:val="pt-BR"/>
        </w:rPr>
        <w:t xml:space="preserve"> e </w:t>
      </w:r>
      <w:r w:rsidR="00E535CD" w:rsidRPr="00D5464D">
        <w:rPr>
          <w:lang w:val="pt-BR"/>
        </w:rPr>
        <w:t>entrar</w:t>
      </w:r>
      <w:r w:rsidR="00470ADC" w:rsidRPr="00D5464D">
        <w:rPr>
          <w:lang w:val="pt-BR"/>
        </w:rPr>
        <w:t xml:space="preserve"> em </w:t>
      </w:r>
      <w:r w:rsidR="00737270" w:rsidRPr="00D5464D">
        <w:rPr>
          <w:lang w:val="pt-BR"/>
        </w:rPr>
        <w:t>contato</w:t>
      </w:r>
      <w:r w:rsidR="00E535CD" w:rsidRPr="00D5464D">
        <w:rPr>
          <w:lang w:val="pt-BR"/>
        </w:rPr>
        <w:t xml:space="preserve"> </w:t>
      </w:r>
      <w:r w:rsidR="00470ADC" w:rsidRPr="00D5464D">
        <w:rPr>
          <w:lang w:val="pt-BR"/>
        </w:rPr>
        <w:t>diret</w:t>
      </w:r>
      <w:r w:rsidR="00E535CD" w:rsidRPr="00D5464D">
        <w:rPr>
          <w:lang w:val="pt-BR"/>
        </w:rPr>
        <w:t>o</w:t>
      </w:r>
      <w:r w:rsidR="00470ADC" w:rsidRPr="00D5464D">
        <w:rPr>
          <w:lang w:val="pt-BR"/>
        </w:rPr>
        <w:t xml:space="preserve"> com el</w:t>
      </w:r>
      <w:r w:rsidR="007208E4" w:rsidRPr="00D5464D">
        <w:rPr>
          <w:lang w:val="pt-BR"/>
        </w:rPr>
        <w:t>a</w:t>
      </w:r>
      <w:r w:rsidR="00E535CD" w:rsidRPr="00D5464D">
        <w:rPr>
          <w:lang w:val="pt-BR"/>
        </w:rPr>
        <w:t>s</w:t>
      </w:r>
      <w:r w:rsidR="002A0C2B" w:rsidRPr="00D5464D">
        <w:rPr>
          <w:lang w:val="pt-BR"/>
        </w:rPr>
        <w:t xml:space="preserve"> e </w:t>
      </w:r>
      <w:r w:rsidR="00E535CD" w:rsidRPr="00D5464D">
        <w:rPr>
          <w:lang w:val="pt-BR"/>
        </w:rPr>
        <w:t>v)</w:t>
      </w:r>
      <w:r w:rsidR="00E045D9" w:rsidRPr="00D5464D">
        <w:rPr>
          <w:lang w:val="pt-BR"/>
        </w:rPr>
        <w:t xml:space="preserve"> </w:t>
      </w:r>
      <w:r w:rsidR="007208E4" w:rsidRPr="00D5464D">
        <w:rPr>
          <w:lang w:val="pt-BR"/>
        </w:rPr>
        <w:t xml:space="preserve">levar em consideração </w:t>
      </w:r>
      <w:r w:rsidR="002C330E" w:rsidRPr="00D5464D">
        <w:rPr>
          <w:lang w:val="pt-BR"/>
        </w:rPr>
        <w:t xml:space="preserve">a </w:t>
      </w:r>
      <w:r w:rsidR="00E535CD" w:rsidRPr="00D5464D">
        <w:rPr>
          <w:lang w:val="pt-BR"/>
        </w:rPr>
        <w:t>situa</w:t>
      </w:r>
      <w:r w:rsidR="00470ADC" w:rsidRPr="00D5464D">
        <w:rPr>
          <w:lang w:val="pt-BR"/>
        </w:rPr>
        <w:t>ção</w:t>
      </w:r>
      <w:r w:rsidR="00E535CD" w:rsidRPr="00D5464D">
        <w:rPr>
          <w:lang w:val="pt-BR"/>
        </w:rPr>
        <w:t xml:space="preserve"> particular</w:t>
      </w:r>
      <w:r w:rsidR="00470ADC" w:rsidRPr="00D5464D">
        <w:rPr>
          <w:lang w:val="pt-BR"/>
        </w:rPr>
        <w:t xml:space="preserve"> das </w:t>
      </w:r>
      <w:r w:rsidR="007208E4" w:rsidRPr="00D5464D">
        <w:rPr>
          <w:lang w:val="pt-BR"/>
        </w:rPr>
        <w:t>meninas.</w:t>
      </w:r>
      <w:r w:rsidR="00E535CD" w:rsidRPr="00D5464D">
        <w:rPr>
          <w:rStyle w:val="Refdenotaalpie"/>
          <w:lang w:val="pt-BR"/>
        </w:rPr>
        <w:footnoteReference w:id="464"/>
      </w:r>
    </w:p>
    <w:p w14:paraId="0508E85C" w14:textId="77777777" w:rsidR="00E535CD" w:rsidRPr="00D5464D" w:rsidRDefault="00E535CD" w:rsidP="00E535CD">
      <w:pPr>
        <w:tabs>
          <w:tab w:val="clear" w:pos="4419"/>
          <w:tab w:val="clear" w:pos="8838"/>
        </w:tabs>
        <w:jc w:val="both"/>
        <w:rPr>
          <w:lang w:val="pt-BR"/>
        </w:rPr>
      </w:pPr>
      <w:r w:rsidRPr="00D5464D">
        <w:rPr>
          <w:lang w:val="pt-BR"/>
        </w:rPr>
        <w:t xml:space="preserve"> </w:t>
      </w:r>
    </w:p>
    <w:p w14:paraId="41C6BB75" w14:textId="3B055268" w:rsidR="00B3636E" w:rsidRPr="00D5464D" w:rsidRDefault="002C330E" w:rsidP="00E535CD">
      <w:pPr>
        <w:numPr>
          <w:ilvl w:val="0"/>
          <w:numId w:val="1"/>
        </w:numPr>
        <w:tabs>
          <w:tab w:val="clear" w:pos="4419"/>
          <w:tab w:val="clear" w:pos="8838"/>
        </w:tabs>
        <w:jc w:val="both"/>
        <w:rPr>
          <w:lang w:val="pt-BR"/>
        </w:rPr>
      </w:pPr>
      <w:r w:rsidRPr="00D5464D">
        <w:rPr>
          <w:lang w:val="pt-BR"/>
        </w:rPr>
        <w:t>Os fatos</w:t>
      </w:r>
      <w:r w:rsidR="00E535CD" w:rsidRPr="00D5464D">
        <w:rPr>
          <w:lang w:val="pt-BR"/>
        </w:rPr>
        <w:t xml:space="preserve"> </w:t>
      </w:r>
      <w:r w:rsidR="00470ADC" w:rsidRPr="00D5464D">
        <w:rPr>
          <w:lang w:val="pt-BR"/>
        </w:rPr>
        <w:t xml:space="preserve">do </w:t>
      </w:r>
      <w:r w:rsidR="00A463CB" w:rsidRPr="00D5464D">
        <w:rPr>
          <w:lang w:val="pt-BR"/>
        </w:rPr>
        <w:t xml:space="preserve">presente caso </w:t>
      </w:r>
      <w:r w:rsidR="007208E4" w:rsidRPr="00D5464D">
        <w:rPr>
          <w:lang w:val="pt-BR"/>
        </w:rPr>
        <w:t xml:space="preserve">não deixam </w:t>
      </w:r>
      <w:r w:rsidR="00470ADC" w:rsidRPr="00D5464D">
        <w:rPr>
          <w:lang w:val="pt-BR"/>
        </w:rPr>
        <w:t>dúvida</w:t>
      </w:r>
      <w:r w:rsidR="00A463CB" w:rsidRPr="00D5464D">
        <w:rPr>
          <w:lang w:val="pt-BR"/>
        </w:rPr>
        <w:t xml:space="preserve"> </w:t>
      </w:r>
      <w:r w:rsidR="00DF57D3" w:rsidRPr="00D5464D">
        <w:rPr>
          <w:lang w:val="pt-BR"/>
        </w:rPr>
        <w:t xml:space="preserve">de </w:t>
      </w:r>
      <w:r w:rsidR="00E535CD" w:rsidRPr="00D5464D">
        <w:rPr>
          <w:lang w:val="pt-BR"/>
        </w:rPr>
        <w:t xml:space="preserve">que </w:t>
      </w:r>
      <w:r w:rsidR="00E42F61" w:rsidRPr="00D5464D">
        <w:rPr>
          <w:lang w:val="pt-BR"/>
        </w:rPr>
        <w:t xml:space="preserve">Antônio </w:t>
      </w:r>
      <w:r w:rsidR="00E535CD" w:rsidRPr="00D5464D">
        <w:rPr>
          <w:lang w:val="pt-BR"/>
        </w:rPr>
        <w:t>Francisco da Silva</w:t>
      </w:r>
      <w:r w:rsidR="00470ADC" w:rsidRPr="00D5464D">
        <w:rPr>
          <w:lang w:val="pt-BR"/>
        </w:rPr>
        <w:t xml:space="preserve"> foi </w:t>
      </w:r>
      <w:r w:rsidRPr="00D5464D">
        <w:rPr>
          <w:lang w:val="pt-BR"/>
        </w:rPr>
        <w:t>submetido</w:t>
      </w:r>
      <w:r w:rsidR="00E045D9" w:rsidRPr="00D5464D">
        <w:rPr>
          <w:lang w:val="pt-BR"/>
        </w:rPr>
        <w:t xml:space="preserve"> às </w:t>
      </w:r>
      <w:r w:rsidR="00E535CD" w:rsidRPr="00D5464D">
        <w:rPr>
          <w:lang w:val="pt-BR"/>
        </w:rPr>
        <w:t xml:space="preserve">formas de </w:t>
      </w:r>
      <w:r w:rsidR="00E045D9" w:rsidRPr="00D5464D">
        <w:rPr>
          <w:lang w:val="pt-BR"/>
        </w:rPr>
        <w:t>trabalho</w:t>
      </w:r>
      <w:r w:rsidR="00E535CD" w:rsidRPr="00D5464D">
        <w:rPr>
          <w:lang w:val="pt-BR"/>
        </w:rPr>
        <w:t xml:space="preserve"> indicadas</w:t>
      </w:r>
      <w:r w:rsidR="00350187" w:rsidRPr="00D5464D">
        <w:rPr>
          <w:lang w:val="pt-BR"/>
        </w:rPr>
        <w:t xml:space="preserve"> </w:t>
      </w:r>
      <w:r w:rsidR="007208E4" w:rsidRPr="00D5464D">
        <w:rPr>
          <w:lang w:val="pt-BR"/>
        </w:rPr>
        <w:t xml:space="preserve">anteriormente, pois conforme foi determinado </w:t>
      </w:r>
      <w:r w:rsidR="007208E4" w:rsidRPr="00D5464D">
        <w:rPr>
          <w:i/>
          <w:lang w:val="pt-BR"/>
        </w:rPr>
        <w:t xml:space="preserve">supra, </w:t>
      </w:r>
      <w:r w:rsidR="00470ADC" w:rsidRPr="00D5464D">
        <w:rPr>
          <w:lang w:val="pt-BR"/>
        </w:rPr>
        <w:t xml:space="preserve">foi </w:t>
      </w:r>
      <w:r w:rsidR="00E045D9" w:rsidRPr="00D5464D">
        <w:rPr>
          <w:lang w:val="pt-BR"/>
        </w:rPr>
        <w:t>vítima</w:t>
      </w:r>
      <w:r w:rsidR="00E535CD" w:rsidRPr="00D5464D">
        <w:rPr>
          <w:lang w:val="pt-BR"/>
        </w:rPr>
        <w:t xml:space="preserve"> de </w:t>
      </w:r>
      <w:r w:rsidR="000B376D" w:rsidRPr="00D5464D">
        <w:rPr>
          <w:lang w:val="pt-BR"/>
        </w:rPr>
        <w:t>escravidão</w:t>
      </w:r>
      <w:r w:rsidR="00E535CD" w:rsidRPr="00D5464D">
        <w:rPr>
          <w:lang w:val="pt-BR"/>
        </w:rPr>
        <w:t xml:space="preserve">. </w:t>
      </w:r>
      <w:r w:rsidRPr="00D5464D">
        <w:rPr>
          <w:lang w:val="pt-BR"/>
        </w:rPr>
        <w:t>Portanto</w:t>
      </w:r>
      <w:r w:rsidR="00E535CD" w:rsidRPr="00D5464D">
        <w:rPr>
          <w:lang w:val="pt-BR"/>
        </w:rPr>
        <w:t>,</w:t>
      </w:r>
      <w:r w:rsidR="00E045D9" w:rsidRPr="00D5464D">
        <w:rPr>
          <w:lang w:val="pt-BR"/>
        </w:rPr>
        <w:t xml:space="preserve"> uma </w:t>
      </w:r>
      <w:r w:rsidR="00E535CD" w:rsidRPr="00D5464D">
        <w:rPr>
          <w:lang w:val="pt-BR"/>
        </w:rPr>
        <w:t xml:space="preserve">vez </w:t>
      </w:r>
      <w:r w:rsidR="00737270" w:rsidRPr="00D5464D">
        <w:rPr>
          <w:lang w:val="pt-BR"/>
        </w:rPr>
        <w:t>conheci</w:t>
      </w:r>
      <w:r w:rsidR="00E535CD" w:rsidRPr="00D5464D">
        <w:rPr>
          <w:lang w:val="pt-BR"/>
        </w:rPr>
        <w:t>da</w:t>
      </w:r>
      <w:r w:rsidRPr="00D5464D">
        <w:rPr>
          <w:lang w:val="pt-BR"/>
        </w:rPr>
        <w:t xml:space="preserve"> a </w:t>
      </w:r>
      <w:r w:rsidR="00E535CD" w:rsidRPr="00D5464D">
        <w:rPr>
          <w:lang w:val="pt-BR"/>
        </w:rPr>
        <w:t>situa</w:t>
      </w:r>
      <w:r w:rsidR="00470ADC" w:rsidRPr="00D5464D">
        <w:rPr>
          <w:lang w:val="pt-BR"/>
        </w:rPr>
        <w:t>ção</w:t>
      </w:r>
      <w:r w:rsidR="00E535CD" w:rsidRPr="00D5464D">
        <w:rPr>
          <w:lang w:val="pt-BR"/>
        </w:rPr>
        <w:t xml:space="preserve"> </w:t>
      </w:r>
      <w:r w:rsidR="007E674A" w:rsidRPr="00D5464D">
        <w:rPr>
          <w:lang w:val="pt-BR"/>
        </w:rPr>
        <w:t>concreta</w:t>
      </w:r>
      <w:r w:rsidR="00E535CD" w:rsidRPr="00D5464D">
        <w:rPr>
          <w:lang w:val="pt-BR"/>
        </w:rPr>
        <w:t xml:space="preserve"> de </w:t>
      </w:r>
      <w:r w:rsidR="00E045D9" w:rsidRPr="00D5464D">
        <w:rPr>
          <w:lang w:val="pt-BR"/>
        </w:rPr>
        <w:t xml:space="preserve">violência e </w:t>
      </w:r>
      <w:r w:rsidR="000B376D" w:rsidRPr="00D5464D">
        <w:rPr>
          <w:lang w:val="pt-BR"/>
        </w:rPr>
        <w:t>escravidão</w:t>
      </w:r>
      <w:r w:rsidR="00470ADC" w:rsidRPr="00D5464D">
        <w:rPr>
          <w:lang w:val="pt-BR"/>
        </w:rPr>
        <w:t xml:space="preserve"> à qual </w:t>
      </w:r>
      <w:r w:rsidR="00230C71" w:rsidRPr="00D5464D">
        <w:rPr>
          <w:lang w:val="pt-BR"/>
        </w:rPr>
        <w:t>a criança</w:t>
      </w:r>
      <w:r w:rsidRPr="00D5464D">
        <w:rPr>
          <w:lang w:val="pt-BR"/>
        </w:rPr>
        <w:t xml:space="preserve"> havia</w:t>
      </w:r>
      <w:r w:rsidR="00E535CD" w:rsidRPr="00D5464D">
        <w:rPr>
          <w:lang w:val="pt-BR"/>
        </w:rPr>
        <w:t xml:space="preserve"> sido </w:t>
      </w:r>
      <w:r w:rsidRPr="00D5464D">
        <w:rPr>
          <w:lang w:val="pt-BR"/>
        </w:rPr>
        <w:t>submetid</w:t>
      </w:r>
      <w:r w:rsidR="007208E4" w:rsidRPr="00D5464D">
        <w:rPr>
          <w:lang w:val="pt-BR"/>
        </w:rPr>
        <w:t>a</w:t>
      </w:r>
      <w:r w:rsidR="00470ADC" w:rsidRPr="00D5464D">
        <w:rPr>
          <w:lang w:val="pt-BR"/>
        </w:rPr>
        <w:t>, e</w:t>
      </w:r>
      <w:r w:rsidRPr="00D5464D">
        <w:rPr>
          <w:lang w:val="pt-BR"/>
        </w:rPr>
        <w:t xml:space="preserve"> a possibilidade </w:t>
      </w:r>
      <w:r w:rsidR="00E535CD" w:rsidRPr="00D5464D">
        <w:rPr>
          <w:lang w:val="pt-BR"/>
        </w:rPr>
        <w:t xml:space="preserve">de que </w:t>
      </w:r>
      <w:r w:rsidRPr="00D5464D">
        <w:rPr>
          <w:lang w:val="pt-BR"/>
        </w:rPr>
        <w:t>outr</w:t>
      </w:r>
      <w:r w:rsidR="00A1358C" w:rsidRPr="00D5464D">
        <w:rPr>
          <w:lang w:val="pt-BR"/>
        </w:rPr>
        <w:t>as crianças</w:t>
      </w:r>
      <w:r w:rsidR="00E535CD" w:rsidRPr="00D5464D">
        <w:rPr>
          <w:lang w:val="pt-BR"/>
        </w:rPr>
        <w:t xml:space="preserve"> </w:t>
      </w:r>
      <w:r w:rsidR="00470ADC" w:rsidRPr="00D5464D">
        <w:rPr>
          <w:lang w:val="pt-BR"/>
        </w:rPr>
        <w:t>estivessem</w:t>
      </w:r>
      <w:r w:rsidR="00E045D9" w:rsidRPr="00D5464D">
        <w:rPr>
          <w:lang w:val="pt-BR"/>
        </w:rPr>
        <w:t xml:space="preserve"> na </w:t>
      </w:r>
      <w:r w:rsidRPr="00D5464D">
        <w:rPr>
          <w:lang w:val="pt-BR"/>
        </w:rPr>
        <w:t>mesm</w:t>
      </w:r>
      <w:r w:rsidR="00E535CD" w:rsidRPr="00D5464D">
        <w:rPr>
          <w:lang w:val="pt-BR"/>
        </w:rPr>
        <w:t>a condi</w:t>
      </w:r>
      <w:r w:rsidR="00470ADC" w:rsidRPr="00D5464D">
        <w:rPr>
          <w:lang w:val="pt-BR"/>
        </w:rPr>
        <w:t>ção</w:t>
      </w:r>
      <w:r w:rsidR="00E535CD" w:rsidRPr="00D5464D">
        <w:rPr>
          <w:lang w:val="pt-BR"/>
        </w:rPr>
        <w:t xml:space="preserve">, </w:t>
      </w:r>
      <w:r w:rsidR="007208E4" w:rsidRPr="00D5464D">
        <w:rPr>
          <w:lang w:val="pt-BR"/>
        </w:rPr>
        <w:t xml:space="preserve">bem </w:t>
      </w:r>
      <w:r w:rsidR="00E535CD" w:rsidRPr="00D5464D">
        <w:rPr>
          <w:lang w:val="pt-BR"/>
        </w:rPr>
        <w:t>como</w:t>
      </w:r>
      <w:r w:rsidRPr="00D5464D">
        <w:rPr>
          <w:lang w:val="pt-BR"/>
        </w:rPr>
        <w:t xml:space="preserve"> a gravidade </w:t>
      </w:r>
      <w:r w:rsidR="00470ADC" w:rsidRPr="00D5464D">
        <w:rPr>
          <w:lang w:val="pt-BR"/>
        </w:rPr>
        <w:t xml:space="preserve">dos </w:t>
      </w:r>
      <w:r w:rsidRPr="00D5464D">
        <w:rPr>
          <w:lang w:val="pt-BR"/>
        </w:rPr>
        <w:t>fatos</w:t>
      </w:r>
      <w:r w:rsidR="00470ADC" w:rsidRPr="00D5464D">
        <w:rPr>
          <w:lang w:val="pt-BR"/>
        </w:rPr>
        <w:t xml:space="preserve"> em questão</w:t>
      </w:r>
      <w:r w:rsidR="00E535CD" w:rsidRPr="00D5464D">
        <w:rPr>
          <w:lang w:val="pt-BR"/>
        </w:rPr>
        <w:t>,</w:t>
      </w:r>
      <w:r w:rsidR="00470ADC" w:rsidRPr="00D5464D">
        <w:rPr>
          <w:lang w:val="pt-BR"/>
        </w:rPr>
        <w:t xml:space="preserve"> o </w:t>
      </w:r>
      <w:r w:rsidR="00E535CD" w:rsidRPr="00D5464D">
        <w:rPr>
          <w:lang w:val="pt-BR"/>
        </w:rPr>
        <w:t xml:space="preserve">Estado </w:t>
      </w:r>
      <w:r w:rsidR="00C91CB1" w:rsidRPr="00D5464D">
        <w:rPr>
          <w:lang w:val="pt-BR"/>
        </w:rPr>
        <w:t>deveria</w:t>
      </w:r>
      <w:r w:rsidR="00E535CD" w:rsidRPr="00D5464D">
        <w:rPr>
          <w:lang w:val="pt-BR"/>
        </w:rPr>
        <w:t xml:space="preserve"> </w:t>
      </w:r>
      <w:r w:rsidR="007208E4" w:rsidRPr="00D5464D">
        <w:rPr>
          <w:lang w:val="pt-BR"/>
        </w:rPr>
        <w:t xml:space="preserve">ter adotado </w:t>
      </w:r>
      <w:r w:rsidRPr="00D5464D">
        <w:rPr>
          <w:lang w:val="pt-BR"/>
        </w:rPr>
        <w:t xml:space="preserve">as </w:t>
      </w:r>
      <w:r w:rsidR="00E535CD" w:rsidRPr="00D5464D">
        <w:rPr>
          <w:lang w:val="pt-BR"/>
        </w:rPr>
        <w:t xml:space="preserve">medidas </w:t>
      </w:r>
      <w:r w:rsidR="00E045D9" w:rsidRPr="00D5464D">
        <w:rPr>
          <w:lang w:val="pt-BR"/>
        </w:rPr>
        <w:t>eficazes</w:t>
      </w:r>
      <w:r w:rsidR="00E535CD" w:rsidRPr="00D5464D">
        <w:rPr>
          <w:lang w:val="pt-BR"/>
        </w:rPr>
        <w:t xml:space="preserve"> para </w:t>
      </w:r>
      <w:r w:rsidR="00A1358C" w:rsidRPr="00D5464D">
        <w:rPr>
          <w:lang w:val="pt-BR"/>
        </w:rPr>
        <w:t xml:space="preserve">por </w:t>
      </w:r>
      <w:r w:rsidR="00470ADC" w:rsidRPr="00D5464D">
        <w:rPr>
          <w:lang w:val="pt-BR"/>
        </w:rPr>
        <w:t xml:space="preserve">fim à </w:t>
      </w:r>
      <w:r w:rsidR="00E535CD" w:rsidRPr="00D5464D">
        <w:rPr>
          <w:lang w:val="pt-BR"/>
        </w:rPr>
        <w:t>situa</w:t>
      </w:r>
      <w:r w:rsidR="00470ADC" w:rsidRPr="00D5464D">
        <w:rPr>
          <w:lang w:val="pt-BR"/>
        </w:rPr>
        <w:t>ção</w:t>
      </w:r>
      <w:r w:rsidR="00E535CD" w:rsidRPr="00D5464D">
        <w:rPr>
          <w:lang w:val="pt-BR"/>
        </w:rPr>
        <w:t xml:space="preserve"> de </w:t>
      </w:r>
      <w:r w:rsidR="000B376D" w:rsidRPr="00D5464D">
        <w:rPr>
          <w:lang w:val="pt-BR"/>
        </w:rPr>
        <w:t>escravidão</w:t>
      </w:r>
      <w:r w:rsidR="00E535CD" w:rsidRPr="00D5464D">
        <w:rPr>
          <w:lang w:val="pt-BR"/>
        </w:rPr>
        <w:t xml:space="preserve"> identificada</w:t>
      </w:r>
      <w:r w:rsidR="00E045D9" w:rsidRPr="00D5464D">
        <w:rPr>
          <w:lang w:val="pt-BR"/>
        </w:rPr>
        <w:t xml:space="preserve"> e </w:t>
      </w:r>
      <w:r w:rsidR="00E535CD" w:rsidRPr="00D5464D">
        <w:rPr>
          <w:lang w:val="pt-BR"/>
        </w:rPr>
        <w:t xml:space="preserve">para </w:t>
      </w:r>
      <w:r w:rsidR="00470ADC" w:rsidRPr="00D5464D">
        <w:rPr>
          <w:lang w:val="pt-BR"/>
        </w:rPr>
        <w:t>assegurar</w:t>
      </w:r>
      <w:r w:rsidRPr="00D5464D">
        <w:rPr>
          <w:lang w:val="pt-BR"/>
        </w:rPr>
        <w:t xml:space="preserve"> a </w:t>
      </w:r>
      <w:r w:rsidR="00E045D9" w:rsidRPr="00D5464D">
        <w:rPr>
          <w:lang w:val="pt-BR"/>
        </w:rPr>
        <w:t>reabilitação</w:t>
      </w:r>
      <w:r w:rsidR="00E535CD" w:rsidRPr="00D5464D">
        <w:rPr>
          <w:lang w:val="pt-BR"/>
        </w:rPr>
        <w:t xml:space="preserve"> e inser</w:t>
      </w:r>
      <w:r w:rsidR="00470ADC" w:rsidRPr="00D5464D">
        <w:rPr>
          <w:lang w:val="pt-BR"/>
        </w:rPr>
        <w:t>ção</w:t>
      </w:r>
      <w:r w:rsidR="00E535CD" w:rsidRPr="00D5464D">
        <w:rPr>
          <w:lang w:val="pt-BR"/>
        </w:rPr>
        <w:t xml:space="preserve"> social de </w:t>
      </w:r>
      <w:r w:rsidR="00E42F61" w:rsidRPr="00D5464D">
        <w:rPr>
          <w:lang w:val="pt-BR"/>
        </w:rPr>
        <w:t xml:space="preserve">Antônio </w:t>
      </w:r>
      <w:r w:rsidR="00E535CD" w:rsidRPr="00D5464D">
        <w:rPr>
          <w:lang w:val="pt-BR"/>
        </w:rPr>
        <w:t xml:space="preserve">Francisco da Silva, </w:t>
      </w:r>
      <w:r w:rsidR="007208E4" w:rsidRPr="00D5464D">
        <w:rPr>
          <w:lang w:val="pt-BR"/>
        </w:rPr>
        <w:t xml:space="preserve">bem </w:t>
      </w:r>
      <w:r w:rsidR="00E535CD" w:rsidRPr="00D5464D">
        <w:rPr>
          <w:lang w:val="pt-BR"/>
        </w:rPr>
        <w:t xml:space="preserve">como </w:t>
      </w:r>
      <w:r w:rsidR="00470ADC" w:rsidRPr="00D5464D">
        <w:rPr>
          <w:lang w:val="pt-BR"/>
        </w:rPr>
        <w:t>assegurar</w:t>
      </w:r>
      <w:r w:rsidR="00E535CD" w:rsidRPr="00D5464D">
        <w:rPr>
          <w:lang w:val="pt-BR"/>
        </w:rPr>
        <w:t xml:space="preserve"> s</w:t>
      </w:r>
      <w:r w:rsidR="007208E4" w:rsidRPr="00D5464D">
        <w:rPr>
          <w:lang w:val="pt-BR"/>
        </w:rPr>
        <w:t>e</w:t>
      </w:r>
      <w:r w:rsidR="00E535CD" w:rsidRPr="00D5464D">
        <w:rPr>
          <w:lang w:val="pt-BR"/>
        </w:rPr>
        <w:t xml:space="preserve">u </w:t>
      </w:r>
      <w:r w:rsidR="00470ADC" w:rsidRPr="00D5464D">
        <w:rPr>
          <w:lang w:val="pt-BR"/>
        </w:rPr>
        <w:t xml:space="preserve">acesso à </w:t>
      </w:r>
      <w:r w:rsidR="00E535CD" w:rsidRPr="00D5464D">
        <w:rPr>
          <w:lang w:val="pt-BR"/>
        </w:rPr>
        <w:t>educa</w:t>
      </w:r>
      <w:r w:rsidR="00470ADC" w:rsidRPr="00D5464D">
        <w:rPr>
          <w:lang w:val="pt-BR"/>
        </w:rPr>
        <w:t>ção</w:t>
      </w:r>
      <w:r w:rsidR="007208E4" w:rsidRPr="00D5464D">
        <w:rPr>
          <w:lang w:val="pt-BR"/>
        </w:rPr>
        <w:t xml:space="preserve"> básica primá</w:t>
      </w:r>
      <w:r w:rsidR="00E535CD" w:rsidRPr="00D5464D">
        <w:rPr>
          <w:lang w:val="pt-BR"/>
        </w:rPr>
        <w:t>ria</w:t>
      </w:r>
      <w:r w:rsidR="00E045D9" w:rsidRPr="00D5464D">
        <w:rPr>
          <w:lang w:val="pt-BR"/>
        </w:rPr>
        <w:t xml:space="preserve"> e,</w:t>
      </w:r>
      <w:r w:rsidR="00E535CD" w:rsidRPr="00D5464D">
        <w:rPr>
          <w:lang w:val="pt-BR"/>
        </w:rPr>
        <w:t xml:space="preserve"> </w:t>
      </w:r>
      <w:r w:rsidR="007208E4" w:rsidRPr="00D5464D">
        <w:rPr>
          <w:lang w:val="pt-BR"/>
        </w:rPr>
        <w:t xml:space="preserve">caso fosse </w:t>
      </w:r>
      <w:r w:rsidR="00E045D9" w:rsidRPr="00D5464D">
        <w:rPr>
          <w:lang w:val="pt-BR"/>
        </w:rPr>
        <w:t>possível,</w:t>
      </w:r>
      <w:r w:rsidR="00470ADC" w:rsidRPr="00D5464D">
        <w:rPr>
          <w:lang w:val="pt-BR"/>
        </w:rPr>
        <w:t xml:space="preserve"> à </w:t>
      </w:r>
      <w:r w:rsidR="00E535CD" w:rsidRPr="00D5464D">
        <w:rPr>
          <w:lang w:val="pt-BR"/>
        </w:rPr>
        <w:t>forma</w:t>
      </w:r>
      <w:r w:rsidR="00470ADC" w:rsidRPr="00D5464D">
        <w:rPr>
          <w:lang w:val="pt-BR"/>
        </w:rPr>
        <w:t>ção</w:t>
      </w:r>
      <w:r w:rsidR="00E535CD" w:rsidRPr="00D5464D">
        <w:rPr>
          <w:lang w:val="pt-BR"/>
        </w:rPr>
        <w:t xml:space="preserve"> </w:t>
      </w:r>
      <w:r w:rsidR="00350187" w:rsidRPr="00D5464D">
        <w:rPr>
          <w:lang w:val="pt-BR"/>
        </w:rPr>
        <w:t>profissional</w:t>
      </w:r>
      <w:r w:rsidR="00A66BE0" w:rsidRPr="00D5464D">
        <w:rPr>
          <w:lang w:val="pt-BR"/>
        </w:rPr>
        <w:t>.</w:t>
      </w:r>
      <w:r w:rsidR="00E535CD" w:rsidRPr="00D5464D">
        <w:rPr>
          <w:lang w:val="pt-BR"/>
        </w:rPr>
        <w:t xml:space="preserve"> </w:t>
      </w:r>
    </w:p>
    <w:p w14:paraId="5AE54A8B" w14:textId="77777777" w:rsidR="001217FA" w:rsidRPr="00D5464D" w:rsidRDefault="001217FA" w:rsidP="00242CDD">
      <w:pPr>
        <w:tabs>
          <w:tab w:val="clear" w:pos="4419"/>
          <w:tab w:val="clear" w:pos="8838"/>
        </w:tabs>
        <w:jc w:val="both"/>
        <w:rPr>
          <w:lang w:val="pt-BR"/>
        </w:rPr>
      </w:pPr>
    </w:p>
    <w:p w14:paraId="2969A59E" w14:textId="0DD90BFE" w:rsidR="001E1449" w:rsidRPr="00D5464D" w:rsidRDefault="001E1449" w:rsidP="001E1449">
      <w:pPr>
        <w:pStyle w:val="Ttulo3"/>
        <w:rPr>
          <w:lang w:val="pt-BR"/>
        </w:rPr>
      </w:pPr>
      <w:bookmarkStart w:id="411" w:name="_Toc468433931"/>
      <w:r w:rsidRPr="00D5464D">
        <w:rPr>
          <w:lang w:val="pt-BR"/>
        </w:rPr>
        <w:t>B.12</w:t>
      </w:r>
      <w:r w:rsidR="00CB7E29" w:rsidRPr="00D5464D">
        <w:rPr>
          <w:lang w:val="pt-BR"/>
        </w:rPr>
        <w:t>.</w:t>
      </w:r>
      <w:r w:rsidRPr="00D5464D">
        <w:rPr>
          <w:lang w:val="pt-BR"/>
        </w:rPr>
        <w:t xml:space="preserve"> Discrimina</w:t>
      </w:r>
      <w:r w:rsidR="00470ADC" w:rsidRPr="00D5464D">
        <w:rPr>
          <w:lang w:val="pt-BR"/>
        </w:rPr>
        <w:t>ção</w:t>
      </w:r>
      <w:r w:rsidRPr="00D5464D">
        <w:rPr>
          <w:lang w:val="pt-BR"/>
        </w:rPr>
        <w:t xml:space="preserve"> </w:t>
      </w:r>
      <w:r w:rsidR="00470ADC" w:rsidRPr="00D5464D">
        <w:rPr>
          <w:lang w:val="pt-BR"/>
        </w:rPr>
        <w:t>estrutura</w:t>
      </w:r>
      <w:r w:rsidRPr="00D5464D">
        <w:rPr>
          <w:lang w:val="pt-BR"/>
        </w:rPr>
        <w:t>l</w:t>
      </w:r>
      <w:bookmarkEnd w:id="411"/>
    </w:p>
    <w:p w14:paraId="5503602F" w14:textId="77777777" w:rsidR="001E1449" w:rsidRPr="00D5464D" w:rsidRDefault="001E1449" w:rsidP="001E1449">
      <w:pPr>
        <w:pStyle w:val="Prrafodelista"/>
        <w:ind w:left="0"/>
        <w:rPr>
          <w:lang w:val="pt-BR"/>
        </w:rPr>
      </w:pPr>
    </w:p>
    <w:p w14:paraId="0D1A83D0" w14:textId="7A20D265" w:rsidR="006C5E11" w:rsidRPr="00D5464D" w:rsidRDefault="00A1358C" w:rsidP="006C5E11">
      <w:pPr>
        <w:pStyle w:val="Prrafodelista"/>
        <w:numPr>
          <w:ilvl w:val="0"/>
          <w:numId w:val="1"/>
        </w:numPr>
        <w:contextualSpacing w:val="0"/>
        <w:rPr>
          <w:lang w:val="pt-BR"/>
        </w:rPr>
      </w:pPr>
      <w:r w:rsidRPr="00D5464D">
        <w:rPr>
          <w:lang w:val="pt-BR"/>
        </w:rPr>
        <w:t>Com respeito</w:t>
      </w:r>
      <w:r w:rsidR="00470ADC" w:rsidRPr="00D5464D">
        <w:rPr>
          <w:lang w:val="pt-BR"/>
        </w:rPr>
        <w:t xml:space="preserve"> à </w:t>
      </w:r>
      <w:r w:rsidR="006C5E11" w:rsidRPr="00D5464D">
        <w:rPr>
          <w:lang w:val="pt-BR"/>
        </w:rPr>
        <w:t>discrimina</w:t>
      </w:r>
      <w:r w:rsidR="00470ADC" w:rsidRPr="00D5464D">
        <w:rPr>
          <w:lang w:val="pt-BR"/>
        </w:rPr>
        <w:t>ção</w:t>
      </w:r>
      <w:r w:rsidR="006C5E11" w:rsidRPr="00D5464D">
        <w:rPr>
          <w:lang w:val="pt-BR"/>
        </w:rPr>
        <w:t xml:space="preserve"> </w:t>
      </w:r>
      <w:r w:rsidR="00470ADC" w:rsidRPr="00D5464D">
        <w:rPr>
          <w:lang w:val="pt-BR"/>
        </w:rPr>
        <w:t>estrutura</w:t>
      </w:r>
      <w:r w:rsidR="006C5E11" w:rsidRPr="00D5464D">
        <w:rPr>
          <w:lang w:val="pt-BR"/>
        </w:rPr>
        <w:t>l,</w:t>
      </w:r>
      <w:r w:rsidR="002C330E" w:rsidRPr="00D5464D">
        <w:rPr>
          <w:lang w:val="pt-BR"/>
        </w:rPr>
        <w:t xml:space="preserve"> a </w:t>
      </w:r>
      <w:r w:rsidR="006C5E11" w:rsidRPr="00D5464D">
        <w:rPr>
          <w:lang w:val="pt-BR"/>
        </w:rPr>
        <w:t>Corte</w:t>
      </w:r>
      <w:r w:rsidR="002C330E" w:rsidRPr="00D5464D">
        <w:rPr>
          <w:lang w:val="pt-BR"/>
        </w:rPr>
        <w:t xml:space="preserve"> </w:t>
      </w:r>
      <w:r w:rsidR="001179F1" w:rsidRPr="00D5464D">
        <w:rPr>
          <w:lang w:val="pt-BR"/>
        </w:rPr>
        <w:t>registra</w:t>
      </w:r>
      <w:r w:rsidR="002C330E" w:rsidRPr="00D5464D">
        <w:rPr>
          <w:lang w:val="pt-BR"/>
        </w:rPr>
        <w:t xml:space="preserve"> a </w:t>
      </w:r>
      <w:r w:rsidR="00E045D9" w:rsidRPr="00D5464D">
        <w:rPr>
          <w:lang w:val="pt-BR"/>
        </w:rPr>
        <w:t>inclusão</w:t>
      </w:r>
      <w:r w:rsidR="00470ADC" w:rsidRPr="00D5464D">
        <w:rPr>
          <w:lang w:val="pt-BR"/>
        </w:rPr>
        <w:t xml:space="preserve"> da </w:t>
      </w:r>
      <w:r w:rsidR="000A5049" w:rsidRPr="00D5464D">
        <w:rPr>
          <w:lang w:val="pt-BR"/>
        </w:rPr>
        <w:t xml:space="preserve">alegada </w:t>
      </w:r>
      <w:r w:rsidR="006C5E11" w:rsidRPr="00D5464D">
        <w:rPr>
          <w:lang w:val="pt-BR"/>
        </w:rPr>
        <w:t>viola</w:t>
      </w:r>
      <w:r w:rsidR="00470ADC" w:rsidRPr="00D5464D">
        <w:rPr>
          <w:lang w:val="pt-BR"/>
        </w:rPr>
        <w:t>ção</w:t>
      </w:r>
      <w:r w:rsidR="006C5E11" w:rsidRPr="00D5464D">
        <w:rPr>
          <w:lang w:val="pt-BR"/>
        </w:rPr>
        <w:t xml:space="preserve"> </w:t>
      </w:r>
      <w:r w:rsidR="00470ADC" w:rsidRPr="00D5464D">
        <w:rPr>
          <w:lang w:val="pt-BR"/>
        </w:rPr>
        <w:t>do artigo</w:t>
      </w:r>
      <w:r w:rsidR="006C5E11" w:rsidRPr="00D5464D">
        <w:rPr>
          <w:lang w:val="pt-BR"/>
        </w:rPr>
        <w:t xml:space="preserve"> 24</w:t>
      </w:r>
      <w:r w:rsidR="00470ADC" w:rsidRPr="00D5464D">
        <w:rPr>
          <w:lang w:val="pt-BR"/>
        </w:rPr>
        <w:t xml:space="preserve"> da </w:t>
      </w:r>
      <w:r w:rsidR="006C5E11" w:rsidRPr="00D5464D">
        <w:rPr>
          <w:lang w:val="pt-BR"/>
        </w:rPr>
        <w:t>Conven</w:t>
      </w:r>
      <w:r w:rsidR="00470ADC" w:rsidRPr="00D5464D">
        <w:rPr>
          <w:lang w:val="pt-BR"/>
        </w:rPr>
        <w:t>ção</w:t>
      </w:r>
      <w:r w:rsidR="006C5E11" w:rsidRPr="00D5464D">
        <w:rPr>
          <w:lang w:val="pt-BR"/>
        </w:rPr>
        <w:t xml:space="preserve"> (</w:t>
      </w:r>
      <w:r w:rsidR="002C330E" w:rsidRPr="00D5464D">
        <w:rPr>
          <w:lang w:val="pt-BR"/>
        </w:rPr>
        <w:t xml:space="preserve">Igualdade </w:t>
      </w:r>
      <w:r w:rsidR="00470ADC" w:rsidRPr="00D5464D">
        <w:rPr>
          <w:lang w:val="pt-BR"/>
        </w:rPr>
        <w:t xml:space="preserve">perante a </w:t>
      </w:r>
      <w:r w:rsidR="00230C71" w:rsidRPr="00D5464D">
        <w:rPr>
          <w:lang w:val="pt-BR"/>
        </w:rPr>
        <w:t>Lei)</w:t>
      </w:r>
      <w:r w:rsidR="00E045D9" w:rsidRPr="00D5464D">
        <w:rPr>
          <w:lang w:val="pt-BR"/>
        </w:rPr>
        <w:t xml:space="preserve"> n</w:t>
      </w:r>
      <w:r w:rsidR="00A03688" w:rsidRPr="00D5464D">
        <w:rPr>
          <w:lang w:val="pt-BR"/>
        </w:rPr>
        <w:t>as</w:t>
      </w:r>
      <w:r w:rsidR="00E045D9" w:rsidRPr="00D5464D">
        <w:rPr>
          <w:lang w:val="pt-BR"/>
        </w:rPr>
        <w:t xml:space="preserve"> </w:t>
      </w:r>
      <w:r w:rsidR="00C91CB1" w:rsidRPr="00D5464D">
        <w:rPr>
          <w:lang w:val="pt-BR"/>
        </w:rPr>
        <w:t>alegações finais escritas</w:t>
      </w:r>
      <w:r w:rsidR="00470ADC" w:rsidRPr="00D5464D">
        <w:rPr>
          <w:lang w:val="pt-BR"/>
        </w:rPr>
        <w:t xml:space="preserve"> dos </w:t>
      </w:r>
      <w:r w:rsidR="00EB1CE9" w:rsidRPr="00D5464D">
        <w:rPr>
          <w:lang w:val="pt-BR"/>
        </w:rPr>
        <w:t>representante</w:t>
      </w:r>
      <w:r w:rsidR="006C5E11" w:rsidRPr="00D5464D">
        <w:rPr>
          <w:lang w:val="pt-BR"/>
        </w:rPr>
        <w:t>s,</w:t>
      </w:r>
      <w:r w:rsidR="002C330E" w:rsidRPr="00D5464D">
        <w:rPr>
          <w:lang w:val="pt-BR"/>
        </w:rPr>
        <w:t xml:space="preserve"> sem </w:t>
      </w:r>
      <w:r w:rsidR="006C5E11" w:rsidRPr="00D5464D">
        <w:rPr>
          <w:lang w:val="pt-BR"/>
        </w:rPr>
        <w:t xml:space="preserve">que </w:t>
      </w:r>
      <w:r w:rsidR="002C330E" w:rsidRPr="00D5464D">
        <w:rPr>
          <w:lang w:val="pt-BR"/>
        </w:rPr>
        <w:t xml:space="preserve">tenham apresentado </w:t>
      </w:r>
      <w:r w:rsidR="00A03688" w:rsidRPr="00D5464D">
        <w:rPr>
          <w:lang w:val="pt-BR"/>
        </w:rPr>
        <w:t xml:space="preserve">uma </w:t>
      </w:r>
      <w:r w:rsidR="00C91CB1" w:rsidRPr="00D5464D">
        <w:rPr>
          <w:lang w:val="pt-BR"/>
        </w:rPr>
        <w:t>alegação</w:t>
      </w:r>
      <w:r w:rsidR="006C5E11" w:rsidRPr="00D5464D">
        <w:rPr>
          <w:lang w:val="pt-BR"/>
        </w:rPr>
        <w:t xml:space="preserve"> o</w:t>
      </w:r>
      <w:r w:rsidR="00A03688" w:rsidRPr="00D5464D">
        <w:rPr>
          <w:lang w:val="pt-BR"/>
        </w:rPr>
        <w:t>u</w:t>
      </w:r>
      <w:r w:rsidR="006C5E11" w:rsidRPr="00D5464D">
        <w:rPr>
          <w:lang w:val="pt-BR"/>
        </w:rPr>
        <w:t xml:space="preserve"> explica</w:t>
      </w:r>
      <w:r w:rsidR="00470ADC" w:rsidRPr="00D5464D">
        <w:rPr>
          <w:lang w:val="pt-BR"/>
        </w:rPr>
        <w:t>ção</w:t>
      </w:r>
      <w:r w:rsidR="006C5E11" w:rsidRPr="00D5464D">
        <w:rPr>
          <w:lang w:val="pt-BR"/>
        </w:rPr>
        <w:t xml:space="preserve"> para</w:t>
      </w:r>
      <w:r w:rsidR="00470ADC" w:rsidRPr="00D5464D">
        <w:rPr>
          <w:lang w:val="pt-BR"/>
        </w:rPr>
        <w:t xml:space="preserve"> essa </w:t>
      </w:r>
      <w:r w:rsidR="00E045D9" w:rsidRPr="00D5464D">
        <w:rPr>
          <w:lang w:val="pt-BR"/>
        </w:rPr>
        <w:t xml:space="preserve">inclusão e </w:t>
      </w:r>
      <w:r w:rsidR="00A03688" w:rsidRPr="00D5464D">
        <w:rPr>
          <w:lang w:val="pt-BR"/>
        </w:rPr>
        <w:t xml:space="preserve">mudança </w:t>
      </w:r>
      <w:r w:rsidR="006C5E11" w:rsidRPr="00D5464D">
        <w:rPr>
          <w:lang w:val="pt-BR"/>
        </w:rPr>
        <w:t>de postura.</w:t>
      </w:r>
      <w:r w:rsidR="00470ADC" w:rsidRPr="00D5464D">
        <w:rPr>
          <w:lang w:val="pt-BR"/>
        </w:rPr>
        <w:t xml:space="preserve"> </w:t>
      </w:r>
      <w:r w:rsidR="00A03688" w:rsidRPr="00D5464D">
        <w:rPr>
          <w:lang w:val="pt-BR"/>
        </w:rPr>
        <w:t>N</w:t>
      </w:r>
      <w:r w:rsidR="00737270" w:rsidRPr="00D5464D">
        <w:rPr>
          <w:lang w:val="pt-BR"/>
        </w:rPr>
        <w:t>esse</w:t>
      </w:r>
      <w:r w:rsidR="00470ADC" w:rsidRPr="00D5464D">
        <w:rPr>
          <w:lang w:val="pt-BR"/>
        </w:rPr>
        <w:t xml:space="preserve"> </w:t>
      </w:r>
      <w:r w:rsidR="006C5E11" w:rsidRPr="00D5464D">
        <w:rPr>
          <w:lang w:val="pt-BR"/>
        </w:rPr>
        <w:t>sentido,</w:t>
      </w:r>
      <w:r w:rsidR="002C330E" w:rsidRPr="00D5464D">
        <w:rPr>
          <w:lang w:val="pt-BR"/>
        </w:rPr>
        <w:t xml:space="preserve"> a </w:t>
      </w:r>
      <w:r w:rsidR="006C5E11" w:rsidRPr="00D5464D">
        <w:rPr>
          <w:lang w:val="pt-BR"/>
        </w:rPr>
        <w:t xml:space="preserve">Corte </w:t>
      </w:r>
      <w:r w:rsidR="00E045D9" w:rsidRPr="00D5464D">
        <w:rPr>
          <w:lang w:val="pt-BR"/>
        </w:rPr>
        <w:t>recorda</w:t>
      </w:r>
      <w:r w:rsidR="006C5E11" w:rsidRPr="00D5464D">
        <w:rPr>
          <w:lang w:val="pt-BR"/>
        </w:rPr>
        <w:t xml:space="preserve"> </w:t>
      </w:r>
      <w:r w:rsidR="000B2B14" w:rsidRPr="00D5464D">
        <w:rPr>
          <w:lang w:val="pt-BR"/>
        </w:rPr>
        <w:t xml:space="preserve">que, </w:t>
      </w:r>
      <w:r w:rsidR="00A03688" w:rsidRPr="00D5464D">
        <w:rPr>
          <w:lang w:val="pt-BR"/>
        </w:rPr>
        <w:t xml:space="preserve">à medida em que </w:t>
      </w:r>
      <w:r w:rsidR="002C330E" w:rsidRPr="00D5464D">
        <w:rPr>
          <w:lang w:val="pt-BR"/>
        </w:rPr>
        <w:t>a obrigação</w:t>
      </w:r>
      <w:r w:rsidR="006C5E11" w:rsidRPr="00D5464D">
        <w:rPr>
          <w:lang w:val="pt-BR"/>
        </w:rPr>
        <w:t xml:space="preserve"> </w:t>
      </w:r>
      <w:r w:rsidR="002C330E" w:rsidRPr="00D5464D">
        <w:rPr>
          <w:lang w:val="pt-BR"/>
        </w:rPr>
        <w:t>geral</w:t>
      </w:r>
      <w:r w:rsidR="006C5E11" w:rsidRPr="00D5464D">
        <w:rPr>
          <w:lang w:val="pt-BR"/>
        </w:rPr>
        <w:t xml:space="preserve"> </w:t>
      </w:r>
      <w:r w:rsidR="00470ADC" w:rsidRPr="00D5464D">
        <w:rPr>
          <w:lang w:val="pt-BR"/>
        </w:rPr>
        <w:t>do artigo</w:t>
      </w:r>
      <w:r w:rsidR="006C5E11" w:rsidRPr="00D5464D">
        <w:rPr>
          <w:lang w:val="pt-BR"/>
        </w:rPr>
        <w:t xml:space="preserve"> 1.1 se </w:t>
      </w:r>
      <w:r w:rsidR="002C330E" w:rsidRPr="00D5464D">
        <w:rPr>
          <w:lang w:val="pt-BR"/>
        </w:rPr>
        <w:t>refere</w:t>
      </w:r>
      <w:r w:rsidR="00470ADC" w:rsidRPr="00D5464D">
        <w:rPr>
          <w:lang w:val="pt-BR"/>
        </w:rPr>
        <w:t xml:space="preserve"> ao dever</w:t>
      </w:r>
      <w:r w:rsidR="006C5E11" w:rsidRPr="00D5464D">
        <w:rPr>
          <w:lang w:val="pt-BR"/>
        </w:rPr>
        <w:t xml:space="preserve"> </w:t>
      </w:r>
      <w:r w:rsidR="00470ADC" w:rsidRPr="00D5464D">
        <w:rPr>
          <w:lang w:val="pt-BR"/>
        </w:rPr>
        <w:t xml:space="preserve">do </w:t>
      </w:r>
      <w:r w:rsidR="006C5E11" w:rsidRPr="00D5464D">
        <w:rPr>
          <w:lang w:val="pt-BR"/>
        </w:rPr>
        <w:t xml:space="preserve">Estado de </w:t>
      </w:r>
      <w:r w:rsidR="002C330E" w:rsidRPr="00D5464D">
        <w:rPr>
          <w:lang w:val="pt-BR"/>
        </w:rPr>
        <w:t>respeitar</w:t>
      </w:r>
      <w:r w:rsidR="00E045D9" w:rsidRPr="00D5464D">
        <w:rPr>
          <w:lang w:val="pt-BR"/>
        </w:rPr>
        <w:t xml:space="preserve"> e </w:t>
      </w:r>
      <w:r w:rsidR="002C330E" w:rsidRPr="00D5464D">
        <w:rPr>
          <w:lang w:val="pt-BR"/>
        </w:rPr>
        <w:t>garantir</w:t>
      </w:r>
      <w:r w:rsidR="000B2B14" w:rsidRPr="00D5464D">
        <w:rPr>
          <w:lang w:val="pt-BR"/>
        </w:rPr>
        <w:t>,</w:t>
      </w:r>
      <w:r w:rsidR="006C5E11" w:rsidRPr="00D5464D">
        <w:rPr>
          <w:lang w:val="pt-BR"/>
        </w:rPr>
        <w:t xml:space="preserve"> “</w:t>
      </w:r>
      <w:r w:rsidR="002C330E" w:rsidRPr="00D5464D">
        <w:rPr>
          <w:lang w:val="pt-BR"/>
        </w:rPr>
        <w:t xml:space="preserve">sem </w:t>
      </w:r>
      <w:r w:rsidR="006C5E11" w:rsidRPr="00D5464D">
        <w:rPr>
          <w:lang w:val="pt-BR"/>
        </w:rPr>
        <w:t>discrimina</w:t>
      </w:r>
      <w:r w:rsidR="00470ADC" w:rsidRPr="00D5464D">
        <w:rPr>
          <w:lang w:val="pt-BR"/>
        </w:rPr>
        <w:t>ção</w:t>
      </w:r>
      <w:r w:rsidR="006C5E11" w:rsidRPr="00D5464D">
        <w:rPr>
          <w:lang w:val="pt-BR"/>
        </w:rPr>
        <w:t>”</w:t>
      </w:r>
      <w:r w:rsidR="000B2B14" w:rsidRPr="00D5464D">
        <w:rPr>
          <w:lang w:val="pt-BR"/>
        </w:rPr>
        <w:t>,</w:t>
      </w:r>
      <w:r w:rsidR="002C330E" w:rsidRPr="00D5464D">
        <w:rPr>
          <w:lang w:val="pt-BR"/>
        </w:rPr>
        <w:t xml:space="preserve"> os </w:t>
      </w:r>
      <w:r w:rsidR="00470ADC" w:rsidRPr="00D5464D">
        <w:rPr>
          <w:lang w:val="pt-BR"/>
        </w:rPr>
        <w:t>direito</w:t>
      </w:r>
      <w:r w:rsidR="006C5E11" w:rsidRPr="00D5464D">
        <w:rPr>
          <w:lang w:val="pt-BR"/>
        </w:rPr>
        <w:t xml:space="preserve">s </w:t>
      </w:r>
      <w:r w:rsidR="00470ADC" w:rsidRPr="00D5464D">
        <w:rPr>
          <w:lang w:val="pt-BR"/>
        </w:rPr>
        <w:t>contidos</w:t>
      </w:r>
      <w:r w:rsidR="00E045D9" w:rsidRPr="00D5464D">
        <w:rPr>
          <w:lang w:val="pt-BR"/>
        </w:rPr>
        <w:t xml:space="preserve"> na </w:t>
      </w:r>
      <w:r w:rsidR="006C5E11" w:rsidRPr="00D5464D">
        <w:rPr>
          <w:lang w:val="pt-BR"/>
        </w:rPr>
        <w:t>Conven</w:t>
      </w:r>
      <w:r w:rsidR="00470ADC" w:rsidRPr="00D5464D">
        <w:rPr>
          <w:lang w:val="pt-BR"/>
        </w:rPr>
        <w:t>ção</w:t>
      </w:r>
      <w:r w:rsidR="006C5E11" w:rsidRPr="00D5464D">
        <w:rPr>
          <w:lang w:val="pt-BR"/>
        </w:rPr>
        <w:t xml:space="preserve"> Americana,</w:t>
      </w:r>
      <w:r w:rsidR="00470ADC" w:rsidRPr="00D5464D">
        <w:rPr>
          <w:lang w:val="pt-BR"/>
        </w:rPr>
        <w:t xml:space="preserve"> o artigo</w:t>
      </w:r>
      <w:r w:rsidR="006C5E11" w:rsidRPr="00D5464D">
        <w:rPr>
          <w:lang w:val="pt-BR"/>
        </w:rPr>
        <w:t xml:space="preserve"> 24 protege</w:t>
      </w:r>
      <w:r w:rsidR="00470ADC" w:rsidRPr="00D5464D">
        <w:rPr>
          <w:lang w:val="pt-BR"/>
        </w:rPr>
        <w:t xml:space="preserve"> o direito</w:t>
      </w:r>
      <w:r w:rsidR="006C5E11" w:rsidRPr="00D5464D">
        <w:rPr>
          <w:lang w:val="pt-BR"/>
        </w:rPr>
        <w:t xml:space="preserve"> </w:t>
      </w:r>
      <w:r w:rsidR="00A03688" w:rsidRPr="00D5464D">
        <w:rPr>
          <w:lang w:val="pt-BR"/>
        </w:rPr>
        <w:t>à</w:t>
      </w:r>
      <w:r w:rsidR="006C5E11" w:rsidRPr="00D5464D">
        <w:rPr>
          <w:lang w:val="pt-BR"/>
        </w:rPr>
        <w:t xml:space="preserve"> “igual </w:t>
      </w:r>
      <w:r w:rsidR="002C330E" w:rsidRPr="00D5464D">
        <w:rPr>
          <w:lang w:val="pt-BR"/>
        </w:rPr>
        <w:t>proteção</w:t>
      </w:r>
      <w:r w:rsidR="00470ADC" w:rsidRPr="00D5464D">
        <w:rPr>
          <w:lang w:val="pt-BR"/>
        </w:rPr>
        <w:t xml:space="preserve"> da </w:t>
      </w:r>
      <w:r w:rsidR="00230C71" w:rsidRPr="00D5464D">
        <w:rPr>
          <w:lang w:val="pt-BR"/>
        </w:rPr>
        <w:t>lei”</w:t>
      </w:r>
      <w:r w:rsidR="00A03688" w:rsidRPr="00D5464D">
        <w:rPr>
          <w:lang w:val="pt-BR"/>
        </w:rPr>
        <w:t>.</w:t>
      </w:r>
      <w:r w:rsidR="006C5E11" w:rsidRPr="00D5464D">
        <w:rPr>
          <w:rStyle w:val="Refdenotaalpie"/>
          <w:lang w:val="pt-BR"/>
        </w:rPr>
        <w:footnoteReference w:id="465"/>
      </w:r>
      <w:r w:rsidR="00230C71" w:rsidRPr="00D5464D">
        <w:rPr>
          <w:lang w:val="pt-BR"/>
        </w:rPr>
        <w:t xml:space="preserve"> Isto é, </w:t>
      </w:r>
      <w:r w:rsidR="00470ADC" w:rsidRPr="00D5464D">
        <w:rPr>
          <w:lang w:val="pt-BR"/>
        </w:rPr>
        <w:t>o artigo</w:t>
      </w:r>
      <w:r w:rsidR="006C5E11" w:rsidRPr="00D5464D">
        <w:rPr>
          <w:lang w:val="pt-BR"/>
        </w:rPr>
        <w:t xml:space="preserve"> 24</w:t>
      </w:r>
      <w:r w:rsidR="00470ADC" w:rsidRPr="00D5464D">
        <w:rPr>
          <w:lang w:val="pt-BR"/>
        </w:rPr>
        <w:t xml:space="preserve"> da </w:t>
      </w:r>
      <w:r w:rsidR="006C5E11" w:rsidRPr="00D5464D">
        <w:rPr>
          <w:lang w:val="pt-BR"/>
        </w:rPr>
        <w:t>Conven</w:t>
      </w:r>
      <w:r w:rsidR="00470ADC" w:rsidRPr="00D5464D">
        <w:rPr>
          <w:lang w:val="pt-BR"/>
        </w:rPr>
        <w:t>ção</w:t>
      </w:r>
      <w:r w:rsidR="006C5E11" w:rsidRPr="00D5464D">
        <w:rPr>
          <w:lang w:val="pt-BR"/>
        </w:rPr>
        <w:t xml:space="preserve"> Americana </w:t>
      </w:r>
      <w:r w:rsidR="002C330E" w:rsidRPr="00D5464D">
        <w:rPr>
          <w:lang w:val="pt-BR"/>
        </w:rPr>
        <w:t xml:space="preserve">proíbe a </w:t>
      </w:r>
      <w:r w:rsidR="006C5E11" w:rsidRPr="00D5464D">
        <w:rPr>
          <w:lang w:val="pt-BR"/>
        </w:rPr>
        <w:t>discrimina</w:t>
      </w:r>
      <w:r w:rsidR="00470ADC" w:rsidRPr="00D5464D">
        <w:rPr>
          <w:lang w:val="pt-BR"/>
        </w:rPr>
        <w:t>ção</w:t>
      </w:r>
      <w:r w:rsidR="006C5E11" w:rsidRPr="00D5464D">
        <w:rPr>
          <w:lang w:val="pt-BR"/>
        </w:rPr>
        <w:t xml:space="preserve"> de </w:t>
      </w:r>
      <w:r w:rsidR="00470ADC" w:rsidRPr="00D5464D">
        <w:rPr>
          <w:lang w:val="pt-BR"/>
        </w:rPr>
        <w:t>direito</w:t>
      </w:r>
      <w:r w:rsidR="006C5E11" w:rsidRPr="00D5464D">
        <w:rPr>
          <w:lang w:val="pt-BR"/>
        </w:rPr>
        <w:t xml:space="preserve"> o</w:t>
      </w:r>
      <w:r w:rsidR="00A03688" w:rsidRPr="00D5464D">
        <w:rPr>
          <w:lang w:val="pt-BR"/>
        </w:rPr>
        <w:t>u</w:t>
      </w:r>
      <w:r w:rsidR="006C5E11" w:rsidRPr="00D5464D">
        <w:rPr>
          <w:lang w:val="pt-BR"/>
        </w:rPr>
        <w:t xml:space="preserve"> de</w:t>
      </w:r>
      <w:r w:rsidRPr="00D5464D">
        <w:rPr>
          <w:lang w:val="pt-BR"/>
        </w:rPr>
        <w:t xml:space="preserve"> fato</w:t>
      </w:r>
      <w:r w:rsidR="006C5E11" w:rsidRPr="00D5464D">
        <w:rPr>
          <w:lang w:val="pt-BR"/>
        </w:rPr>
        <w:t xml:space="preserve">, </w:t>
      </w:r>
      <w:r w:rsidR="00350187" w:rsidRPr="00D5464D">
        <w:rPr>
          <w:lang w:val="pt-BR"/>
        </w:rPr>
        <w:t>não apenas quanto</w:t>
      </w:r>
      <w:r w:rsidR="00E045D9" w:rsidRPr="00D5464D">
        <w:rPr>
          <w:lang w:val="pt-BR"/>
        </w:rPr>
        <w:t xml:space="preserve"> aos </w:t>
      </w:r>
      <w:r w:rsidR="00470ADC" w:rsidRPr="00D5464D">
        <w:rPr>
          <w:lang w:val="pt-BR"/>
        </w:rPr>
        <w:t>direito</w:t>
      </w:r>
      <w:r w:rsidR="006C5E11" w:rsidRPr="00D5464D">
        <w:rPr>
          <w:lang w:val="pt-BR"/>
        </w:rPr>
        <w:t xml:space="preserve">s </w:t>
      </w:r>
      <w:r w:rsidR="00470ADC" w:rsidRPr="00D5464D">
        <w:rPr>
          <w:lang w:val="pt-BR"/>
        </w:rPr>
        <w:t>contidos</w:t>
      </w:r>
      <w:r w:rsidR="00E045D9" w:rsidRPr="00D5464D">
        <w:rPr>
          <w:lang w:val="pt-BR"/>
        </w:rPr>
        <w:t xml:space="preserve"> neste </w:t>
      </w:r>
      <w:r w:rsidR="006C5E11" w:rsidRPr="00D5464D">
        <w:rPr>
          <w:lang w:val="pt-BR"/>
        </w:rPr>
        <w:t>tratado,</w:t>
      </w:r>
      <w:r w:rsidR="002C330E" w:rsidRPr="00D5464D">
        <w:rPr>
          <w:lang w:val="pt-BR"/>
        </w:rPr>
        <w:t xml:space="preserve"> mas</w:t>
      </w:r>
      <w:r w:rsidR="00E045D9" w:rsidRPr="00D5464D">
        <w:rPr>
          <w:lang w:val="pt-BR"/>
        </w:rPr>
        <w:t xml:space="preserve"> no </w:t>
      </w:r>
      <w:r w:rsidR="002C330E" w:rsidRPr="00D5464D">
        <w:rPr>
          <w:lang w:val="pt-BR"/>
        </w:rPr>
        <w:t xml:space="preserve">que </w:t>
      </w:r>
      <w:r w:rsidR="00350187" w:rsidRPr="00D5464D">
        <w:rPr>
          <w:lang w:val="pt-BR"/>
        </w:rPr>
        <w:t>respeita</w:t>
      </w:r>
      <w:r w:rsidR="006C5E11" w:rsidRPr="00D5464D">
        <w:rPr>
          <w:lang w:val="pt-BR"/>
        </w:rPr>
        <w:t xml:space="preserve"> a todas</w:t>
      </w:r>
      <w:r w:rsidR="002C330E" w:rsidRPr="00D5464D">
        <w:rPr>
          <w:lang w:val="pt-BR"/>
        </w:rPr>
        <w:t xml:space="preserve"> as leis</w:t>
      </w:r>
      <w:r w:rsidR="006C5E11" w:rsidRPr="00D5464D">
        <w:rPr>
          <w:lang w:val="pt-BR"/>
        </w:rPr>
        <w:t xml:space="preserve"> </w:t>
      </w:r>
      <w:r w:rsidR="00A03688" w:rsidRPr="00D5464D">
        <w:rPr>
          <w:lang w:val="pt-BR"/>
        </w:rPr>
        <w:t>promulgadas pel</w:t>
      </w:r>
      <w:r w:rsidR="00470ADC" w:rsidRPr="00D5464D">
        <w:rPr>
          <w:lang w:val="pt-BR"/>
        </w:rPr>
        <w:t xml:space="preserve">o </w:t>
      </w:r>
      <w:r w:rsidR="006C5E11" w:rsidRPr="00D5464D">
        <w:rPr>
          <w:lang w:val="pt-BR"/>
        </w:rPr>
        <w:t>Estado</w:t>
      </w:r>
      <w:r w:rsidR="00E045D9" w:rsidRPr="00D5464D">
        <w:rPr>
          <w:lang w:val="pt-BR"/>
        </w:rPr>
        <w:t xml:space="preserve"> e </w:t>
      </w:r>
      <w:r w:rsidR="00350187" w:rsidRPr="00D5464D">
        <w:rPr>
          <w:lang w:val="pt-BR"/>
        </w:rPr>
        <w:t>sua aplicação</w:t>
      </w:r>
      <w:r w:rsidR="00A03688" w:rsidRPr="00D5464D">
        <w:rPr>
          <w:lang w:val="pt-BR"/>
        </w:rPr>
        <w:t>.</w:t>
      </w:r>
      <w:r w:rsidR="006C5E11" w:rsidRPr="00D5464D">
        <w:rPr>
          <w:rFonts w:eastAsia="Calibri"/>
          <w:spacing w:val="-2"/>
          <w:vertAlign w:val="superscript"/>
          <w:lang w:val="pt-BR"/>
        </w:rPr>
        <w:footnoteReference w:id="466"/>
      </w:r>
      <w:r w:rsidR="00C91CB1" w:rsidRPr="00D5464D">
        <w:rPr>
          <w:lang w:val="pt-BR"/>
        </w:rPr>
        <w:t xml:space="preserve"> Em </w:t>
      </w:r>
      <w:r w:rsidR="002C330E" w:rsidRPr="00D5464D">
        <w:rPr>
          <w:lang w:val="pt-BR" w:eastAsia="es-ES"/>
        </w:rPr>
        <w:t>outra</w:t>
      </w:r>
      <w:r w:rsidR="006C5E11" w:rsidRPr="00D5464D">
        <w:rPr>
          <w:lang w:val="pt-BR" w:eastAsia="es-ES"/>
        </w:rPr>
        <w:t xml:space="preserve">s </w:t>
      </w:r>
      <w:r w:rsidR="002C330E" w:rsidRPr="00D5464D">
        <w:rPr>
          <w:lang w:val="pt-BR" w:eastAsia="es-ES"/>
        </w:rPr>
        <w:t>palavra</w:t>
      </w:r>
      <w:r w:rsidR="006C5E11" w:rsidRPr="00D5464D">
        <w:rPr>
          <w:lang w:val="pt-BR" w:eastAsia="es-ES"/>
        </w:rPr>
        <w:t>s,</w:t>
      </w:r>
      <w:r w:rsidR="002C330E" w:rsidRPr="00D5464D">
        <w:rPr>
          <w:lang w:val="pt-BR" w:eastAsia="es-ES"/>
        </w:rPr>
        <w:t xml:space="preserve"> se</w:t>
      </w:r>
      <w:r w:rsidR="00E045D9" w:rsidRPr="00D5464D">
        <w:rPr>
          <w:lang w:val="pt-BR" w:eastAsia="es-ES"/>
        </w:rPr>
        <w:t xml:space="preserve"> um </w:t>
      </w:r>
      <w:r w:rsidR="006C5E11" w:rsidRPr="00D5464D">
        <w:rPr>
          <w:lang w:val="pt-BR" w:eastAsia="es-ES"/>
        </w:rPr>
        <w:t>Estado discrimina</w:t>
      </w:r>
      <w:r w:rsidR="00E045D9" w:rsidRPr="00D5464D">
        <w:rPr>
          <w:lang w:val="pt-BR" w:eastAsia="es-ES"/>
        </w:rPr>
        <w:t xml:space="preserve"> </w:t>
      </w:r>
      <w:r w:rsidR="00A03688" w:rsidRPr="00D5464D">
        <w:rPr>
          <w:lang w:val="pt-BR" w:eastAsia="es-ES"/>
        </w:rPr>
        <w:t xml:space="preserve">no que tange ao </w:t>
      </w:r>
      <w:r w:rsidR="002C330E" w:rsidRPr="00D5464D">
        <w:rPr>
          <w:lang w:val="pt-BR" w:eastAsia="es-ES"/>
        </w:rPr>
        <w:t xml:space="preserve">respeito </w:t>
      </w:r>
      <w:r w:rsidR="006C5E11" w:rsidRPr="00D5464D">
        <w:rPr>
          <w:lang w:val="pt-BR" w:eastAsia="es-ES"/>
        </w:rPr>
        <w:t>o</w:t>
      </w:r>
      <w:r w:rsidR="00A03688" w:rsidRPr="00D5464D">
        <w:rPr>
          <w:lang w:val="pt-BR" w:eastAsia="es-ES"/>
        </w:rPr>
        <w:t xml:space="preserve">u à </w:t>
      </w:r>
      <w:r w:rsidR="002C330E" w:rsidRPr="00D5464D">
        <w:rPr>
          <w:lang w:val="pt-BR" w:eastAsia="es-ES"/>
        </w:rPr>
        <w:t xml:space="preserve">garantia </w:t>
      </w:r>
      <w:r w:rsidR="006C5E11" w:rsidRPr="00D5464D">
        <w:rPr>
          <w:lang w:val="pt-BR" w:eastAsia="es-ES"/>
        </w:rPr>
        <w:t>de</w:t>
      </w:r>
      <w:r w:rsidR="00E045D9" w:rsidRPr="00D5464D">
        <w:rPr>
          <w:lang w:val="pt-BR" w:eastAsia="es-ES"/>
        </w:rPr>
        <w:t xml:space="preserve"> um </w:t>
      </w:r>
      <w:r w:rsidR="00470ADC" w:rsidRPr="00D5464D">
        <w:rPr>
          <w:lang w:val="pt-BR" w:eastAsia="es-ES"/>
        </w:rPr>
        <w:t>direito</w:t>
      </w:r>
      <w:r w:rsidR="006C5E11" w:rsidRPr="00D5464D">
        <w:rPr>
          <w:lang w:val="pt-BR" w:eastAsia="es-ES"/>
        </w:rPr>
        <w:t xml:space="preserve"> convencional, </w:t>
      </w:r>
      <w:r w:rsidRPr="00D5464D">
        <w:rPr>
          <w:lang w:val="pt-BR" w:eastAsia="es-ES"/>
        </w:rPr>
        <w:t>descumprir</w:t>
      </w:r>
      <w:r w:rsidR="00A03688" w:rsidRPr="00D5464D">
        <w:rPr>
          <w:lang w:val="pt-BR" w:eastAsia="es-ES"/>
        </w:rPr>
        <w:t xml:space="preserve">ia </w:t>
      </w:r>
      <w:r w:rsidR="002C330E" w:rsidRPr="00D5464D">
        <w:rPr>
          <w:lang w:val="pt-BR" w:eastAsia="es-ES"/>
        </w:rPr>
        <w:t>a obrigação</w:t>
      </w:r>
      <w:r w:rsidR="006C5E11" w:rsidRPr="00D5464D">
        <w:rPr>
          <w:lang w:val="pt-BR" w:eastAsia="es-ES"/>
        </w:rPr>
        <w:t xml:space="preserve"> </w:t>
      </w:r>
      <w:r w:rsidR="00470ADC" w:rsidRPr="00D5464D">
        <w:rPr>
          <w:lang w:val="pt-BR" w:eastAsia="es-ES"/>
        </w:rPr>
        <w:t>estabelecid</w:t>
      </w:r>
      <w:r w:rsidR="006C5E11" w:rsidRPr="00D5464D">
        <w:rPr>
          <w:lang w:val="pt-BR" w:eastAsia="es-ES"/>
        </w:rPr>
        <w:t>a</w:t>
      </w:r>
      <w:r w:rsidR="00E045D9" w:rsidRPr="00D5464D">
        <w:rPr>
          <w:lang w:val="pt-BR" w:eastAsia="es-ES"/>
        </w:rPr>
        <w:t xml:space="preserve"> no </w:t>
      </w:r>
      <w:r w:rsidR="00470ADC" w:rsidRPr="00D5464D">
        <w:rPr>
          <w:lang w:val="pt-BR" w:eastAsia="es-ES"/>
        </w:rPr>
        <w:t>artigo</w:t>
      </w:r>
      <w:r w:rsidR="006C5E11" w:rsidRPr="00D5464D">
        <w:rPr>
          <w:lang w:val="pt-BR" w:eastAsia="es-ES"/>
        </w:rPr>
        <w:t xml:space="preserve"> 1.1</w:t>
      </w:r>
      <w:r w:rsidR="00E045D9" w:rsidRPr="00D5464D">
        <w:rPr>
          <w:lang w:val="pt-BR" w:eastAsia="es-ES"/>
        </w:rPr>
        <w:t xml:space="preserve"> e </w:t>
      </w:r>
      <w:r w:rsidR="00470ADC" w:rsidRPr="00D5464D">
        <w:rPr>
          <w:lang w:val="pt-BR" w:eastAsia="es-ES"/>
        </w:rPr>
        <w:t>o direito</w:t>
      </w:r>
      <w:r w:rsidR="006C5E11" w:rsidRPr="00D5464D">
        <w:rPr>
          <w:lang w:val="pt-BR" w:eastAsia="es-ES"/>
        </w:rPr>
        <w:t xml:space="preserve"> </w:t>
      </w:r>
      <w:r w:rsidRPr="00D5464D">
        <w:rPr>
          <w:lang w:val="pt-BR" w:eastAsia="es-ES"/>
        </w:rPr>
        <w:t>substantiv</w:t>
      </w:r>
      <w:r w:rsidR="006C5E11" w:rsidRPr="00D5464D">
        <w:rPr>
          <w:lang w:val="pt-BR" w:eastAsia="es-ES"/>
        </w:rPr>
        <w:t>o</w:t>
      </w:r>
      <w:r w:rsidR="00470ADC" w:rsidRPr="00D5464D">
        <w:rPr>
          <w:lang w:val="pt-BR" w:eastAsia="es-ES"/>
        </w:rPr>
        <w:t xml:space="preserve"> em questão</w:t>
      </w:r>
      <w:r w:rsidR="006C5E11" w:rsidRPr="00D5464D">
        <w:rPr>
          <w:lang w:val="pt-BR" w:eastAsia="es-ES"/>
        </w:rPr>
        <w:t>. S</w:t>
      </w:r>
      <w:r w:rsidR="00A03688" w:rsidRPr="00D5464D">
        <w:rPr>
          <w:lang w:val="pt-BR" w:eastAsia="es-ES"/>
        </w:rPr>
        <w:t>e</w:t>
      </w:r>
      <w:r w:rsidR="006C5E11" w:rsidRPr="00D5464D">
        <w:rPr>
          <w:lang w:val="pt-BR" w:eastAsia="es-ES"/>
        </w:rPr>
        <w:t>,</w:t>
      </w:r>
      <w:r w:rsidR="002C330E" w:rsidRPr="00D5464D">
        <w:rPr>
          <w:lang w:val="pt-BR" w:eastAsia="es-ES"/>
        </w:rPr>
        <w:t xml:space="preserve"> </w:t>
      </w:r>
      <w:r w:rsidR="00A03688" w:rsidRPr="00D5464D">
        <w:rPr>
          <w:lang w:val="pt-BR" w:eastAsia="es-ES"/>
        </w:rPr>
        <w:t>por outro lado</w:t>
      </w:r>
      <w:r w:rsidR="00737270" w:rsidRPr="00D5464D">
        <w:rPr>
          <w:lang w:val="pt-BR" w:eastAsia="es-ES"/>
        </w:rPr>
        <w:t>,</w:t>
      </w:r>
      <w:r w:rsidR="002C330E" w:rsidRPr="00D5464D">
        <w:rPr>
          <w:lang w:val="pt-BR" w:eastAsia="es-ES"/>
        </w:rPr>
        <w:t xml:space="preserve"> a </w:t>
      </w:r>
      <w:r w:rsidR="006C5E11" w:rsidRPr="00D5464D">
        <w:rPr>
          <w:lang w:val="pt-BR" w:eastAsia="es-ES"/>
        </w:rPr>
        <w:t>discrimina</w:t>
      </w:r>
      <w:r w:rsidR="00470ADC" w:rsidRPr="00D5464D">
        <w:rPr>
          <w:lang w:val="pt-BR" w:eastAsia="es-ES"/>
        </w:rPr>
        <w:t>ção</w:t>
      </w:r>
      <w:r w:rsidR="006C5E11" w:rsidRPr="00D5464D">
        <w:rPr>
          <w:lang w:val="pt-BR" w:eastAsia="es-ES"/>
        </w:rPr>
        <w:t xml:space="preserve"> se </w:t>
      </w:r>
      <w:r w:rsidR="002C330E" w:rsidRPr="00D5464D">
        <w:rPr>
          <w:lang w:val="pt-BR" w:eastAsia="es-ES"/>
        </w:rPr>
        <w:t>refere</w:t>
      </w:r>
      <w:r w:rsidR="006C5E11" w:rsidRPr="00D5464D">
        <w:rPr>
          <w:lang w:val="pt-BR" w:eastAsia="es-ES"/>
        </w:rPr>
        <w:t xml:space="preserve"> a</w:t>
      </w:r>
      <w:r w:rsidR="00E045D9" w:rsidRPr="00D5464D">
        <w:rPr>
          <w:lang w:val="pt-BR" w:eastAsia="es-ES"/>
        </w:rPr>
        <w:t xml:space="preserve"> uma </w:t>
      </w:r>
      <w:r w:rsidR="002C330E" w:rsidRPr="00D5464D">
        <w:rPr>
          <w:lang w:val="pt-BR" w:eastAsia="es-ES"/>
        </w:rPr>
        <w:t>proteção</w:t>
      </w:r>
      <w:r w:rsidR="006C5E11" w:rsidRPr="00D5464D">
        <w:rPr>
          <w:lang w:val="pt-BR" w:eastAsia="es-ES"/>
        </w:rPr>
        <w:t xml:space="preserve"> desigual</w:t>
      </w:r>
      <w:r w:rsidR="00470ADC" w:rsidRPr="00D5464D">
        <w:rPr>
          <w:lang w:val="pt-BR" w:eastAsia="es-ES"/>
        </w:rPr>
        <w:t xml:space="preserve"> da </w:t>
      </w:r>
      <w:r w:rsidR="002C330E" w:rsidRPr="00D5464D">
        <w:rPr>
          <w:lang w:val="pt-BR" w:eastAsia="es-ES"/>
        </w:rPr>
        <w:t xml:space="preserve">lei </w:t>
      </w:r>
      <w:r w:rsidR="006C5E11" w:rsidRPr="00D5464D">
        <w:rPr>
          <w:lang w:val="pt-BR" w:eastAsia="es-ES"/>
        </w:rPr>
        <w:t>interna o</w:t>
      </w:r>
      <w:r w:rsidR="00A03688" w:rsidRPr="00D5464D">
        <w:rPr>
          <w:lang w:val="pt-BR" w:eastAsia="es-ES"/>
        </w:rPr>
        <w:t>u de</w:t>
      </w:r>
      <w:r w:rsidR="006C5E11" w:rsidRPr="00D5464D">
        <w:rPr>
          <w:lang w:val="pt-BR" w:eastAsia="es-ES"/>
        </w:rPr>
        <w:t xml:space="preserve"> </w:t>
      </w:r>
      <w:r w:rsidR="00350187" w:rsidRPr="00D5464D">
        <w:rPr>
          <w:lang w:val="pt-BR" w:eastAsia="es-ES"/>
        </w:rPr>
        <w:t>sua aplicação</w:t>
      </w:r>
      <w:r w:rsidR="006C5E11" w:rsidRPr="00D5464D">
        <w:rPr>
          <w:lang w:val="pt-BR" w:eastAsia="es-ES"/>
        </w:rPr>
        <w:t>,</w:t>
      </w:r>
      <w:r w:rsidR="00470ADC" w:rsidRPr="00D5464D">
        <w:rPr>
          <w:lang w:val="pt-BR" w:eastAsia="es-ES"/>
        </w:rPr>
        <w:t xml:space="preserve"> o</w:t>
      </w:r>
      <w:r w:rsidR="002C330E" w:rsidRPr="00D5464D">
        <w:rPr>
          <w:lang w:val="pt-BR" w:eastAsia="es-ES"/>
        </w:rPr>
        <w:t xml:space="preserve"> fato </w:t>
      </w:r>
      <w:r w:rsidR="00470ADC" w:rsidRPr="00D5464D">
        <w:rPr>
          <w:lang w:val="pt-BR" w:eastAsia="es-ES"/>
        </w:rPr>
        <w:t xml:space="preserve">deve </w:t>
      </w:r>
      <w:r w:rsidR="00A03688" w:rsidRPr="00D5464D">
        <w:rPr>
          <w:lang w:val="pt-BR" w:eastAsia="es-ES"/>
        </w:rPr>
        <w:t xml:space="preserve">ser analisado </w:t>
      </w:r>
      <w:r w:rsidR="00470ADC" w:rsidRPr="00D5464D">
        <w:rPr>
          <w:lang w:val="pt-BR" w:eastAsia="es-ES"/>
        </w:rPr>
        <w:t xml:space="preserve">à </w:t>
      </w:r>
      <w:r w:rsidR="006C5E11" w:rsidRPr="00D5464D">
        <w:rPr>
          <w:lang w:val="pt-BR" w:eastAsia="es-ES"/>
        </w:rPr>
        <w:t xml:space="preserve">luz </w:t>
      </w:r>
      <w:r w:rsidR="00470ADC" w:rsidRPr="00D5464D">
        <w:rPr>
          <w:lang w:val="pt-BR" w:eastAsia="es-ES"/>
        </w:rPr>
        <w:t>do artigo</w:t>
      </w:r>
      <w:r w:rsidR="006C5E11" w:rsidRPr="00D5464D">
        <w:rPr>
          <w:lang w:val="pt-BR" w:eastAsia="es-ES"/>
        </w:rPr>
        <w:t xml:space="preserve"> 24</w:t>
      </w:r>
      <w:r w:rsidR="00470ADC" w:rsidRPr="00D5464D">
        <w:rPr>
          <w:lang w:val="pt-BR" w:eastAsia="es-ES"/>
        </w:rPr>
        <w:t xml:space="preserve"> da </w:t>
      </w:r>
      <w:r w:rsidR="006C5E11" w:rsidRPr="00D5464D">
        <w:rPr>
          <w:lang w:val="pt-BR" w:eastAsia="es-ES"/>
        </w:rPr>
        <w:t>Conven</w:t>
      </w:r>
      <w:r w:rsidR="00470ADC" w:rsidRPr="00D5464D">
        <w:rPr>
          <w:lang w:val="pt-BR" w:eastAsia="es-ES"/>
        </w:rPr>
        <w:t>ção</w:t>
      </w:r>
      <w:r w:rsidR="006C5E11" w:rsidRPr="00D5464D">
        <w:rPr>
          <w:lang w:val="pt-BR" w:eastAsia="es-ES"/>
        </w:rPr>
        <w:t xml:space="preserve"> Americana</w:t>
      </w:r>
      <w:r w:rsidR="00A03688" w:rsidRPr="00D5464D">
        <w:rPr>
          <w:lang w:val="pt-BR" w:eastAsia="es-ES"/>
        </w:rPr>
        <w:t>,</w:t>
      </w:r>
      <w:r w:rsidR="006C5E11" w:rsidRPr="00D5464D">
        <w:rPr>
          <w:rStyle w:val="Refdenotaalpie"/>
          <w:lang w:val="pt-BR" w:eastAsia="es-ES"/>
        </w:rPr>
        <w:footnoteReference w:id="467"/>
      </w:r>
      <w:r w:rsidR="00470ADC" w:rsidRPr="00D5464D">
        <w:rPr>
          <w:lang w:val="pt-BR" w:eastAsia="es-ES"/>
        </w:rPr>
        <w:t xml:space="preserve"> </w:t>
      </w:r>
      <w:r w:rsidR="00350187" w:rsidRPr="00D5464D">
        <w:rPr>
          <w:lang w:val="pt-BR" w:eastAsia="es-ES"/>
        </w:rPr>
        <w:t xml:space="preserve">em relação às </w:t>
      </w:r>
      <w:r w:rsidR="00470ADC" w:rsidRPr="00D5464D">
        <w:rPr>
          <w:lang w:val="pt-BR" w:eastAsia="es-ES"/>
        </w:rPr>
        <w:t>categoria</w:t>
      </w:r>
      <w:r w:rsidR="006C5E11" w:rsidRPr="00D5464D">
        <w:rPr>
          <w:lang w:val="pt-BR" w:eastAsia="es-ES"/>
        </w:rPr>
        <w:t>s protegidas</w:t>
      </w:r>
      <w:r w:rsidR="002C330E" w:rsidRPr="00D5464D">
        <w:rPr>
          <w:lang w:val="pt-BR" w:eastAsia="es-ES"/>
        </w:rPr>
        <w:t xml:space="preserve"> pelo </w:t>
      </w:r>
      <w:r w:rsidR="00470ADC" w:rsidRPr="00D5464D">
        <w:rPr>
          <w:lang w:val="pt-BR" w:eastAsia="es-ES"/>
        </w:rPr>
        <w:t>artigo</w:t>
      </w:r>
      <w:r w:rsidR="006C5E11" w:rsidRPr="00D5464D">
        <w:rPr>
          <w:lang w:val="pt-BR" w:eastAsia="es-ES"/>
        </w:rPr>
        <w:t xml:space="preserve"> 1.1</w:t>
      </w:r>
      <w:r w:rsidR="00470ADC" w:rsidRPr="00D5464D">
        <w:rPr>
          <w:lang w:val="pt-BR" w:eastAsia="es-ES"/>
        </w:rPr>
        <w:t xml:space="preserve"> da </w:t>
      </w:r>
      <w:r w:rsidR="006C5E11" w:rsidRPr="00D5464D">
        <w:rPr>
          <w:lang w:val="pt-BR" w:eastAsia="es-ES"/>
        </w:rPr>
        <w:t>Conven</w:t>
      </w:r>
      <w:r w:rsidR="00470ADC" w:rsidRPr="00D5464D">
        <w:rPr>
          <w:lang w:val="pt-BR" w:eastAsia="es-ES"/>
        </w:rPr>
        <w:t>ção</w:t>
      </w:r>
      <w:r w:rsidR="006C5E11" w:rsidRPr="00D5464D">
        <w:rPr>
          <w:lang w:val="pt-BR" w:eastAsia="es-ES"/>
        </w:rPr>
        <w:t>.</w:t>
      </w:r>
    </w:p>
    <w:p w14:paraId="4D3F8CBE" w14:textId="77777777" w:rsidR="006C5E11" w:rsidRPr="00D5464D" w:rsidRDefault="006C5E11" w:rsidP="006C5E11">
      <w:pPr>
        <w:pStyle w:val="Prrafodelista"/>
        <w:ind w:left="0"/>
        <w:rPr>
          <w:lang w:val="pt-BR"/>
        </w:rPr>
      </w:pPr>
    </w:p>
    <w:p w14:paraId="1A07281F" w14:textId="75CEF6A9" w:rsidR="006C5E11" w:rsidRPr="00D5464D" w:rsidRDefault="00A03688" w:rsidP="006C5E11">
      <w:pPr>
        <w:pStyle w:val="Prrafodelista"/>
        <w:numPr>
          <w:ilvl w:val="0"/>
          <w:numId w:val="1"/>
        </w:numPr>
        <w:contextualSpacing w:val="0"/>
        <w:rPr>
          <w:rFonts w:cs="Arial"/>
          <w:lang w:val="pt-BR"/>
        </w:rPr>
      </w:pPr>
      <w:r w:rsidRPr="00D5464D">
        <w:rPr>
          <w:lang w:val="pt-BR"/>
        </w:rPr>
        <w:t>De outra parte</w:t>
      </w:r>
      <w:r w:rsidR="006C5E11" w:rsidRPr="00D5464D">
        <w:rPr>
          <w:lang w:val="pt-BR"/>
        </w:rPr>
        <w:t>,</w:t>
      </w:r>
      <w:r w:rsidR="00470ADC" w:rsidRPr="00D5464D">
        <w:rPr>
          <w:lang w:val="pt-BR"/>
        </w:rPr>
        <w:t xml:space="preserve"> </w:t>
      </w:r>
      <w:r w:rsidR="002C330E" w:rsidRPr="00D5464D">
        <w:rPr>
          <w:lang w:val="pt-BR"/>
        </w:rPr>
        <w:t xml:space="preserve">a </w:t>
      </w:r>
      <w:r w:rsidR="006C5E11" w:rsidRPr="00D5464D">
        <w:rPr>
          <w:lang w:val="pt-BR"/>
        </w:rPr>
        <w:t xml:space="preserve">Corte </w:t>
      </w:r>
      <w:r w:rsidR="002C330E" w:rsidRPr="00D5464D">
        <w:rPr>
          <w:lang w:val="pt-BR"/>
        </w:rPr>
        <w:t>estabeleceu</w:t>
      </w:r>
      <w:r w:rsidR="006C5E11" w:rsidRPr="00D5464D">
        <w:rPr>
          <w:lang w:val="pt-BR"/>
        </w:rPr>
        <w:t xml:space="preserve"> que</w:t>
      </w:r>
      <w:r w:rsidR="00470ADC" w:rsidRPr="00D5464D">
        <w:rPr>
          <w:lang w:val="pt-BR"/>
        </w:rPr>
        <w:t xml:space="preserve"> </w:t>
      </w:r>
      <w:r w:rsidRPr="00D5464D">
        <w:rPr>
          <w:lang w:val="pt-BR"/>
        </w:rPr>
        <w:t xml:space="preserve">o artigo 1.1 da Convenção </w:t>
      </w:r>
      <w:r w:rsidR="00470ADC" w:rsidRPr="00D5464D">
        <w:rPr>
          <w:lang w:val="pt-BR"/>
        </w:rPr>
        <w:t>é</w:t>
      </w:r>
      <w:r w:rsidR="00E045D9" w:rsidRPr="00D5464D">
        <w:rPr>
          <w:lang w:val="pt-BR"/>
        </w:rPr>
        <w:t xml:space="preserve"> uma </w:t>
      </w:r>
      <w:r w:rsidR="006C5E11" w:rsidRPr="00D5464D">
        <w:rPr>
          <w:lang w:val="pt-BR"/>
        </w:rPr>
        <w:t xml:space="preserve">norma de </w:t>
      </w:r>
      <w:r w:rsidR="00470ADC" w:rsidRPr="00D5464D">
        <w:rPr>
          <w:lang w:val="pt-BR"/>
        </w:rPr>
        <w:t>caráter</w:t>
      </w:r>
      <w:r w:rsidR="006C5E11" w:rsidRPr="00D5464D">
        <w:rPr>
          <w:lang w:val="pt-BR"/>
        </w:rPr>
        <w:t xml:space="preserve"> </w:t>
      </w:r>
      <w:r w:rsidR="002C330E" w:rsidRPr="00D5464D">
        <w:rPr>
          <w:lang w:val="pt-BR"/>
        </w:rPr>
        <w:t>geral</w:t>
      </w:r>
      <w:r w:rsidRPr="00D5464D">
        <w:rPr>
          <w:lang w:val="pt-BR"/>
        </w:rPr>
        <w:t>,</w:t>
      </w:r>
      <w:r w:rsidR="006C5E11" w:rsidRPr="00D5464D">
        <w:rPr>
          <w:lang w:val="pt-BR"/>
        </w:rPr>
        <w:t xml:space="preserve"> </w:t>
      </w:r>
      <w:r w:rsidR="00470ADC" w:rsidRPr="00D5464D">
        <w:rPr>
          <w:lang w:val="pt-BR"/>
        </w:rPr>
        <w:t>cujo</w:t>
      </w:r>
      <w:r w:rsidR="006C5E11" w:rsidRPr="00D5464D">
        <w:rPr>
          <w:lang w:val="pt-BR"/>
        </w:rPr>
        <w:t xml:space="preserve"> </w:t>
      </w:r>
      <w:r w:rsidR="00470ADC" w:rsidRPr="00D5464D">
        <w:rPr>
          <w:lang w:val="pt-BR"/>
        </w:rPr>
        <w:t>conteúdo</w:t>
      </w:r>
      <w:r w:rsidR="006C5E11" w:rsidRPr="00D5464D">
        <w:rPr>
          <w:lang w:val="pt-BR"/>
        </w:rPr>
        <w:t xml:space="preserve"> se </w:t>
      </w:r>
      <w:r w:rsidR="00E045D9" w:rsidRPr="00D5464D">
        <w:rPr>
          <w:lang w:val="pt-BR"/>
        </w:rPr>
        <w:t>e</w:t>
      </w:r>
      <w:r w:rsidRPr="00D5464D">
        <w:rPr>
          <w:lang w:val="pt-BR"/>
        </w:rPr>
        <w:t>s</w:t>
      </w:r>
      <w:r w:rsidR="00E045D9" w:rsidRPr="00D5464D">
        <w:rPr>
          <w:lang w:val="pt-BR"/>
        </w:rPr>
        <w:t>tend</w:t>
      </w:r>
      <w:r w:rsidRPr="00D5464D">
        <w:rPr>
          <w:lang w:val="pt-BR"/>
        </w:rPr>
        <w:t>e a</w:t>
      </w:r>
      <w:r w:rsidR="00E045D9" w:rsidRPr="00D5464D">
        <w:rPr>
          <w:lang w:val="pt-BR"/>
        </w:rPr>
        <w:t xml:space="preserve"> </w:t>
      </w:r>
      <w:r w:rsidR="006C5E11" w:rsidRPr="00D5464D">
        <w:rPr>
          <w:lang w:val="pt-BR"/>
        </w:rPr>
        <w:t>todas</w:t>
      </w:r>
      <w:r w:rsidR="002C330E" w:rsidRPr="00D5464D">
        <w:rPr>
          <w:lang w:val="pt-BR"/>
        </w:rPr>
        <w:t xml:space="preserve"> as </w:t>
      </w:r>
      <w:r w:rsidR="006C5E11" w:rsidRPr="00D5464D">
        <w:rPr>
          <w:lang w:val="pt-BR"/>
        </w:rPr>
        <w:t>disposi</w:t>
      </w:r>
      <w:r w:rsidR="00470ADC" w:rsidRPr="00D5464D">
        <w:rPr>
          <w:lang w:val="pt-BR"/>
        </w:rPr>
        <w:t>ções</w:t>
      </w:r>
      <w:r w:rsidR="006C5E11" w:rsidRPr="00D5464D">
        <w:rPr>
          <w:lang w:val="pt-BR"/>
        </w:rPr>
        <w:t xml:space="preserve"> </w:t>
      </w:r>
      <w:r w:rsidR="00470ADC" w:rsidRPr="00D5464D">
        <w:rPr>
          <w:lang w:val="pt-BR"/>
        </w:rPr>
        <w:t xml:space="preserve">do </w:t>
      </w:r>
      <w:r w:rsidR="006C5E11" w:rsidRPr="00D5464D">
        <w:rPr>
          <w:lang w:val="pt-BR"/>
        </w:rPr>
        <w:t>tratado</w:t>
      </w:r>
      <w:r w:rsidR="00470ADC" w:rsidRPr="00D5464D">
        <w:rPr>
          <w:lang w:val="pt-BR"/>
        </w:rPr>
        <w:t>, e</w:t>
      </w:r>
      <w:r w:rsidR="006C5E11" w:rsidRPr="00D5464D">
        <w:rPr>
          <w:lang w:val="pt-BR"/>
        </w:rPr>
        <w:t xml:space="preserve"> </w:t>
      </w:r>
      <w:r w:rsidR="00470ADC" w:rsidRPr="00D5464D">
        <w:rPr>
          <w:lang w:val="pt-BR"/>
        </w:rPr>
        <w:t>dispõe</w:t>
      </w:r>
      <w:r w:rsidR="002C330E" w:rsidRPr="00D5464D">
        <w:rPr>
          <w:lang w:val="pt-BR"/>
        </w:rPr>
        <w:t xml:space="preserve"> </w:t>
      </w:r>
      <w:r w:rsidR="001179F1" w:rsidRPr="00D5464D">
        <w:rPr>
          <w:lang w:val="pt-BR"/>
        </w:rPr>
        <w:t xml:space="preserve">sobre </w:t>
      </w:r>
      <w:r w:rsidR="002C330E" w:rsidRPr="00D5464D">
        <w:rPr>
          <w:lang w:val="pt-BR"/>
        </w:rPr>
        <w:t>a obrigação</w:t>
      </w:r>
      <w:r w:rsidR="00470ADC" w:rsidRPr="00D5464D">
        <w:rPr>
          <w:lang w:val="pt-BR"/>
        </w:rPr>
        <w:t xml:space="preserve"> dos </w:t>
      </w:r>
      <w:r w:rsidR="006C5E11" w:rsidRPr="00D5464D">
        <w:rPr>
          <w:lang w:val="pt-BR"/>
        </w:rPr>
        <w:t xml:space="preserve">Estados Parte de </w:t>
      </w:r>
      <w:r w:rsidR="002C330E" w:rsidRPr="00D5464D">
        <w:rPr>
          <w:lang w:val="pt-BR"/>
        </w:rPr>
        <w:t>respeitar</w:t>
      </w:r>
      <w:r w:rsidRPr="00D5464D">
        <w:rPr>
          <w:lang w:val="pt-BR"/>
        </w:rPr>
        <w:t>em</w:t>
      </w:r>
      <w:r w:rsidR="00E045D9" w:rsidRPr="00D5464D">
        <w:rPr>
          <w:lang w:val="pt-BR"/>
        </w:rPr>
        <w:t xml:space="preserve"> e </w:t>
      </w:r>
      <w:r w:rsidR="002C330E" w:rsidRPr="00D5464D">
        <w:rPr>
          <w:lang w:val="pt-BR"/>
        </w:rPr>
        <w:t>garantir</w:t>
      </w:r>
      <w:r w:rsidRPr="00D5464D">
        <w:rPr>
          <w:lang w:val="pt-BR"/>
        </w:rPr>
        <w:t>em</w:t>
      </w:r>
      <w:r w:rsidR="00470ADC" w:rsidRPr="00D5464D">
        <w:rPr>
          <w:lang w:val="pt-BR"/>
        </w:rPr>
        <w:t xml:space="preserve"> o </w:t>
      </w:r>
      <w:r w:rsidR="006C5E11" w:rsidRPr="00D5464D">
        <w:rPr>
          <w:lang w:val="pt-BR"/>
        </w:rPr>
        <w:t>pleno</w:t>
      </w:r>
      <w:r w:rsidR="00E045D9" w:rsidRPr="00D5464D">
        <w:rPr>
          <w:lang w:val="pt-BR"/>
        </w:rPr>
        <w:t xml:space="preserve"> e </w:t>
      </w:r>
      <w:r w:rsidR="002C330E" w:rsidRPr="00D5464D">
        <w:rPr>
          <w:lang w:val="pt-BR"/>
        </w:rPr>
        <w:t xml:space="preserve">livre </w:t>
      </w:r>
      <w:r w:rsidR="00470ADC" w:rsidRPr="00D5464D">
        <w:rPr>
          <w:lang w:val="pt-BR"/>
        </w:rPr>
        <w:t>exercício dos direito</w:t>
      </w:r>
      <w:r w:rsidR="006C5E11" w:rsidRPr="00D5464D">
        <w:rPr>
          <w:lang w:val="pt-BR"/>
        </w:rPr>
        <w:t>s</w:t>
      </w:r>
      <w:r w:rsidR="00E045D9" w:rsidRPr="00D5464D">
        <w:rPr>
          <w:lang w:val="pt-BR"/>
        </w:rPr>
        <w:t xml:space="preserve"> e </w:t>
      </w:r>
      <w:r w:rsidR="002C330E" w:rsidRPr="00D5464D">
        <w:rPr>
          <w:lang w:val="pt-BR"/>
        </w:rPr>
        <w:t>liberdades</w:t>
      </w:r>
      <w:r w:rsidR="006C5E11" w:rsidRPr="00D5464D">
        <w:rPr>
          <w:lang w:val="pt-BR"/>
        </w:rPr>
        <w:t xml:space="preserve"> </w:t>
      </w:r>
      <w:r w:rsidR="00737270" w:rsidRPr="00D5464D">
        <w:rPr>
          <w:lang w:val="pt-BR"/>
        </w:rPr>
        <w:t>ali</w:t>
      </w:r>
      <w:r w:rsidR="006C5E11" w:rsidRPr="00D5464D">
        <w:rPr>
          <w:lang w:val="pt-BR"/>
        </w:rPr>
        <w:t xml:space="preserve"> re</w:t>
      </w:r>
      <w:r w:rsidR="00737270" w:rsidRPr="00D5464D">
        <w:rPr>
          <w:lang w:val="pt-BR"/>
        </w:rPr>
        <w:t>conheci</w:t>
      </w:r>
      <w:r w:rsidRPr="00D5464D">
        <w:rPr>
          <w:lang w:val="pt-BR"/>
        </w:rPr>
        <w:t>do</w:t>
      </w:r>
      <w:r w:rsidR="006C5E11" w:rsidRPr="00D5464D">
        <w:rPr>
          <w:lang w:val="pt-BR"/>
        </w:rPr>
        <w:t>s “</w:t>
      </w:r>
      <w:r w:rsidR="002C330E" w:rsidRPr="00D5464D">
        <w:rPr>
          <w:lang w:val="pt-BR"/>
        </w:rPr>
        <w:t xml:space="preserve">sem </w:t>
      </w:r>
      <w:r w:rsidR="006C5E11" w:rsidRPr="00D5464D">
        <w:rPr>
          <w:lang w:val="pt-BR"/>
        </w:rPr>
        <w:t>discrimina</w:t>
      </w:r>
      <w:r w:rsidR="00470ADC" w:rsidRPr="00D5464D">
        <w:rPr>
          <w:lang w:val="pt-BR"/>
        </w:rPr>
        <w:t>ção</w:t>
      </w:r>
      <w:r w:rsidR="006C5E11" w:rsidRPr="00D5464D">
        <w:rPr>
          <w:lang w:val="pt-BR"/>
        </w:rPr>
        <w:t xml:space="preserve"> </w:t>
      </w:r>
      <w:r w:rsidR="00E045D9" w:rsidRPr="00D5464D">
        <w:rPr>
          <w:lang w:val="pt-BR"/>
        </w:rPr>
        <w:t>alguma</w:t>
      </w:r>
      <w:r w:rsidR="006C5E11" w:rsidRPr="00D5464D">
        <w:rPr>
          <w:lang w:val="pt-BR"/>
        </w:rPr>
        <w:t>”</w:t>
      </w:r>
      <w:r w:rsidR="00230C71" w:rsidRPr="00D5464D">
        <w:rPr>
          <w:lang w:val="pt-BR"/>
        </w:rPr>
        <w:t xml:space="preserve">. Isto é, </w:t>
      </w:r>
      <w:r w:rsidR="00470ADC" w:rsidRPr="00D5464D">
        <w:rPr>
          <w:lang w:val="pt-BR"/>
        </w:rPr>
        <w:t>qualquer</w:t>
      </w:r>
      <w:r w:rsidR="006C5E11" w:rsidRPr="00D5464D">
        <w:rPr>
          <w:lang w:val="pt-BR"/>
        </w:rPr>
        <w:t xml:space="preserve"> que</w:t>
      </w:r>
      <w:r w:rsidR="002C330E" w:rsidRPr="00D5464D">
        <w:rPr>
          <w:lang w:val="pt-BR"/>
        </w:rPr>
        <w:t xml:space="preserve"> seja </w:t>
      </w:r>
      <w:r w:rsidR="00EB1CE9" w:rsidRPr="00D5464D">
        <w:rPr>
          <w:lang w:val="pt-BR"/>
        </w:rPr>
        <w:t>a origem</w:t>
      </w:r>
      <w:r w:rsidR="00C91CB1" w:rsidRPr="00D5464D">
        <w:rPr>
          <w:lang w:val="pt-BR"/>
        </w:rPr>
        <w:t xml:space="preserve"> o</w:t>
      </w:r>
      <w:r w:rsidRPr="00D5464D">
        <w:rPr>
          <w:lang w:val="pt-BR"/>
        </w:rPr>
        <w:t>u</w:t>
      </w:r>
      <w:r w:rsidR="002C330E" w:rsidRPr="00D5464D">
        <w:rPr>
          <w:lang w:val="pt-BR"/>
        </w:rPr>
        <w:t xml:space="preserve"> a </w:t>
      </w:r>
      <w:r w:rsidR="006C5E11" w:rsidRPr="00D5464D">
        <w:rPr>
          <w:lang w:val="pt-BR"/>
        </w:rPr>
        <w:t xml:space="preserve">forma </w:t>
      </w:r>
      <w:r w:rsidRPr="00D5464D">
        <w:rPr>
          <w:lang w:val="pt-BR"/>
        </w:rPr>
        <w:t>assumida</w:t>
      </w:r>
      <w:r w:rsidR="006C5E11" w:rsidRPr="00D5464D">
        <w:rPr>
          <w:lang w:val="pt-BR"/>
        </w:rPr>
        <w:t xml:space="preserve">, </w:t>
      </w:r>
      <w:r w:rsidRPr="00D5464D">
        <w:rPr>
          <w:lang w:val="pt-BR"/>
        </w:rPr>
        <w:t xml:space="preserve">qualquer </w:t>
      </w:r>
      <w:r w:rsidR="00E045D9" w:rsidRPr="00D5464D">
        <w:rPr>
          <w:lang w:val="pt-BR"/>
        </w:rPr>
        <w:t>tratamento</w:t>
      </w:r>
      <w:r w:rsidR="006C5E11" w:rsidRPr="00D5464D">
        <w:rPr>
          <w:lang w:val="pt-BR"/>
        </w:rPr>
        <w:t xml:space="preserve"> que </w:t>
      </w:r>
      <w:r w:rsidR="002C330E" w:rsidRPr="00D5464D">
        <w:rPr>
          <w:lang w:val="pt-BR"/>
        </w:rPr>
        <w:t>possa</w:t>
      </w:r>
      <w:r w:rsidR="006C5E11" w:rsidRPr="00D5464D">
        <w:rPr>
          <w:lang w:val="pt-BR"/>
        </w:rPr>
        <w:t xml:space="preserve"> ser considerado </w:t>
      </w:r>
      <w:r w:rsidR="00A1358C" w:rsidRPr="00D5464D">
        <w:rPr>
          <w:lang w:val="pt-BR"/>
        </w:rPr>
        <w:t>discriminatóri</w:t>
      </w:r>
      <w:r w:rsidR="006C5E11" w:rsidRPr="00D5464D">
        <w:rPr>
          <w:lang w:val="pt-BR"/>
        </w:rPr>
        <w:t xml:space="preserve">o </w:t>
      </w:r>
      <w:r w:rsidRPr="00D5464D">
        <w:rPr>
          <w:lang w:val="pt-BR"/>
        </w:rPr>
        <w:t xml:space="preserve">em relação ao </w:t>
      </w:r>
      <w:r w:rsidR="00470ADC" w:rsidRPr="00D5464D">
        <w:rPr>
          <w:lang w:val="pt-BR"/>
        </w:rPr>
        <w:t>exercício</w:t>
      </w:r>
      <w:r w:rsidR="006C5E11" w:rsidRPr="00D5464D">
        <w:rPr>
          <w:lang w:val="pt-BR"/>
        </w:rPr>
        <w:t xml:space="preserve"> de </w:t>
      </w:r>
      <w:r w:rsidRPr="00D5464D">
        <w:rPr>
          <w:lang w:val="pt-BR"/>
        </w:rPr>
        <w:t>um</w:t>
      </w:r>
      <w:r w:rsidR="00470ADC" w:rsidRPr="00D5464D">
        <w:rPr>
          <w:lang w:val="pt-BR"/>
        </w:rPr>
        <w:t xml:space="preserve"> direito</w:t>
      </w:r>
      <w:r w:rsidR="006C5E11" w:rsidRPr="00D5464D">
        <w:rPr>
          <w:lang w:val="pt-BR"/>
        </w:rPr>
        <w:t xml:space="preserve"> </w:t>
      </w:r>
      <w:r w:rsidR="00E045D9" w:rsidRPr="00D5464D">
        <w:rPr>
          <w:lang w:val="pt-BR"/>
        </w:rPr>
        <w:t>garantid</w:t>
      </w:r>
      <w:r w:rsidR="006C5E11" w:rsidRPr="00D5464D">
        <w:rPr>
          <w:lang w:val="pt-BR"/>
        </w:rPr>
        <w:t>o</w:t>
      </w:r>
      <w:r w:rsidR="00E045D9" w:rsidRPr="00D5464D">
        <w:rPr>
          <w:lang w:val="pt-BR"/>
        </w:rPr>
        <w:t xml:space="preserve"> na </w:t>
      </w:r>
      <w:r w:rsidR="006C5E11" w:rsidRPr="00D5464D">
        <w:rPr>
          <w:lang w:val="pt-BR"/>
        </w:rPr>
        <w:t>Conven</w:t>
      </w:r>
      <w:r w:rsidR="00470ADC" w:rsidRPr="00D5464D">
        <w:rPr>
          <w:lang w:val="pt-BR"/>
        </w:rPr>
        <w:t xml:space="preserve">ção </w:t>
      </w:r>
      <w:r w:rsidRPr="00D5464D">
        <w:rPr>
          <w:lang w:val="pt-BR"/>
        </w:rPr>
        <w:t>será,</w:t>
      </w:r>
      <w:r w:rsidR="00470ADC" w:rsidRPr="00D5464D">
        <w:rPr>
          <w:lang w:val="pt-BR"/>
        </w:rPr>
        <w:t xml:space="preserve"> </w:t>
      </w:r>
      <w:r w:rsidR="006C5E11" w:rsidRPr="00D5464D">
        <w:rPr>
          <w:i/>
          <w:lang w:val="pt-BR"/>
        </w:rPr>
        <w:t>per se</w:t>
      </w:r>
      <w:r w:rsidRPr="00D5464D">
        <w:rPr>
          <w:i/>
          <w:lang w:val="pt-BR"/>
        </w:rPr>
        <w:t>,</w:t>
      </w:r>
      <w:r w:rsidR="006C5E11" w:rsidRPr="00D5464D">
        <w:rPr>
          <w:lang w:val="pt-BR"/>
        </w:rPr>
        <w:t xml:space="preserve"> in</w:t>
      </w:r>
      <w:r w:rsidR="00470ADC" w:rsidRPr="00D5464D">
        <w:rPr>
          <w:lang w:val="pt-BR"/>
        </w:rPr>
        <w:t>compatível com</w:t>
      </w:r>
      <w:r w:rsidR="002C330E" w:rsidRPr="00D5464D">
        <w:rPr>
          <w:lang w:val="pt-BR"/>
        </w:rPr>
        <w:t xml:space="preserve"> a mesm</w:t>
      </w:r>
      <w:r w:rsidR="006C5E11" w:rsidRPr="00D5464D">
        <w:rPr>
          <w:lang w:val="pt-BR"/>
        </w:rPr>
        <w:t>a</w:t>
      </w:r>
      <w:r w:rsidRPr="00D5464D">
        <w:rPr>
          <w:lang w:val="pt-BR"/>
        </w:rPr>
        <w:t>.</w:t>
      </w:r>
      <w:r w:rsidR="006C5E11" w:rsidRPr="00D5464D">
        <w:rPr>
          <w:rStyle w:val="Refdenotaalpie"/>
          <w:lang w:val="pt-BR"/>
        </w:rPr>
        <w:footnoteReference w:id="468"/>
      </w:r>
      <w:r w:rsidR="00A1358C" w:rsidRPr="00D5464D">
        <w:rPr>
          <w:lang w:val="pt-BR"/>
        </w:rPr>
        <w:t xml:space="preserve"> O </w:t>
      </w:r>
      <w:r w:rsidR="002C330E" w:rsidRPr="00D5464D">
        <w:rPr>
          <w:rFonts w:cs="Arial"/>
          <w:lang w:val="pt-BR"/>
        </w:rPr>
        <w:t xml:space="preserve">descumprimento </w:t>
      </w:r>
      <w:r w:rsidRPr="00D5464D">
        <w:rPr>
          <w:rFonts w:cs="Arial"/>
          <w:lang w:val="pt-BR"/>
        </w:rPr>
        <w:t xml:space="preserve">da obrigação geral de respeitar e garantir os direitos humanos por parte do </w:t>
      </w:r>
      <w:r w:rsidR="006C5E11" w:rsidRPr="00D5464D">
        <w:rPr>
          <w:rFonts w:cs="Arial"/>
          <w:lang w:val="pt-BR"/>
        </w:rPr>
        <w:t xml:space="preserve">Estado, </w:t>
      </w:r>
      <w:r w:rsidRPr="00D5464D">
        <w:rPr>
          <w:rFonts w:cs="Arial"/>
          <w:lang w:val="pt-BR"/>
        </w:rPr>
        <w:t xml:space="preserve">através de </w:t>
      </w:r>
      <w:r w:rsidR="00470ADC" w:rsidRPr="00D5464D">
        <w:rPr>
          <w:rFonts w:cs="Arial"/>
          <w:lang w:val="pt-BR"/>
        </w:rPr>
        <w:t>qualquer</w:t>
      </w:r>
      <w:r w:rsidR="006C5E11" w:rsidRPr="00D5464D">
        <w:rPr>
          <w:rFonts w:cs="Arial"/>
          <w:lang w:val="pt-BR"/>
        </w:rPr>
        <w:t xml:space="preserve"> </w:t>
      </w:r>
      <w:r w:rsidR="00E045D9" w:rsidRPr="00D5464D">
        <w:rPr>
          <w:rFonts w:cs="Arial"/>
          <w:lang w:val="pt-BR"/>
        </w:rPr>
        <w:t>tratamento</w:t>
      </w:r>
      <w:r w:rsidR="006C5E11" w:rsidRPr="00D5464D">
        <w:rPr>
          <w:rFonts w:cs="Arial"/>
          <w:lang w:val="pt-BR"/>
        </w:rPr>
        <w:t xml:space="preserve"> </w:t>
      </w:r>
      <w:r w:rsidR="00A1358C" w:rsidRPr="00D5464D">
        <w:rPr>
          <w:rFonts w:cs="Arial"/>
          <w:lang w:val="pt-BR"/>
        </w:rPr>
        <w:t>discriminatóri</w:t>
      </w:r>
      <w:r w:rsidR="006C5E11" w:rsidRPr="00D5464D">
        <w:rPr>
          <w:rFonts w:cs="Arial"/>
          <w:lang w:val="pt-BR"/>
        </w:rPr>
        <w:t>o,</w:t>
      </w:r>
      <w:r w:rsidR="00470ADC" w:rsidRPr="00D5464D">
        <w:rPr>
          <w:rFonts w:cs="Arial"/>
          <w:lang w:val="pt-BR"/>
        </w:rPr>
        <w:t xml:space="preserve"> </w:t>
      </w:r>
      <w:r w:rsidR="006C5E11" w:rsidRPr="00D5464D">
        <w:rPr>
          <w:rFonts w:cs="Arial"/>
          <w:lang w:val="pt-BR"/>
        </w:rPr>
        <w:t xml:space="preserve">gera </w:t>
      </w:r>
      <w:r w:rsidRPr="00D5464D">
        <w:rPr>
          <w:rFonts w:cs="Arial"/>
          <w:lang w:val="pt-BR"/>
        </w:rPr>
        <w:t xml:space="preserve">sua </w:t>
      </w:r>
      <w:r w:rsidR="002C330E" w:rsidRPr="00D5464D">
        <w:rPr>
          <w:rFonts w:cs="Arial"/>
          <w:lang w:val="pt-BR"/>
        </w:rPr>
        <w:t xml:space="preserve">responsabilidade </w:t>
      </w:r>
      <w:r w:rsidR="006C5E11" w:rsidRPr="00D5464D">
        <w:rPr>
          <w:rFonts w:cs="Arial"/>
          <w:lang w:val="pt-BR"/>
        </w:rPr>
        <w:t>internacional</w:t>
      </w:r>
      <w:r w:rsidRPr="00D5464D">
        <w:rPr>
          <w:rFonts w:cs="Arial"/>
          <w:lang w:val="pt-BR"/>
        </w:rPr>
        <w:t>.</w:t>
      </w:r>
      <w:r w:rsidR="006C5E11" w:rsidRPr="00D5464D">
        <w:rPr>
          <w:rFonts w:cs="Arial"/>
          <w:vertAlign w:val="superscript"/>
          <w:lang w:val="pt-BR"/>
        </w:rPr>
        <w:footnoteReference w:id="469"/>
      </w:r>
      <w:r w:rsidR="00470ADC" w:rsidRPr="00D5464D">
        <w:rPr>
          <w:rFonts w:cs="Arial"/>
          <w:lang w:val="pt-BR"/>
        </w:rPr>
        <w:t xml:space="preserve"> </w:t>
      </w:r>
      <w:r w:rsidRPr="00D5464D">
        <w:rPr>
          <w:rFonts w:cs="Arial"/>
          <w:lang w:val="pt-BR"/>
        </w:rPr>
        <w:t xml:space="preserve">Por esta razão </w:t>
      </w:r>
      <w:r w:rsidR="006C5E11" w:rsidRPr="00D5464D">
        <w:rPr>
          <w:rFonts w:cs="Arial"/>
          <w:lang w:val="pt-BR"/>
        </w:rPr>
        <w:t>existe</w:t>
      </w:r>
      <w:r w:rsidR="00E045D9" w:rsidRPr="00D5464D">
        <w:rPr>
          <w:rFonts w:cs="Arial"/>
          <w:lang w:val="pt-BR"/>
        </w:rPr>
        <w:t xml:space="preserve"> um </w:t>
      </w:r>
      <w:r w:rsidR="006C5E11" w:rsidRPr="00D5464D">
        <w:rPr>
          <w:rFonts w:cs="Arial"/>
          <w:lang w:val="pt-BR"/>
        </w:rPr>
        <w:t xml:space="preserve">vínculo </w:t>
      </w:r>
      <w:r w:rsidR="00EB1CE9" w:rsidRPr="00D5464D">
        <w:rPr>
          <w:rFonts w:cs="Arial"/>
          <w:lang w:val="pt-BR"/>
        </w:rPr>
        <w:t>indissolúvel</w:t>
      </w:r>
      <w:r w:rsidR="006C5E11" w:rsidRPr="00D5464D">
        <w:rPr>
          <w:rFonts w:cs="Arial"/>
          <w:lang w:val="pt-BR"/>
        </w:rPr>
        <w:t xml:space="preserve"> entre</w:t>
      </w:r>
      <w:r w:rsidR="002C330E" w:rsidRPr="00D5464D">
        <w:rPr>
          <w:rFonts w:cs="Arial"/>
          <w:lang w:val="pt-BR"/>
        </w:rPr>
        <w:t xml:space="preserve"> a obrigação</w:t>
      </w:r>
      <w:r w:rsidR="006C5E11" w:rsidRPr="00D5464D">
        <w:rPr>
          <w:rFonts w:cs="Arial"/>
          <w:lang w:val="pt-BR"/>
        </w:rPr>
        <w:t xml:space="preserve"> de </w:t>
      </w:r>
      <w:r w:rsidR="002C330E" w:rsidRPr="00D5464D">
        <w:rPr>
          <w:rFonts w:cs="Arial"/>
          <w:lang w:val="pt-BR"/>
        </w:rPr>
        <w:t>respeitar</w:t>
      </w:r>
      <w:r w:rsidR="00E045D9" w:rsidRPr="00D5464D">
        <w:rPr>
          <w:rFonts w:cs="Arial"/>
          <w:lang w:val="pt-BR"/>
        </w:rPr>
        <w:t xml:space="preserve"> e </w:t>
      </w:r>
      <w:r w:rsidR="002C330E" w:rsidRPr="00D5464D">
        <w:rPr>
          <w:rFonts w:cs="Arial"/>
          <w:lang w:val="pt-BR"/>
        </w:rPr>
        <w:t xml:space="preserve">garantir os </w:t>
      </w:r>
      <w:r w:rsidR="00470ADC" w:rsidRPr="00D5464D">
        <w:rPr>
          <w:rFonts w:cs="Arial"/>
          <w:lang w:val="pt-BR"/>
        </w:rPr>
        <w:t>direito</w:t>
      </w:r>
      <w:r w:rsidR="006C5E11" w:rsidRPr="00D5464D">
        <w:rPr>
          <w:rFonts w:cs="Arial"/>
          <w:lang w:val="pt-BR"/>
        </w:rPr>
        <w:t>s humanos</w:t>
      </w:r>
      <w:r w:rsidR="00E045D9" w:rsidRPr="00D5464D">
        <w:rPr>
          <w:rFonts w:cs="Arial"/>
          <w:lang w:val="pt-BR"/>
        </w:rPr>
        <w:t xml:space="preserve"> e </w:t>
      </w:r>
      <w:r w:rsidR="00470ADC" w:rsidRPr="00D5464D">
        <w:rPr>
          <w:rFonts w:cs="Arial"/>
          <w:lang w:val="pt-BR"/>
        </w:rPr>
        <w:t xml:space="preserve">o </w:t>
      </w:r>
      <w:r w:rsidR="002C330E" w:rsidRPr="00D5464D">
        <w:rPr>
          <w:rFonts w:cs="Arial"/>
          <w:lang w:val="pt-BR"/>
        </w:rPr>
        <w:t>princípio</w:t>
      </w:r>
      <w:r w:rsidR="006C5E11" w:rsidRPr="00D5464D">
        <w:rPr>
          <w:rFonts w:cs="Arial"/>
          <w:lang w:val="pt-BR"/>
        </w:rPr>
        <w:t xml:space="preserve"> de </w:t>
      </w:r>
      <w:r w:rsidR="002C330E" w:rsidRPr="00D5464D">
        <w:rPr>
          <w:rFonts w:cs="Arial"/>
          <w:lang w:val="pt-BR"/>
        </w:rPr>
        <w:t>igualdade</w:t>
      </w:r>
      <w:r w:rsidR="00E045D9" w:rsidRPr="00D5464D">
        <w:rPr>
          <w:rFonts w:cs="Arial"/>
          <w:lang w:val="pt-BR"/>
        </w:rPr>
        <w:t xml:space="preserve"> e</w:t>
      </w:r>
      <w:r w:rsidR="00A1358C" w:rsidRPr="00D5464D">
        <w:rPr>
          <w:rFonts w:cs="Arial"/>
          <w:lang w:val="pt-BR"/>
        </w:rPr>
        <w:t xml:space="preserve"> não discriminação</w:t>
      </w:r>
      <w:r w:rsidRPr="00D5464D">
        <w:rPr>
          <w:rFonts w:cs="Arial"/>
          <w:lang w:val="pt-BR"/>
        </w:rPr>
        <w:t>.</w:t>
      </w:r>
      <w:r w:rsidR="006C5E11" w:rsidRPr="00D5464D">
        <w:rPr>
          <w:rFonts w:cs="Arial"/>
          <w:vertAlign w:val="superscript"/>
          <w:lang w:val="pt-BR"/>
        </w:rPr>
        <w:footnoteReference w:id="470"/>
      </w:r>
      <w:r w:rsidR="00A1358C" w:rsidRPr="00D5464D">
        <w:rPr>
          <w:rFonts w:cs="Arial"/>
          <w:lang w:val="pt-BR"/>
        </w:rPr>
        <w:t xml:space="preserve"> A </w:t>
      </w:r>
      <w:r w:rsidR="00737270" w:rsidRPr="00D5464D">
        <w:rPr>
          <w:rFonts w:cs="Arial"/>
          <w:lang w:val="pt-BR"/>
        </w:rPr>
        <w:t>este respeito</w:t>
      </w:r>
      <w:r w:rsidR="006C5E11" w:rsidRPr="00D5464D">
        <w:rPr>
          <w:rFonts w:cs="Arial"/>
          <w:lang w:val="pt-BR"/>
        </w:rPr>
        <w:t>,</w:t>
      </w:r>
      <w:r w:rsidR="002C330E" w:rsidRPr="00D5464D">
        <w:rPr>
          <w:rFonts w:cs="Arial"/>
          <w:lang w:val="pt-BR"/>
        </w:rPr>
        <w:t xml:space="preserve"> a </w:t>
      </w:r>
      <w:r w:rsidR="006C5E11" w:rsidRPr="00D5464D">
        <w:rPr>
          <w:rFonts w:cs="Arial"/>
          <w:lang w:val="pt-BR"/>
        </w:rPr>
        <w:t xml:space="preserve">Corte destaca que </w:t>
      </w:r>
      <w:r w:rsidRPr="00D5464D">
        <w:rPr>
          <w:rFonts w:cs="Arial"/>
          <w:lang w:val="pt-BR"/>
        </w:rPr>
        <w:t xml:space="preserve">diferentemente </w:t>
      </w:r>
      <w:r w:rsidR="006C5E11" w:rsidRPr="00D5464D">
        <w:rPr>
          <w:rFonts w:cs="Arial"/>
          <w:lang w:val="pt-BR"/>
        </w:rPr>
        <w:t xml:space="preserve">de </w:t>
      </w:r>
      <w:r w:rsidR="002C330E" w:rsidRPr="00D5464D">
        <w:rPr>
          <w:rFonts w:cs="Arial"/>
          <w:lang w:val="pt-BR"/>
        </w:rPr>
        <w:t>outros</w:t>
      </w:r>
      <w:r w:rsidR="006C5E11" w:rsidRPr="00D5464D">
        <w:rPr>
          <w:rFonts w:cs="Arial"/>
          <w:lang w:val="pt-BR"/>
        </w:rPr>
        <w:t xml:space="preserve"> tratados de </w:t>
      </w:r>
      <w:r w:rsidR="00470ADC" w:rsidRPr="00D5464D">
        <w:rPr>
          <w:rFonts w:cs="Arial"/>
          <w:lang w:val="pt-BR"/>
        </w:rPr>
        <w:t>direito</w:t>
      </w:r>
      <w:r w:rsidR="006C5E11" w:rsidRPr="00D5464D">
        <w:rPr>
          <w:rFonts w:cs="Arial"/>
          <w:lang w:val="pt-BR"/>
        </w:rPr>
        <w:t>s humanos,</w:t>
      </w:r>
      <w:r w:rsidR="002C330E" w:rsidRPr="00D5464D">
        <w:rPr>
          <w:rFonts w:cs="Arial"/>
          <w:lang w:val="pt-BR"/>
        </w:rPr>
        <w:t xml:space="preserve"> a </w:t>
      </w:r>
      <w:r w:rsidR="006C5E11" w:rsidRPr="00D5464D">
        <w:rPr>
          <w:rFonts w:cs="Arial"/>
          <w:lang w:val="pt-BR"/>
        </w:rPr>
        <w:t>“posi</w:t>
      </w:r>
      <w:r w:rsidR="00470ADC" w:rsidRPr="00D5464D">
        <w:rPr>
          <w:rFonts w:cs="Arial"/>
          <w:lang w:val="pt-BR"/>
        </w:rPr>
        <w:t>ção</w:t>
      </w:r>
      <w:r w:rsidR="006C5E11" w:rsidRPr="00D5464D">
        <w:rPr>
          <w:rFonts w:cs="Arial"/>
          <w:lang w:val="pt-BR"/>
        </w:rPr>
        <w:t xml:space="preserve"> </w:t>
      </w:r>
      <w:r w:rsidR="00470ADC" w:rsidRPr="00D5464D">
        <w:rPr>
          <w:rFonts w:cs="Arial"/>
          <w:lang w:val="pt-BR"/>
        </w:rPr>
        <w:t>econômic</w:t>
      </w:r>
      <w:r w:rsidR="006C5E11" w:rsidRPr="00D5464D">
        <w:rPr>
          <w:rFonts w:cs="Arial"/>
          <w:lang w:val="pt-BR"/>
        </w:rPr>
        <w:t>a”</w:t>
      </w:r>
      <w:r w:rsidR="00470ADC" w:rsidRPr="00D5464D">
        <w:rPr>
          <w:rFonts w:cs="Arial"/>
          <w:lang w:val="pt-BR"/>
        </w:rPr>
        <w:t xml:space="preserve"> da </w:t>
      </w:r>
      <w:r w:rsidR="002C330E" w:rsidRPr="00D5464D">
        <w:rPr>
          <w:rFonts w:cs="Arial"/>
          <w:lang w:val="pt-BR"/>
        </w:rPr>
        <w:t>pessoa</w:t>
      </w:r>
      <w:r w:rsidR="00470ADC" w:rsidRPr="00D5464D">
        <w:rPr>
          <w:rFonts w:cs="Arial"/>
          <w:lang w:val="pt-BR"/>
        </w:rPr>
        <w:t xml:space="preserve"> é</w:t>
      </w:r>
      <w:r w:rsidR="00E045D9" w:rsidRPr="00D5464D">
        <w:rPr>
          <w:rFonts w:cs="Arial"/>
          <w:lang w:val="pt-BR"/>
        </w:rPr>
        <w:t xml:space="preserve"> uma </w:t>
      </w:r>
      <w:r w:rsidR="00470ADC" w:rsidRPr="00D5464D">
        <w:rPr>
          <w:rFonts w:cs="Arial"/>
          <w:lang w:val="pt-BR"/>
        </w:rPr>
        <w:t xml:space="preserve">das </w:t>
      </w:r>
      <w:r w:rsidRPr="00D5464D">
        <w:rPr>
          <w:rFonts w:cs="Arial"/>
          <w:lang w:val="pt-BR"/>
        </w:rPr>
        <w:t xml:space="preserve">causas </w:t>
      </w:r>
      <w:r w:rsidR="006C5E11" w:rsidRPr="00D5464D">
        <w:rPr>
          <w:rFonts w:cs="Arial"/>
          <w:lang w:val="pt-BR"/>
        </w:rPr>
        <w:t>de discrimina</w:t>
      </w:r>
      <w:r w:rsidR="00470ADC" w:rsidRPr="00D5464D">
        <w:rPr>
          <w:rFonts w:cs="Arial"/>
          <w:lang w:val="pt-BR"/>
        </w:rPr>
        <w:t>ção</w:t>
      </w:r>
      <w:r w:rsidR="006C5E11" w:rsidRPr="00D5464D">
        <w:rPr>
          <w:rFonts w:cs="Arial"/>
          <w:lang w:val="pt-BR"/>
        </w:rPr>
        <w:t xml:space="preserve"> </w:t>
      </w:r>
      <w:r w:rsidR="00737270" w:rsidRPr="00D5464D">
        <w:rPr>
          <w:rFonts w:cs="Arial"/>
          <w:lang w:val="pt-BR"/>
        </w:rPr>
        <w:t>proibid</w:t>
      </w:r>
      <w:r w:rsidR="006C5E11" w:rsidRPr="00D5464D">
        <w:rPr>
          <w:rFonts w:cs="Arial"/>
          <w:lang w:val="pt-BR"/>
        </w:rPr>
        <w:t>as</w:t>
      </w:r>
      <w:r w:rsidR="002C330E" w:rsidRPr="00D5464D">
        <w:rPr>
          <w:rFonts w:cs="Arial"/>
          <w:lang w:val="pt-BR"/>
        </w:rPr>
        <w:t xml:space="preserve"> pelo </w:t>
      </w:r>
      <w:r w:rsidR="00470ADC" w:rsidRPr="00D5464D">
        <w:rPr>
          <w:rFonts w:cs="Arial"/>
          <w:lang w:val="pt-BR"/>
        </w:rPr>
        <w:t>artigo</w:t>
      </w:r>
      <w:r w:rsidR="006C5E11" w:rsidRPr="00D5464D">
        <w:rPr>
          <w:rFonts w:cs="Arial"/>
          <w:lang w:val="pt-BR"/>
        </w:rPr>
        <w:t xml:space="preserve"> 1.1</w:t>
      </w:r>
      <w:r w:rsidR="00470ADC" w:rsidRPr="00D5464D">
        <w:rPr>
          <w:rFonts w:cs="Arial"/>
          <w:lang w:val="pt-BR"/>
        </w:rPr>
        <w:t xml:space="preserve"> da </w:t>
      </w:r>
      <w:r w:rsidR="006C5E11" w:rsidRPr="00D5464D">
        <w:rPr>
          <w:rFonts w:cs="Arial"/>
          <w:lang w:val="pt-BR"/>
        </w:rPr>
        <w:t>Conven</w:t>
      </w:r>
      <w:r w:rsidR="00470ADC" w:rsidRPr="00D5464D">
        <w:rPr>
          <w:rFonts w:cs="Arial"/>
          <w:lang w:val="pt-BR"/>
        </w:rPr>
        <w:t>ção</w:t>
      </w:r>
      <w:r w:rsidR="006C5E11" w:rsidRPr="00D5464D">
        <w:rPr>
          <w:rFonts w:cs="Arial"/>
          <w:lang w:val="pt-BR"/>
        </w:rPr>
        <w:t xml:space="preserve"> Americana. </w:t>
      </w:r>
    </w:p>
    <w:p w14:paraId="7955C809" w14:textId="77777777" w:rsidR="00DE3E58" w:rsidRPr="00D5464D" w:rsidRDefault="00DE3E58" w:rsidP="00DE3E58">
      <w:pPr>
        <w:pStyle w:val="Estilo1"/>
        <w:tabs>
          <w:tab w:val="left" w:pos="567"/>
          <w:tab w:val="left" w:pos="1134"/>
        </w:tabs>
        <w:spacing w:after="0"/>
        <w:ind w:left="0" w:right="0" w:firstLine="0"/>
        <w:jc w:val="both"/>
        <w:rPr>
          <w:i w:val="0"/>
          <w:lang w:val="pt-BR"/>
        </w:rPr>
      </w:pPr>
    </w:p>
    <w:p w14:paraId="1633473D" w14:textId="7C83AA3D" w:rsidR="006C5E11" w:rsidRPr="00D5464D" w:rsidRDefault="00470ADC" w:rsidP="006C5E11">
      <w:pPr>
        <w:pStyle w:val="Estilo1"/>
        <w:numPr>
          <w:ilvl w:val="0"/>
          <w:numId w:val="1"/>
        </w:numPr>
        <w:tabs>
          <w:tab w:val="left" w:pos="567"/>
          <w:tab w:val="left" w:pos="1134"/>
        </w:tabs>
        <w:spacing w:after="0"/>
        <w:ind w:right="0"/>
        <w:jc w:val="both"/>
        <w:rPr>
          <w:i w:val="0"/>
          <w:lang w:val="pt-BR"/>
        </w:rPr>
      </w:pPr>
      <w:r w:rsidRPr="00D5464D">
        <w:rPr>
          <w:rFonts w:cs="Arial"/>
          <w:i w:val="0"/>
          <w:lang w:val="pt-BR"/>
        </w:rPr>
        <w:t xml:space="preserve">A </w:t>
      </w:r>
      <w:r w:rsidR="006C5E11" w:rsidRPr="00D5464D">
        <w:rPr>
          <w:i w:val="0"/>
          <w:lang w:val="pt-BR"/>
        </w:rPr>
        <w:t xml:space="preserve">Corte </w:t>
      </w:r>
      <w:r w:rsidR="00737270" w:rsidRPr="00D5464D">
        <w:rPr>
          <w:i w:val="0"/>
          <w:lang w:val="pt-BR"/>
        </w:rPr>
        <w:t>indicou</w:t>
      </w:r>
      <w:r w:rsidR="006C5E11" w:rsidRPr="00D5464D">
        <w:rPr>
          <w:i w:val="0"/>
          <w:lang w:val="pt-BR"/>
        </w:rPr>
        <w:t xml:space="preserve"> que </w:t>
      </w:r>
      <w:r w:rsidRPr="00D5464D">
        <w:rPr>
          <w:i w:val="0"/>
          <w:lang w:val="pt-BR"/>
        </w:rPr>
        <w:t>“os</w:t>
      </w:r>
      <w:r w:rsidR="006C5E11" w:rsidRPr="00D5464D">
        <w:rPr>
          <w:i w:val="0"/>
          <w:lang w:val="pt-BR"/>
        </w:rPr>
        <w:t xml:space="preserve"> Estados </w:t>
      </w:r>
      <w:r w:rsidRPr="00D5464D">
        <w:rPr>
          <w:i w:val="0"/>
          <w:lang w:val="pt-BR"/>
        </w:rPr>
        <w:t>devem</w:t>
      </w:r>
      <w:r w:rsidR="006C5E11" w:rsidRPr="00D5464D">
        <w:rPr>
          <w:i w:val="0"/>
          <w:lang w:val="pt-BR"/>
        </w:rPr>
        <w:t xml:space="preserve"> </w:t>
      </w:r>
      <w:r w:rsidR="00371FF8" w:rsidRPr="00D5464D">
        <w:rPr>
          <w:i w:val="0"/>
          <w:lang w:val="pt-BR"/>
        </w:rPr>
        <w:t xml:space="preserve">se </w:t>
      </w:r>
      <w:r w:rsidR="00737270" w:rsidRPr="00D5464D">
        <w:rPr>
          <w:i w:val="0"/>
          <w:lang w:val="pt-BR"/>
        </w:rPr>
        <w:t>abster</w:t>
      </w:r>
      <w:r w:rsidR="006C5E11" w:rsidRPr="00D5464D">
        <w:rPr>
          <w:i w:val="0"/>
          <w:lang w:val="pt-BR"/>
        </w:rPr>
        <w:t xml:space="preserve"> de realizar </w:t>
      </w:r>
      <w:r w:rsidRPr="00D5464D">
        <w:rPr>
          <w:i w:val="0"/>
          <w:lang w:val="pt-BR"/>
        </w:rPr>
        <w:t>ações</w:t>
      </w:r>
      <w:r w:rsidR="006C5E11" w:rsidRPr="00D5464D">
        <w:rPr>
          <w:i w:val="0"/>
          <w:lang w:val="pt-BR"/>
        </w:rPr>
        <w:t xml:space="preserve"> </w:t>
      </w:r>
      <w:r w:rsidR="00371FF8" w:rsidRPr="00D5464D">
        <w:rPr>
          <w:i w:val="0"/>
          <w:lang w:val="pt-BR"/>
        </w:rPr>
        <w:t xml:space="preserve">as quais, </w:t>
      </w:r>
      <w:r w:rsidR="006C5E11" w:rsidRPr="00D5464D">
        <w:rPr>
          <w:i w:val="0"/>
          <w:lang w:val="pt-BR"/>
        </w:rPr>
        <w:t xml:space="preserve">de </w:t>
      </w:r>
      <w:r w:rsidRPr="00D5464D">
        <w:rPr>
          <w:i w:val="0"/>
          <w:lang w:val="pt-BR"/>
        </w:rPr>
        <w:t>qualquer</w:t>
      </w:r>
      <w:r w:rsidR="006C5E11" w:rsidRPr="00D5464D">
        <w:rPr>
          <w:i w:val="0"/>
          <w:lang w:val="pt-BR"/>
        </w:rPr>
        <w:t xml:space="preserve"> </w:t>
      </w:r>
      <w:r w:rsidR="002C330E" w:rsidRPr="00D5464D">
        <w:rPr>
          <w:i w:val="0"/>
          <w:lang w:val="pt-BR"/>
        </w:rPr>
        <w:t>maneira</w:t>
      </w:r>
      <w:r w:rsidR="00371FF8" w:rsidRPr="00D5464D">
        <w:rPr>
          <w:i w:val="0"/>
          <w:lang w:val="pt-BR"/>
        </w:rPr>
        <w:t xml:space="preserve">, estejam </w:t>
      </w:r>
      <w:r w:rsidR="006C5E11" w:rsidRPr="00D5464D">
        <w:rPr>
          <w:i w:val="0"/>
          <w:lang w:val="pt-BR"/>
        </w:rPr>
        <w:t xml:space="preserve">dirigidas, </w:t>
      </w:r>
      <w:r w:rsidRPr="00D5464D">
        <w:rPr>
          <w:i w:val="0"/>
          <w:lang w:val="pt-BR"/>
        </w:rPr>
        <w:t>diret</w:t>
      </w:r>
      <w:r w:rsidR="006C5E11" w:rsidRPr="00D5464D">
        <w:rPr>
          <w:i w:val="0"/>
          <w:lang w:val="pt-BR"/>
        </w:rPr>
        <w:t>a o</w:t>
      </w:r>
      <w:r w:rsidR="00371FF8" w:rsidRPr="00D5464D">
        <w:rPr>
          <w:i w:val="0"/>
          <w:lang w:val="pt-BR"/>
        </w:rPr>
        <w:t>u</w:t>
      </w:r>
      <w:r w:rsidR="006C5E11" w:rsidRPr="00D5464D">
        <w:rPr>
          <w:i w:val="0"/>
          <w:lang w:val="pt-BR"/>
        </w:rPr>
        <w:t xml:space="preserve"> in</w:t>
      </w:r>
      <w:r w:rsidRPr="00D5464D">
        <w:rPr>
          <w:i w:val="0"/>
          <w:lang w:val="pt-BR"/>
        </w:rPr>
        <w:t>diret</w:t>
      </w:r>
      <w:r w:rsidR="006C5E11" w:rsidRPr="00D5464D">
        <w:rPr>
          <w:i w:val="0"/>
          <w:lang w:val="pt-BR"/>
        </w:rPr>
        <w:t xml:space="preserve">amente, a </w:t>
      </w:r>
      <w:r w:rsidRPr="00D5464D">
        <w:rPr>
          <w:i w:val="0"/>
          <w:lang w:val="pt-BR"/>
        </w:rPr>
        <w:t>criar</w:t>
      </w:r>
      <w:r w:rsidR="006C5E11" w:rsidRPr="00D5464D">
        <w:rPr>
          <w:i w:val="0"/>
          <w:lang w:val="pt-BR"/>
        </w:rPr>
        <w:t xml:space="preserve"> situa</w:t>
      </w:r>
      <w:r w:rsidRPr="00D5464D">
        <w:rPr>
          <w:i w:val="0"/>
          <w:lang w:val="pt-BR"/>
        </w:rPr>
        <w:t>ções</w:t>
      </w:r>
      <w:r w:rsidR="006C5E11" w:rsidRPr="00D5464D">
        <w:rPr>
          <w:i w:val="0"/>
          <w:lang w:val="pt-BR"/>
        </w:rPr>
        <w:t xml:space="preserve"> de discrimina</w:t>
      </w:r>
      <w:r w:rsidRPr="00D5464D">
        <w:rPr>
          <w:i w:val="0"/>
          <w:lang w:val="pt-BR"/>
        </w:rPr>
        <w:t>ção</w:t>
      </w:r>
      <w:r w:rsidR="006C5E11" w:rsidRPr="00D5464D">
        <w:rPr>
          <w:i w:val="0"/>
          <w:lang w:val="pt-BR"/>
        </w:rPr>
        <w:t xml:space="preserve"> </w:t>
      </w:r>
      <w:r w:rsidR="006C5E11" w:rsidRPr="00D5464D">
        <w:rPr>
          <w:lang w:val="pt-BR"/>
        </w:rPr>
        <w:t>de</w:t>
      </w:r>
      <w:r w:rsidR="006C5E11" w:rsidRPr="00D5464D">
        <w:rPr>
          <w:i w:val="0"/>
          <w:lang w:val="pt-BR"/>
        </w:rPr>
        <w:t xml:space="preserve"> </w:t>
      </w:r>
      <w:r w:rsidR="006C5E11" w:rsidRPr="00D5464D">
        <w:rPr>
          <w:lang w:val="pt-BR"/>
        </w:rPr>
        <w:t>jure</w:t>
      </w:r>
      <w:r w:rsidR="006C5E11" w:rsidRPr="00D5464D">
        <w:rPr>
          <w:i w:val="0"/>
          <w:lang w:val="pt-BR"/>
        </w:rPr>
        <w:t xml:space="preserve"> o</w:t>
      </w:r>
      <w:r w:rsidR="00371FF8" w:rsidRPr="00D5464D">
        <w:rPr>
          <w:i w:val="0"/>
          <w:lang w:val="pt-BR"/>
        </w:rPr>
        <w:t>u</w:t>
      </w:r>
      <w:r w:rsidR="006C5E11" w:rsidRPr="00D5464D">
        <w:rPr>
          <w:i w:val="0"/>
          <w:lang w:val="pt-BR"/>
        </w:rPr>
        <w:t xml:space="preserve"> </w:t>
      </w:r>
      <w:r w:rsidR="006C5E11" w:rsidRPr="00D5464D">
        <w:rPr>
          <w:lang w:val="pt-BR"/>
        </w:rPr>
        <w:t>de</w:t>
      </w:r>
      <w:r w:rsidR="006C5E11" w:rsidRPr="00D5464D">
        <w:rPr>
          <w:i w:val="0"/>
          <w:lang w:val="pt-BR"/>
        </w:rPr>
        <w:t xml:space="preserve"> </w:t>
      </w:r>
      <w:r w:rsidRPr="00D5464D">
        <w:rPr>
          <w:lang w:val="pt-BR"/>
        </w:rPr>
        <w:t>fa</w:t>
      </w:r>
      <w:r w:rsidR="00371FF8" w:rsidRPr="00D5464D">
        <w:rPr>
          <w:lang w:val="pt-BR"/>
        </w:rPr>
        <w:t>c</w:t>
      </w:r>
      <w:r w:rsidRPr="00D5464D">
        <w:rPr>
          <w:lang w:val="pt-BR"/>
        </w:rPr>
        <w:t>to</w:t>
      </w:r>
      <w:r w:rsidR="006C5E11" w:rsidRPr="00D5464D">
        <w:rPr>
          <w:i w:val="0"/>
          <w:lang w:val="pt-BR"/>
        </w:rPr>
        <w:t>”</w:t>
      </w:r>
      <w:r w:rsidR="00371FF8" w:rsidRPr="00D5464D">
        <w:rPr>
          <w:i w:val="0"/>
          <w:lang w:val="pt-BR"/>
        </w:rPr>
        <w:t>.</w:t>
      </w:r>
      <w:r w:rsidR="006C5E11" w:rsidRPr="00D5464D">
        <w:rPr>
          <w:i w:val="0"/>
          <w:vertAlign w:val="superscript"/>
          <w:lang w:val="pt-BR"/>
        </w:rPr>
        <w:footnoteReference w:id="471"/>
      </w:r>
      <w:r w:rsidR="00C91CB1" w:rsidRPr="00D5464D">
        <w:rPr>
          <w:i w:val="0"/>
          <w:lang w:val="pt-BR"/>
        </w:rPr>
        <w:t xml:space="preserve"> Os </w:t>
      </w:r>
      <w:r w:rsidR="006C5E11" w:rsidRPr="00D5464D">
        <w:rPr>
          <w:i w:val="0"/>
          <w:lang w:val="pt-BR"/>
        </w:rPr>
        <w:t>Estados</w:t>
      </w:r>
      <w:r w:rsidRPr="00D5464D">
        <w:rPr>
          <w:i w:val="0"/>
          <w:lang w:val="pt-BR"/>
        </w:rPr>
        <w:t xml:space="preserve"> estão </w:t>
      </w:r>
      <w:r w:rsidR="002C330E" w:rsidRPr="00D5464D">
        <w:rPr>
          <w:i w:val="0"/>
          <w:lang w:val="pt-BR"/>
        </w:rPr>
        <w:t>obrigad</w:t>
      </w:r>
      <w:r w:rsidR="006C5E11" w:rsidRPr="00D5464D">
        <w:rPr>
          <w:i w:val="0"/>
          <w:lang w:val="pt-BR"/>
        </w:rPr>
        <w:t xml:space="preserve">os “a </w:t>
      </w:r>
      <w:r w:rsidRPr="00D5464D">
        <w:rPr>
          <w:i w:val="0"/>
          <w:lang w:val="pt-BR"/>
        </w:rPr>
        <w:t>adot</w:t>
      </w:r>
      <w:r w:rsidR="006C5E11" w:rsidRPr="00D5464D">
        <w:rPr>
          <w:i w:val="0"/>
          <w:lang w:val="pt-BR"/>
        </w:rPr>
        <w:t xml:space="preserve">ar medidas positivas para </w:t>
      </w:r>
      <w:r w:rsidR="00230C71" w:rsidRPr="00D5464D">
        <w:rPr>
          <w:i w:val="0"/>
          <w:lang w:val="pt-BR"/>
        </w:rPr>
        <w:t>reverter</w:t>
      </w:r>
      <w:r w:rsidR="006C5E11" w:rsidRPr="00D5464D">
        <w:rPr>
          <w:i w:val="0"/>
          <w:lang w:val="pt-BR"/>
        </w:rPr>
        <w:t xml:space="preserve"> o</w:t>
      </w:r>
      <w:r w:rsidR="00371FF8" w:rsidRPr="00D5464D">
        <w:rPr>
          <w:i w:val="0"/>
          <w:lang w:val="pt-BR"/>
        </w:rPr>
        <w:t xml:space="preserve">u alterar </w:t>
      </w:r>
      <w:r w:rsidR="006C5E11" w:rsidRPr="00D5464D">
        <w:rPr>
          <w:i w:val="0"/>
          <w:lang w:val="pt-BR"/>
        </w:rPr>
        <w:t>situa</w:t>
      </w:r>
      <w:r w:rsidRPr="00D5464D">
        <w:rPr>
          <w:i w:val="0"/>
          <w:lang w:val="pt-BR"/>
        </w:rPr>
        <w:t>ções</w:t>
      </w:r>
      <w:r w:rsidR="006C5E11" w:rsidRPr="00D5464D">
        <w:rPr>
          <w:i w:val="0"/>
          <w:lang w:val="pt-BR"/>
        </w:rPr>
        <w:t xml:space="preserve"> </w:t>
      </w:r>
      <w:r w:rsidR="00A1358C" w:rsidRPr="00D5464D">
        <w:rPr>
          <w:i w:val="0"/>
          <w:lang w:val="pt-BR"/>
        </w:rPr>
        <w:t>discriminatóri</w:t>
      </w:r>
      <w:r w:rsidR="006C5E11" w:rsidRPr="00D5464D">
        <w:rPr>
          <w:i w:val="0"/>
          <w:lang w:val="pt-BR"/>
        </w:rPr>
        <w:t xml:space="preserve">as </w:t>
      </w:r>
      <w:r w:rsidR="00737270" w:rsidRPr="00D5464D">
        <w:rPr>
          <w:i w:val="0"/>
          <w:lang w:val="pt-BR"/>
        </w:rPr>
        <w:t>existentes</w:t>
      </w:r>
      <w:r w:rsidRPr="00D5464D">
        <w:rPr>
          <w:i w:val="0"/>
          <w:lang w:val="pt-BR"/>
        </w:rPr>
        <w:t xml:space="preserve"> em </w:t>
      </w:r>
      <w:r w:rsidR="006C5E11" w:rsidRPr="00D5464D">
        <w:rPr>
          <w:i w:val="0"/>
          <w:lang w:val="pt-BR"/>
        </w:rPr>
        <w:t>su</w:t>
      </w:r>
      <w:r w:rsidR="00371FF8" w:rsidRPr="00D5464D">
        <w:rPr>
          <w:i w:val="0"/>
          <w:lang w:val="pt-BR"/>
        </w:rPr>
        <w:t>a</w:t>
      </w:r>
      <w:r w:rsidR="006C5E11" w:rsidRPr="00D5464D">
        <w:rPr>
          <w:i w:val="0"/>
          <w:lang w:val="pt-BR"/>
        </w:rPr>
        <w:t>s sociedades,</w:t>
      </w:r>
      <w:r w:rsidRPr="00D5464D">
        <w:rPr>
          <w:i w:val="0"/>
          <w:lang w:val="pt-BR"/>
        </w:rPr>
        <w:t xml:space="preserve"> em </w:t>
      </w:r>
      <w:r w:rsidR="002C330E" w:rsidRPr="00D5464D">
        <w:rPr>
          <w:i w:val="0"/>
          <w:lang w:val="pt-BR"/>
        </w:rPr>
        <w:t>prejuízo</w:t>
      </w:r>
      <w:r w:rsidR="006C5E11" w:rsidRPr="00D5464D">
        <w:rPr>
          <w:i w:val="0"/>
          <w:lang w:val="pt-BR"/>
        </w:rPr>
        <w:t xml:space="preserve"> de determinado grupo de </w:t>
      </w:r>
      <w:r w:rsidR="002C330E" w:rsidRPr="00D5464D">
        <w:rPr>
          <w:i w:val="0"/>
          <w:lang w:val="pt-BR"/>
        </w:rPr>
        <w:t>pessoa</w:t>
      </w:r>
      <w:r w:rsidR="006C5E11" w:rsidRPr="00D5464D">
        <w:rPr>
          <w:i w:val="0"/>
          <w:lang w:val="pt-BR"/>
        </w:rPr>
        <w:t>s.</w:t>
      </w:r>
      <w:r w:rsidR="00350187" w:rsidRPr="00D5464D">
        <w:rPr>
          <w:i w:val="0"/>
          <w:lang w:val="pt-BR"/>
        </w:rPr>
        <w:t xml:space="preserve"> </w:t>
      </w:r>
      <w:r w:rsidR="00371FF8" w:rsidRPr="00D5464D">
        <w:rPr>
          <w:i w:val="0"/>
          <w:lang w:val="pt-BR"/>
        </w:rPr>
        <w:t xml:space="preserve">Isso significa </w:t>
      </w:r>
      <w:r w:rsidRPr="00D5464D">
        <w:rPr>
          <w:i w:val="0"/>
          <w:lang w:val="pt-BR"/>
        </w:rPr>
        <w:t>o dever</w:t>
      </w:r>
      <w:r w:rsidR="006C5E11" w:rsidRPr="00D5464D">
        <w:rPr>
          <w:i w:val="0"/>
          <w:lang w:val="pt-BR"/>
        </w:rPr>
        <w:t xml:space="preserve"> especial de </w:t>
      </w:r>
      <w:r w:rsidR="002C330E" w:rsidRPr="00D5464D">
        <w:rPr>
          <w:i w:val="0"/>
          <w:lang w:val="pt-BR"/>
        </w:rPr>
        <w:t>proteção</w:t>
      </w:r>
      <w:r w:rsidR="006C5E11" w:rsidRPr="00D5464D">
        <w:rPr>
          <w:i w:val="0"/>
          <w:lang w:val="pt-BR"/>
        </w:rPr>
        <w:t xml:space="preserve"> que</w:t>
      </w:r>
      <w:r w:rsidRPr="00D5464D">
        <w:rPr>
          <w:i w:val="0"/>
          <w:lang w:val="pt-BR"/>
        </w:rPr>
        <w:t xml:space="preserve"> o </w:t>
      </w:r>
      <w:r w:rsidR="006C5E11" w:rsidRPr="00D5464D">
        <w:rPr>
          <w:i w:val="0"/>
          <w:lang w:val="pt-BR"/>
        </w:rPr>
        <w:t>Estado</w:t>
      </w:r>
      <w:r w:rsidRPr="00D5464D">
        <w:rPr>
          <w:i w:val="0"/>
          <w:lang w:val="pt-BR"/>
        </w:rPr>
        <w:t xml:space="preserve"> deve exercer com </w:t>
      </w:r>
      <w:r w:rsidR="002C330E" w:rsidRPr="00D5464D">
        <w:rPr>
          <w:i w:val="0"/>
          <w:lang w:val="pt-BR"/>
        </w:rPr>
        <w:t>respeito</w:t>
      </w:r>
      <w:r w:rsidR="006C5E11" w:rsidRPr="00D5464D">
        <w:rPr>
          <w:i w:val="0"/>
          <w:lang w:val="pt-BR"/>
        </w:rPr>
        <w:t xml:space="preserve"> </w:t>
      </w:r>
      <w:r w:rsidR="00371FF8" w:rsidRPr="00D5464D">
        <w:rPr>
          <w:i w:val="0"/>
          <w:lang w:val="pt-BR"/>
        </w:rPr>
        <w:t>a</w:t>
      </w:r>
      <w:r w:rsidR="006C5E11" w:rsidRPr="00D5464D">
        <w:rPr>
          <w:i w:val="0"/>
          <w:lang w:val="pt-BR"/>
        </w:rPr>
        <w:t xml:space="preserve"> </w:t>
      </w:r>
      <w:r w:rsidRPr="00D5464D">
        <w:rPr>
          <w:i w:val="0"/>
          <w:lang w:val="pt-BR"/>
        </w:rPr>
        <w:t>atuações</w:t>
      </w:r>
      <w:r w:rsidR="00E045D9" w:rsidRPr="00D5464D">
        <w:rPr>
          <w:i w:val="0"/>
          <w:lang w:val="pt-BR"/>
        </w:rPr>
        <w:t xml:space="preserve"> e </w:t>
      </w:r>
      <w:r w:rsidR="002C330E" w:rsidRPr="00D5464D">
        <w:rPr>
          <w:i w:val="0"/>
          <w:lang w:val="pt-BR"/>
        </w:rPr>
        <w:t>prática</w:t>
      </w:r>
      <w:r w:rsidR="006C5E11" w:rsidRPr="00D5464D">
        <w:rPr>
          <w:i w:val="0"/>
          <w:lang w:val="pt-BR"/>
        </w:rPr>
        <w:t xml:space="preserve">s de </w:t>
      </w:r>
      <w:r w:rsidR="00E045D9" w:rsidRPr="00D5464D">
        <w:rPr>
          <w:i w:val="0"/>
          <w:lang w:val="pt-BR"/>
        </w:rPr>
        <w:t>terceiro</w:t>
      </w:r>
      <w:r w:rsidR="006C5E11" w:rsidRPr="00D5464D">
        <w:rPr>
          <w:i w:val="0"/>
          <w:lang w:val="pt-BR"/>
        </w:rPr>
        <w:t>s que,</w:t>
      </w:r>
      <w:r w:rsidRPr="00D5464D">
        <w:rPr>
          <w:i w:val="0"/>
          <w:lang w:val="pt-BR"/>
        </w:rPr>
        <w:t xml:space="preserve"> sob </w:t>
      </w:r>
      <w:r w:rsidR="006C5E11" w:rsidRPr="00D5464D">
        <w:rPr>
          <w:i w:val="0"/>
          <w:lang w:val="pt-BR"/>
        </w:rPr>
        <w:t>su</w:t>
      </w:r>
      <w:r w:rsidR="00371FF8" w:rsidRPr="00D5464D">
        <w:rPr>
          <w:i w:val="0"/>
          <w:lang w:val="pt-BR"/>
        </w:rPr>
        <w:t>a</w:t>
      </w:r>
      <w:r w:rsidR="006C5E11" w:rsidRPr="00D5464D">
        <w:rPr>
          <w:i w:val="0"/>
          <w:lang w:val="pt-BR"/>
        </w:rPr>
        <w:t xml:space="preserve"> </w:t>
      </w:r>
      <w:r w:rsidR="00E045D9" w:rsidRPr="00D5464D">
        <w:rPr>
          <w:i w:val="0"/>
          <w:lang w:val="pt-BR"/>
        </w:rPr>
        <w:t>tolerância</w:t>
      </w:r>
      <w:r w:rsidR="006C5E11" w:rsidRPr="00D5464D">
        <w:rPr>
          <w:i w:val="0"/>
          <w:lang w:val="pt-BR"/>
        </w:rPr>
        <w:t xml:space="preserve"> o</w:t>
      </w:r>
      <w:r w:rsidR="00371FF8" w:rsidRPr="00D5464D">
        <w:rPr>
          <w:i w:val="0"/>
          <w:lang w:val="pt-BR"/>
        </w:rPr>
        <w:t>u</w:t>
      </w:r>
      <w:r w:rsidR="006C5E11" w:rsidRPr="00D5464D">
        <w:rPr>
          <w:i w:val="0"/>
          <w:lang w:val="pt-BR"/>
        </w:rPr>
        <w:t xml:space="preserve"> </w:t>
      </w:r>
      <w:r w:rsidR="00E045D9" w:rsidRPr="00D5464D">
        <w:rPr>
          <w:i w:val="0"/>
          <w:lang w:val="pt-BR"/>
        </w:rPr>
        <w:t>aquiescência</w:t>
      </w:r>
      <w:r w:rsidR="006C5E11" w:rsidRPr="00D5464D">
        <w:rPr>
          <w:i w:val="0"/>
          <w:lang w:val="pt-BR"/>
        </w:rPr>
        <w:t>, cr</w:t>
      </w:r>
      <w:r w:rsidR="00371FF8" w:rsidRPr="00D5464D">
        <w:rPr>
          <w:i w:val="0"/>
          <w:lang w:val="pt-BR"/>
        </w:rPr>
        <w:t>iem</w:t>
      </w:r>
      <w:r w:rsidR="006C5E11" w:rsidRPr="00D5464D">
        <w:rPr>
          <w:i w:val="0"/>
          <w:lang w:val="pt-BR"/>
        </w:rPr>
        <w:t>, man</w:t>
      </w:r>
      <w:r w:rsidR="00E045D9" w:rsidRPr="00D5464D">
        <w:rPr>
          <w:i w:val="0"/>
          <w:lang w:val="pt-BR"/>
        </w:rPr>
        <w:t xml:space="preserve">tenham </w:t>
      </w:r>
      <w:r w:rsidR="006C5E11" w:rsidRPr="00D5464D">
        <w:rPr>
          <w:i w:val="0"/>
          <w:lang w:val="pt-BR"/>
        </w:rPr>
        <w:t>o</w:t>
      </w:r>
      <w:r w:rsidR="00371FF8" w:rsidRPr="00D5464D">
        <w:rPr>
          <w:i w:val="0"/>
          <w:lang w:val="pt-BR"/>
        </w:rPr>
        <w:t>u</w:t>
      </w:r>
      <w:r w:rsidR="006C5E11" w:rsidRPr="00D5464D">
        <w:rPr>
          <w:i w:val="0"/>
          <w:lang w:val="pt-BR"/>
        </w:rPr>
        <w:t xml:space="preserve"> </w:t>
      </w:r>
      <w:r w:rsidR="00C91CB1" w:rsidRPr="00D5464D">
        <w:rPr>
          <w:i w:val="0"/>
          <w:lang w:val="pt-BR"/>
        </w:rPr>
        <w:t>favoreçam</w:t>
      </w:r>
      <w:r w:rsidR="002C330E" w:rsidRPr="00D5464D">
        <w:rPr>
          <w:i w:val="0"/>
          <w:lang w:val="pt-BR"/>
        </w:rPr>
        <w:t xml:space="preserve"> as </w:t>
      </w:r>
      <w:r w:rsidR="006C5E11" w:rsidRPr="00D5464D">
        <w:rPr>
          <w:i w:val="0"/>
          <w:lang w:val="pt-BR"/>
        </w:rPr>
        <w:t>situa</w:t>
      </w:r>
      <w:r w:rsidRPr="00D5464D">
        <w:rPr>
          <w:i w:val="0"/>
          <w:lang w:val="pt-BR"/>
        </w:rPr>
        <w:t>ções</w:t>
      </w:r>
      <w:r w:rsidR="006C5E11" w:rsidRPr="00D5464D">
        <w:rPr>
          <w:i w:val="0"/>
          <w:lang w:val="pt-BR"/>
        </w:rPr>
        <w:t xml:space="preserve"> </w:t>
      </w:r>
      <w:r w:rsidR="00A1358C" w:rsidRPr="00D5464D">
        <w:rPr>
          <w:i w:val="0"/>
          <w:lang w:val="pt-BR"/>
        </w:rPr>
        <w:t>discriminatóri</w:t>
      </w:r>
      <w:r w:rsidR="006C5E11" w:rsidRPr="00D5464D">
        <w:rPr>
          <w:i w:val="0"/>
          <w:lang w:val="pt-BR"/>
        </w:rPr>
        <w:t>as”</w:t>
      </w:r>
      <w:r w:rsidR="00371FF8" w:rsidRPr="00D5464D">
        <w:rPr>
          <w:i w:val="0"/>
          <w:lang w:val="pt-BR"/>
        </w:rPr>
        <w:t>.</w:t>
      </w:r>
      <w:r w:rsidR="006C5E11" w:rsidRPr="00D5464D">
        <w:rPr>
          <w:i w:val="0"/>
          <w:vertAlign w:val="superscript"/>
          <w:lang w:val="pt-BR"/>
        </w:rPr>
        <w:footnoteReference w:id="472"/>
      </w:r>
      <w:r w:rsidR="00A1358C" w:rsidRPr="00D5464D">
        <w:rPr>
          <w:i w:val="0"/>
          <w:lang w:val="pt-BR"/>
        </w:rPr>
        <w:t xml:space="preserve"> </w:t>
      </w:r>
    </w:p>
    <w:p w14:paraId="4839962C" w14:textId="77777777" w:rsidR="00DE3E58" w:rsidRPr="00D5464D" w:rsidRDefault="00DE3E58" w:rsidP="00DE3E58">
      <w:pPr>
        <w:pStyle w:val="Prrafodelista"/>
        <w:ind w:left="0"/>
        <w:rPr>
          <w:rFonts w:cs="Times New Roman"/>
          <w:b/>
          <w:szCs w:val="20"/>
          <w:lang w:val="pt-BR"/>
        </w:rPr>
      </w:pPr>
    </w:p>
    <w:p w14:paraId="71A0C4E9" w14:textId="41E7631B" w:rsidR="006C5E11" w:rsidRPr="00D5464D" w:rsidRDefault="00470ADC" w:rsidP="006C5E11">
      <w:pPr>
        <w:pStyle w:val="Prrafodelista"/>
        <w:numPr>
          <w:ilvl w:val="0"/>
          <w:numId w:val="1"/>
        </w:numPr>
        <w:rPr>
          <w:rFonts w:cs="Times New Roman"/>
          <w:b/>
          <w:szCs w:val="20"/>
          <w:lang w:val="pt-BR"/>
        </w:rPr>
      </w:pPr>
      <w:r w:rsidRPr="00D5464D">
        <w:rPr>
          <w:lang w:val="pt-BR"/>
        </w:rPr>
        <w:t xml:space="preserve">A </w:t>
      </w:r>
      <w:r w:rsidR="006C5E11" w:rsidRPr="00D5464D">
        <w:rPr>
          <w:lang w:val="pt-BR"/>
        </w:rPr>
        <w:t xml:space="preserve">Corte se </w:t>
      </w:r>
      <w:r w:rsidR="00350187" w:rsidRPr="00D5464D">
        <w:rPr>
          <w:lang w:val="pt-BR"/>
        </w:rPr>
        <w:t>pronunciou</w:t>
      </w:r>
      <w:r w:rsidR="00E045D9" w:rsidRPr="00D5464D">
        <w:rPr>
          <w:lang w:val="pt-BR"/>
        </w:rPr>
        <w:t xml:space="preserve"> no </w:t>
      </w:r>
      <w:r w:rsidR="006C5E11" w:rsidRPr="00D5464D">
        <w:rPr>
          <w:lang w:val="pt-BR"/>
        </w:rPr>
        <w:t xml:space="preserve">sentido </w:t>
      </w:r>
      <w:r w:rsidR="00350187" w:rsidRPr="00D5464D">
        <w:rPr>
          <w:lang w:val="pt-BR"/>
        </w:rPr>
        <w:t>de estabelecer</w:t>
      </w:r>
      <w:r w:rsidR="006C5E11" w:rsidRPr="00D5464D">
        <w:rPr>
          <w:lang w:val="pt-BR"/>
        </w:rPr>
        <w:t xml:space="preserve"> que toda </w:t>
      </w:r>
      <w:r w:rsidR="002C330E" w:rsidRPr="00D5464D">
        <w:rPr>
          <w:lang w:val="pt-BR"/>
        </w:rPr>
        <w:t>pessoa</w:t>
      </w:r>
      <w:r w:rsidR="006C5E11" w:rsidRPr="00D5464D">
        <w:rPr>
          <w:lang w:val="pt-BR"/>
        </w:rPr>
        <w:t xml:space="preserve"> que se </w:t>
      </w:r>
      <w:r w:rsidRPr="00D5464D">
        <w:rPr>
          <w:lang w:val="pt-BR"/>
        </w:rPr>
        <w:t>encontre em</w:t>
      </w:r>
      <w:r w:rsidR="00E045D9" w:rsidRPr="00D5464D">
        <w:rPr>
          <w:lang w:val="pt-BR"/>
        </w:rPr>
        <w:t xml:space="preserve"> uma </w:t>
      </w:r>
      <w:r w:rsidR="006C5E11" w:rsidRPr="00D5464D">
        <w:rPr>
          <w:lang w:val="pt-BR"/>
        </w:rPr>
        <w:t>situa</w:t>
      </w:r>
      <w:r w:rsidRPr="00D5464D">
        <w:rPr>
          <w:lang w:val="pt-BR"/>
        </w:rPr>
        <w:t>ção</w:t>
      </w:r>
      <w:r w:rsidR="006C5E11" w:rsidRPr="00D5464D">
        <w:rPr>
          <w:lang w:val="pt-BR"/>
        </w:rPr>
        <w:t xml:space="preserve"> de </w:t>
      </w:r>
      <w:r w:rsidR="00E045D9" w:rsidRPr="00D5464D">
        <w:rPr>
          <w:lang w:val="pt-BR"/>
        </w:rPr>
        <w:t xml:space="preserve">vulnerabilidade </w:t>
      </w:r>
      <w:r w:rsidRPr="00D5464D">
        <w:rPr>
          <w:lang w:val="pt-BR"/>
        </w:rPr>
        <w:t xml:space="preserve">é </w:t>
      </w:r>
      <w:r w:rsidR="006C5E11" w:rsidRPr="00D5464D">
        <w:rPr>
          <w:lang w:val="pt-BR"/>
        </w:rPr>
        <w:t>titular de</w:t>
      </w:r>
      <w:r w:rsidR="00E045D9" w:rsidRPr="00D5464D">
        <w:rPr>
          <w:lang w:val="pt-BR"/>
        </w:rPr>
        <w:t xml:space="preserve"> uma </w:t>
      </w:r>
      <w:r w:rsidR="002C330E" w:rsidRPr="00D5464D">
        <w:rPr>
          <w:lang w:val="pt-BR"/>
        </w:rPr>
        <w:t>proteção</w:t>
      </w:r>
      <w:r w:rsidR="006C5E11" w:rsidRPr="00D5464D">
        <w:rPr>
          <w:lang w:val="pt-BR"/>
        </w:rPr>
        <w:t xml:space="preserve"> especial,</w:t>
      </w:r>
      <w:r w:rsidRPr="00D5464D">
        <w:rPr>
          <w:lang w:val="pt-BR"/>
        </w:rPr>
        <w:t xml:space="preserve"> em </w:t>
      </w:r>
      <w:r w:rsidR="002C330E" w:rsidRPr="00D5464D">
        <w:rPr>
          <w:lang w:val="pt-BR"/>
        </w:rPr>
        <w:t>razão</w:t>
      </w:r>
      <w:r w:rsidRPr="00D5464D">
        <w:rPr>
          <w:lang w:val="pt-BR"/>
        </w:rPr>
        <w:t xml:space="preserve"> dos dever</w:t>
      </w:r>
      <w:r w:rsidR="006C5E11" w:rsidRPr="00D5464D">
        <w:rPr>
          <w:lang w:val="pt-BR"/>
        </w:rPr>
        <w:t xml:space="preserve">es </w:t>
      </w:r>
      <w:r w:rsidRPr="00D5464D">
        <w:rPr>
          <w:lang w:val="pt-BR"/>
        </w:rPr>
        <w:t>especiais</w:t>
      </w:r>
      <w:r w:rsidR="006C5E11" w:rsidRPr="00D5464D">
        <w:rPr>
          <w:lang w:val="pt-BR"/>
        </w:rPr>
        <w:t xml:space="preserve"> </w:t>
      </w:r>
      <w:r w:rsidRPr="00D5464D">
        <w:rPr>
          <w:lang w:val="pt-BR"/>
        </w:rPr>
        <w:t>cujo</w:t>
      </w:r>
      <w:r w:rsidR="006C5E11" w:rsidRPr="00D5464D">
        <w:rPr>
          <w:lang w:val="pt-BR"/>
        </w:rPr>
        <w:t xml:space="preserve"> </w:t>
      </w:r>
      <w:r w:rsidRPr="00D5464D">
        <w:rPr>
          <w:lang w:val="pt-BR"/>
        </w:rPr>
        <w:t>cumprimento</w:t>
      </w:r>
      <w:r w:rsidR="006C5E11" w:rsidRPr="00D5464D">
        <w:rPr>
          <w:lang w:val="pt-BR"/>
        </w:rPr>
        <w:t xml:space="preserve"> por parte </w:t>
      </w:r>
      <w:r w:rsidRPr="00D5464D">
        <w:rPr>
          <w:lang w:val="pt-BR"/>
        </w:rPr>
        <w:t xml:space="preserve">do </w:t>
      </w:r>
      <w:r w:rsidR="006C5E11" w:rsidRPr="00D5464D">
        <w:rPr>
          <w:lang w:val="pt-BR"/>
        </w:rPr>
        <w:t>Estado</w:t>
      </w:r>
      <w:r w:rsidRPr="00D5464D">
        <w:rPr>
          <w:lang w:val="pt-BR"/>
        </w:rPr>
        <w:t xml:space="preserve"> é </w:t>
      </w:r>
      <w:r w:rsidR="002C330E" w:rsidRPr="00D5464D">
        <w:rPr>
          <w:lang w:val="pt-BR"/>
        </w:rPr>
        <w:t>necessári</w:t>
      </w:r>
      <w:r w:rsidR="006C5E11" w:rsidRPr="00D5464D">
        <w:rPr>
          <w:lang w:val="pt-BR"/>
        </w:rPr>
        <w:t xml:space="preserve">o para </w:t>
      </w:r>
      <w:r w:rsidR="002C330E" w:rsidRPr="00D5464D">
        <w:rPr>
          <w:lang w:val="pt-BR"/>
        </w:rPr>
        <w:t>satisfazer as obrigações</w:t>
      </w:r>
      <w:r w:rsidR="006C5E11" w:rsidRPr="00D5464D">
        <w:rPr>
          <w:lang w:val="pt-BR"/>
        </w:rPr>
        <w:t xml:space="preserve"> </w:t>
      </w:r>
      <w:r w:rsidR="002C330E" w:rsidRPr="00D5464D">
        <w:rPr>
          <w:lang w:val="pt-BR"/>
        </w:rPr>
        <w:t xml:space="preserve">gerais </w:t>
      </w:r>
      <w:r w:rsidR="006C5E11" w:rsidRPr="00D5464D">
        <w:rPr>
          <w:lang w:val="pt-BR"/>
        </w:rPr>
        <w:t>de</w:t>
      </w:r>
      <w:r w:rsidR="002C330E" w:rsidRPr="00D5464D">
        <w:rPr>
          <w:lang w:val="pt-BR"/>
        </w:rPr>
        <w:t xml:space="preserve"> respeito</w:t>
      </w:r>
      <w:r w:rsidR="00E045D9" w:rsidRPr="00D5464D">
        <w:rPr>
          <w:lang w:val="pt-BR"/>
        </w:rPr>
        <w:t xml:space="preserve"> e </w:t>
      </w:r>
      <w:r w:rsidR="002C330E" w:rsidRPr="00D5464D">
        <w:rPr>
          <w:lang w:val="pt-BR"/>
        </w:rPr>
        <w:t xml:space="preserve">garantia </w:t>
      </w:r>
      <w:r w:rsidRPr="00D5464D">
        <w:rPr>
          <w:lang w:val="pt-BR"/>
        </w:rPr>
        <w:t>dos direito</w:t>
      </w:r>
      <w:r w:rsidR="006C5E11" w:rsidRPr="00D5464D">
        <w:rPr>
          <w:lang w:val="pt-BR"/>
        </w:rPr>
        <w:t>s humanos</w:t>
      </w:r>
      <w:r w:rsidR="00A1358C" w:rsidRPr="00D5464D">
        <w:rPr>
          <w:lang w:val="pt-BR"/>
        </w:rPr>
        <w:t xml:space="preserve">. O </w:t>
      </w:r>
      <w:r w:rsidR="006C5E11" w:rsidRPr="00D5464D">
        <w:rPr>
          <w:lang w:val="pt-BR"/>
        </w:rPr>
        <w:t xml:space="preserve">Tribunal </w:t>
      </w:r>
      <w:r w:rsidR="00E045D9" w:rsidRPr="00D5464D">
        <w:rPr>
          <w:lang w:val="pt-BR"/>
        </w:rPr>
        <w:t>recorda</w:t>
      </w:r>
      <w:r w:rsidR="006C5E11" w:rsidRPr="00D5464D">
        <w:rPr>
          <w:lang w:val="pt-BR"/>
        </w:rPr>
        <w:t xml:space="preserve"> que</w:t>
      </w:r>
      <w:r w:rsidR="001179F1" w:rsidRPr="00D5464D">
        <w:rPr>
          <w:lang w:val="pt-BR"/>
        </w:rPr>
        <w:t>,</w:t>
      </w:r>
      <w:r w:rsidR="006C5E11" w:rsidRPr="00D5464D">
        <w:rPr>
          <w:lang w:val="pt-BR"/>
        </w:rPr>
        <w:t xml:space="preserve"> n</w:t>
      </w:r>
      <w:r w:rsidR="00371FF8" w:rsidRPr="00D5464D">
        <w:rPr>
          <w:lang w:val="pt-BR"/>
        </w:rPr>
        <w:t>ã</w:t>
      </w:r>
      <w:r w:rsidR="006C5E11" w:rsidRPr="00D5464D">
        <w:rPr>
          <w:lang w:val="pt-BR"/>
        </w:rPr>
        <w:t>o basta</w:t>
      </w:r>
      <w:r w:rsidR="00FF1290" w:rsidRPr="00D5464D">
        <w:rPr>
          <w:lang w:val="pt-BR"/>
        </w:rPr>
        <w:t xml:space="preserve"> </w:t>
      </w:r>
      <w:r w:rsidR="006C5E11" w:rsidRPr="00D5464D">
        <w:rPr>
          <w:lang w:val="pt-BR"/>
        </w:rPr>
        <w:t>que</w:t>
      </w:r>
      <w:r w:rsidR="002C330E" w:rsidRPr="00D5464D">
        <w:rPr>
          <w:lang w:val="pt-BR"/>
        </w:rPr>
        <w:t xml:space="preserve"> os </w:t>
      </w:r>
      <w:r w:rsidR="006C5E11" w:rsidRPr="00D5464D">
        <w:rPr>
          <w:lang w:val="pt-BR"/>
        </w:rPr>
        <w:t>Estados se abs</w:t>
      </w:r>
      <w:r w:rsidR="00E045D9" w:rsidRPr="00D5464D">
        <w:rPr>
          <w:lang w:val="pt-BR"/>
        </w:rPr>
        <w:t xml:space="preserve">tenham </w:t>
      </w:r>
      <w:r w:rsidR="006C5E11" w:rsidRPr="00D5464D">
        <w:rPr>
          <w:lang w:val="pt-BR"/>
        </w:rPr>
        <w:t>de violar</w:t>
      </w:r>
      <w:r w:rsidR="002C330E" w:rsidRPr="00D5464D">
        <w:rPr>
          <w:lang w:val="pt-BR"/>
        </w:rPr>
        <w:t xml:space="preserve"> os </w:t>
      </w:r>
      <w:r w:rsidRPr="00D5464D">
        <w:rPr>
          <w:lang w:val="pt-BR"/>
        </w:rPr>
        <w:t>direito</w:t>
      </w:r>
      <w:r w:rsidR="006C5E11" w:rsidRPr="00D5464D">
        <w:rPr>
          <w:lang w:val="pt-BR"/>
        </w:rPr>
        <w:t>s,</w:t>
      </w:r>
      <w:r w:rsidR="002C330E" w:rsidRPr="00D5464D">
        <w:rPr>
          <w:lang w:val="pt-BR"/>
        </w:rPr>
        <w:t xml:space="preserve"> mas </w:t>
      </w:r>
      <w:r w:rsidRPr="00D5464D">
        <w:rPr>
          <w:lang w:val="pt-BR"/>
        </w:rPr>
        <w:t xml:space="preserve">é </w:t>
      </w:r>
      <w:r w:rsidR="006C5E11" w:rsidRPr="00D5464D">
        <w:rPr>
          <w:lang w:val="pt-BR"/>
        </w:rPr>
        <w:t>imperativa</w:t>
      </w:r>
      <w:r w:rsidR="002C330E" w:rsidRPr="00D5464D">
        <w:rPr>
          <w:lang w:val="pt-BR"/>
        </w:rPr>
        <w:t xml:space="preserve"> a </w:t>
      </w:r>
      <w:r w:rsidRPr="00D5464D">
        <w:rPr>
          <w:lang w:val="pt-BR"/>
        </w:rPr>
        <w:t>adoção</w:t>
      </w:r>
      <w:r w:rsidR="006C5E11" w:rsidRPr="00D5464D">
        <w:rPr>
          <w:lang w:val="pt-BR"/>
        </w:rPr>
        <w:t xml:space="preserve"> de medidas positivas, determin</w:t>
      </w:r>
      <w:r w:rsidR="00E045D9" w:rsidRPr="00D5464D">
        <w:rPr>
          <w:lang w:val="pt-BR"/>
        </w:rPr>
        <w:t xml:space="preserve">áveis </w:t>
      </w:r>
      <w:r w:rsidRPr="00D5464D">
        <w:rPr>
          <w:lang w:val="pt-BR"/>
        </w:rPr>
        <w:t xml:space="preserve">em </w:t>
      </w:r>
      <w:r w:rsidR="006C5E11" w:rsidRPr="00D5464D">
        <w:rPr>
          <w:lang w:val="pt-BR"/>
        </w:rPr>
        <w:t>fun</w:t>
      </w:r>
      <w:r w:rsidRPr="00D5464D">
        <w:rPr>
          <w:lang w:val="pt-BR"/>
        </w:rPr>
        <w:t xml:space="preserve">ção das </w:t>
      </w:r>
      <w:r w:rsidR="006C5E11" w:rsidRPr="00D5464D">
        <w:rPr>
          <w:lang w:val="pt-BR"/>
        </w:rPr>
        <w:t xml:space="preserve">particulares </w:t>
      </w:r>
      <w:r w:rsidR="002C330E" w:rsidRPr="00D5464D">
        <w:rPr>
          <w:lang w:val="pt-BR"/>
        </w:rPr>
        <w:t>necessidad</w:t>
      </w:r>
      <w:r w:rsidR="006C5E11" w:rsidRPr="00D5464D">
        <w:rPr>
          <w:lang w:val="pt-BR"/>
        </w:rPr>
        <w:t xml:space="preserve">es de </w:t>
      </w:r>
      <w:r w:rsidR="002C330E" w:rsidRPr="00D5464D">
        <w:rPr>
          <w:lang w:val="pt-BR"/>
        </w:rPr>
        <w:t>proteção</w:t>
      </w:r>
      <w:r w:rsidR="006C5E11" w:rsidRPr="00D5464D">
        <w:rPr>
          <w:lang w:val="pt-BR"/>
        </w:rPr>
        <w:t xml:space="preserve"> </w:t>
      </w:r>
      <w:r w:rsidRPr="00D5464D">
        <w:rPr>
          <w:lang w:val="pt-BR"/>
        </w:rPr>
        <w:t xml:space="preserve">do </w:t>
      </w:r>
      <w:r w:rsidR="00E045D9" w:rsidRPr="00D5464D">
        <w:rPr>
          <w:lang w:val="pt-BR"/>
        </w:rPr>
        <w:t>sujeito</w:t>
      </w:r>
      <w:r w:rsidR="006C5E11" w:rsidRPr="00D5464D">
        <w:rPr>
          <w:lang w:val="pt-BR"/>
        </w:rPr>
        <w:t xml:space="preserve"> de </w:t>
      </w:r>
      <w:r w:rsidRPr="00D5464D">
        <w:rPr>
          <w:lang w:val="pt-BR"/>
        </w:rPr>
        <w:t>direito,</w:t>
      </w:r>
      <w:r w:rsidR="00737270" w:rsidRPr="00D5464D">
        <w:rPr>
          <w:lang w:val="pt-BR"/>
        </w:rPr>
        <w:t xml:space="preserve"> </w:t>
      </w:r>
      <w:r w:rsidR="002C330E" w:rsidRPr="00D5464D">
        <w:rPr>
          <w:lang w:val="pt-BR"/>
        </w:rPr>
        <w:t xml:space="preserve">seja </w:t>
      </w:r>
      <w:r w:rsidR="006C5E11" w:rsidRPr="00D5464D">
        <w:rPr>
          <w:lang w:val="pt-BR"/>
        </w:rPr>
        <w:t xml:space="preserve">por </w:t>
      </w:r>
      <w:r w:rsidR="00A1358C" w:rsidRPr="00D5464D">
        <w:rPr>
          <w:lang w:val="pt-BR"/>
        </w:rPr>
        <w:t>sua condição</w:t>
      </w:r>
      <w:r w:rsidR="006C5E11" w:rsidRPr="00D5464D">
        <w:rPr>
          <w:lang w:val="pt-BR"/>
        </w:rPr>
        <w:t xml:space="preserve"> </w:t>
      </w:r>
      <w:r w:rsidR="002C330E" w:rsidRPr="00D5464D">
        <w:rPr>
          <w:lang w:val="pt-BR"/>
        </w:rPr>
        <w:t>pessoa</w:t>
      </w:r>
      <w:r w:rsidR="006C5E11" w:rsidRPr="00D5464D">
        <w:rPr>
          <w:lang w:val="pt-BR"/>
        </w:rPr>
        <w:t>l o</w:t>
      </w:r>
      <w:r w:rsidR="00371FF8" w:rsidRPr="00D5464D">
        <w:rPr>
          <w:lang w:val="pt-BR"/>
        </w:rPr>
        <w:t>u</w:t>
      </w:r>
      <w:r w:rsidR="002C330E" w:rsidRPr="00D5464D">
        <w:rPr>
          <w:lang w:val="pt-BR"/>
        </w:rPr>
        <w:t xml:space="preserve"> pela </w:t>
      </w:r>
      <w:r w:rsidR="006C5E11" w:rsidRPr="00D5464D">
        <w:rPr>
          <w:lang w:val="pt-BR"/>
        </w:rPr>
        <w:t>situa</w:t>
      </w:r>
      <w:r w:rsidRPr="00D5464D">
        <w:rPr>
          <w:lang w:val="pt-BR"/>
        </w:rPr>
        <w:t>ção</w:t>
      </w:r>
      <w:r w:rsidR="006C5E11" w:rsidRPr="00D5464D">
        <w:rPr>
          <w:lang w:val="pt-BR"/>
        </w:rPr>
        <w:t xml:space="preserve"> específica</w:t>
      </w:r>
      <w:r w:rsidRPr="00D5464D">
        <w:rPr>
          <w:lang w:val="pt-BR"/>
        </w:rPr>
        <w:t xml:space="preserve"> em </w:t>
      </w:r>
      <w:r w:rsidR="006C5E11" w:rsidRPr="00D5464D">
        <w:rPr>
          <w:lang w:val="pt-BR"/>
        </w:rPr>
        <w:t xml:space="preserve">que se </w:t>
      </w:r>
      <w:r w:rsidRPr="00D5464D">
        <w:rPr>
          <w:lang w:val="pt-BR"/>
        </w:rPr>
        <w:t>encontre</w:t>
      </w:r>
      <w:r w:rsidR="00371FF8" w:rsidRPr="00D5464D">
        <w:rPr>
          <w:lang w:val="pt-BR"/>
        </w:rPr>
        <w:t>,</w:t>
      </w:r>
      <w:r w:rsidR="006C5E11" w:rsidRPr="00D5464D">
        <w:rPr>
          <w:rStyle w:val="Refdenotaalpie"/>
          <w:lang w:val="pt-BR"/>
        </w:rPr>
        <w:footnoteReference w:id="473"/>
      </w:r>
      <w:r w:rsidR="006C5E11" w:rsidRPr="00D5464D">
        <w:rPr>
          <w:lang w:val="pt-BR"/>
        </w:rPr>
        <w:t xml:space="preserve"> como</w:t>
      </w:r>
      <w:r w:rsidR="002C330E" w:rsidRPr="00D5464D">
        <w:rPr>
          <w:lang w:val="pt-BR"/>
        </w:rPr>
        <w:t xml:space="preserve"> a </w:t>
      </w:r>
      <w:r w:rsidR="006C5E11" w:rsidRPr="00D5464D">
        <w:rPr>
          <w:lang w:val="pt-BR"/>
        </w:rPr>
        <w:t>extrema pobreza o</w:t>
      </w:r>
      <w:r w:rsidR="00371FF8" w:rsidRPr="00D5464D">
        <w:rPr>
          <w:lang w:val="pt-BR"/>
        </w:rPr>
        <w:t>u a marginalização.</w:t>
      </w:r>
      <w:r w:rsidR="006C5E11" w:rsidRPr="00D5464D">
        <w:rPr>
          <w:rStyle w:val="Refdenotaalpie"/>
          <w:lang w:val="pt-BR"/>
        </w:rPr>
        <w:footnoteReference w:id="474"/>
      </w:r>
      <w:r w:rsidR="006C5E11" w:rsidRPr="00D5464D">
        <w:rPr>
          <w:lang w:val="pt-BR"/>
        </w:rPr>
        <w:t xml:space="preserve"> </w:t>
      </w:r>
    </w:p>
    <w:p w14:paraId="7735C307" w14:textId="77777777" w:rsidR="00DE3E58" w:rsidRPr="00D5464D" w:rsidRDefault="00DE3E58" w:rsidP="00DE3E58">
      <w:pPr>
        <w:pStyle w:val="Prrafodelista"/>
        <w:ind w:left="0"/>
        <w:rPr>
          <w:lang w:val="pt-BR"/>
        </w:rPr>
      </w:pPr>
    </w:p>
    <w:p w14:paraId="6EC2A68F" w14:textId="2056D8D3" w:rsidR="006C5E11" w:rsidRPr="00D5464D" w:rsidRDefault="00470ADC" w:rsidP="006C5E11">
      <w:pPr>
        <w:pStyle w:val="Prrafodelista"/>
        <w:numPr>
          <w:ilvl w:val="0"/>
          <w:numId w:val="1"/>
        </w:numPr>
        <w:rPr>
          <w:lang w:val="pt-BR"/>
        </w:rPr>
      </w:pPr>
      <w:r w:rsidRPr="00D5464D">
        <w:rPr>
          <w:rFonts w:cs="Times New Roman"/>
          <w:lang w:val="pt-BR"/>
        </w:rPr>
        <w:t xml:space="preserve">A </w:t>
      </w:r>
      <w:r w:rsidR="00A1358C" w:rsidRPr="00D5464D">
        <w:rPr>
          <w:szCs w:val="20"/>
          <w:lang w:val="pt-BR"/>
        </w:rPr>
        <w:t>Corte considera</w:t>
      </w:r>
      <w:r w:rsidR="003E26D4" w:rsidRPr="00D5464D">
        <w:rPr>
          <w:szCs w:val="20"/>
          <w:lang w:val="pt-BR"/>
        </w:rPr>
        <w:t xml:space="preserve"> que</w:t>
      </w:r>
      <w:r w:rsidRPr="00D5464D">
        <w:rPr>
          <w:szCs w:val="20"/>
          <w:lang w:val="pt-BR"/>
        </w:rPr>
        <w:t xml:space="preserve"> o </w:t>
      </w:r>
      <w:r w:rsidR="003E26D4" w:rsidRPr="00D5464D">
        <w:rPr>
          <w:szCs w:val="20"/>
          <w:lang w:val="pt-BR"/>
        </w:rPr>
        <w:t xml:space="preserve">Estado </w:t>
      </w:r>
      <w:r w:rsidR="00350187" w:rsidRPr="00D5464D">
        <w:rPr>
          <w:szCs w:val="20"/>
          <w:lang w:val="pt-BR"/>
        </w:rPr>
        <w:t>incorr</w:t>
      </w:r>
      <w:r w:rsidR="003E26D4" w:rsidRPr="00D5464D">
        <w:rPr>
          <w:szCs w:val="20"/>
          <w:lang w:val="pt-BR"/>
        </w:rPr>
        <w:t>e</w:t>
      </w:r>
      <w:r w:rsidRPr="00D5464D">
        <w:rPr>
          <w:szCs w:val="20"/>
          <w:lang w:val="pt-BR"/>
        </w:rPr>
        <w:t xml:space="preserve"> em </w:t>
      </w:r>
      <w:r w:rsidR="002C330E" w:rsidRPr="00D5464D">
        <w:rPr>
          <w:szCs w:val="20"/>
          <w:lang w:val="pt-BR"/>
        </w:rPr>
        <w:t xml:space="preserve">responsabilidade </w:t>
      </w:r>
      <w:r w:rsidR="003E26D4" w:rsidRPr="00D5464D">
        <w:rPr>
          <w:szCs w:val="20"/>
          <w:lang w:val="pt-BR"/>
        </w:rPr>
        <w:t>internacional</w:t>
      </w:r>
      <w:r w:rsidRPr="00D5464D">
        <w:rPr>
          <w:szCs w:val="20"/>
          <w:lang w:val="pt-BR"/>
        </w:rPr>
        <w:t xml:space="preserve"> </w:t>
      </w:r>
      <w:r w:rsidR="007A789D" w:rsidRPr="00D5464D">
        <w:rPr>
          <w:szCs w:val="20"/>
          <w:lang w:val="pt-BR"/>
        </w:rPr>
        <w:t>nos</w:t>
      </w:r>
      <w:r w:rsidR="003E26D4" w:rsidRPr="00D5464D">
        <w:rPr>
          <w:szCs w:val="20"/>
          <w:lang w:val="pt-BR"/>
        </w:rPr>
        <w:t xml:space="preserve"> casos</w:t>
      </w:r>
      <w:r w:rsidRPr="00D5464D">
        <w:rPr>
          <w:szCs w:val="20"/>
          <w:lang w:val="pt-BR"/>
        </w:rPr>
        <w:t xml:space="preserve"> em </w:t>
      </w:r>
      <w:r w:rsidR="003E26D4" w:rsidRPr="00D5464D">
        <w:rPr>
          <w:szCs w:val="20"/>
          <w:lang w:val="pt-BR"/>
        </w:rPr>
        <w:t xml:space="preserve">que, </w:t>
      </w:r>
      <w:r w:rsidR="007A789D" w:rsidRPr="00D5464D">
        <w:rPr>
          <w:szCs w:val="20"/>
          <w:lang w:val="pt-BR"/>
        </w:rPr>
        <w:t xml:space="preserve">existindo </w:t>
      </w:r>
      <w:r w:rsidR="00951161" w:rsidRPr="00D5464D">
        <w:rPr>
          <w:szCs w:val="20"/>
          <w:lang w:val="pt-BR"/>
        </w:rPr>
        <w:t>discrimina</w:t>
      </w:r>
      <w:r w:rsidRPr="00D5464D">
        <w:rPr>
          <w:szCs w:val="20"/>
          <w:lang w:val="pt-BR"/>
        </w:rPr>
        <w:t>ção</w:t>
      </w:r>
      <w:r w:rsidR="003E26D4" w:rsidRPr="00D5464D">
        <w:rPr>
          <w:szCs w:val="20"/>
          <w:lang w:val="pt-BR"/>
        </w:rPr>
        <w:t xml:space="preserve"> </w:t>
      </w:r>
      <w:r w:rsidRPr="00D5464D">
        <w:rPr>
          <w:szCs w:val="20"/>
          <w:lang w:val="pt-BR"/>
        </w:rPr>
        <w:t>estrutura</w:t>
      </w:r>
      <w:r w:rsidR="003E26D4" w:rsidRPr="00D5464D">
        <w:rPr>
          <w:szCs w:val="20"/>
          <w:lang w:val="pt-BR"/>
        </w:rPr>
        <w:t>l, n</w:t>
      </w:r>
      <w:r w:rsidR="007A789D" w:rsidRPr="00D5464D">
        <w:rPr>
          <w:szCs w:val="20"/>
          <w:lang w:val="pt-BR"/>
        </w:rPr>
        <w:t>ã</w:t>
      </w:r>
      <w:r w:rsidR="003E26D4" w:rsidRPr="00D5464D">
        <w:rPr>
          <w:szCs w:val="20"/>
          <w:lang w:val="pt-BR"/>
        </w:rPr>
        <w:t xml:space="preserve">o </w:t>
      </w:r>
      <w:r w:rsidRPr="00D5464D">
        <w:rPr>
          <w:szCs w:val="20"/>
          <w:lang w:val="pt-BR"/>
        </w:rPr>
        <w:t>adot</w:t>
      </w:r>
      <w:r w:rsidR="003E26D4" w:rsidRPr="00D5464D">
        <w:rPr>
          <w:szCs w:val="20"/>
          <w:lang w:val="pt-BR"/>
        </w:rPr>
        <w:t xml:space="preserve">a medidas específicas </w:t>
      </w:r>
      <w:r w:rsidR="007A789D" w:rsidRPr="00D5464D">
        <w:rPr>
          <w:szCs w:val="20"/>
          <w:lang w:val="pt-BR"/>
        </w:rPr>
        <w:t xml:space="preserve">com </w:t>
      </w:r>
      <w:r w:rsidR="002C330E" w:rsidRPr="00D5464D">
        <w:rPr>
          <w:szCs w:val="20"/>
          <w:lang w:val="pt-BR"/>
        </w:rPr>
        <w:t>respeito</w:t>
      </w:r>
      <w:r w:rsidRPr="00D5464D">
        <w:rPr>
          <w:szCs w:val="20"/>
          <w:lang w:val="pt-BR"/>
        </w:rPr>
        <w:t xml:space="preserve"> à </w:t>
      </w:r>
      <w:r w:rsidR="00951161" w:rsidRPr="00D5464D">
        <w:rPr>
          <w:szCs w:val="20"/>
          <w:lang w:val="pt-BR"/>
        </w:rPr>
        <w:t>situa</w:t>
      </w:r>
      <w:r w:rsidRPr="00D5464D">
        <w:rPr>
          <w:szCs w:val="20"/>
          <w:lang w:val="pt-BR"/>
        </w:rPr>
        <w:t>ção</w:t>
      </w:r>
      <w:r w:rsidR="003E26D4" w:rsidRPr="00D5464D">
        <w:rPr>
          <w:szCs w:val="20"/>
          <w:lang w:val="pt-BR"/>
        </w:rPr>
        <w:t xml:space="preserve"> particular de </w:t>
      </w:r>
      <w:r w:rsidR="00951161" w:rsidRPr="00D5464D">
        <w:rPr>
          <w:szCs w:val="20"/>
          <w:lang w:val="pt-BR"/>
        </w:rPr>
        <w:t>vitimiza</w:t>
      </w:r>
      <w:r w:rsidRPr="00D5464D">
        <w:rPr>
          <w:szCs w:val="20"/>
          <w:lang w:val="pt-BR"/>
        </w:rPr>
        <w:t xml:space="preserve">ção </w:t>
      </w:r>
      <w:r w:rsidR="007A789D" w:rsidRPr="00D5464D">
        <w:rPr>
          <w:szCs w:val="20"/>
          <w:lang w:val="pt-BR"/>
        </w:rPr>
        <w:t xml:space="preserve">na qual se concretiza </w:t>
      </w:r>
      <w:r w:rsidR="002C330E" w:rsidRPr="00D5464D">
        <w:rPr>
          <w:szCs w:val="20"/>
          <w:lang w:val="pt-BR"/>
        </w:rPr>
        <w:t xml:space="preserve">a </w:t>
      </w:r>
      <w:r w:rsidR="00E045D9" w:rsidRPr="00D5464D">
        <w:rPr>
          <w:szCs w:val="20"/>
          <w:lang w:val="pt-BR"/>
        </w:rPr>
        <w:t xml:space="preserve">vulnerabilidade </w:t>
      </w:r>
      <w:r w:rsidR="003E26D4" w:rsidRPr="00D5464D">
        <w:rPr>
          <w:szCs w:val="20"/>
          <w:lang w:val="pt-BR"/>
        </w:rPr>
        <w:t>sobre</w:t>
      </w:r>
      <w:r w:rsidR="00E045D9" w:rsidRPr="00D5464D">
        <w:rPr>
          <w:szCs w:val="20"/>
          <w:lang w:val="pt-BR"/>
        </w:rPr>
        <w:t xml:space="preserve"> um </w:t>
      </w:r>
      <w:r w:rsidR="008775BD" w:rsidRPr="00D5464D">
        <w:rPr>
          <w:szCs w:val="20"/>
          <w:lang w:val="pt-BR"/>
        </w:rPr>
        <w:t>círculo</w:t>
      </w:r>
      <w:r w:rsidR="003E26D4" w:rsidRPr="00D5464D">
        <w:rPr>
          <w:szCs w:val="20"/>
          <w:lang w:val="pt-BR"/>
        </w:rPr>
        <w:t xml:space="preserve"> de </w:t>
      </w:r>
      <w:r w:rsidR="002C330E" w:rsidRPr="00D5464D">
        <w:rPr>
          <w:szCs w:val="20"/>
          <w:lang w:val="pt-BR"/>
        </w:rPr>
        <w:t>pessoa</w:t>
      </w:r>
      <w:r w:rsidR="003E26D4" w:rsidRPr="00D5464D">
        <w:rPr>
          <w:szCs w:val="20"/>
          <w:lang w:val="pt-BR"/>
        </w:rPr>
        <w:t>s individualizadas</w:t>
      </w:r>
      <w:r w:rsidR="00A1358C" w:rsidRPr="00D5464D">
        <w:rPr>
          <w:szCs w:val="20"/>
          <w:lang w:val="pt-BR"/>
        </w:rPr>
        <w:t xml:space="preserve">. A </w:t>
      </w:r>
      <w:r w:rsidR="002C330E" w:rsidRPr="00D5464D">
        <w:rPr>
          <w:lang w:val="pt-BR"/>
        </w:rPr>
        <w:t xml:space="preserve">própria </w:t>
      </w:r>
      <w:r w:rsidR="007A789D" w:rsidRPr="00D5464D">
        <w:rPr>
          <w:lang w:val="pt-BR"/>
        </w:rPr>
        <w:t>vitimização</w:t>
      </w:r>
      <w:r w:rsidR="006C5E11" w:rsidRPr="00D5464D">
        <w:rPr>
          <w:lang w:val="pt-BR"/>
        </w:rPr>
        <w:t xml:space="preserve"> </w:t>
      </w:r>
      <w:r w:rsidR="00E045D9" w:rsidRPr="00D5464D">
        <w:rPr>
          <w:lang w:val="pt-BR"/>
        </w:rPr>
        <w:t>desta</w:t>
      </w:r>
      <w:r w:rsidR="006C5E11" w:rsidRPr="00D5464D">
        <w:rPr>
          <w:lang w:val="pt-BR"/>
        </w:rPr>
        <w:t xml:space="preserve">s </w:t>
      </w:r>
      <w:r w:rsidR="007A789D" w:rsidRPr="00D5464D">
        <w:rPr>
          <w:lang w:val="pt-BR"/>
        </w:rPr>
        <w:t xml:space="preserve">pessoas </w:t>
      </w:r>
      <w:r w:rsidR="00350187" w:rsidRPr="00D5464D">
        <w:rPr>
          <w:lang w:val="pt-BR"/>
        </w:rPr>
        <w:t>demonstr</w:t>
      </w:r>
      <w:r w:rsidR="00737270" w:rsidRPr="00D5464D">
        <w:rPr>
          <w:lang w:val="pt-BR"/>
        </w:rPr>
        <w:t>a</w:t>
      </w:r>
      <w:r w:rsidR="002C330E" w:rsidRPr="00D5464D">
        <w:rPr>
          <w:lang w:val="pt-BR"/>
        </w:rPr>
        <w:t xml:space="preserve"> </w:t>
      </w:r>
      <w:r w:rsidR="007A789D" w:rsidRPr="00D5464D">
        <w:rPr>
          <w:lang w:val="pt-BR"/>
        </w:rPr>
        <w:t xml:space="preserve">a </w:t>
      </w:r>
      <w:r w:rsidR="003E26D4" w:rsidRPr="00D5464D">
        <w:rPr>
          <w:lang w:val="pt-BR"/>
        </w:rPr>
        <w:t>su</w:t>
      </w:r>
      <w:r w:rsidR="007A789D" w:rsidRPr="00D5464D">
        <w:rPr>
          <w:lang w:val="pt-BR"/>
        </w:rPr>
        <w:t>a</w:t>
      </w:r>
      <w:r w:rsidR="006C5E11" w:rsidRPr="00D5464D">
        <w:rPr>
          <w:lang w:val="pt-BR"/>
        </w:rPr>
        <w:t xml:space="preserve"> particular </w:t>
      </w:r>
      <w:r w:rsidR="00350187" w:rsidRPr="00D5464D">
        <w:rPr>
          <w:lang w:val="pt-BR"/>
        </w:rPr>
        <w:t>vulnerabilidade,</w:t>
      </w:r>
      <w:r w:rsidR="002C330E" w:rsidRPr="00D5464D">
        <w:rPr>
          <w:lang w:val="pt-BR"/>
        </w:rPr>
        <w:t xml:space="preserve"> o que </w:t>
      </w:r>
      <w:r w:rsidR="006C5E11" w:rsidRPr="00D5464D">
        <w:rPr>
          <w:lang w:val="pt-BR"/>
        </w:rPr>
        <w:t>demanda</w:t>
      </w:r>
      <w:r w:rsidR="00E045D9" w:rsidRPr="00D5464D">
        <w:rPr>
          <w:lang w:val="pt-BR"/>
        </w:rPr>
        <w:t xml:space="preserve"> uma </w:t>
      </w:r>
      <w:r w:rsidR="00737270" w:rsidRPr="00D5464D">
        <w:rPr>
          <w:lang w:val="pt-BR"/>
        </w:rPr>
        <w:t>ação</w:t>
      </w:r>
      <w:r w:rsidR="006C5E11" w:rsidRPr="00D5464D">
        <w:rPr>
          <w:lang w:val="pt-BR"/>
        </w:rPr>
        <w:t xml:space="preserve"> de </w:t>
      </w:r>
      <w:r w:rsidR="002C330E" w:rsidRPr="00D5464D">
        <w:rPr>
          <w:lang w:val="pt-BR"/>
        </w:rPr>
        <w:t>proteção</w:t>
      </w:r>
      <w:r w:rsidR="006C5E11" w:rsidRPr="00D5464D">
        <w:rPr>
          <w:lang w:val="pt-BR"/>
        </w:rPr>
        <w:t xml:space="preserve"> </w:t>
      </w:r>
      <w:r w:rsidR="00E045D9" w:rsidRPr="00D5464D">
        <w:rPr>
          <w:lang w:val="pt-BR"/>
        </w:rPr>
        <w:t>também</w:t>
      </w:r>
      <w:r w:rsidR="003E26D4" w:rsidRPr="00D5464D">
        <w:rPr>
          <w:lang w:val="pt-BR"/>
        </w:rPr>
        <w:t xml:space="preserve"> </w:t>
      </w:r>
      <w:r w:rsidR="006C5E11" w:rsidRPr="00D5464D">
        <w:rPr>
          <w:lang w:val="pt-BR"/>
        </w:rPr>
        <w:t xml:space="preserve">particular, </w:t>
      </w:r>
      <w:r w:rsidR="00C5379A" w:rsidRPr="00D5464D">
        <w:rPr>
          <w:lang w:val="pt-BR"/>
        </w:rPr>
        <w:t>em relação à</w:t>
      </w:r>
      <w:r w:rsidR="007A789D" w:rsidRPr="00D5464D">
        <w:rPr>
          <w:lang w:val="pt-BR"/>
        </w:rPr>
        <w:t xml:space="preserve"> qual</w:t>
      </w:r>
      <w:r w:rsidR="000B2B14" w:rsidRPr="00D5464D">
        <w:rPr>
          <w:lang w:val="pt-BR"/>
        </w:rPr>
        <w:t xml:space="preserve"> </w:t>
      </w:r>
      <w:r w:rsidR="00C5379A" w:rsidRPr="00D5464D">
        <w:rPr>
          <w:lang w:val="pt-BR"/>
        </w:rPr>
        <w:t xml:space="preserve">houve omissão </w:t>
      </w:r>
      <w:r w:rsidR="00E045D9" w:rsidRPr="00D5464D">
        <w:rPr>
          <w:lang w:val="pt-BR"/>
        </w:rPr>
        <w:t xml:space="preserve">no </w:t>
      </w:r>
      <w:r w:rsidR="006C5E11" w:rsidRPr="00D5464D">
        <w:rPr>
          <w:lang w:val="pt-BR"/>
        </w:rPr>
        <w:t>caso</w:t>
      </w:r>
      <w:r w:rsidRPr="00D5464D">
        <w:rPr>
          <w:lang w:val="pt-BR"/>
        </w:rPr>
        <w:t xml:space="preserve"> das </w:t>
      </w:r>
      <w:r w:rsidR="002C330E" w:rsidRPr="00D5464D">
        <w:rPr>
          <w:lang w:val="pt-BR"/>
        </w:rPr>
        <w:t>pessoa</w:t>
      </w:r>
      <w:r w:rsidR="006C5E11" w:rsidRPr="00D5464D">
        <w:rPr>
          <w:lang w:val="pt-BR"/>
        </w:rPr>
        <w:t xml:space="preserve">s </w:t>
      </w:r>
      <w:r w:rsidR="007A789D" w:rsidRPr="00D5464D">
        <w:rPr>
          <w:lang w:val="pt-BR"/>
        </w:rPr>
        <w:t xml:space="preserve">aliciadas para trabalharem </w:t>
      </w:r>
      <w:r w:rsidR="00E045D9" w:rsidRPr="00D5464D">
        <w:rPr>
          <w:lang w:val="pt-BR"/>
        </w:rPr>
        <w:t xml:space="preserve">na </w:t>
      </w:r>
      <w:r w:rsidR="00D809F0" w:rsidRPr="00D5464D">
        <w:rPr>
          <w:lang w:val="pt-BR"/>
        </w:rPr>
        <w:t>Fazenda</w:t>
      </w:r>
      <w:r w:rsidR="006C5E11" w:rsidRPr="00D5464D">
        <w:rPr>
          <w:lang w:val="pt-BR"/>
        </w:rPr>
        <w:t xml:space="preserve"> Brasil Verde. </w:t>
      </w:r>
    </w:p>
    <w:p w14:paraId="2B79787C" w14:textId="77777777" w:rsidR="00DE3E58" w:rsidRPr="00D5464D" w:rsidRDefault="00DE3E58" w:rsidP="00DE3E58">
      <w:pPr>
        <w:pStyle w:val="Prrafodelista"/>
        <w:ind w:left="0"/>
        <w:rPr>
          <w:lang w:val="pt-BR"/>
        </w:rPr>
      </w:pPr>
    </w:p>
    <w:p w14:paraId="36F8FB6E" w14:textId="6080CFB1" w:rsidR="006C5E11" w:rsidRPr="00D5464D" w:rsidRDefault="00470ADC" w:rsidP="006C5E11">
      <w:pPr>
        <w:pStyle w:val="Prrafodelista"/>
        <w:numPr>
          <w:ilvl w:val="0"/>
          <w:numId w:val="1"/>
        </w:numPr>
        <w:rPr>
          <w:lang w:val="pt-BR"/>
        </w:rPr>
      </w:pPr>
      <w:r w:rsidRPr="00D5464D">
        <w:rPr>
          <w:lang w:val="pt-BR"/>
        </w:rPr>
        <w:t xml:space="preserve">A </w:t>
      </w:r>
      <w:r w:rsidR="006C5E11" w:rsidRPr="00D5464D">
        <w:rPr>
          <w:lang w:val="pt-BR"/>
        </w:rPr>
        <w:t>Corte constat</w:t>
      </w:r>
      <w:r w:rsidR="00B91200" w:rsidRPr="00D5464D">
        <w:rPr>
          <w:lang w:val="pt-BR"/>
        </w:rPr>
        <w:t>a</w:t>
      </w:r>
      <w:r w:rsidR="00BD5E2B" w:rsidRPr="00D5464D">
        <w:rPr>
          <w:lang w:val="pt-BR"/>
        </w:rPr>
        <w:t>,</w:t>
      </w:r>
      <w:r w:rsidR="00E045D9" w:rsidRPr="00D5464D">
        <w:rPr>
          <w:lang w:val="pt-BR"/>
        </w:rPr>
        <w:t xml:space="preserve"> no </w:t>
      </w:r>
      <w:r w:rsidR="006C5E11" w:rsidRPr="00D5464D">
        <w:rPr>
          <w:lang w:val="pt-BR"/>
        </w:rPr>
        <w:t>presente caso</w:t>
      </w:r>
      <w:r w:rsidR="00BD5E2B" w:rsidRPr="00D5464D">
        <w:rPr>
          <w:lang w:val="pt-BR"/>
        </w:rPr>
        <w:t>,</w:t>
      </w:r>
      <w:r w:rsidR="006C5E11" w:rsidRPr="00D5464D">
        <w:rPr>
          <w:lang w:val="pt-BR"/>
        </w:rPr>
        <w:t xml:space="preserve"> </w:t>
      </w:r>
      <w:r w:rsidRPr="00D5464D">
        <w:rPr>
          <w:lang w:val="pt-BR"/>
        </w:rPr>
        <w:t>algumas</w:t>
      </w:r>
      <w:r w:rsidR="006C5E11" w:rsidRPr="00D5464D">
        <w:rPr>
          <w:lang w:val="pt-BR"/>
        </w:rPr>
        <w:t xml:space="preserve"> características </w:t>
      </w:r>
      <w:r w:rsidR="00B91200" w:rsidRPr="00D5464D">
        <w:rPr>
          <w:lang w:val="pt-BR"/>
        </w:rPr>
        <w:t xml:space="preserve">de particular </w:t>
      </w:r>
      <w:r w:rsidR="007A789D" w:rsidRPr="00D5464D">
        <w:rPr>
          <w:lang w:val="pt-BR"/>
        </w:rPr>
        <w:t>vitimização</w:t>
      </w:r>
      <w:r w:rsidR="00B91200" w:rsidRPr="00D5464D">
        <w:rPr>
          <w:lang w:val="pt-BR"/>
        </w:rPr>
        <w:t xml:space="preserve"> </w:t>
      </w:r>
      <w:r w:rsidR="00230C71" w:rsidRPr="00D5464D">
        <w:rPr>
          <w:lang w:val="pt-BR"/>
        </w:rPr>
        <w:t>compartilhad</w:t>
      </w:r>
      <w:r w:rsidR="006C5E11" w:rsidRPr="00D5464D">
        <w:rPr>
          <w:lang w:val="pt-BR"/>
        </w:rPr>
        <w:t>as</w:t>
      </w:r>
      <w:r w:rsidR="002C330E" w:rsidRPr="00D5464D">
        <w:rPr>
          <w:lang w:val="pt-BR"/>
        </w:rPr>
        <w:t xml:space="preserve"> pelos </w:t>
      </w:r>
      <w:r w:rsidR="006C5E11" w:rsidRPr="00D5464D">
        <w:rPr>
          <w:lang w:val="pt-BR"/>
        </w:rPr>
        <w:t xml:space="preserve">85 </w:t>
      </w:r>
      <w:r w:rsidR="00E045D9" w:rsidRPr="00D5464D">
        <w:rPr>
          <w:lang w:val="pt-BR"/>
        </w:rPr>
        <w:t>trabalhadores</w:t>
      </w:r>
      <w:r w:rsidR="006C5E11" w:rsidRPr="00D5464D">
        <w:rPr>
          <w:lang w:val="pt-BR"/>
        </w:rPr>
        <w:t xml:space="preserve"> </w:t>
      </w:r>
      <w:r w:rsidR="0090341D" w:rsidRPr="00D5464D">
        <w:rPr>
          <w:lang w:val="pt-BR"/>
        </w:rPr>
        <w:t>resgatado</w:t>
      </w:r>
      <w:r w:rsidR="006C5E11" w:rsidRPr="00D5464D">
        <w:rPr>
          <w:lang w:val="pt-BR"/>
        </w:rPr>
        <w:t>s</w:t>
      </w:r>
      <w:r w:rsidR="00C91CB1" w:rsidRPr="00D5464D">
        <w:rPr>
          <w:lang w:val="pt-BR"/>
        </w:rPr>
        <w:t xml:space="preserve"> em 1</w:t>
      </w:r>
      <w:r w:rsidR="006C5E11" w:rsidRPr="00D5464D">
        <w:rPr>
          <w:lang w:val="pt-BR"/>
        </w:rPr>
        <w:t xml:space="preserve">5 de </w:t>
      </w:r>
      <w:r w:rsidR="002C330E" w:rsidRPr="00D5464D">
        <w:rPr>
          <w:lang w:val="pt-BR"/>
        </w:rPr>
        <w:t>março</w:t>
      </w:r>
      <w:r w:rsidR="006C5E11" w:rsidRPr="00D5464D">
        <w:rPr>
          <w:lang w:val="pt-BR"/>
        </w:rPr>
        <w:t xml:space="preserve"> de 2000: </w:t>
      </w:r>
      <w:r w:rsidR="00E43561" w:rsidRPr="00D5464D">
        <w:rPr>
          <w:lang w:val="pt-BR"/>
        </w:rPr>
        <w:t xml:space="preserve">eles se </w:t>
      </w:r>
      <w:r w:rsidRPr="00D5464D">
        <w:rPr>
          <w:lang w:val="pt-BR"/>
        </w:rPr>
        <w:t>encontravam em</w:t>
      </w:r>
      <w:r w:rsidR="00E045D9" w:rsidRPr="00D5464D">
        <w:rPr>
          <w:lang w:val="pt-BR"/>
        </w:rPr>
        <w:t xml:space="preserve"> uma </w:t>
      </w:r>
      <w:r w:rsidR="006C5E11" w:rsidRPr="00D5464D">
        <w:rPr>
          <w:lang w:val="pt-BR"/>
        </w:rPr>
        <w:t>situa</w:t>
      </w:r>
      <w:r w:rsidRPr="00D5464D">
        <w:rPr>
          <w:lang w:val="pt-BR"/>
        </w:rPr>
        <w:t>ção</w:t>
      </w:r>
      <w:r w:rsidR="006C5E11" w:rsidRPr="00D5464D">
        <w:rPr>
          <w:lang w:val="pt-BR"/>
        </w:rPr>
        <w:t xml:space="preserve"> de pobreza</w:t>
      </w:r>
      <w:r w:rsidR="00BD5E2B" w:rsidRPr="00D5464D">
        <w:rPr>
          <w:lang w:val="pt-BR"/>
        </w:rPr>
        <w:t>;</w:t>
      </w:r>
      <w:r w:rsidR="006C5E11" w:rsidRPr="00D5464D">
        <w:rPr>
          <w:lang w:val="pt-BR"/>
        </w:rPr>
        <w:t xml:space="preserve"> pro</w:t>
      </w:r>
      <w:r w:rsidR="00350187" w:rsidRPr="00D5464D">
        <w:rPr>
          <w:lang w:val="pt-BR"/>
        </w:rPr>
        <w:t>vinham</w:t>
      </w:r>
      <w:r w:rsidRPr="00D5464D">
        <w:rPr>
          <w:lang w:val="pt-BR"/>
        </w:rPr>
        <w:t xml:space="preserve"> das </w:t>
      </w:r>
      <w:r w:rsidR="002C330E" w:rsidRPr="00D5464D">
        <w:rPr>
          <w:lang w:val="pt-BR"/>
        </w:rPr>
        <w:t>regiões</w:t>
      </w:r>
      <w:r w:rsidR="006C5E11" w:rsidRPr="00D5464D">
        <w:rPr>
          <w:lang w:val="pt-BR"/>
        </w:rPr>
        <w:t xml:space="preserve"> </w:t>
      </w:r>
      <w:r w:rsidR="002C330E" w:rsidRPr="00D5464D">
        <w:rPr>
          <w:lang w:val="pt-BR"/>
        </w:rPr>
        <w:t xml:space="preserve">mais </w:t>
      </w:r>
      <w:r w:rsidR="006C5E11" w:rsidRPr="00D5464D">
        <w:rPr>
          <w:lang w:val="pt-BR"/>
        </w:rPr>
        <w:t xml:space="preserve">pobres </w:t>
      </w:r>
      <w:r w:rsidRPr="00D5464D">
        <w:rPr>
          <w:lang w:val="pt-BR"/>
        </w:rPr>
        <w:t xml:space="preserve">do </w:t>
      </w:r>
      <w:r w:rsidR="006C5E11" w:rsidRPr="00D5464D">
        <w:rPr>
          <w:lang w:val="pt-BR"/>
        </w:rPr>
        <w:t>país,</w:t>
      </w:r>
      <w:r w:rsidRPr="00D5464D">
        <w:rPr>
          <w:lang w:val="pt-BR"/>
        </w:rPr>
        <w:t xml:space="preserve"> com </w:t>
      </w:r>
      <w:r w:rsidR="006C5E11" w:rsidRPr="00D5464D">
        <w:rPr>
          <w:lang w:val="pt-BR"/>
        </w:rPr>
        <w:t xml:space="preserve">menor </w:t>
      </w:r>
      <w:r w:rsidRPr="00D5464D">
        <w:rPr>
          <w:lang w:val="pt-BR"/>
        </w:rPr>
        <w:t>desenvolvimento</w:t>
      </w:r>
      <w:r w:rsidR="006C5E11" w:rsidRPr="00D5464D">
        <w:rPr>
          <w:lang w:val="pt-BR"/>
        </w:rPr>
        <w:t xml:space="preserve"> humano</w:t>
      </w:r>
      <w:r w:rsidR="00E045D9" w:rsidRPr="00D5464D">
        <w:rPr>
          <w:lang w:val="pt-BR"/>
        </w:rPr>
        <w:t xml:space="preserve"> e </w:t>
      </w:r>
      <w:r w:rsidR="006C5E11" w:rsidRPr="00D5464D">
        <w:rPr>
          <w:lang w:val="pt-BR"/>
        </w:rPr>
        <w:t xml:space="preserve">perspectivas de </w:t>
      </w:r>
      <w:r w:rsidR="00E045D9" w:rsidRPr="00D5464D">
        <w:rPr>
          <w:lang w:val="pt-BR"/>
        </w:rPr>
        <w:t xml:space="preserve">trabalho e </w:t>
      </w:r>
      <w:r w:rsidR="00A1358C" w:rsidRPr="00D5464D">
        <w:rPr>
          <w:lang w:val="pt-BR"/>
        </w:rPr>
        <w:t>emprego</w:t>
      </w:r>
      <w:r w:rsidR="006C5E11" w:rsidRPr="00D5464D">
        <w:rPr>
          <w:lang w:val="pt-BR"/>
        </w:rPr>
        <w:t>;</w:t>
      </w:r>
      <w:r w:rsidRPr="00D5464D">
        <w:rPr>
          <w:lang w:val="pt-BR"/>
        </w:rPr>
        <w:t xml:space="preserve"> eram </w:t>
      </w:r>
      <w:r w:rsidR="006C5E11" w:rsidRPr="00D5464D">
        <w:rPr>
          <w:lang w:val="pt-BR"/>
        </w:rPr>
        <w:t>analfabet</w:t>
      </w:r>
      <w:r w:rsidR="000B2B14" w:rsidRPr="00D5464D">
        <w:rPr>
          <w:lang w:val="pt-BR"/>
        </w:rPr>
        <w:t>o</w:t>
      </w:r>
      <w:r w:rsidR="006C5E11" w:rsidRPr="00D5464D">
        <w:rPr>
          <w:lang w:val="pt-BR"/>
        </w:rPr>
        <w:t>s</w:t>
      </w:r>
      <w:r w:rsidRPr="00D5464D">
        <w:rPr>
          <w:lang w:val="pt-BR"/>
        </w:rPr>
        <w:t>, e</w:t>
      </w:r>
      <w:r w:rsidR="006C5E11" w:rsidRPr="00D5464D">
        <w:rPr>
          <w:lang w:val="pt-BR"/>
        </w:rPr>
        <w:t xml:space="preserve"> </w:t>
      </w:r>
      <w:r w:rsidR="00E045D9" w:rsidRPr="00D5464D">
        <w:rPr>
          <w:lang w:val="pt-BR"/>
        </w:rPr>
        <w:t>tinham</w:t>
      </w:r>
      <w:r w:rsidR="006C5E11" w:rsidRPr="00D5464D">
        <w:rPr>
          <w:lang w:val="pt-BR"/>
        </w:rPr>
        <w:t xml:space="preserve"> </w:t>
      </w:r>
      <w:r w:rsidR="002C330E" w:rsidRPr="00D5464D">
        <w:rPr>
          <w:lang w:val="pt-BR"/>
        </w:rPr>
        <w:t xml:space="preserve">pouca </w:t>
      </w:r>
      <w:r w:rsidR="006C5E11" w:rsidRPr="00D5464D">
        <w:rPr>
          <w:lang w:val="pt-BR"/>
        </w:rPr>
        <w:t>o</w:t>
      </w:r>
      <w:r w:rsidR="007A789D" w:rsidRPr="00D5464D">
        <w:rPr>
          <w:lang w:val="pt-BR"/>
        </w:rPr>
        <w:t xml:space="preserve">u nenhuma </w:t>
      </w:r>
      <w:r w:rsidR="006C5E11" w:rsidRPr="00D5464D">
        <w:rPr>
          <w:lang w:val="pt-BR"/>
        </w:rPr>
        <w:t>escolariza</w:t>
      </w:r>
      <w:r w:rsidRPr="00D5464D">
        <w:rPr>
          <w:lang w:val="pt-BR"/>
        </w:rPr>
        <w:t>ção</w:t>
      </w:r>
      <w:r w:rsidR="006C5E11" w:rsidRPr="00D5464D">
        <w:rPr>
          <w:lang w:val="pt-BR"/>
        </w:rPr>
        <w:t xml:space="preserve"> (</w:t>
      </w:r>
      <w:r w:rsidR="00D036E7" w:rsidRPr="00D5464D">
        <w:rPr>
          <w:lang w:val="pt-BR"/>
        </w:rPr>
        <w:t xml:space="preserve">par. 41 </w:t>
      </w:r>
      <w:r w:rsidR="00D036E7" w:rsidRPr="00D5464D">
        <w:rPr>
          <w:i/>
          <w:lang w:val="pt-BR"/>
        </w:rPr>
        <w:t>supra</w:t>
      </w:r>
      <w:r w:rsidR="00D036E7" w:rsidRPr="00D5464D">
        <w:rPr>
          <w:lang w:val="pt-BR"/>
        </w:rPr>
        <w:t>)</w:t>
      </w:r>
      <w:r w:rsidR="006C5E11" w:rsidRPr="00D5464D">
        <w:rPr>
          <w:lang w:val="pt-BR"/>
        </w:rPr>
        <w:t>.</w:t>
      </w:r>
      <w:r w:rsidR="002C330E" w:rsidRPr="00D5464D">
        <w:rPr>
          <w:lang w:val="pt-BR"/>
        </w:rPr>
        <w:t xml:space="preserve"> </w:t>
      </w:r>
      <w:r w:rsidR="00E43561" w:rsidRPr="00D5464D">
        <w:rPr>
          <w:lang w:val="pt-BR"/>
        </w:rPr>
        <w:t>Essas circunstâncias</w:t>
      </w:r>
      <w:r w:rsidR="002C330E" w:rsidRPr="00D5464D">
        <w:rPr>
          <w:lang w:val="pt-BR"/>
        </w:rPr>
        <w:t xml:space="preserve"> os </w:t>
      </w:r>
      <w:r w:rsidR="006C5E11" w:rsidRPr="00D5464D">
        <w:rPr>
          <w:lang w:val="pt-BR"/>
        </w:rPr>
        <w:t>coloc</w:t>
      </w:r>
      <w:r w:rsidR="00350187" w:rsidRPr="00D5464D">
        <w:rPr>
          <w:lang w:val="pt-BR"/>
        </w:rPr>
        <w:t xml:space="preserve">ava </w:t>
      </w:r>
      <w:r w:rsidRPr="00D5464D">
        <w:rPr>
          <w:lang w:val="pt-BR"/>
        </w:rPr>
        <w:t>em</w:t>
      </w:r>
      <w:r w:rsidR="00E045D9" w:rsidRPr="00D5464D">
        <w:rPr>
          <w:lang w:val="pt-BR"/>
        </w:rPr>
        <w:t xml:space="preserve"> uma </w:t>
      </w:r>
      <w:r w:rsidR="006C5E11" w:rsidRPr="00D5464D">
        <w:rPr>
          <w:lang w:val="pt-BR"/>
        </w:rPr>
        <w:t>situa</w:t>
      </w:r>
      <w:r w:rsidRPr="00D5464D">
        <w:rPr>
          <w:lang w:val="pt-BR"/>
        </w:rPr>
        <w:t>ção</w:t>
      </w:r>
      <w:r w:rsidR="006C5E11" w:rsidRPr="00D5464D">
        <w:rPr>
          <w:lang w:val="pt-BR"/>
        </w:rPr>
        <w:t xml:space="preserve"> que</w:t>
      </w:r>
      <w:r w:rsidR="002C330E" w:rsidRPr="00D5464D">
        <w:rPr>
          <w:lang w:val="pt-BR"/>
        </w:rPr>
        <w:t xml:space="preserve"> os </w:t>
      </w:r>
      <w:r w:rsidR="007A789D" w:rsidRPr="00D5464D">
        <w:rPr>
          <w:lang w:val="pt-BR"/>
        </w:rPr>
        <w:t xml:space="preserve">tornava </w:t>
      </w:r>
      <w:r w:rsidR="002C330E" w:rsidRPr="00D5464D">
        <w:rPr>
          <w:lang w:val="pt-BR"/>
        </w:rPr>
        <w:t xml:space="preserve">mais </w:t>
      </w:r>
      <w:r w:rsidR="00230C71" w:rsidRPr="00D5464D">
        <w:rPr>
          <w:lang w:val="pt-BR"/>
        </w:rPr>
        <w:t>suscetíve</w:t>
      </w:r>
      <w:r w:rsidR="002C330E" w:rsidRPr="00D5464D">
        <w:rPr>
          <w:lang w:val="pt-BR"/>
        </w:rPr>
        <w:t xml:space="preserve">is </w:t>
      </w:r>
      <w:r w:rsidR="00E43561" w:rsidRPr="00D5464D">
        <w:rPr>
          <w:lang w:val="pt-BR"/>
        </w:rPr>
        <w:t>de</w:t>
      </w:r>
      <w:r w:rsidR="00FF1290" w:rsidRPr="00D5464D">
        <w:rPr>
          <w:lang w:val="pt-BR"/>
        </w:rPr>
        <w:t xml:space="preserve"> </w:t>
      </w:r>
      <w:r w:rsidR="007A789D" w:rsidRPr="00D5464D">
        <w:rPr>
          <w:lang w:val="pt-BR"/>
        </w:rPr>
        <w:t xml:space="preserve">serem aliciados </w:t>
      </w:r>
      <w:r w:rsidR="006C5E11" w:rsidRPr="00D5464D">
        <w:rPr>
          <w:lang w:val="pt-BR"/>
        </w:rPr>
        <w:t xml:space="preserve">mediante falsas </w:t>
      </w:r>
      <w:r w:rsidR="00A1358C" w:rsidRPr="00D5464D">
        <w:rPr>
          <w:lang w:val="pt-BR"/>
        </w:rPr>
        <w:t>promessa</w:t>
      </w:r>
      <w:r w:rsidR="006C5E11" w:rsidRPr="00D5464D">
        <w:rPr>
          <w:lang w:val="pt-BR"/>
        </w:rPr>
        <w:t>s</w:t>
      </w:r>
      <w:r w:rsidR="00E045D9" w:rsidRPr="00D5464D">
        <w:rPr>
          <w:lang w:val="pt-BR"/>
        </w:rPr>
        <w:t xml:space="preserve"> e </w:t>
      </w:r>
      <w:r w:rsidR="006C5E11" w:rsidRPr="00D5464D">
        <w:rPr>
          <w:lang w:val="pt-BR"/>
        </w:rPr>
        <w:t>eng</w:t>
      </w:r>
      <w:r w:rsidRPr="00D5464D">
        <w:rPr>
          <w:lang w:val="pt-BR"/>
        </w:rPr>
        <w:t>anos</w:t>
      </w:r>
      <w:r w:rsidR="006C5E11" w:rsidRPr="00D5464D">
        <w:rPr>
          <w:lang w:val="pt-BR"/>
        </w:rPr>
        <w:t xml:space="preserve">. </w:t>
      </w:r>
      <w:r w:rsidRPr="00D5464D">
        <w:rPr>
          <w:lang w:val="pt-BR"/>
        </w:rPr>
        <w:t>Esta</w:t>
      </w:r>
      <w:r w:rsidR="006C5E11" w:rsidRPr="00D5464D">
        <w:rPr>
          <w:lang w:val="pt-BR"/>
        </w:rPr>
        <w:t xml:space="preserve"> situa</w:t>
      </w:r>
      <w:r w:rsidRPr="00D5464D">
        <w:rPr>
          <w:lang w:val="pt-BR"/>
        </w:rPr>
        <w:t>ção</w:t>
      </w:r>
      <w:r w:rsidR="006C5E11" w:rsidRPr="00D5464D">
        <w:rPr>
          <w:lang w:val="pt-BR"/>
        </w:rPr>
        <w:t xml:space="preserve"> de </w:t>
      </w:r>
      <w:r w:rsidR="002C330E" w:rsidRPr="00D5464D">
        <w:rPr>
          <w:lang w:val="pt-BR"/>
        </w:rPr>
        <w:t>risco</w:t>
      </w:r>
      <w:r w:rsidR="006C5E11" w:rsidRPr="00D5464D">
        <w:rPr>
          <w:lang w:val="pt-BR"/>
        </w:rPr>
        <w:t xml:space="preserve"> </w:t>
      </w:r>
      <w:r w:rsidR="002C330E" w:rsidRPr="00D5464D">
        <w:rPr>
          <w:lang w:val="pt-BR"/>
        </w:rPr>
        <w:t>imediat</w:t>
      </w:r>
      <w:r w:rsidR="006C5E11" w:rsidRPr="00D5464D">
        <w:rPr>
          <w:lang w:val="pt-BR"/>
        </w:rPr>
        <w:t>o para</w:t>
      </w:r>
      <w:r w:rsidR="00E045D9" w:rsidRPr="00D5464D">
        <w:rPr>
          <w:lang w:val="pt-BR"/>
        </w:rPr>
        <w:t xml:space="preserve"> um </w:t>
      </w:r>
      <w:r w:rsidR="006C5E11" w:rsidRPr="00D5464D">
        <w:rPr>
          <w:lang w:val="pt-BR"/>
        </w:rPr>
        <w:t xml:space="preserve">grupo determinado de </w:t>
      </w:r>
      <w:r w:rsidR="002C330E" w:rsidRPr="00D5464D">
        <w:rPr>
          <w:lang w:val="pt-BR"/>
        </w:rPr>
        <w:t>pessoa</w:t>
      </w:r>
      <w:r w:rsidR="006C5E11" w:rsidRPr="00D5464D">
        <w:rPr>
          <w:lang w:val="pt-BR"/>
        </w:rPr>
        <w:t>s</w:t>
      </w:r>
      <w:r w:rsidRPr="00D5464D">
        <w:rPr>
          <w:lang w:val="pt-BR"/>
        </w:rPr>
        <w:t xml:space="preserve"> com </w:t>
      </w:r>
      <w:r w:rsidR="006C5E11" w:rsidRPr="00D5464D">
        <w:rPr>
          <w:lang w:val="pt-BR"/>
        </w:rPr>
        <w:t xml:space="preserve">características </w:t>
      </w:r>
      <w:r w:rsidR="002C330E" w:rsidRPr="00D5464D">
        <w:rPr>
          <w:lang w:val="pt-BR"/>
        </w:rPr>
        <w:t>idêntica</w:t>
      </w:r>
      <w:r w:rsidR="006C5E11" w:rsidRPr="00D5464D">
        <w:rPr>
          <w:lang w:val="pt-BR"/>
        </w:rPr>
        <w:t>s</w:t>
      </w:r>
      <w:r w:rsidR="00E045D9" w:rsidRPr="00D5464D">
        <w:rPr>
          <w:lang w:val="pt-BR"/>
        </w:rPr>
        <w:t xml:space="preserve"> e </w:t>
      </w:r>
      <w:r w:rsidR="00230C71" w:rsidRPr="00D5464D">
        <w:rPr>
          <w:lang w:val="pt-BR"/>
        </w:rPr>
        <w:t>originário</w:t>
      </w:r>
      <w:r w:rsidR="006C5E11" w:rsidRPr="00D5464D">
        <w:rPr>
          <w:lang w:val="pt-BR"/>
        </w:rPr>
        <w:t>s</w:t>
      </w:r>
      <w:r w:rsidRPr="00D5464D">
        <w:rPr>
          <w:lang w:val="pt-BR"/>
        </w:rPr>
        <w:t xml:space="preserve"> das </w:t>
      </w:r>
      <w:r w:rsidR="002C330E" w:rsidRPr="00D5464D">
        <w:rPr>
          <w:lang w:val="pt-BR"/>
        </w:rPr>
        <w:t>mesm</w:t>
      </w:r>
      <w:r w:rsidR="006C5E11" w:rsidRPr="00D5464D">
        <w:rPr>
          <w:lang w:val="pt-BR"/>
        </w:rPr>
        <w:t xml:space="preserve">as </w:t>
      </w:r>
      <w:r w:rsidR="002C330E" w:rsidRPr="00D5464D">
        <w:rPr>
          <w:lang w:val="pt-BR"/>
        </w:rPr>
        <w:t>regiões</w:t>
      </w:r>
      <w:r w:rsidR="006C5E11" w:rsidRPr="00D5464D">
        <w:rPr>
          <w:lang w:val="pt-BR"/>
        </w:rPr>
        <w:t xml:space="preserve"> </w:t>
      </w:r>
      <w:r w:rsidRPr="00D5464D">
        <w:rPr>
          <w:lang w:val="pt-BR"/>
        </w:rPr>
        <w:t xml:space="preserve">do </w:t>
      </w:r>
      <w:r w:rsidR="006C5E11" w:rsidRPr="00D5464D">
        <w:rPr>
          <w:lang w:val="pt-BR"/>
        </w:rPr>
        <w:t xml:space="preserve">país </w:t>
      </w:r>
      <w:r w:rsidR="007A789D" w:rsidRPr="00D5464D">
        <w:rPr>
          <w:lang w:val="pt-BR"/>
        </w:rPr>
        <w:t xml:space="preserve">possui </w:t>
      </w:r>
      <w:r w:rsidR="00350187" w:rsidRPr="00D5464D">
        <w:rPr>
          <w:lang w:val="pt-BR"/>
        </w:rPr>
        <w:t>origens</w:t>
      </w:r>
      <w:r w:rsidR="006C5E11" w:rsidRPr="00D5464D">
        <w:rPr>
          <w:lang w:val="pt-BR"/>
        </w:rPr>
        <w:t xml:space="preserve"> históric</w:t>
      </w:r>
      <w:r w:rsidR="007A789D" w:rsidRPr="00D5464D">
        <w:rPr>
          <w:lang w:val="pt-BR"/>
        </w:rPr>
        <w:t>a</w:t>
      </w:r>
      <w:r w:rsidR="006C5E11" w:rsidRPr="00D5464D">
        <w:rPr>
          <w:lang w:val="pt-BR"/>
        </w:rPr>
        <w:t>s</w:t>
      </w:r>
      <w:r w:rsidR="00E045D9" w:rsidRPr="00D5464D">
        <w:rPr>
          <w:lang w:val="pt-BR"/>
        </w:rPr>
        <w:t xml:space="preserve"> e </w:t>
      </w:r>
      <w:r w:rsidR="006C5E11" w:rsidRPr="00D5464D">
        <w:rPr>
          <w:lang w:val="pt-BR"/>
        </w:rPr>
        <w:t xml:space="preserve">era </w:t>
      </w:r>
      <w:r w:rsidR="00737270" w:rsidRPr="00D5464D">
        <w:rPr>
          <w:lang w:val="pt-BR"/>
        </w:rPr>
        <w:t>conheci</w:t>
      </w:r>
      <w:r w:rsidR="006C5E11" w:rsidRPr="00D5464D">
        <w:rPr>
          <w:lang w:val="pt-BR"/>
        </w:rPr>
        <w:t>da</w:t>
      </w:r>
      <w:r w:rsidR="007A789D" w:rsidRPr="00D5464D">
        <w:rPr>
          <w:lang w:val="pt-BR"/>
        </w:rPr>
        <w:t xml:space="preserve">, pelo menos, </w:t>
      </w:r>
      <w:r w:rsidR="006C5E11" w:rsidRPr="00D5464D">
        <w:rPr>
          <w:lang w:val="pt-BR"/>
        </w:rPr>
        <w:t xml:space="preserve">desde 1995, </w:t>
      </w:r>
      <w:r w:rsidRPr="00D5464D">
        <w:rPr>
          <w:lang w:val="pt-BR"/>
        </w:rPr>
        <w:t xml:space="preserve">quando o </w:t>
      </w:r>
      <w:r w:rsidR="002C330E" w:rsidRPr="00D5464D">
        <w:rPr>
          <w:lang w:val="pt-BR"/>
        </w:rPr>
        <w:t>Governo</w:t>
      </w:r>
      <w:r w:rsidR="006C5E11" w:rsidRPr="00D5464D">
        <w:rPr>
          <w:lang w:val="pt-BR"/>
        </w:rPr>
        <w:t xml:space="preserve"> d</w:t>
      </w:r>
      <w:r w:rsidR="007A789D" w:rsidRPr="00D5464D">
        <w:rPr>
          <w:lang w:val="pt-BR"/>
        </w:rPr>
        <w:t>o</w:t>
      </w:r>
      <w:r w:rsidR="006C5E11" w:rsidRPr="00D5464D">
        <w:rPr>
          <w:lang w:val="pt-BR"/>
        </w:rPr>
        <w:t xml:space="preserve"> Brasil </w:t>
      </w:r>
      <w:r w:rsidR="007A789D" w:rsidRPr="00D5464D">
        <w:rPr>
          <w:lang w:val="pt-BR"/>
        </w:rPr>
        <w:t xml:space="preserve">expressamente </w:t>
      </w:r>
      <w:r w:rsidR="006C5E11" w:rsidRPr="00D5464D">
        <w:rPr>
          <w:lang w:val="pt-BR"/>
        </w:rPr>
        <w:t>re</w:t>
      </w:r>
      <w:r w:rsidRPr="00D5464D">
        <w:rPr>
          <w:lang w:val="pt-BR"/>
        </w:rPr>
        <w:t>conheceu</w:t>
      </w:r>
      <w:r w:rsidR="006C5E11" w:rsidRPr="00D5464D">
        <w:rPr>
          <w:lang w:val="pt-BR"/>
        </w:rPr>
        <w:t xml:space="preserve"> </w:t>
      </w:r>
      <w:r w:rsidR="002C330E" w:rsidRPr="00D5464D">
        <w:rPr>
          <w:lang w:val="pt-BR"/>
        </w:rPr>
        <w:t xml:space="preserve">a </w:t>
      </w:r>
      <w:r w:rsidR="00E045D9" w:rsidRPr="00D5464D">
        <w:rPr>
          <w:lang w:val="pt-BR"/>
        </w:rPr>
        <w:t>existência</w:t>
      </w:r>
      <w:r w:rsidR="006C5E11" w:rsidRPr="00D5464D">
        <w:rPr>
          <w:lang w:val="pt-BR"/>
        </w:rPr>
        <w:t xml:space="preserve"> de “</w:t>
      </w:r>
      <w:r w:rsidR="00E045D9" w:rsidRPr="00D5464D">
        <w:rPr>
          <w:lang w:val="pt-BR"/>
        </w:rPr>
        <w:t>trabalho</w:t>
      </w:r>
      <w:r w:rsidR="006C5E11" w:rsidRPr="00D5464D">
        <w:rPr>
          <w:lang w:val="pt-BR"/>
        </w:rPr>
        <w:t xml:space="preserve"> </w:t>
      </w:r>
      <w:r w:rsidR="004F1CC2" w:rsidRPr="00D5464D">
        <w:rPr>
          <w:lang w:val="pt-BR"/>
        </w:rPr>
        <w:t>escravo</w:t>
      </w:r>
      <w:r w:rsidR="006C5E11" w:rsidRPr="00D5464D">
        <w:rPr>
          <w:lang w:val="pt-BR"/>
        </w:rPr>
        <w:t>”</w:t>
      </w:r>
      <w:r w:rsidR="00E045D9" w:rsidRPr="00D5464D">
        <w:rPr>
          <w:lang w:val="pt-BR"/>
        </w:rPr>
        <w:t xml:space="preserve"> no </w:t>
      </w:r>
      <w:r w:rsidR="006C5E11" w:rsidRPr="00D5464D">
        <w:rPr>
          <w:lang w:val="pt-BR"/>
        </w:rPr>
        <w:t>país (</w:t>
      </w:r>
      <w:r w:rsidR="00C85EA9" w:rsidRPr="00D5464D">
        <w:rPr>
          <w:lang w:val="pt-BR"/>
        </w:rPr>
        <w:t xml:space="preserve">par. </w:t>
      </w:r>
      <w:r w:rsidR="00D036E7" w:rsidRPr="00D5464D">
        <w:rPr>
          <w:lang w:val="pt-BR"/>
        </w:rPr>
        <w:t>111</w:t>
      </w:r>
      <w:r w:rsidR="00D036E7" w:rsidRPr="00D5464D">
        <w:rPr>
          <w:i/>
          <w:lang w:val="pt-BR"/>
        </w:rPr>
        <w:t xml:space="preserve"> supra</w:t>
      </w:r>
      <w:r w:rsidR="00D036E7" w:rsidRPr="00D5464D">
        <w:rPr>
          <w:lang w:val="pt-BR"/>
        </w:rPr>
        <w:t>)</w:t>
      </w:r>
      <w:r w:rsidR="006C5E11" w:rsidRPr="00D5464D">
        <w:rPr>
          <w:lang w:val="pt-BR"/>
        </w:rPr>
        <w:t xml:space="preserve">. </w:t>
      </w:r>
    </w:p>
    <w:p w14:paraId="08D269AE" w14:textId="77777777" w:rsidR="006C5E11" w:rsidRPr="00D5464D" w:rsidRDefault="006C5E11" w:rsidP="006C5E11">
      <w:pPr>
        <w:pStyle w:val="Prrafodelista"/>
        <w:ind w:left="0"/>
        <w:rPr>
          <w:lang w:val="pt-BR"/>
        </w:rPr>
      </w:pPr>
    </w:p>
    <w:p w14:paraId="0B2CECF7" w14:textId="23A34F11" w:rsidR="006C5E11" w:rsidRPr="00D5464D" w:rsidRDefault="000B2B14" w:rsidP="00F122BB">
      <w:pPr>
        <w:pStyle w:val="Prrafodelista"/>
        <w:numPr>
          <w:ilvl w:val="0"/>
          <w:numId w:val="1"/>
        </w:numPr>
        <w:rPr>
          <w:lang w:val="pt-BR"/>
        </w:rPr>
      </w:pPr>
      <w:r w:rsidRPr="00D5464D">
        <w:rPr>
          <w:lang w:val="pt-BR"/>
        </w:rPr>
        <w:t>A partir d</w:t>
      </w:r>
      <w:r w:rsidR="00E045D9" w:rsidRPr="00D5464D">
        <w:rPr>
          <w:lang w:val="pt-BR"/>
        </w:rPr>
        <w:t xml:space="preserve">a </w:t>
      </w:r>
      <w:r w:rsidR="002C330E" w:rsidRPr="00D5464D">
        <w:rPr>
          <w:lang w:val="pt-BR"/>
        </w:rPr>
        <w:t>prova</w:t>
      </w:r>
      <w:r w:rsidR="00350187" w:rsidRPr="00D5464D">
        <w:rPr>
          <w:lang w:val="pt-BR"/>
        </w:rPr>
        <w:t xml:space="preserve"> </w:t>
      </w:r>
      <w:r w:rsidR="007A789D" w:rsidRPr="00D5464D">
        <w:rPr>
          <w:lang w:val="pt-BR"/>
        </w:rPr>
        <w:t>disponível nos autos</w:t>
      </w:r>
      <w:r w:rsidR="006B5425" w:rsidRPr="00D5464D">
        <w:rPr>
          <w:lang w:val="pt-BR"/>
        </w:rPr>
        <w:t>,</w:t>
      </w:r>
      <w:r w:rsidR="007A789D" w:rsidRPr="00D5464D">
        <w:rPr>
          <w:lang w:val="pt-BR"/>
        </w:rPr>
        <w:t xml:space="preserve"> </w:t>
      </w:r>
      <w:r w:rsidR="00470ADC" w:rsidRPr="00D5464D">
        <w:rPr>
          <w:lang w:val="pt-BR"/>
        </w:rPr>
        <w:t>adverte</w:t>
      </w:r>
      <w:r w:rsidR="006B5425" w:rsidRPr="00D5464D">
        <w:rPr>
          <w:lang w:val="pt-BR"/>
        </w:rPr>
        <w:t>-se</w:t>
      </w:r>
      <w:r w:rsidR="002C330E" w:rsidRPr="00D5464D">
        <w:rPr>
          <w:lang w:val="pt-BR"/>
        </w:rPr>
        <w:t xml:space="preserve"> </w:t>
      </w:r>
      <w:r w:rsidR="006B5425" w:rsidRPr="00D5464D">
        <w:rPr>
          <w:lang w:val="pt-BR"/>
        </w:rPr>
        <w:t>quanto à</w:t>
      </w:r>
      <w:r w:rsidR="00FF1290" w:rsidRPr="00D5464D">
        <w:rPr>
          <w:lang w:val="pt-BR"/>
        </w:rPr>
        <w:t xml:space="preserve"> </w:t>
      </w:r>
      <w:r w:rsidR="00E045D9" w:rsidRPr="00D5464D">
        <w:rPr>
          <w:lang w:val="pt-BR"/>
        </w:rPr>
        <w:t>existência</w:t>
      </w:r>
      <w:r w:rsidR="006C5E11" w:rsidRPr="00D5464D">
        <w:rPr>
          <w:lang w:val="pt-BR"/>
        </w:rPr>
        <w:t xml:space="preserve"> de</w:t>
      </w:r>
      <w:r w:rsidR="00E045D9" w:rsidRPr="00D5464D">
        <w:rPr>
          <w:lang w:val="pt-BR"/>
        </w:rPr>
        <w:t xml:space="preserve"> uma </w:t>
      </w:r>
      <w:r w:rsidR="006C5E11" w:rsidRPr="00D5464D">
        <w:rPr>
          <w:lang w:val="pt-BR"/>
        </w:rPr>
        <w:t>situa</w:t>
      </w:r>
      <w:r w:rsidR="00470ADC" w:rsidRPr="00D5464D">
        <w:rPr>
          <w:lang w:val="pt-BR"/>
        </w:rPr>
        <w:t>ção</w:t>
      </w:r>
      <w:r w:rsidR="00A1358C" w:rsidRPr="00D5464D">
        <w:rPr>
          <w:lang w:val="pt-BR"/>
        </w:rPr>
        <w:t xml:space="preserve"> baseada</w:t>
      </w:r>
      <w:r w:rsidR="00E045D9" w:rsidRPr="00D5464D">
        <w:rPr>
          <w:lang w:val="pt-BR"/>
        </w:rPr>
        <w:t xml:space="preserve"> na </w:t>
      </w:r>
      <w:r w:rsidR="006C5E11" w:rsidRPr="00D5464D">
        <w:rPr>
          <w:lang w:val="pt-BR"/>
        </w:rPr>
        <w:t>posi</w:t>
      </w:r>
      <w:r w:rsidR="00470ADC" w:rsidRPr="00D5464D">
        <w:rPr>
          <w:lang w:val="pt-BR"/>
        </w:rPr>
        <w:t>ção</w:t>
      </w:r>
      <w:r w:rsidR="006C5E11" w:rsidRPr="00D5464D">
        <w:rPr>
          <w:lang w:val="pt-BR"/>
        </w:rPr>
        <w:t xml:space="preserve"> </w:t>
      </w:r>
      <w:r w:rsidR="00470ADC" w:rsidRPr="00D5464D">
        <w:rPr>
          <w:lang w:val="pt-BR"/>
        </w:rPr>
        <w:t>econômic</w:t>
      </w:r>
      <w:r w:rsidR="006C5E11" w:rsidRPr="00D5464D">
        <w:rPr>
          <w:lang w:val="pt-BR"/>
        </w:rPr>
        <w:t>a</w:t>
      </w:r>
      <w:r w:rsidR="00470ADC" w:rsidRPr="00D5464D">
        <w:rPr>
          <w:lang w:val="pt-BR"/>
        </w:rPr>
        <w:t xml:space="preserve"> das </w:t>
      </w:r>
      <w:r w:rsidR="00E045D9" w:rsidRPr="00D5464D">
        <w:rPr>
          <w:lang w:val="pt-BR"/>
        </w:rPr>
        <w:t>vítima</w:t>
      </w:r>
      <w:r w:rsidR="006C5E11" w:rsidRPr="00D5464D">
        <w:rPr>
          <w:lang w:val="pt-BR"/>
        </w:rPr>
        <w:t xml:space="preserve">s </w:t>
      </w:r>
      <w:r w:rsidR="00BD5E2B" w:rsidRPr="00D5464D">
        <w:rPr>
          <w:lang w:val="pt-BR"/>
        </w:rPr>
        <w:t>res</w:t>
      </w:r>
      <w:r w:rsidR="007A789D" w:rsidRPr="00D5464D">
        <w:rPr>
          <w:lang w:val="pt-BR"/>
        </w:rPr>
        <w:t>g</w:t>
      </w:r>
      <w:r w:rsidR="00BD5E2B" w:rsidRPr="00D5464D">
        <w:rPr>
          <w:lang w:val="pt-BR"/>
        </w:rPr>
        <w:t>atadas</w:t>
      </w:r>
      <w:r w:rsidR="00C91CB1" w:rsidRPr="00D5464D">
        <w:rPr>
          <w:lang w:val="pt-BR"/>
        </w:rPr>
        <w:t xml:space="preserve"> em 1</w:t>
      </w:r>
      <w:r w:rsidR="006C5E11" w:rsidRPr="00D5464D">
        <w:rPr>
          <w:lang w:val="pt-BR"/>
        </w:rPr>
        <w:t xml:space="preserve">5 de </w:t>
      </w:r>
      <w:r w:rsidR="002C330E" w:rsidRPr="00D5464D">
        <w:rPr>
          <w:lang w:val="pt-BR"/>
        </w:rPr>
        <w:t>março</w:t>
      </w:r>
      <w:r w:rsidR="006C5E11" w:rsidRPr="00D5464D">
        <w:rPr>
          <w:lang w:val="pt-BR"/>
        </w:rPr>
        <w:t xml:space="preserve"> de 2000</w:t>
      </w:r>
      <w:r w:rsidR="007A789D" w:rsidRPr="00D5464D">
        <w:rPr>
          <w:lang w:val="pt-BR"/>
        </w:rPr>
        <w:t xml:space="preserve">, a qual </w:t>
      </w:r>
      <w:r w:rsidR="006C5E11" w:rsidRPr="00D5464D">
        <w:rPr>
          <w:lang w:val="pt-BR"/>
        </w:rPr>
        <w:t>caracter</w:t>
      </w:r>
      <w:r w:rsidR="00350187" w:rsidRPr="00D5464D">
        <w:rPr>
          <w:lang w:val="pt-BR"/>
        </w:rPr>
        <w:t xml:space="preserve">izou </w:t>
      </w:r>
      <w:r w:rsidR="00E045D9" w:rsidRPr="00D5464D">
        <w:rPr>
          <w:lang w:val="pt-BR"/>
        </w:rPr>
        <w:t>um</w:t>
      </w:r>
      <w:r w:rsidR="00A1358C" w:rsidRPr="00D5464D">
        <w:rPr>
          <w:lang w:val="pt-BR"/>
        </w:rPr>
        <w:t xml:space="preserve"> tratamento discriminatóri</w:t>
      </w:r>
      <w:r w:rsidR="006C5E11" w:rsidRPr="00D5464D">
        <w:rPr>
          <w:lang w:val="pt-BR"/>
        </w:rPr>
        <w:t xml:space="preserve">o. De </w:t>
      </w:r>
      <w:r w:rsidR="00470ADC" w:rsidRPr="00D5464D">
        <w:rPr>
          <w:lang w:val="pt-BR"/>
        </w:rPr>
        <w:t>acordo</w:t>
      </w:r>
      <w:r w:rsidR="006C5E11" w:rsidRPr="00D5464D">
        <w:rPr>
          <w:lang w:val="pt-BR"/>
        </w:rPr>
        <w:t xml:space="preserve"> </w:t>
      </w:r>
      <w:r w:rsidR="007A789D" w:rsidRPr="00D5464D">
        <w:rPr>
          <w:lang w:val="pt-BR"/>
        </w:rPr>
        <w:t>com</w:t>
      </w:r>
      <w:r w:rsidR="006C5E11" w:rsidRPr="00D5464D">
        <w:rPr>
          <w:lang w:val="pt-BR"/>
        </w:rPr>
        <w:t xml:space="preserve"> </w:t>
      </w:r>
      <w:r w:rsidR="00E045D9" w:rsidRPr="00D5464D">
        <w:rPr>
          <w:lang w:val="pt-BR"/>
        </w:rPr>
        <w:t>vários</w:t>
      </w:r>
      <w:r w:rsidR="002C330E" w:rsidRPr="00D5464D">
        <w:rPr>
          <w:lang w:val="pt-BR"/>
        </w:rPr>
        <w:t xml:space="preserve"> </w:t>
      </w:r>
      <w:r w:rsidR="00350187" w:rsidRPr="00D5464D">
        <w:rPr>
          <w:lang w:val="pt-BR"/>
        </w:rPr>
        <w:t>relatório</w:t>
      </w:r>
      <w:r w:rsidR="002C330E" w:rsidRPr="00D5464D">
        <w:rPr>
          <w:lang w:val="pt-BR"/>
        </w:rPr>
        <w:t>s</w:t>
      </w:r>
      <w:r w:rsidR="00470ADC" w:rsidRPr="00D5464D">
        <w:rPr>
          <w:lang w:val="pt-BR"/>
        </w:rPr>
        <w:t xml:space="preserve"> da </w:t>
      </w:r>
      <w:r w:rsidR="006C5E11" w:rsidRPr="00D5464D">
        <w:rPr>
          <w:lang w:val="pt-BR"/>
        </w:rPr>
        <w:t>OIT</w:t>
      </w:r>
      <w:r w:rsidR="00E045D9" w:rsidRPr="00D5464D">
        <w:rPr>
          <w:lang w:val="pt-BR"/>
        </w:rPr>
        <w:t xml:space="preserve"> e </w:t>
      </w:r>
      <w:r w:rsidR="00470ADC" w:rsidRPr="00D5464D">
        <w:rPr>
          <w:lang w:val="pt-BR"/>
        </w:rPr>
        <w:t xml:space="preserve">do </w:t>
      </w:r>
      <w:r w:rsidR="00AF0F26" w:rsidRPr="00D5464D">
        <w:rPr>
          <w:lang w:val="pt-BR"/>
        </w:rPr>
        <w:t>Ministério do Trabalho</w:t>
      </w:r>
      <w:r w:rsidR="006C5E11" w:rsidRPr="00D5464D">
        <w:rPr>
          <w:lang w:val="pt-BR"/>
        </w:rPr>
        <w:t xml:space="preserve"> d</w:t>
      </w:r>
      <w:r w:rsidR="007A789D" w:rsidRPr="00D5464D">
        <w:rPr>
          <w:lang w:val="pt-BR"/>
        </w:rPr>
        <w:t>o</w:t>
      </w:r>
      <w:r w:rsidR="006C5E11" w:rsidRPr="00D5464D">
        <w:rPr>
          <w:lang w:val="pt-BR"/>
        </w:rPr>
        <w:t xml:space="preserve"> Brasil, </w:t>
      </w:r>
      <w:r w:rsidR="00470ADC" w:rsidRPr="00D5464D">
        <w:rPr>
          <w:lang w:val="pt-BR"/>
        </w:rPr>
        <w:t xml:space="preserve">“a </w:t>
      </w:r>
      <w:r w:rsidR="00F122BB" w:rsidRPr="00D5464D">
        <w:rPr>
          <w:lang w:val="pt-BR"/>
        </w:rPr>
        <w:t>situação de miséria do obreiro é o que o leva espontaneamente à aceitação das condições de trabalho propostas</w:t>
      </w:r>
      <w:r w:rsidR="006C5E11" w:rsidRPr="00D5464D">
        <w:rPr>
          <w:lang w:val="pt-BR"/>
        </w:rPr>
        <w:t>”</w:t>
      </w:r>
      <w:r w:rsidR="006C5E11" w:rsidRPr="00D5464D">
        <w:rPr>
          <w:rStyle w:val="Refdenotaalpie"/>
          <w:lang w:val="pt-BR"/>
        </w:rPr>
        <w:footnoteReference w:id="475"/>
      </w:r>
      <w:r w:rsidR="006C5E11" w:rsidRPr="00D5464D">
        <w:rPr>
          <w:lang w:val="pt-BR"/>
        </w:rPr>
        <w:t xml:space="preserve">, </w:t>
      </w:r>
      <w:r w:rsidR="00BD5E2B" w:rsidRPr="00D5464D">
        <w:rPr>
          <w:lang w:val="pt-BR"/>
        </w:rPr>
        <w:t xml:space="preserve">toda </w:t>
      </w:r>
      <w:r w:rsidR="006C5E11" w:rsidRPr="00D5464D">
        <w:rPr>
          <w:lang w:val="pt-BR"/>
        </w:rPr>
        <w:t>vez que “</w:t>
      </w:r>
      <w:r w:rsidR="00F122BB" w:rsidRPr="00D5464D">
        <w:rPr>
          <w:lang w:val="pt-BR"/>
        </w:rPr>
        <w:t>q</w:t>
      </w:r>
      <w:r w:rsidR="006C5E11" w:rsidRPr="00D5464D">
        <w:rPr>
          <w:lang w:val="pt-BR"/>
        </w:rPr>
        <w:t>uanto</w:t>
      </w:r>
      <w:r w:rsidR="00C91CB1" w:rsidRPr="00D5464D">
        <w:rPr>
          <w:lang w:val="pt-BR"/>
        </w:rPr>
        <w:t xml:space="preserve"> </w:t>
      </w:r>
      <w:r w:rsidR="00F122BB" w:rsidRPr="00D5464D">
        <w:rPr>
          <w:lang w:val="pt-BR"/>
        </w:rPr>
        <w:t>piores as condições de vida, mais dispostos estarão os trabalhadores a correrem os riscos do trabalho longe de casa. A pobreza, nesse sentido, é o principal fator da escravidão contemporânea no Brasil, por aumentar a vulnerabilidade de significativa parcela da população, tornando-a presa fácil dos aliciadores para o trabalho escravo</w:t>
      </w:r>
      <w:r w:rsidR="006C5E11" w:rsidRPr="00D5464D">
        <w:rPr>
          <w:lang w:val="pt-BR"/>
        </w:rPr>
        <w:t>”</w:t>
      </w:r>
      <w:r w:rsidRPr="00D5464D">
        <w:rPr>
          <w:lang w:val="pt-BR"/>
        </w:rPr>
        <w:t>.</w:t>
      </w:r>
      <w:r w:rsidR="006C5E11" w:rsidRPr="00D5464D">
        <w:rPr>
          <w:rStyle w:val="Refdenotaalpie"/>
          <w:lang w:val="pt-BR"/>
        </w:rPr>
        <w:footnoteReference w:id="476"/>
      </w:r>
    </w:p>
    <w:p w14:paraId="558B6E69" w14:textId="77777777" w:rsidR="006C5E11" w:rsidRPr="00D5464D" w:rsidRDefault="006C5E11" w:rsidP="006C5E11">
      <w:pPr>
        <w:pStyle w:val="Prrafodelista"/>
        <w:ind w:left="0"/>
        <w:rPr>
          <w:lang w:val="pt-BR"/>
        </w:rPr>
      </w:pPr>
    </w:p>
    <w:p w14:paraId="351C1CCF" w14:textId="316C35A2" w:rsidR="00322854" w:rsidRPr="00D5464D" w:rsidRDefault="007A789D" w:rsidP="006C5E11">
      <w:pPr>
        <w:pStyle w:val="Prrafodelista"/>
        <w:numPr>
          <w:ilvl w:val="0"/>
          <w:numId w:val="1"/>
        </w:numPr>
        <w:contextualSpacing w:val="0"/>
        <w:rPr>
          <w:b/>
          <w:lang w:val="pt-BR"/>
        </w:rPr>
      </w:pPr>
      <w:r w:rsidRPr="00D5464D">
        <w:rPr>
          <w:lang w:val="pt-BR"/>
        </w:rPr>
        <w:t xml:space="preserve">Ao </w:t>
      </w:r>
      <w:r w:rsidR="006C5E11" w:rsidRPr="00D5464D">
        <w:rPr>
          <w:lang w:val="pt-BR"/>
        </w:rPr>
        <w:t>constata</w:t>
      </w:r>
      <w:r w:rsidRPr="00D5464D">
        <w:rPr>
          <w:lang w:val="pt-BR"/>
        </w:rPr>
        <w:t>r</w:t>
      </w:r>
      <w:r w:rsidR="002C330E" w:rsidRPr="00D5464D">
        <w:rPr>
          <w:lang w:val="pt-BR"/>
        </w:rPr>
        <w:t xml:space="preserve"> a </w:t>
      </w:r>
      <w:r w:rsidR="006C5E11" w:rsidRPr="00D5464D">
        <w:rPr>
          <w:lang w:val="pt-BR"/>
        </w:rPr>
        <w:t>situa</w:t>
      </w:r>
      <w:r w:rsidR="00470ADC" w:rsidRPr="00D5464D">
        <w:rPr>
          <w:lang w:val="pt-BR"/>
        </w:rPr>
        <w:t>ção</w:t>
      </w:r>
      <w:r w:rsidR="006C5E11" w:rsidRPr="00D5464D">
        <w:rPr>
          <w:lang w:val="pt-BR"/>
        </w:rPr>
        <w:t xml:space="preserve"> </w:t>
      </w:r>
      <w:r w:rsidR="00F638F0" w:rsidRPr="00D5464D">
        <w:rPr>
          <w:lang w:val="pt-BR"/>
        </w:rPr>
        <w:t>anterior</w:t>
      </w:r>
      <w:r w:rsidR="006B5425" w:rsidRPr="00D5464D">
        <w:rPr>
          <w:lang w:val="pt-BR"/>
        </w:rPr>
        <w:t>,</w:t>
      </w:r>
      <w:r w:rsidR="002C330E" w:rsidRPr="00D5464D">
        <w:rPr>
          <w:lang w:val="pt-BR"/>
        </w:rPr>
        <w:t xml:space="preserve"> a </w:t>
      </w:r>
      <w:r w:rsidR="00A1358C" w:rsidRPr="00D5464D">
        <w:rPr>
          <w:lang w:val="pt-BR"/>
        </w:rPr>
        <w:t xml:space="preserve">Corte </w:t>
      </w:r>
      <w:r w:rsidRPr="00D5464D">
        <w:rPr>
          <w:lang w:val="pt-BR"/>
        </w:rPr>
        <w:t xml:space="preserve">conclui </w:t>
      </w:r>
      <w:r w:rsidR="00F638F0" w:rsidRPr="00D5464D">
        <w:rPr>
          <w:lang w:val="pt-BR"/>
        </w:rPr>
        <w:t>que</w:t>
      </w:r>
      <w:r w:rsidR="00470ADC" w:rsidRPr="00D5464D">
        <w:rPr>
          <w:lang w:val="pt-BR"/>
        </w:rPr>
        <w:t xml:space="preserve"> o </w:t>
      </w:r>
      <w:r w:rsidR="00F638F0" w:rsidRPr="00D5464D">
        <w:rPr>
          <w:lang w:val="pt-BR"/>
        </w:rPr>
        <w:t xml:space="preserve">Estado </w:t>
      </w:r>
      <w:r w:rsidRPr="00D5464D">
        <w:rPr>
          <w:lang w:val="pt-BR"/>
        </w:rPr>
        <w:t xml:space="preserve">não </w:t>
      </w:r>
      <w:r w:rsidR="00470ADC" w:rsidRPr="00D5464D">
        <w:rPr>
          <w:lang w:val="pt-BR"/>
        </w:rPr>
        <w:t>considerou</w:t>
      </w:r>
      <w:r w:rsidR="002C330E" w:rsidRPr="00D5464D">
        <w:rPr>
          <w:lang w:val="pt-BR"/>
        </w:rPr>
        <w:t xml:space="preserve"> a </w:t>
      </w:r>
      <w:r w:rsidR="00E045D9" w:rsidRPr="00D5464D">
        <w:rPr>
          <w:lang w:val="pt-BR"/>
        </w:rPr>
        <w:t xml:space="preserve">vulnerabilidade </w:t>
      </w:r>
      <w:r w:rsidR="00470ADC" w:rsidRPr="00D5464D">
        <w:rPr>
          <w:lang w:val="pt-BR"/>
        </w:rPr>
        <w:t xml:space="preserve">dos </w:t>
      </w:r>
      <w:r w:rsidR="006C5E11" w:rsidRPr="00D5464D">
        <w:rPr>
          <w:lang w:val="pt-BR"/>
        </w:rPr>
        <w:t xml:space="preserve">85 </w:t>
      </w:r>
      <w:r w:rsidR="00E045D9" w:rsidRPr="00D5464D">
        <w:rPr>
          <w:lang w:val="pt-BR"/>
        </w:rPr>
        <w:t>trabalhadores</w:t>
      </w:r>
      <w:r w:rsidR="006C5E11" w:rsidRPr="00D5464D">
        <w:rPr>
          <w:lang w:val="pt-BR"/>
        </w:rPr>
        <w:t xml:space="preserve"> </w:t>
      </w:r>
      <w:r w:rsidR="0090341D" w:rsidRPr="00D5464D">
        <w:rPr>
          <w:lang w:val="pt-BR"/>
        </w:rPr>
        <w:t>resgatado</w:t>
      </w:r>
      <w:r w:rsidR="006C5E11" w:rsidRPr="00D5464D">
        <w:rPr>
          <w:lang w:val="pt-BR"/>
        </w:rPr>
        <w:t>s</w:t>
      </w:r>
      <w:r w:rsidR="00C91CB1" w:rsidRPr="00D5464D">
        <w:rPr>
          <w:lang w:val="pt-BR"/>
        </w:rPr>
        <w:t xml:space="preserve"> em 1</w:t>
      </w:r>
      <w:r w:rsidR="006C5E11" w:rsidRPr="00D5464D">
        <w:rPr>
          <w:lang w:val="pt-BR"/>
        </w:rPr>
        <w:t xml:space="preserve">5 de </w:t>
      </w:r>
      <w:r w:rsidR="002C330E" w:rsidRPr="00D5464D">
        <w:rPr>
          <w:lang w:val="pt-BR"/>
        </w:rPr>
        <w:t>março</w:t>
      </w:r>
      <w:r w:rsidR="006C5E11" w:rsidRPr="00D5464D">
        <w:rPr>
          <w:lang w:val="pt-BR"/>
        </w:rPr>
        <w:t xml:space="preserve"> de 2000</w:t>
      </w:r>
      <w:r w:rsidR="00BD5E2B" w:rsidRPr="00D5464D">
        <w:rPr>
          <w:lang w:val="pt-BR"/>
        </w:rPr>
        <w:t>,</w:t>
      </w:r>
      <w:r w:rsidR="00470ADC" w:rsidRPr="00D5464D">
        <w:rPr>
          <w:lang w:val="pt-BR"/>
        </w:rPr>
        <w:t xml:space="preserve"> em </w:t>
      </w:r>
      <w:r w:rsidR="00E045D9" w:rsidRPr="00D5464D">
        <w:rPr>
          <w:lang w:val="pt-BR"/>
        </w:rPr>
        <w:t xml:space="preserve">virtude </w:t>
      </w:r>
      <w:r w:rsidR="00470ADC" w:rsidRPr="00D5464D">
        <w:rPr>
          <w:lang w:val="pt-BR"/>
        </w:rPr>
        <w:t xml:space="preserve">da </w:t>
      </w:r>
      <w:r w:rsidR="006C5E11" w:rsidRPr="00D5464D">
        <w:rPr>
          <w:lang w:val="pt-BR"/>
        </w:rPr>
        <w:t>discrimina</w:t>
      </w:r>
      <w:r w:rsidR="00470ADC" w:rsidRPr="00D5464D">
        <w:rPr>
          <w:lang w:val="pt-BR"/>
        </w:rPr>
        <w:t xml:space="preserve">ção em </w:t>
      </w:r>
      <w:r w:rsidR="002C330E" w:rsidRPr="00D5464D">
        <w:rPr>
          <w:lang w:val="pt-BR"/>
        </w:rPr>
        <w:t>razão</w:t>
      </w:r>
      <w:r w:rsidR="00470ADC" w:rsidRPr="00D5464D">
        <w:rPr>
          <w:lang w:val="pt-BR"/>
        </w:rPr>
        <w:t xml:space="preserve"> da </w:t>
      </w:r>
      <w:r w:rsidR="00A60D61" w:rsidRPr="00D5464D">
        <w:rPr>
          <w:lang w:val="pt-BR"/>
        </w:rPr>
        <w:t>posi</w:t>
      </w:r>
      <w:r w:rsidR="00470ADC" w:rsidRPr="00D5464D">
        <w:rPr>
          <w:lang w:val="pt-BR"/>
        </w:rPr>
        <w:t>ção</w:t>
      </w:r>
      <w:r w:rsidR="00A60D61" w:rsidRPr="00D5464D">
        <w:rPr>
          <w:lang w:val="pt-BR"/>
        </w:rPr>
        <w:t xml:space="preserve"> </w:t>
      </w:r>
      <w:r w:rsidR="00470ADC" w:rsidRPr="00D5464D">
        <w:rPr>
          <w:lang w:val="pt-BR"/>
        </w:rPr>
        <w:t>econômic</w:t>
      </w:r>
      <w:r w:rsidR="00A60D61" w:rsidRPr="00D5464D">
        <w:rPr>
          <w:lang w:val="pt-BR"/>
        </w:rPr>
        <w:t>a</w:t>
      </w:r>
      <w:r w:rsidR="00470ADC" w:rsidRPr="00D5464D">
        <w:rPr>
          <w:lang w:val="pt-BR"/>
        </w:rPr>
        <w:t xml:space="preserve"> à </w:t>
      </w:r>
      <w:r w:rsidRPr="00D5464D">
        <w:rPr>
          <w:lang w:val="pt-BR"/>
        </w:rPr>
        <w:t>qual</w:t>
      </w:r>
      <w:r w:rsidR="006C5E11" w:rsidRPr="00D5464D">
        <w:rPr>
          <w:lang w:val="pt-BR"/>
        </w:rPr>
        <w:t xml:space="preserve"> </w:t>
      </w:r>
      <w:r w:rsidR="00470ADC" w:rsidRPr="00D5464D">
        <w:rPr>
          <w:lang w:val="pt-BR"/>
        </w:rPr>
        <w:t>estavam</w:t>
      </w:r>
      <w:r w:rsidR="006C5E11" w:rsidRPr="00D5464D">
        <w:rPr>
          <w:lang w:val="pt-BR"/>
        </w:rPr>
        <w:t xml:space="preserve"> </w:t>
      </w:r>
      <w:r w:rsidR="002C330E" w:rsidRPr="00D5464D">
        <w:rPr>
          <w:lang w:val="pt-BR"/>
        </w:rPr>
        <w:t>submetido</w:t>
      </w:r>
      <w:r w:rsidR="006C5E11" w:rsidRPr="00D5464D">
        <w:rPr>
          <w:lang w:val="pt-BR"/>
        </w:rPr>
        <w:t>s.</w:t>
      </w:r>
      <w:r w:rsidR="002C330E" w:rsidRPr="00D5464D">
        <w:rPr>
          <w:lang w:val="pt-BR"/>
        </w:rPr>
        <w:t xml:space="preserve"> </w:t>
      </w:r>
      <w:r w:rsidR="006B5425" w:rsidRPr="00D5464D">
        <w:rPr>
          <w:lang w:val="pt-BR"/>
        </w:rPr>
        <w:t>Isso</w:t>
      </w:r>
      <w:r w:rsidR="002C330E" w:rsidRPr="00D5464D">
        <w:rPr>
          <w:lang w:val="pt-BR"/>
        </w:rPr>
        <w:t xml:space="preserve"> </w:t>
      </w:r>
      <w:r w:rsidR="00470ADC" w:rsidRPr="00D5464D">
        <w:rPr>
          <w:lang w:val="pt-BR"/>
        </w:rPr>
        <w:t>constitui</w:t>
      </w:r>
      <w:r w:rsidR="00E045D9" w:rsidRPr="00D5464D">
        <w:rPr>
          <w:lang w:val="pt-BR"/>
        </w:rPr>
        <w:t xml:space="preserve"> uma </w:t>
      </w:r>
      <w:r w:rsidR="006C5E11" w:rsidRPr="00D5464D">
        <w:rPr>
          <w:lang w:val="pt-BR"/>
        </w:rPr>
        <w:t>viola</w:t>
      </w:r>
      <w:r w:rsidR="00470ADC" w:rsidRPr="00D5464D">
        <w:rPr>
          <w:lang w:val="pt-BR"/>
        </w:rPr>
        <w:t>ção ao artigo</w:t>
      </w:r>
      <w:r w:rsidR="006C5E11" w:rsidRPr="00D5464D">
        <w:rPr>
          <w:lang w:val="pt-BR"/>
        </w:rPr>
        <w:t xml:space="preserve"> </w:t>
      </w:r>
      <w:r w:rsidR="00F638F0" w:rsidRPr="00D5464D">
        <w:rPr>
          <w:lang w:val="pt-BR"/>
        </w:rPr>
        <w:t>6.1</w:t>
      </w:r>
      <w:r w:rsidR="00470ADC" w:rsidRPr="00D5464D">
        <w:rPr>
          <w:lang w:val="pt-BR"/>
        </w:rPr>
        <w:t xml:space="preserve"> da </w:t>
      </w:r>
      <w:r w:rsidR="006C5E11" w:rsidRPr="00D5464D">
        <w:rPr>
          <w:lang w:val="pt-BR"/>
        </w:rPr>
        <w:t>Conven</w:t>
      </w:r>
      <w:r w:rsidR="00470ADC" w:rsidRPr="00D5464D">
        <w:rPr>
          <w:lang w:val="pt-BR"/>
        </w:rPr>
        <w:t>ção</w:t>
      </w:r>
      <w:r w:rsidR="006C5E11" w:rsidRPr="00D5464D">
        <w:rPr>
          <w:lang w:val="pt-BR"/>
        </w:rPr>
        <w:t xml:space="preserve"> Americana</w:t>
      </w:r>
      <w:r w:rsidR="00B4372E" w:rsidRPr="00D5464D">
        <w:rPr>
          <w:lang w:val="pt-BR"/>
        </w:rPr>
        <w:t>,</w:t>
      </w:r>
      <w:r w:rsidR="00470ADC" w:rsidRPr="00D5464D">
        <w:rPr>
          <w:lang w:val="pt-BR"/>
        </w:rPr>
        <w:t xml:space="preserve"> </w:t>
      </w:r>
      <w:r w:rsidR="00A1358C" w:rsidRPr="00D5464D">
        <w:rPr>
          <w:lang w:val="pt-BR"/>
        </w:rPr>
        <w:t>em relação ao artigo</w:t>
      </w:r>
      <w:r w:rsidR="00B4372E" w:rsidRPr="00D5464D">
        <w:rPr>
          <w:lang w:val="pt-BR"/>
        </w:rPr>
        <w:t xml:space="preserve"> </w:t>
      </w:r>
      <w:r w:rsidR="00F638F0" w:rsidRPr="00D5464D">
        <w:rPr>
          <w:lang w:val="pt-BR"/>
        </w:rPr>
        <w:t>1</w:t>
      </w:r>
      <w:r w:rsidR="00B4372E" w:rsidRPr="00D5464D">
        <w:rPr>
          <w:lang w:val="pt-BR"/>
        </w:rPr>
        <w:t xml:space="preserve">.1 </w:t>
      </w:r>
      <w:r w:rsidR="00470ADC" w:rsidRPr="00D5464D">
        <w:rPr>
          <w:lang w:val="pt-BR"/>
        </w:rPr>
        <w:t xml:space="preserve">do </w:t>
      </w:r>
      <w:r w:rsidR="002C330E" w:rsidRPr="00D5464D">
        <w:rPr>
          <w:lang w:val="pt-BR"/>
        </w:rPr>
        <w:t>mesm</w:t>
      </w:r>
      <w:r w:rsidR="00B4372E" w:rsidRPr="00D5464D">
        <w:rPr>
          <w:lang w:val="pt-BR"/>
        </w:rPr>
        <w:t>o instrumento,</w:t>
      </w:r>
      <w:r w:rsidR="00470ADC" w:rsidRPr="00D5464D">
        <w:rPr>
          <w:lang w:val="pt-BR"/>
        </w:rPr>
        <w:t xml:space="preserve"> em </w:t>
      </w:r>
      <w:r w:rsidR="002C330E" w:rsidRPr="00D5464D">
        <w:rPr>
          <w:lang w:val="pt-BR"/>
        </w:rPr>
        <w:t>prejuízo</w:t>
      </w:r>
      <w:r w:rsidR="00350187" w:rsidRPr="00D5464D">
        <w:rPr>
          <w:lang w:val="pt-BR"/>
        </w:rPr>
        <w:t xml:space="preserve"> </w:t>
      </w:r>
      <w:r w:rsidRPr="00D5464D">
        <w:rPr>
          <w:lang w:val="pt-BR"/>
        </w:rPr>
        <w:t>daquelas pessoas.</w:t>
      </w:r>
    </w:p>
    <w:p w14:paraId="64A7BF40" w14:textId="77777777" w:rsidR="00FF020F" w:rsidRPr="00D5464D" w:rsidRDefault="00FF020F" w:rsidP="00140440">
      <w:pPr>
        <w:pStyle w:val="Prrafodelista"/>
        <w:ind w:left="0"/>
        <w:rPr>
          <w:lang w:val="pt-BR"/>
        </w:rPr>
      </w:pPr>
    </w:p>
    <w:p w14:paraId="1260F73C" w14:textId="5AADC00D" w:rsidR="00207197" w:rsidRPr="00D5464D" w:rsidRDefault="00CA1CA8" w:rsidP="005D2CE2">
      <w:pPr>
        <w:pStyle w:val="Ttulo3"/>
        <w:rPr>
          <w:lang w:val="pt-BR"/>
        </w:rPr>
      </w:pPr>
      <w:bookmarkStart w:id="412" w:name="_Toc468433932"/>
      <w:r w:rsidRPr="00D5464D">
        <w:rPr>
          <w:lang w:val="pt-BR"/>
        </w:rPr>
        <w:t>B.1</w:t>
      </w:r>
      <w:r w:rsidR="001E1449" w:rsidRPr="00D5464D">
        <w:rPr>
          <w:lang w:val="pt-BR"/>
        </w:rPr>
        <w:t>3</w:t>
      </w:r>
      <w:r w:rsidR="00CB7E29" w:rsidRPr="00D5464D">
        <w:rPr>
          <w:lang w:val="pt-BR"/>
        </w:rPr>
        <w:t>.</w:t>
      </w:r>
      <w:r w:rsidR="00207197" w:rsidRPr="00D5464D">
        <w:rPr>
          <w:lang w:val="pt-BR"/>
        </w:rPr>
        <w:t xml:space="preserve"> </w:t>
      </w:r>
      <w:r w:rsidR="00470ADC" w:rsidRPr="00D5464D">
        <w:rPr>
          <w:lang w:val="pt-BR"/>
        </w:rPr>
        <w:t>Conclusão</w:t>
      </w:r>
      <w:bookmarkEnd w:id="412"/>
    </w:p>
    <w:p w14:paraId="2CF96B60" w14:textId="77777777" w:rsidR="00207197" w:rsidRPr="00D5464D" w:rsidRDefault="00207197" w:rsidP="00140440">
      <w:pPr>
        <w:pStyle w:val="Prrafodelista"/>
        <w:ind w:left="0"/>
        <w:rPr>
          <w:lang w:val="pt-BR"/>
        </w:rPr>
      </w:pPr>
    </w:p>
    <w:p w14:paraId="77990CA6" w14:textId="4248E3A9" w:rsidR="00207197" w:rsidRPr="00D5464D" w:rsidRDefault="00F122BB" w:rsidP="00F37DC4">
      <w:pPr>
        <w:pStyle w:val="Prrafodelista"/>
        <w:numPr>
          <w:ilvl w:val="0"/>
          <w:numId w:val="1"/>
        </w:numPr>
        <w:contextualSpacing w:val="0"/>
        <w:rPr>
          <w:lang w:val="pt-BR"/>
        </w:rPr>
      </w:pPr>
      <w:r w:rsidRPr="00D5464D">
        <w:rPr>
          <w:lang w:val="pt-BR"/>
        </w:rPr>
        <w:t xml:space="preserve">Em virtude de todo </w:t>
      </w:r>
      <w:r w:rsidR="00C91CB1" w:rsidRPr="00D5464D">
        <w:rPr>
          <w:lang w:val="pt-BR"/>
        </w:rPr>
        <w:t xml:space="preserve">o </w:t>
      </w:r>
      <w:r w:rsidR="006B5425" w:rsidRPr="00D5464D">
        <w:rPr>
          <w:lang w:val="pt-BR"/>
        </w:rPr>
        <w:t xml:space="preserve">exposto </w:t>
      </w:r>
      <w:r w:rsidR="00C91CB1" w:rsidRPr="00D5464D">
        <w:rPr>
          <w:lang w:val="pt-BR"/>
        </w:rPr>
        <w:t>anterior</w:t>
      </w:r>
      <w:r w:rsidR="006B5425" w:rsidRPr="00D5464D">
        <w:rPr>
          <w:lang w:val="pt-BR"/>
        </w:rPr>
        <w:t>mente</w:t>
      </w:r>
      <w:r w:rsidR="00207197" w:rsidRPr="00D5464D">
        <w:rPr>
          <w:lang w:val="pt-BR"/>
        </w:rPr>
        <w:t xml:space="preserve">, </w:t>
      </w:r>
      <w:r w:rsidRPr="00D5464D">
        <w:rPr>
          <w:lang w:val="pt-BR"/>
        </w:rPr>
        <w:t xml:space="preserve">o </w:t>
      </w:r>
      <w:r w:rsidR="00207197" w:rsidRPr="00D5464D">
        <w:rPr>
          <w:lang w:val="pt-BR"/>
        </w:rPr>
        <w:t>Brasil</w:t>
      </w:r>
      <w:r w:rsidR="00A1358C" w:rsidRPr="00D5464D">
        <w:rPr>
          <w:lang w:val="pt-BR"/>
        </w:rPr>
        <w:t xml:space="preserve"> não </w:t>
      </w:r>
      <w:r w:rsidR="00350187" w:rsidRPr="00D5464D">
        <w:rPr>
          <w:lang w:val="pt-BR"/>
        </w:rPr>
        <w:t>demonstr</w:t>
      </w:r>
      <w:r w:rsidR="00A1358C" w:rsidRPr="00D5464D">
        <w:rPr>
          <w:lang w:val="pt-BR"/>
        </w:rPr>
        <w:t>ou</w:t>
      </w:r>
      <w:r w:rsidR="00207197" w:rsidRPr="00D5464D">
        <w:rPr>
          <w:lang w:val="pt-BR"/>
        </w:rPr>
        <w:t xml:space="preserve"> </w:t>
      </w:r>
      <w:r w:rsidR="002C330E" w:rsidRPr="00D5464D">
        <w:rPr>
          <w:lang w:val="pt-BR"/>
        </w:rPr>
        <w:t>ter</w:t>
      </w:r>
      <w:r w:rsidR="00207197" w:rsidRPr="00D5464D">
        <w:rPr>
          <w:lang w:val="pt-BR"/>
        </w:rPr>
        <w:t xml:space="preserve"> </w:t>
      </w:r>
      <w:r w:rsidR="00470ADC" w:rsidRPr="00D5464D">
        <w:rPr>
          <w:lang w:val="pt-BR"/>
        </w:rPr>
        <w:t>adot</w:t>
      </w:r>
      <w:r w:rsidR="00207197" w:rsidRPr="00D5464D">
        <w:rPr>
          <w:lang w:val="pt-BR"/>
        </w:rPr>
        <w:t>ado</w:t>
      </w:r>
      <w:r w:rsidR="003A2901" w:rsidRPr="00D5464D">
        <w:rPr>
          <w:lang w:val="pt-BR"/>
        </w:rPr>
        <w:t xml:space="preserve">, </w:t>
      </w:r>
      <w:r w:rsidRPr="00D5464D">
        <w:rPr>
          <w:lang w:val="pt-BR"/>
        </w:rPr>
        <w:t xml:space="preserve">no que tange ao </w:t>
      </w:r>
      <w:r w:rsidR="003A2901" w:rsidRPr="00D5464D">
        <w:rPr>
          <w:lang w:val="pt-BR"/>
        </w:rPr>
        <w:t>presente caso</w:t>
      </w:r>
      <w:r w:rsidR="00E045D9" w:rsidRPr="00D5464D">
        <w:rPr>
          <w:lang w:val="pt-BR"/>
        </w:rPr>
        <w:t xml:space="preserve"> e </w:t>
      </w:r>
      <w:r w:rsidRPr="00D5464D">
        <w:rPr>
          <w:lang w:val="pt-BR"/>
        </w:rPr>
        <w:t>n</w:t>
      </w:r>
      <w:r w:rsidR="00470ADC" w:rsidRPr="00D5464D">
        <w:rPr>
          <w:lang w:val="pt-BR"/>
        </w:rPr>
        <w:t xml:space="preserve">o </w:t>
      </w:r>
      <w:r w:rsidR="00B561E4" w:rsidRPr="00D5464D">
        <w:rPr>
          <w:lang w:val="pt-BR"/>
        </w:rPr>
        <w:t>momento</w:t>
      </w:r>
      <w:r w:rsidR="00470ADC" w:rsidRPr="00D5464D">
        <w:rPr>
          <w:lang w:val="pt-BR"/>
        </w:rPr>
        <w:t xml:space="preserve"> dos </w:t>
      </w:r>
      <w:r w:rsidR="002C330E" w:rsidRPr="00D5464D">
        <w:rPr>
          <w:lang w:val="pt-BR"/>
        </w:rPr>
        <w:t>fatos</w:t>
      </w:r>
      <w:r w:rsidR="003A2901" w:rsidRPr="00D5464D">
        <w:rPr>
          <w:lang w:val="pt-BR"/>
        </w:rPr>
        <w:t>,</w:t>
      </w:r>
      <w:r w:rsidR="002C330E" w:rsidRPr="00D5464D">
        <w:rPr>
          <w:lang w:val="pt-BR"/>
        </w:rPr>
        <w:t xml:space="preserve"> as </w:t>
      </w:r>
      <w:r w:rsidR="00207197" w:rsidRPr="00D5464D">
        <w:rPr>
          <w:lang w:val="pt-BR"/>
        </w:rPr>
        <w:t>medidas específicas</w:t>
      </w:r>
      <w:r w:rsidRPr="00D5464D">
        <w:rPr>
          <w:lang w:val="pt-BR"/>
        </w:rPr>
        <w:t xml:space="preserve"> para prevenir a ocorrência da violação ao artigo 6.1 constatada no presente caso</w:t>
      </w:r>
      <w:r w:rsidR="00207197" w:rsidRPr="00D5464D">
        <w:rPr>
          <w:lang w:val="pt-BR"/>
        </w:rPr>
        <w:t xml:space="preserve">, </w:t>
      </w:r>
      <w:r w:rsidRPr="00D5464D">
        <w:rPr>
          <w:lang w:val="pt-BR"/>
        </w:rPr>
        <w:t xml:space="preserve">de acordo com as </w:t>
      </w:r>
      <w:r w:rsidR="00470ADC" w:rsidRPr="00D5464D">
        <w:rPr>
          <w:lang w:val="pt-BR"/>
        </w:rPr>
        <w:t>circunstâncias</w:t>
      </w:r>
      <w:r w:rsidR="00E045D9" w:rsidRPr="00D5464D">
        <w:rPr>
          <w:lang w:val="pt-BR"/>
        </w:rPr>
        <w:t xml:space="preserve"> já </w:t>
      </w:r>
      <w:r w:rsidR="00737270" w:rsidRPr="00D5464D">
        <w:rPr>
          <w:lang w:val="pt-BR"/>
        </w:rPr>
        <w:t>conheci</w:t>
      </w:r>
      <w:r w:rsidR="00207197" w:rsidRPr="00D5464D">
        <w:rPr>
          <w:lang w:val="pt-BR"/>
        </w:rPr>
        <w:t xml:space="preserve">das de </w:t>
      </w:r>
      <w:r w:rsidR="00E045D9" w:rsidRPr="00D5464D">
        <w:rPr>
          <w:lang w:val="pt-BR"/>
        </w:rPr>
        <w:t>trabalhadores</w:t>
      </w:r>
      <w:r w:rsidR="00470ADC" w:rsidRPr="00D5464D">
        <w:rPr>
          <w:lang w:val="pt-BR"/>
        </w:rPr>
        <w:t xml:space="preserve"> em </w:t>
      </w:r>
      <w:r w:rsidR="00207197" w:rsidRPr="00D5464D">
        <w:rPr>
          <w:lang w:val="pt-BR"/>
        </w:rPr>
        <w:t>situa</w:t>
      </w:r>
      <w:r w:rsidR="00470ADC" w:rsidRPr="00D5464D">
        <w:rPr>
          <w:lang w:val="pt-BR"/>
        </w:rPr>
        <w:t>ção</w:t>
      </w:r>
      <w:r w:rsidR="00207197" w:rsidRPr="00D5464D">
        <w:rPr>
          <w:lang w:val="pt-BR"/>
        </w:rPr>
        <w:t xml:space="preserve"> de </w:t>
      </w:r>
      <w:r w:rsidR="000B376D" w:rsidRPr="00D5464D">
        <w:rPr>
          <w:lang w:val="pt-BR"/>
        </w:rPr>
        <w:t>escravidão</w:t>
      </w:r>
      <w:r w:rsidR="00E045D9" w:rsidRPr="00D5464D">
        <w:rPr>
          <w:lang w:val="pt-BR"/>
        </w:rPr>
        <w:t xml:space="preserve"> e </w:t>
      </w:r>
      <w:r w:rsidR="00207197" w:rsidRPr="00D5464D">
        <w:rPr>
          <w:lang w:val="pt-BR"/>
        </w:rPr>
        <w:t xml:space="preserve">de </w:t>
      </w:r>
      <w:r w:rsidR="00470ADC" w:rsidRPr="00D5464D">
        <w:rPr>
          <w:lang w:val="pt-BR"/>
        </w:rPr>
        <w:t xml:space="preserve">denúncias </w:t>
      </w:r>
      <w:r w:rsidR="00207197" w:rsidRPr="00D5464D">
        <w:rPr>
          <w:lang w:val="pt-BR"/>
        </w:rPr>
        <w:t>concretas contra</w:t>
      </w:r>
      <w:r w:rsidR="002C330E" w:rsidRPr="00D5464D">
        <w:rPr>
          <w:lang w:val="pt-BR"/>
        </w:rPr>
        <w:t xml:space="preserve"> a </w:t>
      </w:r>
      <w:r w:rsidR="00D809F0" w:rsidRPr="00D5464D">
        <w:rPr>
          <w:lang w:val="pt-BR"/>
        </w:rPr>
        <w:t>Fazenda</w:t>
      </w:r>
      <w:r w:rsidR="00207197" w:rsidRPr="00D5464D">
        <w:rPr>
          <w:lang w:val="pt-BR"/>
        </w:rPr>
        <w:t xml:space="preserve"> Brasil Verde</w:t>
      </w:r>
      <w:r w:rsidR="00A1358C" w:rsidRPr="00D5464D">
        <w:rPr>
          <w:lang w:val="pt-BR"/>
        </w:rPr>
        <w:t xml:space="preserve">. O </w:t>
      </w:r>
      <w:r w:rsidR="00207197" w:rsidRPr="00D5464D">
        <w:rPr>
          <w:lang w:val="pt-BR"/>
        </w:rPr>
        <w:t xml:space="preserve">Estado </w:t>
      </w:r>
      <w:r w:rsidRPr="00D5464D">
        <w:rPr>
          <w:lang w:val="pt-BR"/>
        </w:rPr>
        <w:t xml:space="preserve">não </w:t>
      </w:r>
      <w:r w:rsidR="00470ADC" w:rsidRPr="00D5464D">
        <w:rPr>
          <w:lang w:val="pt-BR"/>
        </w:rPr>
        <w:t xml:space="preserve">atuou com </w:t>
      </w:r>
      <w:r w:rsidR="00737270" w:rsidRPr="00D5464D">
        <w:rPr>
          <w:lang w:val="pt-BR"/>
        </w:rPr>
        <w:t>prontidão</w:t>
      </w:r>
      <w:r w:rsidR="00207197" w:rsidRPr="00D5464D">
        <w:rPr>
          <w:lang w:val="pt-BR"/>
        </w:rPr>
        <w:t xml:space="preserve"> </w:t>
      </w:r>
      <w:r w:rsidRPr="00D5464D">
        <w:rPr>
          <w:lang w:val="pt-BR"/>
        </w:rPr>
        <w:t xml:space="preserve">durante </w:t>
      </w:r>
      <w:r w:rsidR="00470ADC" w:rsidRPr="00D5464D">
        <w:rPr>
          <w:lang w:val="pt-BR"/>
        </w:rPr>
        <w:t xml:space="preserve">as </w:t>
      </w:r>
      <w:r w:rsidR="002C330E" w:rsidRPr="00D5464D">
        <w:rPr>
          <w:lang w:val="pt-BR"/>
        </w:rPr>
        <w:t>primeira</w:t>
      </w:r>
      <w:r w:rsidR="00207197" w:rsidRPr="00D5464D">
        <w:rPr>
          <w:lang w:val="pt-BR"/>
        </w:rPr>
        <w:t>s horas</w:t>
      </w:r>
      <w:r w:rsidR="00E045D9" w:rsidRPr="00D5464D">
        <w:rPr>
          <w:lang w:val="pt-BR"/>
        </w:rPr>
        <w:t xml:space="preserve"> e </w:t>
      </w:r>
      <w:r w:rsidR="00470ADC" w:rsidRPr="00D5464D">
        <w:rPr>
          <w:lang w:val="pt-BR"/>
        </w:rPr>
        <w:t>dia</w:t>
      </w:r>
      <w:r w:rsidR="00207197" w:rsidRPr="00D5464D">
        <w:rPr>
          <w:lang w:val="pt-BR"/>
        </w:rPr>
        <w:t xml:space="preserve">s </w:t>
      </w:r>
      <w:r w:rsidRPr="00D5464D">
        <w:rPr>
          <w:lang w:val="pt-BR"/>
        </w:rPr>
        <w:t xml:space="preserve">após </w:t>
      </w:r>
      <w:r w:rsidR="00470ADC" w:rsidRPr="00D5464D">
        <w:rPr>
          <w:lang w:val="pt-BR"/>
        </w:rPr>
        <w:t xml:space="preserve">a denúncia </w:t>
      </w:r>
      <w:r w:rsidR="00207197" w:rsidRPr="00D5464D">
        <w:rPr>
          <w:lang w:val="pt-BR"/>
        </w:rPr>
        <w:t xml:space="preserve">de </w:t>
      </w:r>
      <w:r w:rsidR="000B376D" w:rsidRPr="00D5464D">
        <w:rPr>
          <w:lang w:val="pt-BR"/>
        </w:rPr>
        <w:t>escravidão</w:t>
      </w:r>
      <w:r w:rsidR="00E045D9" w:rsidRPr="00D5464D">
        <w:rPr>
          <w:lang w:val="pt-BR"/>
        </w:rPr>
        <w:t xml:space="preserve"> e violência</w:t>
      </w:r>
      <w:r w:rsidR="00207197" w:rsidRPr="00D5464D">
        <w:rPr>
          <w:lang w:val="pt-BR"/>
        </w:rPr>
        <w:t xml:space="preserve"> realizada por </w:t>
      </w:r>
      <w:r w:rsidR="00D47B1B" w:rsidRPr="00D5464D">
        <w:rPr>
          <w:rFonts w:cs="Times New Roman"/>
          <w:szCs w:val="20"/>
          <w:lang w:val="pt-BR"/>
        </w:rPr>
        <w:t>José Francisco Furtado de Sousa</w:t>
      </w:r>
      <w:r w:rsidR="00E045D9" w:rsidRPr="00D5464D">
        <w:rPr>
          <w:lang w:val="pt-BR"/>
        </w:rPr>
        <w:t xml:space="preserve"> e </w:t>
      </w:r>
      <w:r w:rsidR="00E42F61" w:rsidRPr="00D5464D">
        <w:rPr>
          <w:lang w:val="pt-BR"/>
        </w:rPr>
        <w:t xml:space="preserve">Antônio </w:t>
      </w:r>
      <w:r w:rsidR="00207197" w:rsidRPr="00D5464D">
        <w:rPr>
          <w:lang w:val="pt-BR"/>
        </w:rPr>
        <w:t>Francisco da Silva,</w:t>
      </w:r>
      <w:r w:rsidR="00470ADC" w:rsidRPr="00D5464D">
        <w:rPr>
          <w:lang w:val="pt-BR"/>
        </w:rPr>
        <w:t xml:space="preserve"> com </w:t>
      </w:r>
      <w:r w:rsidR="002C330E" w:rsidRPr="00D5464D">
        <w:rPr>
          <w:lang w:val="pt-BR"/>
        </w:rPr>
        <w:t xml:space="preserve">grande </w:t>
      </w:r>
      <w:r w:rsidRPr="00D5464D">
        <w:rPr>
          <w:lang w:val="pt-BR"/>
        </w:rPr>
        <w:t>sacrifício</w:t>
      </w:r>
      <w:r w:rsidR="00E045D9" w:rsidRPr="00D5464D">
        <w:rPr>
          <w:lang w:val="pt-BR"/>
        </w:rPr>
        <w:t xml:space="preserve"> e </w:t>
      </w:r>
      <w:r w:rsidR="002C330E" w:rsidRPr="00D5464D">
        <w:rPr>
          <w:lang w:val="pt-BR"/>
        </w:rPr>
        <w:t>risco</w:t>
      </w:r>
      <w:r w:rsidR="00207197" w:rsidRPr="00D5464D">
        <w:rPr>
          <w:lang w:val="pt-BR"/>
        </w:rPr>
        <w:t xml:space="preserve"> </w:t>
      </w:r>
      <w:r w:rsidR="002C330E" w:rsidRPr="00D5464D">
        <w:rPr>
          <w:lang w:val="pt-BR"/>
        </w:rPr>
        <w:t>pessoa</w:t>
      </w:r>
      <w:r w:rsidR="00207197" w:rsidRPr="00D5464D">
        <w:rPr>
          <w:lang w:val="pt-BR"/>
        </w:rPr>
        <w:t>l, perde</w:t>
      </w:r>
      <w:r w:rsidR="000E4F31" w:rsidRPr="00D5464D">
        <w:rPr>
          <w:lang w:val="pt-BR"/>
        </w:rPr>
        <w:t>ndo</w:t>
      </w:r>
      <w:r w:rsidR="00207197" w:rsidRPr="00D5464D">
        <w:rPr>
          <w:lang w:val="pt-BR"/>
        </w:rPr>
        <w:t xml:space="preserve"> horas</w:t>
      </w:r>
      <w:r w:rsidR="00E045D9" w:rsidRPr="00D5464D">
        <w:rPr>
          <w:lang w:val="pt-BR"/>
        </w:rPr>
        <w:t xml:space="preserve"> e </w:t>
      </w:r>
      <w:r w:rsidR="00470ADC" w:rsidRPr="00D5464D">
        <w:rPr>
          <w:lang w:val="pt-BR"/>
        </w:rPr>
        <w:t>dia</w:t>
      </w:r>
      <w:r w:rsidR="003A2901" w:rsidRPr="00D5464D">
        <w:rPr>
          <w:lang w:val="pt-BR"/>
        </w:rPr>
        <w:t xml:space="preserve">s </w:t>
      </w:r>
      <w:r w:rsidR="00207197" w:rsidRPr="00D5464D">
        <w:rPr>
          <w:lang w:val="pt-BR"/>
        </w:rPr>
        <w:t>valios</w:t>
      </w:r>
      <w:r w:rsidR="003A2901" w:rsidRPr="00D5464D">
        <w:rPr>
          <w:lang w:val="pt-BR"/>
        </w:rPr>
        <w:t>o</w:t>
      </w:r>
      <w:r w:rsidR="00207197" w:rsidRPr="00D5464D">
        <w:rPr>
          <w:lang w:val="pt-BR"/>
        </w:rPr>
        <w:t>s</w:t>
      </w:r>
      <w:r w:rsidR="00C91CB1" w:rsidRPr="00D5464D">
        <w:rPr>
          <w:lang w:val="pt-BR"/>
        </w:rPr>
        <w:t xml:space="preserve">. No </w:t>
      </w:r>
      <w:r w:rsidR="00207197" w:rsidRPr="00D5464D">
        <w:rPr>
          <w:lang w:val="pt-BR"/>
        </w:rPr>
        <w:t>período entre</w:t>
      </w:r>
      <w:r w:rsidR="002C330E" w:rsidRPr="00D5464D">
        <w:rPr>
          <w:lang w:val="pt-BR"/>
        </w:rPr>
        <w:t xml:space="preserve"> a </w:t>
      </w:r>
      <w:r w:rsidR="00470ADC" w:rsidRPr="00D5464D">
        <w:rPr>
          <w:lang w:val="pt-BR"/>
        </w:rPr>
        <w:t>denúncia</w:t>
      </w:r>
      <w:r w:rsidR="00E045D9" w:rsidRPr="00D5464D">
        <w:rPr>
          <w:lang w:val="pt-BR"/>
        </w:rPr>
        <w:t xml:space="preserve"> e </w:t>
      </w:r>
      <w:r w:rsidR="002C330E" w:rsidRPr="00D5464D">
        <w:rPr>
          <w:lang w:val="pt-BR"/>
        </w:rPr>
        <w:t xml:space="preserve">a </w:t>
      </w:r>
      <w:r w:rsidR="00AB4663" w:rsidRPr="00D5464D">
        <w:rPr>
          <w:lang w:val="pt-BR"/>
        </w:rPr>
        <w:t>fiscalização</w:t>
      </w:r>
      <w:r w:rsidR="00207197" w:rsidRPr="00D5464D">
        <w:rPr>
          <w:lang w:val="pt-BR"/>
        </w:rPr>
        <w:t>,</w:t>
      </w:r>
      <w:r w:rsidR="00470ADC" w:rsidRPr="00D5464D">
        <w:rPr>
          <w:lang w:val="pt-BR"/>
        </w:rPr>
        <w:t xml:space="preserve"> o </w:t>
      </w:r>
      <w:r w:rsidR="00207197" w:rsidRPr="00D5464D">
        <w:rPr>
          <w:lang w:val="pt-BR"/>
        </w:rPr>
        <w:t>Estado n</w:t>
      </w:r>
      <w:r w:rsidRPr="00D5464D">
        <w:rPr>
          <w:lang w:val="pt-BR"/>
        </w:rPr>
        <w:t>ã</w:t>
      </w:r>
      <w:r w:rsidR="00207197" w:rsidRPr="00D5464D">
        <w:rPr>
          <w:lang w:val="pt-BR"/>
        </w:rPr>
        <w:t xml:space="preserve">o </w:t>
      </w:r>
      <w:r w:rsidR="00E045D9" w:rsidRPr="00D5464D">
        <w:rPr>
          <w:lang w:val="pt-BR"/>
        </w:rPr>
        <w:t>conseguiu</w:t>
      </w:r>
      <w:r w:rsidR="00207197" w:rsidRPr="00D5464D">
        <w:rPr>
          <w:lang w:val="pt-BR"/>
        </w:rPr>
        <w:t xml:space="preserve"> </w:t>
      </w:r>
      <w:r w:rsidR="00350187" w:rsidRPr="00D5464D">
        <w:rPr>
          <w:lang w:val="pt-BR"/>
        </w:rPr>
        <w:t>coordenar</w:t>
      </w:r>
      <w:r w:rsidR="002C330E" w:rsidRPr="00D5464D">
        <w:rPr>
          <w:lang w:val="pt-BR"/>
        </w:rPr>
        <w:t xml:space="preserve"> a </w:t>
      </w:r>
      <w:r w:rsidR="00207197" w:rsidRPr="00D5464D">
        <w:rPr>
          <w:lang w:val="pt-BR"/>
        </w:rPr>
        <w:t>participa</w:t>
      </w:r>
      <w:r w:rsidR="00470ADC" w:rsidRPr="00D5464D">
        <w:rPr>
          <w:lang w:val="pt-BR"/>
        </w:rPr>
        <w:t xml:space="preserve">ção da </w:t>
      </w:r>
      <w:r w:rsidR="00C91CB1" w:rsidRPr="00D5464D">
        <w:rPr>
          <w:lang w:val="pt-BR"/>
        </w:rPr>
        <w:t xml:space="preserve">Polícia </w:t>
      </w:r>
      <w:r w:rsidR="00207197" w:rsidRPr="00D5464D">
        <w:rPr>
          <w:lang w:val="pt-BR"/>
        </w:rPr>
        <w:t xml:space="preserve">Federal </w:t>
      </w:r>
      <w:r w:rsidR="00470ADC" w:rsidRPr="00D5464D">
        <w:rPr>
          <w:lang w:val="pt-BR"/>
        </w:rPr>
        <w:t>ativ</w:t>
      </w:r>
      <w:r w:rsidR="00207197" w:rsidRPr="00D5464D">
        <w:rPr>
          <w:lang w:val="pt-BR"/>
        </w:rPr>
        <w:t>amente</w:t>
      </w:r>
      <w:r w:rsidR="00E045D9" w:rsidRPr="00D5464D">
        <w:rPr>
          <w:lang w:val="pt-BR"/>
        </w:rPr>
        <w:t xml:space="preserve"> na </w:t>
      </w:r>
      <w:r w:rsidR="00207197" w:rsidRPr="00D5464D">
        <w:rPr>
          <w:lang w:val="pt-BR"/>
        </w:rPr>
        <w:t xml:space="preserve">referida </w:t>
      </w:r>
      <w:r w:rsidR="00AB4663" w:rsidRPr="00D5464D">
        <w:rPr>
          <w:lang w:val="pt-BR"/>
        </w:rPr>
        <w:t>fiscalização</w:t>
      </w:r>
      <w:r w:rsidR="00EB1CE9" w:rsidRPr="00D5464D">
        <w:rPr>
          <w:lang w:val="pt-BR"/>
        </w:rPr>
        <w:t xml:space="preserve">, além </w:t>
      </w:r>
      <w:r w:rsidR="00470ADC" w:rsidRPr="00D5464D">
        <w:rPr>
          <w:lang w:val="pt-BR"/>
        </w:rPr>
        <w:t xml:space="preserve">da </w:t>
      </w:r>
      <w:r w:rsidR="00207197" w:rsidRPr="00D5464D">
        <w:rPr>
          <w:lang w:val="pt-BR"/>
        </w:rPr>
        <w:t>fun</w:t>
      </w:r>
      <w:r w:rsidR="00470ADC" w:rsidRPr="00D5464D">
        <w:rPr>
          <w:lang w:val="pt-BR"/>
        </w:rPr>
        <w:t>ção</w:t>
      </w:r>
      <w:r w:rsidR="00207197" w:rsidRPr="00D5464D">
        <w:rPr>
          <w:lang w:val="pt-BR"/>
        </w:rPr>
        <w:t xml:space="preserve"> de </w:t>
      </w:r>
      <w:r w:rsidR="002C330E" w:rsidRPr="00D5464D">
        <w:rPr>
          <w:lang w:val="pt-BR"/>
        </w:rPr>
        <w:t>proteção</w:t>
      </w:r>
      <w:r w:rsidR="00207197" w:rsidRPr="00D5464D">
        <w:rPr>
          <w:lang w:val="pt-BR"/>
        </w:rPr>
        <w:t xml:space="preserve"> </w:t>
      </w:r>
      <w:r w:rsidR="00470ADC" w:rsidRPr="00D5464D">
        <w:rPr>
          <w:lang w:val="pt-BR"/>
        </w:rPr>
        <w:t>d</w:t>
      </w:r>
      <w:r w:rsidRPr="00D5464D">
        <w:rPr>
          <w:lang w:val="pt-BR"/>
        </w:rPr>
        <w:t>a</w:t>
      </w:r>
      <w:r w:rsidR="00470ADC" w:rsidRPr="00D5464D">
        <w:rPr>
          <w:lang w:val="pt-BR"/>
        </w:rPr>
        <w:t xml:space="preserve"> equipe</w:t>
      </w:r>
      <w:r w:rsidR="00207197" w:rsidRPr="00D5464D">
        <w:rPr>
          <w:lang w:val="pt-BR"/>
        </w:rPr>
        <w:t xml:space="preserve"> </w:t>
      </w:r>
      <w:r w:rsidR="00470ADC" w:rsidRPr="00D5464D">
        <w:rPr>
          <w:lang w:val="pt-BR"/>
        </w:rPr>
        <w:t xml:space="preserve">do </w:t>
      </w:r>
      <w:r w:rsidR="002C330E" w:rsidRPr="00D5464D">
        <w:rPr>
          <w:lang w:val="pt-BR"/>
        </w:rPr>
        <w:t>Ministério</w:t>
      </w:r>
      <w:r w:rsidR="00207197" w:rsidRPr="00D5464D">
        <w:rPr>
          <w:lang w:val="pt-BR"/>
        </w:rPr>
        <w:t xml:space="preserve"> </w:t>
      </w:r>
      <w:r w:rsidR="00470ADC" w:rsidRPr="00D5464D">
        <w:rPr>
          <w:lang w:val="pt-BR"/>
        </w:rPr>
        <w:t xml:space="preserve">do </w:t>
      </w:r>
      <w:r w:rsidR="00E045D9" w:rsidRPr="00D5464D">
        <w:rPr>
          <w:lang w:val="pt-BR"/>
        </w:rPr>
        <w:t>Trabalho</w:t>
      </w:r>
      <w:r w:rsidRPr="00D5464D">
        <w:rPr>
          <w:lang w:val="pt-BR"/>
        </w:rPr>
        <w:t>. Tu</w:t>
      </w:r>
      <w:r w:rsidR="00207197" w:rsidRPr="00D5464D">
        <w:rPr>
          <w:lang w:val="pt-BR"/>
        </w:rPr>
        <w:t>do</w:t>
      </w:r>
      <w:r w:rsidR="00350187" w:rsidRPr="00D5464D">
        <w:rPr>
          <w:lang w:val="pt-BR"/>
        </w:rPr>
        <w:t xml:space="preserve"> is</w:t>
      </w:r>
      <w:r w:rsidRPr="00D5464D">
        <w:rPr>
          <w:lang w:val="pt-BR"/>
        </w:rPr>
        <w:t>s</w:t>
      </w:r>
      <w:r w:rsidR="00350187" w:rsidRPr="00D5464D">
        <w:rPr>
          <w:lang w:val="pt-BR"/>
        </w:rPr>
        <w:t>o demonstr</w:t>
      </w:r>
      <w:r w:rsidR="00737270" w:rsidRPr="00D5464D">
        <w:rPr>
          <w:lang w:val="pt-BR"/>
        </w:rPr>
        <w:t>a</w:t>
      </w:r>
      <w:r w:rsidR="002C330E" w:rsidRPr="00D5464D">
        <w:rPr>
          <w:lang w:val="pt-BR"/>
        </w:rPr>
        <w:t xml:space="preserve"> </w:t>
      </w:r>
      <w:r w:rsidR="00207197" w:rsidRPr="00D5464D">
        <w:rPr>
          <w:lang w:val="pt-BR"/>
        </w:rPr>
        <w:t>que</w:t>
      </w:r>
      <w:r w:rsidR="00470ADC" w:rsidRPr="00D5464D">
        <w:rPr>
          <w:lang w:val="pt-BR"/>
        </w:rPr>
        <w:t xml:space="preserve"> o </w:t>
      </w:r>
      <w:r w:rsidR="00207197" w:rsidRPr="00D5464D">
        <w:rPr>
          <w:lang w:val="pt-BR"/>
        </w:rPr>
        <w:t>Estado n</w:t>
      </w:r>
      <w:r w:rsidRPr="00D5464D">
        <w:rPr>
          <w:lang w:val="pt-BR"/>
        </w:rPr>
        <w:t>ã</w:t>
      </w:r>
      <w:r w:rsidR="00207197" w:rsidRPr="00D5464D">
        <w:rPr>
          <w:lang w:val="pt-BR"/>
        </w:rPr>
        <w:t xml:space="preserve">o </w:t>
      </w:r>
      <w:r w:rsidR="00470ADC" w:rsidRPr="00D5464D">
        <w:rPr>
          <w:lang w:val="pt-BR"/>
        </w:rPr>
        <w:t>atuou com</w:t>
      </w:r>
      <w:r w:rsidR="002C330E" w:rsidRPr="00D5464D">
        <w:rPr>
          <w:lang w:val="pt-BR"/>
        </w:rPr>
        <w:t xml:space="preserve"> a </w:t>
      </w:r>
      <w:r w:rsidR="00470ADC" w:rsidRPr="00D5464D">
        <w:rPr>
          <w:lang w:val="pt-BR"/>
        </w:rPr>
        <w:t>devida diligência</w:t>
      </w:r>
      <w:r w:rsidR="00207197" w:rsidRPr="00D5464D">
        <w:rPr>
          <w:lang w:val="pt-BR"/>
        </w:rPr>
        <w:t xml:space="preserve"> requerida para prevenir </w:t>
      </w:r>
      <w:r w:rsidR="00470ADC" w:rsidRPr="00D5464D">
        <w:rPr>
          <w:lang w:val="pt-BR"/>
        </w:rPr>
        <w:t>adequad</w:t>
      </w:r>
      <w:r w:rsidR="00207197" w:rsidRPr="00D5464D">
        <w:rPr>
          <w:lang w:val="pt-BR"/>
        </w:rPr>
        <w:t>amente</w:t>
      </w:r>
      <w:r w:rsidR="002C330E" w:rsidRPr="00D5464D">
        <w:rPr>
          <w:lang w:val="pt-BR"/>
        </w:rPr>
        <w:t xml:space="preserve"> a </w:t>
      </w:r>
      <w:r w:rsidR="00207197" w:rsidRPr="00D5464D">
        <w:rPr>
          <w:lang w:val="pt-BR"/>
        </w:rPr>
        <w:t xml:space="preserve">forma </w:t>
      </w:r>
      <w:r w:rsidR="00470ADC" w:rsidRPr="00D5464D">
        <w:rPr>
          <w:lang w:val="pt-BR"/>
        </w:rPr>
        <w:t>contemporânea</w:t>
      </w:r>
      <w:r w:rsidR="00207197" w:rsidRPr="00D5464D">
        <w:rPr>
          <w:lang w:val="pt-BR"/>
        </w:rPr>
        <w:t xml:space="preserve"> de </w:t>
      </w:r>
      <w:r w:rsidR="000B376D" w:rsidRPr="00D5464D">
        <w:rPr>
          <w:lang w:val="pt-BR"/>
        </w:rPr>
        <w:t>escravidão</w:t>
      </w:r>
      <w:r w:rsidR="00207197" w:rsidRPr="00D5464D">
        <w:rPr>
          <w:lang w:val="pt-BR"/>
        </w:rPr>
        <w:t xml:space="preserve"> constatada</w:t>
      </w:r>
      <w:r w:rsidR="00E045D9" w:rsidRPr="00D5464D">
        <w:rPr>
          <w:lang w:val="pt-BR"/>
        </w:rPr>
        <w:t xml:space="preserve"> no </w:t>
      </w:r>
      <w:r w:rsidR="00207197" w:rsidRPr="00D5464D">
        <w:rPr>
          <w:lang w:val="pt-BR"/>
        </w:rPr>
        <w:t>presente caso</w:t>
      </w:r>
      <w:r w:rsidR="00E045D9" w:rsidRPr="00D5464D">
        <w:rPr>
          <w:lang w:val="pt-BR"/>
        </w:rPr>
        <w:t xml:space="preserve"> e </w:t>
      </w:r>
      <w:r w:rsidR="00207197" w:rsidRPr="00D5464D">
        <w:rPr>
          <w:lang w:val="pt-BR"/>
        </w:rPr>
        <w:t>que n</w:t>
      </w:r>
      <w:r w:rsidRPr="00D5464D">
        <w:rPr>
          <w:lang w:val="pt-BR"/>
        </w:rPr>
        <w:t>ã</w:t>
      </w:r>
      <w:r w:rsidR="00207197" w:rsidRPr="00D5464D">
        <w:rPr>
          <w:lang w:val="pt-BR"/>
        </w:rPr>
        <w:t xml:space="preserve">o </w:t>
      </w:r>
      <w:r w:rsidR="00470ADC" w:rsidRPr="00D5464D">
        <w:rPr>
          <w:lang w:val="pt-BR"/>
        </w:rPr>
        <w:t>atuou</w:t>
      </w:r>
      <w:r w:rsidR="00207197" w:rsidRPr="00D5464D">
        <w:rPr>
          <w:lang w:val="pt-BR"/>
        </w:rPr>
        <w:t xml:space="preserve"> como </w:t>
      </w:r>
      <w:r w:rsidR="00A1358C" w:rsidRPr="00D5464D">
        <w:rPr>
          <w:lang w:val="pt-BR"/>
        </w:rPr>
        <w:t>razoavelmente</w:t>
      </w:r>
      <w:r w:rsidR="00E045D9" w:rsidRPr="00D5464D">
        <w:rPr>
          <w:lang w:val="pt-BR"/>
        </w:rPr>
        <w:t xml:space="preserve"> </w:t>
      </w:r>
      <w:r w:rsidR="00207197" w:rsidRPr="00D5464D">
        <w:rPr>
          <w:lang w:val="pt-BR"/>
        </w:rPr>
        <w:t xml:space="preserve">era de </w:t>
      </w:r>
      <w:r w:rsidR="006B5425" w:rsidRPr="00D5464D">
        <w:rPr>
          <w:lang w:val="pt-BR"/>
        </w:rPr>
        <w:t xml:space="preserve">se </w:t>
      </w:r>
      <w:r w:rsidR="00207197" w:rsidRPr="00D5464D">
        <w:rPr>
          <w:lang w:val="pt-BR"/>
        </w:rPr>
        <w:t>espe</w:t>
      </w:r>
      <w:r w:rsidR="00350187" w:rsidRPr="00D5464D">
        <w:rPr>
          <w:lang w:val="pt-BR"/>
        </w:rPr>
        <w:t>rar</w:t>
      </w:r>
      <w:r w:rsidR="006B5425" w:rsidRPr="00D5464D">
        <w:rPr>
          <w:lang w:val="pt-BR"/>
        </w:rPr>
        <w:t>,</w:t>
      </w:r>
      <w:r w:rsidR="00207197" w:rsidRPr="00D5464D">
        <w:rPr>
          <w:lang w:val="pt-BR"/>
        </w:rPr>
        <w:t xml:space="preserve"> de </w:t>
      </w:r>
      <w:r w:rsidR="00470ADC" w:rsidRPr="00D5464D">
        <w:rPr>
          <w:lang w:val="pt-BR"/>
        </w:rPr>
        <w:t>acordo</w:t>
      </w:r>
      <w:r w:rsidR="00E045D9" w:rsidRPr="00D5464D">
        <w:rPr>
          <w:lang w:val="pt-BR"/>
        </w:rPr>
        <w:t xml:space="preserve"> </w:t>
      </w:r>
      <w:r w:rsidRPr="00D5464D">
        <w:rPr>
          <w:lang w:val="pt-BR"/>
        </w:rPr>
        <w:t>com a</w:t>
      </w:r>
      <w:r w:rsidR="00E045D9" w:rsidRPr="00D5464D">
        <w:rPr>
          <w:lang w:val="pt-BR"/>
        </w:rPr>
        <w:t xml:space="preserve">s </w:t>
      </w:r>
      <w:r w:rsidR="00470ADC" w:rsidRPr="00D5464D">
        <w:rPr>
          <w:lang w:val="pt-BR"/>
        </w:rPr>
        <w:t>circunstâncias</w:t>
      </w:r>
      <w:r w:rsidR="00207197" w:rsidRPr="00D5464D">
        <w:rPr>
          <w:lang w:val="pt-BR"/>
        </w:rPr>
        <w:t xml:space="preserve"> </w:t>
      </w:r>
      <w:r w:rsidR="00470ADC" w:rsidRPr="00D5464D">
        <w:rPr>
          <w:lang w:val="pt-BR"/>
        </w:rPr>
        <w:t xml:space="preserve">do </w:t>
      </w:r>
      <w:r w:rsidR="00207197" w:rsidRPr="00D5464D">
        <w:rPr>
          <w:lang w:val="pt-BR"/>
        </w:rPr>
        <w:t>caso</w:t>
      </w:r>
      <w:r w:rsidR="006B5425" w:rsidRPr="00D5464D">
        <w:rPr>
          <w:lang w:val="pt-BR"/>
        </w:rPr>
        <w:t>,</w:t>
      </w:r>
      <w:r w:rsidR="00207197" w:rsidRPr="00D5464D">
        <w:rPr>
          <w:lang w:val="pt-BR"/>
        </w:rPr>
        <w:t xml:space="preserve"> para </w:t>
      </w:r>
      <w:r w:rsidR="00A1358C" w:rsidRPr="00D5464D">
        <w:rPr>
          <w:lang w:val="pt-BR"/>
        </w:rPr>
        <w:t xml:space="preserve">por </w:t>
      </w:r>
      <w:r w:rsidR="00470ADC" w:rsidRPr="00D5464D">
        <w:rPr>
          <w:lang w:val="pt-BR"/>
        </w:rPr>
        <w:t xml:space="preserve">fim </w:t>
      </w:r>
      <w:r w:rsidR="00207197" w:rsidRPr="00D5464D">
        <w:rPr>
          <w:lang w:val="pt-BR"/>
        </w:rPr>
        <w:t>a</w:t>
      </w:r>
      <w:r w:rsidR="00470ADC" w:rsidRPr="00D5464D">
        <w:rPr>
          <w:lang w:val="pt-BR"/>
        </w:rPr>
        <w:t xml:space="preserve"> esse </w:t>
      </w:r>
      <w:r w:rsidR="00207197" w:rsidRPr="00D5464D">
        <w:rPr>
          <w:lang w:val="pt-BR"/>
        </w:rPr>
        <w:t>tipo de viola</w:t>
      </w:r>
      <w:r w:rsidR="00470ADC" w:rsidRPr="00D5464D">
        <w:rPr>
          <w:lang w:val="pt-BR"/>
        </w:rPr>
        <w:t>ção</w:t>
      </w:r>
      <w:r w:rsidR="00207197" w:rsidRPr="00D5464D">
        <w:rPr>
          <w:lang w:val="pt-BR"/>
        </w:rPr>
        <w:t xml:space="preserve">. Este </w:t>
      </w:r>
      <w:r w:rsidR="002C330E" w:rsidRPr="00D5464D">
        <w:rPr>
          <w:lang w:val="pt-BR"/>
        </w:rPr>
        <w:t>descumprimento</w:t>
      </w:r>
      <w:r w:rsidR="00207197" w:rsidRPr="00D5464D">
        <w:rPr>
          <w:lang w:val="pt-BR"/>
        </w:rPr>
        <w:t xml:space="preserve"> </w:t>
      </w:r>
      <w:r w:rsidR="00470ADC" w:rsidRPr="00D5464D">
        <w:rPr>
          <w:lang w:val="pt-BR"/>
        </w:rPr>
        <w:t>do dever</w:t>
      </w:r>
      <w:r w:rsidR="00207197" w:rsidRPr="00D5464D">
        <w:rPr>
          <w:lang w:val="pt-BR"/>
        </w:rPr>
        <w:t xml:space="preserve"> de </w:t>
      </w:r>
      <w:r w:rsidR="002C330E" w:rsidRPr="00D5464D">
        <w:rPr>
          <w:lang w:val="pt-BR"/>
        </w:rPr>
        <w:t xml:space="preserve">garantia </w:t>
      </w:r>
      <w:r w:rsidR="00470ADC" w:rsidRPr="00D5464D">
        <w:rPr>
          <w:lang w:val="pt-BR"/>
        </w:rPr>
        <w:t xml:space="preserve">é </w:t>
      </w:r>
      <w:r w:rsidR="00207197" w:rsidRPr="00D5464D">
        <w:rPr>
          <w:lang w:val="pt-BR"/>
        </w:rPr>
        <w:t>particularmente s</w:t>
      </w:r>
      <w:r w:rsidR="00BC7056" w:rsidRPr="00D5464D">
        <w:rPr>
          <w:lang w:val="pt-BR"/>
        </w:rPr>
        <w:t>é</w:t>
      </w:r>
      <w:r w:rsidR="00207197" w:rsidRPr="00D5464D">
        <w:rPr>
          <w:lang w:val="pt-BR"/>
        </w:rPr>
        <w:t xml:space="preserve">rio </w:t>
      </w:r>
      <w:r w:rsidR="00470ADC" w:rsidRPr="00D5464D">
        <w:rPr>
          <w:lang w:val="pt-BR"/>
        </w:rPr>
        <w:t xml:space="preserve">devido ao </w:t>
      </w:r>
      <w:r w:rsidR="00207197" w:rsidRPr="00D5464D">
        <w:rPr>
          <w:lang w:val="pt-BR"/>
        </w:rPr>
        <w:t xml:space="preserve">contexto </w:t>
      </w:r>
      <w:r w:rsidR="00470ADC" w:rsidRPr="00D5464D">
        <w:rPr>
          <w:lang w:val="pt-BR"/>
        </w:rPr>
        <w:t>conhecido</w:t>
      </w:r>
      <w:r w:rsidR="002C330E" w:rsidRPr="00D5464D">
        <w:rPr>
          <w:lang w:val="pt-BR"/>
        </w:rPr>
        <w:t xml:space="preserve"> pelo </w:t>
      </w:r>
      <w:r w:rsidR="00207197" w:rsidRPr="00D5464D">
        <w:rPr>
          <w:lang w:val="pt-BR"/>
        </w:rPr>
        <w:t>Estado</w:t>
      </w:r>
      <w:r w:rsidR="00E045D9" w:rsidRPr="00D5464D">
        <w:rPr>
          <w:lang w:val="pt-BR"/>
        </w:rPr>
        <w:t xml:space="preserve"> e às </w:t>
      </w:r>
      <w:r w:rsidR="002C330E" w:rsidRPr="00D5464D">
        <w:rPr>
          <w:lang w:val="pt-BR"/>
        </w:rPr>
        <w:t>obrigações</w:t>
      </w:r>
      <w:r w:rsidR="00207197" w:rsidRPr="00D5464D">
        <w:rPr>
          <w:lang w:val="pt-BR"/>
        </w:rPr>
        <w:t xml:space="preserve"> im</w:t>
      </w:r>
      <w:r w:rsidR="002C330E" w:rsidRPr="00D5464D">
        <w:rPr>
          <w:lang w:val="pt-BR"/>
        </w:rPr>
        <w:t>posta</w:t>
      </w:r>
      <w:r w:rsidR="00207197" w:rsidRPr="00D5464D">
        <w:rPr>
          <w:lang w:val="pt-BR"/>
        </w:rPr>
        <w:t>s</w:t>
      </w:r>
      <w:r w:rsidR="00470ADC" w:rsidRPr="00D5464D">
        <w:rPr>
          <w:lang w:val="pt-BR"/>
        </w:rPr>
        <w:t xml:space="preserve"> em </w:t>
      </w:r>
      <w:r w:rsidR="00E045D9" w:rsidRPr="00D5464D">
        <w:rPr>
          <w:lang w:val="pt-BR"/>
        </w:rPr>
        <w:t xml:space="preserve">virtude </w:t>
      </w:r>
      <w:r w:rsidR="00470ADC" w:rsidRPr="00D5464D">
        <w:rPr>
          <w:lang w:val="pt-BR"/>
        </w:rPr>
        <w:t>do artigo</w:t>
      </w:r>
      <w:r w:rsidR="00207197" w:rsidRPr="00D5464D">
        <w:rPr>
          <w:lang w:val="pt-BR"/>
        </w:rPr>
        <w:t xml:space="preserve"> 6.1</w:t>
      </w:r>
      <w:r w:rsidR="00470ADC" w:rsidRPr="00D5464D">
        <w:rPr>
          <w:lang w:val="pt-BR"/>
        </w:rPr>
        <w:t xml:space="preserve"> da </w:t>
      </w:r>
      <w:r w:rsidR="00207197" w:rsidRPr="00D5464D">
        <w:rPr>
          <w:lang w:val="pt-BR"/>
        </w:rPr>
        <w:t>Conven</w:t>
      </w:r>
      <w:r w:rsidR="00470ADC" w:rsidRPr="00D5464D">
        <w:rPr>
          <w:lang w:val="pt-BR"/>
        </w:rPr>
        <w:t>ção</w:t>
      </w:r>
      <w:r w:rsidR="00207197" w:rsidRPr="00D5464D">
        <w:rPr>
          <w:lang w:val="pt-BR"/>
        </w:rPr>
        <w:t xml:space="preserve"> Americana</w:t>
      </w:r>
      <w:r w:rsidR="00E045D9" w:rsidRPr="00D5464D">
        <w:rPr>
          <w:lang w:val="pt-BR"/>
        </w:rPr>
        <w:t xml:space="preserve"> e</w:t>
      </w:r>
      <w:r w:rsidR="00BC7056" w:rsidRPr="00D5464D">
        <w:rPr>
          <w:lang w:val="pt-BR"/>
        </w:rPr>
        <w:t>,</w:t>
      </w:r>
      <w:r w:rsidR="00E045D9" w:rsidRPr="00D5464D">
        <w:rPr>
          <w:lang w:val="pt-BR"/>
        </w:rPr>
        <w:t xml:space="preserve"> </w:t>
      </w:r>
      <w:r w:rsidR="00BC7056" w:rsidRPr="00D5464D">
        <w:rPr>
          <w:lang w:val="pt-BR"/>
        </w:rPr>
        <w:t>em particular,</w:t>
      </w:r>
      <w:r w:rsidR="00207197" w:rsidRPr="00D5464D">
        <w:rPr>
          <w:lang w:val="pt-BR"/>
        </w:rPr>
        <w:t xml:space="preserve"> </w:t>
      </w:r>
      <w:r w:rsidR="003A2901" w:rsidRPr="00D5464D">
        <w:rPr>
          <w:lang w:val="pt-BR"/>
        </w:rPr>
        <w:t xml:space="preserve">derivadas </w:t>
      </w:r>
      <w:r w:rsidR="00470ADC" w:rsidRPr="00D5464D">
        <w:rPr>
          <w:lang w:val="pt-BR"/>
        </w:rPr>
        <w:t>do caráter</w:t>
      </w:r>
      <w:r w:rsidR="00900A02" w:rsidRPr="00D5464D">
        <w:rPr>
          <w:lang w:val="pt-BR"/>
        </w:rPr>
        <w:t xml:space="preserve"> </w:t>
      </w:r>
      <w:r w:rsidR="00BC7056" w:rsidRPr="00D5464D">
        <w:rPr>
          <w:lang w:val="pt-BR"/>
        </w:rPr>
        <w:t xml:space="preserve">de </w:t>
      </w:r>
      <w:r w:rsidR="00207197" w:rsidRPr="00D5464D">
        <w:rPr>
          <w:i/>
          <w:lang w:val="pt-BR"/>
        </w:rPr>
        <w:t>jus cogens</w:t>
      </w:r>
      <w:r w:rsidR="00470ADC" w:rsidRPr="00D5464D">
        <w:rPr>
          <w:i/>
          <w:lang w:val="pt-BR"/>
        </w:rPr>
        <w:t xml:space="preserve"> desta </w:t>
      </w:r>
      <w:r w:rsidR="002C330E" w:rsidRPr="00D5464D">
        <w:rPr>
          <w:lang w:val="pt-BR"/>
        </w:rPr>
        <w:t>proibição</w:t>
      </w:r>
      <w:r w:rsidR="00207197" w:rsidRPr="00D5464D">
        <w:rPr>
          <w:lang w:val="pt-BR"/>
        </w:rPr>
        <w:t xml:space="preserve">. </w:t>
      </w:r>
    </w:p>
    <w:p w14:paraId="45874726" w14:textId="77777777" w:rsidR="00207197" w:rsidRPr="00D5464D" w:rsidRDefault="00207197" w:rsidP="00140440">
      <w:pPr>
        <w:pStyle w:val="Prrafodelista"/>
        <w:ind w:left="0"/>
        <w:rPr>
          <w:lang w:val="pt-BR"/>
        </w:rPr>
      </w:pPr>
    </w:p>
    <w:p w14:paraId="71C1469B" w14:textId="1451F3D6" w:rsidR="0027773F" w:rsidRPr="00D5464D" w:rsidRDefault="00C91CB1" w:rsidP="00841077">
      <w:pPr>
        <w:pStyle w:val="Prrafodelista"/>
        <w:numPr>
          <w:ilvl w:val="0"/>
          <w:numId w:val="1"/>
        </w:numPr>
        <w:contextualSpacing w:val="0"/>
        <w:rPr>
          <w:lang w:val="pt-BR"/>
        </w:rPr>
      </w:pPr>
      <w:r w:rsidRPr="00D5464D">
        <w:rPr>
          <w:lang w:val="pt-BR"/>
        </w:rPr>
        <w:t xml:space="preserve">Em </w:t>
      </w:r>
      <w:r w:rsidR="002C330E" w:rsidRPr="00D5464D">
        <w:rPr>
          <w:lang w:val="pt-BR"/>
        </w:rPr>
        <w:t>razão</w:t>
      </w:r>
      <w:r w:rsidR="00207197" w:rsidRPr="00D5464D">
        <w:rPr>
          <w:lang w:val="pt-BR"/>
        </w:rPr>
        <w:t xml:space="preserve"> de todo</w:t>
      </w:r>
      <w:r w:rsidRPr="00D5464D">
        <w:rPr>
          <w:lang w:val="pt-BR"/>
        </w:rPr>
        <w:t xml:space="preserve"> o </w:t>
      </w:r>
      <w:r w:rsidR="00470ADC" w:rsidRPr="00D5464D">
        <w:rPr>
          <w:lang w:val="pt-BR"/>
        </w:rPr>
        <w:t>expost</w:t>
      </w:r>
      <w:r w:rsidR="00207197" w:rsidRPr="00D5464D">
        <w:rPr>
          <w:lang w:val="pt-BR"/>
        </w:rPr>
        <w:t>o,</w:t>
      </w:r>
      <w:r w:rsidR="00470ADC" w:rsidRPr="00D5464D">
        <w:rPr>
          <w:lang w:val="pt-BR"/>
        </w:rPr>
        <w:t xml:space="preserve"> o </w:t>
      </w:r>
      <w:r w:rsidR="00207197" w:rsidRPr="00D5464D">
        <w:rPr>
          <w:lang w:val="pt-BR"/>
        </w:rPr>
        <w:t>Tribunal considera que</w:t>
      </w:r>
      <w:r w:rsidR="00470ADC" w:rsidRPr="00D5464D">
        <w:rPr>
          <w:lang w:val="pt-BR"/>
        </w:rPr>
        <w:t xml:space="preserve"> o </w:t>
      </w:r>
      <w:r w:rsidR="00207197" w:rsidRPr="00D5464D">
        <w:rPr>
          <w:lang w:val="pt-BR"/>
        </w:rPr>
        <w:t xml:space="preserve">Estado </w:t>
      </w:r>
      <w:r w:rsidR="00E045D9" w:rsidRPr="00D5464D">
        <w:rPr>
          <w:lang w:val="pt-BR"/>
        </w:rPr>
        <w:t>violou</w:t>
      </w:r>
      <w:r w:rsidR="00470ADC" w:rsidRPr="00D5464D">
        <w:rPr>
          <w:lang w:val="pt-BR"/>
        </w:rPr>
        <w:t xml:space="preserve"> o direito</w:t>
      </w:r>
      <w:r w:rsidR="00207197" w:rsidRPr="00D5464D">
        <w:rPr>
          <w:lang w:val="pt-BR"/>
        </w:rPr>
        <w:t xml:space="preserve"> </w:t>
      </w:r>
      <w:r w:rsidR="00230C71" w:rsidRPr="00D5464D">
        <w:rPr>
          <w:lang w:val="pt-BR"/>
        </w:rPr>
        <w:t xml:space="preserve">a não ser </w:t>
      </w:r>
      <w:r w:rsidR="002C330E" w:rsidRPr="00D5464D">
        <w:rPr>
          <w:lang w:val="pt-BR"/>
        </w:rPr>
        <w:t>submetido</w:t>
      </w:r>
      <w:r w:rsidR="00207197" w:rsidRPr="00D5464D">
        <w:rPr>
          <w:lang w:val="pt-BR"/>
        </w:rPr>
        <w:t xml:space="preserve"> </w:t>
      </w:r>
      <w:r w:rsidR="00340FA0" w:rsidRPr="00D5464D">
        <w:rPr>
          <w:lang w:val="pt-BR"/>
        </w:rPr>
        <w:t>à</w:t>
      </w:r>
      <w:r w:rsidR="00207197" w:rsidRPr="00D5464D">
        <w:rPr>
          <w:lang w:val="pt-BR"/>
        </w:rPr>
        <w:t xml:space="preserve"> </w:t>
      </w:r>
      <w:r w:rsidR="000B376D" w:rsidRPr="00D5464D">
        <w:rPr>
          <w:lang w:val="pt-BR"/>
        </w:rPr>
        <w:t>escravidão</w:t>
      </w:r>
      <w:r w:rsidR="00E045D9" w:rsidRPr="00D5464D">
        <w:rPr>
          <w:lang w:val="pt-BR"/>
        </w:rPr>
        <w:t xml:space="preserve"> e</w:t>
      </w:r>
      <w:r w:rsidR="004F1CC2" w:rsidRPr="00D5464D">
        <w:rPr>
          <w:lang w:val="pt-BR"/>
        </w:rPr>
        <w:t xml:space="preserve"> </w:t>
      </w:r>
      <w:r w:rsidR="00340FA0" w:rsidRPr="00D5464D">
        <w:rPr>
          <w:lang w:val="pt-BR"/>
        </w:rPr>
        <w:t xml:space="preserve">ao </w:t>
      </w:r>
      <w:r w:rsidR="004F1CC2" w:rsidRPr="00D5464D">
        <w:rPr>
          <w:lang w:val="pt-BR"/>
        </w:rPr>
        <w:t>tráfico de pessoas</w:t>
      </w:r>
      <w:r w:rsidR="00207197" w:rsidRPr="00D5464D">
        <w:rPr>
          <w:lang w:val="pt-BR"/>
        </w:rPr>
        <w:t>,</w:t>
      </w:r>
      <w:r w:rsidR="00470ADC" w:rsidRPr="00D5464D">
        <w:rPr>
          <w:lang w:val="pt-BR"/>
        </w:rPr>
        <w:t xml:space="preserve"> em </w:t>
      </w:r>
      <w:r w:rsidR="00207197" w:rsidRPr="00D5464D">
        <w:rPr>
          <w:lang w:val="pt-BR"/>
        </w:rPr>
        <w:t>viola</w:t>
      </w:r>
      <w:r w:rsidR="00470ADC" w:rsidRPr="00D5464D">
        <w:rPr>
          <w:lang w:val="pt-BR"/>
        </w:rPr>
        <w:t>ção</w:t>
      </w:r>
      <w:r w:rsidR="00207197" w:rsidRPr="00D5464D">
        <w:rPr>
          <w:lang w:val="pt-BR"/>
        </w:rPr>
        <w:t xml:space="preserve"> </w:t>
      </w:r>
      <w:r w:rsidR="00470ADC" w:rsidRPr="00D5464D">
        <w:rPr>
          <w:lang w:val="pt-BR"/>
        </w:rPr>
        <w:t>do artigo</w:t>
      </w:r>
      <w:r w:rsidR="00207197" w:rsidRPr="00D5464D">
        <w:rPr>
          <w:lang w:val="pt-BR"/>
        </w:rPr>
        <w:t xml:space="preserve"> 6.1</w:t>
      </w:r>
      <w:r w:rsidR="00470ADC" w:rsidRPr="00D5464D">
        <w:rPr>
          <w:lang w:val="pt-BR"/>
        </w:rPr>
        <w:t xml:space="preserve"> da </w:t>
      </w:r>
      <w:r w:rsidR="00207197" w:rsidRPr="00D5464D">
        <w:rPr>
          <w:lang w:val="pt-BR"/>
        </w:rPr>
        <w:t>Conven</w:t>
      </w:r>
      <w:r w:rsidR="00470ADC" w:rsidRPr="00D5464D">
        <w:rPr>
          <w:lang w:val="pt-BR"/>
        </w:rPr>
        <w:t>ção</w:t>
      </w:r>
      <w:r w:rsidR="00207197" w:rsidRPr="00D5464D">
        <w:rPr>
          <w:lang w:val="pt-BR"/>
        </w:rPr>
        <w:t xml:space="preserve"> Americana sobre </w:t>
      </w:r>
      <w:r w:rsidR="00470ADC" w:rsidRPr="00D5464D">
        <w:rPr>
          <w:lang w:val="pt-BR"/>
        </w:rPr>
        <w:t>Direito</w:t>
      </w:r>
      <w:r w:rsidR="00207197" w:rsidRPr="00D5464D">
        <w:rPr>
          <w:lang w:val="pt-BR"/>
        </w:rPr>
        <w:t>s Humanos,</w:t>
      </w:r>
      <w:r w:rsidR="00470ADC" w:rsidRPr="00D5464D">
        <w:rPr>
          <w:lang w:val="pt-BR"/>
        </w:rPr>
        <w:t xml:space="preserve"> </w:t>
      </w:r>
      <w:r w:rsidR="00A1358C" w:rsidRPr="00D5464D">
        <w:rPr>
          <w:lang w:val="pt-BR"/>
        </w:rPr>
        <w:t>em relação aos artigos</w:t>
      </w:r>
      <w:r w:rsidR="00C30FB8" w:rsidRPr="00D5464D">
        <w:rPr>
          <w:lang w:val="pt-BR"/>
        </w:rPr>
        <w:t xml:space="preserve"> 1</w:t>
      </w:r>
      <w:r w:rsidR="00EC2B75" w:rsidRPr="00D5464D">
        <w:rPr>
          <w:lang w:val="pt-BR"/>
        </w:rPr>
        <w:t>.1, 3, 5, 7, 11</w:t>
      </w:r>
      <w:r w:rsidR="00E045D9" w:rsidRPr="00D5464D">
        <w:rPr>
          <w:lang w:val="pt-BR"/>
        </w:rPr>
        <w:t xml:space="preserve"> e </w:t>
      </w:r>
      <w:r w:rsidR="00EC2B75" w:rsidRPr="00D5464D">
        <w:rPr>
          <w:lang w:val="pt-BR"/>
        </w:rPr>
        <w:t>22</w:t>
      </w:r>
      <w:r w:rsidR="00C30FB8" w:rsidRPr="00D5464D">
        <w:rPr>
          <w:lang w:val="pt-BR"/>
        </w:rPr>
        <w:t xml:space="preserve"> </w:t>
      </w:r>
      <w:r w:rsidR="00470ADC" w:rsidRPr="00D5464D">
        <w:rPr>
          <w:lang w:val="pt-BR"/>
        </w:rPr>
        <w:t xml:space="preserve">do </w:t>
      </w:r>
      <w:r w:rsidR="002C330E" w:rsidRPr="00D5464D">
        <w:rPr>
          <w:lang w:val="pt-BR"/>
        </w:rPr>
        <w:t>mesm</w:t>
      </w:r>
      <w:r w:rsidR="00207197" w:rsidRPr="00D5464D">
        <w:rPr>
          <w:lang w:val="pt-BR"/>
        </w:rPr>
        <w:t>o instrumento,</w:t>
      </w:r>
      <w:r w:rsidR="00470ADC" w:rsidRPr="00D5464D">
        <w:rPr>
          <w:lang w:val="pt-BR"/>
        </w:rPr>
        <w:t xml:space="preserve"> em </w:t>
      </w:r>
      <w:r w:rsidR="002C330E" w:rsidRPr="00D5464D">
        <w:rPr>
          <w:lang w:val="pt-BR"/>
        </w:rPr>
        <w:t>prejuízo</w:t>
      </w:r>
      <w:r w:rsidR="00470ADC" w:rsidRPr="00D5464D">
        <w:rPr>
          <w:lang w:val="pt-BR"/>
        </w:rPr>
        <w:t xml:space="preserve"> dos </w:t>
      </w:r>
      <w:r w:rsidR="00207197" w:rsidRPr="00D5464D">
        <w:rPr>
          <w:lang w:val="pt-BR"/>
        </w:rPr>
        <w:t xml:space="preserve">85 </w:t>
      </w:r>
      <w:r w:rsidR="00E045D9" w:rsidRPr="00D5464D">
        <w:rPr>
          <w:lang w:val="pt-BR"/>
        </w:rPr>
        <w:t>trabalhadores</w:t>
      </w:r>
      <w:r w:rsidR="00207197" w:rsidRPr="00D5464D">
        <w:rPr>
          <w:lang w:val="pt-BR"/>
        </w:rPr>
        <w:t xml:space="preserve"> </w:t>
      </w:r>
      <w:r w:rsidR="0090341D" w:rsidRPr="00D5464D">
        <w:rPr>
          <w:lang w:val="pt-BR"/>
        </w:rPr>
        <w:t>resgatado</w:t>
      </w:r>
      <w:r w:rsidR="00207197" w:rsidRPr="00D5464D">
        <w:rPr>
          <w:lang w:val="pt-BR"/>
        </w:rPr>
        <w:t>s</w:t>
      </w:r>
      <w:r w:rsidRPr="00D5464D">
        <w:rPr>
          <w:lang w:val="pt-BR"/>
        </w:rPr>
        <w:t xml:space="preserve"> em 1</w:t>
      </w:r>
      <w:r w:rsidR="00207197" w:rsidRPr="00D5464D">
        <w:rPr>
          <w:lang w:val="pt-BR"/>
        </w:rPr>
        <w:t xml:space="preserve">5 de </w:t>
      </w:r>
      <w:r w:rsidR="002C330E" w:rsidRPr="00D5464D">
        <w:rPr>
          <w:lang w:val="pt-BR"/>
        </w:rPr>
        <w:t>março</w:t>
      </w:r>
      <w:r w:rsidR="00207197" w:rsidRPr="00D5464D">
        <w:rPr>
          <w:lang w:val="pt-BR"/>
        </w:rPr>
        <w:t xml:space="preserve"> de 2000</w:t>
      </w:r>
      <w:r w:rsidR="00E045D9" w:rsidRPr="00D5464D">
        <w:rPr>
          <w:lang w:val="pt-BR"/>
        </w:rPr>
        <w:t xml:space="preserve"> na </w:t>
      </w:r>
      <w:r w:rsidR="00D809F0" w:rsidRPr="00D5464D">
        <w:rPr>
          <w:lang w:val="pt-BR"/>
        </w:rPr>
        <w:t>Fazenda</w:t>
      </w:r>
      <w:r w:rsidR="00207197" w:rsidRPr="00D5464D">
        <w:rPr>
          <w:lang w:val="pt-BR"/>
        </w:rPr>
        <w:t xml:space="preserve"> Brasil Verde, </w:t>
      </w:r>
      <w:r w:rsidR="00E045D9" w:rsidRPr="00D5464D">
        <w:rPr>
          <w:lang w:val="pt-BR"/>
        </w:rPr>
        <w:t>lista</w:t>
      </w:r>
      <w:r w:rsidR="00340FA0" w:rsidRPr="00D5464D">
        <w:rPr>
          <w:lang w:val="pt-BR"/>
        </w:rPr>
        <w:t>do</w:t>
      </w:r>
      <w:r w:rsidR="00207197" w:rsidRPr="00D5464D">
        <w:rPr>
          <w:lang w:val="pt-BR"/>
        </w:rPr>
        <w:t>s</w:t>
      </w:r>
      <w:r w:rsidR="00E045D9" w:rsidRPr="00D5464D">
        <w:rPr>
          <w:lang w:val="pt-BR"/>
        </w:rPr>
        <w:t xml:space="preserve"> no </w:t>
      </w:r>
      <w:r w:rsidR="002C330E" w:rsidRPr="00D5464D">
        <w:rPr>
          <w:lang w:val="pt-BR"/>
        </w:rPr>
        <w:t>parágrafo</w:t>
      </w:r>
      <w:r w:rsidR="00207197" w:rsidRPr="00D5464D">
        <w:rPr>
          <w:lang w:val="pt-BR"/>
        </w:rPr>
        <w:t xml:space="preserve"> </w:t>
      </w:r>
      <w:r w:rsidR="006D753C" w:rsidRPr="00D5464D">
        <w:rPr>
          <w:lang w:val="pt-BR"/>
        </w:rPr>
        <w:t>206</w:t>
      </w:r>
      <w:r w:rsidR="00470ADC" w:rsidRPr="00D5464D">
        <w:rPr>
          <w:lang w:val="pt-BR"/>
        </w:rPr>
        <w:t xml:space="preserve"> da </w:t>
      </w:r>
      <w:r w:rsidR="00207197" w:rsidRPr="00D5464D">
        <w:rPr>
          <w:lang w:val="pt-BR"/>
        </w:rPr>
        <w:t xml:space="preserve">presente </w:t>
      </w:r>
      <w:r w:rsidR="002C330E" w:rsidRPr="00D5464D">
        <w:rPr>
          <w:lang w:val="pt-BR"/>
        </w:rPr>
        <w:t>Sentença</w:t>
      </w:r>
      <w:r w:rsidR="00207197" w:rsidRPr="00D5464D">
        <w:rPr>
          <w:lang w:val="pt-BR"/>
        </w:rPr>
        <w:t>. Adicionalmente,</w:t>
      </w:r>
      <w:r w:rsidR="0027773F" w:rsidRPr="00D5464D">
        <w:rPr>
          <w:lang w:val="pt-BR"/>
        </w:rPr>
        <w:t xml:space="preserve"> </w:t>
      </w:r>
      <w:r w:rsidR="00340FA0" w:rsidRPr="00D5464D">
        <w:rPr>
          <w:lang w:val="pt-BR"/>
        </w:rPr>
        <w:t>em relação a</w:t>
      </w:r>
      <w:r w:rsidR="00470ADC" w:rsidRPr="00D5464D">
        <w:rPr>
          <w:lang w:val="pt-BR"/>
        </w:rPr>
        <w:t xml:space="preserve">o </w:t>
      </w:r>
      <w:r w:rsidR="002C330E" w:rsidRPr="00D5464D">
        <w:rPr>
          <w:lang w:val="pt-BR"/>
        </w:rPr>
        <w:t xml:space="preserve">senhor </w:t>
      </w:r>
      <w:r w:rsidR="00E42F61" w:rsidRPr="00D5464D">
        <w:rPr>
          <w:lang w:val="pt-BR"/>
        </w:rPr>
        <w:t xml:space="preserve">Antônio </w:t>
      </w:r>
      <w:r w:rsidR="0027773F" w:rsidRPr="00D5464D">
        <w:rPr>
          <w:lang w:val="pt-BR"/>
        </w:rPr>
        <w:t>Francisco da Silva</w:t>
      </w:r>
      <w:r w:rsidR="00340FA0" w:rsidRPr="00D5464D">
        <w:rPr>
          <w:lang w:val="pt-BR"/>
        </w:rPr>
        <w:t>,</w:t>
      </w:r>
      <w:r w:rsidR="00470ADC" w:rsidRPr="00D5464D">
        <w:rPr>
          <w:lang w:val="pt-BR"/>
        </w:rPr>
        <w:t xml:space="preserve"> essa </w:t>
      </w:r>
      <w:r w:rsidR="009B15CC" w:rsidRPr="00D5464D">
        <w:rPr>
          <w:lang w:val="pt-BR"/>
        </w:rPr>
        <w:t>viola</w:t>
      </w:r>
      <w:r w:rsidR="00470ADC" w:rsidRPr="00D5464D">
        <w:rPr>
          <w:lang w:val="pt-BR"/>
        </w:rPr>
        <w:t>ção</w:t>
      </w:r>
      <w:r w:rsidR="009B15CC" w:rsidRPr="00D5464D">
        <w:rPr>
          <w:lang w:val="pt-BR"/>
        </w:rPr>
        <w:t xml:space="preserve"> </w:t>
      </w:r>
      <w:r w:rsidR="002C330E" w:rsidRPr="00D5464D">
        <w:rPr>
          <w:lang w:val="pt-BR"/>
        </w:rPr>
        <w:t>ocorreu</w:t>
      </w:r>
      <w:r w:rsidR="009B15CC" w:rsidRPr="00D5464D">
        <w:rPr>
          <w:lang w:val="pt-BR"/>
        </w:rPr>
        <w:t xml:space="preserve"> </w:t>
      </w:r>
      <w:r w:rsidR="00E045D9" w:rsidRPr="00D5464D">
        <w:rPr>
          <w:lang w:val="pt-BR"/>
        </w:rPr>
        <w:t>também</w:t>
      </w:r>
      <w:r w:rsidR="00470ADC" w:rsidRPr="00D5464D">
        <w:rPr>
          <w:lang w:val="pt-BR"/>
        </w:rPr>
        <w:t xml:space="preserve"> </w:t>
      </w:r>
      <w:r w:rsidR="00A1358C" w:rsidRPr="00D5464D">
        <w:rPr>
          <w:lang w:val="pt-BR"/>
        </w:rPr>
        <w:t>em relação ao artigo</w:t>
      </w:r>
      <w:r w:rsidR="0027773F" w:rsidRPr="00D5464D">
        <w:rPr>
          <w:lang w:val="pt-BR"/>
        </w:rPr>
        <w:t xml:space="preserve"> 19</w:t>
      </w:r>
      <w:r w:rsidR="00470ADC" w:rsidRPr="00D5464D">
        <w:rPr>
          <w:lang w:val="pt-BR"/>
        </w:rPr>
        <w:t xml:space="preserve"> da </w:t>
      </w:r>
      <w:r w:rsidR="0027773F" w:rsidRPr="00D5464D">
        <w:rPr>
          <w:lang w:val="pt-BR"/>
        </w:rPr>
        <w:t>Conven</w:t>
      </w:r>
      <w:r w:rsidR="00470ADC" w:rsidRPr="00D5464D">
        <w:rPr>
          <w:lang w:val="pt-BR"/>
        </w:rPr>
        <w:t>ção</w:t>
      </w:r>
      <w:r w:rsidR="009B15CC" w:rsidRPr="00D5464D">
        <w:rPr>
          <w:lang w:val="pt-BR"/>
        </w:rPr>
        <w:t xml:space="preserve"> Americana</w:t>
      </w:r>
      <w:r w:rsidR="00EB1CE9" w:rsidRPr="00D5464D">
        <w:rPr>
          <w:lang w:val="pt-BR"/>
        </w:rPr>
        <w:t xml:space="preserve">, por </w:t>
      </w:r>
      <w:r w:rsidR="009B15CC" w:rsidRPr="00D5464D">
        <w:rPr>
          <w:lang w:val="pt-BR"/>
        </w:rPr>
        <w:t xml:space="preserve">ser </w:t>
      </w:r>
      <w:r w:rsidR="002C330E" w:rsidRPr="00D5464D">
        <w:rPr>
          <w:lang w:val="pt-BR"/>
        </w:rPr>
        <w:t xml:space="preserve">criança </w:t>
      </w:r>
      <w:r w:rsidR="00470ADC" w:rsidRPr="00D5464D">
        <w:rPr>
          <w:lang w:val="pt-BR"/>
        </w:rPr>
        <w:t xml:space="preserve">ao </w:t>
      </w:r>
      <w:r w:rsidR="009B15CC" w:rsidRPr="00D5464D">
        <w:rPr>
          <w:lang w:val="pt-BR"/>
        </w:rPr>
        <w:t>momento</w:t>
      </w:r>
      <w:r w:rsidR="00470ADC" w:rsidRPr="00D5464D">
        <w:rPr>
          <w:lang w:val="pt-BR"/>
        </w:rPr>
        <w:t xml:space="preserve"> dos </w:t>
      </w:r>
      <w:r w:rsidR="002C330E" w:rsidRPr="00D5464D">
        <w:rPr>
          <w:lang w:val="pt-BR"/>
        </w:rPr>
        <w:t>fatos</w:t>
      </w:r>
      <w:r w:rsidR="009B15CC" w:rsidRPr="00D5464D">
        <w:rPr>
          <w:lang w:val="pt-BR"/>
        </w:rPr>
        <w:t xml:space="preserve">. </w:t>
      </w:r>
      <w:r w:rsidR="00BA3F90" w:rsidRPr="00D5464D">
        <w:rPr>
          <w:lang w:val="pt-BR"/>
        </w:rPr>
        <w:t xml:space="preserve">Finalmente, </w:t>
      </w:r>
      <w:r w:rsidR="00340FA0" w:rsidRPr="00D5464D">
        <w:rPr>
          <w:lang w:val="pt-BR"/>
        </w:rPr>
        <w:t xml:space="preserve">o </w:t>
      </w:r>
      <w:r w:rsidR="00BA3F90" w:rsidRPr="00D5464D">
        <w:rPr>
          <w:lang w:val="pt-BR"/>
        </w:rPr>
        <w:t>Brasil</w:t>
      </w:r>
      <w:r w:rsidR="00470ADC" w:rsidRPr="00D5464D">
        <w:rPr>
          <w:lang w:val="pt-BR"/>
        </w:rPr>
        <w:t xml:space="preserve"> é </w:t>
      </w:r>
      <w:r w:rsidR="002C330E" w:rsidRPr="00D5464D">
        <w:rPr>
          <w:lang w:val="pt-BR"/>
        </w:rPr>
        <w:t xml:space="preserve">responsável pela </w:t>
      </w:r>
      <w:r w:rsidR="00841077" w:rsidRPr="00D5464D">
        <w:rPr>
          <w:lang w:val="pt-BR"/>
        </w:rPr>
        <w:t>viola</w:t>
      </w:r>
      <w:r w:rsidR="00470ADC" w:rsidRPr="00D5464D">
        <w:rPr>
          <w:lang w:val="pt-BR"/>
        </w:rPr>
        <w:t>ção</w:t>
      </w:r>
      <w:r w:rsidR="00841077" w:rsidRPr="00D5464D">
        <w:rPr>
          <w:lang w:val="pt-BR"/>
        </w:rPr>
        <w:t xml:space="preserve"> </w:t>
      </w:r>
      <w:r w:rsidR="00470ADC" w:rsidRPr="00D5464D">
        <w:rPr>
          <w:lang w:val="pt-BR"/>
        </w:rPr>
        <w:t>do artigo</w:t>
      </w:r>
      <w:r w:rsidR="00841077" w:rsidRPr="00D5464D">
        <w:rPr>
          <w:lang w:val="pt-BR"/>
        </w:rPr>
        <w:t xml:space="preserve"> </w:t>
      </w:r>
      <w:r w:rsidR="00991C4F" w:rsidRPr="00D5464D">
        <w:rPr>
          <w:lang w:val="pt-BR"/>
        </w:rPr>
        <w:t>6</w:t>
      </w:r>
      <w:r w:rsidR="00841077" w:rsidRPr="00D5464D">
        <w:rPr>
          <w:lang w:val="pt-BR"/>
        </w:rPr>
        <w:t>.1</w:t>
      </w:r>
      <w:r w:rsidR="00470ADC" w:rsidRPr="00D5464D">
        <w:rPr>
          <w:lang w:val="pt-BR"/>
        </w:rPr>
        <w:t xml:space="preserve"> da </w:t>
      </w:r>
      <w:r w:rsidR="00841077" w:rsidRPr="00D5464D">
        <w:rPr>
          <w:lang w:val="pt-BR"/>
        </w:rPr>
        <w:t>Conven</w:t>
      </w:r>
      <w:r w:rsidR="00470ADC" w:rsidRPr="00D5464D">
        <w:rPr>
          <w:lang w:val="pt-BR"/>
        </w:rPr>
        <w:t>ção</w:t>
      </w:r>
      <w:r w:rsidR="00841077" w:rsidRPr="00D5464D">
        <w:rPr>
          <w:lang w:val="pt-BR"/>
        </w:rPr>
        <w:t xml:space="preserve"> Americana,</w:t>
      </w:r>
      <w:r w:rsidR="00470ADC" w:rsidRPr="00D5464D">
        <w:rPr>
          <w:lang w:val="pt-BR"/>
        </w:rPr>
        <w:t xml:space="preserve"> </w:t>
      </w:r>
      <w:r w:rsidR="00A1358C" w:rsidRPr="00D5464D">
        <w:rPr>
          <w:lang w:val="pt-BR"/>
        </w:rPr>
        <w:t>em relação ao artigo</w:t>
      </w:r>
      <w:r w:rsidR="00841077" w:rsidRPr="00D5464D">
        <w:rPr>
          <w:lang w:val="pt-BR"/>
        </w:rPr>
        <w:t xml:space="preserve"> </w:t>
      </w:r>
      <w:r w:rsidR="00991C4F" w:rsidRPr="00D5464D">
        <w:rPr>
          <w:lang w:val="pt-BR"/>
        </w:rPr>
        <w:t>1</w:t>
      </w:r>
      <w:r w:rsidR="00841077" w:rsidRPr="00D5464D">
        <w:rPr>
          <w:lang w:val="pt-BR"/>
        </w:rPr>
        <w:t xml:space="preserve">.1 </w:t>
      </w:r>
      <w:r w:rsidR="00470ADC" w:rsidRPr="00D5464D">
        <w:rPr>
          <w:lang w:val="pt-BR"/>
        </w:rPr>
        <w:t xml:space="preserve">do </w:t>
      </w:r>
      <w:r w:rsidR="002C330E" w:rsidRPr="00D5464D">
        <w:rPr>
          <w:lang w:val="pt-BR"/>
        </w:rPr>
        <w:t>mesm</w:t>
      </w:r>
      <w:r w:rsidR="00841077" w:rsidRPr="00D5464D">
        <w:rPr>
          <w:lang w:val="pt-BR"/>
        </w:rPr>
        <w:t xml:space="preserve">o instrumento, </w:t>
      </w:r>
      <w:r w:rsidR="002C330E" w:rsidRPr="00D5464D">
        <w:rPr>
          <w:lang w:val="pt-BR"/>
        </w:rPr>
        <w:t>produzid</w:t>
      </w:r>
      <w:r w:rsidR="000C297B" w:rsidRPr="00D5464D">
        <w:rPr>
          <w:lang w:val="pt-BR"/>
        </w:rPr>
        <w:t>a</w:t>
      </w:r>
      <w:r w:rsidR="00E045D9" w:rsidRPr="00D5464D">
        <w:rPr>
          <w:lang w:val="pt-BR"/>
        </w:rPr>
        <w:t xml:space="preserve"> no </w:t>
      </w:r>
      <w:r w:rsidR="00841077" w:rsidRPr="00D5464D">
        <w:rPr>
          <w:lang w:val="pt-BR"/>
        </w:rPr>
        <w:t>marco de</w:t>
      </w:r>
      <w:r w:rsidR="00E045D9" w:rsidRPr="00D5464D">
        <w:rPr>
          <w:lang w:val="pt-BR"/>
        </w:rPr>
        <w:t xml:space="preserve"> uma </w:t>
      </w:r>
      <w:r w:rsidR="00841077" w:rsidRPr="00D5464D">
        <w:rPr>
          <w:lang w:val="pt-BR"/>
        </w:rPr>
        <w:t>situa</w:t>
      </w:r>
      <w:r w:rsidR="00470ADC" w:rsidRPr="00D5464D">
        <w:rPr>
          <w:lang w:val="pt-BR"/>
        </w:rPr>
        <w:t>ção</w:t>
      </w:r>
      <w:r w:rsidR="00841077" w:rsidRPr="00D5464D">
        <w:rPr>
          <w:lang w:val="pt-BR"/>
        </w:rPr>
        <w:t xml:space="preserve"> de discrimina</w:t>
      </w:r>
      <w:r w:rsidR="00470ADC" w:rsidRPr="00D5464D">
        <w:rPr>
          <w:lang w:val="pt-BR"/>
        </w:rPr>
        <w:t>ção</w:t>
      </w:r>
      <w:r w:rsidR="00841077" w:rsidRPr="00D5464D">
        <w:rPr>
          <w:lang w:val="pt-BR"/>
        </w:rPr>
        <w:t xml:space="preserve"> </w:t>
      </w:r>
      <w:r w:rsidR="00470ADC" w:rsidRPr="00D5464D">
        <w:rPr>
          <w:lang w:val="pt-BR"/>
        </w:rPr>
        <w:t>estrutura</w:t>
      </w:r>
      <w:r w:rsidR="00841077" w:rsidRPr="00D5464D">
        <w:rPr>
          <w:lang w:val="pt-BR"/>
        </w:rPr>
        <w:t>l histórica</w:t>
      </w:r>
      <w:r w:rsidR="00470ADC" w:rsidRPr="00D5464D">
        <w:rPr>
          <w:lang w:val="pt-BR"/>
        </w:rPr>
        <w:t xml:space="preserve"> em </w:t>
      </w:r>
      <w:r w:rsidR="002C330E" w:rsidRPr="00D5464D">
        <w:rPr>
          <w:lang w:val="pt-BR"/>
        </w:rPr>
        <w:t>razão</w:t>
      </w:r>
      <w:r w:rsidR="00470ADC" w:rsidRPr="00D5464D">
        <w:rPr>
          <w:lang w:val="pt-BR"/>
        </w:rPr>
        <w:t xml:space="preserve"> da </w:t>
      </w:r>
      <w:r w:rsidR="00841077" w:rsidRPr="00D5464D">
        <w:rPr>
          <w:lang w:val="pt-BR"/>
        </w:rPr>
        <w:t>posi</w:t>
      </w:r>
      <w:r w:rsidR="00470ADC" w:rsidRPr="00D5464D">
        <w:rPr>
          <w:lang w:val="pt-BR"/>
        </w:rPr>
        <w:t>ção</w:t>
      </w:r>
      <w:r w:rsidR="00841077" w:rsidRPr="00D5464D">
        <w:rPr>
          <w:lang w:val="pt-BR"/>
        </w:rPr>
        <w:t xml:space="preserve"> </w:t>
      </w:r>
      <w:r w:rsidR="00470ADC" w:rsidRPr="00D5464D">
        <w:rPr>
          <w:lang w:val="pt-BR"/>
        </w:rPr>
        <w:t>econômic</w:t>
      </w:r>
      <w:r w:rsidR="00841077" w:rsidRPr="00D5464D">
        <w:rPr>
          <w:lang w:val="pt-BR"/>
        </w:rPr>
        <w:t>a</w:t>
      </w:r>
      <w:r w:rsidR="00470ADC" w:rsidRPr="00D5464D">
        <w:rPr>
          <w:lang w:val="pt-BR"/>
        </w:rPr>
        <w:t xml:space="preserve"> dos </w:t>
      </w:r>
      <w:r w:rsidR="00841077" w:rsidRPr="00D5464D">
        <w:rPr>
          <w:lang w:val="pt-BR"/>
        </w:rPr>
        <w:t xml:space="preserve">85 </w:t>
      </w:r>
      <w:r w:rsidR="00E045D9" w:rsidRPr="00D5464D">
        <w:rPr>
          <w:lang w:val="pt-BR"/>
        </w:rPr>
        <w:t>trabalhadores</w:t>
      </w:r>
      <w:r w:rsidR="00841077" w:rsidRPr="00D5464D">
        <w:rPr>
          <w:lang w:val="pt-BR"/>
        </w:rPr>
        <w:t xml:space="preserve"> identificados</w:t>
      </w:r>
      <w:r w:rsidR="00E045D9" w:rsidRPr="00D5464D">
        <w:rPr>
          <w:lang w:val="pt-BR"/>
        </w:rPr>
        <w:t xml:space="preserve"> no </w:t>
      </w:r>
      <w:r w:rsidR="002C330E" w:rsidRPr="00D5464D">
        <w:rPr>
          <w:lang w:val="pt-BR"/>
        </w:rPr>
        <w:t>parágrafo</w:t>
      </w:r>
      <w:r w:rsidR="00841077" w:rsidRPr="00D5464D">
        <w:rPr>
          <w:lang w:val="pt-BR"/>
        </w:rPr>
        <w:t xml:space="preserve"> </w:t>
      </w:r>
      <w:r w:rsidR="006D753C" w:rsidRPr="00D5464D">
        <w:rPr>
          <w:lang w:val="pt-BR"/>
        </w:rPr>
        <w:t>206</w:t>
      </w:r>
      <w:r w:rsidR="00470ADC" w:rsidRPr="00D5464D">
        <w:rPr>
          <w:lang w:val="pt-BR"/>
        </w:rPr>
        <w:t xml:space="preserve"> da </w:t>
      </w:r>
      <w:r w:rsidR="00841077" w:rsidRPr="00D5464D">
        <w:rPr>
          <w:lang w:val="pt-BR"/>
        </w:rPr>
        <w:t xml:space="preserve">presente </w:t>
      </w:r>
      <w:r w:rsidR="002C330E" w:rsidRPr="00D5464D">
        <w:rPr>
          <w:lang w:val="pt-BR"/>
        </w:rPr>
        <w:t>Sentença</w:t>
      </w:r>
      <w:r w:rsidR="00841077" w:rsidRPr="00D5464D">
        <w:rPr>
          <w:lang w:val="pt-BR"/>
        </w:rPr>
        <w:t>.</w:t>
      </w:r>
    </w:p>
    <w:p w14:paraId="1EBEA54B" w14:textId="77777777" w:rsidR="00207197" w:rsidRPr="00D5464D" w:rsidRDefault="00207197" w:rsidP="00963163">
      <w:pPr>
        <w:pStyle w:val="Prrafodelista"/>
        <w:tabs>
          <w:tab w:val="right" w:pos="0"/>
        </w:tabs>
        <w:ind w:left="0"/>
        <w:rPr>
          <w:lang w:val="pt-BR"/>
        </w:rPr>
      </w:pPr>
    </w:p>
    <w:p w14:paraId="7A7DCD2C" w14:textId="593A624B" w:rsidR="0069414E" w:rsidRPr="00D5464D" w:rsidRDefault="00864574" w:rsidP="008705BA">
      <w:pPr>
        <w:pStyle w:val="Ttulo1"/>
        <w:keepLines w:val="0"/>
        <w:tabs>
          <w:tab w:val="center" w:pos="4419"/>
          <w:tab w:val="right" w:pos="8838"/>
        </w:tabs>
        <w:spacing w:before="0" w:after="0"/>
        <w:rPr>
          <w:rFonts w:eastAsiaTheme="minorHAnsi" w:cstheme="minorBidi"/>
          <w:bCs w:val="0"/>
          <w:caps w:val="0"/>
          <w:szCs w:val="22"/>
          <w:lang w:val="pt-BR"/>
        </w:rPr>
      </w:pPr>
      <w:bookmarkStart w:id="413" w:name="_Toc460432518"/>
      <w:bookmarkStart w:id="414" w:name="_Toc468433933"/>
      <w:bookmarkStart w:id="415" w:name="_Toc429519511"/>
      <w:bookmarkStart w:id="416" w:name="_Toc430339016"/>
      <w:bookmarkStart w:id="417" w:name="_Toc451267358"/>
      <w:r w:rsidRPr="00D5464D">
        <w:rPr>
          <w:rFonts w:eastAsiaTheme="minorHAnsi" w:cstheme="minorBidi"/>
          <w:bCs w:val="0"/>
          <w:caps w:val="0"/>
          <w:szCs w:val="22"/>
          <w:lang w:val="pt-BR"/>
        </w:rPr>
        <w:t>VIII-2</w:t>
      </w:r>
      <w:bookmarkEnd w:id="413"/>
      <w:bookmarkEnd w:id="414"/>
    </w:p>
    <w:p w14:paraId="4735104A" w14:textId="75BB928F" w:rsidR="004D4500" w:rsidRPr="00D5464D" w:rsidRDefault="00470ADC" w:rsidP="008705BA">
      <w:pPr>
        <w:pStyle w:val="Ttulo1"/>
        <w:rPr>
          <w:lang w:val="pt-BR"/>
        </w:rPr>
      </w:pPr>
      <w:bookmarkStart w:id="418" w:name="_Toc468433934"/>
      <w:r w:rsidRPr="00D5464D">
        <w:rPr>
          <w:lang w:val="pt-BR"/>
        </w:rPr>
        <w:t>DIREITO</w:t>
      </w:r>
      <w:r w:rsidR="00E86A1A" w:rsidRPr="00D5464D">
        <w:rPr>
          <w:lang w:val="pt-BR"/>
        </w:rPr>
        <w:t>S</w:t>
      </w:r>
      <w:r w:rsidR="00E045D9" w:rsidRPr="00D5464D">
        <w:rPr>
          <w:lang w:val="pt-BR"/>
        </w:rPr>
        <w:t xml:space="preserve"> às </w:t>
      </w:r>
      <w:r w:rsidR="002C330E" w:rsidRPr="00D5464D">
        <w:rPr>
          <w:lang w:val="pt-BR"/>
        </w:rPr>
        <w:t>GARANTIAS</w:t>
      </w:r>
      <w:r w:rsidR="004D4500" w:rsidRPr="00D5464D">
        <w:rPr>
          <w:lang w:val="pt-BR"/>
        </w:rPr>
        <w:t xml:space="preserve"> </w:t>
      </w:r>
      <w:r w:rsidR="002C330E" w:rsidRPr="00D5464D">
        <w:rPr>
          <w:lang w:val="pt-BR"/>
        </w:rPr>
        <w:t>JUDICIAIS</w:t>
      </w:r>
      <w:r w:rsidR="004D4500" w:rsidRPr="00D5464D">
        <w:rPr>
          <w:vertAlign w:val="superscript"/>
          <w:lang w:val="pt-BR"/>
        </w:rPr>
        <w:footnoteReference w:id="477"/>
      </w:r>
      <w:r w:rsidR="00E045D9" w:rsidRPr="00D5464D">
        <w:rPr>
          <w:lang w:val="pt-BR"/>
        </w:rPr>
        <w:t xml:space="preserve"> e </w:t>
      </w:r>
      <w:r w:rsidRPr="00D5464D">
        <w:rPr>
          <w:lang w:val="pt-BR"/>
        </w:rPr>
        <w:t xml:space="preserve">à </w:t>
      </w:r>
      <w:r w:rsidR="002C330E" w:rsidRPr="00D5464D">
        <w:rPr>
          <w:lang w:val="pt-BR"/>
        </w:rPr>
        <w:t>PROTEÇÃO</w:t>
      </w:r>
      <w:r w:rsidR="004D4500" w:rsidRPr="00D5464D">
        <w:rPr>
          <w:lang w:val="pt-BR"/>
        </w:rPr>
        <w:t xml:space="preserve"> JUDICIAL</w:t>
      </w:r>
      <w:bookmarkEnd w:id="415"/>
      <w:bookmarkEnd w:id="416"/>
      <w:bookmarkEnd w:id="417"/>
      <w:r w:rsidR="004D4500" w:rsidRPr="00D5464D">
        <w:rPr>
          <w:vertAlign w:val="superscript"/>
          <w:lang w:val="pt-BR"/>
        </w:rPr>
        <w:footnoteReference w:id="478"/>
      </w:r>
      <w:bookmarkEnd w:id="418"/>
    </w:p>
    <w:p w14:paraId="59BEB1BC" w14:textId="77777777" w:rsidR="004D4500" w:rsidRPr="00D5464D" w:rsidRDefault="004D4500" w:rsidP="00140440">
      <w:pPr>
        <w:jc w:val="both"/>
        <w:rPr>
          <w:rFonts w:cs="Arial"/>
          <w:szCs w:val="20"/>
          <w:lang w:val="pt-BR"/>
        </w:rPr>
      </w:pPr>
    </w:p>
    <w:p w14:paraId="03B564C0" w14:textId="6A9569A4" w:rsidR="00D81AA1" w:rsidRPr="00D5464D" w:rsidRDefault="00470ADC" w:rsidP="00D81AA1">
      <w:pPr>
        <w:pStyle w:val="Prrafodelista"/>
        <w:numPr>
          <w:ilvl w:val="0"/>
          <w:numId w:val="1"/>
        </w:numPr>
        <w:autoSpaceDE w:val="0"/>
        <w:autoSpaceDN w:val="0"/>
        <w:adjustRightInd w:val="0"/>
        <w:contextualSpacing w:val="0"/>
        <w:rPr>
          <w:rFonts w:cs="Arial"/>
          <w:szCs w:val="20"/>
          <w:lang w:val="pt-BR"/>
        </w:rPr>
      </w:pPr>
      <w:bookmarkStart w:id="419" w:name="_Ref319671385"/>
      <w:r w:rsidRPr="00D5464D">
        <w:rPr>
          <w:rFonts w:cs="Arial"/>
          <w:szCs w:val="20"/>
          <w:lang w:val="pt-BR"/>
        </w:rPr>
        <w:t>Neste</w:t>
      </w:r>
      <w:r w:rsidR="00D81AA1" w:rsidRPr="00D5464D">
        <w:rPr>
          <w:rFonts w:cs="Arial"/>
          <w:szCs w:val="20"/>
          <w:lang w:val="pt-BR"/>
        </w:rPr>
        <w:t xml:space="preserve"> capítulo</w:t>
      </w:r>
      <w:r w:rsidR="002C330E" w:rsidRPr="00D5464D">
        <w:rPr>
          <w:rFonts w:cs="Arial"/>
          <w:szCs w:val="20"/>
          <w:lang w:val="pt-BR"/>
        </w:rPr>
        <w:t xml:space="preserve"> a </w:t>
      </w:r>
      <w:r w:rsidR="00D81AA1" w:rsidRPr="00D5464D">
        <w:rPr>
          <w:rFonts w:cs="Arial"/>
          <w:szCs w:val="20"/>
          <w:lang w:val="pt-BR"/>
        </w:rPr>
        <w:t xml:space="preserve">Corte </w:t>
      </w:r>
      <w:r w:rsidRPr="00D5464D">
        <w:rPr>
          <w:rFonts w:cs="Arial"/>
          <w:szCs w:val="20"/>
          <w:lang w:val="pt-BR"/>
        </w:rPr>
        <w:t>analisar</w:t>
      </w:r>
      <w:r w:rsidR="006B5425" w:rsidRPr="00D5464D">
        <w:rPr>
          <w:rFonts w:cs="Arial"/>
          <w:szCs w:val="20"/>
          <w:lang w:val="pt-BR"/>
        </w:rPr>
        <w:t>á</w:t>
      </w:r>
      <w:r w:rsidR="002C330E" w:rsidRPr="00D5464D">
        <w:rPr>
          <w:rFonts w:cs="Arial"/>
          <w:szCs w:val="20"/>
          <w:lang w:val="pt-BR"/>
        </w:rPr>
        <w:t xml:space="preserve"> os </w:t>
      </w:r>
      <w:r w:rsidR="00D81AA1" w:rsidRPr="00D5464D">
        <w:rPr>
          <w:rFonts w:cs="Arial"/>
          <w:szCs w:val="20"/>
          <w:lang w:val="pt-BR"/>
        </w:rPr>
        <w:t>argumentos</w:t>
      </w:r>
      <w:r w:rsidR="002C330E" w:rsidRPr="00D5464D">
        <w:rPr>
          <w:rFonts w:cs="Arial"/>
          <w:szCs w:val="20"/>
          <w:lang w:val="pt-BR"/>
        </w:rPr>
        <w:t xml:space="preserve"> apresentados pelas </w:t>
      </w:r>
      <w:r w:rsidR="00D81AA1" w:rsidRPr="00D5464D">
        <w:rPr>
          <w:rFonts w:cs="Arial"/>
          <w:szCs w:val="20"/>
          <w:lang w:val="pt-BR"/>
        </w:rPr>
        <w:t>partes</w:t>
      </w:r>
      <w:r w:rsidR="00E045D9" w:rsidRPr="00D5464D">
        <w:rPr>
          <w:rFonts w:cs="Arial"/>
          <w:szCs w:val="20"/>
          <w:lang w:val="pt-BR"/>
        </w:rPr>
        <w:t xml:space="preserve"> e </w:t>
      </w:r>
      <w:r w:rsidR="00340FA0" w:rsidRPr="00D5464D">
        <w:rPr>
          <w:rFonts w:cs="Arial"/>
          <w:szCs w:val="20"/>
          <w:lang w:val="pt-BR"/>
        </w:rPr>
        <w:t xml:space="preserve">realizará </w:t>
      </w:r>
      <w:r w:rsidR="002C330E" w:rsidRPr="00D5464D">
        <w:rPr>
          <w:rFonts w:cs="Arial"/>
          <w:szCs w:val="20"/>
          <w:lang w:val="pt-BR"/>
        </w:rPr>
        <w:t xml:space="preserve">as </w:t>
      </w:r>
      <w:r w:rsidR="00D81AA1" w:rsidRPr="00D5464D">
        <w:rPr>
          <w:rFonts w:cs="Arial"/>
          <w:szCs w:val="20"/>
          <w:lang w:val="pt-BR"/>
        </w:rPr>
        <w:t>considera</w:t>
      </w:r>
      <w:r w:rsidRPr="00D5464D">
        <w:rPr>
          <w:rFonts w:cs="Arial"/>
          <w:szCs w:val="20"/>
          <w:lang w:val="pt-BR"/>
        </w:rPr>
        <w:t>ções</w:t>
      </w:r>
      <w:r w:rsidR="00D81AA1" w:rsidRPr="00D5464D">
        <w:rPr>
          <w:rFonts w:cs="Arial"/>
          <w:szCs w:val="20"/>
          <w:lang w:val="pt-BR"/>
        </w:rPr>
        <w:t xml:space="preserve"> de </w:t>
      </w:r>
      <w:r w:rsidRPr="00D5464D">
        <w:rPr>
          <w:rFonts w:cs="Arial"/>
          <w:szCs w:val="20"/>
          <w:lang w:val="pt-BR"/>
        </w:rPr>
        <w:t>direito</w:t>
      </w:r>
      <w:r w:rsidR="00D81AA1" w:rsidRPr="00D5464D">
        <w:rPr>
          <w:rFonts w:cs="Arial"/>
          <w:szCs w:val="20"/>
          <w:lang w:val="pt-BR"/>
        </w:rPr>
        <w:t xml:space="preserve"> pertinentes relacionadas</w:t>
      </w:r>
      <w:r w:rsidRPr="00D5464D">
        <w:rPr>
          <w:rFonts w:cs="Arial"/>
          <w:szCs w:val="20"/>
          <w:lang w:val="pt-BR"/>
        </w:rPr>
        <w:t xml:space="preserve"> </w:t>
      </w:r>
      <w:r w:rsidR="006B5425" w:rsidRPr="00D5464D">
        <w:rPr>
          <w:rFonts w:cs="Arial"/>
          <w:szCs w:val="20"/>
          <w:lang w:val="pt-BR"/>
        </w:rPr>
        <w:t xml:space="preserve">às </w:t>
      </w:r>
      <w:r w:rsidR="00D81AA1" w:rsidRPr="00D5464D">
        <w:rPr>
          <w:rFonts w:cs="Arial"/>
          <w:szCs w:val="20"/>
          <w:lang w:val="pt-BR"/>
        </w:rPr>
        <w:t xml:space="preserve">alegadas </w:t>
      </w:r>
      <w:r w:rsidR="00EB1CE9" w:rsidRPr="00D5464D">
        <w:rPr>
          <w:rFonts w:cs="Arial"/>
          <w:szCs w:val="20"/>
          <w:lang w:val="pt-BR"/>
        </w:rPr>
        <w:t>violações</w:t>
      </w:r>
      <w:r w:rsidR="00E045D9" w:rsidRPr="00D5464D">
        <w:rPr>
          <w:rFonts w:cs="Arial"/>
          <w:szCs w:val="20"/>
          <w:lang w:val="pt-BR"/>
        </w:rPr>
        <w:t xml:space="preserve"> aos </w:t>
      </w:r>
      <w:r w:rsidRPr="00D5464D">
        <w:rPr>
          <w:rFonts w:cs="Arial"/>
          <w:szCs w:val="20"/>
          <w:lang w:val="pt-BR"/>
        </w:rPr>
        <w:t>direito</w:t>
      </w:r>
      <w:r w:rsidR="00E86A1A" w:rsidRPr="00D5464D">
        <w:rPr>
          <w:rFonts w:cs="Arial"/>
          <w:szCs w:val="20"/>
          <w:lang w:val="pt-BR"/>
        </w:rPr>
        <w:t>s</w:t>
      </w:r>
      <w:r w:rsidR="000E4F31" w:rsidRPr="00D5464D">
        <w:rPr>
          <w:rFonts w:cs="Arial"/>
          <w:szCs w:val="20"/>
          <w:lang w:val="pt-BR"/>
        </w:rPr>
        <w:t xml:space="preserve"> </w:t>
      </w:r>
      <w:r w:rsidR="00E045D9" w:rsidRPr="00D5464D">
        <w:rPr>
          <w:rFonts w:cs="Arial"/>
          <w:szCs w:val="20"/>
          <w:lang w:val="pt-BR"/>
        </w:rPr>
        <w:t xml:space="preserve">às </w:t>
      </w:r>
      <w:r w:rsidR="002C330E" w:rsidRPr="00D5464D">
        <w:rPr>
          <w:rFonts w:cs="Arial"/>
          <w:szCs w:val="20"/>
          <w:lang w:val="pt-BR"/>
        </w:rPr>
        <w:t>garantias</w:t>
      </w:r>
      <w:r w:rsidR="00D81AA1" w:rsidRPr="00D5464D">
        <w:rPr>
          <w:rFonts w:cs="Arial"/>
          <w:szCs w:val="20"/>
          <w:lang w:val="pt-BR"/>
        </w:rPr>
        <w:t xml:space="preserve"> </w:t>
      </w:r>
      <w:r w:rsidR="002C330E" w:rsidRPr="00D5464D">
        <w:rPr>
          <w:rFonts w:cs="Arial"/>
          <w:szCs w:val="20"/>
          <w:lang w:val="pt-BR"/>
        </w:rPr>
        <w:t>judiciais</w:t>
      </w:r>
      <w:r w:rsidR="00E045D9" w:rsidRPr="00D5464D">
        <w:rPr>
          <w:rFonts w:cs="Arial"/>
          <w:szCs w:val="20"/>
          <w:lang w:val="pt-BR"/>
        </w:rPr>
        <w:t xml:space="preserve"> e </w:t>
      </w:r>
      <w:r w:rsidRPr="00D5464D">
        <w:rPr>
          <w:rFonts w:cs="Arial"/>
          <w:szCs w:val="20"/>
          <w:lang w:val="pt-BR"/>
        </w:rPr>
        <w:t xml:space="preserve">à </w:t>
      </w:r>
      <w:r w:rsidR="002C330E" w:rsidRPr="00D5464D">
        <w:rPr>
          <w:rFonts w:cs="Arial"/>
          <w:szCs w:val="20"/>
          <w:lang w:val="pt-BR"/>
        </w:rPr>
        <w:t>proteção</w:t>
      </w:r>
      <w:r w:rsidR="00D81AA1" w:rsidRPr="00D5464D">
        <w:rPr>
          <w:rFonts w:cs="Arial"/>
          <w:szCs w:val="20"/>
          <w:lang w:val="pt-BR"/>
        </w:rPr>
        <w:t xml:space="preserve"> judicial. Para este </w:t>
      </w:r>
      <w:r w:rsidRPr="00D5464D">
        <w:rPr>
          <w:rFonts w:cs="Arial"/>
          <w:szCs w:val="20"/>
          <w:lang w:val="pt-BR"/>
        </w:rPr>
        <w:t>efeito</w:t>
      </w:r>
      <w:r w:rsidR="00D81AA1" w:rsidRPr="00D5464D">
        <w:rPr>
          <w:rFonts w:cs="Arial"/>
          <w:szCs w:val="20"/>
          <w:lang w:val="pt-BR"/>
        </w:rPr>
        <w:t>, realizará</w:t>
      </w:r>
      <w:r w:rsidR="00E045D9" w:rsidRPr="00D5464D">
        <w:rPr>
          <w:rFonts w:cs="Arial"/>
          <w:szCs w:val="20"/>
          <w:lang w:val="pt-BR"/>
        </w:rPr>
        <w:t xml:space="preserve"> </w:t>
      </w:r>
      <w:r w:rsidR="00350187" w:rsidRPr="00D5464D">
        <w:rPr>
          <w:rFonts w:cs="Arial"/>
          <w:szCs w:val="20"/>
          <w:lang w:val="pt-BR"/>
        </w:rPr>
        <w:t>uma análise</w:t>
      </w:r>
      <w:r w:rsidR="00E045D9" w:rsidRPr="00D5464D">
        <w:rPr>
          <w:rFonts w:cs="Arial"/>
          <w:szCs w:val="20"/>
          <w:lang w:val="pt-BR"/>
        </w:rPr>
        <w:t xml:space="preserve"> n</w:t>
      </w:r>
      <w:r w:rsidR="00340FA0" w:rsidRPr="00D5464D">
        <w:rPr>
          <w:rFonts w:cs="Arial"/>
          <w:szCs w:val="20"/>
          <w:lang w:val="pt-BR"/>
        </w:rPr>
        <w:t>a</w:t>
      </w:r>
      <w:r w:rsidR="00E045D9" w:rsidRPr="00D5464D">
        <w:rPr>
          <w:rFonts w:cs="Arial"/>
          <w:szCs w:val="20"/>
          <w:lang w:val="pt-BR"/>
        </w:rPr>
        <w:t xml:space="preserve"> </w:t>
      </w:r>
      <w:r w:rsidR="002C330E" w:rsidRPr="00D5464D">
        <w:rPr>
          <w:rFonts w:cs="Arial"/>
          <w:szCs w:val="20"/>
          <w:lang w:val="pt-BR"/>
        </w:rPr>
        <w:t>seguinte</w:t>
      </w:r>
      <w:r w:rsidR="00D81AA1" w:rsidRPr="00D5464D">
        <w:rPr>
          <w:rFonts w:cs="Arial"/>
          <w:szCs w:val="20"/>
          <w:lang w:val="pt-BR"/>
        </w:rPr>
        <w:t xml:space="preserve"> </w:t>
      </w:r>
      <w:r w:rsidR="00737270" w:rsidRPr="00D5464D">
        <w:rPr>
          <w:rFonts w:cs="Arial"/>
          <w:szCs w:val="20"/>
          <w:lang w:val="pt-BR"/>
        </w:rPr>
        <w:t xml:space="preserve">ordem: </w:t>
      </w:r>
      <w:r w:rsidR="00D81AA1" w:rsidRPr="00D5464D">
        <w:rPr>
          <w:rFonts w:cs="Arial"/>
          <w:szCs w:val="20"/>
          <w:lang w:val="pt-BR"/>
        </w:rPr>
        <w:t>a)</w:t>
      </w:r>
      <w:r w:rsidR="002C330E" w:rsidRPr="00D5464D">
        <w:rPr>
          <w:rFonts w:cs="Arial"/>
          <w:szCs w:val="20"/>
          <w:lang w:val="pt-BR"/>
        </w:rPr>
        <w:t xml:space="preserve"> a </w:t>
      </w:r>
      <w:r w:rsidR="00D81AA1" w:rsidRPr="00D5464D">
        <w:rPr>
          <w:rFonts w:cs="Arial"/>
          <w:szCs w:val="20"/>
          <w:lang w:val="pt-BR"/>
        </w:rPr>
        <w:t xml:space="preserve">alegada falta de </w:t>
      </w:r>
      <w:r w:rsidRPr="00D5464D">
        <w:rPr>
          <w:rFonts w:cs="Arial"/>
          <w:szCs w:val="20"/>
          <w:lang w:val="pt-BR"/>
        </w:rPr>
        <w:t>devida diligência</w:t>
      </w:r>
      <w:r w:rsidR="00D81AA1" w:rsidRPr="00D5464D">
        <w:rPr>
          <w:rFonts w:cs="Arial"/>
          <w:szCs w:val="20"/>
          <w:lang w:val="pt-BR"/>
        </w:rPr>
        <w:t>; b)</w:t>
      </w:r>
      <w:r w:rsidR="002C330E" w:rsidRPr="00D5464D">
        <w:rPr>
          <w:rFonts w:cs="Arial"/>
          <w:szCs w:val="20"/>
          <w:lang w:val="pt-BR"/>
        </w:rPr>
        <w:t xml:space="preserve"> a </w:t>
      </w:r>
      <w:r w:rsidR="00D81AA1" w:rsidRPr="00D5464D">
        <w:rPr>
          <w:rFonts w:cs="Arial"/>
          <w:szCs w:val="20"/>
          <w:lang w:val="pt-BR"/>
        </w:rPr>
        <w:t xml:space="preserve">alegada </w:t>
      </w:r>
      <w:r w:rsidR="00350187" w:rsidRPr="00D5464D">
        <w:rPr>
          <w:rFonts w:cs="Arial"/>
          <w:szCs w:val="20"/>
          <w:lang w:val="pt-BR"/>
        </w:rPr>
        <w:t>violação</w:t>
      </w:r>
      <w:r w:rsidRPr="00D5464D">
        <w:rPr>
          <w:rFonts w:cs="Arial"/>
          <w:szCs w:val="20"/>
          <w:lang w:val="pt-BR"/>
        </w:rPr>
        <w:t xml:space="preserve"> ao</w:t>
      </w:r>
      <w:r w:rsidR="002C330E" w:rsidRPr="00D5464D">
        <w:rPr>
          <w:rFonts w:cs="Arial"/>
          <w:szCs w:val="20"/>
          <w:lang w:val="pt-BR"/>
        </w:rPr>
        <w:t xml:space="preserve"> prazo</w:t>
      </w:r>
      <w:r w:rsidR="00D81AA1" w:rsidRPr="00D5464D">
        <w:rPr>
          <w:rFonts w:cs="Arial"/>
          <w:szCs w:val="20"/>
          <w:lang w:val="pt-BR"/>
        </w:rPr>
        <w:t xml:space="preserve"> </w:t>
      </w:r>
      <w:r w:rsidR="002C330E" w:rsidRPr="00D5464D">
        <w:rPr>
          <w:rFonts w:cs="Arial"/>
          <w:szCs w:val="20"/>
          <w:lang w:val="pt-BR"/>
        </w:rPr>
        <w:t>razoável</w:t>
      </w:r>
      <w:r w:rsidR="00E045D9" w:rsidRPr="00D5464D">
        <w:rPr>
          <w:rFonts w:cs="Arial"/>
          <w:szCs w:val="20"/>
          <w:lang w:val="pt-BR"/>
        </w:rPr>
        <w:t xml:space="preserve"> no </w:t>
      </w:r>
      <w:r w:rsidR="002C330E" w:rsidRPr="00D5464D">
        <w:rPr>
          <w:rFonts w:cs="Arial"/>
          <w:szCs w:val="20"/>
          <w:lang w:val="pt-BR"/>
        </w:rPr>
        <w:t>processo</w:t>
      </w:r>
      <w:r w:rsidR="00D81AA1" w:rsidRPr="00D5464D">
        <w:rPr>
          <w:rFonts w:cs="Arial"/>
          <w:szCs w:val="20"/>
          <w:lang w:val="pt-BR"/>
        </w:rPr>
        <w:t xml:space="preserve"> penal</w:t>
      </w:r>
      <w:r w:rsidR="002A0C2B" w:rsidRPr="00D5464D">
        <w:rPr>
          <w:rFonts w:cs="Arial"/>
          <w:szCs w:val="20"/>
          <w:lang w:val="pt-BR"/>
        </w:rPr>
        <w:t xml:space="preserve"> e </w:t>
      </w:r>
      <w:r w:rsidR="00D81AA1" w:rsidRPr="00D5464D">
        <w:rPr>
          <w:rFonts w:cs="Arial"/>
          <w:szCs w:val="20"/>
          <w:lang w:val="pt-BR"/>
        </w:rPr>
        <w:t>c)</w:t>
      </w:r>
      <w:r w:rsidR="002C330E" w:rsidRPr="00D5464D">
        <w:rPr>
          <w:rFonts w:cs="Arial"/>
          <w:szCs w:val="20"/>
          <w:lang w:val="pt-BR"/>
        </w:rPr>
        <w:t xml:space="preserve"> a </w:t>
      </w:r>
      <w:r w:rsidR="00D81AA1" w:rsidRPr="00D5464D">
        <w:rPr>
          <w:rFonts w:cs="Arial"/>
          <w:szCs w:val="20"/>
          <w:lang w:val="pt-BR"/>
        </w:rPr>
        <w:t xml:space="preserve">alegada </w:t>
      </w:r>
      <w:r w:rsidRPr="00D5464D">
        <w:rPr>
          <w:spacing w:val="-3"/>
          <w:szCs w:val="20"/>
          <w:lang w:val="pt-BR"/>
        </w:rPr>
        <w:t>ausência</w:t>
      </w:r>
      <w:r w:rsidR="00D81AA1" w:rsidRPr="00D5464D">
        <w:rPr>
          <w:spacing w:val="-3"/>
          <w:szCs w:val="20"/>
          <w:lang w:val="pt-BR"/>
        </w:rPr>
        <w:t xml:space="preserve"> de </w:t>
      </w:r>
      <w:r w:rsidR="002C330E" w:rsidRPr="00D5464D">
        <w:rPr>
          <w:spacing w:val="-3"/>
          <w:szCs w:val="20"/>
          <w:lang w:val="pt-BR"/>
        </w:rPr>
        <w:t>proteção</w:t>
      </w:r>
      <w:r w:rsidR="00D81AA1" w:rsidRPr="00D5464D">
        <w:rPr>
          <w:spacing w:val="-3"/>
          <w:szCs w:val="20"/>
          <w:lang w:val="pt-BR"/>
        </w:rPr>
        <w:t xml:space="preserve"> judicial </w:t>
      </w:r>
      <w:r w:rsidRPr="00D5464D">
        <w:rPr>
          <w:spacing w:val="-3"/>
          <w:szCs w:val="20"/>
          <w:lang w:val="pt-BR"/>
        </w:rPr>
        <w:t>efetiv</w:t>
      </w:r>
      <w:r w:rsidR="00D81AA1" w:rsidRPr="00D5464D">
        <w:rPr>
          <w:spacing w:val="-3"/>
          <w:szCs w:val="20"/>
          <w:lang w:val="pt-BR"/>
        </w:rPr>
        <w:t>a</w:t>
      </w:r>
      <w:r w:rsidR="00D81AA1" w:rsidRPr="00D5464D">
        <w:rPr>
          <w:rFonts w:cs="Arial"/>
          <w:szCs w:val="20"/>
          <w:lang w:val="pt-BR"/>
        </w:rPr>
        <w:t xml:space="preserve">. </w:t>
      </w:r>
      <w:r w:rsidR="00340FA0" w:rsidRPr="00D5464D">
        <w:rPr>
          <w:rFonts w:cs="Arial"/>
          <w:szCs w:val="20"/>
          <w:lang w:val="pt-BR"/>
        </w:rPr>
        <w:t>Outrossim</w:t>
      </w:r>
      <w:r w:rsidR="00D81AA1" w:rsidRPr="00D5464D">
        <w:rPr>
          <w:rFonts w:cs="Arial"/>
          <w:szCs w:val="20"/>
          <w:lang w:val="pt-BR"/>
        </w:rPr>
        <w:t>,</w:t>
      </w:r>
      <w:r w:rsidR="002C330E" w:rsidRPr="00D5464D">
        <w:rPr>
          <w:rFonts w:cs="Arial"/>
          <w:szCs w:val="20"/>
          <w:lang w:val="pt-BR"/>
        </w:rPr>
        <w:t xml:space="preserve"> a </w:t>
      </w:r>
      <w:r w:rsidR="00D81AA1" w:rsidRPr="00D5464D">
        <w:rPr>
          <w:rFonts w:cs="Arial"/>
          <w:szCs w:val="20"/>
          <w:lang w:val="pt-BR"/>
        </w:rPr>
        <w:t xml:space="preserve">Corte </w:t>
      </w:r>
      <w:r w:rsidRPr="00D5464D">
        <w:rPr>
          <w:rFonts w:cs="Arial"/>
          <w:szCs w:val="20"/>
          <w:lang w:val="pt-BR"/>
        </w:rPr>
        <w:t>analisará</w:t>
      </w:r>
      <w:r w:rsidR="002C330E" w:rsidRPr="00D5464D">
        <w:rPr>
          <w:rFonts w:cs="Arial"/>
          <w:szCs w:val="20"/>
          <w:lang w:val="pt-BR"/>
        </w:rPr>
        <w:t xml:space="preserve"> as </w:t>
      </w:r>
      <w:r w:rsidR="00D81AA1" w:rsidRPr="00D5464D">
        <w:rPr>
          <w:rFonts w:cs="Arial"/>
          <w:szCs w:val="20"/>
          <w:lang w:val="pt-BR"/>
        </w:rPr>
        <w:t>investiga</w:t>
      </w:r>
      <w:r w:rsidRPr="00D5464D">
        <w:rPr>
          <w:rFonts w:cs="Arial"/>
          <w:szCs w:val="20"/>
          <w:lang w:val="pt-BR"/>
        </w:rPr>
        <w:t>ções</w:t>
      </w:r>
      <w:r w:rsidR="00D81AA1" w:rsidRPr="00D5464D">
        <w:rPr>
          <w:rFonts w:cs="Arial"/>
          <w:szCs w:val="20"/>
          <w:lang w:val="pt-BR"/>
        </w:rPr>
        <w:t xml:space="preserve"> realizadas</w:t>
      </w:r>
      <w:r w:rsidRPr="00D5464D">
        <w:rPr>
          <w:rFonts w:cs="Arial"/>
          <w:szCs w:val="20"/>
          <w:lang w:val="pt-BR"/>
        </w:rPr>
        <w:t xml:space="preserve"> </w:t>
      </w:r>
      <w:r w:rsidR="00340FA0" w:rsidRPr="00D5464D">
        <w:rPr>
          <w:rFonts w:cs="Arial"/>
          <w:szCs w:val="20"/>
          <w:lang w:val="pt-BR"/>
        </w:rPr>
        <w:t xml:space="preserve">sobre os </w:t>
      </w:r>
      <w:r w:rsidR="00D81AA1" w:rsidRPr="00D5464D">
        <w:rPr>
          <w:rFonts w:cs="Arial"/>
          <w:szCs w:val="20"/>
          <w:lang w:val="pt-BR"/>
        </w:rPr>
        <w:t>alegad</w:t>
      </w:r>
      <w:r w:rsidR="00350187" w:rsidRPr="00D5464D">
        <w:rPr>
          <w:rFonts w:cs="Arial"/>
          <w:szCs w:val="20"/>
          <w:lang w:val="pt-BR"/>
        </w:rPr>
        <w:t>os desaparecimentos</w:t>
      </w:r>
      <w:r w:rsidR="00D81AA1" w:rsidRPr="00D5464D">
        <w:rPr>
          <w:rFonts w:cs="Arial"/>
          <w:szCs w:val="20"/>
          <w:lang w:val="pt-BR"/>
        </w:rPr>
        <w:t xml:space="preserve"> de </w:t>
      </w:r>
      <w:r w:rsidR="008B075C" w:rsidRPr="00D5464D">
        <w:rPr>
          <w:rFonts w:cs="Arial"/>
          <w:szCs w:val="20"/>
          <w:lang w:val="pt-BR"/>
        </w:rPr>
        <w:t>Iron Canuto da Silva</w:t>
      </w:r>
      <w:r w:rsidR="00E045D9" w:rsidRPr="00D5464D">
        <w:rPr>
          <w:rFonts w:cs="Arial"/>
          <w:szCs w:val="20"/>
          <w:lang w:val="pt-BR"/>
        </w:rPr>
        <w:t xml:space="preserve"> e </w:t>
      </w:r>
      <w:r w:rsidR="00200C04" w:rsidRPr="00D5464D">
        <w:rPr>
          <w:rFonts w:cs="Arial"/>
          <w:szCs w:val="20"/>
          <w:lang w:val="pt-BR"/>
        </w:rPr>
        <w:t>Luis Ferreira da Cruz</w:t>
      </w:r>
      <w:r w:rsidR="00D81AA1" w:rsidRPr="00D5464D">
        <w:rPr>
          <w:rFonts w:cs="Arial"/>
          <w:szCs w:val="20"/>
          <w:lang w:val="pt-BR"/>
        </w:rPr>
        <w:t>.</w:t>
      </w:r>
    </w:p>
    <w:p w14:paraId="60E6B8FE" w14:textId="77777777" w:rsidR="00D81AA1" w:rsidRPr="00D5464D" w:rsidRDefault="00D81AA1" w:rsidP="00D81AA1">
      <w:pPr>
        <w:pStyle w:val="Ttulo8"/>
        <w:tabs>
          <w:tab w:val="right" w:pos="0"/>
        </w:tabs>
        <w:autoSpaceDE w:val="0"/>
        <w:autoSpaceDN w:val="0"/>
        <w:adjustRightInd w:val="0"/>
        <w:contextualSpacing w:val="0"/>
        <w:jc w:val="both"/>
        <w:rPr>
          <w:rFonts w:eastAsiaTheme="minorHAnsi" w:cs="Arial"/>
          <w:szCs w:val="20"/>
          <w:lang w:val="pt-BR"/>
        </w:rPr>
      </w:pPr>
    </w:p>
    <w:p w14:paraId="0E53DEAA" w14:textId="47E0D8C8" w:rsidR="00D81AA1" w:rsidRPr="00D5464D" w:rsidRDefault="00D81AA1" w:rsidP="00F306D7">
      <w:pPr>
        <w:pStyle w:val="Ttulo2"/>
        <w:numPr>
          <w:ilvl w:val="0"/>
          <w:numId w:val="20"/>
        </w:numPr>
        <w:rPr>
          <w:rFonts w:eastAsiaTheme="minorHAnsi"/>
          <w:lang w:val="pt-BR"/>
        </w:rPr>
      </w:pPr>
      <w:bookmarkStart w:id="420" w:name="_Toc468433935"/>
      <w:r w:rsidRPr="00D5464D">
        <w:rPr>
          <w:rFonts w:eastAsiaTheme="minorHAnsi"/>
          <w:lang w:val="pt-BR"/>
        </w:rPr>
        <w:t>Argumentos</w:t>
      </w:r>
      <w:r w:rsidR="00470ADC" w:rsidRPr="00D5464D">
        <w:rPr>
          <w:rFonts w:eastAsiaTheme="minorHAnsi"/>
          <w:lang w:val="pt-BR"/>
        </w:rPr>
        <w:t xml:space="preserve"> das </w:t>
      </w:r>
      <w:r w:rsidRPr="00D5464D">
        <w:rPr>
          <w:rFonts w:eastAsiaTheme="minorHAnsi"/>
          <w:lang w:val="pt-BR"/>
        </w:rPr>
        <w:t>partes</w:t>
      </w:r>
      <w:r w:rsidR="00E045D9" w:rsidRPr="00D5464D">
        <w:rPr>
          <w:rFonts w:eastAsiaTheme="minorHAnsi"/>
          <w:lang w:val="pt-BR"/>
        </w:rPr>
        <w:t xml:space="preserve"> e </w:t>
      </w:r>
      <w:r w:rsidR="00470ADC" w:rsidRPr="00D5464D">
        <w:rPr>
          <w:rFonts w:eastAsiaTheme="minorHAnsi"/>
          <w:lang w:val="pt-BR"/>
        </w:rPr>
        <w:t>da Comissão</w:t>
      </w:r>
      <w:bookmarkEnd w:id="420"/>
    </w:p>
    <w:p w14:paraId="2A8D1E26" w14:textId="77777777" w:rsidR="00DE3E58" w:rsidRPr="00D5464D" w:rsidRDefault="00DE3E58" w:rsidP="00DE3E58">
      <w:pPr>
        <w:pStyle w:val="Prrafodelista"/>
        <w:autoSpaceDE w:val="0"/>
        <w:autoSpaceDN w:val="0"/>
        <w:adjustRightInd w:val="0"/>
        <w:ind w:left="0"/>
        <w:contextualSpacing w:val="0"/>
        <w:rPr>
          <w:rFonts w:cs="Arial"/>
          <w:szCs w:val="20"/>
          <w:lang w:val="pt-BR"/>
        </w:rPr>
      </w:pPr>
    </w:p>
    <w:p w14:paraId="6F55F6FC" w14:textId="07572745" w:rsidR="00D81AA1" w:rsidRPr="00D5464D" w:rsidRDefault="00470ADC" w:rsidP="00D81AA1">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 xml:space="preserve">A </w:t>
      </w:r>
      <w:r w:rsidRPr="00D5464D">
        <w:rPr>
          <w:rFonts w:cs="Arial"/>
          <w:b/>
          <w:i/>
          <w:szCs w:val="20"/>
          <w:lang w:val="pt-BR"/>
        </w:rPr>
        <w:t>Comissão</w:t>
      </w:r>
      <w:r w:rsidR="00D81AA1" w:rsidRPr="00D5464D">
        <w:rPr>
          <w:rFonts w:cs="Arial"/>
          <w:szCs w:val="20"/>
          <w:lang w:val="pt-BR"/>
        </w:rPr>
        <w:t xml:space="preserve"> </w:t>
      </w:r>
      <w:r w:rsidRPr="00D5464D">
        <w:rPr>
          <w:rFonts w:cs="Arial"/>
          <w:szCs w:val="20"/>
          <w:lang w:val="pt-BR"/>
        </w:rPr>
        <w:t>considerou</w:t>
      </w:r>
      <w:r w:rsidR="00D81AA1" w:rsidRPr="00D5464D">
        <w:rPr>
          <w:rFonts w:cs="Arial"/>
          <w:szCs w:val="20"/>
          <w:lang w:val="pt-BR"/>
        </w:rPr>
        <w:t xml:space="preserve"> que</w:t>
      </w:r>
      <w:r w:rsidRPr="00D5464D">
        <w:rPr>
          <w:rFonts w:cs="Arial"/>
          <w:szCs w:val="20"/>
          <w:lang w:val="pt-BR"/>
        </w:rPr>
        <w:t xml:space="preserve"> o </w:t>
      </w:r>
      <w:r w:rsidR="00D81AA1" w:rsidRPr="00D5464D">
        <w:rPr>
          <w:rFonts w:cs="Arial"/>
          <w:szCs w:val="20"/>
          <w:lang w:val="pt-BR"/>
        </w:rPr>
        <w:t>Estado</w:t>
      </w:r>
      <w:r w:rsidRPr="00D5464D">
        <w:rPr>
          <w:rFonts w:cs="Arial"/>
          <w:szCs w:val="20"/>
          <w:lang w:val="pt-BR"/>
        </w:rPr>
        <w:t xml:space="preserve"> é </w:t>
      </w:r>
      <w:r w:rsidR="002C330E" w:rsidRPr="00D5464D">
        <w:rPr>
          <w:rFonts w:cs="Arial"/>
          <w:szCs w:val="20"/>
          <w:lang w:val="pt-BR"/>
        </w:rPr>
        <w:t xml:space="preserve">responsável </w:t>
      </w:r>
      <w:r w:rsidR="00D81AA1" w:rsidRPr="00D5464D">
        <w:rPr>
          <w:rFonts w:cs="Arial"/>
          <w:szCs w:val="20"/>
          <w:lang w:val="pt-BR"/>
        </w:rPr>
        <w:t>por</w:t>
      </w:r>
      <w:r w:rsidR="00230C71" w:rsidRPr="00D5464D">
        <w:rPr>
          <w:rFonts w:cs="Arial"/>
          <w:szCs w:val="20"/>
          <w:lang w:val="pt-BR"/>
        </w:rPr>
        <w:t xml:space="preserve"> não adotar </w:t>
      </w:r>
      <w:r w:rsidR="00D81AA1" w:rsidRPr="00D5464D">
        <w:rPr>
          <w:rFonts w:cs="Arial"/>
          <w:szCs w:val="20"/>
          <w:lang w:val="pt-BR"/>
        </w:rPr>
        <w:t>medidas para tutelar</w:t>
      </w:r>
      <w:r w:rsidR="002C330E" w:rsidRPr="00D5464D">
        <w:rPr>
          <w:rFonts w:cs="Arial"/>
          <w:szCs w:val="20"/>
          <w:lang w:val="pt-BR"/>
        </w:rPr>
        <w:t xml:space="preserve"> as garantias</w:t>
      </w:r>
      <w:r w:rsidR="00D81AA1" w:rsidRPr="00D5464D">
        <w:rPr>
          <w:rFonts w:cs="Arial"/>
          <w:szCs w:val="20"/>
          <w:lang w:val="pt-BR"/>
        </w:rPr>
        <w:t xml:space="preserve"> </w:t>
      </w:r>
      <w:r w:rsidR="002C330E" w:rsidRPr="00D5464D">
        <w:rPr>
          <w:rFonts w:cs="Arial"/>
          <w:szCs w:val="20"/>
          <w:lang w:val="pt-BR"/>
        </w:rPr>
        <w:t>judiciais</w:t>
      </w:r>
      <w:r w:rsidR="00D81AA1" w:rsidRPr="00D5464D">
        <w:rPr>
          <w:rFonts w:cs="Arial"/>
          <w:szCs w:val="20"/>
          <w:lang w:val="pt-BR"/>
        </w:rPr>
        <w:t xml:space="preserve"> dentro de</w:t>
      </w:r>
      <w:r w:rsidR="00E045D9" w:rsidRPr="00D5464D">
        <w:rPr>
          <w:rFonts w:cs="Arial"/>
          <w:szCs w:val="20"/>
          <w:lang w:val="pt-BR"/>
        </w:rPr>
        <w:t xml:space="preserve"> um </w:t>
      </w:r>
      <w:r w:rsidR="002C330E" w:rsidRPr="00D5464D">
        <w:rPr>
          <w:rFonts w:cs="Arial"/>
          <w:szCs w:val="20"/>
          <w:lang w:val="pt-BR"/>
        </w:rPr>
        <w:t>prazo</w:t>
      </w:r>
      <w:r w:rsidR="00D81AA1" w:rsidRPr="00D5464D">
        <w:rPr>
          <w:rFonts w:cs="Arial"/>
          <w:szCs w:val="20"/>
          <w:lang w:val="pt-BR"/>
        </w:rPr>
        <w:t xml:space="preserve"> </w:t>
      </w:r>
      <w:r w:rsidR="00230C71" w:rsidRPr="00D5464D">
        <w:rPr>
          <w:rFonts w:cs="Arial"/>
          <w:szCs w:val="20"/>
          <w:lang w:val="pt-BR"/>
        </w:rPr>
        <w:t>razoável</w:t>
      </w:r>
      <w:r w:rsidR="00A1358C" w:rsidRPr="00D5464D">
        <w:rPr>
          <w:rFonts w:cs="Arial"/>
          <w:szCs w:val="20"/>
          <w:lang w:val="pt-BR"/>
        </w:rPr>
        <w:t xml:space="preserve">. A </w:t>
      </w:r>
      <w:r w:rsidR="00737270" w:rsidRPr="00D5464D">
        <w:rPr>
          <w:rFonts w:cs="Arial"/>
          <w:szCs w:val="20"/>
          <w:lang w:val="pt-BR"/>
        </w:rPr>
        <w:t>es</w:t>
      </w:r>
      <w:r w:rsidR="005E7631" w:rsidRPr="00D5464D">
        <w:rPr>
          <w:rFonts w:cs="Arial"/>
          <w:szCs w:val="20"/>
          <w:lang w:val="pt-BR"/>
        </w:rPr>
        <w:t>se</w:t>
      </w:r>
      <w:r w:rsidR="00737270" w:rsidRPr="00D5464D">
        <w:rPr>
          <w:rFonts w:cs="Arial"/>
          <w:szCs w:val="20"/>
          <w:lang w:val="pt-BR"/>
        </w:rPr>
        <w:t xml:space="preserve"> respeito</w:t>
      </w:r>
      <w:r w:rsidR="00D81AA1" w:rsidRPr="00D5464D">
        <w:rPr>
          <w:rFonts w:cs="Arial"/>
          <w:szCs w:val="20"/>
          <w:lang w:val="pt-BR"/>
        </w:rPr>
        <w:t>,</w:t>
      </w:r>
      <w:r w:rsidR="002C330E" w:rsidRPr="00D5464D">
        <w:rPr>
          <w:rFonts w:cs="Arial"/>
          <w:szCs w:val="20"/>
          <w:lang w:val="pt-BR"/>
        </w:rPr>
        <w:t xml:space="preserve"> a </w:t>
      </w:r>
      <w:r w:rsidRPr="00D5464D">
        <w:rPr>
          <w:rFonts w:cs="Arial"/>
          <w:szCs w:val="20"/>
          <w:lang w:val="pt-BR"/>
        </w:rPr>
        <w:t>Comissão</w:t>
      </w:r>
      <w:r w:rsidR="00D81AA1" w:rsidRPr="00D5464D">
        <w:rPr>
          <w:rFonts w:cs="Arial"/>
          <w:szCs w:val="20"/>
          <w:lang w:val="pt-BR"/>
        </w:rPr>
        <w:t xml:space="preserve"> </w:t>
      </w:r>
      <w:r w:rsidR="002C330E" w:rsidRPr="00D5464D">
        <w:rPr>
          <w:rFonts w:cs="Arial"/>
          <w:szCs w:val="20"/>
          <w:lang w:val="pt-BR"/>
        </w:rPr>
        <w:t>afirmou</w:t>
      </w:r>
      <w:r w:rsidR="00D81AA1" w:rsidRPr="00D5464D">
        <w:rPr>
          <w:rFonts w:cs="Arial"/>
          <w:szCs w:val="20"/>
          <w:lang w:val="pt-BR"/>
        </w:rPr>
        <w:t xml:space="preserve"> que</w:t>
      </w:r>
      <w:r w:rsidRPr="00D5464D">
        <w:rPr>
          <w:rFonts w:cs="Arial"/>
          <w:szCs w:val="20"/>
          <w:lang w:val="pt-BR"/>
        </w:rPr>
        <w:t xml:space="preserve"> o </w:t>
      </w:r>
      <w:r w:rsidR="00D81AA1" w:rsidRPr="00D5464D">
        <w:rPr>
          <w:rFonts w:cs="Arial"/>
          <w:szCs w:val="20"/>
          <w:lang w:val="pt-BR"/>
        </w:rPr>
        <w:t>Estado</w:t>
      </w:r>
      <w:r w:rsidRPr="00D5464D">
        <w:rPr>
          <w:rFonts w:cs="Arial"/>
          <w:szCs w:val="20"/>
          <w:lang w:val="pt-BR"/>
        </w:rPr>
        <w:t xml:space="preserve"> é </w:t>
      </w:r>
      <w:r w:rsidR="002C330E" w:rsidRPr="00D5464D">
        <w:rPr>
          <w:rFonts w:cs="Arial"/>
          <w:szCs w:val="20"/>
          <w:lang w:val="pt-BR"/>
        </w:rPr>
        <w:t xml:space="preserve">responsável pela </w:t>
      </w:r>
      <w:r w:rsidR="00D81AA1" w:rsidRPr="00D5464D">
        <w:rPr>
          <w:rFonts w:cs="Arial"/>
          <w:szCs w:val="20"/>
          <w:lang w:val="pt-BR"/>
        </w:rPr>
        <w:t>viola</w:t>
      </w:r>
      <w:r w:rsidRPr="00D5464D">
        <w:rPr>
          <w:rFonts w:cs="Arial"/>
          <w:szCs w:val="20"/>
          <w:lang w:val="pt-BR"/>
        </w:rPr>
        <w:t>ção</w:t>
      </w:r>
      <w:r w:rsidR="00D81AA1" w:rsidRPr="00D5464D">
        <w:rPr>
          <w:rFonts w:cs="Arial"/>
          <w:szCs w:val="20"/>
          <w:lang w:val="pt-BR"/>
        </w:rPr>
        <w:t xml:space="preserve"> </w:t>
      </w:r>
      <w:r w:rsidRPr="00D5464D">
        <w:rPr>
          <w:rFonts w:cs="Arial"/>
          <w:szCs w:val="20"/>
          <w:lang w:val="pt-BR"/>
        </w:rPr>
        <w:t>do artigo</w:t>
      </w:r>
      <w:r w:rsidR="00D81AA1" w:rsidRPr="00D5464D">
        <w:rPr>
          <w:rFonts w:cs="Arial"/>
          <w:szCs w:val="20"/>
          <w:lang w:val="pt-BR"/>
        </w:rPr>
        <w:t xml:space="preserve"> 8</w:t>
      </w:r>
      <w:r w:rsidRPr="00D5464D">
        <w:rPr>
          <w:rFonts w:cs="Arial"/>
          <w:szCs w:val="20"/>
          <w:lang w:val="pt-BR"/>
        </w:rPr>
        <w:t xml:space="preserve"> da </w:t>
      </w:r>
      <w:r w:rsidR="00D81AA1" w:rsidRPr="00D5464D">
        <w:rPr>
          <w:rFonts w:cs="Arial"/>
          <w:szCs w:val="20"/>
          <w:lang w:val="pt-BR"/>
        </w:rPr>
        <w:t>Conven</w:t>
      </w:r>
      <w:r w:rsidRPr="00D5464D">
        <w:rPr>
          <w:rFonts w:cs="Arial"/>
          <w:szCs w:val="20"/>
          <w:lang w:val="pt-BR"/>
        </w:rPr>
        <w:t>ção</w:t>
      </w:r>
      <w:r w:rsidR="00D81AA1" w:rsidRPr="00D5464D">
        <w:rPr>
          <w:rFonts w:cs="Arial"/>
          <w:szCs w:val="20"/>
          <w:lang w:val="pt-BR"/>
        </w:rPr>
        <w:t>,</w:t>
      </w:r>
      <w:r w:rsidRPr="00D5464D">
        <w:rPr>
          <w:rFonts w:cs="Arial"/>
          <w:szCs w:val="20"/>
          <w:lang w:val="pt-BR"/>
        </w:rPr>
        <w:t xml:space="preserve"> ao </w:t>
      </w:r>
      <w:r w:rsidR="00340FA0" w:rsidRPr="00D5464D">
        <w:rPr>
          <w:rFonts w:cs="Arial"/>
          <w:szCs w:val="20"/>
          <w:lang w:val="pt-BR"/>
        </w:rPr>
        <w:t xml:space="preserve">não cumprir </w:t>
      </w:r>
      <w:r w:rsidR="00E045D9" w:rsidRPr="00D5464D">
        <w:rPr>
          <w:rFonts w:cs="Arial"/>
          <w:szCs w:val="20"/>
          <w:lang w:val="pt-BR"/>
        </w:rPr>
        <w:t>seu dever</w:t>
      </w:r>
      <w:r w:rsidR="00D81AA1" w:rsidRPr="00D5464D">
        <w:rPr>
          <w:rFonts w:cs="Arial"/>
          <w:szCs w:val="20"/>
          <w:lang w:val="pt-BR"/>
        </w:rPr>
        <w:t xml:space="preserve"> de prevenir e investigar</w:t>
      </w:r>
      <w:r w:rsidRPr="00D5464D">
        <w:rPr>
          <w:rFonts w:cs="Arial"/>
          <w:szCs w:val="20"/>
          <w:lang w:val="pt-BR"/>
        </w:rPr>
        <w:t xml:space="preserve"> o </w:t>
      </w:r>
      <w:r w:rsidR="00E045D9" w:rsidRPr="00D5464D">
        <w:rPr>
          <w:rFonts w:cs="Arial"/>
          <w:szCs w:val="20"/>
          <w:lang w:val="pt-BR"/>
        </w:rPr>
        <w:t>trabalho</w:t>
      </w:r>
      <w:r w:rsidR="00D81AA1" w:rsidRPr="00D5464D">
        <w:rPr>
          <w:rFonts w:cs="Arial"/>
          <w:szCs w:val="20"/>
          <w:lang w:val="pt-BR"/>
        </w:rPr>
        <w:t xml:space="preserve"> </w:t>
      </w:r>
      <w:r w:rsidR="004F1CC2" w:rsidRPr="00D5464D">
        <w:rPr>
          <w:rFonts w:cs="Arial"/>
          <w:szCs w:val="20"/>
          <w:lang w:val="pt-BR"/>
        </w:rPr>
        <w:t>escravo</w:t>
      </w:r>
      <w:r w:rsidR="00D81AA1" w:rsidRPr="00D5464D">
        <w:rPr>
          <w:rFonts w:cs="Arial"/>
          <w:szCs w:val="20"/>
          <w:lang w:val="pt-BR"/>
        </w:rPr>
        <w:t>,</w:t>
      </w:r>
      <w:r w:rsidR="002C330E" w:rsidRPr="00D5464D">
        <w:rPr>
          <w:rFonts w:cs="Arial"/>
          <w:szCs w:val="20"/>
          <w:lang w:val="pt-BR"/>
        </w:rPr>
        <w:t xml:space="preserve"> pois</w:t>
      </w:r>
      <w:r w:rsidR="00340FA0" w:rsidRPr="00D5464D">
        <w:rPr>
          <w:rFonts w:cs="Arial"/>
          <w:szCs w:val="20"/>
          <w:lang w:val="pt-BR"/>
        </w:rPr>
        <w:t>,</w:t>
      </w:r>
      <w:r w:rsidR="00737270" w:rsidRPr="00D5464D">
        <w:rPr>
          <w:rFonts w:cs="Arial"/>
          <w:szCs w:val="20"/>
          <w:lang w:val="pt-BR"/>
        </w:rPr>
        <w:t xml:space="preserve"> apesar </w:t>
      </w:r>
      <w:r w:rsidR="00D81AA1" w:rsidRPr="00D5464D">
        <w:rPr>
          <w:rFonts w:cs="Arial"/>
          <w:szCs w:val="20"/>
          <w:lang w:val="pt-BR"/>
        </w:rPr>
        <w:t xml:space="preserve">de </w:t>
      </w:r>
      <w:r w:rsidR="006B5425" w:rsidRPr="00D5464D">
        <w:rPr>
          <w:rFonts w:cs="Arial"/>
          <w:szCs w:val="20"/>
          <w:lang w:val="pt-BR"/>
        </w:rPr>
        <w:t xml:space="preserve">ter conhecimento </w:t>
      </w:r>
      <w:r w:rsidR="00340FA0" w:rsidRPr="00D5464D">
        <w:rPr>
          <w:rFonts w:cs="Arial"/>
          <w:szCs w:val="20"/>
          <w:lang w:val="pt-BR"/>
        </w:rPr>
        <w:t xml:space="preserve">sobre </w:t>
      </w:r>
      <w:r w:rsidRPr="00D5464D">
        <w:rPr>
          <w:rFonts w:cs="Arial"/>
          <w:szCs w:val="20"/>
          <w:lang w:val="pt-BR"/>
        </w:rPr>
        <w:t xml:space="preserve">a </w:t>
      </w:r>
      <w:r w:rsidR="00E045D9" w:rsidRPr="00D5464D">
        <w:rPr>
          <w:rFonts w:cs="Arial"/>
          <w:szCs w:val="20"/>
          <w:lang w:val="pt-BR"/>
        </w:rPr>
        <w:t>existência</w:t>
      </w:r>
      <w:r w:rsidR="00D81AA1" w:rsidRPr="00D5464D">
        <w:rPr>
          <w:rFonts w:cs="Arial"/>
          <w:szCs w:val="20"/>
          <w:lang w:val="pt-BR"/>
        </w:rPr>
        <w:t xml:space="preserve"> </w:t>
      </w:r>
      <w:r w:rsidR="00E045D9" w:rsidRPr="00D5464D">
        <w:rPr>
          <w:rFonts w:cs="Arial"/>
          <w:szCs w:val="20"/>
          <w:lang w:val="pt-BR"/>
        </w:rPr>
        <w:t>dessa</w:t>
      </w:r>
      <w:r w:rsidRPr="00D5464D">
        <w:rPr>
          <w:rFonts w:cs="Arial"/>
          <w:szCs w:val="20"/>
          <w:lang w:val="pt-BR"/>
        </w:rPr>
        <w:t xml:space="preserve"> </w:t>
      </w:r>
      <w:r w:rsidR="00D81AA1" w:rsidRPr="00D5464D">
        <w:rPr>
          <w:rFonts w:cs="Arial"/>
          <w:szCs w:val="20"/>
          <w:lang w:val="pt-BR"/>
        </w:rPr>
        <w:t>situa</w:t>
      </w:r>
      <w:r w:rsidRPr="00D5464D">
        <w:rPr>
          <w:rFonts w:cs="Arial"/>
          <w:szCs w:val="20"/>
          <w:lang w:val="pt-BR"/>
        </w:rPr>
        <w:t>ção</w:t>
      </w:r>
      <w:r w:rsidR="00D81AA1" w:rsidRPr="00D5464D">
        <w:rPr>
          <w:rFonts w:cs="Arial"/>
          <w:szCs w:val="20"/>
          <w:lang w:val="pt-BR"/>
        </w:rPr>
        <w:t xml:space="preserve"> desde 1988</w:t>
      </w:r>
      <w:r w:rsidR="00E045D9" w:rsidRPr="00D5464D">
        <w:rPr>
          <w:rFonts w:cs="Arial"/>
          <w:szCs w:val="20"/>
          <w:lang w:val="pt-BR"/>
        </w:rPr>
        <w:t xml:space="preserve"> na </w:t>
      </w:r>
      <w:r w:rsidR="00D809F0" w:rsidRPr="00D5464D">
        <w:rPr>
          <w:rFonts w:cs="Arial"/>
          <w:szCs w:val="20"/>
          <w:lang w:val="pt-BR"/>
        </w:rPr>
        <w:t>Fazenda</w:t>
      </w:r>
      <w:r w:rsidR="00D81AA1" w:rsidRPr="00D5464D">
        <w:rPr>
          <w:rFonts w:cs="Arial"/>
          <w:szCs w:val="20"/>
          <w:lang w:val="pt-BR"/>
        </w:rPr>
        <w:t xml:space="preserve"> Brasil Verde,</w:t>
      </w:r>
      <w:r w:rsidRPr="00D5464D">
        <w:rPr>
          <w:rFonts w:cs="Arial"/>
          <w:szCs w:val="20"/>
          <w:lang w:val="pt-BR"/>
        </w:rPr>
        <w:t xml:space="preserve"> através das denúncias </w:t>
      </w:r>
      <w:r w:rsidR="00D81AA1" w:rsidRPr="00D5464D">
        <w:rPr>
          <w:rFonts w:cs="Arial"/>
          <w:szCs w:val="20"/>
          <w:lang w:val="pt-BR"/>
        </w:rPr>
        <w:t xml:space="preserve">que </w:t>
      </w:r>
      <w:r w:rsidR="00737270" w:rsidRPr="00D5464D">
        <w:rPr>
          <w:rFonts w:cs="Arial"/>
          <w:szCs w:val="20"/>
          <w:lang w:val="pt-BR"/>
        </w:rPr>
        <w:t xml:space="preserve">haviam </w:t>
      </w:r>
      <w:r w:rsidR="00340FA0" w:rsidRPr="00D5464D">
        <w:rPr>
          <w:rFonts w:cs="Arial"/>
          <w:szCs w:val="20"/>
          <w:lang w:val="pt-BR"/>
        </w:rPr>
        <w:t>sido feitas</w:t>
      </w:r>
      <w:r w:rsidR="00D81AA1" w:rsidRPr="00D5464D">
        <w:rPr>
          <w:rFonts w:cs="Arial"/>
          <w:szCs w:val="20"/>
          <w:lang w:val="pt-BR"/>
        </w:rPr>
        <w:t xml:space="preserve">, </w:t>
      </w:r>
      <w:r w:rsidR="00737270" w:rsidRPr="00D5464D">
        <w:rPr>
          <w:rFonts w:cs="Arial"/>
          <w:szCs w:val="20"/>
          <w:lang w:val="pt-BR"/>
        </w:rPr>
        <w:t>não foi</w:t>
      </w:r>
      <w:r w:rsidRPr="00D5464D">
        <w:rPr>
          <w:rFonts w:cs="Arial"/>
          <w:szCs w:val="20"/>
          <w:lang w:val="pt-BR"/>
        </w:rPr>
        <w:t xml:space="preserve"> </w:t>
      </w:r>
      <w:r w:rsidR="00D81AA1" w:rsidRPr="00D5464D">
        <w:rPr>
          <w:rFonts w:cs="Arial"/>
          <w:szCs w:val="20"/>
          <w:lang w:val="pt-BR"/>
        </w:rPr>
        <w:t>diligente para determinar</w:t>
      </w:r>
      <w:r w:rsidR="002C330E" w:rsidRPr="00D5464D">
        <w:rPr>
          <w:rFonts w:cs="Arial"/>
          <w:szCs w:val="20"/>
          <w:lang w:val="pt-BR"/>
        </w:rPr>
        <w:t xml:space="preserve"> a responsabilidade </w:t>
      </w:r>
      <w:r w:rsidRPr="00D5464D">
        <w:rPr>
          <w:rFonts w:cs="Arial"/>
          <w:szCs w:val="20"/>
          <w:lang w:val="pt-BR"/>
        </w:rPr>
        <w:t xml:space="preserve">dos </w:t>
      </w:r>
      <w:r w:rsidR="002C330E" w:rsidRPr="00D5464D">
        <w:rPr>
          <w:rFonts w:cs="Arial"/>
          <w:szCs w:val="20"/>
          <w:lang w:val="pt-BR"/>
        </w:rPr>
        <w:t>fatos</w:t>
      </w:r>
      <w:r w:rsidR="00D81AA1" w:rsidRPr="00D5464D">
        <w:rPr>
          <w:rFonts w:cs="Arial"/>
          <w:szCs w:val="20"/>
          <w:lang w:val="pt-BR"/>
        </w:rPr>
        <w:t>.</w:t>
      </w:r>
      <w:r w:rsidR="00FF1290" w:rsidRPr="00D5464D">
        <w:rPr>
          <w:rFonts w:cs="Arial"/>
          <w:szCs w:val="20"/>
          <w:lang w:val="pt-BR"/>
        </w:rPr>
        <w:t xml:space="preserve"> </w:t>
      </w:r>
    </w:p>
    <w:p w14:paraId="38EF6623" w14:textId="77777777" w:rsidR="00DE3E58" w:rsidRPr="00D5464D" w:rsidRDefault="00DE3E58" w:rsidP="00DE3E58">
      <w:pPr>
        <w:pStyle w:val="Prrafodelista"/>
        <w:autoSpaceDE w:val="0"/>
        <w:autoSpaceDN w:val="0"/>
        <w:adjustRightInd w:val="0"/>
        <w:ind w:left="0"/>
        <w:contextualSpacing w:val="0"/>
        <w:rPr>
          <w:rFonts w:cs="Arial"/>
          <w:szCs w:val="20"/>
          <w:lang w:val="pt-BR"/>
        </w:rPr>
      </w:pPr>
    </w:p>
    <w:p w14:paraId="30F1F1D1" w14:textId="67C614C8" w:rsidR="00D81AA1" w:rsidRPr="00D5464D" w:rsidRDefault="00470ADC" w:rsidP="00D81AA1">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A Comissão</w:t>
      </w:r>
      <w:r w:rsidR="00D81AA1" w:rsidRPr="00D5464D">
        <w:rPr>
          <w:rFonts w:cs="Arial"/>
          <w:szCs w:val="20"/>
          <w:lang w:val="pt-BR"/>
        </w:rPr>
        <w:t xml:space="preserve"> </w:t>
      </w:r>
      <w:r w:rsidR="002C330E" w:rsidRPr="00D5464D">
        <w:rPr>
          <w:rFonts w:cs="Arial"/>
          <w:szCs w:val="20"/>
          <w:lang w:val="pt-BR"/>
        </w:rPr>
        <w:t>afirmou</w:t>
      </w:r>
      <w:r w:rsidR="00D81AA1" w:rsidRPr="00D5464D">
        <w:rPr>
          <w:rFonts w:cs="Arial"/>
          <w:szCs w:val="20"/>
          <w:lang w:val="pt-BR"/>
        </w:rPr>
        <w:t xml:space="preserve"> que</w:t>
      </w:r>
      <w:r w:rsidRPr="00D5464D">
        <w:rPr>
          <w:rFonts w:cs="Arial"/>
          <w:szCs w:val="20"/>
          <w:lang w:val="pt-BR"/>
        </w:rPr>
        <w:t xml:space="preserve"> o </w:t>
      </w:r>
      <w:r w:rsidR="002C330E" w:rsidRPr="00D5464D">
        <w:rPr>
          <w:rFonts w:cs="Arial"/>
          <w:szCs w:val="20"/>
          <w:lang w:val="pt-BR"/>
        </w:rPr>
        <w:t>processo</w:t>
      </w:r>
      <w:r w:rsidR="00D81AA1" w:rsidRPr="00D5464D">
        <w:rPr>
          <w:rFonts w:cs="Arial"/>
          <w:szCs w:val="20"/>
          <w:lang w:val="pt-BR"/>
        </w:rPr>
        <w:t xml:space="preserve"> penal </w:t>
      </w:r>
      <w:r w:rsidR="00DF6BC2" w:rsidRPr="00D5464D">
        <w:rPr>
          <w:rFonts w:cs="Arial"/>
          <w:szCs w:val="20"/>
          <w:lang w:val="pt-BR"/>
        </w:rPr>
        <w:t xml:space="preserve">iniciado </w:t>
      </w:r>
      <w:r w:rsidRPr="00D5464D">
        <w:rPr>
          <w:rFonts w:cs="Arial"/>
          <w:szCs w:val="20"/>
          <w:lang w:val="pt-BR"/>
        </w:rPr>
        <w:t xml:space="preserve">em </w:t>
      </w:r>
      <w:r w:rsidR="002C330E" w:rsidRPr="00D5464D">
        <w:rPr>
          <w:rFonts w:cs="Arial"/>
          <w:szCs w:val="20"/>
          <w:lang w:val="pt-BR"/>
        </w:rPr>
        <w:t>junho</w:t>
      </w:r>
      <w:r w:rsidR="00D81AA1" w:rsidRPr="00D5464D">
        <w:rPr>
          <w:rFonts w:cs="Arial"/>
          <w:szCs w:val="20"/>
          <w:lang w:val="pt-BR"/>
        </w:rPr>
        <w:t xml:space="preserve"> de 1997</w:t>
      </w:r>
      <w:r w:rsidR="00E045D9" w:rsidRPr="00D5464D">
        <w:rPr>
          <w:rFonts w:cs="Arial"/>
          <w:szCs w:val="20"/>
          <w:lang w:val="pt-BR"/>
        </w:rPr>
        <w:t xml:space="preserve"> e </w:t>
      </w:r>
      <w:r w:rsidR="00DF6BC2" w:rsidRPr="00D5464D">
        <w:rPr>
          <w:rFonts w:cs="Arial"/>
          <w:szCs w:val="20"/>
          <w:lang w:val="pt-BR"/>
        </w:rPr>
        <w:t xml:space="preserve">finalizado </w:t>
      </w:r>
      <w:r w:rsidRPr="00D5464D">
        <w:rPr>
          <w:rFonts w:cs="Arial"/>
          <w:szCs w:val="20"/>
          <w:lang w:val="pt-BR"/>
        </w:rPr>
        <w:t xml:space="preserve">em </w:t>
      </w:r>
      <w:r w:rsidR="00D81AA1" w:rsidRPr="00D5464D">
        <w:rPr>
          <w:rFonts w:cs="Arial"/>
          <w:szCs w:val="20"/>
          <w:lang w:val="pt-BR"/>
        </w:rPr>
        <w:t xml:space="preserve">2008 </w:t>
      </w:r>
      <w:r w:rsidRPr="00D5464D">
        <w:rPr>
          <w:rFonts w:cs="Arial"/>
          <w:szCs w:val="20"/>
          <w:lang w:val="pt-BR"/>
        </w:rPr>
        <w:t>esteve</w:t>
      </w:r>
      <w:r w:rsidR="00D81AA1" w:rsidRPr="00D5464D">
        <w:rPr>
          <w:rFonts w:cs="Arial"/>
          <w:szCs w:val="20"/>
          <w:lang w:val="pt-BR"/>
        </w:rPr>
        <w:t xml:space="preserve"> caracterizado</w:t>
      </w:r>
      <w:r w:rsidR="002C330E" w:rsidRPr="00D5464D">
        <w:rPr>
          <w:rFonts w:cs="Arial"/>
          <w:szCs w:val="20"/>
          <w:lang w:val="pt-BR"/>
        </w:rPr>
        <w:t xml:space="preserve"> </w:t>
      </w:r>
      <w:r w:rsidR="00DF6BC2" w:rsidRPr="00D5464D">
        <w:rPr>
          <w:rFonts w:cs="Arial"/>
          <w:szCs w:val="20"/>
          <w:lang w:val="pt-BR"/>
        </w:rPr>
        <w:t xml:space="preserve">por </w:t>
      </w:r>
      <w:r w:rsidRPr="00D5464D">
        <w:rPr>
          <w:rFonts w:cs="Arial"/>
          <w:szCs w:val="20"/>
          <w:lang w:val="pt-BR"/>
        </w:rPr>
        <w:t>fato</w:t>
      </w:r>
      <w:r w:rsidR="00D81AA1" w:rsidRPr="00D5464D">
        <w:rPr>
          <w:rFonts w:cs="Arial"/>
          <w:szCs w:val="20"/>
          <w:lang w:val="pt-BR"/>
        </w:rPr>
        <w:t xml:space="preserve">res </w:t>
      </w:r>
      <w:r w:rsidR="00737270" w:rsidRPr="00D5464D">
        <w:rPr>
          <w:rFonts w:cs="Arial"/>
          <w:szCs w:val="20"/>
          <w:lang w:val="pt-BR"/>
        </w:rPr>
        <w:t>estruturais</w:t>
      </w:r>
      <w:r w:rsidR="00D81AA1" w:rsidRPr="00D5464D">
        <w:rPr>
          <w:rFonts w:cs="Arial"/>
          <w:szCs w:val="20"/>
          <w:lang w:val="pt-BR"/>
        </w:rPr>
        <w:t xml:space="preserve"> de impu</w:t>
      </w:r>
      <w:r w:rsidR="00737270" w:rsidRPr="00D5464D">
        <w:rPr>
          <w:rFonts w:cs="Arial"/>
          <w:szCs w:val="20"/>
          <w:lang w:val="pt-BR"/>
        </w:rPr>
        <w:t xml:space="preserve">nidade, </w:t>
      </w:r>
      <w:r w:rsidR="00D81AA1" w:rsidRPr="00D5464D">
        <w:rPr>
          <w:rFonts w:cs="Arial"/>
          <w:szCs w:val="20"/>
          <w:lang w:val="pt-BR"/>
        </w:rPr>
        <w:t>a saber: i)</w:t>
      </w:r>
      <w:r w:rsidR="002C330E" w:rsidRPr="00D5464D">
        <w:rPr>
          <w:rFonts w:cs="Arial"/>
          <w:szCs w:val="20"/>
          <w:lang w:val="pt-BR"/>
        </w:rPr>
        <w:t xml:space="preserve"> a </w:t>
      </w:r>
      <w:r w:rsidR="00E045D9" w:rsidRPr="00D5464D">
        <w:rPr>
          <w:rFonts w:cs="Arial"/>
          <w:szCs w:val="20"/>
          <w:lang w:val="pt-BR"/>
        </w:rPr>
        <w:t>existência</w:t>
      </w:r>
      <w:r w:rsidR="00D81AA1" w:rsidRPr="00D5464D">
        <w:rPr>
          <w:rFonts w:cs="Arial"/>
          <w:szCs w:val="20"/>
          <w:lang w:val="pt-BR"/>
        </w:rPr>
        <w:t xml:space="preserve"> de</w:t>
      </w:r>
      <w:r w:rsidR="00E045D9" w:rsidRPr="00D5464D">
        <w:rPr>
          <w:rFonts w:cs="Arial"/>
          <w:szCs w:val="20"/>
          <w:lang w:val="pt-BR"/>
        </w:rPr>
        <w:t xml:space="preserve"> uma </w:t>
      </w:r>
      <w:r w:rsidR="00D81AA1" w:rsidRPr="00D5464D">
        <w:rPr>
          <w:rFonts w:cs="Arial"/>
          <w:szCs w:val="20"/>
          <w:lang w:val="pt-BR"/>
        </w:rPr>
        <w:t>demora injustificada causada</w:t>
      </w:r>
      <w:r w:rsidR="002C330E" w:rsidRPr="00D5464D">
        <w:rPr>
          <w:rFonts w:cs="Arial"/>
          <w:szCs w:val="20"/>
          <w:lang w:val="pt-BR"/>
        </w:rPr>
        <w:t xml:space="preserve"> pelo </w:t>
      </w:r>
      <w:r w:rsidRPr="00D5464D">
        <w:rPr>
          <w:rFonts w:cs="Arial"/>
          <w:szCs w:val="20"/>
          <w:lang w:val="pt-BR"/>
        </w:rPr>
        <w:t>conflito</w:t>
      </w:r>
      <w:r w:rsidR="00D81AA1" w:rsidRPr="00D5464D">
        <w:rPr>
          <w:rFonts w:cs="Arial"/>
          <w:szCs w:val="20"/>
          <w:lang w:val="pt-BR"/>
        </w:rPr>
        <w:t xml:space="preserve"> </w:t>
      </w:r>
      <w:r w:rsidR="00DF6BC2" w:rsidRPr="00D5464D">
        <w:rPr>
          <w:rFonts w:cs="Arial"/>
          <w:szCs w:val="20"/>
          <w:lang w:val="pt-BR"/>
        </w:rPr>
        <w:t xml:space="preserve">de competências </w:t>
      </w:r>
      <w:r w:rsidR="00D81AA1" w:rsidRPr="00D5464D">
        <w:rPr>
          <w:rFonts w:cs="Arial"/>
          <w:szCs w:val="20"/>
          <w:lang w:val="pt-BR"/>
        </w:rPr>
        <w:t>entre</w:t>
      </w:r>
      <w:r w:rsidR="002C330E" w:rsidRPr="00D5464D">
        <w:rPr>
          <w:rFonts w:cs="Arial"/>
          <w:szCs w:val="20"/>
          <w:lang w:val="pt-BR"/>
        </w:rPr>
        <w:t xml:space="preserve"> os </w:t>
      </w:r>
      <w:r w:rsidRPr="00D5464D">
        <w:rPr>
          <w:rFonts w:cs="Arial"/>
          <w:szCs w:val="20"/>
          <w:lang w:val="pt-BR"/>
        </w:rPr>
        <w:t>âmbito</w:t>
      </w:r>
      <w:r w:rsidR="00D81AA1" w:rsidRPr="00D5464D">
        <w:rPr>
          <w:rFonts w:cs="Arial"/>
          <w:szCs w:val="20"/>
          <w:lang w:val="pt-BR"/>
        </w:rPr>
        <w:t>s federal</w:t>
      </w:r>
      <w:r w:rsidR="00E045D9" w:rsidRPr="00D5464D">
        <w:rPr>
          <w:rFonts w:cs="Arial"/>
          <w:szCs w:val="20"/>
          <w:lang w:val="pt-BR"/>
        </w:rPr>
        <w:t xml:space="preserve"> e </w:t>
      </w:r>
      <w:r w:rsidR="00D81AA1" w:rsidRPr="00D5464D">
        <w:rPr>
          <w:rFonts w:cs="Arial"/>
          <w:szCs w:val="20"/>
          <w:lang w:val="pt-BR"/>
        </w:rPr>
        <w:t xml:space="preserve">estadual, </w:t>
      </w:r>
      <w:r w:rsidRPr="00D5464D">
        <w:rPr>
          <w:rFonts w:cs="Arial"/>
          <w:szCs w:val="20"/>
          <w:lang w:val="pt-BR"/>
        </w:rPr>
        <w:t>cujo</w:t>
      </w:r>
      <w:r w:rsidR="00D81AA1" w:rsidRPr="00D5464D">
        <w:rPr>
          <w:rFonts w:cs="Arial"/>
          <w:szCs w:val="20"/>
          <w:lang w:val="pt-BR"/>
        </w:rPr>
        <w:t xml:space="preserve"> </w:t>
      </w:r>
      <w:r w:rsidR="00E045D9" w:rsidRPr="00D5464D">
        <w:rPr>
          <w:rFonts w:cs="Arial"/>
          <w:szCs w:val="20"/>
          <w:lang w:val="pt-BR"/>
        </w:rPr>
        <w:t>trâmite</w:t>
      </w:r>
      <w:r w:rsidR="00D81AA1" w:rsidRPr="00D5464D">
        <w:rPr>
          <w:rFonts w:cs="Arial"/>
          <w:szCs w:val="20"/>
          <w:lang w:val="pt-BR"/>
        </w:rPr>
        <w:t xml:space="preserve"> </w:t>
      </w:r>
      <w:r w:rsidR="00A1358C" w:rsidRPr="00D5464D">
        <w:rPr>
          <w:rFonts w:cs="Arial"/>
          <w:szCs w:val="20"/>
          <w:lang w:val="pt-BR"/>
        </w:rPr>
        <w:t>durou</w:t>
      </w:r>
      <w:r w:rsidR="00D81AA1" w:rsidRPr="00D5464D">
        <w:rPr>
          <w:rFonts w:cs="Arial"/>
          <w:szCs w:val="20"/>
          <w:lang w:val="pt-BR"/>
        </w:rPr>
        <w:t xml:space="preserve"> </w:t>
      </w:r>
      <w:r w:rsidRPr="00D5464D">
        <w:rPr>
          <w:rFonts w:cs="Arial"/>
          <w:szCs w:val="20"/>
          <w:lang w:val="pt-BR"/>
        </w:rPr>
        <w:t xml:space="preserve">quase </w:t>
      </w:r>
      <w:r w:rsidR="00D81AA1" w:rsidRPr="00D5464D">
        <w:rPr>
          <w:rFonts w:cs="Arial"/>
          <w:szCs w:val="20"/>
          <w:lang w:val="pt-BR"/>
        </w:rPr>
        <w:t xml:space="preserve">10 </w:t>
      </w:r>
      <w:r w:rsidRPr="00D5464D">
        <w:rPr>
          <w:rFonts w:cs="Arial"/>
          <w:szCs w:val="20"/>
          <w:lang w:val="pt-BR"/>
        </w:rPr>
        <w:t>anos</w:t>
      </w:r>
      <w:r w:rsidR="00D81AA1" w:rsidRPr="00D5464D">
        <w:rPr>
          <w:rFonts w:cs="Arial"/>
          <w:szCs w:val="20"/>
          <w:lang w:val="pt-BR"/>
        </w:rPr>
        <w:t>; ii)</w:t>
      </w:r>
      <w:r w:rsidR="002C330E" w:rsidRPr="00D5464D">
        <w:rPr>
          <w:rFonts w:cs="Arial"/>
          <w:szCs w:val="20"/>
          <w:lang w:val="pt-BR"/>
        </w:rPr>
        <w:t xml:space="preserve"> a </w:t>
      </w:r>
      <w:r w:rsidRPr="00D5464D">
        <w:rPr>
          <w:rFonts w:cs="Arial"/>
          <w:szCs w:val="20"/>
          <w:lang w:val="pt-BR"/>
        </w:rPr>
        <w:t>ausência</w:t>
      </w:r>
      <w:r w:rsidR="00D81AA1" w:rsidRPr="00D5464D">
        <w:rPr>
          <w:rFonts w:cs="Arial"/>
          <w:szCs w:val="20"/>
          <w:lang w:val="pt-BR"/>
        </w:rPr>
        <w:t xml:space="preserve"> de</w:t>
      </w:r>
      <w:r w:rsidR="00E045D9" w:rsidRPr="00D5464D">
        <w:rPr>
          <w:rFonts w:cs="Arial"/>
          <w:szCs w:val="20"/>
          <w:lang w:val="pt-BR"/>
        </w:rPr>
        <w:t xml:space="preserve"> uma </w:t>
      </w:r>
      <w:r w:rsidRPr="00D5464D">
        <w:rPr>
          <w:rFonts w:cs="Arial"/>
          <w:szCs w:val="20"/>
          <w:lang w:val="pt-BR"/>
        </w:rPr>
        <w:t>autêntica</w:t>
      </w:r>
      <w:r w:rsidR="00D81AA1" w:rsidRPr="00D5464D">
        <w:rPr>
          <w:rFonts w:cs="Arial"/>
          <w:szCs w:val="20"/>
          <w:lang w:val="pt-BR"/>
        </w:rPr>
        <w:t xml:space="preserve"> </w:t>
      </w:r>
      <w:r w:rsidR="00E045D9" w:rsidRPr="00D5464D">
        <w:rPr>
          <w:rFonts w:cs="Arial"/>
          <w:szCs w:val="20"/>
          <w:lang w:val="pt-BR"/>
        </w:rPr>
        <w:t xml:space="preserve">vontade </w:t>
      </w:r>
      <w:r w:rsidR="00D81AA1" w:rsidRPr="00D5464D">
        <w:rPr>
          <w:rFonts w:cs="Arial"/>
          <w:szCs w:val="20"/>
          <w:lang w:val="pt-BR"/>
        </w:rPr>
        <w:t>de investigar</w:t>
      </w:r>
      <w:r w:rsidRPr="00D5464D">
        <w:rPr>
          <w:rFonts w:cs="Arial"/>
          <w:szCs w:val="20"/>
          <w:lang w:val="pt-BR"/>
        </w:rPr>
        <w:t xml:space="preserve"> com</w:t>
      </w:r>
      <w:r w:rsidR="002C330E" w:rsidRPr="00D5464D">
        <w:rPr>
          <w:rFonts w:cs="Arial"/>
          <w:szCs w:val="20"/>
          <w:lang w:val="pt-BR"/>
        </w:rPr>
        <w:t xml:space="preserve"> a </w:t>
      </w:r>
      <w:r w:rsidRPr="00D5464D">
        <w:rPr>
          <w:rFonts w:cs="Arial"/>
          <w:szCs w:val="20"/>
          <w:lang w:val="pt-BR"/>
        </w:rPr>
        <w:t>devida diligência</w:t>
      </w:r>
      <w:r w:rsidR="00D81AA1" w:rsidRPr="00D5464D">
        <w:rPr>
          <w:rFonts w:cs="Arial"/>
          <w:szCs w:val="20"/>
          <w:lang w:val="pt-BR"/>
        </w:rPr>
        <w:t>; iii)</w:t>
      </w:r>
      <w:r w:rsidR="002C330E" w:rsidRPr="00D5464D">
        <w:rPr>
          <w:rFonts w:cs="Arial"/>
          <w:szCs w:val="20"/>
          <w:lang w:val="pt-BR"/>
        </w:rPr>
        <w:t xml:space="preserve"> a </w:t>
      </w:r>
      <w:r w:rsidR="00D81AA1" w:rsidRPr="00D5464D">
        <w:rPr>
          <w:rFonts w:cs="Arial"/>
          <w:szCs w:val="20"/>
          <w:lang w:val="pt-BR"/>
        </w:rPr>
        <w:t>op</w:t>
      </w:r>
      <w:r w:rsidRPr="00D5464D">
        <w:rPr>
          <w:rFonts w:cs="Arial"/>
          <w:szCs w:val="20"/>
          <w:lang w:val="pt-BR"/>
        </w:rPr>
        <w:t>ção</w:t>
      </w:r>
      <w:r w:rsidR="00D81AA1" w:rsidRPr="00D5464D">
        <w:rPr>
          <w:rFonts w:cs="Arial"/>
          <w:szCs w:val="20"/>
          <w:lang w:val="pt-BR"/>
        </w:rPr>
        <w:t xml:space="preserve"> dada</w:t>
      </w:r>
      <w:r w:rsidRPr="00D5464D">
        <w:rPr>
          <w:rFonts w:cs="Arial"/>
          <w:szCs w:val="20"/>
          <w:lang w:val="pt-BR"/>
        </w:rPr>
        <w:t xml:space="preserve"> ao </w:t>
      </w:r>
      <w:r w:rsidR="00DF6BC2" w:rsidRPr="00D5464D">
        <w:rPr>
          <w:rFonts w:cs="Arial"/>
          <w:szCs w:val="20"/>
          <w:lang w:val="pt-BR"/>
        </w:rPr>
        <w:t xml:space="preserve">proprietário </w:t>
      </w:r>
      <w:r w:rsidRPr="00D5464D">
        <w:rPr>
          <w:rFonts w:cs="Arial"/>
          <w:szCs w:val="20"/>
          <w:lang w:val="pt-BR"/>
        </w:rPr>
        <w:t xml:space="preserve">da </w:t>
      </w:r>
      <w:r w:rsidR="00D809F0" w:rsidRPr="00D5464D">
        <w:rPr>
          <w:rFonts w:cs="Arial"/>
          <w:szCs w:val="20"/>
          <w:lang w:val="pt-BR"/>
        </w:rPr>
        <w:t>fazenda</w:t>
      </w:r>
      <w:r w:rsidR="00D81AA1" w:rsidRPr="00D5464D">
        <w:rPr>
          <w:rFonts w:cs="Arial"/>
          <w:szCs w:val="20"/>
          <w:lang w:val="pt-BR"/>
        </w:rPr>
        <w:t xml:space="preserve"> </w:t>
      </w:r>
      <w:r w:rsidR="00DF6BC2" w:rsidRPr="00D5464D">
        <w:rPr>
          <w:rFonts w:cs="Arial"/>
          <w:szCs w:val="20"/>
          <w:lang w:val="pt-BR"/>
        </w:rPr>
        <w:t xml:space="preserve">de </w:t>
      </w:r>
      <w:r w:rsidR="00D81AA1" w:rsidRPr="00D5464D">
        <w:rPr>
          <w:rFonts w:cs="Arial"/>
          <w:szCs w:val="20"/>
          <w:lang w:val="pt-BR"/>
        </w:rPr>
        <w:t>sus</w:t>
      </w:r>
      <w:r w:rsidR="002C330E" w:rsidRPr="00D5464D">
        <w:rPr>
          <w:rFonts w:cs="Arial"/>
          <w:szCs w:val="20"/>
          <w:lang w:val="pt-BR"/>
        </w:rPr>
        <w:t>pen</w:t>
      </w:r>
      <w:r w:rsidR="00DF6BC2" w:rsidRPr="00D5464D">
        <w:rPr>
          <w:rFonts w:cs="Arial"/>
          <w:szCs w:val="20"/>
          <w:lang w:val="pt-BR"/>
        </w:rPr>
        <w:t>der</w:t>
      </w:r>
      <w:r w:rsidR="00D81AA1" w:rsidRPr="00D5464D">
        <w:rPr>
          <w:rFonts w:cs="Arial"/>
          <w:szCs w:val="20"/>
          <w:lang w:val="pt-BR"/>
        </w:rPr>
        <w:t xml:space="preserve"> </w:t>
      </w:r>
      <w:r w:rsidRPr="00D5464D">
        <w:rPr>
          <w:rFonts w:cs="Arial"/>
          <w:szCs w:val="20"/>
          <w:lang w:val="pt-BR"/>
        </w:rPr>
        <w:t xml:space="preserve">o </w:t>
      </w:r>
      <w:r w:rsidR="002C330E" w:rsidRPr="00D5464D">
        <w:rPr>
          <w:rFonts w:cs="Arial"/>
          <w:szCs w:val="20"/>
          <w:lang w:val="pt-BR"/>
        </w:rPr>
        <w:t>processo</w:t>
      </w:r>
      <w:r w:rsidR="00D81AA1" w:rsidRPr="00D5464D">
        <w:rPr>
          <w:rFonts w:cs="Arial"/>
          <w:szCs w:val="20"/>
          <w:lang w:val="pt-BR"/>
        </w:rPr>
        <w:t xml:space="preserve"> </w:t>
      </w:r>
      <w:r w:rsidR="00DF6BC2" w:rsidRPr="00D5464D">
        <w:rPr>
          <w:rFonts w:cs="Arial"/>
          <w:szCs w:val="20"/>
          <w:lang w:val="pt-BR"/>
        </w:rPr>
        <w:t xml:space="preserve">em troca do pagamento de </w:t>
      </w:r>
      <w:r w:rsidR="00D81AA1" w:rsidRPr="00D5464D">
        <w:rPr>
          <w:rFonts w:cs="Arial"/>
          <w:szCs w:val="20"/>
          <w:lang w:val="pt-BR"/>
        </w:rPr>
        <w:t>cesta</w:t>
      </w:r>
      <w:r w:rsidR="00DF6BC2" w:rsidRPr="00D5464D">
        <w:rPr>
          <w:rFonts w:cs="Arial"/>
          <w:szCs w:val="20"/>
          <w:lang w:val="pt-BR"/>
        </w:rPr>
        <w:t>s</w:t>
      </w:r>
      <w:r w:rsidR="00D81AA1" w:rsidRPr="00D5464D">
        <w:rPr>
          <w:rFonts w:cs="Arial"/>
          <w:szCs w:val="20"/>
          <w:lang w:val="pt-BR"/>
        </w:rPr>
        <w:t xml:space="preserve"> básica</w:t>
      </w:r>
      <w:r w:rsidR="00DF6BC2" w:rsidRPr="00D5464D">
        <w:rPr>
          <w:rFonts w:cs="Arial"/>
          <w:szCs w:val="20"/>
          <w:lang w:val="pt-BR"/>
        </w:rPr>
        <w:t>s</w:t>
      </w:r>
      <w:r w:rsidR="00E045D9" w:rsidRPr="00D5464D">
        <w:rPr>
          <w:rFonts w:cs="Arial"/>
          <w:szCs w:val="20"/>
          <w:lang w:val="pt-BR"/>
        </w:rPr>
        <w:t xml:space="preserve"> às vítima</w:t>
      </w:r>
      <w:r w:rsidR="00D81AA1" w:rsidRPr="00D5464D">
        <w:rPr>
          <w:rFonts w:cs="Arial"/>
          <w:szCs w:val="20"/>
          <w:lang w:val="pt-BR"/>
        </w:rPr>
        <w:t>s</w:t>
      </w:r>
      <w:r w:rsidRPr="00D5464D">
        <w:rPr>
          <w:rFonts w:cs="Arial"/>
          <w:szCs w:val="20"/>
          <w:lang w:val="pt-BR"/>
        </w:rPr>
        <w:t>; e</w:t>
      </w:r>
      <w:r w:rsidR="00D81AA1" w:rsidRPr="00D5464D">
        <w:rPr>
          <w:rFonts w:cs="Arial"/>
          <w:szCs w:val="20"/>
          <w:lang w:val="pt-BR"/>
        </w:rPr>
        <w:t xml:space="preserve"> iv)</w:t>
      </w:r>
      <w:r w:rsidR="002C330E" w:rsidRPr="00D5464D">
        <w:rPr>
          <w:rFonts w:cs="Arial"/>
          <w:szCs w:val="20"/>
          <w:lang w:val="pt-BR"/>
        </w:rPr>
        <w:t xml:space="preserve"> a </w:t>
      </w:r>
      <w:r w:rsidR="00D81AA1" w:rsidRPr="00D5464D">
        <w:rPr>
          <w:rFonts w:cs="Arial"/>
          <w:szCs w:val="20"/>
          <w:lang w:val="pt-BR"/>
        </w:rPr>
        <w:t>extin</w:t>
      </w:r>
      <w:r w:rsidRPr="00D5464D">
        <w:rPr>
          <w:rFonts w:cs="Arial"/>
          <w:szCs w:val="20"/>
          <w:lang w:val="pt-BR"/>
        </w:rPr>
        <w:t xml:space="preserve">ção da </w:t>
      </w:r>
      <w:r w:rsidR="00D81AA1" w:rsidRPr="00D5464D">
        <w:rPr>
          <w:rFonts w:cs="Arial"/>
          <w:szCs w:val="20"/>
          <w:lang w:val="pt-BR"/>
        </w:rPr>
        <w:t>punibilidad</w:t>
      </w:r>
      <w:r w:rsidR="00DF6BC2" w:rsidRPr="00D5464D">
        <w:rPr>
          <w:rFonts w:cs="Arial"/>
          <w:szCs w:val="20"/>
          <w:lang w:val="pt-BR"/>
        </w:rPr>
        <w:t>e</w:t>
      </w:r>
      <w:r w:rsidR="00D81AA1" w:rsidRPr="00D5464D">
        <w:rPr>
          <w:rFonts w:cs="Arial"/>
          <w:szCs w:val="20"/>
          <w:lang w:val="pt-BR"/>
        </w:rPr>
        <w:t xml:space="preserve"> </w:t>
      </w:r>
      <w:r w:rsidR="00DF6BC2" w:rsidRPr="00D5464D">
        <w:rPr>
          <w:rFonts w:cs="Arial"/>
          <w:szCs w:val="20"/>
          <w:lang w:val="pt-BR"/>
        </w:rPr>
        <w:t xml:space="preserve">em virtude da </w:t>
      </w:r>
      <w:r w:rsidR="002C330E" w:rsidRPr="00D5464D">
        <w:rPr>
          <w:rFonts w:cs="Arial"/>
          <w:szCs w:val="20"/>
          <w:lang w:val="pt-BR"/>
        </w:rPr>
        <w:t>prescrição</w:t>
      </w:r>
      <w:r w:rsidR="00D81AA1" w:rsidRPr="00D5464D">
        <w:rPr>
          <w:rFonts w:cs="Arial"/>
          <w:szCs w:val="20"/>
          <w:lang w:val="pt-BR"/>
        </w:rPr>
        <w:t>, n</w:t>
      </w:r>
      <w:r w:rsidR="00DF6BC2" w:rsidRPr="00D5464D">
        <w:rPr>
          <w:rFonts w:cs="Arial"/>
          <w:szCs w:val="20"/>
          <w:lang w:val="pt-BR"/>
        </w:rPr>
        <w:t>ã</w:t>
      </w:r>
      <w:r w:rsidR="00D81AA1" w:rsidRPr="00D5464D">
        <w:rPr>
          <w:rFonts w:cs="Arial"/>
          <w:szCs w:val="20"/>
          <w:lang w:val="pt-BR"/>
        </w:rPr>
        <w:t xml:space="preserve">o obstante </w:t>
      </w:r>
      <w:r w:rsidR="00DF6BC2" w:rsidRPr="00D5464D">
        <w:rPr>
          <w:rFonts w:cs="Arial"/>
          <w:szCs w:val="20"/>
          <w:lang w:val="pt-BR"/>
        </w:rPr>
        <w:t xml:space="preserve">o fato de </w:t>
      </w:r>
      <w:r w:rsidR="002C330E" w:rsidRPr="00D5464D">
        <w:rPr>
          <w:rFonts w:cs="Arial"/>
          <w:szCs w:val="20"/>
          <w:lang w:val="pt-BR"/>
        </w:rPr>
        <w:t xml:space="preserve">as </w:t>
      </w:r>
      <w:r w:rsidRPr="00D5464D">
        <w:rPr>
          <w:rFonts w:cs="Arial"/>
          <w:szCs w:val="20"/>
          <w:lang w:val="pt-BR"/>
        </w:rPr>
        <w:t>conduta</w:t>
      </w:r>
      <w:r w:rsidR="00D81AA1" w:rsidRPr="00D5464D">
        <w:rPr>
          <w:rFonts w:cs="Arial"/>
          <w:szCs w:val="20"/>
          <w:lang w:val="pt-BR"/>
        </w:rPr>
        <w:t xml:space="preserve">s de </w:t>
      </w:r>
      <w:r w:rsidR="000B376D" w:rsidRPr="00D5464D">
        <w:rPr>
          <w:rFonts w:cs="Arial"/>
          <w:szCs w:val="20"/>
          <w:lang w:val="pt-BR"/>
        </w:rPr>
        <w:t>escravidão</w:t>
      </w:r>
      <w:r w:rsidR="00E045D9" w:rsidRPr="00D5464D">
        <w:rPr>
          <w:rFonts w:cs="Arial"/>
          <w:szCs w:val="20"/>
          <w:lang w:val="pt-BR"/>
        </w:rPr>
        <w:t xml:space="preserve"> e trabalho</w:t>
      </w:r>
      <w:r w:rsidR="001B63D0" w:rsidRPr="00D5464D">
        <w:rPr>
          <w:rFonts w:cs="Arial"/>
          <w:szCs w:val="20"/>
          <w:lang w:val="pt-BR"/>
        </w:rPr>
        <w:t xml:space="preserve"> </w:t>
      </w:r>
      <w:r w:rsidR="00230C71" w:rsidRPr="00D5464D">
        <w:rPr>
          <w:rFonts w:cs="Arial"/>
          <w:szCs w:val="20"/>
          <w:lang w:val="pt-BR"/>
        </w:rPr>
        <w:t>forçado</w:t>
      </w:r>
      <w:r w:rsidR="00D81AA1" w:rsidRPr="00D5464D">
        <w:rPr>
          <w:rFonts w:cs="Arial"/>
          <w:szCs w:val="20"/>
          <w:lang w:val="pt-BR"/>
        </w:rPr>
        <w:t xml:space="preserve"> </w:t>
      </w:r>
      <w:r w:rsidR="00DF6BC2" w:rsidRPr="00D5464D">
        <w:rPr>
          <w:rFonts w:cs="Arial"/>
          <w:szCs w:val="20"/>
          <w:lang w:val="pt-BR"/>
        </w:rPr>
        <w:t xml:space="preserve">constituírem </w:t>
      </w:r>
      <w:r w:rsidR="00D81AA1" w:rsidRPr="00D5464D">
        <w:rPr>
          <w:rFonts w:cs="Arial"/>
          <w:szCs w:val="20"/>
          <w:lang w:val="pt-BR"/>
        </w:rPr>
        <w:t>graves viola</w:t>
      </w:r>
      <w:r w:rsidRPr="00D5464D">
        <w:rPr>
          <w:rFonts w:cs="Arial"/>
          <w:szCs w:val="20"/>
          <w:lang w:val="pt-BR"/>
        </w:rPr>
        <w:t>ções</w:t>
      </w:r>
      <w:r w:rsidR="00D81AA1" w:rsidRPr="00D5464D">
        <w:rPr>
          <w:rFonts w:cs="Arial"/>
          <w:szCs w:val="20"/>
          <w:lang w:val="pt-BR"/>
        </w:rPr>
        <w:t xml:space="preserve"> de </w:t>
      </w:r>
      <w:r w:rsidRPr="00D5464D">
        <w:rPr>
          <w:rFonts w:cs="Arial"/>
          <w:szCs w:val="20"/>
          <w:lang w:val="pt-BR"/>
        </w:rPr>
        <w:t>direito</w:t>
      </w:r>
      <w:r w:rsidR="00D81AA1" w:rsidRPr="00D5464D">
        <w:rPr>
          <w:rFonts w:cs="Arial"/>
          <w:szCs w:val="20"/>
          <w:lang w:val="pt-BR"/>
        </w:rPr>
        <w:t xml:space="preserve">s humanos que, </w:t>
      </w:r>
      <w:r w:rsidR="00DF6BC2" w:rsidRPr="00D5464D">
        <w:rPr>
          <w:rFonts w:cs="Arial"/>
          <w:szCs w:val="20"/>
          <w:lang w:val="pt-BR"/>
        </w:rPr>
        <w:t xml:space="preserve">em conformidade com a </w:t>
      </w:r>
      <w:r w:rsidR="002C330E" w:rsidRPr="00D5464D">
        <w:rPr>
          <w:rFonts w:cs="Arial"/>
          <w:szCs w:val="20"/>
          <w:lang w:val="pt-BR"/>
        </w:rPr>
        <w:t xml:space="preserve">jurisprudência </w:t>
      </w:r>
      <w:r w:rsidRPr="00D5464D">
        <w:rPr>
          <w:rFonts w:cs="Arial"/>
          <w:szCs w:val="20"/>
          <w:lang w:val="pt-BR"/>
        </w:rPr>
        <w:t xml:space="preserve">da </w:t>
      </w:r>
      <w:r w:rsidR="00D81AA1" w:rsidRPr="00D5464D">
        <w:rPr>
          <w:rFonts w:cs="Arial"/>
          <w:szCs w:val="20"/>
          <w:lang w:val="pt-BR"/>
        </w:rPr>
        <w:t>Corte,</w:t>
      </w:r>
      <w:r w:rsidR="00A1358C" w:rsidRPr="00D5464D">
        <w:rPr>
          <w:rFonts w:cs="Arial"/>
          <w:szCs w:val="20"/>
          <w:lang w:val="pt-BR"/>
        </w:rPr>
        <w:t xml:space="preserve"> não devem</w:t>
      </w:r>
      <w:r w:rsidR="00D81AA1" w:rsidRPr="00D5464D">
        <w:rPr>
          <w:rFonts w:cs="Arial"/>
          <w:szCs w:val="20"/>
          <w:lang w:val="pt-BR"/>
        </w:rPr>
        <w:t xml:space="preserve"> estar </w:t>
      </w:r>
      <w:r w:rsidR="00E045D9" w:rsidRPr="00D5464D">
        <w:rPr>
          <w:rFonts w:cs="Arial"/>
          <w:szCs w:val="20"/>
          <w:lang w:val="pt-BR"/>
        </w:rPr>
        <w:t>sujeita</w:t>
      </w:r>
      <w:r w:rsidR="00D81AA1" w:rsidRPr="00D5464D">
        <w:rPr>
          <w:rFonts w:cs="Arial"/>
          <w:szCs w:val="20"/>
          <w:lang w:val="pt-BR"/>
        </w:rPr>
        <w:t xml:space="preserve">s a </w:t>
      </w:r>
      <w:r w:rsidRPr="00D5464D">
        <w:rPr>
          <w:rFonts w:cs="Arial"/>
          <w:szCs w:val="20"/>
          <w:lang w:val="pt-BR"/>
        </w:rPr>
        <w:t>esta</w:t>
      </w:r>
      <w:r w:rsidR="00D81AA1" w:rsidRPr="00D5464D">
        <w:rPr>
          <w:rFonts w:cs="Arial"/>
          <w:szCs w:val="20"/>
          <w:lang w:val="pt-BR"/>
        </w:rPr>
        <w:t xml:space="preserve"> figura.</w:t>
      </w:r>
    </w:p>
    <w:p w14:paraId="4CD6B8B0" w14:textId="77777777" w:rsidR="00D81AA1" w:rsidRPr="00D5464D" w:rsidRDefault="00D81AA1" w:rsidP="00D81AA1">
      <w:pPr>
        <w:autoSpaceDE w:val="0"/>
        <w:autoSpaceDN w:val="0"/>
        <w:adjustRightInd w:val="0"/>
        <w:rPr>
          <w:rFonts w:cs="Arial"/>
          <w:szCs w:val="20"/>
          <w:lang w:val="pt-BR"/>
        </w:rPr>
      </w:pPr>
    </w:p>
    <w:p w14:paraId="64782901" w14:textId="6932A852" w:rsidR="00D81AA1" w:rsidRPr="00D5464D" w:rsidRDefault="00350187" w:rsidP="00D81AA1">
      <w:pPr>
        <w:pStyle w:val="Prrafodelista"/>
        <w:numPr>
          <w:ilvl w:val="0"/>
          <w:numId w:val="1"/>
        </w:numPr>
        <w:autoSpaceDE w:val="0"/>
        <w:autoSpaceDN w:val="0"/>
        <w:adjustRightInd w:val="0"/>
        <w:contextualSpacing w:val="0"/>
        <w:rPr>
          <w:rFonts w:cs="Arial"/>
          <w:b/>
          <w:szCs w:val="20"/>
          <w:lang w:val="pt-BR"/>
        </w:rPr>
      </w:pPr>
      <w:r w:rsidRPr="00D5464D">
        <w:rPr>
          <w:rFonts w:cs="Arial"/>
          <w:szCs w:val="20"/>
          <w:lang w:val="pt-BR"/>
        </w:rPr>
        <w:t xml:space="preserve">Além disso, </w:t>
      </w:r>
      <w:r w:rsidR="002C330E" w:rsidRPr="00D5464D">
        <w:rPr>
          <w:rFonts w:cs="Arial"/>
          <w:szCs w:val="20"/>
          <w:lang w:val="pt-BR"/>
        </w:rPr>
        <w:t xml:space="preserve">a </w:t>
      </w:r>
      <w:r w:rsidR="00470ADC" w:rsidRPr="00D5464D">
        <w:rPr>
          <w:rFonts w:cs="Arial"/>
          <w:szCs w:val="20"/>
          <w:lang w:val="pt-BR"/>
        </w:rPr>
        <w:t>Comissão</w:t>
      </w:r>
      <w:r w:rsidR="00D81AA1" w:rsidRPr="00D5464D">
        <w:rPr>
          <w:rFonts w:cs="Arial"/>
          <w:szCs w:val="20"/>
          <w:lang w:val="pt-BR"/>
        </w:rPr>
        <w:t xml:space="preserve"> </w:t>
      </w:r>
      <w:r w:rsidR="00470ADC" w:rsidRPr="00D5464D">
        <w:rPr>
          <w:rFonts w:cs="Arial"/>
          <w:szCs w:val="20"/>
          <w:lang w:val="pt-BR"/>
        </w:rPr>
        <w:t>considerou</w:t>
      </w:r>
      <w:r w:rsidR="00D81AA1" w:rsidRPr="00D5464D">
        <w:rPr>
          <w:rFonts w:cs="Arial"/>
          <w:szCs w:val="20"/>
          <w:lang w:val="pt-BR"/>
        </w:rPr>
        <w:t xml:space="preserve"> que</w:t>
      </w:r>
      <w:r w:rsidR="00470ADC" w:rsidRPr="00D5464D">
        <w:rPr>
          <w:rFonts w:cs="Arial"/>
          <w:szCs w:val="20"/>
          <w:lang w:val="pt-BR"/>
        </w:rPr>
        <w:t xml:space="preserve"> o </w:t>
      </w:r>
      <w:r w:rsidR="00D81AA1" w:rsidRPr="00D5464D">
        <w:rPr>
          <w:rFonts w:cs="Arial"/>
          <w:szCs w:val="20"/>
          <w:lang w:val="pt-BR"/>
        </w:rPr>
        <w:t>Estado</w:t>
      </w:r>
      <w:r w:rsidR="00470ADC" w:rsidRPr="00D5464D">
        <w:rPr>
          <w:rFonts w:cs="Arial"/>
          <w:szCs w:val="20"/>
          <w:lang w:val="pt-BR"/>
        </w:rPr>
        <w:t xml:space="preserve"> é </w:t>
      </w:r>
      <w:r w:rsidR="002C330E" w:rsidRPr="00D5464D">
        <w:rPr>
          <w:rFonts w:cs="Arial"/>
          <w:szCs w:val="20"/>
          <w:lang w:val="pt-BR"/>
        </w:rPr>
        <w:t xml:space="preserve">responsável pela </w:t>
      </w:r>
      <w:r w:rsidR="00D81AA1" w:rsidRPr="00D5464D">
        <w:rPr>
          <w:rFonts w:cs="Arial"/>
          <w:szCs w:val="20"/>
          <w:lang w:val="pt-BR"/>
        </w:rPr>
        <w:t>viola</w:t>
      </w:r>
      <w:r w:rsidR="00470ADC" w:rsidRPr="00D5464D">
        <w:rPr>
          <w:rFonts w:cs="Arial"/>
          <w:szCs w:val="20"/>
          <w:lang w:val="pt-BR"/>
        </w:rPr>
        <w:t>ção</w:t>
      </w:r>
      <w:r w:rsidR="00D81AA1" w:rsidRPr="00D5464D">
        <w:rPr>
          <w:rFonts w:cs="Arial"/>
          <w:szCs w:val="20"/>
          <w:lang w:val="pt-BR"/>
        </w:rPr>
        <w:t xml:space="preserve"> </w:t>
      </w:r>
      <w:r w:rsidR="00470ADC" w:rsidRPr="00D5464D">
        <w:rPr>
          <w:rFonts w:cs="Arial"/>
          <w:szCs w:val="20"/>
          <w:lang w:val="pt-BR"/>
        </w:rPr>
        <w:t>do artigo</w:t>
      </w:r>
      <w:r w:rsidR="00D81AA1" w:rsidRPr="00D5464D">
        <w:rPr>
          <w:rFonts w:cs="Arial"/>
          <w:szCs w:val="20"/>
          <w:lang w:val="pt-BR"/>
        </w:rPr>
        <w:t xml:space="preserve"> 25</w:t>
      </w:r>
      <w:r w:rsidR="00470ADC" w:rsidRPr="00D5464D">
        <w:rPr>
          <w:rFonts w:cs="Arial"/>
          <w:szCs w:val="20"/>
          <w:lang w:val="pt-BR"/>
        </w:rPr>
        <w:t xml:space="preserve"> da </w:t>
      </w:r>
      <w:r w:rsidR="00D81AA1" w:rsidRPr="00D5464D">
        <w:rPr>
          <w:rFonts w:cs="Arial"/>
          <w:szCs w:val="20"/>
          <w:lang w:val="pt-BR"/>
        </w:rPr>
        <w:t>Conven</w:t>
      </w:r>
      <w:r w:rsidR="00470ADC" w:rsidRPr="00D5464D">
        <w:rPr>
          <w:rFonts w:cs="Arial"/>
          <w:szCs w:val="20"/>
          <w:lang w:val="pt-BR"/>
        </w:rPr>
        <w:t>ção</w:t>
      </w:r>
      <w:r w:rsidR="00D81AA1" w:rsidRPr="00D5464D">
        <w:rPr>
          <w:rFonts w:cs="Arial"/>
          <w:szCs w:val="20"/>
          <w:lang w:val="pt-BR"/>
        </w:rPr>
        <w:t>,</w:t>
      </w:r>
      <w:r w:rsidR="002C330E" w:rsidRPr="00D5464D">
        <w:rPr>
          <w:rFonts w:cs="Arial"/>
          <w:szCs w:val="20"/>
          <w:lang w:val="pt-BR"/>
        </w:rPr>
        <w:t xml:space="preserve"> pois</w:t>
      </w:r>
      <w:r w:rsidR="00DF6BC2" w:rsidRPr="00D5464D">
        <w:rPr>
          <w:rFonts w:cs="Arial"/>
          <w:szCs w:val="20"/>
          <w:lang w:val="pt-BR"/>
        </w:rPr>
        <w:t>,</w:t>
      </w:r>
      <w:r w:rsidR="00737270" w:rsidRPr="00D5464D">
        <w:rPr>
          <w:rFonts w:cs="Arial"/>
          <w:szCs w:val="20"/>
          <w:lang w:val="pt-BR"/>
        </w:rPr>
        <w:t xml:space="preserve"> apesar </w:t>
      </w:r>
      <w:r w:rsidR="0019084B" w:rsidRPr="00D5464D">
        <w:rPr>
          <w:rFonts w:cs="Arial"/>
          <w:szCs w:val="20"/>
          <w:lang w:val="pt-BR"/>
        </w:rPr>
        <w:t>de</w:t>
      </w:r>
      <w:r w:rsidR="00E045D9" w:rsidRPr="00D5464D">
        <w:rPr>
          <w:rFonts w:cs="Arial"/>
          <w:szCs w:val="20"/>
          <w:lang w:val="pt-BR"/>
        </w:rPr>
        <w:t xml:space="preserve"> ter </w:t>
      </w:r>
      <w:r w:rsidR="00470ADC" w:rsidRPr="00D5464D">
        <w:rPr>
          <w:rFonts w:cs="Arial"/>
          <w:szCs w:val="20"/>
          <w:lang w:val="pt-BR"/>
        </w:rPr>
        <w:t xml:space="preserve">conhecimento </w:t>
      </w:r>
      <w:r w:rsidR="00DF6BC2" w:rsidRPr="00D5464D">
        <w:rPr>
          <w:rFonts w:cs="Arial"/>
          <w:szCs w:val="20"/>
          <w:lang w:val="pt-BR"/>
        </w:rPr>
        <w:t xml:space="preserve">sobre </w:t>
      </w:r>
      <w:r w:rsidR="00470ADC" w:rsidRPr="00D5464D">
        <w:rPr>
          <w:rFonts w:cs="Arial"/>
          <w:szCs w:val="20"/>
          <w:lang w:val="pt-BR"/>
        </w:rPr>
        <w:t xml:space="preserve">a </w:t>
      </w:r>
      <w:r w:rsidR="00D81AA1" w:rsidRPr="00D5464D">
        <w:rPr>
          <w:rFonts w:cs="Arial"/>
          <w:szCs w:val="20"/>
          <w:lang w:val="pt-BR"/>
        </w:rPr>
        <w:t>situa</w:t>
      </w:r>
      <w:r w:rsidR="00470ADC" w:rsidRPr="00D5464D">
        <w:rPr>
          <w:rFonts w:cs="Arial"/>
          <w:szCs w:val="20"/>
          <w:lang w:val="pt-BR"/>
        </w:rPr>
        <w:t>ção</w:t>
      </w:r>
      <w:r w:rsidR="00D81AA1" w:rsidRPr="00D5464D">
        <w:rPr>
          <w:rFonts w:cs="Arial"/>
          <w:szCs w:val="20"/>
          <w:lang w:val="pt-BR"/>
        </w:rPr>
        <w:t xml:space="preserve"> </w:t>
      </w:r>
      <w:r w:rsidR="00737270" w:rsidRPr="00D5464D">
        <w:rPr>
          <w:rFonts w:cs="Arial"/>
          <w:szCs w:val="20"/>
          <w:lang w:val="pt-BR"/>
        </w:rPr>
        <w:t>existente</w:t>
      </w:r>
      <w:r w:rsidR="00531F92" w:rsidRPr="00D5464D">
        <w:rPr>
          <w:rFonts w:cs="Arial"/>
          <w:szCs w:val="20"/>
          <w:lang w:val="pt-BR"/>
        </w:rPr>
        <w:t xml:space="preserve"> d</w:t>
      </w:r>
      <w:r w:rsidR="00D81AA1" w:rsidRPr="00D5464D">
        <w:rPr>
          <w:rFonts w:cs="Arial"/>
          <w:szCs w:val="20"/>
          <w:lang w:val="pt-BR"/>
        </w:rPr>
        <w:t>esde 1989</w:t>
      </w:r>
      <w:r w:rsidR="00E045D9" w:rsidRPr="00D5464D">
        <w:rPr>
          <w:rFonts w:cs="Arial"/>
          <w:szCs w:val="20"/>
          <w:lang w:val="pt-BR"/>
        </w:rPr>
        <w:t xml:space="preserve"> na </w:t>
      </w:r>
      <w:r w:rsidR="00D809F0" w:rsidRPr="00D5464D">
        <w:rPr>
          <w:rFonts w:cs="Arial"/>
          <w:szCs w:val="20"/>
          <w:lang w:val="pt-BR"/>
        </w:rPr>
        <w:t>Fazenda</w:t>
      </w:r>
      <w:r w:rsidR="00D81AA1" w:rsidRPr="00D5464D">
        <w:rPr>
          <w:rFonts w:cs="Arial"/>
          <w:szCs w:val="20"/>
          <w:lang w:val="pt-BR"/>
        </w:rPr>
        <w:t xml:space="preserve"> Brasil Verde,</w:t>
      </w:r>
      <w:r w:rsidR="002C330E" w:rsidRPr="00D5464D">
        <w:rPr>
          <w:rFonts w:cs="Arial"/>
          <w:szCs w:val="20"/>
          <w:lang w:val="pt-BR"/>
        </w:rPr>
        <w:t xml:space="preserve"> as </w:t>
      </w:r>
      <w:r w:rsidR="00E045D9" w:rsidRPr="00D5464D">
        <w:rPr>
          <w:rFonts w:cs="Arial"/>
          <w:szCs w:val="20"/>
          <w:lang w:val="pt-BR"/>
        </w:rPr>
        <w:t>vítima</w:t>
      </w:r>
      <w:r w:rsidR="00D81AA1" w:rsidRPr="00D5464D">
        <w:rPr>
          <w:rFonts w:cs="Arial"/>
          <w:szCs w:val="20"/>
          <w:lang w:val="pt-BR"/>
        </w:rPr>
        <w:t>s</w:t>
      </w:r>
      <w:r w:rsidRPr="00D5464D">
        <w:rPr>
          <w:rFonts w:cs="Arial"/>
          <w:szCs w:val="20"/>
          <w:lang w:val="pt-BR"/>
        </w:rPr>
        <w:t xml:space="preserve"> não conta</w:t>
      </w:r>
      <w:r w:rsidR="00A1358C" w:rsidRPr="00D5464D">
        <w:rPr>
          <w:rFonts w:cs="Arial"/>
          <w:szCs w:val="20"/>
          <w:lang w:val="pt-BR"/>
        </w:rPr>
        <w:t>ram</w:t>
      </w:r>
      <w:r w:rsidR="00470ADC" w:rsidRPr="00D5464D">
        <w:rPr>
          <w:rFonts w:cs="Arial"/>
          <w:szCs w:val="20"/>
          <w:lang w:val="pt-BR"/>
        </w:rPr>
        <w:t xml:space="preserve"> com </w:t>
      </w:r>
      <w:r w:rsidR="00D81AA1" w:rsidRPr="00D5464D">
        <w:rPr>
          <w:rFonts w:cs="Arial"/>
          <w:szCs w:val="20"/>
          <w:lang w:val="pt-BR"/>
        </w:rPr>
        <w:t xml:space="preserve">mecanismos </w:t>
      </w:r>
      <w:r w:rsidR="002C330E" w:rsidRPr="00D5464D">
        <w:rPr>
          <w:rFonts w:cs="Arial"/>
          <w:szCs w:val="20"/>
          <w:lang w:val="pt-BR"/>
        </w:rPr>
        <w:t>judiciais</w:t>
      </w:r>
      <w:r w:rsidR="00D81AA1" w:rsidRPr="00D5464D">
        <w:rPr>
          <w:rFonts w:cs="Arial"/>
          <w:szCs w:val="20"/>
          <w:lang w:val="pt-BR"/>
        </w:rPr>
        <w:t xml:space="preserve"> </w:t>
      </w:r>
      <w:r w:rsidR="00470ADC" w:rsidRPr="00D5464D">
        <w:rPr>
          <w:rFonts w:cs="Arial"/>
          <w:szCs w:val="20"/>
          <w:lang w:val="pt-BR"/>
        </w:rPr>
        <w:t>efetiv</w:t>
      </w:r>
      <w:r w:rsidR="00D81AA1" w:rsidRPr="00D5464D">
        <w:rPr>
          <w:rFonts w:cs="Arial"/>
          <w:szCs w:val="20"/>
          <w:lang w:val="pt-BR"/>
        </w:rPr>
        <w:t>os para</w:t>
      </w:r>
      <w:r w:rsidR="002C330E" w:rsidRPr="00D5464D">
        <w:rPr>
          <w:rFonts w:cs="Arial"/>
          <w:szCs w:val="20"/>
          <w:lang w:val="pt-BR"/>
        </w:rPr>
        <w:t xml:space="preserve"> a proteção</w:t>
      </w:r>
      <w:r w:rsidR="00D81AA1" w:rsidRPr="00D5464D">
        <w:rPr>
          <w:rFonts w:cs="Arial"/>
          <w:szCs w:val="20"/>
          <w:lang w:val="pt-BR"/>
        </w:rPr>
        <w:t xml:space="preserve"> de </w:t>
      </w:r>
      <w:r w:rsidR="00E045D9" w:rsidRPr="00D5464D">
        <w:rPr>
          <w:rFonts w:cs="Arial"/>
          <w:szCs w:val="20"/>
          <w:lang w:val="pt-BR"/>
        </w:rPr>
        <w:t>seus direitos</w:t>
      </w:r>
      <w:r w:rsidR="00D81AA1" w:rsidRPr="00D5464D">
        <w:rPr>
          <w:rFonts w:cs="Arial"/>
          <w:szCs w:val="20"/>
          <w:lang w:val="pt-BR"/>
        </w:rPr>
        <w:t>,</w:t>
      </w:r>
      <w:r w:rsidR="002C330E" w:rsidRPr="00D5464D">
        <w:rPr>
          <w:rFonts w:cs="Arial"/>
          <w:szCs w:val="20"/>
          <w:lang w:val="pt-BR"/>
        </w:rPr>
        <w:t xml:space="preserve"> a </w:t>
      </w:r>
      <w:r w:rsidR="00DF6BC2" w:rsidRPr="00D5464D">
        <w:rPr>
          <w:rFonts w:cs="Arial"/>
          <w:szCs w:val="20"/>
          <w:lang w:val="pt-BR"/>
        </w:rPr>
        <w:t xml:space="preserve">punição </w:t>
      </w:r>
      <w:r w:rsidR="00470ADC" w:rsidRPr="00D5464D">
        <w:rPr>
          <w:rFonts w:cs="Arial"/>
          <w:szCs w:val="20"/>
          <w:lang w:val="pt-BR"/>
        </w:rPr>
        <w:t xml:space="preserve">dos </w:t>
      </w:r>
      <w:r w:rsidR="002C330E" w:rsidRPr="00D5464D">
        <w:rPr>
          <w:rFonts w:cs="Arial"/>
          <w:szCs w:val="20"/>
          <w:lang w:val="pt-BR"/>
        </w:rPr>
        <w:t>responsáveis</w:t>
      </w:r>
      <w:r w:rsidR="00E045D9" w:rsidRPr="00D5464D">
        <w:rPr>
          <w:rFonts w:cs="Arial"/>
          <w:szCs w:val="20"/>
          <w:lang w:val="pt-BR"/>
        </w:rPr>
        <w:t xml:space="preserve"> e </w:t>
      </w:r>
      <w:r w:rsidR="002C330E" w:rsidRPr="00D5464D">
        <w:rPr>
          <w:rFonts w:cs="Arial"/>
          <w:szCs w:val="20"/>
          <w:lang w:val="pt-BR"/>
        </w:rPr>
        <w:t xml:space="preserve">a </w:t>
      </w:r>
      <w:r w:rsidR="00D81AA1" w:rsidRPr="00D5464D">
        <w:rPr>
          <w:rFonts w:cs="Arial"/>
          <w:szCs w:val="20"/>
          <w:lang w:val="pt-BR"/>
        </w:rPr>
        <w:t>obten</w:t>
      </w:r>
      <w:r w:rsidR="00470ADC" w:rsidRPr="00D5464D">
        <w:rPr>
          <w:rFonts w:cs="Arial"/>
          <w:szCs w:val="20"/>
          <w:lang w:val="pt-BR"/>
        </w:rPr>
        <w:t>ção</w:t>
      </w:r>
      <w:r w:rsidR="00D81AA1" w:rsidRPr="00D5464D">
        <w:rPr>
          <w:rFonts w:cs="Arial"/>
          <w:szCs w:val="20"/>
          <w:lang w:val="pt-BR"/>
        </w:rPr>
        <w:t xml:space="preserve"> de</w:t>
      </w:r>
      <w:r w:rsidR="00E045D9" w:rsidRPr="00D5464D">
        <w:rPr>
          <w:rFonts w:cs="Arial"/>
          <w:szCs w:val="20"/>
          <w:lang w:val="pt-BR"/>
        </w:rPr>
        <w:t xml:space="preserve"> uma </w:t>
      </w:r>
      <w:r w:rsidR="00D81AA1" w:rsidRPr="00D5464D">
        <w:rPr>
          <w:rFonts w:cs="Arial"/>
          <w:szCs w:val="20"/>
          <w:lang w:val="pt-BR"/>
        </w:rPr>
        <w:t>repara</w:t>
      </w:r>
      <w:r w:rsidR="00470ADC" w:rsidRPr="00D5464D">
        <w:rPr>
          <w:rFonts w:cs="Arial"/>
          <w:szCs w:val="20"/>
          <w:lang w:val="pt-BR"/>
        </w:rPr>
        <w:t>ção</w:t>
      </w:r>
      <w:r w:rsidR="00D81AA1" w:rsidRPr="00D5464D">
        <w:rPr>
          <w:rFonts w:cs="Arial"/>
          <w:szCs w:val="20"/>
          <w:lang w:val="pt-BR"/>
        </w:rPr>
        <w:t>;</w:t>
      </w:r>
      <w:r w:rsidR="002C330E" w:rsidRPr="00D5464D">
        <w:rPr>
          <w:rFonts w:cs="Arial"/>
          <w:szCs w:val="20"/>
          <w:lang w:val="pt-BR"/>
        </w:rPr>
        <w:t xml:space="preserve"> </w:t>
      </w:r>
      <w:r w:rsidR="00D81AA1" w:rsidRPr="00D5464D">
        <w:rPr>
          <w:rFonts w:cs="Arial"/>
          <w:szCs w:val="20"/>
          <w:lang w:val="pt-BR"/>
        </w:rPr>
        <w:t>n</w:t>
      </w:r>
      <w:r w:rsidR="00DF6BC2" w:rsidRPr="00D5464D">
        <w:rPr>
          <w:rFonts w:cs="Arial"/>
          <w:szCs w:val="20"/>
          <w:lang w:val="pt-BR"/>
        </w:rPr>
        <w:t>ã</w:t>
      </w:r>
      <w:r w:rsidR="00D81AA1" w:rsidRPr="00D5464D">
        <w:rPr>
          <w:rFonts w:cs="Arial"/>
          <w:szCs w:val="20"/>
          <w:lang w:val="pt-BR"/>
        </w:rPr>
        <w:t xml:space="preserve">o </w:t>
      </w:r>
      <w:r w:rsidR="00DF6BC2" w:rsidRPr="00D5464D">
        <w:rPr>
          <w:rFonts w:cs="Arial"/>
          <w:szCs w:val="20"/>
          <w:lang w:val="pt-BR"/>
        </w:rPr>
        <w:t xml:space="preserve">foi realizada </w:t>
      </w:r>
      <w:r w:rsidR="00E045D9" w:rsidRPr="00D5464D">
        <w:rPr>
          <w:rFonts w:cs="Arial"/>
          <w:szCs w:val="20"/>
          <w:lang w:val="pt-BR"/>
        </w:rPr>
        <w:t xml:space="preserve">uma </w:t>
      </w:r>
      <w:r w:rsidR="00D81AA1" w:rsidRPr="00D5464D">
        <w:rPr>
          <w:rFonts w:cs="Arial"/>
          <w:szCs w:val="20"/>
          <w:lang w:val="pt-BR"/>
        </w:rPr>
        <w:t>investiga</w:t>
      </w:r>
      <w:r w:rsidR="00470ADC" w:rsidRPr="00D5464D">
        <w:rPr>
          <w:rFonts w:cs="Arial"/>
          <w:szCs w:val="20"/>
          <w:lang w:val="pt-BR"/>
        </w:rPr>
        <w:t>ção</w:t>
      </w:r>
      <w:r w:rsidR="00D81AA1" w:rsidRPr="00D5464D">
        <w:rPr>
          <w:rFonts w:cs="Arial"/>
          <w:szCs w:val="20"/>
          <w:lang w:val="pt-BR"/>
        </w:rPr>
        <w:t xml:space="preserve"> completa</w:t>
      </w:r>
      <w:r w:rsidR="00E045D9" w:rsidRPr="00D5464D">
        <w:rPr>
          <w:rFonts w:cs="Arial"/>
          <w:szCs w:val="20"/>
          <w:lang w:val="pt-BR"/>
        </w:rPr>
        <w:t xml:space="preserve"> e </w:t>
      </w:r>
      <w:r w:rsidR="00470ADC" w:rsidRPr="00D5464D">
        <w:rPr>
          <w:rFonts w:cs="Arial"/>
          <w:szCs w:val="20"/>
          <w:lang w:val="pt-BR"/>
        </w:rPr>
        <w:t>efetiv</w:t>
      </w:r>
      <w:r w:rsidR="00D81AA1" w:rsidRPr="00D5464D">
        <w:rPr>
          <w:rFonts w:cs="Arial"/>
          <w:szCs w:val="20"/>
          <w:lang w:val="pt-BR"/>
        </w:rPr>
        <w:t>a para esclarecer</w:t>
      </w:r>
      <w:r w:rsidR="002C330E" w:rsidRPr="00D5464D">
        <w:rPr>
          <w:rFonts w:cs="Arial"/>
          <w:szCs w:val="20"/>
          <w:lang w:val="pt-BR"/>
        </w:rPr>
        <w:t xml:space="preserve"> a responsabilidade </w:t>
      </w:r>
      <w:r w:rsidR="006B5425" w:rsidRPr="00D5464D">
        <w:rPr>
          <w:rFonts w:cs="Arial"/>
          <w:szCs w:val="20"/>
          <w:lang w:val="pt-BR"/>
        </w:rPr>
        <w:t>pelos</w:t>
      </w:r>
      <w:r w:rsidR="00FF1290" w:rsidRPr="00D5464D">
        <w:rPr>
          <w:rFonts w:cs="Arial"/>
          <w:szCs w:val="20"/>
          <w:lang w:val="pt-BR"/>
        </w:rPr>
        <w:t xml:space="preserve"> </w:t>
      </w:r>
      <w:r w:rsidR="002C330E" w:rsidRPr="00D5464D">
        <w:rPr>
          <w:rFonts w:cs="Arial"/>
          <w:szCs w:val="20"/>
          <w:lang w:val="pt-BR"/>
        </w:rPr>
        <w:t>fatos</w:t>
      </w:r>
      <w:r w:rsidR="00D81AA1" w:rsidRPr="00D5464D">
        <w:rPr>
          <w:rFonts w:cs="Arial"/>
          <w:szCs w:val="20"/>
          <w:lang w:val="pt-BR"/>
        </w:rPr>
        <w:t>,</w:t>
      </w:r>
      <w:r w:rsidR="002C330E" w:rsidRPr="00D5464D">
        <w:rPr>
          <w:rFonts w:cs="Arial"/>
          <w:szCs w:val="20"/>
          <w:lang w:val="pt-BR"/>
        </w:rPr>
        <w:t xml:space="preserve"> </w:t>
      </w:r>
      <w:r w:rsidR="00DF6BC2" w:rsidRPr="00D5464D">
        <w:rPr>
          <w:rFonts w:cs="Arial"/>
          <w:szCs w:val="20"/>
          <w:lang w:val="pt-BR"/>
        </w:rPr>
        <w:t xml:space="preserve">e tampouco foi garantido </w:t>
      </w:r>
      <w:r w:rsidR="00E045D9" w:rsidRPr="00D5464D">
        <w:rPr>
          <w:rFonts w:cs="Arial"/>
          <w:szCs w:val="20"/>
          <w:lang w:val="pt-BR"/>
        </w:rPr>
        <w:t xml:space="preserve">um </w:t>
      </w:r>
      <w:r w:rsidR="00D81AA1" w:rsidRPr="00D5464D">
        <w:rPr>
          <w:rFonts w:cs="Arial"/>
          <w:szCs w:val="20"/>
          <w:lang w:val="pt-BR"/>
        </w:rPr>
        <w:t xml:space="preserve">recurso judicial </w:t>
      </w:r>
      <w:r w:rsidR="00470ADC" w:rsidRPr="00D5464D">
        <w:rPr>
          <w:rFonts w:cs="Arial"/>
          <w:szCs w:val="20"/>
          <w:lang w:val="pt-BR"/>
        </w:rPr>
        <w:t>efetiv</w:t>
      </w:r>
      <w:r w:rsidR="00D81AA1" w:rsidRPr="00D5464D">
        <w:rPr>
          <w:rFonts w:cs="Arial"/>
          <w:szCs w:val="20"/>
          <w:lang w:val="pt-BR"/>
        </w:rPr>
        <w:t>o para proteger</w:t>
      </w:r>
      <w:r w:rsidR="00E045D9" w:rsidRPr="00D5464D">
        <w:rPr>
          <w:rFonts w:cs="Arial"/>
          <w:szCs w:val="20"/>
          <w:lang w:val="pt-BR"/>
        </w:rPr>
        <w:t xml:space="preserve"> os trabalhadores</w:t>
      </w:r>
      <w:r w:rsidR="00D81AA1" w:rsidRPr="00D5464D">
        <w:rPr>
          <w:rFonts w:cs="Arial"/>
          <w:szCs w:val="20"/>
          <w:lang w:val="pt-BR"/>
        </w:rPr>
        <w:t xml:space="preserve"> contra</w:t>
      </w:r>
      <w:r w:rsidR="00470ADC" w:rsidRPr="00D5464D">
        <w:rPr>
          <w:rFonts w:cs="Arial"/>
          <w:szCs w:val="20"/>
          <w:lang w:val="pt-BR"/>
        </w:rPr>
        <w:t xml:space="preserve"> atos</w:t>
      </w:r>
      <w:r w:rsidR="00D81AA1" w:rsidRPr="00D5464D">
        <w:rPr>
          <w:rFonts w:cs="Arial"/>
          <w:szCs w:val="20"/>
          <w:lang w:val="pt-BR"/>
        </w:rPr>
        <w:t xml:space="preserve"> que viol</w:t>
      </w:r>
      <w:r w:rsidR="00EB1CE9" w:rsidRPr="00D5464D">
        <w:rPr>
          <w:rFonts w:cs="Arial"/>
          <w:szCs w:val="20"/>
          <w:lang w:val="pt-BR"/>
        </w:rPr>
        <w:t xml:space="preserve">avam </w:t>
      </w:r>
      <w:r w:rsidR="00E045D9" w:rsidRPr="00D5464D">
        <w:rPr>
          <w:rFonts w:cs="Arial"/>
          <w:szCs w:val="20"/>
          <w:lang w:val="pt-BR"/>
        </w:rPr>
        <w:t>seus direitos</w:t>
      </w:r>
      <w:r w:rsidR="00A1358C" w:rsidRPr="00D5464D">
        <w:rPr>
          <w:rFonts w:cs="Arial"/>
          <w:szCs w:val="20"/>
          <w:lang w:val="pt-BR"/>
        </w:rPr>
        <w:t xml:space="preserve">. A </w:t>
      </w:r>
      <w:r w:rsidR="00470ADC" w:rsidRPr="00D5464D">
        <w:rPr>
          <w:rFonts w:cs="Arial"/>
          <w:szCs w:val="20"/>
          <w:lang w:val="pt-BR"/>
        </w:rPr>
        <w:t>Comissão</w:t>
      </w:r>
      <w:r w:rsidR="00D81AA1" w:rsidRPr="00D5464D">
        <w:rPr>
          <w:rFonts w:cs="Arial"/>
          <w:szCs w:val="20"/>
          <w:lang w:val="pt-BR"/>
        </w:rPr>
        <w:t xml:space="preserve"> </w:t>
      </w:r>
      <w:r w:rsidR="00230C71" w:rsidRPr="00D5464D">
        <w:rPr>
          <w:rFonts w:cs="Arial"/>
          <w:szCs w:val="20"/>
          <w:lang w:val="pt-BR"/>
        </w:rPr>
        <w:t>acrescentou</w:t>
      </w:r>
      <w:r w:rsidR="00D81AA1" w:rsidRPr="00D5464D">
        <w:rPr>
          <w:rFonts w:cs="Arial"/>
          <w:szCs w:val="20"/>
          <w:lang w:val="pt-BR"/>
        </w:rPr>
        <w:t xml:space="preserve"> que</w:t>
      </w:r>
      <w:r w:rsidR="002C330E" w:rsidRPr="00D5464D">
        <w:rPr>
          <w:rFonts w:cs="Arial"/>
          <w:szCs w:val="20"/>
          <w:lang w:val="pt-BR"/>
        </w:rPr>
        <w:t xml:space="preserve"> a </w:t>
      </w:r>
      <w:r w:rsidR="00D81AA1" w:rsidRPr="00D5464D">
        <w:rPr>
          <w:rFonts w:cs="Arial"/>
          <w:szCs w:val="20"/>
          <w:lang w:val="pt-BR"/>
        </w:rPr>
        <w:t>situa</w:t>
      </w:r>
      <w:r w:rsidR="00470ADC" w:rsidRPr="00D5464D">
        <w:rPr>
          <w:rFonts w:cs="Arial"/>
          <w:szCs w:val="20"/>
          <w:lang w:val="pt-BR"/>
        </w:rPr>
        <w:t>ção</w:t>
      </w:r>
      <w:r w:rsidR="00D81AA1" w:rsidRPr="00D5464D">
        <w:rPr>
          <w:rFonts w:cs="Arial"/>
          <w:szCs w:val="20"/>
          <w:lang w:val="pt-BR"/>
        </w:rPr>
        <w:t xml:space="preserve"> de </w:t>
      </w:r>
      <w:r w:rsidR="002C330E" w:rsidRPr="00D5464D">
        <w:rPr>
          <w:rFonts w:cs="Arial"/>
          <w:szCs w:val="20"/>
          <w:lang w:val="pt-BR"/>
        </w:rPr>
        <w:t xml:space="preserve">impunidade </w:t>
      </w:r>
      <w:r w:rsidR="00D81AA1" w:rsidRPr="00D5464D">
        <w:rPr>
          <w:rFonts w:cs="Arial"/>
          <w:szCs w:val="20"/>
          <w:lang w:val="pt-BR"/>
        </w:rPr>
        <w:t>imperante</w:t>
      </w:r>
      <w:r w:rsidR="00E045D9" w:rsidRPr="00D5464D">
        <w:rPr>
          <w:rFonts w:cs="Arial"/>
          <w:szCs w:val="20"/>
          <w:lang w:val="pt-BR"/>
        </w:rPr>
        <w:t xml:space="preserve"> no </w:t>
      </w:r>
      <w:r w:rsidR="00D81AA1" w:rsidRPr="00D5464D">
        <w:rPr>
          <w:rFonts w:cs="Arial"/>
          <w:szCs w:val="20"/>
          <w:lang w:val="pt-BR"/>
        </w:rPr>
        <w:t xml:space="preserve">presente caso persiste </w:t>
      </w:r>
      <w:r w:rsidR="002C330E" w:rsidRPr="00D5464D">
        <w:rPr>
          <w:rFonts w:cs="Arial"/>
          <w:szCs w:val="20"/>
          <w:lang w:val="pt-BR"/>
        </w:rPr>
        <w:t>até</w:t>
      </w:r>
      <w:r w:rsidR="000E4F31" w:rsidRPr="00D5464D">
        <w:rPr>
          <w:rFonts w:cs="Arial"/>
          <w:szCs w:val="20"/>
          <w:lang w:val="pt-BR"/>
        </w:rPr>
        <w:t xml:space="preserve"> </w:t>
      </w:r>
      <w:r w:rsidR="00662C39" w:rsidRPr="00D5464D">
        <w:rPr>
          <w:rFonts w:cs="Arial"/>
          <w:szCs w:val="20"/>
          <w:lang w:val="pt-BR"/>
        </w:rPr>
        <w:t>os dias de hoje</w:t>
      </w:r>
      <w:r w:rsidR="00D81AA1" w:rsidRPr="00D5464D">
        <w:rPr>
          <w:rFonts w:cs="Arial"/>
          <w:szCs w:val="20"/>
          <w:lang w:val="pt-BR"/>
        </w:rPr>
        <w:t>.</w:t>
      </w:r>
    </w:p>
    <w:p w14:paraId="253A4C82" w14:textId="77777777" w:rsidR="00DE3E58" w:rsidRPr="00D5464D" w:rsidRDefault="00DE3E58" w:rsidP="00DE3E58">
      <w:pPr>
        <w:pStyle w:val="Prrafodelista"/>
        <w:autoSpaceDE w:val="0"/>
        <w:autoSpaceDN w:val="0"/>
        <w:adjustRightInd w:val="0"/>
        <w:ind w:left="0"/>
        <w:contextualSpacing w:val="0"/>
        <w:rPr>
          <w:rFonts w:cs="Arial"/>
          <w:szCs w:val="20"/>
          <w:lang w:val="pt-BR"/>
        </w:rPr>
      </w:pPr>
    </w:p>
    <w:p w14:paraId="40A98F6C" w14:textId="394EA0AC" w:rsidR="00D81AA1" w:rsidRPr="00D5464D" w:rsidRDefault="00470ADC" w:rsidP="00D81AA1">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A Comissão</w:t>
      </w:r>
      <w:r w:rsidR="00D81AA1" w:rsidRPr="00D5464D">
        <w:rPr>
          <w:rFonts w:cs="Arial"/>
          <w:szCs w:val="20"/>
          <w:lang w:val="pt-BR"/>
        </w:rPr>
        <w:t xml:space="preserve"> </w:t>
      </w:r>
      <w:r w:rsidR="00531F92" w:rsidRPr="00D5464D">
        <w:rPr>
          <w:rFonts w:cs="Arial"/>
          <w:szCs w:val="20"/>
          <w:lang w:val="pt-BR"/>
        </w:rPr>
        <w:t>adu</w:t>
      </w:r>
      <w:r w:rsidR="00DF6BC2" w:rsidRPr="00D5464D">
        <w:rPr>
          <w:rFonts w:cs="Arial"/>
          <w:szCs w:val="20"/>
          <w:lang w:val="pt-BR"/>
        </w:rPr>
        <w:t>ziu</w:t>
      </w:r>
      <w:r w:rsidR="00D81AA1" w:rsidRPr="00D5464D">
        <w:rPr>
          <w:rFonts w:cs="Arial"/>
          <w:szCs w:val="20"/>
          <w:lang w:val="pt-BR"/>
        </w:rPr>
        <w:t xml:space="preserve"> que</w:t>
      </w:r>
      <w:r w:rsidRPr="00D5464D">
        <w:rPr>
          <w:rFonts w:cs="Arial"/>
          <w:szCs w:val="20"/>
          <w:lang w:val="pt-BR"/>
        </w:rPr>
        <w:t xml:space="preserve"> o </w:t>
      </w:r>
      <w:r w:rsidR="00D81AA1" w:rsidRPr="00D5464D">
        <w:rPr>
          <w:rFonts w:cs="Arial"/>
          <w:szCs w:val="20"/>
          <w:lang w:val="pt-BR"/>
        </w:rPr>
        <w:t>Estado n</w:t>
      </w:r>
      <w:r w:rsidR="00DF6BC2" w:rsidRPr="00D5464D">
        <w:rPr>
          <w:rFonts w:cs="Arial"/>
          <w:szCs w:val="20"/>
          <w:lang w:val="pt-BR"/>
        </w:rPr>
        <w:t>ã</w:t>
      </w:r>
      <w:r w:rsidR="00D81AA1" w:rsidRPr="00D5464D">
        <w:rPr>
          <w:rFonts w:cs="Arial"/>
          <w:szCs w:val="20"/>
          <w:lang w:val="pt-BR"/>
        </w:rPr>
        <w:t xml:space="preserve">o </w:t>
      </w:r>
      <w:r w:rsidR="00350187" w:rsidRPr="00D5464D">
        <w:rPr>
          <w:rFonts w:cs="Arial"/>
          <w:szCs w:val="20"/>
          <w:lang w:val="pt-BR"/>
        </w:rPr>
        <w:t xml:space="preserve">garantiu </w:t>
      </w:r>
      <w:r w:rsidRPr="00D5464D">
        <w:rPr>
          <w:rFonts w:cs="Arial"/>
          <w:szCs w:val="20"/>
          <w:lang w:val="pt-BR"/>
        </w:rPr>
        <w:t xml:space="preserve">o acesso à </w:t>
      </w:r>
      <w:r w:rsidR="002C330E" w:rsidRPr="00D5464D">
        <w:rPr>
          <w:rFonts w:cs="Arial"/>
          <w:szCs w:val="20"/>
          <w:lang w:val="pt-BR"/>
        </w:rPr>
        <w:t>justiça</w:t>
      </w:r>
      <w:r w:rsidR="00D81AA1" w:rsidRPr="00D5464D">
        <w:rPr>
          <w:rFonts w:cs="Arial"/>
          <w:szCs w:val="20"/>
          <w:lang w:val="pt-BR"/>
        </w:rPr>
        <w:t>,</w:t>
      </w:r>
      <w:r w:rsidR="002C330E" w:rsidRPr="00D5464D">
        <w:rPr>
          <w:rFonts w:cs="Arial"/>
          <w:szCs w:val="20"/>
          <w:lang w:val="pt-BR"/>
        </w:rPr>
        <w:t xml:space="preserve"> a </w:t>
      </w:r>
      <w:r w:rsidR="00D81AA1" w:rsidRPr="00D5464D">
        <w:rPr>
          <w:rFonts w:cs="Arial"/>
          <w:szCs w:val="20"/>
          <w:lang w:val="pt-BR"/>
        </w:rPr>
        <w:t>determina</w:t>
      </w:r>
      <w:r w:rsidRPr="00D5464D">
        <w:rPr>
          <w:rFonts w:cs="Arial"/>
          <w:szCs w:val="20"/>
          <w:lang w:val="pt-BR"/>
        </w:rPr>
        <w:t xml:space="preserve">ção da </w:t>
      </w:r>
      <w:r w:rsidR="00E045D9" w:rsidRPr="00D5464D">
        <w:rPr>
          <w:rFonts w:cs="Arial"/>
          <w:szCs w:val="20"/>
          <w:lang w:val="pt-BR"/>
        </w:rPr>
        <w:t xml:space="preserve">verdade </w:t>
      </w:r>
      <w:r w:rsidRPr="00D5464D">
        <w:rPr>
          <w:rFonts w:cs="Arial"/>
          <w:szCs w:val="20"/>
          <w:lang w:val="pt-BR"/>
        </w:rPr>
        <w:t xml:space="preserve">dos </w:t>
      </w:r>
      <w:r w:rsidR="002C330E" w:rsidRPr="00D5464D">
        <w:rPr>
          <w:rFonts w:cs="Arial"/>
          <w:szCs w:val="20"/>
          <w:lang w:val="pt-BR"/>
        </w:rPr>
        <w:t>fatos</w:t>
      </w:r>
      <w:r w:rsidR="00D81AA1" w:rsidRPr="00D5464D">
        <w:rPr>
          <w:rFonts w:cs="Arial"/>
          <w:szCs w:val="20"/>
          <w:lang w:val="pt-BR"/>
        </w:rPr>
        <w:t>,</w:t>
      </w:r>
      <w:r w:rsidR="002C330E" w:rsidRPr="00D5464D">
        <w:rPr>
          <w:rFonts w:cs="Arial"/>
          <w:szCs w:val="20"/>
          <w:lang w:val="pt-BR"/>
        </w:rPr>
        <w:t xml:space="preserve"> a </w:t>
      </w:r>
      <w:r w:rsidR="00D81AA1" w:rsidRPr="00D5464D">
        <w:rPr>
          <w:rFonts w:cs="Arial"/>
          <w:szCs w:val="20"/>
          <w:lang w:val="pt-BR"/>
        </w:rPr>
        <w:t>investiga</w:t>
      </w:r>
      <w:r w:rsidRPr="00D5464D">
        <w:rPr>
          <w:rFonts w:cs="Arial"/>
          <w:szCs w:val="20"/>
          <w:lang w:val="pt-BR"/>
        </w:rPr>
        <w:t>ção</w:t>
      </w:r>
      <w:r w:rsidR="00E045D9" w:rsidRPr="00D5464D">
        <w:rPr>
          <w:rFonts w:cs="Arial"/>
          <w:szCs w:val="20"/>
          <w:lang w:val="pt-BR"/>
        </w:rPr>
        <w:t xml:space="preserve"> e </w:t>
      </w:r>
      <w:r w:rsidR="00DF6BC2" w:rsidRPr="00D5464D">
        <w:rPr>
          <w:rFonts w:cs="Arial"/>
          <w:szCs w:val="20"/>
          <w:lang w:val="pt-BR"/>
        </w:rPr>
        <w:t xml:space="preserve">punição </w:t>
      </w:r>
      <w:r w:rsidRPr="00D5464D">
        <w:rPr>
          <w:rFonts w:cs="Arial"/>
          <w:szCs w:val="20"/>
          <w:lang w:val="pt-BR"/>
        </w:rPr>
        <w:t xml:space="preserve">dos </w:t>
      </w:r>
      <w:r w:rsidR="002C330E" w:rsidRPr="00D5464D">
        <w:rPr>
          <w:rFonts w:cs="Arial"/>
          <w:szCs w:val="20"/>
          <w:lang w:val="pt-BR"/>
        </w:rPr>
        <w:t>responsáveis</w:t>
      </w:r>
      <w:r w:rsidR="00D81AA1" w:rsidRPr="00D5464D">
        <w:rPr>
          <w:rFonts w:cs="Arial"/>
          <w:szCs w:val="20"/>
          <w:lang w:val="pt-BR"/>
        </w:rPr>
        <w:t>,</w:t>
      </w:r>
      <w:r w:rsidR="002C330E" w:rsidRPr="00D5464D">
        <w:rPr>
          <w:rFonts w:cs="Arial"/>
          <w:szCs w:val="20"/>
          <w:lang w:val="pt-BR"/>
        </w:rPr>
        <w:t xml:space="preserve"> nem a </w:t>
      </w:r>
      <w:r w:rsidR="00D81AA1" w:rsidRPr="00D5464D">
        <w:rPr>
          <w:rFonts w:cs="Arial"/>
          <w:szCs w:val="20"/>
          <w:lang w:val="pt-BR"/>
        </w:rPr>
        <w:t>repara</w:t>
      </w:r>
      <w:r w:rsidRPr="00D5464D">
        <w:rPr>
          <w:rFonts w:cs="Arial"/>
          <w:szCs w:val="20"/>
          <w:lang w:val="pt-BR"/>
        </w:rPr>
        <w:t>ção das consequência</w:t>
      </w:r>
      <w:r w:rsidR="00D81AA1" w:rsidRPr="00D5464D">
        <w:rPr>
          <w:rFonts w:cs="Arial"/>
          <w:szCs w:val="20"/>
          <w:lang w:val="pt-BR"/>
        </w:rPr>
        <w:t>s</w:t>
      </w:r>
      <w:r w:rsidRPr="00D5464D">
        <w:rPr>
          <w:rFonts w:cs="Arial"/>
          <w:szCs w:val="20"/>
          <w:lang w:val="pt-BR"/>
        </w:rPr>
        <w:t xml:space="preserve"> das </w:t>
      </w:r>
      <w:r w:rsidR="00D81AA1" w:rsidRPr="00D5464D">
        <w:rPr>
          <w:rFonts w:cs="Arial"/>
          <w:szCs w:val="20"/>
          <w:lang w:val="pt-BR"/>
        </w:rPr>
        <w:t>viola</w:t>
      </w:r>
      <w:r w:rsidRPr="00D5464D">
        <w:rPr>
          <w:rFonts w:cs="Arial"/>
          <w:szCs w:val="20"/>
          <w:lang w:val="pt-BR"/>
        </w:rPr>
        <w:t>ções</w:t>
      </w:r>
      <w:r w:rsidR="00D81AA1" w:rsidRPr="00D5464D">
        <w:rPr>
          <w:rFonts w:cs="Arial"/>
          <w:szCs w:val="20"/>
          <w:lang w:val="pt-BR"/>
        </w:rPr>
        <w:t>.</w:t>
      </w:r>
    </w:p>
    <w:p w14:paraId="43EFFD1F" w14:textId="77777777" w:rsidR="00D81AA1" w:rsidRPr="00D5464D" w:rsidRDefault="00D81AA1" w:rsidP="00D81AA1">
      <w:pPr>
        <w:pStyle w:val="Prrafodelista"/>
        <w:rPr>
          <w:rFonts w:cs="Arial"/>
          <w:szCs w:val="20"/>
          <w:lang w:val="pt-BR"/>
        </w:rPr>
      </w:pPr>
    </w:p>
    <w:p w14:paraId="68CE74C3" w14:textId="409B3499" w:rsidR="00D81AA1" w:rsidRPr="00D5464D" w:rsidRDefault="00350187" w:rsidP="00D81AA1">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 xml:space="preserve">Além disso, </w:t>
      </w:r>
      <w:r w:rsidR="002C330E" w:rsidRPr="00D5464D">
        <w:rPr>
          <w:rFonts w:cs="Arial"/>
          <w:szCs w:val="20"/>
          <w:lang w:val="pt-BR"/>
        </w:rPr>
        <w:t xml:space="preserve">a </w:t>
      </w:r>
      <w:r w:rsidR="00470ADC" w:rsidRPr="00D5464D">
        <w:rPr>
          <w:rFonts w:cs="Arial"/>
          <w:szCs w:val="20"/>
          <w:lang w:val="pt-BR"/>
        </w:rPr>
        <w:t>Comissão</w:t>
      </w:r>
      <w:r w:rsidR="00FE1C39" w:rsidRPr="00D5464D">
        <w:rPr>
          <w:rFonts w:cs="Arial"/>
          <w:szCs w:val="20"/>
          <w:lang w:val="pt-BR"/>
        </w:rPr>
        <w:t xml:space="preserve"> </w:t>
      </w:r>
      <w:r w:rsidR="00470ADC" w:rsidRPr="00D5464D">
        <w:rPr>
          <w:rFonts w:cs="Arial"/>
          <w:szCs w:val="20"/>
          <w:lang w:val="pt-BR"/>
        </w:rPr>
        <w:t>argumentou</w:t>
      </w:r>
      <w:r w:rsidR="00FE1C39" w:rsidRPr="00D5464D">
        <w:rPr>
          <w:rFonts w:cs="Arial"/>
          <w:szCs w:val="20"/>
          <w:lang w:val="pt-BR"/>
        </w:rPr>
        <w:t xml:space="preserve"> que</w:t>
      </w:r>
      <w:r w:rsidR="00E045D9" w:rsidRPr="00D5464D">
        <w:rPr>
          <w:rFonts w:cs="Arial"/>
          <w:szCs w:val="20"/>
          <w:lang w:val="pt-BR"/>
        </w:rPr>
        <w:t xml:space="preserve"> n</w:t>
      </w:r>
      <w:r w:rsidR="00DF6BC2" w:rsidRPr="00D5464D">
        <w:rPr>
          <w:rFonts w:cs="Arial"/>
          <w:szCs w:val="20"/>
          <w:lang w:val="pt-BR"/>
        </w:rPr>
        <w:t xml:space="preserve">este </w:t>
      </w:r>
      <w:r w:rsidR="00FE1C39" w:rsidRPr="00D5464D">
        <w:rPr>
          <w:rFonts w:cs="Arial"/>
          <w:szCs w:val="20"/>
          <w:lang w:val="pt-BR"/>
        </w:rPr>
        <w:t xml:space="preserve">caso </w:t>
      </w:r>
      <w:r w:rsidR="00DF6BC2" w:rsidRPr="00D5464D">
        <w:rPr>
          <w:rFonts w:cs="Arial"/>
          <w:szCs w:val="20"/>
          <w:lang w:val="pt-BR"/>
        </w:rPr>
        <w:t xml:space="preserve">estão exemplificadas </w:t>
      </w:r>
      <w:r w:rsidR="00470ADC" w:rsidRPr="00D5464D">
        <w:rPr>
          <w:rFonts w:cs="Arial"/>
          <w:szCs w:val="20"/>
          <w:lang w:val="pt-BR"/>
        </w:rPr>
        <w:t>ações</w:t>
      </w:r>
      <w:r w:rsidR="00FE1C39" w:rsidRPr="00D5464D">
        <w:rPr>
          <w:rFonts w:cs="Arial"/>
          <w:szCs w:val="20"/>
          <w:lang w:val="pt-BR"/>
        </w:rPr>
        <w:t xml:space="preserve"> concretas</w:t>
      </w:r>
      <w:r w:rsidR="00E045D9" w:rsidRPr="00D5464D">
        <w:rPr>
          <w:rFonts w:cs="Arial"/>
          <w:szCs w:val="20"/>
          <w:lang w:val="pt-BR"/>
        </w:rPr>
        <w:t xml:space="preserve"> </w:t>
      </w:r>
      <w:r w:rsidR="006B5425" w:rsidRPr="00D5464D">
        <w:rPr>
          <w:rFonts w:cs="Arial"/>
          <w:szCs w:val="20"/>
          <w:lang w:val="pt-BR"/>
        </w:rPr>
        <w:t>quanto ao</w:t>
      </w:r>
      <w:r w:rsidR="00FF1290" w:rsidRPr="00D5464D">
        <w:rPr>
          <w:rFonts w:cs="Arial"/>
          <w:szCs w:val="20"/>
          <w:lang w:val="pt-BR"/>
        </w:rPr>
        <w:t xml:space="preserve"> </w:t>
      </w:r>
      <w:r w:rsidR="00470ADC" w:rsidRPr="00D5464D">
        <w:rPr>
          <w:rFonts w:cs="Arial"/>
          <w:szCs w:val="20"/>
          <w:lang w:val="pt-BR"/>
        </w:rPr>
        <w:t xml:space="preserve">acesso à </w:t>
      </w:r>
      <w:r w:rsidR="002C330E" w:rsidRPr="00D5464D">
        <w:rPr>
          <w:rFonts w:cs="Arial"/>
          <w:szCs w:val="20"/>
          <w:lang w:val="pt-BR"/>
        </w:rPr>
        <w:t>justiça</w:t>
      </w:r>
      <w:r w:rsidR="00FE1C39" w:rsidRPr="00D5464D">
        <w:rPr>
          <w:rFonts w:cs="Arial"/>
          <w:szCs w:val="20"/>
          <w:lang w:val="pt-BR"/>
        </w:rPr>
        <w:t xml:space="preserve"> que se </w:t>
      </w:r>
      <w:r w:rsidR="00470ADC" w:rsidRPr="00D5464D">
        <w:rPr>
          <w:rFonts w:cs="Arial"/>
          <w:szCs w:val="20"/>
          <w:lang w:val="pt-BR"/>
        </w:rPr>
        <w:t>enquadram</w:t>
      </w:r>
      <w:r w:rsidR="00FE1C39" w:rsidRPr="00D5464D">
        <w:rPr>
          <w:rFonts w:cs="Arial"/>
          <w:szCs w:val="20"/>
          <w:lang w:val="pt-BR"/>
        </w:rPr>
        <w:t xml:space="preserve"> dentro</w:t>
      </w:r>
      <w:r w:rsidR="00470ADC" w:rsidRPr="00D5464D">
        <w:rPr>
          <w:rFonts w:cs="Arial"/>
          <w:szCs w:val="20"/>
          <w:lang w:val="pt-BR"/>
        </w:rPr>
        <w:t xml:space="preserve"> da </w:t>
      </w:r>
      <w:r w:rsidR="00FE1C39" w:rsidRPr="00D5464D">
        <w:rPr>
          <w:rFonts w:cs="Arial"/>
          <w:szCs w:val="20"/>
          <w:lang w:val="pt-BR"/>
        </w:rPr>
        <w:t>discrimina</w:t>
      </w:r>
      <w:r w:rsidR="00470ADC" w:rsidRPr="00D5464D">
        <w:rPr>
          <w:rFonts w:cs="Arial"/>
          <w:szCs w:val="20"/>
          <w:lang w:val="pt-BR"/>
        </w:rPr>
        <w:t>ção</w:t>
      </w:r>
      <w:r w:rsidR="00FE1C39" w:rsidRPr="00D5464D">
        <w:rPr>
          <w:rFonts w:cs="Arial"/>
          <w:szCs w:val="20"/>
          <w:lang w:val="pt-BR"/>
        </w:rPr>
        <w:t xml:space="preserve"> </w:t>
      </w:r>
      <w:r w:rsidR="00470ADC" w:rsidRPr="00D5464D">
        <w:rPr>
          <w:rFonts w:cs="Arial"/>
          <w:szCs w:val="20"/>
          <w:lang w:val="pt-BR"/>
        </w:rPr>
        <w:t>estrutura</w:t>
      </w:r>
      <w:r w:rsidR="00FE1C39" w:rsidRPr="00D5464D">
        <w:rPr>
          <w:rFonts w:cs="Arial"/>
          <w:szCs w:val="20"/>
          <w:lang w:val="pt-BR"/>
        </w:rPr>
        <w:t>l</w:t>
      </w:r>
      <w:r w:rsidR="00DF6BC2" w:rsidRPr="00D5464D">
        <w:rPr>
          <w:rFonts w:cs="Arial"/>
          <w:szCs w:val="20"/>
          <w:lang w:val="pt-BR"/>
        </w:rPr>
        <w:t xml:space="preserve">, </w:t>
      </w:r>
      <w:r w:rsidR="002C330E" w:rsidRPr="00D5464D">
        <w:rPr>
          <w:rFonts w:cs="Arial"/>
          <w:szCs w:val="20"/>
          <w:lang w:val="pt-BR"/>
        </w:rPr>
        <w:t xml:space="preserve">posto </w:t>
      </w:r>
      <w:r w:rsidR="00FE1C39" w:rsidRPr="00D5464D">
        <w:rPr>
          <w:rFonts w:cs="Arial"/>
          <w:szCs w:val="20"/>
          <w:lang w:val="pt-BR"/>
        </w:rPr>
        <w:t>que</w:t>
      </w:r>
      <w:r w:rsidR="006B5425" w:rsidRPr="00D5464D">
        <w:rPr>
          <w:rFonts w:cs="Arial"/>
          <w:szCs w:val="20"/>
          <w:lang w:val="pt-BR"/>
        </w:rPr>
        <w:t>,</w:t>
      </w:r>
      <w:r w:rsidR="00FE1C39" w:rsidRPr="00D5464D">
        <w:rPr>
          <w:rFonts w:cs="Arial"/>
          <w:szCs w:val="20"/>
          <w:lang w:val="pt-BR"/>
        </w:rPr>
        <w:t xml:space="preserve"> </w:t>
      </w:r>
      <w:r w:rsidRPr="00D5464D">
        <w:rPr>
          <w:rFonts w:cs="Arial"/>
          <w:szCs w:val="20"/>
          <w:lang w:val="pt-BR"/>
        </w:rPr>
        <w:t xml:space="preserve">não apenas </w:t>
      </w:r>
      <w:r w:rsidR="00DF6BC2" w:rsidRPr="00D5464D">
        <w:rPr>
          <w:rFonts w:cs="Arial"/>
          <w:szCs w:val="20"/>
          <w:lang w:val="pt-BR"/>
        </w:rPr>
        <w:t xml:space="preserve">não foram iniciados </w:t>
      </w:r>
      <w:r w:rsidR="002C330E" w:rsidRPr="00D5464D">
        <w:rPr>
          <w:rFonts w:cs="Arial"/>
          <w:szCs w:val="20"/>
          <w:lang w:val="pt-BR"/>
        </w:rPr>
        <w:t>processo</w:t>
      </w:r>
      <w:r w:rsidR="00FE1C39" w:rsidRPr="00D5464D">
        <w:rPr>
          <w:rFonts w:cs="Arial"/>
          <w:szCs w:val="20"/>
          <w:lang w:val="pt-BR"/>
        </w:rPr>
        <w:t xml:space="preserve">s </w:t>
      </w:r>
      <w:r w:rsidR="002C330E" w:rsidRPr="00D5464D">
        <w:rPr>
          <w:rFonts w:cs="Arial"/>
          <w:szCs w:val="20"/>
          <w:lang w:val="pt-BR"/>
        </w:rPr>
        <w:t>penais</w:t>
      </w:r>
      <w:r w:rsidR="00FE1C39" w:rsidRPr="00D5464D">
        <w:rPr>
          <w:rFonts w:cs="Arial"/>
          <w:szCs w:val="20"/>
          <w:lang w:val="pt-BR"/>
        </w:rPr>
        <w:t xml:space="preserve"> </w:t>
      </w:r>
      <w:r w:rsidR="00470ADC" w:rsidRPr="00D5464D">
        <w:rPr>
          <w:rFonts w:cs="Arial"/>
          <w:szCs w:val="20"/>
          <w:lang w:val="pt-BR"/>
        </w:rPr>
        <w:t>quando</w:t>
      </w:r>
      <w:r w:rsidR="00FE1C39" w:rsidRPr="00D5464D">
        <w:rPr>
          <w:rFonts w:cs="Arial"/>
          <w:szCs w:val="20"/>
          <w:lang w:val="pt-BR"/>
        </w:rPr>
        <w:t xml:space="preserve"> </w:t>
      </w:r>
      <w:r w:rsidR="00DF6BC2" w:rsidRPr="00D5464D">
        <w:rPr>
          <w:rFonts w:cs="Arial"/>
          <w:szCs w:val="20"/>
          <w:lang w:val="pt-BR"/>
        </w:rPr>
        <w:t xml:space="preserve">da detecção de </w:t>
      </w:r>
      <w:r w:rsidR="00FE1C39" w:rsidRPr="00D5464D">
        <w:rPr>
          <w:rFonts w:cs="Arial"/>
          <w:szCs w:val="20"/>
          <w:lang w:val="pt-BR"/>
        </w:rPr>
        <w:t xml:space="preserve">irregularidades </w:t>
      </w:r>
      <w:r w:rsidR="00DF6BC2" w:rsidRPr="00D5464D">
        <w:rPr>
          <w:rFonts w:cs="Arial"/>
          <w:szCs w:val="20"/>
          <w:lang w:val="pt-BR"/>
        </w:rPr>
        <w:t>trabalhistas</w:t>
      </w:r>
      <w:r w:rsidR="00FE1C39" w:rsidRPr="00D5464D">
        <w:rPr>
          <w:rFonts w:cs="Arial"/>
          <w:szCs w:val="20"/>
          <w:lang w:val="pt-BR"/>
        </w:rPr>
        <w:t>,</w:t>
      </w:r>
      <w:r w:rsidR="002C330E" w:rsidRPr="00D5464D">
        <w:rPr>
          <w:rFonts w:cs="Arial"/>
          <w:szCs w:val="20"/>
          <w:lang w:val="pt-BR"/>
        </w:rPr>
        <w:t xml:space="preserve"> mas</w:t>
      </w:r>
      <w:r w:rsidR="006B5425" w:rsidRPr="00D5464D">
        <w:rPr>
          <w:rFonts w:cs="Arial"/>
          <w:szCs w:val="20"/>
          <w:lang w:val="pt-BR"/>
        </w:rPr>
        <w:t>,</w:t>
      </w:r>
      <w:r w:rsidR="002C330E" w:rsidRPr="00D5464D">
        <w:rPr>
          <w:rFonts w:cs="Arial"/>
          <w:szCs w:val="20"/>
          <w:lang w:val="pt-BR"/>
        </w:rPr>
        <w:t xml:space="preserve"> </w:t>
      </w:r>
      <w:r w:rsidR="00DF6BC2" w:rsidRPr="00D5464D">
        <w:rPr>
          <w:rFonts w:cs="Arial"/>
          <w:szCs w:val="20"/>
          <w:lang w:val="pt-BR"/>
        </w:rPr>
        <w:t xml:space="preserve">mesmo havendo iniciado processos trabalhistas, chegou-se a </w:t>
      </w:r>
      <w:r w:rsidR="00E045D9" w:rsidRPr="00D5464D">
        <w:rPr>
          <w:rFonts w:cs="Arial"/>
          <w:szCs w:val="20"/>
          <w:lang w:val="pt-BR"/>
        </w:rPr>
        <w:t xml:space="preserve">um </w:t>
      </w:r>
      <w:r w:rsidR="00470ADC" w:rsidRPr="00D5464D">
        <w:rPr>
          <w:rFonts w:cs="Arial"/>
          <w:szCs w:val="20"/>
          <w:lang w:val="pt-BR"/>
        </w:rPr>
        <w:t>acordo</w:t>
      </w:r>
      <w:r w:rsidR="00FE1C39" w:rsidRPr="00D5464D">
        <w:rPr>
          <w:rFonts w:cs="Arial"/>
          <w:szCs w:val="20"/>
          <w:lang w:val="pt-BR"/>
        </w:rPr>
        <w:t xml:space="preserve"> </w:t>
      </w:r>
      <w:r w:rsidR="00470ADC" w:rsidRPr="00D5464D">
        <w:rPr>
          <w:rFonts w:cs="Arial"/>
          <w:szCs w:val="20"/>
          <w:lang w:val="pt-BR"/>
        </w:rPr>
        <w:t xml:space="preserve">conciliatório com o </w:t>
      </w:r>
      <w:r w:rsidR="00737270" w:rsidRPr="00D5464D">
        <w:rPr>
          <w:rFonts w:cs="Arial"/>
          <w:szCs w:val="20"/>
          <w:lang w:val="pt-BR"/>
        </w:rPr>
        <w:t>don</w:t>
      </w:r>
      <w:r w:rsidR="00FE1C39" w:rsidRPr="00D5464D">
        <w:rPr>
          <w:rFonts w:cs="Arial"/>
          <w:szCs w:val="20"/>
          <w:lang w:val="pt-BR"/>
        </w:rPr>
        <w:t>o</w:t>
      </w:r>
      <w:r w:rsidR="00470ADC" w:rsidRPr="00D5464D">
        <w:rPr>
          <w:rFonts w:cs="Arial"/>
          <w:szCs w:val="20"/>
          <w:lang w:val="pt-BR"/>
        </w:rPr>
        <w:t xml:space="preserve"> da </w:t>
      </w:r>
      <w:r w:rsidR="00D809F0" w:rsidRPr="00D5464D">
        <w:rPr>
          <w:rFonts w:cs="Arial"/>
          <w:szCs w:val="20"/>
          <w:lang w:val="pt-BR"/>
        </w:rPr>
        <w:t>Fazenda</w:t>
      </w:r>
      <w:r w:rsidR="00FE1C39" w:rsidRPr="00D5464D">
        <w:rPr>
          <w:rFonts w:cs="Arial"/>
          <w:szCs w:val="20"/>
          <w:lang w:val="pt-BR"/>
        </w:rPr>
        <w:t>,</w:t>
      </w:r>
      <w:r w:rsidR="002C330E" w:rsidRPr="00D5464D">
        <w:rPr>
          <w:rFonts w:cs="Arial"/>
          <w:szCs w:val="20"/>
          <w:lang w:val="pt-BR"/>
        </w:rPr>
        <w:t xml:space="preserve"> sem </w:t>
      </w:r>
      <w:r w:rsidR="00DF6BC2" w:rsidRPr="00D5464D">
        <w:rPr>
          <w:rFonts w:cs="Arial"/>
          <w:szCs w:val="20"/>
          <w:lang w:val="pt-BR"/>
        </w:rPr>
        <w:t xml:space="preserve">levar </w:t>
      </w:r>
      <w:r w:rsidR="00470ADC" w:rsidRPr="00D5464D">
        <w:rPr>
          <w:rFonts w:cs="Arial"/>
          <w:szCs w:val="20"/>
          <w:lang w:val="pt-BR"/>
        </w:rPr>
        <w:t xml:space="preserve">em </w:t>
      </w:r>
      <w:r w:rsidR="00FE1C39" w:rsidRPr="00D5464D">
        <w:rPr>
          <w:rFonts w:cs="Arial"/>
          <w:szCs w:val="20"/>
          <w:lang w:val="pt-BR"/>
        </w:rPr>
        <w:t>considera</w:t>
      </w:r>
      <w:r w:rsidR="00470ADC" w:rsidRPr="00D5464D">
        <w:rPr>
          <w:rFonts w:cs="Arial"/>
          <w:szCs w:val="20"/>
          <w:lang w:val="pt-BR"/>
        </w:rPr>
        <w:t>ção</w:t>
      </w:r>
      <w:r w:rsidR="00E045D9" w:rsidRPr="00D5464D">
        <w:rPr>
          <w:rFonts w:cs="Arial"/>
          <w:szCs w:val="20"/>
          <w:lang w:val="pt-BR"/>
        </w:rPr>
        <w:t xml:space="preserve"> </w:t>
      </w:r>
      <w:r w:rsidR="00DF6BC2" w:rsidRPr="00D5464D">
        <w:rPr>
          <w:rFonts w:cs="Arial"/>
          <w:szCs w:val="20"/>
          <w:lang w:val="pt-BR"/>
        </w:rPr>
        <w:t>a</w:t>
      </w:r>
      <w:r w:rsidR="00E045D9" w:rsidRPr="00D5464D">
        <w:rPr>
          <w:rFonts w:cs="Arial"/>
          <w:szCs w:val="20"/>
          <w:lang w:val="pt-BR"/>
        </w:rPr>
        <w:t>s vítima</w:t>
      </w:r>
      <w:r w:rsidR="00FE1C39" w:rsidRPr="00D5464D">
        <w:rPr>
          <w:rFonts w:cs="Arial"/>
          <w:szCs w:val="20"/>
          <w:lang w:val="pt-BR"/>
        </w:rPr>
        <w:t>s</w:t>
      </w:r>
      <w:r w:rsidR="00470ADC" w:rsidRPr="00D5464D">
        <w:rPr>
          <w:rFonts w:cs="Arial"/>
          <w:szCs w:val="20"/>
          <w:lang w:val="pt-BR"/>
        </w:rPr>
        <w:t>; e</w:t>
      </w:r>
      <w:r w:rsidR="006B5425" w:rsidRPr="00D5464D">
        <w:rPr>
          <w:rFonts w:cs="Arial"/>
          <w:szCs w:val="20"/>
          <w:lang w:val="pt-BR"/>
        </w:rPr>
        <w:t>,</w:t>
      </w:r>
      <w:r w:rsidR="00E045D9" w:rsidRPr="00D5464D">
        <w:rPr>
          <w:rFonts w:cs="Arial"/>
          <w:szCs w:val="20"/>
          <w:lang w:val="pt-BR"/>
        </w:rPr>
        <w:t xml:space="preserve"> neste </w:t>
      </w:r>
      <w:r w:rsidR="00470ADC" w:rsidRPr="00D5464D">
        <w:rPr>
          <w:rFonts w:cs="Arial"/>
          <w:szCs w:val="20"/>
          <w:lang w:val="pt-BR"/>
        </w:rPr>
        <w:t>acordo</w:t>
      </w:r>
      <w:r w:rsidR="006B5425" w:rsidRPr="00D5464D">
        <w:rPr>
          <w:rFonts w:cs="Arial"/>
          <w:szCs w:val="20"/>
          <w:lang w:val="pt-BR"/>
        </w:rPr>
        <w:t>,</w:t>
      </w:r>
      <w:r w:rsidR="002C330E" w:rsidRPr="00D5464D">
        <w:rPr>
          <w:rFonts w:cs="Arial"/>
          <w:szCs w:val="20"/>
          <w:lang w:val="pt-BR"/>
        </w:rPr>
        <w:t xml:space="preserve"> as </w:t>
      </w:r>
      <w:r w:rsidR="00FE1C39" w:rsidRPr="00D5464D">
        <w:rPr>
          <w:rFonts w:cs="Arial"/>
          <w:szCs w:val="20"/>
          <w:lang w:val="pt-BR"/>
        </w:rPr>
        <w:t xml:space="preserve">autoridades </w:t>
      </w:r>
      <w:r w:rsidR="00A1358C" w:rsidRPr="00D5464D">
        <w:rPr>
          <w:rFonts w:cs="Arial"/>
          <w:szCs w:val="20"/>
          <w:lang w:val="pt-BR"/>
        </w:rPr>
        <w:t>destacaram</w:t>
      </w:r>
      <w:r w:rsidR="00FE1C39" w:rsidRPr="00D5464D">
        <w:rPr>
          <w:rFonts w:cs="Arial"/>
          <w:szCs w:val="20"/>
          <w:lang w:val="pt-BR"/>
        </w:rPr>
        <w:t xml:space="preserve"> que</w:t>
      </w:r>
      <w:r w:rsidR="002C330E" w:rsidRPr="00D5464D">
        <w:rPr>
          <w:rFonts w:cs="Arial"/>
          <w:szCs w:val="20"/>
          <w:lang w:val="pt-BR"/>
        </w:rPr>
        <w:t xml:space="preserve"> se </w:t>
      </w:r>
      <w:r w:rsidR="00470ADC" w:rsidRPr="00D5464D">
        <w:rPr>
          <w:rFonts w:cs="Arial"/>
          <w:szCs w:val="20"/>
          <w:lang w:val="pt-BR"/>
        </w:rPr>
        <w:t xml:space="preserve">o </w:t>
      </w:r>
      <w:r w:rsidRPr="00D5464D">
        <w:rPr>
          <w:rFonts w:cs="Arial"/>
          <w:szCs w:val="20"/>
          <w:lang w:val="pt-BR"/>
        </w:rPr>
        <w:t>acusado</w:t>
      </w:r>
      <w:r w:rsidR="00FE1C39" w:rsidRPr="00D5464D">
        <w:rPr>
          <w:rFonts w:cs="Arial"/>
          <w:szCs w:val="20"/>
          <w:lang w:val="pt-BR"/>
        </w:rPr>
        <w:t xml:space="preserve"> </w:t>
      </w:r>
      <w:r w:rsidR="00DF6BC2" w:rsidRPr="00D5464D">
        <w:rPr>
          <w:rFonts w:cs="Arial"/>
          <w:szCs w:val="20"/>
          <w:lang w:val="pt-BR"/>
        </w:rPr>
        <w:t xml:space="preserve">voltasse </w:t>
      </w:r>
      <w:r w:rsidR="00FE1C39" w:rsidRPr="00D5464D">
        <w:rPr>
          <w:rFonts w:cs="Arial"/>
          <w:szCs w:val="20"/>
          <w:lang w:val="pt-BR"/>
        </w:rPr>
        <w:t xml:space="preserve">a </w:t>
      </w:r>
      <w:r w:rsidRPr="00D5464D">
        <w:rPr>
          <w:rFonts w:cs="Arial"/>
          <w:szCs w:val="20"/>
          <w:lang w:val="pt-BR"/>
        </w:rPr>
        <w:t>incorrer</w:t>
      </w:r>
      <w:r w:rsidR="00470ADC" w:rsidRPr="00D5464D">
        <w:rPr>
          <w:rFonts w:cs="Arial"/>
          <w:szCs w:val="20"/>
          <w:lang w:val="pt-BR"/>
        </w:rPr>
        <w:t xml:space="preserve"> em </w:t>
      </w:r>
      <w:r w:rsidR="002C330E" w:rsidRPr="00D5464D">
        <w:rPr>
          <w:rFonts w:cs="Arial"/>
          <w:szCs w:val="20"/>
          <w:lang w:val="pt-BR"/>
        </w:rPr>
        <w:t>prática</w:t>
      </w:r>
      <w:r w:rsidR="00FE1C39" w:rsidRPr="00D5464D">
        <w:rPr>
          <w:rFonts w:cs="Arial"/>
          <w:szCs w:val="20"/>
          <w:lang w:val="pt-BR"/>
        </w:rPr>
        <w:t xml:space="preserve">s de </w:t>
      </w:r>
      <w:r w:rsidR="00E045D9" w:rsidRPr="00D5464D">
        <w:rPr>
          <w:rFonts w:cs="Arial"/>
          <w:szCs w:val="20"/>
          <w:lang w:val="pt-BR"/>
        </w:rPr>
        <w:t>trabalho</w:t>
      </w:r>
      <w:r w:rsidR="00FE1C39" w:rsidRPr="00D5464D">
        <w:rPr>
          <w:rFonts w:cs="Arial"/>
          <w:szCs w:val="20"/>
          <w:lang w:val="pt-BR"/>
        </w:rPr>
        <w:t xml:space="preserve"> </w:t>
      </w:r>
      <w:r w:rsidR="004F1CC2" w:rsidRPr="00D5464D">
        <w:rPr>
          <w:rFonts w:cs="Arial"/>
          <w:szCs w:val="20"/>
          <w:lang w:val="pt-BR"/>
        </w:rPr>
        <w:t>escravo</w:t>
      </w:r>
      <w:r w:rsidR="00FE1C39" w:rsidRPr="00D5464D">
        <w:rPr>
          <w:rFonts w:cs="Arial"/>
          <w:szCs w:val="20"/>
          <w:lang w:val="pt-BR"/>
        </w:rPr>
        <w:t xml:space="preserve">, </w:t>
      </w:r>
      <w:r w:rsidR="00E045D9" w:rsidRPr="00D5464D">
        <w:rPr>
          <w:rFonts w:cs="Arial"/>
          <w:szCs w:val="20"/>
          <w:lang w:val="pt-BR"/>
        </w:rPr>
        <w:t>teria</w:t>
      </w:r>
      <w:r w:rsidR="00FE1C39" w:rsidRPr="00D5464D">
        <w:rPr>
          <w:rFonts w:cs="Arial"/>
          <w:szCs w:val="20"/>
          <w:lang w:val="pt-BR"/>
        </w:rPr>
        <w:t xml:space="preserve"> </w:t>
      </w:r>
      <w:r w:rsidR="00DF6BC2" w:rsidRPr="00D5464D">
        <w:rPr>
          <w:rFonts w:cs="Arial"/>
          <w:szCs w:val="20"/>
          <w:lang w:val="pt-BR"/>
        </w:rPr>
        <w:t xml:space="preserve">de </w:t>
      </w:r>
      <w:r w:rsidR="00FE1C39" w:rsidRPr="00D5464D">
        <w:rPr>
          <w:rFonts w:cs="Arial"/>
          <w:szCs w:val="20"/>
          <w:lang w:val="pt-BR"/>
        </w:rPr>
        <w:t>pagar</w:t>
      </w:r>
      <w:r w:rsidR="00E045D9" w:rsidRPr="00D5464D">
        <w:rPr>
          <w:rFonts w:cs="Arial"/>
          <w:szCs w:val="20"/>
          <w:lang w:val="pt-BR"/>
        </w:rPr>
        <w:t xml:space="preserve"> uma </w:t>
      </w:r>
      <w:r w:rsidR="00FE1C39" w:rsidRPr="00D5464D">
        <w:rPr>
          <w:rFonts w:cs="Arial"/>
          <w:szCs w:val="20"/>
          <w:lang w:val="pt-BR"/>
        </w:rPr>
        <w:t xml:space="preserve">multa por cada </w:t>
      </w:r>
      <w:r w:rsidR="00E045D9" w:rsidRPr="00D5464D">
        <w:rPr>
          <w:rFonts w:cs="Arial"/>
          <w:szCs w:val="20"/>
          <w:lang w:val="pt-BR"/>
        </w:rPr>
        <w:t>trabalh</w:t>
      </w:r>
      <w:r w:rsidR="00FE1C39" w:rsidRPr="00D5464D">
        <w:rPr>
          <w:rFonts w:cs="Arial"/>
          <w:szCs w:val="20"/>
          <w:lang w:val="pt-BR"/>
        </w:rPr>
        <w:t xml:space="preserve">ador, </w:t>
      </w:r>
      <w:r w:rsidR="00DF6BC2" w:rsidRPr="00D5464D">
        <w:rPr>
          <w:rFonts w:cs="Arial"/>
          <w:szCs w:val="20"/>
          <w:lang w:val="pt-BR"/>
        </w:rPr>
        <w:t>fosse</w:t>
      </w:r>
      <w:r w:rsidR="00FE1C39" w:rsidRPr="00D5464D">
        <w:rPr>
          <w:rFonts w:cs="Arial"/>
          <w:szCs w:val="20"/>
          <w:lang w:val="pt-BR"/>
        </w:rPr>
        <w:t xml:space="preserve"> “</w:t>
      </w:r>
      <w:r w:rsidR="002F578C" w:rsidRPr="00D5464D">
        <w:rPr>
          <w:rFonts w:cs="Arial"/>
          <w:szCs w:val="20"/>
          <w:lang w:val="pt-BR"/>
        </w:rPr>
        <w:t xml:space="preserve">branco </w:t>
      </w:r>
      <w:r w:rsidR="00FE1C39" w:rsidRPr="00D5464D">
        <w:rPr>
          <w:rFonts w:cs="Arial"/>
          <w:szCs w:val="20"/>
          <w:lang w:val="pt-BR"/>
        </w:rPr>
        <w:t xml:space="preserve">o negro”. </w:t>
      </w:r>
    </w:p>
    <w:p w14:paraId="53624943" w14:textId="77777777" w:rsidR="00D81AA1" w:rsidRPr="00D5464D" w:rsidRDefault="00D81AA1" w:rsidP="00D81AA1">
      <w:pPr>
        <w:pStyle w:val="Prrafodelista"/>
        <w:rPr>
          <w:rFonts w:cs="Arial"/>
          <w:szCs w:val="20"/>
          <w:lang w:val="pt-BR"/>
        </w:rPr>
      </w:pPr>
    </w:p>
    <w:p w14:paraId="7CA162CE" w14:textId="3814F2F3" w:rsidR="00D81AA1" w:rsidRPr="00D5464D" w:rsidRDefault="00D81AA1" w:rsidP="00D81AA1">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Finalmente,</w:t>
      </w:r>
      <w:r w:rsidR="002C330E" w:rsidRPr="00D5464D">
        <w:rPr>
          <w:rFonts w:cs="Arial"/>
          <w:szCs w:val="20"/>
          <w:lang w:val="pt-BR"/>
        </w:rPr>
        <w:t xml:space="preserve"> a </w:t>
      </w:r>
      <w:r w:rsidR="00470ADC" w:rsidRPr="00D5464D">
        <w:rPr>
          <w:rFonts w:cs="Arial"/>
          <w:szCs w:val="20"/>
          <w:lang w:val="pt-BR"/>
        </w:rPr>
        <w:t>Comissão</w:t>
      </w:r>
      <w:r w:rsidR="00FE1C39" w:rsidRPr="00D5464D">
        <w:rPr>
          <w:rFonts w:cs="Arial"/>
          <w:szCs w:val="20"/>
          <w:lang w:val="pt-BR"/>
        </w:rPr>
        <w:t xml:space="preserve"> </w:t>
      </w:r>
      <w:r w:rsidR="002C330E" w:rsidRPr="00D5464D">
        <w:rPr>
          <w:rFonts w:cs="Arial"/>
          <w:szCs w:val="20"/>
          <w:lang w:val="pt-BR"/>
        </w:rPr>
        <w:t>afirmou</w:t>
      </w:r>
      <w:r w:rsidR="00FE1C39" w:rsidRPr="00D5464D">
        <w:rPr>
          <w:rFonts w:cs="Arial"/>
          <w:szCs w:val="20"/>
          <w:lang w:val="pt-BR"/>
        </w:rPr>
        <w:t xml:space="preserve"> que</w:t>
      </w:r>
      <w:r w:rsidR="002C330E" w:rsidRPr="00D5464D">
        <w:rPr>
          <w:rFonts w:cs="Arial"/>
          <w:szCs w:val="20"/>
          <w:lang w:val="pt-BR"/>
        </w:rPr>
        <w:t xml:space="preserve"> a prescrição</w:t>
      </w:r>
      <w:r w:rsidR="00470ADC" w:rsidRPr="00D5464D">
        <w:rPr>
          <w:rFonts w:cs="Arial"/>
          <w:szCs w:val="20"/>
          <w:lang w:val="pt-BR"/>
        </w:rPr>
        <w:t xml:space="preserve"> dos </w:t>
      </w:r>
      <w:r w:rsidR="00FE1C39" w:rsidRPr="00D5464D">
        <w:rPr>
          <w:rFonts w:cs="Arial"/>
          <w:szCs w:val="20"/>
          <w:lang w:val="pt-BR"/>
        </w:rPr>
        <w:t xml:space="preserve">delitos de </w:t>
      </w:r>
      <w:r w:rsidR="002C330E" w:rsidRPr="00D5464D">
        <w:rPr>
          <w:rFonts w:cs="Arial"/>
          <w:szCs w:val="20"/>
          <w:lang w:val="pt-BR"/>
        </w:rPr>
        <w:t>submissão</w:t>
      </w:r>
      <w:r w:rsidR="00FE1C39" w:rsidRPr="00D5464D">
        <w:rPr>
          <w:rFonts w:cs="Arial"/>
          <w:szCs w:val="20"/>
          <w:lang w:val="pt-BR"/>
        </w:rPr>
        <w:t xml:space="preserve"> a </w:t>
      </w:r>
      <w:r w:rsidR="00E045D9" w:rsidRPr="00D5464D">
        <w:rPr>
          <w:rFonts w:cs="Arial"/>
          <w:szCs w:val="20"/>
          <w:lang w:val="pt-BR"/>
        </w:rPr>
        <w:t>trabalho</w:t>
      </w:r>
      <w:r w:rsidR="00FE1C39" w:rsidRPr="00D5464D">
        <w:rPr>
          <w:rFonts w:cs="Arial"/>
          <w:szCs w:val="20"/>
          <w:lang w:val="pt-BR"/>
        </w:rPr>
        <w:t xml:space="preserve"> </w:t>
      </w:r>
      <w:r w:rsidR="004F1CC2" w:rsidRPr="00D5464D">
        <w:rPr>
          <w:rFonts w:cs="Arial"/>
          <w:szCs w:val="20"/>
          <w:lang w:val="pt-BR"/>
        </w:rPr>
        <w:t>escravo</w:t>
      </w:r>
      <w:r w:rsidR="00FE1C39" w:rsidRPr="00D5464D">
        <w:rPr>
          <w:rFonts w:cs="Arial"/>
          <w:szCs w:val="20"/>
          <w:lang w:val="pt-BR"/>
        </w:rPr>
        <w:t xml:space="preserve"> </w:t>
      </w:r>
      <w:r w:rsidR="00DF6BC2" w:rsidRPr="00D5464D">
        <w:rPr>
          <w:rFonts w:cs="Arial"/>
          <w:szCs w:val="20"/>
          <w:lang w:val="pt-BR"/>
        </w:rPr>
        <w:t xml:space="preserve">é </w:t>
      </w:r>
      <w:r w:rsidR="00FE1C39" w:rsidRPr="00D5464D">
        <w:rPr>
          <w:rFonts w:cs="Arial"/>
          <w:szCs w:val="20"/>
          <w:lang w:val="pt-BR"/>
        </w:rPr>
        <w:t>in</w:t>
      </w:r>
      <w:r w:rsidR="00470ADC" w:rsidRPr="00D5464D">
        <w:rPr>
          <w:rFonts w:cs="Arial"/>
          <w:szCs w:val="20"/>
          <w:lang w:val="pt-BR"/>
        </w:rPr>
        <w:t>compatível com</w:t>
      </w:r>
      <w:r w:rsidR="002C330E" w:rsidRPr="00D5464D">
        <w:rPr>
          <w:rFonts w:cs="Arial"/>
          <w:szCs w:val="20"/>
          <w:lang w:val="pt-BR"/>
        </w:rPr>
        <w:t xml:space="preserve"> as obrigações</w:t>
      </w:r>
      <w:r w:rsidR="00FE1C39" w:rsidRPr="00D5464D">
        <w:rPr>
          <w:rFonts w:cs="Arial"/>
          <w:szCs w:val="20"/>
          <w:lang w:val="pt-BR"/>
        </w:rPr>
        <w:t xml:space="preserve"> </w:t>
      </w:r>
      <w:r w:rsidR="002C330E" w:rsidRPr="00D5464D">
        <w:rPr>
          <w:rFonts w:cs="Arial"/>
          <w:szCs w:val="20"/>
          <w:lang w:val="pt-BR"/>
        </w:rPr>
        <w:t>internacionais</w:t>
      </w:r>
      <w:r w:rsidR="00FE1C39" w:rsidRPr="00D5464D">
        <w:rPr>
          <w:rFonts w:cs="Arial"/>
          <w:szCs w:val="20"/>
          <w:lang w:val="pt-BR"/>
        </w:rPr>
        <w:t xml:space="preserve"> </w:t>
      </w:r>
      <w:r w:rsidR="00470ADC" w:rsidRPr="00D5464D">
        <w:rPr>
          <w:rFonts w:cs="Arial"/>
          <w:szCs w:val="20"/>
          <w:lang w:val="pt-BR"/>
        </w:rPr>
        <w:t xml:space="preserve">do </w:t>
      </w:r>
      <w:r w:rsidR="00FE1C39" w:rsidRPr="00D5464D">
        <w:rPr>
          <w:rFonts w:cs="Arial"/>
          <w:szCs w:val="20"/>
          <w:lang w:val="pt-BR"/>
        </w:rPr>
        <w:t xml:space="preserve">Estado </w:t>
      </w:r>
      <w:r w:rsidR="00470ADC" w:rsidRPr="00D5464D">
        <w:rPr>
          <w:rFonts w:cs="Arial"/>
          <w:szCs w:val="20"/>
          <w:lang w:val="pt-BR"/>
        </w:rPr>
        <w:t>brasileir</w:t>
      </w:r>
      <w:r w:rsidR="00FE1C39" w:rsidRPr="00D5464D">
        <w:rPr>
          <w:rFonts w:cs="Arial"/>
          <w:szCs w:val="20"/>
          <w:lang w:val="pt-BR"/>
        </w:rPr>
        <w:t>o</w:t>
      </w:r>
      <w:r w:rsidR="00470ADC" w:rsidRPr="00D5464D">
        <w:rPr>
          <w:rFonts w:cs="Arial"/>
          <w:szCs w:val="20"/>
          <w:lang w:val="pt-BR"/>
        </w:rPr>
        <w:t>, e</w:t>
      </w:r>
      <w:r w:rsidR="00FE1C39" w:rsidRPr="00D5464D">
        <w:rPr>
          <w:rFonts w:cs="Arial"/>
          <w:szCs w:val="20"/>
          <w:lang w:val="pt-BR"/>
        </w:rPr>
        <w:t xml:space="preserve"> que</w:t>
      </w:r>
      <w:r w:rsidR="002C330E" w:rsidRPr="00D5464D">
        <w:rPr>
          <w:rFonts w:cs="Arial"/>
          <w:szCs w:val="20"/>
          <w:lang w:val="pt-BR"/>
        </w:rPr>
        <w:t xml:space="preserve"> a </w:t>
      </w:r>
      <w:r w:rsidR="00FE1C39" w:rsidRPr="00D5464D">
        <w:rPr>
          <w:rFonts w:cs="Arial"/>
          <w:szCs w:val="20"/>
          <w:lang w:val="pt-BR"/>
        </w:rPr>
        <w:t>aplica</w:t>
      </w:r>
      <w:r w:rsidR="00470ADC" w:rsidRPr="00D5464D">
        <w:rPr>
          <w:rFonts w:cs="Arial"/>
          <w:szCs w:val="20"/>
          <w:lang w:val="pt-BR"/>
        </w:rPr>
        <w:t>ção da</w:t>
      </w:r>
      <w:r w:rsidR="00DF6BC2" w:rsidRPr="00D5464D">
        <w:rPr>
          <w:rFonts w:cs="Arial"/>
          <w:szCs w:val="20"/>
          <w:lang w:val="pt-BR"/>
        </w:rPr>
        <w:t>s</w:t>
      </w:r>
      <w:r w:rsidR="00470ADC" w:rsidRPr="00D5464D">
        <w:rPr>
          <w:rFonts w:cs="Arial"/>
          <w:szCs w:val="20"/>
          <w:lang w:val="pt-BR"/>
        </w:rPr>
        <w:t xml:space="preserve"> </w:t>
      </w:r>
      <w:r w:rsidR="00FE1C39" w:rsidRPr="00D5464D">
        <w:rPr>
          <w:rFonts w:cs="Arial"/>
          <w:szCs w:val="20"/>
          <w:lang w:val="pt-BR"/>
        </w:rPr>
        <w:t>norma</w:t>
      </w:r>
      <w:r w:rsidR="00DF6BC2" w:rsidRPr="00D5464D">
        <w:rPr>
          <w:rFonts w:cs="Arial"/>
          <w:szCs w:val="20"/>
          <w:lang w:val="pt-BR"/>
        </w:rPr>
        <w:t>s</w:t>
      </w:r>
      <w:r w:rsidR="00FE1C39" w:rsidRPr="00D5464D">
        <w:rPr>
          <w:rFonts w:cs="Arial"/>
          <w:szCs w:val="20"/>
          <w:lang w:val="pt-BR"/>
        </w:rPr>
        <w:t xml:space="preserve"> interna</w:t>
      </w:r>
      <w:r w:rsidR="006B5425" w:rsidRPr="00D5464D">
        <w:rPr>
          <w:rFonts w:cs="Arial"/>
          <w:szCs w:val="20"/>
          <w:lang w:val="pt-BR"/>
        </w:rPr>
        <w:t>s</w:t>
      </w:r>
      <w:r w:rsidR="00FE1C39" w:rsidRPr="00D5464D">
        <w:rPr>
          <w:rFonts w:cs="Arial"/>
          <w:szCs w:val="20"/>
          <w:lang w:val="pt-BR"/>
        </w:rPr>
        <w:t xml:space="preserve"> que permite</w:t>
      </w:r>
      <w:r w:rsidR="00DF6BC2" w:rsidRPr="00D5464D">
        <w:rPr>
          <w:rFonts w:cs="Arial"/>
          <w:szCs w:val="20"/>
          <w:lang w:val="pt-BR"/>
        </w:rPr>
        <w:t>m</w:t>
      </w:r>
      <w:r w:rsidR="002C330E" w:rsidRPr="00D5464D">
        <w:rPr>
          <w:rFonts w:cs="Arial"/>
          <w:szCs w:val="20"/>
          <w:lang w:val="pt-BR"/>
        </w:rPr>
        <w:t xml:space="preserve"> a prescrição</w:t>
      </w:r>
      <w:r w:rsidR="00470ADC" w:rsidRPr="00D5464D">
        <w:rPr>
          <w:rFonts w:cs="Arial"/>
          <w:szCs w:val="20"/>
          <w:lang w:val="pt-BR"/>
        </w:rPr>
        <w:t xml:space="preserve"> deste </w:t>
      </w:r>
      <w:r w:rsidR="00FE1C39" w:rsidRPr="00D5464D">
        <w:rPr>
          <w:rFonts w:cs="Arial"/>
          <w:szCs w:val="20"/>
          <w:lang w:val="pt-BR"/>
        </w:rPr>
        <w:t xml:space="preserve">delito </w:t>
      </w:r>
      <w:r w:rsidR="00737270" w:rsidRPr="00D5464D">
        <w:rPr>
          <w:rFonts w:cs="Arial"/>
          <w:szCs w:val="20"/>
          <w:lang w:val="pt-BR"/>
        </w:rPr>
        <w:t>não pode</w:t>
      </w:r>
      <w:r w:rsidR="00FE1C39" w:rsidRPr="00D5464D">
        <w:rPr>
          <w:rFonts w:cs="Arial"/>
          <w:szCs w:val="20"/>
          <w:lang w:val="pt-BR"/>
        </w:rPr>
        <w:t xml:space="preserve"> </w:t>
      </w:r>
      <w:r w:rsidR="00DF6BC2" w:rsidRPr="00D5464D">
        <w:rPr>
          <w:rFonts w:cs="Arial"/>
          <w:szCs w:val="20"/>
          <w:lang w:val="pt-BR"/>
        </w:rPr>
        <w:t xml:space="preserve">continuar representando </w:t>
      </w:r>
      <w:r w:rsidR="00E045D9" w:rsidRPr="00D5464D">
        <w:rPr>
          <w:rFonts w:cs="Arial"/>
          <w:szCs w:val="20"/>
          <w:lang w:val="pt-BR"/>
        </w:rPr>
        <w:t xml:space="preserve">um </w:t>
      </w:r>
      <w:r w:rsidR="00FE1C39" w:rsidRPr="00D5464D">
        <w:rPr>
          <w:rFonts w:cs="Arial"/>
          <w:szCs w:val="20"/>
          <w:lang w:val="pt-BR"/>
        </w:rPr>
        <w:t>obstáculo para</w:t>
      </w:r>
      <w:r w:rsidR="002C330E" w:rsidRPr="00D5464D">
        <w:rPr>
          <w:rFonts w:cs="Arial"/>
          <w:szCs w:val="20"/>
          <w:lang w:val="pt-BR"/>
        </w:rPr>
        <w:t xml:space="preserve"> a </w:t>
      </w:r>
      <w:r w:rsidR="00FE1C39" w:rsidRPr="00D5464D">
        <w:rPr>
          <w:rFonts w:cs="Arial"/>
          <w:szCs w:val="20"/>
          <w:lang w:val="pt-BR"/>
        </w:rPr>
        <w:t>investiga</w:t>
      </w:r>
      <w:r w:rsidR="00470ADC" w:rsidRPr="00D5464D">
        <w:rPr>
          <w:rFonts w:cs="Arial"/>
          <w:szCs w:val="20"/>
          <w:lang w:val="pt-BR"/>
        </w:rPr>
        <w:t xml:space="preserve">ção dos </w:t>
      </w:r>
      <w:r w:rsidR="002C330E" w:rsidRPr="00D5464D">
        <w:rPr>
          <w:rFonts w:cs="Arial"/>
          <w:szCs w:val="20"/>
          <w:lang w:val="pt-BR"/>
        </w:rPr>
        <w:t>fatos</w:t>
      </w:r>
      <w:r w:rsidR="00E045D9" w:rsidRPr="00D5464D">
        <w:rPr>
          <w:rFonts w:cs="Arial"/>
          <w:szCs w:val="20"/>
          <w:lang w:val="pt-BR"/>
        </w:rPr>
        <w:t xml:space="preserve"> e </w:t>
      </w:r>
      <w:r w:rsidR="00DF6BC2" w:rsidRPr="00D5464D">
        <w:rPr>
          <w:rFonts w:cs="Arial"/>
          <w:szCs w:val="20"/>
          <w:lang w:val="pt-BR"/>
        </w:rPr>
        <w:t xml:space="preserve">a punição </w:t>
      </w:r>
      <w:r w:rsidR="00470ADC" w:rsidRPr="00D5464D">
        <w:rPr>
          <w:rFonts w:cs="Arial"/>
          <w:szCs w:val="20"/>
          <w:lang w:val="pt-BR"/>
        </w:rPr>
        <w:t xml:space="preserve">dos </w:t>
      </w:r>
      <w:r w:rsidR="002C330E" w:rsidRPr="00D5464D">
        <w:rPr>
          <w:rFonts w:cs="Arial"/>
          <w:szCs w:val="20"/>
          <w:lang w:val="pt-BR"/>
        </w:rPr>
        <w:t>responsáveis</w:t>
      </w:r>
      <w:r w:rsidR="00FE1C39" w:rsidRPr="00D5464D">
        <w:rPr>
          <w:rFonts w:cs="Arial"/>
          <w:szCs w:val="20"/>
          <w:lang w:val="pt-BR"/>
        </w:rPr>
        <w:t xml:space="preserve">. </w:t>
      </w:r>
      <w:r w:rsidR="00230C71" w:rsidRPr="00D5464D">
        <w:rPr>
          <w:rFonts w:cs="Arial"/>
          <w:szCs w:val="20"/>
          <w:lang w:val="pt-BR"/>
        </w:rPr>
        <w:t>Portanto,</w:t>
      </w:r>
      <w:r w:rsidR="002C330E" w:rsidRPr="00D5464D">
        <w:rPr>
          <w:rFonts w:cs="Arial"/>
          <w:szCs w:val="20"/>
          <w:lang w:val="pt-BR"/>
        </w:rPr>
        <w:t xml:space="preserve"> a </w:t>
      </w:r>
      <w:r w:rsidR="00470ADC" w:rsidRPr="00D5464D">
        <w:rPr>
          <w:rFonts w:cs="Arial"/>
          <w:szCs w:val="20"/>
          <w:lang w:val="pt-BR"/>
        </w:rPr>
        <w:t>Comissão</w:t>
      </w:r>
      <w:r w:rsidR="00FE1C39" w:rsidRPr="00D5464D">
        <w:rPr>
          <w:rFonts w:cs="Arial"/>
          <w:szCs w:val="20"/>
          <w:lang w:val="pt-BR"/>
        </w:rPr>
        <w:t xml:space="preserve"> </w:t>
      </w:r>
      <w:r w:rsidR="005F3480" w:rsidRPr="00D5464D">
        <w:rPr>
          <w:rFonts w:cs="Arial"/>
          <w:szCs w:val="20"/>
          <w:lang w:val="pt-BR"/>
        </w:rPr>
        <w:t>afirmou</w:t>
      </w:r>
      <w:r w:rsidR="00FE1C39" w:rsidRPr="00D5464D">
        <w:rPr>
          <w:rFonts w:cs="Arial"/>
          <w:szCs w:val="20"/>
          <w:lang w:val="pt-BR"/>
        </w:rPr>
        <w:t xml:space="preserve"> que</w:t>
      </w:r>
      <w:r w:rsidR="00470ADC" w:rsidRPr="00D5464D">
        <w:rPr>
          <w:rFonts w:cs="Arial"/>
          <w:szCs w:val="20"/>
          <w:lang w:val="pt-BR"/>
        </w:rPr>
        <w:t xml:space="preserve"> o </w:t>
      </w:r>
      <w:r w:rsidR="00FE1C39" w:rsidRPr="00D5464D">
        <w:rPr>
          <w:rFonts w:cs="Arial"/>
          <w:szCs w:val="20"/>
          <w:lang w:val="pt-BR"/>
        </w:rPr>
        <w:t xml:space="preserve">Estado era </w:t>
      </w:r>
      <w:r w:rsidR="00350187" w:rsidRPr="00D5464D">
        <w:rPr>
          <w:rFonts w:cs="Arial"/>
          <w:szCs w:val="20"/>
          <w:lang w:val="pt-BR"/>
        </w:rPr>
        <w:t>responsável pela</w:t>
      </w:r>
      <w:r w:rsidR="00470ADC" w:rsidRPr="00D5464D">
        <w:rPr>
          <w:rFonts w:cs="Arial"/>
          <w:szCs w:val="20"/>
          <w:lang w:val="pt-BR"/>
        </w:rPr>
        <w:t xml:space="preserve"> </w:t>
      </w:r>
      <w:r w:rsidR="00FE1C39" w:rsidRPr="00D5464D">
        <w:rPr>
          <w:rFonts w:cs="Arial"/>
          <w:szCs w:val="20"/>
          <w:lang w:val="pt-BR"/>
        </w:rPr>
        <w:t>viola</w:t>
      </w:r>
      <w:r w:rsidR="00470ADC" w:rsidRPr="00D5464D">
        <w:rPr>
          <w:rFonts w:cs="Arial"/>
          <w:szCs w:val="20"/>
          <w:lang w:val="pt-BR"/>
        </w:rPr>
        <w:t>ção</w:t>
      </w:r>
      <w:r w:rsidR="00E045D9" w:rsidRPr="00D5464D">
        <w:rPr>
          <w:rFonts w:cs="Arial"/>
          <w:szCs w:val="20"/>
          <w:lang w:val="pt-BR"/>
        </w:rPr>
        <w:t xml:space="preserve"> aos </w:t>
      </w:r>
      <w:r w:rsidR="00470ADC" w:rsidRPr="00D5464D">
        <w:rPr>
          <w:rFonts w:cs="Arial"/>
          <w:szCs w:val="20"/>
          <w:lang w:val="pt-BR"/>
        </w:rPr>
        <w:t>artigo</w:t>
      </w:r>
      <w:r w:rsidR="00FE1C39" w:rsidRPr="00D5464D">
        <w:rPr>
          <w:rFonts w:cs="Arial"/>
          <w:szCs w:val="20"/>
          <w:lang w:val="pt-BR"/>
        </w:rPr>
        <w:t>s 8.1</w:t>
      </w:r>
      <w:r w:rsidR="00E045D9" w:rsidRPr="00D5464D">
        <w:rPr>
          <w:rFonts w:cs="Arial"/>
          <w:szCs w:val="20"/>
          <w:lang w:val="pt-BR"/>
        </w:rPr>
        <w:t xml:space="preserve"> e </w:t>
      </w:r>
      <w:r w:rsidR="00FE1C39" w:rsidRPr="00D5464D">
        <w:rPr>
          <w:rFonts w:cs="Arial"/>
          <w:szCs w:val="20"/>
          <w:lang w:val="pt-BR"/>
        </w:rPr>
        <w:t>25.1,</w:t>
      </w:r>
      <w:r w:rsidR="00470ADC" w:rsidRPr="00D5464D">
        <w:rPr>
          <w:rFonts w:cs="Arial"/>
          <w:szCs w:val="20"/>
          <w:lang w:val="pt-BR"/>
        </w:rPr>
        <w:t xml:space="preserve"> </w:t>
      </w:r>
      <w:r w:rsidR="00A1358C" w:rsidRPr="00D5464D">
        <w:rPr>
          <w:rFonts w:cs="Arial"/>
          <w:szCs w:val="20"/>
          <w:lang w:val="pt-BR"/>
        </w:rPr>
        <w:t>em relação aos artigos</w:t>
      </w:r>
      <w:r w:rsidR="00FE1C39" w:rsidRPr="00D5464D">
        <w:rPr>
          <w:rFonts w:cs="Arial"/>
          <w:szCs w:val="20"/>
          <w:lang w:val="pt-BR"/>
        </w:rPr>
        <w:t xml:space="preserve"> 1.1</w:t>
      </w:r>
      <w:r w:rsidR="00E045D9" w:rsidRPr="00D5464D">
        <w:rPr>
          <w:rFonts w:cs="Arial"/>
          <w:szCs w:val="20"/>
          <w:lang w:val="pt-BR"/>
        </w:rPr>
        <w:t xml:space="preserve"> e </w:t>
      </w:r>
      <w:r w:rsidR="00FE1C39" w:rsidRPr="00D5464D">
        <w:rPr>
          <w:rFonts w:cs="Arial"/>
          <w:szCs w:val="20"/>
          <w:lang w:val="pt-BR"/>
        </w:rPr>
        <w:t>2</w:t>
      </w:r>
      <w:r w:rsidR="00470ADC" w:rsidRPr="00D5464D">
        <w:rPr>
          <w:rFonts w:cs="Arial"/>
          <w:szCs w:val="20"/>
          <w:lang w:val="pt-BR"/>
        </w:rPr>
        <w:t xml:space="preserve"> da </w:t>
      </w:r>
      <w:r w:rsidR="00FE1C39" w:rsidRPr="00D5464D">
        <w:rPr>
          <w:rFonts w:cs="Arial"/>
          <w:szCs w:val="20"/>
          <w:lang w:val="pt-BR"/>
        </w:rPr>
        <w:t>Conven</w:t>
      </w:r>
      <w:r w:rsidR="00470ADC" w:rsidRPr="00D5464D">
        <w:rPr>
          <w:rFonts w:cs="Arial"/>
          <w:szCs w:val="20"/>
          <w:lang w:val="pt-BR"/>
        </w:rPr>
        <w:t>ção</w:t>
      </w:r>
      <w:r w:rsidR="00FE1C39" w:rsidRPr="00D5464D">
        <w:rPr>
          <w:rFonts w:cs="Arial"/>
          <w:szCs w:val="20"/>
          <w:lang w:val="pt-BR"/>
        </w:rPr>
        <w:t xml:space="preserve"> Americana. </w:t>
      </w:r>
    </w:p>
    <w:p w14:paraId="56588660" w14:textId="77777777" w:rsidR="00D81AA1" w:rsidRPr="00D5464D" w:rsidRDefault="00D81AA1" w:rsidP="00D81AA1">
      <w:pPr>
        <w:pStyle w:val="Prrafodelista"/>
        <w:rPr>
          <w:rFonts w:cs="Arial"/>
          <w:szCs w:val="20"/>
          <w:lang w:val="pt-BR"/>
        </w:rPr>
      </w:pPr>
    </w:p>
    <w:p w14:paraId="1D27EF5D" w14:textId="276251AB" w:rsidR="00D81AA1" w:rsidRPr="00D5464D" w:rsidRDefault="00DF6BC2" w:rsidP="00D81AA1">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 xml:space="preserve"> O</w:t>
      </w:r>
      <w:r w:rsidR="002C330E" w:rsidRPr="00D5464D">
        <w:rPr>
          <w:rFonts w:cs="Arial"/>
          <w:szCs w:val="20"/>
          <w:lang w:val="pt-BR"/>
        </w:rPr>
        <w:t xml:space="preserve">s </w:t>
      </w:r>
      <w:r w:rsidR="00EB1CE9" w:rsidRPr="00D5464D">
        <w:rPr>
          <w:rFonts w:cs="Arial"/>
          <w:b/>
          <w:i/>
          <w:szCs w:val="20"/>
          <w:lang w:val="pt-BR"/>
        </w:rPr>
        <w:t>representante</w:t>
      </w:r>
      <w:r w:rsidR="00D81AA1" w:rsidRPr="00D5464D">
        <w:rPr>
          <w:rFonts w:cs="Arial"/>
          <w:b/>
          <w:i/>
          <w:szCs w:val="20"/>
          <w:lang w:val="pt-BR"/>
        </w:rPr>
        <w:t>s</w:t>
      </w:r>
      <w:r w:rsidR="00D81AA1" w:rsidRPr="00D5464D">
        <w:rPr>
          <w:rFonts w:cs="Arial"/>
          <w:szCs w:val="20"/>
          <w:lang w:val="pt-BR"/>
        </w:rPr>
        <w:t xml:space="preserve"> </w:t>
      </w:r>
      <w:r w:rsidR="002C330E" w:rsidRPr="00D5464D">
        <w:rPr>
          <w:rFonts w:cs="Arial"/>
          <w:szCs w:val="20"/>
          <w:lang w:val="pt-BR"/>
        </w:rPr>
        <w:t>afirmaram</w:t>
      </w:r>
      <w:r w:rsidR="00D81AA1" w:rsidRPr="00D5464D">
        <w:rPr>
          <w:rFonts w:cs="Arial"/>
          <w:szCs w:val="20"/>
          <w:lang w:val="pt-BR"/>
        </w:rPr>
        <w:t xml:space="preserve"> que</w:t>
      </w:r>
      <w:r w:rsidR="00470ADC" w:rsidRPr="00D5464D">
        <w:rPr>
          <w:rFonts w:cs="Arial"/>
          <w:szCs w:val="20"/>
          <w:lang w:val="pt-BR"/>
        </w:rPr>
        <w:t xml:space="preserve"> o </w:t>
      </w:r>
      <w:r w:rsidR="00D81AA1" w:rsidRPr="00D5464D">
        <w:rPr>
          <w:rFonts w:cs="Arial"/>
          <w:szCs w:val="20"/>
          <w:lang w:val="pt-BR"/>
        </w:rPr>
        <w:t xml:space="preserve">Estado </w:t>
      </w:r>
      <w:r w:rsidR="00470ADC" w:rsidRPr="00D5464D">
        <w:rPr>
          <w:rFonts w:cs="Arial"/>
          <w:szCs w:val="20"/>
          <w:lang w:val="pt-BR"/>
        </w:rPr>
        <w:t>brasileir</w:t>
      </w:r>
      <w:r w:rsidR="00D81AA1" w:rsidRPr="00D5464D">
        <w:rPr>
          <w:rFonts w:cs="Arial"/>
          <w:szCs w:val="20"/>
          <w:lang w:val="pt-BR"/>
        </w:rPr>
        <w:t>o</w:t>
      </w:r>
      <w:r w:rsidR="00470ADC" w:rsidRPr="00D5464D">
        <w:rPr>
          <w:rFonts w:cs="Arial"/>
          <w:szCs w:val="20"/>
          <w:lang w:val="pt-BR"/>
        </w:rPr>
        <w:t xml:space="preserve"> é </w:t>
      </w:r>
      <w:r w:rsidR="002C330E" w:rsidRPr="00D5464D">
        <w:rPr>
          <w:rFonts w:cs="Arial"/>
          <w:szCs w:val="20"/>
          <w:lang w:val="pt-BR"/>
        </w:rPr>
        <w:t xml:space="preserve">responsável </w:t>
      </w:r>
      <w:r w:rsidR="00D81AA1" w:rsidRPr="00D5464D">
        <w:rPr>
          <w:rFonts w:cs="Arial"/>
          <w:szCs w:val="20"/>
          <w:lang w:val="pt-BR"/>
        </w:rPr>
        <w:t>por violar</w:t>
      </w:r>
      <w:r w:rsidR="00470ADC" w:rsidRPr="00D5464D">
        <w:rPr>
          <w:rFonts w:cs="Arial"/>
          <w:szCs w:val="20"/>
          <w:lang w:val="pt-BR"/>
        </w:rPr>
        <w:t xml:space="preserve"> o direito à </w:t>
      </w:r>
      <w:r w:rsidR="002C330E" w:rsidRPr="00D5464D">
        <w:rPr>
          <w:rFonts w:cs="Arial"/>
          <w:szCs w:val="20"/>
          <w:lang w:val="pt-BR"/>
        </w:rPr>
        <w:t>proteção</w:t>
      </w:r>
      <w:r w:rsidR="00D81AA1" w:rsidRPr="00D5464D">
        <w:rPr>
          <w:rFonts w:cs="Arial"/>
          <w:szCs w:val="20"/>
          <w:lang w:val="pt-BR"/>
        </w:rPr>
        <w:t xml:space="preserve"> judicial</w:t>
      </w:r>
      <w:r w:rsidR="00F65007" w:rsidRPr="00D5464D">
        <w:rPr>
          <w:rFonts w:cs="Arial"/>
          <w:szCs w:val="20"/>
          <w:lang w:val="pt-BR"/>
        </w:rPr>
        <w:t>,</w:t>
      </w:r>
      <w:r w:rsidR="00D81AA1" w:rsidRPr="00D5464D">
        <w:rPr>
          <w:rFonts w:cs="Arial"/>
          <w:szCs w:val="20"/>
          <w:lang w:val="pt-BR"/>
        </w:rPr>
        <w:t xml:space="preserve"> previsto</w:t>
      </w:r>
      <w:r w:rsidR="00E045D9" w:rsidRPr="00D5464D">
        <w:rPr>
          <w:rFonts w:cs="Arial"/>
          <w:szCs w:val="20"/>
          <w:lang w:val="pt-BR"/>
        </w:rPr>
        <w:t xml:space="preserve"> no </w:t>
      </w:r>
      <w:r w:rsidR="00470ADC" w:rsidRPr="00D5464D">
        <w:rPr>
          <w:rFonts w:cs="Arial"/>
          <w:szCs w:val="20"/>
          <w:lang w:val="pt-BR"/>
        </w:rPr>
        <w:t>artigo</w:t>
      </w:r>
      <w:r w:rsidR="00D81AA1" w:rsidRPr="00D5464D">
        <w:rPr>
          <w:rFonts w:cs="Arial"/>
          <w:szCs w:val="20"/>
          <w:lang w:val="pt-BR"/>
        </w:rPr>
        <w:t xml:space="preserve"> 8</w:t>
      </w:r>
      <w:r w:rsidR="00470ADC" w:rsidRPr="00D5464D">
        <w:rPr>
          <w:rFonts w:cs="Arial"/>
          <w:szCs w:val="20"/>
          <w:lang w:val="pt-BR"/>
        </w:rPr>
        <w:t xml:space="preserve"> da </w:t>
      </w:r>
      <w:r w:rsidR="00D81AA1" w:rsidRPr="00D5464D">
        <w:rPr>
          <w:rFonts w:cs="Arial"/>
          <w:szCs w:val="20"/>
          <w:lang w:val="pt-BR"/>
        </w:rPr>
        <w:t>Conven</w:t>
      </w:r>
      <w:r w:rsidR="00470ADC" w:rsidRPr="00D5464D">
        <w:rPr>
          <w:rFonts w:cs="Arial"/>
          <w:szCs w:val="20"/>
          <w:lang w:val="pt-BR"/>
        </w:rPr>
        <w:t>ção</w:t>
      </w:r>
      <w:r w:rsidR="00D81AA1" w:rsidRPr="00D5464D">
        <w:rPr>
          <w:rFonts w:cs="Arial"/>
          <w:szCs w:val="20"/>
          <w:lang w:val="pt-BR"/>
        </w:rPr>
        <w:t>,</w:t>
      </w:r>
      <w:r w:rsidR="00470ADC" w:rsidRPr="00D5464D">
        <w:rPr>
          <w:rFonts w:cs="Arial"/>
          <w:szCs w:val="20"/>
          <w:lang w:val="pt-BR"/>
        </w:rPr>
        <w:t xml:space="preserve"> em </w:t>
      </w:r>
      <w:r w:rsidR="002C330E" w:rsidRPr="00D5464D">
        <w:rPr>
          <w:rFonts w:cs="Arial"/>
          <w:szCs w:val="20"/>
          <w:lang w:val="pt-BR"/>
        </w:rPr>
        <w:t>prejuízo</w:t>
      </w:r>
      <w:r w:rsidR="00470ADC" w:rsidRPr="00D5464D">
        <w:rPr>
          <w:rFonts w:cs="Arial"/>
          <w:szCs w:val="20"/>
          <w:lang w:val="pt-BR"/>
        </w:rPr>
        <w:t xml:space="preserve"> das </w:t>
      </w:r>
      <w:r w:rsidR="002C330E" w:rsidRPr="00D5464D">
        <w:rPr>
          <w:rFonts w:cs="Arial"/>
          <w:szCs w:val="20"/>
          <w:lang w:val="pt-BR"/>
        </w:rPr>
        <w:t>pessoa</w:t>
      </w:r>
      <w:r w:rsidR="00D81AA1" w:rsidRPr="00D5464D">
        <w:rPr>
          <w:rFonts w:cs="Arial"/>
          <w:szCs w:val="20"/>
          <w:lang w:val="pt-BR"/>
        </w:rPr>
        <w:t xml:space="preserve">s que </w:t>
      </w:r>
      <w:r w:rsidR="00350187" w:rsidRPr="00D5464D">
        <w:rPr>
          <w:rFonts w:cs="Arial"/>
          <w:szCs w:val="20"/>
          <w:lang w:val="pt-BR"/>
        </w:rPr>
        <w:t>trabalharam</w:t>
      </w:r>
      <w:r w:rsidR="00E045D9" w:rsidRPr="00D5464D">
        <w:rPr>
          <w:rFonts w:cs="Arial"/>
          <w:szCs w:val="20"/>
          <w:lang w:val="pt-BR"/>
        </w:rPr>
        <w:t xml:space="preserve"> na </w:t>
      </w:r>
      <w:r w:rsidR="00D809F0" w:rsidRPr="00D5464D">
        <w:rPr>
          <w:rFonts w:cs="Arial"/>
          <w:szCs w:val="20"/>
          <w:lang w:val="pt-BR"/>
        </w:rPr>
        <w:t>Fazenda</w:t>
      </w:r>
      <w:r w:rsidR="00D81AA1" w:rsidRPr="00D5464D">
        <w:rPr>
          <w:rFonts w:cs="Arial"/>
          <w:szCs w:val="20"/>
          <w:lang w:val="pt-BR"/>
        </w:rPr>
        <w:t xml:space="preserve"> Brasil Verde,</w:t>
      </w:r>
      <w:r w:rsidR="002C330E" w:rsidRPr="00D5464D">
        <w:rPr>
          <w:rFonts w:cs="Arial"/>
          <w:szCs w:val="20"/>
          <w:lang w:val="pt-BR"/>
        </w:rPr>
        <w:t xml:space="preserve"> pois</w:t>
      </w:r>
      <w:r w:rsidR="00F65007" w:rsidRPr="00D5464D">
        <w:rPr>
          <w:rFonts w:cs="Arial"/>
          <w:szCs w:val="20"/>
          <w:lang w:val="pt-BR"/>
        </w:rPr>
        <w:t>,</w:t>
      </w:r>
      <w:r w:rsidR="00737270" w:rsidRPr="00D5464D">
        <w:rPr>
          <w:rFonts w:cs="Arial"/>
          <w:szCs w:val="20"/>
          <w:lang w:val="pt-BR"/>
        </w:rPr>
        <w:t xml:space="preserve"> apesar </w:t>
      </w:r>
      <w:r w:rsidR="00D81AA1" w:rsidRPr="00D5464D">
        <w:rPr>
          <w:rFonts w:cs="Arial"/>
          <w:szCs w:val="20"/>
          <w:lang w:val="pt-BR"/>
        </w:rPr>
        <w:t>de</w:t>
      </w:r>
      <w:r w:rsidR="00E045D9" w:rsidRPr="00D5464D">
        <w:rPr>
          <w:rFonts w:cs="Arial"/>
          <w:szCs w:val="20"/>
          <w:lang w:val="pt-BR"/>
        </w:rPr>
        <w:t xml:space="preserve"> ter </w:t>
      </w:r>
      <w:r w:rsidR="00470ADC" w:rsidRPr="00D5464D">
        <w:rPr>
          <w:rFonts w:cs="Arial"/>
          <w:szCs w:val="20"/>
          <w:lang w:val="pt-BR"/>
        </w:rPr>
        <w:t xml:space="preserve">conhecimento </w:t>
      </w:r>
      <w:r w:rsidR="00F65007" w:rsidRPr="00D5464D">
        <w:rPr>
          <w:rFonts w:cs="Arial"/>
          <w:szCs w:val="20"/>
          <w:lang w:val="pt-BR"/>
        </w:rPr>
        <w:t xml:space="preserve">sobre </w:t>
      </w:r>
      <w:r w:rsidR="00470ADC" w:rsidRPr="00D5464D">
        <w:rPr>
          <w:rFonts w:cs="Arial"/>
          <w:szCs w:val="20"/>
          <w:lang w:val="pt-BR"/>
        </w:rPr>
        <w:t xml:space="preserve">a </w:t>
      </w:r>
      <w:r w:rsidR="00E045D9" w:rsidRPr="00D5464D">
        <w:rPr>
          <w:rFonts w:cs="Arial"/>
          <w:szCs w:val="20"/>
          <w:lang w:val="pt-BR"/>
        </w:rPr>
        <w:t>existência</w:t>
      </w:r>
      <w:r w:rsidR="00D81AA1" w:rsidRPr="00D5464D">
        <w:rPr>
          <w:rFonts w:cs="Arial"/>
          <w:szCs w:val="20"/>
          <w:lang w:val="pt-BR"/>
        </w:rPr>
        <w:t xml:space="preserve"> de</w:t>
      </w:r>
      <w:r w:rsidR="00470ADC" w:rsidRPr="00D5464D">
        <w:rPr>
          <w:rFonts w:cs="Arial"/>
          <w:szCs w:val="20"/>
          <w:lang w:val="pt-BR"/>
        </w:rPr>
        <w:t xml:space="preserve"> atos</w:t>
      </w:r>
      <w:r w:rsidR="00D81AA1" w:rsidRPr="00D5464D">
        <w:rPr>
          <w:rFonts w:cs="Arial"/>
          <w:szCs w:val="20"/>
          <w:lang w:val="pt-BR"/>
        </w:rPr>
        <w:t xml:space="preserve"> constitutivos de </w:t>
      </w:r>
      <w:r w:rsidR="00737270" w:rsidRPr="00D5464D">
        <w:rPr>
          <w:rFonts w:cs="Arial"/>
          <w:szCs w:val="20"/>
          <w:lang w:val="pt-BR"/>
        </w:rPr>
        <w:t>redução</w:t>
      </w:r>
      <w:r w:rsidR="00D81AA1" w:rsidRPr="00D5464D">
        <w:rPr>
          <w:rFonts w:cs="Arial"/>
          <w:szCs w:val="20"/>
          <w:lang w:val="pt-BR"/>
        </w:rPr>
        <w:t xml:space="preserve"> </w:t>
      </w:r>
      <w:r w:rsidR="00FC4109" w:rsidRPr="00D5464D">
        <w:rPr>
          <w:rFonts w:cs="Arial"/>
          <w:szCs w:val="20"/>
          <w:lang w:val="pt-BR"/>
        </w:rPr>
        <w:t xml:space="preserve">de pessoas </w:t>
      </w:r>
      <w:r w:rsidR="00D81AA1" w:rsidRPr="00D5464D">
        <w:rPr>
          <w:rFonts w:cs="Arial"/>
          <w:szCs w:val="20"/>
          <w:lang w:val="pt-BR"/>
        </w:rPr>
        <w:t>a condi</w:t>
      </w:r>
      <w:r w:rsidR="00470ADC" w:rsidRPr="00D5464D">
        <w:rPr>
          <w:rFonts w:cs="Arial"/>
          <w:szCs w:val="20"/>
          <w:lang w:val="pt-BR"/>
        </w:rPr>
        <w:t>ções</w:t>
      </w:r>
      <w:r w:rsidR="00D81AA1" w:rsidRPr="00D5464D">
        <w:rPr>
          <w:rFonts w:cs="Arial"/>
          <w:szCs w:val="20"/>
          <w:lang w:val="pt-BR"/>
        </w:rPr>
        <w:t xml:space="preserve"> </w:t>
      </w:r>
      <w:r w:rsidR="006665EF" w:rsidRPr="00D5464D">
        <w:rPr>
          <w:rFonts w:cs="Arial"/>
          <w:szCs w:val="20"/>
          <w:lang w:val="pt-BR"/>
        </w:rPr>
        <w:t>análogas</w:t>
      </w:r>
      <w:r w:rsidR="00350187" w:rsidRPr="00D5464D">
        <w:rPr>
          <w:rFonts w:cs="Arial"/>
          <w:szCs w:val="20"/>
          <w:lang w:val="pt-BR"/>
        </w:rPr>
        <w:t xml:space="preserve"> </w:t>
      </w:r>
      <w:r w:rsidR="00D81AA1" w:rsidRPr="00D5464D">
        <w:rPr>
          <w:rFonts w:cs="Arial"/>
          <w:szCs w:val="20"/>
          <w:lang w:val="pt-BR"/>
        </w:rPr>
        <w:t xml:space="preserve">de </w:t>
      </w:r>
      <w:r w:rsidR="000B376D" w:rsidRPr="00D5464D">
        <w:rPr>
          <w:rFonts w:cs="Arial"/>
          <w:szCs w:val="20"/>
          <w:lang w:val="pt-BR"/>
        </w:rPr>
        <w:t>escravidão</w:t>
      </w:r>
      <w:r w:rsidR="00D81AA1" w:rsidRPr="00D5464D">
        <w:rPr>
          <w:rFonts w:cs="Arial"/>
          <w:szCs w:val="20"/>
          <w:lang w:val="pt-BR"/>
        </w:rPr>
        <w:t xml:space="preserve">, </w:t>
      </w:r>
      <w:r w:rsidR="00A1358C" w:rsidRPr="00D5464D">
        <w:rPr>
          <w:rFonts w:cs="Arial"/>
          <w:szCs w:val="20"/>
          <w:lang w:val="pt-BR"/>
        </w:rPr>
        <w:t>faltou</w:t>
      </w:r>
      <w:r w:rsidR="00D81AA1" w:rsidRPr="00D5464D">
        <w:rPr>
          <w:rFonts w:cs="Arial"/>
          <w:szCs w:val="20"/>
          <w:lang w:val="pt-BR"/>
        </w:rPr>
        <w:t xml:space="preserve"> </w:t>
      </w:r>
      <w:r w:rsidR="00F65007" w:rsidRPr="00D5464D">
        <w:rPr>
          <w:rFonts w:cs="Arial"/>
          <w:szCs w:val="20"/>
          <w:lang w:val="pt-BR"/>
        </w:rPr>
        <w:t>com</w:t>
      </w:r>
      <w:r w:rsidR="00D81AA1" w:rsidRPr="00D5464D">
        <w:rPr>
          <w:rFonts w:cs="Arial"/>
          <w:szCs w:val="20"/>
          <w:lang w:val="pt-BR"/>
        </w:rPr>
        <w:t xml:space="preserve"> </w:t>
      </w:r>
      <w:r w:rsidR="00E045D9" w:rsidRPr="00D5464D">
        <w:rPr>
          <w:rFonts w:cs="Arial"/>
          <w:szCs w:val="20"/>
          <w:lang w:val="pt-BR"/>
        </w:rPr>
        <w:t>seu dever</w:t>
      </w:r>
      <w:r w:rsidR="00D81AA1" w:rsidRPr="00D5464D">
        <w:rPr>
          <w:rFonts w:cs="Arial"/>
          <w:szCs w:val="20"/>
          <w:lang w:val="pt-BR"/>
        </w:rPr>
        <w:t xml:space="preserve"> de investigar</w:t>
      </w:r>
      <w:r w:rsidR="002C330E" w:rsidRPr="00D5464D">
        <w:rPr>
          <w:rFonts w:cs="Arial"/>
          <w:szCs w:val="20"/>
          <w:lang w:val="pt-BR"/>
        </w:rPr>
        <w:t xml:space="preserve"> os </w:t>
      </w:r>
      <w:r w:rsidR="00470ADC" w:rsidRPr="00D5464D">
        <w:rPr>
          <w:rFonts w:cs="Arial"/>
          <w:szCs w:val="20"/>
          <w:lang w:val="pt-BR"/>
        </w:rPr>
        <w:t>atos</w:t>
      </w:r>
      <w:r w:rsidR="00D81AA1" w:rsidRPr="00D5464D">
        <w:rPr>
          <w:rFonts w:cs="Arial"/>
          <w:szCs w:val="20"/>
          <w:lang w:val="pt-BR"/>
        </w:rPr>
        <w:t xml:space="preserve"> dentro de</w:t>
      </w:r>
      <w:r w:rsidR="00E045D9" w:rsidRPr="00D5464D">
        <w:rPr>
          <w:rFonts w:cs="Arial"/>
          <w:szCs w:val="20"/>
          <w:lang w:val="pt-BR"/>
        </w:rPr>
        <w:t xml:space="preserve"> um </w:t>
      </w:r>
      <w:r w:rsidR="002C330E" w:rsidRPr="00D5464D">
        <w:rPr>
          <w:rFonts w:cs="Arial"/>
          <w:szCs w:val="20"/>
          <w:lang w:val="pt-BR"/>
        </w:rPr>
        <w:t>prazo</w:t>
      </w:r>
      <w:r w:rsidR="00D81AA1" w:rsidRPr="00D5464D">
        <w:rPr>
          <w:rFonts w:cs="Arial"/>
          <w:szCs w:val="20"/>
          <w:lang w:val="pt-BR"/>
        </w:rPr>
        <w:t xml:space="preserve"> </w:t>
      </w:r>
      <w:r w:rsidR="00230C71" w:rsidRPr="00D5464D">
        <w:rPr>
          <w:rFonts w:cs="Arial"/>
          <w:szCs w:val="20"/>
          <w:lang w:val="pt-BR"/>
        </w:rPr>
        <w:t>razoável.</w:t>
      </w:r>
      <w:r w:rsidR="00D81AA1" w:rsidRPr="00D5464D">
        <w:rPr>
          <w:rFonts w:cs="Arial"/>
          <w:szCs w:val="20"/>
          <w:lang w:val="pt-BR"/>
        </w:rPr>
        <w:t xml:space="preserve"> </w:t>
      </w:r>
      <w:r w:rsidR="00470ADC" w:rsidRPr="00D5464D">
        <w:rPr>
          <w:rFonts w:cs="Arial"/>
          <w:szCs w:val="20"/>
          <w:lang w:val="pt-BR"/>
        </w:rPr>
        <w:t>Ademais</w:t>
      </w:r>
      <w:r w:rsidR="00D81AA1" w:rsidRPr="00D5464D">
        <w:rPr>
          <w:rFonts w:cs="Arial"/>
          <w:szCs w:val="20"/>
          <w:lang w:val="pt-BR"/>
        </w:rPr>
        <w:t xml:space="preserve">, </w:t>
      </w:r>
      <w:r w:rsidR="00470ADC" w:rsidRPr="00D5464D">
        <w:rPr>
          <w:rFonts w:cs="Arial"/>
          <w:szCs w:val="20"/>
          <w:lang w:val="pt-BR"/>
        </w:rPr>
        <w:t>alegaram</w:t>
      </w:r>
      <w:r w:rsidR="00D81AA1" w:rsidRPr="00D5464D">
        <w:rPr>
          <w:rFonts w:cs="Arial"/>
          <w:szCs w:val="20"/>
          <w:lang w:val="pt-BR"/>
        </w:rPr>
        <w:t xml:space="preserve"> que</w:t>
      </w:r>
      <w:r w:rsidR="00470ADC" w:rsidRPr="00D5464D">
        <w:rPr>
          <w:rFonts w:cs="Arial"/>
          <w:szCs w:val="20"/>
          <w:lang w:val="pt-BR"/>
        </w:rPr>
        <w:t xml:space="preserve"> o </w:t>
      </w:r>
      <w:r w:rsidR="00D81AA1" w:rsidRPr="00D5464D">
        <w:rPr>
          <w:rFonts w:cs="Arial"/>
          <w:szCs w:val="20"/>
          <w:lang w:val="pt-BR"/>
        </w:rPr>
        <w:t>Estado n</w:t>
      </w:r>
      <w:r w:rsidR="00F65007" w:rsidRPr="00D5464D">
        <w:rPr>
          <w:rFonts w:cs="Arial"/>
          <w:szCs w:val="20"/>
          <w:lang w:val="pt-BR"/>
        </w:rPr>
        <w:t>ã</w:t>
      </w:r>
      <w:r w:rsidR="00D81AA1" w:rsidRPr="00D5464D">
        <w:rPr>
          <w:rFonts w:cs="Arial"/>
          <w:szCs w:val="20"/>
          <w:lang w:val="pt-BR"/>
        </w:rPr>
        <w:t xml:space="preserve">o </w:t>
      </w:r>
      <w:r w:rsidR="00470ADC" w:rsidRPr="00D5464D">
        <w:rPr>
          <w:rFonts w:cs="Arial"/>
          <w:szCs w:val="20"/>
          <w:lang w:val="pt-BR"/>
        </w:rPr>
        <w:t>atuou com</w:t>
      </w:r>
      <w:r w:rsidR="002C330E" w:rsidRPr="00D5464D">
        <w:rPr>
          <w:rFonts w:cs="Arial"/>
          <w:szCs w:val="20"/>
          <w:lang w:val="pt-BR"/>
        </w:rPr>
        <w:t xml:space="preserve"> a </w:t>
      </w:r>
      <w:r w:rsidR="00737270" w:rsidRPr="00D5464D">
        <w:rPr>
          <w:rFonts w:cs="Arial"/>
          <w:szCs w:val="20"/>
          <w:lang w:val="pt-BR"/>
        </w:rPr>
        <w:t>urgência</w:t>
      </w:r>
      <w:r w:rsidR="00D81AA1" w:rsidRPr="00D5464D">
        <w:rPr>
          <w:rFonts w:cs="Arial"/>
          <w:szCs w:val="20"/>
          <w:lang w:val="pt-BR"/>
        </w:rPr>
        <w:t xml:space="preserve"> que </w:t>
      </w:r>
      <w:r w:rsidR="00470ADC" w:rsidRPr="00D5464D">
        <w:rPr>
          <w:rFonts w:cs="Arial"/>
          <w:szCs w:val="20"/>
          <w:lang w:val="pt-BR"/>
        </w:rPr>
        <w:t xml:space="preserve">o </w:t>
      </w:r>
      <w:r w:rsidR="00D81AA1" w:rsidRPr="00D5464D">
        <w:rPr>
          <w:rFonts w:cs="Arial"/>
          <w:szCs w:val="20"/>
          <w:lang w:val="pt-BR"/>
        </w:rPr>
        <w:t>caso</w:t>
      </w:r>
      <w:r w:rsidR="00F65007" w:rsidRPr="00D5464D">
        <w:rPr>
          <w:rFonts w:cs="Arial"/>
          <w:szCs w:val="20"/>
          <w:lang w:val="pt-BR"/>
        </w:rPr>
        <w:t xml:space="preserve"> merecia</w:t>
      </w:r>
      <w:r w:rsidR="00D81AA1" w:rsidRPr="00D5464D">
        <w:rPr>
          <w:rFonts w:cs="Arial"/>
          <w:szCs w:val="20"/>
          <w:lang w:val="pt-BR"/>
        </w:rPr>
        <w:t xml:space="preserve">, </w:t>
      </w:r>
      <w:r w:rsidR="00F65007" w:rsidRPr="00D5464D">
        <w:rPr>
          <w:rFonts w:cs="Arial"/>
          <w:szCs w:val="20"/>
          <w:lang w:val="pt-BR"/>
        </w:rPr>
        <w:t>no sentido de retirar a</w:t>
      </w:r>
      <w:r w:rsidR="00E045D9" w:rsidRPr="00D5464D">
        <w:rPr>
          <w:rFonts w:cs="Arial"/>
          <w:szCs w:val="20"/>
          <w:lang w:val="pt-BR"/>
        </w:rPr>
        <w:t>s vítima</w:t>
      </w:r>
      <w:r w:rsidR="00D81AA1" w:rsidRPr="00D5464D">
        <w:rPr>
          <w:rFonts w:cs="Arial"/>
          <w:szCs w:val="20"/>
          <w:lang w:val="pt-BR"/>
        </w:rPr>
        <w:t>s</w:t>
      </w:r>
      <w:r w:rsidR="00470ADC" w:rsidRPr="00D5464D">
        <w:rPr>
          <w:rFonts w:cs="Arial"/>
          <w:szCs w:val="20"/>
          <w:lang w:val="pt-BR"/>
        </w:rPr>
        <w:t xml:space="preserve"> da </w:t>
      </w:r>
      <w:r w:rsidR="00D81AA1" w:rsidRPr="00D5464D">
        <w:rPr>
          <w:rFonts w:cs="Arial"/>
          <w:szCs w:val="20"/>
          <w:lang w:val="pt-BR"/>
        </w:rPr>
        <w:t>situa</w:t>
      </w:r>
      <w:r w:rsidR="00470ADC" w:rsidRPr="00D5464D">
        <w:rPr>
          <w:rFonts w:cs="Arial"/>
          <w:szCs w:val="20"/>
          <w:lang w:val="pt-BR"/>
        </w:rPr>
        <w:t>ção</w:t>
      </w:r>
      <w:r w:rsidR="00D81AA1" w:rsidRPr="00D5464D">
        <w:rPr>
          <w:rFonts w:cs="Arial"/>
          <w:szCs w:val="20"/>
          <w:lang w:val="pt-BR"/>
        </w:rPr>
        <w:t xml:space="preserve"> de viola</w:t>
      </w:r>
      <w:r w:rsidR="00470ADC" w:rsidRPr="00D5464D">
        <w:rPr>
          <w:rFonts w:cs="Arial"/>
          <w:szCs w:val="20"/>
          <w:lang w:val="pt-BR"/>
        </w:rPr>
        <w:t xml:space="preserve">ção em </w:t>
      </w:r>
      <w:r w:rsidR="00D81AA1" w:rsidRPr="00D5464D">
        <w:rPr>
          <w:rFonts w:cs="Arial"/>
          <w:szCs w:val="20"/>
          <w:lang w:val="pt-BR"/>
        </w:rPr>
        <w:t xml:space="preserve">que se </w:t>
      </w:r>
      <w:r w:rsidR="00470ADC" w:rsidRPr="00D5464D">
        <w:rPr>
          <w:rFonts w:cs="Arial"/>
          <w:szCs w:val="20"/>
          <w:lang w:val="pt-BR"/>
        </w:rPr>
        <w:t>encontravam</w:t>
      </w:r>
      <w:r w:rsidR="00D81AA1" w:rsidRPr="00D5464D">
        <w:rPr>
          <w:rFonts w:cs="Arial"/>
          <w:szCs w:val="20"/>
          <w:lang w:val="pt-BR"/>
        </w:rPr>
        <w:t>.</w:t>
      </w:r>
    </w:p>
    <w:p w14:paraId="20167823" w14:textId="77777777" w:rsidR="00D81AA1" w:rsidRPr="00D5464D" w:rsidRDefault="00D81AA1" w:rsidP="00D81AA1">
      <w:pPr>
        <w:jc w:val="both"/>
        <w:rPr>
          <w:rFonts w:cs="Arial"/>
          <w:szCs w:val="20"/>
          <w:lang w:val="pt-BR"/>
        </w:rPr>
      </w:pPr>
    </w:p>
    <w:p w14:paraId="190B96C8" w14:textId="0628E264" w:rsidR="00D81AA1" w:rsidRPr="00D5464D" w:rsidRDefault="00350187" w:rsidP="00D81AA1">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 xml:space="preserve">Além disso, </w:t>
      </w:r>
      <w:r w:rsidR="002C330E" w:rsidRPr="00D5464D">
        <w:rPr>
          <w:rFonts w:cs="Arial"/>
          <w:szCs w:val="20"/>
          <w:lang w:val="pt-BR"/>
        </w:rPr>
        <w:t xml:space="preserve">os </w:t>
      </w:r>
      <w:r w:rsidR="00EB1CE9" w:rsidRPr="00D5464D">
        <w:rPr>
          <w:rFonts w:cs="Arial"/>
          <w:szCs w:val="20"/>
          <w:lang w:val="pt-BR"/>
        </w:rPr>
        <w:t>representante</w:t>
      </w:r>
      <w:r w:rsidR="00D81AA1" w:rsidRPr="00D5464D">
        <w:rPr>
          <w:rFonts w:cs="Arial"/>
          <w:szCs w:val="20"/>
          <w:lang w:val="pt-BR"/>
        </w:rPr>
        <w:t xml:space="preserve">s </w:t>
      </w:r>
      <w:r w:rsidR="00A1358C" w:rsidRPr="00D5464D">
        <w:rPr>
          <w:rFonts w:cs="Arial"/>
          <w:szCs w:val="20"/>
          <w:lang w:val="pt-BR"/>
        </w:rPr>
        <w:t>destacaram</w:t>
      </w:r>
      <w:r w:rsidR="00D81AA1" w:rsidRPr="00D5464D">
        <w:rPr>
          <w:rFonts w:cs="Arial"/>
          <w:szCs w:val="20"/>
          <w:lang w:val="pt-BR"/>
        </w:rPr>
        <w:t xml:space="preserve"> que</w:t>
      </w:r>
      <w:r w:rsidR="00FC4109" w:rsidRPr="00D5464D">
        <w:rPr>
          <w:rFonts w:cs="Arial"/>
          <w:szCs w:val="20"/>
          <w:lang w:val="pt-BR"/>
        </w:rPr>
        <w:t>,</w:t>
      </w:r>
      <w:r w:rsidR="00D81AA1" w:rsidRPr="00D5464D">
        <w:rPr>
          <w:rFonts w:cs="Arial"/>
          <w:szCs w:val="20"/>
          <w:lang w:val="pt-BR"/>
        </w:rPr>
        <w:t xml:space="preserve"> </w:t>
      </w:r>
      <w:r w:rsidR="00F65007" w:rsidRPr="00D5464D">
        <w:rPr>
          <w:rFonts w:cs="Arial"/>
          <w:szCs w:val="20"/>
          <w:lang w:val="pt-BR"/>
        </w:rPr>
        <w:t xml:space="preserve">mesmo </w:t>
      </w:r>
      <w:r w:rsidR="00470ADC" w:rsidRPr="00D5464D">
        <w:rPr>
          <w:rFonts w:cs="Arial"/>
          <w:szCs w:val="20"/>
          <w:lang w:val="pt-BR"/>
        </w:rPr>
        <w:t>depois</w:t>
      </w:r>
      <w:r w:rsidR="00D81AA1" w:rsidRPr="00D5464D">
        <w:rPr>
          <w:rFonts w:cs="Arial"/>
          <w:szCs w:val="20"/>
          <w:lang w:val="pt-BR"/>
        </w:rPr>
        <w:t xml:space="preserve"> de 18 </w:t>
      </w:r>
      <w:r w:rsidR="00470ADC" w:rsidRPr="00D5464D">
        <w:rPr>
          <w:rFonts w:cs="Arial"/>
          <w:szCs w:val="20"/>
          <w:lang w:val="pt-BR"/>
        </w:rPr>
        <w:t>anos</w:t>
      </w:r>
      <w:r w:rsidR="00F65007" w:rsidRPr="00D5464D">
        <w:rPr>
          <w:rFonts w:cs="Arial"/>
          <w:szCs w:val="20"/>
          <w:lang w:val="pt-BR"/>
        </w:rPr>
        <w:t xml:space="preserve">, ainda </w:t>
      </w:r>
      <w:r w:rsidR="00D81AA1" w:rsidRPr="00D5464D">
        <w:rPr>
          <w:rFonts w:cs="Arial"/>
          <w:szCs w:val="20"/>
          <w:lang w:val="pt-BR"/>
        </w:rPr>
        <w:t>existe</w:t>
      </w:r>
      <w:r w:rsidR="00E045D9" w:rsidRPr="00D5464D">
        <w:rPr>
          <w:rFonts w:cs="Arial"/>
          <w:szCs w:val="20"/>
          <w:lang w:val="pt-BR"/>
        </w:rPr>
        <w:t xml:space="preserve"> uma </w:t>
      </w:r>
      <w:r w:rsidR="00F65007" w:rsidRPr="00D5464D">
        <w:rPr>
          <w:rFonts w:cs="Arial"/>
          <w:szCs w:val="20"/>
          <w:lang w:val="pt-BR"/>
        </w:rPr>
        <w:t xml:space="preserve">situação de </w:t>
      </w:r>
      <w:r w:rsidR="00D81AA1" w:rsidRPr="00D5464D">
        <w:rPr>
          <w:rFonts w:cs="Arial"/>
          <w:szCs w:val="20"/>
          <w:lang w:val="pt-BR"/>
        </w:rPr>
        <w:t xml:space="preserve">absoluta </w:t>
      </w:r>
      <w:r w:rsidR="002C330E" w:rsidRPr="00D5464D">
        <w:rPr>
          <w:rFonts w:cs="Arial"/>
          <w:szCs w:val="20"/>
          <w:lang w:val="pt-BR"/>
        </w:rPr>
        <w:t>impunida</w:t>
      </w:r>
      <w:r w:rsidR="00E045D9" w:rsidRPr="00D5464D">
        <w:rPr>
          <w:rFonts w:cs="Arial"/>
          <w:szCs w:val="20"/>
          <w:lang w:val="pt-BR"/>
        </w:rPr>
        <w:t>d</w:t>
      </w:r>
      <w:r w:rsidR="00DF6BC2" w:rsidRPr="00D5464D">
        <w:rPr>
          <w:rFonts w:cs="Arial"/>
          <w:szCs w:val="20"/>
          <w:lang w:val="pt-BR"/>
        </w:rPr>
        <w:t xml:space="preserve">e </w:t>
      </w:r>
      <w:r w:rsidR="00F65007" w:rsidRPr="00D5464D">
        <w:rPr>
          <w:rFonts w:cs="Arial"/>
          <w:szCs w:val="20"/>
          <w:lang w:val="pt-BR"/>
        </w:rPr>
        <w:t>em relação a</w:t>
      </w:r>
      <w:r w:rsidR="00470ADC" w:rsidRPr="00D5464D">
        <w:rPr>
          <w:rFonts w:cs="Arial"/>
          <w:szCs w:val="20"/>
          <w:lang w:val="pt-BR"/>
        </w:rPr>
        <w:t xml:space="preserve">os </w:t>
      </w:r>
      <w:r w:rsidR="002C330E" w:rsidRPr="00D5464D">
        <w:rPr>
          <w:rFonts w:cs="Arial"/>
          <w:szCs w:val="20"/>
          <w:lang w:val="pt-BR"/>
        </w:rPr>
        <w:t>fatos</w:t>
      </w:r>
      <w:r w:rsidR="00D81AA1" w:rsidRPr="00D5464D">
        <w:rPr>
          <w:rFonts w:cs="Arial"/>
          <w:szCs w:val="20"/>
          <w:lang w:val="pt-BR"/>
        </w:rPr>
        <w:t xml:space="preserve"> denunciados, dado que</w:t>
      </w:r>
      <w:r w:rsidR="00470ADC" w:rsidRPr="00D5464D">
        <w:rPr>
          <w:rFonts w:cs="Arial"/>
          <w:szCs w:val="20"/>
          <w:lang w:val="pt-BR"/>
        </w:rPr>
        <w:t xml:space="preserve"> o </w:t>
      </w:r>
      <w:r w:rsidR="00D81AA1" w:rsidRPr="00D5464D">
        <w:rPr>
          <w:rFonts w:cs="Arial"/>
          <w:szCs w:val="20"/>
          <w:lang w:val="pt-BR"/>
        </w:rPr>
        <w:t xml:space="preserve">Estado </w:t>
      </w:r>
      <w:r w:rsidR="00FC4109" w:rsidRPr="00D5464D">
        <w:rPr>
          <w:rFonts w:cs="Arial"/>
          <w:szCs w:val="20"/>
          <w:lang w:val="pt-BR"/>
        </w:rPr>
        <w:t xml:space="preserve">se </w:t>
      </w:r>
      <w:r w:rsidR="002C330E" w:rsidRPr="00D5464D">
        <w:rPr>
          <w:rFonts w:cs="Arial"/>
          <w:szCs w:val="20"/>
          <w:lang w:val="pt-BR"/>
        </w:rPr>
        <w:t>omitiu</w:t>
      </w:r>
      <w:r w:rsidR="00F65007" w:rsidRPr="00D5464D">
        <w:rPr>
          <w:rFonts w:cs="Arial"/>
          <w:szCs w:val="20"/>
          <w:lang w:val="pt-BR"/>
        </w:rPr>
        <w:t xml:space="preserve"> de </w:t>
      </w:r>
      <w:r w:rsidR="00A1358C" w:rsidRPr="00D5464D">
        <w:rPr>
          <w:rFonts w:cs="Arial"/>
          <w:szCs w:val="20"/>
          <w:lang w:val="pt-BR"/>
        </w:rPr>
        <w:t>cumprir</w:t>
      </w:r>
      <w:r w:rsidR="00470ADC" w:rsidRPr="00D5464D">
        <w:rPr>
          <w:rFonts w:cs="Arial"/>
          <w:szCs w:val="20"/>
          <w:lang w:val="pt-BR"/>
        </w:rPr>
        <w:t xml:space="preserve"> </w:t>
      </w:r>
      <w:r w:rsidR="00E045D9" w:rsidRPr="00D5464D">
        <w:rPr>
          <w:rFonts w:cs="Arial"/>
          <w:szCs w:val="20"/>
          <w:lang w:val="pt-BR"/>
        </w:rPr>
        <w:t>sua obrigação</w:t>
      </w:r>
      <w:r w:rsidR="00D81AA1" w:rsidRPr="00D5464D">
        <w:rPr>
          <w:rFonts w:cs="Arial"/>
          <w:szCs w:val="20"/>
          <w:lang w:val="pt-BR"/>
        </w:rPr>
        <w:t xml:space="preserve"> de investigar graves viola</w:t>
      </w:r>
      <w:r w:rsidR="00470ADC" w:rsidRPr="00D5464D">
        <w:rPr>
          <w:rFonts w:cs="Arial"/>
          <w:szCs w:val="20"/>
          <w:lang w:val="pt-BR"/>
        </w:rPr>
        <w:t>ções</w:t>
      </w:r>
      <w:r w:rsidR="00D81AA1" w:rsidRPr="00D5464D">
        <w:rPr>
          <w:rFonts w:cs="Arial"/>
          <w:szCs w:val="20"/>
          <w:lang w:val="pt-BR"/>
        </w:rPr>
        <w:t xml:space="preserve"> de </w:t>
      </w:r>
      <w:r w:rsidR="00470ADC" w:rsidRPr="00D5464D">
        <w:rPr>
          <w:rFonts w:cs="Arial"/>
          <w:szCs w:val="20"/>
          <w:lang w:val="pt-BR"/>
        </w:rPr>
        <w:t>direito</w:t>
      </w:r>
      <w:r w:rsidR="00D81AA1" w:rsidRPr="00D5464D">
        <w:rPr>
          <w:rFonts w:cs="Arial"/>
          <w:szCs w:val="20"/>
          <w:lang w:val="pt-BR"/>
        </w:rPr>
        <w:t>s humanos</w:t>
      </w:r>
      <w:r w:rsidR="00470ADC" w:rsidRPr="00D5464D">
        <w:rPr>
          <w:rFonts w:cs="Arial"/>
          <w:szCs w:val="20"/>
          <w:lang w:val="pt-BR"/>
        </w:rPr>
        <w:t xml:space="preserve"> em</w:t>
      </w:r>
      <w:r w:rsidR="00E045D9" w:rsidRPr="00D5464D">
        <w:rPr>
          <w:rFonts w:cs="Arial"/>
          <w:szCs w:val="20"/>
          <w:lang w:val="pt-BR"/>
        </w:rPr>
        <w:t xml:space="preserve"> um tempo</w:t>
      </w:r>
      <w:r w:rsidR="00D81AA1" w:rsidRPr="00D5464D">
        <w:rPr>
          <w:rFonts w:cs="Arial"/>
          <w:szCs w:val="20"/>
          <w:lang w:val="pt-BR"/>
        </w:rPr>
        <w:t xml:space="preserve"> </w:t>
      </w:r>
      <w:r w:rsidR="00A1358C" w:rsidRPr="00D5464D">
        <w:rPr>
          <w:rFonts w:cs="Arial"/>
          <w:szCs w:val="20"/>
          <w:lang w:val="pt-BR"/>
        </w:rPr>
        <w:t>razoável</w:t>
      </w:r>
      <w:r w:rsidR="00D81AA1" w:rsidRPr="00D5464D">
        <w:rPr>
          <w:rFonts w:cs="Arial"/>
          <w:szCs w:val="20"/>
          <w:lang w:val="pt-BR"/>
        </w:rPr>
        <w:t>;</w:t>
      </w:r>
      <w:r w:rsidR="002C330E" w:rsidRPr="00D5464D">
        <w:rPr>
          <w:rFonts w:cs="Arial"/>
          <w:szCs w:val="20"/>
          <w:lang w:val="pt-BR"/>
        </w:rPr>
        <w:t xml:space="preserve"> </w:t>
      </w:r>
      <w:r w:rsidR="00F65007" w:rsidRPr="00D5464D">
        <w:rPr>
          <w:rFonts w:cs="Arial"/>
          <w:szCs w:val="20"/>
          <w:lang w:val="pt-BR"/>
        </w:rPr>
        <w:t xml:space="preserve">de maneira </w:t>
      </w:r>
      <w:r w:rsidR="002C330E" w:rsidRPr="00D5464D">
        <w:rPr>
          <w:rFonts w:cs="Arial"/>
          <w:szCs w:val="20"/>
          <w:lang w:val="pt-BR"/>
        </w:rPr>
        <w:t xml:space="preserve">que </w:t>
      </w:r>
      <w:r w:rsidR="00470ADC" w:rsidRPr="00D5464D">
        <w:rPr>
          <w:rFonts w:cs="Arial"/>
          <w:szCs w:val="20"/>
          <w:lang w:val="pt-BR"/>
        </w:rPr>
        <w:t xml:space="preserve">é </w:t>
      </w:r>
      <w:r w:rsidR="00D81AA1" w:rsidRPr="00D5464D">
        <w:rPr>
          <w:rFonts w:cs="Arial"/>
          <w:szCs w:val="20"/>
          <w:lang w:val="pt-BR"/>
        </w:rPr>
        <w:t xml:space="preserve">internacionalmente </w:t>
      </w:r>
      <w:r w:rsidR="002C330E" w:rsidRPr="00D5464D">
        <w:rPr>
          <w:rFonts w:cs="Arial"/>
          <w:szCs w:val="20"/>
          <w:lang w:val="pt-BR"/>
        </w:rPr>
        <w:t xml:space="preserve">responsável pela </w:t>
      </w:r>
      <w:r w:rsidR="00AD4C88" w:rsidRPr="00D5464D">
        <w:rPr>
          <w:rFonts w:cs="Arial"/>
          <w:szCs w:val="20"/>
          <w:lang w:val="pt-BR"/>
        </w:rPr>
        <w:t>“</w:t>
      </w:r>
      <w:r w:rsidR="00D81AA1" w:rsidRPr="00D5464D">
        <w:rPr>
          <w:rFonts w:cs="Arial"/>
          <w:szCs w:val="20"/>
          <w:lang w:val="pt-BR"/>
        </w:rPr>
        <w:t>viola</w:t>
      </w:r>
      <w:r w:rsidR="00470ADC" w:rsidRPr="00D5464D">
        <w:rPr>
          <w:rFonts w:cs="Arial"/>
          <w:szCs w:val="20"/>
          <w:lang w:val="pt-BR"/>
        </w:rPr>
        <w:t>ção</w:t>
      </w:r>
      <w:r w:rsidR="00F65007" w:rsidRPr="00D5464D">
        <w:rPr>
          <w:rFonts w:cs="Arial"/>
          <w:szCs w:val="20"/>
          <w:lang w:val="pt-BR"/>
        </w:rPr>
        <w:t xml:space="preserve"> contí</w:t>
      </w:r>
      <w:r w:rsidR="00D81AA1" w:rsidRPr="00D5464D">
        <w:rPr>
          <w:rFonts w:cs="Arial"/>
          <w:szCs w:val="20"/>
          <w:lang w:val="pt-BR"/>
        </w:rPr>
        <w:t>nua</w:t>
      </w:r>
      <w:r w:rsidR="00AD4C88" w:rsidRPr="00D5464D">
        <w:rPr>
          <w:rFonts w:cs="Arial"/>
          <w:szCs w:val="20"/>
          <w:lang w:val="pt-BR"/>
        </w:rPr>
        <w:t>”</w:t>
      </w:r>
      <w:r w:rsidR="00470ADC" w:rsidRPr="00D5464D">
        <w:rPr>
          <w:rFonts w:cs="Arial"/>
          <w:szCs w:val="20"/>
          <w:lang w:val="pt-BR"/>
        </w:rPr>
        <w:t xml:space="preserve"> das </w:t>
      </w:r>
      <w:r w:rsidR="002C330E" w:rsidRPr="00D5464D">
        <w:rPr>
          <w:rFonts w:cs="Arial"/>
          <w:szCs w:val="20"/>
          <w:lang w:val="pt-BR"/>
        </w:rPr>
        <w:t>garantias</w:t>
      </w:r>
      <w:r w:rsidR="00D81AA1" w:rsidRPr="00D5464D">
        <w:rPr>
          <w:rFonts w:cs="Arial"/>
          <w:szCs w:val="20"/>
          <w:lang w:val="pt-BR"/>
        </w:rPr>
        <w:t xml:space="preserve"> </w:t>
      </w:r>
      <w:r w:rsidR="002C330E" w:rsidRPr="00D5464D">
        <w:rPr>
          <w:rFonts w:cs="Arial"/>
          <w:szCs w:val="20"/>
          <w:lang w:val="pt-BR"/>
        </w:rPr>
        <w:t>judiciais</w:t>
      </w:r>
      <w:r w:rsidR="00D81AA1" w:rsidRPr="00D5464D">
        <w:rPr>
          <w:rFonts w:cs="Arial"/>
          <w:szCs w:val="20"/>
          <w:lang w:val="pt-BR"/>
        </w:rPr>
        <w:t xml:space="preserve"> protegidas</w:t>
      </w:r>
      <w:r w:rsidR="00E045D9" w:rsidRPr="00D5464D">
        <w:rPr>
          <w:rFonts w:cs="Arial"/>
          <w:szCs w:val="20"/>
          <w:lang w:val="pt-BR"/>
        </w:rPr>
        <w:t xml:space="preserve"> no </w:t>
      </w:r>
      <w:r w:rsidR="00470ADC" w:rsidRPr="00D5464D">
        <w:rPr>
          <w:rFonts w:cs="Arial"/>
          <w:szCs w:val="20"/>
          <w:lang w:val="pt-BR"/>
        </w:rPr>
        <w:t>artigo</w:t>
      </w:r>
      <w:r w:rsidR="00D81AA1" w:rsidRPr="00D5464D">
        <w:rPr>
          <w:rFonts w:cs="Arial"/>
          <w:szCs w:val="20"/>
          <w:lang w:val="pt-BR"/>
        </w:rPr>
        <w:t xml:space="preserve"> 8</w:t>
      </w:r>
      <w:r w:rsidR="00470ADC" w:rsidRPr="00D5464D">
        <w:rPr>
          <w:rFonts w:cs="Arial"/>
          <w:szCs w:val="20"/>
          <w:lang w:val="pt-BR"/>
        </w:rPr>
        <w:t xml:space="preserve"> da </w:t>
      </w:r>
      <w:r w:rsidR="00D81AA1" w:rsidRPr="00D5464D">
        <w:rPr>
          <w:rFonts w:cs="Arial"/>
          <w:szCs w:val="20"/>
          <w:lang w:val="pt-BR"/>
        </w:rPr>
        <w:t>Conven</w:t>
      </w:r>
      <w:r w:rsidR="00470ADC" w:rsidRPr="00D5464D">
        <w:rPr>
          <w:rFonts w:cs="Arial"/>
          <w:szCs w:val="20"/>
          <w:lang w:val="pt-BR"/>
        </w:rPr>
        <w:t>ção</w:t>
      </w:r>
      <w:r w:rsidR="00D81AA1" w:rsidRPr="00D5464D">
        <w:rPr>
          <w:rFonts w:cs="Arial"/>
          <w:szCs w:val="20"/>
          <w:lang w:val="pt-BR"/>
        </w:rPr>
        <w:t>,</w:t>
      </w:r>
      <w:r w:rsidR="00470ADC" w:rsidRPr="00D5464D">
        <w:rPr>
          <w:rFonts w:cs="Arial"/>
          <w:szCs w:val="20"/>
          <w:lang w:val="pt-BR"/>
        </w:rPr>
        <w:t xml:space="preserve"> em </w:t>
      </w:r>
      <w:r w:rsidR="002C330E" w:rsidRPr="00D5464D">
        <w:rPr>
          <w:rFonts w:cs="Arial"/>
          <w:szCs w:val="20"/>
          <w:lang w:val="pt-BR"/>
        </w:rPr>
        <w:t>prejuízo</w:t>
      </w:r>
      <w:r w:rsidR="00470ADC" w:rsidRPr="00D5464D">
        <w:rPr>
          <w:rFonts w:cs="Arial"/>
          <w:szCs w:val="20"/>
          <w:lang w:val="pt-BR"/>
        </w:rPr>
        <w:t xml:space="preserve"> das </w:t>
      </w:r>
      <w:r w:rsidR="002C330E" w:rsidRPr="00D5464D">
        <w:rPr>
          <w:rFonts w:cs="Arial"/>
          <w:szCs w:val="20"/>
          <w:lang w:val="pt-BR"/>
        </w:rPr>
        <w:t>pessoa</w:t>
      </w:r>
      <w:r w:rsidR="00D81AA1" w:rsidRPr="00D5464D">
        <w:rPr>
          <w:rFonts w:cs="Arial"/>
          <w:szCs w:val="20"/>
          <w:lang w:val="pt-BR"/>
        </w:rPr>
        <w:t xml:space="preserve">s que se </w:t>
      </w:r>
      <w:r w:rsidR="000B2B14" w:rsidRPr="00D5464D">
        <w:rPr>
          <w:rFonts w:cs="Arial"/>
          <w:szCs w:val="20"/>
          <w:lang w:val="pt-BR"/>
        </w:rPr>
        <w:t>encontrav</w:t>
      </w:r>
      <w:r w:rsidR="00E045D9" w:rsidRPr="00D5464D">
        <w:rPr>
          <w:rFonts w:cs="Arial"/>
          <w:szCs w:val="20"/>
          <w:lang w:val="pt-BR"/>
        </w:rPr>
        <w:t>am</w:t>
      </w:r>
      <w:r w:rsidR="00D81AA1" w:rsidRPr="00D5464D">
        <w:rPr>
          <w:rFonts w:cs="Arial"/>
          <w:szCs w:val="20"/>
          <w:lang w:val="pt-BR"/>
        </w:rPr>
        <w:t xml:space="preserve"> </w:t>
      </w:r>
      <w:r w:rsidR="00EB1CE9" w:rsidRPr="00D5464D">
        <w:rPr>
          <w:rFonts w:cs="Arial"/>
          <w:szCs w:val="20"/>
          <w:lang w:val="pt-BR"/>
        </w:rPr>
        <w:t>trabalhando</w:t>
      </w:r>
      <w:r w:rsidR="00E045D9" w:rsidRPr="00D5464D">
        <w:rPr>
          <w:rFonts w:cs="Arial"/>
          <w:szCs w:val="20"/>
          <w:lang w:val="pt-BR"/>
        </w:rPr>
        <w:t xml:space="preserve"> na </w:t>
      </w:r>
      <w:r w:rsidR="00D809F0" w:rsidRPr="00D5464D">
        <w:rPr>
          <w:rFonts w:cs="Arial"/>
          <w:szCs w:val="20"/>
          <w:lang w:val="pt-BR"/>
        </w:rPr>
        <w:t>Fazenda</w:t>
      </w:r>
      <w:r w:rsidR="00D81AA1" w:rsidRPr="00D5464D">
        <w:rPr>
          <w:rFonts w:cs="Arial"/>
          <w:szCs w:val="20"/>
          <w:lang w:val="pt-BR"/>
        </w:rPr>
        <w:t xml:space="preserve"> Brasil Verde</w:t>
      </w:r>
      <w:r w:rsidR="00AD4C88" w:rsidRPr="00D5464D">
        <w:rPr>
          <w:rFonts w:cs="Arial"/>
          <w:szCs w:val="20"/>
          <w:lang w:val="pt-BR"/>
        </w:rPr>
        <w:t xml:space="preserve"> antes</w:t>
      </w:r>
      <w:r w:rsidR="00737270" w:rsidRPr="00D5464D">
        <w:rPr>
          <w:rFonts w:cs="Arial"/>
          <w:szCs w:val="20"/>
          <w:lang w:val="pt-BR"/>
        </w:rPr>
        <w:t xml:space="preserve"> de 1</w:t>
      </w:r>
      <w:r w:rsidR="00AD4C88" w:rsidRPr="00D5464D">
        <w:rPr>
          <w:rFonts w:cs="Arial"/>
          <w:szCs w:val="20"/>
          <w:lang w:val="pt-BR"/>
        </w:rPr>
        <w:t xml:space="preserve">0 de </w:t>
      </w:r>
      <w:r w:rsidR="00470ADC" w:rsidRPr="00D5464D">
        <w:rPr>
          <w:rFonts w:cs="Arial"/>
          <w:szCs w:val="20"/>
          <w:lang w:val="pt-BR"/>
        </w:rPr>
        <w:t>dezembro</w:t>
      </w:r>
      <w:r w:rsidR="00AD4C88" w:rsidRPr="00D5464D">
        <w:rPr>
          <w:rFonts w:cs="Arial"/>
          <w:szCs w:val="20"/>
          <w:lang w:val="pt-BR"/>
        </w:rPr>
        <w:t xml:space="preserve"> de 1998</w:t>
      </w:r>
      <w:r w:rsidR="00D81AA1" w:rsidRPr="00D5464D">
        <w:rPr>
          <w:rFonts w:cs="Arial"/>
          <w:szCs w:val="20"/>
          <w:lang w:val="pt-BR"/>
        </w:rPr>
        <w:t>. Finalmente,</w:t>
      </w:r>
      <w:r w:rsidR="002C330E" w:rsidRPr="00D5464D">
        <w:rPr>
          <w:rFonts w:cs="Arial"/>
          <w:szCs w:val="20"/>
          <w:lang w:val="pt-BR"/>
        </w:rPr>
        <w:t xml:space="preserve"> os </w:t>
      </w:r>
      <w:r w:rsidR="00EB1CE9" w:rsidRPr="00D5464D">
        <w:rPr>
          <w:rFonts w:cs="Arial"/>
          <w:szCs w:val="20"/>
          <w:lang w:val="pt-BR"/>
        </w:rPr>
        <w:t>representante</w:t>
      </w:r>
      <w:r w:rsidR="00D81AA1" w:rsidRPr="00D5464D">
        <w:rPr>
          <w:rFonts w:cs="Arial"/>
          <w:szCs w:val="20"/>
          <w:lang w:val="pt-BR"/>
        </w:rPr>
        <w:t xml:space="preserve">s </w:t>
      </w:r>
      <w:r w:rsidR="002C330E" w:rsidRPr="00D5464D">
        <w:rPr>
          <w:rFonts w:cs="Arial"/>
          <w:szCs w:val="20"/>
          <w:lang w:val="pt-BR"/>
        </w:rPr>
        <w:t>afirmaram</w:t>
      </w:r>
      <w:r w:rsidR="00D81AA1" w:rsidRPr="00D5464D">
        <w:rPr>
          <w:rFonts w:cs="Arial"/>
          <w:szCs w:val="20"/>
          <w:lang w:val="pt-BR"/>
        </w:rPr>
        <w:t xml:space="preserve"> que</w:t>
      </w:r>
      <w:r w:rsidR="00470ADC" w:rsidRPr="00D5464D">
        <w:rPr>
          <w:rFonts w:cs="Arial"/>
          <w:szCs w:val="20"/>
          <w:lang w:val="pt-BR"/>
        </w:rPr>
        <w:t xml:space="preserve"> o </w:t>
      </w:r>
      <w:r w:rsidR="00D81AA1" w:rsidRPr="00D5464D">
        <w:rPr>
          <w:rFonts w:cs="Arial"/>
          <w:szCs w:val="20"/>
          <w:lang w:val="pt-BR"/>
        </w:rPr>
        <w:t>Estado</w:t>
      </w:r>
      <w:r w:rsidR="00A1358C" w:rsidRPr="00D5464D">
        <w:rPr>
          <w:rFonts w:cs="Arial"/>
          <w:szCs w:val="20"/>
          <w:lang w:val="pt-BR"/>
        </w:rPr>
        <w:t xml:space="preserve"> não </w:t>
      </w:r>
      <w:r w:rsidRPr="00D5464D">
        <w:rPr>
          <w:rFonts w:cs="Arial"/>
          <w:szCs w:val="20"/>
          <w:lang w:val="pt-BR"/>
        </w:rPr>
        <w:t>cumpriu</w:t>
      </w:r>
      <w:r w:rsidR="002C330E" w:rsidRPr="00D5464D">
        <w:rPr>
          <w:rFonts w:cs="Arial"/>
          <w:szCs w:val="20"/>
          <w:lang w:val="pt-BR"/>
        </w:rPr>
        <w:t xml:space="preserve"> os </w:t>
      </w:r>
      <w:r w:rsidR="00D81AA1" w:rsidRPr="00D5464D">
        <w:rPr>
          <w:rFonts w:cs="Arial"/>
          <w:szCs w:val="20"/>
          <w:lang w:val="pt-BR"/>
        </w:rPr>
        <w:t xml:space="preserve">requisitos de </w:t>
      </w:r>
      <w:r w:rsidR="00F65007" w:rsidRPr="00D5464D">
        <w:rPr>
          <w:rFonts w:cs="Arial"/>
          <w:szCs w:val="20"/>
          <w:lang w:val="pt-BR"/>
        </w:rPr>
        <w:t>atuação de ofício</w:t>
      </w:r>
      <w:r w:rsidR="00E045D9" w:rsidRPr="00D5464D">
        <w:rPr>
          <w:rFonts w:cs="Arial"/>
          <w:szCs w:val="20"/>
          <w:lang w:val="pt-BR"/>
        </w:rPr>
        <w:t xml:space="preserve"> e </w:t>
      </w:r>
      <w:r w:rsidR="00737270" w:rsidRPr="00D5464D">
        <w:rPr>
          <w:rFonts w:cs="Arial"/>
          <w:szCs w:val="20"/>
          <w:lang w:val="pt-BR"/>
        </w:rPr>
        <w:t>exaustividade</w:t>
      </w:r>
      <w:r w:rsidR="00F65007" w:rsidRPr="00D5464D">
        <w:rPr>
          <w:rFonts w:cs="Arial"/>
          <w:szCs w:val="20"/>
          <w:lang w:val="pt-BR"/>
        </w:rPr>
        <w:t>,</w:t>
      </w:r>
      <w:r w:rsidR="00D81AA1" w:rsidRPr="00D5464D">
        <w:rPr>
          <w:rFonts w:cs="Arial"/>
          <w:szCs w:val="20"/>
          <w:lang w:val="pt-BR"/>
        </w:rPr>
        <w:t xml:space="preserve"> como </w:t>
      </w:r>
      <w:r w:rsidR="00470ADC" w:rsidRPr="00D5464D">
        <w:rPr>
          <w:rFonts w:cs="Arial"/>
          <w:szCs w:val="20"/>
          <w:lang w:val="pt-BR"/>
        </w:rPr>
        <w:t>dever</w:t>
      </w:r>
      <w:r w:rsidR="00D81AA1" w:rsidRPr="00D5464D">
        <w:rPr>
          <w:rFonts w:cs="Arial"/>
          <w:szCs w:val="20"/>
          <w:lang w:val="pt-BR"/>
        </w:rPr>
        <w:t xml:space="preserve"> de </w:t>
      </w:r>
      <w:r w:rsidR="002C330E" w:rsidRPr="00D5464D">
        <w:rPr>
          <w:rFonts w:cs="Arial"/>
          <w:szCs w:val="20"/>
          <w:lang w:val="pt-BR"/>
        </w:rPr>
        <w:t xml:space="preserve">garantia </w:t>
      </w:r>
      <w:r w:rsidR="00D81AA1" w:rsidRPr="00D5464D">
        <w:rPr>
          <w:rFonts w:cs="Arial"/>
          <w:szCs w:val="20"/>
          <w:lang w:val="pt-BR"/>
        </w:rPr>
        <w:t>d</w:t>
      </w:r>
      <w:r w:rsidR="009E04D5" w:rsidRPr="00D5464D">
        <w:rPr>
          <w:rFonts w:cs="Arial"/>
          <w:szCs w:val="20"/>
          <w:lang w:val="pt-BR"/>
        </w:rPr>
        <w:t>a</w:t>
      </w:r>
      <w:r w:rsidR="00D81AA1" w:rsidRPr="00D5464D">
        <w:rPr>
          <w:rFonts w:cs="Arial"/>
          <w:szCs w:val="20"/>
          <w:lang w:val="pt-BR"/>
        </w:rPr>
        <w:t xml:space="preserve"> </w:t>
      </w:r>
      <w:r w:rsidR="00470ADC" w:rsidRPr="00D5464D">
        <w:rPr>
          <w:rFonts w:cs="Arial"/>
          <w:szCs w:val="20"/>
          <w:lang w:val="pt-BR"/>
        </w:rPr>
        <w:t>devida diligência</w:t>
      </w:r>
      <w:r w:rsidR="00D81AA1" w:rsidRPr="00D5464D">
        <w:rPr>
          <w:rFonts w:cs="Arial"/>
          <w:szCs w:val="20"/>
          <w:lang w:val="pt-BR"/>
        </w:rPr>
        <w:t>.</w:t>
      </w:r>
    </w:p>
    <w:p w14:paraId="6CA435BE" w14:textId="77777777" w:rsidR="00D81AA1" w:rsidRPr="00D5464D" w:rsidRDefault="00D81AA1" w:rsidP="00D81AA1">
      <w:pPr>
        <w:autoSpaceDE w:val="0"/>
        <w:autoSpaceDN w:val="0"/>
        <w:adjustRightInd w:val="0"/>
        <w:rPr>
          <w:rFonts w:cs="Arial"/>
          <w:szCs w:val="20"/>
          <w:lang w:val="pt-BR"/>
        </w:rPr>
      </w:pPr>
    </w:p>
    <w:p w14:paraId="72AEB7FA" w14:textId="782DE130" w:rsidR="00D81AA1" w:rsidRPr="00D5464D" w:rsidRDefault="00737270" w:rsidP="00D81AA1">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 xml:space="preserve">Os </w:t>
      </w:r>
      <w:r w:rsidR="00EB1CE9" w:rsidRPr="00D5464D">
        <w:rPr>
          <w:rFonts w:cs="Arial"/>
          <w:szCs w:val="20"/>
          <w:lang w:val="pt-BR"/>
        </w:rPr>
        <w:t>representante</w:t>
      </w:r>
      <w:r w:rsidRPr="00D5464D">
        <w:rPr>
          <w:rFonts w:cs="Arial"/>
          <w:szCs w:val="20"/>
          <w:lang w:val="pt-BR"/>
        </w:rPr>
        <w:t xml:space="preserve">s </w:t>
      </w:r>
      <w:r w:rsidR="00C46617" w:rsidRPr="00D5464D">
        <w:rPr>
          <w:rFonts w:cs="Arial"/>
          <w:szCs w:val="20"/>
          <w:lang w:val="pt-BR"/>
        </w:rPr>
        <w:t xml:space="preserve">também </w:t>
      </w:r>
      <w:r w:rsidR="002C330E" w:rsidRPr="00D5464D">
        <w:rPr>
          <w:rFonts w:cs="Arial"/>
          <w:szCs w:val="20"/>
          <w:lang w:val="pt-BR"/>
        </w:rPr>
        <w:t>afirmaram</w:t>
      </w:r>
      <w:r w:rsidR="00D81AA1" w:rsidRPr="00D5464D">
        <w:rPr>
          <w:rFonts w:cs="Arial"/>
          <w:szCs w:val="20"/>
          <w:lang w:val="pt-BR"/>
        </w:rPr>
        <w:t xml:space="preserve"> que</w:t>
      </w:r>
      <w:r w:rsidR="00470ADC" w:rsidRPr="00D5464D">
        <w:rPr>
          <w:rFonts w:cs="Arial"/>
          <w:szCs w:val="20"/>
          <w:lang w:val="pt-BR"/>
        </w:rPr>
        <w:t xml:space="preserve"> o </w:t>
      </w:r>
      <w:r w:rsidR="00D81AA1" w:rsidRPr="00D5464D">
        <w:rPr>
          <w:rFonts w:cs="Arial"/>
          <w:szCs w:val="20"/>
          <w:lang w:val="pt-BR"/>
        </w:rPr>
        <w:t xml:space="preserve">Estado </w:t>
      </w:r>
      <w:r w:rsidR="00470ADC" w:rsidRPr="00D5464D">
        <w:rPr>
          <w:rFonts w:cs="Arial"/>
          <w:szCs w:val="20"/>
          <w:lang w:val="pt-BR"/>
        </w:rPr>
        <w:t>brasileir</w:t>
      </w:r>
      <w:r w:rsidR="00D81AA1" w:rsidRPr="00D5464D">
        <w:rPr>
          <w:rFonts w:cs="Arial"/>
          <w:szCs w:val="20"/>
          <w:lang w:val="pt-BR"/>
        </w:rPr>
        <w:t>o</w:t>
      </w:r>
      <w:r w:rsidR="00470ADC" w:rsidRPr="00D5464D">
        <w:rPr>
          <w:rFonts w:cs="Arial"/>
          <w:szCs w:val="20"/>
          <w:lang w:val="pt-BR"/>
        </w:rPr>
        <w:t xml:space="preserve"> é </w:t>
      </w:r>
      <w:r w:rsidR="002C330E" w:rsidRPr="00D5464D">
        <w:rPr>
          <w:rFonts w:cs="Arial"/>
          <w:szCs w:val="20"/>
          <w:lang w:val="pt-BR"/>
        </w:rPr>
        <w:t xml:space="preserve">responsável </w:t>
      </w:r>
      <w:r w:rsidR="00D81AA1" w:rsidRPr="00D5464D">
        <w:rPr>
          <w:rFonts w:cs="Arial"/>
          <w:szCs w:val="20"/>
          <w:lang w:val="pt-BR"/>
        </w:rPr>
        <w:t>por violar</w:t>
      </w:r>
      <w:r w:rsidR="002C330E" w:rsidRPr="00D5464D">
        <w:rPr>
          <w:rFonts w:cs="Arial"/>
          <w:szCs w:val="20"/>
          <w:lang w:val="pt-BR"/>
        </w:rPr>
        <w:t xml:space="preserve"> as garantias</w:t>
      </w:r>
      <w:r w:rsidR="00D81AA1" w:rsidRPr="00D5464D">
        <w:rPr>
          <w:rFonts w:cs="Arial"/>
          <w:szCs w:val="20"/>
          <w:lang w:val="pt-BR"/>
        </w:rPr>
        <w:t xml:space="preserve"> </w:t>
      </w:r>
      <w:r w:rsidR="002C330E" w:rsidRPr="00D5464D">
        <w:rPr>
          <w:rFonts w:cs="Arial"/>
          <w:szCs w:val="20"/>
          <w:lang w:val="pt-BR"/>
        </w:rPr>
        <w:t>judiciais</w:t>
      </w:r>
      <w:r w:rsidR="00D81AA1" w:rsidRPr="00D5464D">
        <w:rPr>
          <w:rFonts w:cs="Arial"/>
          <w:szCs w:val="20"/>
          <w:lang w:val="pt-BR"/>
        </w:rPr>
        <w:t xml:space="preserve"> previstas</w:t>
      </w:r>
      <w:r w:rsidR="00E045D9" w:rsidRPr="00D5464D">
        <w:rPr>
          <w:rFonts w:cs="Arial"/>
          <w:szCs w:val="20"/>
          <w:lang w:val="pt-BR"/>
        </w:rPr>
        <w:t xml:space="preserve"> no </w:t>
      </w:r>
      <w:r w:rsidR="00470ADC" w:rsidRPr="00D5464D">
        <w:rPr>
          <w:rFonts w:cs="Arial"/>
          <w:szCs w:val="20"/>
          <w:lang w:val="pt-BR"/>
        </w:rPr>
        <w:t>artigo</w:t>
      </w:r>
      <w:r w:rsidR="00D81AA1" w:rsidRPr="00D5464D">
        <w:rPr>
          <w:rFonts w:cs="Arial"/>
          <w:szCs w:val="20"/>
          <w:lang w:val="pt-BR"/>
        </w:rPr>
        <w:t xml:space="preserve"> 25</w:t>
      </w:r>
      <w:r w:rsidR="00470ADC" w:rsidRPr="00D5464D">
        <w:rPr>
          <w:rFonts w:cs="Arial"/>
          <w:szCs w:val="20"/>
          <w:lang w:val="pt-BR"/>
        </w:rPr>
        <w:t xml:space="preserve"> da </w:t>
      </w:r>
      <w:r w:rsidR="00D81AA1" w:rsidRPr="00D5464D">
        <w:rPr>
          <w:rFonts w:cs="Arial"/>
          <w:szCs w:val="20"/>
          <w:lang w:val="pt-BR"/>
        </w:rPr>
        <w:t>Conven</w:t>
      </w:r>
      <w:r w:rsidR="00470ADC" w:rsidRPr="00D5464D">
        <w:rPr>
          <w:rFonts w:cs="Arial"/>
          <w:szCs w:val="20"/>
          <w:lang w:val="pt-BR"/>
        </w:rPr>
        <w:t>ção</w:t>
      </w:r>
      <w:r w:rsidR="00D81AA1" w:rsidRPr="00D5464D">
        <w:rPr>
          <w:rFonts w:cs="Arial"/>
          <w:szCs w:val="20"/>
          <w:lang w:val="pt-BR"/>
        </w:rPr>
        <w:t>,</w:t>
      </w:r>
      <w:r w:rsidR="00470ADC" w:rsidRPr="00D5464D">
        <w:rPr>
          <w:rFonts w:cs="Arial"/>
          <w:szCs w:val="20"/>
          <w:lang w:val="pt-BR"/>
        </w:rPr>
        <w:t xml:space="preserve"> em </w:t>
      </w:r>
      <w:r w:rsidR="009E04D5" w:rsidRPr="00D5464D">
        <w:rPr>
          <w:rFonts w:cs="Arial"/>
          <w:szCs w:val="20"/>
          <w:lang w:val="pt-BR"/>
        </w:rPr>
        <w:t>detrimento</w:t>
      </w:r>
      <w:r w:rsidR="00470ADC" w:rsidRPr="00D5464D">
        <w:rPr>
          <w:rFonts w:cs="Arial"/>
          <w:szCs w:val="20"/>
          <w:lang w:val="pt-BR"/>
        </w:rPr>
        <w:t xml:space="preserve"> das </w:t>
      </w:r>
      <w:r w:rsidR="002C330E" w:rsidRPr="00D5464D">
        <w:rPr>
          <w:rFonts w:cs="Arial"/>
          <w:szCs w:val="20"/>
          <w:lang w:val="pt-BR"/>
        </w:rPr>
        <w:t>pessoa</w:t>
      </w:r>
      <w:r w:rsidR="00D81AA1" w:rsidRPr="00D5464D">
        <w:rPr>
          <w:rFonts w:cs="Arial"/>
          <w:szCs w:val="20"/>
          <w:lang w:val="pt-BR"/>
        </w:rPr>
        <w:t xml:space="preserve">s que se </w:t>
      </w:r>
      <w:r w:rsidR="009E04D5" w:rsidRPr="00D5464D">
        <w:rPr>
          <w:rFonts w:cs="Arial"/>
          <w:szCs w:val="20"/>
          <w:lang w:val="pt-BR"/>
        </w:rPr>
        <w:t>encontrav</w:t>
      </w:r>
      <w:r w:rsidR="00E045D9" w:rsidRPr="00D5464D">
        <w:rPr>
          <w:rFonts w:cs="Arial"/>
          <w:szCs w:val="20"/>
          <w:lang w:val="pt-BR"/>
        </w:rPr>
        <w:t>am</w:t>
      </w:r>
      <w:r w:rsidR="00D81AA1" w:rsidRPr="00D5464D">
        <w:rPr>
          <w:rFonts w:cs="Arial"/>
          <w:szCs w:val="20"/>
          <w:lang w:val="pt-BR"/>
        </w:rPr>
        <w:t xml:space="preserve"> </w:t>
      </w:r>
      <w:r w:rsidR="00EB1CE9" w:rsidRPr="00D5464D">
        <w:rPr>
          <w:rFonts w:cs="Arial"/>
          <w:szCs w:val="20"/>
          <w:lang w:val="pt-BR"/>
        </w:rPr>
        <w:t>trabalhando</w:t>
      </w:r>
      <w:r w:rsidR="00E045D9" w:rsidRPr="00D5464D">
        <w:rPr>
          <w:rFonts w:cs="Arial"/>
          <w:szCs w:val="20"/>
          <w:lang w:val="pt-BR"/>
        </w:rPr>
        <w:t xml:space="preserve"> na </w:t>
      </w:r>
      <w:r w:rsidR="00D809F0" w:rsidRPr="00D5464D">
        <w:rPr>
          <w:rFonts w:cs="Arial"/>
          <w:szCs w:val="20"/>
          <w:lang w:val="pt-BR"/>
        </w:rPr>
        <w:t>Fazenda</w:t>
      </w:r>
      <w:r w:rsidR="00D81AA1" w:rsidRPr="00D5464D">
        <w:rPr>
          <w:rFonts w:cs="Arial"/>
          <w:szCs w:val="20"/>
          <w:lang w:val="pt-BR"/>
        </w:rPr>
        <w:t xml:space="preserve"> Brasil Verde,</w:t>
      </w:r>
      <w:r w:rsidR="00470ADC" w:rsidRPr="00D5464D">
        <w:rPr>
          <w:rFonts w:cs="Arial"/>
          <w:szCs w:val="20"/>
          <w:lang w:val="pt-BR"/>
        </w:rPr>
        <w:t xml:space="preserve"> ao </w:t>
      </w:r>
      <w:r w:rsidR="00D81AA1" w:rsidRPr="00D5464D">
        <w:rPr>
          <w:rFonts w:cs="Arial"/>
          <w:szCs w:val="20"/>
          <w:lang w:val="pt-BR"/>
        </w:rPr>
        <w:t xml:space="preserve">faltar </w:t>
      </w:r>
      <w:r w:rsidR="00C46617" w:rsidRPr="00D5464D">
        <w:rPr>
          <w:rFonts w:cs="Arial"/>
          <w:szCs w:val="20"/>
          <w:lang w:val="pt-BR"/>
        </w:rPr>
        <w:t>com</w:t>
      </w:r>
      <w:r w:rsidR="00D81AA1" w:rsidRPr="00D5464D">
        <w:rPr>
          <w:rFonts w:cs="Arial"/>
          <w:szCs w:val="20"/>
          <w:lang w:val="pt-BR"/>
        </w:rPr>
        <w:t xml:space="preserve"> </w:t>
      </w:r>
      <w:r w:rsidR="00E045D9" w:rsidRPr="00D5464D">
        <w:rPr>
          <w:rFonts w:cs="Arial"/>
          <w:szCs w:val="20"/>
          <w:lang w:val="pt-BR"/>
        </w:rPr>
        <w:t>seu dever</w:t>
      </w:r>
      <w:r w:rsidR="00D81AA1" w:rsidRPr="00D5464D">
        <w:rPr>
          <w:rFonts w:cs="Arial"/>
          <w:szCs w:val="20"/>
          <w:lang w:val="pt-BR"/>
        </w:rPr>
        <w:t xml:space="preserve"> de </w:t>
      </w:r>
      <w:r w:rsidR="00C46617" w:rsidRPr="00D5464D">
        <w:rPr>
          <w:rFonts w:cs="Arial"/>
          <w:szCs w:val="20"/>
          <w:lang w:val="pt-BR"/>
        </w:rPr>
        <w:t>investigação</w:t>
      </w:r>
      <w:r w:rsidR="009E04D5" w:rsidRPr="00D5464D">
        <w:rPr>
          <w:rFonts w:cs="Arial"/>
          <w:szCs w:val="20"/>
          <w:lang w:val="pt-BR"/>
        </w:rPr>
        <w:t xml:space="preserve"> dos atos</w:t>
      </w:r>
      <w:r w:rsidR="00C46617" w:rsidRPr="00D5464D">
        <w:rPr>
          <w:rFonts w:cs="Arial"/>
          <w:szCs w:val="20"/>
          <w:lang w:val="pt-BR"/>
        </w:rPr>
        <w:t xml:space="preserve"> </w:t>
      </w:r>
      <w:r w:rsidR="00470ADC" w:rsidRPr="00D5464D">
        <w:rPr>
          <w:rFonts w:cs="Arial"/>
          <w:szCs w:val="20"/>
          <w:lang w:val="pt-BR"/>
        </w:rPr>
        <w:t>com diligência</w:t>
      </w:r>
      <w:r w:rsidR="00E045D9" w:rsidRPr="00D5464D">
        <w:rPr>
          <w:rFonts w:cs="Arial"/>
          <w:szCs w:val="20"/>
          <w:lang w:val="pt-BR"/>
        </w:rPr>
        <w:t xml:space="preserve"> e </w:t>
      </w:r>
      <w:r w:rsidRPr="00D5464D">
        <w:rPr>
          <w:rFonts w:cs="Arial"/>
          <w:szCs w:val="20"/>
          <w:lang w:val="pt-BR"/>
        </w:rPr>
        <w:t>exaustividade</w:t>
      </w:r>
      <w:r w:rsidR="00C46617" w:rsidRPr="00D5464D">
        <w:rPr>
          <w:rFonts w:cs="Arial"/>
          <w:szCs w:val="20"/>
          <w:lang w:val="pt-BR"/>
        </w:rPr>
        <w:t>,</w:t>
      </w:r>
      <w:r w:rsidR="002C330E" w:rsidRPr="00D5464D">
        <w:rPr>
          <w:rFonts w:cs="Arial"/>
          <w:szCs w:val="20"/>
          <w:lang w:val="pt-BR"/>
        </w:rPr>
        <w:t xml:space="preserve"> </w:t>
      </w:r>
      <w:r w:rsidR="00D81AA1" w:rsidRPr="00D5464D">
        <w:rPr>
          <w:rFonts w:cs="Arial"/>
          <w:szCs w:val="20"/>
          <w:lang w:val="pt-BR"/>
        </w:rPr>
        <w:t xml:space="preserve">de </w:t>
      </w:r>
      <w:r w:rsidR="002C330E" w:rsidRPr="00D5464D">
        <w:rPr>
          <w:rFonts w:cs="Arial"/>
          <w:szCs w:val="20"/>
          <w:lang w:val="pt-BR"/>
        </w:rPr>
        <w:t>maneira</w:t>
      </w:r>
      <w:r w:rsidR="00D81AA1" w:rsidRPr="00D5464D">
        <w:rPr>
          <w:rFonts w:cs="Arial"/>
          <w:szCs w:val="20"/>
          <w:lang w:val="pt-BR"/>
        </w:rPr>
        <w:t xml:space="preserve"> oportuna e </w:t>
      </w:r>
      <w:r w:rsidR="002C330E" w:rsidRPr="00D5464D">
        <w:rPr>
          <w:rFonts w:cs="Arial"/>
          <w:szCs w:val="20"/>
          <w:lang w:val="pt-BR"/>
        </w:rPr>
        <w:t>imediat</w:t>
      </w:r>
      <w:r w:rsidR="00D81AA1" w:rsidRPr="00D5464D">
        <w:rPr>
          <w:rFonts w:cs="Arial"/>
          <w:szCs w:val="20"/>
          <w:lang w:val="pt-BR"/>
        </w:rPr>
        <w:t xml:space="preserve">a. </w:t>
      </w:r>
      <w:r w:rsidR="00470ADC" w:rsidRPr="00D5464D">
        <w:rPr>
          <w:rFonts w:cs="Arial"/>
          <w:szCs w:val="20"/>
          <w:lang w:val="pt-BR"/>
        </w:rPr>
        <w:t>Ademais</w:t>
      </w:r>
      <w:r w:rsidR="00D81AA1" w:rsidRPr="00D5464D">
        <w:rPr>
          <w:rFonts w:cs="Arial"/>
          <w:szCs w:val="20"/>
          <w:lang w:val="pt-BR"/>
        </w:rPr>
        <w:t xml:space="preserve">, </w:t>
      </w:r>
      <w:r w:rsidR="002C330E" w:rsidRPr="00D5464D">
        <w:rPr>
          <w:rFonts w:cs="Arial"/>
          <w:szCs w:val="20"/>
          <w:lang w:val="pt-BR"/>
        </w:rPr>
        <w:t>indicaram</w:t>
      </w:r>
      <w:r w:rsidR="00D81AA1" w:rsidRPr="00D5464D">
        <w:rPr>
          <w:rFonts w:cs="Arial"/>
          <w:szCs w:val="20"/>
          <w:lang w:val="pt-BR"/>
        </w:rPr>
        <w:t xml:space="preserve"> que</w:t>
      </w:r>
      <w:r w:rsidR="002C330E" w:rsidRPr="00D5464D">
        <w:rPr>
          <w:rFonts w:cs="Arial"/>
          <w:szCs w:val="20"/>
          <w:lang w:val="pt-BR"/>
        </w:rPr>
        <w:t xml:space="preserve"> as </w:t>
      </w:r>
      <w:r w:rsidR="00E045D9" w:rsidRPr="00D5464D">
        <w:rPr>
          <w:rFonts w:cs="Arial"/>
          <w:szCs w:val="20"/>
          <w:lang w:val="pt-BR"/>
        </w:rPr>
        <w:t>vítima</w:t>
      </w:r>
      <w:r w:rsidR="00D81AA1" w:rsidRPr="00D5464D">
        <w:rPr>
          <w:rFonts w:cs="Arial"/>
          <w:szCs w:val="20"/>
          <w:lang w:val="pt-BR"/>
        </w:rPr>
        <w:t xml:space="preserve">s </w:t>
      </w:r>
      <w:r w:rsidR="00C46617" w:rsidRPr="00D5464D">
        <w:rPr>
          <w:rFonts w:cs="Arial"/>
          <w:szCs w:val="20"/>
          <w:lang w:val="pt-BR"/>
        </w:rPr>
        <w:t xml:space="preserve">não </w:t>
      </w:r>
      <w:r w:rsidR="002C330E" w:rsidRPr="00D5464D">
        <w:rPr>
          <w:rFonts w:cs="Arial"/>
          <w:szCs w:val="20"/>
          <w:lang w:val="pt-BR"/>
        </w:rPr>
        <w:t>receberam</w:t>
      </w:r>
      <w:r w:rsidR="00D81AA1" w:rsidRPr="00D5464D">
        <w:rPr>
          <w:rFonts w:cs="Arial"/>
          <w:szCs w:val="20"/>
          <w:lang w:val="pt-BR"/>
        </w:rPr>
        <w:t xml:space="preserve"> </w:t>
      </w:r>
      <w:r w:rsidR="00C46617" w:rsidRPr="00D5464D">
        <w:rPr>
          <w:rFonts w:cs="Arial"/>
          <w:szCs w:val="20"/>
          <w:lang w:val="pt-BR"/>
        </w:rPr>
        <w:t xml:space="preserve">nenhuma proteção </w:t>
      </w:r>
      <w:r w:rsidR="00470ADC" w:rsidRPr="00D5464D">
        <w:rPr>
          <w:rFonts w:cs="Arial"/>
          <w:szCs w:val="20"/>
          <w:lang w:val="pt-BR"/>
        </w:rPr>
        <w:t xml:space="preserve">em </w:t>
      </w:r>
      <w:r w:rsidR="00D81AA1" w:rsidRPr="00D5464D">
        <w:rPr>
          <w:rFonts w:cs="Arial"/>
          <w:szCs w:val="20"/>
          <w:lang w:val="pt-BR"/>
        </w:rPr>
        <w:t>rela</w:t>
      </w:r>
      <w:r w:rsidR="00470ADC" w:rsidRPr="00D5464D">
        <w:rPr>
          <w:rFonts w:cs="Arial"/>
          <w:szCs w:val="20"/>
          <w:lang w:val="pt-BR"/>
        </w:rPr>
        <w:t>ção</w:t>
      </w:r>
      <w:r w:rsidR="00D81AA1" w:rsidRPr="00D5464D">
        <w:rPr>
          <w:rFonts w:cs="Arial"/>
          <w:szCs w:val="20"/>
          <w:lang w:val="pt-BR"/>
        </w:rPr>
        <w:t xml:space="preserve"> </w:t>
      </w:r>
      <w:r w:rsidR="00C46617" w:rsidRPr="00D5464D">
        <w:rPr>
          <w:rFonts w:cs="Arial"/>
          <w:szCs w:val="20"/>
          <w:lang w:val="pt-BR"/>
        </w:rPr>
        <w:t>à</w:t>
      </w:r>
      <w:r w:rsidR="00D81AA1" w:rsidRPr="00D5464D">
        <w:rPr>
          <w:rFonts w:cs="Arial"/>
          <w:szCs w:val="20"/>
          <w:lang w:val="pt-BR"/>
        </w:rPr>
        <w:t xml:space="preserve"> </w:t>
      </w:r>
      <w:r w:rsidRPr="00D5464D">
        <w:rPr>
          <w:rFonts w:cs="Arial"/>
          <w:szCs w:val="20"/>
          <w:lang w:val="pt-BR"/>
        </w:rPr>
        <w:t>sua segurança</w:t>
      </w:r>
      <w:r w:rsidR="00D81AA1" w:rsidRPr="00D5464D">
        <w:rPr>
          <w:rFonts w:cs="Arial"/>
          <w:szCs w:val="20"/>
          <w:lang w:val="pt-BR"/>
        </w:rPr>
        <w:t xml:space="preserve"> física</w:t>
      </w:r>
      <w:r w:rsidR="002C330E" w:rsidRPr="00D5464D">
        <w:rPr>
          <w:rFonts w:cs="Arial"/>
          <w:szCs w:val="20"/>
          <w:lang w:val="pt-BR"/>
        </w:rPr>
        <w:t xml:space="preserve"> </w:t>
      </w:r>
      <w:r w:rsidR="00C46617" w:rsidRPr="00D5464D">
        <w:rPr>
          <w:rFonts w:cs="Arial"/>
          <w:szCs w:val="20"/>
          <w:lang w:val="pt-BR"/>
        </w:rPr>
        <w:t xml:space="preserve">e tampouco </w:t>
      </w:r>
      <w:r w:rsidR="00470ADC" w:rsidRPr="00D5464D">
        <w:rPr>
          <w:rFonts w:cs="Arial"/>
          <w:szCs w:val="20"/>
          <w:lang w:val="pt-BR"/>
        </w:rPr>
        <w:t>foram</w:t>
      </w:r>
      <w:r w:rsidR="00D81AA1" w:rsidRPr="00D5464D">
        <w:rPr>
          <w:rFonts w:cs="Arial"/>
          <w:szCs w:val="20"/>
          <w:lang w:val="pt-BR"/>
        </w:rPr>
        <w:t xml:space="preserve"> orientadas</w:t>
      </w:r>
      <w:r w:rsidR="002C330E" w:rsidRPr="00D5464D">
        <w:rPr>
          <w:rFonts w:cs="Arial"/>
          <w:szCs w:val="20"/>
          <w:lang w:val="pt-BR"/>
        </w:rPr>
        <w:t xml:space="preserve"> pelas </w:t>
      </w:r>
      <w:r w:rsidR="00D81AA1" w:rsidRPr="00D5464D">
        <w:rPr>
          <w:rFonts w:cs="Arial"/>
          <w:szCs w:val="20"/>
          <w:lang w:val="pt-BR"/>
        </w:rPr>
        <w:t>autoridades a</w:t>
      </w:r>
      <w:r w:rsidR="00470ADC" w:rsidRPr="00D5464D">
        <w:rPr>
          <w:rFonts w:cs="Arial"/>
          <w:szCs w:val="20"/>
          <w:lang w:val="pt-BR"/>
        </w:rPr>
        <w:t xml:space="preserve"> fim </w:t>
      </w:r>
      <w:r w:rsidR="00D81AA1" w:rsidRPr="00D5464D">
        <w:rPr>
          <w:rFonts w:cs="Arial"/>
          <w:szCs w:val="20"/>
          <w:lang w:val="pt-BR"/>
        </w:rPr>
        <w:t xml:space="preserve">de </w:t>
      </w:r>
      <w:r w:rsidR="002C330E" w:rsidRPr="00D5464D">
        <w:rPr>
          <w:rFonts w:cs="Arial"/>
          <w:szCs w:val="20"/>
          <w:lang w:val="pt-BR"/>
        </w:rPr>
        <w:t>receber</w:t>
      </w:r>
      <w:r w:rsidR="00C46617" w:rsidRPr="00D5464D">
        <w:rPr>
          <w:rFonts w:cs="Arial"/>
          <w:szCs w:val="20"/>
          <w:lang w:val="pt-BR"/>
        </w:rPr>
        <w:t>em</w:t>
      </w:r>
      <w:r w:rsidR="00D81AA1" w:rsidRPr="00D5464D">
        <w:rPr>
          <w:rFonts w:cs="Arial"/>
          <w:szCs w:val="20"/>
          <w:lang w:val="pt-BR"/>
        </w:rPr>
        <w:t xml:space="preserve"> </w:t>
      </w:r>
      <w:r w:rsidR="00470ADC" w:rsidRPr="00D5464D">
        <w:rPr>
          <w:rFonts w:cs="Arial"/>
          <w:szCs w:val="20"/>
          <w:lang w:val="pt-BR"/>
        </w:rPr>
        <w:t xml:space="preserve">assistência </w:t>
      </w:r>
      <w:r w:rsidR="00D81AA1" w:rsidRPr="00D5464D">
        <w:rPr>
          <w:rFonts w:cs="Arial"/>
          <w:szCs w:val="20"/>
          <w:lang w:val="pt-BR"/>
        </w:rPr>
        <w:t>integral</w:t>
      </w:r>
      <w:r w:rsidR="00C91CB1" w:rsidRPr="00D5464D">
        <w:rPr>
          <w:rFonts w:cs="Arial"/>
          <w:szCs w:val="20"/>
          <w:lang w:val="pt-BR"/>
        </w:rPr>
        <w:t xml:space="preserve">. Os </w:t>
      </w:r>
      <w:r w:rsidR="00EB1CE9" w:rsidRPr="00D5464D">
        <w:rPr>
          <w:rFonts w:cs="Arial"/>
          <w:szCs w:val="20"/>
          <w:lang w:val="pt-BR"/>
        </w:rPr>
        <w:t>representante</w:t>
      </w:r>
      <w:r w:rsidR="00C14F62" w:rsidRPr="00D5464D">
        <w:rPr>
          <w:rFonts w:cs="Arial"/>
          <w:szCs w:val="20"/>
          <w:lang w:val="pt-BR"/>
        </w:rPr>
        <w:t xml:space="preserve">s </w:t>
      </w:r>
      <w:r w:rsidR="002C330E" w:rsidRPr="00D5464D">
        <w:rPr>
          <w:rFonts w:cs="Arial"/>
          <w:szCs w:val="20"/>
          <w:lang w:val="pt-BR"/>
        </w:rPr>
        <w:t>afirmaram</w:t>
      </w:r>
      <w:r w:rsidR="00C14F62" w:rsidRPr="00D5464D">
        <w:rPr>
          <w:rFonts w:cs="Arial"/>
          <w:szCs w:val="20"/>
          <w:lang w:val="pt-BR"/>
        </w:rPr>
        <w:t xml:space="preserve"> que</w:t>
      </w:r>
      <w:r w:rsidR="002C330E" w:rsidRPr="00D5464D">
        <w:rPr>
          <w:rFonts w:cs="Arial"/>
          <w:szCs w:val="20"/>
          <w:lang w:val="pt-BR"/>
        </w:rPr>
        <w:t xml:space="preserve"> as </w:t>
      </w:r>
      <w:r w:rsidR="00E045D9" w:rsidRPr="00D5464D">
        <w:rPr>
          <w:rFonts w:cs="Arial"/>
          <w:szCs w:val="20"/>
          <w:lang w:val="pt-BR"/>
        </w:rPr>
        <w:t>vítima</w:t>
      </w:r>
      <w:r w:rsidR="00C14F62" w:rsidRPr="00D5464D">
        <w:rPr>
          <w:rFonts w:cs="Arial"/>
          <w:szCs w:val="20"/>
          <w:lang w:val="pt-BR"/>
        </w:rPr>
        <w:t xml:space="preserve">s </w:t>
      </w:r>
      <w:r w:rsidRPr="00D5464D">
        <w:rPr>
          <w:rFonts w:cs="Arial"/>
          <w:szCs w:val="20"/>
          <w:lang w:val="pt-BR"/>
        </w:rPr>
        <w:t xml:space="preserve">não </w:t>
      </w:r>
      <w:r w:rsidR="00C46617" w:rsidRPr="00D5464D">
        <w:rPr>
          <w:rFonts w:cs="Arial"/>
          <w:szCs w:val="20"/>
          <w:lang w:val="pt-BR"/>
        </w:rPr>
        <w:t xml:space="preserve">tiveram </w:t>
      </w:r>
      <w:r w:rsidR="002C330E" w:rsidRPr="00D5464D">
        <w:rPr>
          <w:rFonts w:cs="Arial"/>
          <w:szCs w:val="20"/>
          <w:lang w:val="pt-BR"/>
        </w:rPr>
        <w:t>nenhuma</w:t>
      </w:r>
      <w:r w:rsidR="00C14F62" w:rsidRPr="00D5464D">
        <w:rPr>
          <w:rFonts w:cs="Arial"/>
          <w:szCs w:val="20"/>
          <w:lang w:val="pt-BR"/>
        </w:rPr>
        <w:t xml:space="preserve"> participa</w:t>
      </w:r>
      <w:r w:rsidR="00470ADC" w:rsidRPr="00D5464D">
        <w:rPr>
          <w:rFonts w:cs="Arial"/>
          <w:szCs w:val="20"/>
          <w:lang w:val="pt-BR"/>
        </w:rPr>
        <w:t>ção</w:t>
      </w:r>
      <w:r w:rsidR="00E045D9" w:rsidRPr="00D5464D">
        <w:rPr>
          <w:rFonts w:cs="Arial"/>
          <w:szCs w:val="20"/>
          <w:lang w:val="pt-BR"/>
        </w:rPr>
        <w:t xml:space="preserve"> no </w:t>
      </w:r>
      <w:r w:rsidR="002C330E" w:rsidRPr="00D5464D">
        <w:rPr>
          <w:rFonts w:cs="Arial"/>
          <w:szCs w:val="20"/>
          <w:lang w:val="pt-BR"/>
        </w:rPr>
        <w:t>processo</w:t>
      </w:r>
      <w:r w:rsidR="00C46617" w:rsidRPr="00D5464D">
        <w:rPr>
          <w:rFonts w:cs="Arial"/>
          <w:szCs w:val="20"/>
          <w:lang w:val="pt-BR"/>
        </w:rPr>
        <w:t xml:space="preserve">, de modo que não </w:t>
      </w:r>
      <w:r w:rsidR="002C330E" w:rsidRPr="00D5464D">
        <w:rPr>
          <w:rFonts w:cs="Arial"/>
          <w:szCs w:val="20"/>
          <w:lang w:val="pt-BR"/>
        </w:rPr>
        <w:t xml:space="preserve">puderam fazer </w:t>
      </w:r>
      <w:r w:rsidR="00C14F62" w:rsidRPr="00D5464D">
        <w:rPr>
          <w:rFonts w:cs="Arial"/>
          <w:szCs w:val="20"/>
          <w:lang w:val="pt-BR"/>
        </w:rPr>
        <w:t xml:space="preserve">valer </w:t>
      </w:r>
      <w:r w:rsidR="00C46617" w:rsidRPr="00D5464D">
        <w:rPr>
          <w:rFonts w:cs="Arial"/>
          <w:szCs w:val="20"/>
          <w:lang w:val="pt-BR"/>
        </w:rPr>
        <w:t xml:space="preserve">os </w:t>
      </w:r>
      <w:r w:rsidR="00E045D9" w:rsidRPr="00D5464D">
        <w:rPr>
          <w:rFonts w:cs="Arial"/>
          <w:szCs w:val="20"/>
          <w:lang w:val="pt-BR"/>
        </w:rPr>
        <w:t>seus direitos</w:t>
      </w:r>
      <w:r w:rsidR="00C14F62" w:rsidRPr="00D5464D">
        <w:rPr>
          <w:rFonts w:cs="Arial"/>
          <w:szCs w:val="20"/>
          <w:lang w:val="pt-BR"/>
        </w:rPr>
        <w:t>.</w:t>
      </w:r>
    </w:p>
    <w:p w14:paraId="33D4D8B3" w14:textId="77777777" w:rsidR="00D81AA1" w:rsidRPr="00D5464D" w:rsidRDefault="00D81AA1" w:rsidP="00D81AA1">
      <w:pPr>
        <w:pStyle w:val="Prrafodelista"/>
        <w:rPr>
          <w:rFonts w:cs="Arial"/>
          <w:szCs w:val="20"/>
          <w:lang w:val="pt-BR"/>
        </w:rPr>
      </w:pPr>
    </w:p>
    <w:p w14:paraId="078A0DA4" w14:textId="777AA4DC" w:rsidR="00D81AA1" w:rsidRPr="00D5464D" w:rsidRDefault="00350187" w:rsidP="00D81AA1">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 xml:space="preserve">Além disso, </w:t>
      </w:r>
      <w:r w:rsidR="002C330E" w:rsidRPr="00D5464D">
        <w:rPr>
          <w:rFonts w:cs="Arial"/>
          <w:szCs w:val="20"/>
          <w:lang w:val="pt-BR"/>
        </w:rPr>
        <w:t xml:space="preserve">os </w:t>
      </w:r>
      <w:r w:rsidR="00EB1CE9" w:rsidRPr="00D5464D">
        <w:rPr>
          <w:rFonts w:cs="Arial"/>
          <w:szCs w:val="20"/>
          <w:lang w:val="pt-BR"/>
        </w:rPr>
        <w:t>representante</w:t>
      </w:r>
      <w:r w:rsidR="00D81AA1" w:rsidRPr="00D5464D">
        <w:rPr>
          <w:rFonts w:cs="Arial"/>
          <w:szCs w:val="20"/>
          <w:lang w:val="pt-BR"/>
        </w:rPr>
        <w:t xml:space="preserve">s </w:t>
      </w:r>
      <w:r w:rsidR="00470ADC" w:rsidRPr="00D5464D">
        <w:rPr>
          <w:rFonts w:cs="Arial"/>
          <w:szCs w:val="20"/>
          <w:lang w:val="pt-BR"/>
        </w:rPr>
        <w:t>alegaram</w:t>
      </w:r>
      <w:r w:rsidR="00D81AA1" w:rsidRPr="00D5464D">
        <w:rPr>
          <w:rFonts w:cs="Arial"/>
          <w:szCs w:val="20"/>
          <w:lang w:val="pt-BR"/>
        </w:rPr>
        <w:t xml:space="preserve"> que</w:t>
      </w:r>
      <w:r w:rsidR="002C330E" w:rsidRPr="00D5464D">
        <w:rPr>
          <w:rFonts w:cs="Arial"/>
          <w:szCs w:val="20"/>
          <w:lang w:val="pt-BR"/>
        </w:rPr>
        <w:t xml:space="preserve"> as </w:t>
      </w:r>
      <w:r w:rsidR="00D81AA1" w:rsidRPr="00D5464D">
        <w:rPr>
          <w:rFonts w:cs="Arial"/>
          <w:szCs w:val="20"/>
          <w:lang w:val="pt-BR"/>
        </w:rPr>
        <w:t xml:space="preserve">formas </w:t>
      </w:r>
      <w:r w:rsidR="00470ADC" w:rsidRPr="00D5464D">
        <w:rPr>
          <w:rFonts w:cs="Arial"/>
          <w:szCs w:val="20"/>
          <w:lang w:val="pt-BR"/>
        </w:rPr>
        <w:t>contemporânea</w:t>
      </w:r>
      <w:r w:rsidR="00D81AA1" w:rsidRPr="00D5464D">
        <w:rPr>
          <w:rFonts w:cs="Arial"/>
          <w:szCs w:val="20"/>
          <w:lang w:val="pt-BR"/>
        </w:rPr>
        <w:t xml:space="preserve">s de </w:t>
      </w:r>
      <w:r w:rsidR="000B376D" w:rsidRPr="00D5464D">
        <w:rPr>
          <w:rFonts w:cs="Arial"/>
          <w:szCs w:val="20"/>
          <w:lang w:val="pt-BR"/>
        </w:rPr>
        <w:t>escravidão</w:t>
      </w:r>
      <w:r w:rsidR="002C330E" w:rsidRPr="00D5464D">
        <w:rPr>
          <w:rFonts w:cs="Arial"/>
          <w:szCs w:val="20"/>
          <w:lang w:val="pt-BR"/>
        </w:rPr>
        <w:t xml:space="preserve"> são </w:t>
      </w:r>
      <w:r w:rsidR="00D81AA1" w:rsidRPr="00D5464D">
        <w:rPr>
          <w:rFonts w:cs="Arial"/>
          <w:szCs w:val="20"/>
          <w:lang w:val="pt-BR"/>
        </w:rPr>
        <w:t>graves viola</w:t>
      </w:r>
      <w:r w:rsidR="00470ADC" w:rsidRPr="00D5464D">
        <w:rPr>
          <w:rFonts w:cs="Arial"/>
          <w:szCs w:val="20"/>
          <w:lang w:val="pt-BR"/>
        </w:rPr>
        <w:t>ções</w:t>
      </w:r>
      <w:r w:rsidR="00D81AA1" w:rsidRPr="00D5464D">
        <w:rPr>
          <w:rFonts w:cs="Arial"/>
          <w:szCs w:val="20"/>
          <w:lang w:val="pt-BR"/>
        </w:rPr>
        <w:t xml:space="preserve"> de </w:t>
      </w:r>
      <w:r w:rsidR="00470ADC" w:rsidRPr="00D5464D">
        <w:rPr>
          <w:rFonts w:cs="Arial"/>
          <w:szCs w:val="20"/>
          <w:lang w:val="pt-BR"/>
        </w:rPr>
        <w:t>direito</w:t>
      </w:r>
      <w:r w:rsidR="00D81AA1" w:rsidRPr="00D5464D">
        <w:rPr>
          <w:rFonts w:cs="Arial"/>
          <w:szCs w:val="20"/>
          <w:lang w:val="pt-BR"/>
        </w:rPr>
        <w:t xml:space="preserve">s humanos, </w:t>
      </w:r>
      <w:r w:rsidR="00470ADC" w:rsidRPr="00D5464D">
        <w:rPr>
          <w:rFonts w:cs="Arial"/>
          <w:szCs w:val="20"/>
          <w:lang w:val="pt-BR"/>
        </w:rPr>
        <w:t>cuja</w:t>
      </w:r>
      <w:r w:rsidR="00D81AA1" w:rsidRPr="00D5464D">
        <w:rPr>
          <w:rFonts w:cs="Arial"/>
          <w:szCs w:val="20"/>
          <w:lang w:val="pt-BR"/>
        </w:rPr>
        <w:t xml:space="preserve"> </w:t>
      </w:r>
      <w:r w:rsidR="002C330E" w:rsidRPr="00D5464D">
        <w:rPr>
          <w:rFonts w:cs="Arial"/>
          <w:szCs w:val="20"/>
          <w:lang w:val="pt-BR"/>
        </w:rPr>
        <w:t>proibição</w:t>
      </w:r>
      <w:r w:rsidR="00D81AA1" w:rsidRPr="00D5464D">
        <w:rPr>
          <w:rFonts w:cs="Arial"/>
          <w:szCs w:val="20"/>
          <w:lang w:val="pt-BR"/>
        </w:rPr>
        <w:t xml:space="preserve"> absoluta</w:t>
      </w:r>
      <w:r w:rsidR="002C330E" w:rsidRPr="00D5464D">
        <w:rPr>
          <w:rFonts w:cs="Arial"/>
          <w:szCs w:val="20"/>
          <w:lang w:val="pt-BR"/>
        </w:rPr>
        <w:t xml:space="preserve"> pelo </w:t>
      </w:r>
      <w:r w:rsidR="00E765C2" w:rsidRPr="00D5464D">
        <w:rPr>
          <w:rFonts w:cs="Arial"/>
          <w:szCs w:val="20"/>
          <w:lang w:val="pt-BR"/>
        </w:rPr>
        <w:t>Direito Internacional</w:t>
      </w:r>
      <w:r w:rsidR="00470ADC" w:rsidRPr="00D5464D">
        <w:rPr>
          <w:rFonts w:cs="Arial"/>
          <w:szCs w:val="20"/>
          <w:lang w:val="pt-BR"/>
        </w:rPr>
        <w:t xml:space="preserve"> é</w:t>
      </w:r>
      <w:r w:rsidR="00E045D9" w:rsidRPr="00D5464D">
        <w:rPr>
          <w:rFonts w:cs="Arial"/>
          <w:szCs w:val="20"/>
          <w:lang w:val="pt-BR"/>
        </w:rPr>
        <w:t xml:space="preserve"> uma </w:t>
      </w:r>
      <w:r w:rsidR="00D81AA1" w:rsidRPr="00D5464D">
        <w:rPr>
          <w:rFonts w:cs="Arial"/>
          <w:szCs w:val="20"/>
          <w:lang w:val="pt-BR"/>
        </w:rPr>
        <w:t xml:space="preserve">norma de </w:t>
      </w:r>
      <w:r w:rsidR="00D81AA1" w:rsidRPr="00D5464D">
        <w:rPr>
          <w:rFonts w:cs="Arial"/>
          <w:i/>
          <w:szCs w:val="20"/>
          <w:lang w:val="pt-BR"/>
        </w:rPr>
        <w:t>jus cogens</w:t>
      </w:r>
      <w:r w:rsidR="00D81AA1" w:rsidRPr="00D5464D">
        <w:rPr>
          <w:rFonts w:cs="Arial"/>
          <w:szCs w:val="20"/>
          <w:lang w:val="pt-BR"/>
        </w:rPr>
        <w:t xml:space="preserve">, </w:t>
      </w:r>
      <w:r w:rsidR="002C330E" w:rsidRPr="00D5464D">
        <w:rPr>
          <w:rFonts w:cs="Arial"/>
          <w:szCs w:val="20"/>
          <w:lang w:val="pt-BR"/>
        </w:rPr>
        <w:t>sendo</w:t>
      </w:r>
      <w:r w:rsidR="00D81AA1" w:rsidRPr="00D5464D">
        <w:rPr>
          <w:rFonts w:cs="Arial"/>
          <w:szCs w:val="20"/>
          <w:lang w:val="pt-BR"/>
        </w:rPr>
        <w:t xml:space="preserve"> in</w:t>
      </w:r>
      <w:r w:rsidR="00230C71" w:rsidRPr="00D5464D">
        <w:rPr>
          <w:rFonts w:cs="Arial"/>
          <w:szCs w:val="20"/>
          <w:lang w:val="pt-BR"/>
        </w:rPr>
        <w:t>admissíveis</w:t>
      </w:r>
      <w:r w:rsidR="002C330E" w:rsidRPr="00D5464D">
        <w:rPr>
          <w:rFonts w:cs="Arial"/>
          <w:szCs w:val="20"/>
          <w:lang w:val="pt-BR"/>
        </w:rPr>
        <w:t xml:space="preserve"> as </w:t>
      </w:r>
      <w:r w:rsidR="00D81AA1" w:rsidRPr="00D5464D">
        <w:rPr>
          <w:rFonts w:cs="Arial"/>
          <w:szCs w:val="20"/>
          <w:lang w:val="pt-BR"/>
        </w:rPr>
        <w:t>disposi</w:t>
      </w:r>
      <w:r w:rsidR="00470ADC" w:rsidRPr="00D5464D">
        <w:rPr>
          <w:rFonts w:cs="Arial"/>
          <w:szCs w:val="20"/>
          <w:lang w:val="pt-BR"/>
        </w:rPr>
        <w:t>ções</w:t>
      </w:r>
      <w:r w:rsidR="00D81AA1" w:rsidRPr="00D5464D">
        <w:rPr>
          <w:rFonts w:cs="Arial"/>
          <w:szCs w:val="20"/>
          <w:lang w:val="pt-BR"/>
        </w:rPr>
        <w:t xml:space="preserve"> de </w:t>
      </w:r>
      <w:r w:rsidR="002C330E" w:rsidRPr="00D5464D">
        <w:rPr>
          <w:rFonts w:cs="Arial"/>
          <w:szCs w:val="20"/>
          <w:lang w:val="pt-BR"/>
        </w:rPr>
        <w:t>prescrição</w:t>
      </w:r>
      <w:r w:rsidR="00D81AA1" w:rsidRPr="00D5464D">
        <w:rPr>
          <w:rFonts w:cs="Arial"/>
          <w:szCs w:val="20"/>
          <w:lang w:val="pt-BR"/>
        </w:rPr>
        <w:t xml:space="preserve">. De </w:t>
      </w:r>
      <w:r w:rsidR="00470ADC" w:rsidRPr="00D5464D">
        <w:rPr>
          <w:rFonts w:cs="Arial"/>
          <w:szCs w:val="20"/>
          <w:lang w:val="pt-BR"/>
        </w:rPr>
        <w:t>acordo com</w:t>
      </w:r>
      <w:r w:rsidR="002C330E" w:rsidRPr="00D5464D">
        <w:rPr>
          <w:rFonts w:cs="Arial"/>
          <w:szCs w:val="20"/>
          <w:lang w:val="pt-BR"/>
        </w:rPr>
        <w:t xml:space="preserve"> os </w:t>
      </w:r>
      <w:r w:rsidR="00EB1CE9" w:rsidRPr="00D5464D">
        <w:rPr>
          <w:rFonts w:cs="Arial"/>
          <w:szCs w:val="20"/>
          <w:lang w:val="pt-BR"/>
        </w:rPr>
        <w:t>representante</w:t>
      </w:r>
      <w:r w:rsidR="00D81AA1" w:rsidRPr="00D5464D">
        <w:rPr>
          <w:rFonts w:cs="Arial"/>
          <w:szCs w:val="20"/>
          <w:lang w:val="pt-BR"/>
        </w:rPr>
        <w:t>s</w:t>
      </w:r>
      <w:r w:rsidR="00C413E2" w:rsidRPr="00D5464D">
        <w:rPr>
          <w:rFonts w:cs="Arial"/>
          <w:szCs w:val="20"/>
          <w:lang w:val="pt-BR"/>
        </w:rPr>
        <w:t>,</w:t>
      </w:r>
      <w:r w:rsidR="002C330E" w:rsidRPr="00D5464D">
        <w:rPr>
          <w:rFonts w:cs="Arial"/>
          <w:szCs w:val="20"/>
          <w:lang w:val="pt-BR"/>
        </w:rPr>
        <w:t xml:space="preserve"> os fatos</w:t>
      </w:r>
      <w:r w:rsidR="00D81AA1" w:rsidRPr="00D5464D">
        <w:rPr>
          <w:rFonts w:cs="Arial"/>
          <w:szCs w:val="20"/>
          <w:lang w:val="pt-BR"/>
        </w:rPr>
        <w:t xml:space="preserve"> </w:t>
      </w:r>
      <w:r w:rsidR="002C330E" w:rsidRPr="00D5464D">
        <w:rPr>
          <w:rFonts w:cs="Arial"/>
          <w:szCs w:val="20"/>
          <w:lang w:val="pt-BR"/>
        </w:rPr>
        <w:t>permanecem</w:t>
      </w:r>
      <w:r w:rsidR="00E045D9" w:rsidRPr="00D5464D">
        <w:rPr>
          <w:rFonts w:cs="Arial"/>
          <w:szCs w:val="20"/>
          <w:lang w:val="pt-BR"/>
        </w:rPr>
        <w:t xml:space="preserve"> na </w:t>
      </w:r>
      <w:r w:rsidR="00D81AA1" w:rsidRPr="00D5464D">
        <w:rPr>
          <w:rFonts w:cs="Arial"/>
          <w:szCs w:val="20"/>
          <w:lang w:val="pt-BR"/>
        </w:rPr>
        <w:t>impu</w:t>
      </w:r>
      <w:r w:rsidR="00737270" w:rsidRPr="00D5464D">
        <w:rPr>
          <w:rFonts w:cs="Arial"/>
          <w:szCs w:val="20"/>
          <w:lang w:val="pt-BR"/>
        </w:rPr>
        <w:t xml:space="preserve">nidade, </w:t>
      </w:r>
      <w:r w:rsidR="00470ADC" w:rsidRPr="00D5464D">
        <w:rPr>
          <w:rFonts w:cs="Arial"/>
          <w:szCs w:val="20"/>
          <w:lang w:val="pt-BR"/>
        </w:rPr>
        <w:t>devido</w:t>
      </w:r>
      <w:r w:rsidR="00C46617" w:rsidRPr="00D5464D">
        <w:rPr>
          <w:rFonts w:cs="Arial"/>
          <w:szCs w:val="20"/>
          <w:lang w:val="pt-BR"/>
        </w:rPr>
        <w:t>,</w:t>
      </w:r>
      <w:r w:rsidR="00470ADC" w:rsidRPr="00D5464D">
        <w:rPr>
          <w:rFonts w:cs="Arial"/>
          <w:szCs w:val="20"/>
          <w:lang w:val="pt-BR"/>
        </w:rPr>
        <w:t xml:space="preserve"> em </w:t>
      </w:r>
      <w:r w:rsidR="002C330E" w:rsidRPr="00D5464D">
        <w:rPr>
          <w:rFonts w:cs="Arial"/>
          <w:szCs w:val="20"/>
          <w:lang w:val="pt-BR"/>
        </w:rPr>
        <w:t xml:space="preserve">grande </w:t>
      </w:r>
      <w:r w:rsidR="00D81AA1" w:rsidRPr="00D5464D">
        <w:rPr>
          <w:rFonts w:cs="Arial"/>
          <w:szCs w:val="20"/>
          <w:lang w:val="pt-BR"/>
        </w:rPr>
        <w:t>parte</w:t>
      </w:r>
      <w:r w:rsidR="00C46617" w:rsidRPr="00D5464D">
        <w:rPr>
          <w:rFonts w:cs="Arial"/>
          <w:szCs w:val="20"/>
          <w:lang w:val="pt-BR"/>
        </w:rPr>
        <w:t>,</w:t>
      </w:r>
      <w:r w:rsidR="00470ADC" w:rsidRPr="00D5464D">
        <w:rPr>
          <w:rFonts w:cs="Arial"/>
          <w:szCs w:val="20"/>
          <w:lang w:val="pt-BR"/>
        </w:rPr>
        <w:t xml:space="preserve"> à </w:t>
      </w:r>
      <w:r w:rsidR="002C330E" w:rsidRPr="00D5464D">
        <w:rPr>
          <w:rFonts w:cs="Arial"/>
          <w:szCs w:val="20"/>
          <w:lang w:val="pt-BR"/>
        </w:rPr>
        <w:t>prescrição</w:t>
      </w:r>
      <w:r w:rsidR="00470ADC" w:rsidRPr="00D5464D">
        <w:rPr>
          <w:rFonts w:cs="Arial"/>
          <w:szCs w:val="20"/>
          <w:lang w:val="pt-BR"/>
        </w:rPr>
        <w:t xml:space="preserve"> dos </w:t>
      </w:r>
      <w:r w:rsidR="00D81AA1" w:rsidRPr="00D5464D">
        <w:rPr>
          <w:rFonts w:cs="Arial"/>
          <w:szCs w:val="20"/>
          <w:lang w:val="pt-BR"/>
        </w:rPr>
        <w:t>delitos</w:t>
      </w:r>
      <w:r w:rsidR="002C330E" w:rsidRPr="00D5464D">
        <w:rPr>
          <w:rFonts w:cs="Arial"/>
          <w:szCs w:val="20"/>
          <w:lang w:val="pt-BR"/>
        </w:rPr>
        <w:t xml:space="preserve"> </w:t>
      </w:r>
      <w:r w:rsidR="009E04D5" w:rsidRPr="00D5464D">
        <w:rPr>
          <w:rFonts w:cs="Arial"/>
          <w:szCs w:val="20"/>
          <w:lang w:val="pt-BR"/>
        </w:rPr>
        <w:t>em relação aos</w:t>
      </w:r>
      <w:r w:rsidR="002C330E" w:rsidRPr="00D5464D">
        <w:rPr>
          <w:rFonts w:cs="Arial"/>
          <w:szCs w:val="20"/>
          <w:lang w:val="pt-BR"/>
        </w:rPr>
        <w:t xml:space="preserve"> </w:t>
      </w:r>
      <w:r w:rsidR="00470ADC" w:rsidRPr="00D5464D">
        <w:rPr>
          <w:rFonts w:cs="Arial"/>
          <w:szCs w:val="20"/>
          <w:lang w:val="pt-BR"/>
        </w:rPr>
        <w:t>quais</w:t>
      </w:r>
      <w:r w:rsidR="00D81AA1" w:rsidRPr="00D5464D">
        <w:rPr>
          <w:rFonts w:cs="Arial"/>
          <w:szCs w:val="20"/>
          <w:lang w:val="pt-BR"/>
        </w:rPr>
        <w:t xml:space="preserve"> </w:t>
      </w:r>
      <w:r w:rsidR="002C330E" w:rsidRPr="00D5464D">
        <w:rPr>
          <w:rFonts w:cs="Arial"/>
          <w:szCs w:val="20"/>
          <w:lang w:val="pt-BR"/>
        </w:rPr>
        <w:t>poderia</w:t>
      </w:r>
      <w:r w:rsidR="00D81AA1" w:rsidRPr="00D5464D">
        <w:rPr>
          <w:rFonts w:cs="Arial"/>
          <w:szCs w:val="20"/>
          <w:lang w:val="pt-BR"/>
        </w:rPr>
        <w:t xml:space="preserve"> </w:t>
      </w:r>
      <w:r w:rsidR="002C330E" w:rsidRPr="00D5464D">
        <w:rPr>
          <w:rFonts w:cs="Arial"/>
          <w:szCs w:val="20"/>
          <w:lang w:val="pt-BR"/>
        </w:rPr>
        <w:t>ter</w:t>
      </w:r>
      <w:r w:rsidR="00D81AA1" w:rsidRPr="00D5464D">
        <w:rPr>
          <w:rFonts w:cs="Arial"/>
          <w:szCs w:val="20"/>
          <w:lang w:val="pt-BR"/>
        </w:rPr>
        <w:t xml:space="preserve"> sido </w:t>
      </w:r>
      <w:r w:rsidR="00470ADC" w:rsidRPr="00D5464D">
        <w:rPr>
          <w:rFonts w:cs="Arial"/>
          <w:szCs w:val="20"/>
          <w:lang w:val="pt-BR"/>
        </w:rPr>
        <w:t>abert</w:t>
      </w:r>
      <w:r w:rsidR="00D81AA1" w:rsidRPr="00D5464D">
        <w:rPr>
          <w:rFonts w:cs="Arial"/>
          <w:szCs w:val="20"/>
          <w:lang w:val="pt-BR"/>
        </w:rPr>
        <w:t>o</w:t>
      </w:r>
      <w:r w:rsidR="00E045D9" w:rsidRPr="00D5464D">
        <w:rPr>
          <w:rFonts w:cs="Arial"/>
          <w:szCs w:val="20"/>
          <w:lang w:val="pt-BR"/>
        </w:rPr>
        <w:t xml:space="preserve"> um </w:t>
      </w:r>
      <w:r w:rsidR="002C330E" w:rsidRPr="00D5464D">
        <w:rPr>
          <w:rFonts w:cs="Arial"/>
          <w:szCs w:val="20"/>
          <w:lang w:val="pt-BR"/>
        </w:rPr>
        <w:t>processo</w:t>
      </w:r>
      <w:r w:rsidR="00D81AA1" w:rsidRPr="00D5464D">
        <w:rPr>
          <w:rFonts w:cs="Arial"/>
          <w:szCs w:val="20"/>
          <w:lang w:val="pt-BR"/>
        </w:rPr>
        <w:t xml:space="preserve"> penal. </w:t>
      </w:r>
    </w:p>
    <w:p w14:paraId="563A1269" w14:textId="77777777" w:rsidR="00D81AA1" w:rsidRPr="00D5464D" w:rsidRDefault="00D81AA1" w:rsidP="00D81AA1">
      <w:pPr>
        <w:pStyle w:val="Prrafodelista"/>
        <w:rPr>
          <w:rFonts w:cs="Arial"/>
          <w:szCs w:val="20"/>
          <w:lang w:val="pt-BR"/>
        </w:rPr>
      </w:pPr>
    </w:p>
    <w:p w14:paraId="0CE12B14" w14:textId="1AB68F0E" w:rsidR="00D81AA1" w:rsidRPr="00D5464D" w:rsidRDefault="00470ADC" w:rsidP="00D81AA1">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Ademais</w:t>
      </w:r>
      <w:r w:rsidR="00D81AA1" w:rsidRPr="00D5464D">
        <w:rPr>
          <w:rFonts w:cs="Arial"/>
          <w:szCs w:val="20"/>
          <w:lang w:val="pt-BR"/>
        </w:rPr>
        <w:t>,</w:t>
      </w:r>
      <w:r w:rsidR="002C330E" w:rsidRPr="00D5464D">
        <w:rPr>
          <w:rFonts w:cs="Arial"/>
          <w:szCs w:val="20"/>
          <w:lang w:val="pt-BR"/>
        </w:rPr>
        <w:t xml:space="preserve"> os </w:t>
      </w:r>
      <w:r w:rsidR="00EB1CE9" w:rsidRPr="00D5464D">
        <w:rPr>
          <w:rFonts w:cs="Arial"/>
          <w:szCs w:val="20"/>
          <w:lang w:val="pt-BR"/>
        </w:rPr>
        <w:t>representante</w:t>
      </w:r>
      <w:r w:rsidR="00D81AA1" w:rsidRPr="00D5464D">
        <w:rPr>
          <w:rFonts w:cs="Arial"/>
          <w:szCs w:val="20"/>
          <w:lang w:val="pt-BR"/>
        </w:rPr>
        <w:t xml:space="preserve">s </w:t>
      </w:r>
      <w:r w:rsidR="002C330E" w:rsidRPr="00D5464D">
        <w:rPr>
          <w:rFonts w:cs="Arial"/>
          <w:szCs w:val="20"/>
          <w:lang w:val="pt-BR"/>
        </w:rPr>
        <w:t>indicaram</w:t>
      </w:r>
      <w:r w:rsidR="00D81AA1" w:rsidRPr="00D5464D">
        <w:rPr>
          <w:rFonts w:cs="Arial"/>
          <w:szCs w:val="20"/>
          <w:lang w:val="pt-BR"/>
        </w:rPr>
        <w:t xml:space="preserve"> que</w:t>
      </w:r>
      <w:r w:rsidR="002C330E" w:rsidRPr="00D5464D">
        <w:rPr>
          <w:rFonts w:cs="Arial"/>
          <w:szCs w:val="20"/>
          <w:lang w:val="pt-BR"/>
        </w:rPr>
        <w:t xml:space="preserve"> a </w:t>
      </w:r>
      <w:r w:rsidR="00D81AA1" w:rsidRPr="00D5464D">
        <w:rPr>
          <w:rFonts w:cs="Arial"/>
          <w:szCs w:val="20"/>
          <w:lang w:val="pt-BR"/>
        </w:rPr>
        <w:t xml:space="preserve">falta de </w:t>
      </w:r>
      <w:r w:rsidR="00737270" w:rsidRPr="00D5464D">
        <w:rPr>
          <w:rFonts w:cs="Arial"/>
          <w:szCs w:val="20"/>
          <w:lang w:val="pt-BR"/>
        </w:rPr>
        <w:t>atuação</w:t>
      </w:r>
      <w:r w:rsidR="00D81AA1" w:rsidRPr="00D5464D">
        <w:rPr>
          <w:rFonts w:cs="Arial"/>
          <w:szCs w:val="20"/>
          <w:lang w:val="pt-BR"/>
        </w:rPr>
        <w:t xml:space="preserve"> </w:t>
      </w:r>
      <w:r w:rsidRPr="00D5464D">
        <w:rPr>
          <w:rFonts w:cs="Arial"/>
          <w:szCs w:val="20"/>
          <w:lang w:val="pt-BR"/>
        </w:rPr>
        <w:t>efetiv</w:t>
      </w:r>
      <w:r w:rsidR="00D81AA1" w:rsidRPr="00D5464D">
        <w:rPr>
          <w:rFonts w:cs="Arial"/>
          <w:szCs w:val="20"/>
          <w:lang w:val="pt-BR"/>
        </w:rPr>
        <w:t>a por parte</w:t>
      </w:r>
      <w:r w:rsidRPr="00D5464D">
        <w:rPr>
          <w:rFonts w:cs="Arial"/>
          <w:szCs w:val="20"/>
          <w:lang w:val="pt-BR"/>
        </w:rPr>
        <w:t xml:space="preserve"> das </w:t>
      </w:r>
      <w:r w:rsidR="00D81AA1" w:rsidRPr="00D5464D">
        <w:rPr>
          <w:rFonts w:cs="Arial"/>
          <w:szCs w:val="20"/>
          <w:lang w:val="pt-BR"/>
        </w:rPr>
        <w:t>autoridades frente</w:t>
      </w:r>
      <w:r w:rsidR="00E045D9" w:rsidRPr="00D5464D">
        <w:rPr>
          <w:rFonts w:cs="Arial"/>
          <w:szCs w:val="20"/>
          <w:lang w:val="pt-BR"/>
        </w:rPr>
        <w:t xml:space="preserve"> às </w:t>
      </w:r>
      <w:r w:rsidRPr="00D5464D">
        <w:rPr>
          <w:rFonts w:cs="Arial"/>
          <w:szCs w:val="20"/>
          <w:lang w:val="pt-BR"/>
        </w:rPr>
        <w:t>denúncias</w:t>
      </w:r>
      <w:r w:rsidR="00E045D9" w:rsidRPr="00D5464D">
        <w:rPr>
          <w:rFonts w:cs="Arial"/>
          <w:szCs w:val="20"/>
          <w:lang w:val="pt-BR"/>
        </w:rPr>
        <w:t xml:space="preserve"> e </w:t>
      </w:r>
      <w:r w:rsidR="00C46617" w:rsidRPr="00D5464D">
        <w:rPr>
          <w:rFonts w:cs="Arial"/>
          <w:szCs w:val="20"/>
          <w:lang w:val="pt-BR"/>
        </w:rPr>
        <w:t>à</w:t>
      </w:r>
      <w:r w:rsidR="002C330E" w:rsidRPr="00D5464D">
        <w:rPr>
          <w:rFonts w:cs="Arial"/>
          <w:szCs w:val="20"/>
          <w:lang w:val="pt-BR"/>
        </w:rPr>
        <w:t xml:space="preserve"> </w:t>
      </w:r>
      <w:r w:rsidR="00230C71" w:rsidRPr="00D5464D">
        <w:rPr>
          <w:rFonts w:cs="Arial"/>
          <w:szCs w:val="20"/>
          <w:lang w:val="pt-BR"/>
        </w:rPr>
        <w:t>recorr</w:t>
      </w:r>
      <w:r w:rsidR="00350187" w:rsidRPr="00D5464D">
        <w:rPr>
          <w:rFonts w:cs="Arial"/>
          <w:szCs w:val="20"/>
          <w:lang w:val="pt-BR"/>
        </w:rPr>
        <w:t>ência</w:t>
      </w:r>
      <w:r w:rsidRPr="00D5464D">
        <w:rPr>
          <w:rFonts w:cs="Arial"/>
          <w:szCs w:val="20"/>
          <w:lang w:val="pt-BR"/>
        </w:rPr>
        <w:t xml:space="preserve"> dos </w:t>
      </w:r>
      <w:r w:rsidR="002C330E" w:rsidRPr="00D5464D">
        <w:rPr>
          <w:rFonts w:cs="Arial"/>
          <w:szCs w:val="20"/>
          <w:lang w:val="pt-BR"/>
        </w:rPr>
        <w:t>fatos</w:t>
      </w:r>
      <w:r w:rsidR="00D81AA1" w:rsidRPr="00D5464D">
        <w:rPr>
          <w:rFonts w:cs="Arial"/>
          <w:szCs w:val="20"/>
          <w:lang w:val="pt-BR"/>
        </w:rPr>
        <w:t xml:space="preserve"> denunciados </w:t>
      </w:r>
      <w:r w:rsidR="00C91CB1" w:rsidRPr="00D5464D">
        <w:rPr>
          <w:rFonts w:cs="Arial"/>
          <w:szCs w:val="20"/>
          <w:lang w:val="pt-BR"/>
        </w:rPr>
        <w:t>evidenciam</w:t>
      </w:r>
      <w:r w:rsidR="00E045D9" w:rsidRPr="00D5464D">
        <w:rPr>
          <w:rFonts w:cs="Arial"/>
          <w:szCs w:val="20"/>
          <w:lang w:val="pt-BR"/>
        </w:rPr>
        <w:t xml:space="preserve"> uma </w:t>
      </w:r>
      <w:r w:rsidR="00D81AA1" w:rsidRPr="00D5464D">
        <w:rPr>
          <w:rFonts w:cs="Arial"/>
          <w:szCs w:val="20"/>
          <w:lang w:val="pt-BR"/>
        </w:rPr>
        <w:t>situa</w:t>
      </w:r>
      <w:r w:rsidRPr="00D5464D">
        <w:rPr>
          <w:rFonts w:cs="Arial"/>
          <w:szCs w:val="20"/>
          <w:lang w:val="pt-BR"/>
        </w:rPr>
        <w:t>ção</w:t>
      </w:r>
      <w:r w:rsidR="00D81AA1" w:rsidRPr="00D5464D">
        <w:rPr>
          <w:rFonts w:cs="Arial"/>
          <w:szCs w:val="20"/>
          <w:lang w:val="pt-BR"/>
        </w:rPr>
        <w:t xml:space="preserve"> de discrimina</w:t>
      </w:r>
      <w:r w:rsidRPr="00D5464D">
        <w:rPr>
          <w:rFonts w:cs="Arial"/>
          <w:szCs w:val="20"/>
          <w:lang w:val="pt-BR"/>
        </w:rPr>
        <w:t>ção</w:t>
      </w:r>
      <w:r w:rsidR="00D81AA1" w:rsidRPr="00D5464D">
        <w:rPr>
          <w:rFonts w:cs="Arial"/>
          <w:szCs w:val="20"/>
          <w:lang w:val="pt-BR"/>
        </w:rPr>
        <w:t xml:space="preserve"> </w:t>
      </w:r>
      <w:r w:rsidRPr="00D5464D">
        <w:rPr>
          <w:rFonts w:cs="Arial"/>
          <w:szCs w:val="20"/>
          <w:lang w:val="pt-BR"/>
        </w:rPr>
        <w:t>estrutura</w:t>
      </w:r>
      <w:r w:rsidR="00D81AA1" w:rsidRPr="00D5464D">
        <w:rPr>
          <w:rFonts w:cs="Arial"/>
          <w:szCs w:val="20"/>
          <w:lang w:val="pt-BR"/>
        </w:rPr>
        <w:t>l</w:t>
      </w:r>
      <w:r w:rsidR="00E045D9" w:rsidRPr="00D5464D">
        <w:rPr>
          <w:rFonts w:cs="Arial"/>
          <w:szCs w:val="20"/>
          <w:lang w:val="pt-BR"/>
        </w:rPr>
        <w:t xml:space="preserve"> na </w:t>
      </w:r>
      <w:r w:rsidR="00C413E2" w:rsidRPr="00D5464D">
        <w:rPr>
          <w:rFonts w:cs="Arial"/>
          <w:szCs w:val="20"/>
          <w:lang w:val="pt-BR"/>
        </w:rPr>
        <w:t>res</w:t>
      </w:r>
      <w:r w:rsidR="002C330E" w:rsidRPr="00D5464D">
        <w:rPr>
          <w:rFonts w:cs="Arial"/>
          <w:szCs w:val="20"/>
          <w:lang w:val="pt-BR"/>
        </w:rPr>
        <w:t>posta</w:t>
      </w:r>
      <w:r w:rsidR="00D81AA1" w:rsidRPr="00D5464D">
        <w:rPr>
          <w:rFonts w:cs="Arial"/>
          <w:szCs w:val="20"/>
          <w:lang w:val="pt-BR"/>
        </w:rPr>
        <w:t xml:space="preserve"> </w:t>
      </w:r>
      <w:r w:rsidRPr="00D5464D">
        <w:rPr>
          <w:rFonts w:cs="Arial"/>
          <w:szCs w:val="20"/>
          <w:lang w:val="pt-BR"/>
        </w:rPr>
        <w:t xml:space="preserve">do </w:t>
      </w:r>
      <w:r w:rsidR="00D81AA1" w:rsidRPr="00D5464D">
        <w:rPr>
          <w:rFonts w:cs="Arial"/>
          <w:szCs w:val="20"/>
          <w:lang w:val="pt-BR"/>
        </w:rPr>
        <w:t>Estado,</w:t>
      </w:r>
      <w:r w:rsidR="002C330E" w:rsidRPr="00D5464D">
        <w:rPr>
          <w:rFonts w:cs="Arial"/>
          <w:szCs w:val="20"/>
          <w:lang w:val="pt-BR"/>
        </w:rPr>
        <w:t xml:space="preserve"> o que </w:t>
      </w:r>
      <w:r w:rsidR="00D81AA1" w:rsidRPr="00D5464D">
        <w:rPr>
          <w:rFonts w:cs="Arial"/>
          <w:szCs w:val="20"/>
          <w:lang w:val="pt-BR"/>
        </w:rPr>
        <w:t>permite</w:t>
      </w:r>
      <w:r w:rsidR="002C330E" w:rsidRPr="00D5464D">
        <w:rPr>
          <w:rFonts w:cs="Arial"/>
          <w:szCs w:val="20"/>
          <w:lang w:val="pt-BR"/>
        </w:rPr>
        <w:t xml:space="preserve"> a </w:t>
      </w:r>
      <w:r w:rsidR="00D81AA1" w:rsidRPr="00D5464D">
        <w:rPr>
          <w:rFonts w:cs="Arial"/>
          <w:szCs w:val="20"/>
          <w:lang w:val="pt-BR"/>
        </w:rPr>
        <w:t>perpetua</w:t>
      </w:r>
      <w:r w:rsidRPr="00D5464D">
        <w:rPr>
          <w:rFonts w:cs="Arial"/>
          <w:szCs w:val="20"/>
          <w:lang w:val="pt-BR"/>
        </w:rPr>
        <w:t>ção</w:t>
      </w:r>
      <w:r w:rsidR="00D81AA1" w:rsidRPr="00D5464D">
        <w:rPr>
          <w:rFonts w:cs="Arial"/>
          <w:szCs w:val="20"/>
          <w:lang w:val="pt-BR"/>
        </w:rPr>
        <w:t xml:space="preserve"> de</w:t>
      </w:r>
      <w:r w:rsidR="00E045D9" w:rsidRPr="00D5464D">
        <w:rPr>
          <w:rFonts w:cs="Arial"/>
          <w:szCs w:val="20"/>
          <w:lang w:val="pt-BR"/>
        </w:rPr>
        <w:t xml:space="preserve"> uma </w:t>
      </w:r>
      <w:r w:rsidR="00D81AA1" w:rsidRPr="00D5464D">
        <w:rPr>
          <w:rFonts w:cs="Arial"/>
          <w:szCs w:val="20"/>
          <w:lang w:val="pt-BR"/>
        </w:rPr>
        <w:t>situa</w:t>
      </w:r>
      <w:r w:rsidRPr="00D5464D">
        <w:rPr>
          <w:rFonts w:cs="Arial"/>
          <w:szCs w:val="20"/>
          <w:lang w:val="pt-BR"/>
        </w:rPr>
        <w:t>ção</w:t>
      </w:r>
      <w:r w:rsidR="00D81AA1" w:rsidRPr="00D5464D">
        <w:rPr>
          <w:rFonts w:cs="Arial"/>
          <w:szCs w:val="20"/>
          <w:lang w:val="pt-BR"/>
        </w:rPr>
        <w:t xml:space="preserve"> de </w:t>
      </w:r>
      <w:r w:rsidR="00230C71" w:rsidRPr="00D5464D">
        <w:rPr>
          <w:rFonts w:cs="Arial"/>
          <w:szCs w:val="20"/>
          <w:lang w:val="pt-BR"/>
        </w:rPr>
        <w:t>exploração</w:t>
      </w:r>
      <w:r w:rsidR="00D81AA1" w:rsidRPr="00D5464D">
        <w:rPr>
          <w:rFonts w:cs="Arial"/>
          <w:szCs w:val="20"/>
          <w:lang w:val="pt-BR"/>
        </w:rPr>
        <w:t xml:space="preserve"> a</w:t>
      </w:r>
      <w:r w:rsidR="00E045D9" w:rsidRPr="00D5464D">
        <w:rPr>
          <w:rFonts w:cs="Arial"/>
          <w:szCs w:val="20"/>
          <w:lang w:val="pt-BR"/>
        </w:rPr>
        <w:t xml:space="preserve"> um </w:t>
      </w:r>
      <w:r w:rsidR="00D81AA1" w:rsidRPr="00D5464D">
        <w:rPr>
          <w:rFonts w:cs="Arial"/>
          <w:szCs w:val="20"/>
          <w:lang w:val="pt-BR"/>
        </w:rPr>
        <w:t xml:space="preserve">grupo determinado de </w:t>
      </w:r>
      <w:r w:rsidR="002C330E" w:rsidRPr="00D5464D">
        <w:rPr>
          <w:rFonts w:cs="Arial"/>
          <w:szCs w:val="20"/>
          <w:lang w:val="pt-BR"/>
        </w:rPr>
        <w:t>pessoa</w:t>
      </w:r>
      <w:r w:rsidR="00D81AA1" w:rsidRPr="00D5464D">
        <w:rPr>
          <w:rFonts w:cs="Arial"/>
          <w:szCs w:val="20"/>
          <w:lang w:val="pt-BR"/>
        </w:rPr>
        <w:t>s. Finalmente,</w:t>
      </w:r>
      <w:r w:rsidR="002C330E" w:rsidRPr="00D5464D">
        <w:rPr>
          <w:rFonts w:cs="Arial"/>
          <w:szCs w:val="20"/>
          <w:lang w:val="pt-BR"/>
        </w:rPr>
        <w:t xml:space="preserve"> os </w:t>
      </w:r>
      <w:r w:rsidR="00EB1CE9" w:rsidRPr="00D5464D">
        <w:rPr>
          <w:rFonts w:cs="Arial"/>
          <w:szCs w:val="20"/>
          <w:lang w:val="pt-BR"/>
        </w:rPr>
        <w:t>representante</w:t>
      </w:r>
      <w:r w:rsidR="00D81AA1" w:rsidRPr="00D5464D">
        <w:rPr>
          <w:rFonts w:cs="Arial"/>
          <w:szCs w:val="20"/>
          <w:lang w:val="pt-BR"/>
        </w:rPr>
        <w:t xml:space="preserve">s </w:t>
      </w:r>
      <w:r w:rsidRPr="00D5464D">
        <w:rPr>
          <w:rFonts w:cs="Arial"/>
          <w:szCs w:val="20"/>
          <w:lang w:val="pt-BR"/>
        </w:rPr>
        <w:t>alegaram</w:t>
      </w:r>
      <w:r w:rsidR="00D81AA1" w:rsidRPr="00D5464D">
        <w:rPr>
          <w:rFonts w:cs="Arial"/>
          <w:szCs w:val="20"/>
          <w:lang w:val="pt-BR"/>
        </w:rPr>
        <w:t xml:space="preserve"> que</w:t>
      </w:r>
      <w:r w:rsidRPr="00D5464D">
        <w:rPr>
          <w:rFonts w:cs="Arial"/>
          <w:szCs w:val="20"/>
          <w:lang w:val="pt-BR"/>
        </w:rPr>
        <w:t xml:space="preserve"> o </w:t>
      </w:r>
      <w:r w:rsidR="00D81AA1" w:rsidRPr="00D5464D">
        <w:rPr>
          <w:rFonts w:cs="Arial"/>
          <w:szCs w:val="20"/>
          <w:lang w:val="pt-BR"/>
        </w:rPr>
        <w:t xml:space="preserve">Estado </w:t>
      </w:r>
      <w:r w:rsidR="00E045D9" w:rsidRPr="00D5464D">
        <w:rPr>
          <w:rFonts w:cs="Arial"/>
          <w:szCs w:val="20"/>
          <w:lang w:val="pt-BR"/>
        </w:rPr>
        <w:t xml:space="preserve">tinha um </w:t>
      </w:r>
      <w:r w:rsidRPr="00D5464D">
        <w:rPr>
          <w:rFonts w:cs="Arial"/>
          <w:szCs w:val="20"/>
          <w:lang w:val="pt-BR"/>
        </w:rPr>
        <w:t>dever</w:t>
      </w:r>
      <w:r w:rsidR="00D81AA1" w:rsidRPr="00D5464D">
        <w:rPr>
          <w:rFonts w:cs="Arial"/>
          <w:szCs w:val="20"/>
          <w:lang w:val="pt-BR"/>
        </w:rPr>
        <w:t xml:space="preserve"> de </w:t>
      </w:r>
      <w:r w:rsidRPr="00D5464D">
        <w:rPr>
          <w:rFonts w:cs="Arial"/>
          <w:szCs w:val="20"/>
          <w:lang w:val="pt-BR"/>
        </w:rPr>
        <w:t xml:space="preserve">atuar </w:t>
      </w:r>
      <w:r w:rsidR="00D81AA1" w:rsidRPr="00D5464D">
        <w:rPr>
          <w:rFonts w:cs="Arial"/>
          <w:szCs w:val="20"/>
          <w:lang w:val="pt-BR"/>
        </w:rPr>
        <w:t>e investigar</w:t>
      </w:r>
      <w:r w:rsidRPr="00D5464D">
        <w:rPr>
          <w:rFonts w:cs="Arial"/>
          <w:szCs w:val="20"/>
          <w:lang w:val="pt-BR"/>
        </w:rPr>
        <w:t xml:space="preserve"> com diligência</w:t>
      </w:r>
      <w:r w:rsidR="00D81AA1" w:rsidRPr="00D5464D">
        <w:rPr>
          <w:rFonts w:cs="Arial"/>
          <w:szCs w:val="20"/>
          <w:lang w:val="pt-BR"/>
        </w:rPr>
        <w:t xml:space="preserve"> urgente</w:t>
      </w:r>
      <w:r w:rsidR="00C46617" w:rsidRPr="00D5464D">
        <w:rPr>
          <w:rFonts w:cs="Arial"/>
          <w:szCs w:val="20"/>
          <w:lang w:val="pt-BR"/>
        </w:rPr>
        <w:t>,</w:t>
      </w:r>
      <w:r w:rsidR="00D81AA1" w:rsidRPr="00D5464D">
        <w:rPr>
          <w:rFonts w:cs="Arial"/>
          <w:szCs w:val="20"/>
          <w:lang w:val="pt-BR"/>
        </w:rPr>
        <w:t xml:space="preserve"> </w:t>
      </w:r>
      <w:r w:rsidRPr="00D5464D">
        <w:rPr>
          <w:rFonts w:cs="Arial"/>
          <w:szCs w:val="20"/>
          <w:lang w:val="pt-BR"/>
        </w:rPr>
        <w:t>devido</w:t>
      </w:r>
      <w:r w:rsidR="00D81AA1" w:rsidRPr="00D5464D">
        <w:rPr>
          <w:rFonts w:cs="Arial"/>
          <w:szCs w:val="20"/>
          <w:lang w:val="pt-BR"/>
        </w:rPr>
        <w:t xml:space="preserve"> a que</w:t>
      </w:r>
      <w:r w:rsidR="002C330E" w:rsidRPr="00D5464D">
        <w:rPr>
          <w:rFonts w:cs="Arial"/>
          <w:szCs w:val="20"/>
          <w:lang w:val="pt-BR"/>
        </w:rPr>
        <w:t xml:space="preserve"> as </w:t>
      </w:r>
      <w:r w:rsidR="00D81AA1" w:rsidRPr="00D5464D">
        <w:rPr>
          <w:rFonts w:cs="Arial"/>
          <w:szCs w:val="20"/>
          <w:lang w:val="pt-BR"/>
        </w:rPr>
        <w:t>autoridades</w:t>
      </w:r>
      <w:r w:rsidR="00737270" w:rsidRPr="00D5464D">
        <w:rPr>
          <w:rFonts w:cs="Arial"/>
          <w:szCs w:val="20"/>
          <w:lang w:val="pt-BR"/>
        </w:rPr>
        <w:t xml:space="preserve"> </w:t>
      </w:r>
      <w:r w:rsidR="00C46617" w:rsidRPr="00D5464D">
        <w:rPr>
          <w:rFonts w:cs="Arial"/>
          <w:szCs w:val="20"/>
          <w:lang w:val="pt-BR"/>
        </w:rPr>
        <w:t xml:space="preserve">tinham </w:t>
      </w:r>
      <w:r w:rsidRPr="00D5464D">
        <w:rPr>
          <w:rFonts w:cs="Arial"/>
          <w:szCs w:val="20"/>
          <w:lang w:val="pt-BR"/>
        </w:rPr>
        <w:t>conhecimento</w:t>
      </w:r>
      <w:r w:rsidR="00D81AA1" w:rsidRPr="00D5464D">
        <w:rPr>
          <w:rFonts w:cs="Arial"/>
          <w:szCs w:val="20"/>
          <w:lang w:val="pt-BR"/>
        </w:rPr>
        <w:t xml:space="preserve"> de que</w:t>
      </w:r>
      <w:r w:rsidR="00E045D9" w:rsidRPr="00D5464D">
        <w:rPr>
          <w:rFonts w:cs="Arial"/>
          <w:szCs w:val="20"/>
          <w:lang w:val="pt-BR"/>
        </w:rPr>
        <w:t xml:space="preserve"> na </w:t>
      </w:r>
      <w:r w:rsidR="00D809F0" w:rsidRPr="00D5464D">
        <w:rPr>
          <w:rFonts w:cs="Arial"/>
          <w:szCs w:val="20"/>
          <w:lang w:val="pt-BR"/>
        </w:rPr>
        <w:t>Fazenda</w:t>
      </w:r>
      <w:r w:rsidR="00D81AA1" w:rsidRPr="00D5464D">
        <w:rPr>
          <w:rFonts w:cs="Arial"/>
          <w:szCs w:val="20"/>
          <w:lang w:val="pt-BR"/>
        </w:rPr>
        <w:t xml:space="preserve"> Brasil Verde </w:t>
      </w:r>
      <w:r w:rsidR="00C46617" w:rsidRPr="00D5464D">
        <w:rPr>
          <w:rFonts w:cs="Arial"/>
          <w:szCs w:val="20"/>
          <w:lang w:val="pt-BR"/>
        </w:rPr>
        <w:t xml:space="preserve">poderia haver </w:t>
      </w:r>
      <w:r w:rsidR="002C330E" w:rsidRPr="00D5464D">
        <w:rPr>
          <w:rFonts w:cs="Arial"/>
          <w:szCs w:val="20"/>
          <w:lang w:val="pt-BR"/>
        </w:rPr>
        <w:t>crianças</w:t>
      </w:r>
      <w:r w:rsidR="00E045D9" w:rsidRPr="00D5464D">
        <w:rPr>
          <w:rFonts w:cs="Arial"/>
          <w:szCs w:val="20"/>
          <w:lang w:val="pt-BR"/>
        </w:rPr>
        <w:t xml:space="preserve"> e </w:t>
      </w:r>
      <w:r w:rsidR="00D81AA1" w:rsidRPr="00D5464D">
        <w:rPr>
          <w:rFonts w:cs="Arial"/>
          <w:szCs w:val="20"/>
          <w:lang w:val="pt-BR"/>
        </w:rPr>
        <w:t>adolescentes.</w:t>
      </w:r>
    </w:p>
    <w:p w14:paraId="626DF9B4" w14:textId="77777777" w:rsidR="00DE3E58" w:rsidRPr="00D5464D" w:rsidRDefault="00DE3E58" w:rsidP="00DE3E58">
      <w:pPr>
        <w:pStyle w:val="Prrafodelista"/>
        <w:autoSpaceDE w:val="0"/>
        <w:autoSpaceDN w:val="0"/>
        <w:adjustRightInd w:val="0"/>
        <w:ind w:left="0"/>
        <w:contextualSpacing w:val="0"/>
        <w:rPr>
          <w:rFonts w:cs="Arial"/>
          <w:szCs w:val="20"/>
          <w:lang w:val="pt-BR"/>
        </w:rPr>
      </w:pPr>
    </w:p>
    <w:p w14:paraId="30ECED8D" w14:textId="031EDE07" w:rsidR="00D81AA1" w:rsidRPr="00D5464D" w:rsidRDefault="00470ADC" w:rsidP="00D81AA1">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 xml:space="preserve">O </w:t>
      </w:r>
      <w:r w:rsidR="00D81AA1" w:rsidRPr="00D5464D">
        <w:rPr>
          <w:rFonts w:cs="Arial"/>
          <w:b/>
          <w:i/>
          <w:szCs w:val="20"/>
          <w:lang w:val="pt-BR"/>
        </w:rPr>
        <w:t>Estado</w:t>
      </w:r>
      <w:r w:rsidR="00D81AA1" w:rsidRPr="00D5464D">
        <w:rPr>
          <w:rFonts w:cs="Arial"/>
          <w:szCs w:val="20"/>
          <w:lang w:val="pt-BR"/>
        </w:rPr>
        <w:t xml:space="preserve"> </w:t>
      </w:r>
      <w:r w:rsidRPr="00D5464D">
        <w:rPr>
          <w:rFonts w:cs="Arial"/>
          <w:szCs w:val="20"/>
          <w:lang w:val="pt-BR"/>
        </w:rPr>
        <w:t>argumentou</w:t>
      </w:r>
      <w:r w:rsidR="00D81AA1" w:rsidRPr="00D5464D">
        <w:rPr>
          <w:rFonts w:cs="Arial"/>
          <w:szCs w:val="20"/>
          <w:lang w:val="pt-BR"/>
        </w:rPr>
        <w:t xml:space="preserve"> que</w:t>
      </w:r>
      <w:r w:rsidR="002C330E" w:rsidRPr="00D5464D">
        <w:rPr>
          <w:rFonts w:cs="Arial"/>
          <w:szCs w:val="20"/>
          <w:lang w:val="pt-BR"/>
        </w:rPr>
        <w:t xml:space="preserve"> a </w:t>
      </w:r>
      <w:r w:rsidRPr="00D5464D">
        <w:rPr>
          <w:rFonts w:cs="Arial"/>
          <w:szCs w:val="20"/>
          <w:lang w:val="pt-BR"/>
        </w:rPr>
        <w:t>Comissão</w:t>
      </w:r>
      <w:r w:rsidR="00D81AA1" w:rsidRPr="00D5464D">
        <w:rPr>
          <w:rFonts w:cs="Arial"/>
          <w:szCs w:val="20"/>
          <w:lang w:val="pt-BR"/>
        </w:rPr>
        <w:t xml:space="preserve"> n</w:t>
      </w:r>
      <w:r w:rsidR="00C46617" w:rsidRPr="00D5464D">
        <w:rPr>
          <w:rFonts w:cs="Arial"/>
          <w:szCs w:val="20"/>
          <w:lang w:val="pt-BR"/>
        </w:rPr>
        <w:t>ão</w:t>
      </w:r>
      <w:r w:rsidR="00D81AA1" w:rsidRPr="00D5464D">
        <w:rPr>
          <w:rFonts w:cs="Arial"/>
          <w:szCs w:val="20"/>
          <w:lang w:val="pt-BR"/>
        </w:rPr>
        <w:t xml:space="preserve"> </w:t>
      </w:r>
      <w:r w:rsidR="002C330E" w:rsidRPr="00D5464D">
        <w:rPr>
          <w:rFonts w:cs="Arial"/>
          <w:szCs w:val="20"/>
          <w:lang w:val="pt-BR"/>
        </w:rPr>
        <w:t>afirmou</w:t>
      </w:r>
      <w:r w:rsidR="00D81AA1" w:rsidRPr="00D5464D">
        <w:rPr>
          <w:rFonts w:cs="Arial"/>
          <w:szCs w:val="20"/>
          <w:lang w:val="pt-BR"/>
        </w:rPr>
        <w:t xml:space="preserve"> de </w:t>
      </w:r>
      <w:r w:rsidR="002C330E" w:rsidRPr="00D5464D">
        <w:rPr>
          <w:rFonts w:cs="Arial"/>
          <w:szCs w:val="20"/>
          <w:lang w:val="pt-BR"/>
        </w:rPr>
        <w:t>maneira</w:t>
      </w:r>
      <w:r w:rsidR="00D81AA1" w:rsidRPr="00D5464D">
        <w:rPr>
          <w:rFonts w:cs="Arial"/>
          <w:szCs w:val="20"/>
          <w:lang w:val="pt-BR"/>
        </w:rPr>
        <w:t xml:space="preserve"> clara</w:t>
      </w:r>
      <w:r w:rsidR="00E045D9" w:rsidRPr="00D5464D">
        <w:rPr>
          <w:rFonts w:cs="Arial"/>
          <w:szCs w:val="20"/>
          <w:lang w:val="pt-BR"/>
        </w:rPr>
        <w:t xml:space="preserve"> e </w:t>
      </w:r>
      <w:r w:rsidR="00D81AA1" w:rsidRPr="00D5464D">
        <w:rPr>
          <w:rFonts w:cs="Arial"/>
          <w:szCs w:val="20"/>
          <w:lang w:val="pt-BR"/>
        </w:rPr>
        <w:t>específica</w:t>
      </w:r>
      <w:r w:rsidRPr="00D5464D">
        <w:rPr>
          <w:rFonts w:cs="Arial"/>
          <w:szCs w:val="20"/>
          <w:lang w:val="pt-BR"/>
        </w:rPr>
        <w:t xml:space="preserve"> em </w:t>
      </w:r>
      <w:r w:rsidR="00D81AA1" w:rsidRPr="00D5464D">
        <w:rPr>
          <w:rFonts w:cs="Arial"/>
          <w:szCs w:val="20"/>
          <w:lang w:val="pt-BR"/>
        </w:rPr>
        <w:t xml:space="preserve">que </w:t>
      </w:r>
      <w:r w:rsidRPr="00D5464D">
        <w:rPr>
          <w:rFonts w:cs="Arial"/>
          <w:szCs w:val="20"/>
          <w:lang w:val="pt-BR"/>
        </w:rPr>
        <w:t>consistiu</w:t>
      </w:r>
      <w:r w:rsidR="002C330E" w:rsidRPr="00D5464D">
        <w:rPr>
          <w:rFonts w:cs="Arial"/>
          <w:szCs w:val="20"/>
          <w:lang w:val="pt-BR"/>
        </w:rPr>
        <w:t xml:space="preserve"> a </w:t>
      </w:r>
      <w:r w:rsidR="00D81AA1" w:rsidRPr="00D5464D">
        <w:rPr>
          <w:rFonts w:cs="Arial"/>
          <w:szCs w:val="20"/>
          <w:lang w:val="pt-BR"/>
        </w:rPr>
        <w:t>viola</w:t>
      </w:r>
      <w:r w:rsidRPr="00D5464D">
        <w:rPr>
          <w:rFonts w:cs="Arial"/>
          <w:szCs w:val="20"/>
          <w:lang w:val="pt-BR"/>
        </w:rPr>
        <w:t xml:space="preserve">ção à </w:t>
      </w:r>
      <w:r w:rsidR="002C330E" w:rsidRPr="00D5464D">
        <w:rPr>
          <w:rFonts w:cs="Arial"/>
          <w:szCs w:val="20"/>
          <w:lang w:val="pt-BR"/>
        </w:rPr>
        <w:t>obrigação</w:t>
      </w:r>
      <w:r w:rsidR="00D81AA1" w:rsidRPr="00D5464D">
        <w:rPr>
          <w:rFonts w:cs="Arial"/>
          <w:szCs w:val="20"/>
          <w:lang w:val="pt-BR"/>
        </w:rPr>
        <w:t xml:space="preserve"> de observar</w:t>
      </w:r>
      <w:r w:rsidR="002C330E" w:rsidRPr="00D5464D">
        <w:rPr>
          <w:rFonts w:cs="Arial"/>
          <w:szCs w:val="20"/>
          <w:lang w:val="pt-BR"/>
        </w:rPr>
        <w:t xml:space="preserve"> as garantias</w:t>
      </w:r>
      <w:r w:rsidR="00D81AA1" w:rsidRPr="00D5464D">
        <w:rPr>
          <w:rFonts w:cs="Arial"/>
          <w:szCs w:val="20"/>
          <w:lang w:val="pt-BR"/>
        </w:rPr>
        <w:t xml:space="preserve"> </w:t>
      </w:r>
      <w:r w:rsidR="002C330E" w:rsidRPr="00D5464D">
        <w:rPr>
          <w:rFonts w:cs="Arial"/>
          <w:szCs w:val="20"/>
          <w:lang w:val="pt-BR"/>
        </w:rPr>
        <w:t>judiciais</w:t>
      </w:r>
      <w:r w:rsidRPr="00D5464D">
        <w:rPr>
          <w:rFonts w:cs="Arial"/>
          <w:szCs w:val="20"/>
          <w:lang w:val="pt-BR"/>
        </w:rPr>
        <w:t>, e</w:t>
      </w:r>
      <w:r w:rsidR="00D81AA1" w:rsidRPr="00D5464D">
        <w:rPr>
          <w:rFonts w:cs="Arial"/>
          <w:szCs w:val="20"/>
          <w:lang w:val="pt-BR"/>
        </w:rPr>
        <w:t xml:space="preserve"> </w:t>
      </w:r>
      <w:r w:rsidR="00230C71" w:rsidRPr="00D5464D">
        <w:rPr>
          <w:rFonts w:cs="Arial"/>
          <w:szCs w:val="20"/>
          <w:lang w:val="pt-BR"/>
        </w:rPr>
        <w:t>acrescentou</w:t>
      </w:r>
      <w:r w:rsidR="00D81AA1" w:rsidRPr="00D5464D">
        <w:rPr>
          <w:rFonts w:cs="Arial"/>
          <w:szCs w:val="20"/>
          <w:lang w:val="pt-BR"/>
        </w:rPr>
        <w:t xml:space="preserve"> que</w:t>
      </w:r>
      <w:r w:rsidR="002C330E" w:rsidRPr="00D5464D">
        <w:rPr>
          <w:rFonts w:cs="Arial"/>
          <w:szCs w:val="20"/>
          <w:lang w:val="pt-BR"/>
        </w:rPr>
        <w:t xml:space="preserve"> a </w:t>
      </w:r>
      <w:r w:rsidR="00D81AA1" w:rsidRPr="00D5464D">
        <w:rPr>
          <w:rFonts w:cs="Arial"/>
          <w:szCs w:val="20"/>
          <w:lang w:val="pt-BR"/>
        </w:rPr>
        <w:t>eventual</w:t>
      </w:r>
      <w:r w:rsidR="00E765C2" w:rsidRPr="00D5464D">
        <w:rPr>
          <w:rFonts w:cs="Arial"/>
          <w:szCs w:val="20"/>
          <w:lang w:val="pt-BR"/>
        </w:rPr>
        <w:t xml:space="preserve"> falha </w:t>
      </w:r>
      <w:r w:rsidR="00E045D9" w:rsidRPr="00D5464D">
        <w:rPr>
          <w:rFonts w:cs="Arial"/>
          <w:szCs w:val="20"/>
          <w:lang w:val="pt-BR"/>
        </w:rPr>
        <w:t xml:space="preserve">na </w:t>
      </w:r>
      <w:r w:rsidR="00D81AA1" w:rsidRPr="00D5464D">
        <w:rPr>
          <w:rFonts w:cs="Arial"/>
          <w:szCs w:val="20"/>
          <w:lang w:val="pt-BR"/>
        </w:rPr>
        <w:t>parte</w:t>
      </w:r>
      <w:r w:rsidRPr="00D5464D">
        <w:rPr>
          <w:rFonts w:cs="Arial"/>
          <w:szCs w:val="20"/>
          <w:lang w:val="pt-BR"/>
        </w:rPr>
        <w:t xml:space="preserve"> da </w:t>
      </w:r>
      <w:r w:rsidR="00D81AA1" w:rsidRPr="00D5464D">
        <w:rPr>
          <w:rFonts w:cs="Arial"/>
          <w:szCs w:val="20"/>
          <w:lang w:val="pt-BR"/>
        </w:rPr>
        <w:t>investiga</w:t>
      </w:r>
      <w:r w:rsidRPr="00D5464D">
        <w:rPr>
          <w:rFonts w:cs="Arial"/>
          <w:szCs w:val="20"/>
          <w:lang w:val="pt-BR"/>
        </w:rPr>
        <w:t>ção</w:t>
      </w:r>
      <w:r w:rsidR="00E045D9" w:rsidRPr="00D5464D">
        <w:rPr>
          <w:rFonts w:cs="Arial"/>
          <w:szCs w:val="20"/>
          <w:lang w:val="pt-BR"/>
        </w:rPr>
        <w:t xml:space="preserve"> e </w:t>
      </w:r>
      <w:r w:rsidR="00D81AA1" w:rsidRPr="00D5464D">
        <w:rPr>
          <w:rFonts w:cs="Arial"/>
          <w:szCs w:val="20"/>
          <w:lang w:val="pt-BR"/>
        </w:rPr>
        <w:t>persecu</w:t>
      </w:r>
      <w:r w:rsidRPr="00D5464D">
        <w:rPr>
          <w:rFonts w:cs="Arial"/>
          <w:szCs w:val="20"/>
          <w:lang w:val="pt-BR"/>
        </w:rPr>
        <w:t xml:space="preserve">ção em </w:t>
      </w:r>
      <w:r w:rsidR="002C330E" w:rsidRPr="00D5464D">
        <w:rPr>
          <w:rFonts w:cs="Arial"/>
          <w:szCs w:val="20"/>
          <w:lang w:val="pt-BR"/>
        </w:rPr>
        <w:t xml:space="preserve">matéria </w:t>
      </w:r>
      <w:r w:rsidR="00D81AA1" w:rsidRPr="00D5464D">
        <w:rPr>
          <w:rFonts w:cs="Arial"/>
          <w:szCs w:val="20"/>
          <w:lang w:val="pt-BR"/>
        </w:rPr>
        <w:t xml:space="preserve">penal </w:t>
      </w:r>
      <w:r w:rsidR="00C46617" w:rsidRPr="00D5464D">
        <w:rPr>
          <w:rFonts w:cs="Arial"/>
          <w:szCs w:val="20"/>
          <w:lang w:val="pt-BR"/>
        </w:rPr>
        <w:t xml:space="preserve">não deveria </w:t>
      </w:r>
      <w:r w:rsidR="00D81AA1" w:rsidRPr="00D5464D">
        <w:rPr>
          <w:rFonts w:cs="Arial"/>
          <w:szCs w:val="20"/>
          <w:lang w:val="pt-BR"/>
        </w:rPr>
        <w:t xml:space="preserve">ser </w:t>
      </w:r>
      <w:r w:rsidR="002C330E" w:rsidRPr="00D5464D">
        <w:rPr>
          <w:rFonts w:cs="Arial"/>
          <w:szCs w:val="20"/>
          <w:lang w:val="pt-BR"/>
        </w:rPr>
        <w:t xml:space="preserve">matéria </w:t>
      </w:r>
      <w:r w:rsidR="00D81AA1" w:rsidRPr="00D5464D">
        <w:rPr>
          <w:rFonts w:cs="Arial"/>
          <w:szCs w:val="20"/>
          <w:lang w:val="pt-BR"/>
        </w:rPr>
        <w:t xml:space="preserve">de </w:t>
      </w:r>
      <w:r w:rsidR="002C330E" w:rsidRPr="00D5464D">
        <w:rPr>
          <w:rFonts w:cs="Arial"/>
          <w:szCs w:val="20"/>
          <w:lang w:val="pt-BR"/>
        </w:rPr>
        <w:t xml:space="preserve">responsabilidade </w:t>
      </w:r>
      <w:r w:rsidR="00D81AA1" w:rsidRPr="00D5464D">
        <w:rPr>
          <w:rFonts w:cs="Arial"/>
          <w:szCs w:val="20"/>
          <w:lang w:val="pt-BR"/>
        </w:rPr>
        <w:t xml:space="preserve">por parte </w:t>
      </w:r>
      <w:r w:rsidRPr="00D5464D">
        <w:rPr>
          <w:rFonts w:cs="Arial"/>
          <w:szCs w:val="20"/>
          <w:lang w:val="pt-BR"/>
        </w:rPr>
        <w:t xml:space="preserve">do </w:t>
      </w:r>
      <w:r w:rsidR="00D81AA1" w:rsidRPr="00D5464D">
        <w:rPr>
          <w:rFonts w:cs="Arial"/>
          <w:szCs w:val="20"/>
          <w:lang w:val="pt-BR"/>
        </w:rPr>
        <w:t xml:space="preserve">Estado. </w:t>
      </w:r>
    </w:p>
    <w:p w14:paraId="0C621989" w14:textId="77777777" w:rsidR="00D81AA1" w:rsidRPr="00D5464D" w:rsidRDefault="00D81AA1" w:rsidP="00D81AA1">
      <w:pPr>
        <w:pStyle w:val="Prrafodelista"/>
        <w:rPr>
          <w:rFonts w:cs="Arial"/>
          <w:szCs w:val="20"/>
          <w:lang w:val="pt-BR"/>
        </w:rPr>
      </w:pPr>
    </w:p>
    <w:p w14:paraId="2A7A520C" w14:textId="6981D770" w:rsidR="00D81AA1" w:rsidRPr="00D5464D" w:rsidRDefault="00470ADC" w:rsidP="00D81AA1">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Ademais</w:t>
      </w:r>
      <w:r w:rsidR="00D81AA1" w:rsidRPr="00D5464D">
        <w:rPr>
          <w:rFonts w:cs="Arial"/>
          <w:szCs w:val="20"/>
          <w:lang w:val="pt-BR"/>
        </w:rPr>
        <w:t>,</w:t>
      </w:r>
      <w:r w:rsidRPr="00D5464D">
        <w:rPr>
          <w:rFonts w:cs="Arial"/>
          <w:szCs w:val="20"/>
          <w:lang w:val="pt-BR"/>
        </w:rPr>
        <w:t xml:space="preserve"> o </w:t>
      </w:r>
      <w:r w:rsidR="00D81AA1" w:rsidRPr="00D5464D">
        <w:rPr>
          <w:rFonts w:cs="Arial"/>
          <w:szCs w:val="20"/>
          <w:lang w:val="pt-BR"/>
        </w:rPr>
        <w:t xml:space="preserve">Estado </w:t>
      </w:r>
      <w:r w:rsidR="002C330E" w:rsidRPr="00D5464D">
        <w:rPr>
          <w:rFonts w:cs="Arial"/>
          <w:szCs w:val="20"/>
          <w:lang w:val="pt-BR"/>
        </w:rPr>
        <w:t>afirmou</w:t>
      </w:r>
      <w:r w:rsidR="00D81AA1" w:rsidRPr="00D5464D">
        <w:rPr>
          <w:rFonts w:cs="Arial"/>
          <w:szCs w:val="20"/>
          <w:lang w:val="pt-BR"/>
        </w:rPr>
        <w:t xml:space="preserve"> que </w:t>
      </w:r>
      <w:r w:rsidRPr="00D5464D">
        <w:rPr>
          <w:rFonts w:cs="Arial"/>
          <w:szCs w:val="20"/>
          <w:lang w:val="pt-BR"/>
        </w:rPr>
        <w:t>atuou com devida diligência</w:t>
      </w:r>
      <w:r w:rsidR="00D81AA1" w:rsidRPr="00D5464D">
        <w:rPr>
          <w:rFonts w:cs="Arial"/>
          <w:szCs w:val="20"/>
          <w:lang w:val="pt-BR"/>
        </w:rPr>
        <w:t xml:space="preserve"> durante</w:t>
      </w:r>
      <w:r w:rsidR="002C330E" w:rsidRPr="00D5464D">
        <w:rPr>
          <w:rFonts w:cs="Arial"/>
          <w:szCs w:val="20"/>
          <w:lang w:val="pt-BR"/>
        </w:rPr>
        <w:t xml:space="preserve"> as </w:t>
      </w:r>
      <w:r w:rsidR="00D81AA1" w:rsidRPr="00D5464D">
        <w:rPr>
          <w:rFonts w:cs="Arial"/>
          <w:szCs w:val="20"/>
          <w:lang w:val="pt-BR"/>
        </w:rPr>
        <w:t>diversas visitas de fiscaliza</w:t>
      </w:r>
      <w:r w:rsidRPr="00D5464D">
        <w:rPr>
          <w:rFonts w:cs="Arial"/>
          <w:szCs w:val="20"/>
          <w:lang w:val="pt-BR"/>
        </w:rPr>
        <w:t xml:space="preserve">ção à </w:t>
      </w:r>
      <w:r w:rsidR="00D809F0" w:rsidRPr="00D5464D">
        <w:rPr>
          <w:rFonts w:cs="Arial"/>
          <w:szCs w:val="20"/>
          <w:lang w:val="pt-BR"/>
        </w:rPr>
        <w:t>Fazenda</w:t>
      </w:r>
      <w:r w:rsidR="00D81AA1" w:rsidRPr="00D5464D">
        <w:rPr>
          <w:rFonts w:cs="Arial"/>
          <w:szCs w:val="20"/>
          <w:lang w:val="pt-BR"/>
        </w:rPr>
        <w:t xml:space="preserve"> Brasil Verde</w:t>
      </w:r>
      <w:r w:rsidRPr="00D5464D">
        <w:rPr>
          <w:rFonts w:cs="Arial"/>
          <w:szCs w:val="20"/>
          <w:lang w:val="pt-BR"/>
        </w:rPr>
        <w:t xml:space="preserve"> e</w:t>
      </w:r>
      <w:r w:rsidR="00D81AA1" w:rsidRPr="00D5464D">
        <w:rPr>
          <w:rFonts w:cs="Arial"/>
          <w:szCs w:val="20"/>
          <w:lang w:val="pt-BR"/>
        </w:rPr>
        <w:t xml:space="preserve"> que</w:t>
      </w:r>
      <w:r w:rsidR="00FC4109" w:rsidRPr="00D5464D">
        <w:rPr>
          <w:rFonts w:cs="Arial"/>
          <w:szCs w:val="20"/>
          <w:lang w:val="pt-BR"/>
        </w:rPr>
        <w:t>,</w:t>
      </w:r>
      <w:r w:rsidR="00E045D9" w:rsidRPr="00D5464D">
        <w:rPr>
          <w:rFonts w:cs="Arial"/>
          <w:szCs w:val="20"/>
          <w:lang w:val="pt-BR"/>
        </w:rPr>
        <w:t xml:space="preserve"> nestas </w:t>
      </w:r>
      <w:r w:rsidR="00D81AA1" w:rsidRPr="00D5464D">
        <w:rPr>
          <w:rFonts w:cs="Arial"/>
          <w:szCs w:val="20"/>
          <w:lang w:val="pt-BR"/>
        </w:rPr>
        <w:t>fiscaliza</w:t>
      </w:r>
      <w:r w:rsidRPr="00D5464D">
        <w:rPr>
          <w:rFonts w:cs="Arial"/>
          <w:szCs w:val="20"/>
          <w:lang w:val="pt-BR"/>
        </w:rPr>
        <w:t>ções</w:t>
      </w:r>
      <w:r w:rsidR="00FC4109" w:rsidRPr="00D5464D">
        <w:rPr>
          <w:rFonts w:cs="Arial"/>
          <w:szCs w:val="20"/>
          <w:lang w:val="pt-BR"/>
        </w:rPr>
        <w:t>,</w:t>
      </w:r>
      <w:r w:rsidR="002C330E" w:rsidRPr="00D5464D">
        <w:rPr>
          <w:rFonts w:cs="Arial"/>
          <w:szCs w:val="20"/>
          <w:lang w:val="pt-BR"/>
        </w:rPr>
        <w:t xml:space="preserve"> os </w:t>
      </w:r>
      <w:r w:rsidR="00D81AA1" w:rsidRPr="00D5464D">
        <w:rPr>
          <w:rFonts w:cs="Arial"/>
          <w:szCs w:val="20"/>
          <w:lang w:val="pt-BR"/>
        </w:rPr>
        <w:t>agentes esta</w:t>
      </w:r>
      <w:r w:rsidR="00E045D9" w:rsidRPr="00D5464D">
        <w:rPr>
          <w:rFonts w:cs="Arial"/>
          <w:szCs w:val="20"/>
          <w:lang w:val="pt-BR"/>
        </w:rPr>
        <w:t>tais</w:t>
      </w:r>
      <w:r w:rsidR="00D81AA1" w:rsidRPr="00D5464D">
        <w:rPr>
          <w:rFonts w:cs="Arial"/>
          <w:szCs w:val="20"/>
          <w:lang w:val="pt-BR"/>
        </w:rPr>
        <w:t xml:space="preserve"> </w:t>
      </w:r>
      <w:r w:rsidR="00737270" w:rsidRPr="00D5464D">
        <w:rPr>
          <w:rFonts w:cs="Arial"/>
          <w:szCs w:val="20"/>
          <w:lang w:val="pt-BR"/>
        </w:rPr>
        <w:t>desempenh</w:t>
      </w:r>
      <w:r w:rsidR="00350187" w:rsidRPr="00D5464D">
        <w:rPr>
          <w:rFonts w:cs="Arial"/>
          <w:szCs w:val="20"/>
          <w:lang w:val="pt-BR"/>
        </w:rPr>
        <w:t xml:space="preserve">aram </w:t>
      </w:r>
      <w:r w:rsidR="00A1358C" w:rsidRPr="00D5464D">
        <w:rPr>
          <w:rFonts w:cs="Arial"/>
          <w:szCs w:val="20"/>
          <w:lang w:val="pt-BR"/>
        </w:rPr>
        <w:t>suas funções</w:t>
      </w:r>
      <w:r w:rsidR="00D81AA1" w:rsidRPr="00D5464D">
        <w:rPr>
          <w:rFonts w:cs="Arial"/>
          <w:szCs w:val="20"/>
          <w:lang w:val="pt-BR"/>
        </w:rPr>
        <w:t xml:space="preserve"> de </w:t>
      </w:r>
      <w:r w:rsidR="002C330E" w:rsidRPr="00D5464D">
        <w:rPr>
          <w:rFonts w:cs="Arial"/>
          <w:szCs w:val="20"/>
          <w:lang w:val="pt-BR"/>
        </w:rPr>
        <w:t>maneira</w:t>
      </w:r>
      <w:r w:rsidR="00D81AA1" w:rsidRPr="00D5464D">
        <w:rPr>
          <w:rFonts w:cs="Arial"/>
          <w:szCs w:val="20"/>
          <w:lang w:val="pt-BR"/>
        </w:rPr>
        <w:t xml:space="preserve"> </w:t>
      </w:r>
      <w:r w:rsidRPr="00D5464D">
        <w:rPr>
          <w:rFonts w:cs="Arial"/>
          <w:szCs w:val="20"/>
          <w:lang w:val="pt-BR"/>
        </w:rPr>
        <w:t>adequad</w:t>
      </w:r>
      <w:r w:rsidR="00D81AA1" w:rsidRPr="00D5464D">
        <w:rPr>
          <w:rFonts w:cs="Arial"/>
          <w:szCs w:val="20"/>
          <w:lang w:val="pt-BR"/>
        </w:rPr>
        <w:t>a</w:t>
      </w:r>
      <w:r w:rsidR="00E045D9" w:rsidRPr="00D5464D">
        <w:rPr>
          <w:rFonts w:cs="Arial"/>
          <w:szCs w:val="20"/>
          <w:lang w:val="pt-BR"/>
        </w:rPr>
        <w:t xml:space="preserve"> e </w:t>
      </w:r>
      <w:r w:rsidR="00737270" w:rsidRPr="00D5464D">
        <w:rPr>
          <w:rFonts w:cs="Arial"/>
          <w:szCs w:val="20"/>
          <w:lang w:val="pt-BR"/>
        </w:rPr>
        <w:t>determinaram</w:t>
      </w:r>
      <w:r w:rsidR="00D81AA1" w:rsidRPr="00D5464D">
        <w:rPr>
          <w:rFonts w:cs="Arial"/>
          <w:szCs w:val="20"/>
          <w:lang w:val="pt-BR"/>
        </w:rPr>
        <w:t xml:space="preserve"> que </w:t>
      </w:r>
      <w:r w:rsidR="00C46617" w:rsidRPr="00D5464D">
        <w:rPr>
          <w:rFonts w:cs="Arial"/>
          <w:szCs w:val="20"/>
          <w:lang w:val="pt-BR"/>
        </w:rPr>
        <w:t xml:space="preserve">não </w:t>
      </w:r>
      <w:r w:rsidR="00D81AA1" w:rsidRPr="00D5464D">
        <w:rPr>
          <w:rFonts w:cs="Arial"/>
          <w:szCs w:val="20"/>
          <w:lang w:val="pt-BR"/>
        </w:rPr>
        <w:t xml:space="preserve">se </w:t>
      </w:r>
      <w:r w:rsidRPr="00D5464D">
        <w:rPr>
          <w:rFonts w:cs="Arial"/>
          <w:szCs w:val="20"/>
          <w:lang w:val="pt-BR"/>
        </w:rPr>
        <w:t>encontrava</w:t>
      </w:r>
      <w:r w:rsidR="00D81AA1" w:rsidRPr="00D5464D">
        <w:rPr>
          <w:rFonts w:cs="Arial"/>
          <w:szCs w:val="20"/>
          <w:lang w:val="pt-BR"/>
        </w:rPr>
        <w:t xml:space="preserve"> configurada</w:t>
      </w:r>
      <w:r w:rsidR="002C330E" w:rsidRPr="00D5464D">
        <w:rPr>
          <w:rFonts w:cs="Arial"/>
          <w:szCs w:val="20"/>
          <w:lang w:val="pt-BR"/>
        </w:rPr>
        <w:t xml:space="preserve"> a prática</w:t>
      </w:r>
      <w:r w:rsidR="00D81AA1" w:rsidRPr="00D5464D">
        <w:rPr>
          <w:rFonts w:cs="Arial"/>
          <w:szCs w:val="20"/>
          <w:lang w:val="pt-BR"/>
        </w:rPr>
        <w:t xml:space="preserve"> de </w:t>
      </w:r>
      <w:r w:rsidR="00E045D9" w:rsidRPr="00D5464D">
        <w:rPr>
          <w:rFonts w:cs="Arial"/>
          <w:szCs w:val="20"/>
          <w:lang w:val="pt-BR"/>
        </w:rPr>
        <w:t>trabalho</w:t>
      </w:r>
      <w:r w:rsidR="00D81AA1" w:rsidRPr="00D5464D">
        <w:rPr>
          <w:rFonts w:cs="Arial"/>
          <w:szCs w:val="20"/>
          <w:lang w:val="pt-BR"/>
        </w:rPr>
        <w:t xml:space="preserve"> </w:t>
      </w:r>
      <w:r w:rsidR="004F1CC2" w:rsidRPr="00D5464D">
        <w:rPr>
          <w:rFonts w:cs="Arial"/>
          <w:szCs w:val="20"/>
          <w:lang w:val="pt-BR"/>
        </w:rPr>
        <w:t>escravo</w:t>
      </w:r>
      <w:r w:rsidRPr="00D5464D">
        <w:rPr>
          <w:rFonts w:cs="Arial"/>
          <w:szCs w:val="20"/>
          <w:lang w:val="pt-BR"/>
        </w:rPr>
        <w:t xml:space="preserve"> </w:t>
      </w:r>
      <w:r w:rsidR="00C46617" w:rsidRPr="00D5464D">
        <w:rPr>
          <w:rFonts w:cs="Arial"/>
          <w:szCs w:val="20"/>
          <w:lang w:val="pt-BR"/>
        </w:rPr>
        <w:t>ou</w:t>
      </w:r>
      <w:r w:rsidRPr="00D5464D">
        <w:rPr>
          <w:rFonts w:cs="Arial"/>
          <w:szCs w:val="20"/>
          <w:lang w:val="pt-BR"/>
        </w:rPr>
        <w:t xml:space="preserve"> </w:t>
      </w:r>
      <w:r w:rsidR="00D81AA1" w:rsidRPr="00D5464D">
        <w:rPr>
          <w:rFonts w:cs="Arial"/>
          <w:szCs w:val="20"/>
          <w:lang w:val="pt-BR"/>
        </w:rPr>
        <w:t>condi</w:t>
      </w:r>
      <w:r w:rsidRPr="00D5464D">
        <w:rPr>
          <w:rFonts w:cs="Arial"/>
          <w:szCs w:val="20"/>
          <w:lang w:val="pt-BR"/>
        </w:rPr>
        <w:t>ções</w:t>
      </w:r>
      <w:r w:rsidR="00D81AA1" w:rsidRPr="00D5464D">
        <w:rPr>
          <w:rFonts w:cs="Arial"/>
          <w:szCs w:val="20"/>
          <w:lang w:val="pt-BR"/>
        </w:rPr>
        <w:t xml:space="preserve"> de </w:t>
      </w:r>
      <w:r w:rsidR="000B376D" w:rsidRPr="00D5464D">
        <w:rPr>
          <w:rFonts w:cs="Arial"/>
          <w:szCs w:val="20"/>
          <w:lang w:val="pt-BR"/>
        </w:rPr>
        <w:t>escravidão</w:t>
      </w:r>
      <w:r w:rsidR="00D81AA1" w:rsidRPr="00D5464D">
        <w:rPr>
          <w:rFonts w:cs="Arial"/>
          <w:szCs w:val="20"/>
          <w:lang w:val="pt-BR"/>
        </w:rPr>
        <w:t xml:space="preserve">. </w:t>
      </w:r>
    </w:p>
    <w:p w14:paraId="31AA4F75" w14:textId="77777777" w:rsidR="00D81AA1" w:rsidRPr="00D5464D" w:rsidRDefault="00D81AA1" w:rsidP="00D81AA1">
      <w:pPr>
        <w:pStyle w:val="Prrafodelista"/>
        <w:rPr>
          <w:rFonts w:cs="Arial"/>
          <w:szCs w:val="20"/>
          <w:lang w:val="pt-BR"/>
        </w:rPr>
      </w:pPr>
    </w:p>
    <w:p w14:paraId="6DB6FEB6" w14:textId="420350A7" w:rsidR="00D81AA1" w:rsidRPr="00D5464D" w:rsidRDefault="00D81AA1" w:rsidP="00D81AA1">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Por</w:t>
      </w:r>
      <w:r w:rsidR="002C330E" w:rsidRPr="00D5464D">
        <w:rPr>
          <w:rFonts w:cs="Arial"/>
          <w:szCs w:val="20"/>
          <w:lang w:val="pt-BR"/>
        </w:rPr>
        <w:t xml:space="preserve"> outr</w:t>
      </w:r>
      <w:r w:rsidR="00C46617" w:rsidRPr="00D5464D">
        <w:rPr>
          <w:rFonts w:cs="Arial"/>
          <w:szCs w:val="20"/>
          <w:lang w:val="pt-BR"/>
        </w:rPr>
        <w:t>a parte</w:t>
      </w:r>
      <w:r w:rsidRPr="00D5464D">
        <w:rPr>
          <w:rFonts w:cs="Arial"/>
          <w:szCs w:val="20"/>
          <w:lang w:val="pt-BR"/>
        </w:rPr>
        <w:t>,</w:t>
      </w:r>
      <w:r w:rsidR="00470ADC" w:rsidRPr="00D5464D">
        <w:rPr>
          <w:rFonts w:cs="Arial"/>
          <w:szCs w:val="20"/>
          <w:lang w:val="pt-BR"/>
        </w:rPr>
        <w:t xml:space="preserve"> o </w:t>
      </w:r>
      <w:r w:rsidRPr="00D5464D">
        <w:rPr>
          <w:rFonts w:cs="Arial"/>
          <w:szCs w:val="20"/>
          <w:lang w:val="pt-BR"/>
        </w:rPr>
        <w:t xml:space="preserve">Estado </w:t>
      </w:r>
      <w:r w:rsidR="005F3480" w:rsidRPr="00D5464D">
        <w:rPr>
          <w:rFonts w:cs="Arial"/>
          <w:szCs w:val="20"/>
          <w:lang w:val="pt-BR"/>
        </w:rPr>
        <w:t>afirmou</w:t>
      </w:r>
      <w:r w:rsidRPr="00D5464D">
        <w:rPr>
          <w:rFonts w:cs="Arial"/>
          <w:szCs w:val="20"/>
          <w:lang w:val="pt-BR"/>
        </w:rPr>
        <w:t xml:space="preserve"> que </w:t>
      </w:r>
      <w:r w:rsidR="00E045D9" w:rsidRPr="00D5464D">
        <w:rPr>
          <w:rFonts w:cs="Arial"/>
          <w:szCs w:val="20"/>
          <w:lang w:val="pt-BR"/>
        </w:rPr>
        <w:t>existiam</w:t>
      </w:r>
      <w:r w:rsidRPr="00D5464D">
        <w:rPr>
          <w:rFonts w:cs="Arial"/>
          <w:szCs w:val="20"/>
          <w:lang w:val="pt-BR"/>
        </w:rPr>
        <w:t xml:space="preserve"> elementos que justi</w:t>
      </w:r>
      <w:r w:rsidR="00470ADC" w:rsidRPr="00D5464D">
        <w:rPr>
          <w:rFonts w:cs="Arial"/>
          <w:szCs w:val="20"/>
          <w:lang w:val="pt-BR"/>
        </w:rPr>
        <w:t>ficaram</w:t>
      </w:r>
      <w:r w:rsidR="002C330E" w:rsidRPr="00D5464D">
        <w:rPr>
          <w:rFonts w:cs="Arial"/>
          <w:szCs w:val="20"/>
          <w:lang w:val="pt-BR"/>
        </w:rPr>
        <w:t xml:space="preserve"> a </w:t>
      </w:r>
      <w:r w:rsidRPr="00D5464D">
        <w:rPr>
          <w:rFonts w:cs="Arial"/>
          <w:szCs w:val="20"/>
          <w:lang w:val="pt-BR"/>
        </w:rPr>
        <w:t>demora</w:t>
      </w:r>
      <w:r w:rsidR="00E045D9" w:rsidRPr="00D5464D">
        <w:rPr>
          <w:rFonts w:cs="Arial"/>
          <w:szCs w:val="20"/>
          <w:lang w:val="pt-BR"/>
        </w:rPr>
        <w:t xml:space="preserve"> no </w:t>
      </w:r>
      <w:r w:rsidR="002C330E" w:rsidRPr="00D5464D">
        <w:rPr>
          <w:rFonts w:cs="Arial"/>
          <w:szCs w:val="20"/>
          <w:lang w:val="pt-BR"/>
        </w:rPr>
        <w:t>processo</w:t>
      </w:r>
      <w:r w:rsidRPr="00D5464D">
        <w:rPr>
          <w:rFonts w:cs="Arial"/>
          <w:szCs w:val="20"/>
          <w:lang w:val="pt-BR"/>
        </w:rPr>
        <w:t xml:space="preserve"> </w:t>
      </w:r>
      <w:r w:rsidR="007B42C7" w:rsidRPr="00D5464D">
        <w:rPr>
          <w:rFonts w:cs="Arial"/>
          <w:szCs w:val="20"/>
          <w:lang w:val="pt-BR"/>
        </w:rPr>
        <w:t>penal iniciado</w:t>
      </w:r>
      <w:r w:rsidR="00470ADC" w:rsidRPr="00D5464D">
        <w:rPr>
          <w:rFonts w:cs="Arial"/>
          <w:szCs w:val="20"/>
          <w:lang w:val="pt-BR"/>
        </w:rPr>
        <w:t xml:space="preserve"> em </w:t>
      </w:r>
      <w:r w:rsidR="007B42C7" w:rsidRPr="00D5464D">
        <w:rPr>
          <w:rFonts w:cs="Arial"/>
          <w:szCs w:val="20"/>
          <w:lang w:val="pt-BR"/>
        </w:rPr>
        <w:t>1997</w:t>
      </w:r>
      <w:r w:rsidR="00E045D9" w:rsidRPr="00D5464D">
        <w:rPr>
          <w:rFonts w:cs="Arial"/>
          <w:szCs w:val="20"/>
          <w:lang w:val="pt-BR"/>
        </w:rPr>
        <w:t xml:space="preserve"> e </w:t>
      </w:r>
      <w:r w:rsidRPr="00D5464D">
        <w:rPr>
          <w:rFonts w:cs="Arial"/>
          <w:szCs w:val="20"/>
          <w:lang w:val="pt-BR"/>
        </w:rPr>
        <w:t xml:space="preserve">que </w:t>
      </w:r>
      <w:r w:rsidR="00E045D9" w:rsidRPr="00D5464D">
        <w:rPr>
          <w:rFonts w:cs="Arial"/>
          <w:szCs w:val="20"/>
          <w:lang w:val="pt-BR"/>
        </w:rPr>
        <w:t>representavam</w:t>
      </w:r>
      <w:r w:rsidRPr="00D5464D">
        <w:rPr>
          <w:rFonts w:cs="Arial"/>
          <w:szCs w:val="20"/>
          <w:lang w:val="pt-BR"/>
        </w:rPr>
        <w:t xml:space="preserve"> </w:t>
      </w:r>
      <w:r w:rsidR="00E045D9" w:rsidRPr="00D5464D">
        <w:rPr>
          <w:rFonts w:cs="Arial"/>
          <w:szCs w:val="20"/>
          <w:lang w:val="pt-BR"/>
        </w:rPr>
        <w:t>complex</w:t>
      </w:r>
      <w:r w:rsidR="00737270" w:rsidRPr="00D5464D">
        <w:rPr>
          <w:rFonts w:cs="Arial"/>
          <w:szCs w:val="20"/>
          <w:lang w:val="pt-BR"/>
        </w:rPr>
        <w:t>idades</w:t>
      </w:r>
      <w:r w:rsidRPr="00D5464D">
        <w:rPr>
          <w:rFonts w:cs="Arial"/>
          <w:szCs w:val="20"/>
          <w:lang w:val="pt-BR"/>
        </w:rPr>
        <w:t xml:space="preserve"> </w:t>
      </w:r>
      <w:r w:rsidR="00470ADC" w:rsidRPr="00D5464D">
        <w:rPr>
          <w:rFonts w:cs="Arial"/>
          <w:szCs w:val="20"/>
          <w:lang w:val="pt-BR"/>
        </w:rPr>
        <w:t>especiais</w:t>
      </w:r>
      <w:r w:rsidRPr="00D5464D">
        <w:rPr>
          <w:rFonts w:cs="Arial"/>
          <w:szCs w:val="20"/>
          <w:lang w:val="pt-BR"/>
        </w:rPr>
        <w:t>,</w:t>
      </w:r>
      <w:r w:rsidR="00E045D9" w:rsidRPr="00D5464D">
        <w:rPr>
          <w:rFonts w:cs="Arial"/>
          <w:szCs w:val="20"/>
          <w:lang w:val="pt-BR"/>
        </w:rPr>
        <w:t xml:space="preserve"> tais </w:t>
      </w:r>
      <w:r w:rsidRPr="00D5464D">
        <w:rPr>
          <w:rFonts w:cs="Arial"/>
          <w:szCs w:val="20"/>
          <w:lang w:val="pt-BR"/>
        </w:rPr>
        <w:t>como que</w:t>
      </w:r>
      <w:r w:rsidR="002C330E" w:rsidRPr="00D5464D">
        <w:rPr>
          <w:rFonts w:cs="Arial"/>
          <w:szCs w:val="20"/>
          <w:lang w:val="pt-BR"/>
        </w:rPr>
        <w:t xml:space="preserve"> os </w:t>
      </w:r>
      <w:r w:rsidRPr="00D5464D">
        <w:rPr>
          <w:rFonts w:cs="Arial"/>
          <w:szCs w:val="20"/>
          <w:lang w:val="pt-BR"/>
        </w:rPr>
        <w:t xml:space="preserve">acusados </w:t>
      </w:r>
      <w:r w:rsidR="00230C71" w:rsidRPr="00D5464D">
        <w:rPr>
          <w:rFonts w:cs="Arial"/>
          <w:szCs w:val="20"/>
          <w:lang w:val="pt-BR"/>
        </w:rPr>
        <w:t>viviam</w:t>
      </w:r>
      <w:r w:rsidR="00470ADC" w:rsidRPr="00D5464D">
        <w:rPr>
          <w:rFonts w:cs="Arial"/>
          <w:szCs w:val="20"/>
          <w:lang w:val="pt-BR"/>
        </w:rPr>
        <w:t xml:space="preserve"> em c</w:t>
      </w:r>
      <w:r w:rsidR="00737270" w:rsidRPr="00D5464D">
        <w:rPr>
          <w:rFonts w:cs="Arial"/>
          <w:szCs w:val="20"/>
          <w:lang w:val="pt-BR"/>
        </w:rPr>
        <w:t>idades</w:t>
      </w:r>
      <w:r w:rsidRPr="00D5464D">
        <w:rPr>
          <w:rFonts w:cs="Arial"/>
          <w:szCs w:val="20"/>
          <w:lang w:val="pt-BR"/>
        </w:rPr>
        <w:t xml:space="preserve"> diferentes</w:t>
      </w:r>
      <w:r w:rsidR="00470ADC" w:rsidRPr="00D5464D">
        <w:rPr>
          <w:rFonts w:cs="Arial"/>
          <w:szCs w:val="20"/>
          <w:lang w:val="pt-BR"/>
        </w:rPr>
        <w:t xml:space="preserve"> ao </w:t>
      </w:r>
      <w:r w:rsidRPr="00D5464D">
        <w:rPr>
          <w:rFonts w:cs="Arial"/>
          <w:szCs w:val="20"/>
          <w:lang w:val="pt-BR"/>
        </w:rPr>
        <w:t>lugar</w:t>
      </w:r>
      <w:r w:rsidR="00470ADC" w:rsidRPr="00D5464D">
        <w:rPr>
          <w:rFonts w:cs="Arial"/>
          <w:szCs w:val="20"/>
          <w:lang w:val="pt-BR"/>
        </w:rPr>
        <w:t xml:space="preserve"> onde foi </w:t>
      </w:r>
      <w:r w:rsidRPr="00D5464D">
        <w:rPr>
          <w:rFonts w:cs="Arial"/>
          <w:szCs w:val="20"/>
          <w:lang w:val="pt-BR"/>
        </w:rPr>
        <w:t>instaurada</w:t>
      </w:r>
      <w:r w:rsidR="002C330E" w:rsidRPr="00D5464D">
        <w:rPr>
          <w:rFonts w:cs="Arial"/>
          <w:szCs w:val="20"/>
          <w:lang w:val="pt-BR"/>
        </w:rPr>
        <w:t xml:space="preserve"> a </w:t>
      </w:r>
      <w:r w:rsidR="00737270" w:rsidRPr="00D5464D">
        <w:rPr>
          <w:rFonts w:cs="Arial"/>
          <w:szCs w:val="20"/>
          <w:lang w:val="pt-BR"/>
        </w:rPr>
        <w:t>ação</w:t>
      </w:r>
      <w:r w:rsidRPr="00D5464D">
        <w:rPr>
          <w:rFonts w:cs="Arial"/>
          <w:szCs w:val="20"/>
          <w:lang w:val="pt-BR"/>
        </w:rPr>
        <w:t xml:space="preserve"> penal,</w:t>
      </w:r>
      <w:r w:rsidR="00470ADC" w:rsidRPr="00D5464D">
        <w:rPr>
          <w:rFonts w:cs="Arial"/>
          <w:szCs w:val="20"/>
          <w:lang w:val="pt-BR"/>
        </w:rPr>
        <w:t xml:space="preserve"> o domicílio</w:t>
      </w:r>
      <w:r w:rsidRPr="00D5464D">
        <w:rPr>
          <w:rFonts w:cs="Arial"/>
          <w:szCs w:val="20"/>
          <w:lang w:val="pt-BR"/>
        </w:rPr>
        <w:t xml:space="preserve"> </w:t>
      </w:r>
      <w:r w:rsidR="00470ADC" w:rsidRPr="00D5464D">
        <w:rPr>
          <w:rFonts w:cs="Arial"/>
          <w:szCs w:val="20"/>
          <w:lang w:val="pt-BR"/>
        </w:rPr>
        <w:t xml:space="preserve">do </w:t>
      </w:r>
      <w:r w:rsidR="002C330E" w:rsidRPr="00D5464D">
        <w:rPr>
          <w:rFonts w:cs="Arial"/>
          <w:szCs w:val="20"/>
          <w:lang w:val="pt-BR"/>
        </w:rPr>
        <w:t xml:space="preserve">senhor </w:t>
      </w:r>
      <w:r w:rsidRPr="00D5464D">
        <w:rPr>
          <w:rFonts w:cs="Arial"/>
          <w:szCs w:val="20"/>
          <w:lang w:val="pt-BR"/>
        </w:rPr>
        <w:t>Quagliato Neto era des</w:t>
      </w:r>
      <w:r w:rsidR="00470ADC" w:rsidRPr="00D5464D">
        <w:rPr>
          <w:rFonts w:cs="Arial"/>
          <w:szCs w:val="20"/>
          <w:lang w:val="pt-BR"/>
        </w:rPr>
        <w:t>conhecido</w:t>
      </w:r>
      <w:r w:rsidRPr="00D5464D">
        <w:rPr>
          <w:rFonts w:cs="Arial"/>
          <w:szCs w:val="20"/>
          <w:lang w:val="pt-BR"/>
        </w:rPr>
        <w:t xml:space="preserve"> para</w:t>
      </w:r>
      <w:r w:rsidR="002C330E" w:rsidRPr="00D5464D">
        <w:rPr>
          <w:rFonts w:cs="Arial"/>
          <w:szCs w:val="20"/>
          <w:lang w:val="pt-BR"/>
        </w:rPr>
        <w:t xml:space="preserve"> as </w:t>
      </w:r>
      <w:r w:rsidRPr="00D5464D">
        <w:rPr>
          <w:rFonts w:cs="Arial"/>
          <w:szCs w:val="20"/>
          <w:lang w:val="pt-BR"/>
        </w:rPr>
        <w:t>autoridades,</w:t>
      </w:r>
      <w:r w:rsidR="002C330E" w:rsidRPr="00D5464D">
        <w:rPr>
          <w:rFonts w:cs="Arial"/>
          <w:szCs w:val="20"/>
          <w:lang w:val="pt-BR"/>
        </w:rPr>
        <w:t xml:space="preserve"> a </w:t>
      </w:r>
      <w:r w:rsidRPr="00D5464D">
        <w:rPr>
          <w:rFonts w:cs="Arial"/>
          <w:szCs w:val="20"/>
          <w:lang w:val="pt-BR"/>
        </w:rPr>
        <w:t>dist</w:t>
      </w:r>
      <w:r w:rsidR="00C46617" w:rsidRPr="00D5464D">
        <w:rPr>
          <w:rFonts w:cs="Arial"/>
          <w:szCs w:val="20"/>
          <w:lang w:val="pt-BR"/>
        </w:rPr>
        <w:t>â</w:t>
      </w:r>
      <w:r w:rsidRPr="00D5464D">
        <w:rPr>
          <w:rFonts w:cs="Arial"/>
          <w:szCs w:val="20"/>
          <w:lang w:val="pt-BR"/>
        </w:rPr>
        <w:t>ncia geográfica complic</w:t>
      </w:r>
      <w:r w:rsidR="00350187" w:rsidRPr="00D5464D">
        <w:rPr>
          <w:rFonts w:cs="Arial"/>
          <w:szCs w:val="20"/>
          <w:lang w:val="pt-BR"/>
        </w:rPr>
        <w:t xml:space="preserve">ava </w:t>
      </w:r>
      <w:r w:rsidR="002C330E" w:rsidRPr="00D5464D">
        <w:rPr>
          <w:rFonts w:cs="Arial"/>
          <w:szCs w:val="20"/>
          <w:lang w:val="pt-BR"/>
        </w:rPr>
        <w:t xml:space="preserve">a </w:t>
      </w:r>
      <w:r w:rsidRPr="00D5464D">
        <w:rPr>
          <w:rFonts w:cs="Arial"/>
          <w:szCs w:val="20"/>
          <w:lang w:val="pt-BR"/>
        </w:rPr>
        <w:t>obten</w:t>
      </w:r>
      <w:r w:rsidR="00470ADC" w:rsidRPr="00D5464D">
        <w:rPr>
          <w:rFonts w:cs="Arial"/>
          <w:szCs w:val="20"/>
          <w:lang w:val="pt-BR"/>
        </w:rPr>
        <w:t>ção</w:t>
      </w:r>
      <w:r w:rsidRPr="00D5464D">
        <w:rPr>
          <w:rFonts w:cs="Arial"/>
          <w:szCs w:val="20"/>
          <w:lang w:val="pt-BR"/>
        </w:rPr>
        <w:t xml:space="preserve"> de </w:t>
      </w:r>
      <w:r w:rsidR="002C330E" w:rsidRPr="00D5464D">
        <w:rPr>
          <w:rFonts w:cs="Arial"/>
          <w:szCs w:val="20"/>
          <w:lang w:val="pt-BR"/>
        </w:rPr>
        <w:t>prova</w:t>
      </w:r>
      <w:r w:rsidRPr="00D5464D">
        <w:rPr>
          <w:rFonts w:cs="Arial"/>
          <w:szCs w:val="20"/>
          <w:lang w:val="pt-BR"/>
        </w:rPr>
        <w:t>s</w:t>
      </w:r>
      <w:r w:rsidR="00E045D9" w:rsidRPr="00D5464D">
        <w:rPr>
          <w:rFonts w:cs="Arial"/>
          <w:szCs w:val="20"/>
          <w:lang w:val="pt-BR"/>
        </w:rPr>
        <w:t xml:space="preserve"> e </w:t>
      </w:r>
      <w:r w:rsidR="002C330E" w:rsidRPr="00D5464D">
        <w:rPr>
          <w:rFonts w:cs="Arial"/>
          <w:szCs w:val="20"/>
          <w:lang w:val="pt-BR"/>
        </w:rPr>
        <w:t xml:space="preserve">a </w:t>
      </w:r>
      <w:r w:rsidR="007B42C7" w:rsidRPr="00D5464D">
        <w:rPr>
          <w:rFonts w:cs="Arial"/>
          <w:szCs w:val="20"/>
          <w:lang w:val="pt-BR"/>
        </w:rPr>
        <w:t>“absoluta indefini</w:t>
      </w:r>
      <w:r w:rsidR="00470ADC" w:rsidRPr="00D5464D">
        <w:rPr>
          <w:rFonts w:cs="Arial"/>
          <w:szCs w:val="20"/>
          <w:lang w:val="pt-BR"/>
        </w:rPr>
        <w:t>ção</w:t>
      </w:r>
      <w:r w:rsidR="007B42C7" w:rsidRPr="00D5464D">
        <w:rPr>
          <w:rFonts w:cs="Arial"/>
          <w:szCs w:val="20"/>
          <w:lang w:val="pt-BR"/>
        </w:rPr>
        <w:t xml:space="preserve"> jurídica” sobre</w:t>
      </w:r>
      <w:r w:rsidR="002C330E" w:rsidRPr="00D5464D">
        <w:rPr>
          <w:rFonts w:cs="Arial"/>
          <w:szCs w:val="20"/>
          <w:lang w:val="pt-BR"/>
        </w:rPr>
        <w:t xml:space="preserve"> a </w:t>
      </w:r>
      <w:r w:rsidR="00470ADC" w:rsidRPr="00D5464D">
        <w:rPr>
          <w:rFonts w:cs="Arial"/>
          <w:szCs w:val="20"/>
          <w:lang w:val="pt-BR"/>
        </w:rPr>
        <w:t>competência</w:t>
      </w:r>
      <w:r w:rsidR="007B42C7" w:rsidRPr="00D5464D">
        <w:rPr>
          <w:rFonts w:cs="Arial"/>
          <w:szCs w:val="20"/>
          <w:lang w:val="pt-BR"/>
        </w:rPr>
        <w:t xml:space="preserve"> para </w:t>
      </w:r>
      <w:r w:rsidR="00737270" w:rsidRPr="00D5464D">
        <w:rPr>
          <w:rFonts w:cs="Arial"/>
          <w:szCs w:val="20"/>
          <w:lang w:val="pt-BR"/>
        </w:rPr>
        <w:t>processar</w:t>
      </w:r>
      <w:r w:rsidR="00470ADC" w:rsidRPr="00D5464D">
        <w:rPr>
          <w:rFonts w:cs="Arial"/>
          <w:szCs w:val="20"/>
          <w:lang w:val="pt-BR"/>
        </w:rPr>
        <w:t xml:space="preserve"> o </w:t>
      </w:r>
      <w:r w:rsidR="007B42C7" w:rsidRPr="00D5464D">
        <w:rPr>
          <w:rFonts w:cs="Arial"/>
          <w:szCs w:val="20"/>
          <w:lang w:val="pt-BR"/>
        </w:rPr>
        <w:t>delito de</w:t>
      </w:r>
      <w:r w:rsidRPr="00D5464D">
        <w:rPr>
          <w:rFonts w:cs="Arial"/>
          <w:szCs w:val="20"/>
          <w:lang w:val="pt-BR"/>
        </w:rPr>
        <w:t xml:space="preserve"> </w:t>
      </w:r>
      <w:r w:rsidR="00737270" w:rsidRPr="00D5464D">
        <w:rPr>
          <w:rFonts w:cs="Arial"/>
          <w:szCs w:val="20"/>
          <w:lang w:val="pt-BR"/>
        </w:rPr>
        <w:t>redução</w:t>
      </w:r>
      <w:r w:rsidRPr="00D5464D">
        <w:rPr>
          <w:rFonts w:cs="Arial"/>
          <w:szCs w:val="20"/>
          <w:lang w:val="pt-BR"/>
        </w:rPr>
        <w:t xml:space="preserve"> a condi</w:t>
      </w:r>
      <w:r w:rsidR="00470ADC" w:rsidRPr="00D5464D">
        <w:rPr>
          <w:rFonts w:cs="Arial"/>
          <w:szCs w:val="20"/>
          <w:lang w:val="pt-BR"/>
        </w:rPr>
        <w:t>ções</w:t>
      </w:r>
      <w:r w:rsidRPr="00D5464D">
        <w:rPr>
          <w:rFonts w:cs="Arial"/>
          <w:szCs w:val="20"/>
          <w:lang w:val="pt-BR"/>
        </w:rPr>
        <w:t xml:space="preserve"> </w:t>
      </w:r>
      <w:r w:rsidR="006665EF" w:rsidRPr="00D5464D">
        <w:rPr>
          <w:rFonts w:cs="Arial"/>
          <w:szCs w:val="20"/>
          <w:lang w:val="pt-BR"/>
        </w:rPr>
        <w:t>análogas</w:t>
      </w:r>
      <w:r w:rsidR="00350187" w:rsidRPr="00D5464D">
        <w:rPr>
          <w:rFonts w:cs="Arial"/>
          <w:szCs w:val="20"/>
          <w:lang w:val="pt-BR"/>
        </w:rPr>
        <w:t xml:space="preserve"> </w:t>
      </w:r>
      <w:r w:rsidR="00C46617" w:rsidRPr="00D5464D">
        <w:rPr>
          <w:rFonts w:cs="Arial"/>
          <w:szCs w:val="20"/>
          <w:lang w:val="pt-BR"/>
        </w:rPr>
        <w:t>à</w:t>
      </w:r>
      <w:r w:rsidRPr="00D5464D">
        <w:rPr>
          <w:rFonts w:cs="Arial"/>
          <w:szCs w:val="20"/>
          <w:lang w:val="pt-BR"/>
        </w:rPr>
        <w:t xml:space="preserve"> </w:t>
      </w:r>
      <w:r w:rsidR="000B376D" w:rsidRPr="00D5464D">
        <w:rPr>
          <w:rFonts w:cs="Arial"/>
          <w:szCs w:val="20"/>
          <w:lang w:val="pt-BR"/>
        </w:rPr>
        <w:t>escravidão</w:t>
      </w:r>
      <w:r w:rsidRPr="00D5464D">
        <w:rPr>
          <w:rFonts w:cs="Arial"/>
          <w:szCs w:val="20"/>
          <w:lang w:val="pt-BR"/>
        </w:rPr>
        <w:t xml:space="preserve">. </w:t>
      </w:r>
    </w:p>
    <w:p w14:paraId="78B3E87E" w14:textId="77777777" w:rsidR="00DE3E58" w:rsidRPr="00D5464D" w:rsidRDefault="00DE3E58" w:rsidP="00DE3E58">
      <w:pPr>
        <w:pStyle w:val="Prrafodelista"/>
        <w:autoSpaceDE w:val="0"/>
        <w:autoSpaceDN w:val="0"/>
        <w:adjustRightInd w:val="0"/>
        <w:ind w:left="0"/>
        <w:contextualSpacing w:val="0"/>
        <w:rPr>
          <w:rFonts w:cs="Arial"/>
          <w:szCs w:val="20"/>
          <w:lang w:val="pt-BR"/>
        </w:rPr>
      </w:pPr>
    </w:p>
    <w:p w14:paraId="32ED5BFD" w14:textId="3532DDF9" w:rsidR="00D81AA1" w:rsidRPr="00D5464D" w:rsidRDefault="00470ADC" w:rsidP="00D81AA1">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 xml:space="preserve">O </w:t>
      </w:r>
      <w:r w:rsidR="00D81AA1" w:rsidRPr="00D5464D">
        <w:rPr>
          <w:rFonts w:cs="Arial"/>
          <w:szCs w:val="20"/>
          <w:lang w:val="pt-BR"/>
        </w:rPr>
        <w:t xml:space="preserve">Estado </w:t>
      </w:r>
      <w:r w:rsidR="002C330E" w:rsidRPr="00D5464D">
        <w:rPr>
          <w:rFonts w:cs="Arial"/>
          <w:szCs w:val="20"/>
          <w:lang w:val="pt-BR"/>
        </w:rPr>
        <w:t>afirmou</w:t>
      </w:r>
      <w:r w:rsidR="00D81AA1" w:rsidRPr="00D5464D">
        <w:rPr>
          <w:rFonts w:cs="Arial"/>
          <w:szCs w:val="20"/>
          <w:lang w:val="pt-BR"/>
        </w:rPr>
        <w:t xml:space="preserve"> que</w:t>
      </w:r>
      <w:r w:rsidR="002C330E" w:rsidRPr="00D5464D">
        <w:rPr>
          <w:rFonts w:cs="Arial"/>
          <w:szCs w:val="20"/>
          <w:lang w:val="pt-BR"/>
        </w:rPr>
        <w:t xml:space="preserve"> os procedimento</w:t>
      </w:r>
      <w:r w:rsidR="00D81AA1" w:rsidRPr="00D5464D">
        <w:rPr>
          <w:rFonts w:cs="Arial"/>
          <w:szCs w:val="20"/>
          <w:lang w:val="pt-BR"/>
        </w:rPr>
        <w:t>s de investiga</w:t>
      </w:r>
      <w:r w:rsidRPr="00D5464D">
        <w:rPr>
          <w:rFonts w:cs="Arial"/>
          <w:szCs w:val="20"/>
          <w:lang w:val="pt-BR"/>
        </w:rPr>
        <w:t>ção</w:t>
      </w:r>
      <w:r w:rsidR="00D81AA1" w:rsidRPr="00D5464D">
        <w:rPr>
          <w:rFonts w:cs="Arial"/>
          <w:szCs w:val="20"/>
          <w:lang w:val="pt-BR"/>
        </w:rPr>
        <w:t xml:space="preserve"> </w:t>
      </w:r>
      <w:r w:rsidRPr="00D5464D">
        <w:rPr>
          <w:rFonts w:cs="Arial"/>
          <w:szCs w:val="20"/>
          <w:lang w:val="pt-BR"/>
        </w:rPr>
        <w:t>conduzido</w:t>
      </w:r>
      <w:r w:rsidR="00D81AA1" w:rsidRPr="00D5464D">
        <w:rPr>
          <w:rFonts w:cs="Arial"/>
          <w:szCs w:val="20"/>
          <w:lang w:val="pt-BR"/>
        </w:rPr>
        <w:t>s</w:t>
      </w:r>
      <w:r w:rsidR="002C330E" w:rsidRPr="00D5464D">
        <w:rPr>
          <w:rFonts w:cs="Arial"/>
          <w:szCs w:val="20"/>
          <w:lang w:val="pt-BR"/>
        </w:rPr>
        <w:t xml:space="preserve"> pelo Ministério</w:t>
      </w:r>
      <w:r w:rsidR="00D81AA1" w:rsidRPr="00D5464D">
        <w:rPr>
          <w:rFonts w:cs="Arial"/>
          <w:szCs w:val="20"/>
          <w:lang w:val="pt-BR"/>
        </w:rPr>
        <w:t xml:space="preserve"> Público</w:t>
      </w:r>
      <w:r w:rsidR="002C330E" w:rsidRPr="00D5464D">
        <w:rPr>
          <w:rFonts w:cs="Arial"/>
          <w:szCs w:val="20"/>
          <w:lang w:val="pt-BR"/>
        </w:rPr>
        <w:t xml:space="preserve"> são </w:t>
      </w:r>
      <w:r w:rsidR="00D81AA1" w:rsidRPr="00D5464D">
        <w:rPr>
          <w:rFonts w:cs="Arial"/>
          <w:szCs w:val="20"/>
          <w:lang w:val="pt-BR"/>
        </w:rPr>
        <w:t xml:space="preserve">instrumentos </w:t>
      </w:r>
      <w:r w:rsidRPr="00D5464D">
        <w:rPr>
          <w:rFonts w:cs="Arial"/>
          <w:szCs w:val="20"/>
          <w:lang w:val="pt-BR"/>
        </w:rPr>
        <w:t>adequad</w:t>
      </w:r>
      <w:r w:rsidR="00D81AA1" w:rsidRPr="00D5464D">
        <w:rPr>
          <w:rFonts w:cs="Arial"/>
          <w:szCs w:val="20"/>
          <w:lang w:val="pt-BR"/>
        </w:rPr>
        <w:t>os</w:t>
      </w:r>
      <w:r w:rsidR="00E045D9" w:rsidRPr="00D5464D">
        <w:rPr>
          <w:rFonts w:cs="Arial"/>
          <w:szCs w:val="20"/>
          <w:lang w:val="pt-BR"/>
        </w:rPr>
        <w:t xml:space="preserve"> e </w:t>
      </w:r>
      <w:r w:rsidRPr="00D5464D">
        <w:rPr>
          <w:rFonts w:cs="Arial"/>
          <w:szCs w:val="20"/>
          <w:lang w:val="pt-BR"/>
        </w:rPr>
        <w:t>efetiv</w:t>
      </w:r>
      <w:r w:rsidR="00D81AA1" w:rsidRPr="00D5464D">
        <w:rPr>
          <w:rFonts w:cs="Arial"/>
          <w:szCs w:val="20"/>
          <w:lang w:val="pt-BR"/>
        </w:rPr>
        <w:t>os para</w:t>
      </w:r>
      <w:r w:rsidR="002C330E" w:rsidRPr="00D5464D">
        <w:rPr>
          <w:rFonts w:cs="Arial"/>
          <w:szCs w:val="20"/>
          <w:lang w:val="pt-BR"/>
        </w:rPr>
        <w:t xml:space="preserve"> a </w:t>
      </w:r>
      <w:r w:rsidR="005A29DA" w:rsidRPr="00D5464D">
        <w:rPr>
          <w:rFonts w:cs="Arial"/>
          <w:szCs w:val="20"/>
          <w:lang w:val="pt-BR"/>
        </w:rPr>
        <w:t>investiga</w:t>
      </w:r>
      <w:r w:rsidRPr="00D5464D">
        <w:rPr>
          <w:rFonts w:cs="Arial"/>
          <w:szCs w:val="20"/>
          <w:lang w:val="pt-BR"/>
        </w:rPr>
        <w:t>ção</w:t>
      </w:r>
      <w:r w:rsidR="00E045D9" w:rsidRPr="00D5464D">
        <w:rPr>
          <w:rFonts w:cs="Arial"/>
          <w:szCs w:val="20"/>
          <w:lang w:val="pt-BR"/>
        </w:rPr>
        <w:t xml:space="preserve"> e </w:t>
      </w:r>
      <w:r w:rsidR="005A29DA" w:rsidRPr="00D5464D">
        <w:rPr>
          <w:rFonts w:cs="Arial"/>
          <w:szCs w:val="20"/>
          <w:lang w:val="pt-BR"/>
        </w:rPr>
        <w:t>persecu</w:t>
      </w:r>
      <w:r w:rsidRPr="00D5464D">
        <w:rPr>
          <w:rFonts w:cs="Arial"/>
          <w:szCs w:val="20"/>
          <w:lang w:val="pt-BR"/>
        </w:rPr>
        <w:t>ção</w:t>
      </w:r>
      <w:r w:rsidR="00D81AA1" w:rsidRPr="00D5464D">
        <w:rPr>
          <w:rFonts w:cs="Arial"/>
          <w:szCs w:val="20"/>
          <w:lang w:val="pt-BR"/>
        </w:rPr>
        <w:t xml:space="preserve"> penal. </w:t>
      </w:r>
      <w:r w:rsidR="005F3480" w:rsidRPr="00D5464D">
        <w:rPr>
          <w:rFonts w:cs="Arial"/>
          <w:szCs w:val="20"/>
          <w:lang w:val="pt-BR"/>
        </w:rPr>
        <w:t>Afirmou</w:t>
      </w:r>
      <w:r w:rsidR="00D81AA1" w:rsidRPr="00D5464D">
        <w:rPr>
          <w:rFonts w:cs="Arial"/>
          <w:szCs w:val="20"/>
          <w:lang w:val="pt-BR"/>
        </w:rPr>
        <w:t xml:space="preserve"> que</w:t>
      </w:r>
      <w:r w:rsidR="00FC4109" w:rsidRPr="00D5464D">
        <w:rPr>
          <w:rFonts w:cs="Arial"/>
          <w:szCs w:val="20"/>
          <w:lang w:val="pt-BR"/>
        </w:rPr>
        <w:t>, a partir</w:t>
      </w:r>
      <w:r w:rsidRPr="00D5464D">
        <w:rPr>
          <w:rFonts w:cs="Arial"/>
          <w:szCs w:val="20"/>
          <w:lang w:val="pt-BR"/>
        </w:rPr>
        <w:t xml:space="preserve"> das </w:t>
      </w:r>
      <w:r w:rsidR="00D81AA1" w:rsidRPr="00D5464D">
        <w:rPr>
          <w:rFonts w:cs="Arial"/>
          <w:szCs w:val="20"/>
          <w:lang w:val="pt-BR"/>
        </w:rPr>
        <w:t>fiscaliza</w:t>
      </w:r>
      <w:r w:rsidRPr="00D5464D">
        <w:rPr>
          <w:rFonts w:cs="Arial"/>
          <w:szCs w:val="20"/>
          <w:lang w:val="pt-BR"/>
        </w:rPr>
        <w:t>ções</w:t>
      </w:r>
      <w:r w:rsidR="00D81AA1" w:rsidRPr="00D5464D">
        <w:rPr>
          <w:rFonts w:cs="Arial"/>
          <w:szCs w:val="20"/>
          <w:lang w:val="pt-BR"/>
        </w:rPr>
        <w:t xml:space="preserve"> realizadas</w:t>
      </w:r>
      <w:r w:rsidR="00E045D9" w:rsidRPr="00D5464D">
        <w:rPr>
          <w:rFonts w:cs="Arial"/>
          <w:szCs w:val="20"/>
          <w:lang w:val="pt-BR"/>
        </w:rPr>
        <w:t xml:space="preserve"> na </w:t>
      </w:r>
      <w:r w:rsidR="00D809F0" w:rsidRPr="00D5464D">
        <w:rPr>
          <w:rFonts w:cs="Arial"/>
          <w:szCs w:val="20"/>
          <w:lang w:val="pt-BR"/>
        </w:rPr>
        <w:t>Fazenda</w:t>
      </w:r>
      <w:r w:rsidR="00D81AA1" w:rsidRPr="00D5464D">
        <w:rPr>
          <w:rFonts w:cs="Arial"/>
          <w:szCs w:val="20"/>
          <w:lang w:val="pt-BR"/>
        </w:rPr>
        <w:t xml:space="preserve"> Brasil Verde</w:t>
      </w:r>
      <w:r w:rsidR="00FC4109" w:rsidRPr="00D5464D">
        <w:rPr>
          <w:rFonts w:cs="Arial"/>
          <w:szCs w:val="20"/>
          <w:lang w:val="pt-BR"/>
        </w:rPr>
        <w:t>,</w:t>
      </w:r>
      <w:r w:rsidR="00D81AA1" w:rsidRPr="00D5464D">
        <w:rPr>
          <w:rFonts w:cs="Arial"/>
          <w:szCs w:val="20"/>
          <w:lang w:val="pt-BR"/>
        </w:rPr>
        <w:t xml:space="preserve"> </w:t>
      </w:r>
      <w:r w:rsidR="00C46617" w:rsidRPr="00D5464D">
        <w:rPr>
          <w:rFonts w:cs="Arial"/>
          <w:szCs w:val="20"/>
          <w:lang w:val="pt-BR"/>
        </w:rPr>
        <w:t xml:space="preserve">não </w:t>
      </w:r>
      <w:r w:rsidR="00D81AA1" w:rsidRPr="00D5464D">
        <w:rPr>
          <w:rFonts w:cs="Arial"/>
          <w:szCs w:val="20"/>
          <w:lang w:val="pt-BR"/>
        </w:rPr>
        <w:t xml:space="preserve">se </w:t>
      </w:r>
      <w:r w:rsidR="002C330E" w:rsidRPr="00D5464D">
        <w:rPr>
          <w:rFonts w:cs="Arial"/>
          <w:szCs w:val="20"/>
          <w:lang w:val="pt-BR"/>
        </w:rPr>
        <w:t>chegou</w:t>
      </w:r>
      <w:r w:rsidRPr="00D5464D">
        <w:rPr>
          <w:rFonts w:cs="Arial"/>
          <w:szCs w:val="20"/>
          <w:lang w:val="pt-BR"/>
        </w:rPr>
        <w:t xml:space="preserve"> à conclusão</w:t>
      </w:r>
      <w:r w:rsidR="00D81AA1" w:rsidRPr="00D5464D">
        <w:rPr>
          <w:rFonts w:cs="Arial"/>
          <w:szCs w:val="20"/>
          <w:lang w:val="pt-BR"/>
        </w:rPr>
        <w:t xml:space="preserve"> de que </w:t>
      </w:r>
      <w:r w:rsidR="00E765C2" w:rsidRPr="00D5464D">
        <w:rPr>
          <w:rFonts w:cs="Arial"/>
          <w:szCs w:val="20"/>
          <w:lang w:val="pt-BR"/>
        </w:rPr>
        <w:t>existisse</w:t>
      </w:r>
      <w:r w:rsidR="00D81AA1" w:rsidRPr="00D5464D">
        <w:rPr>
          <w:rFonts w:cs="Arial"/>
          <w:szCs w:val="20"/>
          <w:lang w:val="pt-BR"/>
        </w:rPr>
        <w:t xml:space="preserve"> </w:t>
      </w:r>
      <w:r w:rsidR="00E045D9" w:rsidRPr="00D5464D">
        <w:rPr>
          <w:rFonts w:cs="Arial"/>
          <w:szCs w:val="20"/>
          <w:lang w:val="pt-BR"/>
        </w:rPr>
        <w:t>trabalho</w:t>
      </w:r>
      <w:r w:rsidR="00D81AA1" w:rsidRPr="00D5464D">
        <w:rPr>
          <w:rFonts w:cs="Arial"/>
          <w:szCs w:val="20"/>
          <w:lang w:val="pt-BR"/>
        </w:rPr>
        <w:t xml:space="preserve"> </w:t>
      </w:r>
      <w:r w:rsidR="004F1CC2" w:rsidRPr="00D5464D">
        <w:rPr>
          <w:rFonts w:cs="Arial"/>
          <w:szCs w:val="20"/>
          <w:lang w:val="pt-BR"/>
        </w:rPr>
        <w:t>escravo</w:t>
      </w:r>
      <w:r w:rsidRPr="00D5464D">
        <w:rPr>
          <w:rFonts w:cs="Arial"/>
          <w:szCs w:val="20"/>
          <w:lang w:val="pt-BR"/>
        </w:rPr>
        <w:t xml:space="preserve"> e</w:t>
      </w:r>
      <w:r w:rsidR="00D81AA1" w:rsidRPr="00D5464D">
        <w:rPr>
          <w:rFonts w:cs="Arial"/>
          <w:szCs w:val="20"/>
          <w:lang w:val="pt-BR"/>
        </w:rPr>
        <w:t xml:space="preserve"> que</w:t>
      </w:r>
      <w:r w:rsidR="002C330E" w:rsidRPr="00D5464D">
        <w:rPr>
          <w:rFonts w:cs="Arial"/>
          <w:szCs w:val="20"/>
          <w:lang w:val="pt-BR"/>
        </w:rPr>
        <w:t xml:space="preserve"> as </w:t>
      </w:r>
      <w:r w:rsidR="00D81AA1" w:rsidRPr="00D5464D">
        <w:rPr>
          <w:rFonts w:cs="Arial"/>
          <w:szCs w:val="20"/>
          <w:lang w:val="pt-BR"/>
        </w:rPr>
        <w:t>infr</w:t>
      </w:r>
      <w:r w:rsidRPr="00D5464D">
        <w:rPr>
          <w:rFonts w:cs="Arial"/>
          <w:szCs w:val="20"/>
          <w:lang w:val="pt-BR"/>
        </w:rPr>
        <w:t>ações</w:t>
      </w:r>
      <w:r w:rsidR="00D81AA1" w:rsidRPr="00D5464D">
        <w:rPr>
          <w:rFonts w:cs="Arial"/>
          <w:szCs w:val="20"/>
          <w:lang w:val="pt-BR"/>
        </w:rPr>
        <w:t xml:space="preserve"> administrativas veri</w:t>
      </w:r>
      <w:r w:rsidRPr="00D5464D">
        <w:rPr>
          <w:rFonts w:cs="Arial"/>
          <w:szCs w:val="20"/>
          <w:lang w:val="pt-BR"/>
        </w:rPr>
        <w:t>fica</w:t>
      </w:r>
      <w:r w:rsidR="00C46617" w:rsidRPr="00D5464D">
        <w:rPr>
          <w:rFonts w:cs="Arial"/>
          <w:szCs w:val="20"/>
          <w:lang w:val="pt-BR"/>
        </w:rPr>
        <w:t>das</w:t>
      </w:r>
      <w:r w:rsidR="00D81AA1" w:rsidRPr="00D5464D">
        <w:rPr>
          <w:rFonts w:cs="Arial"/>
          <w:szCs w:val="20"/>
          <w:lang w:val="pt-BR"/>
        </w:rPr>
        <w:t>, como condi</w:t>
      </w:r>
      <w:r w:rsidRPr="00D5464D">
        <w:rPr>
          <w:rFonts w:cs="Arial"/>
          <w:szCs w:val="20"/>
          <w:lang w:val="pt-BR"/>
        </w:rPr>
        <w:t>ções</w:t>
      </w:r>
      <w:r w:rsidR="00D81AA1" w:rsidRPr="00D5464D">
        <w:rPr>
          <w:rFonts w:cs="Arial"/>
          <w:szCs w:val="20"/>
          <w:lang w:val="pt-BR"/>
        </w:rPr>
        <w:t xml:space="preserve"> degradantes</w:t>
      </w:r>
      <w:r w:rsidR="00E045D9" w:rsidRPr="00D5464D">
        <w:rPr>
          <w:rFonts w:cs="Arial"/>
          <w:szCs w:val="20"/>
          <w:lang w:val="pt-BR"/>
        </w:rPr>
        <w:t xml:space="preserve"> e </w:t>
      </w:r>
      <w:r w:rsidR="00D81AA1" w:rsidRPr="00D5464D">
        <w:rPr>
          <w:rFonts w:cs="Arial"/>
          <w:szCs w:val="20"/>
          <w:lang w:val="pt-BR"/>
        </w:rPr>
        <w:t xml:space="preserve">jornadas </w:t>
      </w:r>
      <w:r w:rsidR="00737270" w:rsidRPr="00D5464D">
        <w:rPr>
          <w:rFonts w:cs="Arial"/>
          <w:szCs w:val="20"/>
          <w:lang w:val="pt-BR"/>
        </w:rPr>
        <w:t>exaustiv</w:t>
      </w:r>
      <w:r w:rsidR="00D81AA1" w:rsidRPr="00D5464D">
        <w:rPr>
          <w:rFonts w:cs="Arial"/>
          <w:szCs w:val="20"/>
          <w:lang w:val="pt-BR"/>
        </w:rPr>
        <w:t xml:space="preserve">as, </w:t>
      </w:r>
      <w:r w:rsidR="00C46617" w:rsidRPr="00D5464D">
        <w:rPr>
          <w:rFonts w:cs="Arial"/>
          <w:szCs w:val="20"/>
          <w:lang w:val="pt-BR"/>
        </w:rPr>
        <w:t xml:space="preserve">não poderiam </w:t>
      </w:r>
      <w:r w:rsidR="00D81AA1" w:rsidRPr="00D5464D">
        <w:rPr>
          <w:rFonts w:cs="Arial"/>
          <w:szCs w:val="20"/>
          <w:lang w:val="pt-BR"/>
        </w:rPr>
        <w:t xml:space="preserve">ser caracterizadas como delitos de </w:t>
      </w:r>
      <w:r w:rsidRPr="00D5464D">
        <w:rPr>
          <w:rFonts w:cs="Arial"/>
          <w:szCs w:val="20"/>
          <w:lang w:val="pt-BR"/>
        </w:rPr>
        <w:t xml:space="preserve">acordo </w:t>
      </w:r>
      <w:r w:rsidR="00C46617" w:rsidRPr="00D5464D">
        <w:rPr>
          <w:rFonts w:cs="Arial"/>
          <w:szCs w:val="20"/>
          <w:lang w:val="pt-BR"/>
        </w:rPr>
        <w:t xml:space="preserve">com a </w:t>
      </w:r>
      <w:r w:rsidR="00D81AA1" w:rsidRPr="00D5464D">
        <w:rPr>
          <w:rFonts w:cs="Arial"/>
          <w:szCs w:val="20"/>
          <w:lang w:val="pt-BR"/>
        </w:rPr>
        <w:t>normativa vigente</w:t>
      </w:r>
      <w:r w:rsidRPr="00D5464D">
        <w:rPr>
          <w:rFonts w:cs="Arial"/>
          <w:szCs w:val="20"/>
          <w:lang w:val="pt-BR"/>
        </w:rPr>
        <w:t xml:space="preserve"> </w:t>
      </w:r>
      <w:r w:rsidR="00C46617" w:rsidRPr="00D5464D">
        <w:rPr>
          <w:rFonts w:cs="Arial"/>
          <w:szCs w:val="20"/>
          <w:lang w:val="pt-BR"/>
        </w:rPr>
        <w:t>n</w:t>
      </w:r>
      <w:r w:rsidRPr="00D5464D">
        <w:rPr>
          <w:rFonts w:cs="Arial"/>
          <w:szCs w:val="20"/>
          <w:lang w:val="pt-BR"/>
        </w:rPr>
        <w:t xml:space="preserve">o </w:t>
      </w:r>
      <w:r w:rsidR="00D81AA1" w:rsidRPr="00D5464D">
        <w:rPr>
          <w:rFonts w:cs="Arial"/>
          <w:szCs w:val="20"/>
          <w:lang w:val="pt-BR"/>
        </w:rPr>
        <w:t>momento</w:t>
      </w:r>
      <w:r w:rsidRPr="00D5464D">
        <w:rPr>
          <w:rFonts w:cs="Arial"/>
          <w:szCs w:val="20"/>
          <w:lang w:val="pt-BR"/>
        </w:rPr>
        <w:t xml:space="preserve"> dos </w:t>
      </w:r>
      <w:r w:rsidR="002C330E" w:rsidRPr="00D5464D">
        <w:rPr>
          <w:rFonts w:cs="Arial"/>
          <w:szCs w:val="20"/>
          <w:lang w:val="pt-BR"/>
        </w:rPr>
        <w:t>fatos</w:t>
      </w:r>
      <w:r w:rsidR="00D81AA1" w:rsidRPr="00D5464D">
        <w:rPr>
          <w:rFonts w:cs="Arial"/>
          <w:szCs w:val="20"/>
          <w:lang w:val="pt-BR"/>
        </w:rPr>
        <w:t>.</w:t>
      </w:r>
    </w:p>
    <w:p w14:paraId="56EEC915" w14:textId="77777777" w:rsidR="00D81AA1" w:rsidRPr="00D5464D" w:rsidRDefault="00D81AA1" w:rsidP="00D81AA1">
      <w:pPr>
        <w:pStyle w:val="Prrafodelista"/>
        <w:rPr>
          <w:rFonts w:cs="Arial"/>
          <w:szCs w:val="20"/>
          <w:lang w:val="pt-BR"/>
        </w:rPr>
      </w:pPr>
    </w:p>
    <w:p w14:paraId="21A5121B" w14:textId="5977B39E" w:rsidR="00D81AA1" w:rsidRPr="00D5464D" w:rsidRDefault="00D81AA1" w:rsidP="00D81AA1">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Finalmente,</w:t>
      </w:r>
      <w:r w:rsidR="00470ADC" w:rsidRPr="00D5464D">
        <w:rPr>
          <w:rFonts w:cs="Arial"/>
          <w:szCs w:val="20"/>
          <w:lang w:val="pt-BR"/>
        </w:rPr>
        <w:t xml:space="preserve"> o </w:t>
      </w:r>
      <w:r w:rsidRPr="00D5464D">
        <w:rPr>
          <w:rFonts w:cs="Arial"/>
          <w:szCs w:val="20"/>
          <w:lang w:val="pt-BR"/>
        </w:rPr>
        <w:t xml:space="preserve">Estado </w:t>
      </w:r>
      <w:r w:rsidR="00470ADC" w:rsidRPr="00D5464D">
        <w:rPr>
          <w:rFonts w:cs="Arial"/>
          <w:szCs w:val="20"/>
          <w:lang w:val="pt-BR"/>
        </w:rPr>
        <w:t>argumentou</w:t>
      </w:r>
      <w:r w:rsidRPr="00D5464D">
        <w:rPr>
          <w:rFonts w:cs="Arial"/>
          <w:szCs w:val="20"/>
          <w:lang w:val="pt-BR"/>
        </w:rPr>
        <w:t xml:space="preserve"> que</w:t>
      </w:r>
      <w:r w:rsidR="00470ADC" w:rsidRPr="00D5464D">
        <w:rPr>
          <w:rFonts w:cs="Arial"/>
          <w:szCs w:val="20"/>
          <w:lang w:val="pt-BR"/>
        </w:rPr>
        <w:t xml:space="preserve"> o </w:t>
      </w:r>
      <w:r w:rsidR="002C330E" w:rsidRPr="00D5464D">
        <w:rPr>
          <w:rFonts w:cs="Arial"/>
          <w:szCs w:val="20"/>
          <w:lang w:val="pt-BR"/>
        </w:rPr>
        <w:t>Ministério</w:t>
      </w:r>
      <w:r w:rsidRPr="00D5464D">
        <w:rPr>
          <w:rFonts w:cs="Arial"/>
          <w:szCs w:val="20"/>
          <w:lang w:val="pt-BR"/>
        </w:rPr>
        <w:t xml:space="preserve"> Público </w:t>
      </w:r>
      <w:r w:rsidR="00E045D9" w:rsidRPr="00D5464D">
        <w:rPr>
          <w:rFonts w:cs="Arial"/>
          <w:szCs w:val="20"/>
          <w:lang w:val="pt-BR"/>
        </w:rPr>
        <w:t xml:space="preserve">tem </w:t>
      </w:r>
      <w:r w:rsidR="00470ADC" w:rsidRPr="00D5464D">
        <w:rPr>
          <w:rFonts w:cs="Arial"/>
          <w:szCs w:val="20"/>
          <w:lang w:val="pt-BR"/>
        </w:rPr>
        <w:t>competência</w:t>
      </w:r>
      <w:r w:rsidRPr="00D5464D">
        <w:rPr>
          <w:rFonts w:cs="Arial"/>
          <w:szCs w:val="20"/>
          <w:lang w:val="pt-BR"/>
        </w:rPr>
        <w:t xml:space="preserve"> para </w:t>
      </w:r>
      <w:r w:rsidR="00E045D9" w:rsidRPr="00D5464D">
        <w:rPr>
          <w:rFonts w:cs="Arial"/>
          <w:szCs w:val="20"/>
          <w:lang w:val="pt-BR"/>
        </w:rPr>
        <w:t>conduzir</w:t>
      </w:r>
      <w:r w:rsidRPr="00D5464D">
        <w:rPr>
          <w:rFonts w:cs="Arial"/>
          <w:szCs w:val="20"/>
          <w:lang w:val="pt-BR"/>
        </w:rPr>
        <w:t xml:space="preserve"> </w:t>
      </w:r>
      <w:r w:rsidR="002C330E" w:rsidRPr="00D5464D">
        <w:rPr>
          <w:rFonts w:cs="Arial"/>
          <w:szCs w:val="20"/>
          <w:lang w:val="pt-BR"/>
        </w:rPr>
        <w:t>procedimento</w:t>
      </w:r>
      <w:r w:rsidRPr="00D5464D">
        <w:rPr>
          <w:rFonts w:cs="Arial"/>
          <w:szCs w:val="20"/>
          <w:lang w:val="pt-BR"/>
        </w:rPr>
        <w:t xml:space="preserve">s </w:t>
      </w:r>
      <w:r w:rsidR="00470ADC" w:rsidRPr="00D5464D">
        <w:rPr>
          <w:rFonts w:cs="Arial"/>
          <w:szCs w:val="20"/>
          <w:lang w:val="pt-BR"/>
        </w:rPr>
        <w:t>autônom</w:t>
      </w:r>
      <w:r w:rsidRPr="00D5464D">
        <w:rPr>
          <w:rFonts w:cs="Arial"/>
          <w:szCs w:val="20"/>
          <w:lang w:val="pt-BR"/>
        </w:rPr>
        <w:t>os de investiga</w:t>
      </w:r>
      <w:r w:rsidR="00470ADC" w:rsidRPr="00D5464D">
        <w:rPr>
          <w:rFonts w:cs="Arial"/>
          <w:szCs w:val="20"/>
          <w:lang w:val="pt-BR"/>
        </w:rPr>
        <w:t>ção</w:t>
      </w:r>
      <w:r w:rsidRPr="00D5464D">
        <w:rPr>
          <w:rFonts w:cs="Arial"/>
          <w:szCs w:val="20"/>
          <w:lang w:val="pt-BR"/>
        </w:rPr>
        <w:t xml:space="preserve"> criminal, como</w:t>
      </w:r>
      <w:r w:rsidR="00E045D9" w:rsidRPr="00D5464D">
        <w:rPr>
          <w:rFonts w:cs="Arial"/>
          <w:szCs w:val="20"/>
          <w:lang w:val="pt-BR"/>
        </w:rPr>
        <w:t xml:space="preserve"> no </w:t>
      </w:r>
      <w:r w:rsidRPr="00D5464D">
        <w:rPr>
          <w:rFonts w:cs="Arial"/>
          <w:szCs w:val="20"/>
          <w:lang w:val="pt-BR"/>
        </w:rPr>
        <w:t>presente caso</w:t>
      </w:r>
      <w:r w:rsidR="00470ADC" w:rsidRPr="00D5464D">
        <w:rPr>
          <w:rFonts w:cs="Arial"/>
          <w:szCs w:val="20"/>
          <w:lang w:val="pt-BR"/>
        </w:rPr>
        <w:t>, e</w:t>
      </w:r>
      <w:r w:rsidRPr="00D5464D">
        <w:rPr>
          <w:rFonts w:cs="Arial"/>
          <w:szCs w:val="20"/>
          <w:lang w:val="pt-BR"/>
        </w:rPr>
        <w:t xml:space="preserve"> que </w:t>
      </w:r>
      <w:r w:rsidR="00470ADC" w:rsidRPr="00D5464D">
        <w:rPr>
          <w:rFonts w:cs="Arial"/>
          <w:szCs w:val="20"/>
          <w:lang w:val="pt-BR"/>
        </w:rPr>
        <w:t>este</w:t>
      </w:r>
      <w:r w:rsidRPr="00D5464D">
        <w:rPr>
          <w:rFonts w:cs="Arial"/>
          <w:szCs w:val="20"/>
          <w:lang w:val="pt-BR"/>
        </w:rPr>
        <w:t xml:space="preserve">s </w:t>
      </w:r>
      <w:r w:rsidR="002C330E" w:rsidRPr="00D5464D">
        <w:rPr>
          <w:rFonts w:cs="Arial"/>
          <w:szCs w:val="20"/>
          <w:lang w:val="pt-BR"/>
        </w:rPr>
        <w:t>procedimento</w:t>
      </w:r>
      <w:r w:rsidRPr="00D5464D">
        <w:rPr>
          <w:rFonts w:cs="Arial"/>
          <w:szCs w:val="20"/>
          <w:lang w:val="pt-BR"/>
        </w:rPr>
        <w:t xml:space="preserve">s </w:t>
      </w:r>
      <w:r w:rsidR="00470ADC" w:rsidRPr="00D5464D">
        <w:rPr>
          <w:rFonts w:cs="Arial"/>
          <w:szCs w:val="20"/>
          <w:lang w:val="pt-BR"/>
        </w:rPr>
        <w:t>devem</w:t>
      </w:r>
      <w:r w:rsidRPr="00D5464D">
        <w:rPr>
          <w:rFonts w:cs="Arial"/>
          <w:szCs w:val="20"/>
          <w:lang w:val="pt-BR"/>
        </w:rPr>
        <w:t xml:space="preserve"> ser igualmente considerados </w:t>
      </w:r>
      <w:r w:rsidR="00C46617" w:rsidRPr="00D5464D">
        <w:rPr>
          <w:rFonts w:cs="Arial"/>
          <w:szCs w:val="20"/>
          <w:lang w:val="pt-BR"/>
        </w:rPr>
        <w:t xml:space="preserve">como </w:t>
      </w:r>
      <w:r w:rsidRPr="00D5464D">
        <w:rPr>
          <w:rFonts w:cs="Arial"/>
          <w:szCs w:val="20"/>
          <w:lang w:val="pt-BR"/>
        </w:rPr>
        <w:t xml:space="preserve">recursos </w:t>
      </w:r>
      <w:r w:rsidR="00470ADC" w:rsidRPr="00D5464D">
        <w:rPr>
          <w:rFonts w:cs="Arial"/>
          <w:szCs w:val="20"/>
          <w:lang w:val="pt-BR"/>
        </w:rPr>
        <w:t>adequad</w:t>
      </w:r>
      <w:r w:rsidRPr="00D5464D">
        <w:rPr>
          <w:rFonts w:cs="Arial"/>
          <w:szCs w:val="20"/>
          <w:lang w:val="pt-BR"/>
        </w:rPr>
        <w:t>os</w:t>
      </w:r>
      <w:r w:rsidR="00E045D9" w:rsidRPr="00D5464D">
        <w:rPr>
          <w:rFonts w:cs="Arial"/>
          <w:szCs w:val="20"/>
          <w:lang w:val="pt-BR"/>
        </w:rPr>
        <w:t xml:space="preserve"> e </w:t>
      </w:r>
      <w:r w:rsidR="00470ADC" w:rsidRPr="00D5464D">
        <w:rPr>
          <w:rFonts w:cs="Arial"/>
          <w:szCs w:val="20"/>
          <w:lang w:val="pt-BR"/>
        </w:rPr>
        <w:t>efetiv</w:t>
      </w:r>
      <w:r w:rsidRPr="00D5464D">
        <w:rPr>
          <w:rFonts w:cs="Arial"/>
          <w:szCs w:val="20"/>
          <w:lang w:val="pt-BR"/>
        </w:rPr>
        <w:t>os para</w:t>
      </w:r>
      <w:r w:rsidR="002C330E" w:rsidRPr="00D5464D">
        <w:rPr>
          <w:rFonts w:cs="Arial"/>
          <w:szCs w:val="20"/>
          <w:lang w:val="pt-BR"/>
        </w:rPr>
        <w:t xml:space="preserve"> a </w:t>
      </w:r>
      <w:r w:rsidRPr="00D5464D">
        <w:rPr>
          <w:rFonts w:cs="Arial"/>
          <w:szCs w:val="20"/>
          <w:lang w:val="pt-BR"/>
        </w:rPr>
        <w:t>investiga</w:t>
      </w:r>
      <w:r w:rsidR="00470ADC" w:rsidRPr="00D5464D">
        <w:rPr>
          <w:rFonts w:cs="Arial"/>
          <w:szCs w:val="20"/>
          <w:lang w:val="pt-BR"/>
        </w:rPr>
        <w:t>ção</w:t>
      </w:r>
      <w:r w:rsidRPr="00D5464D">
        <w:rPr>
          <w:rFonts w:cs="Arial"/>
          <w:szCs w:val="20"/>
          <w:lang w:val="pt-BR"/>
        </w:rPr>
        <w:t xml:space="preserve"> de </w:t>
      </w:r>
      <w:r w:rsidR="00470ADC" w:rsidRPr="00D5464D">
        <w:rPr>
          <w:rFonts w:cs="Arial"/>
          <w:szCs w:val="20"/>
          <w:lang w:val="pt-BR"/>
        </w:rPr>
        <w:t>crimes</w:t>
      </w:r>
      <w:r w:rsidRPr="00D5464D">
        <w:rPr>
          <w:rFonts w:cs="Arial"/>
          <w:szCs w:val="20"/>
          <w:lang w:val="pt-BR"/>
        </w:rPr>
        <w:t xml:space="preserve"> que </w:t>
      </w:r>
      <w:r w:rsidR="00230C71" w:rsidRPr="00D5464D">
        <w:rPr>
          <w:rFonts w:cs="Arial"/>
          <w:szCs w:val="20"/>
          <w:lang w:val="pt-BR"/>
        </w:rPr>
        <w:t>representam</w:t>
      </w:r>
      <w:r w:rsidRPr="00D5464D">
        <w:rPr>
          <w:rFonts w:cs="Arial"/>
          <w:szCs w:val="20"/>
          <w:lang w:val="pt-BR"/>
        </w:rPr>
        <w:t xml:space="preserve"> viola</w:t>
      </w:r>
      <w:r w:rsidR="00470ADC" w:rsidRPr="00D5464D">
        <w:rPr>
          <w:rFonts w:cs="Arial"/>
          <w:szCs w:val="20"/>
          <w:lang w:val="pt-BR"/>
        </w:rPr>
        <w:t xml:space="preserve">ções à </w:t>
      </w:r>
      <w:r w:rsidRPr="00D5464D">
        <w:rPr>
          <w:rFonts w:cs="Arial"/>
          <w:szCs w:val="20"/>
          <w:lang w:val="pt-BR"/>
        </w:rPr>
        <w:t>Conven</w:t>
      </w:r>
      <w:r w:rsidR="00470ADC" w:rsidRPr="00D5464D">
        <w:rPr>
          <w:rFonts w:cs="Arial"/>
          <w:szCs w:val="20"/>
          <w:lang w:val="pt-BR"/>
        </w:rPr>
        <w:t>ção</w:t>
      </w:r>
      <w:r w:rsidRPr="00D5464D">
        <w:rPr>
          <w:rFonts w:cs="Arial"/>
          <w:szCs w:val="20"/>
          <w:lang w:val="pt-BR"/>
        </w:rPr>
        <w:t xml:space="preserve"> Americana.</w:t>
      </w:r>
    </w:p>
    <w:p w14:paraId="54B469BA" w14:textId="77777777" w:rsidR="00D81AA1" w:rsidRPr="00D5464D" w:rsidRDefault="00D81AA1" w:rsidP="00D81AA1">
      <w:pPr>
        <w:jc w:val="both"/>
        <w:rPr>
          <w:rFonts w:cs="Arial"/>
          <w:szCs w:val="20"/>
          <w:lang w:val="pt-BR"/>
        </w:rPr>
      </w:pPr>
    </w:p>
    <w:p w14:paraId="2848EF32" w14:textId="0F4E4BDE" w:rsidR="00D81AA1" w:rsidRPr="00D5464D" w:rsidRDefault="00D81AA1" w:rsidP="00F306D7">
      <w:pPr>
        <w:pStyle w:val="Ttulo2"/>
        <w:numPr>
          <w:ilvl w:val="0"/>
          <w:numId w:val="20"/>
        </w:numPr>
        <w:rPr>
          <w:rFonts w:eastAsiaTheme="minorHAnsi" w:cs="Arial"/>
          <w:lang w:val="pt-BR"/>
        </w:rPr>
      </w:pPr>
      <w:bookmarkStart w:id="421" w:name="_Toc468433936"/>
      <w:r w:rsidRPr="00D5464D">
        <w:rPr>
          <w:rFonts w:eastAsiaTheme="minorHAnsi"/>
          <w:lang w:val="pt-BR"/>
        </w:rPr>
        <w:t>Considera</w:t>
      </w:r>
      <w:r w:rsidR="00470ADC" w:rsidRPr="00D5464D">
        <w:rPr>
          <w:rFonts w:eastAsiaTheme="minorHAnsi"/>
          <w:lang w:val="pt-BR"/>
        </w:rPr>
        <w:t xml:space="preserve">ções da </w:t>
      </w:r>
      <w:r w:rsidRPr="00D5464D">
        <w:rPr>
          <w:rFonts w:eastAsiaTheme="minorHAnsi"/>
          <w:lang w:val="pt-BR"/>
        </w:rPr>
        <w:t>Corte</w:t>
      </w:r>
      <w:bookmarkEnd w:id="421"/>
    </w:p>
    <w:p w14:paraId="110D16DA" w14:textId="77777777" w:rsidR="00D81AA1" w:rsidRPr="00D5464D" w:rsidRDefault="00D81AA1" w:rsidP="00D81AA1">
      <w:pPr>
        <w:jc w:val="both"/>
        <w:rPr>
          <w:szCs w:val="20"/>
          <w:lang w:val="pt-BR"/>
        </w:rPr>
      </w:pPr>
    </w:p>
    <w:p w14:paraId="3E3259D3" w14:textId="5FA00C07" w:rsidR="00D81AA1" w:rsidRPr="00D5464D" w:rsidRDefault="00D81AA1" w:rsidP="00D81AA1">
      <w:pPr>
        <w:numPr>
          <w:ilvl w:val="0"/>
          <w:numId w:val="1"/>
        </w:numPr>
        <w:tabs>
          <w:tab w:val="clear" w:pos="4419"/>
          <w:tab w:val="clear" w:pos="8838"/>
        </w:tabs>
        <w:contextualSpacing/>
        <w:jc w:val="both"/>
        <w:rPr>
          <w:b/>
          <w:szCs w:val="20"/>
          <w:lang w:val="pt-BR"/>
        </w:rPr>
      </w:pPr>
      <w:r w:rsidRPr="00D5464D">
        <w:rPr>
          <w:rFonts w:cs="Arial"/>
          <w:iCs/>
          <w:szCs w:val="20"/>
          <w:lang w:val="pt-BR"/>
        </w:rPr>
        <w:t xml:space="preserve">Antes de </w:t>
      </w:r>
      <w:r w:rsidR="00B44E89" w:rsidRPr="00D5464D">
        <w:rPr>
          <w:rFonts w:cs="Arial"/>
          <w:iCs/>
          <w:szCs w:val="20"/>
          <w:lang w:val="pt-BR"/>
        </w:rPr>
        <w:t>iniciar</w:t>
      </w:r>
      <w:r w:rsidR="00230C71" w:rsidRPr="00D5464D">
        <w:rPr>
          <w:rFonts w:cs="Arial"/>
          <w:iCs/>
          <w:szCs w:val="20"/>
          <w:lang w:val="pt-BR"/>
        </w:rPr>
        <w:t xml:space="preserve"> a análise</w:t>
      </w:r>
      <w:r w:rsidR="00470ADC" w:rsidRPr="00D5464D">
        <w:rPr>
          <w:rFonts w:cs="Arial"/>
          <w:iCs/>
          <w:szCs w:val="20"/>
          <w:lang w:val="pt-BR"/>
        </w:rPr>
        <w:t xml:space="preserve"> </w:t>
      </w:r>
      <w:r w:rsidR="009E04D5" w:rsidRPr="00D5464D">
        <w:rPr>
          <w:rFonts w:cs="Arial"/>
          <w:iCs/>
          <w:szCs w:val="20"/>
          <w:lang w:val="pt-BR"/>
        </w:rPr>
        <w:t>dos argumentos</w:t>
      </w:r>
      <w:r w:rsidRPr="00D5464D">
        <w:rPr>
          <w:rFonts w:cs="Arial"/>
          <w:iCs/>
          <w:szCs w:val="20"/>
          <w:lang w:val="pt-BR"/>
        </w:rPr>
        <w:t>,</w:t>
      </w:r>
      <w:r w:rsidR="002C330E" w:rsidRPr="00D5464D">
        <w:rPr>
          <w:rFonts w:cs="Arial"/>
          <w:iCs/>
          <w:szCs w:val="20"/>
          <w:lang w:val="pt-BR"/>
        </w:rPr>
        <w:t xml:space="preserve"> a </w:t>
      </w:r>
      <w:r w:rsidRPr="00D5464D">
        <w:rPr>
          <w:rFonts w:cs="Arial"/>
          <w:iCs/>
          <w:szCs w:val="20"/>
          <w:lang w:val="pt-BR"/>
        </w:rPr>
        <w:t xml:space="preserve">Corte </w:t>
      </w:r>
      <w:r w:rsidR="00E045D9" w:rsidRPr="00D5464D">
        <w:rPr>
          <w:rFonts w:cs="Arial"/>
          <w:iCs/>
          <w:szCs w:val="20"/>
          <w:lang w:val="pt-BR"/>
        </w:rPr>
        <w:t>recorda</w:t>
      </w:r>
      <w:r w:rsidRPr="00D5464D">
        <w:rPr>
          <w:rFonts w:cs="Arial"/>
          <w:iCs/>
          <w:szCs w:val="20"/>
          <w:lang w:val="pt-BR"/>
        </w:rPr>
        <w:t xml:space="preserve"> que </w:t>
      </w:r>
      <w:r w:rsidR="00E045D9" w:rsidRPr="00D5464D">
        <w:rPr>
          <w:rFonts w:cs="Arial"/>
          <w:iCs/>
          <w:szCs w:val="20"/>
          <w:lang w:val="pt-BR"/>
        </w:rPr>
        <w:t>sua competência</w:t>
      </w:r>
      <w:r w:rsidRPr="00D5464D">
        <w:rPr>
          <w:szCs w:val="20"/>
          <w:lang w:val="pt-BR" w:eastAsia="es-ES"/>
        </w:rPr>
        <w:t xml:space="preserve"> contenciosa</w:t>
      </w:r>
      <w:r w:rsidR="00E045D9" w:rsidRPr="00D5464D">
        <w:rPr>
          <w:szCs w:val="20"/>
          <w:lang w:val="pt-BR" w:eastAsia="es-ES"/>
        </w:rPr>
        <w:t xml:space="preserve"> no </w:t>
      </w:r>
      <w:r w:rsidR="001B63D0" w:rsidRPr="00D5464D">
        <w:rPr>
          <w:szCs w:val="20"/>
          <w:lang w:val="pt-BR" w:eastAsia="es-ES"/>
        </w:rPr>
        <w:t>presente caso se limita</w:t>
      </w:r>
      <w:r w:rsidR="00E045D9" w:rsidRPr="00D5464D">
        <w:rPr>
          <w:szCs w:val="20"/>
          <w:lang w:val="pt-BR" w:eastAsia="es-ES"/>
        </w:rPr>
        <w:t xml:space="preserve"> às </w:t>
      </w:r>
      <w:r w:rsidR="00470ADC" w:rsidRPr="00D5464D">
        <w:rPr>
          <w:szCs w:val="20"/>
          <w:lang w:val="pt-BR" w:eastAsia="es-ES"/>
        </w:rPr>
        <w:t>atuações</w:t>
      </w:r>
      <w:r w:rsidRPr="00D5464D">
        <w:rPr>
          <w:szCs w:val="20"/>
          <w:lang w:val="pt-BR" w:eastAsia="es-ES"/>
        </w:rPr>
        <w:t xml:space="preserve"> </w:t>
      </w:r>
      <w:r w:rsidR="002C330E" w:rsidRPr="00D5464D">
        <w:rPr>
          <w:szCs w:val="20"/>
          <w:lang w:val="pt-BR" w:eastAsia="es-ES"/>
        </w:rPr>
        <w:t>judiciais</w:t>
      </w:r>
      <w:r w:rsidRPr="00D5464D">
        <w:rPr>
          <w:szCs w:val="20"/>
          <w:lang w:val="pt-BR" w:eastAsia="es-ES"/>
        </w:rPr>
        <w:t xml:space="preserve"> que </w:t>
      </w:r>
      <w:r w:rsidR="00A1358C" w:rsidRPr="00D5464D">
        <w:rPr>
          <w:szCs w:val="20"/>
          <w:lang w:val="pt-BR" w:eastAsia="es-ES"/>
        </w:rPr>
        <w:t>começa</w:t>
      </w:r>
      <w:r w:rsidR="009E04D5" w:rsidRPr="00D5464D">
        <w:rPr>
          <w:szCs w:val="20"/>
          <w:lang w:val="pt-BR" w:eastAsia="es-ES"/>
        </w:rPr>
        <w:t>ram</w:t>
      </w:r>
      <w:r w:rsidRPr="00D5464D">
        <w:rPr>
          <w:szCs w:val="20"/>
          <w:lang w:val="pt-BR" w:eastAsia="es-ES"/>
        </w:rPr>
        <w:t xml:space="preserve"> o</w:t>
      </w:r>
      <w:r w:rsidR="007C02C5" w:rsidRPr="00D5464D">
        <w:rPr>
          <w:szCs w:val="20"/>
          <w:lang w:val="pt-BR" w:eastAsia="es-ES"/>
        </w:rPr>
        <w:t>u</w:t>
      </w:r>
      <w:r w:rsidRPr="00D5464D">
        <w:rPr>
          <w:szCs w:val="20"/>
          <w:lang w:val="pt-BR" w:eastAsia="es-ES"/>
        </w:rPr>
        <w:t xml:space="preserve"> </w:t>
      </w:r>
      <w:r w:rsidR="002C330E" w:rsidRPr="00D5464D">
        <w:rPr>
          <w:szCs w:val="20"/>
          <w:lang w:val="pt-BR" w:eastAsia="es-ES"/>
        </w:rPr>
        <w:t>tenham</w:t>
      </w:r>
      <w:r w:rsidRPr="00D5464D">
        <w:rPr>
          <w:szCs w:val="20"/>
          <w:lang w:val="pt-BR" w:eastAsia="es-ES"/>
        </w:rPr>
        <w:t xml:space="preserve"> </w:t>
      </w:r>
      <w:r w:rsidR="0099000B" w:rsidRPr="00D5464D">
        <w:rPr>
          <w:szCs w:val="20"/>
          <w:lang w:val="pt-BR" w:eastAsia="es-ES"/>
        </w:rPr>
        <w:t xml:space="preserve">continuado </w:t>
      </w:r>
      <w:r w:rsidR="007C02C5" w:rsidRPr="00D5464D">
        <w:rPr>
          <w:szCs w:val="20"/>
          <w:lang w:val="pt-BR" w:eastAsia="es-ES"/>
        </w:rPr>
        <w:t xml:space="preserve">após </w:t>
      </w:r>
      <w:r w:rsidR="00470ADC" w:rsidRPr="00D5464D">
        <w:rPr>
          <w:szCs w:val="20"/>
          <w:lang w:val="pt-BR" w:eastAsia="es-ES"/>
        </w:rPr>
        <w:t xml:space="preserve">o </w:t>
      </w:r>
      <w:r w:rsidRPr="00D5464D">
        <w:rPr>
          <w:szCs w:val="20"/>
          <w:lang w:val="pt-BR" w:eastAsia="es-ES"/>
        </w:rPr>
        <w:t>re</w:t>
      </w:r>
      <w:r w:rsidR="00470ADC" w:rsidRPr="00D5464D">
        <w:rPr>
          <w:szCs w:val="20"/>
          <w:lang w:val="pt-BR" w:eastAsia="es-ES"/>
        </w:rPr>
        <w:t>conhecimento</w:t>
      </w:r>
      <w:r w:rsidRPr="00D5464D">
        <w:rPr>
          <w:szCs w:val="20"/>
          <w:lang w:val="pt-BR" w:eastAsia="es-ES"/>
        </w:rPr>
        <w:t xml:space="preserve"> de </w:t>
      </w:r>
      <w:r w:rsidR="00470ADC" w:rsidRPr="00D5464D">
        <w:rPr>
          <w:szCs w:val="20"/>
          <w:lang w:val="pt-BR" w:eastAsia="es-ES"/>
        </w:rPr>
        <w:t>competência</w:t>
      </w:r>
      <w:r w:rsidRPr="00D5464D">
        <w:rPr>
          <w:szCs w:val="20"/>
          <w:lang w:val="pt-BR" w:eastAsia="es-ES"/>
        </w:rPr>
        <w:t xml:space="preserve"> </w:t>
      </w:r>
      <w:r w:rsidR="007C02C5" w:rsidRPr="00D5464D">
        <w:rPr>
          <w:szCs w:val="20"/>
          <w:lang w:val="pt-BR" w:eastAsia="es-ES"/>
        </w:rPr>
        <w:t xml:space="preserve">realizado </w:t>
      </w:r>
      <w:r w:rsidR="002C330E" w:rsidRPr="00D5464D">
        <w:rPr>
          <w:szCs w:val="20"/>
          <w:lang w:val="pt-BR" w:eastAsia="es-ES"/>
        </w:rPr>
        <w:t xml:space="preserve">pelo </w:t>
      </w:r>
      <w:r w:rsidRPr="00D5464D">
        <w:rPr>
          <w:szCs w:val="20"/>
          <w:lang w:val="pt-BR" w:eastAsia="es-ES"/>
        </w:rPr>
        <w:t>Estado</w:t>
      </w:r>
      <w:r w:rsidR="00C91CB1" w:rsidRPr="00D5464D">
        <w:rPr>
          <w:szCs w:val="20"/>
          <w:lang w:val="pt-BR" w:eastAsia="es-ES"/>
        </w:rPr>
        <w:t xml:space="preserve"> em 1</w:t>
      </w:r>
      <w:r w:rsidR="001B63D0" w:rsidRPr="00D5464D">
        <w:rPr>
          <w:szCs w:val="20"/>
          <w:lang w:val="pt-BR" w:eastAsia="es-ES"/>
        </w:rPr>
        <w:t>0 de</w:t>
      </w:r>
      <w:r w:rsidRPr="00D5464D">
        <w:rPr>
          <w:szCs w:val="20"/>
          <w:lang w:val="pt-BR" w:eastAsia="es-ES"/>
        </w:rPr>
        <w:t xml:space="preserve"> </w:t>
      </w:r>
      <w:r w:rsidR="00470ADC" w:rsidRPr="00D5464D">
        <w:rPr>
          <w:szCs w:val="20"/>
          <w:lang w:val="pt-BR" w:eastAsia="es-ES"/>
        </w:rPr>
        <w:t>dezembro</w:t>
      </w:r>
      <w:r w:rsidRPr="00D5464D">
        <w:rPr>
          <w:szCs w:val="20"/>
          <w:lang w:val="pt-BR" w:eastAsia="es-ES"/>
        </w:rPr>
        <w:t xml:space="preserve"> de 1998</w:t>
      </w:r>
      <w:r w:rsidR="00C91CB1" w:rsidRPr="00D5464D">
        <w:rPr>
          <w:szCs w:val="20"/>
          <w:lang w:val="pt-BR" w:eastAsia="es-ES"/>
        </w:rPr>
        <w:t xml:space="preserve">. Os </w:t>
      </w:r>
      <w:r w:rsidR="002C330E" w:rsidRPr="00D5464D">
        <w:rPr>
          <w:szCs w:val="20"/>
          <w:lang w:val="pt-BR" w:eastAsia="es-ES"/>
        </w:rPr>
        <w:t>processo</w:t>
      </w:r>
      <w:r w:rsidRPr="00D5464D">
        <w:rPr>
          <w:szCs w:val="20"/>
          <w:lang w:val="pt-BR" w:eastAsia="es-ES"/>
        </w:rPr>
        <w:t xml:space="preserve">s </w:t>
      </w:r>
      <w:r w:rsidR="007C02C5" w:rsidRPr="00D5464D">
        <w:rPr>
          <w:szCs w:val="20"/>
          <w:lang w:val="pt-BR" w:eastAsia="es-ES"/>
        </w:rPr>
        <w:t xml:space="preserve">conduzidos </w:t>
      </w:r>
      <w:r w:rsidR="00470ADC" w:rsidRPr="00D5464D">
        <w:rPr>
          <w:szCs w:val="20"/>
          <w:lang w:val="pt-BR" w:eastAsia="es-ES"/>
        </w:rPr>
        <w:t xml:space="preserve">em </w:t>
      </w:r>
      <w:r w:rsidRPr="00D5464D">
        <w:rPr>
          <w:szCs w:val="20"/>
          <w:lang w:val="pt-BR" w:eastAsia="es-ES"/>
        </w:rPr>
        <w:t>1989, 1992, 1993</w:t>
      </w:r>
      <w:r w:rsidR="00E045D9" w:rsidRPr="00D5464D">
        <w:rPr>
          <w:szCs w:val="20"/>
          <w:lang w:val="pt-BR" w:eastAsia="es-ES"/>
        </w:rPr>
        <w:t xml:space="preserve"> e </w:t>
      </w:r>
      <w:r w:rsidRPr="00D5464D">
        <w:rPr>
          <w:szCs w:val="20"/>
          <w:lang w:val="pt-BR" w:eastAsia="es-ES"/>
        </w:rPr>
        <w:t xml:space="preserve">1996 </w:t>
      </w:r>
      <w:r w:rsidR="00737270" w:rsidRPr="00D5464D">
        <w:rPr>
          <w:szCs w:val="20"/>
          <w:lang w:val="pt-BR" w:eastAsia="es-ES"/>
        </w:rPr>
        <w:t>não serão</w:t>
      </w:r>
      <w:r w:rsidRPr="00D5464D">
        <w:rPr>
          <w:szCs w:val="20"/>
          <w:lang w:val="pt-BR" w:eastAsia="es-ES"/>
        </w:rPr>
        <w:t xml:space="preserve"> parte </w:t>
      </w:r>
      <w:r w:rsidR="00470ADC" w:rsidRPr="00D5464D">
        <w:rPr>
          <w:szCs w:val="20"/>
          <w:lang w:val="pt-BR" w:eastAsia="es-ES"/>
        </w:rPr>
        <w:t>d</w:t>
      </w:r>
      <w:r w:rsidR="00A1358C" w:rsidRPr="00D5464D">
        <w:rPr>
          <w:szCs w:val="20"/>
          <w:lang w:val="pt-BR" w:eastAsia="es-ES"/>
        </w:rPr>
        <w:t>a análise</w:t>
      </w:r>
      <w:r w:rsidR="00470ADC" w:rsidRPr="00D5464D">
        <w:rPr>
          <w:szCs w:val="20"/>
          <w:lang w:val="pt-BR" w:eastAsia="es-ES"/>
        </w:rPr>
        <w:t xml:space="preserve"> da </w:t>
      </w:r>
      <w:r w:rsidRPr="00D5464D">
        <w:rPr>
          <w:szCs w:val="20"/>
          <w:lang w:val="pt-BR" w:eastAsia="es-ES"/>
        </w:rPr>
        <w:t xml:space="preserve">Corte por </w:t>
      </w:r>
      <w:r w:rsidR="007C02C5" w:rsidRPr="00D5464D">
        <w:rPr>
          <w:szCs w:val="20"/>
          <w:lang w:val="pt-BR" w:eastAsia="es-ES"/>
        </w:rPr>
        <w:t xml:space="preserve">haverem </w:t>
      </w:r>
      <w:r w:rsidR="00FC4109" w:rsidRPr="00D5464D">
        <w:rPr>
          <w:szCs w:val="20"/>
          <w:lang w:val="pt-BR" w:eastAsia="es-ES"/>
        </w:rPr>
        <w:t xml:space="preserve">sido </w:t>
      </w:r>
      <w:r w:rsidR="00350187" w:rsidRPr="00D5464D">
        <w:rPr>
          <w:szCs w:val="20"/>
          <w:lang w:val="pt-BR" w:eastAsia="es-ES"/>
        </w:rPr>
        <w:t>concluído</w:t>
      </w:r>
      <w:r w:rsidR="00FC4109" w:rsidRPr="00D5464D">
        <w:rPr>
          <w:szCs w:val="20"/>
          <w:lang w:val="pt-BR" w:eastAsia="es-ES"/>
        </w:rPr>
        <w:t>s</w:t>
      </w:r>
      <w:r w:rsidR="00350187" w:rsidRPr="00D5464D">
        <w:rPr>
          <w:szCs w:val="20"/>
          <w:lang w:val="pt-BR" w:eastAsia="es-ES"/>
        </w:rPr>
        <w:t xml:space="preserve"> </w:t>
      </w:r>
      <w:r w:rsidRPr="00D5464D">
        <w:rPr>
          <w:szCs w:val="20"/>
          <w:lang w:val="pt-BR" w:eastAsia="es-ES"/>
        </w:rPr>
        <w:t xml:space="preserve">antes </w:t>
      </w:r>
      <w:r w:rsidR="00470ADC" w:rsidRPr="00D5464D">
        <w:rPr>
          <w:szCs w:val="20"/>
          <w:lang w:val="pt-BR" w:eastAsia="es-ES"/>
        </w:rPr>
        <w:t xml:space="preserve">do </w:t>
      </w:r>
      <w:r w:rsidRPr="00D5464D">
        <w:rPr>
          <w:szCs w:val="20"/>
          <w:lang w:val="pt-BR" w:eastAsia="es-ES"/>
        </w:rPr>
        <w:t>re</w:t>
      </w:r>
      <w:r w:rsidR="00470ADC" w:rsidRPr="00D5464D">
        <w:rPr>
          <w:szCs w:val="20"/>
          <w:lang w:val="pt-BR" w:eastAsia="es-ES"/>
        </w:rPr>
        <w:t>conhecimento</w:t>
      </w:r>
      <w:r w:rsidRPr="00D5464D">
        <w:rPr>
          <w:szCs w:val="20"/>
          <w:lang w:val="pt-BR" w:eastAsia="es-ES"/>
        </w:rPr>
        <w:t xml:space="preserve"> de </w:t>
      </w:r>
      <w:r w:rsidR="00470ADC" w:rsidRPr="00D5464D">
        <w:rPr>
          <w:szCs w:val="20"/>
          <w:lang w:val="pt-BR" w:eastAsia="es-ES"/>
        </w:rPr>
        <w:t>competência</w:t>
      </w:r>
      <w:r w:rsidRPr="00D5464D">
        <w:rPr>
          <w:szCs w:val="20"/>
          <w:lang w:val="pt-BR" w:eastAsia="es-ES"/>
        </w:rPr>
        <w:t xml:space="preserve"> </w:t>
      </w:r>
      <w:r w:rsidR="007C02C5" w:rsidRPr="00D5464D">
        <w:rPr>
          <w:szCs w:val="20"/>
          <w:lang w:val="pt-BR" w:eastAsia="es-ES"/>
        </w:rPr>
        <w:t>d</w:t>
      </w:r>
      <w:r w:rsidR="002C330E" w:rsidRPr="00D5464D">
        <w:rPr>
          <w:szCs w:val="20"/>
          <w:lang w:val="pt-BR" w:eastAsia="es-ES"/>
        </w:rPr>
        <w:t xml:space="preserve">o </w:t>
      </w:r>
      <w:r w:rsidRPr="00D5464D">
        <w:rPr>
          <w:szCs w:val="20"/>
          <w:lang w:val="pt-BR" w:eastAsia="es-ES"/>
        </w:rPr>
        <w:t>Estado,</w:t>
      </w:r>
      <w:r w:rsidR="002C330E" w:rsidRPr="00D5464D">
        <w:rPr>
          <w:szCs w:val="20"/>
          <w:lang w:val="pt-BR" w:eastAsia="es-ES"/>
        </w:rPr>
        <w:t xml:space="preserve"> sem prejuízo</w:t>
      </w:r>
      <w:r w:rsidR="001B63D0" w:rsidRPr="00D5464D">
        <w:rPr>
          <w:szCs w:val="20"/>
          <w:lang w:val="pt-BR" w:eastAsia="es-ES"/>
        </w:rPr>
        <w:t xml:space="preserve"> de poder</w:t>
      </w:r>
      <w:r w:rsidR="007C02C5" w:rsidRPr="00D5464D">
        <w:rPr>
          <w:szCs w:val="20"/>
          <w:lang w:val="pt-BR" w:eastAsia="es-ES"/>
        </w:rPr>
        <w:t>em</w:t>
      </w:r>
      <w:r w:rsidR="001B63D0" w:rsidRPr="00D5464D">
        <w:rPr>
          <w:szCs w:val="20"/>
          <w:lang w:val="pt-BR" w:eastAsia="es-ES"/>
        </w:rPr>
        <w:t xml:space="preserve"> </w:t>
      </w:r>
      <w:r w:rsidRPr="00D5464D">
        <w:rPr>
          <w:szCs w:val="20"/>
          <w:lang w:val="pt-BR" w:eastAsia="es-ES"/>
        </w:rPr>
        <w:t>ser tomados</w:t>
      </w:r>
      <w:r w:rsidR="00470ADC" w:rsidRPr="00D5464D">
        <w:rPr>
          <w:szCs w:val="20"/>
          <w:lang w:val="pt-BR" w:eastAsia="es-ES"/>
        </w:rPr>
        <w:t xml:space="preserve"> em </w:t>
      </w:r>
      <w:r w:rsidR="007C02C5" w:rsidRPr="00D5464D">
        <w:rPr>
          <w:szCs w:val="20"/>
          <w:lang w:val="pt-BR" w:eastAsia="es-ES"/>
        </w:rPr>
        <w:t xml:space="preserve">consideração </w:t>
      </w:r>
      <w:r w:rsidRPr="00D5464D">
        <w:rPr>
          <w:szCs w:val="20"/>
          <w:lang w:val="pt-BR" w:eastAsia="es-ES"/>
        </w:rPr>
        <w:t>como contexto.</w:t>
      </w:r>
      <w:r w:rsidR="00470ADC" w:rsidRPr="00D5464D">
        <w:rPr>
          <w:szCs w:val="20"/>
          <w:lang w:val="pt-BR" w:eastAsia="es-ES"/>
        </w:rPr>
        <w:t xml:space="preserve"> </w:t>
      </w:r>
      <w:r w:rsidR="007C02C5" w:rsidRPr="00D5464D">
        <w:rPr>
          <w:szCs w:val="20"/>
          <w:lang w:val="pt-BR" w:eastAsia="es-ES"/>
        </w:rPr>
        <w:t>N</w:t>
      </w:r>
      <w:r w:rsidR="00737270" w:rsidRPr="00D5464D">
        <w:rPr>
          <w:szCs w:val="20"/>
          <w:lang w:val="pt-BR" w:eastAsia="es-ES"/>
        </w:rPr>
        <w:t>esse</w:t>
      </w:r>
      <w:r w:rsidR="00470ADC" w:rsidRPr="00D5464D">
        <w:rPr>
          <w:szCs w:val="20"/>
          <w:lang w:val="pt-BR" w:eastAsia="es-ES"/>
        </w:rPr>
        <w:t xml:space="preserve"> </w:t>
      </w:r>
      <w:r w:rsidR="0099000B" w:rsidRPr="00D5464D">
        <w:rPr>
          <w:szCs w:val="20"/>
          <w:lang w:val="pt-BR" w:eastAsia="es-ES"/>
        </w:rPr>
        <w:t>sentido,</w:t>
      </w:r>
      <w:r w:rsidR="00E045D9" w:rsidRPr="00D5464D">
        <w:rPr>
          <w:szCs w:val="20"/>
          <w:lang w:val="pt-BR" w:eastAsia="es-ES"/>
        </w:rPr>
        <w:t xml:space="preserve"> no </w:t>
      </w:r>
      <w:r w:rsidR="0099000B" w:rsidRPr="00D5464D">
        <w:rPr>
          <w:szCs w:val="20"/>
          <w:lang w:val="pt-BR" w:eastAsia="es-ES"/>
        </w:rPr>
        <w:t>presente capítulo</w:t>
      </w:r>
      <w:r w:rsidR="002C330E" w:rsidRPr="00D5464D">
        <w:rPr>
          <w:szCs w:val="20"/>
          <w:lang w:val="pt-BR" w:eastAsia="es-ES"/>
        </w:rPr>
        <w:t xml:space="preserve"> a </w:t>
      </w:r>
      <w:r w:rsidR="0099000B" w:rsidRPr="00D5464D">
        <w:rPr>
          <w:szCs w:val="20"/>
          <w:lang w:val="pt-BR" w:eastAsia="es-ES"/>
        </w:rPr>
        <w:t xml:space="preserve">Corte </w:t>
      </w:r>
      <w:r w:rsidR="00470ADC" w:rsidRPr="00D5464D">
        <w:rPr>
          <w:szCs w:val="20"/>
          <w:lang w:val="pt-BR" w:eastAsia="es-ES"/>
        </w:rPr>
        <w:t>analisará</w:t>
      </w:r>
      <w:r w:rsidR="002C330E" w:rsidRPr="00D5464D">
        <w:rPr>
          <w:szCs w:val="20"/>
          <w:lang w:val="pt-BR" w:eastAsia="es-ES"/>
        </w:rPr>
        <w:t xml:space="preserve"> as </w:t>
      </w:r>
      <w:r w:rsidR="00470ADC" w:rsidRPr="00D5464D">
        <w:rPr>
          <w:szCs w:val="20"/>
          <w:lang w:val="pt-BR" w:eastAsia="es-ES"/>
        </w:rPr>
        <w:t>atuações</w:t>
      </w:r>
      <w:r w:rsidR="0099000B" w:rsidRPr="00D5464D">
        <w:rPr>
          <w:szCs w:val="20"/>
          <w:lang w:val="pt-BR" w:eastAsia="es-ES"/>
        </w:rPr>
        <w:t xml:space="preserve"> a partir de 10 de </w:t>
      </w:r>
      <w:r w:rsidR="00470ADC" w:rsidRPr="00D5464D">
        <w:rPr>
          <w:szCs w:val="20"/>
          <w:lang w:val="pt-BR" w:eastAsia="es-ES"/>
        </w:rPr>
        <w:t>dezembro</w:t>
      </w:r>
      <w:r w:rsidR="0099000B" w:rsidRPr="00D5464D">
        <w:rPr>
          <w:szCs w:val="20"/>
          <w:lang w:val="pt-BR" w:eastAsia="es-ES"/>
        </w:rPr>
        <w:t xml:space="preserve"> de 1998 realizadas: i)</w:t>
      </w:r>
      <w:r w:rsidR="00E045D9" w:rsidRPr="00D5464D">
        <w:rPr>
          <w:szCs w:val="20"/>
          <w:lang w:val="pt-BR" w:eastAsia="es-ES"/>
        </w:rPr>
        <w:t xml:space="preserve"> no </w:t>
      </w:r>
      <w:r w:rsidR="002C330E" w:rsidRPr="00D5464D">
        <w:rPr>
          <w:szCs w:val="20"/>
          <w:lang w:val="pt-BR" w:eastAsia="es-ES"/>
        </w:rPr>
        <w:t>processo</w:t>
      </w:r>
      <w:r w:rsidR="0099000B" w:rsidRPr="00D5464D">
        <w:rPr>
          <w:szCs w:val="20"/>
          <w:lang w:val="pt-BR" w:eastAsia="es-ES"/>
        </w:rPr>
        <w:t xml:space="preserve"> penal</w:t>
      </w:r>
      <w:r w:rsidR="00A1358C" w:rsidRPr="00D5464D">
        <w:rPr>
          <w:szCs w:val="20"/>
          <w:lang w:val="pt-BR" w:eastAsia="es-ES"/>
        </w:rPr>
        <w:t xml:space="preserve"> nº </w:t>
      </w:r>
      <w:r w:rsidR="00176C77" w:rsidRPr="00D5464D">
        <w:rPr>
          <w:szCs w:val="20"/>
          <w:lang w:val="pt-BR" w:eastAsia="es-ES"/>
        </w:rPr>
        <w:t>1997.39</w:t>
      </w:r>
      <w:r w:rsidR="00F81532" w:rsidRPr="00D5464D">
        <w:rPr>
          <w:szCs w:val="20"/>
          <w:lang w:val="pt-BR" w:eastAsia="es-ES"/>
        </w:rPr>
        <w:t>.01.831-3</w:t>
      </w:r>
      <w:r w:rsidR="00E045D9" w:rsidRPr="00D5464D">
        <w:rPr>
          <w:szCs w:val="20"/>
          <w:lang w:val="pt-BR" w:eastAsia="es-ES"/>
        </w:rPr>
        <w:t xml:space="preserve"> e </w:t>
      </w:r>
      <w:r w:rsidR="007C02C5" w:rsidRPr="00D5464D">
        <w:rPr>
          <w:szCs w:val="20"/>
          <w:lang w:val="pt-BR" w:eastAsia="es-ES"/>
        </w:rPr>
        <w:t>n</w:t>
      </w:r>
      <w:r w:rsidR="002C330E" w:rsidRPr="00D5464D">
        <w:rPr>
          <w:szCs w:val="20"/>
          <w:lang w:val="pt-BR" w:eastAsia="es-ES"/>
        </w:rPr>
        <w:t xml:space="preserve">a </w:t>
      </w:r>
      <w:r w:rsidR="00737270" w:rsidRPr="00D5464D">
        <w:rPr>
          <w:szCs w:val="20"/>
          <w:lang w:val="pt-BR" w:eastAsia="es-ES"/>
        </w:rPr>
        <w:t>Ação</w:t>
      </w:r>
      <w:r w:rsidR="004233E4" w:rsidRPr="00D5464D">
        <w:rPr>
          <w:szCs w:val="20"/>
          <w:lang w:val="pt-BR" w:eastAsia="es-ES"/>
        </w:rPr>
        <w:t xml:space="preserve"> Civil Pública</w:t>
      </w:r>
      <w:r w:rsidR="00B44E89" w:rsidRPr="00D5464D">
        <w:rPr>
          <w:szCs w:val="20"/>
          <w:lang w:val="pt-BR" w:eastAsia="es-ES"/>
        </w:rPr>
        <w:t>,</w:t>
      </w:r>
      <w:r w:rsidR="004233E4" w:rsidRPr="00D5464D">
        <w:rPr>
          <w:szCs w:val="20"/>
          <w:lang w:val="pt-BR" w:eastAsia="es-ES"/>
        </w:rPr>
        <w:t xml:space="preserve"> </w:t>
      </w:r>
      <w:r w:rsidR="0099000B" w:rsidRPr="00D5464D">
        <w:rPr>
          <w:szCs w:val="20"/>
          <w:lang w:val="pt-BR" w:eastAsia="es-ES"/>
        </w:rPr>
        <w:t>iniciado</w:t>
      </w:r>
      <w:r w:rsidR="004233E4" w:rsidRPr="00D5464D">
        <w:rPr>
          <w:szCs w:val="20"/>
          <w:lang w:val="pt-BR" w:eastAsia="es-ES"/>
        </w:rPr>
        <w:t>s</w:t>
      </w:r>
      <w:r w:rsidR="00470ADC" w:rsidRPr="00D5464D">
        <w:rPr>
          <w:szCs w:val="20"/>
          <w:lang w:val="pt-BR" w:eastAsia="es-ES"/>
        </w:rPr>
        <w:t xml:space="preserve"> em </w:t>
      </w:r>
      <w:r w:rsidR="0099000B" w:rsidRPr="00D5464D">
        <w:rPr>
          <w:szCs w:val="20"/>
          <w:lang w:val="pt-BR" w:eastAsia="es-ES"/>
        </w:rPr>
        <w:t>1997</w:t>
      </w:r>
      <w:r w:rsidR="00B44E89" w:rsidRPr="00D5464D">
        <w:rPr>
          <w:szCs w:val="20"/>
          <w:lang w:val="pt-BR" w:eastAsia="es-ES"/>
        </w:rPr>
        <w:t>,</w:t>
      </w:r>
      <w:r w:rsidR="0099000B" w:rsidRPr="00D5464D">
        <w:rPr>
          <w:szCs w:val="20"/>
          <w:lang w:val="pt-BR" w:eastAsia="es-ES"/>
        </w:rPr>
        <w:t xml:space="preserve"> </w:t>
      </w:r>
      <w:r w:rsidR="007C02C5" w:rsidRPr="00D5464D">
        <w:rPr>
          <w:szCs w:val="20"/>
          <w:lang w:val="pt-BR" w:eastAsia="es-ES"/>
        </w:rPr>
        <w:t xml:space="preserve">com </w:t>
      </w:r>
      <w:r w:rsidR="002C330E" w:rsidRPr="00D5464D">
        <w:rPr>
          <w:szCs w:val="20"/>
          <w:lang w:val="pt-BR" w:eastAsia="es-ES"/>
        </w:rPr>
        <w:t>respeito</w:t>
      </w:r>
      <w:r w:rsidR="00470ADC" w:rsidRPr="00D5464D">
        <w:rPr>
          <w:szCs w:val="20"/>
          <w:lang w:val="pt-BR" w:eastAsia="es-ES"/>
        </w:rPr>
        <w:t xml:space="preserve"> </w:t>
      </w:r>
      <w:r w:rsidR="007C02C5" w:rsidRPr="00D5464D">
        <w:rPr>
          <w:szCs w:val="20"/>
          <w:lang w:val="pt-BR" w:eastAsia="es-ES"/>
        </w:rPr>
        <w:t>à</w:t>
      </w:r>
      <w:r w:rsidR="00470ADC" w:rsidRPr="00D5464D">
        <w:rPr>
          <w:szCs w:val="20"/>
          <w:lang w:val="pt-BR" w:eastAsia="es-ES"/>
        </w:rPr>
        <w:t xml:space="preserve"> </w:t>
      </w:r>
      <w:r w:rsidR="00AB4663" w:rsidRPr="00D5464D">
        <w:rPr>
          <w:szCs w:val="20"/>
          <w:lang w:val="pt-BR" w:eastAsia="es-ES"/>
        </w:rPr>
        <w:t>fiscalização</w:t>
      </w:r>
      <w:r w:rsidR="0099000B" w:rsidRPr="00D5464D">
        <w:rPr>
          <w:szCs w:val="20"/>
          <w:lang w:val="pt-BR" w:eastAsia="es-ES"/>
        </w:rPr>
        <w:t xml:space="preserve"> de 10 de </w:t>
      </w:r>
      <w:r w:rsidR="002C330E" w:rsidRPr="00D5464D">
        <w:rPr>
          <w:szCs w:val="20"/>
          <w:lang w:val="pt-BR" w:eastAsia="es-ES"/>
        </w:rPr>
        <w:t>março</w:t>
      </w:r>
      <w:r w:rsidR="0099000B" w:rsidRPr="00D5464D">
        <w:rPr>
          <w:szCs w:val="20"/>
          <w:lang w:val="pt-BR" w:eastAsia="es-ES"/>
        </w:rPr>
        <w:t xml:space="preserve"> de 1997</w:t>
      </w:r>
      <w:r w:rsidR="002A0C2B" w:rsidRPr="00D5464D">
        <w:rPr>
          <w:szCs w:val="20"/>
          <w:lang w:val="pt-BR" w:eastAsia="es-ES"/>
        </w:rPr>
        <w:t xml:space="preserve"> e </w:t>
      </w:r>
      <w:r w:rsidR="0099000B" w:rsidRPr="00D5464D">
        <w:rPr>
          <w:szCs w:val="20"/>
          <w:lang w:val="pt-BR" w:eastAsia="es-ES"/>
        </w:rPr>
        <w:t>ii)</w:t>
      </w:r>
      <w:r w:rsidR="002C330E" w:rsidRPr="00D5464D">
        <w:rPr>
          <w:szCs w:val="20"/>
          <w:lang w:val="pt-BR" w:eastAsia="es-ES"/>
        </w:rPr>
        <w:t xml:space="preserve"> os processo</w:t>
      </w:r>
      <w:r w:rsidR="004233E4" w:rsidRPr="00D5464D">
        <w:rPr>
          <w:szCs w:val="20"/>
          <w:lang w:val="pt-BR" w:eastAsia="es-ES"/>
        </w:rPr>
        <w:t>s iniciados</w:t>
      </w:r>
      <w:r w:rsidR="00470ADC" w:rsidRPr="00D5464D">
        <w:rPr>
          <w:szCs w:val="20"/>
          <w:lang w:val="pt-BR" w:eastAsia="es-ES"/>
        </w:rPr>
        <w:t xml:space="preserve"> em </w:t>
      </w:r>
      <w:r w:rsidR="00E045D9" w:rsidRPr="00D5464D">
        <w:rPr>
          <w:szCs w:val="20"/>
          <w:lang w:val="pt-BR" w:eastAsia="es-ES"/>
        </w:rPr>
        <w:t xml:space="preserve">virtude </w:t>
      </w:r>
      <w:r w:rsidR="00470ADC" w:rsidRPr="00D5464D">
        <w:rPr>
          <w:szCs w:val="20"/>
          <w:lang w:val="pt-BR" w:eastAsia="es-ES"/>
        </w:rPr>
        <w:t xml:space="preserve">da </w:t>
      </w:r>
      <w:r w:rsidR="00AB4663" w:rsidRPr="00D5464D">
        <w:rPr>
          <w:szCs w:val="20"/>
          <w:lang w:val="pt-BR" w:eastAsia="es-ES"/>
        </w:rPr>
        <w:t>fiscalização</w:t>
      </w:r>
      <w:r w:rsidR="004233E4" w:rsidRPr="00D5464D">
        <w:rPr>
          <w:szCs w:val="20"/>
          <w:lang w:val="pt-BR" w:eastAsia="es-ES"/>
        </w:rPr>
        <w:t xml:space="preserve"> de 15 de </w:t>
      </w:r>
      <w:r w:rsidR="002C330E" w:rsidRPr="00D5464D">
        <w:rPr>
          <w:szCs w:val="20"/>
          <w:lang w:val="pt-BR" w:eastAsia="es-ES"/>
        </w:rPr>
        <w:t>março</w:t>
      </w:r>
      <w:r w:rsidR="004233E4" w:rsidRPr="00D5464D">
        <w:rPr>
          <w:szCs w:val="20"/>
          <w:lang w:val="pt-BR" w:eastAsia="es-ES"/>
        </w:rPr>
        <w:t xml:space="preserve"> de 2000.</w:t>
      </w:r>
      <w:r w:rsidR="0099000B" w:rsidRPr="00D5464D">
        <w:rPr>
          <w:b/>
          <w:szCs w:val="20"/>
          <w:lang w:val="pt-BR" w:eastAsia="es-ES"/>
        </w:rPr>
        <w:t xml:space="preserve"> </w:t>
      </w:r>
    </w:p>
    <w:p w14:paraId="2CACC912" w14:textId="77777777" w:rsidR="00D81AA1" w:rsidRPr="00D5464D" w:rsidRDefault="00D81AA1" w:rsidP="00D81AA1">
      <w:pPr>
        <w:tabs>
          <w:tab w:val="clear" w:pos="4419"/>
          <w:tab w:val="clear" w:pos="8838"/>
        </w:tabs>
        <w:contextualSpacing/>
        <w:jc w:val="both"/>
        <w:rPr>
          <w:szCs w:val="20"/>
          <w:lang w:val="pt-BR" w:eastAsia="es-ES"/>
        </w:rPr>
      </w:pPr>
    </w:p>
    <w:p w14:paraId="7BAA9412" w14:textId="56AD9614" w:rsidR="00D81AA1" w:rsidRPr="00D5464D" w:rsidRDefault="00D81AA1" w:rsidP="00A47A97">
      <w:pPr>
        <w:pStyle w:val="Ttulo3"/>
        <w:rPr>
          <w:lang w:val="pt-BR"/>
        </w:rPr>
      </w:pPr>
      <w:bookmarkStart w:id="422" w:name="_Toc468433937"/>
      <w:r w:rsidRPr="00D5464D">
        <w:rPr>
          <w:lang w:val="pt-BR" w:eastAsia="es-ES"/>
        </w:rPr>
        <w:t>B.1</w:t>
      </w:r>
      <w:r w:rsidR="00CB7E29" w:rsidRPr="00D5464D">
        <w:rPr>
          <w:lang w:val="pt-BR" w:eastAsia="es-ES"/>
        </w:rPr>
        <w:t>.</w:t>
      </w:r>
      <w:r w:rsidRPr="00D5464D">
        <w:rPr>
          <w:lang w:val="pt-BR" w:eastAsia="es-ES"/>
        </w:rPr>
        <w:t xml:space="preserve"> </w:t>
      </w:r>
      <w:r w:rsidR="00470ADC" w:rsidRPr="00D5464D">
        <w:rPr>
          <w:lang w:val="pt-BR" w:eastAsia="es-ES"/>
        </w:rPr>
        <w:t>Devida diligência</w:t>
      </w:r>
      <w:bookmarkEnd w:id="422"/>
    </w:p>
    <w:p w14:paraId="7FCB2378" w14:textId="77777777" w:rsidR="00DE3E58" w:rsidRPr="00D5464D" w:rsidRDefault="00DE3E58" w:rsidP="00DE3E58">
      <w:pPr>
        <w:tabs>
          <w:tab w:val="clear" w:pos="4419"/>
          <w:tab w:val="clear" w:pos="8838"/>
        </w:tabs>
        <w:contextualSpacing/>
        <w:jc w:val="both"/>
        <w:rPr>
          <w:szCs w:val="20"/>
          <w:lang w:val="pt-BR"/>
        </w:rPr>
      </w:pPr>
    </w:p>
    <w:p w14:paraId="3A5B3340" w14:textId="643EE4E0" w:rsidR="00D81AA1" w:rsidRPr="00D5464D" w:rsidRDefault="00470ADC" w:rsidP="00D81AA1">
      <w:pPr>
        <w:numPr>
          <w:ilvl w:val="0"/>
          <w:numId w:val="1"/>
        </w:numPr>
        <w:tabs>
          <w:tab w:val="clear" w:pos="4419"/>
          <w:tab w:val="clear" w:pos="8838"/>
        </w:tabs>
        <w:contextualSpacing/>
        <w:jc w:val="both"/>
        <w:rPr>
          <w:szCs w:val="20"/>
          <w:lang w:val="pt-BR"/>
        </w:rPr>
      </w:pPr>
      <w:r w:rsidRPr="00D5464D">
        <w:rPr>
          <w:rFonts w:cs="Arial"/>
          <w:szCs w:val="20"/>
          <w:lang w:val="pt-BR"/>
        </w:rPr>
        <w:t xml:space="preserve">A </w:t>
      </w:r>
      <w:r w:rsidR="00D81AA1" w:rsidRPr="00D5464D">
        <w:rPr>
          <w:spacing w:val="-3"/>
          <w:szCs w:val="20"/>
          <w:lang w:val="pt-BR"/>
        </w:rPr>
        <w:t xml:space="preserve">Corte </w:t>
      </w:r>
      <w:r w:rsidR="00E045D9" w:rsidRPr="00D5464D">
        <w:rPr>
          <w:spacing w:val="-3"/>
          <w:szCs w:val="20"/>
          <w:lang w:val="pt-BR"/>
        </w:rPr>
        <w:t>recorda</w:t>
      </w:r>
      <w:r w:rsidR="00D81AA1" w:rsidRPr="00D5464D">
        <w:rPr>
          <w:spacing w:val="-3"/>
          <w:szCs w:val="20"/>
          <w:lang w:val="pt-BR"/>
        </w:rPr>
        <w:t xml:space="preserve"> que</w:t>
      </w:r>
      <w:r w:rsidR="00E2227B" w:rsidRPr="00D5464D">
        <w:rPr>
          <w:spacing w:val="-3"/>
          <w:szCs w:val="20"/>
          <w:lang w:val="pt-BR"/>
        </w:rPr>
        <w:t>,</w:t>
      </w:r>
      <w:r w:rsidRPr="00D5464D">
        <w:rPr>
          <w:spacing w:val="-3"/>
          <w:szCs w:val="20"/>
          <w:lang w:val="pt-BR"/>
        </w:rPr>
        <w:t xml:space="preserve"> </w:t>
      </w:r>
      <w:r w:rsidR="00E328B9" w:rsidRPr="00D5464D">
        <w:rPr>
          <w:spacing w:val="-3"/>
          <w:szCs w:val="20"/>
          <w:lang w:val="pt-BR"/>
        </w:rPr>
        <w:t xml:space="preserve">como </w:t>
      </w:r>
      <w:r w:rsidR="002C330E" w:rsidRPr="00D5464D">
        <w:rPr>
          <w:spacing w:val="-3"/>
          <w:szCs w:val="20"/>
          <w:lang w:val="pt-BR"/>
        </w:rPr>
        <w:t>a proteção</w:t>
      </w:r>
      <w:r w:rsidR="00D81AA1" w:rsidRPr="00D5464D">
        <w:rPr>
          <w:spacing w:val="-3"/>
          <w:szCs w:val="20"/>
          <w:lang w:val="pt-BR"/>
        </w:rPr>
        <w:t xml:space="preserve"> contra</w:t>
      </w:r>
      <w:r w:rsidR="002C330E" w:rsidRPr="00D5464D">
        <w:rPr>
          <w:spacing w:val="-3"/>
          <w:szCs w:val="20"/>
          <w:lang w:val="pt-BR"/>
        </w:rPr>
        <w:t xml:space="preserve"> a </w:t>
      </w:r>
      <w:r w:rsidR="000B376D" w:rsidRPr="00D5464D">
        <w:rPr>
          <w:spacing w:val="-3"/>
          <w:szCs w:val="20"/>
          <w:lang w:val="pt-BR"/>
        </w:rPr>
        <w:t>escravidão</w:t>
      </w:r>
      <w:r w:rsidR="00E045D9" w:rsidRPr="00D5464D">
        <w:rPr>
          <w:spacing w:val="-3"/>
          <w:szCs w:val="20"/>
          <w:lang w:val="pt-BR"/>
        </w:rPr>
        <w:t xml:space="preserve"> e </w:t>
      </w:r>
      <w:r w:rsidR="00230C71" w:rsidRPr="00D5464D">
        <w:rPr>
          <w:spacing w:val="-3"/>
          <w:szCs w:val="20"/>
          <w:lang w:val="pt-BR"/>
        </w:rPr>
        <w:t>suas formas</w:t>
      </w:r>
      <w:r w:rsidR="00D81AA1" w:rsidRPr="00D5464D">
        <w:rPr>
          <w:spacing w:val="-3"/>
          <w:szCs w:val="20"/>
          <w:lang w:val="pt-BR"/>
        </w:rPr>
        <w:t xml:space="preserve"> </w:t>
      </w:r>
      <w:r w:rsidR="006665EF" w:rsidRPr="00D5464D">
        <w:rPr>
          <w:spacing w:val="-3"/>
          <w:szCs w:val="20"/>
          <w:lang w:val="pt-BR"/>
        </w:rPr>
        <w:t>análogas</w:t>
      </w:r>
      <w:r w:rsidR="00350187" w:rsidRPr="00D5464D">
        <w:rPr>
          <w:spacing w:val="-3"/>
          <w:szCs w:val="20"/>
          <w:lang w:val="pt-BR"/>
        </w:rPr>
        <w:t xml:space="preserve"> </w:t>
      </w:r>
      <w:r w:rsidRPr="00D5464D">
        <w:rPr>
          <w:spacing w:val="-3"/>
          <w:szCs w:val="20"/>
          <w:lang w:val="pt-BR"/>
        </w:rPr>
        <w:t>é</w:t>
      </w:r>
      <w:r w:rsidR="00E045D9" w:rsidRPr="00D5464D">
        <w:rPr>
          <w:spacing w:val="-3"/>
          <w:szCs w:val="20"/>
          <w:lang w:val="pt-BR"/>
        </w:rPr>
        <w:t xml:space="preserve"> uma </w:t>
      </w:r>
      <w:r w:rsidR="002C330E" w:rsidRPr="00D5464D">
        <w:rPr>
          <w:spacing w:val="-3"/>
          <w:szCs w:val="20"/>
          <w:lang w:val="pt-BR"/>
        </w:rPr>
        <w:t>obrigação</w:t>
      </w:r>
      <w:r w:rsidR="00D81AA1" w:rsidRPr="00D5464D">
        <w:rPr>
          <w:spacing w:val="-3"/>
          <w:szCs w:val="20"/>
          <w:lang w:val="pt-BR"/>
        </w:rPr>
        <w:t xml:space="preserve"> internacional </w:t>
      </w:r>
      <w:r w:rsidR="00D81AA1" w:rsidRPr="00D5464D">
        <w:rPr>
          <w:i/>
          <w:iCs/>
          <w:spacing w:val="-3"/>
          <w:szCs w:val="20"/>
          <w:lang w:val="pt-BR"/>
        </w:rPr>
        <w:t xml:space="preserve">erga omnes, </w:t>
      </w:r>
      <w:r w:rsidR="00D81AA1" w:rsidRPr="00D5464D">
        <w:rPr>
          <w:spacing w:val="-3"/>
          <w:szCs w:val="20"/>
          <w:lang w:val="pt-BR"/>
        </w:rPr>
        <w:t>derivada “</w:t>
      </w:r>
      <w:r w:rsidR="00E045D9" w:rsidRPr="00D5464D">
        <w:rPr>
          <w:spacing w:val="-3"/>
          <w:szCs w:val="20"/>
          <w:lang w:val="pt-BR"/>
        </w:rPr>
        <w:t xml:space="preserve">dos </w:t>
      </w:r>
      <w:r w:rsidR="002C330E" w:rsidRPr="00D5464D">
        <w:rPr>
          <w:spacing w:val="-3"/>
          <w:szCs w:val="20"/>
          <w:lang w:val="pt-BR"/>
        </w:rPr>
        <w:t>princípio</w:t>
      </w:r>
      <w:r w:rsidR="00D81AA1" w:rsidRPr="00D5464D">
        <w:rPr>
          <w:spacing w:val="-3"/>
          <w:szCs w:val="20"/>
          <w:lang w:val="pt-BR"/>
        </w:rPr>
        <w:t>s</w:t>
      </w:r>
      <w:r w:rsidR="00E045D9" w:rsidRPr="00D5464D">
        <w:rPr>
          <w:spacing w:val="-3"/>
          <w:szCs w:val="20"/>
          <w:lang w:val="pt-BR"/>
        </w:rPr>
        <w:t xml:space="preserve"> e </w:t>
      </w:r>
      <w:r w:rsidR="002C330E" w:rsidRPr="00D5464D">
        <w:rPr>
          <w:spacing w:val="-3"/>
          <w:szCs w:val="20"/>
          <w:lang w:val="pt-BR"/>
        </w:rPr>
        <w:t>regras</w:t>
      </w:r>
      <w:r w:rsidR="00D81AA1" w:rsidRPr="00D5464D">
        <w:rPr>
          <w:spacing w:val="-3"/>
          <w:szCs w:val="20"/>
          <w:lang w:val="pt-BR"/>
        </w:rPr>
        <w:t xml:space="preserve"> relativos</w:t>
      </w:r>
      <w:r w:rsidR="00E045D9" w:rsidRPr="00D5464D">
        <w:rPr>
          <w:spacing w:val="-3"/>
          <w:szCs w:val="20"/>
          <w:lang w:val="pt-BR"/>
        </w:rPr>
        <w:t xml:space="preserve"> aos </w:t>
      </w:r>
      <w:r w:rsidRPr="00D5464D">
        <w:rPr>
          <w:spacing w:val="-3"/>
          <w:szCs w:val="20"/>
          <w:lang w:val="pt-BR"/>
        </w:rPr>
        <w:t>direito</w:t>
      </w:r>
      <w:r w:rsidR="00D81AA1" w:rsidRPr="00D5464D">
        <w:rPr>
          <w:spacing w:val="-3"/>
          <w:szCs w:val="20"/>
          <w:lang w:val="pt-BR"/>
        </w:rPr>
        <w:t>s básicos</w:t>
      </w:r>
      <w:r w:rsidRPr="00D5464D">
        <w:rPr>
          <w:spacing w:val="-3"/>
          <w:szCs w:val="20"/>
          <w:lang w:val="pt-BR"/>
        </w:rPr>
        <w:t xml:space="preserve"> da </w:t>
      </w:r>
      <w:r w:rsidR="002C330E" w:rsidRPr="00D5464D">
        <w:rPr>
          <w:spacing w:val="-3"/>
          <w:szCs w:val="20"/>
          <w:lang w:val="pt-BR"/>
        </w:rPr>
        <w:t>pessoa</w:t>
      </w:r>
      <w:r w:rsidR="00D81AA1" w:rsidRPr="00D5464D">
        <w:rPr>
          <w:spacing w:val="-3"/>
          <w:szCs w:val="20"/>
          <w:lang w:val="pt-BR"/>
        </w:rPr>
        <w:t xml:space="preserve"> humana</w:t>
      </w:r>
      <w:r w:rsidR="00E2227B" w:rsidRPr="00D5464D">
        <w:rPr>
          <w:spacing w:val="-3"/>
          <w:szCs w:val="20"/>
          <w:lang w:val="pt-BR"/>
        </w:rPr>
        <w:t>”</w:t>
      </w:r>
      <w:r w:rsidR="00D81AA1" w:rsidRPr="00D5464D">
        <w:rPr>
          <w:spacing w:val="-3"/>
          <w:szCs w:val="20"/>
          <w:lang w:val="pt-BR"/>
        </w:rPr>
        <w:t xml:space="preserve"> (</w:t>
      </w:r>
      <w:r w:rsidR="00C85EA9" w:rsidRPr="00D5464D">
        <w:rPr>
          <w:spacing w:val="-3"/>
          <w:szCs w:val="20"/>
          <w:lang w:val="pt-BR"/>
        </w:rPr>
        <w:t xml:space="preserve">par. </w:t>
      </w:r>
      <w:r w:rsidR="00D036E7" w:rsidRPr="00D5464D">
        <w:rPr>
          <w:spacing w:val="-3"/>
          <w:szCs w:val="20"/>
          <w:lang w:val="pt-BR"/>
        </w:rPr>
        <w:t>249</w:t>
      </w:r>
      <w:r w:rsidR="00D036E7" w:rsidRPr="00D5464D">
        <w:rPr>
          <w:i/>
          <w:spacing w:val="-3"/>
          <w:szCs w:val="20"/>
          <w:lang w:val="pt-BR"/>
        </w:rPr>
        <w:t xml:space="preserve"> supra</w:t>
      </w:r>
      <w:r w:rsidR="00D036E7" w:rsidRPr="00D5464D">
        <w:rPr>
          <w:spacing w:val="-3"/>
          <w:szCs w:val="20"/>
          <w:lang w:val="pt-BR"/>
        </w:rPr>
        <w:t>)</w:t>
      </w:r>
      <w:r w:rsidR="00D81AA1" w:rsidRPr="00D5464D">
        <w:rPr>
          <w:spacing w:val="-3"/>
          <w:szCs w:val="20"/>
          <w:lang w:val="pt-BR"/>
        </w:rPr>
        <w:t xml:space="preserve">, </w:t>
      </w:r>
      <w:r w:rsidRPr="00D5464D">
        <w:rPr>
          <w:spacing w:val="-3"/>
          <w:szCs w:val="20"/>
          <w:lang w:val="pt-BR"/>
        </w:rPr>
        <w:t>quando</w:t>
      </w:r>
      <w:r w:rsidR="002C330E" w:rsidRPr="00D5464D">
        <w:rPr>
          <w:spacing w:val="-3"/>
          <w:szCs w:val="20"/>
          <w:lang w:val="pt-BR"/>
        </w:rPr>
        <w:t xml:space="preserve"> os </w:t>
      </w:r>
      <w:r w:rsidR="00D81AA1" w:rsidRPr="00D5464D">
        <w:rPr>
          <w:spacing w:val="-3"/>
          <w:szCs w:val="20"/>
          <w:lang w:val="pt-BR"/>
        </w:rPr>
        <w:t xml:space="preserve">Estados </w:t>
      </w:r>
      <w:r w:rsidR="00E328B9" w:rsidRPr="00D5464D">
        <w:rPr>
          <w:spacing w:val="-3"/>
          <w:szCs w:val="20"/>
          <w:lang w:val="pt-BR"/>
        </w:rPr>
        <w:t>tomam</w:t>
      </w:r>
      <w:r w:rsidR="00FF1290" w:rsidRPr="00D5464D">
        <w:rPr>
          <w:spacing w:val="-3"/>
          <w:szCs w:val="20"/>
          <w:lang w:val="pt-BR"/>
        </w:rPr>
        <w:t xml:space="preserve"> </w:t>
      </w:r>
      <w:r w:rsidRPr="00D5464D">
        <w:rPr>
          <w:spacing w:val="-3"/>
          <w:szCs w:val="20"/>
          <w:lang w:val="pt-BR"/>
        </w:rPr>
        <w:t>conhecimento</w:t>
      </w:r>
      <w:r w:rsidR="00D81AA1" w:rsidRPr="00D5464D">
        <w:rPr>
          <w:spacing w:val="-3"/>
          <w:szCs w:val="20"/>
          <w:lang w:val="pt-BR"/>
        </w:rPr>
        <w:t xml:space="preserve"> de</w:t>
      </w:r>
      <w:r w:rsidR="00E045D9" w:rsidRPr="00D5464D">
        <w:rPr>
          <w:spacing w:val="-3"/>
          <w:szCs w:val="20"/>
          <w:lang w:val="pt-BR"/>
        </w:rPr>
        <w:t xml:space="preserve"> um </w:t>
      </w:r>
      <w:r w:rsidRPr="00D5464D">
        <w:rPr>
          <w:spacing w:val="-3"/>
          <w:szCs w:val="20"/>
          <w:lang w:val="pt-BR"/>
        </w:rPr>
        <w:t xml:space="preserve">ato </w:t>
      </w:r>
      <w:r w:rsidR="00D81AA1" w:rsidRPr="00D5464D">
        <w:rPr>
          <w:spacing w:val="-3"/>
          <w:szCs w:val="20"/>
          <w:lang w:val="pt-BR"/>
        </w:rPr>
        <w:t xml:space="preserve">constitutivo de </w:t>
      </w:r>
      <w:r w:rsidR="000B376D" w:rsidRPr="00D5464D">
        <w:rPr>
          <w:spacing w:val="-3"/>
          <w:szCs w:val="20"/>
          <w:lang w:val="pt-BR"/>
        </w:rPr>
        <w:t>escravidão</w:t>
      </w:r>
      <w:r w:rsidR="00D81AA1" w:rsidRPr="00D5464D">
        <w:rPr>
          <w:spacing w:val="-3"/>
          <w:szCs w:val="20"/>
          <w:lang w:val="pt-BR"/>
        </w:rPr>
        <w:t xml:space="preserve">, </w:t>
      </w:r>
      <w:r w:rsidR="000B376D" w:rsidRPr="00D5464D">
        <w:rPr>
          <w:spacing w:val="-3"/>
          <w:szCs w:val="20"/>
          <w:lang w:val="pt-BR"/>
        </w:rPr>
        <w:t>servidão</w:t>
      </w:r>
      <w:r w:rsidR="00D81AA1" w:rsidRPr="00D5464D">
        <w:rPr>
          <w:spacing w:val="-3"/>
          <w:szCs w:val="20"/>
          <w:lang w:val="pt-BR"/>
        </w:rPr>
        <w:t xml:space="preserve"> o</w:t>
      </w:r>
      <w:r w:rsidR="00E2227B" w:rsidRPr="00D5464D">
        <w:rPr>
          <w:spacing w:val="-3"/>
          <w:szCs w:val="20"/>
          <w:lang w:val="pt-BR"/>
        </w:rPr>
        <w:t>u</w:t>
      </w:r>
      <w:r w:rsidR="004F1CC2" w:rsidRPr="00D5464D">
        <w:rPr>
          <w:spacing w:val="-3"/>
          <w:szCs w:val="20"/>
          <w:lang w:val="pt-BR"/>
        </w:rPr>
        <w:t xml:space="preserve"> tráfico de pessoas</w:t>
      </w:r>
      <w:r w:rsidR="00D81AA1" w:rsidRPr="00D5464D">
        <w:rPr>
          <w:spacing w:val="-3"/>
          <w:szCs w:val="20"/>
          <w:lang w:val="pt-BR"/>
        </w:rPr>
        <w:t>,</w:t>
      </w:r>
      <w:r w:rsidR="00E045D9" w:rsidRPr="00D5464D">
        <w:rPr>
          <w:spacing w:val="-3"/>
          <w:szCs w:val="20"/>
          <w:lang w:val="pt-BR"/>
        </w:rPr>
        <w:t xml:space="preserve"> nos termo</w:t>
      </w:r>
      <w:r w:rsidR="00D81AA1" w:rsidRPr="00D5464D">
        <w:rPr>
          <w:spacing w:val="-3"/>
          <w:szCs w:val="20"/>
          <w:lang w:val="pt-BR"/>
        </w:rPr>
        <w:t>s</w:t>
      </w:r>
      <w:r w:rsidRPr="00D5464D">
        <w:rPr>
          <w:spacing w:val="-3"/>
          <w:szCs w:val="20"/>
          <w:lang w:val="pt-BR"/>
        </w:rPr>
        <w:t xml:space="preserve"> do dispost</w:t>
      </w:r>
      <w:r w:rsidR="00D81AA1" w:rsidRPr="00D5464D">
        <w:rPr>
          <w:spacing w:val="-3"/>
          <w:szCs w:val="20"/>
          <w:lang w:val="pt-BR"/>
        </w:rPr>
        <w:t>o</w:t>
      </w:r>
      <w:r w:rsidR="002C330E" w:rsidRPr="00D5464D">
        <w:rPr>
          <w:spacing w:val="-3"/>
          <w:szCs w:val="20"/>
          <w:lang w:val="pt-BR"/>
        </w:rPr>
        <w:t xml:space="preserve"> </w:t>
      </w:r>
      <w:r w:rsidR="00E2227B" w:rsidRPr="00D5464D">
        <w:rPr>
          <w:spacing w:val="-3"/>
          <w:szCs w:val="20"/>
          <w:lang w:val="pt-BR"/>
        </w:rPr>
        <w:t xml:space="preserve">no </w:t>
      </w:r>
      <w:r w:rsidRPr="00D5464D">
        <w:rPr>
          <w:spacing w:val="-3"/>
          <w:szCs w:val="20"/>
          <w:lang w:val="pt-BR"/>
        </w:rPr>
        <w:t>artigo</w:t>
      </w:r>
      <w:r w:rsidR="00D81AA1" w:rsidRPr="00D5464D">
        <w:rPr>
          <w:spacing w:val="-3"/>
          <w:szCs w:val="20"/>
          <w:lang w:val="pt-BR"/>
        </w:rPr>
        <w:t xml:space="preserve"> 6</w:t>
      </w:r>
      <w:r w:rsidRPr="00D5464D">
        <w:rPr>
          <w:spacing w:val="-3"/>
          <w:szCs w:val="20"/>
          <w:lang w:val="pt-BR"/>
        </w:rPr>
        <w:t xml:space="preserve"> da </w:t>
      </w:r>
      <w:r w:rsidR="00D81AA1" w:rsidRPr="00D5464D">
        <w:rPr>
          <w:spacing w:val="-3"/>
          <w:szCs w:val="20"/>
          <w:lang w:val="pt-BR"/>
        </w:rPr>
        <w:t>Conven</w:t>
      </w:r>
      <w:r w:rsidRPr="00D5464D">
        <w:rPr>
          <w:spacing w:val="-3"/>
          <w:szCs w:val="20"/>
          <w:lang w:val="pt-BR"/>
        </w:rPr>
        <w:t>ção</w:t>
      </w:r>
      <w:r w:rsidR="00D81AA1" w:rsidRPr="00D5464D">
        <w:rPr>
          <w:spacing w:val="-3"/>
          <w:szCs w:val="20"/>
          <w:lang w:val="pt-BR"/>
        </w:rPr>
        <w:t xml:space="preserve"> Americana, </w:t>
      </w:r>
      <w:r w:rsidRPr="00D5464D">
        <w:rPr>
          <w:spacing w:val="-3"/>
          <w:szCs w:val="20"/>
          <w:lang w:val="pt-BR"/>
        </w:rPr>
        <w:t>devem</w:t>
      </w:r>
      <w:r w:rsidR="00D81AA1" w:rsidRPr="00D5464D">
        <w:rPr>
          <w:spacing w:val="-3"/>
          <w:szCs w:val="20"/>
          <w:lang w:val="pt-BR"/>
        </w:rPr>
        <w:t xml:space="preserve"> iniciar</w:t>
      </w:r>
      <w:r w:rsidR="00350187" w:rsidRPr="00D5464D">
        <w:rPr>
          <w:spacing w:val="-3"/>
          <w:szCs w:val="20"/>
          <w:lang w:val="pt-BR"/>
        </w:rPr>
        <w:t xml:space="preserve"> </w:t>
      </w:r>
      <w:r w:rsidR="00350187" w:rsidRPr="00D5464D">
        <w:rPr>
          <w:i/>
          <w:spacing w:val="-3"/>
          <w:szCs w:val="20"/>
          <w:lang w:val="pt-BR"/>
        </w:rPr>
        <w:t>ex officio</w:t>
      </w:r>
      <w:r w:rsidR="002C330E" w:rsidRPr="00D5464D">
        <w:rPr>
          <w:spacing w:val="-3"/>
          <w:szCs w:val="20"/>
          <w:lang w:val="pt-BR"/>
        </w:rPr>
        <w:t xml:space="preserve"> a </w:t>
      </w:r>
      <w:r w:rsidR="00D81AA1" w:rsidRPr="00D5464D">
        <w:rPr>
          <w:spacing w:val="-3"/>
          <w:szCs w:val="20"/>
          <w:lang w:val="pt-BR"/>
        </w:rPr>
        <w:t>investiga</w:t>
      </w:r>
      <w:r w:rsidRPr="00D5464D">
        <w:rPr>
          <w:spacing w:val="-3"/>
          <w:szCs w:val="20"/>
          <w:lang w:val="pt-BR"/>
        </w:rPr>
        <w:t>ção</w:t>
      </w:r>
      <w:r w:rsidR="00D81AA1" w:rsidRPr="00D5464D">
        <w:rPr>
          <w:spacing w:val="-3"/>
          <w:szCs w:val="20"/>
          <w:lang w:val="pt-BR"/>
        </w:rPr>
        <w:t xml:space="preserve"> pertinente </w:t>
      </w:r>
      <w:r w:rsidR="009E04D5" w:rsidRPr="00D5464D">
        <w:rPr>
          <w:spacing w:val="-3"/>
          <w:szCs w:val="20"/>
          <w:lang w:val="pt-BR"/>
        </w:rPr>
        <w:t xml:space="preserve">para </w:t>
      </w:r>
      <w:r w:rsidR="00350187" w:rsidRPr="00D5464D">
        <w:rPr>
          <w:spacing w:val="-3"/>
          <w:szCs w:val="20"/>
          <w:lang w:val="pt-BR"/>
        </w:rPr>
        <w:t>estabelecer</w:t>
      </w:r>
      <w:r w:rsidR="002C330E" w:rsidRPr="00D5464D">
        <w:rPr>
          <w:spacing w:val="-3"/>
          <w:szCs w:val="20"/>
          <w:lang w:val="pt-BR"/>
        </w:rPr>
        <w:t xml:space="preserve"> as </w:t>
      </w:r>
      <w:r w:rsidR="00D81AA1" w:rsidRPr="00D5464D">
        <w:rPr>
          <w:spacing w:val="-3"/>
          <w:szCs w:val="20"/>
          <w:lang w:val="pt-BR"/>
        </w:rPr>
        <w:t xml:space="preserve">responsabilidades </w:t>
      </w:r>
      <w:r w:rsidR="002C330E" w:rsidRPr="00D5464D">
        <w:rPr>
          <w:spacing w:val="-3"/>
          <w:szCs w:val="20"/>
          <w:lang w:val="pt-BR"/>
        </w:rPr>
        <w:t>individuais</w:t>
      </w:r>
      <w:r w:rsidR="00D81AA1" w:rsidRPr="00D5464D">
        <w:rPr>
          <w:spacing w:val="-3"/>
          <w:szCs w:val="20"/>
          <w:lang w:val="pt-BR"/>
        </w:rPr>
        <w:t xml:space="preserve"> </w:t>
      </w:r>
      <w:r w:rsidR="00E2227B" w:rsidRPr="00D5464D">
        <w:rPr>
          <w:spacing w:val="-3"/>
          <w:szCs w:val="20"/>
          <w:lang w:val="pt-BR"/>
        </w:rPr>
        <w:t>correspondentes.</w:t>
      </w:r>
      <w:r w:rsidR="00D81AA1" w:rsidRPr="00D5464D">
        <w:rPr>
          <w:rStyle w:val="Refdenotaalpie"/>
          <w:spacing w:val="-3"/>
          <w:lang w:val="pt-BR"/>
        </w:rPr>
        <w:footnoteReference w:id="479"/>
      </w:r>
    </w:p>
    <w:p w14:paraId="57C9E189" w14:textId="77777777" w:rsidR="00D81AA1" w:rsidRPr="00D5464D" w:rsidRDefault="00D81AA1" w:rsidP="00D81AA1">
      <w:pPr>
        <w:pStyle w:val="Prrafodelista"/>
        <w:rPr>
          <w:spacing w:val="-3"/>
          <w:szCs w:val="20"/>
          <w:lang w:val="pt-BR"/>
        </w:rPr>
      </w:pPr>
    </w:p>
    <w:p w14:paraId="76DE22F4" w14:textId="1ABDFBDB" w:rsidR="00D81AA1" w:rsidRPr="00D5464D" w:rsidRDefault="00470ADC" w:rsidP="00D81AA1">
      <w:pPr>
        <w:numPr>
          <w:ilvl w:val="0"/>
          <w:numId w:val="1"/>
        </w:numPr>
        <w:tabs>
          <w:tab w:val="clear" w:pos="4419"/>
          <w:tab w:val="clear" w:pos="8838"/>
        </w:tabs>
        <w:contextualSpacing/>
        <w:jc w:val="both"/>
        <w:rPr>
          <w:szCs w:val="20"/>
          <w:lang w:val="pt-BR"/>
        </w:rPr>
      </w:pPr>
      <w:r w:rsidRPr="00D5464D">
        <w:rPr>
          <w:spacing w:val="-3"/>
          <w:szCs w:val="20"/>
          <w:lang w:val="pt-BR"/>
        </w:rPr>
        <w:t xml:space="preserve">No </w:t>
      </w:r>
      <w:r w:rsidR="00D81AA1" w:rsidRPr="00D5464D">
        <w:rPr>
          <w:spacing w:val="-3"/>
          <w:szCs w:val="20"/>
          <w:lang w:val="pt-BR"/>
        </w:rPr>
        <w:t>presente caso</w:t>
      </w:r>
      <w:r w:rsidRPr="00D5464D">
        <w:rPr>
          <w:spacing w:val="-3"/>
          <w:szCs w:val="20"/>
          <w:lang w:val="pt-BR"/>
        </w:rPr>
        <w:t xml:space="preserve"> o </w:t>
      </w:r>
      <w:r w:rsidR="00D81AA1" w:rsidRPr="00D5464D">
        <w:rPr>
          <w:spacing w:val="-3"/>
          <w:szCs w:val="20"/>
          <w:lang w:val="pt-BR"/>
        </w:rPr>
        <w:t xml:space="preserve">Estado </w:t>
      </w:r>
      <w:r w:rsidR="00E045D9" w:rsidRPr="00D5464D">
        <w:rPr>
          <w:spacing w:val="-3"/>
          <w:szCs w:val="20"/>
          <w:lang w:val="pt-BR"/>
        </w:rPr>
        <w:t xml:space="preserve">tinha um </w:t>
      </w:r>
      <w:r w:rsidRPr="00D5464D">
        <w:rPr>
          <w:spacing w:val="-3"/>
          <w:szCs w:val="20"/>
          <w:lang w:val="pt-BR"/>
        </w:rPr>
        <w:t>dever</w:t>
      </w:r>
      <w:r w:rsidR="00D81AA1" w:rsidRPr="00D5464D">
        <w:rPr>
          <w:spacing w:val="-3"/>
          <w:szCs w:val="20"/>
          <w:lang w:val="pt-BR"/>
        </w:rPr>
        <w:t xml:space="preserve"> de </w:t>
      </w:r>
      <w:r w:rsidRPr="00D5464D">
        <w:rPr>
          <w:spacing w:val="-3"/>
          <w:szCs w:val="20"/>
          <w:lang w:val="pt-BR"/>
        </w:rPr>
        <w:t>atuar com devida diligência</w:t>
      </w:r>
      <w:r w:rsidR="009E04D5" w:rsidRPr="00D5464D">
        <w:rPr>
          <w:spacing w:val="-3"/>
          <w:szCs w:val="20"/>
          <w:lang w:val="pt-BR"/>
        </w:rPr>
        <w:t xml:space="preserve">, a qual </w:t>
      </w:r>
      <w:r w:rsidR="00E2227B" w:rsidRPr="00D5464D">
        <w:rPr>
          <w:spacing w:val="-3"/>
          <w:szCs w:val="20"/>
          <w:lang w:val="pt-BR"/>
        </w:rPr>
        <w:t xml:space="preserve">se </w:t>
      </w:r>
      <w:r w:rsidR="00D81AA1" w:rsidRPr="00D5464D">
        <w:rPr>
          <w:spacing w:val="-3"/>
          <w:szCs w:val="20"/>
          <w:lang w:val="pt-BR"/>
        </w:rPr>
        <w:t>incrementa</w:t>
      </w:r>
      <w:r w:rsidR="00E2227B" w:rsidRPr="00D5464D">
        <w:rPr>
          <w:spacing w:val="-3"/>
          <w:szCs w:val="20"/>
          <w:lang w:val="pt-BR"/>
        </w:rPr>
        <w:t>va</w:t>
      </w:r>
      <w:r w:rsidR="002C330E" w:rsidRPr="00D5464D">
        <w:rPr>
          <w:spacing w:val="-3"/>
          <w:szCs w:val="20"/>
          <w:lang w:val="pt-BR"/>
        </w:rPr>
        <w:t xml:space="preserve"> </w:t>
      </w:r>
      <w:r w:rsidR="00E2227B" w:rsidRPr="00D5464D">
        <w:rPr>
          <w:spacing w:val="-3"/>
          <w:szCs w:val="20"/>
          <w:lang w:val="pt-BR"/>
        </w:rPr>
        <w:t xml:space="preserve">em razão da </w:t>
      </w:r>
      <w:r w:rsidR="002C330E" w:rsidRPr="00D5464D">
        <w:rPr>
          <w:spacing w:val="-3"/>
          <w:szCs w:val="20"/>
          <w:lang w:val="pt-BR"/>
        </w:rPr>
        <w:t xml:space="preserve">gravidade </w:t>
      </w:r>
      <w:r w:rsidRPr="00D5464D">
        <w:rPr>
          <w:spacing w:val="-3"/>
          <w:szCs w:val="20"/>
          <w:lang w:val="pt-BR"/>
        </w:rPr>
        <w:t xml:space="preserve">dos </w:t>
      </w:r>
      <w:r w:rsidR="002C330E" w:rsidRPr="00D5464D">
        <w:rPr>
          <w:spacing w:val="-3"/>
          <w:szCs w:val="20"/>
          <w:lang w:val="pt-BR"/>
        </w:rPr>
        <w:t>fatos</w:t>
      </w:r>
      <w:r w:rsidR="00D81AA1" w:rsidRPr="00D5464D">
        <w:rPr>
          <w:spacing w:val="-3"/>
          <w:szCs w:val="20"/>
          <w:lang w:val="pt-BR"/>
        </w:rPr>
        <w:t xml:space="preserve"> denunciados</w:t>
      </w:r>
      <w:r w:rsidR="00E045D9" w:rsidRPr="00D5464D">
        <w:rPr>
          <w:spacing w:val="-3"/>
          <w:szCs w:val="20"/>
          <w:lang w:val="pt-BR"/>
        </w:rPr>
        <w:t xml:space="preserve"> e </w:t>
      </w:r>
      <w:r w:rsidR="00E2227B" w:rsidRPr="00D5464D">
        <w:rPr>
          <w:spacing w:val="-3"/>
          <w:szCs w:val="20"/>
          <w:lang w:val="pt-BR"/>
        </w:rPr>
        <w:t>d</w:t>
      </w:r>
      <w:r w:rsidR="002C330E" w:rsidRPr="00D5464D">
        <w:rPr>
          <w:spacing w:val="-3"/>
          <w:szCs w:val="20"/>
          <w:lang w:val="pt-BR"/>
        </w:rPr>
        <w:t>a natureza</w:t>
      </w:r>
      <w:r w:rsidRPr="00D5464D">
        <w:rPr>
          <w:spacing w:val="-3"/>
          <w:szCs w:val="20"/>
          <w:lang w:val="pt-BR"/>
        </w:rPr>
        <w:t xml:space="preserve"> da </w:t>
      </w:r>
      <w:r w:rsidR="002C330E" w:rsidRPr="00D5464D">
        <w:rPr>
          <w:spacing w:val="-3"/>
          <w:szCs w:val="20"/>
          <w:lang w:val="pt-BR"/>
        </w:rPr>
        <w:t>obrigação</w:t>
      </w:r>
      <w:r w:rsidR="00D81AA1" w:rsidRPr="00D5464D">
        <w:rPr>
          <w:spacing w:val="-3"/>
          <w:szCs w:val="20"/>
          <w:lang w:val="pt-BR"/>
        </w:rPr>
        <w:t xml:space="preserve">; era </w:t>
      </w:r>
      <w:r w:rsidR="002C330E" w:rsidRPr="00D5464D">
        <w:rPr>
          <w:spacing w:val="-3"/>
          <w:szCs w:val="20"/>
          <w:lang w:val="pt-BR"/>
        </w:rPr>
        <w:t>necessári</w:t>
      </w:r>
      <w:r w:rsidR="00D81AA1" w:rsidRPr="00D5464D">
        <w:rPr>
          <w:spacing w:val="-3"/>
          <w:szCs w:val="20"/>
          <w:lang w:val="pt-BR"/>
        </w:rPr>
        <w:t>o que</w:t>
      </w:r>
      <w:r w:rsidRPr="00D5464D">
        <w:rPr>
          <w:spacing w:val="-3"/>
          <w:szCs w:val="20"/>
          <w:lang w:val="pt-BR"/>
        </w:rPr>
        <w:t xml:space="preserve"> o </w:t>
      </w:r>
      <w:r w:rsidR="00D81AA1" w:rsidRPr="00D5464D">
        <w:rPr>
          <w:spacing w:val="-3"/>
          <w:szCs w:val="20"/>
          <w:lang w:val="pt-BR"/>
        </w:rPr>
        <w:t xml:space="preserve">Estado </w:t>
      </w:r>
      <w:r w:rsidR="00230C71" w:rsidRPr="00D5464D">
        <w:rPr>
          <w:spacing w:val="-3"/>
          <w:szCs w:val="20"/>
          <w:lang w:val="pt-BR"/>
        </w:rPr>
        <w:t>atua</w:t>
      </w:r>
      <w:r w:rsidR="00E2227B" w:rsidRPr="00D5464D">
        <w:rPr>
          <w:spacing w:val="-3"/>
          <w:szCs w:val="20"/>
          <w:lang w:val="pt-BR"/>
        </w:rPr>
        <w:t>sse</w:t>
      </w:r>
      <w:r w:rsidR="00D81AA1" w:rsidRPr="00D5464D">
        <w:rPr>
          <w:spacing w:val="-3"/>
          <w:szCs w:val="20"/>
          <w:lang w:val="pt-BR"/>
        </w:rPr>
        <w:t xml:space="preserve"> diligentemente a</w:t>
      </w:r>
      <w:r w:rsidRPr="00D5464D">
        <w:rPr>
          <w:spacing w:val="-3"/>
          <w:szCs w:val="20"/>
          <w:lang w:val="pt-BR"/>
        </w:rPr>
        <w:t xml:space="preserve"> fim </w:t>
      </w:r>
      <w:r w:rsidR="00D81AA1" w:rsidRPr="00D5464D">
        <w:rPr>
          <w:spacing w:val="-3"/>
          <w:szCs w:val="20"/>
          <w:lang w:val="pt-BR"/>
        </w:rPr>
        <w:t>de prevenir que</w:t>
      </w:r>
      <w:r w:rsidR="002C330E" w:rsidRPr="00D5464D">
        <w:rPr>
          <w:spacing w:val="-3"/>
          <w:szCs w:val="20"/>
          <w:lang w:val="pt-BR"/>
        </w:rPr>
        <w:t xml:space="preserve"> os fatos</w:t>
      </w:r>
      <w:r w:rsidR="00D81AA1" w:rsidRPr="00D5464D">
        <w:rPr>
          <w:spacing w:val="-3"/>
          <w:szCs w:val="20"/>
          <w:lang w:val="pt-BR"/>
        </w:rPr>
        <w:t xml:space="preserve"> </w:t>
      </w:r>
      <w:r w:rsidR="00E2227B" w:rsidRPr="00D5464D">
        <w:rPr>
          <w:spacing w:val="-3"/>
          <w:szCs w:val="20"/>
          <w:lang w:val="pt-BR"/>
        </w:rPr>
        <w:t xml:space="preserve">permanecessem </w:t>
      </w:r>
      <w:r w:rsidRPr="00D5464D">
        <w:rPr>
          <w:spacing w:val="-3"/>
          <w:szCs w:val="20"/>
          <w:lang w:val="pt-BR"/>
        </w:rPr>
        <w:t>em</w:t>
      </w:r>
      <w:r w:rsidR="00E045D9" w:rsidRPr="00D5464D">
        <w:rPr>
          <w:spacing w:val="-3"/>
          <w:szCs w:val="20"/>
          <w:lang w:val="pt-BR"/>
        </w:rPr>
        <w:t xml:space="preserve"> uma </w:t>
      </w:r>
      <w:r w:rsidR="00D81AA1" w:rsidRPr="00D5464D">
        <w:rPr>
          <w:spacing w:val="-3"/>
          <w:szCs w:val="20"/>
          <w:lang w:val="pt-BR"/>
        </w:rPr>
        <w:t>situa</w:t>
      </w:r>
      <w:r w:rsidRPr="00D5464D">
        <w:rPr>
          <w:spacing w:val="-3"/>
          <w:szCs w:val="20"/>
          <w:lang w:val="pt-BR"/>
        </w:rPr>
        <w:t>ção</w:t>
      </w:r>
      <w:r w:rsidR="00D81AA1" w:rsidRPr="00D5464D">
        <w:rPr>
          <w:spacing w:val="-3"/>
          <w:szCs w:val="20"/>
          <w:lang w:val="pt-BR"/>
        </w:rPr>
        <w:t xml:space="preserve"> de impu</w:t>
      </w:r>
      <w:r w:rsidR="00737270" w:rsidRPr="00D5464D">
        <w:rPr>
          <w:spacing w:val="-3"/>
          <w:szCs w:val="20"/>
          <w:lang w:val="pt-BR"/>
        </w:rPr>
        <w:t xml:space="preserve">nidade, </w:t>
      </w:r>
      <w:r w:rsidR="00D81AA1" w:rsidRPr="00D5464D">
        <w:rPr>
          <w:spacing w:val="-3"/>
          <w:szCs w:val="20"/>
          <w:lang w:val="pt-BR"/>
        </w:rPr>
        <w:t xml:space="preserve">como </w:t>
      </w:r>
      <w:r w:rsidR="002C330E" w:rsidRPr="00D5464D">
        <w:rPr>
          <w:spacing w:val="-3"/>
          <w:szCs w:val="20"/>
          <w:lang w:val="pt-BR"/>
        </w:rPr>
        <w:t>ocorreu</w:t>
      </w:r>
      <w:r w:rsidR="00E045D9" w:rsidRPr="00D5464D">
        <w:rPr>
          <w:spacing w:val="-3"/>
          <w:szCs w:val="20"/>
          <w:lang w:val="pt-BR"/>
        </w:rPr>
        <w:t xml:space="preserve"> no </w:t>
      </w:r>
      <w:r w:rsidR="00D81AA1" w:rsidRPr="00D5464D">
        <w:rPr>
          <w:spacing w:val="-3"/>
          <w:szCs w:val="20"/>
          <w:lang w:val="pt-BR"/>
        </w:rPr>
        <w:t>presente caso.</w:t>
      </w:r>
    </w:p>
    <w:p w14:paraId="07170BC4" w14:textId="77777777" w:rsidR="00DE3E58" w:rsidRPr="00D5464D" w:rsidRDefault="00DE3E58" w:rsidP="00DE3E58">
      <w:pPr>
        <w:tabs>
          <w:tab w:val="clear" w:pos="4419"/>
          <w:tab w:val="clear" w:pos="8838"/>
        </w:tabs>
        <w:contextualSpacing/>
        <w:jc w:val="both"/>
        <w:rPr>
          <w:szCs w:val="20"/>
          <w:lang w:val="pt-BR"/>
        </w:rPr>
      </w:pPr>
    </w:p>
    <w:p w14:paraId="052BBF05" w14:textId="68B32132" w:rsidR="00CA246A" w:rsidRPr="00D5464D" w:rsidRDefault="00470ADC" w:rsidP="00D81AA1">
      <w:pPr>
        <w:numPr>
          <w:ilvl w:val="0"/>
          <w:numId w:val="1"/>
        </w:numPr>
        <w:tabs>
          <w:tab w:val="clear" w:pos="4419"/>
          <w:tab w:val="clear" w:pos="8838"/>
        </w:tabs>
        <w:contextualSpacing/>
        <w:jc w:val="both"/>
        <w:rPr>
          <w:szCs w:val="20"/>
          <w:lang w:val="pt-BR"/>
        </w:rPr>
      </w:pPr>
      <w:r w:rsidRPr="00D5464D">
        <w:rPr>
          <w:szCs w:val="20"/>
          <w:lang w:val="pt-BR"/>
        </w:rPr>
        <w:t xml:space="preserve">A </w:t>
      </w:r>
      <w:r w:rsidR="00D81AA1" w:rsidRPr="00D5464D">
        <w:rPr>
          <w:szCs w:val="20"/>
          <w:lang w:val="pt-BR"/>
        </w:rPr>
        <w:t>Corte reitera que</w:t>
      </w:r>
      <w:r w:rsidR="00E328B9" w:rsidRPr="00D5464D">
        <w:rPr>
          <w:szCs w:val="20"/>
          <w:lang w:val="pt-BR"/>
        </w:rPr>
        <w:t>,</w:t>
      </w:r>
      <w:r w:rsidR="00E045D9" w:rsidRPr="00D5464D">
        <w:rPr>
          <w:szCs w:val="20"/>
          <w:lang w:val="pt-BR"/>
        </w:rPr>
        <w:t xml:space="preserve"> no </w:t>
      </w:r>
      <w:r w:rsidR="00D81AA1" w:rsidRPr="00D5464D">
        <w:rPr>
          <w:szCs w:val="20"/>
          <w:lang w:val="pt-BR"/>
        </w:rPr>
        <w:t>presente caso</w:t>
      </w:r>
      <w:r w:rsidR="00E328B9" w:rsidRPr="00D5464D">
        <w:rPr>
          <w:szCs w:val="20"/>
          <w:lang w:val="pt-BR"/>
        </w:rPr>
        <w:t>,</w:t>
      </w:r>
      <w:r w:rsidR="00D81AA1" w:rsidRPr="00D5464D">
        <w:rPr>
          <w:szCs w:val="20"/>
          <w:lang w:val="pt-BR"/>
        </w:rPr>
        <w:t xml:space="preserve"> </w:t>
      </w:r>
      <w:r w:rsidRPr="00D5464D">
        <w:rPr>
          <w:szCs w:val="20"/>
          <w:lang w:val="pt-BR"/>
        </w:rPr>
        <w:t>existia</w:t>
      </w:r>
      <w:r w:rsidR="00E045D9" w:rsidRPr="00D5464D">
        <w:rPr>
          <w:szCs w:val="20"/>
          <w:lang w:val="pt-BR"/>
        </w:rPr>
        <w:t xml:space="preserve"> uma </w:t>
      </w:r>
      <w:r w:rsidRPr="00D5464D">
        <w:rPr>
          <w:szCs w:val="20"/>
          <w:lang w:val="pt-BR"/>
        </w:rPr>
        <w:t>devida diligência</w:t>
      </w:r>
      <w:r w:rsidR="00D81AA1" w:rsidRPr="00D5464D">
        <w:rPr>
          <w:szCs w:val="20"/>
          <w:lang w:val="pt-BR"/>
        </w:rPr>
        <w:t xml:space="preserve"> excepcional</w:t>
      </w:r>
      <w:r w:rsidR="00E2227B" w:rsidRPr="00D5464D">
        <w:rPr>
          <w:szCs w:val="20"/>
          <w:lang w:val="pt-BR"/>
        </w:rPr>
        <w:t xml:space="preserve">, </w:t>
      </w:r>
      <w:r w:rsidR="002C330E" w:rsidRPr="00D5464D">
        <w:rPr>
          <w:szCs w:val="20"/>
          <w:lang w:val="pt-BR"/>
        </w:rPr>
        <w:t>necessári</w:t>
      </w:r>
      <w:r w:rsidR="00D81AA1" w:rsidRPr="00D5464D">
        <w:rPr>
          <w:szCs w:val="20"/>
          <w:lang w:val="pt-BR"/>
        </w:rPr>
        <w:t>a</w:t>
      </w:r>
      <w:r w:rsidRPr="00D5464D">
        <w:rPr>
          <w:szCs w:val="20"/>
          <w:lang w:val="pt-BR"/>
        </w:rPr>
        <w:t xml:space="preserve"> em </w:t>
      </w:r>
      <w:r w:rsidR="00E2227B" w:rsidRPr="00D5464D">
        <w:rPr>
          <w:szCs w:val="20"/>
          <w:lang w:val="pt-BR"/>
        </w:rPr>
        <w:t xml:space="preserve">razão </w:t>
      </w:r>
      <w:r w:rsidRPr="00D5464D">
        <w:rPr>
          <w:szCs w:val="20"/>
          <w:lang w:val="pt-BR"/>
        </w:rPr>
        <w:t xml:space="preserve">da </w:t>
      </w:r>
      <w:r w:rsidR="00D81AA1" w:rsidRPr="00D5464D">
        <w:rPr>
          <w:szCs w:val="20"/>
          <w:lang w:val="pt-BR"/>
        </w:rPr>
        <w:t>particular situa</w:t>
      </w:r>
      <w:r w:rsidRPr="00D5464D">
        <w:rPr>
          <w:szCs w:val="20"/>
          <w:lang w:val="pt-BR"/>
        </w:rPr>
        <w:t>ção</w:t>
      </w:r>
      <w:r w:rsidR="00D81AA1" w:rsidRPr="00D5464D">
        <w:rPr>
          <w:szCs w:val="20"/>
          <w:lang w:val="pt-BR"/>
        </w:rPr>
        <w:t xml:space="preserve"> de </w:t>
      </w:r>
      <w:r w:rsidR="00E045D9" w:rsidRPr="00D5464D">
        <w:rPr>
          <w:szCs w:val="20"/>
          <w:lang w:val="pt-BR"/>
        </w:rPr>
        <w:t xml:space="preserve">vulnerabilidade </w:t>
      </w:r>
      <w:r w:rsidRPr="00D5464D">
        <w:rPr>
          <w:szCs w:val="20"/>
          <w:lang w:val="pt-BR"/>
        </w:rPr>
        <w:t xml:space="preserve">em </w:t>
      </w:r>
      <w:r w:rsidR="00D81AA1" w:rsidRPr="00D5464D">
        <w:rPr>
          <w:szCs w:val="20"/>
          <w:lang w:val="pt-BR"/>
        </w:rPr>
        <w:t xml:space="preserve">que se </w:t>
      </w:r>
      <w:r w:rsidRPr="00D5464D">
        <w:rPr>
          <w:szCs w:val="20"/>
          <w:lang w:val="pt-BR"/>
        </w:rPr>
        <w:t>encontravam</w:t>
      </w:r>
      <w:r w:rsidR="002C330E" w:rsidRPr="00D5464D">
        <w:rPr>
          <w:szCs w:val="20"/>
          <w:lang w:val="pt-BR"/>
        </w:rPr>
        <w:t xml:space="preserve"> os </w:t>
      </w:r>
      <w:r w:rsidR="00E045D9" w:rsidRPr="00D5464D">
        <w:rPr>
          <w:szCs w:val="20"/>
          <w:lang w:val="pt-BR"/>
        </w:rPr>
        <w:t>trabalhadores</w:t>
      </w:r>
      <w:r w:rsidRPr="00D5464D">
        <w:rPr>
          <w:szCs w:val="20"/>
          <w:lang w:val="pt-BR"/>
        </w:rPr>
        <w:t xml:space="preserve"> da </w:t>
      </w:r>
      <w:r w:rsidR="00D809F0" w:rsidRPr="00D5464D">
        <w:rPr>
          <w:szCs w:val="20"/>
          <w:lang w:val="pt-BR"/>
        </w:rPr>
        <w:t>Fazenda</w:t>
      </w:r>
      <w:r w:rsidR="00D81AA1" w:rsidRPr="00D5464D">
        <w:rPr>
          <w:szCs w:val="20"/>
          <w:lang w:val="pt-BR"/>
        </w:rPr>
        <w:t xml:space="preserve"> Brasil Verde</w:t>
      </w:r>
      <w:r w:rsidR="00E045D9" w:rsidRPr="00D5464D">
        <w:rPr>
          <w:szCs w:val="20"/>
          <w:lang w:val="pt-BR"/>
        </w:rPr>
        <w:t xml:space="preserve"> e </w:t>
      </w:r>
      <w:r w:rsidR="00E2227B" w:rsidRPr="00D5464D">
        <w:rPr>
          <w:szCs w:val="20"/>
          <w:lang w:val="pt-BR"/>
        </w:rPr>
        <w:t>da</w:t>
      </w:r>
      <w:r w:rsidRPr="00D5464D">
        <w:rPr>
          <w:szCs w:val="20"/>
          <w:lang w:val="pt-BR"/>
        </w:rPr>
        <w:t xml:space="preserve"> </w:t>
      </w:r>
      <w:r w:rsidR="00D81AA1" w:rsidRPr="00D5464D">
        <w:rPr>
          <w:szCs w:val="20"/>
          <w:lang w:val="pt-BR"/>
        </w:rPr>
        <w:t xml:space="preserve">extrema </w:t>
      </w:r>
      <w:r w:rsidR="002C330E" w:rsidRPr="00D5464D">
        <w:rPr>
          <w:szCs w:val="20"/>
          <w:lang w:val="pt-BR"/>
        </w:rPr>
        <w:t xml:space="preserve">gravidade </w:t>
      </w:r>
      <w:r w:rsidRPr="00D5464D">
        <w:rPr>
          <w:szCs w:val="20"/>
          <w:lang w:val="pt-BR"/>
        </w:rPr>
        <w:t xml:space="preserve">da </w:t>
      </w:r>
      <w:r w:rsidR="00D81AA1" w:rsidRPr="00D5464D">
        <w:rPr>
          <w:szCs w:val="20"/>
          <w:lang w:val="pt-BR"/>
        </w:rPr>
        <w:t>situa</w:t>
      </w:r>
      <w:r w:rsidRPr="00D5464D">
        <w:rPr>
          <w:szCs w:val="20"/>
          <w:lang w:val="pt-BR"/>
        </w:rPr>
        <w:t>ção</w:t>
      </w:r>
      <w:r w:rsidR="00D81AA1" w:rsidRPr="00D5464D">
        <w:rPr>
          <w:szCs w:val="20"/>
          <w:lang w:val="pt-BR"/>
        </w:rPr>
        <w:t xml:space="preserve"> denunciada</w:t>
      </w:r>
      <w:r w:rsidRPr="00D5464D">
        <w:rPr>
          <w:szCs w:val="20"/>
          <w:lang w:val="pt-BR"/>
        </w:rPr>
        <w:t xml:space="preserve"> ao </w:t>
      </w:r>
      <w:r w:rsidR="00D81AA1" w:rsidRPr="00D5464D">
        <w:rPr>
          <w:szCs w:val="20"/>
          <w:lang w:val="pt-BR"/>
        </w:rPr>
        <w:t>Estado;</w:t>
      </w:r>
      <w:r w:rsidR="002C330E" w:rsidRPr="00D5464D">
        <w:rPr>
          <w:szCs w:val="20"/>
          <w:lang w:val="pt-BR"/>
        </w:rPr>
        <w:t xml:space="preserve"> </w:t>
      </w:r>
      <w:r w:rsidR="00BE5157" w:rsidRPr="00D5464D">
        <w:rPr>
          <w:szCs w:val="20"/>
          <w:lang w:val="pt-BR"/>
        </w:rPr>
        <w:t>portanto</w:t>
      </w:r>
      <w:r w:rsidR="00E328B9" w:rsidRPr="00D5464D">
        <w:rPr>
          <w:szCs w:val="20"/>
          <w:lang w:val="pt-BR"/>
        </w:rPr>
        <w:t>,</w:t>
      </w:r>
      <w:r w:rsidR="00BE5157" w:rsidRPr="00D5464D">
        <w:rPr>
          <w:szCs w:val="20"/>
          <w:lang w:val="pt-BR"/>
        </w:rPr>
        <w:t xml:space="preserve"> </w:t>
      </w:r>
      <w:r w:rsidR="00D81AA1" w:rsidRPr="00D5464D">
        <w:rPr>
          <w:szCs w:val="20"/>
          <w:lang w:val="pt-BR"/>
        </w:rPr>
        <w:t>era imperat</w:t>
      </w:r>
      <w:r w:rsidR="00CB64C4" w:rsidRPr="00D5464D">
        <w:rPr>
          <w:szCs w:val="20"/>
          <w:lang w:val="pt-BR"/>
        </w:rPr>
        <w:t>ivo</w:t>
      </w:r>
      <w:r w:rsidR="00D81AA1" w:rsidRPr="00D5464D">
        <w:rPr>
          <w:szCs w:val="20"/>
          <w:lang w:val="pt-BR"/>
        </w:rPr>
        <w:t xml:space="preserve"> tomar</w:t>
      </w:r>
      <w:r w:rsidR="002C330E" w:rsidRPr="00D5464D">
        <w:rPr>
          <w:szCs w:val="20"/>
          <w:lang w:val="pt-BR"/>
        </w:rPr>
        <w:t xml:space="preserve"> as </w:t>
      </w:r>
      <w:r w:rsidR="00D81AA1" w:rsidRPr="00D5464D">
        <w:rPr>
          <w:szCs w:val="20"/>
          <w:lang w:val="pt-BR"/>
        </w:rPr>
        <w:t>medidas pertinentes</w:t>
      </w:r>
      <w:r w:rsidRPr="00D5464D">
        <w:rPr>
          <w:szCs w:val="20"/>
          <w:lang w:val="pt-BR"/>
        </w:rPr>
        <w:t xml:space="preserve"> com o fim </w:t>
      </w:r>
      <w:r w:rsidR="00D81AA1" w:rsidRPr="00D5464D">
        <w:rPr>
          <w:szCs w:val="20"/>
          <w:lang w:val="pt-BR"/>
        </w:rPr>
        <w:t xml:space="preserve">de evitar </w:t>
      </w:r>
      <w:r w:rsidR="00BE5157" w:rsidRPr="00D5464D">
        <w:rPr>
          <w:szCs w:val="20"/>
          <w:lang w:val="pt-BR"/>
        </w:rPr>
        <w:t>a</w:t>
      </w:r>
      <w:r w:rsidR="00D81AA1" w:rsidRPr="00D5464D">
        <w:rPr>
          <w:szCs w:val="20"/>
          <w:lang w:val="pt-BR"/>
        </w:rPr>
        <w:t>trasos</w:t>
      </w:r>
      <w:r w:rsidR="00E045D9" w:rsidRPr="00D5464D">
        <w:rPr>
          <w:szCs w:val="20"/>
          <w:lang w:val="pt-BR"/>
        </w:rPr>
        <w:t xml:space="preserve"> na </w:t>
      </w:r>
      <w:r w:rsidR="00D81AA1" w:rsidRPr="00D5464D">
        <w:rPr>
          <w:szCs w:val="20"/>
          <w:lang w:val="pt-BR"/>
        </w:rPr>
        <w:t>tramita</w:t>
      </w:r>
      <w:r w:rsidRPr="00D5464D">
        <w:rPr>
          <w:szCs w:val="20"/>
          <w:lang w:val="pt-BR"/>
        </w:rPr>
        <w:t xml:space="preserve">ção dos </w:t>
      </w:r>
      <w:r w:rsidR="002C330E" w:rsidRPr="00D5464D">
        <w:rPr>
          <w:szCs w:val="20"/>
          <w:lang w:val="pt-BR"/>
        </w:rPr>
        <w:t>processo</w:t>
      </w:r>
      <w:r w:rsidR="00D81AA1" w:rsidRPr="00D5464D">
        <w:rPr>
          <w:szCs w:val="20"/>
          <w:lang w:val="pt-BR"/>
        </w:rPr>
        <w:t xml:space="preserve">s, de </w:t>
      </w:r>
      <w:r w:rsidR="002C330E" w:rsidRPr="00D5464D">
        <w:rPr>
          <w:szCs w:val="20"/>
          <w:lang w:val="pt-BR"/>
        </w:rPr>
        <w:t>maneira</w:t>
      </w:r>
      <w:r w:rsidR="00D81AA1" w:rsidRPr="00D5464D">
        <w:rPr>
          <w:szCs w:val="20"/>
          <w:lang w:val="pt-BR"/>
        </w:rPr>
        <w:t xml:space="preserve"> </w:t>
      </w:r>
      <w:r w:rsidR="00BE5157" w:rsidRPr="00D5464D">
        <w:rPr>
          <w:szCs w:val="20"/>
          <w:lang w:val="pt-BR"/>
        </w:rPr>
        <w:t xml:space="preserve">a </w:t>
      </w:r>
      <w:r w:rsidR="00E765C2" w:rsidRPr="00D5464D">
        <w:rPr>
          <w:szCs w:val="20"/>
          <w:lang w:val="pt-BR"/>
        </w:rPr>
        <w:t>garanti</w:t>
      </w:r>
      <w:r w:rsidR="00BE5157" w:rsidRPr="00D5464D">
        <w:rPr>
          <w:szCs w:val="20"/>
          <w:lang w:val="pt-BR"/>
        </w:rPr>
        <w:t>r</w:t>
      </w:r>
      <w:r w:rsidR="002C330E" w:rsidRPr="00D5464D">
        <w:rPr>
          <w:szCs w:val="20"/>
          <w:lang w:val="pt-BR"/>
        </w:rPr>
        <w:t xml:space="preserve"> a </w:t>
      </w:r>
      <w:r w:rsidR="00D81AA1" w:rsidRPr="00D5464D">
        <w:rPr>
          <w:szCs w:val="20"/>
          <w:lang w:val="pt-BR"/>
        </w:rPr>
        <w:t>pronta resolu</w:t>
      </w:r>
      <w:r w:rsidRPr="00D5464D">
        <w:rPr>
          <w:szCs w:val="20"/>
          <w:lang w:val="pt-BR"/>
        </w:rPr>
        <w:t>ção</w:t>
      </w:r>
      <w:r w:rsidR="00E045D9" w:rsidRPr="00D5464D">
        <w:rPr>
          <w:szCs w:val="20"/>
          <w:lang w:val="pt-BR"/>
        </w:rPr>
        <w:t xml:space="preserve"> e </w:t>
      </w:r>
      <w:r w:rsidRPr="00D5464D">
        <w:rPr>
          <w:szCs w:val="20"/>
          <w:lang w:val="pt-BR"/>
        </w:rPr>
        <w:t xml:space="preserve">execução dos </w:t>
      </w:r>
      <w:r w:rsidR="002C330E" w:rsidRPr="00D5464D">
        <w:rPr>
          <w:szCs w:val="20"/>
          <w:lang w:val="pt-BR"/>
        </w:rPr>
        <w:t>mesm</w:t>
      </w:r>
      <w:r w:rsidR="00D81AA1" w:rsidRPr="00D5464D">
        <w:rPr>
          <w:szCs w:val="20"/>
          <w:lang w:val="pt-BR"/>
        </w:rPr>
        <w:t>os</w:t>
      </w:r>
      <w:r w:rsidR="00BE5157" w:rsidRPr="00D5464D">
        <w:rPr>
          <w:szCs w:val="20"/>
          <w:lang w:val="pt-BR"/>
        </w:rPr>
        <w:t>.</w:t>
      </w:r>
      <w:r w:rsidR="00D81AA1" w:rsidRPr="00D5464D">
        <w:rPr>
          <w:rStyle w:val="Refdenotaalpie"/>
          <w:lang w:val="pt-BR"/>
        </w:rPr>
        <w:footnoteReference w:id="480"/>
      </w:r>
      <w:r w:rsidRPr="00D5464D">
        <w:rPr>
          <w:szCs w:val="20"/>
          <w:lang w:val="pt-BR"/>
        </w:rPr>
        <w:t xml:space="preserve"> </w:t>
      </w:r>
      <w:r w:rsidR="00BE5157" w:rsidRPr="00D5464D">
        <w:rPr>
          <w:szCs w:val="20"/>
          <w:lang w:val="pt-BR"/>
        </w:rPr>
        <w:t>N</w:t>
      </w:r>
      <w:r w:rsidR="00737270" w:rsidRPr="00D5464D">
        <w:rPr>
          <w:szCs w:val="20"/>
          <w:lang w:val="pt-BR"/>
        </w:rPr>
        <w:t>esse</w:t>
      </w:r>
      <w:r w:rsidRPr="00D5464D">
        <w:rPr>
          <w:szCs w:val="20"/>
          <w:lang w:val="pt-BR"/>
        </w:rPr>
        <w:t xml:space="preserve"> </w:t>
      </w:r>
      <w:r w:rsidR="00D81AA1" w:rsidRPr="00D5464D">
        <w:rPr>
          <w:szCs w:val="20"/>
          <w:lang w:val="pt-BR"/>
        </w:rPr>
        <w:t>sentido</w:t>
      </w:r>
      <w:r w:rsidR="00BE5157" w:rsidRPr="00D5464D">
        <w:rPr>
          <w:szCs w:val="20"/>
          <w:lang w:val="pt-BR"/>
        </w:rPr>
        <w:t>,</w:t>
      </w:r>
      <w:r w:rsidRPr="00D5464D">
        <w:rPr>
          <w:szCs w:val="20"/>
          <w:lang w:val="pt-BR"/>
        </w:rPr>
        <w:t xml:space="preserve"> o </w:t>
      </w:r>
      <w:r w:rsidR="008C14EB" w:rsidRPr="00D5464D">
        <w:rPr>
          <w:szCs w:val="20"/>
          <w:lang w:val="pt-BR"/>
        </w:rPr>
        <w:t xml:space="preserve">Tribunal </w:t>
      </w:r>
      <w:r w:rsidRPr="00D5464D">
        <w:rPr>
          <w:szCs w:val="20"/>
          <w:lang w:val="pt-BR"/>
        </w:rPr>
        <w:t>Europeu</w:t>
      </w:r>
      <w:r w:rsidR="00176C77" w:rsidRPr="00D5464D">
        <w:rPr>
          <w:szCs w:val="20"/>
          <w:lang w:val="pt-BR"/>
        </w:rPr>
        <w:t xml:space="preserve"> </w:t>
      </w:r>
      <w:r w:rsidR="00E045D9" w:rsidRPr="00D5464D">
        <w:rPr>
          <w:szCs w:val="20"/>
          <w:lang w:val="pt-BR"/>
        </w:rPr>
        <w:t>também</w:t>
      </w:r>
      <w:r w:rsidR="00176C77" w:rsidRPr="00D5464D">
        <w:rPr>
          <w:szCs w:val="20"/>
          <w:lang w:val="pt-BR"/>
        </w:rPr>
        <w:t xml:space="preserve"> </w:t>
      </w:r>
      <w:r w:rsidR="002C330E" w:rsidRPr="00D5464D">
        <w:rPr>
          <w:szCs w:val="20"/>
          <w:lang w:val="pt-BR"/>
        </w:rPr>
        <w:t>indicou</w:t>
      </w:r>
      <w:r w:rsidR="00D81AA1" w:rsidRPr="00D5464D">
        <w:rPr>
          <w:szCs w:val="20"/>
          <w:lang w:val="pt-BR"/>
        </w:rPr>
        <w:t xml:space="preserve"> que se exige</w:t>
      </w:r>
      <w:r w:rsidR="00E045D9" w:rsidRPr="00D5464D">
        <w:rPr>
          <w:szCs w:val="20"/>
          <w:lang w:val="pt-BR"/>
        </w:rPr>
        <w:t xml:space="preserve"> uma </w:t>
      </w:r>
      <w:r w:rsidRPr="00D5464D">
        <w:rPr>
          <w:szCs w:val="20"/>
          <w:lang w:val="pt-BR"/>
        </w:rPr>
        <w:t>diligência</w:t>
      </w:r>
      <w:r w:rsidR="00D81AA1" w:rsidRPr="00D5464D">
        <w:rPr>
          <w:szCs w:val="20"/>
          <w:lang w:val="pt-BR"/>
        </w:rPr>
        <w:t xml:space="preserve"> especial</w:t>
      </w:r>
      <w:r w:rsidRPr="00D5464D">
        <w:rPr>
          <w:szCs w:val="20"/>
          <w:lang w:val="pt-BR"/>
        </w:rPr>
        <w:t xml:space="preserve"> </w:t>
      </w:r>
      <w:r w:rsidR="00BE5157" w:rsidRPr="00D5464D">
        <w:rPr>
          <w:szCs w:val="20"/>
          <w:lang w:val="pt-BR"/>
        </w:rPr>
        <w:t xml:space="preserve">em </w:t>
      </w:r>
      <w:r w:rsidR="00D81AA1" w:rsidRPr="00D5464D">
        <w:rPr>
          <w:szCs w:val="20"/>
          <w:lang w:val="pt-BR"/>
        </w:rPr>
        <w:t>casos</w:t>
      </w:r>
      <w:r w:rsidR="00E045D9" w:rsidRPr="00D5464D">
        <w:rPr>
          <w:szCs w:val="20"/>
          <w:lang w:val="pt-BR"/>
        </w:rPr>
        <w:t xml:space="preserve"> nos </w:t>
      </w:r>
      <w:r w:rsidRPr="00D5464D">
        <w:rPr>
          <w:szCs w:val="20"/>
          <w:lang w:val="pt-BR"/>
        </w:rPr>
        <w:t>quais</w:t>
      </w:r>
      <w:r w:rsidR="00D81AA1" w:rsidRPr="00D5464D">
        <w:rPr>
          <w:szCs w:val="20"/>
          <w:lang w:val="pt-BR"/>
        </w:rPr>
        <w:t xml:space="preserve"> </w:t>
      </w:r>
      <w:r w:rsidR="00BE5157" w:rsidRPr="00D5464D">
        <w:rPr>
          <w:szCs w:val="20"/>
          <w:lang w:val="pt-BR"/>
        </w:rPr>
        <w:t xml:space="preserve">a integridade da pessoa </w:t>
      </w:r>
      <w:r w:rsidR="00D81AA1" w:rsidRPr="00D5464D">
        <w:rPr>
          <w:szCs w:val="20"/>
          <w:lang w:val="pt-BR"/>
        </w:rPr>
        <w:t>está</w:t>
      </w:r>
      <w:r w:rsidRPr="00D5464D">
        <w:rPr>
          <w:szCs w:val="20"/>
          <w:lang w:val="pt-BR"/>
        </w:rPr>
        <w:t xml:space="preserve"> em </w:t>
      </w:r>
      <w:r w:rsidR="00A1358C" w:rsidRPr="00D5464D">
        <w:rPr>
          <w:szCs w:val="20"/>
          <w:lang w:val="pt-BR"/>
        </w:rPr>
        <w:t>jogo</w:t>
      </w:r>
      <w:r w:rsidRPr="00D5464D">
        <w:rPr>
          <w:szCs w:val="20"/>
          <w:lang w:val="pt-BR"/>
        </w:rPr>
        <w:t>, e</w:t>
      </w:r>
      <w:r w:rsidR="00D81AA1" w:rsidRPr="00D5464D">
        <w:rPr>
          <w:szCs w:val="20"/>
          <w:lang w:val="pt-BR"/>
        </w:rPr>
        <w:t xml:space="preserve"> existe</w:t>
      </w:r>
      <w:r w:rsidR="00E045D9" w:rsidRPr="00D5464D">
        <w:rPr>
          <w:szCs w:val="20"/>
          <w:lang w:val="pt-BR"/>
        </w:rPr>
        <w:t xml:space="preserve"> uma </w:t>
      </w:r>
      <w:r w:rsidR="002C330E" w:rsidRPr="00D5464D">
        <w:rPr>
          <w:szCs w:val="20"/>
          <w:lang w:val="pt-BR"/>
        </w:rPr>
        <w:t>obrigação</w:t>
      </w:r>
      <w:r w:rsidR="00D81AA1" w:rsidRPr="00D5464D">
        <w:rPr>
          <w:szCs w:val="20"/>
          <w:lang w:val="pt-BR"/>
        </w:rPr>
        <w:t xml:space="preserve"> positiva de penalizar e investigar </w:t>
      </w:r>
      <w:r w:rsidRPr="00D5464D">
        <w:rPr>
          <w:szCs w:val="20"/>
          <w:lang w:val="pt-BR"/>
        </w:rPr>
        <w:t xml:space="preserve">qualquer ato </w:t>
      </w:r>
      <w:r w:rsidR="00D81AA1" w:rsidRPr="00D5464D">
        <w:rPr>
          <w:szCs w:val="20"/>
          <w:lang w:val="pt-BR"/>
        </w:rPr>
        <w:t xml:space="preserve">dirigido a </w:t>
      </w:r>
      <w:r w:rsidR="002C330E" w:rsidRPr="00D5464D">
        <w:rPr>
          <w:szCs w:val="20"/>
          <w:lang w:val="pt-BR"/>
        </w:rPr>
        <w:t>manter</w:t>
      </w:r>
      <w:r w:rsidR="00E045D9" w:rsidRPr="00D5464D">
        <w:rPr>
          <w:szCs w:val="20"/>
          <w:lang w:val="pt-BR"/>
        </w:rPr>
        <w:t xml:space="preserve"> uma </w:t>
      </w:r>
      <w:r w:rsidR="002C330E" w:rsidRPr="00D5464D">
        <w:rPr>
          <w:szCs w:val="20"/>
          <w:lang w:val="pt-BR"/>
        </w:rPr>
        <w:t>pessoa</w:t>
      </w:r>
      <w:r w:rsidRPr="00D5464D">
        <w:rPr>
          <w:szCs w:val="20"/>
          <w:lang w:val="pt-BR"/>
        </w:rPr>
        <w:t xml:space="preserve"> em </w:t>
      </w:r>
      <w:r w:rsidR="00D81AA1" w:rsidRPr="00D5464D">
        <w:rPr>
          <w:szCs w:val="20"/>
          <w:lang w:val="pt-BR"/>
        </w:rPr>
        <w:t>situa</w:t>
      </w:r>
      <w:r w:rsidRPr="00D5464D">
        <w:rPr>
          <w:szCs w:val="20"/>
          <w:lang w:val="pt-BR"/>
        </w:rPr>
        <w:t>ção</w:t>
      </w:r>
      <w:r w:rsidR="00D81AA1" w:rsidRPr="00D5464D">
        <w:rPr>
          <w:szCs w:val="20"/>
          <w:lang w:val="pt-BR"/>
        </w:rPr>
        <w:t xml:space="preserve"> de </w:t>
      </w:r>
      <w:r w:rsidR="000B376D" w:rsidRPr="00D5464D">
        <w:rPr>
          <w:szCs w:val="20"/>
          <w:lang w:val="pt-BR"/>
        </w:rPr>
        <w:t>escravidão</w:t>
      </w:r>
      <w:r w:rsidR="00D81AA1" w:rsidRPr="00D5464D">
        <w:rPr>
          <w:szCs w:val="20"/>
          <w:lang w:val="pt-BR"/>
        </w:rPr>
        <w:t xml:space="preserve">, </w:t>
      </w:r>
      <w:r w:rsidR="000B376D" w:rsidRPr="00D5464D">
        <w:rPr>
          <w:szCs w:val="20"/>
          <w:lang w:val="pt-BR"/>
        </w:rPr>
        <w:t>servidão</w:t>
      </w:r>
      <w:r w:rsidR="00D81AA1" w:rsidRPr="00D5464D">
        <w:rPr>
          <w:szCs w:val="20"/>
          <w:lang w:val="pt-BR"/>
        </w:rPr>
        <w:t xml:space="preserve"> o</w:t>
      </w:r>
      <w:r w:rsidR="00BE5157" w:rsidRPr="00D5464D">
        <w:rPr>
          <w:szCs w:val="20"/>
          <w:lang w:val="pt-BR"/>
        </w:rPr>
        <w:t>u</w:t>
      </w:r>
      <w:r w:rsidR="00D81AA1" w:rsidRPr="00D5464D">
        <w:rPr>
          <w:szCs w:val="20"/>
          <w:lang w:val="pt-BR"/>
        </w:rPr>
        <w:t xml:space="preserve"> </w:t>
      </w:r>
      <w:r w:rsidR="00E045D9" w:rsidRPr="00D5464D">
        <w:rPr>
          <w:szCs w:val="20"/>
          <w:lang w:val="pt-BR"/>
        </w:rPr>
        <w:t>trabalho</w:t>
      </w:r>
      <w:r w:rsidR="001B63D0" w:rsidRPr="00D5464D">
        <w:rPr>
          <w:szCs w:val="20"/>
          <w:lang w:val="pt-BR"/>
        </w:rPr>
        <w:t xml:space="preserve"> </w:t>
      </w:r>
      <w:r w:rsidR="00230C71" w:rsidRPr="00D5464D">
        <w:rPr>
          <w:szCs w:val="20"/>
          <w:lang w:val="pt-BR"/>
        </w:rPr>
        <w:t>forçado</w:t>
      </w:r>
      <w:r w:rsidR="00BE5157" w:rsidRPr="00D5464D">
        <w:rPr>
          <w:szCs w:val="20"/>
          <w:lang w:val="pt-BR"/>
        </w:rPr>
        <w:t>.</w:t>
      </w:r>
      <w:r w:rsidR="00D81AA1" w:rsidRPr="00D5464D">
        <w:rPr>
          <w:rStyle w:val="Refdenotaalpie"/>
          <w:lang w:val="pt-BR"/>
        </w:rPr>
        <w:footnoteReference w:id="481"/>
      </w:r>
      <w:r w:rsidR="00D81AA1" w:rsidRPr="00D5464D">
        <w:rPr>
          <w:szCs w:val="20"/>
          <w:lang w:val="pt-BR"/>
        </w:rPr>
        <w:t xml:space="preserve"> </w:t>
      </w:r>
      <w:r w:rsidRPr="00D5464D">
        <w:rPr>
          <w:szCs w:val="20"/>
          <w:lang w:val="pt-BR"/>
        </w:rPr>
        <w:t>Ademais</w:t>
      </w:r>
      <w:r w:rsidR="00D81AA1" w:rsidRPr="00D5464D">
        <w:rPr>
          <w:szCs w:val="20"/>
          <w:lang w:val="pt-BR"/>
        </w:rPr>
        <w:t xml:space="preserve">, </w:t>
      </w:r>
      <w:r w:rsidR="002C330E" w:rsidRPr="00D5464D">
        <w:rPr>
          <w:szCs w:val="20"/>
          <w:lang w:val="pt-BR"/>
        </w:rPr>
        <w:t>estabeleceu</w:t>
      </w:r>
      <w:r w:rsidR="00D81AA1" w:rsidRPr="00D5464D">
        <w:rPr>
          <w:szCs w:val="20"/>
          <w:lang w:val="pt-BR"/>
        </w:rPr>
        <w:t xml:space="preserve"> </w:t>
      </w:r>
      <w:r w:rsidR="00176C77" w:rsidRPr="00D5464D">
        <w:rPr>
          <w:szCs w:val="20"/>
          <w:lang w:val="pt-BR"/>
        </w:rPr>
        <w:t>que</w:t>
      </w:r>
      <w:r w:rsidR="002C330E" w:rsidRPr="00D5464D">
        <w:rPr>
          <w:szCs w:val="20"/>
          <w:lang w:val="pt-BR"/>
        </w:rPr>
        <w:t xml:space="preserve"> a obrigação</w:t>
      </w:r>
      <w:r w:rsidR="00D81AA1" w:rsidRPr="00D5464D">
        <w:rPr>
          <w:szCs w:val="20"/>
          <w:lang w:val="pt-BR"/>
        </w:rPr>
        <w:t xml:space="preserve"> de investigar</w:t>
      </w:r>
      <w:r w:rsidR="002C330E" w:rsidRPr="00D5464D">
        <w:rPr>
          <w:szCs w:val="20"/>
          <w:lang w:val="pt-BR"/>
        </w:rPr>
        <w:t xml:space="preserve"> </w:t>
      </w:r>
      <w:r w:rsidR="004F1CC2" w:rsidRPr="00D5464D">
        <w:rPr>
          <w:szCs w:val="20"/>
          <w:lang w:val="pt-BR"/>
        </w:rPr>
        <w:t>o tráfico de pessoas</w:t>
      </w:r>
      <w:r w:rsidR="00176C77" w:rsidRPr="00D5464D">
        <w:rPr>
          <w:szCs w:val="20"/>
          <w:lang w:val="pt-BR"/>
        </w:rPr>
        <w:t xml:space="preserve"> </w:t>
      </w:r>
      <w:r w:rsidR="00D81AA1" w:rsidRPr="00D5464D">
        <w:rPr>
          <w:szCs w:val="20"/>
          <w:lang w:val="pt-BR"/>
        </w:rPr>
        <w:t>n</w:t>
      </w:r>
      <w:r w:rsidR="00BE5157" w:rsidRPr="00D5464D">
        <w:rPr>
          <w:szCs w:val="20"/>
          <w:lang w:val="pt-BR"/>
        </w:rPr>
        <w:t>ã</w:t>
      </w:r>
      <w:r w:rsidR="00D81AA1" w:rsidRPr="00D5464D">
        <w:rPr>
          <w:szCs w:val="20"/>
          <w:lang w:val="pt-BR"/>
        </w:rPr>
        <w:t>o</w:t>
      </w:r>
      <w:r w:rsidRPr="00D5464D">
        <w:rPr>
          <w:szCs w:val="20"/>
          <w:lang w:val="pt-BR"/>
        </w:rPr>
        <w:t xml:space="preserve"> deve </w:t>
      </w:r>
      <w:r w:rsidR="00D81AA1" w:rsidRPr="00D5464D">
        <w:rPr>
          <w:szCs w:val="20"/>
          <w:lang w:val="pt-BR"/>
        </w:rPr>
        <w:t>depender de</w:t>
      </w:r>
      <w:r w:rsidR="00E045D9" w:rsidRPr="00D5464D">
        <w:rPr>
          <w:szCs w:val="20"/>
          <w:lang w:val="pt-BR"/>
        </w:rPr>
        <w:t xml:space="preserve"> uma </w:t>
      </w:r>
      <w:r w:rsidR="00D81AA1" w:rsidRPr="00D5464D">
        <w:rPr>
          <w:szCs w:val="20"/>
          <w:lang w:val="pt-BR"/>
        </w:rPr>
        <w:t>den</w:t>
      </w:r>
      <w:r w:rsidR="00BE5157" w:rsidRPr="00D5464D">
        <w:rPr>
          <w:szCs w:val="20"/>
          <w:lang w:val="pt-BR"/>
        </w:rPr>
        <w:t>ú</w:t>
      </w:r>
      <w:r w:rsidR="00D81AA1" w:rsidRPr="00D5464D">
        <w:rPr>
          <w:szCs w:val="20"/>
          <w:lang w:val="pt-BR"/>
        </w:rPr>
        <w:t>ncia,</w:t>
      </w:r>
      <w:r w:rsidR="002C330E" w:rsidRPr="00D5464D">
        <w:rPr>
          <w:szCs w:val="20"/>
          <w:lang w:val="pt-BR"/>
        </w:rPr>
        <w:t xml:space="preserve"> mas</w:t>
      </w:r>
      <w:r w:rsidR="009E04D5" w:rsidRPr="00D5464D">
        <w:rPr>
          <w:szCs w:val="20"/>
          <w:lang w:val="pt-BR"/>
        </w:rPr>
        <w:t>,</w:t>
      </w:r>
      <w:r w:rsidR="002C330E" w:rsidRPr="00D5464D">
        <w:rPr>
          <w:szCs w:val="20"/>
          <w:lang w:val="pt-BR"/>
        </w:rPr>
        <w:t xml:space="preserve"> </w:t>
      </w:r>
      <w:r w:rsidR="00E045D9" w:rsidRPr="00D5464D">
        <w:rPr>
          <w:szCs w:val="20"/>
          <w:lang w:val="pt-BR"/>
        </w:rPr>
        <w:t xml:space="preserve">uma </w:t>
      </w:r>
      <w:r w:rsidR="00D81AA1" w:rsidRPr="00D5464D">
        <w:rPr>
          <w:szCs w:val="20"/>
          <w:lang w:val="pt-BR"/>
        </w:rPr>
        <w:t>vez que</w:t>
      </w:r>
      <w:r w:rsidR="002C330E" w:rsidRPr="00D5464D">
        <w:rPr>
          <w:szCs w:val="20"/>
          <w:lang w:val="pt-BR"/>
        </w:rPr>
        <w:t xml:space="preserve"> as </w:t>
      </w:r>
      <w:r w:rsidR="00D81AA1" w:rsidRPr="00D5464D">
        <w:rPr>
          <w:szCs w:val="20"/>
          <w:lang w:val="pt-BR"/>
        </w:rPr>
        <w:t xml:space="preserve">autoridades </w:t>
      </w:r>
      <w:r w:rsidR="00C91CB1" w:rsidRPr="00D5464D">
        <w:rPr>
          <w:szCs w:val="20"/>
          <w:lang w:val="pt-BR"/>
        </w:rPr>
        <w:t xml:space="preserve">tomam </w:t>
      </w:r>
      <w:r w:rsidRPr="00D5464D">
        <w:rPr>
          <w:szCs w:val="20"/>
          <w:lang w:val="pt-BR"/>
        </w:rPr>
        <w:t xml:space="preserve">conhecimento da </w:t>
      </w:r>
      <w:r w:rsidR="00D81AA1" w:rsidRPr="00D5464D">
        <w:rPr>
          <w:szCs w:val="20"/>
          <w:lang w:val="pt-BR"/>
        </w:rPr>
        <w:t>situa</w:t>
      </w:r>
      <w:r w:rsidRPr="00D5464D">
        <w:rPr>
          <w:szCs w:val="20"/>
          <w:lang w:val="pt-BR"/>
        </w:rPr>
        <w:t>ção</w:t>
      </w:r>
      <w:r w:rsidR="00BE5157" w:rsidRPr="00D5464D">
        <w:rPr>
          <w:szCs w:val="20"/>
          <w:lang w:val="pt-BR"/>
        </w:rPr>
        <w:t>,</w:t>
      </w:r>
      <w:r w:rsidRPr="00D5464D">
        <w:rPr>
          <w:szCs w:val="20"/>
          <w:lang w:val="pt-BR"/>
        </w:rPr>
        <w:t xml:space="preserve"> deve</w:t>
      </w:r>
      <w:r w:rsidR="00BE5157" w:rsidRPr="00D5464D">
        <w:rPr>
          <w:szCs w:val="20"/>
          <w:lang w:val="pt-BR"/>
        </w:rPr>
        <w:t>m</w:t>
      </w:r>
      <w:r w:rsidRPr="00D5464D">
        <w:rPr>
          <w:szCs w:val="20"/>
          <w:lang w:val="pt-BR"/>
        </w:rPr>
        <w:t xml:space="preserve"> atuar </w:t>
      </w:r>
      <w:r w:rsidR="00D81AA1" w:rsidRPr="00D5464D">
        <w:rPr>
          <w:szCs w:val="20"/>
          <w:lang w:val="pt-BR"/>
        </w:rPr>
        <w:t>de of</w:t>
      </w:r>
      <w:r w:rsidR="00BE5157" w:rsidRPr="00D5464D">
        <w:rPr>
          <w:szCs w:val="20"/>
          <w:lang w:val="pt-BR"/>
        </w:rPr>
        <w:t>í</w:t>
      </w:r>
      <w:r w:rsidR="00D81AA1" w:rsidRPr="00D5464D">
        <w:rPr>
          <w:szCs w:val="20"/>
          <w:lang w:val="pt-BR"/>
        </w:rPr>
        <w:t xml:space="preserve">cio. Finalmente, </w:t>
      </w:r>
      <w:r w:rsidR="00737270" w:rsidRPr="00D5464D">
        <w:rPr>
          <w:szCs w:val="20"/>
          <w:lang w:val="pt-BR"/>
        </w:rPr>
        <w:t>indicou</w:t>
      </w:r>
      <w:r w:rsidR="00D81AA1" w:rsidRPr="00D5464D">
        <w:rPr>
          <w:szCs w:val="20"/>
          <w:lang w:val="pt-BR"/>
        </w:rPr>
        <w:t xml:space="preserve"> que</w:t>
      </w:r>
      <w:r w:rsidRPr="00D5464D">
        <w:rPr>
          <w:szCs w:val="20"/>
          <w:lang w:val="pt-BR"/>
        </w:rPr>
        <w:t xml:space="preserve"> o </w:t>
      </w:r>
      <w:r w:rsidR="00D81AA1" w:rsidRPr="00D5464D">
        <w:rPr>
          <w:szCs w:val="20"/>
          <w:lang w:val="pt-BR"/>
        </w:rPr>
        <w:t xml:space="preserve">requisito de </w:t>
      </w:r>
      <w:r w:rsidRPr="00D5464D">
        <w:rPr>
          <w:szCs w:val="20"/>
          <w:lang w:val="pt-BR"/>
        </w:rPr>
        <w:t>devida diligência</w:t>
      </w:r>
      <w:r w:rsidR="00D81AA1" w:rsidRPr="00D5464D">
        <w:rPr>
          <w:szCs w:val="20"/>
          <w:lang w:val="pt-BR"/>
        </w:rPr>
        <w:t xml:space="preserve"> está implícito</w:t>
      </w:r>
      <w:r w:rsidRPr="00D5464D">
        <w:rPr>
          <w:szCs w:val="20"/>
          <w:lang w:val="pt-BR"/>
        </w:rPr>
        <w:t xml:space="preserve"> em </w:t>
      </w:r>
      <w:r w:rsidR="00D81AA1" w:rsidRPr="00D5464D">
        <w:rPr>
          <w:szCs w:val="20"/>
          <w:lang w:val="pt-BR"/>
        </w:rPr>
        <w:t>todos</w:t>
      </w:r>
      <w:r w:rsidR="002C330E" w:rsidRPr="00D5464D">
        <w:rPr>
          <w:szCs w:val="20"/>
          <w:lang w:val="pt-BR"/>
        </w:rPr>
        <w:t xml:space="preserve"> os </w:t>
      </w:r>
      <w:r w:rsidR="00D81AA1" w:rsidRPr="00D5464D">
        <w:rPr>
          <w:szCs w:val="20"/>
          <w:lang w:val="pt-BR"/>
        </w:rPr>
        <w:t xml:space="preserve">casos, </w:t>
      </w:r>
      <w:r w:rsidR="002C330E" w:rsidRPr="00D5464D">
        <w:rPr>
          <w:szCs w:val="20"/>
          <w:lang w:val="pt-BR"/>
        </w:rPr>
        <w:t>mas</w:t>
      </w:r>
      <w:r w:rsidR="00E328B9" w:rsidRPr="00D5464D">
        <w:rPr>
          <w:szCs w:val="20"/>
          <w:lang w:val="pt-BR"/>
        </w:rPr>
        <w:t>,</w:t>
      </w:r>
      <w:r w:rsidR="00D81AA1" w:rsidRPr="00D5464D">
        <w:rPr>
          <w:szCs w:val="20"/>
          <w:lang w:val="pt-BR"/>
        </w:rPr>
        <w:t xml:space="preserve"> </w:t>
      </w:r>
      <w:r w:rsidRPr="00D5464D">
        <w:rPr>
          <w:szCs w:val="20"/>
          <w:lang w:val="pt-BR"/>
        </w:rPr>
        <w:t>quando</w:t>
      </w:r>
      <w:r w:rsidR="00D81AA1" w:rsidRPr="00D5464D">
        <w:rPr>
          <w:szCs w:val="20"/>
          <w:lang w:val="pt-BR"/>
        </w:rPr>
        <w:t xml:space="preserve"> existe</w:t>
      </w:r>
      <w:r w:rsidR="002C330E" w:rsidRPr="00D5464D">
        <w:rPr>
          <w:szCs w:val="20"/>
          <w:lang w:val="pt-BR"/>
        </w:rPr>
        <w:t xml:space="preserve"> a possibilidade </w:t>
      </w:r>
      <w:r w:rsidR="00D81AA1" w:rsidRPr="00D5464D">
        <w:rPr>
          <w:szCs w:val="20"/>
          <w:lang w:val="pt-BR"/>
        </w:rPr>
        <w:t>de res</w:t>
      </w:r>
      <w:r w:rsidR="00BE5157" w:rsidRPr="00D5464D">
        <w:rPr>
          <w:szCs w:val="20"/>
          <w:lang w:val="pt-BR"/>
        </w:rPr>
        <w:t>g</w:t>
      </w:r>
      <w:r w:rsidR="00D81AA1" w:rsidRPr="00D5464D">
        <w:rPr>
          <w:szCs w:val="20"/>
          <w:lang w:val="pt-BR"/>
        </w:rPr>
        <w:t>atar</w:t>
      </w:r>
      <w:r w:rsidR="00E045D9" w:rsidRPr="00D5464D">
        <w:rPr>
          <w:szCs w:val="20"/>
          <w:lang w:val="pt-BR"/>
        </w:rPr>
        <w:t xml:space="preserve"> </w:t>
      </w:r>
      <w:r w:rsidR="00E328B9" w:rsidRPr="00D5464D">
        <w:rPr>
          <w:szCs w:val="20"/>
          <w:lang w:val="pt-BR"/>
        </w:rPr>
        <w:t xml:space="preserve">as </w:t>
      </w:r>
      <w:r w:rsidR="002C330E" w:rsidRPr="00D5464D">
        <w:rPr>
          <w:szCs w:val="20"/>
          <w:lang w:val="pt-BR"/>
        </w:rPr>
        <w:t>pessoa</w:t>
      </w:r>
      <w:r w:rsidR="00D81AA1" w:rsidRPr="00D5464D">
        <w:rPr>
          <w:szCs w:val="20"/>
          <w:lang w:val="pt-BR"/>
        </w:rPr>
        <w:t>s</w:t>
      </w:r>
      <w:r w:rsidRPr="00D5464D">
        <w:rPr>
          <w:szCs w:val="20"/>
          <w:lang w:val="pt-BR"/>
        </w:rPr>
        <w:t xml:space="preserve"> da </w:t>
      </w:r>
      <w:r w:rsidR="00D81AA1" w:rsidRPr="00D5464D">
        <w:rPr>
          <w:szCs w:val="20"/>
          <w:lang w:val="pt-BR"/>
        </w:rPr>
        <w:t>situa</w:t>
      </w:r>
      <w:r w:rsidRPr="00D5464D">
        <w:rPr>
          <w:szCs w:val="20"/>
          <w:lang w:val="pt-BR"/>
        </w:rPr>
        <w:t>ção</w:t>
      </w:r>
      <w:r w:rsidR="00D81AA1" w:rsidRPr="00D5464D">
        <w:rPr>
          <w:szCs w:val="20"/>
          <w:lang w:val="pt-BR"/>
        </w:rPr>
        <w:t xml:space="preserve"> denunciada,</w:t>
      </w:r>
      <w:r w:rsidR="002C330E" w:rsidRPr="00D5464D">
        <w:rPr>
          <w:szCs w:val="20"/>
          <w:lang w:val="pt-BR"/>
        </w:rPr>
        <w:t xml:space="preserve"> a </w:t>
      </w:r>
      <w:r w:rsidR="00D81AA1" w:rsidRPr="00D5464D">
        <w:rPr>
          <w:szCs w:val="20"/>
          <w:lang w:val="pt-BR"/>
        </w:rPr>
        <w:t>investiga</w:t>
      </w:r>
      <w:r w:rsidRPr="00D5464D">
        <w:rPr>
          <w:szCs w:val="20"/>
          <w:lang w:val="pt-BR"/>
        </w:rPr>
        <w:t xml:space="preserve">ção deve </w:t>
      </w:r>
      <w:r w:rsidR="00D81AA1" w:rsidRPr="00D5464D">
        <w:rPr>
          <w:szCs w:val="20"/>
          <w:lang w:val="pt-BR"/>
        </w:rPr>
        <w:t xml:space="preserve">ser </w:t>
      </w:r>
      <w:r w:rsidR="00BE5157" w:rsidRPr="00D5464D">
        <w:rPr>
          <w:szCs w:val="20"/>
          <w:lang w:val="pt-BR"/>
        </w:rPr>
        <w:t xml:space="preserve">realizada </w:t>
      </w:r>
      <w:r w:rsidRPr="00D5464D">
        <w:rPr>
          <w:szCs w:val="20"/>
          <w:lang w:val="pt-BR"/>
        </w:rPr>
        <w:t xml:space="preserve">com </w:t>
      </w:r>
      <w:r w:rsidR="00737270" w:rsidRPr="00D5464D">
        <w:rPr>
          <w:szCs w:val="20"/>
          <w:lang w:val="pt-BR"/>
        </w:rPr>
        <w:t>urgência</w:t>
      </w:r>
      <w:r w:rsidR="00BE5157" w:rsidRPr="00D5464D">
        <w:rPr>
          <w:szCs w:val="20"/>
          <w:lang w:val="pt-BR"/>
        </w:rPr>
        <w:t>.</w:t>
      </w:r>
      <w:r w:rsidR="00D81AA1" w:rsidRPr="00D5464D">
        <w:rPr>
          <w:rStyle w:val="Refdenotaalpie"/>
          <w:lang w:val="pt-BR"/>
        </w:rPr>
        <w:footnoteReference w:id="482"/>
      </w:r>
      <w:r w:rsidR="00D81AA1" w:rsidRPr="00D5464D">
        <w:rPr>
          <w:szCs w:val="20"/>
          <w:lang w:val="pt-BR"/>
        </w:rPr>
        <w:t xml:space="preserve"> </w:t>
      </w:r>
    </w:p>
    <w:p w14:paraId="7A4BE067" w14:textId="77777777" w:rsidR="00A77667" w:rsidRPr="00D5464D" w:rsidRDefault="00A77667" w:rsidP="00A77667">
      <w:pPr>
        <w:tabs>
          <w:tab w:val="clear" w:pos="4419"/>
          <w:tab w:val="clear" w:pos="8838"/>
        </w:tabs>
        <w:contextualSpacing/>
        <w:jc w:val="both"/>
        <w:rPr>
          <w:szCs w:val="20"/>
          <w:lang w:val="pt-BR"/>
        </w:rPr>
      </w:pPr>
    </w:p>
    <w:p w14:paraId="4BECDB75" w14:textId="1324F5C3" w:rsidR="00CA246A" w:rsidRPr="00D5464D" w:rsidRDefault="00470ADC" w:rsidP="00A77667">
      <w:pPr>
        <w:numPr>
          <w:ilvl w:val="0"/>
          <w:numId w:val="1"/>
        </w:numPr>
        <w:tabs>
          <w:tab w:val="clear" w:pos="4419"/>
          <w:tab w:val="clear" w:pos="8838"/>
        </w:tabs>
        <w:contextualSpacing/>
        <w:jc w:val="both"/>
        <w:rPr>
          <w:szCs w:val="20"/>
          <w:lang w:val="pt-BR"/>
        </w:rPr>
      </w:pPr>
      <w:r w:rsidRPr="00D5464D">
        <w:rPr>
          <w:szCs w:val="20"/>
          <w:lang w:val="pt-BR"/>
        </w:rPr>
        <w:t xml:space="preserve">Com o fim </w:t>
      </w:r>
      <w:r w:rsidR="00A77667" w:rsidRPr="00D5464D">
        <w:rPr>
          <w:szCs w:val="20"/>
          <w:lang w:val="pt-BR"/>
        </w:rPr>
        <w:t xml:space="preserve">de </w:t>
      </w:r>
      <w:r w:rsidRPr="00D5464D">
        <w:rPr>
          <w:szCs w:val="20"/>
          <w:lang w:val="pt-BR"/>
        </w:rPr>
        <w:t>analisar</w:t>
      </w:r>
      <w:r w:rsidR="002C330E" w:rsidRPr="00D5464D">
        <w:rPr>
          <w:szCs w:val="20"/>
          <w:lang w:val="pt-BR"/>
        </w:rPr>
        <w:t xml:space="preserve"> a </w:t>
      </w:r>
      <w:r w:rsidRPr="00D5464D">
        <w:rPr>
          <w:szCs w:val="20"/>
          <w:lang w:val="pt-BR"/>
        </w:rPr>
        <w:t>devida diligência</w:t>
      </w:r>
      <w:r w:rsidR="00A77667" w:rsidRPr="00D5464D">
        <w:rPr>
          <w:szCs w:val="20"/>
          <w:lang w:val="pt-BR"/>
        </w:rPr>
        <w:t>,</w:t>
      </w:r>
      <w:r w:rsidR="002C330E" w:rsidRPr="00D5464D">
        <w:rPr>
          <w:szCs w:val="20"/>
          <w:lang w:val="pt-BR"/>
        </w:rPr>
        <w:t xml:space="preserve"> a </w:t>
      </w:r>
      <w:r w:rsidR="00A77667" w:rsidRPr="00D5464D">
        <w:rPr>
          <w:szCs w:val="20"/>
          <w:lang w:val="pt-BR"/>
        </w:rPr>
        <w:t xml:space="preserve">Corte </w:t>
      </w:r>
      <w:r w:rsidR="00E045D9" w:rsidRPr="00D5464D">
        <w:rPr>
          <w:szCs w:val="20"/>
          <w:lang w:val="pt-BR"/>
        </w:rPr>
        <w:t>recorda</w:t>
      </w:r>
      <w:r w:rsidR="00BE5157" w:rsidRPr="00D5464D">
        <w:rPr>
          <w:szCs w:val="20"/>
          <w:lang w:val="pt-BR"/>
        </w:rPr>
        <w:t>rá,</w:t>
      </w:r>
      <w:r w:rsidR="00A77667" w:rsidRPr="00D5464D">
        <w:rPr>
          <w:szCs w:val="20"/>
          <w:lang w:val="pt-BR"/>
        </w:rPr>
        <w:t xml:space="preserve"> brevemente</w:t>
      </w:r>
      <w:r w:rsidR="00BE5157" w:rsidRPr="00D5464D">
        <w:rPr>
          <w:szCs w:val="20"/>
          <w:lang w:val="pt-BR"/>
        </w:rPr>
        <w:t>,</w:t>
      </w:r>
      <w:r w:rsidR="002C330E" w:rsidRPr="00D5464D">
        <w:rPr>
          <w:szCs w:val="20"/>
          <w:lang w:val="pt-BR"/>
        </w:rPr>
        <w:t xml:space="preserve"> as </w:t>
      </w:r>
      <w:r w:rsidRPr="00D5464D">
        <w:rPr>
          <w:szCs w:val="20"/>
          <w:lang w:val="pt-BR"/>
        </w:rPr>
        <w:t>atuações</w:t>
      </w:r>
      <w:r w:rsidR="00E045D9" w:rsidRPr="00D5464D">
        <w:rPr>
          <w:szCs w:val="20"/>
          <w:lang w:val="pt-BR"/>
        </w:rPr>
        <w:t xml:space="preserve"> no </w:t>
      </w:r>
      <w:r w:rsidR="002C330E" w:rsidRPr="00D5464D">
        <w:rPr>
          <w:szCs w:val="20"/>
          <w:lang w:val="pt-BR"/>
        </w:rPr>
        <w:t>processo</w:t>
      </w:r>
      <w:r w:rsidR="00A77667" w:rsidRPr="00D5464D">
        <w:rPr>
          <w:szCs w:val="20"/>
          <w:lang w:val="pt-BR"/>
        </w:rPr>
        <w:t xml:space="preserve"> penal:</w:t>
      </w:r>
      <w:r w:rsidR="00C91CB1" w:rsidRPr="00D5464D">
        <w:rPr>
          <w:szCs w:val="20"/>
          <w:lang w:val="pt-BR"/>
        </w:rPr>
        <w:t xml:space="preserve"> em 1</w:t>
      </w:r>
      <w:r w:rsidR="00CA246A" w:rsidRPr="00D5464D">
        <w:rPr>
          <w:rFonts w:cs="Arial"/>
          <w:szCs w:val="20"/>
          <w:lang w:val="pt-BR"/>
        </w:rPr>
        <w:t xml:space="preserve">0 de </w:t>
      </w:r>
      <w:r w:rsidR="002C330E" w:rsidRPr="00D5464D">
        <w:rPr>
          <w:rFonts w:cs="Arial"/>
          <w:szCs w:val="20"/>
          <w:lang w:val="pt-BR"/>
        </w:rPr>
        <w:t>março</w:t>
      </w:r>
      <w:r w:rsidR="00CA246A" w:rsidRPr="00D5464D">
        <w:rPr>
          <w:rFonts w:cs="Arial"/>
          <w:szCs w:val="20"/>
          <w:lang w:val="pt-BR"/>
        </w:rPr>
        <w:t xml:space="preserve"> de 1997</w:t>
      </w:r>
      <w:r w:rsidR="00BE5157" w:rsidRPr="00D5464D">
        <w:rPr>
          <w:rFonts w:cs="Arial"/>
          <w:szCs w:val="20"/>
          <w:lang w:val="pt-BR"/>
        </w:rPr>
        <w:t>,</w:t>
      </w:r>
      <w:r w:rsidR="00CA246A" w:rsidRPr="00D5464D">
        <w:rPr>
          <w:rFonts w:cs="Arial"/>
          <w:szCs w:val="20"/>
          <w:lang w:val="pt-BR"/>
        </w:rPr>
        <w:t xml:space="preserve"> José da Costa Oliveira</w:t>
      </w:r>
      <w:r w:rsidR="00E045D9" w:rsidRPr="00D5464D">
        <w:rPr>
          <w:rFonts w:cs="Arial"/>
          <w:szCs w:val="20"/>
          <w:lang w:val="pt-BR"/>
        </w:rPr>
        <w:t xml:space="preserve"> e </w:t>
      </w:r>
      <w:r w:rsidR="00CA246A" w:rsidRPr="00D5464D">
        <w:rPr>
          <w:rFonts w:cs="Arial"/>
          <w:szCs w:val="20"/>
          <w:lang w:val="pt-BR"/>
        </w:rPr>
        <w:t xml:space="preserve">José Ferreira dos Santos </w:t>
      </w:r>
      <w:r w:rsidR="00230C71" w:rsidRPr="00D5464D">
        <w:rPr>
          <w:rFonts w:cs="Arial"/>
          <w:szCs w:val="20"/>
          <w:lang w:val="pt-BR"/>
        </w:rPr>
        <w:t>prestaram</w:t>
      </w:r>
      <w:r w:rsidR="00E045D9" w:rsidRPr="00D5464D">
        <w:rPr>
          <w:rFonts w:cs="Arial"/>
          <w:szCs w:val="20"/>
          <w:lang w:val="pt-BR"/>
        </w:rPr>
        <w:t xml:space="preserve"> uma </w:t>
      </w:r>
      <w:r w:rsidR="00CA246A" w:rsidRPr="00D5464D">
        <w:rPr>
          <w:rFonts w:cs="Arial"/>
          <w:szCs w:val="20"/>
          <w:lang w:val="pt-BR"/>
        </w:rPr>
        <w:t>declara</w:t>
      </w:r>
      <w:r w:rsidRPr="00D5464D">
        <w:rPr>
          <w:rFonts w:cs="Arial"/>
          <w:szCs w:val="20"/>
          <w:lang w:val="pt-BR"/>
        </w:rPr>
        <w:t>ção</w:t>
      </w:r>
      <w:r w:rsidR="00CA246A" w:rsidRPr="00D5464D">
        <w:rPr>
          <w:rFonts w:cs="Arial"/>
          <w:szCs w:val="20"/>
          <w:lang w:val="pt-BR"/>
        </w:rPr>
        <w:t xml:space="preserve"> </w:t>
      </w:r>
      <w:r w:rsidR="00BE5157" w:rsidRPr="00D5464D">
        <w:rPr>
          <w:rFonts w:cs="Arial"/>
          <w:szCs w:val="20"/>
          <w:lang w:val="pt-BR"/>
        </w:rPr>
        <w:t>per</w:t>
      </w:r>
      <w:r w:rsidR="00CA246A" w:rsidRPr="00D5464D">
        <w:rPr>
          <w:rFonts w:cs="Arial"/>
          <w:szCs w:val="20"/>
          <w:lang w:val="pt-BR"/>
        </w:rPr>
        <w:t>ante</w:t>
      </w:r>
      <w:r w:rsidRPr="00D5464D">
        <w:rPr>
          <w:rFonts w:cs="Arial"/>
          <w:szCs w:val="20"/>
          <w:lang w:val="pt-BR"/>
        </w:rPr>
        <w:t xml:space="preserve"> o </w:t>
      </w:r>
      <w:r w:rsidR="00CA246A" w:rsidRPr="00D5464D">
        <w:rPr>
          <w:rFonts w:cs="Arial"/>
          <w:szCs w:val="20"/>
          <w:lang w:val="pt-BR"/>
        </w:rPr>
        <w:t xml:space="preserve">Departamento de </w:t>
      </w:r>
      <w:r w:rsidR="00C91CB1" w:rsidRPr="00D5464D">
        <w:rPr>
          <w:rFonts w:cs="Arial"/>
          <w:szCs w:val="20"/>
          <w:lang w:val="pt-BR"/>
        </w:rPr>
        <w:t xml:space="preserve">Polícia </w:t>
      </w:r>
      <w:r w:rsidR="00CA246A" w:rsidRPr="00D5464D">
        <w:rPr>
          <w:rFonts w:cs="Arial"/>
          <w:szCs w:val="20"/>
          <w:lang w:val="pt-BR"/>
        </w:rPr>
        <w:t>Federal d</w:t>
      </w:r>
      <w:r w:rsidR="00BE5157" w:rsidRPr="00D5464D">
        <w:rPr>
          <w:rFonts w:cs="Arial"/>
          <w:szCs w:val="20"/>
          <w:lang w:val="pt-BR"/>
        </w:rPr>
        <w:t>o</w:t>
      </w:r>
      <w:r w:rsidR="00CA246A" w:rsidRPr="00D5464D">
        <w:rPr>
          <w:rFonts w:cs="Arial"/>
          <w:szCs w:val="20"/>
          <w:lang w:val="pt-BR"/>
        </w:rPr>
        <w:t xml:space="preserve"> Pará, Delega</w:t>
      </w:r>
      <w:r w:rsidR="00BE5157" w:rsidRPr="00D5464D">
        <w:rPr>
          <w:rFonts w:cs="Arial"/>
          <w:szCs w:val="20"/>
          <w:lang w:val="pt-BR"/>
        </w:rPr>
        <w:t>cia</w:t>
      </w:r>
      <w:r w:rsidR="00CA246A" w:rsidRPr="00D5464D">
        <w:rPr>
          <w:rFonts w:cs="Arial"/>
          <w:szCs w:val="20"/>
          <w:lang w:val="pt-BR"/>
        </w:rPr>
        <w:t xml:space="preserve"> de Marabá,</w:t>
      </w:r>
      <w:r w:rsidR="00E045D9" w:rsidRPr="00D5464D">
        <w:rPr>
          <w:rFonts w:cs="Arial"/>
          <w:szCs w:val="20"/>
          <w:lang w:val="pt-BR"/>
        </w:rPr>
        <w:t xml:space="preserve"> na </w:t>
      </w:r>
      <w:r w:rsidRPr="00D5464D">
        <w:rPr>
          <w:rFonts w:cs="Arial"/>
          <w:szCs w:val="20"/>
          <w:lang w:val="pt-BR"/>
        </w:rPr>
        <w:t xml:space="preserve">qual </w:t>
      </w:r>
      <w:r w:rsidR="00CA246A" w:rsidRPr="00D5464D">
        <w:rPr>
          <w:rFonts w:cs="Arial"/>
          <w:szCs w:val="20"/>
          <w:lang w:val="pt-BR"/>
        </w:rPr>
        <w:t>relat</w:t>
      </w:r>
      <w:r w:rsidR="00350187" w:rsidRPr="00D5464D">
        <w:rPr>
          <w:rFonts w:cs="Arial"/>
          <w:szCs w:val="20"/>
          <w:lang w:val="pt-BR"/>
        </w:rPr>
        <w:t xml:space="preserve">aram </w:t>
      </w:r>
      <w:r w:rsidR="002C330E" w:rsidRPr="00D5464D">
        <w:rPr>
          <w:rFonts w:cs="Arial"/>
          <w:szCs w:val="20"/>
          <w:lang w:val="pt-BR"/>
        </w:rPr>
        <w:t>ter</w:t>
      </w:r>
      <w:r w:rsidR="00BE5157" w:rsidRPr="00D5464D">
        <w:rPr>
          <w:rFonts w:cs="Arial"/>
          <w:szCs w:val="20"/>
          <w:lang w:val="pt-BR"/>
        </w:rPr>
        <w:t>em</w:t>
      </w:r>
      <w:r w:rsidR="00CA246A" w:rsidRPr="00D5464D">
        <w:rPr>
          <w:rFonts w:cs="Arial"/>
          <w:szCs w:val="20"/>
          <w:lang w:val="pt-BR"/>
        </w:rPr>
        <w:t xml:space="preserve"> </w:t>
      </w:r>
      <w:r w:rsidR="00E045D9" w:rsidRPr="00D5464D">
        <w:rPr>
          <w:rFonts w:cs="Arial"/>
          <w:szCs w:val="20"/>
          <w:lang w:val="pt-BR"/>
        </w:rPr>
        <w:t>trabalh</w:t>
      </w:r>
      <w:r w:rsidR="00CA246A" w:rsidRPr="00D5464D">
        <w:rPr>
          <w:rFonts w:cs="Arial"/>
          <w:szCs w:val="20"/>
          <w:lang w:val="pt-BR"/>
        </w:rPr>
        <w:t>ado</w:t>
      </w:r>
      <w:r w:rsidR="00E045D9" w:rsidRPr="00D5464D">
        <w:rPr>
          <w:rFonts w:cs="Arial"/>
          <w:szCs w:val="20"/>
          <w:lang w:val="pt-BR"/>
        </w:rPr>
        <w:t xml:space="preserve"> e </w:t>
      </w:r>
      <w:r w:rsidR="00CA246A" w:rsidRPr="00D5464D">
        <w:rPr>
          <w:rFonts w:cs="Arial"/>
          <w:szCs w:val="20"/>
          <w:lang w:val="pt-BR"/>
        </w:rPr>
        <w:t>escapado</w:t>
      </w:r>
      <w:r w:rsidRPr="00D5464D">
        <w:rPr>
          <w:rFonts w:cs="Arial"/>
          <w:szCs w:val="20"/>
          <w:lang w:val="pt-BR"/>
        </w:rPr>
        <w:t xml:space="preserve"> da </w:t>
      </w:r>
      <w:r w:rsidR="00D809F0" w:rsidRPr="00D5464D">
        <w:rPr>
          <w:rFonts w:cs="Arial"/>
          <w:iCs/>
          <w:szCs w:val="20"/>
          <w:lang w:val="pt-BR"/>
        </w:rPr>
        <w:t>Fazenda</w:t>
      </w:r>
      <w:r w:rsidR="00CA246A" w:rsidRPr="00D5464D">
        <w:rPr>
          <w:rFonts w:cs="Arial"/>
          <w:iCs/>
          <w:szCs w:val="20"/>
          <w:lang w:val="pt-BR"/>
        </w:rPr>
        <w:t xml:space="preserve"> Brasil Verde</w:t>
      </w:r>
      <w:r w:rsidR="00CA246A" w:rsidRPr="00D5464D">
        <w:rPr>
          <w:rFonts w:cs="Arial"/>
          <w:i/>
          <w:iCs/>
          <w:szCs w:val="20"/>
          <w:lang w:val="pt-BR"/>
        </w:rPr>
        <w:t xml:space="preserve"> </w:t>
      </w:r>
      <w:r w:rsidR="00CA246A" w:rsidRPr="00D5464D">
        <w:rPr>
          <w:rFonts w:cs="Arial"/>
          <w:szCs w:val="20"/>
          <w:lang w:val="pt-BR"/>
        </w:rPr>
        <w:t>(</w:t>
      </w:r>
      <w:r w:rsidR="00C85EA9" w:rsidRPr="00D5464D">
        <w:rPr>
          <w:rFonts w:cs="Arial"/>
          <w:szCs w:val="20"/>
          <w:lang w:val="pt-BR"/>
        </w:rPr>
        <w:t xml:space="preserve">par. </w:t>
      </w:r>
      <w:r w:rsidR="00D036E7" w:rsidRPr="00D5464D">
        <w:rPr>
          <w:rFonts w:cs="Arial"/>
          <w:szCs w:val="20"/>
          <w:lang w:val="pt-BR"/>
        </w:rPr>
        <w:t>143</w:t>
      </w:r>
      <w:r w:rsidR="00D036E7" w:rsidRPr="00D5464D">
        <w:rPr>
          <w:rFonts w:cs="Arial"/>
          <w:i/>
          <w:szCs w:val="20"/>
          <w:lang w:val="pt-BR"/>
        </w:rPr>
        <w:t xml:space="preserve"> supra</w:t>
      </w:r>
      <w:r w:rsidR="00D036E7" w:rsidRPr="00D5464D">
        <w:rPr>
          <w:rFonts w:cs="Arial"/>
          <w:szCs w:val="20"/>
          <w:lang w:val="pt-BR"/>
        </w:rPr>
        <w:t>)</w:t>
      </w:r>
      <w:r w:rsidR="00CA246A" w:rsidRPr="00D5464D">
        <w:rPr>
          <w:rFonts w:cs="Arial"/>
          <w:szCs w:val="20"/>
          <w:lang w:val="pt-BR"/>
        </w:rPr>
        <w:t xml:space="preserve">. Como </w:t>
      </w:r>
      <w:r w:rsidRPr="00D5464D">
        <w:rPr>
          <w:rFonts w:cs="Arial"/>
          <w:szCs w:val="20"/>
          <w:lang w:val="pt-BR"/>
        </w:rPr>
        <w:t>consequência</w:t>
      </w:r>
      <w:r w:rsidR="00CA246A" w:rsidRPr="00D5464D">
        <w:rPr>
          <w:rFonts w:cs="Arial"/>
          <w:szCs w:val="20"/>
          <w:lang w:val="pt-BR"/>
        </w:rPr>
        <w:t xml:space="preserve"> </w:t>
      </w:r>
      <w:r w:rsidRPr="00D5464D">
        <w:rPr>
          <w:rFonts w:cs="Arial"/>
          <w:szCs w:val="20"/>
          <w:lang w:val="pt-BR"/>
        </w:rPr>
        <w:t>do</w:t>
      </w:r>
      <w:r w:rsidR="002C330E" w:rsidRPr="00D5464D">
        <w:rPr>
          <w:rFonts w:cs="Arial"/>
          <w:szCs w:val="20"/>
          <w:lang w:val="pt-BR"/>
        </w:rPr>
        <w:t xml:space="preserve"> </w:t>
      </w:r>
      <w:r w:rsidR="00350187" w:rsidRPr="00D5464D">
        <w:rPr>
          <w:rFonts w:cs="Arial"/>
          <w:szCs w:val="20"/>
          <w:lang w:val="pt-BR"/>
        </w:rPr>
        <w:t>relatório</w:t>
      </w:r>
      <w:r w:rsidR="002C330E" w:rsidRPr="00D5464D">
        <w:rPr>
          <w:rFonts w:cs="Arial"/>
          <w:szCs w:val="20"/>
          <w:lang w:val="pt-BR"/>
        </w:rPr>
        <w:t xml:space="preserve"> </w:t>
      </w:r>
      <w:r w:rsidRPr="00D5464D">
        <w:rPr>
          <w:rFonts w:cs="Arial"/>
          <w:szCs w:val="20"/>
          <w:lang w:val="pt-BR"/>
        </w:rPr>
        <w:t xml:space="preserve">do </w:t>
      </w:r>
      <w:r w:rsidR="002C330E" w:rsidRPr="00D5464D">
        <w:rPr>
          <w:rFonts w:cs="Arial"/>
          <w:szCs w:val="20"/>
          <w:lang w:val="pt-BR"/>
        </w:rPr>
        <w:t>Ministério</w:t>
      </w:r>
      <w:r w:rsidR="00CA246A" w:rsidRPr="00D5464D">
        <w:rPr>
          <w:rFonts w:cs="Arial"/>
          <w:szCs w:val="20"/>
          <w:lang w:val="pt-BR"/>
        </w:rPr>
        <w:t xml:space="preserve"> </w:t>
      </w:r>
      <w:r w:rsidRPr="00D5464D">
        <w:rPr>
          <w:rFonts w:cs="Arial"/>
          <w:szCs w:val="20"/>
          <w:lang w:val="pt-BR"/>
        </w:rPr>
        <w:t xml:space="preserve">do </w:t>
      </w:r>
      <w:r w:rsidR="00E045D9" w:rsidRPr="00D5464D">
        <w:rPr>
          <w:rFonts w:cs="Arial"/>
          <w:szCs w:val="20"/>
          <w:lang w:val="pt-BR"/>
        </w:rPr>
        <w:t>Trabalho</w:t>
      </w:r>
      <w:r w:rsidR="00CA246A" w:rsidRPr="00D5464D">
        <w:rPr>
          <w:rFonts w:cs="Arial"/>
          <w:szCs w:val="20"/>
          <w:lang w:val="pt-BR"/>
        </w:rPr>
        <w:t>,</w:t>
      </w:r>
      <w:r w:rsidR="002C330E" w:rsidRPr="00D5464D">
        <w:rPr>
          <w:rFonts w:cs="Arial"/>
          <w:szCs w:val="20"/>
          <w:lang w:val="pt-BR"/>
        </w:rPr>
        <w:t xml:space="preserve"> em 3</w:t>
      </w:r>
      <w:r w:rsidR="00CA246A" w:rsidRPr="00D5464D">
        <w:rPr>
          <w:rFonts w:cs="Arial"/>
          <w:szCs w:val="20"/>
          <w:lang w:val="pt-BR"/>
        </w:rPr>
        <w:t xml:space="preserve">0 de </w:t>
      </w:r>
      <w:r w:rsidR="002C330E" w:rsidRPr="00D5464D">
        <w:rPr>
          <w:rFonts w:cs="Arial"/>
          <w:szCs w:val="20"/>
          <w:lang w:val="pt-BR"/>
        </w:rPr>
        <w:t>junho</w:t>
      </w:r>
      <w:r w:rsidR="00CA246A" w:rsidRPr="00D5464D">
        <w:rPr>
          <w:rFonts w:cs="Arial"/>
          <w:szCs w:val="20"/>
          <w:lang w:val="pt-BR"/>
        </w:rPr>
        <w:t xml:space="preserve"> de 1997</w:t>
      </w:r>
      <w:r w:rsidR="00BE5157" w:rsidRPr="00D5464D">
        <w:rPr>
          <w:rFonts w:cs="Arial"/>
          <w:szCs w:val="20"/>
          <w:lang w:val="pt-BR"/>
        </w:rPr>
        <w:t>,</w:t>
      </w:r>
      <w:r w:rsidRPr="00D5464D">
        <w:rPr>
          <w:rFonts w:cs="Arial"/>
          <w:szCs w:val="20"/>
          <w:lang w:val="pt-BR"/>
        </w:rPr>
        <w:t xml:space="preserve"> o </w:t>
      </w:r>
      <w:r w:rsidR="002C330E" w:rsidRPr="00D5464D">
        <w:rPr>
          <w:rFonts w:cs="Arial"/>
          <w:szCs w:val="20"/>
          <w:lang w:val="pt-BR"/>
        </w:rPr>
        <w:t>Ministério</w:t>
      </w:r>
      <w:r w:rsidR="00CA246A" w:rsidRPr="00D5464D">
        <w:rPr>
          <w:rFonts w:cs="Arial"/>
          <w:szCs w:val="20"/>
          <w:lang w:val="pt-BR"/>
        </w:rPr>
        <w:t xml:space="preserve"> Público Federal </w:t>
      </w:r>
      <w:r w:rsidR="002C330E" w:rsidRPr="00D5464D">
        <w:rPr>
          <w:rFonts w:cs="Arial"/>
          <w:szCs w:val="20"/>
          <w:lang w:val="pt-BR"/>
        </w:rPr>
        <w:t>apresentou</w:t>
      </w:r>
      <w:r w:rsidR="00E045D9" w:rsidRPr="00D5464D">
        <w:rPr>
          <w:rFonts w:cs="Arial"/>
          <w:szCs w:val="20"/>
          <w:lang w:val="pt-BR"/>
        </w:rPr>
        <w:t xml:space="preserve"> uma </w:t>
      </w:r>
      <w:r w:rsidRPr="00D5464D">
        <w:rPr>
          <w:rFonts w:cs="Arial"/>
          <w:szCs w:val="20"/>
          <w:lang w:val="pt-BR"/>
        </w:rPr>
        <w:t xml:space="preserve">denúncia </w:t>
      </w:r>
      <w:r w:rsidR="00CA246A" w:rsidRPr="00D5464D">
        <w:rPr>
          <w:rFonts w:cs="Arial"/>
          <w:szCs w:val="20"/>
          <w:lang w:val="pt-BR"/>
        </w:rPr>
        <w:t>penal contra</w:t>
      </w:r>
      <w:r w:rsidR="009E04D5" w:rsidRPr="00D5464D">
        <w:rPr>
          <w:rFonts w:cs="Arial"/>
          <w:szCs w:val="20"/>
          <w:lang w:val="pt-BR"/>
        </w:rPr>
        <w:t xml:space="preserve"> </w:t>
      </w:r>
      <w:r w:rsidR="00CA246A" w:rsidRPr="00D5464D">
        <w:rPr>
          <w:rFonts w:cs="Arial"/>
          <w:szCs w:val="20"/>
          <w:lang w:val="pt-BR"/>
        </w:rPr>
        <w:t xml:space="preserve">Raimundo </w:t>
      </w:r>
      <w:r w:rsidR="00085F51" w:rsidRPr="00D5464D">
        <w:rPr>
          <w:rFonts w:cs="Arial"/>
          <w:szCs w:val="20"/>
          <w:lang w:val="pt-BR"/>
        </w:rPr>
        <w:t>Alves da Rocha</w:t>
      </w:r>
      <w:r w:rsidR="009E04D5" w:rsidRPr="00D5464D">
        <w:rPr>
          <w:rFonts w:cs="Arial"/>
          <w:szCs w:val="20"/>
          <w:lang w:val="pt-BR"/>
        </w:rPr>
        <w:t xml:space="preserve">, </w:t>
      </w:r>
      <w:r w:rsidR="00E42F61" w:rsidRPr="00D5464D">
        <w:rPr>
          <w:rFonts w:cs="Arial"/>
          <w:szCs w:val="20"/>
          <w:lang w:val="pt-BR"/>
        </w:rPr>
        <w:t xml:space="preserve">Antônio </w:t>
      </w:r>
      <w:r w:rsidR="00CA246A" w:rsidRPr="00D5464D">
        <w:rPr>
          <w:rFonts w:cs="Arial"/>
          <w:szCs w:val="20"/>
          <w:lang w:val="pt-BR"/>
        </w:rPr>
        <w:t>Alves Vieira</w:t>
      </w:r>
      <w:r w:rsidRPr="00D5464D">
        <w:rPr>
          <w:rFonts w:cs="Arial"/>
          <w:szCs w:val="20"/>
          <w:lang w:val="pt-BR"/>
        </w:rPr>
        <w:t xml:space="preserve"> e</w:t>
      </w:r>
      <w:r w:rsidR="00CA246A" w:rsidRPr="00D5464D">
        <w:rPr>
          <w:rFonts w:cs="Times New Roman"/>
          <w:szCs w:val="20"/>
          <w:lang w:val="pt-BR"/>
        </w:rPr>
        <w:t xml:space="preserve"> </w:t>
      </w:r>
      <w:r w:rsidR="00CA246A" w:rsidRPr="00D5464D">
        <w:rPr>
          <w:rFonts w:cs="Arial"/>
          <w:szCs w:val="20"/>
          <w:lang w:val="pt-BR"/>
        </w:rPr>
        <w:t>João Luiz Quagliato Neto (</w:t>
      </w:r>
      <w:r w:rsidR="00C85EA9" w:rsidRPr="00D5464D">
        <w:rPr>
          <w:rFonts w:cs="Arial"/>
          <w:szCs w:val="20"/>
          <w:lang w:val="pt-BR"/>
        </w:rPr>
        <w:t xml:space="preserve">par. </w:t>
      </w:r>
      <w:r w:rsidR="00D036E7" w:rsidRPr="00D5464D">
        <w:rPr>
          <w:rFonts w:cs="Arial"/>
          <w:szCs w:val="20"/>
          <w:lang w:val="pt-BR"/>
        </w:rPr>
        <w:t xml:space="preserve">145 </w:t>
      </w:r>
      <w:r w:rsidR="00D036E7" w:rsidRPr="00D5464D">
        <w:rPr>
          <w:rFonts w:cs="Arial"/>
          <w:i/>
          <w:szCs w:val="20"/>
          <w:lang w:val="pt-BR"/>
        </w:rPr>
        <w:t>supra</w:t>
      </w:r>
      <w:r w:rsidR="00D036E7" w:rsidRPr="00D5464D">
        <w:rPr>
          <w:rFonts w:cs="Arial"/>
          <w:szCs w:val="20"/>
          <w:lang w:val="pt-BR"/>
        </w:rPr>
        <w:t>)</w:t>
      </w:r>
      <w:r w:rsidR="00C91CB1" w:rsidRPr="00D5464D">
        <w:rPr>
          <w:rFonts w:cs="Arial"/>
          <w:szCs w:val="20"/>
          <w:lang w:val="pt-BR"/>
        </w:rPr>
        <w:t>. Em 2</w:t>
      </w:r>
      <w:r w:rsidR="00CA246A" w:rsidRPr="00D5464D">
        <w:rPr>
          <w:rFonts w:cs="Arial"/>
          <w:szCs w:val="20"/>
          <w:lang w:val="pt-BR"/>
        </w:rPr>
        <w:t xml:space="preserve">3 de </w:t>
      </w:r>
      <w:r w:rsidR="002C330E" w:rsidRPr="00D5464D">
        <w:rPr>
          <w:rFonts w:cs="Arial"/>
          <w:szCs w:val="20"/>
          <w:lang w:val="pt-BR"/>
        </w:rPr>
        <w:t>setembro</w:t>
      </w:r>
      <w:r w:rsidR="00CA246A" w:rsidRPr="00D5464D">
        <w:rPr>
          <w:rFonts w:cs="Arial"/>
          <w:szCs w:val="20"/>
          <w:lang w:val="pt-BR"/>
        </w:rPr>
        <w:t xml:space="preserve"> de 1999, a </w:t>
      </w:r>
      <w:r w:rsidR="00BE5157" w:rsidRPr="00D5464D">
        <w:rPr>
          <w:rFonts w:cs="Arial"/>
          <w:szCs w:val="20"/>
          <w:lang w:val="pt-BR"/>
        </w:rPr>
        <w:t xml:space="preserve">pedido </w:t>
      </w:r>
      <w:r w:rsidRPr="00D5464D">
        <w:rPr>
          <w:rFonts w:cs="Arial"/>
          <w:szCs w:val="20"/>
          <w:lang w:val="pt-BR"/>
        </w:rPr>
        <w:t xml:space="preserve">do </w:t>
      </w:r>
      <w:r w:rsidR="002C330E" w:rsidRPr="00D5464D">
        <w:rPr>
          <w:rFonts w:cs="Arial"/>
          <w:szCs w:val="20"/>
          <w:lang w:val="pt-BR"/>
        </w:rPr>
        <w:t>Ministério</w:t>
      </w:r>
      <w:r w:rsidR="00CA246A" w:rsidRPr="00D5464D">
        <w:rPr>
          <w:rFonts w:cs="Arial"/>
          <w:szCs w:val="20"/>
          <w:lang w:val="pt-BR"/>
        </w:rPr>
        <w:t xml:space="preserve"> Público,</w:t>
      </w:r>
      <w:r w:rsidRPr="00D5464D">
        <w:rPr>
          <w:rFonts w:cs="Arial"/>
          <w:szCs w:val="20"/>
          <w:lang w:val="pt-BR"/>
        </w:rPr>
        <w:t xml:space="preserve"> o </w:t>
      </w:r>
      <w:r w:rsidR="002C330E" w:rsidRPr="00D5464D">
        <w:rPr>
          <w:rFonts w:cs="Arial"/>
          <w:szCs w:val="20"/>
          <w:lang w:val="pt-BR"/>
        </w:rPr>
        <w:t>juiz</w:t>
      </w:r>
      <w:r w:rsidR="00CA246A" w:rsidRPr="00D5464D">
        <w:rPr>
          <w:rFonts w:cs="Arial"/>
          <w:szCs w:val="20"/>
          <w:lang w:val="pt-BR"/>
        </w:rPr>
        <w:t xml:space="preserve"> federal </w:t>
      </w:r>
      <w:r w:rsidR="00737270" w:rsidRPr="00D5464D">
        <w:rPr>
          <w:rFonts w:cs="Arial"/>
          <w:szCs w:val="20"/>
          <w:lang w:val="pt-BR"/>
        </w:rPr>
        <w:t>autorizou</w:t>
      </w:r>
      <w:r w:rsidR="002C330E" w:rsidRPr="00D5464D">
        <w:rPr>
          <w:rFonts w:cs="Arial"/>
          <w:szCs w:val="20"/>
          <w:lang w:val="pt-BR"/>
        </w:rPr>
        <w:t xml:space="preserve"> a </w:t>
      </w:r>
      <w:r w:rsidR="00CA246A" w:rsidRPr="00D5464D">
        <w:rPr>
          <w:rFonts w:cs="Arial"/>
          <w:szCs w:val="20"/>
          <w:lang w:val="pt-BR"/>
        </w:rPr>
        <w:t>sus</w:t>
      </w:r>
      <w:r w:rsidR="002C330E" w:rsidRPr="00D5464D">
        <w:rPr>
          <w:rFonts w:cs="Arial"/>
          <w:szCs w:val="20"/>
          <w:lang w:val="pt-BR"/>
        </w:rPr>
        <w:t>pensão</w:t>
      </w:r>
      <w:r w:rsidR="00CA246A" w:rsidRPr="00D5464D">
        <w:rPr>
          <w:rFonts w:cs="Arial"/>
          <w:szCs w:val="20"/>
          <w:lang w:val="pt-BR"/>
        </w:rPr>
        <w:t xml:space="preserve"> condicional </w:t>
      </w:r>
      <w:r w:rsidRPr="00D5464D">
        <w:rPr>
          <w:rFonts w:cs="Arial"/>
          <w:szCs w:val="20"/>
          <w:lang w:val="pt-BR"/>
        </w:rPr>
        <w:t xml:space="preserve">do </w:t>
      </w:r>
      <w:r w:rsidR="002C330E" w:rsidRPr="00D5464D">
        <w:rPr>
          <w:rFonts w:cs="Arial"/>
          <w:szCs w:val="20"/>
          <w:lang w:val="pt-BR"/>
        </w:rPr>
        <w:t>processo</w:t>
      </w:r>
      <w:r w:rsidR="00CA246A" w:rsidRPr="00D5464D">
        <w:rPr>
          <w:rFonts w:cs="Arial"/>
          <w:szCs w:val="20"/>
          <w:lang w:val="pt-BR"/>
        </w:rPr>
        <w:t xml:space="preserve"> instaurado contra João Luiz Quagliato Neto </w:t>
      </w:r>
      <w:r w:rsidR="00BE5157" w:rsidRPr="00D5464D">
        <w:rPr>
          <w:rFonts w:cs="Arial"/>
          <w:szCs w:val="20"/>
          <w:lang w:val="pt-BR"/>
        </w:rPr>
        <w:t xml:space="preserve">por dois anos </w:t>
      </w:r>
      <w:r w:rsidR="00CA246A" w:rsidRPr="00D5464D">
        <w:rPr>
          <w:rFonts w:cs="Arial"/>
          <w:szCs w:val="20"/>
          <w:lang w:val="pt-BR"/>
        </w:rPr>
        <w:t>(</w:t>
      </w:r>
      <w:r w:rsidR="00C85EA9" w:rsidRPr="00D5464D">
        <w:rPr>
          <w:rFonts w:cs="Arial"/>
          <w:szCs w:val="20"/>
          <w:lang w:val="pt-BR"/>
        </w:rPr>
        <w:t xml:space="preserve">par. </w:t>
      </w:r>
      <w:r w:rsidR="00D036E7" w:rsidRPr="00D5464D">
        <w:rPr>
          <w:rFonts w:cs="Arial"/>
          <w:szCs w:val="20"/>
          <w:lang w:val="pt-BR"/>
        </w:rPr>
        <w:t xml:space="preserve">149 </w:t>
      </w:r>
      <w:r w:rsidR="00D036E7" w:rsidRPr="00D5464D">
        <w:rPr>
          <w:rFonts w:cs="Arial"/>
          <w:i/>
          <w:szCs w:val="20"/>
          <w:lang w:val="pt-BR"/>
        </w:rPr>
        <w:t>supra</w:t>
      </w:r>
      <w:r w:rsidR="00D036E7" w:rsidRPr="00D5464D">
        <w:rPr>
          <w:rFonts w:cs="Arial"/>
          <w:szCs w:val="20"/>
          <w:lang w:val="pt-BR"/>
        </w:rPr>
        <w:t>)</w:t>
      </w:r>
      <w:r w:rsidR="00A1358C" w:rsidRPr="00D5464D">
        <w:rPr>
          <w:rFonts w:cs="Arial"/>
          <w:szCs w:val="20"/>
          <w:lang w:val="pt-BR"/>
        </w:rPr>
        <w:t xml:space="preserve">. </w:t>
      </w:r>
      <w:r w:rsidR="00C91CB1" w:rsidRPr="00D5464D">
        <w:rPr>
          <w:rFonts w:cs="Arial"/>
          <w:szCs w:val="20"/>
          <w:lang w:val="pt-BR"/>
        </w:rPr>
        <w:t>Em 1</w:t>
      </w:r>
      <w:r w:rsidR="00CA246A" w:rsidRPr="00D5464D">
        <w:rPr>
          <w:rFonts w:cs="Arial"/>
          <w:szCs w:val="20"/>
          <w:lang w:val="pt-BR"/>
        </w:rPr>
        <w:t xml:space="preserve">6 de </w:t>
      </w:r>
      <w:r w:rsidR="002C330E" w:rsidRPr="00D5464D">
        <w:rPr>
          <w:rFonts w:cs="Arial"/>
          <w:szCs w:val="20"/>
          <w:lang w:val="pt-BR"/>
        </w:rPr>
        <w:t>março</w:t>
      </w:r>
      <w:r w:rsidR="00CA246A" w:rsidRPr="00D5464D">
        <w:rPr>
          <w:rFonts w:cs="Arial"/>
          <w:szCs w:val="20"/>
          <w:lang w:val="pt-BR"/>
        </w:rPr>
        <w:t xml:space="preserve"> de 2001</w:t>
      </w:r>
      <w:r w:rsidR="00BE5157" w:rsidRPr="00D5464D">
        <w:rPr>
          <w:rFonts w:cs="Arial"/>
          <w:szCs w:val="20"/>
          <w:lang w:val="pt-BR"/>
        </w:rPr>
        <w:t>,</w:t>
      </w:r>
      <w:r w:rsidRPr="00D5464D">
        <w:rPr>
          <w:rFonts w:cs="Arial"/>
          <w:szCs w:val="20"/>
          <w:lang w:val="pt-BR"/>
        </w:rPr>
        <w:t xml:space="preserve"> o </w:t>
      </w:r>
      <w:r w:rsidR="002C330E" w:rsidRPr="00D5464D">
        <w:rPr>
          <w:rFonts w:cs="Arial"/>
          <w:szCs w:val="20"/>
          <w:lang w:val="pt-BR"/>
        </w:rPr>
        <w:t>juiz</w:t>
      </w:r>
      <w:r w:rsidR="00CA246A" w:rsidRPr="00D5464D">
        <w:rPr>
          <w:rFonts w:cs="Arial"/>
          <w:szCs w:val="20"/>
          <w:lang w:val="pt-BR"/>
        </w:rPr>
        <w:t xml:space="preserve"> federal </w:t>
      </w:r>
      <w:r w:rsidR="00BE5157" w:rsidRPr="00D5464D">
        <w:rPr>
          <w:rFonts w:cs="Arial"/>
          <w:szCs w:val="20"/>
          <w:lang w:val="pt-BR"/>
        </w:rPr>
        <w:t>substituto</w:t>
      </w:r>
      <w:r w:rsidR="00CA246A" w:rsidRPr="00D5464D">
        <w:rPr>
          <w:rFonts w:cs="Arial"/>
          <w:szCs w:val="20"/>
          <w:lang w:val="pt-BR"/>
        </w:rPr>
        <w:t xml:space="preserve"> </w:t>
      </w:r>
      <w:r w:rsidR="00BE5157" w:rsidRPr="00D5464D">
        <w:rPr>
          <w:rFonts w:cs="Arial"/>
          <w:szCs w:val="20"/>
          <w:lang w:val="pt-BR"/>
        </w:rPr>
        <w:t xml:space="preserve">responsável pelo </w:t>
      </w:r>
      <w:r w:rsidR="00CA246A" w:rsidRPr="00D5464D">
        <w:rPr>
          <w:rFonts w:cs="Arial"/>
          <w:szCs w:val="20"/>
          <w:lang w:val="pt-BR"/>
        </w:rPr>
        <w:t xml:space="preserve">caso </w:t>
      </w:r>
      <w:r w:rsidRPr="00D5464D">
        <w:rPr>
          <w:rFonts w:cs="Arial"/>
          <w:szCs w:val="20"/>
          <w:lang w:val="pt-BR"/>
        </w:rPr>
        <w:t>declarou</w:t>
      </w:r>
      <w:r w:rsidR="002C330E" w:rsidRPr="00D5464D">
        <w:rPr>
          <w:rFonts w:cs="Arial"/>
          <w:szCs w:val="20"/>
          <w:lang w:val="pt-BR"/>
        </w:rPr>
        <w:t xml:space="preserve"> a </w:t>
      </w:r>
      <w:r w:rsidR="00CA246A" w:rsidRPr="00D5464D">
        <w:rPr>
          <w:rFonts w:cs="Arial"/>
          <w:szCs w:val="20"/>
          <w:lang w:val="pt-BR"/>
        </w:rPr>
        <w:t>in</w:t>
      </w:r>
      <w:r w:rsidRPr="00D5464D">
        <w:rPr>
          <w:rFonts w:cs="Arial"/>
          <w:szCs w:val="20"/>
          <w:lang w:val="pt-BR"/>
        </w:rPr>
        <w:t>competência</w:t>
      </w:r>
      <w:r w:rsidR="00CA246A" w:rsidRPr="00D5464D">
        <w:rPr>
          <w:rFonts w:cs="Arial"/>
          <w:szCs w:val="20"/>
          <w:lang w:val="pt-BR"/>
        </w:rPr>
        <w:t xml:space="preserve"> absoluta</w:t>
      </w:r>
      <w:r w:rsidRPr="00D5464D">
        <w:rPr>
          <w:rFonts w:cs="Arial"/>
          <w:szCs w:val="20"/>
          <w:lang w:val="pt-BR"/>
        </w:rPr>
        <w:t xml:space="preserve"> da </w:t>
      </w:r>
      <w:r w:rsidR="002C330E" w:rsidRPr="00D5464D">
        <w:rPr>
          <w:rFonts w:cs="Arial"/>
          <w:szCs w:val="20"/>
          <w:lang w:val="pt-BR"/>
        </w:rPr>
        <w:t>Justiça</w:t>
      </w:r>
      <w:r w:rsidR="00CA246A" w:rsidRPr="00D5464D">
        <w:rPr>
          <w:rFonts w:cs="Arial"/>
          <w:szCs w:val="20"/>
          <w:lang w:val="pt-BR"/>
        </w:rPr>
        <w:t xml:space="preserve"> Federal para </w:t>
      </w:r>
      <w:r w:rsidR="002C330E" w:rsidRPr="00D5464D">
        <w:rPr>
          <w:rFonts w:cs="Arial"/>
          <w:szCs w:val="20"/>
          <w:lang w:val="pt-BR"/>
        </w:rPr>
        <w:t>julgar</w:t>
      </w:r>
      <w:r w:rsidRPr="00D5464D">
        <w:rPr>
          <w:rFonts w:cs="Arial"/>
          <w:szCs w:val="20"/>
          <w:lang w:val="pt-BR"/>
        </w:rPr>
        <w:t xml:space="preserve"> o </w:t>
      </w:r>
      <w:r w:rsidR="002C330E" w:rsidRPr="00D5464D">
        <w:rPr>
          <w:rFonts w:cs="Arial"/>
          <w:szCs w:val="20"/>
          <w:lang w:val="pt-BR"/>
        </w:rPr>
        <w:t>processo</w:t>
      </w:r>
      <w:r w:rsidR="00CA246A" w:rsidRPr="00D5464D">
        <w:rPr>
          <w:rFonts w:cs="Arial"/>
          <w:szCs w:val="20"/>
          <w:lang w:val="pt-BR"/>
        </w:rPr>
        <w:t xml:space="preserve"> (</w:t>
      </w:r>
      <w:r w:rsidR="00C85EA9" w:rsidRPr="00D5464D">
        <w:rPr>
          <w:rFonts w:cs="Arial"/>
          <w:szCs w:val="20"/>
          <w:lang w:val="pt-BR"/>
        </w:rPr>
        <w:t xml:space="preserve">par. </w:t>
      </w:r>
      <w:r w:rsidR="00D036E7" w:rsidRPr="00D5464D">
        <w:rPr>
          <w:rFonts w:cs="Arial"/>
          <w:szCs w:val="20"/>
          <w:lang w:val="pt-BR"/>
        </w:rPr>
        <w:t xml:space="preserve">151 </w:t>
      </w:r>
      <w:r w:rsidR="00D036E7" w:rsidRPr="00D5464D">
        <w:rPr>
          <w:rFonts w:cs="Arial"/>
          <w:i/>
          <w:szCs w:val="20"/>
          <w:lang w:val="pt-BR"/>
        </w:rPr>
        <w:t>supra</w:t>
      </w:r>
      <w:r w:rsidR="00D036E7" w:rsidRPr="00D5464D">
        <w:rPr>
          <w:rFonts w:cs="Arial"/>
          <w:szCs w:val="20"/>
          <w:lang w:val="pt-BR"/>
        </w:rPr>
        <w:t>)</w:t>
      </w:r>
      <w:r w:rsidR="00C91CB1" w:rsidRPr="00D5464D">
        <w:rPr>
          <w:rFonts w:cs="Arial"/>
          <w:szCs w:val="20"/>
          <w:lang w:val="pt-BR"/>
        </w:rPr>
        <w:t>. Em 8</w:t>
      </w:r>
      <w:r w:rsidR="00CA246A" w:rsidRPr="00D5464D">
        <w:rPr>
          <w:rFonts w:cs="Arial"/>
          <w:szCs w:val="20"/>
          <w:lang w:val="pt-BR"/>
        </w:rPr>
        <w:t xml:space="preserve"> de agosto de 2001</w:t>
      </w:r>
      <w:r w:rsidR="00BE5157" w:rsidRPr="00D5464D">
        <w:rPr>
          <w:rFonts w:cs="Arial"/>
          <w:szCs w:val="20"/>
          <w:lang w:val="pt-BR"/>
        </w:rPr>
        <w:t>,</w:t>
      </w:r>
      <w:r w:rsidRPr="00D5464D">
        <w:rPr>
          <w:rFonts w:cs="Arial"/>
          <w:szCs w:val="20"/>
          <w:lang w:val="pt-BR"/>
        </w:rPr>
        <w:t xml:space="preserve"> o </w:t>
      </w:r>
      <w:r w:rsidR="002C330E" w:rsidRPr="00D5464D">
        <w:rPr>
          <w:rFonts w:cs="Arial"/>
          <w:szCs w:val="20"/>
          <w:lang w:val="pt-BR"/>
        </w:rPr>
        <w:t>processo</w:t>
      </w:r>
      <w:r w:rsidRPr="00D5464D">
        <w:rPr>
          <w:rFonts w:cs="Arial"/>
          <w:szCs w:val="20"/>
          <w:lang w:val="pt-BR"/>
        </w:rPr>
        <w:t xml:space="preserve"> foi </w:t>
      </w:r>
      <w:r w:rsidR="00BE5157" w:rsidRPr="00D5464D">
        <w:rPr>
          <w:rFonts w:cs="Arial"/>
          <w:szCs w:val="20"/>
          <w:lang w:val="pt-BR"/>
        </w:rPr>
        <w:t>retomado</w:t>
      </w:r>
      <w:r w:rsidR="002C330E" w:rsidRPr="00D5464D">
        <w:rPr>
          <w:rFonts w:cs="Arial"/>
          <w:szCs w:val="20"/>
          <w:lang w:val="pt-BR"/>
        </w:rPr>
        <w:t xml:space="preserve"> pela justiça</w:t>
      </w:r>
      <w:r w:rsidR="00CA246A" w:rsidRPr="00D5464D">
        <w:rPr>
          <w:rFonts w:cs="Arial"/>
          <w:szCs w:val="20"/>
          <w:lang w:val="pt-BR"/>
        </w:rPr>
        <w:t xml:space="preserve"> estadual de Xinguara</w:t>
      </w:r>
      <w:r w:rsidRPr="00D5464D">
        <w:rPr>
          <w:rFonts w:cs="Arial"/>
          <w:szCs w:val="20"/>
          <w:lang w:val="pt-BR"/>
        </w:rPr>
        <w:t xml:space="preserve"> e</w:t>
      </w:r>
      <w:r w:rsidR="00BE5157" w:rsidRPr="00D5464D">
        <w:rPr>
          <w:rFonts w:cs="Arial"/>
          <w:szCs w:val="20"/>
          <w:lang w:val="pt-BR"/>
        </w:rPr>
        <w:t>,</w:t>
      </w:r>
      <w:r w:rsidR="002C330E" w:rsidRPr="00D5464D">
        <w:rPr>
          <w:rFonts w:cs="Arial"/>
          <w:szCs w:val="20"/>
          <w:lang w:val="pt-BR"/>
        </w:rPr>
        <w:t xml:space="preserve"> em 2</w:t>
      </w:r>
      <w:r w:rsidR="00CA246A" w:rsidRPr="00D5464D">
        <w:rPr>
          <w:rFonts w:cs="Arial"/>
          <w:szCs w:val="20"/>
          <w:lang w:val="pt-BR"/>
        </w:rPr>
        <w:t xml:space="preserve">5 de </w:t>
      </w:r>
      <w:r w:rsidR="002C330E" w:rsidRPr="00D5464D">
        <w:rPr>
          <w:rFonts w:cs="Arial"/>
          <w:szCs w:val="20"/>
          <w:lang w:val="pt-BR"/>
        </w:rPr>
        <w:t>outubro</w:t>
      </w:r>
      <w:r w:rsidR="00CA246A" w:rsidRPr="00D5464D">
        <w:rPr>
          <w:rFonts w:cs="Arial"/>
          <w:szCs w:val="20"/>
          <w:lang w:val="pt-BR"/>
        </w:rPr>
        <w:t xml:space="preserve"> de 2001</w:t>
      </w:r>
      <w:r w:rsidR="00BE5157" w:rsidRPr="00D5464D">
        <w:rPr>
          <w:rFonts w:cs="Arial"/>
          <w:szCs w:val="20"/>
          <w:lang w:val="pt-BR"/>
        </w:rPr>
        <w:t>,</w:t>
      </w:r>
      <w:r w:rsidR="002C330E" w:rsidRPr="00D5464D">
        <w:rPr>
          <w:rFonts w:cs="Arial"/>
          <w:szCs w:val="20"/>
          <w:lang w:val="pt-BR"/>
        </w:rPr>
        <w:t xml:space="preserve"> a </w:t>
      </w:r>
      <w:r w:rsidRPr="00D5464D">
        <w:rPr>
          <w:rFonts w:cs="Arial"/>
          <w:szCs w:val="20"/>
          <w:lang w:val="pt-BR"/>
        </w:rPr>
        <w:t>Promotoria</w:t>
      </w:r>
      <w:r w:rsidR="00CA246A" w:rsidRPr="00D5464D">
        <w:rPr>
          <w:rFonts w:cs="Arial"/>
          <w:szCs w:val="20"/>
          <w:lang w:val="pt-BR"/>
        </w:rPr>
        <w:t xml:space="preserve"> </w:t>
      </w:r>
      <w:r w:rsidR="002C330E" w:rsidRPr="00D5464D">
        <w:rPr>
          <w:rFonts w:cs="Arial"/>
          <w:szCs w:val="20"/>
          <w:lang w:val="pt-BR"/>
        </w:rPr>
        <w:t xml:space="preserve">ratificou a </w:t>
      </w:r>
      <w:r w:rsidR="00CA246A" w:rsidRPr="00D5464D">
        <w:rPr>
          <w:rFonts w:cs="Arial"/>
          <w:szCs w:val="20"/>
          <w:lang w:val="pt-BR"/>
        </w:rPr>
        <w:t>den</w:t>
      </w:r>
      <w:r w:rsidR="00BE5157" w:rsidRPr="00D5464D">
        <w:rPr>
          <w:rFonts w:cs="Arial"/>
          <w:szCs w:val="20"/>
          <w:lang w:val="pt-BR"/>
        </w:rPr>
        <w:t>ú</w:t>
      </w:r>
      <w:r w:rsidR="00CA246A" w:rsidRPr="00D5464D">
        <w:rPr>
          <w:rFonts w:cs="Arial"/>
          <w:szCs w:val="20"/>
          <w:lang w:val="pt-BR"/>
        </w:rPr>
        <w:t>ncia; posteriormente,</w:t>
      </w:r>
      <w:r w:rsidR="002C330E" w:rsidRPr="00D5464D">
        <w:rPr>
          <w:rFonts w:cs="Arial"/>
          <w:szCs w:val="20"/>
          <w:lang w:val="pt-BR"/>
        </w:rPr>
        <w:t xml:space="preserve"> </w:t>
      </w:r>
      <w:r w:rsidR="009E04D5" w:rsidRPr="00D5464D">
        <w:rPr>
          <w:rFonts w:cs="Arial"/>
          <w:szCs w:val="20"/>
          <w:lang w:val="pt-BR"/>
        </w:rPr>
        <w:t xml:space="preserve">o juiz acolheu a denúncia </w:t>
      </w:r>
      <w:r w:rsidR="002C330E" w:rsidRPr="00D5464D">
        <w:rPr>
          <w:rFonts w:cs="Arial"/>
          <w:szCs w:val="20"/>
          <w:lang w:val="pt-BR"/>
        </w:rPr>
        <w:t>em 2</w:t>
      </w:r>
      <w:r w:rsidR="00CA246A" w:rsidRPr="00D5464D">
        <w:rPr>
          <w:rFonts w:cs="Arial"/>
          <w:szCs w:val="20"/>
          <w:lang w:val="pt-BR"/>
        </w:rPr>
        <w:t>3 de</w:t>
      </w:r>
      <w:r w:rsidR="002C330E" w:rsidRPr="00D5464D">
        <w:rPr>
          <w:rFonts w:cs="Arial"/>
          <w:szCs w:val="20"/>
          <w:lang w:val="pt-BR"/>
        </w:rPr>
        <w:t xml:space="preserve"> maio </w:t>
      </w:r>
      <w:r w:rsidR="009E04D5" w:rsidRPr="00D5464D">
        <w:rPr>
          <w:rFonts w:cs="Arial"/>
          <w:szCs w:val="20"/>
          <w:lang w:val="pt-BR"/>
        </w:rPr>
        <w:t>de 2002</w:t>
      </w:r>
      <w:r w:rsidR="00C91CB1" w:rsidRPr="00D5464D">
        <w:rPr>
          <w:rFonts w:cs="Arial"/>
          <w:szCs w:val="20"/>
          <w:lang w:val="pt-BR"/>
        </w:rPr>
        <w:t>. Em 8</w:t>
      </w:r>
      <w:r w:rsidR="00CA246A" w:rsidRPr="00D5464D">
        <w:rPr>
          <w:rFonts w:cs="Arial"/>
          <w:szCs w:val="20"/>
          <w:lang w:val="pt-BR"/>
        </w:rPr>
        <w:t xml:space="preserve"> de </w:t>
      </w:r>
      <w:r w:rsidR="002C330E" w:rsidRPr="00D5464D">
        <w:rPr>
          <w:rFonts w:cs="Arial"/>
          <w:szCs w:val="20"/>
          <w:lang w:val="pt-BR"/>
        </w:rPr>
        <w:t>novembro</w:t>
      </w:r>
      <w:r w:rsidR="00CA246A" w:rsidRPr="00D5464D">
        <w:rPr>
          <w:rFonts w:cs="Arial"/>
          <w:szCs w:val="20"/>
          <w:lang w:val="pt-BR"/>
        </w:rPr>
        <w:t xml:space="preserve"> de 2004,</w:t>
      </w:r>
      <w:r w:rsidR="002C330E" w:rsidRPr="00D5464D">
        <w:rPr>
          <w:rFonts w:cs="Arial"/>
          <w:szCs w:val="20"/>
          <w:lang w:val="pt-BR"/>
        </w:rPr>
        <w:t xml:space="preserve"> a justiça</w:t>
      </w:r>
      <w:r w:rsidR="00CA246A" w:rsidRPr="00D5464D">
        <w:rPr>
          <w:rFonts w:cs="Arial"/>
          <w:szCs w:val="20"/>
          <w:lang w:val="pt-BR"/>
        </w:rPr>
        <w:t xml:space="preserve"> estadual </w:t>
      </w:r>
      <w:r w:rsidRPr="00D5464D">
        <w:rPr>
          <w:rFonts w:cs="Arial"/>
          <w:szCs w:val="20"/>
          <w:lang w:val="pt-BR"/>
        </w:rPr>
        <w:t>declarou</w:t>
      </w:r>
      <w:r w:rsidR="00BE5157" w:rsidRPr="00D5464D">
        <w:rPr>
          <w:rFonts w:cs="Arial"/>
          <w:szCs w:val="20"/>
          <w:lang w:val="pt-BR"/>
        </w:rPr>
        <w:t>-se</w:t>
      </w:r>
      <w:r w:rsidR="00CA246A" w:rsidRPr="00D5464D">
        <w:rPr>
          <w:rFonts w:cs="Arial"/>
          <w:szCs w:val="20"/>
          <w:lang w:val="pt-BR"/>
        </w:rPr>
        <w:t xml:space="preserve"> in</w:t>
      </w:r>
      <w:r w:rsidR="00A1358C" w:rsidRPr="00D5464D">
        <w:rPr>
          <w:rFonts w:cs="Arial"/>
          <w:szCs w:val="20"/>
          <w:lang w:val="pt-BR"/>
        </w:rPr>
        <w:t>competente</w:t>
      </w:r>
      <w:r w:rsidR="00CA246A" w:rsidRPr="00D5464D">
        <w:rPr>
          <w:rFonts w:cs="Arial"/>
          <w:szCs w:val="20"/>
          <w:lang w:val="pt-BR"/>
        </w:rPr>
        <w:t xml:space="preserve"> para </w:t>
      </w:r>
      <w:r w:rsidRPr="00D5464D">
        <w:rPr>
          <w:rFonts w:cs="Arial"/>
          <w:szCs w:val="20"/>
          <w:lang w:val="pt-BR"/>
        </w:rPr>
        <w:t>conhecer</w:t>
      </w:r>
      <w:r w:rsidR="00CA246A" w:rsidRPr="00D5464D">
        <w:rPr>
          <w:rFonts w:cs="Arial"/>
          <w:szCs w:val="20"/>
          <w:lang w:val="pt-BR"/>
        </w:rPr>
        <w:t xml:space="preserve"> </w:t>
      </w:r>
      <w:r w:rsidRPr="00D5464D">
        <w:rPr>
          <w:rFonts w:cs="Arial"/>
          <w:szCs w:val="20"/>
          <w:lang w:val="pt-BR"/>
        </w:rPr>
        <w:t xml:space="preserve">do </w:t>
      </w:r>
      <w:r w:rsidR="002C330E" w:rsidRPr="00D5464D">
        <w:rPr>
          <w:rFonts w:cs="Arial"/>
          <w:szCs w:val="20"/>
          <w:lang w:val="pt-BR"/>
        </w:rPr>
        <w:t>processo</w:t>
      </w:r>
      <w:r w:rsidR="00CA246A" w:rsidRPr="00D5464D">
        <w:rPr>
          <w:rFonts w:cs="Arial"/>
          <w:szCs w:val="20"/>
          <w:lang w:val="pt-BR"/>
        </w:rPr>
        <w:t xml:space="preserve"> penal,</w:t>
      </w:r>
      <w:r w:rsidR="00A1358C" w:rsidRPr="00D5464D">
        <w:rPr>
          <w:rFonts w:cs="Arial"/>
          <w:szCs w:val="20"/>
          <w:lang w:val="pt-BR"/>
        </w:rPr>
        <w:t xml:space="preserve"> o que </w:t>
      </w:r>
      <w:r w:rsidR="002C330E" w:rsidRPr="00D5464D">
        <w:rPr>
          <w:rFonts w:cs="Arial"/>
          <w:szCs w:val="20"/>
          <w:lang w:val="pt-BR"/>
        </w:rPr>
        <w:t>gerou</w:t>
      </w:r>
      <w:r w:rsidR="00E045D9" w:rsidRPr="00D5464D">
        <w:rPr>
          <w:rFonts w:cs="Arial"/>
          <w:szCs w:val="20"/>
          <w:lang w:val="pt-BR"/>
        </w:rPr>
        <w:t xml:space="preserve"> um </w:t>
      </w:r>
      <w:r w:rsidRPr="00D5464D">
        <w:rPr>
          <w:rFonts w:cs="Arial"/>
          <w:szCs w:val="20"/>
          <w:lang w:val="pt-BR"/>
        </w:rPr>
        <w:t>conflito</w:t>
      </w:r>
      <w:r w:rsidR="00CA246A" w:rsidRPr="00D5464D">
        <w:rPr>
          <w:rFonts w:cs="Arial"/>
          <w:szCs w:val="20"/>
          <w:lang w:val="pt-BR"/>
        </w:rPr>
        <w:t xml:space="preserve"> de </w:t>
      </w:r>
      <w:r w:rsidRPr="00D5464D">
        <w:rPr>
          <w:rFonts w:cs="Arial"/>
          <w:szCs w:val="20"/>
          <w:lang w:val="pt-BR"/>
        </w:rPr>
        <w:t>competência</w:t>
      </w:r>
      <w:r w:rsidR="00CA246A" w:rsidRPr="00D5464D">
        <w:rPr>
          <w:rFonts w:cs="Arial"/>
          <w:szCs w:val="20"/>
          <w:lang w:val="pt-BR"/>
        </w:rPr>
        <w:t>s</w:t>
      </w:r>
      <w:r w:rsidR="00C91CB1" w:rsidRPr="00D5464D">
        <w:rPr>
          <w:rFonts w:cs="Arial"/>
          <w:szCs w:val="20"/>
          <w:lang w:val="pt-BR"/>
        </w:rPr>
        <w:t>. Em 2</w:t>
      </w:r>
      <w:r w:rsidR="00CA246A" w:rsidRPr="00D5464D">
        <w:rPr>
          <w:rFonts w:cs="Arial"/>
          <w:szCs w:val="20"/>
          <w:lang w:val="pt-BR"/>
        </w:rPr>
        <w:t xml:space="preserve">6 de </w:t>
      </w:r>
      <w:r w:rsidR="002C330E" w:rsidRPr="00D5464D">
        <w:rPr>
          <w:rFonts w:cs="Arial"/>
          <w:szCs w:val="20"/>
          <w:lang w:val="pt-BR"/>
        </w:rPr>
        <w:t>setembro</w:t>
      </w:r>
      <w:r w:rsidR="00CA246A" w:rsidRPr="00D5464D">
        <w:rPr>
          <w:rFonts w:cs="Arial"/>
          <w:szCs w:val="20"/>
          <w:lang w:val="pt-BR"/>
        </w:rPr>
        <w:t xml:space="preserve"> de 2007</w:t>
      </w:r>
      <w:r w:rsidR="00BE5157" w:rsidRPr="00D5464D">
        <w:rPr>
          <w:rFonts w:cs="Arial"/>
          <w:szCs w:val="20"/>
          <w:lang w:val="pt-BR"/>
        </w:rPr>
        <w:t>,</w:t>
      </w:r>
      <w:r w:rsidRPr="00D5464D">
        <w:rPr>
          <w:rFonts w:cs="Arial"/>
          <w:szCs w:val="20"/>
          <w:lang w:val="pt-BR"/>
        </w:rPr>
        <w:t xml:space="preserve"> o </w:t>
      </w:r>
      <w:r w:rsidR="00CA246A" w:rsidRPr="00D5464D">
        <w:rPr>
          <w:rFonts w:cs="Arial"/>
          <w:szCs w:val="20"/>
          <w:lang w:val="pt-BR"/>
        </w:rPr>
        <w:t xml:space="preserve">Superior Tribunal de </w:t>
      </w:r>
      <w:r w:rsidR="002C330E" w:rsidRPr="00D5464D">
        <w:rPr>
          <w:rFonts w:cs="Arial"/>
          <w:szCs w:val="20"/>
          <w:lang w:val="pt-BR"/>
        </w:rPr>
        <w:t>Justiça</w:t>
      </w:r>
      <w:r w:rsidR="00CA246A" w:rsidRPr="00D5464D">
        <w:rPr>
          <w:rFonts w:cs="Arial"/>
          <w:szCs w:val="20"/>
          <w:lang w:val="pt-BR"/>
        </w:rPr>
        <w:t xml:space="preserve"> </w:t>
      </w:r>
      <w:r w:rsidR="00E328B9" w:rsidRPr="00D5464D">
        <w:rPr>
          <w:rFonts w:cs="Arial"/>
          <w:szCs w:val="20"/>
          <w:lang w:val="pt-BR"/>
        </w:rPr>
        <w:t>decidiu</w:t>
      </w:r>
      <w:r w:rsidR="00FF1290" w:rsidRPr="00D5464D">
        <w:rPr>
          <w:rFonts w:cs="Arial"/>
          <w:szCs w:val="20"/>
          <w:lang w:val="pt-BR"/>
        </w:rPr>
        <w:t xml:space="preserve"> </w:t>
      </w:r>
      <w:r w:rsidR="00CA246A" w:rsidRPr="00D5464D">
        <w:rPr>
          <w:rFonts w:cs="Arial"/>
          <w:szCs w:val="20"/>
          <w:lang w:val="pt-BR"/>
        </w:rPr>
        <w:t>que</w:t>
      </w:r>
      <w:r w:rsidR="002C330E" w:rsidRPr="00D5464D">
        <w:rPr>
          <w:rFonts w:cs="Arial"/>
          <w:szCs w:val="20"/>
          <w:lang w:val="pt-BR"/>
        </w:rPr>
        <w:t xml:space="preserve"> a jurisdição</w:t>
      </w:r>
      <w:r w:rsidR="00CA246A" w:rsidRPr="00D5464D">
        <w:rPr>
          <w:rFonts w:cs="Arial"/>
          <w:szCs w:val="20"/>
          <w:lang w:val="pt-BR"/>
        </w:rPr>
        <w:t xml:space="preserve"> </w:t>
      </w:r>
      <w:r w:rsidR="00BE5157" w:rsidRPr="00D5464D">
        <w:rPr>
          <w:rFonts w:cs="Arial"/>
          <w:szCs w:val="20"/>
          <w:lang w:val="pt-BR"/>
        </w:rPr>
        <w:t xml:space="preserve">federal era </w:t>
      </w:r>
      <w:r w:rsidR="00A1358C" w:rsidRPr="00D5464D">
        <w:rPr>
          <w:rFonts w:cs="Arial"/>
          <w:szCs w:val="20"/>
          <w:lang w:val="pt-BR"/>
        </w:rPr>
        <w:t xml:space="preserve">competente. </w:t>
      </w:r>
      <w:r w:rsidR="00C91CB1" w:rsidRPr="00D5464D">
        <w:rPr>
          <w:rFonts w:cs="Arial"/>
          <w:szCs w:val="20"/>
          <w:lang w:val="pt-BR"/>
        </w:rPr>
        <w:t>Em 1</w:t>
      </w:r>
      <w:r w:rsidR="00350187" w:rsidRPr="00D5464D">
        <w:rPr>
          <w:rFonts w:cs="Arial"/>
          <w:szCs w:val="20"/>
          <w:lang w:val="pt-BR"/>
        </w:rPr>
        <w:t xml:space="preserve">1 </w:t>
      </w:r>
      <w:r w:rsidR="00A1358C" w:rsidRPr="00D5464D">
        <w:rPr>
          <w:rFonts w:cs="Arial"/>
          <w:szCs w:val="20"/>
          <w:lang w:val="pt-BR"/>
        </w:rPr>
        <w:t>de dezembro</w:t>
      </w:r>
      <w:r w:rsidR="00CA246A" w:rsidRPr="00D5464D">
        <w:rPr>
          <w:rFonts w:cs="Arial"/>
          <w:szCs w:val="20"/>
          <w:lang w:val="pt-BR"/>
        </w:rPr>
        <w:t xml:space="preserve"> de 2007</w:t>
      </w:r>
      <w:r w:rsidR="00BE5157" w:rsidRPr="00D5464D">
        <w:rPr>
          <w:rFonts w:cs="Arial"/>
          <w:szCs w:val="20"/>
          <w:lang w:val="pt-BR"/>
        </w:rPr>
        <w:t>,</w:t>
      </w:r>
      <w:r w:rsidR="00CA246A" w:rsidRPr="00D5464D">
        <w:rPr>
          <w:rFonts w:cs="Arial"/>
          <w:szCs w:val="20"/>
          <w:lang w:val="pt-BR"/>
        </w:rPr>
        <w:t xml:space="preserve"> </w:t>
      </w:r>
      <w:r w:rsidR="00BE5157" w:rsidRPr="00D5464D">
        <w:rPr>
          <w:rFonts w:cs="Arial"/>
          <w:szCs w:val="20"/>
          <w:lang w:val="pt-BR"/>
        </w:rPr>
        <w:t xml:space="preserve">os autos foram remetidos </w:t>
      </w:r>
      <w:r w:rsidRPr="00D5464D">
        <w:rPr>
          <w:rFonts w:cs="Arial"/>
          <w:szCs w:val="20"/>
          <w:lang w:val="pt-BR"/>
        </w:rPr>
        <w:t xml:space="preserve">à </w:t>
      </w:r>
      <w:r w:rsidR="009E04D5" w:rsidRPr="00D5464D">
        <w:rPr>
          <w:rFonts w:cs="Arial"/>
          <w:szCs w:val="20"/>
          <w:lang w:val="pt-BR"/>
        </w:rPr>
        <w:t xml:space="preserve">justiça </w:t>
      </w:r>
      <w:r w:rsidR="00CA246A" w:rsidRPr="00D5464D">
        <w:rPr>
          <w:rFonts w:cs="Arial"/>
          <w:szCs w:val="20"/>
          <w:lang w:val="pt-BR"/>
        </w:rPr>
        <w:t>federal de Marabá, Pará (</w:t>
      </w:r>
      <w:r w:rsidR="00C85EA9" w:rsidRPr="00D5464D">
        <w:rPr>
          <w:rFonts w:cs="Arial"/>
          <w:szCs w:val="20"/>
          <w:lang w:val="pt-BR"/>
        </w:rPr>
        <w:t xml:space="preserve">par. </w:t>
      </w:r>
      <w:r w:rsidR="00D036E7" w:rsidRPr="00D5464D">
        <w:rPr>
          <w:rFonts w:cs="Arial"/>
          <w:szCs w:val="20"/>
          <w:lang w:val="pt-BR"/>
        </w:rPr>
        <w:t xml:space="preserve">155 </w:t>
      </w:r>
      <w:r w:rsidR="00D036E7" w:rsidRPr="00D5464D">
        <w:rPr>
          <w:rFonts w:cs="Arial"/>
          <w:i/>
          <w:szCs w:val="20"/>
          <w:lang w:val="pt-BR"/>
        </w:rPr>
        <w:t>supra</w:t>
      </w:r>
      <w:r w:rsidR="00D036E7" w:rsidRPr="00D5464D">
        <w:rPr>
          <w:rFonts w:cs="Arial"/>
          <w:szCs w:val="20"/>
          <w:lang w:val="pt-BR"/>
        </w:rPr>
        <w:t>)</w:t>
      </w:r>
      <w:r w:rsidR="00CA246A" w:rsidRPr="00D5464D">
        <w:rPr>
          <w:rFonts w:cs="Arial"/>
          <w:szCs w:val="20"/>
          <w:lang w:val="pt-BR"/>
        </w:rPr>
        <w:t>.</w:t>
      </w:r>
    </w:p>
    <w:p w14:paraId="58AC0413" w14:textId="77777777" w:rsidR="00CA246A" w:rsidRPr="00D5464D" w:rsidRDefault="00CA246A" w:rsidP="00CA246A">
      <w:pPr>
        <w:pStyle w:val="Prrafodelista"/>
        <w:autoSpaceDE w:val="0"/>
        <w:autoSpaceDN w:val="0"/>
        <w:adjustRightInd w:val="0"/>
        <w:ind w:left="0"/>
        <w:rPr>
          <w:rFonts w:cs="Arial"/>
          <w:szCs w:val="20"/>
          <w:lang w:val="pt-BR"/>
        </w:rPr>
      </w:pPr>
    </w:p>
    <w:p w14:paraId="5A252E4F" w14:textId="2644C63F" w:rsidR="00D81AA1" w:rsidRPr="00D5464D" w:rsidRDefault="00BE5157" w:rsidP="004C2D81">
      <w:pPr>
        <w:pStyle w:val="Prrafodelista"/>
        <w:numPr>
          <w:ilvl w:val="0"/>
          <w:numId w:val="1"/>
        </w:numPr>
        <w:contextualSpacing w:val="0"/>
        <w:rPr>
          <w:rFonts w:cs="Arial"/>
          <w:szCs w:val="20"/>
          <w:lang w:val="pt-BR"/>
        </w:rPr>
      </w:pPr>
      <w:r w:rsidRPr="00D5464D">
        <w:rPr>
          <w:rFonts w:cs="Arial"/>
          <w:szCs w:val="20"/>
          <w:lang w:val="pt-BR"/>
        </w:rPr>
        <w:t>E</w:t>
      </w:r>
      <w:r w:rsidR="00C91CB1" w:rsidRPr="00D5464D">
        <w:rPr>
          <w:rFonts w:cs="Arial"/>
          <w:szCs w:val="20"/>
          <w:lang w:val="pt-BR"/>
        </w:rPr>
        <w:t>m 1</w:t>
      </w:r>
      <w:r w:rsidR="00CA246A" w:rsidRPr="00D5464D">
        <w:rPr>
          <w:rFonts w:cs="Arial"/>
          <w:szCs w:val="20"/>
          <w:lang w:val="pt-BR"/>
        </w:rPr>
        <w:t xml:space="preserve">0 de </w:t>
      </w:r>
      <w:r w:rsidR="002C330E" w:rsidRPr="00D5464D">
        <w:rPr>
          <w:rFonts w:cs="Arial"/>
          <w:szCs w:val="20"/>
          <w:lang w:val="pt-BR"/>
        </w:rPr>
        <w:t>julho</w:t>
      </w:r>
      <w:r w:rsidR="00CA246A" w:rsidRPr="00D5464D">
        <w:rPr>
          <w:rFonts w:cs="Arial"/>
          <w:szCs w:val="20"/>
          <w:lang w:val="pt-BR"/>
        </w:rPr>
        <w:t xml:space="preserve"> de 2008</w:t>
      </w:r>
      <w:r w:rsidR="00712042" w:rsidRPr="00D5464D">
        <w:rPr>
          <w:rFonts w:cs="Arial"/>
          <w:szCs w:val="20"/>
          <w:lang w:val="pt-BR"/>
        </w:rPr>
        <w:t>,</w:t>
      </w:r>
      <w:r w:rsidR="00CA246A" w:rsidRPr="00D5464D">
        <w:rPr>
          <w:rFonts w:cs="Arial"/>
          <w:szCs w:val="20"/>
          <w:lang w:val="pt-BR"/>
        </w:rPr>
        <w:t xml:space="preserve"> mediante </w:t>
      </w:r>
      <w:r w:rsidR="002C330E" w:rsidRPr="00D5464D">
        <w:rPr>
          <w:rFonts w:cs="Arial"/>
          <w:szCs w:val="20"/>
          <w:lang w:val="pt-BR"/>
        </w:rPr>
        <w:t>sentença</w:t>
      </w:r>
      <w:r w:rsidR="00CA246A" w:rsidRPr="00D5464D">
        <w:rPr>
          <w:rFonts w:cs="Arial"/>
          <w:szCs w:val="20"/>
          <w:lang w:val="pt-BR"/>
        </w:rPr>
        <w:t xml:space="preserve"> judicial,</w:t>
      </w:r>
      <w:r w:rsidR="00470ADC" w:rsidRPr="00D5464D">
        <w:rPr>
          <w:rFonts w:cs="Arial"/>
          <w:szCs w:val="20"/>
          <w:lang w:val="pt-BR"/>
        </w:rPr>
        <w:t xml:space="preserve"> </w:t>
      </w:r>
      <w:r w:rsidRPr="00D5464D">
        <w:rPr>
          <w:rFonts w:cs="Arial"/>
          <w:szCs w:val="20"/>
          <w:lang w:val="pt-BR"/>
        </w:rPr>
        <w:t>um</w:t>
      </w:r>
      <w:r w:rsidR="00470ADC" w:rsidRPr="00D5464D">
        <w:rPr>
          <w:rFonts w:cs="Arial"/>
          <w:szCs w:val="20"/>
          <w:lang w:val="pt-BR"/>
        </w:rPr>
        <w:t xml:space="preserve"> </w:t>
      </w:r>
      <w:r w:rsidR="002C330E" w:rsidRPr="00D5464D">
        <w:rPr>
          <w:rFonts w:cs="Arial"/>
          <w:szCs w:val="20"/>
          <w:lang w:val="pt-BR"/>
        </w:rPr>
        <w:t>Juiz</w:t>
      </w:r>
      <w:r w:rsidR="00CA246A" w:rsidRPr="00D5464D">
        <w:rPr>
          <w:rFonts w:cs="Arial"/>
          <w:szCs w:val="20"/>
          <w:lang w:val="pt-BR"/>
        </w:rPr>
        <w:t xml:space="preserve"> Federal</w:t>
      </w:r>
      <w:r w:rsidR="00470ADC" w:rsidRPr="00D5464D">
        <w:rPr>
          <w:rFonts w:cs="Arial"/>
          <w:szCs w:val="20"/>
          <w:lang w:val="pt-BR"/>
        </w:rPr>
        <w:t xml:space="preserve"> </w:t>
      </w:r>
      <w:r w:rsidR="00CA246A" w:rsidRPr="00D5464D">
        <w:rPr>
          <w:rFonts w:cs="Arial"/>
          <w:szCs w:val="20"/>
          <w:lang w:val="pt-BR"/>
        </w:rPr>
        <w:t>d</w:t>
      </w:r>
      <w:r w:rsidRPr="00D5464D">
        <w:rPr>
          <w:rFonts w:cs="Arial"/>
          <w:szCs w:val="20"/>
          <w:lang w:val="pt-BR"/>
        </w:rPr>
        <w:t>o</w:t>
      </w:r>
      <w:r w:rsidR="00CA246A" w:rsidRPr="00D5464D">
        <w:rPr>
          <w:rFonts w:cs="Arial"/>
          <w:szCs w:val="20"/>
          <w:lang w:val="pt-BR"/>
        </w:rPr>
        <w:t xml:space="preserve"> Pará </w:t>
      </w:r>
      <w:r w:rsidR="00470ADC" w:rsidRPr="00D5464D">
        <w:rPr>
          <w:rFonts w:cs="Arial"/>
          <w:szCs w:val="20"/>
          <w:lang w:val="pt-BR"/>
        </w:rPr>
        <w:t>declarou</w:t>
      </w:r>
      <w:r w:rsidR="00CA246A" w:rsidRPr="00D5464D">
        <w:rPr>
          <w:rFonts w:cs="Arial"/>
          <w:szCs w:val="20"/>
          <w:lang w:val="pt-BR"/>
        </w:rPr>
        <w:t xml:space="preserve"> que</w:t>
      </w:r>
      <w:r w:rsidR="00E328B9" w:rsidRPr="00D5464D">
        <w:rPr>
          <w:rFonts w:cs="Arial"/>
          <w:szCs w:val="20"/>
          <w:lang w:val="pt-BR"/>
        </w:rPr>
        <w:t>, considerando</w:t>
      </w:r>
      <w:r w:rsidR="0092619F" w:rsidRPr="00D5464D">
        <w:rPr>
          <w:rFonts w:cs="Arial"/>
          <w:szCs w:val="20"/>
          <w:lang w:val="pt-BR"/>
        </w:rPr>
        <w:t xml:space="preserve"> </w:t>
      </w:r>
      <w:r w:rsidR="00CA246A" w:rsidRPr="00D5464D">
        <w:rPr>
          <w:rFonts w:cs="Arial"/>
          <w:szCs w:val="20"/>
          <w:lang w:val="pt-BR"/>
        </w:rPr>
        <w:t>que</w:t>
      </w:r>
      <w:r w:rsidR="00737270" w:rsidRPr="00D5464D">
        <w:rPr>
          <w:rFonts w:cs="Arial"/>
          <w:szCs w:val="20"/>
          <w:lang w:val="pt-BR"/>
        </w:rPr>
        <w:t xml:space="preserve"> haviam </w:t>
      </w:r>
      <w:r w:rsidR="0092619F" w:rsidRPr="00D5464D">
        <w:rPr>
          <w:rFonts w:cs="Arial"/>
          <w:szCs w:val="20"/>
          <w:lang w:val="pt-BR"/>
        </w:rPr>
        <w:t xml:space="preserve">transcorrido </w:t>
      </w:r>
      <w:r w:rsidR="002C330E" w:rsidRPr="00D5464D">
        <w:rPr>
          <w:rFonts w:cs="Arial"/>
          <w:szCs w:val="20"/>
          <w:lang w:val="pt-BR"/>
        </w:rPr>
        <w:t xml:space="preserve">mais </w:t>
      </w:r>
      <w:r w:rsidR="00CA246A" w:rsidRPr="00D5464D">
        <w:rPr>
          <w:rFonts w:cs="Arial"/>
          <w:szCs w:val="20"/>
          <w:lang w:val="pt-BR"/>
        </w:rPr>
        <w:t xml:space="preserve">de 10 </w:t>
      </w:r>
      <w:r w:rsidR="00470ADC" w:rsidRPr="00D5464D">
        <w:rPr>
          <w:rFonts w:cs="Arial"/>
          <w:szCs w:val="20"/>
          <w:lang w:val="pt-BR"/>
        </w:rPr>
        <w:t>anos</w:t>
      </w:r>
      <w:r w:rsidR="00CA246A" w:rsidRPr="00D5464D">
        <w:rPr>
          <w:rFonts w:cs="Arial"/>
          <w:szCs w:val="20"/>
          <w:lang w:val="pt-BR"/>
        </w:rPr>
        <w:t xml:space="preserve"> desde </w:t>
      </w:r>
      <w:r w:rsidR="0092619F" w:rsidRPr="00D5464D">
        <w:rPr>
          <w:rFonts w:cs="Arial"/>
          <w:szCs w:val="20"/>
          <w:lang w:val="pt-BR"/>
        </w:rPr>
        <w:t xml:space="preserve">a apresentação da denúncia e </w:t>
      </w:r>
      <w:r w:rsidR="00CA246A" w:rsidRPr="00D5464D">
        <w:rPr>
          <w:rFonts w:cs="Arial"/>
          <w:szCs w:val="20"/>
          <w:lang w:val="pt-BR"/>
        </w:rPr>
        <w:t>que</w:t>
      </w:r>
      <w:r w:rsidR="002C330E" w:rsidRPr="00D5464D">
        <w:rPr>
          <w:rFonts w:cs="Arial"/>
          <w:szCs w:val="20"/>
          <w:lang w:val="pt-BR"/>
        </w:rPr>
        <w:t xml:space="preserve"> a </w:t>
      </w:r>
      <w:r w:rsidR="00CA246A" w:rsidRPr="00D5464D">
        <w:rPr>
          <w:rFonts w:cs="Arial"/>
          <w:szCs w:val="20"/>
          <w:lang w:val="pt-BR"/>
        </w:rPr>
        <w:t xml:space="preserve">pena máxima a </w:t>
      </w:r>
      <w:r w:rsidR="0092619F" w:rsidRPr="00D5464D">
        <w:rPr>
          <w:rFonts w:cs="Arial"/>
          <w:szCs w:val="20"/>
          <w:lang w:val="pt-BR"/>
        </w:rPr>
        <w:t xml:space="preserve">ser aplicada seria </w:t>
      </w:r>
      <w:r w:rsidR="00CA246A" w:rsidRPr="00D5464D">
        <w:rPr>
          <w:rFonts w:cs="Arial"/>
          <w:szCs w:val="20"/>
          <w:lang w:val="pt-BR"/>
        </w:rPr>
        <w:t xml:space="preserve">de </w:t>
      </w:r>
      <w:r w:rsidR="002C330E" w:rsidRPr="00D5464D">
        <w:rPr>
          <w:rFonts w:cs="Arial"/>
          <w:szCs w:val="20"/>
          <w:lang w:val="pt-BR"/>
        </w:rPr>
        <w:t>oito</w:t>
      </w:r>
      <w:r w:rsidR="00CA246A" w:rsidRPr="00D5464D">
        <w:rPr>
          <w:rFonts w:cs="Arial"/>
          <w:szCs w:val="20"/>
          <w:lang w:val="pt-BR"/>
        </w:rPr>
        <w:t xml:space="preserve"> </w:t>
      </w:r>
      <w:r w:rsidR="00470ADC" w:rsidRPr="00D5464D">
        <w:rPr>
          <w:rFonts w:cs="Arial"/>
          <w:szCs w:val="20"/>
          <w:lang w:val="pt-BR"/>
        </w:rPr>
        <w:t>anos</w:t>
      </w:r>
      <w:r w:rsidR="00E045D9" w:rsidRPr="00D5464D">
        <w:rPr>
          <w:rFonts w:cs="Arial"/>
          <w:szCs w:val="20"/>
          <w:lang w:val="pt-BR"/>
        </w:rPr>
        <w:t xml:space="preserve"> e</w:t>
      </w:r>
      <w:r w:rsidR="0092619F" w:rsidRPr="00D5464D">
        <w:rPr>
          <w:rFonts w:cs="Arial"/>
          <w:szCs w:val="20"/>
          <w:lang w:val="pt-BR"/>
        </w:rPr>
        <w:t>, ainda,</w:t>
      </w:r>
      <w:r w:rsidR="00E045D9" w:rsidRPr="00D5464D">
        <w:rPr>
          <w:rFonts w:cs="Arial"/>
          <w:szCs w:val="20"/>
          <w:lang w:val="pt-BR"/>
        </w:rPr>
        <w:t xml:space="preserve"> </w:t>
      </w:r>
      <w:r w:rsidR="00CA246A" w:rsidRPr="00D5464D">
        <w:rPr>
          <w:rFonts w:cs="Arial"/>
          <w:szCs w:val="20"/>
          <w:lang w:val="pt-BR"/>
        </w:rPr>
        <w:t>que</w:t>
      </w:r>
      <w:r w:rsidR="002C330E" w:rsidRPr="00D5464D">
        <w:rPr>
          <w:rFonts w:cs="Arial"/>
          <w:szCs w:val="20"/>
          <w:lang w:val="pt-BR"/>
        </w:rPr>
        <w:t xml:space="preserve"> a prescrição</w:t>
      </w:r>
      <w:r w:rsidR="00470ADC" w:rsidRPr="00D5464D">
        <w:rPr>
          <w:rFonts w:cs="Arial"/>
          <w:szCs w:val="20"/>
          <w:lang w:val="pt-BR"/>
        </w:rPr>
        <w:t xml:space="preserve"> da </w:t>
      </w:r>
      <w:r w:rsidR="00CA246A" w:rsidRPr="00D5464D">
        <w:rPr>
          <w:rFonts w:cs="Arial"/>
          <w:szCs w:val="20"/>
          <w:lang w:val="pt-BR"/>
        </w:rPr>
        <w:t xml:space="preserve">pena </w:t>
      </w:r>
      <w:r w:rsidR="0092619F" w:rsidRPr="00D5464D">
        <w:rPr>
          <w:rFonts w:cs="Arial"/>
          <w:szCs w:val="20"/>
          <w:lang w:val="pt-BR"/>
        </w:rPr>
        <w:t xml:space="preserve">seria </w:t>
      </w:r>
      <w:r w:rsidR="00CA246A" w:rsidRPr="00D5464D">
        <w:rPr>
          <w:rFonts w:cs="Arial"/>
          <w:szCs w:val="20"/>
          <w:lang w:val="pt-BR"/>
        </w:rPr>
        <w:t xml:space="preserve">de 12 </w:t>
      </w:r>
      <w:r w:rsidR="00470ADC" w:rsidRPr="00D5464D">
        <w:rPr>
          <w:rFonts w:cs="Arial"/>
          <w:szCs w:val="20"/>
          <w:lang w:val="pt-BR"/>
        </w:rPr>
        <w:t>anos</w:t>
      </w:r>
      <w:r w:rsidR="00CA246A" w:rsidRPr="00D5464D">
        <w:rPr>
          <w:rFonts w:cs="Arial"/>
          <w:szCs w:val="20"/>
          <w:lang w:val="pt-BR"/>
        </w:rPr>
        <w:t>,</w:t>
      </w:r>
      <w:r w:rsidR="00D14320" w:rsidRPr="00D5464D">
        <w:rPr>
          <w:rFonts w:cs="Arial"/>
          <w:szCs w:val="20"/>
          <w:lang w:val="pt-BR"/>
        </w:rPr>
        <w:t xml:space="preserve"> apenas </w:t>
      </w:r>
      <w:r w:rsidR="0092619F" w:rsidRPr="00D5464D">
        <w:rPr>
          <w:rFonts w:cs="Arial"/>
          <w:szCs w:val="20"/>
          <w:lang w:val="pt-BR"/>
        </w:rPr>
        <w:t xml:space="preserve">no </w:t>
      </w:r>
      <w:r w:rsidR="00CA246A" w:rsidRPr="00D5464D">
        <w:rPr>
          <w:rFonts w:cs="Arial"/>
          <w:szCs w:val="20"/>
          <w:lang w:val="pt-BR"/>
        </w:rPr>
        <w:t>caso de ser</w:t>
      </w:r>
      <w:r w:rsidR="0092619F" w:rsidRPr="00D5464D">
        <w:rPr>
          <w:rFonts w:cs="Arial"/>
          <w:szCs w:val="20"/>
          <w:lang w:val="pt-BR"/>
        </w:rPr>
        <w:t>em</w:t>
      </w:r>
      <w:r w:rsidR="00CA246A" w:rsidRPr="00D5464D">
        <w:rPr>
          <w:rFonts w:cs="Arial"/>
          <w:szCs w:val="20"/>
          <w:lang w:val="pt-BR"/>
        </w:rPr>
        <w:t xml:space="preserve"> condenados</w:t>
      </w:r>
      <w:r w:rsidR="00470ADC" w:rsidRPr="00D5464D">
        <w:rPr>
          <w:rFonts w:cs="Arial"/>
          <w:szCs w:val="20"/>
          <w:lang w:val="pt-BR"/>
        </w:rPr>
        <w:t xml:space="preserve"> à </w:t>
      </w:r>
      <w:r w:rsidR="00CA246A" w:rsidRPr="00D5464D">
        <w:rPr>
          <w:rFonts w:cs="Arial"/>
          <w:szCs w:val="20"/>
          <w:lang w:val="pt-BR"/>
        </w:rPr>
        <w:t xml:space="preserve">pena </w:t>
      </w:r>
      <w:r w:rsidR="00176C77" w:rsidRPr="00D5464D">
        <w:rPr>
          <w:rFonts w:cs="Arial"/>
          <w:szCs w:val="20"/>
          <w:lang w:val="pt-BR"/>
        </w:rPr>
        <w:t xml:space="preserve">máxima </w:t>
      </w:r>
      <w:r w:rsidR="00CA246A" w:rsidRPr="00D5464D">
        <w:rPr>
          <w:rFonts w:cs="Arial"/>
          <w:szCs w:val="20"/>
          <w:lang w:val="pt-BR"/>
        </w:rPr>
        <w:t>n</w:t>
      </w:r>
      <w:r w:rsidR="0092619F" w:rsidRPr="00D5464D">
        <w:rPr>
          <w:rFonts w:cs="Arial"/>
          <w:szCs w:val="20"/>
          <w:lang w:val="pt-BR"/>
        </w:rPr>
        <w:t>ã</w:t>
      </w:r>
      <w:r w:rsidR="00CA246A" w:rsidRPr="00D5464D">
        <w:rPr>
          <w:rFonts w:cs="Arial"/>
          <w:szCs w:val="20"/>
          <w:lang w:val="pt-BR"/>
        </w:rPr>
        <w:t xml:space="preserve">o </w:t>
      </w:r>
      <w:r w:rsidR="0092619F" w:rsidRPr="00D5464D">
        <w:rPr>
          <w:rFonts w:cs="Arial"/>
          <w:szCs w:val="20"/>
          <w:lang w:val="pt-BR"/>
        </w:rPr>
        <w:t xml:space="preserve">ocorreria </w:t>
      </w:r>
      <w:r w:rsidR="002C330E" w:rsidRPr="00D5464D">
        <w:rPr>
          <w:rFonts w:cs="Arial"/>
          <w:szCs w:val="20"/>
          <w:lang w:val="pt-BR"/>
        </w:rPr>
        <w:t>a prescrição</w:t>
      </w:r>
      <w:r w:rsidR="00A1358C" w:rsidRPr="00D5464D">
        <w:rPr>
          <w:rFonts w:cs="Arial"/>
          <w:szCs w:val="20"/>
          <w:lang w:val="pt-BR"/>
        </w:rPr>
        <w:t xml:space="preserve">. A </w:t>
      </w:r>
      <w:r w:rsidR="00737270" w:rsidRPr="00D5464D">
        <w:rPr>
          <w:rFonts w:cs="Arial"/>
          <w:szCs w:val="20"/>
          <w:lang w:val="pt-BR"/>
        </w:rPr>
        <w:t>este respeito</w:t>
      </w:r>
      <w:r w:rsidR="00CA246A" w:rsidRPr="00D5464D">
        <w:rPr>
          <w:rFonts w:cs="Arial"/>
          <w:szCs w:val="20"/>
          <w:lang w:val="pt-BR"/>
        </w:rPr>
        <w:t>,</w:t>
      </w:r>
      <w:r w:rsidR="00470ADC" w:rsidRPr="00D5464D">
        <w:rPr>
          <w:rFonts w:cs="Arial"/>
          <w:szCs w:val="20"/>
          <w:lang w:val="pt-BR"/>
        </w:rPr>
        <w:t xml:space="preserve"> o </w:t>
      </w:r>
      <w:r w:rsidR="002C330E" w:rsidRPr="00D5464D">
        <w:rPr>
          <w:rFonts w:cs="Arial"/>
          <w:szCs w:val="20"/>
          <w:lang w:val="pt-BR"/>
        </w:rPr>
        <w:t>juiz</w:t>
      </w:r>
      <w:r w:rsidR="00CA246A" w:rsidRPr="00D5464D">
        <w:rPr>
          <w:rFonts w:cs="Arial"/>
          <w:szCs w:val="20"/>
          <w:lang w:val="pt-BR"/>
        </w:rPr>
        <w:t xml:space="preserve"> </w:t>
      </w:r>
      <w:r w:rsidR="00470ADC" w:rsidRPr="00D5464D">
        <w:rPr>
          <w:rFonts w:cs="Arial"/>
          <w:szCs w:val="20"/>
          <w:lang w:val="pt-BR"/>
        </w:rPr>
        <w:t>afirmou</w:t>
      </w:r>
      <w:r w:rsidR="00CA246A" w:rsidRPr="00D5464D">
        <w:rPr>
          <w:rFonts w:cs="Arial"/>
          <w:szCs w:val="20"/>
          <w:lang w:val="pt-BR"/>
        </w:rPr>
        <w:t xml:space="preserve"> que era bastante im</w:t>
      </w:r>
      <w:r w:rsidR="00737270" w:rsidRPr="00D5464D">
        <w:rPr>
          <w:rFonts w:cs="Arial"/>
          <w:szCs w:val="20"/>
          <w:lang w:val="pt-BR"/>
        </w:rPr>
        <w:t xml:space="preserve">provável </w:t>
      </w:r>
      <w:r w:rsidR="00CA246A" w:rsidRPr="00D5464D">
        <w:rPr>
          <w:rFonts w:cs="Arial"/>
          <w:szCs w:val="20"/>
          <w:lang w:val="pt-BR"/>
        </w:rPr>
        <w:t xml:space="preserve">que </w:t>
      </w:r>
      <w:r w:rsidR="00C91CB1" w:rsidRPr="00D5464D">
        <w:rPr>
          <w:rFonts w:cs="Arial"/>
          <w:szCs w:val="20"/>
          <w:lang w:val="pt-BR"/>
        </w:rPr>
        <w:t>fossem</w:t>
      </w:r>
      <w:r w:rsidR="00CA246A" w:rsidRPr="00D5464D">
        <w:rPr>
          <w:rFonts w:cs="Arial"/>
          <w:szCs w:val="20"/>
          <w:lang w:val="pt-BR"/>
        </w:rPr>
        <w:t xml:space="preserve"> condenados a </w:t>
      </w:r>
      <w:r w:rsidR="00470ADC" w:rsidRPr="00D5464D">
        <w:rPr>
          <w:rFonts w:cs="Arial"/>
          <w:szCs w:val="20"/>
          <w:lang w:val="pt-BR"/>
        </w:rPr>
        <w:t>esta</w:t>
      </w:r>
      <w:r w:rsidR="00CA246A" w:rsidRPr="00D5464D">
        <w:rPr>
          <w:rFonts w:cs="Arial"/>
          <w:szCs w:val="20"/>
          <w:lang w:val="pt-BR"/>
        </w:rPr>
        <w:t xml:space="preserve"> pena</w:t>
      </w:r>
      <w:r w:rsidR="002C330E" w:rsidRPr="00D5464D">
        <w:rPr>
          <w:rFonts w:cs="Arial"/>
          <w:szCs w:val="20"/>
          <w:lang w:val="pt-BR"/>
        </w:rPr>
        <w:t xml:space="preserve"> </w:t>
      </w:r>
      <w:r w:rsidR="0092619F" w:rsidRPr="00D5464D">
        <w:rPr>
          <w:rFonts w:cs="Arial"/>
          <w:szCs w:val="20"/>
          <w:lang w:val="pt-BR"/>
        </w:rPr>
        <w:t xml:space="preserve">de modo </w:t>
      </w:r>
      <w:r w:rsidR="002C330E" w:rsidRPr="00D5464D">
        <w:rPr>
          <w:rFonts w:cs="Arial"/>
          <w:szCs w:val="20"/>
          <w:lang w:val="pt-BR"/>
        </w:rPr>
        <w:t>que a prescrição</w:t>
      </w:r>
      <w:r w:rsidR="00CA246A" w:rsidRPr="00D5464D">
        <w:rPr>
          <w:rFonts w:cs="Arial"/>
          <w:szCs w:val="20"/>
          <w:lang w:val="pt-BR"/>
        </w:rPr>
        <w:t xml:space="preserve"> </w:t>
      </w:r>
      <w:r w:rsidR="00E045D9" w:rsidRPr="00D5464D">
        <w:rPr>
          <w:rFonts w:cs="Arial"/>
          <w:szCs w:val="20"/>
          <w:lang w:val="pt-BR"/>
        </w:rPr>
        <w:t xml:space="preserve">seria </w:t>
      </w:r>
      <w:r w:rsidR="00CA246A" w:rsidRPr="00D5464D">
        <w:rPr>
          <w:rFonts w:cs="Arial"/>
          <w:szCs w:val="20"/>
          <w:lang w:val="pt-BR"/>
        </w:rPr>
        <w:t>inevit</w:t>
      </w:r>
      <w:r w:rsidR="0092619F" w:rsidRPr="00D5464D">
        <w:rPr>
          <w:rFonts w:cs="Arial"/>
          <w:szCs w:val="20"/>
          <w:lang w:val="pt-BR"/>
        </w:rPr>
        <w:t>ável</w:t>
      </w:r>
      <w:r w:rsidR="00C91CB1" w:rsidRPr="00D5464D">
        <w:rPr>
          <w:rFonts w:cs="Arial"/>
          <w:szCs w:val="20"/>
          <w:lang w:val="pt-BR"/>
        </w:rPr>
        <w:t xml:space="preserve">. Com </w:t>
      </w:r>
      <w:r w:rsidR="00CA246A" w:rsidRPr="00D5464D">
        <w:rPr>
          <w:rFonts w:cs="Arial"/>
          <w:szCs w:val="20"/>
          <w:lang w:val="pt-BR"/>
        </w:rPr>
        <w:t>base</w:t>
      </w:r>
      <w:r w:rsidR="00A1358C" w:rsidRPr="00D5464D">
        <w:rPr>
          <w:rFonts w:cs="Arial"/>
          <w:szCs w:val="20"/>
          <w:lang w:val="pt-BR"/>
        </w:rPr>
        <w:t xml:space="preserve"> no </w:t>
      </w:r>
      <w:r w:rsidR="00CA246A" w:rsidRPr="00D5464D">
        <w:rPr>
          <w:rFonts w:cs="Arial"/>
          <w:szCs w:val="20"/>
          <w:lang w:val="pt-BR"/>
        </w:rPr>
        <w:t>anterior</w:t>
      </w:r>
      <w:r w:rsidR="0092619F" w:rsidRPr="00D5464D">
        <w:rPr>
          <w:rFonts w:cs="Arial"/>
          <w:szCs w:val="20"/>
          <w:lang w:val="pt-BR"/>
        </w:rPr>
        <w:t xml:space="preserve"> e também </w:t>
      </w:r>
      <w:r w:rsidR="00E045D9" w:rsidRPr="00D5464D">
        <w:rPr>
          <w:rFonts w:cs="Arial"/>
          <w:szCs w:val="20"/>
          <w:lang w:val="pt-BR"/>
        </w:rPr>
        <w:t xml:space="preserve">na </w:t>
      </w:r>
      <w:r w:rsidR="00CA246A" w:rsidRPr="00D5464D">
        <w:rPr>
          <w:rFonts w:cs="Arial"/>
          <w:szCs w:val="20"/>
          <w:lang w:val="pt-BR"/>
        </w:rPr>
        <w:t xml:space="preserve">falta de </w:t>
      </w:r>
      <w:r w:rsidR="00737270" w:rsidRPr="00D5464D">
        <w:rPr>
          <w:rFonts w:cs="Arial"/>
          <w:szCs w:val="20"/>
          <w:lang w:val="pt-BR"/>
        </w:rPr>
        <w:t>ação</w:t>
      </w:r>
      <w:r w:rsidR="00CA246A" w:rsidRPr="00D5464D">
        <w:rPr>
          <w:rFonts w:cs="Arial"/>
          <w:szCs w:val="20"/>
          <w:lang w:val="pt-BR"/>
        </w:rPr>
        <w:t xml:space="preserve"> por parte </w:t>
      </w:r>
      <w:r w:rsidR="00470ADC" w:rsidRPr="00D5464D">
        <w:rPr>
          <w:rFonts w:cs="Arial"/>
          <w:szCs w:val="20"/>
          <w:lang w:val="pt-BR"/>
        </w:rPr>
        <w:t xml:space="preserve">do </w:t>
      </w:r>
      <w:r w:rsidR="00CA246A" w:rsidRPr="00D5464D">
        <w:rPr>
          <w:rFonts w:cs="Arial"/>
          <w:szCs w:val="20"/>
          <w:lang w:val="pt-BR"/>
        </w:rPr>
        <w:t>Estado,</w:t>
      </w:r>
      <w:r w:rsidR="002C330E" w:rsidRPr="00D5464D">
        <w:rPr>
          <w:rFonts w:cs="Arial"/>
          <w:szCs w:val="20"/>
          <w:lang w:val="pt-BR"/>
        </w:rPr>
        <w:t xml:space="preserve"> </w:t>
      </w:r>
      <w:r w:rsidR="0092619F" w:rsidRPr="00D5464D">
        <w:rPr>
          <w:rFonts w:cs="Arial"/>
          <w:szCs w:val="20"/>
          <w:lang w:val="pt-BR"/>
        </w:rPr>
        <w:t>n</w:t>
      </w:r>
      <w:r w:rsidR="002C330E" w:rsidRPr="00D5464D">
        <w:rPr>
          <w:rFonts w:cs="Arial"/>
          <w:szCs w:val="20"/>
          <w:lang w:val="pt-BR"/>
        </w:rPr>
        <w:t>os princípio</w:t>
      </w:r>
      <w:r w:rsidR="00712042" w:rsidRPr="00D5464D">
        <w:rPr>
          <w:rFonts w:cs="Arial"/>
          <w:szCs w:val="20"/>
          <w:lang w:val="pt-BR"/>
        </w:rPr>
        <w:t xml:space="preserve">s de </w:t>
      </w:r>
      <w:r w:rsidR="00CA246A" w:rsidRPr="00D5464D">
        <w:rPr>
          <w:rFonts w:cs="Arial"/>
          <w:szCs w:val="20"/>
          <w:lang w:val="pt-BR"/>
        </w:rPr>
        <w:t>política criminal</w:t>
      </w:r>
      <w:r w:rsidR="00E045D9" w:rsidRPr="00D5464D">
        <w:rPr>
          <w:rFonts w:cs="Arial"/>
          <w:szCs w:val="20"/>
          <w:lang w:val="pt-BR"/>
        </w:rPr>
        <w:t xml:space="preserve"> e </w:t>
      </w:r>
      <w:r w:rsidR="0092619F" w:rsidRPr="00D5464D">
        <w:rPr>
          <w:rFonts w:cs="Arial"/>
          <w:szCs w:val="20"/>
          <w:lang w:val="pt-BR"/>
        </w:rPr>
        <w:t xml:space="preserve">de </w:t>
      </w:r>
      <w:r w:rsidR="00230C71" w:rsidRPr="00D5464D">
        <w:rPr>
          <w:rFonts w:cs="Arial"/>
          <w:szCs w:val="20"/>
          <w:lang w:val="pt-BR"/>
        </w:rPr>
        <w:t>economia</w:t>
      </w:r>
      <w:r w:rsidR="00CA246A" w:rsidRPr="00D5464D">
        <w:rPr>
          <w:rFonts w:cs="Arial"/>
          <w:szCs w:val="20"/>
          <w:lang w:val="pt-BR"/>
        </w:rPr>
        <w:t xml:space="preserve"> </w:t>
      </w:r>
      <w:r w:rsidR="00A1358C" w:rsidRPr="00D5464D">
        <w:rPr>
          <w:rFonts w:cs="Arial"/>
          <w:szCs w:val="20"/>
          <w:lang w:val="pt-BR"/>
        </w:rPr>
        <w:t>processual</w:t>
      </w:r>
      <w:r w:rsidR="00CA246A" w:rsidRPr="00D5464D">
        <w:rPr>
          <w:rFonts w:cs="Arial"/>
          <w:szCs w:val="20"/>
          <w:lang w:val="pt-BR"/>
        </w:rPr>
        <w:t>,</w:t>
      </w:r>
      <w:r w:rsidR="00470ADC" w:rsidRPr="00D5464D">
        <w:rPr>
          <w:rFonts w:cs="Arial"/>
          <w:szCs w:val="20"/>
          <w:lang w:val="pt-BR"/>
        </w:rPr>
        <w:t xml:space="preserve"> o </w:t>
      </w:r>
      <w:r w:rsidR="002C330E" w:rsidRPr="00D5464D">
        <w:rPr>
          <w:rFonts w:cs="Arial"/>
          <w:szCs w:val="20"/>
          <w:lang w:val="pt-BR"/>
        </w:rPr>
        <w:t>juiz</w:t>
      </w:r>
      <w:r w:rsidR="00CA246A" w:rsidRPr="00D5464D">
        <w:rPr>
          <w:rFonts w:cs="Arial"/>
          <w:szCs w:val="20"/>
          <w:lang w:val="pt-BR"/>
        </w:rPr>
        <w:t xml:space="preserve"> </w:t>
      </w:r>
      <w:r w:rsidR="00470ADC" w:rsidRPr="00D5464D">
        <w:rPr>
          <w:rFonts w:cs="Arial"/>
          <w:szCs w:val="20"/>
          <w:lang w:val="pt-BR"/>
        </w:rPr>
        <w:t>decidiu</w:t>
      </w:r>
      <w:r w:rsidR="00CA246A" w:rsidRPr="00D5464D">
        <w:rPr>
          <w:rFonts w:cs="Arial"/>
          <w:szCs w:val="20"/>
          <w:lang w:val="pt-BR"/>
        </w:rPr>
        <w:t xml:space="preserve"> declarar extinta</w:t>
      </w:r>
      <w:r w:rsidR="002C330E" w:rsidRPr="00D5464D">
        <w:rPr>
          <w:rFonts w:cs="Arial"/>
          <w:szCs w:val="20"/>
          <w:lang w:val="pt-BR"/>
        </w:rPr>
        <w:t xml:space="preserve"> a </w:t>
      </w:r>
      <w:r w:rsidR="00737270" w:rsidRPr="00D5464D">
        <w:rPr>
          <w:rFonts w:cs="Arial"/>
          <w:szCs w:val="20"/>
          <w:lang w:val="pt-BR"/>
        </w:rPr>
        <w:t>ação</w:t>
      </w:r>
      <w:r w:rsidR="00CA246A" w:rsidRPr="00D5464D">
        <w:rPr>
          <w:rFonts w:cs="Arial"/>
          <w:szCs w:val="20"/>
          <w:lang w:val="pt-BR"/>
        </w:rPr>
        <w:t xml:space="preserve"> pen</w:t>
      </w:r>
      <w:r w:rsidR="0092619F" w:rsidRPr="00D5464D">
        <w:rPr>
          <w:rFonts w:cs="Arial"/>
          <w:szCs w:val="20"/>
          <w:lang w:val="pt-BR"/>
        </w:rPr>
        <w:t xml:space="preserve">al contra </w:t>
      </w:r>
      <w:r w:rsidR="00CA246A" w:rsidRPr="00D5464D">
        <w:rPr>
          <w:rFonts w:cs="Arial"/>
          <w:szCs w:val="20"/>
          <w:lang w:val="pt-BR"/>
        </w:rPr>
        <w:t xml:space="preserve">Raimundo Alves da </w:t>
      </w:r>
      <w:r w:rsidR="00CA246A" w:rsidRPr="00D5464D">
        <w:rPr>
          <w:rFonts w:cs="Arial"/>
          <w:bCs/>
          <w:szCs w:val="20"/>
          <w:lang w:val="pt-BR"/>
        </w:rPr>
        <w:t>Rocha</w:t>
      </w:r>
      <w:r w:rsidR="00E045D9" w:rsidRPr="00D5464D">
        <w:rPr>
          <w:rFonts w:cs="Arial"/>
          <w:bCs/>
          <w:szCs w:val="20"/>
          <w:lang w:val="pt-BR"/>
        </w:rPr>
        <w:t xml:space="preserve"> e </w:t>
      </w:r>
      <w:r w:rsidR="00E42F61" w:rsidRPr="00D5464D">
        <w:rPr>
          <w:rFonts w:cs="Arial"/>
          <w:bCs/>
          <w:szCs w:val="20"/>
          <w:lang w:val="pt-BR"/>
        </w:rPr>
        <w:t xml:space="preserve">Antônio </w:t>
      </w:r>
      <w:r w:rsidR="00CA246A" w:rsidRPr="00D5464D">
        <w:rPr>
          <w:rFonts w:cs="Arial"/>
          <w:bCs/>
          <w:szCs w:val="20"/>
          <w:lang w:val="pt-BR"/>
        </w:rPr>
        <w:t xml:space="preserve">Alves Vieira </w:t>
      </w:r>
      <w:r w:rsidR="00CA246A" w:rsidRPr="00D5464D">
        <w:rPr>
          <w:rFonts w:cs="Arial"/>
          <w:szCs w:val="20"/>
          <w:lang w:val="pt-BR"/>
        </w:rPr>
        <w:t>(</w:t>
      </w:r>
      <w:r w:rsidR="00C85EA9" w:rsidRPr="00D5464D">
        <w:rPr>
          <w:rFonts w:cs="Arial"/>
          <w:szCs w:val="20"/>
          <w:lang w:val="pt-BR"/>
        </w:rPr>
        <w:t xml:space="preserve">par. </w:t>
      </w:r>
      <w:r w:rsidR="00D036E7" w:rsidRPr="00D5464D">
        <w:rPr>
          <w:rFonts w:cs="Arial"/>
          <w:szCs w:val="20"/>
          <w:lang w:val="pt-BR"/>
        </w:rPr>
        <w:t>157</w:t>
      </w:r>
      <w:r w:rsidR="00D036E7" w:rsidRPr="00D5464D">
        <w:rPr>
          <w:rFonts w:cs="Arial"/>
          <w:i/>
          <w:szCs w:val="20"/>
          <w:lang w:val="pt-BR"/>
        </w:rPr>
        <w:t xml:space="preserve"> supra</w:t>
      </w:r>
      <w:r w:rsidR="00D036E7" w:rsidRPr="00D5464D">
        <w:rPr>
          <w:rFonts w:cs="Arial"/>
          <w:szCs w:val="20"/>
          <w:lang w:val="pt-BR"/>
        </w:rPr>
        <w:t>)</w:t>
      </w:r>
      <w:r w:rsidR="00CA246A" w:rsidRPr="00D5464D">
        <w:rPr>
          <w:rFonts w:cs="Arial"/>
          <w:bCs/>
          <w:szCs w:val="20"/>
          <w:lang w:val="pt-BR"/>
        </w:rPr>
        <w:t>.</w:t>
      </w:r>
    </w:p>
    <w:p w14:paraId="3CD8BD11" w14:textId="77777777" w:rsidR="00DE3E58" w:rsidRPr="00D5464D" w:rsidRDefault="00DE3E58" w:rsidP="00DE3E58">
      <w:pPr>
        <w:pStyle w:val="Prrafodelista"/>
        <w:ind w:left="0"/>
        <w:contextualSpacing w:val="0"/>
        <w:rPr>
          <w:rFonts w:cs="Arial"/>
          <w:szCs w:val="20"/>
          <w:lang w:val="pt-BR"/>
        </w:rPr>
      </w:pPr>
    </w:p>
    <w:p w14:paraId="2A240503" w14:textId="37762253" w:rsidR="00EB4A55" w:rsidRPr="00D5464D" w:rsidRDefault="00470ADC" w:rsidP="004C2D81">
      <w:pPr>
        <w:pStyle w:val="Prrafodelista"/>
        <w:numPr>
          <w:ilvl w:val="0"/>
          <w:numId w:val="1"/>
        </w:numPr>
        <w:contextualSpacing w:val="0"/>
        <w:rPr>
          <w:rFonts w:cs="Arial"/>
          <w:szCs w:val="20"/>
          <w:lang w:val="pt-BR"/>
        </w:rPr>
      </w:pPr>
      <w:r w:rsidRPr="00D5464D">
        <w:rPr>
          <w:rFonts w:cs="Arial"/>
          <w:szCs w:val="20"/>
          <w:lang w:val="pt-BR"/>
        </w:rPr>
        <w:t xml:space="preserve">A </w:t>
      </w:r>
      <w:r w:rsidR="00A1358C" w:rsidRPr="00D5464D">
        <w:rPr>
          <w:szCs w:val="20"/>
          <w:lang w:val="pt-BR"/>
        </w:rPr>
        <w:t>Corte considera</w:t>
      </w:r>
      <w:r w:rsidR="00EB4A55" w:rsidRPr="00D5464D">
        <w:rPr>
          <w:szCs w:val="20"/>
          <w:lang w:val="pt-BR"/>
        </w:rPr>
        <w:t xml:space="preserve"> que </w:t>
      </w:r>
      <w:r w:rsidR="0092619F" w:rsidRPr="00D5464D">
        <w:rPr>
          <w:szCs w:val="20"/>
          <w:lang w:val="pt-BR"/>
        </w:rPr>
        <w:t xml:space="preserve">ocorreu </w:t>
      </w:r>
      <w:r w:rsidR="00E045D9" w:rsidRPr="00D5464D">
        <w:rPr>
          <w:szCs w:val="20"/>
          <w:lang w:val="pt-BR"/>
        </w:rPr>
        <w:t xml:space="preserve">uma </w:t>
      </w:r>
      <w:r w:rsidR="00EB4A55" w:rsidRPr="00D5464D">
        <w:rPr>
          <w:szCs w:val="20"/>
          <w:lang w:val="pt-BR"/>
        </w:rPr>
        <w:t>demora</w:t>
      </w:r>
      <w:r w:rsidR="00E045D9" w:rsidRPr="00D5464D">
        <w:rPr>
          <w:szCs w:val="20"/>
          <w:lang w:val="pt-BR"/>
        </w:rPr>
        <w:t xml:space="preserve"> no </w:t>
      </w:r>
      <w:r w:rsidRPr="00D5464D">
        <w:rPr>
          <w:szCs w:val="20"/>
          <w:lang w:val="pt-BR"/>
        </w:rPr>
        <w:t>desenvolvimento</w:t>
      </w:r>
      <w:r w:rsidR="00EB4A55" w:rsidRPr="00D5464D">
        <w:rPr>
          <w:szCs w:val="20"/>
          <w:lang w:val="pt-BR"/>
        </w:rPr>
        <w:t xml:space="preserve"> </w:t>
      </w:r>
      <w:r w:rsidRPr="00D5464D">
        <w:rPr>
          <w:szCs w:val="20"/>
          <w:lang w:val="pt-BR"/>
        </w:rPr>
        <w:t xml:space="preserve">do </w:t>
      </w:r>
      <w:r w:rsidR="002C330E" w:rsidRPr="00D5464D">
        <w:rPr>
          <w:szCs w:val="20"/>
          <w:lang w:val="pt-BR"/>
        </w:rPr>
        <w:t>processo</w:t>
      </w:r>
      <w:r w:rsidRPr="00D5464D">
        <w:rPr>
          <w:szCs w:val="20"/>
          <w:lang w:val="pt-BR"/>
        </w:rPr>
        <w:t xml:space="preserve"> e</w:t>
      </w:r>
      <w:r w:rsidR="00EB4A55" w:rsidRPr="00D5464D">
        <w:rPr>
          <w:szCs w:val="20"/>
          <w:lang w:val="pt-BR"/>
        </w:rPr>
        <w:t xml:space="preserve"> que</w:t>
      </w:r>
      <w:r w:rsidR="002C330E" w:rsidRPr="00D5464D">
        <w:rPr>
          <w:szCs w:val="20"/>
          <w:lang w:val="pt-BR"/>
        </w:rPr>
        <w:t xml:space="preserve"> os </w:t>
      </w:r>
      <w:r w:rsidRPr="00D5464D">
        <w:rPr>
          <w:szCs w:val="20"/>
          <w:lang w:val="pt-BR"/>
        </w:rPr>
        <w:t>conflito</w:t>
      </w:r>
      <w:r w:rsidR="00EB4A55" w:rsidRPr="00D5464D">
        <w:rPr>
          <w:szCs w:val="20"/>
          <w:lang w:val="pt-BR"/>
        </w:rPr>
        <w:t xml:space="preserve">s de </w:t>
      </w:r>
      <w:r w:rsidRPr="00D5464D">
        <w:rPr>
          <w:szCs w:val="20"/>
          <w:lang w:val="pt-BR"/>
        </w:rPr>
        <w:t>competência</w:t>
      </w:r>
      <w:r w:rsidR="00E045D9" w:rsidRPr="00D5464D">
        <w:rPr>
          <w:szCs w:val="20"/>
          <w:lang w:val="pt-BR"/>
        </w:rPr>
        <w:t xml:space="preserve"> e </w:t>
      </w:r>
      <w:r w:rsidR="002C330E" w:rsidRPr="00D5464D">
        <w:rPr>
          <w:szCs w:val="20"/>
          <w:lang w:val="pt-BR"/>
        </w:rPr>
        <w:t xml:space="preserve">a </w:t>
      </w:r>
      <w:r w:rsidR="00EB4A55" w:rsidRPr="00D5464D">
        <w:rPr>
          <w:szCs w:val="20"/>
          <w:lang w:val="pt-BR"/>
        </w:rPr>
        <w:t xml:space="preserve">falta de </w:t>
      </w:r>
      <w:r w:rsidR="00737270" w:rsidRPr="00D5464D">
        <w:rPr>
          <w:szCs w:val="20"/>
          <w:lang w:val="pt-BR"/>
        </w:rPr>
        <w:t>atuação</w:t>
      </w:r>
      <w:r w:rsidR="00EB4A55" w:rsidRPr="00D5464D">
        <w:rPr>
          <w:szCs w:val="20"/>
          <w:lang w:val="pt-BR"/>
        </w:rPr>
        <w:t xml:space="preserve"> diligente por parte</w:t>
      </w:r>
      <w:r w:rsidRPr="00D5464D">
        <w:rPr>
          <w:szCs w:val="20"/>
          <w:lang w:val="pt-BR"/>
        </w:rPr>
        <w:t xml:space="preserve"> das </w:t>
      </w:r>
      <w:r w:rsidR="00EB4A55" w:rsidRPr="00D5464D">
        <w:rPr>
          <w:szCs w:val="20"/>
          <w:lang w:val="pt-BR"/>
        </w:rPr>
        <w:t xml:space="preserve">autoridades </w:t>
      </w:r>
      <w:r w:rsidR="002C330E" w:rsidRPr="00D5464D">
        <w:rPr>
          <w:szCs w:val="20"/>
          <w:lang w:val="pt-BR"/>
        </w:rPr>
        <w:t>judiciais</w:t>
      </w:r>
      <w:r w:rsidR="00EB4A55" w:rsidRPr="00D5464D">
        <w:rPr>
          <w:szCs w:val="20"/>
          <w:lang w:val="pt-BR"/>
        </w:rPr>
        <w:t xml:space="preserve"> </w:t>
      </w:r>
      <w:r w:rsidR="002C330E" w:rsidRPr="00D5464D">
        <w:rPr>
          <w:szCs w:val="20"/>
          <w:lang w:val="pt-BR"/>
        </w:rPr>
        <w:t>causaram</w:t>
      </w:r>
      <w:r w:rsidR="00EB4A55" w:rsidRPr="00D5464D">
        <w:rPr>
          <w:szCs w:val="20"/>
          <w:lang w:val="pt-BR"/>
        </w:rPr>
        <w:t xml:space="preserve"> </w:t>
      </w:r>
      <w:r w:rsidR="0092619F" w:rsidRPr="00D5464D">
        <w:rPr>
          <w:szCs w:val="20"/>
          <w:lang w:val="pt-BR"/>
        </w:rPr>
        <w:t>a</w:t>
      </w:r>
      <w:r w:rsidR="00EB4A55" w:rsidRPr="00D5464D">
        <w:rPr>
          <w:szCs w:val="20"/>
          <w:lang w:val="pt-BR"/>
        </w:rPr>
        <w:t>trasos</w:t>
      </w:r>
      <w:r w:rsidR="00E045D9" w:rsidRPr="00D5464D">
        <w:rPr>
          <w:szCs w:val="20"/>
          <w:lang w:val="pt-BR"/>
        </w:rPr>
        <w:t xml:space="preserve"> no </w:t>
      </w:r>
      <w:r w:rsidR="002C330E" w:rsidRPr="00D5464D">
        <w:rPr>
          <w:szCs w:val="20"/>
          <w:lang w:val="pt-BR"/>
        </w:rPr>
        <w:t>processo</w:t>
      </w:r>
      <w:r w:rsidR="00EB4A55" w:rsidRPr="00D5464D">
        <w:rPr>
          <w:szCs w:val="20"/>
          <w:lang w:val="pt-BR"/>
        </w:rPr>
        <w:t xml:space="preserve"> penal. Este Tribunal considera que</w:t>
      </w:r>
      <w:r w:rsidRPr="00D5464D">
        <w:rPr>
          <w:szCs w:val="20"/>
          <w:lang w:val="pt-BR"/>
        </w:rPr>
        <w:t xml:space="preserve"> o </w:t>
      </w:r>
      <w:r w:rsidR="00EB4A55" w:rsidRPr="00D5464D">
        <w:rPr>
          <w:szCs w:val="20"/>
          <w:lang w:val="pt-BR"/>
        </w:rPr>
        <w:t>Estado</w:t>
      </w:r>
      <w:r w:rsidR="00A1358C" w:rsidRPr="00D5464D">
        <w:rPr>
          <w:szCs w:val="20"/>
          <w:lang w:val="pt-BR"/>
        </w:rPr>
        <w:t xml:space="preserve"> não </w:t>
      </w:r>
      <w:r w:rsidR="00350187" w:rsidRPr="00D5464D">
        <w:rPr>
          <w:szCs w:val="20"/>
          <w:lang w:val="pt-BR"/>
        </w:rPr>
        <w:t>demonstr</w:t>
      </w:r>
      <w:r w:rsidR="00A1358C" w:rsidRPr="00D5464D">
        <w:rPr>
          <w:szCs w:val="20"/>
          <w:lang w:val="pt-BR"/>
        </w:rPr>
        <w:t>ou</w:t>
      </w:r>
      <w:r w:rsidR="00EB4A55" w:rsidRPr="00D5464D">
        <w:rPr>
          <w:szCs w:val="20"/>
          <w:lang w:val="pt-BR"/>
        </w:rPr>
        <w:t xml:space="preserve"> que</w:t>
      </w:r>
      <w:r w:rsidR="00E045D9" w:rsidRPr="00D5464D">
        <w:rPr>
          <w:szCs w:val="20"/>
          <w:lang w:val="pt-BR"/>
        </w:rPr>
        <w:t xml:space="preserve"> tenha </w:t>
      </w:r>
      <w:r w:rsidR="00EB4A55" w:rsidRPr="00D5464D">
        <w:rPr>
          <w:szCs w:val="20"/>
          <w:lang w:val="pt-BR"/>
        </w:rPr>
        <w:t>existido</w:t>
      </w:r>
      <w:r w:rsidR="00E045D9" w:rsidRPr="00D5464D">
        <w:rPr>
          <w:szCs w:val="20"/>
          <w:lang w:val="pt-BR"/>
        </w:rPr>
        <w:t xml:space="preserve"> uma </w:t>
      </w:r>
      <w:r w:rsidR="00EB4A55" w:rsidRPr="00D5464D">
        <w:rPr>
          <w:szCs w:val="20"/>
          <w:lang w:val="pt-BR"/>
        </w:rPr>
        <w:t>justifica</w:t>
      </w:r>
      <w:r w:rsidR="0092619F" w:rsidRPr="00D5464D">
        <w:rPr>
          <w:szCs w:val="20"/>
          <w:lang w:val="pt-BR"/>
        </w:rPr>
        <w:t xml:space="preserve">tiva </w:t>
      </w:r>
      <w:r w:rsidR="00EB4A55" w:rsidRPr="00D5464D">
        <w:rPr>
          <w:szCs w:val="20"/>
          <w:lang w:val="pt-BR"/>
        </w:rPr>
        <w:t>para</w:t>
      </w:r>
      <w:r w:rsidR="002C330E" w:rsidRPr="00D5464D">
        <w:rPr>
          <w:szCs w:val="20"/>
          <w:lang w:val="pt-BR"/>
        </w:rPr>
        <w:t xml:space="preserve"> a </w:t>
      </w:r>
      <w:r w:rsidR="00EB4A55" w:rsidRPr="00D5464D">
        <w:rPr>
          <w:szCs w:val="20"/>
          <w:lang w:val="pt-BR"/>
        </w:rPr>
        <w:t>in</w:t>
      </w:r>
      <w:r w:rsidR="00737270" w:rsidRPr="00D5464D">
        <w:rPr>
          <w:szCs w:val="20"/>
          <w:lang w:val="pt-BR"/>
        </w:rPr>
        <w:t>ação</w:t>
      </w:r>
      <w:r w:rsidRPr="00D5464D">
        <w:rPr>
          <w:szCs w:val="20"/>
          <w:lang w:val="pt-BR"/>
        </w:rPr>
        <w:t xml:space="preserve"> das </w:t>
      </w:r>
      <w:r w:rsidR="00EB4A55" w:rsidRPr="00D5464D">
        <w:rPr>
          <w:szCs w:val="20"/>
          <w:lang w:val="pt-BR"/>
        </w:rPr>
        <w:t xml:space="preserve">autoridades </w:t>
      </w:r>
      <w:r w:rsidR="002C330E" w:rsidRPr="00D5464D">
        <w:rPr>
          <w:szCs w:val="20"/>
          <w:lang w:val="pt-BR"/>
        </w:rPr>
        <w:t>judiciais</w:t>
      </w:r>
      <w:r w:rsidR="00EB4A55" w:rsidRPr="00D5464D">
        <w:rPr>
          <w:szCs w:val="20"/>
          <w:lang w:val="pt-BR"/>
        </w:rPr>
        <w:t>,</w:t>
      </w:r>
      <w:r w:rsidR="002C330E" w:rsidRPr="00D5464D">
        <w:rPr>
          <w:szCs w:val="20"/>
          <w:lang w:val="pt-BR"/>
        </w:rPr>
        <w:t xml:space="preserve"> os </w:t>
      </w:r>
      <w:r w:rsidR="0092619F" w:rsidRPr="00D5464D">
        <w:rPr>
          <w:szCs w:val="20"/>
          <w:lang w:val="pt-BR"/>
        </w:rPr>
        <w:t xml:space="preserve">longos </w:t>
      </w:r>
      <w:r w:rsidRPr="00D5464D">
        <w:rPr>
          <w:szCs w:val="20"/>
          <w:lang w:val="pt-BR"/>
        </w:rPr>
        <w:t>espaço</w:t>
      </w:r>
      <w:r w:rsidR="00875D9C" w:rsidRPr="00D5464D">
        <w:rPr>
          <w:szCs w:val="20"/>
          <w:lang w:val="pt-BR"/>
        </w:rPr>
        <w:t xml:space="preserve">s de </w:t>
      </w:r>
      <w:r w:rsidR="00E045D9" w:rsidRPr="00D5464D">
        <w:rPr>
          <w:szCs w:val="20"/>
          <w:lang w:val="pt-BR"/>
        </w:rPr>
        <w:t>tempo</w:t>
      </w:r>
      <w:r w:rsidR="002C330E" w:rsidRPr="00D5464D">
        <w:rPr>
          <w:szCs w:val="20"/>
          <w:lang w:val="pt-BR"/>
        </w:rPr>
        <w:t xml:space="preserve"> sem </w:t>
      </w:r>
      <w:r w:rsidR="00875D9C" w:rsidRPr="00D5464D">
        <w:rPr>
          <w:szCs w:val="20"/>
          <w:lang w:val="pt-BR"/>
        </w:rPr>
        <w:t xml:space="preserve">que </w:t>
      </w:r>
      <w:r w:rsidR="00EB1CE9" w:rsidRPr="00D5464D">
        <w:rPr>
          <w:szCs w:val="20"/>
          <w:lang w:val="pt-BR"/>
        </w:rPr>
        <w:t>existissem</w:t>
      </w:r>
      <w:r w:rsidR="00875D9C" w:rsidRPr="00D5464D">
        <w:rPr>
          <w:szCs w:val="20"/>
          <w:lang w:val="pt-BR"/>
        </w:rPr>
        <w:t xml:space="preserve"> </w:t>
      </w:r>
      <w:r w:rsidRPr="00D5464D">
        <w:rPr>
          <w:szCs w:val="20"/>
          <w:lang w:val="pt-BR"/>
        </w:rPr>
        <w:t>atuações</w:t>
      </w:r>
      <w:r w:rsidR="00875D9C" w:rsidRPr="00D5464D">
        <w:rPr>
          <w:szCs w:val="20"/>
          <w:lang w:val="pt-BR"/>
        </w:rPr>
        <w:t>,</w:t>
      </w:r>
      <w:r w:rsidR="002C330E" w:rsidRPr="00D5464D">
        <w:rPr>
          <w:szCs w:val="20"/>
          <w:lang w:val="pt-BR"/>
        </w:rPr>
        <w:t xml:space="preserve"> a </w:t>
      </w:r>
      <w:r w:rsidR="00EB4A55" w:rsidRPr="00D5464D">
        <w:rPr>
          <w:szCs w:val="20"/>
          <w:lang w:val="pt-BR"/>
        </w:rPr>
        <w:t xml:space="preserve">demora prolongada </w:t>
      </w:r>
      <w:r w:rsidRPr="00D5464D">
        <w:rPr>
          <w:szCs w:val="20"/>
          <w:lang w:val="pt-BR"/>
        </w:rPr>
        <w:t xml:space="preserve">do </w:t>
      </w:r>
      <w:r w:rsidR="002C330E" w:rsidRPr="00D5464D">
        <w:rPr>
          <w:szCs w:val="20"/>
          <w:lang w:val="pt-BR"/>
        </w:rPr>
        <w:t>processo</w:t>
      </w:r>
      <w:r w:rsidR="00EB4A55" w:rsidRPr="00D5464D">
        <w:rPr>
          <w:szCs w:val="20"/>
          <w:lang w:val="pt-BR"/>
        </w:rPr>
        <w:t xml:space="preserve"> penal</w:t>
      </w:r>
      <w:r w:rsidR="00E328B9" w:rsidRPr="00D5464D">
        <w:rPr>
          <w:szCs w:val="20"/>
          <w:lang w:val="pt-BR"/>
        </w:rPr>
        <w:t>,</w:t>
      </w:r>
      <w:r w:rsidR="002C330E" w:rsidRPr="00D5464D">
        <w:rPr>
          <w:szCs w:val="20"/>
          <w:lang w:val="pt-BR"/>
        </w:rPr>
        <w:t xml:space="preserve"> nem </w:t>
      </w:r>
      <w:r w:rsidRPr="00D5464D">
        <w:rPr>
          <w:szCs w:val="20"/>
          <w:lang w:val="pt-BR"/>
        </w:rPr>
        <w:t xml:space="preserve">o </w:t>
      </w:r>
      <w:r w:rsidR="0092619F" w:rsidRPr="00D5464D">
        <w:rPr>
          <w:szCs w:val="20"/>
          <w:lang w:val="pt-BR"/>
        </w:rPr>
        <w:t>a</w:t>
      </w:r>
      <w:r w:rsidR="00EB4A55" w:rsidRPr="00D5464D">
        <w:rPr>
          <w:szCs w:val="20"/>
          <w:lang w:val="pt-BR"/>
        </w:rPr>
        <w:t>traso derivado</w:t>
      </w:r>
      <w:r w:rsidRPr="00D5464D">
        <w:rPr>
          <w:szCs w:val="20"/>
          <w:lang w:val="pt-BR"/>
        </w:rPr>
        <w:t xml:space="preserve"> dos conflito</w:t>
      </w:r>
      <w:r w:rsidR="00EB4A55" w:rsidRPr="00D5464D">
        <w:rPr>
          <w:szCs w:val="20"/>
          <w:lang w:val="pt-BR"/>
        </w:rPr>
        <w:t xml:space="preserve">s de </w:t>
      </w:r>
      <w:r w:rsidRPr="00D5464D">
        <w:rPr>
          <w:szCs w:val="20"/>
          <w:lang w:val="pt-BR"/>
        </w:rPr>
        <w:t>competência</w:t>
      </w:r>
      <w:r w:rsidR="00EB4A55" w:rsidRPr="00D5464D">
        <w:rPr>
          <w:szCs w:val="20"/>
          <w:lang w:val="pt-BR"/>
        </w:rPr>
        <w:t xml:space="preserve">. </w:t>
      </w:r>
      <w:r w:rsidR="00350187" w:rsidRPr="00D5464D">
        <w:rPr>
          <w:szCs w:val="20"/>
          <w:lang w:val="pt-BR"/>
        </w:rPr>
        <w:t xml:space="preserve">Por isso, </w:t>
      </w:r>
      <w:r w:rsidR="002C330E" w:rsidRPr="00D5464D">
        <w:rPr>
          <w:szCs w:val="20"/>
          <w:lang w:val="pt-BR"/>
        </w:rPr>
        <w:t xml:space="preserve">a </w:t>
      </w:r>
      <w:r w:rsidR="00EB4A55" w:rsidRPr="00D5464D">
        <w:rPr>
          <w:szCs w:val="20"/>
          <w:lang w:val="pt-BR"/>
        </w:rPr>
        <w:t>Corte considera</w:t>
      </w:r>
      <w:r w:rsidR="00EB4A55" w:rsidRPr="00D5464D">
        <w:rPr>
          <w:rFonts w:cs="Arial"/>
          <w:szCs w:val="20"/>
          <w:lang w:val="pt-BR"/>
        </w:rPr>
        <w:t xml:space="preserve"> que</w:t>
      </w:r>
      <w:r w:rsidR="002C330E" w:rsidRPr="00D5464D">
        <w:rPr>
          <w:rFonts w:cs="Arial"/>
          <w:szCs w:val="20"/>
          <w:lang w:val="pt-BR"/>
        </w:rPr>
        <w:t xml:space="preserve"> as </w:t>
      </w:r>
      <w:r w:rsidR="00EB4A55" w:rsidRPr="00D5464D">
        <w:rPr>
          <w:rFonts w:cs="Arial"/>
          <w:szCs w:val="20"/>
          <w:lang w:val="pt-BR"/>
        </w:rPr>
        <w:t xml:space="preserve">autoridades </w:t>
      </w:r>
      <w:r w:rsidR="002C330E" w:rsidRPr="00D5464D">
        <w:rPr>
          <w:rFonts w:cs="Arial"/>
          <w:szCs w:val="20"/>
          <w:lang w:val="pt-BR"/>
        </w:rPr>
        <w:t>judiciais</w:t>
      </w:r>
      <w:r w:rsidR="00EB4A55" w:rsidRPr="00D5464D">
        <w:rPr>
          <w:rFonts w:cs="Arial"/>
          <w:szCs w:val="20"/>
          <w:lang w:val="pt-BR"/>
        </w:rPr>
        <w:t xml:space="preserve"> </w:t>
      </w:r>
      <w:r w:rsidR="0092619F" w:rsidRPr="00D5464D">
        <w:rPr>
          <w:rFonts w:cs="Arial"/>
          <w:szCs w:val="20"/>
          <w:lang w:val="pt-BR"/>
        </w:rPr>
        <w:t xml:space="preserve">não buscaram, de forma </w:t>
      </w:r>
      <w:r w:rsidR="00EB4A55" w:rsidRPr="00D5464D">
        <w:rPr>
          <w:rFonts w:cs="Arial"/>
          <w:szCs w:val="20"/>
          <w:lang w:val="pt-BR"/>
        </w:rPr>
        <w:t>diligente</w:t>
      </w:r>
      <w:r w:rsidR="0092619F" w:rsidRPr="00D5464D">
        <w:rPr>
          <w:rFonts w:cs="Arial"/>
          <w:szCs w:val="20"/>
          <w:lang w:val="pt-BR"/>
        </w:rPr>
        <w:t>,</w:t>
      </w:r>
      <w:r w:rsidR="00EB4A55" w:rsidRPr="00D5464D">
        <w:rPr>
          <w:rFonts w:cs="Arial"/>
          <w:szCs w:val="20"/>
          <w:lang w:val="pt-BR"/>
        </w:rPr>
        <w:t xml:space="preserve"> que </w:t>
      </w:r>
      <w:r w:rsidR="0092619F" w:rsidRPr="00D5464D">
        <w:rPr>
          <w:rFonts w:cs="Arial"/>
          <w:szCs w:val="20"/>
          <w:lang w:val="pt-BR"/>
        </w:rPr>
        <w:t xml:space="preserve">o processo penal chegasse a uma </w:t>
      </w:r>
      <w:r w:rsidR="00594B57" w:rsidRPr="00D5464D">
        <w:rPr>
          <w:rFonts w:cs="Arial"/>
          <w:szCs w:val="20"/>
          <w:lang w:val="pt-BR"/>
        </w:rPr>
        <w:t>resolu</w:t>
      </w:r>
      <w:r w:rsidRPr="00D5464D">
        <w:rPr>
          <w:rFonts w:cs="Arial"/>
          <w:szCs w:val="20"/>
          <w:lang w:val="pt-BR"/>
        </w:rPr>
        <w:t>ção</w:t>
      </w:r>
      <w:r w:rsidR="00EB4A55" w:rsidRPr="00D5464D">
        <w:rPr>
          <w:rFonts w:cs="Arial"/>
          <w:szCs w:val="20"/>
          <w:lang w:val="pt-BR"/>
        </w:rPr>
        <w:t>.</w:t>
      </w:r>
    </w:p>
    <w:p w14:paraId="42E111CA" w14:textId="77777777" w:rsidR="004C2D81" w:rsidRPr="00D5464D" w:rsidRDefault="004C2D81" w:rsidP="004C2D81">
      <w:pPr>
        <w:pStyle w:val="Prrafodelista"/>
        <w:ind w:left="0"/>
        <w:contextualSpacing w:val="0"/>
        <w:rPr>
          <w:rFonts w:cs="Arial"/>
          <w:szCs w:val="20"/>
          <w:lang w:val="pt-BR"/>
        </w:rPr>
      </w:pPr>
    </w:p>
    <w:p w14:paraId="4F745A15" w14:textId="443B976F" w:rsidR="0039404C" w:rsidRPr="00D5464D" w:rsidRDefault="0092619F" w:rsidP="0039404C">
      <w:pPr>
        <w:numPr>
          <w:ilvl w:val="0"/>
          <w:numId w:val="1"/>
        </w:numPr>
        <w:tabs>
          <w:tab w:val="clear" w:pos="4419"/>
          <w:tab w:val="clear" w:pos="8838"/>
        </w:tabs>
        <w:contextualSpacing/>
        <w:jc w:val="both"/>
        <w:rPr>
          <w:szCs w:val="20"/>
          <w:lang w:val="pt-BR"/>
        </w:rPr>
      </w:pPr>
      <w:r w:rsidRPr="00D5464D">
        <w:rPr>
          <w:szCs w:val="20"/>
          <w:lang w:val="pt-BR"/>
        </w:rPr>
        <w:t xml:space="preserve">Levando em consideração </w:t>
      </w:r>
      <w:r w:rsidR="00D81AA1" w:rsidRPr="00D5464D">
        <w:rPr>
          <w:szCs w:val="20"/>
          <w:lang w:val="pt-BR"/>
        </w:rPr>
        <w:t>que: i)</w:t>
      </w:r>
      <w:r w:rsidR="00E045D9" w:rsidRPr="00D5464D">
        <w:rPr>
          <w:szCs w:val="20"/>
          <w:lang w:val="pt-BR"/>
        </w:rPr>
        <w:t xml:space="preserve"> no </w:t>
      </w:r>
      <w:r w:rsidR="00D81AA1" w:rsidRPr="00D5464D">
        <w:rPr>
          <w:szCs w:val="20"/>
          <w:lang w:val="pt-BR"/>
        </w:rPr>
        <w:t>presente caso</w:t>
      </w:r>
      <w:r w:rsidR="002C330E" w:rsidRPr="00D5464D">
        <w:rPr>
          <w:szCs w:val="20"/>
          <w:lang w:val="pt-BR"/>
        </w:rPr>
        <w:t xml:space="preserve"> a integridade </w:t>
      </w:r>
      <w:r w:rsidR="00470ADC" w:rsidRPr="00D5464D">
        <w:rPr>
          <w:szCs w:val="20"/>
          <w:lang w:val="pt-BR"/>
        </w:rPr>
        <w:t xml:space="preserve">dos </w:t>
      </w:r>
      <w:r w:rsidR="00E045D9" w:rsidRPr="00D5464D">
        <w:rPr>
          <w:szCs w:val="20"/>
          <w:lang w:val="pt-BR"/>
        </w:rPr>
        <w:t>trabalhadores</w:t>
      </w:r>
      <w:r w:rsidR="00470ADC" w:rsidRPr="00D5464D">
        <w:rPr>
          <w:szCs w:val="20"/>
          <w:lang w:val="pt-BR"/>
        </w:rPr>
        <w:t xml:space="preserve"> da </w:t>
      </w:r>
      <w:r w:rsidR="00D809F0" w:rsidRPr="00D5464D">
        <w:rPr>
          <w:szCs w:val="20"/>
          <w:lang w:val="pt-BR"/>
        </w:rPr>
        <w:t>Fazenda</w:t>
      </w:r>
      <w:r w:rsidR="00D81AA1" w:rsidRPr="00D5464D">
        <w:rPr>
          <w:szCs w:val="20"/>
          <w:lang w:val="pt-BR"/>
        </w:rPr>
        <w:t xml:space="preserve"> Brasil Ver</w:t>
      </w:r>
      <w:r w:rsidR="00E045D9" w:rsidRPr="00D5464D">
        <w:rPr>
          <w:szCs w:val="20"/>
          <w:lang w:val="pt-BR"/>
        </w:rPr>
        <w:t>de</w:t>
      </w:r>
      <w:r w:rsidRPr="00D5464D">
        <w:rPr>
          <w:szCs w:val="20"/>
          <w:lang w:val="pt-BR"/>
        </w:rPr>
        <w:t xml:space="preserve"> e</w:t>
      </w:r>
      <w:r w:rsidR="00E045D9" w:rsidRPr="00D5464D">
        <w:rPr>
          <w:szCs w:val="20"/>
          <w:lang w:val="pt-BR"/>
        </w:rPr>
        <w:t>sta</w:t>
      </w:r>
      <w:r w:rsidR="00470ADC" w:rsidRPr="00D5464D">
        <w:rPr>
          <w:szCs w:val="20"/>
          <w:lang w:val="pt-BR"/>
        </w:rPr>
        <w:t xml:space="preserve">va em </w:t>
      </w:r>
      <w:r w:rsidR="002C330E" w:rsidRPr="00D5464D">
        <w:rPr>
          <w:szCs w:val="20"/>
          <w:lang w:val="pt-BR"/>
        </w:rPr>
        <w:t>risco</w:t>
      </w:r>
      <w:r w:rsidR="009E04D5" w:rsidRPr="00D5464D">
        <w:rPr>
          <w:szCs w:val="20"/>
          <w:lang w:val="pt-BR"/>
        </w:rPr>
        <w:t>,</w:t>
      </w:r>
      <w:r w:rsidR="00D81AA1" w:rsidRPr="00D5464D">
        <w:rPr>
          <w:szCs w:val="20"/>
          <w:lang w:val="pt-BR"/>
        </w:rPr>
        <w:t xml:space="preserve"> ii)</w:t>
      </w:r>
      <w:r w:rsidR="002C330E" w:rsidRPr="00D5464D">
        <w:rPr>
          <w:szCs w:val="20"/>
          <w:lang w:val="pt-BR"/>
        </w:rPr>
        <w:t xml:space="preserve"> a </w:t>
      </w:r>
      <w:r w:rsidR="00470ADC" w:rsidRPr="00D5464D">
        <w:rPr>
          <w:szCs w:val="20"/>
          <w:lang w:val="pt-BR"/>
        </w:rPr>
        <w:t xml:space="preserve">consequente </w:t>
      </w:r>
      <w:r w:rsidR="00737270" w:rsidRPr="00D5464D">
        <w:rPr>
          <w:szCs w:val="20"/>
          <w:lang w:val="pt-BR"/>
        </w:rPr>
        <w:t>urgência</w:t>
      </w:r>
      <w:r w:rsidR="00D81AA1" w:rsidRPr="00D5464D">
        <w:rPr>
          <w:szCs w:val="20"/>
          <w:lang w:val="pt-BR"/>
        </w:rPr>
        <w:t xml:space="preserve"> derivada de </w:t>
      </w:r>
      <w:r w:rsidR="00737270" w:rsidRPr="00D5464D">
        <w:rPr>
          <w:szCs w:val="20"/>
          <w:lang w:val="pt-BR"/>
        </w:rPr>
        <w:t>sua situação</w:t>
      </w:r>
      <w:r w:rsidR="00FF1290" w:rsidRPr="00D5464D">
        <w:rPr>
          <w:szCs w:val="20"/>
          <w:lang w:val="pt-BR"/>
        </w:rPr>
        <w:t xml:space="preserve"> </w:t>
      </w:r>
      <w:r w:rsidR="00D81AA1" w:rsidRPr="00D5464D">
        <w:rPr>
          <w:szCs w:val="20"/>
          <w:lang w:val="pt-BR"/>
        </w:rPr>
        <w:t xml:space="preserve">de </w:t>
      </w:r>
      <w:r w:rsidR="00E045D9" w:rsidRPr="00D5464D">
        <w:rPr>
          <w:szCs w:val="20"/>
          <w:lang w:val="pt-BR"/>
        </w:rPr>
        <w:t>trabalho</w:t>
      </w:r>
      <w:r w:rsidR="00470ADC" w:rsidRPr="00D5464D">
        <w:rPr>
          <w:szCs w:val="20"/>
          <w:lang w:val="pt-BR"/>
        </w:rPr>
        <w:t xml:space="preserve"> em </w:t>
      </w:r>
      <w:r w:rsidR="00D81AA1" w:rsidRPr="00D5464D">
        <w:rPr>
          <w:szCs w:val="20"/>
          <w:lang w:val="pt-BR"/>
        </w:rPr>
        <w:t>condi</w:t>
      </w:r>
      <w:r w:rsidR="00470ADC" w:rsidRPr="00D5464D">
        <w:rPr>
          <w:szCs w:val="20"/>
          <w:lang w:val="pt-BR"/>
        </w:rPr>
        <w:t>ções</w:t>
      </w:r>
      <w:r w:rsidR="00D81AA1" w:rsidRPr="00D5464D">
        <w:rPr>
          <w:szCs w:val="20"/>
          <w:lang w:val="pt-BR"/>
        </w:rPr>
        <w:t xml:space="preserve"> </w:t>
      </w:r>
      <w:r w:rsidR="006665EF" w:rsidRPr="00D5464D">
        <w:rPr>
          <w:szCs w:val="20"/>
          <w:lang w:val="pt-BR"/>
        </w:rPr>
        <w:t>análogas</w:t>
      </w:r>
      <w:r w:rsidR="00350187" w:rsidRPr="00D5464D">
        <w:rPr>
          <w:szCs w:val="20"/>
          <w:lang w:val="pt-BR"/>
        </w:rPr>
        <w:t xml:space="preserve"> </w:t>
      </w:r>
      <w:r w:rsidRPr="00D5464D">
        <w:rPr>
          <w:szCs w:val="20"/>
          <w:lang w:val="pt-BR"/>
        </w:rPr>
        <w:t>à</w:t>
      </w:r>
      <w:r w:rsidR="00D81AA1" w:rsidRPr="00D5464D">
        <w:rPr>
          <w:szCs w:val="20"/>
          <w:lang w:val="pt-BR"/>
        </w:rPr>
        <w:t xml:space="preserve"> </w:t>
      </w:r>
      <w:r w:rsidR="000B376D" w:rsidRPr="00D5464D">
        <w:rPr>
          <w:szCs w:val="20"/>
          <w:lang w:val="pt-BR"/>
        </w:rPr>
        <w:t>escravidão</w:t>
      </w:r>
      <w:r w:rsidR="00470ADC" w:rsidRPr="00D5464D">
        <w:rPr>
          <w:szCs w:val="20"/>
          <w:lang w:val="pt-BR"/>
        </w:rPr>
        <w:t xml:space="preserve"> e</w:t>
      </w:r>
      <w:r w:rsidR="00D81AA1" w:rsidRPr="00D5464D">
        <w:rPr>
          <w:szCs w:val="20"/>
          <w:lang w:val="pt-BR"/>
        </w:rPr>
        <w:t xml:space="preserve"> iii)</w:t>
      </w:r>
      <w:r w:rsidR="002C330E" w:rsidRPr="00D5464D">
        <w:rPr>
          <w:szCs w:val="20"/>
          <w:lang w:val="pt-BR"/>
        </w:rPr>
        <w:t xml:space="preserve"> a importância</w:t>
      </w:r>
      <w:r w:rsidR="00E045D9" w:rsidRPr="00D5464D">
        <w:rPr>
          <w:szCs w:val="20"/>
          <w:lang w:val="pt-BR"/>
        </w:rPr>
        <w:t xml:space="preserve"> na </w:t>
      </w:r>
      <w:r w:rsidR="00D81AA1" w:rsidRPr="00D5464D">
        <w:rPr>
          <w:szCs w:val="20"/>
          <w:lang w:val="pt-BR"/>
        </w:rPr>
        <w:t>resolu</w:t>
      </w:r>
      <w:r w:rsidR="00470ADC" w:rsidRPr="00D5464D">
        <w:rPr>
          <w:szCs w:val="20"/>
          <w:lang w:val="pt-BR"/>
        </w:rPr>
        <w:t xml:space="preserve">ção dos </w:t>
      </w:r>
      <w:r w:rsidR="002C330E" w:rsidRPr="00D5464D">
        <w:rPr>
          <w:szCs w:val="20"/>
          <w:lang w:val="pt-BR"/>
        </w:rPr>
        <w:t>processo</w:t>
      </w:r>
      <w:r w:rsidR="00D81AA1" w:rsidRPr="00D5464D">
        <w:rPr>
          <w:szCs w:val="20"/>
          <w:lang w:val="pt-BR"/>
        </w:rPr>
        <w:t>s para</w:t>
      </w:r>
      <w:r w:rsidR="002C330E" w:rsidRPr="00D5464D">
        <w:rPr>
          <w:szCs w:val="20"/>
          <w:lang w:val="pt-BR"/>
        </w:rPr>
        <w:t xml:space="preserve"> a </w:t>
      </w:r>
      <w:r w:rsidR="00D81AA1" w:rsidRPr="00D5464D">
        <w:rPr>
          <w:szCs w:val="20"/>
          <w:lang w:val="pt-BR"/>
        </w:rPr>
        <w:t>repara</w:t>
      </w:r>
      <w:r w:rsidR="00470ADC" w:rsidRPr="00D5464D">
        <w:rPr>
          <w:szCs w:val="20"/>
          <w:lang w:val="pt-BR"/>
        </w:rPr>
        <w:t xml:space="preserve">ção dos </w:t>
      </w:r>
      <w:r w:rsidR="00E045D9" w:rsidRPr="00D5464D">
        <w:rPr>
          <w:szCs w:val="20"/>
          <w:lang w:val="pt-BR"/>
        </w:rPr>
        <w:t>trabalhadores</w:t>
      </w:r>
      <w:r w:rsidR="00D81AA1" w:rsidRPr="00D5464D">
        <w:rPr>
          <w:szCs w:val="20"/>
          <w:lang w:val="pt-BR"/>
        </w:rPr>
        <w:t xml:space="preserve">, </w:t>
      </w:r>
      <w:r w:rsidRPr="00D5464D">
        <w:rPr>
          <w:szCs w:val="20"/>
          <w:lang w:val="pt-BR"/>
        </w:rPr>
        <w:t xml:space="preserve">bem </w:t>
      </w:r>
      <w:r w:rsidR="00D81AA1" w:rsidRPr="00D5464D">
        <w:rPr>
          <w:szCs w:val="20"/>
          <w:lang w:val="pt-BR"/>
        </w:rPr>
        <w:t>como para</w:t>
      </w:r>
      <w:r w:rsidR="002C330E" w:rsidRPr="00D5464D">
        <w:rPr>
          <w:szCs w:val="20"/>
          <w:lang w:val="pt-BR"/>
        </w:rPr>
        <w:t xml:space="preserve"> a </w:t>
      </w:r>
      <w:r w:rsidR="00D81AA1" w:rsidRPr="00D5464D">
        <w:rPr>
          <w:szCs w:val="20"/>
          <w:lang w:val="pt-BR"/>
        </w:rPr>
        <w:t>interrup</w:t>
      </w:r>
      <w:r w:rsidR="00470ADC" w:rsidRPr="00D5464D">
        <w:rPr>
          <w:szCs w:val="20"/>
          <w:lang w:val="pt-BR"/>
        </w:rPr>
        <w:t xml:space="preserve">ção da </w:t>
      </w:r>
      <w:r w:rsidR="00D81AA1" w:rsidRPr="00D5464D">
        <w:rPr>
          <w:szCs w:val="20"/>
          <w:lang w:val="pt-BR"/>
        </w:rPr>
        <w:t>situa</w:t>
      </w:r>
      <w:r w:rsidR="00470ADC" w:rsidRPr="00D5464D">
        <w:rPr>
          <w:szCs w:val="20"/>
          <w:lang w:val="pt-BR"/>
        </w:rPr>
        <w:t>ção</w:t>
      </w:r>
      <w:r w:rsidR="00D81AA1" w:rsidRPr="00D5464D">
        <w:rPr>
          <w:szCs w:val="20"/>
          <w:lang w:val="pt-BR"/>
        </w:rPr>
        <w:t xml:space="preserve"> de </w:t>
      </w:r>
      <w:r w:rsidR="000B376D" w:rsidRPr="00D5464D">
        <w:rPr>
          <w:szCs w:val="20"/>
          <w:lang w:val="pt-BR"/>
        </w:rPr>
        <w:t>escravidão</w:t>
      </w:r>
      <w:r w:rsidR="00D81AA1" w:rsidRPr="00D5464D">
        <w:rPr>
          <w:szCs w:val="20"/>
          <w:lang w:val="pt-BR"/>
        </w:rPr>
        <w:t xml:space="preserve"> que </w:t>
      </w:r>
      <w:r w:rsidR="00470ADC" w:rsidRPr="00D5464D">
        <w:rPr>
          <w:szCs w:val="20"/>
          <w:lang w:val="pt-BR"/>
        </w:rPr>
        <w:t>existia</w:t>
      </w:r>
      <w:r w:rsidR="00E045D9" w:rsidRPr="00D5464D">
        <w:rPr>
          <w:szCs w:val="20"/>
          <w:lang w:val="pt-BR"/>
        </w:rPr>
        <w:t xml:space="preserve"> nas </w:t>
      </w:r>
      <w:r w:rsidR="00D809F0" w:rsidRPr="00D5464D">
        <w:rPr>
          <w:szCs w:val="20"/>
          <w:lang w:val="pt-BR"/>
        </w:rPr>
        <w:t>fazenda</w:t>
      </w:r>
      <w:r w:rsidR="00D81AA1" w:rsidRPr="00D5464D">
        <w:rPr>
          <w:szCs w:val="20"/>
          <w:lang w:val="pt-BR"/>
        </w:rPr>
        <w:t>s,</w:t>
      </w:r>
      <w:r w:rsidR="002C330E" w:rsidRPr="00D5464D">
        <w:rPr>
          <w:szCs w:val="20"/>
          <w:lang w:val="pt-BR"/>
        </w:rPr>
        <w:t xml:space="preserve"> a </w:t>
      </w:r>
      <w:r w:rsidR="00D81AA1" w:rsidRPr="00D5464D">
        <w:rPr>
          <w:szCs w:val="20"/>
          <w:lang w:val="pt-BR"/>
        </w:rPr>
        <w:t xml:space="preserve">Corte considera que </w:t>
      </w:r>
      <w:r w:rsidR="00470ADC" w:rsidRPr="00D5464D">
        <w:rPr>
          <w:szCs w:val="20"/>
          <w:lang w:val="pt-BR"/>
        </w:rPr>
        <w:t>existia</w:t>
      </w:r>
      <w:r w:rsidR="00E045D9" w:rsidRPr="00D5464D">
        <w:rPr>
          <w:szCs w:val="20"/>
          <w:lang w:val="pt-BR"/>
        </w:rPr>
        <w:t xml:space="preserve"> uma </w:t>
      </w:r>
      <w:r w:rsidR="002C330E" w:rsidRPr="00D5464D">
        <w:rPr>
          <w:szCs w:val="20"/>
          <w:lang w:val="pt-BR"/>
        </w:rPr>
        <w:t>obrigação</w:t>
      </w:r>
      <w:r w:rsidR="00D81AA1" w:rsidRPr="00D5464D">
        <w:rPr>
          <w:szCs w:val="20"/>
          <w:lang w:val="pt-BR"/>
        </w:rPr>
        <w:t xml:space="preserve"> especial de </w:t>
      </w:r>
      <w:r w:rsidR="00470ADC" w:rsidRPr="00D5464D">
        <w:rPr>
          <w:szCs w:val="20"/>
          <w:lang w:val="pt-BR"/>
        </w:rPr>
        <w:t>atuar com devida diligência e</w:t>
      </w:r>
      <w:r w:rsidR="00D81AA1" w:rsidRPr="00D5464D">
        <w:rPr>
          <w:szCs w:val="20"/>
          <w:lang w:val="pt-BR"/>
        </w:rPr>
        <w:t xml:space="preserve"> que esta </w:t>
      </w:r>
      <w:r w:rsidR="002C330E" w:rsidRPr="00D5464D">
        <w:rPr>
          <w:szCs w:val="20"/>
          <w:lang w:val="pt-BR"/>
        </w:rPr>
        <w:t>obrigação</w:t>
      </w:r>
      <w:r w:rsidR="00D81AA1" w:rsidRPr="00D5464D">
        <w:rPr>
          <w:szCs w:val="20"/>
          <w:lang w:val="pt-BR"/>
        </w:rPr>
        <w:t xml:space="preserve"> </w:t>
      </w:r>
      <w:r w:rsidR="00737270" w:rsidRPr="00D5464D">
        <w:rPr>
          <w:szCs w:val="20"/>
          <w:lang w:val="pt-BR"/>
        </w:rPr>
        <w:t>não foi</w:t>
      </w:r>
      <w:r w:rsidR="00470ADC" w:rsidRPr="00D5464D">
        <w:rPr>
          <w:szCs w:val="20"/>
          <w:lang w:val="pt-BR"/>
        </w:rPr>
        <w:t xml:space="preserve"> cumprida</w:t>
      </w:r>
      <w:r w:rsidR="002C330E" w:rsidRPr="00D5464D">
        <w:rPr>
          <w:szCs w:val="20"/>
          <w:lang w:val="pt-BR"/>
        </w:rPr>
        <w:t xml:space="preserve"> pelo </w:t>
      </w:r>
      <w:r w:rsidR="00D81AA1" w:rsidRPr="00D5464D">
        <w:rPr>
          <w:szCs w:val="20"/>
          <w:lang w:val="pt-BR"/>
        </w:rPr>
        <w:t xml:space="preserve">Estado. </w:t>
      </w:r>
      <w:r w:rsidRPr="00D5464D">
        <w:rPr>
          <w:szCs w:val="20"/>
          <w:lang w:val="pt-BR"/>
        </w:rPr>
        <w:t>Em razão d</w:t>
      </w:r>
      <w:r w:rsidR="00C91CB1" w:rsidRPr="00D5464D">
        <w:rPr>
          <w:szCs w:val="20"/>
          <w:lang w:val="pt-BR"/>
        </w:rPr>
        <w:t xml:space="preserve">o </w:t>
      </w:r>
      <w:r w:rsidR="00D81AA1" w:rsidRPr="00D5464D">
        <w:rPr>
          <w:szCs w:val="20"/>
          <w:lang w:val="pt-BR"/>
        </w:rPr>
        <w:t>anterior,</w:t>
      </w:r>
      <w:r w:rsidR="002C330E" w:rsidRPr="00D5464D">
        <w:rPr>
          <w:szCs w:val="20"/>
          <w:lang w:val="pt-BR"/>
        </w:rPr>
        <w:t xml:space="preserve"> a </w:t>
      </w:r>
      <w:r w:rsidR="00D81AA1" w:rsidRPr="00D5464D">
        <w:rPr>
          <w:szCs w:val="20"/>
          <w:lang w:val="pt-BR"/>
        </w:rPr>
        <w:t xml:space="preserve">Corte </w:t>
      </w:r>
      <w:r w:rsidR="00470ADC" w:rsidRPr="00D5464D">
        <w:rPr>
          <w:szCs w:val="20"/>
          <w:lang w:val="pt-BR"/>
        </w:rPr>
        <w:t xml:space="preserve">conclui </w:t>
      </w:r>
      <w:r w:rsidR="00D81AA1" w:rsidRPr="00D5464D">
        <w:rPr>
          <w:szCs w:val="20"/>
          <w:lang w:val="pt-BR"/>
        </w:rPr>
        <w:t>que</w:t>
      </w:r>
      <w:r w:rsidR="00470ADC" w:rsidRPr="00D5464D">
        <w:rPr>
          <w:szCs w:val="20"/>
          <w:lang w:val="pt-BR"/>
        </w:rPr>
        <w:t xml:space="preserve"> o </w:t>
      </w:r>
      <w:r w:rsidR="00D81AA1" w:rsidRPr="00D5464D">
        <w:rPr>
          <w:szCs w:val="20"/>
          <w:lang w:val="pt-BR"/>
        </w:rPr>
        <w:t xml:space="preserve">Estado </w:t>
      </w:r>
      <w:r w:rsidR="00EB1CE9" w:rsidRPr="00D5464D">
        <w:rPr>
          <w:szCs w:val="20"/>
          <w:lang w:val="pt-BR"/>
        </w:rPr>
        <w:t>violou</w:t>
      </w:r>
      <w:r w:rsidR="002C330E" w:rsidRPr="00D5464D">
        <w:rPr>
          <w:szCs w:val="20"/>
          <w:lang w:val="pt-BR"/>
        </w:rPr>
        <w:t xml:space="preserve"> a garantia </w:t>
      </w:r>
      <w:r w:rsidR="00D81AA1" w:rsidRPr="00D5464D">
        <w:rPr>
          <w:szCs w:val="20"/>
          <w:lang w:val="pt-BR"/>
        </w:rPr>
        <w:t xml:space="preserve">judicial de </w:t>
      </w:r>
      <w:r w:rsidR="00470ADC" w:rsidRPr="00D5464D">
        <w:rPr>
          <w:szCs w:val="20"/>
          <w:lang w:val="pt-BR"/>
        </w:rPr>
        <w:t>devida diligência</w:t>
      </w:r>
      <w:r w:rsidR="00144A58" w:rsidRPr="00D5464D">
        <w:rPr>
          <w:szCs w:val="20"/>
          <w:lang w:val="pt-BR"/>
        </w:rPr>
        <w:t>,</w:t>
      </w:r>
      <w:r w:rsidR="00D81AA1" w:rsidRPr="00D5464D">
        <w:rPr>
          <w:szCs w:val="20"/>
          <w:lang w:val="pt-BR"/>
        </w:rPr>
        <w:t xml:space="preserve"> prevista</w:t>
      </w:r>
      <w:r w:rsidR="00E045D9" w:rsidRPr="00D5464D">
        <w:rPr>
          <w:szCs w:val="20"/>
          <w:lang w:val="pt-BR"/>
        </w:rPr>
        <w:t xml:space="preserve"> no </w:t>
      </w:r>
      <w:r w:rsidR="00470ADC" w:rsidRPr="00D5464D">
        <w:rPr>
          <w:szCs w:val="20"/>
          <w:lang w:val="pt-BR"/>
        </w:rPr>
        <w:t>artigo</w:t>
      </w:r>
      <w:r w:rsidR="00D81AA1" w:rsidRPr="00D5464D">
        <w:rPr>
          <w:szCs w:val="20"/>
          <w:lang w:val="pt-BR"/>
        </w:rPr>
        <w:t xml:space="preserve"> 8.1</w:t>
      </w:r>
      <w:r w:rsidR="00470ADC" w:rsidRPr="00D5464D">
        <w:rPr>
          <w:szCs w:val="20"/>
          <w:lang w:val="pt-BR"/>
        </w:rPr>
        <w:t xml:space="preserve"> da </w:t>
      </w:r>
      <w:r w:rsidR="00144A58" w:rsidRPr="00D5464D">
        <w:rPr>
          <w:szCs w:val="20"/>
          <w:lang w:val="pt-BR"/>
        </w:rPr>
        <w:t>Conven</w:t>
      </w:r>
      <w:r w:rsidR="00470ADC" w:rsidRPr="00D5464D">
        <w:rPr>
          <w:szCs w:val="20"/>
          <w:lang w:val="pt-BR"/>
        </w:rPr>
        <w:t>ção</w:t>
      </w:r>
      <w:r w:rsidR="00144A58" w:rsidRPr="00D5464D">
        <w:rPr>
          <w:szCs w:val="20"/>
          <w:lang w:val="pt-BR"/>
        </w:rPr>
        <w:t xml:space="preserve"> Americana sobre </w:t>
      </w:r>
      <w:r w:rsidR="00470ADC" w:rsidRPr="00D5464D">
        <w:rPr>
          <w:szCs w:val="20"/>
          <w:lang w:val="pt-BR"/>
        </w:rPr>
        <w:t>Direito</w:t>
      </w:r>
      <w:r w:rsidR="00144A58" w:rsidRPr="00D5464D">
        <w:rPr>
          <w:szCs w:val="20"/>
          <w:lang w:val="pt-BR"/>
        </w:rPr>
        <w:t>s Humanos,</w:t>
      </w:r>
      <w:r w:rsidR="00470ADC" w:rsidRPr="00D5464D">
        <w:rPr>
          <w:szCs w:val="20"/>
          <w:lang w:val="pt-BR"/>
        </w:rPr>
        <w:t xml:space="preserve"> </w:t>
      </w:r>
      <w:r w:rsidR="00A1358C" w:rsidRPr="00D5464D">
        <w:rPr>
          <w:szCs w:val="20"/>
          <w:lang w:val="pt-BR"/>
        </w:rPr>
        <w:t>em relação ao artigo</w:t>
      </w:r>
      <w:r w:rsidR="00D81AA1" w:rsidRPr="00D5464D">
        <w:rPr>
          <w:szCs w:val="20"/>
          <w:lang w:val="pt-BR"/>
        </w:rPr>
        <w:t xml:space="preserve"> 1.1 </w:t>
      </w:r>
      <w:r w:rsidR="00470ADC" w:rsidRPr="00D5464D">
        <w:rPr>
          <w:szCs w:val="20"/>
          <w:lang w:val="pt-BR"/>
        </w:rPr>
        <w:t xml:space="preserve">do </w:t>
      </w:r>
      <w:r w:rsidR="002C330E" w:rsidRPr="00D5464D">
        <w:rPr>
          <w:szCs w:val="20"/>
          <w:lang w:val="pt-BR"/>
        </w:rPr>
        <w:t>mesm</w:t>
      </w:r>
      <w:r w:rsidR="00144A58" w:rsidRPr="00D5464D">
        <w:rPr>
          <w:szCs w:val="20"/>
          <w:lang w:val="pt-BR"/>
        </w:rPr>
        <w:t>o in</w:t>
      </w:r>
      <w:r w:rsidR="0048084C" w:rsidRPr="00D5464D">
        <w:rPr>
          <w:szCs w:val="20"/>
          <w:lang w:val="pt-BR"/>
        </w:rPr>
        <w:t>s</w:t>
      </w:r>
      <w:r w:rsidR="00144A58" w:rsidRPr="00D5464D">
        <w:rPr>
          <w:szCs w:val="20"/>
          <w:lang w:val="pt-BR"/>
        </w:rPr>
        <w:t>trumento,</w:t>
      </w:r>
      <w:r w:rsidR="00470ADC" w:rsidRPr="00D5464D">
        <w:rPr>
          <w:szCs w:val="20"/>
          <w:lang w:val="pt-BR"/>
        </w:rPr>
        <w:t xml:space="preserve"> em </w:t>
      </w:r>
      <w:r w:rsidR="002C330E" w:rsidRPr="00D5464D">
        <w:rPr>
          <w:szCs w:val="20"/>
          <w:lang w:val="pt-BR"/>
        </w:rPr>
        <w:t>prejuízo</w:t>
      </w:r>
      <w:r w:rsidR="00470ADC" w:rsidRPr="00D5464D">
        <w:rPr>
          <w:szCs w:val="20"/>
          <w:lang w:val="pt-BR"/>
        </w:rPr>
        <w:t xml:space="preserve"> dos </w:t>
      </w:r>
      <w:r w:rsidR="00D81AA1" w:rsidRPr="00D5464D">
        <w:rPr>
          <w:szCs w:val="20"/>
          <w:lang w:val="pt-BR"/>
        </w:rPr>
        <w:t xml:space="preserve">43 </w:t>
      </w:r>
      <w:r w:rsidR="00E045D9" w:rsidRPr="00D5464D">
        <w:rPr>
          <w:szCs w:val="20"/>
          <w:lang w:val="pt-BR"/>
        </w:rPr>
        <w:t>trabalhadores</w:t>
      </w:r>
      <w:r w:rsidR="00470ADC" w:rsidRPr="00D5464D">
        <w:rPr>
          <w:szCs w:val="20"/>
          <w:lang w:val="pt-BR"/>
        </w:rPr>
        <w:t xml:space="preserve"> da </w:t>
      </w:r>
      <w:r w:rsidR="00D809F0" w:rsidRPr="00D5464D">
        <w:rPr>
          <w:szCs w:val="20"/>
          <w:lang w:val="pt-BR"/>
        </w:rPr>
        <w:t>Fazenda</w:t>
      </w:r>
      <w:r w:rsidR="00D81AA1" w:rsidRPr="00D5464D">
        <w:rPr>
          <w:szCs w:val="20"/>
          <w:lang w:val="pt-BR"/>
        </w:rPr>
        <w:t xml:space="preserve"> Brasil Verde </w:t>
      </w:r>
      <w:r w:rsidRPr="00D5464D">
        <w:rPr>
          <w:szCs w:val="20"/>
          <w:lang w:val="pt-BR"/>
        </w:rPr>
        <w:t xml:space="preserve">encontrados </w:t>
      </w:r>
      <w:r w:rsidR="00D81AA1" w:rsidRPr="00D5464D">
        <w:rPr>
          <w:szCs w:val="20"/>
          <w:lang w:val="pt-BR"/>
        </w:rPr>
        <w:t>durante</w:t>
      </w:r>
      <w:r w:rsidR="002C330E" w:rsidRPr="00D5464D">
        <w:rPr>
          <w:szCs w:val="20"/>
          <w:lang w:val="pt-BR"/>
        </w:rPr>
        <w:t xml:space="preserve"> a </w:t>
      </w:r>
      <w:r w:rsidR="00D81AA1" w:rsidRPr="00D5464D">
        <w:rPr>
          <w:szCs w:val="20"/>
          <w:lang w:val="pt-BR"/>
        </w:rPr>
        <w:t>fiscaliza</w:t>
      </w:r>
      <w:r w:rsidR="00470ADC" w:rsidRPr="00D5464D">
        <w:rPr>
          <w:szCs w:val="20"/>
          <w:lang w:val="pt-BR"/>
        </w:rPr>
        <w:t>ção</w:t>
      </w:r>
      <w:r w:rsidR="00D81AA1" w:rsidRPr="00D5464D">
        <w:rPr>
          <w:szCs w:val="20"/>
          <w:lang w:val="pt-BR"/>
        </w:rPr>
        <w:t xml:space="preserve"> de 23 de abril de 1997</w:t>
      </w:r>
      <w:r w:rsidR="00E045D9" w:rsidRPr="00D5464D">
        <w:rPr>
          <w:szCs w:val="20"/>
          <w:lang w:val="pt-BR"/>
        </w:rPr>
        <w:t xml:space="preserve"> e </w:t>
      </w:r>
      <w:r w:rsidR="00D81AA1" w:rsidRPr="00D5464D">
        <w:rPr>
          <w:szCs w:val="20"/>
          <w:lang w:val="pt-BR"/>
        </w:rPr>
        <w:t xml:space="preserve">que </w:t>
      </w:r>
      <w:r w:rsidR="00470ADC" w:rsidRPr="00D5464D">
        <w:rPr>
          <w:szCs w:val="20"/>
          <w:lang w:val="pt-BR"/>
        </w:rPr>
        <w:t>foram</w:t>
      </w:r>
      <w:r w:rsidR="00D81AA1" w:rsidRPr="00D5464D">
        <w:rPr>
          <w:szCs w:val="20"/>
          <w:lang w:val="pt-BR"/>
        </w:rPr>
        <w:t xml:space="preserve"> identificados</w:t>
      </w:r>
      <w:r w:rsidR="002C330E" w:rsidRPr="00D5464D">
        <w:rPr>
          <w:szCs w:val="20"/>
          <w:lang w:val="pt-BR"/>
        </w:rPr>
        <w:t xml:space="preserve"> pela </w:t>
      </w:r>
      <w:r w:rsidR="00D81AA1" w:rsidRPr="00D5464D">
        <w:rPr>
          <w:szCs w:val="20"/>
          <w:lang w:val="pt-BR"/>
        </w:rPr>
        <w:t>Corte</w:t>
      </w:r>
      <w:r w:rsidR="00E045D9" w:rsidRPr="00D5464D">
        <w:rPr>
          <w:szCs w:val="20"/>
          <w:lang w:val="pt-BR"/>
        </w:rPr>
        <w:t xml:space="preserve"> no </w:t>
      </w:r>
      <w:r w:rsidR="00D81AA1" w:rsidRPr="00D5464D">
        <w:rPr>
          <w:szCs w:val="20"/>
          <w:lang w:val="pt-BR"/>
        </w:rPr>
        <w:t xml:space="preserve">presente </w:t>
      </w:r>
      <w:r w:rsidR="002C330E" w:rsidRPr="00D5464D">
        <w:rPr>
          <w:szCs w:val="20"/>
          <w:lang w:val="pt-BR"/>
        </w:rPr>
        <w:t>litígio</w:t>
      </w:r>
      <w:r w:rsidR="00D81AA1" w:rsidRPr="00D5464D">
        <w:rPr>
          <w:szCs w:val="20"/>
          <w:lang w:val="pt-BR"/>
        </w:rPr>
        <w:t xml:space="preserve"> (</w:t>
      </w:r>
      <w:r w:rsidR="00C85EA9" w:rsidRPr="00D5464D">
        <w:rPr>
          <w:szCs w:val="20"/>
          <w:lang w:val="pt-BR"/>
        </w:rPr>
        <w:t xml:space="preserve">par. </w:t>
      </w:r>
      <w:r w:rsidR="00D036E7" w:rsidRPr="00D5464D">
        <w:rPr>
          <w:szCs w:val="20"/>
          <w:lang w:val="pt-BR"/>
        </w:rPr>
        <w:t>199</w:t>
      </w:r>
      <w:r w:rsidR="00D036E7" w:rsidRPr="00D5464D">
        <w:rPr>
          <w:i/>
          <w:szCs w:val="20"/>
          <w:lang w:val="pt-BR"/>
        </w:rPr>
        <w:t xml:space="preserve"> supra</w:t>
      </w:r>
      <w:r w:rsidR="00D036E7" w:rsidRPr="00D5464D">
        <w:rPr>
          <w:szCs w:val="20"/>
          <w:lang w:val="pt-BR"/>
        </w:rPr>
        <w:t>)</w:t>
      </w:r>
      <w:r w:rsidR="00D81AA1" w:rsidRPr="00D5464D">
        <w:rPr>
          <w:szCs w:val="20"/>
          <w:lang w:val="pt-BR"/>
        </w:rPr>
        <w:t>.</w:t>
      </w:r>
      <w:r w:rsidR="0039404C" w:rsidRPr="00D5464D">
        <w:rPr>
          <w:szCs w:val="20"/>
          <w:lang w:val="pt-BR"/>
        </w:rPr>
        <w:t xml:space="preserve"> </w:t>
      </w:r>
    </w:p>
    <w:p w14:paraId="3DB0C074" w14:textId="77777777" w:rsidR="0039404C" w:rsidRPr="00D5464D" w:rsidRDefault="0039404C" w:rsidP="0039404C">
      <w:pPr>
        <w:tabs>
          <w:tab w:val="clear" w:pos="4419"/>
          <w:tab w:val="clear" w:pos="8838"/>
        </w:tabs>
        <w:contextualSpacing/>
        <w:jc w:val="both"/>
        <w:rPr>
          <w:szCs w:val="20"/>
          <w:lang w:val="pt-BR"/>
        </w:rPr>
      </w:pPr>
    </w:p>
    <w:p w14:paraId="40D40067" w14:textId="5C63518F" w:rsidR="0039404C" w:rsidRPr="00D5464D" w:rsidRDefault="0039404C" w:rsidP="00A47A97">
      <w:pPr>
        <w:pStyle w:val="Ttulo3"/>
        <w:rPr>
          <w:lang w:val="pt-BR"/>
        </w:rPr>
      </w:pPr>
      <w:bookmarkStart w:id="423" w:name="_Toc468433938"/>
      <w:r w:rsidRPr="00D5464D">
        <w:rPr>
          <w:lang w:val="pt-BR"/>
        </w:rPr>
        <w:t>B.2</w:t>
      </w:r>
      <w:r w:rsidR="00CB7E29" w:rsidRPr="00D5464D">
        <w:rPr>
          <w:lang w:val="pt-BR"/>
        </w:rPr>
        <w:t>.</w:t>
      </w:r>
      <w:r w:rsidR="002C330E" w:rsidRPr="00D5464D">
        <w:rPr>
          <w:lang w:val="pt-BR"/>
        </w:rPr>
        <w:t xml:space="preserve"> </w:t>
      </w:r>
      <w:r w:rsidR="0092619F" w:rsidRPr="00D5464D">
        <w:rPr>
          <w:lang w:val="pt-BR"/>
        </w:rPr>
        <w:t>P</w:t>
      </w:r>
      <w:r w:rsidR="002C330E" w:rsidRPr="00D5464D">
        <w:rPr>
          <w:lang w:val="pt-BR"/>
        </w:rPr>
        <w:t>razo</w:t>
      </w:r>
      <w:r w:rsidRPr="00D5464D">
        <w:rPr>
          <w:lang w:val="pt-BR"/>
        </w:rPr>
        <w:t xml:space="preserve"> </w:t>
      </w:r>
      <w:r w:rsidR="00A1358C" w:rsidRPr="00D5464D">
        <w:rPr>
          <w:lang w:val="pt-BR"/>
        </w:rPr>
        <w:t>razoável</w:t>
      </w:r>
      <w:bookmarkEnd w:id="423"/>
    </w:p>
    <w:p w14:paraId="2020363A" w14:textId="77777777" w:rsidR="0039404C" w:rsidRPr="00D5464D" w:rsidRDefault="0039404C" w:rsidP="0039404C">
      <w:pPr>
        <w:rPr>
          <w:szCs w:val="20"/>
          <w:lang w:val="pt-BR"/>
        </w:rPr>
      </w:pPr>
    </w:p>
    <w:p w14:paraId="0ECD1B80" w14:textId="4B90C47B" w:rsidR="0039404C" w:rsidRPr="00D5464D" w:rsidRDefault="00230C71" w:rsidP="0039404C">
      <w:pPr>
        <w:numPr>
          <w:ilvl w:val="0"/>
          <w:numId w:val="1"/>
        </w:numPr>
        <w:tabs>
          <w:tab w:val="clear" w:pos="4419"/>
          <w:tab w:val="clear" w:pos="8838"/>
        </w:tabs>
        <w:contextualSpacing/>
        <w:jc w:val="both"/>
        <w:rPr>
          <w:szCs w:val="20"/>
          <w:lang w:val="pt-BR"/>
        </w:rPr>
      </w:pPr>
      <w:r w:rsidRPr="00D5464D">
        <w:rPr>
          <w:szCs w:val="20"/>
          <w:lang w:val="pt-BR"/>
        </w:rPr>
        <w:t xml:space="preserve">Quanto </w:t>
      </w:r>
      <w:r w:rsidR="00470ADC" w:rsidRPr="00D5464D">
        <w:rPr>
          <w:szCs w:val="20"/>
          <w:lang w:val="pt-BR"/>
        </w:rPr>
        <w:t xml:space="preserve">à </w:t>
      </w:r>
      <w:r w:rsidR="00D81AA1" w:rsidRPr="00D5464D">
        <w:rPr>
          <w:szCs w:val="20"/>
          <w:lang w:val="pt-BR"/>
        </w:rPr>
        <w:t>celeridad</w:t>
      </w:r>
      <w:r w:rsidR="0092619F" w:rsidRPr="00D5464D">
        <w:rPr>
          <w:szCs w:val="20"/>
          <w:lang w:val="pt-BR"/>
        </w:rPr>
        <w:t>e</w:t>
      </w:r>
      <w:r w:rsidR="00D81AA1" w:rsidRPr="00D5464D">
        <w:rPr>
          <w:szCs w:val="20"/>
          <w:lang w:val="pt-BR"/>
        </w:rPr>
        <w:t xml:space="preserve"> </w:t>
      </w:r>
      <w:r w:rsidR="00470ADC" w:rsidRPr="00D5464D">
        <w:rPr>
          <w:szCs w:val="20"/>
          <w:lang w:val="pt-BR"/>
        </w:rPr>
        <w:t xml:space="preserve">do </w:t>
      </w:r>
      <w:r w:rsidR="002C330E" w:rsidRPr="00D5464D">
        <w:rPr>
          <w:szCs w:val="20"/>
          <w:lang w:val="pt-BR"/>
        </w:rPr>
        <w:t>processo</w:t>
      </w:r>
      <w:r w:rsidR="0092619F" w:rsidRPr="00D5464D">
        <w:rPr>
          <w:szCs w:val="20"/>
          <w:lang w:val="pt-BR"/>
        </w:rPr>
        <w:t>,</w:t>
      </w:r>
      <w:r w:rsidR="00D81AA1" w:rsidRPr="00D5464D">
        <w:rPr>
          <w:szCs w:val="20"/>
          <w:lang w:val="pt-BR"/>
        </w:rPr>
        <w:t xml:space="preserve"> este Tribunal </w:t>
      </w:r>
      <w:r w:rsidR="009E04D5" w:rsidRPr="00D5464D">
        <w:rPr>
          <w:szCs w:val="20"/>
          <w:lang w:val="pt-BR"/>
        </w:rPr>
        <w:t xml:space="preserve">já afirmou </w:t>
      </w:r>
      <w:r w:rsidR="00D81AA1" w:rsidRPr="00D5464D">
        <w:rPr>
          <w:szCs w:val="20"/>
          <w:lang w:val="pt-BR"/>
        </w:rPr>
        <w:t>que</w:t>
      </w:r>
      <w:r w:rsidR="00470ADC" w:rsidRPr="00D5464D">
        <w:rPr>
          <w:szCs w:val="20"/>
          <w:lang w:val="pt-BR"/>
        </w:rPr>
        <w:t xml:space="preserve"> o </w:t>
      </w:r>
      <w:r w:rsidR="00D81AA1" w:rsidRPr="00D5464D">
        <w:rPr>
          <w:szCs w:val="20"/>
          <w:lang w:val="pt-BR"/>
        </w:rPr>
        <w:t>“</w:t>
      </w:r>
      <w:r w:rsidR="00A1358C" w:rsidRPr="00D5464D">
        <w:rPr>
          <w:szCs w:val="20"/>
          <w:lang w:val="pt-BR"/>
        </w:rPr>
        <w:t>prazo</w:t>
      </w:r>
      <w:r w:rsidR="00D81AA1" w:rsidRPr="00D5464D">
        <w:rPr>
          <w:szCs w:val="20"/>
          <w:lang w:val="pt-BR"/>
        </w:rPr>
        <w:t xml:space="preserve"> </w:t>
      </w:r>
      <w:r w:rsidR="00A1358C" w:rsidRPr="00D5464D">
        <w:rPr>
          <w:szCs w:val="20"/>
          <w:lang w:val="pt-BR"/>
        </w:rPr>
        <w:t>razoável</w:t>
      </w:r>
      <w:r w:rsidR="00D81AA1" w:rsidRPr="00D5464D">
        <w:rPr>
          <w:szCs w:val="20"/>
          <w:lang w:val="pt-BR"/>
        </w:rPr>
        <w:t>”</w:t>
      </w:r>
      <w:r w:rsidR="00470ADC" w:rsidRPr="00D5464D">
        <w:rPr>
          <w:szCs w:val="20"/>
          <w:lang w:val="pt-BR"/>
        </w:rPr>
        <w:t xml:space="preserve"> </w:t>
      </w:r>
      <w:r w:rsidR="0092619F" w:rsidRPr="00D5464D">
        <w:rPr>
          <w:szCs w:val="20"/>
          <w:lang w:val="pt-BR"/>
        </w:rPr>
        <w:t>d</w:t>
      </w:r>
      <w:r w:rsidR="00470ADC" w:rsidRPr="00D5464D">
        <w:rPr>
          <w:szCs w:val="20"/>
          <w:lang w:val="pt-BR"/>
        </w:rPr>
        <w:t>o artigo</w:t>
      </w:r>
      <w:r w:rsidR="00D81AA1" w:rsidRPr="00D5464D">
        <w:rPr>
          <w:szCs w:val="20"/>
          <w:lang w:val="pt-BR"/>
        </w:rPr>
        <w:t xml:space="preserve"> 8.1</w:t>
      </w:r>
      <w:r w:rsidR="00470ADC" w:rsidRPr="00D5464D">
        <w:rPr>
          <w:szCs w:val="20"/>
          <w:lang w:val="pt-BR"/>
        </w:rPr>
        <w:t xml:space="preserve"> da </w:t>
      </w:r>
      <w:r w:rsidR="00D81AA1" w:rsidRPr="00D5464D">
        <w:rPr>
          <w:szCs w:val="20"/>
          <w:lang w:val="pt-BR"/>
        </w:rPr>
        <w:t>Conven</w:t>
      </w:r>
      <w:r w:rsidR="00470ADC" w:rsidRPr="00D5464D">
        <w:rPr>
          <w:szCs w:val="20"/>
          <w:lang w:val="pt-BR"/>
        </w:rPr>
        <w:t>ção</w:t>
      </w:r>
      <w:r w:rsidR="00D81AA1" w:rsidRPr="00D5464D">
        <w:rPr>
          <w:szCs w:val="20"/>
          <w:lang w:val="pt-BR"/>
        </w:rPr>
        <w:t xml:space="preserve"> </w:t>
      </w:r>
      <w:r w:rsidR="00470ADC" w:rsidRPr="00D5464D">
        <w:rPr>
          <w:szCs w:val="20"/>
          <w:lang w:val="pt-BR"/>
        </w:rPr>
        <w:t xml:space="preserve">deve </w:t>
      </w:r>
      <w:r w:rsidR="0092619F" w:rsidRPr="00D5464D">
        <w:rPr>
          <w:szCs w:val="20"/>
          <w:lang w:val="pt-BR"/>
        </w:rPr>
        <w:t xml:space="preserve">ser avaliado </w:t>
      </w:r>
      <w:r w:rsidR="00350187" w:rsidRPr="00D5464D">
        <w:rPr>
          <w:szCs w:val="20"/>
          <w:lang w:val="pt-BR"/>
        </w:rPr>
        <w:t xml:space="preserve">em relação à </w:t>
      </w:r>
      <w:r w:rsidR="00D81AA1" w:rsidRPr="00D5464D">
        <w:rPr>
          <w:szCs w:val="20"/>
          <w:lang w:val="pt-BR"/>
        </w:rPr>
        <w:t>dura</w:t>
      </w:r>
      <w:r w:rsidR="00470ADC" w:rsidRPr="00D5464D">
        <w:rPr>
          <w:szCs w:val="20"/>
          <w:lang w:val="pt-BR"/>
        </w:rPr>
        <w:t>ção</w:t>
      </w:r>
      <w:r w:rsidR="00D81AA1" w:rsidRPr="00D5464D">
        <w:rPr>
          <w:szCs w:val="20"/>
          <w:lang w:val="pt-BR"/>
        </w:rPr>
        <w:t xml:space="preserve"> total </w:t>
      </w:r>
      <w:r w:rsidR="00470ADC" w:rsidRPr="00D5464D">
        <w:rPr>
          <w:szCs w:val="20"/>
          <w:lang w:val="pt-BR"/>
        </w:rPr>
        <w:t xml:space="preserve">do </w:t>
      </w:r>
      <w:r w:rsidR="002C330E" w:rsidRPr="00D5464D">
        <w:rPr>
          <w:szCs w:val="20"/>
          <w:lang w:val="pt-BR"/>
        </w:rPr>
        <w:t>procedimento</w:t>
      </w:r>
      <w:r w:rsidR="00D81AA1" w:rsidRPr="00D5464D">
        <w:rPr>
          <w:szCs w:val="20"/>
          <w:lang w:val="pt-BR"/>
        </w:rPr>
        <w:t xml:space="preserve"> que se </w:t>
      </w:r>
      <w:r w:rsidRPr="00D5464D">
        <w:rPr>
          <w:szCs w:val="20"/>
          <w:lang w:val="pt-BR"/>
        </w:rPr>
        <w:t xml:space="preserve">desenvolve </w:t>
      </w:r>
      <w:r w:rsidR="002C330E" w:rsidRPr="00D5464D">
        <w:rPr>
          <w:szCs w:val="20"/>
          <w:lang w:val="pt-BR"/>
        </w:rPr>
        <w:t>até</w:t>
      </w:r>
      <w:r w:rsidR="00D81AA1" w:rsidRPr="00D5464D">
        <w:rPr>
          <w:szCs w:val="20"/>
          <w:lang w:val="pt-BR"/>
        </w:rPr>
        <w:t xml:space="preserve"> </w:t>
      </w:r>
      <w:r w:rsidR="0092619F" w:rsidRPr="00D5464D">
        <w:rPr>
          <w:szCs w:val="20"/>
          <w:lang w:val="pt-BR"/>
        </w:rPr>
        <w:t>o proferimento d</w:t>
      </w:r>
      <w:r w:rsidR="002C330E" w:rsidRPr="00D5464D">
        <w:rPr>
          <w:szCs w:val="20"/>
          <w:lang w:val="pt-BR"/>
        </w:rPr>
        <w:t>a sentença</w:t>
      </w:r>
      <w:r w:rsidR="00D81AA1" w:rsidRPr="00D5464D">
        <w:rPr>
          <w:szCs w:val="20"/>
          <w:lang w:val="pt-BR"/>
        </w:rPr>
        <w:t xml:space="preserve"> definitiva</w:t>
      </w:r>
      <w:r w:rsidR="0092619F" w:rsidRPr="00D5464D">
        <w:rPr>
          <w:szCs w:val="20"/>
          <w:lang w:val="pt-BR"/>
        </w:rPr>
        <w:t>.</w:t>
      </w:r>
      <w:r w:rsidR="00D81AA1" w:rsidRPr="00D5464D">
        <w:rPr>
          <w:rStyle w:val="Refdenotaalpie"/>
          <w:lang w:val="pt-BR"/>
        </w:rPr>
        <w:footnoteReference w:id="483"/>
      </w:r>
      <w:r w:rsidR="00A1358C" w:rsidRPr="00D5464D">
        <w:rPr>
          <w:szCs w:val="20"/>
          <w:lang w:val="pt-BR"/>
        </w:rPr>
        <w:t xml:space="preserve"> O </w:t>
      </w:r>
      <w:r w:rsidR="00470ADC" w:rsidRPr="00D5464D">
        <w:rPr>
          <w:szCs w:val="20"/>
          <w:lang w:val="pt-BR"/>
        </w:rPr>
        <w:t>direito</w:t>
      </w:r>
      <w:r w:rsidR="00D81AA1" w:rsidRPr="00D5464D">
        <w:rPr>
          <w:szCs w:val="20"/>
          <w:lang w:val="pt-BR"/>
        </w:rPr>
        <w:t xml:space="preserve"> de </w:t>
      </w:r>
      <w:r w:rsidR="00470ADC" w:rsidRPr="00D5464D">
        <w:rPr>
          <w:szCs w:val="20"/>
          <w:lang w:val="pt-BR"/>
        </w:rPr>
        <w:t xml:space="preserve">acesso à </w:t>
      </w:r>
      <w:r w:rsidR="002C330E" w:rsidRPr="00D5464D">
        <w:rPr>
          <w:szCs w:val="20"/>
          <w:lang w:val="pt-BR"/>
        </w:rPr>
        <w:t>justiça</w:t>
      </w:r>
      <w:r w:rsidR="00D81AA1" w:rsidRPr="00D5464D">
        <w:rPr>
          <w:szCs w:val="20"/>
          <w:lang w:val="pt-BR"/>
        </w:rPr>
        <w:t xml:space="preserve"> </w:t>
      </w:r>
      <w:r w:rsidR="0092619F" w:rsidRPr="00D5464D">
        <w:rPr>
          <w:szCs w:val="20"/>
          <w:lang w:val="pt-BR"/>
        </w:rPr>
        <w:t xml:space="preserve">significa </w:t>
      </w:r>
      <w:r w:rsidR="00D81AA1" w:rsidRPr="00D5464D">
        <w:rPr>
          <w:szCs w:val="20"/>
          <w:lang w:val="pt-BR"/>
        </w:rPr>
        <w:t>que</w:t>
      </w:r>
      <w:r w:rsidR="002C330E" w:rsidRPr="00D5464D">
        <w:rPr>
          <w:szCs w:val="20"/>
          <w:lang w:val="pt-BR"/>
        </w:rPr>
        <w:t xml:space="preserve"> a </w:t>
      </w:r>
      <w:r w:rsidR="00D81AA1" w:rsidRPr="00D5464D">
        <w:rPr>
          <w:szCs w:val="20"/>
          <w:lang w:val="pt-BR"/>
        </w:rPr>
        <w:t>solu</w:t>
      </w:r>
      <w:r w:rsidR="00470ADC" w:rsidRPr="00D5464D">
        <w:rPr>
          <w:szCs w:val="20"/>
          <w:lang w:val="pt-BR"/>
        </w:rPr>
        <w:t>ção da controvérsia</w:t>
      </w:r>
      <w:r w:rsidR="00D81AA1" w:rsidRPr="00D5464D">
        <w:rPr>
          <w:szCs w:val="20"/>
          <w:lang w:val="pt-BR"/>
        </w:rPr>
        <w:t xml:space="preserve"> </w:t>
      </w:r>
      <w:r w:rsidR="0092619F" w:rsidRPr="00D5464D">
        <w:rPr>
          <w:szCs w:val="20"/>
          <w:lang w:val="pt-BR"/>
        </w:rPr>
        <w:t xml:space="preserve">ocorra </w:t>
      </w:r>
      <w:r w:rsidR="00470ADC" w:rsidRPr="00D5464D">
        <w:rPr>
          <w:szCs w:val="20"/>
          <w:lang w:val="pt-BR"/>
        </w:rPr>
        <w:t xml:space="preserve">em </w:t>
      </w:r>
      <w:r w:rsidR="0092619F" w:rsidRPr="00D5464D">
        <w:rPr>
          <w:szCs w:val="20"/>
          <w:lang w:val="pt-BR"/>
        </w:rPr>
        <w:t xml:space="preserve">um </w:t>
      </w:r>
      <w:r w:rsidR="00E045D9" w:rsidRPr="00D5464D">
        <w:rPr>
          <w:szCs w:val="20"/>
          <w:lang w:val="pt-BR"/>
        </w:rPr>
        <w:t>tempo</w:t>
      </w:r>
      <w:r w:rsidR="00D81AA1" w:rsidRPr="00D5464D">
        <w:rPr>
          <w:szCs w:val="20"/>
          <w:lang w:val="pt-BR"/>
        </w:rPr>
        <w:t xml:space="preserve"> </w:t>
      </w:r>
      <w:r w:rsidR="00A1358C" w:rsidRPr="00D5464D">
        <w:rPr>
          <w:szCs w:val="20"/>
          <w:lang w:val="pt-BR"/>
        </w:rPr>
        <w:t>razoável</w:t>
      </w:r>
      <w:r w:rsidR="0092619F" w:rsidRPr="00D5464D">
        <w:rPr>
          <w:szCs w:val="20"/>
          <w:lang w:val="pt-BR"/>
        </w:rPr>
        <w:t>,</w:t>
      </w:r>
      <w:r w:rsidR="00D81AA1" w:rsidRPr="00D5464D">
        <w:rPr>
          <w:rStyle w:val="Refdenotaalpie"/>
          <w:lang w:val="pt-BR"/>
        </w:rPr>
        <w:footnoteReference w:id="484"/>
      </w:r>
      <w:r w:rsidR="00737270" w:rsidRPr="00D5464D">
        <w:rPr>
          <w:szCs w:val="20"/>
          <w:lang w:val="pt-BR"/>
        </w:rPr>
        <w:t xml:space="preserve"> já </w:t>
      </w:r>
      <w:r w:rsidR="00D81AA1" w:rsidRPr="00D5464D">
        <w:rPr>
          <w:szCs w:val="20"/>
          <w:lang w:val="pt-BR"/>
        </w:rPr>
        <w:t>que</w:t>
      </w:r>
      <w:r w:rsidR="00E045D9" w:rsidRPr="00D5464D">
        <w:rPr>
          <w:szCs w:val="20"/>
          <w:lang w:val="pt-BR"/>
        </w:rPr>
        <w:t xml:space="preserve"> uma </w:t>
      </w:r>
      <w:r w:rsidR="00D81AA1" w:rsidRPr="00D5464D">
        <w:rPr>
          <w:szCs w:val="20"/>
          <w:lang w:val="pt-BR"/>
        </w:rPr>
        <w:t xml:space="preserve">demora prolongada </w:t>
      </w:r>
      <w:r w:rsidR="002C330E" w:rsidRPr="00D5464D">
        <w:rPr>
          <w:szCs w:val="20"/>
          <w:lang w:val="pt-BR"/>
        </w:rPr>
        <w:t>pode</w:t>
      </w:r>
      <w:r w:rsidR="00D81AA1" w:rsidRPr="00D5464D">
        <w:rPr>
          <w:szCs w:val="20"/>
          <w:lang w:val="pt-BR"/>
        </w:rPr>
        <w:t xml:space="preserve"> </w:t>
      </w:r>
      <w:r w:rsidR="00737270" w:rsidRPr="00D5464D">
        <w:rPr>
          <w:szCs w:val="20"/>
          <w:lang w:val="pt-BR"/>
        </w:rPr>
        <w:t>chegar</w:t>
      </w:r>
      <w:r w:rsidR="00D81AA1" w:rsidRPr="00D5464D">
        <w:rPr>
          <w:szCs w:val="20"/>
          <w:lang w:val="pt-BR"/>
        </w:rPr>
        <w:t xml:space="preserve"> a constituir</w:t>
      </w:r>
      <w:r w:rsidR="00EB1CE9" w:rsidRPr="00D5464D">
        <w:rPr>
          <w:szCs w:val="20"/>
          <w:lang w:val="pt-BR"/>
        </w:rPr>
        <w:t xml:space="preserve">, por </w:t>
      </w:r>
      <w:r w:rsidR="002C330E" w:rsidRPr="00D5464D">
        <w:rPr>
          <w:szCs w:val="20"/>
          <w:lang w:val="pt-BR"/>
        </w:rPr>
        <w:t>si mesm</w:t>
      </w:r>
      <w:r w:rsidR="00D81AA1" w:rsidRPr="00D5464D">
        <w:rPr>
          <w:szCs w:val="20"/>
          <w:lang w:val="pt-BR"/>
        </w:rPr>
        <w:t>a,</w:t>
      </w:r>
      <w:r w:rsidR="00E045D9" w:rsidRPr="00D5464D">
        <w:rPr>
          <w:szCs w:val="20"/>
          <w:lang w:val="pt-BR"/>
        </w:rPr>
        <w:t xml:space="preserve"> uma </w:t>
      </w:r>
      <w:r w:rsidR="00D81AA1" w:rsidRPr="00D5464D">
        <w:rPr>
          <w:szCs w:val="20"/>
          <w:lang w:val="pt-BR"/>
        </w:rPr>
        <w:t>viola</w:t>
      </w:r>
      <w:r w:rsidR="00470ADC" w:rsidRPr="00D5464D">
        <w:rPr>
          <w:szCs w:val="20"/>
          <w:lang w:val="pt-BR"/>
        </w:rPr>
        <w:t xml:space="preserve">ção das </w:t>
      </w:r>
      <w:r w:rsidR="002C330E" w:rsidRPr="00D5464D">
        <w:rPr>
          <w:szCs w:val="20"/>
          <w:lang w:val="pt-BR"/>
        </w:rPr>
        <w:t>garantias</w:t>
      </w:r>
      <w:r w:rsidR="00D81AA1" w:rsidRPr="00D5464D">
        <w:rPr>
          <w:szCs w:val="20"/>
          <w:lang w:val="pt-BR"/>
        </w:rPr>
        <w:t xml:space="preserve"> </w:t>
      </w:r>
      <w:r w:rsidR="002C330E" w:rsidRPr="00D5464D">
        <w:rPr>
          <w:szCs w:val="20"/>
          <w:lang w:val="pt-BR"/>
        </w:rPr>
        <w:t>judiciais</w:t>
      </w:r>
      <w:r w:rsidR="0092619F" w:rsidRPr="00D5464D">
        <w:rPr>
          <w:szCs w:val="20"/>
          <w:lang w:val="pt-BR"/>
        </w:rPr>
        <w:t>.</w:t>
      </w:r>
      <w:r w:rsidR="00D81AA1" w:rsidRPr="00D5464D">
        <w:rPr>
          <w:rStyle w:val="Refdenotaalpie"/>
          <w:lang w:val="pt-BR"/>
        </w:rPr>
        <w:footnoteReference w:id="485"/>
      </w:r>
      <w:r w:rsidR="00D81AA1" w:rsidRPr="00D5464D">
        <w:rPr>
          <w:szCs w:val="20"/>
          <w:lang w:val="pt-BR"/>
        </w:rPr>
        <w:t xml:space="preserve"> </w:t>
      </w:r>
    </w:p>
    <w:p w14:paraId="6DA4BB77" w14:textId="77777777" w:rsidR="0039404C" w:rsidRPr="00D5464D" w:rsidRDefault="0039404C" w:rsidP="0039404C">
      <w:pPr>
        <w:tabs>
          <w:tab w:val="clear" w:pos="4419"/>
          <w:tab w:val="clear" w:pos="8838"/>
        </w:tabs>
        <w:contextualSpacing/>
        <w:jc w:val="both"/>
        <w:rPr>
          <w:szCs w:val="20"/>
          <w:lang w:val="pt-BR"/>
        </w:rPr>
      </w:pPr>
    </w:p>
    <w:p w14:paraId="63B8A662" w14:textId="66F9FA9B" w:rsidR="0039404C" w:rsidRPr="00D5464D" w:rsidRDefault="00F71991" w:rsidP="0039404C">
      <w:pPr>
        <w:numPr>
          <w:ilvl w:val="0"/>
          <w:numId w:val="1"/>
        </w:numPr>
        <w:tabs>
          <w:tab w:val="clear" w:pos="4419"/>
          <w:tab w:val="clear" w:pos="8838"/>
        </w:tabs>
        <w:contextualSpacing/>
        <w:jc w:val="both"/>
        <w:rPr>
          <w:szCs w:val="20"/>
          <w:lang w:val="pt-BR"/>
        </w:rPr>
      </w:pPr>
      <w:r w:rsidRPr="00D5464D">
        <w:rPr>
          <w:rFonts w:cs="Arial"/>
          <w:szCs w:val="20"/>
          <w:lang w:val="pt-BR"/>
        </w:rPr>
        <w:t xml:space="preserve">No tocante </w:t>
      </w:r>
      <w:r w:rsidR="00470ADC" w:rsidRPr="00D5464D">
        <w:rPr>
          <w:rFonts w:cs="Arial"/>
          <w:szCs w:val="20"/>
          <w:lang w:val="pt-BR"/>
        </w:rPr>
        <w:t xml:space="preserve">ao </w:t>
      </w:r>
      <w:r w:rsidR="002C330E" w:rsidRPr="00D5464D">
        <w:rPr>
          <w:rFonts w:cs="Arial"/>
          <w:szCs w:val="20"/>
          <w:lang w:val="pt-BR"/>
        </w:rPr>
        <w:t>suposto descumprimento</w:t>
      </w:r>
      <w:r w:rsidR="00470ADC" w:rsidRPr="00D5464D">
        <w:rPr>
          <w:rFonts w:cs="Arial"/>
          <w:szCs w:val="20"/>
          <w:lang w:val="pt-BR"/>
        </w:rPr>
        <w:t xml:space="preserve"> da </w:t>
      </w:r>
      <w:r w:rsidR="002C330E" w:rsidRPr="00D5464D">
        <w:rPr>
          <w:rFonts w:cs="Arial"/>
          <w:szCs w:val="20"/>
          <w:lang w:val="pt-BR"/>
        </w:rPr>
        <w:t xml:space="preserve">garantia </w:t>
      </w:r>
      <w:r w:rsidR="00D81AA1" w:rsidRPr="00D5464D">
        <w:rPr>
          <w:rFonts w:cs="Arial"/>
          <w:szCs w:val="20"/>
          <w:lang w:val="pt-BR"/>
        </w:rPr>
        <w:t>judicial d</w:t>
      </w:r>
      <w:r w:rsidRPr="00D5464D">
        <w:rPr>
          <w:rFonts w:cs="Arial"/>
          <w:szCs w:val="20"/>
          <w:lang w:val="pt-BR"/>
        </w:rPr>
        <w:t>o</w:t>
      </w:r>
      <w:r w:rsidR="002C330E" w:rsidRPr="00D5464D">
        <w:rPr>
          <w:rFonts w:cs="Arial"/>
          <w:szCs w:val="20"/>
          <w:lang w:val="pt-BR"/>
        </w:rPr>
        <w:t xml:space="preserve"> prazo</w:t>
      </w:r>
      <w:r w:rsidR="00D81AA1" w:rsidRPr="00D5464D">
        <w:rPr>
          <w:rFonts w:cs="Arial"/>
          <w:szCs w:val="20"/>
          <w:lang w:val="pt-BR"/>
        </w:rPr>
        <w:t xml:space="preserve"> </w:t>
      </w:r>
      <w:r w:rsidR="002C330E" w:rsidRPr="00D5464D">
        <w:rPr>
          <w:rFonts w:cs="Arial"/>
          <w:szCs w:val="20"/>
          <w:lang w:val="pt-BR"/>
        </w:rPr>
        <w:t>razoável</w:t>
      </w:r>
      <w:r w:rsidR="00E045D9" w:rsidRPr="00D5464D">
        <w:rPr>
          <w:rFonts w:cs="Arial"/>
          <w:szCs w:val="20"/>
          <w:lang w:val="pt-BR"/>
        </w:rPr>
        <w:t xml:space="preserve"> no </w:t>
      </w:r>
      <w:r w:rsidR="002C330E" w:rsidRPr="00D5464D">
        <w:rPr>
          <w:rFonts w:cs="Arial"/>
          <w:szCs w:val="20"/>
          <w:lang w:val="pt-BR"/>
        </w:rPr>
        <w:t>processo</w:t>
      </w:r>
      <w:r w:rsidR="00D81AA1" w:rsidRPr="00D5464D">
        <w:rPr>
          <w:rFonts w:cs="Arial"/>
          <w:szCs w:val="20"/>
          <w:lang w:val="pt-BR"/>
        </w:rPr>
        <w:t xml:space="preserve"> penal,</w:t>
      </w:r>
      <w:r w:rsidR="002C330E" w:rsidRPr="00D5464D">
        <w:rPr>
          <w:rFonts w:cs="Arial"/>
          <w:szCs w:val="20"/>
          <w:lang w:val="pt-BR"/>
        </w:rPr>
        <w:t xml:space="preserve"> a </w:t>
      </w:r>
      <w:r w:rsidR="00D81AA1" w:rsidRPr="00D5464D">
        <w:rPr>
          <w:rFonts w:cs="Arial"/>
          <w:szCs w:val="20"/>
          <w:lang w:val="pt-BR"/>
        </w:rPr>
        <w:t>Corte examinará</w:t>
      </w:r>
      <w:r w:rsidR="002C330E" w:rsidRPr="00D5464D">
        <w:rPr>
          <w:rFonts w:cs="Arial"/>
          <w:szCs w:val="20"/>
          <w:lang w:val="pt-BR"/>
        </w:rPr>
        <w:t xml:space="preserve"> os </w:t>
      </w:r>
      <w:r w:rsidR="00470ADC" w:rsidRPr="00D5464D">
        <w:rPr>
          <w:rFonts w:cs="Arial"/>
          <w:szCs w:val="20"/>
          <w:lang w:val="pt-BR"/>
        </w:rPr>
        <w:t>quatro</w:t>
      </w:r>
      <w:r w:rsidR="00D81AA1" w:rsidRPr="00D5464D">
        <w:rPr>
          <w:rFonts w:cs="Arial"/>
          <w:szCs w:val="20"/>
          <w:lang w:val="pt-BR"/>
        </w:rPr>
        <w:t xml:space="preserve"> </w:t>
      </w:r>
      <w:r w:rsidR="00470ADC" w:rsidRPr="00D5464D">
        <w:rPr>
          <w:rFonts w:cs="Arial"/>
          <w:szCs w:val="20"/>
          <w:lang w:val="pt-BR"/>
        </w:rPr>
        <w:t>critério</w:t>
      </w:r>
      <w:r w:rsidR="00D81AA1" w:rsidRPr="00D5464D">
        <w:rPr>
          <w:rFonts w:cs="Arial"/>
          <w:szCs w:val="20"/>
          <w:lang w:val="pt-BR"/>
        </w:rPr>
        <w:t xml:space="preserve">s </w:t>
      </w:r>
      <w:r w:rsidR="00470ADC" w:rsidRPr="00D5464D">
        <w:rPr>
          <w:rFonts w:cs="Arial"/>
          <w:szCs w:val="20"/>
          <w:lang w:val="pt-BR"/>
        </w:rPr>
        <w:t>estabelecid</w:t>
      </w:r>
      <w:r w:rsidR="00D81AA1" w:rsidRPr="00D5464D">
        <w:rPr>
          <w:rFonts w:cs="Arial"/>
          <w:szCs w:val="20"/>
          <w:lang w:val="pt-BR"/>
        </w:rPr>
        <w:t>os</w:t>
      </w:r>
      <w:r w:rsidR="00470ADC" w:rsidRPr="00D5464D">
        <w:rPr>
          <w:rFonts w:cs="Arial"/>
          <w:szCs w:val="20"/>
          <w:lang w:val="pt-BR"/>
        </w:rPr>
        <w:t xml:space="preserve"> em </w:t>
      </w:r>
      <w:r w:rsidR="00E045D9" w:rsidRPr="00D5464D">
        <w:rPr>
          <w:rFonts w:cs="Arial"/>
          <w:szCs w:val="20"/>
          <w:lang w:val="pt-BR"/>
        </w:rPr>
        <w:t xml:space="preserve">sua jurisprudência na </w:t>
      </w:r>
      <w:r w:rsidRPr="00D5464D">
        <w:rPr>
          <w:rFonts w:cs="Arial"/>
          <w:szCs w:val="20"/>
          <w:lang w:val="pt-BR"/>
        </w:rPr>
        <w:t xml:space="preserve">matéria: </w:t>
      </w:r>
      <w:r w:rsidR="00D81AA1" w:rsidRPr="00D5464D">
        <w:rPr>
          <w:rFonts w:cs="Arial"/>
          <w:szCs w:val="20"/>
          <w:lang w:val="pt-BR"/>
        </w:rPr>
        <w:t>i)</w:t>
      </w:r>
      <w:r w:rsidR="002C330E" w:rsidRPr="00D5464D">
        <w:rPr>
          <w:rFonts w:cs="Arial"/>
          <w:szCs w:val="20"/>
          <w:lang w:val="pt-BR"/>
        </w:rPr>
        <w:t xml:space="preserve"> a </w:t>
      </w:r>
      <w:r w:rsidR="00E045D9" w:rsidRPr="00D5464D">
        <w:rPr>
          <w:rFonts w:cs="Arial"/>
          <w:szCs w:val="20"/>
          <w:lang w:val="pt-BR"/>
        </w:rPr>
        <w:t>complexidade</w:t>
      </w:r>
      <w:r w:rsidR="00D81AA1" w:rsidRPr="00D5464D">
        <w:rPr>
          <w:rFonts w:cs="Arial"/>
          <w:szCs w:val="20"/>
          <w:lang w:val="pt-BR"/>
        </w:rPr>
        <w:t xml:space="preserve"> </w:t>
      </w:r>
      <w:r w:rsidR="00470ADC" w:rsidRPr="00D5464D">
        <w:rPr>
          <w:rFonts w:cs="Arial"/>
          <w:szCs w:val="20"/>
          <w:lang w:val="pt-BR"/>
        </w:rPr>
        <w:t>do assunto</w:t>
      </w:r>
      <w:r w:rsidR="009E04D5" w:rsidRPr="00D5464D">
        <w:rPr>
          <w:rFonts w:cs="Arial"/>
          <w:szCs w:val="20"/>
          <w:lang w:val="pt-BR"/>
        </w:rPr>
        <w:t>,</w:t>
      </w:r>
      <w:r w:rsidR="00D81AA1" w:rsidRPr="00D5464D">
        <w:rPr>
          <w:rFonts w:cs="Arial"/>
          <w:szCs w:val="20"/>
          <w:lang w:val="pt-BR"/>
        </w:rPr>
        <w:t xml:space="preserve"> ii)</w:t>
      </w:r>
      <w:r w:rsidR="002C330E" w:rsidRPr="00D5464D">
        <w:rPr>
          <w:rFonts w:cs="Arial"/>
          <w:szCs w:val="20"/>
          <w:lang w:val="pt-BR"/>
        </w:rPr>
        <w:t xml:space="preserve"> a </w:t>
      </w:r>
      <w:r w:rsidR="00470ADC" w:rsidRPr="00D5464D">
        <w:rPr>
          <w:rFonts w:cs="Arial"/>
          <w:szCs w:val="20"/>
          <w:lang w:val="pt-BR"/>
        </w:rPr>
        <w:t xml:space="preserve">atividade </w:t>
      </w:r>
      <w:r w:rsidR="002C330E" w:rsidRPr="00D5464D">
        <w:rPr>
          <w:rFonts w:cs="Arial"/>
          <w:szCs w:val="20"/>
          <w:lang w:val="pt-BR"/>
        </w:rPr>
        <w:t xml:space="preserve">processual </w:t>
      </w:r>
      <w:r w:rsidR="00470ADC" w:rsidRPr="00D5464D">
        <w:rPr>
          <w:rFonts w:cs="Arial"/>
          <w:szCs w:val="20"/>
          <w:lang w:val="pt-BR"/>
        </w:rPr>
        <w:t xml:space="preserve">do </w:t>
      </w:r>
      <w:r w:rsidR="002C330E" w:rsidRPr="00D5464D">
        <w:rPr>
          <w:rFonts w:cs="Arial"/>
          <w:szCs w:val="20"/>
          <w:lang w:val="pt-BR"/>
        </w:rPr>
        <w:t>interessad</w:t>
      </w:r>
      <w:r w:rsidR="00D81AA1" w:rsidRPr="00D5464D">
        <w:rPr>
          <w:rFonts w:cs="Arial"/>
          <w:szCs w:val="20"/>
          <w:lang w:val="pt-BR"/>
        </w:rPr>
        <w:t>o</w:t>
      </w:r>
      <w:r w:rsidR="009E04D5" w:rsidRPr="00D5464D">
        <w:rPr>
          <w:rFonts w:cs="Arial"/>
          <w:szCs w:val="20"/>
          <w:lang w:val="pt-BR"/>
        </w:rPr>
        <w:t>,</w:t>
      </w:r>
      <w:r w:rsidR="00D81AA1" w:rsidRPr="00D5464D">
        <w:rPr>
          <w:rFonts w:cs="Arial"/>
          <w:szCs w:val="20"/>
          <w:lang w:val="pt-BR"/>
        </w:rPr>
        <w:t xml:space="preserve"> iii)</w:t>
      </w:r>
      <w:r w:rsidR="002C330E" w:rsidRPr="00D5464D">
        <w:rPr>
          <w:rFonts w:cs="Arial"/>
          <w:szCs w:val="20"/>
          <w:lang w:val="pt-BR"/>
        </w:rPr>
        <w:t xml:space="preserve"> a </w:t>
      </w:r>
      <w:r w:rsidR="00470ADC" w:rsidRPr="00D5464D">
        <w:rPr>
          <w:rFonts w:cs="Arial"/>
          <w:szCs w:val="20"/>
          <w:lang w:val="pt-BR"/>
        </w:rPr>
        <w:t xml:space="preserve">conduta das </w:t>
      </w:r>
      <w:r w:rsidR="00D81AA1" w:rsidRPr="00D5464D">
        <w:rPr>
          <w:rFonts w:cs="Arial"/>
          <w:szCs w:val="20"/>
          <w:lang w:val="pt-BR"/>
        </w:rPr>
        <w:t xml:space="preserve">autoridades </w:t>
      </w:r>
      <w:r w:rsidR="002C330E" w:rsidRPr="00D5464D">
        <w:rPr>
          <w:rFonts w:cs="Arial"/>
          <w:szCs w:val="20"/>
          <w:lang w:val="pt-BR"/>
        </w:rPr>
        <w:t>judiciais</w:t>
      </w:r>
      <w:r w:rsidR="00470ADC" w:rsidRPr="00D5464D">
        <w:rPr>
          <w:rFonts w:cs="Arial"/>
          <w:szCs w:val="20"/>
          <w:lang w:val="pt-BR"/>
        </w:rPr>
        <w:t xml:space="preserve"> e</w:t>
      </w:r>
      <w:r w:rsidR="00D81AA1" w:rsidRPr="00D5464D">
        <w:rPr>
          <w:rFonts w:cs="Arial"/>
          <w:szCs w:val="20"/>
          <w:lang w:val="pt-BR"/>
        </w:rPr>
        <w:t xml:space="preserve"> iv)</w:t>
      </w:r>
      <w:r w:rsidR="002C330E" w:rsidRPr="00D5464D">
        <w:rPr>
          <w:rFonts w:cs="Arial"/>
          <w:szCs w:val="20"/>
          <w:lang w:val="pt-BR"/>
        </w:rPr>
        <w:t xml:space="preserve"> a </w:t>
      </w:r>
      <w:r w:rsidR="00470ADC" w:rsidRPr="00D5464D">
        <w:rPr>
          <w:rFonts w:cs="Arial"/>
          <w:szCs w:val="20"/>
          <w:lang w:val="pt-BR"/>
        </w:rPr>
        <w:t>afetação</w:t>
      </w:r>
      <w:r w:rsidR="00D81AA1" w:rsidRPr="00D5464D">
        <w:rPr>
          <w:rFonts w:cs="Arial"/>
          <w:szCs w:val="20"/>
          <w:lang w:val="pt-BR"/>
        </w:rPr>
        <w:t xml:space="preserve"> </w:t>
      </w:r>
      <w:r w:rsidR="00350187" w:rsidRPr="00D5464D">
        <w:rPr>
          <w:rFonts w:cs="Arial"/>
          <w:szCs w:val="20"/>
          <w:lang w:val="pt-BR"/>
        </w:rPr>
        <w:t>gerad</w:t>
      </w:r>
      <w:r w:rsidR="00D81AA1" w:rsidRPr="00D5464D">
        <w:rPr>
          <w:rFonts w:cs="Arial"/>
          <w:szCs w:val="20"/>
          <w:lang w:val="pt-BR"/>
        </w:rPr>
        <w:t>a</w:t>
      </w:r>
      <w:r w:rsidR="00E045D9" w:rsidRPr="00D5464D">
        <w:rPr>
          <w:rFonts w:cs="Arial"/>
          <w:szCs w:val="20"/>
          <w:lang w:val="pt-BR"/>
        </w:rPr>
        <w:t xml:space="preserve"> na </w:t>
      </w:r>
      <w:r w:rsidR="00D81AA1" w:rsidRPr="00D5464D">
        <w:rPr>
          <w:rFonts w:cs="Arial"/>
          <w:szCs w:val="20"/>
          <w:lang w:val="pt-BR"/>
        </w:rPr>
        <w:t>situa</w:t>
      </w:r>
      <w:r w:rsidR="00470ADC" w:rsidRPr="00D5464D">
        <w:rPr>
          <w:rFonts w:cs="Arial"/>
          <w:szCs w:val="20"/>
          <w:lang w:val="pt-BR"/>
        </w:rPr>
        <w:t>ção</w:t>
      </w:r>
      <w:r w:rsidR="00D81AA1" w:rsidRPr="00D5464D">
        <w:rPr>
          <w:rFonts w:cs="Arial"/>
          <w:szCs w:val="20"/>
          <w:lang w:val="pt-BR"/>
        </w:rPr>
        <w:t xml:space="preserve"> jurídica</w:t>
      </w:r>
      <w:r w:rsidR="00470ADC" w:rsidRPr="00D5464D">
        <w:rPr>
          <w:rFonts w:cs="Arial"/>
          <w:szCs w:val="20"/>
          <w:lang w:val="pt-BR"/>
        </w:rPr>
        <w:t xml:space="preserve"> da </w:t>
      </w:r>
      <w:r w:rsidR="002C330E" w:rsidRPr="00D5464D">
        <w:rPr>
          <w:rFonts w:cs="Arial"/>
          <w:szCs w:val="20"/>
          <w:lang w:val="pt-BR"/>
        </w:rPr>
        <w:t>pessoa</w:t>
      </w:r>
      <w:r w:rsidR="00D81AA1" w:rsidRPr="00D5464D">
        <w:rPr>
          <w:rFonts w:cs="Arial"/>
          <w:szCs w:val="20"/>
          <w:lang w:val="pt-BR"/>
        </w:rPr>
        <w:t xml:space="preserve"> </w:t>
      </w:r>
      <w:r w:rsidR="00737270" w:rsidRPr="00D5464D">
        <w:rPr>
          <w:rFonts w:cs="Arial"/>
          <w:szCs w:val="20"/>
          <w:lang w:val="pt-BR"/>
        </w:rPr>
        <w:t>envolvida</w:t>
      </w:r>
      <w:r w:rsidR="00E045D9" w:rsidRPr="00D5464D">
        <w:rPr>
          <w:rFonts w:cs="Arial"/>
          <w:szCs w:val="20"/>
          <w:lang w:val="pt-BR"/>
        </w:rPr>
        <w:t xml:space="preserve"> no </w:t>
      </w:r>
      <w:r w:rsidR="002C330E" w:rsidRPr="00D5464D">
        <w:rPr>
          <w:rFonts w:cs="Arial"/>
          <w:szCs w:val="20"/>
          <w:lang w:val="pt-BR"/>
        </w:rPr>
        <w:t>processo</w:t>
      </w:r>
      <w:r w:rsidRPr="00D5464D">
        <w:rPr>
          <w:rFonts w:cs="Arial"/>
          <w:szCs w:val="20"/>
          <w:lang w:val="pt-BR"/>
        </w:rPr>
        <w:t>.</w:t>
      </w:r>
      <w:r w:rsidR="00D81AA1" w:rsidRPr="00D5464D">
        <w:rPr>
          <w:rStyle w:val="Refdenotaalpie"/>
          <w:rFonts w:cs="Arial"/>
          <w:lang w:val="pt-BR"/>
        </w:rPr>
        <w:footnoteReference w:id="486"/>
      </w:r>
      <w:r w:rsidR="00A1358C" w:rsidRPr="00D5464D">
        <w:rPr>
          <w:rFonts w:cs="Arial"/>
          <w:szCs w:val="20"/>
          <w:lang w:val="pt-BR"/>
        </w:rPr>
        <w:t xml:space="preserve"> A </w:t>
      </w:r>
      <w:r w:rsidR="00D81AA1" w:rsidRPr="00D5464D">
        <w:rPr>
          <w:rFonts w:cs="Arial"/>
          <w:szCs w:val="20"/>
          <w:lang w:val="pt-BR"/>
        </w:rPr>
        <w:t xml:space="preserve">Corte </w:t>
      </w:r>
      <w:r w:rsidR="00E045D9" w:rsidRPr="00D5464D">
        <w:rPr>
          <w:rFonts w:cs="Arial"/>
          <w:szCs w:val="20"/>
          <w:lang w:val="pt-BR"/>
        </w:rPr>
        <w:t>recorda</w:t>
      </w:r>
      <w:r w:rsidR="00D81AA1" w:rsidRPr="00D5464D">
        <w:rPr>
          <w:rFonts w:cs="Arial"/>
          <w:szCs w:val="20"/>
          <w:lang w:val="pt-BR"/>
        </w:rPr>
        <w:t xml:space="preserve"> que corresponde</w:t>
      </w:r>
      <w:r w:rsidR="00470ADC" w:rsidRPr="00D5464D">
        <w:rPr>
          <w:rFonts w:cs="Arial"/>
          <w:szCs w:val="20"/>
          <w:lang w:val="pt-BR"/>
        </w:rPr>
        <w:t xml:space="preserve"> ao </w:t>
      </w:r>
      <w:r w:rsidR="00D81AA1" w:rsidRPr="00D5464D">
        <w:rPr>
          <w:rFonts w:cs="Arial"/>
          <w:szCs w:val="20"/>
          <w:lang w:val="pt-BR"/>
        </w:rPr>
        <w:t>Estado justificar,</w:t>
      </w:r>
      <w:r w:rsidR="00470ADC" w:rsidRPr="00D5464D">
        <w:rPr>
          <w:rFonts w:cs="Arial"/>
          <w:szCs w:val="20"/>
          <w:lang w:val="pt-BR"/>
        </w:rPr>
        <w:t xml:space="preserve"> com </w:t>
      </w:r>
      <w:r w:rsidR="00D81AA1" w:rsidRPr="00D5464D">
        <w:rPr>
          <w:rFonts w:cs="Arial"/>
          <w:szCs w:val="20"/>
          <w:lang w:val="pt-BR"/>
        </w:rPr>
        <w:t>fundamento</w:t>
      </w:r>
      <w:r w:rsidR="00E045D9" w:rsidRPr="00D5464D">
        <w:rPr>
          <w:rFonts w:cs="Arial"/>
          <w:szCs w:val="20"/>
          <w:lang w:val="pt-BR"/>
        </w:rPr>
        <w:t xml:space="preserve"> nos </w:t>
      </w:r>
      <w:r w:rsidR="00470ADC" w:rsidRPr="00D5464D">
        <w:rPr>
          <w:rFonts w:cs="Arial"/>
          <w:szCs w:val="20"/>
          <w:lang w:val="pt-BR"/>
        </w:rPr>
        <w:t>critério</w:t>
      </w:r>
      <w:r w:rsidR="00D81AA1" w:rsidRPr="00D5464D">
        <w:rPr>
          <w:rFonts w:cs="Arial"/>
          <w:szCs w:val="20"/>
          <w:lang w:val="pt-BR"/>
        </w:rPr>
        <w:t xml:space="preserve">s </w:t>
      </w:r>
      <w:r w:rsidR="002C330E" w:rsidRPr="00D5464D">
        <w:rPr>
          <w:rFonts w:cs="Arial"/>
          <w:szCs w:val="20"/>
          <w:lang w:val="pt-BR"/>
        </w:rPr>
        <w:t>indicado</w:t>
      </w:r>
      <w:r w:rsidR="00D81AA1" w:rsidRPr="00D5464D">
        <w:rPr>
          <w:rFonts w:cs="Arial"/>
          <w:szCs w:val="20"/>
          <w:lang w:val="pt-BR"/>
        </w:rPr>
        <w:t>s,</w:t>
      </w:r>
      <w:r w:rsidR="002C330E" w:rsidRPr="00D5464D">
        <w:rPr>
          <w:rFonts w:cs="Arial"/>
          <w:szCs w:val="20"/>
          <w:lang w:val="pt-BR"/>
        </w:rPr>
        <w:t xml:space="preserve"> a razão pela </w:t>
      </w:r>
      <w:r w:rsidR="00470ADC" w:rsidRPr="00D5464D">
        <w:rPr>
          <w:rFonts w:cs="Arial"/>
          <w:szCs w:val="20"/>
          <w:lang w:val="pt-BR"/>
        </w:rPr>
        <w:t xml:space="preserve">qual </w:t>
      </w:r>
      <w:r w:rsidR="00C92A8E" w:rsidRPr="00D5464D">
        <w:rPr>
          <w:rFonts w:cs="Arial"/>
          <w:szCs w:val="20"/>
          <w:lang w:val="pt-BR"/>
        </w:rPr>
        <w:t xml:space="preserve">precisou </w:t>
      </w:r>
      <w:r w:rsidR="00470ADC" w:rsidRPr="00D5464D">
        <w:rPr>
          <w:rFonts w:cs="Arial"/>
          <w:szCs w:val="20"/>
          <w:lang w:val="pt-BR"/>
        </w:rPr>
        <w:t xml:space="preserve">do </w:t>
      </w:r>
      <w:r w:rsidR="00E045D9" w:rsidRPr="00D5464D">
        <w:rPr>
          <w:rFonts w:cs="Arial"/>
          <w:szCs w:val="20"/>
          <w:lang w:val="pt-BR"/>
        </w:rPr>
        <w:t>tempo</w:t>
      </w:r>
      <w:r w:rsidR="00D81AA1" w:rsidRPr="00D5464D">
        <w:rPr>
          <w:rFonts w:cs="Arial"/>
          <w:szCs w:val="20"/>
          <w:lang w:val="pt-BR"/>
        </w:rPr>
        <w:t xml:space="preserve"> </w:t>
      </w:r>
      <w:r w:rsidR="00A1358C" w:rsidRPr="00D5464D">
        <w:rPr>
          <w:rFonts w:cs="Arial"/>
          <w:szCs w:val="20"/>
          <w:lang w:val="pt-BR"/>
        </w:rPr>
        <w:t>transcorrido</w:t>
      </w:r>
      <w:r w:rsidR="00D81AA1" w:rsidRPr="00D5464D">
        <w:rPr>
          <w:rFonts w:cs="Arial"/>
          <w:szCs w:val="20"/>
          <w:lang w:val="pt-BR"/>
        </w:rPr>
        <w:t xml:space="preserve"> para </w:t>
      </w:r>
      <w:r w:rsidRPr="00D5464D">
        <w:rPr>
          <w:rFonts w:cs="Arial"/>
          <w:szCs w:val="20"/>
          <w:lang w:val="pt-BR"/>
        </w:rPr>
        <w:t>processar</w:t>
      </w:r>
      <w:r w:rsidR="00470ADC" w:rsidRPr="00D5464D">
        <w:rPr>
          <w:rFonts w:cs="Arial"/>
          <w:szCs w:val="20"/>
          <w:lang w:val="pt-BR"/>
        </w:rPr>
        <w:t xml:space="preserve"> o </w:t>
      </w:r>
      <w:r w:rsidR="00D81AA1" w:rsidRPr="00D5464D">
        <w:rPr>
          <w:rFonts w:cs="Arial"/>
          <w:szCs w:val="20"/>
          <w:lang w:val="pt-BR"/>
        </w:rPr>
        <w:t>caso</w:t>
      </w:r>
      <w:r w:rsidR="00E045D9" w:rsidRPr="00D5464D">
        <w:rPr>
          <w:rFonts w:cs="Arial"/>
          <w:szCs w:val="20"/>
          <w:lang w:val="pt-BR"/>
        </w:rPr>
        <w:t xml:space="preserve"> e,</w:t>
      </w:r>
      <w:r w:rsidR="00D81AA1" w:rsidRPr="00D5464D">
        <w:rPr>
          <w:rFonts w:cs="Arial"/>
          <w:szCs w:val="20"/>
          <w:lang w:val="pt-BR"/>
        </w:rPr>
        <w:t xml:space="preserve"> </w:t>
      </w:r>
      <w:r w:rsidR="009E04D5" w:rsidRPr="00D5464D">
        <w:rPr>
          <w:rFonts w:cs="Arial"/>
          <w:szCs w:val="20"/>
          <w:lang w:val="pt-BR"/>
        </w:rPr>
        <w:t>se</w:t>
      </w:r>
      <w:r w:rsidRPr="00D5464D">
        <w:rPr>
          <w:rFonts w:cs="Arial"/>
          <w:szCs w:val="20"/>
          <w:lang w:val="pt-BR"/>
        </w:rPr>
        <w:t xml:space="preserve"> não o </w:t>
      </w:r>
      <w:r w:rsidR="00350187" w:rsidRPr="00D5464D">
        <w:rPr>
          <w:rFonts w:cs="Arial"/>
          <w:szCs w:val="20"/>
          <w:lang w:val="pt-BR"/>
        </w:rPr>
        <w:t>demonstr</w:t>
      </w:r>
      <w:r w:rsidR="009E04D5" w:rsidRPr="00D5464D">
        <w:rPr>
          <w:rFonts w:cs="Arial"/>
          <w:szCs w:val="20"/>
          <w:lang w:val="pt-BR"/>
        </w:rPr>
        <w:t>ar</w:t>
      </w:r>
      <w:r w:rsidRPr="00D5464D">
        <w:rPr>
          <w:rFonts w:cs="Arial"/>
          <w:szCs w:val="20"/>
          <w:lang w:val="pt-BR"/>
        </w:rPr>
        <w:t>,</w:t>
      </w:r>
      <w:r w:rsidR="002C330E" w:rsidRPr="00D5464D">
        <w:rPr>
          <w:rFonts w:cs="Arial"/>
          <w:szCs w:val="20"/>
          <w:lang w:val="pt-BR"/>
        </w:rPr>
        <w:t xml:space="preserve"> a </w:t>
      </w:r>
      <w:r w:rsidR="00D81AA1" w:rsidRPr="00D5464D">
        <w:rPr>
          <w:rFonts w:cs="Arial"/>
          <w:szCs w:val="20"/>
          <w:lang w:val="pt-BR"/>
        </w:rPr>
        <w:t xml:space="preserve">Corte </w:t>
      </w:r>
      <w:r w:rsidRPr="00D5464D">
        <w:rPr>
          <w:rFonts w:cs="Arial"/>
          <w:szCs w:val="20"/>
          <w:lang w:val="pt-BR"/>
        </w:rPr>
        <w:t xml:space="preserve">possui </w:t>
      </w:r>
      <w:r w:rsidR="00470ADC" w:rsidRPr="00D5464D">
        <w:rPr>
          <w:rFonts w:cs="Arial"/>
          <w:szCs w:val="20"/>
          <w:lang w:val="pt-BR"/>
        </w:rPr>
        <w:t>ampla</w:t>
      </w:r>
      <w:r w:rsidR="00D81AA1" w:rsidRPr="00D5464D">
        <w:rPr>
          <w:rFonts w:cs="Arial"/>
          <w:szCs w:val="20"/>
          <w:lang w:val="pt-BR"/>
        </w:rPr>
        <w:t xml:space="preserve">s </w:t>
      </w:r>
      <w:r w:rsidR="00230C71" w:rsidRPr="00D5464D">
        <w:rPr>
          <w:rFonts w:cs="Arial"/>
          <w:szCs w:val="20"/>
          <w:lang w:val="pt-BR"/>
        </w:rPr>
        <w:t>atribuições</w:t>
      </w:r>
      <w:r w:rsidR="00D81AA1" w:rsidRPr="00D5464D">
        <w:rPr>
          <w:rFonts w:cs="Arial"/>
          <w:szCs w:val="20"/>
          <w:lang w:val="pt-BR"/>
        </w:rPr>
        <w:t xml:space="preserve"> para</w:t>
      </w:r>
      <w:r w:rsidR="002C330E" w:rsidRPr="00D5464D">
        <w:rPr>
          <w:rFonts w:cs="Arial"/>
          <w:szCs w:val="20"/>
          <w:lang w:val="pt-BR"/>
        </w:rPr>
        <w:t xml:space="preserve"> fazer </w:t>
      </w:r>
      <w:r w:rsidR="00230C71" w:rsidRPr="00D5464D">
        <w:rPr>
          <w:rFonts w:cs="Arial"/>
          <w:szCs w:val="20"/>
          <w:lang w:val="pt-BR"/>
        </w:rPr>
        <w:t>sua própria</w:t>
      </w:r>
      <w:r w:rsidR="002C330E" w:rsidRPr="00D5464D">
        <w:rPr>
          <w:rFonts w:cs="Arial"/>
          <w:szCs w:val="20"/>
          <w:lang w:val="pt-BR"/>
        </w:rPr>
        <w:t xml:space="preserve"> </w:t>
      </w:r>
      <w:r w:rsidRPr="00D5464D">
        <w:rPr>
          <w:rFonts w:cs="Arial"/>
          <w:szCs w:val="20"/>
          <w:lang w:val="pt-BR"/>
        </w:rPr>
        <w:t xml:space="preserve">avaliação a esse </w:t>
      </w:r>
      <w:r w:rsidR="00C91CB1" w:rsidRPr="00D5464D">
        <w:rPr>
          <w:rFonts w:cs="Arial"/>
          <w:szCs w:val="20"/>
          <w:lang w:val="pt-BR"/>
        </w:rPr>
        <w:t>respeito</w:t>
      </w:r>
      <w:r w:rsidRPr="00D5464D">
        <w:rPr>
          <w:rFonts w:cs="Arial"/>
          <w:szCs w:val="20"/>
          <w:lang w:val="pt-BR"/>
        </w:rPr>
        <w:t>.</w:t>
      </w:r>
      <w:r w:rsidR="00D81AA1" w:rsidRPr="00D5464D">
        <w:rPr>
          <w:rStyle w:val="Refdenotaalpie"/>
          <w:rFonts w:cs="Arial"/>
          <w:lang w:val="pt-BR"/>
        </w:rPr>
        <w:footnoteReference w:id="487"/>
      </w:r>
      <w:r w:rsidR="0039404C" w:rsidRPr="00D5464D">
        <w:rPr>
          <w:rFonts w:cs="Arial"/>
          <w:szCs w:val="20"/>
          <w:lang w:val="pt-BR"/>
        </w:rPr>
        <w:t xml:space="preserve"> </w:t>
      </w:r>
    </w:p>
    <w:p w14:paraId="3DD3FC02" w14:textId="77777777" w:rsidR="0039404C" w:rsidRPr="00D5464D" w:rsidRDefault="0039404C" w:rsidP="0039404C">
      <w:pPr>
        <w:pStyle w:val="Prrafodelista"/>
        <w:rPr>
          <w:rFonts w:cs="Arial"/>
          <w:szCs w:val="20"/>
          <w:lang w:val="pt-BR"/>
        </w:rPr>
      </w:pPr>
    </w:p>
    <w:p w14:paraId="08779C9E" w14:textId="11B49E11" w:rsidR="001450BB" w:rsidRPr="00D5464D" w:rsidRDefault="00470ADC" w:rsidP="001450BB">
      <w:pPr>
        <w:numPr>
          <w:ilvl w:val="0"/>
          <w:numId w:val="1"/>
        </w:numPr>
        <w:tabs>
          <w:tab w:val="clear" w:pos="4419"/>
          <w:tab w:val="clear" w:pos="8838"/>
        </w:tabs>
        <w:contextualSpacing/>
        <w:jc w:val="both"/>
        <w:rPr>
          <w:szCs w:val="20"/>
          <w:lang w:val="pt-BR"/>
        </w:rPr>
      </w:pPr>
      <w:r w:rsidRPr="00D5464D">
        <w:rPr>
          <w:rFonts w:cs="Arial"/>
          <w:szCs w:val="20"/>
          <w:lang w:val="pt-BR"/>
        </w:rPr>
        <w:t xml:space="preserve">No </w:t>
      </w:r>
      <w:r w:rsidR="00D81AA1" w:rsidRPr="00D5464D">
        <w:rPr>
          <w:rFonts w:cs="Arial"/>
          <w:szCs w:val="20"/>
          <w:lang w:val="pt-BR"/>
        </w:rPr>
        <w:t>presente caso,</w:t>
      </w:r>
      <w:r w:rsidRPr="00D5464D">
        <w:rPr>
          <w:rFonts w:cs="Arial"/>
          <w:szCs w:val="20"/>
          <w:lang w:val="pt-BR"/>
        </w:rPr>
        <w:t xml:space="preserve"> o </w:t>
      </w:r>
      <w:r w:rsidR="002C330E" w:rsidRPr="00D5464D">
        <w:rPr>
          <w:rFonts w:cs="Arial"/>
          <w:szCs w:val="20"/>
          <w:lang w:val="pt-BR"/>
        </w:rPr>
        <w:t>processo</w:t>
      </w:r>
      <w:r w:rsidR="00D81AA1" w:rsidRPr="00D5464D">
        <w:rPr>
          <w:rFonts w:cs="Arial"/>
          <w:szCs w:val="20"/>
          <w:lang w:val="pt-BR"/>
        </w:rPr>
        <w:t xml:space="preserve"> penal sobre</w:t>
      </w:r>
      <w:r w:rsidR="002C330E" w:rsidRPr="00D5464D">
        <w:rPr>
          <w:rFonts w:cs="Arial"/>
          <w:szCs w:val="20"/>
          <w:lang w:val="pt-BR"/>
        </w:rPr>
        <w:t xml:space="preserve"> a </w:t>
      </w:r>
      <w:r w:rsidR="00AB4663" w:rsidRPr="00D5464D">
        <w:rPr>
          <w:rFonts w:cs="Arial"/>
          <w:szCs w:val="20"/>
          <w:lang w:val="pt-BR"/>
        </w:rPr>
        <w:t>fiscalização</w:t>
      </w:r>
      <w:r w:rsidR="00D81AA1" w:rsidRPr="00D5464D">
        <w:rPr>
          <w:rFonts w:cs="Arial"/>
          <w:szCs w:val="20"/>
          <w:lang w:val="pt-BR"/>
        </w:rPr>
        <w:t xml:space="preserve"> realizada</w:t>
      </w:r>
      <w:r w:rsidRPr="00D5464D">
        <w:rPr>
          <w:rFonts w:cs="Arial"/>
          <w:szCs w:val="20"/>
          <w:lang w:val="pt-BR"/>
        </w:rPr>
        <w:t xml:space="preserve"> em </w:t>
      </w:r>
      <w:r w:rsidR="00D81AA1" w:rsidRPr="00D5464D">
        <w:rPr>
          <w:rFonts w:cs="Arial"/>
          <w:szCs w:val="20"/>
          <w:lang w:val="pt-BR"/>
        </w:rPr>
        <w:t xml:space="preserve">abril de 1997 </w:t>
      </w:r>
      <w:r w:rsidR="00F71991" w:rsidRPr="00D5464D">
        <w:rPr>
          <w:rFonts w:cs="Arial"/>
          <w:szCs w:val="20"/>
          <w:lang w:val="pt-BR"/>
        </w:rPr>
        <w:t xml:space="preserve">teve início </w:t>
      </w:r>
      <w:r w:rsidRPr="00D5464D">
        <w:rPr>
          <w:rFonts w:cs="Arial"/>
          <w:szCs w:val="20"/>
          <w:lang w:val="pt-BR"/>
        </w:rPr>
        <w:t>com</w:t>
      </w:r>
      <w:r w:rsidR="002C330E" w:rsidRPr="00D5464D">
        <w:rPr>
          <w:rFonts w:cs="Arial"/>
          <w:szCs w:val="20"/>
          <w:lang w:val="pt-BR"/>
        </w:rPr>
        <w:t xml:space="preserve"> a </w:t>
      </w:r>
      <w:r w:rsidRPr="00D5464D">
        <w:rPr>
          <w:rFonts w:cs="Arial"/>
          <w:szCs w:val="20"/>
          <w:lang w:val="pt-BR"/>
        </w:rPr>
        <w:t>denúncia</w:t>
      </w:r>
      <w:r w:rsidR="002C330E" w:rsidRPr="00D5464D">
        <w:rPr>
          <w:rFonts w:cs="Arial"/>
          <w:szCs w:val="20"/>
          <w:lang w:val="pt-BR"/>
        </w:rPr>
        <w:t xml:space="preserve"> apresentada pelo Ministério</w:t>
      </w:r>
      <w:r w:rsidR="00D81AA1" w:rsidRPr="00D5464D">
        <w:rPr>
          <w:rFonts w:cs="Arial"/>
          <w:szCs w:val="20"/>
          <w:lang w:val="pt-BR"/>
        </w:rPr>
        <w:t xml:space="preserve"> Público Federal</w:t>
      </w:r>
      <w:r w:rsidRPr="00D5464D">
        <w:rPr>
          <w:rFonts w:cs="Arial"/>
          <w:szCs w:val="20"/>
          <w:lang w:val="pt-BR"/>
        </w:rPr>
        <w:t xml:space="preserve"> em </w:t>
      </w:r>
      <w:r w:rsidR="002C330E" w:rsidRPr="00D5464D">
        <w:rPr>
          <w:rFonts w:cs="Arial"/>
          <w:szCs w:val="20"/>
          <w:lang w:val="pt-BR"/>
        </w:rPr>
        <w:t>junho</w:t>
      </w:r>
      <w:r w:rsidR="00D81AA1" w:rsidRPr="00D5464D">
        <w:rPr>
          <w:rFonts w:cs="Arial"/>
          <w:szCs w:val="20"/>
          <w:lang w:val="pt-BR"/>
        </w:rPr>
        <w:t xml:space="preserve"> </w:t>
      </w:r>
      <w:r w:rsidRPr="00D5464D">
        <w:rPr>
          <w:rFonts w:cs="Arial"/>
          <w:szCs w:val="20"/>
          <w:lang w:val="pt-BR"/>
        </w:rPr>
        <w:t>d</w:t>
      </w:r>
      <w:r w:rsidR="00F71991" w:rsidRPr="00D5464D">
        <w:rPr>
          <w:rFonts w:cs="Arial"/>
          <w:szCs w:val="20"/>
          <w:lang w:val="pt-BR"/>
        </w:rPr>
        <w:t>aquele</w:t>
      </w:r>
      <w:r w:rsidRPr="00D5464D">
        <w:rPr>
          <w:rFonts w:cs="Arial"/>
          <w:szCs w:val="20"/>
          <w:lang w:val="pt-BR"/>
        </w:rPr>
        <w:t xml:space="preserve"> </w:t>
      </w:r>
      <w:r w:rsidR="002C330E" w:rsidRPr="00D5464D">
        <w:rPr>
          <w:rFonts w:cs="Arial"/>
          <w:szCs w:val="20"/>
          <w:lang w:val="pt-BR"/>
        </w:rPr>
        <w:t>mesm</w:t>
      </w:r>
      <w:r w:rsidR="00D81AA1" w:rsidRPr="00D5464D">
        <w:rPr>
          <w:rFonts w:cs="Arial"/>
          <w:szCs w:val="20"/>
          <w:lang w:val="pt-BR"/>
        </w:rPr>
        <w:t>o</w:t>
      </w:r>
      <w:r w:rsidRPr="00D5464D">
        <w:rPr>
          <w:rFonts w:cs="Arial"/>
          <w:szCs w:val="20"/>
          <w:lang w:val="pt-BR"/>
        </w:rPr>
        <w:t xml:space="preserve"> ano</w:t>
      </w:r>
      <w:r w:rsidR="00E045D9" w:rsidRPr="00D5464D">
        <w:rPr>
          <w:rFonts w:cs="Arial"/>
          <w:szCs w:val="20"/>
          <w:lang w:val="pt-BR"/>
        </w:rPr>
        <w:t xml:space="preserve"> e </w:t>
      </w:r>
      <w:r w:rsidRPr="00D5464D">
        <w:rPr>
          <w:rFonts w:cs="Arial"/>
          <w:szCs w:val="20"/>
          <w:lang w:val="pt-BR"/>
        </w:rPr>
        <w:t>concluiu com</w:t>
      </w:r>
      <w:r w:rsidR="002C330E" w:rsidRPr="00D5464D">
        <w:rPr>
          <w:rFonts w:cs="Arial"/>
          <w:szCs w:val="20"/>
          <w:lang w:val="pt-BR"/>
        </w:rPr>
        <w:t xml:space="preserve"> a </w:t>
      </w:r>
      <w:r w:rsidR="00F71991" w:rsidRPr="00D5464D">
        <w:rPr>
          <w:rFonts w:cs="Arial"/>
          <w:szCs w:val="20"/>
          <w:lang w:val="pt-BR"/>
        </w:rPr>
        <w:t>declaração d</w:t>
      </w:r>
      <w:r w:rsidR="00D81AA1" w:rsidRPr="00D5464D">
        <w:rPr>
          <w:rFonts w:cs="Arial"/>
          <w:szCs w:val="20"/>
          <w:lang w:val="pt-BR"/>
        </w:rPr>
        <w:t xml:space="preserve">e </w:t>
      </w:r>
      <w:r w:rsidR="002C330E" w:rsidRPr="00D5464D">
        <w:rPr>
          <w:rFonts w:cs="Arial"/>
          <w:szCs w:val="20"/>
          <w:lang w:val="pt-BR"/>
        </w:rPr>
        <w:t>prescrição</w:t>
      </w:r>
      <w:r w:rsidR="00D81AA1" w:rsidRPr="00D5464D">
        <w:rPr>
          <w:rFonts w:cs="Arial"/>
          <w:szCs w:val="20"/>
          <w:lang w:val="pt-BR"/>
        </w:rPr>
        <w:t xml:space="preserve"> emitida</w:t>
      </w:r>
      <w:r w:rsidRPr="00D5464D">
        <w:rPr>
          <w:rFonts w:cs="Arial"/>
          <w:szCs w:val="20"/>
          <w:lang w:val="pt-BR"/>
        </w:rPr>
        <w:t xml:space="preserve"> em </w:t>
      </w:r>
      <w:r w:rsidR="00D81AA1" w:rsidRPr="00D5464D">
        <w:rPr>
          <w:rFonts w:cs="Arial"/>
          <w:szCs w:val="20"/>
          <w:lang w:val="pt-BR"/>
        </w:rPr>
        <w:t>2008 (</w:t>
      </w:r>
      <w:r w:rsidR="00C85EA9" w:rsidRPr="00D5464D">
        <w:rPr>
          <w:rFonts w:cs="Arial"/>
          <w:szCs w:val="20"/>
          <w:lang w:val="pt-BR"/>
        </w:rPr>
        <w:t>par</w:t>
      </w:r>
      <w:r w:rsidR="00C85EA9" w:rsidRPr="00D5464D">
        <w:rPr>
          <w:rFonts w:cs="Arial"/>
          <w:i/>
          <w:szCs w:val="20"/>
          <w:lang w:val="pt-BR"/>
        </w:rPr>
        <w:t xml:space="preserve">. </w:t>
      </w:r>
      <w:r w:rsidR="00D036E7" w:rsidRPr="00D5464D">
        <w:rPr>
          <w:rFonts w:cs="Arial"/>
          <w:szCs w:val="20"/>
          <w:lang w:val="pt-BR"/>
        </w:rPr>
        <w:t>157</w:t>
      </w:r>
      <w:r w:rsidR="00D036E7" w:rsidRPr="00D5464D">
        <w:rPr>
          <w:rFonts w:cs="Arial"/>
          <w:i/>
          <w:szCs w:val="20"/>
          <w:lang w:val="pt-BR"/>
        </w:rPr>
        <w:t xml:space="preserve"> supra</w:t>
      </w:r>
      <w:r w:rsidR="00D036E7" w:rsidRPr="00D5464D">
        <w:rPr>
          <w:rFonts w:cs="Arial"/>
          <w:szCs w:val="20"/>
          <w:lang w:val="pt-BR"/>
        </w:rPr>
        <w:t>)</w:t>
      </w:r>
      <w:r w:rsidR="00D81AA1" w:rsidRPr="00D5464D">
        <w:rPr>
          <w:rFonts w:cs="Arial"/>
          <w:szCs w:val="20"/>
          <w:lang w:val="pt-BR"/>
        </w:rPr>
        <w:t>,</w:t>
      </w:r>
      <w:r w:rsidR="002C330E" w:rsidRPr="00D5464D">
        <w:rPr>
          <w:rFonts w:cs="Arial"/>
          <w:szCs w:val="20"/>
          <w:lang w:val="pt-BR"/>
        </w:rPr>
        <w:t xml:space="preserve"> </w:t>
      </w:r>
      <w:r w:rsidR="00F71991" w:rsidRPr="00D5464D">
        <w:rPr>
          <w:rFonts w:cs="Arial"/>
          <w:szCs w:val="20"/>
          <w:lang w:val="pt-BR"/>
        </w:rPr>
        <w:t xml:space="preserve">de maneira </w:t>
      </w:r>
      <w:r w:rsidR="002C330E" w:rsidRPr="00D5464D">
        <w:rPr>
          <w:rFonts w:cs="Arial"/>
          <w:szCs w:val="20"/>
          <w:lang w:val="pt-BR"/>
        </w:rPr>
        <w:t xml:space="preserve">que a </w:t>
      </w:r>
      <w:r w:rsidR="00D81AA1" w:rsidRPr="00D5464D">
        <w:rPr>
          <w:rFonts w:cs="Arial"/>
          <w:szCs w:val="20"/>
          <w:lang w:val="pt-BR"/>
        </w:rPr>
        <w:t>dura</w:t>
      </w:r>
      <w:r w:rsidRPr="00D5464D">
        <w:rPr>
          <w:rFonts w:cs="Arial"/>
          <w:szCs w:val="20"/>
          <w:lang w:val="pt-BR"/>
        </w:rPr>
        <w:t>ção</w:t>
      </w:r>
      <w:r w:rsidR="00D81AA1" w:rsidRPr="00D5464D">
        <w:rPr>
          <w:rFonts w:cs="Arial"/>
          <w:szCs w:val="20"/>
          <w:lang w:val="pt-BR"/>
        </w:rPr>
        <w:t xml:space="preserve"> </w:t>
      </w:r>
      <w:r w:rsidRPr="00D5464D">
        <w:rPr>
          <w:rFonts w:cs="Arial"/>
          <w:szCs w:val="20"/>
          <w:lang w:val="pt-BR"/>
        </w:rPr>
        <w:t xml:space="preserve">do </w:t>
      </w:r>
      <w:r w:rsidR="002C330E" w:rsidRPr="00D5464D">
        <w:rPr>
          <w:rFonts w:cs="Arial"/>
          <w:szCs w:val="20"/>
          <w:lang w:val="pt-BR"/>
        </w:rPr>
        <w:t>processo</w:t>
      </w:r>
      <w:r w:rsidRPr="00D5464D">
        <w:rPr>
          <w:rFonts w:cs="Arial"/>
          <w:szCs w:val="20"/>
          <w:lang w:val="pt-BR"/>
        </w:rPr>
        <w:t xml:space="preserve"> foi </w:t>
      </w:r>
      <w:r w:rsidR="00D81AA1" w:rsidRPr="00D5464D">
        <w:rPr>
          <w:rFonts w:cs="Arial"/>
          <w:szCs w:val="20"/>
          <w:lang w:val="pt-BR"/>
        </w:rPr>
        <w:t xml:space="preserve">de aproximadamente 11 </w:t>
      </w:r>
      <w:r w:rsidRPr="00D5464D">
        <w:rPr>
          <w:rFonts w:cs="Arial"/>
          <w:szCs w:val="20"/>
          <w:lang w:val="pt-BR"/>
        </w:rPr>
        <w:t>anos</w:t>
      </w:r>
      <w:r w:rsidR="00C91CB1" w:rsidRPr="00D5464D">
        <w:rPr>
          <w:rFonts w:cs="Arial"/>
          <w:szCs w:val="20"/>
          <w:lang w:val="pt-BR"/>
        </w:rPr>
        <w:t xml:space="preserve">. Em </w:t>
      </w:r>
      <w:r w:rsidR="00D81AA1" w:rsidRPr="00D5464D">
        <w:rPr>
          <w:rFonts w:cs="Arial"/>
          <w:szCs w:val="20"/>
          <w:lang w:val="pt-BR"/>
        </w:rPr>
        <w:t>vista</w:t>
      </w:r>
      <w:r w:rsidRPr="00D5464D">
        <w:rPr>
          <w:rFonts w:cs="Arial"/>
          <w:szCs w:val="20"/>
          <w:lang w:val="pt-BR"/>
        </w:rPr>
        <w:t xml:space="preserve"> do </w:t>
      </w:r>
      <w:r w:rsidR="00D81AA1" w:rsidRPr="00D5464D">
        <w:rPr>
          <w:rFonts w:cs="Arial"/>
          <w:szCs w:val="20"/>
          <w:lang w:val="pt-BR"/>
        </w:rPr>
        <w:t>anterior,</w:t>
      </w:r>
      <w:r w:rsidR="002C330E" w:rsidRPr="00D5464D">
        <w:rPr>
          <w:rFonts w:cs="Arial"/>
          <w:szCs w:val="20"/>
          <w:lang w:val="pt-BR"/>
        </w:rPr>
        <w:t xml:space="preserve"> a </w:t>
      </w:r>
      <w:r w:rsidR="00D81AA1" w:rsidRPr="00D5464D">
        <w:rPr>
          <w:rFonts w:cs="Arial"/>
          <w:szCs w:val="20"/>
          <w:lang w:val="pt-BR"/>
        </w:rPr>
        <w:t xml:space="preserve">Corte </w:t>
      </w:r>
      <w:r w:rsidR="00C92A8E" w:rsidRPr="00D5464D">
        <w:rPr>
          <w:rFonts w:cs="Arial"/>
          <w:szCs w:val="20"/>
          <w:lang w:val="pt-BR"/>
        </w:rPr>
        <w:t>passará</w:t>
      </w:r>
      <w:r w:rsidR="00D81AA1" w:rsidRPr="00D5464D">
        <w:rPr>
          <w:rFonts w:cs="Arial"/>
          <w:szCs w:val="20"/>
          <w:lang w:val="pt-BR"/>
        </w:rPr>
        <w:t xml:space="preserve"> </w:t>
      </w:r>
      <w:r w:rsidRPr="00D5464D">
        <w:rPr>
          <w:rFonts w:cs="Arial"/>
          <w:szCs w:val="20"/>
          <w:lang w:val="pt-BR"/>
        </w:rPr>
        <w:t>agora</w:t>
      </w:r>
      <w:r w:rsidR="00D81AA1" w:rsidRPr="00D5464D">
        <w:rPr>
          <w:rFonts w:cs="Arial"/>
          <w:szCs w:val="20"/>
          <w:lang w:val="pt-BR"/>
        </w:rPr>
        <w:t xml:space="preserve"> a </w:t>
      </w:r>
      <w:r w:rsidR="00C92A8E" w:rsidRPr="00D5464D">
        <w:rPr>
          <w:rFonts w:cs="Arial"/>
          <w:szCs w:val="20"/>
          <w:lang w:val="pt-BR"/>
        </w:rPr>
        <w:t>analisar</w:t>
      </w:r>
      <w:r w:rsidR="00FF1290" w:rsidRPr="00D5464D">
        <w:rPr>
          <w:rFonts w:cs="Arial"/>
          <w:szCs w:val="20"/>
          <w:lang w:val="pt-BR"/>
        </w:rPr>
        <w:t xml:space="preserve"> </w:t>
      </w:r>
      <w:r w:rsidR="002C330E" w:rsidRPr="00D5464D">
        <w:rPr>
          <w:rFonts w:cs="Arial"/>
          <w:szCs w:val="20"/>
          <w:lang w:val="pt-BR"/>
        </w:rPr>
        <w:t xml:space="preserve">se </w:t>
      </w:r>
      <w:r w:rsidRPr="00D5464D">
        <w:rPr>
          <w:rFonts w:cs="Arial"/>
          <w:szCs w:val="20"/>
          <w:lang w:val="pt-BR"/>
        </w:rPr>
        <w:t>o</w:t>
      </w:r>
      <w:r w:rsidR="002C330E" w:rsidRPr="00D5464D">
        <w:rPr>
          <w:rFonts w:cs="Arial"/>
          <w:szCs w:val="20"/>
          <w:lang w:val="pt-BR"/>
        </w:rPr>
        <w:t xml:space="preserve"> prazo</w:t>
      </w:r>
      <w:r w:rsidR="00D81AA1" w:rsidRPr="00D5464D">
        <w:rPr>
          <w:rFonts w:cs="Arial"/>
          <w:szCs w:val="20"/>
          <w:lang w:val="pt-BR"/>
        </w:rPr>
        <w:t xml:space="preserve"> </w:t>
      </w:r>
      <w:r w:rsidR="00A1358C" w:rsidRPr="00D5464D">
        <w:rPr>
          <w:rFonts w:cs="Arial"/>
          <w:szCs w:val="20"/>
          <w:lang w:val="pt-BR"/>
        </w:rPr>
        <w:t>transcorrido</w:t>
      </w:r>
      <w:r w:rsidRPr="00D5464D">
        <w:rPr>
          <w:rFonts w:cs="Arial"/>
          <w:szCs w:val="20"/>
          <w:lang w:val="pt-BR"/>
        </w:rPr>
        <w:t xml:space="preserve"> é </w:t>
      </w:r>
      <w:r w:rsidR="002C330E" w:rsidRPr="00D5464D">
        <w:rPr>
          <w:rFonts w:cs="Arial"/>
          <w:szCs w:val="20"/>
          <w:lang w:val="pt-BR"/>
        </w:rPr>
        <w:t xml:space="preserve">razoável </w:t>
      </w:r>
      <w:r w:rsidR="00F71991" w:rsidRPr="00D5464D">
        <w:rPr>
          <w:rFonts w:cs="Arial"/>
          <w:szCs w:val="20"/>
          <w:lang w:val="pt-BR"/>
        </w:rPr>
        <w:t xml:space="preserve">segundo </w:t>
      </w:r>
      <w:r w:rsidR="00E045D9" w:rsidRPr="00D5464D">
        <w:rPr>
          <w:rFonts w:cs="Arial"/>
          <w:szCs w:val="20"/>
          <w:lang w:val="pt-BR"/>
        </w:rPr>
        <w:t xml:space="preserve">os </w:t>
      </w:r>
      <w:r w:rsidRPr="00D5464D">
        <w:rPr>
          <w:rFonts w:cs="Arial"/>
          <w:szCs w:val="20"/>
          <w:lang w:val="pt-BR"/>
        </w:rPr>
        <w:t>critério</w:t>
      </w:r>
      <w:r w:rsidR="00D81AA1" w:rsidRPr="00D5464D">
        <w:rPr>
          <w:rFonts w:cs="Arial"/>
          <w:szCs w:val="20"/>
          <w:lang w:val="pt-BR"/>
        </w:rPr>
        <w:t xml:space="preserve">s </w:t>
      </w:r>
      <w:r w:rsidRPr="00D5464D">
        <w:rPr>
          <w:rFonts w:cs="Arial"/>
          <w:szCs w:val="20"/>
          <w:lang w:val="pt-BR"/>
        </w:rPr>
        <w:t>estabelecid</w:t>
      </w:r>
      <w:r w:rsidR="00D81AA1" w:rsidRPr="00D5464D">
        <w:rPr>
          <w:rFonts w:cs="Arial"/>
          <w:szCs w:val="20"/>
          <w:lang w:val="pt-BR"/>
        </w:rPr>
        <w:t>os</w:t>
      </w:r>
      <w:r w:rsidRPr="00D5464D">
        <w:rPr>
          <w:rFonts w:cs="Arial"/>
          <w:szCs w:val="20"/>
          <w:lang w:val="pt-BR"/>
        </w:rPr>
        <w:t xml:space="preserve"> em </w:t>
      </w:r>
      <w:r w:rsidR="00C91CB1" w:rsidRPr="00D5464D">
        <w:rPr>
          <w:rFonts w:cs="Arial"/>
          <w:szCs w:val="20"/>
          <w:lang w:val="pt-BR"/>
        </w:rPr>
        <w:t>sua jurisprudência</w:t>
      </w:r>
      <w:r w:rsidR="00D81AA1" w:rsidRPr="00D5464D">
        <w:rPr>
          <w:rFonts w:cs="Arial"/>
          <w:szCs w:val="20"/>
          <w:lang w:val="pt-BR"/>
        </w:rPr>
        <w:t xml:space="preserve">. </w:t>
      </w:r>
    </w:p>
    <w:p w14:paraId="6FBFFC3D" w14:textId="77777777" w:rsidR="001450BB" w:rsidRPr="00D5464D" w:rsidRDefault="001450BB" w:rsidP="001450BB">
      <w:pPr>
        <w:pStyle w:val="Prrafodelista"/>
        <w:rPr>
          <w:szCs w:val="20"/>
          <w:lang w:val="pt-BR"/>
        </w:rPr>
      </w:pPr>
    </w:p>
    <w:p w14:paraId="333C9BC2" w14:textId="53AB5A1B" w:rsidR="00D81AA1" w:rsidRPr="00D5464D" w:rsidRDefault="00E045D9" w:rsidP="00F306D7">
      <w:pPr>
        <w:pStyle w:val="Prrafodelista"/>
        <w:numPr>
          <w:ilvl w:val="0"/>
          <w:numId w:val="23"/>
        </w:numPr>
        <w:rPr>
          <w:i/>
          <w:szCs w:val="20"/>
          <w:lang w:val="pt-BR"/>
        </w:rPr>
      </w:pPr>
      <w:r w:rsidRPr="00D5464D">
        <w:rPr>
          <w:i/>
          <w:szCs w:val="20"/>
          <w:lang w:val="pt-BR"/>
        </w:rPr>
        <w:t>Complexidade</w:t>
      </w:r>
      <w:r w:rsidR="00D81AA1" w:rsidRPr="00D5464D">
        <w:rPr>
          <w:i/>
          <w:szCs w:val="20"/>
          <w:lang w:val="pt-BR"/>
        </w:rPr>
        <w:t xml:space="preserve"> </w:t>
      </w:r>
      <w:r w:rsidR="00470ADC" w:rsidRPr="00D5464D">
        <w:rPr>
          <w:i/>
          <w:szCs w:val="20"/>
          <w:lang w:val="pt-BR"/>
        </w:rPr>
        <w:t>do assunto</w:t>
      </w:r>
    </w:p>
    <w:p w14:paraId="37303506" w14:textId="77777777" w:rsidR="00D81AA1" w:rsidRPr="00D5464D" w:rsidRDefault="00D81AA1" w:rsidP="00D81AA1">
      <w:pPr>
        <w:jc w:val="both"/>
        <w:rPr>
          <w:szCs w:val="20"/>
          <w:lang w:val="pt-BR"/>
        </w:rPr>
      </w:pPr>
    </w:p>
    <w:p w14:paraId="4F6EEEF6" w14:textId="74503683" w:rsidR="00D81AA1" w:rsidRPr="00D5464D" w:rsidRDefault="00D81AA1" w:rsidP="00D81AA1">
      <w:pPr>
        <w:pStyle w:val="Prrafodelista"/>
        <w:numPr>
          <w:ilvl w:val="0"/>
          <w:numId w:val="1"/>
        </w:numPr>
        <w:rPr>
          <w:szCs w:val="20"/>
          <w:lang w:val="pt-BR"/>
        </w:rPr>
      </w:pPr>
      <w:r w:rsidRPr="00D5464D">
        <w:rPr>
          <w:rFonts w:cs="Helvetica"/>
          <w:szCs w:val="20"/>
          <w:lang w:val="pt-BR"/>
        </w:rPr>
        <w:t xml:space="preserve">Este Tribunal </w:t>
      </w:r>
      <w:r w:rsidR="00F71991" w:rsidRPr="00D5464D">
        <w:rPr>
          <w:rFonts w:cs="Helvetica"/>
          <w:szCs w:val="20"/>
          <w:lang w:val="pt-BR"/>
        </w:rPr>
        <w:t xml:space="preserve">já levou em consideração </w:t>
      </w:r>
      <w:r w:rsidRPr="00D5464D">
        <w:rPr>
          <w:rFonts w:cs="Helvetica"/>
          <w:szCs w:val="20"/>
          <w:lang w:val="pt-BR"/>
        </w:rPr>
        <w:t xml:space="preserve">diversos </w:t>
      </w:r>
      <w:r w:rsidR="00470ADC" w:rsidRPr="00D5464D">
        <w:rPr>
          <w:rFonts w:cs="Helvetica"/>
          <w:szCs w:val="20"/>
          <w:lang w:val="pt-BR"/>
        </w:rPr>
        <w:t>critério</w:t>
      </w:r>
      <w:r w:rsidRPr="00D5464D">
        <w:rPr>
          <w:rFonts w:cs="Helvetica"/>
          <w:szCs w:val="20"/>
          <w:lang w:val="pt-BR"/>
        </w:rPr>
        <w:t>s para determinar</w:t>
      </w:r>
      <w:r w:rsidR="002C330E" w:rsidRPr="00D5464D">
        <w:rPr>
          <w:rFonts w:cs="Helvetica"/>
          <w:szCs w:val="20"/>
          <w:lang w:val="pt-BR"/>
        </w:rPr>
        <w:t xml:space="preserve"> a </w:t>
      </w:r>
      <w:r w:rsidR="00E045D9" w:rsidRPr="00D5464D">
        <w:rPr>
          <w:rFonts w:cs="Helvetica"/>
          <w:szCs w:val="20"/>
          <w:lang w:val="pt-BR"/>
        </w:rPr>
        <w:t>complexidade</w:t>
      </w:r>
      <w:r w:rsidRPr="00D5464D">
        <w:rPr>
          <w:rFonts w:cs="Helvetica"/>
          <w:szCs w:val="20"/>
          <w:lang w:val="pt-BR"/>
        </w:rPr>
        <w:t xml:space="preserve"> de</w:t>
      </w:r>
      <w:r w:rsidR="00E045D9" w:rsidRPr="00D5464D">
        <w:rPr>
          <w:rFonts w:cs="Helvetica"/>
          <w:szCs w:val="20"/>
          <w:lang w:val="pt-BR"/>
        </w:rPr>
        <w:t xml:space="preserve"> um </w:t>
      </w:r>
      <w:r w:rsidR="002C330E" w:rsidRPr="00D5464D">
        <w:rPr>
          <w:rFonts w:cs="Helvetica"/>
          <w:szCs w:val="20"/>
          <w:lang w:val="pt-BR"/>
        </w:rPr>
        <w:t>processo</w:t>
      </w:r>
      <w:r w:rsidRPr="00D5464D">
        <w:rPr>
          <w:rFonts w:cs="Helvetica"/>
          <w:szCs w:val="20"/>
          <w:lang w:val="pt-BR"/>
        </w:rPr>
        <w:t>. Entre</w:t>
      </w:r>
      <w:r w:rsidR="00470ADC" w:rsidRPr="00D5464D">
        <w:rPr>
          <w:rFonts w:cs="Helvetica"/>
          <w:szCs w:val="20"/>
          <w:lang w:val="pt-BR"/>
        </w:rPr>
        <w:t xml:space="preserve"> ele</w:t>
      </w:r>
      <w:r w:rsidRPr="00D5464D">
        <w:rPr>
          <w:rFonts w:cs="Helvetica"/>
          <w:szCs w:val="20"/>
          <w:lang w:val="pt-BR"/>
        </w:rPr>
        <w:t>s,</w:t>
      </w:r>
      <w:r w:rsidR="002C330E" w:rsidRPr="00D5464D">
        <w:rPr>
          <w:rFonts w:cs="Helvetica"/>
          <w:szCs w:val="20"/>
          <w:lang w:val="pt-BR"/>
        </w:rPr>
        <w:t xml:space="preserve"> a </w:t>
      </w:r>
      <w:r w:rsidR="00E045D9" w:rsidRPr="00D5464D">
        <w:rPr>
          <w:rFonts w:cs="Helvetica"/>
          <w:szCs w:val="20"/>
          <w:lang w:val="pt-BR"/>
        </w:rPr>
        <w:t>complexidade</w:t>
      </w:r>
      <w:r w:rsidR="00470ADC" w:rsidRPr="00D5464D">
        <w:rPr>
          <w:rFonts w:cs="Helvetica"/>
          <w:szCs w:val="20"/>
          <w:lang w:val="pt-BR"/>
        </w:rPr>
        <w:t xml:space="preserve"> da </w:t>
      </w:r>
      <w:r w:rsidR="002C330E" w:rsidRPr="00D5464D">
        <w:rPr>
          <w:rFonts w:cs="Helvetica"/>
          <w:szCs w:val="20"/>
          <w:lang w:val="pt-BR"/>
        </w:rPr>
        <w:t>prova</w:t>
      </w:r>
      <w:r w:rsidRPr="00D5464D">
        <w:rPr>
          <w:rFonts w:cs="Helvetica"/>
          <w:szCs w:val="20"/>
          <w:lang w:val="pt-BR"/>
        </w:rPr>
        <w:t>,</w:t>
      </w:r>
      <w:r w:rsidR="002C330E" w:rsidRPr="00D5464D">
        <w:rPr>
          <w:rFonts w:cs="Helvetica"/>
          <w:szCs w:val="20"/>
          <w:lang w:val="pt-BR"/>
        </w:rPr>
        <w:t xml:space="preserve"> a pluralidade </w:t>
      </w:r>
      <w:r w:rsidRPr="00D5464D">
        <w:rPr>
          <w:rFonts w:cs="Helvetica"/>
          <w:szCs w:val="20"/>
          <w:lang w:val="pt-BR"/>
        </w:rPr>
        <w:t xml:space="preserve">de </w:t>
      </w:r>
      <w:r w:rsidR="00E045D9" w:rsidRPr="00D5464D">
        <w:rPr>
          <w:rFonts w:cs="Helvetica"/>
          <w:szCs w:val="20"/>
          <w:lang w:val="pt-BR"/>
        </w:rPr>
        <w:t>sujeito</w:t>
      </w:r>
      <w:r w:rsidRPr="00D5464D">
        <w:rPr>
          <w:rFonts w:cs="Helvetica"/>
          <w:szCs w:val="20"/>
          <w:lang w:val="pt-BR"/>
        </w:rPr>
        <w:t xml:space="preserve">s </w:t>
      </w:r>
      <w:r w:rsidR="002C330E" w:rsidRPr="00D5464D">
        <w:rPr>
          <w:rFonts w:cs="Helvetica"/>
          <w:szCs w:val="20"/>
          <w:lang w:val="pt-BR"/>
        </w:rPr>
        <w:t>processuais</w:t>
      </w:r>
      <w:r w:rsidRPr="00D5464D">
        <w:rPr>
          <w:rFonts w:cs="Helvetica"/>
          <w:szCs w:val="20"/>
          <w:lang w:val="pt-BR"/>
        </w:rPr>
        <w:t xml:space="preserve"> o</w:t>
      </w:r>
      <w:r w:rsidR="00F71991" w:rsidRPr="00D5464D">
        <w:rPr>
          <w:rFonts w:cs="Helvetica"/>
          <w:szCs w:val="20"/>
          <w:lang w:val="pt-BR"/>
        </w:rPr>
        <w:t>u</w:t>
      </w:r>
      <w:r w:rsidR="002C330E" w:rsidRPr="00D5464D">
        <w:rPr>
          <w:rFonts w:cs="Helvetica"/>
          <w:szCs w:val="20"/>
          <w:lang w:val="pt-BR"/>
        </w:rPr>
        <w:t xml:space="preserve"> a </w:t>
      </w:r>
      <w:r w:rsidR="00470ADC" w:rsidRPr="00D5464D">
        <w:rPr>
          <w:rFonts w:cs="Helvetica"/>
          <w:szCs w:val="20"/>
          <w:lang w:val="pt-BR"/>
        </w:rPr>
        <w:t xml:space="preserve">quantidade </w:t>
      </w:r>
      <w:r w:rsidRPr="00D5464D">
        <w:rPr>
          <w:rFonts w:cs="Helvetica"/>
          <w:szCs w:val="20"/>
          <w:lang w:val="pt-BR"/>
        </w:rPr>
        <w:t xml:space="preserve">de </w:t>
      </w:r>
      <w:r w:rsidR="00E045D9" w:rsidRPr="00D5464D">
        <w:rPr>
          <w:rFonts w:cs="Helvetica"/>
          <w:szCs w:val="20"/>
          <w:lang w:val="pt-BR"/>
        </w:rPr>
        <w:t>vítima</w:t>
      </w:r>
      <w:r w:rsidRPr="00D5464D">
        <w:rPr>
          <w:rFonts w:cs="Helvetica"/>
          <w:szCs w:val="20"/>
          <w:lang w:val="pt-BR"/>
        </w:rPr>
        <w:t>s,</w:t>
      </w:r>
      <w:r w:rsidR="00470ADC" w:rsidRPr="00D5464D">
        <w:rPr>
          <w:rFonts w:cs="Helvetica"/>
          <w:szCs w:val="20"/>
          <w:lang w:val="pt-BR"/>
        </w:rPr>
        <w:t xml:space="preserve"> o </w:t>
      </w:r>
      <w:r w:rsidR="00E045D9" w:rsidRPr="00D5464D">
        <w:rPr>
          <w:rFonts w:cs="Helvetica"/>
          <w:szCs w:val="20"/>
          <w:lang w:val="pt-BR"/>
        </w:rPr>
        <w:t>tempo</w:t>
      </w:r>
      <w:r w:rsidRPr="00D5464D">
        <w:rPr>
          <w:rFonts w:cs="Helvetica"/>
          <w:szCs w:val="20"/>
          <w:lang w:val="pt-BR"/>
        </w:rPr>
        <w:t xml:space="preserve"> </w:t>
      </w:r>
      <w:r w:rsidR="00A1358C" w:rsidRPr="00D5464D">
        <w:rPr>
          <w:rFonts w:cs="Helvetica"/>
          <w:szCs w:val="20"/>
          <w:lang w:val="pt-BR"/>
        </w:rPr>
        <w:t>transcorrido</w:t>
      </w:r>
      <w:r w:rsidRPr="00D5464D">
        <w:rPr>
          <w:rFonts w:cs="Helvetica"/>
          <w:szCs w:val="20"/>
          <w:lang w:val="pt-BR"/>
        </w:rPr>
        <w:t xml:space="preserve"> </w:t>
      </w:r>
      <w:r w:rsidR="00230C71" w:rsidRPr="00D5464D">
        <w:rPr>
          <w:rFonts w:cs="Helvetica"/>
          <w:szCs w:val="20"/>
          <w:lang w:val="pt-BR"/>
        </w:rPr>
        <w:t>desde a</w:t>
      </w:r>
      <w:r w:rsidR="00E045D9" w:rsidRPr="00D5464D">
        <w:rPr>
          <w:rFonts w:cs="Helvetica"/>
          <w:szCs w:val="20"/>
          <w:lang w:val="pt-BR"/>
        </w:rPr>
        <w:t xml:space="preserve"> </w:t>
      </w:r>
      <w:r w:rsidRPr="00D5464D">
        <w:rPr>
          <w:rFonts w:cs="Helvetica"/>
          <w:szCs w:val="20"/>
          <w:lang w:val="pt-BR"/>
        </w:rPr>
        <w:t>viola</w:t>
      </w:r>
      <w:r w:rsidR="00470ADC" w:rsidRPr="00D5464D">
        <w:rPr>
          <w:rFonts w:cs="Helvetica"/>
          <w:szCs w:val="20"/>
          <w:lang w:val="pt-BR"/>
        </w:rPr>
        <w:t>ção</w:t>
      </w:r>
      <w:r w:rsidR="00F71991" w:rsidRPr="00D5464D">
        <w:rPr>
          <w:rFonts w:cs="Helvetica"/>
          <w:szCs w:val="20"/>
          <w:lang w:val="pt-BR"/>
        </w:rPr>
        <w:t xml:space="preserve">, </w:t>
      </w:r>
      <w:r w:rsidR="002C330E" w:rsidRPr="00D5464D">
        <w:rPr>
          <w:rFonts w:cs="Helvetica"/>
          <w:szCs w:val="20"/>
          <w:lang w:val="pt-BR"/>
        </w:rPr>
        <w:t xml:space="preserve">as </w:t>
      </w:r>
      <w:r w:rsidRPr="00D5464D">
        <w:rPr>
          <w:rFonts w:cs="Helvetica"/>
          <w:szCs w:val="20"/>
          <w:lang w:val="pt-BR"/>
        </w:rPr>
        <w:t xml:space="preserve">características </w:t>
      </w:r>
      <w:r w:rsidR="00470ADC" w:rsidRPr="00D5464D">
        <w:rPr>
          <w:rFonts w:cs="Helvetica"/>
          <w:szCs w:val="20"/>
          <w:lang w:val="pt-BR"/>
        </w:rPr>
        <w:t xml:space="preserve">do </w:t>
      </w:r>
      <w:r w:rsidRPr="00D5464D">
        <w:rPr>
          <w:rFonts w:cs="Helvetica"/>
          <w:szCs w:val="20"/>
          <w:lang w:val="pt-BR"/>
        </w:rPr>
        <w:t xml:space="preserve">recurso </w:t>
      </w:r>
      <w:r w:rsidR="00F71991" w:rsidRPr="00D5464D">
        <w:rPr>
          <w:rFonts w:cs="Helvetica"/>
          <w:szCs w:val="20"/>
          <w:lang w:val="pt-BR"/>
        </w:rPr>
        <w:t xml:space="preserve">previsto </w:t>
      </w:r>
      <w:r w:rsidR="00E045D9" w:rsidRPr="00D5464D">
        <w:rPr>
          <w:rFonts w:cs="Helvetica"/>
          <w:szCs w:val="20"/>
          <w:lang w:val="pt-BR"/>
        </w:rPr>
        <w:t xml:space="preserve">na </w:t>
      </w:r>
      <w:r w:rsidRPr="00D5464D">
        <w:rPr>
          <w:rFonts w:cs="Helvetica"/>
          <w:szCs w:val="20"/>
          <w:lang w:val="pt-BR"/>
        </w:rPr>
        <w:t>legisla</w:t>
      </w:r>
      <w:r w:rsidR="00470ADC" w:rsidRPr="00D5464D">
        <w:rPr>
          <w:rFonts w:cs="Helvetica"/>
          <w:szCs w:val="20"/>
          <w:lang w:val="pt-BR"/>
        </w:rPr>
        <w:t>ção</w:t>
      </w:r>
      <w:r w:rsidRPr="00D5464D">
        <w:rPr>
          <w:rFonts w:cs="Helvetica"/>
          <w:szCs w:val="20"/>
          <w:lang w:val="pt-BR"/>
        </w:rPr>
        <w:t xml:space="preserve"> interna</w:t>
      </w:r>
      <w:r w:rsidR="00E045D9" w:rsidRPr="00D5464D">
        <w:rPr>
          <w:rFonts w:cs="Helvetica"/>
          <w:szCs w:val="20"/>
          <w:lang w:val="pt-BR"/>
        </w:rPr>
        <w:t xml:space="preserve"> e </w:t>
      </w:r>
      <w:r w:rsidR="00470ADC" w:rsidRPr="00D5464D">
        <w:rPr>
          <w:rFonts w:cs="Helvetica"/>
          <w:szCs w:val="20"/>
          <w:lang w:val="pt-BR"/>
        </w:rPr>
        <w:t xml:space="preserve">o </w:t>
      </w:r>
      <w:r w:rsidRPr="00D5464D">
        <w:rPr>
          <w:rFonts w:cs="Helvetica"/>
          <w:szCs w:val="20"/>
          <w:lang w:val="pt-BR"/>
        </w:rPr>
        <w:t>contexto</w:t>
      </w:r>
      <w:r w:rsidR="00E045D9" w:rsidRPr="00D5464D">
        <w:rPr>
          <w:rFonts w:cs="Helvetica"/>
          <w:szCs w:val="20"/>
          <w:lang w:val="pt-BR"/>
        </w:rPr>
        <w:t xml:space="preserve"> no </w:t>
      </w:r>
      <w:r w:rsidR="00F71991" w:rsidRPr="00D5464D">
        <w:rPr>
          <w:rFonts w:cs="Helvetica"/>
          <w:szCs w:val="20"/>
          <w:lang w:val="pt-BR"/>
        </w:rPr>
        <w:t>qual</w:t>
      </w:r>
      <w:r w:rsidRPr="00D5464D">
        <w:rPr>
          <w:rFonts w:cs="Helvetica"/>
          <w:szCs w:val="20"/>
          <w:lang w:val="pt-BR"/>
        </w:rPr>
        <w:t xml:space="preserve"> </w:t>
      </w:r>
      <w:r w:rsidR="002C330E" w:rsidRPr="00D5464D">
        <w:rPr>
          <w:rFonts w:cs="Helvetica"/>
          <w:szCs w:val="20"/>
          <w:lang w:val="pt-BR"/>
        </w:rPr>
        <w:t xml:space="preserve">ocorreu a </w:t>
      </w:r>
      <w:r w:rsidRPr="00D5464D">
        <w:rPr>
          <w:rFonts w:cs="Helvetica"/>
          <w:szCs w:val="20"/>
          <w:lang w:val="pt-BR"/>
        </w:rPr>
        <w:t>viola</w:t>
      </w:r>
      <w:r w:rsidR="00470ADC" w:rsidRPr="00D5464D">
        <w:rPr>
          <w:rFonts w:cs="Helvetica"/>
          <w:szCs w:val="20"/>
          <w:lang w:val="pt-BR"/>
        </w:rPr>
        <w:t>ção</w:t>
      </w:r>
      <w:r w:rsidR="00F71991" w:rsidRPr="00D5464D">
        <w:rPr>
          <w:rFonts w:cs="Helvetica"/>
          <w:szCs w:val="20"/>
          <w:lang w:val="pt-BR"/>
        </w:rPr>
        <w:t>.</w:t>
      </w:r>
      <w:r w:rsidRPr="00D5464D">
        <w:rPr>
          <w:rStyle w:val="Refdenotaalpie"/>
          <w:lang w:val="pt-BR"/>
        </w:rPr>
        <w:footnoteReference w:id="488"/>
      </w:r>
    </w:p>
    <w:p w14:paraId="54E11155" w14:textId="77777777" w:rsidR="00DE3E58" w:rsidRPr="00D5464D" w:rsidRDefault="00DE3E58" w:rsidP="00DE3E58">
      <w:pPr>
        <w:pStyle w:val="Prrafodelista"/>
        <w:ind w:left="0"/>
        <w:rPr>
          <w:szCs w:val="20"/>
          <w:lang w:val="pt-BR"/>
        </w:rPr>
      </w:pPr>
    </w:p>
    <w:p w14:paraId="332E5B27" w14:textId="0BF4EEF8" w:rsidR="00D81AA1" w:rsidRPr="00D5464D" w:rsidRDefault="00470ADC" w:rsidP="00D81AA1">
      <w:pPr>
        <w:pStyle w:val="Prrafodelista"/>
        <w:numPr>
          <w:ilvl w:val="0"/>
          <w:numId w:val="1"/>
        </w:numPr>
        <w:rPr>
          <w:szCs w:val="20"/>
          <w:lang w:val="pt-BR"/>
        </w:rPr>
      </w:pPr>
      <w:r w:rsidRPr="00D5464D">
        <w:rPr>
          <w:szCs w:val="20"/>
          <w:lang w:val="pt-BR"/>
        </w:rPr>
        <w:t xml:space="preserve">A </w:t>
      </w:r>
      <w:r w:rsidR="00D81AA1" w:rsidRPr="00D5464D">
        <w:rPr>
          <w:rFonts w:cs="BookAntiqua"/>
          <w:szCs w:val="20"/>
          <w:lang w:val="pt-BR"/>
        </w:rPr>
        <w:t>Corte observa que</w:t>
      </w:r>
      <w:r w:rsidR="00F71991" w:rsidRPr="00D5464D">
        <w:rPr>
          <w:rFonts w:cs="BookAntiqua"/>
          <w:szCs w:val="20"/>
          <w:lang w:val="pt-BR"/>
        </w:rPr>
        <w:t>,</w:t>
      </w:r>
      <w:r w:rsidR="00E045D9" w:rsidRPr="00D5464D">
        <w:rPr>
          <w:rFonts w:cs="BookAntiqua"/>
          <w:szCs w:val="20"/>
          <w:lang w:val="pt-BR"/>
        </w:rPr>
        <w:t xml:space="preserve"> no </w:t>
      </w:r>
      <w:r w:rsidR="00D81AA1" w:rsidRPr="00D5464D">
        <w:rPr>
          <w:rFonts w:cs="BookAntiqua"/>
          <w:szCs w:val="20"/>
          <w:lang w:val="pt-BR"/>
        </w:rPr>
        <w:t>presente caso</w:t>
      </w:r>
      <w:r w:rsidR="00F71991" w:rsidRPr="00D5464D">
        <w:rPr>
          <w:rFonts w:cs="BookAntiqua"/>
          <w:szCs w:val="20"/>
          <w:lang w:val="pt-BR"/>
        </w:rPr>
        <w:t>,</w:t>
      </w:r>
      <w:r w:rsidR="002C330E" w:rsidRPr="00D5464D">
        <w:rPr>
          <w:rFonts w:cs="BookAntiqua"/>
          <w:szCs w:val="20"/>
          <w:lang w:val="pt-BR"/>
        </w:rPr>
        <w:t xml:space="preserve"> as </w:t>
      </w:r>
      <w:r w:rsidR="00D81AA1" w:rsidRPr="00D5464D">
        <w:rPr>
          <w:rFonts w:cs="BookAntiqua"/>
          <w:szCs w:val="20"/>
          <w:lang w:val="pt-BR"/>
        </w:rPr>
        <w:t xml:space="preserve">características </w:t>
      </w:r>
      <w:r w:rsidRPr="00D5464D">
        <w:rPr>
          <w:rFonts w:cs="BookAntiqua"/>
          <w:szCs w:val="20"/>
          <w:lang w:val="pt-BR"/>
        </w:rPr>
        <w:t xml:space="preserve">do </w:t>
      </w:r>
      <w:r w:rsidR="002C330E" w:rsidRPr="00D5464D">
        <w:rPr>
          <w:rFonts w:cs="BookAntiqua"/>
          <w:szCs w:val="20"/>
          <w:lang w:val="pt-BR"/>
        </w:rPr>
        <w:t>processo</w:t>
      </w:r>
      <w:r w:rsidR="00D81AA1" w:rsidRPr="00D5464D">
        <w:rPr>
          <w:rFonts w:cs="BookAntiqua"/>
          <w:szCs w:val="20"/>
          <w:lang w:val="pt-BR"/>
        </w:rPr>
        <w:t xml:space="preserve"> n</w:t>
      </w:r>
      <w:r w:rsidR="00F71991" w:rsidRPr="00D5464D">
        <w:rPr>
          <w:rFonts w:cs="BookAntiqua"/>
          <w:szCs w:val="20"/>
          <w:lang w:val="pt-BR"/>
        </w:rPr>
        <w:t>ã</w:t>
      </w:r>
      <w:r w:rsidR="00D81AA1" w:rsidRPr="00D5464D">
        <w:rPr>
          <w:rFonts w:cs="BookAntiqua"/>
          <w:szCs w:val="20"/>
          <w:lang w:val="pt-BR"/>
        </w:rPr>
        <w:t xml:space="preserve">o </w:t>
      </w:r>
      <w:r w:rsidR="00D81AA1" w:rsidRPr="00D5464D">
        <w:rPr>
          <w:rFonts w:cs="Helvetica"/>
          <w:szCs w:val="20"/>
          <w:lang w:val="pt-BR"/>
        </w:rPr>
        <w:t>configur</w:t>
      </w:r>
      <w:r w:rsidR="00EB1CE9" w:rsidRPr="00D5464D">
        <w:rPr>
          <w:rFonts w:cs="Helvetica"/>
          <w:szCs w:val="20"/>
          <w:lang w:val="pt-BR"/>
        </w:rPr>
        <w:t xml:space="preserve">avam </w:t>
      </w:r>
      <w:r w:rsidR="00E045D9" w:rsidRPr="00D5464D">
        <w:rPr>
          <w:rFonts w:cs="Helvetica"/>
          <w:szCs w:val="20"/>
          <w:lang w:val="pt-BR"/>
        </w:rPr>
        <w:t>uma complexidade</w:t>
      </w:r>
      <w:r w:rsidR="00D81AA1" w:rsidRPr="00D5464D">
        <w:rPr>
          <w:rFonts w:cs="Helvetica"/>
          <w:szCs w:val="20"/>
          <w:lang w:val="pt-BR"/>
        </w:rPr>
        <w:t xml:space="preserve"> particularmente alta</w:t>
      </w:r>
      <w:r w:rsidR="00C91CB1" w:rsidRPr="00D5464D">
        <w:rPr>
          <w:rFonts w:cs="Helvetica"/>
          <w:szCs w:val="20"/>
          <w:lang w:val="pt-BR"/>
        </w:rPr>
        <w:t xml:space="preserve">. As </w:t>
      </w:r>
      <w:r w:rsidRPr="00D5464D">
        <w:rPr>
          <w:rFonts w:cs="Helvetica"/>
          <w:szCs w:val="20"/>
          <w:lang w:val="pt-BR"/>
        </w:rPr>
        <w:t>denúncias</w:t>
      </w:r>
      <w:r w:rsidR="00230C71" w:rsidRPr="00D5464D">
        <w:rPr>
          <w:rFonts w:cs="Helvetica"/>
          <w:szCs w:val="20"/>
          <w:lang w:val="pt-BR"/>
        </w:rPr>
        <w:t xml:space="preserve"> contra </w:t>
      </w:r>
      <w:r w:rsidR="00D81AA1" w:rsidRPr="00D5464D">
        <w:rPr>
          <w:rFonts w:cs="Arial"/>
          <w:szCs w:val="20"/>
          <w:lang w:val="pt-BR"/>
        </w:rPr>
        <w:t xml:space="preserve">Raimundo </w:t>
      </w:r>
      <w:r w:rsidR="00085F51" w:rsidRPr="00D5464D">
        <w:rPr>
          <w:rFonts w:cs="Arial"/>
          <w:szCs w:val="20"/>
          <w:lang w:val="pt-BR"/>
        </w:rPr>
        <w:t>Alves da Rocha</w:t>
      </w:r>
      <w:r w:rsidR="00D81AA1" w:rsidRPr="00D5464D">
        <w:rPr>
          <w:rFonts w:cs="Arial"/>
          <w:szCs w:val="20"/>
          <w:lang w:val="pt-BR"/>
        </w:rPr>
        <w:t xml:space="preserve">, </w:t>
      </w:r>
      <w:r w:rsidR="00E42F61" w:rsidRPr="00D5464D">
        <w:rPr>
          <w:rFonts w:cs="Arial"/>
          <w:szCs w:val="20"/>
          <w:lang w:val="pt-BR"/>
        </w:rPr>
        <w:t xml:space="preserve">Antônio </w:t>
      </w:r>
      <w:r w:rsidR="00D81AA1" w:rsidRPr="00D5464D">
        <w:rPr>
          <w:rFonts w:cs="Arial"/>
          <w:szCs w:val="20"/>
          <w:lang w:val="pt-BR"/>
        </w:rPr>
        <w:t>Alves Vieira</w:t>
      </w:r>
      <w:r w:rsidR="00E045D9" w:rsidRPr="00D5464D">
        <w:rPr>
          <w:rFonts w:cs="Arial"/>
          <w:szCs w:val="20"/>
          <w:lang w:val="pt-BR"/>
        </w:rPr>
        <w:t xml:space="preserve"> e </w:t>
      </w:r>
      <w:r w:rsidR="00D81AA1" w:rsidRPr="00D5464D">
        <w:rPr>
          <w:rFonts w:cs="Arial"/>
          <w:szCs w:val="20"/>
          <w:lang w:val="pt-BR"/>
        </w:rPr>
        <w:t xml:space="preserve">João Luiz Quagliato Neto </w:t>
      </w:r>
      <w:r w:rsidRPr="00D5464D">
        <w:rPr>
          <w:rFonts w:cs="Arial"/>
          <w:szCs w:val="20"/>
          <w:lang w:val="pt-BR"/>
        </w:rPr>
        <w:t>estavam</w:t>
      </w:r>
      <w:r w:rsidR="00D81AA1" w:rsidRPr="00D5464D">
        <w:rPr>
          <w:rFonts w:cs="Arial"/>
          <w:szCs w:val="20"/>
          <w:lang w:val="pt-BR"/>
        </w:rPr>
        <w:t xml:space="preserve"> fundamentadas</w:t>
      </w:r>
      <w:r w:rsidR="00E045D9" w:rsidRPr="00D5464D">
        <w:rPr>
          <w:rFonts w:cs="Arial"/>
          <w:szCs w:val="20"/>
          <w:lang w:val="pt-BR"/>
        </w:rPr>
        <w:t xml:space="preserve"> na </w:t>
      </w:r>
      <w:r w:rsidR="00AB4663" w:rsidRPr="00D5464D">
        <w:rPr>
          <w:rFonts w:cs="Arial"/>
          <w:szCs w:val="20"/>
          <w:lang w:val="pt-BR"/>
        </w:rPr>
        <w:t>fiscalização</w:t>
      </w:r>
      <w:r w:rsidR="00D81AA1" w:rsidRPr="00D5464D">
        <w:rPr>
          <w:rFonts w:cs="Arial"/>
          <w:szCs w:val="20"/>
          <w:lang w:val="pt-BR"/>
        </w:rPr>
        <w:t xml:space="preserve"> de abril de 1997</w:t>
      </w:r>
      <w:r w:rsidRPr="00D5464D">
        <w:rPr>
          <w:rFonts w:cs="Arial"/>
          <w:szCs w:val="20"/>
          <w:lang w:val="pt-BR"/>
        </w:rPr>
        <w:t xml:space="preserve"> à </w:t>
      </w:r>
      <w:r w:rsidR="00D809F0" w:rsidRPr="00D5464D">
        <w:rPr>
          <w:rFonts w:cs="Arial"/>
          <w:szCs w:val="20"/>
          <w:lang w:val="pt-BR"/>
        </w:rPr>
        <w:t>Fazenda</w:t>
      </w:r>
      <w:r w:rsidR="00D81AA1" w:rsidRPr="00D5464D">
        <w:rPr>
          <w:rFonts w:cs="Arial"/>
          <w:szCs w:val="20"/>
          <w:lang w:val="pt-BR"/>
        </w:rPr>
        <w:t xml:space="preserve"> Brasil Verde</w:t>
      </w:r>
      <w:r w:rsidRPr="00D5464D">
        <w:rPr>
          <w:rFonts w:cs="Arial"/>
          <w:szCs w:val="20"/>
          <w:lang w:val="pt-BR"/>
        </w:rPr>
        <w:t xml:space="preserve"> e o </w:t>
      </w:r>
      <w:r w:rsidR="002C330E" w:rsidRPr="00D5464D">
        <w:rPr>
          <w:rFonts w:cs="Arial"/>
          <w:szCs w:val="20"/>
          <w:lang w:val="pt-BR"/>
        </w:rPr>
        <w:t>Ministério</w:t>
      </w:r>
      <w:r w:rsidR="00D81AA1" w:rsidRPr="00D5464D">
        <w:rPr>
          <w:rFonts w:cs="Arial"/>
          <w:szCs w:val="20"/>
          <w:lang w:val="pt-BR"/>
        </w:rPr>
        <w:t xml:space="preserve"> Público Federal </w:t>
      </w:r>
      <w:r w:rsidRPr="00D5464D">
        <w:rPr>
          <w:rFonts w:cs="Arial"/>
          <w:szCs w:val="20"/>
          <w:lang w:val="pt-BR"/>
        </w:rPr>
        <w:t xml:space="preserve">contava com </w:t>
      </w:r>
      <w:r w:rsidR="00D81AA1" w:rsidRPr="00D5464D">
        <w:rPr>
          <w:rFonts w:cs="Arial"/>
          <w:szCs w:val="20"/>
          <w:lang w:val="pt-BR"/>
        </w:rPr>
        <w:t>informa</w:t>
      </w:r>
      <w:r w:rsidRPr="00D5464D">
        <w:rPr>
          <w:rFonts w:cs="Arial"/>
          <w:szCs w:val="20"/>
          <w:lang w:val="pt-BR"/>
        </w:rPr>
        <w:t>ção</w:t>
      </w:r>
      <w:r w:rsidR="00D81AA1" w:rsidRPr="00D5464D">
        <w:rPr>
          <w:rFonts w:cs="Arial"/>
          <w:szCs w:val="20"/>
          <w:lang w:val="pt-BR"/>
        </w:rPr>
        <w:t xml:space="preserve"> suficiente para</w:t>
      </w:r>
      <w:r w:rsidR="002C330E" w:rsidRPr="00D5464D">
        <w:rPr>
          <w:rFonts w:cs="Arial"/>
          <w:szCs w:val="20"/>
          <w:lang w:val="pt-BR"/>
        </w:rPr>
        <w:t xml:space="preserve"> apresentar as </w:t>
      </w:r>
      <w:r w:rsidRPr="00D5464D">
        <w:rPr>
          <w:rFonts w:cs="Arial"/>
          <w:szCs w:val="20"/>
          <w:lang w:val="pt-BR"/>
        </w:rPr>
        <w:t>denúncias</w:t>
      </w:r>
      <w:r w:rsidR="00D81AA1" w:rsidRPr="00D5464D">
        <w:rPr>
          <w:rFonts w:cs="Arial"/>
          <w:szCs w:val="20"/>
          <w:lang w:val="pt-BR"/>
        </w:rPr>
        <w:t xml:space="preserve">. </w:t>
      </w:r>
      <w:r w:rsidRPr="00D5464D">
        <w:rPr>
          <w:rFonts w:cs="Arial"/>
          <w:szCs w:val="20"/>
          <w:lang w:val="pt-BR"/>
        </w:rPr>
        <w:t>Ademais</w:t>
      </w:r>
      <w:r w:rsidR="00D81AA1" w:rsidRPr="00D5464D">
        <w:rPr>
          <w:rFonts w:cs="Arial"/>
          <w:szCs w:val="20"/>
          <w:lang w:val="pt-BR"/>
        </w:rPr>
        <w:t>,</w:t>
      </w:r>
      <w:r w:rsidR="002C330E" w:rsidRPr="00D5464D">
        <w:rPr>
          <w:rFonts w:cs="Arial"/>
          <w:szCs w:val="20"/>
          <w:lang w:val="pt-BR"/>
        </w:rPr>
        <w:t xml:space="preserve"> a pluralidade </w:t>
      </w:r>
      <w:r w:rsidR="00D81AA1" w:rsidRPr="00D5464D">
        <w:rPr>
          <w:rFonts w:cs="Arial"/>
          <w:szCs w:val="20"/>
          <w:lang w:val="pt-BR"/>
        </w:rPr>
        <w:t xml:space="preserve">de </w:t>
      </w:r>
      <w:r w:rsidR="00E045D9" w:rsidRPr="00D5464D">
        <w:rPr>
          <w:rFonts w:cs="Arial"/>
          <w:szCs w:val="20"/>
          <w:lang w:val="pt-BR"/>
        </w:rPr>
        <w:t>sujeito</w:t>
      </w:r>
      <w:r w:rsidR="00D81AA1" w:rsidRPr="00D5464D">
        <w:rPr>
          <w:rFonts w:cs="Arial"/>
          <w:szCs w:val="20"/>
          <w:lang w:val="pt-BR"/>
        </w:rPr>
        <w:t xml:space="preserve">s </w:t>
      </w:r>
      <w:r w:rsidR="002C330E" w:rsidRPr="00D5464D">
        <w:rPr>
          <w:rFonts w:cs="Arial"/>
          <w:szCs w:val="20"/>
          <w:lang w:val="pt-BR"/>
        </w:rPr>
        <w:t>processuais</w:t>
      </w:r>
      <w:r w:rsidR="00D81AA1" w:rsidRPr="00D5464D">
        <w:rPr>
          <w:rFonts w:cs="Arial"/>
          <w:szCs w:val="20"/>
          <w:lang w:val="pt-BR"/>
        </w:rPr>
        <w:t xml:space="preserve"> tam</w:t>
      </w:r>
      <w:r w:rsidR="002C330E" w:rsidRPr="00D5464D">
        <w:rPr>
          <w:rFonts w:cs="Arial"/>
          <w:szCs w:val="20"/>
          <w:lang w:val="pt-BR"/>
        </w:rPr>
        <w:t xml:space="preserve">pouco </w:t>
      </w:r>
      <w:r w:rsidR="00D81AA1" w:rsidRPr="00D5464D">
        <w:rPr>
          <w:rFonts w:cs="Arial"/>
          <w:szCs w:val="20"/>
          <w:lang w:val="pt-BR"/>
        </w:rPr>
        <w:t>era</w:t>
      </w:r>
      <w:r w:rsidR="00E045D9" w:rsidRPr="00D5464D">
        <w:rPr>
          <w:rFonts w:cs="Arial"/>
          <w:szCs w:val="20"/>
          <w:lang w:val="pt-BR"/>
        </w:rPr>
        <w:t xml:space="preserve"> um </w:t>
      </w:r>
      <w:r w:rsidR="00D81AA1" w:rsidRPr="00D5464D">
        <w:rPr>
          <w:rFonts w:cs="Arial"/>
          <w:szCs w:val="20"/>
          <w:lang w:val="pt-BR"/>
        </w:rPr>
        <w:t>inconveniente por ser</w:t>
      </w:r>
      <w:r w:rsidR="00E045D9" w:rsidRPr="00D5464D">
        <w:rPr>
          <w:rFonts w:cs="Arial"/>
          <w:szCs w:val="20"/>
          <w:lang w:val="pt-BR"/>
        </w:rPr>
        <w:t xml:space="preserve"> um </w:t>
      </w:r>
      <w:r w:rsidR="00D81AA1" w:rsidRPr="00D5464D">
        <w:rPr>
          <w:rFonts w:cs="Arial"/>
          <w:szCs w:val="20"/>
          <w:lang w:val="pt-BR"/>
        </w:rPr>
        <w:t>grupo delimitado</w:t>
      </w:r>
      <w:r w:rsidR="00E045D9" w:rsidRPr="00D5464D">
        <w:rPr>
          <w:rFonts w:cs="Arial"/>
          <w:szCs w:val="20"/>
          <w:lang w:val="pt-BR"/>
        </w:rPr>
        <w:t xml:space="preserve"> e </w:t>
      </w:r>
      <w:r w:rsidR="00D81AA1" w:rsidRPr="00D5464D">
        <w:rPr>
          <w:rFonts w:cs="Arial"/>
          <w:szCs w:val="20"/>
          <w:lang w:val="pt-BR"/>
        </w:rPr>
        <w:t>específico</w:t>
      </w:r>
      <w:r w:rsidR="00A1358C" w:rsidRPr="00D5464D">
        <w:rPr>
          <w:rFonts w:cs="Arial"/>
          <w:szCs w:val="20"/>
          <w:lang w:val="pt-BR"/>
        </w:rPr>
        <w:t xml:space="preserve">. A </w:t>
      </w:r>
      <w:r w:rsidR="00D81AA1" w:rsidRPr="00D5464D">
        <w:rPr>
          <w:rFonts w:cs="Arial"/>
          <w:szCs w:val="20"/>
          <w:lang w:val="pt-BR"/>
        </w:rPr>
        <w:t>Corte n</w:t>
      </w:r>
      <w:r w:rsidR="00F71991" w:rsidRPr="00D5464D">
        <w:rPr>
          <w:rFonts w:cs="Arial"/>
          <w:szCs w:val="20"/>
          <w:lang w:val="pt-BR"/>
        </w:rPr>
        <w:t>ã</w:t>
      </w:r>
      <w:r w:rsidR="00D81AA1" w:rsidRPr="00D5464D">
        <w:rPr>
          <w:rFonts w:cs="Arial"/>
          <w:szCs w:val="20"/>
          <w:lang w:val="pt-BR"/>
        </w:rPr>
        <w:t xml:space="preserve">o </w:t>
      </w:r>
      <w:r w:rsidRPr="00D5464D">
        <w:rPr>
          <w:rFonts w:cs="Arial"/>
          <w:szCs w:val="20"/>
          <w:lang w:val="pt-BR"/>
        </w:rPr>
        <w:t xml:space="preserve">encontra </w:t>
      </w:r>
      <w:r w:rsidR="00D81AA1" w:rsidRPr="00D5464D">
        <w:rPr>
          <w:rFonts w:cs="Arial"/>
          <w:szCs w:val="20"/>
          <w:lang w:val="pt-BR"/>
        </w:rPr>
        <w:t xml:space="preserve">motivos particulares que </w:t>
      </w:r>
      <w:r w:rsidR="00A1358C" w:rsidRPr="00D5464D">
        <w:rPr>
          <w:rFonts w:cs="Arial"/>
          <w:szCs w:val="20"/>
          <w:lang w:val="pt-BR"/>
        </w:rPr>
        <w:t>poderiam</w:t>
      </w:r>
      <w:r w:rsidR="00D81AA1" w:rsidRPr="00D5464D">
        <w:rPr>
          <w:rFonts w:cs="Arial"/>
          <w:szCs w:val="20"/>
          <w:lang w:val="pt-BR"/>
        </w:rPr>
        <w:t xml:space="preserve"> justificar</w:t>
      </w:r>
      <w:r w:rsidR="00E045D9" w:rsidRPr="00D5464D">
        <w:rPr>
          <w:rFonts w:cs="Arial"/>
          <w:szCs w:val="20"/>
          <w:lang w:val="pt-BR"/>
        </w:rPr>
        <w:t xml:space="preserve"> uma complexidade</w:t>
      </w:r>
      <w:r w:rsidR="00D81AA1" w:rsidRPr="00D5464D">
        <w:rPr>
          <w:rFonts w:cs="Arial"/>
          <w:szCs w:val="20"/>
          <w:lang w:val="pt-BR"/>
        </w:rPr>
        <w:t xml:space="preserve"> especial</w:t>
      </w:r>
      <w:r w:rsidR="00E045D9" w:rsidRPr="00D5464D">
        <w:rPr>
          <w:rFonts w:cs="Arial"/>
          <w:szCs w:val="20"/>
          <w:lang w:val="pt-BR"/>
        </w:rPr>
        <w:t xml:space="preserve"> no </w:t>
      </w:r>
      <w:r w:rsidR="00D81AA1" w:rsidRPr="00D5464D">
        <w:rPr>
          <w:rFonts w:cs="Arial"/>
          <w:szCs w:val="20"/>
          <w:lang w:val="pt-BR"/>
        </w:rPr>
        <w:t xml:space="preserve">caso </w:t>
      </w:r>
      <w:r w:rsidRPr="00D5464D">
        <w:rPr>
          <w:rFonts w:cs="Arial"/>
          <w:szCs w:val="20"/>
          <w:lang w:val="pt-BR"/>
        </w:rPr>
        <w:t>analisado</w:t>
      </w:r>
      <w:r w:rsidR="00D81AA1" w:rsidRPr="00D5464D">
        <w:rPr>
          <w:rFonts w:cs="Arial"/>
          <w:szCs w:val="20"/>
          <w:lang w:val="pt-BR"/>
        </w:rPr>
        <w:t>, que justifi</w:t>
      </w:r>
      <w:r w:rsidR="00F71991" w:rsidRPr="00D5464D">
        <w:rPr>
          <w:rFonts w:cs="Arial"/>
          <w:szCs w:val="20"/>
          <w:lang w:val="pt-BR"/>
        </w:rPr>
        <w:t>que</w:t>
      </w:r>
      <w:r w:rsidR="00E045D9" w:rsidRPr="00D5464D">
        <w:rPr>
          <w:rFonts w:cs="Arial"/>
          <w:szCs w:val="20"/>
          <w:lang w:val="pt-BR"/>
        </w:rPr>
        <w:t xml:space="preserve"> uma </w:t>
      </w:r>
      <w:r w:rsidR="00D81AA1" w:rsidRPr="00D5464D">
        <w:rPr>
          <w:rFonts w:cs="Arial"/>
          <w:szCs w:val="20"/>
          <w:lang w:val="pt-BR"/>
        </w:rPr>
        <w:t>dura</w:t>
      </w:r>
      <w:r w:rsidRPr="00D5464D">
        <w:rPr>
          <w:rFonts w:cs="Arial"/>
          <w:szCs w:val="20"/>
          <w:lang w:val="pt-BR"/>
        </w:rPr>
        <w:t>ção</w:t>
      </w:r>
      <w:r w:rsidR="00D81AA1" w:rsidRPr="00D5464D">
        <w:rPr>
          <w:rFonts w:cs="Arial"/>
          <w:szCs w:val="20"/>
          <w:lang w:val="pt-BR"/>
        </w:rPr>
        <w:t xml:space="preserve"> de </w:t>
      </w:r>
      <w:r w:rsidR="002C330E" w:rsidRPr="00D5464D">
        <w:rPr>
          <w:rFonts w:cs="Arial"/>
          <w:szCs w:val="20"/>
          <w:lang w:val="pt-BR"/>
        </w:rPr>
        <w:t xml:space="preserve">mais </w:t>
      </w:r>
      <w:r w:rsidR="00D81AA1" w:rsidRPr="00D5464D">
        <w:rPr>
          <w:rFonts w:cs="Arial"/>
          <w:szCs w:val="20"/>
          <w:lang w:val="pt-BR"/>
        </w:rPr>
        <w:t xml:space="preserve">de 10 </w:t>
      </w:r>
      <w:r w:rsidRPr="00D5464D">
        <w:rPr>
          <w:rFonts w:cs="Arial"/>
          <w:szCs w:val="20"/>
          <w:lang w:val="pt-BR"/>
        </w:rPr>
        <w:t>anos</w:t>
      </w:r>
      <w:r w:rsidR="00D81AA1" w:rsidRPr="00D5464D">
        <w:rPr>
          <w:rFonts w:cs="Arial"/>
          <w:szCs w:val="20"/>
          <w:lang w:val="pt-BR"/>
        </w:rPr>
        <w:t xml:space="preserve"> </w:t>
      </w:r>
      <w:r w:rsidRPr="00D5464D">
        <w:rPr>
          <w:rFonts w:cs="Arial"/>
          <w:szCs w:val="20"/>
          <w:lang w:val="pt-BR"/>
        </w:rPr>
        <w:t xml:space="preserve">do </w:t>
      </w:r>
      <w:r w:rsidR="002C330E" w:rsidRPr="00D5464D">
        <w:rPr>
          <w:rFonts w:cs="Arial"/>
          <w:szCs w:val="20"/>
          <w:lang w:val="pt-BR"/>
        </w:rPr>
        <w:t>processo</w:t>
      </w:r>
      <w:r w:rsidR="00D81AA1" w:rsidRPr="00D5464D">
        <w:rPr>
          <w:rFonts w:cs="Arial"/>
          <w:szCs w:val="20"/>
          <w:lang w:val="pt-BR"/>
        </w:rPr>
        <w:t xml:space="preserve">. </w:t>
      </w:r>
    </w:p>
    <w:p w14:paraId="146BA7D6" w14:textId="77777777" w:rsidR="00D81AA1" w:rsidRPr="00D5464D" w:rsidRDefault="00D81AA1" w:rsidP="00D81AA1">
      <w:pPr>
        <w:jc w:val="both"/>
        <w:rPr>
          <w:szCs w:val="20"/>
          <w:lang w:val="pt-BR"/>
        </w:rPr>
      </w:pPr>
    </w:p>
    <w:p w14:paraId="011266DB" w14:textId="588618EE" w:rsidR="00D81AA1" w:rsidRPr="00D5464D" w:rsidRDefault="00470ADC" w:rsidP="00F306D7">
      <w:pPr>
        <w:pStyle w:val="Ttulo6"/>
        <w:numPr>
          <w:ilvl w:val="0"/>
          <w:numId w:val="23"/>
        </w:numPr>
        <w:jc w:val="both"/>
        <w:rPr>
          <w:i/>
          <w:lang w:val="pt-BR"/>
        </w:rPr>
      </w:pPr>
      <w:r w:rsidRPr="00D5464D">
        <w:rPr>
          <w:i/>
          <w:lang w:val="pt-BR"/>
        </w:rPr>
        <w:t xml:space="preserve">Atividade </w:t>
      </w:r>
      <w:r w:rsidR="002C330E" w:rsidRPr="00D5464D">
        <w:rPr>
          <w:i/>
          <w:lang w:val="pt-BR"/>
        </w:rPr>
        <w:t xml:space="preserve">processual </w:t>
      </w:r>
      <w:r w:rsidRPr="00D5464D">
        <w:rPr>
          <w:i/>
          <w:lang w:val="pt-BR"/>
        </w:rPr>
        <w:t xml:space="preserve">do </w:t>
      </w:r>
      <w:r w:rsidR="002C330E" w:rsidRPr="00D5464D">
        <w:rPr>
          <w:i/>
          <w:lang w:val="pt-BR"/>
        </w:rPr>
        <w:t>interessad</w:t>
      </w:r>
      <w:r w:rsidR="00D81AA1" w:rsidRPr="00D5464D">
        <w:rPr>
          <w:i/>
          <w:lang w:val="pt-BR"/>
        </w:rPr>
        <w:t>o</w:t>
      </w:r>
    </w:p>
    <w:p w14:paraId="3A00962F" w14:textId="77777777" w:rsidR="00D81AA1" w:rsidRPr="00D5464D" w:rsidRDefault="00D81AA1" w:rsidP="00D81AA1">
      <w:pPr>
        <w:jc w:val="both"/>
        <w:rPr>
          <w:szCs w:val="20"/>
          <w:lang w:val="pt-BR"/>
        </w:rPr>
      </w:pPr>
    </w:p>
    <w:p w14:paraId="438E4C83" w14:textId="792597A4" w:rsidR="00D81AA1" w:rsidRPr="00D5464D" w:rsidRDefault="00470ADC" w:rsidP="00D81AA1">
      <w:pPr>
        <w:numPr>
          <w:ilvl w:val="0"/>
          <w:numId w:val="1"/>
        </w:numPr>
        <w:tabs>
          <w:tab w:val="clear" w:pos="4419"/>
          <w:tab w:val="clear" w:pos="8838"/>
        </w:tabs>
        <w:contextualSpacing/>
        <w:jc w:val="both"/>
        <w:rPr>
          <w:szCs w:val="20"/>
          <w:lang w:val="pt-BR"/>
        </w:rPr>
      </w:pPr>
      <w:r w:rsidRPr="00D5464D">
        <w:rPr>
          <w:szCs w:val="20"/>
          <w:lang w:val="pt-BR"/>
        </w:rPr>
        <w:t xml:space="preserve">No </w:t>
      </w:r>
      <w:r w:rsidR="00D81AA1" w:rsidRPr="00D5464D">
        <w:rPr>
          <w:szCs w:val="20"/>
          <w:lang w:val="pt-BR"/>
        </w:rPr>
        <w:t>presente caso</w:t>
      </w:r>
      <w:r w:rsidR="003C4933" w:rsidRPr="00D5464D">
        <w:rPr>
          <w:szCs w:val="20"/>
          <w:lang w:val="pt-BR"/>
        </w:rPr>
        <w:t>,</w:t>
      </w:r>
      <w:r w:rsidR="002C330E" w:rsidRPr="00D5464D">
        <w:rPr>
          <w:szCs w:val="20"/>
          <w:lang w:val="pt-BR"/>
        </w:rPr>
        <w:t xml:space="preserve"> a </w:t>
      </w:r>
      <w:r w:rsidR="00D81AA1" w:rsidRPr="00D5464D">
        <w:rPr>
          <w:szCs w:val="20"/>
          <w:lang w:val="pt-BR"/>
        </w:rPr>
        <w:t>Corte n</w:t>
      </w:r>
      <w:r w:rsidR="00F71991" w:rsidRPr="00D5464D">
        <w:rPr>
          <w:szCs w:val="20"/>
          <w:lang w:val="pt-BR"/>
        </w:rPr>
        <w:t>ã</w:t>
      </w:r>
      <w:r w:rsidR="00D81AA1" w:rsidRPr="00D5464D">
        <w:rPr>
          <w:szCs w:val="20"/>
          <w:lang w:val="pt-BR"/>
        </w:rPr>
        <w:t xml:space="preserve">o </w:t>
      </w:r>
      <w:r w:rsidRPr="00D5464D">
        <w:rPr>
          <w:szCs w:val="20"/>
          <w:lang w:val="pt-BR"/>
        </w:rPr>
        <w:t xml:space="preserve">encontra </w:t>
      </w:r>
      <w:r w:rsidR="00D81AA1" w:rsidRPr="00D5464D">
        <w:rPr>
          <w:szCs w:val="20"/>
          <w:lang w:val="pt-BR"/>
        </w:rPr>
        <w:t xml:space="preserve">elementos que </w:t>
      </w:r>
      <w:r w:rsidR="002C330E" w:rsidRPr="00D5464D">
        <w:rPr>
          <w:szCs w:val="20"/>
          <w:lang w:val="pt-BR"/>
        </w:rPr>
        <w:t>permitam</w:t>
      </w:r>
      <w:r w:rsidR="00D81AA1" w:rsidRPr="00D5464D">
        <w:rPr>
          <w:szCs w:val="20"/>
          <w:lang w:val="pt-BR"/>
        </w:rPr>
        <w:t xml:space="preserve"> inferir </w:t>
      </w:r>
      <w:r w:rsidR="00F71991" w:rsidRPr="00D5464D">
        <w:rPr>
          <w:szCs w:val="20"/>
          <w:lang w:val="pt-BR"/>
        </w:rPr>
        <w:t xml:space="preserve">a existência de </w:t>
      </w:r>
      <w:r w:rsidR="00230C71" w:rsidRPr="00D5464D">
        <w:rPr>
          <w:szCs w:val="20"/>
          <w:lang w:val="pt-BR"/>
        </w:rPr>
        <w:t>algum</w:t>
      </w:r>
      <w:r w:rsidR="00D81AA1" w:rsidRPr="00D5464D">
        <w:rPr>
          <w:szCs w:val="20"/>
          <w:lang w:val="pt-BR"/>
        </w:rPr>
        <w:t xml:space="preserve"> tipo de </w:t>
      </w:r>
      <w:r w:rsidRPr="00D5464D">
        <w:rPr>
          <w:szCs w:val="20"/>
          <w:lang w:val="pt-BR"/>
        </w:rPr>
        <w:t>ativida</w:t>
      </w:r>
      <w:r w:rsidR="00E045D9" w:rsidRPr="00D5464D">
        <w:rPr>
          <w:szCs w:val="20"/>
          <w:lang w:val="pt-BR"/>
        </w:rPr>
        <w:t>d</w:t>
      </w:r>
      <w:r w:rsidR="00F71991" w:rsidRPr="00D5464D">
        <w:rPr>
          <w:szCs w:val="20"/>
          <w:lang w:val="pt-BR"/>
        </w:rPr>
        <w:t xml:space="preserve">e </w:t>
      </w:r>
      <w:r w:rsidR="00E045D9" w:rsidRPr="00D5464D">
        <w:rPr>
          <w:szCs w:val="20"/>
          <w:lang w:val="pt-BR"/>
        </w:rPr>
        <w:t>o</w:t>
      </w:r>
      <w:r w:rsidR="00F71991" w:rsidRPr="00D5464D">
        <w:rPr>
          <w:szCs w:val="20"/>
          <w:lang w:val="pt-BR"/>
        </w:rPr>
        <w:t>u</w:t>
      </w:r>
      <w:r w:rsidR="00E045D9" w:rsidRPr="00D5464D">
        <w:rPr>
          <w:szCs w:val="20"/>
          <w:lang w:val="pt-BR"/>
        </w:rPr>
        <w:t xml:space="preserve"> </w:t>
      </w:r>
      <w:r w:rsidRPr="00D5464D">
        <w:rPr>
          <w:szCs w:val="20"/>
          <w:lang w:val="pt-BR"/>
        </w:rPr>
        <w:t>conduta</w:t>
      </w:r>
      <w:r w:rsidR="00D81AA1" w:rsidRPr="00D5464D">
        <w:rPr>
          <w:szCs w:val="20"/>
          <w:lang w:val="pt-BR"/>
        </w:rPr>
        <w:t xml:space="preserve"> por parte</w:t>
      </w:r>
      <w:r w:rsidRPr="00D5464D">
        <w:rPr>
          <w:szCs w:val="20"/>
          <w:lang w:val="pt-BR"/>
        </w:rPr>
        <w:t xml:space="preserve"> dos </w:t>
      </w:r>
      <w:r w:rsidR="002C330E" w:rsidRPr="00D5464D">
        <w:rPr>
          <w:szCs w:val="20"/>
          <w:lang w:val="pt-BR"/>
        </w:rPr>
        <w:t>interessad</w:t>
      </w:r>
      <w:r w:rsidR="00D81AA1" w:rsidRPr="00D5464D">
        <w:rPr>
          <w:szCs w:val="20"/>
          <w:lang w:val="pt-BR"/>
        </w:rPr>
        <w:t xml:space="preserve">os que </w:t>
      </w:r>
      <w:r w:rsidR="00F71991" w:rsidRPr="00D5464D">
        <w:rPr>
          <w:szCs w:val="20"/>
          <w:lang w:val="pt-BR"/>
        </w:rPr>
        <w:t xml:space="preserve">debilitassem </w:t>
      </w:r>
      <w:r w:rsidRPr="00D5464D">
        <w:rPr>
          <w:szCs w:val="20"/>
          <w:lang w:val="pt-BR"/>
        </w:rPr>
        <w:t xml:space="preserve">o </w:t>
      </w:r>
      <w:r w:rsidR="002C330E" w:rsidRPr="00D5464D">
        <w:rPr>
          <w:szCs w:val="20"/>
          <w:lang w:val="pt-BR"/>
        </w:rPr>
        <w:t>processo</w:t>
      </w:r>
      <w:r w:rsidR="00D81AA1" w:rsidRPr="00D5464D">
        <w:rPr>
          <w:szCs w:val="20"/>
          <w:lang w:val="pt-BR"/>
        </w:rPr>
        <w:t>.</w:t>
      </w:r>
      <w:r w:rsidR="002C330E" w:rsidRPr="00D5464D">
        <w:rPr>
          <w:szCs w:val="20"/>
          <w:lang w:val="pt-BR"/>
        </w:rPr>
        <w:t xml:space="preserve"> </w:t>
      </w:r>
      <w:r w:rsidR="00F71991" w:rsidRPr="00D5464D">
        <w:rPr>
          <w:szCs w:val="20"/>
          <w:lang w:val="pt-BR"/>
        </w:rPr>
        <w:t xml:space="preserve">Ao </w:t>
      </w:r>
      <w:r w:rsidR="00737270" w:rsidRPr="00D5464D">
        <w:rPr>
          <w:szCs w:val="20"/>
          <w:lang w:val="pt-BR"/>
        </w:rPr>
        <w:t>contrário,</w:t>
      </w:r>
      <w:r w:rsidR="002C330E" w:rsidRPr="00D5464D">
        <w:rPr>
          <w:szCs w:val="20"/>
          <w:lang w:val="pt-BR"/>
        </w:rPr>
        <w:t xml:space="preserve"> a </w:t>
      </w:r>
      <w:r w:rsidR="00D81AA1" w:rsidRPr="00D5464D">
        <w:rPr>
          <w:szCs w:val="20"/>
          <w:lang w:val="pt-BR"/>
        </w:rPr>
        <w:t>Corte nota que</w:t>
      </w:r>
      <w:r w:rsidR="002C330E" w:rsidRPr="00D5464D">
        <w:rPr>
          <w:szCs w:val="20"/>
          <w:lang w:val="pt-BR"/>
        </w:rPr>
        <w:t xml:space="preserve"> os </w:t>
      </w:r>
      <w:r w:rsidR="00E045D9" w:rsidRPr="00D5464D">
        <w:rPr>
          <w:szCs w:val="20"/>
          <w:lang w:val="pt-BR"/>
        </w:rPr>
        <w:t>trabalhadores</w:t>
      </w:r>
      <w:r w:rsidR="00D81AA1" w:rsidRPr="00D5464D">
        <w:rPr>
          <w:szCs w:val="20"/>
          <w:lang w:val="pt-BR"/>
        </w:rPr>
        <w:t xml:space="preserve"> encontrados</w:t>
      </w:r>
      <w:r w:rsidR="00E045D9" w:rsidRPr="00D5464D">
        <w:rPr>
          <w:szCs w:val="20"/>
          <w:lang w:val="pt-BR"/>
        </w:rPr>
        <w:t xml:space="preserve"> na </w:t>
      </w:r>
      <w:r w:rsidRPr="00D5464D">
        <w:rPr>
          <w:szCs w:val="20"/>
          <w:lang w:val="pt-BR"/>
        </w:rPr>
        <w:t>diligência</w:t>
      </w:r>
      <w:r w:rsidR="00D81AA1" w:rsidRPr="00D5464D">
        <w:rPr>
          <w:szCs w:val="20"/>
          <w:lang w:val="pt-BR"/>
        </w:rPr>
        <w:t xml:space="preserve"> de 1997, </w:t>
      </w:r>
      <w:r w:rsidR="00F71991" w:rsidRPr="00D5464D">
        <w:rPr>
          <w:szCs w:val="20"/>
          <w:lang w:val="pt-BR"/>
        </w:rPr>
        <w:t xml:space="preserve">a qual </w:t>
      </w:r>
      <w:r w:rsidRPr="00D5464D">
        <w:rPr>
          <w:szCs w:val="20"/>
          <w:lang w:val="pt-BR"/>
        </w:rPr>
        <w:t xml:space="preserve">deu </w:t>
      </w:r>
      <w:r w:rsidR="002C330E" w:rsidRPr="00D5464D">
        <w:rPr>
          <w:szCs w:val="20"/>
          <w:lang w:val="pt-BR"/>
        </w:rPr>
        <w:t>origem</w:t>
      </w:r>
      <w:r w:rsidRPr="00D5464D">
        <w:rPr>
          <w:szCs w:val="20"/>
          <w:lang w:val="pt-BR"/>
        </w:rPr>
        <w:t xml:space="preserve"> à denúncia </w:t>
      </w:r>
      <w:r w:rsidR="00D81AA1" w:rsidRPr="00D5464D">
        <w:rPr>
          <w:szCs w:val="20"/>
          <w:lang w:val="pt-BR"/>
        </w:rPr>
        <w:t>penal</w:t>
      </w:r>
      <w:r w:rsidRPr="00D5464D">
        <w:rPr>
          <w:szCs w:val="20"/>
          <w:lang w:val="pt-BR"/>
        </w:rPr>
        <w:t xml:space="preserve"> em </w:t>
      </w:r>
      <w:r w:rsidR="002C330E" w:rsidRPr="00D5464D">
        <w:rPr>
          <w:szCs w:val="20"/>
          <w:lang w:val="pt-BR"/>
        </w:rPr>
        <w:t>junho</w:t>
      </w:r>
      <w:r w:rsidR="00B538FD" w:rsidRPr="00D5464D">
        <w:rPr>
          <w:szCs w:val="20"/>
          <w:lang w:val="pt-BR"/>
        </w:rPr>
        <w:t xml:space="preserve"> de 1997</w:t>
      </w:r>
      <w:r w:rsidR="00D81AA1" w:rsidRPr="00D5464D">
        <w:rPr>
          <w:rFonts w:cs="Arial"/>
          <w:szCs w:val="20"/>
          <w:lang w:val="pt-BR"/>
        </w:rPr>
        <w:t>, n</w:t>
      </w:r>
      <w:r w:rsidR="00F71991" w:rsidRPr="00D5464D">
        <w:rPr>
          <w:rFonts w:cs="Arial"/>
          <w:szCs w:val="20"/>
          <w:lang w:val="pt-BR"/>
        </w:rPr>
        <w:t>ã</w:t>
      </w:r>
      <w:r w:rsidR="00D81AA1" w:rsidRPr="00D5464D">
        <w:rPr>
          <w:rFonts w:cs="Arial"/>
          <w:szCs w:val="20"/>
          <w:lang w:val="pt-BR"/>
        </w:rPr>
        <w:t xml:space="preserve">o </w:t>
      </w:r>
      <w:r w:rsidR="002C330E" w:rsidRPr="00D5464D">
        <w:rPr>
          <w:rFonts w:cs="Arial"/>
          <w:szCs w:val="20"/>
          <w:lang w:val="pt-BR"/>
        </w:rPr>
        <w:t>puderam</w:t>
      </w:r>
      <w:r w:rsidR="00D81AA1" w:rsidRPr="00D5464D">
        <w:rPr>
          <w:rFonts w:cs="Arial"/>
          <w:szCs w:val="20"/>
          <w:lang w:val="pt-BR"/>
        </w:rPr>
        <w:t xml:space="preserve"> participar</w:t>
      </w:r>
      <w:r w:rsidR="00E045D9" w:rsidRPr="00D5464D">
        <w:rPr>
          <w:rFonts w:cs="Arial"/>
          <w:szCs w:val="20"/>
          <w:lang w:val="pt-BR"/>
        </w:rPr>
        <w:t xml:space="preserve"> nos </w:t>
      </w:r>
      <w:r w:rsidR="002C330E" w:rsidRPr="00D5464D">
        <w:rPr>
          <w:rFonts w:cs="Arial"/>
          <w:szCs w:val="20"/>
          <w:lang w:val="pt-BR"/>
        </w:rPr>
        <w:t>processo</w:t>
      </w:r>
      <w:r w:rsidR="00D81AA1" w:rsidRPr="00D5464D">
        <w:rPr>
          <w:rFonts w:cs="Arial"/>
          <w:szCs w:val="20"/>
          <w:lang w:val="pt-BR"/>
        </w:rPr>
        <w:t>s</w:t>
      </w:r>
      <w:r w:rsidR="002C330E" w:rsidRPr="00D5464D">
        <w:rPr>
          <w:rFonts w:cs="Arial"/>
          <w:szCs w:val="20"/>
          <w:lang w:val="pt-BR"/>
        </w:rPr>
        <w:t xml:space="preserve"> lev</w:t>
      </w:r>
      <w:r w:rsidR="00D81AA1" w:rsidRPr="00D5464D">
        <w:rPr>
          <w:rFonts w:cs="Arial"/>
          <w:szCs w:val="20"/>
          <w:lang w:val="pt-BR"/>
        </w:rPr>
        <w:t>ados a cabo</w:t>
      </w:r>
      <w:r w:rsidR="002C330E" w:rsidRPr="00D5464D">
        <w:rPr>
          <w:rFonts w:cs="Arial"/>
          <w:szCs w:val="20"/>
          <w:lang w:val="pt-BR"/>
        </w:rPr>
        <w:t xml:space="preserve"> pelos fatos</w:t>
      </w:r>
      <w:r w:rsidR="00D81AA1" w:rsidRPr="00D5464D">
        <w:rPr>
          <w:rFonts w:cs="Arial"/>
          <w:szCs w:val="20"/>
          <w:lang w:val="pt-BR"/>
        </w:rPr>
        <w:t xml:space="preserve"> </w:t>
      </w:r>
      <w:r w:rsidR="00F71991" w:rsidRPr="00D5464D">
        <w:rPr>
          <w:rFonts w:cs="Arial"/>
          <w:szCs w:val="20"/>
          <w:lang w:val="pt-BR"/>
        </w:rPr>
        <w:t>verificados</w:t>
      </w:r>
      <w:r w:rsidR="00E045D9" w:rsidRPr="00D5464D">
        <w:rPr>
          <w:rFonts w:cs="Arial"/>
          <w:szCs w:val="20"/>
          <w:lang w:val="pt-BR"/>
        </w:rPr>
        <w:t xml:space="preserve"> na </w:t>
      </w:r>
      <w:r w:rsidR="00D809F0" w:rsidRPr="00D5464D">
        <w:rPr>
          <w:rFonts w:cs="Arial"/>
          <w:szCs w:val="20"/>
          <w:lang w:val="pt-BR"/>
        </w:rPr>
        <w:t>Fazenda</w:t>
      </w:r>
      <w:r w:rsidR="00D81AA1" w:rsidRPr="00D5464D">
        <w:rPr>
          <w:rFonts w:cs="Arial"/>
          <w:szCs w:val="20"/>
          <w:lang w:val="pt-BR"/>
        </w:rPr>
        <w:t xml:space="preserve"> Brasil Verde.</w:t>
      </w:r>
    </w:p>
    <w:p w14:paraId="451A0ED0" w14:textId="77777777" w:rsidR="00D81AA1" w:rsidRPr="00D5464D" w:rsidRDefault="00D81AA1" w:rsidP="00D81AA1">
      <w:pPr>
        <w:contextualSpacing/>
        <w:jc w:val="both"/>
        <w:rPr>
          <w:szCs w:val="20"/>
          <w:lang w:val="pt-BR"/>
        </w:rPr>
      </w:pPr>
    </w:p>
    <w:p w14:paraId="13B71782" w14:textId="32375F1F" w:rsidR="00D81AA1" w:rsidRPr="00D5464D" w:rsidRDefault="00737270" w:rsidP="00D81AA1">
      <w:pPr>
        <w:numPr>
          <w:ilvl w:val="0"/>
          <w:numId w:val="1"/>
        </w:numPr>
        <w:tabs>
          <w:tab w:val="clear" w:pos="4419"/>
          <w:tab w:val="clear" w:pos="8838"/>
        </w:tabs>
        <w:contextualSpacing/>
        <w:jc w:val="both"/>
        <w:rPr>
          <w:szCs w:val="20"/>
          <w:lang w:val="pt-BR"/>
        </w:rPr>
      </w:pPr>
      <w:r w:rsidRPr="00D5464D">
        <w:rPr>
          <w:szCs w:val="20"/>
          <w:lang w:val="pt-BR"/>
        </w:rPr>
        <w:t>A este respeito</w:t>
      </w:r>
      <w:r w:rsidR="00D81AA1" w:rsidRPr="00D5464D">
        <w:rPr>
          <w:szCs w:val="20"/>
          <w:lang w:val="pt-BR"/>
        </w:rPr>
        <w:t>,</w:t>
      </w:r>
      <w:r w:rsidR="002C330E" w:rsidRPr="00D5464D">
        <w:rPr>
          <w:szCs w:val="20"/>
          <w:lang w:val="pt-BR"/>
        </w:rPr>
        <w:t xml:space="preserve"> a </w:t>
      </w:r>
      <w:r w:rsidR="00D81AA1" w:rsidRPr="00D5464D">
        <w:rPr>
          <w:szCs w:val="20"/>
          <w:lang w:val="pt-BR"/>
        </w:rPr>
        <w:t xml:space="preserve">Corte </w:t>
      </w:r>
      <w:r w:rsidR="00E045D9" w:rsidRPr="00D5464D">
        <w:rPr>
          <w:szCs w:val="20"/>
          <w:lang w:val="pt-BR"/>
        </w:rPr>
        <w:t>recorda</w:t>
      </w:r>
      <w:r w:rsidR="00D81AA1" w:rsidRPr="00D5464D">
        <w:rPr>
          <w:szCs w:val="20"/>
          <w:lang w:val="pt-BR"/>
        </w:rPr>
        <w:t xml:space="preserve"> que</w:t>
      </w:r>
      <w:r w:rsidR="003C4933" w:rsidRPr="00D5464D">
        <w:rPr>
          <w:szCs w:val="20"/>
          <w:lang w:val="pt-BR"/>
        </w:rPr>
        <w:t>,</w:t>
      </w:r>
      <w:r w:rsidR="00A1358C" w:rsidRPr="00D5464D">
        <w:rPr>
          <w:szCs w:val="20"/>
          <w:lang w:val="pt-BR"/>
        </w:rPr>
        <w:t xml:space="preserve"> no </w:t>
      </w:r>
      <w:r w:rsidR="009E04D5" w:rsidRPr="00D5464D">
        <w:rPr>
          <w:szCs w:val="20"/>
          <w:lang w:val="pt-BR"/>
        </w:rPr>
        <w:t>que diz respeito</w:t>
      </w:r>
      <w:r w:rsidR="00F71991" w:rsidRPr="00D5464D">
        <w:rPr>
          <w:szCs w:val="20"/>
          <w:lang w:val="pt-BR"/>
        </w:rPr>
        <w:t xml:space="preserve"> </w:t>
      </w:r>
      <w:r w:rsidR="00470ADC" w:rsidRPr="00D5464D">
        <w:rPr>
          <w:szCs w:val="20"/>
          <w:lang w:val="pt-BR"/>
        </w:rPr>
        <w:t>ao exercício</w:t>
      </w:r>
      <w:r w:rsidR="00D81AA1" w:rsidRPr="00D5464D">
        <w:rPr>
          <w:szCs w:val="20"/>
          <w:lang w:val="pt-BR"/>
        </w:rPr>
        <w:t xml:space="preserve"> </w:t>
      </w:r>
      <w:r w:rsidR="00470ADC" w:rsidRPr="00D5464D">
        <w:rPr>
          <w:szCs w:val="20"/>
          <w:lang w:val="pt-BR"/>
        </w:rPr>
        <w:t>do direito</w:t>
      </w:r>
      <w:r w:rsidR="00E045D9" w:rsidRPr="00D5464D">
        <w:rPr>
          <w:szCs w:val="20"/>
          <w:lang w:val="pt-BR"/>
        </w:rPr>
        <w:t xml:space="preserve"> às </w:t>
      </w:r>
      <w:r w:rsidR="002C330E" w:rsidRPr="00D5464D">
        <w:rPr>
          <w:szCs w:val="20"/>
          <w:lang w:val="pt-BR"/>
        </w:rPr>
        <w:t>garantias</w:t>
      </w:r>
      <w:r w:rsidR="00D81AA1" w:rsidRPr="00D5464D">
        <w:rPr>
          <w:szCs w:val="20"/>
          <w:lang w:val="pt-BR"/>
        </w:rPr>
        <w:t xml:space="preserve"> </w:t>
      </w:r>
      <w:r w:rsidR="002C330E" w:rsidRPr="00D5464D">
        <w:rPr>
          <w:szCs w:val="20"/>
          <w:lang w:val="pt-BR"/>
        </w:rPr>
        <w:t>judiciais</w:t>
      </w:r>
      <w:r w:rsidR="00F71991" w:rsidRPr="00D5464D">
        <w:rPr>
          <w:szCs w:val="20"/>
          <w:lang w:val="pt-BR"/>
        </w:rPr>
        <w:t xml:space="preserve">, estabelecido </w:t>
      </w:r>
      <w:r w:rsidR="00E045D9" w:rsidRPr="00D5464D">
        <w:rPr>
          <w:szCs w:val="20"/>
          <w:lang w:val="pt-BR"/>
        </w:rPr>
        <w:t xml:space="preserve">no </w:t>
      </w:r>
      <w:r w:rsidR="00470ADC" w:rsidRPr="00D5464D">
        <w:rPr>
          <w:szCs w:val="20"/>
          <w:lang w:val="pt-BR"/>
        </w:rPr>
        <w:t>artigo</w:t>
      </w:r>
      <w:r w:rsidR="00D81AA1" w:rsidRPr="00D5464D">
        <w:rPr>
          <w:szCs w:val="20"/>
          <w:lang w:val="pt-BR"/>
        </w:rPr>
        <w:t xml:space="preserve"> 8</w:t>
      </w:r>
      <w:r w:rsidR="00470ADC" w:rsidRPr="00D5464D">
        <w:rPr>
          <w:szCs w:val="20"/>
          <w:lang w:val="pt-BR"/>
        </w:rPr>
        <w:t xml:space="preserve"> da </w:t>
      </w:r>
      <w:r w:rsidR="00D81AA1" w:rsidRPr="00D5464D">
        <w:rPr>
          <w:szCs w:val="20"/>
          <w:lang w:val="pt-BR"/>
        </w:rPr>
        <w:t>Conven</w:t>
      </w:r>
      <w:r w:rsidR="00470ADC" w:rsidRPr="00D5464D">
        <w:rPr>
          <w:szCs w:val="20"/>
          <w:lang w:val="pt-BR"/>
        </w:rPr>
        <w:t>ção</w:t>
      </w:r>
      <w:r w:rsidR="00D81AA1" w:rsidRPr="00D5464D">
        <w:rPr>
          <w:szCs w:val="20"/>
          <w:lang w:val="pt-BR"/>
        </w:rPr>
        <w:t xml:space="preserve"> Americana,</w:t>
      </w:r>
      <w:r w:rsidR="002C330E" w:rsidRPr="00D5464D">
        <w:rPr>
          <w:szCs w:val="20"/>
          <w:lang w:val="pt-BR"/>
        </w:rPr>
        <w:t xml:space="preserve"> a </w:t>
      </w:r>
      <w:r w:rsidR="00D81AA1" w:rsidRPr="00D5464D">
        <w:rPr>
          <w:szCs w:val="20"/>
          <w:lang w:val="pt-BR"/>
        </w:rPr>
        <w:t xml:space="preserve">Corte </w:t>
      </w:r>
      <w:r w:rsidR="002C330E" w:rsidRPr="00D5464D">
        <w:rPr>
          <w:szCs w:val="20"/>
          <w:lang w:val="pt-BR"/>
        </w:rPr>
        <w:t>estabeleceu</w:t>
      </w:r>
      <w:r w:rsidR="00D81AA1" w:rsidRPr="00D5464D">
        <w:rPr>
          <w:szCs w:val="20"/>
          <w:lang w:val="pt-BR"/>
        </w:rPr>
        <w:t xml:space="preserve">, </w:t>
      </w:r>
      <w:r w:rsidR="00D81AA1" w:rsidRPr="00D5464D">
        <w:rPr>
          <w:i/>
          <w:szCs w:val="20"/>
          <w:lang w:val="pt-BR"/>
        </w:rPr>
        <w:t>inter alia</w:t>
      </w:r>
      <w:r w:rsidR="00D81AA1" w:rsidRPr="00D5464D">
        <w:rPr>
          <w:szCs w:val="20"/>
          <w:lang w:val="pt-BR"/>
        </w:rPr>
        <w:t xml:space="preserve">, que </w:t>
      </w:r>
      <w:r w:rsidRPr="00D5464D">
        <w:rPr>
          <w:szCs w:val="20"/>
          <w:lang w:val="pt-BR"/>
        </w:rPr>
        <w:t xml:space="preserve">“é </w:t>
      </w:r>
      <w:r w:rsidR="00D81AA1" w:rsidRPr="00D5464D">
        <w:rPr>
          <w:szCs w:val="20"/>
          <w:lang w:val="pt-BR"/>
        </w:rPr>
        <w:t>preciso que se</w:t>
      </w:r>
      <w:r w:rsidR="008C3DCA" w:rsidRPr="00D5464D">
        <w:rPr>
          <w:szCs w:val="20"/>
          <w:lang w:val="pt-BR"/>
        </w:rPr>
        <w:t xml:space="preserve">jam observados </w:t>
      </w:r>
      <w:r w:rsidR="00D81AA1" w:rsidRPr="00D5464D">
        <w:rPr>
          <w:szCs w:val="20"/>
          <w:lang w:val="pt-BR"/>
        </w:rPr>
        <w:t>todos</w:t>
      </w:r>
      <w:r w:rsidR="002C330E" w:rsidRPr="00D5464D">
        <w:rPr>
          <w:szCs w:val="20"/>
          <w:lang w:val="pt-BR"/>
        </w:rPr>
        <w:t xml:space="preserve"> os </w:t>
      </w:r>
      <w:r w:rsidR="008C3DCA" w:rsidRPr="00D5464D">
        <w:rPr>
          <w:szCs w:val="20"/>
          <w:lang w:val="pt-BR"/>
        </w:rPr>
        <w:t>requisitos que sirvam</w:t>
      </w:r>
      <w:r w:rsidR="00D81AA1" w:rsidRPr="00D5464D">
        <w:rPr>
          <w:szCs w:val="20"/>
          <w:lang w:val="pt-BR"/>
        </w:rPr>
        <w:t xml:space="preserve"> para proteger, </w:t>
      </w:r>
      <w:r w:rsidR="00470ADC" w:rsidRPr="00D5464D">
        <w:rPr>
          <w:szCs w:val="20"/>
          <w:lang w:val="pt-BR"/>
        </w:rPr>
        <w:t>assegurar</w:t>
      </w:r>
      <w:r w:rsidR="00D81AA1" w:rsidRPr="00D5464D">
        <w:rPr>
          <w:szCs w:val="20"/>
          <w:lang w:val="pt-BR"/>
        </w:rPr>
        <w:t xml:space="preserve"> o</w:t>
      </w:r>
      <w:r w:rsidR="008C3DCA" w:rsidRPr="00D5464D">
        <w:rPr>
          <w:szCs w:val="20"/>
          <w:lang w:val="pt-BR"/>
        </w:rPr>
        <w:t>u</w:t>
      </w:r>
      <w:r w:rsidR="002C330E" w:rsidRPr="00D5464D">
        <w:rPr>
          <w:szCs w:val="20"/>
          <w:lang w:val="pt-BR"/>
        </w:rPr>
        <w:t xml:space="preserve"> fazer </w:t>
      </w:r>
      <w:r w:rsidR="00D81AA1" w:rsidRPr="00D5464D">
        <w:rPr>
          <w:szCs w:val="20"/>
          <w:lang w:val="pt-BR"/>
        </w:rPr>
        <w:t>valer</w:t>
      </w:r>
      <w:r w:rsidR="002C330E" w:rsidRPr="00D5464D">
        <w:rPr>
          <w:szCs w:val="20"/>
          <w:lang w:val="pt-BR"/>
        </w:rPr>
        <w:t xml:space="preserve"> a </w:t>
      </w:r>
      <w:r w:rsidR="00350187" w:rsidRPr="00D5464D">
        <w:rPr>
          <w:szCs w:val="20"/>
          <w:lang w:val="pt-BR"/>
        </w:rPr>
        <w:t xml:space="preserve">titularidade </w:t>
      </w:r>
      <w:r w:rsidR="00D81AA1" w:rsidRPr="00D5464D">
        <w:rPr>
          <w:szCs w:val="20"/>
          <w:lang w:val="pt-BR"/>
        </w:rPr>
        <w:t>o</w:t>
      </w:r>
      <w:r w:rsidR="008C3DCA" w:rsidRPr="00D5464D">
        <w:rPr>
          <w:szCs w:val="20"/>
          <w:lang w:val="pt-BR"/>
        </w:rPr>
        <w:t>u</w:t>
      </w:r>
      <w:r w:rsidR="00470ADC" w:rsidRPr="00D5464D">
        <w:rPr>
          <w:szCs w:val="20"/>
          <w:lang w:val="pt-BR"/>
        </w:rPr>
        <w:t xml:space="preserve"> o exercício</w:t>
      </w:r>
      <w:r w:rsidR="00D81AA1" w:rsidRPr="00D5464D">
        <w:rPr>
          <w:szCs w:val="20"/>
          <w:lang w:val="pt-BR"/>
        </w:rPr>
        <w:t xml:space="preserve"> de</w:t>
      </w:r>
      <w:r w:rsidR="00E045D9" w:rsidRPr="00D5464D">
        <w:rPr>
          <w:szCs w:val="20"/>
          <w:lang w:val="pt-BR"/>
        </w:rPr>
        <w:t xml:space="preserve"> um </w:t>
      </w:r>
      <w:r w:rsidR="00470ADC" w:rsidRPr="00D5464D">
        <w:rPr>
          <w:szCs w:val="20"/>
          <w:lang w:val="pt-BR"/>
        </w:rPr>
        <w:t>direito</w:t>
      </w:r>
      <w:r w:rsidR="00A1358C" w:rsidRPr="00D5464D">
        <w:rPr>
          <w:szCs w:val="20"/>
          <w:lang w:val="pt-BR"/>
        </w:rPr>
        <w:t>, isto é,</w:t>
      </w:r>
      <w:r w:rsidR="002C330E" w:rsidRPr="00D5464D">
        <w:rPr>
          <w:szCs w:val="20"/>
          <w:lang w:val="pt-BR"/>
        </w:rPr>
        <w:t xml:space="preserve"> as </w:t>
      </w:r>
      <w:r w:rsidR="00D81AA1" w:rsidRPr="00D5464D">
        <w:rPr>
          <w:szCs w:val="20"/>
          <w:lang w:val="pt-BR"/>
        </w:rPr>
        <w:t>condi</w:t>
      </w:r>
      <w:r w:rsidR="00470ADC" w:rsidRPr="00D5464D">
        <w:rPr>
          <w:szCs w:val="20"/>
          <w:lang w:val="pt-BR"/>
        </w:rPr>
        <w:t>ções</w:t>
      </w:r>
      <w:r w:rsidR="00D81AA1" w:rsidRPr="00D5464D">
        <w:rPr>
          <w:szCs w:val="20"/>
          <w:lang w:val="pt-BR"/>
        </w:rPr>
        <w:t xml:space="preserve"> que </w:t>
      </w:r>
      <w:r w:rsidR="00470ADC" w:rsidRPr="00D5464D">
        <w:rPr>
          <w:szCs w:val="20"/>
          <w:lang w:val="pt-BR"/>
        </w:rPr>
        <w:t>devem</w:t>
      </w:r>
      <w:r w:rsidR="00D81AA1" w:rsidRPr="00D5464D">
        <w:rPr>
          <w:szCs w:val="20"/>
          <w:lang w:val="pt-BR"/>
        </w:rPr>
        <w:t xml:space="preserve"> </w:t>
      </w:r>
      <w:r w:rsidR="008C3DCA" w:rsidRPr="00D5464D">
        <w:rPr>
          <w:szCs w:val="20"/>
          <w:lang w:val="pt-BR"/>
        </w:rPr>
        <w:t xml:space="preserve">ser cumpridas </w:t>
      </w:r>
      <w:r w:rsidR="00D81AA1" w:rsidRPr="00D5464D">
        <w:rPr>
          <w:szCs w:val="20"/>
          <w:lang w:val="pt-BR"/>
        </w:rPr>
        <w:t xml:space="preserve">para </w:t>
      </w:r>
      <w:r w:rsidR="00470ADC" w:rsidRPr="00D5464D">
        <w:rPr>
          <w:szCs w:val="20"/>
          <w:lang w:val="pt-BR"/>
        </w:rPr>
        <w:t>assegurar</w:t>
      </w:r>
      <w:r w:rsidR="002C330E" w:rsidRPr="00D5464D">
        <w:rPr>
          <w:szCs w:val="20"/>
          <w:lang w:val="pt-BR"/>
        </w:rPr>
        <w:t xml:space="preserve"> a </w:t>
      </w:r>
      <w:r w:rsidR="00470ADC" w:rsidRPr="00D5464D">
        <w:rPr>
          <w:szCs w:val="20"/>
          <w:lang w:val="pt-BR"/>
        </w:rPr>
        <w:t>adequad</w:t>
      </w:r>
      <w:r w:rsidR="00D81AA1" w:rsidRPr="00D5464D">
        <w:rPr>
          <w:szCs w:val="20"/>
          <w:lang w:val="pt-BR"/>
        </w:rPr>
        <w:t>a representa</w:t>
      </w:r>
      <w:r w:rsidR="00470ADC" w:rsidRPr="00D5464D">
        <w:rPr>
          <w:szCs w:val="20"/>
          <w:lang w:val="pt-BR"/>
        </w:rPr>
        <w:t>ção</w:t>
      </w:r>
      <w:r w:rsidR="00D81AA1" w:rsidRPr="00D5464D">
        <w:rPr>
          <w:szCs w:val="20"/>
          <w:lang w:val="pt-BR"/>
        </w:rPr>
        <w:t xml:space="preserve"> o</w:t>
      </w:r>
      <w:r w:rsidR="008C3DCA" w:rsidRPr="00D5464D">
        <w:rPr>
          <w:szCs w:val="20"/>
          <w:lang w:val="pt-BR"/>
        </w:rPr>
        <w:t>u</w:t>
      </w:r>
      <w:r w:rsidR="00D81AA1" w:rsidRPr="00D5464D">
        <w:rPr>
          <w:szCs w:val="20"/>
          <w:lang w:val="pt-BR"/>
        </w:rPr>
        <w:t xml:space="preserve"> </w:t>
      </w:r>
      <w:r w:rsidR="002C330E" w:rsidRPr="00D5464D">
        <w:rPr>
          <w:szCs w:val="20"/>
          <w:lang w:val="pt-BR"/>
        </w:rPr>
        <w:t>gestão</w:t>
      </w:r>
      <w:r w:rsidR="00470ADC" w:rsidRPr="00D5464D">
        <w:rPr>
          <w:szCs w:val="20"/>
          <w:lang w:val="pt-BR"/>
        </w:rPr>
        <w:t xml:space="preserve"> dos </w:t>
      </w:r>
      <w:r w:rsidR="002C330E" w:rsidRPr="00D5464D">
        <w:rPr>
          <w:szCs w:val="20"/>
          <w:lang w:val="pt-BR"/>
        </w:rPr>
        <w:t>interesses</w:t>
      </w:r>
      <w:r w:rsidR="00D81AA1" w:rsidRPr="00D5464D">
        <w:rPr>
          <w:szCs w:val="20"/>
          <w:lang w:val="pt-BR"/>
        </w:rPr>
        <w:t xml:space="preserve"> o</w:t>
      </w:r>
      <w:r w:rsidR="008C3DCA" w:rsidRPr="00D5464D">
        <w:rPr>
          <w:szCs w:val="20"/>
          <w:lang w:val="pt-BR"/>
        </w:rPr>
        <w:t>u</w:t>
      </w:r>
      <w:r w:rsidR="002C330E" w:rsidRPr="00D5464D">
        <w:rPr>
          <w:szCs w:val="20"/>
          <w:lang w:val="pt-BR"/>
        </w:rPr>
        <w:t xml:space="preserve"> </w:t>
      </w:r>
      <w:r w:rsidR="008C3DCA" w:rsidRPr="00D5464D">
        <w:rPr>
          <w:szCs w:val="20"/>
          <w:lang w:val="pt-BR"/>
        </w:rPr>
        <w:t>d</w:t>
      </w:r>
      <w:r w:rsidR="002C330E" w:rsidRPr="00D5464D">
        <w:rPr>
          <w:szCs w:val="20"/>
          <w:lang w:val="pt-BR"/>
        </w:rPr>
        <w:t>as pretensões</w:t>
      </w:r>
      <w:r w:rsidR="00D81AA1" w:rsidRPr="00D5464D">
        <w:rPr>
          <w:szCs w:val="20"/>
          <w:lang w:val="pt-BR"/>
        </w:rPr>
        <w:t xml:space="preserve"> </w:t>
      </w:r>
      <w:r w:rsidR="00350187" w:rsidRPr="00D5464D">
        <w:rPr>
          <w:szCs w:val="20"/>
          <w:lang w:val="pt-BR"/>
        </w:rPr>
        <w:t>daqueles</w:t>
      </w:r>
      <w:r w:rsidR="00D81AA1" w:rsidRPr="00D5464D">
        <w:rPr>
          <w:szCs w:val="20"/>
          <w:lang w:val="pt-BR"/>
        </w:rPr>
        <w:t xml:space="preserve"> </w:t>
      </w:r>
      <w:r w:rsidR="00470ADC" w:rsidRPr="00D5464D">
        <w:rPr>
          <w:szCs w:val="20"/>
          <w:lang w:val="pt-BR"/>
        </w:rPr>
        <w:t>cujo</w:t>
      </w:r>
      <w:r w:rsidR="00D81AA1" w:rsidRPr="00D5464D">
        <w:rPr>
          <w:szCs w:val="20"/>
          <w:lang w:val="pt-BR"/>
        </w:rPr>
        <w:t xml:space="preserve">s </w:t>
      </w:r>
      <w:r w:rsidR="00470ADC" w:rsidRPr="00D5464D">
        <w:rPr>
          <w:szCs w:val="20"/>
          <w:lang w:val="pt-BR"/>
        </w:rPr>
        <w:t>direito</w:t>
      </w:r>
      <w:r w:rsidR="00D81AA1" w:rsidRPr="00D5464D">
        <w:rPr>
          <w:szCs w:val="20"/>
          <w:lang w:val="pt-BR"/>
        </w:rPr>
        <w:t>s</w:t>
      </w:r>
      <w:r w:rsidR="00E045D9" w:rsidRPr="00D5464D">
        <w:rPr>
          <w:szCs w:val="20"/>
          <w:lang w:val="pt-BR"/>
        </w:rPr>
        <w:t xml:space="preserve"> ou </w:t>
      </w:r>
      <w:r w:rsidR="002C330E" w:rsidRPr="00D5464D">
        <w:rPr>
          <w:szCs w:val="20"/>
          <w:lang w:val="pt-BR"/>
        </w:rPr>
        <w:t>obrigações</w:t>
      </w:r>
      <w:r w:rsidR="00D81AA1" w:rsidRPr="00D5464D">
        <w:rPr>
          <w:szCs w:val="20"/>
          <w:lang w:val="pt-BR"/>
        </w:rPr>
        <w:t xml:space="preserve"> </w:t>
      </w:r>
      <w:r w:rsidR="00350187" w:rsidRPr="00D5464D">
        <w:rPr>
          <w:szCs w:val="20"/>
          <w:lang w:val="pt-BR"/>
        </w:rPr>
        <w:t>estejam</w:t>
      </w:r>
      <w:r w:rsidR="00470ADC" w:rsidRPr="00D5464D">
        <w:rPr>
          <w:szCs w:val="20"/>
          <w:lang w:val="pt-BR"/>
        </w:rPr>
        <w:t xml:space="preserve"> sob </w:t>
      </w:r>
      <w:r w:rsidR="00D81AA1" w:rsidRPr="00D5464D">
        <w:rPr>
          <w:szCs w:val="20"/>
          <w:lang w:val="pt-BR"/>
        </w:rPr>
        <w:t>considera</w:t>
      </w:r>
      <w:r w:rsidR="00470ADC" w:rsidRPr="00D5464D">
        <w:rPr>
          <w:szCs w:val="20"/>
          <w:lang w:val="pt-BR"/>
        </w:rPr>
        <w:t>ção</w:t>
      </w:r>
      <w:r w:rsidR="00D81AA1" w:rsidRPr="00D5464D">
        <w:rPr>
          <w:szCs w:val="20"/>
          <w:lang w:val="pt-BR"/>
        </w:rPr>
        <w:t xml:space="preserve"> judicial”</w:t>
      </w:r>
      <w:r w:rsidR="008C3DCA" w:rsidRPr="00D5464D">
        <w:rPr>
          <w:szCs w:val="20"/>
          <w:lang w:val="pt-BR"/>
        </w:rPr>
        <w:t>.</w:t>
      </w:r>
      <w:r w:rsidR="00D81AA1" w:rsidRPr="00D5464D">
        <w:rPr>
          <w:rStyle w:val="Refdenotaalpie"/>
          <w:lang w:val="pt-BR"/>
        </w:rPr>
        <w:footnoteReference w:id="489"/>
      </w:r>
      <w:r w:rsidR="00D81AA1" w:rsidRPr="00D5464D">
        <w:rPr>
          <w:szCs w:val="20"/>
          <w:lang w:val="pt-BR"/>
        </w:rPr>
        <w:t xml:space="preserve"> </w:t>
      </w:r>
    </w:p>
    <w:p w14:paraId="720D96D0" w14:textId="77777777" w:rsidR="00D81AA1" w:rsidRPr="00D5464D" w:rsidRDefault="00D81AA1" w:rsidP="00D81AA1">
      <w:pPr>
        <w:pStyle w:val="Prrafodelista"/>
        <w:rPr>
          <w:szCs w:val="20"/>
          <w:lang w:val="pt-BR"/>
        </w:rPr>
      </w:pPr>
    </w:p>
    <w:p w14:paraId="0E5F996F" w14:textId="4E804B40" w:rsidR="00D81AA1" w:rsidRPr="00D5464D" w:rsidRDefault="009E04D5" w:rsidP="00D81AA1">
      <w:pPr>
        <w:numPr>
          <w:ilvl w:val="0"/>
          <w:numId w:val="1"/>
        </w:numPr>
        <w:tabs>
          <w:tab w:val="clear" w:pos="4419"/>
          <w:tab w:val="clear" w:pos="8838"/>
        </w:tabs>
        <w:contextualSpacing/>
        <w:jc w:val="both"/>
        <w:rPr>
          <w:szCs w:val="20"/>
          <w:lang w:val="pt-BR"/>
        </w:rPr>
      </w:pPr>
      <w:r w:rsidRPr="00D5464D">
        <w:rPr>
          <w:rFonts w:cs="Verdana"/>
          <w:szCs w:val="20"/>
          <w:lang w:val="pt-BR"/>
        </w:rPr>
        <w:t>Além do mais</w:t>
      </w:r>
      <w:r w:rsidR="00D81AA1" w:rsidRPr="00D5464D">
        <w:rPr>
          <w:rFonts w:cs="Verdana"/>
          <w:szCs w:val="20"/>
          <w:lang w:val="pt-BR"/>
        </w:rPr>
        <w:t>,</w:t>
      </w:r>
      <w:r w:rsidR="00470ADC" w:rsidRPr="00D5464D">
        <w:rPr>
          <w:rFonts w:cs="Verdana"/>
          <w:szCs w:val="20"/>
          <w:lang w:val="pt-BR"/>
        </w:rPr>
        <w:t xml:space="preserve"> o </w:t>
      </w:r>
      <w:r w:rsidR="00D81AA1" w:rsidRPr="00D5464D">
        <w:rPr>
          <w:rFonts w:eastAsia="Calibri" w:cs="Verdana"/>
          <w:szCs w:val="20"/>
          <w:lang w:val="pt-BR"/>
        </w:rPr>
        <w:t xml:space="preserve">Tribunal </w:t>
      </w:r>
      <w:r w:rsidR="00E045D9" w:rsidRPr="00D5464D">
        <w:rPr>
          <w:rFonts w:eastAsia="Calibri" w:cs="Verdana"/>
          <w:szCs w:val="20"/>
          <w:lang w:val="pt-BR"/>
        </w:rPr>
        <w:t>recorda</w:t>
      </w:r>
      <w:r w:rsidR="00D81AA1" w:rsidRPr="00D5464D">
        <w:rPr>
          <w:rFonts w:eastAsia="Calibri" w:cs="Verdana"/>
          <w:szCs w:val="20"/>
          <w:lang w:val="pt-BR"/>
        </w:rPr>
        <w:t xml:space="preserve"> que, </w:t>
      </w:r>
      <w:r w:rsidR="00470ADC" w:rsidRPr="00D5464D">
        <w:rPr>
          <w:rFonts w:eastAsia="Calibri" w:cs="Verdana"/>
          <w:szCs w:val="20"/>
          <w:lang w:val="pt-BR"/>
        </w:rPr>
        <w:t>de acordo com o direito</w:t>
      </w:r>
      <w:r w:rsidR="00D81AA1" w:rsidRPr="00D5464D">
        <w:rPr>
          <w:rFonts w:eastAsia="Calibri" w:cs="Verdana"/>
          <w:szCs w:val="20"/>
          <w:lang w:val="pt-BR"/>
        </w:rPr>
        <w:t xml:space="preserve"> re</w:t>
      </w:r>
      <w:r w:rsidR="00470ADC" w:rsidRPr="00D5464D">
        <w:rPr>
          <w:rFonts w:eastAsia="Calibri" w:cs="Verdana"/>
          <w:szCs w:val="20"/>
          <w:lang w:val="pt-BR"/>
        </w:rPr>
        <w:t>conhecido</w:t>
      </w:r>
      <w:r w:rsidR="00E045D9" w:rsidRPr="00D5464D">
        <w:rPr>
          <w:rFonts w:eastAsia="Calibri" w:cs="Verdana"/>
          <w:szCs w:val="20"/>
          <w:lang w:val="pt-BR"/>
        </w:rPr>
        <w:t xml:space="preserve"> no </w:t>
      </w:r>
      <w:r w:rsidR="00470ADC" w:rsidRPr="00D5464D">
        <w:rPr>
          <w:rFonts w:eastAsia="Calibri" w:cs="Verdana"/>
          <w:szCs w:val="20"/>
          <w:lang w:val="pt-BR"/>
        </w:rPr>
        <w:t>artigo</w:t>
      </w:r>
      <w:r w:rsidR="00D81AA1" w:rsidRPr="00D5464D">
        <w:rPr>
          <w:rFonts w:eastAsia="Calibri" w:cs="Verdana"/>
          <w:szCs w:val="20"/>
          <w:lang w:val="pt-BR"/>
        </w:rPr>
        <w:t xml:space="preserve"> 8.1</w:t>
      </w:r>
      <w:r w:rsidR="00470ADC" w:rsidRPr="00D5464D">
        <w:rPr>
          <w:rFonts w:eastAsia="Calibri" w:cs="Verdana"/>
          <w:szCs w:val="20"/>
          <w:lang w:val="pt-BR"/>
        </w:rPr>
        <w:t xml:space="preserve"> da </w:t>
      </w:r>
      <w:r w:rsidR="00D81AA1" w:rsidRPr="00D5464D">
        <w:rPr>
          <w:rFonts w:eastAsia="Calibri" w:cs="Verdana"/>
          <w:szCs w:val="20"/>
          <w:lang w:val="pt-BR"/>
        </w:rPr>
        <w:t>Conven</w:t>
      </w:r>
      <w:r w:rsidR="00470ADC" w:rsidRPr="00D5464D">
        <w:rPr>
          <w:rFonts w:eastAsia="Calibri" w:cs="Verdana"/>
          <w:szCs w:val="20"/>
          <w:lang w:val="pt-BR"/>
        </w:rPr>
        <w:t>ção</w:t>
      </w:r>
      <w:r w:rsidR="00D81AA1" w:rsidRPr="00D5464D">
        <w:rPr>
          <w:rFonts w:eastAsia="Calibri" w:cs="Verdana"/>
          <w:szCs w:val="20"/>
          <w:lang w:val="pt-BR"/>
        </w:rPr>
        <w:t xml:space="preserve"> Americana,</w:t>
      </w:r>
      <w:r w:rsidR="00470ADC" w:rsidRPr="00D5464D">
        <w:rPr>
          <w:rFonts w:eastAsia="Calibri" w:cs="Verdana"/>
          <w:szCs w:val="20"/>
          <w:lang w:val="pt-BR"/>
        </w:rPr>
        <w:t xml:space="preserve"> </w:t>
      </w:r>
      <w:r w:rsidR="00A1358C" w:rsidRPr="00D5464D">
        <w:rPr>
          <w:rFonts w:eastAsia="Calibri" w:cs="Verdana"/>
          <w:szCs w:val="20"/>
          <w:lang w:val="pt-BR"/>
        </w:rPr>
        <w:t>em relação ao artigo</w:t>
      </w:r>
      <w:r w:rsidR="00D81AA1" w:rsidRPr="00D5464D">
        <w:rPr>
          <w:rFonts w:eastAsia="Calibri" w:cs="Verdana"/>
          <w:szCs w:val="20"/>
          <w:lang w:val="pt-BR"/>
        </w:rPr>
        <w:t xml:space="preserve"> 1.1</w:t>
      </w:r>
      <w:r w:rsidR="00470ADC" w:rsidRPr="00D5464D">
        <w:rPr>
          <w:rFonts w:eastAsia="Calibri" w:cs="Verdana"/>
          <w:szCs w:val="20"/>
          <w:lang w:val="pt-BR"/>
        </w:rPr>
        <w:t xml:space="preserve"> da </w:t>
      </w:r>
      <w:r w:rsidR="002C330E" w:rsidRPr="00D5464D">
        <w:rPr>
          <w:rFonts w:eastAsia="Calibri" w:cs="Verdana"/>
          <w:szCs w:val="20"/>
          <w:lang w:val="pt-BR"/>
        </w:rPr>
        <w:t>mesm</w:t>
      </w:r>
      <w:r w:rsidR="00D81AA1" w:rsidRPr="00D5464D">
        <w:rPr>
          <w:rFonts w:eastAsia="Calibri" w:cs="Verdana"/>
          <w:szCs w:val="20"/>
          <w:lang w:val="pt-BR"/>
        </w:rPr>
        <w:t>a,</w:t>
      </w:r>
      <w:r w:rsidR="002C330E" w:rsidRPr="00D5464D">
        <w:rPr>
          <w:rFonts w:eastAsia="Calibri" w:cs="Verdana"/>
          <w:szCs w:val="20"/>
          <w:lang w:val="pt-BR"/>
        </w:rPr>
        <w:t xml:space="preserve"> os </w:t>
      </w:r>
      <w:r w:rsidR="00D81AA1" w:rsidRPr="00D5464D">
        <w:rPr>
          <w:rFonts w:eastAsia="Calibri" w:cs="Verdana"/>
          <w:szCs w:val="20"/>
          <w:lang w:val="pt-BR"/>
        </w:rPr>
        <w:t xml:space="preserve">Estados </w:t>
      </w:r>
      <w:r w:rsidR="00230C71" w:rsidRPr="00D5464D">
        <w:rPr>
          <w:rFonts w:eastAsia="Calibri" w:cs="Verdana"/>
          <w:szCs w:val="20"/>
          <w:lang w:val="pt-BR"/>
        </w:rPr>
        <w:t>têm a</w:t>
      </w:r>
      <w:r w:rsidR="00470ADC" w:rsidRPr="00D5464D">
        <w:rPr>
          <w:rFonts w:eastAsia="Calibri" w:cs="Verdana"/>
          <w:szCs w:val="20"/>
          <w:lang w:val="pt-BR"/>
        </w:rPr>
        <w:t xml:space="preserve"> </w:t>
      </w:r>
      <w:r w:rsidR="002C330E" w:rsidRPr="00D5464D">
        <w:rPr>
          <w:rFonts w:eastAsia="Calibri" w:cs="Verdana"/>
          <w:szCs w:val="20"/>
          <w:lang w:val="pt-BR"/>
        </w:rPr>
        <w:t>obrigação</w:t>
      </w:r>
      <w:r w:rsidR="00D81AA1" w:rsidRPr="00D5464D">
        <w:rPr>
          <w:rFonts w:eastAsia="Calibri" w:cs="Verdana"/>
          <w:szCs w:val="20"/>
          <w:lang w:val="pt-BR"/>
        </w:rPr>
        <w:t xml:space="preserve"> de </w:t>
      </w:r>
      <w:r w:rsidR="002C330E" w:rsidRPr="00D5464D">
        <w:rPr>
          <w:rFonts w:eastAsia="Calibri" w:cs="Verdana"/>
          <w:szCs w:val="20"/>
          <w:lang w:val="pt-BR"/>
        </w:rPr>
        <w:t>garantir</w:t>
      </w:r>
      <w:r w:rsidR="00470ADC" w:rsidRPr="00D5464D">
        <w:rPr>
          <w:rFonts w:eastAsia="Calibri" w:cs="Verdana"/>
          <w:szCs w:val="20"/>
          <w:lang w:val="pt-BR"/>
        </w:rPr>
        <w:t xml:space="preserve"> o direito das </w:t>
      </w:r>
      <w:r w:rsidR="00E045D9" w:rsidRPr="00D5464D">
        <w:rPr>
          <w:rFonts w:eastAsia="Calibri" w:cs="Verdana"/>
          <w:szCs w:val="20"/>
          <w:lang w:val="pt-BR"/>
        </w:rPr>
        <w:t>vítima</w:t>
      </w:r>
      <w:r w:rsidR="00D81AA1" w:rsidRPr="00D5464D">
        <w:rPr>
          <w:rFonts w:eastAsia="Calibri" w:cs="Verdana"/>
          <w:szCs w:val="20"/>
          <w:lang w:val="pt-BR"/>
        </w:rPr>
        <w:t>s o</w:t>
      </w:r>
      <w:r w:rsidR="008C3DCA" w:rsidRPr="00D5464D">
        <w:rPr>
          <w:rFonts w:eastAsia="Calibri" w:cs="Verdana"/>
          <w:szCs w:val="20"/>
          <w:lang w:val="pt-BR"/>
        </w:rPr>
        <w:t>u de</w:t>
      </w:r>
      <w:r w:rsidR="00D81AA1" w:rsidRPr="00D5464D">
        <w:rPr>
          <w:rFonts w:eastAsia="Calibri" w:cs="Verdana"/>
          <w:szCs w:val="20"/>
          <w:lang w:val="pt-BR"/>
        </w:rPr>
        <w:t xml:space="preserve"> </w:t>
      </w:r>
      <w:r w:rsidR="00E045D9" w:rsidRPr="00D5464D">
        <w:rPr>
          <w:rFonts w:eastAsia="Calibri" w:cs="Verdana"/>
          <w:szCs w:val="20"/>
          <w:lang w:val="pt-BR"/>
        </w:rPr>
        <w:t>seus familiares</w:t>
      </w:r>
      <w:r w:rsidR="00D81AA1" w:rsidRPr="00D5464D">
        <w:rPr>
          <w:rFonts w:eastAsia="Calibri" w:cs="Verdana"/>
          <w:szCs w:val="20"/>
          <w:lang w:val="pt-BR"/>
        </w:rPr>
        <w:t xml:space="preserve"> </w:t>
      </w:r>
      <w:r w:rsidR="008C3DCA" w:rsidRPr="00D5464D">
        <w:rPr>
          <w:rFonts w:eastAsia="Calibri" w:cs="Verdana"/>
          <w:szCs w:val="20"/>
          <w:lang w:val="pt-BR"/>
        </w:rPr>
        <w:t xml:space="preserve">a </w:t>
      </w:r>
      <w:r w:rsidR="00D81AA1" w:rsidRPr="00D5464D">
        <w:rPr>
          <w:rFonts w:eastAsia="Calibri" w:cs="Verdana"/>
          <w:szCs w:val="20"/>
          <w:lang w:val="pt-BR"/>
        </w:rPr>
        <w:t>participar</w:t>
      </w:r>
      <w:r w:rsidR="008C3DCA" w:rsidRPr="00D5464D">
        <w:rPr>
          <w:rFonts w:eastAsia="Calibri" w:cs="Verdana"/>
          <w:szCs w:val="20"/>
          <w:lang w:val="pt-BR"/>
        </w:rPr>
        <w:t>em</w:t>
      </w:r>
      <w:r w:rsidR="00470ADC" w:rsidRPr="00D5464D">
        <w:rPr>
          <w:rFonts w:eastAsia="Calibri" w:cs="Verdana"/>
          <w:szCs w:val="20"/>
          <w:lang w:val="pt-BR"/>
        </w:rPr>
        <w:t xml:space="preserve"> em </w:t>
      </w:r>
      <w:r w:rsidR="00D81AA1" w:rsidRPr="00D5464D">
        <w:rPr>
          <w:rFonts w:eastAsia="Calibri" w:cs="Verdana"/>
          <w:szCs w:val="20"/>
          <w:lang w:val="pt-BR"/>
        </w:rPr>
        <w:t>todas</w:t>
      </w:r>
      <w:r w:rsidR="002C330E" w:rsidRPr="00D5464D">
        <w:rPr>
          <w:rFonts w:eastAsia="Calibri" w:cs="Verdana"/>
          <w:szCs w:val="20"/>
          <w:lang w:val="pt-BR"/>
        </w:rPr>
        <w:t xml:space="preserve"> as </w:t>
      </w:r>
      <w:r w:rsidR="00D81AA1" w:rsidRPr="00D5464D">
        <w:rPr>
          <w:rFonts w:eastAsia="Calibri" w:cs="Verdana"/>
          <w:szCs w:val="20"/>
          <w:lang w:val="pt-BR"/>
        </w:rPr>
        <w:t>etapas</w:t>
      </w:r>
      <w:r w:rsidR="00470ADC" w:rsidRPr="00D5464D">
        <w:rPr>
          <w:rFonts w:eastAsia="Calibri" w:cs="Verdana"/>
          <w:szCs w:val="20"/>
          <w:lang w:val="pt-BR"/>
        </w:rPr>
        <w:t xml:space="preserve"> dos </w:t>
      </w:r>
      <w:r w:rsidR="00D81AA1" w:rsidRPr="00D5464D">
        <w:rPr>
          <w:rFonts w:eastAsia="Calibri" w:cs="Verdana"/>
          <w:szCs w:val="20"/>
          <w:lang w:val="pt-BR"/>
        </w:rPr>
        <w:t xml:space="preserve">respectivos </w:t>
      </w:r>
      <w:r w:rsidR="002C330E" w:rsidRPr="00D5464D">
        <w:rPr>
          <w:rFonts w:eastAsia="Calibri" w:cs="Verdana"/>
          <w:szCs w:val="20"/>
          <w:lang w:val="pt-BR"/>
        </w:rPr>
        <w:t>processo</w:t>
      </w:r>
      <w:r w:rsidR="00D81AA1" w:rsidRPr="00D5464D">
        <w:rPr>
          <w:rFonts w:eastAsia="Calibri" w:cs="Verdana"/>
          <w:szCs w:val="20"/>
          <w:lang w:val="pt-BR"/>
        </w:rPr>
        <w:t xml:space="preserve">s, de </w:t>
      </w:r>
      <w:r w:rsidR="002C330E" w:rsidRPr="00D5464D">
        <w:rPr>
          <w:rFonts w:eastAsia="Calibri" w:cs="Verdana"/>
          <w:szCs w:val="20"/>
          <w:lang w:val="pt-BR"/>
        </w:rPr>
        <w:t>maneira</w:t>
      </w:r>
      <w:r w:rsidR="00D81AA1" w:rsidRPr="00D5464D">
        <w:rPr>
          <w:rFonts w:eastAsia="Calibri" w:cs="Verdana"/>
          <w:szCs w:val="20"/>
          <w:lang w:val="pt-BR"/>
        </w:rPr>
        <w:t xml:space="preserve"> que </w:t>
      </w:r>
      <w:r w:rsidR="00737270" w:rsidRPr="00D5464D">
        <w:rPr>
          <w:rFonts w:eastAsia="Calibri" w:cs="Verdana"/>
          <w:szCs w:val="20"/>
          <w:lang w:val="pt-BR"/>
        </w:rPr>
        <w:t>possam</w:t>
      </w:r>
      <w:r w:rsidR="002C330E" w:rsidRPr="00D5464D">
        <w:rPr>
          <w:rFonts w:eastAsia="Calibri" w:cs="Verdana"/>
          <w:szCs w:val="20"/>
          <w:lang w:val="pt-BR"/>
        </w:rPr>
        <w:t xml:space="preserve"> </w:t>
      </w:r>
      <w:r w:rsidR="008C3DCA" w:rsidRPr="00D5464D">
        <w:rPr>
          <w:rFonts w:eastAsia="Calibri" w:cs="Verdana"/>
          <w:szCs w:val="20"/>
          <w:lang w:val="pt-BR"/>
        </w:rPr>
        <w:t xml:space="preserve">apresentar petições, </w:t>
      </w:r>
      <w:r w:rsidR="002C330E" w:rsidRPr="00D5464D">
        <w:rPr>
          <w:rFonts w:eastAsia="Calibri" w:cs="Verdana"/>
          <w:szCs w:val="20"/>
          <w:lang w:val="pt-BR"/>
        </w:rPr>
        <w:t>receber</w:t>
      </w:r>
      <w:r w:rsidR="00D81AA1" w:rsidRPr="00D5464D">
        <w:rPr>
          <w:rFonts w:eastAsia="Calibri" w:cs="Verdana"/>
          <w:szCs w:val="20"/>
          <w:lang w:val="pt-BR"/>
        </w:rPr>
        <w:t xml:space="preserve"> informa</w:t>
      </w:r>
      <w:r w:rsidR="00470ADC" w:rsidRPr="00D5464D">
        <w:rPr>
          <w:rFonts w:eastAsia="Calibri" w:cs="Verdana"/>
          <w:szCs w:val="20"/>
          <w:lang w:val="pt-BR"/>
        </w:rPr>
        <w:t>ções</w:t>
      </w:r>
      <w:r w:rsidR="00D81AA1" w:rsidRPr="00D5464D">
        <w:rPr>
          <w:rFonts w:eastAsia="Calibri" w:cs="Verdana"/>
          <w:szCs w:val="20"/>
          <w:lang w:val="pt-BR"/>
        </w:rPr>
        <w:t xml:space="preserve">, aportar </w:t>
      </w:r>
      <w:r w:rsidR="002C330E" w:rsidRPr="00D5464D">
        <w:rPr>
          <w:rFonts w:eastAsia="Calibri" w:cs="Verdana"/>
          <w:szCs w:val="20"/>
          <w:lang w:val="pt-BR"/>
        </w:rPr>
        <w:t>prova</w:t>
      </w:r>
      <w:r w:rsidR="00D81AA1" w:rsidRPr="00D5464D">
        <w:rPr>
          <w:rFonts w:eastAsia="Calibri" w:cs="Verdana"/>
          <w:szCs w:val="20"/>
          <w:lang w:val="pt-BR"/>
        </w:rPr>
        <w:t>s, formular alega</w:t>
      </w:r>
      <w:r w:rsidR="00470ADC" w:rsidRPr="00D5464D">
        <w:rPr>
          <w:rFonts w:eastAsia="Calibri" w:cs="Verdana"/>
          <w:szCs w:val="20"/>
          <w:lang w:val="pt-BR"/>
        </w:rPr>
        <w:t>ções</w:t>
      </w:r>
      <w:r w:rsidR="00E045D9" w:rsidRPr="00D5464D">
        <w:rPr>
          <w:rFonts w:eastAsia="Calibri" w:cs="Verdana"/>
          <w:szCs w:val="20"/>
          <w:lang w:val="pt-BR"/>
        </w:rPr>
        <w:t xml:space="preserve"> e,</w:t>
      </w:r>
      <w:r w:rsidR="00470ADC" w:rsidRPr="00D5464D">
        <w:rPr>
          <w:rFonts w:eastAsia="Calibri" w:cs="Verdana"/>
          <w:szCs w:val="20"/>
          <w:lang w:val="pt-BR"/>
        </w:rPr>
        <w:t xml:space="preserve"> em </w:t>
      </w:r>
      <w:r w:rsidR="00D81AA1" w:rsidRPr="00D5464D">
        <w:rPr>
          <w:rFonts w:eastAsia="Calibri" w:cs="Verdana"/>
          <w:szCs w:val="20"/>
          <w:lang w:val="pt-BR"/>
        </w:rPr>
        <w:t>sín</w:t>
      </w:r>
      <w:r w:rsidR="00E045D9" w:rsidRPr="00D5464D">
        <w:rPr>
          <w:rFonts w:eastAsia="Calibri" w:cs="Verdana"/>
          <w:szCs w:val="20"/>
          <w:lang w:val="pt-BR"/>
        </w:rPr>
        <w:t>tese</w:t>
      </w:r>
      <w:r w:rsidR="00D81AA1" w:rsidRPr="00D5464D">
        <w:rPr>
          <w:rFonts w:eastAsia="Calibri" w:cs="Verdana"/>
          <w:szCs w:val="20"/>
          <w:lang w:val="pt-BR"/>
        </w:rPr>
        <w:t>,</w:t>
      </w:r>
      <w:r w:rsidR="002C330E" w:rsidRPr="00D5464D">
        <w:rPr>
          <w:rFonts w:eastAsia="Calibri" w:cs="Verdana"/>
          <w:szCs w:val="20"/>
          <w:lang w:val="pt-BR"/>
        </w:rPr>
        <w:t xml:space="preserve"> fazer </w:t>
      </w:r>
      <w:r w:rsidR="00D81AA1" w:rsidRPr="00D5464D">
        <w:rPr>
          <w:rFonts w:eastAsia="Calibri" w:cs="Verdana"/>
          <w:szCs w:val="20"/>
          <w:lang w:val="pt-BR"/>
        </w:rPr>
        <w:t xml:space="preserve">valer </w:t>
      </w:r>
      <w:r w:rsidR="00E045D9" w:rsidRPr="00D5464D">
        <w:rPr>
          <w:rFonts w:eastAsia="Calibri" w:cs="Verdana"/>
          <w:szCs w:val="20"/>
          <w:lang w:val="pt-BR"/>
        </w:rPr>
        <w:t>seus direitos</w:t>
      </w:r>
      <w:r w:rsidR="008C3DCA" w:rsidRPr="00D5464D">
        <w:rPr>
          <w:rFonts w:eastAsia="Calibri" w:cs="Verdana"/>
          <w:szCs w:val="20"/>
          <w:lang w:val="pt-BR"/>
        </w:rPr>
        <w:t>.</w:t>
      </w:r>
      <w:r w:rsidR="00D81AA1" w:rsidRPr="00D5464D">
        <w:rPr>
          <w:rStyle w:val="Refdenotaalpie"/>
          <w:rFonts w:eastAsia="Calibri"/>
          <w:lang w:val="pt-BR"/>
        </w:rPr>
        <w:footnoteReference w:id="490"/>
      </w:r>
      <w:r w:rsidR="00D81AA1" w:rsidRPr="00D5464D">
        <w:rPr>
          <w:rFonts w:eastAsia="Calibri" w:cs="Verdana"/>
          <w:szCs w:val="20"/>
          <w:lang w:val="pt-BR"/>
        </w:rPr>
        <w:t xml:space="preserve"> </w:t>
      </w:r>
      <w:r w:rsidR="00470ADC" w:rsidRPr="00D5464D">
        <w:rPr>
          <w:rFonts w:eastAsia="Calibri" w:cs="Verdana"/>
          <w:szCs w:val="20"/>
          <w:lang w:val="pt-BR"/>
        </w:rPr>
        <w:t>Esta</w:t>
      </w:r>
      <w:r w:rsidR="00D81AA1" w:rsidRPr="00D5464D">
        <w:rPr>
          <w:rFonts w:eastAsia="Calibri" w:cs="Verdana"/>
          <w:szCs w:val="20"/>
          <w:lang w:val="pt-BR"/>
        </w:rPr>
        <w:t xml:space="preserve"> participa</w:t>
      </w:r>
      <w:r w:rsidR="00470ADC" w:rsidRPr="00D5464D">
        <w:rPr>
          <w:rFonts w:eastAsia="Calibri" w:cs="Verdana"/>
          <w:szCs w:val="20"/>
          <w:lang w:val="pt-BR"/>
        </w:rPr>
        <w:t>ção</w:t>
      </w:r>
      <w:r w:rsidR="00D81AA1" w:rsidRPr="00D5464D">
        <w:rPr>
          <w:rFonts w:eastAsia="Calibri" w:cs="Verdana"/>
          <w:szCs w:val="20"/>
          <w:lang w:val="pt-BR"/>
        </w:rPr>
        <w:t xml:space="preserve"> </w:t>
      </w:r>
      <w:r w:rsidR="00470ADC" w:rsidRPr="00D5464D">
        <w:rPr>
          <w:rFonts w:eastAsia="Calibri" w:cs="Verdana"/>
          <w:szCs w:val="20"/>
          <w:lang w:val="pt-BR"/>
        </w:rPr>
        <w:t>dever</w:t>
      </w:r>
      <w:r w:rsidR="00D81AA1" w:rsidRPr="00D5464D">
        <w:rPr>
          <w:rFonts w:eastAsia="Calibri" w:cs="Verdana"/>
          <w:szCs w:val="20"/>
          <w:lang w:val="pt-BR"/>
        </w:rPr>
        <w:t>á</w:t>
      </w:r>
      <w:r w:rsidR="00E045D9" w:rsidRPr="00D5464D">
        <w:rPr>
          <w:rFonts w:eastAsia="Calibri" w:cs="Verdana"/>
          <w:szCs w:val="20"/>
          <w:lang w:val="pt-BR"/>
        </w:rPr>
        <w:t xml:space="preserve"> ter </w:t>
      </w:r>
      <w:r w:rsidR="00D81AA1" w:rsidRPr="00D5464D">
        <w:rPr>
          <w:rFonts w:eastAsia="Calibri" w:cs="Verdana"/>
          <w:szCs w:val="20"/>
          <w:lang w:val="pt-BR"/>
        </w:rPr>
        <w:t xml:space="preserve">como </w:t>
      </w:r>
      <w:r w:rsidR="00470ADC" w:rsidRPr="00D5464D">
        <w:rPr>
          <w:rFonts w:eastAsia="Calibri" w:cs="Verdana"/>
          <w:szCs w:val="20"/>
          <w:lang w:val="pt-BR"/>
        </w:rPr>
        <w:t>finalida</w:t>
      </w:r>
      <w:r w:rsidR="00E045D9" w:rsidRPr="00D5464D">
        <w:rPr>
          <w:rFonts w:eastAsia="Calibri" w:cs="Verdana"/>
          <w:szCs w:val="20"/>
          <w:lang w:val="pt-BR"/>
        </w:rPr>
        <w:t>d</w:t>
      </w:r>
      <w:r w:rsidR="008C3DCA" w:rsidRPr="00D5464D">
        <w:rPr>
          <w:rFonts w:eastAsia="Calibri" w:cs="Verdana"/>
          <w:szCs w:val="20"/>
          <w:lang w:val="pt-BR"/>
        </w:rPr>
        <w:t xml:space="preserve">e </w:t>
      </w:r>
      <w:r w:rsidR="00E045D9" w:rsidRPr="00D5464D">
        <w:rPr>
          <w:rFonts w:eastAsia="Calibri" w:cs="Verdana"/>
          <w:szCs w:val="20"/>
          <w:lang w:val="pt-BR"/>
        </w:rPr>
        <w:t xml:space="preserve">o </w:t>
      </w:r>
      <w:r w:rsidR="00470ADC" w:rsidRPr="00D5464D">
        <w:rPr>
          <w:rFonts w:eastAsia="Calibri" w:cs="Verdana"/>
          <w:szCs w:val="20"/>
          <w:lang w:val="pt-BR"/>
        </w:rPr>
        <w:t xml:space="preserve">acesso à </w:t>
      </w:r>
      <w:r w:rsidR="002C330E" w:rsidRPr="00D5464D">
        <w:rPr>
          <w:rFonts w:eastAsia="Calibri" w:cs="Verdana"/>
          <w:szCs w:val="20"/>
          <w:lang w:val="pt-BR"/>
        </w:rPr>
        <w:t>justiça</w:t>
      </w:r>
      <w:r w:rsidR="00D81AA1" w:rsidRPr="00D5464D">
        <w:rPr>
          <w:rFonts w:eastAsia="Calibri" w:cs="Verdana"/>
          <w:szCs w:val="20"/>
          <w:lang w:val="pt-BR"/>
        </w:rPr>
        <w:t>,</w:t>
      </w:r>
      <w:r w:rsidR="00470ADC" w:rsidRPr="00D5464D">
        <w:rPr>
          <w:rFonts w:eastAsia="Calibri" w:cs="Verdana"/>
          <w:szCs w:val="20"/>
          <w:lang w:val="pt-BR"/>
        </w:rPr>
        <w:t xml:space="preserve"> o conhecimento da </w:t>
      </w:r>
      <w:r w:rsidR="00E045D9" w:rsidRPr="00D5464D">
        <w:rPr>
          <w:rFonts w:eastAsia="Calibri" w:cs="Verdana"/>
          <w:szCs w:val="20"/>
          <w:lang w:val="pt-BR"/>
        </w:rPr>
        <w:t xml:space="preserve">verdade </w:t>
      </w:r>
      <w:r w:rsidR="008C3DCA" w:rsidRPr="00D5464D">
        <w:rPr>
          <w:rFonts w:eastAsia="Calibri" w:cs="Verdana"/>
          <w:szCs w:val="20"/>
          <w:lang w:val="pt-BR"/>
        </w:rPr>
        <w:t xml:space="preserve">sobre o </w:t>
      </w:r>
      <w:r w:rsidR="002C330E" w:rsidRPr="00D5464D">
        <w:rPr>
          <w:rFonts w:eastAsia="Calibri" w:cs="Verdana"/>
          <w:szCs w:val="20"/>
          <w:lang w:val="pt-BR"/>
        </w:rPr>
        <w:t>ocorrid</w:t>
      </w:r>
      <w:r w:rsidR="00D81AA1" w:rsidRPr="00D5464D">
        <w:rPr>
          <w:rFonts w:eastAsia="Calibri" w:cs="Verdana"/>
          <w:szCs w:val="20"/>
          <w:lang w:val="pt-BR"/>
        </w:rPr>
        <w:t>o</w:t>
      </w:r>
      <w:r w:rsidR="00E045D9" w:rsidRPr="00D5464D">
        <w:rPr>
          <w:rFonts w:eastAsia="Calibri" w:cs="Verdana"/>
          <w:szCs w:val="20"/>
          <w:lang w:val="pt-BR"/>
        </w:rPr>
        <w:t xml:space="preserve"> e </w:t>
      </w:r>
      <w:r w:rsidR="008C3DCA" w:rsidRPr="00D5464D">
        <w:rPr>
          <w:rFonts w:eastAsia="Calibri" w:cs="Verdana"/>
          <w:szCs w:val="20"/>
          <w:lang w:val="pt-BR"/>
        </w:rPr>
        <w:t xml:space="preserve">a concessão </w:t>
      </w:r>
      <w:r w:rsidR="00D81AA1" w:rsidRPr="00D5464D">
        <w:rPr>
          <w:rFonts w:eastAsia="Calibri" w:cs="Verdana"/>
          <w:szCs w:val="20"/>
          <w:lang w:val="pt-BR"/>
        </w:rPr>
        <w:t>de</w:t>
      </w:r>
      <w:r w:rsidR="00E045D9" w:rsidRPr="00D5464D">
        <w:rPr>
          <w:rFonts w:eastAsia="Calibri" w:cs="Verdana"/>
          <w:szCs w:val="20"/>
          <w:lang w:val="pt-BR"/>
        </w:rPr>
        <w:t xml:space="preserve"> uma </w:t>
      </w:r>
      <w:r w:rsidR="00D81AA1" w:rsidRPr="00D5464D">
        <w:rPr>
          <w:rFonts w:eastAsia="Calibri" w:cs="Verdana"/>
          <w:szCs w:val="20"/>
          <w:lang w:val="pt-BR"/>
        </w:rPr>
        <w:t>justa repara</w:t>
      </w:r>
      <w:r w:rsidR="00470ADC" w:rsidRPr="00D5464D">
        <w:rPr>
          <w:rFonts w:eastAsia="Calibri" w:cs="Verdana"/>
          <w:szCs w:val="20"/>
          <w:lang w:val="pt-BR"/>
        </w:rPr>
        <w:t>ção</w:t>
      </w:r>
      <w:r w:rsidR="008C3DCA" w:rsidRPr="00D5464D">
        <w:rPr>
          <w:rFonts w:eastAsia="Calibri" w:cs="Verdana"/>
          <w:szCs w:val="20"/>
          <w:lang w:val="pt-BR"/>
        </w:rPr>
        <w:t>.</w:t>
      </w:r>
      <w:r w:rsidR="00D81AA1" w:rsidRPr="00D5464D">
        <w:rPr>
          <w:rStyle w:val="Refdenotaalpie"/>
          <w:rFonts w:eastAsia="Calibri"/>
          <w:lang w:val="pt-BR"/>
        </w:rPr>
        <w:footnoteReference w:id="491"/>
      </w:r>
      <w:r w:rsidR="00737270" w:rsidRPr="00D5464D">
        <w:rPr>
          <w:rFonts w:eastAsia="Calibri" w:cs="Verdana"/>
          <w:szCs w:val="20"/>
          <w:lang w:val="pt-BR"/>
        </w:rPr>
        <w:t xml:space="preserve"> No entanto</w:t>
      </w:r>
      <w:r w:rsidR="00D81AA1" w:rsidRPr="00D5464D">
        <w:rPr>
          <w:rFonts w:cs="Verdana"/>
          <w:szCs w:val="20"/>
          <w:lang w:val="pt-BR"/>
        </w:rPr>
        <w:t>,</w:t>
      </w:r>
      <w:r w:rsidR="002C330E" w:rsidRPr="00D5464D">
        <w:rPr>
          <w:rFonts w:cs="Verdana"/>
          <w:szCs w:val="20"/>
          <w:lang w:val="pt-BR"/>
        </w:rPr>
        <w:t xml:space="preserve"> a </w:t>
      </w:r>
      <w:r w:rsidR="00470ADC" w:rsidRPr="00D5464D">
        <w:rPr>
          <w:rFonts w:cs="Verdana"/>
          <w:szCs w:val="20"/>
          <w:lang w:val="pt-BR"/>
        </w:rPr>
        <w:t>busca</w:t>
      </w:r>
      <w:r w:rsidR="00D81AA1" w:rsidRPr="00D5464D">
        <w:rPr>
          <w:rFonts w:cs="Verdana"/>
          <w:szCs w:val="20"/>
          <w:lang w:val="pt-BR"/>
        </w:rPr>
        <w:t xml:space="preserve"> </w:t>
      </w:r>
      <w:r w:rsidR="00470ADC" w:rsidRPr="00D5464D">
        <w:rPr>
          <w:rFonts w:cs="Verdana"/>
          <w:szCs w:val="20"/>
          <w:lang w:val="pt-BR"/>
        </w:rPr>
        <w:t>efetiv</w:t>
      </w:r>
      <w:r w:rsidR="00D81AA1" w:rsidRPr="00D5464D">
        <w:rPr>
          <w:rFonts w:cs="Verdana"/>
          <w:szCs w:val="20"/>
          <w:lang w:val="pt-BR"/>
        </w:rPr>
        <w:t>a</w:t>
      </w:r>
      <w:r w:rsidR="00470ADC" w:rsidRPr="00D5464D">
        <w:rPr>
          <w:rFonts w:cs="Verdana"/>
          <w:szCs w:val="20"/>
          <w:lang w:val="pt-BR"/>
        </w:rPr>
        <w:t xml:space="preserve"> da </w:t>
      </w:r>
      <w:r w:rsidR="00E045D9" w:rsidRPr="00D5464D">
        <w:rPr>
          <w:rFonts w:cs="Verdana"/>
          <w:szCs w:val="20"/>
          <w:lang w:val="pt-BR"/>
        </w:rPr>
        <w:t xml:space="preserve">verdade </w:t>
      </w:r>
      <w:r w:rsidR="00D81AA1" w:rsidRPr="00D5464D">
        <w:rPr>
          <w:rFonts w:cs="Verdana"/>
          <w:szCs w:val="20"/>
          <w:lang w:val="pt-BR"/>
        </w:rPr>
        <w:t>corresponde</w:t>
      </w:r>
      <w:r w:rsidR="00470ADC" w:rsidRPr="00D5464D">
        <w:rPr>
          <w:rFonts w:cs="Verdana"/>
          <w:szCs w:val="20"/>
          <w:lang w:val="pt-BR"/>
        </w:rPr>
        <w:t xml:space="preserve"> ao </w:t>
      </w:r>
      <w:r w:rsidR="00D81AA1" w:rsidRPr="00D5464D">
        <w:rPr>
          <w:rFonts w:cs="Verdana"/>
          <w:szCs w:val="20"/>
          <w:lang w:val="pt-BR"/>
        </w:rPr>
        <w:t>Estado</w:t>
      </w:r>
      <w:r w:rsidR="00470ADC" w:rsidRPr="00D5464D">
        <w:rPr>
          <w:rFonts w:cs="Verdana"/>
          <w:szCs w:val="20"/>
          <w:lang w:val="pt-BR"/>
        </w:rPr>
        <w:t>, e</w:t>
      </w:r>
      <w:r w:rsidR="00D81AA1" w:rsidRPr="00D5464D">
        <w:rPr>
          <w:rFonts w:cs="Verdana"/>
          <w:szCs w:val="20"/>
          <w:lang w:val="pt-BR"/>
        </w:rPr>
        <w:t xml:space="preserve"> </w:t>
      </w:r>
      <w:r w:rsidR="008C3DCA" w:rsidRPr="00D5464D">
        <w:rPr>
          <w:rFonts w:cs="Verdana"/>
          <w:szCs w:val="20"/>
          <w:lang w:val="pt-BR"/>
        </w:rPr>
        <w:t xml:space="preserve">não </w:t>
      </w:r>
      <w:r w:rsidR="00D81AA1" w:rsidRPr="00D5464D">
        <w:rPr>
          <w:rFonts w:cs="Verdana"/>
          <w:szCs w:val="20"/>
          <w:lang w:val="pt-BR"/>
        </w:rPr>
        <w:t>depende</w:t>
      </w:r>
      <w:r w:rsidR="00470ADC" w:rsidRPr="00D5464D">
        <w:rPr>
          <w:rFonts w:cs="Verdana"/>
          <w:szCs w:val="20"/>
          <w:lang w:val="pt-BR"/>
        </w:rPr>
        <w:t xml:space="preserve"> da </w:t>
      </w:r>
      <w:r w:rsidR="00D81AA1" w:rsidRPr="00D5464D">
        <w:rPr>
          <w:rFonts w:cs="Verdana"/>
          <w:szCs w:val="20"/>
          <w:lang w:val="pt-BR"/>
        </w:rPr>
        <w:t xml:space="preserve">iniciativa </w:t>
      </w:r>
      <w:r w:rsidR="002C330E" w:rsidRPr="00D5464D">
        <w:rPr>
          <w:rFonts w:cs="Verdana"/>
          <w:szCs w:val="20"/>
          <w:lang w:val="pt-BR"/>
        </w:rPr>
        <w:t xml:space="preserve">processual </w:t>
      </w:r>
      <w:r w:rsidR="00470ADC" w:rsidRPr="00D5464D">
        <w:rPr>
          <w:rFonts w:cs="Verdana"/>
          <w:szCs w:val="20"/>
          <w:lang w:val="pt-BR"/>
        </w:rPr>
        <w:t xml:space="preserve">da </w:t>
      </w:r>
      <w:r w:rsidR="00E045D9" w:rsidRPr="00D5464D">
        <w:rPr>
          <w:rFonts w:cs="Verdana"/>
          <w:szCs w:val="20"/>
          <w:lang w:val="pt-BR"/>
        </w:rPr>
        <w:t>vítima</w:t>
      </w:r>
      <w:r w:rsidR="00D81AA1" w:rsidRPr="00D5464D">
        <w:rPr>
          <w:rFonts w:cs="Verdana"/>
          <w:szCs w:val="20"/>
          <w:lang w:val="pt-BR"/>
        </w:rPr>
        <w:t xml:space="preserve">, de </w:t>
      </w:r>
      <w:r w:rsidR="00E045D9" w:rsidRPr="00D5464D">
        <w:rPr>
          <w:rFonts w:cs="Verdana"/>
          <w:szCs w:val="20"/>
          <w:lang w:val="pt-BR"/>
        </w:rPr>
        <w:t>seus familiares</w:t>
      </w:r>
      <w:r w:rsidR="00D81AA1" w:rsidRPr="00D5464D">
        <w:rPr>
          <w:rFonts w:cs="Verdana"/>
          <w:szCs w:val="20"/>
          <w:lang w:val="pt-BR"/>
        </w:rPr>
        <w:t xml:space="preserve"> o</w:t>
      </w:r>
      <w:r w:rsidR="008C3DCA" w:rsidRPr="00D5464D">
        <w:rPr>
          <w:rFonts w:cs="Verdana"/>
          <w:szCs w:val="20"/>
          <w:lang w:val="pt-BR"/>
        </w:rPr>
        <w:t>u</w:t>
      </w:r>
      <w:r w:rsidR="00470ADC" w:rsidRPr="00D5464D">
        <w:rPr>
          <w:rFonts w:cs="Verdana"/>
          <w:szCs w:val="20"/>
          <w:lang w:val="pt-BR"/>
        </w:rPr>
        <w:t xml:space="preserve"> da </w:t>
      </w:r>
      <w:r w:rsidR="00C91CB1" w:rsidRPr="00D5464D">
        <w:rPr>
          <w:rFonts w:cs="Verdana"/>
          <w:szCs w:val="20"/>
          <w:lang w:val="pt-BR"/>
        </w:rPr>
        <w:t>contribuição</w:t>
      </w:r>
      <w:r w:rsidR="00D81AA1" w:rsidRPr="00D5464D">
        <w:rPr>
          <w:rFonts w:cs="Verdana"/>
          <w:szCs w:val="20"/>
          <w:lang w:val="pt-BR"/>
        </w:rPr>
        <w:t xml:space="preserve"> </w:t>
      </w:r>
      <w:r w:rsidR="008C3DCA" w:rsidRPr="00D5464D">
        <w:rPr>
          <w:rFonts w:cs="Verdana"/>
          <w:szCs w:val="20"/>
          <w:lang w:val="pt-BR"/>
        </w:rPr>
        <w:t xml:space="preserve">particular </w:t>
      </w:r>
      <w:r w:rsidR="00EB1CE9" w:rsidRPr="00D5464D">
        <w:rPr>
          <w:rFonts w:cs="Verdana"/>
          <w:szCs w:val="20"/>
          <w:lang w:val="pt-BR"/>
        </w:rPr>
        <w:t>de elemento</w:t>
      </w:r>
      <w:r w:rsidR="00D81AA1" w:rsidRPr="00D5464D">
        <w:rPr>
          <w:rFonts w:cs="Verdana"/>
          <w:szCs w:val="20"/>
          <w:lang w:val="pt-BR"/>
        </w:rPr>
        <w:t xml:space="preserve">s </w:t>
      </w:r>
      <w:r w:rsidR="002C330E" w:rsidRPr="00D5464D">
        <w:rPr>
          <w:rFonts w:cs="Verdana"/>
          <w:szCs w:val="20"/>
          <w:lang w:val="pt-BR"/>
        </w:rPr>
        <w:t>probatório</w:t>
      </w:r>
      <w:r w:rsidR="00D81AA1" w:rsidRPr="00D5464D">
        <w:rPr>
          <w:rFonts w:cs="Verdana"/>
          <w:szCs w:val="20"/>
          <w:lang w:val="pt-BR"/>
        </w:rPr>
        <w:t>s</w:t>
      </w:r>
      <w:r w:rsidR="008C3DCA" w:rsidRPr="00D5464D">
        <w:rPr>
          <w:rFonts w:cs="Verdana"/>
          <w:szCs w:val="20"/>
          <w:lang w:val="pt-BR"/>
        </w:rPr>
        <w:t>.</w:t>
      </w:r>
      <w:r w:rsidR="00D81AA1" w:rsidRPr="00D5464D">
        <w:rPr>
          <w:rStyle w:val="Refdenotaalpie"/>
          <w:rFonts w:cs="Verdana"/>
          <w:lang w:val="pt-BR"/>
        </w:rPr>
        <w:footnoteReference w:id="492"/>
      </w:r>
      <w:r w:rsidR="00C91CB1" w:rsidRPr="00D5464D">
        <w:rPr>
          <w:rFonts w:cs="Verdana"/>
          <w:szCs w:val="20"/>
          <w:lang w:val="pt-BR"/>
        </w:rPr>
        <w:t xml:space="preserve"> No </w:t>
      </w:r>
      <w:r w:rsidR="00D81AA1" w:rsidRPr="00D5464D">
        <w:rPr>
          <w:rFonts w:cs="Verdana"/>
          <w:szCs w:val="20"/>
          <w:lang w:val="pt-BR"/>
        </w:rPr>
        <w:t>presente caso</w:t>
      </w:r>
      <w:r w:rsidR="002C330E" w:rsidRPr="00D5464D">
        <w:rPr>
          <w:rFonts w:cs="Verdana"/>
          <w:szCs w:val="20"/>
          <w:lang w:val="pt-BR"/>
        </w:rPr>
        <w:t xml:space="preserve"> a </w:t>
      </w:r>
      <w:r w:rsidR="00737270" w:rsidRPr="00D5464D">
        <w:rPr>
          <w:rFonts w:cs="Verdana"/>
          <w:szCs w:val="20"/>
          <w:lang w:val="pt-BR"/>
        </w:rPr>
        <w:t>ação</w:t>
      </w:r>
      <w:r w:rsidR="00D81AA1" w:rsidRPr="00D5464D">
        <w:rPr>
          <w:rFonts w:cs="Verdana"/>
          <w:szCs w:val="20"/>
          <w:lang w:val="pt-BR"/>
        </w:rPr>
        <w:t xml:space="preserve"> penal era de </w:t>
      </w:r>
      <w:r w:rsidR="00350187" w:rsidRPr="00D5464D">
        <w:rPr>
          <w:rFonts w:cs="Verdana"/>
          <w:szCs w:val="20"/>
          <w:lang w:val="pt-BR"/>
        </w:rPr>
        <w:t xml:space="preserve">titularidade </w:t>
      </w:r>
      <w:r w:rsidR="00470ADC" w:rsidRPr="00D5464D">
        <w:rPr>
          <w:rFonts w:cs="Verdana"/>
          <w:szCs w:val="20"/>
          <w:lang w:val="pt-BR"/>
        </w:rPr>
        <w:t xml:space="preserve">do </w:t>
      </w:r>
      <w:r w:rsidR="002C330E" w:rsidRPr="00D5464D">
        <w:rPr>
          <w:rFonts w:cs="Verdana"/>
          <w:szCs w:val="20"/>
          <w:lang w:val="pt-BR"/>
        </w:rPr>
        <w:t>Ministério</w:t>
      </w:r>
      <w:r w:rsidR="00D81AA1" w:rsidRPr="00D5464D">
        <w:rPr>
          <w:rFonts w:cs="Verdana"/>
          <w:szCs w:val="20"/>
          <w:lang w:val="pt-BR"/>
        </w:rPr>
        <w:t xml:space="preserve"> Público Federal por </w:t>
      </w:r>
      <w:r w:rsidR="00E045D9" w:rsidRPr="00D5464D">
        <w:rPr>
          <w:rFonts w:cs="Verdana"/>
          <w:szCs w:val="20"/>
          <w:lang w:val="pt-BR"/>
        </w:rPr>
        <w:t>tratar-se</w:t>
      </w:r>
      <w:r w:rsidR="00D81AA1" w:rsidRPr="00D5464D">
        <w:rPr>
          <w:rFonts w:cs="Verdana"/>
          <w:szCs w:val="20"/>
          <w:lang w:val="pt-BR"/>
        </w:rPr>
        <w:t xml:space="preserve"> de</w:t>
      </w:r>
      <w:r w:rsidR="00E045D9" w:rsidRPr="00D5464D">
        <w:rPr>
          <w:rFonts w:cs="Verdana"/>
          <w:szCs w:val="20"/>
          <w:lang w:val="pt-BR"/>
        </w:rPr>
        <w:t xml:space="preserve"> um </w:t>
      </w:r>
      <w:r w:rsidR="00470ADC" w:rsidRPr="00D5464D">
        <w:rPr>
          <w:rFonts w:cs="Verdana"/>
          <w:szCs w:val="20"/>
          <w:lang w:val="pt-BR"/>
        </w:rPr>
        <w:t>crime</w:t>
      </w:r>
      <w:r w:rsidR="00D81AA1" w:rsidRPr="00D5464D">
        <w:rPr>
          <w:rFonts w:cs="Verdana"/>
          <w:szCs w:val="20"/>
          <w:lang w:val="pt-BR"/>
        </w:rPr>
        <w:t xml:space="preserve"> de “</w:t>
      </w:r>
      <w:r w:rsidR="00737270" w:rsidRPr="00D5464D">
        <w:rPr>
          <w:rFonts w:cs="Verdana"/>
          <w:szCs w:val="20"/>
          <w:lang w:val="pt-BR"/>
        </w:rPr>
        <w:t>ação</w:t>
      </w:r>
      <w:r w:rsidR="00D81AA1" w:rsidRPr="00D5464D">
        <w:rPr>
          <w:rFonts w:cs="Verdana"/>
          <w:szCs w:val="20"/>
          <w:lang w:val="pt-BR"/>
        </w:rPr>
        <w:t xml:space="preserve"> penal pública incondicionada”. </w:t>
      </w:r>
    </w:p>
    <w:p w14:paraId="048DF226" w14:textId="77777777" w:rsidR="00D81AA1" w:rsidRPr="00D5464D" w:rsidRDefault="00D81AA1" w:rsidP="00D81AA1">
      <w:pPr>
        <w:jc w:val="both"/>
        <w:rPr>
          <w:szCs w:val="20"/>
          <w:lang w:val="pt-BR"/>
        </w:rPr>
      </w:pPr>
    </w:p>
    <w:p w14:paraId="548F3F78" w14:textId="48EC3218" w:rsidR="00D81AA1" w:rsidRPr="00D5464D" w:rsidRDefault="00470ADC" w:rsidP="00F306D7">
      <w:pPr>
        <w:pStyle w:val="Prrafodelista"/>
        <w:numPr>
          <w:ilvl w:val="0"/>
          <w:numId w:val="23"/>
        </w:numPr>
        <w:tabs>
          <w:tab w:val="right" w:pos="0"/>
        </w:tabs>
        <w:rPr>
          <w:i/>
          <w:szCs w:val="20"/>
          <w:lang w:val="pt-BR"/>
        </w:rPr>
      </w:pPr>
      <w:r w:rsidRPr="00D5464D">
        <w:rPr>
          <w:i/>
          <w:szCs w:val="20"/>
          <w:lang w:val="pt-BR"/>
        </w:rPr>
        <w:t xml:space="preserve">Conduta das </w:t>
      </w:r>
      <w:r w:rsidR="00D81AA1" w:rsidRPr="00D5464D">
        <w:rPr>
          <w:i/>
          <w:szCs w:val="20"/>
          <w:lang w:val="pt-BR"/>
        </w:rPr>
        <w:t xml:space="preserve">autoridades </w:t>
      </w:r>
      <w:r w:rsidR="002C330E" w:rsidRPr="00D5464D">
        <w:rPr>
          <w:i/>
          <w:szCs w:val="20"/>
          <w:lang w:val="pt-BR"/>
        </w:rPr>
        <w:t>judiciais</w:t>
      </w:r>
    </w:p>
    <w:p w14:paraId="1D847C59" w14:textId="77777777" w:rsidR="00DE3E58" w:rsidRPr="00D5464D" w:rsidRDefault="00DE3E58" w:rsidP="00DE3E58">
      <w:pPr>
        <w:tabs>
          <w:tab w:val="clear" w:pos="4419"/>
          <w:tab w:val="clear" w:pos="8838"/>
        </w:tabs>
        <w:contextualSpacing/>
        <w:jc w:val="both"/>
        <w:rPr>
          <w:szCs w:val="20"/>
          <w:lang w:val="pt-BR"/>
        </w:rPr>
      </w:pPr>
    </w:p>
    <w:p w14:paraId="3290AD7A" w14:textId="576567F9" w:rsidR="00D81AA1" w:rsidRPr="00D5464D" w:rsidRDefault="00470ADC" w:rsidP="00D81AA1">
      <w:pPr>
        <w:numPr>
          <w:ilvl w:val="0"/>
          <w:numId w:val="1"/>
        </w:numPr>
        <w:tabs>
          <w:tab w:val="clear" w:pos="4419"/>
          <w:tab w:val="clear" w:pos="8838"/>
        </w:tabs>
        <w:contextualSpacing/>
        <w:jc w:val="both"/>
        <w:rPr>
          <w:szCs w:val="20"/>
          <w:lang w:val="pt-BR"/>
        </w:rPr>
      </w:pPr>
      <w:r w:rsidRPr="00D5464D">
        <w:rPr>
          <w:szCs w:val="20"/>
          <w:lang w:val="pt-BR"/>
        </w:rPr>
        <w:t xml:space="preserve">A </w:t>
      </w:r>
      <w:r w:rsidR="00D81AA1" w:rsidRPr="00D5464D">
        <w:rPr>
          <w:rFonts w:cs="Arial"/>
          <w:szCs w:val="20"/>
          <w:lang w:val="pt-BR"/>
        </w:rPr>
        <w:t xml:space="preserve">Corte </w:t>
      </w:r>
      <w:r w:rsidR="00E045D9" w:rsidRPr="00D5464D">
        <w:rPr>
          <w:rFonts w:cs="Arial"/>
          <w:szCs w:val="20"/>
          <w:lang w:val="pt-BR"/>
        </w:rPr>
        <w:t>recorda</w:t>
      </w:r>
      <w:r w:rsidR="00D81AA1" w:rsidRPr="00D5464D">
        <w:rPr>
          <w:rFonts w:cs="Arial"/>
          <w:szCs w:val="20"/>
          <w:lang w:val="pt-BR"/>
        </w:rPr>
        <w:t xml:space="preserve"> que</w:t>
      </w:r>
      <w:r w:rsidR="003C4933" w:rsidRPr="00D5464D">
        <w:rPr>
          <w:rFonts w:cs="Arial"/>
          <w:szCs w:val="20"/>
          <w:lang w:val="pt-BR"/>
        </w:rPr>
        <w:t>,</w:t>
      </w:r>
      <w:r w:rsidR="00E045D9" w:rsidRPr="00D5464D">
        <w:rPr>
          <w:rFonts w:cs="Arial"/>
          <w:szCs w:val="20"/>
          <w:lang w:val="pt-BR"/>
        </w:rPr>
        <w:t xml:space="preserve"> no </w:t>
      </w:r>
      <w:r w:rsidR="00D81AA1" w:rsidRPr="00D5464D">
        <w:rPr>
          <w:rFonts w:cs="Arial"/>
          <w:szCs w:val="20"/>
          <w:lang w:val="pt-BR"/>
        </w:rPr>
        <w:t>presente caso</w:t>
      </w:r>
      <w:r w:rsidR="003C4933" w:rsidRPr="00D5464D">
        <w:rPr>
          <w:rFonts w:cs="Arial"/>
          <w:szCs w:val="20"/>
          <w:lang w:val="pt-BR"/>
        </w:rPr>
        <w:t>,</w:t>
      </w:r>
      <w:r w:rsidR="002C330E" w:rsidRPr="00D5464D">
        <w:rPr>
          <w:rFonts w:cs="Arial"/>
          <w:szCs w:val="20"/>
          <w:lang w:val="pt-BR"/>
        </w:rPr>
        <w:t xml:space="preserve"> a </w:t>
      </w:r>
      <w:r w:rsidRPr="00D5464D">
        <w:rPr>
          <w:rFonts w:cs="Arial"/>
          <w:szCs w:val="20"/>
          <w:lang w:val="pt-BR"/>
        </w:rPr>
        <w:t xml:space="preserve">denúncia </w:t>
      </w:r>
      <w:r w:rsidR="00D81AA1" w:rsidRPr="00D5464D">
        <w:rPr>
          <w:rFonts w:cs="Arial"/>
          <w:szCs w:val="20"/>
          <w:lang w:val="pt-BR"/>
        </w:rPr>
        <w:t>penal</w:t>
      </w:r>
      <w:r w:rsidRPr="00D5464D">
        <w:rPr>
          <w:rFonts w:cs="Arial"/>
          <w:szCs w:val="20"/>
          <w:lang w:val="pt-BR"/>
        </w:rPr>
        <w:t xml:space="preserve"> foi</w:t>
      </w:r>
      <w:r w:rsidR="002C330E" w:rsidRPr="00D5464D">
        <w:rPr>
          <w:rFonts w:cs="Arial"/>
          <w:szCs w:val="20"/>
          <w:lang w:val="pt-BR"/>
        </w:rPr>
        <w:t xml:space="preserve"> apresentada em 3</w:t>
      </w:r>
      <w:r w:rsidR="00D81AA1" w:rsidRPr="00D5464D">
        <w:rPr>
          <w:rFonts w:cs="Arial"/>
          <w:szCs w:val="20"/>
          <w:lang w:val="pt-BR"/>
        </w:rPr>
        <w:t xml:space="preserve">0 de </w:t>
      </w:r>
      <w:r w:rsidR="002C330E" w:rsidRPr="00D5464D">
        <w:rPr>
          <w:rFonts w:cs="Arial"/>
          <w:szCs w:val="20"/>
          <w:lang w:val="pt-BR"/>
        </w:rPr>
        <w:t>junho</w:t>
      </w:r>
      <w:r w:rsidR="00D81AA1" w:rsidRPr="00D5464D">
        <w:rPr>
          <w:rFonts w:cs="Arial"/>
          <w:szCs w:val="20"/>
          <w:lang w:val="pt-BR"/>
        </w:rPr>
        <w:t xml:space="preserve"> de 1997</w:t>
      </w:r>
      <w:r w:rsidR="008C3DCA" w:rsidRPr="00D5464D">
        <w:rPr>
          <w:rFonts w:cs="Arial"/>
          <w:szCs w:val="20"/>
          <w:lang w:val="pt-BR"/>
        </w:rPr>
        <w:t xml:space="preserve">, mas </w:t>
      </w:r>
      <w:r w:rsidR="002C330E" w:rsidRPr="00D5464D">
        <w:rPr>
          <w:rFonts w:cs="Arial"/>
          <w:szCs w:val="20"/>
          <w:lang w:val="pt-BR"/>
        </w:rPr>
        <w:t xml:space="preserve">a </w:t>
      </w:r>
      <w:r w:rsidRPr="00D5464D">
        <w:rPr>
          <w:rFonts w:cs="Arial"/>
          <w:szCs w:val="20"/>
          <w:lang w:val="pt-BR"/>
        </w:rPr>
        <w:t>audiência</w:t>
      </w:r>
      <w:r w:rsidR="00D81AA1" w:rsidRPr="00D5464D">
        <w:rPr>
          <w:rFonts w:cs="Arial"/>
          <w:szCs w:val="20"/>
          <w:lang w:val="pt-BR"/>
        </w:rPr>
        <w:t xml:space="preserve"> </w:t>
      </w:r>
      <w:r w:rsidR="00D4212F" w:rsidRPr="00D5464D">
        <w:rPr>
          <w:rFonts w:cs="Arial"/>
          <w:szCs w:val="20"/>
          <w:lang w:val="pt-BR"/>
        </w:rPr>
        <w:t xml:space="preserve">preliminar </w:t>
      </w:r>
      <w:r w:rsidRPr="00D5464D">
        <w:rPr>
          <w:rFonts w:cs="Arial"/>
          <w:szCs w:val="20"/>
          <w:lang w:val="pt-BR"/>
        </w:rPr>
        <w:t xml:space="preserve">do </w:t>
      </w:r>
      <w:r w:rsidR="00D4212F" w:rsidRPr="00D5464D">
        <w:rPr>
          <w:rFonts w:cs="Arial"/>
          <w:szCs w:val="20"/>
          <w:lang w:val="pt-BR"/>
        </w:rPr>
        <w:t>acusado Quagliato Neto</w:t>
      </w:r>
      <w:r w:rsidR="00D81AA1" w:rsidRPr="00D5464D">
        <w:rPr>
          <w:rFonts w:cs="Arial"/>
          <w:szCs w:val="20"/>
          <w:lang w:val="pt-BR"/>
        </w:rPr>
        <w:t xml:space="preserve"> </w:t>
      </w:r>
      <w:r w:rsidR="003C4933" w:rsidRPr="00D5464D">
        <w:rPr>
          <w:rFonts w:cs="Arial"/>
          <w:szCs w:val="20"/>
          <w:lang w:val="pt-BR"/>
        </w:rPr>
        <w:t xml:space="preserve">ocorreu </w:t>
      </w:r>
      <w:r w:rsidR="008C3DCA" w:rsidRPr="00D5464D">
        <w:rPr>
          <w:rFonts w:cs="Arial"/>
          <w:szCs w:val="20"/>
          <w:lang w:val="pt-BR"/>
        </w:rPr>
        <w:t xml:space="preserve">apenas em 13 de setembro de 1999 </w:t>
      </w:r>
      <w:r w:rsidR="00D81AA1" w:rsidRPr="00D5464D">
        <w:rPr>
          <w:rFonts w:cs="Arial"/>
          <w:szCs w:val="20"/>
          <w:lang w:val="pt-BR"/>
        </w:rPr>
        <w:t>(</w:t>
      </w:r>
      <w:r w:rsidR="00C85EA9" w:rsidRPr="00D5464D">
        <w:rPr>
          <w:rFonts w:cs="Arial"/>
          <w:szCs w:val="20"/>
          <w:lang w:val="pt-BR"/>
        </w:rPr>
        <w:t xml:space="preserve">par. </w:t>
      </w:r>
      <w:r w:rsidR="00D036E7" w:rsidRPr="00D5464D">
        <w:rPr>
          <w:rFonts w:cs="Arial"/>
          <w:szCs w:val="20"/>
          <w:lang w:val="pt-BR"/>
        </w:rPr>
        <w:t>149</w:t>
      </w:r>
      <w:r w:rsidR="00D036E7" w:rsidRPr="00D5464D">
        <w:rPr>
          <w:rFonts w:cs="Arial"/>
          <w:i/>
          <w:szCs w:val="20"/>
          <w:lang w:val="pt-BR"/>
        </w:rPr>
        <w:t xml:space="preserve"> supra</w:t>
      </w:r>
      <w:r w:rsidR="00D036E7" w:rsidRPr="00D5464D">
        <w:rPr>
          <w:rFonts w:cs="Arial"/>
          <w:szCs w:val="20"/>
          <w:lang w:val="pt-BR"/>
        </w:rPr>
        <w:t>)</w:t>
      </w:r>
      <w:r w:rsidR="00D81AA1" w:rsidRPr="00D5464D">
        <w:rPr>
          <w:rFonts w:cs="Arial"/>
          <w:szCs w:val="20"/>
          <w:lang w:val="pt-BR"/>
        </w:rPr>
        <w:t>. Posteriormente</w:t>
      </w:r>
      <w:r w:rsidR="00C91CB1" w:rsidRPr="00D5464D">
        <w:rPr>
          <w:rFonts w:cs="Arial"/>
          <w:szCs w:val="20"/>
          <w:lang w:val="pt-BR"/>
        </w:rPr>
        <w:t>, em 1</w:t>
      </w:r>
      <w:r w:rsidR="00D81AA1" w:rsidRPr="00D5464D">
        <w:rPr>
          <w:rFonts w:cs="Arial"/>
          <w:szCs w:val="20"/>
          <w:lang w:val="pt-BR"/>
        </w:rPr>
        <w:t xml:space="preserve">6 de </w:t>
      </w:r>
      <w:r w:rsidR="002C330E" w:rsidRPr="00D5464D">
        <w:rPr>
          <w:rFonts w:cs="Arial"/>
          <w:szCs w:val="20"/>
          <w:lang w:val="pt-BR"/>
        </w:rPr>
        <w:t>março</w:t>
      </w:r>
      <w:r w:rsidR="00D81AA1" w:rsidRPr="00D5464D">
        <w:rPr>
          <w:rFonts w:cs="Arial"/>
          <w:szCs w:val="20"/>
          <w:lang w:val="pt-BR"/>
        </w:rPr>
        <w:t xml:space="preserve"> de 2001</w:t>
      </w:r>
      <w:r w:rsidR="003F4971" w:rsidRPr="00D5464D">
        <w:rPr>
          <w:rFonts w:cs="Arial"/>
          <w:szCs w:val="20"/>
          <w:lang w:val="pt-BR"/>
        </w:rPr>
        <w:t>,</w:t>
      </w:r>
      <w:r w:rsidRPr="00D5464D">
        <w:rPr>
          <w:rFonts w:cs="Arial"/>
          <w:szCs w:val="20"/>
          <w:lang w:val="pt-BR"/>
        </w:rPr>
        <w:t xml:space="preserve"> o </w:t>
      </w:r>
      <w:r w:rsidR="002C330E" w:rsidRPr="00D5464D">
        <w:rPr>
          <w:rFonts w:cs="Arial"/>
          <w:szCs w:val="20"/>
          <w:lang w:val="pt-BR"/>
        </w:rPr>
        <w:t>juiz</w:t>
      </w:r>
      <w:r w:rsidR="00D81AA1" w:rsidRPr="00D5464D">
        <w:rPr>
          <w:rFonts w:cs="Arial"/>
          <w:szCs w:val="20"/>
          <w:lang w:val="pt-BR"/>
        </w:rPr>
        <w:t xml:space="preserve"> federal </w:t>
      </w:r>
      <w:r w:rsidRPr="00D5464D">
        <w:rPr>
          <w:rFonts w:cs="Arial"/>
          <w:szCs w:val="20"/>
          <w:lang w:val="pt-BR"/>
        </w:rPr>
        <w:t>declarou</w:t>
      </w:r>
      <w:r w:rsidR="00D81AA1" w:rsidRPr="00D5464D">
        <w:rPr>
          <w:rFonts w:cs="Arial"/>
          <w:szCs w:val="20"/>
          <w:lang w:val="pt-BR"/>
        </w:rPr>
        <w:t xml:space="preserve"> su</w:t>
      </w:r>
      <w:r w:rsidR="003F4971" w:rsidRPr="00D5464D">
        <w:rPr>
          <w:rFonts w:cs="Arial"/>
          <w:szCs w:val="20"/>
          <w:lang w:val="pt-BR"/>
        </w:rPr>
        <w:t>a</w:t>
      </w:r>
      <w:r w:rsidR="00D81AA1" w:rsidRPr="00D5464D">
        <w:rPr>
          <w:rFonts w:cs="Arial"/>
          <w:szCs w:val="20"/>
          <w:lang w:val="pt-BR"/>
        </w:rPr>
        <w:t xml:space="preserve"> in</w:t>
      </w:r>
      <w:r w:rsidRPr="00D5464D">
        <w:rPr>
          <w:rFonts w:cs="Arial"/>
          <w:szCs w:val="20"/>
          <w:lang w:val="pt-BR"/>
        </w:rPr>
        <w:t>competência</w:t>
      </w:r>
      <w:r w:rsidR="00D81AA1" w:rsidRPr="00D5464D">
        <w:rPr>
          <w:rFonts w:cs="Arial"/>
          <w:szCs w:val="20"/>
          <w:lang w:val="pt-BR"/>
        </w:rPr>
        <w:t xml:space="preserve"> para </w:t>
      </w:r>
      <w:r w:rsidRPr="00D5464D">
        <w:rPr>
          <w:rFonts w:cs="Arial"/>
          <w:szCs w:val="20"/>
          <w:lang w:val="pt-BR"/>
        </w:rPr>
        <w:t xml:space="preserve">conhecer </w:t>
      </w:r>
      <w:r w:rsidR="003F4971" w:rsidRPr="00D5464D">
        <w:rPr>
          <w:rFonts w:cs="Arial"/>
          <w:szCs w:val="20"/>
          <w:lang w:val="pt-BR"/>
        </w:rPr>
        <w:t>d</w:t>
      </w:r>
      <w:r w:rsidRPr="00D5464D">
        <w:rPr>
          <w:rFonts w:cs="Arial"/>
          <w:szCs w:val="20"/>
          <w:lang w:val="pt-BR"/>
        </w:rPr>
        <w:t xml:space="preserve">o </w:t>
      </w:r>
      <w:r w:rsidR="00D81AA1" w:rsidRPr="00D5464D">
        <w:rPr>
          <w:rFonts w:cs="Arial"/>
          <w:szCs w:val="20"/>
          <w:lang w:val="pt-BR"/>
        </w:rPr>
        <w:t>caso</w:t>
      </w:r>
      <w:r w:rsidR="00E045D9" w:rsidRPr="00D5464D">
        <w:rPr>
          <w:rFonts w:cs="Arial"/>
          <w:szCs w:val="20"/>
          <w:lang w:val="pt-BR"/>
        </w:rPr>
        <w:t xml:space="preserve"> e </w:t>
      </w:r>
      <w:r w:rsidR="00737270" w:rsidRPr="00D5464D">
        <w:rPr>
          <w:rFonts w:cs="Arial"/>
          <w:szCs w:val="20"/>
          <w:lang w:val="pt-BR"/>
        </w:rPr>
        <w:t>enviou</w:t>
      </w:r>
      <w:r w:rsidRPr="00D5464D">
        <w:rPr>
          <w:rFonts w:cs="Arial"/>
          <w:szCs w:val="20"/>
          <w:lang w:val="pt-BR"/>
        </w:rPr>
        <w:t xml:space="preserve"> </w:t>
      </w:r>
      <w:r w:rsidR="003F4971" w:rsidRPr="00D5464D">
        <w:rPr>
          <w:rFonts w:cs="Arial"/>
          <w:szCs w:val="20"/>
          <w:lang w:val="pt-BR"/>
        </w:rPr>
        <w:t xml:space="preserve">os autos </w:t>
      </w:r>
      <w:r w:rsidRPr="00D5464D">
        <w:rPr>
          <w:rFonts w:cs="Arial"/>
          <w:szCs w:val="20"/>
          <w:lang w:val="pt-BR"/>
        </w:rPr>
        <w:t xml:space="preserve">à </w:t>
      </w:r>
      <w:r w:rsidR="009E04D5" w:rsidRPr="00D5464D">
        <w:rPr>
          <w:rFonts w:cs="Arial"/>
          <w:szCs w:val="20"/>
          <w:lang w:val="pt-BR"/>
        </w:rPr>
        <w:t>justiça</w:t>
      </w:r>
      <w:r w:rsidR="00D81AA1" w:rsidRPr="00D5464D">
        <w:rPr>
          <w:rFonts w:cs="Arial"/>
          <w:szCs w:val="20"/>
          <w:lang w:val="pt-BR"/>
        </w:rPr>
        <w:t xml:space="preserve"> estadual d</w:t>
      </w:r>
      <w:r w:rsidR="003F4971" w:rsidRPr="00D5464D">
        <w:rPr>
          <w:rFonts w:cs="Arial"/>
          <w:szCs w:val="20"/>
          <w:lang w:val="pt-BR"/>
        </w:rPr>
        <w:t>o</w:t>
      </w:r>
      <w:r w:rsidR="00D81AA1" w:rsidRPr="00D5464D">
        <w:rPr>
          <w:rFonts w:cs="Arial"/>
          <w:szCs w:val="20"/>
          <w:lang w:val="pt-BR"/>
        </w:rPr>
        <w:t xml:space="preserve"> Pará</w:t>
      </w:r>
      <w:r w:rsidR="00C91CB1" w:rsidRPr="00D5464D">
        <w:rPr>
          <w:rFonts w:cs="Arial"/>
          <w:szCs w:val="20"/>
          <w:lang w:val="pt-BR"/>
        </w:rPr>
        <w:t>. Em 2</w:t>
      </w:r>
      <w:r w:rsidR="00D81AA1" w:rsidRPr="00D5464D">
        <w:rPr>
          <w:rFonts w:cs="Arial"/>
          <w:szCs w:val="20"/>
          <w:lang w:val="pt-BR"/>
        </w:rPr>
        <w:t>8 de</w:t>
      </w:r>
      <w:r w:rsidR="002C330E" w:rsidRPr="00D5464D">
        <w:rPr>
          <w:rFonts w:cs="Arial"/>
          <w:szCs w:val="20"/>
          <w:lang w:val="pt-BR"/>
        </w:rPr>
        <w:t xml:space="preserve"> maio </w:t>
      </w:r>
      <w:r w:rsidR="00D81AA1" w:rsidRPr="00D5464D">
        <w:rPr>
          <w:rFonts w:cs="Arial"/>
          <w:szCs w:val="20"/>
          <w:lang w:val="pt-BR"/>
        </w:rPr>
        <w:t>de 2002</w:t>
      </w:r>
      <w:r w:rsidR="003F4971" w:rsidRPr="00D5464D">
        <w:rPr>
          <w:rFonts w:cs="Arial"/>
          <w:szCs w:val="20"/>
          <w:lang w:val="pt-BR"/>
        </w:rPr>
        <w:t xml:space="preserve">, foi declarada </w:t>
      </w:r>
      <w:r w:rsidR="00D81AA1" w:rsidRPr="00D5464D">
        <w:rPr>
          <w:rFonts w:cs="Arial"/>
          <w:szCs w:val="20"/>
          <w:lang w:val="pt-BR"/>
        </w:rPr>
        <w:t>extinta</w:t>
      </w:r>
      <w:r w:rsidR="002C330E" w:rsidRPr="00D5464D">
        <w:rPr>
          <w:rFonts w:cs="Arial"/>
          <w:szCs w:val="20"/>
          <w:lang w:val="pt-BR"/>
        </w:rPr>
        <w:t xml:space="preserve"> a </w:t>
      </w:r>
      <w:r w:rsidR="00737270" w:rsidRPr="00D5464D">
        <w:rPr>
          <w:rFonts w:cs="Arial"/>
          <w:szCs w:val="20"/>
          <w:lang w:val="pt-BR"/>
        </w:rPr>
        <w:t>ação</w:t>
      </w:r>
      <w:r w:rsidR="00D81AA1" w:rsidRPr="00D5464D">
        <w:rPr>
          <w:rFonts w:cs="Arial"/>
          <w:szCs w:val="20"/>
          <w:lang w:val="pt-BR"/>
        </w:rPr>
        <w:t xml:space="preserve"> penal contra João Luiz Quagliato Neto</w:t>
      </w:r>
      <w:r w:rsidRPr="00D5464D">
        <w:rPr>
          <w:rFonts w:cs="Arial"/>
          <w:szCs w:val="20"/>
          <w:lang w:val="pt-BR"/>
        </w:rPr>
        <w:t xml:space="preserve"> e</w:t>
      </w:r>
      <w:r w:rsidR="003F4971" w:rsidRPr="00D5464D">
        <w:rPr>
          <w:rFonts w:cs="Arial"/>
          <w:szCs w:val="20"/>
          <w:lang w:val="pt-BR"/>
        </w:rPr>
        <w:t>,</w:t>
      </w:r>
      <w:r w:rsidR="002C330E" w:rsidRPr="00D5464D">
        <w:rPr>
          <w:rFonts w:cs="Arial"/>
          <w:szCs w:val="20"/>
          <w:lang w:val="pt-BR"/>
        </w:rPr>
        <w:t xml:space="preserve"> em 8</w:t>
      </w:r>
      <w:r w:rsidR="00D81AA1" w:rsidRPr="00D5464D">
        <w:rPr>
          <w:rFonts w:cs="Arial"/>
          <w:szCs w:val="20"/>
          <w:lang w:val="pt-BR"/>
        </w:rPr>
        <w:t xml:space="preserve"> de </w:t>
      </w:r>
      <w:r w:rsidR="002C330E" w:rsidRPr="00D5464D">
        <w:rPr>
          <w:rFonts w:cs="Arial"/>
          <w:szCs w:val="20"/>
          <w:lang w:val="pt-BR"/>
        </w:rPr>
        <w:t>novembro</w:t>
      </w:r>
      <w:r w:rsidR="00D81AA1" w:rsidRPr="00D5464D">
        <w:rPr>
          <w:rFonts w:cs="Arial"/>
          <w:szCs w:val="20"/>
          <w:lang w:val="pt-BR"/>
        </w:rPr>
        <w:t xml:space="preserve"> de 2004</w:t>
      </w:r>
      <w:r w:rsidR="003F4971" w:rsidRPr="00D5464D">
        <w:rPr>
          <w:rFonts w:cs="Arial"/>
          <w:szCs w:val="20"/>
          <w:lang w:val="pt-BR"/>
        </w:rPr>
        <w:t>,</w:t>
      </w:r>
      <w:r w:rsidRPr="00D5464D">
        <w:rPr>
          <w:rFonts w:cs="Arial"/>
          <w:szCs w:val="20"/>
          <w:lang w:val="pt-BR"/>
        </w:rPr>
        <w:t xml:space="preserve"> o </w:t>
      </w:r>
      <w:r w:rsidR="002C330E" w:rsidRPr="00D5464D">
        <w:rPr>
          <w:rFonts w:cs="Arial"/>
          <w:szCs w:val="20"/>
          <w:lang w:val="pt-BR"/>
        </w:rPr>
        <w:t>juiz</w:t>
      </w:r>
      <w:r w:rsidR="00D81AA1" w:rsidRPr="00D5464D">
        <w:rPr>
          <w:rFonts w:cs="Arial"/>
          <w:szCs w:val="20"/>
          <w:lang w:val="pt-BR"/>
        </w:rPr>
        <w:t xml:space="preserve"> estadual </w:t>
      </w:r>
      <w:r w:rsidRPr="00D5464D">
        <w:rPr>
          <w:rFonts w:cs="Arial"/>
          <w:szCs w:val="20"/>
          <w:lang w:val="pt-BR"/>
        </w:rPr>
        <w:t>declarou</w:t>
      </w:r>
      <w:r w:rsidR="00D81AA1" w:rsidRPr="00D5464D">
        <w:rPr>
          <w:rFonts w:cs="Arial"/>
          <w:szCs w:val="20"/>
          <w:lang w:val="pt-BR"/>
        </w:rPr>
        <w:t xml:space="preserve"> su</w:t>
      </w:r>
      <w:r w:rsidR="003F4971" w:rsidRPr="00D5464D">
        <w:rPr>
          <w:rFonts w:cs="Arial"/>
          <w:szCs w:val="20"/>
          <w:lang w:val="pt-BR"/>
        </w:rPr>
        <w:t>a</w:t>
      </w:r>
      <w:r w:rsidR="00D81AA1" w:rsidRPr="00D5464D">
        <w:rPr>
          <w:rFonts w:cs="Arial"/>
          <w:szCs w:val="20"/>
          <w:lang w:val="pt-BR"/>
        </w:rPr>
        <w:t xml:space="preserve"> in</w:t>
      </w:r>
      <w:r w:rsidRPr="00D5464D">
        <w:rPr>
          <w:rFonts w:cs="Arial"/>
          <w:szCs w:val="20"/>
          <w:lang w:val="pt-BR"/>
        </w:rPr>
        <w:t>competência</w:t>
      </w:r>
      <w:r w:rsidR="00D81AA1" w:rsidRPr="00D5464D">
        <w:rPr>
          <w:rFonts w:cs="Arial"/>
          <w:szCs w:val="20"/>
          <w:lang w:val="pt-BR"/>
        </w:rPr>
        <w:t xml:space="preserve"> para </w:t>
      </w:r>
      <w:r w:rsidRPr="00D5464D">
        <w:rPr>
          <w:rFonts w:cs="Arial"/>
          <w:szCs w:val="20"/>
          <w:lang w:val="pt-BR"/>
        </w:rPr>
        <w:t xml:space="preserve">conhecer </w:t>
      </w:r>
      <w:r w:rsidR="003F4971" w:rsidRPr="00D5464D">
        <w:rPr>
          <w:rFonts w:cs="Arial"/>
          <w:szCs w:val="20"/>
          <w:lang w:val="pt-BR"/>
        </w:rPr>
        <w:t>d</w:t>
      </w:r>
      <w:r w:rsidRPr="00D5464D">
        <w:rPr>
          <w:rFonts w:cs="Arial"/>
          <w:szCs w:val="20"/>
          <w:lang w:val="pt-BR"/>
        </w:rPr>
        <w:t xml:space="preserve">o </w:t>
      </w:r>
      <w:r w:rsidR="00D81AA1" w:rsidRPr="00D5464D">
        <w:rPr>
          <w:rFonts w:cs="Arial"/>
          <w:szCs w:val="20"/>
          <w:lang w:val="pt-BR"/>
        </w:rPr>
        <w:t>caso</w:t>
      </w:r>
      <w:r w:rsidR="00E045D9" w:rsidRPr="00D5464D">
        <w:rPr>
          <w:rFonts w:cs="Arial"/>
          <w:szCs w:val="20"/>
          <w:lang w:val="pt-BR"/>
        </w:rPr>
        <w:t xml:space="preserve"> e </w:t>
      </w:r>
      <w:r w:rsidR="003F4971" w:rsidRPr="00D5464D">
        <w:rPr>
          <w:rFonts w:cs="Arial"/>
          <w:szCs w:val="20"/>
          <w:lang w:val="pt-BR"/>
        </w:rPr>
        <w:t xml:space="preserve">devolveu os autos </w:t>
      </w:r>
      <w:r w:rsidRPr="00D5464D">
        <w:rPr>
          <w:rFonts w:cs="Arial"/>
          <w:szCs w:val="20"/>
          <w:lang w:val="pt-BR"/>
        </w:rPr>
        <w:t xml:space="preserve">à </w:t>
      </w:r>
      <w:r w:rsidR="002C330E" w:rsidRPr="00D5464D">
        <w:rPr>
          <w:rFonts w:cs="Arial"/>
          <w:szCs w:val="20"/>
          <w:lang w:val="pt-BR"/>
        </w:rPr>
        <w:t>jurisdição</w:t>
      </w:r>
      <w:r w:rsidR="00D81AA1" w:rsidRPr="00D5464D">
        <w:rPr>
          <w:rFonts w:cs="Arial"/>
          <w:szCs w:val="20"/>
          <w:lang w:val="pt-BR"/>
        </w:rPr>
        <w:t xml:space="preserve"> federal.</w:t>
      </w:r>
      <w:r w:rsidR="00E045D9" w:rsidRPr="00D5464D">
        <w:rPr>
          <w:rFonts w:cs="Arial"/>
          <w:szCs w:val="20"/>
          <w:lang w:val="pt-BR"/>
        </w:rPr>
        <w:t xml:space="preserve"> </w:t>
      </w:r>
      <w:r w:rsidR="003F4971" w:rsidRPr="00D5464D">
        <w:rPr>
          <w:rFonts w:cs="Arial"/>
          <w:szCs w:val="20"/>
          <w:lang w:val="pt-BR"/>
        </w:rPr>
        <w:t xml:space="preserve">Nos longos </w:t>
      </w:r>
      <w:r w:rsidR="00D81AA1" w:rsidRPr="00D5464D">
        <w:rPr>
          <w:rFonts w:cs="Arial"/>
          <w:szCs w:val="20"/>
          <w:lang w:val="pt-BR"/>
        </w:rPr>
        <w:t xml:space="preserve">lapsos de </w:t>
      </w:r>
      <w:r w:rsidR="00E045D9" w:rsidRPr="00D5464D">
        <w:rPr>
          <w:rFonts w:cs="Arial"/>
          <w:szCs w:val="20"/>
          <w:lang w:val="pt-BR"/>
        </w:rPr>
        <w:t>tempo</w:t>
      </w:r>
      <w:r w:rsidR="00D81AA1" w:rsidRPr="00D5464D">
        <w:rPr>
          <w:rFonts w:cs="Arial"/>
          <w:szCs w:val="20"/>
          <w:lang w:val="pt-BR"/>
        </w:rPr>
        <w:t xml:space="preserve"> entre</w:t>
      </w:r>
      <w:r w:rsidR="002C330E" w:rsidRPr="00D5464D">
        <w:rPr>
          <w:rFonts w:cs="Arial"/>
          <w:szCs w:val="20"/>
          <w:lang w:val="pt-BR"/>
        </w:rPr>
        <w:t xml:space="preserve"> as </w:t>
      </w:r>
      <w:r w:rsidRPr="00D5464D">
        <w:rPr>
          <w:rFonts w:cs="Arial"/>
          <w:szCs w:val="20"/>
          <w:lang w:val="pt-BR"/>
        </w:rPr>
        <w:t>atuações</w:t>
      </w:r>
      <w:r w:rsidR="00D81AA1" w:rsidRPr="00D5464D">
        <w:rPr>
          <w:rFonts w:cs="Arial"/>
          <w:szCs w:val="20"/>
          <w:lang w:val="pt-BR"/>
        </w:rPr>
        <w:t xml:space="preserve"> mencionadas</w:t>
      </w:r>
      <w:r w:rsidR="003C4933" w:rsidRPr="00D5464D">
        <w:rPr>
          <w:rFonts w:cs="Arial"/>
          <w:szCs w:val="20"/>
          <w:lang w:val="pt-BR"/>
        </w:rPr>
        <w:t>,</w:t>
      </w:r>
      <w:r w:rsidR="00D81AA1" w:rsidRPr="00D5464D">
        <w:rPr>
          <w:rFonts w:cs="Arial"/>
          <w:szCs w:val="20"/>
          <w:lang w:val="pt-BR"/>
        </w:rPr>
        <w:t xml:space="preserve"> </w:t>
      </w:r>
      <w:r w:rsidR="003F4971" w:rsidRPr="00D5464D">
        <w:rPr>
          <w:rFonts w:cs="Arial"/>
          <w:szCs w:val="20"/>
          <w:lang w:val="pt-BR"/>
        </w:rPr>
        <w:t xml:space="preserve">não foram realizadas </w:t>
      </w:r>
      <w:r w:rsidRPr="00D5464D">
        <w:rPr>
          <w:rFonts w:cs="Arial"/>
          <w:szCs w:val="20"/>
          <w:lang w:val="pt-BR"/>
        </w:rPr>
        <w:t>diligência</w:t>
      </w:r>
      <w:r w:rsidR="00D81AA1" w:rsidRPr="00D5464D">
        <w:rPr>
          <w:rFonts w:cs="Arial"/>
          <w:szCs w:val="20"/>
          <w:lang w:val="pt-BR"/>
        </w:rPr>
        <w:t xml:space="preserve">s de </w:t>
      </w:r>
      <w:r w:rsidR="002C330E" w:rsidRPr="00D5464D">
        <w:rPr>
          <w:rFonts w:cs="Arial"/>
          <w:szCs w:val="20"/>
          <w:lang w:val="pt-BR"/>
        </w:rPr>
        <w:t>relevância</w:t>
      </w:r>
      <w:r w:rsidR="00D81AA1" w:rsidRPr="00D5464D">
        <w:rPr>
          <w:rFonts w:cs="Arial"/>
          <w:szCs w:val="20"/>
          <w:lang w:val="pt-BR"/>
        </w:rPr>
        <w:t xml:space="preserve"> </w:t>
      </w:r>
      <w:r w:rsidR="00A1358C" w:rsidRPr="00D5464D">
        <w:rPr>
          <w:rFonts w:cs="Arial"/>
          <w:szCs w:val="20"/>
          <w:lang w:val="pt-BR"/>
        </w:rPr>
        <w:t>processual</w:t>
      </w:r>
      <w:r w:rsidR="00C91CB1" w:rsidRPr="00D5464D">
        <w:rPr>
          <w:rFonts w:cs="Arial"/>
          <w:szCs w:val="20"/>
          <w:lang w:val="pt-BR"/>
        </w:rPr>
        <w:t>. Em 2</w:t>
      </w:r>
      <w:r w:rsidR="00D81AA1" w:rsidRPr="00D5464D">
        <w:rPr>
          <w:rFonts w:cs="Arial"/>
          <w:szCs w:val="20"/>
          <w:lang w:val="pt-BR"/>
        </w:rPr>
        <w:t xml:space="preserve">6 de </w:t>
      </w:r>
      <w:r w:rsidR="002C330E" w:rsidRPr="00D5464D">
        <w:rPr>
          <w:rFonts w:cs="Arial"/>
          <w:szCs w:val="20"/>
          <w:lang w:val="pt-BR"/>
        </w:rPr>
        <w:t>setembro</w:t>
      </w:r>
      <w:r w:rsidR="00D81AA1" w:rsidRPr="00D5464D">
        <w:rPr>
          <w:rFonts w:cs="Arial"/>
          <w:szCs w:val="20"/>
          <w:lang w:val="pt-BR"/>
        </w:rPr>
        <w:t xml:space="preserve"> de 2006</w:t>
      </w:r>
      <w:r w:rsidR="003F4971" w:rsidRPr="00D5464D">
        <w:rPr>
          <w:rFonts w:cs="Arial"/>
          <w:szCs w:val="20"/>
          <w:lang w:val="pt-BR"/>
        </w:rPr>
        <w:t>,</w:t>
      </w:r>
      <w:r w:rsidRPr="00D5464D">
        <w:rPr>
          <w:rFonts w:cs="Arial"/>
          <w:szCs w:val="20"/>
          <w:lang w:val="pt-BR"/>
        </w:rPr>
        <w:t xml:space="preserve"> o </w:t>
      </w:r>
      <w:r w:rsidR="00D81AA1" w:rsidRPr="00D5464D">
        <w:rPr>
          <w:rFonts w:cs="Arial"/>
          <w:szCs w:val="20"/>
          <w:lang w:val="pt-BR"/>
        </w:rPr>
        <w:t xml:space="preserve">Superior </w:t>
      </w:r>
      <w:r w:rsidR="00245EDE" w:rsidRPr="00D5464D">
        <w:rPr>
          <w:rFonts w:cs="Arial"/>
          <w:szCs w:val="20"/>
          <w:lang w:val="pt-BR"/>
        </w:rPr>
        <w:t xml:space="preserve">Tribunal </w:t>
      </w:r>
      <w:r w:rsidR="00D81AA1" w:rsidRPr="00D5464D">
        <w:rPr>
          <w:rFonts w:cs="Arial"/>
          <w:szCs w:val="20"/>
          <w:lang w:val="pt-BR"/>
        </w:rPr>
        <w:t xml:space="preserve">de </w:t>
      </w:r>
      <w:r w:rsidR="002C330E" w:rsidRPr="00D5464D">
        <w:rPr>
          <w:rFonts w:cs="Arial"/>
          <w:szCs w:val="20"/>
          <w:lang w:val="pt-BR"/>
        </w:rPr>
        <w:t>Justiça</w:t>
      </w:r>
      <w:r w:rsidR="00D81AA1" w:rsidRPr="00D5464D">
        <w:rPr>
          <w:rFonts w:cs="Arial"/>
          <w:szCs w:val="20"/>
          <w:lang w:val="pt-BR"/>
        </w:rPr>
        <w:t xml:space="preserve"> (STJ) </w:t>
      </w:r>
      <w:r w:rsidRPr="00D5464D">
        <w:rPr>
          <w:rFonts w:cs="Arial"/>
          <w:szCs w:val="20"/>
          <w:lang w:val="pt-BR"/>
        </w:rPr>
        <w:t>determinou</w:t>
      </w:r>
      <w:r w:rsidR="00D81AA1" w:rsidRPr="00D5464D">
        <w:rPr>
          <w:rFonts w:cs="Arial"/>
          <w:szCs w:val="20"/>
          <w:lang w:val="pt-BR"/>
        </w:rPr>
        <w:t xml:space="preserve"> que</w:t>
      </w:r>
      <w:r w:rsidR="002C330E" w:rsidRPr="00D5464D">
        <w:rPr>
          <w:rFonts w:cs="Arial"/>
          <w:szCs w:val="20"/>
          <w:lang w:val="pt-BR"/>
        </w:rPr>
        <w:t xml:space="preserve"> a jurisdição</w:t>
      </w:r>
      <w:r w:rsidR="00D81AA1" w:rsidRPr="00D5464D">
        <w:rPr>
          <w:rFonts w:cs="Arial"/>
          <w:szCs w:val="20"/>
          <w:lang w:val="pt-BR"/>
        </w:rPr>
        <w:t xml:space="preserve"> </w:t>
      </w:r>
      <w:r w:rsidR="003F4971" w:rsidRPr="00D5464D">
        <w:rPr>
          <w:rFonts w:cs="Arial"/>
          <w:szCs w:val="20"/>
          <w:lang w:val="pt-BR"/>
        </w:rPr>
        <w:t xml:space="preserve">federal era </w:t>
      </w:r>
      <w:r w:rsidR="00A1358C" w:rsidRPr="00D5464D">
        <w:rPr>
          <w:rFonts w:cs="Arial"/>
          <w:szCs w:val="20"/>
          <w:lang w:val="pt-BR"/>
        </w:rPr>
        <w:t>competente</w:t>
      </w:r>
      <w:r w:rsidR="00D81AA1" w:rsidRPr="00D5464D">
        <w:rPr>
          <w:rFonts w:cs="Arial"/>
          <w:szCs w:val="20"/>
          <w:lang w:val="pt-BR"/>
        </w:rPr>
        <w:t xml:space="preserve"> </w:t>
      </w:r>
      <w:r w:rsidR="00E045D9" w:rsidRPr="00D5464D">
        <w:rPr>
          <w:rFonts w:cs="Arial"/>
          <w:szCs w:val="20"/>
          <w:lang w:val="pt-BR"/>
        </w:rPr>
        <w:t xml:space="preserve">e </w:t>
      </w:r>
      <w:r w:rsidR="003F4971" w:rsidRPr="00D5464D">
        <w:rPr>
          <w:rFonts w:cs="Arial"/>
          <w:szCs w:val="20"/>
          <w:lang w:val="pt-BR"/>
        </w:rPr>
        <w:t xml:space="preserve">remeteu os autos à Vara </w:t>
      </w:r>
      <w:r w:rsidR="00D81AA1" w:rsidRPr="00D5464D">
        <w:rPr>
          <w:rFonts w:cs="Arial"/>
          <w:szCs w:val="20"/>
          <w:lang w:val="pt-BR"/>
        </w:rPr>
        <w:t xml:space="preserve">Federal de </w:t>
      </w:r>
      <w:r w:rsidR="002C330E" w:rsidRPr="00D5464D">
        <w:rPr>
          <w:rFonts w:cs="Arial"/>
          <w:szCs w:val="20"/>
          <w:lang w:val="pt-BR"/>
        </w:rPr>
        <w:t>primeira</w:t>
      </w:r>
      <w:r w:rsidR="00D81AA1" w:rsidRPr="00D5464D">
        <w:rPr>
          <w:rFonts w:cs="Arial"/>
          <w:szCs w:val="20"/>
          <w:lang w:val="pt-BR"/>
        </w:rPr>
        <w:t xml:space="preserve"> </w:t>
      </w:r>
      <w:r w:rsidR="002C330E" w:rsidRPr="00D5464D">
        <w:rPr>
          <w:rFonts w:cs="Arial"/>
          <w:szCs w:val="20"/>
          <w:lang w:val="pt-BR"/>
        </w:rPr>
        <w:t>instância</w:t>
      </w:r>
      <w:r w:rsidR="00D81AA1" w:rsidRPr="00D5464D">
        <w:rPr>
          <w:rFonts w:cs="Arial"/>
          <w:szCs w:val="20"/>
          <w:lang w:val="pt-BR"/>
        </w:rPr>
        <w:t xml:space="preserve"> de Marabá. Finalmente</w:t>
      </w:r>
      <w:r w:rsidR="00C91CB1" w:rsidRPr="00D5464D">
        <w:rPr>
          <w:rFonts w:cs="Arial"/>
          <w:szCs w:val="20"/>
          <w:lang w:val="pt-BR"/>
        </w:rPr>
        <w:t>, em 1</w:t>
      </w:r>
      <w:r w:rsidR="00D81AA1" w:rsidRPr="00D5464D">
        <w:rPr>
          <w:rFonts w:cs="Arial"/>
          <w:szCs w:val="20"/>
          <w:lang w:val="pt-BR"/>
        </w:rPr>
        <w:t xml:space="preserve">0 de </w:t>
      </w:r>
      <w:r w:rsidR="002C330E" w:rsidRPr="00D5464D">
        <w:rPr>
          <w:rFonts w:cs="Arial"/>
          <w:szCs w:val="20"/>
          <w:lang w:val="pt-BR"/>
        </w:rPr>
        <w:t>julho</w:t>
      </w:r>
      <w:r w:rsidR="00D81AA1" w:rsidRPr="00D5464D">
        <w:rPr>
          <w:rFonts w:cs="Arial"/>
          <w:szCs w:val="20"/>
          <w:lang w:val="pt-BR"/>
        </w:rPr>
        <w:t xml:space="preserve"> de 2008</w:t>
      </w:r>
      <w:r w:rsidR="003F4971" w:rsidRPr="00D5464D">
        <w:rPr>
          <w:rFonts w:cs="Arial"/>
          <w:szCs w:val="20"/>
          <w:lang w:val="pt-BR"/>
        </w:rPr>
        <w:t>,</w:t>
      </w:r>
      <w:r w:rsidRPr="00D5464D">
        <w:rPr>
          <w:rFonts w:cs="Arial"/>
          <w:szCs w:val="20"/>
          <w:lang w:val="pt-BR"/>
        </w:rPr>
        <w:t xml:space="preserve"> o </w:t>
      </w:r>
      <w:r w:rsidR="00D81AA1" w:rsidRPr="00D5464D">
        <w:rPr>
          <w:rFonts w:cs="Arial"/>
          <w:szCs w:val="20"/>
          <w:lang w:val="pt-BR"/>
        </w:rPr>
        <w:t xml:space="preserve">MPF </w:t>
      </w:r>
      <w:r w:rsidR="002C330E" w:rsidRPr="00D5464D">
        <w:rPr>
          <w:rFonts w:cs="Arial"/>
          <w:szCs w:val="20"/>
          <w:lang w:val="pt-BR"/>
        </w:rPr>
        <w:t>apresentou</w:t>
      </w:r>
      <w:r w:rsidR="00D81AA1" w:rsidRPr="00D5464D">
        <w:rPr>
          <w:rFonts w:cs="Arial"/>
          <w:szCs w:val="20"/>
          <w:lang w:val="pt-BR"/>
        </w:rPr>
        <w:t xml:space="preserve"> </w:t>
      </w:r>
      <w:r w:rsidR="00E045D9" w:rsidRPr="00D5464D">
        <w:rPr>
          <w:rFonts w:cs="Arial"/>
          <w:szCs w:val="20"/>
          <w:lang w:val="pt-BR"/>
        </w:rPr>
        <w:t xml:space="preserve">suas alegações finais e </w:t>
      </w:r>
      <w:r w:rsidR="002C330E" w:rsidRPr="00D5464D">
        <w:rPr>
          <w:rFonts w:cs="Arial"/>
          <w:szCs w:val="20"/>
          <w:lang w:val="pt-BR"/>
        </w:rPr>
        <w:t xml:space="preserve">pediu a </w:t>
      </w:r>
      <w:r w:rsidR="00D81AA1" w:rsidRPr="00D5464D">
        <w:rPr>
          <w:rFonts w:cs="Arial"/>
          <w:szCs w:val="20"/>
          <w:lang w:val="pt-BR"/>
        </w:rPr>
        <w:t>extin</w:t>
      </w:r>
      <w:r w:rsidRPr="00D5464D">
        <w:rPr>
          <w:rFonts w:cs="Arial"/>
          <w:szCs w:val="20"/>
          <w:lang w:val="pt-BR"/>
        </w:rPr>
        <w:t xml:space="preserve">ção da </w:t>
      </w:r>
      <w:r w:rsidR="00737270" w:rsidRPr="00D5464D">
        <w:rPr>
          <w:rFonts w:cs="Arial"/>
          <w:szCs w:val="20"/>
          <w:lang w:val="pt-BR"/>
        </w:rPr>
        <w:t>ação</w:t>
      </w:r>
      <w:r w:rsidR="00D81AA1" w:rsidRPr="00D5464D">
        <w:rPr>
          <w:rFonts w:cs="Arial"/>
          <w:szCs w:val="20"/>
          <w:lang w:val="pt-BR"/>
        </w:rPr>
        <w:t xml:space="preserve"> penal contra Raimundo </w:t>
      </w:r>
      <w:r w:rsidR="00085F51" w:rsidRPr="00D5464D">
        <w:rPr>
          <w:rFonts w:cs="Arial"/>
          <w:szCs w:val="20"/>
          <w:lang w:val="pt-BR"/>
        </w:rPr>
        <w:t>Alves da Rocha</w:t>
      </w:r>
      <w:r w:rsidR="00E045D9" w:rsidRPr="00D5464D">
        <w:rPr>
          <w:rFonts w:cs="Arial"/>
          <w:szCs w:val="20"/>
          <w:lang w:val="pt-BR"/>
        </w:rPr>
        <w:t xml:space="preserve"> e </w:t>
      </w:r>
      <w:r w:rsidR="00E42F61" w:rsidRPr="00D5464D">
        <w:rPr>
          <w:rFonts w:cs="Arial"/>
          <w:szCs w:val="20"/>
          <w:lang w:val="pt-BR"/>
        </w:rPr>
        <w:t xml:space="preserve">Antônio </w:t>
      </w:r>
      <w:r w:rsidR="00D81AA1" w:rsidRPr="00D5464D">
        <w:rPr>
          <w:rFonts w:cs="Arial"/>
          <w:szCs w:val="20"/>
          <w:lang w:val="pt-BR"/>
        </w:rPr>
        <w:t>Alves Vieira</w:t>
      </w:r>
      <w:r w:rsidR="00C91CB1" w:rsidRPr="00D5464D">
        <w:rPr>
          <w:rFonts w:cs="Arial"/>
          <w:szCs w:val="20"/>
          <w:lang w:val="pt-BR"/>
        </w:rPr>
        <w:t xml:space="preserve">. </w:t>
      </w:r>
      <w:r w:rsidR="003F4971" w:rsidRPr="00D5464D">
        <w:rPr>
          <w:rFonts w:cs="Arial"/>
          <w:szCs w:val="20"/>
          <w:lang w:val="pt-BR"/>
        </w:rPr>
        <w:t>Ne</w:t>
      </w:r>
      <w:r w:rsidR="00C91CB1" w:rsidRPr="00D5464D">
        <w:rPr>
          <w:rFonts w:cs="Arial"/>
          <w:szCs w:val="20"/>
          <w:lang w:val="pt-BR"/>
        </w:rPr>
        <w:t xml:space="preserve">sse </w:t>
      </w:r>
      <w:r w:rsidR="002C330E" w:rsidRPr="00D5464D">
        <w:rPr>
          <w:rFonts w:cs="Arial"/>
          <w:szCs w:val="20"/>
          <w:lang w:val="pt-BR"/>
        </w:rPr>
        <w:t>mesm</w:t>
      </w:r>
      <w:r w:rsidR="00D81AA1" w:rsidRPr="00D5464D">
        <w:rPr>
          <w:rFonts w:cs="Arial"/>
          <w:szCs w:val="20"/>
          <w:lang w:val="pt-BR"/>
        </w:rPr>
        <w:t xml:space="preserve">o </w:t>
      </w:r>
      <w:r w:rsidRPr="00D5464D">
        <w:rPr>
          <w:rFonts w:cs="Arial"/>
          <w:szCs w:val="20"/>
          <w:lang w:val="pt-BR"/>
        </w:rPr>
        <w:t>dia</w:t>
      </w:r>
      <w:r w:rsidR="003F4971" w:rsidRPr="00D5464D">
        <w:rPr>
          <w:rFonts w:cs="Arial"/>
          <w:szCs w:val="20"/>
          <w:lang w:val="pt-BR"/>
        </w:rPr>
        <w:t>,</w:t>
      </w:r>
      <w:r w:rsidRPr="00D5464D">
        <w:rPr>
          <w:rFonts w:cs="Arial"/>
          <w:szCs w:val="20"/>
          <w:lang w:val="pt-BR"/>
        </w:rPr>
        <w:t xml:space="preserve"> o </w:t>
      </w:r>
      <w:r w:rsidR="002C330E" w:rsidRPr="00D5464D">
        <w:rPr>
          <w:rFonts w:cs="Arial"/>
          <w:szCs w:val="20"/>
          <w:lang w:val="pt-BR"/>
        </w:rPr>
        <w:t>juiz</w:t>
      </w:r>
      <w:r w:rsidR="00D81AA1" w:rsidRPr="00D5464D">
        <w:rPr>
          <w:rFonts w:cs="Arial"/>
          <w:szCs w:val="20"/>
          <w:lang w:val="pt-BR"/>
        </w:rPr>
        <w:t xml:space="preserve"> federal </w:t>
      </w:r>
      <w:r w:rsidRPr="00D5464D">
        <w:rPr>
          <w:rFonts w:cs="Arial"/>
          <w:szCs w:val="20"/>
          <w:lang w:val="pt-BR"/>
        </w:rPr>
        <w:t>declarou</w:t>
      </w:r>
      <w:r w:rsidR="00D81AA1" w:rsidRPr="00D5464D">
        <w:rPr>
          <w:rFonts w:cs="Arial"/>
          <w:szCs w:val="20"/>
          <w:lang w:val="pt-BR"/>
        </w:rPr>
        <w:t xml:space="preserve"> extinta</w:t>
      </w:r>
      <w:r w:rsidR="002C330E" w:rsidRPr="00D5464D">
        <w:rPr>
          <w:rFonts w:cs="Arial"/>
          <w:szCs w:val="20"/>
          <w:lang w:val="pt-BR"/>
        </w:rPr>
        <w:t xml:space="preserve"> a </w:t>
      </w:r>
      <w:r w:rsidR="00737270" w:rsidRPr="00D5464D">
        <w:rPr>
          <w:rFonts w:cs="Arial"/>
          <w:szCs w:val="20"/>
          <w:lang w:val="pt-BR"/>
        </w:rPr>
        <w:t>ação</w:t>
      </w:r>
      <w:r w:rsidR="00D81AA1" w:rsidRPr="00D5464D">
        <w:rPr>
          <w:rFonts w:cs="Arial"/>
          <w:szCs w:val="20"/>
          <w:lang w:val="pt-BR"/>
        </w:rPr>
        <w:t xml:space="preserve"> penal</w:t>
      </w:r>
      <w:r w:rsidRPr="00D5464D">
        <w:rPr>
          <w:rFonts w:cs="Arial"/>
          <w:szCs w:val="20"/>
          <w:lang w:val="pt-BR"/>
        </w:rPr>
        <w:t xml:space="preserve"> </w:t>
      </w:r>
      <w:r w:rsidR="00D81AA1" w:rsidRPr="00D5464D">
        <w:rPr>
          <w:rFonts w:cs="Arial"/>
          <w:szCs w:val="20"/>
          <w:lang w:val="pt-BR"/>
        </w:rPr>
        <w:t>contra</w:t>
      </w:r>
      <w:r w:rsidR="003F4971" w:rsidRPr="00D5464D">
        <w:rPr>
          <w:rFonts w:cs="Arial"/>
          <w:szCs w:val="20"/>
          <w:lang w:val="pt-BR"/>
        </w:rPr>
        <w:t xml:space="preserve"> eles</w:t>
      </w:r>
      <w:r w:rsidR="00D81AA1" w:rsidRPr="00D5464D">
        <w:rPr>
          <w:rFonts w:cs="Arial"/>
          <w:szCs w:val="20"/>
          <w:lang w:val="pt-BR"/>
        </w:rPr>
        <w:t>,</w:t>
      </w:r>
      <w:r w:rsidRPr="00D5464D">
        <w:rPr>
          <w:rFonts w:cs="Arial"/>
          <w:szCs w:val="20"/>
          <w:lang w:val="pt-BR"/>
        </w:rPr>
        <w:t xml:space="preserve"> </w:t>
      </w:r>
      <w:r w:rsidR="003C4933" w:rsidRPr="00D5464D">
        <w:rPr>
          <w:rFonts w:cs="Arial"/>
          <w:szCs w:val="20"/>
          <w:lang w:val="pt-BR"/>
        </w:rPr>
        <w:t>com</w:t>
      </w:r>
      <w:r w:rsidR="00FF1290" w:rsidRPr="00D5464D">
        <w:rPr>
          <w:rFonts w:cs="Arial"/>
          <w:szCs w:val="20"/>
          <w:lang w:val="pt-BR"/>
        </w:rPr>
        <w:t xml:space="preserve"> </w:t>
      </w:r>
      <w:r w:rsidR="00D81AA1" w:rsidRPr="00D5464D">
        <w:rPr>
          <w:rFonts w:cs="Arial"/>
          <w:szCs w:val="20"/>
          <w:lang w:val="pt-BR"/>
        </w:rPr>
        <w:t>aplica</w:t>
      </w:r>
      <w:r w:rsidRPr="00D5464D">
        <w:rPr>
          <w:rFonts w:cs="Arial"/>
          <w:szCs w:val="20"/>
          <w:lang w:val="pt-BR"/>
        </w:rPr>
        <w:t>ção</w:t>
      </w:r>
      <w:r w:rsidR="00D81AA1" w:rsidRPr="00D5464D">
        <w:rPr>
          <w:rFonts w:cs="Arial"/>
          <w:szCs w:val="20"/>
          <w:lang w:val="pt-BR"/>
        </w:rPr>
        <w:t xml:space="preserve"> de</w:t>
      </w:r>
      <w:r w:rsidR="00E045D9" w:rsidRPr="00D5464D">
        <w:rPr>
          <w:rFonts w:cs="Arial"/>
          <w:szCs w:val="20"/>
          <w:lang w:val="pt-BR"/>
        </w:rPr>
        <w:t xml:space="preserve"> uma </w:t>
      </w:r>
      <w:r w:rsidR="00D81AA1" w:rsidRPr="00D5464D">
        <w:rPr>
          <w:rFonts w:cs="Arial"/>
          <w:szCs w:val="20"/>
          <w:lang w:val="pt-BR"/>
        </w:rPr>
        <w:t>forma particular</w:t>
      </w:r>
      <w:r w:rsidRPr="00D5464D">
        <w:rPr>
          <w:rFonts w:cs="Arial"/>
          <w:szCs w:val="20"/>
          <w:lang w:val="pt-BR"/>
        </w:rPr>
        <w:t xml:space="preserve"> da </w:t>
      </w:r>
      <w:r w:rsidR="002C330E" w:rsidRPr="00D5464D">
        <w:rPr>
          <w:rFonts w:cs="Arial"/>
          <w:szCs w:val="20"/>
          <w:lang w:val="pt-BR"/>
        </w:rPr>
        <w:t>prescrição</w:t>
      </w:r>
      <w:r w:rsidR="00D81AA1" w:rsidRPr="00D5464D">
        <w:rPr>
          <w:rFonts w:cs="Arial"/>
          <w:szCs w:val="20"/>
          <w:lang w:val="pt-BR"/>
        </w:rPr>
        <w:t xml:space="preserve"> (</w:t>
      </w:r>
      <w:r w:rsidR="002C330E" w:rsidRPr="00D5464D">
        <w:rPr>
          <w:rFonts w:cs="Arial"/>
          <w:szCs w:val="20"/>
          <w:lang w:val="pt-BR"/>
        </w:rPr>
        <w:t>pars.</w:t>
      </w:r>
      <w:r w:rsidR="00D81AA1" w:rsidRPr="00D5464D">
        <w:rPr>
          <w:rFonts w:cs="Arial"/>
          <w:szCs w:val="20"/>
          <w:lang w:val="pt-BR"/>
        </w:rPr>
        <w:t xml:space="preserve"> </w:t>
      </w:r>
      <w:r w:rsidR="000B7430" w:rsidRPr="00D5464D">
        <w:rPr>
          <w:rFonts w:cs="Arial"/>
          <w:szCs w:val="20"/>
          <w:lang w:val="pt-BR"/>
        </w:rPr>
        <w:t>156</w:t>
      </w:r>
      <w:r w:rsidR="00E045D9" w:rsidRPr="00D5464D">
        <w:rPr>
          <w:rFonts w:cs="Arial"/>
          <w:szCs w:val="20"/>
          <w:lang w:val="pt-BR"/>
        </w:rPr>
        <w:t xml:space="preserve"> e </w:t>
      </w:r>
      <w:r w:rsidR="000B7430" w:rsidRPr="00D5464D">
        <w:rPr>
          <w:rFonts w:cs="Arial"/>
          <w:szCs w:val="20"/>
          <w:lang w:val="pt-BR"/>
        </w:rPr>
        <w:t>157</w:t>
      </w:r>
      <w:r w:rsidR="003F4971" w:rsidRPr="00D5464D">
        <w:rPr>
          <w:rFonts w:cs="Arial"/>
          <w:i/>
          <w:szCs w:val="20"/>
          <w:lang w:val="pt-BR"/>
        </w:rPr>
        <w:t xml:space="preserve"> supra</w:t>
      </w:r>
      <w:r w:rsidR="00D81AA1" w:rsidRPr="00D5464D">
        <w:rPr>
          <w:rFonts w:cs="Arial"/>
          <w:szCs w:val="20"/>
          <w:lang w:val="pt-BR"/>
        </w:rPr>
        <w:t>).</w:t>
      </w:r>
    </w:p>
    <w:p w14:paraId="735BED38" w14:textId="77777777" w:rsidR="00D81AA1" w:rsidRPr="00D5464D" w:rsidRDefault="00D81AA1" w:rsidP="00D81AA1">
      <w:pPr>
        <w:contextualSpacing/>
        <w:jc w:val="both"/>
        <w:rPr>
          <w:szCs w:val="20"/>
          <w:lang w:val="pt-BR"/>
        </w:rPr>
      </w:pPr>
    </w:p>
    <w:p w14:paraId="59B50B8A" w14:textId="7B513642" w:rsidR="00176C77" w:rsidRPr="00D5464D" w:rsidRDefault="003C4933" w:rsidP="00C66702">
      <w:pPr>
        <w:numPr>
          <w:ilvl w:val="0"/>
          <w:numId w:val="1"/>
        </w:numPr>
        <w:tabs>
          <w:tab w:val="clear" w:pos="4419"/>
          <w:tab w:val="clear" w:pos="8838"/>
        </w:tabs>
        <w:contextualSpacing/>
        <w:jc w:val="both"/>
        <w:rPr>
          <w:szCs w:val="20"/>
          <w:lang w:val="pt-BR"/>
        </w:rPr>
      </w:pPr>
      <w:r w:rsidRPr="00D5464D">
        <w:rPr>
          <w:szCs w:val="20"/>
          <w:lang w:val="pt-BR"/>
        </w:rPr>
        <w:t>Tendo em</w:t>
      </w:r>
      <w:r w:rsidR="00FF1290" w:rsidRPr="00D5464D">
        <w:rPr>
          <w:szCs w:val="20"/>
          <w:lang w:val="pt-BR"/>
        </w:rPr>
        <w:t xml:space="preserve"> </w:t>
      </w:r>
      <w:r w:rsidR="00D81AA1" w:rsidRPr="00D5464D">
        <w:rPr>
          <w:szCs w:val="20"/>
          <w:lang w:val="pt-BR"/>
        </w:rPr>
        <w:t>vista</w:t>
      </w:r>
      <w:r w:rsidR="00470ADC" w:rsidRPr="00D5464D">
        <w:rPr>
          <w:szCs w:val="20"/>
          <w:lang w:val="pt-BR"/>
        </w:rPr>
        <w:t xml:space="preserve"> o </w:t>
      </w:r>
      <w:r w:rsidR="00D81AA1" w:rsidRPr="00D5464D">
        <w:rPr>
          <w:szCs w:val="20"/>
          <w:lang w:val="pt-BR"/>
        </w:rPr>
        <w:t xml:space="preserve">anterior, esta </w:t>
      </w:r>
      <w:r w:rsidR="00A1358C" w:rsidRPr="00D5464D">
        <w:rPr>
          <w:szCs w:val="20"/>
          <w:lang w:val="pt-BR"/>
        </w:rPr>
        <w:t>Corte considera</w:t>
      </w:r>
      <w:r w:rsidR="00D81AA1" w:rsidRPr="00D5464D">
        <w:rPr>
          <w:szCs w:val="20"/>
          <w:lang w:val="pt-BR"/>
        </w:rPr>
        <w:t xml:space="preserve"> que </w:t>
      </w:r>
      <w:r w:rsidR="003F4971" w:rsidRPr="00D5464D">
        <w:rPr>
          <w:szCs w:val="20"/>
          <w:lang w:val="pt-BR"/>
        </w:rPr>
        <w:t>houve a</w:t>
      </w:r>
      <w:r w:rsidR="00773BBB" w:rsidRPr="00D5464D">
        <w:rPr>
          <w:szCs w:val="20"/>
          <w:lang w:val="pt-BR"/>
        </w:rPr>
        <w:t>trasos</w:t>
      </w:r>
      <w:r w:rsidR="00E045D9" w:rsidRPr="00D5464D">
        <w:rPr>
          <w:szCs w:val="20"/>
          <w:lang w:val="pt-BR"/>
        </w:rPr>
        <w:t xml:space="preserve"> no </w:t>
      </w:r>
      <w:r w:rsidR="002C330E" w:rsidRPr="00D5464D">
        <w:rPr>
          <w:szCs w:val="20"/>
          <w:lang w:val="pt-BR"/>
        </w:rPr>
        <w:t>processo</w:t>
      </w:r>
      <w:r w:rsidR="00773BBB" w:rsidRPr="00D5464D">
        <w:rPr>
          <w:szCs w:val="20"/>
          <w:lang w:val="pt-BR"/>
        </w:rPr>
        <w:t xml:space="preserve"> penal </w:t>
      </w:r>
      <w:r w:rsidRPr="00D5464D">
        <w:rPr>
          <w:szCs w:val="20"/>
          <w:lang w:val="pt-BR"/>
        </w:rPr>
        <w:t>relacionad</w:t>
      </w:r>
      <w:r w:rsidR="000E4F31" w:rsidRPr="00D5464D">
        <w:rPr>
          <w:szCs w:val="20"/>
          <w:lang w:val="pt-BR"/>
        </w:rPr>
        <w:t>o</w:t>
      </w:r>
      <w:r w:rsidRPr="00D5464D">
        <w:rPr>
          <w:szCs w:val="20"/>
          <w:lang w:val="pt-BR"/>
        </w:rPr>
        <w:t xml:space="preserve">s </w:t>
      </w:r>
      <w:r w:rsidR="00E045D9" w:rsidRPr="00D5464D">
        <w:rPr>
          <w:szCs w:val="20"/>
          <w:lang w:val="pt-BR"/>
        </w:rPr>
        <w:t xml:space="preserve">aos </w:t>
      </w:r>
      <w:r w:rsidR="00470ADC" w:rsidRPr="00D5464D">
        <w:rPr>
          <w:szCs w:val="20"/>
          <w:lang w:val="pt-BR"/>
        </w:rPr>
        <w:t>conflito</w:t>
      </w:r>
      <w:r w:rsidR="00D81AA1" w:rsidRPr="00D5464D">
        <w:rPr>
          <w:szCs w:val="20"/>
          <w:lang w:val="pt-BR"/>
        </w:rPr>
        <w:t xml:space="preserve">s de </w:t>
      </w:r>
      <w:r w:rsidR="00470ADC" w:rsidRPr="00D5464D">
        <w:rPr>
          <w:szCs w:val="20"/>
          <w:lang w:val="pt-BR"/>
        </w:rPr>
        <w:t>competência</w:t>
      </w:r>
      <w:r w:rsidR="00E045D9" w:rsidRPr="00D5464D">
        <w:rPr>
          <w:szCs w:val="20"/>
          <w:lang w:val="pt-BR"/>
        </w:rPr>
        <w:t xml:space="preserve"> e </w:t>
      </w:r>
      <w:r w:rsidR="003F4971" w:rsidRPr="00D5464D">
        <w:rPr>
          <w:szCs w:val="20"/>
          <w:lang w:val="pt-BR"/>
        </w:rPr>
        <w:t>à</w:t>
      </w:r>
      <w:r w:rsidR="002C330E" w:rsidRPr="00D5464D">
        <w:rPr>
          <w:szCs w:val="20"/>
          <w:lang w:val="pt-BR"/>
        </w:rPr>
        <w:t xml:space="preserve"> </w:t>
      </w:r>
      <w:r w:rsidR="00D81AA1" w:rsidRPr="00D5464D">
        <w:rPr>
          <w:szCs w:val="20"/>
          <w:lang w:val="pt-BR"/>
        </w:rPr>
        <w:t xml:space="preserve">falta de </w:t>
      </w:r>
      <w:r w:rsidR="00737270" w:rsidRPr="00D5464D">
        <w:rPr>
          <w:szCs w:val="20"/>
          <w:lang w:val="pt-BR"/>
        </w:rPr>
        <w:t>atuação</w:t>
      </w:r>
      <w:r w:rsidR="00D81AA1" w:rsidRPr="00D5464D">
        <w:rPr>
          <w:szCs w:val="20"/>
          <w:lang w:val="pt-BR"/>
        </w:rPr>
        <w:t xml:space="preserve"> diligente por parte</w:t>
      </w:r>
      <w:r w:rsidR="00470ADC" w:rsidRPr="00D5464D">
        <w:rPr>
          <w:szCs w:val="20"/>
          <w:lang w:val="pt-BR"/>
        </w:rPr>
        <w:t xml:space="preserve"> das </w:t>
      </w:r>
      <w:r w:rsidR="00D81AA1" w:rsidRPr="00D5464D">
        <w:rPr>
          <w:szCs w:val="20"/>
          <w:lang w:val="pt-BR"/>
        </w:rPr>
        <w:t xml:space="preserve">autoridades </w:t>
      </w:r>
      <w:r w:rsidR="002C330E" w:rsidRPr="00D5464D">
        <w:rPr>
          <w:szCs w:val="20"/>
          <w:lang w:val="pt-BR"/>
        </w:rPr>
        <w:t>judiciais</w:t>
      </w:r>
      <w:r w:rsidR="00A1358C" w:rsidRPr="00D5464D">
        <w:rPr>
          <w:szCs w:val="20"/>
          <w:lang w:val="pt-BR"/>
        </w:rPr>
        <w:t xml:space="preserve">. A </w:t>
      </w:r>
      <w:r w:rsidR="00A779B8" w:rsidRPr="00D5464D">
        <w:rPr>
          <w:szCs w:val="20"/>
          <w:lang w:val="pt-BR"/>
        </w:rPr>
        <w:t>Corte</w:t>
      </w:r>
      <w:r w:rsidR="00D81AA1" w:rsidRPr="00D5464D">
        <w:rPr>
          <w:szCs w:val="20"/>
          <w:lang w:val="pt-BR"/>
        </w:rPr>
        <w:t xml:space="preserve"> considera que </w:t>
      </w:r>
      <w:r w:rsidR="003F4971" w:rsidRPr="00D5464D">
        <w:rPr>
          <w:szCs w:val="20"/>
          <w:lang w:val="pt-BR"/>
        </w:rPr>
        <w:t xml:space="preserve">não foram apresentadas </w:t>
      </w:r>
      <w:r w:rsidR="002C330E" w:rsidRPr="00D5464D">
        <w:rPr>
          <w:szCs w:val="20"/>
          <w:lang w:val="pt-BR"/>
        </w:rPr>
        <w:t>razões</w:t>
      </w:r>
      <w:r w:rsidR="00A779B8" w:rsidRPr="00D5464D">
        <w:rPr>
          <w:szCs w:val="20"/>
          <w:lang w:val="pt-BR"/>
        </w:rPr>
        <w:t xml:space="preserve"> que expliqu</w:t>
      </w:r>
      <w:r w:rsidR="003F4971" w:rsidRPr="00D5464D">
        <w:rPr>
          <w:szCs w:val="20"/>
          <w:lang w:val="pt-BR"/>
        </w:rPr>
        <w:t xml:space="preserve">em </w:t>
      </w:r>
      <w:r w:rsidR="00470ADC" w:rsidRPr="00D5464D">
        <w:rPr>
          <w:szCs w:val="20"/>
          <w:lang w:val="pt-BR"/>
        </w:rPr>
        <w:t xml:space="preserve">a </w:t>
      </w:r>
      <w:r w:rsidR="00D81AA1" w:rsidRPr="00D5464D">
        <w:rPr>
          <w:szCs w:val="20"/>
          <w:lang w:val="pt-BR"/>
        </w:rPr>
        <w:t>in</w:t>
      </w:r>
      <w:r w:rsidR="00737270" w:rsidRPr="00D5464D">
        <w:rPr>
          <w:szCs w:val="20"/>
          <w:lang w:val="pt-BR"/>
        </w:rPr>
        <w:t>ação</w:t>
      </w:r>
      <w:r w:rsidR="00470ADC" w:rsidRPr="00D5464D">
        <w:rPr>
          <w:szCs w:val="20"/>
          <w:lang w:val="pt-BR"/>
        </w:rPr>
        <w:t xml:space="preserve"> das </w:t>
      </w:r>
      <w:r w:rsidR="00A779B8" w:rsidRPr="00D5464D">
        <w:rPr>
          <w:szCs w:val="20"/>
          <w:lang w:val="pt-BR"/>
        </w:rPr>
        <w:t xml:space="preserve">autoridades </w:t>
      </w:r>
      <w:r w:rsidR="002C330E" w:rsidRPr="00D5464D">
        <w:rPr>
          <w:szCs w:val="20"/>
          <w:lang w:val="pt-BR"/>
        </w:rPr>
        <w:t xml:space="preserve">judiciais nem </w:t>
      </w:r>
      <w:r w:rsidR="00470ADC" w:rsidRPr="00D5464D">
        <w:rPr>
          <w:szCs w:val="20"/>
          <w:lang w:val="pt-BR"/>
        </w:rPr>
        <w:t xml:space="preserve">o </w:t>
      </w:r>
      <w:r w:rsidR="003F4971" w:rsidRPr="00D5464D">
        <w:rPr>
          <w:szCs w:val="20"/>
          <w:lang w:val="pt-BR"/>
        </w:rPr>
        <w:t>a</w:t>
      </w:r>
      <w:r w:rsidR="00D81AA1" w:rsidRPr="00D5464D">
        <w:rPr>
          <w:szCs w:val="20"/>
          <w:lang w:val="pt-BR"/>
        </w:rPr>
        <w:t>traso derivado</w:t>
      </w:r>
      <w:r w:rsidR="00470ADC" w:rsidRPr="00D5464D">
        <w:rPr>
          <w:szCs w:val="20"/>
          <w:lang w:val="pt-BR"/>
        </w:rPr>
        <w:t xml:space="preserve"> dos conflito</w:t>
      </w:r>
      <w:r w:rsidR="00D81AA1" w:rsidRPr="00D5464D">
        <w:rPr>
          <w:szCs w:val="20"/>
          <w:lang w:val="pt-BR"/>
        </w:rPr>
        <w:t xml:space="preserve">s de </w:t>
      </w:r>
      <w:r w:rsidR="00470ADC" w:rsidRPr="00D5464D">
        <w:rPr>
          <w:szCs w:val="20"/>
          <w:lang w:val="pt-BR"/>
        </w:rPr>
        <w:t>competência</w:t>
      </w:r>
      <w:r w:rsidR="00D81AA1" w:rsidRPr="00D5464D">
        <w:rPr>
          <w:szCs w:val="20"/>
          <w:lang w:val="pt-BR"/>
        </w:rPr>
        <w:t xml:space="preserve">. </w:t>
      </w:r>
      <w:r w:rsidR="00350187" w:rsidRPr="00D5464D">
        <w:rPr>
          <w:szCs w:val="20"/>
          <w:lang w:val="pt-BR"/>
        </w:rPr>
        <w:t xml:space="preserve">Por isso, </w:t>
      </w:r>
      <w:r w:rsidR="002C330E" w:rsidRPr="00D5464D">
        <w:rPr>
          <w:szCs w:val="20"/>
          <w:lang w:val="pt-BR"/>
        </w:rPr>
        <w:t xml:space="preserve">a </w:t>
      </w:r>
      <w:r w:rsidR="00D81AA1" w:rsidRPr="00D5464D">
        <w:rPr>
          <w:szCs w:val="20"/>
          <w:lang w:val="pt-BR"/>
        </w:rPr>
        <w:t xml:space="preserve">Corte </w:t>
      </w:r>
      <w:r w:rsidR="000E4F31" w:rsidRPr="00D5464D">
        <w:rPr>
          <w:szCs w:val="20"/>
          <w:lang w:val="pt-BR"/>
        </w:rPr>
        <w:t>verifica</w:t>
      </w:r>
      <w:r w:rsidR="00D81AA1" w:rsidRPr="00D5464D">
        <w:rPr>
          <w:rFonts w:cs="Arial"/>
          <w:szCs w:val="20"/>
          <w:lang w:val="pt-BR"/>
        </w:rPr>
        <w:t xml:space="preserve"> que</w:t>
      </w:r>
      <w:r w:rsidR="002C330E" w:rsidRPr="00D5464D">
        <w:rPr>
          <w:rFonts w:cs="Arial"/>
          <w:szCs w:val="20"/>
          <w:lang w:val="pt-BR"/>
        </w:rPr>
        <w:t xml:space="preserve"> as </w:t>
      </w:r>
      <w:r w:rsidR="00D81AA1" w:rsidRPr="00D5464D">
        <w:rPr>
          <w:rFonts w:cs="Arial"/>
          <w:szCs w:val="20"/>
          <w:lang w:val="pt-BR"/>
        </w:rPr>
        <w:t xml:space="preserve">autoridades </w:t>
      </w:r>
      <w:r w:rsidR="002C330E" w:rsidRPr="00D5464D">
        <w:rPr>
          <w:rFonts w:cs="Arial"/>
          <w:szCs w:val="20"/>
          <w:lang w:val="pt-BR"/>
        </w:rPr>
        <w:t>judiciais</w:t>
      </w:r>
      <w:r w:rsidR="00D81AA1" w:rsidRPr="00D5464D">
        <w:rPr>
          <w:rFonts w:cs="Arial"/>
          <w:szCs w:val="20"/>
          <w:lang w:val="pt-BR"/>
        </w:rPr>
        <w:t xml:space="preserve"> </w:t>
      </w:r>
      <w:r w:rsidR="003F4971" w:rsidRPr="00D5464D">
        <w:rPr>
          <w:rFonts w:cs="Arial"/>
          <w:szCs w:val="20"/>
          <w:lang w:val="pt-BR"/>
        </w:rPr>
        <w:t xml:space="preserve">não buscaram </w:t>
      </w:r>
      <w:r w:rsidR="00D81AA1" w:rsidRPr="00D5464D">
        <w:rPr>
          <w:rFonts w:cs="Arial"/>
          <w:szCs w:val="20"/>
          <w:lang w:val="pt-BR"/>
        </w:rPr>
        <w:t>que</w:t>
      </w:r>
      <w:r w:rsidR="00470ADC" w:rsidRPr="00D5464D">
        <w:rPr>
          <w:rFonts w:cs="Arial"/>
          <w:szCs w:val="20"/>
          <w:lang w:val="pt-BR"/>
        </w:rPr>
        <w:t xml:space="preserve"> o</w:t>
      </w:r>
      <w:r w:rsidR="002C330E" w:rsidRPr="00D5464D">
        <w:rPr>
          <w:rFonts w:cs="Arial"/>
          <w:szCs w:val="20"/>
          <w:lang w:val="pt-BR"/>
        </w:rPr>
        <w:t xml:space="preserve"> prazo</w:t>
      </w:r>
      <w:r w:rsidR="00D81AA1" w:rsidRPr="00D5464D">
        <w:rPr>
          <w:rFonts w:cs="Arial"/>
          <w:szCs w:val="20"/>
          <w:lang w:val="pt-BR"/>
        </w:rPr>
        <w:t xml:space="preserve"> </w:t>
      </w:r>
      <w:r w:rsidR="002C330E" w:rsidRPr="00D5464D">
        <w:rPr>
          <w:rFonts w:cs="Arial"/>
          <w:szCs w:val="20"/>
          <w:lang w:val="pt-BR"/>
        </w:rPr>
        <w:t xml:space="preserve">razoável </w:t>
      </w:r>
      <w:r w:rsidR="00470ADC" w:rsidRPr="00D5464D">
        <w:rPr>
          <w:rFonts w:cs="Arial"/>
          <w:szCs w:val="20"/>
          <w:lang w:val="pt-BR"/>
        </w:rPr>
        <w:t>fo</w:t>
      </w:r>
      <w:r w:rsidR="003F4971" w:rsidRPr="00D5464D">
        <w:rPr>
          <w:rFonts w:cs="Arial"/>
          <w:szCs w:val="20"/>
          <w:lang w:val="pt-BR"/>
        </w:rPr>
        <w:t>sse</w:t>
      </w:r>
      <w:r w:rsidR="00FB5B8D" w:rsidRPr="00D5464D">
        <w:rPr>
          <w:rFonts w:cs="Arial"/>
          <w:szCs w:val="20"/>
          <w:lang w:val="pt-BR"/>
        </w:rPr>
        <w:t xml:space="preserve"> </w:t>
      </w:r>
      <w:r w:rsidR="00230C71" w:rsidRPr="00D5464D">
        <w:rPr>
          <w:rFonts w:cs="Arial"/>
          <w:szCs w:val="20"/>
          <w:lang w:val="pt-BR"/>
        </w:rPr>
        <w:t>respeitado</w:t>
      </w:r>
      <w:r w:rsidR="00E045D9" w:rsidRPr="00D5464D">
        <w:rPr>
          <w:rFonts w:cs="Arial"/>
          <w:szCs w:val="20"/>
          <w:lang w:val="pt-BR"/>
        </w:rPr>
        <w:t xml:space="preserve"> </w:t>
      </w:r>
      <w:r w:rsidR="003F4971" w:rsidRPr="00D5464D">
        <w:rPr>
          <w:rFonts w:cs="Arial"/>
          <w:szCs w:val="20"/>
          <w:lang w:val="pt-BR"/>
        </w:rPr>
        <w:t xml:space="preserve">de forma diligente </w:t>
      </w:r>
      <w:r w:rsidR="00E045D9" w:rsidRPr="00D5464D">
        <w:rPr>
          <w:rFonts w:cs="Arial"/>
          <w:szCs w:val="20"/>
          <w:lang w:val="pt-BR"/>
        </w:rPr>
        <w:t xml:space="preserve">no </w:t>
      </w:r>
      <w:r w:rsidR="002C330E" w:rsidRPr="00D5464D">
        <w:rPr>
          <w:rFonts w:cs="Arial"/>
          <w:szCs w:val="20"/>
          <w:lang w:val="pt-BR"/>
        </w:rPr>
        <w:t>processo</w:t>
      </w:r>
      <w:r w:rsidR="00D81AA1" w:rsidRPr="00D5464D">
        <w:rPr>
          <w:rFonts w:cs="Arial"/>
          <w:szCs w:val="20"/>
          <w:lang w:val="pt-BR"/>
        </w:rPr>
        <w:t xml:space="preserve"> penal.</w:t>
      </w:r>
    </w:p>
    <w:p w14:paraId="760D4EDA" w14:textId="77777777" w:rsidR="00C66702" w:rsidRPr="00D5464D" w:rsidRDefault="00C66702" w:rsidP="00C66702">
      <w:pPr>
        <w:tabs>
          <w:tab w:val="clear" w:pos="4419"/>
          <w:tab w:val="clear" w:pos="8838"/>
        </w:tabs>
        <w:contextualSpacing/>
        <w:jc w:val="both"/>
        <w:rPr>
          <w:szCs w:val="20"/>
          <w:lang w:val="pt-BR"/>
        </w:rPr>
      </w:pPr>
    </w:p>
    <w:p w14:paraId="62E81566" w14:textId="759B78BC" w:rsidR="00D81AA1" w:rsidRPr="00D5464D" w:rsidRDefault="003F4971" w:rsidP="00D81AA1">
      <w:pPr>
        <w:numPr>
          <w:ilvl w:val="0"/>
          <w:numId w:val="1"/>
        </w:numPr>
        <w:tabs>
          <w:tab w:val="clear" w:pos="4419"/>
          <w:tab w:val="clear" w:pos="8838"/>
        </w:tabs>
        <w:contextualSpacing/>
        <w:jc w:val="both"/>
        <w:rPr>
          <w:szCs w:val="20"/>
          <w:lang w:val="pt-BR"/>
        </w:rPr>
      </w:pPr>
      <w:r w:rsidRPr="00D5464D">
        <w:rPr>
          <w:rFonts w:cs="Arial"/>
          <w:szCs w:val="20"/>
          <w:lang w:val="pt-BR"/>
        </w:rPr>
        <w:t xml:space="preserve">No </w:t>
      </w:r>
      <w:r w:rsidR="002C330E" w:rsidRPr="00D5464D">
        <w:rPr>
          <w:rFonts w:cs="Arial"/>
          <w:szCs w:val="20"/>
          <w:lang w:val="pt-BR"/>
        </w:rPr>
        <w:t xml:space="preserve">que </w:t>
      </w:r>
      <w:r w:rsidR="00EE377A" w:rsidRPr="00D5464D">
        <w:rPr>
          <w:rFonts w:cs="Arial"/>
          <w:szCs w:val="20"/>
          <w:lang w:val="pt-BR"/>
        </w:rPr>
        <w:t>diz respeito</w:t>
      </w:r>
      <w:r w:rsidR="00FF1290" w:rsidRPr="00D5464D">
        <w:rPr>
          <w:rFonts w:cs="Arial"/>
          <w:szCs w:val="20"/>
          <w:lang w:val="pt-BR"/>
        </w:rPr>
        <w:t xml:space="preserve"> </w:t>
      </w:r>
      <w:r w:rsidR="00470ADC" w:rsidRPr="00D5464D">
        <w:rPr>
          <w:rFonts w:cs="Arial"/>
          <w:szCs w:val="20"/>
          <w:lang w:val="pt-BR"/>
        </w:rPr>
        <w:t xml:space="preserve">à </w:t>
      </w:r>
      <w:r w:rsidR="002C330E" w:rsidRPr="00D5464D">
        <w:rPr>
          <w:rFonts w:cs="Arial"/>
          <w:szCs w:val="20"/>
          <w:lang w:val="pt-BR"/>
        </w:rPr>
        <w:t>prescrição</w:t>
      </w:r>
      <w:r w:rsidR="00470ADC" w:rsidRPr="00D5464D">
        <w:rPr>
          <w:rFonts w:cs="Arial"/>
          <w:szCs w:val="20"/>
          <w:lang w:val="pt-BR"/>
        </w:rPr>
        <w:t xml:space="preserve"> da </w:t>
      </w:r>
      <w:r w:rsidR="00737270" w:rsidRPr="00D5464D">
        <w:rPr>
          <w:rFonts w:cs="Arial"/>
          <w:szCs w:val="20"/>
          <w:lang w:val="pt-BR"/>
        </w:rPr>
        <w:t>ação</w:t>
      </w:r>
      <w:r w:rsidR="00D81AA1" w:rsidRPr="00D5464D">
        <w:rPr>
          <w:rFonts w:cs="Arial"/>
          <w:szCs w:val="20"/>
          <w:lang w:val="pt-BR"/>
        </w:rPr>
        <w:t xml:space="preserve"> penal,</w:t>
      </w:r>
      <w:r w:rsidR="002C330E" w:rsidRPr="00D5464D">
        <w:rPr>
          <w:rFonts w:cs="Arial"/>
          <w:szCs w:val="20"/>
          <w:lang w:val="pt-BR"/>
        </w:rPr>
        <w:t xml:space="preserve"> a </w:t>
      </w:r>
      <w:r w:rsidR="00D81AA1" w:rsidRPr="00D5464D">
        <w:rPr>
          <w:rFonts w:cs="Arial"/>
          <w:szCs w:val="20"/>
          <w:lang w:val="pt-BR"/>
        </w:rPr>
        <w:t>Corte observa que</w:t>
      </w:r>
      <w:r w:rsidR="002C330E" w:rsidRPr="00D5464D">
        <w:rPr>
          <w:rFonts w:cs="Arial"/>
          <w:szCs w:val="20"/>
          <w:lang w:val="pt-BR"/>
        </w:rPr>
        <w:t xml:space="preserve"> a mesm</w:t>
      </w:r>
      <w:r w:rsidR="00D81AA1" w:rsidRPr="00D5464D">
        <w:rPr>
          <w:rFonts w:cs="Arial"/>
          <w:szCs w:val="20"/>
          <w:lang w:val="pt-BR"/>
        </w:rPr>
        <w:t>a</w:t>
      </w:r>
      <w:r w:rsidR="00470ADC" w:rsidRPr="00D5464D">
        <w:rPr>
          <w:rFonts w:cs="Arial"/>
          <w:szCs w:val="20"/>
          <w:lang w:val="pt-BR"/>
        </w:rPr>
        <w:t xml:space="preserve"> foi </w:t>
      </w:r>
      <w:r w:rsidR="00D81AA1" w:rsidRPr="00D5464D">
        <w:rPr>
          <w:rFonts w:cs="Arial"/>
          <w:szCs w:val="20"/>
          <w:lang w:val="pt-BR"/>
        </w:rPr>
        <w:t>aplicada conforme</w:t>
      </w:r>
      <w:r w:rsidR="00470ADC" w:rsidRPr="00D5464D">
        <w:rPr>
          <w:rFonts w:cs="Arial"/>
          <w:szCs w:val="20"/>
          <w:lang w:val="pt-BR"/>
        </w:rPr>
        <w:t xml:space="preserve"> </w:t>
      </w:r>
      <w:r w:rsidR="00EE377A" w:rsidRPr="00D5464D">
        <w:rPr>
          <w:rFonts w:cs="Arial"/>
          <w:szCs w:val="20"/>
          <w:lang w:val="pt-BR"/>
        </w:rPr>
        <w:t>a</w:t>
      </w:r>
      <w:r w:rsidR="00470ADC" w:rsidRPr="00D5464D">
        <w:rPr>
          <w:rFonts w:cs="Arial"/>
          <w:szCs w:val="20"/>
          <w:lang w:val="pt-BR"/>
        </w:rPr>
        <w:t xml:space="preserve"> </w:t>
      </w:r>
      <w:r w:rsidR="00D81AA1" w:rsidRPr="00D5464D">
        <w:rPr>
          <w:rFonts w:cs="Arial"/>
          <w:szCs w:val="20"/>
          <w:lang w:val="pt-BR"/>
        </w:rPr>
        <w:t>interpreta</w:t>
      </w:r>
      <w:r w:rsidR="00470ADC" w:rsidRPr="00D5464D">
        <w:rPr>
          <w:rFonts w:cs="Arial"/>
          <w:szCs w:val="20"/>
          <w:lang w:val="pt-BR"/>
        </w:rPr>
        <w:t xml:space="preserve">ção da </w:t>
      </w:r>
      <w:r w:rsidR="00D81AA1" w:rsidRPr="00D5464D">
        <w:rPr>
          <w:rFonts w:cs="Arial"/>
          <w:szCs w:val="20"/>
          <w:lang w:val="pt-BR"/>
        </w:rPr>
        <w:t>legisla</w:t>
      </w:r>
      <w:r w:rsidR="00470ADC" w:rsidRPr="00D5464D">
        <w:rPr>
          <w:rFonts w:cs="Arial"/>
          <w:szCs w:val="20"/>
          <w:lang w:val="pt-BR"/>
        </w:rPr>
        <w:t>ção</w:t>
      </w:r>
      <w:r w:rsidR="00D81AA1" w:rsidRPr="00D5464D">
        <w:rPr>
          <w:rFonts w:cs="Arial"/>
          <w:szCs w:val="20"/>
          <w:lang w:val="pt-BR"/>
        </w:rPr>
        <w:t xml:space="preserve"> </w:t>
      </w:r>
      <w:r w:rsidR="00470ADC" w:rsidRPr="00D5464D">
        <w:rPr>
          <w:rFonts w:cs="Arial"/>
          <w:szCs w:val="20"/>
          <w:lang w:val="pt-BR"/>
        </w:rPr>
        <w:t>brasileir</w:t>
      </w:r>
      <w:r w:rsidR="00D81AA1" w:rsidRPr="00D5464D">
        <w:rPr>
          <w:rFonts w:cs="Arial"/>
          <w:szCs w:val="20"/>
          <w:lang w:val="pt-BR"/>
        </w:rPr>
        <w:t>a vigente</w:t>
      </w:r>
      <w:r w:rsidR="00470ADC" w:rsidRPr="00D5464D">
        <w:rPr>
          <w:rFonts w:cs="Arial"/>
          <w:szCs w:val="20"/>
          <w:lang w:val="pt-BR"/>
        </w:rPr>
        <w:t xml:space="preserve"> ao </w:t>
      </w:r>
      <w:r w:rsidR="00D81AA1" w:rsidRPr="00D5464D">
        <w:rPr>
          <w:rFonts w:cs="Arial"/>
          <w:szCs w:val="20"/>
          <w:lang w:val="pt-BR"/>
        </w:rPr>
        <w:t>momento</w:t>
      </w:r>
      <w:r w:rsidR="00470ADC" w:rsidRPr="00D5464D">
        <w:rPr>
          <w:rFonts w:cs="Arial"/>
          <w:szCs w:val="20"/>
          <w:lang w:val="pt-BR"/>
        </w:rPr>
        <w:t xml:space="preserve"> dos </w:t>
      </w:r>
      <w:r w:rsidR="002C330E" w:rsidRPr="00D5464D">
        <w:rPr>
          <w:rFonts w:cs="Arial"/>
          <w:szCs w:val="20"/>
          <w:lang w:val="pt-BR"/>
        </w:rPr>
        <w:t>fatos</w:t>
      </w:r>
      <w:r w:rsidR="00D81AA1" w:rsidRPr="00D5464D">
        <w:rPr>
          <w:rFonts w:cs="Arial"/>
          <w:szCs w:val="20"/>
          <w:lang w:val="pt-BR"/>
        </w:rPr>
        <w:t xml:space="preserve">. </w:t>
      </w:r>
      <w:r w:rsidRPr="00D5464D">
        <w:rPr>
          <w:rFonts w:cs="Arial"/>
          <w:szCs w:val="20"/>
          <w:lang w:val="pt-BR"/>
        </w:rPr>
        <w:t xml:space="preserve">Não </w:t>
      </w:r>
      <w:r w:rsidR="00D81AA1" w:rsidRPr="00D5464D">
        <w:rPr>
          <w:rFonts w:cs="Arial"/>
          <w:szCs w:val="20"/>
          <w:lang w:val="pt-BR"/>
        </w:rPr>
        <w:t>obstante,</w:t>
      </w:r>
      <w:r w:rsidR="002C330E" w:rsidRPr="00D5464D">
        <w:rPr>
          <w:rFonts w:cs="Arial"/>
          <w:szCs w:val="20"/>
          <w:lang w:val="pt-BR"/>
        </w:rPr>
        <w:t xml:space="preserve"> a </w:t>
      </w:r>
      <w:r w:rsidR="00D81AA1" w:rsidRPr="00D5464D">
        <w:rPr>
          <w:rFonts w:cs="Arial"/>
          <w:szCs w:val="20"/>
          <w:lang w:val="pt-BR"/>
        </w:rPr>
        <w:t>Corte nota que</w:t>
      </w:r>
      <w:r w:rsidR="002C330E" w:rsidRPr="00D5464D">
        <w:rPr>
          <w:szCs w:val="20"/>
          <w:lang w:val="pt-BR"/>
        </w:rPr>
        <w:t xml:space="preserve"> a </w:t>
      </w:r>
      <w:r w:rsidR="00EE377A" w:rsidRPr="00D5464D">
        <w:rPr>
          <w:szCs w:val="20"/>
          <w:lang w:val="pt-BR"/>
        </w:rPr>
        <w:t xml:space="preserve">aplicação da </w:t>
      </w:r>
      <w:r w:rsidR="002C330E" w:rsidRPr="00D5464D">
        <w:rPr>
          <w:szCs w:val="20"/>
          <w:lang w:val="pt-BR"/>
        </w:rPr>
        <w:t>prescrição</w:t>
      </w:r>
      <w:r w:rsidR="00D81AA1" w:rsidRPr="00D5464D">
        <w:rPr>
          <w:szCs w:val="20"/>
          <w:lang w:val="pt-BR"/>
        </w:rPr>
        <w:t xml:space="preserve"> </w:t>
      </w:r>
      <w:r w:rsidR="00EE377A" w:rsidRPr="00D5464D">
        <w:rPr>
          <w:szCs w:val="20"/>
          <w:lang w:val="pt-BR"/>
        </w:rPr>
        <w:t>se deu sob o fundamento</w:t>
      </w:r>
      <w:r w:rsidR="00FF1290" w:rsidRPr="00D5464D">
        <w:rPr>
          <w:szCs w:val="20"/>
          <w:lang w:val="pt-BR"/>
        </w:rPr>
        <w:t xml:space="preserve"> </w:t>
      </w:r>
      <w:r w:rsidR="00EE377A" w:rsidRPr="00D5464D">
        <w:rPr>
          <w:szCs w:val="20"/>
          <w:lang w:val="pt-BR"/>
        </w:rPr>
        <w:t xml:space="preserve">de </w:t>
      </w:r>
      <w:r w:rsidR="00D81AA1" w:rsidRPr="00D5464D">
        <w:rPr>
          <w:szCs w:val="20"/>
          <w:lang w:val="pt-BR"/>
        </w:rPr>
        <w:t>que “</w:t>
      </w:r>
      <w:r w:rsidR="004665B2" w:rsidRPr="00D5464D">
        <w:rPr>
          <w:rFonts w:cs="Arial"/>
          <w:szCs w:val="20"/>
          <w:lang w:val="pt-BR"/>
        </w:rPr>
        <w:t>haviam passado mais de 10 anos desde a apresentação da denúncia, a pena máxima a aplicar-se era de 8 anos e a prescrição da pena seria de 12 anos, [de maneira que] apenas no caso de serem condenados à pena máxima não se daria a prescrição</w:t>
      </w:r>
      <w:r w:rsidR="00D81AA1" w:rsidRPr="00D5464D">
        <w:rPr>
          <w:rFonts w:cs="Arial"/>
          <w:szCs w:val="20"/>
          <w:lang w:val="pt-BR"/>
        </w:rPr>
        <w:t>”</w:t>
      </w:r>
      <w:r w:rsidR="00A1358C" w:rsidRPr="00D5464D">
        <w:rPr>
          <w:szCs w:val="20"/>
          <w:lang w:val="pt-BR"/>
        </w:rPr>
        <w:t xml:space="preserve">. </w:t>
      </w:r>
      <w:r w:rsidRPr="00D5464D">
        <w:rPr>
          <w:szCs w:val="20"/>
          <w:lang w:val="pt-BR"/>
        </w:rPr>
        <w:t xml:space="preserve">A passagem </w:t>
      </w:r>
      <w:r w:rsidR="00470ADC" w:rsidRPr="00D5464D">
        <w:rPr>
          <w:szCs w:val="20"/>
          <w:lang w:val="pt-BR"/>
        </w:rPr>
        <w:t xml:space="preserve">do </w:t>
      </w:r>
      <w:r w:rsidR="00E045D9" w:rsidRPr="00D5464D">
        <w:rPr>
          <w:szCs w:val="20"/>
          <w:lang w:val="pt-BR"/>
        </w:rPr>
        <w:t>tempo</w:t>
      </w:r>
      <w:r w:rsidR="00D81AA1" w:rsidRPr="00D5464D">
        <w:rPr>
          <w:szCs w:val="20"/>
          <w:lang w:val="pt-BR"/>
        </w:rPr>
        <w:t xml:space="preserve"> que eventualmente </w:t>
      </w:r>
      <w:r w:rsidRPr="00D5464D">
        <w:rPr>
          <w:szCs w:val="20"/>
          <w:lang w:val="pt-BR"/>
        </w:rPr>
        <w:t xml:space="preserve">provocou </w:t>
      </w:r>
      <w:r w:rsidR="002C330E" w:rsidRPr="00D5464D">
        <w:rPr>
          <w:szCs w:val="20"/>
          <w:lang w:val="pt-BR"/>
        </w:rPr>
        <w:t>a prescrição</w:t>
      </w:r>
      <w:r w:rsidR="00470ADC" w:rsidRPr="00D5464D">
        <w:rPr>
          <w:szCs w:val="20"/>
          <w:lang w:val="pt-BR"/>
        </w:rPr>
        <w:t xml:space="preserve"> é </w:t>
      </w:r>
      <w:r w:rsidR="00D81AA1" w:rsidRPr="00D5464D">
        <w:rPr>
          <w:szCs w:val="20"/>
          <w:lang w:val="pt-BR"/>
        </w:rPr>
        <w:t>resultado</w:t>
      </w:r>
      <w:r w:rsidR="00470ADC" w:rsidRPr="00D5464D">
        <w:rPr>
          <w:szCs w:val="20"/>
          <w:lang w:val="pt-BR"/>
        </w:rPr>
        <w:t xml:space="preserve"> da </w:t>
      </w:r>
      <w:r w:rsidR="00D81AA1" w:rsidRPr="00D5464D">
        <w:rPr>
          <w:szCs w:val="20"/>
          <w:lang w:val="pt-BR"/>
        </w:rPr>
        <w:t xml:space="preserve">falta de </w:t>
      </w:r>
      <w:r w:rsidR="00470ADC" w:rsidRPr="00D5464D">
        <w:rPr>
          <w:szCs w:val="20"/>
          <w:lang w:val="pt-BR"/>
        </w:rPr>
        <w:t xml:space="preserve">diligência das </w:t>
      </w:r>
      <w:r w:rsidR="00D81AA1" w:rsidRPr="00D5464D">
        <w:rPr>
          <w:szCs w:val="20"/>
          <w:lang w:val="pt-BR"/>
        </w:rPr>
        <w:t xml:space="preserve">autoridades </w:t>
      </w:r>
      <w:r w:rsidR="002C330E" w:rsidRPr="00D5464D">
        <w:rPr>
          <w:szCs w:val="20"/>
          <w:lang w:val="pt-BR"/>
        </w:rPr>
        <w:t>judiciais</w:t>
      </w:r>
      <w:r w:rsidR="00D81AA1" w:rsidRPr="00D5464D">
        <w:rPr>
          <w:szCs w:val="20"/>
          <w:lang w:val="pt-BR"/>
        </w:rPr>
        <w:t xml:space="preserve"> </w:t>
      </w:r>
      <w:r w:rsidR="00470ADC" w:rsidRPr="00D5464D">
        <w:rPr>
          <w:szCs w:val="20"/>
          <w:lang w:val="pt-BR"/>
        </w:rPr>
        <w:t>brasileir</w:t>
      </w:r>
      <w:r w:rsidR="00D81AA1" w:rsidRPr="00D5464D">
        <w:rPr>
          <w:szCs w:val="20"/>
          <w:lang w:val="pt-BR"/>
        </w:rPr>
        <w:t xml:space="preserve">as, sobre </w:t>
      </w:r>
      <w:r w:rsidR="002C330E" w:rsidRPr="00D5464D">
        <w:rPr>
          <w:szCs w:val="20"/>
          <w:lang w:val="pt-BR"/>
        </w:rPr>
        <w:t>quem</w:t>
      </w:r>
      <w:r w:rsidR="00D81AA1" w:rsidRPr="00D5464D">
        <w:rPr>
          <w:szCs w:val="20"/>
          <w:lang w:val="pt-BR"/>
        </w:rPr>
        <w:t xml:space="preserve"> recaía</w:t>
      </w:r>
      <w:r w:rsidR="002C330E" w:rsidRPr="00D5464D">
        <w:rPr>
          <w:szCs w:val="20"/>
          <w:lang w:val="pt-BR"/>
        </w:rPr>
        <w:t xml:space="preserve"> a responsabilidade </w:t>
      </w:r>
      <w:r w:rsidR="00D81AA1" w:rsidRPr="00D5464D">
        <w:rPr>
          <w:szCs w:val="20"/>
          <w:lang w:val="pt-BR"/>
        </w:rPr>
        <w:t>de tomar todas</w:t>
      </w:r>
      <w:r w:rsidR="002C330E" w:rsidRPr="00D5464D">
        <w:rPr>
          <w:szCs w:val="20"/>
          <w:lang w:val="pt-BR"/>
        </w:rPr>
        <w:t xml:space="preserve"> as </w:t>
      </w:r>
      <w:r w:rsidR="00D81AA1" w:rsidRPr="00D5464D">
        <w:rPr>
          <w:szCs w:val="20"/>
          <w:lang w:val="pt-BR"/>
        </w:rPr>
        <w:t xml:space="preserve">medidas </w:t>
      </w:r>
      <w:r w:rsidR="002C330E" w:rsidRPr="00D5464D">
        <w:rPr>
          <w:szCs w:val="20"/>
          <w:lang w:val="pt-BR"/>
        </w:rPr>
        <w:t>necessári</w:t>
      </w:r>
      <w:r w:rsidR="00D81AA1" w:rsidRPr="00D5464D">
        <w:rPr>
          <w:szCs w:val="20"/>
          <w:lang w:val="pt-BR"/>
        </w:rPr>
        <w:t xml:space="preserve">as para investigar, </w:t>
      </w:r>
      <w:r w:rsidR="002C330E" w:rsidRPr="00D5464D">
        <w:rPr>
          <w:szCs w:val="20"/>
          <w:lang w:val="pt-BR"/>
        </w:rPr>
        <w:t>julgar</w:t>
      </w:r>
      <w:r w:rsidR="00E045D9" w:rsidRPr="00D5464D">
        <w:rPr>
          <w:szCs w:val="20"/>
          <w:lang w:val="pt-BR"/>
        </w:rPr>
        <w:t xml:space="preserve"> e,</w:t>
      </w:r>
      <w:r w:rsidR="00470ADC" w:rsidRPr="00D5464D">
        <w:rPr>
          <w:szCs w:val="20"/>
          <w:lang w:val="pt-BR"/>
        </w:rPr>
        <w:t xml:space="preserve"> </w:t>
      </w:r>
      <w:r w:rsidR="00E045D9" w:rsidRPr="00D5464D">
        <w:rPr>
          <w:szCs w:val="20"/>
          <w:lang w:val="pt-BR"/>
        </w:rPr>
        <w:t>se fo</w:t>
      </w:r>
      <w:r w:rsidRPr="00D5464D">
        <w:rPr>
          <w:szCs w:val="20"/>
          <w:lang w:val="pt-BR"/>
        </w:rPr>
        <w:t>sse</w:t>
      </w:r>
      <w:r w:rsidR="00E045D9" w:rsidRPr="00D5464D">
        <w:rPr>
          <w:szCs w:val="20"/>
          <w:lang w:val="pt-BR"/>
        </w:rPr>
        <w:t xml:space="preserve"> o caso</w:t>
      </w:r>
      <w:r w:rsidR="00C91CB1" w:rsidRPr="00D5464D">
        <w:rPr>
          <w:szCs w:val="20"/>
          <w:lang w:val="pt-BR"/>
        </w:rPr>
        <w:t>, punir os responsáveis</w:t>
      </w:r>
      <w:r w:rsidR="00D81AA1" w:rsidRPr="00D5464D">
        <w:rPr>
          <w:rStyle w:val="Refdenotaalpie"/>
          <w:lang w:val="pt-BR"/>
        </w:rPr>
        <w:footnoteReference w:id="493"/>
      </w:r>
      <w:r w:rsidR="00470ADC" w:rsidRPr="00D5464D">
        <w:rPr>
          <w:szCs w:val="20"/>
          <w:lang w:val="pt-BR"/>
        </w:rPr>
        <w:t xml:space="preserve"> e</w:t>
      </w:r>
      <w:r w:rsidR="00EE377A" w:rsidRPr="00D5464D">
        <w:rPr>
          <w:szCs w:val="20"/>
          <w:lang w:val="pt-BR"/>
        </w:rPr>
        <w:t>,</w:t>
      </w:r>
      <w:r w:rsidR="00D81AA1" w:rsidRPr="00D5464D">
        <w:rPr>
          <w:szCs w:val="20"/>
          <w:lang w:val="pt-BR"/>
        </w:rPr>
        <w:t xml:space="preserve"> como tal</w:t>
      </w:r>
      <w:r w:rsidRPr="00D5464D">
        <w:rPr>
          <w:szCs w:val="20"/>
          <w:lang w:val="pt-BR"/>
        </w:rPr>
        <w:t>,</w:t>
      </w:r>
      <w:r w:rsidR="00470ADC" w:rsidRPr="00D5464D">
        <w:rPr>
          <w:szCs w:val="20"/>
          <w:lang w:val="pt-BR"/>
        </w:rPr>
        <w:t xml:space="preserve"> é</w:t>
      </w:r>
      <w:r w:rsidR="00E045D9" w:rsidRPr="00D5464D">
        <w:rPr>
          <w:szCs w:val="20"/>
          <w:lang w:val="pt-BR"/>
        </w:rPr>
        <w:t xml:space="preserve"> uma </w:t>
      </w:r>
      <w:r w:rsidR="00470ADC" w:rsidRPr="00D5464D">
        <w:rPr>
          <w:szCs w:val="20"/>
          <w:lang w:val="pt-BR"/>
        </w:rPr>
        <w:t>questão</w:t>
      </w:r>
      <w:r w:rsidR="00D81AA1" w:rsidRPr="00D5464D">
        <w:rPr>
          <w:szCs w:val="20"/>
          <w:lang w:val="pt-BR"/>
        </w:rPr>
        <w:t xml:space="preserve"> </w:t>
      </w:r>
      <w:r w:rsidR="00230C71" w:rsidRPr="00D5464D">
        <w:rPr>
          <w:szCs w:val="20"/>
          <w:lang w:val="pt-BR"/>
        </w:rPr>
        <w:t>atribuível</w:t>
      </w:r>
      <w:r w:rsidR="00470ADC" w:rsidRPr="00D5464D">
        <w:rPr>
          <w:szCs w:val="20"/>
          <w:lang w:val="pt-BR"/>
        </w:rPr>
        <w:t xml:space="preserve"> ao </w:t>
      </w:r>
      <w:r w:rsidR="00D81AA1" w:rsidRPr="00D5464D">
        <w:rPr>
          <w:szCs w:val="20"/>
          <w:lang w:val="pt-BR"/>
        </w:rPr>
        <w:t>Estado</w:t>
      </w:r>
      <w:r w:rsidR="00C91CB1" w:rsidRPr="00D5464D">
        <w:rPr>
          <w:szCs w:val="20"/>
          <w:lang w:val="pt-BR"/>
        </w:rPr>
        <w:t xml:space="preserve">. </w:t>
      </w:r>
      <w:r w:rsidR="00EE377A" w:rsidRPr="00D5464D">
        <w:rPr>
          <w:szCs w:val="20"/>
          <w:lang w:val="pt-BR"/>
        </w:rPr>
        <w:t>Diante disso</w:t>
      </w:r>
      <w:r w:rsidR="00D81AA1" w:rsidRPr="00D5464D">
        <w:rPr>
          <w:rFonts w:cs="Arial"/>
          <w:szCs w:val="20"/>
          <w:lang w:val="pt-BR"/>
        </w:rPr>
        <w:t>,</w:t>
      </w:r>
      <w:r w:rsidR="002C330E" w:rsidRPr="00D5464D">
        <w:rPr>
          <w:rFonts w:cs="Arial"/>
          <w:szCs w:val="20"/>
          <w:lang w:val="pt-BR"/>
        </w:rPr>
        <w:t xml:space="preserve"> a </w:t>
      </w:r>
      <w:r w:rsidR="00D81AA1" w:rsidRPr="00D5464D">
        <w:rPr>
          <w:szCs w:val="20"/>
          <w:lang w:val="pt-BR"/>
        </w:rPr>
        <w:t>Corte considera</w:t>
      </w:r>
      <w:r w:rsidR="00D81AA1" w:rsidRPr="00D5464D">
        <w:rPr>
          <w:rFonts w:cs="Arial"/>
          <w:szCs w:val="20"/>
          <w:lang w:val="pt-BR"/>
        </w:rPr>
        <w:t xml:space="preserve"> que</w:t>
      </w:r>
      <w:r w:rsidR="002C330E" w:rsidRPr="00D5464D">
        <w:rPr>
          <w:rFonts w:cs="Arial"/>
          <w:szCs w:val="20"/>
          <w:lang w:val="pt-BR"/>
        </w:rPr>
        <w:t xml:space="preserve"> as </w:t>
      </w:r>
      <w:r w:rsidR="00D81AA1" w:rsidRPr="00D5464D">
        <w:rPr>
          <w:rFonts w:cs="Arial"/>
          <w:szCs w:val="20"/>
          <w:lang w:val="pt-BR"/>
        </w:rPr>
        <w:t xml:space="preserve">autoridades </w:t>
      </w:r>
      <w:r w:rsidRPr="00D5464D">
        <w:rPr>
          <w:rFonts w:cs="Arial"/>
          <w:szCs w:val="20"/>
          <w:lang w:val="pt-BR"/>
        </w:rPr>
        <w:t xml:space="preserve">não buscaram </w:t>
      </w:r>
      <w:r w:rsidR="00470ADC" w:rsidRPr="00D5464D">
        <w:rPr>
          <w:rFonts w:cs="Arial"/>
          <w:szCs w:val="20"/>
          <w:lang w:val="pt-BR"/>
        </w:rPr>
        <w:t>o avanço</w:t>
      </w:r>
      <w:r w:rsidR="00D81AA1" w:rsidRPr="00D5464D">
        <w:rPr>
          <w:rFonts w:cs="Arial"/>
          <w:szCs w:val="20"/>
          <w:lang w:val="pt-BR"/>
        </w:rPr>
        <w:t xml:space="preserve"> </w:t>
      </w:r>
      <w:r w:rsidR="00470ADC" w:rsidRPr="00D5464D">
        <w:rPr>
          <w:rFonts w:cs="Arial"/>
          <w:szCs w:val="20"/>
          <w:lang w:val="pt-BR"/>
        </w:rPr>
        <w:t xml:space="preserve">do </w:t>
      </w:r>
      <w:r w:rsidR="002C330E" w:rsidRPr="00D5464D">
        <w:rPr>
          <w:rFonts w:cs="Arial"/>
          <w:szCs w:val="20"/>
          <w:lang w:val="pt-BR"/>
        </w:rPr>
        <w:t>processo</w:t>
      </w:r>
      <w:r w:rsidRPr="00D5464D">
        <w:rPr>
          <w:rFonts w:cs="Arial"/>
          <w:szCs w:val="20"/>
          <w:lang w:val="pt-BR"/>
        </w:rPr>
        <w:t xml:space="preserve"> de forma diligente</w:t>
      </w:r>
      <w:r w:rsidR="00D81AA1" w:rsidRPr="00D5464D">
        <w:rPr>
          <w:rFonts w:cs="Arial"/>
          <w:szCs w:val="20"/>
          <w:lang w:val="pt-BR"/>
        </w:rPr>
        <w:t>,</w:t>
      </w:r>
      <w:r w:rsidR="002C330E" w:rsidRPr="00D5464D">
        <w:rPr>
          <w:rFonts w:cs="Arial"/>
          <w:szCs w:val="20"/>
          <w:lang w:val="pt-BR"/>
        </w:rPr>
        <w:t xml:space="preserve"> o que </w:t>
      </w:r>
      <w:r w:rsidRPr="00D5464D">
        <w:rPr>
          <w:rFonts w:cs="Arial"/>
          <w:szCs w:val="20"/>
          <w:lang w:val="pt-BR"/>
        </w:rPr>
        <w:t>culminou</w:t>
      </w:r>
      <w:r w:rsidR="00E045D9" w:rsidRPr="00D5464D">
        <w:rPr>
          <w:rFonts w:cs="Arial"/>
          <w:szCs w:val="20"/>
          <w:lang w:val="pt-BR"/>
        </w:rPr>
        <w:t xml:space="preserve"> na </w:t>
      </w:r>
      <w:r w:rsidR="002C330E" w:rsidRPr="00D5464D">
        <w:rPr>
          <w:rFonts w:cs="Arial"/>
          <w:szCs w:val="20"/>
          <w:lang w:val="pt-BR"/>
        </w:rPr>
        <w:t>prescrição</w:t>
      </w:r>
      <w:r w:rsidR="00470ADC" w:rsidRPr="00D5464D">
        <w:rPr>
          <w:rFonts w:cs="Arial"/>
          <w:szCs w:val="20"/>
          <w:lang w:val="pt-BR"/>
        </w:rPr>
        <w:t xml:space="preserve"> da </w:t>
      </w:r>
      <w:r w:rsidR="00737270" w:rsidRPr="00D5464D">
        <w:rPr>
          <w:rFonts w:cs="Arial"/>
          <w:szCs w:val="20"/>
          <w:lang w:val="pt-BR"/>
        </w:rPr>
        <w:t>ação</w:t>
      </w:r>
      <w:r w:rsidR="00D81AA1" w:rsidRPr="00D5464D">
        <w:rPr>
          <w:rFonts w:cs="Arial"/>
          <w:szCs w:val="20"/>
          <w:lang w:val="pt-BR"/>
        </w:rPr>
        <w:t xml:space="preserve"> penal. </w:t>
      </w:r>
    </w:p>
    <w:p w14:paraId="7C89E5AF" w14:textId="77777777" w:rsidR="001450BB" w:rsidRPr="00D5464D" w:rsidRDefault="001450BB" w:rsidP="001450BB">
      <w:pPr>
        <w:pStyle w:val="Ttulo6"/>
        <w:tabs>
          <w:tab w:val="clear" w:pos="3600"/>
        </w:tabs>
        <w:ind w:left="0" w:firstLine="0"/>
        <w:jc w:val="both"/>
        <w:rPr>
          <w:rFonts w:eastAsiaTheme="minorHAnsi" w:cstheme="minorBidi"/>
          <w:spacing w:val="0"/>
          <w:szCs w:val="22"/>
          <w:lang w:val="pt-BR" w:eastAsia="en-US"/>
        </w:rPr>
      </w:pPr>
    </w:p>
    <w:p w14:paraId="513D5F89" w14:textId="28219082" w:rsidR="00D81AA1" w:rsidRPr="00D5464D" w:rsidRDefault="00470ADC" w:rsidP="00F306D7">
      <w:pPr>
        <w:pStyle w:val="Ttulo6"/>
        <w:numPr>
          <w:ilvl w:val="0"/>
          <w:numId w:val="23"/>
        </w:numPr>
        <w:jc w:val="both"/>
        <w:rPr>
          <w:lang w:val="pt-BR"/>
        </w:rPr>
      </w:pPr>
      <w:r w:rsidRPr="00D5464D">
        <w:rPr>
          <w:i/>
          <w:lang w:val="pt-BR"/>
        </w:rPr>
        <w:t>Afetação</w:t>
      </w:r>
      <w:r w:rsidR="00D81AA1" w:rsidRPr="00D5464D">
        <w:rPr>
          <w:i/>
          <w:lang w:val="pt-BR"/>
        </w:rPr>
        <w:t xml:space="preserve"> </w:t>
      </w:r>
      <w:r w:rsidR="00350187" w:rsidRPr="00D5464D">
        <w:rPr>
          <w:i/>
          <w:lang w:val="pt-BR"/>
        </w:rPr>
        <w:t>gerad</w:t>
      </w:r>
      <w:r w:rsidR="00D81AA1" w:rsidRPr="00D5464D">
        <w:rPr>
          <w:i/>
          <w:lang w:val="pt-BR"/>
        </w:rPr>
        <w:t>a</w:t>
      </w:r>
      <w:r w:rsidR="00E045D9" w:rsidRPr="00D5464D">
        <w:rPr>
          <w:i/>
          <w:lang w:val="pt-BR"/>
        </w:rPr>
        <w:t xml:space="preserve"> na </w:t>
      </w:r>
      <w:r w:rsidR="00D81AA1" w:rsidRPr="00D5464D">
        <w:rPr>
          <w:i/>
          <w:lang w:val="pt-BR"/>
        </w:rPr>
        <w:t>situa</w:t>
      </w:r>
      <w:r w:rsidRPr="00D5464D">
        <w:rPr>
          <w:i/>
          <w:lang w:val="pt-BR"/>
        </w:rPr>
        <w:t>ção</w:t>
      </w:r>
      <w:r w:rsidR="00D81AA1" w:rsidRPr="00D5464D">
        <w:rPr>
          <w:i/>
          <w:lang w:val="pt-BR"/>
        </w:rPr>
        <w:t xml:space="preserve"> jurídica</w:t>
      </w:r>
      <w:r w:rsidRPr="00D5464D">
        <w:rPr>
          <w:i/>
          <w:lang w:val="pt-BR"/>
        </w:rPr>
        <w:t xml:space="preserve"> da </w:t>
      </w:r>
      <w:r w:rsidR="002C330E" w:rsidRPr="00D5464D">
        <w:rPr>
          <w:i/>
          <w:lang w:val="pt-BR"/>
        </w:rPr>
        <w:t>pessoa</w:t>
      </w:r>
      <w:r w:rsidR="00D81AA1" w:rsidRPr="00D5464D">
        <w:rPr>
          <w:i/>
          <w:lang w:val="pt-BR"/>
        </w:rPr>
        <w:t xml:space="preserve"> </w:t>
      </w:r>
      <w:r w:rsidR="00737270" w:rsidRPr="00D5464D">
        <w:rPr>
          <w:i/>
          <w:lang w:val="pt-BR"/>
        </w:rPr>
        <w:t>envolvida</w:t>
      </w:r>
      <w:r w:rsidR="00E045D9" w:rsidRPr="00D5464D">
        <w:rPr>
          <w:i/>
          <w:lang w:val="pt-BR"/>
        </w:rPr>
        <w:t xml:space="preserve"> no </w:t>
      </w:r>
      <w:r w:rsidR="002C330E" w:rsidRPr="00D5464D">
        <w:rPr>
          <w:i/>
          <w:lang w:val="pt-BR"/>
        </w:rPr>
        <w:t>processo</w:t>
      </w:r>
      <w:r w:rsidR="00D81AA1" w:rsidRPr="00D5464D">
        <w:rPr>
          <w:i/>
          <w:lang w:val="pt-BR"/>
        </w:rPr>
        <w:t xml:space="preserve"> e impactos</w:t>
      </w:r>
      <w:r w:rsidR="00E045D9" w:rsidRPr="00D5464D">
        <w:rPr>
          <w:i/>
          <w:lang w:val="pt-BR"/>
        </w:rPr>
        <w:t xml:space="preserve"> nos </w:t>
      </w:r>
      <w:r w:rsidRPr="00D5464D">
        <w:rPr>
          <w:i/>
          <w:lang w:val="pt-BR"/>
        </w:rPr>
        <w:t>direito</w:t>
      </w:r>
      <w:r w:rsidR="00D81AA1" w:rsidRPr="00D5464D">
        <w:rPr>
          <w:i/>
          <w:lang w:val="pt-BR"/>
        </w:rPr>
        <w:t>s</w:t>
      </w:r>
      <w:r w:rsidRPr="00D5464D">
        <w:rPr>
          <w:i/>
          <w:lang w:val="pt-BR"/>
        </w:rPr>
        <w:t xml:space="preserve"> da </w:t>
      </w:r>
      <w:r w:rsidR="002C330E" w:rsidRPr="00D5464D">
        <w:rPr>
          <w:i/>
          <w:lang w:val="pt-BR"/>
        </w:rPr>
        <w:t>mesm</w:t>
      </w:r>
      <w:r w:rsidR="00D81AA1" w:rsidRPr="00D5464D">
        <w:rPr>
          <w:i/>
          <w:lang w:val="pt-BR"/>
        </w:rPr>
        <w:t>a</w:t>
      </w:r>
    </w:p>
    <w:p w14:paraId="554421F1" w14:textId="77777777" w:rsidR="00DE3E58" w:rsidRPr="00D5464D" w:rsidRDefault="00DE3E58" w:rsidP="00DE3E58">
      <w:pPr>
        <w:tabs>
          <w:tab w:val="clear" w:pos="4419"/>
          <w:tab w:val="clear" w:pos="8838"/>
        </w:tabs>
        <w:contextualSpacing/>
        <w:jc w:val="both"/>
        <w:rPr>
          <w:szCs w:val="20"/>
          <w:lang w:val="pt-BR"/>
        </w:rPr>
      </w:pPr>
    </w:p>
    <w:p w14:paraId="671C2264" w14:textId="7DBC5430" w:rsidR="00D81AA1" w:rsidRPr="00D5464D" w:rsidRDefault="00470ADC" w:rsidP="00D81AA1">
      <w:pPr>
        <w:numPr>
          <w:ilvl w:val="0"/>
          <w:numId w:val="1"/>
        </w:numPr>
        <w:tabs>
          <w:tab w:val="clear" w:pos="4419"/>
          <w:tab w:val="clear" w:pos="8838"/>
        </w:tabs>
        <w:contextualSpacing/>
        <w:jc w:val="both"/>
        <w:rPr>
          <w:szCs w:val="20"/>
          <w:lang w:val="pt-BR"/>
        </w:rPr>
      </w:pPr>
      <w:r w:rsidRPr="00D5464D">
        <w:rPr>
          <w:szCs w:val="20"/>
          <w:lang w:val="pt-BR"/>
        </w:rPr>
        <w:t xml:space="preserve">A </w:t>
      </w:r>
      <w:r w:rsidR="00D81AA1" w:rsidRPr="00D5464D">
        <w:rPr>
          <w:szCs w:val="20"/>
          <w:lang w:val="pt-BR"/>
        </w:rPr>
        <w:t xml:space="preserve">Corte </w:t>
      </w:r>
      <w:r w:rsidR="00E045D9" w:rsidRPr="00D5464D">
        <w:rPr>
          <w:szCs w:val="20"/>
          <w:lang w:val="pt-BR"/>
        </w:rPr>
        <w:t>recorda</w:t>
      </w:r>
      <w:r w:rsidR="00D81AA1" w:rsidRPr="00D5464D">
        <w:rPr>
          <w:szCs w:val="20"/>
          <w:lang w:val="pt-BR"/>
        </w:rPr>
        <w:t xml:space="preserve"> que, para determinar</w:t>
      </w:r>
      <w:r w:rsidR="002C330E" w:rsidRPr="00D5464D">
        <w:rPr>
          <w:szCs w:val="20"/>
          <w:lang w:val="pt-BR"/>
        </w:rPr>
        <w:t xml:space="preserve"> a </w:t>
      </w:r>
      <w:r w:rsidR="00E045D9" w:rsidRPr="00D5464D">
        <w:rPr>
          <w:szCs w:val="20"/>
          <w:lang w:val="pt-BR"/>
        </w:rPr>
        <w:t>razoabilidade</w:t>
      </w:r>
      <w:r w:rsidR="00D81AA1" w:rsidRPr="00D5464D">
        <w:rPr>
          <w:szCs w:val="20"/>
          <w:lang w:val="pt-BR"/>
        </w:rPr>
        <w:t xml:space="preserve"> </w:t>
      </w:r>
      <w:r w:rsidRPr="00D5464D">
        <w:rPr>
          <w:szCs w:val="20"/>
          <w:lang w:val="pt-BR"/>
        </w:rPr>
        <w:t>do</w:t>
      </w:r>
      <w:r w:rsidR="002C330E" w:rsidRPr="00D5464D">
        <w:rPr>
          <w:szCs w:val="20"/>
          <w:lang w:val="pt-BR"/>
        </w:rPr>
        <w:t xml:space="preserve"> prazo</w:t>
      </w:r>
      <w:r w:rsidR="00D81AA1" w:rsidRPr="00D5464D">
        <w:rPr>
          <w:szCs w:val="20"/>
          <w:lang w:val="pt-BR"/>
        </w:rPr>
        <w:t xml:space="preserve"> </w:t>
      </w:r>
      <w:r w:rsidRPr="00D5464D">
        <w:rPr>
          <w:szCs w:val="20"/>
          <w:lang w:val="pt-BR"/>
        </w:rPr>
        <w:t>deve</w:t>
      </w:r>
      <w:r w:rsidR="004665B2" w:rsidRPr="00D5464D">
        <w:rPr>
          <w:szCs w:val="20"/>
          <w:lang w:val="pt-BR"/>
        </w:rPr>
        <w:t>-se</w:t>
      </w:r>
      <w:r w:rsidRPr="00D5464D">
        <w:rPr>
          <w:szCs w:val="20"/>
          <w:lang w:val="pt-BR"/>
        </w:rPr>
        <w:t xml:space="preserve"> </w:t>
      </w:r>
      <w:r w:rsidR="004665B2" w:rsidRPr="00D5464D">
        <w:rPr>
          <w:szCs w:val="20"/>
          <w:lang w:val="pt-BR"/>
        </w:rPr>
        <w:t xml:space="preserve">levar em consideração </w:t>
      </w:r>
      <w:r w:rsidR="002C330E" w:rsidRPr="00D5464D">
        <w:rPr>
          <w:szCs w:val="20"/>
          <w:lang w:val="pt-BR"/>
        </w:rPr>
        <w:t xml:space="preserve">a </w:t>
      </w:r>
      <w:r w:rsidRPr="00D5464D">
        <w:rPr>
          <w:szCs w:val="20"/>
          <w:lang w:val="pt-BR"/>
        </w:rPr>
        <w:t>afetação</w:t>
      </w:r>
      <w:r w:rsidR="00D81AA1" w:rsidRPr="00D5464D">
        <w:rPr>
          <w:szCs w:val="20"/>
          <w:lang w:val="pt-BR"/>
        </w:rPr>
        <w:t xml:space="preserve"> </w:t>
      </w:r>
      <w:r w:rsidR="00350187" w:rsidRPr="00D5464D">
        <w:rPr>
          <w:szCs w:val="20"/>
          <w:lang w:val="pt-BR"/>
        </w:rPr>
        <w:t>gerad</w:t>
      </w:r>
      <w:r w:rsidR="00D81AA1" w:rsidRPr="00D5464D">
        <w:rPr>
          <w:szCs w:val="20"/>
          <w:lang w:val="pt-BR"/>
        </w:rPr>
        <w:t>a</w:t>
      </w:r>
      <w:r w:rsidR="002C330E" w:rsidRPr="00D5464D">
        <w:rPr>
          <w:szCs w:val="20"/>
          <w:lang w:val="pt-BR"/>
        </w:rPr>
        <w:t xml:space="preserve"> pela </w:t>
      </w:r>
      <w:r w:rsidR="00D81AA1" w:rsidRPr="00D5464D">
        <w:rPr>
          <w:szCs w:val="20"/>
          <w:lang w:val="pt-BR"/>
        </w:rPr>
        <w:t>dura</w:t>
      </w:r>
      <w:r w:rsidRPr="00D5464D">
        <w:rPr>
          <w:szCs w:val="20"/>
          <w:lang w:val="pt-BR"/>
        </w:rPr>
        <w:t>ção</w:t>
      </w:r>
      <w:r w:rsidR="00D81AA1" w:rsidRPr="00D5464D">
        <w:rPr>
          <w:szCs w:val="20"/>
          <w:lang w:val="pt-BR"/>
        </w:rPr>
        <w:t xml:space="preserve"> </w:t>
      </w:r>
      <w:r w:rsidRPr="00D5464D">
        <w:rPr>
          <w:szCs w:val="20"/>
          <w:lang w:val="pt-BR"/>
        </w:rPr>
        <w:t xml:space="preserve">do </w:t>
      </w:r>
      <w:r w:rsidR="002C330E" w:rsidRPr="00D5464D">
        <w:rPr>
          <w:szCs w:val="20"/>
          <w:lang w:val="pt-BR"/>
        </w:rPr>
        <w:t>procedimento</w:t>
      </w:r>
      <w:r w:rsidR="00E045D9" w:rsidRPr="00D5464D">
        <w:rPr>
          <w:szCs w:val="20"/>
          <w:lang w:val="pt-BR"/>
        </w:rPr>
        <w:t xml:space="preserve"> na </w:t>
      </w:r>
      <w:r w:rsidR="00D81AA1" w:rsidRPr="00D5464D">
        <w:rPr>
          <w:szCs w:val="20"/>
          <w:lang w:val="pt-BR"/>
        </w:rPr>
        <w:t>situa</w:t>
      </w:r>
      <w:r w:rsidRPr="00D5464D">
        <w:rPr>
          <w:szCs w:val="20"/>
          <w:lang w:val="pt-BR"/>
        </w:rPr>
        <w:t>ção</w:t>
      </w:r>
      <w:r w:rsidR="00D81AA1" w:rsidRPr="00D5464D">
        <w:rPr>
          <w:szCs w:val="20"/>
          <w:lang w:val="pt-BR"/>
        </w:rPr>
        <w:t xml:space="preserve"> jurídica</w:t>
      </w:r>
      <w:r w:rsidRPr="00D5464D">
        <w:rPr>
          <w:szCs w:val="20"/>
          <w:lang w:val="pt-BR"/>
        </w:rPr>
        <w:t xml:space="preserve"> da </w:t>
      </w:r>
      <w:r w:rsidR="002C330E" w:rsidRPr="00D5464D">
        <w:rPr>
          <w:szCs w:val="20"/>
          <w:lang w:val="pt-BR"/>
        </w:rPr>
        <w:t>pessoa</w:t>
      </w:r>
      <w:r w:rsidR="00D81AA1" w:rsidRPr="00D5464D">
        <w:rPr>
          <w:szCs w:val="20"/>
          <w:lang w:val="pt-BR"/>
        </w:rPr>
        <w:t xml:space="preserve"> </w:t>
      </w:r>
      <w:r w:rsidR="00737270" w:rsidRPr="00D5464D">
        <w:rPr>
          <w:szCs w:val="20"/>
          <w:lang w:val="pt-BR"/>
        </w:rPr>
        <w:t>envolvida</w:t>
      </w:r>
      <w:r w:rsidR="00E045D9" w:rsidRPr="00D5464D">
        <w:rPr>
          <w:szCs w:val="20"/>
          <w:lang w:val="pt-BR"/>
        </w:rPr>
        <w:t xml:space="preserve"> no </w:t>
      </w:r>
      <w:r w:rsidR="002C330E" w:rsidRPr="00D5464D">
        <w:rPr>
          <w:szCs w:val="20"/>
          <w:lang w:val="pt-BR"/>
        </w:rPr>
        <w:t>mesm</w:t>
      </w:r>
      <w:r w:rsidR="00D81AA1" w:rsidRPr="00D5464D">
        <w:rPr>
          <w:szCs w:val="20"/>
          <w:lang w:val="pt-BR"/>
        </w:rPr>
        <w:t xml:space="preserve">o, considerando, entre </w:t>
      </w:r>
      <w:r w:rsidR="002C330E" w:rsidRPr="00D5464D">
        <w:rPr>
          <w:szCs w:val="20"/>
          <w:lang w:val="pt-BR"/>
        </w:rPr>
        <w:t>outros</w:t>
      </w:r>
      <w:r w:rsidR="00D81AA1" w:rsidRPr="00D5464D">
        <w:rPr>
          <w:szCs w:val="20"/>
          <w:lang w:val="pt-BR"/>
        </w:rPr>
        <w:t xml:space="preserve"> elementos,</w:t>
      </w:r>
      <w:r w:rsidR="002C330E" w:rsidRPr="00D5464D">
        <w:rPr>
          <w:szCs w:val="20"/>
          <w:lang w:val="pt-BR"/>
        </w:rPr>
        <w:t xml:space="preserve"> a matéria </w:t>
      </w:r>
      <w:r w:rsidR="00D81AA1" w:rsidRPr="00D5464D">
        <w:rPr>
          <w:szCs w:val="20"/>
          <w:lang w:val="pt-BR"/>
        </w:rPr>
        <w:t xml:space="preserve">objeto de </w:t>
      </w:r>
      <w:r w:rsidRPr="00D5464D">
        <w:rPr>
          <w:szCs w:val="20"/>
          <w:lang w:val="pt-BR"/>
        </w:rPr>
        <w:t>controvérsia</w:t>
      </w:r>
      <w:r w:rsidR="00A1358C" w:rsidRPr="00D5464D">
        <w:rPr>
          <w:szCs w:val="20"/>
          <w:lang w:val="pt-BR"/>
        </w:rPr>
        <w:t xml:space="preserve">. </w:t>
      </w:r>
      <w:r w:rsidR="00E765C2" w:rsidRPr="00D5464D">
        <w:rPr>
          <w:szCs w:val="20"/>
          <w:lang w:val="pt-BR"/>
        </w:rPr>
        <w:t>Nesse sentido</w:t>
      </w:r>
      <w:r w:rsidR="00D81AA1" w:rsidRPr="00D5464D">
        <w:rPr>
          <w:szCs w:val="20"/>
          <w:lang w:val="pt-BR"/>
        </w:rPr>
        <w:t xml:space="preserve">, este Tribunal </w:t>
      </w:r>
      <w:r w:rsidR="002C330E" w:rsidRPr="00D5464D">
        <w:rPr>
          <w:szCs w:val="20"/>
          <w:lang w:val="pt-BR"/>
        </w:rPr>
        <w:t>estabeleceu</w:t>
      </w:r>
      <w:r w:rsidR="00D81AA1" w:rsidRPr="00D5464D">
        <w:rPr>
          <w:szCs w:val="20"/>
          <w:lang w:val="pt-BR"/>
        </w:rPr>
        <w:t xml:space="preserve"> que</w:t>
      </w:r>
      <w:r w:rsidR="00BE14D9" w:rsidRPr="00D5464D">
        <w:rPr>
          <w:szCs w:val="20"/>
          <w:lang w:val="pt-BR"/>
        </w:rPr>
        <w:t>,</w:t>
      </w:r>
      <w:r w:rsidR="002C330E" w:rsidRPr="00D5464D">
        <w:rPr>
          <w:szCs w:val="20"/>
          <w:lang w:val="pt-BR"/>
        </w:rPr>
        <w:t xml:space="preserve"> se </w:t>
      </w:r>
      <w:r w:rsidRPr="00D5464D">
        <w:rPr>
          <w:szCs w:val="20"/>
          <w:lang w:val="pt-BR"/>
        </w:rPr>
        <w:t>o</w:t>
      </w:r>
      <w:r w:rsidR="00350187" w:rsidRPr="00D5464D">
        <w:rPr>
          <w:szCs w:val="20"/>
          <w:lang w:val="pt-BR"/>
        </w:rPr>
        <w:t xml:space="preserve"> </w:t>
      </w:r>
      <w:r w:rsidR="004665B2" w:rsidRPr="00D5464D">
        <w:rPr>
          <w:szCs w:val="20"/>
          <w:lang w:val="pt-BR"/>
        </w:rPr>
        <w:t xml:space="preserve">passar </w:t>
      </w:r>
      <w:r w:rsidRPr="00D5464D">
        <w:rPr>
          <w:szCs w:val="20"/>
          <w:lang w:val="pt-BR"/>
        </w:rPr>
        <w:t xml:space="preserve">do </w:t>
      </w:r>
      <w:r w:rsidR="00E045D9" w:rsidRPr="00D5464D">
        <w:rPr>
          <w:szCs w:val="20"/>
          <w:lang w:val="pt-BR"/>
        </w:rPr>
        <w:t>tempo</w:t>
      </w:r>
      <w:r w:rsidR="00D81AA1" w:rsidRPr="00D5464D">
        <w:rPr>
          <w:szCs w:val="20"/>
          <w:lang w:val="pt-BR"/>
        </w:rPr>
        <w:t xml:space="preserve"> incide de </w:t>
      </w:r>
      <w:r w:rsidR="002C330E" w:rsidRPr="00D5464D">
        <w:rPr>
          <w:szCs w:val="20"/>
          <w:lang w:val="pt-BR"/>
        </w:rPr>
        <w:t>maneira</w:t>
      </w:r>
      <w:r w:rsidR="00D81AA1" w:rsidRPr="00D5464D">
        <w:rPr>
          <w:szCs w:val="20"/>
          <w:lang w:val="pt-BR"/>
        </w:rPr>
        <w:t xml:space="preserve"> relevante</w:t>
      </w:r>
      <w:r w:rsidR="00E045D9" w:rsidRPr="00D5464D">
        <w:rPr>
          <w:szCs w:val="20"/>
          <w:lang w:val="pt-BR"/>
        </w:rPr>
        <w:t xml:space="preserve"> na </w:t>
      </w:r>
      <w:r w:rsidR="00D81AA1" w:rsidRPr="00D5464D">
        <w:rPr>
          <w:szCs w:val="20"/>
          <w:lang w:val="pt-BR"/>
        </w:rPr>
        <w:t>situa</w:t>
      </w:r>
      <w:r w:rsidRPr="00D5464D">
        <w:rPr>
          <w:szCs w:val="20"/>
          <w:lang w:val="pt-BR"/>
        </w:rPr>
        <w:t>ção</w:t>
      </w:r>
      <w:r w:rsidR="00D81AA1" w:rsidRPr="00D5464D">
        <w:rPr>
          <w:szCs w:val="20"/>
          <w:lang w:val="pt-BR"/>
        </w:rPr>
        <w:t xml:space="preserve"> jurídica </w:t>
      </w:r>
      <w:r w:rsidRPr="00D5464D">
        <w:rPr>
          <w:szCs w:val="20"/>
          <w:lang w:val="pt-BR"/>
        </w:rPr>
        <w:t xml:space="preserve">do </w:t>
      </w:r>
      <w:r w:rsidR="002C330E" w:rsidRPr="00D5464D">
        <w:rPr>
          <w:szCs w:val="20"/>
          <w:lang w:val="pt-BR"/>
        </w:rPr>
        <w:t>indivíduo</w:t>
      </w:r>
      <w:r w:rsidR="00D81AA1" w:rsidRPr="00D5464D">
        <w:rPr>
          <w:szCs w:val="20"/>
          <w:lang w:val="pt-BR"/>
        </w:rPr>
        <w:t xml:space="preserve">, </w:t>
      </w:r>
      <w:r w:rsidR="004665B2" w:rsidRPr="00D5464D">
        <w:rPr>
          <w:szCs w:val="20"/>
          <w:lang w:val="pt-BR"/>
        </w:rPr>
        <w:t xml:space="preserve">será </w:t>
      </w:r>
      <w:r w:rsidR="002C330E" w:rsidRPr="00D5464D">
        <w:rPr>
          <w:szCs w:val="20"/>
          <w:lang w:val="pt-BR"/>
        </w:rPr>
        <w:t>necessári</w:t>
      </w:r>
      <w:r w:rsidR="00D81AA1" w:rsidRPr="00D5464D">
        <w:rPr>
          <w:szCs w:val="20"/>
          <w:lang w:val="pt-BR"/>
        </w:rPr>
        <w:t>o que</w:t>
      </w:r>
      <w:r w:rsidRPr="00D5464D">
        <w:rPr>
          <w:szCs w:val="20"/>
          <w:lang w:val="pt-BR"/>
        </w:rPr>
        <w:t xml:space="preserve"> o </w:t>
      </w:r>
      <w:r w:rsidR="002C330E" w:rsidRPr="00D5464D">
        <w:rPr>
          <w:szCs w:val="20"/>
          <w:lang w:val="pt-BR"/>
        </w:rPr>
        <w:t>procedimento</w:t>
      </w:r>
      <w:r w:rsidRPr="00D5464D">
        <w:rPr>
          <w:szCs w:val="20"/>
          <w:lang w:val="pt-BR"/>
        </w:rPr>
        <w:t xml:space="preserve"> avan</w:t>
      </w:r>
      <w:r w:rsidR="004665B2" w:rsidRPr="00D5464D">
        <w:rPr>
          <w:szCs w:val="20"/>
          <w:lang w:val="pt-BR"/>
        </w:rPr>
        <w:t>ce</w:t>
      </w:r>
      <w:r w:rsidRPr="00D5464D">
        <w:rPr>
          <w:szCs w:val="20"/>
          <w:lang w:val="pt-BR"/>
        </w:rPr>
        <w:t xml:space="preserve"> com </w:t>
      </w:r>
      <w:r w:rsidR="002C330E" w:rsidRPr="00D5464D">
        <w:rPr>
          <w:szCs w:val="20"/>
          <w:lang w:val="pt-BR"/>
        </w:rPr>
        <w:t xml:space="preserve">maior </w:t>
      </w:r>
      <w:r w:rsidRPr="00D5464D">
        <w:rPr>
          <w:szCs w:val="20"/>
          <w:lang w:val="pt-BR"/>
        </w:rPr>
        <w:t>diligência</w:t>
      </w:r>
      <w:r w:rsidR="00D81AA1" w:rsidRPr="00D5464D">
        <w:rPr>
          <w:szCs w:val="20"/>
          <w:lang w:val="pt-BR"/>
        </w:rPr>
        <w:t xml:space="preserve"> a</w:t>
      </w:r>
      <w:r w:rsidRPr="00D5464D">
        <w:rPr>
          <w:szCs w:val="20"/>
          <w:lang w:val="pt-BR"/>
        </w:rPr>
        <w:t xml:space="preserve"> fim </w:t>
      </w:r>
      <w:r w:rsidR="00D81AA1" w:rsidRPr="00D5464D">
        <w:rPr>
          <w:szCs w:val="20"/>
          <w:lang w:val="pt-BR"/>
        </w:rPr>
        <w:t>de que</w:t>
      </w:r>
      <w:r w:rsidRPr="00D5464D">
        <w:rPr>
          <w:szCs w:val="20"/>
          <w:lang w:val="pt-BR"/>
        </w:rPr>
        <w:t xml:space="preserve"> o </w:t>
      </w:r>
      <w:r w:rsidR="00D81AA1" w:rsidRPr="00D5464D">
        <w:rPr>
          <w:szCs w:val="20"/>
          <w:lang w:val="pt-BR"/>
        </w:rPr>
        <w:t>caso se</w:t>
      </w:r>
      <w:r w:rsidR="004665B2" w:rsidRPr="00D5464D">
        <w:rPr>
          <w:szCs w:val="20"/>
          <w:lang w:val="pt-BR"/>
        </w:rPr>
        <w:t xml:space="preserve">ja decidido </w:t>
      </w:r>
      <w:r w:rsidRPr="00D5464D">
        <w:rPr>
          <w:szCs w:val="20"/>
          <w:lang w:val="pt-BR"/>
        </w:rPr>
        <w:t>em</w:t>
      </w:r>
      <w:r w:rsidR="00E045D9" w:rsidRPr="00D5464D">
        <w:rPr>
          <w:szCs w:val="20"/>
          <w:lang w:val="pt-BR"/>
        </w:rPr>
        <w:t xml:space="preserve"> um tempo</w:t>
      </w:r>
      <w:r w:rsidR="00D81AA1" w:rsidRPr="00D5464D">
        <w:rPr>
          <w:szCs w:val="20"/>
          <w:lang w:val="pt-BR"/>
        </w:rPr>
        <w:t xml:space="preserve"> breve</w:t>
      </w:r>
      <w:r w:rsidR="004665B2" w:rsidRPr="00D5464D">
        <w:rPr>
          <w:szCs w:val="20"/>
          <w:lang w:val="pt-BR"/>
        </w:rPr>
        <w:t>.</w:t>
      </w:r>
      <w:r w:rsidR="00D81AA1" w:rsidRPr="00D5464D">
        <w:rPr>
          <w:rStyle w:val="Refdenotaalpie"/>
          <w:lang w:val="pt-BR"/>
        </w:rPr>
        <w:footnoteReference w:id="494"/>
      </w:r>
      <w:r w:rsidR="00D81AA1" w:rsidRPr="00D5464D">
        <w:rPr>
          <w:szCs w:val="20"/>
          <w:lang w:val="pt-BR"/>
        </w:rPr>
        <w:t xml:space="preserve"> </w:t>
      </w:r>
    </w:p>
    <w:p w14:paraId="3D6034F7" w14:textId="77777777" w:rsidR="00D81AA1" w:rsidRPr="00D5464D" w:rsidRDefault="00D81AA1" w:rsidP="00D81AA1">
      <w:pPr>
        <w:tabs>
          <w:tab w:val="clear" w:pos="4419"/>
          <w:tab w:val="clear" w:pos="8838"/>
        </w:tabs>
        <w:contextualSpacing/>
        <w:jc w:val="both"/>
        <w:rPr>
          <w:szCs w:val="20"/>
          <w:lang w:val="pt-BR"/>
        </w:rPr>
      </w:pPr>
    </w:p>
    <w:p w14:paraId="2EDCAB04" w14:textId="2AD3C811" w:rsidR="00D81AA1" w:rsidRPr="00D5464D" w:rsidRDefault="00470ADC" w:rsidP="00D81AA1">
      <w:pPr>
        <w:numPr>
          <w:ilvl w:val="0"/>
          <w:numId w:val="1"/>
        </w:numPr>
        <w:tabs>
          <w:tab w:val="clear" w:pos="4419"/>
          <w:tab w:val="clear" w:pos="8838"/>
        </w:tabs>
        <w:contextualSpacing/>
        <w:jc w:val="both"/>
        <w:rPr>
          <w:szCs w:val="20"/>
          <w:lang w:val="pt-BR"/>
        </w:rPr>
      </w:pPr>
      <w:r w:rsidRPr="00D5464D">
        <w:rPr>
          <w:szCs w:val="20"/>
          <w:lang w:val="pt-BR"/>
        </w:rPr>
        <w:t xml:space="preserve">No </w:t>
      </w:r>
      <w:r w:rsidR="00D81AA1" w:rsidRPr="00D5464D">
        <w:rPr>
          <w:szCs w:val="20"/>
          <w:lang w:val="pt-BR"/>
        </w:rPr>
        <w:t>presente caso</w:t>
      </w:r>
      <w:r w:rsidR="002C330E" w:rsidRPr="00D5464D">
        <w:rPr>
          <w:szCs w:val="20"/>
          <w:lang w:val="pt-BR"/>
        </w:rPr>
        <w:t xml:space="preserve"> a </w:t>
      </w:r>
      <w:r w:rsidR="00D81AA1" w:rsidRPr="00D5464D">
        <w:rPr>
          <w:szCs w:val="20"/>
          <w:lang w:val="pt-BR"/>
        </w:rPr>
        <w:t>Corte constata que</w:t>
      </w:r>
      <w:r w:rsidR="002C330E" w:rsidRPr="00D5464D">
        <w:rPr>
          <w:szCs w:val="20"/>
          <w:lang w:val="pt-BR"/>
        </w:rPr>
        <w:t xml:space="preserve"> a </w:t>
      </w:r>
      <w:r w:rsidR="004665B2" w:rsidRPr="00D5464D">
        <w:rPr>
          <w:szCs w:val="20"/>
          <w:lang w:val="pt-BR"/>
        </w:rPr>
        <w:t xml:space="preserve">resolução </w:t>
      </w:r>
      <w:r w:rsidRPr="00D5464D">
        <w:rPr>
          <w:szCs w:val="20"/>
          <w:lang w:val="pt-BR"/>
        </w:rPr>
        <w:t xml:space="preserve">do </w:t>
      </w:r>
      <w:r w:rsidR="002C330E" w:rsidRPr="00D5464D">
        <w:rPr>
          <w:szCs w:val="20"/>
          <w:lang w:val="pt-BR"/>
        </w:rPr>
        <w:t>processo</w:t>
      </w:r>
      <w:r w:rsidR="00D81AA1" w:rsidRPr="00D5464D">
        <w:rPr>
          <w:szCs w:val="20"/>
          <w:lang w:val="pt-BR"/>
        </w:rPr>
        <w:t xml:space="preserve"> penal</w:t>
      </w:r>
      <w:r w:rsidR="00230C71" w:rsidRPr="00D5464D">
        <w:rPr>
          <w:szCs w:val="20"/>
          <w:lang w:val="pt-BR"/>
        </w:rPr>
        <w:t xml:space="preserve"> contra </w:t>
      </w:r>
      <w:r w:rsidRPr="00D5464D">
        <w:rPr>
          <w:szCs w:val="20"/>
          <w:lang w:val="pt-BR"/>
        </w:rPr>
        <w:t xml:space="preserve">os </w:t>
      </w:r>
      <w:r w:rsidR="002C330E" w:rsidRPr="00D5464D">
        <w:rPr>
          <w:szCs w:val="20"/>
          <w:lang w:val="pt-BR"/>
        </w:rPr>
        <w:t>senhores</w:t>
      </w:r>
      <w:r w:rsidR="00D81AA1" w:rsidRPr="00D5464D">
        <w:rPr>
          <w:szCs w:val="20"/>
          <w:lang w:val="pt-BR"/>
        </w:rPr>
        <w:t xml:space="preserve"> </w:t>
      </w:r>
      <w:r w:rsidR="00D81AA1" w:rsidRPr="00D5464D">
        <w:rPr>
          <w:rFonts w:cs="Arial"/>
          <w:szCs w:val="20"/>
          <w:lang w:val="pt-BR"/>
        </w:rPr>
        <w:t xml:space="preserve">Raimundo </w:t>
      </w:r>
      <w:r w:rsidR="00085F51" w:rsidRPr="00D5464D">
        <w:rPr>
          <w:rFonts w:cs="Arial"/>
          <w:szCs w:val="20"/>
          <w:lang w:val="pt-BR"/>
        </w:rPr>
        <w:t>Alves da Rocha</w:t>
      </w:r>
      <w:r w:rsidR="00D81AA1" w:rsidRPr="00D5464D">
        <w:rPr>
          <w:rFonts w:cs="Arial"/>
          <w:szCs w:val="20"/>
          <w:lang w:val="pt-BR"/>
        </w:rPr>
        <w:t>,</w:t>
      </w:r>
      <w:r w:rsidR="00D81AA1" w:rsidRPr="00D5464D">
        <w:rPr>
          <w:rFonts w:cs="Times New Roman"/>
          <w:szCs w:val="20"/>
          <w:lang w:val="pt-BR"/>
        </w:rPr>
        <w:t xml:space="preserve"> </w:t>
      </w:r>
      <w:r w:rsidR="00E42F61" w:rsidRPr="00D5464D">
        <w:rPr>
          <w:rFonts w:cs="Arial"/>
          <w:szCs w:val="20"/>
          <w:lang w:val="pt-BR"/>
        </w:rPr>
        <w:t xml:space="preserve">Antônio </w:t>
      </w:r>
      <w:r w:rsidR="00D81AA1" w:rsidRPr="00D5464D">
        <w:rPr>
          <w:rFonts w:cs="Arial"/>
          <w:szCs w:val="20"/>
          <w:lang w:val="pt-BR"/>
        </w:rPr>
        <w:t>Alves Vieira</w:t>
      </w:r>
      <w:r w:rsidR="00E045D9" w:rsidRPr="00D5464D">
        <w:rPr>
          <w:rFonts w:cs="Arial"/>
          <w:szCs w:val="20"/>
          <w:lang w:val="pt-BR"/>
        </w:rPr>
        <w:t xml:space="preserve"> e </w:t>
      </w:r>
      <w:r w:rsidR="00D81AA1" w:rsidRPr="00D5464D">
        <w:rPr>
          <w:rFonts w:cs="Arial"/>
          <w:szCs w:val="20"/>
          <w:lang w:val="pt-BR"/>
        </w:rPr>
        <w:t xml:space="preserve">João Luiz Quagliato Neto </w:t>
      </w:r>
      <w:r w:rsidR="004665B2" w:rsidRPr="00D5464D">
        <w:rPr>
          <w:rFonts w:cs="Arial"/>
          <w:szCs w:val="20"/>
          <w:lang w:val="pt-BR"/>
        </w:rPr>
        <w:t xml:space="preserve">teria gerado </w:t>
      </w:r>
      <w:r w:rsidR="00D81AA1" w:rsidRPr="00D5464D">
        <w:rPr>
          <w:rFonts w:cs="Arial"/>
          <w:szCs w:val="20"/>
          <w:lang w:val="pt-BR"/>
        </w:rPr>
        <w:t>impacto</w:t>
      </w:r>
      <w:r w:rsidR="00E045D9" w:rsidRPr="00D5464D">
        <w:rPr>
          <w:rFonts w:cs="Arial"/>
          <w:szCs w:val="20"/>
          <w:lang w:val="pt-BR"/>
        </w:rPr>
        <w:t xml:space="preserve"> n</w:t>
      </w:r>
      <w:r w:rsidR="004665B2" w:rsidRPr="00D5464D">
        <w:rPr>
          <w:rFonts w:cs="Arial"/>
          <w:szCs w:val="20"/>
          <w:lang w:val="pt-BR"/>
        </w:rPr>
        <w:t xml:space="preserve">a concessão </w:t>
      </w:r>
      <w:r w:rsidR="00D81AA1" w:rsidRPr="00D5464D">
        <w:rPr>
          <w:rFonts w:cs="Arial"/>
          <w:szCs w:val="20"/>
          <w:lang w:val="pt-BR"/>
        </w:rPr>
        <w:t>de repara</w:t>
      </w:r>
      <w:r w:rsidRPr="00D5464D">
        <w:rPr>
          <w:rFonts w:cs="Arial"/>
          <w:szCs w:val="20"/>
          <w:lang w:val="pt-BR"/>
        </w:rPr>
        <w:t>ções</w:t>
      </w:r>
      <w:r w:rsidR="00E045D9" w:rsidRPr="00D5464D">
        <w:rPr>
          <w:rFonts w:cs="Arial"/>
          <w:szCs w:val="20"/>
          <w:lang w:val="pt-BR"/>
        </w:rPr>
        <w:t xml:space="preserve"> aos trabalhadores</w:t>
      </w:r>
      <w:r w:rsidR="00D81AA1" w:rsidRPr="00D5464D">
        <w:rPr>
          <w:rFonts w:cs="Arial"/>
          <w:szCs w:val="20"/>
          <w:lang w:val="pt-BR"/>
        </w:rPr>
        <w:t xml:space="preserve"> </w:t>
      </w:r>
      <w:r w:rsidR="002C330E" w:rsidRPr="00D5464D">
        <w:rPr>
          <w:rFonts w:cs="Arial"/>
          <w:szCs w:val="20"/>
          <w:lang w:val="pt-BR"/>
        </w:rPr>
        <w:t>submetido</w:t>
      </w:r>
      <w:r w:rsidR="00D81AA1" w:rsidRPr="00D5464D">
        <w:rPr>
          <w:rFonts w:cs="Arial"/>
          <w:szCs w:val="20"/>
          <w:lang w:val="pt-BR"/>
        </w:rPr>
        <w:t>s a condi</w:t>
      </w:r>
      <w:r w:rsidRPr="00D5464D">
        <w:rPr>
          <w:rFonts w:cs="Arial"/>
          <w:szCs w:val="20"/>
          <w:lang w:val="pt-BR"/>
        </w:rPr>
        <w:t>ções</w:t>
      </w:r>
      <w:r w:rsidR="00D81AA1" w:rsidRPr="00D5464D">
        <w:rPr>
          <w:rFonts w:cs="Arial"/>
          <w:szCs w:val="20"/>
          <w:lang w:val="pt-BR"/>
        </w:rPr>
        <w:t xml:space="preserve"> de </w:t>
      </w:r>
      <w:r w:rsidR="000B376D" w:rsidRPr="00D5464D">
        <w:rPr>
          <w:rFonts w:cs="Arial"/>
          <w:szCs w:val="20"/>
          <w:lang w:val="pt-BR"/>
        </w:rPr>
        <w:t>escravidão</w:t>
      </w:r>
      <w:r w:rsidR="00E045D9" w:rsidRPr="00D5464D">
        <w:rPr>
          <w:rFonts w:cs="Arial"/>
          <w:szCs w:val="20"/>
          <w:lang w:val="pt-BR"/>
        </w:rPr>
        <w:t xml:space="preserve"> na </w:t>
      </w:r>
      <w:r w:rsidR="00D809F0" w:rsidRPr="00D5464D">
        <w:rPr>
          <w:rFonts w:cs="Arial"/>
          <w:szCs w:val="20"/>
          <w:lang w:val="pt-BR"/>
        </w:rPr>
        <w:t>Fazenda</w:t>
      </w:r>
      <w:r w:rsidR="00D81AA1" w:rsidRPr="00D5464D">
        <w:rPr>
          <w:rFonts w:cs="Arial"/>
          <w:szCs w:val="20"/>
          <w:lang w:val="pt-BR"/>
        </w:rPr>
        <w:t xml:space="preserve"> Brasil Verde. Como </w:t>
      </w:r>
      <w:r w:rsidRPr="00D5464D">
        <w:rPr>
          <w:rFonts w:cs="Arial"/>
          <w:szCs w:val="20"/>
          <w:lang w:val="pt-BR"/>
        </w:rPr>
        <w:t xml:space="preserve">consequência da </w:t>
      </w:r>
      <w:r w:rsidR="00D81AA1" w:rsidRPr="00D5464D">
        <w:rPr>
          <w:rFonts w:cs="Arial"/>
          <w:szCs w:val="20"/>
          <w:lang w:val="pt-BR"/>
        </w:rPr>
        <w:t>falta de resolu</w:t>
      </w:r>
      <w:r w:rsidRPr="00D5464D">
        <w:rPr>
          <w:rFonts w:cs="Arial"/>
          <w:szCs w:val="20"/>
          <w:lang w:val="pt-BR"/>
        </w:rPr>
        <w:t>ção</w:t>
      </w:r>
      <w:r w:rsidR="00D81AA1" w:rsidRPr="00D5464D">
        <w:rPr>
          <w:rFonts w:cs="Arial"/>
          <w:szCs w:val="20"/>
          <w:lang w:val="pt-BR"/>
        </w:rPr>
        <w:t xml:space="preserve"> </w:t>
      </w:r>
      <w:r w:rsidR="00E045D9" w:rsidRPr="00D5464D">
        <w:rPr>
          <w:rFonts w:cs="Arial"/>
          <w:szCs w:val="20"/>
          <w:lang w:val="pt-BR"/>
        </w:rPr>
        <w:t>deste</w:t>
      </w:r>
      <w:r w:rsidR="00D81AA1" w:rsidRPr="00D5464D">
        <w:rPr>
          <w:rFonts w:cs="Arial"/>
          <w:szCs w:val="20"/>
          <w:lang w:val="pt-BR"/>
        </w:rPr>
        <w:t xml:space="preserve"> </w:t>
      </w:r>
      <w:r w:rsidR="002C330E" w:rsidRPr="00D5464D">
        <w:rPr>
          <w:rFonts w:cs="Arial"/>
          <w:szCs w:val="20"/>
          <w:lang w:val="pt-BR"/>
        </w:rPr>
        <w:t>processo</w:t>
      </w:r>
      <w:r w:rsidR="00D81AA1" w:rsidRPr="00D5464D">
        <w:rPr>
          <w:rFonts w:cs="Arial"/>
          <w:szCs w:val="20"/>
          <w:lang w:val="pt-BR"/>
        </w:rPr>
        <w:t>,</w:t>
      </w:r>
      <w:r w:rsidRPr="00D5464D">
        <w:rPr>
          <w:rFonts w:cs="Arial"/>
          <w:szCs w:val="20"/>
          <w:lang w:val="pt-BR"/>
        </w:rPr>
        <w:t xml:space="preserve"> </w:t>
      </w:r>
      <w:r w:rsidR="004665B2" w:rsidRPr="00D5464D">
        <w:rPr>
          <w:rFonts w:cs="Arial"/>
          <w:szCs w:val="20"/>
          <w:lang w:val="pt-BR"/>
        </w:rPr>
        <w:t xml:space="preserve">a concessão </w:t>
      </w:r>
      <w:r w:rsidR="00D81AA1" w:rsidRPr="00D5464D">
        <w:rPr>
          <w:rFonts w:cs="Arial"/>
          <w:szCs w:val="20"/>
          <w:lang w:val="pt-BR"/>
        </w:rPr>
        <w:t>de repara</w:t>
      </w:r>
      <w:r w:rsidRPr="00D5464D">
        <w:rPr>
          <w:rFonts w:cs="Arial"/>
          <w:szCs w:val="20"/>
          <w:lang w:val="pt-BR"/>
        </w:rPr>
        <w:t>ções</w:t>
      </w:r>
      <w:r w:rsidR="00D81AA1" w:rsidRPr="00D5464D">
        <w:rPr>
          <w:rFonts w:cs="Arial"/>
          <w:szCs w:val="20"/>
          <w:lang w:val="pt-BR"/>
        </w:rPr>
        <w:t xml:space="preserve"> n</w:t>
      </w:r>
      <w:r w:rsidR="004665B2" w:rsidRPr="00D5464D">
        <w:rPr>
          <w:rFonts w:cs="Arial"/>
          <w:szCs w:val="20"/>
          <w:lang w:val="pt-BR"/>
        </w:rPr>
        <w:t>ã</w:t>
      </w:r>
      <w:r w:rsidR="00D81AA1" w:rsidRPr="00D5464D">
        <w:rPr>
          <w:rFonts w:cs="Arial"/>
          <w:szCs w:val="20"/>
          <w:lang w:val="pt-BR"/>
        </w:rPr>
        <w:t xml:space="preserve">o </w:t>
      </w:r>
      <w:r w:rsidR="002C330E" w:rsidRPr="00D5464D">
        <w:rPr>
          <w:rFonts w:cs="Arial"/>
          <w:szCs w:val="20"/>
          <w:lang w:val="pt-BR"/>
        </w:rPr>
        <w:t>ocorreu</w:t>
      </w:r>
      <w:r w:rsidR="00D81AA1" w:rsidRPr="00D5464D">
        <w:rPr>
          <w:rFonts w:cs="Arial"/>
          <w:szCs w:val="20"/>
          <w:lang w:val="pt-BR"/>
        </w:rPr>
        <w:t xml:space="preserve">, </w:t>
      </w:r>
      <w:r w:rsidR="004665B2" w:rsidRPr="00D5464D">
        <w:rPr>
          <w:rFonts w:cs="Arial"/>
          <w:szCs w:val="20"/>
          <w:lang w:val="pt-BR"/>
        </w:rPr>
        <w:t xml:space="preserve">causando </w:t>
      </w:r>
      <w:r w:rsidR="00E045D9" w:rsidRPr="00D5464D">
        <w:rPr>
          <w:rFonts w:cs="Arial"/>
          <w:szCs w:val="20"/>
          <w:lang w:val="pt-BR"/>
        </w:rPr>
        <w:t xml:space="preserve">uma </w:t>
      </w:r>
      <w:r w:rsidRPr="00D5464D">
        <w:rPr>
          <w:rFonts w:cs="Arial"/>
          <w:szCs w:val="20"/>
          <w:lang w:val="pt-BR"/>
        </w:rPr>
        <w:t>afetação</w:t>
      </w:r>
      <w:r w:rsidR="00E045D9" w:rsidRPr="00D5464D">
        <w:rPr>
          <w:rFonts w:cs="Arial"/>
          <w:szCs w:val="20"/>
          <w:lang w:val="pt-BR"/>
        </w:rPr>
        <w:t xml:space="preserve"> aos </w:t>
      </w:r>
      <w:r w:rsidR="00D81AA1" w:rsidRPr="00D5464D">
        <w:rPr>
          <w:rFonts w:cs="Arial"/>
          <w:szCs w:val="20"/>
          <w:lang w:val="pt-BR"/>
        </w:rPr>
        <w:t xml:space="preserve">mencionados </w:t>
      </w:r>
      <w:r w:rsidR="00E045D9" w:rsidRPr="00D5464D">
        <w:rPr>
          <w:rFonts w:cs="Arial"/>
          <w:szCs w:val="20"/>
          <w:lang w:val="pt-BR"/>
        </w:rPr>
        <w:t>trabalhadores</w:t>
      </w:r>
      <w:r w:rsidR="004665B2" w:rsidRPr="00D5464D">
        <w:rPr>
          <w:rFonts w:cs="Arial"/>
          <w:szCs w:val="20"/>
          <w:lang w:val="pt-BR"/>
        </w:rPr>
        <w:t xml:space="preserve">, os quais não </w:t>
      </w:r>
      <w:r w:rsidR="002C330E" w:rsidRPr="00D5464D">
        <w:rPr>
          <w:rFonts w:cs="Arial"/>
          <w:szCs w:val="20"/>
          <w:lang w:val="pt-BR"/>
        </w:rPr>
        <w:t>receberam</w:t>
      </w:r>
      <w:r w:rsidR="00D81AA1" w:rsidRPr="00D5464D">
        <w:rPr>
          <w:rFonts w:cs="Arial"/>
          <w:szCs w:val="20"/>
          <w:lang w:val="pt-BR"/>
        </w:rPr>
        <w:t xml:space="preserve"> </w:t>
      </w:r>
      <w:r w:rsidR="002C330E" w:rsidRPr="00D5464D">
        <w:rPr>
          <w:rFonts w:cs="Arial"/>
          <w:szCs w:val="20"/>
          <w:lang w:val="pt-BR"/>
        </w:rPr>
        <w:t xml:space="preserve">nenhum </w:t>
      </w:r>
      <w:r w:rsidR="00D81AA1" w:rsidRPr="00D5464D">
        <w:rPr>
          <w:rFonts w:cs="Arial"/>
          <w:szCs w:val="20"/>
          <w:lang w:val="pt-BR"/>
        </w:rPr>
        <w:t xml:space="preserve">tipo de </w:t>
      </w:r>
      <w:r w:rsidR="002C330E" w:rsidRPr="00D5464D">
        <w:rPr>
          <w:rFonts w:cs="Arial"/>
          <w:szCs w:val="20"/>
          <w:lang w:val="pt-BR"/>
        </w:rPr>
        <w:t xml:space="preserve">indenização pelas </w:t>
      </w:r>
      <w:r w:rsidR="00D81AA1" w:rsidRPr="00D5464D">
        <w:rPr>
          <w:rFonts w:cs="Arial"/>
          <w:szCs w:val="20"/>
          <w:lang w:val="pt-BR"/>
        </w:rPr>
        <w:t>condi</w:t>
      </w:r>
      <w:r w:rsidRPr="00D5464D">
        <w:rPr>
          <w:rFonts w:cs="Arial"/>
          <w:szCs w:val="20"/>
          <w:lang w:val="pt-BR"/>
        </w:rPr>
        <w:t>ções</w:t>
      </w:r>
      <w:r w:rsidR="00E045D9" w:rsidRPr="00D5464D">
        <w:rPr>
          <w:rFonts w:cs="Arial"/>
          <w:szCs w:val="20"/>
          <w:lang w:val="pt-BR"/>
        </w:rPr>
        <w:t xml:space="preserve"> nas </w:t>
      </w:r>
      <w:r w:rsidR="004665B2" w:rsidRPr="00D5464D">
        <w:rPr>
          <w:rFonts w:cs="Arial"/>
          <w:szCs w:val="20"/>
          <w:lang w:val="pt-BR"/>
        </w:rPr>
        <w:t>quais</w:t>
      </w:r>
      <w:r w:rsidR="00737270" w:rsidRPr="00D5464D">
        <w:rPr>
          <w:rFonts w:cs="Arial"/>
          <w:szCs w:val="20"/>
          <w:lang w:val="pt-BR"/>
        </w:rPr>
        <w:t xml:space="preserve"> haviam </w:t>
      </w:r>
      <w:r w:rsidR="00D81AA1" w:rsidRPr="00D5464D">
        <w:rPr>
          <w:rFonts w:cs="Arial"/>
          <w:szCs w:val="20"/>
          <w:lang w:val="pt-BR"/>
        </w:rPr>
        <w:t xml:space="preserve">sido </w:t>
      </w:r>
      <w:r w:rsidR="00350187" w:rsidRPr="00D5464D">
        <w:rPr>
          <w:rFonts w:cs="Arial"/>
          <w:szCs w:val="20"/>
          <w:lang w:val="pt-BR"/>
        </w:rPr>
        <w:t>mantido</w:t>
      </w:r>
      <w:r w:rsidR="00D81AA1" w:rsidRPr="00D5464D">
        <w:rPr>
          <w:rFonts w:cs="Arial"/>
          <w:szCs w:val="20"/>
          <w:lang w:val="pt-BR"/>
        </w:rPr>
        <w:t>s</w:t>
      </w:r>
      <w:r w:rsidR="00E045D9" w:rsidRPr="00D5464D">
        <w:rPr>
          <w:rFonts w:cs="Arial"/>
          <w:szCs w:val="20"/>
          <w:lang w:val="pt-BR"/>
        </w:rPr>
        <w:t xml:space="preserve"> na </w:t>
      </w:r>
      <w:r w:rsidR="00D809F0" w:rsidRPr="00D5464D">
        <w:rPr>
          <w:rFonts w:cs="Arial"/>
          <w:szCs w:val="20"/>
          <w:lang w:val="pt-BR"/>
        </w:rPr>
        <w:t>Fazenda</w:t>
      </w:r>
      <w:r w:rsidR="00D81AA1" w:rsidRPr="00D5464D">
        <w:rPr>
          <w:rFonts w:cs="Arial"/>
          <w:szCs w:val="20"/>
          <w:lang w:val="pt-BR"/>
        </w:rPr>
        <w:t xml:space="preserve"> Brasil Verde.</w:t>
      </w:r>
    </w:p>
    <w:p w14:paraId="629996A3" w14:textId="77777777" w:rsidR="00D81AA1" w:rsidRPr="00D5464D" w:rsidRDefault="00D81AA1" w:rsidP="00D81AA1">
      <w:pPr>
        <w:jc w:val="both"/>
        <w:rPr>
          <w:szCs w:val="20"/>
          <w:lang w:val="pt-BR"/>
        </w:rPr>
      </w:pPr>
    </w:p>
    <w:p w14:paraId="3934D16B" w14:textId="324AC103" w:rsidR="007E75EB" w:rsidRPr="00D5464D" w:rsidRDefault="00D81AA1" w:rsidP="00D81AA1">
      <w:pPr>
        <w:numPr>
          <w:ilvl w:val="0"/>
          <w:numId w:val="1"/>
        </w:numPr>
        <w:tabs>
          <w:tab w:val="clear" w:pos="4419"/>
          <w:tab w:val="clear" w:pos="8838"/>
        </w:tabs>
        <w:contextualSpacing/>
        <w:jc w:val="both"/>
        <w:rPr>
          <w:szCs w:val="20"/>
          <w:lang w:val="pt-BR"/>
        </w:rPr>
      </w:pPr>
      <w:r w:rsidRPr="00D5464D">
        <w:rPr>
          <w:szCs w:val="20"/>
          <w:lang w:val="pt-BR"/>
        </w:rPr>
        <w:t>U</w:t>
      </w:r>
      <w:r w:rsidR="00BE14D9" w:rsidRPr="00D5464D">
        <w:rPr>
          <w:szCs w:val="20"/>
          <w:lang w:val="pt-BR"/>
        </w:rPr>
        <w:t>m</w:t>
      </w:r>
      <w:r w:rsidRPr="00D5464D">
        <w:rPr>
          <w:szCs w:val="20"/>
          <w:lang w:val="pt-BR"/>
        </w:rPr>
        <w:t xml:space="preserve">a vez </w:t>
      </w:r>
      <w:r w:rsidR="00470ADC" w:rsidRPr="00D5464D">
        <w:rPr>
          <w:szCs w:val="20"/>
          <w:lang w:val="pt-BR"/>
        </w:rPr>
        <w:t>analisado</w:t>
      </w:r>
      <w:r w:rsidRPr="00D5464D">
        <w:rPr>
          <w:szCs w:val="20"/>
          <w:lang w:val="pt-BR"/>
        </w:rPr>
        <w:t>s</w:t>
      </w:r>
      <w:r w:rsidR="002C330E" w:rsidRPr="00D5464D">
        <w:rPr>
          <w:szCs w:val="20"/>
          <w:lang w:val="pt-BR"/>
        </w:rPr>
        <w:t xml:space="preserve"> os </w:t>
      </w:r>
      <w:r w:rsidR="00470ADC" w:rsidRPr="00D5464D">
        <w:rPr>
          <w:szCs w:val="20"/>
          <w:lang w:val="pt-BR"/>
        </w:rPr>
        <w:t>quatro</w:t>
      </w:r>
      <w:r w:rsidRPr="00D5464D">
        <w:rPr>
          <w:szCs w:val="20"/>
          <w:lang w:val="pt-BR"/>
        </w:rPr>
        <w:t xml:space="preserve"> elementos para determinar</w:t>
      </w:r>
      <w:r w:rsidR="002C330E" w:rsidRPr="00D5464D">
        <w:rPr>
          <w:szCs w:val="20"/>
          <w:lang w:val="pt-BR"/>
        </w:rPr>
        <w:t xml:space="preserve"> a </w:t>
      </w:r>
      <w:r w:rsidR="00E045D9" w:rsidRPr="00D5464D">
        <w:rPr>
          <w:szCs w:val="20"/>
          <w:lang w:val="pt-BR"/>
        </w:rPr>
        <w:t>razoabilidade</w:t>
      </w:r>
      <w:r w:rsidRPr="00D5464D">
        <w:rPr>
          <w:szCs w:val="20"/>
          <w:lang w:val="pt-BR"/>
        </w:rPr>
        <w:t xml:space="preserve"> </w:t>
      </w:r>
      <w:r w:rsidR="00470ADC" w:rsidRPr="00D5464D">
        <w:rPr>
          <w:szCs w:val="20"/>
          <w:lang w:val="pt-BR"/>
        </w:rPr>
        <w:t>do</w:t>
      </w:r>
      <w:r w:rsidR="002C330E" w:rsidRPr="00D5464D">
        <w:rPr>
          <w:szCs w:val="20"/>
          <w:lang w:val="pt-BR"/>
        </w:rPr>
        <w:t xml:space="preserve"> prazo</w:t>
      </w:r>
      <w:r w:rsidR="00E045D9" w:rsidRPr="00D5464D">
        <w:rPr>
          <w:szCs w:val="20"/>
          <w:lang w:val="pt-BR"/>
        </w:rPr>
        <w:t xml:space="preserve"> no </w:t>
      </w:r>
      <w:r w:rsidR="004665B2" w:rsidRPr="00D5464D">
        <w:rPr>
          <w:szCs w:val="20"/>
          <w:lang w:val="pt-BR"/>
        </w:rPr>
        <w:t xml:space="preserve">âmbito </w:t>
      </w:r>
      <w:r w:rsidR="00470ADC" w:rsidRPr="00D5464D">
        <w:rPr>
          <w:szCs w:val="20"/>
          <w:lang w:val="pt-BR"/>
        </w:rPr>
        <w:t xml:space="preserve">do </w:t>
      </w:r>
      <w:r w:rsidR="002C330E" w:rsidRPr="00D5464D">
        <w:rPr>
          <w:szCs w:val="20"/>
          <w:lang w:val="pt-BR"/>
        </w:rPr>
        <w:t>processo</w:t>
      </w:r>
      <w:r w:rsidRPr="00D5464D">
        <w:rPr>
          <w:szCs w:val="20"/>
          <w:lang w:val="pt-BR"/>
        </w:rPr>
        <w:t xml:space="preserve"> penal</w:t>
      </w:r>
      <w:r w:rsidR="00470ADC" w:rsidRPr="00D5464D">
        <w:rPr>
          <w:szCs w:val="20"/>
          <w:lang w:val="pt-BR"/>
        </w:rPr>
        <w:t xml:space="preserve"> e</w:t>
      </w:r>
      <w:r w:rsidRPr="00D5464D">
        <w:rPr>
          <w:szCs w:val="20"/>
          <w:lang w:val="pt-BR"/>
        </w:rPr>
        <w:t xml:space="preserve"> </w:t>
      </w:r>
      <w:r w:rsidR="004665B2" w:rsidRPr="00D5464D">
        <w:rPr>
          <w:szCs w:val="20"/>
          <w:lang w:val="pt-BR"/>
        </w:rPr>
        <w:t xml:space="preserve">levando em consideração </w:t>
      </w:r>
      <w:r w:rsidRPr="00D5464D">
        <w:rPr>
          <w:szCs w:val="20"/>
          <w:lang w:val="pt-BR"/>
        </w:rPr>
        <w:t xml:space="preserve">que </w:t>
      </w:r>
      <w:r w:rsidR="00470ADC" w:rsidRPr="00D5464D">
        <w:rPr>
          <w:szCs w:val="20"/>
          <w:lang w:val="pt-BR"/>
        </w:rPr>
        <w:t>existia</w:t>
      </w:r>
      <w:r w:rsidR="00E045D9" w:rsidRPr="00D5464D">
        <w:rPr>
          <w:szCs w:val="20"/>
          <w:lang w:val="pt-BR"/>
        </w:rPr>
        <w:t xml:space="preserve"> um </w:t>
      </w:r>
      <w:r w:rsidR="00470ADC" w:rsidRPr="00D5464D">
        <w:rPr>
          <w:szCs w:val="20"/>
          <w:lang w:val="pt-BR"/>
        </w:rPr>
        <w:t>dever</w:t>
      </w:r>
      <w:r w:rsidRPr="00D5464D">
        <w:rPr>
          <w:szCs w:val="20"/>
          <w:lang w:val="pt-BR"/>
        </w:rPr>
        <w:t xml:space="preserve"> de </w:t>
      </w:r>
      <w:r w:rsidR="00470ADC" w:rsidRPr="00D5464D">
        <w:rPr>
          <w:szCs w:val="20"/>
          <w:lang w:val="pt-BR"/>
        </w:rPr>
        <w:t xml:space="preserve">atuar com </w:t>
      </w:r>
      <w:r w:rsidR="00EE4AA3" w:rsidRPr="00D5464D">
        <w:rPr>
          <w:szCs w:val="20"/>
          <w:lang w:val="pt-BR"/>
        </w:rPr>
        <w:t xml:space="preserve">particular </w:t>
      </w:r>
      <w:r w:rsidR="00470ADC" w:rsidRPr="00D5464D">
        <w:rPr>
          <w:szCs w:val="20"/>
          <w:lang w:val="pt-BR"/>
        </w:rPr>
        <w:t>devida diligência</w:t>
      </w:r>
      <w:r w:rsidRPr="00D5464D">
        <w:rPr>
          <w:szCs w:val="20"/>
          <w:lang w:val="pt-BR"/>
        </w:rPr>
        <w:t xml:space="preserve"> </w:t>
      </w:r>
      <w:r w:rsidR="004665B2" w:rsidRPr="00D5464D">
        <w:rPr>
          <w:szCs w:val="20"/>
          <w:lang w:val="pt-BR"/>
        </w:rPr>
        <w:t xml:space="preserve">em atenção à </w:t>
      </w:r>
      <w:r w:rsidRPr="00D5464D">
        <w:rPr>
          <w:szCs w:val="20"/>
          <w:lang w:val="pt-BR"/>
        </w:rPr>
        <w:t>situa</w:t>
      </w:r>
      <w:r w:rsidR="00470ADC" w:rsidRPr="00D5464D">
        <w:rPr>
          <w:szCs w:val="20"/>
          <w:lang w:val="pt-BR"/>
        </w:rPr>
        <w:t xml:space="preserve">ção dos </w:t>
      </w:r>
      <w:r w:rsidR="00E045D9" w:rsidRPr="00D5464D">
        <w:rPr>
          <w:szCs w:val="20"/>
          <w:lang w:val="pt-BR"/>
        </w:rPr>
        <w:t>trabalhadores</w:t>
      </w:r>
      <w:r w:rsidR="00470ADC" w:rsidRPr="00D5464D">
        <w:rPr>
          <w:szCs w:val="20"/>
          <w:lang w:val="pt-BR"/>
        </w:rPr>
        <w:t xml:space="preserve"> da </w:t>
      </w:r>
      <w:r w:rsidR="00D809F0" w:rsidRPr="00D5464D">
        <w:rPr>
          <w:szCs w:val="20"/>
          <w:lang w:val="pt-BR"/>
        </w:rPr>
        <w:t>Fazenda</w:t>
      </w:r>
      <w:r w:rsidRPr="00D5464D">
        <w:rPr>
          <w:szCs w:val="20"/>
          <w:lang w:val="pt-BR"/>
        </w:rPr>
        <w:t xml:space="preserve"> Brasil Verde</w:t>
      </w:r>
      <w:r w:rsidR="00E045D9" w:rsidRPr="00D5464D">
        <w:rPr>
          <w:szCs w:val="20"/>
          <w:lang w:val="pt-BR"/>
        </w:rPr>
        <w:t xml:space="preserve"> e </w:t>
      </w:r>
      <w:r w:rsidR="004665B2" w:rsidRPr="00D5464D">
        <w:rPr>
          <w:szCs w:val="20"/>
          <w:lang w:val="pt-BR"/>
        </w:rPr>
        <w:t>à</w:t>
      </w:r>
      <w:r w:rsidR="002C330E" w:rsidRPr="00D5464D">
        <w:rPr>
          <w:szCs w:val="20"/>
          <w:lang w:val="pt-BR"/>
        </w:rPr>
        <w:t xml:space="preserve"> </w:t>
      </w:r>
      <w:r w:rsidRPr="00D5464D">
        <w:rPr>
          <w:szCs w:val="20"/>
          <w:lang w:val="pt-BR"/>
        </w:rPr>
        <w:t xml:space="preserve">extrema </w:t>
      </w:r>
      <w:r w:rsidR="002C330E" w:rsidRPr="00D5464D">
        <w:rPr>
          <w:szCs w:val="20"/>
          <w:lang w:val="pt-BR"/>
        </w:rPr>
        <w:t xml:space="preserve">gravidade </w:t>
      </w:r>
      <w:r w:rsidR="00470ADC" w:rsidRPr="00D5464D">
        <w:rPr>
          <w:szCs w:val="20"/>
          <w:lang w:val="pt-BR"/>
        </w:rPr>
        <w:t xml:space="preserve">dos </w:t>
      </w:r>
      <w:r w:rsidR="002C330E" w:rsidRPr="00D5464D">
        <w:rPr>
          <w:szCs w:val="20"/>
          <w:lang w:val="pt-BR"/>
        </w:rPr>
        <w:t>fatos</w:t>
      </w:r>
      <w:r w:rsidRPr="00D5464D">
        <w:rPr>
          <w:szCs w:val="20"/>
          <w:lang w:val="pt-BR"/>
        </w:rPr>
        <w:t xml:space="preserve"> denunciados,</w:t>
      </w:r>
      <w:r w:rsidR="002C330E" w:rsidRPr="00D5464D">
        <w:rPr>
          <w:szCs w:val="20"/>
          <w:lang w:val="pt-BR"/>
        </w:rPr>
        <w:t xml:space="preserve"> a </w:t>
      </w:r>
      <w:r w:rsidRPr="00D5464D">
        <w:rPr>
          <w:szCs w:val="20"/>
          <w:lang w:val="pt-BR"/>
        </w:rPr>
        <w:t xml:space="preserve">Corte </w:t>
      </w:r>
      <w:r w:rsidR="00470ADC" w:rsidRPr="00D5464D">
        <w:rPr>
          <w:szCs w:val="20"/>
          <w:lang w:val="pt-BR"/>
        </w:rPr>
        <w:t xml:space="preserve">conclui </w:t>
      </w:r>
      <w:r w:rsidRPr="00D5464D">
        <w:rPr>
          <w:szCs w:val="20"/>
          <w:lang w:val="pt-BR"/>
        </w:rPr>
        <w:t>que</w:t>
      </w:r>
      <w:r w:rsidR="00470ADC" w:rsidRPr="00D5464D">
        <w:rPr>
          <w:szCs w:val="20"/>
          <w:lang w:val="pt-BR"/>
        </w:rPr>
        <w:t xml:space="preserve"> o </w:t>
      </w:r>
      <w:r w:rsidRPr="00D5464D">
        <w:rPr>
          <w:szCs w:val="20"/>
          <w:lang w:val="pt-BR"/>
        </w:rPr>
        <w:t xml:space="preserve">Estado </w:t>
      </w:r>
      <w:r w:rsidR="00EB1CE9" w:rsidRPr="00D5464D">
        <w:rPr>
          <w:szCs w:val="20"/>
          <w:lang w:val="pt-BR"/>
        </w:rPr>
        <w:t>violou</w:t>
      </w:r>
      <w:r w:rsidR="002C330E" w:rsidRPr="00D5464D">
        <w:rPr>
          <w:szCs w:val="20"/>
          <w:lang w:val="pt-BR"/>
        </w:rPr>
        <w:t xml:space="preserve"> a garantia </w:t>
      </w:r>
      <w:r w:rsidRPr="00D5464D">
        <w:rPr>
          <w:szCs w:val="20"/>
          <w:lang w:val="pt-BR"/>
        </w:rPr>
        <w:t>judicial</w:t>
      </w:r>
      <w:r w:rsidR="00470ADC" w:rsidRPr="00D5464D">
        <w:rPr>
          <w:szCs w:val="20"/>
          <w:lang w:val="pt-BR"/>
        </w:rPr>
        <w:t xml:space="preserve"> ao</w:t>
      </w:r>
      <w:r w:rsidR="002C330E" w:rsidRPr="00D5464D">
        <w:rPr>
          <w:szCs w:val="20"/>
          <w:lang w:val="pt-BR"/>
        </w:rPr>
        <w:t xml:space="preserve"> prazo</w:t>
      </w:r>
      <w:r w:rsidRPr="00D5464D">
        <w:rPr>
          <w:szCs w:val="20"/>
          <w:lang w:val="pt-BR"/>
        </w:rPr>
        <w:t xml:space="preserve"> </w:t>
      </w:r>
      <w:r w:rsidR="00230C71" w:rsidRPr="00D5464D">
        <w:rPr>
          <w:szCs w:val="20"/>
          <w:lang w:val="pt-BR"/>
        </w:rPr>
        <w:t>razoável,</w:t>
      </w:r>
      <w:r w:rsidRPr="00D5464D">
        <w:rPr>
          <w:szCs w:val="20"/>
          <w:lang w:val="pt-BR"/>
        </w:rPr>
        <w:t xml:space="preserve"> prevista</w:t>
      </w:r>
      <w:r w:rsidR="00E045D9" w:rsidRPr="00D5464D">
        <w:rPr>
          <w:szCs w:val="20"/>
          <w:lang w:val="pt-BR"/>
        </w:rPr>
        <w:t xml:space="preserve"> no </w:t>
      </w:r>
      <w:r w:rsidR="00470ADC" w:rsidRPr="00D5464D">
        <w:rPr>
          <w:szCs w:val="20"/>
          <w:lang w:val="pt-BR"/>
        </w:rPr>
        <w:t>artigo</w:t>
      </w:r>
      <w:r w:rsidRPr="00D5464D">
        <w:rPr>
          <w:szCs w:val="20"/>
          <w:lang w:val="pt-BR"/>
        </w:rPr>
        <w:t xml:space="preserve"> 8.1</w:t>
      </w:r>
      <w:r w:rsidR="00470ADC" w:rsidRPr="00D5464D">
        <w:rPr>
          <w:szCs w:val="20"/>
          <w:lang w:val="pt-BR"/>
        </w:rPr>
        <w:t xml:space="preserve"> da </w:t>
      </w:r>
      <w:r w:rsidR="00367264" w:rsidRPr="00D5464D">
        <w:rPr>
          <w:szCs w:val="20"/>
          <w:lang w:val="pt-BR"/>
        </w:rPr>
        <w:t>Conven</w:t>
      </w:r>
      <w:r w:rsidR="00470ADC" w:rsidRPr="00D5464D">
        <w:rPr>
          <w:szCs w:val="20"/>
          <w:lang w:val="pt-BR"/>
        </w:rPr>
        <w:t>ção</w:t>
      </w:r>
      <w:r w:rsidR="00367264" w:rsidRPr="00D5464D">
        <w:rPr>
          <w:szCs w:val="20"/>
          <w:lang w:val="pt-BR"/>
        </w:rPr>
        <w:t xml:space="preserve"> Americana sobre </w:t>
      </w:r>
      <w:r w:rsidR="00470ADC" w:rsidRPr="00D5464D">
        <w:rPr>
          <w:szCs w:val="20"/>
          <w:lang w:val="pt-BR"/>
        </w:rPr>
        <w:t>Direito</w:t>
      </w:r>
      <w:r w:rsidR="00367264" w:rsidRPr="00D5464D">
        <w:rPr>
          <w:szCs w:val="20"/>
          <w:lang w:val="pt-BR"/>
        </w:rPr>
        <w:t>s Humanos</w:t>
      </w:r>
      <w:r w:rsidR="00752D4A" w:rsidRPr="00D5464D">
        <w:rPr>
          <w:szCs w:val="20"/>
          <w:lang w:val="pt-BR"/>
        </w:rPr>
        <w:t>,</w:t>
      </w:r>
      <w:r w:rsidR="00470ADC" w:rsidRPr="00D5464D">
        <w:rPr>
          <w:szCs w:val="20"/>
          <w:lang w:val="pt-BR"/>
        </w:rPr>
        <w:t xml:space="preserve"> </w:t>
      </w:r>
      <w:r w:rsidR="00A1358C" w:rsidRPr="00D5464D">
        <w:rPr>
          <w:szCs w:val="20"/>
          <w:lang w:val="pt-BR"/>
        </w:rPr>
        <w:t>em relação ao artigo</w:t>
      </w:r>
      <w:r w:rsidRPr="00D5464D">
        <w:rPr>
          <w:szCs w:val="20"/>
          <w:lang w:val="pt-BR"/>
        </w:rPr>
        <w:t xml:space="preserve"> 1.1</w:t>
      </w:r>
      <w:r w:rsidR="00367264" w:rsidRPr="00D5464D">
        <w:rPr>
          <w:szCs w:val="20"/>
          <w:lang w:val="pt-BR"/>
        </w:rPr>
        <w:t xml:space="preserve"> </w:t>
      </w:r>
      <w:r w:rsidR="00470ADC" w:rsidRPr="00D5464D">
        <w:rPr>
          <w:szCs w:val="20"/>
          <w:lang w:val="pt-BR"/>
        </w:rPr>
        <w:t xml:space="preserve">do </w:t>
      </w:r>
      <w:r w:rsidR="002C330E" w:rsidRPr="00D5464D">
        <w:rPr>
          <w:szCs w:val="20"/>
          <w:lang w:val="pt-BR"/>
        </w:rPr>
        <w:t>mesm</w:t>
      </w:r>
      <w:r w:rsidR="00367264" w:rsidRPr="00D5464D">
        <w:rPr>
          <w:szCs w:val="20"/>
          <w:lang w:val="pt-BR"/>
        </w:rPr>
        <w:t>o instrumento</w:t>
      </w:r>
      <w:r w:rsidR="00752D4A" w:rsidRPr="00D5464D">
        <w:rPr>
          <w:szCs w:val="20"/>
          <w:lang w:val="pt-BR"/>
        </w:rPr>
        <w:t>,</w:t>
      </w:r>
      <w:r w:rsidR="00470ADC" w:rsidRPr="00D5464D">
        <w:rPr>
          <w:szCs w:val="20"/>
          <w:lang w:val="pt-BR"/>
        </w:rPr>
        <w:t xml:space="preserve"> em </w:t>
      </w:r>
      <w:r w:rsidR="002C330E" w:rsidRPr="00D5464D">
        <w:rPr>
          <w:szCs w:val="20"/>
          <w:lang w:val="pt-BR"/>
        </w:rPr>
        <w:t>prejuízo</w:t>
      </w:r>
      <w:r w:rsidR="00470ADC" w:rsidRPr="00D5464D">
        <w:rPr>
          <w:szCs w:val="20"/>
          <w:lang w:val="pt-BR"/>
        </w:rPr>
        <w:t xml:space="preserve"> dos </w:t>
      </w:r>
      <w:r w:rsidRPr="00D5464D">
        <w:rPr>
          <w:szCs w:val="20"/>
          <w:lang w:val="pt-BR"/>
        </w:rPr>
        <w:t xml:space="preserve">43 </w:t>
      </w:r>
      <w:r w:rsidR="00E045D9" w:rsidRPr="00D5464D">
        <w:rPr>
          <w:szCs w:val="20"/>
          <w:lang w:val="pt-BR"/>
        </w:rPr>
        <w:t>trabalhadores</w:t>
      </w:r>
      <w:r w:rsidR="00470ADC" w:rsidRPr="00D5464D">
        <w:rPr>
          <w:szCs w:val="20"/>
          <w:lang w:val="pt-BR"/>
        </w:rPr>
        <w:t xml:space="preserve"> da </w:t>
      </w:r>
      <w:r w:rsidR="00D809F0" w:rsidRPr="00D5464D">
        <w:rPr>
          <w:szCs w:val="20"/>
          <w:lang w:val="pt-BR"/>
        </w:rPr>
        <w:t>Fazenda</w:t>
      </w:r>
      <w:r w:rsidRPr="00D5464D">
        <w:rPr>
          <w:szCs w:val="20"/>
          <w:lang w:val="pt-BR"/>
        </w:rPr>
        <w:t xml:space="preserve"> Brasil Verde que </w:t>
      </w:r>
      <w:r w:rsidR="004665B2" w:rsidRPr="00D5464D">
        <w:rPr>
          <w:szCs w:val="20"/>
          <w:lang w:val="pt-BR"/>
        </w:rPr>
        <w:t xml:space="preserve">foram encontrados </w:t>
      </w:r>
      <w:r w:rsidRPr="00D5464D">
        <w:rPr>
          <w:szCs w:val="20"/>
          <w:lang w:val="pt-BR"/>
        </w:rPr>
        <w:t>durante</w:t>
      </w:r>
      <w:r w:rsidR="002C330E" w:rsidRPr="00D5464D">
        <w:rPr>
          <w:szCs w:val="20"/>
          <w:lang w:val="pt-BR"/>
        </w:rPr>
        <w:t xml:space="preserve"> a </w:t>
      </w:r>
      <w:r w:rsidRPr="00D5464D">
        <w:rPr>
          <w:szCs w:val="20"/>
          <w:lang w:val="pt-BR"/>
        </w:rPr>
        <w:t>fiscaliza</w:t>
      </w:r>
      <w:r w:rsidR="00470ADC" w:rsidRPr="00D5464D">
        <w:rPr>
          <w:szCs w:val="20"/>
          <w:lang w:val="pt-BR"/>
        </w:rPr>
        <w:t>ção</w:t>
      </w:r>
      <w:r w:rsidRPr="00D5464D">
        <w:rPr>
          <w:szCs w:val="20"/>
          <w:lang w:val="pt-BR"/>
        </w:rPr>
        <w:t xml:space="preserve"> de 23 de abril de 1997</w:t>
      </w:r>
      <w:r w:rsidR="00E045D9" w:rsidRPr="00D5464D">
        <w:rPr>
          <w:szCs w:val="20"/>
          <w:lang w:val="pt-BR"/>
        </w:rPr>
        <w:t xml:space="preserve"> e </w:t>
      </w:r>
      <w:r w:rsidRPr="00D5464D">
        <w:rPr>
          <w:szCs w:val="20"/>
          <w:lang w:val="pt-BR"/>
        </w:rPr>
        <w:t xml:space="preserve">que </w:t>
      </w:r>
      <w:r w:rsidR="00470ADC" w:rsidRPr="00D5464D">
        <w:rPr>
          <w:szCs w:val="20"/>
          <w:lang w:val="pt-BR"/>
        </w:rPr>
        <w:t>foram</w:t>
      </w:r>
      <w:r w:rsidRPr="00D5464D">
        <w:rPr>
          <w:szCs w:val="20"/>
          <w:lang w:val="pt-BR"/>
        </w:rPr>
        <w:t xml:space="preserve"> identificados</w:t>
      </w:r>
      <w:r w:rsidR="002C330E" w:rsidRPr="00D5464D">
        <w:rPr>
          <w:szCs w:val="20"/>
          <w:lang w:val="pt-BR"/>
        </w:rPr>
        <w:t xml:space="preserve"> pela </w:t>
      </w:r>
      <w:r w:rsidRPr="00D5464D">
        <w:rPr>
          <w:szCs w:val="20"/>
          <w:lang w:val="pt-BR"/>
        </w:rPr>
        <w:t>Corte</w:t>
      </w:r>
      <w:r w:rsidR="00E045D9" w:rsidRPr="00D5464D">
        <w:rPr>
          <w:szCs w:val="20"/>
          <w:lang w:val="pt-BR"/>
        </w:rPr>
        <w:t xml:space="preserve"> no </w:t>
      </w:r>
      <w:r w:rsidRPr="00D5464D">
        <w:rPr>
          <w:szCs w:val="20"/>
          <w:lang w:val="pt-BR"/>
        </w:rPr>
        <w:t xml:space="preserve">presente </w:t>
      </w:r>
      <w:r w:rsidR="002C330E" w:rsidRPr="00D5464D">
        <w:rPr>
          <w:szCs w:val="20"/>
          <w:lang w:val="pt-BR"/>
        </w:rPr>
        <w:t>litígio</w:t>
      </w:r>
      <w:r w:rsidRPr="00D5464D">
        <w:rPr>
          <w:szCs w:val="20"/>
          <w:lang w:val="pt-BR"/>
        </w:rPr>
        <w:t xml:space="preserve"> (</w:t>
      </w:r>
      <w:r w:rsidR="00C85EA9" w:rsidRPr="00D5464D">
        <w:rPr>
          <w:szCs w:val="20"/>
          <w:lang w:val="pt-BR"/>
        </w:rPr>
        <w:t xml:space="preserve">par. </w:t>
      </w:r>
      <w:r w:rsidR="00D036E7" w:rsidRPr="00D5464D">
        <w:rPr>
          <w:szCs w:val="20"/>
          <w:lang w:val="pt-BR"/>
        </w:rPr>
        <w:t>199</w:t>
      </w:r>
      <w:r w:rsidR="00D036E7" w:rsidRPr="00D5464D">
        <w:rPr>
          <w:i/>
          <w:szCs w:val="20"/>
          <w:lang w:val="pt-BR"/>
        </w:rPr>
        <w:t xml:space="preserve"> supra</w:t>
      </w:r>
      <w:r w:rsidR="00D036E7" w:rsidRPr="00D5464D">
        <w:rPr>
          <w:szCs w:val="20"/>
          <w:lang w:val="pt-BR"/>
        </w:rPr>
        <w:t>)</w:t>
      </w:r>
      <w:r w:rsidRPr="00D5464D">
        <w:rPr>
          <w:szCs w:val="20"/>
          <w:lang w:val="pt-BR"/>
        </w:rPr>
        <w:t>.</w:t>
      </w:r>
    </w:p>
    <w:p w14:paraId="3A52C66B" w14:textId="77777777" w:rsidR="00F74CCF" w:rsidRPr="00D5464D" w:rsidRDefault="00F74CCF" w:rsidP="00ED3AD0">
      <w:pPr>
        <w:tabs>
          <w:tab w:val="clear" w:pos="4419"/>
          <w:tab w:val="clear" w:pos="8838"/>
        </w:tabs>
        <w:contextualSpacing/>
        <w:jc w:val="both"/>
        <w:rPr>
          <w:szCs w:val="20"/>
          <w:lang w:val="pt-BR"/>
        </w:rPr>
      </w:pPr>
    </w:p>
    <w:p w14:paraId="1492DAD4" w14:textId="693CC20C" w:rsidR="00D81AA1" w:rsidRPr="00D5464D" w:rsidRDefault="00D81AA1" w:rsidP="00A47A97">
      <w:pPr>
        <w:pStyle w:val="Ttulo3"/>
        <w:rPr>
          <w:lang w:val="pt-BR"/>
        </w:rPr>
      </w:pPr>
      <w:bookmarkStart w:id="424" w:name="_Toc468433939"/>
      <w:bookmarkEnd w:id="419"/>
      <w:r w:rsidRPr="00D5464D">
        <w:rPr>
          <w:lang w:val="pt-BR"/>
        </w:rPr>
        <w:t>B.3</w:t>
      </w:r>
      <w:r w:rsidR="00CB7E29" w:rsidRPr="00D5464D">
        <w:rPr>
          <w:lang w:val="pt-BR"/>
        </w:rPr>
        <w:t>.</w:t>
      </w:r>
      <w:r w:rsidRPr="00D5464D">
        <w:rPr>
          <w:lang w:val="pt-BR"/>
        </w:rPr>
        <w:t xml:space="preserve"> </w:t>
      </w:r>
      <w:r w:rsidR="00470ADC" w:rsidRPr="00D5464D">
        <w:rPr>
          <w:lang w:val="pt-BR"/>
        </w:rPr>
        <w:t>Ausência</w:t>
      </w:r>
      <w:r w:rsidRPr="00D5464D">
        <w:rPr>
          <w:lang w:val="pt-BR"/>
        </w:rPr>
        <w:t xml:space="preserve"> de </w:t>
      </w:r>
      <w:r w:rsidR="002C330E" w:rsidRPr="00D5464D">
        <w:rPr>
          <w:lang w:val="pt-BR"/>
        </w:rPr>
        <w:t>proteção</w:t>
      </w:r>
      <w:r w:rsidRPr="00D5464D">
        <w:rPr>
          <w:lang w:val="pt-BR"/>
        </w:rPr>
        <w:t xml:space="preserve"> judicial </w:t>
      </w:r>
      <w:r w:rsidR="00470ADC" w:rsidRPr="00D5464D">
        <w:rPr>
          <w:lang w:val="pt-BR"/>
        </w:rPr>
        <w:t>efetiv</w:t>
      </w:r>
      <w:r w:rsidRPr="00D5464D">
        <w:rPr>
          <w:lang w:val="pt-BR"/>
        </w:rPr>
        <w:t>a</w:t>
      </w:r>
      <w:bookmarkEnd w:id="424"/>
    </w:p>
    <w:p w14:paraId="60E1B654" w14:textId="77777777" w:rsidR="00D81AA1" w:rsidRPr="00D5464D" w:rsidRDefault="00D81AA1" w:rsidP="00D81AA1">
      <w:pPr>
        <w:autoSpaceDE w:val="0"/>
        <w:autoSpaceDN w:val="0"/>
        <w:adjustRightInd w:val="0"/>
        <w:jc w:val="both"/>
        <w:rPr>
          <w:rFonts w:cs="Arial"/>
          <w:i/>
          <w:szCs w:val="20"/>
          <w:lang w:val="pt-BR"/>
        </w:rPr>
      </w:pPr>
    </w:p>
    <w:p w14:paraId="4E1CA103" w14:textId="1753FAFE" w:rsidR="00D81AA1" w:rsidRPr="00D5464D" w:rsidRDefault="00E765C2" w:rsidP="00D81AA1">
      <w:pPr>
        <w:pStyle w:val="Prrafodelista"/>
        <w:numPr>
          <w:ilvl w:val="0"/>
          <w:numId w:val="1"/>
        </w:numPr>
        <w:contextualSpacing w:val="0"/>
        <w:rPr>
          <w:rFonts w:cs="Arial"/>
          <w:szCs w:val="20"/>
          <w:lang w:val="pt-BR"/>
        </w:rPr>
      </w:pPr>
      <w:r w:rsidRPr="00D5464D">
        <w:rPr>
          <w:rFonts w:cs="Arial"/>
          <w:szCs w:val="20"/>
          <w:lang w:val="pt-BR"/>
        </w:rPr>
        <w:t>A seguir</w:t>
      </w:r>
      <w:r w:rsidR="00954A4A" w:rsidRPr="00D5464D">
        <w:rPr>
          <w:rFonts w:cs="Arial"/>
          <w:szCs w:val="20"/>
          <w:lang w:val="pt-BR"/>
        </w:rPr>
        <w:t>,</w:t>
      </w:r>
      <w:r w:rsidR="002C330E" w:rsidRPr="00D5464D">
        <w:rPr>
          <w:rFonts w:cs="Arial"/>
          <w:szCs w:val="20"/>
          <w:lang w:val="pt-BR"/>
        </w:rPr>
        <w:t xml:space="preserve"> a </w:t>
      </w:r>
      <w:r w:rsidR="00D81AA1" w:rsidRPr="00D5464D">
        <w:rPr>
          <w:rFonts w:cs="Arial"/>
          <w:szCs w:val="20"/>
          <w:lang w:val="pt-BR"/>
        </w:rPr>
        <w:t>Corte realizará</w:t>
      </w:r>
      <w:r w:rsidR="00230C71" w:rsidRPr="00D5464D">
        <w:rPr>
          <w:rFonts w:cs="Arial"/>
          <w:szCs w:val="20"/>
          <w:lang w:val="pt-BR"/>
        </w:rPr>
        <w:t xml:space="preserve"> a análise</w:t>
      </w:r>
      <w:r w:rsidR="00470ADC" w:rsidRPr="00D5464D">
        <w:rPr>
          <w:rFonts w:cs="Arial"/>
          <w:szCs w:val="20"/>
          <w:lang w:val="pt-BR"/>
        </w:rPr>
        <w:t xml:space="preserve"> </w:t>
      </w:r>
      <w:r w:rsidR="00954A4A" w:rsidRPr="00D5464D">
        <w:rPr>
          <w:rFonts w:cs="Arial"/>
          <w:szCs w:val="20"/>
          <w:lang w:val="pt-BR"/>
        </w:rPr>
        <w:t xml:space="preserve">sobre </w:t>
      </w:r>
      <w:r w:rsidR="00470ADC" w:rsidRPr="00D5464D">
        <w:rPr>
          <w:rFonts w:cs="Arial"/>
          <w:szCs w:val="20"/>
          <w:lang w:val="pt-BR"/>
        </w:rPr>
        <w:t xml:space="preserve">a </w:t>
      </w:r>
      <w:r w:rsidR="00D81AA1" w:rsidRPr="00D5464D">
        <w:rPr>
          <w:rFonts w:cs="Arial"/>
          <w:szCs w:val="20"/>
          <w:lang w:val="pt-BR"/>
        </w:rPr>
        <w:t>alegada viola</w:t>
      </w:r>
      <w:r w:rsidR="00470ADC" w:rsidRPr="00D5464D">
        <w:rPr>
          <w:rFonts w:cs="Arial"/>
          <w:szCs w:val="20"/>
          <w:lang w:val="pt-BR"/>
        </w:rPr>
        <w:t>ção</w:t>
      </w:r>
      <w:r w:rsidR="00D81AA1" w:rsidRPr="00D5464D">
        <w:rPr>
          <w:rFonts w:cs="Arial"/>
          <w:szCs w:val="20"/>
          <w:lang w:val="pt-BR"/>
        </w:rPr>
        <w:t xml:space="preserve"> </w:t>
      </w:r>
      <w:r w:rsidR="00470ADC" w:rsidRPr="00D5464D">
        <w:rPr>
          <w:rFonts w:cs="Arial"/>
          <w:szCs w:val="20"/>
          <w:lang w:val="pt-BR"/>
        </w:rPr>
        <w:t xml:space="preserve">do direito à </w:t>
      </w:r>
      <w:r w:rsidR="002C330E" w:rsidRPr="00D5464D">
        <w:rPr>
          <w:rFonts w:cs="Arial"/>
          <w:szCs w:val="20"/>
          <w:lang w:val="pt-BR"/>
        </w:rPr>
        <w:t>proteção</w:t>
      </w:r>
      <w:r w:rsidR="00D81AA1" w:rsidRPr="00D5464D">
        <w:rPr>
          <w:rFonts w:cs="Arial"/>
          <w:szCs w:val="20"/>
          <w:lang w:val="pt-BR"/>
        </w:rPr>
        <w:t xml:space="preserve"> judicial</w:t>
      </w:r>
      <w:r w:rsidR="00752D4A" w:rsidRPr="00D5464D">
        <w:rPr>
          <w:rFonts w:cs="Arial"/>
          <w:szCs w:val="20"/>
          <w:lang w:val="pt-BR"/>
        </w:rPr>
        <w:t>. P</w:t>
      </w:r>
      <w:r w:rsidR="00D81AA1" w:rsidRPr="00D5464D">
        <w:rPr>
          <w:rFonts w:cs="Arial"/>
          <w:szCs w:val="20"/>
          <w:lang w:val="pt-BR"/>
        </w:rPr>
        <w:t>ara</w:t>
      </w:r>
      <w:r w:rsidR="00470ADC" w:rsidRPr="00D5464D">
        <w:rPr>
          <w:rFonts w:cs="Arial"/>
          <w:szCs w:val="20"/>
          <w:lang w:val="pt-BR"/>
        </w:rPr>
        <w:t xml:space="preserve"> </w:t>
      </w:r>
      <w:r w:rsidR="00954A4A" w:rsidRPr="00D5464D">
        <w:rPr>
          <w:rFonts w:cs="Arial"/>
          <w:szCs w:val="20"/>
          <w:lang w:val="pt-BR"/>
        </w:rPr>
        <w:t xml:space="preserve">isso </w:t>
      </w:r>
      <w:r w:rsidR="002C330E" w:rsidRPr="00D5464D">
        <w:rPr>
          <w:rFonts w:cs="Arial"/>
          <w:szCs w:val="20"/>
          <w:lang w:val="pt-BR"/>
        </w:rPr>
        <w:t xml:space="preserve">a </w:t>
      </w:r>
      <w:r w:rsidR="00D81AA1" w:rsidRPr="00D5464D">
        <w:rPr>
          <w:rFonts w:cs="Arial"/>
          <w:szCs w:val="20"/>
          <w:lang w:val="pt-BR"/>
        </w:rPr>
        <w:t xml:space="preserve">Corte </w:t>
      </w:r>
      <w:r w:rsidR="00470ADC" w:rsidRPr="00D5464D">
        <w:rPr>
          <w:rFonts w:cs="Arial"/>
          <w:szCs w:val="20"/>
          <w:lang w:val="pt-BR"/>
        </w:rPr>
        <w:t>avaliar</w:t>
      </w:r>
      <w:r w:rsidR="00D81AA1" w:rsidRPr="00D5464D">
        <w:rPr>
          <w:rFonts w:cs="Arial"/>
          <w:szCs w:val="20"/>
          <w:lang w:val="pt-BR"/>
        </w:rPr>
        <w:t>á: i)</w:t>
      </w:r>
      <w:r w:rsidR="002C330E" w:rsidRPr="00D5464D">
        <w:rPr>
          <w:rFonts w:cs="Arial"/>
          <w:szCs w:val="20"/>
          <w:lang w:val="pt-BR"/>
        </w:rPr>
        <w:t xml:space="preserve"> se os processo</w:t>
      </w:r>
      <w:r w:rsidR="00D81AA1" w:rsidRPr="00D5464D">
        <w:rPr>
          <w:rFonts w:cs="Arial"/>
          <w:szCs w:val="20"/>
          <w:lang w:val="pt-BR"/>
        </w:rPr>
        <w:t>s iniciados</w:t>
      </w:r>
      <w:r w:rsidR="00470ADC" w:rsidRPr="00D5464D">
        <w:rPr>
          <w:rFonts w:cs="Arial"/>
          <w:szCs w:val="20"/>
          <w:lang w:val="pt-BR"/>
        </w:rPr>
        <w:t xml:space="preserve"> em </w:t>
      </w:r>
      <w:r w:rsidR="00D81AA1" w:rsidRPr="00D5464D">
        <w:rPr>
          <w:rFonts w:cs="Arial"/>
          <w:szCs w:val="20"/>
          <w:lang w:val="pt-BR"/>
        </w:rPr>
        <w:t>1997, 2000</w:t>
      </w:r>
      <w:r w:rsidR="00E045D9" w:rsidRPr="00D5464D">
        <w:rPr>
          <w:rFonts w:cs="Arial"/>
          <w:szCs w:val="20"/>
          <w:lang w:val="pt-BR"/>
        </w:rPr>
        <w:t xml:space="preserve"> e </w:t>
      </w:r>
      <w:r w:rsidR="00D81AA1" w:rsidRPr="00D5464D">
        <w:rPr>
          <w:rFonts w:cs="Arial"/>
          <w:szCs w:val="20"/>
          <w:lang w:val="pt-BR"/>
        </w:rPr>
        <w:t xml:space="preserve">2001 </w:t>
      </w:r>
      <w:r w:rsidR="00470ADC" w:rsidRPr="00D5464D">
        <w:rPr>
          <w:rFonts w:cs="Arial"/>
          <w:szCs w:val="20"/>
          <w:lang w:val="pt-BR"/>
        </w:rPr>
        <w:t>foram</w:t>
      </w:r>
      <w:r w:rsidR="00D81AA1" w:rsidRPr="00D5464D">
        <w:rPr>
          <w:rFonts w:cs="Arial"/>
          <w:szCs w:val="20"/>
          <w:lang w:val="pt-BR"/>
        </w:rPr>
        <w:t xml:space="preserve"> recursos </w:t>
      </w:r>
      <w:r w:rsidR="00470ADC" w:rsidRPr="00D5464D">
        <w:rPr>
          <w:rFonts w:cs="Arial"/>
          <w:szCs w:val="20"/>
          <w:lang w:val="pt-BR"/>
        </w:rPr>
        <w:t>efetiv</w:t>
      </w:r>
      <w:r w:rsidR="00D81AA1" w:rsidRPr="00D5464D">
        <w:rPr>
          <w:rFonts w:cs="Arial"/>
          <w:szCs w:val="20"/>
          <w:lang w:val="pt-BR"/>
        </w:rPr>
        <w:t>os para investigar</w:t>
      </w:r>
      <w:r w:rsidR="00E045D9" w:rsidRPr="00D5464D">
        <w:rPr>
          <w:rFonts w:cs="Arial"/>
          <w:szCs w:val="20"/>
          <w:lang w:val="pt-BR"/>
        </w:rPr>
        <w:t xml:space="preserve"> e </w:t>
      </w:r>
      <w:r w:rsidR="00954A4A" w:rsidRPr="00D5464D">
        <w:rPr>
          <w:rFonts w:cs="Arial"/>
          <w:szCs w:val="20"/>
          <w:lang w:val="pt-BR"/>
        </w:rPr>
        <w:t xml:space="preserve">punir </w:t>
      </w:r>
      <w:r w:rsidR="00E045D9" w:rsidRPr="00D5464D">
        <w:rPr>
          <w:rFonts w:cs="Arial"/>
          <w:szCs w:val="20"/>
          <w:lang w:val="pt-BR"/>
        </w:rPr>
        <w:t xml:space="preserve">os </w:t>
      </w:r>
      <w:r w:rsidR="00350187" w:rsidRPr="00D5464D">
        <w:rPr>
          <w:rFonts w:cs="Arial"/>
          <w:szCs w:val="20"/>
          <w:lang w:val="pt-BR"/>
        </w:rPr>
        <w:t>responsáveis pelo</w:t>
      </w:r>
      <w:r w:rsidR="00470ADC" w:rsidRPr="00D5464D">
        <w:rPr>
          <w:rFonts w:cs="Arial"/>
          <w:szCs w:val="20"/>
          <w:lang w:val="pt-BR"/>
        </w:rPr>
        <w:t xml:space="preserve">s </w:t>
      </w:r>
      <w:r w:rsidR="002C330E" w:rsidRPr="00D5464D">
        <w:rPr>
          <w:rFonts w:cs="Arial"/>
          <w:szCs w:val="20"/>
          <w:lang w:val="pt-BR"/>
        </w:rPr>
        <w:t>fatos</w:t>
      </w:r>
      <w:r w:rsidR="00D81AA1" w:rsidRPr="00D5464D">
        <w:rPr>
          <w:rFonts w:cs="Arial"/>
          <w:szCs w:val="20"/>
          <w:lang w:val="pt-BR"/>
        </w:rPr>
        <w:t xml:space="preserve"> verificados</w:t>
      </w:r>
      <w:r w:rsidR="00E045D9" w:rsidRPr="00D5464D">
        <w:rPr>
          <w:rFonts w:cs="Arial"/>
          <w:szCs w:val="20"/>
          <w:lang w:val="pt-BR"/>
        </w:rPr>
        <w:t xml:space="preserve"> na </w:t>
      </w:r>
      <w:r w:rsidR="00D809F0" w:rsidRPr="00D5464D">
        <w:rPr>
          <w:rFonts w:cs="Arial"/>
          <w:szCs w:val="20"/>
          <w:lang w:val="pt-BR"/>
        </w:rPr>
        <w:t>Fazenda</w:t>
      </w:r>
      <w:r w:rsidR="00D81AA1" w:rsidRPr="00D5464D">
        <w:rPr>
          <w:rFonts w:cs="Arial"/>
          <w:szCs w:val="20"/>
          <w:lang w:val="pt-BR"/>
        </w:rPr>
        <w:t xml:space="preserve"> Brasil Verde</w:t>
      </w:r>
      <w:r w:rsidR="00A017C5" w:rsidRPr="00D5464D">
        <w:rPr>
          <w:rFonts w:cs="Arial"/>
          <w:szCs w:val="20"/>
          <w:lang w:val="pt-BR"/>
        </w:rPr>
        <w:t xml:space="preserve"> e </w:t>
      </w:r>
      <w:r w:rsidR="002C330E" w:rsidRPr="00D5464D">
        <w:rPr>
          <w:rFonts w:cs="Arial"/>
          <w:szCs w:val="20"/>
          <w:lang w:val="pt-BR"/>
        </w:rPr>
        <w:t xml:space="preserve">se </w:t>
      </w:r>
      <w:r w:rsidR="00737270" w:rsidRPr="00D5464D">
        <w:rPr>
          <w:rFonts w:cs="Arial"/>
          <w:szCs w:val="20"/>
          <w:lang w:val="pt-BR"/>
        </w:rPr>
        <w:t>existiu</w:t>
      </w:r>
      <w:r w:rsidR="00E045D9" w:rsidRPr="00D5464D">
        <w:rPr>
          <w:rFonts w:cs="Arial"/>
          <w:szCs w:val="20"/>
          <w:lang w:val="pt-BR"/>
        </w:rPr>
        <w:t xml:space="preserve"> um </w:t>
      </w:r>
      <w:r w:rsidR="00D81AA1" w:rsidRPr="00D5464D">
        <w:rPr>
          <w:rFonts w:cs="Arial"/>
          <w:szCs w:val="20"/>
          <w:lang w:val="pt-BR"/>
        </w:rPr>
        <w:t xml:space="preserve">recurso </w:t>
      </w:r>
      <w:r w:rsidR="00470ADC" w:rsidRPr="00D5464D">
        <w:rPr>
          <w:rFonts w:cs="Arial"/>
          <w:szCs w:val="20"/>
          <w:lang w:val="pt-BR"/>
        </w:rPr>
        <w:t>efetiv</w:t>
      </w:r>
      <w:r w:rsidR="00D81AA1" w:rsidRPr="00D5464D">
        <w:rPr>
          <w:rFonts w:cs="Arial"/>
          <w:szCs w:val="20"/>
          <w:lang w:val="pt-BR"/>
        </w:rPr>
        <w:t>o para</w:t>
      </w:r>
      <w:r w:rsidR="002C330E" w:rsidRPr="00D5464D">
        <w:rPr>
          <w:rFonts w:cs="Arial"/>
          <w:szCs w:val="20"/>
          <w:lang w:val="pt-BR"/>
        </w:rPr>
        <w:t xml:space="preserve"> a </w:t>
      </w:r>
      <w:r w:rsidR="00D81AA1" w:rsidRPr="00D5464D">
        <w:rPr>
          <w:rFonts w:cs="Arial"/>
          <w:szCs w:val="20"/>
          <w:lang w:val="pt-BR"/>
        </w:rPr>
        <w:t>repara</w:t>
      </w:r>
      <w:r w:rsidR="00470ADC" w:rsidRPr="00D5464D">
        <w:rPr>
          <w:rFonts w:cs="Arial"/>
          <w:szCs w:val="20"/>
          <w:lang w:val="pt-BR"/>
        </w:rPr>
        <w:t xml:space="preserve">ção das </w:t>
      </w:r>
      <w:r w:rsidR="002C330E" w:rsidRPr="00D5464D">
        <w:rPr>
          <w:rFonts w:cs="Arial"/>
          <w:szCs w:val="20"/>
          <w:lang w:val="pt-BR"/>
        </w:rPr>
        <w:t>suposta</w:t>
      </w:r>
      <w:r w:rsidR="00D81AA1" w:rsidRPr="00D5464D">
        <w:rPr>
          <w:rFonts w:cs="Arial"/>
          <w:szCs w:val="20"/>
          <w:lang w:val="pt-BR"/>
        </w:rPr>
        <w:t xml:space="preserve">s </w:t>
      </w:r>
      <w:r w:rsidR="00E045D9" w:rsidRPr="00D5464D">
        <w:rPr>
          <w:rFonts w:cs="Arial"/>
          <w:szCs w:val="20"/>
          <w:lang w:val="pt-BR"/>
        </w:rPr>
        <w:t>vítima</w:t>
      </w:r>
      <w:r w:rsidR="00D81AA1" w:rsidRPr="00D5464D">
        <w:rPr>
          <w:rFonts w:cs="Arial"/>
          <w:szCs w:val="20"/>
          <w:lang w:val="pt-BR"/>
        </w:rPr>
        <w:t>s</w:t>
      </w:r>
      <w:r w:rsidR="009E04D5" w:rsidRPr="00D5464D">
        <w:rPr>
          <w:rFonts w:cs="Arial"/>
          <w:szCs w:val="20"/>
          <w:lang w:val="pt-BR"/>
        </w:rPr>
        <w:t>,</w:t>
      </w:r>
      <w:r w:rsidR="00D81AA1" w:rsidRPr="00D5464D">
        <w:rPr>
          <w:rFonts w:cs="Arial"/>
          <w:szCs w:val="20"/>
          <w:lang w:val="pt-BR"/>
        </w:rPr>
        <w:t xml:space="preserve"> ii)</w:t>
      </w:r>
      <w:r w:rsidR="002C330E" w:rsidRPr="00D5464D">
        <w:rPr>
          <w:rFonts w:cs="Arial"/>
          <w:szCs w:val="20"/>
          <w:lang w:val="pt-BR"/>
        </w:rPr>
        <w:t xml:space="preserve"> a prescrição</w:t>
      </w:r>
      <w:r w:rsidR="00470ADC" w:rsidRPr="00D5464D">
        <w:rPr>
          <w:rFonts w:cs="Arial"/>
          <w:szCs w:val="20"/>
          <w:lang w:val="pt-BR"/>
        </w:rPr>
        <w:t xml:space="preserve"> dos </w:t>
      </w:r>
      <w:r w:rsidR="002C330E" w:rsidRPr="00D5464D">
        <w:rPr>
          <w:rFonts w:cs="Arial"/>
          <w:szCs w:val="20"/>
          <w:lang w:val="pt-BR"/>
        </w:rPr>
        <w:t>processo</w:t>
      </w:r>
      <w:r w:rsidR="00D81AA1" w:rsidRPr="00D5464D">
        <w:rPr>
          <w:rFonts w:cs="Arial"/>
          <w:szCs w:val="20"/>
          <w:lang w:val="pt-BR"/>
        </w:rPr>
        <w:t>s</w:t>
      </w:r>
      <w:r w:rsidR="00E045D9" w:rsidRPr="00D5464D">
        <w:rPr>
          <w:rFonts w:cs="Arial"/>
          <w:szCs w:val="20"/>
          <w:lang w:val="pt-BR"/>
        </w:rPr>
        <w:t xml:space="preserve"> e </w:t>
      </w:r>
      <w:r w:rsidR="00D81AA1" w:rsidRPr="00D5464D">
        <w:rPr>
          <w:rFonts w:cs="Arial"/>
          <w:szCs w:val="20"/>
          <w:lang w:val="pt-BR"/>
        </w:rPr>
        <w:t>su</w:t>
      </w:r>
      <w:r w:rsidR="00954A4A" w:rsidRPr="00D5464D">
        <w:rPr>
          <w:rFonts w:cs="Arial"/>
          <w:szCs w:val="20"/>
          <w:lang w:val="pt-BR"/>
        </w:rPr>
        <w:t>a</w:t>
      </w:r>
      <w:r w:rsidR="00D81AA1" w:rsidRPr="00D5464D">
        <w:rPr>
          <w:rFonts w:cs="Arial"/>
          <w:szCs w:val="20"/>
          <w:lang w:val="pt-BR"/>
        </w:rPr>
        <w:t xml:space="preserve"> </w:t>
      </w:r>
      <w:r w:rsidR="00350187" w:rsidRPr="00D5464D">
        <w:rPr>
          <w:rFonts w:cs="Arial"/>
          <w:szCs w:val="20"/>
          <w:lang w:val="pt-BR"/>
        </w:rPr>
        <w:t xml:space="preserve">compatibilidade </w:t>
      </w:r>
      <w:r w:rsidR="00470ADC" w:rsidRPr="00D5464D">
        <w:rPr>
          <w:rFonts w:cs="Arial"/>
          <w:szCs w:val="20"/>
          <w:lang w:val="pt-BR"/>
        </w:rPr>
        <w:t>com</w:t>
      </w:r>
      <w:r w:rsidR="002C330E" w:rsidRPr="00D5464D">
        <w:rPr>
          <w:rFonts w:cs="Arial"/>
          <w:szCs w:val="20"/>
          <w:lang w:val="pt-BR"/>
        </w:rPr>
        <w:t xml:space="preserve"> as obrigações</w:t>
      </w:r>
      <w:r w:rsidR="00D81AA1" w:rsidRPr="00D5464D">
        <w:rPr>
          <w:rFonts w:cs="Arial"/>
          <w:szCs w:val="20"/>
          <w:lang w:val="pt-BR"/>
        </w:rPr>
        <w:t xml:space="preserve"> derivadas </w:t>
      </w:r>
      <w:r w:rsidR="00470ADC" w:rsidRPr="00D5464D">
        <w:rPr>
          <w:rFonts w:cs="Arial"/>
          <w:szCs w:val="20"/>
          <w:lang w:val="pt-BR"/>
        </w:rPr>
        <w:t xml:space="preserve">do </w:t>
      </w:r>
      <w:r w:rsidRPr="00D5464D">
        <w:rPr>
          <w:rFonts w:cs="Arial"/>
          <w:szCs w:val="20"/>
          <w:lang w:val="pt-BR"/>
        </w:rPr>
        <w:t>Direito Internacional</w:t>
      </w:r>
      <w:r w:rsidR="00470ADC" w:rsidRPr="00D5464D">
        <w:rPr>
          <w:rFonts w:cs="Arial"/>
          <w:szCs w:val="20"/>
          <w:lang w:val="pt-BR"/>
        </w:rPr>
        <w:t xml:space="preserve"> e</w:t>
      </w:r>
      <w:r w:rsidR="00D81AA1" w:rsidRPr="00D5464D">
        <w:rPr>
          <w:rFonts w:cs="Arial"/>
          <w:szCs w:val="20"/>
          <w:lang w:val="pt-BR"/>
        </w:rPr>
        <w:t xml:space="preserve"> </w:t>
      </w:r>
      <w:r w:rsidR="00A017C5" w:rsidRPr="00D5464D">
        <w:rPr>
          <w:rFonts w:cs="Arial"/>
          <w:szCs w:val="20"/>
          <w:lang w:val="pt-BR"/>
        </w:rPr>
        <w:t>iii</w:t>
      </w:r>
      <w:r w:rsidR="00D81AA1" w:rsidRPr="00D5464D">
        <w:rPr>
          <w:rFonts w:cs="Arial"/>
          <w:szCs w:val="20"/>
          <w:lang w:val="pt-BR"/>
        </w:rPr>
        <w:t>)</w:t>
      </w:r>
      <w:r w:rsidR="002C330E" w:rsidRPr="00D5464D">
        <w:rPr>
          <w:rFonts w:cs="Arial"/>
          <w:szCs w:val="20"/>
          <w:lang w:val="pt-BR"/>
        </w:rPr>
        <w:t xml:space="preserve"> a </w:t>
      </w:r>
      <w:r w:rsidR="00D81AA1" w:rsidRPr="00D5464D">
        <w:rPr>
          <w:rFonts w:cs="Arial"/>
          <w:szCs w:val="20"/>
          <w:lang w:val="pt-BR"/>
        </w:rPr>
        <w:t>alegada discrimina</w:t>
      </w:r>
      <w:r w:rsidR="00470ADC" w:rsidRPr="00D5464D">
        <w:rPr>
          <w:rFonts w:cs="Arial"/>
          <w:szCs w:val="20"/>
          <w:lang w:val="pt-BR"/>
        </w:rPr>
        <w:t>ção</w:t>
      </w:r>
      <w:r w:rsidR="00E045D9" w:rsidRPr="00D5464D">
        <w:rPr>
          <w:rFonts w:cs="Arial"/>
          <w:szCs w:val="20"/>
          <w:lang w:val="pt-BR"/>
        </w:rPr>
        <w:t xml:space="preserve"> </w:t>
      </w:r>
      <w:r w:rsidR="00954A4A" w:rsidRPr="00D5464D">
        <w:rPr>
          <w:rFonts w:cs="Arial"/>
          <w:szCs w:val="20"/>
          <w:lang w:val="pt-BR"/>
        </w:rPr>
        <w:t xml:space="preserve">das supostas vítimas </w:t>
      </w:r>
      <w:r w:rsidR="00E045D9" w:rsidRPr="00D5464D">
        <w:rPr>
          <w:rFonts w:cs="Arial"/>
          <w:szCs w:val="20"/>
          <w:lang w:val="pt-BR"/>
        </w:rPr>
        <w:t xml:space="preserve">no </w:t>
      </w:r>
      <w:r w:rsidR="00470ADC" w:rsidRPr="00D5464D">
        <w:rPr>
          <w:rFonts w:cs="Arial"/>
          <w:szCs w:val="20"/>
          <w:lang w:val="pt-BR"/>
        </w:rPr>
        <w:t xml:space="preserve">acesso à </w:t>
      </w:r>
      <w:r w:rsidR="002C330E" w:rsidRPr="00D5464D">
        <w:rPr>
          <w:rFonts w:cs="Arial"/>
          <w:szCs w:val="20"/>
          <w:lang w:val="pt-BR"/>
        </w:rPr>
        <w:t>proteção</w:t>
      </w:r>
      <w:r w:rsidR="00D81AA1" w:rsidRPr="00D5464D">
        <w:rPr>
          <w:rFonts w:cs="Arial"/>
          <w:szCs w:val="20"/>
          <w:lang w:val="pt-BR"/>
        </w:rPr>
        <w:t xml:space="preserve"> judicial. </w:t>
      </w:r>
    </w:p>
    <w:p w14:paraId="3B59CA87" w14:textId="77777777" w:rsidR="00D81AA1" w:rsidRPr="00D5464D" w:rsidRDefault="00D81AA1" w:rsidP="00D81AA1">
      <w:pPr>
        <w:pStyle w:val="Prrafodelista"/>
        <w:ind w:left="0"/>
        <w:rPr>
          <w:rFonts w:cs="Arial"/>
          <w:szCs w:val="20"/>
          <w:lang w:val="pt-BR"/>
        </w:rPr>
      </w:pPr>
    </w:p>
    <w:p w14:paraId="7EBB8018" w14:textId="77F01E14" w:rsidR="00D81AA1" w:rsidRPr="00D5464D" w:rsidRDefault="00470ADC" w:rsidP="00D81AA1">
      <w:pPr>
        <w:pStyle w:val="Prrafodelista"/>
        <w:numPr>
          <w:ilvl w:val="0"/>
          <w:numId w:val="1"/>
        </w:numPr>
        <w:contextualSpacing w:val="0"/>
        <w:rPr>
          <w:rFonts w:cs="Arial"/>
          <w:szCs w:val="20"/>
          <w:lang w:val="pt-BR"/>
        </w:rPr>
      </w:pPr>
      <w:r w:rsidRPr="00D5464D">
        <w:rPr>
          <w:rFonts w:cs="Arial"/>
          <w:iCs/>
          <w:szCs w:val="20"/>
          <w:lang w:val="pt-BR"/>
        </w:rPr>
        <w:t xml:space="preserve">No </w:t>
      </w:r>
      <w:r w:rsidR="00D81AA1" w:rsidRPr="00D5464D">
        <w:rPr>
          <w:rFonts w:cs="Arial"/>
          <w:iCs/>
          <w:szCs w:val="20"/>
          <w:lang w:val="pt-BR"/>
        </w:rPr>
        <w:t>presente caso,</w:t>
      </w:r>
      <w:r w:rsidR="002C330E" w:rsidRPr="00D5464D">
        <w:rPr>
          <w:rFonts w:cs="Arial"/>
          <w:iCs/>
          <w:szCs w:val="20"/>
          <w:lang w:val="pt-BR"/>
        </w:rPr>
        <w:t xml:space="preserve"> a </w:t>
      </w:r>
      <w:r w:rsidR="00D81AA1" w:rsidRPr="00D5464D">
        <w:rPr>
          <w:rFonts w:cs="Arial"/>
          <w:iCs/>
          <w:szCs w:val="20"/>
          <w:lang w:val="pt-BR"/>
        </w:rPr>
        <w:t xml:space="preserve">Corte </w:t>
      </w:r>
      <w:r w:rsidRPr="00D5464D">
        <w:rPr>
          <w:rFonts w:cs="Arial"/>
          <w:iCs/>
          <w:szCs w:val="20"/>
          <w:lang w:val="pt-BR"/>
        </w:rPr>
        <w:t>adverte</w:t>
      </w:r>
      <w:r w:rsidR="00D81AA1" w:rsidRPr="00D5464D">
        <w:rPr>
          <w:rFonts w:cs="Arial"/>
          <w:iCs/>
          <w:szCs w:val="20"/>
          <w:lang w:val="pt-BR"/>
        </w:rPr>
        <w:t xml:space="preserve"> que</w:t>
      </w:r>
      <w:r w:rsidR="00E045D9" w:rsidRPr="00D5464D">
        <w:rPr>
          <w:rFonts w:cs="Arial"/>
          <w:iCs/>
          <w:szCs w:val="20"/>
          <w:lang w:val="pt-BR"/>
        </w:rPr>
        <w:t xml:space="preserve"> nos </w:t>
      </w:r>
      <w:r w:rsidRPr="00D5464D">
        <w:rPr>
          <w:rFonts w:cs="Arial"/>
          <w:iCs/>
          <w:szCs w:val="20"/>
          <w:lang w:val="pt-BR"/>
        </w:rPr>
        <w:t>anos</w:t>
      </w:r>
      <w:r w:rsidR="00D81AA1" w:rsidRPr="00D5464D">
        <w:rPr>
          <w:rFonts w:cs="Arial"/>
          <w:iCs/>
          <w:szCs w:val="20"/>
          <w:lang w:val="pt-BR"/>
        </w:rPr>
        <w:t xml:space="preserve"> 1997, 2000</w:t>
      </w:r>
      <w:r w:rsidR="00E045D9" w:rsidRPr="00D5464D">
        <w:rPr>
          <w:rFonts w:cs="Arial"/>
          <w:iCs/>
          <w:szCs w:val="20"/>
          <w:lang w:val="pt-BR"/>
        </w:rPr>
        <w:t xml:space="preserve"> e </w:t>
      </w:r>
      <w:r w:rsidR="00D81AA1" w:rsidRPr="00D5464D">
        <w:rPr>
          <w:rFonts w:cs="Arial"/>
          <w:iCs/>
          <w:szCs w:val="20"/>
          <w:lang w:val="pt-BR"/>
        </w:rPr>
        <w:t xml:space="preserve">2001 </w:t>
      </w:r>
      <w:r w:rsidR="001133D7" w:rsidRPr="00D5464D">
        <w:rPr>
          <w:rFonts w:cs="Arial"/>
          <w:iCs/>
          <w:szCs w:val="20"/>
          <w:lang w:val="pt-BR"/>
        </w:rPr>
        <w:t>foram iniciad</w:t>
      </w:r>
      <w:r w:rsidR="009E04D5" w:rsidRPr="00D5464D">
        <w:rPr>
          <w:rFonts w:cs="Arial"/>
          <w:iCs/>
          <w:szCs w:val="20"/>
          <w:lang w:val="pt-BR"/>
        </w:rPr>
        <w:t>a</w:t>
      </w:r>
      <w:r w:rsidR="001133D7" w:rsidRPr="00D5464D">
        <w:rPr>
          <w:rFonts w:cs="Arial"/>
          <w:iCs/>
          <w:szCs w:val="20"/>
          <w:lang w:val="pt-BR"/>
        </w:rPr>
        <w:t xml:space="preserve">s </w:t>
      </w:r>
      <w:r w:rsidR="00D81AA1" w:rsidRPr="00D5464D">
        <w:rPr>
          <w:rFonts w:cs="Arial"/>
          <w:iCs/>
          <w:szCs w:val="20"/>
          <w:lang w:val="pt-BR"/>
        </w:rPr>
        <w:t>d</w:t>
      </w:r>
      <w:r w:rsidR="001133D7" w:rsidRPr="00D5464D">
        <w:rPr>
          <w:rFonts w:cs="Arial"/>
          <w:iCs/>
          <w:szCs w:val="20"/>
          <w:lang w:val="pt-BR"/>
        </w:rPr>
        <w:t>ua</w:t>
      </w:r>
      <w:r w:rsidR="00D81AA1" w:rsidRPr="00D5464D">
        <w:rPr>
          <w:rFonts w:cs="Arial"/>
          <w:iCs/>
          <w:szCs w:val="20"/>
          <w:lang w:val="pt-BR"/>
        </w:rPr>
        <w:t xml:space="preserve">s </w:t>
      </w:r>
      <w:r w:rsidRPr="00D5464D">
        <w:rPr>
          <w:rFonts w:cs="Arial"/>
          <w:iCs/>
          <w:szCs w:val="20"/>
          <w:lang w:val="pt-BR"/>
        </w:rPr>
        <w:t>ações</w:t>
      </w:r>
      <w:r w:rsidR="00D81AA1" w:rsidRPr="00D5464D">
        <w:rPr>
          <w:rFonts w:cs="Arial"/>
          <w:iCs/>
          <w:szCs w:val="20"/>
          <w:lang w:val="pt-BR"/>
        </w:rPr>
        <w:t xml:space="preserve"> </w:t>
      </w:r>
      <w:r w:rsidR="002C330E" w:rsidRPr="00D5464D">
        <w:rPr>
          <w:rFonts w:cs="Arial"/>
          <w:iCs/>
          <w:szCs w:val="20"/>
          <w:lang w:val="pt-BR"/>
        </w:rPr>
        <w:t>penais</w:t>
      </w:r>
      <w:r w:rsidR="00D81AA1" w:rsidRPr="00D5464D">
        <w:rPr>
          <w:rFonts w:cs="Arial"/>
          <w:iCs/>
          <w:szCs w:val="20"/>
          <w:lang w:val="pt-BR"/>
        </w:rPr>
        <w:t>,</w:t>
      </w:r>
      <w:r w:rsidR="00E045D9" w:rsidRPr="00D5464D">
        <w:rPr>
          <w:rFonts w:cs="Arial"/>
          <w:iCs/>
          <w:szCs w:val="20"/>
          <w:lang w:val="pt-BR"/>
        </w:rPr>
        <w:t xml:space="preserve"> uma </w:t>
      </w:r>
      <w:r w:rsidR="00737270" w:rsidRPr="00D5464D">
        <w:rPr>
          <w:rFonts w:cs="Arial"/>
          <w:iCs/>
          <w:szCs w:val="20"/>
          <w:lang w:val="pt-BR"/>
        </w:rPr>
        <w:t>ação</w:t>
      </w:r>
      <w:r w:rsidR="00D81AA1" w:rsidRPr="00D5464D">
        <w:rPr>
          <w:rFonts w:cs="Arial"/>
          <w:iCs/>
          <w:szCs w:val="20"/>
          <w:lang w:val="pt-BR"/>
        </w:rPr>
        <w:t xml:space="preserve"> civil</w:t>
      </w:r>
      <w:r w:rsidR="00E045D9" w:rsidRPr="00D5464D">
        <w:rPr>
          <w:rFonts w:cs="Arial"/>
          <w:iCs/>
          <w:szCs w:val="20"/>
          <w:lang w:val="pt-BR"/>
        </w:rPr>
        <w:t xml:space="preserve"> e um </w:t>
      </w:r>
      <w:r w:rsidR="002C330E" w:rsidRPr="00D5464D">
        <w:rPr>
          <w:rFonts w:cs="Arial"/>
          <w:iCs/>
          <w:szCs w:val="20"/>
          <w:lang w:val="pt-BR"/>
        </w:rPr>
        <w:t>procedimento</w:t>
      </w:r>
      <w:r w:rsidR="00D81AA1" w:rsidRPr="00D5464D">
        <w:rPr>
          <w:rFonts w:cs="Arial"/>
          <w:iCs/>
          <w:szCs w:val="20"/>
          <w:lang w:val="pt-BR"/>
        </w:rPr>
        <w:t xml:space="preserve"> </w:t>
      </w:r>
      <w:r w:rsidR="001133D7" w:rsidRPr="00D5464D">
        <w:rPr>
          <w:rFonts w:cs="Arial"/>
          <w:iCs/>
          <w:szCs w:val="20"/>
          <w:lang w:val="pt-BR"/>
        </w:rPr>
        <w:t xml:space="preserve">trabalhista a </w:t>
      </w:r>
      <w:r w:rsidR="00737270" w:rsidRPr="00D5464D">
        <w:rPr>
          <w:rFonts w:cs="Arial"/>
          <w:iCs/>
          <w:szCs w:val="20"/>
          <w:lang w:val="pt-BR"/>
        </w:rPr>
        <w:t>respeito</w:t>
      </w:r>
      <w:r w:rsidRPr="00D5464D">
        <w:rPr>
          <w:rFonts w:cs="Arial"/>
          <w:iCs/>
          <w:szCs w:val="20"/>
          <w:lang w:val="pt-BR"/>
        </w:rPr>
        <w:t xml:space="preserve"> da </w:t>
      </w:r>
      <w:r w:rsidR="00D81AA1" w:rsidRPr="00D5464D">
        <w:rPr>
          <w:rFonts w:cs="Arial"/>
          <w:iCs/>
          <w:szCs w:val="20"/>
          <w:lang w:val="pt-BR"/>
        </w:rPr>
        <w:t>situa</w:t>
      </w:r>
      <w:r w:rsidRPr="00D5464D">
        <w:rPr>
          <w:rFonts w:cs="Arial"/>
          <w:iCs/>
          <w:szCs w:val="20"/>
          <w:lang w:val="pt-BR"/>
        </w:rPr>
        <w:t xml:space="preserve">ção dos </w:t>
      </w:r>
      <w:r w:rsidR="00E045D9" w:rsidRPr="00D5464D">
        <w:rPr>
          <w:rFonts w:cs="Arial"/>
          <w:iCs/>
          <w:szCs w:val="20"/>
          <w:lang w:val="pt-BR"/>
        </w:rPr>
        <w:t>trabalhadores</w:t>
      </w:r>
      <w:r w:rsidRPr="00D5464D">
        <w:rPr>
          <w:rFonts w:cs="Arial"/>
          <w:iCs/>
          <w:szCs w:val="20"/>
          <w:lang w:val="pt-BR"/>
        </w:rPr>
        <w:t xml:space="preserve"> da </w:t>
      </w:r>
      <w:r w:rsidR="00D809F0" w:rsidRPr="00D5464D">
        <w:rPr>
          <w:rFonts w:cs="Arial"/>
          <w:iCs/>
          <w:szCs w:val="20"/>
          <w:lang w:val="pt-BR"/>
        </w:rPr>
        <w:t>Fazenda</w:t>
      </w:r>
      <w:r w:rsidR="00D81AA1" w:rsidRPr="00D5464D">
        <w:rPr>
          <w:rFonts w:cs="Arial"/>
          <w:iCs/>
          <w:szCs w:val="20"/>
          <w:lang w:val="pt-BR"/>
        </w:rPr>
        <w:t xml:space="preserve"> Brasil Verde</w:t>
      </w:r>
      <w:r w:rsidR="00A1358C" w:rsidRPr="00D5464D">
        <w:rPr>
          <w:rFonts w:cs="Arial"/>
          <w:iCs/>
          <w:szCs w:val="20"/>
          <w:lang w:val="pt-BR"/>
        </w:rPr>
        <w:t xml:space="preserve">. </w:t>
      </w:r>
      <w:r w:rsidR="00E765C2" w:rsidRPr="00D5464D">
        <w:rPr>
          <w:rFonts w:cs="Arial"/>
          <w:iCs/>
          <w:szCs w:val="20"/>
          <w:lang w:val="pt-BR"/>
        </w:rPr>
        <w:t>A seguir</w:t>
      </w:r>
      <w:r w:rsidR="009E04D5" w:rsidRPr="00D5464D">
        <w:rPr>
          <w:rFonts w:cs="Arial"/>
          <w:iCs/>
          <w:szCs w:val="20"/>
          <w:lang w:val="pt-BR"/>
        </w:rPr>
        <w:t>,</w:t>
      </w:r>
      <w:r w:rsidRPr="00D5464D">
        <w:rPr>
          <w:rFonts w:cs="Arial"/>
          <w:iCs/>
          <w:szCs w:val="20"/>
          <w:lang w:val="pt-BR"/>
        </w:rPr>
        <w:t xml:space="preserve"> o </w:t>
      </w:r>
      <w:r w:rsidR="00D81AA1" w:rsidRPr="00D5464D">
        <w:rPr>
          <w:rFonts w:cs="Arial"/>
          <w:iCs/>
          <w:szCs w:val="20"/>
          <w:lang w:val="pt-BR"/>
        </w:rPr>
        <w:t xml:space="preserve">Tribunal </w:t>
      </w:r>
      <w:r w:rsidRPr="00D5464D">
        <w:rPr>
          <w:rFonts w:cs="Arial"/>
          <w:iCs/>
          <w:szCs w:val="20"/>
          <w:lang w:val="pt-BR"/>
        </w:rPr>
        <w:t>analisará</w:t>
      </w:r>
      <w:r w:rsidR="00D81AA1" w:rsidRPr="00D5464D">
        <w:rPr>
          <w:rFonts w:cs="Arial"/>
          <w:iCs/>
          <w:szCs w:val="20"/>
          <w:lang w:val="pt-BR"/>
        </w:rPr>
        <w:t xml:space="preserve"> </w:t>
      </w:r>
      <w:r w:rsidRPr="00D5464D">
        <w:rPr>
          <w:rFonts w:cs="Arial"/>
          <w:iCs/>
          <w:szCs w:val="20"/>
          <w:lang w:val="pt-BR"/>
        </w:rPr>
        <w:t>este</w:t>
      </w:r>
      <w:r w:rsidR="00D81AA1" w:rsidRPr="00D5464D">
        <w:rPr>
          <w:rFonts w:cs="Arial"/>
          <w:iCs/>
          <w:szCs w:val="20"/>
          <w:lang w:val="pt-BR"/>
        </w:rPr>
        <w:t xml:space="preserve">s </w:t>
      </w:r>
      <w:r w:rsidR="002C330E" w:rsidRPr="00D5464D">
        <w:rPr>
          <w:rFonts w:cs="Arial"/>
          <w:iCs/>
          <w:szCs w:val="20"/>
          <w:lang w:val="pt-BR"/>
        </w:rPr>
        <w:t>processo</w:t>
      </w:r>
      <w:r w:rsidR="00D81AA1" w:rsidRPr="00D5464D">
        <w:rPr>
          <w:rFonts w:cs="Arial"/>
          <w:iCs/>
          <w:szCs w:val="20"/>
          <w:lang w:val="pt-BR"/>
        </w:rPr>
        <w:t>s para determinar</w:t>
      </w:r>
      <w:r w:rsidR="002C330E" w:rsidRPr="00D5464D">
        <w:rPr>
          <w:rFonts w:cs="Arial"/>
          <w:iCs/>
          <w:szCs w:val="20"/>
          <w:lang w:val="pt-BR"/>
        </w:rPr>
        <w:t xml:space="preserve"> se </w:t>
      </w:r>
      <w:r w:rsidRPr="00D5464D">
        <w:rPr>
          <w:rFonts w:cs="Arial"/>
          <w:iCs/>
          <w:szCs w:val="20"/>
          <w:lang w:val="pt-BR"/>
        </w:rPr>
        <w:t xml:space="preserve">o </w:t>
      </w:r>
      <w:r w:rsidR="00D81AA1" w:rsidRPr="00D5464D">
        <w:rPr>
          <w:rFonts w:cs="Arial"/>
          <w:iCs/>
          <w:szCs w:val="20"/>
          <w:lang w:val="pt-BR"/>
        </w:rPr>
        <w:t xml:space="preserve">Estado </w:t>
      </w:r>
      <w:r w:rsidR="00350187" w:rsidRPr="00D5464D">
        <w:rPr>
          <w:rFonts w:cs="Arial"/>
          <w:iCs/>
          <w:szCs w:val="20"/>
          <w:lang w:val="pt-BR"/>
        </w:rPr>
        <w:t xml:space="preserve">garantiu </w:t>
      </w:r>
      <w:r w:rsidR="00E045D9" w:rsidRPr="00D5464D">
        <w:rPr>
          <w:rFonts w:cs="Arial"/>
          <w:iCs/>
          <w:szCs w:val="20"/>
          <w:lang w:val="pt-BR"/>
        </w:rPr>
        <w:t>às vítima</w:t>
      </w:r>
      <w:r w:rsidR="00D81AA1" w:rsidRPr="00D5464D">
        <w:rPr>
          <w:rFonts w:cs="Arial"/>
          <w:iCs/>
          <w:szCs w:val="20"/>
          <w:lang w:val="pt-BR"/>
        </w:rPr>
        <w:t>s</w:t>
      </w:r>
      <w:r w:rsidR="002C330E" w:rsidRPr="00D5464D">
        <w:rPr>
          <w:rFonts w:cs="Arial"/>
          <w:iCs/>
          <w:szCs w:val="20"/>
          <w:lang w:val="pt-BR"/>
        </w:rPr>
        <w:t xml:space="preserve"> a proteção</w:t>
      </w:r>
      <w:r w:rsidR="00D81AA1" w:rsidRPr="00D5464D">
        <w:rPr>
          <w:rFonts w:cs="Arial"/>
          <w:iCs/>
          <w:szCs w:val="20"/>
          <w:lang w:val="pt-BR"/>
        </w:rPr>
        <w:t xml:space="preserve"> judicial </w:t>
      </w:r>
      <w:r w:rsidR="001133D7" w:rsidRPr="00D5464D">
        <w:rPr>
          <w:rFonts w:cs="Arial"/>
          <w:iCs/>
          <w:szCs w:val="20"/>
          <w:lang w:val="pt-BR"/>
        </w:rPr>
        <w:t xml:space="preserve">estabelecida </w:t>
      </w:r>
      <w:r w:rsidR="00E045D9" w:rsidRPr="00D5464D">
        <w:rPr>
          <w:rFonts w:cs="Arial"/>
          <w:iCs/>
          <w:szCs w:val="20"/>
          <w:lang w:val="pt-BR"/>
        </w:rPr>
        <w:t xml:space="preserve">no </w:t>
      </w:r>
      <w:r w:rsidRPr="00D5464D">
        <w:rPr>
          <w:rFonts w:cs="Arial"/>
          <w:iCs/>
          <w:szCs w:val="20"/>
          <w:lang w:val="pt-BR"/>
        </w:rPr>
        <w:t>artigo</w:t>
      </w:r>
      <w:r w:rsidR="00D81AA1" w:rsidRPr="00D5464D">
        <w:rPr>
          <w:rFonts w:cs="Arial"/>
          <w:iCs/>
          <w:szCs w:val="20"/>
          <w:lang w:val="pt-BR"/>
        </w:rPr>
        <w:t xml:space="preserve"> 25.1</w:t>
      </w:r>
      <w:r w:rsidRPr="00D5464D">
        <w:rPr>
          <w:rFonts w:cs="Arial"/>
          <w:iCs/>
          <w:szCs w:val="20"/>
          <w:lang w:val="pt-BR"/>
        </w:rPr>
        <w:t xml:space="preserve"> da </w:t>
      </w:r>
      <w:r w:rsidR="00D81AA1" w:rsidRPr="00D5464D">
        <w:rPr>
          <w:rFonts w:cs="Arial"/>
          <w:iCs/>
          <w:szCs w:val="20"/>
          <w:lang w:val="pt-BR"/>
        </w:rPr>
        <w:t>Conven</w:t>
      </w:r>
      <w:r w:rsidRPr="00D5464D">
        <w:rPr>
          <w:rFonts w:cs="Arial"/>
          <w:iCs/>
          <w:szCs w:val="20"/>
          <w:lang w:val="pt-BR"/>
        </w:rPr>
        <w:t>ção</w:t>
      </w:r>
      <w:r w:rsidR="00D81AA1" w:rsidRPr="00D5464D">
        <w:rPr>
          <w:rFonts w:cs="Arial"/>
          <w:iCs/>
          <w:szCs w:val="20"/>
          <w:lang w:val="pt-BR"/>
        </w:rPr>
        <w:t xml:space="preserve">. </w:t>
      </w:r>
      <w:r w:rsidR="00350187" w:rsidRPr="00D5464D">
        <w:rPr>
          <w:rFonts w:cs="Arial"/>
          <w:iCs/>
          <w:szCs w:val="20"/>
          <w:lang w:val="pt-BR"/>
        </w:rPr>
        <w:t xml:space="preserve">Para isso, </w:t>
      </w:r>
      <w:r w:rsidR="001133D7" w:rsidRPr="00D5464D">
        <w:rPr>
          <w:rFonts w:cs="Arial"/>
          <w:iCs/>
          <w:szCs w:val="20"/>
          <w:lang w:val="pt-BR"/>
        </w:rPr>
        <w:t xml:space="preserve">serão </w:t>
      </w:r>
      <w:r w:rsidR="00D81AA1" w:rsidRPr="00D5464D">
        <w:rPr>
          <w:rFonts w:cs="Arial"/>
          <w:iCs/>
          <w:szCs w:val="20"/>
          <w:lang w:val="pt-BR"/>
        </w:rPr>
        <w:t>mencion</w:t>
      </w:r>
      <w:r w:rsidR="00E765C2" w:rsidRPr="00D5464D">
        <w:rPr>
          <w:rFonts w:cs="Arial"/>
          <w:iCs/>
          <w:szCs w:val="20"/>
          <w:lang w:val="pt-BR"/>
        </w:rPr>
        <w:t>a</w:t>
      </w:r>
      <w:r w:rsidR="001133D7" w:rsidRPr="00D5464D">
        <w:rPr>
          <w:rFonts w:cs="Arial"/>
          <w:iCs/>
          <w:szCs w:val="20"/>
          <w:lang w:val="pt-BR"/>
        </w:rPr>
        <w:t xml:space="preserve">dos, </w:t>
      </w:r>
      <w:r w:rsidR="00D81AA1" w:rsidRPr="00D5464D">
        <w:rPr>
          <w:rFonts w:cs="Arial"/>
          <w:iCs/>
          <w:szCs w:val="20"/>
          <w:lang w:val="pt-BR"/>
        </w:rPr>
        <w:t>brevemente</w:t>
      </w:r>
      <w:r w:rsidR="001133D7" w:rsidRPr="00D5464D">
        <w:rPr>
          <w:rFonts w:cs="Arial"/>
          <w:iCs/>
          <w:szCs w:val="20"/>
          <w:lang w:val="pt-BR"/>
        </w:rPr>
        <w:t>,</w:t>
      </w:r>
      <w:r w:rsidR="002C330E" w:rsidRPr="00D5464D">
        <w:rPr>
          <w:rFonts w:cs="Arial"/>
          <w:iCs/>
          <w:szCs w:val="20"/>
          <w:lang w:val="pt-BR"/>
        </w:rPr>
        <w:t xml:space="preserve"> as </w:t>
      </w:r>
      <w:r w:rsidRPr="00D5464D">
        <w:rPr>
          <w:rFonts w:cs="Arial"/>
          <w:iCs/>
          <w:szCs w:val="20"/>
          <w:lang w:val="pt-BR"/>
        </w:rPr>
        <w:t>atuações</w:t>
      </w:r>
      <w:r w:rsidR="00D81AA1" w:rsidRPr="00D5464D">
        <w:rPr>
          <w:rFonts w:cs="Arial"/>
          <w:iCs/>
          <w:szCs w:val="20"/>
          <w:lang w:val="pt-BR"/>
        </w:rPr>
        <w:t xml:space="preserve"> </w:t>
      </w:r>
      <w:r w:rsidR="001133D7" w:rsidRPr="00D5464D">
        <w:rPr>
          <w:rFonts w:cs="Arial"/>
          <w:iCs/>
          <w:szCs w:val="20"/>
          <w:lang w:val="pt-BR"/>
        </w:rPr>
        <w:t xml:space="preserve">constatadas </w:t>
      </w:r>
      <w:r w:rsidRPr="00D5464D">
        <w:rPr>
          <w:rFonts w:cs="Arial"/>
          <w:iCs/>
          <w:szCs w:val="20"/>
          <w:lang w:val="pt-BR"/>
        </w:rPr>
        <w:t xml:space="preserve">em </w:t>
      </w:r>
      <w:r w:rsidR="00D81AA1" w:rsidRPr="00D5464D">
        <w:rPr>
          <w:rFonts w:cs="Arial"/>
          <w:iCs/>
          <w:szCs w:val="20"/>
          <w:lang w:val="pt-BR"/>
        </w:rPr>
        <w:t xml:space="preserve">cada </w:t>
      </w:r>
      <w:r w:rsidR="002C330E" w:rsidRPr="00D5464D">
        <w:rPr>
          <w:rFonts w:cs="Arial"/>
          <w:iCs/>
          <w:szCs w:val="20"/>
          <w:lang w:val="pt-BR"/>
        </w:rPr>
        <w:t>procedimento</w:t>
      </w:r>
      <w:r w:rsidR="00D81AA1" w:rsidRPr="00D5464D">
        <w:rPr>
          <w:rFonts w:cs="Arial"/>
          <w:iCs/>
          <w:szCs w:val="20"/>
          <w:lang w:val="pt-BR"/>
        </w:rPr>
        <w:t>.</w:t>
      </w:r>
    </w:p>
    <w:p w14:paraId="7A2E1DDD" w14:textId="77777777" w:rsidR="00D81AA1" w:rsidRPr="00D5464D" w:rsidRDefault="00D81AA1" w:rsidP="00D81AA1">
      <w:pPr>
        <w:pStyle w:val="Prrafodelista"/>
        <w:ind w:left="0"/>
        <w:rPr>
          <w:rFonts w:cs="Arial"/>
          <w:iCs/>
          <w:szCs w:val="20"/>
          <w:lang w:val="pt-BR"/>
        </w:rPr>
      </w:pPr>
    </w:p>
    <w:p w14:paraId="563C9EF2" w14:textId="435B71F3" w:rsidR="00D81AA1" w:rsidRPr="00D5464D" w:rsidRDefault="001133D7" w:rsidP="00292379">
      <w:pPr>
        <w:pStyle w:val="Prrafodelista"/>
        <w:numPr>
          <w:ilvl w:val="0"/>
          <w:numId w:val="1"/>
        </w:numPr>
        <w:autoSpaceDE w:val="0"/>
        <w:autoSpaceDN w:val="0"/>
        <w:adjustRightInd w:val="0"/>
        <w:rPr>
          <w:rFonts w:cs="Arial"/>
          <w:szCs w:val="20"/>
          <w:lang w:val="pt-BR"/>
        </w:rPr>
      </w:pPr>
      <w:r w:rsidRPr="00D5464D">
        <w:rPr>
          <w:rFonts w:cs="Arial"/>
          <w:iCs/>
          <w:szCs w:val="20"/>
          <w:lang w:val="pt-BR"/>
        </w:rPr>
        <w:t>A</w:t>
      </w:r>
      <w:r w:rsidR="002C330E" w:rsidRPr="00D5464D">
        <w:rPr>
          <w:rFonts w:cs="Arial"/>
          <w:iCs/>
          <w:szCs w:val="20"/>
          <w:lang w:val="pt-BR"/>
        </w:rPr>
        <w:t xml:space="preserve"> </w:t>
      </w:r>
      <w:r w:rsidR="00D81AA1" w:rsidRPr="00D5464D">
        <w:rPr>
          <w:rFonts w:cs="Arial"/>
          <w:szCs w:val="20"/>
          <w:lang w:val="pt-BR"/>
        </w:rPr>
        <w:t xml:space="preserve">Corte </w:t>
      </w:r>
      <w:r w:rsidR="00E045D9" w:rsidRPr="00D5464D">
        <w:rPr>
          <w:rFonts w:cs="Arial"/>
          <w:szCs w:val="20"/>
          <w:lang w:val="pt-BR"/>
        </w:rPr>
        <w:t>recorda</w:t>
      </w:r>
      <w:r w:rsidR="00D81AA1" w:rsidRPr="00D5464D">
        <w:rPr>
          <w:rFonts w:cs="Arial"/>
          <w:szCs w:val="20"/>
          <w:lang w:val="pt-BR"/>
        </w:rPr>
        <w:t xml:space="preserve"> que</w:t>
      </w:r>
      <w:r w:rsidR="002339E7" w:rsidRPr="00D5464D">
        <w:rPr>
          <w:rFonts w:cs="Arial"/>
          <w:szCs w:val="20"/>
          <w:lang w:val="pt-BR"/>
        </w:rPr>
        <w:t>,</w:t>
      </w:r>
      <w:r w:rsidR="00D81AA1" w:rsidRPr="00D5464D">
        <w:rPr>
          <w:rFonts w:cs="Arial"/>
          <w:szCs w:val="20"/>
          <w:lang w:val="pt-BR"/>
        </w:rPr>
        <w:t xml:space="preserve"> </w:t>
      </w:r>
      <w:r w:rsidRPr="00D5464D">
        <w:rPr>
          <w:rFonts w:cs="Arial"/>
          <w:szCs w:val="20"/>
          <w:lang w:val="pt-BR"/>
        </w:rPr>
        <w:t xml:space="preserve">como </w:t>
      </w:r>
      <w:r w:rsidR="00470ADC" w:rsidRPr="00D5464D">
        <w:rPr>
          <w:rFonts w:cs="Arial"/>
          <w:szCs w:val="20"/>
          <w:lang w:val="pt-BR"/>
        </w:rPr>
        <w:t>consequência</w:t>
      </w:r>
      <w:r w:rsidR="00D81AA1" w:rsidRPr="00D5464D">
        <w:rPr>
          <w:rFonts w:cs="Arial"/>
          <w:szCs w:val="20"/>
          <w:lang w:val="pt-BR"/>
        </w:rPr>
        <w:t xml:space="preserve"> </w:t>
      </w:r>
      <w:r w:rsidR="00470ADC" w:rsidRPr="00D5464D">
        <w:rPr>
          <w:rFonts w:cs="Arial"/>
          <w:szCs w:val="20"/>
          <w:lang w:val="pt-BR"/>
        </w:rPr>
        <w:t>do</w:t>
      </w:r>
      <w:r w:rsidR="002C330E" w:rsidRPr="00D5464D">
        <w:rPr>
          <w:rFonts w:cs="Arial"/>
          <w:szCs w:val="20"/>
          <w:lang w:val="pt-BR"/>
        </w:rPr>
        <w:t xml:space="preserve"> </w:t>
      </w:r>
      <w:r w:rsidR="00350187" w:rsidRPr="00D5464D">
        <w:rPr>
          <w:rFonts w:cs="Arial"/>
          <w:szCs w:val="20"/>
          <w:lang w:val="pt-BR"/>
        </w:rPr>
        <w:t>relatório</w:t>
      </w:r>
      <w:r w:rsidR="002C330E" w:rsidRPr="00D5464D">
        <w:rPr>
          <w:rFonts w:cs="Arial"/>
          <w:szCs w:val="20"/>
          <w:lang w:val="pt-BR"/>
        </w:rPr>
        <w:t xml:space="preserve"> </w:t>
      </w:r>
      <w:r w:rsidR="00470ADC" w:rsidRPr="00D5464D">
        <w:rPr>
          <w:rFonts w:cs="Arial"/>
          <w:szCs w:val="20"/>
          <w:lang w:val="pt-BR"/>
        </w:rPr>
        <w:t xml:space="preserve">do </w:t>
      </w:r>
      <w:r w:rsidR="002C330E" w:rsidRPr="00D5464D">
        <w:rPr>
          <w:rFonts w:cs="Arial"/>
          <w:szCs w:val="20"/>
          <w:lang w:val="pt-BR"/>
        </w:rPr>
        <w:t>Ministério</w:t>
      </w:r>
      <w:r w:rsidR="00D81AA1" w:rsidRPr="00D5464D">
        <w:rPr>
          <w:rFonts w:cs="Arial"/>
          <w:szCs w:val="20"/>
          <w:lang w:val="pt-BR"/>
        </w:rPr>
        <w:t xml:space="preserve"> </w:t>
      </w:r>
      <w:r w:rsidR="00470ADC" w:rsidRPr="00D5464D">
        <w:rPr>
          <w:rFonts w:cs="Arial"/>
          <w:szCs w:val="20"/>
          <w:lang w:val="pt-BR"/>
        </w:rPr>
        <w:t xml:space="preserve">do </w:t>
      </w:r>
      <w:r w:rsidR="00E045D9" w:rsidRPr="00D5464D">
        <w:rPr>
          <w:rFonts w:cs="Arial"/>
          <w:szCs w:val="20"/>
          <w:lang w:val="pt-BR"/>
        </w:rPr>
        <w:t>Trabalho</w:t>
      </w:r>
      <w:r w:rsidR="00D81AA1" w:rsidRPr="00D5464D">
        <w:rPr>
          <w:rFonts w:cs="Arial"/>
          <w:szCs w:val="20"/>
          <w:lang w:val="pt-BR"/>
        </w:rPr>
        <w:t>,</w:t>
      </w:r>
      <w:r w:rsidR="002C330E" w:rsidRPr="00D5464D">
        <w:rPr>
          <w:rFonts w:cs="Arial"/>
          <w:szCs w:val="20"/>
          <w:lang w:val="pt-BR"/>
        </w:rPr>
        <w:t xml:space="preserve"> em 3</w:t>
      </w:r>
      <w:r w:rsidR="00D81AA1" w:rsidRPr="00D5464D">
        <w:rPr>
          <w:rFonts w:cs="Arial"/>
          <w:szCs w:val="20"/>
          <w:lang w:val="pt-BR"/>
        </w:rPr>
        <w:t xml:space="preserve">0 de </w:t>
      </w:r>
      <w:r w:rsidR="002C330E" w:rsidRPr="00D5464D">
        <w:rPr>
          <w:rFonts w:cs="Arial"/>
          <w:szCs w:val="20"/>
          <w:lang w:val="pt-BR"/>
        </w:rPr>
        <w:t>junho</w:t>
      </w:r>
      <w:r w:rsidR="00D81AA1" w:rsidRPr="00D5464D">
        <w:rPr>
          <w:rFonts w:cs="Arial"/>
          <w:szCs w:val="20"/>
          <w:lang w:val="pt-BR"/>
        </w:rPr>
        <w:t xml:space="preserve"> de 1997</w:t>
      </w:r>
      <w:r w:rsidRPr="00D5464D">
        <w:rPr>
          <w:rFonts w:cs="Arial"/>
          <w:szCs w:val="20"/>
          <w:lang w:val="pt-BR"/>
        </w:rPr>
        <w:t>,</w:t>
      </w:r>
      <w:r w:rsidR="00470ADC" w:rsidRPr="00D5464D">
        <w:rPr>
          <w:rFonts w:cs="Arial"/>
          <w:szCs w:val="20"/>
          <w:lang w:val="pt-BR"/>
        </w:rPr>
        <w:t xml:space="preserve"> o </w:t>
      </w:r>
      <w:r w:rsidR="002C330E" w:rsidRPr="00D5464D">
        <w:rPr>
          <w:rFonts w:cs="Arial"/>
          <w:szCs w:val="20"/>
          <w:lang w:val="pt-BR"/>
        </w:rPr>
        <w:t>Ministério</w:t>
      </w:r>
      <w:r w:rsidR="00D81AA1" w:rsidRPr="00D5464D">
        <w:rPr>
          <w:rFonts w:cs="Arial"/>
          <w:szCs w:val="20"/>
          <w:lang w:val="pt-BR"/>
        </w:rPr>
        <w:t xml:space="preserve"> Público Federal </w:t>
      </w:r>
      <w:r w:rsidR="002C330E" w:rsidRPr="00D5464D">
        <w:rPr>
          <w:rFonts w:cs="Arial"/>
          <w:szCs w:val="20"/>
          <w:lang w:val="pt-BR"/>
        </w:rPr>
        <w:t>apresentou</w:t>
      </w:r>
      <w:r w:rsidR="00E045D9" w:rsidRPr="00D5464D">
        <w:rPr>
          <w:rFonts w:cs="Arial"/>
          <w:szCs w:val="20"/>
          <w:lang w:val="pt-BR"/>
        </w:rPr>
        <w:t xml:space="preserve"> uma </w:t>
      </w:r>
      <w:r w:rsidR="00470ADC" w:rsidRPr="00D5464D">
        <w:rPr>
          <w:rFonts w:cs="Arial"/>
          <w:szCs w:val="20"/>
          <w:lang w:val="pt-BR"/>
        </w:rPr>
        <w:t xml:space="preserve">denúncia </w:t>
      </w:r>
      <w:r w:rsidR="00D81AA1" w:rsidRPr="00D5464D">
        <w:rPr>
          <w:rFonts w:cs="Arial"/>
          <w:szCs w:val="20"/>
          <w:lang w:val="pt-BR"/>
        </w:rPr>
        <w:t xml:space="preserve">penal contra: Raimundo </w:t>
      </w:r>
      <w:r w:rsidR="00085F51" w:rsidRPr="00D5464D">
        <w:rPr>
          <w:rFonts w:cs="Arial"/>
          <w:szCs w:val="20"/>
          <w:lang w:val="pt-BR"/>
        </w:rPr>
        <w:t>Alves da Rocha</w:t>
      </w:r>
      <w:r w:rsidRPr="00D5464D">
        <w:rPr>
          <w:rFonts w:cs="Arial"/>
          <w:szCs w:val="20"/>
          <w:lang w:val="pt-BR"/>
        </w:rPr>
        <w:t>,</w:t>
      </w:r>
      <w:r w:rsidR="00D81AA1" w:rsidRPr="00D5464D">
        <w:rPr>
          <w:rFonts w:cs="Times New Roman"/>
          <w:szCs w:val="20"/>
          <w:lang w:val="pt-BR"/>
        </w:rPr>
        <w:t xml:space="preserve"> </w:t>
      </w:r>
      <w:r w:rsidR="00E42F61" w:rsidRPr="00D5464D">
        <w:rPr>
          <w:rFonts w:cs="Arial"/>
          <w:szCs w:val="20"/>
          <w:lang w:val="pt-BR"/>
        </w:rPr>
        <w:t xml:space="preserve">Antônio </w:t>
      </w:r>
      <w:r w:rsidR="00D81AA1" w:rsidRPr="00D5464D">
        <w:rPr>
          <w:rFonts w:cs="Arial"/>
          <w:szCs w:val="20"/>
          <w:lang w:val="pt-BR"/>
        </w:rPr>
        <w:t>Alves Vieira</w:t>
      </w:r>
      <w:r w:rsidR="00470ADC" w:rsidRPr="00D5464D">
        <w:rPr>
          <w:rFonts w:cs="Arial"/>
          <w:szCs w:val="20"/>
          <w:lang w:val="pt-BR"/>
        </w:rPr>
        <w:t xml:space="preserve"> e</w:t>
      </w:r>
      <w:r w:rsidR="00D81AA1" w:rsidRPr="00D5464D">
        <w:rPr>
          <w:rFonts w:cs="Times New Roman"/>
          <w:szCs w:val="20"/>
          <w:lang w:val="pt-BR"/>
        </w:rPr>
        <w:t xml:space="preserve"> </w:t>
      </w:r>
      <w:r w:rsidR="00D81AA1" w:rsidRPr="00D5464D">
        <w:rPr>
          <w:rFonts w:cs="Arial"/>
          <w:szCs w:val="20"/>
          <w:lang w:val="pt-BR"/>
        </w:rPr>
        <w:t>João Luiz Quagliato Neto</w:t>
      </w:r>
      <w:r w:rsidR="00A1358C" w:rsidRPr="00D5464D">
        <w:rPr>
          <w:rFonts w:cs="Arial"/>
          <w:szCs w:val="20"/>
          <w:lang w:val="pt-BR"/>
        </w:rPr>
        <w:t xml:space="preserve">. </w:t>
      </w:r>
      <w:r w:rsidR="00C91CB1" w:rsidRPr="00D5464D">
        <w:rPr>
          <w:rFonts w:cs="Arial"/>
          <w:szCs w:val="20"/>
          <w:lang w:val="pt-BR"/>
        </w:rPr>
        <w:t>Em 1</w:t>
      </w:r>
      <w:r w:rsidR="00D81AA1" w:rsidRPr="00D5464D">
        <w:rPr>
          <w:rFonts w:cs="Arial"/>
          <w:szCs w:val="20"/>
          <w:lang w:val="pt-BR"/>
        </w:rPr>
        <w:t xml:space="preserve">0 de </w:t>
      </w:r>
      <w:r w:rsidR="002C330E" w:rsidRPr="00D5464D">
        <w:rPr>
          <w:rFonts w:cs="Arial"/>
          <w:szCs w:val="20"/>
          <w:lang w:val="pt-BR"/>
        </w:rPr>
        <w:t>julho</w:t>
      </w:r>
      <w:r w:rsidR="00D81AA1" w:rsidRPr="00D5464D">
        <w:rPr>
          <w:rFonts w:cs="Arial"/>
          <w:szCs w:val="20"/>
          <w:lang w:val="pt-BR"/>
        </w:rPr>
        <w:t xml:space="preserve"> de 2008</w:t>
      </w:r>
      <w:r w:rsidRPr="00D5464D">
        <w:rPr>
          <w:rFonts w:cs="Arial"/>
          <w:szCs w:val="20"/>
          <w:lang w:val="pt-BR"/>
        </w:rPr>
        <w:t>,</w:t>
      </w:r>
      <w:r w:rsidR="00470ADC" w:rsidRPr="00D5464D">
        <w:rPr>
          <w:rFonts w:cs="Arial"/>
          <w:szCs w:val="20"/>
          <w:lang w:val="pt-BR"/>
        </w:rPr>
        <w:t xml:space="preserve"> o </w:t>
      </w:r>
      <w:r w:rsidR="002C330E" w:rsidRPr="00D5464D">
        <w:rPr>
          <w:rFonts w:cs="Arial"/>
          <w:szCs w:val="20"/>
          <w:lang w:val="pt-BR"/>
        </w:rPr>
        <w:t>Juiz</w:t>
      </w:r>
      <w:r w:rsidR="00D81AA1" w:rsidRPr="00D5464D">
        <w:rPr>
          <w:rFonts w:cs="Arial"/>
          <w:szCs w:val="20"/>
          <w:lang w:val="pt-BR"/>
        </w:rPr>
        <w:t xml:space="preserve"> Federal</w:t>
      </w:r>
      <w:r w:rsidR="00470ADC" w:rsidRPr="00D5464D">
        <w:rPr>
          <w:rFonts w:cs="Arial"/>
          <w:szCs w:val="20"/>
          <w:lang w:val="pt-BR"/>
        </w:rPr>
        <w:t xml:space="preserve"> da </w:t>
      </w:r>
      <w:r w:rsidR="002C330E" w:rsidRPr="00D5464D">
        <w:rPr>
          <w:rFonts w:cs="Arial"/>
          <w:szCs w:val="20"/>
          <w:lang w:val="pt-BR"/>
        </w:rPr>
        <w:t>Seção</w:t>
      </w:r>
      <w:r w:rsidR="00D81AA1" w:rsidRPr="00D5464D">
        <w:rPr>
          <w:rFonts w:cs="Arial"/>
          <w:szCs w:val="20"/>
          <w:lang w:val="pt-BR"/>
        </w:rPr>
        <w:t xml:space="preserve"> d</w:t>
      </w:r>
      <w:r w:rsidRPr="00D5464D">
        <w:rPr>
          <w:rFonts w:cs="Arial"/>
          <w:szCs w:val="20"/>
          <w:lang w:val="pt-BR"/>
        </w:rPr>
        <w:t>o</w:t>
      </w:r>
      <w:r w:rsidR="00D81AA1" w:rsidRPr="00D5464D">
        <w:rPr>
          <w:rFonts w:cs="Arial"/>
          <w:szCs w:val="20"/>
          <w:lang w:val="pt-BR"/>
        </w:rPr>
        <w:t xml:space="preserve"> Pará </w:t>
      </w:r>
      <w:r w:rsidR="00470ADC" w:rsidRPr="00D5464D">
        <w:rPr>
          <w:rFonts w:cs="Arial"/>
          <w:szCs w:val="20"/>
          <w:lang w:val="pt-BR"/>
        </w:rPr>
        <w:t>declarou</w:t>
      </w:r>
      <w:r w:rsidR="00D81AA1" w:rsidRPr="00D5464D">
        <w:rPr>
          <w:rFonts w:cs="Arial"/>
          <w:szCs w:val="20"/>
          <w:lang w:val="pt-BR"/>
        </w:rPr>
        <w:t xml:space="preserve"> que</w:t>
      </w:r>
      <w:r w:rsidR="002339E7" w:rsidRPr="00D5464D">
        <w:rPr>
          <w:rFonts w:cs="Arial"/>
          <w:szCs w:val="20"/>
          <w:lang w:val="pt-BR"/>
        </w:rPr>
        <w:t>, somente se</w:t>
      </w:r>
      <w:r w:rsidR="00D81AA1" w:rsidRPr="00D5464D">
        <w:rPr>
          <w:rFonts w:cs="Arial"/>
          <w:szCs w:val="20"/>
          <w:lang w:val="pt-BR"/>
        </w:rPr>
        <w:t xml:space="preserve"> </w:t>
      </w:r>
      <w:r w:rsidRPr="00D5464D">
        <w:rPr>
          <w:rFonts w:cs="Arial"/>
          <w:szCs w:val="20"/>
          <w:lang w:val="pt-BR"/>
        </w:rPr>
        <w:t xml:space="preserve">fossem </w:t>
      </w:r>
      <w:r w:rsidR="00D81AA1" w:rsidRPr="00D5464D">
        <w:rPr>
          <w:rFonts w:cs="Arial"/>
          <w:szCs w:val="20"/>
          <w:lang w:val="pt-BR"/>
        </w:rPr>
        <w:t>condenados</w:t>
      </w:r>
      <w:r w:rsidR="00470ADC" w:rsidRPr="00D5464D">
        <w:rPr>
          <w:rFonts w:cs="Arial"/>
          <w:szCs w:val="20"/>
          <w:lang w:val="pt-BR"/>
        </w:rPr>
        <w:t xml:space="preserve"> à </w:t>
      </w:r>
      <w:r w:rsidR="00D81AA1" w:rsidRPr="00D5464D">
        <w:rPr>
          <w:rFonts w:cs="Arial"/>
          <w:szCs w:val="20"/>
          <w:lang w:val="pt-BR"/>
        </w:rPr>
        <w:t xml:space="preserve">pena </w:t>
      </w:r>
      <w:r w:rsidR="00176C77" w:rsidRPr="00D5464D">
        <w:rPr>
          <w:rFonts w:cs="Arial"/>
          <w:szCs w:val="20"/>
          <w:lang w:val="pt-BR"/>
        </w:rPr>
        <w:t xml:space="preserve">máxima </w:t>
      </w:r>
      <w:r w:rsidR="002339E7" w:rsidRPr="00D5464D">
        <w:rPr>
          <w:rFonts w:cs="Arial"/>
          <w:szCs w:val="20"/>
          <w:lang w:val="pt-BR"/>
        </w:rPr>
        <w:t>seria possível afastar</w:t>
      </w:r>
      <w:r w:rsidR="00FF1290" w:rsidRPr="00D5464D">
        <w:rPr>
          <w:rFonts w:cs="Arial"/>
          <w:szCs w:val="20"/>
          <w:lang w:val="pt-BR"/>
        </w:rPr>
        <w:t xml:space="preserve"> </w:t>
      </w:r>
      <w:r w:rsidR="002C330E" w:rsidRPr="00D5464D">
        <w:rPr>
          <w:rFonts w:cs="Arial"/>
          <w:szCs w:val="20"/>
          <w:lang w:val="pt-BR"/>
        </w:rPr>
        <w:t>a prescrição</w:t>
      </w:r>
      <w:r w:rsidR="00470ADC" w:rsidRPr="00D5464D">
        <w:rPr>
          <w:rFonts w:cs="Arial"/>
          <w:szCs w:val="20"/>
          <w:lang w:val="pt-BR"/>
        </w:rPr>
        <w:t>; e</w:t>
      </w:r>
      <w:r w:rsidR="00D81AA1" w:rsidRPr="00D5464D">
        <w:rPr>
          <w:rFonts w:cs="Arial"/>
          <w:szCs w:val="20"/>
          <w:lang w:val="pt-BR"/>
        </w:rPr>
        <w:t xml:space="preserve"> </w:t>
      </w:r>
      <w:r w:rsidR="00470ADC" w:rsidRPr="00D5464D">
        <w:rPr>
          <w:rFonts w:cs="Arial"/>
          <w:szCs w:val="20"/>
          <w:lang w:val="pt-BR"/>
        </w:rPr>
        <w:t>afirmou</w:t>
      </w:r>
      <w:r w:rsidR="00D81AA1" w:rsidRPr="00D5464D">
        <w:rPr>
          <w:rFonts w:cs="Arial"/>
          <w:szCs w:val="20"/>
          <w:lang w:val="pt-BR"/>
        </w:rPr>
        <w:t xml:space="preserve"> que</w:t>
      </w:r>
      <w:r w:rsidR="002C330E" w:rsidRPr="00D5464D">
        <w:rPr>
          <w:rFonts w:cs="Arial"/>
          <w:szCs w:val="20"/>
          <w:lang w:val="pt-BR"/>
        </w:rPr>
        <w:t xml:space="preserve"> a prescrição</w:t>
      </w:r>
      <w:r w:rsidR="00D81AA1" w:rsidRPr="00D5464D">
        <w:rPr>
          <w:rFonts w:cs="Arial"/>
          <w:szCs w:val="20"/>
          <w:lang w:val="pt-BR"/>
        </w:rPr>
        <w:t xml:space="preserve"> </w:t>
      </w:r>
      <w:r w:rsidR="00E045D9" w:rsidRPr="00D5464D">
        <w:rPr>
          <w:rFonts w:cs="Arial"/>
          <w:szCs w:val="20"/>
          <w:lang w:val="pt-BR"/>
        </w:rPr>
        <w:t xml:space="preserve">seria </w:t>
      </w:r>
      <w:r w:rsidR="00D81AA1" w:rsidRPr="00D5464D">
        <w:rPr>
          <w:rFonts w:cs="Arial"/>
          <w:szCs w:val="20"/>
          <w:lang w:val="pt-BR"/>
        </w:rPr>
        <w:t>inevit</w:t>
      </w:r>
      <w:r w:rsidRPr="00D5464D">
        <w:rPr>
          <w:rFonts w:cs="Arial"/>
          <w:szCs w:val="20"/>
          <w:lang w:val="pt-BR"/>
        </w:rPr>
        <w:t>ável</w:t>
      </w:r>
      <w:r w:rsidR="00C91CB1" w:rsidRPr="00D5464D">
        <w:rPr>
          <w:rFonts w:cs="Arial"/>
          <w:szCs w:val="20"/>
          <w:lang w:val="pt-BR"/>
        </w:rPr>
        <w:t xml:space="preserve">. Com </w:t>
      </w:r>
      <w:r w:rsidR="00D81AA1" w:rsidRPr="00D5464D">
        <w:rPr>
          <w:rFonts w:cs="Arial"/>
          <w:szCs w:val="20"/>
          <w:lang w:val="pt-BR"/>
        </w:rPr>
        <w:t>base</w:t>
      </w:r>
      <w:r w:rsidR="00A1358C" w:rsidRPr="00D5464D">
        <w:rPr>
          <w:rFonts w:cs="Arial"/>
          <w:szCs w:val="20"/>
          <w:lang w:val="pt-BR"/>
        </w:rPr>
        <w:t xml:space="preserve"> no </w:t>
      </w:r>
      <w:r w:rsidR="00D81AA1" w:rsidRPr="00D5464D">
        <w:rPr>
          <w:rFonts w:cs="Arial"/>
          <w:szCs w:val="20"/>
          <w:lang w:val="pt-BR"/>
        </w:rPr>
        <w:t xml:space="preserve">anterior </w:t>
      </w:r>
      <w:r w:rsidRPr="00D5464D">
        <w:rPr>
          <w:rFonts w:cs="Arial"/>
          <w:szCs w:val="20"/>
          <w:lang w:val="pt-BR"/>
        </w:rPr>
        <w:t xml:space="preserve">e também </w:t>
      </w:r>
      <w:r w:rsidR="00E045D9" w:rsidRPr="00D5464D">
        <w:rPr>
          <w:rFonts w:cs="Arial"/>
          <w:szCs w:val="20"/>
          <w:lang w:val="pt-BR"/>
        </w:rPr>
        <w:t xml:space="preserve">na </w:t>
      </w:r>
      <w:r w:rsidR="00D81AA1" w:rsidRPr="00D5464D">
        <w:rPr>
          <w:rFonts w:cs="Arial"/>
          <w:szCs w:val="20"/>
          <w:lang w:val="pt-BR"/>
        </w:rPr>
        <w:t xml:space="preserve">falta </w:t>
      </w:r>
      <w:r w:rsidR="00292379" w:rsidRPr="00D5464D">
        <w:rPr>
          <w:rFonts w:cs="Arial"/>
          <w:szCs w:val="20"/>
          <w:lang w:val="pt-BR"/>
        </w:rPr>
        <w:t xml:space="preserve">de </w:t>
      </w:r>
      <w:r w:rsidR="00737270" w:rsidRPr="00D5464D">
        <w:rPr>
          <w:rFonts w:cs="Arial"/>
          <w:szCs w:val="20"/>
          <w:lang w:val="pt-BR"/>
        </w:rPr>
        <w:t>ação</w:t>
      </w:r>
      <w:r w:rsidR="00292379" w:rsidRPr="00D5464D">
        <w:rPr>
          <w:rFonts w:cs="Arial"/>
          <w:szCs w:val="20"/>
          <w:lang w:val="pt-BR"/>
        </w:rPr>
        <w:t xml:space="preserve"> por parte </w:t>
      </w:r>
      <w:r w:rsidR="00470ADC" w:rsidRPr="00D5464D">
        <w:rPr>
          <w:rFonts w:cs="Arial"/>
          <w:szCs w:val="20"/>
          <w:lang w:val="pt-BR"/>
        </w:rPr>
        <w:t xml:space="preserve">do </w:t>
      </w:r>
      <w:r w:rsidR="00292379" w:rsidRPr="00D5464D">
        <w:rPr>
          <w:rFonts w:cs="Arial"/>
          <w:szCs w:val="20"/>
          <w:lang w:val="pt-BR"/>
        </w:rPr>
        <w:t>Estado,</w:t>
      </w:r>
      <w:r w:rsidR="00470ADC" w:rsidRPr="00D5464D">
        <w:rPr>
          <w:rFonts w:cs="Arial"/>
          <w:szCs w:val="20"/>
          <w:lang w:val="pt-BR"/>
        </w:rPr>
        <w:t xml:space="preserve"> o </w:t>
      </w:r>
      <w:r w:rsidR="002C330E" w:rsidRPr="00D5464D">
        <w:rPr>
          <w:rFonts w:cs="Arial"/>
          <w:szCs w:val="20"/>
          <w:lang w:val="pt-BR"/>
        </w:rPr>
        <w:t>juiz</w:t>
      </w:r>
      <w:r w:rsidR="00D81AA1" w:rsidRPr="00D5464D">
        <w:rPr>
          <w:rFonts w:cs="Arial"/>
          <w:szCs w:val="20"/>
          <w:lang w:val="pt-BR"/>
        </w:rPr>
        <w:t xml:space="preserve"> </w:t>
      </w:r>
      <w:r w:rsidR="00470ADC" w:rsidRPr="00D5464D">
        <w:rPr>
          <w:rFonts w:cs="Arial"/>
          <w:szCs w:val="20"/>
          <w:lang w:val="pt-BR"/>
        </w:rPr>
        <w:t>decidiu</w:t>
      </w:r>
      <w:r w:rsidR="00D81AA1" w:rsidRPr="00D5464D">
        <w:rPr>
          <w:rFonts w:cs="Arial"/>
          <w:szCs w:val="20"/>
          <w:lang w:val="pt-BR"/>
        </w:rPr>
        <w:t xml:space="preserve"> declarar extinta</w:t>
      </w:r>
      <w:r w:rsidR="002C330E" w:rsidRPr="00D5464D">
        <w:rPr>
          <w:rFonts w:cs="Arial"/>
          <w:szCs w:val="20"/>
          <w:lang w:val="pt-BR"/>
        </w:rPr>
        <w:t xml:space="preserve"> a </w:t>
      </w:r>
      <w:r w:rsidR="00737270" w:rsidRPr="00D5464D">
        <w:rPr>
          <w:rFonts w:cs="Arial"/>
          <w:szCs w:val="20"/>
          <w:lang w:val="pt-BR"/>
        </w:rPr>
        <w:t>ação</w:t>
      </w:r>
      <w:r w:rsidR="00D81AA1" w:rsidRPr="00D5464D">
        <w:rPr>
          <w:rFonts w:cs="Arial"/>
          <w:szCs w:val="20"/>
          <w:lang w:val="pt-BR"/>
        </w:rPr>
        <w:t xml:space="preserve"> penal (</w:t>
      </w:r>
      <w:r w:rsidR="00C85EA9" w:rsidRPr="00D5464D">
        <w:rPr>
          <w:rFonts w:cs="Arial"/>
          <w:szCs w:val="20"/>
          <w:lang w:val="pt-BR"/>
        </w:rPr>
        <w:t xml:space="preserve">par. </w:t>
      </w:r>
      <w:r w:rsidR="00D036E7" w:rsidRPr="00D5464D">
        <w:rPr>
          <w:rFonts w:cs="Arial"/>
          <w:szCs w:val="20"/>
          <w:lang w:val="pt-BR"/>
        </w:rPr>
        <w:t>157</w:t>
      </w:r>
      <w:r w:rsidR="00D036E7" w:rsidRPr="00D5464D">
        <w:rPr>
          <w:rFonts w:cs="Arial"/>
          <w:i/>
          <w:szCs w:val="20"/>
          <w:lang w:val="pt-BR"/>
        </w:rPr>
        <w:t xml:space="preserve"> supra</w:t>
      </w:r>
      <w:r w:rsidR="00D036E7" w:rsidRPr="00D5464D">
        <w:rPr>
          <w:rFonts w:cs="Arial"/>
          <w:szCs w:val="20"/>
          <w:lang w:val="pt-BR"/>
        </w:rPr>
        <w:t>)</w:t>
      </w:r>
      <w:r w:rsidR="00D81AA1" w:rsidRPr="00D5464D">
        <w:rPr>
          <w:rFonts w:cs="Arial"/>
          <w:bCs/>
          <w:szCs w:val="20"/>
          <w:lang w:val="pt-BR"/>
        </w:rPr>
        <w:t>.</w:t>
      </w:r>
    </w:p>
    <w:p w14:paraId="6EAA86E6" w14:textId="77777777" w:rsidR="00D81AA1" w:rsidRPr="00D5464D" w:rsidRDefault="00D81AA1" w:rsidP="00D81AA1">
      <w:pPr>
        <w:pStyle w:val="Prrafodelista"/>
        <w:ind w:left="0"/>
        <w:rPr>
          <w:rFonts w:cs="Arial"/>
          <w:szCs w:val="20"/>
          <w:lang w:val="pt-BR"/>
        </w:rPr>
      </w:pPr>
    </w:p>
    <w:p w14:paraId="1F060F5B" w14:textId="0ABC8529" w:rsidR="00D81AA1" w:rsidRPr="00D5464D" w:rsidRDefault="001133D7" w:rsidP="00CA2C6C">
      <w:pPr>
        <w:pStyle w:val="Prrafodelista"/>
        <w:numPr>
          <w:ilvl w:val="0"/>
          <w:numId w:val="1"/>
        </w:numPr>
        <w:contextualSpacing w:val="0"/>
        <w:rPr>
          <w:rFonts w:cs="Arial"/>
          <w:szCs w:val="20"/>
          <w:lang w:val="pt-BR"/>
        </w:rPr>
      </w:pPr>
      <w:r w:rsidRPr="00D5464D">
        <w:rPr>
          <w:rFonts w:cs="Arial"/>
          <w:szCs w:val="20"/>
          <w:lang w:val="pt-BR"/>
        </w:rPr>
        <w:t xml:space="preserve">Em </w:t>
      </w:r>
      <w:r w:rsidR="00D81AA1" w:rsidRPr="00D5464D">
        <w:rPr>
          <w:rFonts w:cs="Arial"/>
          <w:szCs w:val="20"/>
          <w:lang w:val="pt-BR"/>
        </w:rPr>
        <w:t>rela</w:t>
      </w:r>
      <w:r w:rsidR="00470ADC" w:rsidRPr="00D5464D">
        <w:rPr>
          <w:rFonts w:cs="Arial"/>
          <w:szCs w:val="20"/>
          <w:lang w:val="pt-BR"/>
        </w:rPr>
        <w:t xml:space="preserve">ção ao </w:t>
      </w:r>
      <w:r w:rsidR="002C330E" w:rsidRPr="00D5464D">
        <w:rPr>
          <w:rFonts w:cs="Arial"/>
          <w:szCs w:val="20"/>
          <w:lang w:val="pt-BR"/>
        </w:rPr>
        <w:t>processo</w:t>
      </w:r>
      <w:r w:rsidR="00D81AA1" w:rsidRPr="00D5464D">
        <w:rPr>
          <w:rFonts w:cs="Arial"/>
          <w:szCs w:val="20"/>
          <w:lang w:val="pt-BR"/>
        </w:rPr>
        <w:t xml:space="preserve"> </w:t>
      </w:r>
      <w:r w:rsidRPr="00D5464D">
        <w:rPr>
          <w:rFonts w:cs="Arial"/>
          <w:szCs w:val="20"/>
          <w:lang w:val="pt-BR"/>
        </w:rPr>
        <w:t>trabalhista</w:t>
      </w:r>
      <w:r w:rsidR="00D81AA1" w:rsidRPr="00D5464D">
        <w:rPr>
          <w:rFonts w:cs="Arial"/>
          <w:szCs w:val="20"/>
          <w:lang w:val="pt-BR"/>
        </w:rPr>
        <w:t>,</w:t>
      </w:r>
      <w:r w:rsidR="002C330E" w:rsidRPr="00D5464D">
        <w:rPr>
          <w:rFonts w:cs="Arial"/>
          <w:szCs w:val="20"/>
          <w:lang w:val="pt-BR"/>
        </w:rPr>
        <w:t xml:space="preserve"> a </w:t>
      </w:r>
      <w:r w:rsidR="00D81AA1" w:rsidRPr="00D5464D">
        <w:rPr>
          <w:rFonts w:cs="Arial"/>
          <w:szCs w:val="20"/>
          <w:lang w:val="pt-BR"/>
        </w:rPr>
        <w:t xml:space="preserve">Corte </w:t>
      </w:r>
      <w:r w:rsidR="00E045D9" w:rsidRPr="00D5464D">
        <w:rPr>
          <w:rFonts w:cs="Arial"/>
          <w:szCs w:val="20"/>
          <w:lang w:val="pt-BR"/>
        </w:rPr>
        <w:t>recorda</w:t>
      </w:r>
      <w:r w:rsidR="00D81AA1" w:rsidRPr="00D5464D">
        <w:rPr>
          <w:rFonts w:cs="Arial"/>
          <w:szCs w:val="20"/>
          <w:lang w:val="pt-BR"/>
        </w:rPr>
        <w:t xml:space="preserve"> que</w:t>
      </w:r>
      <w:r w:rsidRPr="00D5464D">
        <w:rPr>
          <w:rFonts w:cs="Arial"/>
          <w:szCs w:val="20"/>
          <w:lang w:val="pt-BR"/>
        </w:rPr>
        <w:t>,</w:t>
      </w:r>
      <w:r w:rsidR="00C91CB1" w:rsidRPr="00D5464D">
        <w:rPr>
          <w:rFonts w:cs="Arial"/>
          <w:szCs w:val="20"/>
          <w:lang w:val="pt-BR"/>
        </w:rPr>
        <w:t xml:space="preserve"> em 1</w:t>
      </w:r>
      <w:r w:rsidR="00D81AA1" w:rsidRPr="00D5464D">
        <w:rPr>
          <w:rFonts w:cs="Arial"/>
          <w:szCs w:val="20"/>
          <w:lang w:val="pt-BR"/>
        </w:rPr>
        <w:t>2 de agosto de 1997</w:t>
      </w:r>
      <w:r w:rsidRPr="00D5464D">
        <w:rPr>
          <w:rFonts w:cs="Arial"/>
          <w:szCs w:val="20"/>
          <w:lang w:val="pt-BR"/>
        </w:rPr>
        <w:t>,</w:t>
      </w:r>
      <w:r w:rsidR="00D81AA1" w:rsidRPr="00D5464D">
        <w:rPr>
          <w:rFonts w:cs="Arial"/>
          <w:szCs w:val="20"/>
          <w:lang w:val="pt-BR"/>
        </w:rPr>
        <w:t xml:space="preserve"> </w:t>
      </w:r>
      <w:r w:rsidRPr="00D5464D">
        <w:rPr>
          <w:rFonts w:cs="Arial"/>
          <w:szCs w:val="20"/>
          <w:lang w:val="pt-BR"/>
        </w:rPr>
        <w:t xml:space="preserve">foi instaurado </w:t>
      </w:r>
      <w:r w:rsidR="00E045D9" w:rsidRPr="00D5464D">
        <w:rPr>
          <w:rFonts w:cs="Arial"/>
          <w:szCs w:val="20"/>
          <w:lang w:val="pt-BR"/>
        </w:rPr>
        <w:t xml:space="preserve">um </w:t>
      </w:r>
      <w:r w:rsidR="002C330E" w:rsidRPr="00D5464D">
        <w:rPr>
          <w:rFonts w:cs="Arial"/>
          <w:szCs w:val="20"/>
          <w:lang w:val="pt-BR"/>
        </w:rPr>
        <w:t>procedimento</w:t>
      </w:r>
      <w:r w:rsidR="00D81AA1" w:rsidRPr="00D5464D">
        <w:rPr>
          <w:rFonts w:cs="Arial"/>
          <w:szCs w:val="20"/>
          <w:lang w:val="pt-BR"/>
        </w:rPr>
        <w:t xml:space="preserve"> administrativo</w:t>
      </w:r>
      <w:r w:rsidR="00E045D9" w:rsidRPr="00D5464D">
        <w:rPr>
          <w:rFonts w:cs="Arial"/>
          <w:szCs w:val="20"/>
          <w:lang w:val="pt-BR"/>
        </w:rPr>
        <w:t xml:space="preserve"> na </w:t>
      </w:r>
      <w:r w:rsidR="00EB1CE9" w:rsidRPr="00D5464D">
        <w:rPr>
          <w:rFonts w:cs="Arial"/>
          <w:szCs w:val="20"/>
          <w:lang w:val="pt-BR"/>
        </w:rPr>
        <w:t>Procuradoria</w:t>
      </w:r>
      <w:r w:rsidR="00D81AA1" w:rsidRPr="00D5464D">
        <w:rPr>
          <w:rFonts w:cs="Arial"/>
          <w:szCs w:val="20"/>
          <w:lang w:val="pt-BR"/>
        </w:rPr>
        <w:t xml:space="preserve"> Regional </w:t>
      </w:r>
      <w:r w:rsidR="00470ADC" w:rsidRPr="00D5464D">
        <w:rPr>
          <w:rFonts w:cs="Arial"/>
          <w:szCs w:val="20"/>
          <w:lang w:val="pt-BR"/>
        </w:rPr>
        <w:t xml:space="preserve">do </w:t>
      </w:r>
      <w:r w:rsidR="00E045D9" w:rsidRPr="00D5464D">
        <w:rPr>
          <w:rFonts w:cs="Arial"/>
          <w:szCs w:val="20"/>
          <w:lang w:val="pt-BR"/>
        </w:rPr>
        <w:t>Trabalho</w:t>
      </w:r>
      <w:r w:rsidR="00D81AA1" w:rsidRPr="00D5464D">
        <w:rPr>
          <w:rFonts w:cs="Arial"/>
          <w:szCs w:val="20"/>
          <w:lang w:val="pt-BR"/>
        </w:rPr>
        <w:t xml:space="preserve"> (PRT)</w:t>
      </w:r>
      <w:r w:rsidR="00470ADC" w:rsidRPr="00D5464D">
        <w:rPr>
          <w:rFonts w:cs="Arial"/>
          <w:szCs w:val="20"/>
          <w:lang w:val="pt-BR"/>
        </w:rPr>
        <w:t xml:space="preserve"> da </w:t>
      </w:r>
      <w:r w:rsidR="00D81AA1" w:rsidRPr="00D5464D">
        <w:rPr>
          <w:rFonts w:cs="Arial"/>
          <w:szCs w:val="20"/>
          <w:lang w:val="pt-BR"/>
        </w:rPr>
        <w:t xml:space="preserve">8ª </w:t>
      </w:r>
      <w:r w:rsidR="002C330E" w:rsidRPr="00D5464D">
        <w:rPr>
          <w:rFonts w:cs="Arial"/>
          <w:szCs w:val="20"/>
          <w:lang w:val="pt-BR"/>
        </w:rPr>
        <w:t>região</w:t>
      </w:r>
      <w:r w:rsidR="00A1358C" w:rsidRPr="00D5464D">
        <w:rPr>
          <w:rFonts w:cs="Arial"/>
          <w:bCs/>
          <w:szCs w:val="20"/>
          <w:lang w:val="pt-BR"/>
        </w:rPr>
        <w:t xml:space="preserve">. </w:t>
      </w:r>
      <w:r w:rsidR="00C91CB1" w:rsidRPr="00D5464D">
        <w:rPr>
          <w:rFonts w:cs="Arial"/>
          <w:bCs/>
          <w:szCs w:val="20"/>
          <w:lang w:val="pt-BR"/>
        </w:rPr>
        <w:t>Em 1</w:t>
      </w:r>
      <w:r w:rsidR="00D81AA1" w:rsidRPr="00D5464D">
        <w:rPr>
          <w:rFonts w:cs="Arial"/>
          <w:szCs w:val="20"/>
          <w:lang w:val="pt-BR"/>
        </w:rPr>
        <w:t xml:space="preserve">4 de </w:t>
      </w:r>
      <w:r w:rsidR="002C330E" w:rsidRPr="00D5464D">
        <w:rPr>
          <w:rFonts w:cs="Arial"/>
          <w:szCs w:val="20"/>
          <w:lang w:val="pt-BR"/>
        </w:rPr>
        <w:t>novembro</w:t>
      </w:r>
      <w:r w:rsidR="00D81AA1" w:rsidRPr="00D5464D">
        <w:rPr>
          <w:rFonts w:cs="Arial"/>
          <w:szCs w:val="20"/>
          <w:lang w:val="pt-BR"/>
        </w:rPr>
        <w:t xml:space="preserve"> de 1997</w:t>
      </w:r>
      <w:r w:rsidR="00090E67" w:rsidRPr="00D5464D">
        <w:rPr>
          <w:rFonts w:cs="Arial"/>
          <w:szCs w:val="20"/>
          <w:lang w:val="pt-BR"/>
        </w:rPr>
        <w:t>,</w:t>
      </w:r>
      <w:r w:rsidR="002C330E" w:rsidRPr="00D5464D">
        <w:rPr>
          <w:rFonts w:cs="Arial"/>
          <w:szCs w:val="20"/>
          <w:lang w:val="pt-BR"/>
        </w:rPr>
        <w:t xml:space="preserve"> a </w:t>
      </w:r>
      <w:r w:rsidR="00D81AA1" w:rsidRPr="00D5464D">
        <w:rPr>
          <w:rFonts w:cs="Arial"/>
          <w:szCs w:val="20"/>
          <w:lang w:val="pt-BR"/>
        </w:rPr>
        <w:t>Delega</w:t>
      </w:r>
      <w:r w:rsidR="00090E67" w:rsidRPr="00D5464D">
        <w:rPr>
          <w:rFonts w:cs="Arial"/>
          <w:szCs w:val="20"/>
          <w:lang w:val="pt-BR"/>
        </w:rPr>
        <w:t>cia</w:t>
      </w:r>
      <w:r w:rsidR="00D81AA1" w:rsidRPr="00D5464D">
        <w:rPr>
          <w:rFonts w:cs="Arial"/>
          <w:szCs w:val="20"/>
          <w:lang w:val="pt-BR"/>
        </w:rPr>
        <w:t xml:space="preserve"> Regional </w:t>
      </w:r>
      <w:r w:rsidR="00470ADC" w:rsidRPr="00D5464D">
        <w:rPr>
          <w:rFonts w:cs="Arial"/>
          <w:szCs w:val="20"/>
          <w:lang w:val="pt-BR"/>
        </w:rPr>
        <w:t xml:space="preserve">do </w:t>
      </w:r>
      <w:r w:rsidR="00E045D9" w:rsidRPr="00D5464D">
        <w:rPr>
          <w:rFonts w:cs="Arial"/>
          <w:szCs w:val="20"/>
          <w:lang w:val="pt-BR"/>
        </w:rPr>
        <w:t>Trabalho</w:t>
      </w:r>
      <w:r w:rsidR="00090E67" w:rsidRPr="00D5464D">
        <w:rPr>
          <w:rFonts w:cs="Arial"/>
          <w:szCs w:val="20"/>
          <w:lang w:val="pt-BR"/>
        </w:rPr>
        <w:t xml:space="preserve"> (DRT) do</w:t>
      </w:r>
      <w:r w:rsidR="00D81AA1" w:rsidRPr="00D5464D">
        <w:rPr>
          <w:rFonts w:cs="Arial"/>
          <w:szCs w:val="20"/>
          <w:lang w:val="pt-BR"/>
        </w:rPr>
        <w:t xml:space="preserve"> Pará </w:t>
      </w:r>
      <w:r w:rsidR="002C330E" w:rsidRPr="00D5464D">
        <w:rPr>
          <w:rFonts w:cs="Arial"/>
          <w:szCs w:val="20"/>
          <w:lang w:val="pt-BR"/>
        </w:rPr>
        <w:t>informou</w:t>
      </w:r>
      <w:r w:rsidR="002339E7" w:rsidRPr="00D5464D">
        <w:rPr>
          <w:rFonts w:cs="Arial"/>
          <w:szCs w:val="20"/>
          <w:lang w:val="pt-BR"/>
        </w:rPr>
        <w:t>,</w:t>
      </w:r>
      <w:r w:rsidR="00470ADC" w:rsidRPr="00D5464D">
        <w:rPr>
          <w:rFonts w:cs="Arial"/>
          <w:szCs w:val="20"/>
          <w:lang w:val="pt-BR"/>
        </w:rPr>
        <w:t xml:space="preserve"> </w:t>
      </w:r>
      <w:r w:rsidR="00350187" w:rsidRPr="00D5464D">
        <w:rPr>
          <w:rFonts w:cs="Arial"/>
          <w:szCs w:val="20"/>
          <w:lang w:val="pt-BR"/>
        </w:rPr>
        <w:t xml:space="preserve">em relação à </w:t>
      </w:r>
      <w:r w:rsidR="00D809F0" w:rsidRPr="00D5464D">
        <w:rPr>
          <w:rFonts w:cs="Arial"/>
          <w:szCs w:val="20"/>
          <w:lang w:val="pt-BR"/>
        </w:rPr>
        <w:t>Fazenda</w:t>
      </w:r>
      <w:r w:rsidR="00D81AA1" w:rsidRPr="00D5464D">
        <w:rPr>
          <w:rFonts w:cs="Arial"/>
          <w:szCs w:val="20"/>
          <w:lang w:val="pt-BR"/>
        </w:rPr>
        <w:t xml:space="preserve"> Brasil Verde</w:t>
      </w:r>
      <w:r w:rsidR="002339E7" w:rsidRPr="00D5464D">
        <w:rPr>
          <w:rFonts w:cs="Arial"/>
          <w:szCs w:val="20"/>
          <w:lang w:val="pt-BR"/>
        </w:rPr>
        <w:t>,</w:t>
      </w:r>
      <w:r w:rsidR="00D81AA1" w:rsidRPr="00D5464D">
        <w:rPr>
          <w:rFonts w:cs="Arial"/>
          <w:i/>
          <w:iCs/>
          <w:szCs w:val="20"/>
          <w:lang w:val="pt-BR"/>
        </w:rPr>
        <w:t xml:space="preserve"> </w:t>
      </w:r>
      <w:r w:rsidR="00D81AA1" w:rsidRPr="00D5464D">
        <w:rPr>
          <w:rFonts w:cs="Arial"/>
          <w:szCs w:val="20"/>
          <w:lang w:val="pt-BR"/>
        </w:rPr>
        <w:t>que</w:t>
      </w:r>
      <w:r w:rsidR="00C91CB1" w:rsidRPr="00D5464D">
        <w:rPr>
          <w:rFonts w:cs="Arial"/>
          <w:szCs w:val="20"/>
          <w:lang w:val="pt-BR"/>
        </w:rPr>
        <w:t xml:space="preserve"> </w:t>
      </w:r>
      <w:r w:rsidR="00090E67" w:rsidRPr="00D5464D">
        <w:rPr>
          <w:rFonts w:cs="Arial"/>
          <w:szCs w:val="20"/>
          <w:lang w:val="pt-BR"/>
        </w:rPr>
        <w:t xml:space="preserve">apesar de existirem </w:t>
      </w:r>
      <w:r w:rsidR="00470ADC" w:rsidRPr="00D5464D">
        <w:rPr>
          <w:rFonts w:cs="Arial"/>
          <w:szCs w:val="20"/>
          <w:lang w:val="pt-BR"/>
        </w:rPr>
        <w:t>algumas</w:t>
      </w:r>
      <w:r w:rsidR="00090E67" w:rsidRPr="00D5464D">
        <w:rPr>
          <w:rFonts w:cs="Arial"/>
          <w:szCs w:val="20"/>
          <w:lang w:val="pt-BR"/>
        </w:rPr>
        <w:t xml:space="preserve"> falh</w:t>
      </w:r>
      <w:r w:rsidR="00D81AA1" w:rsidRPr="00D5464D">
        <w:rPr>
          <w:rFonts w:cs="Arial"/>
          <w:szCs w:val="20"/>
          <w:lang w:val="pt-BR"/>
        </w:rPr>
        <w:t>as,</w:t>
      </w:r>
      <w:r w:rsidR="002C330E" w:rsidRPr="00D5464D">
        <w:rPr>
          <w:rFonts w:cs="Arial"/>
          <w:szCs w:val="20"/>
          <w:lang w:val="pt-BR"/>
        </w:rPr>
        <w:t xml:space="preserve"> a </w:t>
      </w:r>
      <w:r w:rsidR="00D81AA1" w:rsidRPr="00D5464D">
        <w:rPr>
          <w:rFonts w:cs="Arial"/>
          <w:szCs w:val="20"/>
          <w:lang w:val="pt-BR"/>
        </w:rPr>
        <w:t>DR</w:t>
      </w:r>
      <w:r w:rsidR="00D0446B" w:rsidRPr="00D5464D">
        <w:rPr>
          <w:rFonts w:cs="Arial"/>
          <w:szCs w:val="20"/>
          <w:lang w:val="pt-BR"/>
        </w:rPr>
        <w:t>T</w:t>
      </w:r>
      <w:r w:rsidR="00D81AA1" w:rsidRPr="00D5464D">
        <w:rPr>
          <w:rFonts w:cs="Arial"/>
          <w:szCs w:val="20"/>
          <w:lang w:val="pt-BR"/>
        </w:rPr>
        <w:t xml:space="preserve"> “[</w:t>
      </w:r>
      <w:r w:rsidR="002C330E" w:rsidRPr="00D5464D">
        <w:rPr>
          <w:rFonts w:cs="Arial"/>
          <w:szCs w:val="20"/>
          <w:lang w:val="pt-BR"/>
        </w:rPr>
        <w:t>havia</w:t>
      </w:r>
      <w:r w:rsidR="00D81AA1" w:rsidRPr="00D5464D">
        <w:rPr>
          <w:rFonts w:cs="Arial"/>
          <w:szCs w:val="20"/>
          <w:lang w:val="pt-BR"/>
        </w:rPr>
        <w:t>] pref[erido] n</w:t>
      </w:r>
      <w:r w:rsidR="00090E67" w:rsidRPr="00D5464D">
        <w:rPr>
          <w:rFonts w:cs="Arial"/>
          <w:szCs w:val="20"/>
          <w:lang w:val="pt-BR"/>
        </w:rPr>
        <w:t>ã</w:t>
      </w:r>
      <w:r w:rsidR="00D81AA1" w:rsidRPr="00D5464D">
        <w:rPr>
          <w:rFonts w:cs="Arial"/>
          <w:szCs w:val="20"/>
          <w:lang w:val="pt-BR"/>
        </w:rPr>
        <w:t xml:space="preserve">o </w:t>
      </w:r>
      <w:r w:rsidR="00230C71" w:rsidRPr="00D5464D">
        <w:rPr>
          <w:rFonts w:cs="Arial"/>
          <w:szCs w:val="20"/>
          <w:lang w:val="pt-BR"/>
        </w:rPr>
        <w:t>atua</w:t>
      </w:r>
      <w:r w:rsidR="00D81AA1" w:rsidRPr="00D5464D">
        <w:rPr>
          <w:rFonts w:cs="Arial"/>
          <w:szCs w:val="20"/>
          <w:lang w:val="pt-BR"/>
        </w:rPr>
        <w:t>r,</w:t>
      </w:r>
      <w:r w:rsidR="002C330E" w:rsidRPr="00D5464D">
        <w:rPr>
          <w:rFonts w:cs="Arial"/>
          <w:szCs w:val="20"/>
          <w:lang w:val="pt-BR"/>
        </w:rPr>
        <w:t xml:space="preserve"> mas </w:t>
      </w:r>
      <w:r w:rsidR="00D81AA1" w:rsidRPr="00D5464D">
        <w:rPr>
          <w:rFonts w:cs="Arial"/>
          <w:szCs w:val="20"/>
          <w:lang w:val="pt-BR"/>
        </w:rPr>
        <w:t>orientar [...]” (</w:t>
      </w:r>
      <w:r w:rsidR="00C85EA9" w:rsidRPr="00D5464D">
        <w:rPr>
          <w:rFonts w:cs="Arial"/>
          <w:szCs w:val="20"/>
          <w:lang w:val="pt-BR"/>
        </w:rPr>
        <w:t xml:space="preserve">par. </w:t>
      </w:r>
      <w:r w:rsidR="00D036E7" w:rsidRPr="00D5464D">
        <w:rPr>
          <w:rFonts w:cs="Arial"/>
          <w:szCs w:val="20"/>
          <w:lang w:val="pt-BR"/>
        </w:rPr>
        <w:t xml:space="preserve">159 </w:t>
      </w:r>
      <w:r w:rsidR="00D036E7" w:rsidRPr="00D5464D">
        <w:rPr>
          <w:rFonts w:cs="Arial"/>
          <w:i/>
          <w:szCs w:val="20"/>
          <w:lang w:val="pt-BR"/>
        </w:rPr>
        <w:t>supra</w:t>
      </w:r>
      <w:r w:rsidR="00D036E7" w:rsidRPr="00D5464D">
        <w:rPr>
          <w:rFonts w:cs="Arial"/>
          <w:szCs w:val="20"/>
          <w:lang w:val="pt-BR"/>
        </w:rPr>
        <w:t>)</w:t>
      </w:r>
      <w:r w:rsidR="00A1358C" w:rsidRPr="00D5464D">
        <w:rPr>
          <w:rFonts w:cs="Times New Roman"/>
          <w:bCs/>
          <w:szCs w:val="20"/>
          <w:lang w:val="pt-BR"/>
        </w:rPr>
        <w:t xml:space="preserve">. </w:t>
      </w:r>
      <w:r w:rsidR="00C91CB1" w:rsidRPr="00D5464D">
        <w:rPr>
          <w:rFonts w:cs="Times New Roman"/>
          <w:bCs/>
          <w:szCs w:val="20"/>
          <w:lang w:val="pt-BR"/>
        </w:rPr>
        <w:t>Em 1</w:t>
      </w:r>
      <w:r w:rsidR="00D81AA1" w:rsidRPr="00D5464D">
        <w:rPr>
          <w:rFonts w:cs="Arial"/>
          <w:szCs w:val="20"/>
          <w:lang w:val="pt-BR"/>
        </w:rPr>
        <w:t xml:space="preserve">3 de </w:t>
      </w:r>
      <w:r w:rsidR="002C330E" w:rsidRPr="00D5464D">
        <w:rPr>
          <w:rFonts w:cs="Arial"/>
          <w:szCs w:val="20"/>
          <w:lang w:val="pt-BR"/>
        </w:rPr>
        <w:t>outubro</w:t>
      </w:r>
      <w:r w:rsidR="00D81AA1" w:rsidRPr="00D5464D">
        <w:rPr>
          <w:rFonts w:cs="Arial"/>
          <w:szCs w:val="20"/>
          <w:lang w:val="pt-BR"/>
        </w:rPr>
        <w:t xml:space="preserve"> de 1998</w:t>
      </w:r>
      <w:r w:rsidR="00090E67" w:rsidRPr="00D5464D">
        <w:rPr>
          <w:rFonts w:cs="Arial"/>
          <w:szCs w:val="20"/>
          <w:lang w:val="pt-BR"/>
        </w:rPr>
        <w:t>,</w:t>
      </w:r>
      <w:r w:rsidR="00470ADC" w:rsidRPr="00D5464D">
        <w:rPr>
          <w:rFonts w:cs="Arial"/>
          <w:szCs w:val="20"/>
          <w:lang w:val="pt-BR"/>
        </w:rPr>
        <w:t xml:space="preserve"> o </w:t>
      </w:r>
      <w:r w:rsidR="002C330E" w:rsidRPr="00D5464D">
        <w:rPr>
          <w:rFonts w:cs="Arial"/>
          <w:szCs w:val="20"/>
          <w:lang w:val="pt-BR"/>
        </w:rPr>
        <w:t>Ministério</w:t>
      </w:r>
      <w:r w:rsidR="00D81AA1" w:rsidRPr="00D5464D">
        <w:rPr>
          <w:rFonts w:cs="Arial"/>
          <w:szCs w:val="20"/>
          <w:lang w:val="pt-BR"/>
        </w:rPr>
        <w:t xml:space="preserve"> Público </w:t>
      </w:r>
      <w:r w:rsidR="00470ADC" w:rsidRPr="00D5464D">
        <w:rPr>
          <w:rFonts w:cs="Arial"/>
          <w:szCs w:val="20"/>
          <w:lang w:val="pt-BR"/>
        </w:rPr>
        <w:t xml:space="preserve">do </w:t>
      </w:r>
      <w:r w:rsidR="00E045D9" w:rsidRPr="00D5464D">
        <w:rPr>
          <w:rFonts w:cs="Arial"/>
          <w:szCs w:val="20"/>
          <w:lang w:val="pt-BR"/>
        </w:rPr>
        <w:t>Trabalho</w:t>
      </w:r>
      <w:r w:rsidR="00D81AA1" w:rsidRPr="00D5464D">
        <w:rPr>
          <w:rFonts w:cs="Arial"/>
          <w:szCs w:val="20"/>
          <w:lang w:val="pt-BR"/>
        </w:rPr>
        <w:t xml:space="preserve"> </w:t>
      </w:r>
      <w:r w:rsidR="002C330E" w:rsidRPr="00D5464D">
        <w:rPr>
          <w:rFonts w:cs="Arial"/>
          <w:szCs w:val="20"/>
          <w:lang w:val="pt-BR"/>
        </w:rPr>
        <w:t>solicitou</w:t>
      </w:r>
      <w:r w:rsidR="00470ADC" w:rsidRPr="00D5464D">
        <w:rPr>
          <w:rFonts w:cs="Arial"/>
          <w:szCs w:val="20"/>
          <w:lang w:val="pt-BR"/>
        </w:rPr>
        <w:t xml:space="preserve"> à </w:t>
      </w:r>
      <w:r w:rsidR="00D81AA1" w:rsidRPr="00D5464D">
        <w:rPr>
          <w:rFonts w:cs="Arial"/>
          <w:szCs w:val="20"/>
          <w:lang w:val="pt-BR"/>
        </w:rPr>
        <w:t>Delega</w:t>
      </w:r>
      <w:r w:rsidR="00090E67" w:rsidRPr="00D5464D">
        <w:rPr>
          <w:rFonts w:cs="Arial"/>
          <w:szCs w:val="20"/>
          <w:lang w:val="pt-BR"/>
        </w:rPr>
        <w:t>cia</w:t>
      </w:r>
      <w:r w:rsidR="00D81AA1" w:rsidRPr="00D5464D">
        <w:rPr>
          <w:rFonts w:cs="Arial"/>
          <w:szCs w:val="20"/>
          <w:lang w:val="pt-BR"/>
        </w:rPr>
        <w:t xml:space="preserve"> Regional </w:t>
      </w:r>
      <w:r w:rsidR="00470ADC" w:rsidRPr="00D5464D">
        <w:rPr>
          <w:rFonts w:cs="Arial"/>
          <w:szCs w:val="20"/>
          <w:lang w:val="pt-BR"/>
        </w:rPr>
        <w:t xml:space="preserve">do </w:t>
      </w:r>
      <w:r w:rsidR="00E045D9" w:rsidRPr="00D5464D">
        <w:rPr>
          <w:rFonts w:cs="Arial"/>
          <w:szCs w:val="20"/>
          <w:lang w:val="pt-BR"/>
        </w:rPr>
        <w:t>Trabalho</w:t>
      </w:r>
      <w:r w:rsidR="00090E67" w:rsidRPr="00D5464D">
        <w:rPr>
          <w:rFonts w:cs="Arial"/>
          <w:szCs w:val="20"/>
          <w:lang w:val="pt-BR"/>
        </w:rPr>
        <w:t xml:space="preserve"> do</w:t>
      </w:r>
      <w:r w:rsidR="00D81AA1" w:rsidRPr="00D5464D">
        <w:rPr>
          <w:rFonts w:cs="Arial"/>
          <w:szCs w:val="20"/>
          <w:lang w:val="pt-BR"/>
        </w:rPr>
        <w:t xml:space="preserve"> Pará</w:t>
      </w:r>
      <w:r w:rsidR="002C330E" w:rsidRPr="00D5464D">
        <w:rPr>
          <w:rFonts w:cs="Arial"/>
          <w:szCs w:val="20"/>
          <w:lang w:val="pt-BR"/>
        </w:rPr>
        <w:t xml:space="preserve"> a </w:t>
      </w:r>
      <w:r w:rsidR="00D81AA1" w:rsidRPr="00D5464D">
        <w:rPr>
          <w:rFonts w:cs="Arial"/>
          <w:szCs w:val="20"/>
          <w:lang w:val="pt-BR"/>
        </w:rPr>
        <w:t>realiza</w:t>
      </w:r>
      <w:r w:rsidR="00470ADC" w:rsidRPr="00D5464D">
        <w:rPr>
          <w:rFonts w:cs="Arial"/>
          <w:szCs w:val="20"/>
          <w:lang w:val="pt-BR"/>
        </w:rPr>
        <w:t>ção</w:t>
      </w:r>
      <w:r w:rsidR="00D81AA1" w:rsidRPr="00D5464D">
        <w:rPr>
          <w:rFonts w:cs="Arial"/>
          <w:szCs w:val="20"/>
          <w:lang w:val="pt-BR"/>
        </w:rPr>
        <w:t xml:space="preserve"> de</w:t>
      </w:r>
      <w:r w:rsidR="00E045D9" w:rsidRPr="00D5464D">
        <w:rPr>
          <w:rFonts w:cs="Arial"/>
          <w:szCs w:val="20"/>
          <w:lang w:val="pt-BR"/>
        </w:rPr>
        <w:t xml:space="preserve"> uma </w:t>
      </w:r>
      <w:r w:rsidR="002C330E" w:rsidRPr="00D5464D">
        <w:rPr>
          <w:rFonts w:cs="Arial"/>
          <w:szCs w:val="20"/>
          <w:lang w:val="pt-BR"/>
        </w:rPr>
        <w:t>nova</w:t>
      </w:r>
      <w:r w:rsidR="00D81AA1" w:rsidRPr="00D5464D">
        <w:rPr>
          <w:rFonts w:cs="Arial"/>
          <w:szCs w:val="20"/>
          <w:lang w:val="pt-BR"/>
        </w:rPr>
        <w:t xml:space="preserve"> fiscaliza</w:t>
      </w:r>
      <w:r w:rsidR="00470ADC" w:rsidRPr="00D5464D">
        <w:rPr>
          <w:rFonts w:cs="Arial"/>
          <w:szCs w:val="20"/>
          <w:lang w:val="pt-BR"/>
        </w:rPr>
        <w:t xml:space="preserve">ção à </w:t>
      </w:r>
      <w:r w:rsidR="00D809F0" w:rsidRPr="00D5464D">
        <w:rPr>
          <w:rFonts w:cs="Arial"/>
          <w:szCs w:val="20"/>
          <w:lang w:val="pt-BR"/>
        </w:rPr>
        <w:t>fazenda</w:t>
      </w:r>
      <w:r w:rsidR="00D81AA1" w:rsidRPr="00D5464D">
        <w:rPr>
          <w:rFonts w:cs="Arial"/>
          <w:szCs w:val="20"/>
          <w:lang w:val="pt-BR"/>
        </w:rPr>
        <w:t xml:space="preserve">, </w:t>
      </w:r>
      <w:r w:rsidR="00470ADC" w:rsidRPr="00D5464D">
        <w:rPr>
          <w:rFonts w:cs="Arial"/>
          <w:szCs w:val="20"/>
          <w:lang w:val="pt-BR"/>
        </w:rPr>
        <w:t xml:space="preserve">devido ao </w:t>
      </w:r>
      <w:r w:rsidR="00E045D9" w:rsidRPr="00D5464D">
        <w:rPr>
          <w:rFonts w:cs="Arial"/>
          <w:szCs w:val="20"/>
          <w:lang w:val="pt-BR"/>
        </w:rPr>
        <w:t>tempo</w:t>
      </w:r>
      <w:r w:rsidR="00D81AA1" w:rsidRPr="00D5464D">
        <w:rPr>
          <w:rFonts w:cs="Arial"/>
          <w:szCs w:val="20"/>
          <w:lang w:val="pt-BR"/>
        </w:rPr>
        <w:t xml:space="preserve"> </w:t>
      </w:r>
      <w:r w:rsidR="00A1358C" w:rsidRPr="00D5464D">
        <w:rPr>
          <w:rFonts w:cs="Arial"/>
          <w:szCs w:val="20"/>
          <w:lang w:val="pt-BR"/>
        </w:rPr>
        <w:t>transcorrido</w:t>
      </w:r>
      <w:r w:rsidR="00D81AA1" w:rsidRPr="00D5464D">
        <w:rPr>
          <w:rFonts w:cs="Arial"/>
          <w:szCs w:val="20"/>
          <w:lang w:val="pt-BR"/>
        </w:rPr>
        <w:t xml:space="preserve"> </w:t>
      </w:r>
      <w:r w:rsidR="00230C71" w:rsidRPr="00D5464D">
        <w:rPr>
          <w:rFonts w:cs="Arial"/>
          <w:szCs w:val="20"/>
          <w:lang w:val="pt-BR"/>
        </w:rPr>
        <w:t>desde a</w:t>
      </w:r>
      <w:r w:rsidR="00E045D9" w:rsidRPr="00D5464D">
        <w:rPr>
          <w:rFonts w:cs="Arial"/>
          <w:szCs w:val="20"/>
          <w:lang w:val="pt-BR"/>
        </w:rPr>
        <w:t xml:space="preserve"> </w:t>
      </w:r>
      <w:r w:rsidR="00D81AA1" w:rsidRPr="00D5464D">
        <w:rPr>
          <w:rFonts w:cs="Arial"/>
          <w:szCs w:val="20"/>
          <w:lang w:val="pt-BR"/>
        </w:rPr>
        <w:t>última</w:t>
      </w:r>
      <w:r w:rsidR="00C91CB1" w:rsidRPr="00D5464D">
        <w:rPr>
          <w:rFonts w:cs="Times New Roman"/>
          <w:szCs w:val="20"/>
          <w:lang w:val="pt-BR"/>
        </w:rPr>
        <w:t>. Em 8</w:t>
      </w:r>
      <w:r w:rsidR="00DC19DD" w:rsidRPr="00D5464D">
        <w:rPr>
          <w:rFonts w:cs="Arial"/>
          <w:szCs w:val="20"/>
          <w:lang w:val="pt-BR"/>
        </w:rPr>
        <w:t xml:space="preserve"> </w:t>
      </w:r>
      <w:r w:rsidR="00D81AA1" w:rsidRPr="00D5464D">
        <w:rPr>
          <w:rFonts w:cs="Arial"/>
          <w:szCs w:val="20"/>
          <w:lang w:val="pt-BR"/>
        </w:rPr>
        <w:t xml:space="preserve">de </w:t>
      </w:r>
      <w:r w:rsidR="00470ADC" w:rsidRPr="00D5464D">
        <w:rPr>
          <w:rFonts w:cs="Arial"/>
          <w:szCs w:val="20"/>
          <w:lang w:val="pt-BR"/>
        </w:rPr>
        <w:t>fevereiro</w:t>
      </w:r>
      <w:r w:rsidR="00D81AA1" w:rsidRPr="00D5464D">
        <w:rPr>
          <w:rFonts w:cs="Arial"/>
          <w:szCs w:val="20"/>
          <w:lang w:val="pt-BR"/>
        </w:rPr>
        <w:t xml:space="preserve"> de 1999</w:t>
      </w:r>
      <w:r w:rsidR="00090E67" w:rsidRPr="00D5464D">
        <w:rPr>
          <w:rFonts w:cs="Arial"/>
          <w:szCs w:val="20"/>
          <w:lang w:val="pt-BR"/>
        </w:rPr>
        <w:t>,</w:t>
      </w:r>
      <w:r w:rsidR="002C330E" w:rsidRPr="00D5464D">
        <w:rPr>
          <w:rFonts w:cs="Arial"/>
          <w:szCs w:val="20"/>
          <w:lang w:val="pt-BR"/>
        </w:rPr>
        <w:t xml:space="preserve"> a </w:t>
      </w:r>
      <w:r w:rsidR="00C1266B" w:rsidRPr="00D5464D">
        <w:rPr>
          <w:rFonts w:cs="Arial"/>
          <w:szCs w:val="20"/>
          <w:lang w:val="pt-BR"/>
        </w:rPr>
        <w:t>DRT do Pará</w:t>
      </w:r>
      <w:r w:rsidR="00D81AA1" w:rsidRPr="00D5464D">
        <w:rPr>
          <w:rFonts w:cs="Arial"/>
          <w:szCs w:val="20"/>
          <w:lang w:val="pt-BR"/>
        </w:rPr>
        <w:t xml:space="preserve"> </w:t>
      </w:r>
      <w:r w:rsidR="002C330E" w:rsidRPr="00D5464D">
        <w:rPr>
          <w:rFonts w:cs="Arial"/>
          <w:szCs w:val="20"/>
          <w:lang w:val="pt-BR"/>
        </w:rPr>
        <w:t>informou</w:t>
      </w:r>
      <w:r w:rsidR="00D81AA1" w:rsidRPr="00D5464D">
        <w:rPr>
          <w:rFonts w:cs="Arial"/>
          <w:szCs w:val="20"/>
          <w:lang w:val="pt-BR"/>
        </w:rPr>
        <w:t xml:space="preserve"> que </w:t>
      </w:r>
      <w:r w:rsidR="00737270" w:rsidRPr="00D5464D">
        <w:rPr>
          <w:rFonts w:cs="Arial"/>
          <w:szCs w:val="20"/>
          <w:lang w:val="pt-BR"/>
        </w:rPr>
        <w:t>não havia</w:t>
      </w:r>
      <w:r w:rsidR="00D81AA1" w:rsidRPr="00D5464D">
        <w:rPr>
          <w:rFonts w:cs="Arial"/>
          <w:szCs w:val="20"/>
          <w:lang w:val="pt-BR"/>
        </w:rPr>
        <w:t xml:space="preserve"> realizado</w:t>
      </w:r>
      <w:r w:rsidR="002C330E" w:rsidRPr="00D5464D">
        <w:rPr>
          <w:rFonts w:cs="Arial"/>
          <w:szCs w:val="20"/>
          <w:lang w:val="pt-BR"/>
        </w:rPr>
        <w:t xml:space="preserve"> a </w:t>
      </w:r>
      <w:r w:rsidR="00D81AA1" w:rsidRPr="00D5464D">
        <w:rPr>
          <w:rFonts w:cs="Arial"/>
          <w:szCs w:val="20"/>
          <w:lang w:val="pt-BR"/>
        </w:rPr>
        <w:t>fiscaliza</w:t>
      </w:r>
      <w:r w:rsidR="00470ADC" w:rsidRPr="00D5464D">
        <w:rPr>
          <w:rFonts w:cs="Arial"/>
          <w:szCs w:val="20"/>
          <w:lang w:val="pt-BR"/>
        </w:rPr>
        <w:t>ção</w:t>
      </w:r>
      <w:r w:rsidR="00D81AA1" w:rsidRPr="00D5464D">
        <w:rPr>
          <w:rFonts w:cs="Arial"/>
          <w:szCs w:val="20"/>
          <w:lang w:val="pt-BR"/>
        </w:rPr>
        <w:t xml:space="preserve"> por falta de recursos </w:t>
      </w:r>
      <w:r w:rsidR="00470ADC" w:rsidRPr="00D5464D">
        <w:rPr>
          <w:rFonts w:cs="Arial"/>
          <w:szCs w:val="20"/>
          <w:lang w:val="pt-BR"/>
        </w:rPr>
        <w:t>financeiro</w:t>
      </w:r>
      <w:r w:rsidR="00D81AA1" w:rsidRPr="00D5464D">
        <w:rPr>
          <w:rFonts w:cs="Arial"/>
          <w:szCs w:val="20"/>
          <w:lang w:val="pt-BR"/>
        </w:rPr>
        <w:t>s</w:t>
      </w:r>
      <w:r w:rsidR="00A1358C" w:rsidRPr="00D5464D">
        <w:rPr>
          <w:rFonts w:cs="Arial"/>
          <w:szCs w:val="20"/>
          <w:lang w:val="pt-BR"/>
        </w:rPr>
        <w:t xml:space="preserve">. </w:t>
      </w:r>
      <w:r w:rsidR="00C91CB1" w:rsidRPr="00D5464D">
        <w:rPr>
          <w:rFonts w:cs="Arial"/>
          <w:szCs w:val="20"/>
          <w:lang w:val="pt-BR"/>
        </w:rPr>
        <w:t>Em 1</w:t>
      </w:r>
      <w:r w:rsidR="00D81AA1" w:rsidRPr="00D5464D">
        <w:rPr>
          <w:rFonts w:cs="Arial"/>
          <w:szCs w:val="20"/>
          <w:lang w:val="pt-BR"/>
        </w:rPr>
        <w:t xml:space="preserve">5 de </w:t>
      </w:r>
      <w:r w:rsidR="002C330E" w:rsidRPr="00D5464D">
        <w:rPr>
          <w:rFonts w:cs="Arial"/>
          <w:szCs w:val="20"/>
          <w:lang w:val="pt-BR"/>
        </w:rPr>
        <w:t>junho</w:t>
      </w:r>
      <w:r w:rsidR="00D81AA1" w:rsidRPr="00D5464D">
        <w:rPr>
          <w:rFonts w:cs="Arial"/>
          <w:szCs w:val="20"/>
          <w:lang w:val="pt-BR"/>
        </w:rPr>
        <w:t xml:space="preserve"> de 1999</w:t>
      </w:r>
      <w:r w:rsidR="00090E67" w:rsidRPr="00D5464D">
        <w:rPr>
          <w:rFonts w:cs="Arial"/>
          <w:szCs w:val="20"/>
          <w:lang w:val="pt-BR"/>
        </w:rPr>
        <w:t>,</w:t>
      </w:r>
      <w:r w:rsidR="00470ADC" w:rsidRPr="00D5464D">
        <w:rPr>
          <w:rFonts w:cs="Arial"/>
          <w:szCs w:val="20"/>
          <w:lang w:val="pt-BR"/>
        </w:rPr>
        <w:t xml:space="preserve"> o </w:t>
      </w:r>
      <w:r w:rsidR="002C330E" w:rsidRPr="00D5464D">
        <w:rPr>
          <w:rFonts w:cs="Arial"/>
          <w:szCs w:val="20"/>
          <w:lang w:val="pt-BR"/>
        </w:rPr>
        <w:t>Ministério</w:t>
      </w:r>
      <w:r w:rsidR="00D81AA1" w:rsidRPr="00D5464D">
        <w:rPr>
          <w:rFonts w:cs="Arial"/>
          <w:szCs w:val="20"/>
          <w:lang w:val="pt-BR"/>
        </w:rPr>
        <w:t xml:space="preserve"> Público </w:t>
      </w:r>
      <w:r w:rsidR="00470ADC" w:rsidRPr="00D5464D">
        <w:rPr>
          <w:rFonts w:cs="Arial"/>
          <w:szCs w:val="20"/>
          <w:lang w:val="pt-BR"/>
        </w:rPr>
        <w:t xml:space="preserve">do </w:t>
      </w:r>
      <w:r w:rsidR="00E045D9" w:rsidRPr="00D5464D">
        <w:rPr>
          <w:rFonts w:cs="Arial"/>
          <w:szCs w:val="20"/>
          <w:lang w:val="pt-BR"/>
        </w:rPr>
        <w:t>Trabalho</w:t>
      </w:r>
      <w:r w:rsidR="00D81AA1" w:rsidRPr="00D5464D">
        <w:rPr>
          <w:rFonts w:cs="Arial"/>
          <w:szCs w:val="20"/>
          <w:lang w:val="pt-BR"/>
        </w:rPr>
        <w:t xml:space="preserve"> </w:t>
      </w:r>
      <w:r w:rsidR="002C330E" w:rsidRPr="00D5464D">
        <w:rPr>
          <w:rFonts w:cs="Arial"/>
          <w:szCs w:val="20"/>
          <w:lang w:val="pt-BR"/>
        </w:rPr>
        <w:t>reiterou</w:t>
      </w:r>
      <w:r w:rsidR="00D81AA1" w:rsidRPr="00D5464D">
        <w:rPr>
          <w:rFonts w:cs="Arial"/>
          <w:szCs w:val="20"/>
          <w:lang w:val="pt-BR"/>
        </w:rPr>
        <w:t xml:space="preserve"> </w:t>
      </w:r>
      <w:r w:rsidR="00090E67" w:rsidRPr="00D5464D">
        <w:rPr>
          <w:rFonts w:cs="Arial"/>
          <w:szCs w:val="20"/>
          <w:lang w:val="pt-BR"/>
        </w:rPr>
        <w:t xml:space="preserve">o </w:t>
      </w:r>
      <w:r w:rsidR="00D81AA1" w:rsidRPr="00D5464D">
        <w:rPr>
          <w:rFonts w:cs="Arial"/>
          <w:szCs w:val="20"/>
          <w:lang w:val="pt-BR"/>
        </w:rPr>
        <w:t>s</w:t>
      </w:r>
      <w:r w:rsidR="00090E67" w:rsidRPr="00D5464D">
        <w:rPr>
          <w:rFonts w:cs="Arial"/>
          <w:szCs w:val="20"/>
          <w:lang w:val="pt-BR"/>
        </w:rPr>
        <w:t>e</w:t>
      </w:r>
      <w:r w:rsidR="00D81AA1" w:rsidRPr="00D5464D">
        <w:rPr>
          <w:rFonts w:cs="Arial"/>
          <w:szCs w:val="20"/>
          <w:lang w:val="pt-BR"/>
        </w:rPr>
        <w:t xml:space="preserve">u </w:t>
      </w:r>
      <w:r w:rsidR="00C91CB1" w:rsidRPr="00D5464D">
        <w:rPr>
          <w:rFonts w:cs="Arial"/>
          <w:szCs w:val="20"/>
          <w:lang w:val="pt-BR"/>
        </w:rPr>
        <w:t>pedido</w:t>
      </w:r>
      <w:r w:rsidR="00D81AA1" w:rsidRPr="00D5464D">
        <w:rPr>
          <w:rFonts w:cs="Arial"/>
          <w:szCs w:val="20"/>
          <w:lang w:val="pt-BR"/>
        </w:rPr>
        <w:t>.</w:t>
      </w:r>
    </w:p>
    <w:p w14:paraId="4687DBD1" w14:textId="77777777" w:rsidR="00D81AA1" w:rsidRPr="00D5464D" w:rsidRDefault="00D81AA1" w:rsidP="00D81AA1">
      <w:pPr>
        <w:pStyle w:val="Prrafodelista"/>
        <w:rPr>
          <w:rFonts w:cs="Arial"/>
          <w:szCs w:val="20"/>
          <w:lang w:val="pt-BR"/>
        </w:rPr>
      </w:pPr>
    </w:p>
    <w:p w14:paraId="6508BEE2" w14:textId="36E4BBA6" w:rsidR="00D81AA1" w:rsidRPr="00D5464D" w:rsidRDefault="002339E7" w:rsidP="00614D09">
      <w:pPr>
        <w:pStyle w:val="Prrafodelista"/>
        <w:numPr>
          <w:ilvl w:val="0"/>
          <w:numId w:val="1"/>
        </w:numPr>
        <w:contextualSpacing w:val="0"/>
        <w:rPr>
          <w:rFonts w:cs="Arial"/>
          <w:szCs w:val="20"/>
          <w:lang w:val="pt-BR"/>
        </w:rPr>
      </w:pPr>
      <w:r w:rsidRPr="00D5464D">
        <w:rPr>
          <w:rFonts w:cs="Arial"/>
          <w:szCs w:val="20"/>
          <w:lang w:val="pt-BR"/>
        </w:rPr>
        <w:t>Quanto</w:t>
      </w:r>
      <w:r w:rsidR="00FF1290" w:rsidRPr="00D5464D">
        <w:rPr>
          <w:rFonts w:cs="Arial"/>
          <w:szCs w:val="20"/>
          <w:lang w:val="pt-BR"/>
        </w:rPr>
        <w:t xml:space="preserve"> </w:t>
      </w:r>
      <w:r w:rsidR="00470ADC" w:rsidRPr="00D5464D">
        <w:rPr>
          <w:rFonts w:cs="Arial"/>
          <w:szCs w:val="20"/>
          <w:lang w:val="pt-BR"/>
        </w:rPr>
        <w:t xml:space="preserve">à </w:t>
      </w:r>
      <w:r w:rsidR="00090E67" w:rsidRPr="00D5464D">
        <w:rPr>
          <w:rFonts w:cs="Arial"/>
          <w:szCs w:val="20"/>
          <w:lang w:val="pt-BR"/>
        </w:rPr>
        <w:t>A</w:t>
      </w:r>
      <w:r w:rsidR="00737270" w:rsidRPr="00D5464D">
        <w:rPr>
          <w:rFonts w:cs="Arial"/>
          <w:szCs w:val="20"/>
          <w:lang w:val="pt-BR"/>
        </w:rPr>
        <w:t>ção</w:t>
      </w:r>
      <w:r w:rsidR="00D81AA1" w:rsidRPr="00D5464D">
        <w:rPr>
          <w:rFonts w:cs="Arial"/>
          <w:szCs w:val="20"/>
          <w:lang w:val="pt-BR"/>
        </w:rPr>
        <w:t xml:space="preserve"> </w:t>
      </w:r>
      <w:r w:rsidR="00090E67" w:rsidRPr="00D5464D">
        <w:rPr>
          <w:rFonts w:cs="Arial"/>
          <w:szCs w:val="20"/>
          <w:lang w:val="pt-BR"/>
        </w:rPr>
        <w:t>C</w:t>
      </w:r>
      <w:r w:rsidR="00D81AA1" w:rsidRPr="00D5464D">
        <w:rPr>
          <w:rFonts w:cs="Arial"/>
          <w:szCs w:val="20"/>
          <w:lang w:val="pt-BR"/>
        </w:rPr>
        <w:t xml:space="preserve">ivil </w:t>
      </w:r>
      <w:r w:rsidR="00090E67" w:rsidRPr="00D5464D">
        <w:rPr>
          <w:rFonts w:cs="Arial"/>
          <w:szCs w:val="20"/>
          <w:lang w:val="pt-BR"/>
        </w:rPr>
        <w:t>P</w:t>
      </w:r>
      <w:r w:rsidR="00D81AA1" w:rsidRPr="00D5464D">
        <w:rPr>
          <w:rFonts w:cs="Arial"/>
          <w:szCs w:val="20"/>
          <w:lang w:val="pt-BR"/>
        </w:rPr>
        <w:t>ública</w:t>
      </w:r>
      <w:r w:rsidR="002C330E" w:rsidRPr="00D5464D">
        <w:rPr>
          <w:rFonts w:cs="Arial"/>
          <w:szCs w:val="20"/>
          <w:lang w:val="pt-BR"/>
        </w:rPr>
        <w:t xml:space="preserve"> </w:t>
      </w:r>
      <w:r w:rsidR="00090E67" w:rsidRPr="00D5464D">
        <w:rPr>
          <w:rFonts w:cs="Arial"/>
          <w:szCs w:val="20"/>
          <w:lang w:val="pt-BR"/>
        </w:rPr>
        <w:t xml:space="preserve">interposta </w:t>
      </w:r>
      <w:r w:rsidR="00470ADC" w:rsidRPr="00D5464D">
        <w:rPr>
          <w:rFonts w:cs="Arial"/>
          <w:szCs w:val="20"/>
          <w:lang w:val="pt-BR"/>
        </w:rPr>
        <w:t xml:space="preserve">em </w:t>
      </w:r>
      <w:r w:rsidR="00D81AA1" w:rsidRPr="00D5464D">
        <w:rPr>
          <w:rFonts w:cs="Arial"/>
          <w:szCs w:val="20"/>
          <w:lang w:val="pt-BR"/>
        </w:rPr>
        <w:t>2000,</w:t>
      </w:r>
      <w:r w:rsidR="002C330E" w:rsidRPr="00D5464D">
        <w:rPr>
          <w:rFonts w:cs="Arial"/>
          <w:szCs w:val="20"/>
          <w:lang w:val="pt-BR"/>
        </w:rPr>
        <w:t xml:space="preserve"> a </w:t>
      </w:r>
      <w:r w:rsidR="00D81AA1" w:rsidRPr="00D5464D">
        <w:rPr>
          <w:rFonts w:cs="Arial"/>
          <w:szCs w:val="20"/>
          <w:lang w:val="pt-BR"/>
        </w:rPr>
        <w:t xml:space="preserve">Corte </w:t>
      </w:r>
      <w:r w:rsidR="00E045D9" w:rsidRPr="00D5464D">
        <w:rPr>
          <w:rFonts w:cs="Arial"/>
          <w:szCs w:val="20"/>
          <w:lang w:val="pt-BR"/>
        </w:rPr>
        <w:t>recorda</w:t>
      </w:r>
      <w:r w:rsidR="00D81AA1" w:rsidRPr="00D5464D">
        <w:rPr>
          <w:rFonts w:cs="Arial"/>
          <w:szCs w:val="20"/>
          <w:lang w:val="pt-BR"/>
        </w:rPr>
        <w:t xml:space="preserve"> que</w:t>
      </w:r>
      <w:r w:rsidR="009E04D5" w:rsidRPr="00D5464D">
        <w:rPr>
          <w:rFonts w:cs="Arial"/>
          <w:szCs w:val="20"/>
          <w:lang w:val="pt-BR"/>
        </w:rPr>
        <w:t>,</w:t>
      </w:r>
      <w:r w:rsidR="00470ADC" w:rsidRPr="00D5464D">
        <w:rPr>
          <w:rFonts w:cs="Arial"/>
          <w:szCs w:val="20"/>
          <w:lang w:val="pt-BR"/>
        </w:rPr>
        <w:t xml:space="preserve"> em </w:t>
      </w:r>
      <w:r w:rsidR="002C330E" w:rsidRPr="00D5464D">
        <w:rPr>
          <w:rFonts w:cs="Arial"/>
          <w:szCs w:val="20"/>
          <w:lang w:val="pt-BR"/>
        </w:rPr>
        <w:t>março</w:t>
      </w:r>
      <w:r w:rsidR="00D81AA1" w:rsidRPr="00D5464D">
        <w:rPr>
          <w:rFonts w:cs="Arial"/>
          <w:szCs w:val="20"/>
          <w:lang w:val="pt-BR"/>
        </w:rPr>
        <w:t xml:space="preserve"> de 2000</w:t>
      </w:r>
      <w:r w:rsidR="009E04D5" w:rsidRPr="00D5464D">
        <w:rPr>
          <w:rFonts w:cs="Arial"/>
          <w:szCs w:val="20"/>
          <w:lang w:val="pt-BR"/>
        </w:rPr>
        <w:t>,</w:t>
      </w:r>
      <w:r w:rsidR="00D81AA1" w:rsidRPr="00D5464D">
        <w:rPr>
          <w:rFonts w:cs="Arial"/>
          <w:szCs w:val="20"/>
          <w:lang w:val="pt-BR"/>
        </w:rPr>
        <w:t xml:space="preserve"> </w:t>
      </w:r>
      <w:r w:rsidR="00E42F61" w:rsidRPr="00D5464D">
        <w:rPr>
          <w:rFonts w:cs="Arial"/>
          <w:szCs w:val="20"/>
          <w:lang w:val="pt-BR"/>
        </w:rPr>
        <w:t xml:space="preserve">Antônio </w:t>
      </w:r>
      <w:r w:rsidR="00D81AA1" w:rsidRPr="00D5464D">
        <w:rPr>
          <w:rFonts w:cs="Arial"/>
          <w:szCs w:val="20"/>
          <w:lang w:val="pt-BR"/>
        </w:rPr>
        <w:t>Francisco da Silva</w:t>
      </w:r>
      <w:r w:rsidR="00E045D9" w:rsidRPr="00D5464D">
        <w:rPr>
          <w:rFonts w:cs="Arial"/>
          <w:szCs w:val="20"/>
          <w:lang w:val="pt-BR"/>
        </w:rPr>
        <w:t xml:space="preserve"> e </w:t>
      </w:r>
      <w:r w:rsidR="00D47B1B" w:rsidRPr="00D5464D">
        <w:rPr>
          <w:rFonts w:cs="Times New Roman"/>
          <w:szCs w:val="20"/>
          <w:lang w:val="pt-BR"/>
        </w:rPr>
        <w:t>José Francisco Furtado de Sousa</w:t>
      </w:r>
      <w:r w:rsidR="00D47B1B" w:rsidRPr="00D5464D">
        <w:rPr>
          <w:rFonts w:cs="Arial"/>
          <w:szCs w:val="20"/>
          <w:lang w:val="pt-BR"/>
        </w:rPr>
        <w:t xml:space="preserve"> </w:t>
      </w:r>
      <w:r w:rsidR="00090E67" w:rsidRPr="00D5464D">
        <w:rPr>
          <w:rFonts w:cs="Arial"/>
          <w:szCs w:val="20"/>
          <w:lang w:val="pt-BR"/>
        </w:rPr>
        <w:t xml:space="preserve">fugiram </w:t>
      </w:r>
      <w:r w:rsidR="00470ADC" w:rsidRPr="00D5464D">
        <w:rPr>
          <w:rFonts w:cs="Arial"/>
          <w:szCs w:val="20"/>
          <w:lang w:val="pt-BR"/>
        </w:rPr>
        <w:t xml:space="preserve">da </w:t>
      </w:r>
      <w:r w:rsidR="00D809F0" w:rsidRPr="00D5464D">
        <w:rPr>
          <w:rFonts w:cs="Arial"/>
          <w:iCs/>
          <w:szCs w:val="20"/>
          <w:lang w:val="pt-BR"/>
        </w:rPr>
        <w:t>Fazenda</w:t>
      </w:r>
      <w:r w:rsidR="00D81AA1" w:rsidRPr="00D5464D">
        <w:rPr>
          <w:rFonts w:cs="Arial"/>
          <w:iCs/>
          <w:szCs w:val="20"/>
          <w:lang w:val="pt-BR"/>
        </w:rPr>
        <w:t xml:space="preserve"> Brasil Verde</w:t>
      </w:r>
      <w:r w:rsidR="00E045D9" w:rsidRPr="00D5464D">
        <w:rPr>
          <w:rFonts w:cs="Arial"/>
          <w:i/>
          <w:iCs/>
          <w:szCs w:val="20"/>
          <w:lang w:val="pt-BR"/>
        </w:rPr>
        <w:t xml:space="preserve"> e </w:t>
      </w:r>
      <w:r w:rsidR="00D81AA1" w:rsidRPr="00D5464D">
        <w:rPr>
          <w:rFonts w:cs="Arial"/>
          <w:szCs w:val="20"/>
          <w:lang w:val="pt-BR"/>
        </w:rPr>
        <w:t>acu</w:t>
      </w:r>
      <w:r w:rsidR="00090E67" w:rsidRPr="00D5464D">
        <w:rPr>
          <w:rFonts w:cs="Arial"/>
          <w:szCs w:val="20"/>
          <w:lang w:val="pt-BR"/>
        </w:rPr>
        <w:t>di</w:t>
      </w:r>
      <w:r w:rsidR="00A1358C" w:rsidRPr="00D5464D">
        <w:rPr>
          <w:rFonts w:cs="Arial"/>
          <w:szCs w:val="20"/>
          <w:lang w:val="pt-BR"/>
        </w:rPr>
        <w:t>ram</w:t>
      </w:r>
      <w:r w:rsidR="00470ADC" w:rsidRPr="00D5464D">
        <w:rPr>
          <w:rFonts w:cs="Arial"/>
          <w:szCs w:val="20"/>
          <w:lang w:val="pt-BR"/>
        </w:rPr>
        <w:t xml:space="preserve"> à </w:t>
      </w:r>
      <w:r w:rsidR="00C91CB1" w:rsidRPr="00D5464D">
        <w:rPr>
          <w:rFonts w:cs="Arial"/>
          <w:szCs w:val="20"/>
          <w:lang w:val="pt-BR"/>
        </w:rPr>
        <w:t xml:space="preserve">Polícia </w:t>
      </w:r>
      <w:r w:rsidR="00D81AA1" w:rsidRPr="00D5464D">
        <w:rPr>
          <w:rFonts w:cs="Arial"/>
          <w:szCs w:val="20"/>
          <w:lang w:val="pt-BR"/>
        </w:rPr>
        <w:t>Federal</w:t>
      </w:r>
      <w:r w:rsidR="00470ADC" w:rsidRPr="00D5464D">
        <w:rPr>
          <w:rFonts w:cs="Arial"/>
          <w:szCs w:val="20"/>
          <w:lang w:val="pt-BR"/>
        </w:rPr>
        <w:t xml:space="preserve"> em </w:t>
      </w:r>
      <w:r w:rsidR="00D81AA1" w:rsidRPr="00D5464D">
        <w:rPr>
          <w:rFonts w:cs="Arial"/>
          <w:szCs w:val="20"/>
          <w:lang w:val="pt-BR"/>
        </w:rPr>
        <w:t>Marabá (</w:t>
      </w:r>
      <w:r w:rsidR="002C330E" w:rsidRPr="00D5464D">
        <w:rPr>
          <w:rFonts w:cs="Arial"/>
          <w:szCs w:val="20"/>
          <w:lang w:val="pt-BR"/>
        </w:rPr>
        <w:t>pars.</w:t>
      </w:r>
      <w:r w:rsidR="00D81AA1" w:rsidRPr="00D5464D">
        <w:rPr>
          <w:rFonts w:cs="Arial"/>
          <w:szCs w:val="20"/>
          <w:lang w:val="pt-BR"/>
        </w:rPr>
        <w:t xml:space="preserve"> </w:t>
      </w:r>
      <w:r w:rsidR="000D2F3A" w:rsidRPr="00D5464D">
        <w:rPr>
          <w:rFonts w:cs="Arial"/>
          <w:szCs w:val="20"/>
          <w:lang w:val="pt-BR"/>
        </w:rPr>
        <w:t>174</w:t>
      </w:r>
      <w:r w:rsidR="00E045D9" w:rsidRPr="00D5464D">
        <w:rPr>
          <w:rFonts w:cs="Arial"/>
          <w:szCs w:val="20"/>
          <w:lang w:val="pt-BR"/>
        </w:rPr>
        <w:t xml:space="preserve"> e </w:t>
      </w:r>
      <w:r w:rsidR="000D2F3A" w:rsidRPr="00D5464D">
        <w:rPr>
          <w:rFonts w:cs="Arial"/>
          <w:szCs w:val="20"/>
          <w:lang w:val="pt-BR"/>
        </w:rPr>
        <w:t>175</w:t>
      </w:r>
      <w:r w:rsidR="00090E67" w:rsidRPr="00D5464D">
        <w:rPr>
          <w:rFonts w:cs="Arial"/>
          <w:i/>
          <w:szCs w:val="20"/>
          <w:lang w:val="pt-BR"/>
        </w:rPr>
        <w:t xml:space="preserve"> supra</w:t>
      </w:r>
      <w:r w:rsidR="00D81AA1" w:rsidRPr="00D5464D">
        <w:rPr>
          <w:rFonts w:cs="Arial"/>
          <w:szCs w:val="20"/>
          <w:lang w:val="pt-BR"/>
        </w:rPr>
        <w:t>)</w:t>
      </w:r>
      <w:r w:rsidR="00A1358C" w:rsidRPr="00D5464D">
        <w:rPr>
          <w:rFonts w:cs="Arial"/>
          <w:szCs w:val="20"/>
          <w:lang w:val="pt-BR"/>
        </w:rPr>
        <w:t xml:space="preserve">. </w:t>
      </w:r>
      <w:r w:rsidR="00C91CB1" w:rsidRPr="00D5464D">
        <w:rPr>
          <w:rFonts w:cs="Arial"/>
          <w:szCs w:val="20"/>
          <w:lang w:val="pt-BR"/>
        </w:rPr>
        <w:t>Em 1</w:t>
      </w:r>
      <w:r w:rsidR="00D81AA1" w:rsidRPr="00D5464D">
        <w:rPr>
          <w:rFonts w:cs="Arial"/>
          <w:szCs w:val="20"/>
          <w:lang w:val="pt-BR"/>
        </w:rPr>
        <w:t xml:space="preserve">5 de </w:t>
      </w:r>
      <w:r w:rsidR="002C330E" w:rsidRPr="00D5464D">
        <w:rPr>
          <w:rFonts w:cs="Arial"/>
          <w:szCs w:val="20"/>
          <w:lang w:val="pt-BR"/>
        </w:rPr>
        <w:t>março</w:t>
      </w:r>
      <w:r w:rsidR="00D81AA1" w:rsidRPr="00D5464D">
        <w:rPr>
          <w:rFonts w:cs="Arial"/>
          <w:szCs w:val="20"/>
          <w:lang w:val="pt-BR"/>
        </w:rPr>
        <w:t xml:space="preserve"> de 2000</w:t>
      </w:r>
      <w:r w:rsidR="00090E67" w:rsidRPr="00D5464D">
        <w:rPr>
          <w:rFonts w:cs="Arial"/>
          <w:szCs w:val="20"/>
          <w:lang w:val="pt-BR"/>
        </w:rPr>
        <w:t>,</w:t>
      </w:r>
      <w:r w:rsidR="002C330E" w:rsidRPr="00D5464D">
        <w:rPr>
          <w:rFonts w:cs="Arial"/>
          <w:szCs w:val="20"/>
          <w:lang w:val="pt-BR"/>
        </w:rPr>
        <w:t xml:space="preserve"> a </w:t>
      </w:r>
      <w:r w:rsidR="00D81AA1" w:rsidRPr="00D5464D">
        <w:rPr>
          <w:rFonts w:cs="Arial"/>
          <w:szCs w:val="20"/>
          <w:lang w:val="pt-BR"/>
        </w:rPr>
        <w:t>Delega</w:t>
      </w:r>
      <w:r w:rsidR="00090E67" w:rsidRPr="00D5464D">
        <w:rPr>
          <w:rFonts w:cs="Arial"/>
          <w:szCs w:val="20"/>
          <w:lang w:val="pt-BR"/>
        </w:rPr>
        <w:t>cia</w:t>
      </w:r>
      <w:r w:rsidR="00D81AA1" w:rsidRPr="00D5464D">
        <w:rPr>
          <w:rFonts w:cs="Arial"/>
          <w:szCs w:val="20"/>
          <w:lang w:val="pt-BR"/>
        </w:rPr>
        <w:t xml:space="preserve"> Regional </w:t>
      </w:r>
      <w:r w:rsidR="00470ADC" w:rsidRPr="00D5464D">
        <w:rPr>
          <w:rFonts w:cs="Arial"/>
          <w:szCs w:val="20"/>
          <w:lang w:val="pt-BR"/>
        </w:rPr>
        <w:t xml:space="preserve">do </w:t>
      </w:r>
      <w:r w:rsidR="00E045D9" w:rsidRPr="00D5464D">
        <w:rPr>
          <w:rFonts w:cs="Arial"/>
          <w:szCs w:val="20"/>
          <w:lang w:val="pt-BR"/>
        </w:rPr>
        <w:t>Trabalho</w:t>
      </w:r>
      <w:r w:rsidR="00D81AA1" w:rsidRPr="00D5464D">
        <w:rPr>
          <w:rFonts w:cs="Arial"/>
          <w:szCs w:val="20"/>
          <w:lang w:val="pt-BR"/>
        </w:rPr>
        <w:t xml:space="preserve"> d</w:t>
      </w:r>
      <w:r w:rsidR="00090E67" w:rsidRPr="00D5464D">
        <w:rPr>
          <w:rFonts w:cs="Arial"/>
          <w:szCs w:val="20"/>
          <w:lang w:val="pt-BR"/>
        </w:rPr>
        <w:t>o</w:t>
      </w:r>
      <w:r w:rsidR="00D81AA1" w:rsidRPr="00D5464D">
        <w:rPr>
          <w:rFonts w:cs="Arial"/>
          <w:szCs w:val="20"/>
          <w:lang w:val="pt-BR"/>
        </w:rPr>
        <w:t xml:space="preserve"> Pará</w:t>
      </w:r>
      <w:r w:rsidR="002C330E" w:rsidRPr="00D5464D">
        <w:rPr>
          <w:rFonts w:cs="Arial"/>
          <w:szCs w:val="20"/>
          <w:lang w:val="pt-BR"/>
        </w:rPr>
        <w:t xml:space="preserve"> </w:t>
      </w:r>
      <w:r w:rsidR="00090E67" w:rsidRPr="00D5464D">
        <w:rPr>
          <w:rFonts w:cs="Arial"/>
          <w:szCs w:val="20"/>
          <w:lang w:val="pt-BR"/>
        </w:rPr>
        <w:t xml:space="preserve">realizou </w:t>
      </w:r>
      <w:r w:rsidR="00E045D9" w:rsidRPr="00D5464D">
        <w:rPr>
          <w:rFonts w:cs="Arial"/>
          <w:szCs w:val="20"/>
          <w:lang w:val="pt-BR"/>
        </w:rPr>
        <w:t xml:space="preserve">uma </w:t>
      </w:r>
      <w:r w:rsidR="002C330E" w:rsidRPr="00D5464D">
        <w:rPr>
          <w:rFonts w:cs="Arial"/>
          <w:szCs w:val="20"/>
          <w:lang w:val="pt-BR"/>
        </w:rPr>
        <w:t>nova</w:t>
      </w:r>
      <w:r w:rsidR="00D81AA1" w:rsidRPr="00D5464D">
        <w:rPr>
          <w:rFonts w:cs="Arial"/>
          <w:szCs w:val="20"/>
          <w:lang w:val="pt-BR"/>
        </w:rPr>
        <w:t xml:space="preserve"> fiscaliza</w:t>
      </w:r>
      <w:r w:rsidR="00470ADC" w:rsidRPr="00D5464D">
        <w:rPr>
          <w:rFonts w:cs="Arial"/>
          <w:szCs w:val="20"/>
          <w:lang w:val="pt-BR"/>
        </w:rPr>
        <w:t>ção</w:t>
      </w:r>
      <w:r w:rsidR="00E045D9" w:rsidRPr="00D5464D">
        <w:rPr>
          <w:rFonts w:cs="Arial"/>
          <w:szCs w:val="20"/>
          <w:lang w:val="pt-BR"/>
        </w:rPr>
        <w:t xml:space="preserve"> na </w:t>
      </w:r>
      <w:r w:rsidR="00D809F0" w:rsidRPr="00D5464D">
        <w:rPr>
          <w:rFonts w:cs="Arial"/>
          <w:szCs w:val="20"/>
          <w:lang w:val="pt-BR"/>
        </w:rPr>
        <w:t>Fazenda</w:t>
      </w:r>
      <w:r w:rsidR="00D81AA1" w:rsidRPr="00D5464D">
        <w:rPr>
          <w:rFonts w:cs="Arial"/>
          <w:szCs w:val="20"/>
          <w:lang w:val="pt-BR"/>
        </w:rPr>
        <w:t xml:space="preserve"> Brasil Verde</w:t>
      </w:r>
      <w:r w:rsidR="00470ADC" w:rsidRPr="00D5464D">
        <w:rPr>
          <w:rFonts w:cs="Arial"/>
          <w:szCs w:val="20"/>
          <w:lang w:val="pt-BR"/>
        </w:rPr>
        <w:t xml:space="preserve"> com</w:t>
      </w:r>
      <w:r w:rsidR="002C330E" w:rsidRPr="00D5464D">
        <w:rPr>
          <w:rFonts w:cs="Arial"/>
          <w:szCs w:val="20"/>
          <w:lang w:val="pt-BR"/>
        </w:rPr>
        <w:t xml:space="preserve"> a presença </w:t>
      </w:r>
      <w:r w:rsidR="00470ADC" w:rsidRPr="00D5464D">
        <w:rPr>
          <w:rFonts w:cs="Arial"/>
          <w:szCs w:val="20"/>
          <w:lang w:val="pt-BR"/>
        </w:rPr>
        <w:t xml:space="preserve">da </w:t>
      </w:r>
      <w:r w:rsidR="00C91CB1" w:rsidRPr="00D5464D">
        <w:rPr>
          <w:rFonts w:cs="Arial"/>
          <w:szCs w:val="20"/>
          <w:lang w:val="pt-BR"/>
        </w:rPr>
        <w:t xml:space="preserve">Polícia </w:t>
      </w:r>
      <w:r w:rsidR="00D81AA1" w:rsidRPr="00D5464D">
        <w:rPr>
          <w:rFonts w:cs="Arial"/>
          <w:szCs w:val="20"/>
          <w:lang w:val="pt-BR"/>
        </w:rPr>
        <w:t>Federal (</w:t>
      </w:r>
      <w:r w:rsidR="00C85EA9" w:rsidRPr="00D5464D">
        <w:rPr>
          <w:rFonts w:cs="Arial"/>
          <w:szCs w:val="20"/>
          <w:lang w:val="pt-BR"/>
        </w:rPr>
        <w:t xml:space="preserve">par. </w:t>
      </w:r>
      <w:r w:rsidR="00D036E7" w:rsidRPr="00D5464D">
        <w:rPr>
          <w:rFonts w:cs="Arial"/>
          <w:szCs w:val="20"/>
          <w:lang w:val="pt-BR"/>
        </w:rPr>
        <w:t xml:space="preserve">177 </w:t>
      </w:r>
      <w:r w:rsidR="00D036E7" w:rsidRPr="00D5464D">
        <w:rPr>
          <w:rFonts w:cs="Arial"/>
          <w:i/>
          <w:szCs w:val="20"/>
          <w:lang w:val="pt-BR"/>
        </w:rPr>
        <w:t>supra</w:t>
      </w:r>
      <w:r w:rsidR="00D036E7" w:rsidRPr="00D5464D">
        <w:rPr>
          <w:rFonts w:cs="Arial"/>
          <w:szCs w:val="20"/>
          <w:lang w:val="pt-BR"/>
        </w:rPr>
        <w:t>)</w:t>
      </w:r>
      <w:r w:rsidR="00C91CB1" w:rsidRPr="00D5464D">
        <w:rPr>
          <w:rFonts w:cs="Arial"/>
          <w:szCs w:val="20"/>
          <w:lang w:val="pt-BR"/>
        </w:rPr>
        <w:t>. Em 3</w:t>
      </w:r>
      <w:r w:rsidR="00D81AA1" w:rsidRPr="00D5464D">
        <w:rPr>
          <w:rFonts w:cs="Arial"/>
          <w:szCs w:val="20"/>
          <w:lang w:val="pt-BR"/>
        </w:rPr>
        <w:t>0 de</w:t>
      </w:r>
      <w:r w:rsidR="002C330E" w:rsidRPr="00D5464D">
        <w:rPr>
          <w:rFonts w:cs="Arial"/>
          <w:szCs w:val="20"/>
          <w:lang w:val="pt-BR"/>
        </w:rPr>
        <w:t xml:space="preserve"> maio </w:t>
      </w:r>
      <w:r w:rsidR="00D81AA1" w:rsidRPr="00D5464D">
        <w:rPr>
          <w:rFonts w:cs="Arial"/>
          <w:szCs w:val="20"/>
          <w:lang w:val="pt-BR"/>
        </w:rPr>
        <w:t>de 2000,</w:t>
      </w:r>
      <w:r w:rsidR="00470ADC" w:rsidRPr="00D5464D">
        <w:rPr>
          <w:rFonts w:cs="Arial"/>
          <w:szCs w:val="20"/>
          <w:lang w:val="pt-BR"/>
        </w:rPr>
        <w:t xml:space="preserve"> com </w:t>
      </w:r>
      <w:r w:rsidR="00D81AA1" w:rsidRPr="00D5464D">
        <w:rPr>
          <w:rFonts w:cs="Arial"/>
          <w:szCs w:val="20"/>
          <w:lang w:val="pt-BR"/>
        </w:rPr>
        <w:t>base</w:t>
      </w:r>
      <w:r w:rsidR="00E045D9" w:rsidRPr="00D5464D">
        <w:rPr>
          <w:rFonts w:cs="Arial"/>
          <w:szCs w:val="20"/>
          <w:lang w:val="pt-BR"/>
        </w:rPr>
        <w:t xml:space="preserve"> no </w:t>
      </w:r>
      <w:r w:rsidR="00350187" w:rsidRPr="00D5464D">
        <w:rPr>
          <w:rFonts w:cs="Arial"/>
          <w:szCs w:val="20"/>
          <w:lang w:val="pt-BR"/>
        </w:rPr>
        <w:t>relatório</w:t>
      </w:r>
      <w:r w:rsidR="002C330E" w:rsidRPr="00D5464D">
        <w:rPr>
          <w:rFonts w:cs="Arial"/>
          <w:szCs w:val="20"/>
          <w:lang w:val="pt-BR"/>
        </w:rPr>
        <w:t xml:space="preserve"> </w:t>
      </w:r>
      <w:r w:rsidR="00470ADC" w:rsidRPr="00D5464D">
        <w:rPr>
          <w:rFonts w:cs="Arial"/>
          <w:szCs w:val="20"/>
          <w:lang w:val="pt-BR"/>
        </w:rPr>
        <w:t xml:space="preserve">da </w:t>
      </w:r>
      <w:r w:rsidR="00D81AA1" w:rsidRPr="00D5464D">
        <w:rPr>
          <w:rFonts w:cs="Arial"/>
          <w:szCs w:val="20"/>
          <w:lang w:val="pt-BR"/>
        </w:rPr>
        <w:t>fiscaliza</w:t>
      </w:r>
      <w:r w:rsidR="00470ADC" w:rsidRPr="00D5464D">
        <w:rPr>
          <w:rFonts w:cs="Arial"/>
          <w:szCs w:val="20"/>
          <w:lang w:val="pt-BR"/>
        </w:rPr>
        <w:t>ção</w:t>
      </w:r>
      <w:r w:rsidR="00D81AA1" w:rsidRPr="00D5464D">
        <w:rPr>
          <w:rFonts w:cs="Arial"/>
          <w:szCs w:val="20"/>
          <w:lang w:val="pt-BR"/>
        </w:rPr>
        <w:t xml:space="preserve"> de 15 de </w:t>
      </w:r>
      <w:r w:rsidR="002C330E" w:rsidRPr="00D5464D">
        <w:rPr>
          <w:rFonts w:cs="Arial"/>
          <w:szCs w:val="20"/>
          <w:lang w:val="pt-BR"/>
        </w:rPr>
        <w:t>março</w:t>
      </w:r>
      <w:r w:rsidR="00D81AA1" w:rsidRPr="00D5464D">
        <w:rPr>
          <w:rFonts w:cs="Arial"/>
          <w:szCs w:val="20"/>
          <w:lang w:val="pt-BR"/>
        </w:rPr>
        <w:t xml:space="preserve"> de 2000,</w:t>
      </w:r>
      <w:r w:rsidR="00470ADC" w:rsidRPr="00D5464D">
        <w:rPr>
          <w:rFonts w:cs="Arial"/>
          <w:szCs w:val="20"/>
          <w:lang w:val="pt-BR"/>
        </w:rPr>
        <w:t xml:space="preserve"> o </w:t>
      </w:r>
      <w:r w:rsidR="002C330E" w:rsidRPr="00D5464D">
        <w:rPr>
          <w:rFonts w:cs="Arial"/>
          <w:szCs w:val="20"/>
          <w:lang w:val="pt-BR"/>
        </w:rPr>
        <w:t>Ministério</w:t>
      </w:r>
      <w:r w:rsidR="00D81AA1" w:rsidRPr="00D5464D">
        <w:rPr>
          <w:rFonts w:cs="Arial"/>
          <w:szCs w:val="20"/>
          <w:lang w:val="pt-BR"/>
        </w:rPr>
        <w:t xml:space="preserve"> Público </w:t>
      </w:r>
      <w:r w:rsidR="00470ADC" w:rsidRPr="00D5464D">
        <w:rPr>
          <w:rFonts w:cs="Arial"/>
          <w:szCs w:val="20"/>
          <w:lang w:val="pt-BR"/>
        </w:rPr>
        <w:t xml:space="preserve">do </w:t>
      </w:r>
      <w:r w:rsidR="00E045D9" w:rsidRPr="00D5464D">
        <w:rPr>
          <w:rFonts w:cs="Arial"/>
          <w:szCs w:val="20"/>
          <w:lang w:val="pt-BR"/>
        </w:rPr>
        <w:t>Trabalho</w:t>
      </w:r>
      <w:r w:rsidR="00D81AA1" w:rsidRPr="00D5464D">
        <w:rPr>
          <w:rFonts w:cs="Arial"/>
          <w:szCs w:val="20"/>
          <w:lang w:val="pt-BR"/>
        </w:rPr>
        <w:t xml:space="preserve"> </w:t>
      </w:r>
      <w:r w:rsidR="00090E67" w:rsidRPr="00D5464D">
        <w:rPr>
          <w:rFonts w:cs="Arial"/>
          <w:szCs w:val="20"/>
          <w:lang w:val="pt-BR"/>
        </w:rPr>
        <w:t xml:space="preserve">interpôs </w:t>
      </w:r>
      <w:r w:rsidR="00E045D9" w:rsidRPr="00D5464D">
        <w:rPr>
          <w:rFonts w:cs="Arial"/>
          <w:szCs w:val="20"/>
          <w:lang w:val="pt-BR"/>
        </w:rPr>
        <w:t xml:space="preserve">uma </w:t>
      </w:r>
      <w:r w:rsidR="00090E67" w:rsidRPr="00D5464D">
        <w:rPr>
          <w:rFonts w:cs="Arial"/>
          <w:szCs w:val="20"/>
          <w:lang w:val="pt-BR"/>
        </w:rPr>
        <w:t>A</w:t>
      </w:r>
      <w:r w:rsidR="00737270" w:rsidRPr="00D5464D">
        <w:rPr>
          <w:rFonts w:cs="Arial"/>
          <w:szCs w:val="20"/>
          <w:lang w:val="pt-BR"/>
        </w:rPr>
        <w:t>ção</w:t>
      </w:r>
      <w:r w:rsidR="00D81AA1" w:rsidRPr="00D5464D">
        <w:rPr>
          <w:rFonts w:cs="Arial"/>
          <w:szCs w:val="20"/>
          <w:lang w:val="pt-BR"/>
        </w:rPr>
        <w:t xml:space="preserve"> </w:t>
      </w:r>
      <w:r w:rsidR="00090E67" w:rsidRPr="00D5464D">
        <w:rPr>
          <w:rFonts w:cs="Arial"/>
          <w:szCs w:val="20"/>
          <w:lang w:val="pt-BR"/>
        </w:rPr>
        <w:t>C</w:t>
      </w:r>
      <w:r w:rsidR="00D81AA1" w:rsidRPr="00D5464D">
        <w:rPr>
          <w:rFonts w:cs="Arial"/>
          <w:szCs w:val="20"/>
          <w:lang w:val="pt-BR"/>
        </w:rPr>
        <w:t xml:space="preserve">ivil </w:t>
      </w:r>
      <w:r w:rsidR="00090E67" w:rsidRPr="00D5464D">
        <w:rPr>
          <w:rFonts w:cs="Arial"/>
          <w:szCs w:val="20"/>
          <w:lang w:val="pt-BR"/>
        </w:rPr>
        <w:t>P</w:t>
      </w:r>
      <w:r w:rsidR="00D81AA1" w:rsidRPr="00D5464D">
        <w:rPr>
          <w:rFonts w:cs="Arial"/>
          <w:szCs w:val="20"/>
          <w:lang w:val="pt-BR"/>
        </w:rPr>
        <w:t>ública</w:t>
      </w:r>
      <w:r w:rsidR="00470ADC" w:rsidRPr="00D5464D">
        <w:rPr>
          <w:rFonts w:cs="Arial"/>
          <w:szCs w:val="20"/>
          <w:lang w:val="pt-BR"/>
        </w:rPr>
        <w:t xml:space="preserve"> perante a </w:t>
      </w:r>
      <w:r w:rsidR="002C330E" w:rsidRPr="00D5464D">
        <w:rPr>
          <w:rFonts w:cs="Arial"/>
          <w:szCs w:val="20"/>
          <w:lang w:val="pt-BR"/>
        </w:rPr>
        <w:t xml:space="preserve">Juíza </w:t>
      </w:r>
      <w:r w:rsidR="00470ADC" w:rsidRPr="00D5464D">
        <w:rPr>
          <w:rFonts w:cs="Arial"/>
          <w:szCs w:val="20"/>
          <w:lang w:val="pt-BR"/>
        </w:rPr>
        <w:t xml:space="preserve">do </w:t>
      </w:r>
      <w:r w:rsidR="00E045D9" w:rsidRPr="00D5464D">
        <w:rPr>
          <w:rFonts w:cs="Arial"/>
          <w:szCs w:val="20"/>
          <w:lang w:val="pt-BR"/>
        </w:rPr>
        <w:t>Trabalho</w:t>
      </w:r>
      <w:r w:rsidR="00D81AA1" w:rsidRPr="00D5464D">
        <w:rPr>
          <w:rFonts w:cs="Arial"/>
          <w:szCs w:val="20"/>
          <w:lang w:val="pt-BR"/>
        </w:rPr>
        <w:t xml:space="preserve"> de Araguaia, contra João Luiz Quagliato</w:t>
      </w:r>
      <w:r w:rsidR="00D81AA1" w:rsidRPr="00D5464D">
        <w:rPr>
          <w:rFonts w:cs="Times New Roman"/>
          <w:szCs w:val="20"/>
          <w:lang w:val="pt-BR"/>
        </w:rPr>
        <w:t xml:space="preserve"> </w:t>
      </w:r>
      <w:r w:rsidR="00D81AA1" w:rsidRPr="00D5464D">
        <w:rPr>
          <w:rFonts w:cs="Arial"/>
          <w:szCs w:val="20"/>
          <w:lang w:val="pt-BR"/>
        </w:rPr>
        <w:t>(</w:t>
      </w:r>
      <w:r w:rsidR="00C85EA9" w:rsidRPr="00D5464D">
        <w:rPr>
          <w:rFonts w:cs="Arial"/>
          <w:szCs w:val="20"/>
          <w:lang w:val="pt-BR"/>
        </w:rPr>
        <w:t xml:space="preserve">par. </w:t>
      </w:r>
      <w:r w:rsidR="00D036E7" w:rsidRPr="00D5464D">
        <w:rPr>
          <w:rFonts w:cs="Arial"/>
          <w:szCs w:val="20"/>
          <w:lang w:val="pt-BR"/>
        </w:rPr>
        <w:t xml:space="preserve">179 </w:t>
      </w:r>
      <w:r w:rsidR="00D036E7" w:rsidRPr="00D5464D">
        <w:rPr>
          <w:rFonts w:cs="Arial"/>
          <w:i/>
          <w:szCs w:val="20"/>
          <w:lang w:val="pt-BR"/>
        </w:rPr>
        <w:t>supra</w:t>
      </w:r>
      <w:r w:rsidR="00D036E7" w:rsidRPr="00D5464D">
        <w:rPr>
          <w:rFonts w:cs="Arial"/>
          <w:szCs w:val="20"/>
          <w:lang w:val="pt-BR"/>
        </w:rPr>
        <w:t>)</w:t>
      </w:r>
      <w:r w:rsidR="00D81AA1" w:rsidRPr="00D5464D">
        <w:rPr>
          <w:rFonts w:cs="Arial"/>
          <w:szCs w:val="20"/>
          <w:lang w:val="pt-BR"/>
        </w:rPr>
        <w:t xml:space="preserve">. </w:t>
      </w:r>
    </w:p>
    <w:p w14:paraId="190D92AD" w14:textId="77777777" w:rsidR="00DE3E58" w:rsidRPr="00D5464D" w:rsidRDefault="00DE3E58" w:rsidP="00DE3E58">
      <w:pPr>
        <w:pStyle w:val="Prrafodelista"/>
        <w:ind w:left="0"/>
        <w:contextualSpacing w:val="0"/>
        <w:rPr>
          <w:rFonts w:cs="Arial"/>
          <w:szCs w:val="20"/>
          <w:lang w:val="pt-BR"/>
        </w:rPr>
      </w:pPr>
    </w:p>
    <w:p w14:paraId="78EEA4BF" w14:textId="643AE4EF" w:rsidR="00D81AA1" w:rsidRPr="00D5464D" w:rsidRDefault="00C91CB1" w:rsidP="00D81AA1">
      <w:pPr>
        <w:pStyle w:val="Prrafodelista"/>
        <w:numPr>
          <w:ilvl w:val="0"/>
          <w:numId w:val="1"/>
        </w:numPr>
        <w:contextualSpacing w:val="0"/>
        <w:rPr>
          <w:rFonts w:cs="Arial"/>
          <w:szCs w:val="20"/>
          <w:lang w:val="pt-BR"/>
        </w:rPr>
      </w:pPr>
      <w:r w:rsidRPr="00D5464D">
        <w:rPr>
          <w:rFonts w:cs="Arial"/>
          <w:szCs w:val="20"/>
          <w:lang w:val="pt-BR"/>
        </w:rPr>
        <w:t>Em 2</w:t>
      </w:r>
      <w:r w:rsidR="00D81AA1" w:rsidRPr="00D5464D">
        <w:rPr>
          <w:rFonts w:cs="Arial"/>
          <w:szCs w:val="20"/>
          <w:lang w:val="pt-BR"/>
        </w:rPr>
        <w:t xml:space="preserve">0 de </w:t>
      </w:r>
      <w:r w:rsidR="002C330E" w:rsidRPr="00D5464D">
        <w:rPr>
          <w:rFonts w:cs="Arial"/>
          <w:szCs w:val="20"/>
          <w:lang w:val="pt-BR"/>
        </w:rPr>
        <w:t>julho</w:t>
      </w:r>
      <w:r w:rsidR="00D81AA1" w:rsidRPr="00D5464D">
        <w:rPr>
          <w:rFonts w:cs="Arial"/>
          <w:szCs w:val="20"/>
          <w:lang w:val="pt-BR"/>
        </w:rPr>
        <w:t xml:space="preserve"> de 2000</w:t>
      </w:r>
      <w:r w:rsidR="00090E67" w:rsidRPr="00D5464D">
        <w:rPr>
          <w:rFonts w:cs="Arial"/>
          <w:szCs w:val="20"/>
          <w:lang w:val="pt-BR"/>
        </w:rPr>
        <w:t xml:space="preserve">, foi realizada </w:t>
      </w:r>
      <w:r w:rsidR="00E045D9" w:rsidRPr="00D5464D">
        <w:rPr>
          <w:rFonts w:cs="Arial"/>
          <w:szCs w:val="20"/>
          <w:lang w:val="pt-BR"/>
        </w:rPr>
        <w:t xml:space="preserve">uma </w:t>
      </w:r>
      <w:r w:rsidR="00470ADC" w:rsidRPr="00D5464D">
        <w:rPr>
          <w:rFonts w:cs="Arial"/>
          <w:szCs w:val="20"/>
          <w:lang w:val="pt-BR"/>
        </w:rPr>
        <w:t>audiência</w:t>
      </w:r>
      <w:r w:rsidR="00D81AA1" w:rsidRPr="00D5464D">
        <w:rPr>
          <w:rFonts w:cs="Arial"/>
          <w:szCs w:val="20"/>
          <w:lang w:val="pt-BR"/>
        </w:rPr>
        <w:t xml:space="preserve"> relativa</w:t>
      </w:r>
      <w:r w:rsidR="00470ADC" w:rsidRPr="00D5464D">
        <w:rPr>
          <w:rFonts w:cs="Arial"/>
          <w:szCs w:val="20"/>
          <w:lang w:val="pt-BR"/>
        </w:rPr>
        <w:t xml:space="preserve"> à </w:t>
      </w:r>
      <w:r w:rsidR="00D81AA1" w:rsidRPr="00D5464D">
        <w:rPr>
          <w:rFonts w:cs="Arial"/>
          <w:szCs w:val="20"/>
          <w:lang w:val="pt-BR"/>
        </w:rPr>
        <w:t>acusa</w:t>
      </w:r>
      <w:r w:rsidR="00470ADC" w:rsidRPr="00D5464D">
        <w:rPr>
          <w:rFonts w:cs="Arial"/>
          <w:szCs w:val="20"/>
          <w:lang w:val="pt-BR"/>
        </w:rPr>
        <w:t>ção</w:t>
      </w:r>
      <w:r w:rsidR="002C330E" w:rsidRPr="00D5464D">
        <w:rPr>
          <w:rFonts w:cs="Arial"/>
          <w:szCs w:val="20"/>
          <w:lang w:val="pt-BR"/>
        </w:rPr>
        <w:t xml:space="preserve"> apresentada pelo Ministério</w:t>
      </w:r>
      <w:r w:rsidR="00D81AA1" w:rsidRPr="00D5464D">
        <w:rPr>
          <w:rFonts w:cs="Arial"/>
          <w:szCs w:val="20"/>
          <w:lang w:val="pt-BR"/>
        </w:rPr>
        <w:t xml:space="preserve"> Público</w:t>
      </w:r>
      <w:r w:rsidR="00470ADC" w:rsidRPr="00D5464D">
        <w:rPr>
          <w:rFonts w:cs="Arial"/>
          <w:szCs w:val="20"/>
          <w:lang w:val="pt-BR"/>
        </w:rPr>
        <w:t xml:space="preserve"> perante a </w:t>
      </w:r>
      <w:r w:rsidR="00D81AA1" w:rsidRPr="00D5464D">
        <w:rPr>
          <w:rFonts w:cs="Arial"/>
          <w:szCs w:val="20"/>
          <w:lang w:val="pt-BR"/>
        </w:rPr>
        <w:t>Junta de Concilia</w:t>
      </w:r>
      <w:r w:rsidR="00470ADC" w:rsidRPr="00D5464D">
        <w:rPr>
          <w:rFonts w:cs="Arial"/>
          <w:szCs w:val="20"/>
          <w:lang w:val="pt-BR"/>
        </w:rPr>
        <w:t>ção</w:t>
      </w:r>
      <w:r w:rsidR="00E045D9" w:rsidRPr="00D5464D">
        <w:rPr>
          <w:rFonts w:cs="Arial"/>
          <w:szCs w:val="20"/>
          <w:lang w:val="pt-BR"/>
        </w:rPr>
        <w:t xml:space="preserve"> e </w:t>
      </w:r>
      <w:r w:rsidR="002C330E" w:rsidRPr="00D5464D">
        <w:rPr>
          <w:rFonts w:cs="Arial"/>
          <w:szCs w:val="20"/>
          <w:lang w:val="pt-BR"/>
        </w:rPr>
        <w:t>Julgamento</w:t>
      </w:r>
      <w:r w:rsidR="00D81AA1" w:rsidRPr="00D5464D">
        <w:rPr>
          <w:rFonts w:cs="Arial"/>
          <w:szCs w:val="20"/>
          <w:lang w:val="pt-BR"/>
        </w:rPr>
        <w:t xml:space="preserve"> de Araguaia</w:t>
      </w:r>
      <w:r w:rsidRPr="00D5464D">
        <w:rPr>
          <w:rFonts w:cs="Arial"/>
          <w:szCs w:val="20"/>
          <w:lang w:val="pt-BR"/>
        </w:rPr>
        <w:t xml:space="preserve">. Em </w:t>
      </w:r>
      <w:r w:rsidR="002C330E" w:rsidRPr="00D5464D">
        <w:rPr>
          <w:rFonts w:cs="Arial"/>
          <w:szCs w:val="20"/>
          <w:lang w:val="pt-BR"/>
        </w:rPr>
        <w:t xml:space="preserve">maio </w:t>
      </w:r>
      <w:r w:rsidR="00D81AA1" w:rsidRPr="00D5464D">
        <w:rPr>
          <w:rFonts w:cs="Arial"/>
          <w:szCs w:val="20"/>
          <w:lang w:val="pt-BR"/>
        </w:rPr>
        <w:t>de 2002</w:t>
      </w:r>
      <w:r w:rsidR="00090E67" w:rsidRPr="00D5464D">
        <w:rPr>
          <w:rFonts w:cs="Arial"/>
          <w:szCs w:val="20"/>
          <w:lang w:val="pt-BR"/>
        </w:rPr>
        <w:t>,</w:t>
      </w:r>
      <w:r w:rsidR="00470ADC" w:rsidRPr="00D5464D">
        <w:rPr>
          <w:rFonts w:cs="Arial"/>
          <w:szCs w:val="20"/>
          <w:lang w:val="pt-BR"/>
        </w:rPr>
        <w:t xml:space="preserve"> o </w:t>
      </w:r>
      <w:r w:rsidR="002C330E" w:rsidRPr="00D5464D">
        <w:rPr>
          <w:rFonts w:cs="Arial"/>
          <w:szCs w:val="20"/>
          <w:lang w:val="pt-BR"/>
        </w:rPr>
        <w:t>Ministério</w:t>
      </w:r>
      <w:r w:rsidR="00D81AA1" w:rsidRPr="00D5464D">
        <w:rPr>
          <w:rFonts w:cs="Arial"/>
          <w:szCs w:val="20"/>
          <w:lang w:val="pt-BR"/>
        </w:rPr>
        <w:t xml:space="preserve"> </w:t>
      </w:r>
      <w:r w:rsidR="00470ADC" w:rsidRPr="00D5464D">
        <w:rPr>
          <w:rFonts w:cs="Arial"/>
          <w:szCs w:val="20"/>
          <w:lang w:val="pt-BR"/>
        </w:rPr>
        <w:t xml:space="preserve">do </w:t>
      </w:r>
      <w:r w:rsidR="00E045D9" w:rsidRPr="00D5464D">
        <w:rPr>
          <w:rFonts w:cs="Arial"/>
          <w:szCs w:val="20"/>
          <w:lang w:val="pt-BR"/>
        </w:rPr>
        <w:t>Trabalho</w:t>
      </w:r>
      <w:r w:rsidR="00D81AA1" w:rsidRPr="00D5464D">
        <w:rPr>
          <w:rFonts w:cs="Arial"/>
          <w:szCs w:val="20"/>
          <w:lang w:val="pt-BR"/>
        </w:rPr>
        <w:t xml:space="preserve"> </w:t>
      </w:r>
      <w:r w:rsidR="002C330E" w:rsidRPr="00D5464D">
        <w:rPr>
          <w:rFonts w:cs="Arial"/>
          <w:szCs w:val="20"/>
          <w:lang w:val="pt-BR"/>
        </w:rPr>
        <w:t>realizou</w:t>
      </w:r>
      <w:r w:rsidR="00E045D9" w:rsidRPr="00D5464D">
        <w:rPr>
          <w:rFonts w:cs="Arial"/>
          <w:szCs w:val="20"/>
          <w:lang w:val="pt-BR"/>
        </w:rPr>
        <w:t xml:space="preserve"> uma </w:t>
      </w:r>
      <w:r w:rsidR="002C330E" w:rsidRPr="00D5464D">
        <w:rPr>
          <w:rFonts w:cs="Arial"/>
          <w:szCs w:val="20"/>
          <w:lang w:val="pt-BR"/>
        </w:rPr>
        <w:t>nova</w:t>
      </w:r>
      <w:r w:rsidR="00D81AA1" w:rsidRPr="00D5464D">
        <w:rPr>
          <w:rFonts w:cs="Arial"/>
          <w:szCs w:val="20"/>
          <w:lang w:val="pt-BR"/>
        </w:rPr>
        <w:t xml:space="preserve"> fiscaliza</w:t>
      </w:r>
      <w:r w:rsidR="00470ADC" w:rsidRPr="00D5464D">
        <w:rPr>
          <w:rFonts w:cs="Arial"/>
          <w:szCs w:val="20"/>
          <w:lang w:val="pt-BR"/>
        </w:rPr>
        <w:t>ção com</w:t>
      </w:r>
      <w:r w:rsidR="002C330E" w:rsidRPr="00D5464D">
        <w:rPr>
          <w:rFonts w:cs="Arial"/>
          <w:szCs w:val="20"/>
          <w:lang w:val="pt-BR"/>
        </w:rPr>
        <w:t xml:space="preserve"> a </w:t>
      </w:r>
      <w:r w:rsidR="00470ADC" w:rsidRPr="00D5464D">
        <w:rPr>
          <w:rFonts w:cs="Arial"/>
          <w:szCs w:val="20"/>
          <w:lang w:val="pt-BR"/>
        </w:rPr>
        <w:t xml:space="preserve">finalidade </w:t>
      </w:r>
      <w:r w:rsidR="00D81AA1" w:rsidRPr="00D5464D">
        <w:rPr>
          <w:rFonts w:cs="Arial"/>
          <w:szCs w:val="20"/>
          <w:lang w:val="pt-BR"/>
        </w:rPr>
        <w:t>de verificar</w:t>
      </w:r>
      <w:r w:rsidR="00470ADC" w:rsidRPr="00D5464D">
        <w:rPr>
          <w:rFonts w:cs="Arial"/>
          <w:szCs w:val="20"/>
          <w:lang w:val="pt-BR"/>
        </w:rPr>
        <w:t xml:space="preserve"> o cumprimento dos compromissos</w:t>
      </w:r>
      <w:r w:rsidR="00D81AA1" w:rsidRPr="00D5464D">
        <w:rPr>
          <w:rFonts w:cs="Arial"/>
          <w:szCs w:val="20"/>
          <w:lang w:val="pt-BR"/>
        </w:rPr>
        <w:t xml:space="preserve"> acordados entre</w:t>
      </w:r>
      <w:r w:rsidR="00470ADC" w:rsidRPr="00D5464D">
        <w:rPr>
          <w:rFonts w:cs="Arial"/>
          <w:szCs w:val="20"/>
          <w:lang w:val="pt-BR"/>
        </w:rPr>
        <w:t xml:space="preserve"> o </w:t>
      </w:r>
      <w:r w:rsidR="002C330E" w:rsidRPr="00D5464D">
        <w:rPr>
          <w:rFonts w:cs="Arial"/>
          <w:szCs w:val="20"/>
          <w:lang w:val="pt-BR"/>
        </w:rPr>
        <w:t>Ministério</w:t>
      </w:r>
      <w:r w:rsidR="000D2280" w:rsidRPr="00D5464D">
        <w:rPr>
          <w:rFonts w:cs="Arial"/>
          <w:szCs w:val="20"/>
          <w:lang w:val="pt-BR"/>
        </w:rPr>
        <w:t xml:space="preserve"> Público </w:t>
      </w:r>
      <w:r w:rsidR="00470ADC" w:rsidRPr="00D5464D">
        <w:rPr>
          <w:rFonts w:cs="Arial"/>
          <w:szCs w:val="20"/>
          <w:lang w:val="pt-BR"/>
        </w:rPr>
        <w:t xml:space="preserve">do </w:t>
      </w:r>
      <w:r w:rsidR="00E045D9" w:rsidRPr="00D5464D">
        <w:rPr>
          <w:rFonts w:cs="Arial"/>
          <w:szCs w:val="20"/>
          <w:lang w:val="pt-BR"/>
        </w:rPr>
        <w:t>Trabalho</w:t>
      </w:r>
      <w:r w:rsidR="000D2280" w:rsidRPr="00D5464D">
        <w:rPr>
          <w:rFonts w:cs="Arial"/>
          <w:szCs w:val="20"/>
          <w:lang w:val="pt-BR"/>
        </w:rPr>
        <w:t xml:space="preserve"> (</w:t>
      </w:r>
      <w:r w:rsidR="00D81AA1" w:rsidRPr="00D5464D">
        <w:rPr>
          <w:rFonts w:cs="Arial"/>
          <w:szCs w:val="20"/>
          <w:lang w:val="pt-BR"/>
        </w:rPr>
        <w:t>MPT</w:t>
      </w:r>
      <w:r w:rsidR="000D2280" w:rsidRPr="00D5464D">
        <w:rPr>
          <w:rFonts w:cs="Arial"/>
          <w:szCs w:val="20"/>
          <w:lang w:val="pt-BR"/>
        </w:rPr>
        <w:t>)</w:t>
      </w:r>
      <w:r w:rsidR="00E045D9" w:rsidRPr="00D5464D">
        <w:rPr>
          <w:rFonts w:cs="Arial"/>
          <w:szCs w:val="20"/>
          <w:lang w:val="pt-BR"/>
        </w:rPr>
        <w:t xml:space="preserve"> e vários</w:t>
      </w:r>
      <w:r w:rsidR="00D81AA1" w:rsidRPr="00D5464D">
        <w:rPr>
          <w:rFonts w:cs="Arial"/>
          <w:szCs w:val="20"/>
          <w:lang w:val="pt-BR"/>
        </w:rPr>
        <w:t xml:space="preserve"> </w:t>
      </w:r>
      <w:r w:rsidR="00230C71" w:rsidRPr="00D5464D">
        <w:rPr>
          <w:rFonts w:cs="Arial"/>
          <w:szCs w:val="20"/>
          <w:lang w:val="pt-BR"/>
        </w:rPr>
        <w:t>empregad</w:t>
      </w:r>
      <w:r w:rsidR="00D81AA1" w:rsidRPr="00D5464D">
        <w:rPr>
          <w:rFonts w:cs="Arial"/>
          <w:szCs w:val="20"/>
          <w:lang w:val="pt-BR"/>
        </w:rPr>
        <w:t xml:space="preserve">ores </w:t>
      </w:r>
      <w:r w:rsidR="00E045D9" w:rsidRPr="00D5464D">
        <w:rPr>
          <w:rFonts w:cs="Arial"/>
          <w:szCs w:val="20"/>
          <w:lang w:val="pt-BR"/>
        </w:rPr>
        <w:t>rurais</w:t>
      </w:r>
      <w:r w:rsidR="00470ADC" w:rsidRPr="00D5464D">
        <w:rPr>
          <w:rFonts w:cs="Arial"/>
          <w:szCs w:val="20"/>
          <w:lang w:val="pt-BR"/>
        </w:rPr>
        <w:t>, e</w:t>
      </w:r>
      <w:r w:rsidR="00D81AA1" w:rsidRPr="00D5464D">
        <w:rPr>
          <w:rFonts w:cs="Arial"/>
          <w:szCs w:val="20"/>
          <w:lang w:val="pt-BR"/>
        </w:rPr>
        <w:t xml:space="preserve"> </w:t>
      </w:r>
      <w:r w:rsidR="00090E67" w:rsidRPr="00D5464D">
        <w:rPr>
          <w:rFonts w:cs="Arial"/>
          <w:szCs w:val="20"/>
          <w:lang w:val="pt-BR"/>
        </w:rPr>
        <w:t xml:space="preserve">durante </w:t>
      </w:r>
      <w:r w:rsidR="00470ADC" w:rsidRPr="00D5464D">
        <w:rPr>
          <w:rFonts w:cs="Arial"/>
          <w:szCs w:val="20"/>
          <w:lang w:val="pt-BR"/>
        </w:rPr>
        <w:t xml:space="preserve">esta </w:t>
      </w:r>
      <w:r w:rsidR="00D81AA1" w:rsidRPr="00D5464D">
        <w:rPr>
          <w:rFonts w:cs="Arial"/>
          <w:szCs w:val="20"/>
          <w:lang w:val="pt-BR"/>
        </w:rPr>
        <w:t>fiscaliza</w:t>
      </w:r>
      <w:r w:rsidR="00470ADC" w:rsidRPr="00D5464D">
        <w:rPr>
          <w:rFonts w:cs="Arial"/>
          <w:szCs w:val="20"/>
          <w:lang w:val="pt-BR"/>
        </w:rPr>
        <w:t>ção</w:t>
      </w:r>
      <w:r w:rsidR="00D81AA1" w:rsidRPr="00D5464D">
        <w:rPr>
          <w:rFonts w:cs="Arial"/>
          <w:szCs w:val="20"/>
          <w:lang w:val="pt-BR"/>
        </w:rPr>
        <w:t xml:space="preserve"> </w:t>
      </w:r>
      <w:r w:rsidR="00230C71" w:rsidRPr="00D5464D">
        <w:rPr>
          <w:rFonts w:cs="Arial"/>
          <w:szCs w:val="20"/>
          <w:lang w:val="pt-BR"/>
        </w:rPr>
        <w:t>visitou</w:t>
      </w:r>
      <w:r w:rsidR="002C330E" w:rsidRPr="00D5464D">
        <w:rPr>
          <w:rFonts w:cs="Arial"/>
          <w:szCs w:val="20"/>
          <w:lang w:val="pt-BR"/>
        </w:rPr>
        <w:t xml:space="preserve"> a </w:t>
      </w:r>
      <w:r w:rsidR="00D809F0" w:rsidRPr="00D5464D">
        <w:rPr>
          <w:rFonts w:cs="Arial"/>
          <w:iCs/>
          <w:szCs w:val="20"/>
          <w:lang w:val="pt-BR"/>
        </w:rPr>
        <w:t>Fazenda</w:t>
      </w:r>
      <w:r w:rsidR="00D81AA1" w:rsidRPr="00D5464D">
        <w:rPr>
          <w:rFonts w:cs="Arial"/>
          <w:iCs/>
          <w:szCs w:val="20"/>
          <w:lang w:val="pt-BR"/>
        </w:rPr>
        <w:t xml:space="preserve"> Brasil Verde. </w:t>
      </w:r>
      <w:r w:rsidR="00470ADC" w:rsidRPr="00D5464D">
        <w:rPr>
          <w:rFonts w:cs="Arial"/>
          <w:iCs/>
          <w:szCs w:val="20"/>
          <w:lang w:val="pt-BR"/>
        </w:rPr>
        <w:t xml:space="preserve">Depois da </w:t>
      </w:r>
      <w:r w:rsidR="00D81AA1" w:rsidRPr="00D5464D">
        <w:rPr>
          <w:rFonts w:cs="Arial"/>
          <w:iCs/>
          <w:szCs w:val="20"/>
          <w:lang w:val="pt-BR"/>
        </w:rPr>
        <w:t>fiscaliza</w:t>
      </w:r>
      <w:r w:rsidR="00470ADC" w:rsidRPr="00D5464D">
        <w:rPr>
          <w:rFonts w:cs="Arial"/>
          <w:iCs/>
          <w:szCs w:val="20"/>
          <w:lang w:val="pt-BR"/>
        </w:rPr>
        <w:t>ção</w:t>
      </w:r>
      <w:r w:rsidR="00D81AA1" w:rsidRPr="00D5464D">
        <w:rPr>
          <w:rFonts w:cs="Arial"/>
          <w:iCs/>
          <w:szCs w:val="20"/>
          <w:lang w:val="pt-BR"/>
        </w:rPr>
        <w:t>,</w:t>
      </w:r>
      <w:r w:rsidR="00470ADC" w:rsidRPr="00D5464D">
        <w:rPr>
          <w:rFonts w:cs="Arial"/>
          <w:iCs/>
          <w:szCs w:val="20"/>
          <w:lang w:val="pt-BR"/>
        </w:rPr>
        <w:t xml:space="preserve"> o </w:t>
      </w:r>
      <w:r w:rsidR="00D81AA1" w:rsidRPr="00D5464D">
        <w:rPr>
          <w:rFonts w:cs="Arial"/>
          <w:iCs/>
          <w:szCs w:val="20"/>
          <w:lang w:val="pt-BR"/>
        </w:rPr>
        <w:t xml:space="preserve">MPT </w:t>
      </w:r>
      <w:r w:rsidR="00470ADC" w:rsidRPr="00D5464D">
        <w:rPr>
          <w:rFonts w:cs="Arial"/>
          <w:szCs w:val="20"/>
          <w:lang w:val="pt-BR"/>
        </w:rPr>
        <w:t>concluiu</w:t>
      </w:r>
      <w:r w:rsidR="00D81AA1" w:rsidRPr="00D5464D">
        <w:rPr>
          <w:rFonts w:cs="Arial"/>
          <w:szCs w:val="20"/>
          <w:lang w:val="pt-BR"/>
        </w:rPr>
        <w:t xml:space="preserve"> que</w:t>
      </w:r>
      <w:r w:rsidR="002C330E" w:rsidRPr="00D5464D">
        <w:rPr>
          <w:rFonts w:cs="Arial"/>
          <w:szCs w:val="20"/>
          <w:lang w:val="pt-BR"/>
        </w:rPr>
        <w:t xml:space="preserve"> os </w:t>
      </w:r>
      <w:r w:rsidR="00230C71" w:rsidRPr="00D5464D">
        <w:rPr>
          <w:rFonts w:cs="Arial"/>
          <w:szCs w:val="20"/>
          <w:lang w:val="pt-BR"/>
        </w:rPr>
        <w:t>empregad</w:t>
      </w:r>
      <w:r w:rsidR="00D81AA1" w:rsidRPr="00D5464D">
        <w:rPr>
          <w:rFonts w:cs="Arial"/>
          <w:szCs w:val="20"/>
          <w:lang w:val="pt-BR"/>
        </w:rPr>
        <w:t xml:space="preserve">ores </w:t>
      </w:r>
      <w:r w:rsidR="00350187" w:rsidRPr="00D5464D">
        <w:rPr>
          <w:rFonts w:cs="Arial"/>
          <w:szCs w:val="20"/>
          <w:lang w:val="pt-BR"/>
        </w:rPr>
        <w:t>vinham</w:t>
      </w:r>
      <w:r w:rsidR="00D81AA1" w:rsidRPr="00D5464D">
        <w:rPr>
          <w:rFonts w:cs="Arial"/>
          <w:szCs w:val="20"/>
          <w:lang w:val="pt-BR"/>
        </w:rPr>
        <w:t xml:space="preserve"> </w:t>
      </w:r>
      <w:r w:rsidR="00A1358C" w:rsidRPr="00D5464D">
        <w:rPr>
          <w:rFonts w:cs="Arial"/>
          <w:szCs w:val="20"/>
          <w:lang w:val="pt-BR"/>
        </w:rPr>
        <w:t>cumprindo</w:t>
      </w:r>
      <w:r w:rsidR="00470ADC" w:rsidRPr="00D5464D">
        <w:rPr>
          <w:rFonts w:cs="Arial"/>
          <w:szCs w:val="20"/>
          <w:lang w:val="pt-BR"/>
        </w:rPr>
        <w:t xml:space="preserve"> com </w:t>
      </w:r>
      <w:r w:rsidR="00D81AA1" w:rsidRPr="00D5464D">
        <w:rPr>
          <w:rFonts w:cs="Arial"/>
          <w:szCs w:val="20"/>
          <w:lang w:val="pt-BR"/>
        </w:rPr>
        <w:t>s</w:t>
      </w:r>
      <w:r w:rsidR="00090E67" w:rsidRPr="00D5464D">
        <w:rPr>
          <w:rFonts w:cs="Arial"/>
          <w:szCs w:val="20"/>
          <w:lang w:val="pt-BR"/>
        </w:rPr>
        <w:t>e</w:t>
      </w:r>
      <w:r w:rsidR="00D81AA1" w:rsidRPr="00D5464D">
        <w:rPr>
          <w:rFonts w:cs="Arial"/>
          <w:szCs w:val="20"/>
          <w:lang w:val="pt-BR"/>
        </w:rPr>
        <w:t xml:space="preserve">us </w:t>
      </w:r>
      <w:r w:rsidR="00470ADC" w:rsidRPr="00D5464D">
        <w:rPr>
          <w:rFonts w:cs="Arial"/>
          <w:szCs w:val="20"/>
          <w:lang w:val="pt-BR"/>
        </w:rPr>
        <w:t>compromissos e</w:t>
      </w:r>
      <w:r w:rsidR="00D81AA1" w:rsidRPr="00D5464D">
        <w:rPr>
          <w:rFonts w:cs="Arial"/>
          <w:szCs w:val="20"/>
          <w:lang w:val="pt-BR"/>
        </w:rPr>
        <w:t xml:space="preserve"> que</w:t>
      </w:r>
      <w:r w:rsidR="00090E67" w:rsidRPr="00D5464D">
        <w:rPr>
          <w:rFonts w:cs="Arial"/>
          <w:szCs w:val="20"/>
          <w:lang w:val="pt-BR"/>
        </w:rPr>
        <w:t>,</w:t>
      </w:r>
      <w:r w:rsidR="00D81AA1" w:rsidRPr="00D5464D">
        <w:rPr>
          <w:rFonts w:cs="Arial"/>
          <w:szCs w:val="20"/>
          <w:lang w:val="pt-BR"/>
        </w:rPr>
        <w:t xml:space="preserve"> como resultado</w:t>
      </w:r>
      <w:r w:rsidR="00090E67" w:rsidRPr="00D5464D">
        <w:rPr>
          <w:rFonts w:cs="Arial"/>
          <w:szCs w:val="20"/>
          <w:lang w:val="pt-BR"/>
        </w:rPr>
        <w:t>,</w:t>
      </w:r>
      <w:r w:rsidR="002C330E" w:rsidRPr="00D5464D">
        <w:rPr>
          <w:rFonts w:cs="Arial"/>
          <w:szCs w:val="20"/>
          <w:lang w:val="pt-BR"/>
        </w:rPr>
        <w:t xml:space="preserve"> a </w:t>
      </w:r>
      <w:r w:rsidR="00D81AA1" w:rsidRPr="00D5464D">
        <w:rPr>
          <w:rFonts w:cs="Arial"/>
          <w:szCs w:val="20"/>
          <w:lang w:val="pt-BR"/>
        </w:rPr>
        <w:t>administra</w:t>
      </w:r>
      <w:r w:rsidR="00470ADC" w:rsidRPr="00D5464D">
        <w:rPr>
          <w:rFonts w:cs="Arial"/>
          <w:szCs w:val="20"/>
          <w:lang w:val="pt-BR"/>
        </w:rPr>
        <w:t>ção</w:t>
      </w:r>
      <w:r w:rsidR="00D81AA1" w:rsidRPr="00D5464D">
        <w:rPr>
          <w:rFonts w:cs="Arial"/>
          <w:szCs w:val="20"/>
          <w:lang w:val="pt-BR"/>
        </w:rPr>
        <w:t xml:space="preserve"> </w:t>
      </w:r>
      <w:r w:rsidR="00470ADC" w:rsidRPr="00D5464D">
        <w:rPr>
          <w:rFonts w:cs="Arial"/>
          <w:szCs w:val="20"/>
          <w:lang w:val="pt-BR"/>
        </w:rPr>
        <w:t>diret</w:t>
      </w:r>
      <w:r w:rsidR="00D81AA1" w:rsidRPr="00D5464D">
        <w:rPr>
          <w:rFonts w:cs="Arial"/>
          <w:szCs w:val="20"/>
          <w:lang w:val="pt-BR"/>
        </w:rPr>
        <w:t>a</w:t>
      </w:r>
      <w:r w:rsidR="00470ADC" w:rsidRPr="00D5464D">
        <w:rPr>
          <w:rFonts w:cs="Arial"/>
          <w:szCs w:val="20"/>
          <w:lang w:val="pt-BR"/>
        </w:rPr>
        <w:t xml:space="preserve"> dos </w:t>
      </w:r>
      <w:r w:rsidR="00230C71" w:rsidRPr="00D5464D">
        <w:rPr>
          <w:rFonts w:cs="Arial"/>
          <w:szCs w:val="20"/>
          <w:lang w:val="pt-BR"/>
        </w:rPr>
        <w:t>empregad</w:t>
      </w:r>
      <w:r w:rsidR="00D81AA1" w:rsidRPr="00D5464D">
        <w:rPr>
          <w:rFonts w:cs="Arial"/>
          <w:szCs w:val="20"/>
          <w:lang w:val="pt-BR"/>
        </w:rPr>
        <w:t>os</w:t>
      </w:r>
      <w:r w:rsidR="002C330E" w:rsidRPr="00D5464D">
        <w:rPr>
          <w:rFonts w:cs="Arial"/>
          <w:szCs w:val="20"/>
          <w:lang w:val="pt-BR"/>
        </w:rPr>
        <w:t xml:space="preserve"> pelo </w:t>
      </w:r>
      <w:r w:rsidR="00230C71" w:rsidRPr="00D5464D">
        <w:rPr>
          <w:rFonts w:cs="Arial"/>
          <w:szCs w:val="20"/>
          <w:lang w:val="pt-BR"/>
        </w:rPr>
        <w:t>empregad</w:t>
      </w:r>
      <w:r w:rsidR="00D81AA1" w:rsidRPr="00D5464D">
        <w:rPr>
          <w:rFonts w:cs="Arial"/>
          <w:szCs w:val="20"/>
          <w:lang w:val="pt-BR"/>
        </w:rPr>
        <w:t xml:space="preserve">or </w:t>
      </w:r>
      <w:r w:rsidR="002C330E" w:rsidRPr="00D5464D">
        <w:rPr>
          <w:rFonts w:cs="Arial"/>
          <w:szCs w:val="20"/>
          <w:lang w:val="pt-BR"/>
        </w:rPr>
        <w:t>havia</w:t>
      </w:r>
      <w:r w:rsidR="00D81AA1" w:rsidRPr="00D5464D">
        <w:rPr>
          <w:rFonts w:cs="Arial"/>
          <w:szCs w:val="20"/>
          <w:lang w:val="pt-BR"/>
        </w:rPr>
        <w:t xml:space="preserve"> eliminado</w:t>
      </w:r>
      <w:r w:rsidR="002C330E" w:rsidRPr="00D5464D">
        <w:rPr>
          <w:rFonts w:cs="Arial"/>
          <w:szCs w:val="20"/>
          <w:lang w:val="pt-BR"/>
        </w:rPr>
        <w:t xml:space="preserve"> a </w:t>
      </w:r>
      <w:r w:rsidR="00E045D9" w:rsidRPr="00D5464D">
        <w:rPr>
          <w:rFonts w:cs="Arial"/>
          <w:szCs w:val="20"/>
          <w:lang w:val="pt-BR"/>
        </w:rPr>
        <w:t>dependência</w:t>
      </w:r>
      <w:r w:rsidR="00D81AA1" w:rsidRPr="00D5464D">
        <w:rPr>
          <w:rFonts w:cs="Arial"/>
          <w:szCs w:val="20"/>
          <w:lang w:val="pt-BR"/>
        </w:rPr>
        <w:t xml:space="preserve"> </w:t>
      </w:r>
      <w:r w:rsidR="00470ADC" w:rsidRPr="00D5464D">
        <w:rPr>
          <w:rFonts w:cs="Arial"/>
          <w:szCs w:val="20"/>
          <w:lang w:val="pt-BR"/>
        </w:rPr>
        <w:t>econômic</w:t>
      </w:r>
      <w:r w:rsidR="00D81AA1" w:rsidRPr="00D5464D">
        <w:rPr>
          <w:rFonts w:cs="Arial"/>
          <w:szCs w:val="20"/>
          <w:lang w:val="pt-BR"/>
        </w:rPr>
        <w:t>a</w:t>
      </w:r>
      <w:r w:rsidR="00E045D9" w:rsidRPr="00D5464D">
        <w:rPr>
          <w:rFonts w:cs="Arial"/>
          <w:szCs w:val="20"/>
          <w:lang w:val="pt-BR"/>
        </w:rPr>
        <w:t xml:space="preserve"> e </w:t>
      </w:r>
      <w:r w:rsidR="00D81AA1" w:rsidRPr="00D5464D">
        <w:rPr>
          <w:rFonts w:cs="Arial"/>
          <w:szCs w:val="20"/>
          <w:lang w:val="pt-BR"/>
        </w:rPr>
        <w:t>física</w:t>
      </w:r>
      <w:r w:rsidR="00470ADC" w:rsidRPr="00D5464D">
        <w:rPr>
          <w:rFonts w:cs="Arial"/>
          <w:szCs w:val="20"/>
          <w:lang w:val="pt-BR"/>
        </w:rPr>
        <w:t xml:space="preserve"> dos </w:t>
      </w:r>
      <w:r w:rsidR="00E045D9" w:rsidRPr="00D5464D">
        <w:rPr>
          <w:rFonts w:cs="Arial"/>
          <w:szCs w:val="20"/>
          <w:lang w:val="pt-BR"/>
        </w:rPr>
        <w:t xml:space="preserve">trabalhadores aos </w:t>
      </w:r>
      <w:r w:rsidR="00996473" w:rsidRPr="00D5464D">
        <w:rPr>
          <w:rFonts w:cs="Arial"/>
          <w:szCs w:val="20"/>
          <w:lang w:val="pt-BR"/>
        </w:rPr>
        <w:t>gatos</w:t>
      </w:r>
      <w:r w:rsidR="00D81AA1" w:rsidRPr="00D5464D">
        <w:rPr>
          <w:rFonts w:cs="Arial"/>
          <w:szCs w:val="20"/>
          <w:lang w:val="pt-BR"/>
        </w:rPr>
        <w:t xml:space="preserve">, que </w:t>
      </w:r>
      <w:r w:rsidR="00E045D9" w:rsidRPr="00D5464D">
        <w:rPr>
          <w:rFonts w:cs="Arial"/>
          <w:szCs w:val="20"/>
          <w:lang w:val="pt-BR"/>
        </w:rPr>
        <w:t xml:space="preserve">seria </w:t>
      </w:r>
      <w:r w:rsidR="002C330E" w:rsidRPr="00D5464D">
        <w:rPr>
          <w:rFonts w:cs="Arial"/>
          <w:szCs w:val="20"/>
          <w:lang w:val="pt-BR"/>
        </w:rPr>
        <w:t xml:space="preserve">a </w:t>
      </w:r>
      <w:r w:rsidR="00D81AA1" w:rsidRPr="00D5464D">
        <w:rPr>
          <w:rFonts w:cs="Arial"/>
          <w:szCs w:val="20"/>
          <w:lang w:val="pt-BR"/>
        </w:rPr>
        <w:t xml:space="preserve">causa de </w:t>
      </w:r>
      <w:r w:rsidR="00230C71" w:rsidRPr="00D5464D">
        <w:rPr>
          <w:rFonts w:cs="Arial"/>
          <w:szCs w:val="20"/>
          <w:lang w:val="pt-BR"/>
        </w:rPr>
        <w:t>exploração</w:t>
      </w:r>
      <w:r w:rsidR="00D81AA1" w:rsidRPr="00D5464D">
        <w:rPr>
          <w:rFonts w:cs="Arial"/>
          <w:szCs w:val="20"/>
          <w:lang w:val="pt-BR"/>
        </w:rPr>
        <w:t xml:space="preserve"> de </w:t>
      </w:r>
      <w:r w:rsidR="00AF210B" w:rsidRPr="00D5464D">
        <w:rPr>
          <w:rFonts w:cs="Arial"/>
          <w:szCs w:val="20"/>
          <w:lang w:val="pt-BR"/>
        </w:rPr>
        <w:t>mão</w:t>
      </w:r>
      <w:r w:rsidR="00090E67" w:rsidRPr="00D5464D">
        <w:rPr>
          <w:rFonts w:cs="Arial"/>
          <w:szCs w:val="20"/>
          <w:lang w:val="pt-BR"/>
        </w:rPr>
        <w:t xml:space="preserve"> </w:t>
      </w:r>
      <w:r w:rsidR="00D81AA1" w:rsidRPr="00D5464D">
        <w:rPr>
          <w:rFonts w:cs="Arial"/>
          <w:szCs w:val="20"/>
          <w:lang w:val="pt-BR"/>
        </w:rPr>
        <w:t xml:space="preserve">de obra </w:t>
      </w:r>
      <w:r w:rsidR="00470ADC" w:rsidRPr="00D5464D">
        <w:rPr>
          <w:rFonts w:cs="Arial"/>
          <w:szCs w:val="20"/>
          <w:lang w:val="pt-BR"/>
        </w:rPr>
        <w:t>forçada</w:t>
      </w:r>
      <w:r w:rsidR="00E045D9" w:rsidRPr="00D5464D">
        <w:rPr>
          <w:rFonts w:cs="Arial"/>
          <w:szCs w:val="20"/>
          <w:lang w:val="pt-BR"/>
        </w:rPr>
        <w:t xml:space="preserve"> e </w:t>
      </w:r>
      <w:r w:rsidR="00D81AA1" w:rsidRPr="00D5464D">
        <w:rPr>
          <w:rFonts w:cs="Arial"/>
          <w:szCs w:val="20"/>
          <w:lang w:val="pt-BR"/>
        </w:rPr>
        <w:t xml:space="preserve">análoga </w:t>
      </w:r>
      <w:r w:rsidR="00090E67" w:rsidRPr="00D5464D">
        <w:rPr>
          <w:rFonts w:cs="Arial"/>
          <w:szCs w:val="20"/>
          <w:lang w:val="pt-BR"/>
        </w:rPr>
        <w:t>à de escravo</w:t>
      </w:r>
      <w:r w:rsidR="00D81AA1" w:rsidRPr="00D5464D">
        <w:rPr>
          <w:rFonts w:cs="Arial"/>
          <w:szCs w:val="20"/>
          <w:lang w:val="pt-BR"/>
        </w:rPr>
        <w:t xml:space="preserve"> (</w:t>
      </w:r>
      <w:r w:rsidR="002C330E" w:rsidRPr="00D5464D">
        <w:rPr>
          <w:rFonts w:cs="Arial"/>
          <w:szCs w:val="20"/>
          <w:lang w:val="pt-BR"/>
        </w:rPr>
        <w:t>pars.</w:t>
      </w:r>
      <w:r w:rsidR="00D81AA1" w:rsidRPr="00D5464D">
        <w:rPr>
          <w:rFonts w:cs="Arial"/>
          <w:szCs w:val="20"/>
          <w:lang w:val="pt-BR"/>
        </w:rPr>
        <w:t xml:space="preserve"> </w:t>
      </w:r>
      <w:r w:rsidR="00977EB4" w:rsidRPr="00D5464D">
        <w:rPr>
          <w:rFonts w:cs="Arial"/>
          <w:szCs w:val="20"/>
          <w:lang w:val="pt-BR"/>
        </w:rPr>
        <w:t>181</w:t>
      </w:r>
      <w:r w:rsidR="00E045D9" w:rsidRPr="00D5464D">
        <w:rPr>
          <w:rFonts w:cs="Arial"/>
          <w:szCs w:val="20"/>
          <w:lang w:val="pt-BR"/>
        </w:rPr>
        <w:t xml:space="preserve"> e </w:t>
      </w:r>
      <w:r w:rsidR="00977EB4" w:rsidRPr="00D5464D">
        <w:rPr>
          <w:rFonts w:cs="Arial"/>
          <w:szCs w:val="20"/>
          <w:lang w:val="pt-BR"/>
        </w:rPr>
        <w:t>184</w:t>
      </w:r>
      <w:r w:rsidR="00090E67" w:rsidRPr="00D5464D">
        <w:rPr>
          <w:rFonts w:cs="Arial"/>
          <w:i/>
          <w:szCs w:val="20"/>
          <w:lang w:val="pt-BR"/>
        </w:rPr>
        <w:t xml:space="preserve"> supra</w:t>
      </w:r>
      <w:r w:rsidR="00D81AA1" w:rsidRPr="00D5464D">
        <w:rPr>
          <w:rFonts w:cs="Arial"/>
          <w:szCs w:val="20"/>
          <w:lang w:val="pt-BR"/>
        </w:rPr>
        <w:t>).</w:t>
      </w:r>
    </w:p>
    <w:p w14:paraId="76333C94" w14:textId="77777777" w:rsidR="00D81AA1" w:rsidRPr="00D5464D" w:rsidRDefault="00D81AA1" w:rsidP="00D81AA1">
      <w:pPr>
        <w:pStyle w:val="Prrafodelista"/>
        <w:autoSpaceDE w:val="0"/>
        <w:autoSpaceDN w:val="0"/>
        <w:adjustRightInd w:val="0"/>
        <w:ind w:left="0"/>
        <w:rPr>
          <w:rFonts w:cs="Arial"/>
          <w:szCs w:val="20"/>
          <w:lang w:val="pt-BR"/>
        </w:rPr>
      </w:pPr>
    </w:p>
    <w:p w14:paraId="26A7EA16" w14:textId="3BB67AB7" w:rsidR="00D81AA1" w:rsidRPr="00D5464D" w:rsidRDefault="00D81AA1" w:rsidP="00D81AA1">
      <w:pPr>
        <w:pStyle w:val="Prrafodelista"/>
        <w:numPr>
          <w:ilvl w:val="0"/>
          <w:numId w:val="1"/>
        </w:numPr>
        <w:autoSpaceDE w:val="0"/>
        <w:autoSpaceDN w:val="0"/>
        <w:adjustRightInd w:val="0"/>
        <w:rPr>
          <w:rFonts w:cs="Arial"/>
          <w:szCs w:val="20"/>
          <w:lang w:val="pt-BR"/>
        </w:rPr>
      </w:pPr>
      <w:r w:rsidRPr="00D5464D">
        <w:rPr>
          <w:rFonts w:cs="Arial"/>
          <w:szCs w:val="20"/>
          <w:lang w:val="pt-BR"/>
        </w:rPr>
        <w:t>Finalmente,</w:t>
      </w:r>
      <w:r w:rsidR="00470ADC" w:rsidRPr="00D5464D">
        <w:rPr>
          <w:rFonts w:cs="Arial"/>
          <w:szCs w:val="20"/>
          <w:lang w:val="pt-BR"/>
        </w:rPr>
        <w:t xml:space="preserve"> </w:t>
      </w:r>
      <w:r w:rsidR="00090E67" w:rsidRPr="00D5464D">
        <w:rPr>
          <w:rFonts w:cs="Arial"/>
          <w:szCs w:val="20"/>
          <w:lang w:val="pt-BR"/>
        </w:rPr>
        <w:t>e</w:t>
      </w:r>
      <w:r w:rsidR="00470ADC" w:rsidRPr="00D5464D">
        <w:rPr>
          <w:rFonts w:cs="Arial"/>
          <w:szCs w:val="20"/>
          <w:lang w:val="pt-BR"/>
        </w:rPr>
        <w:t xml:space="preserve">m </w:t>
      </w:r>
      <w:r w:rsidRPr="00D5464D">
        <w:rPr>
          <w:rFonts w:cs="Arial"/>
          <w:szCs w:val="20"/>
          <w:lang w:val="pt-BR"/>
        </w:rPr>
        <w:t>rela</w:t>
      </w:r>
      <w:r w:rsidR="00470ADC" w:rsidRPr="00D5464D">
        <w:rPr>
          <w:rFonts w:cs="Arial"/>
          <w:szCs w:val="20"/>
          <w:lang w:val="pt-BR"/>
        </w:rPr>
        <w:t>ção</w:t>
      </w:r>
      <w:r w:rsidRPr="00D5464D">
        <w:rPr>
          <w:rFonts w:cs="Arial"/>
          <w:szCs w:val="20"/>
          <w:lang w:val="pt-BR"/>
        </w:rPr>
        <w:t xml:space="preserve"> a</w:t>
      </w:r>
      <w:r w:rsidR="00E045D9" w:rsidRPr="00D5464D">
        <w:rPr>
          <w:rFonts w:cs="Arial"/>
          <w:szCs w:val="20"/>
          <w:lang w:val="pt-BR"/>
        </w:rPr>
        <w:t xml:space="preserve"> um </w:t>
      </w:r>
      <w:r w:rsidR="002C330E" w:rsidRPr="00D5464D">
        <w:rPr>
          <w:rFonts w:cs="Arial"/>
          <w:szCs w:val="20"/>
          <w:lang w:val="pt-BR"/>
        </w:rPr>
        <w:t>processo</w:t>
      </w:r>
      <w:r w:rsidRPr="00D5464D">
        <w:rPr>
          <w:rFonts w:cs="Arial"/>
          <w:szCs w:val="20"/>
          <w:lang w:val="pt-BR"/>
        </w:rPr>
        <w:t xml:space="preserve"> penal derivado</w:t>
      </w:r>
      <w:r w:rsidR="00470ADC" w:rsidRPr="00D5464D">
        <w:rPr>
          <w:rFonts w:cs="Arial"/>
          <w:szCs w:val="20"/>
          <w:lang w:val="pt-BR"/>
        </w:rPr>
        <w:t xml:space="preserve"> da </w:t>
      </w:r>
      <w:r w:rsidRPr="00D5464D">
        <w:rPr>
          <w:rFonts w:cs="Arial"/>
          <w:szCs w:val="20"/>
          <w:lang w:val="pt-BR"/>
        </w:rPr>
        <w:t>fiscaliza</w:t>
      </w:r>
      <w:r w:rsidR="00470ADC" w:rsidRPr="00D5464D">
        <w:rPr>
          <w:rFonts w:cs="Arial"/>
          <w:szCs w:val="20"/>
          <w:lang w:val="pt-BR"/>
        </w:rPr>
        <w:t>ção</w:t>
      </w:r>
      <w:r w:rsidRPr="00D5464D">
        <w:rPr>
          <w:rFonts w:cs="Arial"/>
          <w:szCs w:val="20"/>
          <w:lang w:val="pt-BR"/>
        </w:rPr>
        <w:t xml:space="preserve"> de </w:t>
      </w:r>
      <w:r w:rsidR="002C330E" w:rsidRPr="00D5464D">
        <w:rPr>
          <w:rFonts w:cs="Arial"/>
          <w:szCs w:val="20"/>
          <w:lang w:val="pt-BR"/>
        </w:rPr>
        <w:t>março</w:t>
      </w:r>
      <w:r w:rsidRPr="00D5464D">
        <w:rPr>
          <w:rFonts w:cs="Arial"/>
          <w:szCs w:val="20"/>
          <w:lang w:val="pt-BR"/>
        </w:rPr>
        <w:t xml:space="preserve"> de 2000,</w:t>
      </w:r>
      <w:r w:rsidR="002C330E" w:rsidRPr="00D5464D">
        <w:rPr>
          <w:rFonts w:cs="Arial"/>
          <w:szCs w:val="20"/>
          <w:lang w:val="pt-BR"/>
        </w:rPr>
        <w:t xml:space="preserve"> a </w:t>
      </w:r>
      <w:r w:rsidRPr="00D5464D">
        <w:rPr>
          <w:rFonts w:cs="Arial"/>
          <w:szCs w:val="20"/>
          <w:lang w:val="pt-BR"/>
        </w:rPr>
        <w:t>Corte nota que</w:t>
      </w:r>
      <w:r w:rsidR="002339E7" w:rsidRPr="00D5464D">
        <w:rPr>
          <w:rFonts w:cs="Arial"/>
          <w:szCs w:val="20"/>
          <w:lang w:val="pt-BR"/>
        </w:rPr>
        <w:t>,</w:t>
      </w:r>
      <w:r w:rsidRPr="00D5464D">
        <w:rPr>
          <w:rFonts w:cs="Arial"/>
          <w:szCs w:val="20"/>
          <w:lang w:val="pt-BR"/>
        </w:rPr>
        <w:t xml:space="preserve"> durante</w:t>
      </w:r>
      <w:r w:rsidR="002C330E" w:rsidRPr="00D5464D">
        <w:rPr>
          <w:rFonts w:cs="Arial"/>
          <w:szCs w:val="20"/>
          <w:lang w:val="pt-BR"/>
        </w:rPr>
        <w:t xml:space="preserve"> a </w:t>
      </w:r>
      <w:r w:rsidR="00470ADC" w:rsidRPr="00D5464D">
        <w:rPr>
          <w:rFonts w:cs="Arial"/>
          <w:bCs/>
          <w:iCs/>
          <w:szCs w:val="20"/>
          <w:lang w:val="pt-BR"/>
        </w:rPr>
        <w:t>audiência</w:t>
      </w:r>
      <w:r w:rsidRPr="00D5464D">
        <w:rPr>
          <w:rFonts w:cs="Arial"/>
          <w:bCs/>
          <w:iCs/>
          <w:szCs w:val="20"/>
          <w:lang w:val="pt-BR"/>
        </w:rPr>
        <w:t xml:space="preserve"> pública</w:t>
      </w:r>
      <w:r w:rsidR="002339E7" w:rsidRPr="00D5464D">
        <w:rPr>
          <w:rFonts w:cs="Arial"/>
          <w:bCs/>
          <w:iCs/>
          <w:szCs w:val="20"/>
          <w:lang w:val="pt-BR"/>
        </w:rPr>
        <w:t>,</w:t>
      </w:r>
      <w:r w:rsidR="00E045D9" w:rsidRPr="00D5464D">
        <w:rPr>
          <w:rFonts w:cs="Arial"/>
          <w:bCs/>
          <w:iCs/>
          <w:szCs w:val="20"/>
          <w:lang w:val="pt-BR"/>
        </w:rPr>
        <w:t xml:space="preserve"> uma </w:t>
      </w:r>
      <w:r w:rsidRPr="00D5464D">
        <w:rPr>
          <w:rFonts w:cs="Arial"/>
          <w:bCs/>
          <w:iCs/>
          <w:szCs w:val="20"/>
          <w:lang w:val="pt-BR"/>
        </w:rPr>
        <w:t>perit</w:t>
      </w:r>
      <w:r w:rsidR="008E18B4" w:rsidRPr="00D5464D">
        <w:rPr>
          <w:rFonts w:cs="Arial"/>
          <w:bCs/>
          <w:iCs/>
          <w:szCs w:val="20"/>
          <w:lang w:val="pt-BR"/>
        </w:rPr>
        <w:t>a</w:t>
      </w:r>
      <w:r w:rsidR="00E045D9" w:rsidRPr="00D5464D">
        <w:rPr>
          <w:rFonts w:cs="Arial"/>
          <w:bCs/>
          <w:iCs/>
          <w:szCs w:val="20"/>
          <w:lang w:val="pt-BR"/>
        </w:rPr>
        <w:t xml:space="preserve"> e </w:t>
      </w:r>
      <w:r w:rsidR="002C330E" w:rsidRPr="00D5464D">
        <w:rPr>
          <w:rFonts w:cs="Arial"/>
          <w:bCs/>
          <w:iCs/>
          <w:szCs w:val="20"/>
          <w:lang w:val="pt-BR"/>
        </w:rPr>
        <w:t xml:space="preserve">os </w:t>
      </w:r>
      <w:r w:rsidR="00EB1CE9" w:rsidRPr="00D5464D">
        <w:rPr>
          <w:rFonts w:cs="Arial"/>
          <w:bCs/>
          <w:iCs/>
          <w:szCs w:val="20"/>
          <w:lang w:val="pt-BR"/>
        </w:rPr>
        <w:t>representante</w:t>
      </w:r>
      <w:r w:rsidRPr="00D5464D">
        <w:rPr>
          <w:rFonts w:cs="Arial"/>
          <w:bCs/>
          <w:iCs/>
          <w:szCs w:val="20"/>
          <w:lang w:val="pt-BR"/>
        </w:rPr>
        <w:t xml:space="preserve">s </w:t>
      </w:r>
      <w:r w:rsidR="002C330E" w:rsidRPr="00D5464D">
        <w:rPr>
          <w:rFonts w:cs="Arial"/>
          <w:bCs/>
          <w:iCs/>
          <w:szCs w:val="20"/>
          <w:lang w:val="pt-BR"/>
        </w:rPr>
        <w:t>fizeram</w:t>
      </w:r>
      <w:r w:rsidRPr="00D5464D">
        <w:rPr>
          <w:rFonts w:cs="Arial"/>
          <w:bCs/>
          <w:iCs/>
          <w:szCs w:val="20"/>
          <w:lang w:val="pt-BR"/>
        </w:rPr>
        <w:t xml:space="preserve"> </w:t>
      </w:r>
      <w:r w:rsidR="002C330E" w:rsidRPr="00D5464D">
        <w:rPr>
          <w:rFonts w:cs="Arial"/>
          <w:bCs/>
          <w:iCs/>
          <w:szCs w:val="20"/>
          <w:lang w:val="pt-BR"/>
        </w:rPr>
        <w:t xml:space="preserve">referência </w:t>
      </w:r>
      <w:r w:rsidRPr="00D5464D">
        <w:rPr>
          <w:rFonts w:cs="Arial"/>
          <w:bCs/>
          <w:iCs/>
          <w:szCs w:val="20"/>
          <w:lang w:val="pt-BR"/>
        </w:rPr>
        <w:t>a</w:t>
      </w:r>
      <w:r w:rsidR="00E045D9" w:rsidRPr="00D5464D">
        <w:rPr>
          <w:rFonts w:cs="Arial"/>
          <w:bCs/>
          <w:iCs/>
          <w:szCs w:val="20"/>
          <w:lang w:val="pt-BR"/>
        </w:rPr>
        <w:t xml:space="preserve"> um </w:t>
      </w:r>
      <w:r w:rsidR="002C330E" w:rsidRPr="00D5464D">
        <w:rPr>
          <w:rFonts w:cs="Arial"/>
          <w:bCs/>
          <w:iCs/>
          <w:szCs w:val="20"/>
          <w:lang w:val="pt-BR"/>
        </w:rPr>
        <w:t>processo</w:t>
      </w:r>
      <w:r w:rsidRPr="00D5464D">
        <w:rPr>
          <w:rFonts w:cs="Arial"/>
          <w:bCs/>
          <w:iCs/>
          <w:szCs w:val="20"/>
          <w:lang w:val="pt-BR"/>
        </w:rPr>
        <w:t xml:space="preserve"> penal iniciado </w:t>
      </w:r>
      <w:r w:rsidR="00550EC1" w:rsidRPr="00D5464D">
        <w:rPr>
          <w:rFonts w:cs="Arial"/>
          <w:bCs/>
          <w:iCs/>
          <w:szCs w:val="20"/>
          <w:lang w:val="pt-BR"/>
        </w:rPr>
        <w:t>sobre</w:t>
      </w:r>
      <w:r w:rsidR="002C330E" w:rsidRPr="00D5464D">
        <w:rPr>
          <w:rFonts w:cs="Arial"/>
          <w:bCs/>
          <w:iCs/>
          <w:szCs w:val="20"/>
          <w:lang w:val="pt-BR"/>
        </w:rPr>
        <w:t xml:space="preserve"> os fatos</w:t>
      </w:r>
      <w:r w:rsidRPr="00D5464D">
        <w:rPr>
          <w:rFonts w:cs="Arial"/>
          <w:bCs/>
          <w:iCs/>
          <w:szCs w:val="20"/>
          <w:lang w:val="pt-BR"/>
        </w:rPr>
        <w:t xml:space="preserve"> documentados</w:t>
      </w:r>
      <w:r w:rsidR="00C91CB1" w:rsidRPr="00D5464D">
        <w:rPr>
          <w:rFonts w:cs="Arial"/>
          <w:bCs/>
          <w:iCs/>
          <w:szCs w:val="20"/>
          <w:lang w:val="pt-BR"/>
        </w:rPr>
        <w:t xml:space="preserve"> em 1</w:t>
      </w:r>
      <w:r w:rsidRPr="00D5464D">
        <w:rPr>
          <w:rFonts w:cs="Arial"/>
          <w:bCs/>
          <w:iCs/>
          <w:szCs w:val="20"/>
          <w:lang w:val="pt-BR"/>
        </w:rPr>
        <w:t xml:space="preserve">5 de </w:t>
      </w:r>
      <w:r w:rsidR="002C330E" w:rsidRPr="00D5464D">
        <w:rPr>
          <w:rFonts w:cs="Arial"/>
          <w:bCs/>
          <w:iCs/>
          <w:szCs w:val="20"/>
          <w:lang w:val="pt-BR"/>
        </w:rPr>
        <w:t>março</w:t>
      </w:r>
      <w:r w:rsidRPr="00D5464D">
        <w:rPr>
          <w:rFonts w:cs="Arial"/>
          <w:bCs/>
          <w:iCs/>
          <w:szCs w:val="20"/>
          <w:lang w:val="pt-BR"/>
        </w:rPr>
        <w:t xml:space="preserve"> de 2000</w:t>
      </w:r>
      <w:r w:rsidR="00E045D9" w:rsidRPr="00D5464D">
        <w:rPr>
          <w:rFonts w:cs="Arial"/>
          <w:bCs/>
          <w:iCs/>
          <w:szCs w:val="20"/>
          <w:lang w:val="pt-BR"/>
        </w:rPr>
        <w:t xml:space="preserve"> na </w:t>
      </w:r>
      <w:r w:rsidR="00D809F0" w:rsidRPr="00D5464D">
        <w:rPr>
          <w:rFonts w:cs="Arial"/>
          <w:bCs/>
          <w:iCs/>
          <w:szCs w:val="20"/>
          <w:lang w:val="pt-BR"/>
        </w:rPr>
        <w:t>Fazenda</w:t>
      </w:r>
      <w:r w:rsidRPr="00D5464D">
        <w:rPr>
          <w:rFonts w:cs="Arial"/>
          <w:bCs/>
          <w:iCs/>
          <w:szCs w:val="20"/>
          <w:lang w:val="pt-BR"/>
        </w:rPr>
        <w:t xml:space="preserve"> Brasil Verde. </w:t>
      </w:r>
      <w:r w:rsidR="00A1358C" w:rsidRPr="00D5464D">
        <w:rPr>
          <w:rFonts w:cs="Arial"/>
          <w:bCs/>
          <w:iCs/>
          <w:szCs w:val="20"/>
          <w:lang w:val="pt-BR"/>
        </w:rPr>
        <w:t>Não obstante,</w:t>
      </w:r>
      <w:r w:rsidRPr="00D5464D">
        <w:rPr>
          <w:rFonts w:cs="Arial"/>
          <w:bCs/>
          <w:iCs/>
          <w:szCs w:val="20"/>
          <w:lang w:val="pt-BR"/>
        </w:rPr>
        <w:t xml:space="preserve"> </w:t>
      </w:r>
      <w:r w:rsidR="00470ADC" w:rsidRPr="00D5464D">
        <w:rPr>
          <w:rFonts w:cs="Arial"/>
          <w:bCs/>
          <w:iCs/>
          <w:szCs w:val="20"/>
          <w:lang w:val="pt-BR"/>
        </w:rPr>
        <w:t>este</w:t>
      </w:r>
      <w:r w:rsidRPr="00D5464D">
        <w:rPr>
          <w:rFonts w:cs="Arial"/>
          <w:bCs/>
          <w:iCs/>
          <w:szCs w:val="20"/>
          <w:lang w:val="pt-BR"/>
        </w:rPr>
        <w:t xml:space="preserve"> </w:t>
      </w:r>
      <w:r w:rsidR="002C330E" w:rsidRPr="00D5464D">
        <w:rPr>
          <w:rFonts w:cs="Arial"/>
          <w:bCs/>
          <w:iCs/>
          <w:szCs w:val="20"/>
          <w:lang w:val="pt-BR"/>
        </w:rPr>
        <w:t>processo</w:t>
      </w:r>
      <w:r w:rsidRPr="00D5464D">
        <w:rPr>
          <w:rFonts w:cs="Arial"/>
          <w:bCs/>
          <w:iCs/>
          <w:szCs w:val="20"/>
          <w:lang w:val="pt-BR"/>
        </w:rPr>
        <w:t xml:space="preserve"> </w:t>
      </w:r>
      <w:r w:rsidR="00737270" w:rsidRPr="00D5464D">
        <w:rPr>
          <w:rFonts w:cs="Arial"/>
          <w:bCs/>
          <w:iCs/>
          <w:szCs w:val="20"/>
          <w:lang w:val="pt-BR"/>
        </w:rPr>
        <w:t>não havia</w:t>
      </w:r>
      <w:r w:rsidRPr="00D5464D">
        <w:rPr>
          <w:rFonts w:cs="Arial"/>
          <w:bCs/>
          <w:iCs/>
          <w:szCs w:val="20"/>
          <w:lang w:val="pt-BR"/>
        </w:rPr>
        <w:t xml:space="preserve"> sido</w:t>
      </w:r>
      <w:r w:rsidR="00350187" w:rsidRPr="00D5464D">
        <w:rPr>
          <w:rFonts w:cs="Arial"/>
          <w:bCs/>
          <w:iCs/>
          <w:szCs w:val="20"/>
          <w:lang w:val="pt-BR"/>
        </w:rPr>
        <w:t xml:space="preserve"> apresent</w:t>
      </w:r>
      <w:r w:rsidR="00090E67" w:rsidRPr="00D5464D">
        <w:rPr>
          <w:rFonts w:cs="Arial"/>
          <w:bCs/>
          <w:iCs/>
          <w:szCs w:val="20"/>
          <w:lang w:val="pt-BR"/>
        </w:rPr>
        <w:t>ad</w:t>
      </w:r>
      <w:r w:rsidRPr="00D5464D">
        <w:rPr>
          <w:rFonts w:cs="Arial"/>
          <w:bCs/>
          <w:iCs/>
          <w:szCs w:val="20"/>
          <w:lang w:val="pt-BR"/>
        </w:rPr>
        <w:t>o</w:t>
      </w:r>
      <w:r w:rsidR="002C330E" w:rsidRPr="00D5464D">
        <w:rPr>
          <w:rFonts w:cs="Arial"/>
          <w:bCs/>
          <w:iCs/>
          <w:szCs w:val="20"/>
          <w:lang w:val="pt-BR"/>
        </w:rPr>
        <w:t xml:space="preserve"> pelo </w:t>
      </w:r>
      <w:r w:rsidRPr="00D5464D">
        <w:rPr>
          <w:rFonts w:cs="Arial"/>
          <w:bCs/>
          <w:iCs/>
          <w:szCs w:val="20"/>
          <w:lang w:val="pt-BR"/>
        </w:rPr>
        <w:t>Estado</w:t>
      </w:r>
      <w:r w:rsidR="002C330E" w:rsidRPr="00D5464D">
        <w:rPr>
          <w:rFonts w:cs="Arial"/>
          <w:bCs/>
          <w:iCs/>
          <w:szCs w:val="20"/>
          <w:lang w:val="pt-BR"/>
        </w:rPr>
        <w:t xml:space="preserve"> </w:t>
      </w:r>
      <w:r w:rsidR="006B7BC7" w:rsidRPr="00D5464D">
        <w:rPr>
          <w:rFonts w:cs="Arial"/>
          <w:bCs/>
          <w:iCs/>
          <w:szCs w:val="20"/>
          <w:lang w:val="pt-BR"/>
        </w:rPr>
        <w:t xml:space="preserve">e não era conhecido o seu </w:t>
      </w:r>
      <w:r w:rsidR="00230C71" w:rsidRPr="00D5464D">
        <w:rPr>
          <w:rFonts w:cs="Arial"/>
          <w:bCs/>
          <w:iCs/>
          <w:szCs w:val="20"/>
          <w:lang w:val="pt-BR"/>
        </w:rPr>
        <w:t>desenvolvimento</w:t>
      </w:r>
      <w:r w:rsidRPr="00D5464D">
        <w:rPr>
          <w:rFonts w:cs="Arial"/>
          <w:bCs/>
          <w:iCs/>
          <w:szCs w:val="20"/>
          <w:lang w:val="pt-BR"/>
        </w:rPr>
        <w:t xml:space="preserve"> </w:t>
      </w:r>
      <w:r w:rsidR="002C330E" w:rsidRPr="00D5464D">
        <w:rPr>
          <w:rFonts w:cs="Arial"/>
          <w:bCs/>
          <w:iCs/>
          <w:szCs w:val="20"/>
          <w:lang w:val="pt-BR"/>
        </w:rPr>
        <w:t>até</w:t>
      </w:r>
      <w:r w:rsidR="00470ADC" w:rsidRPr="00D5464D">
        <w:rPr>
          <w:rFonts w:cs="Arial"/>
          <w:bCs/>
          <w:iCs/>
          <w:szCs w:val="20"/>
          <w:lang w:val="pt-BR"/>
        </w:rPr>
        <w:t xml:space="preserve"> </w:t>
      </w:r>
      <w:r w:rsidR="006B7BC7" w:rsidRPr="00D5464D">
        <w:rPr>
          <w:rFonts w:cs="Arial"/>
          <w:bCs/>
          <w:iCs/>
          <w:szCs w:val="20"/>
          <w:lang w:val="pt-BR"/>
        </w:rPr>
        <w:t>aquele</w:t>
      </w:r>
      <w:r w:rsidR="00470ADC" w:rsidRPr="00D5464D">
        <w:rPr>
          <w:rFonts w:cs="Arial"/>
          <w:bCs/>
          <w:iCs/>
          <w:szCs w:val="20"/>
          <w:lang w:val="pt-BR"/>
        </w:rPr>
        <w:t xml:space="preserve"> </w:t>
      </w:r>
      <w:r w:rsidRPr="00D5464D">
        <w:rPr>
          <w:rFonts w:cs="Arial"/>
          <w:bCs/>
          <w:iCs/>
          <w:szCs w:val="20"/>
          <w:lang w:val="pt-BR"/>
        </w:rPr>
        <w:t>momento</w:t>
      </w:r>
      <w:r w:rsidR="00A1358C" w:rsidRPr="00D5464D">
        <w:rPr>
          <w:rFonts w:cs="Arial"/>
          <w:bCs/>
          <w:iCs/>
          <w:szCs w:val="20"/>
          <w:lang w:val="pt-BR"/>
        </w:rPr>
        <w:t xml:space="preserve">. A </w:t>
      </w:r>
      <w:r w:rsidRPr="00D5464D">
        <w:rPr>
          <w:rFonts w:cs="Arial"/>
          <w:bCs/>
          <w:iCs/>
          <w:szCs w:val="20"/>
          <w:lang w:val="pt-BR"/>
        </w:rPr>
        <w:t xml:space="preserve">Corte </w:t>
      </w:r>
      <w:r w:rsidR="002C330E" w:rsidRPr="00D5464D">
        <w:rPr>
          <w:rFonts w:cs="Arial"/>
          <w:bCs/>
          <w:iCs/>
          <w:szCs w:val="20"/>
          <w:lang w:val="pt-BR"/>
        </w:rPr>
        <w:t>solicitou</w:t>
      </w:r>
      <w:r w:rsidR="00470ADC" w:rsidRPr="00D5464D">
        <w:rPr>
          <w:rFonts w:cs="Arial"/>
          <w:bCs/>
          <w:iCs/>
          <w:szCs w:val="20"/>
          <w:lang w:val="pt-BR"/>
        </w:rPr>
        <w:t xml:space="preserve"> ao </w:t>
      </w:r>
      <w:r w:rsidRPr="00D5464D">
        <w:rPr>
          <w:rFonts w:cs="Arial"/>
          <w:bCs/>
          <w:iCs/>
          <w:szCs w:val="20"/>
          <w:lang w:val="pt-BR"/>
        </w:rPr>
        <w:t xml:space="preserve">Estado que </w:t>
      </w:r>
      <w:r w:rsidR="00737270" w:rsidRPr="00D5464D">
        <w:rPr>
          <w:rFonts w:cs="Arial"/>
          <w:bCs/>
          <w:iCs/>
          <w:szCs w:val="20"/>
          <w:lang w:val="pt-BR"/>
        </w:rPr>
        <w:t>apresentasse</w:t>
      </w:r>
      <w:r w:rsidR="00A1358C" w:rsidRPr="00D5464D">
        <w:rPr>
          <w:rFonts w:cs="Arial"/>
          <w:bCs/>
          <w:iCs/>
          <w:szCs w:val="20"/>
          <w:lang w:val="pt-BR"/>
        </w:rPr>
        <w:t xml:space="preserve"> cópia </w:t>
      </w:r>
      <w:r w:rsidRPr="00D5464D">
        <w:rPr>
          <w:rFonts w:cs="Arial"/>
          <w:bCs/>
          <w:iCs/>
          <w:szCs w:val="20"/>
          <w:lang w:val="pt-BR"/>
        </w:rPr>
        <w:t xml:space="preserve">integral </w:t>
      </w:r>
      <w:r w:rsidR="00470ADC" w:rsidRPr="00D5464D">
        <w:rPr>
          <w:rFonts w:cs="Arial"/>
          <w:bCs/>
          <w:iCs/>
          <w:szCs w:val="20"/>
          <w:lang w:val="pt-BR"/>
        </w:rPr>
        <w:t xml:space="preserve">do </w:t>
      </w:r>
      <w:r w:rsidRPr="00D5464D">
        <w:rPr>
          <w:rFonts w:cs="Arial"/>
          <w:bCs/>
          <w:iCs/>
          <w:szCs w:val="20"/>
          <w:lang w:val="pt-BR"/>
        </w:rPr>
        <w:t xml:space="preserve">referido </w:t>
      </w:r>
      <w:r w:rsidR="002C330E" w:rsidRPr="00D5464D">
        <w:rPr>
          <w:rFonts w:cs="Arial"/>
          <w:bCs/>
          <w:iCs/>
          <w:szCs w:val="20"/>
          <w:lang w:val="pt-BR"/>
        </w:rPr>
        <w:t>procedimento</w:t>
      </w:r>
      <w:r w:rsidRPr="00D5464D">
        <w:rPr>
          <w:rFonts w:cs="Arial"/>
          <w:bCs/>
          <w:iCs/>
          <w:szCs w:val="20"/>
          <w:lang w:val="pt-BR"/>
        </w:rPr>
        <w:t xml:space="preserve"> </w:t>
      </w:r>
      <w:r w:rsidR="006B7BC7" w:rsidRPr="00D5464D">
        <w:rPr>
          <w:rFonts w:cs="Arial"/>
          <w:bCs/>
          <w:iCs/>
          <w:szCs w:val="20"/>
          <w:lang w:val="pt-BR"/>
        </w:rPr>
        <w:t xml:space="preserve">para poder </w:t>
      </w:r>
      <w:r w:rsidRPr="00D5464D">
        <w:rPr>
          <w:rFonts w:cs="Arial"/>
          <w:bCs/>
          <w:iCs/>
          <w:szCs w:val="20"/>
          <w:lang w:val="pt-BR"/>
        </w:rPr>
        <w:t>contar</w:t>
      </w:r>
      <w:r w:rsidR="00470ADC" w:rsidRPr="00D5464D">
        <w:rPr>
          <w:rFonts w:cs="Arial"/>
          <w:bCs/>
          <w:iCs/>
          <w:szCs w:val="20"/>
          <w:lang w:val="pt-BR"/>
        </w:rPr>
        <w:t xml:space="preserve"> com </w:t>
      </w:r>
      <w:r w:rsidRPr="00D5464D">
        <w:rPr>
          <w:rFonts w:cs="Arial"/>
          <w:bCs/>
          <w:iCs/>
          <w:szCs w:val="20"/>
          <w:lang w:val="pt-BR"/>
        </w:rPr>
        <w:t>toda</w:t>
      </w:r>
      <w:r w:rsidR="002C330E" w:rsidRPr="00D5464D">
        <w:rPr>
          <w:rFonts w:cs="Arial"/>
          <w:bCs/>
          <w:iCs/>
          <w:szCs w:val="20"/>
          <w:lang w:val="pt-BR"/>
        </w:rPr>
        <w:t xml:space="preserve"> a </w:t>
      </w:r>
      <w:r w:rsidRPr="00D5464D">
        <w:rPr>
          <w:rFonts w:cs="Arial"/>
          <w:bCs/>
          <w:iCs/>
          <w:szCs w:val="20"/>
          <w:lang w:val="pt-BR"/>
        </w:rPr>
        <w:t>informa</w:t>
      </w:r>
      <w:r w:rsidR="00470ADC" w:rsidRPr="00D5464D">
        <w:rPr>
          <w:rFonts w:cs="Arial"/>
          <w:bCs/>
          <w:iCs/>
          <w:szCs w:val="20"/>
          <w:lang w:val="pt-BR"/>
        </w:rPr>
        <w:t>ção</w:t>
      </w:r>
      <w:r w:rsidRPr="00D5464D">
        <w:rPr>
          <w:rFonts w:cs="Arial"/>
          <w:bCs/>
          <w:iCs/>
          <w:szCs w:val="20"/>
          <w:lang w:val="pt-BR"/>
        </w:rPr>
        <w:t xml:space="preserve"> </w:t>
      </w:r>
      <w:r w:rsidR="00470ADC" w:rsidRPr="00D5464D">
        <w:rPr>
          <w:rFonts w:cs="Arial"/>
          <w:bCs/>
          <w:iCs/>
          <w:szCs w:val="20"/>
          <w:lang w:val="pt-BR"/>
        </w:rPr>
        <w:t xml:space="preserve">disponível </w:t>
      </w:r>
      <w:r w:rsidRPr="00D5464D">
        <w:rPr>
          <w:rFonts w:cs="Arial"/>
          <w:bCs/>
          <w:iCs/>
          <w:szCs w:val="20"/>
          <w:lang w:val="pt-BR"/>
        </w:rPr>
        <w:t>para</w:t>
      </w:r>
      <w:r w:rsidR="002C330E" w:rsidRPr="00D5464D">
        <w:rPr>
          <w:rFonts w:cs="Arial"/>
          <w:bCs/>
          <w:iCs/>
          <w:szCs w:val="20"/>
          <w:lang w:val="pt-BR"/>
        </w:rPr>
        <w:t xml:space="preserve"> </w:t>
      </w:r>
      <w:r w:rsidR="006B7BC7" w:rsidRPr="00D5464D">
        <w:rPr>
          <w:rFonts w:cs="Arial"/>
          <w:bCs/>
          <w:iCs/>
          <w:szCs w:val="20"/>
          <w:lang w:val="pt-BR"/>
        </w:rPr>
        <w:t xml:space="preserve">proferir esta </w:t>
      </w:r>
      <w:r w:rsidR="002C330E" w:rsidRPr="00D5464D">
        <w:rPr>
          <w:rFonts w:cs="Arial"/>
          <w:bCs/>
          <w:iCs/>
          <w:szCs w:val="20"/>
          <w:lang w:val="pt-BR"/>
        </w:rPr>
        <w:t>Sentença</w:t>
      </w:r>
      <w:r w:rsidR="00A1358C" w:rsidRPr="00D5464D">
        <w:rPr>
          <w:rFonts w:cs="Arial"/>
          <w:bCs/>
          <w:iCs/>
          <w:szCs w:val="20"/>
          <w:lang w:val="pt-BR"/>
        </w:rPr>
        <w:t xml:space="preserve">. A </w:t>
      </w:r>
      <w:r w:rsidR="00737270" w:rsidRPr="00D5464D">
        <w:rPr>
          <w:rFonts w:cs="Arial"/>
          <w:bCs/>
          <w:iCs/>
          <w:szCs w:val="20"/>
          <w:lang w:val="pt-BR"/>
        </w:rPr>
        <w:t>este respeito</w:t>
      </w:r>
      <w:r w:rsidRPr="00D5464D">
        <w:rPr>
          <w:rFonts w:cs="Arial"/>
          <w:bCs/>
          <w:iCs/>
          <w:szCs w:val="20"/>
          <w:lang w:val="pt-BR"/>
        </w:rPr>
        <w:t>,</w:t>
      </w:r>
      <w:r w:rsidR="00470ADC" w:rsidRPr="00D5464D">
        <w:rPr>
          <w:rFonts w:cs="Arial"/>
          <w:bCs/>
          <w:iCs/>
          <w:szCs w:val="20"/>
          <w:lang w:val="pt-BR"/>
        </w:rPr>
        <w:t xml:space="preserve"> o </w:t>
      </w:r>
      <w:r w:rsidRPr="00D5464D">
        <w:rPr>
          <w:rFonts w:cs="Arial"/>
          <w:bCs/>
          <w:iCs/>
          <w:szCs w:val="20"/>
          <w:lang w:val="pt-BR"/>
        </w:rPr>
        <w:t xml:space="preserve">Estado </w:t>
      </w:r>
      <w:r w:rsidR="002C330E" w:rsidRPr="00D5464D">
        <w:rPr>
          <w:rFonts w:cs="Arial"/>
          <w:bCs/>
          <w:iCs/>
          <w:szCs w:val="20"/>
          <w:lang w:val="pt-BR"/>
        </w:rPr>
        <w:t>informou</w:t>
      </w:r>
      <w:r w:rsidRPr="00D5464D">
        <w:rPr>
          <w:rFonts w:cs="Arial"/>
          <w:bCs/>
          <w:iCs/>
          <w:szCs w:val="20"/>
          <w:lang w:val="pt-BR"/>
        </w:rPr>
        <w:t xml:space="preserve"> que</w:t>
      </w:r>
      <w:r w:rsidR="006B7BC7" w:rsidRPr="00D5464D">
        <w:rPr>
          <w:rFonts w:cs="Arial"/>
          <w:bCs/>
          <w:iCs/>
          <w:szCs w:val="20"/>
          <w:lang w:val="pt-BR"/>
        </w:rPr>
        <w:t>,</w:t>
      </w:r>
      <w:r w:rsidRPr="00D5464D">
        <w:rPr>
          <w:rFonts w:cs="Arial"/>
          <w:bCs/>
          <w:iCs/>
          <w:szCs w:val="20"/>
          <w:lang w:val="pt-BR"/>
        </w:rPr>
        <w:t xml:space="preserve"> </w:t>
      </w:r>
      <w:r w:rsidR="004665B2" w:rsidRPr="00D5464D">
        <w:rPr>
          <w:rFonts w:cs="Arial"/>
          <w:bCs/>
          <w:iCs/>
          <w:szCs w:val="20"/>
          <w:lang w:val="pt-BR"/>
        </w:rPr>
        <w:t>apesar d</w:t>
      </w:r>
      <w:r w:rsidR="002C330E" w:rsidRPr="00D5464D">
        <w:rPr>
          <w:rFonts w:cs="Arial"/>
          <w:bCs/>
          <w:iCs/>
          <w:szCs w:val="20"/>
          <w:lang w:val="pt-BR"/>
        </w:rPr>
        <w:t xml:space="preserve">as </w:t>
      </w:r>
      <w:r w:rsidR="00470ADC" w:rsidRPr="00D5464D">
        <w:rPr>
          <w:rFonts w:cs="Arial"/>
          <w:bCs/>
          <w:iCs/>
          <w:szCs w:val="20"/>
          <w:lang w:val="pt-BR"/>
        </w:rPr>
        <w:t>diligência</w:t>
      </w:r>
      <w:r w:rsidRPr="00D5464D">
        <w:rPr>
          <w:rFonts w:cs="Arial"/>
          <w:bCs/>
          <w:iCs/>
          <w:szCs w:val="20"/>
          <w:lang w:val="pt-BR"/>
        </w:rPr>
        <w:t>s realizadas, n</w:t>
      </w:r>
      <w:r w:rsidR="006B7BC7" w:rsidRPr="00D5464D">
        <w:rPr>
          <w:rFonts w:cs="Arial"/>
          <w:bCs/>
          <w:iCs/>
          <w:szCs w:val="20"/>
          <w:lang w:val="pt-BR"/>
        </w:rPr>
        <w:t>ã</w:t>
      </w:r>
      <w:r w:rsidRPr="00D5464D">
        <w:rPr>
          <w:rFonts w:cs="Arial"/>
          <w:bCs/>
          <w:iCs/>
          <w:szCs w:val="20"/>
          <w:lang w:val="pt-BR"/>
        </w:rPr>
        <w:t xml:space="preserve">o </w:t>
      </w:r>
      <w:r w:rsidR="00E045D9" w:rsidRPr="00D5464D">
        <w:rPr>
          <w:rFonts w:cs="Arial"/>
          <w:bCs/>
          <w:iCs/>
          <w:szCs w:val="20"/>
          <w:lang w:val="pt-BR"/>
        </w:rPr>
        <w:t>conseguiu</w:t>
      </w:r>
      <w:r w:rsidRPr="00D5464D">
        <w:rPr>
          <w:rFonts w:cs="Arial"/>
          <w:bCs/>
          <w:iCs/>
          <w:szCs w:val="20"/>
          <w:lang w:val="pt-BR"/>
        </w:rPr>
        <w:t xml:space="preserve"> </w:t>
      </w:r>
      <w:r w:rsidR="002C330E" w:rsidRPr="00D5464D">
        <w:rPr>
          <w:rFonts w:cs="Arial"/>
          <w:bCs/>
          <w:iCs/>
          <w:szCs w:val="20"/>
          <w:lang w:val="pt-BR"/>
        </w:rPr>
        <w:t>obter</w:t>
      </w:r>
      <w:r w:rsidR="00A1358C" w:rsidRPr="00D5464D">
        <w:rPr>
          <w:rFonts w:cs="Arial"/>
          <w:bCs/>
          <w:iCs/>
          <w:szCs w:val="20"/>
          <w:lang w:val="pt-BR"/>
        </w:rPr>
        <w:t xml:space="preserve"> cópia </w:t>
      </w:r>
      <w:r w:rsidR="00470ADC" w:rsidRPr="00D5464D">
        <w:rPr>
          <w:rFonts w:cs="Arial"/>
          <w:bCs/>
          <w:iCs/>
          <w:szCs w:val="20"/>
          <w:lang w:val="pt-BR"/>
        </w:rPr>
        <w:t xml:space="preserve">do </w:t>
      </w:r>
      <w:r w:rsidR="002C330E" w:rsidRPr="00D5464D">
        <w:rPr>
          <w:rFonts w:cs="Arial"/>
          <w:bCs/>
          <w:iCs/>
          <w:szCs w:val="20"/>
          <w:lang w:val="pt-BR"/>
        </w:rPr>
        <w:t>processo</w:t>
      </w:r>
      <w:r w:rsidRPr="00D5464D">
        <w:rPr>
          <w:rFonts w:cs="Arial"/>
          <w:bCs/>
          <w:iCs/>
          <w:szCs w:val="20"/>
          <w:lang w:val="pt-BR"/>
        </w:rPr>
        <w:t xml:space="preserve"> número 2001.39.01.000270-0, </w:t>
      </w:r>
      <w:r w:rsidR="006B7BC7" w:rsidRPr="00D5464D">
        <w:rPr>
          <w:rFonts w:cs="Arial"/>
          <w:bCs/>
          <w:iCs/>
          <w:szCs w:val="20"/>
          <w:lang w:val="pt-BR"/>
        </w:rPr>
        <w:t xml:space="preserve">iniciado </w:t>
      </w:r>
      <w:r w:rsidR="00470ADC" w:rsidRPr="00D5464D">
        <w:rPr>
          <w:rFonts w:cs="Arial"/>
          <w:bCs/>
          <w:iCs/>
          <w:szCs w:val="20"/>
          <w:lang w:val="pt-BR"/>
        </w:rPr>
        <w:t xml:space="preserve">em </w:t>
      </w:r>
      <w:r w:rsidRPr="00D5464D">
        <w:rPr>
          <w:rFonts w:cs="Arial"/>
          <w:bCs/>
          <w:iCs/>
          <w:szCs w:val="20"/>
          <w:lang w:val="pt-BR"/>
        </w:rPr>
        <w:t>2001,</w:t>
      </w:r>
      <w:r w:rsidR="00470ADC" w:rsidRPr="00D5464D">
        <w:rPr>
          <w:rFonts w:cs="Arial"/>
          <w:bCs/>
          <w:iCs/>
          <w:szCs w:val="20"/>
          <w:lang w:val="pt-BR"/>
        </w:rPr>
        <w:t xml:space="preserve"> perante a </w:t>
      </w:r>
      <w:r w:rsidRPr="00D5464D">
        <w:rPr>
          <w:rFonts w:cs="Arial"/>
          <w:bCs/>
          <w:iCs/>
          <w:szCs w:val="20"/>
          <w:lang w:val="pt-BR"/>
        </w:rPr>
        <w:t xml:space="preserve">2ª Vara de </w:t>
      </w:r>
      <w:r w:rsidR="002C330E" w:rsidRPr="00D5464D">
        <w:rPr>
          <w:rFonts w:cs="Arial"/>
          <w:bCs/>
          <w:iCs/>
          <w:szCs w:val="20"/>
          <w:lang w:val="pt-BR"/>
        </w:rPr>
        <w:t>Justiça</w:t>
      </w:r>
      <w:r w:rsidRPr="00D5464D">
        <w:rPr>
          <w:rFonts w:cs="Arial"/>
          <w:bCs/>
          <w:iCs/>
          <w:szCs w:val="20"/>
          <w:lang w:val="pt-BR"/>
        </w:rPr>
        <w:t xml:space="preserve"> Federal de Marabá, </w:t>
      </w:r>
      <w:r w:rsidR="00996473" w:rsidRPr="00D5464D">
        <w:rPr>
          <w:rFonts w:cs="Arial"/>
          <w:bCs/>
          <w:iCs/>
          <w:szCs w:val="20"/>
          <w:lang w:val="pt-BR"/>
        </w:rPr>
        <w:t>Estado do Pará</w:t>
      </w:r>
      <w:r w:rsidRPr="00D5464D">
        <w:rPr>
          <w:rFonts w:cs="Arial"/>
          <w:bCs/>
          <w:iCs/>
          <w:szCs w:val="20"/>
          <w:lang w:val="pt-BR"/>
        </w:rPr>
        <w:t xml:space="preserve">. </w:t>
      </w:r>
    </w:p>
    <w:p w14:paraId="12CC0C43" w14:textId="77777777" w:rsidR="00D81AA1" w:rsidRPr="00D5464D" w:rsidRDefault="00D81AA1" w:rsidP="00D81AA1">
      <w:pPr>
        <w:pStyle w:val="Prrafodelista"/>
        <w:autoSpaceDE w:val="0"/>
        <w:autoSpaceDN w:val="0"/>
        <w:adjustRightInd w:val="0"/>
        <w:ind w:left="0"/>
        <w:rPr>
          <w:rFonts w:cs="Arial"/>
          <w:bCs/>
          <w:iCs/>
          <w:szCs w:val="20"/>
          <w:lang w:val="pt-BR"/>
        </w:rPr>
      </w:pPr>
    </w:p>
    <w:p w14:paraId="38FF17A5" w14:textId="64BEF8AE" w:rsidR="00D81AA1" w:rsidRPr="00D5464D" w:rsidRDefault="00350187" w:rsidP="00D81AA1">
      <w:pPr>
        <w:pStyle w:val="Prrafodelista"/>
        <w:numPr>
          <w:ilvl w:val="0"/>
          <w:numId w:val="1"/>
        </w:numPr>
        <w:autoSpaceDE w:val="0"/>
        <w:autoSpaceDN w:val="0"/>
        <w:adjustRightInd w:val="0"/>
        <w:contextualSpacing w:val="0"/>
        <w:rPr>
          <w:rFonts w:cs="Arial"/>
          <w:bCs/>
          <w:iCs/>
          <w:szCs w:val="20"/>
          <w:lang w:val="pt-BR"/>
        </w:rPr>
      </w:pPr>
      <w:r w:rsidRPr="00D5464D">
        <w:rPr>
          <w:rFonts w:cs="Arial"/>
          <w:bCs/>
          <w:iCs/>
          <w:szCs w:val="20"/>
          <w:lang w:val="pt-BR"/>
        </w:rPr>
        <w:t xml:space="preserve">Além disso, </w:t>
      </w:r>
      <w:r w:rsidR="00470ADC" w:rsidRPr="00D5464D">
        <w:rPr>
          <w:rFonts w:cs="Arial"/>
          <w:bCs/>
          <w:iCs/>
          <w:szCs w:val="20"/>
          <w:lang w:val="pt-BR"/>
        </w:rPr>
        <w:t xml:space="preserve">a </w:t>
      </w:r>
      <w:r w:rsidR="00D81AA1" w:rsidRPr="00D5464D">
        <w:rPr>
          <w:rFonts w:cs="Arial"/>
          <w:bCs/>
          <w:iCs/>
          <w:szCs w:val="20"/>
          <w:lang w:val="pt-BR"/>
        </w:rPr>
        <w:t>informa</w:t>
      </w:r>
      <w:r w:rsidR="00470ADC" w:rsidRPr="00D5464D">
        <w:rPr>
          <w:rFonts w:cs="Arial"/>
          <w:bCs/>
          <w:iCs/>
          <w:szCs w:val="20"/>
          <w:lang w:val="pt-BR"/>
        </w:rPr>
        <w:t>ção</w:t>
      </w:r>
      <w:r w:rsidR="00D81AA1" w:rsidRPr="00D5464D">
        <w:rPr>
          <w:rFonts w:cs="Arial"/>
          <w:bCs/>
          <w:iCs/>
          <w:szCs w:val="20"/>
          <w:lang w:val="pt-BR"/>
        </w:rPr>
        <w:t xml:space="preserve"> pública </w:t>
      </w:r>
      <w:r w:rsidR="00470ADC" w:rsidRPr="00D5464D">
        <w:rPr>
          <w:rFonts w:cs="Arial"/>
          <w:bCs/>
          <w:iCs/>
          <w:szCs w:val="20"/>
          <w:lang w:val="pt-BR"/>
        </w:rPr>
        <w:t>disponível</w:t>
      </w:r>
      <w:r w:rsidR="00E045D9" w:rsidRPr="00D5464D">
        <w:rPr>
          <w:rFonts w:cs="Arial"/>
          <w:bCs/>
          <w:iCs/>
          <w:szCs w:val="20"/>
          <w:lang w:val="pt-BR"/>
        </w:rPr>
        <w:t xml:space="preserve"> na </w:t>
      </w:r>
      <w:r w:rsidR="00D81AA1" w:rsidRPr="00D5464D">
        <w:rPr>
          <w:rFonts w:cs="Arial"/>
          <w:bCs/>
          <w:iCs/>
          <w:szCs w:val="20"/>
          <w:lang w:val="pt-BR"/>
        </w:rPr>
        <w:t>página web oficial</w:t>
      </w:r>
      <w:r w:rsidR="00470ADC" w:rsidRPr="00D5464D">
        <w:rPr>
          <w:rFonts w:cs="Arial"/>
          <w:bCs/>
          <w:iCs/>
          <w:szCs w:val="20"/>
          <w:lang w:val="pt-BR"/>
        </w:rPr>
        <w:t xml:space="preserve"> da </w:t>
      </w:r>
      <w:r w:rsidR="002C330E" w:rsidRPr="00D5464D">
        <w:rPr>
          <w:rFonts w:cs="Arial"/>
          <w:bCs/>
          <w:iCs/>
          <w:szCs w:val="20"/>
          <w:lang w:val="pt-BR"/>
        </w:rPr>
        <w:t>Justiça</w:t>
      </w:r>
      <w:r w:rsidR="00D81AA1" w:rsidRPr="00D5464D">
        <w:rPr>
          <w:rFonts w:cs="Arial"/>
          <w:bCs/>
          <w:iCs/>
          <w:szCs w:val="20"/>
          <w:lang w:val="pt-BR"/>
        </w:rPr>
        <w:t xml:space="preserve"> Federal</w:t>
      </w:r>
      <w:r w:rsidR="00E045D9" w:rsidRPr="00D5464D">
        <w:rPr>
          <w:rFonts w:cs="Arial"/>
          <w:bCs/>
          <w:iCs/>
          <w:szCs w:val="20"/>
          <w:lang w:val="pt-BR"/>
        </w:rPr>
        <w:t xml:space="preserve"> no </w:t>
      </w:r>
      <w:r w:rsidR="00996473" w:rsidRPr="00D5464D">
        <w:rPr>
          <w:rFonts w:cs="Arial"/>
          <w:bCs/>
          <w:iCs/>
          <w:szCs w:val="20"/>
          <w:lang w:val="pt-BR"/>
        </w:rPr>
        <w:t>Estado do Pará</w:t>
      </w:r>
      <w:r w:rsidR="006B7BC7" w:rsidRPr="00D5464D">
        <w:rPr>
          <w:rFonts w:cs="Arial"/>
          <w:bCs/>
          <w:iCs/>
          <w:szCs w:val="20"/>
          <w:lang w:val="pt-BR"/>
        </w:rPr>
        <w:t xml:space="preserve"> informa que </w:t>
      </w:r>
      <w:r w:rsidR="00470ADC" w:rsidRPr="00D5464D">
        <w:rPr>
          <w:rFonts w:cs="Arial"/>
          <w:bCs/>
          <w:iCs/>
          <w:szCs w:val="20"/>
          <w:lang w:val="pt-BR"/>
        </w:rPr>
        <w:t xml:space="preserve">esse </w:t>
      </w:r>
      <w:r w:rsidR="002C330E" w:rsidRPr="00D5464D">
        <w:rPr>
          <w:rFonts w:cs="Arial"/>
          <w:bCs/>
          <w:iCs/>
          <w:szCs w:val="20"/>
          <w:lang w:val="pt-BR"/>
        </w:rPr>
        <w:t>processo</w:t>
      </w:r>
      <w:r w:rsidR="00D81AA1" w:rsidRPr="00D5464D">
        <w:rPr>
          <w:rFonts w:cs="Arial"/>
          <w:bCs/>
          <w:iCs/>
          <w:szCs w:val="20"/>
          <w:lang w:val="pt-BR"/>
        </w:rPr>
        <w:t xml:space="preserve"> penal</w:t>
      </w:r>
      <w:r w:rsidR="00470ADC" w:rsidRPr="00D5464D">
        <w:rPr>
          <w:rFonts w:cs="Arial"/>
          <w:bCs/>
          <w:iCs/>
          <w:szCs w:val="20"/>
          <w:lang w:val="pt-BR"/>
        </w:rPr>
        <w:t xml:space="preserve"> foi</w:t>
      </w:r>
      <w:r w:rsidR="002C330E" w:rsidRPr="00D5464D">
        <w:rPr>
          <w:rFonts w:cs="Arial"/>
          <w:bCs/>
          <w:iCs/>
          <w:szCs w:val="20"/>
          <w:lang w:val="pt-BR"/>
        </w:rPr>
        <w:t xml:space="preserve"> </w:t>
      </w:r>
      <w:r w:rsidR="006B7BC7" w:rsidRPr="00D5464D">
        <w:rPr>
          <w:rFonts w:cs="Arial"/>
          <w:bCs/>
          <w:iCs/>
          <w:szCs w:val="20"/>
          <w:lang w:val="pt-BR"/>
        </w:rPr>
        <w:t>interposto per</w:t>
      </w:r>
      <w:r w:rsidR="00B654E8" w:rsidRPr="00D5464D">
        <w:rPr>
          <w:rFonts w:cs="Arial"/>
          <w:bCs/>
          <w:iCs/>
          <w:szCs w:val="20"/>
          <w:lang w:val="pt-BR"/>
        </w:rPr>
        <w:t>ante</w:t>
      </w:r>
      <w:r w:rsidR="00470ADC" w:rsidRPr="00D5464D">
        <w:rPr>
          <w:rFonts w:cs="Arial"/>
          <w:bCs/>
          <w:iCs/>
          <w:szCs w:val="20"/>
          <w:lang w:val="pt-BR"/>
        </w:rPr>
        <w:t xml:space="preserve"> </w:t>
      </w:r>
      <w:r w:rsidR="006B7BC7" w:rsidRPr="00D5464D">
        <w:rPr>
          <w:rFonts w:cs="Arial"/>
          <w:bCs/>
          <w:iCs/>
          <w:szCs w:val="20"/>
          <w:lang w:val="pt-BR"/>
        </w:rPr>
        <w:t xml:space="preserve">a Vara </w:t>
      </w:r>
      <w:r w:rsidR="00B654E8" w:rsidRPr="00D5464D">
        <w:rPr>
          <w:rFonts w:cs="Arial"/>
          <w:bCs/>
          <w:iCs/>
          <w:szCs w:val="20"/>
          <w:lang w:val="pt-BR"/>
        </w:rPr>
        <w:t>Federal de Marabá</w:t>
      </w:r>
      <w:r w:rsidR="006B7BC7" w:rsidRPr="00D5464D">
        <w:rPr>
          <w:rFonts w:cs="Arial"/>
          <w:bCs/>
          <w:iCs/>
          <w:szCs w:val="20"/>
          <w:lang w:val="pt-BR"/>
        </w:rPr>
        <w:t>,</w:t>
      </w:r>
      <w:r w:rsidR="002C330E" w:rsidRPr="00D5464D">
        <w:rPr>
          <w:rFonts w:cs="Arial"/>
          <w:bCs/>
          <w:iCs/>
          <w:szCs w:val="20"/>
          <w:lang w:val="pt-BR"/>
        </w:rPr>
        <w:t xml:space="preserve"> em 2</w:t>
      </w:r>
      <w:r w:rsidR="00B654E8" w:rsidRPr="00D5464D">
        <w:rPr>
          <w:rFonts w:cs="Arial"/>
          <w:bCs/>
          <w:iCs/>
          <w:szCs w:val="20"/>
          <w:lang w:val="pt-BR"/>
        </w:rPr>
        <w:t xml:space="preserve">8 de </w:t>
      </w:r>
      <w:r w:rsidR="00470ADC" w:rsidRPr="00D5464D">
        <w:rPr>
          <w:rFonts w:cs="Arial"/>
          <w:bCs/>
          <w:iCs/>
          <w:szCs w:val="20"/>
          <w:lang w:val="pt-BR"/>
        </w:rPr>
        <w:t>fevereiro</w:t>
      </w:r>
      <w:r w:rsidR="00B654E8" w:rsidRPr="00D5464D">
        <w:rPr>
          <w:rFonts w:cs="Arial"/>
          <w:bCs/>
          <w:iCs/>
          <w:szCs w:val="20"/>
          <w:lang w:val="pt-BR"/>
        </w:rPr>
        <w:t xml:space="preserve"> de 2001</w:t>
      </w:r>
      <w:r w:rsidR="00470ADC" w:rsidRPr="00D5464D">
        <w:rPr>
          <w:rFonts w:cs="Arial"/>
          <w:bCs/>
          <w:iCs/>
          <w:szCs w:val="20"/>
          <w:lang w:val="pt-BR"/>
        </w:rPr>
        <w:t>, e</w:t>
      </w:r>
      <w:r w:rsidR="00B654E8" w:rsidRPr="00D5464D">
        <w:rPr>
          <w:rFonts w:cs="Arial"/>
          <w:bCs/>
          <w:iCs/>
          <w:szCs w:val="20"/>
          <w:lang w:val="pt-BR"/>
        </w:rPr>
        <w:t xml:space="preserve"> posteriormente</w:t>
      </w:r>
      <w:r w:rsidR="00470ADC" w:rsidRPr="00D5464D">
        <w:rPr>
          <w:rFonts w:cs="Arial"/>
          <w:bCs/>
          <w:iCs/>
          <w:szCs w:val="20"/>
          <w:lang w:val="pt-BR"/>
        </w:rPr>
        <w:t xml:space="preserve"> foi </w:t>
      </w:r>
      <w:r w:rsidR="00D81AA1" w:rsidRPr="00D5464D">
        <w:rPr>
          <w:rFonts w:cs="Arial"/>
          <w:bCs/>
          <w:iCs/>
          <w:szCs w:val="20"/>
          <w:lang w:val="pt-BR"/>
        </w:rPr>
        <w:t>trasladado</w:t>
      </w:r>
      <w:r w:rsidR="00470ADC" w:rsidRPr="00D5464D">
        <w:rPr>
          <w:rFonts w:cs="Arial"/>
          <w:bCs/>
          <w:iCs/>
          <w:szCs w:val="20"/>
          <w:lang w:val="pt-BR"/>
        </w:rPr>
        <w:t xml:space="preserve"> </w:t>
      </w:r>
      <w:r w:rsidR="006B7BC7" w:rsidRPr="00D5464D">
        <w:rPr>
          <w:rFonts w:cs="Arial"/>
          <w:bCs/>
          <w:iCs/>
          <w:szCs w:val="20"/>
          <w:lang w:val="pt-BR"/>
        </w:rPr>
        <w:t xml:space="preserve">à Vara </w:t>
      </w:r>
      <w:r w:rsidR="00B654E8" w:rsidRPr="00D5464D">
        <w:rPr>
          <w:rFonts w:cs="Arial"/>
          <w:bCs/>
          <w:iCs/>
          <w:szCs w:val="20"/>
          <w:lang w:val="pt-BR"/>
        </w:rPr>
        <w:t xml:space="preserve">Estadual de Xinguara, </w:t>
      </w:r>
      <w:r w:rsidR="00996473" w:rsidRPr="00D5464D">
        <w:rPr>
          <w:rFonts w:cs="Arial"/>
          <w:bCs/>
          <w:iCs/>
          <w:szCs w:val="20"/>
          <w:lang w:val="pt-BR"/>
        </w:rPr>
        <w:t>Estado do Pará</w:t>
      </w:r>
      <w:r w:rsidR="00B654E8" w:rsidRPr="00D5464D">
        <w:rPr>
          <w:rFonts w:cs="Arial"/>
          <w:bCs/>
          <w:iCs/>
          <w:szCs w:val="20"/>
          <w:lang w:val="pt-BR"/>
        </w:rPr>
        <w:t>,</w:t>
      </w:r>
      <w:r w:rsidR="002C330E" w:rsidRPr="00D5464D">
        <w:rPr>
          <w:rFonts w:cs="Arial"/>
          <w:bCs/>
          <w:iCs/>
          <w:szCs w:val="20"/>
          <w:lang w:val="pt-BR"/>
        </w:rPr>
        <w:t xml:space="preserve"> em 3</w:t>
      </w:r>
      <w:r w:rsidR="00B654E8" w:rsidRPr="00D5464D">
        <w:rPr>
          <w:rFonts w:cs="Arial"/>
          <w:bCs/>
          <w:iCs/>
          <w:szCs w:val="20"/>
          <w:lang w:val="pt-BR"/>
        </w:rPr>
        <w:t xml:space="preserve"> de agosto de 20</w:t>
      </w:r>
      <w:r w:rsidR="00671170" w:rsidRPr="00D5464D">
        <w:rPr>
          <w:rFonts w:cs="Arial"/>
          <w:bCs/>
          <w:iCs/>
          <w:szCs w:val="20"/>
          <w:lang w:val="pt-BR"/>
        </w:rPr>
        <w:t>0</w:t>
      </w:r>
      <w:r w:rsidR="00B654E8" w:rsidRPr="00D5464D">
        <w:rPr>
          <w:rFonts w:cs="Arial"/>
          <w:bCs/>
          <w:iCs/>
          <w:szCs w:val="20"/>
          <w:lang w:val="pt-BR"/>
        </w:rPr>
        <w:t xml:space="preserve">1. Durante 10 </w:t>
      </w:r>
      <w:r w:rsidR="00470ADC" w:rsidRPr="00D5464D">
        <w:rPr>
          <w:rFonts w:cs="Arial"/>
          <w:bCs/>
          <w:iCs/>
          <w:szCs w:val="20"/>
          <w:lang w:val="pt-BR"/>
        </w:rPr>
        <w:t>anos</w:t>
      </w:r>
      <w:r w:rsidR="00B654E8" w:rsidRPr="00D5464D">
        <w:rPr>
          <w:rFonts w:cs="Arial"/>
          <w:bCs/>
          <w:iCs/>
          <w:szCs w:val="20"/>
          <w:lang w:val="pt-BR"/>
        </w:rPr>
        <w:t xml:space="preserve"> </w:t>
      </w:r>
      <w:r w:rsidR="00470ADC" w:rsidRPr="00D5464D">
        <w:rPr>
          <w:rFonts w:cs="Arial"/>
          <w:bCs/>
          <w:iCs/>
          <w:szCs w:val="20"/>
          <w:lang w:val="pt-BR"/>
        </w:rPr>
        <w:t>este</w:t>
      </w:r>
      <w:r w:rsidR="00B654E8" w:rsidRPr="00D5464D">
        <w:rPr>
          <w:rFonts w:cs="Arial"/>
          <w:bCs/>
          <w:iCs/>
          <w:szCs w:val="20"/>
          <w:lang w:val="pt-BR"/>
        </w:rPr>
        <w:t xml:space="preserve"> </w:t>
      </w:r>
      <w:r w:rsidR="002C330E" w:rsidRPr="00D5464D">
        <w:rPr>
          <w:rFonts w:cs="Arial"/>
          <w:bCs/>
          <w:iCs/>
          <w:szCs w:val="20"/>
          <w:lang w:val="pt-BR"/>
        </w:rPr>
        <w:t>processo</w:t>
      </w:r>
      <w:r w:rsidR="00B654E8" w:rsidRPr="00D5464D">
        <w:rPr>
          <w:rFonts w:cs="Arial"/>
          <w:bCs/>
          <w:iCs/>
          <w:szCs w:val="20"/>
          <w:lang w:val="pt-BR"/>
        </w:rPr>
        <w:t xml:space="preserve"> </w:t>
      </w:r>
      <w:r w:rsidR="00470ADC" w:rsidRPr="00D5464D">
        <w:rPr>
          <w:rFonts w:cs="Arial"/>
          <w:bCs/>
          <w:iCs/>
          <w:szCs w:val="20"/>
          <w:lang w:val="pt-BR"/>
        </w:rPr>
        <w:t>esteve</w:t>
      </w:r>
      <w:r w:rsidR="006B7BC7" w:rsidRPr="00D5464D">
        <w:rPr>
          <w:rFonts w:cs="Arial"/>
          <w:bCs/>
          <w:iCs/>
          <w:szCs w:val="20"/>
          <w:lang w:val="pt-BR"/>
        </w:rPr>
        <w:t xml:space="preserve"> sem movimentação</w:t>
      </w:r>
      <w:r w:rsidR="00947ED0" w:rsidRPr="00D5464D">
        <w:rPr>
          <w:rFonts w:cs="Arial"/>
          <w:bCs/>
          <w:iCs/>
          <w:szCs w:val="20"/>
          <w:lang w:val="pt-BR"/>
        </w:rPr>
        <w:t xml:space="preserve"> </w:t>
      </w:r>
      <w:r w:rsidR="002C330E" w:rsidRPr="00D5464D">
        <w:rPr>
          <w:rFonts w:cs="Arial"/>
          <w:bCs/>
          <w:iCs/>
          <w:szCs w:val="20"/>
          <w:lang w:val="pt-BR"/>
        </w:rPr>
        <w:t>até 2</w:t>
      </w:r>
      <w:r w:rsidR="00947ED0" w:rsidRPr="00D5464D">
        <w:rPr>
          <w:rFonts w:cs="Arial"/>
          <w:bCs/>
          <w:iCs/>
          <w:szCs w:val="20"/>
          <w:lang w:val="pt-BR"/>
        </w:rPr>
        <w:t xml:space="preserve"> de </w:t>
      </w:r>
      <w:r w:rsidR="002C330E" w:rsidRPr="00D5464D">
        <w:rPr>
          <w:rFonts w:cs="Arial"/>
          <w:bCs/>
          <w:iCs/>
          <w:szCs w:val="20"/>
          <w:lang w:val="pt-BR"/>
        </w:rPr>
        <w:t>junho</w:t>
      </w:r>
      <w:r w:rsidR="00947ED0" w:rsidRPr="00D5464D">
        <w:rPr>
          <w:rFonts w:cs="Arial"/>
          <w:bCs/>
          <w:iCs/>
          <w:szCs w:val="20"/>
          <w:lang w:val="pt-BR"/>
        </w:rPr>
        <w:t xml:space="preserve"> de 2011</w:t>
      </w:r>
      <w:r w:rsidR="00B654E8" w:rsidRPr="00D5464D">
        <w:rPr>
          <w:rFonts w:cs="Arial"/>
          <w:bCs/>
          <w:iCs/>
          <w:szCs w:val="20"/>
          <w:lang w:val="pt-BR"/>
        </w:rPr>
        <w:t>,</w:t>
      </w:r>
      <w:r w:rsidR="002C330E" w:rsidRPr="00D5464D">
        <w:rPr>
          <w:rFonts w:cs="Arial"/>
          <w:bCs/>
          <w:iCs/>
          <w:szCs w:val="20"/>
          <w:lang w:val="pt-BR"/>
        </w:rPr>
        <w:t xml:space="preserve"> sem </w:t>
      </w:r>
      <w:r w:rsidR="00D81AA1" w:rsidRPr="00D5464D">
        <w:rPr>
          <w:rFonts w:cs="Arial"/>
          <w:bCs/>
          <w:iCs/>
          <w:szCs w:val="20"/>
          <w:lang w:val="pt-BR"/>
        </w:rPr>
        <w:t xml:space="preserve">que exista </w:t>
      </w:r>
      <w:r w:rsidR="006B7BC7" w:rsidRPr="00D5464D">
        <w:rPr>
          <w:rFonts w:cs="Arial"/>
          <w:bCs/>
          <w:iCs/>
          <w:szCs w:val="20"/>
          <w:lang w:val="pt-BR"/>
        </w:rPr>
        <w:t xml:space="preserve">qualquer </w:t>
      </w:r>
      <w:r w:rsidR="002C330E" w:rsidRPr="00D5464D">
        <w:rPr>
          <w:rFonts w:cs="Arial"/>
          <w:bCs/>
          <w:iCs/>
          <w:szCs w:val="20"/>
          <w:lang w:val="pt-BR"/>
        </w:rPr>
        <w:t xml:space="preserve">outra </w:t>
      </w:r>
      <w:r w:rsidR="00D81AA1" w:rsidRPr="00D5464D">
        <w:rPr>
          <w:rFonts w:cs="Arial"/>
          <w:bCs/>
          <w:iCs/>
          <w:szCs w:val="20"/>
          <w:lang w:val="pt-BR"/>
        </w:rPr>
        <w:t>informa</w:t>
      </w:r>
      <w:r w:rsidR="00470ADC" w:rsidRPr="00D5464D">
        <w:rPr>
          <w:rFonts w:cs="Arial"/>
          <w:bCs/>
          <w:iCs/>
          <w:szCs w:val="20"/>
          <w:lang w:val="pt-BR"/>
        </w:rPr>
        <w:t xml:space="preserve">ção </w:t>
      </w:r>
      <w:r w:rsidR="00C91CB1" w:rsidRPr="00D5464D">
        <w:rPr>
          <w:rFonts w:cs="Arial"/>
          <w:bCs/>
          <w:iCs/>
          <w:szCs w:val="20"/>
          <w:lang w:val="pt-BR"/>
        </w:rPr>
        <w:t>a respeito</w:t>
      </w:r>
      <w:r w:rsidR="006B7BC7" w:rsidRPr="00D5464D">
        <w:rPr>
          <w:rFonts w:cs="Arial"/>
          <w:bCs/>
          <w:iCs/>
          <w:szCs w:val="20"/>
          <w:lang w:val="pt-BR"/>
        </w:rPr>
        <w:t>.</w:t>
      </w:r>
      <w:r w:rsidR="00947ED0" w:rsidRPr="00D5464D">
        <w:rPr>
          <w:rStyle w:val="Refdenotaalpie"/>
          <w:bCs/>
          <w:iCs/>
          <w:lang w:val="pt-BR"/>
        </w:rPr>
        <w:footnoteReference w:id="495"/>
      </w:r>
    </w:p>
    <w:p w14:paraId="3C2D3B04" w14:textId="77777777" w:rsidR="00DE3E58" w:rsidRPr="00D5464D" w:rsidRDefault="00DE3E58" w:rsidP="00DE3E58">
      <w:pPr>
        <w:pStyle w:val="Prrafodelista"/>
        <w:tabs>
          <w:tab w:val="right" w:pos="0"/>
        </w:tabs>
        <w:ind w:left="1080"/>
        <w:rPr>
          <w:rFonts w:cs="Arial"/>
          <w:i/>
          <w:szCs w:val="20"/>
          <w:lang w:val="pt-BR"/>
        </w:rPr>
      </w:pPr>
    </w:p>
    <w:p w14:paraId="46242024" w14:textId="61ED4CEA" w:rsidR="00D81AA1" w:rsidRPr="00D5464D" w:rsidRDefault="00470ADC" w:rsidP="00F306D7">
      <w:pPr>
        <w:pStyle w:val="Prrafodelista"/>
        <w:numPr>
          <w:ilvl w:val="0"/>
          <w:numId w:val="24"/>
        </w:numPr>
        <w:tabs>
          <w:tab w:val="right" w:pos="0"/>
        </w:tabs>
        <w:rPr>
          <w:rFonts w:cs="Arial"/>
          <w:i/>
          <w:szCs w:val="20"/>
          <w:lang w:val="pt-BR"/>
        </w:rPr>
      </w:pPr>
      <w:r w:rsidRPr="00D5464D">
        <w:rPr>
          <w:rFonts w:cs="Arial"/>
          <w:i/>
          <w:szCs w:val="20"/>
          <w:lang w:val="pt-BR"/>
        </w:rPr>
        <w:t>A</w:t>
      </w:r>
      <w:r w:rsidRPr="00D5464D">
        <w:rPr>
          <w:rFonts w:cs="Arial"/>
          <w:szCs w:val="20"/>
          <w:lang w:val="pt-BR"/>
        </w:rPr>
        <w:t xml:space="preserve"> </w:t>
      </w:r>
      <w:r w:rsidRPr="00D5464D">
        <w:rPr>
          <w:rFonts w:cs="Arial"/>
          <w:i/>
          <w:szCs w:val="20"/>
          <w:lang w:val="pt-BR"/>
        </w:rPr>
        <w:t xml:space="preserve">efetividade dos </w:t>
      </w:r>
      <w:r w:rsidR="002C330E" w:rsidRPr="00D5464D">
        <w:rPr>
          <w:rFonts w:cs="Arial"/>
          <w:i/>
          <w:szCs w:val="20"/>
          <w:lang w:val="pt-BR"/>
        </w:rPr>
        <w:t>processo</w:t>
      </w:r>
      <w:r w:rsidR="00D81AA1" w:rsidRPr="00D5464D">
        <w:rPr>
          <w:rFonts w:cs="Arial"/>
          <w:i/>
          <w:szCs w:val="20"/>
          <w:lang w:val="pt-BR"/>
        </w:rPr>
        <w:t>s</w:t>
      </w:r>
      <w:r w:rsidR="00E045D9" w:rsidRPr="00D5464D">
        <w:rPr>
          <w:rFonts w:cs="Arial"/>
          <w:i/>
          <w:szCs w:val="20"/>
          <w:lang w:val="pt-BR"/>
        </w:rPr>
        <w:t xml:space="preserve"> e </w:t>
      </w:r>
      <w:r w:rsidR="006B7BC7" w:rsidRPr="00D5464D">
        <w:rPr>
          <w:rFonts w:cs="Arial"/>
          <w:i/>
          <w:szCs w:val="20"/>
          <w:lang w:val="pt-BR"/>
        </w:rPr>
        <w:t>a</w:t>
      </w:r>
      <w:r w:rsidRPr="00D5464D">
        <w:rPr>
          <w:rFonts w:cs="Arial"/>
          <w:i/>
          <w:szCs w:val="20"/>
          <w:lang w:val="pt-BR"/>
        </w:rPr>
        <w:t xml:space="preserve"> </w:t>
      </w:r>
      <w:r w:rsidR="00E045D9" w:rsidRPr="00D5464D">
        <w:rPr>
          <w:rFonts w:cs="Arial"/>
          <w:i/>
          <w:szCs w:val="20"/>
          <w:lang w:val="pt-BR"/>
        </w:rPr>
        <w:t>existência</w:t>
      </w:r>
      <w:r w:rsidR="00D81AA1" w:rsidRPr="00D5464D">
        <w:rPr>
          <w:rFonts w:cs="Arial"/>
          <w:i/>
          <w:szCs w:val="20"/>
          <w:lang w:val="pt-BR"/>
        </w:rPr>
        <w:t xml:space="preserve"> de</w:t>
      </w:r>
      <w:r w:rsidR="00E045D9" w:rsidRPr="00D5464D">
        <w:rPr>
          <w:rFonts w:cs="Arial"/>
          <w:i/>
          <w:szCs w:val="20"/>
          <w:lang w:val="pt-BR"/>
        </w:rPr>
        <w:t xml:space="preserve"> um </w:t>
      </w:r>
      <w:r w:rsidR="00D81AA1" w:rsidRPr="00D5464D">
        <w:rPr>
          <w:rFonts w:cs="Arial"/>
          <w:i/>
          <w:szCs w:val="20"/>
          <w:lang w:val="pt-BR"/>
        </w:rPr>
        <w:t xml:space="preserve">recurso </w:t>
      </w:r>
      <w:r w:rsidRPr="00D5464D">
        <w:rPr>
          <w:rFonts w:cs="Arial"/>
          <w:i/>
          <w:szCs w:val="20"/>
          <w:lang w:val="pt-BR"/>
        </w:rPr>
        <w:t>efetiv</w:t>
      </w:r>
      <w:r w:rsidR="00D81AA1" w:rsidRPr="00D5464D">
        <w:rPr>
          <w:rFonts w:cs="Arial"/>
          <w:i/>
          <w:szCs w:val="20"/>
          <w:lang w:val="pt-BR"/>
        </w:rPr>
        <w:t>o</w:t>
      </w:r>
    </w:p>
    <w:p w14:paraId="427E161F" w14:textId="77777777" w:rsidR="00DE3E58" w:rsidRPr="00D5464D" w:rsidRDefault="00DE3E58" w:rsidP="00DE3E58">
      <w:pPr>
        <w:pStyle w:val="Prrafodelista"/>
        <w:ind w:left="0"/>
        <w:contextualSpacing w:val="0"/>
        <w:rPr>
          <w:rFonts w:cs="Arial"/>
          <w:szCs w:val="20"/>
          <w:lang w:val="pt-BR"/>
        </w:rPr>
      </w:pPr>
    </w:p>
    <w:p w14:paraId="466313A0" w14:textId="5F94589E" w:rsidR="00D81AA1" w:rsidRPr="00D5464D" w:rsidRDefault="00470ADC" w:rsidP="00D81AA1">
      <w:pPr>
        <w:pStyle w:val="Prrafodelista"/>
        <w:numPr>
          <w:ilvl w:val="0"/>
          <w:numId w:val="1"/>
        </w:numPr>
        <w:contextualSpacing w:val="0"/>
        <w:rPr>
          <w:rFonts w:cs="Arial"/>
          <w:szCs w:val="20"/>
          <w:lang w:val="pt-BR"/>
        </w:rPr>
      </w:pPr>
      <w:r w:rsidRPr="00D5464D">
        <w:rPr>
          <w:rFonts w:cs="Arial"/>
          <w:szCs w:val="20"/>
          <w:lang w:val="pt-BR"/>
        </w:rPr>
        <w:t xml:space="preserve">A </w:t>
      </w:r>
      <w:r w:rsidR="00D81AA1" w:rsidRPr="00D5464D">
        <w:rPr>
          <w:rFonts w:cs="Arial"/>
          <w:szCs w:val="20"/>
          <w:lang w:val="pt-BR"/>
        </w:rPr>
        <w:t xml:space="preserve">Corte </w:t>
      </w:r>
      <w:r w:rsidR="002C330E" w:rsidRPr="00D5464D">
        <w:rPr>
          <w:rFonts w:cs="Arial"/>
          <w:szCs w:val="20"/>
          <w:lang w:val="pt-BR"/>
        </w:rPr>
        <w:t>indicou</w:t>
      </w:r>
      <w:r w:rsidR="00D81AA1" w:rsidRPr="00D5464D">
        <w:rPr>
          <w:rFonts w:cs="Arial"/>
          <w:szCs w:val="20"/>
          <w:lang w:val="pt-BR"/>
        </w:rPr>
        <w:t xml:space="preserve"> que</w:t>
      </w:r>
      <w:r w:rsidRPr="00D5464D">
        <w:rPr>
          <w:rFonts w:cs="Arial"/>
          <w:szCs w:val="20"/>
          <w:lang w:val="pt-BR"/>
        </w:rPr>
        <w:t xml:space="preserve"> o artigo</w:t>
      </w:r>
      <w:r w:rsidR="00D81AA1" w:rsidRPr="00D5464D">
        <w:rPr>
          <w:rFonts w:cs="Arial"/>
          <w:szCs w:val="20"/>
          <w:lang w:val="pt-BR"/>
        </w:rPr>
        <w:t xml:space="preserve"> 25.1</w:t>
      </w:r>
      <w:r w:rsidRPr="00D5464D">
        <w:rPr>
          <w:rFonts w:cs="Arial"/>
          <w:szCs w:val="20"/>
          <w:lang w:val="pt-BR"/>
        </w:rPr>
        <w:t xml:space="preserve"> da </w:t>
      </w:r>
      <w:r w:rsidR="00D81AA1" w:rsidRPr="00D5464D">
        <w:rPr>
          <w:rFonts w:cs="Arial"/>
          <w:szCs w:val="20"/>
          <w:lang w:val="pt-BR"/>
        </w:rPr>
        <w:t>Conven</w:t>
      </w:r>
      <w:r w:rsidRPr="00D5464D">
        <w:rPr>
          <w:rFonts w:cs="Arial"/>
          <w:szCs w:val="20"/>
          <w:lang w:val="pt-BR"/>
        </w:rPr>
        <w:t>ção</w:t>
      </w:r>
      <w:r w:rsidR="00D81AA1" w:rsidRPr="00D5464D">
        <w:rPr>
          <w:rFonts w:cs="Arial"/>
          <w:szCs w:val="20"/>
          <w:lang w:val="pt-BR"/>
        </w:rPr>
        <w:t xml:space="preserve"> </w:t>
      </w:r>
      <w:r w:rsidRPr="00D5464D">
        <w:rPr>
          <w:rFonts w:cs="Arial"/>
          <w:szCs w:val="20"/>
          <w:lang w:val="pt-BR"/>
        </w:rPr>
        <w:t>estabelece</w:t>
      </w:r>
      <w:r w:rsidR="00D81AA1" w:rsidRPr="00D5464D">
        <w:rPr>
          <w:rFonts w:cs="Arial"/>
          <w:szCs w:val="20"/>
          <w:lang w:val="pt-BR"/>
        </w:rPr>
        <w:t>,</w:t>
      </w:r>
      <w:r w:rsidRPr="00D5464D">
        <w:rPr>
          <w:rFonts w:cs="Arial"/>
          <w:szCs w:val="20"/>
          <w:lang w:val="pt-BR"/>
        </w:rPr>
        <w:t xml:space="preserve"> em </w:t>
      </w:r>
      <w:r w:rsidR="00E045D9" w:rsidRPr="00D5464D">
        <w:rPr>
          <w:rFonts w:cs="Arial"/>
          <w:szCs w:val="20"/>
          <w:lang w:val="pt-BR"/>
        </w:rPr>
        <w:t>termo</w:t>
      </w:r>
      <w:r w:rsidR="00D81AA1" w:rsidRPr="00D5464D">
        <w:rPr>
          <w:rFonts w:cs="Arial"/>
          <w:szCs w:val="20"/>
          <w:lang w:val="pt-BR"/>
        </w:rPr>
        <w:t xml:space="preserve">s </w:t>
      </w:r>
      <w:r w:rsidR="00350187" w:rsidRPr="00D5464D">
        <w:rPr>
          <w:rFonts w:cs="Arial"/>
          <w:szCs w:val="20"/>
          <w:lang w:val="pt-BR"/>
        </w:rPr>
        <w:t>amplo</w:t>
      </w:r>
      <w:r w:rsidR="00D81AA1" w:rsidRPr="00D5464D">
        <w:rPr>
          <w:rFonts w:cs="Arial"/>
          <w:szCs w:val="20"/>
          <w:lang w:val="pt-BR"/>
        </w:rPr>
        <w:t>s,</w:t>
      </w:r>
      <w:r w:rsidR="002C330E" w:rsidRPr="00D5464D">
        <w:rPr>
          <w:rFonts w:cs="Arial"/>
          <w:szCs w:val="20"/>
          <w:lang w:val="pt-BR"/>
        </w:rPr>
        <w:t xml:space="preserve"> a obrigação</w:t>
      </w:r>
      <w:r w:rsidR="00D81AA1" w:rsidRPr="00D5464D">
        <w:rPr>
          <w:rFonts w:cs="Arial"/>
          <w:szCs w:val="20"/>
          <w:lang w:val="pt-BR"/>
        </w:rPr>
        <w:t xml:space="preserve"> </w:t>
      </w:r>
      <w:r w:rsidRPr="00D5464D">
        <w:rPr>
          <w:rFonts w:cs="Arial"/>
          <w:szCs w:val="20"/>
          <w:lang w:val="pt-BR"/>
        </w:rPr>
        <w:t xml:space="preserve">dos </w:t>
      </w:r>
      <w:r w:rsidR="00D81AA1" w:rsidRPr="00D5464D">
        <w:rPr>
          <w:rFonts w:cs="Arial"/>
          <w:szCs w:val="20"/>
          <w:lang w:val="pt-BR"/>
        </w:rPr>
        <w:t xml:space="preserve">Estados de </w:t>
      </w:r>
      <w:r w:rsidR="002C330E" w:rsidRPr="00D5464D">
        <w:rPr>
          <w:rFonts w:cs="Arial"/>
          <w:szCs w:val="20"/>
          <w:lang w:val="pt-BR"/>
        </w:rPr>
        <w:t>oferece</w:t>
      </w:r>
      <w:r w:rsidR="00D81AA1" w:rsidRPr="00D5464D">
        <w:rPr>
          <w:rFonts w:cs="Arial"/>
          <w:szCs w:val="20"/>
          <w:lang w:val="pt-BR"/>
        </w:rPr>
        <w:t>r a todas</w:t>
      </w:r>
      <w:r w:rsidR="002C330E" w:rsidRPr="00D5464D">
        <w:rPr>
          <w:rFonts w:cs="Arial"/>
          <w:szCs w:val="20"/>
          <w:lang w:val="pt-BR"/>
        </w:rPr>
        <w:t xml:space="preserve"> as pessoa</w:t>
      </w:r>
      <w:r w:rsidR="00D81AA1" w:rsidRPr="00D5464D">
        <w:rPr>
          <w:rFonts w:cs="Arial"/>
          <w:szCs w:val="20"/>
          <w:lang w:val="pt-BR"/>
        </w:rPr>
        <w:t xml:space="preserve">s </w:t>
      </w:r>
      <w:r w:rsidR="002C330E" w:rsidRPr="00D5464D">
        <w:rPr>
          <w:rFonts w:cs="Arial"/>
          <w:szCs w:val="20"/>
          <w:lang w:val="pt-BR"/>
        </w:rPr>
        <w:t>submetida</w:t>
      </w:r>
      <w:r w:rsidR="00D81AA1" w:rsidRPr="00D5464D">
        <w:rPr>
          <w:rFonts w:cs="Arial"/>
          <w:szCs w:val="20"/>
          <w:lang w:val="pt-BR"/>
        </w:rPr>
        <w:t xml:space="preserve">s </w:t>
      </w:r>
      <w:r w:rsidR="00AB62D6" w:rsidRPr="00D5464D">
        <w:rPr>
          <w:rFonts w:cs="Arial"/>
          <w:szCs w:val="20"/>
          <w:lang w:val="pt-BR"/>
        </w:rPr>
        <w:t>à</w:t>
      </w:r>
      <w:r w:rsidR="00D81AA1" w:rsidRPr="00D5464D">
        <w:rPr>
          <w:rFonts w:cs="Arial"/>
          <w:szCs w:val="20"/>
          <w:lang w:val="pt-BR"/>
        </w:rPr>
        <w:t xml:space="preserve"> </w:t>
      </w:r>
      <w:r w:rsidR="00E045D9" w:rsidRPr="00D5464D">
        <w:rPr>
          <w:rFonts w:cs="Arial"/>
          <w:szCs w:val="20"/>
          <w:lang w:val="pt-BR"/>
        </w:rPr>
        <w:t xml:space="preserve">sua jurisdição um </w:t>
      </w:r>
      <w:r w:rsidR="00D81AA1" w:rsidRPr="00D5464D">
        <w:rPr>
          <w:rFonts w:cs="Arial"/>
          <w:szCs w:val="20"/>
          <w:lang w:val="pt-BR"/>
        </w:rPr>
        <w:t xml:space="preserve">recurso judicial </w:t>
      </w:r>
      <w:r w:rsidRPr="00D5464D">
        <w:rPr>
          <w:rFonts w:cs="Arial"/>
          <w:szCs w:val="20"/>
          <w:lang w:val="pt-BR"/>
        </w:rPr>
        <w:t>efetiv</w:t>
      </w:r>
      <w:r w:rsidR="00D81AA1" w:rsidRPr="00D5464D">
        <w:rPr>
          <w:rFonts w:cs="Arial"/>
          <w:szCs w:val="20"/>
          <w:lang w:val="pt-BR"/>
        </w:rPr>
        <w:t>o contra</w:t>
      </w:r>
      <w:r w:rsidRPr="00D5464D">
        <w:rPr>
          <w:rFonts w:cs="Arial"/>
          <w:szCs w:val="20"/>
          <w:lang w:val="pt-BR"/>
        </w:rPr>
        <w:t xml:space="preserve"> atos</w:t>
      </w:r>
      <w:r w:rsidR="00D81AA1" w:rsidRPr="00D5464D">
        <w:rPr>
          <w:rFonts w:cs="Arial"/>
          <w:szCs w:val="20"/>
          <w:lang w:val="pt-BR"/>
        </w:rPr>
        <w:t xml:space="preserve"> </w:t>
      </w:r>
      <w:r w:rsidR="00E045D9" w:rsidRPr="00D5464D">
        <w:rPr>
          <w:rFonts w:cs="Arial"/>
          <w:szCs w:val="20"/>
          <w:lang w:val="pt-BR"/>
        </w:rPr>
        <w:t>violatório</w:t>
      </w:r>
      <w:r w:rsidR="00D81AA1" w:rsidRPr="00D5464D">
        <w:rPr>
          <w:rFonts w:cs="Arial"/>
          <w:szCs w:val="20"/>
          <w:lang w:val="pt-BR"/>
        </w:rPr>
        <w:t xml:space="preserve">s de </w:t>
      </w:r>
      <w:r w:rsidR="00E045D9" w:rsidRPr="00D5464D">
        <w:rPr>
          <w:rFonts w:cs="Arial"/>
          <w:szCs w:val="20"/>
          <w:lang w:val="pt-BR"/>
        </w:rPr>
        <w:t>seus direitos</w:t>
      </w:r>
      <w:r w:rsidR="00D81AA1" w:rsidRPr="00D5464D">
        <w:rPr>
          <w:rFonts w:cs="Arial"/>
          <w:szCs w:val="20"/>
          <w:lang w:val="pt-BR"/>
        </w:rPr>
        <w:t xml:space="preserve"> </w:t>
      </w:r>
      <w:r w:rsidR="002C330E" w:rsidRPr="00D5464D">
        <w:rPr>
          <w:rFonts w:cs="Arial"/>
          <w:szCs w:val="20"/>
          <w:lang w:val="pt-BR"/>
        </w:rPr>
        <w:t>fundamentais</w:t>
      </w:r>
      <w:r w:rsidR="00AB62D6" w:rsidRPr="00D5464D">
        <w:rPr>
          <w:rFonts w:cs="Arial"/>
          <w:szCs w:val="20"/>
          <w:lang w:val="pt-BR"/>
        </w:rPr>
        <w:t>.</w:t>
      </w:r>
      <w:r w:rsidR="00D81AA1" w:rsidRPr="00D5464D">
        <w:rPr>
          <w:szCs w:val="20"/>
          <w:vertAlign w:val="superscript"/>
          <w:lang w:val="pt-BR"/>
        </w:rPr>
        <w:footnoteReference w:id="496"/>
      </w:r>
      <w:r w:rsidR="00D81AA1" w:rsidRPr="00D5464D">
        <w:rPr>
          <w:rFonts w:cs="Arial"/>
          <w:szCs w:val="20"/>
          <w:lang w:val="pt-BR"/>
        </w:rPr>
        <w:t xml:space="preserve"> </w:t>
      </w:r>
    </w:p>
    <w:p w14:paraId="61F4C35B" w14:textId="77777777" w:rsidR="00D81AA1" w:rsidRPr="00D5464D" w:rsidRDefault="00D81AA1" w:rsidP="00D81AA1">
      <w:pPr>
        <w:pStyle w:val="Prrafodelista"/>
        <w:ind w:left="0"/>
        <w:rPr>
          <w:rFonts w:cs="Arial"/>
          <w:szCs w:val="20"/>
          <w:lang w:val="pt-BR"/>
        </w:rPr>
      </w:pPr>
      <w:r w:rsidRPr="00D5464D">
        <w:rPr>
          <w:rFonts w:cs="Arial"/>
          <w:szCs w:val="20"/>
          <w:lang w:val="pt-BR"/>
        </w:rPr>
        <w:t xml:space="preserve"> </w:t>
      </w:r>
    </w:p>
    <w:p w14:paraId="05F758EC" w14:textId="71CE9B1F" w:rsidR="00D81AA1" w:rsidRPr="00D5464D" w:rsidRDefault="00470ADC" w:rsidP="00D81AA1">
      <w:pPr>
        <w:pStyle w:val="Prrafodelista"/>
        <w:numPr>
          <w:ilvl w:val="0"/>
          <w:numId w:val="1"/>
        </w:numPr>
        <w:contextualSpacing w:val="0"/>
        <w:rPr>
          <w:rFonts w:cs="Arial"/>
          <w:szCs w:val="20"/>
          <w:lang w:val="pt-BR"/>
        </w:rPr>
      </w:pPr>
      <w:r w:rsidRPr="00D5464D">
        <w:rPr>
          <w:rFonts w:cs="Arial"/>
          <w:szCs w:val="20"/>
          <w:lang w:val="pt-BR"/>
        </w:rPr>
        <w:t>Ademais</w:t>
      </w:r>
      <w:r w:rsidR="00D81AA1" w:rsidRPr="00D5464D">
        <w:rPr>
          <w:rFonts w:cs="Arial"/>
          <w:szCs w:val="20"/>
          <w:lang w:val="pt-BR"/>
        </w:rPr>
        <w:t>,</w:t>
      </w:r>
      <w:r w:rsidR="002C330E" w:rsidRPr="00D5464D">
        <w:rPr>
          <w:rFonts w:cs="Arial"/>
          <w:szCs w:val="20"/>
          <w:lang w:val="pt-BR"/>
        </w:rPr>
        <w:t xml:space="preserve"> a </w:t>
      </w:r>
      <w:r w:rsidR="00D81AA1" w:rsidRPr="00D5464D">
        <w:rPr>
          <w:rFonts w:cs="Arial"/>
          <w:szCs w:val="20"/>
          <w:lang w:val="pt-BR"/>
        </w:rPr>
        <w:t xml:space="preserve">Corte </w:t>
      </w:r>
      <w:r w:rsidR="002C330E" w:rsidRPr="00D5464D">
        <w:rPr>
          <w:rFonts w:cs="Arial"/>
          <w:szCs w:val="20"/>
          <w:lang w:val="pt-BR"/>
        </w:rPr>
        <w:t>estabeleceu</w:t>
      </w:r>
      <w:r w:rsidR="00D81AA1" w:rsidRPr="00D5464D">
        <w:rPr>
          <w:rFonts w:cs="Arial"/>
          <w:szCs w:val="20"/>
          <w:lang w:val="pt-BR"/>
        </w:rPr>
        <w:t xml:space="preserve"> que</w:t>
      </w:r>
      <w:r w:rsidR="002339E7" w:rsidRPr="00D5464D">
        <w:rPr>
          <w:rFonts w:cs="Arial"/>
          <w:szCs w:val="20"/>
          <w:lang w:val="pt-BR"/>
        </w:rPr>
        <w:t>,</w:t>
      </w:r>
      <w:r w:rsidR="00D81AA1" w:rsidRPr="00D5464D">
        <w:rPr>
          <w:rFonts w:cs="Arial"/>
          <w:szCs w:val="20"/>
          <w:lang w:val="pt-BR"/>
        </w:rPr>
        <w:t xml:space="preserve"> para que</w:t>
      </w:r>
      <w:r w:rsidRPr="00D5464D">
        <w:rPr>
          <w:rFonts w:cs="Arial"/>
          <w:szCs w:val="20"/>
          <w:lang w:val="pt-BR"/>
        </w:rPr>
        <w:t xml:space="preserve"> o </w:t>
      </w:r>
      <w:r w:rsidR="00D81AA1" w:rsidRPr="00D5464D">
        <w:rPr>
          <w:rFonts w:cs="Arial"/>
          <w:szCs w:val="20"/>
          <w:lang w:val="pt-BR"/>
        </w:rPr>
        <w:t xml:space="preserve">Estado </w:t>
      </w:r>
      <w:r w:rsidR="00E045D9" w:rsidRPr="00D5464D">
        <w:rPr>
          <w:rFonts w:cs="Arial"/>
          <w:szCs w:val="20"/>
          <w:lang w:val="pt-BR"/>
        </w:rPr>
        <w:t xml:space="preserve">cumpra </w:t>
      </w:r>
      <w:r w:rsidR="002C330E" w:rsidRPr="00D5464D">
        <w:rPr>
          <w:rFonts w:cs="Arial"/>
          <w:szCs w:val="20"/>
          <w:lang w:val="pt-BR"/>
        </w:rPr>
        <w:t>o disposto</w:t>
      </w:r>
      <w:r w:rsidR="00E045D9" w:rsidRPr="00D5464D">
        <w:rPr>
          <w:rFonts w:cs="Arial"/>
          <w:szCs w:val="20"/>
          <w:lang w:val="pt-BR"/>
        </w:rPr>
        <w:t xml:space="preserve"> no </w:t>
      </w:r>
      <w:r w:rsidRPr="00D5464D">
        <w:rPr>
          <w:rFonts w:cs="Arial"/>
          <w:szCs w:val="20"/>
          <w:lang w:val="pt-BR"/>
        </w:rPr>
        <w:t>artigo</w:t>
      </w:r>
      <w:r w:rsidR="00D81AA1" w:rsidRPr="00D5464D">
        <w:rPr>
          <w:rFonts w:cs="Arial"/>
          <w:szCs w:val="20"/>
          <w:lang w:val="pt-BR"/>
        </w:rPr>
        <w:t xml:space="preserve"> 25</w:t>
      </w:r>
      <w:r w:rsidRPr="00D5464D">
        <w:rPr>
          <w:rFonts w:cs="Arial"/>
          <w:szCs w:val="20"/>
          <w:lang w:val="pt-BR"/>
        </w:rPr>
        <w:t xml:space="preserve"> da </w:t>
      </w:r>
      <w:r w:rsidR="00D81AA1" w:rsidRPr="00D5464D">
        <w:rPr>
          <w:rFonts w:cs="Arial"/>
          <w:szCs w:val="20"/>
          <w:lang w:val="pt-BR"/>
        </w:rPr>
        <w:t>Conven</w:t>
      </w:r>
      <w:r w:rsidRPr="00D5464D">
        <w:rPr>
          <w:rFonts w:cs="Arial"/>
          <w:szCs w:val="20"/>
          <w:lang w:val="pt-BR"/>
        </w:rPr>
        <w:t>ção</w:t>
      </w:r>
      <w:r w:rsidR="00D81AA1" w:rsidRPr="00D5464D">
        <w:rPr>
          <w:rFonts w:cs="Arial"/>
          <w:szCs w:val="20"/>
          <w:lang w:val="pt-BR"/>
        </w:rPr>
        <w:t>, n</w:t>
      </w:r>
      <w:r w:rsidR="00AB62D6" w:rsidRPr="00D5464D">
        <w:rPr>
          <w:rFonts w:cs="Arial"/>
          <w:szCs w:val="20"/>
          <w:lang w:val="pt-BR"/>
        </w:rPr>
        <w:t>ã</w:t>
      </w:r>
      <w:r w:rsidR="00D81AA1" w:rsidRPr="00D5464D">
        <w:rPr>
          <w:rFonts w:cs="Arial"/>
          <w:szCs w:val="20"/>
          <w:lang w:val="pt-BR"/>
        </w:rPr>
        <w:t>o basta</w:t>
      </w:r>
      <w:r w:rsidRPr="00D5464D">
        <w:rPr>
          <w:rFonts w:cs="Arial"/>
          <w:szCs w:val="20"/>
          <w:lang w:val="pt-BR"/>
        </w:rPr>
        <w:t xml:space="preserve"> </w:t>
      </w:r>
      <w:r w:rsidR="00D81AA1" w:rsidRPr="00D5464D">
        <w:rPr>
          <w:rFonts w:cs="Arial"/>
          <w:szCs w:val="20"/>
          <w:lang w:val="pt-BR"/>
        </w:rPr>
        <w:t>que</w:t>
      </w:r>
      <w:r w:rsidR="002C330E" w:rsidRPr="00D5464D">
        <w:rPr>
          <w:rFonts w:cs="Arial"/>
          <w:szCs w:val="20"/>
          <w:lang w:val="pt-BR"/>
        </w:rPr>
        <w:t xml:space="preserve"> os </w:t>
      </w:r>
      <w:r w:rsidR="00D81AA1" w:rsidRPr="00D5464D">
        <w:rPr>
          <w:rFonts w:cs="Arial"/>
          <w:szCs w:val="20"/>
          <w:lang w:val="pt-BR"/>
        </w:rPr>
        <w:t xml:space="preserve">recursos </w:t>
      </w:r>
      <w:r w:rsidR="00E045D9" w:rsidRPr="00D5464D">
        <w:rPr>
          <w:rFonts w:cs="Arial"/>
          <w:szCs w:val="20"/>
          <w:lang w:val="pt-BR"/>
        </w:rPr>
        <w:t xml:space="preserve">existam </w:t>
      </w:r>
      <w:r w:rsidR="00D81AA1" w:rsidRPr="00D5464D">
        <w:rPr>
          <w:rFonts w:cs="Arial"/>
          <w:szCs w:val="20"/>
          <w:lang w:val="pt-BR"/>
        </w:rPr>
        <w:t>formalmente,</w:t>
      </w:r>
      <w:r w:rsidR="002C330E" w:rsidRPr="00D5464D">
        <w:rPr>
          <w:rFonts w:cs="Arial"/>
          <w:szCs w:val="20"/>
          <w:lang w:val="pt-BR"/>
        </w:rPr>
        <w:t xml:space="preserve"> mas </w:t>
      </w:r>
      <w:r w:rsidRPr="00D5464D">
        <w:rPr>
          <w:rFonts w:cs="Arial"/>
          <w:szCs w:val="20"/>
          <w:lang w:val="pt-BR"/>
        </w:rPr>
        <w:t xml:space="preserve">é </w:t>
      </w:r>
      <w:r w:rsidR="00D81AA1" w:rsidRPr="00D5464D">
        <w:rPr>
          <w:rFonts w:cs="Arial"/>
          <w:szCs w:val="20"/>
          <w:lang w:val="pt-BR"/>
        </w:rPr>
        <w:t xml:space="preserve">preciso que </w:t>
      </w:r>
      <w:r w:rsidR="00E045D9" w:rsidRPr="00D5464D">
        <w:rPr>
          <w:rFonts w:cs="Arial"/>
          <w:szCs w:val="20"/>
          <w:lang w:val="pt-BR"/>
        </w:rPr>
        <w:t xml:space="preserve">tenham </w:t>
      </w:r>
      <w:r w:rsidRPr="00D5464D">
        <w:rPr>
          <w:rFonts w:cs="Arial"/>
          <w:szCs w:val="20"/>
          <w:lang w:val="pt-BR"/>
        </w:rPr>
        <w:t>efetividade</w:t>
      </w:r>
      <w:r w:rsidR="00A1358C" w:rsidRPr="00D5464D">
        <w:rPr>
          <w:rFonts w:cs="Arial"/>
          <w:szCs w:val="20"/>
          <w:lang w:val="pt-BR"/>
        </w:rPr>
        <w:t>, isto é,</w:t>
      </w:r>
      <w:r w:rsidR="00D81AA1" w:rsidRPr="00D5464D">
        <w:rPr>
          <w:rFonts w:cs="Arial"/>
          <w:szCs w:val="20"/>
          <w:lang w:val="pt-BR"/>
        </w:rPr>
        <w:t xml:space="preserve"> que </w:t>
      </w:r>
      <w:r w:rsidR="00AF7B3D" w:rsidRPr="00D5464D">
        <w:rPr>
          <w:rFonts w:cs="Arial"/>
          <w:szCs w:val="20"/>
          <w:lang w:val="pt-BR"/>
        </w:rPr>
        <w:t>deem</w:t>
      </w:r>
      <w:r w:rsidR="00AB62D6" w:rsidRPr="00D5464D">
        <w:rPr>
          <w:rFonts w:cs="Arial"/>
          <w:szCs w:val="20"/>
          <w:lang w:val="pt-BR"/>
        </w:rPr>
        <w:t xml:space="preserve"> </w:t>
      </w:r>
      <w:r w:rsidR="00D81AA1" w:rsidRPr="00D5464D">
        <w:rPr>
          <w:rFonts w:cs="Arial"/>
          <w:szCs w:val="20"/>
          <w:lang w:val="pt-BR"/>
        </w:rPr>
        <w:t>resultados o</w:t>
      </w:r>
      <w:r w:rsidR="00AB62D6" w:rsidRPr="00D5464D">
        <w:rPr>
          <w:rFonts w:cs="Arial"/>
          <w:szCs w:val="20"/>
          <w:lang w:val="pt-BR"/>
        </w:rPr>
        <w:t>u</w:t>
      </w:r>
      <w:r w:rsidR="00D81AA1" w:rsidRPr="00D5464D">
        <w:rPr>
          <w:rFonts w:cs="Arial"/>
          <w:szCs w:val="20"/>
          <w:lang w:val="pt-BR"/>
        </w:rPr>
        <w:t xml:space="preserve"> res</w:t>
      </w:r>
      <w:r w:rsidR="002C330E" w:rsidRPr="00D5464D">
        <w:rPr>
          <w:rFonts w:cs="Arial"/>
          <w:szCs w:val="20"/>
          <w:lang w:val="pt-BR"/>
        </w:rPr>
        <w:t>posta</w:t>
      </w:r>
      <w:r w:rsidR="00D81AA1" w:rsidRPr="00D5464D">
        <w:rPr>
          <w:rFonts w:cs="Arial"/>
          <w:szCs w:val="20"/>
          <w:lang w:val="pt-BR"/>
        </w:rPr>
        <w:t>s</w:t>
      </w:r>
      <w:r w:rsidR="00E045D9" w:rsidRPr="00D5464D">
        <w:rPr>
          <w:rFonts w:cs="Arial"/>
          <w:szCs w:val="20"/>
          <w:lang w:val="pt-BR"/>
        </w:rPr>
        <w:t xml:space="preserve"> às </w:t>
      </w:r>
      <w:r w:rsidR="00D81AA1" w:rsidRPr="00D5464D">
        <w:rPr>
          <w:rFonts w:cs="Arial"/>
          <w:szCs w:val="20"/>
          <w:lang w:val="pt-BR"/>
        </w:rPr>
        <w:t>viola</w:t>
      </w:r>
      <w:r w:rsidRPr="00D5464D">
        <w:rPr>
          <w:rFonts w:cs="Arial"/>
          <w:szCs w:val="20"/>
          <w:lang w:val="pt-BR"/>
        </w:rPr>
        <w:t>ções</w:t>
      </w:r>
      <w:r w:rsidR="00D81AA1" w:rsidRPr="00D5464D">
        <w:rPr>
          <w:rFonts w:cs="Arial"/>
          <w:szCs w:val="20"/>
          <w:lang w:val="pt-BR"/>
        </w:rPr>
        <w:t xml:space="preserve"> de </w:t>
      </w:r>
      <w:r w:rsidRPr="00D5464D">
        <w:rPr>
          <w:rFonts w:cs="Arial"/>
          <w:szCs w:val="20"/>
          <w:lang w:val="pt-BR"/>
        </w:rPr>
        <w:t>direito</w:t>
      </w:r>
      <w:r w:rsidR="00D81AA1" w:rsidRPr="00D5464D">
        <w:rPr>
          <w:rFonts w:cs="Arial"/>
          <w:szCs w:val="20"/>
          <w:lang w:val="pt-BR"/>
        </w:rPr>
        <w:t>s re</w:t>
      </w:r>
      <w:r w:rsidR="00AB62D6" w:rsidRPr="00D5464D">
        <w:rPr>
          <w:rFonts w:cs="Arial"/>
          <w:szCs w:val="20"/>
          <w:lang w:val="pt-BR"/>
        </w:rPr>
        <w:t>conhecid</w:t>
      </w:r>
      <w:r w:rsidR="009832F5" w:rsidRPr="00D5464D">
        <w:rPr>
          <w:rFonts w:cs="Arial"/>
          <w:szCs w:val="20"/>
          <w:lang w:val="pt-BR"/>
        </w:rPr>
        <w:t>a</w:t>
      </w:r>
      <w:r w:rsidR="00D81AA1" w:rsidRPr="00D5464D">
        <w:rPr>
          <w:rFonts w:cs="Arial"/>
          <w:szCs w:val="20"/>
          <w:lang w:val="pt-BR"/>
        </w:rPr>
        <w:t>s</w:t>
      </w:r>
      <w:r w:rsidRPr="00D5464D">
        <w:rPr>
          <w:rFonts w:cs="Arial"/>
          <w:szCs w:val="20"/>
          <w:lang w:val="pt-BR"/>
        </w:rPr>
        <w:t>,</w:t>
      </w:r>
      <w:r w:rsidR="00737270" w:rsidRPr="00D5464D">
        <w:rPr>
          <w:rFonts w:cs="Arial"/>
          <w:szCs w:val="20"/>
          <w:lang w:val="pt-BR"/>
        </w:rPr>
        <w:t xml:space="preserve"> </w:t>
      </w:r>
      <w:r w:rsidR="002C330E" w:rsidRPr="00D5464D">
        <w:rPr>
          <w:rFonts w:cs="Arial"/>
          <w:szCs w:val="20"/>
          <w:lang w:val="pt-BR"/>
        </w:rPr>
        <w:t>seja</w:t>
      </w:r>
      <w:r w:rsidR="00E045D9" w:rsidRPr="00D5464D">
        <w:rPr>
          <w:rFonts w:cs="Arial"/>
          <w:szCs w:val="20"/>
          <w:lang w:val="pt-BR"/>
        </w:rPr>
        <w:t xml:space="preserve"> na </w:t>
      </w:r>
      <w:r w:rsidR="00D81AA1" w:rsidRPr="00D5464D">
        <w:rPr>
          <w:rFonts w:cs="Arial"/>
          <w:szCs w:val="20"/>
          <w:lang w:val="pt-BR"/>
        </w:rPr>
        <w:t>Conven</w:t>
      </w:r>
      <w:r w:rsidRPr="00D5464D">
        <w:rPr>
          <w:rFonts w:cs="Arial"/>
          <w:szCs w:val="20"/>
          <w:lang w:val="pt-BR"/>
        </w:rPr>
        <w:t>ção</w:t>
      </w:r>
      <w:r w:rsidR="00D81AA1" w:rsidRPr="00D5464D">
        <w:rPr>
          <w:rFonts w:cs="Arial"/>
          <w:szCs w:val="20"/>
          <w:lang w:val="pt-BR"/>
        </w:rPr>
        <w:t>,</w:t>
      </w:r>
      <w:r w:rsidR="00E045D9" w:rsidRPr="00D5464D">
        <w:rPr>
          <w:rFonts w:cs="Arial"/>
          <w:szCs w:val="20"/>
          <w:lang w:val="pt-BR"/>
        </w:rPr>
        <w:t xml:space="preserve"> na </w:t>
      </w:r>
      <w:r w:rsidRPr="00D5464D">
        <w:rPr>
          <w:rFonts w:cs="Arial"/>
          <w:szCs w:val="20"/>
          <w:lang w:val="pt-BR"/>
        </w:rPr>
        <w:t>Constituição</w:t>
      </w:r>
      <w:r w:rsidR="00D81AA1" w:rsidRPr="00D5464D">
        <w:rPr>
          <w:rFonts w:cs="Arial"/>
          <w:szCs w:val="20"/>
          <w:lang w:val="pt-BR"/>
        </w:rPr>
        <w:t xml:space="preserve"> o</w:t>
      </w:r>
      <w:r w:rsidR="00AB62D6" w:rsidRPr="00D5464D">
        <w:rPr>
          <w:rFonts w:cs="Arial"/>
          <w:szCs w:val="20"/>
          <w:lang w:val="pt-BR"/>
        </w:rPr>
        <w:t>u</w:t>
      </w:r>
      <w:r w:rsidR="00E045D9" w:rsidRPr="00D5464D">
        <w:rPr>
          <w:rFonts w:cs="Arial"/>
          <w:szCs w:val="20"/>
          <w:lang w:val="pt-BR"/>
        </w:rPr>
        <w:t xml:space="preserve"> na </w:t>
      </w:r>
      <w:r w:rsidR="002C330E" w:rsidRPr="00D5464D">
        <w:rPr>
          <w:rFonts w:cs="Arial"/>
          <w:szCs w:val="20"/>
          <w:lang w:val="pt-BR"/>
        </w:rPr>
        <w:t xml:space="preserve">lei. </w:t>
      </w:r>
      <w:r w:rsidR="009832F5" w:rsidRPr="00D5464D">
        <w:rPr>
          <w:rFonts w:cs="Arial"/>
          <w:szCs w:val="20"/>
          <w:lang w:val="pt-BR"/>
        </w:rPr>
        <w:t>Isso</w:t>
      </w:r>
      <w:r w:rsidR="002C330E" w:rsidRPr="00D5464D">
        <w:rPr>
          <w:rFonts w:cs="Arial"/>
          <w:szCs w:val="20"/>
          <w:lang w:val="pt-BR"/>
        </w:rPr>
        <w:t xml:space="preserve"> </w:t>
      </w:r>
      <w:r w:rsidR="00AB62D6" w:rsidRPr="00D5464D">
        <w:rPr>
          <w:rFonts w:cs="Arial"/>
          <w:szCs w:val="20"/>
          <w:lang w:val="pt-BR"/>
        </w:rPr>
        <w:t xml:space="preserve">quer dizer </w:t>
      </w:r>
      <w:r w:rsidR="00D81AA1" w:rsidRPr="00D5464D">
        <w:rPr>
          <w:rFonts w:cs="Arial"/>
          <w:szCs w:val="20"/>
          <w:lang w:val="pt-BR"/>
        </w:rPr>
        <w:t>que</w:t>
      </w:r>
      <w:r w:rsidRPr="00D5464D">
        <w:rPr>
          <w:rFonts w:cs="Arial"/>
          <w:szCs w:val="20"/>
          <w:lang w:val="pt-BR"/>
        </w:rPr>
        <w:t xml:space="preserve"> o </w:t>
      </w:r>
      <w:r w:rsidR="00D81AA1" w:rsidRPr="00D5464D">
        <w:rPr>
          <w:rFonts w:cs="Arial"/>
          <w:szCs w:val="20"/>
          <w:lang w:val="pt-BR"/>
        </w:rPr>
        <w:t>recurso</w:t>
      </w:r>
      <w:r w:rsidRPr="00D5464D">
        <w:rPr>
          <w:rFonts w:cs="Arial"/>
          <w:szCs w:val="20"/>
          <w:lang w:val="pt-BR"/>
        </w:rPr>
        <w:t xml:space="preserve"> deve </w:t>
      </w:r>
      <w:r w:rsidR="00D81AA1" w:rsidRPr="00D5464D">
        <w:rPr>
          <w:rFonts w:cs="Arial"/>
          <w:szCs w:val="20"/>
          <w:lang w:val="pt-BR"/>
        </w:rPr>
        <w:t xml:space="preserve">ser </w:t>
      </w:r>
      <w:r w:rsidR="00A1358C" w:rsidRPr="00D5464D">
        <w:rPr>
          <w:rFonts w:cs="Arial"/>
          <w:szCs w:val="20"/>
          <w:lang w:val="pt-BR"/>
        </w:rPr>
        <w:t xml:space="preserve">idôneo </w:t>
      </w:r>
      <w:r w:rsidR="00D81AA1" w:rsidRPr="00D5464D">
        <w:rPr>
          <w:rFonts w:cs="Arial"/>
          <w:szCs w:val="20"/>
          <w:lang w:val="pt-BR"/>
        </w:rPr>
        <w:t xml:space="preserve">para </w:t>
      </w:r>
      <w:r w:rsidRPr="00D5464D">
        <w:rPr>
          <w:rFonts w:cs="Arial"/>
          <w:szCs w:val="20"/>
          <w:lang w:val="pt-BR"/>
        </w:rPr>
        <w:t>combater</w:t>
      </w:r>
      <w:r w:rsidR="002C330E" w:rsidRPr="00D5464D">
        <w:rPr>
          <w:rFonts w:cs="Arial"/>
          <w:szCs w:val="20"/>
          <w:lang w:val="pt-BR"/>
        </w:rPr>
        <w:t xml:space="preserve"> a </w:t>
      </w:r>
      <w:r w:rsidR="00D81AA1" w:rsidRPr="00D5464D">
        <w:rPr>
          <w:rFonts w:cs="Arial"/>
          <w:szCs w:val="20"/>
          <w:lang w:val="pt-BR"/>
        </w:rPr>
        <w:t>viola</w:t>
      </w:r>
      <w:r w:rsidRPr="00D5464D">
        <w:rPr>
          <w:rFonts w:cs="Arial"/>
          <w:szCs w:val="20"/>
          <w:lang w:val="pt-BR"/>
        </w:rPr>
        <w:t>ção</w:t>
      </w:r>
      <w:r w:rsidR="00E045D9" w:rsidRPr="00D5464D">
        <w:rPr>
          <w:rFonts w:cs="Arial"/>
          <w:szCs w:val="20"/>
          <w:lang w:val="pt-BR"/>
        </w:rPr>
        <w:t xml:space="preserve"> e </w:t>
      </w:r>
      <w:r w:rsidR="00D81AA1" w:rsidRPr="00D5464D">
        <w:rPr>
          <w:rFonts w:cs="Arial"/>
          <w:szCs w:val="20"/>
          <w:lang w:val="pt-BR"/>
        </w:rPr>
        <w:t>que</w:t>
      </w:r>
      <w:r w:rsidR="002C330E" w:rsidRPr="00D5464D">
        <w:rPr>
          <w:rFonts w:cs="Arial"/>
          <w:szCs w:val="20"/>
          <w:lang w:val="pt-BR"/>
        </w:rPr>
        <w:t xml:space="preserve"> </w:t>
      </w:r>
      <w:r w:rsidR="00350187" w:rsidRPr="00D5464D">
        <w:rPr>
          <w:rFonts w:cs="Arial"/>
          <w:szCs w:val="20"/>
          <w:lang w:val="pt-BR"/>
        </w:rPr>
        <w:t>sua aplicação</w:t>
      </w:r>
      <w:r w:rsidR="002C330E" w:rsidRPr="00D5464D">
        <w:rPr>
          <w:rFonts w:cs="Arial"/>
          <w:szCs w:val="20"/>
          <w:lang w:val="pt-BR"/>
        </w:rPr>
        <w:t xml:space="preserve"> </w:t>
      </w:r>
      <w:r w:rsidR="00AB62D6" w:rsidRPr="00D5464D">
        <w:rPr>
          <w:rFonts w:cs="Arial"/>
          <w:szCs w:val="20"/>
          <w:lang w:val="pt-BR"/>
        </w:rPr>
        <w:t xml:space="preserve">por parte da </w:t>
      </w:r>
      <w:r w:rsidRPr="00D5464D">
        <w:rPr>
          <w:rFonts w:cs="Arial"/>
          <w:szCs w:val="20"/>
          <w:lang w:val="pt-BR"/>
        </w:rPr>
        <w:t xml:space="preserve">autoridade </w:t>
      </w:r>
      <w:r w:rsidR="00A1358C" w:rsidRPr="00D5464D">
        <w:rPr>
          <w:rFonts w:cs="Arial"/>
          <w:szCs w:val="20"/>
          <w:lang w:val="pt-BR"/>
        </w:rPr>
        <w:t>competente</w:t>
      </w:r>
      <w:r w:rsidR="00AB62D6" w:rsidRPr="00D5464D">
        <w:rPr>
          <w:rFonts w:cs="Arial"/>
          <w:szCs w:val="20"/>
          <w:lang w:val="pt-BR"/>
        </w:rPr>
        <w:t xml:space="preserve"> </w:t>
      </w:r>
      <w:r w:rsidR="009832F5" w:rsidRPr="00D5464D">
        <w:rPr>
          <w:rFonts w:cs="Arial"/>
          <w:szCs w:val="20"/>
          <w:lang w:val="pt-BR"/>
        </w:rPr>
        <w:t>deve ser</w:t>
      </w:r>
      <w:r w:rsidR="00FF1290" w:rsidRPr="00D5464D">
        <w:rPr>
          <w:rFonts w:cs="Arial"/>
          <w:szCs w:val="20"/>
          <w:lang w:val="pt-BR"/>
        </w:rPr>
        <w:t xml:space="preserve"> </w:t>
      </w:r>
      <w:r w:rsidR="00AB62D6" w:rsidRPr="00D5464D">
        <w:rPr>
          <w:rFonts w:cs="Arial"/>
          <w:szCs w:val="20"/>
          <w:lang w:val="pt-BR"/>
        </w:rPr>
        <w:t>efetiva</w:t>
      </w:r>
      <w:r w:rsidR="00D81AA1" w:rsidRPr="00D5464D">
        <w:rPr>
          <w:rFonts w:cs="Arial"/>
          <w:szCs w:val="20"/>
          <w:lang w:val="pt-BR"/>
        </w:rPr>
        <w:t xml:space="preserve">. De igual </w:t>
      </w:r>
      <w:r w:rsidR="002C330E" w:rsidRPr="00D5464D">
        <w:rPr>
          <w:rFonts w:cs="Arial"/>
          <w:szCs w:val="20"/>
          <w:lang w:val="pt-BR"/>
        </w:rPr>
        <w:t>maneira</w:t>
      </w:r>
      <w:r w:rsidR="00AB62D6" w:rsidRPr="00D5464D">
        <w:rPr>
          <w:rFonts w:cs="Arial"/>
          <w:szCs w:val="20"/>
          <w:lang w:val="pt-BR"/>
        </w:rPr>
        <w:t>,</w:t>
      </w:r>
      <w:r w:rsidR="00E045D9" w:rsidRPr="00D5464D">
        <w:rPr>
          <w:rFonts w:cs="Arial"/>
          <w:szCs w:val="20"/>
          <w:lang w:val="pt-BR"/>
        </w:rPr>
        <w:t xml:space="preserve"> um </w:t>
      </w:r>
      <w:r w:rsidR="00D81AA1" w:rsidRPr="00D5464D">
        <w:rPr>
          <w:rFonts w:cs="Arial"/>
          <w:szCs w:val="20"/>
          <w:lang w:val="pt-BR"/>
        </w:rPr>
        <w:t xml:space="preserve">recurso </w:t>
      </w:r>
      <w:r w:rsidRPr="00D5464D">
        <w:rPr>
          <w:rFonts w:cs="Arial"/>
          <w:szCs w:val="20"/>
          <w:lang w:val="pt-BR"/>
        </w:rPr>
        <w:t>efetiv</w:t>
      </w:r>
      <w:r w:rsidR="00D81AA1" w:rsidRPr="00D5464D">
        <w:rPr>
          <w:rFonts w:cs="Arial"/>
          <w:szCs w:val="20"/>
          <w:lang w:val="pt-BR"/>
        </w:rPr>
        <w:t xml:space="preserve">o </w:t>
      </w:r>
      <w:r w:rsidR="00AB62D6" w:rsidRPr="00D5464D">
        <w:rPr>
          <w:rFonts w:cs="Arial"/>
          <w:szCs w:val="20"/>
          <w:lang w:val="pt-BR"/>
        </w:rPr>
        <w:t xml:space="preserve">significa </w:t>
      </w:r>
      <w:r w:rsidR="00D81AA1" w:rsidRPr="00D5464D">
        <w:rPr>
          <w:rFonts w:cs="Arial"/>
          <w:szCs w:val="20"/>
          <w:lang w:val="pt-BR"/>
        </w:rPr>
        <w:t>que</w:t>
      </w:r>
      <w:r w:rsidR="00230C71" w:rsidRPr="00D5464D">
        <w:rPr>
          <w:rFonts w:cs="Arial"/>
          <w:szCs w:val="20"/>
          <w:lang w:val="pt-BR"/>
        </w:rPr>
        <w:t xml:space="preserve"> a análise</w:t>
      </w:r>
      <w:r w:rsidR="002C330E" w:rsidRPr="00D5464D">
        <w:rPr>
          <w:rFonts w:cs="Arial"/>
          <w:szCs w:val="20"/>
          <w:lang w:val="pt-BR"/>
        </w:rPr>
        <w:t xml:space="preserve"> </w:t>
      </w:r>
      <w:r w:rsidR="00AB62D6" w:rsidRPr="00D5464D">
        <w:rPr>
          <w:rFonts w:cs="Arial"/>
          <w:szCs w:val="20"/>
          <w:lang w:val="pt-BR"/>
        </w:rPr>
        <w:t xml:space="preserve">de um recurso judicial por parte da </w:t>
      </w:r>
      <w:r w:rsidRPr="00D5464D">
        <w:rPr>
          <w:rFonts w:cs="Arial"/>
          <w:szCs w:val="20"/>
          <w:lang w:val="pt-BR"/>
        </w:rPr>
        <w:t xml:space="preserve">autoridade </w:t>
      </w:r>
      <w:r w:rsidR="00A1358C" w:rsidRPr="00D5464D">
        <w:rPr>
          <w:rFonts w:cs="Arial"/>
          <w:szCs w:val="20"/>
          <w:lang w:val="pt-BR"/>
        </w:rPr>
        <w:t>competente</w:t>
      </w:r>
      <w:r w:rsidR="00D81AA1" w:rsidRPr="00D5464D">
        <w:rPr>
          <w:rFonts w:cs="Arial"/>
          <w:szCs w:val="20"/>
          <w:lang w:val="pt-BR"/>
        </w:rPr>
        <w:t xml:space="preserve"> </w:t>
      </w:r>
      <w:r w:rsidR="00737270" w:rsidRPr="00D5464D">
        <w:rPr>
          <w:rFonts w:cs="Arial"/>
          <w:szCs w:val="20"/>
          <w:lang w:val="pt-BR"/>
        </w:rPr>
        <w:t>não pode</w:t>
      </w:r>
      <w:r w:rsidR="00D81AA1" w:rsidRPr="00D5464D">
        <w:rPr>
          <w:rFonts w:cs="Arial"/>
          <w:szCs w:val="20"/>
          <w:lang w:val="pt-BR"/>
        </w:rPr>
        <w:t xml:space="preserve"> </w:t>
      </w:r>
      <w:r w:rsidR="00AB62D6" w:rsidRPr="00D5464D">
        <w:rPr>
          <w:rFonts w:cs="Arial"/>
          <w:szCs w:val="20"/>
          <w:lang w:val="pt-BR"/>
        </w:rPr>
        <w:t xml:space="preserve">se </w:t>
      </w:r>
      <w:r w:rsidR="00A1358C" w:rsidRPr="00D5464D">
        <w:rPr>
          <w:rFonts w:cs="Arial"/>
          <w:szCs w:val="20"/>
          <w:lang w:val="pt-BR"/>
        </w:rPr>
        <w:t>reduzir</w:t>
      </w:r>
      <w:r w:rsidR="00D81AA1" w:rsidRPr="00D5464D">
        <w:rPr>
          <w:rFonts w:cs="Arial"/>
          <w:szCs w:val="20"/>
          <w:lang w:val="pt-BR"/>
        </w:rPr>
        <w:t xml:space="preserve"> a</w:t>
      </w:r>
      <w:r w:rsidR="00E045D9" w:rsidRPr="00D5464D">
        <w:rPr>
          <w:rFonts w:cs="Arial"/>
          <w:szCs w:val="20"/>
          <w:lang w:val="pt-BR"/>
        </w:rPr>
        <w:t xml:space="preserve"> uma </w:t>
      </w:r>
      <w:r w:rsidR="00D81AA1" w:rsidRPr="00D5464D">
        <w:rPr>
          <w:rFonts w:cs="Arial"/>
          <w:szCs w:val="20"/>
          <w:lang w:val="pt-BR"/>
        </w:rPr>
        <w:t>mera form</w:t>
      </w:r>
      <w:r w:rsidR="00E765C2" w:rsidRPr="00D5464D">
        <w:rPr>
          <w:rFonts w:cs="Arial"/>
          <w:szCs w:val="20"/>
          <w:lang w:val="pt-BR"/>
        </w:rPr>
        <w:t>alidade,</w:t>
      </w:r>
      <w:r w:rsidR="002C330E" w:rsidRPr="00D5464D">
        <w:rPr>
          <w:rFonts w:cs="Arial"/>
          <w:szCs w:val="20"/>
          <w:lang w:val="pt-BR"/>
        </w:rPr>
        <w:t xml:space="preserve"> mas </w:t>
      </w:r>
      <w:r w:rsidRPr="00D5464D">
        <w:rPr>
          <w:rFonts w:cs="Arial"/>
          <w:szCs w:val="20"/>
          <w:lang w:val="pt-BR"/>
        </w:rPr>
        <w:t xml:space="preserve">deve </w:t>
      </w:r>
      <w:r w:rsidR="00D81AA1" w:rsidRPr="00D5464D">
        <w:rPr>
          <w:rFonts w:cs="Arial"/>
          <w:szCs w:val="20"/>
          <w:lang w:val="pt-BR"/>
        </w:rPr>
        <w:t>examinar</w:t>
      </w:r>
      <w:r w:rsidR="002C330E" w:rsidRPr="00D5464D">
        <w:rPr>
          <w:rFonts w:cs="Arial"/>
          <w:szCs w:val="20"/>
          <w:lang w:val="pt-BR"/>
        </w:rPr>
        <w:t xml:space="preserve"> as razões</w:t>
      </w:r>
      <w:r w:rsidR="00D81AA1" w:rsidRPr="00D5464D">
        <w:rPr>
          <w:rFonts w:cs="Arial"/>
          <w:szCs w:val="20"/>
          <w:lang w:val="pt-BR"/>
        </w:rPr>
        <w:t xml:space="preserve"> invocadas</w:t>
      </w:r>
      <w:r w:rsidR="002C330E" w:rsidRPr="00D5464D">
        <w:rPr>
          <w:rFonts w:cs="Arial"/>
          <w:szCs w:val="20"/>
          <w:lang w:val="pt-BR"/>
        </w:rPr>
        <w:t xml:space="preserve"> pelo </w:t>
      </w:r>
      <w:r w:rsidR="00D81AA1" w:rsidRPr="00D5464D">
        <w:rPr>
          <w:rFonts w:cs="Arial"/>
          <w:szCs w:val="20"/>
          <w:lang w:val="pt-BR"/>
        </w:rPr>
        <w:t>demandante</w:t>
      </w:r>
      <w:r w:rsidR="00E045D9" w:rsidRPr="00D5464D">
        <w:rPr>
          <w:rFonts w:cs="Arial"/>
          <w:szCs w:val="20"/>
          <w:lang w:val="pt-BR"/>
        </w:rPr>
        <w:t xml:space="preserve"> e </w:t>
      </w:r>
      <w:r w:rsidR="00D81AA1" w:rsidRPr="00D5464D">
        <w:rPr>
          <w:rFonts w:cs="Arial"/>
          <w:szCs w:val="20"/>
          <w:lang w:val="pt-BR"/>
        </w:rPr>
        <w:t>manifest</w:t>
      </w:r>
      <w:r w:rsidR="00C91CB1" w:rsidRPr="00D5464D">
        <w:rPr>
          <w:rFonts w:cs="Arial"/>
          <w:szCs w:val="20"/>
          <w:lang w:val="pt-BR"/>
        </w:rPr>
        <w:t xml:space="preserve">ar-se </w:t>
      </w:r>
      <w:r w:rsidRPr="00D5464D">
        <w:rPr>
          <w:rFonts w:cs="Arial"/>
          <w:szCs w:val="20"/>
          <w:lang w:val="pt-BR"/>
        </w:rPr>
        <w:t>expressa</w:t>
      </w:r>
      <w:r w:rsidR="00D81AA1" w:rsidRPr="00D5464D">
        <w:rPr>
          <w:rFonts w:cs="Arial"/>
          <w:szCs w:val="20"/>
          <w:lang w:val="pt-BR"/>
        </w:rPr>
        <w:t>mente sobre</w:t>
      </w:r>
      <w:r w:rsidRPr="00D5464D">
        <w:rPr>
          <w:rFonts w:cs="Arial"/>
          <w:szCs w:val="20"/>
          <w:lang w:val="pt-BR"/>
        </w:rPr>
        <w:t xml:space="preserve"> ela</w:t>
      </w:r>
      <w:r w:rsidR="00D81AA1" w:rsidRPr="00D5464D">
        <w:rPr>
          <w:rFonts w:cs="Arial"/>
          <w:szCs w:val="20"/>
          <w:lang w:val="pt-BR"/>
        </w:rPr>
        <w:t>s</w:t>
      </w:r>
      <w:r w:rsidR="00AB62D6" w:rsidRPr="00D5464D">
        <w:rPr>
          <w:rFonts w:cs="Arial"/>
          <w:szCs w:val="20"/>
          <w:lang w:val="pt-BR"/>
        </w:rPr>
        <w:t>.</w:t>
      </w:r>
      <w:r w:rsidR="00D81AA1" w:rsidRPr="00D5464D">
        <w:rPr>
          <w:szCs w:val="20"/>
          <w:vertAlign w:val="superscript"/>
          <w:lang w:val="pt-BR"/>
        </w:rPr>
        <w:footnoteReference w:id="497"/>
      </w:r>
      <w:r w:rsidR="00D81AA1" w:rsidRPr="00D5464D">
        <w:rPr>
          <w:rFonts w:cs="Arial"/>
          <w:szCs w:val="20"/>
          <w:lang w:val="pt-BR"/>
        </w:rPr>
        <w:t xml:space="preserve"> </w:t>
      </w:r>
      <w:r w:rsidR="00737270" w:rsidRPr="00D5464D">
        <w:rPr>
          <w:rFonts w:cs="Arial"/>
          <w:szCs w:val="20"/>
          <w:lang w:val="pt-BR"/>
        </w:rPr>
        <w:t xml:space="preserve">Não </w:t>
      </w:r>
      <w:r w:rsidR="00230C71" w:rsidRPr="00D5464D">
        <w:rPr>
          <w:rFonts w:cs="Arial"/>
          <w:szCs w:val="20"/>
          <w:lang w:val="pt-BR"/>
        </w:rPr>
        <w:t xml:space="preserve">podem </w:t>
      </w:r>
      <w:r w:rsidR="00AB62D6" w:rsidRPr="00D5464D">
        <w:rPr>
          <w:rFonts w:cs="Arial"/>
          <w:szCs w:val="20"/>
          <w:lang w:val="pt-BR"/>
        </w:rPr>
        <w:t xml:space="preserve">ser considerados </w:t>
      </w:r>
      <w:r w:rsidRPr="00D5464D">
        <w:rPr>
          <w:rFonts w:cs="Arial"/>
          <w:szCs w:val="20"/>
          <w:lang w:val="pt-BR"/>
        </w:rPr>
        <w:t>efetiv</w:t>
      </w:r>
      <w:r w:rsidR="00D81AA1" w:rsidRPr="00D5464D">
        <w:rPr>
          <w:rFonts w:cs="Arial"/>
          <w:szCs w:val="20"/>
          <w:lang w:val="pt-BR"/>
        </w:rPr>
        <w:t xml:space="preserve">os </w:t>
      </w:r>
      <w:r w:rsidR="00AB62D6" w:rsidRPr="00D5464D">
        <w:rPr>
          <w:rFonts w:cs="Arial"/>
          <w:szCs w:val="20"/>
          <w:lang w:val="pt-BR"/>
        </w:rPr>
        <w:t xml:space="preserve">os </w:t>
      </w:r>
      <w:r w:rsidR="00D81AA1" w:rsidRPr="00D5464D">
        <w:rPr>
          <w:rFonts w:cs="Arial"/>
          <w:szCs w:val="20"/>
          <w:lang w:val="pt-BR"/>
        </w:rPr>
        <w:t>recursos que,</w:t>
      </w:r>
      <w:r w:rsidR="002C330E" w:rsidRPr="00D5464D">
        <w:rPr>
          <w:rFonts w:cs="Arial"/>
          <w:szCs w:val="20"/>
          <w:lang w:val="pt-BR"/>
        </w:rPr>
        <w:t xml:space="preserve"> </w:t>
      </w:r>
      <w:r w:rsidR="00AB62D6" w:rsidRPr="00D5464D">
        <w:rPr>
          <w:rFonts w:cs="Arial"/>
          <w:szCs w:val="20"/>
          <w:lang w:val="pt-BR"/>
        </w:rPr>
        <w:t xml:space="preserve">em razão das </w:t>
      </w:r>
      <w:r w:rsidR="00D81AA1" w:rsidRPr="00D5464D">
        <w:rPr>
          <w:rFonts w:cs="Arial"/>
          <w:szCs w:val="20"/>
          <w:lang w:val="pt-BR"/>
        </w:rPr>
        <w:t>condi</w:t>
      </w:r>
      <w:r w:rsidRPr="00D5464D">
        <w:rPr>
          <w:rFonts w:cs="Arial"/>
          <w:szCs w:val="20"/>
          <w:lang w:val="pt-BR"/>
        </w:rPr>
        <w:t>ções</w:t>
      </w:r>
      <w:r w:rsidR="00D81AA1" w:rsidRPr="00D5464D">
        <w:rPr>
          <w:rFonts w:cs="Arial"/>
          <w:szCs w:val="20"/>
          <w:lang w:val="pt-BR"/>
        </w:rPr>
        <w:t xml:space="preserve"> </w:t>
      </w:r>
      <w:r w:rsidR="002C330E" w:rsidRPr="00D5464D">
        <w:rPr>
          <w:rFonts w:cs="Arial"/>
          <w:szCs w:val="20"/>
          <w:lang w:val="pt-BR"/>
        </w:rPr>
        <w:t xml:space="preserve">gerais </w:t>
      </w:r>
      <w:r w:rsidRPr="00D5464D">
        <w:rPr>
          <w:rFonts w:cs="Arial"/>
          <w:szCs w:val="20"/>
          <w:lang w:val="pt-BR"/>
        </w:rPr>
        <w:t xml:space="preserve">do </w:t>
      </w:r>
      <w:r w:rsidR="00D81AA1" w:rsidRPr="00D5464D">
        <w:rPr>
          <w:rFonts w:cs="Arial"/>
          <w:szCs w:val="20"/>
          <w:lang w:val="pt-BR"/>
        </w:rPr>
        <w:t>país</w:t>
      </w:r>
      <w:r w:rsidR="00AB62D6" w:rsidRPr="00D5464D">
        <w:rPr>
          <w:rFonts w:cs="Arial"/>
          <w:szCs w:val="20"/>
          <w:lang w:val="pt-BR"/>
        </w:rPr>
        <w:t>,</w:t>
      </w:r>
      <w:r w:rsidR="00D81AA1" w:rsidRPr="00D5464D">
        <w:rPr>
          <w:rFonts w:cs="Arial"/>
          <w:szCs w:val="20"/>
          <w:lang w:val="pt-BR"/>
        </w:rPr>
        <w:t xml:space="preserve"> o</w:t>
      </w:r>
      <w:r w:rsidR="00AB62D6" w:rsidRPr="00D5464D">
        <w:rPr>
          <w:rFonts w:cs="Arial"/>
          <w:szCs w:val="20"/>
          <w:lang w:val="pt-BR"/>
        </w:rPr>
        <w:t>u</w:t>
      </w:r>
      <w:r w:rsidR="00D81AA1" w:rsidRPr="00D5464D">
        <w:rPr>
          <w:rFonts w:cs="Arial"/>
          <w:szCs w:val="20"/>
          <w:lang w:val="pt-BR"/>
        </w:rPr>
        <w:t xml:space="preserve"> </w:t>
      </w:r>
      <w:r w:rsidR="00350187" w:rsidRPr="00D5464D">
        <w:rPr>
          <w:rFonts w:cs="Arial"/>
          <w:szCs w:val="20"/>
          <w:lang w:val="pt-BR"/>
        </w:rPr>
        <w:t>inclusive</w:t>
      </w:r>
      <w:r w:rsidR="002C330E" w:rsidRPr="00D5464D">
        <w:rPr>
          <w:rFonts w:cs="Arial"/>
          <w:szCs w:val="20"/>
          <w:lang w:val="pt-BR"/>
        </w:rPr>
        <w:t xml:space="preserve"> </w:t>
      </w:r>
      <w:r w:rsidR="00AB62D6" w:rsidRPr="00D5464D">
        <w:rPr>
          <w:rFonts w:cs="Arial"/>
          <w:szCs w:val="20"/>
          <w:lang w:val="pt-BR"/>
        </w:rPr>
        <w:t xml:space="preserve">por </w:t>
      </w:r>
      <w:r w:rsidRPr="00D5464D">
        <w:rPr>
          <w:rFonts w:cs="Arial"/>
          <w:szCs w:val="20"/>
          <w:lang w:val="pt-BR"/>
        </w:rPr>
        <w:t>circunstâncias</w:t>
      </w:r>
      <w:r w:rsidR="00D81AA1" w:rsidRPr="00D5464D">
        <w:rPr>
          <w:rFonts w:cs="Arial"/>
          <w:szCs w:val="20"/>
          <w:lang w:val="pt-BR"/>
        </w:rPr>
        <w:t xml:space="preserve"> particulares de</w:t>
      </w:r>
      <w:r w:rsidR="00E045D9" w:rsidRPr="00D5464D">
        <w:rPr>
          <w:rFonts w:cs="Arial"/>
          <w:szCs w:val="20"/>
          <w:lang w:val="pt-BR"/>
        </w:rPr>
        <w:t xml:space="preserve"> um </w:t>
      </w:r>
      <w:r w:rsidR="00D81AA1" w:rsidRPr="00D5464D">
        <w:rPr>
          <w:rFonts w:cs="Arial"/>
          <w:szCs w:val="20"/>
          <w:lang w:val="pt-BR"/>
        </w:rPr>
        <w:t xml:space="preserve">caso </w:t>
      </w:r>
      <w:r w:rsidR="00AB62D6" w:rsidRPr="00D5464D">
        <w:rPr>
          <w:rFonts w:cs="Arial"/>
          <w:szCs w:val="20"/>
          <w:lang w:val="pt-BR"/>
        </w:rPr>
        <w:t>específico</w:t>
      </w:r>
      <w:r w:rsidR="00D81AA1" w:rsidRPr="00D5464D">
        <w:rPr>
          <w:rFonts w:cs="Arial"/>
          <w:szCs w:val="20"/>
          <w:lang w:val="pt-BR"/>
        </w:rPr>
        <w:t xml:space="preserve">, </w:t>
      </w:r>
      <w:r w:rsidR="002C330E" w:rsidRPr="00D5464D">
        <w:rPr>
          <w:rFonts w:cs="Arial"/>
          <w:szCs w:val="20"/>
          <w:lang w:val="pt-BR"/>
        </w:rPr>
        <w:t>resultem</w:t>
      </w:r>
      <w:r w:rsidR="00D81AA1" w:rsidRPr="00D5464D">
        <w:rPr>
          <w:rFonts w:cs="Arial"/>
          <w:szCs w:val="20"/>
          <w:lang w:val="pt-BR"/>
        </w:rPr>
        <w:t xml:space="preserve"> </w:t>
      </w:r>
      <w:r w:rsidR="002C330E" w:rsidRPr="00D5464D">
        <w:rPr>
          <w:rFonts w:cs="Arial"/>
          <w:szCs w:val="20"/>
          <w:lang w:val="pt-BR"/>
        </w:rPr>
        <w:t>ilusórios</w:t>
      </w:r>
      <w:r w:rsidR="00AB62D6" w:rsidRPr="00D5464D">
        <w:rPr>
          <w:rFonts w:cs="Arial"/>
          <w:szCs w:val="20"/>
          <w:lang w:val="pt-BR"/>
        </w:rPr>
        <w:t>.</w:t>
      </w:r>
      <w:r w:rsidR="00D81AA1" w:rsidRPr="00D5464D">
        <w:rPr>
          <w:szCs w:val="20"/>
          <w:vertAlign w:val="superscript"/>
          <w:lang w:val="pt-BR"/>
        </w:rPr>
        <w:footnoteReference w:id="498"/>
      </w:r>
      <w:r w:rsidRPr="00D5464D">
        <w:rPr>
          <w:rFonts w:cs="Arial"/>
          <w:szCs w:val="20"/>
          <w:lang w:val="pt-BR"/>
        </w:rPr>
        <w:t xml:space="preserve"> </w:t>
      </w:r>
      <w:r w:rsidR="00AB62D6" w:rsidRPr="00D5464D">
        <w:rPr>
          <w:rFonts w:cs="Arial"/>
          <w:szCs w:val="20"/>
          <w:lang w:val="pt-BR"/>
        </w:rPr>
        <w:t xml:space="preserve">Isso </w:t>
      </w:r>
      <w:r w:rsidR="002C330E" w:rsidRPr="00D5464D">
        <w:rPr>
          <w:rFonts w:cs="Arial"/>
          <w:szCs w:val="20"/>
          <w:lang w:val="pt-BR"/>
        </w:rPr>
        <w:t>pode</w:t>
      </w:r>
      <w:r w:rsidR="00D81AA1" w:rsidRPr="00D5464D">
        <w:rPr>
          <w:rFonts w:cs="Arial"/>
          <w:szCs w:val="20"/>
          <w:lang w:val="pt-BR"/>
        </w:rPr>
        <w:t xml:space="preserve"> </w:t>
      </w:r>
      <w:r w:rsidR="002C330E" w:rsidRPr="00D5464D">
        <w:rPr>
          <w:rFonts w:cs="Arial"/>
          <w:szCs w:val="20"/>
          <w:lang w:val="pt-BR"/>
        </w:rPr>
        <w:t>ocorrer</w:t>
      </w:r>
      <w:r w:rsidR="00EB1CE9" w:rsidRPr="00D5464D">
        <w:rPr>
          <w:rFonts w:cs="Arial"/>
          <w:szCs w:val="20"/>
          <w:lang w:val="pt-BR"/>
        </w:rPr>
        <w:t xml:space="preserve">, por </w:t>
      </w:r>
      <w:r w:rsidRPr="00D5464D">
        <w:rPr>
          <w:rFonts w:cs="Arial"/>
          <w:szCs w:val="20"/>
          <w:lang w:val="pt-BR"/>
        </w:rPr>
        <w:t>exemplo</w:t>
      </w:r>
      <w:r w:rsidR="00D81AA1" w:rsidRPr="00D5464D">
        <w:rPr>
          <w:rFonts w:cs="Arial"/>
          <w:szCs w:val="20"/>
          <w:lang w:val="pt-BR"/>
        </w:rPr>
        <w:t xml:space="preserve">, </w:t>
      </w:r>
      <w:r w:rsidRPr="00D5464D">
        <w:rPr>
          <w:rFonts w:cs="Arial"/>
          <w:szCs w:val="20"/>
          <w:lang w:val="pt-BR"/>
        </w:rPr>
        <w:t>quando</w:t>
      </w:r>
      <w:r w:rsidR="00D81AA1" w:rsidRPr="00D5464D">
        <w:rPr>
          <w:rFonts w:cs="Arial"/>
          <w:szCs w:val="20"/>
          <w:lang w:val="pt-BR"/>
        </w:rPr>
        <w:t xml:space="preserve"> su</w:t>
      </w:r>
      <w:r w:rsidR="00AB62D6" w:rsidRPr="00D5464D">
        <w:rPr>
          <w:rFonts w:cs="Arial"/>
          <w:szCs w:val="20"/>
          <w:lang w:val="pt-BR"/>
        </w:rPr>
        <w:t>a</w:t>
      </w:r>
      <w:r w:rsidR="00D81AA1" w:rsidRPr="00D5464D">
        <w:rPr>
          <w:rFonts w:cs="Arial"/>
          <w:szCs w:val="20"/>
          <w:lang w:val="pt-BR"/>
        </w:rPr>
        <w:t xml:space="preserve"> in</w:t>
      </w:r>
      <w:r w:rsidR="00E045D9" w:rsidRPr="00D5464D">
        <w:rPr>
          <w:rFonts w:cs="Arial"/>
          <w:szCs w:val="20"/>
          <w:lang w:val="pt-BR"/>
        </w:rPr>
        <w:t xml:space="preserve">utilidade tenha </w:t>
      </w:r>
      <w:r w:rsidR="00AB62D6" w:rsidRPr="00D5464D">
        <w:rPr>
          <w:rFonts w:cs="Arial"/>
          <w:szCs w:val="20"/>
          <w:lang w:val="pt-BR"/>
        </w:rPr>
        <w:t xml:space="preserve">restado </w:t>
      </w:r>
      <w:r w:rsidR="00350187" w:rsidRPr="00D5464D">
        <w:rPr>
          <w:rFonts w:cs="Arial"/>
          <w:szCs w:val="20"/>
          <w:lang w:val="pt-BR"/>
        </w:rPr>
        <w:t>demonstr</w:t>
      </w:r>
      <w:r w:rsidR="00737270" w:rsidRPr="00D5464D">
        <w:rPr>
          <w:rFonts w:cs="Arial"/>
          <w:szCs w:val="20"/>
          <w:lang w:val="pt-BR"/>
        </w:rPr>
        <w:t>a</w:t>
      </w:r>
      <w:r w:rsidR="00D81AA1" w:rsidRPr="00D5464D">
        <w:rPr>
          <w:rFonts w:cs="Arial"/>
          <w:szCs w:val="20"/>
          <w:lang w:val="pt-BR"/>
        </w:rPr>
        <w:t>da</w:t>
      </w:r>
      <w:r w:rsidR="002C330E" w:rsidRPr="00D5464D">
        <w:rPr>
          <w:rFonts w:cs="Arial"/>
          <w:szCs w:val="20"/>
          <w:lang w:val="pt-BR"/>
        </w:rPr>
        <w:t xml:space="preserve"> pela prática</w:t>
      </w:r>
      <w:r w:rsidR="00D81AA1" w:rsidRPr="00D5464D">
        <w:rPr>
          <w:rFonts w:cs="Arial"/>
          <w:szCs w:val="20"/>
          <w:lang w:val="pt-BR"/>
        </w:rPr>
        <w:t xml:space="preserve">, porque </w:t>
      </w:r>
      <w:r w:rsidR="00350187" w:rsidRPr="00D5464D">
        <w:rPr>
          <w:rFonts w:cs="Arial"/>
          <w:szCs w:val="20"/>
          <w:lang w:val="pt-BR"/>
        </w:rPr>
        <w:t>faltem</w:t>
      </w:r>
      <w:r w:rsidR="002C330E" w:rsidRPr="00D5464D">
        <w:rPr>
          <w:rFonts w:cs="Arial"/>
          <w:szCs w:val="20"/>
          <w:lang w:val="pt-BR"/>
        </w:rPr>
        <w:t xml:space="preserve"> os</w:t>
      </w:r>
      <w:r w:rsidR="00350187" w:rsidRPr="00D5464D">
        <w:rPr>
          <w:rFonts w:cs="Arial"/>
          <w:szCs w:val="20"/>
          <w:lang w:val="pt-BR"/>
        </w:rPr>
        <w:t xml:space="preserve"> meios </w:t>
      </w:r>
      <w:r w:rsidR="00D81AA1" w:rsidRPr="00D5464D">
        <w:rPr>
          <w:rFonts w:cs="Arial"/>
          <w:szCs w:val="20"/>
          <w:lang w:val="pt-BR"/>
        </w:rPr>
        <w:t xml:space="preserve">para </w:t>
      </w:r>
      <w:r w:rsidRPr="00D5464D">
        <w:rPr>
          <w:rFonts w:cs="Arial"/>
          <w:szCs w:val="20"/>
          <w:lang w:val="pt-BR"/>
        </w:rPr>
        <w:t>executar</w:t>
      </w:r>
      <w:r w:rsidR="00D81AA1" w:rsidRPr="00D5464D">
        <w:rPr>
          <w:rFonts w:cs="Arial"/>
          <w:szCs w:val="20"/>
          <w:lang w:val="pt-BR"/>
        </w:rPr>
        <w:t xml:space="preserve"> </w:t>
      </w:r>
      <w:r w:rsidR="00230C71" w:rsidRPr="00D5464D">
        <w:rPr>
          <w:rFonts w:cs="Arial"/>
          <w:szCs w:val="20"/>
          <w:lang w:val="pt-BR"/>
        </w:rPr>
        <w:t>suas decisões</w:t>
      </w:r>
      <w:r w:rsidR="00D81AA1" w:rsidRPr="00D5464D">
        <w:rPr>
          <w:rFonts w:cs="Arial"/>
          <w:szCs w:val="20"/>
          <w:lang w:val="pt-BR"/>
        </w:rPr>
        <w:t xml:space="preserve"> o</w:t>
      </w:r>
      <w:r w:rsidR="00AB62D6" w:rsidRPr="00D5464D">
        <w:rPr>
          <w:rFonts w:cs="Arial"/>
          <w:szCs w:val="20"/>
          <w:lang w:val="pt-BR"/>
        </w:rPr>
        <w:t>u</w:t>
      </w:r>
      <w:r w:rsidR="00D81AA1" w:rsidRPr="00D5464D">
        <w:rPr>
          <w:rFonts w:cs="Arial"/>
          <w:szCs w:val="20"/>
          <w:lang w:val="pt-BR"/>
        </w:rPr>
        <w:t xml:space="preserve"> por </w:t>
      </w:r>
      <w:r w:rsidRPr="00D5464D">
        <w:rPr>
          <w:rFonts w:cs="Arial"/>
          <w:szCs w:val="20"/>
          <w:lang w:val="pt-BR"/>
        </w:rPr>
        <w:t>qualquer</w:t>
      </w:r>
      <w:r w:rsidR="002C330E" w:rsidRPr="00D5464D">
        <w:rPr>
          <w:rFonts w:cs="Arial"/>
          <w:szCs w:val="20"/>
          <w:lang w:val="pt-BR"/>
        </w:rPr>
        <w:t xml:space="preserve"> outra </w:t>
      </w:r>
      <w:r w:rsidR="00D81AA1" w:rsidRPr="00D5464D">
        <w:rPr>
          <w:rFonts w:cs="Arial"/>
          <w:szCs w:val="20"/>
          <w:lang w:val="pt-BR"/>
        </w:rPr>
        <w:t>situa</w:t>
      </w:r>
      <w:r w:rsidRPr="00D5464D">
        <w:rPr>
          <w:rFonts w:cs="Arial"/>
          <w:szCs w:val="20"/>
          <w:lang w:val="pt-BR"/>
        </w:rPr>
        <w:t>ção</w:t>
      </w:r>
      <w:r w:rsidR="00D81AA1" w:rsidRPr="00D5464D">
        <w:rPr>
          <w:rFonts w:cs="Arial"/>
          <w:szCs w:val="20"/>
          <w:lang w:val="pt-BR"/>
        </w:rPr>
        <w:t xml:space="preserve"> que configure</w:t>
      </w:r>
      <w:r w:rsidR="00E045D9" w:rsidRPr="00D5464D">
        <w:rPr>
          <w:rFonts w:cs="Arial"/>
          <w:szCs w:val="20"/>
          <w:lang w:val="pt-BR"/>
        </w:rPr>
        <w:t xml:space="preserve"> um </w:t>
      </w:r>
      <w:r w:rsidRPr="00D5464D">
        <w:rPr>
          <w:rFonts w:cs="Arial"/>
          <w:szCs w:val="20"/>
          <w:lang w:val="pt-BR"/>
        </w:rPr>
        <w:t xml:space="preserve">quadro </w:t>
      </w:r>
      <w:r w:rsidR="00D81AA1" w:rsidRPr="00D5464D">
        <w:rPr>
          <w:rFonts w:cs="Arial"/>
          <w:szCs w:val="20"/>
          <w:lang w:val="pt-BR"/>
        </w:rPr>
        <w:t>de denega</w:t>
      </w:r>
      <w:r w:rsidRPr="00D5464D">
        <w:rPr>
          <w:rFonts w:cs="Arial"/>
          <w:szCs w:val="20"/>
          <w:lang w:val="pt-BR"/>
        </w:rPr>
        <w:t>ção</w:t>
      </w:r>
      <w:r w:rsidR="00D81AA1" w:rsidRPr="00D5464D">
        <w:rPr>
          <w:rFonts w:cs="Arial"/>
          <w:szCs w:val="20"/>
          <w:lang w:val="pt-BR"/>
        </w:rPr>
        <w:t xml:space="preserve"> de </w:t>
      </w:r>
      <w:r w:rsidR="002C330E" w:rsidRPr="00D5464D">
        <w:rPr>
          <w:rFonts w:cs="Arial"/>
          <w:szCs w:val="20"/>
          <w:lang w:val="pt-BR"/>
        </w:rPr>
        <w:t>justiça</w:t>
      </w:r>
      <w:r w:rsidR="00AB62D6" w:rsidRPr="00D5464D">
        <w:rPr>
          <w:rFonts w:cs="Arial"/>
          <w:szCs w:val="20"/>
          <w:lang w:val="pt-BR"/>
        </w:rPr>
        <w:t>.</w:t>
      </w:r>
      <w:r w:rsidR="00D81AA1" w:rsidRPr="00D5464D">
        <w:rPr>
          <w:szCs w:val="20"/>
          <w:vertAlign w:val="superscript"/>
          <w:lang w:val="pt-BR"/>
        </w:rPr>
        <w:footnoteReference w:id="499"/>
      </w:r>
      <w:r w:rsidR="00D81AA1" w:rsidRPr="00D5464D">
        <w:rPr>
          <w:rFonts w:cs="Arial"/>
          <w:szCs w:val="20"/>
          <w:lang w:val="pt-BR"/>
        </w:rPr>
        <w:t xml:space="preserve"> </w:t>
      </w:r>
      <w:r w:rsidRPr="00D5464D">
        <w:rPr>
          <w:rFonts w:cs="Arial"/>
          <w:szCs w:val="20"/>
          <w:lang w:val="pt-BR"/>
        </w:rPr>
        <w:t>Assim</w:t>
      </w:r>
      <w:r w:rsidR="00D81AA1" w:rsidRPr="00D5464D">
        <w:rPr>
          <w:rFonts w:cs="Arial"/>
          <w:szCs w:val="20"/>
          <w:lang w:val="pt-BR"/>
        </w:rPr>
        <w:t>,</w:t>
      </w:r>
      <w:r w:rsidRPr="00D5464D">
        <w:rPr>
          <w:rFonts w:cs="Arial"/>
          <w:szCs w:val="20"/>
          <w:lang w:val="pt-BR"/>
        </w:rPr>
        <w:t xml:space="preserve"> o </w:t>
      </w:r>
      <w:r w:rsidR="002C330E" w:rsidRPr="00D5464D">
        <w:rPr>
          <w:rFonts w:cs="Arial"/>
          <w:szCs w:val="20"/>
          <w:lang w:val="pt-BR"/>
        </w:rPr>
        <w:t>processo</w:t>
      </w:r>
      <w:r w:rsidRPr="00D5464D">
        <w:rPr>
          <w:rFonts w:cs="Arial"/>
          <w:szCs w:val="20"/>
          <w:lang w:val="pt-BR"/>
        </w:rPr>
        <w:t xml:space="preserve"> deve </w:t>
      </w:r>
      <w:r w:rsidR="00AB62D6" w:rsidRPr="00D5464D">
        <w:rPr>
          <w:rFonts w:cs="Arial"/>
          <w:szCs w:val="20"/>
          <w:lang w:val="pt-BR"/>
        </w:rPr>
        <w:t xml:space="preserve">visar a </w:t>
      </w:r>
      <w:r w:rsidR="00D81AA1" w:rsidRPr="00D5464D">
        <w:rPr>
          <w:rFonts w:cs="Arial"/>
          <w:szCs w:val="20"/>
          <w:lang w:val="pt-BR"/>
        </w:rPr>
        <w:t>materializa</w:t>
      </w:r>
      <w:r w:rsidRPr="00D5464D">
        <w:rPr>
          <w:rFonts w:cs="Arial"/>
          <w:szCs w:val="20"/>
          <w:lang w:val="pt-BR"/>
        </w:rPr>
        <w:t xml:space="preserve">ção da </w:t>
      </w:r>
      <w:r w:rsidR="002C330E" w:rsidRPr="00D5464D">
        <w:rPr>
          <w:rFonts w:cs="Arial"/>
          <w:szCs w:val="20"/>
          <w:lang w:val="pt-BR"/>
        </w:rPr>
        <w:t>proteção</w:t>
      </w:r>
      <w:r w:rsidR="00D81AA1" w:rsidRPr="00D5464D">
        <w:rPr>
          <w:rFonts w:cs="Arial"/>
          <w:szCs w:val="20"/>
          <w:lang w:val="pt-BR"/>
        </w:rPr>
        <w:t xml:space="preserve"> </w:t>
      </w:r>
      <w:r w:rsidRPr="00D5464D">
        <w:rPr>
          <w:rFonts w:cs="Arial"/>
          <w:szCs w:val="20"/>
          <w:lang w:val="pt-BR"/>
        </w:rPr>
        <w:t>do direito</w:t>
      </w:r>
      <w:r w:rsidR="00D81AA1" w:rsidRPr="00D5464D">
        <w:rPr>
          <w:rFonts w:cs="Arial"/>
          <w:szCs w:val="20"/>
          <w:lang w:val="pt-BR"/>
        </w:rPr>
        <w:t xml:space="preserve"> re</w:t>
      </w:r>
      <w:r w:rsidRPr="00D5464D">
        <w:rPr>
          <w:rFonts w:cs="Arial"/>
          <w:szCs w:val="20"/>
          <w:lang w:val="pt-BR"/>
        </w:rPr>
        <w:t>conhecido</w:t>
      </w:r>
      <w:r w:rsidR="00E045D9" w:rsidRPr="00D5464D">
        <w:rPr>
          <w:rFonts w:cs="Arial"/>
          <w:szCs w:val="20"/>
          <w:lang w:val="pt-BR"/>
        </w:rPr>
        <w:t xml:space="preserve"> no </w:t>
      </w:r>
      <w:r w:rsidR="002C330E" w:rsidRPr="00D5464D">
        <w:rPr>
          <w:rFonts w:cs="Arial"/>
          <w:szCs w:val="20"/>
          <w:lang w:val="pt-BR"/>
        </w:rPr>
        <w:t>pronunciamento</w:t>
      </w:r>
      <w:r w:rsidR="00D81AA1" w:rsidRPr="00D5464D">
        <w:rPr>
          <w:rFonts w:cs="Arial"/>
          <w:szCs w:val="20"/>
          <w:lang w:val="pt-BR"/>
        </w:rPr>
        <w:t xml:space="preserve"> judicial mediante</w:t>
      </w:r>
      <w:r w:rsidR="002C330E" w:rsidRPr="00D5464D">
        <w:rPr>
          <w:rFonts w:cs="Arial"/>
          <w:szCs w:val="20"/>
          <w:lang w:val="pt-BR"/>
        </w:rPr>
        <w:t xml:space="preserve"> a </w:t>
      </w:r>
      <w:r w:rsidR="00AB62D6" w:rsidRPr="00D5464D">
        <w:rPr>
          <w:rFonts w:cs="Arial"/>
          <w:szCs w:val="20"/>
          <w:lang w:val="pt-BR"/>
        </w:rPr>
        <w:t>implementação</w:t>
      </w:r>
      <w:r w:rsidR="00D81AA1" w:rsidRPr="00D5464D">
        <w:rPr>
          <w:rFonts w:cs="Arial"/>
          <w:szCs w:val="20"/>
          <w:lang w:val="pt-BR"/>
        </w:rPr>
        <w:t xml:space="preserve"> </w:t>
      </w:r>
      <w:r w:rsidR="00A1358C" w:rsidRPr="00D5464D">
        <w:rPr>
          <w:rFonts w:cs="Arial"/>
          <w:szCs w:val="20"/>
          <w:lang w:val="pt-BR"/>
        </w:rPr>
        <w:t xml:space="preserve">idônea </w:t>
      </w:r>
      <w:r w:rsidR="00E045D9" w:rsidRPr="00D5464D">
        <w:rPr>
          <w:rFonts w:cs="Arial"/>
          <w:szCs w:val="20"/>
          <w:lang w:val="pt-BR"/>
        </w:rPr>
        <w:t>deste</w:t>
      </w:r>
      <w:r w:rsidR="00D81AA1" w:rsidRPr="00D5464D">
        <w:rPr>
          <w:rFonts w:cs="Arial"/>
          <w:szCs w:val="20"/>
          <w:lang w:val="pt-BR"/>
        </w:rPr>
        <w:t xml:space="preserve"> </w:t>
      </w:r>
      <w:r w:rsidR="002C330E" w:rsidRPr="00D5464D">
        <w:rPr>
          <w:rFonts w:cs="Arial"/>
          <w:szCs w:val="20"/>
          <w:lang w:val="pt-BR"/>
        </w:rPr>
        <w:t>pronunciamento</w:t>
      </w:r>
      <w:r w:rsidR="00AB62D6" w:rsidRPr="00D5464D">
        <w:rPr>
          <w:rFonts w:cs="Arial"/>
          <w:szCs w:val="20"/>
          <w:lang w:val="pt-BR"/>
        </w:rPr>
        <w:t>.</w:t>
      </w:r>
      <w:r w:rsidR="00D81AA1" w:rsidRPr="00D5464D">
        <w:rPr>
          <w:szCs w:val="20"/>
          <w:vertAlign w:val="superscript"/>
          <w:lang w:val="pt-BR"/>
        </w:rPr>
        <w:footnoteReference w:id="500"/>
      </w:r>
      <w:r w:rsidR="006109E5" w:rsidRPr="00D5464D">
        <w:rPr>
          <w:rFonts w:cs="Arial"/>
          <w:szCs w:val="20"/>
          <w:lang w:val="pt-BR"/>
        </w:rPr>
        <w:t xml:space="preserve"> </w:t>
      </w:r>
    </w:p>
    <w:p w14:paraId="0371A94D" w14:textId="77777777" w:rsidR="00DE3E58" w:rsidRPr="00D5464D" w:rsidRDefault="00DE3E58" w:rsidP="00DE3E58">
      <w:pPr>
        <w:pStyle w:val="Prrafodelista"/>
        <w:ind w:left="0"/>
        <w:contextualSpacing w:val="0"/>
        <w:rPr>
          <w:rFonts w:cs="Arial"/>
          <w:szCs w:val="20"/>
          <w:lang w:val="pt-BR"/>
        </w:rPr>
      </w:pPr>
    </w:p>
    <w:p w14:paraId="10FDF123" w14:textId="6308AAAC" w:rsidR="00D81AA1" w:rsidRPr="00D5464D" w:rsidRDefault="00470ADC" w:rsidP="00D81AA1">
      <w:pPr>
        <w:pStyle w:val="Prrafodelista"/>
        <w:numPr>
          <w:ilvl w:val="0"/>
          <w:numId w:val="1"/>
        </w:numPr>
        <w:contextualSpacing w:val="0"/>
        <w:rPr>
          <w:rFonts w:cs="Arial"/>
          <w:szCs w:val="20"/>
          <w:lang w:val="pt-BR"/>
        </w:rPr>
      </w:pPr>
      <w:r w:rsidRPr="00D5464D">
        <w:rPr>
          <w:rFonts w:cs="Arial"/>
          <w:szCs w:val="20"/>
          <w:lang w:val="pt-BR"/>
        </w:rPr>
        <w:t xml:space="preserve">A </w:t>
      </w:r>
      <w:r w:rsidR="00D81AA1" w:rsidRPr="00D5464D">
        <w:rPr>
          <w:rFonts w:cs="Arial"/>
          <w:szCs w:val="20"/>
          <w:lang w:val="pt-BR"/>
        </w:rPr>
        <w:t xml:space="preserve">Corte </w:t>
      </w:r>
      <w:r w:rsidR="00737270" w:rsidRPr="00D5464D">
        <w:rPr>
          <w:rFonts w:cs="Arial"/>
          <w:szCs w:val="20"/>
          <w:lang w:val="pt-BR"/>
        </w:rPr>
        <w:t>indicou</w:t>
      </w:r>
      <w:r w:rsidR="00D81AA1" w:rsidRPr="00D5464D">
        <w:rPr>
          <w:rFonts w:cs="Arial"/>
          <w:szCs w:val="20"/>
          <w:lang w:val="pt-BR"/>
        </w:rPr>
        <w:t xml:space="preserve"> que</w:t>
      </w:r>
      <w:r w:rsidR="001B4403" w:rsidRPr="00D5464D">
        <w:rPr>
          <w:rFonts w:cs="Arial"/>
          <w:szCs w:val="20"/>
          <w:lang w:val="pt-BR"/>
        </w:rPr>
        <w:t>,</w:t>
      </w:r>
      <w:r w:rsidR="00E045D9" w:rsidRPr="00D5464D">
        <w:rPr>
          <w:rFonts w:cs="Arial"/>
          <w:szCs w:val="20"/>
          <w:lang w:val="pt-BR"/>
        </w:rPr>
        <w:t xml:space="preserve"> nos termo</w:t>
      </w:r>
      <w:r w:rsidR="00D81AA1" w:rsidRPr="00D5464D">
        <w:rPr>
          <w:rFonts w:cs="Arial"/>
          <w:szCs w:val="20"/>
          <w:lang w:val="pt-BR"/>
        </w:rPr>
        <w:t xml:space="preserve">s </w:t>
      </w:r>
      <w:r w:rsidRPr="00D5464D">
        <w:rPr>
          <w:rFonts w:cs="Arial"/>
          <w:szCs w:val="20"/>
          <w:lang w:val="pt-BR"/>
        </w:rPr>
        <w:t>do artigo</w:t>
      </w:r>
      <w:r w:rsidR="00D81AA1" w:rsidRPr="00D5464D">
        <w:rPr>
          <w:rFonts w:cs="Arial"/>
          <w:szCs w:val="20"/>
          <w:lang w:val="pt-BR"/>
        </w:rPr>
        <w:t xml:space="preserve"> 25</w:t>
      </w:r>
      <w:r w:rsidRPr="00D5464D">
        <w:rPr>
          <w:rFonts w:cs="Arial"/>
          <w:szCs w:val="20"/>
          <w:lang w:val="pt-BR"/>
        </w:rPr>
        <w:t xml:space="preserve"> da </w:t>
      </w:r>
      <w:r w:rsidR="00D81AA1" w:rsidRPr="00D5464D">
        <w:rPr>
          <w:rFonts w:cs="Arial"/>
          <w:szCs w:val="20"/>
          <w:lang w:val="pt-BR"/>
        </w:rPr>
        <w:t>Conven</w:t>
      </w:r>
      <w:r w:rsidRPr="00D5464D">
        <w:rPr>
          <w:rFonts w:cs="Arial"/>
          <w:szCs w:val="20"/>
          <w:lang w:val="pt-BR"/>
        </w:rPr>
        <w:t>ção</w:t>
      </w:r>
      <w:r w:rsidR="001B4403" w:rsidRPr="00D5464D">
        <w:rPr>
          <w:rFonts w:cs="Arial"/>
          <w:szCs w:val="20"/>
          <w:lang w:val="pt-BR"/>
        </w:rPr>
        <w:t>,</w:t>
      </w:r>
      <w:r w:rsidRPr="00D5464D">
        <w:rPr>
          <w:rFonts w:cs="Arial"/>
          <w:szCs w:val="20"/>
          <w:lang w:val="pt-BR"/>
        </w:rPr>
        <w:t xml:space="preserve"> é </w:t>
      </w:r>
      <w:r w:rsidR="002C330E" w:rsidRPr="00D5464D">
        <w:rPr>
          <w:rFonts w:cs="Arial"/>
          <w:szCs w:val="20"/>
          <w:lang w:val="pt-BR"/>
        </w:rPr>
        <w:t xml:space="preserve">possível </w:t>
      </w:r>
      <w:r w:rsidR="00AB62D6" w:rsidRPr="00D5464D">
        <w:rPr>
          <w:rFonts w:cs="Arial"/>
          <w:szCs w:val="20"/>
          <w:lang w:val="pt-BR"/>
        </w:rPr>
        <w:t>identificar dua</w:t>
      </w:r>
      <w:r w:rsidR="00D81AA1" w:rsidRPr="00D5464D">
        <w:rPr>
          <w:rFonts w:cs="Arial"/>
          <w:szCs w:val="20"/>
          <w:lang w:val="pt-BR"/>
        </w:rPr>
        <w:t xml:space="preserve">s </w:t>
      </w:r>
      <w:r w:rsidR="002C330E" w:rsidRPr="00D5464D">
        <w:rPr>
          <w:rFonts w:cs="Arial"/>
          <w:szCs w:val="20"/>
          <w:lang w:val="pt-BR"/>
        </w:rPr>
        <w:t>obrigações</w:t>
      </w:r>
      <w:r w:rsidR="00D81AA1" w:rsidRPr="00D5464D">
        <w:rPr>
          <w:rFonts w:cs="Arial"/>
          <w:szCs w:val="20"/>
          <w:lang w:val="pt-BR"/>
        </w:rPr>
        <w:t xml:space="preserve"> específicas </w:t>
      </w:r>
      <w:r w:rsidRPr="00D5464D">
        <w:rPr>
          <w:rFonts w:cs="Arial"/>
          <w:szCs w:val="20"/>
          <w:lang w:val="pt-BR"/>
        </w:rPr>
        <w:t xml:space="preserve">do </w:t>
      </w:r>
      <w:r w:rsidR="00D81AA1" w:rsidRPr="00D5464D">
        <w:rPr>
          <w:rFonts w:cs="Arial"/>
          <w:szCs w:val="20"/>
          <w:lang w:val="pt-BR"/>
        </w:rPr>
        <w:t>Estado</w:t>
      </w:r>
      <w:r w:rsidR="00A1358C" w:rsidRPr="00D5464D">
        <w:rPr>
          <w:rFonts w:cs="Arial"/>
          <w:szCs w:val="20"/>
          <w:lang w:val="pt-BR"/>
        </w:rPr>
        <w:t xml:space="preserve">. A </w:t>
      </w:r>
      <w:r w:rsidR="002C330E" w:rsidRPr="00D5464D">
        <w:rPr>
          <w:rFonts w:cs="Arial"/>
          <w:szCs w:val="20"/>
          <w:lang w:val="pt-BR"/>
        </w:rPr>
        <w:t>primeira</w:t>
      </w:r>
      <w:r w:rsidR="00D81AA1" w:rsidRPr="00D5464D">
        <w:rPr>
          <w:rFonts w:cs="Arial"/>
          <w:szCs w:val="20"/>
          <w:lang w:val="pt-BR"/>
        </w:rPr>
        <w:t>, consagrar normativamente</w:t>
      </w:r>
      <w:r w:rsidR="00E045D9" w:rsidRPr="00D5464D">
        <w:rPr>
          <w:rFonts w:cs="Arial"/>
          <w:szCs w:val="20"/>
          <w:lang w:val="pt-BR"/>
        </w:rPr>
        <w:t xml:space="preserve"> e </w:t>
      </w:r>
      <w:r w:rsidRPr="00D5464D">
        <w:rPr>
          <w:rFonts w:cs="Arial"/>
          <w:szCs w:val="20"/>
          <w:lang w:val="pt-BR"/>
        </w:rPr>
        <w:t>assegurar</w:t>
      </w:r>
      <w:r w:rsidR="002C330E" w:rsidRPr="00D5464D">
        <w:rPr>
          <w:rFonts w:cs="Arial"/>
          <w:szCs w:val="20"/>
          <w:lang w:val="pt-BR"/>
        </w:rPr>
        <w:t xml:space="preserve"> a </w:t>
      </w:r>
      <w:r w:rsidRPr="00D5464D">
        <w:rPr>
          <w:rFonts w:cs="Arial"/>
          <w:szCs w:val="20"/>
          <w:lang w:val="pt-BR"/>
        </w:rPr>
        <w:t xml:space="preserve">devida </w:t>
      </w:r>
      <w:r w:rsidR="00D81AA1" w:rsidRPr="00D5464D">
        <w:rPr>
          <w:rFonts w:cs="Arial"/>
          <w:szCs w:val="20"/>
          <w:lang w:val="pt-BR"/>
        </w:rPr>
        <w:t>aplica</w:t>
      </w:r>
      <w:r w:rsidRPr="00D5464D">
        <w:rPr>
          <w:rFonts w:cs="Arial"/>
          <w:szCs w:val="20"/>
          <w:lang w:val="pt-BR"/>
        </w:rPr>
        <w:t>ção</w:t>
      </w:r>
      <w:r w:rsidR="00D81AA1" w:rsidRPr="00D5464D">
        <w:rPr>
          <w:rFonts w:cs="Arial"/>
          <w:szCs w:val="20"/>
          <w:lang w:val="pt-BR"/>
        </w:rPr>
        <w:t xml:space="preserve"> de recursos </w:t>
      </w:r>
      <w:r w:rsidRPr="00D5464D">
        <w:rPr>
          <w:rFonts w:cs="Arial"/>
          <w:szCs w:val="20"/>
          <w:lang w:val="pt-BR"/>
        </w:rPr>
        <w:t>efetiv</w:t>
      </w:r>
      <w:r w:rsidR="00D81AA1" w:rsidRPr="00D5464D">
        <w:rPr>
          <w:rFonts w:cs="Arial"/>
          <w:szCs w:val="20"/>
          <w:lang w:val="pt-BR"/>
        </w:rPr>
        <w:t xml:space="preserve">os </w:t>
      </w:r>
      <w:r w:rsidR="00717FBC" w:rsidRPr="00D5464D">
        <w:rPr>
          <w:rFonts w:cs="Arial"/>
          <w:szCs w:val="20"/>
          <w:lang w:val="pt-BR"/>
        </w:rPr>
        <w:t>per</w:t>
      </w:r>
      <w:r w:rsidR="00D81AA1" w:rsidRPr="00D5464D">
        <w:rPr>
          <w:rFonts w:cs="Arial"/>
          <w:szCs w:val="20"/>
          <w:lang w:val="pt-BR"/>
        </w:rPr>
        <w:t>ante</w:t>
      </w:r>
      <w:r w:rsidR="002C330E" w:rsidRPr="00D5464D">
        <w:rPr>
          <w:rFonts w:cs="Arial"/>
          <w:szCs w:val="20"/>
          <w:lang w:val="pt-BR"/>
        </w:rPr>
        <w:t xml:space="preserve"> as </w:t>
      </w:r>
      <w:r w:rsidR="00D81AA1" w:rsidRPr="00D5464D">
        <w:rPr>
          <w:rFonts w:cs="Arial"/>
          <w:szCs w:val="20"/>
          <w:lang w:val="pt-BR"/>
        </w:rPr>
        <w:t xml:space="preserve">autoridades </w:t>
      </w:r>
      <w:r w:rsidR="00A1358C" w:rsidRPr="00D5464D">
        <w:rPr>
          <w:rFonts w:cs="Arial"/>
          <w:szCs w:val="20"/>
          <w:lang w:val="pt-BR"/>
        </w:rPr>
        <w:t>competente</w:t>
      </w:r>
      <w:r w:rsidR="00D81AA1" w:rsidRPr="00D5464D">
        <w:rPr>
          <w:rFonts w:cs="Arial"/>
          <w:szCs w:val="20"/>
          <w:lang w:val="pt-BR"/>
        </w:rPr>
        <w:t xml:space="preserve">s, que </w:t>
      </w:r>
      <w:r w:rsidR="00A1358C" w:rsidRPr="00D5464D">
        <w:rPr>
          <w:rFonts w:cs="Arial"/>
          <w:szCs w:val="20"/>
          <w:lang w:val="pt-BR"/>
        </w:rPr>
        <w:t>amparem</w:t>
      </w:r>
      <w:r w:rsidR="00D81AA1" w:rsidRPr="00D5464D">
        <w:rPr>
          <w:rFonts w:cs="Arial"/>
          <w:szCs w:val="20"/>
          <w:lang w:val="pt-BR"/>
        </w:rPr>
        <w:t xml:space="preserve"> todas</w:t>
      </w:r>
      <w:r w:rsidR="002C330E" w:rsidRPr="00D5464D">
        <w:rPr>
          <w:rFonts w:cs="Arial"/>
          <w:szCs w:val="20"/>
          <w:lang w:val="pt-BR"/>
        </w:rPr>
        <w:t xml:space="preserve"> as pessoa</w:t>
      </w:r>
      <w:r w:rsidR="00D81AA1" w:rsidRPr="00D5464D">
        <w:rPr>
          <w:rFonts w:cs="Arial"/>
          <w:szCs w:val="20"/>
          <w:lang w:val="pt-BR"/>
        </w:rPr>
        <w:t>s</w:t>
      </w:r>
      <w:r w:rsidRPr="00D5464D">
        <w:rPr>
          <w:rFonts w:cs="Arial"/>
          <w:szCs w:val="20"/>
          <w:lang w:val="pt-BR"/>
        </w:rPr>
        <w:t xml:space="preserve"> sob </w:t>
      </w:r>
      <w:r w:rsidR="00E045D9" w:rsidRPr="00D5464D">
        <w:rPr>
          <w:rFonts w:cs="Arial"/>
          <w:szCs w:val="20"/>
          <w:lang w:val="pt-BR"/>
        </w:rPr>
        <w:t>sua jurisdição</w:t>
      </w:r>
      <w:r w:rsidR="00D81AA1" w:rsidRPr="00D5464D">
        <w:rPr>
          <w:rFonts w:cs="Arial"/>
          <w:szCs w:val="20"/>
          <w:lang w:val="pt-BR"/>
        </w:rPr>
        <w:t xml:space="preserve"> contra</w:t>
      </w:r>
      <w:r w:rsidRPr="00D5464D">
        <w:rPr>
          <w:rFonts w:cs="Arial"/>
          <w:szCs w:val="20"/>
          <w:lang w:val="pt-BR"/>
        </w:rPr>
        <w:t xml:space="preserve"> atos</w:t>
      </w:r>
      <w:r w:rsidR="00D81AA1" w:rsidRPr="00D5464D">
        <w:rPr>
          <w:rFonts w:cs="Arial"/>
          <w:szCs w:val="20"/>
          <w:lang w:val="pt-BR"/>
        </w:rPr>
        <w:t xml:space="preserve"> que </w:t>
      </w:r>
      <w:r w:rsidR="00A1358C" w:rsidRPr="00D5464D">
        <w:rPr>
          <w:rFonts w:cs="Arial"/>
          <w:szCs w:val="20"/>
          <w:lang w:val="pt-BR"/>
        </w:rPr>
        <w:t>violem</w:t>
      </w:r>
      <w:r w:rsidR="00D81AA1" w:rsidRPr="00D5464D">
        <w:rPr>
          <w:rFonts w:cs="Arial"/>
          <w:szCs w:val="20"/>
          <w:lang w:val="pt-BR"/>
        </w:rPr>
        <w:t xml:space="preserve"> </w:t>
      </w:r>
      <w:r w:rsidR="00E045D9" w:rsidRPr="00D5464D">
        <w:rPr>
          <w:rFonts w:cs="Arial"/>
          <w:szCs w:val="20"/>
          <w:lang w:val="pt-BR"/>
        </w:rPr>
        <w:t>seus direitos</w:t>
      </w:r>
      <w:r w:rsidR="00D81AA1" w:rsidRPr="00D5464D">
        <w:rPr>
          <w:rFonts w:cs="Arial"/>
          <w:szCs w:val="20"/>
          <w:lang w:val="pt-BR"/>
        </w:rPr>
        <w:t xml:space="preserve"> </w:t>
      </w:r>
      <w:r w:rsidR="002C330E" w:rsidRPr="00D5464D">
        <w:rPr>
          <w:rFonts w:cs="Arial"/>
          <w:szCs w:val="20"/>
          <w:lang w:val="pt-BR"/>
        </w:rPr>
        <w:t>fundamentais</w:t>
      </w:r>
      <w:r w:rsidR="00D81AA1" w:rsidRPr="00D5464D">
        <w:rPr>
          <w:rFonts w:cs="Arial"/>
          <w:szCs w:val="20"/>
          <w:lang w:val="pt-BR"/>
        </w:rPr>
        <w:t xml:space="preserve"> o</w:t>
      </w:r>
      <w:r w:rsidR="00717FBC" w:rsidRPr="00D5464D">
        <w:rPr>
          <w:rFonts w:cs="Arial"/>
          <w:szCs w:val="20"/>
          <w:lang w:val="pt-BR"/>
        </w:rPr>
        <w:t>u</w:t>
      </w:r>
      <w:r w:rsidR="00D81AA1" w:rsidRPr="00D5464D">
        <w:rPr>
          <w:rFonts w:cs="Arial"/>
          <w:szCs w:val="20"/>
          <w:lang w:val="pt-BR"/>
        </w:rPr>
        <w:t xml:space="preserve"> que </w:t>
      </w:r>
      <w:r w:rsidR="00717FBC" w:rsidRPr="00D5464D">
        <w:rPr>
          <w:rFonts w:cs="Arial"/>
          <w:szCs w:val="20"/>
          <w:lang w:val="pt-BR"/>
        </w:rPr>
        <w:t xml:space="preserve">resultem na </w:t>
      </w:r>
      <w:r w:rsidR="00D81AA1" w:rsidRPr="00D5464D">
        <w:rPr>
          <w:rFonts w:cs="Arial"/>
          <w:szCs w:val="20"/>
          <w:lang w:val="pt-BR"/>
        </w:rPr>
        <w:t>determina</w:t>
      </w:r>
      <w:r w:rsidRPr="00D5464D">
        <w:rPr>
          <w:rFonts w:cs="Arial"/>
          <w:szCs w:val="20"/>
          <w:lang w:val="pt-BR"/>
        </w:rPr>
        <w:t>ção d</w:t>
      </w:r>
      <w:r w:rsidR="00717FBC" w:rsidRPr="00D5464D">
        <w:rPr>
          <w:rFonts w:cs="Arial"/>
          <w:szCs w:val="20"/>
          <w:lang w:val="pt-BR"/>
        </w:rPr>
        <w:t xml:space="preserve">e seus </w:t>
      </w:r>
      <w:r w:rsidRPr="00D5464D">
        <w:rPr>
          <w:rFonts w:cs="Arial"/>
          <w:szCs w:val="20"/>
          <w:lang w:val="pt-BR"/>
        </w:rPr>
        <w:t>direito</w:t>
      </w:r>
      <w:r w:rsidR="00D81AA1" w:rsidRPr="00D5464D">
        <w:rPr>
          <w:rFonts w:cs="Arial"/>
          <w:szCs w:val="20"/>
          <w:lang w:val="pt-BR"/>
        </w:rPr>
        <w:t>s</w:t>
      </w:r>
      <w:r w:rsidR="00E045D9" w:rsidRPr="00D5464D">
        <w:rPr>
          <w:rFonts w:cs="Arial"/>
          <w:szCs w:val="20"/>
          <w:lang w:val="pt-BR"/>
        </w:rPr>
        <w:t xml:space="preserve"> e </w:t>
      </w:r>
      <w:r w:rsidR="002C330E" w:rsidRPr="00D5464D">
        <w:rPr>
          <w:rFonts w:cs="Arial"/>
          <w:szCs w:val="20"/>
          <w:lang w:val="pt-BR"/>
        </w:rPr>
        <w:t>obrigações</w:t>
      </w:r>
      <w:r w:rsidR="00A1358C" w:rsidRPr="00D5464D">
        <w:rPr>
          <w:rFonts w:cs="Arial"/>
          <w:szCs w:val="20"/>
          <w:lang w:val="pt-BR"/>
        </w:rPr>
        <w:t xml:space="preserve">. A </w:t>
      </w:r>
      <w:r w:rsidR="00D81AA1" w:rsidRPr="00D5464D">
        <w:rPr>
          <w:rFonts w:cs="Arial"/>
          <w:szCs w:val="20"/>
          <w:lang w:val="pt-BR"/>
        </w:rPr>
        <w:t xml:space="preserve">segunda, </w:t>
      </w:r>
      <w:r w:rsidR="002C330E" w:rsidRPr="00D5464D">
        <w:rPr>
          <w:rFonts w:cs="Arial"/>
          <w:szCs w:val="20"/>
          <w:lang w:val="pt-BR"/>
        </w:rPr>
        <w:t>garantir os</w:t>
      </w:r>
      <w:r w:rsidR="00350187" w:rsidRPr="00D5464D">
        <w:rPr>
          <w:rFonts w:cs="Arial"/>
          <w:szCs w:val="20"/>
          <w:lang w:val="pt-BR"/>
        </w:rPr>
        <w:t xml:space="preserve"> meios </w:t>
      </w:r>
      <w:r w:rsidR="00D81AA1" w:rsidRPr="00D5464D">
        <w:rPr>
          <w:rFonts w:cs="Arial"/>
          <w:szCs w:val="20"/>
          <w:lang w:val="pt-BR"/>
        </w:rPr>
        <w:t xml:space="preserve">para </w:t>
      </w:r>
      <w:r w:rsidRPr="00D5464D">
        <w:rPr>
          <w:rFonts w:cs="Arial"/>
          <w:szCs w:val="20"/>
          <w:lang w:val="pt-BR"/>
        </w:rPr>
        <w:t>executar</w:t>
      </w:r>
      <w:r w:rsidR="002C330E" w:rsidRPr="00D5464D">
        <w:rPr>
          <w:rFonts w:cs="Arial"/>
          <w:szCs w:val="20"/>
          <w:lang w:val="pt-BR"/>
        </w:rPr>
        <w:t xml:space="preserve"> as </w:t>
      </w:r>
      <w:r w:rsidR="00D81AA1" w:rsidRPr="00D5464D">
        <w:rPr>
          <w:rFonts w:cs="Arial"/>
          <w:szCs w:val="20"/>
          <w:lang w:val="pt-BR"/>
        </w:rPr>
        <w:t xml:space="preserve">respectivas </w:t>
      </w:r>
      <w:r w:rsidRPr="00D5464D">
        <w:rPr>
          <w:rFonts w:cs="Arial"/>
          <w:szCs w:val="20"/>
          <w:lang w:val="pt-BR"/>
        </w:rPr>
        <w:t>decisões</w:t>
      </w:r>
      <w:r w:rsidR="00E045D9" w:rsidRPr="00D5464D">
        <w:rPr>
          <w:rFonts w:cs="Arial"/>
          <w:szCs w:val="20"/>
          <w:lang w:val="pt-BR"/>
        </w:rPr>
        <w:t xml:space="preserve"> e </w:t>
      </w:r>
      <w:r w:rsidR="002C330E" w:rsidRPr="00D5464D">
        <w:rPr>
          <w:rFonts w:cs="Arial"/>
          <w:szCs w:val="20"/>
          <w:lang w:val="pt-BR"/>
        </w:rPr>
        <w:t>sentença</w:t>
      </w:r>
      <w:r w:rsidR="00D81AA1" w:rsidRPr="00D5464D">
        <w:rPr>
          <w:rFonts w:cs="Arial"/>
          <w:szCs w:val="20"/>
          <w:lang w:val="pt-BR"/>
        </w:rPr>
        <w:t xml:space="preserve">s definitivas </w:t>
      </w:r>
      <w:r w:rsidR="009E04D5" w:rsidRPr="00D5464D">
        <w:rPr>
          <w:rFonts w:cs="Arial"/>
          <w:szCs w:val="20"/>
          <w:lang w:val="pt-BR"/>
        </w:rPr>
        <w:t>proferidas</w:t>
      </w:r>
      <w:r w:rsidR="00D81AA1" w:rsidRPr="00D5464D">
        <w:rPr>
          <w:rFonts w:cs="Arial"/>
          <w:szCs w:val="20"/>
          <w:lang w:val="pt-BR"/>
        </w:rPr>
        <w:t xml:space="preserve"> por</w:t>
      </w:r>
      <w:r w:rsidR="00E045D9" w:rsidRPr="00D5464D">
        <w:rPr>
          <w:rFonts w:cs="Arial"/>
          <w:szCs w:val="20"/>
          <w:lang w:val="pt-BR"/>
        </w:rPr>
        <w:t xml:space="preserve"> </w:t>
      </w:r>
      <w:r w:rsidR="00717FBC" w:rsidRPr="00D5464D">
        <w:rPr>
          <w:rFonts w:cs="Arial"/>
          <w:szCs w:val="20"/>
          <w:lang w:val="pt-BR"/>
        </w:rPr>
        <w:t xml:space="preserve">estas </w:t>
      </w:r>
      <w:r w:rsidR="00D81AA1" w:rsidRPr="00D5464D">
        <w:rPr>
          <w:rFonts w:cs="Arial"/>
          <w:szCs w:val="20"/>
          <w:lang w:val="pt-BR"/>
        </w:rPr>
        <w:t xml:space="preserve">autoridades </w:t>
      </w:r>
      <w:r w:rsidR="00A1358C" w:rsidRPr="00D5464D">
        <w:rPr>
          <w:rFonts w:cs="Arial"/>
          <w:szCs w:val="20"/>
          <w:lang w:val="pt-BR"/>
        </w:rPr>
        <w:t>competente</w:t>
      </w:r>
      <w:r w:rsidR="00D81AA1" w:rsidRPr="00D5464D">
        <w:rPr>
          <w:rFonts w:cs="Arial"/>
          <w:szCs w:val="20"/>
          <w:lang w:val="pt-BR"/>
        </w:rPr>
        <w:t xml:space="preserve">s, de </w:t>
      </w:r>
      <w:r w:rsidR="002C330E" w:rsidRPr="00D5464D">
        <w:rPr>
          <w:rFonts w:cs="Arial"/>
          <w:szCs w:val="20"/>
          <w:lang w:val="pt-BR"/>
        </w:rPr>
        <w:t>maneira</w:t>
      </w:r>
      <w:r w:rsidR="00D81AA1" w:rsidRPr="00D5464D">
        <w:rPr>
          <w:rFonts w:cs="Arial"/>
          <w:szCs w:val="20"/>
          <w:lang w:val="pt-BR"/>
        </w:rPr>
        <w:t xml:space="preserve"> que </w:t>
      </w:r>
      <w:r w:rsidR="00717FBC" w:rsidRPr="00D5464D">
        <w:rPr>
          <w:rFonts w:cs="Arial"/>
          <w:szCs w:val="20"/>
          <w:lang w:val="pt-BR"/>
        </w:rPr>
        <w:t>protejam,</w:t>
      </w:r>
      <w:r w:rsidR="00D81AA1" w:rsidRPr="00D5464D">
        <w:rPr>
          <w:rFonts w:cs="Arial"/>
          <w:szCs w:val="20"/>
          <w:lang w:val="pt-BR"/>
        </w:rPr>
        <w:t xml:space="preserve"> </w:t>
      </w:r>
      <w:r w:rsidRPr="00D5464D">
        <w:rPr>
          <w:rFonts w:cs="Arial"/>
          <w:szCs w:val="20"/>
          <w:lang w:val="pt-BR"/>
        </w:rPr>
        <w:t>efetiv</w:t>
      </w:r>
      <w:r w:rsidR="00D81AA1" w:rsidRPr="00D5464D">
        <w:rPr>
          <w:rFonts w:cs="Arial"/>
          <w:szCs w:val="20"/>
          <w:lang w:val="pt-BR"/>
        </w:rPr>
        <w:t>amente</w:t>
      </w:r>
      <w:r w:rsidR="00717FBC" w:rsidRPr="00D5464D">
        <w:rPr>
          <w:rFonts w:cs="Arial"/>
          <w:szCs w:val="20"/>
          <w:lang w:val="pt-BR"/>
        </w:rPr>
        <w:t>,</w:t>
      </w:r>
      <w:r w:rsidR="002C330E" w:rsidRPr="00D5464D">
        <w:rPr>
          <w:rFonts w:cs="Arial"/>
          <w:szCs w:val="20"/>
          <w:lang w:val="pt-BR"/>
        </w:rPr>
        <w:t xml:space="preserve"> os </w:t>
      </w:r>
      <w:r w:rsidRPr="00D5464D">
        <w:rPr>
          <w:rFonts w:cs="Arial"/>
          <w:szCs w:val="20"/>
          <w:lang w:val="pt-BR"/>
        </w:rPr>
        <w:t>direito</w:t>
      </w:r>
      <w:r w:rsidR="00D81AA1" w:rsidRPr="00D5464D">
        <w:rPr>
          <w:rFonts w:cs="Arial"/>
          <w:szCs w:val="20"/>
          <w:lang w:val="pt-BR"/>
        </w:rPr>
        <w:t>s declarados o</w:t>
      </w:r>
      <w:r w:rsidR="00717FBC" w:rsidRPr="00D5464D">
        <w:rPr>
          <w:rFonts w:cs="Arial"/>
          <w:szCs w:val="20"/>
          <w:lang w:val="pt-BR"/>
        </w:rPr>
        <w:t>u</w:t>
      </w:r>
      <w:r w:rsidR="00D81AA1" w:rsidRPr="00D5464D">
        <w:rPr>
          <w:rFonts w:cs="Arial"/>
          <w:szCs w:val="20"/>
          <w:lang w:val="pt-BR"/>
        </w:rPr>
        <w:t xml:space="preserve"> re</w:t>
      </w:r>
      <w:r w:rsidRPr="00D5464D">
        <w:rPr>
          <w:rFonts w:cs="Arial"/>
          <w:szCs w:val="20"/>
          <w:lang w:val="pt-BR"/>
        </w:rPr>
        <w:t>conhecido</w:t>
      </w:r>
      <w:r w:rsidR="00D81AA1" w:rsidRPr="00D5464D">
        <w:rPr>
          <w:rFonts w:cs="Arial"/>
          <w:szCs w:val="20"/>
          <w:lang w:val="pt-BR"/>
        </w:rPr>
        <w:t>s</w:t>
      </w:r>
      <w:r w:rsidR="00717FBC" w:rsidRPr="00D5464D">
        <w:rPr>
          <w:rFonts w:cs="Arial"/>
          <w:szCs w:val="20"/>
          <w:lang w:val="pt-BR"/>
        </w:rPr>
        <w:t>.</w:t>
      </w:r>
      <w:r w:rsidR="003014DB" w:rsidRPr="00D5464D">
        <w:rPr>
          <w:szCs w:val="20"/>
          <w:vertAlign w:val="superscript"/>
          <w:lang w:val="pt-BR"/>
        </w:rPr>
        <w:footnoteReference w:id="501"/>
      </w:r>
      <w:r w:rsidR="00A1358C" w:rsidRPr="00D5464D">
        <w:rPr>
          <w:rFonts w:cs="Arial"/>
          <w:szCs w:val="20"/>
          <w:lang w:val="pt-BR"/>
        </w:rPr>
        <w:t xml:space="preserve"> O </w:t>
      </w:r>
      <w:r w:rsidRPr="00D5464D">
        <w:rPr>
          <w:rFonts w:cs="Arial"/>
          <w:szCs w:val="20"/>
          <w:lang w:val="pt-BR"/>
        </w:rPr>
        <w:t>direito</w:t>
      </w:r>
      <w:r w:rsidR="00D81AA1" w:rsidRPr="00D5464D">
        <w:rPr>
          <w:rFonts w:cs="Arial"/>
          <w:szCs w:val="20"/>
          <w:lang w:val="pt-BR"/>
        </w:rPr>
        <w:t xml:space="preserve"> </w:t>
      </w:r>
      <w:r w:rsidRPr="00D5464D">
        <w:rPr>
          <w:rFonts w:cs="Arial"/>
          <w:szCs w:val="20"/>
          <w:lang w:val="pt-BR"/>
        </w:rPr>
        <w:t>estabelecid</w:t>
      </w:r>
      <w:r w:rsidR="00D81AA1" w:rsidRPr="00D5464D">
        <w:rPr>
          <w:rFonts w:cs="Arial"/>
          <w:szCs w:val="20"/>
          <w:lang w:val="pt-BR"/>
        </w:rPr>
        <w:t>o</w:t>
      </w:r>
      <w:r w:rsidR="00E045D9" w:rsidRPr="00D5464D">
        <w:rPr>
          <w:rFonts w:cs="Arial"/>
          <w:szCs w:val="20"/>
          <w:lang w:val="pt-BR"/>
        </w:rPr>
        <w:t xml:space="preserve"> no </w:t>
      </w:r>
      <w:r w:rsidRPr="00D5464D">
        <w:rPr>
          <w:rFonts w:cs="Arial"/>
          <w:szCs w:val="20"/>
          <w:lang w:val="pt-BR"/>
        </w:rPr>
        <w:t>artigo</w:t>
      </w:r>
      <w:r w:rsidR="00D81AA1" w:rsidRPr="00D5464D">
        <w:rPr>
          <w:rFonts w:cs="Arial"/>
          <w:szCs w:val="20"/>
          <w:lang w:val="pt-BR"/>
        </w:rPr>
        <w:t xml:space="preserve"> 25 se </w:t>
      </w:r>
      <w:r w:rsidRPr="00D5464D">
        <w:rPr>
          <w:rFonts w:cs="Arial"/>
          <w:szCs w:val="20"/>
          <w:lang w:val="pt-BR"/>
        </w:rPr>
        <w:t xml:space="preserve">encontra </w:t>
      </w:r>
      <w:r w:rsidR="00230C71" w:rsidRPr="00D5464D">
        <w:rPr>
          <w:rFonts w:cs="Arial"/>
          <w:szCs w:val="20"/>
          <w:lang w:val="pt-BR"/>
        </w:rPr>
        <w:t>intimamente</w:t>
      </w:r>
      <w:r w:rsidR="00D81AA1" w:rsidRPr="00D5464D">
        <w:rPr>
          <w:rFonts w:cs="Arial"/>
          <w:szCs w:val="20"/>
          <w:lang w:val="pt-BR"/>
        </w:rPr>
        <w:t xml:space="preserve"> ligado</w:t>
      </w:r>
      <w:r w:rsidRPr="00D5464D">
        <w:rPr>
          <w:rFonts w:cs="Arial"/>
          <w:szCs w:val="20"/>
          <w:lang w:val="pt-BR"/>
        </w:rPr>
        <w:t xml:space="preserve"> </w:t>
      </w:r>
      <w:r w:rsidR="00717FBC" w:rsidRPr="00D5464D">
        <w:rPr>
          <w:rFonts w:cs="Arial"/>
          <w:szCs w:val="20"/>
          <w:lang w:val="pt-BR"/>
        </w:rPr>
        <w:t>à</w:t>
      </w:r>
      <w:r w:rsidR="002C330E" w:rsidRPr="00D5464D">
        <w:rPr>
          <w:rFonts w:cs="Arial"/>
          <w:szCs w:val="20"/>
          <w:lang w:val="pt-BR"/>
        </w:rPr>
        <w:t xml:space="preserve"> obrigação</w:t>
      </w:r>
      <w:r w:rsidR="00D81AA1" w:rsidRPr="00D5464D">
        <w:rPr>
          <w:rFonts w:cs="Arial"/>
          <w:szCs w:val="20"/>
          <w:lang w:val="pt-BR"/>
        </w:rPr>
        <w:t xml:space="preserve"> </w:t>
      </w:r>
      <w:r w:rsidR="002C330E" w:rsidRPr="00D5464D">
        <w:rPr>
          <w:rFonts w:cs="Arial"/>
          <w:szCs w:val="20"/>
          <w:lang w:val="pt-BR"/>
        </w:rPr>
        <w:t>geral</w:t>
      </w:r>
      <w:r w:rsidR="00D81AA1" w:rsidRPr="00D5464D">
        <w:rPr>
          <w:rFonts w:cs="Arial"/>
          <w:szCs w:val="20"/>
          <w:lang w:val="pt-BR"/>
        </w:rPr>
        <w:t xml:space="preserve"> </w:t>
      </w:r>
      <w:r w:rsidRPr="00D5464D">
        <w:rPr>
          <w:rFonts w:cs="Arial"/>
          <w:szCs w:val="20"/>
          <w:lang w:val="pt-BR"/>
        </w:rPr>
        <w:t>do artigo</w:t>
      </w:r>
      <w:r w:rsidR="00D81AA1" w:rsidRPr="00D5464D">
        <w:rPr>
          <w:rFonts w:cs="Arial"/>
          <w:szCs w:val="20"/>
          <w:lang w:val="pt-BR"/>
        </w:rPr>
        <w:t xml:space="preserve"> 1.1</w:t>
      </w:r>
      <w:r w:rsidRPr="00D5464D">
        <w:rPr>
          <w:rFonts w:cs="Arial"/>
          <w:szCs w:val="20"/>
          <w:lang w:val="pt-BR"/>
        </w:rPr>
        <w:t xml:space="preserve"> da </w:t>
      </w:r>
      <w:r w:rsidR="00D81AA1" w:rsidRPr="00D5464D">
        <w:rPr>
          <w:rFonts w:cs="Arial"/>
          <w:szCs w:val="20"/>
          <w:lang w:val="pt-BR"/>
        </w:rPr>
        <w:t>Conven</w:t>
      </w:r>
      <w:r w:rsidRPr="00D5464D">
        <w:rPr>
          <w:rFonts w:cs="Arial"/>
          <w:szCs w:val="20"/>
          <w:lang w:val="pt-BR"/>
        </w:rPr>
        <w:t>ção</w:t>
      </w:r>
      <w:r w:rsidR="00D81AA1" w:rsidRPr="00D5464D">
        <w:rPr>
          <w:rFonts w:cs="Arial"/>
          <w:szCs w:val="20"/>
          <w:lang w:val="pt-BR"/>
        </w:rPr>
        <w:t>,</w:t>
      </w:r>
      <w:r w:rsidRPr="00D5464D">
        <w:rPr>
          <w:rFonts w:cs="Arial"/>
          <w:szCs w:val="20"/>
          <w:lang w:val="pt-BR"/>
        </w:rPr>
        <w:t xml:space="preserve"> ao </w:t>
      </w:r>
      <w:r w:rsidR="00D81AA1" w:rsidRPr="00D5464D">
        <w:rPr>
          <w:rFonts w:cs="Arial"/>
          <w:szCs w:val="20"/>
          <w:lang w:val="pt-BR"/>
        </w:rPr>
        <w:t>atribuir fun</w:t>
      </w:r>
      <w:r w:rsidRPr="00D5464D">
        <w:rPr>
          <w:rFonts w:cs="Arial"/>
          <w:szCs w:val="20"/>
          <w:lang w:val="pt-BR"/>
        </w:rPr>
        <w:t>ções</w:t>
      </w:r>
      <w:r w:rsidR="00D81AA1" w:rsidRPr="00D5464D">
        <w:rPr>
          <w:rFonts w:cs="Arial"/>
          <w:szCs w:val="20"/>
          <w:lang w:val="pt-BR"/>
        </w:rPr>
        <w:t xml:space="preserve"> de </w:t>
      </w:r>
      <w:r w:rsidR="002C330E" w:rsidRPr="00D5464D">
        <w:rPr>
          <w:rFonts w:cs="Arial"/>
          <w:szCs w:val="20"/>
          <w:lang w:val="pt-BR"/>
        </w:rPr>
        <w:t>proteção</w:t>
      </w:r>
      <w:r w:rsidRPr="00D5464D">
        <w:rPr>
          <w:rFonts w:cs="Arial"/>
          <w:szCs w:val="20"/>
          <w:lang w:val="pt-BR"/>
        </w:rPr>
        <w:t xml:space="preserve"> ao direito</w:t>
      </w:r>
      <w:r w:rsidR="00D81AA1" w:rsidRPr="00D5464D">
        <w:rPr>
          <w:rFonts w:cs="Arial"/>
          <w:szCs w:val="20"/>
          <w:lang w:val="pt-BR"/>
        </w:rPr>
        <w:t xml:space="preserve"> interno</w:t>
      </w:r>
      <w:r w:rsidRPr="00D5464D">
        <w:rPr>
          <w:rFonts w:cs="Arial"/>
          <w:szCs w:val="20"/>
          <w:lang w:val="pt-BR"/>
        </w:rPr>
        <w:t xml:space="preserve"> dos </w:t>
      </w:r>
      <w:r w:rsidR="00D81AA1" w:rsidRPr="00D5464D">
        <w:rPr>
          <w:rFonts w:cs="Arial"/>
          <w:szCs w:val="20"/>
          <w:lang w:val="pt-BR"/>
        </w:rPr>
        <w:t>Estados Partes</w:t>
      </w:r>
      <w:r w:rsidR="00717FBC" w:rsidRPr="00D5464D">
        <w:rPr>
          <w:rFonts w:cs="Arial"/>
          <w:szCs w:val="20"/>
          <w:lang w:val="pt-BR"/>
        </w:rPr>
        <w:t>.</w:t>
      </w:r>
      <w:r w:rsidR="00D81AA1" w:rsidRPr="00D5464D">
        <w:rPr>
          <w:szCs w:val="20"/>
          <w:vertAlign w:val="superscript"/>
          <w:lang w:val="pt-BR"/>
        </w:rPr>
        <w:footnoteReference w:id="502"/>
      </w:r>
      <w:r w:rsidRPr="00D5464D">
        <w:rPr>
          <w:rFonts w:cs="Arial"/>
          <w:szCs w:val="20"/>
          <w:lang w:val="pt-BR"/>
        </w:rPr>
        <w:t xml:space="preserve"> </w:t>
      </w:r>
      <w:r w:rsidR="009832F5" w:rsidRPr="00D5464D">
        <w:rPr>
          <w:rFonts w:cs="Arial"/>
          <w:szCs w:val="20"/>
          <w:lang w:val="pt-BR"/>
        </w:rPr>
        <w:t>Tendo em</w:t>
      </w:r>
      <w:r w:rsidRPr="00D5464D">
        <w:rPr>
          <w:rFonts w:cs="Arial"/>
          <w:szCs w:val="20"/>
          <w:lang w:val="pt-BR"/>
        </w:rPr>
        <w:t xml:space="preserve"> </w:t>
      </w:r>
      <w:r w:rsidR="00D81AA1" w:rsidRPr="00D5464D">
        <w:rPr>
          <w:rFonts w:cs="Arial"/>
          <w:szCs w:val="20"/>
          <w:lang w:val="pt-BR"/>
        </w:rPr>
        <w:t>vista</w:t>
      </w:r>
      <w:r w:rsidRPr="00D5464D">
        <w:rPr>
          <w:rFonts w:cs="Arial"/>
          <w:szCs w:val="20"/>
          <w:lang w:val="pt-BR"/>
        </w:rPr>
        <w:t xml:space="preserve"> o </w:t>
      </w:r>
      <w:r w:rsidR="00D81AA1" w:rsidRPr="00D5464D">
        <w:rPr>
          <w:rFonts w:cs="Arial"/>
          <w:szCs w:val="20"/>
          <w:lang w:val="pt-BR"/>
        </w:rPr>
        <w:t>anterior,</w:t>
      </w:r>
      <w:r w:rsidRPr="00D5464D">
        <w:rPr>
          <w:rFonts w:cs="Arial"/>
          <w:szCs w:val="20"/>
          <w:lang w:val="pt-BR"/>
        </w:rPr>
        <w:t xml:space="preserve"> o </w:t>
      </w:r>
      <w:r w:rsidR="00D81AA1" w:rsidRPr="00D5464D">
        <w:rPr>
          <w:rFonts w:cs="Arial"/>
          <w:szCs w:val="20"/>
          <w:lang w:val="pt-BR"/>
        </w:rPr>
        <w:t xml:space="preserve">Estado </w:t>
      </w:r>
      <w:r w:rsidR="00E045D9" w:rsidRPr="00D5464D">
        <w:rPr>
          <w:rFonts w:cs="Arial"/>
          <w:szCs w:val="20"/>
          <w:lang w:val="pt-BR"/>
        </w:rPr>
        <w:t xml:space="preserve">tem </w:t>
      </w:r>
      <w:r w:rsidR="002C330E" w:rsidRPr="00D5464D">
        <w:rPr>
          <w:rFonts w:cs="Arial"/>
          <w:szCs w:val="20"/>
          <w:lang w:val="pt-BR"/>
        </w:rPr>
        <w:t xml:space="preserve">a responsabilidade </w:t>
      </w:r>
      <w:r w:rsidR="00350187" w:rsidRPr="00D5464D">
        <w:rPr>
          <w:rFonts w:cs="Arial"/>
          <w:szCs w:val="20"/>
          <w:lang w:val="pt-BR"/>
        </w:rPr>
        <w:t xml:space="preserve">não apenas </w:t>
      </w:r>
      <w:r w:rsidR="00D81AA1" w:rsidRPr="00D5464D">
        <w:rPr>
          <w:rFonts w:cs="Arial"/>
          <w:szCs w:val="20"/>
          <w:lang w:val="pt-BR"/>
        </w:rPr>
        <w:t xml:space="preserve">de </w:t>
      </w:r>
      <w:r w:rsidR="00717FBC" w:rsidRPr="00D5464D">
        <w:rPr>
          <w:rFonts w:cs="Arial"/>
          <w:szCs w:val="20"/>
          <w:lang w:val="pt-BR"/>
        </w:rPr>
        <w:t xml:space="preserve">elaborar </w:t>
      </w:r>
      <w:r w:rsidR="00E045D9" w:rsidRPr="00D5464D">
        <w:rPr>
          <w:rFonts w:cs="Arial"/>
          <w:szCs w:val="20"/>
          <w:lang w:val="pt-BR"/>
        </w:rPr>
        <w:t xml:space="preserve">e </w:t>
      </w:r>
      <w:r w:rsidR="00D81AA1" w:rsidRPr="00D5464D">
        <w:rPr>
          <w:rFonts w:cs="Arial"/>
          <w:szCs w:val="20"/>
          <w:lang w:val="pt-BR"/>
        </w:rPr>
        <w:t>consagrar normativamente</w:t>
      </w:r>
      <w:r w:rsidR="00E045D9" w:rsidRPr="00D5464D">
        <w:rPr>
          <w:rFonts w:cs="Arial"/>
          <w:szCs w:val="20"/>
          <w:lang w:val="pt-BR"/>
        </w:rPr>
        <w:t xml:space="preserve"> um </w:t>
      </w:r>
      <w:r w:rsidR="00D81AA1" w:rsidRPr="00D5464D">
        <w:rPr>
          <w:rFonts w:cs="Arial"/>
          <w:szCs w:val="20"/>
          <w:lang w:val="pt-BR"/>
        </w:rPr>
        <w:t>recurso eficaz,</w:t>
      </w:r>
      <w:r w:rsidR="002C330E" w:rsidRPr="00D5464D">
        <w:rPr>
          <w:rFonts w:cs="Arial"/>
          <w:szCs w:val="20"/>
          <w:lang w:val="pt-BR"/>
        </w:rPr>
        <w:t xml:space="preserve"> mas </w:t>
      </w:r>
      <w:r w:rsidR="00E045D9" w:rsidRPr="00D5464D">
        <w:rPr>
          <w:rFonts w:cs="Arial"/>
          <w:szCs w:val="20"/>
          <w:lang w:val="pt-BR"/>
        </w:rPr>
        <w:t>também</w:t>
      </w:r>
      <w:r w:rsidR="002C330E" w:rsidRPr="00D5464D">
        <w:rPr>
          <w:rFonts w:cs="Arial"/>
          <w:szCs w:val="20"/>
          <w:lang w:val="pt-BR"/>
        </w:rPr>
        <w:t xml:space="preserve"> a </w:t>
      </w:r>
      <w:r w:rsidR="00D81AA1" w:rsidRPr="00D5464D">
        <w:rPr>
          <w:rFonts w:cs="Arial"/>
          <w:szCs w:val="20"/>
          <w:lang w:val="pt-BR"/>
        </w:rPr>
        <w:t xml:space="preserve">de </w:t>
      </w:r>
      <w:r w:rsidRPr="00D5464D">
        <w:rPr>
          <w:rFonts w:cs="Arial"/>
          <w:szCs w:val="20"/>
          <w:lang w:val="pt-BR"/>
        </w:rPr>
        <w:t>assegurar</w:t>
      </w:r>
      <w:r w:rsidR="002C330E" w:rsidRPr="00D5464D">
        <w:rPr>
          <w:rFonts w:cs="Arial"/>
          <w:szCs w:val="20"/>
          <w:lang w:val="pt-BR"/>
        </w:rPr>
        <w:t xml:space="preserve"> a </w:t>
      </w:r>
      <w:r w:rsidRPr="00D5464D">
        <w:rPr>
          <w:rFonts w:cs="Arial"/>
          <w:szCs w:val="20"/>
          <w:lang w:val="pt-BR"/>
        </w:rPr>
        <w:t xml:space="preserve">devida </w:t>
      </w:r>
      <w:r w:rsidR="00D81AA1" w:rsidRPr="00D5464D">
        <w:rPr>
          <w:rFonts w:cs="Arial"/>
          <w:szCs w:val="20"/>
          <w:lang w:val="pt-BR"/>
        </w:rPr>
        <w:t>aplica</w:t>
      </w:r>
      <w:r w:rsidRPr="00D5464D">
        <w:rPr>
          <w:rFonts w:cs="Arial"/>
          <w:szCs w:val="20"/>
          <w:lang w:val="pt-BR"/>
        </w:rPr>
        <w:t>ção</w:t>
      </w:r>
      <w:r w:rsidR="00D81AA1" w:rsidRPr="00D5464D">
        <w:rPr>
          <w:rFonts w:cs="Arial"/>
          <w:szCs w:val="20"/>
          <w:lang w:val="pt-BR"/>
        </w:rPr>
        <w:t xml:space="preserve"> </w:t>
      </w:r>
      <w:r w:rsidR="00E045D9" w:rsidRPr="00D5464D">
        <w:rPr>
          <w:rFonts w:cs="Arial"/>
          <w:szCs w:val="20"/>
          <w:lang w:val="pt-BR"/>
        </w:rPr>
        <w:t>deste</w:t>
      </w:r>
      <w:r w:rsidR="00D81AA1" w:rsidRPr="00D5464D">
        <w:rPr>
          <w:rFonts w:cs="Arial"/>
          <w:szCs w:val="20"/>
          <w:lang w:val="pt-BR"/>
        </w:rPr>
        <w:t xml:space="preserve"> recurso por parte de </w:t>
      </w:r>
      <w:r w:rsidR="00230C71" w:rsidRPr="00D5464D">
        <w:rPr>
          <w:rFonts w:cs="Arial"/>
          <w:szCs w:val="20"/>
          <w:lang w:val="pt-BR"/>
        </w:rPr>
        <w:t>suas autoridades</w:t>
      </w:r>
      <w:r w:rsidR="00D81AA1" w:rsidRPr="00D5464D">
        <w:rPr>
          <w:rFonts w:cs="Arial"/>
          <w:szCs w:val="20"/>
          <w:lang w:val="pt-BR"/>
        </w:rPr>
        <w:t xml:space="preserve"> </w:t>
      </w:r>
      <w:r w:rsidR="002C330E" w:rsidRPr="00D5464D">
        <w:rPr>
          <w:rFonts w:cs="Arial"/>
          <w:szCs w:val="20"/>
          <w:lang w:val="pt-BR"/>
        </w:rPr>
        <w:t>judiciais</w:t>
      </w:r>
      <w:r w:rsidR="00717FBC" w:rsidRPr="00D5464D">
        <w:rPr>
          <w:rFonts w:cs="Arial"/>
          <w:szCs w:val="20"/>
          <w:lang w:val="pt-BR"/>
        </w:rPr>
        <w:t>.</w:t>
      </w:r>
      <w:r w:rsidR="00D81AA1" w:rsidRPr="00D5464D">
        <w:rPr>
          <w:szCs w:val="20"/>
          <w:vertAlign w:val="superscript"/>
          <w:lang w:val="pt-BR"/>
        </w:rPr>
        <w:footnoteReference w:id="503"/>
      </w:r>
      <w:r w:rsidR="006109E5" w:rsidRPr="00D5464D">
        <w:rPr>
          <w:rFonts w:cs="Arial"/>
          <w:szCs w:val="20"/>
          <w:lang w:val="pt-BR"/>
        </w:rPr>
        <w:t xml:space="preserve"> </w:t>
      </w:r>
    </w:p>
    <w:p w14:paraId="79188CAD" w14:textId="77777777" w:rsidR="00D81AA1" w:rsidRPr="00D5464D" w:rsidRDefault="00D81AA1" w:rsidP="00D81AA1">
      <w:pPr>
        <w:pStyle w:val="Prrafodelista"/>
        <w:autoSpaceDE w:val="0"/>
        <w:autoSpaceDN w:val="0"/>
        <w:adjustRightInd w:val="0"/>
        <w:ind w:left="0"/>
        <w:rPr>
          <w:rFonts w:cs="Arial"/>
          <w:bCs/>
          <w:iCs/>
          <w:szCs w:val="20"/>
          <w:lang w:val="pt-BR"/>
        </w:rPr>
      </w:pPr>
    </w:p>
    <w:p w14:paraId="3DD9B532" w14:textId="28869495" w:rsidR="00D81AA1" w:rsidRPr="00D5464D" w:rsidRDefault="00470ADC" w:rsidP="00D81AA1">
      <w:pPr>
        <w:pStyle w:val="Prrafodelista"/>
        <w:numPr>
          <w:ilvl w:val="0"/>
          <w:numId w:val="1"/>
        </w:numPr>
        <w:autoSpaceDE w:val="0"/>
        <w:autoSpaceDN w:val="0"/>
        <w:adjustRightInd w:val="0"/>
        <w:contextualSpacing w:val="0"/>
        <w:rPr>
          <w:rFonts w:cs="Arial"/>
          <w:bCs/>
          <w:iCs/>
          <w:szCs w:val="20"/>
          <w:lang w:val="pt-BR"/>
        </w:rPr>
      </w:pPr>
      <w:r w:rsidRPr="00D5464D">
        <w:rPr>
          <w:rFonts w:cs="Arial"/>
          <w:bCs/>
          <w:iCs/>
          <w:szCs w:val="20"/>
          <w:lang w:val="pt-BR"/>
        </w:rPr>
        <w:t xml:space="preserve">No </w:t>
      </w:r>
      <w:r w:rsidR="00D81AA1" w:rsidRPr="00D5464D">
        <w:rPr>
          <w:rFonts w:cs="Arial"/>
          <w:bCs/>
          <w:iCs/>
          <w:szCs w:val="20"/>
          <w:lang w:val="pt-BR"/>
        </w:rPr>
        <w:t>presente caso,</w:t>
      </w:r>
      <w:r w:rsidR="002C330E" w:rsidRPr="00D5464D">
        <w:rPr>
          <w:rFonts w:cs="Arial"/>
          <w:bCs/>
          <w:iCs/>
          <w:szCs w:val="20"/>
          <w:lang w:val="pt-BR"/>
        </w:rPr>
        <w:t xml:space="preserve"> a </w:t>
      </w:r>
      <w:r w:rsidR="00D81AA1" w:rsidRPr="00D5464D">
        <w:rPr>
          <w:rFonts w:cs="Arial"/>
          <w:bCs/>
          <w:iCs/>
          <w:szCs w:val="20"/>
          <w:lang w:val="pt-BR"/>
        </w:rPr>
        <w:t>Corte considera</w:t>
      </w:r>
      <w:r w:rsidR="00AF7B3D" w:rsidRPr="00D5464D">
        <w:rPr>
          <w:rFonts w:cs="Arial"/>
          <w:bCs/>
          <w:iCs/>
          <w:szCs w:val="20"/>
          <w:lang w:val="pt-BR"/>
        </w:rPr>
        <w:t>,</w:t>
      </w:r>
      <w:r w:rsidRPr="00D5464D">
        <w:rPr>
          <w:rFonts w:cs="Arial"/>
          <w:bCs/>
          <w:iCs/>
          <w:szCs w:val="20"/>
          <w:lang w:val="pt-BR"/>
        </w:rPr>
        <w:t xml:space="preserve"> em</w:t>
      </w:r>
      <w:r w:rsidR="002C330E" w:rsidRPr="00D5464D">
        <w:rPr>
          <w:rFonts w:cs="Arial"/>
          <w:bCs/>
          <w:iCs/>
          <w:szCs w:val="20"/>
          <w:lang w:val="pt-BR"/>
        </w:rPr>
        <w:t xml:space="preserve"> primeiro </w:t>
      </w:r>
      <w:r w:rsidR="00D81AA1" w:rsidRPr="00D5464D">
        <w:rPr>
          <w:rFonts w:cs="Arial"/>
          <w:bCs/>
          <w:iCs/>
          <w:szCs w:val="20"/>
          <w:lang w:val="pt-BR"/>
        </w:rPr>
        <w:t>lugar</w:t>
      </w:r>
      <w:r w:rsidR="00AF7B3D" w:rsidRPr="00D5464D">
        <w:rPr>
          <w:rFonts w:cs="Arial"/>
          <w:bCs/>
          <w:iCs/>
          <w:szCs w:val="20"/>
          <w:lang w:val="pt-BR"/>
        </w:rPr>
        <w:t>,</w:t>
      </w:r>
      <w:r w:rsidR="00D81AA1" w:rsidRPr="00D5464D">
        <w:rPr>
          <w:rFonts w:cs="Arial"/>
          <w:bCs/>
          <w:iCs/>
          <w:szCs w:val="20"/>
          <w:lang w:val="pt-BR"/>
        </w:rPr>
        <w:t xml:space="preserve"> que</w:t>
      </w:r>
      <w:r w:rsidRPr="00D5464D">
        <w:rPr>
          <w:rFonts w:cs="Arial"/>
          <w:bCs/>
          <w:iCs/>
          <w:szCs w:val="20"/>
          <w:lang w:val="pt-BR"/>
        </w:rPr>
        <w:t xml:space="preserve"> o </w:t>
      </w:r>
      <w:r w:rsidR="00D81AA1" w:rsidRPr="00D5464D">
        <w:rPr>
          <w:rFonts w:cs="Arial"/>
          <w:bCs/>
          <w:iCs/>
          <w:szCs w:val="20"/>
          <w:lang w:val="pt-BR"/>
        </w:rPr>
        <w:t xml:space="preserve">Estado </w:t>
      </w:r>
      <w:r w:rsidRPr="00D5464D">
        <w:rPr>
          <w:rFonts w:cs="Arial"/>
          <w:bCs/>
          <w:iCs/>
          <w:szCs w:val="20"/>
          <w:lang w:val="pt-BR"/>
        </w:rPr>
        <w:t>brasileir</w:t>
      </w:r>
      <w:r w:rsidR="00D81AA1" w:rsidRPr="00D5464D">
        <w:rPr>
          <w:rFonts w:cs="Arial"/>
          <w:bCs/>
          <w:iCs/>
          <w:szCs w:val="20"/>
          <w:lang w:val="pt-BR"/>
        </w:rPr>
        <w:t>o</w:t>
      </w:r>
      <w:r w:rsidRPr="00D5464D">
        <w:rPr>
          <w:rFonts w:cs="Arial"/>
          <w:bCs/>
          <w:iCs/>
          <w:szCs w:val="20"/>
          <w:lang w:val="pt-BR"/>
        </w:rPr>
        <w:t xml:space="preserve"> conta com</w:t>
      </w:r>
      <w:r w:rsidR="00E045D9" w:rsidRPr="00D5464D">
        <w:rPr>
          <w:rFonts w:cs="Arial"/>
          <w:bCs/>
          <w:iCs/>
          <w:szCs w:val="20"/>
          <w:lang w:val="pt-BR"/>
        </w:rPr>
        <w:t xml:space="preserve"> um </w:t>
      </w:r>
      <w:r w:rsidR="00D81AA1" w:rsidRPr="00D5464D">
        <w:rPr>
          <w:rFonts w:cs="Arial"/>
          <w:bCs/>
          <w:iCs/>
          <w:szCs w:val="20"/>
          <w:lang w:val="pt-BR"/>
        </w:rPr>
        <w:t>marco normativo que,</w:t>
      </w:r>
      <w:r w:rsidRPr="00D5464D">
        <w:rPr>
          <w:rFonts w:cs="Arial"/>
          <w:bCs/>
          <w:iCs/>
          <w:szCs w:val="20"/>
          <w:lang w:val="pt-BR"/>
        </w:rPr>
        <w:t xml:space="preserve"> em </w:t>
      </w:r>
      <w:r w:rsidR="002C330E" w:rsidRPr="00D5464D">
        <w:rPr>
          <w:rFonts w:cs="Arial"/>
          <w:bCs/>
          <w:iCs/>
          <w:szCs w:val="20"/>
          <w:lang w:val="pt-BR"/>
        </w:rPr>
        <w:t>princípio</w:t>
      </w:r>
      <w:r w:rsidR="00D81AA1" w:rsidRPr="00D5464D">
        <w:rPr>
          <w:rFonts w:cs="Arial"/>
          <w:bCs/>
          <w:iCs/>
          <w:szCs w:val="20"/>
          <w:lang w:val="pt-BR"/>
        </w:rPr>
        <w:t xml:space="preserve">, permite </w:t>
      </w:r>
      <w:r w:rsidR="002C330E" w:rsidRPr="00D5464D">
        <w:rPr>
          <w:rFonts w:cs="Arial"/>
          <w:bCs/>
          <w:iCs/>
          <w:szCs w:val="20"/>
          <w:lang w:val="pt-BR"/>
        </w:rPr>
        <w:t>garantir a proteção</w:t>
      </w:r>
      <w:r w:rsidR="00D81AA1" w:rsidRPr="00D5464D">
        <w:rPr>
          <w:rFonts w:cs="Arial"/>
          <w:bCs/>
          <w:iCs/>
          <w:szCs w:val="20"/>
          <w:lang w:val="pt-BR"/>
        </w:rPr>
        <w:t xml:space="preserve"> judicial</w:t>
      </w:r>
      <w:r w:rsidRPr="00D5464D">
        <w:rPr>
          <w:rFonts w:cs="Arial"/>
          <w:bCs/>
          <w:iCs/>
          <w:szCs w:val="20"/>
          <w:lang w:val="pt-BR"/>
        </w:rPr>
        <w:t xml:space="preserve"> das </w:t>
      </w:r>
      <w:r w:rsidR="002C330E" w:rsidRPr="00D5464D">
        <w:rPr>
          <w:rFonts w:cs="Arial"/>
          <w:bCs/>
          <w:iCs/>
          <w:szCs w:val="20"/>
          <w:lang w:val="pt-BR"/>
        </w:rPr>
        <w:t>pessoa</w:t>
      </w:r>
      <w:r w:rsidR="00D81AA1" w:rsidRPr="00D5464D">
        <w:rPr>
          <w:rFonts w:cs="Arial"/>
          <w:bCs/>
          <w:iCs/>
          <w:szCs w:val="20"/>
          <w:lang w:val="pt-BR"/>
        </w:rPr>
        <w:t>s, sancionando</w:t>
      </w:r>
      <w:r w:rsidR="002C330E" w:rsidRPr="00D5464D">
        <w:rPr>
          <w:rFonts w:cs="Arial"/>
          <w:bCs/>
          <w:iCs/>
          <w:szCs w:val="20"/>
          <w:lang w:val="pt-BR"/>
        </w:rPr>
        <w:t xml:space="preserve"> </w:t>
      </w:r>
      <w:r w:rsidR="00AF7B3D" w:rsidRPr="00D5464D">
        <w:rPr>
          <w:rFonts w:cs="Arial"/>
          <w:bCs/>
          <w:iCs/>
          <w:szCs w:val="20"/>
          <w:lang w:val="pt-BR"/>
        </w:rPr>
        <w:t xml:space="preserve">o cometimento </w:t>
      </w:r>
      <w:r w:rsidR="00D81AA1" w:rsidRPr="00D5464D">
        <w:rPr>
          <w:rFonts w:cs="Arial"/>
          <w:bCs/>
          <w:iCs/>
          <w:szCs w:val="20"/>
          <w:lang w:val="pt-BR"/>
        </w:rPr>
        <w:t xml:space="preserve">de </w:t>
      </w:r>
      <w:r w:rsidRPr="00D5464D">
        <w:rPr>
          <w:rFonts w:cs="Arial"/>
          <w:bCs/>
          <w:iCs/>
          <w:szCs w:val="20"/>
          <w:lang w:val="pt-BR"/>
        </w:rPr>
        <w:t>conduta</w:t>
      </w:r>
      <w:r w:rsidR="00D81AA1" w:rsidRPr="00D5464D">
        <w:rPr>
          <w:rFonts w:cs="Arial"/>
          <w:bCs/>
          <w:iCs/>
          <w:szCs w:val="20"/>
          <w:lang w:val="pt-BR"/>
        </w:rPr>
        <w:t>s ilícitas</w:t>
      </w:r>
      <w:r w:rsidR="00E045D9" w:rsidRPr="00D5464D">
        <w:rPr>
          <w:rFonts w:cs="Arial"/>
          <w:bCs/>
          <w:iCs/>
          <w:szCs w:val="20"/>
          <w:lang w:val="pt-BR"/>
        </w:rPr>
        <w:t xml:space="preserve"> e </w:t>
      </w:r>
      <w:r w:rsidR="00D81AA1" w:rsidRPr="00D5464D">
        <w:rPr>
          <w:rFonts w:cs="Arial"/>
          <w:bCs/>
          <w:iCs/>
          <w:szCs w:val="20"/>
          <w:lang w:val="pt-BR"/>
        </w:rPr>
        <w:t>prevendo</w:t>
      </w:r>
      <w:r w:rsidR="002C330E" w:rsidRPr="00D5464D">
        <w:rPr>
          <w:rFonts w:cs="Arial"/>
          <w:bCs/>
          <w:iCs/>
          <w:szCs w:val="20"/>
          <w:lang w:val="pt-BR"/>
        </w:rPr>
        <w:t xml:space="preserve"> a </w:t>
      </w:r>
      <w:r w:rsidR="00D81AA1" w:rsidRPr="00D5464D">
        <w:rPr>
          <w:rFonts w:cs="Arial"/>
          <w:bCs/>
          <w:iCs/>
          <w:szCs w:val="20"/>
          <w:lang w:val="pt-BR"/>
        </w:rPr>
        <w:t>repara</w:t>
      </w:r>
      <w:r w:rsidRPr="00D5464D">
        <w:rPr>
          <w:rFonts w:cs="Arial"/>
          <w:bCs/>
          <w:iCs/>
          <w:szCs w:val="20"/>
          <w:lang w:val="pt-BR"/>
        </w:rPr>
        <w:t>ção</w:t>
      </w:r>
      <w:r w:rsidR="00D81AA1" w:rsidRPr="00D5464D">
        <w:rPr>
          <w:rFonts w:cs="Arial"/>
          <w:bCs/>
          <w:iCs/>
          <w:szCs w:val="20"/>
          <w:lang w:val="pt-BR"/>
        </w:rPr>
        <w:t xml:space="preserve"> de d</w:t>
      </w:r>
      <w:r w:rsidRPr="00D5464D">
        <w:rPr>
          <w:rFonts w:cs="Arial"/>
          <w:bCs/>
          <w:iCs/>
          <w:szCs w:val="20"/>
          <w:lang w:val="pt-BR"/>
        </w:rPr>
        <w:t>anos</w:t>
      </w:r>
      <w:r w:rsidR="00D81AA1" w:rsidRPr="00D5464D">
        <w:rPr>
          <w:rFonts w:cs="Arial"/>
          <w:bCs/>
          <w:iCs/>
          <w:szCs w:val="20"/>
          <w:lang w:val="pt-BR"/>
        </w:rPr>
        <w:t xml:space="preserve"> causados</w:t>
      </w:r>
      <w:r w:rsidR="00E045D9" w:rsidRPr="00D5464D">
        <w:rPr>
          <w:rFonts w:cs="Arial"/>
          <w:bCs/>
          <w:iCs/>
          <w:szCs w:val="20"/>
          <w:lang w:val="pt-BR"/>
        </w:rPr>
        <w:t xml:space="preserve"> às vítima</w:t>
      </w:r>
      <w:r w:rsidR="00D81AA1" w:rsidRPr="00D5464D">
        <w:rPr>
          <w:rFonts w:cs="Arial"/>
          <w:bCs/>
          <w:iCs/>
          <w:szCs w:val="20"/>
          <w:lang w:val="pt-BR"/>
        </w:rPr>
        <w:t>s</w:t>
      </w:r>
      <w:r w:rsidRPr="00D5464D">
        <w:rPr>
          <w:rFonts w:cs="Arial"/>
          <w:bCs/>
          <w:iCs/>
          <w:szCs w:val="20"/>
          <w:lang w:val="pt-BR"/>
        </w:rPr>
        <w:t xml:space="preserve"> </w:t>
      </w:r>
      <w:r w:rsidR="00AF7B3D" w:rsidRPr="00D5464D">
        <w:rPr>
          <w:rFonts w:cs="Arial"/>
          <w:bCs/>
          <w:iCs/>
          <w:szCs w:val="20"/>
          <w:lang w:val="pt-BR"/>
        </w:rPr>
        <w:t xml:space="preserve">ante </w:t>
      </w:r>
      <w:r w:rsidRPr="00D5464D">
        <w:rPr>
          <w:rFonts w:cs="Arial"/>
          <w:bCs/>
          <w:iCs/>
          <w:szCs w:val="20"/>
          <w:lang w:val="pt-BR"/>
        </w:rPr>
        <w:t xml:space="preserve">a </w:t>
      </w:r>
      <w:r w:rsidR="00D81AA1" w:rsidRPr="00D5464D">
        <w:rPr>
          <w:rFonts w:cs="Arial"/>
          <w:bCs/>
          <w:iCs/>
          <w:szCs w:val="20"/>
          <w:lang w:val="pt-BR"/>
        </w:rPr>
        <w:t>eventual viola</w:t>
      </w:r>
      <w:r w:rsidRPr="00D5464D">
        <w:rPr>
          <w:rFonts w:cs="Arial"/>
          <w:bCs/>
          <w:iCs/>
          <w:szCs w:val="20"/>
          <w:lang w:val="pt-BR"/>
        </w:rPr>
        <w:t>ção</w:t>
      </w:r>
      <w:r w:rsidR="00D81AA1" w:rsidRPr="00D5464D">
        <w:rPr>
          <w:rFonts w:cs="Arial"/>
          <w:bCs/>
          <w:iCs/>
          <w:szCs w:val="20"/>
          <w:lang w:val="pt-BR"/>
        </w:rPr>
        <w:t xml:space="preserve"> </w:t>
      </w:r>
      <w:r w:rsidRPr="00D5464D">
        <w:rPr>
          <w:rFonts w:cs="Arial"/>
          <w:bCs/>
          <w:iCs/>
          <w:szCs w:val="20"/>
          <w:lang w:val="pt-BR"/>
        </w:rPr>
        <w:t>do artigo</w:t>
      </w:r>
      <w:r w:rsidR="00D81AA1" w:rsidRPr="00D5464D">
        <w:rPr>
          <w:rFonts w:cs="Arial"/>
          <w:bCs/>
          <w:iCs/>
          <w:szCs w:val="20"/>
          <w:lang w:val="pt-BR"/>
        </w:rPr>
        <w:t xml:space="preserve"> 149 </w:t>
      </w:r>
      <w:r w:rsidRPr="00D5464D">
        <w:rPr>
          <w:rFonts w:cs="Arial"/>
          <w:bCs/>
          <w:iCs/>
          <w:szCs w:val="20"/>
          <w:lang w:val="pt-BR"/>
        </w:rPr>
        <w:t xml:space="preserve">do </w:t>
      </w:r>
      <w:r w:rsidR="00BE60E8" w:rsidRPr="00D5464D">
        <w:rPr>
          <w:rFonts w:cs="Arial"/>
          <w:bCs/>
          <w:iCs/>
          <w:szCs w:val="20"/>
          <w:lang w:val="pt-BR"/>
        </w:rPr>
        <w:t xml:space="preserve">Código Penal </w:t>
      </w:r>
      <w:r w:rsidRPr="00D5464D">
        <w:rPr>
          <w:rFonts w:cs="Arial"/>
          <w:bCs/>
          <w:iCs/>
          <w:szCs w:val="20"/>
          <w:lang w:val="pt-BR"/>
        </w:rPr>
        <w:t>brasileir</w:t>
      </w:r>
      <w:r w:rsidR="00BE60E8" w:rsidRPr="00D5464D">
        <w:rPr>
          <w:rFonts w:cs="Arial"/>
          <w:bCs/>
          <w:iCs/>
          <w:szCs w:val="20"/>
          <w:lang w:val="pt-BR"/>
        </w:rPr>
        <w:t>o</w:t>
      </w:r>
      <w:r w:rsidR="00D81AA1" w:rsidRPr="00D5464D">
        <w:rPr>
          <w:rFonts w:cs="Arial"/>
          <w:bCs/>
          <w:iCs/>
          <w:szCs w:val="20"/>
          <w:lang w:val="pt-BR"/>
        </w:rPr>
        <w:t>,</w:t>
      </w:r>
      <w:r w:rsidRPr="00D5464D">
        <w:rPr>
          <w:rFonts w:cs="Arial"/>
          <w:bCs/>
          <w:iCs/>
          <w:szCs w:val="20"/>
          <w:lang w:val="pt-BR"/>
        </w:rPr>
        <w:t xml:space="preserve"> o qual </w:t>
      </w:r>
      <w:r w:rsidR="00350187" w:rsidRPr="00D5464D">
        <w:rPr>
          <w:rFonts w:cs="Arial"/>
          <w:bCs/>
          <w:iCs/>
          <w:szCs w:val="20"/>
          <w:lang w:val="pt-BR"/>
        </w:rPr>
        <w:t>prevê</w:t>
      </w:r>
      <w:r w:rsidR="00D81AA1" w:rsidRPr="00D5464D">
        <w:rPr>
          <w:rFonts w:cs="Arial"/>
          <w:bCs/>
          <w:iCs/>
          <w:szCs w:val="20"/>
          <w:lang w:val="pt-BR"/>
        </w:rPr>
        <w:t xml:space="preserve"> como delito</w:t>
      </w:r>
      <w:r w:rsidR="002C330E" w:rsidRPr="00D5464D">
        <w:rPr>
          <w:rFonts w:cs="Arial"/>
          <w:bCs/>
          <w:iCs/>
          <w:szCs w:val="20"/>
          <w:lang w:val="pt-BR"/>
        </w:rPr>
        <w:t xml:space="preserve"> a </w:t>
      </w:r>
      <w:r w:rsidR="00737270" w:rsidRPr="00D5464D">
        <w:rPr>
          <w:rFonts w:cs="Arial"/>
          <w:szCs w:val="20"/>
          <w:lang w:val="pt-BR"/>
        </w:rPr>
        <w:t>redução</w:t>
      </w:r>
      <w:r w:rsidR="00260035" w:rsidRPr="00D5464D">
        <w:rPr>
          <w:rFonts w:cs="Arial"/>
          <w:szCs w:val="20"/>
          <w:lang w:val="pt-BR"/>
        </w:rPr>
        <w:t xml:space="preserve"> a condi</w:t>
      </w:r>
      <w:r w:rsidRPr="00D5464D">
        <w:rPr>
          <w:rFonts w:cs="Arial"/>
          <w:szCs w:val="20"/>
          <w:lang w:val="pt-BR"/>
        </w:rPr>
        <w:t>ção</w:t>
      </w:r>
      <w:r w:rsidR="00D81AA1" w:rsidRPr="00D5464D">
        <w:rPr>
          <w:rFonts w:cs="Arial"/>
          <w:szCs w:val="20"/>
          <w:lang w:val="pt-BR"/>
        </w:rPr>
        <w:t xml:space="preserve"> análoga</w:t>
      </w:r>
      <w:r w:rsidRPr="00D5464D">
        <w:rPr>
          <w:rFonts w:cs="Arial"/>
          <w:szCs w:val="20"/>
          <w:lang w:val="pt-BR"/>
        </w:rPr>
        <w:t xml:space="preserve"> à </w:t>
      </w:r>
      <w:r w:rsidR="00260035" w:rsidRPr="00D5464D">
        <w:rPr>
          <w:rFonts w:cs="Arial"/>
          <w:szCs w:val="20"/>
          <w:lang w:val="pt-BR"/>
        </w:rPr>
        <w:t xml:space="preserve">de </w:t>
      </w:r>
      <w:r w:rsidR="004F1CC2" w:rsidRPr="00D5464D">
        <w:rPr>
          <w:rFonts w:cs="Arial"/>
          <w:szCs w:val="20"/>
          <w:lang w:val="pt-BR"/>
        </w:rPr>
        <w:t>escravo</w:t>
      </w:r>
      <w:r w:rsidR="00D81AA1" w:rsidRPr="00D5464D">
        <w:rPr>
          <w:rFonts w:cs="Arial"/>
          <w:szCs w:val="20"/>
          <w:lang w:val="pt-BR"/>
        </w:rPr>
        <w:t>.</w:t>
      </w:r>
      <w:r w:rsidR="00D81AA1" w:rsidRPr="00D5464D">
        <w:rPr>
          <w:rFonts w:cs="Arial"/>
          <w:bCs/>
          <w:iCs/>
          <w:szCs w:val="20"/>
          <w:lang w:val="pt-BR"/>
        </w:rPr>
        <w:t xml:space="preserve"> </w:t>
      </w:r>
    </w:p>
    <w:p w14:paraId="64090BD0" w14:textId="77777777" w:rsidR="00D81AA1" w:rsidRPr="00D5464D" w:rsidRDefault="00D81AA1" w:rsidP="00D81AA1">
      <w:pPr>
        <w:pStyle w:val="Prrafodelista"/>
        <w:rPr>
          <w:rFonts w:cs="Arial"/>
          <w:bCs/>
          <w:iCs/>
          <w:szCs w:val="20"/>
          <w:lang w:val="pt-BR"/>
        </w:rPr>
      </w:pPr>
    </w:p>
    <w:p w14:paraId="4A1723CC" w14:textId="5EC30C2F" w:rsidR="00D81AA1" w:rsidRPr="00D5464D" w:rsidRDefault="009832F5" w:rsidP="00D81AA1">
      <w:pPr>
        <w:pStyle w:val="Prrafodelista"/>
        <w:numPr>
          <w:ilvl w:val="0"/>
          <w:numId w:val="1"/>
        </w:numPr>
        <w:autoSpaceDE w:val="0"/>
        <w:autoSpaceDN w:val="0"/>
        <w:adjustRightInd w:val="0"/>
        <w:contextualSpacing w:val="0"/>
        <w:rPr>
          <w:rFonts w:cs="Arial"/>
          <w:bCs/>
          <w:iCs/>
          <w:szCs w:val="20"/>
          <w:lang w:val="pt-BR"/>
        </w:rPr>
      </w:pPr>
      <w:r w:rsidRPr="00D5464D">
        <w:rPr>
          <w:rFonts w:cs="Arial"/>
          <w:bCs/>
          <w:iCs/>
          <w:szCs w:val="20"/>
          <w:lang w:val="pt-BR"/>
        </w:rPr>
        <w:t>Apesar disso</w:t>
      </w:r>
      <w:r w:rsidR="00A1358C" w:rsidRPr="00D5464D">
        <w:rPr>
          <w:rFonts w:cs="Arial"/>
          <w:bCs/>
          <w:iCs/>
          <w:szCs w:val="20"/>
          <w:lang w:val="pt-BR"/>
        </w:rPr>
        <w:t>,</w:t>
      </w:r>
      <w:r w:rsidR="002C330E" w:rsidRPr="00D5464D">
        <w:rPr>
          <w:rFonts w:cs="Arial"/>
          <w:bCs/>
          <w:iCs/>
          <w:szCs w:val="20"/>
          <w:lang w:val="pt-BR"/>
        </w:rPr>
        <w:t xml:space="preserve"> a </w:t>
      </w:r>
      <w:r w:rsidR="00D81AA1" w:rsidRPr="00D5464D">
        <w:rPr>
          <w:rFonts w:cs="Arial"/>
          <w:bCs/>
          <w:iCs/>
          <w:szCs w:val="20"/>
          <w:lang w:val="pt-BR"/>
        </w:rPr>
        <w:t xml:space="preserve">Corte </w:t>
      </w:r>
      <w:r w:rsidR="00E045D9" w:rsidRPr="00D5464D">
        <w:rPr>
          <w:rFonts w:cs="Arial"/>
          <w:bCs/>
          <w:iCs/>
          <w:szCs w:val="20"/>
          <w:lang w:val="pt-BR"/>
        </w:rPr>
        <w:t>recorda</w:t>
      </w:r>
      <w:r w:rsidR="00D81AA1" w:rsidRPr="00D5464D">
        <w:rPr>
          <w:rFonts w:cs="Arial"/>
          <w:bCs/>
          <w:iCs/>
          <w:szCs w:val="20"/>
          <w:lang w:val="pt-BR"/>
        </w:rPr>
        <w:t xml:space="preserve"> </w:t>
      </w:r>
      <w:r w:rsidR="00E045D9" w:rsidRPr="00D5464D">
        <w:rPr>
          <w:rFonts w:cs="Arial"/>
          <w:bCs/>
          <w:iCs/>
          <w:szCs w:val="20"/>
          <w:lang w:val="pt-BR"/>
        </w:rPr>
        <w:t xml:space="preserve">sua jurisprudência no </w:t>
      </w:r>
      <w:r w:rsidR="00D81AA1" w:rsidRPr="00D5464D">
        <w:rPr>
          <w:rFonts w:cs="Arial"/>
          <w:bCs/>
          <w:iCs/>
          <w:szCs w:val="20"/>
          <w:lang w:val="pt-BR"/>
        </w:rPr>
        <w:t xml:space="preserve">sentido </w:t>
      </w:r>
      <w:r w:rsidR="00AF7B3D" w:rsidRPr="00D5464D">
        <w:rPr>
          <w:rFonts w:cs="Arial"/>
          <w:bCs/>
          <w:iCs/>
          <w:szCs w:val="20"/>
          <w:lang w:val="pt-BR"/>
        </w:rPr>
        <w:t xml:space="preserve">de </w:t>
      </w:r>
      <w:r w:rsidR="00D81AA1" w:rsidRPr="00D5464D">
        <w:rPr>
          <w:rFonts w:cs="Arial"/>
          <w:bCs/>
          <w:iCs/>
          <w:szCs w:val="20"/>
          <w:lang w:val="pt-BR"/>
        </w:rPr>
        <w:t>que</w:t>
      </w:r>
      <w:r w:rsidR="002C330E" w:rsidRPr="00D5464D">
        <w:rPr>
          <w:rFonts w:cs="Arial"/>
          <w:bCs/>
          <w:iCs/>
          <w:szCs w:val="20"/>
          <w:lang w:val="pt-BR"/>
        </w:rPr>
        <w:t xml:space="preserve"> a </w:t>
      </w:r>
      <w:r w:rsidR="00E045D9" w:rsidRPr="00D5464D">
        <w:rPr>
          <w:rFonts w:cs="Arial"/>
          <w:bCs/>
          <w:iCs/>
          <w:szCs w:val="20"/>
          <w:lang w:val="pt-BR"/>
        </w:rPr>
        <w:t>existência</w:t>
      </w:r>
      <w:r w:rsidR="00D81AA1" w:rsidRPr="00D5464D">
        <w:rPr>
          <w:rFonts w:cs="Arial"/>
          <w:bCs/>
          <w:iCs/>
          <w:szCs w:val="20"/>
          <w:lang w:val="pt-BR"/>
        </w:rPr>
        <w:t xml:space="preserve"> de recursos </w:t>
      </w:r>
      <w:r w:rsidR="002C330E" w:rsidRPr="00D5464D">
        <w:rPr>
          <w:rFonts w:cs="Arial"/>
          <w:bCs/>
          <w:iCs/>
          <w:szCs w:val="20"/>
          <w:lang w:val="pt-BR"/>
        </w:rPr>
        <w:t>judiciais</w:t>
      </w:r>
      <w:r w:rsidR="00EB1CE9" w:rsidRPr="00D5464D">
        <w:rPr>
          <w:rFonts w:cs="Arial"/>
          <w:bCs/>
          <w:iCs/>
          <w:szCs w:val="20"/>
          <w:lang w:val="pt-BR"/>
        </w:rPr>
        <w:t xml:space="preserve">, por </w:t>
      </w:r>
      <w:r w:rsidR="002C330E" w:rsidRPr="00D5464D">
        <w:rPr>
          <w:rFonts w:cs="Arial"/>
          <w:bCs/>
          <w:iCs/>
          <w:szCs w:val="20"/>
          <w:lang w:val="pt-BR"/>
        </w:rPr>
        <w:t xml:space="preserve">si </w:t>
      </w:r>
      <w:r w:rsidR="00D81AA1" w:rsidRPr="00D5464D">
        <w:rPr>
          <w:rFonts w:cs="Arial"/>
          <w:bCs/>
          <w:iCs/>
          <w:szCs w:val="20"/>
          <w:lang w:val="pt-BR"/>
        </w:rPr>
        <w:t>s</w:t>
      </w:r>
      <w:r w:rsidR="00AF7B3D" w:rsidRPr="00D5464D">
        <w:rPr>
          <w:rFonts w:cs="Arial"/>
          <w:bCs/>
          <w:iCs/>
          <w:szCs w:val="20"/>
          <w:lang w:val="pt-BR"/>
        </w:rPr>
        <w:t>ó</w:t>
      </w:r>
      <w:r w:rsidR="00D81AA1" w:rsidRPr="00D5464D">
        <w:rPr>
          <w:rFonts w:cs="Arial"/>
          <w:bCs/>
          <w:iCs/>
          <w:szCs w:val="20"/>
          <w:lang w:val="pt-BR"/>
        </w:rPr>
        <w:t xml:space="preserve">, </w:t>
      </w:r>
      <w:r w:rsidR="000B338A" w:rsidRPr="00D5464D">
        <w:rPr>
          <w:rFonts w:cs="Arial"/>
          <w:bCs/>
          <w:iCs/>
          <w:szCs w:val="20"/>
          <w:lang w:val="pt-BR"/>
        </w:rPr>
        <w:t xml:space="preserve">não é suficiente para cumprir </w:t>
      </w:r>
      <w:r w:rsidR="002C330E" w:rsidRPr="00D5464D">
        <w:rPr>
          <w:rFonts w:cs="Arial"/>
          <w:bCs/>
          <w:iCs/>
          <w:szCs w:val="20"/>
          <w:lang w:val="pt-BR"/>
        </w:rPr>
        <w:t>a obrigação</w:t>
      </w:r>
      <w:r w:rsidR="00D81AA1" w:rsidRPr="00D5464D">
        <w:rPr>
          <w:rFonts w:cs="Arial"/>
          <w:bCs/>
          <w:iCs/>
          <w:szCs w:val="20"/>
          <w:lang w:val="pt-BR"/>
        </w:rPr>
        <w:t xml:space="preserve"> convencional </w:t>
      </w:r>
      <w:r w:rsidR="00470ADC" w:rsidRPr="00D5464D">
        <w:rPr>
          <w:rFonts w:cs="Arial"/>
          <w:bCs/>
          <w:iCs/>
          <w:szCs w:val="20"/>
          <w:lang w:val="pt-BR"/>
        </w:rPr>
        <w:t xml:space="preserve">do </w:t>
      </w:r>
      <w:r w:rsidR="00D81AA1" w:rsidRPr="00D5464D">
        <w:rPr>
          <w:rFonts w:cs="Arial"/>
          <w:bCs/>
          <w:iCs/>
          <w:szCs w:val="20"/>
          <w:lang w:val="pt-BR"/>
        </w:rPr>
        <w:t>Estado,</w:t>
      </w:r>
      <w:r w:rsidR="002C330E" w:rsidRPr="00D5464D">
        <w:rPr>
          <w:rFonts w:cs="Arial"/>
          <w:bCs/>
          <w:iCs/>
          <w:szCs w:val="20"/>
          <w:lang w:val="pt-BR"/>
        </w:rPr>
        <w:t xml:space="preserve"> mas </w:t>
      </w:r>
      <w:r w:rsidR="00D81AA1" w:rsidRPr="00D5464D">
        <w:rPr>
          <w:rFonts w:cs="Arial"/>
          <w:bCs/>
          <w:iCs/>
          <w:szCs w:val="20"/>
          <w:lang w:val="pt-BR"/>
        </w:rPr>
        <w:t>que,</w:t>
      </w:r>
      <w:r w:rsidR="00E045D9" w:rsidRPr="00D5464D">
        <w:rPr>
          <w:rFonts w:cs="Arial"/>
          <w:bCs/>
          <w:iCs/>
          <w:szCs w:val="20"/>
          <w:lang w:val="pt-BR"/>
        </w:rPr>
        <w:t xml:space="preserve"> </w:t>
      </w:r>
      <w:r w:rsidR="000D0116" w:rsidRPr="00D5464D">
        <w:rPr>
          <w:rFonts w:cs="Arial"/>
          <w:bCs/>
          <w:iCs/>
          <w:szCs w:val="20"/>
          <w:lang w:val="pt-BR"/>
        </w:rPr>
        <w:t>n</w:t>
      </w:r>
      <w:r w:rsidR="00E045D9" w:rsidRPr="00D5464D">
        <w:rPr>
          <w:rFonts w:cs="Arial"/>
          <w:bCs/>
          <w:iCs/>
          <w:szCs w:val="20"/>
          <w:lang w:val="pt-BR"/>
        </w:rPr>
        <w:t>o</w:t>
      </w:r>
      <w:r w:rsidR="000D0116" w:rsidRPr="00D5464D">
        <w:rPr>
          <w:rFonts w:cs="Arial"/>
          <w:bCs/>
          <w:iCs/>
          <w:szCs w:val="20"/>
          <w:lang w:val="pt-BR"/>
        </w:rPr>
        <w:t xml:space="preserve">s casos </w:t>
      </w:r>
      <w:r w:rsidR="000B338A" w:rsidRPr="00D5464D">
        <w:rPr>
          <w:rFonts w:cs="Arial"/>
          <w:bCs/>
          <w:iCs/>
          <w:szCs w:val="20"/>
          <w:lang w:val="pt-BR"/>
        </w:rPr>
        <w:t>concretos</w:t>
      </w:r>
      <w:r w:rsidR="00D81AA1" w:rsidRPr="00D5464D">
        <w:rPr>
          <w:rFonts w:cs="Arial"/>
          <w:bCs/>
          <w:iCs/>
          <w:szCs w:val="20"/>
          <w:lang w:val="pt-BR"/>
        </w:rPr>
        <w:t xml:space="preserve">, </w:t>
      </w:r>
      <w:r w:rsidR="00470ADC" w:rsidRPr="00D5464D">
        <w:rPr>
          <w:rFonts w:cs="Arial"/>
          <w:bCs/>
          <w:iCs/>
          <w:szCs w:val="20"/>
          <w:lang w:val="pt-BR"/>
        </w:rPr>
        <w:t>devem</w:t>
      </w:r>
      <w:r w:rsidR="00D81AA1" w:rsidRPr="00D5464D">
        <w:rPr>
          <w:rFonts w:cs="Arial"/>
          <w:bCs/>
          <w:iCs/>
          <w:szCs w:val="20"/>
          <w:lang w:val="pt-BR"/>
        </w:rPr>
        <w:t xml:space="preserve"> ser instrumentos </w:t>
      </w:r>
      <w:r w:rsidR="002C330E" w:rsidRPr="00D5464D">
        <w:rPr>
          <w:rFonts w:cs="Arial"/>
          <w:bCs/>
          <w:iCs/>
          <w:szCs w:val="20"/>
          <w:lang w:val="pt-BR"/>
        </w:rPr>
        <w:t>idôneos</w:t>
      </w:r>
      <w:r w:rsidR="00E045D9" w:rsidRPr="00D5464D">
        <w:rPr>
          <w:rFonts w:cs="Arial"/>
          <w:bCs/>
          <w:iCs/>
          <w:szCs w:val="20"/>
          <w:lang w:val="pt-BR"/>
        </w:rPr>
        <w:t xml:space="preserve"> e </w:t>
      </w:r>
      <w:r w:rsidR="00470ADC" w:rsidRPr="00D5464D">
        <w:rPr>
          <w:rFonts w:cs="Arial"/>
          <w:bCs/>
          <w:iCs/>
          <w:szCs w:val="20"/>
          <w:lang w:val="pt-BR"/>
        </w:rPr>
        <w:t>efetiv</w:t>
      </w:r>
      <w:r w:rsidR="00D81AA1" w:rsidRPr="00D5464D">
        <w:rPr>
          <w:rFonts w:cs="Arial"/>
          <w:bCs/>
          <w:iCs/>
          <w:szCs w:val="20"/>
          <w:lang w:val="pt-BR"/>
        </w:rPr>
        <w:t>os</w:t>
      </w:r>
      <w:r w:rsidR="00470ADC" w:rsidRPr="00D5464D">
        <w:rPr>
          <w:rFonts w:cs="Arial"/>
          <w:bCs/>
          <w:iCs/>
          <w:szCs w:val="20"/>
          <w:lang w:val="pt-BR"/>
        </w:rPr>
        <w:t>, e</w:t>
      </w:r>
      <w:r w:rsidR="00D81AA1" w:rsidRPr="00D5464D">
        <w:rPr>
          <w:rFonts w:cs="Arial"/>
          <w:bCs/>
          <w:iCs/>
          <w:szCs w:val="20"/>
          <w:lang w:val="pt-BR"/>
        </w:rPr>
        <w:t xml:space="preserve"> </w:t>
      </w:r>
      <w:r w:rsidR="00470ADC" w:rsidRPr="00D5464D">
        <w:rPr>
          <w:rFonts w:cs="Arial"/>
          <w:bCs/>
          <w:iCs/>
          <w:szCs w:val="20"/>
          <w:lang w:val="pt-BR"/>
        </w:rPr>
        <w:t>devem</w:t>
      </w:r>
      <w:r w:rsidR="00D81AA1" w:rsidRPr="00D5464D">
        <w:rPr>
          <w:rFonts w:cs="Arial"/>
          <w:bCs/>
          <w:iCs/>
          <w:szCs w:val="20"/>
          <w:lang w:val="pt-BR"/>
        </w:rPr>
        <w:t xml:space="preserve"> dar </w:t>
      </w:r>
      <w:r w:rsidR="000B338A" w:rsidRPr="00D5464D">
        <w:rPr>
          <w:rFonts w:cs="Arial"/>
          <w:bCs/>
          <w:iCs/>
          <w:szCs w:val="20"/>
          <w:lang w:val="pt-BR"/>
        </w:rPr>
        <w:t xml:space="preserve">uma </w:t>
      </w:r>
      <w:r w:rsidR="00D81AA1" w:rsidRPr="00D5464D">
        <w:rPr>
          <w:rFonts w:cs="Arial"/>
          <w:bCs/>
          <w:iCs/>
          <w:szCs w:val="20"/>
          <w:lang w:val="pt-BR"/>
        </w:rPr>
        <w:t>res</w:t>
      </w:r>
      <w:r w:rsidR="002C330E" w:rsidRPr="00D5464D">
        <w:rPr>
          <w:rFonts w:cs="Arial"/>
          <w:bCs/>
          <w:iCs/>
          <w:szCs w:val="20"/>
          <w:lang w:val="pt-BR"/>
        </w:rPr>
        <w:t>posta</w:t>
      </w:r>
      <w:r w:rsidR="00D81AA1" w:rsidRPr="00D5464D">
        <w:rPr>
          <w:rFonts w:cs="Arial"/>
          <w:bCs/>
          <w:iCs/>
          <w:szCs w:val="20"/>
          <w:lang w:val="pt-BR"/>
        </w:rPr>
        <w:t xml:space="preserve"> oportuna</w:t>
      </w:r>
      <w:r w:rsidR="00E045D9" w:rsidRPr="00D5464D">
        <w:rPr>
          <w:rFonts w:cs="Arial"/>
          <w:bCs/>
          <w:iCs/>
          <w:szCs w:val="20"/>
          <w:lang w:val="pt-BR"/>
        </w:rPr>
        <w:t xml:space="preserve"> e </w:t>
      </w:r>
      <w:r w:rsidR="00737270" w:rsidRPr="00D5464D">
        <w:rPr>
          <w:rFonts w:cs="Arial"/>
          <w:bCs/>
          <w:iCs/>
          <w:szCs w:val="20"/>
          <w:lang w:val="pt-BR"/>
        </w:rPr>
        <w:t>exaustiv</w:t>
      </w:r>
      <w:r w:rsidR="00D81AA1" w:rsidRPr="00D5464D">
        <w:rPr>
          <w:rFonts w:cs="Arial"/>
          <w:bCs/>
          <w:iCs/>
          <w:szCs w:val="20"/>
          <w:lang w:val="pt-BR"/>
        </w:rPr>
        <w:t xml:space="preserve">a de </w:t>
      </w:r>
      <w:r w:rsidR="00470ADC" w:rsidRPr="00D5464D">
        <w:rPr>
          <w:rFonts w:cs="Arial"/>
          <w:bCs/>
          <w:iCs/>
          <w:szCs w:val="20"/>
          <w:lang w:val="pt-BR"/>
        </w:rPr>
        <w:t>acordo</w:t>
      </w:r>
      <w:r w:rsidR="00D81AA1" w:rsidRPr="00D5464D">
        <w:rPr>
          <w:rFonts w:cs="Arial"/>
          <w:bCs/>
          <w:iCs/>
          <w:szCs w:val="20"/>
          <w:lang w:val="pt-BR"/>
        </w:rPr>
        <w:t xml:space="preserve"> </w:t>
      </w:r>
      <w:r w:rsidR="000B338A" w:rsidRPr="00D5464D">
        <w:rPr>
          <w:rFonts w:cs="Arial"/>
          <w:bCs/>
          <w:iCs/>
          <w:szCs w:val="20"/>
          <w:lang w:val="pt-BR"/>
        </w:rPr>
        <w:t xml:space="preserve">com sua </w:t>
      </w:r>
      <w:r w:rsidR="00D81AA1" w:rsidRPr="00D5464D">
        <w:rPr>
          <w:rFonts w:cs="Arial"/>
          <w:bCs/>
          <w:iCs/>
          <w:szCs w:val="20"/>
          <w:lang w:val="pt-BR"/>
        </w:rPr>
        <w:t>fin</w:t>
      </w:r>
      <w:r w:rsidR="00E765C2" w:rsidRPr="00D5464D">
        <w:rPr>
          <w:rFonts w:cs="Arial"/>
          <w:bCs/>
          <w:iCs/>
          <w:szCs w:val="20"/>
          <w:lang w:val="pt-BR"/>
        </w:rPr>
        <w:t>alidade,</w:t>
      </w:r>
      <w:r w:rsidR="00E045D9" w:rsidRPr="00D5464D">
        <w:rPr>
          <w:rFonts w:cs="Arial"/>
          <w:bCs/>
          <w:iCs/>
          <w:szCs w:val="20"/>
          <w:lang w:val="pt-BR"/>
        </w:rPr>
        <w:t xml:space="preserve"> isto é, </w:t>
      </w:r>
      <w:r w:rsidR="00D81AA1" w:rsidRPr="00D5464D">
        <w:rPr>
          <w:rFonts w:cs="Arial"/>
          <w:bCs/>
          <w:iCs/>
          <w:szCs w:val="20"/>
          <w:lang w:val="pt-BR"/>
        </w:rPr>
        <w:t>determinar</w:t>
      </w:r>
      <w:r w:rsidR="002C330E" w:rsidRPr="00D5464D">
        <w:rPr>
          <w:rFonts w:cs="Arial"/>
          <w:bCs/>
          <w:iCs/>
          <w:szCs w:val="20"/>
          <w:lang w:val="pt-BR"/>
        </w:rPr>
        <w:t xml:space="preserve"> as </w:t>
      </w:r>
      <w:r w:rsidR="00D81AA1" w:rsidRPr="00D5464D">
        <w:rPr>
          <w:rFonts w:cs="Arial"/>
          <w:bCs/>
          <w:iCs/>
          <w:szCs w:val="20"/>
          <w:lang w:val="pt-BR"/>
        </w:rPr>
        <w:t>responsabilidades</w:t>
      </w:r>
      <w:r w:rsidR="00E045D9" w:rsidRPr="00D5464D">
        <w:rPr>
          <w:rFonts w:cs="Arial"/>
          <w:bCs/>
          <w:iCs/>
          <w:szCs w:val="20"/>
          <w:lang w:val="pt-BR"/>
        </w:rPr>
        <w:t xml:space="preserve"> e </w:t>
      </w:r>
      <w:r w:rsidR="00D81AA1" w:rsidRPr="00D5464D">
        <w:rPr>
          <w:rFonts w:cs="Arial"/>
          <w:bCs/>
          <w:iCs/>
          <w:szCs w:val="20"/>
          <w:lang w:val="pt-BR"/>
        </w:rPr>
        <w:t>reparar</w:t>
      </w:r>
      <w:r w:rsidR="00E045D9" w:rsidRPr="00D5464D">
        <w:rPr>
          <w:rFonts w:cs="Arial"/>
          <w:bCs/>
          <w:iCs/>
          <w:szCs w:val="20"/>
          <w:lang w:val="pt-BR"/>
        </w:rPr>
        <w:t xml:space="preserve"> às vítima</w:t>
      </w:r>
      <w:r w:rsidR="00D81AA1" w:rsidRPr="00D5464D">
        <w:rPr>
          <w:rFonts w:cs="Arial"/>
          <w:bCs/>
          <w:iCs/>
          <w:szCs w:val="20"/>
          <w:lang w:val="pt-BR"/>
        </w:rPr>
        <w:t>s</w:t>
      </w:r>
      <w:r w:rsidR="00A1358C" w:rsidRPr="00D5464D">
        <w:rPr>
          <w:rFonts w:cs="Arial"/>
          <w:bCs/>
          <w:iCs/>
          <w:szCs w:val="20"/>
          <w:lang w:val="pt-BR"/>
        </w:rPr>
        <w:t xml:space="preserve">. A </w:t>
      </w:r>
      <w:r w:rsidR="00D81AA1" w:rsidRPr="00D5464D">
        <w:rPr>
          <w:rFonts w:cs="Arial"/>
          <w:bCs/>
          <w:iCs/>
          <w:szCs w:val="20"/>
          <w:lang w:val="pt-BR"/>
        </w:rPr>
        <w:t xml:space="preserve">Corte </w:t>
      </w:r>
      <w:r w:rsidR="00470ADC" w:rsidRPr="00D5464D">
        <w:rPr>
          <w:rFonts w:cs="Arial"/>
          <w:bCs/>
          <w:iCs/>
          <w:szCs w:val="20"/>
          <w:lang w:val="pt-BR"/>
        </w:rPr>
        <w:t>analisará</w:t>
      </w:r>
      <w:r w:rsidR="00D81AA1" w:rsidRPr="00D5464D">
        <w:rPr>
          <w:rFonts w:cs="Arial"/>
          <w:bCs/>
          <w:iCs/>
          <w:szCs w:val="20"/>
          <w:lang w:val="pt-BR"/>
        </w:rPr>
        <w:t xml:space="preserve"> </w:t>
      </w:r>
      <w:r w:rsidR="00E765C2" w:rsidRPr="00D5464D">
        <w:rPr>
          <w:rFonts w:cs="Arial"/>
          <w:bCs/>
          <w:iCs/>
          <w:szCs w:val="20"/>
          <w:lang w:val="pt-BR"/>
        </w:rPr>
        <w:t>a seguir</w:t>
      </w:r>
      <w:r w:rsidR="002C330E" w:rsidRPr="00D5464D">
        <w:rPr>
          <w:rFonts w:cs="Arial"/>
          <w:bCs/>
          <w:iCs/>
          <w:szCs w:val="20"/>
          <w:lang w:val="pt-BR"/>
        </w:rPr>
        <w:t xml:space="preserve"> se os processo</w:t>
      </w:r>
      <w:r w:rsidR="00D81AA1" w:rsidRPr="00D5464D">
        <w:rPr>
          <w:rFonts w:cs="Arial"/>
          <w:bCs/>
          <w:iCs/>
          <w:szCs w:val="20"/>
          <w:lang w:val="pt-BR"/>
        </w:rPr>
        <w:t xml:space="preserve">s </w:t>
      </w:r>
      <w:r w:rsidR="000B338A" w:rsidRPr="00D5464D">
        <w:rPr>
          <w:rFonts w:cs="Arial"/>
          <w:bCs/>
          <w:iCs/>
          <w:szCs w:val="20"/>
          <w:lang w:val="pt-BR"/>
        </w:rPr>
        <w:t xml:space="preserve">iniciados </w:t>
      </w:r>
      <w:r w:rsidR="00E045D9" w:rsidRPr="00D5464D">
        <w:rPr>
          <w:rFonts w:cs="Arial"/>
          <w:bCs/>
          <w:iCs/>
          <w:szCs w:val="20"/>
          <w:lang w:val="pt-BR"/>
        </w:rPr>
        <w:t xml:space="preserve">no </w:t>
      </w:r>
      <w:r w:rsidR="00D81AA1" w:rsidRPr="00D5464D">
        <w:rPr>
          <w:rFonts w:cs="Arial"/>
          <w:bCs/>
          <w:iCs/>
          <w:szCs w:val="20"/>
          <w:lang w:val="pt-BR"/>
        </w:rPr>
        <w:t xml:space="preserve">presente caso </w:t>
      </w:r>
      <w:r w:rsidR="00470ADC" w:rsidRPr="00D5464D">
        <w:rPr>
          <w:rFonts w:cs="Arial"/>
          <w:bCs/>
          <w:iCs/>
          <w:szCs w:val="20"/>
          <w:lang w:val="pt-BR"/>
        </w:rPr>
        <w:t>foram</w:t>
      </w:r>
      <w:r w:rsidR="00D81AA1" w:rsidRPr="00D5464D">
        <w:rPr>
          <w:rFonts w:cs="Arial"/>
          <w:bCs/>
          <w:iCs/>
          <w:szCs w:val="20"/>
          <w:lang w:val="pt-BR"/>
        </w:rPr>
        <w:t xml:space="preserve"> </w:t>
      </w:r>
      <w:r w:rsidR="00470ADC" w:rsidRPr="00D5464D">
        <w:rPr>
          <w:rFonts w:cs="Arial"/>
          <w:bCs/>
          <w:iCs/>
          <w:szCs w:val="20"/>
          <w:lang w:val="pt-BR"/>
        </w:rPr>
        <w:t>efetiv</w:t>
      </w:r>
      <w:r w:rsidR="00D81AA1" w:rsidRPr="00D5464D">
        <w:rPr>
          <w:rFonts w:cs="Arial"/>
          <w:bCs/>
          <w:iCs/>
          <w:szCs w:val="20"/>
          <w:lang w:val="pt-BR"/>
        </w:rPr>
        <w:t xml:space="preserve">amente instrumentos </w:t>
      </w:r>
      <w:r w:rsidR="002C330E" w:rsidRPr="00D5464D">
        <w:rPr>
          <w:rFonts w:cs="Arial"/>
          <w:bCs/>
          <w:iCs/>
          <w:szCs w:val="20"/>
          <w:lang w:val="pt-BR"/>
        </w:rPr>
        <w:t>idôneos</w:t>
      </w:r>
      <w:r w:rsidR="00E045D9" w:rsidRPr="00D5464D">
        <w:rPr>
          <w:rFonts w:cs="Arial"/>
          <w:bCs/>
          <w:iCs/>
          <w:szCs w:val="20"/>
          <w:lang w:val="pt-BR"/>
        </w:rPr>
        <w:t xml:space="preserve"> e </w:t>
      </w:r>
      <w:r w:rsidR="00470ADC" w:rsidRPr="00D5464D">
        <w:rPr>
          <w:rFonts w:cs="Arial"/>
          <w:bCs/>
          <w:iCs/>
          <w:szCs w:val="20"/>
          <w:lang w:val="pt-BR"/>
        </w:rPr>
        <w:t>efetiv</w:t>
      </w:r>
      <w:r w:rsidR="00D81AA1" w:rsidRPr="00D5464D">
        <w:rPr>
          <w:rFonts w:cs="Arial"/>
          <w:bCs/>
          <w:iCs/>
          <w:szCs w:val="20"/>
          <w:lang w:val="pt-BR"/>
        </w:rPr>
        <w:t>os.</w:t>
      </w:r>
    </w:p>
    <w:p w14:paraId="74C51EE6" w14:textId="77777777" w:rsidR="00D81AA1" w:rsidRPr="00D5464D" w:rsidRDefault="00D81AA1" w:rsidP="00D81AA1">
      <w:pPr>
        <w:pStyle w:val="Prrafodelista"/>
        <w:rPr>
          <w:rFonts w:cs="Arial"/>
          <w:bCs/>
          <w:iCs/>
          <w:szCs w:val="20"/>
          <w:lang w:val="pt-BR"/>
        </w:rPr>
      </w:pPr>
    </w:p>
    <w:p w14:paraId="493F5CEF" w14:textId="4189D3F0" w:rsidR="00D81AA1" w:rsidRPr="00D5464D" w:rsidRDefault="000B338A" w:rsidP="00D81AA1">
      <w:pPr>
        <w:pStyle w:val="Prrafodelista"/>
        <w:numPr>
          <w:ilvl w:val="0"/>
          <w:numId w:val="1"/>
        </w:numPr>
        <w:autoSpaceDE w:val="0"/>
        <w:autoSpaceDN w:val="0"/>
        <w:adjustRightInd w:val="0"/>
        <w:contextualSpacing w:val="0"/>
        <w:rPr>
          <w:rFonts w:cs="Arial"/>
          <w:bCs/>
          <w:iCs/>
          <w:szCs w:val="20"/>
          <w:lang w:val="pt-BR"/>
        </w:rPr>
      </w:pPr>
      <w:r w:rsidRPr="00D5464D">
        <w:rPr>
          <w:rFonts w:cs="Arial"/>
          <w:bCs/>
          <w:iCs/>
          <w:szCs w:val="20"/>
          <w:lang w:val="pt-BR"/>
        </w:rPr>
        <w:t xml:space="preserve">Em </w:t>
      </w:r>
      <w:r w:rsidR="00D81AA1" w:rsidRPr="00D5464D">
        <w:rPr>
          <w:rFonts w:cs="Arial"/>
          <w:bCs/>
          <w:iCs/>
          <w:szCs w:val="20"/>
          <w:lang w:val="pt-BR"/>
        </w:rPr>
        <w:t>rela</w:t>
      </w:r>
      <w:r w:rsidR="00470ADC" w:rsidRPr="00D5464D">
        <w:rPr>
          <w:rFonts w:cs="Arial"/>
          <w:bCs/>
          <w:iCs/>
          <w:szCs w:val="20"/>
          <w:lang w:val="pt-BR"/>
        </w:rPr>
        <w:t xml:space="preserve">ção ao </w:t>
      </w:r>
      <w:r w:rsidR="002C330E" w:rsidRPr="00D5464D">
        <w:rPr>
          <w:rFonts w:cs="Arial"/>
          <w:bCs/>
          <w:iCs/>
          <w:szCs w:val="20"/>
          <w:lang w:val="pt-BR"/>
        </w:rPr>
        <w:t>processo</w:t>
      </w:r>
      <w:r w:rsidR="00D81AA1" w:rsidRPr="00D5464D">
        <w:rPr>
          <w:rFonts w:cs="Arial"/>
          <w:bCs/>
          <w:iCs/>
          <w:szCs w:val="20"/>
          <w:lang w:val="pt-BR"/>
        </w:rPr>
        <w:t xml:space="preserve"> penal de 1997,</w:t>
      </w:r>
      <w:r w:rsidR="002C330E" w:rsidRPr="00D5464D">
        <w:rPr>
          <w:rFonts w:cs="Arial"/>
          <w:bCs/>
          <w:iCs/>
          <w:szCs w:val="20"/>
          <w:lang w:val="pt-BR"/>
        </w:rPr>
        <w:t xml:space="preserve"> a </w:t>
      </w:r>
      <w:r w:rsidR="00D81AA1" w:rsidRPr="00D5464D">
        <w:rPr>
          <w:rFonts w:cs="Arial"/>
          <w:bCs/>
          <w:iCs/>
          <w:szCs w:val="20"/>
          <w:lang w:val="pt-BR"/>
        </w:rPr>
        <w:t>Corte destaca que</w:t>
      </w:r>
      <w:r w:rsidR="002C330E" w:rsidRPr="00D5464D">
        <w:rPr>
          <w:rFonts w:cs="Arial"/>
          <w:bCs/>
          <w:iCs/>
          <w:szCs w:val="20"/>
          <w:lang w:val="pt-BR"/>
        </w:rPr>
        <w:t xml:space="preserve"> a </w:t>
      </w:r>
      <w:r w:rsidR="00737270" w:rsidRPr="00D5464D">
        <w:rPr>
          <w:rFonts w:cs="Arial"/>
          <w:bCs/>
          <w:iCs/>
          <w:szCs w:val="20"/>
          <w:lang w:val="pt-BR"/>
        </w:rPr>
        <w:t>ação</w:t>
      </w:r>
      <w:r w:rsidR="00D81AA1" w:rsidRPr="00D5464D">
        <w:rPr>
          <w:rFonts w:cs="Arial"/>
          <w:bCs/>
          <w:iCs/>
          <w:szCs w:val="20"/>
          <w:lang w:val="pt-BR"/>
        </w:rPr>
        <w:t xml:space="preserve"> penal </w:t>
      </w:r>
      <w:r w:rsidRPr="00D5464D">
        <w:rPr>
          <w:rFonts w:cs="Arial"/>
          <w:szCs w:val="20"/>
          <w:lang w:val="pt-BR"/>
        </w:rPr>
        <w:t xml:space="preserve">foi interposta </w:t>
      </w:r>
      <w:r w:rsidR="00D81AA1" w:rsidRPr="00D5464D">
        <w:rPr>
          <w:rFonts w:cs="Arial"/>
          <w:szCs w:val="20"/>
          <w:lang w:val="pt-BR"/>
        </w:rPr>
        <w:t>contra</w:t>
      </w:r>
      <w:r w:rsidR="00470ADC" w:rsidRPr="00D5464D">
        <w:rPr>
          <w:rFonts w:cs="Arial"/>
          <w:szCs w:val="20"/>
          <w:lang w:val="pt-BR"/>
        </w:rPr>
        <w:t xml:space="preserve"> o </w:t>
      </w:r>
      <w:r w:rsidR="00C32FB5" w:rsidRPr="00D5464D">
        <w:rPr>
          <w:rFonts w:cs="Arial"/>
          <w:szCs w:val="20"/>
          <w:lang w:val="pt-BR"/>
        </w:rPr>
        <w:t xml:space="preserve">gato </w:t>
      </w:r>
      <w:r w:rsidR="00D81AA1" w:rsidRPr="00D5464D">
        <w:rPr>
          <w:rFonts w:cs="Arial"/>
          <w:szCs w:val="20"/>
          <w:lang w:val="pt-BR"/>
        </w:rPr>
        <w:t>Raimundo Alves d</w:t>
      </w:r>
      <w:r w:rsidR="00752D4A" w:rsidRPr="00D5464D">
        <w:rPr>
          <w:rFonts w:cs="Arial"/>
          <w:szCs w:val="20"/>
          <w:lang w:val="pt-BR"/>
        </w:rPr>
        <w:t>a</w:t>
      </w:r>
      <w:r w:rsidR="00D81AA1" w:rsidRPr="00D5464D">
        <w:rPr>
          <w:rFonts w:cs="Arial"/>
          <w:szCs w:val="20"/>
          <w:lang w:val="pt-BR"/>
        </w:rPr>
        <w:t xml:space="preserve"> Rocha</w:t>
      </w:r>
      <w:r w:rsidR="009E04D5" w:rsidRPr="00D5464D">
        <w:rPr>
          <w:rFonts w:cs="Arial"/>
          <w:szCs w:val="20"/>
          <w:lang w:val="pt-BR"/>
        </w:rPr>
        <w:t>,</w:t>
      </w:r>
      <w:r w:rsidR="00D81AA1" w:rsidRPr="00D5464D">
        <w:rPr>
          <w:rFonts w:cs="Arial"/>
          <w:szCs w:val="20"/>
          <w:lang w:val="pt-BR"/>
        </w:rPr>
        <w:t xml:space="preserve"> </w:t>
      </w:r>
      <w:r w:rsidR="00E42F61" w:rsidRPr="00D5464D">
        <w:rPr>
          <w:rFonts w:cs="Arial"/>
          <w:szCs w:val="20"/>
          <w:lang w:val="pt-BR"/>
        </w:rPr>
        <w:t xml:space="preserve">Antônio </w:t>
      </w:r>
      <w:r w:rsidR="00D81AA1" w:rsidRPr="00D5464D">
        <w:rPr>
          <w:rFonts w:cs="Arial"/>
          <w:szCs w:val="20"/>
          <w:lang w:val="pt-BR"/>
        </w:rPr>
        <w:t>Alves Vieira, gerente</w:t>
      </w:r>
      <w:r w:rsidR="00470ADC" w:rsidRPr="00D5464D">
        <w:rPr>
          <w:rFonts w:cs="Arial"/>
          <w:szCs w:val="20"/>
          <w:lang w:val="pt-BR"/>
        </w:rPr>
        <w:t xml:space="preserve"> da </w:t>
      </w:r>
      <w:r w:rsidR="00D809F0" w:rsidRPr="00D5464D">
        <w:rPr>
          <w:rFonts w:cs="Arial"/>
          <w:szCs w:val="20"/>
          <w:lang w:val="pt-BR"/>
        </w:rPr>
        <w:t>Fazenda</w:t>
      </w:r>
      <w:r w:rsidR="00D81AA1" w:rsidRPr="00D5464D">
        <w:rPr>
          <w:rFonts w:cs="Arial"/>
          <w:szCs w:val="20"/>
          <w:lang w:val="pt-BR"/>
        </w:rPr>
        <w:t xml:space="preserve"> Brasil Verde</w:t>
      </w:r>
      <w:r w:rsidR="00E045D9" w:rsidRPr="00D5464D">
        <w:rPr>
          <w:rFonts w:cs="Arial"/>
          <w:szCs w:val="20"/>
          <w:lang w:val="pt-BR"/>
        </w:rPr>
        <w:t xml:space="preserve"> e </w:t>
      </w:r>
      <w:r w:rsidR="00D81AA1" w:rsidRPr="00D5464D">
        <w:rPr>
          <w:rFonts w:cs="Arial"/>
          <w:szCs w:val="20"/>
          <w:lang w:val="pt-BR"/>
        </w:rPr>
        <w:t xml:space="preserve">João Luiz Quagliato Neto, </w:t>
      </w:r>
      <w:r w:rsidRPr="00D5464D">
        <w:rPr>
          <w:rFonts w:cs="Arial"/>
          <w:szCs w:val="20"/>
          <w:lang w:val="pt-BR"/>
        </w:rPr>
        <w:t xml:space="preserve">proprietário </w:t>
      </w:r>
      <w:r w:rsidR="00E045D9" w:rsidRPr="00D5464D">
        <w:rPr>
          <w:rFonts w:cs="Arial"/>
          <w:szCs w:val="20"/>
          <w:lang w:val="pt-BR"/>
        </w:rPr>
        <w:t>desta</w:t>
      </w:r>
      <w:r w:rsidR="00D81AA1" w:rsidRPr="00D5464D">
        <w:rPr>
          <w:rFonts w:cs="Arial"/>
          <w:szCs w:val="20"/>
          <w:lang w:val="pt-BR"/>
        </w:rPr>
        <w:t xml:space="preserve"> </w:t>
      </w:r>
      <w:r w:rsidR="00D809F0" w:rsidRPr="00D5464D">
        <w:rPr>
          <w:rFonts w:cs="Arial"/>
          <w:szCs w:val="20"/>
          <w:lang w:val="pt-BR"/>
        </w:rPr>
        <w:t>fazenda</w:t>
      </w:r>
      <w:r w:rsidR="00D81AA1" w:rsidRPr="00D5464D">
        <w:rPr>
          <w:rFonts w:cs="Arial"/>
          <w:szCs w:val="20"/>
          <w:lang w:val="pt-BR"/>
        </w:rPr>
        <w:t xml:space="preserve">. </w:t>
      </w:r>
      <w:r w:rsidR="00A1358C" w:rsidRPr="00D5464D">
        <w:rPr>
          <w:rFonts w:cs="Arial"/>
          <w:szCs w:val="20"/>
          <w:lang w:val="pt-BR"/>
        </w:rPr>
        <w:t>Não obstante,</w:t>
      </w:r>
      <w:r w:rsidR="00D81AA1" w:rsidRPr="00D5464D">
        <w:rPr>
          <w:rFonts w:cs="Arial"/>
          <w:szCs w:val="20"/>
          <w:lang w:val="pt-BR"/>
        </w:rPr>
        <w:t xml:space="preserve"> </w:t>
      </w:r>
      <w:r w:rsidR="00E045D9" w:rsidRPr="00D5464D">
        <w:rPr>
          <w:rFonts w:cs="Arial"/>
          <w:szCs w:val="20"/>
          <w:lang w:val="pt-BR"/>
        </w:rPr>
        <w:t>unicamente</w:t>
      </w:r>
      <w:r w:rsidR="00D81AA1" w:rsidRPr="00D5464D">
        <w:rPr>
          <w:rFonts w:cs="Arial"/>
          <w:szCs w:val="20"/>
          <w:lang w:val="pt-BR"/>
        </w:rPr>
        <w:t xml:space="preserve"> Raimundo Alves</w:t>
      </w:r>
      <w:r w:rsidR="00E045D9" w:rsidRPr="00D5464D">
        <w:rPr>
          <w:rFonts w:cs="Arial"/>
          <w:szCs w:val="20"/>
          <w:lang w:val="pt-BR"/>
        </w:rPr>
        <w:t xml:space="preserve"> e </w:t>
      </w:r>
      <w:r w:rsidR="00E42F61" w:rsidRPr="00D5464D">
        <w:rPr>
          <w:rFonts w:cs="Arial"/>
          <w:szCs w:val="20"/>
          <w:lang w:val="pt-BR"/>
        </w:rPr>
        <w:t xml:space="preserve">Antônio </w:t>
      </w:r>
      <w:r w:rsidR="00D81AA1" w:rsidRPr="00D5464D">
        <w:rPr>
          <w:rFonts w:cs="Arial"/>
          <w:szCs w:val="20"/>
          <w:lang w:val="pt-BR"/>
        </w:rPr>
        <w:t xml:space="preserve">Alves </w:t>
      </w:r>
      <w:r w:rsidR="00470ADC" w:rsidRPr="00D5464D">
        <w:rPr>
          <w:rFonts w:cs="Arial"/>
          <w:szCs w:val="20"/>
          <w:lang w:val="pt-BR"/>
        </w:rPr>
        <w:t>foram</w:t>
      </w:r>
      <w:r w:rsidR="00D81AA1" w:rsidRPr="00D5464D">
        <w:rPr>
          <w:rFonts w:cs="Arial"/>
          <w:szCs w:val="20"/>
          <w:lang w:val="pt-BR"/>
        </w:rPr>
        <w:t xml:space="preserve"> acusados</w:t>
      </w:r>
      <w:r w:rsidR="002C330E" w:rsidRPr="00D5464D">
        <w:rPr>
          <w:rFonts w:cs="Arial"/>
          <w:szCs w:val="20"/>
          <w:lang w:val="pt-BR"/>
        </w:rPr>
        <w:t xml:space="preserve"> </w:t>
      </w:r>
      <w:r w:rsidR="009E04D5" w:rsidRPr="00D5464D">
        <w:rPr>
          <w:rFonts w:cs="Arial"/>
          <w:szCs w:val="20"/>
          <w:lang w:val="pt-BR"/>
        </w:rPr>
        <w:t xml:space="preserve">de cometer </w:t>
      </w:r>
      <w:r w:rsidR="00470ADC" w:rsidRPr="00D5464D">
        <w:rPr>
          <w:rFonts w:cs="Arial"/>
          <w:szCs w:val="20"/>
          <w:lang w:val="pt-BR"/>
        </w:rPr>
        <w:t xml:space="preserve">do </w:t>
      </w:r>
      <w:r w:rsidR="00D81AA1" w:rsidRPr="00D5464D">
        <w:rPr>
          <w:rFonts w:cs="Arial"/>
          <w:szCs w:val="20"/>
          <w:lang w:val="pt-BR"/>
        </w:rPr>
        <w:t xml:space="preserve">delito de </w:t>
      </w:r>
      <w:r w:rsidR="00737270" w:rsidRPr="00D5464D">
        <w:rPr>
          <w:rFonts w:cs="Arial"/>
          <w:szCs w:val="20"/>
          <w:lang w:val="pt-BR"/>
        </w:rPr>
        <w:t>redução</w:t>
      </w:r>
      <w:r w:rsidR="00D81AA1" w:rsidRPr="00D5464D">
        <w:rPr>
          <w:rFonts w:cs="Arial"/>
          <w:szCs w:val="20"/>
          <w:lang w:val="pt-BR"/>
        </w:rPr>
        <w:t xml:space="preserve"> </w:t>
      </w:r>
      <w:r w:rsidR="00260035" w:rsidRPr="00D5464D">
        <w:rPr>
          <w:rFonts w:cs="Arial"/>
          <w:szCs w:val="20"/>
          <w:lang w:val="pt-BR"/>
        </w:rPr>
        <w:t>a condi</w:t>
      </w:r>
      <w:r w:rsidR="00470ADC" w:rsidRPr="00D5464D">
        <w:rPr>
          <w:rFonts w:cs="Arial"/>
          <w:szCs w:val="20"/>
          <w:lang w:val="pt-BR"/>
        </w:rPr>
        <w:t>ção</w:t>
      </w:r>
      <w:r w:rsidR="00260035" w:rsidRPr="00D5464D">
        <w:rPr>
          <w:rFonts w:cs="Arial"/>
          <w:szCs w:val="20"/>
          <w:lang w:val="pt-BR"/>
        </w:rPr>
        <w:t xml:space="preserve"> </w:t>
      </w:r>
      <w:r w:rsidR="00D81AA1" w:rsidRPr="00D5464D">
        <w:rPr>
          <w:rFonts w:cs="Arial"/>
          <w:szCs w:val="20"/>
          <w:lang w:val="pt-BR"/>
        </w:rPr>
        <w:t>análoga</w:t>
      </w:r>
      <w:r w:rsidR="00470ADC" w:rsidRPr="00D5464D">
        <w:rPr>
          <w:rFonts w:cs="Arial"/>
          <w:szCs w:val="20"/>
          <w:lang w:val="pt-BR"/>
        </w:rPr>
        <w:t xml:space="preserve"> à </w:t>
      </w:r>
      <w:r w:rsidR="00260035" w:rsidRPr="00D5464D">
        <w:rPr>
          <w:rFonts w:cs="Arial"/>
          <w:szCs w:val="20"/>
          <w:lang w:val="pt-BR"/>
        </w:rPr>
        <w:t xml:space="preserve">de </w:t>
      </w:r>
      <w:r w:rsidR="004F1CC2" w:rsidRPr="00D5464D">
        <w:rPr>
          <w:rFonts w:cs="Arial"/>
          <w:szCs w:val="20"/>
          <w:lang w:val="pt-BR"/>
        </w:rPr>
        <w:t>escravo</w:t>
      </w:r>
      <w:r w:rsidR="00D81AA1" w:rsidRPr="00D5464D">
        <w:rPr>
          <w:rFonts w:cs="Arial"/>
          <w:szCs w:val="20"/>
          <w:lang w:val="pt-BR"/>
        </w:rPr>
        <w:t xml:space="preserve">, </w:t>
      </w:r>
      <w:r w:rsidR="002C330E" w:rsidRPr="00D5464D">
        <w:rPr>
          <w:rFonts w:cs="Arial"/>
          <w:szCs w:val="20"/>
          <w:lang w:val="pt-BR"/>
        </w:rPr>
        <w:t>enquanto</w:t>
      </w:r>
      <w:r w:rsidR="00D81AA1" w:rsidRPr="00D5464D">
        <w:rPr>
          <w:rFonts w:cs="Arial"/>
          <w:szCs w:val="20"/>
          <w:lang w:val="pt-BR"/>
        </w:rPr>
        <w:t xml:space="preserve"> João Luiz Quagliato Neto</w:t>
      </w:r>
      <w:r w:rsidR="00470ADC" w:rsidRPr="00D5464D">
        <w:rPr>
          <w:rFonts w:cs="Arial"/>
          <w:szCs w:val="20"/>
          <w:lang w:val="pt-BR"/>
        </w:rPr>
        <w:t xml:space="preserve"> foi </w:t>
      </w:r>
      <w:r w:rsidR="00D81AA1" w:rsidRPr="00D5464D">
        <w:rPr>
          <w:rFonts w:cs="Arial"/>
          <w:szCs w:val="20"/>
          <w:lang w:val="pt-BR"/>
        </w:rPr>
        <w:t>acusado</w:t>
      </w:r>
      <w:r w:rsidR="002C330E" w:rsidRPr="00D5464D">
        <w:rPr>
          <w:rFonts w:cs="Arial"/>
          <w:szCs w:val="20"/>
          <w:lang w:val="pt-BR"/>
        </w:rPr>
        <w:t xml:space="preserve"> </w:t>
      </w:r>
      <w:r w:rsidR="009E04D5" w:rsidRPr="00D5464D">
        <w:rPr>
          <w:rFonts w:cs="Arial"/>
          <w:szCs w:val="20"/>
          <w:lang w:val="pt-BR"/>
        </w:rPr>
        <w:t xml:space="preserve">de cometer </w:t>
      </w:r>
      <w:r w:rsidR="00E045D9" w:rsidRPr="00D5464D">
        <w:rPr>
          <w:rFonts w:cs="Arial"/>
          <w:szCs w:val="20"/>
          <w:lang w:val="pt-BR"/>
        </w:rPr>
        <w:t xml:space="preserve">um </w:t>
      </w:r>
      <w:r w:rsidR="00D81AA1" w:rsidRPr="00D5464D">
        <w:rPr>
          <w:rFonts w:cs="Arial"/>
          <w:szCs w:val="20"/>
          <w:lang w:val="pt-BR"/>
        </w:rPr>
        <w:t>delito menos grave.</w:t>
      </w:r>
    </w:p>
    <w:p w14:paraId="1EDD0E93" w14:textId="77777777" w:rsidR="00D81AA1" w:rsidRPr="00D5464D" w:rsidRDefault="00D81AA1" w:rsidP="00D81AA1">
      <w:pPr>
        <w:pStyle w:val="Prrafodelista"/>
        <w:rPr>
          <w:rFonts w:cs="Arial"/>
          <w:bCs/>
          <w:iCs/>
          <w:szCs w:val="20"/>
          <w:lang w:val="pt-BR"/>
        </w:rPr>
      </w:pPr>
    </w:p>
    <w:p w14:paraId="2184D766" w14:textId="5C520749" w:rsidR="00D81AA1" w:rsidRPr="00D5464D" w:rsidRDefault="00350187" w:rsidP="00D81AA1">
      <w:pPr>
        <w:pStyle w:val="Prrafodelista"/>
        <w:numPr>
          <w:ilvl w:val="0"/>
          <w:numId w:val="1"/>
        </w:numPr>
        <w:autoSpaceDE w:val="0"/>
        <w:autoSpaceDN w:val="0"/>
        <w:adjustRightInd w:val="0"/>
        <w:contextualSpacing w:val="0"/>
        <w:rPr>
          <w:rFonts w:cs="Arial"/>
          <w:bCs/>
          <w:iCs/>
          <w:szCs w:val="20"/>
          <w:lang w:val="pt-BR"/>
        </w:rPr>
      </w:pPr>
      <w:r w:rsidRPr="00D5464D">
        <w:rPr>
          <w:rFonts w:cs="Arial"/>
          <w:bCs/>
          <w:iCs/>
          <w:szCs w:val="20"/>
          <w:lang w:val="pt-BR"/>
        </w:rPr>
        <w:t xml:space="preserve">Além da </w:t>
      </w:r>
      <w:r w:rsidR="00D81AA1" w:rsidRPr="00D5464D">
        <w:rPr>
          <w:rFonts w:cs="Arial"/>
          <w:bCs/>
          <w:iCs/>
          <w:szCs w:val="20"/>
          <w:lang w:val="pt-BR"/>
        </w:rPr>
        <w:t xml:space="preserve">demora </w:t>
      </w:r>
      <w:r w:rsidR="009E04D5" w:rsidRPr="00D5464D">
        <w:rPr>
          <w:rFonts w:cs="Arial"/>
          <w:bCs/>
          <w:iCs/>
          <w:szCs w:val="20"/>
          <w:lang w:val="pt-BR"/>
        </w:rPr>
        <w:t>causada</w:t>
      </w:r>
      <w:r w:rsidR="002C330E" w:rsidRPr="00D5464D">
        <w:rPr>
          <w:rFonts w:cs="Arial"/>
          <w:bCs/>
          <w:iCs/>
          <w:szCs w:val="20"/>
          <w:lang w:val="pt-BR"/>
        </w:rPr>
        <w:t xml:space="preserve"> pela </w:t>
      </w:r>
      <w:r w:rsidR="00D81AA1" w:rsidRPr="00D5464D">
        <w:rPr>
          <w:rFonts w:cs="Arial"/>
          <w:bCs/>
          <w:iCs/>
          <w:szCs w:val="20"/>
          <w:lang w:val="pt-BR"/>
        </w:rPr>
        <w:t xml:space="preserve">falta de </w:t>
      </w:r>
      <w:r w:rsidR="00737270" w:rsidRPr="00D5464D">
        <w:rPr>
          <w:rFonts w:cs="Arial"/>
          <w:bCs/>
          <w:iCs/>
          <w:szCs w:val="20"/>
          <w:lang w:val="pt-BR"/>
        </w:rPr>
        <w:t>a</w:t>
      </w:r>
      <w:r w:rsidR="009E04D5" w:rsidRPr="00D5464D">
        <w:rPr>
          <w:rFonts w:cs="Arial"/>
          <w:bCs/>
          <w:iCs/>
          <w:szCs w:val="20"/>
          <w:lang w:val="pt-BR"/>
        </w:rPr>
        <w:t>tua</w:t>
      </w:r>
      <w:r w:rsidR="00737270" w:rsidRPr="00D5464D">
        <w:rPr>
          <w:rFonts w:cs="Arial"/>
          <w:bCs/>
          <w:iCs/>
          <w:szCs w:val="20"/>
          <w:lang w:val="pt-BR"/>
        </w:rPr>
        <w:t>ção</w:t>
      </w:r>
      <w:r w:rsidR="00D81AA1" w:rsidRPr="00D5464D">
        <w:rPr>
          <w:rFonts w:cs="Arial"/>
          <w:bCs/>
          <w:iCs/>
          <w:szCs w:val="20"/>
          <w:lang w:val="pt-BR"/>
        </w:rPr>
        <w:t xml:space="preserve"> </w:t>
      </w:r>
      <w:r w:rsidR="00A1358C" w:rsidRPr="00D5464D">
        <w:rPr>
          <w:rFonts w:cs="Arial"/>
          <w:bCs/>
          <w:iCs/>
          <w:szCs w:val="20"/>
          <w:lang w:val="pt-BR"/>
        </w:rPr>
        <w:t>processual</w:t>
      </w:r>
      <w:r w:rsidR="00D2186C" w:rsidRPr="00D5464D">
        <w:rPr>
          <w:rFonts w:cs="Arial"/>
          <w:bCs/>
          <w:iCs/>
          <w:szCs w:val="20"/>
          <w:lang w:val="pt-BR"/>
        </w:rPr>
        <w:t xml:space="preserve"> e</w:t>
      </w:r>
      <w:r w:rsidR="00470ADC" w:rsidRPr="00D5464D">
        <w:rPr>
          <w:rFonts w:cs="Arial"/>
          <w:bCs/>
          <w:iCs/>
          <w:szCs w:val="20"/>
          <w:lang w:val="pt-BR"/>
        </w:rPr>
        <w:t xml:space="preserve"> </w:t>
      </w:r>
      <w:r w:rsidR="000B338A" w:rsidRPr="00D5464D">
        <w:rPr>
          <w:rFonts w:cs="Arial"/>
          <w:bCs/>
          <w:iCs/>
          <w:szCs w:val="20"/>
          <w:lang w:val="pt-BR"/>
        </w:rPr>
        <w:t>d</w:t>
      </w:r>
      <w:r w:rsidR="00470ADC" w:rsidRPr="00D5464D">
        <w:rPr>
          <w:rFonts w:cs="Arial"/>
          <w:bCs/>
          <w:iCs/>
          <w:szCs w:val="20"/>
          <w:lang w:val="pt-BR"/>
        </w:rPr>
        <w:t xml:space="preserve">o </w:t>
      </w:r>
      <w:r w:rsidR="000B338A" w:rsidRPr="00D5464D">
        <w:rPr>
          <w:rFonts w:cs="Arial"/>
          <w:bCs/>
          <w:iCs/>
          <w:szCs w:val="20"/>
          <w:lang w:val="pt-BR"/>
        </w:rPr>
        <w:t>a</w:t>
      </w:r>
      <w:r w:rsidR="00D81AA1" w:rsidRPr="00D5464D">
        <w:rPr>
          <w:rFonts w:cs="Arial"/>
          <w:bCs/>
          <w:iCs/>
          <w:szCs w:val="20"/>
          <w:lang w:val="pt-BR"/>
        </w:rPr>
        <w:t>traso derivado</w:t>
      </w:r>
      <w:r w:rsidR="002C330E" w:rsidRPr="00D5464D">
        <w:rPr>
          <w:rFonts w:cs="Arial"/>
          <w:bCs/>
          <w:iCs/>
          <w:szCs w:val="20"/>
          <w:lang w:val="pt-BR"/>
        </w:rPr>
        <w:t xml:space="preserve"> </w:t>
      </w:r>
      <w:r w:rsidR="000B338A" w:rsidRPr="00D5464D">
        <w:rPr>
          <w:rFonts w:cs="Arial"/>
          <w:bCs/>
          <w:iCs/>
          <w:szCs w:val="20"/>
          <w:lang w:val="pt-BR"/>
        </w:rPr>
        <w:t xml:space="preserve">do </w:t>
      </w:r>
      <w:r w:rsidR="00470ADC" w:rsidRPr="00D5464D">
        <w:rPr>
          <w:rFonts w:cs="Arial"/>
          <w:bCs/>
          <w:iCs/>
          <w:szCs w:val="20"/>
          <w:lang w:val="pt-BR"/>
        </w:rPr>
        <w:t>conflito</w:t>
      </w:r>
      <w:r w:rsidR="00D81AA1" w:rsidRPr="00D5464D">
        <w:rPr>
          <w:rFonts w:cs="Arial"/>
          <w:bCs/>
          <w:iCs/>
          <w:szCs w:val="20"/>
          <w:lang w:val="pt-BR"/>
        </w:rPr>
        <w:t xml:space="preserve"> de </w:t>
      </w:r>
      <w:r w:rsidR="00470ADC" w:rsidRPr="00D5464D">
        <w:rPr>
          <w:rFonts w:cs="Arial"/>
          <w:bCs/>
          <w:iCs/>
          <w:szCs w:val="20"/>
          <w:lang w:val="pt-BR"/>
        </w:rPr>
        <w:t>competência</w:t>
      </w:r>
      <w:r w:rsidR="00D81AA1" w:rsidRPr="00D5464D">
        <w:rPr>
          <w:rFonts w:cs="Arial"/>
          <w:bCs/>
          <w:iCs/>
          <w:szCs w:val="20"/>
          <w:lang w:val="pt-BR"/>
        </w:rPr>
        <w:t xml:space="preserve">s </w:t>
      </w:r>
      <w:r w:rsidR="00D2186C" w:rsidRPr="00D5464D">
        <w:rPr>
          <w:rFonts w:cs="Arial"/>
          <w:bCs/>
          <w:iCs/>
          <w:szCs w:val="20"/>
          <w:lang w:val="pt-BR"/>
        </w:rPr>
        <w:t xml:space="preserve">que </w:t>
      </w:r>
      <w:r w:rsidR="00E045D9" w:rsidRPr="00D5464D">
        <w:rPr>
          <w:rFonts w:cs="Arial"/>
          <w:bCs/>
          <w:iCs/>
          <w:szCs w:val="20"/>
          <w:lang w:val="pt-BR"/>
        </w:rPr>
        <w:t>afetou</w:t>
      </w:r>
      <w:r w:rsidR="002C330E" w:rsidRPr="00D5464D">
        <w:rPr>
          <w:rFonts w:cs="Arial"/>
          <w:bCs/>
          <w:iCs/>
          <w:szCs w:val="20"/>
          <w:lang w:val="pt-BR"/>
        </w:rPr>
        <w:t xml:space="preserve"> a </w:t>
      </w:r>
      <w:r w:rsidR="00470ADC" w:rsidRPr="00D5464D">
        <w:rPr>
          <w:rFonts w:cs="Arial"/>
          <w:bCs/>
          <w:iCs/>
          <w:szCs w:val="20"/>
          <w:lang w:val="pt-BR"/>
        </w:rPr>
        <w:t>devida diligência</w:t>
      </w:r>
      <w:r w:rsidR="00E045D9" w:rsidRPr="00D5464D">
        <w:rPr>
          <w:rFonts w:cs="Arial"/>
          <w:bCs/>
          <w:iCs/>
          <w:szCs w:val="20"/>
          <w:lang w:val="pt-BR"/>
        </w:rPr>
        <w:t xml:space="preserve"> no </w:t>
      </w:r>
      <w:r w:rsidR="002C330E" w:rsidRPr="00D5464D">
        <w:rPr>
          <w:rFonts w:cs="Arial"/>
          <w:bCs/>
          <w:iCs/>
          <w:szCs w:val="20"/>
          <w:lang w:val="pt-BR"/>
        </w:rPr>
        <w:t>processo</w:t>
      </w:r>
      <w:r w:rsidR="00D81AA1" w:rsidRPr="00D5464D">
        <w:rPr>
          <w:rFonts w:cs="Arial"/>
          <w:bCs/>
          <w:iCs/>
          <w:szCs w:val="20"/>
          <w:lang w:val="pt-BR"/>
        </w:rPr>
        <w:t xml:space="preserve"> penal (</w:t>
      </w:r>
      <w:r w:rsidR="002C330E" w:rsidRPr="00D5464D">
        <w:rPr>
          <w:rFonts w:cs="Arial"/>
          <w:bCs/>
          <w:iCs/>
          <w:szCs w:val="20"/>
          <w:lang w:val="pt-BR"/>
        </w:rPr>
        <w:t>par.</w:t>
      </w:r>
      <w:r w:rsidR="00D81AA1" w:rsidRPr="00D5464D">
        <w:rPr>
          <w:rFonts w:cs="Arial"/>
          <w:bCs/>
          <w:iCs/>
          <w:szCs w:val="20"/>
          <w:lang w:val="pt-BR"/>
        </w:rPr>
        <w:t xml:space="preserve"> </w:t>
      </w:r>
      <w:r w:rsidR="00146AEA" w:rsidRPr="00D5464D">
        <w:rPr>
          <w:rFonts w:cs="Arial"/>
          <w:bCs/>
          <w:iCs/>
          <w:szCs w:val="20"/>
          <w:lang w:val="pt-BR"/>
        </w:rPr>
        <w:t>367</w:t>
      </w:r>
      <w:r w:rsidR="007C6E16" w:rsidRPr="00D5464D">
        <w:rPr>
          <w:rFonts w:cs="Arial"/>
          <w:bCs/>
          <w:i/>
          <w:iCs/>
          <w:szCs w:val="20"/>
          <w:lang w:val="pt-BR"/>
        </w:rPr>
        <w:t xml:space="preserve"> supra</w:t>
      </w:r>
      <w:r w:rsidR="008E18B4" w:rsidRPr="00D5464D">
        <w:rPr>
          <w:rFonts w:cs="Arial"/>
          <w:bCs/>
          <w:iCs/>
          <w:szCs w:val="20"/>
          <w:lang w:val="pt-BR"/>
        </w:rPr>
        <w:t>),</w:t>
      </w:r>
      <w:r w:rsidR="002C330E" w:rsidRPr="00D5464D">
        <w:rPr>
          <w:rFonts w:cs="Arial"/>
          <w:bCs/>
          <w:iCs/>
          <w:szCs w:val="20"/>
          <w:lang w:val="pt-BR"/>
        </w:rPr>
        <w:t xml:space="preserve"> a </w:t>
      </w:r>
      <w:r w:rsidR="00D81AA1" w:rsidRPr="00D5464D">
        <w:rPr>
          <w:rFonts w:cs="Arial"/>
          <w:bCs/>
          <w:iCs/>
          <w:szCs w:val="20"/>
          <w:lang w:val="pt-BR"/>
        </w:rPr>
        <w:t>Corte nota que</w:t>
      </w:r>
      <w:r w:rsidR="00D2186C" w:rsidRPr="00D5464D">
        <w:rPr>
          <w:rFonts w:cs="Arial"/>
          <w:bCs/>
          <w:iCs/>
          <w:szCs w:val="20"/>
          <w:lang w:val="pt-BR"/>
        </w:rPr>
        <w:t>,</w:t>
      </w:r>
      <w:r w:rsidR="00D81AA1" w:rsidRPr="00D5464D">
        <w:rPr>
          <w:rFonts w:cs="Arial"/>
          <w:bCs/>
          <w:iCs/>
          <w:szCs w:val="20"/>
          <w:lang w:val="pt-BR"/>
        </w:rPr>
        <w:t xml:space="preserve"> </w:t>
      </w:r>
      <w:r w:rsidR="00470ADC" w:rsidRPr="00D5464D">
        <w:rPr>
          <w:rFonts w:cs="Arial"/>
          <w:szCs w:val="20"/>
          <w:lang w:val="pt-BR"/>
        </w:rPr>
        <w:t>depois</w:t>
      </w:r>
      <w:r w:rsidR="00D81AA1" w:rsidRPr="00D5464D">
        <w:rPr>
          <w:rFonts w:cs="Arial"/>
          <w:szCs w:val="20"/>
          <w:lang w:val="pt-BR"/>
        </w:rPr>
        <w:t xml:space="preserve"> de diversas </w:t>
      </w:r>
      <w:r w:rsidR="00470ADC" w:rsidRPr="00D5464D">
        <w:rPr>
          <w:rFonts w:cs="Arial"/>
          <w:szCs w:val="20"/>
          <w:lang w:val="pt-BR"/>
        </w:rPr>
        <w:t>atuações</w:t>
      </w:r>
      <w:r w:rsidR="00D81AA1" w:rsidRPr="00D5464D">
        <w:rPr>
          <w:rFonts w:cs="Arial"/>
          <w:szCs w:val="20"/>
          <w:lang w:val="pt-BR"/>
        </w:rPr>
        <w:t xml:space="preserve"> </w:t>
      </w:r>
      <w:r w:rsidR="00737270" w:rsidRPr="00D5464D">
        <w:rPr>
          <w:rFonts w:cs="Arial"/>
          <w:szCs w:val="20"/>
          <w:lang w:val="pt-BR"/>
        </w:rPr>
        <w:t xml:space="preserve">que não </w:t>
      </w:r>
      <w:r w:rsidR="000B338A" w:rsidRPr="00D5464D">
        <w:rPr>
          <w:rFonts w:cs="Arial"/>
          <w:szCs w:val="20"/>
          <w:lang w:val="pt-BR"/>
        </w:rPr>
        <w:t xml:space="preserve">eram </w:t>
      </w:r>
      <w:r w:rsidR="00A1358C" w:rsidRPr="00D5464D">
        <w:rPr>
          <w:rFonts w:cs="Arial"/>
          <w:szCs w:val="20"/>
          <w:lang w:val="pt-BR"/>
        </w:rPr>
        <w:t>processual</w:t>
      </w:r>
      <w:r w:rsidR="00D81AA1" w:rsidRPr="00D5464D">
        <w:rPr>
          <w:rFonts w:cs="Arial"/>
          <w:szCs w:val="20"/>
          <w:lang w:val="pt-BR"/>
        </w:rPr>
        <w:t>mente relevantes,</w:t>
      </w:r>
      <w:r w:rsidR="002C330E" w:rsidRPr="00D5464D">
        <w:rPr>
          <w:rFonts w:cs="Arial"/>
          <w:szCs w:val="20"/>
          <w:lang w:val="pt-BR"/>
        </w:rPr>
        <w:t xml:space="preserve"> em 2</w:t>
      </w:r>
      <w:r w:rsidR="00D81AA1" w:rsidRPr="00D5464D">
        <w:rPr>
          <w:rFonts w:cs="Arial"/>
          <w:szCs w:val="20"/>
          <w:lang w:val="pt-BR"/>
        </w:rPr>
        <w:t>8 de</w:t>
      </w:r>
      <w:r w:rsidR="002C330E" w:rsidRPr="00D5464D">
        <w:rPr>
          <w:rFonts w:cs="Arial"/>
          <w:szCs w:val="20"/>
          <w:lang w:val="pt-BR"/>
        </w:rPr>
        <w:t xml:space="preserve"> maio </w:t>
      </w:r>
      <w:r w:rsidR="00D81AA1" w:rsidRPr="00D5464D">
        <w:rPr>
          <w:rFonts w:cs="Arial"/>
          <w:szCs w:val="20"/>
          <w:lang w:val="pt-BR"/>
        </w:rPr>
        <w:t xml:space="preserve">de 2002 </w:t>
      </w:r>
      <w:r w:rsidR="000B338A" w:rsidRPr="00D5464D">
        <w:rPr>
          <w:rFonts w:cs="Arial"/>
          <w:szCs w:val="20"/>
          <w:lang w:val="pt-BR"/>
        </w:rPr>
        <w:t xml:space="preserve">foi declarada </w:t>
      </w:r>
      <w:r w:rsidR="00D81AA1" w:rsidRPr="00D5464D">
        <w:rPr>
          <w:rFonts w:cs="Arial"/>
          <w:szCs w:val="20"/>
          <w:lang w:val="pt-BR"/>
        </w:rPr>
        <w:t>extinta</w:t>
      </w:r>
      <w:r w:rsidR="002C330E" w:rsidRPr="00D5464D">
        <w:rPr>
          <w:rFonts w:cs="Arial"/>
          <w:szCs w:val="20"/>
          <w:lang w:val="pt-BR"/>
        </w:rPr>
        <w:t xml:space="preserve"> a </w:t>
      </w:r>
      <w:r w:rsidR="00737270" w:rsidRPr="00D5464D">
        <w:rPr>
          <w:rFonts w:cs="Arial"/>
          <w:szCs w:val="20"/>
          <w:lang w:val="pt-BR"/>
        </w:rPr>
        <w:t>ação</w:t>
      </w:r>
      <w:r w:rsidR="00D81AA1" w:rsidRPr="00D5464D">
        <w:rPr>
          <w:rFonts w:cs="Arial"/>
          <w:szCs w:val="20"/>
          <w:lang w:val="pt-BR"/>
        </w:rPr>
        <w:t xml:space="preserve"> penal contra João Luiz Quagliato Neto</w:t>
      </w:r>
      <w:r w:rsidR="00E045D9" w:rsidRPr="00D5464D">
        <w:rPr>
          <w:rFonts w:cs="Arial"/>
          <w:szCs w:val="20"/>
          <w:lang w:val="pt-BR"/>
        </w:rPr>
        <w:t xml:space="preserve"> e</w:t>
      </w:r>
      <w:r w:rsidR="000B338A" w:rsidRPr="00D5464D">
        <w:rPr>
          <w:rFonts w:cs="Arial"/>
          <w:szCs w:val="20"/>
          <w:lang w:val="pt-BR"/>
        </w:rPr>
        <w:t>,</w:t>
      </w:r>
      <w:r w:rsidR="00C91CB1" w:rsidRPr="00D5464D">
        <w:rPr>
          <w:rFonts w:cs="Arial"/>
          <w:szCs w:val="20"/>
          <w:lang w:val="pt-BR"/>
        </w:rPr>
        <w:t xml:space="preserve"> em 1</w:t>
      </w:r>
      <w:r w:rsidR="00D81AA1" w:rsidRPr="00D5464D">
        <w:rPr>
          <w:rFonts w:cs="Arial"/>
          <w:szCs w:val="20"/>
          <w:lang w:val="pt-BR"/>
        </w:rPr>
        <w:t xml:space="preserve">0 de </w:t>
      </w:r>
      <w:r w:rsidR="002C330E" w:rsidRPr="00D5464D">
        <w:rPr>
          <w:rFonts w:cs="Arial"/>
          <w:szCs w:val="20"/>
          <w:lang w:val="pt-BR"/>
        </w:rPr>
        <w:t>julho</w:t>
      </w:r>
      <w:r w:rsidR="00D81AA1" w:rsidRPr="00D5464D">
        <w:rPr>
          <w:rFonts w:cs="Arial"/>
          <w:szCs w:val="20"/>
          <w:lang w:val="pt-BR"/>
        </w:rPr>
        <w:t xml:space="preserve"> de 2008</w:t>
      </w:r>
      <w:r w:rsidR="000B338A" w:rsidRPr="00D5464D">
        <w:rPr>
          <w:rFonts w:cs="Arial"/>
          <w:szCs w:val="20"/>
          <w:lang w:val="pt-BR"/>
        </w:rPr>
        <w:t>,</w:t>
      </w:r>
      <w:r w:rsidR="00D81AA1" w:rsidRPr="00D5464D">
        <w:rPr>
          <w:rFonts w:cs="Arial"/>
          <w:szCs w:val="20"/>
          <w:lang w:val="pt-BR"/>
        </w:rPr>
        <w:t xml:space="preserve"> </w:t>
      </w:r>
      <w:r w:rsidR="00FA4A6E" w:rsidRPr="00D5464D">
        <w:rPr>
          <w:rFonts w:cs="Arial"/>
          <w:szCs w:val="20"/>
          <w:lang w:val="pt-BR"/>
        </w:rPr>
        <w:t xml:space="preserve">após um lapso de tramitação de 10 anos, </w:t>
      </w:r>
      <w:r w:rsidR="000B338A" w:rsidRPr="00D5464D">
        <w:rPr>
          <w:rFonts w:cs="Arial"/>
          <w:szCs w:val="20"/>
          <w:lang w:val="pt-BR"/>
        </w:rPr>
        <w:t xml:space="preserve">foi declarada </w:t>
      </w:r>
      <w:r w:rsidR="002C330E" w:rsidRPr="00D5464D">
        <w:rPr>
          <w:rFonts w:cs="Arial"/>
          <w:szCs w:val="20"/>
          <w:lang w:val="pt-BR"/>
        </w:rPr>
        <w:t>a prescrição</w:t>
      </w:r>
      <w:r w:rsidR="00470ADC" w:rsidRPr="00D5464D">
        <w:rPr>
          <w:rFonts w:cs="Arial"/>
          <w:szCs w:val="20"/>
          <w:lang w:val="pt-BR"/>
        </w:rPr>
        <w:t xml:space="preserve"> da </w:t>
      </w:r>
      <w:r w:rsidR="00D81AA1" w:rsidRPr="00D5464D">
        <w:rPr>
          <w:rFonts w:cs="Arial"/>
          <w:szCs w:val="20"/>
          <w:lang w:val="pt-BR"/>
        </w:rPr>
        <w:t xml:space="preserve">pena </w:t>
      </w:r>
      <w:r w:rsidR="002C330E" w:rsidRPr="00D5464D">
        <w:rPr>
          <w:rFonts w:cs="Arial"/>
          <w:szCs w:val="20"/>
          <w:lang w:val="pt-BR"/>
        </w:rPr>
        <w:t>a respeito</w:t>
      </w:r>
      <w:r w:rsidR="00470ADC" w:rsidRPr="00D5464D">
        <w:rPr>
          <w:rFonts w:cs="Arial"/>
          <w:szCs w:val="20"/>
          <w:lang w:val="pt-BR"/>
        </w:rPr>
        <w:t xml:space="preserve"> dos </w:t>
      </w:r>
      <w:r w:rsidR="000B338A" w:rsidRPr="00D5464D">
        <w:rPr>
          <w:rFonts w:cs="Arial"/>
          <w:szCs w:val="20"/>
          <w:lang w:val="pt-BR"/>
        </w:rPr>
        <w:t xml:space="preserve">crimes atribuídos </w:t>
      </w:r>
      <w:r w:rsidR="00D81AA1" w:rsidRPr="00D5464D">
        <w:rPr>
          <w:rFonts w:cs="Arial"/>
          <w:szCs w:val="20"/>
          <w:lang w:val="pt-BR"/>
        </w:rPr>
        <w:t xml:space="preserve">a Raimundo </w:t>
      </w:r>
      <w:r w:rsidR="00085F51" w:rsidRPr="00D5464D">
        <w:rPr>
          <w:rFonts w:cs="Arial"/>
          <w:szCs w:val="20"/>
          <w:lang w:val="pt-BR"/>
        </w:rPr>
        <w:t>Alves da Rocha</w:t>
      </w:r>
      <w:r w:rsidR="00E045D9" w:rsidRPr="00D5464D">
        <w:rPr>
          <w:rFonts w:cs="Arial"/>
          <w:szCs w:val="20"/>
          <w:lang w:val="pt-BR"/>
        </w:rPr>
        <w:t xml:space="preserve"> e </w:t>
      </w:r>
      <w:r w:rsidR="00E42F61" w:rsidRPr="00D5464D">
        <w:rPr>
          <w:rFonts w:cs="Arial"/>
          <w:szCs w:val="20"/>
          <w:lang w:val="pt-BR"/>
        </w:rPr>
        <w:t xml:space="preserve">Antônio </w:t>
      </w:r>
      <w:r w:rsidR="00D81AA1" w:rsidRPr="00D5464D">
        <w:rPr>
          <w:rFonts w:cs="Arial"/>
          <w:szCs w:val="20"/>
          <w:lang w:val="pt-BR"/>
        </w:rPr>
        <w:t>Alves Vieira</w:t>
      </w:r>
      <w:r w:rsidR="00FA4A6E" w:rsidRPr="00D5464D">
        <w:rPr>
          <w:rFonts w:cs="Arial"/>
          <w:szCs w:val="20"/>
          <w:lang w:val="pt-BR"/>
        </w:rPr>
        <w:t>.</w:t>
      </w:r>
      <w:r w:rsidR="00D81AA1" w:rsidRPr="00D5464D">
        <w:rPr>
          <w:rFonts w:cs="Arial"/>
          <w:szCs w:val="20"/>
          <w:lang w:val="pt-BR"/>
        </w:rPr>
        <w:t xml:space="preserve"> </w:t>
      </w:r>
    </w:p>
    <w:p w14:paraId="2C6D2410" w14:textId="77777777" w:rsidR="00DE3E58" w:rsidRPr="00D5464D" w:rsidRDefault="00DE3E58" w:rsidP="00DE3E58">
      <w:pPr>
        <w:pStyle w:val="Prrafodelista"/>
        <w:autoSpaceDE w:val="0"/>
        <w:autoSpaceDN w:val="0"/>
        <w:adjustRightInd w:val="0"/>
        <w:ind w:left="0"/>
        <w:contextualSpacing w:val="0"/>
        <w:rPr>
          <w:rFonts w:cs="Arial"/>
          <w:bCs/>
          <w:iCs/>
          <w:szCs w:val="20"/>
          <w:lang w:val="pt-BR"/>
        </w:rPr>
      </w:pPr>
    </w:p>
    <w:p w14:paraId="6C1FA705" w14:textId="4F4BE117" w:rsidR="00D81AA1" w:rsidRPr="00D5464D" w:rsidRDefault="00470ADC" w:rsidP="00D81AA1">
      <w:pPr>
        <w:pStyle w:val="Prrafodelista"/>
        <w:numPr>
          <w:ilvl w:val="0"/>
          <w:numId w:val="1"/>
        </w:numPr>
        <w:autoSpaceDE w:val="0"/>
        <w:autoSpaceDN w:val="0"/>
        <w:adjustRightInd w:val="0"/>
        <w:contextualSpacing w:val="0"/>
        <w:rPr>
          <w:rFonts w:cs="Arial"/>
          <w:bCs/>
          <w:iCs/>
          <w:szCs w:val="20"/>
          <w:lang w:val="pt-BR"/>
        </w:rPr>
      </w:pPr>
      <w:r w:rsidRPr="00D5464D">
        <w:rPr>
          <w:rFonts w:cs="Arial"/>
          <w:bCs/>
          <w:iCs/>
          <w:szCs w:val="20"/>
          <w:lang w:val="pt-BR"/>
        </w:rPr>
        <w:t xml:space="preserve">A </w:t>
      </w:r>
      <w:r w:rsidR="00D81AA1" w:rsidRPr="00D5464D">
        <w:rPr>
          <w:rFonts w:cs="Arial"/>
          <w:bCs/>
          <w:iCs/>
          <w:szCs w:val="20"/>
          <w:lang w:val="pt-BR"/>
        </w:rPr>
        <w:t>Corte considera que</w:t>
      </w:r>
      <w:r w:rsidR="002C330E" w:rsidRPr="00D5464D">
        <w:rPr>
          <w:rFonts w:cs="Arial"/>
          <w:bCs/>
          <w:iCs/>
          <w:szCs w:val="20"/>
          <w:lang w:val="pt-BR"/>
        </w:rPr>
        <w:t xml:space="preserve"> a </w:t>
      </w:r>
      <w:r w:rsidR="00737270" w:rsidRPr="00D5464D">
        <w:rPr>
          <w:rFonts w:cs="Arial"/>
          <w:bCs/>
          <w:iCs/>
          <w:szCs w:val="20"/>
          <w:lang w:val="pt-BR"/>
        </w:rPr>
        <w:t>ação</w:t>
      </w:r>
      <w:r w:rsidR="00D81AA1" w:rsidRPr="00D5464D">
        <w:rPr>
          <w:rFonts w:cs="Arial"/>
          <w:bCs/>
          <w:iCs/>
          <w:szCs w:val="20"/>
          <w:lang w:val="pt-BR"/>
        </w:rPr>
        <w:t xml:space="preserve"> penal </w:t>
      </w:r>
      <w:r w:rsidR="00D81AA1" w:rsidRPr="00D5464D">
        <w:rPr>
          <w:rFonts w:cs="Arial"/>
          <w:szCs w:val="20"/>
          <w:lang w:val="pt-BR"/>
        </w:rPr>
        <w:t xml:space="preserve">de 1997 </w:t>
      </w:r>
      <w:r w:rsidR="00C91CB1" w:rsidRPr="00D5464D">
        <w:rPr>
          <w:rFonts w:cs="Arial"/>
          <w:szCs w:val="20"/>
          <w:lang w:val="pt-BR"/>
        </w:rPr>
        <w:t>deveria</w:t>
      </w:r>
      <w:r w:rsidR="00D81AA1" w:rsidRPr="00D5464D">
        <w:rPr>
          <w:rFonts w:cs="Arial"/>
          <w:szCs w:val="20"/>
          <w:lang w:val="pt-BR"/>
        </w:rPr>
        <w:t xml:space="preserve"> atender</w:t>
      </w:r>
      <w:r w:rsidRPr="00D5464D">
        <w:rPr>
          <w:rFonts w:cs="Arial"/>
          <w:szCs w:val="20"/>
          <w:lang w:val="pt-BR"/>
        </w:rPr>
        <w:t xml:space="preserve"> com </w:t>
      </w:r>
      <w:r w:rsidR="00D81AA1" w:rsidRPr="00D5464D">
        <w:rPr>
          <w:rFonts w:cs="Arial"/>
          <w:szCs w:val="20"/>
          <w:lang w:val="pt-BR"/>
        </w:rPr>
        <w:t xml:space="preserve">especial </w:t>
      </w:r>
      <w:r w:rsidRPr="00D5464D">
        <w:rPr>
          <w:rFonts w:cs="Arial"/>
          <w:szCs w:val="20"/>
          <w:lang w:val="pt-BR"/>
        </w:rPr>
        <w:t>diligência</w:t>
      </w:r>
      <w:r w:rsidR="002C330E" w:rsidRPr="00D5464D">
        <w:rPr>
          <w:rFonts w:cs="Arial"/>
          <w:szCs w:val="20"/>
          <w:lang w:val="pt-BR"/>
        </w:rPr>
        <w:t xml:space="preserve"> os fatos</w:t>
      </w:r>
      <w:r w:rsidR="00D81AA1" w:rsidRPr="00D5464D">
        <w:rPr>
          <w:rFonts w:cs="Arial"/>
          <w:szCs w:val="20"/>
          <w:lang w:val="pt-BR"/>
        </w:rPr>
        <w:t xml:space="preserve"> denunciados.</w:t>
      </w:r>
      <w:r w:rsidR="002C330E" w:rsidRPr="00D5464D">
        <w:rPr>
          <w:rFonts w:cs="Arial"/>
          <w:szCs w:val="20"/>
          <w:lang w:val="pt-BR"/>
        </w:rPr>
        <w:t xml:space="preserve"> </w:t>
      </w:r>
      <w:r w:rsidR="0083397D" w:rsidRPr="00D5464D">
        <w:rPr>
          <w:rFonts w:cs="Arial"/>
          <w:szCs w:val="20"/>
          <w:lang w:val="pt-BR"/>
        </w:rPr>
        <w:t>A</w:t>
      </w:r>
      <w:r w:rsidR="002C330E" w:rsidRPr="00D5464D">
        <w:rPr>
          <w:rFonts w:cs="Arial"/>
          <w:szCs w:val="20"/>
          <w:lang w:val="pt-BR"/>
        </w:rPr>
        <w:t xml:space="preserve">o </w:t>
      </w:r>
      <w:r w:rsidR="00737270" w:rsidRPr="00D5464D">
        <w:rPr>
          <w:rFonts w:cs="Arial"/>
          <w:szCs w:val="20"/>
          <w:lang w:val="pt-BR"/>
        </w:rPr>
        <w:t>contrário,</w:t>
      </w:r>
      <w:r w:rsidR="00D81AA1" w:rsidRPr="00D5464D">
        <w:rPr>
          <w:rFonts w:cs="Arial"/>
          <w:szCs w:val="20"/>
          <w:lang w:val="pt-BR"/>
        </w:rPr>
        <w:t xml:space="preserve"> su</w:t>
      </w:r>
      <w:r w:rsidR="0083397D" w:rsidRPr="00D5464D">
        <w:rPr>
          <w:rFonts w:cs="Arial"/>
          <w:szCs w:val="20"/>
          <w:lang w:val="pt-BR"/>
        </w:rPr>
        <w:t>a</w:t>
      </w:r>
      <w:r w:rsidR="00D81AA1" w:rsidRPr="00D5464D">
        <w:rPr>
          <w:rFonts w:cs="Arial"/>
          <w:szCs w:val="20"/>
          <w:lang w:val="pt-BR"/>
        </w:rPr>
        <w:t xml:space="preserve"> l</w:t>
      </w:r>
      <w:r w:rsidR="0083397D" w:rsidRPr="00D5464D">
        <w:rPr>
          <w:rFonts w:cs="Arial"/>
          <w:szCs w:val="20"/>
          <w:lang w:val="pt-BR"/>
        </w:rPr>
        <w:t xml:space="preserve">onga </w:t>
      </w:r>
      <w:r w:rsidR="00D81AA1" w:rsidRPr="00D5464D">
        <w:rPr>
          <w:rFonts w:cs="Arial"/>
          <w:szCs w:val="20"/>
          <w:lang w:val="pt-BR"/>
        </w:rPr>
        <w:t>dura</w:t>
      </w:r>
      <w:r w:rsidRPr="00D5464D">
        <w:rPr>
          <w:rFonts w:cs="Arial"/>
          <w:szCs w:val="20"/>
          <w:lang w:val="pt-BR"/>
        </w:rPr>
        <w:t>ção</w:t>
      </w:r>
      <w:r w:rsidR="0083397D" w:rsidRPr="00D5464D">
        <w:rPr>
          <w:rFonts w:cs="Arial"/>
          <w:szCs w:val="20"/>
          <w:lang w:val="pt-BR"/>
        </w:rPr>
        <w:t>,</w:t>
      </w:r>
      <w:r w:rsidR="00D81AA1" w:rsidRPr="00D5464D">
        <w:rPr>
          <w:rFonts w:cs="Arial"/>
          <w:szCs w:val="20"/>
          <w:lang w:val="pt-BR"/>
        </w:rPr>
        <w:t xml:space="preserve"> </w:t>
      </w:r>
      <w:r w:rsidR="0083397D" w:rsidRPr="00D5464D">
        <w:rPr>
          <w:rFonts w:cs="Arial"/>
          <w:szCs w:val="20"/>
          <w:lang w:val="pt-BR"/>
        </w:rPr>
        <w:t xml:space="preserve">em razão de </w:t>
      </w:r>
      <w:r w:rsidR="00D81AA1" w:rsidRPr="00D5464D">
        <w:rPr>
          <w:rFonts w:cs="Arial"/>
          <w:szCs w:val="20"/>
          <w:lang w:val="pt-BR"/>
        </w:rPr>
        <w:t>aspectos atribu</w:t>
      </w:r>
      <w:r w:rsidR="002C330E" w:rsidRPr="00D5464D">
        <w:rPr>
          <w:rFonts w:cs="Arial"/>
          <w:szCs w:val="20"/>
          <w:lang w:val="pt-BR"/>
        </w:rPr>
        <w:t>íveis</w:t>
      </w:r>
      <w:r w:rsidR="00E045D9" w:rsidRPr="00D5464D">
        <w:rPr>
          <w:rFonts w:cs="Arial"/>
          <w:szCs w:val="20"/>
          <w:lang w:val="pt-BR"/>
        </w:rPr>
        <w:t xml:space="preserve"> às </w:t>
      </w:r>
      <w:r w:rsidR="00D81AA1" w:rsidRPr="00D5464D">
        <w:rPr>
          <w:rFonts w:cs="Arial"/>
          <w:szCs w:val="20"/>
          <w:lang w:val="pt-BR"/>
        </w:rPr>
        <w:t xml:space="preserve">autoridades </w:t>
      </w:r>
      <w:r w:rsidR="002C330E" w:rsidRPr="00D5464D">
        <w:rPr>
          <w:rFonts w:cs="Arial"/>
          <w:szCs w:val="20"/>
          <w:lang w:val="pt-BR"/>
        </w:rPr>
        <w:t>judiciais</w:t>
      </w:r>
      <w:r w:rsidR="0083397D" w:rsidRPr="00D5464D">
        <w:rPr>
          <w:rFonts w:cs="Arial"/>
          <w:szCs w:val="20"/>
          <w:lang w:val="pt-BR"/>
        </w:rPr>
        <w:t>,</w:t>
      </w:r>
      <w:r w:rsidR="00D81AA1" w:rsidRPr="00D5464D">
        <w:rPr>
          <w:rFonts w:cs="Arial"/>
          <w:szCs w:val="20"/>
          <w:lang w:val="pt-BR"/>
        </w:rPr>
        <w:t xml:space="preserve"> </w:t>
      </w:r>
      <w:r w:rsidR="005A2291" w:rsidRPr="00D5464D">
        <w:rPr>
          <w:rFonts w:cs="Arial"/>
          <w:szCs w:val="20"/>
          <w:lang w:val="pt-BR"/>
        </w:rPr>
        <w:t xml:space="preserve">inviabilizou </w:t>
      </w:r>
      <w:r w:rsidR="00A1358C" w:rsidRPr="00D5464D">
        <w:rPr>
          <w:rFonts w:cs="Arial"/>
          <w:szCs w:val="20"/>
          <w:lang w:val="pt-BR"/>
        </w:rPr>
        <w:t>a análise</w:t>
      </w:r>
      <w:r w:rsidR="00D81AA1" w:rsidRPr="00D5464D">
        <w:rPr>
          <w:rFonts w:cs="Arial"/>
          <w:szCs w:val="20"/>
          <w:lang w:val="pt-BR"/>
        </w:rPr>
        <w:t xml:space="preserve"> </w:t>
      </w:r>
      <w:r w:rsidRPr="00D5464D">
        <w:rPr>
          <w:rFonts w:cs="Arial"/>
          <w:szCs w:val="20"/>
          <w:lang w:val="pt-BR"/>
        </w:rPr>
        <w:t xml:space="preserve">do </w:t>
      </w:r>
      <w:r w:rsidR="00D81AA1" w:rsidRPr="00D5464D">
        <w:rPr>
          <w:rFonts w:cs="Arial"/>
          <w:szCs w:val="20"/>
          <w:lang w:val="pt-BR"/>
        </w:rPr>
        <w:t>caso</w:t>
      </w:r>
      <w:r w:rsidR="00A1358C" w:rsidRPr="00D5464D">
        <w:rPr>
          <w:rFonts w:cs="Arial"/>
          <w:szCs w:val="20"/>
          <w:lang w:val="pt-BR"/>
        </w:rPr>
        <w:t xml:space="preserve">. A </w:t>
      </w:r>
      <w:r w:rsidR="00D81AA1" w:rsidRPr="00D5464D">
        <w:rPr>
          <w:rFonts w:cs="Arial"/>
          <w:szCs w:val="20"/>
          <w:lang w:val="pt-BR"/>
        </w:rPr>
        <w:t>Corte destaca que</w:t>
      </w:r>
      <w:r w:rsidRPr="00D5464D">
        <w:rPr>
          <w:rFonts w:cs="Arial"/>
          <w:szCs w:val="20"/>
          <w:lang w:val="pt-BR"/>
        </w:rPr>
        <w:t xml:space="preserve"> o </w:t>
      </w:r>
      <w:r w:rsidR="002C330E" w:rsidRPr="00D5464D">
        <w:rPr>
          <w:rFonts w:cs="Arial"/>
          <w:szCs w:val="20"/>
          <w:lang w:val="pt-BR"/>
        </w:rPr>
        <w:t>Ministério</w:t>
      </w:r>
      <w:r w:rsidR="00D81AA1" w:rsidRPr="00D5464D">
        <w:rPr>
          <w:rFonts w:cs="Arial"/>
          <w:szCs w:val="20"/>
          <w:lang w:val="pt-BR"/>
        </w:rPr>
        <w:t xml:space="preserve"> Público</w:t>
      </w:r>
      <w:r w:rsidR="000631F4" w:rsidRPr="00D5464D">
        <w:rPr>
          <w:rFonts w:cs="Arial"/>
          <w:szCs w:val="20"/>
          <w:lang w:val="pt-BR"/>
        </w:rPr>
        <w:t>,</w:t>
      </w:r>
      <w:r w:rsidRPr="00D5464D">
        <w:rPr>
          <w:rFonts w:cs="Arial"/>
          <w:szCs w:val="20"/>
          <w:lang w:val="pt-BR"/>
        </w:rPr>
        <w:t xml:space="preserve"> em </w:t>
      </w:r>
      <w:r w:rsidR="0083397D" w:rsidRPr="00D5464D">
        <w:rPr>
          <w:rFonts w:cs="Arial"/>
          <w:szCs w:val="20"/>
          <w:lang w:val="pt-BR"/>
        </w:rPr>
        <w:t xml:space="preserve">seu pedido </w:t>
      </w:r>
      <w:r w:rsidR="00D81AA1" w:rsidRPr="00D5464D">
        <w:rPr>
          <w:rFonts w:cs="Arial"/>
          <w:szCs w:val="20"/>
          <w:lang w:val="pt-BR"/>
        </w:rPr>
        <w:t>de declara</w:t>
      </w:r>
      <w:r w:rsidRPr="00D5464D">
        <w:rPr>
          <w:rFonts w:cs="Arial"/>
          <w:szCs w:val="20"/>
          <w:lang w:val="pt-BR"/>
        </w:rPr>
        <w:t>ção</w:t>
      </w:r>
      <w:r w:rsidR="00D81AA1" w:rsidRPr="00D5464D">
        <w:rPr>
          <w:rFonts w:cs="Arial"/>
          <w:szCs w:val="20"/>
          <w:lang w:val="pt-BR"/>
        </w:rPr>
        <w:t xml:space="preserve"> de </w:t>
      </w:r>
      <w:r w:rsidR="002C330E" w:rsidRPr="00D5464D">
        <w:rPr>
          <w:rFonts w:cs="Arial"/>
          <w:szCs w:val="20"/>
          <w:lang w:val="pt-BR"/>
        </w:rPr>
        <w:t>prescrição</w:t>
      </w:r>
      <w:r w:rsidR="00D81AA1" w:rsidRPr="00D5464D">
        <w:rPr>
          <w:rFonts w:cs="Arial"/>
          <w:szCs w:val="20"/>
          <w:lang w:val="pt-BR"/>
        </w:rPr>
        <w:t xml:space="preserve">, </w:t>
      </w:r>
      <w:r w:rsidR="002C330E" w:rsidRPr="00D5464D">
        <w:rPr>
          <w:rFonts w:cs="Arial"/>
          <w:szCs w:val="20"/>
          <w:lang w:val="pt-BR"/>
        </w:rPr>
        <w:t>afirmou</w:t>
      </w:r>
      <w:r w:rsidR="00D81AA1" w:rsidRPr="00D5464D">
        <w:rPr>
          <w:rFonts w:cs="Arial"/>
          <w:szCs w:val="20"/>
          <w:lang w:val="pt-BR"/>
        </w:rPr>
        <w:t xml:space="preserve"> que “</w:t>
      </w:r>
      <w:r w:rsidR="0098078F" w:rsidRPr="00D5464D">
        <w:rPr>
          <w:rFonts w:cs="Arial"/>
          <w:szCs w:val="20"/>
          <w:lang w:val="pt-BR"/>
        </w:rPr>
        <w:t>ha[via</w:t>
      </w:r>
      <w:r w:rsidR="00D81AA1" w:rsidRPr="00D5464D">
        <w:rPr>
          <w:rFonts w:cs="Arial"/>
          <w:szCs w:val="20"/>
          <w:lang w:val="pt-BR"/>
        </w:rPr>
        <w:t xml:space="preserve">] </w:t>
      </w:r>
      <w:r w:rsidR="002C330E" w:rsidRPr="00D5464D">
        <w:rPr>
          <w:rFonts w:cs="Arial"/>
          <w:szCs w:val="20"/>
          <w:lang w:val="pt-BR"/>
        </w:rPr>
        <w:t>prova</w:t>
      </w:r>
      <w:r w:rsidR="00D81AA1" w:rsidRPr="00D5464D">
        <w:rPr>
          <w:rFonts w:cs="Arial"/>
          <w:szCs w:val="20"/>
          <w:lang w:val="pt-BR"/>
        </w:rPr>
        <w:t xml:space="preserve"> suficiente</w:t>
      </w:r>
      <w:r w:rsidRPr="00D5464D">
        <w:rPr>
          <w:rFonts w:cs="Arial"/>
          <w:szCs w:val="20"/>
          <w:lang w:val="pt-BR"/>
        </w:rPr>
        <w:t xml:space="preserve"> da </w:t>
      </w:r>
      <w:r w:rsidR="00D81AA1" w:rsidRPr="00D5464D">
        <w:rPr>
          <w:rFonts w:cs="Arial"/>
          <w:szCs w:val="20"/>
          <w:lang w:val="pt-BR"/>
        </w:rPr>
        <w:t>autor</w:t>
      </w:r>
      <w:r w:rsidR="0098078F" w:rsidRPr="00D5464D">
        <w:rPr>
          <w:rFonts w:cs="Arial"/>
          <w:szCs w:val="20"/>
          <w:lang w:val="pt-BR"/>
        </w:rPr>
        <w:t>i</w:t>
      </w:r>
      <w:r w:rsidR="00D81AA1" w:rsidRPr="00D5464D">
        <w:rPr>
          <w:rFonts w:cs="Arial"/>
          <w:szCs w:val="20"/>
          <w:lang w:val="pt-BR"/>
        </w:rPr>
        <w:t>a</w:t>
      </w:r>
      <w:r w:rsidRPr="00D5464D">
        <w:rPr>
          <w:rFonts w:cs="Arial"/>
          <w:szCs w:val="20"/>
          <w:lang w:val="pt-BR"/>
        </w:rPr>
        <w:t xml:space="preserve"> da </w:t>
      </w:r>
      <w:r w:rsidR="002C330E" w:rsidRPr="00D5464D">
        <w:rPr>
          <w:rFonts w:cs="Arial"/>
          <w:szCs w:val="20"/>
          <w:lang w:val="pt-BR"/>
        </w:rPr>
        <w:t>prática</w:t>
      </w:r>
      <w:r w:rsidRPr="00D5464D">
        <w:rPr>
          <w:rFonts w:cs="Arial"/>
          <w:szCs w:val="20"/>
          <w:lang w:val="pt-BR"/>
        </w:rPr>
        <w:t xml:space="preserve"> dos </w:t>
      </w:r>
      <w:r w:rsidR="00D81AA1" w:rsidRPr="00D5464D">
        <w:rPr>
          <w:rFonts w:cs="Arial"/>
          <w:szCs w:val="20"/>
          <w:lang w:val="pt-BR"/>
        </w:rPr>
        <w:t xml:space="preserve">delitos de </w:t>
      </w:r>
      <w:r w:rsidR="00737270" w:rsidRPr="00D5464D">
        <w:rPr>
          <w:rFonts w:cs="Arial"/>
          <w:szCs w:val="20"/>
          <w:lang w:val="pt-BR"/>
        </w:rPr>
        <w:t>redução</w:t>
      </w:r>
      <w:r w:rsidR="00D81AA1" w:rsidRPr="00D5464D">
        <w:rPr>
          <w:rFonts w:cs="Arial"/>
          <w:szCs w:val="20"/>
          <w:lang w:val="pt-BR"/>
        </w:rPr>
        <w:t xml:space="preserve"> a condi</w:t>
      </w:r>
      <w:r w:rsidRPr="00D5464D">
        <w:rPr>
          <w:rFonts w:cs="Arial"/>
          <w:szCs w:val="20"/>
          <w:lang w:val="pt-BR"/>
        </w:rPr>
        <w:t>ção</w:t>
      </w:r>
      <w:r w:rsidR="00D81AA1" w:rsidRPr="00D5464D">
        <w:rPr>
          <w:rFonts w:cs="Arial"/>
          <w:szCs w:val="20"/>
          <w:lang w:val="pt-BR"/>
        </w:rPr>
        <w:t xml:space="preserve"> análoga</w:t>
      </w:r>
      <w:r w:rsidRPr="00D5464D">
        <w:rPr>
          <w:rFonts w:cs="Arial"/>
          <w:szCs w:val="20"/>
          <w:lang w:val="pt-BR"/>
        </w:rPr>
        <w:t xml:space="preserve"> à </w:t>
      </w:r>
      <w:r w:rsidR="00D81AA1" w:rsidRPr="00D5464D">
        <w:rPr>
          <w:rFonts w:cs="Arial"/>
          <w:szCs w:val="20"/>
          <w:lang w:val="pt-BR"/>
        </w:rPr>
        <w:t xml:space="preserve">de </w:t>
      </w:r>
      <w:r w:rsidR="004F1CC2" w:rsidRPr="00D5464D">
        <w:rPr>
          <w:rFonts w:cs="Arial"/>
          <w:szCs w:val="20"/>
          <w:lang w:val="pt-BR"/>
        </w:rPr>
        <w:t>escravo</w:t>
      </w:r>
      <w:r w:rsidR="000631F4" w:rsidRPr="00D5464D">
        <w:rPr>
          <w:rFonts w:cs="Arial"/>
          <w:szCs w:val="20"/>
          <w:lang w:val="pt-BR"/>
        </w:rPr>
        <w:t xml:space="preserve"> […]</w:t>
      </w:r>
      <w:r w:rsidR="00D81AA1" w:rsidRPr="00D5464D">
        <w:rPr>
          <w:rFonts w:cs="Arial"/>
          <w:szCs w:val="20"/>
          <w:lang w:val="pt-BR"/>
        </w:rPr>
        <w:t>, atentado contra</w:t>
      </w:r>
      <w:r w:rsidR="002C330E" w:rsidRPr="00D5464D">
        <w:rPr>
          <w:rFonts w:cs="Arial"/>
          <w:szCs w:val="20"/>
          <w:lang w:val="pt-BR"/>
        </w:rPr>
        <w:t xml:space="preserve"> a liberdade </w:t>
      </w:r>
      <w:r w:rsidR="00D81AA1" w:rsidRPr="00D5464D">
        <w:rPr>
          <w:rFonts w:cs="Arial"/>
          <w:szCs w:val="20"/>
          <w:lang w:val="pt-BR"/>
        </w:rPr>
        <w:t xml:space="preserve">de </w:t>
      </w:r>
      <w:r w:rsidR="00E045D9" w:rsidRPr="00D5464D">
        <w:rPr>
          <w:rFonts w:cs="Arial"/>
          <w:szCs w:val="20"/>
          <w:lang w:val="pt-BR"/>
        </w:rPr>
        <w:t>trabalho</w:t>
      </w:r>
      <w:r w:rsidR="00D81AA1" w:rsidRPr="00D5464D">
        <w:rPr>
          <w:rFonts w:cs="Arial"/>
          <w:szCs w:val="20"/>
          <w:lang w:val="pt-BR"/>
        </w:rPr>
        <w:t xml:space="preserve"> </w:t>
      </w:r>
      <w:r w:rsidR="000631F4" w:rsidRPr="00D5464D">
        <w:rPr>
          <w:rFonts w:cs="Arial"/>
          <w:szCs w:val="20"/>
          <w:lang w:val="pt-BR"/>
        </w:rPr>
        <w:t>[…]</w:t>
      </w:r>
      <w:r w:rsidR="00E045D9" w:rsidRPr="00D5464D">
        <w:rPr>
          <w:rFonts w:cs="Arial"/>
          <w:szCs w:val="20"/>
          <w:lang w:val="pt-BR"/>
        </w:rPr>
        <w:t xml:space="preserve"> e </w:t>
      </w:r>
      <w:r w:rsidR="0098078F" w:rsidRPr="00D5464D">
        <w:rPr>
          <w:rFonts w:cs="Arial"/>
          <w:szCs w:val="20"/>
          <w:lang w:val="pt-BR"/>
        </w:rPr>
        <w:t>aliciamento</w:t>
      </w:r>
      <w:r w:rsidR="00D81AA1" w:rsidRPr="00D5464D">
        <w:rPr>
          <w:rFonts w:cs="Arial"/>
          <w:szCs w:val="20"/>
          <w:lang w:val="pt-BR"/>
        </w:rPr>
        <w:t xml:space="preserve"> ilegal de </w:t>
      </w:r>
      <w:r w:rsidR="00E045D9" w:rsidRPr="00D5464D">
        <w:rPr>
          <w:rFonts w:cs="Arial"/>
          <w:szCs w:val="20"/>
          <w:lang w:val="pt-BR"/>
        </w:rPr>
        <w:t>trabalhadores</w:t>
      </w:r>
      <w:r w:rsidR="00D81AA1" w:rsidRPr="00D5464D">
        <w:rPr>
          <w:rFonts w:cs="Arial"/>
          <w:szCs w:val="20"/>
          <w:lang w:val="pt-BR"/>
        </w:rPr>
        <w:t xml:space="preserve"> de</w:t>
      </w:r>
      <w:r w:rsidR="00E045D9" w:rsidRPr="00D5464D">
        <w:rPr>
          <w:rFonts w:cs="Arial"/>
          <w:szCs w:val="20"/>
          <w:lang w:val="pt-BR"/>
        </w:rPr>
        <w:t xml:space="preserve"> um </w:t>
      </w:r>
      <w:r w:rsidR="00D81AA1" w:rsidRPr="00D5464D">
        <w:rPr>
          <w:rFonts w:cs="Arial"/>
          <w:szCs w:val="20"/>
          <w:lang w:val="pt-BR"/>
        </w:rPr>
        <w:t>local para</w:t>
      </w:r>
      <w:r w:rsidR="002C330E" w:rsidRPr="00D5464D">
        <w:rPr>
          <w:rFonts w:cs="Arial"/>
          <w:szCs w:val="20"/>
          <w:lang w:val="pt-BR"/>
        </w:rPr>
        <w:t xml:space="preserve"> outro </w:t>
      </w:r>
      <w:r w:rsidRPr="00D5464D">
        <w:rPr>
          <w:rFonts w:cs="Arial"/>
          <w:szCs w:val="20"/>
          <w:lang w:val="pt-BR"/>
        </w:rPr>
        <w:t xml:space="preserve">do </w:t>
      </w:r>
      <w:r w:rsidR="00E045D9" w:rsidRPr="00D5464D">
        <w:rPr>
          <w:rFonts w:cs="Arial"/>
          <w:szCs w:val="20"/>
          <w:lang w:val="pt-BR"/>
        </w:rPr>
        <w:t>território</w:t>
      </w:r>
      <w:r w:rsidR="00D81AA1" w:rsidRPr="00D5464D">
        <w:rPr>
          <w:rFonts w:cs="Arial"/>
          <w:szCs w:val="20"/>
          <w:lang w:val="pt-BR"/>
        </w:rPr>
        <w:t xml:space="preserve"> nacional</w:t>
      </w:r>
      <w:r w:rsidR="000631F4" w:rsidRPr="00D5464D">
        <w:rPr>
          <w:rFonts w:cs="Arial"/>
          <w:szCs w:val="20"/>
          <w:lang w:val="pt-BR"/>
        </w:rPr>
        <w:t xml:space="preserve"> […]</w:t>
      </w:r>
      <w:r w:rsidR="00D81AA1" w:rsidRPr="00D5464D">
        <w:rPr>
          <w:rFonts w:cs="Arial"/>
          <w:szCs w:val="20"/>
          <w:lang w:val="pt-BR"/>
        </w:rPr>
        <w:t>, mediante</w:t>
      </w:r>
      <w:r w:rsidR="002C330E" w:rsidRPr="00D5464D">
        <w:rPr>
          <w:rFonts w:cs="Arial"/>
          <w:szCs w:val="20"/>
          <w:lang w:val="pt-BR"/>
        </w:rPr>
        <w:t xml:space="preserve"> a </w:t>
      </w:r>
      <w:r w:rsidR="0098078F" w:rsidRPr="00D5464D">
        <w:rPr>
          <w:rFonts w:cs="Arial"/>
          <w:szCs w:val="20"/>
          <w:lang w:val="pt-BR"/>
        </w:rPr>
        <w:t xml:space="preserve">apreensão </w:t>
      </w:r>
      <w:r w:rsidR="00D81AA1" w:rsidRPr="00D5464D">
        <w:rPr>
          <w:rFonts w:cs="Arial"/>
          <w:szCs w:val="20"/>
          <w:lang w:val="pt-BR"/>
        </w:rPr>
        <w:t xml:space="preserve">por </w:t>
      </w:r>
      <w:r w:rsidRPr="00D5464D">
        <w:rPr>
          <w:rFonts w:cs="Arial"/>
          <w:szCs w:val="20"/>
          <w:lang w:val="pt-BR"/>
        </w:rPr>
        <w:t>dívida</w:t>
      </w:r>
      <w:r w:rsidR="00D81AA1" w:rsidRPr="00D5464D">
        <w:rPr>
          <w:rFonts w:cs="Arial"/>
          <w:szCs w:val="20"/>
          <w:lang w:val="pt-BR"/>
        </w:rPr>
        <w:t>s”</w:t>
      </w:r>
      <w:r w:rsidR="00737270" w:rsidRPr="00D5464D">
        <w:rPr>
          <w:rFonts w:cs="Arial"/>
          <w:szCs w:val="20"/>
          <w:lang w:val="pt-BR"/>
        </w:rPr>
        <w:t>. No entanto</w:t>
      </w:r>
      <w:r w:rsidR="00D81AA1" w:rsidRPr="00D5464D">
        <w:rPr>
          <w:rFonts w:cs="Arial"/>
          <w:szCs w:val="20"/>
          <w:lang w:val="pt-BR"/>
        </w:rPr>
        <w:t>,</w:t>
      </w:r>
      <w:r w:rsidR="00737270" w:rsidRPr="00D5464D">
        <w:rPr>
          <w:rFonts w:cs="Arial"/>
          <w:szCs w:val="20"/>
          <w:lang w:val="pt-BR"/>
        </w:rPr>
        <w:t xml:space="preserve"> apesar </w:t>
      </w:r>
      <w:r w:rsidR="00D81AA1" w:rsidRPr="00D5464D">
        <w:rPr>
          <w:rFonts w:cs="Arial"/>
          <w:szCs w:val="20"/>
          <w:lang w:val="pt-BR"/>
        </w:rPr>
        <w:t xml:space="preserve">de </w:t>
      </w:r>
      <w:r w:rsidR="00967EF3" w:rsidRPr="00D5464D">
        <w:rPr>
          <w:rFonts w:cs="Arial"/>
          <w:szCs w:val="20"/>
          <w:lang w:val="pt-BR"/>
        </w:rPr>
        <w:t xml:space="preserve">serem conhecidas </w:t>
      </w:r>
      <w:r w:rsidRPr="00D5464D">
        <w:rPr>
          <w:rFonts w:cs="Arial"/>
          <w:szCs w:val="20"/>
          <w:lang w:val="pt-BR"/>
        </w:rPr>
        <w:t>esta</w:t>
      </w:r>
      <w:r w:rsidR="00D81AA1" w:rsidRPr="00D5464D">
        <w:rPr>
          <w:rFonts w:cs="Arial"/>
          <w:szCs w:val="20"/>
          <w:lang w:val="pt-BR"/>
        </w:rPr>
        <w:t>s condi</w:t>
      </w:r>
      <w:r w:rsidRPr="00D5464D">
        <w:rPr>
          <w:rFonts w:cs="Arial"/>
          <w:szCs w:val="20"/>
          <w:lang w:val="pt-BR"/>
        </w:rPr>
        <w:t>ções</w:t>
      </w:r>
      <w:r w:rsidR="00D81AA1" w:rsidRPr="00D5464D">
        <w:rPr>
          <w:rFonts w:cs="Arial"/>
          <w:szCs w:val="20"/>
          <w:lang w:val="pt-BR"/>
        </w:rPr>
        <w:t xml:space="preserve">, </w:t>
      </w:r>
      <w:r w:rsidR="00737270" w:rsidRPr="00D5464D">
        <w:rPr>
          <w:rFonts w:cs="Arial"/>
          <w:szCs w:val="20"/>
          <w:lang w:val="pt-BR"/>
        </w:rPr>
        <w:t>não realizou</w:t>
      </w:r>
      <w:r w:rsidRPr="00D5464D">
        <w:rPr>
          <w:rFonts w:cs="Arial"/>
          <w:szCs w:val="20"/>
          <w:lang w:val="pt-BR"/>
        </w:rPr>
        <w:t xml:space="preserve"> o </w:t>
      </w:r>
      <w:r w:rsidR="00D81AA1" w:rsidRPr="00D5464D">
        <w:rPr>
          <w:rFonts w:cs="Arial"/>
          <w:szCs w:val="20"/>
          <w:lang w:val="pt-BR"/>
        </w:rPr>
        <w:t xml:space="preserve">impulso </w:t>
      </w:r>
      <w:r w:rsidR="002C330E" w:rsidRPr="00D5464D">
        <w:rPr>
          <w:rFonts w:cs="Arial"/>
          <w:szCs w:val="20"/>
          <w:lang w:val="pt-BR"/>
        </w:rPr>
        <w:t>processual necessári</w:t>
      </w:r>
      <w:r w:rsidR="00D81AA1" w:rsidRPr="00D5464D">
        <w:rPr>
          <w:rFonts w:cs="Arial"/>
          <w:szCs w:val="20"/>
          <w:lang w:val="pt-BR"/>
        </w:rPr>
        <w:t>o para que</w:t>
      </w:r>
      <w:r w:rsidR="002C330E" w:rsidRPr="00D5464D">
        <w:rPr>
          <w:rFonts w:cs="Arial"/>
          <w:szCs w:val="20"/>
          <w:lang w:val="pt-BR"/>
        </w:rPr>
        <w:t xml:space="preserve"> as </w:t>
      </w:r>
      <w:r w:rsidR="00D81AA1" w:rsidRPr="00D5464D">
        <w:rPr>
          <w:rFonts w:cs="Arial"/>
          <w:szCs w:val="20"/>
          <w:lang w:val="pt-BR"/>
        </w:rPr>
        <w:t xml:space="preserve">autoridades </w:t>
      </w:r>
      <w:r w:rsidR="002C330E" w:rsidRPr="00D5464D">
        <w:rPr>
          <w:rFonts w:cs="Arial"/>
          <w:szCs w:val="20"/>
          <w:lang w:val="pt-BR"/>
        </w:rPr>
        <w:t>judiciais</w:t>
      </w:r>
      <w:r w:rsidR="00D81AA1" w:rsidRPr="00D5464D">
        <w:rPr>
          <w:rFonts w:cs="Arial"/>
          <w:szCs w:val="20"/>
          <w:lang w:val="pt-BR"/>
        </w:rPr>
        <w:t xml:space="preserve"> determina</w:t>
      </w:r>
      <w:r w:rsidR="00967EF3" w:rsidRPr="00D5464D">
        <w:rPr>
          <w:rFonts w:cs="Arial"/>
          <w:szCs w:val="20"/>
          <w:lang w:val="pt-BR"/>
        </w:rPr>
        <w:t>ssem</w:t>
      </w:r>
      <w:r w:rsidR="00D81AA1" w:rsidRPr="00D5464D">
        <w:rPr>
          <w:rFonts w:cs="Arial"/>
          <w:szCs w:val="20"/>
          <w:lang w:val="pt-BR"/>
        </w:rPr>
        <w:t xml:space="preserve"> </w:t>
      </w:r>
      <w:r w:rsidR="00967EF3" w:rsidRPr="00D5464D">
        <w:rPr>
          <w:rFonts w:cs="Arial"/>
          <w:szCs w:val="20"/>
          <w:lang w:val="pt-BR"/>
        </w:rPr>
        <w:t xml:space="preserve">as responsabilidades no caso </w:t>
      </w:r>
      <w:r w:rsidR="00D81AA1" w:rsidRPr="00D5464D">
        <w:rPr>
          <w:rFonts w:cs="Arial"/>
          <w:szCs w:val="20"/>
          <w:lang w:val="pt-BR"/>
        </w:rPr>
        <w:t>de forma pronta</w:t>
      </w:r>
      <w:r w:rsidR="00E045D9" w:rsidRPr="00D5464D">
        <w:rPr>
          <w:rFonts w:cs="Arial"/>
          <w:szCs w:val="20"/>
          <w:lang w:val="pt-BR"/>
        </w:rPr>
        <w:t xml:space="preserve"> e </w:t>
      </w:r>
      <w:r w:rsidR="00D81AA1" w:rsidRPr="00D5464D">
        <w:rPr>
          <w:rFonts w:cs="Arial"/>
          <w:szCs w:val="20"/>
          <w:lang w:val="pt-BR"/>
        </w:rPr>
        <w:t>expedita</w:t>
      </w:r>
      <w:r w:rsidR="002C330E" w:rsidRPr="00D5464D">
        <w:rPr>
          <w:rFonts w:cs="Arial"/>
          <w:szCs w:val="20"/>
          <w:lang w:val="pt-BR"/>
        </w:rPr>
        <w:t xml:space="preserve"> </w:t>
      </w:r>
      <w:r w:rsidR="00E045D9" w:rsidRPr="00D5464D">
        <w:rPr>
          <w:rFonts w:cs="Arial"/>
          <w:szCs w:val="20"/>
          <w:lang w:val="pt-BR"/>
        </w:rPr>
        <w:t xml:space="preserve">e </w:t>
      </w:r>
      <w:r w:rsidR="002C330E" w:rsidRPr="00D5464D">
        <w:rPr>
          <w:rFonts w:cs="Arial"/>
          <w:szCs w:val="20"/>
          <w:lang w:val="pt-BR"/>
        </w:rPr>
        <w:t xml:space="preserve">as </w:t>
      </w:r>
      <w:r w:rsidR="00D81AA1" w:rsidRPr="00D5464D">
        <w:rPr>
          <w:rFonts w:cs="Arial"/>
          <w:szCs w:val="20"/>
          <w:lang w:val="pt-BR"/>
        </w:rPr>
        <w:t>medidas para proteger</w:t>
      </w:r>
      <w:r w:rsidR="00E045D9" w:rsidRPr="00D5464D">
        <w:rPr>
          <w:rFonts w:cs="Arial"/>
          <w:szCs w:val="20"/>
          <w:lang w:val="pt-BR"/>
        </w:rPr>
        <w:t xml:space="preserve"> e </w:t>
      </w:r>
      <w:r w:rsidR="00D81AA1" w:rsidRPr="00D5464D">
        <w:rPr>
          <w:rFonts w:cs="Arial"/>
          <w:szCs w:val="20"/>
          <w:lang w:val="pt-BR"/>
        </w:rPr>
        <w:t>reparar</w:t>
      </w:r>
      <w:r w:rsidR="00E045D9" w:rsidRPr="00D5464D">
        <w:rPr>
          <w:rFonts w:cs="Arial"/>
          <w:szCs w:val="20"/>
          <w:lang w:val="pt-BR"/>
        </w:rPr>
        <w:t xml:space="preserve"> às vítima</w:t>
      </w:r>
      <w:r w:rsidR="00D81AA1" w:rsidRPr="00D5464D">
        <w:rPr>
          <w:rFonts w:cs="Arial"/>
          <w:szCs w:val="20"/>
          <w:lang w:val="pt-BR"/>
        </w:rPr>
        <w:t xml:space="preserve">s. </w:t>
      </w:r>
    </w:p>
    <w:p w14:paraId="155759A4" w14:textId="77777777" w:rsidR="00D81AA1" w:rsidRPr="00D5464D" w:rsidRDefault="00D81AA1" w:rsidP="00D81AA1">
      <w:pPr>
        <w:pStyle w:val="Prrafodelista"/>
        <w:rPr>
          <w:rFonts w:cs="Arial"/>
          <w:szCs w:val="20"/>
          <w:lang w:val="pt-BR"/>
        </w:rPr>
      </w:pPr>
    </w:p>
    <w:p w14:paraId="53169CF4" w14:textId="67216723" w:rsidR="00D81AA1" w:rsidRPr="00D5464D" w:rsidRDefault="00737270" w:rsidP="00D81AA1">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Por sua vez</w:t>
      </w:r>
      <w:r w:rsidR="00D81AA1" w:rsidRPr="00D5464D">
        <w:rPr>
          <w:rFonts w:cs="Arial"/>
          <w:szCs w:val="20"/>
          <w:lang w:val="pt-BR"/>
        </w:rPr>
        <w:t>,</w:t>
      </w:r>
      <w:r w:rsidR="002C330E" w:rsidRPr="00D5464D">
        <w:rPr>
          <w:rFonts w:cs="Arial"/>
          <w:szCs w:val="20"/>
          <w:lang w:val="pt-BR"/>
        </w:rPr>
        <w:t xml:space="preserve"> a </w:t>
      </w:r>
      <w:r w:rsidR="00470ADC" w:rsidRPr="00D5464D">
        <w:rPr>
          <w:rFonts w:cs="Arial"/>
          <w:szCs w:val="20"/>
          <w:lang w:val="pt-BR"/>
        </w:rPr>
        <w:t xml:space="preserve">autoridade </w:t>
      </w:r>
      <w:r w:rsidR="00D81AA1" w:rsidRPr="00D5464D">
        <w:rPr>
          <w:rFonts w:cs="Arial"/>
          <w:szCs w:val="20"/>
          <w:lang w:val="pt-BR"/>
        </w:rPr>
        <w:t xml:space="preserve">judicial </w:t>
      </w:r>
      <w:r w:rsidR="00470ADC" w:rsidRPr="00D5464D">
        <w:rPr>
          <w:rFonts w:cs="Arial"/>
          <w:szCs w:val="20"/>
          <w:lang w:val="pt-BR"/>
        </w:rPr>
        <w:t>considerou</w:t>
      </w:r>
      <w:r w:rsidR="00D81AA1" w:rsidRPr="00D5464D">
        <w:rPr>
          <w:rFonts w:cs="Arial"/>
          <w:szCs w:val="20"/>
          <w:lang w:val="pt-BR"/>
        </w:rPr>
        <w:t xml:space="preserve"> que</w:t>
      </w:r>
      <w:r w:rsidR="00470ADC" w:rsidRPr="00D5464D">
        <w:rPr>
          <w:rFonts w:cs="Arial"/>
          <w:szCs w:val="20"/>
          <w:lang w:val="pt-BR"/>
        </w:rPr>
        <w:t xml:space="preserve"> o </w:t>
      </w:r>
      <w:r w:rsidR="002C330E" w:rsidRPr="00D5464D">
        <w:rPr>
          <w:rFonts w:cs="Arial"/>
          <w:szCs w:val="20"/>
          <w:lang w:val="pt-BR"/>
        </w:rPr>
        <w:t>processo</w:t>
      </w:r>
      <w:r w:rsidR="00D81AA1" w:rsidRPr="00D5464D">
        <w:rPr>
          <w:rFonts w:cs="Arial"/>
          <w:szCs w:val="20"/>
          <w:lang w:val="pt-BR"/>
        </w:rPr>
        <w:t xml:space="preserve"> </w:t>
      </w:r>
      <w:r w:rsidR="002C330E" w:rsidRPr="00D5464D">
        <w:rPr>
          <w:rFonts w:cs="Arial"/>
          <w:szCs w:val="20"/>
          <w:lang w:val="pt-BR"/>
        </w:rPr>
        <w:t>havia</w:t>
      </w:r>
      <w:r w:rsidR="00D81AA1" w:rsidRPr="00D5464D">
        <w:rPr>
          <w:rFonts w:cs="Arial"/>
          <w:szCs w:val="20"/>
          <w:lang w:val="pt-BR"/>
        </w:rPr>
        <w:t xml:space="preserve"> </w:t>
      </w:r>
      <w:r w:rsidR="00B37C46" w:rsidRPr="00D5464D">
        <w:rPr>
          <w:rFonts w:cs="Arial"/>
          <w:szCs w:val="20"/>
          <w:lang w:val="pt-BR"/>
        </w:rPr>
        <w:t>“</w:t>
      </w:r>
      <w:r w:rsidR="00D81AA1" w:rsidRPr="00D5464D">
        <w:rPr>
          <w:rFonts w:cs="Arial"/>
          <w:szCs w:val="20"/>
          <w:lang w:val="pt-BR"/>
        </w:rPr>
        <w:t>na</w:t>
      </w:r>
      <w:r w:rsidR="0098078F" w:rsidRPr="00D5464D">
        <w:rPr>
          <w:rFonts w:cs="Arial"/>
          <w:szCs w:val="20"/>
          <w:lang w:val="pt-BR"/>
        </w:rPr>
        <w:t>s</w:t>
      </w:r>
      <w:r w:rsidR="00D81AA1" w:rsidRPr="00D5464D">
        <w:rPr>
          <w:rFonts w:cs="Arial"/>
          <w:szCs w:val="20"/>
          <w:lang w:val="pt-BR"/>
        </w:rPr>
        <w:t>cido condenado</w:t>
      </w:r>
      <w:r w:rsidR="00470ADC" w:rsidRPr="00D5464D">
        <w:rPr>
          <w:rFonts w:cs="Arial"/>
          <w:szCs w:val="20"/>
          <w:lang w:val="pt-BR"/>
        </w:rPr>
        <w:t xml:space="preserve"> ao </w:t>
      </w:r>
      <w:r w:rsidR="00D81AA1" w:rsidRPr="00D5464D">
        <w:rPr>
          <w:rFonts w:cs="Arial"/>
          <w:szCs w:val="20"/>
          <w:lang w:val="pt-BR"/>
        </w:rPr>
        <w:t>fracas</w:t>
      </w:r>
      <w:r w:rsidR="0098078F" w:rsidRPr="00D5464D">
        <w:rPr>
          <w:rFonts w:cs="Arial"/>
          <w:szCs w:val="20"/>
          <w:lang w:val="pt-BR"/>
        </w:rPr>
        <w:t>s</w:t>
      </w:r>
      <w:r w:rsidR="00D81AA1" w:rsidRPr="00D5464D">
        <w:rPr>
          <w:rFonts w:cs="Arial"/>
          <w:szCs w:val="20"/>
          <w:lang w:val="pt-BR"/>
        </w:rPr>
        <w:t>o</w:t>
      </w:r>
      <w:r w:rsidR="00B37C46" w:rsidRPr="00D5464D">
        <w:rPr>
          <w:rFonts w:cs="Arial"/>
          <w:szCs w:val="20"/>
          <w:lang w:val="pt-BR"/>
        </w:rPr>
        <w:t>”</w:t>
      </w:r>
      <w:r w:rsidR="00D81AA1" w:rsidRPr="00D5464D">
        <w:rPr>
          <w:rFonts w:cs="Arial"/>
          <w:szCs w:val="20"/>
          <w:lang w:val="pt-BR"/>
        </w:rPr>
        <w:t xml:space="preserve">, </w:t>
      </w:r>
      <w:r w:rsidR="00A1358C" w:rsidRPr="00D5464D">
        <w:rPr>
          <w:rFonts w:cs="Arial"/>
          <w:szCs w:val="20"/>
          <w:lang w:val="pt-BR"/>
        </w:rPr>
        <w:t>indicando</w:t>
      </w:r>
      <w:r w:rsidR="00D81AA1" w:rsidRPr="00D5464D">
        <w:rPr>
          <w:rFonts w:cs="Arial"/>
          <w:szCs w:val="20"/>
          <w:lang w:val="pt-BR"/>
        </w:rPr>
        <w:t xml:space="preserve"> que</w:t>
      </w:r>
      <w:r w:rsidR="00E30F8A" w:rsidRPr="00D5464D">
        <w:rPr>
          <w:rFonts w:cs="Arial"/>
          <w:szCs w:val="20"/>
          <w:lang w:val="pt-BR"/>
        </w:rPr>
        <w:t>,</w:t>
      </w:r>
      <w:r w:rsidR="00470ADC" w:rsidRPr="00D5464D">
        <w:rPr>
          <w:rFonts w:cs="Arial"/>
          <w:szCs w:val="20"/>
          <w:lang w:val="pt-BR"/>
        </w:rPr>
        <w:t xml:space="preserve"> com</w:t>
      </w:r>
      <w:r w:rsidR="002C330E" w:rsidRPr="00D5464D">
        <w:rPr>
          <w:rFonts w:cs="Arial"/>
          <w:szCs w:val="20"/>
          <w:lang w:val="pt-BR"/>
        </w:rPr>
        <w:t xml:space="preserve"> os </w:t>
      </w:r>
      <w:r w:rsidR="00D81AA1" w:rsidRPr="00D5464D">
        <w:rPr>
          <w:rFonts w:cs="Arial"/>
          <w:szCs w:val="20"/>
          <w:lang w:val="pt-BR"/>
        </w:rPr>
        <w:t xml:space="preserve">elementos </w:t>
      </w:r>
      <w:r w:rsidR="002C330E" w:rsidRPr="00D5464D">
        <w:rPr>
          <w:rFonts w:cs="Arial"/>
          <w:szCs w:val="20"/>
          <w:lang w:val="pt-BR"/>
        </w:rPr>
        <w:t>probatório</w:t>
      </w:r>
      <w:r w:rsidR="00D81AA1" w:rsidRPr="00D5464D">
        <w:rPr>
          <w:rFonts w:cs="Arial"/>
          <w:szCs w:val="20"/>
          <w:lang w:val="pt-BR"/>
        </w:rPr>
        <w:t>s</w:t>
      </w:r>
      <w:r w:rsidR="00470ADC" w:rsidRPr="00D5464D">
        <w:rPr>
          <w:rFonts w:cs="Arial"/>
          <w:szCs w:val="20"/>
          <w:lang w:val="pt-BR"/>
        </w:rPr>
        <w:t xml:space="preserve"> com </w:t>
      </w:r>
      <w:r w:rsidR="00D81AA1" w:rsidRPr="00D5464D">
        <w:rPr>
          <w:rFonts w:cs="Arial"/>
          <w:szCs w:val="20"/>
          <w:lang w:val="pt-BR"/>
        </w:rPr>
        <w:t xml:space="preserve">que </w:t>
      </w:r>
      <w:r w:rsidR="00470ADC" w:rsidRPr="00D5464D">
        <w:rPr>
          <w:rFonts w:cs="Arial"/>
          <w:szCs w:val="20"/>
          <w:lang w:val="pt-BR"/>
        </w:rPr>
        <w:t>contava</w:t>
      </w:r>
      <w:r w:rsidR="00E045D9" w:rsidRPr="00D5464D">
        <w:rPr>
          <w:rFonts w:cs="Arial"/>
          <w:szCs w:val="20"/>
          <w:lang w:val="pt-BR"/>
        </w:rPr>
        <w:t xml:space="preserve"> na </w:t>
      </w:r>
      <w:r w:rsidR="002C330E" w:rsidRPr="00D5464D">
        <w:rPr>
          <w:rFonts w:cs="Arial"/>
          <w:szCs w:val="20"/>
          <w:lang w:val="pt-BR"/>
        </w:rPr>
        <w:t>instrução</w:t>
      </w:r>
      <w:r w:rsidR="00D81AA1" w:rsidRPr="00D5464D">
        <w:rPr>
          <w:rFonts w:cs="Arial"/>
          <w:szCs w:val="20"/>
          <w:lang w:val="pt-BR"/>
        </w:rPr>
        <w:t xml:space="preserve"> criminal</w:t>
      </w:r>
      <w:r w:rsidR="00967EF3" w:rsidRPr="00D5464D">
        <w:rPr>
          <w:rFonts w:cs="Arial"/>
          <w:szCs w:val="20"/>
          <w:lang w:val="pt-BR"/>
        </w:rPr>
        <w:t xml:space="preserve">, seria </w:t>
      </w:r>
      <w:r w:rsidR="00D81AA1" w:rsidRPr="00D5464D">
        <w:rPr>
          <w:rFonts w:cs="Arial"/>
          <w:szCs w:val="20"/>
          <w:lang w:val="pt-BR"/>
        </w:rPr>
        <w:t>inútil continuar</w:t>
      </w:r>
      <w:r w:rsidR="00470ADC" w:rsidRPr="00D5464D">
        <w:rPr>
          <w:rFonts w:cs="Arial"/>
          <w:szCs w:val="20"/>
          <w:lang w:val="pt-BR"/>
        </w:rPr>
        <w:t xml:space="preserve"> com o </w:t>
      </w:r>
      <w:r w:rsidR="002C330E" w:rsidRPr="00D5464D">
        <w:rPr>
          <w:rFonts w:cs="Arial"/>
          <w:szCs w:val="20"/>
          <w:lang w:val="pt-BR"/>
        </w:rPr>
        <w:t>processo</w:t>
      </w:r>
      <w:r w:rsidR="00D81AA1" w:rsidRPr="00D5464D">
        <w:rPr>
          <w:rFonts w:cs="Arial"/>
          <w:szCs w:val="20"/>
          <w:lang w:val="pt-BR"/>
        </w:rPr>
        <w:t>, tomando</w:t>
      </w:r>
      <w:r w:rsidR="00470ADC" w:rsidRPr="00D5464D">
        <w:rPr>
          <w:rFonts w:cs="Arial"/>
          <w:szCs w:val="20"/>
          <w:lang w:val="pt-BR"/>
        </w:rPr>
        <w:t xml:space="preserve"> em conta</w:t>
      </w:r>
      <w:r w:rsidR="00967EF3" w:rsidRPr="00D5464D">
        <w:rPr>
          <w:rFonts w:cs="Arial"/>
          <w:szCs w:val="20"/>
          <w:lang w:val="pt-BR"/>
        </w:rPr>
        <w:t>,</w:t>
      </w:r>
      <w:r w:rsidR="00470ADC" w:rsidRPr="00D5464D">
        <w:rPr>
          <w:rFonts w:cs="Arial"/>
          <w:szCs w:val="20"/>
          <w:lang w:val="pt-BR"/>
        </w:rPr>
        <w:t xml:space="preserve"> ademais</w:t>
      </w:r>
      <w:r w:rsidR="00967EF3" w:rsidRPr="00D5464D">
        <w:rPr>
          <w:rFonts w:cs="Arial"/>
          <w:szCs w:val="20"/>
          <w:lang w:val="pt-BR"/>
        </w:rPr>
        <w:t>,</w:t>
      </w:r>
      <w:r w:rsidR="00D81AA1" w:rsidRPr="00D5464D">
        <w:rPr>
          <w:rFonts w:cs="Arial"/>
          <w:szCs w:val="20"/>
          <w:lang w:val="pt-BR"/>
        </w:rPr>
        <w:t xml:space="preserve"> </w:t>
      </w:r>
      <w:r w:rsidR="00470ADC" w:rsidRPr="00D5464D">
        <w:rPr>
          <w:rFonts w:cs="Arial"/>
          <w:szCs w:val="20"/>
          <w:lang w:val="pt-BR"/>
        </w:rPr>
        <w:t xml:space="preserve">“a </w:t>
      </w:r>
      <w:r w:rsidR="00D81AA1" w:rsidRPr="00D5464D">
        <w:rPr>
          <w:rFonts w:cs="Arial"/>
          <w:szCs w:val="20"/>
          <w:lang w:val="pt-BR"/>
        </w:rPr>
        <w:t xml:space="preserve">falta de </w:t>
      </w:r>
      <w:r w:rsidRPr="00D5464D">
        <w:rPr>
          <w:rFonts w:cs="Arial"/>
          <w:szCs w:val="20"/>
          <w:lang w:val="pt-BR"/>
        </w:rPr>
        <w:t>ação</w:t>
      </w:r>
      <w:r w:rsidR="00D81AA1" w:rsidRPr="00D5464D">
        <w:rPr>
          <w:rFonts w:cs="Arial"/>
          <w:szCs w:val="20"/>
          <w:lang w:val="pt-BR"/>
        </w:rPr>
        <w:t xml:space="preserve"> por parte </w:t>
      </w:r>
      <w:r w:rsidR="00470ADC" w:rsidRPr="00D5464D">
        <w:rPr>
          <w:rFonts w:cs="Arial"/>
          <w:szCs w:val="20"/>
          <w:lang w:val="pt-BR"/>
        </w:rPr>
        <w:t xml:space="preserve">do </w:t>
      </w:r>
      <w:r w:rsidR="00D81AA1" w:rsidRPr="00D5464D">
        <w:rPr>
          <w:rFonts w:cs="Arial"/>
          <w:szCs w:val="20"/>
          <w:lang w:val="pt-BR"/>
        </w:rPr>
        <w:t>Estado,</w:t>
      </w:r>
      <w:r w:rsidR="002C330E" w:rsidRPr="00D5464D">
        <w:rPr>
          <w:rFonts w:cs="Arial"/>
          <w:szCs w:val="20"/>
          <w:lang w:val="pt-BR"/>
        </w:rPr>
        <w:t xml:space="preserve"> a </w:t>
      </w:r>
      <w:r w:rsidR="00D81AA1" w:rsidRPr="00D5464D">
        <w:rPr>
          <w:rFonts w:cs="Arial"/>
          <w:szCs w:val="20"/>
          <w:lang w:val="pt-BR"/>
        </w:rPr>
        <w:t>política criminal</w:t>
      </w:r>
      <w:r w:rsidR="00E045D9" w:rsidRPr="00D5464D">
        <w:rPr>
          <w:rFonts w:cs="Arial"/>
          <w:szCs w:val="20"/>
          <w:lang w:val="pt-BR"/>
        </w:rPr>
        <w:t xml:space="preserve"> e </w:t>
      </w:r>
      <w:r w:rsidR="002C330E" w:rsidRPr="00D5464D">
        <w:rPr>
          <w:rFonts w:cs="Arial"/>
          <w:szCs w:val="20"/>
          <w:lang w:val="pt-BR"/>
        </w:rPr>
        <w:t xml:space="preserve">a </w:t>
      </w:r>
      <w:r w:rsidR="00230C71" w:rsidRPr="00D5464D">
        <w:rPr>
          <w:rFonts w:cs="Arial"/>
          <w:szCs w:val="20"/>
          <w:lang w:val="pt-BR"/>
        </w:rPr>
        <w:t>economia</w:t>
      </w:r>
      <w:r w:rsidR="00D81AA1" w:rsidRPr="00D5464D">
        <w:rPr>
          <w:rFonts w:cs="Arial"/>
          <w:szCs w:val="20"/>
          <w:lang w:val="pt-BR"/>
        </w:rPr>
        <w:t xml:space="preserve"> </w:t>
      </w:r>
      <w:r w:rsidR="00A1358C" w:rsidRPr="00D5464D">
        <w:rPr>
          <w:rFonts w:cs="Arial"/>
          <w:szCs w:val="20"/>
          <w:lang w:val="pt-BR"/>
        </w:rPr>
        <w:t>processual</w:t>
      </w:r>
      <w:r w:rsidR="00B37C46" w:rsidRPr="00D5464D">
        <w:rPr>
          <w:rFonts w:cs="Arial"/>
          <w:szCs w:val="20"/>
          <w:lang w:val="pt-BR"/>
        </w:rPr>
        <w:t>”</w:t>
      </w:r>
      <w:r w:rsidR="007C6E16" w:rsidRPr="00D5464D">
        <w:rPr>
          <w:rFonts w:cs="Arial"/>
          <w:szCs w:val="20"/>
          <w:lang w:val="pt-BR"/>
        </w:rPr>
        <w:t>.</w:t>
      </w:r>
      <w:r w:rsidR="002A2B23" w:rsidRPr="00D5464D">
        <w:rPr>
          <w:rStyle w:val="Refdenotaalpie"/>
          <w:lang w:val="pt-BR"/>
        </w:rPr>
        <w:footnoteReference w:id="504"/>
      </w:r>
    </w:p>
    <w:p w14:paraId="6C60EDD8" w14:textId="77777777" w:rsidR="00DE3E58" w:rsidRPr="00D5464D" w:rsidRDefault="00DE3E58" w:rsidP="00DE3E58">
      <w:pPr>
        <w:pStyle w:val="Prrafodelista"/>
        <w:autoSpaceDE w:val="0"/>
        <w:autoSpaceDN w:val="0"/>
        <w:adjustRightInd w:val="0"/>
        <w:ind w:left="0"/>
        <w:contextualSpacing w:val="0"/>
        <w:rPr>
          <w:rFonts w:cs="Arial"/>
          <w:szCs w:val="20"/>
          <w:lang w:val="pt-BR"/>
        </w:rPr>
      </w:pPr>
    </w:p>
    <w:p w14:paraId="238A608E" w14:textId="5CB7271C" w:rsidR="00D81AA1" w:rsidRPr="00D5464D" w:rsidRDefault="00470ADC" w:rsidP="00D81AA1">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 xml:space="preserve">O </w:t>
      </w:r>
      <w:r w:rsidR="002C330E" w:rsidRPr="00D5464D">
        <w:rPr>
          <w:rFonts w:cs="Arial"/>
          <w:bCs/>
          <w:iCs/>
          <w:szCs w:val="20"/>
          <w:lang w:val="pt-BR"/>
        </w:rPr>
        <w:t>processo</w:t>
      </w:r>
      <w:r w:rsidR="00D81AA1" w:rsidRPr="00D5464D">
        <w:rPr>
          <w:rFonts w:cs="Arial"/>
          <w:bCs/>
          <w:iCs/>
          <w:szCs w:val="20"/>
          <w:lang w:val="pt-BR"/>
        </w:rPr>
        <w:t xml:space="preserve"> penal de 1997 </w:t>
      </w:r>
      <w:r w:rsidR="00350187" w:rsidRPr="00D5464D">
        <w:rPr>
          <w:rFonts w:cs="Arial"/>
          <w:bCs/>
          <w:iCs/>
          <w:szCs w:val="20"/>
          <w:lang w:val="pt-BR"/>
        </w:rPr>
        <w:t>iniciou</w:t>
      </w:r>
      <w:r w:rsidR="00E045D9" w:rsidRPr="00D5464D">
        <w:rPr>
          <w:rFonts w:cs="Arial"/>
          <w:bCs/>
          <w:iCs/>
          <w:szCs w:val="20"/>
          <w:lang w:val="pt-BR"/>
        </w:rPr>
        <w:t xml:space="preserve"> e </w:t>
      </w:r>
      <w:r w:rsidR="00967EF3" w:rsidRPr="00D5464D">
        <w:rPr>
          <w:rFonts w:cs="Arial"/>
          <w:bCs/>
          <w:iCs/>
          <w:szCs w:val="20"/>
          <w:lang w:val="pt-BR"/>
        </w:rPr>
        <w:t xml:space="preserve">concluiu </w:t>
      </w:r>
      <w:r w:rsidR="002C330E" w:rsidRPr="00D5464D">
        <w:rPr>
          <w:rFonts w:cs="Arial"/>
          <w:bCs/>
          <w:iCs/>
          <w:szCs w:val="20"/>
          <w:lang w:val="pt-BR"/>
        </w:rPr>
        <w:t xml:space="preserve">sem </w:t>
      </w:r>
      <w:r w:rsidR="00D81AA1" w:rsidRPr="00D5464D">
        <w:rPr>
          <w:rFonts w:cs="Arial"/>
          <w:bCs/>
          <w:iCs/>
          <w:szCs w:val="20"/>
          <w:lang w:val="pt-BR"/>
        </w:rPr>
        <w:t xml:space="preserve">que </w:t>
      </w:r>
      <w:r w:rsidR="00967EF3" w:rsidRPr="00D5464D">
        <w:rPr>
          <w:rFonts w:cs="Arial"/>
          <w:bCs/>
          <w:iCs/>
          <w:szCs w:val="20"/>
          <w:lang w:val="pt-BR"/>
        </w:rPr>
        <w:t xml:space="preserve">fosse realmente analisado </w:t>
      </w:r>
      <w:r w:rsidRPr="00D5464D">
        <w:rPr>
          <w:rFonts w:cs="Arial"/>
          <w:bCs/>
          <w:iCs/>
          <w:szCs w:val="20"/>
          <w:lang w:val="pt-BR"/>
        </w:rPr>
        <w:t>o mérito</w:t>
      </w:r>
      <w:r w:rsidR="00D81AA1" w:rsidRPr="00D5464D">
        <w:rPr>
          <w:rFonts w:cs="Arial"/>
          <w:bCs/>
          <w:iCs/>
          <w:szCs w:val="20"/>
          <w:lang w:val="pt-BR"/>
        </w:rPr>
        <w:t xml:space="preserve"> </w:t>
      </w:r>
      <w:r w:rsidRPr="00D5464D">
        <w:rPr>
          <w:rFonts w:cs="Arial"/>
          <w:bCs/>
          <w:iCs/>
          <w:szCs w:val="20"/>
          <w:lang w:val="pt-BR"/>
        </w:rPr>
        <w:t>do assunto</w:t>
      </w:r>
      <w:r w:rsidR="00D81AA1" w:rsidRPr="00D5464D">
        <w:rPr>
          <w:rFonts w:cs="Arial"/>
          <w:bCs/>
          <w:iCs/>
          <w:szCs w:val="20"/>
          <w:lang w:val="pt-BR"/>
        </w:rPr>
        <w:t xml:space="preserve">, </w:t>
      </w:r>
      <w:r w:rsidR="00967EF3" w:rsidRPr="00D5464D">
        <w:rPr>
          <w:rFonts w:cs="Arial"/>
          <w:bCs/>
          <w:iCs/>
          <w:szCs w:val="20"/>
          <w:lang w:val="pt-BR"/>
        </w:rPr>
        <w:t xml:space="preserve">apesar da </w:t>
      </w:r>
      <w:r w:rsidR="00D81AA1" w:rsidRPr="00D5464D">
        <w:rPr>
          <w:rFonts w:cs="Arial"/>
          <w:bCs/>
          <w:iCs/>
          <w:szCs w:val="20"/>
          <w:lang w:val="pt-BR"/>
        </w:rPr>
        <w:t xml:space="preserve">extrema </w:t>
      </w:r>
      <w:r w:rsidR="002C330E" w:rsidRPr="00D5464D">
        <w:rPr>
          <w:rFonts w:cs="Arial"/>
          <w:bCs/>
          <w:iCs/>
          <w:szCs w:val="20"/>
          <w:lang w:val="pt-BR"/>
        </w:rPr>
        <w:t xml:space="preserve">gravidade </w:t>
      </w:r>
      <w:r w:rsidRPr="00D5464D">
        <w:rPr>
          <w:rFonts w:cs="Arial"/>
          <w:bCs/>
          <w:iCs/>
          <w:szCs w:val="20"/>
          <w:lang w:val="pt-BR"/>
        </w:rPr>
        <w:t xml:space="preserve">dos </w:t>
      </w:r>
      <w:r w:rsidR="002C330E" w:rsidRPr="00D5464D">
        <w:rPr>
          <w:rFonts w:cs="Arial"/>
          <w:bCs/>
          <w:iCs/>
          <w:szCs w:val="20"/>
          <w:lang w:val="pt-BR"/>
        </w:rPr>
        <w:t>fatos</w:t>
      </w:r>
      <w:r w:rsidR="00D81AA1" w:rsidRPr="00D5464D">
        <w:rPr>
          <w:rFonts w:cs="Arial"/>
          <w:bCs/>
          <w:iCs/>
          <w:szCs w:val="20"/>
          <w:lang w:val="pt-BR"/>
        </w:rPr>
        <w:t xml:space="preserve"> </w:t>
      </w:r>
      <w:r w:rsidR="00967EF3" w:rsidRPr="00D5464D">
        <w:rPr>
          <w:rFonts w:cs="Arial"/>
          <w:bCs/>
          <w:iCs/>
          <w:szCs w:val="20"/>
          <w:lang w:val="pt-BR"/>
        </w:rPr>
        <w:t>de que eram acusados</w:t>
      </w:r>
      <w:r w:rsidR="00D81AA1" w:rsidRPr="00D5464D">
        <w:rPr>
          <w:rFonts w:cs="Arial"/>
          <w:bCs/>
          <w:iCs/>
          <w:szCs w:val="20"/>
          <w:lang w:val="pt-BR"/>
        </w:rPr>
        <w:t xml:space="preserve">. </w:t>
      </w:r>
      <w:r w:rsidR="00967EF3" w:rsidRPr="00D5464D">
        <w:rPr>
          <w:rFonts w:cs="Arial"/>
          <w:bCs/>
          <w:iCs/>
          <w:szCs w:val="20"/>
          <w:lang w:val="pt-BR"/>
        </w:rPr>
        <w:t>Além</w:t>
      </w:r>
      <w:r w:rsidR="00D81AA1" w:rsidRPr="00D5464D">
        <w:rPr>
          <w:rFonts w:cs="Arial"/>
          <w:bCs/>
          <w:iCs/>
          <w:szCs w:val="20"/>
          <w:lang w:val="pt-BR"/>
        </w:rPr>
        <w:t xml:space="preserve"> </w:t>
      </w:r>
      <w:r w:rsidRPr="00D5464D">
        <w:rPr>
          <w:rFonts w:cs="Arial"/>
          <w:bCs/>
          <w:iCs/>
          <w:szCs w:val="20"/>
          <w:lang w:val="pt-BR"/>
        </w:rPr>
        <w:t>do conflito</w:t>
      </w:r>
      <w:r w:rsidR="00D81AA1" w:rsidRPr="00D5464D">
        <w:rPr>
          <w:rFonts w:cs="Arial"/>
          <w:bCs/>
          <w:iCs/>
          <w:szCs w:val="20"/>
          <w:lang w:val="pt-BR"/>
        </w:rPr>
        <w:t xml:space="preserve"> de </w:t>
      </w:r>
      <w:r w:rsidRPr="00D5464D">
        <w:rPr>
          <w:rFonts w:cs="Arial"/>
          <w:bCs/>
          <w:iCs/>
          <w:szCs w:val="20"/>
          <w:lang w:val="pt-BR"/>
        </w:rPr>
        <w:t>competência</w:t>
      </w:r>
      <w:r w:rsidR="00E045D9" w:rsidRPr="00D5464D">
        <w:rPr>
          <w:rFonts w:cs="Arial"/>
          <w:bCs/>
          <w:iCs/>
          <w:szCs w:val="20"/>
          <w:lang w:val="pt-BR"/>
        </w:rPr>
        <w:t xml:space="preserve"> e </w:t>
      </w:r>
      <w:r w:rsidR="00D81AA1" w:rsidRPr="00D5464D">
        <w:rPr>
          <w:rFonts w:cs="Arial"/>
          <w:bCs/>
          <w:iCs/>
          <w:szCs w:val="20"/>
          <w:lang w:val="pt-BR"/>
        </w:rPr>
        <w:t xml:space="preserve">de </w:t>
      </w:r>
      <w:r w:rsidR="002C330E" w:rsidRPr="00D5464D">
        <w:rPr>
          <w:rFonts w:cs="Arial"/>
          <w:bCs/>
          <w:iCs/>
          <w:szCs w:val="20"/>
          <w:lang w:val="pt-BR"/>
        </w:rPr>
        <w:t>outra</w:t>
      </w:r>
      <w:r w:rsidR="006109E5" w:rsidRPr="00D5464D">
        <w:rPr>
          <w:rFonts w:cs="Arial"/>
          <w:bCs/>
          <w:iCs/>
          <w:szCs w:val="20"/>
          <w:lang w:val="pt-BR"/>
        </w:rPr>
        <w:t xml:space="preserve">s </w:t>
      </w:r>
      <w:r w:rsidRPr="00D5464D">
        <w:rPr>
          <w:rFonts w:cs="Arial"/>
          <w:bCs/>
          <w:iCs/>
          <w:szCs w:val="20"/>
          <w:lang w:val="pt-BR"/>
        </w:rPr>
        <w:t>diligência</w:t>
      </w:r>
      <w:r w:rsidR="00D81AA1" w:rsidRPr="00D5464D">
        <w:rPr>
          <w:rFonts w:cs="Arial"/>
          <w:bCs/>
          <w:iCs/>
          <w:szCs w:val="20"/>
          <w:lang w:val="pt-BR"/>
        </w:rPr>
        <w:t>s,</w:t>
      </w:r>
      <w:r w:rsidRPr="00D5464D">
        <w:rPr>
          <w:rFonts w:cs="Arial"/>
          <w:bCs/>
          <w:iCs/>
          <w:szCs w:val="20"/>
          <w:lang w:val="pt-BR"/>
        </w:rPr>
        <w:t xml:space="preserve"> o </w:t>
      </w:r>
      <w:r w:rsidR="002C330E" w:rsidRPr="00D5464D">
        <w:rPr>
          <w:rFonts w:cs="Arial"/>
          <w:bCs/>
          <w:iCs/>
          <w:szCs w:val="20"/>
          <w:lang w:val="pt-BR"/>
        </w:rPr>
        <w:t>processo</w:t>
      </w:r>
      <w:r w:rsidR="00D81AA1" w:rsidRPr="00D5464D">
        <w:rPr>
          <w:rFonts w:cs="Arial"/>
          <w:bCs/>
          <w:iCs/>
          <w:szCs w:val="20"/>
          <w:lang w:val="pt-BR"/>
        </w:rPr>
        <w:t xml:space="preserve"> n</w:t>
      </w:r>
      <w:r w:rsidR="00967EF3" w:rsidRPr="00D5464D">
        <w:rPr>
          <w:rFonts w:cs="Arial"/>
          <w:bCs/>
          <w:iCs/>
          <w:szCs w:val="20"/>
          <w:lang w:val="pt-BR"/>
        </w:rPr>
        <w:t>ã</w:t>
      </w:r>
      <w:r w:rsidR="00D81AA1" w:rsidRPr="00D5464D">
        <w:rPr>
          <w:rFonts w:cs="Arial"/>
          <w:bCs/>
          <w:iCs/>
          <w:szCs w:val="20"/>
          <w:lang w:val="pt-BR"/>
        </w:rPr>
        <w:t xml:space="preserve">o </w:t>
      </w:r>
      <w:r w:rsidR="00A1358C" w:rsidRPr="00D5464D">
        <w:rPr>
          <w:rFonts w:cs="Arial"/>
          <w:bCs/>
          <w:iCs/>
          <w:szCs w:val="20"/>
          <w:lang w:val="pt-BR"/>
        </w:rPr>
        <w:t>analisou</w:t>
      </w:r>
      <w:r w:rsidR="002C330E" w:rsidRPr="00D5464D">
        <w:rPr>
          <w:rFonts w:cs="Arial"/>
          <w:bCs/>
          <w:iCs/>
          <w:szCs w:val="20"/>
          <w:lang w:val="pt-BR"/>
        </w:rPr>
        <w:t xml:space="preserve"> os fatos</w:t>
      </w:r>
      <w:r w:rsidR="00D81AA1" w:rsidRPr="00D5464D">
        <w:rPr>
          <w:rFonts w:cs="Arial"/>
          <w:bCs/>
          <w:iCs/>
          <w:szCs w:val="20"/>
          <w:lang w:val="pt-BR"/>
        </w:rPr>
        <w:t xml:space="preserve"> </w:t>
      </w:r>
      <w:r w:rsidRPr="00D5464D">
        <w:rPr>
          <w:rFonts w:cs="Arial"/>
          <w:bCs/>
          <w:iCs/>
          <w:szCs w:val="20"/>
          <w:lang w:val="pt-BR"/>
        </w:rPr>
        <w:t xml:space="preserve">do </w:t>
      </w:r>
      <w:r w:rsidR="00D81AA1" w:rsidRPr="00D5464D">
        <w:rPr>
          <w:rFonts w:cs="Arial"/>
          <w:bCs/>
          <w:iCs/>
          <w:szCs w:val="20"/>
          <w:lang w:val="pt-BR"/>
        </w:rPr>
        <w:t>caso</w:t>
      </w:r>
      <w:r w:rsidRPr="00D5464D">
        <w:rPr>
          <w:rFonts w:cs="Arial"/>
          <w:bCs/>
          <w:iCs/>
          <w:szCs w:val="20"/>
          <w:lang w:val="pt-BR"/>
        </w:rPr>
        <w:t>, e</w:t>
      </w:r>
      <w:r w:rsidR="00D81AA1" w:rsidRPr="00D5464D">
        <w:rPr>
          <w:rFonts w:cs="Arial"/>
          <w:bCs/>
          <w:iCs/>
          <w:szCs w:val="20"/>
          <w:lang w:val="pt-BR"/>
        </w:rPr>
        <w:t xml:space="preserve"> n</w:t>
      </w:r>
      <w:r w:rsidR="00967EF3" w:rsidRPr="00D5464D">
        <w:rPr>
          <w:rFonts w:cs="Arial"/>
          <w:bCs/>
          <w:iCs/>
          <w:szCs w:val="20"/>
          <w:lang w:val="pt-BR"/>
        </w:rPr>
        <w:t>ã</w:t>
      </w:r>
      <w:r w:rsidR="00D81AA1" w:rsidRPr="00D5464D">
        <w:rPr>
          <w:rFonts w:cs="Arial"/>
          <w:bCs/>
          <w:iCs/>
          <w:szCs w:val="20"/>
          <w:lang w:val="pt-BR"/>
        </w:rPr>
        <w:t>o re</w:t>
      </w:r>
      <w:r w:rsidR="002C330E" w:rsidRPr="00D5464D">
        <w:rPr>
          <w:rFonts w:cs="Arial"/>
          <w:bCs/>
          <w:iCs/>
          <w:szCs w:val="20"/>
          <w:lang w:val="pt-BR"/>
        </w:rPr>
        <w:t>presentou</w:t>
      </w:r>
      <w:r w:rsidR="00E045D9" w:rsidRPr="00D5464D">
        <w:rPr>
          <w:rFonts w:cs="Arial"/>
          <w:bCs/>
          <w:iCs/>
          <w:szCs w:val="20"/>
          <w:lang w:val="pt-BR"/>
        </w:rPr>
        <w:t xml:space="preserve"> um </w:t>
      </w:r>
      <w:r w:rsidR="00D81AA1" w:rsidRPr="00D5464D">
        <w:rPr>
          <w:rFonts w:cs="Arial"/>
          <w:bCs/>
          <w:iCs/>
          <w:szCs w:val="20"/>
          <w:lang w:val="pt-BR"/>
        </w:rPr>
        <w:t xml:space="preserve">mecanismo </w:t>
      </w:r>
      <w:r w:rsidRPr="00D5464D">
        <w:rPr>
          <w:rFonts w:cs="Arial"/>
          <w:bCs/>
          <w:iCs/>
          <w:szCs w:val="20"/>
          <w:lang w:val="pt-BR"/>
        </w:rPr>
        <w:t>efetiv</w:t>
      </w:r>
      <w:r w:rsidR="00D81AA1" w:rsidRPr="00D5464D">
        <w:rPr>
          <w:rFonts w:cs="Arial"/>
          <w:bCs/>
          <w:iCs/>
          <w:szCs w:val="20"/>
          <w:lang w:val="pt-BR"/>
        </w:rPr>
        <w:t xml:space="preserve">o para </w:t>
      </w:r>
      <w:r w:rsidRPr="00D5464D">
        <w:rPr>
          <w:rFonts w:cs="Arial"/>
          <w:bCs/>
          <w:iCs/>
          <w:szCs w:val="20"/>
          <w:lang w:val="pt-BR"/>
        </w:rPr>
        <w:t>analisar</w:t>
      </w:r>
      <w:r w:rsidR="002C330E" w:rsidRPr="00D5464D">
        <w:rPr>
          <w:rFonts w:cs="Arial"/>
          <w:bCs/>
          <w:iCs/>
          <w:szCs w:val="20"/>
          <w:lang w:val="pt-BR"/>
        </w:rPr>
        <w:t xml:space="preserve"> </w:t>
      </w:r>
      <w:r w:rsidR="001F2568" w:rsidRPr="00D5464D">
        <w:rPr>
          <w:rFonts w:cs="Arial"/>
          <w:bCs/>
          <w:iCs/>
          <w:szCs w:val="20"/>
          <w:lang w:val="pt-BR"/>
        </w:rPr>
        <w:t xml:space="preserve">o cometimento </w:t>
      </w:r>
      <w:r w:rsidRPr="00D5464D">
        <w:rPr>
          <w:rFonts w:cs="Arial"/>
          <w:szCs w:val="20"/>
          <w:lang w:val="pt-BR"/>
        </w:rPr>
        <w:t xml:space="preserve">do </w:t>
      </w:r>
      <w:r w:rsidR="00D81AA1" w:rsidRPr="00D5464D">
        <w:rPr>
          <w:rFonts w:cs="Arial"/>
          <w:szCs w:val="20"/>
          <w:lang w:val="pt-BR"/>
        </w:rPr>
        <w:t xml:space="preserve">delito de </w:t>
      </w:r>
      <w:r w:rsidR="00737270" w:rsidRPr="00D5464D">
        <w:rPr>
          <w:rFonts w:cs="Arial"/>
          <w:szCs w:val="20"/>
          <w:lang w:val="pt-BR"/>
        </w:rPr>
        <w:t>redução</w:t>
      </w:r>
      <w:r w:rsidR="00D81AA1" w:rsidRPr="00D5464D">
        <w:rPr>
          <w:rFonts w:cs="Arial"/>
          <w:szCs w:val="20"/>
          <w:lang w:val="pt-BR"/>
        </w:rPr>
        <w:t xml:space="preserve"> </w:t>
      </w:r>
      <w:r w:rsidR="00260035" w:rsidRPr="00D5464D">
        <w:rPr>
          <w:rFonts w:cs="Arial"/>
          <w:szCs w:val="20"/>
          <w:lang w:val="pt-BR"/>
        </w:rPr>
        <w:t>a condi</w:t>
      </w:r>
      <w:r w:rsidRPr="00D5464D">
        <w:rPr>
          <w:rFonts w:cs="Arial"/>
          <w:szCs w:val="20"/>
          <w:lang w:val="pt-BR"/>
        </w:rPr>
        <w:t>ção</w:t>
      </w:r>
      <w:r w:rsidR="00260035" w:rsidRPr="00D5464D">
        <w:rPr>
          <w:rFonts w:cs="Arial"/>
          <w:szCs w:val="20"/>
          <w:lang w:val="pt-BR"/>
        </w:rPr>
        <w:t xml:space="preserve"> </w:t>
      </w:r>
      <w:r w:rsidR="00D81AA1" w:rsidRPr="00D5464D">
        <w:rPr>
          <w:rFonts w:cs="Arial"/>
          <w:szCs w:val="20"/>
          <w:lang w:val="pt-BR"/>
        </w:rPr>
        <w:t>análoga</w:t>
      </w:r>
      <w:r w:rsidRPr="00D5464D">
        <w:rPr>
          <w:rFonts w:cs="Arial"/>
          <w:szCs w:val="20"/>
          <w:lang w:val="pt-BR"/>
        </w:rPr>
        <w:t xml:space="preserve"> à </w:t>
      </w:r>
      <w:r w:rsidR="00260035" w:rsidRPr="00D5464D">
        <w:rPr>
          <w:rFonts w:cs="Arial"/>
          <w:szCs w:val="20"/>
          <w:lang w:val="pt-BR"/>
        </w:rPr>
        <w:t xml:space="preserve">de </w:t>
      </w:r>
      <w:r w:rsidR="004F1CC2" w:rsidRPr="00D5464D">
        <w:rPr>
          <w:rFonts w:cs="Arial"/>
          <w:szCs w:val="20"/>
          <w:lang w:val="pt-BR"/>
        </w:rPr>
        <w:t>escravo</w:t>
      </w:r>
      <w:r w:rsidR="00D81AA1" w:rsidRPr="00D5464D">
        <w:rPr>
          <w:rFonts w:cs="Arial"/>
          <w:szCs w:val="20"/>
          <w:lang w:val="pt-BR"/>
        </w:rPr>
        <w:t xml:space="preserve"> previsto </w:t>
      </w:r>
      <w:r w:rsidR="001F2568" w:rsidRPr="00D5464D">
        <w:rPr>
          <w:rFonts w:cs="Arial"/>
          <w:szCs w:val="20"/>
          <w:lang w:val="pt-BR"/>
        </w:rPr>
        <w:t xml:space="preserve">à época </w:t>
      </w:r>
      <w:r w:rsidR="00E045D9" w:rsidRPr="00D5464D">
        <w:rPr>
          <w:rFonts w:cs="Arial"/>
          <w:szCs w:val="20"/>
          <w:lang w:val="pt-BR"/>
        </w:rPr>
        <w:t xml:space="preserve">no </w:t>
      </w:r>
      <w:r w:rsidRPr="00D5464D">
        <w:rPr>
          <w:rFonts w:cs="Arial"/>
          <w:szCs w:val="20"/>
          <w:lang w:val="pt-BR"/>
        </w:rPr>
        <w:t>artigo</w:t>
      </w:r>
      <w:r w:rsidR="00D81AA1" w:rsidRPr="00D5464D">
        <w:rPr>
          <w:rFonts w:cs="Arial"/>
          <w:szCs w:val="20"/>
          <w:lang w:val="pt-BR"/>
        </w:rPr>
        <w:t xml:space="preserve"> 149 </w:t>
      </w:r>
      <w:r w:rsidRPr="00D5464D">
        <w:rPr>
          <w:rFonts w:cs="Arial"/>
          <w:szCs w:val="20"/>
          <w:lang w:val="pt-BR"/>
        </w:rPr>
        <w:t xml:space="preserve">do </w:t>
      </w:r>
      <w:r w:rsidR="00BE60E8" w:rsidRPr="00D5464D">
        <w:rPr>
          <w:rFonts w:cs="Arial"/>
          <w:szCs w:val="20"/>
          <w:lang w:val="pt-BR"/>
        </w:rPr>
        <w:t xml:space="preserve">Código Penal </w:t>
      </w:r>
      <w:r w:rsidRPr="00D5464D">
        <w:rPr>
          <w:rFonts w:cs="Arial"/>
          <w:szCs w:val="20"/>
          <w:lang w:val="pt-BR"/>
        </w:rPr>
        <w:t>brasileir</w:t>
      </w:r>
      <w:r w:rsidR="00BE60E8" w:rsidRPr="00D5464D">
        <w:rPr>
          <w:rFonts w:cs="Arial"/>
          <w:szCs w:val="20"/>
          <w:lang w:val="pt-BR"/>
        </w:rPr>
        <w:t>o</w:t>
      </w:r>
      <w:r w:rsidR="00D81AA1" w:rsidRPr="00D5464D">
        <w:rPr>
          <w:rFonts w:cs="Arial"/>
          <w:szCs w:val="20"/>
          <w:lang w:val="pt-BR"/>
        </w:rPr>
        <w:t>,</w:t>
      </w:r>
      <w:r w:rsidR="002C330E" w:rsidRPr="00D5464D">
        <w:rPr>
          <w:rFonts w:cs="Arial"/>
          <w:szCs w:val="20"/>
          <w:lang w:val="pt-BR"/>
        </w:rPr>
        <w:t xml:space="preserve"> a responsabilidade </w:t>
      </w:r>
      <w:r w:rsidRPr="00D5464D">
        <w:rPr>
          <w:rFonts w:cs="Arial"/>
          <w:szCs w:val="20"/>
          <w:lang w:val="pt-BR"/>
        </w:rPr>
        <w:t xml:space="preserve">dos </w:t>
      </w:r>
      <w:r w:rsidR="00D81AA1" w:rsidRPr="00D5464D">
        <w:rPr>
          <w:rFonts w:cs="Arial"/>
          <w:szCs w:val="20"/>
          <w:lang w:val="pt-BR"/>
        </w:rPr>
        <w:t>denunciados</w:t>
      </w:r>
      <w:r w:rsidR="00E045D9" w:rsidRPr="00D5464D">
        <w:rPr>
          <w:rFonts w:cs="Arial"/>
          <w:szCs w:val="20"/>
          <w:lang w:val="pt-BR"/>
        </w:rPr>
        <w:t xml:space="preserve"> e </w:t>
      </w:r>
      <w:r w:rsidR="002C330E" w:rsidRPr="00D5464D">
        <w:rPr>
          <w:rFonts w:cs="Arial"/>
          <w:szCs w:val="20"/>
          <w:lang w:val="pt-BR"/>
        </w:rPr>
        <w:t xml:space="preserve">a </w:t>
      </w:r>
      <w:r w:rsidR="00D81AA1" w:rsidRPr="00D5464D">
        <w:rPr>
          <w:rFonts w:cs="Arial"/>
          <w:szCs w:val="20"/>
          <w:lang w:val="pt-BR"/>
        </w:rPr>
        <w:t>repara</w:t>
      </w:r>
      <w:r w:rsidRPr="00D5464D">
        <w:rPr>
          <w:rFonts w:cs="Arial"/>
          <w:szCs w:val="20"/>
          <w:lang w:val="pt-BR"/>
        </w:rPr>
        <w:t>ção</w:t>
      </w:r>
      <w:r w:rsidR="00E045D9" w:rsidRPr="00D5464D">
        <w:rPr>
          <w:rFonts w:cs="Arial"/>
          <w:szCs w:val="20"/>
          <w:lang w:val="pt-BR"/>
        </w:rPr>
        <w:t xml:space="preserve"> </w:t>
      </w:r>
      <w:r w:rsidR="001F2568" w:rsidRPr="00D5464D">
        <w:rPr>
          <w:rFonts w:cs="Arial"/>
          <w:szCs w:val="20"/>
          <w:lang w:val="pt-BR"/>
        </w:rPr>
        <w:t>da</w:t>
      </w:r>
      <w:r w:rsidR="00E045D9" w:rsidRPr="00D5464D">
        <w:rPr>
          <w:rFonts w:cs="Arial"/>
          <w:szCs w:val="20"/>
          <w:lang w:val="pt-BR"/>
        </w:rPr>
        <w:t>s vítima</w:t>
      </w:r>
      <w:r w:rsidR="00D81AA1" w:rsidRPr="00D5464D">
        <w:rPr>
          <w:rFonts w:cs="Arial"/>
          <w:szCs w:val="20"/>
          <w:lang w:val="pt-BR"/>
        </w:rPr>
        <w:t>s</w:t>
      </w:r>
      <w:r w:rsidR="00A1358C" w:rsidRPr="00D5464D">
        <w:rPr>
          <w:rFonts w:cs="Arial"/>
          <w:bCs/>
          <w:iCs/>
          <w:szCs w:val="20"/>
          <w:lang w:val="pt-BR"/>
        </w:rPr>
        <w:t xml:space="preserve">. A </w:t>
      </w:r>
      <w:r w:rsidR="00D81AA1" w:rsidRPr="00D5464D">
        <w:rPr>
          <w:rFonts w:cs="Arial"/>
          <w:bCs/>
          <w:iCs/>
          <w:szCs w:val="20"/>
          <w:lang w:val="pt-BR"/>
        </w:rPr>
        <w:t xml:space="preserve">única medida que </w:t>
      </w:r>
      <w:r w:rsidR="002C330E" w:rsidRPr="00D5464D">
        <w:rPr>
          <w:rFonts w:cs="Arial"/>
          <w:bCs/>
          <w:iCs/>
          <w:szCs w:val="20"/>
          <w:lang w:val="pt-BR"/>
        </w:rPr>
        <w:t>poderia</w:t>
      </w:r>
      <w:r w:rsidR="00D81AA1" w:rsidRPr="00D5464D">
        <w:rPr>
          <w:rFonts w:cs="Arial"/>
          <w:bCs/>
          <w:iCs/>
          <w:szCs w:val="20"/>
          <w:lang w:val="pt-BR"/>
        </w:rPr>
        <w:t xml:space="preserve"> </w:t>
      </w:r>
      <w:r w:rsidR="001F2568" w:rsidRPr="00D5464D">
        <w:rPr>
          <w:rFonts w:cs="Arial"/>
          <w:bCs/>
          <w:iCs/>
          <w:szCs w:val="20"/>
          <w:lang w:val="pt-BR"/>
        </w:rPr>
        <w:t xml:space="preserve">ser considerada como uma </w:t>
      </w:r>
      <w:r w:rsidR="009E04D5" w:rsidRPr="00D5464D">
        <w:rPr>
          <w:rFonts w:cs="Arial"/>
          <w:bCs/>
          <w:iCs/>
          <w:szCs w:val="20"/>
          <w:lang w:val="pt-BR"/>
        </w:rPr>
        <w:t xml:space="preserve">reparação </w:t>
      </w:r>
      <w:r w:rsidRPr="00D5464D">
        <w:rPr>
          <w:rFonts w:cs="Arial"/>
          <w:bCs/>
          <w:iCs/>
          <w:szCs w:val="20"/>
          <w:lang w:val="pt-BR"/>
        </w:rPr>
        <w:t>foi</w:t>
      </w:r>
      <w:r w:rsidR="002C330E" w:rsidRPr="00D5464D">
        <w:rPr>
          <w:rFonts w:cs="Arial"/>
          <w:bCs/>
          <w:iCs/>
          <w:szCs w:val="20"/>
          <w:lang w:val="pt-BR"/>
        </w:rPr>
        <w:t xml:space="preserve"> </w:t>
      </w:r>
      <w:r w:rsidR="001F2568" w:rsidRPr="00D5464D">
        <w:rPr>
          <w:rFonts w:cs="Arial"/>
          <w:bCs/>
          <w:iCs/>
          <w:szCs w:val="20"/>
          <w:lang w:val="pt-BR"/>
        </w:rPr>
        <w:t xml:space="preserve">o acordo realizado </w:t>
      </w:r>
      <w:r w:rsidRPr="00D5464D">
        <w:rPr>
          <w:rFonts w:cs="Arial"/>
          <w:bCs/>
          <w:iCs/>
          <w:szCs w:val="20"/>
          <w:lang w:val="pt-BR"/>
        </w:rPr>
        <w:t xml:space="preserve">com o </w:t>
      </w:r>
      <w:r w:rsidR="002C330E" w:rsidRPr="00D5464D">
        <w:rPr>
          <w:rFonts w:cs="Arial"/>
          <w:bCs/>
          <w:iCs/>
          <w:szCs w:val="20"/>
          <w:lang w:val="pt-BR"/>
        </w:rPr>
        <w:t xml:space="preserve">senhor </w:t>
      </w:r>
      <w:r w:rsidR="00D81AA1" w:rsidRPr="00D5464D">
        <w:rPr>
          <w:rFonts w:cs="Arial"/>
          <w:bCs/>
          <w:iCs/>
          <w:szCs w:val="20"/>
          <w:lang w:val="pt-BR"/>
        </w:rPr>
        <w:t>Quagliato Neto</w:t>
      </w:r>
      <w:r w:rsidR="00E045D9" w:rsidRPr="00D5464D">
        <w:rPr>
          <w:rFonts w:cs="Arial"/>
          <w:bCs/>
          <w:iCs/>
          <w:szCs w:val="20"/>
          <w:lang w:val="pt-BR"/>
        </w:rPr>
        <w:t xml:space="preserve"> e </w:t>
      </w:r>
      <w:r w:rsidRPr="00D5464D">
        <w:rPr>
          <w:rFonts w:cs="Arial"/>
          <w:bCs/>
          <w:iCs/>
          <w:szCs w:val="20"/>
          <w:lang w:val="pt-BR"/>
        </w:rPr>
        <w:t>consistiu</w:t>
      </w:r>
      <w:r w:rsidR="00E045D9" w:rsidRPr="00D5464D">
        <w:rPr>
          <w:rFonts w:cs="Arial"/>
          <w:bCs/>
          <w:iCs/>
          <w:szCs w:val="20"/>
          <w:lang w:val="pt-BR"/>
        </w:rPr>
        <w:t xml:space="preserve"> na </w:t>
      </w:r>
      <w:r w:rsidR="00D81AA1" w:rsidRPr="00D5464D">
        <w:rPr>
          <w:rFonts w:cs="Arial"/>
          <w:bCs/>
          <w:iCs/>
          <w:szCs w:val="20"/>
          <w:lang w:val="pt-BR"/>
        </w:rPr>
        <w:t xml:space="preserve">entrega de seis </w:t>
      </w:r>
      <w:r w:rsidR="001F2568" w:rsidRPr="00D5464D">
        <w:rPr>
          <w:rFonts w:cs="Arial"/>
          <w:bCs/>
          <w:iCs/>
          <w:szCs w:val="20"/>
          <w:lang w:val="pt-BR"/>
        </w:rPr>
        <w:t xml:space="preserve">cestas </w:t>
      </w:r>
      <w:r w:rsidR="00D81AA1" w:rsidRPr="00D5464D">
        <w:rPr>
          <w:rFonts w:cs="Arial"/>
          <w:bCs/>
          <w:iCs/>
          <w:szCs w:val="20"/>
          <w:lang w:val="pt-BR"/>
        </w:rPr>
        <w:t>básicas a</w:t>
      </w:r>
      <w:r w:rsidR="00E045D9" w:rsidRPr="00D5464D">
        <w:rPr>
          <w:rFonts w:cs="Arial"/>
          <w:bCs/>
          <w:iCs/>
          <w:szCs w:val="20"/>
          <w:lang w:val="pt-BR"/>
        </w:rPr>
        <w:t xml:space="preserve"> uma </w:t>
      </w:r>
      <w:r w:rsidR="00C91CB1" w:rsidRPr="00D5464D">
        <w:rPr>
          <w:rFonts w:cs="Arial"/>
          <w:bCs/>
          <w:iCs/>
          <w:szCs w:val="20"/>
          <w:lang w:val="pt-BR"/>
        </w:rPr>
        <w:t xml:space="preserve">entidade </w:t>
      </w:r>
      <w:r w:rsidR="001F2568" w:rsidRPr="00D5464D">
        <w:rPr>
          <w:rFonts w:cs="Arial"/>
          <w:bCs/>
          <w:iCs/>
          <w:szCs w:val="20"/>
          <w:lang w:val="pt-BR"/>
        </w:rPr>
        <w:t xml:space="preserve">beneficente </w:t>
      </w:r>
      <w:r w:rsidRPr="00D5464D">
        <w:rPr>
          <w:rFonts w:cs="Arial"/>
          <w:bCs/>
          <w:iCs/>
          <w:szCs w:val="20"/>
          <w:lang w:val="pt-BR"/>
        </w:rPr>
        <w:t xml:space="preserve">em </w:t>
      </w:r>
      <w:r w:rsidR="00D81AA1" w:rsidRPr="00D5464D">
        <w:rPr>
          <w:rFonts w:cs="Arial"/>
          <w:bCs/>
          <w:iCs/>
          <w:szCs w:val="20"/>
          <w:lang w:val="pt-BR"/>
        </w:rPr>
        <w:t xml:space="preserve">São Paulo, </w:t>
      </w:r>
      <w:r w:rsidR="001F2568" w:rsidRPr="00D5464D">
        <w:rPr>
          <w:rFonts w:cs="Arial"/>
          <w:bCs/>
          <w:iCs/>
          <w:szCs w:val="20"/>
          <w:lang w:val="pt-BR"/>
        </w:rPr>
        <w:t xml:space="preserve">em troca </w:t>
      </w:r>
      <w:r w:rsidRPr="00D5464D">
        <w:rPr>
          <w:rFonts w:cs="Arial"/>
          <w:bCs/>
          <w:iCs/>
          <w:szCs w:val="20"/>
          <w:lang w:val="pt-BR"/>
        </w:rPr>
        <w:t xml:space="preserve">da </w:t>
      </w:r>
      <w:r w:rsidR="00D81AA1" w:rsidRPr="00D5464D">
        <w:rPr>
          <w:rFonts w:cs="Arial"/>
          <w:bCs/>
          <w:iCs/>
          <w:szCs w:val="20"/>
          <w:lang w:val="pt-BR"/>
        </w:rPr>
        <w:t>sus</w:t>
      </w:r>
      <w:r w:rsidR="002C330E" w:rsidRPr="00D5464D">
        <w:rPr>
          <w:rFonts w:cs="Arial"/>
          <w:bCs/>
          <w:iCs/>
          <w:szCs w:val="20"/>
          <w:lang w:val="pt-BR"/>
        </w:rPr>
        <w:t>pensão</w:t>
      </w:r>
      <w:r w:rsidR="00D81AA1" w:rsidRPr="00D5464D">
        <w:rPr>
          <w:rFonts w:cs="Arial"/>
          <w:bCs/>
          <w:iCs/>
          <w:szCs w:val="20"/>
          <w:lang w:val="pt-BR"/>
        </w:rPr>
        <w:t xml:space="preserve"> </w:t>
      </w:r>
      <w:r w:rsidRPr="00D5464D">
        <w:rPr>
          <w:rFonts w:cs="Arial"/>
          <w:bCs/>
          <w:iCs/>
          <w:szCs w:val="20"/>
          <w:lang w:val="pt-BR"/>
        </w:rPr>
        <w:t xml:space="preserve">do </w:t>
      </w:r>
      <w:r w:rsidR="002C330E" w:rsidRPr="00D5464D">
        <w:rPr>
          <w:rFonts w:cs="Arial"/>
          <w:bCs/>
          <w:iCs/>
          <w:szCs w:val="20"/>
          <w:lang w:val="pt-BR"/>
        </w:rPr>
        <w:t>processo</w:t>
      </w:r>
      <w:r w:rsidRPr="00D5464D">
        <w:rPr>
          <w:rFonts w:cs="Arial"/>
          <w:bCs/>
          <w:iCs/>
          <w:szCs w:val="20"/>
          <w:lang w:val="pt-BR"/>
        </w:rPr>
        <w:t xml:space="preserve"> </w:t>
      </w:r>
      <w:r w:rsidR="00D81AA1" w:rsidRPr="00D5464D">
        <w:rPr>
          <w:rFonts w:cs="Arial"/>
          <w:bCs/>
          <w:iCs/>
          <w:szCs w:val="20"/>
          <w:lang w:val="pt-BR"/>
        </w:rPr>
        <w:t>contra</w:t>
      </w:r>
      <w:r w:rsidR="001F2568" w:rsidRPr="00D5464D">
        <w:rPr>
          <w:rFonts w:cs="Arial"/>
          <w:bCs/>
          <w:iCs/>
          <w:szCs w:val="20"/>
          <w:lang w:val="pt-BR"/>
        </w:rPr>
        <w:t xml:space="preserve"> ele</w:t>
      </w:r>
      <w:r w:rsidR="00D81AA1" w:rsidRPr="00D5464D">
        <w:rPr>
          <w:rFonts w:cs="Arial"/>
          <w:bCs/>
          <w:iCs/>
          <w:szCs w:val="20"/>
          <w:lang w:val="pt-BR"/>
        </w:rPr>
        <w:t xml:space="preserve">. </w:t>
      </w:r>
    </w:p>
    <w:p w14:paraId="0EA6FA4F" w14:textId="77777777" w:rsidR="00D81AA1" w:rsidRPr="00D5464D" w:rsidRDefault="00D81AA1" w:rsidP="00D81AA1">
      <w:pPr>
        <w:pStyle w:val="Prrafodelista"/>
        <w:rPr>
          <w:rFonts w:cs="Arial"/>
          <w:bCs/>
          <w:iCs/>
          <w:szCs w:val="20"/>
          <w:lang w:val="pt-BR"/>
        </w:rPr>
      </w:pPr>
    </w:p>
    <w:p w14:paraId="36DD708E" w14:textId="146AB07C" w:rsidR="00D81AA1" w:rsidRPr="00D5464D" w:rsidRDefault="00A1358C" w:rsidP="00D81AA1">
      <w:pPr>
        <w:pStyle w:val="Prrafodelista"/>
        <w:numPr>
          <w:ilvl w:val="0"/>
          <w:numId w:val="1"/>
        </w:numPr>
        <w:autoSpaceDE w:val="0"/>
        <w:autoSpaceDN w:val="0"/>
        <w:adjustRightInd w:val="0"/>
        <w:contextualSpacing w:val="0"/>
        <w:rPr>
          <w:rFonts w:cs="Arial"/>
          <w:bCs/>
          <w:iCs/>
          <w:szCs w:val="20"/>
          <w:lang w:val="pt-BR"/>
        </w:rPr>
      </w:pPr>
      <w:r w:rsidRPr="00D5464D">
        <w:rPr>
          <w:rFonts w:cs="Arial"/>
          <w:szCs w:val="20"/>
          <w:lang w:val="pt-BR"/>
        </w:rPr>
        <w:t>Por outr</w:t>
      </w:r>
      <w:r w:rsidR="001F2568" w:rsidRPr="00D5464D">
        <w:rPr>
          <w:rFonts w:cs="Arial"/>
          <w:szCs w:val="20"/>
          <w:lang w:val="pt-BR"/>
        </w:rPr>
        <w:t>a parte</w:t>
      </w:r>
      <w:r w:rsidRPr="00D5464D">
        <w:rPr>
          <w:rFonts w:cs="Arial"/>
          <w:szCs w:val="20"/>
          <w:lang w:val="pt-BR"/>
        </w:rPr>
        <w:t>,</w:t>
      </w:r>
      <w:r w:rsidR="00470ADC" w:rsidRPr="00D5464D">
        <w:rPr>
          <w:rFonts w:cs="Arial"/>
          <w:szCs w:val="20"/>
          <w:lang w:val="pt-BR"/>
        </w:rPr>
        <w:t xml:space="preserve"> </w:t>
      </w:r>
      <w:r w:rsidR="001F2568" w:rsidRPr="00D5464D">
        <w:rPr>
          <w:rFonts w:cs="Arial"/>
          <w:szCs w:val="20"/>
          <w:lang w:val="pt-BR"/>
        </w:rPr>
        <w:t>no tocante a</w:t>
      </w:r>
      <w:r w:rsidR="00470ADC" w:rsidRPr="00D5464D">
        <w:rPr>
          <w:rFonts w:cs="Arial"/>
          <w:szCs w:val="20"/>
          <w:lang w:val="pt-BR"/>
        </w:rPr>
        <w:t xml:space="preserve">o </w:t>
      </w:r>
      <w:r w:rsidR="002C330E" w:rsidRPr="00D5464D">
        <w:rPr>
          <w:rFonts w:cs="Arial"/>
          <w:szCs w:val="20"/>
          <w:lang w:val="pt-BR"/>
        </w:rPr>
        <w:t>procedimento</w:t>
      </w:r>
      <w:r w:rsidR="00D81AA1" w:rsidRPr="00D5464D">
        <w:rPr>
          <w:rFonts w:cs="Arial"/>
          <w:szCs w:val="20"/>
          <w:lang w:val="pt-BR"/>
        </w:rPr>
        <w:t xml:space="preserve"> iniciado</w:t>
      </w:r>
      <w:r w:rsidR="00470ADC" w:rsidRPr="00D5464D">
        <w:rPr>
          <w:rFonts w:cs="Arial"/>
          <w:szCs w:val="20"/>
          <w:lang w:val="pt-BR"/>
        </w:rPr>
        <w:t xml:space="preserve"> perante a </w:t>
      </w:r>
      <w:r w:rsidR="002C330E" w:rsidRPr="00D5464D">
        <w:rPr>
          <w:rFonts w:cs="Arial"/>
          <w:szCs w:val="20"/>
          <w:lang w:val="pt-BR"/>
        </w:rPr>
        <w:t>Justiç</w:t>
      </w:r>
      <w:r w:rsidR="001F2568" w:rsidRPr="00D5464D">
        <w:rPr>
          <w:rFonts w:cs="Arial"/>
          <w:szCs w:val="20"/>
          <w:lang w:val="pt-BR"/>
        </w:rPr>
        <w:t>a do Trabalho</w:t>
      </w:r>
      <w:r w:rsidR="00D81AA1" w:rsidRPr="00D5464D">
        <w:rPr>
          <w:rFonts w:cs="Arial"/>
          <w:szCs w:val="20"/>
          <w:lang w:val="pt-BR"/>
        </w:rPr>
        <w:t>,</w:t>
      </w:r>
      <w:r w:rsidR="002C330E" w:rsidRPr="00D5464D">
        <w:rPr>
          <w:rFonts w:cs="Arial"/>
          <w:szCs w:val="20"/>
          <w:lang w:val="pt-BR"/>
        </w:rPr>
        <w:t xml:space="preserve"> a </w:t>
      </w:r>
      <w:r w:rsidR="00D81AA1" w:rsidRPr="00D5464D">
        <w:rPr>
          <w:rFonts w:cs="Arial"/>
          <w:szCs w:val="20"/>
          <w:lang w:val="pt-BR"/>
        </w:rPr>
        <w:t>Corte nota que</w:t>
      </w:r>
      <w:r w:rsidR="001F2568" w:rsidRPr="00D5464D">
        <w:rPr>
          <w:rFonts w:cs="Arial"/>
          <w:szCs w:val="20"/>
          <w:lang w:val="pt-BR"/>
        </w:rPr>
        <w:t>,</w:t>
      </w:r>
      <w:r w:rsidR="00C91CB1" w:rsidRPr="00D5464D">
        <w:rPr>
          <w:rFonts w:cs="Arial"/>
          <w:szCs w:val="20"/>
          <w:lang w:val="pt-BR"/>
        </w:rPr>
        <w:t xml:space="preserve"> em 1</w:t>
      </w:r>
      <w:r w:rsidR="00D81AA1" w:rsidRPr="00D5464D">
        <w:rPr>
          <w:rFonts w:cs="Arial"/>
          <w:szCs w:val="20"/>
          <w:lang w:val="pt-BR"/>
        </w:rPr>
        <w:t xml:space="preserve">5 de </w:t>
      </w:r>
      <w:r w:rsidR="00470ADC" w:rsidRPr="00D5464D">
        <w:rPr>
          <w:rFonts w:cs="Arial"/>
          <w:szCs w:val="20"/>
          <w:lang w:val="pt-BR"/>
        </w:rPr>
        <w:t>janeiro</w:t>
      </w:r>
      <w:r w:rsidR="00D81AA1" w:rsidRPr="00D5464D">
        <w:rPr>
          <w:rFonts w:cs="Arial"/>
          <w:szCs w:val="20"/>
          <w:lang w:val="pt-BR"/>
        </w:rPr>
        <w:t xml:space="preserve"> de 1999</w:t>
      </w:r>
      <w:r w:rsidR="001F2568" w:rsidRPr="00D5464D">
        <w:rPr>
          <w:rFonts w:cs="Arial"/>
          <w:szCs w:val="20"/>
          <w:lang w:val="pt-BR"/>
        </w:rPr>
        <w:t>,</w:t>
      </w:r>
      <w:r w:rsidR="00D81AA1" w:rsidRPr="00D5464D">
        <w:rPr>
          <w:rFonts w:cs="Arial"/>
          <w:szCs w:val="20"/>
          <w:lang w:val="pt-BR"/>
        </w:rPr>
        <w:t xml:space="preserve"> </w:t>
      </w:r>
      <w:r w:rsidR="00230C71" w:rsidRPr="00D5464D">
        <w:rPr>
          <w:rFonts w:cs="Arial"/>
          <w:szCs w:val="20"/>
          <w:lang w:val="pt-BR"/>
        </w:rPr>
        <w:t>recomendou</w:t>
      </w:r>
      <w:r w:rsidR="001F2568" w:rsidRPr="00D5464D">
        <w:rPr>
          <w:rFonts w:cs="Arial"/>
          <w:szCs w:val="20"/>
          <w:lang w:val="pt-BR"/>
        </w:rPr>
        <w:t>-se</w:t>
      </w:r>
      <w:r w:rsidR="00D81AA1" w:rsidRPr="00D5464D">
        <w:rPr>
          <w:rFonts w:cs="Arial"/>
          <w:szCs w:val="20"/>
          <w:lang w:val="pt-BR"/>
        </w:rPr>
        <w:t xml:space="preserve"> a João Luiz Quagliato Neto, </w:t>
      </w:r>
      <w:r w:rsidR="00230C71" w:rsidRPr="00D5464D">
        <w:rPr>
          <w:rFonts w:cs="Arial"/>
          <w:szCs w:val="20"/>
          <w:lang w:val="pt-BR"/>
        </w:rPr>
        <w:t>proprietário</w:t>
      </w:r>
      <w:r w:rsidR="00470ADC" w:rsidRPr="00D5464D">
        <w:rPr>
          <w:rFonts w:cs="Arial"/>
          <w:szCs w:val="20"/>
          <w:lang w:val="pt-BR"/>
        </w:rPr>
        <w:t xml:space="preserve"> da </w:t>
      </w:r>
      <w:r w:rsidR="00D809F0" w:rsidRPr="00D5464D">
        <w:rPr>
          <w:rFonts w:cs="Arial"/>
          <w:szCs w:val="20"/>
          <w:lang w:val="pt-BR"/>
        </w:rPr>
        <w:t>Fazenda</w:t>
      </w:r>
      <w:r w:rsidR="00D81AA1" w:rsidRPr="00D5464D">
        <w:rPr>
          <w:rFonts w:cs="Arial"/>
          <w:szCs w:val="20"/>
          <w:lang w:val="pt-BR"/>
        </w:rPr>
        <w:t xml:space="preserve"> Brasil Verde, </w:t>
      </w:r>
      <w:r w:rsidR="00E30F8A" w:rsidRPr="00D5464D">
        <w:rPr>
          <w:rFonts w:cs="Arial"/>
          <w:szCs w:val="20"/>
          <w:lang w:val="pt-BR"/>
        </w:rPr>
        <w:t>que se abstivesse</w:t>
      </w:r>
      <w:r w:rsidR="00FF1290" w:rsidRPr="00D5464D">
        <w:rPr>
          <w:rFonts w:cs="Arial"/>
          <w:szCs w:val="20"/>
          <w:lang w:val="pt-BR"/>
        </w:rPr>
        <w:t xml:space="preserve"> </w:t>
      </w:r>
      <w:r w:rsidR="00D81AA1" w:rsidRPr="00D5464D">
        <w:rPr>
          <w:rFonts w:cs="Arial"/>
          <w:szCs w:val="20"/>
          <w:lang w:val="pt-BR"/>
        </w:rPr>
        <w:t>de cobrar</w:t>
      </w:r>
      <w:r w:rsidR="00470ADC" w:rsidRPr="00D5464D">
        <w:rPr>
          <w:rFonts w:cs="Arial"/>
          <w:szCs w:val="20"/>
          <w:lang w:val="pt-BR"/>
        </w:rPr>
        <w:t xml:space="preserve"> </w:t>
      </w:r>
      <w:r w:rsidR="00E045D9" w:rsidRPr="00D5464D">
        <w:rPr>
          <w:rFonts w:cs="Arial"/>
          <w:szCs w:val="20"/>
          <w:lang w:val="pt-BR"/>
        </w:rPr>
        <w:t>os trabalhadores</w:t>
      </w:r>
      <w:r w:rsidR="00E30F8A" w:rsidRPr="00D5464D">
        <w:rPr>
          <w:rFonts w:cs="Arial"/>
          <w:szCs w:val="20"/>
          <w:lang w:val="pt-BR"/>
        </w:rPr>
        <w:t xml:space="preserve"> pelos calçados</w:t>
      </w:r>
      <w:r w:rsidR="00D81AA1" w:rsidRPr="00D5464D">
        <w:rPr>
          <w:rFonts w:cs="Arial"/>
          <w:szCs w:val="20"/>
          <w:lang w:val="pt-BR"/>
        </w:rPr>
        <w:t>, adv</w:t>
      </w:r>
      <w:r w:rsidR="001F2568" w:rsidRPr="00D5464D">
        <w:rPr>
          <w:rFonts w:cs="Arial"/>
          <w:szCs w:val="20"/>
          <w:lang w:val="pt-BR"/>
        </w:rPr>
        <w:t>e</w:t>
      </w:r>
      <w:r w:rsidR="00D81AA1" w:rsidRPr="00D5464D">
        <w:rPr>
          <w:rFonts w:cs="Arial"/>
          <w:szCs w:val="20"/>
          <w:lang w:val="pt-BR"/>
        </w:rPr>
        <w:t>rtindo</w:t>
      </w:r>
      <w:r w:rsidR="001F2568" w:rsidRPr="00D5464D">
        <w:rPr>
          <w:rFonts w:cs="Arial"/>
          <w:szCs w:val="20"/>
          <w:lang w:val="pt-BR"/>
        </w:rPr>
        <w:t>-lhe</w:t>
      </w:r>
      <w:r w:rsidR="00D81AA1" w:rsidRPr="00D5464D">
        <w:rPr>
          <w:rFonts w:cs="Arial"/>
          <w:szCs w:val="20"/>
          <w:lang w:val="pt-BR"/>
        </w:rPr>
        <w:t xml:space="preserve"> que</w:t>
      </w:r>
      <w:r w:rsidR="001F2568" w:rsidRPr="00D5464D">
        <w:rPr>
          <w:rFonts w:cs="Arial"/>
          <w:szCs w:val="20"/>
          <w:lang w:val="pt-BR"/>
        </w:rPr>
        <w:t>, caso</w:t>
      </w:r>
      <w:r w:rsidR="00470ADC" w:rsidRPr="00D5464D">
        <w:rPr>
          <w:rFonts w:cs="Arial"/>
          <w:szCs w:val="20"/>
          <w:lang w:val="pt-BR"/>
        </w:rPr>
        <w:t xml:space="preserve"> </w:t>
      </w:r>
      <w:r w:rsidR="00C91CB1" w:rsidRPr="00D5464D">
        <w:rPr>
          <w:rFonts w:cs="Arial"/>
          <w:szCs w:val="20"/>
          <w:lang w:val="pt-BR"/>
        </w:rPr>
        <w:t>contrário</w:t>
      </w:r>
      <w:r w:rsidR="001F2568" w:rsidRPr="00D5464D">
        <w:rPr>
          <w:rFonts w:cs="Arial"/>
          <w:szCs w:val="20"/>
          <w:lang w:val="pt-BR"/>
        </w:rPr>
        <w:t xml:space="preserve">, seriam tomadas </w:t>
      </w:r>
      <w:r w:rsidR="00470ADC" w:rsidRPr="00D5464D">
        <w:rPr>
          <w:rFonts w:cs="Arial"/>
          <w:szCs w:val="20"/>
          <w:lang w:val="pt-BR"/>
        </w:rPr>
        <w:t>ações</w:t>
      </w:r>
      <w:r w:rsidR="00D81AA1" w:rsidRPr="00D5464D">
        <w:rPr>
          <w:rFonts w:cs="Arial"/>
          <w:szCs w:val="20"/>
          <w:lang w:val="pt-BR"/>
        </w:rPr>
        <w:t xml:space="preserve"> </w:t>
      </w:r>
      <w:r w:rsidR="002C330E" w:rsidRPr="00D5464D">
        <w:rPr>
          <w:rFonts w:cs="Arial"/>
          <w:szCs w:val="20"/>
          <w:lang w:val="pt-BR"/>
        </w:rPr>
        <w:t>judiciais</w:t>
      </w:r>
      <w:r w:rsidR="00470ADC" w:rsidRPr="00D5464D">
        <w:rPr>
          <w:rFonts w:cs="Arial"/>
          <w:szCs w:val="20"/>
          <w:lang w:val="pt-BR"/>
        </w:rPr>
        <w:t xml:space="preserve"> </w:t>
      </w:r>
      <w:r w:rsidR="001F2568" w:rsidRPr="00D5464D">
        <w:rPr>
          <w:rFonts w:cs="Arial"/>
          <w:szCs w:val="20"/>
          <w:lang w:val="pt-BR"/>
        </w:rPr>
        <w:t>contra sua pessoa</w:t>
      </w:r>
      <w:r w:rsidR="00D81AA1" w:rsidRPr="00D5464D">
        <w:rPr>
          <w:rFonts w:cs="Arial"/>
          <w:szCs w:val="20"/>
          <w:lang w:val="pt-BR"/>
        </w:rPr>
        <w:t>, orden</w:t>
      </w:r>
      <w:r w:rsidR="001F2568" w:rsidRPr="00D5464D">
        <w:rPr>
          <w:rFonts w:cs="Arial"/>
          <w:szCs w:val="20"/>
          <w:lang w:val="pt-BR"/>
        </w:rPr>
        <w:t>a</w:t>
      </w:r>
      <w:r w:rsidR="00D81AA1" w:rsidRPr="00D5464D">
        <w:rPr>
          <w:rFonts w:cs="Arial"/>
          <w:szCs w:val="20"/>
          <w:lang w:val="pt-BR"/>
        </w:rPr>
        <w:t>ndo</w:t>
      </w:r>
      <w:r w:rsidR="001F2568" w:rsidRPr="00D5464D">
        <w:rPr>
          <w:rFonts w:cs="Arial"/>
          <w:szCs w:val="20"/>
          <w:lang w:val="pt-BR"/>
        </w:rPr>
        <w:t>-</w:t>
      </w:r>
      <w:r w:rsidR="00D81AA1" w:rsidRPr="00D5464D">
        <w:rPr>
          <w:rFonts w:cs="Arial"/>
          <w:szCs w:val="20"/>
          <w:lang w:val="pt-BR"/>
        </w:rPr>
        <w:t>se</w:t>
      </w:r>
      <w:r w:rsidR="001F2568" w:rsidRPr="00D5464D">
        <w:rPr>
          <w:rFonts w:cs="Arial"/>
          <w:szCs w:val="20"/>
          <w:lang w:val="pt-BR"/>
        </w:rPr>
        <w:t xml:space="preserve"> o arquivamento dos autos</w:t>
      </w:r>
      <w:r w:rsidR="00470ADC" w:rsidRPr="00D5464D">
        <w:rPr>
          <w:rFonts w:cs="Arial"/>
          <w:szCs w:val="20"/>
          <w:lang w:val="pt-BR"/>
        </w:rPr>
        <w:t>.</w:t>
      </w:r>
      <w:r w:rsidR="00737270" w:rsidRPr="00D5464D">
        <w:rPr>
          <w:rFonts w:cs="Arial"/>
          <w:szCs w:val="20"/>
          <w:lang w:val="pt-BR"/>
        </w:rPr>
        <w:t xml:space="preserve"> </w:t>
      </w:r>
      <w:r w:rsidR="001F2568" w:rsidRPr="00D5464D">
        <w:rPr>
          <w:rFonts w:cs="Arial"/>
          <w:szCs w:val="20"/>
          <w:lang w:val="pt-BR"/>
        </w:rPr>
        <w:t>A</w:t>
      </w:r>
      <w:r w:rsidR="00737270" w:rsidRPr="00D5464D">
        <w:rPr>
          <w:rFonts w:cs="Arial"/>
          <w:szCs w:val="20"/>
          <w:lang w:val="pt-BR"/>
        </w:rPr>
        <w:t xml:space="preserve">pesar </w:t>
      </w:r>
      <w:r w:rsidR="00470ADC" w:rsidRPr="00D5464D">
        <w:rPr>
          <w:rFonts w:cs="Arial"/>
          <w:szCs w:val="20"/>
          <w:lang w:val="pt-BR"/>
        </w:rPr>
        <w:t xml:space="preserve">da </w:t>
      </w:r>
      <w:r w:rsidR="002C330E" w:rsidRPr="00D5464D">
        <w:rPr>
          <w:rFonts w:cs="Arial"/>
          <w:szCs w:val="20"/>
          <w:lang w:val="pt-BR"/>
        </w:rPr>
        <w:t xml:space="preserve">gravidade </w:t>
      </w:r>
      <w:r w:rsidR="00470ADC" w:rsidRPr="00D5464D">
        <w:rPr>
          <w:rFonts w:cs="Arial"/>
          <w:szCs w:val="20"/>
          <w:lang w:val="pt-BR"/>
        </w:rPr>
        <w:t xml:space="preserve">das </w:t>
      </w:r>
      <w:r w:rsidR="00D81AA1" w:rsidRPr="00D5464D">
        <w:rPr>
          <w:rFonts w:cs="Arial"/>
          <w:szCs w:val="20"/>
          <w:lang w:val="pt-BR"/>
        </w:rPr>
        <w:t>situa</w:t>
      </w:r>
      <w:r w:rsidR="00470ADC" w:rsidRPr="00D5464D">
        <w:rPr>
          <w:rFonts w:cs="Arial"/>
          <w:szCs w:val="20"/>
          <w:lang w:val="pt-BR"/>
        </w:rPr>
        <w:t>ções</w:t>
      </w:r>
      <w:r w:rsidR="00D81AA1" w:rsidRPr="00D5464D">
        <w:rPr>
          <w:rFonts w:cs="Arial"/>
          <w:szCs w:val="20"/>
          <w:lang w:val="pt-BR"/>
        </w:rPr>
        <w:t xml:space="preserve"> referidas</w:t>
      </w:r>
      <w:r w:rsidR="00E045D9" w:rsidRPr="00D5464D">
        <w:rPr>
          <w:rFonts w:cs="Arial"/>
          <w:szCs w:val="20"/>
          <w:lang w:val="pt-BR"/>
        </w:rPr>
        <w:t xml:space="preserve"> no </w:t>
      </w:r>
      <w:r w:rsidR="00350187" w:rsidRPr="00D5464D">
        <w:rPr>
          <w:rFonts w:cs="Arial"/>
          <w:szCs w:val="20"/>
          <w:lang w:val="pt-BR"/>
        </w:rPr>
        <w:t>relatório</w:t>
      </w:r>
      <w:r w:rsidR="002C330E" w:rsidRPr="00D5464D">
        <w:rPr>
          <w:rFonts w:cs="Arial"/>
          <w:szCs w:val="20"/>
          <w:lang w:val="pt-BR"/>
        </w:rPr>
        <w:t xml:space="preserve"> </w:t>
      </w:r>
      <w:r w:rsidR="00D81AA1" w:rsidRPr="00D5464D">
        <w:rPr>
          <w:rFonts w:cs="Arial"/>
          <w:szCs w:val="20"/>
          <w:lang w:val="pt-BR"/>
        </w:rPr>
        <w:t xml:space="preserve">de </w:t>
      </w:r>
      <w:r w:rsidR="00AB4663" w:rsidRPr="00D5464D">
        <w:rPr>
          <w:rFonts w:cs="Arial"/>
          <w:szCs w:val="20"/>
          <w:lang w:val="pt-BR"/>
        </w:rPr>
        <w:t>fiscalização</w:t>
      </w:r>
      <w:r w:rsidR="00D81AA1" w:rsidRPr="00D5464D">
        <w:rPr>
          <w:rFonts w:cs="Arial"/>
          <w:szCs w:val="20"/>
          <w:lang w:val="pt-BR"/>
        </w:rPr>
        <w:t xml:space="preserve"> de 1997,</w:t>
      </w:r>
      <w:r w:rsidR="002C330E" w:rsidRPr="00D5464D">
        <w:rPr>
          <w:rFonts w:cs="Arial"/>
          <w:szCs w:val="20"/>
          <w:lang w:val="pt-BR"/>
        </w:rPr>
        <w:t xml:space="preserve"> a </w:t>
      </w:r>
      <w:r w:rsidR="001F2568" w:rsidRPr="00D5464D">
        <w:rPr>
          <w:rFonts w:cs="Arial"/>
          <w:szCs w:val="20"/>
          <w:lang w:val="pt-BR"/>
        </w:rPr>
        <w:t>Delegacia Regional</w:t>
      </w:r>
      <w:r w:rsidR="00D81AA1" w:rsidRPr="00D5464D">
        <w:rPr>
          <w:rFonts w:cs="Arial"/>
          <w:szCs w:val="20"/>
          <w:lang w:val="pt-BR"/>
        </w:rPr>
        <w:t xml:space="preserve"> </w:t>
      </w:r>
      <w:r w:rsidR="00470ADC" w:rsidRPr="00D5464D">
        <w:rPr>
          <w:rFonts w:cs="Arial"/>
          <w:szCs w:val="20"/>
          <w:lang w:val="pt-BR"/>
        </w:rPr>
        <w:t xml:space="preserve">do </w:t>
      </w:r>
      <w:r w:rsidR="00E045D9" w:rsidRPr="00D5464D">
        <w:rPr>
          <w:rFonts w:cs="Arial"/>
          <w:szCs w:val="20"/>
          <w:lang w:val="pt-BR"/>
        </w:rPr>
        <w:t>Trabalho</w:t>
      </w:r>
      <w:r w:rsidR="001F2568" w:rsidRPr="00D5464D">
        <w:rPr>
          <w:rFonts w:cs="Arial"/>
          <w:szCs w:val="20"/>
          <w:lang w:val="pt-BR"/>
        </w:rPr>
        <w:t xml:space="preserve"> do Pará </w:t>
      </w:r>
      <w:r w:rsidR="00D81AA1" w:rsidRPr="00D5464D">
        <w:rPr>
          <w:rFonts w:cs="Arial"/>
          <w:szCs w:val="20"/>
          <w:lang w:val="pt-BR"/>
        </w:rPr>
        <w:t>p</w:t>
      </w:r>
      <w:r w:rsidR="002C330E" w:rsidRPr="00D5464D">
        <w:rPr>
          <w:rFonts w:cs="Arial"/>
          <w:szCs w:val="20"/>
          <w:lang w:val="pt-BR"/>
        </w:rPr>
        <w:t>referiu</w:t>
      </w:r>
      <w:r w:rsidR="00D81AA1" w:rsidRPr="00D5464D">
        <w:rPr>
          <w:rFonts w:cs="Arial"/>
          <w:szCs w:val="20"/>
          <w:lang w:val="pt-BR"/>
        </w:rPr>
        <w:t xml:space="preserve"> “n</w:t>
      </w:r>
      <w:r w:rsidR="001F2568" w:rsidRPr="00D5464D">
        <w:rPr>
          <w:rFonts w:cs="Arial"/>
          <w:szCs w:val="20"/>
          <w:lang w:val="pt-BR"/>
        </w:rPr>
        <w:t>ã</w:t>
      </w:r>
      <w:r w:rsidR="00D81AA1" w:rsidRPr="00D5464D">
        <w:rPr>
          <w:rFonts w:cs="Arial"/>
          <w:szCs w:val="20"/>
          <w:lang w:val="pt-BR"/>
        </w:rPr>
        <w:t xml:space="preserve">o </w:t>
      </w:r>
      <w:r w:rsidR="00230C71" w:rsidRPr="00D5464D">
        <w:rPr>
          <w:rFonts w:cs="Arial"/>
          <w:szCs w:val="20"/>
          <w:lang w:val="pt-BR"/>
        </w:rPr>
        <w:t>atua</w:t>
      </w:r>
      <w:r w:rsidR="00D81AA1" w:rsidRPr="00D5464D">
        <w:rPr>
          <w:rFonts w:cs="Arial"/>
          <w:szCs w:val="20"/>
          <w:lang w:val="pt-BR"/>
        </w:rPr>
        <w:t>r,</w:t>
      </w:r>
      <w:r w:rsidR="002C330E" w:rsidRPr="00D5464D">
        <w:rPr>
          <w:rFonts w:cs="Arial"/>
          <w:szCs w:val="20"/>
          <w:lang w:val="pt-BR"/>
        </w:rPr>
        <w:t xml:space="preserve"> mas </w:t>
      </w:r>
      <w:r w:rsidR="00D81AA1" w:rsidRPr="00D5464D">
        <w:rPr>
          <w:rFonts w:cs="Arial"/>
          <w:szCs w:val="20"/>
          <w:lang w:val="pt-BR"/>
        </w:rPr>
        <w:t>orientar</w:t>
      </w:r>
      <w:r w:rsidR="00E045D9" w:rsidRPr="00D5464D">
        <w:rPr>
          <w:rFonts w:cs="Arial"/>
          <w:szCs w:val="20"/>
          <w:lang w:val="pt-BR"/>
        </w:rPr>
        <w:t xml:space="preserve"> no </w:t>
      </w:r>
      <w:r w:rsidR="00D81AA1" w:rsidRPr="00D5464D">
        <w:rPr>
          <w:rFonts w:cs="Arial"/>
          <w:szCs w:val="20"/>
          <w:lang w:val="pt-BR"/>
        </w:rPr>
        <w:t xml:space="preserve">sentido </w:t>
      </w:r>
      <w:r w:rsidR="001F2568" w:rsidRPr="00D5464D">
        <w:rPr>
          <w:rFonts w:cs="Arial"/>
          <w:szCs w:val="20"/>
          <w:lang w:val="pt-BR"/>
        </w:rPr>
        <w:t xml:space="preserve">de </w:t>
      </w:r>
      <w:r w:rsidR="00D81AA1" w:rsidRPr="00D5464D">
        <w:rPr>
          <w:rFonts w:cs="Arial"/>
          <w:szCs w:val="20"/>
          <w:lang w:val="pt-BR"/>
        </w:rPr>
        <w:t>que</w:t>
      </w:r>
      <w:r w:rsidR="002C330E" w:rsidRPr="00D5464D">
        <w:rPr>
          <w:rFonts w:cs="Arial"/>
          <w:szCs w:val="20"/>
          <w:lang w:val="pt-BR"/>
        </w:rPr>
        <w:t xml:space="preserve"> as</w:t>
      </w:r>
      <w:r w:rsidR="00E765C2" w:rsidRPr="00D5464D">
        <w:rPr>
          <w:rFonts w:cs="Arial"/>
          <w:szCs w:val="20"/>
          <w:lang w:val="pt-BR"/>
        </w:rPr>
        <w:t xml:space="preserve"> falhas </w:t>
      </w:r>
      <w:r w:rsidR="00ED46CF" w:rsidRPr="00D5464D">
        <w:rPr>
          <w:rFonts w:cs="Arial"/>
          <w:szCs w:val="20"/>
          <w:lang w:val="pt-BR"/>
        </w:rPr>
        <w:t>[</w:t>
      </w:r>
      <w:r w:rsidR="00C91CB1" w:rsidRPr="00D5464D">
        <w:rPr>
          <w:rFonts w:cs="Arial"/>
          <w:szCs w:val="20"/>
          <w:lang w:val="pt-BR"/>
        </w:rPr>
        <w:t>fossem</w:t>
      </w:r>
      <w:r w:rsidR="00ED46CF" w:rsidRPr="00D5464D">
        <w:rPr>
          <w:rFonts w:cs="Arial"/>
          <w:szCs w:val="20"/>
          <w:lang w:val="pt-BR"/>
        </w:rPr>
        <w:t xml:space="preserve">] </w:t>
      </w:r>
      <w:r w:rsidR="007C6E16" w:rsidRPr="00D5464D">
        <w:rPr>
          <w:rFonts w:cs="Arial"/>
          <w:szCs w:val="20"/>
          <w:lang w:val="pt-BR"/>
        </w:rPr>
        <w:t>corri</w:t>
      </w:r>
      <w:r w:rsidR="00D81AA1" w:rsidRPr="00D5464D">
        <w:rPr>
          <w:rFonts w:cs="Arial"/>
          <w:szCs w:val="20"/>
          <w:lang w:val="pt-BR"/>
        </w:rPr>
        <w:t xml:space="preserve">gidas”. </w:t>
      </w:r>
    </w:p>
    <w:p w14:paraId="6833D8D7" w14:textId="77777777" w:rsidR="00D81AA1" w:rsidRPr="00D5464D" w:rsidRDefault="00D81AA1" w:rsidP="00D81AA1">
      <w:pPr>
        <w:pStyle w:val="Prrafodelista"/>
        <w:rPr>
          <w:rFonts w:cs="Arial"/>
          <w:bCs/>
          <w:iCs/>
          <w:szCs w:val="20"/>
          <w:lang w:val="pt-BR"/>
        </w:rPr>
      </w:pPr>
    </w:p>
    <w:p w14:paraId="2812A778" w14:textId="37BC8903" w:rsidR="00D81AA1" w:rsidRPr="00D5464D" w:rsidRDefault="001F2568" w:rsidP="00D81AA1">
      <w:pPr>
        <w:pStyle w:val="Prrafodelista"/>
        <w:numPr>
          <w:ilvl w:val="0"/>
          <w:numId w:val="1"/>
        </w:numPr>
        <w:autoSpaceDE w:val="0"/>
        <w:autoSpaceDN w:val="0"/>
        <w:adjustRightInd w:val="0"/>
        <w:contextualSpacing w:val="0"/>
        <w:rPr>
          <w:rFonts w:cs="Arial"/>
          <w:bCs/>
          <w:iCs/>
          <w:szCs w:val="20"/>
          <w:lang w:val="pt-BR"/>
        </w:rPr>
      </w:pPr>
      <w:r w:rsidRPr="00D5464D">
        <w:rPr>
          <w:rFonts w:cs="Arial"/>
          <w:szCs w:val="20"/>
          <w:lang w:val="pt-BR"/>
        </w:rPr>
        <w:t>N</w:t>
      </w:r>
      <w:r w:rsidR="002C330E" w:rsidRPr="00D5464D">
        <w:rPr>
          <w:rFonts w:cs="Arial"/>
          <w:szCs w:val="20"/>
          <w:lang w:val="pt-BR"/>
        </w:rPr>
        <w:t xml:space="preserve">o que </w:t>
      </w:r>
      <w:r w:rsidR="00E30F8A" w:rsidRPr="00D5464D">
        <w:rPr>
          <w:rFonts w:cs="Arial"/>
          <w:szCs w:val="20"/>
          <w:lang w:val="pt-BR"/>
        </w:rPr>
        <w:t xml:space="preserve">diz </w:t>
      </w:r>
      <w:r w:rsidR="00350187" w:rsidRPr="00D5464D">
        <w:rPr>
          <w:rFonts w:cs="Arial"/>
          <w:szCs w:val="20"/>
          <w:lang w:val="pt-BR"/>
        </w:rPr>
        <w:t>respeit</w:t>
      </w:r>
      <w:r w:rsidR="00E30F8A" w:rsidRPr="00D5464D">
        <w:rPr>
          <w:rFonts w:cs="Arial"/>
          <w:szCs w:val="20"/>
          <w:lang w:val="pt-BR"/>
        </w:rPr>
        <w:t>o</w:t>
      </w:r>
      <w:r w:rsidR="00470ADC" w:rsidRPr="00D5464D">
        <w:rPr>
          <w:rFonts w:cs="Arial"/>
          <w:szCs w:val="20"/>
          <w:lang w:val="pt-BR"/>
        </w:rPr>
        <w:t xml:space="preserve"> à </w:t>
      </w:r>
      <w:r w:rsidRPr="00D5464D">
        <w:rPr>
          <w:rFonts w:cs="Arial"/>
          <w:szCs w:val="20"/>
          <w:lang w:val="pt-BR"/>
        </w:rPr>
        <w:t>A</w:t>
      </w:r>
      <w:r w:rsidR="00737270" w:rsidRPr="00D5464D">
        <w:rPr>
          <w:rFonts w:cs="Arial"/>
          <w:szCs w:val="20"/>
          <w:lang w:val="pt-BR"/>
        </w:rPr>
        <w:t>ção</w:t>
      </w:r>
      <w:r w:rsidR="00D81AA1" w:rsidRPr="00D5464D">
        <w:rPr>
          <w:rFonts w:cs="Arial"/>
          <w:szCs w:val="20"/>
          <w:lang w:val="pt-BR"/>
        </w:rPr>
        <w:t xml:space="preserve"> </w:t>
      </w:r>
      <w:r w:rsidRPr="00D5464D">
        <w:rPr>
          <w:rFonts w:cs="Arial"/>
          <w:szCs w:val="20"/>
          <w:lang w:val="pt-BR"/>
        </w:rPr>
        <w:t>C</w:t>
      </w:r>
      <w:r w:rsidR="00D81AA1" w:rsidRPr="00D5464D">
        <w:rPr>
          <w:rFonts w:cs="Arial"/>
          <w:szCs w:val="20"/>
          <w:lang w:val="pt-BR"/>
        </w:rPr>
        <w:t xml:space="preserve">ivil </w:t>
      </w:r>
      <w:r w:rsidRPr="00D5464D">
        <w:rPr>
          <w:rFonts w:cs="Arial"/>
          <w:szCs w:val="20"/>
          <w:lang w:val="pt-BR"/>
        </w:rPr>
        <w:t>P</w:t>
      </w:r>
      <w:r w:rsidR="00D81AA1" w:rsidRPr="00D5464D">
        <w:rPr>
          <w:rFonts w:cs="Arial"/>
          <w:szCs w:val="20"/>
          <w:lang w:val="pt-BR"/>
        </w:rPr>
        <w:t>ública</w:t>
      </w:r>
      <w:r w:rsidR="002C330E" w:rsidRPr="00D5464D">
        <w:rPr>
          <w:rFonts w:cs="Arial"/>
          <w:szCs w:val="20"/>
          <w:lang w:val="pt-BR"/>
        </w:rPr>
        <w:t xml:space="preserve"> </w:t>
      </w:r>
      <w:r w:rsidRPr="00D5464D">
        <w:rPr>
          <w:rFonts w:cs="Arial"/>
          <w:szCs w:val="20"/>
          <w:lang w:val="pt-BR"/>
        </w:rPr>
        <w:t xml:space="preserve">interposta no ano </w:t>
      </w:r>
      <w:r w:rsidR="00D81AA1" w:rsidRPr="00D5464D">
        <w:rPr>
          <w:rFonts w:cs="Arial"/>
          <w:szCs w:val="20"/>
          <w:lang w:val="pt-BR"/>
        </w:rPr>
        <w:t>2000 contra João Luiz Quagliato Neto,</w:t>
      </w:r>
      <w:r w:rsidR="002C330E" w:rsidRPr="00D5464D">
        <w:rPr>
          <w:rFonts w:cs="Arial"/>
          <w:szCs w:val="20"/>
          <w:lang w:val="pt-BR"/>
        </w:rPr>
        <w:t xml:space="preserve"> a </w:t>
      </w:r>
      <w:r w:rsidR="00D81AA1" w:rsidRPr="00D5464D">
        <w:rPr>
          <w:rFonts w:cs="Arial"/>
          <w:szCs w:val="20"/>
          <w:lang w:val="pt-BR"/>
        </w:rPr>
        <w:t>Corte destaca que</w:t>
      </w:r>
      <w:r w:rsidR="002C330E" w:rsidRPr="00D5464D">
        <w:rPr>
          <w:rFonts w:cs="Arial"/>
          <w:szCs w:val="20"/>
          <w:lang w:val="pt-BR"/>
        </w:rPr>
        <w:t xml:space="preserve"> a mesm</w:t>
      </w:r>
      <w:r w:rsidR="00D81AA1" w:rsidRPr="00D5464D">
        <w:rPr>
          <w:rFonts w:cs="Arial"/>
          <w:szCs w:val="20"/>
          <w:lang w:val="pt-BR"/>
        </w:rPr>
        <w:t xml:space="preserve">a </w:t>
      </w:r>
      <w:r w:rsidR="00E30F8A" w:rsidRPr="00D5464D">
        <w:rPr>
          <w:rFonts w:cs="Arial"/>
          <w:szCs w:val="20"/>
          <w:lang w:val="pt-BR"/>
        </w:rPr>
        <w:t>foi concluída</w:t>
      </w:r>
      <w:r w:rsidR="00FF1290" w:rsidRPr="00D5464D">
        <w:rPr>
          <w:rFonts w:cs="Arial"/>
          <w:szCs w:val="20"/>
          <w:lang w:val="pt-BR"/>
        </w:rPr>
        <w:t xml:space="preserve"> </w:t>
      </w:r>
      <w:r w:rsidRPr="00D5464D">
        <w:rPr>
          <w:rFonts w:cs="Arial"/>
          <w:szCs w:val="20"/>
          <w:lang w:val="pt-BR"/>
        </w:rPr>
        <w:t xml:space="preserve">através de </w:t>
      </w:r>
      <w:r w:rsidR="00E045D9" w:rsidRPr="00D5464D">
        <w:rPr>
          <w:rFonts w:cs="Arial"/>
          <w:szCs w:val="20"/>
          <w:lang w:val="pt-BR"/>
        </w:rPr>
        <w:t xml:space="preserve">uma </w:t>
      </w:r>
      <w:r w:rsidR="00D81AA1" w:rsidRPr="00D5464D">
        <w:rPr>
          <w:rFonts w:cs="Arial"/>
          <w:szCs w:val="20"/>
          <w:lang w:val="pt-BR"/>
        </w:rPr>
        <w:t>concilia</w:t>
      </w:r>
      <w:r w:rsidR="00470ADC" w:rsidRPr="00D5464D">
        <w:rPr>
          <w:rFonts w:cs="Arial"/>
          <w:szCs w:val="20"/>
          <w:lang w:val="pt-BR"/>
        </w:rPr>
        <w:t>ção</w:t>
      </w:r>
      <w:r w:rsidR="00D81AA1" w:rsidRPr="00D5464D">
        <w:rPr>
          <w:rFonts w:cs="Arial"/>
          <w:szCs w:val="20"/>
          <w:lang w:val="pt-BR"/>
        </w:rPr>
        <w:t>,</w:t>
      </w:r>
      <w:r w:rsidR="00E045D9" w:rsidRPr="00D5464D">
        <w:rPr>
          <w:rFonts w:cs="Arial"/>
          <w:szCs w:val="20"/>
          <w:lang w:val="pt-BR"/>
        </w:rPr>
        <w:t xml:space="preserve"> na </w:t>
      </w:r>
      <w:r w:rsidRPr="00D5464D">
        <w:rPr>
          <w:rFonts w:cs="Arial"/>
          <w:szCs w:val="20"/>
          <w:lang w:val="pt-BR"/>
        </w:rPr>
        <w:t>qual</w:t>
      </w:r>
      <w:r w:rsidR="00470ADC" w:rsidRPr="00D5464D">
        <w:rPr>
          <w:rFonts w:cs="Arial"/>
          <w:szCs w:val="20"/>
          <w:lang w:val="pt-BR"/>
        </w:rPr>
        <w:t xml:space="preserve"> o </w:t>
      </w:r>
      <w:r w:rsidR="002C330E" w:rsidRPr="00D5464D">
        <w:rPr>
          <w:rFonts w:cs="Arial"/>
          <w:szCs w:val="20"/>
          <w:lang w:val="pt-BR"/>
        </w:rPr>
        <w:t xml:space="preserve">senhor </w:t>
      </w:r>
      <w:r w:rsidR="00D81AA1" w:rsidRPr="00D5464D">
        <w:rPr>
          <w:rFonts w:cs="Arial"/>
          <w:szCs w:val="20"/>
          <w:lang w:val="pt-BR"/>
        </w:rPr>
        <w:t xml:space="preserve">Quagliato Neto se </w:t>
      </w:r>
      <w:r w:rsidR="00A1358C" w:rsidRPr="00D5464D">
        <w:rPr>
          <w:rFonts w:cs="Arial"/>
          <w:szCs w:val="20"/>
          <w:lang w:val="pt-BR"/>
        </w:rPr>
        <w:t>comprometeu</w:t>
      </w:r>
      <w:r w:rsidR="00D81AA1" w:rsidRPr="00D5464D">
        <w:rPr>
          <w:rFonts w:cs="Arial"/>
          <w:szCs w:val="20"/>
          <w:lang w:val="pt-BR"/>
        </w:rPr>
        <w:t xml:space="preserve"> a n</w:t>
      </w:r>
      <w:r w:rsidRPr="00D5464D">
        <w:rPr>
          <w:rFonts w:cs="Arial"/>
          <w:szCs w:val="20"/>
          <w:lang w:val="pt-BR"/>
        </w:rPr>
        <w:t>ã</w:t>
      </w:r>
      <w:r w:rsidR="00D81AA1" w:rsidRPr="00D5464D">
        <w:rPr>
          <w:rFonts w:cs="Arial"/>
          <w:szCs w:val="20"/>
          <w:lang w:val="pt-BR"/>
        </w:rPr>
        <w:t>o admitir</w:t>
      </w:r>
      <w:r w:rsidR="002C330E" w:rsidRPr="00D5464D">
        <w:rPr>
          <w:rFonts w:cs="Arial"/>
          <w:szCs w:val="20"/>
          <w:lang w:val="pt-BR"/>
        </w:rPr>
        <w:t xml:space="preserve"> nem </w:t>
      </w:r>
      <w:r w:rsidR="00D81AA1" w:rsidRPr="00D5464D">
        <w:rPr>
          <w:rFonts w:cs="Arial"/>
          <w:szCs w:val="20"/>
          <w:lang w:val="pt-BR"/>
        </w:rPr>
        <w:t xml:space="preserve">permitir </w:t>
      </w:r>
      <w:r w:rsidRPr="00D5464D">
        <w:rPr>
          <w:rFonts w:cs="Arial"/>
          <w:szCs w:val="20"/>
          <w:lang w:val="pt-BR"/>
        </w:rPr>
        <w:t xml:space="preserve">o </w:t>
      </w:r>
      <w:r w:rsidR="00E045D9" w:rsidRPr="00D5464D">
        <w:rPr>
          <w:rFonts w:cs="Arial"/>
          <w:szCs w:val="20"/>
          <w:lang w:val="pt-BR"/>
        </w:rPr>
        <w:t>trabalho</w:t>
      </w:r>
      <w:r w:rsidR="00470ADC" w:rsidRPr="00D5464D">
        <w:rPr>
          <w:rFonts w:cs="Arial"/>
          <w:szCs w:val="20"/>
          <w:lang w:val="pt-BR"/>
        </w:rPr>
        <w:t xml:space="preserve"> sob </w:t>
      </w:r>
      <w:r w:rsidR="009D555F" w:rsidRPr="00D5464D">
        <w:rPr>
          <w:rFonts w:cs="Arial"/>
          <w:szCs w:val="20"/>
          <w:lang w:val="pt-BR"/>
        </w:rPr>
        <w:t>“</w:t>
      </w:r>
      <w:r w:rsidR="002C330E" w:rsidRPr="00D5464D">
        <w:rPr>
          <w:rFonts w:cs="Arial"/>
          <w:szCs w:val="20"/>
          <w:lang w:val="pt-BR"/>
        </w:rPr>
        <w:t>regime</w:t>
      </w:r>
      <w:r w:rsidR="00D81AA1" w:rsidRPr="00D5464D">
        <w:rPr>
          <w:rFonts w:cs="Arial"/>
          <w:szCs w:val="20"/>
          <w:lang w:val="pt-BR"/>
        </w:rPr>
        <w:t xml:space="preserve"> de </w:t>
      </w:r>
      <w:r w:rsidR="000B376D" w:rsidRPr="00D5464D">
        <w:rPr>
          <w:rFonts w:cs="Arial"/>
          <w:szCs w:val="20"/>
          <w:lang w:val="pt-BR"/>
        </w:rPr>
        <w:t>escravidão</w:t>
      </w:r>
      <w:r w:rsidR="009D555F" w:rsidRPr="00D5464D">
        <w:rPr>
          <w:rFonts w:cs="Arial"/>
          <w:szCs w:val="20"/>
          <w:lang w:val="pt-BR"/>
        </w:rPr>
        <w:t>”</w:t>
      </w:r>
      <w:r w:rsidR="00E045D9" w:rsidRPr="00D5464D">
        <w:rPr>
          <w:rFonts w:cs="Arial"/>
          <w:szCs w:val="20"/>
          <w:lang w:val="pt-BR"/>
        </w:rPr>
        <w:t xml:space="preserve"> e </w:t>
      </w:r>
      <w:r w:rsidRPr="00D5464D">
        <w:rPr>
          <w:rFonts w:cs="Arial"/>
          <w:szCs w:val="20"/>
          <w:lang w:val="pt-BR"/>
        </w:rPr>
        <w:t xml:space="preserve">a </w:t>
      </w:r>
      <w:r w:rsidR="00D81AA1" w:rsidRPr="00D5464D">
        <w:rPr>
          <w:rFonts w:cs="Arial"/>
          <w:szCs w:val="20"/>
          <w:lang w:val="pt-BR"/>
        </w:rPr>
        <w:t>proporcionar condi</w:t>
      </w:r>
      <w:r w:rsidR="00470ADC" w:rsidRPr="00D5464D">
        <w:rPr>
          <w:rFonts w:cs="Arial"/>
          <w:szCs w:val="20"/>
          <w:lang w:val="pt-BR"/>
        </w:rPr>
        <w:t>ções</w:t>
      </w:r>
      <w:r w:rsidR="00D81AA1" w:rsidRPr="00D5464D">
        <w:rPr>
          <w:rFonts w:cs="Arial"/>
          <w:szCs w:val="20"/>
          <w:lang w:val="pt-BR"/>
        </w:rPr>
        <w:t xml:space="preserve"> de </w:t>
      </w:r>
      <w:r w:rsidR="00E045D9" w:rsidRPr="00D5464D">
        <w:rPr>
          <w:rFonts w:cs="Arial"/>
          <w:szCs w:val="20"/>
          <w:lang w:val="pt-BR"/>
        </w:rPr>
        <w:t>trabalho</w:t>
      </w:r>
      <w:r w:rsidR="00D81AA1" w:rsidRPr="00D5464D">
        <w:rPr>
          <w:rFonts w:cs="Arial"/>
          <w:szCs w:val="20"/>
          <w:lang w:val="pt-BR"/>
        </w:rPr>
        <w:t xml:space="preserve"> dignas, </w:t>
      </w:r>
      <w:r w:rsidRPr="00D5464D">
        <w:rPr>
          <w:rFonts w:cs="Arial"/>
          <w:szCs w:val="20"/>
          <w:lang w:val="pt-BR"/>
        </w:rPr>
        <w:t>advertido de</w:t>
      </w:r>
      <w:r w:rsidR="00D81AA1" w:rsidRPr="00D5464D">
        <w:rPr>
          <w:rFonts w:cs="Arial"/>
          <w:szCs w:val="20"/>
          <w:lang w:val="pt-BR"/>
        </w:rPr>
        <w:t xml:space="preserve"> que</w:t>
      </w:r>
      <w:r w:rsidRPr="00D5464D">
        <w:rPr>
          <w:rFonts w:cs="Arial"/>
          <w:szCs w:val="20"/>
          <w:lang w:val="pt-BR"/>
        </w:rPr>
        <w:t>, caso</w:t>
      </w:r>
      <w:r w:rsidR="00470ADC" w:rsidRPr="00D5464D">
        <w:rPr>
          <w:rFonts w:cs="Arial"/>
          <w:szCs w:val="20"/>
          <w:lang w:val="pt-BR"/>
        </w:rPr>
        <w:t xml:space="preserve"> </w:t>
      </w:r>
      <w:r w:rsidR="00C91CB1" w:rsidRPr="00D5464D">
        <w:rPr>
          <w:rFonts w:cs="Arial"/>
          <w:szCs w:val="20"/>
          <w:lang w:val="pt-BR"/>
        </w:rPr>
        <w:t>contrário</w:t>
      </w:r>
      <w:r w:rsidRPr="00D5464D">
        <w:rPr>
          <w:rFonts w:cs="Arial"/>
          <w:szCs w:val="20"/>
          <w:lang w:val="pt-BR"/>
        </w:rPr>
        <w:t>,</w:t>
      </w:r>
      <w:r w:rsidR="00C91CB1" w:rsidRPr="00D5464D">
        <w:rPr>
          <w:rFonts w:cs="Arial"/>
          <w:szCs w:val="20"/>
          <w:lang w:val="pt-BR"/>
        </w:rPr>
        <w:t xml:space="preserve"> </w:t>
      </w:r>
      <w:r w:rsidR="00E045D9" w:rsidRPr="00D5464D">
        <w:rPr>
          <w:rFonts w:cs="Arial"/>
          <w:szCs w:val="20"/>
          <w:lang w:val="pt-BR"/>
        </w:rPr>
        <w:t xml:space="preserve">seria </w:t>
      </w:r>
      <w:r w:rsidR="00D81AA1" w:rsidRPr="00D5464D">
        <w:rPr>
          <w:rFonts w:cs="Arial"/>
          <w:szCs w:val="20"/>
          <w:lang w:val="pt-BR"/>
        </w:rPr>
        <w:t>sancionado</w:t>
      </w:r>
      <w:r w:rsidR="00470ADC" w:rsidRPr="00D5464D">
        <w:rPr>
          <w:rFonts w:cs="Arial"/>
          <w:szCs w:val="20"/>
          <w:lang w:val="pt-BR"/>
        </w:rPr>
        <w:t xml:space="preserve"> com </w:t>
      </w:r>
      <w:r w:rsidR="00D81AA1" w:rsidRPr="00D5464D">
        <w:rPr>
          <w:rFonts w:cs="Arial"/>
          <w:szCs w:val="20"/>
          <w:lang w:val="pt-BR"/>
        </w:rPr>
        <w:t>multas</w:t>
      </w:r>
      <w:r w:rsidR="00470ADC" w:rsidRPr="00D5464D">
        <w:rPr>
          <w:rFonts w:cs="Arial"/>
          <w:szCs w:val="20"/>
          <w:lang w:val="pt-BR"/>
        </w:rPr>
        <w:t>.</w:t>
      </w:r>
      <w:r w:rsidR="00737270" w:rsidRPr="00D5464D">
        <w:rPr>
          <w:rFonts w:cs="Arial"/>
          <w:szCs w:val="20"/>
          <w:lang w:val="pt-BR"/>
        </w:rPr>
        <w:t xml:space="preserve"> </w:t>
      </w:r>
      <w:r w:rsidRPr="00D5464D">
        <w:rPr>
          <w:rFonts w:cs="Arial"/>
          <w:szCs w:val="20"/>
          <w:lang w:val="pt-BR"/>
        </w:rPr>
        <w:t>A</w:t>
      </w:r>
      <w:r w:rsidR="00737270" w:rsidRPr="00D5464D">
        <w:rPr>
          <w:rFonts w:cs="Arial"/>
          <w:szCs w:val="20"/>
          <w:lang w:val="pt-BR"/>
        </w:rPr>
        <w:t xml:space="preserve">pesar </w:t>
      </w:r>
      <w:r w:rsidR="00D81AA1" w:rsidRPr="00D5464D">
        <w:rPr>
          <w:rFonts w:cs="Arial"/>
          <w:szCs w:val="20"/>
          <w:lang w:val="pt-BR"/>
        </w:rPr>
        <w:t>de contar</w:t>
      </w:r>
      <w:r w:rsidR="00470ADC" w:rsidRPr="00D5464D">
        <w:rPr>
          <w:rFonts w:cs="Arial"/>
          <w:szCs w:val="20"/>
          <w:lang w:val="pt-BR"/>
        </w:rPr>
        <w:t xml:space="preserve"> com </w:t>
      </w:r>
      <w:r w:rsidR="00D81AA1" w:rsidRPr="00D5464D">
        <w:rPr>
          <w:rFonts w:cs="Arial"/>
          <w:szCs w:val="20"/>
          <w:lang w:val="pt-BR"/>
        </w:rPr>
        <w:t>informa</w:t>
      </w:r>
      <w:r w:rsidR="00470ADC" w:rsidRPr="00D5464D">
        <w:rPr>
          <w:rFonts w:cs="Arial"/>
          <w:szCs w:val="20"/>
          <w:lang w:val="pt-BR"/>
        </w:rPr>
        <w:t>ção</w:t>
      </w:r>
      <w:r w:rsidR="00D81AA1" w:rsidRPr="00D5464D">
        <w:rPr>
          <w:rFonts w:cs="Arial"/>
          <w:szCs w:val="20"/>
          <w:lang w:val="pt-BR"/>
        </w:rPr>
        <w:t xml:space="preserve"> grave </w:t>
      </w:r>
      <w:r w:rsidR="002C330E" w:rsidRPr="00D5464D">
        <w:rPr>
          <w:rFonts w:cs="Arial"/>
          <w:szCs w:val="20"/>
          <w:lang w:val="pt-BR"/>
        </w:rPr>
        <w:t>a respeito</w:t>
      </w:r>
      <w:r w:rsidR="00E045D9" w:rsidRPr="00D5464D">
        <w:rPr>
          <w:rFonts w:cs="Arial"/>
          <w:szCs w:val="20"/>
          <w:lang w:val="pt-BR"/>
        </w:rPr>
        <w:t xml:space="preserve"> </w:t>
      </w:r>
      <w:r w:rsidRPr="00D5464D">
        <w:rPr>
          <w:rFonts w:cs="Arial"/>
          <w:szCs w:val="20"/>
          <w:lang w:val="pt-BR"/>
        </w:rPr>
        <w:t>d</w:t>
      </w:r>
      <w:r w:rsidR="00E045D9" w:rsidRPr="00D5464D">
        <w:rPr>
          <w:rFonts w:cs="Arial"/>
          <w:szCs w:val="20"/>
          <w:lang w:val="pt-BR"/>
        </w:rPr>
        <w:t xml:space="preserve">os </w:t>
      </w:r>
      <w:r w:rsidR="002C330E" w:rsidRPr="00D5464D">
        <w:rPr>
          <w:rFonts w:cs="Arial"/>
          <w:szCs w:val="20"/>
          <w:lang w:val="pt-BR"/>
        </w:rPr>
        <w:t>fatos</w:t>
      </w:r>
      <w:r w:rsidR="00D81AA1" w:rsidRPr="00D5464D">
        <w:rPr>
          <w:rFonts w:cs="Arial"/>
          <w:szCs w:val="20"/>
          <w:lang w:val="pt-BR"/>
        </w:rPr>
        <w:t xml:space="preserve"> com</w:t>
      </w:r>
      <w:r w:rsidR="002C330E" w:rsidRPr="00D5464D">
        <w:rPr>
          <w:rFonts w:cs="Arial"/>
          <w:szCs w:val="20"/>
          <w:lang w:val="pt-BR"/>
        </w:rPr>
        <w:t>provad</w:t>
      </w:r>
      <w:r w:rsidR="00D81AA1" w:rsidRPr="00D5464D">
        <w:rPr>
          <w:rFonts w:cs="Arial"/>
          <w:szCs w:val="20"/>
          <w:lang w:val="pt-BR"/>
        </w:rPr>
        <w:t>os</w:t>
      </w:r>
      <w:r w:rsidR="00E045D9" w:rsidRPr="00D5464D">
        <w:rPr>
          <w:rFonts w:cs="Arial"/>
          <w:szCs w:val="20"/>
          <w:lang w:val="pt-BR"/>
        </w:rPr>
        <w:t xml:space="preserve"> na </w:t>
      </w:r>
      <w:r w:rsidR="00D809F0" w:rsidRPr="00D5464D">
        <w:rPr>
          <w:rFonts w:cs="Arial"/>
          <w:szCs w:val="20"/>
          <w:lang w:val="pt-BR"/>
        </w:rPr>
        <w:t>Fazenda</w:t>
      </w:r>
      <w:r w:rsidR="00D81AA1" w:rsidRPr="00D5464D">
        <w:rPr>
          <w:rFonts w:cs="Arial"/>
          <w:szCs w:val="20"/>
          <w:lang w:val="pt-BR"/>
        </w:rPr>
        <w:t xml:space="preserve">, </w:t>
      </w:r>
      <w:r w:rsidR="00E045D9" w:rsidRPr="00D5464D">
        <w:rPr>
          <w:rFonts w:cs="Arial"/>
          <w:szCs w:val="20"/>
          <w:lang w:val="pt-BR"/>
        </w:rPr>
        <w:t>unicamente</w:t>
      </w:r>
      <w:r w:rsidR="00D81AA1" w:rsidRPr="00D5464D">
        <w:rPr>
          <w:rFonts w:cs="Arial"/>
          <w:szCs w:val="20"/>
          <w:lang w:val="pt-BR"/>
        </w:rPr>
        <w:t xml:space="preserve"> </w:t>
      </w:r>
      <w:r w:rsidR="00B5597A" w:rsidRPr="00D5464D">
        <w:rPr>
          <w:rFonts w:cs="Arial"/>
          <w:szCs w:val="20"/>
          <w:lang w:val="pt-BR"/>
        </w:rPr>
        <w:t xml:space="preserve">foi pactuado </w:t>
      </w:r>
      <w:r w:rsidR="00E045D9" w:rsidRPr="00D5464D">
        <w:rPr>
          <w:rFonts w:cs="Arial"/>
          <w:szCs w:val="20"/>
          <w:lang w:val="pt-BR"/>
        </w:rPr>
        <w:t xml:space="preserve">um </w:t>
      </w:r>
      <w:r w:rsidR="00470ADC" w:rsidRPr="00D5464D">
        <w:rPr>
          <w:rFonts w:cs="Arial"/>
          <w:szCs w:val="20"/>
          <w:lang w:val="pt-BR"/>
        </w:rPr>
        <w:t>acordo</w:t>
      </w:r>
      <w:r w:rsidR="00B5597A" w:rsidRPr="00D5464D">
        <w:rPr>
          <w:rFonts w:cs="Arial"/>
          <w:szCs w:val="20"/>
          <w:lang w:val="pt-BR"/>
        </w:rPr>
        <w:t>,</w:t>
      </w:r>
      <w:r w:rsidR="002C330E" w:rsidRPr="00D5464D">
        <w:rPr>
          <w:rFonts w:cs="Arial"/>
          <w:szCs w:val="20"/>
          <w:lang w:val="pt-BR"/>
        </w:rPr>
        <w:t xml:space="preserve"> sem </w:t>
      </w:r>
      <w:r w:rsidR="00D81AA1" w:rsidRPr="00D5464D">
        <w:rPr>
          <w:rFonts w:cs="Arial"/>
          <w:szCs w:val="20"/>
          <w:lang w:val="pt-BR"/>
        </w:rPr>
        <w:t xml:space="preserve">considerar de </w:t>
      </w:r>
      <w:r w:rsidR="002C330E" w:rsidRPr="00D5464D">
        <w:rPr>
          <w:rFonts w:cs="Arial"/>
          <w:szCs w:val="20"/>
          <w:lang w:val="pt-BR"/>
        </w:rPr>
        <w:t>maneira</w:t>
      </w:r>
      <w:r w:rsidR="00D81AA1" w:rsidRPr="00D5464D">
        <w:rPr>
          <w:rFonts w:cs="Arial"/>
          <w:szCs w:val="20"/>
          <w:lang w:val="pt-BR"/>
        </w:rPr>
        <w:t xml:space="preserve"> </w:t>
      </w:r>
      <w:r w:rsidR="00470ADC" w:rsidRPr="00D5464D">
        <w:rPr>
          <w:rFonts w:cs="Arial"/>
          <w:szCs w:val="20"/>
          <w:lang w:val="pt-BR"/>
        </w:rPr>
        <w:t>detalhad</w:t>
      </w:r>
      <w:r w:rsidR="00D81AA1" w:rsidRPr="00D5464D">
        <w:rPr>
          <w:rFonts w:cs="Arial"/>
          <w:szCs w:val="20"/>
          <w:lang w:val="pt-BR"/>
        </w:rPr>
        <w:t>a</w:t>
      </w:r>
      <w:r w:rsidR="002C330E" w:rsidRPr="00D5464D">
        <w:rPr>
          <w:rFonts w:cs="Arial"/>
          <w:szCs w:val="20"/>
          <w:lang w:val="pt-BR"/>
        </w:rPr>
        <w:t xml:space="preserve"> a gravidade </w:t>
      </w:r>
      <w:r w:rsidR="00470ADC" w:rsidRPr="00D5464D">
        <w:rPr>
          <w:rFonts w:cs="Arial"/>
          <w:szCs w:val="20"/>
          <w:lang w:val="pt-BR"/>
        </w:rPr>
        <w:t xml:space="preserve">dos </w:t>
      </w:r>
      <w:r w:rsidR="002C330E" w:rsidRPr="00D5464D">
        <w:rPr>
          <w:rFonts w:cs="Arial"/>
          <w:szCs w:val="20"/>
          <w:lang w:val="pt-BR"/>
        </w:rPr>
        <w:t xml:space="preserve">fatos nem a necessidade </w:t>
      </w:r>
      <w:r w:rsidR="00D81AA1" w:rsidRPr="00D5464D">
        <w:rPr>
          <w:rFonts w:cs="Arial"/>
          <w:szCs w:val="20"/>
          <w:lang w:val="pt-BR"/>
        </w:rPr>
        <w:t>de repara</w:t>
      </w:r>
      <w:r w:rsidR="00470ADC" w:rsidRPr="00D5464D">
        <w:rPr>
          <w:rFonts w:cs="Arial"/>
          <w:szCs w:val="20"/>
          <w:lang w:val="pt-BR"/>
        </w:rPr>
        <w:t xml:space="preserve">ção dos </w:t>
      </w:r>
      <w:r w:rsidR="00E045D9" w:rsidRPr="00D5464D">
        <w:rPr>
          <w:rFonts w:cs="Arial"/>
          <w:szCs w:val="20"/>
          <w:lang w:val="pt-BR"/>
        </w:rPr>
        <w:t>trabalhadores</w:t>
      </w:r>
      <w:r w:rsidR="00470ADC" w:rsidRPr="00D5464D">
        <w:rPr>
          <w:rFonts w:cs="Arial"/>
          <w:szCs w:val="20"/>
          <w:lang w:val="pt-BR"/>
        </w:rPr>
        <w:t xml:space="preserve"> da </w:t>
      </w:r>
      <w:r w:rsidR="00D809F0" w:rsidRPr="00D5464D">
        <w:rPr>
          <w:rFonts w:cs="Arial"/>
          <w:szCs w:val="20"/>
          <w:lang w:val="pt-BR"/>
        </w:rPr>
        <w:t>Fazenda</w:t>
      </w:r>
      <w:r w:rsidR="00D81AA1" w:rsidRPr="00D5464D">
        <w:rPr>
          <w:rFonts w:cs="Arial"/>
          <w:szCs w:val="20"/>
          <w:lang w:val="pt-BR"/>
        </w:rPr>
        <w:t>.</w:t>
      </w:r>
    </w:p>
    <w:p w14:paraId="6EAF67A1" w14:textId="77777777" w:rsidR="00D81AA1" w:rsidRPr="00D5464D" w:rsidRDefault="00D81AA1" w:rsidP="00D81AA1">
      <w:pPr>
        <w:pStyle w:val="Prrafodelista"/>
        <w:rPr>
          <w:rFonts w:cs="Arial"/>
          <w:bCs/>
          <w:iCs/>
          <w:szCs w:val="20"/>
          <w:lang w:val="pt-BR"/>
        </w:rPr>
      </w:pPr>
    </w:p>
    <w:p w14:paraId="5A277ECD" w14:textId="7CAA8A45" w:rsidR="00D81AA1" w:rsidRPr="00D5464D" w:rsidRDefault="00D81AA1" w:rsidP="00D81AA1">
      <w:pPr>
        <w:pStyle w:val="Prrafodelista"/>
        <w:numPr>
          <w:ilvl w:val="0"/>
          <w:numId w:val="1"/>
        </w:numPr>
        <w:autoSpaceDE w:val="0"/>
        <w:autoSpaceDN w:val="0"/>
        <w:adjustRightInd w:val="0"/>
        <w:contextualSpacing w:val="0"/>
        <w:rPr>
          <w:rFonts w:cs="Arial"/>
          <w:bCs/>
          <w:iCs/>
          <w:szCs w:val="20"/>
          <w:lang w:val="pt-BR"/>
        </w:rPr>
      </w:pPr>
      <w:r w:rsidRPr="00D5464D">
        <w:rPr>
          <w:rFonts w:cs="Arial"/>
          <w:szCs w:val="20"/>
          <w:lang w:val="pt-BR"/>
        </w:rPr>
        <w:t>Finalmente,</w:t>
      </w:r>
      <w:r w:rsidR="00A1358C" w:rsidRPr="00D5464D">
        <w:rPr>
          <w:rFonts w:cs="Arial"/>
          <w:szCs w:val="20"/>
          <w:lang w:val="pt-BR"/>
        </w:rPr>
        <w:t xml:space="preserve"> </w:t>
      </w:r>
      <w:r w:rsidR="00B5597A" w:rsidRPr="00D5464D">
        <w:rPr>
          <w:rFonts w:cs="Arial"/>
          <w:szCs w:val="20"/>
          <w:lang w:val="pt-BR"/>
        </w:rPr>
        <w:t xml:space="preserve">sobre </w:t>
      </w:r>
      <w:r w:rsidR="00470ADC" w:rsidRPr="00D5464D">
        <w:rPr>
          <w:rFonts w:cs="Arial"/>
          <w:szCs w:val="20"/>
          <w:lang w:val="pt-BR"/>
        </w:rPr>
        <w:t xml:space="preserve">o </w:t>
      </w:r>
      <w:r w:rsidR="002C330E" w:rsidRPr="00D5464D">
        <w:rPr>
          <w:rFonts w:cs="Arial"/>
          <w:szCs w:val="20"/>
          <w:lang w:val="pt-BR"/>
        </w:rPr>
        <w:t>processo</w:t>
      </w:r>
      <w:r w:rsidRPr="00D5464D">
        <w:rPr>
          <w:rFonts w:cs="Arial"/>
          <w:szCs w:val="20"/>
          <w:lang w:val="pt-BR"/>
        </w:rPr>
        <w:t xml:space="preserve"> penal iniciado</w:t>
      </w:r>
      <w:r w:rsidR="00470ADC" w:rsidRPr="00D5464D">
        <w:rPr>
          <w:rFonts w:cs="Arial"/>
          <w:szCs w:val="20"/>
          <w:lang w:val="pt-BR"/>
        </w:rPr>
        <w:t xml:space="preserve"> em </w:t>
      </w:r>
      <w:r w:rsidRPr="00D5464D">
        <w:rPr>
          <w:rFonts w:cs="Arial"/>
          <w:szCs w:val="20"/>
          <w:lang w:val="pt-BR"/>
        </w:rPr>
        <w:t>2001</w:t>
      </w:r>
      <w:r w:rsidR="00470ADC" w:rsidRPr="00D5464D">
        <w:rPr>
          <w:rFonts w:cs="Arial"/>
          <w:szCs w:val="20"/>
          <w:lang w:val="pt-BR"/>
        </w:rPr>
        <w:t xml:space="preserve"> perante a </w:t>
      </w:r>
      <w:r w:rsidRPr="00D5464D">
        <w:rPr>
          <w:rFonts w:cs="Arial"/>
          <w:szCs w:val="20"/>
          <w:lang w:val="pt-BR"/>
        </w:rPr>
        <w:t>2ª Vara d</w:t>
      </w:r>
      <w:r w:rsidR="00B5597A" w:rsidRPr="00D5464D">
        <w:rPr>
          <w:rFonts w:cs="Arial"/>
          <w:szCs w:val="20"/>
          <w:lang w:val="pt-BR"/>
        </w:rPr>
        <w:t>a</w:t>
      </w:r>
      <w:r w:rsidRPr="00D5464D">
        <w:rPr>
          <w:rFonts w:cs="Arial"/>
          <w:szCs w:val="20"/>
          <w:lang w:val="pt-BR"/>
        </w:rPr>
        <w:t xml:space="preserve"> </w:t>
      </w:r>
      <w:r w:rsidR="002C330E" w:rsidRPr="00D5464D">
        <w:rPr>
          <w:rFonts w:cs="Arial"/>
          <w:szCs w:val="20"/>
          <w:lang w:val="pt-BR"/>
        </w:rPr>
        <w:t>Justiça</w:t>
      </w:r>
      <w:r w:rsidRPr="00D5464D">
        <w:rPr>
          <w:rFonts w:cs="Arial"/>
          <w:szCs w:val="20"/>
          <w:lang w:val="pt-BR"/>
        </w:rPr>
        <w:t xml:space="preserve"> Federal de Marabá, Pará,</w:t>
      </w:r>
      <w:r w:rsidR="002C330E" w:rsidRPr="00D5464D">
        <w:rPr>
          <w:rFonts w:cs="Arial"/>
          <w:szCs w:val="20"/>
          <w:lang w:val="pt-BR"/>
        </w:rPr>
        <w:t xml:space="preserve"> a </w:t>
      </w:r>
      <w:r w:rsidRPr="00D5464D">
        <w:rPr>
          <w:rFonts w:cs="Arial"/>
          <w:szCs w:val="20"/>
          <w:lang w:val="pt-BR"/>
        </w:rPr>
        <w:t xml:space="preserve">Corte </w:t>
      </w:r>
      <w:r w:rsidR="000C7FE4" w:rsidRPr="00D5464D">
        <w:rPr>
          <w:rFonts w:cs="Arial"/>
          <w:szCs w:val="20"/>
          <w:lang w:val="pt-BR"/>
        </w:rPr>
        <w:t xml:space="preserve">destaca </w:t>
      </w:r>
      <w:r w:rsidRPr="00D5464D">
        <w:rPr>
          <w:rFonts w:cs="Arial"/>
          <w:szCs w:val="20"/>
          <w:lang w:val="pt-BR"/>
        </w:rPr>
        <w:t>que</w:t>
      </w:r>
      <w:r w:rsidR="00470ADC" w:rsidRPr="00D5464D">
        <w:rPr>
          <w:rFonts w:cs="Arial"/>
          <w:szCs w:val="20"/>
          <w:lang w:val="pt-BR"/>
        </w:rPr>
        <w:t xml:space="preserve"> o </w:t>
      </w:r>
      <w:r w:rsidRPr="00D5464D">
        <w:rPr>
          <w:rFonts w:cs="Arial"/>
          <w:szCs w:val="20"/>
          <w:lang w:val="pt-BR"/>
        </w:rPr>
        <w:t>Estado n</w:t>
      </w:r>
      <w:r w:rsidR="00B5597A" w:rsidRPr="00D5464D">
        <w:rPr>
          <w:rFonts w:cs="Arial"/>
          <w:szCs w:val="20"/>
          <w:lang w:val="pt-BR"/>
        </w:rPr>
        <w:t>ã</w:t>
      </w:r>
      <w:r w:rsidRPr="00D5464D">
        <w:rPr>
          <w:rFonts w:cs="Arial"/>
          <w:szCs w:val="20"/>
          <w:lang w:val="pt-BR"/>
        </w:rPr>
        <w:t xml:space="preserve">o </w:t>
      </w:r>
      <w:r w:rsidR="00E045D9" w:rsidRPr="00D5464D">
        <w:rPr>
          <w:rFonts w:cs="Arial"/>
          <w:szCs w:val="20"/>
          <w:lang w:val="pt-BR"/>
        </w:rPr>
        <w:t>conseguiu</w:t>
      </w:r>
      <w:r w:rsidRPr="00D5464D">
        <w:rPr>
          <w:rFonts w:cs="Arial"/>
          <w:szCs w:val="20"/>
          <w:lang w:val="pt-BR"/>
        </w:rPr>
        <w:t xml:space="preserve"> aportar</w:t>
      </w:r>
      <w:r w:rsidR="002C330E" w:rsidRPr="00D5464D">
        <w:rPr>
          <w:rFonts w:cs="Arial"/>
          <w:szCs w:val="20"/>
          <w:lang w:val="pt-BR"/>
        </w:rPr>
        <w:t xml:space="preserve"> </w:t>
      </w:r>
      <w:r w:rsidR="00470ADC" w:rsidRPr="00D5464D">
        <w:rPr>
          <w:rFonts w:cs="Arial"/>
          <w:szCs w:val="20"/>
          <w:lang w:val="pt-BR"/>
        </w:rPr>
        <w:t>cópias</w:t>
      </w:r>
      <w:r w:rsidRPr="00D5464D">
        <w:rPr>
          <w:rFonts w:cs="Arial"/>
          <w:szCs w:val="20"/>
          <w:lang w:val="pt-BR"/>
        </w:rPr>
        <w:t xml:space="preserve"> </w:t>
      </w:r>
      <w:r w:rsidR="00B5597A" w:rsidRPr="00D5464D">
        <w:rPr>
          <w:rFonts w:cs="Arial"/>
          <w:szCs w:val="20"/>
          <w:lang w:val="pt-BR"/>
        </w:rPr>
        <w:t>dos autos deste processo</w:t>
      </w:r>
      <w:r w:rsidRPr="00D5464D">
        <w:rPr>
          <w:rFonts w:cs="Arial"/>
          <w:szCs w:val="20"/>
          <w:lang w:val="pt-BR"/>
        </w:rPr>
        <w:t>,</w:t>
      </w:r>
      <w:r w:rsidR="002C330E" w:rsidRPr="00D5464D">
        <w:rPr>
          <w:rFonts w:cs="Arial"/>
          <w:szCs w:val="20"/>
          <w:lang w:val="pt-BR"/>
        </w:rPr>
        <w:t xml:space="preserve"> </w:t>
      </w:r>
      <w:r w:rsidR="00B5597A" w:rsidRPr="00D5464D">
        <w:rPr>
          <w:rFonts w:cs="Arial"/>
          <w:szCs w:val="20"/>
          <w:lang w:val="pt-BR"/>
        </w:rPr>
        <w:t xml:space="preserve">de maneira </w:t>
      </w:r>
      <w:r w:rsidR="002C330E" w:rsidRPr="00D5464D">
        <w:rPr>
          <w:rFonts w:cs="Arial"/>
          <w:szCs w:val="20"/>
          <w:lang w:val="pt-BR"/>
        </w:rPr>
        <w:t>que</w:t>
      </w:r>
      <w:r w:rsidR="00350187" w:rsidRPr="00D5464D">
        <w:rPr>
          <w:rFonts w:cs="Arial"/>
          <w:szCs w:val="20"/>
          <w:lang w:val="pt-BR"/>
        </w:rPr>
        <w:t xml:space="preserve"> </w:t>
      </w:r>
      <w:r w:rsidR="00B5597A" w:rsidRPr="00D5464D">
        <w:rPr>
          <w:rFonts w:cs="Arial"/>
          <w:szCs w:val="20"/>
          <w:lang w:val="pt-BR"/>
        </w:rPr>
        <w:t xml:space="preserve">a Corte </w:t>
      </w:r>
      <w:r w:rsidR="00350187" w:rsidRPr="00D5464D">
        <w:rPr>
          <w:rFonts w:cs="Arial"/>
          <w:szCs w:val="20"/>
          <w:lang w:val="pt-BR"/>
        </w:rPr>
        <w:t>não conta</w:t>
      </w:r>
      <w:r w:rsidR="00470ADC" w:rsidRPr="00D5464D">
        <w:rPr>
          <w:rFonts w:cs="Arial"/>
          <w:szCs w:val="20"/>
          <w:lang w:val="pt-BR"/>
        </w:rPr>
        <w:t xml:space="preserve"> com </w:t>
      </w:r>
      <w:r w:rsidRPr="00D5464D">
        <w:rPr>
          <w:rFonts w:cs="Arial"/>
          <w:szCs w:val="20"/>
          <w:lang w:val="pt-BR"/>
        </w:rPr>
        <w:t>elementos para determinar</w:t>
      </w:r>
      <w:r w:rsidR="002C330E" w:rsidRPr="00D5464D">
        <w:rPr>
          <w:rFonts w:cs="Arial"/>
          <w:szCs w:val="20"/>
          <w:lang w:val="pt-BR"/>
        </w:rPr>
        <w:t xml:space="preserve"> se </w:t>
      </w:r>
      <w:r w:rsidR="00470ADC" w:rsidRPr="00D5464D">
        <w:rPr>
          <w:rFonts w:cs="Arial"/>
          <w:szCs w:val="20"/>
          <w:lang w:val="pt-BR"/>
        </w:rPr>
        <w:t>este</w:t>
      </w:r>
      <w:r w:rsidRPr="00D5464D">
        <w:rPr>
          <w:rFonts w:cs="Arial"/>
          <w:szCs w:val="20"/>
          <w:lang w:val="pt-BR"/>
        </w:rPr>
        <w:t xml:space="preserve"> </w:t>
      </w:r>
      <w:r w:rsidR="002C330E" w:rsidRPr="00D5464D">
        <w:rPr>
          <w:rFonts w:cs="Arial"/>
          <w:szCs w:val="20"/>
          <w:lang w:val="pt-BR"/>
        </w:rPr>
        <w:t>processo</w:t>
      </w:r>
      <w:r w:rsidRPr="00D5464D">
        <w:rPr>
          <w:rFonts w:cs="Arial"/>
          <w:szCs w:val="20"/>
          <w:lang w:val="pt-BR"/>
        </w:rPr>
        <w:t xml:space="preserve"> penal </w:t>
      </w:r>
      <w:r w:rsidR="00737270" w:rsidRPr="00D5464D">
        <w:rPr>
          <w:rFonts w:cs="Arial"/>
          <w:szCs w:val="20"/>
          <w:lang w:val="pt-BR"/>
        </w:rPr>
        <w:t>constituiu</w:t>
      </w:r>
      <w:r w:rsidR="00E045D9" w:rsidRPr="00D5464D">
        <w:rPr>
          <w:rFonts w:cs="Arial"/>
          <w:szCs w:val="20"/>
          <w:lang w:val="pt-BR"/>
        </w:rPr>
        <w:t xml:space="preserve"> um </w:t>
      </w:r>
      <w:r w:rsidRPr="00D5464D">
        <w:rPr>
          <w:rFonts w:cs="Arial"/>
          <w:szCs w:val="20"/>
          <w:lang w:val="pt-BR"/>
        </w:rPr>
        <w:t xml:space="preserve">recurso </w:t>
      </w:r>
      <w:r w:rsidR="00470ADC" w:rsidRPr="00D5464D">
        <w:rPr>
          <w:rFonts w:cs="Arial"/>
          <w:szCs w:val="20"/>
          <w:lang w:val="pt-BR"/>
        </w:rPr>
        <w:t>efetiv</w:t>
      </w:r>
      <w:r w:rsidRPr="00D5464D">
        <w:rPr>
          <w:rFonts w:cs="Arial"/>
          <w:szCs w:val="20"/>
          <w:lang w:val="pt-BR"/>
        </w:rPr>
        <w:t>o para</w:t>
      </w:r>
      <w:r w:rsidR="00230C71" w:rsidRPr="00D5464D">
        <w:rPr>
          <w:rFonts w:cs="Arial"/>
          <w:szCs w:val="20"/>
          <w:lang w:val="pt-BR"/>
        </w:rPr>
        <w:t xml:space="preserve"> a análise</w:t>
      </w:r>
      <w:r w:rsidR="00470ADC" w:rsidRPr="00D5464D">
        <w:rPr>
          <w:rFonts w:cs="Arial"/>
          <w:szCs w:val="20"/>
          <w:lang w:val="pt-BR"/>
        </w:rPr>
        <w:t xml:space="preserve"> da </w:t>
      </w:r>
      <w:r w:rsidRPr="00D5464D">
        <w:rPr>
          <w:rFonts w:cs="Arial"/>
          <w:szCs w:val="20"/>
          <w:lang w:val="pt-BR"/>
        </w:rPr>
        <w:t>responsabil</w:t>
      </w:r>
      <w:r w:rsidR="00E765C2" w:rsidRPr="00D5464D">
        <w:rPr>
          <w:rFonts w:cs="Arial"/>
          <w:szCs w:val="20"/>
          <w:lang w:val="pt-BR"/>
        </w:rPr>
        <w:t>idade,</w:t>
      </w:r>
      <w:r w:rsidR="002C330E" w:rsidRPr="00D5464D">
        <w:rPr>
          <w:rFonts w:cs="Arial"/>
          <w:szCs w:val="20"/>
          <w:lang w:val="pt-BR"/>
        </w:rPr>
        <w:t xml:space="preserve"> a </w:t>
      </w:r>
      <w:r w:rsidRPr="00D5464D">
        <w:rPr>
          <w:rFonts w:cs="Arial"/>
          <w:szCs w:val="20"/>
          <w:lang w:val="pt-BR"/>
        </w:rPr>
        <w:t>determina</w:t>
      </w:r>
      <w:r w:rsidR="00470ADC" w:rsidRPr="00D5464D">
        <w:rPr>
          <w:rFonts w:cs="Arial"/>
          <w:szCs w:val="20"/>
          <w:lang w:val="pt-BR"/>
        </w:rPr>
        <w:t>ção</w:t>
      </w:r>
      <w:r w:rsidRPr="00D5464D">
        <w:rPr>
          <w:rFonts w:cs="Arial"/>
          <w:szCs w:val="20"/>
          <w:lang w:val="pt-BR"/>
        </w:rPr>
        <w:t xml:space="preserve"> de</w:t>
      </w:r>
      <w:r w:rsidR="00E045D9" w:rsidRPr="00D5464D">
        <w:rPr>
          <w:rFonts w:cs="Arial"/>
          <w:szCs w:val="20"/>
          <w:lang w:val="pt-BR"/>
        </w:rPr>
        <w:t xml:space="preserve"> uma </w:t>
      </w:r>
      <w:r w:rsidRPr="00D5464D">
        <w:rPr>
          <w:rFonts w:cs="Arial"/>
          <w:szCs w:val="20"/>
          <w:lang w:val="pt-BR"/>
        </w:rPr>
        <w:t>san</w:t>
      </w:r>
      <w:r w:rsidR="00470ADC" w:rsidRPr="00D5464D">
        <w:rPr>
          <w:rFonts w:cs="Arial"/>
          <w:szCs w:val="20"/>
          <w:lang w:val="pt-BR"/>
        </w:rPr>
        <w:t>ção</w:t>
      </w:r>
      <w:r w:rsidR="002C330E" w:rsidRPr="00D5464D">
        <w:rPr>
          <w:rFonts w:cs="Arial"/>
          <w:szCs w:val="20"/>
          <w:lang w:val="pt-BR"/>
        </w:rPr>
        <w:t xml:space="preserve"> </w:t>
      </w:r>
      <w:r w:rsidR="00B5597A" w:rsidRPr="00D5464D">
        <w:rPr>
          <w:rFonts w:cs="Arial"/>
          <w:szCs w:val="20"/>
          <w:lang w:val="pt-BR"/>
        </w:rPr>
        <w:t xml:space="preserve">ou </w:t>
      </w:r>
      <w:r w:rsidR="002C330E" w:rsidRPr="00D5464D">
        <w:rPr>
          <w:rFonts w:cs="Arial"/>
          <w:szCs w:val="20"/>
          <w:lang w:val="pt-BR"/>
        </w:rPr>
        <w:t xml:space="preserve">a </w:t>
      </w:r>
      <w:r w:rsidRPr="00D5464D">
        <w:rPr>
          <w:rFonts w:cs="Arial"/>
          <w:szCs w:val="20"/>
          <w:lang w:val="pt-BR"/>
        </w:rPr>
        <w:t>repara</w:t>
      </w:r>
      <w:r w:rsidR="00470ADC" w:rsidRPr="00D5464D">
        <w:rPr>
          <w:rFonts w:cs="Arial"/>
          <w:szCs w:val="20"/>
          <w:lang w:val="pt-BR"/>
        </w:rPr>
        <w:t>ção</w:t>
      </w:r>
      <w:r w:rsidR="002C330E" w:rsidRPr="00D5464D">
        <w:rPr>
          <w:rFonts w:cs="Arial"/>
          <w:szCs w:val="20"/>
          <w:lang w:val="pt-BR"/>
        </w:rPr>
        <w:t xml:space="preserve"> pelos fatos</w:t>
      </w:r>
      <w:r w:rsidRPr="00D5464D">
        <w:rPr>
          <w:rFonts w:cs="Arial"/>
          <w:szCs w:val="20"/>
          <w:lang w:val="pt-BR"/>
        </w:rPr>
        <w:t xml:space="preserve"> </w:t>
      </w:r>
      <w:r w:rsidR="00470ADC" w:rsidRPr="00D5464D">
        <w:rPr>
          <w:rFonts w:cs="Arial"/>
          <w:szCs w:val="20"/>
          <w:lang w:val="pt-BR"/>
        </w:rPr>
        <w:t xml:space="preserve">do </w:t>
      </w:r>
      <w:r w:rsidRPr="00D5464D">
        <w:rPr>
          <w:rFonts w:cs="Arial"/>
          <w:szCs w:val="20"/>
          <w:lang w:val="pt-BR"/>
        </w:rPr>
        <w:t>caso.</w:t>
      </w:r>
    </w:p>
    <w:p w14:paraId="38386D4B" w14:textId="77777777" w:rsidR="00D81AA1" w:rsidRPr="00D5464D" w:rsidRDefault="00D81AA1" w:rsidP="00D81AA1">
      <w:pPr>
        <w:pStyle w:val="Prrafodelista"/>
        <w:rPr>
          <w:rFonts w:cs="Arial"/>
          <w:bCs/>
          <w:iCs/>
          <w:szCs w:val="20"/>
          <w:lang w:val="pt-BR"/>
        </w:rPr>
      </w:pPr>
    </w:p>
    <w:p w14:paraId="67C5A285" w14:textId="0D2825C5" w:rsidR="00D81AA1" w:rsidRPr="00D5464D" w:rsidRDefault="00D81AA1" w:rsidP="00D81AA1">
      <w:pPr>
        <w:pStyle w:val="Prrafodelista"/>
        <w:numPr>
          <w:ilvl w:val="0"/>
          <w:numId w:val="1"/>
        </w:numPr>
        <w:autoSpaceDE w:val="0"/>
        <w:autoSpaceDN w:val="0"/>
        <w:adjustRightInd w:val="0"/>
        <w:contextualSpacing w:val="0"/>
        <w:rPr>
          <w:rFonts w:cs="Arial"/>
          <w:bCs/>
          <w:iCs/>
          <w:szCs w:val="20"/>
          <w:lang w:val="pt-BR"/>
        </w:rPr>
      </w:pPr>
      <w:r w:rsidRPr="00D5464D">
        <w:rPr>
          <w:rFonts w:cs="Arial"/>
          <w:bCs/>
          <w:iCs/>
          <w:szCs w:val="20"/>
          <w:lang w:val="pt-BR"/>
        </w:rPr>
        <w:t xml:space="preserve">Por </w:t>
      </w:r>
      <w:r w:rsidR="00C91CB1" w:rsidRPr="00D5464D">
        <w:rPr>
          <w:rFonts w:cs="Arial"/>
          <w:bCs/>
          <w:iCs/>
          <w:szCs w:val="20"/>
          <w:lang w:val="pt-BR"/>
        </w:rPr>
        <w:t>todo o anterior</w:t>
      </w:r>
      <w:r w:rsidRPr="00D5464D">
        <w:rPr>
          <w:rFonts w:cs="Arial"/>
          <w:bCs/>
          <w:iCs/>
          <w:szCs w:val="20"/>
          <w:lang w:val="pt-BR"/>
        </w:rPr>
        <w:t>,</w:t>
      </w:r>
      <w:r w:rsidR="002C330E" w:rsidRPr="00D5464D">
        <w:rPr>
          <w:rFonts w:cs="Arial"/>
          <w:bCs/>
          <w:iCs/>
          <w:szCs w:val="20"/>
          <w:lang w:val="pt-BR"/>
        </w:rPr>
        <w:t xml:space="preserve"> a </w:t>
      </w:r>
      <w:r w:rsidRPr="00D5464D">
        <w:rPr>
          <w:rFonts w:cs="Arial"/>
          <w:bCs/>
          <w:iCs/>
          <w:szCs w:val="20"/>
          <w:lang w:val="pt-BR"/>
        </w:rPr>
        <w:t xml:space="preserve">Corte </w:t>
      </w:r>
      <w:r w:rsidR="00470ADC" w:rsidRPr="00D5464D">
        <w:rPr>
          <w:rFonts w:cs="Arial"/>
          <w:bCs/>
          <w:iCs/>
          <w:szCs w:val="20"/>
          <w:lang w:val="pt-BR"/>
        </w:rPr>
        <w:t>adverte</w:t>
      </w:r>
      <w:r w:rsidRPr="00D5464D">
        <w:rPr>
          <w:rFonts w:cs="Arial"/>
          <w:bCs/>
          <w:iCs/>
          <w:szCs w:val="20"/>
          <w:lang w:val="pt-BR"/>
        </w:rPr>
        <w:t xml:space="preserve"> que </w:t>
      </w:r>
      <w:r w:rsidR="00230C71" w:rsidRPr="00D5464D">
        <w:rPr>
          <w:rFonts w:cs="Arial"/>
          <w:bCs/>
          <w:iCs/>
          <w:szCs w:val="20"/>
          <w:lang w:val="pt-BR"/>
        </w:rPr>
        <w:t>nenhum</w:t>
      </w:r>
      <w:r w:rsidR="00737270" w:rsidRPr="00D5464D">
        <w:rPr>
          <w:rFonts w:cs="Arial"/>
          <w:bCs/>
          <w:iCs/>
          <w:szCs w:val="20"/>
          <w:lang w:val="pt-BR"/>
        </w:rPr>
        <w:t xml:space="preserve"> dos</w:t>
      </w:r>
      <w:r w:rsidR="00470ADC" w:rsidRPr="00D5464D">
        <w:rPr>
          <w:rFonts w:cs="Arial"/>
          <w:bCs/>
          <w:iCs/>
          <w:szCs w:val="20"/>
          <w:lang w:val="pt-BR"/>
        </w:rPr>
        <w:t xml:space="preserve"> </w:t>
      </w:r>
      <w:r w:rsidR="002C330E" w:rsidRPr="00D5464D">
        <w:rPr>
          <w:rFonts w:cs="Arial"/>
          <w:bCs/>
          <w:iCs/>
          <w:szCs w:val="20"/>
          <w:lang w:val="pt-BR"/>
        </w:rPr>
        <w:t>procedimento</w:t>
      </w:r>
      <w:r w:rsidRPr="00D5464D">
        <w:rPr>
          <w:rFonts w:cs="Arial"/>
          <w:bCs/>
          <w:iCs/>
          <w:szCs w:val="20"/>
          <w:lang w:val="pt-BR"/>
        </w:rPr>
        <w:t>s</w:t>
      </w:r>
      <w:r w:rsidR="00470ADC" w:rsidRPr="00D5464D">
        <w:rPr>
          <w:rFonts w:cs="Arial"/>
          <w:bCs/>
          <w:iCs/>
          <w:szCs w:val="20"/>
          <w:lang w:val="pt-BR"/>
        </w:rPr>
        <w:t xml:space="preserve"> </w:t>
      </w:r>
      <w:r w:rsidR="00B5597A" w:rsidRPr="00D5464D">
        <w:rPr>
          <w:rFonts w:cs="Arial"/>
          <w:bCs/>
          <w:iCs/>
          <w:szCs w:val="20"/>
          <w:lang w:val="pt-BR"/>
        </w:rPr>
        <w:t xml:space="preserve">a respeito dos quais </w:t>
      </w:r>
      <w:r w:rsidR="002C330E" w:rsidRPr="00D5464D">
        <w:rPr>
          <w:rFonts w:cs="Arial"/>
          <w:bCs/>
          <w:iCs/>
          <w:szCs w:val="20"/>
          <w:lang w:val="pt-BR"/>
        </w:rPr>
        <w:t>recebeu</w:t>
      </w:r>
      <w:r w:rsidR="008E396F" w:rsidRPr="00D5464D">
        <w:rPr>
          <w:rFonts w:cs="Arial"/>
          <w:bCs/>
          <w:iCs/>
          <w:szCs w:val="20"/>
          <w:lang w:val="pt-BR"/>
        </w:rPr>
        <w:t xml:space="preserve"> informa</w:t>
      </w:r>
      <w:r w:rsidR="00470ADC" w:rsidRPr="00D5464D">
        <w:rPr>
          <w:rFonts w:cs="Arial"/>
          <w:bCs/>
          <w:iCs/>
          <w:szCs w:val="20"/>
          <w:lang w:val="pt-BR"/>
        </w:rPr>
        <w:t>ção</w:t>
      </w:r>
      <w:r w:rsidRPr="00D5464D">
        <w:rPr>
          <w:rFonts w:cs="Arial"/>
          <w:bCs/>
          <w:iCs/>
          <w:szCs w:val="20"/>
          <w:lang w:val="pt-BR"/>
        </w:rPr>
        <w:t xml:space="preserve"> </w:t>
      </w:r>
      <w:r w:rsidR="00470ADC" w:rsidRPr="00D5464D">
        <w:rPr>
          <w:rFonts w:cs="Arial"/>
          <w:bCs/>
          <w:iCs/>
          <w:szCs w:val="20"/>
          <w:lang w:val="pt-BR"/>
        </w:rPr>
        <w:t>determinou</w:t>
      </w:r>
      <w:r w:rsidRPr="00D5464D">
        <w:rPr>
          <w:rFonts w:cs="Arial"/>
          <w:bCs/>
          <w:iCs/>
          <w:szCs w:val="20"/>
          <w:lang w:val="pt-BR"/>
        </w:rPr>
        <w:t xml:space="preserve"> </w:t>
      </w:r>
      <w:r w:rsidR="00B5597A" w:rsidRPr="00D5464D">
        <w:rPr>
          <w:rFonts w:cs="Arial"/>
          <w:bCs/>
          <w:iCs/>
          <w:szCs w:val="20"/>
          <w:lang w:val="pt-BR"/>
        </w:rPr>
        <w:t xml:space="preserve">qualquer </w:t>
      </w:r>
      <w:r w:rsidRPr="00D5464D">
        <w:rPr>
          <w:rFonts w:cs="Arial"/>
          <w:bCs/>
          <w:iCs/>
          <w:szCs w:val="20"/>
          <w:lang w:val="pt-BR"/>
        </w:rPr>
        <w:t xml:space="preserve">tipo de </w:t>
      </w:r>
      <w:r w:rsidR="002C330E" w:rsidRPr="00D5464D">
        <w:rPr>
          <w:rFonts w:cs="Arial"/>
          <w:bCs/>
          <w:iCs/>
          <w:szCs w:val="20"/>
          <w:lang w:val="pt-BR"/>
        </w:rPr>
        <w:t>responsabilida</w:t>
      </w:r>
      <w:r w:rsidR="00E045D9" w:rsidRPr="00D5464D">
        <w:rPr>
          <w:rFonts w:cs="Arial"/>
          <w:bCs/>
          <w:iCs/>
          <w:szCs w:val="20"/>
          <w:lang w:val="pt-BR"/>
        </w:rPr>
        <w:t>d</w:t>
      </w:r>
      <w:r w:rsidR="00B5597A" w:rsidRPr="00D5464D">
        <w:rPr>
          <w:rFonts w:cs="Arial"/>
          <w:bCs/>
          <w:iCs/>
          <w:szCs w:val="20"/>
          <w:lang w:val="pt-BR"/>
        </w:rPr>
        <w:t xml:space="preserve">e </w:t>
      </w:r>
      <w:r w:rsidR="000D0116" w:rsidRPr="00D5464D">
        <w:rPr>
          <w:rFonts w:cs="Arial"/>
          <w:bCs/>
          <w:iCs/>
          <w:szCs w:val="20"/>
          <w:lang w:val="pt-BR"/>
        </w:rPr>
        <w:t>em relação à</w:t>
      </w:r>
      <w:r w:rsidR="00470ADC" w:rsidRPr="00D5464D">
        <w:rPr>
          <w:rFonts w:cs="Arial"/>
          <w:bCs/>
          <w:iCs/>
          <w:szCs w:val="20"/>
          <w:lang w:val="pt-BR"/>
        </w:rPr>
        <w:t>s conduta</w:t>
      </w:r>
      <w:r w:rsidRPr="00D5464D">
        <w:rPr>
          <w:rFonts w:cs="Arial"/>
          <w:bCs/>
          <w:iCs/>
          <w:szCs w:val="20"/>
          <w:lang w:val="pt-BR"/>
        </w:rPr>
        <w:t>s denunciadas,</w:t>
      </w:r>
      <w:r w:rsidR="002C330E" w:rsidRPr="00D5464D">
        <w:rPr>
          <w:rFonts w:cs="Arial"/>
          <w:bCs/>
          <w:iCs/>
          <w:szCs w:val="20"/>
          <w:lang w:val="pt-BR"/>
        </w:rPr>
        <w:t xml:space="preserve"> </w:t>
      </w:r>
      <w:r w:rsidR="00F84CCF" w:rsidRPr="00D5464D">
        <w:rPr>
          <w:rFonts w:cs="Arial"/>
          <w:bCs/>
          <w:iCs/>
          <w:szCs w:val="20"/>
          <w:lang w:val="pt-BR"/>
        </w:rPr>
        <w:t xml:space="preserve">de maneira que </w:t>
      </w:r>
      <w:r w:rsidR="00B5597A" w:rsidRPr="00D5464D">
        <w:rPr>
          <w:rFonts w:cs="Arial"/>
          <w:bCs/>
          <w:iCs/>
          <w:szCs w:val="20"/>
          <w:lang w:val="pt-BR"/>
        </w:rPr>
        <w:t xml:space="preserve">não </w:t>
      </w:r>
      <w:r w:rsidR="00F84CCF" w:rsidRPr="00D5464D">
        <w:rPr>
          <w:rFonts w:cs="Arial"/>
          <w:bCs/>
          <w:iCs/>
          <w:szCs w:val="20"/>
          <w:lang w:val="pt-BR"/>
        </w:rPr>
        <w:t>constituíram</w:t>
      </w:r>
      <w:r w:rsidR="00FF1290" w:rsidRPr="00D5464D">
        <w:rPr>
          <w:rFonts w:cs="Arial"/>
          <w:bCs/>
          <w:iCs/>
          <w:szCs w:val="20"/>
          <w:lang w:val="pt-BR"/>
        </w:rPr>
        <w:t xml:space="preserve"> </w:t>
      </w:r>
      <w:r w:rsidR="002C330E" w:rsidRPr="00D5464D">
        <w:rPr>
          <w:rFonts w:cs="Arial"/>
          <w:bCs/>
          <w:iCs/>
          <w:szCs w:val="20"/>
          <w:lang w:val="pt-BR"/>
        </w:rPr>
        <w:t>meio</w:t>
      </w:r>
      <w:r w:rsidR="00B5597A" w:rsidRPr="00D5464D">
        <w:rPr>
          <w:rFonts w:cs="Arial"/>
          <w:bCs/>
          <w:iCs/>
          <w:szCs w:val="20"/>
          <w:lang w:val="pt-BR"/>
        </w:rPr>
        <w:t>s</w:t>
      </w:r>
      <w:r w:rsidR="002C330E" w:rsidRPr="00D5464D">
        <w:rPr>
          <w:rFonts w:cs="Arial"/>
          <w:bCs/>
          <w:iCs/>
          <w:szCs w:val="20"/>
          <w:lang w:val="pt-BR"/>
        </w:rPr>
        <w:t xml:space="preserve"> </w:t>
      </w:r>
      <w:r w:rsidRPr="00D5464D">
        <w:rPr>
          <w:rFonts w:cs="Arial"/>
          <w:bCs/>
          <w:iCs/>
          <w:szCs w:val="20"/>
          <w:lang w:val="pt-BR"/>
        </w:rPr>
        <w:t xml:space="preserve">para </w:t>
      </w:r>
      <w:r w:rsidR="002C330E" w:rsidRPr="00D5464D">
        <w:rPr>
          <w:rFonts w:cs="Arial"/>
          <w:bCs/>
          <w:iCs/>
          <w:szCs w:val="20"/>
          <w:lang w:val="pt-BR"/>
        </w:rPr>
        <w:t xml:space="preserve">obter a </w:t>
      </w:r>
      <w:r w:rsidRPr="00D5464D">
        <w:rPr>
          <w:rFonts w:cs="Arial"/>
          <w:bCs/>
          <w:iCs/>
          <w:szCs w:val="20"/>
          <w:lang w:val="pt-BR"/>
        </w:rPr>
        <w:t>repara</w:t>
      </w:r>
      <w:r w:rsidR="00470ADC" w:rsidRPr="00D5464D">
        <w:rPr>
          <w:rFonts w:cs="Arial"/>
          <w:bCs/>
          <w:iCs/>
          <w:szCs w:val="20"/>
          <w:lang w:val="pt-BR"/>
        </w:rPr>
        <w:t>ção</w:t>
      </w:r>
      <w:r w:rsidRPr="00D5464D">
        <w:rPr>
          <w:rFonts w:cs="Arial"/>
          <w:bCs/>
          <w:iCs/>
          <w:szCs w:val="20"/>
          <w:lang w:val="pt-BR"/>
        </w:rPr>
        <w:t xml:space="preserve"> de</w:t>
      </w:r>
      <w:r w:rsidR="00470ADC" w:rsidRPr="00D5464D">
        <w:rPr>
          <w:rFonts w:cs="Arial"/>
          <w:bCs/>
          <w:iCs/>
          <w:szCs w:val="20"/>
          <w:lang w:val="pt-BR"/>
        </w:rPr>
        <w:t xml:space="preserve"> dano</w:t>
      </w:r>
      <w:r w:rsidR="00E045D9" w:rsidRPr="00D5464D">
        <w:rPr>
          <w:rFonts w:cs="Arial"/>
          <w:bCs/>
          <w:iCs/>
          <w:szCs w:val="20"/>
          <w:lang w:val="pt-BR"/>
        </w:rPr>
        <w:t xml:space="preserve"> às vítima</w:t>
      </w:r>
      <w:r w:rsidRPr="00D5464D">
        <w:rPr>
          <w:rFonts w:cs="Arial"/>
          <w:bCs/>
          <w:iCs/>
          <w:szCs w:val="20"/>
          <w:lang w:val="pt-BR"/>
        </w:rPr>
        <w:t xml:space="preserve">s, </w:t>
      </w:r>
      <w:r w:rsidR="00F84CCF" w:rsidRPr="00D5464D">
        <w:rPr>
          <w:rFonts w:cs="Arial"/>
          <w:bCs/>
          <w:iCs/>
          <w:szCs w:val="20"/>
          <w:lang w:val="pt-BR"/>
        </w:rPr>
        <w:t xml:space="preserve">pois </w:t>
      </w:r>
      <w:r w:rsidR="00470ADC" w:rsidRPr="00D5464D">
        <w:rPr>
          <w:rFonts w:cs="Arial"/>
          <w:bCs/>
          <w:iCs/>
          <w:szCs w:val="20"/>
          <w:lang w:val="pt-BR"/>
        </w:rPr>
        <w:t xml:space="preserve">em </w:t>
      </w:r>
      <w:r w:rsidR="00230C71" w:rsidRPr="00D5464D">
        <w:rPr>
          <w:rFonts w:cs="Arial"/>
          <w:bCs/>
          <w:iCs/>
          <w:szCs w:val="20"/>
          <w:lang w:val="pt-BR"/>
        </w:rPr>
        <w:t>nenhum</w:t>
      </w:r>
      <w:r w:rsidR="00737270" w:rsidRPr="00D5464D">
        <w:rPr>
          <w:rFonts w:cs="Arial"/>
          <w:bCs/>
          <w:iCs/>
          <w:szCs w:val="20"/>
          <w:lang w:val="pt-BR"/>
        </w:rPr>
        <w:t xml:space="preserve"> dos</w:t>
      </w:r>
      <w:r w:rsidR="00470ADC" w:rsidRPr="00D5464D">
        <w:rPr>
          <w:rFonts w:cs="Arial"/>
          <w:bCs/>
          <w:iCs/>
          <w:szCs w:val="20"/>
          <w:lang w:val="pt-BR"/>
        </w:rPr>
        <w:t xml:space="preserve"> </w:t>
      </w:r>
      <w:r w:rsidR="002C330E" w:rsidRPr="00D5464D">
        <w:rPr>
          <w:rFonts w:cs="Arial"/>
          <w:bCs/>
          <w:iCs/>
          <w:szCs w:val="20"/>
          <w:lang w:val="pt-BR"/>
        </w:rPr>
        <w:t>processo</w:t>
      </w:r>
      <w:r w:rsidRPr="00D5464D">
        <w:rPr>
          <w:rFonts w:cs="Arial"/>
          <w:bCs/>
          <w:iCs/>
          <w:szCs w:val="20"/>
          <w:lang w:val="pt-BR"/>
        </w:rPr>
        <w:t xml:space="preserve">s </w:t>
      </w:r>
      <w:r w:rsidR="00B5597A" w:rsidRPr="00D5464D">
        <w:rPr>
          <w:rFonts w:cs="Arial"/>
          <w:bCs/>
          <w:iCs/>
          <w:szCs w:val="20"/>
          <w:lang w:val="pt-BR"/>
        </w:rPr>
        <w:t xml:space="preserve">foi realizado </w:t>
      </w:r>
      <w:r w:rsidR="00E045D9" w:rsidRPr="00D5464D">
        <w:rPr>
          <w:rFonts w:cs="Arial"/>
          <w:bCs/>
          <w:iCs/>
          <w:szCs w:val="20"/>
          <w:lang w:val="pt-BR"/>
        </w:rPr>
        <w:t xml:space="preserve">um </w:t>
      </w:r>
      <w:r w:rsidR="00470ADC" w:rsidRPr="00D5464D">
        <w:rPr>
          <w:rFonts w:cs="Arial"/>
          <w:bCs/>
          <w:iCs/>
          <w:szCs w:val="20"/>
          <w:lang w:val="pt-BR"/>
        </w:rPr>
        <w:t>estudo</w:t>
      </w:r>
      <w:r w:rsidRPr="00D5464D">
        <w:rPr>
          <w:rFonts w:cs="Arial"/>
          <w:bCs/>
          <w:iCs/>
          <w:szCs w:val="20"/>
          <w:lang w:val="pt-BR"/>
        </w:rPr>
        <w:t xml:space="preserve"> de </w:t>
      </w:r>
      <w:r w:rsidR="00470ADC" w:rsidRPr="00D5464D">
        <w:rPr>
          <w:rFonts w:cs="Arial"/>
          <w:bCs/>
          <w:iCs/>
          <w:szCs w:val="20"/>
          <w:lang w:val="pt-BR"/>
        </w:rPr>
        <w:t>mérito</w:t>
      </w:r>
      <w:r w:rsidRPr="00D5464D">
        <w:rPr>
          <w:rFonts w:cs="Arial"/>
          <w:bCs/>
          <w:iCs/>
          <w:szCs w:val="20"/>
          <w:lang w:val="pt-BR"/>
        </w:rPr>
        <w:t xml:space="preserve"> de cada </w:t>
      </w:r>
      <w:r w:rsidR="00470ADC" w:rsidRPr="00D5464D">
        <w:rPr>
          <w:rFonts w:cs="Arial"/>
          <w:bCs/>
          <w:iCs/>
          <w:szCs w:val="20"/>
          <w:lang w:val="pt-BR"/>
        </w:rPr>
        <w:t>questão</w:t>
      </w:r>
      <w:r w:rsidRPr="00D5464D">
        <w:rPr>
          <w:rFonts w:cs="Arial"/>
          <w:bCs/>
          <w:iCs/>
          <w:szCs w:val="20"/>
          <w:lang w:val="pt-BR"/>
        </w:rPr>
        <w:t xml:space="preserve"> </w:t>
      </w:r>
      <w:r w:rsidR="00350187" w:rsidRPr="00D5464D">
        <w:rPr>
          <w:rFonts w:cs="Arial"/>
          <w:bCs/>
          <w:iCs/>
          <w:szCs w:val="20"/>
          <w:lang w:val="pt-BR"/>
        </w:rPr>
        <w:t>propost</w:t>
      </w:r>
      <w:r w:rsidRPr="00D5464D">
        <w:rPr>
          <w:rFonts w:cs="Arial"/>
          <w:bCs/>
          <w:iCs/>
          <w:szCs w:val="20"/>
          <w:lang w:val="pt-BR"/>
        </w:rPr>
        <w:t>a.</w:t>
      </w:r>
      <w:r w:rsidR="00FF1290" w:rsidRPr="00D5464D">
        <w:rPr>
          <w:rFonts w:cs="Arial"/>
          <w:bCs/>
          <w:iCs/>
          <w:szCs w:val="20"/>
          <w:lang w:val="pt-BR"/>
        </w:rPr>
        <w:t xml:space="preserve"> </w:t>
      </w:r>
      <w:r w:rsidR="00FF1290" w:rsidRPr="00D5464D">
        <w:rPr>
          <w:rFonts w:cs="Arial"/>
          <w:szCs w:val="20"/>
          <w:lang w:val="pt-BR"/>
        </w:rPr>
        <w:t xml:space="preserve"> </w:t>
      </w:r>
    </w:p>
    <w:p w14:paraId="23F8C513" w14:textId="77777777" w:rsidR="00D81AA1" w:rsidRPr="00D5464D" w:rsidRDefault="00D81AA1" w:rsidP="00D81AA1">
      <w:pPr>
        <w:jc w:val="both"/>
        <w:rPr>
          <w:rFonts w:cs="Arial"/>
          <w:bCs/>
          <w:iCs/>
          <w:szCs w:val="20"/>
          <w:lang w:val="pt-BR"/>
        </w:rPr>
      </w:pPr>
    </w:p>
    <w:p w14:paraId="19AD2DF1" w14:textId="03751BEC" w:rsidR="00D81AA1" w:rsidRPr="00D5464D" w:rsidRDefault="00D81AA1" w:rsidP="00D81AA1">
      <w:pPr>
        <w:pStyle w:val="Prrafodelista"/>
        <w:numPr>
          <w:ilvl w:val="0"/>
          <w:numId w:val="1"/>
        </w:numPr>
        <w:autoSpaceDE w:val="0"/>
        <w:autoSpaceDN w:val="0"/>
        <w:adjustRightInd w:val="0"/>
        <w:contextualSpacing w:val="0"/>
        <w:rPr>
          <w:rFonts w:cs="Arial"/>
          <w:bCs/>
          <w:iCs/>
          <w:szCs w:val="20"/>
          <w:lang w:val="pt-BR"/>
        </w:rPr>
      </w:pPr>
      <w:r w:rsidRPr="00D5464D">
        <w:rPr>
          <w:rFonts w:cs="Arial"/>
          <w:szCs w:val="20"/>
          <w:lang w:val="pt-BR"/>
        </w:rPr>
        <w:t>Esta situa</w:t>
      </w:r>
      <w:r w:rsidR="00470ADC" w:rsidRPr="00D5464D">
        <w:rPr>
          <w:rFonts w:cs="Arial"/>
          <w:szCs w:val="20"/>
          <w:lang w:val="pt-BR"/>
        </w:rPr>
        <w:t>ção</w:t>
      </w:r>
      <w:r w:rsidRPr="00D5464D">
        <w:rPr>
          <w:rFonts w:cs="Arial"/>
          <w:szCs w:val="20"/>
          <w:lang w:val="pt-BR"/>
        </w:rPr>
        <w:t xml:space="preserve"> se </w:t>
      </w:r>
      <w:r w:rsidR="00E045D9" w:rsidRPr="00D5464D">
        <w:rPr>
          <w:rFonts w:cs="Arial"/>
          <w:szCs w:val="20"/>
          <w:lang w:val="pt-BR"/>
        </w:rPr>
        <w:t>traduziu</w:t>
      </w:r>
      <w:r w:rsidR="00470ADC" w:rsidRPr="00D5464D">
        <w:rPr>
          <w:rFonts w:cs="Arial"/>
          <w:szCs w:val="20"/>
          <w:lang w:val="pt-BR"/>
        </w:rPr>
        <w:t xml:space="preserve"> em</w:t>
      </w:r>
      <w:r w:rsidR="00E045D9" w:rsidRPr="00D5464D">
        <w:rPr>
          <w:rFonts w:cs="Arial"/>
          <w:szCs w:val="20"/>
          <w:lang w:val="pt-BR"/>
        </w:rPr>
        <w:t xml:space="preserve"> uma </w:t>
      </w:r>
      <w:r w:rsidRPr="00D5464D">
        <w:rPr>
          <w:rFonts w:cs="Arial"/>
          <w:szCs w:val="20"/>
          <w:lang w:val="pt-BR"/>
        </w:rPr>
        <w:t>denega</w:t>
      </w:r>
      <w:r w:rsidR="00470ADC" w:rsidRPr="00D5464D">
        <w:rPr>
          <w:rFonts w:cs="Arial"/>
          <w:szCs w:val="20"/>
          <w:lang w:val="pt-BR"/>
        </w:rPr>
        <w:t>ção</w:t>
      </w:r>
      <w:r w:rsidRPr="00D5464D">
        <w:rPr>
          <w:rFonts w:cs="Arial"/>
          <w:szCs w:val="20"/>
          <w:lang w:val="pt-BR"/>
        </w:rPr>
        <w:t xml:space="preserve"> de </w:t>
      </w:r>
      <w:r w:rsidR="002C330E" w:rsidRPr="00D5464D">
        <w:rPr>
          <w:rFonts w:cs="Arial"/>
          <w:szCs w:val="20"/>
          <w:lang w:val="pt-BR"/>
        </w:rPr>
        <w:t>justiça</w:t>
      </w:r>
      <w:r w:rsidR="00470ADC" w:rsidRPr="00D5464D">
        <w:rPr>
          <w:rFonts w:cs="Arial"/>
          <w:szCs w:val="20"/>
          <w:lang w:val="pt-BR"/>
        </w:rPr>
        <w:t xml:space="preserve"> em </w:t>
      </w:r>
      <w:r w:rsidR="002C330E" w:rsidRPr="00D5464D">
        <w:rPr>
          <w:rFonts w:cs="Arial"/>
          <w:szCs w:val="20"/>
          <w:lang w:val="pt-BR"/>
        </w:rPr>
        <w:t>prejuízo</w:t>
      </w:r>
      <w:r w:rsidR="00470ADC" w:rsidRPr="00D5464D">
        <w:rPr>
          <w:rFonts w:cs="Arial"/>
          <w:szCs w:val="20"/>
          <w:lang w:val="pt-BR"/>
        </w:rPr>
        <w:t xml:space="preserve"> das </w:t>
      </w:r>
      <w:r w:rsidR="00E045D9" w:rsidRPr="00D5464D">
        <w:rPr>
          <w:rFonts w:cs="Arial"/>
          <w:szCs w:val="20"/>
          <w:lang w:val="pt-BR"/>
        </w:rPr>
        <w:t>vítima</w:t>
      </w:r>
      <w:r w:rsidRPr="00D5464D">
        <w:rPr>
          <w:rFonts w:cs="Arial"/>
          <w:szCs w:val="20"/>
          <w:lang w:val="pt-BR"/>
        </w:rPr>
        <w:t>s,</w:t>
      </w:r>
      <w:r w:rsidR="002C330E" w:rsidRPr="00D5464D">
        <w:rPr>
          <w:rFonts w:cs="Arial"/>
          <w:szCs w:val="20"/>
          <w:lang w:val="pt-BR"/>
        </w:rPr>
        <w:t xml:space="preserve"> pois </w:t>
      </w:r>
      <w:r w:rsidR="00737270" w:rsidRPr="00D5464D">
        <w:rPr>
          <w:rFonts w:cs="Arial"/>
          <w:szCs w:val="20"/>
          <w:lang w:val="pt-BR"/>
        </w:rPr>
        <w:t>não foi possível</w:t>
      </w:r>
      <w:r w:rsidR="00B5597A" w:rsidRPr="00D5464D">
        <w:rPr>
          <w:rFonts w:cs="Arial"/>
          <w:szCs w:val="20"/>
          <w:lang w:val="pt-BR"/>
        </w:rPr>
        <w:t xml:space="preserve"> garantir-lhes</w:t>
      </w:r>
      <w:r w:rsidRPr="00D5464D">
        <w:rPr>
          <w:rFonts w:cs="Arial"/>
          <w:szCs w:val="20"/>
          <w:lang w:val="pt-BR"/>
        </w:rPr>
        <w:t>, material</w:t>
      </w:r>
      <w:r w:rsidR="00E045D9" w:rsidRPr="00D5464D">
        <w:rPr>
          <w:rFonts w:cs="Arial"/>
          <w:szCs w:val="20"/>
          <w:lang w:val="pt-BR"/>
        </w:rPr>
        <w:t xml:space="preserve"> e </w:t>
      </w:r>
      <w:r w:rsidR="002C330E" w:rsidRPr="00D5464D">
        <w:rPr>
          <w:rFonts w:cs="Arial"/>
          <w:szCs w:val="20"/>
          <w:lang w:val="pt-BR"/>
        </w:rPr>
        <w:t>juridicamente</w:t>
      </w:r>
      <w:r w:rsidRPr="00D5464D">
        <w:rPr>
          <w:rFonts w:cs="Arial"/>
          <w:szCs w:val="20"/>
          <w:lang w:val="pt-BR"/>
        </w:rPr>
        <w:t>,</w:t>
      </w:r>
      <w:r w:rsidR="002C330E" w:rsidRPr="00D5464D">
        <w:rPr>
          <w:rFonts w:cs="Arial"/>
          <w:szCs w:val="20"/>
          <w:lang w:val="pt-BR"/>
        </w:rPr>
        <w:t xml:space="preserve"> a proteção</w:t>
      </w:r>
      <w:r w:rsidRPr="00D5464D">
        <w:rPr>
          <w:rFonts w:cs="Arial"/>
          <w:szCs w:val="20"/>
          <w:lang w:val="pt-BR"/>
        </w:rPr>
        <w:t xml:space="preserve"> judicial</w:t>
      </w:r>
      <w:r w:rsidR="00E045D9" w:rsidRPr="00D5464D">
        <w:rPr>
          <w:rFonts w:cs="Arial"/>
          <w:szCs w:val="20"/>
          <w:lang w:val="pt-BR"/>
        </w:rPr>
        <w:t xml:space="preserve"> no </w:t>
      </w:r>
      <w:r w:rsidRPr="00D5464D">
        <w:rPr>
          <w:rFonts w:cs="Arial"/>
          <w:szCs w:val="20"/>
          <w:lang w:val="pt-BR"/>
        </w:rPr>
        <w:t>presente caso</w:t>
      </w:r>
      <w:r w:rsidR="00A1358C" w:rsidRPr="00D5464D">
        <w:rPr>
          <w:rFonts w:cs="Arial"/>
          <w:szCs w:val="20"/>
          <w:lang w:val="pt-BR"/>
        </w:rPr>
        <w:t xml:space="preserve">. O </w:t>
      </w:r>
      <w:r w:rsidRPr="00D5464D">
        <w:rPr>
          <w:rFonts w:cs="Arial"/>
          <w:szCs w:val="20"/>
          <w:lang w:val="pt-BR"/>
        </w:rPr>
        <w:t>Estado n</w:t>
      </w:r>
      <w:r w:rsidR="00B5597A" w:rsidRPr="00D5464D">
        <w:rPr>
          <w:rFonts w:cs="Arial"/>
          <w:szCs w:val="20"/>
          <w:lang w:val="pt-BR"/>
        </w:rPr>
        <w:t xml:space="preserve">ão ofereceu </w:t>
      </w:r>
      <w:r w:rsidR="00E045D9" w:rsidRPr="00D5464D">
        <w:rPr>
          <w:rFonts w:cs="Arial"/>
          <w:szCs w:val="20"/>
          <w:lang w:val="pt-BR"/>
        </w:rPr>
        <w:t>às vítima</w:t>
      </w:r>
      <w:r w:rsidRPr="00D5464D">
        <w:rPr>
          <w:rFonts w:cs="Arial"/>
          <w:szCs w:val="20"/>
          <w:lang w:val="pt-BR"/>
        </w:rPr>
        <w:t xml:space="preserve">s </w:t>
      </w:r>
      <w:r w:rsidR="00E045D9" w:rsidRPr="00D5464D">
        <w:rPr>
          <w:rFonts w:cs="Arial"/>
          <w:szCs w:val="20"/>
          <w:lang w:val="pt-BR"/>
        </w:rPr>
        <w:t xml:space="preserve">um </w:t>
      </w:r>
      <w:r w:rsidRPr="00D5464D">
        <w:rPr>
          <w:rFonts w:cs="Arial"/>
          <w:szCs w:val="20"/>
          <w:lang w:val="pt-BR"/>
        </w:rPr>
        <w:t xml:space="preserve">recurso </w:t>
      </w:r>
      <w:r w:rsidR="00470ADC" w:rsidRPr="00D5464D">
        <w:rPr>
          <w:rFonts w:cs="Arial"/>
          <w:szCs w:val="20"/>
          <w:lang w:val="pt-BR"/>
        </w:rPr>
        <w:t>efetiv</w:t>
      </w:r>
      <w:r w:rsidRPr="00D5464D">
        <w:rPr>
          <w:rFonts w:cs="Arial"/>
          <w:szCs w:val="20"/>
          <w:lang w:val="pt-BR"/>
        </w:rPr>
        <w:t>o</w:t>
      </w:r>
      <w:r w:rsidR="00470ADC" w:rsidRPr="00D5464D">
        <w:rPr>
          <w:rFonts w:cs="Arial"/>
          <w:szCs w:val="20"/>
          <w:lang w:val="pt-BR"/>
        </w:rPr>
        <w:t xml:space="preserve"> através das </w:t>
      </w:r>
      <w:r w:rsidRPr="00D5464D">
        <w:rPr>
          <w:rFonts w:cs="Arial"/>
          <w:szCs w:val="20"/>
          <w:lang w:val="pt-BR"/>
        </w:rPr>
        <w:t xml:space="preserve">autoridades </w:t>
      </w:r>
      <w:r w:rsidR="00A1358C" w:rsidRPr="00D5464D">
        <w:rPr>
          <w:rFonts w:cs="Arial"/>
          <w:szCs w:val="20"/>
          <w:lang w:val="pt-BR"/>
        </w:rPr>
        <w:t>competente</w:t>
      </w:r>
      <w:r w:rsidRPr="00D5464D">
        <w:rPr>
          <w:rFonts w:cs="Arial"/>
          <w:szCs w:val="20"/>
          <w:lang w:val="pt-BR"/>
        </w:rPr>
        <w:t xml:space="preserve">s, que </w:t>
      </w:r>
      <w:r w:rsidR="00B5597A" w:rsidRPr="00D5464D">
        <w:rPr>
          <w:rFonts w:cs="Arial"/>
          <w:szCs w:val="20"/>
          <w:lang w:val="pt-BR"/>
        </w:rPr>
        <w:t>protegesse os</w:t>
      </w:r>
      <w:r w:rsidRPr="00D5464D">
        <w:rPr>
          <w:rFonts w:cs="Arial"/>
          <w:szCs w:val="20"/>
          <w:lang w:val="pt-BR"/>
        </w:rPr>
        <w:t xml:space="preserve"> </w:t>
      </w:r>
      <w:r w:rsidR="00E045D9" w:rsidRPr="00D5464D">
        <w:rPr>
          <w:rFonts w:cs="Arial"/>
          <w:szCs w:val="20"/>
          <w:lang w:val="pt-BR"/>
        </w:rPr>
        <w:t>seus direitos</w:t>
      </w:r>
      <w:r w:rsidRPr="00D5464D">
        <w:rPr>
          <w:rFonts w:cs="Arial"/>
          <w:szCs w:val="20"/>
          <w:lang w:val="pt-BR"/>
        </w:rPr>
        <w:t xml:space="preserve"> </w:t>
      </w:r>
      <w:r w:rsidR="00AF210B" w:rsidRPr="00D5464D">
        <w:rPr>
          <w:rFonts w:cs="Arial"/>
          <w:szCs w:val="20"/>
          <w:lang w:val="pt-BR"/>
        </w:rPr>
        <w:t xml:space="preserve">humanos </w:t>
      </w:r>
      <w:r w:rsidRPr="00D5464D">
        <w:rPr>
          <w:rFonts w:cs="Arial"/>
          <w:szCs w:val="20"/>
          <w:lang w:val="pt-BR"/>
        </w:rPr>
        <w:t>contra</w:t>
      </w:r>
      <w:r w:rsidR="002C330E" w:rsidRPr="00D5464D">
        <w:rPr>
          <w:rFonts w:cs="Arial"/>
          <w:szCs w:val="20"/>
          <w:lang w:val="pt-BR"/>
        </w:rPr>
        <w:t xml:space="preserve"> </w:t>
      </w:r>
      <w:r w:rsidR="00470ADC" w:rsidRPr="00D5464D">
        <w:rPr>
          <w:rFonts w:cs="Arial"/>
          <w:szCs w:val="20"/>
          <w:lang w:val="pt-BR"/>
        </w:rPr>
        <w:t>atos</w:t>
      </w:r>
      <w:r w:rsidRPr="00D5464D">
        <w:rPr>
          <w:rFonts w:cs="Arial"/>
          <w:szCs w:val="20"/>
          <w:lang w:val="pt-BR"/>
        </w:rPr>
        <w:t xml:space="preserve"> que </w:t>
      </w:r>
      <w:r w:rsidR="00AF210B" w:rsidRPr="00D5464D">
        <w:rPr>
          <w:rFonts w:cs="Arial"/>
          <w:szCs w:val="20"/>
          <w:lang w:val="pt-BR"/>
        </w:rPr>
        <w:t xml:space="preserve">os </w:t>
      </w:r>
      <w:r w:rsidR="00B5597A" w:rsidRPr="00D5464D">
        <w:rPr>
          <w:rFonts w:cs="Arial"/>
          <w:szCs w:val="20"/>
          <w:lang w:val="pt-BR"/>
        </w:rPr>
        <w:t>violaram</w:t>
      </w:r>
      <w:r w:rsidRPr="00D5464D">
        <w:rPr>
          <w:rFonts w:cs="Arial"/>
          <w:szCs w:val="20"/>
          <w:lang w:val="pt-BR"/>
        </w:rPr>
        <w:t xml:space="preserve">. </w:t>
      </w:r>
    </w:p>
    <w:p w14:paraId="23C82755" w14:textId="77777777" w:rsidR="00D81AA1" w:rsidRPr="00D5464D" w:rsidRDefault="00D81AA1" w:rsidP="00D81AA1">
      <w:pPr>
        <w:pStyle w:val="Prrafodelista"/>
        <w:rPr>
          <w:rFonts w:cs="Arial"/>
          <w:bCs/>
          <w:iCs/>
          <w:szCs w:val="20"/>
          <w:lang w:val="pt-BR"/>
        </w:rPr>
      </w:pPr>
    </w:p>
    <w:p w14:paraId="5099A4DF" w14:textId="0F1FBBB7" w:rsidR="00D81AA1" w:rsidRPr="00D5464D" w:rsidRDefault="00C91CB1" w:rsidP="00D81AA1">
      <w:pPr>
        <w:pStyle w:val="Prrafodelista"/>
        <w:numPr>
          <w:ilvl w:val="0"/>
          <w:numId w:val="1"/>
        </w:numPr>
        <w:autoSpaceDE w:val="0"/>
        <w:autoSpaceDN w:val="0"/>
        <w:adjustRightInd w:val="0"/>
        <w:contextualSpacing w:val="0"/>
        <w:rPr>
          <w:rFonts w:cs="Arial"/>
          <w:bCs/>
          <w:iCs/>
          <w:szCs w:val="20"/>
          <w:lang w:val="pt-BR"/>
        </w:rPr>
      </w:pPr>
      <w:r w:rsidRPr="00D5464D">
        <w:rPr>
          <w:rFonts w:cs="Arial"/>
          <w:bCs/>
          <w:iCs/>
          <w:szCs w:val="20"/>
          <w:lang w:val="pt-BR"/>
        </w:rPr>
        <w:t xml:space="preserve">Em </w:t>
      </w:r>
      <w:r w:rsidR="00470ADC" w:rsidRPr="00D5464D">
        <w:rPr>
          <w:rFonts w:cs="Arial"/>
          <w:bCs/>
          <w:iCs/>
          <w:szCs w:val="20"/>
          <w:lang w:val="pt-BR"/>
        </w:rPr>
        <w:t>conclusão</w:t>
      </w:r>
      <w:r w:rsidR="00D81AA1" w:rsidRPr="00D5464D">
        <w:rPr>
          <w:rFonts w:cs="Arial"/>
          <w:bCs/>
          <w:iCs/>
          <w:szCs w:val="20"/>
          <w:lang w:val="pt-BR"/>
        </w:rPr>
        <w:t>,</w:t>
      </w:r>
      <w:r w:rsidR="00737270" w:rsidRPr="00D5464D">
        <w:rPr>
          <w:rFonts w:cs="Arial"/>
          <w:bCs/>
          <w:iCs/>
          <w:szCs w:val="20"/>
          <w:lang w:val="pt-BR"/>
        </w:rPr>
        <w:t xml:space="preserve"> apesar </w:t>
      </w:r>
      <w:r w:rsidR="00470ADC" w:rsidRPr="00D5464D">
        <w:rPr>
          <w:rFonts w:cs="Arial"/>
          <w:bCs/>
          <w:iCs/>
          <w:szCs w:val="20"/>
          <w:lang w:val="pt-BR"/>
        </w:rPr>
        <w:t xml:space="preserve">da </w:t>
      </w:r>
      <w:r w:rsidR="00D81AA1" w:rsidRPr="00D5464D">
        <w:rPr>
          <w:rFonts w:cs="Arial"/>
          <w:bCs/>
          <w:iCs/>
          <w:szCs w:val="20"/>
          <w:lang w:val="pt-BR"/>
        </w:rPr>
        <w:t xml:space="preserve">extrema </w:t>
      </w:r>
      <w:r w:rsidR="002C330E" w:rsidRPr="00D5464D">
        <w:rPr>
          <w:rFonts w:cs="Arial"/>
          <w:bCs/>
          <w:iCs/>
          <w:szCs w:val="20"/>
          <w:lang w:val="pt-BR"/>
        </w:rPr>
        <w:t xml:space="preserve">gravidade </w:t>
      </w:r>
      <w:r w:rsidR="00470ADC" w:rsidRPr="00D5464D">
        <w:rPr>
          <w:rFonts w:cs="Arial"/>
          <w:bCs/>
          <w:iCs/>
          <w:szCs w:val="20"/>
          <w:lang w:val="pt-BR"/>
        </w:rPr>
        <w:t xml:space="preserve">dos </w:t>
      </w:r>
      <w:r w:rsidR="002C330E" w:rsidRPr="00D5464D">
        <w:rPr>
          <w:rFonts w:cs="Arial"/>
          <w:bCs/>
          <w:iCs/>
          <w:szCs w:val="20"/>
          <w:lang w:val="pt-BR"/>
        </w:rPr>
        <w:t>fatos</w:t>
      </w:r>
      <w:r w:rsidR="00D81AA1" w:rsidRPr="00D5464D">
        <w:rPr>
          <w:rFonts w:cs="Arial"/>
          <w:bCs/>
          <w:iCs/>
          <w:szCs w:val="20"/>
          <w:lang w:val="pt-BR"/>
        </w:rPr>
        <w:t xml:space="preserve"> denunciados</w:t>
      </w:r>
      <w:r w:rsidR="008E396F" w:rsidRPr="00D5464D">
        <w:rPr>
          <w:rFonts w:cs="Arial"/>
          <w:bCs/>
          <w:iCs/>
          <w:szCs w:val="20"/>
          <w:lang w:val="pt-BR"/>
        </w:rPr>
        <w:t>,</w:t>
      </w:r>
      <w:r w:rsidR="002C330E" w:rsidRPr="00D5464D">
        <w:rPr>
          <w:rFonts w:cs="Arial"/>
          <w:bCs/>
          <w:iCs/>
          <w:szCs w:val="20"/>
          <w:lang w:val="pt-BR"/>
        </w:rPr>
        <w:t xml:space="preserve"> os procedimento</w:t>
      </w:r>
      <w:r w:rsidR="00D81AA1" w:rsidRPr="00D5464D">
        <w:rPr>
          <w:rFonts w:cs="Arial"/>
          <w:bCs/>
          <w:iCs/>
          <w:szCs w:val="20"/>
          <w:lang w:val="pt-BR"/>
        </w:rPr>
        <w:t xml:space="preserve">s </w:t>
      </w:r>
      <w:r w:rsidR="00B5597A" w:rsidRPr="00D5464D">
        <w:rPr>
          <w:rFonts w:cs="Arial"/>
          <w:bCs/>
          <w:iCs/>
          <w:szCs w:val="20"/>
          <w:lang w:val="pt-BR"/>
        </w:rPr>
        <w:t xml:space="preserve">levados </w:t>
      </w:r>
      <w:r w:rsidR="00D81AA1" w:rsidRPr="00D5464D">
        <w:rPr>
          <w:rFonts w:cs="Arial"/>
          <w:bCs/>
          <w:iCs/>
          <w:szCs w:val="20"/>
          <w:lang w:val="pt-BR"/>
        </w:rPr>
        <w:t>a cabo i) n</w:t>
      </w:r>
      <w:r w:rsidR="00B5597A" w:rsidRPr="00D5464D">
        <w:rPr>
          <w:rFonts w:cs="Arial"/>
          <w:bCs/>
          <w:iCs/>
          <w:szCs w:val="20"/>
          <w:lang w:val="pt-BR"/>
        </w:rPr>
        <w:t>ã</w:t>
      </w:r>
      <w:r w:rsidR="00D81AA1" w:rsidRPr="00D5464D">
        <w:rPr>
          <w:rFonts w:cs="Arial"/>
          <w:bCs/>
          <w:iCs/>
          <w:szCs w:val="20"/>
          <w:lang w:val="pt-BR"/>
        </w:rPr>
        <w:t xml:space="preserve">o </w:t>
      </w:r>
      <w:r w:rsidR="00470ADC" w:rsidRPr="00D5464D">
        <w:rPr>
          <w:rFonts w:cs="Arial"/>
          <w:bCs/>
          <w:iCs/>
          <w:szCs w:val="20"/>
          <w:lang w:val="pt-BR"/>
        </w:rPr>
        <w:t>analisar</w:t>
      </w:r>
      <w:r w:rsidR="00485AAD" w:rsidRPr="00D5464D">
        <w:rPr>
          <w:rFonts w:cs="Arial"/>
          <w:bCs/>
          <w:iCs/>
          <w:szCs w:val="20"/>
          <w:lang w:val="pt-BR"/>
        </w:rPr>
        <w:t>am</w:t>
      </w:r>
      <w:r w:rsidR="00470ADC" w:rsidRPr="00D5464D">
        <w:rPr>
          <w:rFonts w:cs="Arial"/>
          <w:bCs/>
          <w:iCs/>
          <w:szCs w:val="20"/>
          <w:lang w:val="pt-BR"/>
        </w:rPr>
        <w:t xml:space="preserve"> o mérito da questão</w:t>
      </w:r>
      <w:r w:rsidR="00D81AA1" w:rsidRPr="00D5464D">
        <w:rPr>
          <w:rFonts w:cs="Arial"/>
          <w:bCs/>
          <w:iCs/>
          <w:szCs w:val="20"/>
          <w:lang w:val="pt-BR"/>
        </w:rPr>
        <w:t xml:space="preserve"> </w:t>
      </w:r>
      <w:r w:rsidR="00B5597A" w:rsidRPr="00D5464D">
        <w:rPr>
          <w:rFonts w:cs="Arial"/>
          <w:bCs/>
          <w:iCs/>
          <w:szCs w:val="20"/>
          <w:lang w:val="pt-BR"/>
        </w:rPr>
        <w:t>a</w:t>
      </w:r>
      <w:r w:rsidR="00D81AA1" w:rsidRPr="00D5464D">
        <w:rPr>
          <w:rFonts w:cs="Arial"/>
          <w:bCs/>
          <w:iCs/>
          <w:szCs w:val="20"/>
          <w:lang w:val="pt-BR"/>
        </w:rPr>
        <w:t>presentada</w:t>
      </w:r>
      <w:r w:rsidR="009E04D5" w:rsidRPr="00D5464D">
        <w:rPr>
          <w:rFonts w:cs="Arial"/>
          <w:bCs/>
          <w:iCs/>
          <w:szCs w:val="20"/>
          <w:lang w:val="pt-BR"/>
        </w:rPr>
        <w:t>,</w:t>
      </w:r>
      <w:r w:rsidR="00D81AA1" w:rsidRPr="00D5464D">
        <w:rPr>
          <w:rFonts w:cs="Arial"/>
          <w:bCs/>
          <w:iCs/>
          <w:szCs w:val="20"/>
          <w:lang w:val="pt-BR"/>
        </w:rPr>
        <w:t xml:space="preserve"> ii) n</w:t>
      </w:r>
      <w:r w:rsidR="00B5597A" w:rsidRPr="00D5464D">
        <w:rPr>
          <w:rFonts w:cs="Arial"/>
          <w:bCs/>
          <w:iCs/>
          <w:szCs w:val="20"/>
          <w:lang w:val="pt-BR"/>
        </w:rPr>
        <w:t>ã</w:t>
      </w:r>
      <w:r w:rsidR="00D81AA1" w:rsidRPr="00D5464D">
        <w:rPr>
          <w:rFonts w:cs="Arial"/>
          <w:bCs/>
          <w:iCs/>
          <w:szCs w:val="20"/>
          <w:lang w:val="pt-BR"/>
        </w:rPr>
        <w:t xml:space="preserve">o </w:t>
      </w:r>
      <w:r w:rsidR="00737270" w:rsidRPr="00D5464D">
        <w:rPr>
          <w:rFonts w:cs="Arial"/>
          <w:bCs/>
          <w:iCs/>
          <w:szCs w:val="20"/>
          <w:lang w:val="pt-BR"/>
        </w:rPr>
        <w:t>determinaram</w:t>
      </w:r>
      <w:r w:rsidR="00D81AA1" w:rsidRPr="00D5464D">
        <w:rPr>
          <w:rFonts w:cs="Arial"/>
          <w:bCs/>
          <w:iCs/>
          <w:szCs w:val="20"/>
          <w:lang w:val="pt-BR"/>
        </w:rPr>
        <w:t xml:space="preserve"> responsabilidades</w:t>
      </w:r>
      <w:r w:rsidR="002C330E" w:rsidRPr="00D5464D">
        <w:rPr>
          <w:rFonts w:cs="Arial"/>
          <w:bCs/>
          <w:iCs/>
          <w:szCs w:val="20"/>
          <w:lang w:val="pt-BR"/>
        </w:rPr>
        <w:t xml:space="preserve"> nem </w:t>
      </w:r>
      <w:r w:rsidR="00B5597A" w:rsidRPr="00D5464D">
        <w:rPr>
          <w:rFonts w:cs="Arial"/>
          <w:bCs/>
          <w:iCs/>
          <w:szCs w:val="20"/>
          <w:lang w:val="pt-BR"/>
        </w:rPr>
        <w:t xml:space="preserve">puniram </w:t>
      </w:r>
      <w:r w:rsidR="00470ADC" w:rsidRPr="00D5464D">
        <w:rPr>
          <w:rFonts w:cs="Arial"/>
          <w:bCs/>
          <w:iCs/>
          <w:szCs w:val="20"/>
          <w:lang w:val="pt-BR"/>
        </w:rPr>
        <w:t>adequad</w:t>
      </w:r>
      <w:r w:rsidR="00D81AA1" w:rsidRPr="00D5464D">
        <w:rPr>
          <w:rFonts w:cs="Arial"/>
          <w:bCs/>
          <w:iCs/>
          <w:szCs w:val="20"/>
          <w:lang w:val="pt-BR"/>
        </w:rPr>
        <w:t>amente</w:t>
      </w:r>
      <w:r w:rsidR="00E045D9" w:rsidRPr="00D5464D">
        <w:rPr>
          <w:rFonts w:cs="Arial"/>
          <w:bCs/>
          <w:iCs/>
          <w:szCs w:val="20"/>
          <w:lang w:val="pt-BR"/>
        </w:rPr>
        <w:t xml:space="preserve"> os </w:t>
      </w:r>
      <w:r w:rsidR="00350187" w:rsidRPr="00D5464D">
        <w:rPr>
          <w:rFonts w:cs="Arial"/>
          <w:bCs/>
          <w:iCs/>
          <w:szCs w:val="20"/>
          <w:lang w:val="pt-BR"/>
        </w:rPr>
        <w:t>responsáveis pelo</w:t>
      </w:r>
      <w:r w:rsidR="00470ADC" w:rsidRPr="00D5464D">
        <w:rPr>
          <w:rFonts w:cs="Arial"/>
          <w:bCs/>
          <w:iCs/>
          <w:szCs w:val="20"/>
          <w:lang w:val="pt-BR"/>
        </w:rPr>
        <w:t xml:space="preserve">s </w:t>
      </w:r>
      <w:r w:rsidR="002C330E" w:rsidRPr="00D5464D">
        <w:rPr>
          <w:rFonts w:cs="Arial"/>
          <w:bCs/>
          <w:iCs/>
          <w:szCs w:val="20"/>
          <w:lang w:val="pt-BR"/>
        </w:rPr>
        <w:t>fatos</w:t>
      </w:r>
      <w:r w:rsidR="009E04D5" w:rsidRPr="00D5464D">
        <w:rPr>
          <w:rFonts w:cs="Arial"/>
          <w:bCs/>
          <w:iCs/>
          <w:szCs w:val="20"/>
          <w:lang w:val="pt-BR"/>
        </w:rPr>
        <w:t>,</w:t>
      </w:r>
      <w:r w:rsidR="00D81AA1" w:rsidRPr="00D5464D">
        <w:rPr>
          <w:rFonts w:cs="Arial"/>
          <w:bCs/>
          <w:iCs/>
          <w:szCs w:val="20"/>
          <w:lang w:val="pt-BR"/>
        </w:rPr>
        <w:t xml:space="preserve"> iii) n</w:t>
      </w:r>
      <w:r w:rsidR="00B5597A" w:rsidRPr="00D5464D">
        <w:rPr>
          <w:rFonts w:cs="Arial"/>
          <w:bCs/>
          <w:iCs/>
          <w:szCs w:val="20"/>
          <w:lang w:val="pt-BR"/>
        </w:rPr>
        <w:t>ã</w:t>
      </w:r>
      <w:r w:rsidR="00D81AA1" w:rsidRPr="00D5464D">
        <w:rPr>
          <w:rFonts w:cs="Arial"/>
          <w:bCs/>
          <w:iCs/>
          <w:szCs w:val="20"/>
          <w:lang w:val="pt-BR"/>
        </w:rPr>
        <w:t xml:space="preserve">o </w:t>
      </w:r>
      <w:r w:rsidR="002C330E" w:rsidRPr="00D5464D">
        <w:rPr>
          <w:rFonts w:cs="Arial"/>
          <w:bCs/>
          <w:iCs/>
          <w:szCs w:val="20"/>
          <w:lang w:val="pt-BR"/>
        </w:rPr>
        <w:t>ofereceram</w:t>
      </w:r>
      <w:r w:rsidR="00E045D9" w:rsidRPr="00D5464D">
        <w:rPr>
          <w:rFonts w:cs="Arial"/>
          <w:bCs/>
          <w:iCs/>
          <w:szCs w:val="20"/>
          <w:lang w:val="pt-BR"/>
        </w:rPr>
        <w:t xml:space="preserve"> um </w:t>
      </w:r>
      <w:r w:rsidR="00D81AA1" w:rsidRPr="00D5464D">
        <w:rPr>
          <w:rFonts w:cs="Arial"/>
          <w:bCs/>
          <w:iCs/>
          <w:szCs w:val="20"/>
          <w:lang w:val="pt-BR"/>
        </w:rPr>
        <w:t>mecanismo de repara</w:t>
      </w:r>
      <w:r w:rsidR="00470ADC" w:rsidRPr="00D5464D">
        <w:rPr>
          <w:rFonts w:cs="Arial"/>
          <w:bCs/>
          <w:iCs/>
          <w:szCs w:val="20"/>
          <w:lang w:val="pt-BR"/>
        </w:rPr>
        <w:t>ção</w:t>
      </w:r>
      <w:r w:rsidR="00D81AA1" w:rsidRPr="00D5464D">
        <w:rPr>
          <w:rFonts w:cs="Arial"/>
          <w:bCs/>
          <w:iCs/>
          <w:szCs w:val="20"/>
          <w:lang w:val="pt-BR"/>
        </w:rPr>
        <w:t xml:space="preserve"> para</w:t>
      </w:r>
      <w:r w:rsidR="002C330E" w:rsidRPr="00D5464D">
        <w:rPr>
          <w:rFonts w:cs="Arial"/>
          <w:bCs/>
          <w:iCs/>
          <w:szCs w:val="20"/>
          <w:lang w:val="pt-BR"/>
        </w:rPr>
        <w:t xml:space="preserve"> as </w:t>
      </w:r>
      <w:r w:rsidR="00E045D9" w:rsidRPr="00D5464D">
        <w:rPr>
          <w:rFonts w:cs="Arial"/>
          <w:bCs/>
          <w:iCs/>
          <w:szCs w:val="20"/>
          <w:lang w:val="pt-BR"/>
        </w:rPr>
        <w:t>vítima</w:t>
      </w:r>
      <w:r w:rsidR="00D81AA1" w:rsidRPr="00D5464D">
        <w:rPr>
          <w:rFonts w:cs="Arial"/>
          <w:bCs/>
          <w:iCs/>
          <w:szCs w:val="20"/>
          <w:lang w:val="pt-BR"/>
        </w:rPr>
        <w:t>s</w:t>
      </w:r>
      <w:r w:rsidR="00470ADC" w:rsidRPr="00D5464D">
        <w:rPr>
          <w:rFonts w:cs="Arial"/>
          <w:bCs/>
          <w:iCs/>
          <w:szCs w:val="20"/>
          <w:lang w:val="pt-BR"/>
        </w:rPr>
        <w:t xml:space="preserve"> e</w:t>
      </w:r>
      <w:r w:rsidR="00D81AA1" w:rsidRPr="00D5464D">
        <w:rPr>
          <w:rFonts w:cs="Arial"/>
          <w:bCs/>
          <w:iCs/>
          <w:szCs w:val="20"/>
          <w:lang w:val="pt-BR"/>
        </w:rPr>
        <w:t xml:space="preserve"> iv)</w:t>
      </w:r>
      <w:r w:rsidR="00230C71" w:rsidRPr="00D5464D">
        <w:rPr>
          <w:rFonts w:cs="Arial"/>
          <w:bCs/>
          <w:iCs/>
          <w:szCs w:val="20"/>
          <w:lang w:val="pt-BR"/>
        </w:rPr>
        <w:t xml:space="preserve"> não tiveram</w:t>
      </w:r>
      <w:r w:rsidR="00D81AA1" w:rsidRPr="00D5464D">
        <w:rPr>
          <w:rFonts w:cs="Arial"/>
          <w:bCs/>
          <w:iCs/>
          <w:szCs w:val="20"/>
          <w:lang w:val="pt-BR"/>
        </w:rPr>
        <w:t xml:space="preserve"> impacto</w:t>
      </w:r>
      <w:r w:rsidR="00470ADC" w:rsidRPr="00D5464D">
        <w:rPr>
          <w:rFonts w:cs="Arial"/>
          <w:bCs/>
          <w:iCs/>
          <w:szCs w:val="20"/>
          <w:lang w:val="pt-BR"/>
        </w:rPr>
        <w:t xml:space="preserve"> em </w:t>
      </w:r>
      <w:r w:rsidR="00D81AA1" w:rsidRPr="00D5464D">
        <w:rPr>
          <w:rFonts w:cs="Arial"/>
          <w:bCs/>
          <w:iCs/>
          <w:szCs w:val="20"/>
          <w:lang w:val="pt-BR"/>
        </w:rPr>
        <w:t>prevenir que</w:t>
      </w:r>
      <w:r w:rsidR="002C330E" w:rsidRPr="00D5464D">
        <w:rPr>
          <w:rFonts w:cs="Arial"/>
          <w:bCs/>
          <w:iCs/>
          <w:szCs w:val="20"/>
          <w:lang w:val="pt-BR"/>
        </w:rPr>
        <w:t xml:space="preserve"> as </w:t>
      </w:r>
      <w:r w:rsidR="00D81AA1" w:rsidRPr="00D5464D">
        <w:rPr>
          <w:rFonts w:cs="Arial"/>
          <w:bCs/>
          <w:iCs/>
          <w:szCs w:val="20"/>
          <w:lang w:val="pt-BR"/>
        </w:rPr>
        <w:t>viola</w:t>
      </w:r>
      <w:r w:rsidR="00470ADC" w:rsidRPr="00D5464D">
        <w:rPr>
          <w:rFonts w:cs="Arial"/>
          <w:bCs/>
          <w:iCs/>
          <w:szCs w:val="20"/>
          <w:lang w:val="pt-BR"/>
        </w:rPr>
        <w:t>ções</w:t>
      </w:r>
      <w:r w:rsidR="00E045D9" w:rsidRPr="00D5464D">
        <w:rPr>
          <w:rFonts w:cs="Arial"/>
          <w:bCs/>
          <w:iCs/>
          <w:szCs w:val="20"/>
          <w:lang w:val="pt-BR"/>
        </w:rPr>
        <w:t xml:space="preserve"> aos </w:t>
      </w:r>
      <w:r w:rsidR="00470ADC" w:rsidRPr="00D5464D">
        <w:rPr>
          <w:rFonts w:cs="Arial"/>
          <w:bCs/>
          <w:iCs/>
          <w:szCs w:val="20"/>
          <w:lang w:val="pt-BR"/>
        </w:rPr>
        <w:t>direito</w:t>
      </w:r>
      <w:r w:rsidR="00D81AA1" w:rsidRPr="00D5464D">
        <w:rPr>
          <w:rFonts w:cs="Arial"/>
          <w:bCs/>
          <w:iCs/>
          <w:szCs w:val="20"/>
          <w:lang w:val="pt-BR"/>
        </w:rPr>
        <w:t>s</w:t>
      </w:r>
      <w:r w:rsidR="00470ADC" w:rsidRPr="00D5464D">
        <w:rPr>
          <w:rFonts w:cs="Arial"/>
          <w:bCs/>
          <w:iCs/>
          <w:szCs w:val="20"/>
          <w:lang w:val="pt-BR"/>
        </w:rPr>
        <w:t xml:space="preserve"> das </w:t>
      </w:r>
      <w:r w:rsidR="00E045D9" w:rsidRPr="00D5464D">
        <w:rPr>
          <w:rFonts w:cs="Arial"/>
          <w:bCs/>
          <w:iCs/>
          <w:szCs w:val="20"/>
          <w:lang w:val="pt-BR"/>
        </w:rPr>
        <w:t>vítima</w:t>
      </w:r>
      <w:r w:rsidR="00D81AA1" w:rsidRPr="00D5464D">
        <w:rPr>
          <w:rFonts w:cs="Arial"/>
          <w:bCs/>
          <w:iCs/>
          <w:szCs w:val="20"/>
          <w:lang w:val="pt-BR"/>
        </w:rPr>
        <w:t xml:space="preserve">s </w:t>
      </w:r>
      <w:r w:rsidR="00B5597A" w:rsidRPr="00D5464D">
        <w:rPr>
          <w:rFonts w:cs="Arial"/>
          <w:bCs/>
          <w:iCs/>
          <w:szCs w:val="20"/>
          <w:lang w:val="pt-BR"/>
        </w:rPr>
        <w:t>continuassem</w:t>
      </w:r>
      <w:r w:rsidR="00D81AA1" w:rsidRPr="00D5464D">
        <w:rPr>
          <w:rFonts w:cs="Arial"/>
          <w:bCs/>
          <w:iCs/>
          <w:szCs w:val="20"/>
          <w:lang w:val="pt-BR"/>
        </w:rPr>
        <w:t xml:space="preserve">. </w:t>
      </w:r>
    </w:p>
    <w:p w14:paraId="3156D34F" w14:textId="77777777" w:rsidR="00D81AA1" w:rsidRPr="00D5464D" w:rsidRDefault="00D81AA1" w:rsidP="00D81AA1">
      <w:pPr>
        <w:pStyle w:val="Prrafodelista"/>
        <w:rPr>
          <w:rFonts w:cs="Arial"/>
          <w:bCs/>
          <w:iCs/>
          <w:szCs w:val="20"/>
          <w:lang w:val="pt-BR"/>
        </w:rPr>
      </w:pPr>
    </w:p>
    <w:p w14:paraId="6AF53E6F" w14:textId="583DBD5F" w:rsidR="00D81AA1" w:rsidRPr="00D5464D" w:rsidRDefault="00737270" w:rsidP="00D81AA1">
      <w:pPr>
        <w:pStyle w:val="Prrafodelista"/>
        <w:numPr>
          <w:ilvl w:val="0"/>
          <w:numId w:val="1"/>
        </w:numPr>
        <w:autoSpaceDE w:val="0"/>
        <w:autoSpaceDN w:val="0"/>
        <w:adjustRightInd w:val="0"/>
        <w:contextualSpacing w:val="0"/>
        <w:rPr>
          <w:rFonts w:cs="Arial"/>
          <w:bCs/>
          <w:iCs/>
          <w:szCs w:val="20"/>
          <w:lang w:val="pt-BR"/>
        </w:rPr>
      </w:pPr>
      <w:r w:rsidRPr="00D5464D">
        <w:rPr>
          <w:rFonts w:cs="Arial"/>
          <w:bCs/>
          <w:iCs/>
          <w:szCs w:val="20"/>
          <w:lang w:val="pt-BR"/>
        </w:rPr>
        <w:t>A es</w:t>
      </w:r>
      <w:r w:rsidR="00811E53" w:rsidRPr="00D5464D">
        <w:rPr>
          <w:rFonts w:cs="Arial"/>
          <w:bCs/>
          <w:iCs/>
          <w:szCs w:val="20"/>
          <w:lang w:val="pt-BR"/>
        </w:rPr>
        <w:t>se</w:t>
      </w:r>
      <w:r w:rsidRPr="00D5464D">
        <w:rPr>
          <w:rFonts w:cs="Arial"/>
          <w:bCs/>
          <w:iCs/>
          <w:szCs w:val="20"/>
          <w:lang w:val="pt-BR"/>
        </w:rPr>
        <w:t xml:space="preserve"> respeito</w:t>
      </w:r>
      <w:r w:rsidR="00D81AA1" w:rsidRPr="00D5464D">
        <w:rPr>
          <w:rFonts w:cs="Arial"/>
          <w:bCs/>
          <w:iCs/>
          <w:szCs w:val="20"/>
          <w:lang w:val="pt-BR"/>
        </w:rPr>
        <w:t>,</w:t>
      </w:r>
      <w:r w:rsidR="002C330E" w:rsidRPr="00D5464D">
        <w:rPr>
          <w:rFonts w:cs="Arial"/>
          <w:bCs/>
          <w:iCs/>
          <w:szCs w:val="20"/>
          <w:lang w:val="pt-BR"/>
        </w:rPr>
        <w:t xml:space="preserve"> a </w:t>
      </w:r>
      <w:r w:rsidR="00D81AA1" w:rsidRPr="00D5464D">
        <w:rPr>
          <w:rFonts w:cs="Arial"/>
          <w:bCs/>
          <w:iCs/>
          <w:szCs w:val="20"/>
          <w:lang w:val="pt-BR"/>
        </w:rPr>
        <w:t>Corte</w:t>
      </w:r>
      <w:r w:rsidR="002C330E" w:rsidRPr="00D5464D">
        <w:rPr>
          <w:rFonts w:cs="Arial"/>
          <w:bCs/>
          <w:iCs/>
          <w:szCs w:val="20"/>
          <w:lang w:val="pt-BR"/>
        </w:rPr>
        <w:t xml:space="preserve"> </w:t>
      </w:r>
      <w:r w:rsidR="00485AAD" w:rsidRPr="00D5464D">
        <w:rPr>
          <w:rFonts w:cs="Arial"/>
          <w:bCs/>
          <w:iCs/>
          <w:szCs w:val="20"/>
          <w:lang w:val="pt-BR"/>
        </w:rPr>
        <w:t xml:space="preserve">registra </w:t>
      </w:r>
      <w:r w:rsidR="00D81AA1" w:rsidRPr="00D5464D">
        <w:rPr>
          <w:rFonts w:cs="Arial"/>
          <w:bCs/>
          <w:iCs/>
          <w:szCs w:val="20"/>
          <w:lang w:val="pt-BR"/>
        </w:rPr>
        <w:t>que</w:t>
      </w:r>
      <w:r w:rsidR="00485AAD" w:rsidRPr="00D5464D">
        <w:rPr>
          <w:rFonts w:cs="Arial"/>
          <w:bCs/>
          <w:iCs/>
          <w:szCs w:val="20"/>
          <w:lang w:val="pt-BR"/>
        </w:rPr>
        <w:t>,</w:t>
      </w:r>
      <w:r w:rsidR="00470ADC" w:rsidRPr="00D5464D">
        <w:rPr>
          <w:rFonts w:cs="Arial"/>
          <w:bCs/>
          <w:iCs/>
          <w:szCs w:val="20"/>
          <w:lang w:val="pt-BR"/>
        </w:rPr>
        <w:t xml:space="preserve"> </w:t>
      </w:r>
      <w:r w:rsidR="00B5597A" w:rsidRPr="00D5464D">
        <w:rPr>
          <w:rFonts w:cs="Arial"/>
          <w:bCs/>
          <w:iCs/>
          <w:szCs w:val="20"/>
          <w:lang w:val="pt-BR"/>
        </w:rPr>
        <w:t>diante d</w:t>
      </w:r>
      <w:r w:rsidR="00470ADC" w:rsidRPr="00D5464D">
        <w:rPr>
          <w:rFonts w:cs="Arial"/>
          <w:bCs/>
          <w:iCs/>
          <w:szCs w:val="20"/>
          <w:lang w:val="pt-BR"/>
        </w:rPr>
        <w:t xml:space="preserve">a </w:t>
      </w:r>
      <w:r w:rsidR="002C330E" w:rsidRPr="00D5464D">
        <w:rPr>
          <w:rFonts w:cs="Arial"/>
          <w:bCs/>
          <w:iCs/>
          <w:szCs w:val="20"/>
          <w:lang w:val="pt-BR"/>
        </w:rPr>
        <w:t xml:space="preserve">presença </w:t>
      </w:r>
      <w:r w:rsidR="00D81AA1" w:rsidRPr="00D5464D">
        <w:rPr>
          <w:rFonts w:cs="Arial"/>
          <w:bCs/>
          <w:iCs/>
          <w:szCs w:val="20"/>
          <w:lang w:val="pt-BR"/>
        </w:rPr>
        <w:t xml:space="preserve">de </w:t>
      </w:r>
      <w:r w:rsidR="00E045D9" w:rsidRPr="00D5464D">
        <w:rPr>
          <w:rFonts w:cs="Arial"/>
          <w:bCs/>
          <w:iCs/>
          <w:szCs w:val="20"/>
          <w:lang w:val="pt-BR"/>
        </w:rPr>
        <w:t>vítima</w:t>
      </w:r>
      <w:r w:rsidR="00D81AA1" w:rsidRPr="00D5464D">
        <w:rPr>
          <w:rFonts w:cs="Arial"/>
          <w:bCs/>
          <w:iCs/>
          <w:szCs w:val="20"/>
          <w:lang w:val="pt-BR"/>
        </w:rPr>
        <w:t>s que</w:t>
      </w:r>
      <w:r w:rsidR="00470ADC" w:rsidRPr="00D5464D">
        <w:rPr>
          <w:rFonts w:cs="Arial"/>
          <w:bCs/>
          <w:iCs/>
          <w:szCs w:val="20"/>
          <w:lang w:val="pt-BR"/>
        </w:rPr>
        <w:t xml:space="preserve"> eram </w:t>
      </w:r>
      <w:r w:rsidR="00D81AA1" w:rsidRPr="00D5464D">
        <w:rPr>
          <w:rFonts w:cs="Arial"/>
          <w:bCs/>
          <w:iCs/>
          <w:szCs w:val="20"/>
          <w:lang w:val="pt-BR"/>
        </w:rPr>
        <w:t>menores de</w:t>
      </w:r>
      <w:r w:rsidR="00470ADC" w:rsidRPr="00D5464D">
        <w:rPr>
          <w:rFonts w:cs="Arial"/>
          <w:bCs/>
          <w:iCs/>
          <w:szCs w:val="20"/>
          <w:lang w:val="pt-BR"/>
        </w:rPr>
        <w:t xml:space="preserve"> idade</w:t>
      </w:r>
      <w:r w:rsidR="00E045D9" w:rsidRPr="00D5464D">
        <w:rPr>
          <w:rFonts w:cs="Arial"/>
          <w:bCs/>
          <w:iCs/>
          <w:szCs w:val="20"/>
          <w:lang w:val="pt-BR"/>
        </w:rPr>
        <w:t xml:space="preserve"> e </w:t>
      </w:r>
      <w:r w:rsidR="00470ADC" w:rsidRPr="00D5464D">
        <w:rPr>
          <w:rFonts w:cs="Arial"/>
          <w:bCs/>
          <w:iCs/>
          <w:szCs w:val="20"/>
          <w:lang w:val="pt-BR"/>
        </w:rPr>
        <w:t>do conhecimento</w:t>
      </w:r>
      <w:r w:rsidR="00D81AA1" w:rsidRPr="00D5464D">
        <w:rPr>
          <w:rFonts w:cs="Arial"/>
          <w:bCs/>
          <w:iCs/>
          <w:szCs w:val="20"/>
          <w:lang w:val="pt-BR"/>
        </w:rPr>
        <w:t xml:space="preserve"> </w:t>
      </w:r>
      <w:r w:rsidR="00470ADC" w:rsidRPr="00D5464D">
        <w:rPr>
          <w:rFonts w:cs="Arial"/>
          <w:bCs/>
          <w:iCs/>
          <w:szCs w:val="20"/>
          <w:lang w:val="pt-BR"/>
        </w:rPr>
        <w:t xml:space="preserve">do </w:t>
      </w:r>
      <w:r w:rsidR="00D81AA1" w:rsidRPr="00D5464D">
        <w:rPr>
          <w:rFonts w:cs="Arial"/>
          <w:bCs/>
          <w:iCs/>
          <w:szCs w:val="20"/>
          <w:lang w:val="pt-BR"/>
        </w:rPr>
        <w:t xml:space="preserve">Estado </w:t>
      </w:r>
      <w:r w:rsidR="00C176E3" w:rsidRPr="00D5464D">
        <w:rPr>
          <w:rFonts w:cs="Arial"/>
          <w:bCs/>
          <w:iCs/>
          <w:szCs w:val="20"/>
          <w:lang w:val="pt-BR"/>
        </w:rPr>
        <w:t>sobre e</w:t>
      </w:r>
      <w:r w:rsidR="00E045D9" w:rsidRPr="00D5464D">
        <w:rPr>
          <w:rFonts w:cs="Arial"/>
          <w:bCs/>
          <w:iCs/>
          <w:szCs w:val="20"/>
          <w:lang w:val="pt-BR"/>
        </w:rPr>
        <w:t>sta</w:t>
      </w:r>
      <w:r w:rsidR="00D81AA1" w:rsidRPr="00D5464D">
        <w:rPr>
          <w:rFonts w:cs="Arial"/>
          <w:bCs/>
          <w:iCs/>
          <w:szCs w:val="20"/>
          <w:lang w:val="pt-BR"/>
        </w:rPr>
        <w:t xml:space="preserve"> situa</w:t>
      </w:r>
      <w:r w:rsidR="00470ADC" w:rsidRPr="00D5464D">
        <w:rPr>
          <w:rFonts w:cs="Arial"/>
          <w:bCs/>
          <w:iCs/>
          <w:szCs w:val="20"/>
          <w:lang w:val="pt-BR"/>
        </w:rPr>
        <w:t>ção</w:t>
      </w:r>
      <w:r w:rsidR="00D81AA1" w:rsidRPr="00D5464D">
        <w:rPr>
          <w:rFonts w:cs="Arial"/>
          <w:bCs/>
          <w:iCs/>
          <w:szCs w:val="20"/>
          <w:lang w:val="pt-BR"/>
        </w:rPr>
        <w:t xml:space="preserve">, </w:t>
      </w:r>
      <w:r w:rsidR="00E045D9" w:rsidRPr="00D5464D">
        <w:rPr>
          <w:rFonts w:cs="Arial"/>
          <w:bCs/>
          <w:iCs/>
          <w:szCs w:val="20"/>
          <w:lang w:val="pt-BR"/>
        </w:rPr>
        <w:t>sua responsabilidade</w:t>
      </w:r>
      <w:r w:rsidR="002C330E" w:rsidRPr="00D5464D">
        <w:rPr>
          <w:rFonts w:cs="Arial"/>
          <w:bCs/>
          <w:iCs/>
          <w:szCs w:val="20"/>
          <w:lang w:val="pt-BR"/>
        </w:rPr>
        <w:t xml:space="preserve"> </w:t>
      </w:r>
      <w:r w:rsidR="00D81AA1" w:rsidRPr="00D5464D">
        <w:rPr>
          <w:rFonts w:cs="Arial"/>
          <w:bCs/>
          <w:iCs/>
          <w:szCs w:val="20"/>
          <w:lang w:val="pt-BR"/>
        </w:rPr>
        <w:t xml:space="preserve">de </w:t>
      </w:r>
      <w:r w:rsidR="00350187" w:rsidRPr="00D5464D">
        <w:rPr>
          <w:rFonts w:cs="Arial"/>
          <w:bCs/>
          <w:iCs/>
          <w:szCs w:val="20"/>
          <w:lang w:val="pt-BR"/>
        </w:rPr>
        <w:t>prover</w:t>
      </w:r>
      <w:r w:rsidR="00E045D9" w:rsidRPr="00D5464D">
        <w:rPr>
          <w:rFonts w:cs="Arial"/>
          <w:bCs/>
          <w:iCs/>
          <w:szCs w:val="20"/>
          <w:lang w:val="pt-BR"/>
        </w:rPr>
        <w:t xml:space="preserve"> um </w:t>
      </w:r>
      <w:r w:rsidR="00D81AA1" w:rsidRPr="00D5464D">
        <w:rPr>
          <w:rFonts w:cs="Arial"/>
          <w:bCs/>
          <w:iCs/>
          <w:szCs w:val="20"/>
          <w:lang w:val="pt-BR"/>
        </w:rPr>
        <w:t xml:space="preserve">recurso </w:t>
      </w:r>
      <w:r w:rsidR="00A1358C" w:rsidRPr="00D5464D">
        <w:rPr>
          <w:rFonts w:cs="Arial"/>
          <w:bCs/>
          <w:iCs/>
          <w:szCs w:val="20"/>
          <w:lang w:val="pt-BR"/>
        </w:rPr>
        <w:t>simples</w:t>
      </w:r>
      <w:r w:rsidR="00E045D9" w:rsidRPr="00D5464D">
        <w:rPr>
          <w:rFonts w:cs="Arial"/>
          <w:bCs/>
          <w:iCs/>
          <w:szCs w:val="20"/>
          <w:lang w:val="pt-BR"/>
        </w:rPr>
        <w:t xml:space="preserve"> e </w:t>
      </w:r>
      <w:r w:rsidR="00470ADC" w:rsidRPr="00D5464D">
        <w:rPr>
          <w:rFonts w:cs="Arial"/>
          <w:bCs/>
          <w:iCs/>
          <w:szCs w:val="20"/>
          <w:lang w:val="pt-BR"/>
        </w:rPr>
        <w:t>efetiv</w:t>
      </w:r>
      <w:r w:rsidR="00D81AA1" w:rsidRPr="00D5464D">
        <w:rPr>
          <w:rFonts w:cs="Arial"/>
          <w:bCs/>
          <w:iCs/>
          <w:szCs w:val="20"/>
          <w:lang w:val="pt-BR"/>
        </w:rPr>
        <w:t>o para</w:t>
      </w:r>
      <w:r w:rsidR="002C330E" w:rsidRPr="00D5464D">
        <w:rPr>
          <w:rFonts w:cs="Arial"/>
          <w:bCs/>
          <w:iCs/>
          <w:szCs w:val="20"/>
          <w:lang w:val="pt-BR"/>
        </w:rPr>
        <w:t xml:space="preserve"> a proteção</w:t>
      </w:r>
      <w:r w:rsidR="00D81AA1" w:rsidRPr="00D5464D">
        <w:rPr>
          <w:rFonts w:cs="Arial"/>
          <w:bCs/>
          <w:iCs/>
          <w:szCs w:val="20"/>
          <w:lang w:val="pt-BR"/>
        </w:rPr>
        <w:t xml:space="preserve"> de </w:t>
      </w:r>
      <w:r w:rsidR="00E045D9" w:rsidRPr="00D5464D">
        <w:rPr>
          <w:rFonts w:cs="Arial"/>
          <w:bCs/>
          <w:iCs/>
          <w:szCs w:val="20"/>
          <w:lang w:val="pt-BR"/>
        </w:rPr>
        <w:t>seus direitos</w:t>
      </w:r>
      <w:r w:rsidR="00D81AA1" w:rsidRPr="00D5464D">
        <w:rPr>
          <w:rFonts w:cs="Arial"/>
          <w:bCs/>
          <w:iCs/>
          <w:szCs w:val="20"/>
          <w:lang w:val="pt-BR"/>
        </w:rPr>
        <w:t xml:space="preserve"> era</w:t>
      </w:r>
      <w:r w:rsidR="00470ADC" w:rsidRPr="00D5464D">
        <w:rPr>
          <w:rFonts w:cs="Arial"/>
          <w:bCs/>
          <w:iCs/>
          <w:szCs w:val="20"/>
          <w:lang w:val="pt-BR"/>
        </w:rPr>
        <w:t xml:space="preserve"> ainda</w:t>
      </w:r>
      <w:r w:rsidR="00D81AA1" w:rsidRPr="00D5464D">
        <w:rPr>
          <w:rFonts w:cs="Arial"/>
          <w:bCs/>
          <w:iCs/>
          <w:szCs w:val="20"/>
          <w:lang w:val="pt-BR"/>
        </w:rPr>
        <w:t xml:space="preserve"> </w:t>
      </w:r>
      <w:r w:rsidR="00E045D9" w:rsidRPr="00D5464D">
        <w:rPr>
          <w:rFonts w:cs="Arial"/>
          <w:bCs/>
          <w:iCs/>
          <w:szCs w:val="20"/>
          <w:lang w:val="pt-BR"/>
        </w:rPr>
        <w:t>maior</w:t>
      </w:r>
      <w:r w:rsidR="00A1358C" w:rsidRPr="00D5464D">
        <w:rPr>
          <w:rFonts w:cs="Arial"/>
          <w:bCs/>
          <w:iCs/>
          <w:szCs w:val="20"/>
          <w:lang w:val="pt-BR"/>
        </w:rPr>
        <w:t xml:space="preserve">. A </w:t>
      </w:r>
      <w:r w:rsidR="00D81AA1" w:rsidRPr="00D5464D">
        <w:rPr>
          <w:rFonts w:cs="Arial"/>
          <w:bCs/>
          <w:iCs/>
          <w:szCs w:val="20"/>
          <w:lang w:val="pt-BR"/>
        </w:rPr>
        <w:t>Corte</w:t>
      </w:r>
      <w:r w:rsidR="00E045D9" w:rsidRPr="00D5464D">
        <w:rPr>
          <w:rFonts w:cs="Arial"/>
          <w:bCs/>
          <w:iCs/>
          <w:szCs w:val="20"/>
          <w:lang w:val="pt-BR"/>
        </w:rPr>
        <w:t xml:space="preserve"> já </w:t>
      </w:r>
      <w:r w:rsidRPr="00D5464D">
        <w:rPr>
          <w:rFonts w:cs="Arial"/>
          <w:bCs/>
          <w:iCs/>
          <w:szCs w:val="20"/>
          <w:lang w:val="pt-BR"/>
        </w:rPr>
        <w:t>indicou</w:t>
      </w:r>
      <w:r w:rsidR="00D81AA1" w:rsidRPr="00D5464D">
        <w:rPr>
          <w:rFonts w:cs="Arial"/>
          <w:bCs/>
          <w:iCs/>
          <w:szCs w:val="20"/>
          <w:lang w:val="pt-BR"/>
        </w:rPr>
        <w:t xml:space="preserve"> que </w:t>
      </w:r>
      <w:r w:rsidR="00E045D9" w:rsidRPr="00D5464D">
        <w:rPr>
          <w:rFonts w:eastAsia="Times New Roman" w:cs="Arial"/>
          <w:szCs w:val="20"/>
          <w:lang w:val="pt-BR"/>
        </w:rPr>
        <w:t xml:space="preserve">os </w:t>
      </w:r>
      <w:r w:rsidR="00D81AA1" w:rsidRPr="00D5464D">
        <w:rPr>
          <w:rFonts w:eastAsia="Times New Roman" w:cs="Arial"/>
          <w:szCs w:val="20"/>
          <w:lang w:val="pt-BR"/>
        </w:rPr>
        <w:t>casos</w:t>
      </w:r>
      <w:r w:rsidR="00E045D9" w:rsidRPr="00D5464D">
        <w:rPr>
          <w:rFonts w:eastAsia="Times New Roman" w:cs="Arial"/>
          <w:szCs w:val="20"/>
          <w:lang w:val="pt-BR"/>
        </w:rPr>
        <w:t xml:space="preserve"> nos </w:t>
      </w:r>
      <w:r w:rsidR="00470ADC" w:rsidRPr="00D5464D">
        <w:rPr>
          <w:rFonts w:eastAsia="Times New Roman" w:cs="Arial"/>
          <w:szCs w:val="20"/>
          <w:lang w:val="pt-BR"/>
        </w:rPr>
        <w:t>quais</w:t>
      </w:r>
      <w:r w:rsidR="002C330E" w:rsidRPr="00D5464D">
        <w:rPr>
          <w:rFonts w:eastAsia="Times New Roman" w:cs="Arial"/>
          <w:szCs w:val="20"/>
          <w:lang w:val="pt-BR"/>
        </w:rPr>
        <w:t xml:space="preserve"> as </w:t>
      </w:r>
      <w:r w:rsidR="00E045D9" w:rsidRPr="00D5464D">
        <w:rPr>
          <w:rFonts w:eastAsia="Times New Roman" w:cs="Arial"/>
          <w:szCs w:val="20"/>
          <w:lang w:val="pt-BR"/>
        </w:rPr>
        <w:t>vítima</w:t>
      </w:r>
      <w:r w:rsidR="00D81AA1" w:rsidRPr="00D5464D">
        <w:rPr>
          <w:rFonts w:eastAsia="Times New Roman" w:cs="Arial"/>
          <w:szCs w:val="20"/>
          <w:lang w:val="pt-BR"/>
        </w:rPr>
        <w:t>s de viola</w:t>
      </w:r>
      <w:r w:rsidR="00470ADC" w:rsidRPr="00D5464D">
        <w:rPr>
          <w:rFonts w:eastAsia="Times New Roman" w:cs="Arial"/>
          <w:szCs w:val="20"/>
          <w:lang w:val="pt-BR"/>
        </w:rPr>
        <w:t>ções</w:t>
      </w:r>
      <w:r w:rsidR="00E045D9" w:rsidRPr="00D5464D">
        <w:rPr>
          <w:rFonts w:eastAsia="Times New Roman" w:cs="Arial"/>
          <w:szCs w:val="20"/>
          <w:lang w:val="pt-BR"/>
        </w:rPr>
        <w:t xml:space="preserve"> aos </w:t>
      </w:r>
      <w:r w:rsidR="00470ADC" w:rsidRPr="00D5464D">
        <w:rPr>
          <w:rFonts w:eastAsia="Times New Roman" w:cs="Arial"/>
          <w:bCs/>
          <w:iCs/>
          <w:szCs w:val="20"/>
          <w:lang w:val="pt-BR"/>
        </w:rPr>
        <w:t>direito</w:t>
      </w:r>
      <w:r w:rsidR="00D81AA1" w:rsidRPr="00D5464D">
        <w:rPr>
          <w:rFonts w:eastAsia="Times New Roman" w:cs="Arial"/>
          <w:bCs/>
          <w:iCs/>
          <w:szCs w:val="20"/>
          <w:lang w:val="pt-BR"/>
        </w:rPr>
        <w:t>s</w:t>
      </w:r>
      <w:r w:rsidR="00D81AA1" w:rsidRPr="00D5464D">
        <w:rPr>
          <w:rFonts w:eastAsia="Times New Roman" w:cs="Arial"/>
          <w:szCs w:val="20"/>
          <w:lang w:val="pt-BR"/>
        </w:rPr>
        <w:t xml:space="preserve"> humanos</w:t>
      </w:r>
      <w:r w:rsidR="002C330E" w:rsidRPr="00D5464D">
        <w:rPr>
          <w:rFonts w:eastAsia="Times New Roman" w:cs="Arial"/>
          <w:szCs w:val="20"/>
          <w:lang w:val="pt-BR"/>
        </w:rPr>
        <w:t xml:space="preserve"> sã</w:t>
      </w:r>
      <w:r w:rsidR="00B5597A" w:rsidRPr="00D5464D">
        <w:rPr>
          <w:rFonts w:eastAsia="Times New Roman" w:cs="Arial"/>
          <w:szCs w:val="20"/>
          <w:lang w:val="pt-BR"/>
        </w:rPr>
        <w:t xml:space="preserve">o </w:t>
      </w:r>
      <w:r w:rsidR="00230C71" w:rsidRPr="00D5464D">
        <w:rPr>
          <w:rFonts w:eastAsia="Times New Roman" w:cs="Arial"/>
          <w:szCs w:val="20"/>
          <w:lang w:val="pt-BR"/>
        </w:rPr>
        <w:t>criança</w:t>
      </w:r>
      <w:r w:rsidR="00E045D9" w:rsidRPr="00D5464D">
        <w:rPr>
          <w:rFonts w:eastAsia="Times New Roman" w:cs="Arial"/>
          <w:szCs w:val="20"/>
          <w:lang w:val="pt-BR"/>
        </w:rPr>
        <w:t>s</w:t>
      </w:r>
      <w:r w:rsidR="00B5597A" w:rsidRPr="00D5464D">
        <w:rPr>
          <w:rFonts w:eastAsia="Times New Roman" w:cs="Arial"/>
          <w:szCs w:val="20"/>
          <w:lang w:val="pt-BR"/>
        </w:rPr>
        <w:t xml:space="preserve"> se revestem </w:t>
      </w:r>
      <w:r w:rsidR="00C176E3" w:rsidRPr="00D5464D">
        <w:rPr>
          <w:rFonts w:eastAsia="Times New Roman" w:cs="Arial"/>
          <w:szCs w:val="20"/>
          <w:lang w:val="pt-BR"/>
        </w:rPr>
        <w:t xml:space="preserve">de </w:t>
      </w:r>
      <w:r w:rsidR="00B5597A" w:rsidRPr="00D5464D">
        <w:rPr>
          <w:rFonts w:eastAsia="Times New Roman" w:cs="Arial"/>
          <w:szCs w:val="20"/>
          <w:lang w:val="pt-BR"/>
        </w:rPr>
        <w:t>especial gravidade</w:t>
      </w:r>
      <w:r w:rsidR="00D81AA1" w:rsidRPr="00D5464D">
        <w:rPr>
          <w:rFonts w:eastAsia="Times New Roman" w:cs="Arial"/>
          <w:szCs w:val="20"/>
          <w:lang w:val="pt-BR"/>
        </w:rPr>
        <w:t xml:space="preserve">, </w:t>
      </w:r>
      <w:r w:rsidR="00B5597A" w:rsidRPr="00D5464D">
        <w:rPr>
          <w:rFonts w:eastAsia="Times New Roman" w:cs="Arial"/>
          <w:szCs w:val="20"/>
          <w:lang w:val="pt-BR"/>
        </w:rPr>
        <w:t xml:space="preserve">pois as crianças </w:t>
      </w:r>
      <w:r w:rsidR="002C330E" w:rsidRPr="00D5464D">
        <w:rPr>
          <w:rFonts w:eastAsia="Times New Roman" w:cs="Arial"/>
          <w:szCs w:val="20"/>
          <w:lang w:val="pt-BR"/>
        </w:rPr>
        <w:t xml:space="preserve">são </w:t>
      </w:r>
      <w:r w:rsidR="00D81AA1" w:rsidRPr="00D5464D">
        <w:rPr>
          <w:rFonts w:eastAsia="Times New Roman" w:cs="Arial"/>
          <w:szCs w:val="20"/>
          <w:lang w:val="pt-BR"/>
        </w:rPr>
        <w:t>titulares</w:t>
      </w:r>
      <w:r w:rsidR="00470ADC" w:rsidRPr="00D5464D">
        <w:rPr>
          <w:rFonts w:eastAsia="Times New Roman" w:cs="Arial"/>
          <w:szCs w:val="20"/>
          <w:lang w:val="pt-BR"/>
        </w:rPr>
        <w:t xml:space="preserve"> dos </w:t>
      </w:r>
      <w:r w:rsidR="00470ADC" w:rsidRPr="00D5464D">
        <w:rPr>
          <w:rFonts w:eastAsia="Times New Roman" w:cs="Arial"/>
          <w:bCs/>
          <w:iCs/>
          <w:szCs w:val="20"/>
          <w:lang w:val="pt-BR"/>
        </w:rPr>
        <w:t>direito</w:t>
      </w:r>
      <w:r w:rsidR="00D81AA1" w:rsidRPr="00D5464D">
        <w:rPr>
          <w:rFonts w:eastAsia="Times New Roman" w:cs="Arial"/>
          <w:bCs/>
          <w:iCs/>
          <w:szCs w:val="20"/>
          <w:lang w:val="pt-BR"/>
        </w:rPr>
        <w:t>s</w:t>
      </w:r>
      <w:r w:rsidR="00D81AA1" w:rsidRPr="00D5464D">
        <w:rPr>
          <w:rFonts w:eastAsia="Times New Roman" w:cs="Arial"/>
          <w:szCs w:val="20"/>
          <w:lang w:val="pt-BR"/>
        </w:rPr>
        <w:t xml:space="preserve"> </w:t>
      </w:r>
      <w:r w:rsidR="00470ADC" w:rsidRPr="00D5464D">
        <w:rPr>
          <w:rFonts w:eastAsia="Times New Roman" w:cs="Arial"/>
          <w:szCs w:val="20"/>
          <w:lang w:val="pt-BR"/>
        </w:rPr>
        <w:t>estabelecid</w:t>
      </w:r>
      <w:r w:rsidR="00D81AA1" w:rsidRPr="00D5464D">
        <w:rPr>
          <w:rFonts w:eastAsia="Times New Roman" w:cs="Arial"/>
          <w:szCs w:val="20"/>
          <w:lang w:val="pt-BR"/>
        </w:rPr>
        <w:t>os</w:t>
      </w:r>
      <w:r w:rsidR="00E045D9" w:rsidRPr="00D5464D">
        <w:rPr>
          <w:rFonts w:eastAsia="Times New Roman" w:cs="Arial"/>
          <w:szCs w:val="20"/>
          <w:lang w:val="pt-BR"/>
        </w:rPr>
        <w:t xml:space="preserve"> na </w:t>
      </w:r>
      <w:r w:rsidR="00D81AA1" w:rsidRPr="00D5464D">
        <w:rPr>
          <w:rFonts w:eastAsia="Times New Roman" w:cs="Arial"/>
          <w:bCs/>
          <w:iCs/>
          <w:szCs w:val="20"/>
          <w:lang w:val="pt-BR"/>
        </w:rPr>
        <w:t>Conven</w:t>
      </w:r>
      <w:r w:rsidR="00470ADC" w:rsidRPr="00D5464D">
        <w:rPr>
          <w:rFonts w:eastAsia="Times New Roman" w:cs="Arial"/>
          <w:bCs/>
          <w:iCs/>
          <w:szCs w:val="20"/>
          <w:lang w:val="pt-BR"/>
        </w:rPr>
        <w:t>ção</w:t>
      </w:r>
      <w:r w:rsidR="00D81AA1" w:rsidRPr="00D5464D">
        <w:rPr>
          <w:rFonts w:eastAsia="Times New Roman" w:cs="Arial"/>
          <w:szCs w:val="20"/>
          <w:lang w:val="pt-BR"/>
        </w:rPr>
        <w:t xml:space="preserve"> Americana</w:t>
      </w:r>
      <w:r w:rsidR="00EB1CE9" w:rsidRPr="00D5464D">
        <w:rPr>
          <w:rFonts w:eastAsia="Times New Roman" w:cs="Arial"/>
          <w:szCs w:val="20"/>
          <w:lang w:val="pt-BR"/>
        </w:rPr>
        <w:t xml:space="preserve">, além </w:t>
      </w:r>
      <w:r w:rsidR="00350187" w:rsidRPr="00D5464D">
        <w:rPr>
          <w:rFonts w:eastAsia="Times New Roman" w:cs="Arial"/>
          <w:szCs w:val="20"/>
          <w:lang w:val="pt-BR"/>
        </w:rPr>
        <w:t xml:space="preserve">de </w:t>
      </w:r>
      <w:r w:rsidR="00D81AA1" w:rsidRPr="00D5464D">
        <w:rPr>
          <w:rFonts w:eastAsia="Times New Roman" w:cs="Arial"/>
          <w:szCs w:val="20"/>
          <w:lang w:val="pt-BR"/>
        </w:rPr>
        <w:t>contar</w:t>
      </w:r>
      <w:r w:rsidR="00B5597A" w:rsidRPr="00D5464D">
        <w:rPr>
          <w:rFonts w:eastAsia="Times New Roman" w:cs="Arial"/>
          <w:szCs w:val="20"/>
          <w:lang w:val="pt-BR"/>
        </w:rPr>
        <w:t>em</w:t>
      </w:r>
      <w:r w:rsidR="00470ADC" w:rsidRPr="00D5464D">
        <w:rPr>
          <w:rFonts w:eastAsia="Times New Roman" w:cs="Arial"/>
          <w:szCs w:val="20"/>
          <w:lang w:val="pt-BR"/>
        </w:rPr>
        <w:t xml:space="preserve"> com</w:t>
      </w:r>
      <w:r w:rsidR="002C330E" w:rsidRPr="00D5464D">
        <w:rPr>
          <w:rFonts w:eastAsia="Times New Roman" w:cs="Arial"/>
          <w:szCs w:val="20"/>
          <w:lang w:val="pt-BR"/>
        </w:rPr>
        <w:t xml:space="preserve"> as </w:t>
      </w:r>
      <w:r w:rsidR="00D81AA1" w:rsidRPr="00D5464D">
        <w:rPr>
          <w:rFonts w:eastAsia="Times New Roman" w:cs="Arial"/>
          <w:szCs w:val="20"/>
          <w:lang w:val="pt-BR"/>
        </w:rPr>
        <w:t xml:space="preserve">medidas </w:t>
      </w:r>
      <w:r w:rsidR="00470ADC" w:rsidRPr="00D5464D">
        <w:rPr>
          <w:rFonts w:eastAsia="Times New Roman" w:cs="Arial"/>
          <w:szCs w:val="20"/>
          <w:lang w:val="pt-BR"/>
        </w:rPr>
        <w:t>especiais</w:t>
      </w:r>
      <w:r w:rsidR="00D81AA1" w:rsidRPr="00D5464D">
        <w:rPr>
          <w:rFonts w:eastAsia="Times New Roman" w:cs="Arial"/>
          <w:szCs w:val="20"/>
          <w:lang w:val="pt-BR"/>
        </w:rPr>
        <w:t xml:space="preserve"> de </w:t>
      </w:r>
      <w:r w:rsidR="002C330E" w:rsidRPr="00D5464D">
        <w:rPr>
          <w:rFonts w:eastAsia="Times New Roman" w:cs="Arial"/>
          <w:szCs w:val="20"/>
          <w:lang w:val="pt-BR"/>
        </w:rPr>
        <w:t>proteção</w:t>
      </w:r>
      <w:r w:rsidR="00D81AA1" w:rsidRPr="00D5464D">
        <w:rPr>
          <w:rFonts w:eastAsia="Times New Roman" w:cs="Arial"/>
          <w:szCs w:val="20"/>
          <w:lang w:val="pt-BR"/>
        </w:rPr>
        <w:t xml:space="preserve"> contempladas</w:t>
      </w:r>
      <w:r w:rsidR="00470ADC" w:rsidRPr="00D5464D">
        <w:rPr>
          <w:rFonts w:eastAsia="Times New Roman" w:cs="Arial"/>
          <w:szCs w:val="20"/>
          <w:lang w:val="pt-BR"/>
        </w:rPr>
        <w:t xml:space="preserve"> em</w:t>
      </w:r>
      <w:r w:rsidR="002C330E" w:rsidRPr="00D5464D">
        <w:rPr>
          <w:rFonts w:eastAsia="Times New Roman" w:cs="Arial"/>
          <w:szCs w:val="20"/>
          <w:lang w:val="pt-BR"/>
        </w:rPr>
        <w:t xml:space="preserve"> seu artigo </w:t>
      </w:r>
      <w:r w:rsidR="00D81AA1" w:rsidRPr="00D5464D">
        <w:rPr>
          <w:rFonts w:eastAsia="Times New Roman" w:cs="Arial"/>
          <w:szCs w:val="20"/>
          <w:lang w:val="pt-BR"/>
        </w:rPr>
        <w:t>19</w:t>
      </w:r>
      <w:r w:rsidR="00B5597A" w:rsidRPr="00D5464D">
        <w:rPr>
          <w:rFonts w:eastAsia="Times New Roman" w:cs="Arial"/>
          <w:szCs w:val="20"/>
          <w:lang w:val="pt-BR"/>
        </w:rPr>
        <w:t>,</w:t>
      </w:r>
      <w:r w:rsidR="002C330E" w:rsidRPr="00D5464D">
        <w:rPr>
          <w:rFonts w:eastAsia="Times New Roman" w:cs="Arial"/>
          <w:szCs w:val="20"/>
          <w:lang w:val="pt-BR"/>
        </w:rPr>
        <w:t xml:space="preserve"> as </w:t>
      </w:r>
      <w:r w:rsidR="00470ADC" w:rsidRPr="00D5464D">
        <w:rPr>
          <w:rFonts w:eastAsia="Times New Roman" w:cs="Arial"/>
          <w:szCs w:val="20"/>
          <w:lang w:val="pt-BR"/>
        </w:rPr>
        <w:t>quais</w:t>
      </w:r>
      <w:r w:rsidR="00D81AA1" w:rsidRPr="00D5464D">
        <w:rPr>
          <w:rFonts w:eastAsia="Times New Roman" w:cs="Arial"/>
          <w:szCs w:val="20"/>
          <w:lang w:val="pt-BR"/>
        </w:rPr>
        <w:t xml:space="preserve"> </w:t>
      </w:r>
      <w:r w:rsidR="00470ADC" w:rsidRPr="00D5464D">
        <w:rPr>
          <w:rFonts w:eastAsia="Times New Roman" w:cs="Arial"/>
          <w:szCs w:val="20"/>
          <w:lang w:val="pt-BR"/>
        </w:rPr>
        <w:t>devem</w:t>
      </w:r>
      <w:r w:rsidR="00D81AA1" w:rsidRPr="00D5464D">
        <w:rPr>
          <w:rFonts w:eastAsia="Times New Roman" w:cs="Arial"/>
          <w:szCs w:val="20"/>
          <w:lang w:val="pt-BR"/>
        </w:rPr>
        <w:t xml:space="preserve"> ser definidas </w:t>
      </w:r>
      <w:r w:rsidR="002C330E" w:rsidRPr="00D5464D">
        <w:rPr>
          <w:rFonts w:eastAsia="Times New Roman" w:cs="Arial"/>
          <w:szCs w:val="20"/>
          <w:lang w:val="pt-BR"/>
        </w:rPr>
        <w:t xml:space="preserve">segundo as </w:t>
      </w:r>
      <w:r w:rsidR="00470ADC" w:rsidRPr="00D5464D">
        <w:rPr>
          <w:rFonts w:eastAsia="Times New Roman" w:cs="Arial"/>
          <w:szCs w:val="20"/>
          <w:lang w:val="pt-BR"/>
        </w:rPr>
        <w:t>circunstâncias</w:t>
      </w:r>
      <w:r w:rsidR="00D81AA1" w:rsidRPr="00D5464D">
        <w:rPr>
          <w:rFonts w:eastAsia="Times New Roman" w:cs="Arial"/>
          <w:szCs w:val="20"/>
          <w:lang w:val="pt-BR"/>
        </w:rPr>
        <w:t xml:space="preserve"> particulares de cada caso concreto</w:t>
      </w:r>
      <w:r w:rsidR="007C6E16" w:rsidRPr="00D5464D">
        <w:rPr>
          <w:rFonts w:eastAsia="Times New Roman" w:cs="Arial"/>
          <w:szCs w:val="20"/>
          <w:lang w:val="pt-BR"/>
        </w:rPr>
        <w:t>.</w:t>
      </w:r>
      <w:r w:rsidR="00D81AA1" w:rsidRPr="00D5464D">
        <w:rPr>
          <w:rStyle w:val="Refdenotaalpie"/>
          <w:rFonts w:eastAsia="Times New Roman"/>
          <w:lang w:val="pt-BR"/>
        </w:rPr>
        <w:footnoteReference w:id="505"/>
      </w:r>
    </w:p>
    <w:p w14:paraId="53B4B528" w14:textId="77777777" w:rsidR="00DE3E58" w:rsidRPr="00D5464D" w:rsidRDefault="00DE3E58" w:rsidP="00DE3E58">
      <w:pPr>
        <w:pStyle w:val="Prrafodelista"/>
        <w:autoSpaceDE w:val="0"/>
        <w:autoSpaceDN w:val="0"/>
        <w:adjustRightInd w:val="0"/>
        <w:ind w:left="1080"/>
        <w:rPr>
          <w:rFonts w:cs="Arial"/>
          <w:i/>
          <w:szCs w:val="20"/>
          <w:lang w:val="pt-BR"/>
        </w:rPr>
      </w:pPr>
    </w:p>
    <w:p w14:paraId="25E898EE" w14:textId="3A280CBC" w:rsidR="00D81AA1" w:rsidRPr="00D5464D" w:rsidRDefault="00470ADC" w:rsidP="00F306D7">
      <w:pPr>
        <w:pStyle w:val="Prrafodelista"/>
        <w:numPr>
          <w:ilvl w:val="0"/>
          <w:numId w:val="24"/>
        </w:numPr>
        <w:autoSpaceDE w:val="0"/>
        <w:autoSpaceDN w:val="0"/>
        <w:adjustRightInd w:val="0"/>
        <w:rPr>
          <w:rFonts w:cs="Arial"/>
          <w:i/>
          <w:szCs w:val="20"/>
          <w:lang w:val="pt-BR"/>
        </w:rPr>
      </w:pPr>
      <w:r w:rsidRPr="00D5464D">
        <w:rPr>
          <w:rFonts w:cs="Arial"/>
          <w:bCs/>
          <w:iCs/>
          <w:szCs w:val="20"/>
          <w:lang w:val="pt-BR"/>
        </w:rPr>
        <w:t xml:space="preserve">A </w:t>
      </w:r>
      <w:r w:rsidR="002C330E" w:rsidRPr="00D5464D">
        <w:rPr>
          <w:rFonts w:cs="Arial"/>
          <w:i/>
          <w:szCs w:val="20"/>
          <w:lang w:val="pt-BR"/>
        </w:rPr>
        <w:t>prescrição</w:t>
      </w:r>
      <w:r w:rsidRPr="00D5464D">
        <w:rPr>
          <w:rFonts w:cs="Arial"/>
          <w:i/>
          <w:szCs w:val="20"/>
          <w:lang w:val="pt-BR"/>
        </w:rPr>
        <w:t xml:space="preserve"> dos </w:t>
      </w:r>
      <w:r w:rsidR="002C330E" w:rsidRPr="00D5464D">
        <w:rPr>
          <w:rFonts w:cs="Arial"/>
          <w:i/>
          <w:szCs w:val="20"/>
          <w:lang w:val="pt-BR"/>
        </w:rPr>
        <w:t>processo</w:t>
      </w:r>
      <w:r w:rsidR="00D81AA1" w:rsidRPr="00D5464D">
        <w:rPr>
          <w:rFonts w:cs="Arial"/>
          <w:i/>
          <w:szCs w:val="20"/>
          <w:lang w:val="pt-BR"/>
        </w:rPr>
        <w:t>s</w:t>
      </w:r>
      <w:r w:rsidR="00E045D9" w:rsidRPr="00D5464D">
        <w:rPr>
          <w:rFonts w:cs="Arial"/>
          <w:i/>
          <w:szCs w:val="20"/>
          <w:lang w:val="pt-BR"/>
        </w:rPr>
        <w:t xml:space="preserve"> e </w:t>
      </w:r>
      <w:r w:rsidR="00D81AA1" w:rsidRPr="00D5464D">
        <w:rPr>
          <w:rFonts w:cs="Arial"/>
          <w:i/>
          <w:szCs w:val="20"/>
          <w:lang w:val="pt-BR"/>
        </w:rPr>
        <w:t>su</w:t>
      </w:r>
      <w:r w:rsidR="00B5597A" w:rsidRPr="00D5464D">
        <w:rPr>
          <w:rFonts w:cs="Arial"/>
          <w:i/>
          <w:szCs w:val="20"/>
          <w:lang w:val="pt-BR"/>
        </w:rPr>
        <w:t>a</w:t>
      </w:r>
      <w:r w:rsidR="00D81AA1" w:rsidRPr="00D5464D">
        <w:rPr>
          <w:rFonts w:cs="Arial"/>
          <w:i/>
          <w:szCs w:val="20"/>
          <w:lang w:val="pt-BR"/>
        </w:rPr>
        <w:t xml:space="preserve"> </w:t>
      </w:r>
      <w:r w:rsidR="00350187" w:rsidRPr="00D5464D">
        <w:rPr>
          <w:rFonts w:cs="Arial"/>
          <w:i/>
          <w:szCs w:val="20"/>
          <w:lang w:val="pt-BR"/>
        </w:rPr>
        <w:t xml:space="preserve">compatibilidade </w:t>
      </w:r>
      <w:r w:rsidRPr="00D5464D">
        <w:rPr>
          <w:rFonts w:cs="Arial"/>
          <w:i/>
          <w:szCs w:val="20"/>
          <w:lang w:val="pt-BR"/>
        </w:rPr>
        <w:t>com</w:t>
      </w:r>
      <w:r w:rsidR="002C330E" w:rsidRPr="00D5464D">
        <w:rPr>
          <w:rFonts w:cs="Arial"/>
          <w:i/>
          <w:szCs w:val="20"/>
          <w:lang w:val="pt-BR"/>
        </w:rPr>
        <w:t xml:space="preserve"> as obrigações</w:t>
      </w:r>
      <w:r w:rsidR="00D81AA1" w:rsidRPr="00D5464D">
        <w:rPr>
          <w:rFonts w:cs="Arial"/>
          <w:i/>
          <w:szCs w:val="20"/>
          <w:lang w:val="pt-BR"/>
        </w:rPr>
        <w:t xml:space="preserve"> derivadas </w:t>
      </w:r>
      <w:r w:rsidRPr="00D5464D">
        <w:rPr>
          <w:rFonts w:cs="Arial"/>
          <w:i/>
          <w:szCs w:val="20"/>
          <w:lang w:val="pt-BR"/>
        </w:rPr>
        <w:t xml:space="preserve">do </w:t>
      </w:r>
      <w:r w:rsidR="00E765C2" w:rsidRPr="00D5464D">
        <w:rPr>
          <w:rFonts w:cs="Arial"/>
          <w:i/>
          <w:szCs w:val="20"/>
          <w:lang w:val="pt-BR"/>
        </w:rPr>
        <w:t>Direito Internacional</w:t>
      </w:r>
    </w:p>
    <w:p w14:paraId="673FAD3D" w14:textId="77777777" w:rsidR="00D81AA1" w:rsidRPr="00D5464D" w:rsidRDefault="00D81AA1" w:rsidP="00D81AA1">
      <w:pPr>
        <w:pStyle w:val="Prrafodelista"/>
        <w:ind w:left="0"/>
        <w:rPr>
          <w:rFonts w:cs="Arial"/>
          <w:szCs w:val="20"/>
          <w:lang w:val="pt-BR"/>
        </w:rPr>
      </w:pPr>
    </w:p>
    <w:p w14:paraId="10E5E1A4" w14:textId="1933488D" w:rsidR="00D81AA1" w:rsidRPr="00D5464D" w:rsidRDefault="00737270" w:rsidP="00D81AA1">
      <w:pPr>
        <w:pStyle w:val="Prrafodelista"/>
        <w:numPr>
          <w:ilvl w:val="0"/>
          <w:numId w:val="1"/>
        </w:numPr>
        <w:contextualSpacing w:val="0"/>
        <w:rPr>
          <w:rFonts w:cs="Arial"/>
          <w:szCs w:val="20"/>
          <w:lang w:val="pt-BR"/>
        </w:rPr>
      </w:pPr>
      <w:r w:rsidRPr="00D5464D">
        <w:rPr>
          <w:szCs w:val="20"/>
          <w:lang w:val="pt-BR"/>
        </w:rPr>
        <w:t>Em primeiro</w:t>
      </w:r>
      <w:r w:rsidR="002C330E" w:rsidRPr="00D5464D">
        <w:rPr>
          <w:szCs w:val="20"/>
          <w:lang w:val="pt-BR"/>
        </w:rPr>
        <w:t xml:space="preserve"> </w:t>
      </w:r>
      <w:r w:rsidR="00D81AA1" w:rsidRPr="00D5464D">
        <w:rPr>
          <w:szCs w:val="20"/>
          <w:lang w:val="pt-BR"/>
        </w:rPr>
        <w:t>lugar,</w:t>
      </w:r>
      <w:r w:rsidR="002C330E" w:rsidRPr="00D5464D">
        <w:rPr>
          <w:szCs w:val="20"/>
          <w:lang w:val="pt-BR"/>
        </w:rPr>
        <w:t xml:space="preserve"> a </w:t>
      </w:r>
      <w:r w:rsidR="00D81AA1" w:rsidRPr="00D5464D">
        <w:rPr>
          <w:szCs w:val="20"/>
          <w:lang w:val="pt-BR"/>
        </w:rPr>
        <w:t xml:space="preserve">Corte </w:t>
      </w:r>
      <w:r w:rsidR="00E045D9" w:rsidRPr="00D5464D">
        <w:rPr>
          <w:szCs w:val="20"/>
          <w:lang w:val="pt-BR"/>
        </w:rPr>
        <w:t>recorda</w:t>
      </w:r>
      <w:r w:rsidR="00D81AA1" w:rsidRPr="00D5464D">
        <w:rPr>
          <w:szCs w:val="20"/>
          <w:lang w:val="pt-BR"/>
        </w:rPr>
        <w:t xml:space="preserve"> que </w:t>
      </w:r>
      <w:r w:rsidR="00230C71" w:rsidRPr="00D5464D">
        <w:rPr>
          <w:szCs w:val="20"/>
          <w:lang w:val="pt-BR"/>
        </w:rPr>
        <w:t>determinou</w:t>
      </w:r>
      <w:r w:rsidR="00D81AA1" w:rsidRPr="00D5464D">
        <w:rPr>
          <w:szCs w:val="20"/>
          <w:lang w:val="pt-BR"/>
        </w:rPr>
        <w:t xml:space="preserve"> que</w:t>
      </w:r>
      <w:r w:rsidR="002C330E" w:rsidRPr="00D5464D">
        <w:rPr>
          <w:szCs w:val="20"/>
          <w:lang w:val="pt-BR"/>
        </w:rPr>
        <w:t xml:space="preserve"> os </w:t>
      </w:r>
      <w:r w:rsidR="00D81AA1" w:rsidRPr="00D5464D">
        <w:rPr>
          <w:szCs w:val="20"/>
          <w:lang w:val="pt-BR"/>
        </w:rPr>
        <w:t xml:space="preserve">Estados </w:t>
      </w:r>
      <w:r w:rsidR="00E045D9" w:rsidRPr="00D5464D">
        <w:rPr>
          <w:szCs w:val="20"/>
          <w:lang w:val="pt-BR"/>
        </w:rPr>
        <w:t xml:space="preserve">têm uma </w:t>
      </w:r>
      <w:r w:rsidR="002C330E" w:rsidRPr="00D5464D">
        <w:rPr>
          <w:szCs w:val="20"/>
          <w:lang w:val="pt-BR"/>
        </w:rPr>
        <w:t>obrigação</w:t>
      </w:r>
      <w:r w:rsidR="00D81AA1" w:rsidRPr="00D5464D">
        <w:rPr>
          <w:szCs w:val="20"/>
          <w:lang w:val="pt-BR"/>
        </w:rPr>
        <w:t xml:space="preserve"> que vincula todos </w:t>
      </w:r>
      <w:r w:rsidR="00206C9D" w:rsidRPr="00D5464D">
        <w:rPr>
          <w:szCs w:val="20"/>
          <w:lang w:val="pt-BR"/>
        </w:rPr>
        <w:t>os</w:t>
      </w:r>
      <w:r w:rsidR="00FF1290" w:rsidRPr="00D5464D">
        <w:rPr>
          <w:szCs w:val="20"/>
          <w:lang w:val="pt-BR"/>
        </w:rPr>
        <w:t xml:space="preserve"> </w:t>
      </w:r>
      <w:r w:rsidR="00E045D9" w:rsidRPr="00D5464D">
        <w:rPr>
          <w:szCs w:val="20"/>
          <w:lang w:val="pt-BR"/>
        </w:rPr>
        <w:t xml:space="preserve">poderes e </w:t>
      </w:r>
      <w:r w:rsidR="002C330E" w:rsidRPr="00D5464D">
        <w:rPr>
          <w:szCs w:val="20"/>
          <w:lang w:val="pt-BR"/>
        </w:rPr>
        <w:t>órgão</w:t>
      </w:r>
      <w:r w:rsidR="00D81AA1" w:rsidRPr="00D5464D">
        <w:rPr>
          <w:szCs w:val="20"/>
          <w:lang w:val="pt-BR"/>
        </w:rPr>
        <w:t>s esta</w:t>
      </w:r>
      <w:r w:rsidR="00E045D9" w:rsidRPr="00D5464D">
        <w:rPr>
          <w:szCs w:val="20"/>
          <w:lang w:val="pt-BR"/>
        </w:rPr>
        <w:t>tais</w:t>
      </w:r>
      <w:r w:rsidR="00470ADC" w:rsidRPr="00D5464D">
        <w:rPr>
          <w:szCs w:val="20"/>
          <w:lang w:val="pt-BR"/>
        </w:rPr>
        <w:t xml:space="preserve"> em </w:t>
      </w:r>
      <w:r w:rsidRPr="00D5464D">
        <w:rPr>
          <w:szCs w:val="20"/>
          <w:lang w:val="pt-BR"/>
        </w:rPr>
        <w:t>seu conjunto</w:t>
      </w:r>
      <w:r w:rsidR="00D81AA1" w:rsidRPr="00D5464D">
        <w:rPr>
          <w:szCs w:val="20"/>
          <w:lang w:val="pt-BR"/>
        </w:rPr>
        <w:t>,</w:t>
      </w:r>
      <w:r w:rsidR="002C330E" w:rsidRPr="00D5464D">
        <w:rPr>
          <w:szCs w:val="20"/>
          <w:lang w:val="pt-BR"/>
        </w:rPr>
        <w:t xml:space="preserve"> os </w:t>
      </w:r>
      <w:r w:rsidR="00470ADC" w:rsidRPr="00D5464D">
        <w:rPr>
          <w:szCs w:val="20"/>
          <w:lang w:val="pt-BR"/>
        </w:rPr>
        <w:t>quais</w:t>
      </w:r>
      <w:r w:rsidR="00D81AA1" w:rsidRPr="00D5464D">
        <w:rPr>
          <w:szCs w:val="20"/>
          <w:lang w:val="pt-BR"/>
        </w:rPr>
        <w:t xml:space="preserve"> se </w:t>
      </w:r>
      <w:r w:rsidR="00470ADC" w:rsidRPr="00D5464D">
        <w:rPr>
          <w:szCs w:val="20"/>
          <w:lang w:val="pt-BR"/>
        </w:rPr>
        <w:t>encontram</w:t>
      </w:r>
      <w:r w:rsidR="00D81AA1" w:rsidRPr="00D5464D">
        <w:rPr>
          <w:szCs w:val="20"/>
          <w:lang w:val="pt-BR"/>
        </w:rPr>
        <w:t xml:space="preserve"> </w:t>
      </w:r>
      <w:r w:rsidR="002C330E" w:rsidRPr="00D5464D">
        <w:rPr>
          <w:szCs w:val="20"/>
          <w:lang w:val="pt-BR"/>
        </w:rPr>
        <w:t>obrigad</w:t>
      </w:r>
      <w:r w:rsidR="00D81AA1" w:rsidRPr="00D5464D">
        <w:rPr>
          <w:szCs w:val="20"/>
          <w:lang w:val="pt-BR"/>
        </w:rPr>
        <w:t xml:space="preserve">os a </w:t>
      </w:r>
      <w:r w:rsidR="00470ADC" w:rsidRPr="00D5464D">
        <w:rPr>
          <w:szCs w:val="20"/>
          <w:lang w:val="pt-BR"/>
        </w:rPr>
        <w:t>exercer</w:t>
      </w:r>
      <w:r w:rsidR="00E045D9" w:rsidRPr="00D5464D">
        <w:rPr>
          <w:szCs w:val="20"/>
          <w:lang w:val="pt-BR"/>
        </w:rPr>
        <w:t xml:space="preserve"> um </w:t>
      </w:r>
      <w:r w:rsidR="00470ADC" w:rsidRPr="00D5464D">
        <w:rPr>
          <w:szCs w:val="20"/>
          <w:lang w:val="pt-BR"/>
        </w:rPr>
        <w:t xml:space="preserve">controle </w:t>
      </w:r>
      <w:r w:rsidR="00D81AA1" w:rsidRPr="00D5464D">
        <w:rPr>
          <w:szCs w:val="20"/>
          <w:lang w:val="pt-BR"/>
        </w:rPr>
        <w:t>de convencion</w:t>
      </w:r>
      <w:r w:rsidR="00EB1CE9" w:rsidRPr="00D5464D">
        <w:rPr>
          <w:szCs w:val="20"/>
          <w:lang w:val="pt-BR"/>
        </w:rPr>
        <w:t xml:space="preserve">alidade </w:t>
      </w:r>
      <w:r w:rsidR="00350187" w:rsidRPr="00D5464D">
        <w:rPr>
          <w:i/>
          <w:szCs w:val="20"/>
          <w:lang w:val="pt-BR"/>
        </w:rPr>
        <w:t>ex officio</w:t>
      </w:r>
      <w:r w:rsidR="00D81AA1" w:rsidRPr="00D5464D">
        <w:rPr>
          <w:i/>
          <w:szCs w:val="20"/>
          <w:lang w:val="pt-BR"/>
        </w:rPr>
        <w:t xml:space="preserve"> </w:t>
      </w:r>
      <w:r w:rsidR="00D81AA1" w:rsidRPr="00D5464D">
        <w:rPr>
          <w:szCs w:val="20"/>
          <w:lang w:val="pt-BR"/>
        </w:rPr>
        <w:t xml:space="preserve">entre </w:t>
      </w:r>
      <w:r w:rsidR="00350187" w:rsidRPr="00D5464D">
        <w:rPr>
          <w:szCs w:val="20"/>
          <w:lang w:val="pt-BR"/>
        </w:rPr>
        <w:t>suas normas</w:t>
      </w:r>
      <w:r w:rsidR="00D81AA1" w:rsidRPr="00D5464D">
        <w:rPr>
          <w:szCs w:val="20"/>
          <w:lang w:val="pt-BR"/>
        </w:rPr>
        <w:t xml:space="preserve"> internas</w:t>
      </w:r>
      <w:r w:rsidR="00E045D9" w:rsidRPr="00D5464D">
        <w:rPr>
          <w:szCs w:val="20"/>
          <w:lang w:val="pt-BR"/>
        </w:rPr>
        <w:t xml:space="preserve"> e </w:t>
      </w:r>
      <w:r w:rsidR="002C330E" w:rsidRPr="00D5464D">
        <w:rPr>
          <w:szCs w:val="20"/>
          <w:lang w:val="pt-BR"/>
        </w:rPr>
        <w:t xml:space="preserve">a </w:t>
      </w:r>
      <w:r w:rsidR="00D81AA1" w:rsidRPr="00D5464D">
        <w:rPr>
          <w:szCs w:val="20"/>
          <w:lang w:val="pt-BR"/>
        </w:rPr>
        <w:t>Conven</w:t>
      </w:r>
      <w:r w:rsidR="00470ADC" w:rsidRPr="00D5464D">
        <w:rPr>
          <w:szCs w:val="20"/>
          <w:lang w:val="pt-BR"/>
        </w:rPr>
        <w:t>ção</w:t>
      </w:r>
      <w:r w:rsidR="00D81AA1" w:rsidRPr="00D5464D">
        <w:rPr>
          <w:szCs w:val="20"/>
          <w:lang w:val="pt-BR"/>
        </w:rPr>
        <w:t xml:space="preserve"> Americana,</w:t>
      </w:r>
      <w:r w:rsidR="00E045D9" w:rsidRPr="00D5464D">
        <w:rPr>
          <w:szCs w:val="20"/>
          <w:lang w:val="pt-BR"/>
        </w:rPr>
        <w:t xml:space="preserve"> no </w:t>
      </w:r>
      <w:r w:rsidR="00B5597A" w:rsidRPr="00D5464D">
        <w:rPr>
          <w:szCs w:val="20"/>
          <w:lang w:val="pt-BR"/>
        </w:rPr>
        <w:t xml:space="preserve">âmbito </w:t>
      </w:r>
      <w:r w:rsidR="00D81AA1" w:rsidRPr="00D5464D">
        <w:rPr>
          <w:szCs w:val="20"/>
          <w:lang w:val="pt-BR"/>
        </w:rPr>
        <w:t xml:space="preserve">de </w:t>
      </w:r>
      <w:r w:rsidR="00230C71" w:rsidRPr="00D5464D">
        <w:rPr>
          <w:szCs w:val="20"/>
          <w:lang w:val="pt-BR"/>
        </w:rPr>
        <w:t>suas respectivas</w:t>
      </w:r>
      <w:r w:rsidR="00D81AA1" w:rsidRPr="00D5464D">
        <w:rPr>
          <w:szCs w:val="20"/>
          <w:lang w:val="pt-BR"/>
        </w:rPr>
        <w:t xml:space="preserve"> </w:t>
      </w:r>
      <w:r w:rsidR="00470ADC" w:rsidRPr="00D5464D">
        <w:rPr>
          <w:szCs w:val="20"/>
          <w:lang w:val="pt-BR"/>
        </w:rPr>
        <w:t>competência</w:t>
      </w:r>
      <w:r w:rsidR="00D81AA1" w:rsidRPr="00D5464D">
        <w:rPr>
          <w:szCs w:val="20"/>
          <w:lang w:val="pt-BR"/>
        </w:rPr>
        <w:t>s</w:t>
      </w:r>
      <w:r w:rsidR="00E045D9" w:rsidRPr="00D5464D">
        <w:rPr>
          <w:szCs w:val="20"/>
          <w:lang w:val="pt-BR"/>
        </w:rPr>
        <w:t xml:space="preserve"> e </w:t>
      </w:r>
      <w:r w:rsidR="00470ADC" w:rsidRPr="00D5464D">
        <w:rPr>
          <w:szCs w:val="20"/>
          <w:lang w:val="pt-BR"/>
        </w:rPr>
        <w:t xml:space="preserve">das </w:t>
      </w:r>
      <w:r w:rsidR="00C176E3" w:rsidRPr="00D5464D">
        <w:rPr>
          <w:szCs w:val="20"/>
          <w:lang w:val="pt-BR"/>
        </w:rPr>
        <w:t>regras</w:t>
      </w:r>
      <w:r w:rsidR="00D81AA1" w:rsidRPr="00D5464D">
        <w:rPr>
          <w:szCs w:val="20"/>
          <w:lang w:val="pt-BR"/>
        </w:rPr>
        <w:t xml:space="preserve"> </w:t>
      </w:r>
      <w:r w:rsidR="002C330E" w:rsidRPr="00D5464D">
        <w:rPr>
          <w:szCs w:val="20"/>
          <w:lang w:val="pt-BR"/>
        </w:rPr>
        <w:t>processuais</w:t>
      </w:r>
      <w:r w:rsidR="00D81AA1" w:rsidRPr="00D5464D">
        <w:rPr>
          <w:szCs w:val="20"/>
          <w:lang w:val="pt-BR"/>
        </w:rPr>
        <w:t xml:space="preserve"> </w:t>
      </w:r>
      <w:r w:rsidR="00470ADC" w:rsidRPr="00D5464D">
        <w:rPr>
          <w:szCs w:val="20"/>
          <w:lang w:val="pt-BR"/>
        </w:rPr>
        <w:t>correspondente</w:t>
      </w:r>
      <w:r w:rsidR="00D81AA1" w:rsidRPr="00D5464D">
        <w:rPr>
          <w:szCs w:val="20"/>
          <w:lang w:val="pt-BR"/>
        </w:rPr>
        <w:t>s</w:t>
      </w:r>
      <w:r w:rsidR="007C6E16" w:rsidRPr="00D5464D">
        <w:rPr>
          <w:szCs w:val="20"/>
          <w:lang w:val="pt-BR"/>
        </w:rPr>
        <w:t>.</w:t>
      </w:r>
      <w:r w:rsidR="00D81AA1" w:rsidRPr="00D5464D">
        <w:rPr>
          <w:szCs w:val="20"/>
          <w:vertAlign w:val="superscript"/>
          <w:lang w:val="pt-BR"/>
        </w:rPr>
        <w:footnoteReference w:id="506"/>
      </w:r>
    </w:p>
    <w:p w14:paraId="5E0E1A4E" w14:textId="77777777" w:rsidR="00D81AA1" w:rsidRPr="00D5464D" w:rsidRDefault="00D81AA1" w:rsidP="00D81AA1">
      <w:pPr>
        <w:pStyle w:val="Prrafodelista"/>
        <w:ind w:left="0"/>
        <w:rPr>
          <w:rFonts w:cs="Arial"/>
          <w:szCs w:val="20"/>
          <w:lang w:val="pt-BR"/>
        </w:rPr>
      </w:pPr>
    </w:p>
    <w:p w14:paraId="5E141859" w14:textId="4F999383" w:rsidR="00D81AA1" w:rsidRPr="00D5464D" w:rsidRDefault="00350187" w:rsidP="00D81AA1">
      <w:pPr>
        <w:pStyle w:val="Prrafodelista"/>
        <w:numPr>
          <w:ilvl w:val="0"/>
          <w:numId w:val="1"/>
        </w:numPr>
        <w:contextualSpacing w:val="0"/>
        <w:rPr>
          <w:rFonts w:cs="Arial"/>
          <w:szCs w:val="20"/>
          <w:lang w:val="pt-BR"/>
        </w:rPr>
      </w:pPr>
      <w:r w:rsidRPr="00D5464D">
        <w:rPr>
          <w:rFonts w:cs="Arial"/>
          <w:szCs w:val="20"/>
          <w:lang w:val="pt-BR"/>
        </w:rPr>
        <w:t xml:space="preserve">Além disso, </w:t>
      </w:r>
      <w:r w:rsidR="002C330E" w:rsidRPr="00D5464D">
        <w:rPr>
          <w:rFonts w:cs="Arial"/>
          <w:szCs w:val="20"/>
          <w:lang w:val="pt-BR"/>
        </w:rPr>
        <w:t xml:space="preserve">a </w:t>
      </w:r>
      <w:r w:rsidR="00D81AA1" w:rsidRPr="00D5464D">
        <w:rPr>
          <w:rFonts w:cs="Arial"/>
          <w:szCs w:val="20"/>
          <w:lang w:val="pt-BR"/>
        </w:rPr>
        <w:t xml:space="preserve">Corte </w:t>
      </w:r>
      <w:r w:rsidR="00230C71" w:rsidRPr="00D5464D">
        <w:rPr>
          <w:rFonts w:cs="Arial"/>
          <w:szCs w:val="20"/>
          <w:lang w:val="pt-BR"/>
        </w:rPr>
        <w:t>determinou</w:t>
      </w:r>
      <w:r w:rsidR="00D81AA1" w:rsidRPr="00D5464D">
        <w:rPr>
          <w:rFonts w:cs="Arial"/>
          <w:szCs w:val="20"/>
          <w:lang w:val="pt-BR"/>
        </w:rPr>
        <w:t xml:space="preserve"> que</w:t>
      </w:r>
      <w:r w:rsidR="00E045D9" w:rsidRPr="00D5464D">
        <w:rPr>
          <w:rFonts w:cs="Arial"/>
          <w:szCs w:val="20"/>
          <w:lang w:val="pt-BR"/>
        </w:rPr>
        <w:t xml:space="preserve"> um </w:t>
      </w:r>
      <w:r w:rsidR="00D81AA1" w:rsidRPr="00D5464D">
        <w:rPr>
          <w:rFonts w:cs="Arial"/>
          <w:szCs w:val="20"/>
          <w:lang w:val="pt-BR"/>
        </w:rPr>
        <w:t xml:space="preserve">Estado que </w:t>
      </w:r>
      <w:r w:rsidR="00B5597A" w:rsidRPr="00D5464D">
        <w:rPr>
          <w:rFonts w:cs="Arial"/>
          <w:szCs w:val="20"/>
          <w:lang w:val="pt-BR"/>
        </w:rPr>
        <w:t xml:space="preserve">celebrou </w:t>
      </w:r>
      <w:r w:rsidR="00E045D9" w:rsidRPr="00D5464D">
        <w:rPr>
          <w:rFonts w:cs="Arial"/>
          <w:szCs w:val="20"/>
          <w:lang w:val="pt-BR"/>
        </w:rPr>
        <w:t xml:space="preserve">um </w:t>
      </w:r>
      <w:r w:rsidR="00D81AA1" w:rsidRPr="00D5464D">
        <w:rPr>
          <w:rFonts w:cs="Arial"/>
          <w:szCs w:val="20"/>
          <w:lang w:val="pt-BR"/>
        </w:rPr>
        <w:t>tratado internacional</w:t>
      </w:r>
      <w:r w:rsidR="00470ADC" w:rsidRPr="00D5464D">
        <w:rPr>
          <w:rFonts w:cs="Arial"/>
          <w:szCs w:val="20"/>
          <w:lang w:val="pt-BR"/>
        </w:rPr>
        <w:t xml:space="preserve"> deve </w:t>
      </w:r>
      <w:r w:rsidR="002C330E" w:rsidRPr="00D5464D">
        <w:rPr>
          <w:rFonts w:cs="Arial"/>
          <w:szCs w:val="20"/>
          <w:lang w:val="pt-BR"/>
        </w:rPr>
        <w:t>introduzir</w:t>
      </w:r>
      <w:r w:rsidR="00470ADC" w:rsidRPr="00D5464D">
        <w:rPr>
          <w:rFonts w:cs="Arial"/>
          <w:szCs w:val="20"/>
          <w:lang w:val="pt-BR"/>
        </w:rPr>
        <w:t xml:space="preserve"> em </w:t>
      </w:r>
      <w:r w:rsidR="00E045D9" w:rsidRPr="00D5464D">
        <w:rPr>
          <w:rFonts w:cs="Arial"/>
          <w:szCs w:val="20"/>
          <w:lang w:val="pt-BR"/>
        </w:rPr>
        <w:t>seu direito</w:t>
      </w:r>
      <w:r w:rsidR="00D81AA1" w:rsidRPr="00D5464D">
        <w:rPr>
          <w:rFonts w:cs="Arial"/>
          <w:szCs w:val="20"/>
          <w:lang w:val="pt-BR"/>
        </w:rPr>
        <w:t xml:space="preserve"> interno</w:t>
      </w:r>
      <w:r w:rsidR="002C330E" w:rsidRPr="00D5464D">
        <w:rPr>
          <w:rFonts w:cs="Arial"/>
          <w:szCs w:val="20"/>
          <w:lang w:val="pt-BR"/>
        </w:rPr>
        <w:t xml:space="preserve"> as </w:t>
      </w:r>
      <w:r w:rsidR="00D81AA1" w:rsidRPr="00D5464D">
        <w:rPr>
          <w:rFonts w:cs="Arial"/>
          <w:szCs w:val="20"/>
          <w:lang w:val="pt-BR"/>
        </w:rPr>
        <w:t>modifica</w:t>
      </w:r>
      <w:r w:rsidR="00470ADC" w:rsidRPr="00D5464D">
        <w:rPr>
          <w:rFonts w:cs="Arial"/>
          <w:szCs w:val="20"/>
          <w:lang w:val="pt-BR"/>
        </w:rPr>
        <w:t>ções</w:t>
      </w:r>
      <w:r w:rsidR="00D81AA1" w:rsidRPr="00D5464D">
        <w:rPr>
          <w:rFonts w:cs="Arial"/>
          <w:szCs w:val="20"/>
          <w:lang w:val="pt-BR"/>
        </w:rPr>
        <w:t xml:space="preserve"> </w:t>
      </w:r>
      <w:r w:rsidR="002C330E" w:rsidRPr="00D5464D">
        <w:rPr>
          <w:rFonts w:cs="Arial"/>
          <w:szCs w:val="20"/>
          <w:lang w:val="pt-BR"/>
        </w:rPr>
        <w:t>necessári</w:t>
      </w:r>
      <w:r w:rsidR="00D81AA1" w:rsidRPr="00D5464D">
        <w:rPr>
          <w:rFonts w:cs="Arial"/>
          <w:szCs w:val="20"/>
          <w:lang w:val="pt-BR"/>
        </w:rPr>
        <w:t xml:space="preserve">as para </w:t>
      </w:r>
      <w:r w:rsidR="00470ADC" w:rsidRPr="00D5464D">
        <w:rPr>
          <w:rFonts w:cs="Arial"/>
          <w:szCs w:val="20"/>
          <w:lang w:val="pt-BR"/>
        </w:rPr>
        <w:t>assegurar</w:t>
      </w:r>
      <w:r w:rsidR="002C330E" w:rsidRPr="00D5464D">
        <w:rPr>
          <w:rFonts w:cs="Arial"/>
          <w:szCs w:val="20"/>
          <w:lang w:val="pt-BR"/>
        </w:rPr>
        <w:t xml:space="preserve"> a </w:t>
      </w:r>
      <w:r w:rsidR="00470ADC" w:rsidRPr="00D5464D">
        <w:rPr>
          <w:rFonts w:cs="Arial"/>
          <w:szCs w:val="20"/>
          <w:lang w:val="pt-BR"/>
        </w:rPr>
        <w:t xml:space="preserve">execução das </w:t>
      </w:r>
      <w:r w:rsidR="002C330E" w:rsidRPr="00D5464D">
        <w:rPr>
          <w:rFonts w:cs="Arial"/>
          <w:szCs w:val="20"/>
          <w:lang w:val="pt-BR"/>
        </w:rPr>
        <w:t>obrigações</w:t>
      </w:r>
      <w:r w:rsidR="00D81AA1" w:rsidRPr="00D5464D">
        <w:rPr>
          <w:rFonts w:cs="Arial"/>
          <w:szCs w:val="20"/>
          <w:lang w:val="pt-BR"/>
        </w:rPr>
        <w:t xml:space="preserve"> </w:t>
      </w:r>
      <w:r w:rsidR="00470ADC" w:rsidRPr="00D5464D">
        <w:rPr>
          <w:rFonts w:cs="Arial"/>
          <w:szCs w:val="20"/>
          <w:lang w:val="pt-BR"/>
        </w:rPr>
        <w:t>assumidas</w:t>
      </w:r>
      <w:r w:rsidR="007C6E16" w:rsidRPr="00D5464D">
        <w:rPr>
          <w:rFonts w:cs="Arial"/>
          <w:szCs w:val="20"/>
          <w:lang w:val="pt-BR"/>
        </w:rPr>
        <w:t>,</w:t>
      </w:r>
      <w:r w:rsidR="00D81AA1" w:rsidRPr="00D5464D">
        <w:rPr>
          <w:szCs w:val="20"/>
          <w:vertAlign w:val="superscript"/>
          <w:lang w:val="pt-BR"/>
        </w:rPr>
        <w:footnoteReference w:id="507"/>
      </w:r>
      <w:r w:rsidR="00470ADC" w:rsidRPr="00D5464D">
        <w:rPr>
          <w:rFonts w:cs="Arial"/>
          <w:szCs w:val="20"/>
          <w:lang w:val="pt-BR"/>
        </w:rPr>
        <w:t xml:space="preserve"> e</w:t>
      </w:r>
      <w:r w:rsidR="00D81AA1" w:rsidRPr="00D5464D">
        <w:rPr>
          <w:rFonts w:cs="Arial"/>
          <w:szCs w:val="20"/>
          <w:lang w:val="pt-BR"/>
        </w:rPr>
        <w:t xml:space="preserve"> que este </w:t>
      </w:r>
      <w:r w:rsidR="002C330E" w:rsidRPr="00D5464D">
        <w:rPr>
          <w:rFonts w:cs="Arial"/>
          <w:szCs w:val="20"/>
          <w:lang w:val="pt-BR"/>
        </w:rPr>
        <w:t>princípio</w:t>
      </w:r>
      <w:r w:rsidR="00D81AA1" w:rsidRPr="00D5464D">
        <w:rPr>
          <w:rFonts w:cs="Arial"/>
          <w:szCs w:val="20"/>
          <w:lang w:val="pt-BR"/>
        </w:rPr>
        <w:t xml:space="preserve"> </w:t>
      </w:r>
      <w:r w:rsidR="00B5597A" w:rsidRPr="00D5464D">
        <w:rPr>
          <w:rFonts w:cs="Arial"/>
          <w:szCs w:val="20"/>
          <w:lang w:val="pt-BR"/>
        </w:rPr>
        <w:t xml:space="preserve">previsto </w:t>
      </w:r>
      <w:r w:rsidR="00E045D9" w:rsidRPr="00D5464D">
        <w:rPr>
          <w:rFonts w:cs="Arial"/>
          <w:szCs w:val="20"/>
          <w:lang w:val="pt-BR"/>
        </w:rPr>
        <w:t xml:space="preserve">no </w:t>
      </w:r>
      <w:r w:rsidR="00470ADC" w:rsidRPr="00D5464D">
        <w:rPr>
          <w:rFonts w:cs="Arial"/>
          <w:szCs w:val="20"/>
          <w:lang w:val="pt-BR"/>
        </w:rPr>
        <w:t>artigo</w:t>
      </w:r>
      <w:r w:rsidR="00D81AA1" w:rsidRPr="00D5464D">
        <w:rPr>
          <w:rFonts w:cs="Arial"/>
          <w:szCs w:val="20"/>
          <w:lang w:val="pt-BR"/>
        </w:rPr>
        <w:t xml:space="preserve"> 2</w:t>
      </w:r>
      <w:r w:rsidR="00B5597A" w:rsidRPr="00D5464D">
        <w:rPr>
          <w:rFonts w:cs="Arial"/>
          <w:szCs w:val="20"/>
          <w:lang w:val="pt-BR"/>
        </w:rPr>
        <w:t xml:space="preserve">º </w:t>
      </w:r>
      <w:r w:rsidR="00470ADC" w:rsidRPr="00D5464D">
        <w:rPr>
          <w:rFonts w:cs="Arial"/>
          <w:szCs w:val="20"/>
          <w:lang w:val="pt-BR"/>
        </w:rPr>
        <w:t xml:space="preserve">da </w:t>
      </w:r>
      <w:r w:rsidR="00D81AA1" w:rsidRPr="00D5464D">
        <w:rPr>
          <w:rFonts w:cs="Arial"/>
          <w:szCs w:val="20"/>
          <w:lang w:val="pt-BR"/>
        </w:rPr>
        <w:t>Conven</w:t>
      </w:r>
      <w:r w:rsidR="00470ADC" w:rsidRPr="00D5464D">
        <w:rPr>
          <w:rFonts w:cs="Arial"/>
          <w:szCs w:val="20"/>
          <w:lang w:val="pt-BR"/>
        </w:rPr>
        <w:t>ção</w:t>
      </w:r>
      <w:r w:rsidR="00D81AA1" w:rsidRPr="00D5464D">
        <w:rPr>
          <w:rFonts w:cs="Arial"/>
          <w:szCs w:val="20"/>
          <w:lang w:val="pt-BR"/>
        </w:rPr>
        <w:t xml:space="preserve"> Americana </w:t>
      </w:r>
      <w:r w:rsidR="00470ADC" w:rsidRPr="00D5464D">
        <w:rPr>
          <w:rFonts w:cs="Arial"/>
          <w:szCs w:val="20"/>
          <w:lang w:val="pt-BR"/>
        </w:rPr>
        <w:t>estabelece</w:t>
      </w:r>
      <w:r w:rsidR="002C330E" w:rsidRPr="00D5464D">
        <w:rPr>
          <w:rFonts w:cs="Arial"/>
          <w:szCs w:val="20"/>
          <w:lang w:val="pt-BR"/>
        </w:rPr>
        <w:t xml:space="preserve"> a obrigação</w:t>
      </w:r>
      <w:r w:rsidR="00D81AA1" w:rsidRPr="00D5464D">
        <w:rPr>
          <w:rFonts w:cs="Arial"/>
          <w:szCs w:val="20"/>
          <w:lang w:val="pt-BR"/>
        </w:rPr>
        <w:t xml:space="preserve"> </w:t>
      </w:r>
      <w:r w:rsidR="002C330E" w:rsidRPr="00D5464D">
        <w:rPr>
          <w:rFonts w:cs="Arial"/>
          <w:szCs w:val="20"/>
          <w:lang w:val="pt-BR"/>
        </w:rPr>
        <w:t>geral</w:t>
      </w:r>
      <w:r w:rsidR="00470ADC" w:rsidRPr="00D5464D">
        <w:rPr>
          <w:rFonts w:cs="Arial"/>
          <w:szCs w:val="20"/>
          <w:lang w:val="pt-BR"/>
        </w:rPr>
        <w:t xml:space="preserve"> dos </w:t>
      </w:r>
      <w:r w:rsidR="00D81AA1" w:rsidRPr="00D5464D">
        <w:rPr>
          <w:rFonts w:cs="Arial"/>
          <w:szCs w:val="20"/>
          <w:lang w:val="pt-BR"/>
        </w:rPr>
        <w:t xml:space="preserve">Estados Parte de </w:t>
      </w:r>
      <w:r w:rsidR="00470ADC" w:rsidRPr="00D5464D">
        <w:rPr>
          <w:rFonts w:cs="Arial"/>
          <w:szCs w:val="20"/>
          <w:lang w:val="pt-BR"/>
        </w:rPr>
        <w:t>adequar</w:t>
      </w:r>
      <w:r w:rsidR="00D81AA1" w:rsidRPr="00D5464D">
        <w:rPr>
          <w:rFonts w:cs="Arial"/>
          <w:szCs w:val="20"/>
          <w:lang w:val="pt-BR"/>
        </w:rPr>
        <w:t xml:space="preserve"> </w:t>
      </w:r>
      <w:r w:rsidR="00E045D9" w:rsidRPr="00D5464D">
        <w:rPr>
          <w:rFonts w:cs="Arial"/>
          <w:szCs w:val="20"/>
          <w:lang w:val="pt-BR"/>
        </w:rPr>
        <w:t>seu direito</w:t>
      </w:r>
      <w:r w:rsidR="00D81AA1" w:rsidRPr="00D5464D">
        <w:rPr>
          <w:rFonts w:cs="Arial"/>
          <w:szCs w:val="20"/>
          <w:lang w:val="pt-BR"/>
        </w:rPr>
        <w:t xml:space="preserve"> interno</w:t>
      </w:r>
      <w:r w:rsidR="00E045D9" w:rsidRPr="00D5464D">
        <w:rPr>
          <w:rFonts w:cs="Arial"/>
          <w:szCs w:val="20"/>
          <w:lang w:val="pt-BR"/>
        </w:rPr>
        <w:t xml:space="preserve"> às </w:t>
      </w:r>
      <w:r w:rsidR="00D81AA1" w:rsidRPr="00D5464D">
        <w:rPr>
          <w:rFonts w:cs="Arial"/>
          <w:szCs w:val="20"/>
          <w:lang w:val="pt-BR"/>
        </w:rPr>
        <w:t>disposi</w:t>
      </w:r>
      <w:r w:rsidR="00470ADC" w:rsidRPr="00D5464D">
        <w:rPr>
          <w:rFonts w:cs="Arial"/>
          <w:szCs w:val="20"/>
          <w:lang w:val="pt-BR"/>
        </w:rPr>
        <w:t xml:space="preserve">ções da </w:t>
      </w:r>
      <w:r w:rsidR="002C330E" w:rsidRPr="00D5464D">
        <w:rPr>
          <w:rFonts w:cs="Arial"/>
          <w:szCs w:val="20"/>
          <w:lang w:val="pt-BR"/>
        </w:rPr>
        <w:t>mesm</w:t>
      </w:r>
      <w:r w:rsidR="00D81AA1" w:rsidRPr="00D5464D">
        <w:rPr>
          <w:rFonts w:cs="Arial"/>
          <w:szCs w:val="20"/>
          <w:lang w:val="pt-BR"/>
        </w:rPr>
        <w:t xml:space="preserve">a, para </w:t>
      </w:r>
      <w:r w:rsidR="002C330E" w:rsidRPr="00D5464D">
        <w:rPr>
          <w:rFonts w:cs="Arial"/>
          <w:szCs w:val="20"/>
          <w:lang w:val="pt-BR"/>
        </w:rPr>
        <w:t xml:space="preserve">garantir os </w:t>
      </w:r>
      <w:r w:rsidR="00470ADC" w:rsidRPr="00D5464D">
        <w:rPr>
          <w:rFonts w:cs="Arial"/>
          <w:szCs w:val="20"/>
          <w:lang w:val="pt-BR"/>
        </w:rPr>
        <w:t>direito</w:t>
      </w:r>
      <w:r w:rsidR="00D81AA1" w:rsidRPr="00D5464D">
        <w:rPr>
          <w:rFonts w:cs="Arial"/>
          <w:szCs w:val="20"/>
          <w:lang w:val="pt-BR"/>
        </w:rPr>
        <w:t>s</w:t>
      </w:r>
      <w:r w:rsidR="00470ADC" w:rsidRPr="00D5464D">
        <w:rPr>
          <w:rFonts w:cs="Arial"/>
          <w:szCs w:val="20"/>
          <w:lang w:val="pt-BR"/>
        </w:rPr>
        <w:t xml:space="preserve"> </w:t>
      </w:r>
      <w:r w:rsidR="00B5597A" w:rsidRPr="00D5464D">
        <w:rPr>
          <w:rFonts w:cs="Arial"/>
          <w:szCs w:val="20"/>
          <w:lang w:val="pt-BR"/>
        </w:rPr>
        <w:t>n</w:t>
      </w:r>
      <w:r w:rsidR="00470ADC" w:rsidRPr="00D5464D">
        <w:rPr>
          <w:rFonts w:cs="Arial"/>
          <w:szCs w:val="20"/>
          <w:lang w:val="pt-BR"/>
        </w:rPr>
        <w:t>ela</w:t>
      </w:r>
      <w:r w:rsidR="00D81AA1" w:rsidRPr="00D5464D">
        <w:rPr>
          <w:rFonts w:cs="Arial"/>
          <w:szCs w:val="20"/>
          <w:lang w:val="pt-BR"/>
        </w:rPr>
        <w:t xml:space="preserve"> </w:t>
      </w:r>
      <w:r w:rsidR="00470ADC" w:rsidRPr="00D5464D">
        <w:rPr>
          <w:rFonts w:cs="Arial"/>
          <w:szCs w:val="20"/>
          <w:lang w:val="pt-BR"/>
        </w:rPr>
        <w:t>contidos</w:t>
      </w:r>
      <w:r w:rsidR="007C6E16" w:rsidRPr="00D5464D">
        <w:rPr>
          <w:rFonts w:cs="Arial"/>
          <w:szCs w:val="20"/>
          <w:lang w:val="pt-BR"/>
        </w:rPr>
        <w:t>,</w:t>
      </w:r>
      <w:r w:rsidR="00D81AA1" w:rsidRPr="00D5464D">
        <w:rPr>
          <w:szCs w:val="20"/>
          <w:vertAlign w:val="superscript"/>
          <w:lang w:val="pt-BR"/>
        </w:rPr>
        <w:footnoteReference w:id="508"/>
      </w:r>
      <w:r w:rsidR="00A1358C" w:rsidRPr="00D5464D">
        <w:rPr>
          <w:rFonts w:cs="Arial"/>
          <w:szCs w:val="20"/>
          <w:lang w:val="pt-BR"/>
        </w:rPr>
        <w:t xml:space="preserve"> o que </w:t>
      </w:r>
      <w:r w:rsidR="00B5597A" w:rsidRPr="00D5464D">
        <w:rPr>
          <w:rFonts w:cs="Arial"/>
          <w:szCs w:val="20"/>
          <w:lang w:val="pt-BR"/>
        </w:rPr>
        <w:t xml:space="preserve">significa </w:t>
      </w:r>
      <w:r w:rsidR="00D81AA1" w:rsidRPr="00D5464D">
        <w:rPr>
          <w:rFonts w:cs="Arial"/>
          <w:szCs w:val="20"/>
          <w:lang w:val="pt-BR"/>
        </w:rPr>
        <w:t>que</w:t>
      </w:r>
      <w:r w:rsidR="002C330E" w:rsidRPr="00D5464D">
        <w:rPr>
          <w:rFonts w:cs="Arial"/>
          <w:szCs w:val="20"/>
          <w:lang w:val="pt-BR"/>
        </w:rPr>
        <w:t xml:space="preserve"> as </w:t>
      </w:r>
      <w:r w:rsidR="00D81AA1" w:rsidRPr="00D5464D">
        <w:rPr>
          <w:rFonts w:cs="Arial"/>
          <w:szCs w:val="20"/>
          <w:lang w:val="pt-BR"/>
        </w:rPr>
        <w:t xml:space="preserve">medidas de </w:t>
      </w:r>
      <w:r w:rsidR="00470ADC" w:rsidRPr="00D5464D">
        <w:rPr>
          <w:rFonts w:cs="Arial"/>
          <w:szCs w:val="20"/>
          <w:lang w:val="pt-BR"/>
        </w:rPr>
        <w:t>direito</w:t>
      </w:r>
      <w:r w:rsidR="00D81AA1" w:rsidRPr="00D5464D">
        <w:rPr>
          <w:rFonts w:cs="Arial"/>
          <w:szCs w:val="20"/>
          <w:lang w:val="pt-BR"/>
        </w:rPr>
        <w:t xml:space="preserve"> interno </w:t>
      </w:r>
      <w:r w:rsidR="00B5597A" w:rsidRPr="00D5464D">
        <w:rPr>
          <w:rFonts w:cs="Arial"/>
          <w:szCs w:val="20"/>
          <w:lang w:val="pt-BR"/>
        </w:rPr>
        <w:t xml:space="preserve">devem </w:t>
      </w:r>
      <w:r w:rsidR="00D81AA1" w:rsidRPr="00D5464D">
        <w:rPr>
          <w:rFonts w:cs="Arial"/>
          <w:szCs w:val="20"/>
          <w:lang w:val="pt-BR"/>
        </w:rPr>
        <w:t xml:space="preserve">ser </w:t>
      </w:r>
      <w:r w:rsidR="00470ADC" w:rsidRPr="00D5464D">
        <w:rPr>
          <w:rFonts w:cs="Arial"/>
          <w:szCs w:val="20"/>
          <w:lang w:val="pt-BR"/>
        </w:rPr>
        <w:t>efetiv</w:t>
      </w:r>
      <w:r w:rsidR="00D81AA1" w:rsidRPr="00D5464D">
        <w:rPr>
          <w:rFonts w:cs="Arial"/>
          <w:szCs w:val="20"/>
          <w:lang w:val="pt-BR"/>
        </w:rPr>
        <w:t>as (</w:t>
      </w:r>
      <w:r w:rsidR="00D81AA1" w:rsidRPr="00D5464D">
        <w:rPr>
          <w:rFonts w:cs="Arial"/>
          <w:i/>
          <w:szCs w:val="20"/>
          <w:lang w:val="pt-BR"/>
        </w:rPr>
        <w:t>effet utile)</w:t>
      </w:r>
      <w:r w:rsidR="007C6E16" w:rsidRPr="00D5464D">
        <w:rPr>
          <w:rFonts w:cs="Arial"/>
          <w:i/>
          <w:szCs w:val="20"/>
          <w:lang w:val="pt-BR"/>
        </w:rPr>
        <w:t>.</w:t>
      </w:r>
      <w:r w:rsidR="00D81AA1" w:rsidRPr="00D5464D">
        <w:rPr>
          <w:szCs w:val="20"/>
          <w:vertAlign w:val="superscript"/>
          <w:lang w:val="pt-BR"/>
        </w:rPr>
        <w:footnoteReference w:id="509"/>
      </w:r>
      <w:r w:rsidR="00D81AA1" w:rsidRPr="00D5464D">
        <w:rPr>
          <w:rFonts w:eastAsia="Calibri" w:cs="Arial"/>
          <w:szCs w:val="20"/>
          <w:lang w:val="pt-BR" w:eastAsia="es-CR"/>
        </w:rPr>
        <w:t xml:space="preserve"> </w:t>
      </w:r>
    </w:p>
    <w:p w14:paraId="43F6EB65" w14:textId="77777777" w:rsidR="00D81AA1" w:rsidRPr="00D5464D" w:rsidRDefault="00D81AA1" w:rsidP="00D81AA1">
      <w:pPr>
        <w:pStyle w:val="Prrafodelista"/>
        <w:rPr>
          <w:rFonts w:cs="Arial"/>
          <w:szCs w:val="20"/>
          <w:lang w:val="pt-BR"/>
        </w:rPr>
      </w:pPr>
    </w:p>
    <w:p w14:paraId="72B14C18" w14:textId="293734D7" w:rsidR="00D81AA1" w:rsidRPr="00D5464D" w:rsidRDefault="00D81AA1" w:rsidP="00D81AA1">
      <w:pPr>
        <w:pStyle w:val="Prrafodelista"/>
        <w:numPr>
          <w:ilvl w:val="0"/>
          <w:numId w:val="1"/>
        </w:numPr>
        <w:contextualSpacing w:val="0"/>
        <w:rPr>
          <w:rFonts w:cs="Arial"/>
          <w:szCs w:val="20"/>
          <w:lang w:val="pt-BR"/>
        </w:rPr>
      </w:pPr>
      <w:r w:rsidRPr="00D5464D">
        <w:rPr>
          <w:rFonts w:cs="Arial"/>
          <w:szCs w:val="20"/>
          <w:lang w:val="pt-BR"/>
        </w:rPr>
        <w:t xml:space="preserve">De igual </w:t>
      </w:r>
      <w:r w:rsidR="002C330E" w:rsidRPr="00D5464D">
        <w:rPr>
          <w:rFonts w:cs="Arial"/>
          <w:szCs w:val="20"/>
          <w:lang w:val="pt-BR"/>
        </w:rPr>
        <w:t>maneira</w:t>
      </w:r>
      <w:r w:rsidRPr="00D5464D">
        <w:rPr>
          <w:rFonts w:cs="Arial"/>
          <w:szCs w:val="20"/>
          <w:lang w:val="pt-BR"/>
        </w:rPr>
        <w:t xml:space="preserve">, este Tribunal </w:t>
      </w:r>
      <w:r w:rsidR="00C91CB1" w:rsidRPr="00D5464D">
        <w:rPr>
          <w:rFonts w:cs="Arial"/>
          <w:szCs w:val="20"/>
          <w:lang w:val="pt-BR"/>
        </w:rPr>
        <w:t>entendeu</w:t>
      </w:r>
      <w:r w:rsidRPr="00D5464D">
        <w:rPr>
          <w:rFonts w:cs="Arial"/>
          <w:szCs w:val="20"/>
          <w:lang w:val="pt-BR"/>
        </w:rPr>
        <w:t xml:space="preserve"> que </w:t>
      </w:r>
      <w:r w:rsidR="00B5597A" w:rsidRPr="00D5464D">
        <w:rPr>
          <w:rFonts w:cs="Arial"/>
          <w:szCs w:val="20"/>
          <w:lang w:val="pt-BR"/>
        </w:rPr>
        <w:t xml:space="preserve">esta </w:t>
      </w:r>
      <w:r w:rsidR="00230C71" w:rsidRPr="00D5464D">
        <w:rPr>
          <w:rFonts w:cs="Arial"/>
          <w:szCs w:val="20"/>
          <w:lang w:val="pt-BR"/>
        </w:rPr>
        <w:t>adequação</w:t>
      </w:r>
      <w:r w:rsidRPr="00D5464D">
        <w:rPr>
          <w:rFonts w:cs="Arial"/>
          <w:szCs w:val="20"/>
          <w:lang w:val="pt-BR"/>
        </w:rPr>
        <w:t xml:space="preserve"> implica</w:t>
      </w:r>
      <w:r w:rsidR="002C330E" w:rsidRPr="00D5464D">
        <w:rPr>
          <w:rFonts w:cs="Arial"/>
          <w:szCs w:val="20"/>
          <w:lang w:val="pt-BR"/>
        </w:rPr>
        <w:t xml:space="preserve"> </w:t>
      </w:r>
      <w:r w:rsidR="00B5597A" w:rsidRPr="00D5464D">
        <w:rPr>
          <w:rFonts w:cs="Arial"/>
          <w:szCs w:val="20"/>
          <w:lang w:val="pt-BR"/>
        </w:rPr>
        <w:t>n</w:t>
      </w:r>
      <w:r w:rsidR="002C330E" w:rsidRPr="00D5464D">
        <w:rPr>
          <w:rFonts w:cs="Arial"/>
          <w:szCs w:val="20"/>
          <w:lang w:val="pt-BR"/>
        </w:rPr>
        <w:t xml:space="preserve">a </w:t>
      </w:r>
      <w:r w:rsidR="00470ADC" w:rsidRPr="00D5464D">
        <w:rPr>
          <w:rFonts w:cs="Arial"/>
          <w:szCs w:val="20"/>
          <w:lang w:val="pt-BR"/>
        </w:rPr>
        <w:t>adoção</w:t>
      </w:r>
      <w:r w:rsidRPr="00D5464D">
        <w:rPr>
          <w:rFonts w:cs="Arial"/>
          <w:szCs w:val="20"/>
          <w:lang w:val="pt-BR"/>
        </w:rPr>
        <w:t xml:space="preserve"> de medidas</w:t>
      </w:r>
      <w:r w:rsidR="00470ADC" w:rsidRPr="00D5464D">
        <w:rPr>
          <w:rFonts w:cs="Arial"/>
          <w:szCs w:val="20"/>
          <w:lang w:val="pt-BR"/>
        </w:rPr>
        <w:t xml:space="preserve"> em </w:t>
      </w:r>
      <w:r w:rsidR="00350187" w:rsidRPr="00D5464D">
        <w:rPr>
          <w:rFonts w:cs="Arial"/>
          <w:szCs w:val="20"/>
          <w:lang w:val="pt-BR"/>
        </w:rPr>
        <w:t>duas vertentes</w:t>
      </w:r>
      <w:r w:rsidRPr="00D5464D">
        <w:rPr>
          <w:rFonts w:cs="Arial"/>
          <w:szCs w:val="20"/>
          <w:lang w:val="pt-BR"/>
        </w:rPr>
        <w:t>: i)</w:t>
      </w:r>
      <w:r w:rsidR="002C330E" w:rsidRPr="00D5464D">
        <w:rPr>
          <w:rFonts w:cs="Arial"/>
          <w:szCs w:val="20"/>
          <w:lang w:val="pt-BR"/>
        </w:rPr>
        <w:t xml:space="preserve"> a </w:t>
      </w:r>
      <w:r w:rsidRPr="00D5464D">
        <w:rPr>
          <w:rFonts w:cs="Arial"/>
          <w:szCs w:val="20"/>
          <w:lang w:val="pt-BR"/>
        </w:rPr>
        <w:t>su</w:t>
      </w:r>
      <w:r w:rsidR="002C330E" w:rsidRPr="00D5464D">
        <w:rPr>
          <w:rFonts w:cs="Arial"/>
          <w:szCs w:val="20"/>
          <w:lang w:val="pt-BR"/>
        </w:rPr>
        <w:t>pressão</w:t>
      </w:r>
      <w:r w:rsidR="00470ADC" w:rsidRPr="00D5464D">
        <w:rPr>
          <w:rFonts w:cs="Arial"/>
          <w:szCs w:val="20"/>
          <w:lang w:val="pt-BR"/>
        </w:rPr>
        <w:t xml:space="preserve"> das </w:t>
      </w:r>
      <w:r w:rsidRPr="00D5464D">
        <w:rPr>
          <w:rFonts w:cs="Arial"/>
          <w:szCs w:val="20"/>
          <w:lang w:val="pt-BR"/>
        </w:rPr>
        <w:t>normas</w:t>
      </w:r>
      <w:r w:rsidR="00E045D9" w:rsidRPr="00D5464D">
        <w:rPr>
          <w:rFonts w:cs="Arial"/>
          <w:szCs w:val="20"/>
          <w:lang w:val="pt-BR"/>
        </w:rPr>
        <w:t xml:space="preserve"> e </w:t>
      </w:r>
      <w:r w:rsidR="002C330E" w:rsidRPr="00D5464D">
        <w:rPr>
          <w:rFonts w:cs="Arial"/>
          <w:szCs w:val="20"/>
          <w:lang w:val="pt-BR"/>
        </w:rPr>
        <w:t>prática</w:t>
      </w:r>
      <w:r w:rsidRPr="00D5464D">
        <w:rPr>
          <w:rFonts w:cs="Arial"/>
          <w:szCs w:val="20"/>
          <w:lang w:val="pt-BR"/>
        </w:rPr>
        <w:t xml:space="preserve">s de </w:t>
      </w:r>
      <w:r w:rsidR="00470ADC" w:rsidRPr="00D5464D">
        <w:rPr>
          <w:rFonts w:cs="Arial"/>
          <w:szCs w:val="20"/>
          <w:lang w:val="pt-BR"/>
        </w:rPr>
        <w:t>qualquer</w:t>
      </w:r>
      <w:r w:rsidRPr="00D5464D">
        <w:rPr>
          <w:rFonts w:cs="Arial"/>
          <w:szCs w:val="20"/>
          <w:lang w:val="pt-BR"/>
        </w:rPr>
        <w:t xml:space="preserve"> </w:t>
      </w:r>
      <w:r w:rsidR="002C330E" w:rsidRPr="00D5464D">
        <w:rPr>
          <w:rFonts w:cs="Arial"/>
          <w:szCs w:val="20"/>
          <w:lang w:val="pt-BR"/>
        </w:rPr>
        <w:t>natureza</w:t>
      </w:r>
      <w:r w:rsidRPr="00D5464D">
        <w:rPr>
          <w:rFonts w:cs="Arial"/>
          <w:szCs w:val="20"/>
          <w:lang w:val="pt-BR"/>
        </w:rPr>
        <w:t xml:space="preserve"> que </w:t>
      </w:r>
      <w:r w:rsidR="00C176E3" w:rsidRPr="00D5464D">
        <w:rPr>
          <w:rFonts w:cs="Arial"/>
          <w:szCs w:val="20"/>
          <w:lang w:val="pt-BR"/>
        </w:rPr>
        <w:t>acarretem</w:t>
      </w:r>
      <w:r w:rsidRPr="00D5464D">
        <w:rPr>
          <w:rFonts w:cs="Arial"/>
          <w:szCs w:val="20"/>
          <w:lang w:val="pt-BR"/>
        </w:rPr>
        <w:t xml:space="preserve"> viola</w:t>
      </w:r>
      <w:r w:rsidR="00470ADC" w:rsidRPr="00D5464D">
        <w:rPr>
          <w:rFonts w:cs="Arial"/>
          <w:szCs w:val="20"/>
          <w:lang w:val="pt-BR"/>
        </w:rPr>
        <w:t>ção</w:t>
      </w:r>
      <w:r w:rsidR="00E045D9" w:rsidRPr="00D5464D">
        <w:rPr>
          <w:rFonts w:cs="Arial"/>
          <w:szCs w:val="20"/>
          <w:lang w:val="pt-BR"/>
        </w:rPr>
        <w:t xml:space="preserve"> às </w:t>
      </w:r>
      <w:r w:rsidR="002C330E" w:rsidRPr="00D5464D">
        <w:rPr>
          <w:rFonts w:cs="Arial"/>
          <w:szCs w:val="20"/>
          <w:lang w:val="pt-BR"/>
        </w:rPr>
        <w:t>garantias</w:t>
      </w:r>
      <w:r w:rsidRPr="00D5464D">
        <w:rPr>
          <w:rFonts w:cs="Arial"/>
          <w:szCs w:val="20"/>
          <w:lang w:val="pt-BR"/>
        </w:rPr>
        <w:t xml:space="preserve"> previstas</w:t>
      </w:r>
      <w:r w:rsidR="00E045D9" w:rsidRPr="00D5464D">
        <w:rPr>
          <w:rFonts w:cs="Arial"/>
          <w:szCs w:val="20"/>
          <w:lang w:val="pt-BR"/>
        </w:rPr>
        <w:t xml:space="preserve"> na </w:t>
      </w:r>
      <w:r w:rsidRPr="00D5464D">
        <w:rPr>
          <w:rFonts w:cs="Arial"/>
          <w:szCs w:val="20"/>
          <w:lang w:val="pt-BR"/>
        </w:rPr>
        <w:t>Conven</w:t>
      </w:r>
      <w:r w:rsidR="00470ADC" w:rsidRPr="00D5464D">
        <w:rPr>
          <w:rFonts w:cs="Arial"/>
          <w:szCs w:val="20"/>
          <w:lang w:val="pt-BR"/>
        </w:rPr>
        <w:t>ção</w:t>
      </w:r>
      <w:r w:rsidRPr="00D5464D">
        <w:rPr>
          <w:rFonts w:cs="Arial"/>
          <w:szCs w:val="20"/>
          <w:lang w:val="pt-BR"/>
        </w:rPr>
        <w:t xml:space="preserve"> o</w:t>
      </w:r>
      <w:r w:rsidR="00B5597A" w:rsidRPr="00D5464D">
        <w:rPr>
          <w:rFonts w:cs="Arial"/>
          <w:szCs w:val="20"/>
          <w:lang w:val="pt-BR"/>
        </w:rPr>
        <w:t>u</w:t>
      </w:r>
      <w:r w:rsidRPr="00D5464D">
        <w:rPr>
          <w:rFonts w:cs="Arial"/>
          <w:szCs w:val="20"/>
          <w:lang w:val="pt-BR"/>
        </w:rPr>
        <w:t xml:space="preserve"> que </w:t>
      </w:r>
      <w:r w:rsidR="00C91CB1" w:rsidRPr="00D5464D">
        <w:rPr>
          <w:rFonts w:cs="Arial"/>
          <w:szCs w:val="20"/>
          <w:lang w:val="pt-BR"/>
        </w:rPr>
        <w:t>desconheçam</w:t>
      </w:r>
      <w:r w:rsidR="002C330E" w:rsidRPr="00D5464D">
        <w:rPr>
          <w:rFonts w:cs="Arial"/>
          <w:szCs w:val="20"/>
          <w:lang w:val="pt-BR"/>
        </w:rPr>
        <w:t xml:space="preserve"> os </w:t>
      </w:r>
      <w:r w:rsidR="00470ADC" w:rsidRPr="00D5464D">
        <w:rPr>
          <w:rFonts w:cs="Arial"/>
          <w:szCs w:val="20"/>
          <w:lang w:val="pt-BR"/>
        </w:rPr>
        <w:t>direito</w:t>
      </w:r>
      <w:r w:rsidRPr="00D5464D">
        <w:rPr>
          <w:rFonts w:cs="Arial"/>
          <w:szCs w:val="20"/>
          <w:lang w:val="pt-BR"/>
        </w:rPr>
        <w:t xml:space="preserve">s </w:t>
      </w:r>
      <w:r w:rsidR="00737270" w:rsidRPr="00D5464D">
        <w:rPr>
          <w:rFonts w:cs="Arial"/>
          <w:szCs w:val="20"/>
          <w:lang w:val="pt-BR"/>
        </w:rPr>
        <w:t>ali</w:t>
      </w:r>
      <w:r w:rsidRPr="00D5464D">
        <w:rPr>
          <w:rFonts w:cs="Arial"/>
          <w:szCs w:val="20"/>
          <w:lang w:val="pt-BR"/>
        </w:rPr>
        <w:t xml:space="preserve"> re</w:t>
      </w:r>
      <w:r w:rsidR="00470ADC" w:rsidRPr="00D5464D">
        <w:rPr>
          <w:rFonts w:cs="Arial"/>
          <w:szCs w:val="20"/>
          <w:lang w:val="pt-BR"/>
        </w:rPr>
        <w:t>conhecido</w:t>
      </w:r>
      <w:r w:rsidRPr="00D5464D">
        <w:rPr>
          <w:rFonts w:cs="Arial"/>
          <w:szCs w:val="20"/>
          <w:lang w:val="pt-BR"/>
        </w:rPr>
        <w:t>s</w:t>
      </w:r>
      <w:r w:rsidR="00E045D9" w:rsidRPr="00D5464D">
        <w:rPr>
          <w:rFonts w:cs="Arial"/>
          <w:szCs w:val="20"/>
          <w:lang w:val="pt-BR"/>
        </w:rPr>
        <w:t xml:space="preserve"> ou </w:t>
      </w:r>
      <w:r w:rsidR="00350187" w:rsidRPr="00D5464D">
        <w:rPr>
          <w:rFonts w:cs="Arial"/>
          <w:szCs w:val="20"/>
          <w:lang w:val="pt-BR"/>
        </w:rPr>
        <w:t>obstaculizem</w:t>
      </w:r>
      <w:r w:rsidRPr="00D5464D">
        <w:rPr>
          <w:rFonts w:cs="Arial"/>
          <w:szCs w:val="20"/>
          <w:lang w:val="pt-BR"/>
        </w:rPr>
        <w:t xml:space="preserve"> </w:t>
      </w:r>
      <w:r w:rsidR="00B5597A" w:rsidRPr="00D5464D">
        <w:rPr>
          <w:rFonts w:cs="Arial"/>
          <w:szCs w:val="20"/>
          <w:lang w:val="pt-BR"/>
        </w:rPr>
        <w:t xml:space="preserve">o </w:t>
      </w:r>
      <w:r w:rsidR="00A1358C" w:rsidRPr="00D5464D">
        <w:rPr>
          <w:rFonts w:cs="Arial"/>
          <w:szCs w:val="20"/>
          <w:lang w:val="pt-BR"/>
        </w:rPr>
        <w:t>seu exercício</w:t>
      </w:r>
      <w:r w:rsidRPr="00D5464D">
        <w:rPr>
          <w:rFonts w:cs="Arial"/>
          <w:szCs w:val="20"/>
          <w:lang w:val="pt-BR"/>
        </w:rPr>
        <w:t>,</w:t>
      </w:r>
      <w:r w:rsidR="00A1358C" w:rsidRPr="00D5464D">
        <w:rPr>
          <w:rFonts w:cs="Arial"/>
          <w:szCs w:val="20"/>
          <w:lang w:val="pt-BR"/>
        </w:rPr>
        <w:t xml:space="preserve"> o que </w:t>
      </w:r>
      <w:r w:rsidR="00B5597A" w:rsidRPr="00D5464D">
        <w:rPr>
          <w:rFonts w:cs="Arial"/>
          <w:szCs w:val="20"/>
          <w:lang w:val="pt-BR"/>
        </w:rPr>
        <w:t xml:space="preserve">significa </w:t>
      </w:r>
      <w:r w:rsidRPr="00D5464D">
        <w:rPr>
          <w:rFonts w:cs="Arial"/>
          <w:szCs w:val="20"/>
          <w:lang w:val="pt-BR"/>
        </w:rPr>
        <w:t>que</w:t>
      </w:r>
      <w:r w:rsidR="002C330E" w:rsidRPr="00D5464D">
        <w:rPr>
          <w:rFonts w:cs="Arial"/>
          <w:szCs w:val="20"/>
          <w:lang w:val="pt-BR"/>
        </w:rPr>
        <w:t xml:space="preserve"> a </w:t>
      </w:r>
      <w:r w:rsidRPr="00D5464D">
        <w:rPr>
          <w:rFonts w:cs="Arial"/>
          <w:szCs w:val="20"/>
          <w:lang w:val="pt-BR"/>
        </w:rPr>
        <w:t>norma o</w:t>
      </w:r>
      <w:r w:rsidR="00B5597A" w:rsidRPr="00D5464D">
        <w:rPr>
          <w:rFonts w:cs="Arial"/>
          <w:szCs w:val="20"/>
          <w:lang w:val="pt-BR"/>
        </w:rPr>
        <w:t>u</w:t>
      </w:r>
      <w:r w:rsidRPr="00D5464D">
        <w:rPr>
          <w:rFonts w:cs="Arial"/>
          <w:szCs w:val="20"/>
          <w:lang w:val="pt-BR"/>
        </w:rPr>
        <w:t xml:space="preserve"> </w:t>
      </w:r>
      <w:r w:rsidR="002C330E" w:rsidRPr="00D5464D">
        <w:rPr>
          <w:rFonts w:cs="Arial"/>
          <w:szCs w:val="20"/>
          <w:lang w:val="pt-BR"/>
        </w:rPr>
        <w:t>prática</w:t>
      </w:r>
      <w:r w:rsidRPr="00D5464D">
        <w:rPr>
          <w:rFonts w:cs="Arial"/>
          <w:szCs w:val="20"/>
          <w:lang w:val="pt-BR"/>
        </w:rPr>
        <w:t xml:space="preserve"> </w:t>
      </w:r>
      <w:r w:rsidR="00A1358C" w:rsidRPr="00D5464D">
        <w:rPr>
          <w:rFonts w:cs="Arial"/>
          <w:szCs w:val="20"/>
          <w:lang w:val="pt-BR"/>
        </w:rPr>
        <w:t>viola</w:t>
      </w:r>
      <w:r w:rsidR="00B5597A" w:rsidRPr="00D5464D">
        <w:rPr>
          <w:rFonts w:cs="Arial"/>
          <w:szCs w:val="20"/>
          <w:lang w:val="pt-BR"/>
        </w:rPr>
        <w:t xml:space="preserve">dora </w:t>
      </w:r>
      <w:r w:rsidR="00470ADC" w:rsidRPr="00D5464D">
        <w:rPr>
          <w:rFonts w:cs="Arial"/>
          <w:szCs w:val="20"/>
          <w:lang w:val="pt-BR"/>
        </w:rPr>
        <w:t xml:space="preserve">da </w:t>
      </w:r>
      <w:r w:rsidRPr="00D5464D">
        <w:rPr>
          <w:rFonts w:cs="Arial"/>
          <w:szCs w:val="20"/>
          <w:lang w:val="pt-BR"/>
        </w:rPr>
        <w:t>Conven</w:t>
      </w:r>
      <w:r w:rsidR="00470ADC" w:rsidRPr="00D5464D">
        <w:rPr>
          <w:rFonts w:cs="Arial"/>
          <w:szCs w:val="20"/>
          <w:lang w:val="pt-BR"/>
        </w:rPr>
        <w:t xml:space="preserve">ção deve </w:t>
      </w:r>
      <w:r w:rsidRPr="00D5464D">
        <w:rPr>
          <w:rFonts w:cs="Arial"/>
          <w:szCs w:val="20"/>
          <w:lang w:val="pt-BR"/>
        </w:rPr>
        <w:t xml:space="preserve">ser modificada, </w:t>
      </w:r>
      <w:r w:rsidR="00350187" w:rsidRPr="00D5464D">
        <w:rPr>
          <w:rFonts w:cs="Arial"/>
          <w:szCs w:val="20"/>
          <w:lang w:val="pt-BR"/>
        </w:rPr>
        <w:t>derrogad</w:t>
      </w:r>
      <w:r w:rsidRPr="00D5464D">
        <w:rPr>
          <w:rFonts w:cs="Arial"/>
          <w:szCs w:val="20"/>
          <w:lang w:val="pt-BR"/>
        </w:rPr>
        <w:t>a, anulada, o</w:t>
      </w:r>
      <w:r w:rsidR="00B5597A" w:rsidRPr="00D5464D">
        <w:rPr>
          <w:rFonts w:cs="Arial"/>
          <w:szCs w:val="20"/>
          <w:lang w:val="pt-BR"/>
        </w:rPr>
        <w:t>u</w:t>
      </w:r>
      <w:r w:rsidRPr="00D5464D">
        <w:rPr>
          <w:rFonts w:cs="Arial"/>
          <w:szCs w:val="20"/>
          <w:lang w:val="pt-BR"/>
        </w:rPr>
        <w:t xml:space="preserve"> reformada, </w:t>
      </w:r>
      <w:r w:rsidR="00B5597A" w:rsidRPr="00D5464D">
        <w:rPr>
          <w:rFonts w:cs="Arial"/>
          <w:szCs w:val="20"/>
          <w:lang w:val="pt-BR"/>
        </w:rPr>
        <w:t xml:space="preserve">conforme </w:t>
      </w:r>
      <w:r w:rsidRPr="00D5464D">
        <w:rPr>
          <w:rFonts w:cs="Arial"/>
          <w:szCs w:val="20"/>
          <w:lang w:val="pt-BR"/>
        </w:rPr>
        <w:t>corresponda</w:t>
      </w:r>
      <w:r w:rsidR="007C6E16" w:rsidRPr="00D5464D">
        <w:rPr>
          <w:rFonts w:cs="Arial"/>
          <w:szCs w:val="20"/>
          <w:lang w:val="pt-BR"/>
        </w:rPr>
        <w:t>,</w:t>
      </w:r>
      <w:r w:rsidRPr="00D5464D">
        <w:rPr>
          <w:szCs w:val="20"/>
          <w:vertAlign w:val="superscript"/>
          <w:lang w:val="pt-BR"/>
        </w:rPr>
        <w:footnoteReference w:id="510"/>
      </w:r>
      <w:r w:rsidR="00470ADC" w:rsidRPr="00D5464D">
        <w:rPr>
          <w:rFonts w:cs="Arial"/>
          <w:szCs w:val="20"/>
          <w:lang w:val="pt-BR"/>
        </w:rPr>
        <w:t xml:space="preserve"> e</w:t>
      </w:r>
      <w:r w:rsidRPr="00D5464D">
        <w:rPr>
          <w:rFonts w:cs="Arial"/>
          <w:szCs w:val="20"/>
          <w:lang w:val="pt-BR"/>
        </w:rPr>
        <w:t xml:space="preserve"> ii)</w:t>
      </w:r>
      <w:r w:rsidR="002C330E" w:rsidRPr="00D5464D">
        <w:rPr>
          <w:rFonts w:cs="Arial"/>
          <w:szCs w:val="20"/>
          <w:lang w:val="pt-BR"/>
        </w:rPr>
        <w:t xml:space="preserve"> a </w:t>
      </w:r>
      <w:r w:rsidR="00D73840" w:rsidRPr="00D5464D">
        <w:rPr>
          <w:rFonts w:cs="Arial"/>
          <w:szCs w:val="20"/>
          <w:lang w:val="pt-BR"/>
        </w:rPr>
        <w:t xml:space="preserve">promulgação </w:t>
      </w:r>
      <w:r w:rsidRPr="00D5464D">
        <w:rPr>
          <w:rFonts w:cs="Arial"/>
          <w:szCs w:val="20"/>
          <w:lang w:val="pt-BR"/>
        </w:rPr>
        <w:t>de normas</w:t>
      </w:r>
      <w:r w:rsidR="00E045D9" w:rsidRPr="00D5464D">
        <w:rPr>
          <w:rFonts w:cs="Arial"/>
          <w:szCs w:val="20"/>
          <w:lang w:val="pt-BR"/>
        </w:rPr>
        <w:t xml:space="preserve"> e </w:t>
      </w:r>
      <w:r w:rsidR="00470ADC" w:rsidRPr="00D5464D">
        <w:rPr>
          <w:rFonts w:cs="Arial"/>
          <w:szCs w:val="20"/>
          <w:lang w:val="pt-BR"/>
        </w:rPr>
        <w:t>o desenvolvimento</w:t>
      </w:r>
      <w:r w:rsidRPr="00D5464D">
        <w:rPr>
          <w:rFonts w:cs="Arial"/>
          <w:szCs w:val="20"/>
          <w:lang w:val="pt-BR"/>
        </w:rPr>
        <w:t xml:space="preserve"> de </w:t>
      </w:r>
      <w:r w:rsidR="002C330E" w:rsidRPr="00D5464D">
        <w:rPr>
          <w:rFonts w:cs="Arial"/>
          <w:szCs w:val="20"/>
          <w:lang w:val="pt-BR"/>
        </w:rPr>
        <w:t>prática</w:t>
      </w:r>
      <w:r w:rsidRPr="00D5464D">
        <w:rPr>
          <w:rFonts w:cs="Arial"/>
          <w:szCs w:val="20"/>
          <w:lang w:val="pt-BR"/>
        </w:rPr>
        <w:t xml:space="preserve">s </w:t>
      </w:r>
      <w:r w:rsidR="00350187" w:rsidRPr="00D5464D">
        <w:rPr>
          <w:rFonts w:cs="Arial"/>
          <w:szCs w:val="20"/>
          <w:lang w:val="pt-BR"/>
        </w:rPr>
        <w:t>dirigidas</w:t>
      </w:r>
      <w:r w:rsidR="00470ADC" w:rsidRPr="00D5464D">
        <w:rPr>
          <w:rFonts w:cs="Arial"/>
          <w:szCs w:val="20"/>
          <w:lang w:val="pt-BR"/>
        </w:rPr>
        <w:t xml:space="preserve"> à efetiv</w:t>
      </w:r>
      <w:r w:rsidRPr="00D5464D">
        <w:rPr>
          <w:rFonts w:cs="Arial"/>
          <w:szCs w:val="20"/>
          <w:lang w:val="pt-BR"/>
        </w:rPr>
        <w:t xml:space="preserve">a </w:t>
      </w:r>
      <w:r w:rsidR="002C330E" w:rsidRPr="00D5464D">
        <w:rPr>
          <w:rFonts w:cs="Arial"/>
          <w:szCs w:val="20"/>
          <w:lang w:val="pt-BR"/>
        </w:rPr>
        <w:t>observância</w:t>
      </w:r>
      <w:r w:rsidRPr="00D5464D">
        <w:rPr>
          <w:rFonts w:cs="Arial"/>
          <w:szCs w:val="20"/>
          <w:lang w:val="pt-BR"/>
        </w:rPr>
        <w:t xml:space="preserve"> </w:t>
      </w:r>
      <w:r w:rsidR="00E045D9" w:rsidRPr="00D5464D">
        <w:rPr>
          <w:rFonts w:cs="Arial"/>
          <w:szCs w:val="20"/>
          <w:lang w:val="pt-BR"/>
        </w:rPr>
        <w:t>desta</w:t>
      </w:r>
      <w:r w:rsidRPr="00D5464D">
        <w:rPr>
          <w:rFonts w:cs="Arial"/>
          <w:szCs w:val="20"/>
          <w:lang w:val="pt-BR"/>
        </w:rPr>
        <w:t xml:space="preserve">s </w:t>
      </w:r>
      <w:r w:rsidR="002C330E" w:rsidRPr="00D5464D">
        <w:rPr>
          <w:rFonts w:cs="Arial"/>
          <w:szCs w:val="20"/>
          <w:lang w:val="pt-BR"/>
        </w:rPr>
        <w:t>garantias</w:t>
      </w:r>
      <w:r w:rsidR="007C6E16" w:rsidRPr="00D5464D">
        <w:rPr>
          <w:rFonts w:cs="Arial"/>
          <w:szCs w:val="20"/>
          <w:lang w:val="pt-BR"/>
        </w:rPr>
        <w:t>.</w:t>
      </w:r>
      <w:r w:rsidRPr="00D5464D">
        <w:rPr>
          <w:szCs w:val="20"/>
          <w:vertAlign w:val="superscript"/>
          <w:lang w:val="pt-BR"/>
        </w:rPr>
        <w:footnoteReference w:id="511"/>
      </w:r>
    </w:p>
    <w:p w14:paraId="16C11CB9" w14:textId="77777777" w:rsidR="00D81AA1" w:rsidRPr="00D5464D" w:rsidRDefault="00D81AA1" w:rsidP="00D81AA1">
      <w:pPr>
        <w:pStyle w:val="Prrafodelista"/>
        <w:ind w:left="0"/>
        <w:rPr>
          <w:rFonts w:cs="Arial"/>
          <w:szCs w:val="20"/>
          <w:lang w:val="pt-BR"/>
        </w:rPr>
      </w:pPr>
    </w:p>
    <w:p w14:paraId="09779D2F" w14:textId="4AFB0220" w:rsidR="00D81AA1" w:rsidRPr="00D5464D" w:rsidRDefault="00470ADC" w:rsidP="00D81AA1">
      <w:pPr>
        <w:pStyle w:val="Prrafodelista"/>
        <w:numPr>
          <w:ilvl w:val="0"/>
          <w:numId w:val="1"/>
        </w:numPr>
        <w:autoSpaceDE w:val="0"/>
        <w:autoSpaceDN w:val="0"/>
        <w:adjustRightInd w:val="0"/>
        <w:contextualSpacing w:val="0"/>
        <w:rPr>
          <w:rFonts w:cs="Arial"/>
          <w:bCs/>
          <w:iCs/>
          <w:szCs w:val="20"/>
          <w:lang w:val="pt-BR"/>
        </w:rPr>
      </w:pPr>
      <w:r w:rsidRPr="00D5464D">
        <w:rPr>
          <w:rFonts w:cs="Arial"/>
          <w:bCs/>
          <w:iCs/>
          <w:szCs w:val="20"/>
          <w:lang w:val="pt-BR"/>
        </w:rPr>
        <w:t xml:space="preserve">No </w:t>
      </w:r>
      <w:r w:rsidR="00D81AA1" w:rsidRPr="00D5464D">
        <w:rPr>
          <w:rFonts w:cs="Arial"/>
          <w:bCs/>
          <w:iCs/>
          <w:szCs w:val="20"/>
          <w:lang w:val="pt-BR"/>
        </w:rPr>
        <w:t>presente caso</w:t>
      </w:r>
      <w:r w:rsidR="00D73840" w:rsidRPr="00D5464D">
        <w:rPr>
          <w:rFonts w:cs="Arial"/>
          <w:bCs/>
          <w:iCs/>
          <w:szCs w:val="20"/>
          <w:lang w:val="pt-BR"/>
        </w:rPr>
        <w:t>,</w:t>
      </w:r>
      <w:r w:rsidR="002C330E" w:rsidRPr="00D5464D">
        <w:rPr>
          <w:rFonts w:cs="Arial"/>
          <w:bCs/>
          <w:iCs/>
          <w:szCs w:val="20"/>
          <w:lang w:val="pt-BR"/>
        </w:rPr>
        <w:t xml:space="preserve"> a </w:t>
      </w:r>
      <w:r w:rsidR="00D81AA1" w:rsidRPr="00D5464D">
        <w:rPr>
          <w:rFonts w:cs="Arial"/>
          <w:bCs/>
          <w:iCs/>
          <w:szCs w:val="20"/>
          <w:lang w:val="pt-BR"/>
        </w:rPr>
        <w:t>Corte destaca que</w:t>
      </w:r>
      <w:r w:rsidR="002C330E" w:rsidRPr="00D5464D">
        <w:rPr>
          <w:rFonts w:cs="Arial"/>
          <w:bCs/>
          <w:iCs/>
          <w:szCs w:val="20"/>
          <w:lang w:val="pt-BR"/>
        </w:rPr>
        <w:t xml:space="preserve"> a </w:t>
      </w:r>
      <w:r w:rsidR="00737270" w:rsidRPr="00D5464D">
        <w:rPr>
          <w:rFonts w:cs="Arial"/>
          <w:bCs/>
          <w:iCs/>
          <w:szCs w:val="20"/>
          <w:lang w:val="pt-BR"/>
        </w:rPr>
        <w:t>ação</w:t>
      </w:r>
      <w:r w:rsidR="00D81AA1" w:rsidRPr="00D5464D">
        <w:rPr>
          <w:rFonts w:cs="Arial"/>
          <w:bCs/>
          <w:iCs/>
          <w:szCs w:val="20"/>
          <w:lang w:val="pt-BR"/>
        </w:rPr>
        <w:t xml:space="preserve"> </w:t>
      </w:r>
      <w:r w:rsidR="00D81AA1" w:rsidRPr="00D5464D">
        <w:rPr>
          <w:rFonts w:cs="Arial"/>
          <w:szCs w:val="20"/>
          <w:lang w:val="pt-BR"/>
        </w:rPr>
        <w:t>de 1997</w:t>
      </w:r>
      <w:r w:rsidR="00206C9D" w:rsidRPr="00D5464D">
        <w:rPr>
          <w:rFonts w:cs="Arial"/>
          <w:szCs w:val="20"/>
          <w:lang w:val="pt-BR"/>
        </w:rPr>
        <w:t>,</w:t>
      </w:r>
      <w:r w:rsidR="00D81AA1" w:rsidRPr="00D5464D">
        <w:rPr>
          <w:rFonts w:cs="Arial"/>
          <w:szCs w:val="20"/>
          <w:lang w:val="pt-BR"/>
        </w:rPr>
        <w:t xml:space="preserve"> </w:t>
      </w:r>
      <w:r w:rsidR="002C330E" w:rsidRPr="00D5464D">
        <w:rPr>
          <w:rFonts w:cs="Arial"/>
          <w:szCs w:val="20"/>
          <w:lang w:val="pt-BR"/>
        </w:rPr>
        <w:t>a respeito</w:t>
      </w:r>
      <w:r w:rsidRPr="00D5464D">
        <w:rPr>
          <w:rFonts w:cs="Arial"/>
          <w:szCs w:val="20"/>
          <w:lang w:val="pt-BR"/>
        </w:rPr>
        <w:t xml:space="preserve"> dos </w:t>
      </w:r>
      <w:r w:rsidR="002C330E" w:rsidRPr="00D5464D">
        <w:rPr>
          <w:rFonts w:cs="Arial"/>
          <w:szCs w:val="20"/>
          <w:lang w:val="pt-BR"/>
        </w:rPr>
        <w:t>senhores</w:t>
      </w:r>
      <w:r w:rsidR="00D81AA1" w:rsidRPr="00D5464D">
        <w:rPr>
          <w:rFonts w:cs="Arial"/>
          <w:szCs w:val="20"/>
          <w:lang w:val="pt-BR"/>
        </w:rPr>
        <w:t xml:space="preserve"> Raimundo </w:t>
      </w:r>
      <w:r w:rsidR="00085F51" w:rsidRPr="00D5464D">
        <w:rPr>
          <w:rFonts w:cs="Arial"/>
          <w:szCs w:val="20"/>
          <w:lang w:val="pt-BR"/>
        </w:rPr>
        <w:t>Alves da Rocha</w:t>
      </w:r>
      <w:r w:rsidR="00E045D9" w:rsidRPr="00D5464D">
        <w:rPr>
          <w:rFonts w:cs="Arial"/>
          <w:szCs w:val="20"/>
          <w:lang w:val="pt-BR"/>
        </w:rPr>
        <w:t xml:space="preserve"> e </w:t>
      </w:r>
      <w:r w:rsidR="00E42F61" w:rsidRPr="00D5464D">
        <w:rPr>
          <w:rFonts w:cs="Arial"/>
          <w:szCs w:val="20"/>
          <w:lang w:val="pt-BR"/>
        </w:rPr>
        <w:t xml:space="preserve">Antônio </w:t>
      </w:r>
      <w:r w:rsidR="00D81AA1" w:rsidRPr="00D5464D">
        <w:rPr>
          <w:rFonts w:cs="Arial"/>
          <w:szCs w:val="20"/>
          <w:lang w:val="pt-BR"/>
        </w:rPr>
        <w:t xml:space="preserve">Alves Vieira, </w:t>
      </w:r>
      <w:r w:rsidR="00D73840" w:rsidRPr="00D5464D">
        <w:rPr>
          <w:rFonts w:cs="Arial"/>
          <w:szCs w:val="20"/>
          <w:lang w:val="pt-BR"/>
        </w:rPr>
        <w:t xml:space="preserve">concluiu </w:t>
      </w:r>
      <w:r w:rsidR="00206C9D" w:rsidRPr="00D5464D">
        <w:rPr>
          <w:rFonts w:cs="Arial"/>
          <w:szCs w:val="20"/>
          <w:lang w:val="pt-BR"/>
        </w:rPr>
        <w:t>pela</w:t>
      </w:r>
      <w:r w:rsidR="002C330E" w:rsidRPr="00D5464D">
        <w:rPr>
          <w:rFonts w:cs="Arial"/>
          <w:szCs w:val="20"/>
          <w:lang w:val="pt-BR"/>
        </w:rPr>
        <w:t xml:space="preserve"> prescrição</w:t>
      </w:r>
      <w:r w:rsidRPr="00D5464D">
        <w:rPr>
          <w:rFonts w:cs="Arial"/>
          <w:szCs w:val="20"/>
          <w:lang w:val="pt-BR"/>
        </w:rPr>
        <w:t xml:space="preserve"> da </w:t>
      </w:r>
      <w:r w:rsidR="00D81AA1" w:rsidRPr="00D5464D">
        <w:rPr>
          <w:rFonts w:cs="Arial"/>
          <w:szCs w:val="20"/>
          <w:lang w:val="pt-BR"/>
        </w:rPr>
        <w:t xml:space="preserve">pena </w:t>
      </w:r>
      <w:r w:rsidR="00D73840" w:rsidRPr="00D5464D">
        <w:rPr>
          <w:rFonts w:cs="Arial"/>
          <w:szCs w:val="20"/>
          <w:lang w:val="pt-BR"/>
        </w:rPr>
        <w:t>em relação a</w:t>
      </w:r>
      <w:r w:rsidRPr="00D5464D">
        <w:rPr>
          <w:rFonts w:cs="Arial"/>
          <w:szCs w:val="20"/>
          <w:lang w:val="pt-BR"/>
        </w:rPr>
        <w:t xml:space="preserve">os </w:t>
      </w:r>
      <w:r w:rsidR="00D81AA1" w:rsidRPr="00D5464D">
        <w:rPr>
          <w:rFonts w:cs="Arial"/>
          <w:szCs w:val="20"/>
          <w:lang w:val="pt-BR"/>
        </w:rPr>
        <w:t xml:space="preserve">ilícitos </w:t>
      </w:r>
      <w:r w:rsidR="00206C9D" w:rsidRPr="00D5464D">
        <w:rPr>
          <w:rFonts w:cs="Arial"/>
          <w:szCs w:val="20"/>
          <w:lang w:val="pt-BR"/>
        </w:rPr>
        <w:t xml:space="preserve">a eles </w:t>
      </w:r>
      <w:r w:rsidR="00D73840" w:rsidRPr="00D5464D">
        <w:rPr>
          <w:rFonts w:cs="Arial"/>
          <w:szCs w:val="20"/>
          <w:lang w:val="pt-BR"/>
        </w:rPr>
        <w:t>atribuídos</w:t>
      </w:r>
      <w:r w:rsidR="00D81AA1" w:rsidRPr="00D5464D">
        <w:rPr>
          <w:rFonts w:cs="Arial"/>
          <w:szCs w:val="20"/>
          <w:lang w:val="pt-BR"/>
        </w:rPr>
        <w:t xml:space="preserve">: </w:t>
      </w:r>
      <w:r w:rsidR="00737270" w:rsidRPr="00D5464D">
        <w:rPr>
          <w:rFonts w:cs="Arial"/>
          <w:szCs w:val="20"/>
          <w:lang w:val="pt-BR"/>
        </w:rPr>
        <w:t>redução</w:t>
      </w:r>
      <w:r w:rsidR="00D81AA1" w:rsidRPr="00D5464D">
        <w:rPr>
          <w:rFonts w:cs="Arial"/>
          <w:szCs w:val="20"/>
          <w:lang w:val="pt-BR"/>
        </w:rPr>
        <w:t xml:space="preserve"> a condi</w:t>
      </w:r>
      <w:r w:rsidRPr="00D5464D">
        <w:rPr>
          <w:rFonts w:cs="Arial"/>
          <w:szCs w:val="20"/>
          <w:lang w:val="pt-BR"/>
        </w:rPr>
        <w:t>ção</w:t>
      </w:r>
      <w:r w:rsidR="00D81AA1" w:rsidRPr="00D5464D">
        <w:rPr>
          <w:rFonts w:cs="Arial"/>
          <w:szCs w:val="20"/>
          <w:lang w:val="pt-BR"/>
        </w:rPr>
        <w:t xml:space="preserve"> análoga</w:t>
      </w:r>
      <w:r w:rsidRPr="00D5464D">
        <w:rPr>
          <w:rFonts w:cs="Arial"/>
          <w:szCs w:val="20"/>
          <w:lang w:val="pt-BR"/>
        </w:rPr>
        <w:t xml:space="preserve"> à </w:t>
      </w:r>
      <w:r w:rsidR="00D81AA1" w:rsidRPr="00D5464D">
        <w:rPr>
          <w:rFonts w:cs="Arial"/>
          <w:szCs w:val="20"/>
          <w:lang w:val="pt-BR"/>
        </w:rPr>
        <w:t xml:space="preserve">de </w:t>
      </w:r>
      <w:r w:rsidR="004F1CC2" w:rsidRPr="00D5464D">
        <w:rPr>
          <w:rFonts w:cs="Arial"/>
          <w:szCs w:val="20"/>
          <w:lang w:val="pt-BR"/>
        </w:rPr>
        <w:t>escravo</w:t>
      </w:r>
      <w:r w:rsidR="00260035" w:rsidRPr="00D5464D">
        <w:rPr>
          <w:rFonts w:cs="Arial"/>
          <w:szCs w:val="20"/>
          <w:lang w:val="pt-BR"/>
        </w:rPr>
        <w:t xml:space="preserve"> </w:t>
      </w:r>
      <w:r w:rsidR="00D81AA1" w:rsidRPr="00D5464D">
        <w:rPr>
          <w:rFonts w:cs="Arial"/>
          <w:szCs w:val="20"/>
          <w:lang w:val="pt-BR"/>
        </w:rPr>
        <w:t>(art. 149), atentado contra</w:t>
      </w:r>
      <w:r w:rsidR="002C330E" w:rsidRPr="00D5464D">
        <w:rPr>
          <w:rFonts w:cs="Arial"/>
          <w:szCs w:val="20"/>
          <w:lang w:val="pt-BR"/>
        </w:rPr>
        <w:t xml:space="preserve"> a liberdade </w:t>
      </w:r>
      <w:r w:rsidR="00D81AA1" w:rsidRPr="00D5464D">
        <w:rPr>
          <w:rFonts w:cs="Arial"/>
          <w:szCs w:val="20"/>
          <w:lang w:val="pt-BR"/>
        </w:rPr>
        <w:t xml:space="preserve">de </w:t>
      </w:r>
      <w:r w:rsidR="00E045D9" w:rsidRPr="00D5464D">
        <w:rPr>
          <w:rFonts w:cs="Arial"/>
          <w:szCs w:val="20"/>
          <w:lang w:val="pt-BR"/>
        </w:rPr>
        <w:t>trabalho</w:t>
      </w:r>
      <w:r w:rsidR="00D81AA1" w:rsidRPr="00D5464D">
        <w:rPr>
          <w:rFonts w:cs="Arial"/>
          <w:szCs w:val="20"/>
          <w:lang w:val="pt-BR"/>
        </w:rPr>
        <w:t xml:space="preserve"> (art. 197.1)</w:t>
      </w:r>
      <w:r w:rsidR="00E045D9" w:rsidRPr="00D5464D">
        <w:rPr>
          <w:rFonts w:cs="Arial"/>
          <w:szCs w:val="20"/>
          <w:lang w:val="pt-BR"/>
        </w:rPr>
        <w:t xml:space="preserve"> e </w:t>
      </w:r>
      <w:r w:rsidR="00D73840" w:rsidRPr="00D5464D">
        <w:rPr>
          <w:rFonts w:cs="Arial"/>
          <w:szCs w:val="20"/>
          <w:lang w:val="pt-BR"/>
        </w:rPr>
        <w:t>aliciamento</w:t>
      </w:r>
      <w:r w:rsidR="00D81AA1" w:rsidRPr="00D5464D">
        <w:rPr>
          <w:rFonts w:cs="Arial"/>
          <w:szCs w:val="20"/>
          <w:lang w:val="pt-BR"/>
        </w:rPr>
        <w:t xml:space="preserve"> ilegal de </w:t>
      </w:r>
      <w:r w:rsidR="00E045D9" w:rsidRPr="00D5464D">
        <w:rPr>
          <w:rFonts w:cs="Arial"/>
          <w:szCs w:val="20"/>
          <w:lang w:val="pt-BR"/>
        </w:rPr>
        <w:t>trabalhadores</w:t>
      </w:r>
      <w:r w:rsidR="00D81AA1" w:rsidRPr="00D5464D">
        <w:rPr>
          <w:rFonts w:cs="Arial"/>
          <w:szCs w:val="20"/>
          <w:lang w:val="pt-BR"/>
        </w:rPr>
        <w:t xml:space="preserve"> de</w:t>
      </w:r>
      <w:r w:rsidR="00E045D9" w:rsidRPr="00D5464D">
        <w:rPr>
          <w:rFonts w:cs="Arial"/>
          <w:szCs w:val="20"/>
          <w:lang w:val="pt-BR"/>
        </w:rPr>
        <w:t xml:space="preserve"> um </w:t>
      </w:r>
      <w:r w:rsidR="00D81AA1" w:rsidRPr="00D5464D">
        <w:rPr>
          <w:rFonts w:cs="Arial"/>
          <w:szCs w:val="20"/>
          <w:lang w:val="pt-BR"/>
        </w:rPr>
        <w:t>local para</w:t>
      </w:r>
      <w:r w:rsidR="002C330E" w:rsidRPr="00D5464D">
        <w:rPr>
          <w:rFonts w:cs="Arial"/>
          <w:szCs w:val="20"/>
          <w:lang w:val="pt-BR"/>
        </w:rPr>
        <w:t xml:space="preserve"> outro </w:t>
      </w:r>
      <w:r w:rsidRPr="00D5464D">
        <w:rPr>
          <w:rFonts w:cs="Arial"/>
          <w:szCs w:val="20"/>
          <w:lang w:val="pt-BR"/>
        </w:rPr>
        <w:t xml:space="preserve">do </w:t>
      </w:r>
      <w:r w:rsidR="00E045D9" w:rsidRPr="00D5464D">
        <w:rPr>
          <w:rFonts w:cs="Arial"/>
          <w:szCs w:val="20"/>
          <w:lang w:val="pt-BR"/>
        </w:rPr>
        <w:t>território</w:t>
      </w:r>
      <w:r w:rsidR="00D81AA1" w:rsidRPr="00D5464D">
        <w:rPr>
          <w:rFonts w:cs="Arial"/>
          <w:szCs w:val="20"/>
          <w:lang w:val="pt-BR"/>
        </w:rPr>
        <w:t xml:space="preserve"> nacional (art. 207).</w:t>
      </w:r>
    </w:p>
    <w:p w14:paraId="2FD63DD4" w14:textId="77777777" w:rsidR="00DE3E58" w:rsidRPr="00D5464D" w:rsidRDefault="00DE3E58" w:rsidP="00DE3E58">
      <w:pPr>
        <w:pStyle w:val="Prrafodelista"/>
        <w:autoSpaceDE w:val="0"/>
        <w:autoSpaceDN w:val="0"/>
        <w:adjustRightInd w:val="0"/>
        <w:ind w:left="0"/>
        <w:contextualSpacing w:val="0"/>
        <w:rPr>
          <w:rFonts w:cs="Arial"/>
          <w:szCs w:val="20"/>
          <w:lang w:val="pt-BR"/>
        </w:rPr>
      </w:pPr>
    </w:p>
    <w:p w14:paraId="3E8672B7" w14:textId="5607DDD8" w:rsidR="00D81AA1" w:rsidRPr="00D5464D" w:rsidRDefault="00470ADC" w:rsidP="00D81AA1">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 xml:space="preserve">A </w:t>
      </w:r>
      <w:r w:rsidR="00D81AA1" w:rsidRPr="00D5464D">
        <w:rPr>
          <w:rFonts w:cs="Arial"/>
          <w:szCs w:val="20"/>
          <w:lang w:val="pt-BR"/>
        </w:rPr>
        <w:t>Corte</w:t>
      </w:r>
      <w:r w:rsidR="00E045D9" w:rsidRPr="00D5464D">
        <w:rPr>
          <w:rFonts w:cs="Arial"/>
          <w:szCs w:val="20"/>
          <w:lang w:val="pt-BR"/>
        </w:rPr>
        <w:t xml:space="preserve"> já </w:t>
      </w:r>
      <w:r w:rsidR="00737270" w:rsidRPr="00D5464D">
        <w:rPr>
          <w:rFonts w:cs="Arial"/>
          <w:szCs w:val="20"/>
          <w:lang w:val="pt-BR"/>
        </w:rPr>
        <w:t>indicou</w:t>
      </w:r>
      <w:r w:rsidR="00D81AA1" w:rsidRPr="00D5464D">
        <w:rPr>
          <w:rFonts w:cs="Arial"/>
          <w:szCs w:val="20"/>
          <w:lang w:val="pt-BR"/>
        </w:rPr>
        <w:t xml:space="preserve"> que</w:t>
      </w:r>
      <w:r w:rsidR="002C330E" w:rsidRPr="00D5464D">
        <w:rPr>
          <w:rFonts w:cs="Arial"/>
          <w:szCs w:val="20"/>
          <w:lang w:val="pt-BR"/>
        </w:rPr>
        <w:t xml:space="preserve"> a prescrição</w:t>
      </w:r>
      <w:r w:rsidRPr="00D5464D">
        <w:rPr>
          <w:rFonts w:cs="Arial"/>
          <w:szCs w:val="20"/>
          <w:lang w:val="pt-BR"/>
        </w:rPr>
        <w:t xml:space="preserve"> em </w:t>
      </w:r>
      <w:r w:rsidR="002C330E" w:rsidRPr="00D5464D">
        <w:rPr>
          <w:rFonts w:cs="Arial"/>
          <w:szCs w:val="20"/>
          <w:lang w:val="pt-BR"/>
        </w:rPr>
        <w:t xml:space="preserve">matéria </w:t>
      </w:r>
      <w:r w:rsidR="00D81AA1" w:rsidRPr="00D5464D">
        <w:rPr>
          <w:rFonts w:cs="Arial"/>
          <w:szCs w:val="20"/>
          <w:lang w:val="pt-BR"/>
        </w:rPr>
        <w:t>penal determina</w:t>
      </w:r>
      <w:r w:rsidR="002C330E" w:rsidRPr="00D5464D">
        <w:rPr>
          <w:rFonts w:cs="Arial"/>
          <w:szCs w:val="20"/>
          <w:lang w:val="pt-BR"/>
        </w:rPr>
        <w:t xml:space="preserve"> a </w:t>
      </w:r>
      <w:r w:rsidR="00D81AA1" w:rsidRPr="00D5464D">
        <w:rPr>
          <w:rFonts w:cs="Arial"/>
          <w:szCs w:val="20"/>
          <w:lang w:val="pt-BR"/>
        </w:rPr>
        <w:t>extin</w:t>
      </w:r>
      <w:r w:rsidRPr="00D5464D">
        <w:rPr>
          <w:rFonts w:cs="Arial"/>
          <w:szCs w:val="20"/>
          <w:lang w:val="pt-BR"/>
        </w:rPr>
        <w:t xml:space="preserve">ção da </w:t>
      </w:r>
      <w:r w:rsidR="002C330E" w:rsidRPr="00D5464D">
        <w:rPr>
          <w:rFonts w:cs="Arial"/>
          <w:szCs w:val="20"/>
          <w:lang w:val="pt-BR"/>
        </w:rPr>
        <w:t>pretensão</w:t>
      </w:r>
      <w:r w:rsidR="00D81AA1" w:rsidRPr="00D5464D">
        <w:rPr>
          <w:rFonts w:cs="Arial"/>
          <w:szCs w:val="20"/>
          <w:lang w:val="pt-BR"/>
        </w:rPr>
        <w:t xml:space="preserve"> punitiva</w:t>
      </w:r>
      <w:r w:rsidR="002C330E" w:rsidRPr="00D5464D">
        <w:rPr>
          <w:rFonts w:cs="Arial"/>
          <w:szCs w:val="20"/>
          <w:lang w:val="pt-BR"/>
        </w:rPr>
        <w:t xml:space="preserve"> </w:t>
      </w:r>
      <w:r w:rsidR="00D73840" w:rsidRPr="00D5464D">
        <w:rPr>
          <w:rFonts w:cs="Arial"/>
          <w:szCs w:val="20"/>
          <w:lang w:val="pt-BR"/>
        </w:rPr>
        <w:t xml:space="preserve">em virtude do </w:t>
      </w:r>
      <w:r w:rsidR="00D81AA1" w:rsidRPr="00D5464D">
        <w:rPr>
          <w:rFonts w:cs="Arial"/>
          <w:szCs w:val="20"/>
          <w:lang w:val="pt-BR"/>
        </w:rPr>
        <w:t xml:space="preserve">transcurso </w:t>
      </w:r>
      <w:r w:rsidRPr="00D5464D">
        <w:rPr>
          <w:rFonts w:cs="Arial"/>
          <w:szCs w:val="20"/>
          <w:lang w:val="pt-BR"/>
        </w:rPr>
        <w:t xml:space="preserve">do </w:t>
      </w:r>
      <w:r w:rsidR="00E045D9" w:rsidRPr="00D5464D">
        <w:rPr>
          <w:rFonts w:cs="Arial"/>
          <w:szCs w:val="20"/>
          <w:lang w:val="pt-BR"/>
        </w:rPr>
        <w:t>tempo</w:t>
      </w:r>
      <w:r w:rsidRPr="00D5464D">
        <w:rPr>
          <w:rFonts w:cs="Arial"/>
          <w:szCs w:val="20"/>
          <w:lang w:val="pt-BR"/>
        </w:rPr>
        <w:t xml:space="preserve"> e</w:t>
      </w:r>
      <w:r w:rsidR="00D73840" w:rsidRPr="00D5464D">
        <w:rPr>
          <w:rFonts w:cs="Arial"/>
          <w:szCs w:val="20"/>
          <w:lang w:val="pt-BR"/>
        </w:rPr>
        <w:t>,</w:t>
      </w:r>
      <w:r w:rsidR="00D81AA1" w:rsidRPr="00D5464D">
        <w:rPr>
          <w:rFonts w:cs="Arial"/>
          <w:szCs w:val="20"/>
          <w:lang w:val="pt-BR"/>
        </w:rPr>
        <w:t xml:space="preserve"> </w:t>
      </w:r>
      <w:r w:rsidR="002C330E" w:rsidRPr="00D5464D">
        <w:rPr>
          <w:rFonts w:cs="Arial"/>
          <w:szCs w:val="20"/>
          <w:lang w:val="pt-BR"/>
        </w:rPr>
        <w:t>geral</w:t>
      </w:r>
      <w:r w:rsidR="00D81AA1" w:rsidRPr="00D5464D">
        <w:rPr>
          <w:rFonts w:cs="Arial"/>
          <w:szCs w:val="20"/>
          <w:lang w:val="pt-BR"/>
        </w:rPr>
        <w:t>mente, limita</w:t>
      </w:r>
      <w:r w:rsidRPr="00D5464D">
        <w:rPr>
          <w:rFonts w:cs="Arial"/>
          <w:szCs w:val="20"/>
          <w:lang w:val="pt-BR"/>
        </w:rPr>
        <w:t xml:space="preserve"> o </w:t>
      </w:r>
      <w:r w:rsidR="00D81AA1" w:rsidRPr="00D5464D">
        <w:rPr>
          <w:rFonts w:cs="Arial"/>
          <w:szCs w:val="20"/>
          <w:lang w:val="pt-BR"/>
        </w:rPr>
        <w:t xml:space="preserve">poder punitivo </w:t>
      </w:r>
      <w:r w:rsidRPr="00D5464D">
        <w:rPr>
          <w:rFonts w:cs="Arial"/>
          <w:szCs w:val="20"/>
          <w:lang w:val="pt-BR"/>
        </w:rPr>
        <w:t xml:space="preserve">do </w:t>
      </w:r>
      <w:r w:rsidR="00D81AA1" w:rsidRPr="00D5464D">
        <w:rPr>
          <w:rFonts w:cs="Arial"/>
          <w:szCs w:val="20"/>
          <w:lang w:val="pt-BR"/>
        </w:rPr>
        <w:t>Estado para perseguir</w:t>
      </w:r>
      <w:r w:rsidR="002C330E" w:rsidRPr="00D5464D">
        <w:rPr>
          <w:rFonts w:cs="Arial"/>
          <w:szCs w:val="20"/>
          <w:lang w:val="pt-BR"/>
        </w:rPr>
        <w:t xml:space="preserve"> a </w:t>
      </w:r>
      <w:r w:rsidRPr="00D5464D">
        <w:rPr>
          <w:rFonts w:cs="Arial"/>
          <w:szCs w:val="20"/>
          <w:lang w:val="pt-BR"/>
        </w:rPr>
        <w:t>conduta</w:t>
      </w:r>
      <w:r w:rsidR="00D81AA1" w:rsidRPr="00D5464D">
        <w:rPr>
          <w:rFonts w:cs="Arial"/>
          <w:szCs w:val="20"/>
          <w:lang w:val="pt-BR"/>
        </w:rPr>
        <w:t xml:space="preserve"> ilícita</w:t>
      </w:r>
      <w:r w:rsidR="00E045D9" w:rsidRPr="00D5464D">
        <w:rPr>
          <w:rFonts w:cs="Arial"/>
          <w:szCs w:val="20"/>
          <w:lang w:val="pt-BR"/>
        </w:rPr>
        <w:t xml:space="preserve"> e </w:t>
      </w:r>
      <w:r w:rsidR="00D81AA1" w:rsidRPr="00D5464D">
        <w:rPr>
          <w:rFonts w:cs="Arial"/>
          <w:szCs w:val="20"/>
          <w:lang w:val="pt-BR"/>
        </w:rPr>
        <w:t xml:space="preserve">sancionar </w:t>
      </w:r>
      <w:r w:rsidR="00737270" w:rsidRPr="00D5464D">
        <w:rPr>
          <w:rFonts w:cs="Arial"/>
          <w:szCs w:val="20"/>
          <w:lang w:val="pt-BR"/>
        </w:rPr>
        <w:t>seus autores</w:t>
      </w:r>
      <w:r w:rsidR="00D81AA1" w:rsidRPr="00D5464D">
        <w:rPr>
          <w:rFonts w:cs="Arial"/>
          <w:szCs w:val="20"/>
          <w:lang w:val="pt-BR"/>
        </w:rPr>
        <w:t>. Esta</w:t>
      </w:r>
      <w:r w:rsidRPr="00D5464D">
        <w:rPr>
          <w:rFonts w:cs="Arial"/>
          <w:szCs w:val="20"/>
          <w:lang w:val="pt-BR"/>
        </w:rPr>
        <w:t xml:space="preserve"> é</w:t>
      </w:r>
      <w:r w:rsidR="00E045D9" w:rsidRPr="00D5464D">
        <w:rPr>
          <w:rFonts w:cs="Arial"/>
          <w:szCs w:val="20"/>
          <w:lang w:val="pt-BR"/>
        </w:rPr>
        <w:t xml:space="preserve"> uma </w:t>
      </w:r>
      <w:r w:rsidR="002C330E" w:rsidRPr="00D5464D">
        <w:rPr>
          <w:rFonts w:cs="Arial"/>
          <w:szCs w:val="20"/>
          <w:lang w:val="pt-BR"/>
        </w:rPr>
        <w:t xml:space="preserve">garantia </w:t>
      </w:r>
      <w:r w:rsidR="00D81AA1" w:rsidRPr="00D5464D">
        <w:rPr>
          <w:rFonts w:cs="Arial"/>
          <w:szCs w:val="20"/>
          <w:lang w:val="pt-BR"/>
        </w:rPr>
        <w:t>que</w:t>
      </w:r>
      <w:r w:rsidRPr="00D5464D">
        <w:rPr>
          <w:rFonts w:cs="Arial"/>
          <w:szCs w:val="20"/>
          <w:lang w:val="pt-BR"/>
        </w:rPr>
        <w:t xml:space="preserve"> deve </w:t>
      </w:r>
      <w:r w:rsidR="00D81AA1" w:rsidRPr="00D5464D">
        <w:rPr>
          <w:rFonts w:cs="Arial"/>
          <w:szCs w:val="20"/>
          <w:lang w:val="pt-BR"/>
        </w:rPr>
        <w:t xml:space="preserve">ser </w:t>
      </w:r>
      <w:r w:rsidR="00D73840" w:rsidRPr="00D5464D">
        <w:rPr>
          <w:rFonts w:cs="Arial"/>
          <w:szCs w:val="20"/>
          <w:lang w:val="pt-BR"/>
        </w:rPr>
        <w:t xml:space="preserve">devidamente </w:t>
      </w:r>
      <w:r w:rsidR="00D81AA1" w:rsidRPr="00D5464D">
        <w:rPr>
          <w:rFonts w:cs="Arial"/>
          <w:szCs w:val="20"/>
          <w:lang w:val="pt-BR"/>
        </w:rPr>
        <w:t xml:space="preserve">observada </w:t>
      </w:r>
      <w:r w:rsidR="002C330E" w:rsidRPr="00D5464D">
        <w:rPr>
          <w:rFonts w:cs="Arial"/>
          <w:szCs w:val="20"/>
          <w:lang w:val="pt-BR"/>
        </w:rPr>
        <w:t xml:space="preserve">pelo </w:t>
      </w:r>
      <w:r w:rsidR="00737270" w:rsidRPr="00D5464D">
        <w:rPr>
          <w:rFonts w:cs="Arial"/>
          <w:szCs w:val="20"/>
          <w:lang w:val="pt-BR"/>
        </w:rPr>
        <w:t>julgador</w:t>
      </w:r>
      <w:r w:rsidR="00D81AA1" w:rsidRPr="00D5464D">
        <w:rPr>
          <w:rFonts w:cs="Arial"/>
          <w:szCs w:val="20"/>
          <w:lang w:val="pt-BR"/>
        </w:rPr>
        <w:t xml:space="preserve"> para todo </w:t>
      </w:r>
      <w:r w:rsidR="00350187" w:rsidRPr="00D5464D">
        <w:rPr>
          <w:rFonts w:cs="Arial"/>
          <w:szCs w:val="20"/>
          <w:lang w:val="pt-BR"/>
        </w:rPr>
        <w:t>acusado</w:t>
      </w:r>
      <w:r w:rsidR="00D81AA1" w:rsidRPr="00D5464D">
        <w:rPr>
          <w:rFonts w:cs="Arial"/>
          <w:szCs w:val="20"/>
          <w:lang w:val="pt-BR"/>
        </w:rPr>
        <w:t xml:space="preserve"> de</w:t>
      </w:r>
      <w:r w:rsidR="00E045D9" w:rsidRPr="00D5464D">
        <w:rPr>
          <w:rFonts w:cs="Arial"/>
          <w:szCs w:val="20"/>
          <w:lang w:val="pt-BR"/>
        </w:rPr>
        <w:t xml:space="preserve"> um </w:t>
      </w:r>
      <w:r w:rsidR="00D81AA1" w:rsidRPr="00D5464D">
        <w:rPr>
          <w:rFonts w:cs="Arial"/>
          <w:szCs w:val="20"/>
          <w:lang w:val="pt-BR"/>
        </w:rPr>
        <w:t>delito</w:t>
      </w:r>
      <w:r w:rsidR="00C91CB1" w:rsidRPr="00D5464D">
        <w:rPr>
          <w:rFonts w:cs="Arial"/>
          <w:szCs w:val="20"/>
          <w:lang w:val="pt-BR"/>
        </w:rPr>
        <w:t xml:space="preserve">. Sem </w:t>
      </w:r>
      <w:r w:rsidR="002C330E" w:rsidRPr="00D5464D">
        <w:rPr>
          <w:rFonts w:cs="Arial"/>
          <w:szCs w:val="20"/>
          <w:lang w:val="pt-BR"/>
        </w:rPr>
        <w:t>prejuízo</w:t>
      </w:r>
      <w:r w:rsidRPr="00D5464D">
        <w:rPr>
          <w:rFonts w:cs="Arial"/>
          <w:szCs w:val="20"/>
          <w:lang w:val="pt-BR"/>
        </w:rPr>
        <w:t xml:space="preserve"> do </w:t>
      </w:r>
      <w:r w:rsidR="00D81AA1" w:rsidRPr="00D5464D">
        <w:rPr>
          <w:rFonts w:cs="Arial"/>
          <w:szCs w:val="20"/>
          <w:lang w:val="pt-BR"/>
        </w:rPr>
        <w:t>anterior,</w:t>
      </w:r>
      <w:r w:rsidR="002C330E" w:rsidRPr="00D5464D">
        <w:rPr>
          <w:rFonts w:cs="Arial"/>
          <w:szCs w:val="20"/>
          <w:lang w:val="pt-BR"/>
        </w:rPr>
        <w:t xml:space="preserve"> a prescrição</w:t>
      </w:r>
      <w:r w:rsidRPr="00D5464D">
        <w:rPr>
          <w:rFonts w:cs="Arial"/>
          <w:szCs w:val="20"/>
          <w:lang w:val="pt-BR"/>
        </w:rPr>
        <w:t xml:space="preserve"> da </w:t>
      </w:r>
      <w:r w:rsidR="00737270" w:rsidRPr="00D5464D">
        <w:rPr>
          <w:rFonts w:cs="Arial"/>
          <w:szCs w:val="20"/>
          <w:lang w:val="pt-BR"/>
        </w:rPr>
        <w:t>ação</w:t>
      </w:r>
      <w:r w:rsidR="00D81AA1" w:rsidRPr="00D5464D">
        <w:rPr>
          <w:rFonts w:cs="Arial"/>
          <w:szCs w:val="20"/>
          <w:lang w:val="pt-BR"/>
        </w:rPr>
        <w:t xml:space="preserve"> penal</w:t>
      </w:r>
      <w:r w:rsidRPr="00D5464D">
        <w:rPr>
          <w:rFonts w:cs="Arial"/>
          <w:szCs w:val="20"/>
          <w:lang w:val="pt-BR"/>
        </w:rPr>
        <w:t xml:space="preserve"> é </w:t>
      </w:r>
      <w:r w:rsidR="00D81AA1" w:rsidRPr="00D5464D">
        <w:rPr>
          <w:rFonts w:cs="Arial"/>
          <w:szCs w:val="20"/>
          <w:lang w:val="pt-BR"/>
        </w:rPr>
        <w:t>in</w:t>
      </w:r>
      <w:r w:rsidRPr="00D5464D">
        <w:rPr>
          <w:rFonts w:cs="Arial"/>
          <w:szCs w:val="20"/>
          <w:lang w:val="pt-BR"/>
        </w:rPr>
        <w:t>admissível</w:t>
      </w:r>
      <w:r w:rsidR="00D81AA1" w:rsidRPr="00D5464D">
        <w:rPr>
          <w:rFonts w:cs="Arial"/>
          <w:szCs w:val="20"/>
          <w:lang w:val="pt-BR"/>
        </w:rPr>
        <w:t xml:space="preserve"> </w:t>
      </w:r>
      <w:r w:rsidRPr="00D5464D">
        <w:rPr>
          <w:rFonts w:cs="Arial"/>
          <w:szCs w:val="20"/>
          <w:lang w:val="pt-BR"/>
        </w:rPr>
        <w:t>quando</w:t>
      </w:r>
      <w:r w:rsidR="00DC18B6" w:rsidRPr="00D5464D">
        <w:rPr>
          <w:rFonts w:cs="Arial"/>
          <w:szCs w:val="20"/>
          <w:lang w:val="pt-BR"/>
        </w:rPr>
        <w:t xml:space="preserve"> </w:t>
      </w:r>
      <w:r w:rsidRPr="00D5464D">
        <w:rPr>
          <w:rFonts w:cs="Arial"/>
          <w:szCs w:val="20"/>
          <w:lang w:val="pt-BR"/>
        </w:rPr>
        <w:t>assim</w:t>
      </w:r>
      <w:r w:rsidR="00C91CB1" w:rsidRPr="00D5464D">
        <w:rPr>
          <w:rFonts w:cs="Arial"/>
          <w:szCs w:val="20"/>
          <w:lang w:val="pt-BR"/>
        </w:rPr>
        <w:t xml:space="preserve"> o </w:t>
      </w:r>
      <w:r w:rsidRPr="00D5464D">
        <w:rPr>
          <w:rFonts w:cs="Arial"/>
          <w:szCs w:val="20"/>
          <w:lang w:val="pt-BR"/>
        </w:rPr>
        <w:t xml:space="preserve">dispõe o </w:t>
      </w:r>
      <w:r w:rsidR="00E765C2" w:rsidRPr="00D5464D">
        <w:rPr>
          <w:rFonts w:cs="Arial"/>
          <w:szCs w:val="20"/>
          <w:lang w:val="pt-BR"/>
        </w:rPr>
        <w:t>Direito Internacional</w:t>
      </w:r>
      <w:r w:rsidR="00A1358C" w:rsidRPr="00D5464D">
        <w:rPr>
          <w:rFonts w:cs="Arial"/>
          <w:szCs w:val="20"/>
          <w:lang w:val="pt-BR"/>
        </w:rPr>
        <w:t>. Neste</w:t>
      </w:r>
      <w:r w:rsidR="00E045D9" w:rsidRPr="00D5464D">
        <w:rPr>
          <w:rFonts w:cs="Arial"/>
          <w:szCs w:val="20"/>
          <w:lang w:val="pt-BR"/>
        </w:rPr>
        <w:t xml:space="preserve"> </w:t>
      </w:r>
      <w:r w:rsidR="00F81532" w:rsidRPr="00D5464D">
        <w:rPr>
          <w:rFonts w:cs="Arial"/>
          <w:szCs w:val="20"/>
          <w:lang w:val="pt-BR"/>
        </w:rPr>
        <w:t>caso</w:t>
      </w:r>
      <w:r w:rsidR="00D73840" w:rsidRPr="00D5464D">
        <w:rPr>
          <w:rFonts w:cs="Arial"/>
          <w:szCs w:val="20"/>
          <w:lang w:val="pt-BR"/>
        </w:rPr>
        <w:t>,</w:t>
      </w:r>
      <w:r w:rsidR="002C330E" w:rsidRPr="00D5464D">
        <w:rPr>
          <w:rFonts w:cs="Arial"/>
          <w:szCs w:val="20"/>
          <w:lang w:val="pt-BR"/>
        </w:rPr>
        <w:t xml:space="preserve"> a </w:t>
      </w:r>
      <w:r w:rsidR="000B376D" w:rsidRPr="00D5464D">
        <w:rPr>
          <w:rFonts w:cs="Arial"/>
          <w:szCs w:val="20"/>
          <w:lang w:val="pt-BR"/>
        </w:rPr>
        <w:t>escravidão</w:t>
      </w:r>
      <w:r w:rsidRPr="00D5464D">
        <w:rPr>
          <w:rFonts w:cs="Arial"/>
          <w:szCs w:val="20"/>
          <w:lang w:val="pt-BR"/>
        </w:rPr>
        <w:t xml:space="preserve"> é </w:t>
      </w:r>
      <w:r w:rsidR="00F81532" w:rsidRPr="00D5464D">
        <w:rPr>
          <w:rFonts w:cs="Arial"/>
          <w:szCs w:val="20"/>
          <w:lang w:val="pt-BR"/>
        </w:rPr>
        <w:t>considerada</w:t>
      </w:r>
      <w:r w:rsidR="00E045D9" w:rsidRPr="00D5464D">
        <w:rPr>
          <w:rFonts w:cs="Arial"/>
          <w:szCs w:val="20"/>
          <w:lang w:val="pt-BR"/>
        </w:rPr>
        <w:t xml:space="preserve"> um </w:t>
      </w:r>
      <w:r w:rsidR="00F81532" w:rsidRPr="00D5464D">
        <w:rPr>
          <w:rFonts w:cs="Arial"/>
          <w:szCs w:val="20"/>
          <w:lang w:val="pt-BR"/>
        </w:rPr>
        <w:t xml:space="preserve">delito de </w:t>
      </w:r>
      <w:r w:rsidR="00E765C2" w:rsidRPr="00D5464D">
        <w:rPr>
          <w:rFonts w:cs="Arial"/>
          <w:szCs w:val="20"/>
          <w:lang w:val="pt-BR"/>
        </w:rPr>
        <w:t>Direito Internacional</w:t>
      </w:r>
      <w:r w:rsidR="00D73840" w:rsidRPr="00D5464D">
        <w:rPr>
          <w:rFonts w:cs="Arial"/>
          <w:szCs w:val="20"/>
          <w:lang w:val="pt-BR"/>
        </w:rPr>
        <w:t>,</w:t>
      </w:r>
      <w:r w:rsidR="00F81532" w:rsidRPr="00D5464D">
        <w:rPr>
          <w:rFonts w:cs="Arial"/>
          <w:szCs w:val="20"/>
          <w:lang w:val="pt-BR"/>
        </w:rPr>
        <w:t xml:space="preserve"> </w:t>
      </w:r>
      <w:r w:rsidRPr="00D5464D">
        <w:rPr>
          <w:rFonts w:cs="Arial"/>
          <w:szCs w:val="20"/>
          <w:lang w:val="pt-BR"/>
        </w:rPr>
        <w:t>cuja</w:t>
      </w:r>
      <w:r w:rsidR="00F81532" w:rsidRPr="00D5464D">
        <w:rPr>
          <w:rFonts w:cs="Arial"/>
          <w:szCs w:val="20"/>
          <w:lang w:val="pt-BR"/>
        </w:rPr>
        <w:t xml:space="preserve"> </w:t>
      </w:r>
      <w:r w:rsidR="002C330E" w:rsidRPr="00D5464D">
        <w:rPr>
          <w:rFonts w:cs="Arial"/>
          <w:szCs w:val="20"/>
          <w:lang w:val="pt-BR"/>
        </w:rPr>
        <w:t>proibição</w:t>
      </w:r>
      <w:r w:rsidR="00F81532" w:rsidRPr="00D5464D">
        <w:rPr>
          <w:rFonts w:cs="Arial"/>
          <w:szCs w:val="20"/>
          <w:lang w:val="pt-BR"/>
        </w:rPr>
        <w:t xml:space="preserve"> </w:t>
      </w:r>
      <w:r w:rsidR="00E045D9" w:rsidRPr="00D5464D">
        <w:rPr>
          <w:rFonts w:cs="Arial"/>
          <w:szCs w:val="20"/>
          <w:lang w:val="pt-BR"/>
        </w:rPr>
        <w:t xml:space="preserve">tem </w:t>
      </w:r>
      <w:r w:rsidR="00F81532" w:rsidRPr="00D5464D">
        <w:rPr>
          <w:rFonts w:cs="Arial"/>
          <w:szCs w:val="20"/>
          <w:lang w:val="pt-BR"/>
        </w:rPr>
        <w:t xml:space="preserve">status de </w:t>
      </w:r>
      <w:r w:rsidR="00F81532" w:rsidRPr="00D5464D">
        <w:rPr>
          <w:rFonts w:cs="Arial"/>
          <w:i/>
          <w:szCs w:val="20"/>
          <w:lang w:val="pt-BR"/>
        </w:rPr>
        <w:t>jus cogens</w:t>
      </w:r>
      <w:r w:rsidR="00F81532" w:rsidRPr="00D5464D">
        <w:rPr>
          <w:rFonts w:cs="Arial"/>
          <w:szCs w:val="20"/>
          <w:lang w:val="pt-BR"/>
        </w:rPr>
        <w:t xml:space="preserve"> (</w:t>
      </w:r>
      <w:r w:rsidR="00C85EA9" w:rsidRPr="00D5464D">
        <w:rPr>
          <w:rFonts w:cs="Arial"/>
          <w:szCs w:val="20"/>
          <w:lang w:val="pt-BR"/>
        </w:rPr>
        <w:t xml:space="preserve">par. </w:t>
      </w:r>
      <w:r w:rsidR="00D036E7" w:rsidRPr="00D5464D">
        <w:rPr>
          <w:rFonts w:cs="Arial"/>
          <w:szCs w:val="20"/>
          <w:lang w:val="pt-BR"/>
        </w:rPr>
        <w:t xml:space="preserve">249 </w:t>
      </w:r>
      <w:r w:rsidR="00D036E7" w:rsidRPr="00D5464D">
        <w:rPr>
          <w:rFonts w:cs="Arial"/>
          <w:i/>
          <w:szCs w:val="20"/>
          <w:lang w:val="pt-BR"/>
        </w:rPr>
        <w:t>supra</w:t>
      </w:r>
      <w:r w:rsidR="00D036E7" w:rsidRPr="00D5464D">
        <w:rPr>
          <w:rFonts w:cs="Arial"/>
          <w:szCs w:val="20"/>
          <w:lang w:val="pt-BR"/>
        </w:rPr>
        <w:t>)</w:t>
      </w:r>
      <w:r w:rsidR="00D81AA1" w:rsidRPr="00D5464D">
        <w:rPr>
          <w:rFonts w:cs="Arial"/>
          <w:szCs w:val="20"/>
          <w:lang w:val="pt-BR"/>
        </w:rPr>
        <w:t xml:space="preserve">. </w:t>
      </w:r>
      <w:r w:rsidR="00350187" w:rsidRPr="00D5464D">
        <w:rPr>
          <w:rFonts w:cs="Arial"/>
          <w:szCs w:val="20"/>
          <w:lang w:val="pt-BR"/>
        </w:rPr>
        <w:t xml:space="preserve">Além disso, </w:t>
      </w:r>
      <w:r w:rsidR="002C330E" w:rsidRPr="00D5464D">
        <w:rPr>
          <w:rFonts w:cs="Arial"/>
          <w:szCs w:val="20"/>
          <w:lang w:val="pt-BR"/>
        </w:rPr>
        <w:t xml:space="preserve">a </w:t>
      </w:r>
      <w:r w:rsidR="00D81AA1" w:rsidRPr="00D5464D">
        <w:rPr>
          <w:rFonts w:cs="Arial"/>
          <w:szCs w:val="20"/>
          <w:lang w:val="pt-BR"/>
        </w:rPr>
        <w:t xml:space="preserve">Corte </w:t>
      </w:r>
      <w:r w:rsidR="002C330E" w:rsidRPr="00D5464D">
        <w:rPr>
          <w:rFonts w:cs="Arial"/>
          <w:szCs w:val="20"/>
          <w:lang w:val="pt-BR"/>
        </w:rPr>
        <w:t>indicou</w:t>
      </w:r>
      <w:r w:rsidR="00D81AA1" w:rsidRPr="00D5464D">
        <w:rPr>
          <w:rFonts w:cs="Arial"/>
          <w:szCs w:val="20"/>
          <w:lang w:val="pt-BR"/>
        </w:rPr>
        <w:t xml:space="preserve"> que </w:t>
      </w:r>
      <w:r w:rsidR="00737270" w:rsidRPr="00D5464D">
        <w:rPr>
          <w:rFonts w:cs="Arial"/>
          <w:szCs w:val="20"/>
          <w:lang w:val="pt-BR"/>
        </w:rPr>
        <w:t>não é</w:t>
      </w:r>
      <w:r w:rsidRPr="00D5464D">
        <w:rPr>
          <w:rFonts w:cs="Arial"/>
          <w:szCs w:val="20"/>
          <w:lang w:val="pt-BR"/>
        </w:rPr>
        <w:t xml:space="preserve"> admissível</w:t>
      </w:r>
      <w:r w:rsidR="002C330E" w:rsidRPr="00D5464D">
        <w:rPr>
          <w:rFonts w:cs="Arial"/>
          <w:szCs w:val="20"/>
          <w:lang w:val="pt-BR"/>
        </w:rPr>
        <w:t xml:space="preserve"> a </w:t>
      </w:r>
      <w:r w:rsidR="00D81AA1" w:rsidRPr="00D5464D">
        <w:rPr>
          <w:rFonts w:cs="Arial"/>
          <w:szCs w:val="20"/>
          <w:lang w:val="pt-BR"/>
        </w:rPr>
        <w:t>invoca</w:t>
      </w:r>
      <w:r w:rsidRPr="00D5464D">
        <w:rPr>
          <w:rFonts w:cs="Arial"/>
          <w:szCs w:val="20"/>
          <w:lang w:val="pt-BR"/>
        </w:rPr>
        <w:t>ção</w:t>
      </w:r>
      <w:r w:rsidR="00D81AA1" w:rsidRPr="00D5464D">
        <w:rPr>
          <w:rFonts w:cs="Arial"/>
          <w:szCs w:val="20"/>
          <w:lang w:val="pt-BR"/>
        </w:rPr>
        <w:t xml:space="preserve"> de figuras </w:t>
      </w:r>
      <w:r w:rsidR="002C330E" w:rsidRPr="00D5464D">
        <w:rPr>
          <w:rFonts w:cs="Arial"/>
          <w:szCs w:val="20"/>
          <w:lang w:val="pt-BR"/>
        </w:rPr>
        <w:t>processuais</w:t>
      </w:r>
      <w:r w:rsidR="00D81AA1" w:rsidRPr="00D5464D">
        <w:rPr>
          <w:rFonts w:cs="Arial"/>
          <w:szCs w:val="20"/>
          <w:lang w:val="pt-BR"/>
        </w:rPr>
        <w:t xml:space="preserve"> como</w:t>
      </w:r>
      <w:r w:rsidR="002C330E" w:rsidRPr="00D5464D">
        <w:rPr>
          <w:rFonts w:cs="Arial"/>
          <w:szCs w:val="20"/>
          <w:lang w:val="pt-BR"/>
        </w:rPr>
        <w:t xml:space="preserve"> a prescrição</w:t>
      </w:r>
      <w:r w:rsidR="00D81AA1" w:rsidRPr="00D5464D">
        <w:rPr>
          <w:rFonts w:cs="Arial"/>
          <w:szCs w:val="20"/>
          <w:lang w:val="pt-BR"/>
        </w:rPr>
        <w:t>, para evadir</w:t>
      </w:r>
      <w:r w:rsidR="002C330E" w:rsidRPr="00D5464D">
        <w:rPr>
          <w:rFonts w:cs="Arial"/>
          <w:szCs w:val="20"/>
          <w:lang w:val="pt-BR"/>
        </w:rPr>
        <w:t xml:space="preserve"> a obrigação</w:t>
      </w:r>
      <w:r w:rsidR="00D81AA1" w:rsidRPr="00D5464D">
        <w:rPr>
          <w:rFonts w:cs="Arial"/>
          <w:szCs w:val="20"/>
          <w:lang w:val="pt-BR"/>
        </w:rPr>
        <w:t xml:space="preserve"> de investigar</w:t>
      </w:r>
      <w:r w:rsidR="00E045D9" w:rsidRPr="00D5464D">
        <w:rPr>
          <w:rFonts w:cs="Arial"/>
          <w:szCs w:val="20"/>
          <w:lang w:val="pt-BR"/>
        </w:rPr>
        <w:t xml:space="preserve"> e </w:t>
      </w:r>
      <w:r w:rsidR="00D73840" w:rsidRPr="00D5464D">
        <w:rPr>
          <w:rFonts w:cs="Arial"/>
          <w:szCs w:val="20"/>
          <w:lang w:val="pt-BR"/>
        </w:rPr>
        <w:t xml:space="preserve">punir </w:t>
      </w:r>
      <w:r w:rsidRPr="00D5464D">
        <w:rPr>
          <w:rFonts w:cs="Arial"/>
          <w:szCs w:val="20"/>
          <w:lang w:val="pt-BR"/>
        </w:rPr>
        <w:t xml:space="preserve">estes </w:t>
      </w:r>
      <w:r w:rsidR="00DC18B6" w:rsidRPr="00D5464D">
        <w:rPr>
          <w:rFonts w:cs="Arial"/>
          <w:szCs w:val="20"/>
          <w:lang w:val="pt-BR"/>
        </w:rPr>
        <w:t>delitos</w:t>
      </w:r>
      <w:r w:rsidR="007C6E16" w:rsidRPr="00D5464D">
        <w:rPr>
          <w:rFonts w:cs="Arial"/>
          <w:szCs w:val="20"/>
          <w:lang w:val="pt-BR"/>
        </w:rPr>
        <w:t>.</w:t>
      </w:r>
      <w:r w:rsidR="00D81AA1" w:rsidRPr="00D5464D">
        <w:rPr>
          <w:rStyle w:val="Refdenotaalpie"/>
          <w:lang w:val="pt-BR"/>
        </w:rPr>
        <w:footnoteReference w:id="512"/>
      </w:r>
      <w:r w:rsidR="00D81AA1" w:rsidRPr="00D5464D">
        <w:rPr>
          <w:rFonts w:cs="Arial"/>
          <w:szCs w:val="20"/>
          <w:lang w:val="pt-BR"/>
        </w:rPr>
        <w:t xml:space="preserve"> </w:t>
      </w:r>
      <w:r w:rsidR="00D81AA1" w:rsidRPr="00D5464D">
        <w:rPr>
          <w:lang w:val="pt-BR"/>
        </w:rPr>
        <w:t>Para que</w:t>
      </w:r>
      <w:r w:rsidRPr="00D5464D">
        <w:rPr>
          <w:lang w:val="pt-BR"/>
        </w:rPr>
        <w:t xml:space="preserve"> o </w:t>
      </w:r>
      <w:r w:rsidR="00D81AA1" w:rsidRPr="00D5464D">
        <w:rPr>
          <w:lang w:val="pt-BR"/>
        </w:rPr>
        <w:t>Estado satisfa</w:t>
      </w:r>
      <w:r w:rsidR="00D73840" w:rsidRPr="00D5464D">
        <w:rPr>
          <w:lang w:val="pt-BR"/>
        </w:rPr>
        <w:t>ça</w:t>
      </w:r>
      <w:r w:rsidRPr="00D5464D">
        <w:rPr>
          <w:lang w:val="pt-BR"/>
        </w:rPr>
        <w:t xml:space="preserve"> o dever</w:t>
      </w:r>
      <w:r w:rsidR="00D81AA1" w:rsidRPr="00D5464D">
        <w:rPr>
          <w:lang w:val="pt-BR"/>
        </w:rPr>
        <w:t xml:space="preserve"> de </w:t>
      </w:r>
      <w:r w:rsidR="002C330E" w:rsidRPr="00D5464D">
        <w:rPr>
          <w:lang w:val="pt-BR"/>
        </w:rPr>
        <w:t>garantir</w:t>
      </w:r>
      <w:r w:rsidR="00D81AA1" w:rsidRPr="00D5464D">
        <w:rPr>
          <w:lang w:val="pt-BR"/>
        </w:rPr>
        <w:t xml:space="preserve"> </w:t>
      </w:r>
      <w:r w:rsidRPr="00D5464D">
        <w:rPr>
          <w:lang w:val="pt-BR"/>
        </w:rPr>
        <w:t>adequad</w:t>
      </w:r>
      <w:r w:rsidR="00D81AA1" w:rsidRPr="00D5464D">
        <w:rPr>
          <w:lang w:val="pt-BR"/>
        </w:rPr>
        <w:t xml:space="preserve">amente diversos </w:t>
      </w:r>
      <w:r w:rsidRPr="00D5464D">
        <w:rPr>
          <w:lang w:val="pt-BR"/>
        </w:rPr>
        <w:t>direito</w:t>
      </w:r>
      <w:r w:rsidR="00D81AA1" w:rsidRPr="00D5464D">
        <w:rPr>
          <w:lang w:val="pt-BR"/>
        </w:rPr>
        <w:t>s protegidos</w:t>
      </w:r>
      <w:r w:rsidR="00E045D9" w:rsidRPr="00D5464D">
        <w:rPr>
          <w:lang w:val="pt-BR"/>
        </w:rPr>
        <w:t xml:space="preserve"> na </w:t>
      </w:r>
      <w:r w:rsidR="00D81AA1" w:rsidRPr="00D5464D">
        <w:rPr>
          <w:lang w:val="pt-BR"/>
        </w:rPr>
        <w:t>Conven</w:t>
      </w:r>
      <w:r w:rsidRPr="00D5464D">
        <w:rPr>
          <w:lang w:val="pt-BR"/>
        </w:rPr>
        <w:t>ção</w:t>
      </w:r>
      <w:r w:rsidR="00D81AA1" w:rsidRPr="00D5464D">
        <w:rPr>
          <w:lang w:val="pt-BR"/>
        </w:rPr>
        <w:t>, entre</w:t>
      </w:r>
      <w:r w:rsidRPr="00D5464D">
        <w:rPr>
          <w:lang w:val="pt-BR"/>
        </w:rPr>
        <w:t xml:space="preserve"> ele</w:t>
      </w:r>
      <w:r w:rsidR="00D81AA1" w:rsidRPr="00D5464D">
        <w:rPr>
          <w:lang w:val="pt-BR"/>
        </w:rPr>
        <w:t>s</w:t>
      </w:r>
      <w:r w:rsidRPr="00D5464D">
        <w:rPr>
          <w:lang w:val="pt-BR"/>
        </w:rPr>
        <w:t xml:space="preserve"> o direito</w:t>
      </w:r>
      <w:r w:rsidR="00D81AA1" w:rsidRPr="00D5464D">
        <w:rPr>
          <w:lang w:val="pt-BR"/>
        </w:rPr>
        <w:t xml:space="preserve"> de </w:t>
      </w:r>
      <w:r w:rsidRPr="00D5464D">
        <w:rPr>
          <w:lang w:val="pt-BR"/>
        </w:rPr>
        <w:t xml:space="preserve">acesso à </w:t>
      </w:r>
      <w:r w:rsidR="002C330E" w:rsidRPr="00D5464D">
        <w:rPr>
          <w:lang w:val="pt-BR"/>
        </w:rPr>
        <w:t>justiça</w:t>
      </w:r>
      <w:r w:rsidR="00D81AA1" w:rsidRPr="00D5464D">
        <w:rPr>
          <w:lang w:val="pt-BR"/>
        </w:rPr>
        <w:t>,</w:t>
      </w:r>
      <w:r w:rsidRPr="00D5464D">
        <w:rPr>
          <w:lang w:val="pt-BR"/>
        </w:rPr>
        <w:t xml:space="preserve"> é </w:t>
      </w:r>
      <w:r w:rsidR="002C330E" w:rsidRPr="00D5464D">
        <w:rPr>
          <w:lang w:val="pt-BR"/>
        </w:rPr>
        <w:t>necessári</w:t>
      </w:r>
      <w:r w:rsidR="00D81AA1" w:rsidRPr="00D5464D">
        <w:rPr>
          <w:lang w:val="pt-BR"/>
        </w:rPr>
        <w:t xml:space="preserve">o que </w:t>
      </w:r>
      <w:r w:rsidR="00E045D9" w:rsidRPr="00D5464D">
        <w:rPr>
          <w:lang w:val="pt-BR"/>
        </w:rPr>
        <w:t>cumpra seu dever</w:t>
      </w:r>
      <w:r w:rsidR="00D81AA1" w:rsidRPr="00D5464D">
        <w:rPr>
          <w:lang w:val="pt-BR"/>
        </w:rPr>
        <w:t xml:space="preserve"> de investigar, </w:t>
      </w:r>
      <w:r w:rsidR="002C330E" w:rsidRPr="00D5464D">
        <w:rPr>
          <w:lang w:val="pt-BR"/>
        </w:rPr>
        <w:t>julgar</w:t>
      </w:r>
      <w:r w:rsidR="00E045D9" w:rsidRPr="00D5464D">
        <w:rPr>
          <w:lang w:val="pt-BR"/>
        </w:rPr>
        <w:t xml:space="preserve"> e,</w:t>
      </w:r>
      <w:r w:rsidRPr="00D5464D">
        <w:rPr>
          <w:lang w:val="pt-BR"/>
        </w:rPr>
        <w:t xml:space="preserve"> </w:t>
      </w:r>
      <w:r w:rsidR="00E045D9" w:rsidRPr="00D5464D">
        <w:rPr>
          <w:lang w:val="pt-BR"/>
        </w:rPr>
        <w:t>se for o caso,</w:t>
      </w:r>
      <w:r w:rsidR="00D81AA1" w:rsidRPr="00D5464D">
        <w:rPr>
          <w:lang w:val="pt-BR"/>
        </w:rPr>
        <w:t xml:space="preserve"> </w:t>
      </w:r>
      <w:r w:rsidR="00D73840" w:rsidRPr="00D5464D">
        <w:rPr>
          <w:lang w:val="pt-BR"/>
        </w:rPr>
        <w:t xml:space="preserve">punir </w:t>
      </w:r>
      <w:r w:rsidRPr="00D5464D">
        <w:rPr>
          <w:lang w:val="pt-BR"/>
        </w:rPr>
        <w:t xml:space="preserve">estes </w:t>
      </w:r>
      <w:r w:rsidR="002C330E" w:rsidRPr="00D5464D">
        <w:rPr>
          <w:lang w:val="pt-BR"/>
        </w:rPr>
        <w:t>fatos</w:t>
      </w:r>
      <w:r w:rsidR="00753120" w:rsidRPr="00D5464D">
        <w:rPr>
          <w:lang w:val="pt-BR"/>
        </w:rPr>
        <w:t xml:space="preserve"> e reparar os danos causados</w:t>
      </w:r>
      <w:r w:rsidR="00D81AA1" w:rsidRPr="00D5464D">
        <w:rPr>
          <w:lang w:val="pt-BR"/>
        </w:rPr>
        <w:t xml:space="preserve">. Para </w:t>
      </w:r>
      <w:r w:rsidRPr="00D5464D">
        <w:rPr>
          <w:lang w:val="pt-BR"/>
        </w:rPr>
        <w:t>alcança</w:t>
      </w:r>
      <w:r w:rsidR="00D81AA1" w:rsidRPr="00D5464D">
        <w:rPr>
          <w:lang w:val="pt-BR"/>
        </w:rPr>
        <w:t>r</w:t>
      </w:r>
      <w:r w:rsidRPr="00D5464D">
        <w:rPr>
          <w:lang w:val="pt-BR"/>
        </w:rPr>
        <w:t xml:space="preserve"> esse fim</w:t>
      </w:r>
      <w:r w:rsidR="00D73840" w:rsidRPr="00D5464D">
        <w:rPr>
          <w:lang w:val="pt-BR"/>
        </w:rPr>
        <w:t>,</w:t>
      </w:r>
      <w:r w:rsidRPr="00D5464D">
        <w:rPr>
          <w:lang w:val="pt-BR"/>
        </w:rPr>
        <w:t xml:space="preserve"> o </w:t>
      </w:r>
      <w:r w:rsidR="00D81AA1" w:rsidRPr="00D5464D">
        <w:rPr>
          <w:lang w:val="pt-BR"/>
        </w:rPr>
        <w:t>Estado</w:t>
      </w:r>
      <w:r w:rsidRPr="00D5464D">
        <w:rPr>
          <w:lang w:val="pt-BR"/>
        </w:rPr>
        <w:t xml:space="preserve"> deve </w:t>
      </w:r>
      <w:r w:rsidR="00D81AA1" w:rsidRPr="00D5464D">
        <w:rPr>
          <w:lang w:val="pt-BR"/>
        </w:rPr>
        <w:t>observar</w:t>
      </w:r>
      <w:r w:rsidRPr="00D5464D">
        <w:rPr>
          <w:lang w:val="pt-BR"/>
        </w:rPr>
        <w:t xml:space="preserve"> o devido</w:t>
      </w:r>
      <w:r w:rsidR="00D81AA1" w:rsidRPr="00D5464D">
        <w:rPr>
          <w:lang w:val="pt-BR"/>
        </w:rPr>
        <w:t xml:space="preserve"> </w:t>
      </w:r>
      <w:r w:rsidR="002C330E" w:rsidRPr="00D5464D">
        <w:rPr>
          <w:lang w:val="pt-BR"/>
        </w:rPr>
        <w:t>processo</w:t>
      </w:r>
      <w:r w:rsidR="00E045D9" w:rsidRPr="00D5464D">
        <w:rPr>
          <w:lang w:val="pt-BR"/>
        </w:rPr>
        <w:t xml:space="preserve"> e </w:t>
      </w:r>
      <w:r w:rsidR="002C330E" w:rsidRPr="00D5464D">
        <w:rPr>
          <w:lang w:val="pt-BR"/>
        </w:rPr>
        <w:t>garantir</w:t>
      </w:r>
      <w:r w:rsidR="00D81AA1" w:rsidRPr="00D5464D">
        <w:rPr>
          <w:lang w:val="pt-BR"/>
        </w:rPr>
        <w:t xml:space="preserve">, entre </w:t>
      </w:r>
      <w:r w:rsidR="002C330E" w:rsidRPr="00D5464D">
        <w:rPr>
          <w:lang w:val="pt-BR"/>
        </w:rPr>
        <w:t>outros</w:t>
      </w:r>
      <w:r w:rsidR="00D81AA1" w:rsidRPr="00D5464D">
        <w:rPr>
          <w:lang w:val="pt-BR"/>
        </w:rPr>
        <w:t>,</w:t>
      </w:r>
      <w:r w:rsidRPr="00D5464D">
        <w:rPr>
          <w:lang w:val="pt-BR"/>
        </w:rPr>
        <w:t xml:space="preserve"> o </w:t>
      </w:r>
      <w:r w:rsidR="002C330E" w:rsidRPr="00D5464D">
        <w:rPr>
          <w:lang w:val="pt-BR"/>
        </w:rPr>
        <w:t>princípio</w:t>
      </w:r>
      <w:r w:rsidR="00D81AA1" w:rsidRPr="00D5464D">
        <w:rPr>
          <w:lang w:val="pt-BR"/>
        </w:rPr>
        <w:t xml:space="preserve"> de</w:t>
      </w:r>
      <w:r w:rsidR="002C330E" w:rsidRPr="00D5464D">
        <w:rPr>
          <w:lang w:val="pt-BR"/>
        </w:rPr>
        <w:t xml:space="preserve"> prazo</w:t>
      </w:r>
      <w:r w:rsidR="00D81AA1" w:rsidRPr="00D5464D">
        <w:rPr>
          <w:lang w:val="pt-BR"/>
        </w:rPr>
        <w:t xml:space="preserve"> </w:t>
      </w:r>
      <w:r w:rsidR="00230C71" w:rsidRPr="00D5464D">
        <w:rPr>
          <w:lang w:val="pt-BR"/>
        </w:rPr>
        <w:t>razoável,</w:t>
      </w:r>
      <w:r w:rsidR="002C330E" w:rsidRPr="00D5464D">
        <w:rPr>
          <w:lang w:val="pt-BR"/>
        </w:rPr>
        <w:t xml:space="preserve"> os </w:t>
      </w:r>
      <w:r w:rsidR="00D81AA1" w:rsidRPr="00D5464D">
        <w:rPr>
          <w:lang w:val="pt-BR"/>
        </w:rPr>
        <w:t xml:space="preserve">recursos </w:t>
      </w:r>
      <w:r w:rsidRPr="00D5464D">
        <w:rPr>
          <w:lang w:val="pt-BR"/>
        </w:rPr>
        <w:t>efetiv</w:t>
      </w:r>
      <w:r w:rsidR="00D81AA1" w:rsidRPr="00D5464D">
        <w:rPr>
          <w:lang w:val="pt-BR"/>
        </w:rPr>
        <w:t>os</w:t>
      </w:r>
      <w:r w:rsidR="00E045D9" w:rsidRPr="00D5464D">
        <w:rPr>
          <w:lang w:val="pt-BR"/>
        </w:rPr>
        <w:t xml:space="preserve"> e </w:t>
      </w:r>
      <w:r w:rsidRPr="00D5464D">
        <w:rPr>
          <w:lang w:val="pt-BR"/>
        </w:rPr>
        <w:t xml:space="preserve">o cumprimento da </w:t>
      </w:r>
      <w:r w:rsidR="002C330E" w:rsidRPr="00D5464D">
        <w:rPr>
          <w:lang w:val="pt-BR"/>
        </w:rPr>
        <w:t>sentença</w:t>
      </w:r>
      <w:r w:rsidR="007C6E16" w:rsidRPr="00D5464D">
        <w:rPr>
          <w:lang w:val="pt-BR"/>
        </w:rPr>
        <w:t>.</w:t>
      </w:r>
      <w:r w:rsidR="00D81AA1" w:rsidRPr="00D5464D">
        <w:rPr>
          <w:rStyle w:val="Refdenotaalpie"/>
          <w:lang w:val="pt-BR"/>
        </w:rPr>
        <w:footnoteReference w:id="513"/>
      </w:r>
    </w:p>
    <w:p w14:paraId="55EEE5E5" w14:textId="77777777" w:rsidR="00DE3E58" w:rsidRPr="00D5464D" w:rsidRDefault="00DE3E58" w:rsidP="00DE3E58">
      <w:pPr>
        <w:pStyle w:val="Prrafodelista"/>
        <w:autoSpaceDE w:val="0"/>
        <w:autoSpaceDN w:val="0"/>
        <w:adjustRightInd w:val="0"/>
        <w:ind w:left="0"/>
        <w:contextualSpacing w:val="0"/>
        <w:rPr>
          <w:rFonts w:cs="Arial"/>
          <w:szCs w:val="20"/>
          <w:lang w:val="pt-BR"/>
        </w:rPr>
      </w:pPr>
    </w:p>
    <w:p w14:paraId="5C78D8B5" w14:textId="5D315AA2" w:rsidR="00D81AA1" w:rsidRPr="00D5464D" w:rsidRDefault="00470ADC" w:rsidP="008B5C42">
      <w:pPr>
        <w:pStyle w:val="Prrafodelista"/>
        <w:numPr>
          <w:ilvl w:val="0"/>
          <w:numId w:val="1"/>
        </w:numPr>
        <w:autoSpaceDE w:val="0"/>
        <w:autoSpaceDN w:val="0"/>
        <w:adjustRightInd w:val="0"/>
        <w:contextualSpacing w:val="0"/>
        <w:rPr>
          <w:rFonts w:cs="Arial"/>
          <w:szCs w:val="20"/>
          <w:lang w:val="pt-BR"/>
        </w:rPr>
      </w:pPr>
      <w:r w:rsidRPr="00D5464D">
        <w:rPr>
          <w:rFonts w:cs="Arial"/>
          <w:szCs w:val="20"/>
          <w:lang w:val="pt-BR"/>
        </w:rPr>
        <w:t xml:space="preserve">A </w:t>
      </w:r>
      <w:r w:rsidR="00D81AA1" w:rsidRPr="00D5464D">
        <w:rPr>
          <w:rFonts w:cs="Arial"/>
          <w:szCs w:val="20"/>
          <w:lang w:val="pt-BR"/>
        </w:rPr>
        <w:t>Corte</w:t>
      </w:r>
      <w:r w:rsidR="00E045D9" w:rsidRPr="00D5464D">
        <w:rPr>
          <w:rFonts w:cs="Arial"/>
          <w:szCs w:val="20"/>
          <w:lang w:val="pt-BR"/>
        </w:rPr>
        <w:t xml:space="preserve"> já </w:t>
      </w:r>
      <w:r w:rsidR="002C330E" w:rsidRPr="00D5464D">
        <w:rPr>
          <w:rFonts w:cs="Arial"/>
          <w:szCs w:val="20"/>
          <w:lang w:val="pt-BR"/>
        </w:rPr>
        <w:t>estabeleceu</w:t>
      </w:r>
      <w:r w:rsidR="00D81AA1" w:rsidRPr="00D5464D">
        <w:rPr>
          <w:rFonts w:cs="Arial"/>
          <w:szCs w:val="20"/>
          <w:lang w:val="pt-BR"/>
        </w:rPr>
        <w:t xml:space="preserve"> que: i)</w:t>
      </w:r>
      <w:r w:rsidR="002C330E" w:rsidRPr="00D5464D">
        <w:rPr>
          <w:rFonts w:cs="Arial"/>
          <w:szCs w:val="20"/>
          <w:lang w:val="pt-BR"/>
        </w:rPr>
        <w:t xml:space="preserve"> a </w:t>
      </w:r>
      <w:r w:rsidR="000B376D" w:rsidRPr="00D5464D">
        <w:rPr>
          <w:rFonts w:cs="Arial"/>
          <w:szCs w:val="20"/>
          <w:lang w:val="pt-BR"/>
        </w:rPr>
        <w:t>escravidão</w:t>
      </w:r>
      <w:r w:rsidR="00E045D9" w:rsidRPr="00D5464D">
        <w:rPr>
          <w:rFonts w:cs="Arial"/>
          <w:szCs w:val="20"/>
          <w:lang w:val="pt-BR"/>
        </w:rPr>
        <w:t xml:space="preserve"> e </w:t>
      </w:r>
      <w:r w:rsidR="00230C71" w:rsidRPr="00D5464D">
        <w:rPr>
          <w:rFonts w:cs="Arial"/>
          <w:szCs w:val="20"/>
          <w:lang w:val="pt-BR"/>
        </w:rPr>
        <w:t>suas formas</w:t>
      </w:r>
      <w:r w:rsidR="00D81AA1" w:rsidRPr="00D5464D">
        <w:rPr>
          <w:rFonts w:cs="Arial"/>
          <w:szCs w:val="20"/>
          <w:lang w:val="pt-BR"/>
        </w:rPr>
        <w:t xml:space="preserve"> </w:t>
      </w:r>
      <w:r w:rsidR="006665EF" w:rsidRPr="00D5464D">
        <w:rPr>
          <w:rFonts w:cs="Arial"/>
          <w:szCs w:val="20"/>
          <w:lang w:val="pt-BR"/>
        </w:rPr>
        <w:t>análogas</w:t>
      </w:r>
      <w:r w:rsidR="00350187" w:rsidRPr="00D5464D">
        <w:rPr>
          <w:rFonts w:cs="Arial"/>
          <w:szCs w:val="20"/>
          <w:lang w:val="pt-BR"/>
        </w:rPr>
        <w:t xml:space="preserve"> </w:t>
      </w:r>
      <w:r w:rsidR="00A1358C" w:rsidRPr="00D5464D">
        <w:rPr>
          <w:rFonts w:cs="Arial"/>
          <w:szCs w:val="20"/>
          <w:lang w:val="pt-BR"/>
        </w:rPr>
        <w:t>constituem</w:t>
      </w:r>
      <w:r w:rsidR="00E045D9" w:rsidRPr="00D5464D">
        <w:rPr>
          <w:rFonts w:cs="Arial"/>
          <w:szCs w:val="20"/>
          <w:lang w:val="pt-BR"/>
        </w:rPr>
        <w:t xml:space="preserve"> um </w:t>
      </w:r>
      <w:r w:rsidR="006E77C8" w:rsidRPr="00D5464D">
        <w:rPr>
          <w:rFonts w:cs="Arial"/>
          <w:szCs w:val="20"/>
          <w:lang w:val="pt-BR"/>
        </w:rPr>
        <w:t xml:space="preserve">delito de </w:t>
      </w:r>
      <w:r w:rsidR="00E765C2" w:rsidRPr="00D5464D">
        <w:rPr>
          <w:rFonts w:cs="Arial"/>
          <w:szCs w:val="20"/>
          <w:lang w:val="pt-BR"/>
        </w:rPr>
        <w:t>Direito Internacional</w:t>
      </w:r>
      <w:r w:rsidR="00D81AA1" w:rsidRPr="00D5464D">
        <w:rPr>
          <w:rFonts w:cs="Arial"/>
          <w:szCs w:val="20"/>
          <w:lang w:val="pt-BR"/>
        </w:rPr>
        <w:t xml:space="preserve">, ii) </w:t>
      </w:r>
      <w:r w:rsidRPr="00D5464D">
        <w:rPr>
          <w:rFonts w:cs="Arial"/>
          <w:szCs w:val="20"/>
          <w:lang w:val="pt-BR"/>
        </w:rPr>
        <w:t>cuja</w:t>
      </w:r>
      <w:r w:rsidR="005D5509" w:rsidRPr="00D5464D">
        <w:rPr>
          <w:rFonts w:cs="Arial"/>
          <w:szCs w:val="20"/>
          <w:lang w:val="pt-BR"/>
        </w:rPr>
        <w:t xml:space="preserve"> </w:t>
      </w:r>
      <w:r w:rsidR="002C330E" w:rsidRPr="00D5464D">
        <w:rPr>
          <w:rFonts w:cs="Arial"/>
          <w:szCs w:val="20"/>
          <w:lang w:val="pt-BR"/>
        </w:rPr>
        <w:t xml:space="preserve">proibição pelo </w:t>
      </w:r>
      <w:r w:rsidR="00E765C2" w:rsidRPr="00D5464D">
        <w:rPr>
          <w:rFonts w:cs="Arial"/>
          <w:szCs w:val="20"/>
          <w:lang w:val="pt-BR"/>
        </w:rPr>
        <w:t>Direito Internacional</w:t>
      </w:r>
      <w:r w:rsidRPr="00D5464D">
        <w:rPr>
          <w:rFonts w:cs="Arial"/>
          <w:szCs w:val="20"/>
          <w:lang w:val="pt-BR"/>
        </w:rPr>
        <w:t xml:space="preserve"> é</w:t>
      </w:r>
      <w:r w:rsidR="00E045D9" w:rsidRPr="00D5464D">
        <w:rPr>
          <w:rFonts w:cs="Arial"/>
          <w:szCs w:val="20"/>
          <w:lang w:val="pt-BR"/>
        </w:rPr>
        <w:t xml:space="preserve"> uma </w:t>
      </w:r>
      <w:r w:rsidR="00D81AA1" w:rsidRPr="00D5464D">
        <w:rPr>
          <w:rFonts w:cs="Arial"/>
          <w:szCs w:val="20"/>
          <w:lang w:val="pt-BR"/>
        </w:rPr>
        <w:t xml:space="preserve">norma de </w:t>
      </w:r>
      <w:r w:rsidR="00D81AA1" w:rsidRPr="00D5464D">
        <w:rPr>
          <w:rFonts w:cs="Arial"/>
          <w:i/>
          <w:szCs w:val="20"/>
          <w:lang w:val="pt-BR"/>
        </w:rPr>
        <w:t>jus cogens</w:t>
      </w:r>
      <w:r w:rsidR="00D81AA1" w:rsidRPr="00D5464D">
        <w:rPr>
          <w:rFonts w:cs="Arial"/>
          <w:szCs w:val="20"/>
          <w:lang w:val="pt-BR"/>
        </w:rPr>
        <w:t xml:space="preserve"> (</w:t>
      </w:r>
      <w:r w:rsidR="00C85EA9" w:rsidRPr="00D5464D">
        <w:rPr>
          <w:rFonts w:cs="Arial"/>
          <w:szCs w:val="20"/>
          <w:lang w:val="pt-BR"/>
        </w:rPr>
        <w:t xml:space="preserve">par. </w:t>
      </w:r>
      <w:r w:rsidR="00D036E7" w:rsidRPr="00D5464D">
        <w:rPr>
          <w:rFonts w:cs="Arial"/>
          <w:szCs w:val="20"/>
          <w:lang w:val="pt-BR"/>
        </w:rPr>
        <w:t xml:space="preserve">249 </w:t>
      </w:r>
      <w:r w:rsidR="00D036E7" w:rsidRPr="00D5464D">
        <w:rPr>
          <w:rFonts w:cs="Arial"/>
          <w:i/>
          <w:szCs w:val="20"/>
          <w:lang w:val="pt-BR"/>
        </w:rPr>
        <w:t>supra</w:t>
      </w:r>
      <w:r w:rsidR="00D036E7" w:rsidRPr="00D5464D">
        <w:rPr>
          <w:rFonts w:cs="Arial"/>
          <w:szCs w:val="20"/>
          <w:lang w:val="pt-BR"/>
        </w:rPr>
        <w:t>)</w:t>
      </w:r>
      <w:r w:rsidR="00D81AA1" w:rsidRPr="00D5464D">
        <w:rPr>
          <w:rFonts w:cs="Arial"/>
          <w:szCs w:val="20"/>
          <w:lang w:val="pt-BR"/>
        </w:rPr>
        <w:t xml:space="preserve">. </w:t>
      </w:r>
      <w:r w:rsidR="002C330E" w:rsidRPr="00D5464D">
        <w:rPr>
          <w:rFonts w:cs="Arial"/>
          <w:szCs w:val="20"/>
          <w:lang w:val="pt-BR"/>
        </w:rPr>
        <w:t>Portanto</w:t>
      </w:r>
      <w:r w:rsidR="00D81AA1" w:rsidRPr="00D5464D">
        <w:rPr>
          <w:rFonts w:cs="Arial"/>
          <w:szCs w:val="20"/>
          <w:lang w:val="pt-BR"/>
        </w:rPr>
        <w:t>,</w:t>
      </w:r>
      <w:r w:rsidR="002C330E" w:rsidRPr="00D5464D">
        <w:rPr>
          <w:rFonts w:cs="Arial"/>
          <w:szCs w:val="20"/>
          <w:lang w:val="pt-BR"/>
        </w:rPr>
        <w:t xml:space="preserve"> a </w:t>
      </w:r>
      <w:r w:rsidR="00D81AA1" w:rsidRPr="00D5464D">
        <w:rPr>
          <w:rFonts w:cs="Arial"/>
          <w:szCs w:val="20"/>
          <w:lang w:val="pt-BR"/>
        </w:rPr>
        <w:t>Corte considera que</w:t>
      </w:r>
      <w:r w:rsidR="002C330E" w:rsidRPr="00D5464D">
        <w:rPr>
          <w:rFonts w:cs="Arial"/>
          <w:szCs w:val="20"/>
          <w:lang w:val="pt-BR"/>
        </w:rPr>
        <w:t xml:space="preserve"> a prescrição</w:t>
      </w:r>
      <w:r w:rsidRPr="00D5464D">
        <w:rPr>
          <w:rFonts w:cs="Arial"/>
          <w:szCs w:val="20"/>
          <w:lang w:val="pt-BR"/>
        </w:rPr>
        <w:t xml:space="preserve"> dos </w:t>
      </w:r>
      <w:r w:rsidR="00D81AA1" w:rsidRPr="00D5464D">
        <w:rPr>
          <w:rFonts w:cs="Arial"/>
          <w:szCs w:val="20"/>
          <w:lang w:val="pt-BR"/>
        </w:rPr>
        <w:t xml:space="preserve">delitos de </w:t>
      </w:r>
      <w:r w:rsidR="002C330E" w:rsidRPr="00D5464D">
        <w:rPr>
          <w:rFonts w:cs="Arial"/>
          <w:szCs w:val="20"/>
          <w:lang w:val="pt-BR"/>
        </w:rPr>
        <w:t>submissão</w:t>
      </w:r>
      <w:r w:rsidRPr="00D5464D">
        <w:rPr>
          <w:rFonts w:cs="Arial"/>
          <w:szCs w:val="20"/>
          <w:lang w:val="pt-BR"/>
        </w:rPr>
        <w:t xml:space="preserve"> à </w:t>
      </w:r>
      <w:r w:rsidR="00481EEC" w:rsidRPr="00D5464D">
        <w:rPr>
          <w:rFonts w:cs="Arial"/>
          <w:szCs w:val="20"/>
          <w:lang w:val="pt-BR"/>
        </w:rPr>
        <w:t>condi</w:t>
      </w:r>
      <w:r w:rsidRPr="00D5464D">
        <w:rPr>
          <w:rFonts w:cs="Arial"/>
          <w:szCs w:val="20"/>
          <w:lang w:val="pt-BR"/>
        </w:rPr>
        <w:t>ção</w:t>
      </w:r>
      <w:r w:rsidR="00481EEC" w:rsidRPr="00D5464D">
        <w:rPr>
          <w:rFonts w:cs="Arial"/>
          <w:szCs w:val="20"/>
          <w:lang w:val="pt-BR"/>
        </w:rPr>
        <w:t xml:space="preserve"> de </w:t>
      </w:r>
      <w:r w:rsidR="004F1CC2" w:rsidRPr="00D5464D">
        <w:rPr>
          <w:rFonts w:cs="Arial"/>
          <w:szCs w:val="20"/>
          <w:lang w:val="pt-BR"/>
        </w:rPr>
        <w:t>escravo</w:t>
      </w:r>
      <w:r w:rsidR="00E045D9" w:rsidRPr="00D5464D">
        <w:rPr>
          <w:rFonts w:cs="Arial"/>
          <w:szCs w:val="20"/>
          <w:lang w:val="pt-BR"/>
        </w:rPr>
        <w:t xml:space="preserve"> e </w:t>
      </w:r>
      <w:r w:rsidR="00230C71" w:rsidRPr="00D5464D">
        <w:rPr>
          <w:rFonts w:cs="Arial"/>
          <w:szCs w:val="20"/>
          <w:lang w:val="pt-BR"/>
        </w:rPr>
        <w:t>suas formas</w:t>
      </w:r>
      <w:r w:rsidR="00D81AA1" w:rsidRPr="00D5464D">
        <w:rPr>
          <w:rFonts w:cs="Arial"/>
          <w:szCs w:val="20"/>
          <w:lang w:val="pt-BR"/>
        </w:rPr>
        <w:t xml:space="preserve"> </w:t>
      </w:r>
      <w:r w:rsidR="006665EF" w:rsidRPr="00D5464D">
        <w:rPr>
          <w:rFonts w:cs="Arial"/>
          <w:szCs w:val="20"/>
          <w:lang w:val="pt-BR"/>
        </w:rPr>
        <w:t>análogas</w:t>
      </w:r>
      <w:r w:rsidR="00350187" w:rsidRPr="00D5464D">
        <w:rPr>
          <w:rFonts w:cs="Arial"/>
          <w:szCs w:val="20"/>
          <w:lang w:val="pt-BR"/>
        </w:rPr>
        <w:t xml:space="preserve"> </w:t>
      </w:r>
      <w:r w:rsidRPr="00D5464D">
        <w:rPr>
          <w:rFonts w:cs="Arial"/>
          <w:szCs w:val="20"/>
          <w:lang w:val="pt-BR"/>
        </w:rPr>
        <w:t xml:space="preserve">é </w:t>
      </w:r>
      <w:r w:rsidR="00D81AA1" w:rsidRPr="00D5464D">
        <w:rPr>
          <w:rFonts w:cs="Arial"/>
          <w:szCs w:val="20"/>
          <w:lang w:val="pt-BR"/>
        </w:rPr>
        <w:t>in</w:t>
      </w:r>
      <w:r w:rsidRPr="00D5464D">
        <w:rPr>
          <w:rFonts w:cs="Arial"/>
          <w:szCs w:val="20"/>
          <w:lang w:val="pt-BR"/>
        </w:rPr>
        <w:t>compatível com</w:t>
      </w:r>
      <w:r w:rsidR="002C330E" w:rsidRPr="00D5464D">
        <w:rPr>
          <w:rFonts w:cs="Arial"/>
          <w:szCs w:val="20"/>
          <w:lang w:val="pt-BR"/>
        </w:rPr>
        <w:t xml:space="preserve"> a obrigação</w:t>
      </w:r>
      <w:r w:rsidR="00D81AA1" w:rsidRPr="00D5464D">
        <w:rPr>
          <w:rFonts w:cs="Arial"/>
          <w:szCs w:val="20"/>
          <w:lang w:val="pt-BR"/>
        </w:rPr>
        <w:t xml:space="preserve"> </w:t>
      </w:r>
      <w:r w:rsidRPr="00D5464D">
        <w:rPr>
          <w:rFonts w:cs="Arial"/>
          <w:szCs w:val="20"/>
          <w:lang w:val="pt-BR"/>
        </w:rPr>
        <w:t xml:space="preserve">do </w:t>
      </w:r>
      <w:r w:rsidR="00D81AA1" w:rsidRPr="00D5464D">
        <w:rPr>
          <w:rFonts w:cs="Arial"/>
          <w:szCs w:val="20"/>
          <w:lang w:val="pt-BR"/>
        </w:rPr>
        <w:t xml:space="preserve">Estado </w:t>
      </w:r>
      <w:r w:rsidRPr="00D5464D">
        <w:rPr>
          <w:rFonts w:cs="Arial"/>
          <w:szCs w:val="20"/>
          <w:lang w:val="pt-BR"/>
        </w:rPr>
        <w:t>brasileir</w:t>
      </w:r>
      <w:r w:rsidR="00D81AA1" w:rsidRPr="00D5464D">
        <w:rPr>
          <w:rFonts w:cs="Arial"/>
          <w:szCs w:val="20"/>
          <w:lang w:val="pt-BR"/>
        </w:rPr>
        <w:t xml:space="preserve">o de adaptar </w:t>
      </w:r>
      <w:r w:rsidR="00230C71" w:rsidRPr="00D5464D">
        <w:rPr>
          <w:rFonts w:cs="Arial"/>
          <w:szCs w:val="20"/>
          <w:lang w:val="pt-BR"/>
        </w:rPr>
        <w:t>sua normativa</w:t>
      </w:r>
      <w:r w:rsidR="00D81AA1" w:rsidRPr="00D5464D">
        <w:rPr>
          <w:rFonts w:cs="Arial"/>
          <w:szCs w:val="20"/>
          <w:lang w:val="pt-BR"/>
        </w:rPr>
        <w:t xml:space="preserve"> interna de </w:t>
      </w:r>
      <w:r w:rsidRPr="00D5464D">
        <w:rPr>
          <w:rFonts w:cs="Arial"/>
          <w:szCs w:val="20"/>
          <w:lang w:val="pt-BR"/>
        </w:rPr>
        <w:t>acordo</w:t>
      </w:r>
      <w:r w:rsidR="00E045D9" w:rsidRPr="00D5464D">
        <w:rPr>
          <w:rFonts w:cs="Arial"/>
          <w:szCs w:val="20"/>
          <w:lang w:val="pt-BR"/>
        </w:rPr>
        <w:t xml:space="preserve"> aos </w:t>
      </w:r>
      <w:r w:rsidRPr="00D5464D">
        <w:rPr>
          <w:rFonts w:cs="Arial"/>
          <w:szCs w:val="20"/>
          <w:lang w:val="pt-BR"/>
        </w:rPr>
        <w:t>padrões</w:t>
      </w:r>
      <w:r w:rsidR="00D81AA1" w:rsidRPr="00D5464D">
        <w:rPr>
          <w:rFonts w:cs="Arial"/>
          <w:szCs w:val="20"/>
          <w:lang w:val="pt-BR"/>
        </w:rPr>
        <w:t xml:space="preserve"> </w:t>
      </w:r>
      <w:r w:rsidR="002C330E" w:rsidRPr="00D5464D">
        <w:rPr>
          <w:rFonts w:cs="Arial"/>
          <w:szCs w:val="20"/>
          <w:lang w:val="pt-BR"/>
        </w:rPr>
        <w:t>internacionais</w:t>
      </w:r>
      <w:r w:rsidR="00C91CB1" w:rsidRPr="00D5464D">
        <w:rPr>
          <w:rFonts w:cs="Arial"/>
          <w:szCs w:val="20"/>
          <w:lang w:val="pt-BR"/>
        </w:rPr>
        <w:t xml:space="preserve">. No </w:t>
      </w:r>
      <w:r w:rsidR="00D81AA1" w:rsidRPr="00D5464D">
        <w:rPr>
          <w:rFonts w:cs="Arial"/>
          <w:szCs w:val="20"/>
          <w:lang w:val="pt-BR"/>
        </w:rPr>
        <w:t>presente caso</w:t>
      </w:r>
      <w:r w:rsidR="002C330E" w:rsidRPr="00D5464D">
        <w:rPr>
          <w:rFonts w:cs="Arial"/>
          <w:szCs w:val="20"/>
          <w:lang w:val="pt-BR"/>
        </w:rPr>
        <w:t xml:space="preserve"> a </w:t>
      </w:r>
      <w:r w:rsidR="00D81AA1" w:rsidRPr="00D5464D">
        <w:rPr>
          <w:rFonts w:cs="Arial"/>
          <w:szCs w:val="20"/>
          <w:lang w:val="pt-BR"/>
        </w:rPr>
        <w:t>aplica</w:t>
      </w:r>
      <w:r w:rsidRPr="00D5464D">
        <w:rPr>
          <w:rFonts w:cs="Arial"/>
          <w:szCs w:val="20"/>
          <w:lang w:val="pt-BR"/>
        </w:rPr>
        <w:t xml:space="preserve">ção da </w:t>
      </w:r>
      <w:r w:rsidR="002C330E" w:rsidRPr="00D5464D">
        <w:rPr>
          <w:rFonts w:cs="Arial"/>
          <w:szCs w:val="20"/>
          <w:lang w:val="pt-BR"/>
        </w:rPr>
        <w:t>prescrição</w:t>
      </w:r>
      <w:r w:rsidR="00D81AA1" w:rsidRPr="00D5464D">
        <w:rPr>
          <w:rFonts w:cs="Arial"/>
          <w:szCs w:val="20"/>
          <w:lang w:val="pt-BR"/>
        </w:rPr>
        <w:t xml:space="preserve"> </w:t>
      </w:r>
      <w:r w:rsidR="00737270" w:rsidRPr="00D5464D">
        <w:rPr>
          <w:rFonts w:cs="Arial"/>
          <w:szCs w:val="20"/>
          <w:lang w:val="pt-BR"/>
        </w:rPr>
        <w:t>constituiu</w:t>
      </w:r>
      <w:r w:rsidR="00E045D9" w:rsidRPr="00D5464D">
        <w:rPr>
          <w:rFonts w:cs="Arial"/>
          <w:szCs w:val="20"/>
          <w:lang w:val="pt-BR"/>
        </w:rPr>
        <w:t xml:space="preserve"> um </w:t>
      </w:r>
      <w:r w:rsidR="00D81AA1" w:rsidRPr="00D5464D">
        <w:rPr>
          <w:rFonts w:cs="Arial"/>
          <w:szCs w:val="20"/>
          <w:lang w:val="pt-BR"/>
        </w:rPr>
        <w:t>obstáculo para</w:t>
      </w:r>
      <w:r w:rsidR="002C330E" w:rsidRPr="00D5464D">
        <w:rPr>
          <w:rFonts w:cs="Arial"/>
          <w:szCs w:val="20"/>
          <w:lang w:val="pt-BR"/>
        </w:rPr>
        <w:t xml:space="preserve"> a </w:t>
      </w:r>
      <w:r w:rsidR="00D81AA1" w:rsidRPr="00D5464D">
        <w:rPr>
          <w:rFonts w:cs="Arial"/>
          <w:szCs w:val="20"/>
          <w:lang w:val="pt-BR"/>
        </w:rPr>
        <w:t>investiga</w:t>
      </w:r>
      <w:r w:rsidRPr="00D5464D">
        <w:rPr>
          <w:rFonts w:cs="Arial"/>
          <w:szCs w:val="20"/>
          <w:lang w:val="pt-BR"/>
        </w:rPr>
        <w:t xml:space="preserve">ção dos </w:t>
      </w:r>
      <w:r w:rsidR="002C330E" w:rsidRPr="00D5464D">
        <w:rPr>
          <w:rFonts w:cs="Arial"/>
          <w:szCs w:val="20"/>
          <w:lang w:val="pt-BR"/>
        </w:rPr>
        <w:t>fatos</w:t>
      </w:r>
      <w:r w:rsidR="00D81AA1" w:rsidRPr="00D5464D">
        <w:rPr>
          <w:rFonts w:cs="Arial"/>
          <w:szCs w:val="20"/>
          <w:lang w:val="pt-BR"/>
        </w:rPr>
        <w:t>,</w:t>
      </w:r>
      <w:r w:rsidR="002C330E" w:rsidRPr="00D5464D">
        <w:rPr>
          <w:rFonts w:cs="Arial"/>
          <w:szCs w:val="20"/>
          <w:lang w:val="pt-BR"/>
        </w:rPr>
        <w:t xml:space="preserve"> </w:t>
      </w:r>
      <w:r w:rsidR="00D73840" w:rsidRPr="00D5464D">
        <w:rPr>
          <w:rFonts w:cs="Arial"/>
          <w:szCs w:val="20"/>
          <w:lang w:val="pt-BR"/>
        </w:rPr>
        <w:t xml:space="preserve">para </w:t>
      </w:r>
      <w:r w:rsidR="002C330E" w:rsidRPr="00D5464D">
        <w:rPr>
          <w:rFonts w:cs="Arial"/>
          <w:szCs w:val="20"/>
          <w:lang w:val="pt-BR"/>
        </w:rPr>
        <w:t xml:space="preserve">a </w:t>
      </w:r>
      <w:r w:rsidR="00D81AA1" w:rsidRPr="00D5464D">
        <w:rPr>
          <w:rFonts w:cs="Arial"/>
          <w:szCs w:val="20"/>
          <w:lang w:val="pt-BR"/>
        </w:rPr>
        <w:t>determina</w:t>
      </w:r>
      <w:r w:rsidRPr="00D5464D">
        <w:rPr>
          <w:rFonts w:cs="Arial"/>
          <w:szCs w:val="20"/>
          <w:lang w:val="pt-BR"/>
        </w:rPr>
        <w:t>ção</w:t>
      </w:r>
      <w:r w:rsidR="00E045D9" w:rsidRPr="00D5464D">
        <w:rPr>
          <w:rFonts w:cs="Arial"/>
          <w:szCs w:val="20"/>
          <w:lang w:val="pt-BR"/>
        </w:rPr>
        <w:t xml:space="preserve"> e </w:t>
      </w:r>
      <w:r w:rsidR="00D73840" w:rsidRPr="00D5464D">
        <w:rPr>
          <w:rFonts w:cs="Arial"/>
          <w:szCs w:val="20"/>
          <w:lang w:val="pt-BR"/>
        </w:rPr>
        <w:t xml:space="preserve">punição </w:t>
      </w:r>
      <w:r w:rsidRPr="00D5464D">
        <w:rPr>
          <w:rFonts w:cs="Arial"/>
          <w:szCs w:val="20"/>
          <w:lang w:val="pt-BR"/>
        </w:rPr>
        <w:t xml:space="preserve">dos </w:t>
      </w:r>
      <w:r w:rsidR="002C330E" w:rsidRPr="00D5464D">
        <w:rPr>
          <w:rFonts w:cs="Arial"/>
          <w:szCs w:val="20"/>
          <w:lang w:val="pt-BR"/>
        </w:rPr>
        <w:t>responsáveis</w:t>
      </w:r>
      <w:r w:rsidR="00E045D9" w:rsidRPr="00D5464D">
        <w:rPr>
          <w:rFonts w:cs="Arial"/>
          <w:szCs w:val="20"/>
          <w:lang w:val="pt-BR"/>
        </w:rPr>
        <w:t xml:space="preserve"> e </w:t>
      </w:r>
      <w:r w:rsidR="00D73840" w:rsidRPr="00D5464D">
        <w:rPr>
          <w:rFonts w:cs="Arial"/>
          <w:szCs w:val="20"/>
          <w:lang w:val="pt-BR"/>
        </w:rPr>
        <w:t xml:space="preserve">para </w:t>
      </w:r>
      <w:r w:rsidR="002C330E" w:rsidRPr="00D5464D">
        <w:rPr>
          <w:rFonts w:cs="Arial"/>
          <w:szCs w:val="20"/>
          <w:lang w:val="pt-BR"/>
        </w:rPr>
        <w:t xml:space="preserve">a </w:t>
      </w:r>
      <w:r w:rsidR="00D81AA1" w:rsidRPr="00D5464D">
        <w:rPr>
          <w:rFonts w:cs="Arial"/>
          <w:szCs w:val="20"/>
          <w:lang w:val="pt-BR"/>
        </w:rPr>
        <w:t>repara</w:t>
      </w:r>
      <w:r w:rsidRPr="00D5464D">
        <w:rPr>
          <w:rFonts w:cs="Arial"/>
          <w:szCs w:val="20"/>
          <w:lang w:val="pt-BR"/>
        </w:rPr>
        <w:t xml:space="preserve">ção das </w:t>
      </w:r>
      <w:r w:rsidR="00E045D9" w:rsidRPr="00D5464D">
        <w:rPr>
          <w:rFonts w:cs="Arial"/>
          <w:szCs w:val="20"/>
          <w:lang w:val="pt-BR"/>
        </w:rPr>
        <w:t>vítima</w:t>
      </w:r>
      <w:r w:rsidR="00D81AA1" w:rsidRPr="00D5464D">
        <w:rPr>
          <w:rFonts w:cs="Arial"/>
          <w:szCs w:val="20"/>
          <w:lang w:val="pt-BR"/>
        </w:rPr>
        <w:t>s,</w:t>
      </w:r>
      <w:r w:rsidR="00737270" w:rsidRPr="00D5464D">
        <w:rPr>
          <w:rFonts w:cs="Arial"/>
          <w:szCs w:val="20"/>
          <w:lang w:val="pt-BR"/>
        </w:rPr>
        <w:t xml:space="preserve"> apesar </w:t>
      </w:r>
      <w:r w:rsidRPr="00D5464D">
        <w:rPr>
          <w:rFonts w:cs="Arial"/>
          <w:szCs w:val="20"/>
          <w:lang w:val="pt-BR"/>
        </w:rPr>
        <w:t>do caráter</w:t>
      </w:r>
      <w:r w:rsidR="00D81AA1" w:rsidRPr="00D5464D">
        <w:rPr>
          <w:rFonts w:cs="Arial"/>
          <w:szCs w:val="20"/>
          <w:lang w:val="pt-BR"/>
        </w:rPr>
        <w:t xml:space="preserve"> de </w:t>
      </w:r>
      <w:r w:rsidR="003E16F6" w:rsidRPr="00D5464D">
        <w:rPr>
          <w:rFonts w:cs="Arial"/>
          <w:szCs w:val="20"/>
          <w:lang w:val="pt-BR"/>
        </w:rPr>
        <w:t xml:space="preserve">delito de </w:t>
      </w:r>
      <w:r w:rsidR="00E765C2" w:rsidRPr="00D5464D">
        <w:rPr>
          <w:rFonts w:cs="Arial"/>
          <w:szCs w:val="20"/>
          <w:lang w:val="pt-BR"/>
        </w:rPr>
        <w:t>Direito Internacional</w:t>
      </w:r>
      <w:r w:rsidR="003E16F6" w:rsidRPr="00D5464D">
        <w:rPr>
          <w:rFonts w:cs="Arial"/>
          <w:szCs w:val="20"/>
          <w:lang w:val="pt-BR"/>
        </w:rPr>
        <w:t xml:space="preserve"> </w:t>
      </w:r>
      <w:r w:rsidR="00D81AA1" w:rsidRPr="00D5464D">
        <w:rPr>
          <w:rFonts w:cs="Arial"/>
          <w:szCs w:val="20"/>
          <w:lang w:val="pt-BR"/>
        </w:rPr>
        <w:t xml:space="preserve">que </w:t>
      </w:r>
      <w:r w:rsidR="002C330E" w:rsidRPr="00D5464D">
        <w:rPr>
          <w:rFonts w:cs="Arial"/>
          <w:szCs w:val="20"/>
          <w:lang w:val="pt-BR"/>
        </w:rPr>
        <w:t>os fatos</w:t>
      </w:r>
      <w:r w:rsidR="00D81AA1" w:rsidRPr="00D5464D">
        <w:rPr>
          <w:rFonts w:cs="Arial"/>
          <w:szCs w:val="20"/>
          <w:lang w:val="pt-BR"/>
        </w:rPr>
        <w:t xml:space="preserve"> denunciados</w:t>
      </w:r>
      <w:r w:rsidR="00D73840" w:rsidRPr="00D5464D">
        <w:rPr>
          <w:rFonts w:cs="Arial"/>
          <w:szCs w:val="20"/>
          <w:lang w:val="pt-BR"/>
        </w:rPr>
        <w:t xml:space="preserve"> representavam</w:t>
      </w:r>
      <w:r w:rsidR="00D81AA1" w:rsidRPr="00D5464D">
        <w:rPr>
          <w:rFonts w:cs="Arial"/>
          <w:szCs w:val="20"/>
          <w:lang w:val="pt-BR"/>
        </w:rPr>
        <w:t xml:space="preserve">. </w:t>
      </w:r>
    </w:p>
    <w:p w14:paraId="231E8168" w14:textId="77777777" w:rsidR="00D81AA1" w:rsidRPr="00D5464D" w:rsidRDefault="00D81AA1" w:rsidP="00D81AA1">
      <w:pPr>
        <w:jc w:val="both"/>
        <w:rPr>
          <w:rFonts w:cs="Arial"/>
          <w:szCs w:val="20"/>
          <w:lang w:val="pt-BR"/>
        </w:rPr>
      </w:pPr>
    </w:p>
    <w:p w14:paraId="64572A9A" w14:textId="7C3DF44A" w:rsidR="00D81AA1" w:rsidRPr="00D5464D" w:rsidRDefault="00D81AA1" w:rsidP="00F306D7">
      <w:pPr>
        <w:pStyle w:val="Prrafodelista"/>
        <w:numPr>
          <w:ilvl w:val="0"/>
          <w:numId w:val="24"/>
        </w:numPr>
        <w:autoSpaceDE w:val="0"/>
        <w:autoSpaceDN w:val="0"/>
        <w:adjustRightInd w:val="0"/>
        <w:rPr>
          <w:rFonts w:cs="Arial"/>
          <w:i/>
          <w:szCs w:val="20"/>
          <w:lang w:val="pt-BR"/>
        </w:rPr>
      </w:pPr>
      <w:r w:rsidRPr="00D5464D">
        <w:rPr>
          <w:rFonts w:cs="Arial"/>
          <w:i/>
          <w:szCs w:val="20"/>
          <w:lang w:val="pt-BR"/>
        </w:rPr>
        <w:t>Alegada discrimina</w:t>
      </w:r>
      <w:r w:rsidR="00470ADC" w:rsidRPr="00D5464D">
        <w:rPr>
          <w:rFonts w:cs="Arial"/>
          <w:i/>
          <w:szCs w:val="20"/>
          <w:lang w:val="pt-BR"/>
        </w:rPr>
        <w:t>ção</w:t>
      </w:r>
      <w:r w:rsidR="00E045D9" w:rsidRPr="00D5464D">
        <w:rPr>
          <w:rFonts w:cs="Arial"/>
          <w:i/>
          <w:szCs w:val="20"/>
          <w:lang w:val="pt-BR"/>
        </w:rPr>
        <w:t xml:space="preserve"> no </w:t>
      </w:r>
      <w:r w:rsidR="00470ADC" w:rsidRPr="00D5464D">
        <w:rPr>
          <w:rFonts w:cs="Arial"/>
          <w:i/>
          <w:szCs w:val="20"/>
          <w:lang w:val="pt-BR"/>
        </w:rPr>
        <w:t xml:space="preserve">acesso à </w:t>
      </w:r>
      <w:r w:rsidR="002C330E" w:rsidRPr="00D5464D">
        <w:rPr>
          <w:rFonts w:cs="Arial"/>
          <w:i/>
          <w:szCs w:val="20"/>
          <w:lang w:val="pt-BR"/>
        </w:rPr>
        <w:t>justiça</w:t>
      </w:r>
    </w:p>
    <w:p w14:paraId="549F7718" w14:textId="77777777" w:rsidR="00DE3E58" w:rsidRPr="00D5464D" w:rsidRDefault="00DE3E58" w:rsidP="00DE3E58">
      <w:pPr>
        <w:pStyle w:val="Prrafodelista"/>
        <w:ind w:left="0"/>
        <w:contextualSpacing w:val="0"/>
        <w:rPr>
          <w:rFonts w:cs="Arial"/>
          <w:szCs w:val="20"/>
          <w:lang w:val="pt-BR"/>
        </w:rPr>
      </w:pPr>
    </w:p>
    <w:p w14:paraId="46B24E5A" w14:textId="5FF92F22" w:rsidR="00D81AA1" w:rsidRPr="00D5464D" w:rsidRDefault="00470ADC" w:rsidP="00D81AA1">
      <w:pPr>
        <w:pStyle w:val="Prrafodelista"/>
        <w:numPr>
          <w:ilvl w:val="0"/>
          <w:numId w:val="1"/>
        </w:numPr>
        <w:contextualSpacing w:val="0"/>
        <w:rPr>
          <w:rFonts w:cs="Arial"/>
          <w:szCs w:val="20"/>
          <w:lang w:val="pt-BR"/>
        </w:rPr>
      </w:pPr>
      <w:r w:rsidRPr="00D5464D">
        <w:rPr>
          <w:rFonts w:cs="Arial"/>
          <w:szCs w:val="20"/>
          <w:lang w:val="pt-BR"/>
        </w:rPr>
        <w:t xml:space="preserve">A </w:t>
      </w:r>
      <w:r w:rsidR="00D81AA1" w:rsidRPr="00D5464D">
        <w:rPr>
          <w:rFonts w:cs="Arial"/>
          <w:szCs w:val="20"/>
          <w:lang w:val="pt-BR"/>
        </w:rPr>
        <w:t xml:space="preserve">Corte </w:t>
      </w:r>
      <w:r w:rsidR="00E045D9" w:rsidRPr="00D5464D">
        <w:rPr>
          <w:rFonts w:cs="Arial"/>
          <w:szCs w:val="20"/>
          <w:lang w:val="pt-BR"/>
        </w:rPr>
        <w:t>recorda</w:t>
      </w:r>
      <w:r w:rsidR="00D81AA1" w:rsidRPr="00D5464D">
        <w:rPr>
          <w:rFonts w:cs="Arial"/>
          <w:szCs w:val="20"/>
          <w:lang w:val="pt-BR"/>
        </w:rPr>
        <w:t xml:space="preserve"> que</w:t>
      </w:r>
      <w:r w:rsidR="002C330E" w:rsidRPr="00D5464D">
        <w:rPr>
          <w:rFonts w:cs="Arial"/>
          <w:szCs w:val="20"/>
          <w:lang w:val="pt-BR"/>
        </w:rPr>
        <w:t xml:space="preserve"> a </w:t>
      </w:r>
      <w:r w:rsidRPr="00D5464D">
        <w:rPr>
          <w:rFonts w:cs="Arial"/>
          <w:szCs w:val="20"/>
          <w:lang w:val="pt-BR"/>
        </w:rPr>
        <w:t>Comissão</w:t>
      </w:r>
      <w:r w:rsidR="00D81AA1" w:rsidRPr="00D5464D">
        <w:rPr>
          <w:rFonts w:cs="Arial"/>
          <w:szCs w:val="20"/>
          <w:lang w:val="pt-BR"/>
        </w:rPr>
        <w:t xml:space="preserve"> </w:t>
      </w:r>
      <w:r w:rsidR="002C330E" w:rsidRPr="00D5464D">
        <w:rPr>
          <w:rFonts w:cs="Arial"/>
          <w:szCs w:val="20"/>
          <w:lang w:val="pt-BR"/>
        </w:rPr>
        <w:t>afirmou</w:t>
      </w:r>
      <w:r w:rsidR="00D81AA1" w:rsidRPr="00D5464D">
        <w:rPr>
          <w:rFonts w:cs="Arial"/>
          <w:szCs w:val="20"/>
          <w:lang w:val="pt-BR"/>
        </w:rPr>
        <w:t xml:space="preserve"> que</w:t>
      </w:r>
      <w:r w:rsidR="00E045D9" w:rsidRPr="00D5464D">
        <w:rPr>
          <w:rFonts w:cs="Arial"/>
          <w:szCs w:val="20"/>
          <w:lang w:val="pt-BR"/>
        </w:rPr>
        <w:t xml:space="preserve"> n</w:t>
      </w:r>
      <w:r w:rsidR="00D73840" w:rsidRPr="00D5464D">
        <w:rPr>
          <w:rFonts w:cs="Arial"/>
          <w:szCs w:val="20"/>
          <w:lang w:val="pt-BR"/>
        </w:rPr>
        <w:t xml:space="preserve">este </w:t>
      </w:r>
      <w:r w:rsidR="00D81AA1" w:rsidRPr="00D5464D">
        <w:rPr>
          <w:rFonts w:cs="Arial"/>
          <w:szCs w:val="20"/>
          <w:lang w:val="pt-BR"/>
        </w:rPr>
        <w:t xml:space="preserve">caso </w:t>
      </w:r>
      <w:r w:rsidR="00D73840" w:rsidRPr="00D5464D">
        <w:rPr>
          <w:rFonts w:cs="Arial"/>
          <w:szCs w:val="20"/>
          <w:lang w:val="pt-BR"/>
        </w:rPr>
        <w:t xml:space="preserve">estão exemplificadas </w:t>
      </w:r>
      <w:r w:rsidRPr="00D5464D">
        <w:rPr>
          <w:rFonts w:cs="Arial"/>
          <w:szCs w:val="20"/>
          <w:lang w:val="pt-BR"/>
        </w:rPr>
        <w:t>ações</w:t>
      </w:r>
      <w:r w:rsidR="00D81AA1" w:rsidRPr="00D5464D">
        <w:rPr>
          <w:rFonts w:cs="Arial"/>
          <w:szCs w:val="20"/>
          <w:lang w:val="pt-BR"/>
        </w:rPr>
        <w:t xml:space="preserve"> concretas</w:t>
      </w:r>
      <w:r w:rsidR="00E045D9" w:rsidRPr="00D5464D">
        <w:rPr>
          <w:rFonts w:cs="Arial"/>
          <w:szCs w:val="20"/>
          <w:lang w:val="pt-BR"/>
        </w:rPr>
        <w:t xml:space="preserve"> no </w:t>
      </w:r>
      <w:r w:rsidRPr="00D5464D">
        <w:rPr>
          <w:rFonts w:cs="Arial"/>
          <w:szCs w:val="20"/>
          <w:lang w:val="pt-BR"/>
        </w:rPr>
        <w:t xml:space="preserve">acesso à </w:t>
      </w:r>
      <w:r w:rsidR="002C330E" w:rsidRPr="00D5464D">
        <w:rPr>
          <w:rFonts w:cs="Arial"/>
          <w:szCs w:val="20"/>
          <w:lang w:val="pt-BR"/>
        </w:rPr>
        <w:t>justiça</w:t>
      </w:r>
      <w:r w:rsidR="00D81AA1" w:rsidRPr="00D5464D">
        <w:rPr>
          <w:rFonts w:cs="Arial"/>
          <w:szCs w:val="20"/>
          <w:lang w:val="pt-BR"/>
        </w:rPr>
        <w:t xml:space="preserve"> que se </w:t>
      </w:r>
      <w:r w:rsidRPr="00D5464D">
        <w:rPr>
          <w:rFonts w:cs="Arial"/>
          <w:szCs w:val="20"/>
          <w:lang w:val="pt-BR"/>
        </w:rPr>
        <w:t>enquadram</w:t>
      </w:r>
      <w:r w:rsidR="00D81AA1" w:rsidRPr="00D5464D">
        <w:rPr>
          <w:rFonts w:cs="Arial"/>
          <w:szCs w:val="20"/>
          <w:lang w:val="pt-BR"/>
        </w:rPr>
        <w:t xml:space="preserve"> dentro de</w:t>
      </w:r>
      <w:r w:rsidR="00E045D9" w:rsidRPr="00D5464D">
        <w:rPr>
          <w:rFonts w:cs="Arial"/>
          <w:szCs w:val="20"/>
          <w:lang w:val="pt-BR"/>
        </w:rPr>
        <w:t xml:space="preserve"> uma </w:t>
      </w:r>
      <w:r w:rsidR="00F144E7" w:rsidRPr="00D5464D">
        <w:rPr>
          <w:rFonts w:cs="Arial"/>
          <w:szCs w:val="20"/>
          <w:lang w:val="pt-BR"/>
        </w:rPr>
        <w:t>situa</w:t>
      </w:r>
      <w:r w:rsidRPr="00D5464D">
        <w:rPr>
          <w:rFonts w:cs="Arial"/>
          <w:szCs w:val="20"/>
          <w:lang w:val="pt-BR"/>
        </w:rPr>
        <w:t>ção</w:t>
      </w:r>
      <w:r w:rsidR="00F144E7" w:rsidRPr="00D5464D">
        <w:rPr>
          <w:rFonts w:cs="Arial"/>
          <w:szCs w:val="20"/>
          <w:lang w:val="pt-BR"/>
        </w:rPr>
        <w:t xml:space="preserve"> de </w:t>
      </w:r>
      <w:r w:rsidR="00D81AA1" w:rsidRPr="00D5464D">
        <w:rPr>
          <w:rFonts w:cs="Arial"/>
          <w:szCs w:val="20"/>
          <w:lang w:val="pt-BR"/>
        </w:rPr>
        <w:t>discrimina</w:t>
      </w:r>
      <w:r w:rsidRPr="00D5464D">
        <w:rPr>
          <w:rFonts w:cs="Arial"/>
          <w:szCs w:val="20"/>
          <w:lang w:val="pt-BR"/>
        </w:rPr>
        <w:t>ção</w:t>
      </w:r>
      <w:r w:rsidR="00D81AA1" w:rsidRPr="00D5464D">
        <w:rPr>
          <w:rFonts w:cs="Arial"/>
          <w:szCs w:val="20"/>
          <w:lang w:val="pt-BR"/>
        </w:rPr>
        <w:t xml:space="preserve"> </w:t>
      </w:r>
      <w:r w:rsidRPr="00D5464D">
        <w:rPr>
          <w:rFonts w:cs="Arial"/>
          <w:szCs w:val="20"/>
          <w:lang w:val="pt-BR"/>
        </w:rPr>
        <w:t>estrutura</w:t>
      </w:r>
      <w:r w:rsidR="00D81AA1" w:rsidRPr="00D5464D">
        <w:rPr>
          <w:rFonts w:cs="Arial"/>
          <w:szCs w:val="20"/>
          <w:lang w:val="pt-BR"/>
        </w:rPr>
        <w:t xml:space="preserve">l, </w:t>
      </w:r>
      <w:r w:rsidR="002C330E" w:rsidRPr="00D5464D">
        <w:rPr>
          <w:rFonts w:cs="Arial"/>
          <w:szCs w:val="20"/>
          <w:lang w:val="pt-BR"/>
        </w:rPr>
        <w:t xml:space="preserve">posto </w:t>
      </w:r>
      <w:r w:rsidR="00D81AA1" w:rsidRPr="00D5464D">
        <w:rPr>
          <w:rFonts w:cs="Arial"/>
          <w:szCs w:val="20"/>
          <w:lang w:val="pt-BR"/>
        </w:rPr>
        <w:t xml:space="preserve">que </w:t>
      </w:r>
      <w:r w:rsidR="00350187" w:rsidRPr="00D5464D">
        <w:rPr>
          <w:rFonts w:cs="Arial"/>
          <w:szCs w:val="20"/>
          <w:lang w:val="pt-BR"/>
        </w:rPr>
        <w:t xml:space="preserve">não apenas </w:t>
      </w:r>
      <w:r w:rsidR="00D73840" w:rsidRPr="00D5464D">
        <w:rPr>
          <w:rFonts w:cs="Arial"/>
          <w:szCs w:val="20"/>
          <w:lang w:val="pt-BR"/>
        </w:rPr>
        <w:t xml:space="preserve">não foram abertos </w:t>
      </w:r>
      <w:r w:rsidR="002C330E" w:rsidRPr="00D5464D">
        <w:rPr>
          <w:rFonts w:cs="Arial"/>
          <w:szCs w:val="20"/>
          <w:lang w:val="pt-BR"/>
        </w:rPr>
        <w:t>processo</w:t>
      </w:r>
      <w:r w:rsidR="00D81AA1" w:rsidRPr="00D5464D">
        <w:rPr>
          <w:rFonts w:cs="Arial"/>
          <w:szCs w:val="20"/>
          <w:lang w:val="pt-BR"/>
        </w:rPr>
        <w:t xml:space="preserve">s </w:t>
      </w:r>
      <w:r w:rsidR="002C330E" w:rsidRPr="00D5464D">
        <w:rPr>
          <w:rFonts w:cs="Arial"/>
          <w:szCs w:val="20"/>
          <w:lang w:val="pt-BR"/>
        </w:rPr>
        <w:t>penais</w:t>
      </w:r>
      <w:r w:rsidR="00D81AA1" w:rsidRPr="00D5464D">
        <w:rPr>
          <w:rFonts w:cs="Arial"/>
          <w:szCs w:val="20"/>
          <w:lang w:val="pt-BR"/>
        </w:rPr>
        <w:t xml:space="preserve"> </w:t>
      </w:r>
      <w:r w:rsidRPr="00D5464D">
        <w:rPr>
          <w:rFonts w:cs="Arial"/>
          <w:szCs w:val="20"/>
          <w:lang w:val="pt-BR"/>
        </w:rPr>
        <w:t>quando</w:t>
      </w:r>
      <w:r w:rsidR="00E045D9" w:rsidRPr="00D5464D">
        <w:rPr>
          <w:rFonts w:cs="Arial"/>
          <w:szCs w:val="20"/>
          <w:lang w:val="pt-BR"/>
        </w:rPr>
        <w:t xml:space="preserve"> as </w:t>
      </w:r>
      <w:r w:rsidR="0031040E" w:rsidRPr="00D5464D">
        <w:rPr>
          <w:rFonts w:cs="Arial"/>
          <w:szCs w:val="20"/>
          <w:lang w:val="pt-BR"/>
        </w:rPr>
        <w:t>fiscalizações</w:t>
      </w:r>
      <w:r w:rsidRPr="00D5464D">
        <w:rPr>
          <w:rFonts w:cs="Arial"/>
          <w:szCs w:val="20"/>
          <w:lang w:val="pt-BR"/>
        </w:rPr>
        <w:t xml:space="preserve"> à </w:t>
      </w:r>
      <w:r w:rsidR="00D809F0" w:rsidRPr="00D5464D">
        <w:rPr>
          <w:rFonts w:cs="Arial"/>
          <w:szCs w:val="20"/>
          <w:lang w:val="pt-BR"/>
        </w:rPr>
        <w:t>Fazenda</w:t>
      </w:r>
      <w:r w:rsidR="00F144E7" w:rsidRPr="00D5464D">
        <w:rPr>
          <w:rFonts w:cs="Arial"/>
          <w:szCs w:val="20"/>
          <w:lang w:val="pt-BR"/>
        </w:rPr>
        <w:t xml:space="preserve"> Brasil Verde</w:t>
      </w:r>
      <w:r w:rsidR="00D81AA1" w:rsidRPr="00D5464D">
        <w:rPr>
          <w:rFonts w:cs="Arial"/>
          <w:szCs w:val="20"/>
          <w:lang w:val="pt-BR"/>
        </w:rPr>
        <w:t xml:space="preserve"> </w:t>
      </w:r>
      <w:r w:rsidR="00E045D9" w:rsidRPr="00D5464D">
        <w:rPr>
          <w:rFonts w:cs="Arial"/>
          <w:szCs w:val="20"/>
          <w:lang w:val="pt-BR"/>
        </w:rPr>
        <w:t>encontraram</w:t>
      </w:r>
      <w:r w:rsidR="00D81AA1" w:rsidRPr="00D5464D">
        <w:rPr>
          <w:rFonts w:cs="Arial"/>
          <w:szCs w:val="20"/>
          <w:lang w:val="pt-BR"/>
        </w:rPr>
        <w:t xml:space="preserve"> irregularidades </w:t>
      </w:r>
      <w:r w:rsidR="00D73840" w:rsidRPr="00D5464D">
        <w:rPr>
          <w:rFonts w:cs="Arial"/>
          <w:szCs w:val="20"/>
          <w:lang w:val="pt-BR"/>
        </w:rPr>
        <w:t>trabalhistas</w:t>
      </w:r>
      <w:r w:rsidR="00D81AA1" w:rsidRPr="00D5464D">
        <w:rPr>
          <w:rFonts w:cs="Arial"/>
          <w:szCs w:val="20"/>
          <w:lang w:val="pt-BR"/>
        </w:rPr>
        <w:t>,</w:t>
      </w:r>
      <w:r w:rsidR="002C330E" w:rsidRPr="00D5464D">
        <w:rPr>
          <w:rFonts w:cs="Arial"/>
          <w:szCs w:val="20"/>
          <w:lang w:val="pt-BR"/>
        </w:rPr>
        <w:t xml:space="preserve"> mas </w:t>
      </w:r>
      <w:r w:rsidR="00D81AA1" w:rsidRPr="00D5464D">
        <w:rPr>
          <w:rFonts w:cs="Arial"/>
          <w:szCs w:val="20"/>
          <w:lang w:val="pt-BR"/>
        </w:rPr>
        <w:t>que</w:t>
      </w:r>
      <w:r w:rsidR="00D73840" w:rsidRPr="00D5464D">
        <w:rPr>
          <w:rFonts w:cs="Arial"/>
          <w:szCs w:val="20"/>
          <w:lang w:val="pt-BR"/>
        </w:rPr>
        <w:t>,</w:t>
      </w:r>
      <w:r w:rsidRPr="00D5464D">
        <w:rPr>
          <w:rFonts w:cs="Arial"/>
          <w:szCs w:val="20"/>
          <w:lang w:val="pt-BR"/>
        </w:rPr>
        <w:t xml:space="preserve"> </w:t>
      </w:r>
      <w:r w:rsidR="00C176E3" w:rsidRPr="00D5464D">
        <w:rPr>
          <w:rFonts w:cs="Arial"/>
          <w:szCs w:val="20"/>
          <w:lang w:val="pt-BR"/>
        </w:rPr>
        <w:t>mesmo ao</w:t>
      </w:r>
      <w:r w:rsidRPr="00D5464D">
        <w:rPr>
          <w:rFonts w:cs="Arial"/>
          <w:szCs w:val="20"/>
          <w:lang w:val="pt-BR"/>
        </w:rPr>
        <w:t xml:space="preserve"> </w:t>
      </w:r>
      <w:r w:rsidR="00D73840" w:rsidRPr="00D5464D">
        <w:rPr>
          <w:rFonts w:cs="Arial"/>
          <w:szCs w:val="20"/>
          <w:lang w:val="pt-BR"/>
        </w:rPr>
        <w:t xml:space="preserve">iniciar </w:t>
      </w:r>
      <w:r w:rsidR="002C330E" w:rsidRPr="00D5464D">
        <w:rPr>
          <w:rFonts w:cs="Arial"/>
          <w:szCs w:val="20"/>
          <w:lang w:val="pt-BR"/>
        </w:rPr>
        <w:t>processo</w:t>
      </w:r>
      <w:r w:rsidR="00D81AA1" w:rsidRPr="00D5464D">
        <w:rPr>
          <w:rFonts w:cs="Arial"/>
          <w:szCs w:val="20"/>
          <w:lang w:val="pt-BR"/>
        </w:rPr>
        <w:t xml:space="preserve">s </w:t>
      </w:r>
      <w:r w:rsidR="00D73840" w:rsidRPr="00D5464D">
        <w:rPr>
          <w:rFonts w:cs="Arial"/>
          <w:szCs w:val="20"/>
          <w:lang w:val="pt-BR"/>
        </w:rPr>
        <w:t xml:space="preserve">trabalhistas, chegou-se </w:t>
      </w:r>
      <w:r w:rsidR="00D81AA1" w:rsidRPr="00D5464D">
        <w:rPr>
          <w:rFonts w:cs="Arial"/>
          <w:szCs w:val="20"/>
          <w:lang w:val="pt-BR"/>
        </w:rPr>
        <w:t>a</w:t>
      </w:r>
      <w:r w:rsidR="00E045D9" w:rsidRPr="00D5464D">
        <w:rPr>
          <w:rFonts w:cs="Arial"/>
          <w:szCs w:val="20"/>
          <w:lang w:val="pt-BR"/>
        </w:rPr>
        <w:t xml:space="preserve"> um </w:t>
      </w:r>
      <w:r w:rsidRPr="00D5464D">
        <w:rPr>
          <w:rFonts w:cs="Arial"/>
          <w:szCs w:val="20"/>
          <w:lang w:val="pt-BR"/>
        </w:rPr>
        <w:t>acordo</w:t>
      </w:r>
      <w:r w:rsidR="00D81AA1" w:rsidRPr="00D5464D">
        <w:rPr>
          <w:rFonts w:cs="Arial"/>
          <w:szCs w:val="20"/>
          <w:lang w:val="pt-BR"/>
        </w:rPr>
        <w:t xml:space="preserve"> </w:t>
      </w:r>
      <w:r w:rsidRPr="00D5464D">
        <w:rPr>
          <w:rFonts w:cs="Arial"/>
          <w:szCs w:val="20"/>
          <w:lang w:val="pt-BR"/>
        </w:rPr>
        <w:t xml:space="preserve">conciliatório com o </w:t>
      </w:r>
      <w:r w:rsidR="00230C71" w:rsidRPr="00D5464D">
        <w:rPr>
          <w:rFonts w:cs="Arial"/>
          <w:szCs w:val="20"/>
          <w:lang w:val="pt-BR"/>
        </w:rPr>
        <w:t>proprietário</w:t>
      </w:r>
      <w:r w:rsidRPr="00D5464D">
        <w:rPr>
          <w:rFonts w:cs="Arial"/>
          <w:szCs w:val="20"/>
          <w:lang w:val="pt-BR"/>
        </w:rPr>
        <w:t xml:space="preserve"> da </w:t>
      </w:r>
      <w:r w:rsidR="00D809F0" w:rsidRPr="00D5464D">
        <w:rPr>
          <w:rFonts w:cs="Arial"/>
          <w:szCs w:val="20"/>
          <w:lang w:val="pt-BR"/>
        </w:rPr>
        <w:t>Fazenda</w:t>
      </w:r>
      <w:r w:rsidR="00D81AA1" w:rsidRPr="00D5464D">
        <w:rPr>
          <w:rFonts w:cs="Arial"/>
          <w:szCs w:val="20"/>
          <w:lang w:val="pt-BR"/>
        </w:rPr>
        <w:t>,</w:t>
      </w:r>
      <w:r w:rsidR="002C330E" w:rsidRPr="00D5464D">
        <w:rPr>
          <w:rFonts w:cs="Arial"/>
          <w:szCs w:val="20"/>
          <w:lang w:val="pt-BR"/>
        </w:rPr>
        <w:t xml:space="preserve"> sem </w:t>
      </w:r>
      <w:r w:rsidR="00D73840" w:rsidRPr="00D5464D">
        <w:rPr>
          <w:rFonts w:cs="Arial"/>
          <w:szCs w:val="20"/>
          <w:lang w:val="pt-BR"/>
        </w:rPr>
        <w:t xml:space="preserve">levar </w:t>
      </w:r>
      <w:r w:rsidRPr="00D5464D">
        <w:rPr>
          <w:rFonts w:cs="Arial"/>
          <w:szCs w:val="20"/>
          <w:lang w:val="pt-BR"/>
        </w:rPr>
        <w:t xml:space="preserve">em </w:t>
      </w:r>
      <w:r w:rsidR="00D81AA1" w:rsidRPr="00D5464D">
        <w:rPr>
          <w:rFonts w:cs="Arial"/>
          <w:szCs w:val="20"/>
          <w:lang w:val="pt-BR"/>
        </w:rPr>
        <w:t>considera</w:t>
      </w:r>
      <w:r w:rsidRPr="00D5464D">
        <w:rPr>
          <w:rFonts w:cs="Arial"/>
          <w:szCs w:val="20"/>
          <w:lang w:val="pt-BR"/>
        </w:rPr>
        <w:t>ção</w:t>
      </w:r>
      <w:r w:rsidR="00E045D9" w:rsidRPr="00D5464D">
        <w:rPr>
          <w:rFonts w:cs="Arial"/>
          <w:szCs w:val="20"/>
          <w:lang w:val="pt-BR"/>
        </w:rPr>
        <w:t xml:space="preserve"> </w:t>
      </w:r>
      <w:r w:rsidR="00D73840" w:rsidRPr="00D5464D">
        <w:rPr>
          <w:rFonts w:cs="Arial"/>
          <w:szCs w:val="20"/>
          <w:lang w:val="pt-BR"/>
        </w:rPr>
        <w:t>à</w:t>
      </w:r>
      <w:r w:rsidR="00E045D9" w:rsidRPr="00D5464D">
        <w:rPr>
          <w:rFonts w:cs="Arial"/>
          <w:szCs w:val="20"/>
          <w:lang w:val="pt-BR"/>
        </w:rPr>
        <w:t>s vítima</w:t>
      </w:r>
      <w:r w:rsidR="00D81AA1" w:rsidRPr="00D5464D">
        <w:rPr>
          <w:rFonts w:cs="Arial"/>
          <w:szCs w:val="20"/>
          <w:lang w:val="pt-BR"/>
        </w:rPr>
        <w:t xml:space="preserve">s. </w:t>
      </w:r>
      <w:r w:rsidRPr="00D5464D">
        <w:rPr>
          <w:rFonts w:cs="Arial"/>
          <w:szCs w:val="20"/>
          <w:lang w:val="pt-BR"/>
        </w:rPr>
        <w:t>Ademais</w:t>
      </w:r>
      <w:r w:rsidR="00D81AA1" w:rsidRPr="00D5464D">
        <w:rPr>
          <w:rFonts w:cs="Arial"/>
          <w:szCs w:val="20"/>
          <w:lang w:val="pt-BR"/>
        </w:rPr>
        <w:t>,</w:t>
      </w:r>
      <w:r w:rsidR="002C330E" w:rsidRPr="00D5464D">
        <w:rPr>
          <w:rFonts w:cs="Arial"/>
          <w:szCs w:val="20"/>
          <w:lang w:val="pt-BR"/>
        </w:rPr>
        <w:t xml:space="preserve"> os </w:t>
      </w:r>
      <w:r w:rsidR="00EB1CE9" w:rsidRPr="00D5464D">
        <w:rPr>
          <w:rFonts w:cs="Arial"/>
          <w:szCs w:val="20"/>
          <w:lang w:val="pt-BR"/>
        </w:rPr>
        <w:t>representante</w:t>
      </w:r>
      <w:r w:rsidR="00D81AA1" w:rsidRPr="00D5464D">
        <w:rPr>
          <w:rFonts w:cs="Arial"/>
          <w:szCs w:val="20"/>
          <w:lang w:val="pt-BR"/>
        </w:rPr>
        <w:t xml:space="preserve">s </w:t>
      </w:r>
      <w:r w:rsidR="002C330E" w:rsidRPr="00D5464D">
        <w:rPr>
          <w:rFonts w:cs="Arial"/>
          <w:szCs w:val="20"/>
          <w:lang w:val="pt-BR"/>
        </w:rPr>
        <w:t>indicaram</w:t>
      </w:r>
      <w:r w:rsidR="00D81AA1" w:rsidRPr="00D5464D">
        <w:rPr>
          <w:rFonts w:cs="Arial"/>
          <w:szCs w:val="20"/>
          <w:lang w:val="pt-BR"/>
        </w:rPr>
        <w:t xml:space="preserve"> que</w:t>
      </w:r>
      <w:r w:rsidR="002C330E" w:rsidRPr="00D5464D">
        <w:rPr>
          <w:rFonts w:cs="Arial"/>
          <w:szCs w:val="20"/>
          <w:lang w:val="pt-BR"/>
        </w:rPr>
        <w:t xml:space="preserve"> a </w:t>
      </w:r>
      <w:r w:rsidR="00D81AA1" w:rsidRPr="00D5464D">
        <w:rPr>
          <w:rFonts w:cs="Arial"/>
          <w:szCs w:val="20"/>
          <w:lang w:val="pt-BR"/>
        </w:rPr>
        <w:t xml:space="preserve">falta de </w:t>
      </w:r>
      <w:r w:rsidR="00737270" w:rsidRPr="00D5464D">
        <w:rPr>
          <w:rFonts w:cs="Arial"/>
          <w:szCs w:val="20"/>
          <w:lang w:val="pt-BR"/>
        </w:rPr>
        <w:t>atuação</w:t>
      </w:r>
      <w:r w:rsidR="00D81AA1" w:rsidRPr="00D5464D">
        <w:rPr>
          <w:rFonts w:cs="Arial"/>
          <w:szCs w:val="20"/>
          <w:lang w:val="pt-BR"/>
        </w:rPr>
        <w:t xml:space="preserve"> </w:t>
      </w:r>
      <w:r w:rsidRPr="00D5464D">
        <w:rPr>
          <w:rFonts w:cs="Arial"/>
          <w:szCs w:val="20"/>
          <w:lang w:val="pt-BR"/>
        </w:rPr>
        <w:t>efetiv</w:t>
      </w:r>
      <w:r w:rsidR="00D81AA1" w:rsidRPr="00D5464D">
        <w:rPr>
          <w:rFonts w:cs="Arial"/>
          <w:szCs w:val="20"/>
          <w:lang w:val="pt-BR"/>
        </w:rPr>
        <w:t>a por parte</w:t>
      </w:r>
      <w:r w:rsidRPr="00D5464D">
        <w:rPr>
          <w:rFonts w:cs="Arial"/>
          <w:szCs w:val="20"/>
          <w:lang w:val="pt-BR"/>
        </w:rPr>
        <w:t xml:space="preserve"> das </w:t>
      </w:r>
      <w:r w:rsidR="00D81AA1" w:rsidRPr="00D5464D">
        <w:rPr>
          <w:rFonts w:cs="Arial"/>
          <w:szCs w:val="20"/>
          <w:lang w:val="pt-BR"/>
        </w:rPr>
        <w:t>autoridades frente</w:t>
      </w:r>
      <w:r w:rsidR="00E045D9" w:rsidRPr="00D5464D">
        <w:rPr>
          <w:rFonts w:cs="Arial"/>
          <w:szCs w:val="20"/>
          <w:lang w:val="pt-BR"/>
        </w:rPr>
        <w:t xml:space="preserve"> às </w:t>
      </w:r>
      <w:r w:rsidRPr="00D5464D">
        <w:rPr>
          <w:rFonts w:cs="Arial"/>
          <w:szCs w:val="20"/>
          <w:lang w:val="pt-BR"/>
        </w:rPr>
        <w:t>denúncias</w:t>
      </w:r>
      <w:r w:rsidR="00E045D9" w:rsidRPr="00D5464D">
        <w:rPr>
          <w:rFonts w:cs="Arial"/>
          <w:szCs w:val="20"/>
          <w:lang w:val="pt-BR"/>
        </w:rPr>
        <w:t xml:space="preserve"> e </w:t>
      </w:r>
      <w:r w:rsidR="00D73840" w:rsidRPr="00D5464D">
        <w:rPr>
          <w:rFonts w:cs="Arial"/>
          <w:szCs w:val="20"/>
          <w:lang w:val="pt-BR"/>
        </w:rPr>
        <w:t>à</w:t>
      </w:r>
      <w:r w:rsidR="002C330E" w:rsidRPr="00D5464D">
        <w:rPr>
          <w:rFonts w:cs="Arial"/>
          <w:szCs w:val="20"/>
          <w:lang w:val="pt-BR"/>
        </w:rPr>
        <w:t xml:space="preserve"> </w:t>
      </w:r>
      <w:r w:rsidR="00230C71" w:rsidRPr="00D5464D">
        <w:rPr>
          <w:rFonts w:cs="Arial"/>
          <w:szCs w:val="20"/>
          <w:lang w:val="pt-BR"/>
        </w:rPr>
        <w:t>recorr</w:t>
      </w:r>
      <w:r w:rsidR="00350187" w:rsidRPr="00D5464D">
        <w:rPr>
          <w:rFonts w:cs="Arial"/>
          <w:szCs w:val="20"/>
          <w:lang w:val="pt-BR"/>
        </w:rPr>
        <w:t>ência</w:t>
      </w:r>
      <w:r w:rsidRPr="00D5464D">
        <w:rPr>
          <w:rFonts w:cs="Arial"/>
          <w:szCs w:val="20"/>
          <w:lang w:val="pt-BR"/>
        </w:rPr>
        <w:t xml:space="preserve"> dos </w:t>
      </w:r>
      <w:r w:rsidR="002C330E" w:rsidRPr="00D5464D">
        <w:rPr>
          <w:rFonts w:cs="Arial"/>
          <w:szCs w:val="20"/>
          <w:lang w:val="pt-BR"/>
        </w:rPr>
        <w:t>fatos</w:t>
      </w:r>
      <w:r w:rsidR="00D81AA1" w:rsidRPr="00D5464D">
        <w:rPr>
          <w:rFonts w:cs="Arial"/>
          <w:szCs w:val="20"/>
          <w:lang w:val="pt-BR"/>
        </w:rPr>
        <w:t xml:space="preserve"> denunciados </w:t>
      </w:r>
      <w:r w:rsidR="00C91CB1" w:rsidRPr="00D5464D">
        <w:rPr>
          <w:rFonts w:cs="Arial"/>
          <w:szCs w:val="20"/>
          <w:lang w:val="pt-BR"/>
        </w:rPr>
        <w:t>evidenciam</w:t>
      </w:r>
      <w:r w:rsidR="00E045D9" w:rsidRPr="00D5464D">
        <w:rPr>
          <w:rFonts w:cs="Arial"/>
          <w:szCs w:val="20"/>
          <w:lang w:val="pt-BR"/>
        </w:rPr>
        <w:t xml:space="preserve"> uma </w:t>
      </w:r>
      <w:r w:rsidR="00D81AA1" w:rsidRPr="00D5464D">
        <w:rPr>
          <w:rFonts w:cs="Arial"/>
          <w:szCs w:val="20"/>
          <w:lang w:val="pt-BR"/>
        </w:rPr>
        <w:t>situa</w:t>
      </w:r>
      <w:r w:rsidRPr="00D5464D">
        <w:rPr>
          <w:rFonts w:cs="Arial"/>
          <w:szCs w:val="20"/>
          <w:lang w:val="pt-BR"/>
        </w:rPr>
        <w:t>ção</w:t>
      </w:r>
      <w:r w:rsidR="00D81AA1" w:rsidRPr="00D5464D">
        <w:rPr>
          <w:rFonts w:cs="Arial"/>
          <w:szCs w:val="20"/>
          <w:lang w:val="pt-BR"/>
        </w:rPr>
        <w:t xml:space="preserve"> de discrimina</w:t>
      </w:r>
      <w:r w:rsidRPr="00D5464D">
        <w:rPr>
          <w:rFonts w:cs="Arial"/>
          <w:szCs w:val="20"/>
          <w:lang w:val="pt-BR"/>
        </w:rPr>
        <w:t>ção</w:t>
      </w:r>
      <w:r w:rsidR="00D81AA1" w:rsidRPr="00D5464D">
        <w:rPr>
          <w:rFonts w:cs="Arial"/>
          <w:szCs w:val="20"/>
          <w:lang w:val="pt-BR"/>
        </w:rPr>
        <w:t xml:space="preserve"> </w:t>
      </w:r>
      <w:r w:rsidRPr="00D5464D">
        <w:rPr>
          <w:rFonts w:cs="Arial"/>
          <w:szCs w:val="20"/>
          <w:lang w:val="pt-BR"/>
        </w:rPr>
        <w:t>estrutura</w:t>
      </w:r>
      <w:r w:rsidR="00D81AA1" w:rsidRPr="00D5464D">
        <w:rPr>
          <w:rFonts w:cs="Arial"/>
          <w:szCs w:val="20"/>
          <w:lang w:val="pt-BR"/>
        </w:rPr>
        <w:t xml:space="preserve">l por parte </w:t>
      </w:r>
      <w:r w:rsidRPr="00D5464D">
        <w:rPr>
          <w:rFonts w:cs="Arial"/>
          <w:szCs w:val="20"/>
          <w:lang w:val="pt-BR"/>
        </w:rPr>
        <w:t xml:space="preserve">do </w:t>
      </w:r>
      <w:r w:rsidR="00D81AA1" w:rsidRPr="00D5464D">
        <w:rPr>
          <w:rFonts w:cs="Arial"/>
          <w:szCs w:val="20"/>
          <w:lang w:val="pt-BR"/>
        </w:rPr>
        <w:t>Estado, que permite</w:t>
      </w:r>
      <w:r w:rsidR="002C330E" w:rsidRPr="00D5464D">
        <w:rPr>
          <w:rFonts w:cs="Arial"/>
          <w:szCs w:val="20"/>
          <w:lang w:val="pt-BR"/>
        </w:rPr>
        <w:t xml:space="preserve"> a </w:t>
      </w:r>
      <w:r w:rsidR="00D81AA1" w:rsidRPr="00D5464D">
        <w:rPr>
          <w:rFonts w:cs="Arial"/>
          <w:szCs w:val="20"/>
          <w:lang w:val="pt-BR"/>
        </w:rPr>
        <w:t>perpetua</w:t>
      </w:r>
      <w:r w:rsidRPr="00D5464D">
        <w:rPr>
          <w:rFonts w:cs="Arial"/>
          <w:szCs w:val="20"/>
          <w:lang w:val="pt-BR"/>
        </w:rPr>
        <w:t>ção</w:t>
      </w:r>
      <w:r w:rsidR="00D81AA1" w:rsidRPr="00D5464D">
        <w:rPr>
          <w:rFonts w:cs="Arial"/>
          <w:szCs w:val="20"/>
          <w:lang w:val="pt-BR"/>
        </w:rPr>
        <w:t xml:space="preserve"> de</w:t>
      </w:r>
      <w:r w:rsidR="00E045D9" w:rsidRPr="00D5464D">
        <w:rPr>
          <w:rFonts w:cs="Arial"/>
          <w:szCs w:val="20"/>
          <w:lang w:val="pt-BR"/>
        </w:rPr>
        <w:t xml:space="preserve"> uma </w:t>
      </w:r>
      <w:r w:rsidR="00D81AA1" w:rsidRPr="00D5464D">
        <w:rPr>
          <w:rFonts w:cs="Arial"/>
          <w:szCs w:val="20"/>
          <w:lang w:val="pt-BR"/>
        </w:rPr>
        <w:t>situa</w:t>
      </w:r>
      <w:r w:rsidRPr="00D5464D">
        <w:rPr>
          <w:rFonts w:cs="Arial"/>
          <w:szCs w:val="20"/>
          <w:lang w:val="pt-BR"/>
        </w:rPr>
        <w:t>ção</w:t>
      </w:r>
      <w:r w:rsidR="00D81AA1" w:rsidRPr="00D5464D">
        <w:rPr>
          <w:rFonts w:cs="Arial"/>
          <w:szCs w:val="20"/>
          <w:lang w:val="pt-BR"/>
        </w:rPr>
        <w:t xml:space="preserve"> de </w:t>
      </w:r>
      <w:r w:rsidR="00230C71" w:rsidRPr="00D5464D">
        <w:rPr>
          <w:rFonts w:cs="Arial"/>
          <w:szCs w:val="20"/>
          <w:lang w:val="pt-BR"/>
        </w:rPr>
        <w:t>exploração</w:t>
      </w:r>
      <w:r w:rsidR="00D81AA1" w:rsidRPr="00D5464D">
        <w:rPr>
          <w:rFonts w:cs="Arial"/>
          <w:szCs w:val="20"/>
          <w:lang w:val="pt-BR"/>
        </w:rPr>
        <w:t xml:space="preserve"> a</w:t>
      </w:r>
      <w:r w:rsidR="00E045D9" w:rsidRPr="00D5464D">
        <w:rPr>
          <w:rFonts w:cs="Arial"/>
          <w:szCs w:val="20"/>
          <w:lang w:val="pt-BR"/>
        </w:rPr>
        <w:t xml:space="preserve"> um </w:t>
      </w:r>
      <w:r w:rsidR="00D81AA1" w:rsidRPr="00D5464D">
        <w:rPr>
          <w:rFonts w:cs="Arial"/>
          <w:szCs w:val="20"/>
          <w:lang w:val="pt-BR"/>
        </w:rPr>
        <w:t xml:space="preserve">grupo determinado de </w:t>
      </w:r>
      <w:r w:rsidR="002C330E" w:rsidRPr="00D5464D">
        <w:rPr>
          <w:rFonts w:cs="Arial"/>
          <w:szCs w:val="20"/>
          <w:lang w:val="pt-BR"/>
        </w:rPr>
        <w:t>pessoa</w:t>
      </w:r>
      <w:r w:rsidR="00D81AA1" w:rsidRPr="00D5464D">
        <w:rPr>
          <w:rFonts w:cs="Arial"/>
          <w:szCs w:val="20"/>
          <w:lang w:val="pt-BR"/>
        </w:rPr>
        <w:t>s.</w:t>
      </w:r>
    </w:p>
    <w:p w14:paraId="4174B6BA" w14:textId="77777777" w:rsidR="00D81AA1" w:rsidRPr="00D5464D" w:rsidRDefault="00D81AA1" w:rsidP="00D81AA1">
      <w:pPr>
        <w:pStyle w:val="Prrafodelista"/>
        <w:ind w:left="0"/>
        <w:rPr>
          <w:rFonts w:cs="Arial"/>
          <w:szCs w:val="20"/>
          <w:lang w:val="pt-BR"/>
        </w:rPr>
      </w:pPr>
    </w:p>
    <w:p w14:paraId="3592C3DB" w14:textId="33A3D671" w:rsidR="00D81AA1" w:rsidRPr="00D5464D" w:rsidRDefault="00737270" w:rsidP="00D81AA1">
      <w:pPr>
        <w:pStyle w:val="Prrafodelista"/>
        <w:numPr>
          <w:ilvl w:val="0"/>
          <w:numId w:val="1"/>
        </w:numPr>
        <w:contextualSpacing w:val="0"/>
        <w:rPr>
          <w:rFonts w:cs="Arial"/>
          <w:szCs w:val="20"/>
          <w:lang w:val="pt-BR"/>
        </w:rPr>
      </w:pPr>
      <w:r w:rsidRPr="00D5464D">
        <w:rPr>
          <w:rFonts w:cs="Arial"/>
          <w:szCs w:val="20"/>
          <w:lang w:val="pt-BR"/>
        </w:rPr>
        <w:t>A este respeito</w:t>
      </w:r>
      <w:r w:rsidR="00D81AA1" w:rsidRPr="00D5464D">
        <w:rPr>
          <w:rFonts w:cs="Arial"/>
          <w:szCs w:val="20"/>
          <w:lang w:val="pt-BR"/>
        </w:rPr>
        <w:t>,</w:t>
      </w:r>
      <w:r w:rsidR="002C330E" w:rsidRPr="00D5464D">
        <w:rPr>
          <w:rFonts w:cs="Arial"/>
          <w:szCs w:val="20"/>
          <w:lang w:val="pt-BR"/>
        </w:rPr>
        <w:t xml:space="preserve"> a </w:t>
      </w:r>
      <w:r w:rsidR="00D81AA1" w:rsidRPr="00D5464D">
        <w:rPr>
          <w:rFonts w:cs="Arial"/>
          <w:szCs w:val="20"/>
          <w:lang w:val="pt-BR"/>
        </w:rPr>
        <w:t xml:space="preserve">Corte </w:t>
      </w:r>
      <w:r w:rsidR="002C330E" w:rsidRPr="00D5464D">
        <w:rPr>
          <w:rFonts w:cs="Arial"/>
          <w:szCs w:val="20"/>
          <w:lang w:val="pt-BR"/>
        </w:rPr>
        <w:t>estabeleceu</w:t>
      </w:r>
      <w:r w:rsidR="00470ADC" w:rsidRPr="00D5464D">
        <w:rPr>
          <w:rFonts w:cs="Arial"/>
          <w:szCs w:val="20"/>
          <w:lang w:val="pt-BR"/>
        </w:rPr>
        <w:t xml:space="preserve"> em </w:t>
      </w:r>
      <w:r w:rsidR="00E045D9" w:rsidRPr="00D5464D">
        <w:rPr>
          <w:szCs w:val="20"/>
          <w:lang w:val="pt-BR"/>
        </w:rPr>
        <w:t>sua jurisprudência</w:t>
      </w:r>
      <w:r w:rsidR="002C330E" w:rsidRPr="00D5464D">
        <w:rPr>
          <w:szCs w:val="20"/>
          <w:lang w:val="pt-BR"/>
        </w:rPr>
        <w:t xml:space="preserve"> </w:t>
      </w:r>
      <w:r w:rsidR="00D81AA1" w:rsidRPr="00D5464D">
        <w:rPr>
          <w:szCs w:val="20"/>
          <w:lang w:val="pt-BR"/>
        </w:rPr>
        <w:t>que</w:t>
      </w:r>
      <w:r w:rsidR="00470ADC" w:rsidRPr="00D5464D">
        <w:rPr>
          <w:szCs w:val="20"/>
          <w:lang w:val="pt-BR"/>
        </w:rPr>
        <w:t xml:space="preserve"> o artigo</w:t>
      </w:r>
      <w:r w:rsidR="00D81AA1" w:rsidRPr="00D5464D">
        <w:rPr>
          <w:szCs w:val="20"/>
          <w:lang w:val="pt-BR"/>
        </w:rPr>
        <w:t xml:space="preserve"> 1.1</w:t>
      </w:r>
      <w:r w:rsidR="00470ADC" w:rsidRPr="00D5464D">
        <w:rPr>
          <w:szCs w:val="20"/>
          <w:lang w:val="pt-BR"/>
        </w:rPr>
        <w:t xml:space="preserve"> da </w:t>
      </w:r>
      <w:r w:rsidR="00D81AA1" w:rsidRPr="00D5464D">
        <w:rPr>
          <w:szCs w:val="20"/>
          <w:lang w:val="pt-BR"/>
        </w:rPr>
        <w:t>Conven</w:t>
      </w:r>
      <w:r w:rsidR="00470ADC" w:rsidRPr="00D5464D">
        <w:rPr>
          <w:szCs w:val="20"/>
          <w:lang w:val="pt-BR"/>
        </w:rPr>
        <w:t>ção é</w:t>
      </w:r>
      <w:r w:rsidR="00E045D9" w:rsidRPr="00D5464D">
        <w:rPr>
          <w:szCs w:val="20"/>
          <w:lang w:val="pt-BR"/>
        </w:rPr>
        <w:t xml:space="preserve"> uma </w:t>
      </w:r>
      <w:r w:rsidR="00D81AA1" w:rsidRPr="00D5464D">
        <w:rPr>
          <w:szCs w:val="20"/>
          <w:lang w:val="pt-BR"/>
        </w:rPr>
        <w:t xml:space="preserve">norma de </w:t>
      </w:r>
      <w:r w:rsidR="00470ADC" w:rsidRPr="00D5464D">
        <w:rPr>
          <w:szCs w:val="20"/>
          <w:lang w:val="pt-BR"/>
        </w:rPr>
        <w:t>caráter</w:t>
      </w:r>
      <w:r w:rsidR="00D81AA1" w:rsidRPr="00D5464D">
        <w:rPr>
          <w:szCs w:val="20"/>
          <w:lang w:val="pt-BR"/>
        </w:rPr>
        <w:t xml:space="preserve"> </w:t>
      </w:r>
      <w:r w:rsidR="002C330E" w:rsidRPr="00D5464D">
        <w:rPr>
          <w:szCs w:val="20"/>
          <w:lang w:val="pt-BR"/>
        </w:rPr>
        <w:t>geral</w:t>
      </w:r>
      <w:r w:rsidR="00D81AA1" w:rsidRPr="00D5464D">
        <w:rPr>
          <w:szCs w:val="20"/>
          <w:lang w:val="pt-BR"/>
        </w:rPr>
        <w:t xml:space="preserve">, </w:t>
      </w:r>
      <w:r w:rsidR="00470ADC" w:rsidRPr="00D5464D">
        <w:rPr>
          <w:szCs w:val="20"/>
          <w:lang w:val="pt-BR"/>
        </w:rPr>
        <w:t>cujo</w:t>
      </w:r>
      <w:r w:rsidR="00D81AA1" w:rsidRPr="00D5464D">
        <w:rPr>
          <w:szCs w:val="20"/>
          <w:lang w:val="pt-BR"/>
        </w:rPr>
        <w:t xml:space="preserve"> </w:t>
      </w:r>
      <w:r w:rsidR="00470ADC" w:rsidRPr="00D5464D">
        <w:rPr>
          <w:szCs w:val="20"/>
          <w:lang w:val="pt-BR"/>
        </w:rPr>
        <w:t>conteúdo</w:t>
      </w:r>
      <w:r w:rsidR="00D81AA1" w:rsidRPr="00D5464D">
        <w:rPr>
          <w:szCs w:val="20"/>
          <w:lang w:val="pt-BR"/>
        </w:rPr>
        <w:t xml:space="preserve"> se </w:t>
      </w:r>
      <w:r w:rsidR="00E045D9" w:rsidRPr="00D5464D">
        <w:rPr>
          <w:szCs w:val="20"/>
          <w:lang w:val="pt-BR"/>
        </w:rPr>
        <w:t>e</w:t>
      </w:r>
      <w:r w:rsidR="00D73840" w:rsidRPr="00D5464D">
        <w:rPr>
          <w:szCs w:val="20"/>
          <w:lang w:val="pt-BR"/>
        </w:rPr>
        <w:t>s</w:t>
      </w:r>
      <w:r w:rsidR="00E045D9" w:rsidRPr="00D5464D">
        <w:rPr>
          <w:szCs w:val="20"/>
          <w:lang w:val="pt-BR"/>
        </w:rPr>
        <w:t>tend</w:t>
      </w:r>
      <w:r w:rsidR="00D73840" w:rsidRPr="00D5464D">
        <w:rPr>
          <w:szCs w:val="20"/>
          <w:lang w:val="pt-BR"/>
        </w:rPr>
        <w:t>e a</w:t>
      </w:r>
      <w:r w:rsidR="00E045D9" w:rsidRPr="00D5464D">
        <w:rPr>
          <w:szCs w:val="20"/>
          <w:lang w:val="pt-BR"/>
        </w:rPr>
        <w:t xml:space="preserve"> </w:t>
      </w:r>
      <w:r w:rsidR="00D81AA1" w:rsidRPr="00D5464D">
        <w:rPr>
          <w:szCs w:val="20"/>
          <w:lang w:val="pt-BR"/>
        </w:rPr>
        <w:t>todas</w:t>
      </w:r>
      <w:r w:rsidR="002C330E" w:rsidRPr="00D5464D">
        <w:rPr>
          <w:szCs w:val="20"/>
          <w:lang w:val="pt-BR"/>
        </w:rPr>
        <w:t xml:space="preserve"> as </w:t>
      </w:r>
      <w:r w:rsidR="00D81AA1" w:rsidRPr="00D5464D">
        <w:rPr>
          <w:szCs w:val="20"/>
          <w:lang w:val="pt-BR"/>
        </w:rPr>
        <w:t>disposi</w:t>
      </w:r>
      <w:r w:rsidR="00470ADC" w:rsidRPr="00D5464D">
        <w:rPr>
          <w:szCs w:val="20"/>
          <w:lang w:val="pt-BR"/>
        </w:rPr>
        <w:t>ções</w:t>
      </w:r>
      <w:r w:rsidR="00D81AA1" w:rsidRPr="00D5464D">
        <w:rPr>
          <w:szCs w:val="20"/>
          <w:lang w:val="pt-BR"/>
        </w:rPr>
        <w:t xml:space="preserve"> </w:t>
      </w:r>
      <w:r w:rsidR="00470ADC" w:rsidRPr="00D5464D">
        <w:rPr>
          <w:szCs w:val="20"/>
          <w:lang w:val="pt-BR"/>
        </w:rPr>
        <w:t xml:space="preserve">do </w:t>
      </w:r>
      <w:r w:rsidR="00D81AA1" w:rsidRPr="00D5464D">
        <w:rPr>
          <w:szCs w:val="20"/>
          <w:lang w:val="pt-BR"/>
        </w:rPr>
        <w:t>tratado</w:t>
      </w:r>
      <w:r w:rsidR="00470ADC" w:rsidRPr="00D5464D">
        <w:rPr>
          <w:szCs w:val="20"/>
          <w:lang w:val="pt-BR"/>
        </w:rPr>
        <w:t>,</w:t>
      </w:r>
      <w:r w:rsidRPr="00D5464D">
        <w:rPr>
          <w:szCs w:val="20"/>
          <w:lang w:val="pt-BR"/>
        </w:rPr>
        <w:t xml:space="preserve"> já </w:t>
      </w:r>
      <w:r w:rsidR="00D81AA1" w:rsidRPr="00D5464D">
        <w:rPr>
          <w:szCs w:val="20"/>
          <w:lang w:val="pt-BR"/>
        </w:rPr>
        <w:t xml:space="preserve">que </w:t>
      </w:r>
      <w:r w:rsidR="00470ADC" w:rsidRPr="00D5464D">
        <w:rPr>
          <w:szCs w:val="20"/>
          <w:lang w:val="pt-BR"/>
        </w:rPr>
        <w:t>dispõe</w:t>
      </w:r>
      <w:r w:rsidR="002C330E" w:rsidRPr="00D5464D">
        <w:rPr>
          <w:szCs w:val="20"/>
          <w:lang w:val="pt-BR"/>
        </w:rPr>
        <w:t xml:space="preserve"> </w:t>
      </w:r>
      <w:r w:rsidR="0094252C" w:rsidRPr="00D5464D">
        <w:rPr>
          <w:szCs w:val="20"/>
          <w:lang w:val="pt-BR"/>
        </w:rPr>
        <w:t xml:space="preserve">sobre </w:t>
      </w:r>
      <w:r w:rsidR="002C330E" w:rsidRPr="00D5464D">
        <w:rPr>
          <w:szCs w:val="20"/>
          <w:lang w:val="pt-BR"/>
        </w:rPr>
        <w:t>a obrigação</w:t>
      </w:r>
      <w:r w:rsidR="00470ADC" w:rsidRPr="00D5464D">
        <w:rPr>
          <w:szCs w:val="20"/>
          <w:lang w:val="pt-BR"/>
        </w:rPr>
        <w:t xml:space="preserve"> dos </w:t>
      </w:r>
      <w:r w:rsidR="00D81AA1" w:rsidRPr="00D5464D">
        <w:rPr>
          <w:szCs w:val="20"/>
          <w:lang w:val="pt-BR"/>
        </w:rPr>
        <w:t xml:space="preserve">Estados Partes de </w:t>
      </w:r>
      <w:r w:rsidR="002C330E" w:rsidRPr="00D5464D">
        <w:rPr>
          <w:szCs w:val="20"/>
          <w:lang w:val="pt-BR"/>
        </w:rPr>
        <w:t>respeitar</w:t>
      </w:r>
      <w:r w:rsidR="00E045D9" w:rsidRPr="00D5464D">
        <w:rPr>
          <w:szCs w:val="20"/>
          <w:lang w:val="pt-BR"/>
        </w:rPr>
        <w:t xml:space="preserve"> e </w:t>
      </w:r>
      <w:r w:rsidR="002C330E" w:rsidRPr="00D5464D">
        <w:rPr>
          <w:szCs w:val="20"/>
          <w:lang w:val="pt-BR"/>
        </w:rPr>
        <w:t>garantir</w:t>
      </w:r>
      <w:r w:rsidR="00470ADC" w:rsidRPr="00D5464D">
        <w:rPr>
          <w:szCs w:val="20"/>
          <w:lang w:val="pt-BR"/>
        </w:rPr>
        <w:t xml:space="preserve"> o </w:t>
      </w:r>
      <w:r w:rsidR="00D81AA1" w:rsidRPr="00D5464D">
        <w:rPr>
          <w:szCs w:val="20"/>
          <w:lang w:val="pt-BR"/>
        </w:rPr>
        <w:t>pleno</w:t>
      </w:r>
      <w:r w:rsidR="00E045D9" w:rsidRPr="00D5464D">
        <w:rPr>
          <w:szCs w:val="20"/>
          <w:lang w:val="pt-BR"/>
        </w:rPr>
        <w:t xml:space="preserve"> e </w:t>
      </w:r>
      <w:r w:rsidR="002C330E" w:rsidRPr="00D5464D">
        <w:rPr>
          <w:szCs w:val="20"/>
          <w:lang w:val="pt-BR"/>
        </w:rPr>
        <w:t xml:space="preserve">livre </w:t>
      </w:r>
      <w:r w:rsidR="00470ADC" w:rsidRPr="00D5464D">
        <w:rPr>
          <w:szCs w:val="20"/>
          <w:lang w:val="pt-BR"/>
        </w:rPr>
        <w:t>exercício dos direito</w:t>
      </w:r>
      <w:r w:rsidR="00D81AA1" w:rsidRPr="00D5464D">
        <w:rPr>
          <w:szCs w:val="20"/>
          <w:lang w:val="pt-BR"/>
        </w:rPr>
        <w:t>s</w:t>
      </w:r>
      <w:r w:rsidR="00E045D9" w:rsidRPr="00D5464D">
        <w:rPr>
          <w:szCs w:val="20"/>
          <w:lang w:val="pt-BR"/>
        </w:rPr>
        <w:t xml:space="preserve"> e </w:t>
      </w:r>
      <w:r w:rsidR="002C330E" w:rsidRPr="00D5464D">
        <w:rPr>
          <w:szCs w:val="20"/>
          <w:lang w:val="pt-BR"/>
        </w:rPr>
        <w:t>liberdades</w:t>
      </w:r>
      <w:r w:rsidR="00D81AA1" w:rsidRPr="00D5464D">
        <w:rPr>
          <w:szCs w:val="20"/>
          <w:lang w:val="pt-BR"/>
        </w:rPr>
        <w:t xml:space="preserve"> </w:t>
      </w:r>
      <w:r w:rsidRPr="00D5464D">
        <w:rPr>
          <w:szCs w:val="20"/>
          <w:lang w:val="pt-BR"/>
        </w:rPr>
        <w:t>ali</w:t>
      </w:r>
      <w:r w:rsidR="00D81AA1" w:rsidRPr="00D5464D">
        <w:rPr>
          <w:szCs w:val="20"/>
          <w:lang w:val="pt-BR"/>
        </w:rPr>
        <w:t xml:space="preserve"> re</w:t>
      </w:r>
      <w:r w:rsidR="00470ADC" w:rsidRPr="00D5464D">
        <w:rPr>
          <w:szCs w:val="20"/>
          <w:lang w:val="pt-BR"/>
        </w:rPr>
        <w:t>conhecido</w:t>
      </w:r>
      <w:r w:rsidR="00D81AA1" w:rsidRPr="00D5464D">
        <w:rPr>
          <w:szCs w:val="20"/>
          <w:lang w:val="pt-BR"/>
        </w:rPr>
        <w:t>s “</w:t>
      </w:r>
      <w:r w:rsidR="002C330E" w:rsidRPr="00D5464D">
        <w:rPr>
          <w:szCs w:val="20"/>
          <w:lang w:val="pt-BR"/>
        </w:rPr>
        <w:t xml:space="preserve">sem </w:t>
      </w:r>
      <w:r w:rsidR="00D81AA1" w:rsidRPr="00D5464D">
        <w:rPr>
          <w:szCs w:val="20"/>
          <w:lang w:val="pt-BR"/>
        </w:rPr>
        <w:t>discrimina</w:t>
      </w:r>
      <w:r w:rsidR="00470ADC" w:rsidRPr="00D5464D">
        <w:rPr>
          <w:szCs w:val="20"/>
          <w:lang w:val="pt-BR"/>
        </w:rPr>
        <w:t>ção</w:t>
      </w:r>
      <w:r w:rsidR="00D81AA1" w:rsidRPr="00D5464D">
        <w:rPr>
          <w:szCs w:val="20"/>
          <w:lang w:val="pt-BR"/>
        </w:rPr>
        <w:t xml:space="preserve"> </w:t>
      </w:r>
      <w:r w:rsidR="00E045D9" w:rsidRPr="00D5464D">
        <w:rPr>
          <w:szCs w:val="20"/>
          <w:lang w:val="pt-BR"/>
        </w:rPr>
        <w:t>alguma</w:t>
      </w:r>
      <w:r w:rsidR="00D81AA1" w:rsidRPr="00D5464D">
        <w:rPr>
          <w:szCs w:val="20"/>
          <w:lang w:val="pt-BR"/>
        </w:rPr>
        <w:t>”</w:t>
      </w:r>
      <w:r w:rsidR="00230C71" w:rsidRPr="00D5464D">
        <w:rPr>
          <w:szCs w:val="20"/>
          <w:lang w:val="pt-BR"/>
        </w:rPr>
        <w:t xml:space="preserve">. Isto é, </w:t>
      </w:r>
      <w:r w:rsidR="00470ADC" w:rsidRPr="00D5464D">
        <w:rPr>
          <w:szCs w:val="20"/>
          <w:lang w:val="pt-BR"/>
        </w:rPr>
        <w:t>qualquer</w:t>
      </w:r>
      <w:r w:rsidR="00D73840" w:rsidRPr="00D5464D">
        <w:rPr>
          <w:szCs w:val="20"/>
          <w:lang w:val="pt-BR"/>
        </w:rPr>
        <w:t xml:space="preserve"> que</w:t>
      </w:r>
      <w:r w:rsidR="002C330E" w:rsidRPr="00D5464D">
        <w:rPr>
          <w:szCs w:val="20"/>
          <w:lang w:val="pt-BR"/>
        </w:rPr>
        <w:t xml:space="preserve"> seja </w:t>
      </w:r>
      <w:r w:rsidR="00EB1CE9" w:rsidRPr="00D5464D">
        <w:rPr>
          <w:szCs w:val="20"/>
          <w:lang w:val="pt-BR"/>
        </w:rPr>
        <w:t>a origem</w:t>
      </w:r>
      <w:r w:rsidR="00C91CB1" w:rsidRPr="00D5464D">
        <w:rPr>
          <w:szCs w:val="20"/>
          <w:lang w:val="pt-BR"/>
        </w:rPr>
        <w:t xml:space="preserve"> o</w:t>
      </w:r>
      <w:r w:rsidR="00D73840" w:rsidRPr="00D5464D">
        <w:rPr>
          <w:szCs w:val="20"/>
          <w:lang w:val="pt-BR"/>
        </w:rPr>
        <w:t>u</w:t>
      </w:r>
      <w:r w:rsidR="002C330E" w:rsidRPr="00D5464D">
        <w:rPr>
          <w:szCs w:val="20"/>
          <w:lang w:val="pt-BR"/>
        </w:rPr>
        <w:t xml:space="preserve"> a </w:t>
      </w:r>
      <w:r w:rsidR="00D81AA1" w:rsidRPr="00D5464D">
        <w:rPr>
          <w:szCs w:val="20"/>
          <w:lang w:val="pt-BR"/>
        </w:rPr>
        <w:t xml:space="preserve">forma </w:t>
      </w:r>
      <w:r w:rsidR="00D73840" w:rsidRPr="00D5464D">
        <w:rPr>
          <w:szCs w:val="20"/>
          <w:lang w:val="pt-BR"/>
        </w:rPr>
        <w:t>assumida</w:t>
      </w:r>
      <w:r w:rsidR="00D81AA1" w:rsidRPr="00D5464D">
        <w:rPr>
          <w:szCs w:val="20"/>
          <w:lang w:val="pt-BR"/>
        </w:rPr>
        <w:t xml:space="preserve">, todo </w:t>
      </w:r>
      <w:r w:rsidR="00E045D9" w:rsidRPr="00D5464D">
        <w:rPr>
          <w:szCs w:val="20"/>
          <w:lang w:val="pt-BR"/>
        </w:rPr>
        <w:t>tratamento</w:t>
      </w:r>
      <w:r w:rsidR="00D81AA1" w:rsidRPr="00D5464D">
        <w:rPr>
          <w:szCs w:val="20"/>
          <w:lang w:val="pt-BR"/>
        </w:rPr>
        <w:t xml:space="preserve"> que </w:t>
      </w:r>
      <w:r w:rsidR="002C330E" w:rsidRPr="00D5464D">
        <w:rPr>
          <w:szCs w:val="20"/>
          <w:lang w:val="pt-BR"/>
        </w:rPr>
        <w:t>possa</w:t>
      </w:r>
      <w:r w:rsidR="00D81AA1" w:rsidRPr="00D5464D">
        <w:rPr>
          <w:szCs w:val="20"/>
          <w:lang w:val="pt-BR"/>
        </w:rPr>
        <w:t xml:space="preserve"> ser considerado </w:t>
      </w:r>
      <w:r w:rsidR="00A1358C" w:rsidRPr="00D5464D">
        <w:rPr>
          <w:szCs w:val="20"/>
          <w:lang w:val="pt-BR"/>
        </w:rPr>
        <w:t>discriminatóri</w:t>
      </w:r>
      <w:r w:rsidR="00D81AA1" w:rsidRPr="00D5464D">
        <w:rPr>
          <w:szCs w:val="20"/>
          <w:lang w:val="pt-BR"/>
        </w:rPr>
        <w:t xml:space="preserve">o </w:t>
      </w:r>
      <w:r w:rsidR="002C330E" w:rsidRPr="00D5464D">
        <w:rPr>
          <w:szCs w:val="20"/>
          <w:lang w:val="pt-BR"/>
        </w:rPr>
        <w:t>a respeito</w:t>
      </w:r>
      <w:r w:rsidR="00D81AA1" w:rsidRPr="00D5464D">
        <w:rPr>
          <w:szCs w:val="20"/>
          <w:lang w:val="pt-BR"/>
        </w:rPr>
        <w:t xml:space="preserve"> </w:t>
      </w:r>
      <w:r w:rsidR="00470ADC" w:rsidRPr="00D5464D">
        <w:rPr>
          <w:szCs w:val="20"/>
          <w:lang w:val="pt-BR"/>
        </w:rPr>
        <w:t>do exercício</w:t>
      </w:r>
      <w:r w:rsidR="00D81AA1" w:rsidRPr="00D5464D">
        <w:rPr>
          <w:szCs w:val="20"/>
          <w:lang w:val="pt-BR"/>
        </w:rPr>
        <w:t xml:space="preserve"> de </w:t>
      </w:r>
      <w:r w:rsidR="00470ADC" w:rsidRPr="00D5464D">
        <w:rPr>
          <w:szCs w:val="20"/>
          <w:lang w:val="pt-BR"/>
        </w:rPr>
        <w:t>qualquer</w:t>
      </w:r>
      <w:r w:rsidR="00D73840" w:rsidRPr="00D5464D">
        <w:rPr>
          <w:szCs w:val="20"/>
          <w:lang w:val="pt-BR"/>
        </w:rPr>
        <w:t xml:space="preserve"> um</w:t>
      </w:r>
      <w:r w:rsidR="00470ADC" w:rsidRPr="00D5464D">
        <w:rPr>
          <w:szCs w:val="20"/>
          <w:lang w:val="pt-BR"/>
        </w:rPr>
        <w:t xml:space="preserve"> dos direito</w:t>
      </w:r>
      <w:r w:rsidR="00D81AA1" w:rsidRPr="00D5464D">
        <w:rPr>
          <w:szCs w:val="20"/>
          <w:lang w:val="pt-BR"/>
        </w:rPr>
        <w:t xml:space="preserve">s </w:t>
      </w:r>
      <w:r w:rsidR="00E045D9" w:rsidRPr="00D5464D">
        <w:rPr>
          <w:szCs w:val="20"/>
          <w:lang w:val="pt-BR"/>
        </w:rPr>
        <w:t>garantid</w:t>
      </w:r>
      <w:r w:rsidR="00D81AA1" w:rsidRPr="00D5464D">
        <w:rPr>
          <w:szCs w:val="20"/>
          <w:lang w:val="pt-BR"/>
        </w:rPr>
        <w:t>os</w:t>
      </w:r>
      <w:r w:rsidR="00E045D9" w:rsidRPr="00D5464D">
        <w:rPr>
          <w:szCs w:val="20"/>
          <w:lang w:val="pt-BR"/>
        </w:rPr>
        <w:t xml:space="preserve"> na </w:t>
      </w:r>
      <w:r w:rsidR="00D81AA1" w:rsidRPr="00D5464D">
        <w:rPr>
          <w:szCs w:val="20"/>
          <w:lang w:val="pt-BR"/>
        </w:rPr>
        <w:t>Conven</w:t>
      </w:r>
      <w:r w:rsidR="00470ADC" w:rsidRPr="00D5464D">
        <w:rPr>
          <w:szCs w:val="20"/>
          <w:lang w:val="pt-BR"/>
        </w:rPr>
        <w:t>ção é</w:t>
      </w:r>
      <w:r w:rsidR="00D73840" w:rsidRPr="00D5464D">
        <w:rPr>
          <w:szCs w:val="20"/>
          <w:lang w:val="pt-BR"/>
        </w:rPr>
        <w:t>,</w:t>
      </w:r>
      <w:r w:rsidR="00470ADC" w:rsidRPr="00D5464D">
        <w:rPr>
          <w:szCs w:val="20"/>
          <w:lang w:val="pt-BR"/>
        </w:rPr>
        <w:t xml:space="preserve"> </w:t>
      </w:r>
      <w:r w:rsidR="00D81AA1" w:rsidRPr="00D5464D">
        <w:rPr>
          <w:i/>
          <w:szCs w:val="20"/>
          <w:lang w:val="pt-BR"/>
        </w:rPr>
        <w:t>per se</w:t>
      </w:r>
      <w:r w:rsidR="00D73840" w:rsidRPr="00D5464D">
        <w:rPr>
          <w:szCs w:val="20"/>
          <w:lang w:val="pt-BR"/>
        </w:rPr>
        <w:t>,</w:t>
      </w:r>
      <w:r w:rsidR="00D81AA1" w:rsidRPr="00D5464D">
        <w:rPr>
          <w:i/>
          <w:szCs w:val="20"/>
          <w:lang w:val="pt-BR"/>
        </w:rPr>
        <w:t xml:space="preserve"> </w:t>
      </w:r>
      <w:r w:rsidR="00D81AA1" w:rsidRPr="00D5464D">
        <w:rPr>
          <w:szCs w:val="20"/>
          <w:lang w:val="pt-BR"/>
        </w:rPr>
        <w:t>in</w:t>
      </w:r>
      <w:r w:rsidR="00470ADC" w:rsidRPr="00D5464D">
        <w:rPr>
          <w:szCs w:val="20"/>
          <w:lang w:val="pt-BR"/>
        </w:rPr>
        <w:t>compatível com</w:t>
      </w:r>
      <w:r w:rsidR="002C330E" w:rsidRPr="00D5464D">
        <w:rPr>
          <w:szCs w:val="20"/>
          <w:lang w:val="pt-BR"/>
        </w:rPr>
        <w:t xml:space="preserve"> a mesm</w:t>
      </w:r>
      <w:r w:rsidR="00D81AA1" w:rsidRPr="00D5464D">
        <w:rPr>
          <w:szCs w:val="20"/>
          <w:lang w:val="pt-BR"/>
        </w:rPr>
        <w:t>a</w:t>
      </w:r>
      <w:r w:rsidR="00A1358C" w:rsidRPr="00D5464D">
        <w:rPr>
          <w:szCs w:val="20"/>
          <w:lang w:val="pt-BR"/>
        </w:rPr>
        <w:t xml:space="preserve">. O </w:t>
      </w:r>
      <w:r w:rsidR="002C330E" w:rsidRPr="00D5464D">
        <w:rPr>
          <w:rFonts w:cs="Arial"/>
          <w:szCs w:val="20"/>
          <w:lang w:val="pt-BR"/>
        </w:rPr>
        <w:t xml:space="preserve">descumprimento </w:t>
      </w:r>
      <w:r w:rsidR="00D73840" w:rsidRPr="00D5464D">
        <w:rPr>
          <w:rFonts w:cs="Arial"/>
          <w:szCs w:val="20"/>
          <w:lang w:val="pt-BR"/>
        </w:rPr>
        <w:t xml:space="preserve">por parte do </w:t>
      </w:r>
      <w:r w:rsidR="00D81AA1" w:rsidRPr="00D5464D">
        <w:rPr>
          <w:rFonts w:cs="Arial"/>
          <w:szCs w:val="20"/>
          <w:lang w:val="pt-BR"/>
        </w:rPr>
        <w:t xml:space="preserve">Estado </w:t>
      </w:r>
      <w:r w:rsidR="00470ADC" w:rsidRPr="00D5464D">
        <w:rPr>
          <w:rFonts w:cs="Arial"/>
          <w:szCs w:val="20"/>
          <w:lang w:val="pt-BR"/>
        </w:rPr>
        <w:t xml:space="preserve">da </w:t>
      </w:r>
      <w:r w:rsidR="002C330E" w:rsidRPr="00D5464D">
        <w:rPr>
          <w:rFonts w:cs="Arial"/>
          <w:szCs w:val="20"/>
          <w:lang w:val="pt-BR"/>
        </w:rPr>
        <w:t>obrigação</w:t>
      </w:r>
      <w:r w:rsidR="00D81AA1" w:rsidRPr="00D5464D">
        <w:rPr>
          <w:rFonts w:cs="Arial"/>
          <w:szCs w:val="20"/>
          <w:lang w:val="pt-BR"/>
        </w:rPr>
        <w:t xml:space="preserve"> </w:t>
      </w:r>
      <w:r w:rsidR="002C330E" w:rsidRPr="00D5464D">
        <w:rPr>
          <w:rFonts w:cs="Arial"/>
          <w:szCs w:val="20"/>
          <w:lang w:val="pt-BR"/>
        </w:rPr>
        <w:t>geral</w:t>
      </w:r>
      <w:r w:rsidR="00D81AA1" w:rsidRPr="00D5464D">
        <w:rPr>
          <w:rFonts w:cs="Arial"/>
          <w:szCs w:val="20"/>
          <w:lang w:val="pt-BR"/>
        </w:rPr>
        <w:t xml:space="preserve"> de </w:t>
      </w:r>
      <w:r w:rsidR="002C330E" w:rsidRPr="00D5464D">
        <w:rPr>
          <w:rFonts w:cs="Arial"/>
          <w:szCs w:val="20"/>
          <w:lang w:val="pt-BR"/>
        </w:rPr>
        <w:t>respeitar</w:t>
      </w:r>
      <w:r w:rsidR="00E045D9" w:rsidRPr="00D5464D">
        <w:rPr>
          <w:rFonts w:cs="Arial"/>
          <w:szCs w:val="20"/>
          <w:lang w:val="pt-BR"/>
        </w:rPr>
        <w:t xml:space="preserve"> e </w:t>
      </w:r>
      <w:r w:rsidR="002C330E" w:rsidRPr="00D5464D">
        <w:rPr>
          <w:rFonts w:cs="Arial"/>
          <w:szCs w:val="20"/>
          <w:lang w:val="pt-BR"/>
        </w:rPr>
        <w:t xml:space="preserve">garantir os </w:t>
      </w:r>
      <w:r w:rsidR="00470ADC" w:rsidRPr="00D5464D">
        <w:rPr>
          <w:rFonts w:cs="Arial"/>
          <w:szCs w:val="20"/>
          <w:lang w:val="pt-BR"/>
        </w:rPr>
        <w:t>direito</w:t>
      </w:r>
      <w:r w:rsidR="00D81AA1" w:rsidRPr="00D5464D">
        <w:rPr>
          <w:rFonts w:cs="Arial"/>
          <w:szCs w:val="20"/>
          <w:lang w:val="pt-BR"/>
        </w:rPr>
        <w:t>s humanos,</w:t>
      </w:r>
      <w:r w:rsidR="00350187" w:rsidRPr="00D5464D">
        <w:rPr>
          <w:rFonts w:cs="Arial"/>
          <w:szCs w:val="20"/>
          <w:lang w:val="pt-BR"/>
        </w:rPr>
        <w:t xml:space="preserve"> </w:t>
      </w:r>
      <w:r w:rsidR="00C176E3" w:rsidRPr="00D5464D">
        <w:rPr>
          <w:rFonts w:cs="Arial"/>
          <w:szCs w:val="20"/>
          <w:lang w:val="pt-BR"/>
        </w:rPr>
        <w:t xml:space="preserve">através de qualquer tratamento discriminatório, </w:t>
      </w:r>
      <w:r w:rsidR="00D81AA1" w:rsidRPr="00D5464D">
        <w:rPr>
          <w:rFonts w:cs="Arial"/>
          <w:szCs w:val="20"/>
          <w:lang w:val="pt-BR"/>
        </w:rPr>
        <w:t xml:space="preserve">gera </w:t>
      </w:r>
      <w:r w:rsidR="002C330E" w:rsidRPr="00D5464D">
        <w:rPr>
          <w:rFonts w:cs="Arial"/>
          <w:szCs w:val="20"/>
          <w:lang w:val="pt-BR"/>
        </w:rPr>
        <w:t xml:space="preserve">responsabilidade </w:t>
      </w:r>
      <w:r w:rsidR="00D81AA1" w:rsidRPr="00D5464D">
        <w:rPr>
          <w:rFonts w:cs="Arial"/>
          <w:szCs w:val="20"/>
          <w:lang w:val="pt-BR"/>
        </w:rPr>
        <w:t>internacional.</w:t>
      </w:r>
      <w:r w:rsidR="00470ADC" w:rsidRPr="00D5464D">
        <w:rPr>
          <w:rFonts w:cs="Arial"/>
          <w:szCs w:val="20"/>
          <w:lang w:val="pt-BR"/>
        </w:rPr>
        <w:t xml:space="preserve"> </w:t>
      </w:r>
      <w:r w:rsidR="00D73840" w:rsidRPr="00D5464D">
        <w:rPr>
          <w:rFonts w:cs="Arial"/>
          <w:szCs w:val="20"/>
          <w:lang w:val="pt-BR"/>
        </w:rPr>
        <w:t xml:space="preserve">Por essa razão </w:t>
      </w:r>
      <w:r w:rsidR="00D81AA1" w:rsidRPr="00D5464D">
        <w:rPr>
          <w:rFonts w:cs="Arial"/>
          <w:szCs w:val="20"/>
          <w:lang w:val="pt-BR"/>
        </w:rPr>
        <w:t>existe</w:t>
      </w:r>
      <w:r w:rsidR="00E045D9" w:rsidRPr="00D5464D">
        <w:rPr>
          <w:rFonts w:cs="Arial"/>
          <w:szCs w:val="20"/>
          <w:lang w:val="pt-BR"/>
        </w:rPr>
        <w:t xml:space="preserve"> um </w:t>
      </w:r>
      <w:r w:rsidR="00D81AA1" w:rsidRPr="00D5464D">
        <w:rPr>
          <w:rFonts w:cs="Arial"/>
          <w:szCs w:val="20"/>
          <w:lang w:val="pt-BR"/>
        </w:rPr>
        <w:t xml:space="preserve">vínculo </w:t>
      </w:r>
      <w:r w:rsidR="00EB1CE9" w:rsidRPr="00D5464D">
        <w:rPr>
          <w:rFonts w:cs="Arial"/>
          <w:szCs w:val="20"/>
          <w:lang w:val="pt-BR"/>
        </w:rPr>
        <w:t>indissolúvel</w:t>
      </w:r>
      <w:r w:rsidR="00D81AA1" w:rsidRPr="00D5464D">
        <w:rPr>
          <w:rFonts w:cs="Arial"/>
          <w:szCs w:val="20"/>
          <w:lang w:val="pt-BR"/>
        </w:rPr>
        <w:t xml:space="preserve"> entre</w:t>
      </w:r>
      <w:r w:rsidR="002C330E" w:rsidRPr="00D5464D">
        <w:rPr>
          <w:rFonts w:cs="Arial"/>
          <w:szCs w:val="20"/>
          <w:lang w:val="pt-BR"/>
        </w:rPr>
        <w:t xml:space="preserve"> a obrigação</w:t>
      </w:r>
      <w:r w:rsidR="00D81AA1" w:rsidRPr="00D5464D">
        <w:rPr>
          <w:rFonts w:cs="Arial"/>
          <w:szCs w:val="20"/>
          <w:lang w:val="pt-BR"/>
        </w:rPr>
        <w:t xml:space="preserve"> de </w:t>
      </w:r>
      <w:r w:rsidR="002C330E" w:rsidRPr="00D5464D">
        <w:rPr>
          <w:rFonts w:cs="Arial"/>
          <w:szCs w:val="20"/>
          <w:lang w:val="pt-BR"/>
        </w:rPr>
        <w:t>respeitar</w:t>
      </w:r>
      <w:r w:rsidR="00E045D9" w:rsidRPr="00D5464D">
        <w:rPr>
          <w:rFonts w:cs="Arial"/>
          <w:szCs w:val="20"/>
          <w:lang w:val="pt-BR"/>
        </w:rPr>
        <w:t xml:space="preserve"> e </w:t>
      </w:r>
      <w:r w:rsidR="002C330E" w:rsidRPr="00D5464D">
        <w:rPr>
          <w:rFonts w:cs="Arial"/>
          <w:szCs w:val="20"/>
          <w:lang w:val="pt-BR"/>
        </w:rPr>
        <w:t xml:space="preserve">garantir os </w:t>
      </w:r>
      <w:r w:rsidR="00470ADC" w:rsidRPr="00D5464D">
        <w:rPr>
          <w:rFonts w:cs="Arial"/>
          <w:szCs w:val="20"/>
          <w:lang w:val="pt-BR"/>
        </w:rPr>
        <w:t>direito</w:t>
      </w:r>
      <w:r w:rsidR="00D81AA1" w:rsidRPr="00D5464D">
        <w:rPr>
          <w:rFonts w:cs="Arial"/>
          <w:szCs w:val="20"/>
          <w:lang w:val="pt-BR"/>
        </w:rPr>
        <w:t>s humanos</w:t>
      </w:r>
      <w:r w:rsidR="00E045D9" w:rsidRPr="00D5464D">
        <w:rPr>
          <w:rFonts w:cs="Arial"/>
          <w:szCs w:val="20"/>
          <w:lang w:val="pt-BR"/>
        </w:rPr>
        <w:t xml:space="preserve"> e </w:t>
      </w:r>
      <w:r w:rsidR="00470ADC" w:rsidRPr="00D5464D">
        <w:rPr>
          <w:rFonts w:cs="Arial"/>
          <w:szCs w:val="20"/>
          <w:lang w:val="pt-BR"/>
        </w:rPr>
        <w:t xml:space="preserve">o </w:t>
      </w:r>
      <w:r w:rsidR="002C330E" w:rsidRPr="00D5464D">
        <w:rPr>
          <w:rFonts w:cs="Arial"/>
          <w:szCs w:val="20"/>
          <w:lang w:val="pt-BR"/>
        </w:rPr>
        <w:t>princípio</w:t>
      </w:r>
      <w:r w:rsidR="00D81AA1" w:rsidRPr="00D5464D">
        <w:rPr>
          <w:rFonts w:cs="Arial"/>
          <w:szCs w:val="20"/>
          <w:lang w:val="pt-BR"/>
        </w:rPr>
        <w:t xml:space="preserve"> de </w:t>
      </w:r>
      <w:r w:rsidR="002C330E" w:rsidRPr="00D5464D">
        <w:rPr>
          <w:rFonts w:cs="Arial"/>
          <w:szCs w:val="20"/>
          <w:lang w:val="pt-BR"/>
        </w:rPr>
        <w:t>igualdade</w:t>
      </w:r>
      <w:r w:rsidR="00E045D9" w:rsidRPr="00D5464D">
        <w:rPr>
          <w:rFonts w:cs="Arial"/>
          <w:szCs w:val="20"/>
          <w:lang w:val="pt-BR"/>
        </w:rPr>
        <w:t xml:space="preserve"> e</w:t>
      </w:r>
      <w:r w:rsidR="00A1358C" w:rsidRPr="00D5464D">
        <w:rPr>
          <w:rFonts w:cs="Arial"/>
          <w:szCs w:val="20"/>
          <w:lang w:val="pt-BR"/>
        </w:rPr>
        <w:t xml:space="preserve"> não discriminação</w:t>
      </w:r>
      <w:r w:rsidR="0025611E" w:rsidRPr="00D5464D">
        <w:rPr>
          <w:rFonts w:cs="Arial"/>
          <w:szCs w:val="20"/>
          <w:lang w:val="pt-BR"/>
        </w:rPr>
        <w:t>.</w:t>
      </w:r>
      <w:r w:rsidR="00D81AA1" w:rsidRPr="00D5464D">
        <w:rPr>
          <w:rStyle w:val="Refdenotaalpie"/>
          <w:lang w:val="pt-BR"/>
        </w:rPr>
        <w:footnoteReference w:id="514"/>
      </w:r>
    </w:p>
    <w:p w14:paraId="5A706A92" w14:textId="77777777" w:rsidR="00D81AA1" w:rsidRPr="00D5464D" w:rsidRDefault="00D81AA1" w:rsidP="00D81AA1">
      <w:pPr>
        <w:pStyle w:val="Prrafodelista"/>
        <w:rPr>
          <w:rFonts w:cs="Arial"/>
          <w:szCs w:val="20"/>
          <w:lang w:val="pt-BR"/>
        </w:rPr>
      </w:pPr>
    </w:p>
    <w:p w14:paraId="25B53DDB" w14:textId="354EFE6F" w:rsidR="00D81AA1" w:rsidRPr="00D5464D" w:rsidRDefault="00C176E3" w:rsidP="00D81AA1">
      <w:pPr>
        <w:pStyle w:val="Prrafodelista"/>
        <w:numPr>
          <w:ilvl w:val="0"/>
          <w:numId w:val="1"/>
        </w:numPr>
        <w:contextualSpacing w:val="0"/>
        <w:rPr>
          <w:rFonts w:cs="Arial"/>
          <w:szCs w:val="20"/>
          <w:lang w:val="pt-BR"/>
        </w:rPr>
      </w:pPr>
      <w:r w:rsidRPr="00D5464D">
        <w:rPr>
          <w:rFonts w:cs="Arial"/>
          <w:szCs w:val="20"/>
          <w:lang w:val="pt-BR"/>
        </w:rPr>
        <w:t>Igualmente</w:t>
      </w:r>
      <w:r w:rsidR="00D81AA1" w:rsidRPr="00D5464D">
        <w:rPr>
          <w:rFonts w:cs="Arial"/>
          <w:szCs w:val="20"/>
          <w:lang w:val="pt-BR"/>
        </w:rPr>
        <w:t>,</w:t>
      </w:r>
      <w:r w:rsidR="002C330E" w:rsidRPr="00D5464D">
        <w:rPr>
          <w:rFonts w:cs="Arial"/>
          <w:szCs w:val="20"/>
          <w:lang w:val="pt-BR"/>
        </w:rPr>
        <w:t xml:space="preserve"> a </w:t>
      </w:r>
      <w:r w:rsidR="00D81AA1" w:rsidRPr="00D5464D">
        <w:rPr>
          <w:rFonts w:cs="Arial"/>
          <w:szCs w:val="20"/>
          <w:lang w:val="pt-BR"/>
        </w:rPr>
        <w:t xml:space="preserve">Corte </w:t>
      </w:r>
      <w:r w:rsidR="002C330E" w:rsidRPr="00D5464D">
        <w:rPr>
          <w:rFonts w:cs="Arial"/>
          <w:szCs w:val="20"/>
          <w:lang w:val="pt-BR"/>
        </w:rPr>
        <w:t>indicou</w:t>
      </w:r>
      <w:r w:rsidR="00D81AA1" w:rsidRPr="00D5464D">
        <w:rPr>
          <w:rFonts w:cs="Arial"/>
          <w:szCs w:val="20"/>
          <w:lang w:val="pt-BR"/>
        </w:rPr>
        <w:t xml:space="preserve"> que</w:t>
      </w:r>
      <w:r w:rsidR="00470ADC" w:rsidRPr="00D5464D">
        <w:rPr>
          <w:rFonts w:cs="Arial"/>
          <w:szCs w:val="20"/>
          <w:lang w:val="pt-BR"/>
        </w:rPr>
        <w:t xml:space="preserve"> o </w:t>
      </w:r>
      <w:r w:rsidR="002C330E" w:rsidRPr="00D5464D">
        <w:rPr>
          <w:rFonts w:cs="Arial"/>
          <w:szCs w:val="20"/>
          <w:lang w:val="pt-BR"/>
        </w:rPr>
        <w:t>princípio</w:t>
      </w:r>
      <w:r w:rsidR="00470ADC" w:rsidRPr="00D5464D">
        <w:rPr>
          <w:rFonts w:cs="Arial"/>
          <w:szCs w:val="20"/>
          <w:lang w:val="pt-BR"/>
        </w:rPr>
        <w:t xml:space="preserve"> da </w:t>
      </w:r>
      <w:r w:rsidR="002C330E" w:rsidRPr="00D5464D">
        <w:rPr>
          <w:rFonts w:cs="Arial"/>
          <w:szCs w:val="20"/>
          <w:lang w:val="pt-BR"/>
        </w:rPr>
        <w:t>proteção</w:t>
      </w:r>
      <w:r w:rsidR="00D81AA1" w:rsidRPr="00D5464D">
        <w:rPr>
          <w:rFonts w:cs="Arial"/>
          <w:szCs w:val="20"/>
          <w:lang w:val="pt-BR"/>
        </w:rPr>
        <w:t xml:space="preserve"> </w:t>
      </w:r>
      <w:r w:rsidR="00230C71" w:rsidRPr="00D5464D">
        <w:rPr>
          <w:rFonts w:cs="Arial"/>
          <w:szCs w:val="20"/>
          <w:lang w:val="pt-BR"/>
        </w:rPr>
        <w:t>igualitári</w:t>
      </w:r>
      <w:r w:rsidR="00D81AA1" w:rsidRPr="00D5464D">
        <w:rPr>
          <w:rFonts w:cs="Arial"/>
          <w:szCs w:val="20"/>
          <w:lang w:val="pt-BR"/>
        </w:rPr>
        <w:t>a</w:t>
      </w:r>
      <w:r w:rsidR="00E045D9" w:rsidRPr="00D5464D">
        <w:rPr>
          <w:rFonts w:cs="Arial"/>
          <w:szCs w:val="20"/>
          <w:lang w:val="pt-BR"/>
        </w:rPr>
        <w:t xml:space="preserve"> e </w:t>
      </w:r>
      <w:r w:rsidR="00470ADC" w:rsidRPr="00D5464D">
        <w:rPr>
          <w:rFonts w:cs="Arial"/>
          <w:szCs w:val="20"/>
          <w:lang w:val="pt-BR"/>
        </w:rPr>
        <w:t>efetiv</w:t>
      </w:r>
      <w:r w:rsidR="00D81AA1" w:rsidRPr="00D5464D">
        <w:rPr>
          <w:rFonts w:cs="Arial"/>
          <w:szCs w:val="20"/>
          <w:lang w:val="pt-BR"/>
        </w:rPr>
        <w:t>a</w:t>
      </w:r>
      <w:r w:rsidR="00470ADC" w:rsidRPr="00D5464D">
        <w:rPr>
          <w:rFonts w:cs="Arial"/>
          <w:szCs w:val="20"/>
          <w:lang w:val="pt-BR"/>
        </w:rPr>
        <w:t xml:space="preserve"> da </w:t>
      </w:r>
      <w:r w:rsidR="002C330E" w:rsidRPr="00D5464D">
        <w:rPr>
          <w:rFonts w:cs="Arial"/>
          <w:szCs w:val="20"/>
          <w:lang w:val="pt-BR"/>
        </w:rPr>
        <w:t>lei</w:t>
      </w:r>
      <w:r w:rsidR="00E045D9" w:rsidRPr="00D5464D">
        <w:rPr>
          <w:rFonts w:cs="Arial"/>
          <w:szCs w:val="20"/>
          <w:lang w:val="pt-BR"/>
        </w:rPr>
        <w:t xml:space="preserve"> e </w:t>
      </w:r>
      <w:r w:rsidR="00470ADC" w:rsidRPr="00D5464D">
        <w:rPr>
          <w:rFonts w:cs="Arial"/>
          <w:szCs w:val="20"/>
          <w:lang w:val="pt-BR"/>
        </w:rPr>
        <w:t>da</w:t>
      </w:r>
      <w:r w:rsidR="00A1358C" w:rsidRPr="00D5464D">
        <w:rPr>
          <w:rFonts w:cs="Arial"/>
          <w:szCs w:val="20"/>
          <w:lang w:val="pt-BR"/>
        </w:rPr>
        <w:t xml:space="preserve"> não discriminação</w:t>
      </w:r>
      <w:r w:rsidR="00D81AA1" w:rsidRPr="00D5464D">
        <w:rPr>
          <w:rFonts w:cs="Arial"/>
          <w:szCs w:val="20"/>
          <w:lang w:val="pt-BR"/>
        </w:rPr>
        <w:t xml:space="preserve"> </w:t>
      </w:r>
      <w:r w:rsidR="00470ADC" w:rsidRPr="00D5464D">
        <w:rPr>
          <w:rFonts w:cs="Arial"/>
          <w:szCs w:val="20"/>
          <w:lang w:val="pt-BR"/>
        </w:rPr>
        <w:t>constitui</w:t>
      </w:r>
      <w:r w:rsidR="00E045D9" w:rsidRPr="00D5464D">
        <w:rPr>
          <w:rFonts w:cs="Arial"/>
          <w:szCs w:val="20"/>
          <w:lang w:val="pt-BR"/>
        </w:rPr>
        <w:t xml:space="preserve"> um </w:t>
      </w:r>
      <w:r w:rsidR="00470ADC" w:rsidRPr="00D5464D">
        <w:rPr>
          <w:rFonts w:cs="Arial"/>
          <w:szCs w:val="20"/>
          <w:lang w:val="pt-BR"/>
        </w:rPr>
        <w:t>dado</w:t>
      </w:r>
      <w:r w:rsidR="00D81AA1" w:rsidRPr="00D5464D">
        <w:rPr>
          <w:rFonts w:cs="Arial"/>
          <w:szCs w:val="20"/>
          <w:lang w:val="pt-BR"/>
        </w:rPr>
        <w:t xml:space="preserve"> </w:t>
      </w:r>
      <w:r w:rsidR="00D73840" w:rsidRPr="00D5464D">
        <w:rPr>
          <w:rFonts w:cs="Arial"/>
          <w:szCs w:val="20"/>
          <w:lang w:val="pt-BR"/>
        </w:rPr>
        <w:t>marcante</w:t>
      </w:r>
      <w:r w:rsidR="00E045D9" w:rsidRPr="00D5464D">
        <w:rPr>
          <w:rFonts w:cs="Arial"/>
          <w:szCs w:val="20"/>
          <w:lang w:val="pt-BR"/>
        </w:rPr>
        <w:t xml:space="preserve"> no </w:t>
      </w:r>
      <w:r w:rsidR="00D81AA1" w:rsidRPr="00D5464D">
        <w:rPr>
          <w:rFonts w:cs="Arial"/>
          <w:szCs w:val="20"/>
          <w:lang w:val="pt-BR"/>
        </w:rPr>
        <w:t>sistema tutelar</w:t>
      </w:r>
      <w:r w:rsidR="00470ADC" w:rsidRPr="00D5464D">
        <w:rPr>
          <w:rFonts w:cs="Arial"/>
          <w:szCs w:val="20"/>
          <w:lang w:val="pt-BR"/>
        </w:rPr>
        <w:t xml:space="preserve"> dos direito</w:t>
      </w:r>
      <w:r w:rsidR="00D81AA1" w:rsidRPr="00D5464D">
        <w:rPr>
          <w:rFonts w:cs="Arial"/>
          <w:szCs w:val="20"/>
          <w:lang w:val="pt-BR"/>
        </w:rPr>
        <w:t>s humanos consagrado</w:t>
      </w:r>
      <w:r w:rsidR="00470ADC" w:rsidRPr="00D5464D">
        <w:rPr>
          <w:rFonts w:cs="Arial"/>
          <w:szCs w:val="20"/>
          <w:lang w:val="pt-BR"/>
        </w:rPr>
        <w:t xml:space="preserve"> em </w:t>
      </w:r>
      <w:r w:rsidR="00E765C2" w:rsidRPr="00D5464D">
        <w:rPr>
          <w:rFonts w:cs="Arial"/>
          <w:szCs w:val="20"/>
          <w:lang w:val="pt-BR"/>
        </w:rPr>
        <w:t>vários</w:t>
      </w:r>
      <w:r w:rsidR="00D81AA1" w:rsidRPr="00D5464D">
        <w:rPr>
          <w:rFonts w:cs="Arial"/>
          <w:szCs w:val="20"/>
          <w:lang w:val="pt-BR"/>
        </w:rPr>
        <w:t xml:space="preserve"> instrumentos </w:t>
      </w:r>
      <w:r w:rsidR="002C330E" w:rsidRPr="00D5464D">
        <w:rPr>
          <w:rFonts w:cs="Arial"/>
          <w:szCs w:val="20"/>
          <w:lang w:val="pt-BR"/>
        </w:rPr>
        <w:t>internacionais</w:t>
      </w:r>
      <w:r w:rsidR="00E045D9" w:rsidRPr="00D5464D">
        <w:rPr>
          <w:rFonts w:cs="Arial"/>
          <w:szCs w:val="20"/>
          <w:lang w:val="pt-BR"/>
        </w:rPr>
        <w:t xml:space="preserve"> e </w:t>
      </w:r>
      <w:r w:rsidR="00737270" w:rsidRPr="00D5464D">
        <w:rPr>
          <w:rFonts w:cs="Arial"/>
          <w:szCs w:val="20"/>
          <w:lang w:val="pt-BR"/>
        </w:rPr>
        <w:t>des</w:t>
      </w:r>
      <w:r w:rsidR="00EB1CE9" w:rsidRPr="00D5464D">
        <w:rPr>
          <w:rFonts w:cs="Arial"/>
          <w:szCs w:val="20"/>
          <w:lang w:val="pt-BR"/>
        </w:rPr>
        <w:t>envolvido</w:t>
      </w:r>
      <w:r w:rsidR="002C330E" w:rsidRPr="00D5464D">
        <w:rPr>
          <w:rFonts w:cs="Arial"/>
          <w:szCs w:val="20"/>
          <w:lang w:val="pt-BR"/>
        </w:rPr>
        <w:t xml:space="preserve"> pela </w:t>
      </w:r>
      <w:r w:rsidR="00470ADC" w:rsidRPr="00D5464D">
        <w:rPr>
          <w:rFonts w:cs="Arial"/>
          <w:szCs w:val="20"/>
          <w:lang w:val="pt-BR"/>
        </w:rPr>
        <w:t>doutrina</w:t>
      </w:r>
      <w:r w:rsidR="00E045D9" w:rsidRPr="00D5464D">
        <w:rPr>
          <w:rFonts w:cs="Arial"/>
          <w:szCs w:val="20"/>
          <w:lang w:val="pt-BR"/>
        </w:rPr>
        <w:t xml:space="preserve"> e</w:t>
      </w:r>
      <w:r w:rsidRPr="00D5464D">
        <w:rPr>
          <w:rFonts w:cs="Arial"/>
          <w:szCs w:val="20"/>
          <w:lang w:val="pt-BR"/>
        </w:rPr>
        <w:t xml:space="preserve"> pela</w:t>
      </w:r>
      <w:r w:rsidR="00E045D9" w:rsidRPr="00D5464D">
        <w:rPr>
          <w:rFonts w:cs="Arial"/>
          <w:szCs w:val="20"/>
          <w:lang w:val="pt-BR"/>
        </w:rPr>
        <w:t xml:space="preserve"> </w:t>
      </w:r>
      <w:r w:rsidR="00D73840" w:rsidRPr="00D5464D">
        <w:rPr>
          <w:rFonts w:cs="Arial"/>
          <w:szCs w:val="20"/>
          <w:lang w:val="pt-BR"/>
        </w:rPr>
        <w:t xml:space="preserve">jurisprudência. </w:t>
      </w:r>
      <w:r w:rsidR="00C91CB1" w:rsidRPr="00D5464D">
        <w:rPr>
          <w:rFonts w:cs="Arial"/>
          <w:szCs w:val="20"/>
          <w:lang w:val="pt-BR"/>
        </w:rPr>
        <w:t xml:space="preserve">Na </w:t>
      </w:r>
      <w:r w:rsidR="00470ADC" w:rsidRPr="00D5464D">
        <w:rPr>
          <w:rFonts w:cs="Arial"/>
          <w:szCs w:val="20"/>
          <w:lang w:val="pt-BR"/>
        </w:rPr>
        <w:t>atual</w:t>
      </w:r>
      <w:r w:rsidR="00D81AA1" w:rsidRPr="00D5464D">
        <w:rPr>
          <w:rFonts w:cs="Arial"/>
          <w:szCs w:val="20"/>
          <w:lang w:val="pt-BR"/>
        </w:rPr>
        <w:t xml:space="preserve"> etapa</w:t>
      </w:r>
      <w:r w:rsidR="00470ADC" w:rsidRPr="00D5464D">
        <w:rPr>
          <w:rFonts w:cs="Arial"/>
          <w:szCs w:val="20"/>
          <w:lang w:val="pt-BR"/>
        </w:rPr>
        <w:t xml:space="preserve"> da </w:t>
      </w:r>
      <w:r w:rsidR="00D81AA1" w:rsidRPr="00D5464D">
        <w:rPr>
          <w:rFonts w:cs="Arial"/>
          <w:szCs w:val="20"/>
          <w:lang w:val="pt-BR"/>
        </w:rPr>
        <w:t>evolu</w:t>
      </w:r>
      <w:r w:rsidR="00470ADC" w:rsidRPr="00D5464D">
        <w:rPr>
          <w:rFonts w:cs="Arial"/>
          <w:szCs w:val="20"/>
          <w:lang w:val="pt-BR"/>
        </w:rPr>
        <w:t>ção</w:t>
      </w:r>
      <w:r w:rsidR="00D81AA1" w:rsidRPr="00D5464D">
        <w:rPr>
          <w:rFonts w:cs="Arial"/>
          <w:szCs w:val="20"/>
          <w:lang w:val="pt-BR"/>
        </w:rPr>
        <w:t xml:space="preserve"> </w:t>
      </w:r>
      <w:r w:rsidR="00470ADC" w:rsidRPr="00D5464D">
        <w:rPr>
          <w:rFonts w:cs="Arial"/>
          <w:szCs w:val="20"/>
          <w:lang w:val="pt-BR"/>
        </w:rPr>
        <w:t xml:space="preserve">do </w:t>
      </w:r>
      <w:r w:rsidR="00E765C2" w:rsidRPr="00D5464D">
        <w:rPr>
          <w:rFonts w:cs="Arial"/>
          <w:szCs w:val="20"/>
          <w:lang w:val="pt-BR"/>
        </w:rPr>
        <w:t>Direito Internacional</w:t>
      </w:r>
      <w:r w:rsidR="00D81AA1" w:rsidRPr="00D5464D">
        <w:rPr>
          <w:rFonts w:cs="Arial"/>
          <w:szCs w:val="20"/>
          <w:lang w:val="pt-BR"/>
        </w:rPr>
        <w:t>,</w:t>
      </w:r>
      <w:r w:rsidR="00470ADC" w:rsidRPr="00D5464D">
        <w:rPr>
          <w:rFonts w:cs="Arial"/>
          <w:szCs w:val="20"/>
          <w:lang w:val="pt-BR"/>
        </w:rPr>
        <w:t xml:space="preserve"> o </w:t>
      </w:r>
      <w:r w:rsidR="002C330E" w:rsidRPr="00D5464D">
        <w:rPr>
          <w:rFonts w:cs="Arial"/>
          <w:szCs w:val="20"/>
          <w:lang w:val="pt-BR"/>
        </w:rPr>
        <w:t>princípio</w:t>
      </w:r>
      <w:r w:rsidR="00D81AA1" w:rsidRPr="00D5464D">
        <w:rPr>
          <w:rFonts w:cs="Arial"/>
          <w:szCs w:val="20"/>
          <w:lang w:val="pt-BR"/>
        </w:rPr>
        <w:t xml:space="preserve"> fundamental de </w:t>
      </w:r>
      <w:r w:rsidR="002C330E" w:rsidRPr="00D5464D">
        <w:rPr>
          <w:rFonts w:cs="Arial"/>
          <w:szCs w:val="20"/>
          <w:lang w:val="pt-BR"/>
        </w:rPr>
        <w:t>igualdade</w:t>
      </w:r>
      <w:r w:rsidR="00E045D9" w:rsidRPr="00D5464D">
        <w:rPr>
          <w:rFonts w:cs="Arial"/>
          <w:szCs w:val="20"/>
          <w:lang w:val="pt-BR"/>
        </w:rPr>
        <w:t xml:space="preserve"> e</w:t>
      </w:r>
      <w:r w:rsidR="00A1358C" w:rsidRPr="00D5464D">
        <w:rPr>
          <w:rFonts w:cs="Arial"/>
          <w:szCs w:val="20"/>
          <w:lang w:val="pt-BR"/>
        </w:rPr>
        <w:t xml:space="preserve"> não discriminação</w:t>
      </w:r>
      <w:r w:rsidR="00D81AA1" w:rsidRPr="00D5464D">
        <w:rPr>
          <w:rFonts w:cs="Arial"/>
          <w:szCs w:val="20"/>
          <w:lang w:val="pt-BR"/>
        </w:rPr>
        <w:t xml:space="preserve"> </w:t>
      </w:r>
      <w:r w:rsidR="00EB1CE9" w:rsidRPr="00D5464D">
        <w:rPr>
          <w:rFonts w:cs="Arial"/>
          <w:szCs w:val="20"/>
          <w:lang w:val="pt-BR"/>
        </w:rPr>
        <w:t>ingressou</w:t>
      </w:r>
      <w:r w:rsidR="00E045D9" w:rsidRPr="00D5464D">
        <w:rPr>
          <w:rFonts w:cs="Arial"/>
          <w:szCs w:val="20"/>
          <w:lang w:val="pt-BR"/>
        </w:rPr>
        <w:t xml:space="preserve"> no </w:t>
      </w:r>
      <w:r w:rsidR="00230C71" w:rsidRPr="00D5464D">
        <w:rPr>
          <w:rFonts w:cs="Arial"/>
          <w:szCs w:val="20"/>
          <w:lang w:val="pt-BR"/>
        </w:rPr>
        <w:t xml:space="preserve">domínio </w:t>
      </w:r>
      <w:r w:rsidR="00470ADC" w:rsidRPr="00D5464D">
        <w:rPr>
          <w:rFonts w:cs="Arial"/>
          <w:szCs w:val="20"/>
          <w:lang w:val="pt-BR"/>
        </w:rPr>
        <w:t xml:space="preserve">do </w:t>
      </w:r>
      <w:r w:rsidR="00D81AA1" w:rsidRPr="00D5464D">
        <w:rPr>
          <w:rFonts w:cs="Arial"/>
          <w:i/>
          <w:iCs/>
          <w:szCs w:val="20"/>
          <w:lang w:val="pt-BR"/>
        </w:rPr>
        <w:t xml:space="preserve">jus cogens. </w:t>
      </w:r>
      <w:r w:rsidR="00D81AA1" w:rsidRPr="00D5464D">
        <w:rPr>
          <w:rFonts w:cs="Arial"/>
          <w:szCs w:val="20"/>
          <w:lang w:val="pt-BR"/>
        </w:rPr>
        <w:t>Sobre</w:t>
      </w:r>
      <w:r w:rsidR="00470ADC" w:rsidRPr="00D5464D">
        <w:rPr>
          <w:rFonts w:cs="Arial"/>
          <w:szCs w:val="20"/>
          <w:lang w:val="pt-BR"/>
        </w:rPr>
        <w:t xml:space="preserve"> ele </w:t>
      </w:r>
      <w:r w:rsidR="00D81AA1" w:rsidRPr="00D5464D">
        <w:rPr>
          <w:rFonts w:cs="Arial"/>
          <w:szCs w:val="20"/>
          <w:lang w:val="pt-BR"/>
        </w:rPr>
        <w:t>descansa</w:t>
      </w:r>
      <w:r w:rsidR="00470ADC" w:rsidRPr="00D5464D">
        <w:rPr>
          <w:rFonts w:cs="Arial"/>
          <w:szCs w:val="20"/>
          <w:lang w:val="pt-BR"/>
        </w:rPr>
        <w:t xml:space="preserve"> o </w:t>
      </w:r>
      <w:r w:rsidR="00D73840" w:rsidRPr="00D5464D">
        <w:rPr>
          <w:rFonts w:cs="Arial"/>
          <w:szCs w:val="20"/>
          <w:lang w:val="pt-BR"/>
        </w:rPr>
        <w:t>arcabouço</w:t>
      </w:r>
      <w:r w:rsidR="00D81AA1" w:rsidRPr="00D5464D">
        <w:rPr>
          <w:rFonts w:cs="Arial"/>
          <w:szCs w:val="20"/>
          <w:lang w:val="pt-BR"/>
        </w:rPr>
        <w:t xml:space="preserve"> jurídico </w:t>
      </w:r>
      <w:r w:rsidR="00470ADC" w:rsidRPr="00D5464D">
        <w:rPr>
          <w:rFonts w:cs="Arial"/>
          <w:szCs w:val="20"/>
          <w:lang w:val="pt-BR"/>
        </w:rPr>
        <w:t>d</w:t>
      </w:r>
      <w:r w:rsidR="00C91CB1" w:rsidRPr="00D5464D">
        <w:rPr>
          <w:rFonts w:cs="Arial"/>
          <w:szCs w:val="20"/>
          <w:lang w:val="pt-BR"/>
        </w:rPr>
        <w:t>a ordem pública</w:t>
      </w:r>
      <w:r w:rsidR="00D81AA1" w:rsidRPr="00D5464D">
        <w:rPr>
          <w:rFonts w:cs="Arial"/>
          <w:szCs w:val="20"/>
          <w:lang w:val="pt-BR"/>
        </w:rPr>
        <w:t xml:space="preserve"> nacional e internacional</w:t>
      </w:r>
      <w:r w:rsidR="00E045D9" w:rsidRPr="00D5464D">
        <w:rPr>
          <w:rFonts w:cs="Arial"/>
          <w:szCs w:val="20"/>
          <w:lang w:val="pt-BR"/>
        </w:rPr>
        <w:t xml:space="preserve"> e </w:t>
      </w:r>
      <w:r w:rsidR="00D81AA1" w:rsidRPr="00D5464D">
        <w:rPr>
          <w:rFonts w:cs="Arial"/>
          <w:szCs w:val="20"/>
          <w:lang w:val="pt-BR"/>
        </w:rPr>
        <w:t>perme</w:t>
      </w:r>
      <w:r w:rsidR="00D73840" w:rsidRPr="00D5464D">
        <w:rPr>
          <w:rFonts w:cs="Arial"/>
          <w:szCs w:val="20"/>
          <w:lang w:val="pt-BR"/>
        </w:rPr>
        <w:t xml:space="preserve">ia </w:t>
      </w:r>
      <w:r w:rsidR="00D81AA1" w:rsidRPr="00D5464D">
        <w:rPr>
          <w:rFonts w:cs="Arial"/>
          <w:szCs w:val="20"/>
          <w:lang w:val="pt-BR"/>
        </w:rPr>
        <w:t>a todo</w:t>
      </w:r>
      <w:r w:rsidR="00470ADC" w:rsidRPr="00D5464D">
        <w:rPr>
          <w:rFonts w:cs="Arial"/>
          <w:szCs w:val="20"/>
          <w:lang w:val="pt-BR"/>
        </w:rPr>
        <w:t xml:space="preserve"> o </w:t>
      </w:r>
      <w:r w:rsidR="002C330E" w:rsidRPr="00D5464D">
        <w:rPr>
          <w:rFonts w:cs="Arial"/>
          <w:szCs w:val="20"/>
          <w:lang w:val="pt-BR"/>
        </w:rPr>
        <w:t>ordenamento</w:t>
      </w:r>
      <w:r w:rsidR="00D81AA1" w:rsidRPr="00D5464D">
        <w:rPr>
          <w:rFonts w:cs="Arial"/>
          <w:szCs w:val="20"/>
          <w:lang w:val="pt-BR"/>
        </w:rPr>
        <w:t xml:space="preserve"> jurídico</w:t>
      </w:r>
      <w:r w:rsidR="0025611E" w:rsidRPr="00D5464D">
        <w:rPr>
          <w:rFonts w:cs="Arial"/>
          <w:szCs w:val="20"/>
          <w:lang w:val="pt-BR"/>
        </w:rPr>
        <w:t>.</w:t>
      </w:r>
      <w:r w:rsidR="00D81AA1" w:rsidRPr="00D5464D">
        <w:rPr>
          <w:rStyle w:val="Refdenotaalpie"/>
          <w:lang w:val="pt-BR"/>
        </w:rPr>
        <w:footnoteReference w:id="515"/>
      </w:r>
    </w:p>
    <w:p w14:paraId="3512B3BB" w14:textId="77777777" w:rsidR="00D81AA1" w:rsidRPr="00D5464D" w:rsidRDefault="00D81AA1" w:rsidP="00D81AA1">
      <w:pPr>
        <w:pStyle w:val="Prrafodelista"/>
        <w:rPr>
          <w:rFonts w:cs="Arial"/>
          <w:szCs w:val="20"/>
          <w:lang w:val="pt-BR"/>
        </w:rPr>
      </w:pPr>
    </w:p>
    <w:p w14:paraId="2985D71D" w14:textId="2B201097" w:rsidR="00D81AA1" w:rsidRPr="00D5464D" w:rsidRDefault="00470ADC" w:rsidP="00D81AA1">
      <w:pPr>
        <w:pStyle w:val="Prrafodelista"/>
        <w:numPr>
          <w:ilvl w:val="0"/>
          <w:numId w:val="1"/>
        </w:numPr>
        <w:contextualSpacing w:val="0"/>
        <w:rPr>
          <w:rFonts w:cs="Arial"/>
          <w:szCs w:val="20"/>
          <w:lang w:val="pt-BR"/>
        </w:rPr>
      </w:pPr>
      <w:r w:rsidRPr="00D5464D">
        <w:rPr>
          <w:rFonts w:cs="Arial"/>
          <w:szCs w:val="20"/>
          <w:lang w:val="pt-BR"/>
        </w:rPr>
        <w:t xml:space="preserve">No </w:t>
      </w:r>
      <w:r w:rsidR="00D81AA1" w:rsidRPr="00D5464D">
        <w:rPr>
          <w:rFonts w:cs="Arial"/>
          <w:szCs w:val="20"/>
          <w:lang w:val="pt-BR"/>
        </w:rPr>
        <w:t>presente caso</w:t>
      </w:r>
      <w:r w:rsidR="00D73840" w:rsidRPr="00D5464D">
        <w:rPr>
          <w:rFonts w:cs="Arial"/>
          <w:szCs w:val="20"/>
          <w:lang w:val="pt-BR"/>
        </w:rPr>
        <w:t>,</w:t>
      </w:r>
      <w:r w:rsidR="002C330E" w:rsidRPr="00D5464D">
        <w:rPr>
          <w:rFonts w:cs="Arial"/>
          <w:szCs w:val="20"/>
          <w:lang w:val="pt-BR"/>
        </w:rPr>
        <w:t xml:space="preserve"> a </w:t>
      </w:r>
      <w:r w:rsidR="00D81AA1" w:rsidRPr="00D5464D">
        <w:rPr>
          <w:rFonts w:cs="Arial"/>
          <w:szCs w:val="20"/>
          <w:lang w:val="pt-BR"/>
        </w:rPr>
        <w:t xml:space="preserve">Corte nota </w:t>
      </w:r>
      <w:r w:rsidR="00D73840" w:rsidRPr="00D5464D">
        <w:rPr>
          <w:rFonts w:cs="Arial"/>
          <w:szCs w:val="20"/>
          <w:lang w:val="pt-BR"/>
        </w:rPr>
        <w:t xml:space="preserve">a existência de </w:t>
      </w:r>
      <w:r w:rsidR="00E045D9" w:rsidRPr="00D5464D">
        <w:rPr>
          <w:rFonts w:cs="Arial"/>
          <w:szCs w:val="20"/>
          <w:lang w:val="pt-BR"/>
        </w:rPr>
        <w:t xml:space="preserve">uma </w:t>
      </w:r>
      <w:r w:rsidRPr="00D5464D">
        <w:rPr>
          <w:rFonts w:cs="Arial"/>
          <w:szCs w:val="20"/>
          <w:lang w:val="pt-BR"/>
        </w:rPr>
        <w:t>afetação</w:t>
      </w:r>
      <w:r w:rsidR="00D81AA1" w:rsidRPr="00D5464D">
        <w:rPr>
          <w:rFonts w:cs="Arial"/>
          <w:szCs w:val="20"/>
          <w:lang w:val="pt-BR"/>
        </w:rPr>
        <w:t xml:space="preserve"> desproporcional</w:t>
      </w:r>
      <w:r w:rsidR="00230C71" w:rsidRPr="00D5464D">
        <w:rPr>
          <w:rFonts w:cs="Arial"/>
          <w:szCs w:val="20"/>
          <w:lang w:val="pt-BR"/>
        </w:rPr>
        <w:t xml:space="preserve"> contra </w:t>
      </w:r>
      <w:r w:rsidR="00E045D9" w:rsidRPr="00D5464D">
        <w:rPr>
          <w:rFonts w:cs="Arial"/>
          <w:szCs w:val="20"/>
          <w:lang w:val="pt-BR"/>
        </w:rPr>
        <w:t xml:space="preserve">uma </w:t>
      </w:r>
      <w:r w:rsidR="00D81AA1" w:rsidRPr="00D5464D">
        <w:rPr>
          <w:rFonts w:cs="Arial"/>
          <w:szCs w:val="20"/>
          <w:lang w:val="pt-BR"/>
        </w:rPr>
        <w:t>parte</w:t>
      </w:r>
      <w:r w:rsidRPr="00D5464D">
        <w:rPr>
          <w:rFonts w:cs="Arial"/>
          <w:szCs w:val="20"/>
          <w:lang w:val="pt-BR"/>
        </w:rPr>
        <w:t xml:space="preserve"> da </w:t>
      </w:r>
      <w:r w:rsidR="002C330E" w:rsidRPr="00D5464D">
        <w:rPr>
          <w:rFonts w:cs="Arial"/>
          <w:szCs w:val="20"/>
          <w:lang w:val="pt-BR"/>
        </w:rPr>
        <w:t>população</w:t>
      </w:r>
      <w:r w:rsidR="00D81AA1" w:rsidRPr="00D5464D">
        <w:rPr>
          <w:rFonts w:cs="Arial"/>
          <w:szCs w:val="20"/>
          <w:lang w:val="pt-BR"/>
        </w:rPr>
        <w:t xml:space="preserve"> que compart</w:t>
      </w:r>
      <w:r w:rsidR="00D73840" w:rsidRPr="00D5464D">
        <w:rPr>
          <w:rFonts w:cs="Arial"/>
          <w:szCs w:val="20"/>
          <w:lang w:val="pt-BR"/>
        </w:rPr>
        <w:t xml:space="preserve">ilhava </w:t>
      </w:r>
      <w:r w:rsidR="00D81AA1" w:rsidRPr="00D5464D">
        <w:rPr>
          <w:rFonts w:cs="Arial"/>
          <w:szCs w:val="20"/>
          <w:lang w:val="pt-BR"/>
        </w:rPr>
        <w:t xml:space="preserve">características relativas </w:t>
      </w:r>
      <w:r w:rsidR="00D73840" w:rsidRPr="00D5464D">
        <w:rPr>
          <w:rFonts w:cs="Arial"/>
          <w:szCs w:val="20"/>
          <w:lang w:val="pt-BR"/>
        </w:rPr>
        <w:t>à</w:t>
      </w:r>
      <w:r w:rsidR="00D81AA1" w:rsidRPr="00D5464D">
        <w:rPr>
          <w:rFonts w:cs="Arial"/>
          <w:szCs w:val="20"/>
          <w:lang w:val="pt-BR"/>
        </w:rPr>
        <w:t xml:space="preserve"> </w:t>
      </w:r>
      <w:r w:rsidR="00A1358C" w:rsidRPr="00D5464D">
        <w:rPr>
          <w:rFonts w:cs="Arial"/>
          <w:szCs w:val="20"/>
          <w:lang w:val="pt-BR"/>
        </w:rPr>
        <w:t>sua condição</w:t>
      </w:r>
      <w:r w:rsidR="00D81AA1" w:rsidRPr="00D5464D">
        <w:rPr>
          <w:rFonts w:cs="Arial"/>
          <w:szCs w:val="20"/>
          <w:lang w:val="pt-BR"/>
        </w:rPr>
        <w:t xml:space="preserve"> de </w:t>
      </w:r>
      <w:r w:rsidRPr="00D5464D">
        <w:rPr>
          <w:rFonts w:cs="Arial"/>
          <w:szCs w:val="20"/>
          <w:lang w:val="pt-BR"/>
        </w:rPr>
        <w:t>exclusão</w:t>
      </w:r>
      <w:r w:rsidR="00D81AA1" w:rsidRPr="00D5464D">
        <w:rPr>
          <w:rFonts w:cs="Arial"/>
          <w:szCs w:val="20"/>
          <w:lang w:val="pt-BR"/>
        </w:rPr>
        <w:t>, pobreza</w:t>
      </w:r>
      <w:r w:rsidR="00E045D9" w:rsidRPr="00D5464D">
        <w:rPr>
          <w:rFonts w:cs="Arial"/>
          <w:szCs w:val="20"/>
          <w:lang w:val="pt-BR"/>
        </w:rPr>
        <w:t xml:space="preserve"> e </w:t>
      </w:r>
      <w:r w:rsidR="00D81AA1" w:rsidRPr="00D5464D">
        <w:rPr>
          <w:rFonts w:cs="Arial"/>
          <w:szCs w:val="20"/>
          <w:lang w:val="pt-BR"/>
        </w:rPr>
        <w:t xml:space="preserve">falta de </w:t>
      </w:r>
      <w:r w:rsidRPr="00D5464D">
        <w:rPr>
          <w:rFonts w:cs="Arial"/>
          <w:szCs w:val="20"/>
          <w:lang w:val="pt-BR"/>
        </w:rPr>
        <w:t>estudo</w:t>
      </w:r>
      <w:r w:rsidR="00D81AA1" w:rsidRPr="00D5464D">
        <w:rPr>
          <w:rFonts w:cs="Arial"/>
          <w:szCs w:val="20"/>
          <w:lang w:val="pt-BR"/>
        </w:rPr>
        <w:t xml:space="preserve">s. </w:t>
      </w:r>
      <w:r w:rsidR="00D73840" w:rsidRPr="00D5464D">
        <w:rPr>
          <w:rFonts w:cs="Arial"/>
          <w:szCs w:val="20"/>
          <w:lang w:val="pt-BR"/>
        </w:rPr>
        <w:t xml:space="preserve">Foi constatado </w:t>
      </w:r>
      <w:r w:rsidR="00947ED0" w:rsidRPr="00D5464D">
        <w:rPr>
          <w:rFonts w:cs="Arial"/>
          <w:szCs w:val="20"/>
          <w:lang w:val="pt-BR"/>
        </w:rPr>
        <w:t>que</w:t>
      </w:r>
      <w:r w:rsidR="002C330E" w:rsidRPr="00D5464D">
        <w:rPr>
          <w:rFonts w:cs="Arial"/>
          <w:szCs w:val="20"/>
          <w:lang w:val="pt-BR"/>
        </w:rPr>
        <w:t xml:space="preserve"> as </w:t>
      </w:r>
      <w:r w:rsidR="00E045D9" w:rsidRPr="00D5464D">
        <w:rPr>
          <w:rFonts w:cs="Arial"/>
          <w:szCs w:val="20"/>
          <w:lang w:val="pt-BR"/>
        </w:rPr>
        <w:t>vítima</w:t>
      </w:r>
      <w:r w:rsidR="00947ED0" w:rsidRPr="00D5464D">
        <w:rPr>
          <w:rFonts w:cs="Arial"/>
          <w:szCs w:val="20"/>
          <w:lang w:val="pt-BR"/>
        </w:rPr>
        <w:t>s</w:t>
      </w:r>
      <w:r w:rsidRPr="00D5464D">
        <w:rPr>
          <w:rFonts w:cs="Arial"/>
          <w:szCs w:val="20"/>
          <w:lang w:val="pt-BR"/>
        </w:rPr>
        <w:t xml:space="preserve"> da </w:t>
      </w:r>
      <w:r w:rsidR="00AB4663" w:rsidRPr="00D5464D">
        <w:rPr>
          <w:rFonts w:cs="Arial"/>
          <w:szCs w:val="20"/>
          <w:lang w:val="pt-BR"/>
        </w:rPr>
        <w:t>fiscalização</w:t>
      </w:r>
      <w:r w:rsidR="00947ED0" w:rsidRPr="00D5464D">
        <w:rPr>
          <w:rFonts w:cs="Arial"/>
          <w:szCs w:val="20"/>
          <w:lang w:val="pt-BR"/>
        </w:rPr>
        <w:t xml:space="preserve"> </w:t>
      </w:r>
      <w:r w:rsidRPr="00D5464D">
        <w:rPr>
          <w:rFonts w:cs="Arial"/>
          <w:szCs w:val="20"/>
          <w:lang w:val="pt-BR"/>
        </w:rPr>
        <w:t xml:space="preserve">do ano </w:t>
      </w:r>
      <w:r w:rsidR="00947ED0" w:rsidRPr="00D5464D">
        <w:rPr>
          <w:rFonts w:cs="Arial"/>
          <w:szCs w:val="20"/>
          <w:lang w:val="pt-BR"/>
        </w:rPr>
        <w:t xml:space="preserve">2000 </w:t>
      </w:r>
      <w:r w:rsidR="00477B43" w:rsidRPr="00D5464D">
        <w:rPr>
          <w:rFonts w:cs="Arial"/>
          <w:szCs w:val="20"/>
          <w:lang w:val="pt-BR"/>
        </w:rPr>
        <w:t>compart</w:t>
      </w:r>
      <w:r w:rsidR="00D73840" w:rsidRPr="00D5464D">
        <w:rPr>
          <w:rFonts w:cs="Arial"/>
          <w:szCs w:val="20"/>
          <w:lang w:val="pt-BR"/>
        </w:rPr>
        <w:t>ilhavam d</w:t>
      </w:r>
      <w:r w:rsidR="00477B43" w:rsidRPr="00D5464D">
        <w:rPr>
          <w:rFonts w:cs="Arial"/>
          <w:szCs w:val="20"/>
          <w:lang w:val="pt-BR"/>
        </w:rPr>
        <w:t>estas características</w:t>
      </w:r>
      <w:r w:rsidR="005341B3" w:rsidRPr="00D5464D">
        <w:rPr>
          <w:rFonts w:cs="Arial"/>
          <w:szCs w:val="20"/>
          <w:lang w:val="pt-BR"/>
        </w:rPr>
        <w:t>,</w:t>
      </w:r>
      <w:r w:rsidR="002C330E" w:rsidRPr="00D5464D">
        <w:rPr>
          <w:rFonts w:cs="Arial"/>
          <w:szCs w:val="20"/>
          <w:lang w:val="pt-BR"/>
        </w:rPr>
        <w:t xml:space="preserve"> as </w:t>
      </w:r>
      <w:r w:rsidRPr="00D5464D">
        <w:rPr>
          <w:rFonts w:cs="Arial"/>
          <w:szCs w:val="20"/>
          <w:lang w:val="pt-BR"/>
        </w:rPr>
        <w:t>quais</w:t>
      </w:r>
      <w:r w:rsidR="002C330E" w:rsidRPr="00D5464D">
        <w:rPr>
          <w:rFonts w:cs="Arial"/>
          <w:szCs w:val="20"/>
          <w:lang w:val="pt-BR"/>
        </w:rPr>
        <w:t xml:space="preserve"> os </w:t>
      </w:r>
      <w:r w:rsidR="005341B3" w:rsidRPr="00D5464D">
        <w:rPr>
          <w:rFonts w:cs="Arial"/>
          <w:szCs w:val="20"/>
          <w:lang w:val="pt-BR"/>
        </w:rPr>
        <w:t>coloc</w:t>
      </w:r>
      <w:r w:rsidR="00EB1CE9" w:rsidRPr="00D5464D">
        <w:rPr>
          <w:rFonts w:cs="Arial"/>
          <w:szCs w:val="20"/>
          <w:lang w:val="pt-BR"/>
        </w:rPr>
        <w:t xml:space="preserve">avam </w:t>
      </w:r>
      <w:r w:rsidRPr="00D5464D">
        <w:rPr>
          <w:rFonts w:cs="Arial"/>
          <w:szCs w:val="20"/>
          <w:lang w:val="pt-BR"/>
        </w:rPr>
        <w:t>em</w:t>
      </w:r>
      <w:r w:rsidR="00E045D9" w:rsidRPr="00D5464D">
        <w:rPr>
          <w:rFonts w:cs="Arial"/>
          <w:szCs w:val="20"/>
          <w:lang w:val="pt-BR"/>
        </w:rPr>
        <w:t xml:space="preserve"> uma </w:t>
      </w:r>
      <w:r w:rsidR="00D73840" w:rsidRPr="00D5464D">
        <w:rPr>
          <w:rFonts w:cs="Arial"/>
          <w:szCs w:val="20"/>
          <w:lang w:val="pt-BR"/>
        </w:rPr>
        <w:t xml:space="preserve">particular </w:t>
      </w:r>
      <w:r w:rsidR="005341B3" w:rsidRPr="00D5464D">
        <w:rPr>
          <w:rFonts w:cs="Arial"/>
          <w:szCs w:val="20"/>
          <w:lang w:val="pt-BR"/>
        </w:rPr>
        <w:t>situa</w:t>
      </w:r>
      <w:r w:rsidRPr="00D5464D">
        <w:rPr>
          <w:rFonts w:cs="Arial"/>
          <w:szCs w:val="20"/>
          <w:lang w:val="pt-BR"/>
        </w:rPr>
        <w:t>ção</w:t>
      </w:r>
      <w:r w:rsidR="005341B3" w:rsidRPr="00D5464D">
        <w:rPr>
          <w:rFonts w:cs="Arial"/>
          <w:szCs w:val="20"/>
          <w:lang w:val="pt-BR"/>
        </w:rPr>
        <w:t xml:space="preserve"> de </w:t>
      </w:r>
      <w:r w:rsidR="00E045D9" w:rsidRPr="00D5464D">
        <w:rPr>
          <w:rFonts w:cs="Arial"/>
          <w:szCs w:val="20"/>
          <w:lang w:val="pt-BR"/>
        </w:rPr>
        <w:t xml:space="preserve">vulnerabilidade </w:t>
      </w:r>
      <w:r w:rsidR="00D81AA1" w:rsidRPr="00D5464D">
        <w:rPr>
          <w:rFonts w:cs="Arial"/>
          <w:szCs w:val="20"/>
          <w:lang w:val="pt-BR"/>
        </w:rPr>
        <w:t>(</w:t>
      </w:r>
      <w:r w:rsidR="00C85EA9" w:rsidRPr="00D5464D">
        <w:rPr>
          <w:rFonts w:cs="Arial"/>
          <w:szCs w:val="20"/>
          <w:lang w:val="pt-BR"/>
        </w:rPr>
        <w:t xml:space="preserve">par. </w:t>
      </w:r>
      <w:r w:rsidR="00D036E7" w:rsidRPr="00D5464D">
        <w:rPr>
          <w:rFonts w:cs="Arial"/>
          <w:szCs w:val="20"/>
          <w:lang w:val="pt-BR"/>
        </w:rPr>
        <w:t>41</w:t>
      </w:r>
      <w:r w:rsidR="00D036E7" w:rsidRPr="00D5464D">
        <w:rPr>
          <w:rFonts w:cs="Arial"/>
          <w:i/>
          <w:szCs w:val="20"/>
          <w:lang w:val="pt-BR"/>
        </w:rPr>
        <w:t xml:space="preserve"> supra</w:t>
      </w:r>
      <w:r w:rsidR="00D036E7" w:rsidRPr="00D5464D">
        <w:rPr>
          <w:rFonts w:cs="Arial"/>
          <w:szCs w:val="20"/>
          <w:lang w:val="pt-BR"/>
        </w:rPr>
        <w:t>)</w:t>
      </w:r>
      <w:r w:rsidR="00D81AA1" w:rsidRPr="00D5464D">
        <w:rPr>
          <w:rFonts w:cs="Arial"/>
          <w:szCs w:val="20"/>
          <w:lang w:val="pt-BR"/>
        </w:rPr>
        <w:t>.</w:t>
      </w:r>
    </w:p>
    <w:p w14:paraId="22304BF3" w14:textId="77777777" w:rsidR="00747A03" w:rsidRPr="00D5464D" w:rsidRDefault="00747A03" w:rsidP="00747A03">
      <w:pPr>
        <w:pStyle w:val="Prrafodelista"/>
        <w:ind w:left="0"/>
        <w:contextualSpacing w:val="0"/>
        <w:rPr>
          <w:rFonts w:cs="Arial"/>
          <w:szCs w:val="20"/>
          <w:lang w:val="pt-BR"/>
        </w:rPr>
      </w:pPr>
    </w:p>
    <w:p w14:paraId="4F94792F" w14:textId="2E54FBCC" w:rsidR="00D81AA1" w:rsidRPr="00D5464D" w:rsidRDefault="00470ADC" w:rsidP="00D81AA1">
      <w:pPr>
        <w:pStyle w:val="Prrafodelista"/>
        <w:numPr>
          <w:ilvl w:val="0"/>
          <w:numId w:val="1"/>
        </w:numPr>
        <w:contextualSpacing w:val="0"/>
        <w:rPr>
          <w:rFonts w:cs="Arial"/>
          <w:szCs w:val="20"/>
          <w:lang w:val="pt-BR"/>
        </w:rPr>
      </w:pPr>
      <w:r w:rsidRPr="00D5464D">
        <w:rPr>
          <w:rFonts w:cs="Arial"/>
          <w:szCs w:val="20"/>
          <w:lang w:val="pt-BR"/>
        </w:rPr>
        <w:t xml:space="preserve">A </w:t>
      </w:r>
      <w:r w:rsidR="00D81AA1" w:rsidRPr="00D5464D">
        <w:rPr>
          <w:rFonts w:cs="Arial"/>
          <w:szCs w:val="20"/>
          <w:lang w:val="pt-BR"/>
        </w:rPr>
        <w:t xml:space="preserve">Corte nota que </w:t>
      </w:r>
      <w:r w:rsidR="00A1358C" w:rsidRPr="00D5464D">
        <w:rPr>
          <w:rFonts w:cs="Arial"/>
          <w:szCs w:val="20"/>
          <w:lang w:val="pt-BR"/>
        </w:rPr>
        <w:t xml:space="preserve">a </w:t>
      </w:r>
      <w:r w:rsidR="00D73840" w:rsidRPr="00D5464D">
        <w:rPr>
          <w:rFonts w:cs="Arial"/>
          <w:szCs w:val="20"/>
          <w:lang w:val="pt-BR"/>
        </w:rPr>
        <w:t xml:space="preserve">partir da </w:t>
      </w:r>
      <w:r w:rsidR="00A1358C" w:rsidRPr="00D5464D">
        <w:rPr>
          <w:rFonts w:cs="Arial"/>
          <w:szCs w:val="20"/>
          <w:lang w:val="pt-BR"/>
        </w:rPr>
        <w:t>análise</w:t>
      </w:r>
      <w:r w:rsidRPr="00D5464D">
        <w:rPr>
          <w:rFonts w:cs="Arial"/>
          <w:szCs w:val="20"/>
          <w:lang w:val="pt-BR"/>
        </w:rPr>
        <w:t xml:space="preserve"> dos </w:t>
      </w:r>
      <w:r w:rsidR="002C330E" w:rsidRPr="00D5464D">
        <w:rPr>
          <w:rFonts w:cs="Arial"/>
          <w:szCs w:val="20"/>
          <w:lang w:val="pt-BR"/>
        </w:rPr>
        <w:t>processo</w:t>
      </w:r>
      <w:r w:rsidR="00D81AA1" w:rsidRPr="00D5464D">
        <w:rPr>
          <w:rFonts w:cs="Arial"/>
          <w:szCs w:val="20"/>
          <w:lang w:val="pt-BR"/>
        </w:rPr>
        <w:t xml:space="preserve">s </w:t>
      </w:r>
      <w:r w:rsidR="00D73840" w:rsidRPr="00D5464D">
        <w:rPr>
          <w:rFonts w:cs="Arial"/>
          <w:szCs w:val="20"/>
          <w:lang w:val="pt-BR"/>
        </w:rPr>
        <w:t xml:space="preserve">promovidos em relação aos </w:t>
      </w:r>
      <w:r w:rsidR="002C330E" w:rsidRPr="00D5464D">
        <w:rPr>
          <w:rFonts w:cs="Arial"/>
          <w:szCs w:val="20"/>
          <w:lang w:val="pt-BR"/>
        </w:rPr>
        <w:t>fatos</w:t>
      </w:r>
      <w:r w:rsidR="00D81AA1" w:rsidRPr="00D5464D">
        <w:rPr>
          <w:rFonts w:cs="Arial"/>
          <w:szCs w:val="20"/>
          <w:lang w:val="pt-BR"/>
        </w:rPr>
        <w:t xml:space="preserve"> que oc</w:t>
      </w:r>
      <w:r w:rsidR="00D73840" w:rsidRPr="00D5464D">
        <w:rPr>
          <w:rFonts w:cs="Arial"/>
          <w:szCs w:val="20"/>
          <w:lang w:val="pt-BR"/>
        </w:rPr>
        <w:t>o</w:t>
      </w:r>
      <w:r w:rsidR="00D81AA1" w:rsidRPr="00D5464D">
        <w:rPr>
          <w:rFonts w:cs="Arial"/>
          <w:szCs w:val="20"/>
          <w:lang w:val="pt-BR"/>
        </w:rPr>
        <w:t>r</w:t>
      </w:r>
      <w:r w:rsidR="00350187" w:rsidRPr="00D5464D">
        <w:rPr>
          <w:rFonts w:cs="Arial"/>
          <w:szCs w:val="20"/>
          <w:lang w:val="pt-BR"/>
        </w:rPr>
        <w:t xml:space="preserve">riam </w:t>
      </w:r>
      <w:r w:rsidR="00E045D9" w:rsidRPr="00D5464D">
        <w:rPr>
          <w:rFonts w:cs="Arial"/>
          <w:szCs w:val="20"/>
          <w:lang w:val="pt-BR"/>
        </w:rPr>
        <w:t xml:space="preserve">na </w:t>
      </w:r>
      <w:r w:rsidR="00D809F0" w:rsidRPr="00D5464D">
        <w:rPr>
          <w:rFonts w:cs="Arial"/>
          <w:szCs w:val="20"/>
          <w:lang w:val="pt-BR"/>
        </w:rPr>
        <w:t>Fazenda</w:t>
      </w:r>
      <w:r w:rsidR="00D81AA1" w:rsidRPr="00D5464D">
        <w:rPr>
          <w:rFonts w:cs="Arial"/>
          <w:szCs w:val="20"/>
          <w:lang w:val="pt-BR"/>
        </w:rPr>
        <w:t xml:space="preserve"> Brasil Verde </w:t>
      </w:r>
      <w:r w:rsidR="00C176E3" w:rsidRPr="00D5464D">
        <w:rPr>
          <w:rFonts w:cs="Arial"/>
          <w:szCs w:val="20"/>
          <w:lang w:val="pt-BR"/>
        </w:rPr>
        <w:t xml:space="preserve">é possível </w:t>
      </w:r>
      <w:r w:rsidR="00D81AA1" w:rsidRPr="00D5464D">
        <w:rPr>
          <w:rFonts w:cs="Arial"/>
          <w:szCs w:val="20"/>
          <w:lang w:val="pt-BR"/>
        </w:rPr>
        <w:t>observ</w:t>
      </w:r>
      <w:r w:rsidR="00C91CB1" w:rsidRPr="00D5464D">
        <w:rPr>
          <w:rFonts w:cs="Arial"/>
          <w:szCs w:val="20"/>
          <w:lang w:val="pt-BR"/>
        </w:rPr>
        <w:t xml:space="preserve">ar </w:t>
      </w:r>
      <w:r w:rsidR="00D81AA1" w:rsidRPr="00D5464D">
        <w:rPr>
          <w:rFonts w:cs="Arial"/>
          <w:szCs w:val="20"/>
          <w:lang w:val="pt-BR"/>
        </w:rPr>
        <w:t>que</w:t>
      </w:r>
      <w:r w:rsidR="002C330E" w:rsidRPr="00D5464D">
        <w:rPr>
          <w:rFonts w:cs="Arial"/>
          <w:szCs w:val="20"/>
          <w:lang w:val="pt-BR"/>
        </w:rPr>
        <w:t xml:space="preserve"> as </w:t>
      </w:r>
      <w:r w:rsidR="00D81AA1" w:rsidRPr="00D5464D">
        <w:rPr>
          <w:rFonts w:cs="Arial"/>
          <w:szCs w:val="20"/>
          <w:lang w:val="pt-BR"/>
        </w:rPr>
        <w:t>autoridades n</w:t>
      </w:r>
      <w:r w:rsidR="00D73840" w:rsidRPr="00D5464D">
        <w:rPr>
          <w:rFonts w:cs="Arial"/>
          <w:szCs w:val="20"/>
          <w:lang w:val="pt-BR"/>
        </w:rPr>
        <w:t xml:space="preserve">ão </w:t>
      </w:r>
      <w:r w:rsidR="003526B8" w:rsidRPr="00D5464D">
        <w:rPr>
          <w:rFonts w:cs="Arial"/>
          <w:szCs w:val="20"/>
          <w:lang w:val="pt-BR"/>
        </w:rPr>
        <w:t>consideraram a extrema gravidade</w:t>
      </w:r>
      <w:r w:rsidR="003526B8" w:rsidRPr="00D5464D" w:rsidDel="003526B8">
        <w:rPr>
          <w:rFonts w:cs="Arial"/>
          <w:szCs w:val="20"/>
          <w:lang w:val="pt-BR"/>
        </w:rPr>
        <w:t xml:space="preserve"> </w:t>
      </w:r>
      <w:r w:rsidR="003526B8" w:rsidRPr="00D5464D">
        <w:rPr>
          <w:rFonts w:cs="Arial"/>
          <w:szCs w:val="20"/>
          <w:lang w:val="pt-BR"/>
        </w:rPr>
        <w:t xml:space="preserve">dos </w:t>
      </w:r>
      <w:r w:rsidR="002C330E" w:rsidRPr="00D5464D">
        <w:rPr>
          <w:rFonts w:cs="Arial"/>
          <w:szCs w:val="20"/>
          <w:lang w:val="pt-BR"/>
        </w:rPr>
        <w:t>fatos</w:t>
      </w:r>
      <w:r w:rsidR="00D81AA1" w:rsidRPr="00D5464D">
        <w:rPr>
          <w:rFonts w:cs="Arial"/>
          <w:szCs w:val="20"/>
          <w:lang w:val="pt-BR"/>
        </w:rPr>
        <w:t xml:space="preserve"> denunciados</w:t>
      </w:r>
      <w:r w:rsidR="002C330E" w:rsidRPr="00D5464D">
        <w:rPr>
          <w:rFonts w:cs="Arial"/>
          <w:szCs w:val="20"/>
          <w:lang w:val="pt-BR"/>
        </w:rPr>
        <w:t xml:space="preserve"> </w:t>
      </w:r>
      <w:r w:rsidRPr="00D5464D">
        <w:rPr>
          <w:rFonts w:cs="Arial"/>
          <w:szCs w:val="20"/>
          <w:lang w:val="pt-BR"/>
        </w:rPr>
        <w:t>e</w:t>
      </w:r>
      <w:r w:rsidR="00D73840" w:rsidRPr="00D5464D">
        <w:rPr>
          <w:rFonts w:cs="Arial"/>
          <w:szCs w:val="20"/>
          <w:lang w:val="pt-BR"/>
        </w:rPr>
        <w:t>,</w:t>
      </w:r>
      <w:r w:rsidR="00D81AA1" w:rsidRPr="00D5464D">
        <w:rPr>
          <w:rFonts w:cs="Arial"/>
          <w:szCs w:val="20"/>
          <w:lang w:val="pt-BR"/>
        </w:rPr>
        <w:t xml:space="preserve"> como </w:t>
      </w:r>
      <w:r w:rsidRPr="00D5464D">
        <w:rPr>
          <w:rFonts w:cs="Arial"/>
          <w:szCs w:val="20"/>
          <w:lang w:val="pt-BR"/>
        </w:rPr>
        <w:t>consequência</w:t>
      </w:r>
      <w:r w:rsidR="00350187" w:rsidRPr="00D5464D">
        <w:rPr>
          <w:rFonts w:cs="Arial"/>
          <w:szCs w:val="20"/>
          <w:lang w:val="pt-BR"/>
        </w:rPr>
        <w:t xml:space="preserve"> </w:t>
      </w:r>
      <w:r w:rsidR="00D73840" w:rsidRPr="00D5464D">
        <w:rPr>
          <w:rFonts w:cs="Arial"/>
          <w:szCs w:val="20"/>
          <w:lang w:val="pt-BR"/>
        </w:rPr>
        <w:t xml:space="preserve">disso, não atuaram </w:t>
      </w:r>
      <w:r w:rsidRPr="00D5464D">
        <w:rPr>
          <w:rFonts w:cs="Arial"/>
          <w:szCs w:val="20"/>
          <w:lang w:val="pt-BR"/>
        </w:rPr>
        <w:t>com</w:t>
      </w:r>
      <w:r w:rsidR="002C330E" w:rsidRPr="00D5464D">
        <w:rPr>
          <w:rFonts w:cs="Arial"/>
          <w:szCs w:val="20"/>
          <w:lang w:val="pt-BR"/>
        </w:rPr>
        <w:t xml:space="preserve"> a </w:t>
      </w:r>
      <w:r w:rsidRPr="00D5464D">
        <w:rPr>
          <w:rFonts w:cs="Arial"/>
          <w:szCs w:val="20"/>
          <w:lang w:val="pt-BR"/>
        </w:rPr>
        <w:t>devida diligência</w:t>
      </w:r>
      <w:r w:rsidR="00D81AA1" w:rsidRPr="00D5464D">
        <w:rPr>
          <w:rFonts w:cs="Arial"/>
          <w:szCs w:val="20"/>
          <w:lang w:val="pt-BR"/>
        </w:rPr>
        <w:t xml:space="preserve"> </w:t>
      </w:r>
      <w:r w:rsidR="002C330E" w:rsidRPr="00D5464D">
        <w:rPr>
          <w:rFonts w:cs="Arial"/>
          <w:szCs w:val="20"/>
          <w:lang w:val="pt-BR"/>
        </w:rPr>
        <w:t>necessári</w:t>
      </w:r>
      <w:r w:rsidR="00D81AA1" w:rsidRPr="00D5464D">
        <w:rPr>
          <w:rFonts w:cs="Arial"/>
          <w:szCs w:val="20"/>
          <w:lang w:val="pt-BR"/>
        </w:rPr>
        <w:t xml:space="preserve">a para </w:t>
      </w:r>
      <w:r w:rsidR="002C330E" w:rsidRPr="00D5464D">
        <w:rPr>
          <w:rFonts w:cs="Arial"/>
          <w:szCs w:val="20"/>
          <w:lang w:val="pt-BR"/>
        </w:rPr>
        <w:t xml:space="preserve">garantir os </w:t>
      </w:r>
      <w:r w:rsidRPr="00D5464D">
        <w:rPr>
          <w:rFonts w:cs="Arial"/>
          <w:szCs w:val="20"/>
          <w:lang w:val="pt-BR"/>
        </w:rPr>
        <w:t>direito</w:t>
      </w:r>
      <w:r w:rsidR="00D81AA1" w:rsidRPr="00D5464D">
        <w:rPr>
          <w:rFonts w:cs="Arial"/>
          <w:szCs w:val="20"/>
          <w:lang w:val="pt-BR"/>
        </w:rPr>
        <w:t>s</w:t>
      </w:r>
      <w:r w:rsidRPr="00D5464D">
        <w:rPr>
          <w:rFonts w:cs="Arial"/>
          <w:szCs w:val="20"/>
          <w:lang w:val="pt-BR"/>
        </w:rPr>
        <w:t xml:space="preserve"> das </w:t>
      </w:r>
      <w:r w:rsidR="00E045D9" w:rsidRPr="00D5464D">
        <w:rPr>
          <w:rFonts w:cs="Arial"/>
          <w:szCs w:val="20"/>
          <w:lang w:val="pt-BR"/>
        </w:rPr>
        <w:t>vítima</w:t>
      </w:r>
      <w:r w:rsidR="00D81AA1" w:rsidRPr="00D5464D">
        <w:rPr>
          <w:rFonts w:cs="Arial"/>
          <w:szCs w:val="20"/>
          <w:lang w:val="pt-BR"/>
        </w:rPr>
        <w:t>s</w:t>
      </w:r>
      <w:r w:rsidR="00A1358C" w:rsidRPr="00D5464D">
        <w:rPr>
          <w:rFonts w:cs="Arial"/>
          <w:szCs w:val="20"/>
          <w:lang w:val="pt-BR"/>
        </w:rPr>
        <w:t xml:space="preserve">. A </w:t>
      </w:r>
      <w:r w:rsidR="00D81AA1" w:rsidRPr="00D5464D">
        <w:rPr>
          <w:rFonts w:cs="Arial"/>
          <w:szCs w:val="20"/>
          <w:lang w:val="pt-BR"/>
        </w:rPr>
        <w:t xml:space="preserve">falta de </w:t>
      </w:r>
      <w:r w:rsidR="00737270" w:rsidRPr="00D5464D">
        <w:rPr>
          <w:rFonts w:cs="Arial"/>
          <w:szCs w:val="20"/>
          <w:lang w:val="pt-BR"/>
        </w:rPr>
        <w:t>atuação</w:t>
      </w:r>
      <w:r w:rsidR="00D81AA1" w:rsidRPr="00D5464D">
        <w:rPr>
          <w:rFonts w:cs="Arial"/>
          <w:szCs w:val="20"/>
          <w:lang w:val="pt-BR"/>
        </w:rPr>
        <w:t xml:space="preserve">, </w:t>
      </w:r>
      <w:r w:rsidRPr="00D5464D">
        <w:rPr>
          <w:rFonts w:cs="Arial"/>
          <w:szCs w:val="20"/>
          <w:lang w:val="pt-BR"/>
        </w:rPr>
        <w:t>assim</w:t>
      </w:r>
      <w:r w:rsidR="00D81AA1" w:rsidRPr="00D5464D">
        <w:rPr>
          <w:rFonts w:cs="Arial"/>
          <w:szCs w:val="20"/>
          <w:lang w:val="pt-BR"/>
        </w:rPr>
        <w:t xml:space="preserve"> como</w:t>
      </w:r>
      <w:r w:rsidR="002C330E" w:rsidRPr="00D5464D">
        <w:rPr>
          <w:rFonts w:cs="Arial"/>
          <w:szCs w:val="20"/>
          <w:lang w:val="pt-BR"/>
        </w:rPr>
        <w:t xml:space="preserve"> a pouca </w:t>
      </w:r>
      <w:r w:rsidR="00D81AA1" w:rsidRPr="00D5464D">
        <w:rPr>
          <w:rFonts w:cs="Arial"/>
          <w:szCs w:val="20"/>
          <w:lang w:val="pt-BR"/>
        </w:rPr>
        <w:t>severidad</w:t>
      </w:r>
      <w:r w:rsidR="00D73840" w:rsidRPr="00D5464D">
        <w:rPr>
          <w:rFonts w:cs="Arial"/>
          <w:szCs w:val="20"/>
          <w:lang w:val="pt-BR"/>
        </w:rPr>
        <w:t>e</w:t>
      </w:r>
      <w:r w:rsidRPr="00D5464D">
        <w:rPr>
          <w:rFonts w:cs="Arial"/>
          <w:szCs w:val="20"/>
          <w:lang w:val="pt-BR"/>
        </w:rPr>
        <w:t xml:space="preserve"> dos acordo</w:t>
      </w:r>
      <w:r w:rsidR="00D81AA1" w:rsidRPr="00D5464D">
        <w:rPr>
          <w:rFonts w:cs="Arial"/>
          <w:szCs w:val="20"/>
          <w:lang w:val="pt-BR"/>
        </w:rPr>
        <w:t xml:space="preserve">s </w:t>
      </w:r>
      <w:r w:rsidR="002C330E" w:rsidRPr="00D5464D">
        <w:rPr>
          <w:rFonts w:cs="Arial"/>
          <w:szCs w:val="20"/>
          <w:lang w:val="pt-BR"/>
        </w:rPr>
        <w:t>gerados</w:t>
      </w:r>
      <w:r w:rsidR="00E045D9" w:rsidRPr="00D5464D">
        <w:rPr>
          <w:rFonts w:cs="Arial"/>
          <w:szCs w:val="20"/>
          <w:lang w:val="pt-BR"/>
        </w:rPr>
        <w:t xml:space="preserve"> e </w:t>
      </w:r>
      <w:r w:rsidR="00D73840" w:rsidRPr="00D5464D">
        <w:rPr>
          <w:rFonts w:cs="Arial"/>
          <w:szCs w:val="20"/>
          <w:lang w:val="pt-BR"/>
        </w:rPr>
        <w:t>d</w:t>
      </w:r>
      <w:r w:rsidR="002C330E" w:rsidRPr="00D5464D">
        <w:rPr>
          <w:rFonts w:cs="Arial"/>
          <w:szCs w:val="20"/>
          <w:lang w:val="pt-BR"/>
        </w:rPr>
        <w:t xml:space="preserve">as </w:t>
      </w:r>
      <w:r w:rsidR="00D81AA1" w:rsidRPr="00D5464D">
        <w:rPr>
          <w:rFonts w:cs="Arial"/>
          <w:szCs w:val="20"/>
          <w:lang w:val="pt-BR"/>
        </w:rPr>
        <w:t>recomenda</w:t>
      </w:r>
      <w:r w:rsidRPr="00D5464D">
        <w:rPr>
          <w:rFonts w:cs="Arial"/>
          <w:szCs w:val="20"/>
          <w:lang w:val="pt-BR"/>
        </w:rPr>
        <w:t>ções</w:t>
      </w:r>
      <w:r w:rsidR="00D81AA1" w:rsidRPr="00D5464D">
        <w:rPr>
          <w:rFonts w:cs="Arial"/>
          <w:szCs w:val="20"/>
          <w:lang w:val="pt-BR"/>
        </w:rPr>
        <w:t xml:space="preserve"> emitidas </w:t>
      </w:r>
      <w:r w:rsidR="00D73840" w:rsidRPr="00D5464D">
        <w:rPr>
          <w:rFonts w:cs="Arial"/>
          <w:szCs w:val="20"/>
          <w:lang w:val="pt-BR"/>
        </w:rPr>
        <w:t xml:space="preserve">refletiram </w:t>
      </w:r>
      <w:r w:rsidR="00E045D9" w:rsidRPr="00D5464D">
        <w:rPr>
          <w:rFonts w:cs="Arial"/>
          <w:szCs w:val="20"/>
          <w:lang w:val="pt-BR"/>
        </w:rPr>
        <w:t xml:space="preserve">uma </w:t>
      </w:r>
      <w:r w:rsidR="00D81AA1" w:rsidRPr="00D5464D">
        <w:rPr>
          <w:rFonts w:cs="Arial"/>
          <w:szCs w:val="20"/>
          <w:lang w:val="pt-BR"/>
        </w:rPr>
        <w:t xml:space="preserve">falta de </w:t>
      </w:r>
      <w:r w:rsidR="00D73840" w:rsidRPr="00D5464D">
        <w:rPr>
          <w:rFonts w:cs="Arial"/>
          <w:szCs w:val="20"/>
          <w:lang w:val="pt-BR"/>
        </w:rPr>
        <w:t xml:space="preserve">condenação </w:t>
      </w:r>
      <w:r w:rsidR="0094252C" w:rsidRPr="00D5464D">
        <w:rPr>
          <w:rFonts w:cs="Arial"/>
          <w:szCs w:val="20"/>
          <w:lang w:val="pt-BR"/>
        </w:rPr>
        <w:t>d</w:t>
      </w:r>
      <w:r w:rsidR="00E045D9" w:rsidRPr="00D5464D">
        <w:rPr>
          <w:rFonts w:cs="Arial"/>
          <w:szCs w:val="20"/>
          <w:lang w:val="pt-BR"/>
        </w:rPr>
        <w:t xml:space="preserve">os </w:t>
      </w:r>
      <w:r w:rsidR="002C330E" w:rsidRPr="00D5464D">
        <w:rPr>
          <w:rFonts w:cs="Arial"/>
          <w:szCs w:val="20"/>
          <w:lang w:val="pt-BR"/>
        </w:rPr>
        <w:t>fatos</w:t>
      </w:r>
      <w:r w:rsidR="00D81AA1" w:rsidRPr="00D5464D">
        <w:rPr>
          <w:rFonts w:cs="Arial"/>
          <w:szCs w:val="20"/>
          <w:lang w:val="pt-BR"/>
        </w:rPr>
        <w:t xml:space="preserve"> que </w:t>
      </w:r>
      <w:r w:rsidR="00D73840" w:rsidRPr="00D5464D">
        <w:rPr>
          <w:rFonts w:cs="Arial"/>
          <w:szCs w:val="20"/>
          <w:lang w:val="pt-BR"/>
        </w:rPr>
        <w:t xml:space="preserve">ocorriam </w:t>
      </w:r>
      <w:r w:rsidR="00E045D9" w:rsidRPr="00D5464D">
        <w:rPr>
          <w:rFonts w:cs="Arial"/>
          <w:szCs w:val="20"/>
          <w:lang w:val="pt-BR"/>
        </w:rPr>
        <w:t xml:space="preserve">na </w:t>
      </w:r>
      <w:r w:rsidR="00D809F0" w:rsidRPr="00D5464D">
        <w:rPr>
          <w:rFonts w:cs="Arial"/>
          <w:szCs w:val="20"/>
          <w:lang w:val="pt-BR"/>
        </w:rPr>
        <w:t>Fazenda</w:t>
      </w:r>
      <w:r w:rsidR="00D81AA1" w:rsidRPr="00D5464D">
        <w:rPr>
          <w:rFonts w:cs="Arial"/>
          <w:szCs w:val="20"/>
          <w:lang w:val="pt-BR"/>
        </w:rPr>
        <w:t xml:space="preserve"> Brasil Verde</w:t>
      </w:r>
      <w:r w:rsidR="00A1358C" w:rsidRPr="00D5464D">
        <w:rPr>
          <w:rFonts w:cs="Arial"/>
          <w:szCs w:val="20"/>
          <w:lang w:val="pt-BR"/>
        </w:rPr>
        <w:t xml:space="preserve">. A </w:t>
      </w:r>
      <w:r w:rsidR="00D81AA1" w:rsidRPr="00D5464D">
        <w:rPr>
          <w:rFonts w:cs="Arial"/>
          <w:szCs w:val="20"/>
          <w:lang w:val="pt-BR"/>
        </w:rPr>
        <w:t>Corte considera que</w:t>
      </w:r>
      <w:r w:rsidR="002C330E" w:rsidRPr="00D5464D">
        <w:rPr>
          <w:rFonts w:cs="Arial"/>
          <w:szCs w:val="20"/>
          <w:lang w:val="pt-BR"/>
        </w:rPr>
        <w:t xml:space="preserve"> a </w:t>
      </w:r>
      <w:r w:rsidR="00D81AA1" w:rsidRPr="00D5464D">
        <w:rPr>
          <w:rFonts w:cs="Arial"/>
          <w:szCs w:val="20"/>
          <w:lang w:val="pt-BR"/>
        </w:rPr>
        <w:t xml:space="preserve">falta de </w:t>
      </w:r>
      <w:r w:rsidR="00737270" w:rsidRPr="00D5464D">
        <w:rPr>
          <w:rFonts w:cs="Arial"/>
          <w:szCs w:val="20"/>
          <w:lang w:val="pt-BR"/>
        </w:rPr>
        <w:t>ação</w:t>
      </w:r>
      <w:r w:rsidR="00E045D9" w:rsidRPr="00D5464D">
        <w:rPr>
          <w:rFonts w:cs="Arial"/>
          <w:szCs w:val="20"/>
          <w:lang w:val="pt-BR"/>
        </w:rPr>
        <w:t xml:space="preserve"> e </w:t>
      </w:r>
      <w:r w:rsidR="00D81AA1" w:rsidRPr="00D5464D">
        <w:rPr>
          <w:rFonts w:cs="Arial"/>
          <w:szCs w:val="20"/>
          <w:lang w:val="pt-BR"/>
        </w:rPr>
        <w:t>de san</w:t>
      </w:r>
      <w:r w:rsidRPr="00D5464D">
        <w:rPr>
          <w:rFonts w:cs="Arial"/>
          <w:szCs w:val="20"/>
          <w:lang w:val="pt-BR"/>
        </w:rPr>
        <w:t>ção</w:t>
      </w:r>
      <w:r w:rsidR="00D81AA1" w:rsidRPr="00D5464D">
        <w:rPr>
          <w:rFonts w:cs="Arial"/>
          <w:szCs w:val="20"/>
          <w:lang w:val="pt-BR"/>
        </w:rPr>
        <w:t xml:space="preserve"> </w:t>
      </w:r>
      <w:r w:rsidR="00E045D9" w:rsidRPr="00D5464D">
        <w:rPr>
          <w:rFonts w:cs="Arial"/>
          <w:szCs w:val="20"/>
          <w:lang w:val="pt-BR"/>
        </w:rPr>
        <w:t>deste</w:t>
      </w:r>
      <w:r w:rsidRPr="00D5464D">
        <w:rPr>
          <w:rFonts w:cs="Arial"/>
          <w:szCs w:val="20"/>
          <w:lang w:val="pt-BR"/>
        </w:rPr>
        <w:t xml:space="preserve">s </w:t>
      </w:r>
      <w:r w:rsidR="002C330E" w:rsidRPr="00D5464D">
        <w:rPr>
          <w:rFonts w:cs="Arial"/>
          <w:szCs w:val="20"/>
          <w:lang w:val="pt-BR"/>
        </w:rPr>
        <w:t>fatos</w:t>
      </w:r>
      <w:r w:rsidR="00D81AA1" w:rsidRPr="00D5464D">
        <w:rPr>
          <w:rFonts w:cs="Arial"/>
          <w:szCs w:val="20"/>
          <w:lang w:val="pt-BR"/>
        </w:rPr>
        <w:t xml:space="preserve"> </w:t>
      </w:r>
      <w:r w:rsidR="002C330E" w:rsidRPr="00D5464D">
        <w:rPr>
          <w:rFonts w:cs="Arial"/>
          <w:szCs w:val="20"/>
          <w:lang w:val="pt-BR"/>
        </w:rPr>
        <w:t>pode</w:t>
      </w:r>
      <w:r w:rsidR="00D81AA1" w:rsidRPr="00D5464D">
        <w:rPr>
          <w:rFonts w:cs="Arial"/>
          <w:szCs w:val="20"/>
          <w:lang w:val="pt-BR"/>
        </w:rPr>
        <w:t xml:space="preserve"> </w:t>
      </w:r>
      <w:r w:rsidR="00D73840" w:rsidRPr="00D5464D">
        <w:rPr>
          <w:rFonts w:cs="Arial"/>
          <w:szCs w:val="20"/>
          <w:lang w:val="pt-BR"/>
        </w:rPr>
        <w:t xml:space="preserve">ser explicada </w:t>
      </w:r>
      <w:r w:rsidRPr="00D5464D">
        <w:rPr>
          <w:rFonts w:cs="Arial"/>
          <w:szCs w:val="20"/>
          <w:lang w:val="pt-BR"/>
        </w:rPr>
        <w:t>através</w:t>
      </w:r>
      <w:r w:rsidR="00D81AA1" w:rsidRPr="00D5464D">
        <w:rPr>
          <w:rFonts w:cs="Arial"/>
          <w:szCs w:val="20"/>
          <w:lang w:val="pt-BR"/>
        </w:rPr>
        <w:t xml:space="preserve"> de</w:t>
      </w:r>
      <w:r w:rsidR="00E045D9" w:rsidRPr="00D5464D">
        <w:rPr>
          <w:rFonts w:cs="Arial"/>
          <w:szCs w:val="20"/>
          <w:lang w:val="pt-BR"/>
        </w:rPr>
        <w:t xml:space="preserve"> uma </w:t>
      </w:r>
      <w:r w:rsidR="00D81AA1" w:rsidRPr="00D5464D">
        <w:rPr>
          <w:rFonts w:cs="Arial"/>
          <w:szCs w:val="20"/>
          <w:lang w:val="pt-BR"/>
        </w:rPr>
        <w:t>normaliza</w:t>
      </w:r>
      <w:r w:rsidRPr="00D5464D">
        <w:rPr>
          <w:rFonts w:cs="Arial"/>
          <w:szCs w:val="20"/>
          <w:lang w:val="pt-BR"/>
        </w:rPr>
        <w:t xml:space="preserve">ção das </w:t>
      </w:r>
      <w:r w:rsidR="00D81AA1" w:rsidRPr="00D5464D">
        <w:rPr>
          <w:rFonts w:cs="Arial"/>
          <w:szCs w:val="20"/>
          <w:lang w:val="pt-BR"/>
        </w:rPr>
        <w:t>condi</w:t>
      </w:r>
      <w:r w:rsidRPr="00D5464D">
        <w:rPr>
          <w:rFonts w:cs="Arial"/>
          <w:szCs w:val="20"/>
          <w:lang w:val="pt-BR"/>
        </w:rPr>
        <w:t>ções</w:t>
      </w:r>
      <w:r w:rsidR="00E045D9" w:rsidRPr="00D5464D">
        <w:rPr>
          <w:rFonts w:cs="Arial"/>
          <w:szCs w:val="20"/>
          <w:lang w:val="pt-BR"/>
        </w:rPr>
        <w:t xml:space="preserve"> às </w:t>
      </w:r>
      <w:r w:rsidR="00D81AA1" w:rsidRPr="00D5464D">
        <w:rPr>
          <w:rFonts w:cs="Arial"/>
          <w:szCs w:val="20"/>
          <w:lang w:val="pt-BR"/>
        </w:rPr>
        <w:t>qu</w:t>
      </w:r>
      <w:r w:rsidR="00D73840" w:rsidRPr="00D5464D">
        <w:rPr>
          <w:rFonts w:cs="Arial"/>
          <w:szCs w:val="20"/>
          <w:lang w:val="pt-BR"/>
        </w:rPr>
        <w:t>ais essa</w:t>
      </w:r>
      <w:r w:rsidR="0094252C" w:rsidRPr="00D5464D">
        <w:rPr>
          <w:rFonts w:cs="Arial"/>
          <w:szCs w:val="20"/>
          <w:lang w:val="pt-BR"/>
        </w:rPr>
        <w:t>s</w:t>
      </w:r>
      <w:r w:rsidR="00D73840" w:rsidRPr="00D5464D">
        <w:rPr>
          <w:rFonts w:cs="Arial"/>
          <w:szCs w:val="20"/>
          <w:lang w:val="pt-BR"/>
        </w:rPr>
        <w:t xml:space="preserve"> pessoas</w:t>
      </w:r>
      <w:r w:rsidR="0094252C" w:rsidRPr="00D5464D">
        <w:rPr>
          <w:rFonts w:cs="Arial"/>
          <w:szCs w:val="20"/>
          <w:lang w:val="pt-BR"/>
        </w:rPr>
        <w:t>,</w:t>
      </w:r>
      <w:r w:rsidR="00D73840" w:rsidRPr="00D5464D">
        <w:rPr>
          <w:rFonts w:cs="Arial"/>
          <w:szCs w:val="20"/>
          <w:lang w:val="pt-BR"/>
        </w:rPr>
        <w:t xml:space="preserve"> </w:t>
      </w:r>
      <w:r w:rsidR="001E46BD" w:rsidRPr="00D5464D">
        <w:rPr>
          <w:rFonts w:cs="Arial"/>
          <w:szCs w:val="20"/>
          <w:lang w:val="pt-BR"/>
        </w:rPr>
        <w:t>com determinadas características nos estados mais pobres do Brasil</w:t>
      </w:r>
      <w:r w:rsidR="0094252C" w:rsidRPr="00D5464D">
        <w:rPr>
          <w:rFonts w:cs="Arial"/>
          <w:szCs w:val="20"/>
          <w:lang w:val="pt-BR"/>
        </w:rPr>
        <w:t>,</w:t>
      </w:r>
      <w:r w:rsidR="001E46BD" w:rsidRPr="00D5464D">
        <w:rPr>
          <w:rFonts w:cs="Arial"/>
          <w:szCs w:val="20"/>
          <w:lang w:val="pt-BR"/>
        </w:rPr>
        <w:t xml:space="preserve"> </w:t>
      </w:r>
      <w:r w:rsidRPr="00D5464D">
        <w:rPr>
          <w:rFonts w:cs="Arial"/>
          <w:szCs w:val="20"/>
          <w:lang w:val="pt-BR"/>
        </w:rPr>
        <w:t xml:space="preserve">eram </w:t>
      </w:r>
      <w:r w:rsidR="00D73840" w:rsidRPr="00D5464D">
        <w:rPr>
          <w:rFonts w:cs="Arial"/>
          <w:szCs w:val="20"/>
          <w:lang w:val="pt-BR"/>
        </w:rPr>
        <w:t xml:space="preserve">continuamente </w:t>
      </w:r>
      <w:r w:rsidR="002C330E" w:rsidRPr="00D5464D">
        <w:rPr>
          <w:rFonts w:cs="Arial"/>
          <w:szCs w:val="20"/>
          <w:lang w:val="pt-BR"/>
        </w:rPr>
        <w:t>submetida</w:t>
      </w:r>
      <w:r w:rsidR="00D81AA1" w:rsidRPr="00D5464D">
        <w:rPr>
          <w:rFonts w:cs="Arial"/>
          <w:szCs w:val="20"/>
          <w:lang w:val="pt-BR"/>
        </w:rPr>
        <w:t xml:space="preserve">s. </w:t>
      </w:r>
    </w:p>
    <w:p w14:paraId="0DF9F318" w14:textId="77777777" w:rsidR="00D81AA1" w:rsidRPr="00D5464D" w:rsidRDefault="00D81AA1" w:rsidP="00D81AA1">
      <w:pPr>
        <w:pStyle w:val="Prrafodelista"/>
        <w:rPr>
          <w:rFonts w:cs="Arial"/>
          <w:szCs w:val="20"/>
          <w:lang w:val="pt-BR"/>
        </w:rPr>
      </w:pPr>
    </w:p>
    <w:p w14:paraId="48EF8C3A" w14:textId="2A994191" w:rsidR="00D81AA1" w:rsidRPr="00D5464D" w:rsidRDefault="001E46BD" w:rsidP="00D81AA1">
      <w:pPr>
        <w:pStyle w:val="Prrafodelista"/>
        <w:numPr>
          <w:ilvl w:val="0"/>
          <w:numId w:val="1"/>
        </w:numPr>
        <w:contextualSpacing w:val="0"/>
        <w:rPr>
          <w:rFonts w:cs="Arial"/>
          <w:szCs w:val="20"/>
          <w:lang w:val="pt-BR"/>
        </w:rPr>
      </w:pPr>
      <w:r w:rsidRPr="00D5464D">
        <w:rPr>
          <w:rFonts w:cs="Arial"/>
          <w:szCs w:val="20"/>
          <w:lang w:val="pt-BR"/>
        </w:rPr>
        <w:t xml:space="preserve">Portanto, </w:t>
      </w:r>
      <w:r w:rsidR="00470ADC" w:rsidRPr="00D5464D">
        <w:rPr>
          <w:rFonts w:cs="Arial"/>
          <w:szCs w:val="20"/>
          <w:lang w:val="pt-BR"/>
        </w:rPr>
        <w:t xml:space="preserve">é </w:t>
      </w:r>
      <w:r w:rsidR="002C330E" w:rsidRPr="00D5464D">
        <w:rPr>
          <w:rFonts w:cs="Arial"/>
          <w:szCs w:val="20"/>
          <w:lang w:val="pt-BR"/>
        </w:rPr>
        <w:t xml:space="preserve">razoável </w:t>
      </w:r>
      <w:r w:rsidR="00D81AA1" w:rsidRPr="00D5464D">
        <w:rPr>
          <w:rFonts w:cs="Arial"/>
          <w:szCs w:val="20"/>
          <w:lang w:val="pt-BR"/>
        </w:rPr>
        <w:t>concluir que</w:t>
      </w:r>
      <w:r w:rsidR="002C330E" w:rsidRPr="00D5464D">
        <w:rPr>
          <w:rFonts w:cs="Arial"/>
          <w:szCs w:val="20"/>
          <w:lang w:val="pt-BR"/>
        </w:rPr>
        <w:t xml:space="preserve"> a </w:t>
      </w:r>
      <w:r w:rsidR="00D81AA1" w:rsidRPr="00D5464D">
        <w:rPr>
          <w:rFonts w:cs="Arial"/>
          <w:szCs w:val="20"/>
          <w:lang w:val="pt-BR"/>
        </w:rPr>
        <w:t xml:space="preserve">falta de </w:t>
      </w:r>
      <w:r w:rsidR="00470ADC" w:rsidRPr="00D5464D">
        <w:rPr>
          <w:rFonts w:cs="Arial"/>
          <w:szCs w:val="20"/>
          <w:lang w:val="pt-BR"/>
        </w:rPr>
        <w:t>devida diligência</w:t>
      </w:r>
      <w:r w:rsidR="00E045D9" w:rsidRPr="00D5464D">
        <w:rPr>
          <w:rFonts w:cs="Arial"/>
          <w:szCs w:val="20"/>
          <w:lang w:val="pt-BR"/>
        </w:rPr>
        <w:t xml:space="preserve"> e </w:t>
      </w:r>
      <w:r w:rsidR="00D81AA1" w:rsidRPr="00D5464D">
        <w:rPr>
          <w:rFonts w:cs="Arial"/>
          <w:szCs w:val="20"/>
          <w:lang w:val="pt-BR"/>
        </w:rPr>
        <w:t xml:space="preserve">de </w:t>
      </w:r>
      <w:r w:rsidRPr="00D5464D">
        <w:rPr>
          <w:rFonts w:cs="Arial"/>
          <w:szCs w:val="20"/>
          <w:lang w:val="pt-BR"/>
        </w:rPr>
        <w:t xml:space="preserve">punição dos </w:t>
      </w:r>
      <w:r w:rsidR="002C330E" w:rsidRPr="00D5464D">
        <w:rPr>
          <w:rFonts w:cs="Arial"/>
          <w:szCs w:val="20"/>
          <w:lang w:val="pt-BR"/>
        </w:rPr>
        <w:t>fatos</w:t>
      </w:r>
      <w:r w:rsidR="00D81AA1" w:rsidRPr="00D5464D">
        <w:rPr>
          <w:rFonts w:cs="Arial"/>
          <w:szCs w:val="20"/>
          <w:lang w:val="pt-BR"/>
        </w:rPr>
        <w:t xml:space="preserve"> de </w:t>
      </w:r>
      <w:r w:rsidR="002C330E" w:rsidRPr="00D5464D">
        <w:rPr>
          <w:rFonts w:cs="Arial"/>
          <w:szCs w:val="20"/>
          <w:lang w:val="pt-BR"/>
        </w:rPr>
        <w:t>submissão</w:t>
      </w:r>
      <w:r w:rsidR="00D81AA1" w:rsidRPr="00D5464D">
        <w:rPr>
          <w:rFonts w:cs="Arial"/>
          <w:szCs w:val="20"/>
          <w:lang w:val="pt-BR"/>
        </w:rPr>
        <w:t xml:space="preserve"> </w:t>
      </w:r>
      <w:r w:rsidR="0094252C" w:rsidRPr="00D5464D">
        <w:rPr>
          <w:rFonts w:cs="Arial"/>
          <w:szCs w:val="20"/>
          <w:lang w:val="pt-BR"/>
        </w:rPr>
        <w:t>à</w:t>
      </w:r>
      <w:r w:rsidR="00D81AA1" w:rsidRPr="00D5464D">
        <w:rPr>
          <w:rFonts w:cs="Arial"/>
          <w:szCs w:val="20"/>
          <w:lang w:val="pt-BR"/>
        </w:rPr>
        <w:t xml:space="preserve"> </w:t>
      </w:r>
      <w:r w:rsidR="008710EE" w:rsidRPr="00D5464D">
        <w:rPr>
          <w:rFonts w:cs="Arial"/>
          <w:szCs w:val="20"/>
          <w:lang w:val="pt-BR"/>
        </w:rPr>
        <w:t>condi</w:t>
      </w:r>
      <w:r w:rsidR="00470ADC" w:rsidRPr="00D5464D">
        <w:rPr>
          <w:rFonts w:cs="Arial"/>
          <w:szCs w:val="20"/>
          <w:lang w:val="pt-BR"/>
        </w:rPr>
        <w:t>ção</w:t>
      </w:r>
      <w:r w:rsidR="008710EE" w:rsidRPr="00D5464D">
        <w:rPr>
          <w:rFonts w:cs="Arial"/>
          <w:szCs w:val="20"/>
          <w:lang w:val="pt-BR"/>
        </w:rPr>
        <w:t xml:space="preserve"> análoga</w:t>
      </w:r>
      <w:r w:rsidR="00470ADC" w:rsidRPr="00D5464D">
        <w:rPr>
          <w:rFonts w:cs="Arial"/>
          <w:szCs w:val="20"/>
          <w:lang w:val="pt-BR"/>
        </w:rPr>
        <w:t xml:space="preserve"> à </w:t>
      </w:r>
      <w:r w:rsidR="008710EE" w:rsidRPr="00D5464D">
        <w:rPr>
          <w:rFonts w:cs="Arial"/>
          <w:szCs w:val="20"/>
          <w:lang w:val="pt-BR"/>
        </w:rPr>
        <w:t xml:space="preserve">de </w:t>
      </w:r>
      <w:r w:rsidR="004F1CC2" w:rsidRPr="00D5464D">
        <w:rPr>
          <w:rFonts w:cs="Arial"/>
          <w:szCs w:val="20"/>
          <w:lang w:val="pt-BR"/>
        </w:rPr>
        <w:t>escravo</w:t>
      </w:r>
      <w:r w:rsidR="00D81AA1" w:rsidRPr="00D5464D">
        <w:rPr>
          <w:rFonts w:cs="Arial"/>
          <w:szCs w:val="20"/>
          <w:lang w:val="pt-BR"/>
        </w:rPr>
        <w:t xml:space="preserve"> </w:t>
      </w:r>
      <w:r w:rsidR="00470ADC" w:rsidRPr="00D5464D">
        <w:rPr>
          <w:rFonts w:cs="Arial"/>
          <w:szCs w:val="20"/>
          <w:lang w:val="pt-BR"/>
        </w:rPr>
        <w:t>estava</w:t>
      </w:r>
      <w:r w:rsidR="00D81AA1" w:rsidRPr="00D5464D">
        <w:rPr>
          <w:rFonts w:cs="Arial"/>
          <w:szCs w:val="20"/>
          <w:lang w:val="pt-BR"/>
        </w:rPr>
        <w:t xml:space="preserve"> relacionada a</w:t>
      </w:r>
      <w:r w:rsidR="00E045D9" w:rsidRPr="00D5464D">
        <w:rPr>
          <w:rFonts w:cs="Arial"/>
          <w:szCs w:val="20"/>
          <w:lang w:val="pt-BR"/>
        </w:rPr>
        <w:t xml:space="preserve"> uma </w:t>
      </w:r>
      <w:r w:rsidRPr="00D5464D">
        <w:rPr>
          <w:rFonts w:cs="Arial"/>
          <w:szCs w:val="20"/>
          <w:lang w:val="pt-BR"/>
        </w:rPr>
        <w:t xml:space="preserve">ideia preconcebida </w:t>
      </w:r>
      <w:r w:rsidR="003526B8" w:rsidRPr="00D5464D">
        <w:rPr>
          <w:rFonts w:cs="Arial"/>
          <w:szCs w:val="20"/>
          <w:lang w:val="pt-BR"/>
        </w:rPr>
        <w:t xml:space="preserve">de normalidade frente </w:t>
      </w:r>
      <w:r w:rsidR="00470ADC" w:rsidRPr="00D5464D">
        <w:rPr>
          <w:rFonts w:cs="Arial"/>
          <w:szCs w:val="20"/>
          <w:lang w:val="pt-BR"/>
        </w:rPr>
        <w:t xml:space="preserve">as </w:t>
      </w:r>
      <w:r w:rsidR="00D81AA1" w:rsidRPr="00D5464D">
        <w:rPr>
          <w:rFonts w:cs="Arial"/>
          <w:szCs w:val="20"/>
          <w:lang w:val="pt-BR"/>
        </w:rPr>
        <w:t>condi</w:t>
      </w:r>
      <w:r w:rsidR="00470ADC" w:rsidRPr="00D5464D">
        <w:rPr>
          <w:rFonts w:cs="Arial"/>
          <w:szCs w:val="20"/>
          <w:lang w:val="pt-BR"/>
        </w:rPr>
        <w:t>ções</w:t>
      </w:r>
      <w:r w:rsidR="00E045D9" w:rsidRPr="00D5464D">
        <w:rPr>
          <w:rFonts w:cs="Arial"/>
          <w:szCs w:val="20"/>
          <w:lang w:val="pt-BR"/>
        </w:rPr>
        <w:t xml:space="preserve"> às </w:t>
      </w:r>
      <w:r w:rsidRPr="00D5464D">
        <w:rPr>
          <w:rFonts w:cs="Arial"/>
          <w:szCs w:val="20"/>
          <w:lang w:val="pt-BR"/>
        </w:rPr>
        <w:t>quais</w:t>
      </w:r>
      <w:r w:rsidR="00D81AA1" w:rsidRPr="00D5464D">
        <w:rPr>
          <w:rFonts w:cs="Arial"/>
          <w:szCs w:val="20"/>
          <w:lang w:val="pt-BR"/>
        </w:rPr>
        <w:t xml:space="preserve"> </w:t>
      </w:r>
      <w:r w:rsidR="003526B8" w:rsidRPr="00D5464D">
        <w:rPr>
          <w:rFonts w:cs="Arial"/>
          <w:szCs w:val="20"/>
          <w:lang w:val="pt-BR"/>
        </w:rPr>
        <w:t xml:space="preserve">eram </w:t>
      </w:r>
      <w:r w:rsidR="002C330E" w:rsidRPr="00D5464D">
        <w:rPr>
          <w:rFonts w:cs="Arial"/>
          <w:szCs w:val="20"/>
          <w:lang w:val="pt-BR"/>
        </w:rPr>
        <w:t>submetido</w:t>
      </w:r>
      <w:r w:rsidR="00D81AA1" w:rsidRPr="00D5464D">
        <w:rPr>
          <w:rFonts w:cs="Arial"/>
          <w:szCs w:val="20"/>
          <w:lang w:val="pt-BR"/>
        </w:rPr>
        <w:t>s</w:t>
      </w:r>
      <w:r w:rsidR="002C330E" w:rsidRPr="00D5464D">
        <w:rPr>
          <w:rFonts w:cs="Arial"/>
          <w:szCs w:val="20"/>
          <w:lang w:val="pt-BR"/>
        </w:rPr>
        <w:t xml:space="preserve"> os </w:t>
      </w:r>
      <w:r w:rsidR="00E045D9" w:rsidRPr="00D5464D">
        <w:rPr>
          <w:rFonts w:cs="Arial"/>
          <w:szCs w:val="20"/>
          <w:lang w:val="pt-BR"/>
        </w:rPr>
        <w:t>trabalhadores</w:t>
      </w:r>
      <w:r w:rsidR="00470ADC" w:rsidRPr="00D5464D">
        <w:rPr>
          <w:rFonts w:cs="Arial"/>
          <w:szCs w:val="20"/>
          <w:lang w:val="pt-BR"/>
        </w:rPr>
        <w:t xml:space="preserve"> das </w:t>
      </w:r>
      <w:r w:rsidR="00D809F0" w:rsidRPr="00D5464D">
        <w:rPr>
          <w:rFonts w:cs="Arial"/>
          <w:szCs w:val="20"/>
          <w:lang w:val="pt-BR"/>
        </w:rPr>
        <w:t>fazenda</w:t>
      </w:r>
      <w:r w:rsidR="00D81AA1" w:rsidRPr="00D5464D">
        <w:rPr>
          <w:rFonts w:cs="Arial"/>
          <w:szCs w:val="20"/>
          <w:lang w:val="pt-BR"/>
        </w:rPr>
        <w:t xml:space="preserve">s </w:t>
      </w:r>
      <w:r w:rsidR="00470ADC" w:rsidRPr="00D5464D">
        <w:rPr>
          <w:rFonts w:cs="Arial"/>
          <w:szCs w:val="20"/>
          <w:lang w:val="pt-BR"/>
        </w:rPr>
        <w:t xml:space="preserve">do </w:t>
      </w:r>
      <w:r w:rsidR="00D81AA1" w:rsidRPr="00D5464D">
        <w:rPr>
          <w:rFonts w:cs="Arial"/>
          <w:szCs w:val="20"/>
          <w:lang w:val="pt-BR"/>
        </w:rPr>
        <w:t>norte</w:t>
      </w:r>
      <w:r w:rsidR="00E045D9" w:rsidRPr="00D5464D">
        <w:rPr>
          <w:rFonts w:cs="Arial"/>
          <w:szCs w:val="20"/>
          <w:lang w:val="pt-BR"/>
        </w:rPr>
        <w:t xml:space="preserve"> e </w:t>
      </w:r>
      <w:r w:rsidR="00D81AA1" w:rsidRPr="00D5464D">
        <w:rPr>
          <w:rFonts w:cs="Arial"/>
          <w:szCs w:val="20"/>
          <w:lang w:val="pt-BR"/>
        </w:rPr>
        <w:t>nor</w:t>
      </w:r>
      <w:r w:rsidRPr="00D5464D">
        <w:rPr>
          <w:rFonts w:cs="Arial"/>
          <w:szCs w:val="20"/>
          <w:lang w:val="pt-BR"/>
        </w:rPr>
        <w:t>d</w:t>
      </w:r>
      <w:r w:rsidR="00D81AA1" w:rsidRPr="00D5464D">
        <w:rPr>
          <w:rFonts w:cs="Arial"/>
          <w:szCs w:val="20"/>
          <w:lang w:val="pt-BR"/>
        </w:rPr>
        <w:t>este d</w:t>
      </w:r>
      <w:r w:rsidRPr="00D5464D">
        <w:rPr>
          <w:rFonts w:cs="Arial"/>
          <w:szCs w:val="20"/>
          <w:lang w:val="pt-BR"/>
        </w:rPr>
        <w:t>o</w:t>
      </w:r>
      <w:r w:rsidR="00D81AA1" w:rsidRPr="00D5464D">
        <w:rPr>
          <w:rFonts w:cs="Arial"/>
          <w:szCs w:val="20"/>
          <w:lang w:val="pt-BR"/>
        </w:rPr>
        <w:t xml:space="preserve"> Brasil. Esta </w:t>
      </w:r>
      <w:r w:rsidRPr="00D5464D">
        <w:rPr>
          <w:rFonts w:cs="Arial"/>
          <w:szCs w:val="20"/>
          <w:lang w:val="pt-BR"/>
        </w:rPr>
        <w:t xml:space="preserve">ideia preconcebida </w:t>
      </w:r>
      <w:r w:rsidR="00230C71" w:rsidRPr="00D5464D">
        <w:rPr>
          <w:rFonts w:cs="Arial"/>
          <w:szCs w:val="20"/>
          <w:lang w:val="pt-BR"/>
        </w:rPr>
        <w:t>resultou</w:t>
      </w:r>
      <w:r w:rsidR="00D81AA1" w:rsidRPr="00D5464D">
        <w:rPr>
          <w:rFonts w:cs="Arial"/>
          <w:szCs w:val="20"/>
          <w:lang w:val="pt-BR"/>
        </w:rPr>
        <w:t xml:space="preserve"> </w:t>
      </w:r>
      <w:r w:rsidR="00A1358C" w:rsidRPr="00D5464D">
        <w:rPr>
          <w:rFonts w:cs="Arial"/>
          <w:szCs w:val="20"/>
          <w:lang w:val="pt-BR"/>
        </w:rPr>
        <w:t>discriminatóri</w:t>
      </w:r>
      <w:r w:rsidR="00D81AA1" w:rsidRPr="00D5464D">
        <w:rPr>
          <w:rFonts w:cs="Arial"/>
          <w:szCs w:val="20"/>
          <w:lang w:val="pt-BR"/>
        </w:rPr>
        <w:t>a</w:t>
      </w:r>
      <w:r w:rsidR="00470ADC" w:rsidRPr="00D5464D">
        <w:rPr>
          <w:rFonts w:cs="Arial"/>
          <w:szCs w:val="20"/>
          <w:lang w:val="pt-BR"/>
        </w:rPr>
        <w:t xml:space="preserve"> em </w:t>
      </w:r>
      <w:r w:rsidR="00D81AA1" w:rsidRPr="00D5464D">
        <w:rPr>
          <w:rFonts w:cs="Arial"/>
          <w:szCs w:val="20"/>
          <w:lang w:val="pt-BR"/>
        </w:rPr>
        <w:t>rela</w:t>
      </w:r>
      <w:r w:rsidR="00470ADC" w:rsidRPr="00D5464D">
        <w:rPr>
          <w:rFonts w:cs="Arial"/>
          <w:szCs w:val="20"/>
          <w:lang w:val="pt-BR"/>
        </w:rPr>
        <w:t>ção</w:t>
      </w:r>
      <w:r w:rsidR="00E045D9" w:rsidRPr="00D5464D">
        <w:rPr>
          <w:rFonts w:cs="Arial"/>
          <w:szCs w:val="20"/>
          <w:lang w:val="pt-BR"/>
        </w:rPr>
        <w:t xml:space="preserve"> às vítima</w:t>
      </w:r>
      <w:r w:rsidR="00D81AA1" w:rsidRPr="00D5464D">
        <w:rPr>
          <w:rFonts w:cs="Arial"/>
          <w:szCs w:val="20"/>
          <w:lang w:val="pt-BR"/>
        </w:rPr>
        <w:t>s</w:t>
      </w:r>
      <w:r w:rsidR="00752D4A" w:rsidRPr="00D5464D">
        <w:rPr>
          <w:rFonts w:cs="Arial"/>
          <w:szCs w:val="20"/>
          <w:lang w:val="pt-BR"/>
        </w:rPr>
        <w:t xml:space="preserve"> </w:t>
      </w:r>
      <w:r w:rsidR="00470ADC" w:rsidRPr="00D5464D">
        <w:rPr>
          <w:rFonts w:cs="Arial"/>
          <w:szCs w:val="20"/>
          <w:lang w:val="pt-BR"/>
        </w:rPr>
        <w:t xml:space="preserve">do </w:t>
      </w:r>
      <w:r w:rsidR="00752D4A" w:rsidRPr="00D5464D">
        <w:rPr>
          <w:rFonts w:cs="Arial"/>
          <w:szCs w:val="20"/>
          <w:lang w:val="pt-BR"/>
        </w:rPr>
        <w:t>caso</w:t>
      </w:r>
      <w:r w:rsidR="00D81AA1" w:rsidRPr="00D5464D">
        <w:rPr>
          <w:rFonts w:cs="Arial"/>
          <w:szCs w:val="20"/>
          <w:lang w:val="pt-BR"/>
        </w:rPr>
        <w:t xml:space="preserve"> e </w:t>
      </w:r>
      <w:r w:rsidRPr="00D5464D">
        <w:rPr>
          <w:rFonts w:cs="Arial"/>
          <w:szCs w:val="20"/>
          <w:lang w:val="pt-BR"/>
        </w:rPr>
        <w:t>teve um impacto n</w:t>
      </w:r>
      <w:r w:rsidR="002C330E" w:rsidRPr="00D5464D">
        <w:rPr>
          <w:rFonts w:cs="Arial"/>
          <w:szCs w:val="20"/>
          <w:lang w:val="pt-BR"/>
        </w:rPr>
        <w:t xml:space="preserve">a </w:t>
      </w:r>
      <w:r w:rsidR="00737270" w:rsidRPr="00D5464D">
        <w:rPr>
          <w:rFonts w:cs="Arial"/>
          <w:szCs w:val="20"/>
          <w:lang w:val="pt-BR"/>
        </w:rPr>
        <w:t>atuação</w:t>
      </w:r>
      <w:r w:rsidR="00470ADC" w:rsidRPr="00D5464D">
        <w:rPr>
          <w:rFonts w:cs="Arial"/>
          <w:szCs w:val="20"/>
          <w:lang w:val="pt-BR"/>
        </w:rPr>
        <w:t xml:space="preserve"> das </w:t>
      </w:r>
      <w:r w:rsidR="00D81AA1" w:rsidRPr="00D5464D">
        <w:rPr>
          <w:rFonts w:cs="Arial"/>
          <w:szCs w:val="20"/>
          <w:lang w:val="pt-BR"/>
        </w:rPr>
        <w:t>autoridades</w:t>
      </w:r>
      <w:r w:rsidRPr="00D5464D">
        <w:rPr>
          <w:rFonts w:cs="Arial"/>
          <w:szCs w:val="20"/>
          <w:lang w:val="pt-BR"/>
        </w:rPr>
        <w:t>,</w:t>
      </w:r>
      <w:r w:rsidR="00D81AA1" w:rsidRPr="00D5464D">
        <w:rPr>
          <w:rFonts w:cs="Arial"/>
          <w:szCs w:val="20"/>
          <w:lang w:val="pt-BR"/>
        </w:rPr>
        <w:t xml:space="preserve"> obstaculizando</w:t>
      </w:r>
      <w:r w:rsidR="002C330E" w:rsidRPr="00D5464D">
        <w:rPr>
          <w:rFonts w:cs="Arial"/>
          <w:szCs w:val="20"/>
          <w:lang w:val="pt-BR"/>
        </w:rPr>
        <w:t xml:space="preserve"> a possibilidade </w:t>
      </w:r>
      <w:r w:rsidR="00D81AA1" w:rsidRPr="00D5464D">
        <w:rPr>
          <w:rFonts w:cs="Arial"/>
          <w:szCs w:val="20"/>
          <w:lang w:val="pt-BR"/>
        </w:rPr>
        <w:t xml:space="preserve">de </w:t>
      </w:r>
      <w:r w:rsidR="00E045D9" w:rsidRPr="00D5464D">
        <w:rPr>
          <w:rFonts w:cs="Arial"/>
          <w:szCs w:val="20"/>
          <w:lang w:val="pt-BR"/>
        </w:rPr>
        <w:t>conduzir</w:t>
      </w:r>
      <w:r w:rsidR="00D81AA1" w:rsidRPr="00D5464D">
        <w:rPr>
          <w:rFonts w:cs="Arial"/>
          <w:szCs w:val="20"/>
          <w:lang w:val="pt-BR"/>
        </w:rPr>
        <w:t xml:space="preserve"> </w:t>
      </w:r>
      <w:r w:rsidR="002C330E" w:rsidRPr="00D5464D">
        <w:rPr>
          <w:rFonts w:cs="Arial"/>
          <w:szCs w:val="20"/>
          <w:lang w:val="pt-BR"/>
        </w:rPr>
        <w:t>processo</w:t>
      </w:r>
      <w:r w:rsidR="00D81AA1" w:rsidRPr="00D5464D">
        <w:rPr>
          <w:rFonts w:cs="Arial"/>
          <w:szCs w:val="20"/>
          <w:lang w:val="pt-BR"/>
        </w:rPr>
        <w:t xml:space="preserve">s que </w:t>
      </w:r>
      <w:r w:rsidRPr="00D5464D">
        <w:rPr>
          <w:rFonts w:cs="Arial"/>
          <w:szCs w:val="20"/>
          <w:lang w:val="pt-BR"/>
        </w:rPr>
        <w:t xml:space="preserve">sancionassem </w:t>
      </w:r>
      <w:r w:rsidR="00E045D9" w:rsidRPr="00D5464D">
        <w:rPr>
          <w:rFonts w:cs="Arial"/>
          <w:szCs w:val="20"/>
          <w:lang w:val="pt-BR"/>
        </w:rPr>
        <w:t xml:space="preserve">os </w:t>
      </w:r>
      <w:r w:rsidR="002C330E" w:rsidRPr="00D5464D">
        <w:rPr>
          <w:rFonts w:cs="Arial"/>
          <w:szCs w:val="20"/>
          <w:lang w:val="pt-BR"/>
        </w:rPr>
        <w:t>responsáveis</w:t>
      </w:r>
      <w:r w:rsidR="00D81AA1" w:rsidRPr="00D5464D">
        <w:rPr>
          <w:rFonts w:cs="Arial"/>
          <w:szCs w:val="20"/>
          <w:lang w:val="pt-BR"/>
        </w:rPr>
        <w:t>.</w:t>
      </w:r>
    </w:p>
    <w:p w14:paraId="28E362DD" w14:textId="77777777" w:rsidR="00D81AA1" w:rsidRPr="00D5464D" w:rsidRDefault="00D81AA1" w:rsidP="00D81AA1">
      <w:pPr>
        <w:pStyle w:val="Prrafodelista"/>
        <w:rPr>
          <w:rFonts w:cs="Arial"/>
          <w:bCs/>
          <w:iCs/>
          <w:szCs w:val="20"/>
          <w:lang w:val="pt-BR"/>
        </w:rPr>
      </w:pPr>
    </w:p>
    <w:p w14:paraId="3654914D" w14:textId="781301BD" w:rsidR="00D81AA1" w:rsidRPr="00D5464D" w:rsidRDefault="00470ADC" w:rsidP="00F306D7">
      <w:pPr>
        <w:pStyle w:val="Prrafodelista"/>
        <w:numPr>
          <w:ilvl w:val="0"/>
          <w:numId w:val="24"/>
        </w:numPr>
        <w:autoSpaceDE w:val="0"/>
        <w:autoSpaceDN w:val="0"/>
        <w:adjustRightInd w:val="0"/>
        <w:rPr>
          <w:rFonts w:cs="Arial"/>
          <w:bCs/>
          <w:iCs/>
          <w:szCs w:val="20"/>
          <w:lang w:val="pt-BR"/>
        </w:rPr>
      </w:pPr>
      <w:r w:rsidRPr="00D5464D">
        <w:rPr>
          <w:rFonts w:cs="Arial"/>
          <w:i/>
          <w:szCs w:val="20"/>
          <w:lang w:val="pt-BR"/>
        </w:rPr>
        <w:t>Conclusão</w:t>
      </w:r>
    </w:p>
    <w:p w14:paraId="655708B8" w14:textId="77777777" w:rsidR="00D81AA1" w:rsidRPr="00D5464D" w:rsidRDefault="00D81AA1" w:rsidP="00D81AA1">
      <w:pPr>
        <w:pStyle w:val="Prrafodelista"/>
        <w:rPr>
          <w:rFonts w:cs="Arial"/>
          <w:bCs/>
          <w:iCs/>
          <w:szCs w:val="20"/>
          <w:lang w:val="pt-BR"/>
        </w:rPr>
      </w:pPr>
    </w:p>
    <w:p w14:paraId="56F65B33" w14:textId="3113A3C4" w:rsidR="00D81AA1" w:rsidRPr="00D5464D" w:rsidRDefault="001E46BD" w:rsidP="00D81AA1">
      <w:pPr>
        <w:pStyle w:val="Prrafodelista"/>
        <w:numPr>
          <w:ilvl w:val="0"/>
          <w:numId w:val="1"/>
        </w:numPr>
        <w:autoSpaceDE w:val="0"/>
        <w:autoSpaceDN w:val="0"/>
        <w:adjustRightInd w:val="0"/>
        <w:contextualSpacing w:val="0"/>
        <w:rPr>
          <w:rFonts w:cs="Arial"/>
          <w:bCs/>
          <w:iCs/>
          <w:szCs w:val="20"/>
          <w:lang w:val="pt-BR"/>
        </w:rPr>
      </w:pPr>
      <w:r w:rsidRPr="00D5464D">
        <w:rPr>
          <w:szCs w:val="20"/>
          <w:lang w:val="pt-BR"/>
        </w:rPr>
        <w:t>Em virtude d</w:t>
      </w:r>
      <w:r w:rsidR="00C91CB1" w:rsidRPr="00D5464D">
        <w:rPr>
          <w:szCs w:val="20"/>
          <w:lang w:val="pt-BR"/>
        </w:rPr>
        <w:t xml:space="preserve">o </w:t>
      </w:r>
      <w:r w:rsidR="00D81AA1" w:rsidRPr="00D5464D">
        <w:rPr>
          <w:szCs w:val="20"/>
          <w:lang w:val="pt-BR"/>
        </w:rPr>
        <w:t>anterior,</w:t>
      </w:r>
      <w:r w:rsidR="002C330E" w:rsidRPr="00D5464D">
        <w:rPr>
          <w:szCs w:val="20"/>
          <w:lang w:val="pt-BR"/>
        </w:rPr>
        <w:t xml:space="preserve"> a </w:t>
      </w:r>
      <w:r w:rsidR="00D81AA1" w:rsidRPr="00D5464D">
        <w:rPr>
          <w:szCs w:val="20"/>
          <w:lang w:val="pt-BR"/>
        </w:rPr>
        <w:t xml:space="preserve">Corte </w:t>
      </w:r>
      <w:r w:rsidR="00470ADC" w:rsidRPr="00D5464D">
        <w:rPr>
          <w:szCs w:val="20"/>
          <w:lang w:val="pt-BR"/>
        </w:rPr>
        <w:t xml:space="preserve">conclui </w:t>
      </w:r>
      <w:r w:rsidR="00D81AA1" w:rsidRPr="00D5464D">
        <w:rPr>
          <w:szCs w:val="20"/>
          <w:lang w:val="pt-BR"/>
        </w:rPr>
        <w:t>que</w:t>
      </w:r>
      <w:r w:rsidR="00470ADC" w:rsidRPr="00D5464D">
        <w:rPr>
          <w:szCs w:val="20"/>
          <w:lang w:val="pt-BR"/>
        </w:rPr>
        <w:t xml:space="preserve"> o </w:t>
      </w:r>
      <w:r w:rsidR="00D81AA1" w:rsidRPr="00D5464D">
        <w:rPr>
          <w:szCs w:val="20"/>
          <w:lang w:val="pt-BR"/>
        </w:rPr>
        <w:t xml:space="preserve">Estado </w:t>
      </w:r>
      <w:r w:rsidR="00EB1CE9" w:rsidRPr="00D5464D">
        <w:rPr>
          <w:szCs w:val="20"/>
          <w:lang w:val="pt-BR"/>
        </w:rPr>
        <w:t>violou</w:t>
      </w:r>
      <w:r w:rsidR="00470ADC" w:rsidRPr="00D5464D">
        <w:rPr>
          <w:szCs w:val="20"/>
          <w:lang w:val="pt-BR"/>
        </w:rPr>
        <w:t xml:space="preserve"> o direito à </w:t>
      </w:r>
      <w:r w:rsidR="002C330E" w:rsidRPr="00D5464D">
        <w:rPr>
          <w:szCs w:val="20"/>
          <w:lang w:val="pt-BR"/>
        </w:rPr>
        <w:t>proteção</w:t>
      </w:r>
      <w:r w:rsidR="00D81AA1" w:rsidRPr="00D5464D">
        <w:rPr>
          <w:szCs w:val="20"/>
          <w:lang w:val="pt-BR"/>
        </w:rPr>
        <w:t xml:space="preserve"> judicial, previsto</w:t>
      </w:r>
      <w:r w:rsidR="00E045D9" w:rsidRPr="00D5464D">
        <w:rPr>
          <w:szCs w:val="20"/>
          <w:lang w:val="pt-BR"/>
        </w:rPr>
        <w:t xml:space="preserve"> no </w:t>
      </w:r>
      <w:r w:rsidR="00470ADC" w:rsidRPr="00D5464D">
        <w:rPr>
          <w:szCs w:val="20"/>
          <w:lang w:val="pt-BR"/>
        </w:rPr>
        <w:t>artigo</w:t>
      </w:r>
      <w:r w:rsidR="00D81AA1" w:rsidRPr="00D5464D">
        <w:rPr>
          <w:szCs w:val="20"/>
          <w:lang w:val="pt-BR"/>
        </w:rPr>
        <w:t xml:space="preserve"> 25</w:t>
      </w:r>
      <w:r w:rsidR="00470ADC" w:rsidRPr="00D5464D">
        <w:rPr>
          <w:szCs w:val="20"/>
          <w:lang w:val="pt-BR"/>
        </w:rPr>
        <w:t xml:space="preserve"> da </w:t>
      </w:r>
      <w:r w:rsidR="00D81AA1" w:rsidRPr="00D5464D">
        <w:rPr>
          <w:szCs w:val="20"/>
          <w:lang w:val="pt-BR"/>
        </w:rPr>
        <w:t>Conven</w:t>
      </w:r>
      <w:r w:rsidR="00470ADC" w:rsidRPr="00D5464D">
        <w:rPr>
          <w:szCs w:val="20"/>
          <w:lang w:val="pt-BR"/>
        </w:rPr>
        <w:t>ção</w:t>
      </w:r>
      <w:r w:rsidR="00D81AA1" w:rsidRPr="00D5464D">
        <w:rPr>
          <w:szCs w:val="20"/>
          <w:lang w:val="pt-BR"/>
        </w:rPr>
        <w:t xml:space="preserve"> Americana</w:t>
      </w:r>
      <w:r w:rsidR="007C67C6" w:rsidRPr="00D5464D">
        <w:rPr>
          <w:szCs w:val="20"/>
          <w:lang w:val="pt-BR"/>
        </w:rPr>
        <w:t xml:space="preserve"> sobre </w:t>
      </w:r>
      <w:r w:rsidR="00470ADC" w:rsidRPr="00D5464D">
        <w:rPr>
          <w:szCs w:val="20"/>
          <w:lang w:val="pt-BR"/>
        </w:rPr>
        <w:t>Direito</w:t>
      </w:r>
      <w:r w:rsidR="007C67C6" w:rsidRPr="00D5464D">
        <w:rPr>
          <w:szCs w:val="20"/>
          <w:lang w:val="pt-BR"/>
        </w:rPr>
        <w:t>s Humanos</w:t>
      </w:r>
      <w:r w:rsidR="00D81AA1" w:rsidRPr="00D5464D">
        <w:rPr>
          <w:szCs w:val="20"/>
          <w:lang w:val="pt-BR"/>
        </w:rPr>
        <w:t>,</w:t>
      </w:r>
      <w:r w:rsidR="00470ADC" w:rsidRPr="00D5464D">
        <w:rPr>
          <w:szCs w:val="20"/>
          <w:lang w:val="pt-BR"/>
        </w:rPr>
        <w:t xml:space="preserve"> </w:t>
      </w:r>
      <w:r w:rsidR="00A1358C" w:rsidRPr="00D5464D">
        <w:rPr>
          <w:szCs w:val="20"/>
          <w:lang w:val="pt-BR"/>
        </w:rPr>
        <w:t>em relação aos artigos</w:t>
      </w:r>
      <w:r w:rsidR="00D81AA1" w:rsidRPr="00D5464D">
        <w:rPr>
          <w:szCs w:val="20"/>
          <w:lang w:val="pt-BR"/>
        </w:rPr>
        <w:t xml:space="preserve"> 1.1</w:t>
      </w:r>
      <w:r w:rsidR="00E045D9" w:rsidRPr="00D5464D">
        <w:rPr>
          <w:szCs w:val="20"/>
          <w:lang w:val="pt-BR"/>
        </w:rPr>
        <w:t xml:space="preserve"> e </w:t>
      </w:r>
      <w:r w:rsidR="00D81AA1" w:rsidRPr="00D5464D">
        <w:rPr>
          <w:szCs w:val="20"/>
          <w:lang w:val="pt-BR"/>
        </w:rPr>
        <w:t xml:space="preserve">2 </w:t>
      </w:r>
      <w:r w:rsidR="00470ADC" w:rsidRPr="00D5464D">
        <w:rPr>
          <w:szCs w:val="20"/>
          <w:lang w:val="pt-BR"/>
        </w:rPr>
        <w:t xml:space="preserve">do </w:t>
      </w:r>
      <w:r w:rsidR="002C330E" w:rsidRPr="00D5464D">
        <w:rPr>
          <w:szCs w:val="20"/>
          <w:lang w:val="pt-BR"/>
        </w:rPr>
        <w:t>mesm</w:t>
      </w:r>
      <w:r w:rsidR="00D81AA1" w:rsidRPr="00D5464D">
        <w:rPr>
          <w:szCs w:val="20"/>
          <w:lang w:val="pt-BR"/>
        </w:rPr>
        <w:t>o instrumento</w:t>
      </w:r>
      <w:r w:rsidR="007C67C6" w:rsidRPr="00D5464D">
        <w:rPr>
          <w:szCs w:val="20"/>
          <w:lang w:val="pt-BR"/>
        </w:rPr>
        <w:t>,</w:t>
      </w:r>
      <w:r w:rsidR="00470ADC" w:rsidRPr="00D5464D">
        <w:rPr>
          <w:szCs w:val="20"/>
          <w:lang w:val="pt-BR"/>
        </w:rPr>
        <w:t xml:space="preserve"> em </w:t>
      </w:r>
      <w:r w:rsidR="002C330E" w:rsidRPr="00D5464D">
        <w:rPr>
          <w:szCs w:val="20"/>
          <w:lang w:val="pt-BR"/>
        </w:rPr>
        <w:t>prejuízo</w:t>
      </w:r>
      <w:r w:rsidR="00D81AA1" w:rsidRPr="00D5464D">
        <w:rPr>
          <w:szCs w:val="20"/>
          <w:lang w:val="pt-BR"/>
        </w:rPr>
        <w:t xml:space="preserve"> de: a)</w:t>
      </w:r>
      <w:r w:rsidR="002C330E" w:rsidRPr="00D5464D">
        <w:rPr>
          <w:szCs w:val="20"/>
          <w:lang w:val="pt-BR"/>
        </w:rPr>
        <w:t xml:space="preserve"> </w:t>
      </w:r>
      <w:r w:rsidR="00D81AA1" w:rsidRPr="00D5464D">
        <w:rPr>
          <w:szCs w:val="20"/>
          <w:lang w:val="pt-BR"/>
        </w:rPr>
        <w:t xml:space="preserve">43 </w:t>
      </w:r>
      <w:r w:rsidR="00E045D9" w:rsidRPr="00D5464D">
        <w:rPr>
          <w:szCs w:val="20"/>
          <w:lang w:val="pt-BR"/>
        </w:rPr>
        <w:t>trabalhadores</w:t>
      </w:r>
      <w:r w:rsidR="00470ADC" w:rsidRPr="00D5464D">
        <w:rPr>
          <w:szCs w:val="20"/>
          <w:lang w:val="pt-BR"/>
        </w:rPr>
        <w:t xml:space="preserve"> da </w:t>
      </w:r>
      <w:r w:rsidR="00D809F0" w:rsidRPr="00D5464D">
        <w:rPr>
          <w:szCs w:val="20"/>
          <w:lang w:val="pt-BR"/>
        </w:rPr>
        <w:t>Fazenda</w:t>
      </w:r>
      <w:r w:rsidR="00D81AA1" w:rsidRPr="00D5464D">
        <w:rPr>
          <w:szCs w:val="20"/>
          <w:lang w:val="pt-BR"/>
        </w:rPr>
        <w:t xml:space="preserve"> Brasil Verde </w:t>
      </w:r>
      <w:r w:rsidR="0090341D" w:rsidRPr="00D5464D">
        <w:rPr>
          <w:szCs w:val="20"/>
          <w:lang w:val="pt-BR"/>
        </w:rPr>
        <w:t>resgatado</w:t>
      </w:r>
      <w:r w:rsidR="009731DC" w:rsidRPr="00D5464D">
        <w:rPr>
          <w:szCs w:val="20"/>
          <w:lang w:val="pt-BR"/>
        </w:rPr>
        <w:t>s</w:t>
      </w:r>
      <w:r w:rsidR="00D81AA1" w:rsidRPr="00D5464D">
        <w:rPr>
          <w:szCs w:val="20"/>
          <w:lang w:val="pt-BR"/>
        </w:rPr>
        <w:t xml:space="preserve"> durante</w:t>
      </w:r>
      <w:r w:rsidR="002C330E" w:rsidRPr="00D5464D">
        <w:rPr>
          <w:szCs w:val="20"/>
          <w:lang w:val="pt-BR"/>
        </w:rPr>
        <w:t xml:space="preserve"> a </w:t>
      </w:r>
      <w:r w:rsidR="00D81AA1" w:rsidRPr="00D5464D">
        <w:rPr>
          <w:szCs w:val="20"/>
          <w:lang w:val="pt-BR"/>
        </w:rPr>
        <w:t>fiscaliza</w:t>
      </w:r>
      <w:r w:rsidR="00470ADC" w:rsidRPr="00D5464D">
        <w:rPr>
          <w:szCs w:val="20"/>
          <w:lang w:val="pt-BR"/>
        </w:rPr>
        <w:t>ção</w:t>
      </w:r>
      <w:r w:rsidR="00D81AA1" w:rsidRPr="00D5464D">
        <w:rPr>
          <w:szCs w:val="20"/>
          <w:lang w:val="pt-BR"/>
        </w:rPr>
        <w:t xml:space="preserve"> de 23 de abril de 1997</w:t>
      </w:r>
      <w:r w:rsidR="00E045D9" w:rsidRPr="00D5464D">
        <w:rPr>
          <w:szCs w:val="20"/>
          <w:lang w:val="pt-BR"/>
        </w:rPr>
        <w:t xml:space="preserve"> e </w:t>
      </w:r>
      <w:r w:rsidR="00D81AA1" w:rsidRPr="00D5464D">
        <w:rPr>
          <w:szCs w:val="20"/>
          <w:lang w:val="pt-BR"/>
        </w:rPr>
        <w:t xml:space="preserve">que </w:t>
      </w:r>
      <w:r w:rsidR="00470ADC" w:rsidRPr="00D5464D">
        <w:rPr>
          <w:szCs w:val="20"/>
          <w:lang w:val="pt-BR"/>
        </w:rPr>
        <w:t>foram</w:t>
      </w:r>
      <w:r w:rsidR="00D81AA1" w:rsidRPr="00D5464D">
        <w:rPr>
          <w:szCs w:val="20"/>
          <w:lang w:val="pt-BR"/>
        </w:rPr>
        <w:t xml:space="preserve"> identificados</w:t>
      </w:r>
      <w:r w:rsidR="002C330E" w:rsidRPr="00D5464D">
        <w:rPr>
          <w:szCs w:val="20"/>
          <w:lang w:val="pt-BR"/>
        </w:rPr>
        <w:t xml:space="preserve"> pela </w:t>
      </w:r>
      <w:r w:rsidR="00D81AA1" w:rsidRPr="00D5464D">
        <w:rPr>
          <w:szCs w:val="20"/>
          <w:lang w:val="pt-BR"/>
        </w:rPr>
        <w:t>Corte</w:t>
      </w:r>
      <w:r w:rsidR="00E045D9" w:rsidRPr="00D5464D">
        <w:rPr>
          <w:szCs w:val="20"/>
          <w:lang w:val="pt-BR"/>
        </w:rPr>
        <w:t xml:space="preserve"> no </w:t>
      </w:r>
      <w:r w:rsidR="00D81AA1" w:rsidRPr="00D5464D">
        <w:rPr>
          <w:szCs w:val="20"/>
          <w:lang w:val="pt-BR"/>
        </w:rPr>
        <w:t xml:space="preserve">presente </w:t>
      </w:r>
      <w:r w:rsidR="002C330E" w:rsidRPr="00D5464D">
        <w:rPr>
          <w:szCs w:val="20"/>
          <w:lang w:val="pt-BR"/>
        </w:rPr>
        <w:t>litígio</w:t>
      </w:r>
      <w:r w:rsidR="00D81AA1" w:rsidRPr="00D5464D">
        <w:rPr>
          <w:szCs w:val="20"/>
          <w:lang w:val="pt-BR"/>
        </w:rPr>
        <w:t xml:space="preserve"> (</w:t>
      </w:r>
      <w:r w:rsidR="00C85EA9" w:rsidRPr="00D5464D">
        <w:rPr>
          <w:szCs w:val="20"/>
          <w:lang w:val="pt-BR"/>
        </w:rPr>
        <w:t xml:space="preserve">par. </w:t>
      </w:r>
      <w:r w:rsidR="00D036E7" w:rsidRPr="00D5464D">
        <w:rPr>
          <w:szCs w:val="20"/>
          <w:lang w:val="pt-BR"/>
        </w:rPr>
        <w:t>199</w:t>
      </w:r>
      <w:r w:rsidR="00D036E7" w:rsidRPr="00D5464D">
        <w:rPr>
          <w:i/>
          <w:szCs w:val="20"/>
          <w:lang w:val="pt-BR"/>
        </w:rPr>
        <w:t xml:space="preserve"> supra</w:t>
      </w:r>
      <w:r w:rsidR="00D036E7" w:rsidRPr="00D5464D">
        <w:rPr>
          <w:szCs w:val="20"/>
          <w:lang w:val="pt-BR"/>
        </w:rPr>
        <w:t>)</w:t>
      </w:r>
      <w:r w:rsidR="002A0C2B" w:rsidRPr="00D5464D">
        <w:rPr>
          <w:szCs w:val="20"/>
          <w:lang w:val="pt-BR"/>
        </w:rPr>
        <w:t xml:space="preserve"> e </w:t>
      </w:r>
      <w:r w:rsidR="00D81AA1" w:rsidRPr="00D5464D">
        <w:rPr>
          <w:szCs w:val="20"/>
          <w:lang w:val="pt-BR"/>
        </w:rPr>
        <w:t>b)</w:t>
      </w:r>
      <w:r w:rsidR="002C330E" w:rsidRPr="00D5464D">
        <w:rPr>
          <w:szCs w:val="20"/>
          <w:lang w:val="pt-BR"/>
        </w:rPr>
        <w:t xml:space="preserve"> </w:t>
      </w:r>
      <w:r w:rsidR="00D81AA1" w:rsidRPr="00D5464D">
        <w:rPr>
          <w:szCs w:val="20"/>
          <w:lang w:val="pt-BR"/>
        </w:rPr>
        <w:t xml:space="preserve">85 </w:t>
      </w:r>
      <w:r w:rsidR="00E045D9" w:rsidRPr="00D5464D">
        <w:rPr>
          <w:szCs w:val="20"/>
          <w:lang w:val="pt-BR"/>
        </w:rPr>
        <w:t>trabalhadores</w:t>
      </w:r>
      <w:r w:rsidR="00470ADC" w:rsidRPr="00D5464D">
        <w:rPr>
          <w:szCs w:val="20"/>
          <w:lang w:val="pt-BR"/>
        </w:rPr>
        <w:t xml:space="preserve"> da </w:t>
      </w:r>
      <w:r w:rsidR="00D809F0" w:rsidRPr="00D5464D">
        <w:rPr>
          <w:szCs w:val="20"/>
          <w:lang w:val="pt-BR"/>
        </w:rPr>
        <w:t>Fazenda</w:t>
      </w:r>
      <w:r w:rsidR="00D81AA1" w:rsidRPr="00D5464D">
        <w:rPr>
          <w:szCs w:val="20"/>
          <w:lang w:val="pt-BR"/>
        </w:rPr>
        <w:t xml:space="preserve"> Brasil Verde </w:t>
      </w:r>
      <w:r w:rsidR="0090341D" w:rsidRPr="00D5464D">
        <w:rPr>
          <w:szCs w:val="20"/>
          <w:lang w:val="pt-BR"/>
        </w:rPr>
        <w:t>resgatado</w:t>
      </w:r>
      <w:r w:rsidR="009731DC" w:rsidRPr="00D5464D">
        <w:rPr>
          <w:szCs w:val="20"/>
          <w:lang w:val="pt-BR"/>
        </w:rPr>
        <w:t>s</w:t>
      </w:r>
      <w:r w:rsidR="00D81AA1" w:rsidRPr="00D5464D">
        <w:rPr>
          <w:szCs w:val="20"/>
          <w:lang w:val="pt-BR"/>
        </w:rPr>
        <w:t xml:space="preserve"> durante</w:t>
      </w:r>
      <w:r w:rsidR="002C330E" w:rsidRPr="00D5464D">
        <w:rPr>
          <w:szCs w:val="20"/>
          <w:lang w:val="pt-BR"/>
        </w:rPr>
        <w:t xml:space="preserve"> a </w:t>
      </w:r>
      <w:r w:rsidR="00D81AA1" w:rsidRPr="00D5464D">
        <w:rPr>
          <w:szCs w:val="20"/>
          <w:lang w:val="pt-BR"/>
        </w:rPr>
        <w:t>fiscaliza</w:t>
      </w:r>
      <w:r w:rsidR="00470ADC" w:rsidRPr="00D5464D">
        <w:rPr>
          <w:szCs w:val="20"/>
          <w:lang w:val="pt-BR"/>
        </w:rPr>
        <w:t>ção</w:t>
      </w:r>
      <w:r w:rsidR="00D81AA1" w:rsidRPr="00D5464D">
        <w:rPr>
          <w:szCs w:val="20"/>
          <w:lang w:val="pt-BR"/>
        </w:rPr>
        <w:t xml:space="preserve"> de 15 de </w:t>
      </w:r>
      <w:r w:rsidR="002C330E" w:rsidRPr="00D5464D">
        <w:rPr>
          <w:szCs w:val="20"/>
          <w:lang w:val="pt-BR"/>
        </w:rPr>
        <w:t>março</w:t>
      </w:r>
      <w:r w:rsidR="00D81AA1" w:rsidRPr="00D5464D">
        <w:rPr>
          <w:szCs w:val="20"/>
          <w:lang w:val="pt-BR"/>
        </w:rPr>
        <w:t xml:space="preserve"> de 2000</w:t>
      </w:r>
      <w:r w:rsidR="00E045D9" w:rsidRPr="00D5464D">
        <w:rPr>
          <w:szCs w:val="20"/>
          <w:lang w:val="pt-BR"/>
        </w:rPr>
        <w:t xml:space="preserve"> e </w:t>
      </w:r>
      <w:r w:rsidR="00D81AA1" w:rsidRPr="00D5464D">
        <w:rPr>
          <w:szCs w:val="20"/>
          <w:lang w:val="pt-BR"/>
        </w:rPr>
        <w:t xml:space="preserve">que </w:t>
      </w:r>
      <w:r w:rsidR="00470ADC" w:rsidRPr="00D5464D">
        <w:rPr>
          <w:szCs w:val="20"/>
          <w:lang w:val="pt-BR"/>
        </w:rPr>
        <w:t>foram</w:t>
      </w:r>
      <w:r w:rsidR="00D81AA1" w:rsidRPr="00D5464D">
        <w:rPr>
          <w:szCs w:val="20"/>
          <w:lang w:val="pt-BR"/>
        </w:rPr>
        <w:t xml:space="preserve"> identificados</w:t>
      </w:r>
      <w:r w:rsidR="002C330E" w:rsidRPr="00D5464D">
        <w:rPr>
          <w:szCs w:val="20"/>
          <w:lang w:val="pt-BR"/>
        </w:rPr>
        <w:t xml:space="preserve"> pela </w:t>
      </w:r>
      <w:r w:rsidR="00D81AA1" w:rsidRPr="00D5464D">
        <w:rPr>
          <w:szCs w:val="20"/>
          <w:lang w:val="pt-BR"/>
        </w:rPr>
        <w:t>Corte</w:t>
      </w:r>
      <w:r w:rsidR="00E045D9" w:rsidRPr="00D5464D">
        <w:rPr>
          <w:szCs w:val="20"/>
          <w:lang w:val="pt-BR"/>
        </w:rPr>
        <w:t xml:space="preserve"> no </w:t>
      </w:r>
      <w:r w:rsidR="00D81AA1" w:rsidRPr="00D5464D">
        <w:rPr>
          <w:szCs w:val="20"/>
          <w:lang w:val="pt-BR"/>
        </w:rPr>
        <w:t xml:space="preserve">presente </w:t>
      </w:r>
      <w:r w:rsidR="002C330E" w:rsidRPr="00D5464D">
        <w:rPr>
          <w:szCs w:val="20"/>
          <w:lang w:val="pt-BR"/>
        </w:rPr>
        <w:t>litígio</w:t>
      </w:r>
      <w:r w:rsidR="00D81AA1" w:rsidRPr="00D5464D">
        <w:rPr>
          <w:szCs w:val="20"/>
          <w:lang w:val="pt-BR"/>
        </w:rPr>
        <w:t xml:space="preserve"> (</w:t>
      </w:r>
      <w:r w:rsidR="00C85EA9" w:rsidRPr="00D5464D">
        <w:rPr>
          <w:szCs w:val="20"/>
          <w:lang w:val="pt-BR"/>
        </w:rPr>
        <w:t xml:space="preserve">par. </w:t>
      </w:r>
      <w:r w:rsidR="00D036E7" w:rsidRPr="00D5464D">
        <w:rPr>
          <w:szCs w:val="20"/>
          <w:lang w:val="pt-BR"/>
        </w:rPr>
        <w:t>206</w:t>
      </w:r>
      <w:r w:rsidR="00D036E7" w:rsidRPr="00D5464D">
        <w:rPr>
          <w:i/>
          <w:szCs w:val="20"/>
          <w:lang w:val="pt-BR"/>
        </w:rPr>
        <w:t xml:space="preserve"> supra</w:t>
      </w:r>
      <w:r w:rsidR="00D036E7" w:rsidRPr="00D5464D">
        <w:rPr>
          <w:szCs w:val="20"/>
          <w:lang w:val="pt-BR"/>
        </w:rPr>
        <w:t>)</w:t>
      </w:r>
      <w:r w:rsidR="00D81AA1" w:rsidRPr="00D5464D">
        <w:rPr>
          <w:szCs w:val="20"/>
          <w:lang w:val="pt-BR"/>
        </w:rPr>
        <w:t xml:space="preserve">. </w:t>
      </w:r>
      <w:r w:rsidR="00470ADC" w:rsidRPr="00D5464D">
        <w:rPr>
          <w:szCs w:val="20"/>
          <w:lang w:val="pt-BR"/>
        </w:rPr>
        <w:t>Ademais</w:t>
      </w:r>
      <w:r w:rsidR="00D81AA1" w:rsidRPr="00D5464D">
        <w:rPr>
          <w:szCs w:val="20"/>
          <w:lang w:val="pt-BR"/>
        </w:rPr>
        <w:t>,</w:t>
      </w:r>
      <w:r w:rsidR="002C330E" w:rsidRPr="00D5464D">
        <w:rPr>
          <w:szCs w:val="20"/>
          <w:lang w:val="pt-BR"/>
        </w:rPr>
        <w:t xml:space="preserve"> </w:t>
      </w:r>
      <w:r w:rsidRPr="00D5464D">
        <w:rPr>
          <w:szCs w:val="20"/>
          <w:lang w:val="pt-BR"/>
        </w:rPr>
        <w:t xml:space="preserve">em relação </w:t>
      </w:r>
      <w:r w:rsidR="00C9493B" w:rsidRPr="00D5464D">
        <w:rPr>
          <w:szCs w:val="20"/>
          <w:lang w:val="pt-BR"/>
        </w:rPr>
        <w:t xml:space="preserve">a </w:t>
      </w:r>
      <w:r w:rsidR="00E42F61" w:rsidRPr="00D5464D">
        <w:rPr>
          <w:rFonts w:cs="Arial"/>
          <w:szCs w:val="20"/>
          <w:lang w:val="pt-BR"/>
        </w:rPr>
        <w:t xml:space="preserve">Antônio </w:t>
      </w:r>
      <w:r w:rsidR="00C9493B" w:rsidRPr="00D5464D">
        <w:rPr>
          <w:rFonts w:cs="Arial"/>
          <w:szCs w:val="20"/>
          <w:lang w:val="pt-BR"/>
        </w:rPr>
        <w:t xml:space="preserve">Francisco da Silva, </w:t>
      </w:r>
      <w:r w:rsidR="002C330E" w:rsidRPr="00D5464D">
        <w:rPr>
          <w:rFonts w:cs="Arial"/>
          <w:szCs w:val="20"/>
          <w:lang w:val="pt-BR"/>
        </w:rPr>
        <w:t xml:space="preserve">que </w:t>
      </w:r>
      <w:r w:rsidR="00C9493B" w:rsidRPr="00D5464D">
        <w:rPr>
          <w:szCs w:val="20"/>
          <w:lang w:val="pt-BR"/>
        </w:rPr>
        <w:t xml:space="preserve">era </w:t>
      </w:r>
      <w:r w:rsidR="002C330E" w:rsidRPr="00D5464D">
        <w:rPr>
          <w:szCs w:val="20"/>
          <w:lang w:val="pt-BR"/>
        </w:rPr>
        <w:t xml:space="preserve">criança </w:t>
      </w:r>
      <w:r w:rsidR="00C9493B" w:rsidRPr="00D5464D">
        <w:rPr>
          <w:szCs w:val="20"/>
          <w:lang w:val="pt-BR"/>
        </w:rPr>
        <w:t>durante parte</w:t>
      </w:r>
      <w:r w:rsidR="00470ADC" w:rsidRPr="00D5464D">
        <w:rPr>
          <w:szCs w:val="20"/>
          <w:lang w:val="pt-BR"/>
        </w:rPr>
        <w:t xml:space="preserve"> dos </w:t>
      </w:r>
      <w:r w:rsidR="002C330E" w:rsidRPr="00D5464D">
        <w:rPr>
          <w:szCs w:val="20"/>
          <w:lang w:val="pt-BR"/>
        </w:rPr>
        <w:t>fatos</w:t>
      </w:r>
      <w:r w:rsidR="00C9493B" w:rsidRPr="00D5464D">
        <w:rPr>
          <w:szCs w:val="20"/>
          <w:lang w:val="pt-BR"/>
        </w:rPr>
        <w:t xml:space="preserve"> </w:t>
      </w:r>
      <w:r w:rsidR="00470ADC" w:rsidRPr="00D5464D">
        <w:rPr>
          <w:szCs w:val="20"/>
          <w:lang w:val="pt-BR"/>
        </w:rPr>
        <w:t xml:space="preserve">do </w:t>
      </w:r>
      <w:r w:rsidR="00C9493B" w:rsidRPr="00D5464D">
        <w:rPr>
          <w:szCs w:val="20"/>
          <w:lang w:val="pt-BR"/>
        </w:rPr>
        <w:t>caso,</w:t>
      </w:r>
      <w:r w:rsidR="002C330E" w:rsidRPr="00D5464D">
        <w:rPr>
          <w:szCs w:val="20"/>
          <w:lang w:val="pt-BR"/>
        </w:rPr>
        <w:t xml:space="preserve"> </w:t>
      </w:r>
      <w:r w:rsidRPr="00D5464D">
        <w:rPr>
          <w:szCs w:val="20"/>
          <w:lang w:val="pt-BR"/>
        </w:rPr>
        <w:t xml:space="preserve">a Corte conclui que </w:t>
      </w:r>
      <w:r w:rsidR="002C330E" w:rsidRPr="00D5464D">
        <w:rPr>
          <w:szCs w:val="20"/>
          <w:lang w:val="pt-BR"/>
        </w:rPr>
        <w:t xml:space="preserve">a </w:t>
      </w:r>
      <w:r w:rsidR="00C9493B" w:rsidRPr="00D5464D">
        <w:rPr>
          <w:szCs w:val="20"/>
          <w:lang w:val="pt-BR"/>
        </w:rPr>
        <w:t>viola</w:t>
      </w:r>
      <w:r w:rsidR="00470ADC" w:rsidRPr="00D5464D">
        <w:rPr>
          <w:szCs w:val="20"/>
          <w:lang w:val="pt-BR"/>
        </w:rPr>
        <w:t>ção</w:t>
      </w:r>
      <w:r w:rsidR="00C9493B" w:rsidRPr="00D5464D">
        <w:rPr>
          <w:szCs w:val="20"/>
          <w:lang w:val="pt-BR"/>
        </w:rPr>
        <w:t xml:space="preserve"> </w:t>
      </w:r>
      <w:r w:rsidR="00470ADC" w:rsidRPr="00D5464D">
        <w:rPr>
          <w:szCs w:val="20"/>
          <w:lang w:val="pt-BR"/>
        </w:rPr>
        <w:t>do artigo</w:t>
      </w:r>
      <w:r w:rsidR="00C9493B" w:rsidRPr="00D5464D">
        <w:rPr>
          <w:szCs w:val="20"/>
          <w:lang w:val="pt-BR"/>
        </w:rPr>
        <w:t xml:space="preserve"> 25</w:t>
      </w:r>
      <w:r w:rsidR="00470ADC" w:rsidRPr="00D5464D">
        <w:rPr>
          <w:szCs w:val="20"/>
          <w:lang w:val="pt-BR"/>
        </w:rPr>
        <w:t xml:space="preserve"> da </w:t>
      </w:r>
      <w:r w:rsidR="00C9493B" w:rsidRPr="00D5464D">
        <w:rPr>
          <w:szCs w:val="20"/>
          <w:lang w:val="pt-BR"/>
        </w:rPr>
        <w:t>Conven</w:t>
      </w:r>
      <w:r w:rsidR="00470ADC" w:rsidRPr="00D5464D">
        <w:rPr>
          <w:szCs w:val="20"/>
          <w:lang w:val="pt-BR"/>
        </w:rPr>
        <w:t>ção</w:t>
      </w:r>
      <w:r w:rsidR="00C85A6C" w:rsidRPr="00D5464D">
        <w:rPr>
          <w:szCs w:val="20"/>
          <w:lang w:val="pt-BR"/>
        </w:rPr>
        <w:t xml:space="preserve"> Americana</w:t>
      </w:r>
      <w:r w:rsidR="00C9493B" w:rsidRPr="00D5464D">
        <w:rPr>
          <w:szCs w:val="20"/>
          <w:lang w:val="pt-BR"/>
        </w:rPr>
        <w:t xml:space="preserve"> anteriormente declarada está </w:t>
      </w:r>
      <w:r w:rsidR="00E045D9" w:rsidRPr="00D5464D">
        <w:rPr>
          <w:szCs w:val="20"/>
          <w:lang w:val="pt-BR"/>
        </w:rPr>
        <w:t>também</w:t>
      </w:r>
      <w:r w:rsidR="00C9493B" w:rsidRPr="00D5464D">
        <w:rPr>
          <w:szCs w:val="20"/>
          <w:lang w:val="pt-BR"/>
        </w:rPr>
        <w:t xml:space="preserve"> relacionada</w:t>
      </w:r>
      <w:r w:rsidR="00470ADC" w:rsidRPr="00D5464D">
        <w:rPr>
          <w:szCs w:val="20"/>
          <w:lang w:val="pt-BR"/>
        </w:rPr>
        <w:t xml:space="preserve"> ao artigo</w:t>
      </w:r>
      <w:r w:rsidR="00D81AA1" w:rsidRPr="00D5464D">
        <w:rPr>
          <w:szCs w:val="20"/>
          <w:lang w:val="pt-BR"/>
        </w:rPr>
        <w:t xml:space="preserve"> 19 </w:t>
      </w:r>
      <w:r w:rsidR="00470ADC" w:rsidRPr="00D5464D">
        <w:rPr>
          <w:szCs w:val="20"/>
          <w:lang w:val="pt-BR"/>
        </w:rPr>
        <w:t xml:space="preserve">do </w:t>
      </w:r>
      <w:r w:rsidR="002C330E" w:rsidRPr="00D5464D">
        <w:rPr>
          <w:szCs w:val="20"/>
          <w:lang w:val="pt-BR"/>
        </w:rPr>
        <w:t>mesm</w:t>
      </w:r>
      <w:r w:rsidR="00C85A6C" w:rsidRPr="00D5464D">
        <w:rPr>
          <w:szCs w:val="20"/>
          <w:lang w:val="pt-BR"/>
        </w:rPr>
        <w:t>o instrumento</w:t>
      </w:r>
      <w:r w:rsidR="00D81AA1" w:rsidRPr="00D5464D">
        <w:rPr>
          <w:szCs w:val="20"/>
          <w:lang w:val="pt-BR"/>
        </w:rPr>
        <w:t>.</w:t>
      </w:r>
    </w:p>
    <w:p w14:paraId="4415A3FF" w14:textId="77777777" w:rsidR="00D81AA1" w:rsidRPr="00D5464D" w:rsidRDefault="00D81AA1" w:rsidP="00D81AA1">
      <w:pPr>
        <w:pStyle w:val="Prrafodelista"/>
        <w:autoSpaceDE w:val="0"/>
        <w:autoSpaceDN w:val="0"/>
        <w:adjustRightInd w:val="0"/>
        <w:ind w:left="0"/>
        <w:jc w:val="center"/>
        <w:rPr>
          <w:rFonts w:cs="Arial"/>
          <w:b/>
          <w:iCs/>
          <w:szCs w:val="20"/>
          <w:lang w:val="pt-BR"/>
        </w:rPr>
      </w:pPr>
    </w:p>
    <w:p w14:paraId="0D4139C4" w14:textId="5AED442A" w:rsidR="00D81AA1" w:rsidRPr="00D5464D" w:rsidRDefault="00A47A97" w:rsidP="00A47A97">
      <w:pPr>
        <w:pStyle w:val="Ttulo3"/>
        <w:rPr>
          <w:iCs/>
          <w:lang w:val="pt-BR"/>
        </w:rPr>
      </w:pPr>
      <w:bookmarkStart w:id="425" w:name="_Toc468433940"/>
      <w:r w:rsidRPr="00D5464D">
        <w:rPr>
          <w:lang w:val="pt-BR"/>
        </w:rPr>
        <w:t>B.4</w:t>
      </w:r>
      <w:r w:rsidR="00CB7E29" w:rsidRPr="00D5464D">
        <w:rPr>
          <w:lang w:val="pt-BR"/>
        </w:rPr>
        <w:t>.</w:t>
      </w:r>
      <w:r w:rsidR="001E46BD" w:rsidRPr="00D5464D">
        <w:rPr>
          <w:lang w:val="pt-BR"/>
        </w:rPr>
        <w:t xml:space="preserve"> A</w:t>
      </w:r>
      <w:r w:rsidR="002C330E" w:rsidRPr="00D5464D">
        <w:rPr>
          <w:lang w:val="pt-BR"/>
        </w:rPr>
        <w:t xml:space="preserve">s </w:t>
      </w:r>
      <w:r w:rsidR="00D81AA1" w:rsidRPr="00D5464D">
        <w:rPr>
          <w:lang w:val="pt-BR"/>
        </w:rPr>
        <w:t>investiga</w:t>
      </w:r>
      <w:r w:rsidR="00470ADC" w:rsidRPr="00D5464D">
        <w:rPr>
          <w:lang w:val="pt-BR"/>
        </w:rPr>
        <w:t>ções</w:t>
      </w:r>
      <w:r w:rsidR="00D81AA1" w:rsidRPr="00D5464D">
        <w:rPr>
          <w:lang w:val="pt-BR"/>
        </w:rPr>
        <w:t xml:space="preserve"> realizadas</w:t>
      </w:r>
      <w:r w:rsidR="00470ADC" w:rsidRPr="00D5464D">
        <w:rPr>
          <w:lang w:val="pt-BR"/>
        </w:rPr>
        <w:t xml:space="preserve"> </w:t>
      </w:r>
      <w:r w:rsidR="001E46BD" w:rsidRPr="00D5464D">
        <w:rPr>
          <w:lang w:val="pt-BR"/>
        </w:rPr>
        <w:t>em</w:t>
      </w:r>
      <w:r w:rsidR="00470ADC" w:rsidRPr="00D5464D">
        <w:rPr>
          <w:lang w:val="pt-BR"/>
        </w:rPr>
        <w:t xml:space="preserve"> </w:t>
      </w:r>
      <w:r w:rsidR="00D81AA1" w:rsidRPr="00D5464D">
        <w:rPr>
          <w:lang w:val="pt-BR"/>
        </w:rPr>
        <w:t>rela</w:t>
      </w:r>
      <w:r w:rsidR="00470ADC" w:rsidRPr="00D5464D">
        <w:rPr>
          <w:lang w:val="pt-BR"/>
        </w:rPr>
        <w:t>ção</w:t>
      </w:r>
      <w:r w:rsidR="00E045D9" w:rsidRPr="00D5464D">
        <w:rPr>
          <w:lang w:val="pt-BR"/>
        </w:rPr>
        <w:t xml:space="preserve"> </w:t>
      </w:r>
      <w:r w:rsidR="001E46BD" w:rsidRPr="00D5464D">
        <w:rPr>
          <w:lang w:val="pt-BR"/>
        </w:rPr>
        <w:t>ao</w:t>
      </w:r>
      <w:r w:rsidR="00E045D9" w:rsidRPr="00D5464D">
        <w:rPr>
          <w:lang w:val="pt-BR"/>
        </w:rPr>
        <w:t xml:space="preserve">s </w:t>
      </w:r>
      <w:r w:rsidR="00D81AA1" w:rsidRPr="00D5464D">
        <w:rPr>
          <w:lang w:val="pt-BR"/>
        </w:rPr>
        <w:t>alegad</w:t>
      </w:r>
      <w:r w:rsidR="00350187" w:rsidRPr="00D5464D">
        <w:rPr>
          <w:lang w:val="pt-BR"/>
        </w:rPr>
        <w:t>os desaparecimentos</w:t>
      </w:r>
      <w:r w:rsidR="00D81AA1" w:rsidRPr="00D5464D">
        <w:rPr>
          <w:lang w:val="pt-BR"/>
        </w:rPr>
        <w:t xml:space="preserve"> de </w:t>
      </w:r>
      <w:r w:rsidR="008B075C" w:rsidRPr="00D5464D">
        <w:rPr>
          <w:lang w:val="pt-BR"/>
        </w:rPr>
        <w:t xml:space="preserve">Iron Canuto </w:t>
      </w:r>
      <w:r w:rsidR="00D81AA1" w:rsidRPr="00D5464D">
        <w:rPr>
          <w:lang w:val="pt-BR"/>
        </w:rPr>
        <w:t>da Silva</w:t>
      </w:r>
      <w:r w:rsidR="00E045D9" w:rsidRPr="00D5464D">
        <w:rPr>
          <w:lang w:val="pt-BR"/>
        </w:rPr>
        <w:t xml:space="preserve"> e </w:t>
      </w:r>
      <w:r w:rsidR="004F6F03" w:rsidRPr="00D5464D">
        <w:rPr>
          <w:lang w:val="pt-BR"/>
        </w:rPr>
        <w:t xml:space="preserve">Luis Ferreira </w:t>
      </w:r>
      <w:r w:rsidR="00D81AA1" w:rsidRPr="00D5464D">
        <w:rPr>
          <w:lang w:val="pt-BR"/>
        </w:rPr>
        <w:t>da Cruz</w:t>
      </w:r>
      <w:bookmarkEnd w:id="425"/>
    </w:p>
    <w:p w14:paraId="277F1E5C" w14:textId="77777777" w:rsidR="00747A03" w:rsidRPr="00D5464D" w:rsidRDefault="00747A03" w:rsidP="00747A03">
      <w:pPr>
        <w:pStyle w:val="Prrafodelista"/>
        <w:tabs>
          <w:tab w:val="right" w:pos="0"/>
        </w:tabs>
        <w:ind w:left="0"/>
        <w:contextualSpacing w:val="0"/>
        <w:rPr>
          <w:rFonts w:cs="Arial"/>
          <w:iCs/>
          <w:szCs w:val="20"/>
          <w:lang w:val="pt-BR"/>
        </w:rPr>
      </w:pPr>
    </w:p>
    <w:p w14:paraId="518B0BAC" w14:textId="736ABD33" w:rsidR="00D81AA1" w:rsidRPr="00D5464D" w:rsidRDefault="00470ADC" w:rsidP="00D81AA1">
      <w:pPr>
        <w:pStyle w:val="Prrafodelista"/>
        <w:numPr>
          <w:ilvl w:val="0"/>
          <w:numId w:val="1"/>
        </w:numPr>
        <w:tabs>
          <w:tab w:val="right" w:pos="0"/>
        </w:tabs>
        <w:contextualSpacing w:val="0"/>
        <w:rPr>
          <w:rFonts w:cs="Arial"/>
          <w:iCs/>
          <w:szCs w:val="20"/>
          <w:lang w:val="pt-BR"/>
        </w:rPr>
      </w:pPr>
      <w:r w:rsidRPr="00D5464D">
        <w:rPr>
          <w:rFonts w:cs="Arial"/>
          <w:bCs/>
          <w:iCs/>
          <w:szCs w:val="20"/>
          <w:lang w:val="pt-BR"/>
        </w:rPr>
        <w:t>A</w:t>
      </w:r>
      <w:r w:rsidRPr="00D5464D">
        <w:rPr>
          <w:rFonts w:cs="Arial"/>
          <w:bCs/>
          <w:i/>
          <w:iCs/>
          <w:szCs w:val="20"/>
          <w:lang w:val="pt-BR"/>
        </w:rPr>
        <w:t xml:space="preserve"> </w:t>
      </w:r>
      <w:r w:rsidR="00D81AA1" w:rsidRPr="00D5464D">
        <w:rPr>
          <w:rFonts w:cs="Arial"/>
          <w:iCs/>
          <w:szCs w:val="20"/>
          <w:lang w:val="pt-BR"/>
        </w:rPr>
        <w:t>Corte constata que</w:t>
      </w:r>
      <w:r w:rsidR="00E045D9" w:rsidRPr="00D5464D">
        <w:rPr>
          <w:rFonts w:cs="Arial"/>
          <w:iCs/>
          <w:szCs w:val="20"/>
          <w:lang w:val="pt-BR"/>
        </w:rPr>
        <w:t xml:space="preserve"> no </w:t>
      </w:r>
      <w:r w:rsidR="00D81AA1" w:rsidRPr="00D5464D">
        <w:rPr>
          <w:rFonts w:cs="Arial"/>
          <w:iCs/>
          <w:szCs w:val="20"/>
          <w:lang w:val="pt-BR"/>
        </w:rPr>
        <w:t xml:space="preserve">presente caso </w:t>
      </w:r>
      <w:r w:rsidR="006A0B60" w:rsidRPr="00D5464D">
        <w:rPr>
          <w:rFonts w:cs="Arial"/>
          <w:iCs/>
          <w:szCs w:val="20"/>
          <w:lang w:val="pt-BR"/>
        </w:rPr>
        <w:t xml:space="preserve">não foi alegada </w:t>
      </w:r>
      <w:r w:rsidR="002C330E" w:rsidRPr="00D5464D">
        <w:rPr>
          <w:rFonts w:cs="Arial"/>
          <w:iCs/>
          <w:szCs w:val="20"/>
          <w:lang w:val="pt-BR"/>
        </w:rPr>
        <w:t xml:space="preserve">a </w:t>
      </w:r>
      <w:r w:rsidR="00D81AA1" w:rsidRPr="00D5464D">
        <w:rPr>
          <w:rFonts w:cs="Arial"/>
          <w:iCs/>
          <w:szCs w:val="20"/>
          <w:lang w:val="pt-BR"/>
        </w:rPr>
        <w:t>viola</w:t>
      </w:r>
      <w:r w:rsidRPr="00D5464D">
        <w:rPr>
          <w:rFonts w:cs="Arial"/>
          <w:iCs/>
          <w:szCs w:val="20"/>
          <w:lang w:val="pt-BR"/>
        </w:rPr>
        <w:t>ção</w:t>
      </w:r>
      <w:r w:rsidR="00D81AA1" w:rsidRPr="00D5464D">
        <w:rPr>
          <w:rFonts w:cs="Arial"/>
          <w:iCs/>
          <w:szCs w:val="20"/>
          <w:lang w:val="pt-BR"/>
        </w:rPr>
        <w:t xml:space="preserve"> </w:t>
      </w:r>
      <w:r w:rsidRPr="00D5464D">
        <w:rPr>
          <w:rFonts w:cs="Arial"/>
          <w:iCs/>
          <w:szCs w:val="20"/>
          <w:lang w:val="pt-BR"/>
        </w:rPr>
        <w:t>do dever</w:t>
      </w:r>
      <w:r w:rsidR="00D81AA1" w:rsidRPr="00D5464D">
        <w:rPr>
          <w:rFonts w:cs="Arial"/>
          <w:iCs/>
          <w:szCs w:val="20"/>
          <w:lang w:val="pt-BR"/>
        </w:rPr>
        <w:t xml:space="preserve"> </w:t>
      </w:r>
      <w:r w:rsidRPr="00D5464D">
        <w:rPr>
          <w:rFonts w:cs="Arial"/>
          <w:iCs/>
          <w:szCs w:val="20"/>
          <w:lang w:val="pt-BR"/>
        </w:rPr>
        <w:t xml:space="preserve">do </w:t>
      </w:r>
      <w:r w:rsidR="00D81AA1" w:rsidRPr="00D5464D">
        <w:rPr>
          <w:rFonts w:cs="Arial"/>
          <w:iCs/>
          <w:szCs w:val="20"/>
          <w:lang w:val="pt-BR"/>
        </w:rPr>
        <w:t xml:space="preserve">Estado de </w:t>
      </w:r>
      <w:r w:rsidR="002C330E" w:rsidRPr="00D5464D">
        <w:rPr>
          <w:rFonts w:cs="Arial"/>
          <w:iCs/>
          <w:szCs w:val="20"/>
          <w:lang w:val="pt-BR"/>
        </w:rPr>
        <w:t xml:space="preserve">respeitar os </w:t>
      </w:r>
      <w:r w:rsidRPr="00D5464D">
        <w:rPr>
          <w:rFonts w:cs="Arial"/>
          <w:iCs/>
          <w:szCs w:val="20"/>
          <w:lang w:val="pt-BR"/>
        </w:rPr>
        <w:t>direito</w:t>
      </w:r>
      <w:r w:rsidR="00D81AA1" w:rsidRPr="00D5464D">
        <w:rPr>
          <w:rFonts w:cs="Arial"/>
          <w:iCs/>
          <w:szCs w:val="20"/>
          <w:lang w:val="pt-BR"/>
        </w:rPr>
        <w:t>s</w:t>
      </w:r>
      <w:r w:rsidRPr="00D5464D">
        <w:rPr>
          <w:rFonts w:cs="Arial"/>
          <w:iCs/>
          <w:szCs w:val="20"/>
          <w:lang w:val="pt-BR"/>
        </w:rPr>
        <w:t xml:space="preserve"> à </w:t>
      </w:r>
      <w:r w:rsidR="002C330E" w:rsidRPr="00D5464D">
        <w:rPr>
          <w:rFonts w:cs="Arial"/>
          <w:iCs/>
          <w:szCs w:val="20"/>
          <w:lang w:val="pt-BR"/>
        </w:rPr>
        <w:t>liberdade pessoa</w:t>
      </w:r>
      <w:r w:rsidR="00D81AA1" w:rsidRPr="00D5464D">
        <w:rPr>
          <w:rFonts w:cs="Arial"/>
          <w:iCs/>
          <w:szCs w:val="20"/>
          <w:lang w:val="pt-BR"/>
        </w:rPr>
        <w:t xml:space="preserve">l, </w:t>
      </w:r>
      <w:r w:rsidR="006A0B60" w:rsidRPr="00D5464D">
        <w:rPr>
          <w:rFonts w:cs="Arial"/>
          <w:iCs/>
          <w:szCs w:val="20"/>
          <w:lang w:val="pt-BR"/>
        </w:rPr>
        <w:t xml:space="preserve">à </w:t>
      </w:r>
      <w:r w:rsidR="002C330E" w:rsidRPr="00D5464D">
        <w:rPr>
          <w:rFonts w:cs="Arial"/>
          <w:iCs/>
          <w:szCs w:val="20"/>
          <w:lang w:val="pt-BR"/>
        </w:rPr>
        <w:t>integridade pessoa</w:t>
      </w:r>
      <w:r w:rsidR="00D81AA1" w:rsidRPr="00D5464D">
        <w:rPr>
          <w:rFonts w:cs="Arial"/>
          <w:iCs/>
          <w:szCs w:val="20"/>
          <w:lang w:val="pt-BR"/>
        </w:rPr>
        <w:t xml:space="preserve">l, </w:t>
      </w:r>
      <w:r w:rsidR="006A0B60" w:rsidRPr="00D5464D">
        <w:rPr>
          <w:rFonts w:cs="Arial"/>
          <w:iCs/>
          <w:szCs w:val="20"/>
          <w:lang w:val="pt-BR"/>
        </w:rPr>
        <w:t xml:space="preserve">à </w:t>
      </w:r>
      <w:r w:rsidR="00D81AA1" w:rsidRPr="00D5464D">
        <w:rPr>
          <w:rFonts w:cs="Arial"/>
          <w:iCs/>
          <w:szCs w:val="20"/>
          <w:lang w:val="pt-BR"/>
        </w:rPr>
        <w:t xml:space="preserve">vida, </w:t>
      </w:r>
      <w:r w:rsidR="006A0B60" w:rsidRPr="00D5464D">
        <w:rPr>
          <w:rFonts w:cs="Arial"/>
          <w:iCs/>
          <w:szCs w:val="20"/>
          <w:lang w:val="pt-BR"/>
        </w:rPr>
        <w:t xml:space="preserve">ao </w:t>
      </w:r>
      <w:r w:rsidR="00D81AA1" w:rsidRPr="00D5464D">
        <w:rPr>
          <w:rFonts w:cs="Arial"/>
          <w:iCs/>
          <w:szCs w:val="20"/>
          <w:lang w:val="pt-BR"/>
        </w:rPr>
        <w:t>re</w:t>
      </w:r>
      <w:r w:rsidRPr="00D5464D">
        <w:rPr>
          <w:rFonts w:cs="Arial"/>
          <w:iCs/>
          <w:szCs w:val="20"/>
          <w:lang w:val="pt-BR"/>
        </w:rPr>
        <w:t xml:space="preserve">conhecimento da </w:t>
      </w:r>
      <w:r w:rsidR="002C330E" w:rsidRPr="00D5464D">
        <w:rPr>
          <w:rFonts w:cs="Arial"/>
          <w:iCs/>
          <w:szCs w:val="20"/>
          <w:lang w:val="pt-BR"/>
        </w:rPr>
        <w:t xml:space="preserve">personalidade </w:t>
      </w:r>
      <w:r w:rsidR="00D81AA1" w:rsidRPr="00D5464D">
        <w:rPr>
          <w:rFonts w:cs="Arial"/>
          <w:iCs/>
          <w:szCs w:val="20"/>
          <w:lang w:val="pt-BR"/>
        </w:rPr>
        <w:t>jurídica</w:t>
      </w:r>
      <w:r w:rsidR="00E045D9" w:rsidRPr="00D5464D">
        <w:rPr>
          <w:rFonts w:cs="Arial"/>
          <w:iCs/>
          <w:szCs w:val="20"/>
          <w:lang w:val="pt-BR"/>
        </w:rPr>
        <w:t xml:space="preserve"> e </w:t>
      </w:r>
      <w:r w:rsidR="006A0B60" w:rsidRPr="00D5464D">
        <w:rPr>
          <w:rFonts w:cs="Arial"/>
          <w:iCs/>
          <w:szCs w:val="20"/>
          <w:lang w:val="pt-BR"/>
        </w:rPr>
        <w:t xml:space="preserve">aos </w:t>
      </w:r>
      <w:r w:rsidRPr="00D5464D">
        <w:rPr>
          <w:rFonts w:cs="Arial"/>
          <w:iCs/>
          <w:szCs w:val="20"/>
          <w:lang w:val="pt-BR"/>
        </w:rPr>
        <w:t>direito</w:t>
      </w:r>
      <w:r w:rsidR="00D81AA1" w:rsidRPr="00D5464D">
        <w:rPr>
          <w:rFonts w:cs="Arial"/>
          <w:iCs/>
          <w:szCs w:val="20"/>
          <w:lang w:val="pt-BR"/>
        </w:rPr>
        <w:t xml:space="preserve">s </w:t>
      </w:r>
      <w:r w:rsidRPr="00D5464D">
        <w:rPr>
          <w:rFonts w:cs="Arial"/>
          <w:iCs/>
          <w:szCs w:val="20"/>
          <w:lang w:val="pt-BR"/>
        </w:rPr>
        <w:t>d</w:t>
      </w:r>
      <w:r w:rsidR="00230C71" w:rsidRPr="00D5464D">
        <w:rPr>
          <w:rFonts w:cs="Arial"/>
          <w:iCs/>
          <w:szCs w:val="20"/>
          <w:lang w:val="pt-BR"/>
        </w:rPr>
        <w:t>a criança</w:t>
      </w:r>
      <w:r w:rsidR="002C330E" w:rsidRPr="00D5464D">
        <w:rPr>
          <w:rFonts w:cs="Arial"/>
          <w:iCs/>
          <w:szCs w:val="20"/>
          <w:lang w:val="pt-BR"/>
        </w:rPr>
        <w:t xml:space="preserve"> </w:t>
      </w:r>
      <w:r w:rsidR="00D81AA1" w:rsidRPr="00D5464D">
        <w:rPr>
          <w:rFonts w:cs="Arial"/>
          <w:iCs/>
          <w:szCs w:val="20"/>
          <w:lang w:val="pt-BR"/>
        </w:rPr>
        <w:t>de Iron Canuto da Silva</w:t>
      </w:r>
      <w:r w:rsidR="00E045D9" w:rsidRPr="00D5464D">
        <w:rPr>
          <w:rFonts w:cs="Arial"/>
          <w:iCs/>
          <w:szCs w:val="20"/>
          <w:lang w:val="pt-BR"/>
        </w:rPr>
        <w:t xml:space="preserve"> e </w:t>
      </w:r>
      <w:r w:rsidR="00D81AA1" w:rsidRPr="00D5464D">
        <w:rPr>
          <w:rFonts w:cs="Arial"/>
          <w:iCs/>
          <w:szCs w:val="20"/>
          <w:lang w:val="pt-BR"/>
        </w:rPr>
        <w:t>Luis Ferreira da Cruz</w:t>
      </w:r>
      <w:r w:rsidR="00A1358C" w:rsidRPr="00D5464D">
        <w:rPr>
          <w:rFonts w:cs="Arial"/>
          <w:iCs/>
          <w:szCs w:val="20"/>
          <w:lang w:val="pt-BR"/>
        </w:rPr>
        <w:t xml:space="preserve">. A </w:t>
      </w:r>
      <w:r w:rsidRPr="00D5464D">
        <w:rPr>
          <w:rFonts w:cs="Arial"/>
          <w:iCs/>
          <w:szCs w:val="20"/>
          <w:lang w:val="pt-BR"/>
        </w:rPr>
        <w:t>controvérsia</w:t>
      </w:r>
      <w:r w:rsidR="002C330E" w:rsidRPr="00D5464D">
        <w:rPr>
          <w:rFonts w:cs="Arial"/>
          <w:iCs/>
          <w:szCs w:val="20"/>
          <w:lang w:val="pt-BR"/>
        </w:rPr>
        <w:t xml:space="preserve"> foi </w:t>
      </w:r>
      <w:r w:rsidR="00350187" w:rsidRPr="00D5464D">
        <w:rPr>
          <w:rFonts w:cs="Arial"/>
          <w:iCs/>
          <w:szCs w:val="20"/>
          <w:lang w:val="pt-BR"/>
        </w:rPr>
        <w:t>propost</w:t>
      </w:r>
      <w:r w:rsidR="00D81AA1" w:rsidRPr="00D5464D">
        <w:rPr>
          <w:rFonts w:cs="Arial"/>
          <w:iCs/>
          <w:szCs w:val="20"/>
          <w:lang w:val="pt-BR"/>
        </w:rPr>
        <w:t xml:space="preserve">a </w:t>
      </w:r>
      <w:r w:rsidR="00E045D9" w:rsidRPr="00D5464D">
        <w:rPr>
          <w:rFonts w:cs="Arial"/>
          <w:iCs/>
          <w:szCs w:val="20"/>
          <w:lang w:val="pt-BR"/>
        </w:rPr>
        <w:t>unicamente</w:t>
      </w:r>
      <w:r w:rsidR="00D81AA1" w:rsidRPr="00D5464D">
        <w:rPr>
          <w:rFonts w:cs="Arial"/>
          <w:iCs/>
          <w:szCs w:val="20"/>
          <w:lang w:val="pt-BR"/>
        </w:rPr>
        <w:t xml:space="preserve"> </w:t>
      </w:r>
      <w:r w:rsidR="002C330E" w:rsidRPr="00D5464D">
        <w:rPr>
          <w:rFonts w:cs="Arial"/>
          <w:iCs/>
          <w:szCs w:val="20"/>
          <w:lang w:val="pt-BR"/>
        </w:rPr>
        <w:t>a respeito</w:t>
      </w:r>
      <w:r w:rsidR="00D81AA1" w:rsidRPr="00D5464D">
        <w:rPr>
          <w:rFonts w:cs="Arial"/>
          <w:iCs/>
          <w:szCs w:val="20"/>
          <w:lang w:val="pt-BR"/>
        </w:rPr>
        <w:t xml:space="preserve"> </w:t>
      </w:r>
      <w:r w:rsidRPr="00D5464D">
        <w:rPr>
          <w:rFonts w:cs="Arial"/>
          <w:iCs/>
          <w:szCs w:val="20"/>
          <w:lang w:val="pt-BR"/>
        </w:rPr>
        <w:t xml:space="preserve">do </w:t>
      </w:r>
      <w:r w:rsidR="00D81AA1" w:rsidRPr="00D5464D">
        <w:rPr>
          <w:rFonts w:cs="Arial"/>
          <w:iCs/>
          <w:szCs w:val="20"/>
          <w:lang w:val="pt-BR"/>
        </w:rPr>
        <w:t xml:space="preserve">alegado </w:t>
      </w:r>
      <w:r w:rsidR="002C330E" w:rsidRPr="00D5464D">
        <w:rPr>
          <w:rFonts w:cs="Arial"/>
          <w:iCs/>
          <w:szCs w:val="20"/>
          <w:lang w:val="pt-BR"/>
        </w:rPr>
        <w:t>descumprimento</w:t>
      </w:r>
      <w:r w:rsidRPr="00D5464D">
        <w:rPr>
          <w:rFonts w:cs="Arial"/>
          <w:iCs/>
          <w:szCs w:val="20"/>
          <w:lang w:val="pt-BR"/>
        </w:rPr>
        <w:t xml:space="preserve"> da </w:t>
      </w:r>
      <w:r w:rsidR="002C330E" w:rsidRPr="00D5464D">
        <w:rPr>
          <w:rFonts w:cs="Arial"/>
          <w:iCs/>
          <w:szCs w:val="20"/>
          <w:lang w:val="pt-BR"/>
        </w:rPr>
        <w:t>obrigação</w:t>
      </w:r>
      <w:r w:rsidR="00D81AA1" w:rsidRPr="00D5464D">
        <w:rPr>
          <w:rFonts w:cs="Arial"/>
          <w:iCs/>
          <w:szCs w:val="20"/>
          <w:lang w:val="pt-BR"/>
        </w:rPr>
        <w:t xml:space="preserve"> </w:t>
      </w:r>
      <w:r w:rsidRPr="00D5464D">
        <w:rPr>
          <w:rFonts w:cs="Arial"/>
          <w:iCs/>
          <w:szCs w:val="20"/>
          <w:lang w:val="pt-BR"/>
        </w:rPr>
        <w:t xml:space="preserve">do </w:t>
      </w:r>
      <w:r w:rsidR="00D81AA1" w:rsidRPr="00D5464D">
        <w:rPr>
          <w:rFonts w:cs="Arial"/>
          <w:iCs/>
          <w:szCs w:val="20"/>
          <w:lang w:val="pt-BR"/>
        </w:rPr>
        <w:t xml:space="preserve">Estado de </w:t>
      </w:r>
      <w:r w:rsidR="002C330E" w:rsidRPr="00D5464D">
        <w:rPr>
          <w:rFonts w:cs="Arial"/>
          <w:iCs/>
          <w:szCs w:val="20"/>
          <w:lang w:val="pt-BR"/>
        </w:rPr>
        <w:t>garantir</w:t>
      </w:r>
      <w:r w:rsidR="00D81AA1" w:rsidRPr="00D5464D">
        <w:rPr>
          <w:rFonts w:cs="Arial"/>
          <w:iCs/>
          <w:szCs w:val="20"/>
          <w:lang w:val="pt-BR"/>
        </w:rPr>
        <w:t xml:space="preserve"> </w:t>
      </w:r>
      <w:r w:rsidRPr="00D5464D">
        <w:rPr>
          <w:rFonts w:cs="Arial"/>
          <w:iCs/>
          <w:szCs w:val="20"/>
          <w:lang w:val="pt-BR"/>
        </w:rPr>
        <w:t>este</w:t>
      </w:r>
      <w:r w:rsidR="00D81AA1" w:rsidRPr="00D5464D">
        <w:rPr>
          <w:rFonts w:cs="Arial"/>
          <w:iCs/>
          <w:szCs w:val="20"/>
          <w:lang w:val="pt-BR"/>
        </w:rPr>
        <w:t xml:space="preserve">s </w:t>
      </w:r>
      <w:r w:rsidRPr="00D5464D">
        <w:rPr>
          <w:rFonts w:cs="Arial"/>
          <w:iCs/>
          <w:szCs w:val="20"/>
          <w:lang w:val="pt-BR"/>
        </w:rPr>
        <w:t>direito</w:t>
      </w:r>
      <w:r w:rsidR="00D81AA1" w:rsidRPr="00D5464D">
        <w:rPr>
          <w:rFonts w:cs="Arial"/>
          <w:iCs/>
          <w:szCs w:val="20"/>
          <w:lang w:val="pt-BR"/>
        </w:rPr>
        <w:t>s</w:t>
      </w:r>
      <w:r w:rsidRPr="00D5464D">
        <w:rPr>
          <w:rFonts w:cs="Arial"/>
          <w:iCs/>
          <w:szCs w:val="20"/>
          <w:lang w:val="pt-BR"/>
        </w:rPr>
        <w:t xml:space="preserve"> através</w:t>
      </w:r>
      <w:r w:rsidR="00D81AA1" w:rsidRPr="00D5464D">
        <w:rPr>
          <w:rFonts w:cs="Arial"/>
          <w:iCs/>
          <w:szCs w:val="20"/>
          <w:lang w:val="pt-BR"/>
        </w:rPr>
        <w:t xml:space="preserve"> de</w:t>
      </w:r>
      <w:r w:rsidR="00E045D9" w:rsidRPr="00D5464D">
        <w:rPr>
          <w:rFonts w:cs="Arial"/>
          <w:iCs/>
          <w:szCs w:val="20"/>
          <w:lang w:val="pt-BR"/>
        </w:rPr>
        <w:t xml:space="preserve"> uma </w:t>
      </w:r>
      <w:r w:rsidR="00D81AA1" w:rsidRPr="00D5464D">
        <w:rPr>
          <w:rFonts w:cs="Arial"/>
          <w:iCs/>
          <w:szCs w:val="20"/>
          <w:lang w:val="pt-BR"/>
        </w:rPr>
        <w:t>investiga</w:t>
      </w:r>
      <w:r w:rsidRPr="00D5464D">
        <w:rPr>
          <w:rFonts w:cs="Arial"/>
          <w:iCs/>
          <w:szCs w:val="20"/>
          <w:lang w:val="pt-BR"/>
        </w:rPr>
        <w:t>ção</w:t>
      </w:r>
      <w:r w:rsidR="00D81AA1" w:rsidRPr="00D5464D">
        <w:rPr>
          <w:rFonts w:cs="Arial"/>
          <w:iCs/>
          <w:szCs w:val="20"/>
          <w:lang w:val="pt-BR"/>
        </w:rPr>
        <w:t>,</w:t>
      </w:r>
      <w:r w:rsidR="002C330E" w:rsidRPr="00D5464D">
        <w:rPr>
          <w:rFonts w:cs="Arial"/>
          <w:iCs/>
          <w:szCs w:val="20"/>
          <w:lang w:val="pt-BR"/>
        </w:rPr>
        <w:t xml:space="preserve"> </w:t>
      </w:r>
      <w:r w:rsidR="006A0B60" w:rsidRPr="00D5464D">
        <w:rPr>
          <w:rFonts w:cs="Arial"/>
          <w:iCs/>
          <w:szCs w:val="20"/>
          <w:lang w:val="pt-BR"/>
        </w:rPr>
        <w:t xml:space="preserve">de modo </w:t>
      </w:r>
      <w:r w:rsidR="002C330E" w:rsidRPr="00D5464D">
        <w:rPr>
          <w:rFonts w:cs="Arial"/>
          <w:iCs/>
          <w:szCs w:val="20"/>
          <w:lang w:val="pt-BR"/>
        </w:rPr>
        <w:t xml:space="preserve">que a </w:t>
      </w:r>
      <w:r w:rsidR="00D81AA1" w:rsidRPr="00D5464D">
        <w:rPr>
          <w:rFonts w:cs="Arial"/>
          <w:iCs/>
          <w:szCs w:val="20"/>
          <w:lang w:val="pt-BR"/>
        </w:rPr>
        <w:t xml:space="preserve">Corte </w:t>
      </w:r>
      <w:r w:rsidRPr="00D5464D">
        <w:rPr>
          <w:rFonts w:cs="Arial"/>
          <w:iCs/>
          <w:szCs w:val="20"/>
          <w:lang w:val="pt-BR"/>
        </w:rPr>
        <w:t>analisará</w:t>
      </w:r>
      <w:r w:rsidR="002C330E" w:rsidRPr="00D5464D">
        <w:rPr>
          <w:rFonts w:cs="Arial"/>
          <w:iCs/>
          <w:szCs w:val="20"/>
          <w:lang w:val="pt-BR"/>
        </w:rPr>
        <w:t xml:space="preserve"> a </w:t>
      </w:r>
      <w:r w:rsidRPr="00D5464D">
        <w:rPr>
          <w:rFonts w:cs="Arial"/>
          <w:iCs/>
          <w:szCs w:val="20"/>
          <w:lang w:val="pt-BR"/>
        </w:rPr>
        <w:t xml:space="preserve">efetividade </w:t>
      </w:r>
      <w:r w:rsidR="00E045D9" w:rsidRPr="00D5464D">
        <w:rPr>
          <w:rFonts w:cs="Arial"/>
          <w:iCs/>
          <w:szCs w:val="20"/>
          <w:lang w:val="pt-BR"/>
        </w:rPr>
        <w:t>desta</w:t>
      </w:r>
      <w:r w:rsidR="00D81AA1" w:rsidRPr="00D5464D">
        <w:rPr>
          <w:rFonts w:cs="Arial"/>
          <w:iCs/>
          <w:szCs w:val="20"/>
          <w:lang w:val="pt-BR"/>
        </w:rPr>
        <w:t>s investiga</w:t>
      </w:r>
      <w:r w:rsidRPr="00D5464D">
        <w:rPr>
          <w:rFonts w:cs="Arial"/>
          <w:iCs/>
          <w:szCs w:val="20"/>
          <w:lang w:val="pt-BR"/>
        </w:rPr>
        <w:t>ções</w:t>
      </w:r>
      <w:r w:rsidR="00D81AA1" w:rsidRPr="00D5464D">
        <w:rPr>
          <w:rFonts w:cs="Arial"/>
          <w:iCs/>
          <w:szCs w:val="20"/>
          <w:lang w:val="pt-BR"/>
        </w:rPr>
        <w:t xml:space="preserve"> </w:t>
      </w:r>
      <w:r w:rsidR="00E765C2" w:rsidRPr="00D5464D">
        <w:rPr>
          <w:rFonts w:cs="Arial"/>
          <w:iCs/>
          <w:szCs w:val="20"/>
          <w:lang w:val="pt-BR"/>
        </w:rPr>
        <w:t>a seguir</w:t>
      </w:r>
      <w:r w:rsidR="00D81AA1" w:rsidRPr="00D5464D">
        <w:rPr>
          <w:rFonts w:cs="Arial"/>
          <w:iCs/>
          <w:szCs w:val="20"/>
          <w:lang w:val="pt-BR"/>
        </w:rPr>
        <w:t>.</w:t>
      </w:r>
    </w:p>
    <w:p w14:paraId="5E4B9BE0" w14:textId="77777777" w:rsidR="00D81AA1" w:rsidRPr="00D5464D" w:rsidRDefault="00D81AA1" w:rsidP="00D81AA1">
      <w:pPr>
        <w:pStyle w:val="Prrafodelista"/>
        <w:tabs>
          <w:tab w:val="left" w:pos="360"/>
        </w:tabs>
        <w:autoSpaceDE w:val="0"/>
        <w:autoSpaceDN w:val="0"/>
        <w:adjustRightInd w:val="0"/>
        <w:ind w:left="360"/>
        <w:rPr>
          <w:rFonts w:cs="Arial"/>
          <w:bCs/>
          <w:iCs/>
          <w:szCs w:val="20"/>
          <w:lang w:val="pt-BR"/>
        </w:rPr>
      </w:pPr>
    </w:p>
    <w:p w14:paraId="15A7CAC7" w14:textId="478188B7" w:rsidR="00D81AA1" w:rsidRPr="00D5464D" w:rsidRDefault="00A47A97" w:rsidP="00A47A97">
      <w:pPr>
        <w:pStyle w:val="Ttulo4"/>
        <w:rPr>
          <w:b/>
          <w:lang w:val="pt-BR"/>
        </w:rPr>
      </w:pPr>
      <w:bookmarkStart w:id="426" w:name="_Toc460433055"/>
      <w:bookmarkStart w:id="427" w:name="_Toc460441986"/>
      <w:bookmarkStart w:id="428" w:name="_Toc462751128"/>
      <w:bookmarkStart w:id="429" w:name="_Toc464813980"/>
      <w:bookmarkStart w:id="430" w:name="_Toc468433941"/>
      <w:r w:rsidRPr="00D5464D">
        <w:rPr>
          <w:lang w:val="pt-BR"/>
        </w:rPr>
        <w:t xml:space="preserve">B.4.1 </w:t>
      </w:r>
      <w:r w:rsidR="00D81AA1" w:rsidRPr="00D5464D">
        <w:rPr>
          <w:lang w:val="pt-BR"/>
        </w:rPr>
        <w:t>Argumentos</w:t>
      </w:r>
      <w:r w:rsidR="00470ADC" w:rsidRPr="00D5464D">
        <w:rPr>
          <w:lang w:val="pt-BR"/>
        </w:rPr>
        <w:t xml:space="preserve"> das </w:t>
      </w:r>
      <w:r w:rsidR="00D81AA1" w:rsidRPr="00D5464D">
        <w:rPr>
          <w:lang w:val="pt-BR"/>
        </w:rPr>
        <w:t>partes</w:t>
      </w:r>
      <w:bookmarkEnd w:id="426"/>
      <w:bookmarkEnd w:id="427"/>
      <w:bookmarkEnd w:id="428"/>
      <w:bookmarkEnd w:id="429"/>
      <w:r w:rsidR="00E045D9" w:rsidRPr="00D5464D">
        <w:rPr>
          <w:lang w:val="pt-BR"/>
        </w:rPr>
        <w:t xml:space="preserve"> e </w:t>
      </w:r>
      <w:r w:rsidR="00470ADC" w:rsidRPr="00D5464D">
        <w:rPr>
          <w:lang w:val="pt-BR"/>
        </w:rPr>
        <w:t>da Comissão</w:t>
      </w:r>
      <w:bookmarkEnd w:id="430"/>
    </w:p>
    <w:p w14:paraId="258044DC" w14:textId="77777777" w:rsidR="00747A03" w:rsidRPr="00D5464D" w:rsidRDefault="00747A03" w:rsidP="00747A03">
      <w:pPr>
        <w:pStyle w:val="Prrafodelista"/>
        <w:tabs>
          <w:tab w:val="right" w:pos="0"/>
        </w:tabs>
        <w:ind w:left="0"/>
        <w:contextualSpacing w:val="0"/>
        <w:rPr>
          <w:rFonts w:cs="Arial"/>
          <w:i/>
          <w:iCs/>
          <w:szCs w:val="20"/>
          <w:lang w:val="pt-BR"/>
        </w:rPr>
      </w:pPr>
    </w:p>
    <w:p w14:paraId="5FD2C6E4" w14:textId="44A93737" w:rsidR="00D81AA1" w:rsidRPr="00D5464D" w:rsidRDefault="00470ADC" w:rsidP="00D81AA1">
      <w:pPr>
        <w:pStyle w:val="Prrafodelista"/>
        <w:numPr>
          <w:ilvl w:val="0"/>
          <w:numId w:val="1"/>
        </w:numPr>
        <w:tabs>
          <w:tab w:val="right" w:pos="0"/>
        </w:tabs>
        <w:contextualSpacing w:val="0"/>
        <w:rPr>
          <w:rFonts w:cs="Arial"/>
          <w:i/>
          <w:iCs/>
          <w:szCs w:val="20"/>
          <w:lang w:val="pt-BR"/>
        </w:rPr>
      </w:pPr>
      <w:r w:rsidRPr="00D5464D">
        <w:rPr>
          <w:rFonts w:cs="Arial"/>
          <w:iCs/>
          <w:szCs w:val="20"/>
          <w:lang w:val="pt-BR"/>
        </w:rPr>
        <w:t xml:space="preserve">A </w:t>
      </w:r>
      <w:r w:rsidRPr="00D5464D">
        <w:rPr>
          <w:rFonts w:cs="Arial"/>
          <w:b/>
          <w:i/>
          <w:iCs/>
          <w:szCs w:val="20"/>
          <w:lang w:val="pt-BR"/>
        </w:rPr>
        <w:t>Comissão</w:t>
      </w:r>
      <w:r w:rsidR="00D81AA1" w:rsidRPr="00D5464D">
        <w:rPr>
          <w:rFonts w:cs="Arial"/>
          <w:iCs/>
          <w:szCs w:val="20"/>
          <w:lang w:val="pt-BR"/>
        </w:rPr>
        <w:t xml:space="preserve"> </w:t>
      </w:r>
      <w:r w:rsidR="00E045D9" w:rsidRPr="00D5464D">
        <w:rPr>
          <w:rFonts w:cs="Arial"/>
          <w:iCs/>
          <w:szCs w:val="20"/>
          <w:lang w:val="pt-BR"/>
        </w:rPr>
        <w:t>argumentou</w:t>
      </w:r>
      <w:r w:rsidR="00D81AA1" w:rsidRPr="00D5464D">
        <w:rPr>
          <w:rFonts w:cs="Arial"/>
          <w:iCs/>
          <w:szCs w:val="20"/>
          <w:lang w:val="pt-BR"/>
        </w:rPr>
        <w:t xml:space="preserve"> que</w:t>
      </w:r>
      <w:r w:rsidR="00663458" w:rsidRPr="00D5464D">
        <w:rPr>
          <w:rFonts w:cs="Arial"/>
          <w:iCs/>
          <w:szCs w:val="20"/>
          <w:lang w:val="pt-BR"/>
        </w:rPr>
        <w:t>,</w:t>
      </w:r>
      <w:r w:rsidRPr="00D5464D">
        <w:rPr>
          <w:rFonts w:cs="Arial"/>
          <w:iCs/>
          <w:szCs w:val="20"/>
          <w:lang w:val="pt-BR"/>
        </w:rPr>
        <w:t xml:space="preserve"> ao </w:t>
      </w:r>
      <w:r w:rsidR="002C330E" w:rsidRPr="00D5464D">
        <w:rPr>
          <w:rFonts w:cs="Arial"/>
          <w:iCs/>
          <w:szCs w:val="20"/>
          <w:lang w:val="pt-BR"/>
        </w:rPr>
        <w:t>receber</w:t>
      </w:r>
      <w:r w:rsidR="00663458" w:rsidRPr="00D5464D">
        <w:rPr>
          <w:rFonts w:cs="Arial"/>
          <w:iCs/>
          <w:szCs w:val="20"/>
          <w:lang w:val="pt-BR"/>
        </w:rPr>
        <w:t>em</w:t>
      </w:r>
      <w:r w:rsidR="002C330E" w:rsidRPr="00D5464D">
        <w:rPr>
          <w:rFonts w:cs="Arial"/>
          <w:iCs/>
          <w:szCs w:val="20"/>
          <w:lang w:val="pt-BR"/>
        </w:rPr>
        <w:t xml:space="preserve"> a </w:t>
      </w:r>
      <w:r w:rsidRPr="00D5464D">
        <w:rPr>
          <w:rFonts w:cs="Arial"/>
          <w:iCs/>
          <w:szCs w:val="20"/>
          <w:lang w:val="pt-BR"/>
        </w:rPr>
        <w:t xml:space="preserve">denúncia em </w:t>
      </w:r>
      <w:r w:rsidR="00D81AA1" w:rsidRPr="00D5464D">
        <w:rPr>
          <w:rFonts w:cs="Arial"/>
          <w:iCs/>
          <w:szCs w:val="20"/>
          <w:lang w:val="pt-BR"/>
        </w:rPr>
        <w:t>1988 sobre</w:t>
      </w:r>
      <w:r w:rsidR="002C330E" w:rsidRPr="00D5464D">
        <w:rPr>
          <w:rFonts w:cs="Arial"/>
          <w:iCs/>
          <w:szCs w:val="20"/>
          <w:lang w:val="pt-BR"/>
        </w:rPr>
        <w:t xml:space="preserve"> </w:t>
      </w:r>
      <w:r w:rsidR="00E045D9" w:rsidRPr="00D5464D">
        <w:rPr>
          <w:rFonts w:cs="Arial"/>
          <w:iCs/>
          <w:szCs w:val="20"/>
          <w:lang w:val="pt-BR"/>
        </w:rPr>
        <w:t>o desaparecimento</w:t>
      </w:r>
      <w:r w:rsidRPr="00D5464D">
        <w:rPr>
          <w:rFonts w:cs="Arial"/>
          <w:iCs/>
          <w:szCs w:val="20"/>
          <w:lang w:val="pt-BR"/>
        </w:rPr>
        <w:t xml:space="preserve"> dos </w:t>
      </w:r>
      <w:r w:rsidR="00D81AA1" w:rsidRPr="00D5464D">
        <w:rPr>
          <w:rFonts w:cs="Arial"/>
          <w:iCs/>
          <w:szCs w:val="20"/>
          <w:lang w:val="pt-BR"/>
        </w:rPr>
        <w:t xml:space="preserve">adolescentes Iron Canuto da Silva, de 17 </w:t>
      </w:r>
      <w:r w:rsidRPr="00D5464D">
        <w:rPr>
          <w:rFonts w:cs="Arial"/>
          <w:iCs/>
          <w:szCs w:val="20"/>
          <w:lang w:val="pt-BR"/>
        </w:rPr>
        <w:t>anos</w:t>
      </w:r>
      <w:r w:rsidR="002A0C2B" w:rsidRPr="00D5464D">
        <w:rPr>
          <w:rFonts w:cs="Arial"/>
          <w:iCs/>
          <w:szCs w:val="20"/>
          <w:lang w:val="pt-BR"/>
        </w:rPr>
        <w:t xml:space="preserve">, e </w:t>
      </w:r>
      <w:r w:rsidR="00D81AA1" w:rsidRPr="00D5464D">
        <w:rPr>
          <w:rFonts w:cs="Arial"/>
          <w:iCs/>
          <w:szCs w:val="20"/>
          <w:lang w:val="pt-BR"/>
        </w:rPr>
        <w:t xml:space="preserve">Luis Ferreira da Cruz, de 16 </w:t>
      </w:r>
      <w:r w:rsidRPr="00D5464D">
        <w:rPr>
          <w:rFonts w:cs="Arial"/>
          <w:iCs/>
          <w:szCs w:val="20"/>
          <w:lang w:val="pt-BR"/>
        </w:rPr>
        <w:t>anos</w:t>
      </w:r>
      <w:r w:rsidR="00D81AA1" w:rsidRPr="00D5464D">
        <w:rPr>
          <w:rFonts w:cs="Arial"/>
          <w:iCs/>
          <w:szCs w:val="20"/>
          <w:lang w:val="pt-BR"/>
        </w:rPr>
        <w:t>,</w:t>
      </w:r>
      <w:r w:rsidR="002C330E" w:rsidRPr="00D5464D">
        <w:rPr>
          <w:rFonts w:cs="Arial"/>
          <w:iCs/>
          <w:szCs w:val="20"/>
          <w:lang w:val="pt-BR"/>
        </w:rPr>
        <w:t xml:space="preserve"> as </w:t>
      </w:r>
      <w:r w:rsidR="00D81AA1" w:rsidRPr="00D5464D">
        <w:rPr>
          <w:rFonts w:cs="Arial"/>
          <w:iCs/>
          <w:szCs w:val="20"/>
          <w:lang w:val="pt-BR"/>
        </w:rPr>
        <w:t>autoridades esta</w:t>
      </w:r>
      <w:r w:rsidR="00E045D9" w:rsidRPr="00D5464D">
        <w:rPr>
          <w:rFonts w:cs="Arial"/>
          <w:iCs/>
          <w:szCs w:val="20"/>
          <w:lang w:val="pt-BR"/>
        </w:rPr>
        <w:t>tais</w:t>
      </w:r>
      <w:r w:rsidR="00D81AA1" w:rsidRPr="00D5464D">
        <w:rPr>
          <w:rFonts w:cs="Arial"/>
          <w:iCs/>
          <w:szCs w:val="20"/>
          <w:lang w:val="pt-BR"/>
        </w:rPr>
        <w:t xml:space="preserve"> </w:t>
      </w:r>
      <w:r w:rsidR="00663458" w:rsidRPr="00D5464D">
        <w:rPr>
          <w:rFonts w:cs="Arial"/>
          <w:iCs/>
          <w:szCs w:val="20"/>
          <w:lang w:val="pt-BR"/>
        </w:rPr>
        <w:t xml:space="preserve">demoraram </w:t>
      </w:r>
      <w:r w:rsidR="002C330E" w:rsidRPr="00D5464D">
        <w:rPr>
          <w:rFonts w:cs="Arial"/>
          <w:iCs/>
          <w:szCs w:val="20"/>
          <w:lang w:val="pt-BR"/>
        </w:rPr>
        <w:t xml:space="preserve">mais </w:t>
      </w:r>
      <w:r w:rsidR="00D81AA1" w:rsidRPr="00D5464D">
        <w:rPr>
          <w:rFonts w:cs="Arial"/>
          <w:iCs/>
          <w:szCs w:val="20"/>
          <w:lang w:val="pt-BR"/>
        </w:rPr>
        <w:t>de</w:t>
      </w:r>
      <w:r w:rsidRPr="00D5464D">
        <w:rPr>
          <w:rFonts w:cs="Arial"/>
          <w:iCs/>
          <w:szCs w:val="20"/>
          <w:lang w:val="pt-BR"/>
        </w:rPr>
        <w:t xml:space="preserve"> dois meses </w:t>
      </w:r>
      <w:r w:rsidR="00663458" w:rsidRPr="00D5464D">
        <w:rPr>
          <w:rFonts w:cs="Arial"/>
          <w:iCs/>
          <w:szCs w:val="20"/>
          <w:lang w:val="pt-BR"/>
        </w:rPr>
        <w:t xml:space="preserve">para </w:t>
      </w:r>
      <w:r w:rsidR="002C330E" w:rsidRPr="00D5464D">
        <w:rPr>
          <w:rFonts w:cs="Arial"/>
          <w:iCs/>
          <w:szCs w:val="20"/>
          <w:lang w:val="pt-BR"/>
        </w:rPr>
        <w:t>fazer</w:t>
      </w:r>
      <w:r w:rsidR="00E045D9" w:rsidRPr="00D5464D">
        <w:rPr>
          <w:rFonts w:cs="Arial"/>
          <w:iCs/>
          <w:szCs w:val="20"/>
          <w:lang w:val="pt-BR"/>
        </w:rPr>
        <w:t xml:space="preserve"> uma </w:t>
      </w:r>
      <w:r w:rsidR="00D81AA1" w:rsidRPr="00D5464D">
        <w:rPr>
          <w:rFonts w:cs="Arial"/>
          <w:iCs/>
          <w:szCs w:val="20"/>
          <w:lang w:val="pt-BR"/>
        </w:rPr>
        <w:t>visita</w:t>
      </w:r>
      <w:r w:rsidRPr="00D5464D">
        <w:rPr>
          <w:rFonts w:cs="Arial"/>
          <w:iCs/>
          <w:szCs w:val="20"/>
          <w:lang w:val="pt-BR"/>
        </w:rPr>
        <w:t xml:space="preserve"> à </w:t>
      </w:r>
      <w:r w:rsidR="00D809F0" w:rsidRPr="00D5464D">
        <w:rPr>
          <w:rFonts w:cs="Arial"/>
          <w:iCs/>
          <w:szCs w:val="20"/>
          <w:lang w:val="pt-BR"/>
        </w:rPr>
        <w:t>Fazenda</w:t>
      </w:r>
      <w:r w:rsidR="00D81AA1" w:rsidRPr="00D5464D">
        <w:rPr>
          <w:rFonts w:cs="Arial"/>
          <w:iCs/>
          <w:szCs w:val="20"/>
          <w:lang w:val="pt-BR"/>
        </w:rPr>
        <w:t xml:space="preserve"> Brasil Verde,</w:t>
      </w:r>
      <w:r w:rsidR="00E045D9" w:rsidRPr="00D5464D">
        <w:rPr>
          <w:rFonts w:cs="Arial"/>
          <w:iCs/>
          <w:szCs w:val="20"/>
          <w:lang w:val="pt-BR"/>
        </w:rPr>
        <w:t xml:space="preserve"> </w:t>
      </w:r>
      <w:r w:rsidR="00663458" w:rsidRPr="00D5464D">
        <w:rPr>
          <w:rFonts w:cs="Arial"/>
          <w:iCs/>
          <w:szCs w:val="20"/>
          <w:lang w:val="pt-BR"/>
        </w:rPr>
        <w:t xml:space="preserve">quando </w:t>
      </w:r>
      <w:r w:rsidR="002C330E" w:rsidRPr="00D5464D">
        <w:rPr>
          <w:rFonts w:cs="Arial"/>
          <w:iCs/>
          <w:szCs w:val="20"/>
          <w:lang w:val="pt-BR"/>
        </w:rPr>
        <w:t>receberam</w:t>
      </w:r>
      <w:r w:rsidR="00D81AA1" w:rsidRPr="00D5464D">
        <w:rPr>
          <w:rFonts w:cs="Arial"/>
          <w:iCs/>
          <w:szCs w:val="20"/>
          <w:lang w:val="pt-BR"/>
        </w:rPr>
        <w:t xml:space="preserve"> informa</w:t>
      </w:r>
      <w:r w:rsidRPr="00D5464D">
        <w:rPr>
          <w:rFonts w:cs="Arial"/>
          <w:iCs/>
          <w:szCs w:val="20"/>
          <w:lang w:val="pt-BR"/>
        </w:rPr>
        <w:t>ção</w:t>
      </w:r>
      <w:r w:rsidR="00D81AA1" w:rsidRPr="00D5464D">
        <w:rPr>
          <w:rFonts w:cs="Arial"/>
          <w:iCs/>
          <w:szCs w:val="20"/>
          <w:lang w:val="pt-BR"/>
        </w:rPr>
        <w:t xml:space="preserve"> de que</w:t>
      </w:r>
      <w:r w:rsidR="002C330E" w:rsidRPr="00D5464D">
        <w:rPr>
          <w:rFonts w:cs="Arial"/>
          <w:iCs/>
          <w:szCs w:val="20"/>
          <w:lang w:val="pt-BR"/>
        </w:rPr>
        <w:t xml:space="preserve"> os </w:t>
      </w:r>
      <w:r w:rsidR="00D81AA1" w:rsidRPr="00D5464D">
        <w:rPr>
          <w:rFonts w:cs="Arial"/>
          <w:iCs/>
          <w:szCs w:val="20"/>
          <w:lang w:val="pt-BR"/>
        </w:rPr>
        <w:t>adolescentes</w:t>
      </w:r>
      <w:r w:rsidR="00737270" w:rsidRPr="00D5464D">
        <w:rPr>
          <w:rFonts w:cs="Arial"/>
          <w:iCs/>
          <w:szCs w:val="20"/>
          <w:lang w:val="pt-BR"/>
        </w:rPr>
        <w:t xml:space="preserve"> haviam </w:t>
      </w:r>
      <w:r w:rsidR="00663458" w:rsidRPr="00D5464D">
        <w:rPr>
          <w:rFonts w:cs="Arial"/>
          <w:iCs/>
          <w:szCs w:val="20"/>
          <w:lang w:val="pt-BR"/>
        </w:rPr>
        <w:t xml:space="preserve">fugido para </w:t>
      </w:r>
      <w:r w:rsidR="002C330E" w:rsidRPr="00D5464D">
        <w:rPr>
          <w:rFonts w:cs="Arial"/>
          <w:iCs/>
          <w:szCs w:val="20"/>
          <w:lang w:val="pt-BR"/>
        </w:rPr>
        <w:t xml:space="preserve">outra </w:t>
      </w:r>
      <w:r w:rsidR="00D809F0" w:rsidRPr="00D5464D">
        <w:rPr>
          <w:rFonts w:cs="Arial"/>
          <w:iCs/>
          <w:szCs w:val="20"/>
          <w:lang w:val="pt-BR"/>
        </w:rPr>
        <w:t>fazenda</w:t>
      </w:r>
      <w:r w:rsidRPr="00D5464D">
        <w:rPr>
          <w:rFonts w:cs="Arial"/>
          <w:iCs/>
          <w:szCs w:val="20"/>
          <w:lang w:val="pt-BR"/>
        </w:rPr>
        <w:t xml:space="preserve"> da </w:t>
      </w:r>
      <w:r w:rsidR="00663458" w:rsidRPr="00D5464D">
        <w:rPr>
          <w:rFonts w:cs="Arial"/>
          <w:iCs/>
          <w:szCs w:val="20"/>
          <w:lang w:val="pt-BR"/>
        </w:rPr>
        <w:t xml:space="preserve">região. </w:t>
      </w:r>
      <w:r w:rsidR="00C91CB1" w:rsidRPr="00D5464D">
        <w:rPr>
          <w:rFonts w:cs="Arial"/>
          <w:iCs/>
          <w:szCs w:val="20"/>
          <w:lang w:val="pt-BR"/>
        </w:rPr>
        <w:t xml:space="preserve">As </w:t>
      </w:r>
      <w:r w:rsidR="00D81AA1" w:rsidRPr="00D5464D">
        <w:rPr>
          <w:rFonts w:cs="Arial"/>
          <w:iCs/>
          <w:szCs w:val="20"/>
          <w:lang w:val="pt-BR"/>
        </w:rPr>
        <w:t xml:space="preserve">autoridades </w:t>
      </w:r>
      <w:r w:rsidR="00663458" w:rsidRPr="00D5464D">
        <w:rPr>
          <w:rFonts w:cs="Arial"/>
          <w:iCs/>
          <w:szCs w:val="20"/>
          <w:lang w:val="pt-BR"/>
        </w:rPr>
        <w:t>não realizaram</w:t>
      </w:r>
      <w:r w:rsidR="00D81AA1" w:rsidRPr="00D5464D">
        <w:rPr>
          <w:rFonts w:cs="Arial"/>
          <w:iCs/>
          <w:szCs w:val="20"/>
          <w:lang w:val="pt-BR"/>
        </w:rPr>
        <w:t xml:space="preserve"> </w:t>
      </w:r>
      <w:r w:rsidR="00663458" w:rsidRPr="00D5464D">
        <w:rPr>
          <w:rFonts w:cs="Arial"/>
          <w:iCs/>
          <w:szCs w:val="20"/>
          <w:lang w:val="pt-BR"/>
        </w:rPr>
        <w:t xml:space="preserve">nenhuma </w:t>
      </w:r>
      <w:r w:rsidRPr="00D5464D">
        <w:rPr>
          <w:rFonts w:cs="Arial"/>
          <w:iCs/>
          <w:szCs w:val="20"/>
          <w:lang w:val="pt-BR"/>
        </w:rPr>
        <w:t>diligência</w:t>
      </w:r>
      <w:r w:rsidR="00D81AA1" w:rsidRPr="00D5464D">
        <w:rPr>
          <w:rFonts w:cs="Arial"/>
          <w:iCs/>
          <w:szCs w:val="20"/>
          <w:lang w:val="pt-BR"/>
        </w:rPr>
        <w:t xml:space="preserve"> para confirmar esta situa</w:t>
      </w:r>
      <w:r w:rsidRPr="00D5464D">
        <w:rPr>
          <w:rFonts w:cs="Arial"/>
          <w:iCs/>
          <w:szCs w:val="20"/>
          <w:lang w:val="pt-BR"/>
        </w:rPr>
        <w:t>ção</w:t>
      </w:r>
      <w:r w:rsidR="002C330E" w:rsidRPr="00D5464D">
        <w:rPr>
          <w:rFonts w:cs="Arial"/>
          <w:iCs/>
          <w:szCs w:val="20"/>
          <w:lang w:val="pt-BR"/>
        </w:rPr>
        <w:t xml:space="preserve"> nem </w:t>
      </w:r>
      <w:r w:rsidR="00EB1CE9" w:rsidRPr="00D5464D">
        <w:rPr>
          <w:rFonts w:cs="Arial"/>
          <w:iCs/>
          <w:szCs w:val="20"/>
          <w:lang w:val="pt-BR"/>
        </w:rPr>
        <w:t>abriram</w:t>
      </w:r>
      <w:r w:rsidR="00E045D9" w:rsidRPr="00D5464D">
        <w:rPr>
          <w:rFonts w:cs="Arial"/>
          <w:iCs/>
          <w:szCs w:val="20"/>
          <w:lang w:val="pt-BR"/>
        </w:rPr>
        <w:t xml:space="preserve"> uma </w:t>
      </w:r>
      <w:r w:rsidR="00D81AA1" w:rsidRPr="00D5464D">
        <w:rPr>
          <w:rFonts w:cs="Arial"/>
          <w:iCs/>
          <w:szCs w:val="20"/>
          <w:lang w:val="pt-BR"/>
        </w:rPr>
        <w:t>investiga</w:t>
      </w:r>
      <w:r w:rsidRPr="00D5464D">
        <w:rPr>
          <w:rFonts w:cs="Arial"/>
          <w:iCs/>
          <w:szCs w:val="20"/>
          <w:lang w:val="pt-BR"/>
        </w:rPr>
        <w:t xml:space="preserve">ção </w:t>
      </w:r>
      <w:r w:rsidR="00C91CB1" w:rsidRPr="00D5464D">
        <w:rPr>
          <w:rFonts w:cs="Arial"/>
          <w:iCs/>
          <w:szCs w:val="20"/>
          <w:lang w:val="pt-BR"/>
        </w:rPr>
        <w:t>a respeito</w:t>
      </w:r>
      <w:r w:rsidR="00A1358C" w:rsidRPr="00D5464D">
        <w:rPr>
          <w:rFonts w:cs="Arial"/>
          <w:iCs/>
          <w:szCs w:val="20"/>
          <w:lang w:val="pt-BR"/>
        </w:rPr>
        <w:t xml:space="preserve">. A </w:t>
      </w:r>
      <w:r w:rsidRPr="00D5464D">
        <w:rPr>
          <w:rFonts w:cs="Arial"/>
          <w:iCs/>
          <w:szCs w:val="20"/>
          <w:lang w:val="pt-BR"/>
        </w:rPr>
        <w:t>Comissão</w:t>
      </w:r>
      <w:r w:rsidR="00D81AA1" w:rsidRPr="00D5464D">
        <w:rPr>
          <w:rFonts w:cs="Arial"/>
          <w:iCs/>
          <w:szCs w:val="20"/>
          <w:lang w:val="pt-BR"/>
        </w:rPr>
        <w:t xml:space="preserve"> </w:t>
      </w:r>
      <w:r w:rsidRPr="00D5464D">
        <w:rPr>
          <w:rFonts w:cs="Arial"/>
          <w:iCs/>
          <w:szCs w:val="20"/>
          <w:lang w:val="pt-BR"/>
        </w:rPr>
        <w:t>considerou</w:t>
      </w:r>
      <w:r w:rsidR="00D81AA1" w:rsidRPr="00D5464D">
        <w:rPr>
          <w:rFonts w:cs="Arial"/>
          <w:iCs/>
          <w:szCs w:val="20"/>
          <w:lang w:val="pt-BR"/>
        </w:rPr>
        <w:t xml:space="preserve"> que</w:t>
      </w:r>
      <w:r w:rsidR="002C330E" w:rsidRPr="00D5464D">
        <w:rPr>
          <w:rFonts w:cs="Arial"/>
          <w:iCs/>
          <w:szCs w:val="20"/>
          <w:lang w:val="pt-BR"/>
        </w:rPr>
        <w:t xml:space="preserve"> </w:t>
      </w:r>
      <w:r w:rsidR="00E045D9" w:rsidRPr="00D5464D">
        <w:rPr>
          <w:rFonts w:cs="Arial"/>
          <w:iCs/>
          <w:szCs w:val="20"/>
          <w:lang w:val="pt-BR"/>
        </w:rPr>
        <w:t>o desaparecimento</w:t>
      </w:r>
      <w:r w:rsidRPr="00D5464D">
        <w:rPr>
          <w:rFonts w:cs="Arial"/>
          <w:iCs/>
          <w:szCs w:val="20"/>
          <w:lang w:val="pt-BR"/>
        </w:rPr>
        <w:t xml:space="preserve"> dos </w:t>
      </w:r>
      <w:r w:rsidR="00D81AA1" w:rsidRPr="00D5464D">
        <w:rPr>
          <w:rFonts w:cs="Arial"/>
          <w:iCs/>
          <w:szCs w:val="20"/>
          <w:lang w:val="pt-BR"/>
        </w:rPr>
        <w:t>adolescentes</w:t>
      </w:r>
      <w:r w:rsidR="00E045D9" w:rsidRPr="00D5464D">
        <w:rPr>
          <w:rFonts w:cs="Arial"/>
          <w:iCs/>
          <w:szCs w:val="20"/>
          <w:lang w:val="pt-BR"/>
        </w:rPr>
        <w:t xml:space="preserve"> e </w:t>
      </w:r>
      <w:r w:rsidR="002C330E" w:rsidRPr="00D5464D">
        <w:rPr>
          <w:rFonts w:cs="Arial"/>
          <w:iCs/>
          <w:szCs w:val="20"/>
          <w:lang w:val="pt-BR"/>
        </w:rPr>
        <w:t xml:space="preserve">a </w:t>
      </w:r>
      <w:r w:rsidR="00D81AA1" w:rsidRPr="00D5464D">
        <w:rPr>
          <w:rFonts w:cs="Arial"/>
          <w:iCs/>
          <w:szCs w:val="20"/>
          <w:lang w:val="pt-BR"/>
        </w:rPr>
        <w:t>situa</w:t>
      </w:r>
      <w:r w:rsidRPr="00D5464D">
        <w:rPr>
          <w:rFonts w:cs="Arial"/>
          <w:iCs/>
          <w:szCs w:val="20"/>
          <w:lang w:val="pt-BR"/>
        </w:rPr>
        <w:t>ção</w:t>
      </w:r>
      <w:r w:rsidR="00D81AA1" w:rsidRPr="00D5464D">
        <w:rPr>
          <w:rFonts w:cs="Arial"/>
          <w:iCs/>
          <w:szCs w:val="20"/>
          <w:lang w:val="pt-BR"/>
        </w:rPr>
        <w:t xml:space="preserve"> de </w:t>
      </w:r>
      <w:r w:rsidR="00E045D9" w:rsidRPr="00D5464D">
        <w:rPr>
          <w:rFonts w:cs="Arial"/>
          <w:iCs/>
          <w:szCs w:val="20"/>
          <w:lang w:val="pt-BR"/>
        </w:rPr>
        <w:t xml:space="preserve">vulnerabilidade </w:t>
      </w:r>
      <w:r w:rsidRPr="00D5464D">
        <w:rPr>
          <w:rFonts w:cs="Arial"/>
          <w:iCs/>
          <w:szCs w:val="20"/>
          <w:lang w:val="pt-BR"/>
        </w:rPr>
        <w:t xml:space="preserve">em </w:t>
      </w:r>
      <w:r w:rsidR="00D81AA1" w:rsidRPr="00D5464D">
        <w:rPr>
          <w:rFonts w:cs="Arial"/>
          <w:iCs/>
          <w:szCs w:val="20"/>
          <w:lang w:val="pt-BR"/>
        </w:rPr>
        <w:t xml:space="preserve">que se </w:t>
      </w:r>
      <w:r w:rsidRPr="00D5464D">
        <w:rPr>
          <w:rFonts w:cs="Arial"/>
          <w:iCs/>
          <w:szCs w:val="20"/>
          <w:lang w:val="pt-BR"/>
        </w:rPr>
        <w:t>encontravam</w:t>
      </w:r>
      <w:r w:rsidR="00D81AA1" w:rsidRPr="00D5464D">
        <w:rPr>
          <w:rFonts w:cs="Arial"/>
          <w:iCs/>
          <w:szCs w:val="20"/>
          <w:lang w:val="pt-BR"/>
        </w:rPr>
        <w:t xml:space="preserve"> </w:t>
      </w:r>
      <w:r w:rsidR="00663458" w:rsidRPr="00D5464D">
        <w:rPr>
          <w:rFonts w:cs="Arial"/>
          <w:iCs/>
          <w:szCs w:val="20"/>
          <w:lang w:val="pt-BR"/>
        </w:rPr>
        <w:t xml:space="preserve">gerou sua </w:t>
      </w:r>
      <w:r w:rsidRPr="00D5464D">
        <w:rPr>
          <w:rFonts w:cs="Arial"/>
          <w:iCs/>
          <w:szCs w:val="20"/>
          <w:lang w:val="pt-BR"/>
        </w:rPr>
        <w:t>exclusão</w:t>
      </w:r>
      <w:r w:rsidR="00D81AA1" w:rsidRPr="00D5464D">
        <w:rPr>
          <w:rFonts w:cs="Arial"/>
          <w:iCs/>
          <w:szCs w:val="20"/>
          <w:lang w:val="pt-BR"/>
        </w:rPr>
        <w:t xml:space="preserve"> </w:t>
      </w:r>
      <w:r w:rsidRPr="00D5464D">
        <w:rPr>
          <w:rFonts w:cs="Arial"/>
          <w:iCs/>
          <w:szCs w:val="20"/>
          <w:lang w:val="pt-BR"/>
        </w:rPr>
        <w:t>d</w:t>
      </w:r>
      <w:r w:rsidR="00350187" w:rsidRPr="00D5464D">
        <w:rPr>
          <w:rFonts w:cs="Arial"/>
          <w:iCs/>
          <w:szCs w:val="20"/>
          <w:lang w:val="pt-BR"/>
        </w:rPr>
        <w:t>a ordem jurídica</w:t>
      </w:r>
      <w:r w:rsidR="00D81AA1" w:rsidRPr="00D5464D">
        <w:rPr>
          <w:rFonts w:cs="Arial"/>
          <w:iCs/>
          <w:szCs w:val="20"/>
          <w:lang w:val="pt-BR"/>
        </w:rPr>
        <w:t xml:space="preserve"> e institucional </w:t>
      </w:r>
      <w:r w:rsidRPr="00D5464D">
        <w:rPr>
          <w:rFonts w:cs="Arial"/>
          <w:iCs/>
          <w:szCs w:val="20"/>
          <w:lang w:val="pt-BR"/>
        </w:rPr>
        <w:t xml:space="preserve">do </w:t>
      </w:r>
      <w:r w:rsidR="00D81AA1" w:rsidRPr="00D5464D">
        <w:rPr>
          <w:rFonts w:cs="Arial"/>
          <w:iCs/>
          <w:szCs w:val="20"/>
          <w:lang w:val="pt-BR"/>
        </w:rPr>
        <w:t>Estado,</w:t>
      </w:r>
      <w:r w:rsidR="002C330E" w:rsidRPr="00D5464D">
        <w:rPr>
          <w:rFonts w:cs="Arial"/>
          <w:iCs/>
          <w:szCs w:val="20"/>
          <w:lang w:val="pt-BR"/>
        </w:rPr>
        <w:t xml:space="preserve"> </w:t>
      </w:r>
      <w:r w:rsidR="001865AB" w:rsidRPr="00D5464D">
        <w:rPr>
          <w:rFonts w:cs="Arial"/>
          <w:iCs/>
          <w:szCs w:val="20"/>
          <w:lang w:val="pt-BR"/>
        </w:rPr>
        <w:t xml:space="preserve">os </w:t>
      </w:r>
      <w:r w:rsidR="002C330E" w:rsidRPr="00D5464D">
        <w:rPr>
          <w:rFonts w:cs="Arial"/>
          <w:iCs/>
          <w:szCs w:val="20"/>
          <w:lang w:val="pt-BR"/>
        </w:rPr>
        <w:t>impediu</w:t>
      </w:r>
      <w:r w:rsidR="00663458" w:rsidRPr="00D5464D">
        <w:rPr>
          <w:rFonts w:cs="Arial"/>
          <w:iCs/>
          <w:szCs w:val="20"/>
          <w:lang w:val="pt-BR"/>
        </w:rPr>
        <w:t xml:space="preserve"> de interpor qualquer tipo </w:t>
      </w:r>
      <w:r w:rsidR="00737270" w:rsidRPr="00D5464D">
        <w:rPr>
          <w:rFonts w:cs="Arial"/>
          <w:iCs/>
          <w:szCs w:val="20"/>
          <w:lang w:val="pt-BR"/>
        </w:rPr>
        <w:t>ação</w:t>
      </w:r>
      <w:r w:rsidR="00D81AA1" w:rsidRPr="00D5464D">
        <w:rPr>
          <w:rFonts w:cs="Arial"/>
          <w:iCs/>
          <w:szCs w:val="20"/>
          <w:lang w:val="pt-BR"/>
        </w:rPr>
        <w:t xml:space="preserve"> legal </w:t>
      </w:r>
      <w:r w:rsidR="00663458" w:rsidRPr="00D5464D">
        <w:rPr>
          <w:rFonts w:cs="Arial"/>
          <w:iCs/>
          <w:szCs w:val="20"/>
          <w:lang w:val="pt-BR"/>
        </w:rPr>
        <w:t xml:space="preserve">em relação ao </w:t>
      </w:r>
      <w:r w:rsidRPr="00D5464D">
        <w:rPr>
          <w:rFonts w:cs="Arial"/>
          <w:iCs/>
          <w:szCs w:val="20"/>
          <w:lang w:val="pt-BR"/>
        </w:rPr>
        <w:t>exercício</w:t>
      </w:r>
      <w:r w:rsidR="00D81AA1" w:rsidRPr="00D5464D">
        <w:rPr>
          <w:rFonts w:cs="Arial"/>
          <w:iCs/>
          <w:szCs w:val="20"/>
          <w:lang w:val="pt-BR"/>
        </w:rPr>
        <w:t xml:space="preserve"> de </w:t>
      </w:r>
      <w:r w:rsidR="00E045D9" w:rsidRPr="00D5464D">
        <w:rPr>
          <w:rFonts w:cs="Arial"/>
          <w:iCs/>
          <w:szCs w:val="20"/>
          <w:lang w:val="pt-BR"/>
        </w:rPr>
        <w:t>seus direitos</w:t>
      </w:r>
      <w:r w:rsidRPr="00D5464D">
        <w:rPr>
          <w:rFonts w:cs="Arial"/>
          <w:iCs/>
          <w:szCs w:val="20"/>
          <w:lang w:val="pt-BR"/>
        </w:rPr>
        <w:t>, e</w:t>
      </w:r>
      <w:r w:rsidR="002C330E" w:rsidRPr="00D5464D">
        <w:rPr>
          <w:rFonts w:cs="Arial"/>
          <w:iCs/>
          <w:szCs w:val="20"/>
          <w:lang w:val="pt-BR"/>
        </w:rPr>
        <w:t xml:space="preserve"> os </w:t>
      </w:r>
      <w:r w:rsidR="00663458" w:rsidRPr="00D5464D">
        <w:rPr>
          <w:rFonts w:cs="Arial"/>
          <w:iCs/>
          <w:szCs w:val="20"/>
          <w:lang w:val="pt-BR"/>
        </w:rPr>
        <w:t xml:space="preserve">manteve </w:t>
      </w:r>
      <w:r w:rsidRPr="00D5464D">
        <w:rPr>
          <w:rFonts w:cs="Arial"/>
          <w:iCs/>
          <w:szCs w:val="20"/>
          <w:lang w:val="pt-BR"/>
        </w:rPr>
        <w:t>fora</w:t>
      </w:r>
      <w:r w:rsidR="00D81AA1" w:rsidRPr="00D5464D">
        <w:rPr>
          <w:rFonts w:cs="Arial"/>
          <w:iCs/>
          <w:szCs w:val="20"/>
          <w:lang w:val="pt-BR"/>
        </w:rPr>
        <w:t xml:space="preserve"> </w:t>
      </w:r>
      <w:r w:rsidRPr="00D5464D">
        <w:rPr>
          <w:rFonts w:cs="Arial"/>
          <w:iCs/>
          <w:szCs w:val="20"/>
          <w:lang w:val="pt-BR"/>
        </w:rPr>
        <w:t xml:space="preserve">do </w:t>
      </w:r>
      <w:r w:rsidR="00D81AA1" w:rsidRPr="00D5464D">
        <w:rPr>
          <w:rFonts w:cs="Arial"/>
          <w:iCs/>
          <w:szCs w:val="20"/>
          <w:lang w:val="pt-BR"/>
        </w:rPr>
        <w:t>mundo real</w:t>
      </w:r>
      <w:r w:rsidR="00E045D9" w:rsidRPr="00D5464D">
        <w:rPr>
          <w:rFonts w:cs="Arial"/>
          <w:iCs/>
          <w:szCs w:val="20"/>
          <w:lang w:val="pt-BR"/>
        </w:rPr>
        <w:t xml:space="preserve"> e </w:t>
      </w:r>
      <w:r w:rsidR="00D81AA1" w:rsidRPr="00D5464D">
        <w:rPr>
          <w:rFonts w:cs="Arial"/>
          <w:iCs/>
          <w:szCs w:val="20"/>
          <w:lang w:val="pt-BR"/>
        </w:rPr>
        <w:t xml:space="preserve">jurídico. </w:t>
      </w:r>
      <w:r w:rsidR="00350187" w:rsidRPr="00D5464D">
        <w:rPr>
          <w:rFonts w:cs="Arial"/>
          <w:iCs/>
          <w:szCs w:val="20"/>
          <w:lang w:val="pt-BR"/>
        </w:rPr>
        <w:t xml:space="preserve">Além disso, </w:t>
      </w:r>
      <w:r w:rsidR="002C330E" w:rsidRPr="00D5464D">
        <w:rPr>
          <w:rFonts w:cs="Arial"/>
          <w:iCs/>
          <w:szCs w:val="20"/>
          <w:lang w:val="pt-BR"/>
        </w:rPr>
        <w:t xml:space="preserve">a </w:t>
      </w:r>
      <w:r w:rsidRPr="00D5464D">
        <w:rPr>
          <w:rFonts w:cs="Arial"/>
          <w:iCs/>
          <w:szCs w:val="20"/>
          <w:lang w:val="pt-BR"/>
        </w:rPr>
        <w:t>Comissão</w:t>
      </w:r>
      <w:r w:rsidR="00D81AA1" w:rsidRPr="00D5464D">
        <w:rPr>
          <w:rFonts w:cs="Arial"/>
          <w:iCs/>
          <w:szCs w:val="20"/>
          <w:lang w:val="pt-BR"/>
        </w:rPr>
        <w:t xml:space="preserve"> </w:t>
      </w:r>
      <w:r w:rsidR="005F3480" w:rsidRPr="00D5464D">
        <w:rPr>
          <w:rFonts w:cs="Arial"/>
          <w:iCs/>
          <w:szCs w:val="20"/>
          <w:lang w:val="pt-BR"/>
        </w:rPr>
        <w:t>afirmou</w:t>
      </w:r>
      <w:r w:rsidR="00D81AA1" w:rsidRPr="00D5464D">
        <w:rPr>
          <w:rFonts w:cs="Arial"/>
          <w:iCs/>
          <w:szCs w:val="20"/>
          <w:lang w:val="pt-BR"/>
        </w:rPr>
        <w:t xml:space="preserve"> que</w:t>
      </w:r>
      <w:r w:rsidR="002C330E" w:rsidRPr="00D5464D">
        <w:rPr>
          <w:rFonts w:cs="Arial"/>
          <w:iCs/>
          <w:szCs w:val="20"/>
          <w:lang w:val="pt-BR"/>
        </w:rPr>
        <w:t xml:space="preserve"> </w:t>
      </w:r>
      <w:r w:rsidR="00E045D9" w:rsidRPr="00D5464D">
        <w:rPr>
          <w:rFonts w:cs="Arial"/>
          <w:iCs/>
          <w:szCs w:val="20"/>
          <w:lang w:val="pt-BR"/>
        </w:rPr>
        <w:t>o desaparecimento</w:t>
      </w:r>
      <w:r w:rsidR="00D81AA1" w:rsidRPr="00D5464D">
        <w:rPr>
          <w:rFonts w:cs="Arial"/>
          <w:iCs/>
          <w:szCs w:val="20"/>
          <w:lang w:val="pt-BR"/>
        </w:rPr>
        <w:t xml:space="preserve"> de </w:t>
      </w:r>
      <w:r w:rsidR="008B075C" w:rsidRPr="00D5464D">
        <w:rPr>
          <w:rFonts w:cs="Arial"/>
          <w:iCs/>
          <w:szCs w:val="20"/>
          <w:lang w:val="pt-BR"/>
        </w:rPr>
        <w:t>Iron Canuto da Silva</w:t>
      </w:r>
      <w:r w:rsidR="00E045D9" w:rsidRPr="00D5464D">
        <w:rPr>
          <w:rFonts w:cs="Arial"/>
          <w:iCs/>
          <w:szCs w:val="20"/>
          <w:lang w:val="pt-BR"/>
        </w:rPr>
        <w:t xml:space="preserve"> e </w:t>
      </w:r>
      <w:r w:rsidR="00200C04" w:rsidRPr="00D5464D">
        <w:rPr>
          <w:rFonts w:cs="Arial"/>
          <w:iCs/>
          <w:szCs w:val="20"/>
          <w:lang w:val="pt-BR"/>
        </w:rPr>
        <w:t>Luis Ferreira da Cruz</w:t>
      </w:r>
      <w:r w:rsidRPr="00D5464D">
        <w:rPr>
          <w:rFonts w:cs="Arial"/>
          <w:iCs/>
          <w:szCs w:val="20"/>
          <w:lang w:val="pt-BR"/>
        </w:rPr>
        <w:t xml:space="preserve"> é</w:t>
      </w:r>
      <w:r w:rsidR="00E045D9" w:rsidRPr="00D5464D">
        <w:rPr>
          <w:rFonts w:cs="Arial"/>
          <w:iCs/>
          <w:szCs w:val="20"/>
          <w:lang w:val="pt-BR"/>
        </w:rPr>
        <w:t xml:space="preserve"> um </w:t>
      </w:r>
      <w:r w:rsidRPr="00D5464D">
        <w:rPr>
          <w:rFonts w:cs="Arial"/>
          <w:iCs/>
          <w:szCs w:val="20"/>
          <w:lang w:val="pt-BR"/>
        </w:rPr>
        <w:t>exemplo</w:t>
      </w:r>
      <w:r w:rsidR="00D81AA1" w:rsidRPr="00D5464D">
        <w:rPr>
          <w:rFonts w:cs="Arial"/>
          <w:iCs/>
          <w:szCs w:val="20"/>
          <w:lang w:val="pt-BR"/>
        </w:rPr>
        <w:t xml:space="preserve"> patente de discrimina</w:t>
      </w:r>
      <w:r w:rsidRPr="00D5464D">
        <w:rPr>
          <w:rFonts w:cs="Arial"/>
          <w:iCs/>
          <w:szCs w:val="20"/>
          <w:lang w:val="pt-BR"/>
        </w:rPr>
        <w:t>ção</w:t>
      </w:r>
      <w:r w:rsidR="00D81AA1" w:rsidRPr="00D5464D">
        <w:rPr>
          <w:rFonts w:cs="Arial"/>
          <w:iCs/>
          <w:szCs w:val="20"/>
          <w:lang w:val="pt-BR"/>
        </w:rPr>
        <w:t xml:space="preserve"> </w:t>
      </w:r>
      <w:r w:rsidRPr="00D5464D">
        <w:rPr>
          <w:rFonts w:cs="Arial"/>
          <w:iCs/>
          <w:szCs w:val="20"/>
          <w:lang w:val="pt-BR"/>
        </w:rPr>
        <w:t>estrutura</w:t>
      </w:r>
      <w:r w:rsidR="00D81AA1" w:rsidRPr="00D5464D">
        <w:rPr>
          <w:rFonts w:cs="Arial"/>
          <w:iCs/>
          <w:szCs w:val="20"/>
          <w:lang w:val="pt-BR"/>
        </w:rPr>
        <w:t>l</w:t>
      </w:r>
      <w:r w:rsidR="00663458" w:rsidRPr="00D5464D">
        <w:rPr>
          <w:rFonts w:cs="Arial"/>
          <w:iCs/>
          <w:szCs w:val="20"/>
          <w:lang w:val="pt-BR"/>
        </w:rPr>
        <w:t>,</w:t>
      </w:r>
      <w:r w:rsidR="00D81AA1" w:rsidRPr="00D5464D">
        <w:rPr>
          <w:rFonts w:cs="Arial"/>
          <w:iCs/>
          <w:szCs w:val="20"/>
          <w:lang w:val="pt-BR"/>
        </w:rPr>
        <w:t xml:space="preserve"> </w:t>
      </w:r>
      <w:r w:rsidR="002C330E" w:rsidRPr="00D5464D">
        <w:rPr>
          <w:rFonts w:cs="Arial"/>
          <w:iCs/>
          <w:szCs w:val="20"/>
          <w:lang w:val="pt-BR"/>
        </w:rPr>
        <w:t xml:space="preserve">posto </w:t>
      </w:r>
      <w:r w:rsidR="00D81AA1" w:rsidRPr="00D5464D">
        <w:rPr>
          <w:rFonts w:cs="Arial"/>
          <w:iCs/>
          <w:szCs w:val="20"/>
          <w:lang w:val="pt-BR"/>
        </w:rPr>
        <w:t>que,</w:t>
      </w:r>
      <w:r w:rsidR="00737270" w:rsidRPr="00D5464D">
        <w:rPr>
          <w:rFonts w:cs="Arial"/>
          <w:iCs/>
          <w:szCs w:val="20"/>
          <w:lang w:val="pt-BR"/>
        </w:rPr>
        <w:t xml:space="preserve"> apesar </w:t>
      </w:r>
      <w:r w:rsidRPr="00D5464D">
        <w:rPr>
          <w:rFonts w:cs="Arial"/>
          <w:iCs/>
          <w:szCs w:val="20"/>
          <w:lang w:val="pt-BR"/>
        </w:rPr>
        <w:t xml:space="preserve">do </w:t>
      </w:r>
      <w:r w:rsidR="00E045D9" w:rsidRPr="00D5464D">
        <w:rPr>
          <w:rFonts w:cs="Arial"/>
          <w:iCs/>
          <w:szCs w:val="20"/>
          <w:lang w:val="pt-BR"/>
        </w:rPr>
        <w:t>tempo</w:t>
      </w:r>
      <w:r w:rsidR="00D81AA1" w:rsidRPr="00D5464D">
        <w:rPr>
          <w:rFonts w:cs="Arial"/>
          <w:iCs/>
          <w:szCs w:val="20"/>
          <w:lang w:val="pt-BR"/>
        </w:rPr>
        <w:t xml:space="preserve"> </w:t>
      </w:r>
      <w:r w:rsidR="00A1358C" w:rsidRPr="00D5464D">
        <w:rPr>
          <w:rFonts w:cs="Arial"/>
          <w:iCs/>
          <w:szCs w:val="20"/>
          <w:lang w:val="pt-BR"/>
        </w:rPr>
        <w:t>transcorrido</w:t>
      </w:r>
      <w:r w:rsidR="00D81AA1" w:rsidRPr="00D5464D">
        <w:rPr>
          <w:rFonts w:cs="Arial"/>
          <w:iCs/>
          <w:szCs w:val="20"/>
          <w:lang w:val="pt-BR"/>
        </w:rPr>
        <w:t xml:space="preserve"> </w:t>
      </w:r>
      <w:r w:rsidR="00230C71" w:rsidRPr="00D5464D">
        <w:rPr>
          <w:rFonts w:cs="Arial"/>
          <w:iCs/>
          <w:szCs w:val="20"/>
          <w:lang w:val="pt-BR"/>
        </w:rPr>
        <w:t xml:space="preserve">desde o </w:t>
      </w:r>
      <w:r w:rsidR="00E045D9" w:rsidRPr="00D5464D">
        <w:rPr>
          <w:rFonts w:cs="Arial"/>
          <w:iCs/>
          <w:szCs w:val="20"/>
          <w:lang w:val="pt-BR"/>
        </w:rPr>
        <w:t>desaparecimento</w:t>
      </w:r>
      <w:r w:rsidR="00D81AA1" w:rsidRPr="00D5464D">
        <w:rPr>
          <w:rFonts w:cs="Arial"/>
          <w:iCs/>
          <w:szCs w:val="20"/>
          <w:lang w:val="pt-BR"/>
        </w:rPr>
        <w:t>,</w:t>
      </w:r>
      <w:r w:rsidRPr="00D5464D">
        <w:rPr>
          <w:rFonts w:cs="Arial"/>
          <w:iCs/>
          <w:szCs w:val="20"/>
          <w:lang w:val="pt-BR"/>
        </w:rPr>
        <w:t xml:space="preserve"> o </w:t>
      </w:r>
      <w:r w:rsidR="00D81AA1" w:rsidRPr="00D5464D">
        <w:rPr>
          <w:rFonts w:cs="Arial"/>
          <w:iCs/>
          <w:szCs w:val="20"/>
          <w:lang w:val="pt-BR"/>
        </w:rPr>
        <w:t xml:space="preserve">Estado </w:t>
      </w:r>
      <w:r w:rsidR="003C25CD" w:rsidRPr="00D5464D">
        <w:rPr>
          <w:rFonts w:cs="Arial"/>
          <w:iCs/>
          <w:szCs w:val="20"/>
          <w:lang w:val="pt-BR"/>
        </w:rPr>
        <w:t>n</w:t>
      </w:r>
      <w:r w:rsidR="00663458" w:rsidRPr="00D5464D">
        <w:rPr>
          <w:rFonts w:cs="Arial"/>
          <w:iCs/>
          <w:szCs w:val="20"/>
          <w:lang w:val="pt-BR"/>
        </w:rPr>
        <w:t>ã</w:t>
      </w:r>
      <w:r w:rsidR="003C25CD" w:rsidRPr="00D5464D">
        <w:rPr>
          <w:rFonts w:cs="Arial"/>
          <w:iCs/>
          <w:szCs w:val="20"/>
          <w:lang w:val="pt-BR"/>
        </w:rPr>
        <w:t xml:space="preserve">o </w:t>
      </w:r>
      <w:r w:rsidR="00230C71" w:rsidRPr="00D5464D">
        <w:rPr>
          <w:rFonts w:cs="Arial"/>
          <w:iCs/>
          <w:szCs w:val="20"/>
          <w:lang w:val="pt-BR"/>
        </w:rPr>
        <w:t>tomou</w:t>
      </w:r>
      <w:r w:rsidR="003C25CD" w:rsidRPr="00D5464D">
        <w:rPr>
          <w:rFonts w:cs="Arial"/>
          <w:iCs/>
          <w:szCs w:val="20"/>
          <w:lang w:val="pt-BR"/>
        </w:rPr>
        <w:t xml:space="preserve"> </w:t>
      </w:r>
      <w:r w:rsidR="002C330E" w:rsidRPr="00D5464D">
        <w:rPr>
          <w:rFonts w:cs="Arial"/>
          <w:iCs/>
          <w:szCs w:val="20"/>
          <w:lang w:val="pt-BR"/>
        </w:rPr>
        <w:t>nenhuma</w:t>
      </w:r>
      <w:r w:rsidR="003C25CD" w:rsidRPr="00D5464D">
        <w:rPr>
          <w:rFonts w:cs="Arial"/>
          <w:iCs/>
          <w:szCs w:val="20"/>
          <w:lang w:val="pt-BR"/>
        </w:rPr>
        <w:t xml:space="preserve"> medida s</w:t>
      </w:r>
      <w:r w:rsidR="00663458" w:rsidRPr="00D5464D">
        <w:rPr>
          <w:rFonts w:cs="Arial"/>
          <w:iCs/>
          <w:szCs w:val="20"/>
          <w:lang w:val="pt-BR"/>
        </w:rPr>
        <w:t>é</w:t>
      </w:r>
      <w:r w:rsidR="003C25CD" w:rsidRPr="00D5464D">
        <w:rPr>
          <w:rFonts w:cs="Arial"/>
          <w:iCs/>
          <w:szCs w:val="20"/>
          <w:lang w:val="pt-BR"/>
        </w:rPr>
        <w:t>ri</w:t>
      </w:r>
      <w:r w:rsidR="00D81AA1" w:rsidRPr="00D5464D">
        <w:rPr>
          <w:rFonts w:cs="Arial"/>
          <w:iCs/>
          <w:szCs w:val="20"/>
          <w:lang w:val="pt-BR"/>
        </w:rPr>
        <w:t>a para investigar</w:t>
      </w:r>
      <w:r w:rsidR="002C330E" w:rsidRPr="00D5464D">
        <w:rPr>
          <w:rFonts w:cs="Arial"/>
          <w:iCs/>
          <w:szCs w:val="20"/>
          <w:lang w:val="pt-BR"/>
        </w:rPr>
        <w:t xml:space="preserve"> os fatos</w:t>
      </w:r>
      <w:r w:rsidR="00E045D9" w:rsidRPr="00D5464D">
        <w:rPr>
          <w:rFonts w:cs="Arial"/>
          <w:iCs/>
          <w:szCs w:val="20"/>
          <w:lang w:val="pt-BR"/>
        </w:rPr>
        <w:t xml:space="preserve"> e </w:t>
      </w:r>
      <w:r w:rsidR="00D81AA1" w:rsidRPr="00D5464D">
        <w:rPr>
          <w:rFonts w:cs="Arial"/>
          <w:iCs/>
          <w:szCs w:val="20"/>
          <w:lang w:val="pt-BR"/>
        </w:rPr>
        <w:t>localizar</w:t>
      </w:r>
      <w:r w:rsidR="00E045D9" w:rsidRPr="00D5464D">
        <w:rPr>
          <w:rFonts w:cs="Arial"/>
          <w:iCs/>
          <w:szCs w:val="20"/>
          <w:lang w:val="pt-BR"/>
        </w:rPr>
        <w:t xml:space="preserve"> os jovens</w:t>
      </w:r>
      <w:r w:rsidR="00C91CB1" w:rsidRPr="00D5464D">
        <w:rPr>
          <w:rFonts w:cs="Arial"/>
          <w:iCs/>
          <w:szCs w:val="20"/>
          <w:lang w:val="pt-BR"/>
        </w:rPr>
        <w:t xml:space="preserve">. Em </w:t>
      </w:r>
      <w:r w:rsidR="00E045D9" w:rsidRPr="00D5464D">
        <w:rPr>
          <w:rFonts w:cs="Arial"/>
          <w:iCs/>
          <w:szCs w:val="20"/>
          <w:lang w:val="pt-BR"/>
        </w:rPr>
        <w:t xml:space="preserve">virtude </w:t>
      </w:r>
      <w:r w:rsidRPr="00D5464D">
        <w:rPr>
          <w:rFonts w:cs="Arial"/>
          <w:iCs/>
          <w:szCs w:val="20"/>
          <w:lang w:val="pt-BR"/>
        </w:rPr>
        <w:t xml:space="preserve">do </w:t>
      </w:r>
      <w:r w:rsidR="00D81AA1" w:rsidRPr="00D5464D">
        <w:rPr>
          <w:rFonts w:cs="Arial"/>
          <w:iCs/>
          <w:szCs w:val="20"/>
          <w:lang w:val="pt-BR"/>
        </w:rPr>
        <w:t>anterior,</w:t>
      </w:r>
      <w:r w:rsidR="002C330E" w:rsidRPr="00D5464D">
        <w:rPr>
          <w:rFonts w:cs="Arial"/>
          <w:iCs/>
          <w:szCs w:val="20"/>
          <w:lang w:val="pt-BR"/>
        </w:rPr>
        <w:t xml:space="preserve"> a </w:t>
      </w:r>
      <w:r w:rsidRPr="00D5464D">
        <w:rPr>
          <w:rFonts w:cs="Arial"/>
          <w:iCs/>
          <w:szCs w:val="20"/>
          <w:lang w:val="pt-BR"/>
        </w:rPr>
        <w:t>Comissão</w:t>
      </w:r>
      <w:r w:rsidR="00D81AA1" w:rsidRPr="00D5464D">
        <w:rPr>
          <w:rFonts w:cs="Arial"/>
          <w:iCs/>
          <w:szCs w:val="20"/>
          <w:lang w:val="pt-BR"/>
        </w:rPr>
        <w:t xml:space="preserve"> </w:t>
      </w:r>
      <w:r w:rsidRPr="00D5464D">
        <w:rPr>
          <w:rFonts w:cs="Arial"/>
          <w:iCs/>
          <w:szCs w:val="20"/>
          <w:lang w:val="pt-BR"/>
        </w:rPr>
        <w:t>concluiu</w:t>
      </w:r>
      <w:r w:rsidR="00D81AA1" w:rsidRPr="00D5464D">
        <w:rPr>
          <w:rFonts w:cs="Arial"/>
          <w:iCs/>
          <w:szCs w:val="20"/>
          <w:lang w:val="pt-BR"/>
        </w:rPr>
        <w:t xml:space="preserve"> que </w:t>
      </w:r>
      <w:r w:rsidR="008B075C" w:rsidRPr="00D5464D">
        <w:rPr>
          <w:rFonts w:cs="Arial"/>
          <w:iCs/>
          <w:szCs w:val="20"/>
          <w:lang w:val="pt-BR"/>
        </w:rPr>
        <w:t>Iron Canuto da Silva</w:t>
      </w:r>
      <w:r w:rsidR="00E045D9" w:rsidRPr="00D5464D">
        <w:rPr>
          <w:rFonts w:cs="Arial"/>
          <w:iCs/>
          <w:szCs w:val="20"/>
          <w:lang w:val="pt-BR"/>
        </w:rPr>
        <w:t xml:space="preserve"> e </w:t>
      </w:r>
      <w:r w:rsidR="00200C04" w:rsidRPr="00D5464D">
        <w:rPr>
          <w:rFonts w:cs="Arial"/>
          <w:iCs/>
          <w:szCs w:val="20"/>
          <w:lang w:val="pt-BR"/>
        </w:rPr>
        <w:t>Luis Ferreira da Cruz</w:t>
      </w:r>
      <w:r w:rsidR="00D81AA1" w:rsidRPr="00D5464D">
        <w:rPr>
          <w:rFonts w:cs="Arial"/>
          <w:iCs/>
          <w:szCs w:val="20"/>
          <w:lang w:val="pt-BR"/>
        </w:rPr>
        <w:t xml:space="preserve"> </w:t>
      </w:r>
      <w:r w:rsidRPr="00D5464D">
        <w:rPr>
          <w:rFonts w:cs="Arial"/>
          <w:iCs/>
          <w:szCs w:val="20"/>
          <w:lang w:val="pt-BR"/>
        </w:rPr>
        <w:t>foram</w:t>
      </w:r>
      <w:r w:rsidR="00D81AA1" w:rsidRPr="00D5464D">
        <w:rPr>
          <w:rFonts w:cs="Arial"/>
          <w:iCs/>
          <w:szCs w:val="20"/>
          <w:lang w:val="pt-BR"/>
        </w:rPr>
        <w:t xml:space="preserve"> </w:t>
      </w:r>
      <w:r w:rsidR="00E045D9" w:rsidRPr="00D5464D">
        <w:rPr>
          <w:rFonts w:cs="Arial"/>
          <w:iCs/>
          <w:szCs w:val="20"/>
          <w:lang w:val="pt-BR"/>
        </w:rPr>
        <w:t>vítima</w:t>
      </w:r>
      <w:r w:rsidR="00D81AA1" w:rsidRPr="00D5464D">
        <w:rPr>
          <w:rFonts w:cs="Arial"/>
          <w:iCs/>
          <w:szCs w:val="20"/>
          <w:lang w:val="pt-BR"/>
        </w:rPr>
        <w:t>s</w:t>
      </w:r>
      <w:r w:rsidRPr="00D5464D">
        <w:rPr>
          <w:rFonts w:cs="Arial"/>
          <w:iCs/>
          <w:szCs w:val="20"/>
          <w:lang w:val="pt-BR"/>
        </w:rPr>
        <w:t xml:space="preserve"> da </w:t>
      </w:r>
      <w:r w:rsidR="00D81AA1" w:rsidRPr="00D5464D">
        <w:rPr>
          <w:rFonts w:cs="Arial"/>
          <w:iCs/>
          <w:szCs w:val="20"/>
          <w:lang w:val="pt-BR"/>
        </w:rPr>
        <w:t>viola</w:t>
      </w:r>
      <w:r w:rsidRPr="00D5464D">
        <w:rPr>
          <w:rFonts w:cs="Arial"/>
          <w:iCs/>
          <w:szCs w:val="20"/>
          <w:lang w:val="pt-BR"/>
        </w:rPr>
        <w:t>ção dos artigo</w:t>
      </w:r>
      <w:r w:rsidR="00D81AA1" w:rsidRPr="00D5464D">
        <w:rPr>
          <w:rFonts w:cs="Arial"/>
          <w:iCs/>
          <w:szCs w:val="20"/>
          <w:lang w:val="pt-BR"/>
        </w:rPr>
        <w:t>s 7, 5, 4, 3</w:t>
      </w:r>
      <w:r w:rsidR="00E045D9" w:rsidRPr="00D5464D">
        <w:rPr>
          <w:rFonts w:cs="Arial"/>
          <w:iCs/>
          <w:szCs w:val="20"/>
          <w:lang w:val="pt-BR"/>
        </w:rPr>
        <w:t xml:space="preserve"> e </w:t>
      </w:r>
      <w:r w:rsidR="00D81AA1" w:rsidRPr="00D5464D">
        <w:rPr>
          <w:rFonts w:cs="Arial"/>
          <w:iCs/>
          <w:szCs w:val="20"/>
          <w:lang w:val="pt-BR"/>
        </w:rPr>
        <w:t>19</w:t>
      </w:r>
      <w:r w:rsidRPr="00D5464D">
        <w:rPr>
          <w:rFonts w:cs="Arial"/>
          <w:iCs/>
          <w:szCs w:val="20"/>
          <w:lang w:val="pt-BR"/>
        </w:rPr>
        <w:t xml:space="preserve"> da </w:t>
      </w:r>
      <w:r w:rsidR="00D81AA1" w:rsidRPr="00D5464D">
        <w:rPr>
          <w:rFonts w:cs="Arial"/>
          <w:iCs/>
          <w:szCs w:val="20"/>
          <w:lang w:val="pt-BR"/>
        </w:rPr>
        <w:t>Conven</w:t>
      </w:r>
      <w:r w:rsidRPr="00D5464D">
        <w:rPr>
          <w:rFonts w:cs="Arial"/>
          <w:iCs/>
          <w:szCs w:val="20"/>
          <w:lang w:val="pt-BR"/>
        </w:rPr>
        <w:t>ção</w:t>
      </w:r>
      <w:r w:rsidR="00D81AA1" w:rsidRPr="00D5464D">
        <w:rPr>
          <w:rFonts w:cs="Arial"/>
          <w:iCs/>
          <w:szCs w:val="20"/>
          <w:lang w:val="pt-BR"/>
        </w:rPr>
        <w:t xml:space="preserve"> Americana,</w:t>
      </w:r>
      <w:r w:rsidRPr="00D5464D">
        <w:rPr>
          <w:rFonts w:cs="Arial"/>
          <w:iCs/>
          <w:szCs w:val="20"/>
          <w:lang w:val="pt-BR"/>
        </w:rPr>
        <w:t xml:space="preserve"> em concordância com</w:t>
      </w:r>
      <w:r w:rsidR="002C330E" w:rsidRPr="00D5464D">
        <w:rPr>
          <w:rFonts w:cs="Arial"/>
          <w:iCs/>
          <w:szCs w:val="20"/>
          <w:lang w:val="pt-BR"/>
        </w:rPr>
        <w:t xml:space="preserve"> os </w:t>
      </w:r>
      <w:r w:rsidRPr="00D5464D">
        <w:rPr>
          <w:rFonts w:cs="Arial"/>
          <w:iCs/>
          <w:szCs w:val="20"/>
          <w:lang w:val="pt-BR"/>
        </w:rPr>
        <w:t>artigo</w:t>
      </w:r>
      <w:r w:rsidR="00D81AA1" w:rsidRPr="00D5464D">
        <w:rPr>
          <w:rFonts w:cs="Arial"/>
          <w:iCs/>
          <w:szCs w:val="20"/>
          <w:lang w:val="pt-BR"/>
        </w:rPr>
        <w:t>s 8, 25</w:t>
      </w:r>
      <w:r w:rsidR="00E045D9" w:rsidRPr="00D5464D">
        <w:rPr>
          <w:rFonts w:cs="Arial"/>
          <w:iCs/>
          <w:szCs w:val="20"/>
          <w:lang w:val="pt-BR"/>
        </w:rPr>
        <w:t xml:space="preserve"> e </w:t>
      </w:r>
      <w:r w:rsidR="00D81AA1" w:rsidRPr="00D5464D">
        <w:rPr>
          <w:rFonts w:cs="Arial"/>
          <w:iCs/>
          <w:szCs w:val="20"/>
          <w:lang w:val="pt-BR"/>
        </w:rPr>
        <w:t xml:space="preserve">1.1 </w:t>
      </w:r>
      <w:r w:rsidRPr="00D5464D">
        <w:rPr>
          <w:rFonts w:cs="Arial"/>
          <w:iCs/>
          <w:szCs w:val="20"/>
          <w:lang w:val="pt-BR"/>
        </w:rPr>
        <w:t xml:space="preserve">do </w:t>
      </w:r>
      <w:r w:rsidR="002C330E" w:rsidRPr="00D5464D">
        <w:rPr>
          <w:rFonts w:cs="Arial"/>
          <w:iCs/>
          <w:szCs w:val="20"/>
          <w:lang w:val="pt-BR"/>
        </w:rPr>
        <w:t>mesm</w:t>
      </w:r>
      <w:r w:rsidR="00D81AA1" w:rsidRPr="00D5464D">
        <w:rPr>
          <w:rFonts w:cs="Arial"/>
          <w:iCs/>
          <w:szCs w:val="20"/>
          <w:lang w:val="pt-BR"/>
        </w:rPr>
        <w:t>o instrumento.</w:t>
      </w:r>
    </w:p>
    <w:p w14:paraId="3425137D" w14:textId="77777777" w:rsidR="00D81AA1" w:rsidRPr="00D5464D" w:rsidRDefault="00D81AA1" w:rsidP="00D81AA1">
      <w:pPr>
        <w:pStyle w:val="Prrafodelista"/>
        <w:tabs>
          <w:tab w:val="right" w:pos="0"/>
        </w:tabs>
        <w:ind w:left="0"/>
        <w:contextualSpacing w:val="0"/>
        <w:rPr>
          <w:rFonts w:cs="Arial"/>
          <w:i/>
          <w:iCs/>
          <w:szCs w:val="20"/>
          <w:lang w:val="pt-BR"/>
        </w:rPr>
      </w:pPr>
      <w:r w:rsidRPr="00D5464D">
        <w:rPr>
          <w:rFonts w:cs="Arial"/>
          <w:iCs/>
          <w:szCs w:val="20"/>
          <w:lang w:val="pt-BR"/>
        </w:rPr>
        <w:t xml:space="preserve"> </w:t>
      </w:r>
    </w:p>
    <w:p w14:paraId="0D696327" w14:textId="547530C4" w:rsidR="00D81AA1" w:rsidRPr="00D5464D" w:rsidRDefault="00737270" w:rsidP="00D81AA1">
      <w:pPr>
        <w:pStyle w:val="Prrafodelista"/>
        <w:numPr>
          <w:ilvl w:val="0"/>
          <w:numId w:val="1"/>
        </w:numPr>
        <w:tabs>
          <w:tab w:val="right" w:pos="0"/>
        </w:tabs>
        <w:contextualSpacing w:val="0"/>
        <w:rPr>
          <w:rFonts w:cs="Arial"/>
          <w:iCs/>
          <w:szCs w:val="20"/>
          <w:lang w:val="pt-BR"/>
        </w:rPr>
      </w:pPr>
      <w:r w:rsidRPr="00D5464D">
        <w:rPr>
          <w:rFonts w:cs="Arial"/>
          <w:iCs/>
          <w:szCs w:val="20"/>
          <w:lang w:val="pt-BR"/>
        </w:rPr>
        <w:t xml:space="preserve">Os </w:t>
      </w:r>
      <w:r w:rsidR="00EB1CE9" w:rsidRPr="00D5464D">
        <w:rPr>
          <w:rFonts w:cs="Arial"/>
          <w:iCs/>
          <w:szCs w:val="20"/>
          <w:lang w:val="pt-BR"/>
        </w:rPr>
        <w:t>representante</w:t>
      </w:r>
      <w:r w:rsidRPr="00D5464D">
        <w:rPr>
          <w:rFonts w:cs="Arial"/>
          <w:iCs/>
          <w:szCs w:val="20"/>
          <w:lang w:val="pt-BR"/>
        </w:rPr>
        <w:t xml:space="preserve">s </w:t>
      </w:r>
      <w:r w:rsidR="00A1358C" w:rsidRPr="00D5464D">
        <w:rPr>
          <w:rFonts w:cs="Arial"/>
          <w:iCs/>
          <w:szCs w:val="20"/>
          <w:lang w:val="pt-BR"/>
        </w:rPr>
        <w:t>argumentaram</w:t>
      </w:r>
      <w:r w:rsidR="00D81AA1" w:rsidRPr="00D5464D">
        <w:rPr>
          <w:rFonts w:cs="Arial"/>
          <w:iCs/>
          <w:szCs w:val="20"/>
          <w:lang w:val="pt-BR"/>
        </w:rPr>
        <w:t xml:space="preserve"> que</w:t>
      </w:r>
      <w:r w:rsidR="00663458" w:rsidRPr="00D5464D">
        <w:rPr>
          <w:rFonts w:cs="Arial"/>
          <w:iCs/>
          <w:szCs w:val="20"/>
          <w:lang w:val="pt-BR"/>
        </w:rPr>
        <w:t>,</w:t>
      </w:r>
      <w:r w:rsidR="00470ADC" w:rsidRPr="00D5464D">
        <w:rPr>
          <w:rFonts w:cs="Arial"/>
          <w:iCs/>
          <w:szCs w:val="20"/>
          <w:lang w:val="pt-BR"/>
        </w:rPr>
        <w:t xml:space="preserve"> em </w:t>
      </w:r>
      <w:r w:rsidR="00E045D9" w:rsidRPr="00D5464D">
        <w:rPr>
          <w:rFonts w:cs="Arial"/>
          <w:iCs/>
          <w:szCs w:val="20"/>
          <w:lang w:val="pt-BR"/>
        </w:rPr>
        <w:t xml:space="preserve">virtude </w:t>
      </w:r>
      <w:r w:rsidR="00470ADC" w:rsidRPr="00D5464D">
        <w:rPr>
          <w:rFonts w:cs="Arial"/>
          <w:iCs/>
          <w:szCs w:val="20"/>
          <w:lang w:val="pt-BR"/>
        </w:rPr>
        <w:t xml:space="preserve">da denúncia </w:t>
      </w:r>
      <w:r w:rsidR="00D81AA1" w:rsidRPr="00D5464D">
        <w:rPr>
          <w:rFonts w:cs="Arial"/>
          <w:iCs/>
          <w:szCs w:val="20"/>
          <w:lang w:val="pt-BR"/>
        </w:rPr>
        <w:t>realizada</w:t>
      </w:r>
      <w:r w:rsidR="002C330E" w:rsidRPr="00D5464D">
        <w:rPr>
          <w:rFonts w:cs="Arial"/>
          <w:iCs/>
          <w:szCs w:val="20"/>
          <w:lang w:val="pt-BR"/>
        </w:rPr>
        <w:t xml:space="preserve"> pelos </w:t>
      </w:r>
      <w:r w:rsidR="00D81AA1" w:rsidRPr="00D5464D">
        <w:rPr>
          <w:rFonts w:cs="Arial"/>
          <w:iCs/>
          <w:szCs w:val="20"/>
          <w:lang w:val="pt-BR"/>
        </w:rPr>
        <w:t>familiares de Luis Ferreira da Cruz e Iron Canuto da Silva</w:t>
      </w:r>
      <w:r w:rsidR="00663458" w:rsidRPr="00D5464D">
        <w:rPr>
          <w:rFonts w:cs="Arial"/>
          <w:iCs/>
          <w:szCs w:val="20"/>
          <w:lang w:val="pt-BR"/>
        </w:rPr>
        <w:t>,</w:t>
      </w:r>
      <w:r w:rsidR="00470ADC" w:rsidRPr="00D5464D">
        <w:rPr>
          <w:rFonts w:cs="Arial"/>
          <w:iCs/>
          <w:szCs w:val="20"/>
          <w:lang w:val="pt-BR"/>
        </w:rPr>
        <w:t xml:space="preserve"> o </w:t>
      </w:r>
      <w:r w:rsidR="00D81AA1" w:rsidRPr="00D5464D">
        <w:rPr>
          <w:rFonts w:cs="Arial"/>
          <w:iCs/>
          <w:szCs w:val="20"/>
          <w:lang w:val="pt-BR"/>
        </w:rPr>
        <w:t xml:space="preserve">Estado </w:t>
      </w:r>
      <w:r w:rsidR="00E045D9" w:rsidRPr="00D5464D">
        <w:rPr>
          <w:rFonts w:cs="Arial"/>
          <w:iCs/>
          <w:szCs w:val="20"/>
          <w:lang w:val="pt-BR"/>
        </w:rPr>
        <w:t>tinha</w:t>
      </w:r>
      <w:r w:rsidR="00D81AA1" w:rsidRPr="00D5464D">
        <w:rPr>
          <w:rFonts w:cs="Arial"/>
          <w:iCs/>
          <w:szCs w:val="20"/>
          <w:lang w:val="pt-BR"/>
        </w:rPr>
        <w:t xml:space="preserve"> </w:t>
      </w:r>
      <w:r w:rsidR="00470ADC" w:rsidRPr="00D5464D">
        <w:rPr>
          <w:rFonts w:cs="Arial"/>
          <w:iCs/>
          <w:szCs w:val="20"/>
          <w:lang w:val="pt-BR"/>
        </w:rPr>
        <w:t>conhecimento</w:t>
      </w:r>
      <w:r w:rsidR="00D81AA1" w:rsidRPr="00D5464D">
        <w:rPr>
          <w:rFonts w:cs="Arial"/>
          <w:iCs/>
          <w:szCs w:val="20"/>
          <w:lang w:val="pt-BR"/>
        </w:rPr>
        <w:t xml:space="preserve"> </w:t>
      </w:r>
      <w:r w:rsidR="00470ADC" w:rsidRPr="00D5464D">
        <w:rPr>
          <w:rFonts w:cs="Arial"/>
          <w:iCs/>
          <w:szCs w:val="20"/>
          <w:lang w:val="pt-BR"/>
        </w:rPr>
        <w:t>diret</w:t>
      </w:r>
      <w:r w:rsidR="00D81AA1" w:rsidRPr="00D5464D">
        <w:rPr>
          <w:rFonts w:cs="Arial"/>
          <w:iCs/>
          <w:szCs w:val="20"/>
          <w:lang w:val="pt-BR"/>
        </w:rPr>
        <w:t>o</w:t>
      </w:r>
      <w:r w:rsidR="00E045D9" w:rsidRPr="00D5464D">
        <w:rPr>
          <w:rFonts w:cs="Arial"/>
          <w:iCs/>
          <w:szCs w:val="20"/>
          <w:lang w:val="pt-BR"/>
        </w:rPr>
        <w:t xml:space="preserve"> e </w:t>
      </w:r>
      <w:r w:rsidR="00D81AA1" w:rsidRPr="00D5464D">
        <w:rPr>
          <w:rFonts w:cs="Arial"/>
          <w:iCs/>
          <w:szCs w:val="20"/>
          <w:lang w:val="pt-BR"/>
        </w:rPr>
        <w:t>oportuno</w:t>
      </w:r>
      <w:r w:rsidR="00663458" w:rsidRPr="00D5464D">
        <w:rPr>
          <w:rFonts w:cs="Arial"/>
          <w:iCs/>
          <w:szCs w:val="20"/>
          <w:lang w:val="pt-BR"/>
        </w:rPr>
        <w:t xml:space="preserve"> sobre </w:t>
      </w:r>
      <w:r w:rsidR="00350187" w:rsidRPr="00D5464D">
        <w:rPr>
          <w:rFonts w:cs="Arial"/>
          <w:iCs/>
          <w:szCs w:val="20"/>
          <w:lang w:val="pt-BR"/>
        </w:rPr>
        <w:t>os desaparecimentos</w:t>
      </w:r>
      <w:r w:rsidRPr="00D5464D">
        <w:rPr>
          <w:rFonts w:cs="Arial"/>
          <w:iCs/>
          <w:szCs w:val="20"/>
          <w:lang w:val="pt-BR"/>
        </w:rPr>
        <w:t>. No entanto</w:t>
      </w:r>
      <w:r w:rsidR="00D81AA1" w:rsidRPr="00D5464D">
        <w:rPr>
          <w:rFonts w:cs="Arial"/>
          <w:iCs/>
          <w:szCs w:val="20"/>
          <w:lang w:val="pt-BR"/>
        </w:rPr>
        <w:t>, ignorando</w:t>
      </w:r>
      <w:r w:rsidR="002C330E" w:rsidRPr="00D5464D">
        <w:rPr>
          <w:rFonts w:cs="Arial"/>
          <w:iCs/>
          <w:szCs w:val="20"/>
          <w:lang w:val="pt-BR"/>
        </w:rPr>
        <w:t xml:space="preserve"> as </w:t>
      </w:r>
      <w:r w:rsidR="00D81AA1" w:rsidRPr="00D5464D">
        <w:rPr>
          <w:rFonts w:cs="Arial"/>
          <w:iCs/>
          <w:szCs w:val="20"/>
          <w:lang w:val="pt-BR"/>
        </w:rPr>
        <w:t xml:space="preserve">medidas </w:t>
      </w:r>
      <w:r w:rsidR="00470ADC" w:rsidRPr="00D5464D">
        <w:rPr>
          <w:rFonts w:cs="Arial"/>
          <w:iCs/>
          <w:szCs w:val="20"/>
          <w:lang w:val="pt-BR"/>
        </w:rPr>
        <w:t>especiais</w:t>
      </w:r>
      <w:r w:rsidR="00D81AA1" w:rsidRPr="00D5464D">
        <w:rPr>
          <w:rFonts w:cs="Arial"/>
          <w:iCs/>
          <w:szCs w:val="20"/>
          <w:lang w:val="pt-BR"/>
        </w:rPr>
        <w:t xml:space="preserve"> de </w:t>
      </w:r>
      <w:r w:rsidR="002C330E" w:rsidRPr="00D5464D">
        <w:rPr>
          <w:rFonts w:cs="Arial"/>
          <w:iCs/>
          <w:szCs w:val="20"/>
          <w:lang w:val="pt-BR"/>
        </w:rPr>
        <w:t>proteção</w:t>
      </w:r>
      <w:r w:rsidR="00D81AA1" w:rsidRPr="00D5464D">
        <w:rPr>
          <w:rFonts w:cs="Arial"/>
          <w:iCs/>
          <w:szCs w:val="20"/>
          <w:lang w:val="pt-BR"/>
        </w:rPr>
        <w:t xml:space="preserve"> que </w:t>
      </w:r>
      <w:r w:rsidR="00470ADC" w:rsidRPr="00D5464D">
        <w:rPr>
          <w:rFonts w:cs="Arial"/>
          <w:iCs/>
          <w:szCs w:val="20"/>
          <w:lang w:val="pt-BR"/>
        </w:rPr>
        <w:t>devem</w:t>
      </w:r>
      <w:r w:rsidR="00D81AA1" w:rsidRPr="00D5464D">
        <w:rPr>
          <w:rFonts w:cs="Arial"/>
          <w:iCs/>
          <w:szCs w:val="20"/>
          <w:lang w:val="pt-BR"/>
        </w:rPr>
        <w:t xml:space="preserve"> ser observadas </w:t>
      </w:r>
      <w:r w:rsidR="00663458" w:rsidRPr="00D5464D">
        <w:rPr>
          <w:rFonts w:cs="Arial"/>
          <w:iCs/>
          <w:szCs w:val="20"/>
          <w:lang w:val="pt-BR"/>
        </w:rPr>
        <w:t>em relação às</w:t>
      </w:r>
      <w:r w:rsidR="00D81AA1" w:rsidRPr="00D5464D">
        <w:rPr>
          <w:rFonts w:cs="Arial"/>
          <w:iCs/>
          <w:szCs w:val="20"/>
          <w:lang w:val="pt-BR"/>
        </w:rPr>
        <w:t xml:space="preserve"> </w:t>
      </w:r>
      <w:r w:rsidR="002C330E" w:rsidRPr="00D5464D">
        <w:rPr>
          <w:rFonts w:cs="Arial"/>
          <w:iCs/>
          <w:szCs w:val="20"/>
          <w:lang w:val="pt-BR"/>
        </w:rPr>
        <w:t>pessoa</w:t>
      </w:r>
      <w:r w:rsidR="00D81AA1" w:rsidRPr="00D5464D">
        <w:rPr>
          <w:rFonts w:cs="Arial"/>
          <w:iCs/>
          <w:szCs w:val="20"/>
          <w:lang w:val="pt-BR"/>
        </w:rPr>
        <w:t>s menores de</w:t>
      </w:r>
      <w:r w:rsidR="00470ADC" w:rsidRPr="00D5464D">
        <w:rPr>
          <w:rFonts w:cs="Arial"/>
          <w:iCs/>
          <w:szCs w:val="20"/>
          <w:lang w:val="pt-BR"/>
        </w:rPr>
        <w:t xml:space="preserve"> idade</w:t>
      </w:r>
      <w:r w:rsidR="00D81AA1" w:rsidRPr="00D5464D">
        <w:rPr>
          <w:rFonts w:cs="Arial"/>
          <w:iCs/>
          <w:szCs w:val="20"/>
          <w:lang w:val="pt-BR"/>
        </w:rPr>
        <w:t>,</w:t>
      </w:r>
      <w:r w:rsidR="002C330E" w:rsidRPr="00D5464D">
        <w:rPr>
          <w:rFonts w:cs="Arial"/>
          <w:iCs/>
          <w:szCs w:val="20"/>
          <w:lang w:val="pt-BR"/>
        </w:rPr>
        <w:t xml:space="preserve"> as </w:t>
      </w:r>
      <w:r w:rsidR="00D81AA1" w:rsidRPr="00D5464D">
        <w:rPr>
          <w:rFonts w:cs="Arial"/>
          <w:iCs/>
          <w:szCs w:val="20"/>
          <w:lang w:val="pt-BR"/>
        </w:rPr>
        <w:t>autoridades esta</w:t>
      </w:r>
      <w:r w:rsidR="00E045D9" w:rsidRPr="00D5464D">
        <w:rPr>
          <w:rFonts w:cs="Arial"/>
          <w:iCs/>
          <w:szCs w:val="20"/>
          <w:lang w:val="pt-BR"/>
        </w:rPr>
        <w:t>tais</w:t>
      </w:r>
      <w:r w:rsidR="00D81AA1" w:rsidRPr="00D5464D">
        <w:rPr>
          <w:rFonts w:cs="Arial"/>
          <w:iCs/>
          <w:szCs w:val="20"/>
          <w:lang w:val="pt-BR"/>
        </w:rPr>
        <w:t xml:space="preserve"> </w:t>
      </w:r>
      <w:r w:rsidR="00663458" w:rsidRPr="00D5464D">
        <w:rPr>
          <w:rFonts w:cs="Arial"/>
          <w:iCs/>
          <w:szCs w:val="20"/>
          <w:lang w:val="pt-BR"/>
        </w:rPr>
        <w:t xml:space="preserve">não atuaram </w:t>
      </w:r>
      <w:r w:rsidR="002C330E" w:rsidRPr="00D5464D">
        <w:rPr>
          <w:rFonts w:cs="Arial"/>
          <w:iCs/>
          <w:szCs w:val="20"/>
          <w:lang w:val="pt-BR"/>
        </w:rPr>
        <w:t>imediat</w:t>
      </w:r>
      <w:r w:rsidR="00D81AA1" w:rsidRPr="00D5464D">
        <w:rPr>
          <w:rFonts w:cs="Arial"/>
          <w:iCs/>
          <w:szCs w:val="20"/>
          <w:lang w:val="pt-BR"/>
        </w:rPr>
        <w:t>amente,</w:t>
      </w:r>
      <w:r w:rsidR="002C330E" w:rsidRPr="00D5464D">
        <w:rPr>
          <w:rFonts w:cs="Arial"/>
          <w:iCs/>
          <w:szCs w:val="20"/>
          <w:lang w:val="pt-BR"/>
        </w:rPr>
        <w:t xml:space="preserve"> </w:t>
      </w:r>
      <w:r w:rsidR="00A1358C" w:rsidRPr="00D5464D">
        <w:rPr>
          <w:rFonts w:cs="Arial"/>
          <w:iCs/>
          <w:szCs w:val="20"/>
          <w:lang w:val="pt-BR"/>
        </w:rPr>
        <w:t>transcorreram</w:t>
      </w:r>
      <w:r w:rsidR="00470ADC" w:rsidRPr="00D5464D">
        <w:rPr>
          <w:rFonts w:cs="Arial"/>
          <w:iCs/>
          <w:szCs w:val="20"/>
          <w:lang w:val="pt-BR"/>
        </w:rPr>
        <w:t xml:space="preserve"> dois meses</w:t>
      </w:r>
      <w:r w:rsidR="00D81AA1" w:rsidRPr="00D5464D">
        <w:rPr>
          <w:rFonts w:cs="Arial"/>
          <w:iCs/>
          <w:szCs w:val="20"/>
          <w:lang w:val="pt-BR"/>
        </w:rPr>
        <w:t xml:space="preserve"> </w:t>
      </w:r>
      <w:r w:rsidR="00230C71" w:rsidRPr="00D5464D">
        <w:rPr>
          <w:rFonts w:cs="Arial"/>
          <w:iCs/>
          <w:szCs w:val="20"/>
          <w:lang w:val="pt-BR"/>
        </w:rPr>
        <w:t>desde a</w:t>
      </w:r>
      <w:r w:rsidR="00E045D9" w:rsidRPr="00D5464D">
        <w:rPr>
          <w:rFonts w:cs="Arial"/>
          <w:iCs/>
          <w:szCs w:val="20"/>
          <w:lang w:val="pt-BR"/>
        </w:rPr>
        <w:t xml:space="preserve"> </w:t>
      </w:r>
      <w:r w:rsidR="00470ADC" w:rsidRPr="00D5464D">
        <w:rPr>
          <w:rFonts w:cs="Arial"/>
          <w:iCs/>
          <w:szCs w:val="20"/>
          <w:lang w:val="pt-BR"/>
        </w:rPr>
        <w:t xml:space="preserve">denúncia </w:t>
      </w:r>
      <w:r w:rsidR="001865AB" w:rsidRPr="00D5464D">
        <w:rPr>
          <w:rFonts w:cs="Arial"/>
          <w:iCs/>
          <w:szCs w:val="20"/>
          <w:lang w:val="pt-BR"/>
        </w:rPr>
        <w:t xml:space="preserve">até </w:t>
      </w:r>
      <w:r w:rsidR="00D81AA1" w:rsidRPr="00D5464D">
        <w:rPr>
          <w:rFonts w:cs="Arial"/>
          <w:iCs/>
          <w:szCs w:val="20"/>
          <w:lang w:val="pt-BR"/>
        </w:rPr>
        <w:t>que</w:t>
      </w:r>
      <w:r w:rsidR="002C330E" w:rsidRPr="00D5464D">
        <w:rPr>
          <w:rFonts w:cs="Arial"/>
          <w:iCs/>
          <w:szCs w:val="20"/>
          <w:lang w:val="pt-BR"/>
        </w:rPr>
        <w:t xml:space="preserve"> a </w:t>
      </w:r>
      <w:r w:rsidR="00C91CB1" w:rsidRPr="00D5464D">
        <w:rPr>
          <w:rFonts w:cs="Arial"/>
          <w:iCs/>
          <w:szCs w:val="20"/>
          <w:lang w:val="pt-BR"/>
        </w:rPr>
        <w:t xml:space="preserve">Polícia </w:t>
      </w:r>
      <w:r w:rsidR="00D81AA1" w:rsidRPr="00D5464D">
        <w:rPr>
          <w:rFonts w:cs="Arial"/>
          <w:iCs/>
          <w:szCs w:val="20"/>
          <w:lang w:val="pt-BR"/>
        </w:rPr>
        <w:t xml:space="preserve">Federal se </w:t>
      </w:r>
      <w:r w:rsidRPr="00D5464D">
        <w:rPr>
          <w:rFonts w:cs="Arial"/>
          <w:iCs/>
          <w:szCs w:val="20"/>
          <w:lang w:val="pt-BR"/>
        </w:rPr>
        <w:t xml:space="preserve">apresentasse </w:t>
      </w:r>
      <w:r w:rsidR="00470ADC" w:rsidRPr="00D5464D">
        <w:rPr>
          <w:rFonts w:cs="Arial"/>
          <w:iCs/>
          <w:szCs w:val="20"/>
          <w:lang w:val="pt-BR"/>
        </w:rPr>
        <w:t xml:space="preserve">ao </w:t>
      </w:r>
      <w:r w:rsidR="00663458" w:rsidRPr="00D5464D">
        <w:rPr>
          <w:rFonts w:cs="Arial"/>
          <w:iCs/>
          <w:szCs w:val="20"/>
          <w:lang w:val="pt-BR"/>
        </w:rPr>
        <w:t xml:space="preserve">local </w:t>
      </w:r>
      <w:r w:rsidR="00470ADC" w:rsidRPr="00D5464D">
        <w:rPr>
          <w:rFonts w:cs="Arial"/>
          <w:iCs/>
          <w:szCs w:val="20"/>
          <w:lang w:val="pt-BR"/>
        </w:rPr>
        <w:t xml:space="preserve">dos </w:t>
      </w:r>
      <w:r w:rsidR="002C330E" w:rsidRPr="00D5464D">
        <w:rPr>
          <w:rFonts w:cs="Arial"/>
          <w:iCs/>
          <w:szCs w:val="20"/>
          <w:lang w:val="pt-BR"/>
        </w:rPr>
        <w:t>fatos</w:t>
      </w:r>
      <w:r w:rsidR="00E045D9" w:rsidRPr="00D5464D">
        <w:rPr>
          <w:rFonts w:cs="Arial"/>
          <w:iCs/>
          <w:szCs w:val="20"/>
          <w:lang w:val="pt-BR"/>
        </w:rPr>
        <w:t xml:space="preserve"> e </w:t>
      </w:r>
      <w:r w:rsidR="001865AB" w:rsidRPr="00D5464D">
        <w:rPr>
          <w:rFonts w:cs="Arial"/>
          <w:iCs/>
          <w:szCs w:val="20"/>
          <w:lang w:val="pt-BR"/>
        </w:rPr>
        <w:t xml:space="preserve">realizasse </w:t>
      </w:r>
      <w:r w:rsidR="00D81AA1" w:rsidRPr="00D5464D">
        <w:rPr>
          <w:rFonts w:cs="Arial"/>
          <w:iCs/>
          <w:szCs w:val="20"/>
          <w:lang w:val="pt-BR"/>
        </w:rPr>
        <w:t>entrevista</w:t>
      </w:r>
      <w:r w:rsidR="001865AB" w:rsidRPr="00D5464D">
        <w:rPr>
          <w:rFonts w:cs="Arial"/>
          <w:iCs/>
          <w:szCs w:val="20"/>
          <w:lang w:val="pt-BR"/>
        </w:rPr>
        <w:t>s</w:t>
      </w:r>
      <w:r w:rsidR="00D81AA1" w:rsidRPr="00D5464D">
        <w:rPr>
          <w:rFonts w:cs="Arial"/>
          <w:iCs/>
          <w:szCs w:val="20"/>
          <w:lang w:val="pt-BR"/>
        </w:rPr>
        <w:t xml:space="preserve"> </w:t>
      </w:r>
      <w:r w:rsidR="001865AB" w:rsidRPr="00D5464D">
        <w:rPr>
          <w:rFonts w:cs="Arial"/>
          <w:iCs/>
          <w:szCs w:val="20"/>
          <w:lang w:val="pt-BR"/>
        </w:rPr>
        <w:t xml:space="preserve">com </w:t>
      </w:r>
      <w:r w:rsidR="00470ADC" w:rsidRPr="00D5464D">
        <w:rPr>
          <w:rFonts w:cs="Arial"/>
          <w:iCs/>
          <w:szCs w:val="20"/>
          <w:lang w:val="pt-BR"/>
        </w:rPr>
        <w:t>algumas</w:t>
      </w:r>
      <w:r w:rsidR="00D81AA1" w:rsidRPr="00D5464D">
        <w:rPr>
          <w:rFonts w:cs="Arial"/>
          <w:iCs/>
          <w:szCs w:val="20"/>
          <w:lang w:val="pt-BR"/>
        </w:rPr>
        <w:t xml:space="preserve"> </w:t>
      </w:r>
      <w:r w:rsidR="002C330E" w:rsidRPr="00D5464D">
        <w:rPr>
          <w:rFonts w:cs="Arial"/>
          <w:iCs/>
          <w:szCs w:val="20"/>
          <w:lang w:val="pt-BR"/>
        </w:rPr>
        <w:t>pessoa</w:t>
      </w:r>
      <w:r w:rsidR="00D81AA1" w:rsidRPr="00D5464D">
        <w:rPr>
          <w:rFonts w:cs="Arial"/>
          <w:iCs/>
          <w:szCs w:val="20"/>
          <w:lang w:val="pt-BR"/>
        </w:rPr>
        <w:t>s</w:t>
      </w:r>
      <w:r w:rsidR="00470ADC" w:rsidRPr="00D5464D">
        <w:rPr>
          <w:rFonts w:cs="Arial"/>
          <w:iCs/>
          <w:szCs w:val="20"/>
          <w:lang w:val="pt-BR"/>
        </w:rPr>
        <w:t xml:space="preserve"> </w:t>
      </w:r>
      <w:r w:rsidR="00C91CB1" w:rsidRPr="00D5464D">
        <w:rPr>
          <w:rFonts w:cs="Arial"/>
          <w:iCs/>
          <w:szCs w:val="20"/>
          <w:lang w:val="pt-BR"/>
        </w:rPr>
        <w:t>a respeito</w:t>
      </w:r>
      <w:r w:rsidR="00D81AA1" w:rsidRPr="00D5464D">
        <w:rPr>
          <w:rFonts w:cs="Arial"/>
          <w:iCs/>
          <w:szCs w:val="20"/>
          <w:lang w:val="pt-BR"/>
        </w:rPr>
        <w:t>,</w:t>
      </w:r>
      <w:r w:rsidR="002C330E" w:rsidRPr="00D5464D">
        <w:rPr>
          <w:rFonts w:cs="Arial"/>
          <w:iCs/>
          <w:szCs w:val="20"/>
          <w:lang w:val="pt-BR"/>
        </w:rPr>
        <w:t xml:space="preserve"> as </w:t>
      </w:r>
      <w:r w:rsidR="00470ADC" w:rsidRPr="00D5464D">
        <w:rPr>
          <w:rFonts w:cs="Arial"/>
          <w:iCs/>
          <w:szCs w:val="20"/>
          <w:lang w:val="pt-BR"/>
        </w:rPr>
        <w:t>quais</w:t>
      </w:r>
      <w:r w:rsidR="00D81AA1" w:rsidRPr="00D5464D">
        <w:rPr>
          <w:rFonts w:cs="Arial"/>
          <w:iCs/>
          <w:szCs w:val="20"/>
          <w:lang w:val="pt-BR"/>
        </w:rPr>
        <w:t xml:space="preserve"> </w:t>
      </w:r>
      <w:r w:rsidR="002C330E" w:rsidRPr="00D5464D">
        <w:rPr>
          <w:rFonts w:cs="Arial"/>
          <w:iCs/>
          <w:szCs w:val="20"/>
          <w:lang w:val="pt-BR"/>
        </w:rPr>
        <w:t>manifestaram</w:t>
      </w:r>
      <w:r w:rsidR="00D81AA1" w:rsidRPr="00D5464D">
        <w:rPr>
          <w:rFonts w:cs="Arial"/>
          <w:iCs/>
          <w:szCs w:val="20"/>
          <w:lang w:val="pt-BR"/>
        </w:rPr>
        <w:t xml:space="preserve"> que </w:t>
      </w:r>
      <w:r w:rsidR="00200C04" w:rsidRPr="00D5464D">
        <w:rPr>
          <w:rFonts w:cs="Arial"/>
          <w:iCs/>
          <w:szCs w:val="20"/>
          <w:lang w:val="pt-BR"/>
        </w:rPr>
        <w:t>Luis Ferreira da Cruz</w:t>
      </w:r>
      <w:r w:rsidR="00D81AA1" w:rsidRPr="00D5464D">
        <w:rPr>
          <w:rFonts w:cs="Arial"/>
          <w:iCs/>
          <w:szCs w:val="20"/>
          <w:lang w:val="pt-BR"/>
        </w:rPr>
        <w:t xml:space="preserve"> e </w:t>
      </w:r>
      <w:r w:rsidR="008B075C" w:rsidRPr="00D5464D">
        <w:rPr>
          <w:rFonts w:cs="Arial"/>
          <w:iCs/>
          <w:szCs w:val="20"/>
          <w:lang w:val="pt-BR"/>
        </w:rPr>
        <w:t>Iron Canuto da Silva</w:t>
      </w:r>
      <w:r w:rsidRPr="00D5464D">
        <w:rPr>
          <w:rFonts w:cs="Arial"/>
          <w:iCs/>
          <w:szCs w:val="20"/>
          <w:lang w:val="pt-BR"/>
        </w:rPr>
        <w:t xml:space="preserve"> haviam </w:t>
      </w:r>
      <w:r w:rsidR="00663458" w:rsidRPr="00D5464D">
        <w:rPr>
          <w:rFonts w:cs="Arial"/>
          <w:iCs/>
          <w:szCs w:val="20"/>
          <w:lang w:val="pt-BR"/>
        </w:rPr>
        <w:t xml:space="preserve">fugido para </w:t>
      </w:r>
      <w:r w:rsidR="002C330E" w:rsidRPr="00D5464D">
        <w:rPr>
          <w:rFonts w:cs="Arial"/>
          <w:iCs/>
          <w:szCs w:val="20"/>
          <w:lang w:val="pt-BR"/>
        </w:rPr>
        <w:t xml:space="preserve">outra </w:t>
      </w:r>
      <w:r w:rsidR="00D809F0" w:rsidRPr="00D5464D">
        <w:rPr>
          <w:rFonts w:cs="Arial"/>
          <w:iCs/>
          <w:szCs w:val="20"/>
          <w:lang w:val="pt-BR"/>
        </w:rPr>
        <w:t>fazenda</w:t>
      </w:r>
      <w:r w:rsidR="00A1358C" w:rsidRPr="00D5464D">
        <w:rPr>
          <w:rFonts w:cs="Arial"/>
          <w:iCs/>
          <w:szCs w:val="20"/>
          <w:lang w:val="pt-BR"/>
        </w:rPr>
        <w:t xml:space="preserve">. A </w:t>
      </w:r>
      <w:r w:rsidR="00C91CB1" w:rsidRPr="00D5464D">
        <w:rPr>
          <w:rFonts w:cs="Arial"/>
          <w:iCs/>
          <w:szCs w:val="20"/>
          <w:lang w:val="pt-BR"/>
        </w:rPr>
        <w:t xml:space="preserve">Polícia </w:t>
      </w:r>
      <w:r w:rsidR="00D81AA1" w:rsidRPr="00D5464D">
        <w:rPr>
          <w:rFonts w:cs="Arial"/>
          <w:iCs/>
          <w:szCs w:val="20"/>
          <w:lang w:val="pt-BR"/>
        </w:rPr>
        <w:t>Federal</w:t>
      </w:r>
      <w:r w:rsidR="00350187" w:rsidRPr="00D5464D">
        <w:rPr>
          <w:rFonts w:cs="Arial"/>
          <w:iCs/>
          <w:szCs w:val="20"/>
          <w:lang w:val="pt-BR"/>
        </w:rPr>
        <w:t xml:space="preserve"> não consta</w:t>
      </w:r>
      <w:r w:rsidR="00E045D9" w:rsidRPr="00D5464D">
        <w:rPr>
          <w:rFonts w:cs="Arial"/>
          <w:iCs/>
          <w:szCs w:val="20"/>
          <w:lang w:val="pt-BR"/>
        </w:rPr>
        <w:t>tou</w:t>
      </w:r>
      <w:r w:rsidR="00470ADC" w:rsidRPr="00D5464D">
        <w:rPr>
          <w:rFonts w:cs="Arial"/>
          <w:iCs/>
          <w:szCs w:val="20"/>
          <w:lang w:val="pt-BR"/>
        </w:rPr>
        <w:t xml:space="preserve"> esse dado</w:t>
      </w:r>
      <w:r w:rsidR="002C330E" w:rsidRPr="00D5464D">
        <w:rPr>
          <w:rFonts w:cs="Arial"/>
          <w:iCs/>
          <w:szCs w:val="20"/>
          <w:lang w:val="pt-BR"/>
        </w:rPr>
        <w:t xml:space="preserve"> nem</w:t>
      </w:r>
      <w:r w:rsidR="00FF1290" w:rsidRPr="00D5464D">
        <w:rPr>
          <w:rFonts w:cs="Arial"/>
          <w:iCs/>
          <w:szCs w:val="20"/>
          <w:lang w:val="pt-BR"/>
        </w:rPr>
        <w:t xml:space="preserve"> </w:t>
      </w:r>
      <w:r w:rsidR="001865AB" w:rsidRPr="00D5464D">
        <w:rPr>
          <w:rFonts w:cs="Arial"/>
          <w:iCs/>
          <w:szCs w:val="20"/>
          <w:lang w:val="pt-BR"/>
        </w:rPr>
        <w:t>abriu</w:t>
      </w:r>
      <w:r w:rsidR="00D81AA1" w:rsidRPr="00D5464D">
        <w:rPr>
          <w:rFonts w:cs="Arial"/>
          <w:iCs/>
          <w:szCs w:val="20"/>
          <w:lang w:val="pt-BR"/>
        </w:rPr>
        <w:t xml:space="preserve"> </w:t>
      </w:r>
      <w:r w:rsidR="00663458" w:rsidRPr="00D5464D">
        <w:rPr>
          <w:rFonts w:cs="Arial"/>
          <w:iCs/>
          <w:szCs w:val="20"/>
          <w:lang w:val="pt-BR"/>
        </w:rPr>
        <w:t xml:space="preserve">uma </w:t>
      </w:r>
      <w:r w:rsidR="00D81AA1" w:rsidRPr="00D5464D">
        <w:rPr>
          <w:rFonts w:cs="Arial"/>
          <w:iCs/>
          <w:szCs w:val="20"/>
          <w:lang w:val="pt-BR"/>
        </w:rPr>
        <w:t>investiga</w:t>
      </w:r>
      <w:r w:rsidR="00470ADC" w:rsidRPr="00D5464D">
        <w:rPr>
          <w:rFonts w:cs="Arial"/>
          <w:iCs/>
          <w:szCs w:val="20"/>
          <w:lang w:val="pt-BR"/>
        </w:rPr>
        <w:t>ção</w:t>
      </w:r>
      <w:r w:rsidR="00D81AA1" w:rsidRPr="00D5464D">
        <w:rPr>
          <w:rFonts w:cs="Arial"/>
          <w:iCs/>
          <w:szCs w:val="20"/>
          <w:lang w:val="pt-BR"/>
        </w:rPr>
        <w:t xml:space="preserve">. </w:t>
      </w:r>
      <w:r w:rsidR="00A1358C" w:rsidRPr="00D5464D">
        <w:rPr>
          <w:rFonts w:cs="Arial"/>
          <w:iCs/>
          <w:szCs w:val="20"/>
          <w:lang w:val="pt-BR"/>
        </w:rPr>
        <w:t>Por outr</w:t>
      </w:r>
      <w:r w:rsidR="00663458" w:rsidRPr="00D5464D">
        <w:rPr>
          <w:rFonts w:cs="Arial"/>
          <w:iCs/>
          <w:szCs w:val="20"/>
          <w:lang w:val="pt-BR"/>
        </w:rPr>
        <w:t>a parte</w:t>
      </w:r>
      <w:r w:rsidR="00A1358C" w:rsidRPr="00D5464D">
        <w:rPr>
          <w:rFonts w:cs="Arial"/>
          <w:iCs/>
          <w:szCs w:val="20"/>
          <w:lang w:val="pt-BR"/>
        </w:rPr>
        <w:t>,</w:t>
      </w:r>
      <w:r w:rsidR="002C330E" w:rsidRPr="00D5464D">
        <w:rPr>
          <w:rFonts w:cs="Arial"/>
          <w:iCs/>
          <w:szCs w:val="20"/>
          <w:lang w:val="pt-BR"/>
        </w:rPr>
        <w:t xml:space="preserve"> os </w:t>
      </w:r>
      <w:r w:rsidR="00EB1CE9" w:rsidRPr="00D5464D">
        <w:rPr>
          <w:rFonts w:cs="Arial"/>
          <w:iCs/>
          <w:szCs w:val="20"/>
          <w:lang w:val="pt-BR"/>
        </w:rPr>
        <w:t>representante</w:t>
      </w:r>
      <w:r w:rsidR="00D81AA1" w:rsidRPr="00D5464D">
        <w:rPr>
          <w:rFonts w:cs="Arial"/>
          <w:iCs/>
          <w:szCs w:val="20"/>
          <w:lang w:val="pt-BR"/>
        </w:rPr>
        <w:t>s especi</w:t>
      </w:r>
      <w:r w:rsidR="00470ADC" w:rsidRPr="00D5464D">
        <w:rPr>
          <w:rFonts w:cs="Arial"/>
          <w:iCs/>
          <w:szCs w:val="20"/>
          <w:lang w:val="pt-BR"/>
        </w:rPr>
        <w:t>ficaram</w:t>
      </w:r>
      <w:r w:rsidR="00D81AA1" w:rsidRPr="00D5464D">
        <w:rPr>
          <w:rFonts w:cs="Arial"/>
          <w:iCs/>
          <w:szCs w:val="20"/>
          <w:lang w:val="pt-BR"/>
        </w:rPr>
        <w:t xml:space="preserve"> que</w:t>
      </w:r>
      <w:r w:rsidR="001865AB" w:rsidRPr="00D5464D">
        <w:rPr>
          <w:rFonts w:cs="Arial"/>
          <w:iCs/>
          <w:szCs w:val="20"/>
          <w:lang w:val="pt-BR"/>
        </w:rPr>
        <w:t>,</w:t>
      </w:r>
      <w:r w:rsidR="002C330E" w:rsidRPr="00D5464D">
        <w:rPr>
          <w:rFonts w:cs="Arial"/>
          <w:iCs/>
          <w:szCs w:val="20"/>
          <w:lang w:val="pt-BR"/>
        </w:rPr>
        <w:t xml:space="preserve"> </w:t>
      </w:r>
      <w:r w:rsidR="00663458" w:rsidRPr="00D5464D">
        <w:rPr>
          <w:rFonts w:cs="Arial"/>
          <w:iCs/>
          <w:szCs w:val="20"/>
          <w:lang w:val="pt-BR"/>
        </w:rPr>
        <w:t xml:space="preserve">apesar de </w:t>
      </w:r>
      <w:r w:rsidR="00470ADC" w:rsidRPr="00D5464D">
        <w:rPr>
          <w:rFonts w:cs="Arial"/>
          <w:iCs/>
          <w:szCs w:val="20"/>
          <w:lang w:val="pt-BR"/>
        </w:rPr>
        <w:t xml:space="preserve">o </w:t>
      </w:r>
      <w:r w:rsidR="00D81AA1" w:rsidRPr="00D5464D">
        <w:rPr>
          <w:rFonts w:cs="Arial"/>
          <w:iCs/>
          <w:szCs w:val="20"/>
          <w:lang w:val="pt-BR"/>
        </w:rPr>
        <w:t xml:space="preserve">Estado </w:t>
      </w:r>
      <w:r w:rsidR="00663458" w:rsidRPr="00D5464D">
        <w:rPr>
          <w:rFonts w:cs="Arial"/>
          <w:iCs/>
          <w:szCs w:val="20"/>
          <w:lang w:val="pt-BR"/>
        </w:rPr>
        <w:t xml:space="preserve">ter recebido </w:t>
      </w:r>
      <w:r w:rsidR="00D81AA1" w:rsidRPr="00D5464D">
        <w:rPr>
          <w:rFonts w:cs="Arial"/>
          <w:iCs/>
          <w:szCs w:val="20"/>
          <w:lang w:val="pt-BR"/>
        </w:rPr>
        <w:t>informa</w:t>
      </w:r>
      <w:r w:rsidR="00470ADC" w:rsidRPr="00D5464D">
        <w:rPr>
          <w:rFonts w:cs="Arial"/>
          <w:iCs/>
          <w:szCs w:val="20"/>
          <w:lang w:val="pt-BR"/>
        </w:rPr>
        <w:t>ção</w:t>
      </w:r>
      <w:r w:rsidR="00D81AA1" w:rsidRPr="00D5464D">
        <w:rPr>
          <w:rFonts w:cs="Arial"/>
          <w:iCs/>
          <w:szCs w:val="20"/>
          <w:lang w:val="pt-BR"/>
        </w:rPr>
        <w:t xml:space="preserve"> sobre</w:t>
      </w:r>
      <w:r w:rsidR="00470ADC" w:rsidRPr="00D5464D">
        <w:rPr>
          <w:rFonts w:cs="Arial"/>
          <w:iCs/>
          <w:szCs w:val="20"/>
          <w:lang w:val="pt-BR"/>
        </w:rPr>
        <w:t xml:space="preserve"> o </w:t>
      </w:r>
      <w:r w:rsidR="002C330E" w:rsidRPr="00D5464D">
        <w:rPr>
          <w:rFonts w:cs="Arial"/>
          <w:iCs/>
          <w:szCs w:val="20"/>
          <w:lang w:val="pt-BR"/>
        </w:rPr>
        <w:t>paradeiro</w:t>
      </w:r>
      <w:r w:rsidR="00E045D9" w:rsidRPr="00D5464D">
        <w:rPr>
          <w:rFonts w:cs="Arial"/>
          <w:iCs/>
          <w:szCs w:val="20"/>
          <w:lang w:val="pt-BR"/>
        </w:rPr>
        <w:t xml:space="preserve"> e </w:t>
      </w:r>
      <w:r w:rsidR="00A1358C" w:rsidRPr="00D5464D">
        <w:rPr>
          <w:rFonts w:cs="Arial"/>
          <w:iCs/>
          <w:szCs w:val="20"/>
          <w:lang w:val="pt-BR"/>
        </w:rPr>
        <w:t>falecimento</w:t>
      </w:r>
      <w:r w:rsidR="00D81AA1" w:rsidRPr="00D5464D">
        <w:rPr>
          <w:rFonts w:cs="Arial"/>
          <w:iCs/>
          <w:szCs w:val="20"/>
          <w:lang w:val="pt-BR"/>
        </w:rPr>
        <w:t xml:space="preserve"> de </w:t>
      </w:r>
      <w:r w:rsidR="008B075C" w:rsidRPr="00D5464D">
        <w:rPr>
          <w:rFonts w:cs="Arial"/>
          <w:iCs/>
          <w:szCs w:val="20"/>
          <w:lang w:val="pt-BR"/>
        </w:rPr>
        <w:t>Iron Canuto da Silva</w:t>
      </w:r>
      <w:r w:rsidR="00663458" w:rsidRPr="00D5464D">
        <w:rPr>
          <w:rFonts w:cs="Arial"/>
          <w:iCs/>
          <w:szCs w:val="20"/>
          <w:lang w:val="pt-BR"/>
        </w:rPr>
        <w:t>,</w:t>
      </w:r>
      <w:r w:rsidR="00470ADC" w:rsidRPr="00D5464D">
        <w:rPr>
          <w:rFonts w:cs="Arial"/>
          <w:iCs/>
          <w:szCs w:val="20"/>
          <w:lang w:val="pt-BR"/>
        </w:rPr>
        <w:t xml:space="preserve"> em </w:t>
      </w:r>
      <w:r w:rsidR="00D81AA1" w:rsidRPr="00D5464D">
        <w:rPr>
          <w:rFonts w:cs="Arial"/>
          <w:iCs/>
          <w:szCs w:val="20"/>
          <w:lang w:val="pt-BR"/>
        </w:rPr>
        <w:t>2007,</w:t>
      </w:r>
      <w:r w:rsidR="00470ADC" w:rsidRPr="00D5464D">
        <w:rPr>
          <w:rFonts w:cs="Arial"/>
          <w:iCs/>
          <w:szCs w:val="20"/>
          <w:lang w:val="pt-BR"/>
        </w:rPr>
        <w:t xml:space="preserve"> esse </w:t>
      </w:r>
      <w:r w:rsidRPr="00D5464D">
        <w:rPr>
          <w:rFonts w:cs="Arial"/>
          <w:iCs/>
          <w:szCs w:val="20"/>
          <w:lang w:val="pt-BR"/>
        </w:rPr>
        <w:t>não foi</w:t>
      </w:r>
      <w:r w:rsidR="00470ADC" w:rsidRPr="00D5464D">
        <w:rPr>
          <w:rFonts w:cs="Arial"/>
          <w:iCs/>
          <w:szCs w:val="20"/>
          <w:lang w:val="pt-BR"/>
        </w:rPr>
        <w:t xml:space="preserve"> o </w:t>
      </w:r>
      <w:r w:rsidR="00D81AA1" w:rsidRPr="00D5464D">
        <w:rPr>
          <w:rFonts w:cs="Arial"/>
          <w:iCs/>
          <w:szCs w:val="20"/>
          <w:lang w:val="pt-BR"/>
        </w:rPr>
        <w:t xml:space="preserve">caso de </w:t>
      </w:r>
      <w:r w:rsidR="00200C04" w:rsidRPr="00D5464D">
        <w:rPr>
          <w:rFonts w:cs="Arial"/>
          <w:iCs/>
          <w:szCs w:val="20"/>
          <w:lang w:val="pt-BR"/>
        </w:rPr>
        <w:t>Luis Ferreira da Cruz</w:t>
      </w:r>
      <w:r w:rsidR="00D81AA1" w:rsidRPr="00D5464D">
        <w:rPr>
          <w:rFonts w:cs="Arial"/>
          <w:iCs/>
          <w:szCs w:val="20"/>
          <w:lang w:val="pt-BR"/>
        </w:rPr>
        <w:t xml:space="preserve">, </w:t>
      </w:r>
      <w:r w:rsidR="002C330E" w:rsidRPr="00D5464D">
        <w:rPr>
          <w:rFonts w:cs="Arial"/>
          <w:iCs/>
          <w:szCs w:val="20"/>
          <w:lang w:val="pt-BR"/>
        </w:rPr>
        <w:t xml:space="preserve">que </w:t>
      </w:r>
      <w:r w:rsidR="00D81AA1" w:rsidRPr="00D5464D">
        <w:rPr>
          <w:rFonts w:cs="Arial"/>
          <w:iCs/>
          <w:szCs w:val="20"/>
          <w:lang w:val="pt-BR"/>
        </w:rPr>
        <w:t>permanece desaparecido</w:t>
      </w:r>
      <w:r w:rsidR="00E045D9" w:rsidRPr="00D5464D">
        <w:rPr>
          <w:rFonts w:cs="Arial"/>
          <w:iCs/>
          <w:szCs w:val="20"/>
          <w:lang w:val="pt-BR"/>
        </w:rPr>
        <w:t xml:space="preserve"> na </w:t>
      </w:r>
      <w:r w:rsidR="00470ADC" w:rsidRPr="00D5464D">
        <w:rPr>
          <w:rFonts w:cs="Arial"/>
          <w:iCs/>
          <w:szCs w:val="20"/>
          <w:lang w:val="pt-BR"/>
        </w:rPr>
        <w:t>atu</w:t>
      </w:r>
      <w:r w:rsidR="00E765C2" w:rsidRPr="00D5464D">
        <w:rPr>
          <w:rFonts w:cs="Arial"/>
          <w:iCs/>
          <w:szCs w:val="20"/>
          <w:lang w:val="pt-BR"/>
        </w:rPr>
        <w:t>alidade.</w:t>
      </w:r>
      <w:r w:rsidRPr="00D5464D">
        <w:rPr>
          <w:rFonts w:cs="Arial"/>
          <w:iCs/>
          <w:szCs w:val="20"/>
          <w:lang w:val="pt-BR"/>
        </w:rPr>
        <w:t xml:space="preserve"> Desta </w:t>
      </w:r>
      <w:r w:rsidR="00D81AA1" w:rsidRPr="00D5464D">
        <w:rPr>
          <w:rFonts w:cs="Arial"/>
          <w:iCs/>
          <w:szCs w:val="20"/>
          <w:lang w:val="pt-BR"/>
        </w:rPr>
        <w:t>forma,</w:t>
      </w:r>
      <w:r w:rsidR="002C330E" w:rsidRPr="00D5464D">
        <w:rPr>
          <w:rFonts w:cs="Arial"/>
          <w:iCs/>
          <w:szCs w:val="20"/>
          <w:lang w:val="pt-BR"/>
        </w:rPr>
        <w:t xml:space="preserve"> os </w:t>
      </w:r>
      <w:r w:rsidR="00EB1CE9" w:rsidRPr="00D5464D">
        <w:rPr>
          <w:rFonts w:cs="Arial"/>
          <w:iCs/>
          <w:szCs w:val="20"/>
          <w:lang w:val="pt-BR"/>
        </w:rPr>
        <w:t>representante</w:t>
      </w:r>
      <w:r w:rsidR="00D81AA1" w:rsidRPr="00D5464D">
        <w:rPr>
          <w:rFonts w:cs="Arial"/>
          <w:iCs/>
          <w:szCs w:val="20"/>
          <w:lang w:val="pt-BR"/>
        </w:rPr>
        <w:t xml:space="preserve">s </w:t>
      </w:r>
      <w:r w:rsidR="00E045D9" w:rsidRPr="00D5464D">
        <w:rPr>
          <w:rFonts w:cs="Arial"/>
          <w:iCs/>
          <w:szCs w:val="20"/>
          <w:lang w:val="pt-BR"/>
        </w:rPr>
        <w:t>concluíram</w:t>
      </w:r>
      <w:r w:rsidR="00D81AA1" w:rsidRPr="00D5464D">
        <w:rPr>
          <w:rFonts w:cs="Arial"/>
          <w:iCs/>
          <w:szCs w:val="20"/>
          <w:lang w:val="pt-BR"/>
        </w:rPr>
        <w:t xml:space="preserve"> que</w:t>
      </w:r>
      <w:r w:rsidR="001865AB" w:rsidRPr="00D5464D">
        <w:rPr>
          <w:rFonts w:cs="Arial"/>
          <w:iCs/>
          <w:szCs w:val="20"/>
          <w:lang w:val="pt-BR"/>
        </w:rPr>
        <w:t>,</w:t>
      </w:r>
      <w:r w:rsidR="00D81AA1" w:rsidRPr="00D5464D">
        <w:rPr>
          <w:rFonts w:cs="Arial"/>
          <w:iCs/>
          <w:szCs w:val="20"/>
          <w:lang w:val="pt-BR"/>
        </w:rPr>
        <w:t xml:space="preserve"> 28 </w:t>
      </w:r>
      <w:r w:rsidR="00470ADC" w:rsidRPr="00D5464D">
        <w:rPr>
          <w:rFonts w:cs="Arial"/>
          <w:iCs/>
          <w:szCs w:val="20"/>
          <w:lang w:val="pt-BR"/>
        </w:rPr>
        <w:t>anos</w:t>
      </w:r>
      <w:r w:rsidR="00D81AA1" w:rsidRPr="00D5464D">
        <w:rPr>
          <w:rFonts w:cs="Arial"/>
          <w:iCs/>
          <w:szCs w:val="20"/>
          <w:lang w:val="pt-BR"/>
        </w:rPr>
        <w:t xml:space="preserve"> </w:t>
      </w:r>
      <w:r w:rsidR="00663458" w:rsidRPr="00D5464D">
        <w:rPr>
          <w:rFonts w:cs="Arial"/>
          <w:iCs/>
          <w:szCs w:val="20"/>
          <w:lang w:val="pt-BR"/>
        </w:rPr>
        <w:t>após a denún</w:t>
      </w:r>
      <w:r w:rsidR="00D81AA1" w:rsidRPr="00D5464D">
        <w:rPr>
          <w:rFonts w:cs="Arial"/>
          <w:iCs/>
          <w:szCs w:val="20"/>
          <w:lang w:val="pt-BR"/>
        </w:rPr>
        <w:t>cia</w:t>
      </w:r>
      <w:r w:rsidR="00663458" w:rsidRPr="00D5464D">
        <w:rPr>
          <w:rFonts w:cs="Arial"/>
          <w:iCs/>
          <w:szCs w:val="20"/>
          <w:lang w:val="pt-BR"/>
        </w:rPr>
        <w:t xml:space="preserve"> sobre </w:t>
      </w:r>
      <w:r w:rsidR="00E045D9" w:rsidRPr="00D5464D">
        <w:rPr>
          <w:rFonts w:cs="Arial"/>
          <w:iCs/>
          <w:szCs w:val="20"/>
          <w:lang w:val="pt-BR"/>
        </w:rPr>
        <w:t>o desaparecimento</w:t>
      </w:r>
      <w:r w:rsidR="00D81AA1" w:rsidRPr="00D5464D">
        <w:rPr>
          <w:rFonts w:cs="Arial"/>
          <w:iCs/>
          <w:szCs w:val="20"/>
          <w:lang w:val="pt-BR"/>
        </w:rPr>
        <w:t xml:space="preserve"> </w:t>
      </w:r>
      <w:r w:rsidR="00470ADC" w:rsidRPr="00D5464D">
        <w:rPr>
          <w:rFonts w:cs="Arial"/>
          <w:iCs/>
          <w:szCs w:val="20"/>
          <w:lang w:val="pt-BR"/>
        </w:rPr>
        <w:t xml:space="preserve">do </w:t>
      </w:r>
      <w:r w:rsidR="00D81AA1" w:rsidRPr="00D5464D">
        <w:rPr>
          <w:rFonts w:cs="Arial"/>
          <w:iCs/>
          <w:szCs w:val="20"/>
          <w:lang w:val="pt-BR"/>
        </w:rPr>
        <w:t xml:space="preserve">adolescente </w:t>
      </w:r>
      <w:r w:rsidR="00200C04" w:rsidRPr="00D5464D">
        <w:rPr>
          <w:rFonts w:cs="Arial"/>
          <w:iCs/>
          <w:szCs w:val="20"/>
          <w:lang w:val="pt-BR"/>
        </w:rPr>
        <w:t>Luis Ferreira da Cruz</w:t>
      </w:r>
      <w:r w:rsidR="00D81AA1" w:rsidRPr="00D5464D">
        <w:rPr>
          <w:rFonts w:cs="Arial"/>
          <w:iCs/>
          <w:szCs w:val="20"/>
          <w:lang w:val="pt-BR"/>
        </w:rPr>
        <w:t>,</w:t>
      </w:r>
      <w:r w:rsidR="00470ADC" w:rsidRPr="00D5464D">
        <w:rPr>
          <w:rFonts w:cs="Arial"/>
          <w:iCs/>
          <w:szCs w:val="20"/>
          <w:lang w:val="pt-BR"/>
        </w:rPr>
        <w:t xml:space="preserve"> o </w:t>
      </w:r>
      <w:r w:rsidR="00D81AA1" w:rsidRPr="00D5464D">
        <w:rPr>
          <w:rFonts w:cs="Arial"/>
          <w:iCs/>
          <w:szCs w:val="20"/>
          <w:lang w:val="pt-BR"/>
        </w:rPr>
        <w:t>Estado</w:t>
      </w:r>
      <w:r w:rsidR="00470ADC" w:rsidRPr="00D5464D">
        <w:rPr>
          <w:rFonts w:cs="Arial"/>
          <w:iCs/>
          <w:szCs w:val="20"/>
          <w:lang w:val="pt-BR"/>
        </w:rPr>
        <w:t xml:space="preserve"> é </w:t>
      </w:r>
      <w:r w:rsidR="00D81AA1" w:rsidRPr="00D5464D">
        <w:rPr>
          <w:rFonts w:cs="Arial"/>
          <w:iCs/>
          <w:szCs w:val="20"/>
          <w:lang w:val="pt-BR"/>
        </w:rPr>
        <w:t xml:space="preserve">internacionalmente </w:t>
      </w:r>
      <w:r w:rsidR="002C330E" w:rsidRPr="00D5464D">
        <w:rPr>
          <w:rFonts w:cs="Arial"/>
          <w:iCs/>
          <w:szCs w:val="20"/>
          <w:lang w:val="pt-BR"/>
        </w:rPr>
        <w:t xml:space="preserve">responsável </w:t>
      </w:r>
      <w:r w:rsidR="00D81AA1" w:rsidRPr="00D5464D">
        <w:rPr>
          <w:rFonts w:cs="Arial"/>
          <w:iCs/>
          <w:szCs w:val="20"/>
          <w:lang w:val="pt-BR"/>
        </w:rPr>
        <w:t xml:space="preserve">por violar </w:t>
      </w:r>
      <w:r w:rsidR="00E045D9" w:rsidRPr="00D5464D">
        <w:rPr>
          <w:rFonts w:cs="Arial"/>
          <w:iCs/>
          <w:szCs w:val="20"/>
          <w:lang w:val="pt-BR"/>
        </w:rPr>
        <w:t>seu dever</w:t>
      </w:r>
      <w:r w:rsidR="00D81AA1" w:rsidRPr="00D5464D">
        <w:rPr>
          <w:rFonts w:cs="Arial"/>
          <w:iCs/>
          <w:szCs w:val="20"/>
          <w:lang w:val="pt-BR"/>
        </w:rPr>
        <w:t xml:space="preserve"> de </w:t>
      </w:r>
      <w:r w:rsidR="002C330E" w:rsidRPr="00D5464D">
        <w:rPr>
          <w:rFonts w:cs="Arial"/>
          <w:iCs/>
          <w:szCs w:val="20"/>
          <w:lang w:val="pt-BR"/>
        </w:rPr>
        <w:t xml:space="preserve">garantia </w:t>
      </w:r>
      <w:r w:rsidR="00470ADC" w:rsidRPr="00D5464D">
        <w:rPr>
          <w:rFonts w:cs="Arial"/>
          <w:iCs/>
          <w:szCs w:val="20"/>
          <w:lang w:val="pt-BR"/>
        </w:rPr>
        <w:t xml:space="preserve">com </w:t>
      </w:r>
      <w:r w:rsidR="002C330E" w:rsidRPr="00D5464D">
        <w:rPr>
          <w:rFonts w:cs="Arial"/>
          <w:iCs/>
          <w:szCs w:val="20"/>
          <w:lang w:val="pt-BR"/>
        </w:rPr>
        <w:t>respeito</w:t>
      </w:r>
      <w:r w:rsidR="00D81AA1" w:rsidRPr="00D5464D">
        <w:rPr>
          <w:rFonts w:cs="Arial"/>
          <w:iCs/>
          <w:szCs w:val="20"/>
          <w:lang w:val="pt-BR"/>
        </w:rPr>
        <w:t xml:space="preserve"> </w:t>
      </w:r>
      <w:r w:rsidR="00663458" w:rsidRPr="00D5464D">
        <w:rPr>
          <w:rFonts w:cs="Arial"/>
          <w:iCs/>
          <w:szCs w:val="20"/>
          <w:lang w:val="pt-BR"/>
        </w:rPr>
        <w:t xml:space="preserve">aos </w:t>
      </w:r>
      <w:r w:rsidR="00E045D9" w:rsidRPr="00D5464D">
        <w:rPr>
          <w:rFonts w:cs="Arial"/>
          <w:iCs/>
          <w:szCs w:val="20"/>
          <w:lang w:val="pt-BR"/>
        </w:rPr>
        <w:t>direitos</w:t>
      </w:r>
      <w:r w:rsidR="00470ADC" w:rsidRPr="00D5464D">
        <w:rPr>
          <w:rFonts w:cs="Arial"/>
          <w:iCs/>
          <w:szCs w:val="20"/>
          <w:lang w:val="pt-BR"/>
        </w:rPr>
        <w:t xml:space="preserve"> à </w:t>
      </w:r>
      <w:r w:rsidR="002C330E" w:rsidRPr="00D5464D">
        <w:rPr>
          <w:rFonts w:cs="Arial"/>
          <w:iCs/>
          <w:szCs w:val="20"/>
          <w:lang w:val="pt-BR"/>
        </w:rPr>
        <w:t xml:space="preserve">personalidade </w:t>
      </w:r>
      <w:r w:rsidR="00D81AA1" w:rsidRPr="00D5464D">
        <w:rPr>
          <w:rFonts w:cs="Arial"/>
          <w:iCs/>
          <w:szCs w:val="20"/>
          <w:lang w:val="pt-BR"/>
        </w:rPr>
        <w:t xml:space="preserve">jurídica, </w:t>
      </w:r>
      <w:r w:rsidR="00663458" w:rsidRPr="00D5464D">
        <w:rPr>
          <w:rFonts w:cs="Arial"/>
          <w:iCs/>
          <w:szCs w:val="20"/>
          <w:lang w:val="pt-BR"/>
        </w:rPr>
        <w:t xml:space="preserve">à </w:t>
      </w:r>
      <w:r w:rsidR="00D81AA1" w:rsidRPr="00D5464D">
        <w:rPr>
          <w:rFonts w:cs="Arial"/>
          <w:iCs/>
          <w:szCs w:val="20"/>
          <w:lang w:val="pt-BR"/>
        </w:rPr>
        <w:t xml:space="preserve">vida, </w:t>
      </w:r>
      <w:r w:rsidR="00663458" w:rsidRPr="00D5464D">
        <w:rPr>
          <w:rFonts w:cs="Arial"/>
          <w:iCs/>
          <w:szCs w:val="20"/>
          <w:lang w:val="pt-BR"/>
        </w:rPr>
        <w:t xml:space="preserve">à </w:t>
      </w:r>
      <w:r w:rsidR="002C330E" w:rsidRPr="00D5464D">
        <w:rPr>
          <w:rFonts w:cs="Arial"/>
          <w:iCs/>
          <w:szCs w:val="20"/>
          <w:lang w:val="pt-BR"/>
        </w:rPr>
        <w:t>integridade</w:t>
      </w:r>
      <w:r w:rsidR="00E045D9" w:rsidRPr="00D5464D">
        <w:rPr>
          <w:rFonts w:cs="Arial"/>
          <w:iCs/>
          <w:szCs w:val="20"/>
          <w:lang w:val="pt-BR"/>
        </w:rPr>
        <w:t xml:space="preserve"> e </w:t>
      </w:r>
      <w:r w:rsidR="00663458" w:rsidRPr="00D5464D">
        <w:rPr>
          <w:rFonts w:cs="Arial"/>
          <w:iCs/>
          <w:szCs w:val="20"/>
          <w:lang w:val="pt-BR"/>
        </w:rPr>
        <w:t xml:space="preserve">à </w:t>
      </w:r>
      <w:r w:rsidR="002C330E" w:rsidRPr="00D5464D">
        <w:rPr>
          <w:rFonts w:cs="Arial"/>
          <w:iCs/>
          <w:szCs w:val="20"/>
          <w:lang w:val="pt-BR"/>
        </w:rPr>
        <w:t>liberdade pessoa</w:t>
      </w:r>
      <w:r w:rsidR="00D81AA1" w:rsidRPr="00D5464D">
        <w:rPr>
          <w:rFonts w:cs="Arial"/>
          <w:iCs/>
          <w:szCs w:val="20"/>
          <w:lang w:val="pt-BR"/>
        </w:rPr>
        <w:t>l</w:t>
      </w:r>
      <w:r w:rsidR="002C330E" w:rsidRPr="00D5464D">
        <w:rPr>
          <w:rFonts w:cs="Arial"/>
          <w:iCs/>
          <w:szCs w:val="20"/>
          <w:lang w:val="pt-BR"/>
        </w:rPr>
        <w:t xml:space="preserve"> pela </w:t>
      </w:r>
      <w:r w:rsidR="00D81AA1" w:rsidRPr="00D5464D">
        <w:rPr>
          <w:rFonts w:cs="Arial"/>
          <w:iCs/>
          <w:szCs w:val="20"/>
          <w:lang w:val="pt-BR"/>
        </w:rPr>
        <w:t>falta de investiga</w:t>
      </w:r>
      <w:r w:rsidR="00470ADC" w:rsidRPr="00D5464D">
        <w:rPr>
          <w:rFonts w:cs="Arial"/>
          <w:iCs/>
          <w:szCs w:val="20"/>
          <w:lang w:val="pt-BR"/>
        </w:rPr>
        <w:t xml:space="preserve">ção dos </w:t>
      </w:r>
      <w:r w:rsidR="002C330E" w:rsidRPr="00D5464D">
        <w:rPr>
          <w:rFonts w:cs="Arial"/>
          <w:iCs/>
          <w:szCs w:val="20"/>
          <w:lang w:val="pt-BR"/>
        </w:rPr>
        <w:t>fatos</w:t>
      </w:r>
      <w:r w:rsidR="00D81AA1" w:rsidRPr="00D5464D">
        <w:rPr>
          <w:rFonts w:cs="Arial"/>
          <w:iCs/>
          <w:szCs w:val="20"/>
          <w:lang w:val="pt-BR"/>
        </w:rPr>
        <w:t xml:space="preserve"> de </w:t>
      </w:r>
      <w:r w:rsidRPr="00D5464D">
        <w:rPr>
          <w:rFonts w:cs="Arial"/>
          <w:iCs/>
          <w:szCs w:val="20"/>
          <w:lang w:val="pt-BR"/>
        </w:rPr>
        <w:t>seu desaparecimento</w:t>
      </w:r>
      <w:r w:rsidR="00D81AA1" w:rsidRPr="00D5464D">
        <w:rPr>
          <w:rFonts w:cs="Arial"/>
          <w:iCs/>
          <w:szCs w:val="20"/>
          <w:lang w:val="pt-BR"/>
        </w:rPr>
        <w:t>. Adicionalmente,</w:t>
      </w:r>
      <w:r w:rsidR="002C330E" w:rsidRPr="00D5464D">
        <w:rPr>
          <w:rFonts w:cs="Arial"/>
          <w:iCs/>
          <w:szCs w:val="20"/>
          <w:lang w:val="pt-BR"/>
        </w:rPr>
        <w:t xml:space="preserve"> os </w:t>
      </w:r>
      <w:r w:rsidR="00EB1CE9" w:rsidRPr="00D5464D">
        <w:rPr>
          <w:rFonts w:cs="Arial"/>
          <w:iCs/>
          <w:szCs w:val="20"/>
          <w:lang w:val="pt-BR"/>
        </w:rPr>
        <w:t>representante</w:t>
      </w:r>
      <w:r w:rsidR="00D81AA1" w:rsidRPr="00D5464D">
        <w:rPr>
          <w:rFonts w:cs="Arial"/>
          <w:iCs/>
          <w:szCs w:val="20"/>
          <w:lang w:val="pt-BR"/>
        </w:rPr>
        <w:t xml:space="preserve">s </w:t>
      </w:r>
      <w:r w:rsidR="00A1358C" w:rsidRPr="00D5464D">
        <w:rPr>
          <w:rFonts w:cs="Arial"/>
          <w:iCs/>
          <w:szCs w:val="20"/>
          <w:lang w:val="pt-BR"/>
        </w:rPr>
        <w:t>argumentaram</w:t>
      </w:r>
      <w:r w:rsidR="00D81AA1" w:rsidRPr="00D5464D">
        <w:rPr>
          <w:rFonts w:cs="Arial"/>
          <w:iCs/>
          <w:szCs w:val="20"/>
          <w:lang w:val="pt-BR"/>
        </w:rPr>
        <w:t xml:space="preserve"> que</w:t>
      </w:r>
      <w:r w:rsidR="002C330E" w:rsidRPr="00D5464D">
        <w:rPr>
          <w:rFonts w:cs="Arial"/>
          <w:iCs/>
          <w:szCs w:val="20"/>
          <w:lang w:val="pt-BR"/>
        </w:rPr>
        <w:t xml:space="preserve"> a </w:t>
      </w:r>
      <w:r w:rsidR="00663458" w:rsidRPr="00D5464D">
        <w:rPr>
          <w:rFonts w:cs="Arial"/>
          <w:iCs/>
          <w:szCs w:val="20"/>
          <w:lang w:val="pt-BR"/>
        </w:rPr>
        <w:t>inatividade</w:t>
      </w:r>
      <w:r w:rsidR="00D81AA1" w:rsidRPr="00D5464D">
        <w:rPr>
          <w:rFonts w:cs="Arial"/>
          <w:iCs/>
          <w:szCs w:val="20"/>
          <w:lang w:val="pt-BR"/>
        </w:rPr>
        <w:t xml:space="preserve"> estatal</w:t>
      </w:r>
      <w:r w:rsidR="00E045D9" w:rsidRPr="00D5464D">
        <w:rPr>
          <w:rFonts w:cs="Arial"/>
          <w:iCs/>
          <w:szCs w:val="20"/>
          <w:lang w:val="pt-BR"/>
        </w:rPr>
        <w:t xml:space="preserve"> na </w:t>
      </w:r>
      <w:r w:rsidR="00470ADC" w:rsidRPr="00D5464D">
        <w:rPr>
          <w:rFonts w:cs="Arial"/>
          <w:iCs/>
          <w:szCs w:val="20"/>
          <w:lang w:val="pt-BR"/>
        </w:rPr>
        <w:t>busca</w:t>
      </w:r>
      <w:r w:rsidR="00D81AA1" w:rsidRPr="00D5464D">
        <w:rPr>
          <w:rFonts w:cs="Arial"/>
          <w:iCs/>
          <w:szCs w:val="20"/>
          <w:lang w:val="pt-BR"/>
        </w:rPr>
        <w:t xml:space="preserve"> s</w:t>
      </w:r>
      <w:r w:rsidR="00663458" w:rsidRPr="00D5464D">
        <w:rPr>
          <w:rFonts w:cs="Arial"/>
          <w:iCs/>
          <w:szCs w:val="20"/>
          <w:lang w:val="pt-BR"/>
        </w:rPr>
        <w:t>é</w:t>
      </w:r>
      <w:r w:rsidR="00D81AA1" w:rsidRPr="00D5464D">
        <w:rPr>
          <w:rFonts w:cs="Arial"/>
          <w:iCs/>
          <w:szCs w:val="20"/>
          <w:lang w:val="pt-BR"/>
        </w:rPr>
        <w:t>ria</w:t>
      </w:r>
      <w:r w:rsidR="00E045D9" w:rsidRPr="00D5464D">
        <w:rPr>
          <w:rFonts w:cs="Arial"/>
          <w:iCs/>
          <w:szCs w:val="20"/>
          <w:lang w:val="pt-BR"/>
        </w:rPr>
        <w:t xml:space="preserve"> e </w:t>
      </w:r>
      <w:r w:rsidR="00D81AA1" w:rsidRPr="00D5464D">
        <w:rPr>
          <w:rFonts w:cs="Arial"/>
          <w:iCs/>
          <w:szCs w:val="20"/>
          <w:lang w:val="pt-BR"/>
        </w:rPr>
        <w:t xml:space="preserve">diligente de </w:t>
      </w:r>
      <w:r w:rsidR="00200C04" w:rsidRPr="00D5464D">
        <w:rPr>
          <w:rFonts w:cs="Arial"/>
          <w:iCs/>
          <w:szCs w:val="20"/>
          <w:lang w:val="pt-BR"/>
        </w:rPr>
        <w:t>Luis Ferreira da Cruz</w:t>
      </w:r>
      <w:r w:rsidR="00D81AA1" w:rsidRPr="00D5464D">
        <w:rPr>
          <w:rFonts w:cs="Arial"/>
          <w:iCs/>
          <w:szCs w:val="20"/>
          <w:lang w:val="pt-BR"/>
        </w:rPr>
        <w:t>,</w:t>
      </w:r>
      <w:r w:rsidR="002C330E" w:rsidRPr="00D5464D">
        <w:rPr>
          <w:rFonts w:cs="Arial"/>
          <w:iCs/>
          <w:szCs w:val="20"/>
          <w:lang w:val="pt-BR"/>
        </w:rPr>
        <w:t xml:space="preserve"> a </w:t>
      </w:r>
      <w:r w:rsidR="00D81AA1" w:rsidRPr="00D5464D">
        <w:rPr>
          <w:rFonts w:cs="Arial"/>
          <w:iCs/>
          <w:szCs w:val="20"/>
          <w:lang w:val="pt-BR"/>
        </w:rPr>
        <w:t>re</w:t>
      </w:r>
      <w:r w:rsidR="007A789D" w:rsidRPr="00D5464D">
        <w:rPr>
          <w:rFonts w:cs="Arial"/>
          <w:iCs/>
          <w:szCs w:val="20"/>
          <w:lang w:val="pt-BR"/>
        </w:rPr>
        <w:t>vitimização</w:t>
      </w:r>
      <w:r w:rsidR="00D81AA1" w:rsidRPr="00D5464D">
        <w:rPr>
          <w:rFonts w:cs="Arial"/>
          <w:iCs/>
          <w:szCs w:val="20"/>
          <w:lang w:val="pt-BR"/>
        </w:rPr>
        <w:t xml:space="preserve"> por parte </w:t>
      </w:r>
      <w:r w:rsidR="00470ADC" w:rsidRPr="00D5464D">
        <w:rPr>
          <w:rFonts w:cs="Arial"/>
          <w:iCs/>
          <w:szCs w:val="20"/>
          <w:lang w:val="pt-BR"/>
        </w:rPr>
        <w:t xml:space="preserve">do </w:t>
      </w:r>
      <w:r w:rsidR="00D81AA1" w:rsidRPr="00D5464D">
        <w:rPr>
          <w:rFonts w:cs="Arial"/>
          <w:iCs/>
          <w:szCs w:val="20"/>
          <w:lang w:val="pt-BR"/>
        </w:rPr>
        <w:t>Estado</w:t>
      </w:r>
      <w:r w:rsidR="00E045D9" w:rsidRPr="00D5464D">
        <w:rPr>
          <w:rFonts w:cs="Arial"/>
          <w:iCs/>
          <w:szCs w:val="20"/>
          <w:lang w:val="pt-BR"/>
        </w:rPr>
        <w:t xml:space="preserve"> no </w:t>
      </w:r>
      <w:r w:rsidR="002C330E" w:rsidRPr="00D5464D">
        <w:rPr>
          <w:rFonts w:cs="Arial"/>
          <w:iCs/>
          <w:szCs w:val="20"/>
          <w:lang w:val="pt-BR"/>
        </w:rPr>
        <w:t>procedimento</w:t>
      </w:r>
      <w:r w:rsidR="00470ADC" w:rsidRPr="00D5464D">
        <w:rPr>
          <w:rFonts w:cs="Arial"/>
          <w:iCs/>
          <w:szCs w:val="20"/>
          <w:lang w:val="pt-BR"/>
        </w:rPr>
        <w:t xml:space="preserve"> perante a Comissão</w:t>
      </w:r>
      <w:r w:rsidR="00D81AA1" w:rsidRPr="00D5464D">
        <w:rPr>
          <w:rFonts w:cs="Arial"/>
          <w:iCs/>
          <w:szCs w:val="20"/>
          <w:lang w:val="pt-BR"/>
        </w:rPr>
        <w:t xml:space="preserve"> Interamericana,</w:t>
      </w:r>
      <w:r w:rsidR="00470ADC" w:rsidRPr="00D5464D">
        <w:rPr>
          <w:rFonts w:cs="Arial"/>
          <w:iCs/>
          <w:szCs w:val="20"/>
          <w:lang w:val="pt-BR"/>
        </w:rPr>
        <w:t xml:space="preserve"> o </w:t>
      </w:r>
      <w:r w:rsidR="00E045D9" w:rsidRPr="00D5464D">
        <w:rPr>
          <w:rFonts w:cs="Arial"/>
          <w:iCs/>
          <w:szCs w:val="20"/>
          <w:lang w:val="pt-BR"/>
        </w:rPr>
        <w:t xml:space="preserve">sofrimento e </w:t>
      </w:r>
      <w:r w:rsidR="00663458" w:rsidRPr="00D5464D">
        <w:rPr>
          <w:rFonts w:cs="Arial"/>
          <w:iCs/>
          <w:szCs w:val="20"/>
          <w:lang w:val="pt-BR"/>
        </w:rPr>
        <w:t xml:space="preserve">a </w:t>
      </w:r>
      <w:r w:rsidR="00470ADC" w:rsidRPr="00D5464D">
        <w:rPr>
          <w:rFonts w:cs="Arial"/>
          <w:iCs/>
          <w:szCs w:val="20"/>
          <w:lang w:val="pt-BR"/>
        </w:rPr>
        <w:t>angústia</w:t>
      </w:r>
      <w:r w:rsidR="00D81AA1" w:rsidRPr="00D5464D">
        <w:rPr>
          <w:rFonts w:cs="Arial"/>
          <w:iCs/>
          <w:szCs w:val="20"/>
          <w:lang w:val="pt-BR"/>
        </w:rPr>
        <w:t xml:space="preserve"> causados</w:t>
      </w:r>
      <w:r w:rsidR="00470ADC" w:rsidRPr="00D5464D">
        <w:rPr>
          <w:rFonts w:cs="Arial"/>
          <w:iCs/>
          <w:szCs w:val="20"/>
          <w:lang w:val="pt-BR"/>
        </w:rPr>
        <w:t xml:space="preserve"> em </w:t>
      </w:r>
      <w:r w:rsidR="00E045D9" w:rsidRPr="00D5464D">
        <w:rPr>
          <w:rFonts w:cs="Arial"/>
          <w:iCs/>
          <w:szCs w:val="20"/>
          <w:lang w:val="pt-BR"/>
        </w:rPr>
        <w:t xml:space="preserve">virtude </w:t>
      </w:r>
      <w:r w:rsidR="00470ADC" w:rsidRPr="00D5464D">
        <w:rPr>
          <w:rFonts w:cs="Arial"/>
          <w:iCs/>
          <w:szCs w:val="20"/>
          <w:lang w:val="pt-BR"/>
        </w:rPr>
        <w:t>do conhecimento das circunstâncias d</w:t>
      </w:r>
      <w:r w:rsidR="00E045D9" w:rsidRPr="00D5464D">
        <w:rPr>
          <w:rFonts w:cs="Arial"/>
          <w:iCs/>
          <w:szCs w:val="20"/>
          <w:lang w:val="pt-BR"/>
        </w:rPr>
        <w:t>o desaparecimento</w:t>
      </w:r>
      <w:r w:rsidR="00D81AA1" w:rsidRPr="00D5464D">
        <w:rPr>
          <w:rFonts w:cs="Arial"/>
          <w:iCs/>
          <w:szCs w:val="20"/>
          <w:lang w:val="pt-BR"/>
        </w:rPr>
        <w:t xml:space="preserve">, </w:t>
      </w:r>
      <w:r w:rsidR="00663458" w:rsidRPr="00D5464D">
        <w:rPr>
          <w:rFonts w:cs="Arial"/>
          <w:iCs/>
          <w:szCs w:val="20"/>
          <w:lang w:val="pt-BR"/>
        </w:rPr>
        <w:t xml:space="preserve">bem </w:t>
      </w:r>
      <w:r w:rsidR="00D81AA1" w:rsidRPr="00D5464D">
        <w:rPr>
          <w:rFonts w:cs="Arial"/>
          <w:iCs/>
          <w:szCs w:val="20"/>
          <w:lang w:val="pt-BR"/>
        </w:rPr>
        <w:t>como</w:t>
      </w:r>
      <w:r w:rsidR="00470ADC" w:rsidRPr="00D5464D">
        <w:rPr>
          <w:rFonts w:cs="Arial"/>
          <w:iCs/>
          <w:szCs w:val="20"/>
          <w:lang w:val="pt-BR"/>
        </w:rPr>
        <w:t xml:space="preserve"> o</w:t>
      </w:r>
      <w:r w:rsidR="002C330E" w:rsidRPr="00D5464D">
        <w:rPr>
          <w:rFonts w:cs="Arial"/>
          <w:iCs/>
          <w:szCs w:val="20"/>
          <w:lang w:val="pt-BR"/>
        </w:rPr>
        <w:t xml:space="preserve"> fato </w:t>
      </w:r>
      <w:r w:rsidR="00D81AA1" w:rsidRPr="00D5464D">
        <w:rPr>
          <w:rFonts w:cs="Arial"/>
          <w:iCs/>
          <w:szCs w:val="20"/>
          <w:lang w:val="pt-BR"/>
        </w:rPr>
        <w:t>de que</w:t>
      </w:r>
      <w:r w:rsidR="00470ADC" w:rsidRPr="00D5464D">
        <w:rPr>
          <w:rFonts w:cs="Arial"/>
          <w:iCs/>
          <w:szCs w:val="20"/>
          <w:lang w:val="pt-BR"/>
        </w:rPr>
        <w:t xml:space="preserve"> foi </w:t>
      </w:r>
      <w:r w:rsidR="00E045D9" w:rsidRPr="00D5464D">
        <w:rPr>
          <w:rFonts w:cs="Arial"/>
          <w:iCs/>
          <w:szCs w:val="20"/>
          <w:lang w:val="pt-BR"/>
        </w:rPr>
        <w:t>sujeito</w:t>
      </w:r>
      <w:r w:rsidR="00D81AA1" w:rsidRPr="00D5464D">
        <w:rPr>
          <w:rFonts w:cs="Arial"/>
          <w:iCs/>
          <w:szCs w:val="20"/>
          <w:lang w:val="pt-BR"/>
        </w:rPr>
        <w:t xml:space="preserve"> a formas </w:t>
      </w:r>
      <w:r w:rsidR="00470ADC" w:rsidRPr="00D5464D">
        <w:rPr>
          <w:rFonts w:cs="Arial"/>
          <w:iCs/>
          <w:szCs w:val="20"/>
          <w:lang w:val="pt-BR"/>
        </w:rPr>
        <w:t>contemporânea</w:t>
      </w:r>
      <w:r w:rsidR="00D81AA1" w:rsidRPr="00D5464D">
        <w:rPr>
          <w:rFonts w:cs="Arial"/>
          <w:iCs/>
          <w:szCs w:val="20"/>
          <w:lang w:val="pt-BR"/>
        </w:rPr>
        <w:t xml:space="preserve">s de </w:t>
      </w:r>
      <w:r w:rsidR="000B376D" w:rsidRPr="00D5464D">
        <w:rPr>
          <w:rFonts w:cs="Arial"/>
          <w:iCs/>
          <w:szCs w:val="20"/>
          <w:lang w:val="pt-BR"/>
        </w:rPr>
        <w:t>escravidão</w:t>
      </w:r>
      <w:r w:rsidR="00D81AA1" w:rsidRPr="00D5464D">
        <w:rPr>
          <w:rFonts w:cs="Arial"/>
          <w:iCs/>
          <w:szCs w:val="20"/>
          <w:lang w:val="pt-BR"/>
        </w:rPr>
        <w:t xml:space="preserve">, </w:t>
      </w:r>
      <w:r w:rsidR="00C91CB1" w:rsidRPr="00D5464D">
        <w:rPr>
          <w:rFonts w:cs="Arial"/>
          <w:iCs/>
          <w:szCs w:val="20"/>
          <w:lang w:val="pt-BR"/>
        </w:rPr>
        <w:t>acarreta</w:t>
      </w:r>
      <w:r w:rsidR="00350187" w:rsidRPr="00D5464D">
        <w:rPr>
          <w:rFonts w:cs="Arial"/>
          <w:iCs/>
          <w:szCs w:val="20"/>
          <w:lang w:val="pt-BR"/>
        </w:rPr>
        <w:t xml:space="preserve">ram </w:t>
      </w:r>
      <w:r w:rsidR="00E045D9" w:rsidRPr="00D5464D">
        <w:rPr>
          <w:rFonts w:cs="Arial"/>
          <w:iCs/>
          <w:szCs w:val="20"/>
          <w:lang w:val="pt-BR"/>
        </w:rPr>
        <w:t>também</w:t>
      </w:r>
      <w:r w:rsidR="002C330E" w:rsidRPr="00D5464D">
        <w:rPr>
          <w:rFonts w:cs="Arial"/>
          <w:iCs/>
          <w:szCs w:val="20"/>
          <w:lang w:val="pt-BR"/>
        </w:rPr>
        <w:t xml:space="preserve"> a </w:t>
      </w:r>
      <w:r w:rsidR="00D81AA1" w:rsidRPr="00D5464D">
        <w:rPr>
          <w:rFonts w:cs="Arial"/>
          <w:iCs/>
          <w:szCs w:val="20"/>
          <w:lang w:val="pt-BR"/>
        </w:rPr>
        <w:t>viola</w:t>
      </w:r>
      <w:r w:rsidR="00470ADC" w:rsidRPr="00D5464D">
        <w:rPr>
          <w:rFonts w:cs="Arial"/>
          <w:iCs/>
          <w:szCs w:val="20"/>
          <w:lang w:val="pt-BR"/>
        </w:rPr>
        <w:t xml:space="preserve">ção ao direito à </w:t>
      </w:r>
      <w:r w:rsidR="002C330E" w:rsidRPr="00D5464D">
        <w:rPr>
          <w:rFonts w:cs="Arial"/>
          <w:iCs/>
          <w:szCs w:val="20"/>
          <w:lang w:val="pt-BR"/>
        </w:rPr>
        <w:t>integridade pessoa</w:t>
      </w:r>
      <w:r w:rsidR="00D81AA1" w:rsidRPr="00D5464D">
        <w:rPr>
          <w:rFonts w:cs="Arial"/>
          <w:iCs/>
          <w:szCs w:val="20"/>
          <w:lang w:val="pt-BR"/>
        </w:rPr>
        <w:t xml:space="preserve">l de </w:t>
      </w:r>
      <w:r w:rsidR="00E045D9" w:rsidRPr="00D5464D">
        <w:rPr>
          <w:rFonts w:cs="Arial"/>
          <w:iCs/>
          <w:szCs w:val="20"/>
          <w:lang w:val="pt-BR"/>
        </w:rPr>
        <w:t>seus familiares</w:t>
      </w:r>
      <w:r w:rsidR="00D81AA1" w:rsidRPr="00D5464D">
        <w:rPr>
          <w:rFonts w:cs="Arial"/>
          <w:iCs/>
          <w:szCs w:val="20"/>
          <w:lang w:val="pt-BR"/>
        </w:rPr>
        <w:t xml:space="preserve">. </w:t>
      </w:r>
    </w:p>
    <w:p w14:paraId="3516C489" w14:textId="77777777" w:rsidR="00747A03" w:rsidRPr="00D5464D" w:rsidRDefault="00747A03" w:rsidP="00747A03">
      <w:pPr>
        <w:pStyle w:val="Prrafodelista"/>
        <w:tabs>
          <w:tab w:val="right" w:pos="0"/>
        </w:tabs>
        <w:ind w:left="0"/>
        <w:contextualSpacing w:val="0"/>
        <w:rPr>
          <w:rFonts w:cs="Arial"/>
          <w:iCs/>
          <w:szCs w:val="20"/>
          <w:lang w:val="pt-BR"/>
        </w:rPr>
      </w:pPr>
    </w:p>
    <w:p w14:paraId="63FDC9C0" w14:textId="6282A3F7" w:rsidR="00D81AA1" w:rsidRPr="00D5464D" w:rsidRDefault="00470ADC" w:rsidP="00D81AA1">
      <w:pPr>
        <w:pStyle w:val="Prrafodelista"/>
        <w:numPr>
          <w:ilvl w:val="0"/>
          <w:numId w:val="1"/>
        </w:numPr>
        <w:tabs>
          <w:tab w:val="right" w:pos="0"/>
        </w:tabs>
        <w:contextualSpacing w:val="0"/>
        <w:rPr>
          <w:rFonts w:cs="Arial"/>
          <w:iCs/>
          <w:szCs w:val="20"/>
          <w:lang w:val="pt-BR"/>
        </w:rPr>
      </w:pPr>
      <w:r w:rsidRPr="00D5464D">
        <w:rPr>
          <w:rFonts w:cs="Arial"/>
          <w:iCs/>
          <w:szCs w:val="20"/>
          <w:lang w:val="pt-BR"/>
        </w:rPr>
        <w:t xml:space="preserve">O </w:t>
      </w:r>
      <w:r w:rsidR="00D81AA1" w:rsidRPr="00D5464D">
        <w:rPr>
          <w:rFonts w:cs="Arial"/>
          <w:b/>
          <w:i/>
          <w:iCs/>
          <w:szCs w:val="20"/>
          <w:lang w:val="pt-BR"/>
        </w:rPr>
        <w:t>Estado</w:t>
      </w:r>
      <w:r w:rsidR="00D81AA1" w:rsidRPr="00D5464D">
        <w:rPr>
          <w:rFonts w:cs="Arial"/>
          <w:iCs/>
          <w:szCs w:val="20"/>
          <w:lang w:val="pt-BR"/>
        </w:rPr>
        <w:t xml:space="preserve"> </w:t>
      </w:r>
      <w:r w:rsidR="00E045D9" w:rsidRPr="00D5464D">
        <w:rPr>
          <w:rFonts w:cs="Arial"/>
          <w:iCs/>
          <w:szCs w:val="20"/>
          <w:lang w:val="pt-BR"/>
        </w:rPr>
        <w:t>argumentou</w:t>
      </w:r>
      <w:r w:rsidR="00D81AA1" w:rsidRPr="00D5464D">
        <w:rPr>
          <w:rFonts w:cs="Arial"/>
          <w:iCs/>
          <w:szCs w:val="20"/>
          <w:lang w:val="pt-BR"/>
        </w:rPr>
        <w:t xml:space="preserve"> que Luis Ferreira da Cruz e Iron Canuto da Silva</w:t>
      </w:r>
      <w:r w:rsidR="00230C71" w:rsidRPr="00D5464D">
        <w:rPr>
          <w:rFonts w:cs="Arial"/>
          <w:iCs/>
          <w:szCs w:val="20"/>
          <w:lang w:val="pt-BR"/>
        </w:rPr>
        <w:t xml:space="preserve"> não foram</w:t>
      </w:r>
      <w:r w:rsidR="00D81AA1" w:rsidRPr="00D5464D">
        <w:rPr>
          <w:rFonts w:cs="Arial"/>
          <w:iCs/>
          <w:szCs w:val="20"/>
          <w:lang w:val="pt-BR"/>
        </w:rPr>
        <w:t xml:space="preserve"> </w:t>
      </w:r>
      <w:r w:rsidR="00E045D9" w:rsidRPr="00D5464D">
        <w:rPr>
          <w:rFonts w:cs="Arial"/>
          <w:iCs/>
          <w:szCs w:val="20"/>
          <w:lang w:val="pt-BR"/>
        </w:rPr>
        <w:t>vítima</w:t>
      </w:r>
      <w:r w:rsidR="00D81AA1" w:rsidRPr="00D5464D">
        <w:rPr>
          <w:rFonts w:cs="Arial"/>
          <w:iCs/>
          <w:szCs w:val="20"/>
          <w:lang w:val="pt-BR"/>
        </w:rPr>
        <w:t xml:space="preserve">s de </w:t>
      </w:r>
      <w:r w:rsidR="00E045D9" w:rsidRPr="00D5464D">
        <w:rPr>
          <w:rFonts w:cs="Arial"/>
          <w:iCs/>
          <w:szCs w:val="20"/>
          <w:lang w:val="pt-BR"/>
        </w:rPr>
        <w:t>desaparecimento forçado</w:t>
      </w:r>
      <w:r w:rsidR="00D81AA1" w:rsidRPr="00D5464D">
        <w:rPr>
          <w:rFonts w:cs="Arial"/>
          <w:iCs/>
          <w:szCs w:val="20"/>
          <w:lang w:val="pt-BR"/>
        </w:rPr>
        <w:t xml:space="preserve"> o</w:t>
      </w:r>
      <w:r w:rsidR="0084459E" w:rsidRPr="00D5464D">
        <w:rPr>
          <w:rFonts w:cs="Arial"/>
          <w:iCs/>
          <w:szCs w:val="20"/>
          <w:lang w:val="pt-BR"/>
        </w:rPr>
        <w:t>u</w:t>
      </w:r>
      <w:r w:rsidR="00D81AA1" w:rsidRPr="00D5464D">
        <w:rPr>
          <w:rFonts w:cs="Arial"/>
          <w:iCs/>
          <w:szCs w:val="20"/>
          <w:lang w:val="pt-BR"/>
        </w:rPr>
        <w:t xml:space="preserve"> de </w:t>
      </w:r>
      <w:r w:rsidRPr="00D5464D">
        <w:rPr>
          <w:rFonts w:cs="Arial"/>
          <w:iCs/>
          <w:szCs w:val="20"/>
          <w:lang w:val="pt-BR"/>
        </w:rPr>
        <w:t>qualquer</w:t>
      </w:r>
      <w:r w:rsidR="002C330E" w:rsidRPr="00D5464D">
        <w:rPr>
          <w:rFonts w:cs="Arial"/>
          <w:iCs/>
          <w:szCs w:val="20"/>
          <w:lang w:val="pt-BR"/>
        </w:rPr>
        <w:t xml:space="preserve"> outra </w:t>
      </w:r>
      <w:r w:rsidR="00D81AA1" w:rsidRPr="00D5464D">
        <w:rPr>
          <w:rFonts w:cs="Arial"/>
          <w:iCs/>
          <w:szCs w:val="20"/>
          <w:lang w:val="pt-BR"/>
        </w:rPr>
        <w:t>viola</w:t>
      </w:r>
      <w:r w:rsidRPr="00D5464D">
        <w:rPr>
          <w:rFonts w:cs="Arial"/>
          <w:iCs/>
          <w:szCs w:val="20"/>
          <w:lang w:val="pt-BR"/>
        </w:rPr>
        <w:t>ção</w:t>
      </w:r>
      <w:r w:rsidR="00D81AA1" w:rsidRPr="00D5464D">
        <w:rPr>
          <w:rFonts w:cs="Arial"/>
          <w:iCs/>
          <w:szCs w:val="20"/>
          <w:lang w:val="pt-BR"/>
        </w:rPr>
        <w:t xml:space="preserve"> de </w:t>
      </w:r>
      <w:r w:rsidRPr="00D5464D">
        <w:rPr>
          <w:rFonts w:cs="Arial"/>
          <w:iCs/>
          <w:szCs w:val="20"/>
          <w:lang w:val="pt-BR"/>
        </w:rPr>
        <w:t>direito</w:t>
      </w:r>
      <w:r w:rsidR="00D81AA1" w:rsidRPr="00D5464D">
        <w:rPr>
          <w:rFonts w:cs="Arial"/>
          <w:iCs/>
          <w:szCs w:val="20"/>
          <w:lang w:val="pt-BR"/>
        </w:rPr>
        <w:t>s humanos</w:t>
      </w:r>
      <w:r w:rsidRPr="00D5464D">
        <w:rPr>
          <w:rFonts w:cs="Arial"/>
          <w:iCs/>
          <w:szCs w:val="20"/>
          <w:lang w:val="pt-BR"/>
        </w:rPr>
        <w:t xml:space="preserve"> </w:t>
      </w:r>
      <w:r w:rsidR="0084459E" w:rsidRPr="00D5464D">
        <w:rPr>
          <w:rFonts w:cs="Arial"/>
          <w:iCs/>
          <w:szCs w:val="20"/>
          <w:lang w:val="pt-BR"/>
        </w:rPr>
        <w:t xml:space="preserve">quando de sua fuga </w:t>
      </w:r>
      <w:r w:rsidRPr="00D5464D">
        <w:rPr>
          <w:rFonts w:cs="Arial"/>
          <w:iCs/>
          <w:szCs w:val="20"/>
          <w:lang w:val="pt-BR"/>
        </w:rPr>
        <w:t xml:space="preserve">da </w:t>
      </w:r>
      <w:r w:rsidR="00D809F0" w:rsidRPr="00D5464D">
        <w:rPr>
          <w:rFonts w:cs="Arial"/>
          <w:iCs/>
          <w:szCs w:val="20"/>
          <w:lang w:val="pt-BR"/>
        </w:rPr>
        <w:t>Fazenda</w:t>
      </w:r>
      <w:r w:rsidR="00D81AA1" w:rsidRPr="00D5464D">
        <w:rPr>
          <w:rFonts w:cs="Arial"/>
          <w:iCs/>
          <w:szCs w:val="20"/>
          <w:lang w:val="pt-BR"/>
        </w:rPr>
        <w:t xml:space="preserve"> Brasil Verde</w:t>
      </w:r>
      <w:r w:rsidR="00A1358C" w:rsidRPr="00D5464D">
        <w:rPr>
          <w:rFonts w:cs="Arial"/>
          <w:iCs/>
          <w:szCs w:val="20"/>
          <w:lang w:val="pt-BR"/>
        </w:rPr>
        <w:t xml:space="preserve">. A </w:t>
      </w:r>
      <w:r w:rsidR="00737270" w:rsidRPr="00D5464D">
        <w:rPr>
          <w:rFonts w:cs="Arial"/>
          <w:iCs/>
          <w:szCs w:val="20"/>
          <w:lang w:val="pt-BR"/>
        </w:rPr>
        <w:t>este respeito</w:t>
      </w:r>
      <w:r w:rsidR="00D81AA1" w:rsidRPr="00D5464D">
        <w:rPr>
          <w:rFonts w:cs="Arial"/>
          <w:iCs/>
          <w:szCs w:val="20"/>
          <w:lang w:val="pt-BR"/>
        </w:rPr>
        <w:t>,</w:t>
      </w:r>
      <w:r w:rsidRPr="00D5464D">
        <w:rPr>
          <w:rFonts w:cs="Arial"/>
          <w:iCs/>
          <w:szCs w:val="20"/>
          <w:lang w:val="pt-BR"/>
        </w:rPr>
        <w:t xml:space="preserve"> o </w:t>
      </w:r>
      <w:r w:rsidR="00D81AA1" w:rsidRPr="00D5464D">
        <w:rPr>
          <w:rFonts w:cs="Arial"/>
          <w:iCs/>
          <w:szCs w:val="20"/>
          <w:lang w:val="pt-BR"/>
        </w:rPr>
        <w:t xml:space="preserve">Estado </w:t>
      </w:r>
      <w:r w:rsidR="00C91CB1" w:rsidRPr="00D5464D">
        <w:rPr>
          <w:rFonts w:cs="Arial"/>
          <w:iCs/>
          <w:szCs w:val="20"/>
          <w:lang w:val="pt-BR"/>
        </w:rPr>
        <w:t>apresentou</w:t>
      </w:r>
      <w:r w:rsidR="00D81AA1" w:rsidRPr="00D5464D">
        <w:rPr>
          <w:rFonts w:cs="Arial"/>
          <w:iCs/>
          <w:szCs w:val="20"/>
          <w:lang w:val="pt-BR"/>
        </w:rPr>
        <w:t xml:space="preserve"> como </w:t>
      </w:r>
      <w:r w:rsidR="002C330E" w:rsidRPr="00D5464D">
        <w:rPr>
          <w:rFonts w:cs="Arial"/>
          <w:iCs/>
          <w:szCs w:val="20"/>
          <w:lang w:val="pt-BR"/>
        </w:rPr>
        <w:t>prova</w:t>
      </w:r>
      <w:r w:rsidRPr="00D5464D">
        <w:rPr>
          <w:rFonts w:cs="Arial"/>
          <w:iCs/>
          <w:szCs w:val="20"/>
          <w:lang w:val="pt-BR"/>
        </w:rPr>
        <w:t xml:space="preserve"> </w:t>
      </w:r>
      <w:r w:rsidR="0084459E" w:rsidRPr="00D5464D">
        <w:rPr>
          <w:rFonts w:cs="Arial"/>
          <w:iCs/>
          <w:szCs w:val="20"/>
          <w:lang w:val="pt-BR"/>
        </w:rPr>
        <w:t xml:space="preserve">a certidão de óbito </w:t>
      </w:r>
      <w:r w:rsidR="00D81AA1" w:rsidRPr="00D5464D">
        <w:rPr>
          <w:rFonts w:cs="Arial"/>
          <w:iCs/>
          <w:szCs w:val="20"/>
          <w:lang w:val="pt-BR"/>
        </w:rPr>
        <w:t xml:space="preserve">de </w:t>
      </w:r>
      <w:r w:rsidR="008B075C" w:rsidRPr="00D5464D">
        <w:rPr>
          <w:rFonts w:cs="Arial"/>
          <w:iCs/>
          <w:szCs w:val="20"/>
          <w:lang w:val="pt-BR"/>
        </w:rPr>
        <w:t>Iron Canuto da Silva</w:t>
      </w:r>
      <w:r w:rsidR="0084459E" w:rsidRPr="00D5464D">
        <w:rPr>
          <w:rFonts w:cs="Arial"/>
          <w:iCs/>
          <w:szCs w:val="20"/>
          <w:lang w:val="pt-BR"/>
        </w:rPr>
        <w:t>,</w:t>
      </w:r>
      <w:r w:rsidR="00E045D9" w:rsidRPr="00D5464D">
        <w:rPr>
          <w:rFonts w:cs="Arial"/>
          <w:iCs/>
          <w:szCs w:val="20"/>
          <w:lang w:val="pt-BR"/>
        </w:rPr>
        <w:t xml:space="preserve"> na </w:t>
      </w:r>
      <w:r w:rsidRPr="00D5464D">
        <w:rPr>
          <w:rFonts w:cs="Arial"/>
          <w:iCs/>
          <w:szCs w:val="20"/>
          <w:lang w:val="pt-BR"/>
        </w:rPr>
        <w:t xml:space="preserve">qual </w:t>
      </w:r>
      <w:r w:rsidR="00D81AA1" w:rsidRPr="00D5464D">
        <w:rPr>
          <w:rFonts w:cs="Arial"/>
          <w:iCs/>
          <w:szCs w:val="20"/>
          <w:lang w:val="pt-BR"/>
        </w:rPr>
        <w:t xml:space="preserve">se </w:t>
      </w:r>
      <w:r w:rsidR="00350187" w:rsidRPr="00D5464D">
        <w:rPr>
          <w:rFonts w:cs="Arial"/>
          <w:iCs/>
          <w:szCs w:val="20"/>
          <w:lang w:val="pt-BR"/>
        </w:rPr>
        <w:t>demonstr</w:t>
      </w:r>
      <w:r w:rsidR="00737270" w:rsidRPr="00D5464D">
        <w:rPr>
          <w:rFonts w:cs="Arial"/>
          <w:iCs/>
          <w:szCs w:val="20"/>
          <w:lang w:val="pt-BR"/>
        </w:rPr>
        <w:t>a</w:t>
      </w:r>
      <w:r w:rsidR="002C330E" w:rsidRPr="00D5464D">
        <w:rPr>
          <w:rFonts w:cs="Arial"/>
          <w:iCs/>
          <w:szCs w:val="20"/>
          <w:lang w:val="pt-BR"/>
        </w:rPr>
        <w:t xml:space="preserve"> </w:t>
      </w:r>
      <w:r w:rsidR="00D81AA1" w:rsidRPr="00D5464D">
        <w:rPr>
          <w:rFonts w:cs="Arial"/>
          <w:iCs/>
          <w:szCs w:val="20"/>
          <w:lang w:val="pt-BR"/>
        </w:rPr>
        <w:t>que</w:t>
      </w:r>
      <w:r w:rsidR="00A74771" w:rsidRPr="00D5464D">
        <w:rPr>
          <w:rFonts w:cs="Arial"/>
          <w:iCs/>
          <w:szCs w:val="20"/>
          <w:lang w:val="pt-BR"/>
        </w:rPr>
        <w:t xml:space="preserve"> este </w:t>
      </w:r>
      <w:r w:rsidRPr="00D5464D">
        <w:rPr>
          <w:rFonts w:cs="Arial"/>
          <w:iCs/>
          <w:szCs w:val="20"/>
          <w:lang w:val="pt-BR"/>
        </w:rPr>
        <w:t>faleceu</w:t>
      </w:r>
      <w:r w:rsidR="002C330E" w:rsidRPr="00D5464D">
        <w:rPr>
          <w:rFonts w:cs="Arial"/>
          <w:iCs/>
          <w:szCs w:val="20"/>
          <w:lang w:val="pt-BR"/>
        </w:rPr>
        <w:t xml:space="preserve"> em 2</w:t>
      </w:r>
      <w:r w:rsidR="00D81AA1" w:rsidRPr="00D5464D">
        <w:rPr>
          <w:rFonts w:cs="Arial"/>
          <w:iCs/>
          <w:szCs w:val="20"/>
          <w:lang w:val="pt-BR"/>
        </w:rPr>
        <w:t xml:space="preserve">2 de </w:t>
      </w:r>
      <w:r w:rsidR="002C330E" w:rsidRPr="00D5464D">
        <w:rPr>
          <w:rFonts w:cs="Arial"/>
          <w:iCs/>
          <w:szCs w:val="20"/>
          <w:lang w:val="pt-BR"/>
        </w:rPr>
        <w:t>julho</w:t>
      </w:r>
      <w:r w:rsidR="00D81AA1" w:rsidRPr="00D5464D">
        <w:rPr>
          <w:rFonts w:cs="Arial"/>
          <w:iCs/>
          <w:szCs w:val="20"/>
          <w:lang w:val="pt-BR"/>
        </w:rPr>
        <w:t xml:space="preserve"> de 2007. </w:t>
      </w:r>
      <w:r w:rsidR="00350187" w:rsidRPr="00D5464D">
        <w:rPr>
          <w:rFonts w:cs="Arial"/>
          <w:iCs/>
          <w:szCs w:val="20"/>
          <w:lang w:val="pt-BR"/>
        </w:rPr>
        <w:t xml:space="preserve">Além disso, </w:t>
      </w:r>
      <w:r w:rsidRPr="00D5464D">
        <w:rPr>
          <w:rFonts w:cs="Arial"/>
          <w:iCs/>
          <w:szCs w:val="20"/>
          <w:lang w:val="pt-BR"/>
        </w:rPr>
        <w:t xml:space="preserve">o </w:t>
      </w:r>
      <w:r w:rsidR="00D81AA1" w:rsidRPr="00D5464D">
        <w:rPr>
          <w:rFonts w:cs="Arial"/>
          <w:iCs/>
          <w:szCs w:val="20"/>
          <w:lang w:val="pt-BR"/>
        </w:rPr>
        <w:t xml:space="preserve">Estado </w:t>
      </w:r>
      <w:r w:rsidR="002C330E" w:rsidRPr="00D5464D">
        <w:rPr>
          <w:rFonts w:cs="Arial"/>
          <w:iCs/>
          <w:szCs w:val="20"/>
          <w:lang w:val="pt-BR"/>
        </w:rPr>
        <w:t>informou</w:t>
      </w:r>
      <w:r w:rsidR="00D81AA1" w:rsidRPr="00D5464D">
        <w:rPr>
          <w:rFonts w:cs="Arial"/>
          <w:iCs/>
          <w:szCs w:val="20"/>
          <w:lang w:val="pt-BR"/>
        </w:rPr>
        <w:t xml:space="preserve"> que</w:t>
      </w:r>
      <w:r w:rsidR="0084459E" w:rsidRPr="00D5464D">
        <w:rPr>
          <w:rFonts w:cs="Arial"/>
          <w:iCs/>
          <w:szCs w:val="20"/>
          <w:lang w:val="pt-BR"/>
        </w:rPr>
        <w:t>,</w:t>
      </w:r>
      <w:r w:rsidR="002C330E" w:rsidRPr="00D5464D">
        <w:rPr>
          <w:rFonts w:cs="Arial"/>
          <w:iCs/>
          <w:szCs w:val="20"/>
          <w:lang w:val="pt-BR"/>
        </w:rPr>
        <w:t xml:space="preserve"> em 4</w:t>
      </w:r>
      <w:r w:rsidR="00D81AA1" w:rsidRPr="00D5464D">
        <w:rPr>
          <w:rFonts w:cs="Arial"/>
          <w:iCs/>
          <w:szCs w:val="20"/>
          <w:lang w:val="pt-BR"/>
        </w:rPr>
        <w:t xml:space="preserve"> de agosto de 2015,</w:t>
      </w:r>
      <w:r w:rsidR="002C330E" w:rsidRPr="00D5464D">
        <w:rPr>
          <w:rFonts w:cs="Arial"/>
          <w:iCs/>
          <w:szCs w:val="20"/>
          <w:lang w:val="pt-BR"/>
        </w:rPr>
        <w:t xml:space="preserve"> as senhora</w:t>
      </w:r>
      <w:r w:rsidR="00D81AA1" w:rsidRPr="00D5464D">
        <w:rPr>
          <w:rFonts w:cs="Arial"/>
          <w:iCs/>
          <w:szCs w:val="20"/>
          <w:lang w:val="pt-BR"/>
        </w:rPr>
        <w:t xml:space="preserve">s Maria </w:t>
      </w:r>
      <w:r w:rsidR="00C1157B" w:rsidRPr="00D5464D">
        <w:rPr>
          <w:rFonts w:cs="Arial"/>
          <w:iCs/>
          <w:szCs w:val="20"/>
          <w:lang w:val="pt-BR"/>
        </w:rPr>
        <w:t xml:space="preserve">do </w:t>
      </w:r>
      <w:r w:rsidR="00D81AA1" w:rsidRPr="00D5464D">
        <w:rPr>
          <w:rFonts w:cs="Arial"/>
          <w:iCs/>
          <w:szCs w:val="20"/>
          <w:lang w:val="pt-BR"/>
        </w:rPr>
        <w:t>Socorro Canuto</w:t>
      </w:r>
      <w:r w:rsidR="00E045D9" w:rsidRPr="00D5464D">
        <w:rPr>
          <w:rFonts w:cs="Arial"/>
          <w:iCs/>
          <w:szCs w:val="20"/>
          <w:lang w:val="pt-BR"/>
        </w:rPr>
        <w:t xml:space="preserve"> e </w:t>
      </w:r>
      <w:r w:rsidR="00D81AA1" w:rsidRPr="00D5464D">
        <w:rPr>
          <w:rFonts w:cs="Arial"/>
          <w:iCs/>
          <w:szCs w:val="20"/>
          <w:lang w:val="pt-BR"/>
        </w:rPr>
        <w:t>M</w:t>
      </w:r>
      <w:r w:rsidR="00E765C2" w:rsidRPr="00D5464D">
        <w:rPr>
          <w:rFonts w:cs="Arial"/>
          <w:iCs/>
          <w:szCs w:val="20"/>
          <w:lang w:val="pt-BR"/>
        </w:rPr>
        <w:t xml:space="preserve">aria </w:t>
      </w:r>
      <w:r w:rsidR="00D81AA1" w:rsidRPr="00D5464D">
        <w:rPr>
          <w:rFonts w:cs="Arial"/>
          <w:iCs/>
          <w:szCs w:val="20"/>
          <w:lang w:val="pt-BR"/>
        </w:rPr>
        <w:t>Gorete,</w:t>
      </w:r>
      <w:r w:rsidR="002C330E" w:rsidRPr="00D5464D">
        <w:rPr>
          <w:rFonts w:cs="Arial"/>
          <w:iCs/>
          <w:szCs w:val="20"/>
          <w:lang w:val="pt-BR"/>
        </w:rPr>
        <w:t xml:space="preserve"> </w:t>
      </w:r>
      <w:r w:rsidR="0084459E" w:rsidRPr="00D5464D">
        <w:rPr>
          <w:rFonts w:cs="Arial"/>
          <w:iCs/>
          <w:szCs w:val="20"/>
          <w:lang w:val="pt-BR"/>
        </w:rPr>
        <w:t xml:space="preserve">respectivamente </w:t>
      </w:r>
      <w:r w:rsidR="002C330E" w:rsidRPr="00D5464D">
        <w:rPr>
          <w:rFonts w:cs="Arial"/>
          <w:iCs/>
          <w:szCs w:val="20"/>
          <w:lang w:val="pt-BR"/>
        </w:rPr>
        <w:t>mãe</w:t>
      </w:r>
      <w:r w:rsidR="00E045D9" w:rsidRPr="00D5464D">
        <w:rPr>
          <w:rFonts w:cs="Arial"/>
          <w:iCs/>
          <w:szCs w:val="20"/>
          <w:lang w:val="pt-BR"/>
        </w:rPr>
        <w:t xml:space="preserve"> e </w:t>
      </w:r>
      <w:r w:rsidR="002C330E" w:rsidRPr="00D5464D">
        <w:rPr>
          <w:rFonts w:cs="Arial"/>
          <w:iCs/>
          <w:szCs w:val="20"/>
          <w:lang w:val="pt-BR"/>
        </w:rPr>
        <w:t>irmã</w:t>
      </w:r>
      <w:r w:rsidR="00D81AA1" w:rsidRPr="00D5464D">
        <w:rPr>
          <w:rFonts w:cs="Arial"/>
          <w:iCs/>
          <w:szCs w:val="20"/>
          <w:lang w:val="pt-BR"/>
        </w:rPr>
        <w:t xml:space="preserve"> de </w:t>
      </w:r>
      <w:r w:rsidR="0084459E" w:rsidRPr="00D5464D">
        <w:rPr>
          <w:rFonts w:cs="Arial"/>
          <w:iCs/>
          <w:szCs w:val="20"/>
          <w:lang w:val="pt-BR"/>
        </w:rPr>
        <w:t xml:space="preserve">criação </w:t>
      </w:r>
      <w:r w:rsidR="00D81AA1" w:rsidRPr="00D5464D">
        <w:rPr>
          <w:rFonts w:cs="Arial"/>
          <w:iCs/>
          <w:szCs w:val="20"/>
          <w:lang w:val="pt-BR"/>
        </w:rPr>
        <w:t xml:space="preserve">de </w:t>
      </w:r>
      <w:r w:rsidR="00200C04" w:rsidRPr="00D5464D">
        <w:rPr>
          <w:rFonts w:cs="Arial"/>
          <w:iCs/>
          <w:szCs w:val="20"/>
          <w:lang w:val="pt-BR"/>
        </w:rPr>
        <w:t>Luis Ferreira da Cruz</w:t>
      </w:r>
      <w:r w:rsidR="0084459E" w:rsidRPr="00D5464D">
        <w:rPr>
          <w:rFonts w:cs="Arial"/>
          <w:iCs/>
          <w:szCs w:val="20"/>
          <w:lang w:val="pt-BR"/>
        </w:rPr>
        <w:t>,</w:t>
      </w:r>
      <w:r w:rsidR="00D81AA1" w:rsidRPr="00D5464D">
        <w:rPr>
          <w:rFonts w:cs="Arial"/>
          <w:iCs/>
          <w:szCs w:val="20"/>
          <w:lang w:val="pt-BR"/>
        </w:rPr>
        <w:t xml:space="preserve"> </w:t>
      </w:r>
      <w:r w:rsidR="00EB1CE9" w:rsidRPr="00D5464D">
        <w:rPr>
          <w:rFonts w:cs="Arial"/>
          <w:iCs/>
          <w:szCs w:val="20"/>
          <w:lang w:val="pt-BR"/>
        </w:rPr>
        <w:t>afirmaram</w:t>
      </w:r>
      <w:r w:rsidRPr="00D5464D">
        <w:rPr>
          <w:rFonts w:cs="Arial"/>
          <w:iCs/>
          <w:szCs w:val="20"/>
          <w:lang w:val="pt-BR"/>
        </w:rPr>
        <w:t xml:space="preserve"> à </w:t>
      </w:r>
      <w:r w:rsidR="00C91CB1" w:rsidRPr="00D5464D">
        <w:rPr>
          <w:rFonts w:cs="Arial"/>
          <w:iCs/>
          <w:szCs w:val="20"/>
          <w:lang w:val="pt-BR"/>
        </w:rPr>
        <w:t xml:space="preserve">Polícia </w:t>
      </w:r>
      <w:r w:rsidR="00D81AA1" w:rsidRPr="00D5464D">
        <w:rPr>
          <w:rFonts w:cs="Arial"/>
          <w:iCs/>
          <w:szCs w:val="20"/>
          <w:lang w:val="pt-BR"/>
        </w:rPr>
        <w:t>Federal</w:t>
      </w:r>
      <w:r w:rsidR="0084459E" w:rsidRPr="00D5464D">
        <w:rPr>
          <w:rFonts w:cs="Arial"/>
          <w:iCs/>
          <w:szCs w:val="20"/>
          <w:lang w:val="pt-BR"/>
        </w:rPr>
        <w:t>,</w:t>
      </w:r>
      <w:r w:rsidR="00D81AA1" w:rsidRPr="00D5464D">
        <w:rPr>
          <w:rFonts w:cs="Arial"/>
          <w:iCs/>
          <w:szCs w:val="20"/>
          <w:lang w:val="pt-BR"/>
        </w:rPr>
        <w:t xml:space="preserve"> mediante</w:t>
      </w:r>
      <w:r w:rsidR="00E045D9" w:rsidRPr="00D5464D">
        <w:rPr>
          <w:rFonts w:cs="Arial"/>
          <w:iCs/>
          <w:szCs w:val="20"/>
          <w:lang w:val="pt-BR"/>
        </w:rPr>
        <w:t xml:space="preserve"> uma </w:t>
      </w:r>
      <w:r w:rsidR="002C330E" w:rsidRPr="00D5464D">
        <w:rPr>
          <w:rFonts w:cs="Arial"/>
          <w:iCs/>
          <w:szCs w:val="20"/>
          <w:lang w:val="pt-BR"/>
        </w:rPr>
        <w:t xml:space="preserve">chamada </w:t>
      </w:r>
      <w:r w:rsidR="00E045D9" w:rsidRPr="00D5464D">
        <w:rPr>
          <w:rFonts w:cs="Arial"/>
          <w:iCs/>
          <w:szCs w:val="20"/>
          <w:lang w:val="pt-BR"/>
        </w:rPr>
        <w:t>telefônic</w:t>
      </w:r>
      <w:r w:rsidR="00D81AA1" w:rsidRPr="00D5464D">
        <w:rPr>
          <w:rFonts w:cs="Arial"/>
          <w:iCs/>
          <w:szCs w:val="20"/>
          <w:lang w:val="pt-BR"/>
        </w:rPr>
        <w:t>a</w:t>
      </w:r>
      <w:r w:rsidR="0084459E" w:rsidRPr="00D5464D">
        <w:rPr>
          <w:rFonts w:cs="Arial"/>
          <w:iCs/>
          <w:szCs w:val="20"/>
          <w:lang w:val="pt-BR"/>
        </w:rPr>
        <w:t>,</w:t>
      </w:r>
      <w:r w:rsidR="00D81AA1" w:rsidRPr="00D5464D">
        <w:rPr>
          <w:rFonts w:cs="Arial"/>
          <w:iCs/>
          <w:szCs w:val="20"/>
          <w:lang w:val="pt-BR"/>
        </w:rPr>
        <w:t xml:space="preserve"> que Luis</w:t>
      </w:r>
      <w:r w:rsidR="00D47846" w:rsidRPr="00D5464D">
        <w:rPr>
          <w:rFonts w:cs="Arial"/>
          <w:iCs/>
          <w:szCs w:val="20"/>
          <w:lang w:val="pt-BR"/>
        </w:rPr>
        <w:t xml:space="preserve"> Ferreira da Cruz</w:t>
      </w:r>
      <w:r w:rsidR="00D81AA1" w:rsidRPr="00D5464D">
        <w:rPr>
          <w:rFonts w:cs="Arial"/>
          <w:iCs/>
          <w:szCs w:val="20"/>
          <w:lang w:val="pt-BR"/>
        </w:rPr>
        <w:t xml:space="preserve"> </w:t>
      </w:r>
      <w:r w:rsidRPr="00D5464D">
        <w:rPr>
          <w:rFonts w:cs="Arial"/>
          <w:iCs/>
          <w:szCs w:val="20"/>
          <w:lang w:val="pt-BR"/>
        </w:rPr>
        <w:t>falece</w:t>
      </w:r>
      <w:r w:rsidR="00C176E3" w:rsidRPr="00D5464D">
        <w:rPr>
          <w:rFonts w:cs="Arial"/>
          <w:iCs/>
          <w:szCs w:val="20"/>
          <w:lang w:val="pt-BR"/>
        </w:rPr>
        <w:t>ra</w:t>
      </w:r>
      <w:r w:rsidRPr="00D5464D">
        <w:rPr>
          <w:rFonts w:cs="Arial"/>
          <w:iCs/>
          <w:szCs w:val="20"/>
          <w:lang w:val="pt-BR"/>
        </w:rPr>
        <w:t xml:space="preserve"> em</w:t>
      </w:r>
      <w:r w:rsidR="00E045D9" w:rsidRPr="00D5464D">
        <w:rPr>
          <w:rFonts w:cs="Arial"/>
          <w:iCs/>
          <w:szCs w:val="20"/>
          <w:lang w:val="pt-BR"/>
        </w:rPr>
        <w:t xml:space="preserve"> um </w:t>
      </w:r>
      <w:r w:rsidR="00C91CB1" w:rsidRPr="00D5464D">
        <w:rPr>
          <w:rFonts w:cs="Arial"/>
          <w:iCs/>
          <w:szCs w:val="20"/>
          <w:lang w:val="pt-BR"/>
        </w:rPr>
        <w:t>enfrentamento</w:t>
      </w:r>
      <w:r w:rsidRPr="00D5464D">
        <w:rPr>
          <w:rFonts w:cs="Arial"/>
          <w:iCs/>
          <w:szCs w:val="20"/>
          <w:lang w:val="pt-BR"/>
        </w:rPr>
        <w:t xml:space="preserve"> com</w:t>
      </w:r>
      <w:r w:rsidR="002C330E" w:rsidRPr="00D5464D">
        <w:rPr>
          <w:rFonts w:cs="Arial"/>
          <w:iCs/>
          <w:szCs w:val="20"/>
          <w:lang w:val="pt-BR"/>
        </w:rPr>
        <w:t xml:space="preserve"> a </w:t>
      </w:r>
      <w:r w:rsidR="00C91CB1" w:rsidRPr="00D5464D">
        <w:rPr>
          <w:rFonts w:cs="Arial"/>
          <w:iCs/>
          <w:szCs w:val="20"/>
          <w:lang w:val="pt-BR"/>
        </w:rPr>
        <w:t xml:space="preserve">Polícia </w:t>
      </w:r>
      <w:r w:rsidR="00D81AA1" w:rsidRPr="00D5464D">
        <w:rPr>
          <w:rFonts w:cs="Arial"/>
          <w:iCs/>
          <w:szCs w:val="20"/>
          <w:lang w:val="pt-BR"/>
        </w:rPr>
        <w:t>Militar</w:t>
      </w:r>
      <w:r w:rsidRPr="00D5464D">
        <w:rPr>
          <w:rFonts w:cs="Arial"/>
          <w:iCs/>
          <w:szCs w:val="20"/>
          <w:lang w:val="pt-BR"/>
        </w:rPr>
        <w:t xml:space="preserve"> da cidade</w:t>
      </w:r>
      <w:r w:rsidR="00D81AA1" w:rsidRPr="00D5464D">
        <w:rPr>
          <w:rFonts w:cs="Arial"/>
          <w:iCs/>
          <w:szCs w:val="20"/>
          <w:lang w:val="pt-BR"/>
        </w:rPr>
        <w:t xml:space="preserve"> de Xinguara</w:t>
      </w:r>
      <w:r w:rsidR="0084459E" w:rsidRPr="00D5464D">
        <w:rPr>
          <w:rFonts w:cs="Arial"/>
          <w:iCs/>
          <w:szCs w:val="20"/>
          <w:lang w:val="pt-BR"/>
        </w:rPr>
        <w:t xml:space="preserve">, </w:t>
      </w:r>
      <w:r w:rsidR="00D81AA1" w:rsidRPr="00D5464D">
        <w:rPr>
          <w:rFonts w:cs="Arial"/>
          <w:iCs/>
          <w:szCs w:val="20"/>
          <w:lang w:val="pt-BR"/>
        </w:rPr>
        <w:t xml:space="preserve">aproximadamente 10 </w:t>
      </w:r>
      <w:r w:rsidRPr="00D5464D">
        <w:rPr>
          <w:rFonts w:cs="Arial"/>
          <w:iCs/>
          <w:szCs w:val="20"/>
          <w:lang w:val="pt-BR"/>
        </w:rPr>
        <w:t>anos</w:t>
      </w:r>
      <w:r w:rsidR="0084459E" w:rsidRPr="00D5464D">
        <w:rPr>
          <w:rFonts w:cs="Arial"/>
          <w:iCs/>
          <w:szCs w:val="20"/>
          <w:lang w:val="pt-BR"/>
        </w:rPr>
        <w:t xml:space="preserve"> antes</w:t>
      </w:r>
      <w:r w:rsidR="00D81AA1" w:rsidRPr="00D5464D">
        <w:rPr>
          <w:rFonts w:cs="Arial"/>
          <w:iCs/>
          <w:szCs w:val="20"/>
          <w:lang w:val="pt-BR"/>
        </w:rPr>
        <w:t xml:space="preserve">. </w:t>
      </w:r>
    </w:p>
    <w:p w14:paraId="1A31B4ED" w14:textId="77777777" w:rsidR="00D81AA1" w:rsidRPr="00D5464D" w:rsidRDefault="00D81AA1" w:rsidP="00D81AA1">
      <w:pPr>
        <w:pStyle w:val="Prrafodelista"/>
        <w:tabs>
          <w:tab w:val="right" w:pos="0"/>
        </w:tabs>
        <w:autoSpaceDE w:val="0"/>
        <w:autoSpaceDN w:val="0"/>
        <w:adjustRightInd w:val="0"/>
        <w:ind w:left="0"/>
        <w:contextualSpacing w:val="0"/>
        <w:rPr>
          <w:rFonts w:cs="Arial"/>
          <w:iCs/>
          <w:szCs w:val="20"/>
          <w:lang w:val="pt-BR"/>
        </w:rPr>
      </w:pPr>
    </w:p>
    <w:p w14:paraId="7FF6AA55" w14:textId="7418640D" w:rsidR="00D81AA1" w:rsidRPr="00D5464D" w:rsidRDefault="00350187" w:rsidP="00A47A97">
      <w:pPr>
        <w:pStyle w:val="Prrafodelista"/>
        <w:numPr>
          <w:ilvl w:val="0"/>
          <w:numId w:val="1"/>
        </w:numPr>
        <w:tabs>
          <w:tab w:val="right" w:pos="0"/>
        </w:tabs>
        <w:contextualSpacing w:val="0"/>
        <w:rPr>
          <w:rFonts w:cs="Arial"/>
          <w:iCs/>
          <w:szCs w:val="20"/>
          <w:lang w:val="pt-BR"/>
        </w:rPr>
      </w:pPr>
      <w:r w:rsidRPr="00D5464D">
        <w:rPr>
          <w:rFonts w:cs="Arial"/>
          <w:iCs/>
          <w:szCs w:val="20"/>
          <w:lang w:val="pt-BR"/>
        </w:rPr>
        <w:t xml:space="preserve">Além disso, </w:t>
      </w:r>
      <w:r w:rsidR="00470ADC" w:rsidRPr="00D5464D">
        <w:rPr>
          <w:rFonts w:cs="Arial"/>
          <w:iCs/>
          <w:szCs w:val="20"/>
          <w:lang w:val="pt-BR"/>
        </w:rPr>
        <w:t xml:space="preserve">o </w:t>
      </w:r>
      <w:r w:rsidR="00D81AA1" w:rsidRPr="00D5464D">
        <w:rPr>
          <w:rFonts w:cs="Arial"/>
          <w:iCs/>
          <w:szCs w:val="20"/>
          <w:lang w:val="pt-BR"/>
        </w:rPr>
        <w:t xml:space="preserve">Estado </w:t>
      </w:r>
      <w:r w:rsidR="005F3480" w:rsidRPr="00D5464D">
        <w:rPr>
          <w:rFonts w:cs="Arial"/>
          <w:iCs/>
          <w:szCs w:val="20"/>
          <w:lang w:val="pt-BR"/>
        </w:rPr>
        <w:t>afirmou</w:t>
      </w:r>
      <w:r w:rsidR="00D81AA1" w:rsidRPr="00D5464D">
        <w:rPr>
          <w:rFonts w:cs="Arial"/>
          <w:iCs/>
          <w:szCs w:val="20"/>
          <w:lang w:val="pt-BR"/>
        </w:rPr>
        <w:t xml:space="preserve"> que</w:t>
      </w:r>
      <w:r w:rsidR="00470ADC" w:rsidRPr="00D5464D">
        <w:rPr>
          <w:rFonts w:cs="Arial"/>
          <w:iCs/>
          <w:szCs w:val="20"/>
          <w:lang w:val="pt-BR"/>
        </w:rPr>
        <w:t xml:space="preserve"> </w:t>
      </w:r>
      <w:r w:rsidR="00EC5B95" w:rsidRPr="00D5464D">
        <w:rPr>
          <w:rFonts w:cs="Arial"/>
          <w:iCs/>
          <w:szCs w:val="20"/>
          <w:lang w:val="pt-BR"/>
        </w:rPr>
        <w:t xml:space="preserve">como não portava </w:t>
      </w:r>
      <w:r w:rsidR="00D81AA1" w:rsidRPr="00D5464D">
        <w:rPr>
          <w:rFonts w:cs="Arial"/>
          <w:iCs/>
          <w:szCs w:val="20"/>
          <w:lang w:val="pt-BR"/>
        </w:rPr>
        <w:t>documentos de identifica</w:t>
      </w:r>
      <w:r w:rsidR="00470ADC" w:rsidRPr="00D5464D">
        <w:rPr>
          <w:rFonts w:cs="Arial"/>
          <w:iCs/>
          <w:szCs w:val="20"/>
          <w:lang w:val="pt-BR"/>
        </w:rPr>
        <w:t xml:space="preserve">ção </w:t>
      </w:r>
      <w:r w:rsidR="00EC5B95" w:rsidRPr="00D5464D">
        <w:rPr>
          <w:rFonts w:cs="Arial"/>
          <w:iCs/>
          <w:szCs w:val="20"/>
          <w:lang w:val="pt-BR"/>
        </w:rPr>
        <w:t>n</w:t>
      </w:r>
      <w:r w:rsidR="00470ADC" w:rsidRPr="00D5464D">
        <w:rPr>
          <w:rFonts w:cs="Arial"/>
          <w:iCs/>
          <w:szCs w:val="20"/>
          <w:lang w:val="pt-BR"/>
        </w:rPr>
        <w:t xml:space="preserve">o </w:t>
      </w:r>
      <w:r w:rsidR="00D81AA1" w:rsidRPr="00D5464D">
        <w:rPr>
          <w:rFonts w:cs="Arial"/>
          <w:iCs/>
          <w:szCs w:val="20"/>
          <w:lang w:val="pt-BR"/>
        </w:rPr>
        <w:t xml:space="preserve">momento de </w:t>
      </w:r>
      <w:r w:rsidR="00230C71" w:rsidRPr="00D5464D">
        <w:rPr>
          <w:rFonts w:cs="Arial"/>
          <w:iCs/>
          <w:szCs w:val="20"/>
          <w:lang w:val="pt-BR"/>
        </w:rPr>
        <w:t>sua morte</w:t>
      </w:r>
      <w:r w:rsidR="00D81AA1" w:rsidRPr="00D5464D">
        <w:rPr>
          <w:rFonts w:cs="Arial"/>
          <w:iCs/>
          <w:szCs w:val="20"/>
          <w:lang w:val="pt-BR"/>
        </w:rPr>
        <w:t xml:space="preserve">, </w:t>
      </w:r>
      <w:r w:rsidR="00200C04" w:rsidRPr="00D5464D">
        <w:rPr>
          <w:rFonts w:cs="Arial"/>
          <w:iCs/>
          <w:szCs w:val="20"/>
          <w:lang w:val="pt-BR"/>
        </w:rPr>
        <w:t>Luis Ferreira da Cruz</w:t>
      </w:r>
      <w:r w:rsidR="00470ADC" w:rsidRPr="00D5464D">
        <w:rPr>
          <w:rFonts w:cs="Arial"/>
          <w:iCs/>
          <w:szCs w:val="20"/>
          <w:lang w:val="pt-BR"/>
        </w:rPr>
        <w:t xml:space="preserve"> foi </w:t>
      </w:r>
      <w:r w:rsidR="00D81AA1" w:rsidRPr="00D5464D">
        <w:rPr>
          <w:rFonts w:cs="Arial"/>
          <w:iCs/>
          <w:szCs w:val="20"/>
          <w:lang w:val="pt-BR"/>
        </w:rPr>
        <w:t>enterrado como indigente</w:t>
      </w:r>
      <w:r w:rsidR="00E045D9" w:rsidRPr="00D5464D">
        <w:rPr>
          <w:rFonts w:cs="Arial"/>
          <w:iCs/>
          <w:szCs w:val="20"/>
          <w:lang w:val="pt-BR"/>
        </w:rPr>
        <w:t xml:space="preserve"> e</w:t>
      </w:r>
      <w:r w:rsidR="00795C35" w:rsidRPr="00D5464D">
        <w:rPr>
          <w:rFonts w:cs="Arial"/>
          <w:iCs/>
          <w:szCs w:val="20"/>
          <w:lang w:val="pt-BR"/>
        </w:rPr>
        <w:t>,</w:t>
      </w:r>
      <w:r w:rsidR="00E045D9" w:rsidRPr="00D5464D">
        <w:rPr>
          <w:rFonts w:cs="Arial"/>
          <w:iCs/>
          <w:szCs w:val="20"/>
          <w:lang w:val="pt-BR"/>
        </w:rPr>
        <w:t xml:space="preserve"> </w:t>
      </w:r>
      <w:r w:rsidR="00D81AA1" w:rsidRPr="00D5464D">
        <w:rPr>
          <w:rFonts w:cs="Arial"/>
          <w:iCs/>
          <w:szCs w:val="20"/>
          <w:lang w:val="pt-BR"/>
        </w:rPr>
        <w:t>por</w:t>
      </w:r>
      <w:r w:rsidR="00470ADC" w:rsidRPr="00D5464D">
        <w:rPr>
          <w:rFonts w:cs="Arial"/>
          <w:iCs/>
          <w:szCs w:val="20"/>
          <w:lang w:val="pt-BR"/>
        </w:rPr>
        <w:t xml:space="preserve"> </w:t>
      </w:r>
      <w:r w:rsidR="00EC5B95" w:rsidRPr="00D5464D">
        <w:rPr>
          <w:rFonts w:cs="Arial"/>
          <w:iCs/>
          <w:szCs w:val="20"/>
          <w:lang w:val="pt-BR"/>
        </w:rPr>
        <w:t>isso</w:t>
      </w:r>
      <w:r w:rsidR="00795C35" w:rsidRPr="00D5464D">
        <w:rPr>
          <w:rFonts w:cs="Arial"/>
          <w:iCs/>
          <w:szCs w:val="20"/>
          <w:lang w:val="pt-BR"/>
        </w:rPr>
        <w:t>,</w:t>
      </w:r>
      <w:r w:rsidR="00EC5B95" w:rsidRPr="00D5464D">
        <w:rPr>
          <w:rFonts w:cs="Arial"/>
          <w:iCs/>
          <w:szCs w:val="20"/>
          <w:lang w:val="pt-BR"/>
        </w:rPr>
        <w:t xml:space="preserve"> </w:t>
      </w:r>
      <w:r w:rsidR="00737270" w:rsidRPr="00D5464D">
        <w:rPr>
          <w:rFonts w:cs="Arial"/>
          <w:iCs/>
          <w:szCs w:val="20"/>
          <w:lang w:val="pt-BR"/>
        </w:rPr>
        <w:t>seu nome</w:t>
      </w:r>
      <w:r w:rsidR="00D81AA1" w:rsidRPr="00D5464D">
        <w:rPr>
          <w:rFonts w:cs="Arial"/>
          <w:iCs/>
          <w:szCs w:val="20"/>
          <w:lang w:val="pt-BR"/>
        </w:rPr>
        <w:t xml:space="preserve"> n</w:t>
      </w:r>
      <w:r w:rsidR="00EC5B95" w:rsidRPr="00D5464D">
        <w:rPr>
          <w:rFonts w:cs="Arial"/>
          <w:iCs/>
          <w:szCs w:val="20"/>
          <w:lang w:val="pt-BR"/>
        </w:rPr>
        <w:t>ã</w:t>
      </w:r>
      <w:r w:rsidR="00D81AA1" w:rsidRPr="00D5464D">
        <w:rPr>
          <w:rFonts w:cs="Arial"/>
          <w:iCs/>
          <w:szCs w:val="20"/>
          <w:lang w:val="pt-BR"/>
        </w:rPr>
        <w:t>o aparece registrado</w:t>
      </w:r>
      <w:r w:rsidR="00E045D9" w:rsidRPr="00D5464D">
        <w:rPr>
          <w:rFonts w:cs="Arial"/>
          <w:iCs/>
          <w:szCs w:val="20"/>
          <w:lang w:val="pt-BR"/>
        </w:rPr>
        <w:t xml:space="preserve"> n</w:t>
      </w:r>
      <w:r w:rsidR="00470ADC" w:rsidRPr="00D5464D">
        <w:rPr>
          <w:rFonts w:cs="Arial"/>
          <w:iCs/>
          <w:szCs w:val="20"/>
          <w:lang w:val="pt-BR"/>
        </w:rPr>
        <w:t xml:space="preserve">o </w:t>
      </w:r>
      <w:r w:rsidR="00D81AA1" w:rsidRPr="00D5464D">
        <w:rPr>
          <w:rFonts w:cs="Arial"/>
          <w:iCs/>
          <w:szCs w:val="20"/>
          <w:lang w:val="pt-BR"/>
        </w:rPr>
        <w:t>Registro Civil</w:t>
      </w:r>
      <w:r w:rsidR="00470ADC" w:rsidRPr="00D5464D">
        <w:rPr>
          <w:rFonts w:cs="Arial"/>
          <w:iCs/>
          <w:szCs w:val="20"/>
          <w:lang w:val="pt-BR"/>
        </w:rPr>
        <w:t xml:space="preserve"> da cidade</w:t>
      </w:r>
      <w:r w:rsidR="00D81AA1" w:rsidRPr="00D5464D">
        <w:rPr>
          <w:rFonts w:cs="Arial"/>
          <w:iCs/>
          <w:szCs w:val="20"/>
          <w:lang w:val="pt-BR"/>
        </w:rPr>
        <w:t xml:space="preserve"> de Xinguara</w:t>
      </w:r>
      <w:r w:rsidR="00737270" w:rsidRPr="00D5464D">
        <w:rPr>
          <w:rFonts w:cs="Arial"/>
          <w:iCs/>
          <w:szCs w:val="20"/>
          <w:lang w:val="pt-BR"/>
        </w:rPr>
        <w:t xml:space="preserve">. Desta </w:t>
      </w:r>
      <w:r w:rsidR="00D81AA1" w:rsidRPr="00D5464D">
        <w:rPr>
          <w:rFonts w:cs="Arial"/>
          <w:iCs/>
          <w:szCs w:val="20"/>
          <w:lang w:val="pt-BR"/>
        </w:rPr>
        <w:t>forma,</w:t>
      </w:r>
      <w:r w:rsidR="00470ADC" w:rsidRPr="00D5464D">
        <w:rPr>
          <w:rFonts w:cs="Arial"/>
          <w:iCs/>
          <w:szCs w:val="20"/>
          <w:lang w:val="pt-BR"/>
        </w:rPr>
        <w:t xml:space="preserve"> o </w:t>
      </w:r>
      <w:r w:rsidR="00D81AA1" w:rsidRPr="00D5464D">
        <w:rPr>
          <w:rFonts w:cs="Arial"/>
          <w:iCs/>
          <w:szCs w:val="20"/>
          <w:lang w:val="pt-BR"/>
        </w:rPr>
        <w:t xml:space="preserve">Estado </w:t>
      </w:r>
      <w:r w:rsidR="00E045D9" w:rsidRPr="00D5464D">
        <w:rPr>
          <w:rFonts w:cs="Arial"/>
          <w:iCs/>
          <w:szCs w:val="20"/>
          <w:lang w:val="pt-BR"/>
        </w:rPr>
        <w:t>argumentou</w:t>
      </w:r>
      <w:r w:rsidR="00D81AA1" w:rsidRPr="00D5464D">
        <w:rPr>
          <w:rFonts w:cs="Arial"/>
          <w:iCs/>
          <w:szCs w:val="20"/>
          <w:lang w:val="pt-BR"/>
        </w:rPr>
        <w:t xml:space="preserve"> que</w:t>
      </w:r>
      <w:r w:rsidR="00795C35" w:rsidRPr="00D5464D">
        <w:rPr>
          <w:rFonts w:cs="Arial"/>
          <w:iCs/>
          <w:szCs w:val="20"/>
          <w:lang w:val="pt-BR"/>
        </w:rPr>
        <w:t>,</w:t>
      </w:r>
      <w:r w:rsidR="00D81AA1" w:rsidRPr="00D5464D">
        <w:rPr>
          <w:rFonts w:cs="Arial"/>
          <w:iCs/>
          <w:szCs w:val="20"/>
          <w:lang w:val="pt-BR"/>
        </w:rPr>
        <w:t xml:space="preserve"> </w:t>
      </w:r>
      <w:r w:rsidR="00470ADC" w:rsidRPr="00D5464D">
        <w:rPr>
          <w:rFonts w:cs="Arial"/>
          <w:iCs/>
          <w:szCs w:val="20"/>
          <w:lang w:val="pt-BR"/>
        </w:rPr>
        <w:t>depois</w:t>
      </w:r>
      <w:r w:rsidR="00D81AA1" w:rsidRPr="00D5464D">
        <w:rPr>
          <w:rFonts w:cs="Arial"/>
          <w:iCs/>
          <w:szCs w:val="20"/>
          <w:lang w:val="pt-BR"/>
        </w:rPr>
        <w:t xml:space="preserve"> de su</w:t>
      </w:r>
      <w:r w:rsidR="00EC5B95" w:rsidRPr="00D5464D">
        <w:rPr>
          <w:rFonts w:cs="Arial"/>
          <w:iCs/>
          <w:szCs w:val="20"/>
          <w:lang w:val="pt-BR"/>
        </w:rPr>
        <w:t>a</w:t>
      </w:r>
      <w:r w:rsidR="00D81AA1" w:rsidRPr="00D5464D">
        <w:rPr>
          <w:rFonts w:cs="Arial"/>
          <w:iCs/>
          <w:szCs w:val="20"/>
          <w:lang w:val="pt-BR"/>
        </w:rPr>
        <w:t xml:space="preserve"> fuga</w:t>
      </w:r>
      <w:r w:rsidR="00470ADC" w:rsidRPr="00D5464D">
        <w:rPr>
          <w:rFonts w:cs="Arial"/>
          <w:iCs/>
          <w:szCs w:val="20"/>
          <w:lang w:val="pt-BR"/>
        </w:rPr>
        <w:t xml:space="preserve"> da </w:t>
      </w:r>
      <w:r w:rsidR="00D809F0" w:rsidRPr="00D5464D">
        <w:rPr>
          <w:rFonts w:cs="Arial"/>
          <w:iCs/>
          <w:szCs w:val="20"/>
          <w:lang w:val="pt-BR"/>
        </w:rPr>
        <w:t>Fazenda</w:t>
      </w:r>
      <w:r w:rsidR="00D81AA1" w:rsidRPr="00D5464D">
        <w:rPr>
          <w:rFonts w:cs="Arial"/>
          <w:iCs/>
          <w:szCs w:val="20"/>
          <w:lang w:val="pt-BR"/>
        </w:rPr>
        <w:t xml:space="preserve"> Brasil Verde</w:t>
      </w:r>
      <w:r w:rsidR="00EC5B95" w:rsidRPr="00D5464D">
        <w:rPr>
          <w:rFonts w:cs="Arial"/>
          <w:iCs/>
          <w:szCs w:val="20"/>
          <w:lang w:val="pt-BR"/>
        </w:rPr>
        <w:t>,</w:t>
      </w:r>
      <w:r w:rsidR="00D81AA1" w:rsidRPr="00D5464D">
        <w:rPr>
          <w:rFonts w:cs="Arial"/>
          <w:iCs/>
          <w:szCs w:val="20"/>
          <w:lang w:val="pt-BR"/>
        </w:rPr>
        <w:t xml:space="preserve"> </w:t>
      </w:r>
      <w:r w:rsidR="00200C04" w:rsidRPr="00D5464D">
        <w:rPr>
          <w:rFonts w:cs="Arial"/>
          <w:iCs/>
          <w:szCs w:val="20"/>
          <w:lang w:val="pt-BR"/>
        </w:rPr>
        <w:t>Luis Ferreira da Cruz</w:t>
      </w:r>
      <w:r w:rsidR="00D81AA1" w:rsidRPr="00D5464D">
        <w:rPr>
          <w:rFonts w:cs="Arial"/>
          <w:iCs/>
          <w:szCs w:val="20"/>
          <w:lang w:val="pt-BR"/>
        </w:rPr>
        <w:t xml:space="preserve"> </w:t>
      </w:r>
      <w:r w:rsidR="00470ADC" w:rsidRPr="00D5464D">
        <w:rPr>
          <w:rFonts w:cs="Arial"/>
          <w:iCs/>
          <w:szCs w:val="20"/>
          <w:lang w:val="pt-BR"/>
        </w:rPr>
        <w:t>continuou com</w:t>
      </w:r>
      <w:r w:rsidR="00E045D9" w:rsidRPr="00D5464D">
        <w:rPr>
          <w:rFonts w:cs="Arial"/>
          <w:iCs/>
          <w:szCs w:val="20"/>
          <w:lang w:val="pt-BR"/>
        </w:rPr>
        <w:t xml:space="preserve"> sua vida</w:t>
      </w:r>
      <w:r w:rsidR="00D81AA1" w:rsidRPr="00D5464D">
        <w:rPr>
          <w:rFonts w:cs="Arial"/>
          <w:iCs/>
          <w:szCs w:val="20"/>
          <w:lang w:val="pt-BR"/>
        </w:rPr>
        <w:t xml:space="preserve"> durante </w:t>
      </w:r>
      <w:r w:rsidR="002C330E" w:rsidRPr="00D5464D">
        <w:rPr>
          <w:rFonts w:cs="Arial"/>
          <w:iCs/>
          <w:szCs w:val="20"/>
          <w:lang w:val="pt-BR"/>
        </w:rPr>
        <w:t xml:space="preserve">mais </w:t>
      </w:r>
      <w:r w:rsidR="00D81AA1" w:rsidRPr="00D5464D">
        <w:rPr>
          <w:rFonts w:cs="Arial"/>
          <w:iCs/>
          <w:szCs w:val="20"/>
          <w:lang w:val="pt-BR"/>
        </w:rPr>
        <w:t xml:space="preserve">de 15 </w:t>
      </w:r>
      <w:r w:rsidR="00470ADC" w:rsidRPr="00D5464D">
        <w:rPr>
          <w:rFonts w:cs="Arial"/>
          <w:iCs/>
          <w:szCs w:val="20"/>
          <w:lang w:val="pt-BR"/>
        </w:rPr>
        <w:t>anos</w:t>
      </w:r>
      <w:r w:rsidR="00D81AA1" w:rsidRPr="00D5464D">
        <w:rPr>
          <w:rFonts w:cs="Arial"/>
          <w:iCs/>
          <w:szCs w:val="20"/>
          <w:lang w:val="pt-BR"/>
        </w:rPr>
        <w:t>,</w:t>
      </w:r>
      <w:r w:rsidR="002C330E" w:rsidRPr="00D5464D">
        <w:rPr>
          <w:rFonts w:cs="Arial"/>
          <w:iCs/>
          <w:szCs w:val="20"/>
          <w:lang w:val="pt-BR"/>
        </w:rPr>
        <w:t xml:space="preserve"> sem </w:t>
      </w:r>
      <w:r w:rsidR="00EC5B95" w:rsidRPr="00D5464D">
        <w:rPr>
          <w:rFonts w:cs="Arial"/>
          <w:iCs/>
          <w:szCs w:val="20"/>
          <w:lang w:val="pt-BR"/>
        </w:rPr>
        <w:t>que exista indí</w:t>
      </w:r>
      <w:r w:rsidR="00D81AA1" w:rsidRPr="00D5464D">
        <w:rPr>
          <w:rFonts w:cs="Arial"/>
          <w:iCs/>
          <w:szCs w:val="20"/>
          <w:lang w:val="pt-BR"/>
        </w:rPr>
        <w:t>cio o</w:t>
      </w:r>
      <w:r w:rsidR="00EC5B95" w:rsidRPr="00D5464D">
        <w:rPr>
          <w:rFonts w:cs="Arial"/>
          <w:iCs/>
          <w:szCs w:val="20"/>
          <w:lang w:val="pt-BR"/>
        </w:rPr>
        <w:t>u</w:t>
      </w:r>
      <w:r w:rsidR="00D81AA1" w:rsidRPr="00D5464D">
        <w:rPr>
          <w:rFonts w:cs="Arial"/>
          <w:iCs/>
          <w:szCs w:val="20"/>
          <w:lang w:val="pt-BR"/>
        </w:rPr>
        <w:t xml:space="preserve"> </w:t>
      </w:r>
      <w:r w:rsidR="002C330E" w:rsidRPr="00D5464D">
        <w:rPr>
          <w:rFonts w:cs="Arial"/>
          <w:iCs/>
          <w:szCs w:val="20"/>
          <w:lang w:val="pt-BR"/>
        </w:rPr>
        <w:t>prova</w:t>
      </w:r>
      <w:r w:rsidR="00D81AA1" w:rsidRPr="00D5464D">
        <w:rPr>
          <w:rFonts w:cs="Arial"/>
          <w:iCs/>
          <w:szCs w:val="20"/>
          <w:lang w:val="pt-BR"/>
        </w:rPr>
        <w:t xml:space="preserve"> de que durante</w:t>
      </w:r>
      <w:r w:rsidR="00470ADC" w:rsidRPr="00D5464D">
        <w:rPr>
          <w:rFonts w:cs="Arial"/>
          <w:iCs/>
          <w:szCs w:val="20"/>
          <w:lang w:val="pt-BR"/>
        </w:rPr>
        <w:t xml:space="preserve"> esse </w:t>
      </w:r>
      <w:r w:rsidR="00E045D9" w:rsidRPr="00D5464D">
        <w:rPr>
          <w:rFonts w:cs="Arial"/>
          <w:iCs/>
          <w:szCs w:val="20"/>
          <w:lang w:val="pt-BR"/>
        </w:rPr>
        <w:t>tempo</w:t>
      </w:r>
      <w:r w:rsidR="00D81AA1" w:rsidRPr="00D5464D">
        <w:rPr>
          <w:rFonts w:cs="Arial"/>
          <w:iCs/>
          <w:szCs w:val="20"/>
          <w:lang w:val="pt-BR"/>
        </w:rPr>
        <w:t xml:space="preserve"> </w:t>
      </w:r>
      <w:r w:rsidR="00EC5B95" w:rsidRPr="00D5464D">
        <w:rPr>
          <w:rFonts w:cs="Arial"/>
          <w:iCs/>
          <w:szCs w:val="20"/>
          <w:lang w:val="pt-BR"/>
        </w:rPr>
        <w:t xml:space="preserve">tenha estado </w:t>
      </w:r>
      <w:r w:rsidR="002C330E" w:rsidRPr="00D5464D">
        <w:rPr>
          <w:rFonts w:cs="Arial"/>
          <w:iCs/>
          <w:szCs w:val="20"/>
          <w:lang w:val="pt-BR"/>
        </w:rPr>
        <w:t>submetido</w:t>
      </w:r>
      <w:r w:rsidR="00D81AA1" w:rsidRPr="00D5464D">
        <w:rPr>
          <w:rFonts w:cs="Arial"/>
          <w:iCs/>
          <w:szCs w:val="20"/>
          <w:lang w:val="pt-BR"/>
        </w:rPr>
        <w:t xml:space="preserve"> </w:t>
      </w:r>
      <w:r w:rsidR="00EC5B95" w:rsidRPr="00D5464D">
        <w:rPr>
          <w:rFonts w:cs="Arial"/>
          <w:iCs/>
          <w:szCs w:val="20"/>
          <w:lang w:val="pt-BR"/>
        </w:rPr>
        <w:t>a um</w:t>
      </w:r>
      <w:r w:rsidR="00E045D9" w:rsidRPr="00D5464D">
        <w:rPr>
          <w:rFonts w:cs="Arial"/>
          <w:iCs/>
          <w:szCs w:val="20"/>
          <w:lang w:val="pt-BR"/>
        </w:rPr>
        <w:t xml:space="preserve"> desaparecimento forçado</w:t>
      </w:r>
      <w:r w:rsidR="00D81AA1" w:rsidRPr="00D5464D">
        <w:rPr>
          <w:rFonts w:cs="Arial"/>
          <w:iCs/>
          <w:szCs w:val="20"/>
          <w:lang w:val="pt-BR"/>
        </w:rPr>
        <w:t>. Adicionalmente,</w:t>
      </w:r>
      <w:r w:rsidR="00470ADC" w:rsidRPr="00D5464D">
        <w:rPr>
          <w:rFonts w:cs="Arial"/>
          <w:iCs/>
          <w:szCs w:val="20"/>
          <w:lang w:val="pt-BR"/>
        </w:rPr>
        <w:t xml:space="preserve"> o </w:t>
      </w:r>
      <w:r w:rsidR="00D81AA1" w:rsidRPr="00D5464D">
        <w:rPr>
          <w:rFonts w:cs="Arial"/>
          <w:iCs/>
          <w:szCs w:val="20"/>
          <w:lang w:val="pt-BR"/>
        </w:rPr>
        <w:t xml:space="preserve">Estado </w:t>
      </w:r>
      <w:r w:rsidR="002C330E" w:rsidRPr="00D5464D">
        <w:rPr>
          <w:rFonts w:cs="Arial"/>
          <w:iCs/>
          <w:szCs w:val="20"/>
          <w:lang w:val="pt-BR"/>
        </w:rPr>
        <w:t>manifestou</w:t>
      </w:r>
      <w:r w:rsidR="00D81AA1" w:rsidRPr="00D5464D">
        <w:rPr>
          <w:rFonts w:cs="Arial"/>
          <w:iCs/>
          <w:szCs w:val="20"/>
          <w:lang w:val="pt-BR"/>
        </w:rPr>
        <w:t xml:space="preserve"> que</w:t>
      </w:r>
      <w:r w:rsidR="002C330E" w:rsidRPr="00D5464D">
        <w:rPr>
          <w:rFonts w:cs="Arial"/>
          <w:iCs/>
          <w:szCs w:val="20"/>
          <w:lang w:val="pt-BR"/>
        </w:rPr>
        <w:t xml:space="preserve"> a </w:t>
      </w:r>
      <w:r w:rsidR="00470ADC" w:rsidRPr="00D5464D">
        <w:rPr>
          <w:rFonts w:cs="Arial"/>
          <w:iCs/>
          <w:szCs w:val="20"/>
          <w:lang w:val="pt-BR"/>
        </w:rPr>
        <w:t>denúncia d</w:t>
      </w:r>
      <w:r w:rsidR="00EC5B95" w:rsidRPr="00D5464D">
        <w:rPr>
          <w:rFonts w:cs="Arial"/>
          <w:iCs/>
          <w:szCs w:val="20"/>
          <w:lang w:val="pt-BR"/>
        </w:rPr>
        <w:t>o</w:t>
      </w:r>
      <w:r w:rsidR="00470ADC" w:rsidRPr="00D5464D">
        <w:rPr>
          <w:rFonts w:cs="Arial"/>
          <w:iCs/>
          <w:szCs w:val="20"/>
          <w:lang w:val="pt-BR"/>
        </w:rPr>
        <w:t xml:space="preserve"> </w:t>
      </w:r>
      <w:r w:rsidR="002C330E" w:rsidRPr="00D5464D">
        <w:rPr>
          <w:rFonts w:cs="Arial"/>
          <w:iCs/>
          <w:szCs w:val="20"/>
          <w:lang w:val="pt-BR"/>
        </w:rPr>
        <w:t>supost</w:t>
      </w:r>
      <w:r w:rsidR="00E045D9" w:rsidRPr="00D5464D">
        <w:rPr>
          <w:rFonts w:cs="Arial"/>
          <w:iCs/>
          <w:szCs w:val="20"/>
          <w:lang w:val="pt-BR"/>
        </w:rPr>
        <w:t>o desaparecimento</w:t>
      </w:r>
      <w:r w:rsidR="00470ADC" w:rsidRPr="00D5464D">
        <w:rPr>
          <w:rFonts w:cs="Arial"/>
          <w:iCs/>
          <w:szCs w:val="20"/>
          <w:lang w:val="pt-BR"/>
        </w:rPr>
        <w:t xml:space="preserve"> foi </w:t>
      </w:r>
      <w:r w:rsidR="00D81AA1" w:rsidRPr="00D5464D">
        <w:rPr>
          <w:rFonts w:cs="Arial"/>
          <w:iCs/>
          <w:szCs w:val="20"/>
          <w:lang w:val="pt-BR"/>
        </w:rPr>
        <w:t xml:space="preserve">realizada </w:t>
      </w:r>
      <w:r w:rsidR="00470ADC" w:rsidRPr="00D5464D">
        <w:rPr>
          <w:rFonts w:cs="Arial"/>
          <w:iCs/>
          <w:szCs w:val="20"/>
          <w:lang w:val="pt-BR"/>
        </w:rPr>
        <w:t>quatro</w:t>
      </w:r>
      <w:r w:rsidR="00D81AA1" w:rsidRPr="00D5464D">
        <w:rPr>
          <w:rFonts w:cs="Arial"/>
          <w:iCs/>
          <w:szCs w:val="20"/>
          <w:lang w:val="pt-BR"/>
        </w:rPr>
        <w:t xml:space="preserve"> meses </w:t>
      </w:r>
      <w:r w:rsidR="00470ADC" w:rsidRPr="00D5464D">
        <w:rPr>
          <w:rFonts w:cs="Arial"/>
          <w:iCs/>
          <w:szCs w:val="20"/>
          <w:lang w:val="pt-BR"/>
        </w:rPr>
        <w:t xml:space="preserve">depois da </w:t>
      </w:r>
      <w:r w:rsidR="008E18B4" w:rsidRPr="00D5464D">
        <w:rPr>
          <w:rFonts w:cs="Arial"/>
          <w:iCs/>
          <w:szCs w:val="20"/>
          <w:lang w:val="pt-BR"/>
        </w:rPr>
        <w:t>su</w:t>
      </w:r>
      <w:r w:rsidR="002C330E" w:rsidRPr="00D5464D">
        <w:rPr>
          <w:rFonts w:cs="Arial"/>
          <w:iCs/>
          <w:szCs w:val="20"/>
          <w:lang w:val="pt-BR"/>
        </w:rPr>
        <w:t>posta</w:t>
      </w:r>
      <w:r w:rsidR="00D81AA1" w:rsidRPr="00D5464D">
        <w:rPr>
          <w:rFonts w:cs="Arial"/>
          <w:iCs/>
          <w:szCs w:val="20"/>
          <w:lang w:val="pt-BR"/>
        </w:rPr>
        <w:t xml:space="preserve"> </w:t>
      </w:r>
      <w:r w:rsidR="00E045D9" w:rsidRPr="00D5464D">
        <w:rPr>
          <w:rFonts w:cs="Arial"/>
          <w:iCs/>
          <w:szCs w:val="20"/>
          <w:lang w:val="pt-BR"/>
        </w:rPr>
        <w:t>ocorrência</w:t>
      </w:r>
      <w:r w:rsidR="00D81AA1" w:rsidRPr="00D5464D">
        <w:rPr>
          <w:rFonts w:cs="Arial"/>
          <w:iCs/>
          <w:szCs w:val="20"/>
          <w:lang w:val="pt-BR"/>
        </w:rPr>
        <w:t xml:space="preserve"> </w:t>
      </w:r>
      <w:r w:rsidR="00470ADC" w:rsidRPr="00D5464D">
        <w:rPr>
          <w:rFonts w:cs="Arial"/>
          <w:iCs/>
          <w:szCs w:val="20"/>
          <w:lang w:val="pt-BR"/>
        </w:rPr>
        <w:t>do</w:t>
      </w:r>
      <w:r w:rsidR="00A1358C" w:rsidRPr="00D5464D">
        <w:rPr>
          <w:rFonts w:cs="Arial"/>
          <w:iCs/>
          <w:szCs w:val="20"/>
          <w:lang w:val="pt-BR"/>
        </w:rPr>
        <w:t xml:space="preserve"> fato</w:t>
      </w:r>
      <w:r w:rsidR="00D81AA1" w:rsidRPr="00D5464D">
        <w:rPr>
          <w:rFonts w:cs="Arial"/>
          <w:iCs/>
          <w:szCs w:val="20"/>
          <w:lang w:val="pt-BR"/>
        </w:rPr>
        <w:t>,</w:t>
      </w:r>
      <w:r w:rsidR="00A1358C" w:rsidRPr="00D5464D">
        <w:rPr>
          <w:rFonts w:cs="Arial"/>
          <w:iCs/>
          <w:szCs w:val="20"/>
          <w:lang w:val="pt-BR"/>
        </w:rPr>
        <w:t xml:space="preserve"> o que </w:t>
      </w:r>
      <w:r w:rsidR="002C330E" w:rsidRPr="00D5464D">
        <w:rPr>
          <w:rFonts w:cs="Arial"/>
          <w:iCs/>
          <w:szCs w:val="20"/>
          <w:lang w:val="pt-BR"/>
        </w:rPr>
        <w:t>impediu</w:t>
      </w:r>
      <w:r w:rsidR="00470ADC" w:rsidRPr="00D5464D">
        <w:rPr>
          <w:rFonts w:cs="Arial"/>
          <w:iCs/>
          <w:szCs w:val="20"/>
          <w:lang w:val="pt-BR"/>
        </w:rPr>
        <w:t xml:space="preserve"> o </w:t>
      </w:r>
      <w:r w:rsidR="00D81AA1" w:rsidRPr="00D5464D">
        <w:rPr>
          <w:rFonts w:cs="Arial"/>
          <w:iCs/>
          <w:szCs w:val="20"/>
          <w:lang w:val="pt-BR"/>
        </w:rPr>
        <w:t xml:space="preserve">Estado </w:t>
      </w:r>
      <w:r w:rsidR="00795C35" w:rsidRPr="00D5464D">
        <w:rPr>
          <w:rFonts w:cs="Arial"/>
          <w:iCs/>
          <w:szCs w:val="20"/>
          <w:lang w:val="pt-BR"/>
        </w:rPr>
        <w:t xml:space="preserve">de </w:t>
      </w:r>
      <w:r w:rsidR="00D81AA1" w:rsidRPr="00D5464D">
        <w:rPr>
          <w:rFonts w:cs="Arial"/>
          <w:iCs/>
          <w:szCs w:val="20"/>
          <w:lang w:val="pt-BR"/>
        </w:rPr>
        <w:t>evitar</w:t>
      </w:r>
      <w:r w:rsidR="002C330E" w:rsidRPr="00D5464D">
        <w:rPr>
          <w:rFonts w:cs="Arial"/>
          <w:iCs/>
          <w:szCs w:val="20"/>
          <w:lang w:val="pt-BR"/>
        </w:rPr>
        <w:t xml:space="preserve"> </w:t>
      </w:r>
      <w:r w:rsidR="00470ADC" w:rsidRPr="00D5464D">
        <w:rPr>
          <w:rFonts w:cs="Arial"/>
          <w:iCs/>
          <w:szCs w:val="20"/>
          <w:lang w:val="pt-BR"/>
        </w:rPr>
        <w:t xml:space="preserve">o </w:t>
      </w:r>
      <w:r w:rsidR="00D81AA1" w:rsidRPr="00D5464D">
        <w:rPr>
          <w:rFonts w:cs="Arial"/>
          <w:iCs/>
          <w:szCs w:val="20"/>
          <w:lang w:val="pt-BR"/>
        </w:rPr>
        <w:t>su</w:t>
      </w:r>
      <w:r w:rsidR="002C330E" w:rsidRPr="00D5464D">
        <w:rPr>
          <w:rFonts w:cs="Arial"/>
          <w:iCs/>
          <w:szCs w:val="20"/>
          <w:lang w:val="pt-BR"/>
        </w:rPr>
        <w:t xml:space="preserve">posto </w:t>
      </w:r>
      <w:r w:rsidRPr="00D5464D">
        <w:rPr>
          <w:rFonts w:cs="Arial"/>
          <w:iCs/>
          <w:szCs w:val="20"/>
          <w:lang w:val="pt-BR"/>
        </w:rPr>
        <w:t>acontecimento</w:t>
      </w:r>
      <w:r w:rsidR="00A1358C" w:rsidRPr="00D5464D">
        <w:rPr>
          <w:rFonts w:cs="Arial"/>
          <w:iCs/>
          <w:szCs w:val="20"/>
          <w:lang w:val="pt-BR"/>
        </w:rPr>
        <w:t>. Em consequência</w:t>
      </w:r>
      <w:r w:rsidR="00D81AA1" w:rsidRPr="00D5464D">
        <w:rPr>
          <w:rFonts w:cs="Arial"/>
          <w:iCs/>
          <w:szCs w:val="20"/>
          <w:lang w:val="pt-BR"/>
        </w:rPr>
        <w:t>,</w:t>
      </w:r>
      <w:r w:rsidR="00470ADC" w:rsidRPr="00D5464D">
        <w:rPr>
          <w:rFonts w:cs="Arial"/>
          <w:iCs/>
          <w:szCs w:val="20"/>
          <w:lang w:val="pt-BR"/>
        </w:rPr>
        <w:t xml:space="preserve"> o </w:t>
      </w:r>
      <w:r w:rsidR="00D81AA1" w:rsidRPr="00D5464D">
        <w:rPr>
          <w:rFonts w:cs="Arial"/>
          <w:iCs/>
          <w:szCs w:val="20"/>
          <w:lang w:val="pt-BR"/>
        </w:rPr>
        <w:t xml:space="preserve">Estado </w:t>
      </w:r>
      <w:r w:rsidR="00470ADC" w:rsidRPr="00D5464D">
        <w:rPr>
          <w:rFonts w:cs="Arial"/>
          <w:iCs/>
          <w:szCs w:val="20"/>
          <w:lang w:val="pt-BR"/>
        </w:rPr>
        <w:t>concluiu</w:t>
      </w:r>
      <w:r w:rsidR="00D81AA1" w:rsidRPr="00D5464D">
        <w:rPr>
          <w:rFonts w:cs="Arial"/>
          <w:iCs/>
          <w:szCs w:val="20"/>
          <w:lang w:val="pt-BR"/>
        </w:rPr>
        <w:t xml:space="preserve"> que n</w:t>
      </w:r>
      <w:r w:rsidR="00EC5B95" w:rsidRPr="00D5464D">
        <w:rPr>
          <w:rFonts w:cs="Arial"/>
          <w:iCs/>
          <w:szCs w:val="20"/>
          <w:lang w:val="pt-BR"/>
        </w:rPr>
        <w:t>ã</w:t>
      </w:r>
      <w:r w:rsidR="00D81AA1" w:rsidRPr="00D5464D">
        <w:rPr>
          <w:rFonts w:cs="Arial"/>
          <w:iCs/>
          <w:szCs w:val="20"/>
          <w:lang w:val="pt-BR"/>
        </w:rPr>
        <w:t>o po</w:t>
      </w:r>
      <w:r w:rsidR="00470ADC" w:rsidRPr="00D5464D">
        <w:rPr>
          <w:rFonts w:cs="Arial"/>
          <w:iCs/>
          <w:szCs w:val="20"/>
          <w:lang w:val="pt-BR"/>
        </w:rPr>
        <w:t>d</w:t>
      </w:r>
      <w:r w:rsidR="00EC5B95" w:rsidRPr="00D5464D">
        <w:rPr>
          <w:rFonts w:cs="Arial"/>
          <w:iCs/>
          <w:szCs w:val="20"/>
          <w:lang w:val="pt-BR"/>
        </w:rPr>
        <w:t>er</w:t>
      </w:r>
      <w:r w:rsidR="00470ADC" w:rsidRPr="00D5464D">
        <w:rPr>
          <w:rFonts w:cs="Arial"/>
          <w:iCs/>
          <w:szCs w:val="20"/>
          <w:lang w:val="pt-BR"/>
        </w:rPr>
        <w:t>ia</w:t>
      </w:r>
      <w:r w:rsidR="00D81AA1" w:rsidRPr="00D5464D">
        <w:rPr>
          <w:rFonts w:cs="Arial"/>
          <w:iCs/>
          <w:szCs w:val="20"/>
          <w:lang w:val="pt-BR"/>
        </w:rPr>
        <w:t xml:space="preserve"> ser </w:t>
      </w:r>
      <w:r w:rsidR="00EC5B95" w:rsidRPr="00D5464D">
        <w:rPr>
          <w:rFonts w:cs="Arial"/>
          <w:iCs/>
          <w:szCs w:val="20"/>
          <w:lang w:val="pt-BR"/>
        </w:rPr>
        <w:t xml:space="preserve">considerado </w:t>
      </w:r>
      <w:r w:rsidR="002C330E" w:rsidRPr="00D5464D">
        <w:rPr>
          <w:rFonts w:cs="Arial"/>
          <w:iCs/>
          <w:szCs w:val="20"/>
          <w:lang w:val="pt-BR"/>
        </w:rPr>
        <w:t xml:space="preserve">responsável pela </w:t>
      </w:r>
      <w:r w:rsidR="00D81AA1" w:rsidRPr="00D5464D">
        <w:rPr>
          <w:rFonts w:cs="Arial"/>
          <w:iCs/>
          <w:szCs w:val="20"/>
          <w:lang w:val="pt-BR"/>
        </w:rPr>
        <w:t>alegada viola</w:t>
      </w:r>
      <w:r w:rsidR="00470ADC" w:rsidRPr="00D5464D">
        <w:rPr>
          <w:rFonts w:cs="Arial"/>
          <w:iCs/>
          <w:szCs w:val="20"/>
          <w:lang w:val="pt-BR"/>
        </w:rPr>
        <w:t>ção dos direito</w:t>
      </w:r>
      <w:r w:rsidR="00D81AA1" w:rsidRPr="00D5464D">
        <w:rPr>
          <w:rFonts w:cs="Arial"/>
          <w:iCs/>
          <w:szCs w:val="20"/>
          <w:lang w:val="pt-BR"/>
        </w:rPr>
        <w:t>s humanos contemplados</w:t>
      </w:r>
      <w:r w:rsidR="00E045D9" w:rsidRPr="00D5464D">
        <w:rPr>
          <w:rFonts w:cs="Arial"/>
          <w:iCs/>
          <w:szCs w:val="20"/>
          <w:lang w:val="pt-BR"/>
        </w:rPr>
        <w:t xml:space="preserve"> nos </w:t>
      </w:r>
      <w:r w:rsidR="00470ADC" w:rsidRPr="00D5464D">
        <w:rPr>
          <w:rFonts w:cs="Arial"/>
          <w:iCs/>
          <w:szCs w:val="20"/>
          <w:lang w:val="pt-BR"/>
        </w:rPr>
        <w:t>artigo</w:t>
      </w:r>
      <w:r w:rsidR="00D81AA1" w:rsidRPr="00D5464D">
        <w:rPr>
          <w:rFonts w:cs="Arial"/>
          <w:iCs/>
          <w:szCs w:val="20"/>
          <w:lang w:val="pt-BR"/>
        </w:rPr>
        <w:t>s 3, 4, 5</w:t>
      </w:r>
      <w:r w:rsidR="002A0C2B" w:rsidRPr="00D5464D">
        <w:rPr>
          <w:rFonts w:cs="Arial"/>
          <w:iCs/>
          <w:szCs w:val="20"/>
          <w:lang w:val="pt-BR"/>
        </w:rPr>
        <w:t xml:space="preserve"> e </w:t>
      </w:r>
      <w:r w:rsidR="00D81AA1" w:rsidRPr="00D5464D">
        <w:rPr>
          <w:rFonts w:cs="Arial"/>
          <w:iCs/>
          <w:szCs w:val="20"/>
          <w:lang w:val="pt-BR"/>
        </w:rPr>
        <w:t>7</w:t>
      </w:r>
      <w:r w:rsidR="00470ADC" w:rsidRPr="00D5464D">
        <w:rPr>
          <w:rFonts w:cs="Arial"/>
          <w:iCs/>
          <w:szCs w:val="20"/>
          <w:lang w:val="pt-BR"/>
        </w:rPr>
        <w:t xml:space="preserve"> da </w:t>
      </w:r>
      <w:r w:rsidR="00D81AA1" w:rsidRPr="00D5464D">
        <w:rPr>
          <w:rFonts w:cs="Arial"/>
          <w:iCs/>
          <w:szCs w:val="20"/>
          <w:lang w:val="pt-BR"/>
        </w:rPr>
        <w:t>Conven</w:t>
      </w:r>
      <w:r w:rsidR="00470ADC" w:rsidRPr="00D5464D">
        <w:rPr>
          <w:rFonts w:cs="Arial"/>
          <w:iCs/>
          <w:szCs w:val="20"/>
          <w:lang w:val="pt-BR"/>
        </w:rPr>
        <w:t>ção</w:t>
      </w:r>
      <w:r w:rsidR="00D81AA1" w:rsidRPr="00D5464D">
        <w:rPr>
          <w:rFonts w:cs="Arial"/>
          <w:iCs/>
          <w:szCs w:val="20"/>
          <w:lang w:val="pt-BR"/>
        </w:rPr>
        <w:t xml:space="preserve"> Americana,</w:t>
      </w:r>
      <w:r w:rsidR="00470ADC" w:rsidRPr="00D5464D">
        <w:rPr>
          <w:rFonts w:cs="Arial"/>
          <w:iCs/>
          <w:szCs w:val="20"/>
          <w:lang w:val="pt-BR"/>
        </w:rPr>
        <w:t xml:space="preserve"> em </w:t>
      </w:r>
      <w:r w:rsidR="002C330E" w:rsidRPr="00D5464D">
        <w:rPr>
          <w:rFonts w:cs="Arial"/>
          <w:iCs/>
          <w:szCs w:val="20"/>
          <w:lang w:val="pt-BR"/>
        </w:rPr>
        <w:t>prejuízo</w:t>
      </w:r>
      <w:r w:rsidR="00D81AA1" w:rsidRPr="00D5464D">
        <w:rPr>
          <w:rFonts w:cs="Arial"/>
          <w:iCs/>
          <w:szCs w:val="20"/>
          <w:lang w:val="pt-BR"/>
        </w:rPr>
        <w:t xml:space="preserve"> de Luis Ferreira da Cruz,</w:t>
      </w:r>
      <w:r w:rsidR="002C330E" w:rsidRPr="00D5464D">
        <w:rPr>
          <w:rFonts w:cs="Arial"/>
          <w:iCs/>
          <w:szCs w:val="20"/>
          <w:lang w:val="pt-BR"/>
        </w:rPr>
        <w:t xml:space="preserve"> nem </w:t>
      </w:r>
      <w:r w:rsidR="00470ADC" w:rsidRPr="00D5464D">
        <w:rPr>
          <w:rFonts w:cs="Arial"/>
          <w:iCs/>
          <w:szCs w:val="20"/>
          <w:lang w:val="pt-BR"/>
        </w:rPr>
        <w:t xml:space="preserve">da </w:t>
      </w:r>
      <w:r w:rsidR="002C330E" w:rsidRPr="00D5464D">
        <w:rPr>
          <w:rFonts w:cs="Arial"/>
          <w:iCs/>
          <w:szCs w:val="20"/>
          <w:lang w:val="pt-BR"/>
        </w:rPr>
        <w:t>suposta</w:t>
      </w:r>
      <w:r w:rsidR="00D81AA1" w:rsidRPr="00D5464D">
        <w:rPr>
          <w:rFonts w:cs="Arial"/>
          <w:iCs/>
          <w:szCs w:val="20"/>
          <w:lang w:val="pt-BR"/>
        </w:rPr>
        <w:t xml:space="preserve"> viola</w:t>
      </w:r>
      <w:r w:rsidR="00470ADC" w:rsidRPr="00D5464D">
        <w:rPr>
          <w:rFonts w:cs="Arial"/>
          <w:iCs/>
          <w:szCs w:val="20"/>
          <w:lang w:val="pt-BR"/>
        </w:rPr>
        <w:t>ção dos artigo</w:t>
      </w:r>
      <w:r w:rsidR="00D81AA1" w:rsidRPr="00D5464D">
        <w:rPr>
          <w:rFonts w:cs="Arial"/>
          <w:iCs/>
          <w:szCs w:val="20"/>
          <w:lang w:val="pt-BR"/>
        </w:rPr>
        <w:t>s 8</w:t>
      </w:r>
      <w:r w:rsidR="00E045D9" w:rsidRPr="00D5464D">
        <w:rPr>
          <w:rFonts w:cs="Arial"/>
          <w:iCs/>
          <w:szCs w:val="20"/>
          <w:lang w:val="pt-BR"/>
        </w:rPr>
        <w:t xml:space="preserve"> e </w:t>
      </w:r>
      <w:r w:rsidR="00D81AA1" w:rsidRPr="00D5464D">
        <w:rPr>
          <w:rFonts w:cs="Arial"/>
          <w:iCs/>
          <w:szCs w:val="20"/>
          <w:lang w:val="pt-BR"/>
        </w:rPr>
        <w:t xml:space="preserve">25 </w:t>
      </w:r>
      <w:r w:rsidR="00470ADC" w:rsidRPr="00D5464D">
        <w:rPr>
          <w:rFonts w:cs="Arial"/>
          <w:iCs/>
          <w:szCs w:val="20"/>
          <w:lang w:val="pt-BR"/>
        </w:rPr>
        <w:t xml:space="preserve">do </w:t>
      </w:r>
      <w:r w:rsidR="002C330E" w:rsidRPr="00D5464D">
        <w:rPr>
          <w:rFonts w:cs="Arial"/>
          <w:iCs/>
          <w:szCs w:val="20"/>
          <w:lang w:val="pt-BR"/>
        </w:rPr>
        <w:t>mesm</w:t>
      </w:r>
      <w:r w:rsidR="00D81AA1" w:rsidRPr="00D5464D">
        <w:rPr>
          <w:rFonts w:cs="Arial"/>
          <w:iCs/>
          <w:szCs w:val="20"/>
          <w:lang w:val="pt-BR"/>
        </w:rPr>
        <w:t>o instrumento</w:t>
      </w:r>
      <w:r w:rsidR="00470ADC" w:rsidRPr="00D5464D">
        <w:rPr>
          <w:rFonts w:cs="Arial"/>
          <w:iCs/>
          <w:szCs w:val="20"/>
          <w:lang w:val="pt-BR"/>
        </w:rPr>
        <w:t xml:space="preserve"> em </w:t>
      </w:r>
      <w:r w:rsidR="002C330E" w:rsidRPr="00D5464D">
        <w:rPr>
          <w:rFonts w:cs="Arial"/>
          <w:iCs/>
          <w:szCs w:val="20"/>
          <w:lang w:val="pt-BR"/>
        </w:rPr>
        <w:t>prejuízo</w:t>
      </w:r>
      <w:r w:rsidR="00D81AA1" w:rsidRPr="00D5464D">
        <w:rPr>
          <w:rFonts w:cs="Arial"/>
          <w:iCs/>
          <w:szCs w:val="20"/>
          <w:lang w:val="pt-BR"/>
        </w:rPr>
        <w:t xml:space="preserve"> de </w:t>
      </w:r>
      <w:r w:rsidR="00E045D9" w:rsidRPr="00D5464D">
        <w:rPr>
          <w:rFonts w:cs="Arial"/>
          <w:iCs/>
          <w:szCs w:val="20"/>
          <w:lang w:val="pt-BR"/>
        </w:rPr>
        <w:t>seus familiares</w:t>
      </w:r>
      <w:r w:rsidR="00D81AA1" w:rsidRPr="00D5464D">
        <w:rPr>
          <w:rFonts w:cs="Arial"/>
          <w:iCs/>
          <w:szCs w:val="20"/>
          <w:lang w:val="pt-BR"/>
        </w:rPr>
        <w:t>.</w:t>
      </w:r>
    </w:p>
    <w:p w14:paraId="34F16E99" w14:textId="77777777" w:rsidR="000C04E5" w:rsidRPr="00D5464D" w:rsidRDefault="000C04E5" w:rsidP="00A47A97">
      <w:pPr>
        <w:tabs>
          <w:tab w:val="right" w:pos="0"/>
        </w:tabs>
        <w:autoSpaceDE w:val="0"/>
        <w:autoSpaceDN w:val="0"/>
        <w:adjustRightInd w:val="0"/>
        <w:rPr>
          <w:rFonts w:cs="Arial"/>
          <w:iCs/>
          <w:szCs w:val="20"/>
          <w:lang w:val="pt-BR"/>
        </w:rPr>
      </w:pPr>
    </w:p>
    <w:p w14:paraId="2D2CB6D4" w14:textId="66A25783" w:rsidR="00D81AA1" w:rsidRPr="00D5464D" w:rsidRDefault="00A47A97" w:rsidP="00C30FB8">
      <w:pPr>
        <w:pStyle w:val="Ttulo4"/>
        <w:spacing w:before="0" w:after="0"/>
        <w:rPr>
          <w:lang w:val="pt-BR"/>
        </w:rPr>
      </w:pPr>
      <w:bookmarkStart w:id="431" w:name="_Toc460433056"/>
      <w:bookmarkStart w:id="432" w:name="_Toc460441987"/>
      <w:bookmarkStart w:id="433" w:name="_Toc462751129"/>
      <w:bookmarkStart w:id="434" w:name="_Toc464813981"/>
      <w:bookmarkStart w:id="435" w:name="_Toc468433942"/>
      <w:r w:rsidRPr="00D5464D">
        <w:rPr>
          <w:lang w:val="pt-BR"/>
        </w:rPr>
        <w:t xml:space="preserve">B.4.2 </w:t>
      </w:r>
      <w:r w:rsidR="00D81AA1" w:rsidRPr="00D5464D">
        <w:rPr>
          <w:lang w:val="pt-BR"/>
        </w:rPr>
        <w:t>Considera</w:t>
      </w:r>
      <w:r w:rsidR="00470ADC" w:rsidRPr="00D5464D">
        <w:rPr>
          <w:lang w:val="pt-BR"/>
        </w:rPr>
        <w:t xml:space="preserve">ções da </w:t>
      </w:r>
      <w:r w:rsidR="00D81AA1" w:rsidRPr="00D5464D">
        <w:rPr>
          <w:lang w:val="pt-BR"/>
        </w:rPr>
        <w:t>Corte</w:t>
      </w:r>
      <w:bookmarkEnd w:id="431"/>
      <w:bookmarkEnd w:id="432"/>
      <w:bookmarkEnd w:id="433"/>
      <w:bookmarkEnd w:id="434"/>
      <w:bookmarkEnd w:id="435"/>
      <w:r w:rsidR="00C30FB8" w:rsidRPr="00D5464D">
        <w:rPr>
          <w:lang w:val="pt-BR"/>
        </w:rPr>
        <w:t xml:space="preserve"> </w:t>
      </w:r>
    </w:p>
    <w:p w14:paraId="1919B08F" w14:textId="77777777" w:rsidR="00747A03" w:rsidRPr="00D5464D" w:rsidRDefault="00747A03" w:rsidP="00747A03">
      <w:pPr>
        <w:pStyle w:val="Prrafodelista"/>
        <w:tabs>
          <w:tab w:val="right" w:pos="0"/>
        </w:tabs>
        <w:ind w:left="0"/>
        <w:contextualSpacing w:val="0"/>
        <w:rPr>
          <w:rFonts w:cs="Arial"/>
          <w:iCs/>
          <w:szCs w:val="20"/>
          <w:lang w:val="pt-BR"/>
        </w:rPr>
      </w:pPr>
    </w:p>
    <w:p w14:paraId="5D2D9C4A" w14:textId="56CF63E6" w:rsidR="00D81AA1" w:rsidRPr="00D5464D" w:rsidRDefault="00470ADC" w:rsidP="00C30FB8">
      <w:pPr>
        <w:pStyle w:val="Prrafodelista"/>
        <w:numPr>
          <w:ilvl w:val="0"/>
          <w:numId w:val="1"/>
        </w:numPr>
        <w:tabs>
          <w:tab w:val="right" w:pos="0"/>
        </w:tabs>
        <w:contextualSpacing w:val="0"/>
        <w:rPr>
          <w:rFonts w:cs="Arial"/>
          <w:iCs/>
          <w:szCs w:val="20"/>
          <w:lang w:val="pt-BR"/>
        </w:rPr>
      </w:pPr>
      <w:r w:rsidRPr="00D5464D">
        <w:rPr>
          <w:lang w:val="pt-BR"/>
        </w:rPr>
        <w:t xml:space="preserve">A </w:t>
      </w:r>
      <w:r w:rsidR="00D81AA1" w:rsidRPr="00D5464D">
        <w:rPr>
          <w:rFonts w:cs="Arial"/>
          <w:iCs/>
          <w:szCs w:val="20"/>
          <w:lang w:val="pt-BR"/>
        </w:rPr>
        <w:t xml:space="preserve">Corte </w:t>
      </w:r>
      <w:r w:rsidR="002C330E" w:rsidRPr="00D5464D">
        <w:rPr>
          <w:rFonts w:cs="Arial"/>
          <w:iCs/>
          <w:szCs w:val="20"/>
          <w:lang w:val="pt-BR"/>
        </w:rPr>
        <w:t>estabeleceu</w:t>
      </w:r>
      <w:r w:rsidR="00D81AA1" w:rsidRPr="00D5464D">
        <w:rPr>
          <w:rFonts w:cs="Arial"/>
          <w:iCs/>
          <w:szCs w:val="20"/>
          <w:lang w:val="pt-BR"/>
        </w:rPr>
        <w:t xml:space="preserve"> que</w:t>
      </w:r>
      <w:r w:rsidR="00644A28" w:rsidRPr="00D5464D">
        <w:rPr>
          <w:rFonts w:cs="Arial"/>
          <w:iCs/>
          <w:szCs w:val="20"/>
          <w:lang w:val="pt-BR"/>
        </w:rPr>
        <w:t>,</w:t>
      </w:r>
      <w:r w:rsidR="00D81AA1" w:rsidRPr="00D5464D">
        <w:rPr>
          <w:rFonts w:cs="Arial"/>
          <w:iCs/>
          <w:szCs w:val="20"/>
          <w:lang w:val="pt-BR"/>
        </w:rPr>
        <w:t xml:space="preserve"> </w:t>
      </w:r>
      <w:r w:rsidR="002C330E" w:rsidRPr="00D5464D">
        <w:rPr>
          <w:rFonts w:cs="Arial"/>
          <w:iCs/>
          <w:szCs w:val="20"/>
          <w:lang w:val="pt-BR"/>
        </w:rPr>
        <w:t>enquanto</w:t>
      </w:r>
      <w:r w:rsidR="00D81AA1" w:rsidRPr="00D5464D">
        <w:rPr>
          <w:rFonts w:cs="Arial"/>
          <w:iCs/>
          <w:szCs w:val="20"/>
          <w:lang w:val="pt-BR"/>
        </w:rPr>
        <w:t xml:space="preserve"> perdure</w:t>
      </w:r>
      <w:r w:rsidR="002C330E" w:rsidRPr="00D5464D">
        <w:rPr>
          <w:rFonts w:cs="Arial"/>
          <w:iCs/>
          <w:szCs w:val="20"/>
          <w:lang w:val="pt-BR"/>
        </w:rPr>
        <w:t xml:space="preserve"> </w:t>
      </w:r>
      <w:r w:rsidR="00E045D9" w:rsidRPr="00D5464D">
        <w:rPr>
          <w:rFonts w:cs="Arial"/>
          <w:iCs/>
          <w:szCs w:val="20"/>
          <w:lang w:val="pt-BR"/>
        </w:rPr>
        <w:t>o desaparecimento forçado</w:t>
      </w:r>
      <w:r w:rsidR="00EC5B95" w:rsidRPr="00D5464D">
        <w:rPr>
          <w:rFonts w:cs="Arial"/>
          <w:iCs/>
          <w:szCs w:val="20"/>
          <w:lang w:val="pt-BR"/>
        </w:rPr>
        <w:t>,</w:t>
      </w:r>
      <w:r w:rsidR="002C330E" w:rsidRPr="00D5464D">
        <w:rPr>
          <w:rFonts w:cs="Arial"/>
          <w:iCs/>
          <w:szCs w:val="20"/>
          <w:lang w:val="pt-BR"/>
        </w:rPr>
        <w:t xml:space="preserve"> os </w:t>
      </w:r>
      <w:r w:rsidR="00D81AA1" w:rsidRPr="00D5464D">
        <w:rPr>
          <w:rFonts w:cs="Arial"/>
          <w:iCs/>
          <w:szCs w:val="20"/>
          <w:lang w:val="pt-BR"/>
        </w:rPr>
        <w:t xml:space="preserve">Estados </w:t>
      </w:r>
      <w:r w:rsidR="00230C71" w:rsidRPr="00D5464D">
        <w:rPr>
          <w:rFonts w:cs="Arial"/>
          <w:iCs/>
          <w:szCs w:val="20"/>
          <w:lang w:val="pt-BR"/>
        </w:rPr>
        <w:t>têm o</w:t>
      </w:r>
      <w:r w:rsidRPr="00D5464D">
        <w:rPr>
          <w:rFonts w:cs="Arial"/>
          <w:iCs/>
          <w:szCs w:val="20"/>
          <w:lang w:val="pt-BR"/>
        </w:rPr>
        <w:t xml:space="preserve"> dever</w:t>
      </w:r>
      <w:r w:rsidR="00D81AA1" w:rsidRPr="00D5464D">
        <w:rPr>
          <w:rFonts w:cs="Arial"/>
          <w:iCs/>
          <w:szCs w:val="20"/>
          <w:lang w:val="pt-BR"/>
        </w:rPr>
        <w:t xml:space="preserve"> correlato de investig</w:t>
      </w:r>
      <w:r w:rsidR="00737270" w:rsidRPr="00D5464D">
        <w:rPr>
          <w:rFonts w:cs="Arial"/>
          <w:iCs/>
          <w:szCs w:val="20"/>
          <w:lang w:val="pt-BR"/>
        </w:rPr>
        <w:t>á-l</w:t>
      </w:r>
      <w:r w:rsidR="00EC5B95" w:rsidRPr="00D5464D">
        <w:rPr>
          <w:rFonts w:cs="Arial"/>
          <w:iCs/>
          <w:szCs w:val="20"/>
          <w:lang w:val="pt-BR"/>
        </w:rPr>
        <w:t>o</w:t>
      </w:r>
      <w:r w:rsidR="00737270" w:rsidRPr="00D5464D">
        <w:rPr>
          <w:rFonts w:cs="Arial"/>
          <w:iCs/>
          <w:szCs w:val="20"/>
          <w:lang w:val="pt-BR"/>
        </w:rPr>
        <w:t xml:space="preserve"> </w:t>
      </w:r>
      <w:r w:rsidR="00E045D9" w:rsidRPr="00D5464D">
        <w:rPr>
          <w:rFonts w:cs="Arial"/>
          <w:iCs/>
          <w:szCs w:val="20"/>
          <w:lang w:val="pt-BR"/>
        </w:rPr>
        <w:t>e,</w:t>
      </w:r>
      <w:r w:rsidR="00D81AA1" w:rsidRPr="00D5464D">
        <w:rPr>
          <w:rFonts w:cs="Arial"/>
          <w:iCs/>
          <w:szCs w:val="20"/>
          <w:lang w:val="pt-BR"/>
        </w:rPr>
        <w:t xml:space="preserve"> eventualmente</w:t>
      </w:r>
      <w:r w:rsidR="00C91CB1" w:rsidRPr="00D5464D">
        <w:rPr>
          <w:rFonts w:cs="Arial"/>
          <w:iCs/>
          <w:szCs w:val="20"/>
          <w:lang w:val="pt-BR"/>
        </w:rPr>
        <w:t>, punir os responsáveis</w:t>
      </w:r>
      <w:r w:rsidR="00D81AA1" w:rsidRPr="00D5464D">
        <w:rPr>
          <w:rFonts w:cs="Arial"/>
          <w:iCs/>
          <w:szCs w:val="20"/>
          <w:lang w:val="pt-BR"/>
        </w:rPr>
        <w:t xml:space="preserve">, </w:t>
      </w:r>
      <w:r w:rsidR="00EC5B95" w:rsidRPr="00D5464D">
        <w:rPr>
          <w:rFonts w:cs="Arial"/>
          <w:iCs/>
          <w:szCs w:val="20"/>
          <w:lang w:val="pt-BR"/>
        </w:rPr>
        <w:t>em conformidade com a</w:t>
      </w:r>
      <w:r w:rsidR="00E045D9" w:rsidRPr="00D5464D">
        <w:rPr>
          <w:rFonts w:cs="Arial"/>
          <w:iCs/>
          <w:szCs w:val="20"/>
          <w:lang w:val="pt-BR"/>
        </w:rPr>
        <w:t xml:space="preserve">s </w:t>
      </w:r>
      <w:r w:rsidR="002C330E" w:rsidRPr="00D5464D">
        <w:rPr>
          <w:rFonts w:cs="Arial"/>
          <w:iCs/>
          <w:szCs w:val="20"/>
          <w:lang w:val="pt-BR"/>
        </w:rPr>
        <w:t>obrigações</w:t>
      </w:r>
      <w:r w:rsidR="00D81AA1" w:rsidRPr="00D5464D">
        <w:rPr>
          <w:rFonts w:cs="Arial"/>
          <w:iCs/>
          <w:szCs w:val="20"/>
          <w:lang w:val="pt-BR"/>
        </w:rPr>
        <w:t xml:space="preserve"> derivadas</w:t>
      </w:r>
      <w:r w:rsidRPr="00D5464D">
        <w:rPr>
          <w:rFonts w:cs="Arial"/>
          <w:iCs/>
          <w:szCs w:val="20"/>
          <w:lang w:val="pt-BR"/>
        </w:rPr>
        <w:t xml:space="preserve"> da </w:t>
      </w:r>
      <w:r w:rsidR="00D81AA1" w:rsidRPr="00D5464D">
        <w:rPr>
          <w:rFonts w:cs="Arial"/>
          <w:iCs/>
          <w:szCs w:val="20"/>
          <w:lang w:val="pt-BR"/>
        </w:rPr>
        <w:t>Conven</w:t>
      </w:r>
      <w:r w:rsidRPr="00D5464D">
        <w:rPr>
          <w:rFonts w:cs="Arial"/>
          <w:iCs/>
          <w:szCs w:val="20"/>
          <w:lang w:val="pt-BR"/>
        </w:rPr>
        <w:t>ção</w:t>
      </w:r>
      <w:r w:rsidR="00D81AA1" w:rsidRPr="00D5464D">
        <w:rPr>
          <w:rFonts w:cs="Arial"/>
          <w:iCs/>
          <w:szCs w:val="20"/>
          <w:lang w:val="pt-BR"/>
        </w:rPr>
        <w:t xml:space="preserve"> Americana</w:t>
      </w:r>
      <w:r w:rsidR="00E045D9" w:rsidRPr="00D5464D">
        <w:rPr>
          <w:rFonts w:cs="Arial"/>
          <w:iCs/>
          <w:szCs w:val="20"/>
          <w:lang w:val="pt-BR"/>
        </w:rPr>
        <w:t xml:space="preserve"> e,</w:t>
      </w:r>
      <w:r w:rsidRPr="00D5464D">
        <w:rPr>
          <w:rFonts w:cs="Arial"/>
          <w:iCs/>
          <w:szCs w:val="20"/>
          <w:lang w:val="pt-BR"/>
        </w:rPr>
        <w:t xml:space="preserve"> em </w:t>
      </w:r>
      <w:r w:rsidR="00D81AA1" w:rsidRPr="00D5464D">
        <w:rPr>
          <w:rFonts w:cs="Arial"/>
          <w:iCs/>
          <w:szCs w:val="20"/>
          <w:lang w:val="pt-BR"/>
        </w:rPr>
        <w:t>particular,</w:t>
      </w:r>
      <w:r w:rsidRPr="00D5464D">
        <w:rPr>
          <w:rFonts w:cs="Arial"/>
          <w:iCs/>
          <w:szCs w:val="20"/>
          <w:lang w:val="pt-BR"/>
        </w:rPr>
        <w:t xml:space="preserve"> da </w:t>
      </w:r>
      <w:r w:rsidR="00230C71" w:rsidRPr="00D5464D">
        <w:rPr>
          <w:rFonts w:cs="Arial"/>
          <w:iCs/>
          <w:szCs w:val="20"/>
          <w:lang w:val="pt-BR"/>
        </w:rPr>
        <w:t>Convenção Interamericana sobre Desaparecimento Forçado de Pessoas</w:t>
      </w:r>
      <w:r w:rsidR="0025611E" w:rsidRPr="00D5464D">
        <w:rPr>
          <w:rFonts w:cs="Arial"/>
          <w:iCs/>
          <w:szCs w:val="20"/>
          <w:lang w:val="pt-BR"/>
        </w:rPr>
        <w:t>.</w:t>
      </w:r>
      <w:r w:rsidR="00D81AA1" w:rsidRPr="00D5464D">
        <w:rPr>
          <w:rFonts w:cs="Arial"/>
          <w:iCs/>
          <w:szCs w:val="20"/>
          <w:vertAlign w:val="superscript"/>
          <w:lang w:val="pt-BR"/>
        </w:rPr>
        <w:footnoteReference w:id="516"/>
      </w:r>
      <w:r w:rsidR="00D81AA1" w:rsidRPr="00D5464D">
        <w:rPr>
          <w:rFonts w:cs="Arial"/>
          <w:iCs/>
          <w:szCs w:val="20"/>
          <w:lang w:val="pt-BR"/>
        </w:rPr>
        <w:t xml:space="preserve"> De </w:t>
      </w:r>
      <w:r w:rsidRPr="00D5464D">
        <w:rPr>
          <w:rFonts w:cs="Arial"/>
          <w:iCs/>
          <w:szCs w:val="20"/>
          <w:lang w:val="pt-BR"/>
        </w:rPr>
        <w:t>acordo com</w:t>
      </w:r>
      <w:r w:rsidR="00C91CB1" w:rsidRPr="00D5464D">
        <w:rPr>
          <w:rFonts w:cs="Arial"/>
          <w:iCs/>
          <w:szCs w:val="20"/>
          <w:lang w:val="pt-BR"/>
        </w:rPr>
        <w:t xml:space="preserve"> </w:t>
      </w:r>
      <w:r w:rsidR="00644A28" w:rsidRPr="00D5464D">
        <w:rPr>
          <w:rFonts w:cs="Arial"/>
          <w:iCs/>
          <w:szCs w:val="20"/>
          <w:lang w:val="pt-BR"/>
        </w:rPr>
        <w:t>a</w:t>
      </w:r>
      <w:r w:rsidR="00C91CB1" w:rsidRPr="00D5464D">
        <w:rPr>
          <w:rFonts w:cs="Arial"/>
          <w:iCs/>
          <w:szCs w:val="20"/>
          <w:lang w:val="pt-BR"/>
        </w:rPr>
        <w:t xml:space="preserve"> </w:t>
      </w:r>
      <w:r w:rsidR="00D81AA1" w:rsidRPr="00D5464D">
        <w:rPr>
          <w:rFonts w:cs="Arial"/>
          <w:iCs/>
          <w:szCs w:val="20"/>
          <w:lang w:val="pt-BR"/>
        </w:rPr>
        <w:t>argumenta</w:t>
      </w:r>
      <w:r w:rsidR="00644A28" w:rsidRPr="00D5464D">
        <w:rPr>
          <w:rFonts w:cs="Arial"/>
          <w:iCs/>
          <w:szCs w:val="20"/>
          <w:lang w:val="pt-BR"/>
        </w:rPr>
        <w:t>ção</w:t>
      </w:r>
      <w:r w:rsidR="002C330E" w:rsidRPr="00D5464D">
        <w:rPr>
          <w:rFonts w:cs="Arial"/>
          <w:iCs/>
          <w:szCs w:val="20"/>
          <w:lang w:val="pt-BR"/>
        </w:rPr>
        <w:t xml:space="preserve"> </w:t>
      </w:r>
      <w:r w:rsidR="00644A28" w:rsidRPr="00D5464D">
        <w:rPr>
          <w:rFonts w:cs="Arial"/>
          <w:iCs/>
          <w:szCs w:val="20"/>
          <w:lang w:val="pt-BR"/>
        </w:rPr>
        <w:t>d</w:t>
      </w:r>
      <w:r w:rsidR="002C330E" w:rsidRPr="00D5464D">
        <w:rPr>
          <w:rFonts w:cs="Arial"/>
          <w:iCs/>
          <w:szCs w:val="20"/>
          <w:lang w:val="pt-BR"/>
        </w:rPr>
        <w:t xml:space="preserve">as </w:t>
      </w:r>
      <w:r w:rsidR="00D81AA1" w:rsidRPr="00D5464D">
        <w:rPr>
          <w:rFonts w:cs="Arial"/>
          <w:iCs/>
          <w:szCs w:val="20"/>
          <w:lang w:val="pt-BR"/>
        </w:rPr>
        <w:t>partes,</w:t>
      </w:r>
      <w:r w:rsidR="00B54FB3" w:rsidRPr="00D5464D">
        <w:rPr>
          <w:rFonts w:cs="Arial"/>
          <w:iCs/>
          <w:szCs w:val="20"/>
          <w:lang w:val="pt-BR"/>
        </w:rPr>
        <w:t xml:space="preserve"> esta </w:t>
      </w:r>
      <w:r w:rsidR="00E045D9" w:rsidRPr="00D5464D">
        <w:rPr>
          <w:rFonts w:cs="Arial"/>
          <w:iCs/>
          <w:szCs w:val="20"/>
          <w:lang w:val="pt-BR"/>
        </w:rPr>
        <w:t xml:space="preserve">seria </w:t>
      </w:r>
      <w:r w:rsidR="002C330E" w:rsidRPr="00D5464D">
        <w:rPr>
          <w:rFonts w:cs="Arial"/>
          <w:iCs/>
          <w:szCs w:val="20"/>
          <w:lang w:val="pt-BR"/>
        </w:rPr>
        <w:t>a obrigação</w:t>
      </w:r>
      <w:r w:rsidR="00D81AA1" w:rsidRPr="00D5464D">
        <w:rPr>
          <w:rFonts w:cs="Arial"/>
          <w:iCs/>
          <w:szCs w:val="20"/>
          <w:lang w:val="pt-BR"/>
        </w:rPr>
        <w:t xml:space="preserve"> </w:t>
      </w:r>
      <w:r w:rsidR="00EC5B95" w:rsidRPr="00D5464D">
        <w:rPr>
          <w:rFonts w:cs="Arial"/>
          <w:iCs/>
          <w:szCs w:val="20"/>
          <w:lang w:val="pt-BR"/>
        </w:rPr>
        <w:t xml:space="preserve">supostamente descumprida pelo </w:t>
      </w:r>
      <w:r w:rsidR="00D81AA1" w:rsidRPr="00D5464D">
        <w:rPr>
          <w:rFonts w:cs="Arial"/>
          <w:iCs/>
          <w:szCs w:val="20"/>
          <w:lang w:val="pt-BR"/>
        </w:rPr>
        <w:t xml:space="preserve">Estado </w:t>
      </w:r>
      <w:r w:rsidR="00E045D9" w:rsidRPr="00D5464D">
        <w:rPr>
          <w:rFonts w:cs="Arial"/>
          <w:iCs/>
          <w:szCs w:val="20"/>
          <w:lang w:val="pt-BR"/>
        </w:rPr>
        <w:t xml:space="preserve">no </w:t>
      </w:r>
      <w:r w:rsidR="00D81AA1" w:rsidRPr="00D5464D">
        <w:rPr>
          <w:rFonts w:cs="Arial"/>
          <w:iCs/>
          <w:szCs w:val="20"/>
          <w:lang w:val="pt-BR"/>
        </w:rPr>
        <w:t xml:space="preserve">presente caso. </w:t>
      </w:r>
    </w:p>
    <w:p w14:paraId="39D1BCDE" w14:textId="77777777" w:rsidR="00D81AA1" w:rsidRPr="00D5464D" w:rsidRDefault="00D81AA1" w:rsidP="00D81AA1">
      <w:pPr>
        <w:pStyle w:val="Prrafodelista"/>
        <w:tabs>
          <w:tab w:val="right" w:pos="0"/>
        </w:tabs>
        <w:autoSpaceDE w:val="0"/>
        <w:autoSpaceDN w:val="0"/>
        <w:adjustRightInd w:val="0"/>
        <w:ind w:left="0"/>
        <w:contextualSpacing w:val="0"/>
        <w:rPr>
          <w:rFonts w:cs="Arial"/>
          <w:iCs/>
          <w:szCs w:val="20"/>
          <w:lang w:val="pt-BR"/>
        </w:rPr>
      </w:pPr>
    </w:p>
    <w:p w14:paraId="3E475F66" w14:textId="4EDB7421" w:rsidR="00D81AA1" w:rsidRPr="00D5464D" w:rsidRDefault="00E045D9" w:rsidP="00D81AA1">
      <w:pPr>
        <w:pStyle w:val="Prrafodelista"/>
        <w:numPr>
          <w:ilvl w:val="0"/>
          <w:numId w:val="1"/>
        </w:numPr>
        <w:tabs>
          <w:tab w:val="right" w:pos="0"/>
        </w:tabs>
        <w:contextualSpacing w:val="0"/>
        <w:rPr>
          <w:rFonts w:cs="Arial"/>
          <w:iCs/>
          <w:szCs w:val="20"/>
          <w:lang w:val="pt-BR"/>
        </w:rPr>
      </w:pPr>
      <w:r w:rsidRPr="00D5464D">
        <w:rPr>
          <w:rFonts w:cs="Arial"/>
          <w:iCs/>
          <w:szCs w:val="20"/>
          <w:lang w:val="pt-BR"/>
        </w:rPr>
        <w:t>Desta</w:t>
      </w:r>
      <w:r w:rsidR="00D81AA1" w:rsidRPr="00D5464D">
        <w:rPr>
          <w:rFonts w:cs="Arial"/>
          <w:iCs/>
          <w:szCs w:val="20"/>
          <w:lang w:val="pt-BR"/>
        </w:rPr>
        <w:t xml:space="preserve"> forma,</w:t>
      </w:r>
      <w:r w:rsidR="00470ADC" w:rsidRPr="00D5464D">
        <w:rPr>
          <w:rFonts w:cs="Arial"/>
          <w:iCs/>
          <w:szCs w:val="20"/>
          <w:lang w:val="pt-BR"/>
        </w:rPr>
        <w:t xml:space="preserve"> com </w:t>
      </w:r>
      <w:r w:rsidR="002C330E" w:rsidRPr="00D5464D">
        <w:rPr>
          <w:rFonts w:cs="Arial"/>
          <w:iCs/>
          <w:szCs w:val="20"/>
          <w:lang w:val="pt-BR"/>
        </w:rPr>
        <w:t>respeito</w:t>
      </w:r>
      <w:r w:rsidR="00470ADC" w:rsidRPr="00D5464D">
        <w:rPr>
          <w:rFonts w:cs="Arial"/>
          <w:iCs/>
          <w:szCs w:val="20"/>
          <w:lang w:val="pt-BR"/>
        </w:rPr>
        <w:t xml:space="preserve"> ao dever</w:t>
      </w:r>
      <w:r w:rsidR="00D81AA1" w:rsidRPr="00D5464D">
        <w:rPr>
          <w:rFonts w:cs="Arial"/>
          <w:iCs/>
          <w:szCs w:val="20"/>
          <w:lang w:val="pt-BR"/>
        </w:rPr>
        <w:t xml:space="preserve"> de </w:t>
      </w:r>
      <w:r w:rsidR="00470ADC" w:rsidRPr="00D5464D">
        <w:rPr>
          <w:rFonts w:cs="Arial"/>
          <w:iCs/>
          <w:szCs w:val="20"/>
          <w:lang w:val="pt-BR"/>
        </w:rPr>
        <w:t>devida diligência</w:t>
      </w:r>
      <w:r w:rsidR="00D81AA1" w:rsidRPr="00D5464D">
        <w:rPr>
          <w:rFonts w:cs="Arial"/>
          <w:iCs/>
          <w:szCs w:val="20"/>
          <w:lang w:val="pt-BR"/>
        </w:rPr>
        <w:t xml:space="preserve"> frente a </w:t>
      </w:r>
      <w:r w:rsidR="00470ADC" w:rsidRPr="00D5464D">
        <w:rPr>
          <w:rFonts w:cs="Arial"/>
          <w:iCs/>
          <w:szCs w:val="20"/>
          <w:lang w:val="pt-BR"/>
        </w:rPr>
        <w:t xml:space="preserve">denúncias </w:t>
      </w:r>
      <w:r w:rsidR="00D81AA1" w:rsidRPr="00D5464D">
        <w:rPr>
          <w:rFonts w:cs="Arial"/>
          <w:iCs/>
          <w:szCs w:val="20"/>
          <w:lang w:val="pt-BR"/>
        </w:rPr>
        <w:t xml:space="preserve">de </w:t>
      </w:r>
      <w:r w:rsidR="00470ADC" w:rsidRPr="00D5464D">
        <w:rPr>
          <w:rFonts w:cs="Arial"/>
          <w:iCs/>
          <w:szCs w:val="20"/>
          <w:lang w:val="pt-BR"/>
        </w:rPr>
        <w:t>desaparecimento</w:t>
      </w:r>
      <w:r w:rsidR="00D81AA1" w:rsidRPr="00D5464D">
        <w:rPr>
          <w:rFonts w:cs="Arial"/>
          <w:iCs/>
          <w:szCs w:val="20"/>
          <w:lang w:val="pt-BR"/>
        </w:rPr>
        <w:t>,</w:t>
      </w:r>
      <w:r w:rsidR="002C330E" w:rsidRPr="00D5464D">
        <w:rPr>
          <w:rFonts w:cs="Arial"/>
          <w:iCs/>
          <w:szCs w:val="20"/>
          <w:lang w:val="pt-BR"/>
        </w:rPr>
        <w:t xml:space="preserve"> a </w:t>
      </w:r>
      <w:r w:rsidR="00D81AA1" w:rsidRPr="00D5464D">
        <w:rPr>
          <w:rFonts w:cs="Arial"/>
          <w:iCs/>
          <w:szCs w:val="20"/>
          <w:lang w:val="pt-BR"/>
        </w:rPr>
        <w:t xml:space="preserve">Corte </w:t>
      </w:r>
      <w:r w:rsidR="002C330E" w:rsidRPr="00D5464D">
        <w:rPr>
          <w:rFonts w:cs="Arial"/>
          <w:iCs/>
          <w:szCs w:val="20"/>
          <w:lang w:val="pt-BR"/>
        </w:rPr>
        <w:t>estabeleceu</w:t>
      </w:r>
      <w:r w:rsidR="00D81AA1" w:rsidRPr="00D5464D">
        <w:rPr>
          <w:rFonts w:cs="Arial"/>
          <w:iCs/>
          <w:szCs w:val="20"/>
          <w:lang w:val="pt-BR"/>
        </w:rPr>
        <w:t xml:space="preserve"> que esta </w:t>
      </w:r>
      <w:r w:rsidR="002C330E" w:rsidRPr="00D5464D">
        <w:rPr>
          <w:rFonts w:cs="Arial"/>
          <w:iCs/>
          <w:szCs w:val="20"/>
          <w:lang w:val="pt-BR"/>
        </w:rPr>
        <w:t>obrigação</w:t>
      </w:r>
      <w:r w:rsidR="00D81AA1" w:rsidRPr="00D5464D">
        <w:rPr>
          <w:rFonts w:cs="Arial"/>
          <w:iCs/>
          <w:szCs w:val="20"/>
          <w:lang w:val="pt-BR"/>
        </w:rPr>
        <w:t xml:space="preserve"> de </w:t>
      </w:r>
      <w:r w:rsidR="002C330E" w:rsidRPr="00D5464D">
        <w:rPr>
          <w:rFonts w:cs="Arial"/>
          <w:iCs/>
          <w:szCs w:val="20"/>
          <w:lang w:val="pt-BR"/>
        </w:rPr>
        <w:t xml:space="preserve">meio </w:t>
      </w:r>
      <w:r w:rsidR="00D81AA1" w:rsidRPr="00D5464D">
        <w:rPr>
          <w:rFonts w:cs="Arial"/>
          <w:iCs/>
          <w:szCs w:val="20"/>
          <w:lang w:val="pt-BR"/>
        </w:rPr>
        <w:t>exige</w:t>
      </w:r>
      <w:r w:rsidR="002C330E" w:rsidRPr="00D5464D">
        <w:rPr>
          <w:rFonts w:cs="Arial"/>
          <w:iCs/>
          <w:szCs w:val="20"/>
          <w:lang w:val="pt-BR"/>
        </w:rPr>
        <w:t xml:space="preserve"> a </w:t>
      </w:r>
      <w:r w:rsidR="00D81AA1" w:rsidRPr="00D5464D">
        <w:rPr>
          <w:rFonts w:cs="Arial"/>
          <w:iCs/>
          <w:szCs w:val="20"/>
          <w:lang w:val="pt-BR"/>
        </w:rPr>
        <w:t>realiza</w:t>
      </w:r>
      <w:r w:rsidR="00470ADC" w:rsidRPr="00D5464D">
        <w:rPr>
          <w:rFonts w:cs="Arial"/>
          <w:iCs/>
          <w:szCs w:val="20"/>
          <w:lang w:val="pt-BR"/>
        </w:rPr>
        <w:t>ção</w:t>
      </w:r>
      <w:r w:rsidR="00D81AA1" w:rsidRPr="00D5464D">
        <w:rPr>
          <w:rFonts w:cs="Arial"/>
          <w:iCs/>
          <w:szCs w:val="20"/>
          <w:lang w:val="pt-BR"/>
        </w:rPr>
        <w:t xml:space="preserve"> </w:t>
      </w:r>
      <w:r w:rsidR="00737270" w:rsidRPr="00D5464D">
        <w:rPr>
          <w:rFonts w:cs="Arial"/>
          <w:iCs/>
          <w:szCs w:val="20"/>
          <w:lang w:val="pt-BR"/>
        </w:rPr>
        <w:t>exaustiv</w:t>
      </w:r>
      <w:r w:rsidR="00D81AA1" w:rsidRPr="00D5464D">
        <w:rPr>
          <w:rFonts w:cs="Arial"/>
          <w:iCs/>
          <w:szCs w:val="20"/>
          <w:lang w:val="pt-BR"/>
        </w:rPr>
        <w:t xml:space="preserve">a de </w:t>
      </w:r>
      <w:r w:rsidR="00470ADC" w:rsidRPr="00D5464D">
        <w:rPr>
          <w:rFonts w:cs="Arial"/>
          <w:iCs/>
          <w:szCs w:val="20"/>
          <w:lang w:val="pt-BR"/>
        </w:rPr>
        <w:t>ativ</w:t>
      </w:r>
      <w:r w:rsidR="00D81AA1" w:rsidRPr="00D5464D">
        <w:rPr>
          <w:rFonts w:cs="Arial"/>
          <w:iCs/>
          <w:szCs w:val="20"/>
          <w:lang w:val="pt-BR"/>
        </w:rPr>
        <w:t xml:space="preserve">idades de </w:t>
      </w:r>
      <w:r w:rsidR="00470ADC" w:rsidRPr="00D5464D">
        <w:rPr>
          <w:rFonts w:cs="Arial"/>
          <w:iCs/>
          <w:szCs w:val="20"/>
          <w:lang w:val="pt-BR"/>
        </w:rPr>
        <w:t>busca</w:t>
      </w:r>
      <w:r w:rsidR="00A1358C" w:rsidRPr="00D5464D">
        <w:rPr>
          <w:rFonts w:cs="Arial"/>
          <w:iCs/>
          <w:szCs w:val="20"/>
          <w:lang w:val="pt-BR"/>
        </w:rPr>
        <w:t>. Em particular</w:t>
      </w:r>
      <w:r w:rsidR="00D81AA1" w:rsidRPr="00D5464D">
        <w:rPr>
          <w:rFonts w:cs="Arial"/>
          <w:iCs/>
          <w:szCs w:val="20"/>
          <w:lang w:val="pt-BR"/>
        </w:rPr>
        <w:t>,</w:t>
      </w:r>
      <w:r w:rsidR="00470ADC" w:rsidRPr="00D5464D">
        <w:rPr>
          <w:rFonts w:cs="Arial"/>
          <w:iCs/>
          <w:szCs w:val="20"/>
          <w:lang w:val="pt-BR"/>
        </w:rPr>
        <w:t xml:space="preserve"> é </w:t>
      </w:r>
      <w:r w:rsidR="002C330E" w:rsidRPr="00D5464D">
        <w:rPr>
          <w:rFonts w:cs="Arial"/>
          <w:iCs/>
          <w:szCs w:val="20"/>
          <w:lang w:val="pt-BR"/>
        </w:rPr>
        <w:t xml:space="preserve">imprescindível a </w:t>
      </w:r>
      <w:r w:rsidR="00737270" w:rsidRPr="00D5464D">
        <w:rPr>
          <w:rFonts w:cs="Arial"/>
          <w:iCs/>
          <w:szCs w:val="20"/>
          <w:lang w:val="pt-BR"/>
        </w:rPr>
        <w:t>atuação</w:t>
      </w:r>
      <w:r w:rsidR="00D81AA1" w:rsidRPr="00D5464D">
        <w:rPr>
          <w:rFonts w:cs="Arial"/>
          <w:iCs/>
          <w:szCs w:val="20"/>
          <w:lang w:val="pt-BR"/>
        </w:rPr>
        <w:t xml:space="preserve"> pronta e </w:t>
      </w:r>
      <w:r w:rsidR="002C330E" w:rsidRPr="00D5464D">
        <w:rPr>
          <w:rFonts w:cs="Arial"/>
          <w:iCs/>
          <w:szCs w:val="20"/>
          <w:lang w:val="pt-BR"/>
        </w:rPr>
        <w:t>imediat</w:t>
      </w:r>
      <w:r w:rsidR="00D81AA1" w:rsidRPr="00D5464D">
        <w:rPr>
          <w:rFonts w:cs="Arial"/>
          <w:iCs/>
          <w:szCs w:val="20"/>
          <w:lang w:val="pt-BR"/>
        </w:rPr>
        <w:t>a</w:t>
      </w:r>
      <w:r w:rsidR="00470ADC" w:rsidRPr="00D5464D">
        <w:rPr>
          <w:rFonts w:cs="Arial"/>
          <w:iCs/>
          <w:szCs w:val="20"/>
          <w:lang w:val="pt-BR"/>
        </w:rPr>
        <w:t xml:space="preserve"> das </w:t>
      </w:r>
      <w:r w:rsidR="00D81AA1" w:rsidRPr="00D5464D">
        <w:rPr>
          <w:rFonts w:cs="Arial"/>
          <w:iCs/>
          <w:szCs w:val="20"/>
          <w:lang w:val="pt-BR"/>
        </w:rPr>
        <w:t xml:space="preserve">autoridades </w:t>
      </w:r>
      <w:r w:rsidR="002C330E" w:rsidRPr="00D5464D">
        <w:rPr>
          <w:rFonts w:cs="Arial"/>
          <w:iCs/>
          <w:szCs w:val="20"/>
          <w:lang w:val="pt-BR"/>
        </w:rPr>
        <w:t>policiais</w:t>
      </w:r>
      <w:r w:rsidR="00D81AA1" w:rsidRPr="00D5464D">
        <w:rPr>
          <w:rFonts w:cs="Arial"/>
          <w:iCs/>
          <w:szCs w:val="20"/>
          <w:lang w:val="pt-BR"/>
        </w:rPr>
        <w:t xml:space="preserve">, </w:t>
      </w:r>
      <w:r w:rsidR="00EC5B95" w:rsidRPr="00D5464D">
        <w:rPr>
          <w:rFonts w:cs="Arial"/>
          <w:iCs/>
          <w:szCs w:val="20"/>
          <w:lang w:val="pt-BR"/>
        </w:rPr>
        <w:t>do Ministério Público e do Judiciário</w:t>
      </w:r>
      <w:r w:rsidR="00D81AA1" w:rsidRPr="00D5464D">
        <w:rPr>
          <w:rFonts w:cs="Arial"/>
          <w:iCs/>
          <w:szCs w:val="20"/>
          <w:lang w:val="pt-BR"/>
        </w:rPr>
        <w:t xml:space="preserve"> ordenando medidas oportunas</w:t>
      </w:r>
      <w:r w:rsidRPr="00D5464D">
        <w:rPr>
          <w:rFonts w:cs="Arial"/>
          <w:iCs/>
          <w:szCs w:val="20"/>
          <w:lang w:val="pt-BR"/>
        </w:rPr>
        <w:t xml:space="preserve"> e </w:t>
      </w:r>
      <w:r w:rsidR="002C330E" w:rsidRPr="00D5464D">
        <w:rPr>
          <w:rFonts w:cs="Arial"/>
          <w:iCs/>
          <w:szCs w:val="20"/>
          <w:lang w:val="pt-BR"/>
        </w:rPr>
        <w:t>necessári</w:t>
      </w:r>
      <w:r w:rsidR="00D81AA1" w:rsidRPr="00D5464D">
        <w:rPr>
          <w:rFonts w:cs="Arial"/>
          <w:iCs/>
          <w:szCs w:val="20"/>
          <w:lang w:val="pt-BR"/>
        </w:rPr>
        <w:t>as dirigidas</w:t>
      </w:r>
      <w:r w:rsidR="00470ADC" w:rsidRPr="00D5464D">
        <w:rPr>
          <w:rFonts w:cs="Arial"/>
          <w:iCs/>
          <w:szCs w:val="20"/>
          <w:lang w:val="pt-BR"/>
        </w:rPr>
        <w:t xml:space="preserve"> à </w:t>
      </w:r>
      <w:r w:rsidR="00D81AA1" w:rsidRPr="00D5464D">
        <w:rPr>
          <w:rFonts w:cs="Arial"/>
          <w:iCs/>
          <w:szCs w:val="20"/>
          <w:lang w:val="pt-BR"/>
        </w:rPr>
        <w:t>determina</w:t>
      </w:r>
      <w:r w:rsidR="00470ADC" w:rsidRPr="00D5464D">
        <w:rPr>
          <w:rFonts w:cs="Arial"/>
          <w:iCs/>
          <w:szCs w:val="20"/>
          <w:lang w:val="pt-BR"/>
        </w:rPr>
        <w:t>ção</w:t>
      </w:r>
      <w:r w:rsidR="00D81AA1" w:rsidRPr="00D5464D">
        <w:rPr>
          <w:rFonts w:cs="Arial"/>
          <w:iCs/>
          <w:szCs w:val="20"/>
          <w:lang w:val="pt-BR"/>
        </w:rPr>
        <w:t xml:space="preserve"> </w:t>
      </w:r>
      <w:r w:rsidR="00470ADC" w:rsidRPr="00D5464D">
        <w:rPr>
          <w:rFonts w:cs="Arial"/>
          <w:iCs/>
          <w:szCs w:val="20"/>
          <w:lang w:val="pt-BR"/>
        </w:rPr>
        <w:t xml:space="preserve">do </w:t>
      </w:r>
      <w:r w:rsidR="002C330E" w:rsidRPr="00D5464D">
        <w:rPr>
          <w:rFonts w:cs="Arial"/>
          <w:iCs/>
          <w:szCs w:val="20"/>
          <w:lang w:val="pt-BR"/>
        </w:rPr>
        <w:t>paradeiro</w:t>
      </w:r>
      <w:r w:rsidR="00470ADC" w:rsidRPr="00D5464D">
        <w:rPr>
          <w:rFonts w:cs="Arial"/>
          <w:iCs/>
          <w:szCs w:val="20"/>
          <w:lang w:val="pt-BR"/>
        </w:rPr>
        <w:t xml:space="preserve"> das </w:t>
      </w:r>
      <w:r w:rsidR="002C330E" w:rsidRPr="00D5464D">
        <w:rPr>
          <w:rFonts w:cs="Arial"/>
          <w:iCs/>
          <w:szCs w:val="20"/>
          <w:lang w:val="pt-BR"/>
        </w:rPr>
        <w:t>suposta</w:t>
      </w:r>
      <w:r w:rsidR="00D81AA1" w:rsidRPr="00D5464D">
        <w:rPr>
          <w:rFonts w:cs="Arial"/>
          <w:iCs/>
          <w:szCs w:val="20"/>
          <w:lang w:val="pt-BR"/>
        </w:rPr>
        <w:t xml:space="preserve">s </w:t>
      </w:r>
      <w:r w:rsidRPr="00D5464D">
        <w:rPr>
          <w:rFonts w:cs="Arial"/>
          <w:iCs/>
          <w:szCs w:val="20"/>
          <w:lang w:val="pt-BR"/>
        </w:rPr>
        <w:t>vítima</w:t>
      </w:r>
      <w:r w:rsidR="00D81AA1" w:rsidRPr="00D5464D">
        <w:rPr>
          <w:rFonts w:cs="Arial"/>
          <w:iCs/>
          <w:szCs w:val="20"/>
          <w:lang w:val="pt-BR"/>
        </w:rPr>
        <w:t xml:space="preserve">s. </w:t>
      </w:r>
      <w:r w:rsidR="00350187" w:rsidRPr="00D5464D">
        <w:rPr>
          <w:rFonts w:cs="Arial"/>
          <w:iCs/>
          <w:szCs w:val="20"/>
          <w:lang w:val="pt-BR"/>
        </w:rPr>
        <w:t xml:space="preserve">Além disso, </w:t>
      </w:r>
      <w:r w:rsidR="00470ADC" w:rsidRPr="00D5464D">
        <w:rPr>
          <w:rFonts w:cs="Arial"/>
          <w:iCs/>
          <w:szCs w:val="20"/>
          <w:lang w:val="pt-BR"/>
        </w:rPr>
        <w:t>devem</w:t>
      </w:r>
      <w:r w:rsidR="00D81AA1" w:rsidRPr="00D5464D">
        <w:rPr>
          <w:rFonts w:cs="Arial"/>
          <w:iCs/>
          <w:szCs w:val="20"/>
          <w:lang w:val="pt-BR"/>
        </w:rPr>
        <w:t xml:space="preserve"> existir </w:t>
      </w:r>
      <w:r w:rsidR="002C330E" w:rsidRPr="00D5464D">
        <w:rPr>
          <w:rFonts w:cs="Arial"/>
          <w:iCs/>
          <w:szCs w:val="20"/>
          <w:lang w:val="pt-BR"/>
        </w:rPr>
        <w:t>procedimento</w:t>
      </w:r>
      <w:r w:rsidR="00D81AA1" w:rsidRPr="00D5464D">
        <w:rPr>
          <w:rFonts w:cs="Arial"/>
          <w:iCs/>
          <w:szCs w:val="20"/>
          <w:lang w:val="pt-BR"/>
        </w:rPr>
        <w:t xml:space="preserve">s </w:t>
      </w:r>
      <w:r w:rsidR="00470ADC" w:rsidRPr="00D5464D">
        <w:rPr>
          <w:rFonts w:cs="Arial"/>
          <w:iCs/>
          <w:szCs w:val="20"/>
          <w:lang w:val="pt-BR"/>
        </w:rPr>
        <w:t>adequad</w:t>
      </w:r>
      <w:r w:rsidR="00D81AA1" w:rsidRPr="00D5464D">
        <w:rPr>
          <w:rFonts w:cs="Arial"/>
          <w:iCs/>
          <w:szCs w:val="20"/>
          <w:lang w:val="pt-BR"/>
        </w:rPr>
        <w:t>os para</w:t>
      </w:r>
      <w:r w:rsidR="002C330E" w:rsidRPr="00D5464D">
        <w:rPr>
          <w:rFonts w:cs="Arial"/>
          <w:iCs/>
          <w:szCs w:val="20"/>
          <w:lang w:val="pt-BR"/>
        </w:rPr>
        <w:t xml:space="preserve"> a </w:t>
      </w:r>
      <w:r w:rsidR="00D81AA1" w:rsidRPr="00D5464D">
        <w:rPr>
          <w:rFonts w:cs="Arial"/>
          <w:iCs/>
          <w:szCs w:val="20"/>
          <w:lang w:val="pt-BR"/>
        </w:rPr>
        <w:t>interposi</w:t>
      </w:r>
      <w:r w:rsidR="00470ADC" w:rsidRPr="00D5464D">
        <w:rPr>
          <w:rFonts w:cs="Arial"/>
          <w:iCs/>
          <w:szCs w:val="20"/>
          <w:lang w:val="pt-BR"/>
        </w:rPr>
        <w:t>ção</w:t>
      </w:r>
      <w:r w:rsidR="00D81AA1" w:rsidRPr="00D5464D">
        <w:rPr>
          <w:rFonts w:cs="Arial"/>
          <w:iCs/>
          <w:szCs w:val="20"/>
          <w:lang w:val="pt-BR"/>
        </w:rPr>
        <w:t xml:space="preserve"> de </w:t>
      </w:r>
      <w:r w:rsidR="00470ADC" w:rsidRPr="00D5464D">
        <w:rPr>
          <w:rFonts w:cs="Arial"/>
          <w:iCs/>
          <w:szCs w:val="20"/>
          <w:lang w:val="pt-BR"/>
        </w:rPr>
        <w:t>denúncias</w:t>
      </w:r>
      <w:r w:rsidRPr="00D5464D">
        <w:rPr>
          <w:rFonts w:cs="Arial"/>
          <w:iCs/>
          <w:szCs w:val="20"/>
          <w:lang w:val="pt-BR"/>
        </w:rPr>
        <w:t xml:space="preserve"> e </w:t>
      </w:r>
      <w:r w:rsidR="00D81AA1" w:rsidRPr="00D5464D">
        <w:rPr>
          <w:rFonts w:cs="Arial"/>
          <w:iCs/>
          <w:szCs w:val="20"/>
          <w:lang w:val="pt-BR"/>
        </w:rPr>
        <w:t xml:space="preserve">estas </w:t>
      </w:r>
      <w:r w:rsidR="00470ADC" w:rsidRPr="00D5464D">
        <w:rPr>
          <w:rFonts w:cs="Arial"/>
          <w:iCs/>
          <w:szCs w:val="20"/>
          <w:lang w:val="pt-BR"/>
        </w:rPr>
        <w:t>devem</w:t>
      </w:r>
      <w:r w:rsidRPr="00D5464D">
        <w:rPr>
          <w:rFonts w:cs="Arial"/>
          <w:iCs/>
          <w:szCs w:val="20"/>
          <w:lang w:val="pt-BR"/>
        </w:rPr>
        <w:t xml:space="preserve"> ter </w:t>
      </w:r>
      <w:r w:rsidR="00D81AA1" w:rsidRPr="00D5464D">
        <w:rPr>
          <w:rFonts w:cs="Arial"/>
          <w:iCs/>
          <w:szCs w:val="20"/>
          <w:lang w:val="pt-BR"/>
        </w:rPr>
        <w:t xml:space="preserve">como </w:t>
      </w:r>
      <w:r w:rsidR="00470ADC" w:rsidRPr="00D5464D">
        <w:rPr>
          <w:rFonts w:cs="Arial"/>
          <w:iCs/>
          <w:szCs w:val="20"/>
          <w:lang w:val="pt-BR"/>
        </w:rPr>
        <w:t>consequência</w:t>
      </w:r>
      <w:r w:rsidR="002C330E" w:rsidRPr="00D5464D">
        <w:rPr>
          <w:rFonts w:cs="Arial"/>
          <w:iCs/>
          <w:szCs w:val="20"/>
          <w:lang w:val="pt-BR"/>
        </w:rPr>
        <w:t xml:space="preserve"> a </w:t>
      </w:r>
      <w:r w:rsidR="00D81AA1" w:rsidRPr="00D5464D">
        <w:rPr>
          <w:rFonts w:cs="Arial"/>
          <w:iCs/>
          <w:szCs w:val="20"/>
          <w:lang w:val="pt-BR"/>
        </w:rPr>
        <w:t>realiza</w:t>
      </w:r>
      <w:r w:rsidR="00470ADC" w:rsidRPr="00D5464D">
        <w:rPr>
          <w:rFonts w:cs="Arial"/>
          <w:iCs/>
          <w:szCs w:val="20"/>
          <w:lang w:val="pt-BR"/>
        </w:rPr>
        <w:t>ção</w:t>
      </w:r>
      <w:r w:rsidR="00D81AA1" w:rsidRPr="00D5464D">
        <w:rPr>
          <w:rFonts w:cs="Arial"/>
          <w:iCs/>
          <w:szCs w:val="20"/>
          <w:lang w:val="pt-BR"/>
        </w:rPr>
        <w:t xml:space="preserve"> de</w:t>
      </w:r>
      <w:r w:rsidRPr="00D5464D">
        <w:rPr>
          <w:rFonts w:cs="Arial"/>
          <w:iCs/>
          <w:szCs w:val="20"/>
          <w:lang w:val="pt-BR"/>
        </w:rPr>
        <w:t xml:space="preserve"> uma </w:t>
      </w:r>
      <w:r w:rsidR="00D81AA1" w:rsidRPr="00D5464D">
        <w:rPr>
          <w:rFonts w:cs="Arial"/>
          <w:iCs/>
          <w:szCs w:val="20"/>
          <w:lang w:val="pt-BR"/>
        </w:rPr>
        <w:t>investiga</w:t>
      </w:r>
      <w:r w:rsidR="00470ADC" w:rsidRPr="00D5464D">
        <w:rPr>
          <w:rFonts w:cs="Arial"/>
          <w:iCs/>
          <w:szCs w:val="20"/>
          <w:lang w:val="pt-BR"/>
        </w:rPr>
        <w:t>ção</w:t>
      </w:r>
      <w:r w:rsidR="00D81AA1" w:rsidRPr="00D5464D">
        <w:rPr>
          <w:rFonts w:cs="Arial"/>
          <w:iCs/>
          <w:szCs w:val="20"/>
          <w:lang w:val="pt-BR"/>
        </w:rPr>
        <w:t xml:space="preserve"> </w:t>
      </w:r>
      <w:r w:rsidR="00470ADC" w:rsidRPr="00D5464D">
        <w:rPr>
          <w:rFonts w:cs="Arial"/>
          <w:iCs/>
          <w:szCs w:val="20"/>
          <w:lang w:val="pt-BR"/>
        </w:rPr>
        <w:t>efetiv</w:t>
      </w:r>
      <w:r w:rsidR="00D81AA1" w:rsidRPr="00D5464D">
        <w:rPr>
          <w:rFonts w:cs="Arial"/>
          <w:iCs/>
          <w:szCs w:val="20"/>
          <w:lang w:val="pt-BR"/>
        </w:rPr>
        <w:t xml:space="preserve">a </w:t>
      </w:r>
      <w:r w:rsidR="00230C71" w:rsidRPr="00D5464D">
        <w:rPr>
          <w:rFonts w:cs="Arial"/>
          <w:iCs/>
          <w:szCs w:val="20"/>
          <w:lang w:val="pt-BR"/>
        </w:rPr>
        <w:t>desde a</w:t>
      </w:r>
      <w:r w:rsidRPr="00D5464D">
        <w:rPr>
          <w:rFonts w:cs="Arial"/>
          <w:iCs/>
          <w:szCs w:val="20"/>
          <w:lang w:val="pt-BR"/>
        </w:rPr>
        <w:t xml:space="preserve">s </w:t>
      </w:r>
      <w:r w:rsidR="002C330E" w:rsidRPr="00D5464D">
        <w:rPr>
          <w:rFonts w:cs="Arial"/>
          <w:iCs/>
          <w:szCs w:val="20"/>
          <w:lang w:val="pt-BR"/>
        </w:rPr>
        <w:t>primeira</w:t>
      </w:r>
      <w:r w:rsidR="00D81AA1" w:rsidRPr="00D5464D">
        <w:rPr>
          <w:rFonts w:cs="Arial"/>
          <w:iCs/>
          <w:szCs w:val="20"/>
          <w:lang w:val="pt-BR"/>
        </w:rPr>
        <w:t>s horas</w:t>
      </w:r>
      <w:r w:rsidR="00C91CB1" w:rsidRPr="00D5464D">
        <w:rPr>
          <w:rFonts w:cs="Arial"/>
          <w:iCs/>
          <w:szCs w:val="20"/>
          <w:lang w:val="pt-BR"/>
        </w:rPr>
        <w:t xml:space="preserve">. Por </w:t>
      </w:r>
      <w:r w:rsidR="00470ADC" w:rsidRPr="00D5464D">
        <w:rPr>
          <w:rFonts w:cs="Arial"/>
          <w:iCs/>
          <w:szCs w:val="20"/>
          <w:lang w:val="pt-BR"/>
        </w:rPr>
        <w:t>sua vez</w:t>
      </w:r>
      <w:r w:rsidR="00D81AA1" w:rsidRPr="00D5464D">
        <w:rPr>
          <w:rFonts w:cs="Arial"/>
          <w:iCs/>
          <w:szCs w:val="20"/>
          <w:lang w:val="pt-BR"/>
        </w:rPr>
        <w:t>,</w:t>
      </w:r>
      <w:r w:rsidR="00470ADC" w:rsidRPr="00D5464D">
        <w:rPr>
          <w:rFonts w:cs="Arial"/>
          <w:iCs/>
          <w:szCs w:val="20"/>
          <w:lang w:val="pt-BR"/>
        </w:rPr>
        <w:t xml:space="preserve"> o </w:t>
      </w:r>
      <w:r w:rsidR="00D81AA1" w:rsidRPr="00D5464D">
        <w:rPr>
          <w:rFonts w:cs="Arial"/>
          <w:iCs/>
          <w:szCs w:val="20"/>
          <w:lang w:val="pt-BR"/>
        </w:rPr>
        <w:t xml:space="preserve">Tribunal </w:t>
      </w:r>
      <w:r w:rsidR="002C330E" w:rsidRPr="00D5464D">
        <w:rPr>
          <w:rFonts w:cs="Arial"/>
          <w:iCs/>
          <w:szCs w:val="20"/>
          <w:lang w:val="pt-BR"/>
        </w:rPr>
        <w:t>estabeleceu</w:t>
      </w:r>
      <w:r w:rsidR="00D81AA1" w:rsidRPr="00D5464D">
        <w:rPr>
          <w:rFonts w:cs="Arial"/>
          <w:iCs/>
          <w:szCs w:val="20"/>
          <w:lang w:val="pt-BR"/>
        </w:rPr>
        <w:t xml:space="preserve"> que</w:t>
      </w:r>
      <w:r w:rsidR="002C330E" w:rsidRPr="00D5464D">
        <w:rPr>
          <w:rFonts w:cs="Arial"/>
          <w:iCs/>
          <w:szCs w:val="20"/>
          <w:lang w:val="pt-BR"/>
        </w:rPr>
        <w:t xml:space="preserve"> as </w:t>
      </w:r>
      <w:r w:rsidR="00D81AA1" w:rsidRPr="00D5464D">
        <w:rPr>
          <w:rFonts w:cs="Arial"/>
          <w:iCs/>
          <w:szCs w:val="20"/>
          <w:lang w:val="pt-BR"/>
        </w:rPr>
        <w:t xml:space="preserve">autoridades </w:t>
      </w:r>
      <w:r w:rsidR="00470ADC" w:rsidRPr="00D5464D">
        <w:rPr>
          <w:rFonts w:cs="Arial"/>
          <w:iCs/>
          <w:szCs w:val="20"/>
          <w:lang w:val="pt-BR"/>
        </w:rPr>
        <w:t>devem</w:t>
      </w:r>
      <w:r w:rsidR="00D81AA1" w:rsidRPr="00D5464D">
        <w:rPr>
          <w:rFonts w:cs="Arial"/>
          <w:iCs/>
          <w:szCs w:val="20"/>
          <w:lang w:val="pt-BR"/>
        </w:rPr>
        <w:t xml:space="preserve"> presumir que</w:t>
      </w:r>
      <w:r w:rsidR="002C330E" w:rsidRPr="00D5464D">
        <w:rPr>
          <w:rFonts w:cs="Arial"/>
          <w:iCs/>
          <w:szCs w:val="20"/>
          <w:lang w:val="pt-BR"/>
        </w:rPr>
        <w:t xml:space="preserve"> a pessoa</w:t>
      </w:r>
      <w:r w:rsidR="00D81AA1" w:rsidRPr="00D5464D">
        <w:rPr>
          <w:rFonts w:cs="Arial"/>
          <w:iCs/>
          <w:szCs w:val="20"/>
          <w:lang w:val="pt-BR"/>
        </w:rPr>
        <w:t xml:space="preserve"> desaparecida</w:t>
      </w:r>
      <w:r w:rsidR="00EB1CE9" w:rsidRPr="00D5464D">
        <w:rPr>
          <w:rFonts w:cs="Arial"/>
          <w:iCs/>
          <w:szCs w:val="20"/>
          <w:lang w:val="pt-BR"/>
        </w:rPr>
        <w:t xml:space="preserve"> </w:t>
      </w:r>
      <w:r w:rsidR="00EC5B95" w:rsidRPr="00D5464D">
        <w:rPr>
          <w:rFonts w:cs="Arial"/>
          <w:iCs/>
          <w:szCs w:val="20"/>
          <w:lang w:val="pt-BR"/>
        </w:rPr>
        <w:t xml:space="preserve">continua </w:t>
      </w:r>
      <w:r w:rsidR="00470ADC" w:rsidRPr="00D5464D">
        <w:rPr>
          <w:rFonts w:cs="Arial"/>
          <w:iCs/>
          <w:szCs w:val="20"/>
          <w:lang w:val="pt-BR"/>
        </w:rPr>
        <w:t xml:space="preserve">com </w:t>
      </w:r>
      <w:r w:rsidR="00D81AA1" w:rsidRPr="00D5464D">
        <w:rPr>
          <w:rFonts w:cs="Arial"/>
          <w:iCs/>
          <w:szCs w:val="20"/>
          <w:lang w:val="pt-BR"/>
        </w:rPr>
        <w:t xml:space="preserve">vida </w:t>
      </w:r>
      <w:r w:rsidR="002C330E" w:rsidRPr="00D5464D">
        <w:rPr>
          <w:rFonts w:cs="Arial"/>
          <w:iCs/>
          <w:szCs w:val="20"/>
          <w:lang w:val="pt-BR"/>
        </w:rPr>
        <w:t>até</w:t>
      </w:r>
      <w:r w:rsidR="00D81AA1" w:rsidRPr="00D5464D">
        <w:rPr>
          <w:rFonts w:cs="Arial"/>
          <w:iCs/>
          <w:szCs w:val="20"/>
          <w:lang w:val="pt-BR"/>
        </w:rPr>
        <w:t xml:space="preserve"> que </w:t>
      </w:r>
      <w:r w:rsidR="00EC5B95" w:rsidRPr="00D5464D">
        <w:rPr>
          <w:rFonts w:cs="Arial"/>
          <w:iCs/>
          <w:szCs w:val="20"/>
          <w:lang w:val="pt-BR"/>
        </w:rPr>
        <w:t xml:space="preserve">chegue ao </w:t>
      </w:r>
      <w:r w:rsidR="00470ADC" w:rsidRPr="00D5464D">
        <w:rPr>
          <w:rFonts w:cs="Arial"/>
          <w:iCs/>
          <w:szCs w:val="20"/>
          <w:lang w:val="pt-BR"/>
        </w:rPr>
        <w:t xml:space="preserve">fim </w:t>
      </w:r>
      <w:r w:rsidR="00C176E3" w:rsidRPr="00D5464D">
        <w:rPr>
          <w:rFonts w:cs="Arial"/>
          <w:iCs/>
          <w:szCs w:val="20"/>
          <w:lang w:val="pt-BR"/>
        </w:rPr>
        <w:t>a</w:t>
      </w:r>
      <w:r w:rsidR="00470ADC" w:rsidRPr="00D5464D">
        <w:rPr>
          <w:rFonts w:cs="Arial"/>
          <w:iCs/>
          <w:szCs w:val="20"/>
          <w:lang w:val="pt-BR"/>
        </w:rPr>
        <w:t xml:space="preserve"> </w:t>
      </w:r>
      <w:r w:rsidRPr="00D5464D">
        <w:rPr>
          <w:rFonts w:cs="Arial"/>
          <w:iCs/>
          <w:szCs w:val="20"/>
          <w:lang w:val="pt-BR"/>
        </w:rPr>
        <w:t>incerteza</w:t>
      </w:r>
      <w:r w:rsidR="00D81AA1" w:rsidRPr="00D5464D">
        <w:rPr>
          <w:rFonts w:cs="Arial"/>
          <w:iCs/>
          <w:szCs w:val="20"/>
          <w:lang w:val="pt-BR"/>
        </w:rPr>
        <w:t xml:space="preserve"> sobre</w:t>
      </w:r>
      <w:r w:rsidR="002C330E" w:rsidRPr="00D5464D">
        <w:rPr>
          <w:rFonts w:cs="Arial"/>
          <w:iCs/>
          <w:szCs w:val="20"/>
          <w:lang w:val="pt-BR"/>
        </w:rPr>
        <w:t xml:space="preserve"> </w:t>
      </w:r>
      <w:r w:rsidR="005A4FC7" w:rsidRPr="00D5464D">
        <w:rPr>
          <w:rFonts w:cs="Arial"/>
          <w:iCs/>
          <w:szCs w:val="20"/>
          <w:lang w:val="pt-BR"/>
        </w:rPr>
        <w:t>o que lhe ocorreu</w:t>
      </w:r>
      <w:r w:rsidR="0025611E" w:rsidRPr="00D5464D">
        <w:rPr>
          <w:rFonts w:cs="Arial"/>
          <w:iCs/>
          <w:szCs w:val="20"/>
          <w:lang w:val="pt-BR"/>
        </w:rPr>
        <w:t>.</w:t>
      </w:r>
      <w:r w:rsidR="00D81AA1" w:rsidRPr="00D5464D">
        <w:rPr>
          <w:rFonts w:cs="Arial"/>
          <w:iCs/>
          <w:szCs w:val="20"/>
          <w:vertAlign w:val="superscript"/>
          <w:lang w:val="pt-BR"/>
        </w:rPr>
        <w:footnoteReference w:id="517"/>
      </w:r>
    </w:p>
    <w:p w14:paraId="5323A239" w14:textId="77777777" w:rsidR="00D81AA1" w:rsidRPr="00D5464D" w:rsidRDefault="00D81AA1" w:rsidP="00D81AA1">
      <w:pPr>
        <w:pStyle w:val="Prrafodelista"/>
        <w:tabs>
          <w:tab w:val="right" w:pos="0"/>
        </w:tabs>
        <w:ind w:left="0"/>
        <w:rPr>
          <w:rFonts w:cs="Arial"/>
          <w:iCs/>
          <w:szCs w:val="20"/>
          <w:lang w:val="pt-BR"/>
        </w:rPr>
      </w:pPr>
    </w:p>
    <w:p w14:paraId="19133A34" w14:textId="4B256DC6" w:rsidR="00D81AA1" w:rsidRPr="00D5464D" w:rsidRDefault="00470ADC" w:rsidP="00D81AA1">
      <w:pPr>
        <w:pStyle w:val="Prrafodelista"/>
        <w:numPr>
          <w:ilvl w:val="0"/>
          <w:numId w:val="1"/>
        </w:numPr>
        <w:tabs>
          <w:tab w:val="right" w:pos="0"/>
        </w:tabs>
        <w:contextualSpacing w:val="0"/>
        <w:rPr>
          <w:rFonts w:cs="Arial"/>
          <w:i/>
          <w:iCs/>
          <w:szCs w:val="20"/>
          <w:lang w:val="pt-BR"/>
        </w:rPr>
      </w:pPr>
      <w:r w:rsidRPr="00D5464D">
        <w:rPr>
          <w:rFonts w:cs="Arial"/>
          <w:iCs/>
          <w:szCs w:val="20"/>
          <w:lang w:val="pt-BR"/>
        </w:rPr>
        <w:t xml:space="preserve">No </w:t>
      </w:r>
      <w:r w:rsidR="00D81AA1" w:rsidRPr="00D5464D">
        <w:rPr>
          <w:rFonts w:cs="Arial"/>
          <w:iCs/>
          <w:szCs w:val="20"/>
          <w:lang w:val="pt-BR"/>
        </w:rPr>
        <w:t>presente caso,</w:t>
      </w:r>
      <w:r w:rsidR="002C330E" w:rsidRPr="00D5464D">
        <w:rPr>
          <w:rFonts w:cs="Arial"/>
          <w:iCs/>
          <w:szCs w:val="20"/>
          <w:lang w:val="pt-BR"/>
        </w:rPr>
        <w:t xml:space="preserve"> a </w:t>
      </w:r>
      <w:r w:rsidR="00D81AA1" w:rsidRPr="00D5464D">
        <w:rPr>
          <w:rFonts w:cs="Arial"/>
          <w:iCs/>
          <w:szCs w:val="20"/>
          <w:lang w:val="pt-BR"/>
        </w:rPr>
        <w:t xml:space="preserve">Corte </w:t>
      </w:r>
      <w:r w:rsidR="00E045D9" w:rsidRPr="00D5464D">
        <w:rPr>
          <w:rFonts w:cs="Arial"/>
          <w:iCs/>
          <w:szCs w:val="20"/>
          <w:lang w:val="pt-BR"/>
        </w:rPr>
        <w:t>constatou</w:t>
      </w:r>
      <w:r w:rsidR="00D81AA1" w:rsidRPr="00D5464D">
        <w:rPr>
          <w:rFonts w:cs="Arial"/>
          <w:iCs/>
          <w:szCs w:val="20"/>
          <w:lang w:val="pt-BR"/>
        </w:rPr>
        <w:t xml:space="preserve"> como antecedentes que</w:t>
      </w:r>
      <w:r w:rsidR="005A4FC7" w:rsidRPr="00D5464D">
        <w:rPr>
          <w:rFonts w:cs="Arial"/>
          <w:iCs/>
          <w:szCs w:val="20"/>
          <w:lang w:val="pt-BR"/>
        </w:rPr>
        <w:t>,</w:t>
      </w:r>
      <w:r w:rsidR="002C330E" w:rsidRPr="00D5464D">
        <w:rPr>
          <w:rFonts w:cs="Arial"/>
          <w:iCs/>
          <w:szCs w:val="20"/>
          <w:lang w:val="pt-BR"/>
        </w:rPr>
        <w:t xml:space="preserve"> em </w:t>
      </w:r>
      <w:r w:rsidR="00350187" w:rsidRPr="00D5464D">
        <w:rPr>
          <w:rFonts w:cs="Arial"/>
          <w:iCs/>
          <w:szCs w:val="20"/>
          <w:lang w:val="pt-BR"/>
        </w:rPr>
        <w:t xml:space="preserve">21 </w:t>
      </w:r>
      <w:r w:rsidR="00A1358C" w:rsidRPr="00D5464D">
        <w:rPr>
          <w:rFonts w:cs="Arial"/>
          <w:iCs/>
          <w:szCs w:val="20"/>
          <w:lang w:val="pt-BR"/>
        </w:rPr>
        <w:t>de dezembro</w:t>
      </w:r>
      <w:r w:rsidR="00D81AA1" w:rsidRPr="00D5464D">
        <w:rPr>
          <w:rFonts w:cs="Arial"/>
          <w:iCs/>
          <w:szCs w:val="20"/>
          <w:lang w:val="pt-BR"/>
        </w:rPr>
        <w:t xml:space="preserve"> de 1988</w:t>
      </w:r>
      <w:r w:rsidR="005A4FC7" w:rsidRPr="00D5464D">
        <w:rPr>
          <w:rFonts w:cs="Arial"/>
          <w:iCs/>
          <w:szCs w:val="20"/>
          <w:lang w:val="pt-BR"/>
        </w:rPr>
        <w:t>,</w:t>
      </w:r>
      <w:r w:rsidR="002C330E" w:rsidRPr="00D5464D">
        <w:rPr>
          <w:rFonts w:cs="Arial"/>
          <w:iCs/>
          <w:szCs w:val="20"/>
          <w:lang w:val="pt-BR"/>
        </w:rPr>
        <w:t xml:space="preserve"> a </w:t>
      </w:r>
      <w:r w:rsidR="00C45062" w:rsidRPr="00D5464D">
        <w:rPr>
          <w:rFonts w:cs="Arial"/>
          <w:iCs/>
          <w:szCs w:val="20"/>
          <w:lang w:val="pt-BR"/>
        </w:rPr>
        <w:t xml:space="preserve">CPT </w:t>
      </w:r>
      <w:r w:rsidR="00E045D9" w:rsidRPr="00D5464D">
        <w:rPr>
          <w:rFonts w:cs="Arial"/>
          <w:iCs/>
          <w:szCs w:val="20"/>
          <w:lang w:val="pt-BR"/>
        </w:rPr>
        <w:t xml:space="preserve">e </w:t>
      </w:r>
      <w:r w:rsidR="002C330E" w:rsidRPr="00D5464D">
        <w:rPr>
          <w:rFonts w:cs="Arial"/>
          <w:iCs/>
          <w:szCs w:val="20"/>
          <w:lang w:val="pt-BR"/>
        </w:rPr>
        <w:t xml:space="preserve">a </w:t>
      </w:r>
      <w:r w:rsidR="00D81AA1" w:rsidRPr="00D5464D">
        <w:rPr>
          <w:rFonts w:cs="Arial"/>
          <w:iCs/>
          <w:szCs w:val="20"/>
          <w:lang w:val="pt-BR"/>
        </w:rPr>
        <w:t>Di</w:t>
      </w:r>
      <w:r w:rsidR="005A4FC7" w:rsidRPr="00D5464D">
        <w:rPr>
          <w:rFonts w:cs="Arial"/>
          <w:iCs/>
          <w:szCs w:val="20"/>
          <w:lang w:val="pt-BR"/>
        </w:rPr>
        <w:t>o</w:t>
      </w:r>
      <w:r w:rsidR="00D81AA1" w:rsidRPr="00D5464D">
        <w:rPr>
          <w:rFonts w:cs="Arial"/>
          <w:iCs/>
          <w:szCs w:val="20"/>
          <w:lang w:val="pt-BR"/>
        </w:rPr>
        <w:t>ces</w:t>
      </w:r>
      <w:r w:rsidR="005A4FC7" w:rsidRPr="00D5464D">
        <w:rPr>
          <w:rFonts w:cs="Arial"/>
          <w:iCs/>
          <w:szCs w:val="20"/>
          <w:lang w:val="pt-BR"/>
        </w:rPr>
        <w:t xml:space="preserve">e </w:t>
      </w:r>
      <w:r w:rsidR="00D81AA1" w:rsidRPr="00D5464D">
        <w:rPr>
          <w:rFonts w:cs="Arial"/>
          <w:iCs/>
          <w:szCs w:val="20"/>
          <w:lang w:val="pt-BR"/>
        </w:rPr>
        <w:t>de Araguaia, junt</w:t>
      </w:r>
      <w:r w:rsidR="005A4FC7" w:rsidRPr="00D5464D">
        <w:rPr>
          <w:rFonts w:cs="Arial"/>
          <w:iCs/>
          <w:szCs w:val="20"/>
          <w:lang w:val="pt-BR"/>
        </w:rPr>
        <w:t>amente</w:t>
      </w:r>
      <w:r w:rsidRPr="00D5464D">
        <w:rPr>
          <w:rFonts w:cs="Arial"/>
          <w:iCs/>
          <w:szCs w:val="20"/>
          <w:lang w:val="pt-BR"/>
        </w:rPr>
        <w:t xml:space="preserve"> com </w:t>
      </w:r>
      <w:r w:rsidR="00D81AA1" w:rsidRPr="00D5464D">
        <w:rPr>
          <w:rFonts w:cs="Arial"/>
          <w:iCs/>
          <w:szCs w:val="20"/>
          <w:lang w:val="pt-BR"/>
        </w:rPr>
        <w:t>José Teodoro da Silva,</w:t>
      </w:r>
      <w:r w:rsidR="002C330E" w:rsidRPr="00D5464D">
        <w:rPr>
          <w:rFonts w:cs="Arial"/>
          <w:iCs/>
          <w:szCs w:val="20"/>
          <w:lang w:val="pt-BR"/>
        </w:rPr>
        <w:t xml:space="preserve"> pai</w:t>
      </w:r>
      <w:r w:rsidR="00D81AA1" w:rsidRPr="00D5464D">
        <w:rPr>
          <w:rFonts w:cs="Arial"/>
          <w:iCs/>
          <w:szCs w:val="20"/>
          <w:lang w:val="pt-BR"/>
        </w:rPr>
        <w:t xml:space="preserve"> de lron Canuto da Silva</w:t>
      </w:r>
      <w:r w:rsidR="005A4FC7" w:rsidRPr="00D5464D">
        <w:rPr>
          <w:rFonts w:cs="Arial"/>
          <w:iCs/>
          <w:szCs w:val="20"/>
          <w:lang w:val="pt-BR"/>
        </w:rPr>
        <w:t>,</w:t>
      </w:r>
      <w:r w:rsidR="00D81AA1" w:rsidRPr="00D5464D">
        <w:rPr>
          <w:rFonts w:cs="Arial"/>
          <w:iCs/>
          <w:szCs w:val="20"/>
          <w:lang w:val="pt-BR"/>
        </w:rPr>
        <w:t xml:space="preserve"> de 17 </w:t>
      </w:r>
      <w:r w:rsidRPr="00D5464D">
        <w:rPr>
          <w:rFonts w:cs="Arial"/>
          <w:iCs/>
          <w:szCs w:val="20"/>
          <w:lang w:val="pt-BR"/>
        </w:rPr>
        <w:t>anos, e</w:t>
      </w:r>
      <w:r w:rsidR="00D81AA1" w:rsidRPr="00D5464D">
        <w:rPr>
          <w:rFonts w:cs="Arial"/>
          <w:iCs/>
          <w:szCs w:val="20"/>
          <w:lang w:val="pt-BR"/>
        </w:rPr>
        <w:t xml:space="preserve"> Miguel Ferreira da Cruz, </w:t>
      </w:r>
      <w:r w:rsidR="00350187" w:rsidRPr="00D5464D">
        <w:rPr>
          <w:rFonts w:cs="Arial"/>
          <w:iCs/>
          <w:szCs w:val="20"/>
          <w:lang w:val="pt-BR"/>
        </w:rPr>
        <w:t xml:space="preserve">irmão </w:t>
      </w:r>
      <w:r w:rsidR="00D81AA1" w:rsidRPr="00D5464D">
        <w:rPr>
          <w:rFonts w:cs="Arial"/>
          <w:iCs/>
          <w:szCs w:val="20"/>
          <w:lang w:val="pt-BR"/>
        </w:rPr>
        <w:t>de Luis Ferreira da Cruz</w:t>
      </w:r>
      <w:r w:rsidR="005A4FC7" w:rsidRPr="00D5464D">
        <w:rPr>
          <w:rFonts w:cs="Arial"/>
          <w:iCs/>
          <w:szCs w:val="20"/>
          <w:lang w:val="pt-BR"/>
        </w:rPr>
        <w:t>,</w:t>
      </w:r>
      <w:r w:rsidR="00D81AA1" w:rsidRPr="00D5464D">
        <w:rPr>
          <w:rFonts w:cs="Arial"/>
          <w:iCs/>
          <w:szCs w:val="20"/>
          <w:lang w:val="pt-BR"/>
        </w:rPr>
        <w:t xml:space="preserve"> de 16 </w:t>
      </w:r>
      <w:r w:rsidRPr="00D5464D">
        <w:rPr>
          <w:rFonts w:cs="Arial"/>
          <w:iCs/>
          <w:szCs w:val="20"/>
          <w:lang w:val="pt-BR"/>
        </w:rPr>
        <w:t>anos</w:t>
      </w:r>
      <w:r w:rsidR="00D81AA1" w:rsidRPr="00D5464D">
        <w:rPr>
          <w:rFonts w:cs="Arial"/>
          <w:iCs/>
          <w:szCs w:val="20"/>
          <w:lang w:val="pt-BR"/>
        </w:rPr>
        <w:t xml:space="preserve">, </w:t>
      </w:r>
      <w:r w:rsidR="002C330E" w:rsidRPr="00D5464D">
        <w:rPr>
          <w:rFonts w:cs="Arial"/>
          <w:iCs/>
          <w:szCs w:val="20"/>
          <w:lang w:val="pt-BR"/>
        </w:rPr>
        <w:t>apresentaram</w:t>
      </w:r>
      <w:r w:rsidR="00E045D9" w:rsidRPr="00D5464D">
        <w:rPr>
          <w:rFonts w:cs="Arial"/>
          <w:iCs/>
          <w:szCs w:val="20"/>
          <w:lang w:val="pt-BR"/>
        </w:rPr>
        <w:t xml:space="preserve"> uma </w:t>
      </w:r>
      <w:r w:rsidRPr="00D5464D">
        <w:rPr>
          <w:rFonts w:cs="Arial"/>
          <w:iCs/>
          <w:szCs w:val="20"/>
          <w:lang w:val="pt-BR"/>
        </w:rPr>
        <w:t xml:space="preserve">denúncia perante a </w:t>
      </w:r>
      <w:r w:rsidR="00C91CB1" w:rsidRPr="00D5464D">
        <w:rPr>
          <w:rFonts w:cs="Arial"/>
          <w:iCs/>
          <w:szCs w:val="20"/>
          <w:lang w:val="pt-BR"/>
        </w:rPr>
        <w:t xml:space="preserve">Polícia </w:t>
      </w:r>
      <w:r w:rsidR="00D81AA1" w:rsidRPr="00D5464D">
        <w:rPr>
          <w:rFonts w:cs="Arial"/>
          <w:iCs/>
          <w:szCs w:val="20"/>
          <w:lang w:val="pt-BR"/>
        </w:rPr>
        <w:t>Federal</w:t>
      </w:r>
      <w:r w:rsidR="002C330E" w:rsidRPr="00D5464D">
        <w:rPr>
          <w:rFonts w:cs="Arial"/>
          <w:iCs/>
          <w:szCs w:val="20"/>
          <w:lang w:val="pt-BR"/>
        </w:rPr>
        <w:t xml:space="preserve"> pela prática</w:t>
      </w:r>
      <w:r w:rsidR="00D81AA1" w:rsidRPr="00D5464D">
        <w:rPr>
          <w:rFonts w:cs="Arial"/>
          <w:iCs/>
          <w:szCs w:val="20"/>
          <w:lang w:val="pt-BR"/>
        </w:rPr>
        <w:t xml:space="preserve"> de </w:t>
      </w:r>
      <w:r w:rsidR="00E045D9" w:rsidRPr="00D5464D">
        <w:rPr>
          <w:rFonts w:cs="Arial"/>
          <w:iCs/>
          <w:szCs w:val="20"/>
          <w:lang w:val="pt-BR"/>
        </w:rPr>
        <w:t>trabalho</w:t>
      </w:r>
      <w:r w:rsidR="00D81AA1" w:rsidRPr="00D5464D">
        <w:rPr>
          <w:rFonts w:cs="Arial"/>
          <w:iCs/>
          <w:szCs w:val="20"/>
          <w:lang w:val="pt-BR"/>
        </w:rPr>
        <w:t xml:space="preserve"> </w:t>
      </w:r>
      <w:r w:rsidR="004F1CC2" w:rsidRPr="00D5464D">
        <w:rPr>
          <w:rFonts w:cs="Arial"/>
          <w:iCs/>
          <w:szCs w:val="20"/>
          <w:lang w:val="pt-BR"/>
        </w:rPr>
        <w:t>escravo</w:t>
      </w:r>
      <w:r w:rsidR="00E045D9" w:rsidRPr="00D5464D">
        <w:rPr>
          <w:rFonts w:cs="Arial"/>
          <w:iCs/>
          <w:szCs w:val="20"/>
          <w:lang w:val="pt-BR"/>
        </w:rPr>
        <w:t xml:space="preserve"> na </w:t>
      </w:r>
      <w:r w:rsidR="00D809F0" w:rsidRPr="00D5464D">
        <w:rPr>
          <w:rFonts w:cs="Arial"/>
          <w:iCs/>
          <w:szCs w:val="20"/>
          <w:lang w:val="pt-BR"/>
        </w:rPr>
        <w:t>Fazenda</w:t>
      </w:r>
      <w:r w:rsidR="00D81AA1" w:rsidRPr="00D5464D">
        <w:rPr>
          <w:rFonts w:cs="Arial"/>
          <w:iCs/>
          <w:szCs w:val="20"/>
          <w:lang w:val="pt-BR"/>
        </w:rPr>
        <w:t xml:space="preserve"> Brasil Verde, </w:t>
      </w:r>
      <w:r w:rsidR="005A4FC7" w:rsidRPr="00D5464D">
        <w:rPr>
          <w:rFonts w:cs="Arial"/>
          <w:iCs/>
          <w:szCs w:val="20"/>
          <w:lang w:val="pt-BR"/>
        </w:rPr>
        <w:t xml:space="preserve">bem </w:t>
      </w:r>
      <w:r w:rsidR="00D81AA1" w:rsidRPr="00D5464D">
        <w:rPr>
          <w:rFonts w:cs="Arial"/>
          <w:iCs/>
          <w:szCs w:val="20"/>
          <w:lang w:val="pt-BR"/>
        </w:rPr>
        <w:t>como</w:t>
      </w:r>
      <w:r w:rsidR="002C330E" w:rsidRPr="00D5464D">
        <w:rPr>
          <w:rFonts w:cs="Arial"/>
          <w:iCs/>
          <w:szCs w:val="20"/>
          <w:lang w:val="pt-BR"/>
        </w:rPr>
        <w:t xml:space="preserve"> pel</w:t>
      </w:r>
      <w:r w:rsidR="00E045D9" w:rsidRPr="00D5464D">
        <w:rPr>
          <w:rFonts w:cs="Arial"/>
          <w:iCs/>
          <w:szCs w:val="20"/>
          <w:lang w:val="pt-BR"/>
        </w:rPr>
        <w:t>o desaparecimento</w:t>
      </w:r>
      <w:r w:rsidR="00D81AA1" w:rsidRPr="00D5464D">
        <w:rPr>
          <w:rFonts w:cs="Arial"/>
          <w:iCs/>
          <w:szCs w:val="20"/>
          <w:lang w:val="pt-BR"/>
        </w:rPr>
        <w:t xml:space="preserve"> de </w:t>
      </w:r>
      <w:r w:rsidR="0050553E" w:rsidRPr="00D5464D">
        <w:rPr>
          <w:rFonts w:cs="Arial"/>
          <w:iCs/>
          <w:szCs w:val="20"/>
          <w:lang w:val="pt-BR"/>
        </w:rPr>
        <w:t>ambos</w:t>
      </w:r>
      <w:r w:rsidR="00D81AA1" w:rsidRPr="00D5464D">
        <w:rPr>
          <w:rFonts w:cs="Arial"/>
          <w:iCs/>
          <w:szCs w:val="20"/>
          <w:lang w:val="pt-BR"/>
        </w:rPr>
        <w:t xml:space="preserve"> </w:t>
      </w:r>
      <w:r w:rsidR="005A4FC7" w:rsidRPr="00D5464D">
        <w:rPr>
          <w:rFonts w:cs="Arial"/>
          <w:iCs/>
          <w:szCs w:val="20"/>
          <w:lang w:val="pt-BR"/>
        </w:rPr>
        <w:t xml:space="preserve">os </w:t>
      </w:r>
      <w:r w:rsidR="00E045D9" w:rsidRPr="00D5464D">
        <w:rPr>
          <w:rFonts w:cs="Arial"/>
          <w:iCs/>
          <w:szCs w:val="20"/>
          <w:lang w:val="pt-BR"/>
        </w:rPr>
        <w:t>jovens</w:t>
      </w:r>
      <w:r w:rsidR="00A1358C" w:rsidRPr="00D5464D">
        <w:rPr>
          <w:rFonts w:cs="Arial"/>
          <w:iCs/>
          <w:szCs w:val="20"/>
          <w:lang w:val="pt-BR"/>
        </w:rPr>
        <w:t>. Nesta</w:t>
      </w:r>
      <w:r w:rsidR="00E045D9" w:rsidRPr="00D5464D">
        <w:rPr>
          <w:rFonts w:cs="Arial"/>
          <w:iCs/>
          <w:szCs w:val="20"/>
          <w:lang w:val="pt-BR"/>
        </w:rPr>
        <w:t xml:space="preserve"> </w:t>
      </w:r>
      <w:r w:rsidRPr="00D5464D">
        <w:rPr>
          <w:rFonts w:cs="Arial"/>
          <w:iCs/>
          <w:szCs w:val="20"/>
          <w:lang w:val="pt-BR"/>
        </w:rPr>
        <w:t>denúncia alegaram</w:t>
      </w:r>
      <w:r w:rsidR="00D81AA1" w:rsidRPr="00D5464D">
        <w:rPr>
          <w:rFonts w:cs="Arial"/>
          <w:iCs/>
          <w:szCs w:val="20"/>
          <w:lang w:val="pt-BR"/>
        </w:rPr>
        <w:t xml:space="preserve"> que</w:t>
      </w:r>
      <w:r w:rsidR="005A4FC7" w:rsidRPr="00D5464D">
        <w:rPr>
          <w:rFonts w:cs="Arial"/>
          <w:iCs/>
          <w:szCs w:val="20"/>
          <w:lang w:val="pt-BR"/>
        </w:rPr>
        <w:t>,</w:t>
      </w:r>
      <w:r w:rsidRPr="00D5464D">
        <w:rPr>
          <w:rFonts w:cs="Arial"/>
          <w:iCs/>
          <w:szCs w:val="20"/>
          <w:lang w:val="pt-BR"/>
        </w:rPr>
        <w:t xml:space="preserve"> em </w:t>
      </w:r>
      <w:r w:rsidR="00D81AA1" w:rsidRPr="00D5464D">
        <w:rPr>
          <w:rFonts w:cs="Arial"/>
          <w:iCs/>
          <w:szCs w:val="20"/>
          <w:lang w:val="pt-BR"/>
        </w:rPr>
        <w:t>agosto de 1988</w:t>
      </w:r>
      <w:r w:rsidR="005A4FC7" w:rsidRPr="00D5464D">
        <w:rPr>
          <w:rFonts w:cs="Arial"/>
          <w:iCs/>
          <w:szCs w:val="20"/>
          <w:lang w:val="pt-BR"/>
        </w:rPr>
        <w:t>,</w:t>
      </w:r>
      <w:r w:rsidR="00D81AA1" w:rsidRPr="00D5464D">
        <w:rPr>
          <w:rFonts w:cs="Arial"/>
          <w:iCs/>
          <w:szCs w:val="20"/>
          <w:lang w:val="pt-BR"/>
        </w:rPr>
        <w:t xml:space="preserve"> lron Canuto</w:t>
      </w:r>
      <w:r w:rsidR="0050553E" w:rsidRPr="00D5464D">
        <w:rPr>
          <w:rFonts w:cs="Arial"/>
          <w:iCs/>
          <w:szCs w:val="20"/>
          <w:lang w:val="pt-BR"/>
        </w:rPr>
        <w:t xml:space="preserve"> da Silva</w:t>
      </w:r>
      <w:r w:rsidR="00E045D9" w:rsidRPr="00D5464D">
        <w:rPr>
          <w:rFonts w:cs="Arial"/>
          <w:iCs/>
          <w:szCs w:val="20"/>
          <w:lang w:val="pt-BR"/>
        </w:rPr>
        <w:t xml:space="preserve"> e </w:t>
      </w:r>
      <w:r w:rsidR="00200C04" w:rsidRPr="00D5464D">
        <w:rPr>
          <w:rFonts w:cs="Arial"/>
          <w:iCs/>
          <w:szCs w:val="20"/>
          <w:lang w:val="pt-BR"/>
        </w:rPr>
        <w:t>Luis Ferreira da Cruz</w:t>
      </w:r>
      <w:r w:rsidR="00737270" w:rsidRPr="00D5464D">
        <w:rPr>
          <w:rFonts w:cs="Arial"/>
          <w:iCs/>
          <w:szCs w:val="20"/>
          <w:lang w:val="pt-BR"/>
        </w:rPr>
        <w:t xml:space="preserve"> haviam </w:t>
      </w:r>
      <w:r w:rsidR="00D81AA1" w:rsidRPr="00D5464D">
        <w:rPr>
          <w:rFonts w:cs="Arial"/>
          <w:iCs/>
          <w:szCs w:val="20"/>
          <w:lang w:val="pt-BR"/>
        </w:rPr>
        <w:t>sido</w:t>
      </w:r>
      <w:r w:rsidR="002C330E" w:rsidRPr="00D5464D">
        <w:rPr>
          <w:rFonts w:cs="Arial"/>
          <w:iCs/>
          <w:szCs w:val="20"/>
          <w:lang w:val="pt-BR"/>
        </w:rPr>
        <w:t xml:space="preserve"> lev</w:t>
      </w:r>
      <w:r w:rsidR="00D81AA1" w:rsidRPr="00D5464D">
        <w:rPr>
          <w:rFonts w:cs="Arial"/>
          <w:iCs/>
          <w:szCs w:val="20"/>
          <w:lang w:val="pt-BR"/>
        </w:rPr>
        <w:t>ados</w:t>
      </w:r>
      <w:r w:rsidR="002C330E" w:rsidRPr="00D5464D">
        <w:rPr>
          <w:rFonts w:cs="Arial"/>
          <w:iCs/>
          <w:szCs w:val="20"/>
          <w:lang w:val="pt-BR"/>
        </w:rPr>
        <w:t xml:space="preserve"> pelo senhor </w:t>
      </w:r>
      <w:r w:rsidR="00D81AA1" w:rsidRPr="00D5464D">
        <w:rPr>
          <w:rFonts w:cs="Arial"/>
          <w:iCs/>
          <w:szCs w:val="20"/>
          <w:lang w:val="pt-BR"/>
        </w:rPr>
        <w:t xml:space="preserve">Manoel Pinto Ferreira, </w:t>
      </w:r>
      <w:r w:rsidR="002C330E" w:rsidRPr="00D5464D">
        <w:rPr>
          <w:rFonts w:cs="Arial"/>
          <w:iCs/>
          <w:szCs w:val="20"/>
          <w:lang w:val="pt-BR"/>
        </w:rPr>
        <w:t xml:space="preserve">que </w:t>
      </w:r>
      <w:r w:rsidR="00D81AA1" w:rsidRPr="00D5464D">
        <w:rPr>
          <w:rFonts w:cs="Arial"/>
          <w:iCs/>
          <w:szCs w:val="20"/>
          <w:lang w:val="pt-BR"/>
        </w:rPr>
        <w:t>era</w:t>
      </w:r>
      <w:r w:rsidR="00E045D9" w:rsidRPr="00D5464D">
        <w:rPr>
          <w:rFonts w:cs="Arial"/>
          <w:iCs/>
          <w:szCs w:val="20"/>
          <w:lang w:val="pt-BR"/>
        </w:rPr>
        <w:t xml:space="preserve"> um </w:t>
      </w:r>
      <w:r w:rsidR="00C32FB5" w:rsidRPr="00D5464D">
        <w:rPr>
          <w:rFonts w:cs="Arial"/>
          <w:iCs/>
          <w:szCs w:val="20"/>
          <w:lang w:val="pt-BR"/>
        </w:rPr>
        <w:t xml:space="preserve">gato </w:t>
      </w:r>
      <w:r w:rsidRPr="00D5464D">
        <w:rPr>
          <w:rFonts w:cs="Arial"/>
          <w:iCs/>
          <w:szCs w:val="20"/>
          <w:lang w:val="pt-BR"/>
        </w:rPr>
        <w:t>conhecido</w:t>
      </w:r>
      <w:r w:rsidR="00D81AA1" w:rsidRPr="00D5464D">
        <w:rPr>
          <w:rFonts w:cs="Arial"/>
          <w:iCs/>
          <w:szCs w:val="20"/>
          <w:lang w:val="pt-BR"/>
        </w:rPr>
        <w:t xml:space="preserve"> como “Mano”, para </w:t>
      </w:r>
      <w:r w:rsidR="00E045D9" w:rsidRPr="00D5464D">
        <w:rPr>
          <w:rFonts w:cs="Arial"/>
          <w:iCs/>
          <w:szCs w:val="20"/>
          <w:lang w:val="pt-BR"/>
        </w:rPr>
        <w:t>trabalh</w:t>
      </w:r>
      <w:r w:rsidR="00D81AA1" w:rsidRPr="00D5464D">
        <w:rPr>
          <w:rFonts w:cs="Arial"/>
          <w:iCs/>
          <w:szCs w:val="20"/>
          <w:lang w:val="pt-BR"/>
        </w:rPr>
        <w:t>ar</w:t>
      </w:r>
      <w:r w:rsidR="005A4FC7" w:rsidRPr="00D5464D">
        <w:rPr>
          <w:rFonts w:cs="Arial"/>
          <w:iCs/>
          <w:szCs w:val="20"/>
          <w:lang w:val="pt-BR"/>
        </w:rPr>
        <w:t>em</w:t>
      </w:r>
      <w:r w:rsidR="00D81AA1" w:rsidRPr="00D5464D">
        <w:rPr>
          <w:rFonts w:cs="Arial"/>
          <w:iCs/>
          <w:szCs w:val="20"/>
          <w:lang w:val="pt-BR"/>
        </w:rPr>
        <w:t xml:space="preserve"> por 60 </w:t>
      </w:r>
      <w:r w:rsidRPr="00D5464D">
        <w:rPr>
          <w:rFonts w:cs="Arial"/>
          <w:iCs/>
          <w:szCs w:val="20"/>
          <w:lang w:val="pt-BR"/>
        </w:rPr>
        <w:t>dia</w:t>
      </w:r>
      <w:r w:rsidR="00D81AA1" w:rsidRPr="00D5464D">
        <w:rPr>
          <w:rFonts w:cs="Arial"/>
          <w:iCs/>
          <w:szCs w:val="20"/>
          <w:lang w:val="pt-BR"/>
        </w:rPr>
        <w:t>s</w:t>
      </w:r>
      <w:r w:rsidR="00E045D9" w:rsidRPr="00D5464D">
        <w:rPr>
          <w:rFonts w:cs="Arial"/>
          <w:iCs/>
          <w:szCs w:val="20"/>
          <w:lang w:val="pt-BR"/>
        </w:rPr>
        <w:t xml:space="preserve"> na </w:t>
      </w:r>
      <w:r w:rsidR="00D809F0" w:rsidRPr="00D5464D">
        <w:rPr>
          <w:rFonts w:cs="Arial"/>
          <w:iCs/>
          <w:szCs w:val="20"/>
          <w:lang w:val="pt-BR"/>
        </w:rPr>
        <w:t>Fazenda</w:t>
      </w:r>
      <w:r w:rsidR="00D81AA1" w:rsidRPr="00D5464D">
        <w:rPr>
          <w:rFonts w:cs="Arial"/>
          <w:iCs/>
          <w:szCs w:val="20"/>
          <w:lang w:val="pt-BR"/>
        </w:rPr>
        <w:t xml:space="preserve"> Brasil Verde. </w:t>
      </w:r>
      <w:r w:rsidR="00350187" w:rsidRPr="00D5464D">
        <w:rPr>
          <w:rFonts w:cs="Arial"/>
          <w:iCs/>
          <w:szCs w:val="20"/>
          <w:lang w:val="pt-BR"/>
        </w:rPr>
        <w:t xml:space="preserve">Além disso, </w:t>
      </w:r>
      <w:r w:rsidR="002C330E" w:rsidRPr="00D5464D">
        <w:rPr>
          <w:rFonts w:cs="Arial"/>
          <w:iCs/>
          <w:szCs w:val="20"/>
          <w:lang w:val="pt-BR"/>
        </w:rPr>
        <w:t>afirmaram</w:t>
      </w:r>
      <w:r w:rsidR="00D81AA1" w:rsidRPr="00D5464D">
        <w:rPr>
          <w:rFonts w:cs="Arial"/>
          <w:iCs/>
          <w:szCs w:val="20"/>
          <w:lang w:val="pt-BR"/>
        </w:rPr>
        <w:t xml:space="preserve"> que</w:t>
      </w:r>
      <w:r w:rsidR="00644A28" w:rsidRPr="00D5464D">
        <w:rPr>
          <w:rFonts w:cs="Arial"/>
          <w:iCs/>
          <w:szCs w:val="20"/>
          <w:lang w:val="pt-BR"/>
        </w:rPr>
        <w:t>,</w:t>
      </w:r>
      <w:r w:rsidR="00D81AA1" w:rsidRPr="00D5464D">
        <w:rPr>
          <w:rFonts w:cs="Arial"/>
          <w:iCs/>
          <w:szCs w:val="20"/>
          <w:lang w:val="pt-BR"/>
        </w:rPr>
        <w:t xml:space="preserve"> de </w:t>
      </w:r>
      <w:r w:rsidRPr="00D5464D">
        <w:rPr>
          <w:rFonts w:cs="Arial"/>
          <w:iCs/>
          <w:szCs w:val="20"/>
          <w:lang w:val="pt-BR"/>
        </w:rPr>
        <w:t>acordo com</w:t>
      </w:r>
      <w:r w:rsidR="002C330E" w:rsidRPr="00D5464D">
        <w:rPr>
          <w:rFonts w:cs="Arial"/>
          <w:iCs/>
          <w:szCs w:val="20"/>
          <w:lang w:val="pt-BR"/>
        </w:rPr>
        <w:t xml:space="preserve"> o que lhes </w:t>
      </w:r>
      <w:r w:rsidR="005A4FC7" w:rsidRPr="00D5464D">
        <w:rPr>
          <w:rFonts w:cs="Arial"/>
          <w:iCs/>
          <w:szCs w:val="20"/>
          <w:lang w:val="pt-BR"/>
        </w:rPr>
        <w:t xml:space="preserve">havia sido </w:t>
      </w:r>
      <w:r w:rsidR="00D81AA1" w:rsidRPr="00D5464D">
        <w:rPr>
          <w:rFonts w:cs="Arial"/>
          <w:iCs/>
          <w:szCs w:val="20"/>
          <w:lang w:val="pt-BR"/>
        </w:rPr>
        <w:t>indicado</w:t>
      </w:r>
      <w:r w:rsidR="002C330E" w:rsidRPr="00D5464D">
        <w:rPr>
          <w:rFonts w:cs="Arial"/>
          <w:iCs/>
          <w:szCs w:val="20"/>
          <w:lang w:val="pt-BR"/>
        </w:rPr>
        <w:t xml:space="preserve"> pelo </w:t>
      </w:r>
      <w:r w:rsidR="00C32FB5" w:rsidRPr="00D5464D">
        <w:rPr>
          <w:rFonts w:cs="Arial"/>
          <w:iCs/>
          <w:szCs w:val="20"/>
          <w:lang w:val="pt-BR"/>
        </w:rPr>
        <w:t xml:space="preserve">gato </w:t>
      </w:r>
      <w:r w:rsidR="00D81AA1" w:rsidRPr="00D5464D">
        <w:rPr>
          <w:rFonts w:cs="Arial"/>
          <w:iCs/>
          <w:szCs w:val="20"/>
          <w:lang w:val="pt-BR"/>
        </w:rPr>
        <w:t>“Mano”, aproximadamente</w:t>
      </w:r>
      <w:r w:rsidRPr="00D5464D">
        <w:rPr>
          <w:rFonts w:cs="Arial"/>
          <w:iCs/>
          <w:szCs w:val="20"/>
          <w:lang w:val="pt-BR"/>
        </w:rPr>
        <w:t xml:space="preserve"> em </w:t>
      </w:r>
      <w:r w:rsidR="002C330E" w:rsidRPr="00D5464D">
        <w:rPr>
          <w:rFonts w:cs="Arial"/>
          <w:iCs/>
          <w:szCs w:val="20"/>
          <w:lang w:val="pt-BR"/>
        </w:rPr>
        <w:t>setembro</w:t>
      </w:r>
      <w:r w:rsidR="00D81AA1" w:rsidRPr="00D5464D">
        <w:rPr>
          <w:rFonts w:cs="Arial"/>
          <w:iCs/>
          <w:szCs w:val="20"/>
          <w:lang w:val="pt-BR"/>
        </w:rPr>
        <w:t xml:space="preserve"> </w:t>
      </w:r>
      <w:r w:rsidRPr="00D5464D">
        <w:rPr>
          <w:rFonts w:cs="Arial"/>
          <w:iCs/>
          <w:szCs w:val="20"/>
          <w:lang w:val="pt-BR"/>
        </w:rPr>
        <w:t xml:space="preserve">do </w:t>
      </w:r>
      <w:r w:rsidR="002C330E" w:rsidRPr="00D5464D">
        <w:rPr>
          <w:rFonts w:cs="Arial"/>
          <w:iCs/>
          <w:szCs w:val="20"/>
          <w:lang w:val="pt-BR"/>
        </w:rPr>
        <w:t>mesm</w:t>
      </w:r>
      <w:r w:rsidR="00D81AA1" w:rsidRPr="00D5464D">
        <w:rPr>
          <w:rFonts w:cs="Arial"/>
          <w:iCs/>
          <w:szCs w:val="20"/>
          <w:lang w:val="pt-BR"/>
        </w:rPr>
        <w:t>o</w:t>
      </w:r>
      <w:r w:rsidRPr="00D5464D">
        <w:rPr>
          <w:rFonts w:cs="Arial"/>
          <w:iCs/>
          <w:szCs w:val="20"/>
          <w:lang w:val="pt-BR"/>
        </w:rPr>
        <w:t xml:space="preserve"> ano</w:t>
      </w:r>
      <w:r w:rsidR="002C330E" w:rsidRPr="00D5464D">
        <w:rPr>
          <w:rFonts w:cs="Arial"/>
          <w:iCs/>
          <w:szCs w:val="20"/>
          <w:lang w:val="pt-BR"/>
        </w:rPr>
        <w:t xml:space="preserve"> os </w:t>
      </w:r>
      <w:r w:rsidR="00E045D9" w:rsidRPr="00D5464D">
        <w:rPr>
          <w:rFonts w:cs="Arial"/>
          <w:iCs/>
          <w:szCs w:val="20"/>
          <w:lang w:val="pt-BR"/>
        </w:rPr>
        <w:t xml:space="preserve">jovens teriam </w:t>
      </w:r>
      <w:r w:rsidR="00D81AA1" w:rsidRPr="00D5464D">
        <w:rPr>
          <w:rFonts w:cs="Arial"/>
          <w:iCs/>
          <w:szCs w:val="20"/>
          <w:lang w:val="pt-BR"/>
        </w:rPr>
        <w:t>tentado</w:t>
      </w:r>
      <w:r w:rsidR="00E045D9" w:rsidRPr="00D5464D">
        <w:rPr>
          <w:rFonts w:cs="Arial"/>
          <w:iCs/>
          <w:szCs w:val="20"/>
          <w:lang w:val="pt-BR"/>
        </w:rPr>
        <w:t xml:space="preserve"> fugir </w:t>
      </w:r>
      <w:r w:rsidRPr="00D5464D">
        <w:rPr>
          <w:rFonts w:cs="Arial"/>
          <w:iCs/>
          <w:szCs w:val="20"/>
          <w:lang w:val="pt-BR"/>
        </w:rPr>
        <w:t xml:space="preserve">da </w:t>
      </w:r>
      <w:r w:rsidR="00D809F0" w:rsidRPr="00D5464D">
        <w:rPr>
          <w:rFonts w:cs="Arial"/>
          <w:iCs/>
          <w:szCs w:val="20"/>
          <w:lang w:val="pt-BR"/>
        </w:rPr>
        <w:t>Fazenda</w:t>
      </w:r>
      <w:r w:rsidR="005A4FC7" w:rsidRPr="00D5464D">
        <w:rPr>
          <w:rFonts w:cs="Arial"/>
          <w:iCs/>
          <w:szCs w:val="20"/>
          <w:lang w:val="pt-BR"/>
        </w:rPr>
        <w:t>,</w:t>
      </w:r>
      <w:r w:rsidR="00D81AA1" w:rsidRPr="00D5464D">
        <w:rPr>
          <w:rFonts w:cs="Arial"/>
          <w:iCs/>
          <w:szCs w:val="20"/>
          <w:lang w:val="pt-BR"/>
        </w:rPr>
        <w:t xml:space="preserve"> </w:t>
      </w:r>
      <w:r w:rsidR="002C330E" w:rsidRPr="00D5464D">
        <w:rPr>
          <w:rFonts w:cs="Arial"/>
          <w:iCs/>
          <w:szCs w:val="20"/>
          <w:lang w:val="pt-BR"/>
        </w:rPr>
        <w:t>mas</w:t>
      </w:r>
      <w:r w:rsidR="00E045D9" w:rsidRPr="00D5464D">
        <w:rPr>
          <w:rFonts w:cs="Arial"/>
          <w:iCs/>
          <w:szCs w:val="20"/>
          <w:lang w:val="pt-BR"/>
        </w:rPr>
        <w:t xml:space="preserve"> teriam </w:t>
      </w:r>
      <w:r w:rsidR="00D81AA1" w:rsidRPr="00D5464D">
        <w:rPr>
          <w:rFonts w:cs="Arial"/>
          <w:iCs/>
          <w:szCs w:val="20"/>
          <w:lang w:val="pt-BR"/>
        </w:rPr>
        <w:t>sido encontrados</w:t>
      </w:r>
      <w:r w:rsidR="002C330E" w:rsidRPr="00D5464D">
        <w:rPr>
          <w:rFonts w:cs="Arial"/>
          <w:iCs/>
          <w:szCs w:val="20"/>
          <w:lang w:val="pt-BR"/>
        </w:rPr>
        <w:t xml:space="preserve"> pelo </w:t>
      </w:r>
      <w:r w:rsidR="00C32FB5" w:rsidRPr="00D5464D">
        <w:rPr>
          <w:rFonts w:cs="Arial"/>
          <w:iCs/>
          <w:szCs w:val="20"/>
          <w:lang w:val="pt-BR"/>
        </w:rPr>
        <w:t xml:space="preserve">gato </w:t>
      </w:r>
      <w:r w:rsidR="00E045D9" w:rsidRPr="00D5464D">
        <w:rPr>
          <w:rFonts w:cs="Arial"/>
          <w:iCs/>
          <w:szCs w:val="20"/>
          <w:lang w:val="pt-BR"/>
        </w:rPr>
        <w:t>e</w:t>
      </w:r>
      <w:r w:rsidR="00E045D9" w:rsidRPr="00D5464D">
        <w:rPr>
          <w:rFonts w:cs="Arial"/>
          <w:i/>
          <w:iCs/>
          <w:szCs w:val="20"/>
          <w:lang w:val="pt-BR"/>
        </w:rPr>
        <w:t xml:space="preserve"> </w:t>
      </w:r>
      <w:r w:rsidR="005A4FC7" w:rsidRPr="00D5464D">
        <w:rPr>
          <w:rFonts w:cs="Arial"/>
          <w:iCs/>
          <w:szCs w:val="20"/>
          <w:lang w:val="pt-BR"/>
        </w:rPr>
        <w:t xml:space="preserve">devolvidos </w:t>
      </w:r>
      <w:r w:rsidRPr="00D5464D">
        <w:rPr>
          <w:rFonts w:cs="Arial"/>
          <w:iCs/>
          <w:szCs w:val="20"/>
          <w:lang w:val="pt-BR"/>
        </w:rPr>
        <w:t xml:space="preserve">à </w:t>
      </w:r>
      <w:r w:rsidR="00A1358C" w:rsidRPr="00D5464D">
        <w:rPr>
          <w:rFonts w:cs="Arial"/>
          <w:iCs/>
          <w:szCs w:val="20"/>
          <w:lang w:val="pt-BR"/>
        </w:rPr>
        <w:t xml:space="preserve">força. O </w:t>
      </w:r>
      <w:r w:rsidR="00C32FB5" w:rsidRPr="00D5464D">
        <w:rPr>
          <w:rFonts w:cs="Arial"/>
          <w:iCs/>
          <w:szCs w:val="20"/>
          <w:lang w:val="pt-BR"/>
        </w:rPr>
        <w:t>gato</w:t>
      </w:r>
      <w:r w:rsidR="00C176E3" w:rsidRPr="00D5464D">
        <w:rPr>
          <w:rFonts w:cs="Arial"/>
          <w:iCs/>
          <w:szCs w:val="20"/>
          <w:lang w:val="pt-BR"/>
        </w:rPr>
        <w:t xml:space="preserve"> os</w:t>
      </w:r>
      <w:r w:rsidR="00C32FB5" w:rsidRPr="00D5464D">
        <w:rPr>
          <w:rFonts w:cs="Arial"/>
          <w:iCs/>
          <w:szCs w:val="20"/>
          <w:lang w:val="pt-BR"/>
        </w:rPr>
        <w:t xml:space="preserve"> </w:t>
      </w:r>
      <w:r w:rsidR="002C330E" w:rsidRPr="00D5464D">
        <w:rPr>
          <w:rFonts w:cs="Arial"/>
          <w:iCs/>
          <w:szCs w:val="20"/>
          <w:lang w:val="pt-BR"/>
        </w:rPr>
        <w:t>teria</w:t>
      </w:r>
      <w:r w:rsidR="00D81AA1" w:rsidRPr="00D5464D">
        <w:rPr>
          <w:rFonts w:cs="Arial"/>
          <w:iCs/>
          <w:szCs w:val="20"/>
          <w:lang w:val="pt-BR"/>
        </w:rPr>
        <w:t xml:space="preserve"> </w:t>
      </w:r>
      <w:r w:rsidRPr="00D5464D">
        <w:rPr>
          <w:rFonts w:cs="Arial"/>
          <w:iCs/>
          <w:szCs w:val="20"/>
          <w:lang w:val="pt-BR"/>
        </w:rPr>
        <w:t>ameaça</w:t>
      </w:r>
      <w:r w:rsidR="00D81AA1" w:rsidRPr="00D5464D">
        <w:rPr>
          <w:rFonts w:cs="Arial"/>
          <w:iCs/>
          <w:szCs w:val="20"/>
          <w:lang w:val="pt-BR"/>
        </w:rPr>
        <w:t xml:space="preserve">do de </w:t>
      </w:r>
      <w:r w:rsidR="002C330E" w:rsidRPr="00D5464D">
        <w:rPr>
          <w:rFonts w:cs="Arial"/>
          <w:iCs/>
          <w:szCs w:val="20"/>
          <w:lang w:val="pt-BR"/>
        </w:rPr>
        <w:t>morte</w:t>
      </w:r>
      <w:r w:rsidR="00E045D9" w:rsidRPr="00D5464D">
        <w:rPr>
          <w:rFonts w:cs="Arial"/>
          <w:iCs/>
          <w:szCs w:val="20"/>
          <w:lang w:val="pt-BR"/>
        </w:rPr>
        <w:t xml:space="preserve"> </w:t>
      </w:r>
      <w:r w:rsidR="00D81AA1" w:rsidRPr="00D5464D">
        <w:rPr>
          <w:rFonts w:cs="Arial"/>
          <w:iCs/>
          <w:szCs w:val="20"/>
          <w:lang w:val="pt-BR"/>
        </w:rPr>
        <w:t>e</w:t>
      </w:r>
      <w:r w:rsidR="005A4FC7" w:rsidRPr="00D5464D">
        <w:rPr>
          <w:rFonts w:cs="Arial"/>
          <w:iCs/>
          <w:szCs w:val="20"/>
          <w:lang w:val="pt-BR"/>
        </w:rPr>
        <w:t>,</w:t>
      </w:r>
      <w:r w:rsidR="00D81AA1" w:rsidRPr="00D5464D">
        <w:rPr>
          <w:rFonts w:cs="Arial"/>
          <w:iCs/>
          <w:szCs w:val="20"/>
          <w:lang w:val="pt-BR"/>
        </w:rPr>
        <w:t xml:space="preserve"> </w:t>
      </w:r>
      <w:r w:rsidR="00350187" w:rsidRPr="00D5464D">
        <w:rPr>
          <w:rFonts w:cs="Arial"/>
          <w:iCs/>
          <w:szCs w:val="20"/>
          <w:lang w:val="pt-BR"/>
        </w:rPr>
        <w:t>inclusive</w:t>
      </w:r>
      <w:r w:rsidR="005A4FC7" w:rsidRPr="00D5464D">
        <w:rPr>
          <w:rFonts w:cs="Arial"/>
          <w:iCs/>
          <w:szCs w:val="20"/>
          <w:lang w:val="pt-BR"/>
        </w:rPr>
        <w:t xml:space="preserve">, teria </w:t>
      </w:r>
      <w:r w:rsidR="00D81AA1" w:rsidRPr="00D5464D">
        <w:rPr>
          <w:rFonts w:cs="Arial"/>
          <w:iCs/>
          <w:szCs w:val="20"/>
          <w:lang w:val="pt-BR"/>
        </w:rPr>
        <w:t>realizado disparos</w:t>
      </w:r>
      <w:r w:rsidRPr="00D5464D">
        <w:rPr>
          <w:rFonts w:cs="Arial"/>
          <w:iCs/>
          <w:szCs w:val="20"/>
          <w:lang w:val="pt-BR"/>
        </w:rPr>
        <w:t xml:space="preserve"> com</w:t>
      </w:r>
      <w:r w:rsidR="00E045D9" w:rsidRPr="00D5464D">
        <w:rPr>
          <w:rFonts w:cs="Arial"/>
          <w:iCs/>
          <w:szCs w:val="20"/>
          <w:lang w:val="pt-BR"/>
        </w:rPr>
        <w:t xml:space="preserve"> um</w:t>
      </w:r>
      <w:r w:rsidR="005A4FC7" w:rsidRPr="00D5464D">
        <w:rPr>
          <w:rFonts w:cs="Arial"/>
          <w:iCs/>
          <w:szCs w:val="20"/>
          <w:lang w:val="pt-BR"/>
        </w:rPr>
        <w:t>a</w:t>
      </w:r>
      <w:r w:rsidR="00E045D9" w:rsidRPr="00D5464D">
        <w:rPr>
          <w:rFonts w:cs="Arial"/>
          <w:iCs/>
          <w:szCs w:val="20"/>
          <w:lang w:val="pt-BR"/>
        </w:rPr>
        <w:t xml:space="preserve"> </w:t>
      </w:r>
      <w:r w:rsidR="00D81AA1" w:rsidRPr="00D5464D">
        <w:rPr>
          <w:rFonts w:cs="Arial"/>
          <w:iCs/>
          <w:szCs w:val="20"/>
          <w:lang w:val="pt-BR"/>
        </w:rPr>
        <w:t xml:space="preserve">arma de </w:t>
      </w:r>
      <w:r w:rsidRPr="00D5464D">
        <w:rPr>
          <w:rFonts w:cs="Arial"/>
          <w:iCs/>
          <w:szCs w:val="20"/>
          <w:lang w:val="pt-BR"/>
        </w:rPr>
        <w:t>fogo</w:t>
      </w:r>
      <w:r w:rsidR="00D81AA1" w:rsidRPr="00D5464D">
        <w:rPr>
          <w:rFonts w:cs="Arial"/>
          <w:iCs/>
          <w:szCs w:val="20"/>
          <w:lang w:val="pt-BR"/>
        </w:rPr>
        <w:t>. Finalmente,</w:t>
      </w:r>
      <w:r w:rsidR="002C330E" w:rsidRPr="00D5464D">
        <w:rPr>
          <w:rFonts w:cs="Arial"/>
          <w:iCs/>
          <w:szCs w:val="20"/>
          <w:lang w:val="pt-BR"/>
        </w:rPr>
        <w:t xml:space="preserve"> os </w:t>
      </w:r>
      <w:r w:rsidR="00D81AA1" w:rsidRPr="00D5464D">
        <w:rPr>
          <w:rFonts w:cs="Arial"/>
          <w:iCs/>
          <w:szCs w:val="20"/>
          <w:lang w:val="pt-BR"/>
        </w:rPr>
        <w:t xml:space="preserve">denunciantes </w:t>
      </w:r>
      <w:r w:rsidR="002C330E" w:rsidRPr="00D5464D">
        <w:rPr>
          <w:rFonts w:cs="Arial"/>
          <w:iCs/>
          <w:szCs w:val="20"/>
          <w:lang w:val="pt-BR"/>
        </w:rPr>
        <w:t>indicaram</w:t>
      </w:r>
      <w:r w:rsidR="00D81AA1" w:rsidRPr="00D5464D">
        <w:rPr>
          <w:rFonts w:cs="Arial"/>
          <w:iCs/>
          <w:szCs w:val="20"/>
          <w:lang w:val="pt-BR"/>
        </w:rPr>
        <w:t xml:space="preserve"> que des</w:t>
      </w:r>
      <w:r w:rsidR="00A1358C" w:rsidRPr="00D5464D">
        <w:rPr>
          <w:rFonts w:cs="Arial"/>
          <w:iCs/>
          <w:szCs w:val="20"/>
          <w:lang w:val="pt-BR"/>
        </w:rPr>
        <w:t>conhecia</w:t>
      </w:r>
      <w:r w:rsidR="005A4FC7" w:rsidRPr="00D5464D">
        <w:rPr>
          <w:rFonts w:cs="Arial"/>
          <w:iCs/>
          <w:szCs w:val="20"/>
          <w:lang w:val="pt-BR"/>
        </w:rPr>
        <w:t>m</w:t>
      </w:r>
      <w:r w:rsidRPr="00D5464D">
        <w:rPr>
          <w:rFonts w:cs="Arial"/>
          <w:iCs/>
          <w:szCs w:val="20"/>
          <w:lang w:val="pt-BR"/>
        </w:rPr>
        <w:t xml:space="preserve"> o </w:t>
      </w:r>
      <w:r w:rsidR="002C330E" w:rsidRPr="00D5464D">
        <w:rPr>
          <w:rFonts w:cs="Arial"/>
          <w:iCs/>
          <w:szCs w:val="20"/>
          <w:lang w:val="pt-BR"/>
        </w:rPr>
        <w:t>paradeiro</w:t>
      </w:r>
      <w:r w:rsidRPr="00D5464D">
        <w:rPr>
          <w:rFonts w:cs="Arial"/>
          <w:iCs/>
          <w:szCs w:val="20"/>
          <w:lang w:val="pt-BR"/>
        </w:rPr>
        <w:t xml:space="preserve"> dos </w:t>
      </w:r>
      <w:r w:rsidR="00E045D9" w:rsidRPr="00D5464D">
        <w:rPr>
          <w:rFonts w:cs="Arial"/>
          <w:iCs/>
          <w:szCs w:val="20"/>
          <w:lang w:val="pt-BR"/>
        </w:rPr>
        <w:t xml:space="preserve">jovens e </w:t>
      </w:r>
      <w:r w:rsidR="00D81AA1" w:rsidRPr="00D5464D">
        <w:rPr>
          <w:rFonts w:cs="Arial"/>
          <w:iCs/>
          <w:szCs w:val="20"/>
          <w:lang w:val="pt-BR"/>
        </w:rPr>
        <w:t xml:space="preserve">que </w:t>
      </w:r>
      <w:r w:rsidRPr="00D5464D">
        <w:rPr>
          <w:rFonts w:cs="Arial"/>
          <w:iCs/>
          <w:szCs w:val="20"/>
          <w:lang w:val="pt-BR"/>
        </w:rPr>
        <w:t>esta</w:t>
      </w:r>
      <w:r w:rsidR="00D81AA1" w:rsidRPr="00D5464D">
        <w:rPr>
          <w:rFonts w:cs="Arial"/>
          <w:iCs/>
          <w:szCs w:val="20"/>
          <w:lang w:val="pt-BR"/>
        </w:rPr>
        <w:t xml:space="preserve"> situa</w:t>
      </w:r>
      <w:r w:rsidRPr="00D5464D">
        <w:rPr>
          <w:rFonts w:cs="Arial"/>
          <w:iCs/>
          <w:szCs w:val="20"/>
          <w:lang w:val="pt-BR"/>
        </w:rPr>
        <w:t>ção</w:t>
      </w:r>
      <w:r w:rsidR="00D81AA1" w:rsidRPr="00D5464D">
        <w:rPr>
          <w:rFonts w:cs="Arial"/>
          <w:iCs/>
          <w:szCs w:val="20"/>
          <w:lang w:val="pt-BR"/>
        </w:rPr>
        <w:t xml:space="preserve"> </w:t>
      </w:r>
      <w:r w:rsidR="002C330E" w:rsidRPr="00D5464D">
        <w:rPr>
          <w:rFonts w:cs="Arial"/>
          <w:iCs/>
          <w:szCs w:val="20"/>
          <w:lang w:val="pt-BR"/>
        </w:rPr>
        <w:t>havia</w:t>
      </w:r>
      <w:r w:rsidR="00D81AA1" w:rsidRPr="00D5464D">
        <w:rPr>
          <w:rFonts w:cs="Arial"/>
          <w:iCs/>
          <w:szCs w:val="20"/>
          <w:lang w:val="pt-BR"/>
        </w:rPr>
        <w:t xml:space="preserve"> </w:t>
      </w:r>
      <w:r w:rsidR="00350187" w:rsidRPr="00D5464D">
        <w:rPr>
          <w:rFonts w:cs="Arial"/>
          <w:iCs/>
          <w:szCs w:val="20"/>
          <w:lang w:val="pt-BR"/>
        </w:rPr>
        <w:t>gerad</w:t>
      </w:r>
      <w:r w:rsidR="00D81AA1" w:rsidRPr="00D5464D">
        <w:rPr>
          <w:rFonts w:cs="Arial"/>
          <w:iCs/>
          <w:szCs w:val="20"/>
          <w:lang w:val="pt-BR"/>
        </w:rPr>
        <w:t>o</w:t>
      </w:r>
      <w:r w:rsidR="00E045D9" w:rsidRPr="00D5464D">
        <w:rPr>
          <w:rFonts w:cs="Arial"/>
          <w:iCs/>
          <w:szCs w:val="20"/>
          <w:lang w:val="pt-BR"/>
        </w:rPr>
        <w:t xml:space="preserve"> uma </w:t>
      </w:r>
      <w:r w:rsidR="002C330E" w:rsidRPr="00D5464D">
        <w:rPr>
          <w:rFonts w:cs="Arial"/>
          <w:iCs/>
          <w:szCs w:val="20"/>
          <w:lang w:val="pt-BR"/>
        </w:rPr>
        <w:t xml:space="preserve">grande </w:t>
      </w:r>
      <w:r w:rsidR="00D81AA1" w:rsidRPr="00D5464D">
        <w:rPr>
          <w:rFonts w:cs="Arial"/>
          <w:iCs/>
          <w:szCs w:val="20"/>
          <w:lang w:val="pt-BR"/>
        </w:rPr>
        <w:t>preocupa</w:t>
      </w:r>
      <w:r w:rsidRPr="00D5464D">
        <w:rPr>
          <w:rFonts w:cs="Arial"/>
          <w:iCs/>
          <w:szCs w:val="20"/>
          <w:lang w:val="pt-BR"/>
        </w:rPr>
        <w:t>ção</w:t>
      </w:r>
      <w:r w:rsidR="00D81AA1" w:rsidRPr="00D5464D">
        <w:rPr>
          <w:rFonts w:cs="Arial"/>
          <w:iCs/>
          <w:szCs w:val="20"/>
          <w:lang w:val="pt-BR"/>
        </w:rPr>
        <w:t xml:space="preserve"> para</w:t>
      </w:r>
      <w:r w:rsidR="002C330E" w:rsidRPr="00D5464D">
        <w:rPr>
          <w:rFonts w:cs="Arial"/>
          <w:iCs/>
          <w:szCs w:val="20"/>
          <w:lang w:val="pt-BR"/>
        </w:rPr>
        <w:t xml:space="preserve"> a </w:t>
      </w:r>
      <w:r w:rsidRPr="00D5464D">
        <w:rPr>
          <w:rFonts w:cs="Arial"/>
          <w:iCs/>
          <w:szCs w:val="20"/>
          <w:lang w:val="pt-BR"/>
        </w:rPr>
        <w:t xml:space="preserve">família </w:t>
      </w:r>
      <w:r w:rsidR="00D81AA1" w:rsidRPr="00D5464D">
        <w:rPr>
          <w:rFonts w:cs="Arial"/>
          <w:iCs/>
          <w:szCs w:val="20"/>
          <w:lang w:val="pt-BR"/>
        </w:rPr>
        <w:t>(</w:t>
      </w:r>
      <w:r w:rsidR="002C330E" w:rsidRPr="00D5464D">
        <w:rPr>
          <w:rFonts w:cs="Arial"/>
          <w:iCs/>
          <w:szCs w:val="20"/>
          <w:lang w:val="pt-BR"/>
        </w:rPr>
        <w:t>par.</w:t>
      </w:r>
      <w:r w:rsidR="00D81AA1" w:rsidRPr="00D5464D">
        <w:rPr>
          <w:rFonts w:cs="Arial"/>
          <w:iCs/>
          <w:szCs w:val="20"/>
          <w:lang w:val="pt-BR"/>
        </w:rPr>
        <w:t xml:space="preserve"> </w:t>
      </w:r>
      <w:r w:rsidR="00B30674" w:rsidRPr="00D5464D">
        <w:rPr>
          <w:rFonts w:cs="Arial"/>
          <w:iCs/>
          <w:szCs w:val="20"/>
          <w:lang w:val="pt-BR"/>
        </w:rPr>
        <w:t>130</w:t>
      </w:r>
      <w:r w:rsidR="0025611E" w:rsidRPr="00D5464D">
        <w:rPr>
          <w:rFonts w:cs="Arial"/>
          <w:i/>
          <w:iCs/>
          <w:szCs w:val="20"/>
          <w:lang w:val="pt-BR"/>
        </w:rPr>
        <w:t xml:space="preserve"> supra</w:t>
      </w:r>
      <w:r w:rsidR="00D81AA1" w:rsidRPr="00D5464D">
        <w:rPr>
          <w:rFonts w:cs="Arial"/>
          <w:iCs/>
          <w:szCs w:val="20"/>
          <w:lang w:val="pt-BR"/>
        </w:rPr>
        <w:t>).</w:t>
      </w:r>
    </w:p>
    <w:p w14:paraId="11AC9A09" w14:textId="77777777" w:rsidR="00D81AA1" w:rsidRPr="00D5464D" w:rsidRDefault="00D81AA1" w:rsidP="00D81AA1">
      <w:pPr>
        <w:pStyle w:val="Prrafodelista"/>
        <w:tabs>
          <w:tab w:val="right" w:pos="0"/>
        </w:tabs>
        <w:autoSpaceDE w:val="0"/>
        <w:autoSpaceDN w:val="0"/>
        <w:adjustRightInd w:val="0"/>
        <w:ind w:left="0"/>
        <w:rPr>
          <w:rFonts w:cs="Arial"/>
          <w:iCs/>
          <w:szCs w:val="20"/>
          <w:lang w:val="pt-BR"/>
        </w:rPr>
      </w:pPr>
    </w:p>
    <w:p w14:paraId="259E0724" w14:textId="79461D97" w:rsidR="00D81AA1" w:rsidRPr="00D5464D" w:rsidRDefault="00747A03" w:rsidP="00D81AA1">
      <w:pPr>
        <w:pStyle w:val="Prrafodelista"/>
        <w:numPr>
          <w:ilvl w:val="0"/>
          <w:numId w:val="1"/>
        </w:numPr>
        <w:tabs>
          <w:tab w:val="right" w:pos="0"/>
        </w:tabs>
        <w:contextualSpacing w:val="0"/>
        <w:rPr>
          <w:rFonts w:cs="Arial"/>
          <w:iCs/>
          <w:szCs w:val="20"/>
          <w:lang w:val="pt-BR"/>
        </w:rPr>
      </w:pPr>
      <w:r w:rsidRPr="00D5464D">
        <w:rPr>
          <w:rFonts w:cs="Arial"/>
          <w:iCs/>
          <w:szCs w:val="20"/>
          <w:lang w:val="pt-BR"/>
        </w:rPr>
        <w:t>Por</w:t>
      </w:r>
      <w:r w:rsidR="00350187" w:rsidRPr="00D5464D">
        <w:rPr>
          <w:rFonts w:cs="Arial"/>
          <w:iCs/>
          <w:szCs w:val="20"/>
          <w:lang w:val="pt-BR"/>
        </w:rPr>
        <w:t xml:space="preserve"> sua vez</w:t>
      </w:r>
      <w:r w:rsidR="00D81AA1" w:rsidRPr="00D5464D">
        <w:rPr>
          <w:rFonts w:cs="Arial"/>
          <w:iCs/>
          <w:szCs w:val="20"/>
          <w:lang w:val="pt-BR"/>
        </w:rPr>
        <w:t>,</w:t>
      </w:r>
      <w:r w:rsidR="00470ADC" w:rsidRPr="00D5464D">
        <w:rPr>
          <w:rFonts w:cs="Arial"/>
          <w:iCs/>
          <w:szCs w:val="20"/>
          <w:lang w:val="pt-BR"/>
        </w:rPr>
        <w:t xml:space="preserve"> o </w:t>
      </w:r>
      <w:r w:rsidR="00D81AA1" w:rsidRPr="00D5464D">
        <w:rPr>
          <w:rFonts w:cs="Arial"/>
          <w:iCs/>
          <w:szCs w:val="20"/>
          <w:lang w:val="pt-BR"/>
        </w:rPr>
        <w:t xml:space="preserve">Tribunal </w:t>
      </w:r>
      <w:r w:rsidR="00E765C2" w:rsidRPr="00D5464D">
        <w:rPr>
          <w:rFonts w:cs="Arial"/>
          <w:iCs/>
          <w:szCs w:val="20"/>
          <w:lang w:val="pt-BR"/>
        </w:rPr>
        <w:t>verificou</w:t>
      </w:r>
      <w:r w:rsidR="00D81AA1" w:rsidRPr="00D5464D">
        <w:rPr>
          <w:rFonts w:cs="Arial"/>
          <w:iCs/>
          <w:szCs w:val="20"/>
          <w:lang w:val="pt-BR"/>
        </w:rPr>
        <w:t xml:space="preserve"> que</w:t>
      </w:r>
      <w:r w:rsidR="005A4FC7" w:rsidRPr="00D5464D">
        <w:rPr>
          <w:rFonts w:cs="Arial"/>
          <w:iCs/>
          <w:szCs w:val="20"/>
          <w:lang w:val="pt-BR"/>
        </w:rPr>
        <w:t>,</w:t>
      </w:r>
      <w:r w:rsidR="002C330E" w:rsidRPr="00D5464D">
        <w:rPr>
          <w:rFonts w:cs="Arial"/>
          <w:iCs/>
          <w:szCs w:val="20"/>
          <w:lang w:val="pt-BR"/>
        </w:rPr>
        <w:t xml:space="preserve"> em 2</w:t>
      </w:r>
      <w:r w:rsidR="00D81AA1" w:rsidRPr="00D5464D">
        <w:rPr>
          <w:rFonts w:cs="Arial"/>
          <w:iCs/>
          <w:szCs w:val="20"/>
          <w:lang w:val="pt-BR"/>
        </w:rPr>
        <w:t xml:space="preserve">0 de </w:t>
      </w:r>
      <w:r w:rsidR="00470ADC" w:rsidRPr="00D5464D">
        <w:rPr>
          <w:rFonts w:cs="Arial"/>
          <w:iCs/>
          <w:szCs w:val="20"/>
          <w:lang w:val="pt-BR"/>
        </w:rPr>
        <w:t>fevereiro</w:t>
      </w:r>
      <w:r w:rsidR="00D81AA1" w:rsidRPr="00D5464D">
        <w:rPr>
          <w:rFonts w:cs="Arial"/>
          <w:iCs/>
          <w:szCs w:val="20"/>
          <w:lang w:val="pt-BR"/>
        </w:rPr>
        <w:t xml:space="preserve"> de 1989</w:t>
      </w:r>
      <w:r w:rsidR="005A4FC7" w:rsidRPr="00D5464D">
        <w:rPr>
          <w:rFonts w:cs="Arial"/>
          <w:iCs/>
          <w:szCs w:val="20"/>
          <w:lang w:val="pt-BR"/>
        </w:rPr>
        <w:t>,</w:t>
      </w:r>
      <w:r w:rsidR="002C330E" w:rsidRPr="00D5464D">
        <w:rPr>
          <w:rFonts w:cs="Arial"/>
          <w:iCs/>
          <w:szCs w:val="20"/>
          <w:lang w:val="pt-BR"/>
        </w:rPr>
        <w:t xml:space="preserve"> a </w:t>
      </w:r>
      <w:r w:rsidR="00C91CB1" w:rsidRPr="00D5464D">
        <w:rPr>
          <w:rFonts w:cs="Arial"/>
          <w:iCs/>
          <w:szCs w:val="20"/>
          <w:lang w:val="pt-BR"/>
        </w:rPr>
        <w:t xml:space="preserve">Polícia </w:t>
      </w:r>
      <w:r w:rsidR="00D81AA1" w:rsidRPr="00D5464D">
        <w:rPr>
          <w:rFonts w:cs="Arial"/>
          <w:iCs/>
          <w:szCs w:val="20"/>
          <w:lang w:val="pt-BR"/>
        </w:rPr>
        <w:t xml:space="preserve">Federal </w:t>
      </w:r>
      <w:r w:rsidR="002C330E" w:rsidRPr="00D5464D">
        <w:rPr>
          <w:rFonts w:cs="Arial"/>
          <w:iCs/>
          <w:szCs w:val="20"/>
          <w:lang w:val="pt-BR"/>
        </w:rPr>
        <w:t>realizou</w:t>
      </w:r>
      <w:r w:rsidR="00E045D9" w:rsidRPr="00D5464D">
        <w:rPr>
          <w:rFonts w:cs="Arial"/>
          <w:iCs/>
          <w:szCs w:val="20"/>
          <w:lang w:val="pt-BR"/>
        </w:rPr>
        <w:t xml:space="preserve"> uma </w:t>
      </w:r>
      <w:r w:rsidR="00D81AA1" w:rsidRPr="00D5464D">
        <w:rPr>
          <w:rFonts w:cs="Arial"/>
          <w:iCs/>
          <w:szCs w:val="20"/>
          <w:lang w:val="pt-BR"/>
        </w:rPr>
        <w:t>visita</w:t>
      </w:r>
      <w:r w:rsidR="00470ADC" w:rsidRPr="00D5464D">
        <w:rPr>
          <w:rFonts w:cs="Arial"/>
          <w:iCs/>
          <w:szCs w:val="20"/>
          <w:lang w:val="pt-BR"/>
        </w:rPr>
        <w:t xml:space="preserve"> à </w:t>
      </w:r>
      <w:r w:rsidR="00D809F0" w:rsidRPr="00D5464D">
        <w:rPr>
          <w:rFonts w:cs="Arial"/>
          <w:iCs/>
          <w:szCs w:val="20"/>
          <w:lang w:val="pt-BR"/>
        </w:rPr>
        <w:t>Fazenda</w:t>
      </w:r>
      <w:r w:rsidR="00D81AA1" w:rsidRPr="00D5464D">
        <w:rPr>
          <w:rFonts w:cs="Arial"/>
          <w:iCs/>
          <w:szCs w:val="20"/>
          <w:lang w:val="pt-BR"/>
        </w:rPr>
        <w:t xml:space="preserve"> Brasil Verde</w:t>
      </w:r>
      <w:r w:rsidR="00C91CB1" w:rsidRPr="00D5464D">
        <w:rPr>
          <w:rFonts w:cs="Arial"/>
          <w:iCs/>
          <w:szCs w:val="20"/>
          <w:lang w:val="pt-BR"/>
        </w:rPr>
        <w:t>. Nessa</w:t>
      </w:r>
      <w:r w:rsidR="00470ADC" w:rsidRPr="00D5464D">
        <w:rPr>
          <w:rFonts w:cs="Arial"/>
          <w:iCs/>
          <w:szCs w:val="20"/>
          <w:lang w:val="pt-BR"/>
        </w:rPr>
        <w:t xml:space="preserve"> </w:t>
      </w:r>
      <w:r w:rsidR="00D81AA1" w:rsidRPr="00D5464D">
        <w:rPr>
          <w:rFonts w:cs="Arial"/>
          <w:iCs/>
          <w:szCs w:val="20"/>
          <w:lang w:val="pt-BR"/>
        </w:rPr>
        <w:t>visita</w:t>
      </w:r>
      <w:r w:rsidR="002C330E" w:rsidRPr="00D5464D">
        <w:rPr>
          <w:rFonts w:cs="Arial"/>
          <w:iCs/>
          <w:szCs w:val="20"/>
          <w:lang w:val="pt-BR"/>
        </w:rPr>
        <w:t xml:space="preserve"> os </w:t>
      </w:r>
      <w:r w:rsidR="00E045D9" w:rsidRPr="00D5464D">
        <w:rPr>
          <w:rFonts w:cs="Arial"/>
          <w:iCs/>
          <w:szCs w:val="20"/>
          <w:lang w:val="pt-BR"/>
        </w:rPr>
        <w:t>trabalhadores</w:t>
      </w:r>
      <w:r w:rsidR="00D81AA1" w:rsidRPr="00D5464D">
        <w:rPr>
          <w:rFonts w:cs="Arial"/>
          <w:iCs/>
          <w:szCs w:val="20"/>
          <w:lang w:val="pt-BR"/>
        </w:rPr>
        <w:t xml:space="preserve"> presentes identi</w:t>
      </w:r>
      <w:r w:rsidR="00470ADC" w:rsidRPr="00D5464D">
        <w:rPr>
          <w:rFonts w:cs="Arial"/>
          <w:iCs/>
          <w:szCs w:val="20"/>
          <w:lang w:val="pt-BR"/>
        </w:rPr>
        <w:t xml:space="preserve">ficaram o </w:t>
      </w:r>
      <w:r w:rsidR="00C32FB5" w:rsidRPr="00D5464D">
        <w:rPr>
          <w:rFonts w:cs="Arial"/>
          <w:iCs/>
          <w:szCs w:val="20"/>
          <w:lang w:val="pt-BR"/>
        </w:rPr>
        <w:t xml:space="preserve">gato </w:t>
      </w:r>
      <w:r w:rsidR="00470ADC" w:rsidRPr="00D5464D">
        <w:rPr>
          <w:rFonts w:cs="Arial"/>
          <w:iCs/>
          <w:szCs w:val="20"/>
          <w:lang w:val="pt-BR"/>
        </w:rPr>
        <w:t>conhecido</w:t>
      </w:r>
      <w:r w:rsidR="00D81AA1" w:rsidRPr="00D5464D">
        <w:rPr>
          <w:rFonts w:cs="Arial"/>
          <w:iCs/>
          <w:szCs w:val="20"/>
          <w:lang w:val="pt-BR"/>
        </w:rPr>
        <w:t xml:space="preserve"> como “Mano” e</w:t>
      </w:r>
      <w:r w:rsidR="00D81AA1" w:rsidRPr="00D5464D">
        <w:rPr>
          <w:rFonts w:cs="Arial"/>
          <w:i/>
          <w:iCs/>
          <w:szCs w:val="20"/>
          <w:lang w:val="pt-BR"/>
        </w:rPr>
        <w:t xml:space="preserve"> </w:t>
      </w:r>
      <w:r w:rsidR="00737270" w:rsidRPr="00D5464D">
        <w:rPr>
          <w:rFonts w:cs="Arial"/>
          <w:iCs/>
          <w:szCs w:val="20"/>
          <w:lang w:val="pt-BR"/>
        </w:rPr>
        <w:t>informaram</w:t>
      </w:r>
      <w:r w:rsidR="00470ADC" w:rsidRPr="00D5464D">
        <w:rPr>
          <w:rFonts w:cs="Arial"/>
          <w:iCs/>
          <w:szCs w:val="20"/>
          <w:lang w:val="pt-BR"/>
        </w:rPr>
        <w:t xml:space="preserve"> à </w:t>
      </w:r>
      <w:r w:rsidR="00C91CB1" w:rsidRPr="00D5464D">
        <w:rPr>
          <w:rFonts w:cs="Arial"/>
          <w:iCs/>
          <w:szCs w:val="20"/>
          <w:lang w:val="pt-BR"/>
        </w:rPr>
        <w:t xml:space="preserve">Polícia </w:t>
      </w:r>
      <w:r w:rsidR="00D81AA1" w:rsidRPr="00D5464D">
        <w:rPr>
          <w:rFonts w:cs="Arial"/>
          <w:iCs/>
          <w:szCs w:val="20"/>
          <w:lang w:val="pt-BR"/>
        </w:rPr>
        <w:t>Federal que lron Canuto</w:t>
      </w:r>
      <w:r w:rsidR="00AE1405" w:rsidRPr="00D5464D">
        <w:rPr>
          <w:rFonts w:cs="Arial"/>
          <w:iCs/>
          <w:szCs w:val="20"/>
          <w:lang w:val="pt-BR"/>
        </w:rPr>
        <w:t xml:space="preserve"> da Silva</w:t>
      </w:r>
      <w:r w:rsidR="00E045D9" w:rsidRPr="00D5464D">
        <w:rPr>
          <w:rFonts w:cs="Arial"/>
          <w:iCs/>
          <w:szCs w:val="20"/>
          <w:lang w:val="pt-BR"/>
        </w:rPr>
        <w:t xml:space="preserve"> e </w:t>
      </w:r>
      <w:r w:rsidR="00200C04" w:rsidRPr="00D5464D">
        <w:rPr>
          <w:rFonts w:cs="Arial"/>
          <w:iCs/>
          <w:szCs w:val="20"/>
          <w:lang w:val="pt-BR"/>
        </w:rPr>
        <w:t>Luis Ferreira da Cruz</w:t>
      </w:r>
      <w:r w:rsidR="00E045D9" w:rsidRPr="00D5464D">
        <w:rPr>
          <w:rFonts w:cs="Arial"/>
          <w:iCs/>
          <w:szCs w:val="20"/>
          <w:lang w:val="pt-BR"/>
        </w:rPr>
        <w:t xml:space="preserve"> teriam </w:t>
      </w:r>
      <w:r w:rsidR="005A4FC7" w:rsidRPr="00D5464D">
        <w:rPr>
          <w:rFonts w:cs="Arial"/>
          <w:iCs/>
          <w:szCs w:val="20"/>
          <w:lang w:val="pt-BR"/>
        </w:rPr>
        <w:t xml:space="preserve">fugido </w:t>
      </w:r>
      <w:r w:rsidR="00470ADC" w:rsidRPr="00D5464D">
        <w:rPr>
          <w:rFonts w:cs="Arial"/>
          <w:iCs/>
          <w:szCs w:val="20"/>
          <w:lang w:val="pt-BR"/>
        </w:rPr>
        <w:t xml:space="preserve">da </w:t>
      </w:r>
      <w:r w:rsidR="00D809F0" w:rsidRPr="00D5464D">
        <w:rPr>
          <w:rFonts w:cs="Arial"/>
          <w:iCs/>
          <w:szCs w:val="20"/>
          <w:lang w:val="pt-BR"/>
        </w:rPr>
        <w:t>Fazenda</w:t>
      </w:r>
      <w:r w:rsidR="00D81AA1" w:rsidRPr="00D5464D">
        <w:rPr>
          <w:rFonts w:cs="Arial"/>
          <w:iCs/>
          <w:szCs w:val="20"/>
          <w:lang w:val="pt-BR"/>
        </w:rPr>
        <w:t xml:space="preserve"> Brasil Verde,</w:t>
      </w:r>
      <w:r w:rsidR="00470ADC" w:rsidRPr="00D5464D">
        <w:rPr>
          <w:rFonts w:cs="Arial"/>
          <w:iCs/>
          <w:szCs w:val="20"/>
          <w:lang w:val="pt-BR"/>
        </w:rPr>
        <w:t xml:space="preserve"> com direção à </w:t>
      </w:r>
      <w:r w:rsidR="00D809F0" w:rsidRPr="00D5464D">
        <w:rPr>
          <w:rFonts w:cs="Arial"/>
          <w:iCs/>
          <w:szCs w:val="20"/>
          <w:lang w:val="pt-BR"/>
        </w:rPr>
        <w:t>Fazenda</w:t>
      </w:r>
      <w:r w:rsidR="00D81AA1" w:rsidRPr="00D5464D">
        <w:rPr>
          <w:rFonts w:cs="Arial"/>
          <w:iCs/>
          <w:szCs w:val="20"/>
          <w:lang w:val="pt-BR"/>
        </w:rPr>
        <w:t xml:space="preserve"> Belém (</w:t>
      </w:r>
      <w:r w:rsidR="002C330E" w:rsidRPr="00D5464D">
        <w:rPr>
          <w:rFonts w:cs="Arial"/>
          <w:iCs/>
          <w:szCs w:val="20"/>
          <w:lang w:val="pt-BR"/>
        </w:rPr>
        <w:t>pars.</w:t>
      </w:r>
      <w:r w:rsidR="00D81AA1" w:rsidRPr="00D5464D">
        <w:rPr>
          <w:rFonts w:cs="Arial"/>
          <w:iCs/>
          <w:szCs w:val="20"/>
          <w:lang w:val="pt-BR"/>
        </w:rPr>
        <w:t xml:space="preserve"> </w:t>
      </w:r>
      <w:r w:rsidR="00B30674" w:rsidRPr="00D5464D">
        <w:rPr>
          <w:rFonts w:cs="Arial"/>
          <w:iCs/>
          <w:szCs w:val="20"/>
          <w:lang w:val="pt-BR"/>
        </w:rPr>
        <w:t>134</w:t>
      </w:r>
      <w:r w:rsidR="00E045D9" w:rsidRPr="00D5464D">
        <w:rPr>
          <w:rFonts w:cs="Arial"/>
          <w:iCs/>
          <w:szCs w:val="20"/>
          <w:lang w:val="pt-BR"/>
        </w:rPr>
        <w:t xml:space="preserve"> e </w:t>
      </w:r>
      <w:r w:rsidR="00B30674" w:rsidRPr="00D5464D">
        <w:rPr>
          <w:rFonts w:cs="Arial"/>
          <w:iCs/>
          <w:szCs w:val="20"/>
          <w:lang w:val="pt-BR"/>
        </w:rPr>
        <w:t>135</w:t>
      </w:r>
      <w:r w:rsidR="0025611E" w:rsidRPr="00D5464D">
        <w:rPr>
          <w:rFonts w:cs="Arial"/>
          <w:i/>
          <w:iCs/>
          <w:szCs w:val="20"/>
          <w:lang w:val="pt-BR"/>
        </w:rPr>
        <w:t xml:space="preserve"> supra</w:t>
      </w:r>
      <w:r w:rsidR="00D81AA1" w:rsidRPr="00D5464D">
        <w:rPr>
          <w:rFonts w:cs="Arial"/>
          <w:iCs/>
          <w:szCs w:val="20"/>
          <w:lang w:val="pt-BR"/>
        </w:rPr>
        <w:t>). Ante</w:t>
      </w:r>
      <w:r w:rsidR="00470ADC" w:rsidRPr="00D5464D">
        <w:rPr>
          <w:rFonts w:cs="Arial"/>
          <w:iCs/>
          <w:szCs w:val="20"/>
          <w:lang w:val="pt-BR"/>
        </w:rPr>
        <w:t xml:space="preserve"> essa </w:t>
      </w:r>
      <w:r w:rsidR="00D81AA1" w:rsidRPr="00D5464D">
        <w:rPr>
          <w:rFonts w:cs="Arial"/>
          <w:iCs/>
          <w:szCs w:val="20"/>
          <w:lang w:val="pt-BR"/>
        </w:rPr>
        <w:t>constata</w:t>
      </w:r>
      <w:r w:rsidR="00470ADC" w:rsidRPr="00D5464D">
        <w:rPr>
          <w:rFonts w:cs="Arial"/>
          <w:iCs/>
          <w:szCs w:val="20"/>
          <w:lang w:val="pt-BR"/>
        </w:rPr>
        <w:t>ção</w:t>
      </w:r>
      <w:r w:rsidR="005A4FC7" w:rsidRPr="00D5464D">
        <w:rPr>
          <w:rFonts w:cs="Arial"/>
          <w:iCs/>
          <w:szCs w:val="20"/>
          <w:lang w:val="pt-BR"/>
        </w:rPr>
        <w:t>,</w:t>
      </w:r>
      <w:r w:rsidR="002C330E" w:rsidRPr="00D5464D">
        <w:rPr>
          <w:rFonts w:cs="Arial"/>
          <w:iCs/>
          <w:szCs w:val="20"/>
          <w:lang w:val="pt-BR"/>
        </w:rPr>
        <w:t xml:space="preserve"> a </w:t>
      </w:r>
      <w:r w:rsidR="00E765C2" w:rsidRPr="00D5464D">
        <w:rPr>
          <w:rFonts w:cs="Arial"/>
          <w:iCs/>
          <w:szCs w:val="20"/>
          <w:lang w:val="pt-BR"/>
        </w:rPr>
        <w:t xml:space="preserve">polícia </w:t>
      </w:r>
      <w:r w:rsidR="00D81AA1" w:rsidRPr="00D5464D">
        <w:rPr>
          <w:rFonts w:cs="Arial"/>
          <w:iCs/>
          <w:szCs w:val="20"/>
          <w:lang w:val="pt-BR"/>
        </w:rPr>
        <w:t>n</w:t>
      </w:r>
      <w:r w:rsidR="005A4FC7" w:rsidRPr="00D5464D">
        <w:rPr>
          <w:rFonts w:cs="Arial"/>
          <w:iCs/>
          <w:szCs w:val="20"/>
          <w:lang w:val="pt-BR"/>
        </w:rPr>
        <w:t>ão</w:t>
      </w:r>
      <w:r w:rsidR="00D81AA1" w:rsidRPr="00D5464D">
        <w:rPr>
          <w:rFonts w:cs="Arial"/>
          <w:iCs/>
          <w:szCs w:val="20"/>
          <w:lang w:val="pt-BR"/>
        </w:rPr>
        <w:t xml:space="preserve"> </w:t>
      </w:r>
      <w:r w:rsidR="00470ADC" w:rsidRPr="00D5464D">
        <w:rPr>
          <w:rFonts w:cs="Arial"/>
          <w:iCs/>
          <w:szCs w:val="20"/>
          <w:lang w:val="pt-BR"/>
        </w:rPr>
        <w:t>continuou com</w:t>
      </w:r>
      <w:r w:rsidR="002C330E" w:rsidRPr="00D5464D">
        <w:rPr>
          <w:rFonts w:cs="Arial"/>
          <w:iCs/>
          <w:szCs w:val="20"/>
          <w:lang w:val="pt-BR"/>
        </w:rPr>
        <w:t xml:space="preserve"> a </w:t>
      </w:r>
      <w:r w:rsidR="00D81AA1" w:rsidRPr="00D5464D">
        <w:rPr>
          <w:rFonts w:cs="Arial"/>
          <w:iCs/>
          <w:szCs w:val="20"/>
          <w:lang w:val="pt-BR"/>
        </w:rPr>
        <w:t>investiga</w:t>
      </w:r>
      <w:r w:rsidR="00470ADC" w:rsidRPr="00D5464D">
        <w:rPr>
          <w:rFonts w:cs="Arial"/>
          <w:iCs/>
          <w:szCs w:val="20"/>
          <w:lang w:val="pt-BR"/>
        </w:rPr>
        <w:t xml:space="preserve">ção </w:t>
      </w:r>
      <w:r w:rsidR="005A4FC7" w:rsidRPr="00D5464D">
        <w:rPr>
          <w:rFonts w:cs="Arial"/>
          <w:iCs/>
          <w:szCs w:val="20"/>
          <w:lang w:val="pt-BR"/>
        </w:rPr>
        <w:t xml:space="preserve">sobre </w:t>
      </w:r>
      <w:r w:rsidR="00E045D9" w:rsidRPr="00D5464D">
        <w:rPr>
          <w:rFonts w:cs="Arial"/>
          <w:iCs/>
          <w:szCs w:val="20"/>
          <w:lang w:val="pt-BR"/>
        </w:rPr>
        <w:t>o desaparecimento</w:t>
      </w:r>
      <w:r w:rsidR="00D81AA1" w:rsidRPr="00D5464D">
        <w:rPr>
          <w:rFonts w:cs="Arial"/>
          <w:iCs/>
          <w:szCs w:val="20"/>
          <w:lang w:val="pt-BR"/>
        </w:rPr>
        <w:t xml:space="preserve"> de </w:t>
      </w:r>
      <w:r w:rsidR="008B075C" w:rsidRPr="00D5464D">
        <w:rPr>
          <w:rFonts w:cs="Arial"/>
          <w:iCs/>
          <w:szCs w:val="20"/>
          <w:lang w:val="pt-BR"/>
        </w:rPr>
        <w:t>Iron Canuto da Silva</w:t>
      </w:r>
      <w:r w:rsidR="00E045D9" w:rsidRPr="00D5464D">
        <w:rPr>
          <w:rFonts w:cs="Arial"/>
          <w:iCs/>
          <w:szCs w:val="20"/>
          <w:lang w:val="pt-BR"/>
        </w:rPr>
        <w:t xml:space="preserve"> e </w:t>
      </w:r>
      <w:r w:rsidR="00200C04" w:rsidRPr="00D5464D">
        <w:rPr>
          <w:rFonts w:cs="Arial"/>
          <w:iCs/>
          <w:szCs w:val="20"/>
          <w:lang w:val="pt-BR"/>
        </w:rPr>
        <w:t>Luis Ferreira da Cruz</w:t>
      </w:r>
      <w:r w:rsidR="00D81AA1" w:rsidRPr="00D5464D">
        <w:rPr>
          <w:rFonts w:cs="Arial"/>
          <w:iCs/>
          <w:szCs w:val="20"/>
          <w:lang w:val="pt-BR"/>
        </w:rPr>
        <w:t xml:space="preserve"> por considerar que</w:t>
      </w:r>
      <w:r w:rsidR="00350187" w:rsidRPr="00D5464D">
        <w:rPr>
          <w:rFonts w:cs="Arial"/>
          <w:iCs/>
          <w:szCs w:val="20"/>
          <w:lang w:val="pt-BR"/>
        </w:rPr>
        <w:t xml:space="preserve"> não estavam</w:t>
      </w:r>
      <w:r w:rsidR="00D81AA1" w:rsidRPr="00D5464D">
        <w:rPr>
          <w:rFonts w:cs="Arial"/>
          <w:iCs/>
          <w:szCs w:val="20"/>
          <w:lang w:val="pt-BR"/>
        </w:rPr>
        <w:t xml:space="preserve"> desaparecidos</w:t>
      </w:r>
      <w:r w:rsidR="00A1358C" w:rsidRPr="00D5464D">
        <w:rPr>
          <w:rFonts w:cs="Arial"/>
          <w:iCs/>
          <w:szCs w:val="20"/>
          <w:lang w:val="pt-BR"/>
        </w:rPr>
        <w:t xml:space="preserve">. </w:t>
      </w:r>
      <w:r w:rsidR="00103B40" w:rsidRPr="00D5464D">
        <w:rPr>
          <w:rFonts w:cs="Arial"/>
          <w:iCs/>
          <w:szCs w:val="20"/>
          <w:lang w:val="pt-BR"/>
        </w:rPr>
        <w:t>Em relação a isso</w:t>
      </w:r>
      <w:r w:rsidR="00D81AA1" w:rsidRPr="00D5464D">
        <w:rPr>
          <w:rFonts w:cs="Arial"/>
          <w:iCs/>
          <w:szCs w:val="20"/>
          <w:lang w:val="pt-BR"/>
        </w:rPr>
        <w:t>,</w:t>
      </w:r>
      <w:r w:rsidR="002C330E" w:rsidRPr="00D5464D">
        <w:rPr>
          <w:rFonts w:cs="Arial"/>
          <w:iCs/>
          <w:szCs w:val="20"/>
          <w:lang w:val="pt-BR"/>
        </w:rPr>
        <w:t xml:space="preserve"> a </w:t>
      </w:r>
      <w:r w:rsidR="00D81AA1" w:rsidRPr="00D5464D">
        <w:rPr>
          <w:rFonts w:cs="Arial"/>
          <w:iCs/>
          <w:szCs w:val="20"/>
          <w:lang w:val="pt-BR"/>
        </w:rPr>
        <w:t xml:space="preserve">Corte </w:t>
      </w:r>
      <w:r w:rsidR="002C330E" w:rsidRPr="00D5464D">
        <w:rPr>
          <w:rFonts w:cs="Arial"/>
          <w:iCs/>
          <w:szCs w:val="20"/>
          <w:lang w:val="pt-BR"/>
        </w:rPr>
        <w:t xml:space="preserve">não possui </w:t>
      </w:r>
      <w:r w:rsidR="00470ADC" w:rsidRPr="00D5464D">
        <w:rPr>
          <w:rFonts w:cs="Arial"/>
          <w:iCs/>
          <w:szCs w:val="20"/>
          <w:lang w:val="pt-BR"/>
        </w:rPr>
        <w:t>competência</w:t>
      </w:r>
      <w:r w:rsidR="00D81AA1" w:rsidRPr="00D5464D">
        <w:rPr>
          <w:rFonts w:cs="Arial"/>
          <w:iCs/>
          <w:szCs w:val="20"/>
          <w:lang w:val="pt-BR"/>
        </w:rPr>
        <w:t xml:space="preserve"> para declarar</w:t>
      </w:r>
      <w:r w:rsidR="00E045D9" w:rsidRPr="00D5464D">
        <w:rPr>
          <w:rFonts w:cs="Arial"/>
          <w:iCs/>
          <w:szCs w:val="20"/>
          <w:lang w:val="pt-BR"/>
        </w:rPr>
        <w:t xml:space="preserve"> uma </w:t>
      </w:r>
      <w:r w:rsidR="00D81AA1" w:rsidRPr="00D5464D">
        <w:rPr>
          <w:rFonts w:cs="Arial"/>
          <w:iCs/>
          <w:szCs w:val="20"/>
          <w:lang w:val="pt-BR"/>
        </w:rPr>
        <w:t>viola</w:t>
      </w:r>
      <w:r w:rsidR="00470ADC" w:rsidRPr="00D5464D">
        <w:rPr>
          <w:rFonts w:cs="Arial"/>
          <w:iCs/>
          <w:szCs w:val="20"/>
          <w:lang w:val="pt-BR"/>
        </w:rPr>
        <w:t xml:space="preserve">ção à </w:t>
      </w:r>
      <w:r w:rsidR="00D81AA1" w:rsidRPr="00D5464D">
        <w:rPr>
          <w:rFonts w:cs="Arial"/>
          <w:iCs/>
          <w:szCs w:val="20"/>
          <w:lang w:val="pt-BR"/>
        </w:rPr>
        <w:t>Conven</w:t>
      </w:r>
      <w:r w:rsidR="00470ADC" w:rsidRPr="00D5464D">
        <w:rPr>
          <w:rFonts w:cs="Arial"/>
          <w:iCs/>
          <w:szCs w:val="20"/>
          <w:lang w:val="pt-BR"/>
        </w:rPr>
        <w:t>ção</w:t>
      </w:r>
      <w:r w:rsidR="00D81AA1" w:rsidRPr="00D5464D">
        <w:rPr>
          <w:rFonts w:cs="Arial"/>
          <w:iCs/>
          <w:szCs w:val="20"/>
          <w:lang w:val="pt-BR"/>
        </w:rPr>
        <w:t xml:space="preserve"> Americana</w:t>
      </w:r>
      <w:r w:rsidR="005A4FC7" w:rsidRPr="00D5464D">
        <w:rPr>
          <w:rFonts w:cs="Arial"/>
          <w:iCs/>
          <w:szCs w:val="20"/>
          <w:lang w:val="pt-BR"/>
        </w:rPr>
        <w:t>,</w:t>
      </w:r>
      <w:r w:rsidR="00D81AA1" w:rsidRPr="00D5464D">
        <w:rPr>
          <w:rFonts w:cs="Arial"/>
          <w:iCs/>
          <w:szCs w:val="20"/>
          <w:lang w:val="pt-BR"/>
        </w:rPr>
        <w:t xml:space="preserve"> </w:t>
      </w:r>
      <w:r w:rsidR="002C330E" w:rsidRPr="00D5464D">
        <w:rPr>
          <w:rFonts w:cs="Arial"/>
          <w:iCs/>
          <w:szCs w:val="20"/>
          <w:lang w:val="pt-BR"/>
        </w:rPr>
        <w:t xml:space="preserve">posto </w:t>
      </w:r>
      <w:r w:rsidR="00D81AA1" w:rsidRPr="00D5464D">
        <w:rPr>
          <w:rFonts w:cs="Arial"/>
          <w:iCs/>
          <w:szCs w:val="20"/>
          <w:lang w:val="pt-BR"/>
        </w:rPr>
        <w:t>que</w:t>
      </w:r>
      <w:r w:rsidR="002C330E" w:rsidRPr="00D5464D">
        <w:rPr>
          <w:rFonts w:cs="Arial"/>
          <w:iCs/>
          <w:szCs w:val="20"/>
          <w:lang w:val="pt-BR"/>
        </w:rPr>
        <w:t xml:space="preserve"> os fatos</w:t>
      </w:r>
      <w:r w:rsidR="005A4FC7" w:rsidRPr="00D5464D">
        <w:rPr>
          <w:rFonts w:cs="Arial"/>
          <w:iCs/>
          <w:szCs w:val="20"/>
          <w:lang w:val="pt-BR"/>
        </w:rPr>
        <w:t xml:space="preserve"> o</w:t>
      </w:r>
      <w:r w:rsidR="002C330E" w:rsidRPr="00D5464D">
        <w:rPr>
          <w:rFonts w:cs="Arial"/>
          <w:iCs/>
          <w:szCs w:val="20"/>
          <w:lang w:val="pt-BR"/>
        </w:rPr>
        <w:t>correram</w:t>
      </w:r>
      <w:r w:rsidR="00D81AA1" w:rsidRPr="00D5464D">
        <w:rPr>
          <w:rFonts w:cs="Arial"/>
          <w:iCs/>
          <w:szCs w:val="20"/>
          <w:lang w:val="pt-BR"/>
        </w:rPr>
        <w:t xml:space="preserve"> </w:t>
      </w:r>
      <w:r w:rsidR="005A4FC7" w:rsidRPr="00D5464D">
        <w:rPr>
          <w:rFonts w:cs="Arial"/>
          <w:iCs/>
          <w:szCs w:val="20"/>
          <w:lang w:val="pt-BR"/>
        </w:rPr>
        <w:t xml:space="preserve">antes do </w:t>
      </w:r>
      <w:r w:rsidR="00D81AA1" w:rsidRPr="00D5464D">
        <w:rPr>
          <w:rFonts w:cs="Arial"/>
          <w:iCs/>
          <w:szCs w:val="20"/>
          <w:lang w:val="pt-BR"/>
        </w:rPr>
        <w:t>re</w:t>
      </w:r>
      <w:r w:rsidR="00470ADC" w:rsidRPr="00D5464D">
        <w:rPr>
          <w:rFonts w:cs="Arial"/>
          <w:iCs/>
          <w:szCs w:val="20"/>
          <w:lang w:val="pt-BR"/>
        </w:rPr>
        <w:t>conhecimento</w:t>
      </w:r>
      <w:r w:rsidR="00D81AA1" w:rsidRPr="00D5464D">
        <w:rPr>
          <w:rFonts w:cs="Arial"/>
          <w:iCs/>
          <w:szCs w:val="20"/>
          <w:lang w:val="pt-BR"/>
        </w:rPr>
        <w:t xml:space="preserve"> de </w:t>
      </w:r>
      <w:r w:rsidR="00470ADC" w:rsidRPr="00D5464D">
        <w:rPr>
          <w:rFonts w:cs="Arial"/>
          <w:iCs/>
          <w:szCs w:val="20"/>
          <w:lang w:val="pt-BR"/>
        </w:rPr>
        <w:t>competência</w:t>
      </w:r>
      <w:r w:rsidR="00D81AA1" w:rsidRPr="00D5464D">
        <w:rPr>
          <w:rFonts w:cs="Arial"/>
          <w:iCs/>
          <w:szCs w:val="20"/>
          <w:lang w:val="pt-BR"/>
        </w:rPr>
        <w:t xml:space="preserve"> por parte </w:t>
      </w:r>
      <w:r w:rsidR="00470ADC" w:rsidRPr="00D5464D">
        <w:rPr>
          <w:rFonts w:cs="Arial"/>
          <w:iCs/>
          <w:szCs w:val="20"/>
          <w:lang w:val="pt-BR"/>
        </w:rPr>
        <w:t xml:space="preserve">do </w:t>
      </w:r>
      <w:r w:rsidR="00D81AA1" w:rsidRPr="00D5464D">
        <w:rPr>
          <w:rFonts w:cs="Arial"/>
          <w:iCs/>
          <w:szCs w:val="20"/>
          <w:lang w:val="pt-BR"/>
        </w:rPr>
        <w:t xml:space="preserve">Estado. </w:t>
      </w:r>
      <w:r w:rsidR="002C330E" w:rsidRPr="00D5464D">
        <w:rPr>
          <w:rFonts w:cs="Arial"/>
          <w:iCs/>
          <w:szCs w:val="20"/>
          <w:lang w:val="pt-BR"/>
        </w:rPr>
        <w:t>Portanto</w:t>
      </w:r>
      <w:r w:rsidR="00D81AA1" w:rsidRPr="00D5464D">
        <w:rPr>
          <w:rFonts w:cs="Arial"/>
          <w:iCs/>
          <w:szCs w:val="20"/>
          <w:lang w:val="pt-BR"/>
        </w:rPr>
        <w:t>,</w:t>
      </w:r>
      <w:r w:rsidR="002C330E" w:rsidRPr="00D5464D">
        <w:rPr>
          <w:rFonts w:cs="Arial"/>
          <w:iCs/>
          <w:szCs w:val="20"/>
          <w:lang w:val="pt-BR"/>
        </w:rPr>
        <w:t xml:space="preserve"> as </w:t>
      </w:r>
      <w:r w:rsidR="00470ADC" w:rsidRPr="00D5464D">
        <w:rPr>
          <w:rFonts w:cs="Arial"/>
          <w:iCs/>
          <w:szCs w:val="20"/>
          <w:lang w:val="pt-BR"/>
        </w:rPr>
        <w:t>eventuais</w:t>
      </w:r>
      <w:r w:rsidR="00D81AA1" w:rsidRPr="00D5464D">
        <w:rPr>
          <w:rFonts w:cs="Arial"/>
          <w:iCs/>
          <w:szCs w:val="20"/>
          <w:lang w:val="pt-BR"/>
        </w:rPr>
        <w:t xml:space="preserve"> </w:t>
      </w:r>
      <w:r w:rsidR="00E765C2" w:rsidRPr="00D5464D">
        <w:rPr>
          <w:rFonts w:cs="Arial"/>
          <w:iCs/>
          <w:szCs w:val="20"/>
          <w:lang w:val="pt-BR"/>
        </w:rPr>
        <w:t xml:space="preserve">falhas </w:t>
      </w:r>
      <w:r w:rsidR="00737270" w:rsidRPr="00D5464D">
        <w:rPr>
          <w:rFonts w:cs="Arial"/>
          <w:iCs/>
          <w:szCs w:val="20"/>
          <w:lang w:val="pt-BR"/>
        </w:rPr>
        <w:t>nessa</w:t>
      </w:r>
      <w:r w:rsidR="00470ADC" w:rsidRPr="00D5464D">
        <w:rPr>
          <w:rFonts w:cs="Arial"/>
          <w:iCs/>
          <w:szCs w:val="20"/>
          <w:lang w:val="pt-BR"/>
        </w:rPr>
        <w:t xml:space="preserve"> </w:t>
      </w:r>
      <w:r w:rsidR="00D81AA1" w:rsidRPr="00D5464D">
        <w:rPr>
          <w:rFonts w:cs="Arial"/>
          <w:iCs/>
          <w:szCs w:val="20"/>
          <w:lang w:val="pt-BR"/>
        </w:rPr>
        <w:t>investiga</w:t>
      </w:r>
      <w:r w:rsidR="00470ADC" w:rsidRPr="00D5464D">
        <w:rPr>
          <w:rFonts w:cs="Arial"/>
          <w:iCs/>
          <w:szCs w:val="20"/>
          <w:lang w:val="pt-BR"/>
        </w:rPr>
        <w:t>ção</w:t>
      </w:r>
      <w:r w:rsidR="00D81AA1" w:rsidRPr="00D5464D">
        <w:rPr>
          <w:rFonts w:cs="Arial"/>
          <w:iCs/>
          <w:szCs w:val="20"/>
          <w:lang w:val="pt-BR"/>
        </w:rPr>
        <w:t xml:space="preserve"> </w:t>
      </w:r>
      <w:r w:rsidR="00737270" w:rsidRPr="00D5464D">
        <w:rPr>
          <w:rFonts w:cs="Arial"/>
          <w:iCs/>
          <w:szCs w:val="20"/>
          <w:lang w:val="pt-BR"/>
        </w:rPr>
        <w:t xml:space="preserve">não </w:t>
      </w:r>
      <w:r w:rsidR="00230C71" w:rsidRPr="00D5464D">
        <w:rPr>
          <w:rFonts w:cs="Arial"/>
          <w:iCs/>
          <w:szCs w:val="20"/>
          <w:lang w:val="pt-BR"/>
        </w:rPr>
        <w:t xml:space="preserve">podem </w:t>
      </w:r>
      <w:r w:rsidR="00D81AA1" w:rsidRPr="00D5464D">
        <w:rPr>
          <w:rFonts w:cs="Arial"/>
          <w:iCs/>
          <w:szCs w:val="20"/>
          <w:lang w:val="pt-BR"/>
        </w:rPr>
        <w:t>ser objeto de</w:t>
      </w:r>
      <w:r w:rsidR="00E045D9" w:rsidRPr="00D5464D">
        <w:rPr>
          <w:rFonts w:cs="Arial"/>
          <w:iCs/>
          <w:szCs w:val="20"/>
          <w:lang w:val="pt-BR"/>
        </w:rPr>
        <w:t xml:space="preserve"> uma </w:t>
      </w:r>
      <w:r w:rsidR="00D81AA1" w:rsidRPr="00D5464D">
        <w:rPr>
          <w:rFonts w:cs="Arial"/>
          <w:iCs/>
          <w:szCs w:val="20"/>
          <w:lang w:val="pt-BR"/>
        </w:rPr>
        <w:t>determina</w:t>
      </w:r>
      <w:r w:rsidR="00470ADC" w:rsidRPr="00D5464D">
        <w:rPr>
          <w:rFonts w:cs="Arial"/>
          <w:iCs/>
          <w:szCs w:val="20"/>
          <w:lang w:val="pt-BR"/>
        </w:rPr>
        <w:t>ção</w:t>
      </w:r>
      <w:r w:rsidR="00D81AA1" w:rsidRPr="00D5464D">
        <w:rPr>
          <w:rFonts w:cs="Arial"/>
          <w:iCs/>
          <w:szCs w:val="20"/>
          <w:lang w:val="pt-BR"/>
        </w:rPr>
        <w:t xml:space="preserve"> por </w:t>
      </w:r>
      <w:r w:rsidR="005A4FC7" w:rsidRPr="00D5464D">
        <w:rPr>
          <w:rFonts w:cs="Arial"/>
          <w:iCs/>
          <w:szCs w:val="20"/>
          <w:lang w:val="pt-BR"/>
        </w:rPr>
        <w:t>parte d</w:t>
      </w:r>
      <w:r w:rsidR="00D81AA1" w:rsidRPr="00D5464D">
        <w:rPr>
          <w:rFonts w:cs="Arial"/>
          <w:iCs/>
          <w:szCs w:val="20"/>
          <w:lang w:val="pt-BR"/>
        </w:rPr>
        <w:t>este Tribunal.</w:t>
      </w:r>
    </w:p>
    <w:p w14:paraId="3A84A893" w14:textId="77777777" w:rsidR="00D81AA1" w:rsidRPr="00D5464D" w:rsidRDefault="00D81AA1" w:rsidP="00D81AA1">
      <w:pPr>
        <w:pStyle w:val="Prrafodelista"/>
        <w:tabs>
          <w:tab w:val="right" w:pos="0"/>
        </w:tabs>
        <w:autoSpaceDE w:val="0"/>
        <w:autoSpaceDN w:val="0"/>
        <w:adjustRightInd w:val="0"/>
        <w:ind w:left="0"/>
        <w:contextualSpacing w:val="0"/>
        <w:rPr>
          <w:rFonts w:cs="Arial"/>
          <w:iCs/>
          <w:szCs w:val="20"/>
          <w:lang w:val="pt-BR"/>
        </w:rPr>
      </w:pPr>
    </w:p>
    <w:p w14:paraId="0E43E799" w14:textId="10E39BDF" w:rsidR="00D81AA1" w:rsidRPr="00D5464D" w:rsidRDefault="00350187" w:rsidP="00D81AA1">
      <w:pPr>
        <w:pStyle w:val="Prrafodelista"/>
        <w:numPr>
          <w:ilvl w:val="0"/>
          <w:numId w:val="1"/>
        </w:numPr>
        <w:tabs>
          <w:tab w:val="right" w:pos="0"/>
        </w:tabs>
        <w:contextualSpacing w:val="0"/>
        <w:rPr>
          <w:rFonts w:cs="Arial"/>
          <w:iCs/>
          <w:szCs w:val="20"/>
          <w:lang w:val="pt-BR"/>
        </w:rPr>
      </w:pPr>
      <w:r w:rsidRPr="00D5464D">
        <w:rPr>
          <w:rFonts w:cs="Arial"/>
          <w:iCs/>
          <w:szCs w:val="20"/>
          <w:lang w:val="pt-BR"/>
        </w:rPr>
        <w:t xml:space="preserve">Além disso, </w:t>
      </w:r>
      <w:r w:rsidR="00E045D9" w:rsidRPr="00D5464D">
        <w:rPr>
          <w:rFonts w:cs="Arial"/>
          <w:iCs/>
          <w:szCs w:val="20"/>
          <w:lang w:val="pt-BR"/>
        </w:rPr>
        <w:t xml:space="preserve">no </w:t>
      </w:r>
      <w:r w:rsidR="00470ADC" w:rsidRPr="00D5464D">
        <w:rPr>
          <w:rFonts w:cs="Arial"/>
          <w:iCs/>
          <w:szCs w:val="20"/>
          <w:lang w:val="pt-BR"/>
        </w:rPr>
        <w:t xml:space="preserve">ano </w:t>
      </w:r>
      <w:r w:rsidR="00D81AA1" w:rsidRPr="00D5464D">
        <w:rPr>
          <w:rFonts w:cs="Arial"/>
          <w:iCs/>
          <w:szCs w:val="20"/>
          <w:lang w:val="pt-BR"/>
        </w:rPr>
        <w:t>2007, durante</w:t>
      </w:r>
      <w:r w:rsidR="00470ADC" w:rsidRPr="00D5464D">
        <w:rPr>
          <w:rFonts w:cs="Arial"/>
          <w:iCs/>
          <w:szCs w:val="20"/>
          <w:lang w:val="pt-BR"/>
        </w:rPr>
        <w:t xml:space="preserve"> o </w:t>
      </w:r>
      <w:r w:rsidR="00E045D9" w:rsidRPr="00D5464D">
        <w:rPr>
          <w:rFonts w:cs="Arial"/>
          <w:iCs/>
          <w:szCs w:val="20"/>
          <w:lang w:val="pt-BR"/>
        </w:rPr>
        <w:t>trâmite</w:t>
      </w:r>
      <w:r w:rsidR="00D81AA1" w:rsidRPr="00D5464D">
        <w:rPr>
          <w:rFonts w:cs="Arial"/>
          <w:iCs/>
          <w:szCs w:val="20"/>
          <w:lang w:val="pt-BR"/>
        </w:rPr>
        <w:t xml:space="preserve"> </w:t>
      </w:r>
      <w:r w:rsidR="00470ADC" w:rsidRPr="00D5464D">
        <w:rPr>
          <w:rFonts w:cs="Arial"/>
          <w:iCs/>
          <w:szCs w:val="20"/>
          <w:lang w:val="pt-BR"/>
        </w:rPr>
        <w:t xml:space="preserve">do </w:t>
      </w:r>
      <w:r w:rsidR="00D81AA1" w:rsidRPr="00D5464D">
        <w:rPr>
          <w:rFonts w:cs="Arial"/>
          <w:iCs/>
          <w:szCs w:val="20"/>
          <w:lang w:val="pt-BR"/>
        </w:rPr>
        <w:t>caso</w:t>
      </w:r>
      <w:r w:rsidR="00470ADC" w:rsidRPr="00D5464D">
        <w:rPr>
          <w:rFonts w:cs="Arial"/>
          <w:iCs/>
          <w:szCs w:val="20"/>
          <w:lang w:val="pt-BR"/>
        </w:rPr>
        <w:t xml:space="preserve"> perante a Comissão</w:t>
      </w:r>
      <w:r w:rsidR="00D81AA1" w:rsidRPr="00D5464D">
        <w:rPr>
          <w:rFonts w:cs="Arial"/>
          <w:iCs/>
          <w:szCs w:val="20"/>
          <w:lang w:val="pt-BR"/>
        </w:rPr>
        <w:t xml:space="preserve"> Interamericana,</w:t>
      </w:r>
      <w:r w:rsidR="00470ADC" w:rsidRPr="00D5464D">
        <w:rPr>
          <w:rFonts w:cs="Arial"/>
          <w:iCs/>
          <w:szCs w:val="20"/>
          <w:lang w:val="pt-BR"/>
        </w:rPr>
        <w:t xml:space="preserve"> o </w:t>
      </w:r>
      <w:r w:rsidR="00D81AA1" w:rsidRPr="00D5464D">
        <w:rPr>
          <w:rFonts w:cs="Arial"/>
          <w:iCs/>
          <w:szCs w:val="20"/>
          <w:lang w:val="pt-BR"/>
        </w:rPr>
        <w:t>Estado re</w:t>
      </w:r>
      <w:r w:rsidR="00470ADC" w:rsidRPr="00D5464D">
        <w:rPr>
          <w:rFonts w:cs="Arial"/>
          <w:iCs/>
          <w:szCs w:val="20"/>
          <w:lang w:val="pt-BR"/>
        </w:rPr>
        <w:t>abriu</w:t>
      </w:r>
      <w:r w:rsidR="002C330E" w:rsidRPr="00D5464D">
        <w:rPr>
          <w:rFonts w:cs="Arial"/>
          <w:iCs/>
          <w:szCs w:val="20"/>
          <w:lang w:val="pt-BR"/>
        </w:rPr>
        <w:t xml:space="preserve"> a </w:t>
      </w:r>
      <w:r w:rsidR="00D81AA1" w:rsidRPr="00D5464D">
        <w:rPr>
          <w:rFonts w:cs="Arial"/>
          <w:iCs/>
          <w:szCs w:val="20"/>
          <w:lang w:val="pt-BR"/>
        </w:rPr>
        <w:t>investiga</w:t>
      </w:r>
      <w:r w:rsidR="00470ADC" w:rsidRPr="00D5464D">
        <w:rPr>
          <w:rFonts w:cs="Arial"/>
          <w:iCs/>
          <w:szCs w:val="20"/>
          <w:lang w:val="pt-BR"/>
        </w:rPr>
        <w:t>ção</w:t>
      </w:r>
      <w:r w:rsidR="00E045D9" w:rsidRPr="00D5464D">
        <w:rPr>
          <w:rFonts w:cs="Arial"/>
          <w:iCs/>
          <w:szCs w:val="20"/>
          <w:lang w:val="pt-BR"/>
        </w:rPr>
        <w:t xml:space="preserve"> e </w:t>
      </w:r>
      <w:r w:rsidR="00D81AA1" w:rsidRPr="00D5464D">
        <w:rPr>
          <w:rFonts w:cs="Arial"/>
          <w:iCs/>
          <w:szCs w:val="20"/>
          <w:lang w:val="pt-BR"/>
        </w:rPr>
        <w:t>averigu</w:t>
      </w:r>
      <w:r w:rsidR="005A4FC7" w:rsidRPr="00D5464D">
        <w:rPr>
          <w:rFonts w:cs="Arial"/>
          <w:iCs/>
          <w:szCs w:val="20"/>
          <w:lang w:val="pt-BR"/>
        </w:rPr>
        <w:t xml:space="preserve">ou </w:t>
      </w:r>
      <w:r w:rsidR="00D81AA1" w:rsidRPr="00D5464D">
        <w:rPr>
          <w:rFonts w:cs="Arial"/>
          <w:iCs/>
          <w:szCs w:val="20"/>
          <w:lang w:val="pt-BR"/>
        </w:rPr>
        <w:t>que</w:t>
      </w:r>
      <w:r w:rsidR="00470ADC" w:rsidRPr="00D5464D">
        <w:rPr>
          <w:rFonts w:cs="Arial"/>
          <w:iCs/>
          <w:szCs w:val="20"/>
          <w:lang w:val="pt-BR"/>
        </w:rPr>
        <w:t xml:space="preserve"> o </w:t>
      </w:r>
      <w:r w:rsidR="002C330E" w:rsidRPr="00D5464D">
        <w:rPr>
          <w:rFonts w:cs="Arial"/>
          <w:iCs/>
          <w:szCs w:val="20"/>
          <w:lang w:val="pt-BR"/>
        </w:rPr>
        <w:t xml:space="preserve">senhor </w:t>
      </w:r>
      <w:r w:rsidR="00656DDC" w:rsidRPr="00D5464D">
        <w:rPr>
          <w:rFonts w:cs="Arial"/>
          <w:iCs/>
          <w:szCs w:val="20"/>
          <w:lang w:val="pt-BR"/>
        </w:rPr>
        <w:t xml:space="preserve">Iron </w:t>
      </w:r>
      <w:r w:rsidR="00D81AA1" w:rsidRPr="00D5464D">
        <w:rPr>
          <w:rFonts w:cs="Arial"/>
          <w:iCs/>
          <w:szCs w:val="20"/>
          <w:lang w:val="pt-BR"/>
        </w:rPr>
        <w:t>Canuto</w:t>
      </w:r>
      <w:r w:rsidR="00656DDC" w:rsidRPr="00D5464D">
        <w:rPr>
          <w:rFonts w:cs="Arial"/>
          <w:iCs/>
          <w:szCs w:val="20"/>
          <w:lang w:val="pt-BR"/>
        </w:rPr>
        <w:t xml:space="preserve"> da Silva</w:t>
      </w:r>
      <w:r w:rsidR="00470ADC" w:rsidRPr="00D5464D">
        <w:rPr>
          <w:rFonts w:cs="Arial"/>
          <w:iCs/>
          <w:szCs w:val="20"/>
          <w:lang w:val="pt-BR"/>
        </w:rPr>
        <w:t xml:space="preserve"> </w:t>
      </w:r>
      <w:r w:rsidR="005A4FC7" w:rsidRPr="00D5464D">
        <w:rPr>
          <w:rFonts w:cs="Arial"/>
          <w:iCs/>
          <w:szCs w:val="20"/>
          <w:lang w:val="pt-BR"/>
        </w:rPr>
        <w:t xml:space="preserve">fora </w:t>
      </w:r>
      <w:r w:rsidR="00230C71" w:rsidRPr="00D5464D">
        <w:rPr>
          <w:rFonts w:cs="Arial"/>
          <w:iCs/>
          <w:szCs w:val="20"/>
          <w:lang w:val="pt-BR"/>
        </w:rPr>
        <w:t>assassinad</w:t>
      </w:r>
      <w:r w:rsidR="00D81AA1" w:rsidRPr="00D5464D">
        <w:rPr>
          <w:rFonts w:cs="Arial"/>
          <w:iCs/>
          <w:szCs w:val="20"/>
          <w:lang w:val="pt-BR"/>
        </w:rPr>
        <w:t>o</w:t>
      </w:r>
      <w:r w:rsidR="002C330E" w:rsidRPr="00D5464D">
        <w:rPr>
          <w:rFonts w:cs="Arial"/>
          <w:iCs/>
          <w:szCs w:val="20"/>
          <w:lang w:val="pt-BR"/>
        </w:rPr>
        <w:t xml:space="preserve"> em 2</w:t>
      </w:r>
      <w:r w:rsidR="00D81AA1" w:rsidRPr="00D5464D">
        <w:rPr>
          <w:rFonts w:cs="Arial"/>
          <w:iCs/>
          <w:szCs w:val="20"/>
          <w:lang w:val="pt-BR"/>
        </w:rPr>
        <w:t xml:space="preserve">2 de </w:t>
      </w:r>
      <w:r w:rsidR="002C330E" w:rsidRPr="00D5464D">
        <w:rPr>
          <w:rFonts w:cs="Arial"/>
          <w:iCs/>
          <w:szCs w:val="20"/>
          <w:lang w:val="pt-BR"/>
        </w:rPr>
        <w:t>julho</w:t>
      </w:r>
      <w:r w:rsidR="00D81AA1" w:rsidRPr="00D5464D">
        <w:rPr>
          <w:rFonts w:cs="Arial"/>
          <w:iCs/>
          <w:szCs w:val="20"/>
          <w:lang w:val="pt-BR"/>
        </w:rPr>
        <w:t xml:space="preserve"> de 2007</w:t>
      </w:r>
      <w:r w:rsidR="005A4FC7" w:rsidRPr="00D5464D">
        <w:rPr>
          <w:rFonts w:cs="Arial"/>
          <w:iCs/>
          <w:szCs w:val="20"/>
          <w:lang w:val="pt-BR"/>
        </w:rPr>
        <w:t>,</w:t>
      </w:r>
      <w:r w:rsidR="00D81AA1" w:rsidRPr="00D5464D">
        <w:rPr>
          <w:rFonts w:cs="Arial"/>
          <w:iCs/>
          <w:szCs w:val="20"/>
          <w:lang w:val="pt-BR"/>
        </w:rPr>
        <w:t xml:space="preserve"> por</w:t>
      </w:r>
      <w:r w:rsidR="00E045D9" w:rsidRPr="00D5464D">
        <w:rPr>
          <w:rFonts w:cs="Arial"/>
          <w:iCs/>
          <w:szCs w:val="20"/>
          <w:lang w:val="pt-BR"/>
        </w:rPr>
        <w:t xml:space="preserve"> uma </w:t>
      </w:r>
      <w:r w:rsidR="002C330E" w:rsidRPr="00D5464D">
        <w:rPr>
          <w:rFonts w:cs="Arial"/>
          <w:iCs/>
          <w:szCs w:val="20"/>
          <w:lang w:val="pt-BR"/>
        </w:rPr>
        <w:t>pessoa</w:t>
      </w:r>
      <w:r w:rsidR="00D81AA1" w:rsidRPr="00D5464D">
        <w:rPr>
          <w:rFonts w:cs="Arial"/>
          <w:iCs/>
          <w:szCs w:val="20"/>
          <w:lang w:val="pt-BR"/>
        </w:rPr>
        <w:t xml:space="preserve"> des</w:t>
      </w:r>
      <w:r w:rsidR="00737270" w:rsidRPr="00D5464D">
        <w:rPr>
          <w:rFonts w:cs="Arial"/>
          <w:iCs/>
          <w:szCs w:val="20"/>
          <w:lang w:val="pt-BR"/>
        </w:rPr>
        <w:t>conheci</w:t>
      </w:r>
      <w:r w:rsidR="00D81AA1" w:rsidRPr="00D5464D">
        <w:rPr>
          <w:rFonts w:cs="Arial"/>
          <w:iCs/>
          <w:szCs w:val="20"/>
          <w:lang w:val="pt-BR"/>
        </w:rPr>
        <w:t>da</w:t>
      </w:r>
      <w:r w:rsidR="005A4FC7" w:rsidRPr="00D5464D">
        <w:rPr>
          <w:rFonts w:cs="Arial"/>
          <w:iCs/>
          <w:szCs w:val="20"/>
          <w:lang w:val="pt-BR"/>
        </w:rPr>
        <w:t>,</w:t>
      </w:r>
      <w:r w:rsidR="00470ADC" w:rsidRPr="00D5464D">
        <w:rPr>
          <w:rFonts w:cs="Arial"/>
          <w:iCs/>
          <w:szCs w:val="20"/>
          <w:lang w:val="pt-BR"/>
        </w:rPr>
        <w:t xml:space="preserve"> em circunstâncias</w:t>
      </w:r>
      <w:r w:rsidR="00D81AA1" w:rsidRPr="00D5464D">
        <w:rPr>
          <w:rFonts w:cs="Arial"/>
          <w:iCs/>
          <w:szCs w:val="20"/>
          <w:lang w:val="pt-BR"/>
        </w:rPr>
        <w:t xml:space="preserve"> </w:t>
      </w:r>
      <w:r w:rsidR="005A4FC7" w:rsidRPr="00D5464D">
        <w:rPr>
          <w:rFonts w:cs="Arial"/>
          <w:iCs/>
          <w:szCs w:val="20"/>
          <w:lang w:val="pt-BR"/>
        </w:rPr>
        <w:t xml:space="preserve">não </w:t>
      </w:r>
      <w:r w:rsidR="00D81AA1" w:rsidRPr="00D5464D">
        <w:rPr>
          <w:rFonts w:cs="Arial"/>
          <w:iCs/>
          <w:szCs w:val="20"/>
          <w:lang w:val="pt-BR"/>
        </w:rPr>
        <w:t>relacionadas</w:t>
      </w:r>
      <w:r w:rsidR="00470ADC" w:rsidRPr="00D5464D">
        <w:rPr>
          <w:rFonts w:cs="Arial"/>
          <w:iCs/>
          <w:szCs w:val="20"/>
          <w:lang w:val="pt-BR"/>
        </w:rPr>
        <w:t xml:space="preserve"> </w:t>
      </w:r>
      <w:r w:rsidR="005A4FC7" w:rsidRPr="00D5464D">
        <w:rPr>
          <w:rFonts w:cs="Arial"/>
          <w:iCs/>
          <w:szCs w:val="20"/>
          <w:lang w:val="pt-BR"/>
        </w:rPr>
        <w:t>a</w:t>
      </w:r>
      <w:r w:rsidR="002C330E" w:rsidRPr="00D5464D">
        <w:rPr>
          <w:rFonts w:cs="Arial"/>
          <w:iCs/>
          <w:szCs w:val="20"/>
          <w:lang w:val="pt-BR"/>
        </w:rPr>
        <w:t>os fatos</w:t>
      </w:r>
      <w:r w:rsidR="00D81AA1" w:rsidRPr="00D5464D">
        <w:rPr>
          <w:rFonts w:cs="Arial"/>
          <w:iCs/>
          <w:szCs w:val="20"/>
          <w:lang w:val="pt-BR"/>
        </w:rPr>
        <w:t xml:space="preserve"> </w:t>
      </w:r>
      <w:r w:rsidR="00470ADC" w:rsidRPr="00D5464D">
        <w:rPr>
          <w:rFonts w:cs="Arial"/>
          <w:iCs/>
          <w:szCs w:val="20"/>
          <w:lang w:val="pt-BR"/>
        </w:rPr>
        <w:t xml:space="preserve">do </w:t>
      </w:r>
      <w:r w:rsidR="00D81AA1" w:rsidRPr="00D5464D">
        <w:rPr>
          <w:rFonts w:cs="Arial"/>
          <w:iCs/>
          <w:szCs w:val="20"/>
          <w:lang w:val="pt-BR"/>
        </w:rPr>
        <w:t>presente caso</w:t>
      </w:r>
      <w:r w:rsidR="00A1358C" w:rsidRPr="00D5464D">
        <w:rPr>
          <w:rFonts w:cs="Arial"/>
          <w:iCs/>
          <w:szCs w:val="20"/>
          <w:lang w:val="pt-BR"/>
        </w:rPr>
        <w:t xml:space="preserve">. A </w:t>
      </w:r>
      <w:r w:rsidR="00737270" w:rsidRPr="00D5464D">
        <w:rPr>
          <w:rFonts w:cs="Arial"/>
          <w:iCs/>
          <w:szCs w:val="20"/>
          <w:lang w:val="pt-BR"/>
        </w:rPr>
        <w:t>este respeito</w:t>
      </w:r>
      <w:r w:rsidR="00D81AA1" w:rsidRPr="00D5464D">
        <w:rPr>
          <w:rFonts w:cs="Arial"/>
          <w:iCs/>
          <w:szCs w:val="20"/>
          <w:lang w:val="pt-BR"/>
        </w:rPr>
        <w:t>,</w:t>
      </w:r>
      <w:r w:rsidR="002C330E" w:rsidRPr="00D5464D">
        <w:rPr>
          <w:rFonts w:cs="Arial"/>
          <w:iCs/>
          <w:szCs w:val="20"/>
          <w:lang w:val="pt-BR"/>
        </w:rPr>
        <w:t xml:space="preserve"> a senhora</w:t>
      </w:r>
      <w:r w:rsidR="00D81AA1" w:rsidRPr="00D5464D">
        <w:rPr>
          <w:rFonts w:cs="Arial"/>
          <w:iCs/>
          <w:szCs w:val="20"/>
          <w:lang w:val="pt-BR"/>
        </w:rPr>
        <w:t xml:space="preserve"> Raimunda Márcia Azevedo da Silva </w:t>
      </w:r>
      <w:r w:rsidR="002C330E" w:rsidRPr="00D5464D">
        <w:rPr>
          <w:rFonts w:cs="Arial"/>
          <w:iCs/>
          <w:szCs w:val="20"/>
          <w:lang w:val="pt-BR"/>
        </w:rPr>
        <w:t>manifestou</w:t>
      </w:r>
      <w:r w:rsidR="00470ADC" w:rsidRPr="00D5464D">
        <w:rPr>
          <w:rFonts w:cs="Arial"/>
          <w:iCs/>
          <w:szCs w:val="20"/>
          <w:lang w:val="pt-BR"/>
        </w:rPr>
        <w:t xml:space="preserve"> perante a </w:t>
      </w:r>
      <w:r w:rsidR="005A4FC7" w:rsidRPr="00D5464D">
        <w:rPr>
          <w:rFonts w:cs="Arial"/>
          <w:iCs/>
          <w:szCs w:val="20"/>
          <w:lang w:val="pt-BR"/>
        </w:rPr>
        <w:t xml:space="preserve">delegacia </w:t>
      </w:r>
      <w:r w:rsidR="00D81AA1" w:rsidRPr="00D5464D">
        <w:rPr>
          <w:rFonts w:cs="Arial"/>
          <w:iCs/>
          <w:szCs w:val="20"/>
          <w:lang w:val="pt-BR"/>
        </w:rPr>
        <w:t xml:space="preserve">de </w:t>
      </w:r>
      <w:r w:rsidR="00E765C2" w:rsidRPr="00D5464D">
        <w:rPr>
          <w:rFonts w:cs="Arial"/>
          <w:iCs/>
          <w:szCs w:val="20"/>
          <w:lang w:val="pt-BR"/>
        </w:rPr>
        <w:t xml:space="preserve">polícia </w:t>
      </w:r>
      <w:r w:rsidR="00D81AA1" w:rsidRPr="00D5464D">
        <w:rPr>
          <w:rFonts w:cs="Arial"/>
          <w:iCs/>
          <w:szCs w:val="20"/>
          <w:lang w:val="pt-BR"/>
        </w:rPr>
        <w:t>de Floresta do Araguaia, Pará, que</w:t>
      </w:r>
      <w:r w:rsidR="00470ADC" w:rsidRPr="00D5464D">
        <w:rPr>
          <w:rFonts w:cs="Arial"/>
          <w:iCs/>
          <w:szCs w:val="20"/>
          <w:lang w:val="pt-BR"/>
        </w:rPr>
        <w:t xml:space="preserve"> ela</w:t>
      </w:r>
      <w:r w:rsidR="00D81AA1" w:rsidRPr="00D5464D">
        <w:rPr>
          <w:rFonts w:cs="Arial"/>
          <w:iCs/>
          <w:szCs w:val="20"/>
          <w:lang w:val="pt-BR"/>
        </w:rPr>
        <w:t xml:space="preserve"> convi</w:t>
      </w:r>
      <w:r w:rsidR="00E045D9" w:rsidRPr="00D5464D">
        <w:rPr>
          <w:rFonts w:cs="Arial"/>
          <w:iCs/>
          <w:szCs w:val="20"/>
          <w:lang w:val="pt-BR"/>
        </w:rPr>
        <w:t>via</w:t>
      </w:r>
      <w:r w:rsidR="00D81AA1" w:rsidRPr="00D5464D">
        <w:rPr>
          <w:rFonts w:cs="Arial"/>
          <w:iCs/>
          <w:szCs w:val="20"/>
          <w:lang w:val="pt-BR"/>
        </w:rPr>
        <w:t xml:space="preserve"> </w:t>
      </w:r>
      <w:r w:rsidR="005A4FC7" w:rsidRPr="00D5464D">
        <w:rPr>
          <w:rFonts w:cs="Arial"/>
          <w:iCs/>
          <w:szCs w:val="20"/>
          <w:lang w:val="pt-BR"/>
        </w:rPr>
        <w:t xml:space="preserve">matrimonialmente </w:t>
      </w:r>
      <w:r w:rsidR="00470ADC" w:rsidRPr="00D5464D">
        <w:rPr>
          <w:rFonts w:cs="Arial"/>
          <w:iCs/>
          <w:szCs w:val="20"/>
          <w:lang w:val="pt-BR"/>
        </w:rPr>
        <w:t xml:space="preserve">com o </w:t>
      </w:r>
      <w:r w:rsidR="002C330E" w:rsidRPr="00D5464D">
        <w:rPr>
          <w:rFonts w:cs="Arial"/>
          <w:iCs/>
          <w:szCs w:val="20"/>
          <w:lang w:val="pt-BR"/>
        </w:rPr>
        <w:t xml:space="preserve">senhor </w:t>
      </w:r>
      <w:r w:rsidR="008B075C" w:rsidRPr="00D5464D">
        <w:rPr>
          <w:rFonts w:cs="Arial"/>
          <w:iCs/>
          <w:szCs w:val="20"/>
          <w:lang w:val="pt-BR"/>
        </w:rPr>
        <w:t>Iron Canuto da Silva</w:t>
      </w:r>
      <w:r w:rsidR="00D81AA1" w:rsidRPr="00D5464D">
        <w:rPr>
          <w:rFonts w:cs="Arial"/>
          <w:iCs/>
          <w:szCs w:val="20"/>
          <w:lang w:val="pt-BR"/>
        </w:rPr>
        <w:t xml:space="preserve"> desde 1994</w:t>
      </w:r>
      <w:r w:rsidR="00E045D9" w:rsidRPr="00D5464D">
        <w:rPr>
          <w:rFonts w:cs="Arial"/>
          <w:iCs/>
          <w:szCs w:val="20"/>
          <w:lang w:val="pt-BR"/>
        </w:rPr>
        <w:t xml:space="preserve"> e </w:t>
      </w:r>
      <w:r w:rsidR="00D81AA1" w:rsidRPr="00D5464D">
        <w:rPr>
          <w:rFonts w:cs="Arial"/>
          <w:iCs/>
          <w:szCs w:val="20"/>
          <w:lang w:val="pt-BR"/>
        </w:rPr>
        <w:t xml:space="preserve">que </w:t>
      </w:r>
      <w:r w:rsidR="00E045D9" w:rsidRPr="00D5464D">
        <w:rPr>
          <w:rFonts w:cs="Arial"/>
          <w:iCs/>
          <w:szCs w:val="20"/>
          <w:lang w:val="pt-BR"/>
        </w:rPr>
        <w:t>tinham</w:t>
      </w:r>
      <w:r w:rsidR="00D81AA1" w:rsidRPr="00D5464D">
        <w:rPr>
          <w:rFonts w:cs="Arial"/>
          <w:iCs/>
          <w:szCs w:val="20"/>
          <w:lang w:val="pt-BR"/>
        </w:rPr>
        <w:t xml:space="preserve"> </w:t>
      </w:r>
      <w:r w:rsidR="00470ADC" w:rsidRPr="00D5464D">
        <w:rPr>
          <w:rFonts w:cs="Arial"/>
          <w:iCs/>
          <w:szCs w:val="20"/>
          <w:lang w:val="pt-BR"/>
        </w:rPr>
        <w:t>quatro</w:t>
      </w:r>
      <w:r w:rsidR="00D81AA1" w:rsidRPr="00D5464D">
        <w:rPr>
          <w:rFonts w:cs="Arial"/>
          <w:iCs/>
          <w:szCs w:val="20"/>
          <w:lang w:val="pt-BR"/>
        </w:rPr>
        <w:t xml:space="preserve"> </w:t>
      </w:r>
      <w:r w:rsidR="002C330E" w:rsidRPr="00D5464D">
        <w:rPr>
          <w:rFonts w:cs="Arial"/>
          <w:iCs/>
          <w:szCs w:val="20"/>
          <w:lang w:val="pt-BR"/>
        </w:rPr>
        <w:t>filho</w:t>
      </w:r>
      <w:r w:rsidR="00D81AA1" w:rsidRPr="00D5464D">
        <w:rPr>
          <w:rFonts w:cs="Arial"/>
          <w:iCs/>
          <w:szCs w:val="20"/>
          <w:lang w:val="pt-BR"/>
        </w:rPr>
        <w:t>s menores de</w:t>
      </w:r>
      <w:r w:rsidR="00470ADC" w:rsidRPr="00D5464D">
        <w:rPr>
          <w:rFonts w:cs="Arial"/>
          <w:iCs/>
          <w:szCs w:val="20"/>
          <w:lang w:val="pt-BR"/>
        </w:rPr>
        <w:t xml:space="preserve"> idade</w:t>
      </w:r>
      <w:r w:rsidR="00D81AA1" w:rsidRPr="00D5464D">
        <w:rPr>
          <w:rFonts w:cs="Arial"/>
          <w:iCs/>
          <w:szCs w:val="20"/>
          <w:lang w:val="pt-BR"/>
        </w:rPr>
        <w:t xml:space="preserve"> (</w:t>
      </w:r>
      <w:r w:rsidR="00C85EA9" w:rsidRPr="00D5464D">
        <w:rPr>
          <w:rFonts w:cs="Arial"/>
          <w:iCs/>
          <w:szCs w:val="20"/>
          <w:lang w:val="pt-BR"/>
        </w:rPr>
        <w:t xml:space="preserve">par. </w:t>
      </w:r>
      <w:r w:rsidR="00D036E7" w:rsidRPr="00D5464D">
        <w:rPr>
          <w:rFonts w:cs="Arial"/>
          <w:iCs/>
          <w:szCs w:val="20"/>
          <w:lang w:val="pt-BR"/>
        </w:rPr>
        <w:t>187</w:t>
      </w:r>
      <w:r w:rsidR="00D036E7" w:rsidRPr="00D5464D">
        <w:rPr>
          <w:rFonts w:cs="Arial"/>
          <w:i/>
          <w:iCs/>
          <w:szCs w:val="20"/>
          <w:lang w:val="pt-BR"/>
        </w:rPr>
        <w:t xml:space="preserve"> supra</w:t>
      </w:r>
      <w:r w:rsidR="00D036E7" w:rsidRPr="00D5464D">
        <w:rPr>
          <w:rFonts w:cs="Arial"/>
          <w:iCs/>
          <w:szCs w:val="20"/>
          <w:lang w:val="pt-BR"/>
        </w:rPr>
        <w:t>)</w:t>
      </w:r>
      <w:r w:rsidR="00D81AA1" w:rsidRPr="00D5464D">
        <w:rPr>
          <w:rFonts w:cs="Arial"/>
          <w:iCs/>
          <w:szCs w:val="20"/>
          <w:lang w:val="pt-BR"/>
        </w:rPr>
        <w:t xml:space="preserve">. </w:t>
      </w:r>
      <w:r w:rsidR="00470ADC" w:rsidRPr="00D5464D">
        <w:rPr>
          <w:rFonts w:cs="Arial"/>
          <w:iCs/>
          <w:szCs w:val="20"/>
          <w:lang w:val="pt-BR"/>
        </w:rPr>
        <w:t>Ademais</w:t>
      </w:r>
      <w:r w:rsidR="00D81AA1" w:rsidRPr="00D5464D">
        <w:rPr>
          <w:rFonts w:cs="Arial"/>
          <w:iCs/>
          <w:szCs w:val="20"/>
          <w:lang w:val="pt-BR"/>
        </w:rPr>
        <w:t>,</w:t>
      </w:r>
      <w:r w:rsidR="00470ADC" w:rsidRPr="00D5464D">
        <w:rPr>
          <w:rFonts w:cs="Arial"/>
          <w:iCs/>
          <w:szCs w:val="20"/>
          <w:lang w:val="pt-BR"/>
        </w:rPr>
        <w:t xml:space="preserve"> foi</w:t>
      </w:r>
      <w:r w:rsidRPr="00D5464D">
        <w:rPr>
          <w:rFonts w:cs="Arial"/>
          <w:iCs/>
          <w:szCs w:val="20"/>
          <w:lang w:val="pt-BR"/>
        </w:rPr>
        <w:t xml:space="preserve"> apresent</w:t>
      </w:r>
      <w:r w:rsidR="005A4FC7" w:rsidRPr="00D5464D">
        <w:rPr>
          <w:rFonts w:cs="Arial"/>
          <w:iCs/>
          <w:szCs w:val="20"/>
          <w:lang w:val="pt-BR"/>
        </w:rPr>
        <w:t>ad</w:t>
      </w:r>
      <w:r w:rsidR="00402E9F" w:rsidRPr="00D5464D">
        <w:rPr>
          <w:rFonts w:cs="Arial"/>
          <w:iCs/>
          <w:szCs w:val="20"/>
          <w:lang w:val="pt-BR"/>
        </w:rPr>
        <w:t>o</w:t>
      </w:r>
      <w:r w:rsidR="00D81AA1" w:rsidRPr="00D5464D">
        <w:rPr>
          <w:rFonts w:cs="Arial"/>
          <w:iCs/>
          <w:szCs w:val="20"/>
          <w:lang w:val="pt-BR"/>
        </w:rPr>
        <w:t xml:space="preserve"> como </w:t>
      </w:r>
      <w:r w:rsidR="002C330E" w:rsidRPr="00D5464D">
        <w:rPr>
          <w:rFonts w:cs="Arial"/>
          <w:iCs/>
          <w:szCs w:val="20"/>
          <w:lang w:val="pt-BR"/>
        </w:rPr>
        <w:t>prova</w:t>
      </w:r>
      <w:r w:rsidR="00470ADC" w:rsidRPr="00D5464D">
        <w:rPr>
          <w:rFonts w:cs="Arial"/>
          <w:iCs/>
          <w:szCs w:val="20"/>
          <w:lang w:val="pt-BR"/>
        </w:rPr>
        <w:t xml:space="preserve"> </w:t>
      </w:r>
      <w:r w:rsidR="005A4FC7" w:rsidRPr="00D5464D">
        <w:rPr>
          <w:rFonts w:cs="Arial"/>
          <w:iCs/>
          <w:szCs w:val="20"/>
          <w:lang w:val="pt-BR"/>
        </w:rPr>
        <w:t>n</w:t>
      </w:r>
      <w:r w:rsidR="00470ADC" w:rsidRPr="00D5464D">
        <w:rPr>
          <w:rFonts w:cs="Arial"/>
          <w:iCs/>
          <w:szCs w:val="20"/>
          <w:lang w:val="pt-BR"/>
        </w:rPr>
        <w:t xml:space="preserve">o </w:t>
      </w:r>
      <w:r w:rsidR="00D81AA1" w:rsidRPr="00D5464D">
        <w:rPr>
          <w:rFonts w:cs="Arial"/>
          <w:iCs/>
          <w:szCs w:val="20"/>
          <w:lang w:val="pt-BR"/>
        </w:rPr>
        <w:t xml:space="preserve">presente </w:t>
      </w:r>
      <w:r w:rsidR="00402E9F" w:rsidRPr="00D5464D">
        <w:rPr>
          <w:rFonts w:cs="Arial"/>
          <w:iCs/>
          <w:szCs w:val="20"/>
          <w:lang w:val="pt-BR"/>
        </w:rPr>
        <w:t xml:space="preserve">processo o laudo </w:t>
      </w:r>
      <w:r w:rsidR="00D81AA1" w:rsidRPr="00D5464D">
        <w:rPr>
          <w:rFonts w:cs="Arial"/>
          <w:iCs/>
          <w:szCs w:val="20"/>
          <w:lang w:val="pt-BR"/>
        </w:rPr>
        <w:t>de su</w:t>
      </w:r>
      <w:r w:rsidR="00402E9F" w:rsidRPr="00D5464D">
        <w:rPr>
          <w:rFonts w:cs="Arial"/>
          <w:iCs/>
          <w:szCs w:val="20"/>
          <w:lang w:val="pt-BR"/>
        </w:rPr>
        <w:t>a</w:t>
      </w:r>
      <w:r w:rsidR="00D81AA1" w:rsidRPr="00D5464D">
        <w:rPr>
          <w:rFonts w:cs="Arial"/>
          <w:iCs/>
          <w:szCs w:val="20"/>
          <w:lang w:val="pt-BR"/>
        </w:rPr>
        <w:t xml:space="preserve"> aut</w:t>
      </w:r>
      <w:r w:rsidR="00402E9F" w:rsidRPr="00D5464D">
        <w:rPr>
          <w:rFonts w:cs="Arial"/>
          <w:iCs/>
          <w:szCs w:val="20"/>
          <w:lang w:val="pt-BR"/>
        </w:rPr>
        <w:t>ó</w:t>
      </w:r>
      <w:r w:rsidR="00D81AA1" w:rsidRPr="00D5464D">
        <w:rPr>
          <w:rFonts w:cs="Arial"/>
          <w:iCs/>
          <w:szCs w:val="20"/>
          <w:lang w:val="pt-BR"/>
        </w:rPr>
        <w:t>psia,</w:t>
      </w:r>
      <w:r w:rsidR="00E045D9" w:rsidRPr="00D5464D">
        <w:rPr>
          <w:rFonts w:cs="Arial"/>
          <w:iCs/>
          <w:szCs w:val="20"/>
          <w:lang w:val="pt-BR"/>
        </w:rPr>
        <w:t xml:space="preserve"> n</w:t>
      </w:r>
      <w:r w:rsidR="00402E9F" w:rsidRPr="00D5464D">
        <w:rPr>
          <w:rFonts w:cs="Arial"/>
          <w:iCs/>
          <w:szCs w:val="20"/>
          <w:lang w:val="pt-BR"/>
        </w:rPr>
        <w:t>o</w:t>
      </w:r>
      <w:r w:rsidR="00E045D9" w:rsidRPr="00D5464D">
        <w:rPr>
          <w:rFonts w:cs="Arial"/>
          <w:iCs/>
          <w:szCs w:val="20"/>
          <w:lang w:val="pt-BR"/>
        </w:rPr>
        <w:t xml:space="preserve"> </w:t>
      </w:r>
      <w:r w:rsidR="00470ADC" w:rsidRPr="00D5464D">
        <w:rPr>
          <w:rFonts w:cs="Arial"/>
          <w:iCs/>
          <w:szCs w:val="20"/>
          <w:lang w:val="pt-BR"/>
        </w:rPr>
        <w:t xml:space="preserve">qual </w:t>
      </w:r>
      <w:r w:rsidR="00D81AA1" w:rsidRPr="00D5464D">
        <w:rPr>
          <w:rFonts w:cs="Arial"/>
          <w:iCs/>
          <w:szCs w:val="20"/>
          <w:lang w:val="pt-BR"/>
        </w:rPr>
        <w:t xml:space="preserve">se </w:t>
      </w:r>
      <w:r w:rsidR="005F3480" w:rsidRPr="00D5464D">
        <w:rPr>
          <w:rFonts w:cs="Arial"/>
          <w:iCs/>
          <w:szCs w:val="20"/>
          <w:lang w:val="pt-BR"/>
        </w:rPr>
        <w:t>afirm</w:t>
      </w:r>
      <w:r w:rsidR="00402E9F" w:rsidRPr="00D5464D">
        <w:rPr>
          <w:rFonts w:cs="Arial"/>
          <w:iCs/>
          <w:szCs w:val="20"/>
          <w:lang w:val="pt-BR"/>
        </w:rPr>
        <w:t>a</w:t>
      </w:r>
      <w:r w:rsidR="00D81AA1" w:rsidRPr="00D5464D">
        <w:rPr>
          <w:rFonts w:cs="Arial"/>
          <w:iCs/>
          <w:szCs w:val="20"/>
          <w:lang w:val="pt-BR"/>
        </w:rPr>
        <w:t xml:space="preserve"> que</w:t>
      </w:r>
      <w:r w:rsidR="00470ADC" w:rsidRPr="00D5464D">
        <w:rPr>
          <w:rFonts w:cs="Arial"/>
          <w:iCs/>
          <w:szCs w:val="20"/>
          <w:lang w:val="pt-BR"/>
        </w:rPr>
        <w:t xml:space="preserve"> o </w:t>
      </w:r>
      <w:r w:rsidR="002C330E" w:rsidRPr="00D5464D">
        <w:rPr>
          <w:rFonts w:cs="Arial"/>
          <w:iCs/>
          <w:szCs w:val="20"/>
          <w:lang w:val="pt-BR"/>
        </w:rPr>
        <w:t xml:space="preserve">senhor </w:t>
      </w:r>
      <w:r w:rsidR="00656DDC" w:rsidRPr="00D5464D">
        <w:rPr>
          <w:rFonts w:cs="Arial"/>
          <w:iCs/>
          <w:szCs w:val="20"/>
          <w:lang w:val="pt-BR"/>
        </w:rPr>
        <w:t xml:space="preserve">Iron </w:t>
      </w:r>
      <w:r w:rsidR="00D81AA1" w:rsidRPr="00D5464D">
        <w:rPr>
          <w:rFonts w:cs="Arial"/>
          <w:iCs/>
          <w:szCs w:val="20"/>
          <w:lang w:val="pt-BR"/>
        </w:rPr>
        <w:t>Canuto</w:t>
      </w:r>
      <w:r w:rsidR="00656DDC" w:rsidRPr="00D5464D">
        <w:rPr>
          <w:rFonts w:cs="Arial"/>
          <w:iCs/>
          <w:szCs w:val="20"/>
          <w:lang w:val="pt-BR"/>
        </w:rPr>
        <w:t xml:space="preserve"> da Silva</w:t>
      </w:r>
      <w:r w:rsidR="00D81AA1" w:rsidRPr="00D5464D">
        <w:rPr>
          <w:rFonts w:cs="Arial"/>
          <w:iCs/>
          <w:szCs w:val="20"/>
          <w:lang w:val="pt-BR"/>
        </w:rPr>
        <w:t xml:space="preserve"> </w:t>
      </w:r>
      <w:r w:rsidR="00470ADC" w:rsidRPr="00D5464D">
        <w:rPr>
          <w:rFonts w:cs="Arial"/>
          <w:iCs/>
          <w:szCs w:val="20"/>
          <w:lang w:val="pt-BR"/>
        </w:rPr>
        <w:t>faleceu</w:t>
      </w:r>
      <w:r w:rsidR="00D81AA1" w:rsidRPr="00D5464D">
        <w:rPr>
          <w:rFonts w:cs="Arial"/>
          <w:iCs/>
          <w:szCs w:val="20"/>
          <w:lang w:val="pt-BR"/>
        </w:rPr>
        <w:t xml:space="preserve"> </w:t>
      </w:r>
      <w:r w:rsidR="00402E9F" w:rsidRPr="00D5464D">
        <w:rPr>
          <w:rFonts w:cs="Arial"/>
          <w:iCs/>
          <w:szCs w:val="20"/>
          <w:lang w:val="pt-BR"/>
        </w:rPr>
        <w:t xml:space="preserve">como resultado de </w:t>
      </w:r>
      <w:r w:rsidR="002C330E" w:rsidRPr="00D5464D">
        <w:rPr>
          <w:rFonts w:cs="Arial"/>
          <w:iCs/>
          <w:szCs w:val="20"/>
          <w:lang w:val="pt-BR"/>
        </w:rPr>
        <w:t>ferida</w:t>
      </w:r>
      <w:r w:rsidR="00D81AA1" w:rsidRPr="00D5464D">
        <w:rPr>
          <w:rFonts w:cs="Arial"/>
          <w:iCs/>
          <w:szCs w:val="20"/>
          <w:lang w:val="pt-BR"/>
        </w:rPr>
        <w:t xml:space="preserve">s </w:t>
      </w:r>
      <w:r w:rsidR="00402E9F" w:rsidRPr="00D5464D">
        <w:rPr>
          <w:rFonts w:cs="Arial"/>
          <w:iCs/>
          <w:szCs w:val="20"/>
          <w:lang w:val="pt-BR"/>
        </w:rPr>
        <w:t xml:space="preserve">causadas </w:t>
      </w:r>
      <w:r w:rsidR="00D81AA1" w:rsidRPr="00D5464D">
        <w:rPr>
          <w:rFonts w:cs="Arial"/>
          <w:iCs/>
          <w:szCs w:val="20"/>
          <w:lang w:val="pt-BR"/>
        </w:rPr>
        <w:t>por disparos</w:t>
      </w:r>
      <w:r w:rsidR="00470ADC" w:rsidRPr="00D5464D">
        <w:rPr>
          <w:rFonts w:cs="Arial"/>
          <w:iCs/>
          <w:szCs w:val="20"/>
          <w:lang w:val="pt-BR"/>
        </w:rPr>
        <w:t xml:space="preserve"> </w:t>
      </w:r>
      <w:r w:rsidR="00402E9F" w:rsidRPr="00D5464D">
        <w:rPr>
          <w:rFonts w:cs="Arial"/>
          <w:iCs/>
          <w:szCs w:val="20"/>
          <w:lang w:val="pt-BR"/>
        </w:rPr>
        <w:t xml:space="preserve">de </w:t>
      </w:r>
      <w:r w:rsidR="00D81AA1" w:rsidRPr="00D5464D">
        <w:rPr>
          <w:rFonts w:cs="Arial"/>
          <w:iCs/>
          <w:szCs w:val="20"/>
          <w:lang w:val="pt-BR"/>
        </w:rPr>
        <w:t xml:space="preserve">arma de </w:t>
      </w:r>
      <w:r w:rsidR="00470ADC" w:rsidRPr="00D5464D">
        <w:rPr>
          <w:rFonts w:cs="Arial"/>
          <w:iCs/>
          <w:szCs w:val="20"/>
          <w:lang w:val="pt-BR"/>
        </w:rPr>
        <w:t>fogo</w:t>
      </w:r>
      <w:r w:rsidR="00D81AA1" w:rsidRPr="00D5464D">
        <w:rPr>
          <w:rFonts w:cs="Arial"/>
          <w:iCs/>
          <w:szCs w:val="20"/>
          <w:lang w:val="pt-BR"/>
        </w:rPr>
        <w:t xml:space="preserve"> (</w:t>
      </w:r>
      <w:r w:rsidR="00C85EA9" w:rsidRPr="00D5464D">
        <w:rPr>
          <w:rFonts w:cs="Arial"/>
          <w:iCs/>
          <w:szCs w:val="20"/>
          <w:lang w:val="pt-BR"/>
        </w:rPr>
        <w:t xml:space="preserve">par. </w:t>
      </w:r>
      <w:r w:rsidR="00D036E7" w:rsidRPr="00D5464D">
        <w:rPr>
          <w:rFonts w:cs="Arial"/>
          <w:iCs/>
          <w:szCs w:val="20"/>
          <w:lang w:val="pt-BR"/>
        </w:rPr>
        <w:t>187</w:t>
      </w:r>
      <w:r w:rsidR="00D036E7" w:rsidRPr="00D5464D">
        <w:rPr>
          <w:rFonts w:cs="Arial"/>
          <w:i/>
          <w:iCs/>
          <w:szCs w:val="20"/>
          <w:lang w:val="pt-BR"/>
        </w:rPr>
        <w:t xml:space="preserve"> supra</w:t>
      </w:r>
      <w:r w:rsidR="00D036E7" w:rsidRPr="00D5464D">
        <w:rPr>
          <w:rFonts w:cs="Arial"/>
          <w:iCs/>
          <w:szCs w:val="20"/>
          <w:lang w:val="pt-BR"/>
        </w:rPr>
        <w:t>)</w:t>
      </w:r>
      <w:r w:rsidR="00737270" w:rsidRPr="00D5464D">
        <w:rPr>
          <w:rFonts w:cs="Arial"/>
          <w:iCs/>
          <w:szCs w:val="20"/>
          <w:lang w:val="pt-BR"/>
        </w:rPr>
        <w:t xml:space="preserve">. Desta </w:t>
      </w:r>
      <w:r w:rsidR="00D81AA1" w:rsidRPr="00D5464D">
        <w:rPr>
          <w:rFonts w:cs="Arial"/>
          <w:iCs/>
          <w:szCs w:val="20"/>
          <w:lang w:val="pt-BR"/>
        </w:rPr>
        <w:t>forma,</w:t>
      </w:r>
      <w:r w:rsidR="002C330E" w:rsidRPr="00D5464D">
        <w:rPr>
          <w:rFonts w:cs="Arial"/>
          <w:iCs/>
          <w:szCs w:val="20"/>
          <w:lang w:val="pt-BR"/>
        </w:rPr>
        <w:t xml:space="preserve"> a </w:t>
      </w:r>
      <w:r w:rsidR="00D81AA1" w:rsidRPr="00D5464D">
        <w:rPr>
          <w:rFonts w:cs="Arial"/>
          <w:iCs/>
          <w:szCs w:val="20"/>
          <w:lang w:val="pt-BR"/>
        </w:rPr>
        <w:t>Corte considera que</w:t>
      </w:r>
      <w:r w:rsidR="00470ADC" w:rsidRPr="00D5464D">
        <w:rPr>
          <w:rFonts w:cs="Arial"/>
          <w:iCs/>
          <w:szCs w:val="20"/>
          <w:lang w:val="pt-BR"/>
        </w:rPr>
        <w:t xml:space="preserve"> o </w:t>
      </w:r>
      <w:r w:rsidR="00D81AA1" w:rsidRPr="00D5464D">
        <w:rPr>
          <w:rFonts w:cs="Arial"/>
          <w:iCs/>
          <w:szCs w:val="20"/>
          <w:lang w:val="pt-BR"/>
        </w:rPr>
        <w:t>Estado re</w:t>
      </w:r>
      <w:r w:rsidR="00470ADC" w:rsidRPr="00D5464D">
        <w:rPr>
          <w:rFonts w:cs="Arial"/>
          <w:iCs/>
          <w:szCs w:val="20"/>
          <w:lang w:val="pt-BR"/>
        </w:rPr>
        <w:t>abriu</w:t>
      </w:r>
      <w:r w:rsidR="002C330E" w:rsidRPr="00D5464D">
        <w:rPr>
          <w:rFonts w:cs="Arial"/>
          <w:iCs/>
          <w:szCs w:val="20"/>
          <w:lang w:val="pt-BR"/>
        </w:rPr>
        <w:t xml:space="preserve"> a </w:t>
      </w:r>
      <w:r w:rsidR="00D81AA1" w:rsidRPr="00D5464D">
        <w:rPr>
          <w:rFonts w:cs="Arial"/>
          <w:iCs/>
          <w:szCs w:val="20"/>
          <w:lang w:val="pt-BR"/>
        </w:rPr>
        <w:t>investiga</w:t>
      </w:r>
      <w:r w:rsidR="00470ADC" w:rsidRPr="00D5464D">
        <w:rPr>
          <w:rFonts w:cs="Arial"/>
          <w:iCs/>
          <w:szCs w:val="20"/>
          <w:lang w:val="pt-BR"/>
        </w:rPr>
        <w:t>ção</w:t>
      </w:r>
      <w:r w:rsidR="00D81AA1" w:rsidRPr="00D5464D">
        <w:rPr>
          <w:rFonts w:cs="Arial"/>
          <w:iCs/>
          <w:szCs w:val="20"/>
          <w:lang w:val="pt-BR"/>
        </w:rPr>
        <w:t xml:space="preserve"> sobre</w:t>
      </w:r>
      <w:r w:rsidR="002C330E" w:rsidRPr="00D5464D">
        <w:rPr>
          <w:rFonts w:cs="Arial"/>
          <w:iCs/>
          <w:szCs w:val="20"/>
          <w:lang w:val="pt-BR"/>
        </w:rPr>
        <w:t xml:space="preserve"> </w:t>
      </w:r>
      <w:r w:rsidR="00E045D9" w:rsidRPr="00D5464D">
        <w:rPr>
          <w:rFonts w:cs="Arial"/>
          <w:iCs/>
          <w:szCs w:val="20"/>
          <w:lang w:val="pt-BR"/>
        </w:rPr>
        <w:t>o desaparecimento</w:t>
      </w:r>
      <w:r w:rsidR="00D81AA1" w:rsidRPr="00D5464D">
        <w:rPr>
          <w:rFonts w:cs="Arial"/>
          <w:iCs/>
          <w:szCs w:val="20"/>
          <w:lang w:val="pt-BR"/>
        </w:rPr>
        <w:t xml:space="preserve"> </w:t>
      </w:r>
      <w:r w:rsidR="00470ADC" w:rsidRPr="00D5464D">
        <w:rPr>
          <w:rFonts w:cs="Arial"/>
          <w:iCs/>
          <w:szCs w:val="20"/>
          <w:lang w:val="pt-BR"/>
        </w:rPr>
        <w:t xml:space="preserve">do </w:t>
      </w:r>
      <w:r w:rsidR="002C330E" w:rsidRPr="00D5464D">
        <w:rPr>
          <w:rFonts w:cs="Arial"/>
          <w:iCs/>
          <w:szCs w:val="20"/>
          <w:lang w:val="pt-BR"/>
        </w:rPr>
        <w:t xml:space="preserve">senhor </w:t>
      </w:r>
      <w:r w:rsidR="00656DDC" w:rsidRPr="00D5464D">
        <w:rPr>
          <w:rFonts w:cs="Arial"/>
          <w:iCs/>
          <w:szCs w:val="20"/>
          <w:lang w:val="pt-BR"/>
        </w:rPr>
        <w:t xml:space="preserve">Iron </w:t>
      </w:r>
      <w:r w:rsidR="00D81AA1" w:rsidRPr="00D5464D">
        <w:rPr>
          <w:rFonts w:cs="Arial"/>
          <w:iCs/>
          <w:szCs w:val="20"/>
          <w:lang w:val="pt-BR"/>
        </w:rPr>
        <w:t>Canuto</w:t>
      </w:r>
      <w:r w:rsidR="00656DDC" w:rsidRPr="00D5464D">
        <w:rPr>
          <w:rFonts w:cs="Arial"/>
          <w:iCs/>
          <w:szCs w:val="20"/>
          <w:lang w:val="pt-BR"/>
        </w:rPr>
        <w:t xml:space="preserve"> da Silva</w:t>
      </w:r>
      <w:r w:rsidR="00470ADC" w:rsidRPr="00D5464D">
        <w:rPr>
          <w:rFonts w:cs="Arial"/>
          <w:iCs/>
          <w:szCs w:val="20"/>
          <w:lang w:val="pt-BR"/>
        </w:rPr>
        <w:t xml:space="preserve"> em </w:t>
      </w:r>
      <w:r w:rsidR="00D81AA1" w:rsidRPr="00D5464D">
        <w:rPr>
          <w:rFonts w:cs="Arial"/>
          <w:iCs/>
          <w:szCs w:val="20"/>
          <w:lang w:val="pt-BR"/>
        </w:rPr>
        <w:t>2007</w:t>
      </w:r>
      <w:r w:rsidR="00E045D9" w:rsidRPr="00D5464D">
        <w:rPr>
          <w:rFonts w:cs="Arial"/>
          <w:iCs/>
          <w:szCs w:val="20"/>
          <w:lang w:val="pt-BR"/>
        </w:rPr>
        <w:t xml:space="preserve"> e constatou</w:t>
      </w:r>
      <w:r w:rsidR="00D81AA1" w:rsidRPr="00D5464D">
        <w:rPr>
          <w:rFonts w:cs="Arial"/>
          <w:iCs/>
          <w:szCs w:val="20"/>
          <w:lang w:val="pt-BR"/>
        </w:rPr>
        <w:t xml:space="preserve"> que </w:t>
      </w:r>
      <w:r w:rsidR="00737270" w:rsidRPr="00D5464D">
        <w:rPr>
          <w:rFonts w:cs="Arial"/>
          <w:iCs/>
          <w:szCs w:val="20"/>
          <w:lang w:val="pt-BR"/>
        </w:rPr>
        <w:t>não havia</w:t>
      </w:r>
      <w:r w:rsidR="00D81AA1" w:rsidRPr="00D5464D">
        <w:rPr>
          <w:rFonts w:cs="Arial"/>
          <w:iCs/>
          <w:szCs w:val="20"/>
          <w:lang w:val="pt-BR"/>
        </w:rPr>
        <w:t xml:space="preserve"> sido </w:t>
      </w:r>
      <w:r w:rsidR="00E045D9" w:rsidRPr="00D5464D">
        <w:rPr>
          <w:rFonts w:cs="Arial"/>
          <w:iCs/>
          <w:szCs w:val="20"/>
          <w:lang w:val="pt-BR"/>
        </w:rPr>
        <w:t>vítima</w:t>
      </w:r>
      <w:r w:rsidR="00D81AA1" w:rsidRPr="00D5464D">
        <w:rPr>
          <w:rFonts w:cs="Arial"/>
          <w:iCs/>
          <w:szCs w:val="20"/>
          <w:lang w:val="pt-BR"/>
        </w:rPr>
        <w:t xml:space="preserve"> de </w:t>
      </w:r>
      <w:r w:rsidR="00E045D9" w:rsidRPr="00D5464D">
        <w:rPr>
          <w:rFonts w:cs="Arial"/>
          <w:iCs/>
          <w:szCs w:val="20"/>
          <w:lang w:val="pt-BR"/>
        </w:rPr>
        <w:t>desaparecimento forçado</w:t>
      </w:r>
      <w:r w:rsidR="00D81AA1" w:rsidRPr="00D5464D">
        <w:rPr>
          <w:rFonts w:cs="Arial"/>
          <w:iCs/>
          <w:szCs w:val="20"/>
          <w:lang w:val="pt-BR"/>
        </w:rPr>
        <w:t xml:space="preserve">. </w:t>
      </w:r>
    </w:p>
    <w:p w14:paraId="5E18840A" w14:textId="77777777" w:rsidR="00D81AA1" w:rsidRPr="00D5464D" w:rsidRDefault="00D81AA1" w:rsidP="00D81AA1">
      <w:pPr>
        <w:pStyle w:val="Prrafodelista"/>
        <w:tabs>
          <w:tab w:val="right" w:pos="0"/>
        </w:tabs>
        <w:autoSpaceDE w:val="0"/>
        <w:autoSpaceDN w:val="0"/>
        <w:adjustRightInd w:val="0"/>
        <w:ind w:left="0"/>
        <w:contextualSpacing w:val="0"/>
        <w:rPr>
          <w:rFonts w:cs="Arial"/>
          <w:iCs/>
          <w:szCs w:val="20"/>
          <w:lang w:val="pt-BR"/>
        </w:rPr>
      </w:pPr>
      <w:r w:rsidRPr="00D5464D">
        <w:rPr>
          <w:rFonts w:cs="Arial"/>
          <w:iCs/>
          <w:szCs w:val="20"/>
          <w:lang w:val="pt-BR"/>
        </w:rPr>
        <w:tab/>
      </w:r>
    </w:p>
    <w:p w14:paraId="6D8E5AF5" w14:textId="19E34779" w:rsidR="00D81AA1" w:rsidRPr="00D5464D" w:rsidRDefault="00402E9F" w:rsidP="00D81AA1">
      <w:pPr>
        <w:pStyle w:val="Prrafodelista"/>
        <w:numPr>
          <w:ilvl w:val="0"/>
          <w:numId w:val="1"/>
        </w:numPr>
        <w:tabs>
          <w:tab w:val="right" w:pos="0"/>
        </w:tabs>
        <w:contextualSpacing w:val="0"/>
        <w:rPr>
          <w:rFonts w:cs="Arial"/>
          <w:iCs/>
          <w:szCs w:val="20"/>
          <w:lang w:val="pt-BR"/>
        </w:rPr>
      </w:pPr>
      <w:r w:rsidRPr="00D5464D">
        <w:rPr>
          <w:rFonts w:cs="Arial"/>
          <w:iCs/>
          <w:szCs w:val="20"/>
          <w:lang w:val="pt-BR"/>
        </w:rPr>
        <w:t>De outra parte</w:t>
      </w:r>
      <w:r w:rsidR="00A1358C" w:rsidRPr="00D5464D">
        <w:rPr>
          <w:rFonts w:cs="Arial"/>
          <w:iCs/>
          <w:szCs w:val="20"/>
          <w:lang w:val="pt-BR"/>
        </w:rPr>
        <w:t>,</w:t>
      </w:r>
      <w:r w:rsidR="00470ADC" w:rsidRPr="00D5464D">
        <w:rPr>
          <w:rFonts w:cs="Arial"/>
          <w:iCs/>
          <w:szCs w:val="20"/>
          <w:lang w:val="pt-BR"/>
        </w:rPr>
        <w:t xml:space="preserve"> </w:t>
      </w:r>
      <w:r w:rsidR="00350187" w:rsidRPr="00D5464D">
        <w:rPr>
          <w:rFonts w:cs="Arial"/>
          <w:iCs/>
          <w:szCs w:val="20"/>
          <w:lang w:val="pt-BR"/>
        </w:rPr>
        <w:t>quanto</w:t>
      </w:r>
      <w:r w:rsidR="00470ADC" w:rsidRPr="00D5464D">
        <w:rPr>
          <w:rFonts w:cs="Arial"/>
          <w:iCs/>
          <w:szCs w:val="20"/>
          <w:lang w:val="pt-BR"/>
        </w:rPr>
        <w:t xml:space="preserve"> </w:t>
      </w:r>
      <w:r w:rsidR="00D81AA1" w:rsidRPr="00D5464D">
        <w:rPr>
          <w:rFonts w:cs="Arial"/>
          <w:iCs/>
          <w:szCs w:val="20"/>
          <w:lang w:val="pt-BR"/>
        </w:rPr>
        <w:t>a Luis Ferreira da Cruz,</w:t>
      </w:r>
      <w:r w:rsidR="002C330E" w:rsidRPr="00D5464D">
        <w:rPr>
          <w:rFonts w:cs="Arial"/>
          <w:iCs/>
          <w:szCs w:val="20"/>
          <w:lang w:val="pt-BR"/>
        </w:rPr>
        <w:t xml:space="preserve"> a </w:t>
      </w:r>
      <w:r w:rsidR="00D81AA1" w:rsidRPr="00D5464D">
        <w:rPr>
          <w:rFonts w:cs="Arial"/>
          <w:iCs/>
          <w:szCs w:val="20"/>
          <w:lang w:val="pt-BR"/>
        </w:rPr>
        <w:t>Corte nota que</w:t>
      </w:r>
      <w:r w:rsidRPr="00D5464D">
        <w:rPr>
          <w:rFonts w:cs="Arial"/>
          <w:iCs/>
          <w:szCs w:val="20"/>
          <w:lang w:val="pt-BR"/>
        </w:rPr>
        <w:t>,</w:t>
      </w:r>
      <w:r w:rsidR="00D81AA1" w:rsidRPr="00D5464D">
        <w:rPr>
          <w:rFonts w:cs="Arial"/>
          <w:iCs/>
          <w:szCs w:val="20"/>
          <w:lang w:val="pt-BR"/>
        </w:rPr>
        <w:t xml:space="preserve"> como </w:t>
      </w:r>
      <w:r w:rsidR="00470ADC" w:rsidRPr="00D5464D">
        <w:rPr>
          <w:rFonts w:cs="Arial"/>
          <w:iCs/>
          <w:szCs w:val="20"/>
          <w:lang w:val="pt-BR"/>
        </w:rPr>
        <w:t xml:space="preserve">consequência da </w:t>
      </w:r>
      <w:r w:rsidR="00D81AA1" w:rsidRPr="00D5464D">
        <w:rPr>
          <w:rFonts w:cs="Arial"/>
          <w:iCs/>
          <w:szCs w:val="20"/>
          <w:lang w:val="pt-BR"/>
        </w:rPr>
        <w:t>re</w:t>
      </w:r>
      <w:r w:rsidR="00470ADC" w:rsidRPr="00D5464D">
        <w:rPr>
          <w:rFonts w:cs="Arial"/>
          <w:iCs/>
          <w:szCs w:val="20"/>
          <w:lang w:val="pt-BR"/>
        </w:rPr>
        <w:t xml:space="preserve">abertura da </w:t>
      </w:r>
      <w:r w:rsidR="00D81AA1" w:rsidRPr="00D5464D">
        <w:rPr>
          <w:rFonts w:cs="Arial"/>
          <w:iCs/>
          <w:szCs w:val="20"/>
          <w:lang w:val="pt-BR"/>
        </w:rPr>
        <w:t>investiga</w:t>
      </w:r>
      <w:r w:rsidR="00470ADC" w:rsidRPr="00D5464D">
        <w:rPr>
          <w:rFonts w:cs="Arial"/>
          <w:iCs/>
          <w:szCs w:val="20"/>
          <w:lang w:val="pt-BR"/>
        </w:rPr>
        <w:t xml:space="preserve">ção em </w:t>
      </w:r>
      <w:r w:rsidR="00D81AA1" w:rsidRPr="00D5464D">
        <w:rPr>
          <w:rFonts w:cs="Arial"/>
          <w:iCs/>
          <w:szCs w:val="20"/>
          <w:lang w:val="pt-BR"/>
        </w:rPr>
        <w:t xml:space="preserve">2007, </w:t>
      </w:r>
      <w:r w:rsidR="00E765C2" w:rsidRPr="00D5464D">
        <w:rPr>
          <w:rFonts w:cs="Arial"/>
          <w:iCs/>
          <w:szCs w:val="20"/>
          <w:lang w:val="pt-BR"/>
        </w:rPr>
        <w:t>verificou</w:t>
      </w:r>
      <w:r w:rsidRPr="00D5464D">
        <w:rPr>
          <w:rFonts w:cs="Arial"/>
          <w:iCs/>
          <w:szCs w:val="20"/>
          <w:lang w:val="pt-BR"/>
        </w:rPr>
        <w:t>-se</w:t>
      </w:r>
      <w:r w:rsidR="00D81AA1" w:rsidRPr="00D5464D">
        <w:rPr>
          <w:rFonts w:cs="Arial"/>
          <w:iCs/>
          <w:szCs w:val="20"/>
          <w:lang w:val="pt-BR"/>
        </w:rPr>
        <w:t xml:space="preserve"> que</w:t>
      </w:r>
      <w:r w:rsidRPr="00D5464D">
        <w:rPr>
          <w:rFonts w:cs="Arial"/>
          <w:iCs/>
          <w:szCs w:val="20"/>
          <w:lang w:val="pt-BR"/>
        </w:rPr>
        <w:t>,</w:t>
      </w:r>
      <w:r w:rsidR="00C91CB1" w:rsidRPr="00D5464D">
        <w:rPr>
          <w:rFonts w:cs="Arial"/>
          <w:iCs/>
          <w:szCs w:val="20"/>
          <w:lang w:val="pt-BR"/>
        </w:rPr>
        <w:t xml:space="preserve"> em 1</w:t>
      </w:r>
      <w:r w:rsidR="00D81AA1" w:rsidRPr="00D5464D">
        <w:rPr>
          <w:rFonts w:cs="Arial"/>
          <w:iCs/>
          <w:szCs w:val="20"/>
          <w:lang w:val="pt-BR"/>
        </w:rPr>
        <w:t xml:space="preserve">7 de </w:t>
      </w:r>
      <w:r w:rsidR="00470ADC" w:rsidRPr="00D5464D">
        <w:rPr>
          <w:rFonts w:cs="Arial"/>
          <w:iCs/>
          <w:szCs w:val="20"/>
          <w:lang w:val="pt-BR"/>
        </w:rPr>
        <w:t>fevereiro</w:t>
      </w:r>
      <w:r w:rsidR="00D81AA1" w:rsidRPr="00D5464D">
        <w:rPr>
          <w:rFonts w:cs="Arial"/>
          <w:iCs/>
          <w:szCs w:val="20"/>
          <w:lang w:val="pt-BR"/>
        </w:rPr>
        <w:t xml:space="preserve"> de 2009</w:t>
      </w:r>
      <w:r w:rsidRPr="00D5464D">
        <w:rPr>
          <w:rFonts w:cs="Arial"/>
          <w:iCs/>
          <w:szCs w:val="20"/>
          <w:lang w:val="pt-BR"/>
        </w:rPr>
        <w:t>,</w:t>
      </w:r>
      <w:r w:rsidR="002C330E" w:rsidRPr="00D5464D">
        <w:rPr>
          <w:rFonts w:cs="Arial"/>
          <w:iCs/>
          <w:szCs w:val="20"/>
          <w:lang w:val="pt-BR"/>
        </w:rPr>
        <w:t xml:space="preserve"> a senhora</w:t>
      </w:r>
      <w:r w:rsidR="00D81AA1" w:rsidRPr="00D5464D">
        <w:rPr>
          <w:rFonts w:cs="Arial"/>
          <w:iCs/>
          <w:szCs w:val="20"/>
          <w:lang w:val="pt-BR"/>
        </w:rPr>
        <w:t xml:space="preserve"> Maria do Socorro Canuto,</w:t>
      </w:r>
      <w:r w:rsidR="002C330E" w:rsidRPr="00D5464D">
        <w:rPr>
          <w:rFonts w:cs="Arial"/>
          <w:iCs/>
          <w:szCs w:val="20"/>
          <w:lang w:val="pt-BR"/>
        </w:rPr>
        <w:t xml:space="preserve"> mãe</w:t>
      </w:r>
      <w:r w:rsidR="00D81AA1" w:rsidRPr="00D5464D">
        <w:rPr>
          <w:rFonts w:cs="Arial"/>
          <w:iCs/>
          <w:szCs w:val="20"/>
          <w:lang w:val="pt-BR"/>
        </w:rPr>
        <w:t xml:space="preserve"> de </w:t>
      </w:r>
      <w:r w:rsidRPr="00D5464D">
        <w:rPr>
          <w:rFonts w:cs="Arial"/>
          <w:iCs/>
          <w:szCs w:val="20"/>
          <w:lang w:val="pt-BR"/>
        </w:rPr>
        <w:t xml:space="preserve">criação </w:t>
      </w:r>
      <w:r w:rsidR="00D81AA1" w:rsidRPr="00D5464D">
        <w:rPr>
          <w:rFonts w:cs="Arial"/>
          <w:iCs/>
          <w:szCs w:val="20"/>
          <w:lang w:val="pt-BR"/>
        </w:rPr>
        <w:t xml:space="preserve">de </w:t>
      </w:r>
      <w:r w:rsidR="00200C04" w:rsidRPr="00D5464D">
        <w:rPr>
          <w:rFonts w:cs="Arial"/>
          <w:iCs/>
          <w:szCs w:val="20"/>
          <w:lang w:val="pt-BR"/>
        </w:rPr>
        <w:t>Luis Ferreira da Cruz</w:t>
      </w:r>
      <w:r w:rsidR="00D81AA1" w:rsidRPr="00D5464D">
        <w:rPr>
          <w:rFonts w:cs="Arial"/>
          <w:iCs/>
          <w:szCs w:val="20"/>
          <w:lang w:val="pt-BR"/>
        </w:rPr>
        <w:t xml:space="preserve">, </w:t>
      </w:r>
      <w:r w:rsidR="00470ADC" w:rsidRPr="00D5464D">
        <w:rPr>
          <w:rFonts w:cs="Arial"/>
          <w:iCs/>
          <w:szCs w:val="20"/>
          <w:lang w:val="pt-BR"/>
        </w:rPr>
        <w:t xml:space="preserve">declarou perante a </w:t>
      </w:r>
      <w:r w:rsidR="002C330E" w:rsidRPr="00D5464D">
        <w:rPr>
          <w:rFonts w:cs="Arial"/>
          <w:iCs/>
          <w:szCs w:val="20"/>
          <w:lang w:val="pt-BR"/>
        </w:rPr>
        <w:t xml:space="preserve">Secretaria </w:t>
      </w:r>
      <w:r w:rsidR="00D81AA1" w:rsidRPr="00D5464D">
        <w:rPr>
          <w:rFonts w:cs="Arial"/>
          <w:iCs/>
          <w:szCs w:val="20"/>
          <w:lang w:val="pt-BR"/>
        </w:rPr>
        <w:t xml:space="preserve">de </w:t>
      </w:r>
      <w:r w:rsidR="002C330E" w:rsidRPr="00D5464D">
        <w:rPr>
          <w:rFonts w:cs="Arial"/>
          <w:iCs/>
          <w:szCs w:val="20"/>
          <w:lang w:val="pt-BR"/>
        </w:rPr>
        <w:t>Justiça</w:t>
      </w:r>
      <w:r w:rsidR="00E045D9" w:rsidRPr="00D5464D">
        <w:rPr>
          <w:rFonts w:cs="Arial"/>
          <w:iCs/>
          <w:szCs w:val="20"/>
          <w:lang w:val="pt-BR"/>
        </w:rPr>
        <w:t xml:space="preserve"> e </w:t>
      </w:r>
      <w:r w:rsidR="00470ADC" w:rsidRPr="00D5464D">
        <w:rPr>
          <w:rFonts w:cs="Arial"/>
          <w:iCs/>
          <w:szCs w:val="20"/>
          <w:lang w:val="pt-BR"/>
        </w:rPr>
        <w:t>Direito</w:t>
      </w:r>
      <w:r w:rsidR="00D81AA1" w:rsidRPr="00D5464D">
        <w:rPr>
          <w:rFonts w:cs="Arial"/>
          <w:iCs/>
          <w:szCs w:val="20"/>
          <w:lang w:val="pt-BR"/>
        </w:rPr>
        <w:t xml:space="preserve">s Humanos </w:t>
      </w:r>
      <w:r w:rsidR="00470ADC" w:rsidRPr="00D5464D">
        <w:rPr>
          <w:rFonts w:cs="Arial"/>
          <w:iCs/>
          <w:szCs w:val="20"/>
          <w:lang w:val="pt-BR"/>
        </w:rPr>
        <w:t xml:space="preserve">do </w:t>
      </w:r>
      <w:r w:rsidR="00996473" w:rsidRPr="00D5464D">
        <w:rPr>
          <w:rFonts w:cs="Arial"/>
          <w:iCs/>
          <w:szCs w:val="20"/>
          <w:lang w:val="pt-BR"/>
        </w:rPr>
        <w:t>Estado do Pará</w:t>
      </w:r>
      <w:r w:rsidR="00D81AA1" w:rsidRPr="00D5464D">
        <w:rPr>
          <w:rFonts w:cs="Arial"/>
          <w:iCs/>
          <w:szCs w:val="20"/>
          <w:lang w:val="pt-BR"/>
        </w:rPr>
        <w:t xml:space="preserve"> que</w:t>
      </w:r>
      <w:r w:rsidR="00103B40" w:rsidRPr="00D5464D">
        <w:rPr>
          <w:rFonts w:cs="Arial"/>
          <w:iCs/>
          <w:szCs w:val="20"/>
          <w:lang w:val="pt-BR"/>
        </w:rPr>
        <w:t>,</w:t>
      </w:r>
      <w:r w:rsidR="00D81AA1" w:rsidRPr="00D5464D">
        <w:rPr>
          <w:rFonts w:cs="Arial"/>
          <w:iCs/>
          <w:szCs w:val="20"/>
          <w:lang w:val="pt-BR"/>
        </w:rPr>
        <w:t xml:space="preserve"> desde </w:t>
      </w:r>
      <w:r w:rsidRPr="00D5464D">
        <w:rPr>
          <w:rFonts w:cs="Arial"/>
          <w:iCs/>
          <w:szCs w:val="20"/>
          <w:lang w:val="pt-BR"/>
        </w:rPr>
        <w:t xml:space="preserve">sua fuga </w:t>
      </w:r>
      <w:r w:rsidR="00470ADC" w:rsidRPr="00D5464D">
        <w:rPr>
          <w:rFonts w:cs="Arial"/>
          <w:iCs/>
          <w:szCs w:val="20"/>
          <w:lang w:val="pt-BR"/>
        </w:rPr>
        <w:t xml:space="preserve">da </w:t>
      </w:r>
      <w:r w:rsidR="00D809F0" w:rsidRPr="00D5464D">
        <w:rPr>
          <w:rFonts w:cs="Arial"/>
          <w:iCs/>
          <w:szCs w:val="20"/>
          <w:lang w:val="pt-BR"/>
        </w:rPr>
        <w:t>Fazenda</w:t>
      </w:r>
      <w:r w:rsidR="00D81AA1" w:rsidRPr="00D5464D">
        <w:rPr>
          <w:rFonts w:cs="Arial"/>
          <w:iCs/>
          <w:szCs w:val="20"/>
          <w:lang w:val="pt-BR"/>
        </w:rPr>
        <w:t xml:space="preserve"> Brasil Verde</w:t>
      </w:r>
      <w:r w:rsidR="00103B40" w:rsidRPr="00D5464D">
        <w:rPr>
          <w:rFonts w:cs="Arial"/>
          <w:iCs/>
          <w:szCs w:val="20"/>
          <w:lang w:val="pt-BR"/>
        </w:rPr>
        <w:t>,</w:t>
      </w:r>
      <w:r w:rsidR="00D81AA1" w:rsidRPr="00D5464D">
        <w:rPr>
          <w:rFonts w:cs="Arial"/>
          <w:iCs/>
          <w:szCs w:val="20"/>
          <w:lang w:val="pt-BR"/>
        </w:rPr>
        <w:t xml:space="preserve"> </w:t>
      </w:r>
      <w:r w:rsidRPr="00D5464D">
        <w:rPr>
          <w:rFonts w:cs="Arial"/>
          <w:iCs/>
          <w:szCs w:val="20"/>
          <w:lang w:val="pt-BR"/>
        </w:rPr>
        <w:t xml:space="preserve">não sabia sobre o </w:t>
      </w:r>
      <w:r w:rsidR="00A1358C" w:rsidRPr="00D5464D">
        <w:rPr>
          <w:rFonts w:cs="Arial"/>
          <w:iCs/>
          <w:szCs w:val="20"/>
          <w:lang w:val="pt-BR"/>
        </w:rPr>
        <w:t>seu paradeiro</w:t>
      </w:r>
      <w:r w:rsidR="00D81AA1" w:rsidRPr="00D5464D">
        <w:rPr>
          <w:rFonts w:cs="Arial"/>
          <w:iCs/>
          <w:szCs w:val="20"/>
          <w:lang w:val="pt-BR"/>
        </w:rPr>
        <w:t xml:space="preserve"> (</w:t>
      </w:r>
      <w:r w:rsidR="00C85EA9" w:rsidRPr="00D5464D">
        <w:rPr>
          <w:rFonts w:cs="Arial"/>
          <w:iCs/>
          <w:szCs w:val="20"/>
          <w:lang w:val="pt-BR"/>
        </w:rPr>
        <w:t xml:space="preserve">par. </w:t>
      </w:r>
      <w:r w:rsidR="00D036E7" w:rsidRPr="00D5464D">
        <w:rPr>
          <w:rFonts w:cs="Arial"/>
          <w:iCs/>
          <w:szCs w:val="20"/>
          <w:lang w:val="pt-BR"/>
        </w:rPr>
        <w:t>188</w:t>
      </w:r>
      <w:r w:rsidR="00D036E7" w:rsidRPr="00D5464D">
        <w:rPr>
          <w:rFonts w:cs="Arial"/>
          <w:i/>
          <w:iCs/>
          <w:szCs w:val="20"/>
          <w:lang w:val="pt-BR"/>
        </w:rPr>
        <w:t xml:space="preserve"> supra</w:t>
      </w:r>
      <w:r w:rsidR="00D036E7" w:rsidRPr="00D5464D">
        <w:rPr>
          <w:rFonts w:cs="Arial"/>
          <w:iCs/>
          <w:szCs w:val="20"/>
          <w:lang w:val="pt-BR"/>
        </w:rPr>
        <w:t>)</w:t>
      </w:r>
      <w:r w:rsidR="00737270" w:rsidRPr="00D5464D">
        <w:rPr>
          <w:rFonts w:cs="Arial"/>
          <w:iCs/>
          <w:szCs w:val="20"/>
          <w:lang w:val="pt-BR"/>
        </w:rPr>
        <w:t>. No entanto</w:t>
      </w:r>
      <w:r w:rsidR="00D81AA1" w:rsidRPr="00D5464D">
        <w:rPr>
          <w:rFonts w:cs="Arial"/>
          <w:iCs/>
          <w:szCs w:val="20"/>
          <w:lang w:val="pt-BR"/>
        </w:rPr>
        <w:t>,</w:t>
      </w:r>
      <w:r w:rsidR="002C330E" w:rsidRPr="00D5464D">
        <w:rPr>
          <w:rFonts w:cs="Arial"/>
          <w:iCs/>
          <w:szCs w:val="20"/>
          <w:lang w:val="pt-BR"/>
        </w:rPr>
        <w:t xml:space="preserve"> em 4</w:t>
      </w:r>
      <w:r w:rsidR="00D81AA1" w:rsidRPr="00D5464D">
        <w:rPr>
          <w:rFonts w:cs="Arial"/>
          <w:iCs/>
          <w:szCs w:val="20"/>
          <w:lang w:val="pt-BR"/>
        </w:rPr>
        <w:t xml:space="preserve"> de agosto de 2015</w:t>
      </w:r>
      <w:r w:rsidRPr="00D5464D">
        <w:rPr>
          <w:rFonts w:cs="Arial"/>
          <w:iCs/>
          <w:szCs w:val="20"/>
          <w:lang w:val="pt-BR"/>
        </w:rPr>
        <w:t>,</w:t>
      </w:r>
      <w:r w:rsidR="002C330E" w:rsidRPr="00D5464D">
        <w:rPr>
          <w:rFonts w:cs="Arial"/>
          <w:iCs/>
          <w:szCs w:val="20"/>
          <w:lang w:val="pt-BR"/>
        </w:rPr>
        <w:t xml:space="preserve"> a senhora</w:t>
      </w:r>
      <w:r w:rsidR="00D81AA1" w:rsidRPr="00D5464D">
        <w:rPr>
          <w:rFonts w:cs="Arial"/>
          <w:iCs/>
          <w:szCs w:val="20"/>
          <w:lang w:val="pt-BR"/>
        </w:rPr>
        <w:t xml:space="preserve"> Canuto</w:t>
      </w:r>
      <w:r w:rsidR="00E045D9" w:rsidRPr="00D5464D">
        <w:rPr>
          <w:rFonts w:cs="Arial"/>
          <w:iCs/>
          <w:szCs w:val="20"/>
          <w:lang w:val="pt-BR"/>
        </w:rPr>
        <w:t xml:space="preserve"> e </w:t>
      </w:r>
      <w:r w:rsidR="002C330E" w:rsidRPr="00D5464D">
        <w:rPr>
          <w:rFonts w:cs="Arial"/>
          <w:iCs/>
          <w:szCs w:val="20"/>
          <w:lang w:val="pt-BR"/>
        </w:rPr>
        <w:t>a senhora</w:t>
      </w:r>
      <w:r w:rsidR="00D81AA1" w:rsidRPr="00D5464D">
        <w:rPr>
          <w:rFonts w:cs="Arial"/>
          <w:iCs/>
          <w:szCs w:val="20"/>
          <w:lang w:val="pt-BR"/>
        </w:rPr>
        <w:t xml:space="preserve"> M</w:t>
      </w:r>
      <w:r w:rsidR="00E765C2" w:rsidRPr="00D5464D">
        <w:rPr>
          <w:rFonts w:cs="Arial"/>
          <w:iCs/>
          <w:szCs w:val="20"/>
          <w:lang w:val="pt-BR"/>
        </w:rPr>
        <w:t xml:space="preserve">aria </w:t>
      </w:r>
      <w:r w:rsidR="00D81AA1" w:rsidRPr="00D5464D">
        <w:rPr>
          <w:rFonts w:cs="Arial"/>
          <w:iCs/>
          <w:szCs w:val="20"/>
          <w:lang w:val="pt-BR"/>
        </w:rPr>
        <w:t xml:space="preserve">Gorete, </w:t>
      </w:r>
      <w:r w:rsidR="002C330E" w:rsidRPr="00D5464D">
        <w:rPr>
          <w:rFonts w:cs="Arial"/>
          <w:iCs/>
          <w:szCs w:val="20"/>
          <w:lang w:val="pt-BR"/>
        </w:rPr>
        <w:t>irmã</w:t>
      </w:r>
      <w:r w:rsidR="00D81AA1" w:rsidRPr="00D5464D">
        <w:rPr>
          <w:rFonts w:cs="Arial"/>
          <w:iCs/>
          <w:szCs w:val="20"/>
          <w:lang w:val="pt-BR"/>
        </w:rPr>
        <w:t xml:space="preserve"> de </w:t>
      </w:r>
      <w:r w:rsidRPr="00D5464D">
        <w:rPr>
          <w:rFonts w:cs="Arial"/>
          <w:iCs/>
          <w:szCs w:val="20"/>
          <w:lang w:val="pt-BR"/>
        </w:rPr>
        <w:t xml:space="preserve">criação </w:t>
      </w:r>
      <w:r w:rsidR="00D81AA1" w:rsidRPr="00D5464D">
        <w:rPr>
          <w:rFonts w:cs="Arial"/>
          <w:iCs/>
          <w:szCs w:val="20"/>
          <w:lang w:val="pt-BR"/>
        </w:rPr>
        <w:t>de Luis</w:t>
      </w:r>
      <w:r w:rsidR="0013378D" w:rsidRPr="00D5464D">
        <w:rPr>
          <w:rFonts w:cs="Arial"/>
          <w:iCs/>
          <w:szCs w:val="20"/>
          <w:lang w:val="pt-BR"/>
        </w:rPr>
        <w:t xml:space="preserve"> Ferreira da Cruz</w:t>
      </w:r>
      <w:r w:rsidR="00D81AA1" w:rsidRPr="00D5464D">
        <w:rPr>
          <w:rFonts w:cs="Arial"/>
          <w:iCs/>
          <w:szCs w:val="20"/>
          <w:lang w:val="pt-BR"/>
        </w:rPr>
        <w:t>, relat</w:t>
      </w:r>
      <w:r w:rsidR="00350187" w:rsidRPr="00D5464D">
        <w:rPr>
          <w:rFonts w:cs="Arial"/>
          <w:iCs/>
          <w:szCs w:val="20"/>
          <w:lang w:val="pt-BR"/>
        </w:rPr>
        <w:t xml:space="preserve">aram </w:t>
      </w:r>
      <w:r w:rsidR="00D81AA1" w:rsidRPr="00D5464D">
        <w:rPr>
          <w:rFonts w:cs="Arial"/>
          <w:iCs/>
          <w:szCs w:val="20"/>
          <w:lang w:val="pt-BR"/>
        </w:rPr>
        <w:t xml:space="preserve">por </w:t>
      </w:r>
      <w:r w:rsidR="00350187" w:rsidRPr="00D5464D">
        <w:rPr>
          <w:rFonts w:cs="Arial"/>
          <w:iCs/>
          <w:szCs w:val="20"/>
          <w:lang w:val="pt-BR"/>
        </w:rPr>
        <w:t>telefone</w:t>
      </w:r>
      <w:r w:rsidR="00470ADC" w:rsidRPr="00D5464D">
        <w:rPr>
          <w:rFonts w:cs="Arial"/>
          <w:iCs/>
          <w:szCs w:val="20"/>
          <w:lang w:val="pt-BR"/>
        </w:rPr>
        <w:t xml:space="preserve"> à </w:t>
      </w:r>
      <w:r w:rsidR="00C91CB1" w:rsidRPr="00D5464D">
        <w:rPr>
          <w:rFonts w:cs="Arial"/>
          <w:iCs/>
          <w:szCs w:val="20"/>
          <w:lang w:val="pt-BR"/>
        </w:rPr>
        <w:t xml:space="preserve">Polícia </w:t>
      </w:r>
      <w:r w:rsidR="00D81AA1" w:rsidRPr="00D5464D">
        <w:rPr>
          <w:rFonts w:cs="Arial"/>
          <w:iCs/>
          <w:szCs w:val="20"/>
          <w:lang w:val="pt-BR"/>
        </w:rPr>
        <w:t>Federal que Luis</w:t>
      </w:r>
      <w:r w:rsidR="00910615" w:rsidRPr="00D5464D">
        <w:rPr>
          <w:rFonts w:cs="Arial"/>
          <w:iCs/>
          <w:szCs w:val="20"/>
          <w:lang w:val="pt-BR"/>
        </w:rPr>
        <w:t xml:space="preserve"> Ferreira da Cruz</w:t>
      </w:r>
      <w:r w:rsidR="00D81AA1" w:rsidRPr="00D5464D">
        <w:rPr>
          <w:rFonts w:cs="Arial"/>
          <w:iCs/>
          <w:szCs w:val="20"/>
          <w:lang w:val="pt-BR"/>
        </w:rPr>
        <w:t xml:space="preserve"> </w:t>
      </w:r>
      <w:r w:rsidR="002C330E" w:rsidRPr="00D5464D">
        <w:rPr>
          <w:rFonts w:cs="Arial"/>
          <w:iCs/>
          <w:szCs w:val="20"/>
          <w:lang w:val="pt-BR"/>
        </w:rPr>
        <w:t>teria</w:t>
      </w:r>
      <w:r w:rsidR="00D81AA1" w:rsidRPr="00D5464D">
        <w:rPr>
          <w:rFonts w:cs="Arial"/>
          <w:iCs/>
          <w:szCs w:val="20"/>
          <w:lang w:val="pt-BR"/>
        </w:rPr>
        <w:t xml:space="preserve"> </w:t>
      </w:r>
      <w:r w:rsidRPr="00D5464D">
        <w:rPr>
          <w:rFonts w:cs="Arial"/>
          <w:iCs/>
          <w:szCs w:val="20"/>
          <w:lang w:val="pt-BR"/>
        </w:rPr>
        <w:t xml:space="preserve">morrido </w:t>
      </w:r>
      <w:r w:rsidR="00D81AA1" w:rsidRPr="00D5464D">
        <w:rPr>
          <w:rFonts w:cs="Arial"/>
          <w:iCs/>
          <w:szCs w:val="20"/>
          <w:lang w:val="pt-BR"/>
        </w:rPr>
        <w:t xml:space="preserve">aproximadamente 10 </w:t>
      </w:r>
      <w:r w:rsidR="00470ADC" w:rsidRPr="00D5464D">
        <w:rPr>
          <w:rFonts w:cs="Arial"/>
          <w:iCs/>
          <w:szCs w:val="20"/>
          <w:lang w:val="pt-BR"/>
        </w:rPr>
        <w:t>anos</w:t>
      </w:r>
      <w:r w:rsidR="00D81AA1" w:rsidRPr="00D5464D">
        <w:rPr>
          <w:rFonts w:cs="Arial"/>
          <w:iCs/>
          <w:szCs w:val="20"/>
          <w:lang w:val="pt-BR"/>
        </w:rPr>
        <w:t xml:space="preserve"> antes,</w:t>
      </w:r>
      <w:r w:rsidR="00470ADC" w:rsidRPr="00D5464D">
        <w:rPr>
          <w:rFonts w:cs="Arial"/>
          <w:iCs/>
          <w:szCs w:val="20"/>
          <w:lang w:val="pt-BR"/>
        </w:rPr>
        <w:t xml:space="preserve"> em</w:t>
      </w:r>
      <w:r w:rsidR="00E045D9" w:rsidRPr="00D5464D">
        <w:rPr>
          <w:rFonts w:cs="Arial"/>
          <w:iCs/>
          <w:szCs w:val="20"/>
          <w:lang w:val="pt-BR"/>
        </w:rPr>
        <w:t xml:space="preserve"> um </w:t>
      </w:r>
      <w:r w:rsidR="00C91CB1" w:rsidRPr="00D5464D">
        <w:rPr>
          <w:rFonts w:cs="Arial"/>
          <w:iCs/>
          <w:szCs w:val="20"/>
          <w:lang w:val="pt-BR"/>
        </w:rPr>
        <w:t>enfrentamento</w:t>
      </w:r>
      <w:r w:rsidR="00470ADC" w:rsidRPr="00D5464D">
        <w:rPr>
          <w:rFonts w:cs="Arial"/>
          <w:iCs/>
          <w:szCs w:val="20"/>
          <w:lang w:val="pt-BR"/>
        </w:rPr>
        <w:t xml:space="preserve"> com</w:t>
      </w:r>
      <w:r w:rsidR="002C330E" w:rsidRPr="00D5464D">
        <w:rPr>
          <w:rFonts w:cs="Arial"/>
          <w:iCs/>
          <w:szCs w:val="20"/>
          <w:lang w:val="pt-BR"/>
        </w:rPr>
        <w:t xml:space="preserve"> a </w:t>
      </w:r>
      <w:r w:rsidR="00C91CB1" w:rsidRPr="00D5464D">
        <w:rPr>
          <w:rFonts w:cs="Arial"/>
          <w:iCs/>
          <w:szCs w:val="20"/>
          <w:lang w:val="pt-BR"/>
        </w:rPr>
        <w:t xml:space="preserve">Polícia </w:t>
      </w:r>
      <w:r w:rsidR="00D81AA1" w:rsidRPr="00D5464D">
        <w:rPr>
          <w:rFonts w:cs="Arial"/>
          <w:iCs/>
          <w:szCs w:val="20"/>
          <w:lang w:val="pt-BR"/>
        </w:rPr>
        <w:t>Militar</w:t>
      </w:r>
      <w:r w:rsidR="00E045D9" w:rsidRPr="00D5464D">
        <w:rPr>
          <w:rFonts w:cs="Arial"/>
          <w:iCs/>
          <w:szCs w:val="20"/>
          <w:lang w:val="pt-BR"/>
        </w:rPr>
        <w:t xml:space="preserve"> na </w:t>
      </w:r>
      <w:r w:rsidR="00470ADC" w:rsidRPr="00D5464D">
        <w:rPr>
          <w:rFonts w:cs="Arial"/>
          <w:iCs/>
          <w:szCs w:val="20"/>
          <w:lang w:val="pt-BR"/>
        </w:rPr>
        <w:t>cidade</w:t>
      </w:r>
      <w:r w:rsidR="00D81AA1" w:rsidRPr="00D5464D">
        <w:rPr>
          <w:rFonts w:cs="Arial"/>
          <w:iCs/>
          <w:szCs w:val="20"/>
          <w:lang w:val="pt-BR"/>
        </w:rPr>
        <w:t xml:space="preserve"> de Xinguara. Adicionalmente,</w:t>
      </w:r>
      <w:r w:rsidR="002C330E" w:rsidRPr="00D5464D">
        <w:rPr>
          <w:rFonts w:cs="Arial"/>
          <w:iCs/>
          <w:szCs w:val="20"/>
          <w:lang w:val="pt-BR"/>
        </w:rPr>
        <w:t xml:space="preserve"> a senhora</w:t>
      </w:r>
      <w:r w:rsidR="00D81AA1" w:rsidRPr="00D5464D">
        <w:rPr>
          <w:rFonts w:cs="Arial"/>
          <w:iCs/>
          <w:szCs w:val="20"/>
          <w:lang w:val="pt-BR"/>
        </w:rPr>
        <w:t xml:space="preserve"> M</w:t>
      </w:r>
      <w:r w:rsidR="00E765C2" w:rsidRPr="00D5464D">
        <w:rPr>
          <w:rFonts w:cs="Arial"/>
          <w:iCs/>
          <w:szCs w:val="20"/>
          <w:lang w:val="pt-BR"/>
        </w:rPr>
        <w:t xml:space="preserve">aria </w:t>
      </w:r>
      <w:r w:rsidR="00D81AA1" w:rsidRPr="00D5464D">
        <w:rPr>
          <w:rFonts w:cs="Arial"/>
          <w:iCs/>
          <w:szCs w:val="20"/>
          <w:lang w:val="pt-BR"/>
        </w:rPr>
        <w:t xml:space="preserve">Gorete </w:t>
      </w:r>
      <w:r w:rsidR="00470ADC" w:rsidRPr="00D5464D">
        <w:rPr>
          <w:rFonts w:cs="Arial"/>
          <w:iCs/>
          <w:szCs w:val="20"/>
          <w:lang w:val="pt-BR"/>
        </w:rPr>
        <w:t>declarou</w:t>
      </w:r>
      <w:r w:rsidR="00D81AA1" w:rsidRPr="00D5464D">
        <w:rPr>
          <w:rFonts w:cs="Arial"/>
          <w:iCs/>
          <w:szCs w:val="20"/>
          <w:lang w:val="pt-BR"/>
        </w:rPr>
        <w:t xml:space="preserve"> que </w:t>
      </w:r>
      <w:r w:rsidR="00470ADC" w:rsidRPr="00D5464D">
        <w:rPr>
          <w:rFonts w:cs="Arial"/>
          <w:iCs/>
          <w:szCs w:val="20"/>
          <w:lang w:val="pt-BR"/>
        </w:rPr>
        <w:t>quando</w:t>
      </w:r>
      <w:r w:rsidR="00D81AA1" w:rsidRPr="00D5464D">
        <w:rPr>
          <w:rFonts w:cs="Arial"/>
          <w:iCs/>
          <w:szCs w:val="20"/>
          <w:lang w:val="pt-BR"/>
        </w:rPr>
        <w:t xml:space="preserve"> </w:t>
      </w:r>
      <w:r w:rsidR="00470ADC" w:rsidRPr="00D5464D">
        <w:rPr>
          <w:rFonts w:cs="Arial"/>
          <w:iCs/>
          <w:szCs w:val="20"/>
          <w:lang w:val="pt-BR"/>
        </w:rPr>
        <w:t>foram</w:t>
      </w:r>
      <w:r w:rsidR="00D81AA1" w:rsidRPr="00D5464D">
        <w:rPr>
          <w:rFonts w:cs="Arial"/>
          <w:iCs/>
          <w:szCs w:val="20"/>
          <w:lang w:val="pt-BR"/>
        </w:rPr>
        <w:t xml:space="preserve"> informadas </w:t>
      </w:r>
      <w:r w:rsidR="00470ADC" w:rsidRPr="00D5464D">
        <w:rPr>
          <w:rFonts w:cs="Arial"/>
          <w:iCs/>
          <w:szCs w:val="20"/>
          <w:lang w:val="pt-BR"/>
        </w:rPr>
        <w:t xml:space="preserve">do </w:t>
      </w:r>
      <w:r w:rsidR="00A1358C" w:rsidRPr="00D5464D">
        <w:rPr>
          <w:rFonts w:cs="Arial"/>
          <w:iCs/>
          <w:szCs w:val="20"/>
          <w:lang w:val="pt-BR"/>
        </w:rPr>
        <w:t>falecimento</w:t>
      </w:r>
      <w:r w:rsidR="00D81AA1" w:rsidRPr="00D5464D">
        <w:rPr>
          <w:rFonts w:cs="Arial"/>
          <w:iCs/>
          <w:szCs w:val="20"/>
          <w:lang w:val="pt-BR"/>
        </w:rPr>
        <w:t xml:space="preserve"> de Luis</w:t>
      </w:r>
      <w:r w:rsidR="00FB2CDE" w:rsidRPr="00D5464D">
        <w:rPr>
          <w:rFonts w:cs="Arial"/>
          <w:iCs/>
          <w:szCs w:val="20"/>
          <w:lang w:val="pt-BR"/>
        </w:rPr>
        <w:t xml:space="preserve"> Ferreira da Cruz</w:t>
      </w:r>
      <w:r w:rsidR="00E045D9" w:rsidRPr="00D5464D">
        <w:rPr>
          <w:rFonts w:cs="Arial"/>
          <w:iCs/>
          <w:szCs w:val="20"/>
          <w:lang w:val="pt-BR"/>
        </w:rPr>
        <w:t xml:space="preserve"> </w:t>
      </w:r>
      <w:r w:rsidRPr="00D5464D">
        <w:rPr>
          <w:rFonts w:cs="Arial"/>
          <w:iCs/>
          <w:szCs w:val="20"/>
          <w:lang w:val="pt-BR"/>
        </w:rPr>
        <w:t xml:space="preserve">ele já </w:t>
      </w:r>
      <w:r w:rsidR="002C330E" w:rsidRPr="00D5464D">
        <w:rPr>
          <w:rFonts w:cs="Arial"/>
          <w:iCs/>
          <w:szCs w:val="20"/>
          <w:lang w:val="pt-BR"/>
        </w:rPr>
        <w:t>havia</w:t>
      </w:r>
      <w:r w:rsidR="00D81AA1" w:rsidRPr="00D5464D">
        <w:rPr>
          <w:rFonts w:cs="Arial"/>
          <w:iCs/>
          <w:szCs w:val="20"/>
          <w:lang w:val="pt-BR"/>
        </w:rPr>
        <w:t xml:space="preserve"> sido sepultado como indigente</w:t>
      </w:r>
      <w:r w:rsidRPr="00D5464D">
        <w:rPr>
          <w:rFonts w:cs="Arial"/>
          <w:iCs/>
          <w:szCs w:val="20"/>
          <w:lang w:val="pt-BR"/>
        </w:rPr>
        <w:t>,</w:t>
      </w:r>
      <w:r w:rsidR="00D81AA1" w:rsidRPr="00D5464D">
        <w:rPr>
          <w:rFonts w:cs="Arial"/>
          <w:iCs/>
          <w:szCs w:val="20"/>
          <w:lang w:val="pt-BR"/>
        </w:rPr>
        <w:t xml:space="preserve"> por n</w:t>
      </w:r>
      <w:r w:rsidRPr="00D5464D">
        <w:rPr>
          <w:rFonts w:cs="Arial"/>
          <w:iCs/>
          <w:szCs w:val="20"/>
          <w:lang w:val="pt-BR"/>
        </w:rPr>
        <w:t>ã</w:t>
      </w:r>
      <w:r w:rsidR="00D81AA1" w:rsidRPr="00D5464D">
        <w:rPr>
          <w:rFonts w:cs="Arial"/>
          <w:iCs/>
          <w:szCs w:val="20"/>
          <w:lang w:val="pt-BR"/>
        </w:rPr>
        <w:t xml:space="preserve">o </w:t>
      </w:r>
      <w:r w:rsidR="00230C71" w:rsidRPr="00D5464D">
        <w:rPr>
          <w:rFonts w:cs="Arial"/>
          <w:iCs/>
          <w:szCs w:val="20"/>
          <w:lang w:val="pt-BR"/>
        </w:rPr>
        <w:t>possui</w:t>
      </w:r>
      <w:r w:rsidR="00D81AA1" w:rsidRPr="00D5464D">
        <w:rPr>
          <w:rFonts w:cs="Arial"/>
          <w:iCs/>
          <w:szCs w:val="20"/>
          <w:lang w:val="pt-BR"/>
        </w:rPr>
        <w:t xml:space="preserve">r documentos </w:t>
      </w:r>
      <w:r w:rsidR="002C330E" w:rsidRPr="00D5464D">
        <w:rPr>
          <w:rFonts w:cs="Arial"/>
          <w:iCs/>
          <w:szCs w:val="20"/>
          <w:lang w:val="pt-BR"/>
        </w:rPr>
        <w:t>pessoais</w:t>
      </w:r>
      <w:r w:rsidR="00470ADC" w:rsidRPr="00D5464D">
        <w:rPr>
          <w:rFonts w:cs="Arial"/>
          <w:iCs/>
          <w:szCs w:val="20"/>
          <w:lang w:val="pt-BR"/>
        </w:rPr>
        <w:t xml:space="preserve"> </w:t>
      </w:r>
      <w:r w:rsidRPr="00D5464D">
        <w:rPr>
          <w:rFonts w:cs="Arial"/>
          <w:iCs/>
          <w:szCs w:val="20"/>
          <w:lang w:val="pt-BR"/>
        </w:rPr>
        <w:t>n</w:t>
      </w:r>
      <w:r w:rsidR="00470ADC" w:rsidRPr="00D5464D">
        <w:rPr>
          <w:rFonts w:cs="Arial"/>
          <w:iCs/>
          <w:szCs w:val="20"/>
          <w:lang w:val="pt-BR"/>
        </w:rPr>
        <w:t xml:space="preserve">o </w:t>
      </w:r>
      <w:r w:rsidR="00D81AA1" w:rsidRPr="00D5464D">
        <w:rPr>
          <w:rFonts w:cs="Arial"/>
          <w:iCs/>
          <w:szCs w:val="20"/>
          <w:lang w:val="pt-BR"/>
        </w:rPr>
        <w:t xml:space="preserve">momento de </w:t>
      </w:r>
      <w:r w:rsidR="00230C71" w:rsidRPr="00D5464D">
        <w:rPr>
          <w:rFonts w:cs="Arial"/>
          <w:iCs/>
          <w:szCs w:val="20"/>
          <w:lang w:val="pt-BR"/>
        </w:rPr>
        <w:t>sua morte</w:t>
      </w:r>
      <w:r w:rsidR="00C91CB1" w:rsidRPr="00D5464D">
        <w:rPr>
          <w:rFonts w:cs="Arial"/>
          <w:iCs/>
          <w:szCs w:val="20"/>
          <w:lang w:val="pt-BR"/>
        </w:rPr>
        <w:t xml:space="preserve">. Em </w:t>
      </w:r>
      <w:r w:rsidR="00D81AA1" w:rsidRPr="00D5464D">
        <w:rPr>
          <w:rFonts w:cs="Arial"/>
          <w:iCs/>
          <w:szCs w:val="20"/>
          <w:lang w:val="pt-BR"/>
        </w:rPr>
        <w:t>rela</w:t>
      </w:r>
      <w:r w:rsidR="00470ADC" w:rsidRPr="00D5464D">
        <w:rPr>
          <w:rFonts w:cs="Arial"/>
          <w:iCs/>
          <w:szCs w:val="20"/>
          <w:lang w:val="pt-BR"/>
        </w:rPr>
        <w:t xml:space="preserve">ção </w:t>
      </w:r>
      <w:r w:rsidRPr="00D5464D">
        <w:rPr>
          <w:rFonts w:cs="Arial"/>
          <w:iCs/>
          <w:szCs w:val="20"/>
          <w:lang w:val="pt-BR"/>
        </w:rPr>
        <w:t xml:space="preserve">ao </w:t>
      </w:r>
      <w:r w:rsidR="00D81AA1" w:rsidRPr="00D5464D">
        <w:rPr>
          <w:rFonts w:cs="Arial"/>
          <w:iCs/>
          <w:szCs w:val="20"/>
          <w:lang w:val="pt-BR"/>
        </w:rPr>
        <w:t>anterior,</w:t>
      </w:r>
      <w:r w:rsidR="002C330E" w:rsidRPr="00D5464D">
        <w:rPr>
          <w:rFonts w:cs="Arial"/>
          <w:iCs/>
          <w:szCs w:val="20"/>
          <w:lang w:val="pt-BR"/>
        </w:rPr>
        <w:t xml:space="preserve"> a </w:t>
      </w:r>
      <w:r w:rsidR="00C91CB1" w:rsidRPr="00D5464D">
        <w:rPr>
          <w:rFonts w:cs="Arial"/>
          <w:iCs/>
          <w:szCs w:val="20"/>
          <w:lang w:val="pt-BR"/>
        </w:rPr>
        <w:t xml:space="preserve">Polícia </w:t>
      </w:r>
      <w:r w:rsidR="00D81AA1" w:rsidRPr="00D5464D">
        <w:rPr>
          <w:rFonts w:cs="Arial"/>
          <w:iCs/>
          <w:szCs w:val="20"/>
          <w:lang w:val="pt-BR"/>
        </w:rPr>
        <w:t>Federal consult</w:t>
      </w:r>
      <w:r w:rsidRPr="00D5464D">
        <w:rPr>
          <w:rFonts w:cs="Arial"/>
          <w:iCs/>
          <w:szCs w:val="20"/>
          <w:lang w:val="pt-BR"/>
        </w:rPr>
        <w:t xml:space="preserve">ou </w:t>
      </w:r>
      <w:r w:rsidR="00470ADC" w:rsidRPr="00D5464D">
        <w:rPr>
          <w:rFonts w:cs="Arial"/>
          <w:iCs/>
          <w:szCs w:val="20"/>
          <w:lang w:val="pt-BR"/>
        </w:rPr>
        <w:t xml:space="preserve">o </w:t>
      </w:r>
      <w:r w:rsidR="00D81AA1" w:rsidRPr="00D5464D">
        <w:rPr>
          <w:rFonts w:cs="Arial"/>
          <w:iCs/>
          <w:szCs w:val="20"/>
          <w:lang w:val="pt-BR"/>
        </w:rPr>
        <w:t>Registro Civil</w:t>
      </w:r>
      <w:r w:rsidR="00470ADC" w:rsidRPr="00D5464D">
        <w:rPr>
          <w:rFonts w:cs="Arial"/>
          <w:iCs/>
          <w:szCs w:val="20"/>
          <w:lang w:val="pt-BR"/>
        </w:rPr>
        <w:t xml:space="preserve"> da cidade</w:t>
      </w:r>
      <w:r w:rsidR="00D81AA1" w:rsidRPr="00D5464D">
        <w:rPr>
          <w:rFonts w:cs="Arial"/>
          <w:iCs/>
          <w:szCs w:val="20"/>
          <w:lang w:val="pt-BR"/>
        </w:rPr>
        <w:t xml:space="preserve"> de Xinguara sobre</w:t>
      </w:r>
      <w:r w:rsidR="00470ADC" w:rsidRPr="00D5464D">
        <w:rPr>
          <w:rFonts w:cs="Arial"/>
          <w:iCs/>
          <w:szCs w:val="20"/>
          <w:lang w:val="pt-BR"/>
        </w:rPr>
        <w:t xml:space="preserve"> </w:t>
      </w:r>
      <w:r w:rsidRPr="00D5464D">
        <w:rPr>
          <w:rFonts w:cs="Arial"/>
          <w:iCs/>
          <w:szCs w:val="20"/>
          <w:lang w:val="pt-BR"/>
        </w:rPr>
        <w:t>a certidão de óbito</w:t>
      </w:r>
      <w:r w:rsidR="00D81AA1" w:rsidRPr="00D5464D">
        <w:rPr>
          <w:rFonts w:cs="Arial"/>
          <w:iCs/>
          <w:szCs w:val="20"/>
          <w:lang w:val="pt-BR"/>
        </w:rPr>
        <w:t xml:space="preserve"> </w:t>
      </w:r>
      <w:r w:rsidR="00470ADC" w:rsidRPr="00D5464D">
        <w:rPr>
          <w:rFonts w:cs="Arial"/>
          <w:iCs/>
          <w:szCs w:val="20"/>
          <w:lang w:val="pt-BR"/>
        </w:rPr>
        <w:t xml:space="preserve">do </w:t>
      </w:r>
      <w:r w:rsidR="002C330E" w:rsidRPr="00D5464D">
        <w:rPr>
          <w:rFonts w:cs="Arial"/>
          <w:iCs/>
          <w:szCs w:val="20"/>
          <w:lang w:val="pt-BR"/>
        </w:rPr>
        <w:t xml:space="preserve">senhor </w:t>
      </w:r>
      <w:r w:rsidR="00200C04" w:rsidRPr="00D5464D">
        <w:rPr>
          <w:rFonts w:cs="Arial"/>
          <w:iCs/>
          <w:szCs w:val="20"/>
          <w:lang w:val="pt-BR"/>
        </w:rPr>
        <w:t>Luis Ferreira da Cruz</w:t>
      </w:r>
      <w:r w:rsidR="00D81AA1" w:rsidRPr="00D5464D">
        <w:rPr>
          <w:rFonts w:cs="Arial"/>
          <w:iCs/>
          <w:szCs w:val="20"/>
          <w:lang w:val="pt-BR"/>
        </w:rPr>
        <w:t>,</w:t>
      </w:r>
      <w:r w:rsidR="002C330E" w:rsidRPr="00D5464D">
        <w:rPr>
          <w:rFonts w:cs="Arial"/>
          <w:iCs/>
          <w:szCs w:val="20"/>
          <w:lang w:val="pt-BR"/>
        </w:rPr>
        <w:t xml:space="preserve"> </w:t>
      </w:r>
      <w:r w:rsidR="00350187" w:rsidRPr="00D5464D">
        <w:rPr>
          <w:rFonts w:cs="Arial"/>
          <w:iCs/>
          <w:szCs w:val="20"/>
          <w:lang w:val="pt-BR"/>
        </w:rPr>
        <w:t>entretanto</w:t>
      </w:r>
      <w:r w:rsidR="00D81AA1" w:rsidRPr="00D5464D">
        <w:rPr>
          <w:rFonts w:cs="Arial"/>
          <w:iCs/>
          <w:szCs w:val="20"/>
          <w:lang w:val="pt-BR"/>
        </w:rPr>
        <w:t xml:space="preserve"> </w:t>
      </w:r>
      <w:r w:rsidR="00737270" w:rsidRPr="00D5464D">
        <w:rPr>
          <w:rFonts w:cs="Arial"/>
          <w:iCs/>
          <w:szCs w:val="20"/>
          <w:lang w:val="pt-BR"/>
        </w:rPr>
        <w:t>informaram</w:t>
      </w:r>
      <w:r w:rsidR="00D81AA1" w:rsidRPr="00D5464D">
        <w:rPr>
          <w:rFonts w:cs="Arial"/>
          <w:iCs/>
          <w:szCs w:val="20"/>
          <w:lang w:val="pt-BR"/>
        </w:rPr>
        <w:t xml:space="preserve"> que n</w:t>
      </w:r>
      <w:r w:rsidRPr="00D5464D">
        <w:rPr>
          <w:rFonts w:cs="Arial"/>
          <w:iCs/>
          <w:szCs w:val="20"/>
          <w:lang w:val="pt-BR"/>
        </w:rPr>
        <w:t>ã</w:t>
      </w:r>
      <w:r w:rsidR="00D81AA1" w:rsidRPr="00D5464D">
        <w:rPr>
          <w:rFonts w:cs="Arial"/>
          <w:iCs/>
          <w:szCs w:val="20"/>
          <w:lang w:val="pt-BR"/>
        </w:rPr>
        <w:t xml:space="preserve">o </w:t>
      </w:r>
      <w:r w:rsidR="00470ADC" w:rsidRPr="00D5464D">
        <w:rPr>
          <w:rFonts w:cs="Arial"/>
          <w:iCs/>
          <w:szCs w:val="20"/>
          <w:lang w:val="pt-BR"/>
        </w:rPr>
        <w:t>existia</w:t>
      </w:r>
      <w:r w:rsidR="00D81AA1" w:rsidRPr="00D5464D">
        <w:rPr>
          <w:rFonts w:cs="Arial"/>
          <w:iCs/>
          <w:szCs w:val="20"/>
          <w:lang w:val="pt-BR"/>
        </w:rPr>
        <w:t xml:space="preserve"> registro de </w:t>
      </w:r>
      <w:r w:rsidR="00230C71" w:rsidRPr="00D5464D">
        <w:rPr>
          <w:rFonts w:cs="Arial"/>
          <w:iCs/>
          <w:szCs w:val="20"/>
          <w:lang w:val="pt-BR"/>
        </w:rPr>
        <w:t>sua morte</w:t>
      </w:r>
      <w:r w:rsidR="00EB1CE9" w:rsidRPr="00D5464D">
        <w:rPr>
          <w:rFonts w:cs="Arial"/>
          <w:iCs/>
          <w:szCs w:val="20"/>
          <w:lang w:val="pt-BR"/>
        </w:rPr>
        <w:t xml:space="preserve"> </w:t>
      </w:r>
      <w:r w:rsidRPr="00D5464D">
        <w:rPr>
          <w:rFonts w:cs="Arial"/>
          <w:iCs/>
          <w:szCs w:val="20"/>
          <w:lang w:val="pt-BR"/>
        </w:rPr>
        <w:t xml:space="preserve">e seria </w:t>
      </w:r>
      <w:r w:rsidR="00737270" w:rsidRPr="00D5464D">
        <w:rPr>
          <w:rFonts w:cs="Arial"/>
          <w:iCs/>
          <w:szCs w:val="20"/>
          <w:lang w:val="pt-BR"/>
        </w:rPr>
        <w:t xml:space="preserve">provável </w:t>
      </w:r>
      <w:r w:rsidR="00D81AA1" w:rsidRPr="00D5464D">
        <w:rPr>
          <w:rFonts w:cs="Arial"/>
          <w:iCs/>
          <w:szCs w:val="20"/>
          <w:lang w:val="pt-BR"/>
        </w:rPr>
        <w:t xml:space="preserve">que, </w:t>
      </w:r>
      <w:r w:rsidR="00C176E3" w:rsidRPr="00D5464D">
        <w:rPr>
          <w:rFonts w:cs="Arial"/>
          <w:iCs/>
          <w:szCs w:val="20"/>
          <w:lang w:val="pt-BR"/>
        </w:rPr>
        <w:t>ao ter falecido,</w:t>
      </w:r>
      <w:r w:rsidR="00A74771" w:rsidRPr="00D5464D">
        <w:rPr>
          <w:rFonts w:cs="Arial"/>
          <w:iCs/>
          <w:szCs w:val="20"/>
          <w:lang w:val="pt-BR"/>
        </w:rPr>
        <w:t xml:space="preserve"> </w:t>
      </w:r>
      <w:r w:rsidRPr="00D5464D">
        <w:rPr>
          <w:rFonts w:cs="Arial"/>
          <w:iCs/>
          <w:szCs w:val="20"/>
          <w:lang w:val="pt-BR"/>
        </w:rPr>
        <w:t xml:space="preserve">foi </w:t>
      </w:r>
      <w:r w:rsidR="00D81AA1" w:rsidRPr="00D5464D">
        <w:rPr>
          <w:rFonts w:cs="Arial"/>
          <w:iCs/>
          <w:szCs w:val="20"/>
          <w:lang w:val="pt-BR"/>
        </w:rPr>
        <w:t>enterrado como indigente. Adicionalmente,</w:t>
      </w:r>
      <w:r w:rsidR="00470ADC" w:rsidRPr="00D5464D">
        <w:rPr>
          <w:rFonts w:cs="Arial"/>
          <w:iCs/>
          <w:szCs w:val="20"/>
          <w:lang w:val="pt-BR"/>
        </w:rPr>
        <w:t xml:space="preserve"> em </w:t>
      </w:r>
      <w:r w:rsidR="00D81AA1" w:rsidRPr="00D5464D">
        <w:rPr>
          <w:rFonts w:cs="Arial"/>
          <w:iCs/>
          <w:szCs w:val="20"/>
          <w:lang w:val="pt-BR"/>
        </w:rPr>
        <w:t>declara</w:t>
      </w:r>
      <w:r w:rsidR="00470ADC" w:rsidRPr="00D5464D">
        <w:rPr>
          <w:rFonts w:cs="Arial"/>
          <w:iCs/>
          <w:szCs w:val="20"/>
          <w:lang w:val="pt-BR"/>
        </w:rPr>
        <w:t>ção</w:t>
      </w:r>
      <w:r w:rsidR="002C330E" w:rsidRPr="00D5464D">
        <w:rPr>
          <w:rFonts w:cs="Arial"/>
          <w:iCs/>
          <w:szCs w:val="20"/>
          <w:lang w:val="pt-BR"/>
        </w:rPr>
        <w:t xml:space="preserve"> </w:t>
      </w:r>
      <w:r w:rsidRPr="00D5464D">
        <w:rPr>
          <w:rFonts w:cs="Arial"/>
          <w:iCs/>
          <w:szCs w:val="20"/>
          <w:lang w:val="pt-BR"/>
        </w:rPr>
        <w:t xml:space="preserve">prestada </w:t>
      </w:r>
      <w:r w:rsidR="002C330E" w:rsidRPr="00D5464D">
        <w:rPr>
          <w:rFonts w:cs="Arial"/>
          <w:iCs/>
          <w:szCs w:val="20"/>
          <w:lang w:val="pt-BR"/>
        </w:rPr>
        <w:t>em 2</w:t>
      </w:r>
      <w:r w:rsidR="00D81AA1" w:rsidRPr="00D5464D">
        <w:rPr>
          <w:rFonts w:cs="Arial"/>
          <w:iCs/>
          <w:szCs w:val="20"/>
          <w:lang w:val="pt-BR"/>
        </w:rPr>
        <w:t xml:space="preserve">8 de </w:t>
      </w:r>
      <w:r w:rsidR="00470ADC" w:rsidRPr="00D5464D">
        <w:rPr>
          <w:rFonts w:cs="Arial"/>
          <w:iCs/>
          <w:szCs w:val="20"/>
          <w:lang w:val="pt-BR"/>
        </w:rPr>
        <w:t>janeiro</w:t>
      </w:r>
      <w:r w:rsidR="00D81AA1" w:rsidRPr="00D5464D">
        <w:rPr>
          <w:rFonts w:cs="Arial"/>
          <w:iCs/>
          <w:szCs w:val="20"/>
          <w:lang w:val="pt-BR"/>
        </w:rPr>
        <w:t xml:space="preserve"> de 2016</w:t>
      </w:r>
      <w:r w:rsidRPr="00D5464D">
        <w:rPr>
          <w:rFonts w:cs="Arial"/>
          <w:iCs/>
          <w:szCs w:val="20"/>
          <w:lang w:val="pt-BR"/>
        </w:rPr>
        <w:t>,</w:t>
      </w:r>
      <w:r w:rsidR="00470ADC" w:rsidRPr="00D5464D">
        <w:rPr>
          <w:rFonts w:cs="Arial"/>
          <w:iCs/>
          <w:szCs w:val="20"/>
          <w:lang w:val="pt-BR"/>
        </w:rPr>
        <w:t xml:space="preserve"> perante a </w:t>
      </w:r>
      <w:r w:rsidR="00C91CB1" w:rsidRPr="00D5464D">
        <w:rPr>
          <w:rFonts w:cs="Arial"/>
          <w:iCs/>
          <w:szCs w:val="20"/>
          <w:lang w:val="pt-BR"/>
        </w:rPr>
        <w:t xml:space="preserve">Polícia </w:t>
      </w:r>
      <w:r w:rsidR="00D81AA1" w:rsidRPr="00D5464D">
        <w:rPr>
          <w:rFonts w:cs="Arial"/>
          <w:iCs/>
          <w:szCs w:val="20"/>
          <w:lang w:val="pt-BR"/>
        </w:rPr>
        <w:t>Federal,</w:t>
      </w:r>
      <w:r w:rsidR="002C330E" w:rsidRPr="00D5464D">
        <w:rPr>
          <w:rFonts w:cs="Arial"/>
          <w:iCs/>
          <w:szCs w:val="20"/>
          <w:lang w:val="pt-BR"/>
        </w:rPr>
        <w:t xml:space="preserve"> a senhora</w:t>
      </w:r>
      <w:r w:rsidR="00D81AA1" w:rsidRPr="00D5464D">
        <w:rPr>
          <w:rFonts w:cs="Arial"/>
          <w:iCs/>
          <w:szCs w:val="20"/>
          <w:lang w:val="pt-BR"/>
        </w:rPr>
        <w:t xml:space="preserve"> Maria do Socorro Canuto </w:t>
      </w:r>
      <w:r w:rsidR="002C330E" w:rsidRPr="00D5464D">
        <w:rPr>
          <w:rFonts w:cs="Arial"/>
          <w:iCs/>
          <w:szCs w:val="20"/>
          <w:lang w:val="pt-BR"/>
        </w:rPr>
        <w:t>manifestou</w:t>
      </w:r>
      <w:r w:rsidR="00D81AA1" w:rsidRPr="00D5464D">
        <w:rPr>
          <w:rFonts w:cs="Arial"/>
          <w:iCs/>
          <w:szCs w:val="20"/>
          <w:lang w:val="pt-BR"/>
        </w:rPr>
        <w:t xml:space="preserve"> que </w:t>
      </w:r>
      <w:r w:rsidRPr="00D5464D">
        <w:rPr>
          <w:rFonts w:cs="Arial"/>
          <w:iCs/>
          <w:szCs w:val="20"/>
          <w:lang w:val="pt-BR"/>
        </w:rPr>
        <w:t xml:space="preserve">teve </w:t>
      </w:r>
      <w:r w:rsidR="00470ADC" w:rsidRPr="00D5464D">
        <w:rPr>
          <w:rFonts w:cs="Arial"/>
          <w:iCs/>
          <w:szCs w:val="20"/>
          <w:lang w:val="pt-BR"/>
        </w:rPr>
        <w:t xml:space="preserve">conhecimento </w:t>
      </w:r>
      <w:r w:rsidR="00103B40" w:rsidRPr="00D5464D">
        <w:rPr>
          <w:rFonts w:cs="Arial"/>
          <w:iCs/>
          <w:szCs w:val="20"/>
          <w:lang w:val="pt-BR"/>
        </w:rPr>
        <w:t>d</w:t>
      </w:r>
      <w:r w:rsidR="00470ADC" w:rsidRPr="00D5464D">
        <w:rPr>
          <w:rFonts w:cs="Arial"/>
          <w:iCs/>
          <w:szCs w:val="20"/>
          <w:lang w:val="pt-BR"/>
        </w:rPr>
        <w:t xml:space="preserve">a </w:t>
      </w:r>
      <w:r w:rsidR="002C330E" w:rsidRPr="00D5464D">
        <w:rPr>
          <w:rFonts w:cs="Arial"/>
          <w:iCs/>
          <w:szCs w:val="20"/>
          <w:lang w:val="pt-BR"/>
        </w:rPr>
        <w:t>morte</w:t>
      </w:r>
      <w:r w:rsidR="00D81AA1" w:rsidRPr="00D5464D">
        <w:rPr>
          <w:rFonts w:cs="Arial"/>
          <w:iCs/>
          <w:szCs w:val="20"/>
          <w:lang w:val="pt-BR"/>
        </w:rPr>
        <w:t xml:space="preserve"> de Luis </w:t>
      </w:r>
      <w:r w:rsidR="00C033FE" w:rsidRPr="00D5464D">
        <w:rPr>
          <w:rFonts w:cs="Arial"/>
          <w:iCs/>
          <w:szCs w:val="20"/>
          <w:lang w:val="pt-BR"/>
        </w:rPr>
        <w:t>Ferreira da Cruz</w:t>
      </w:r>
      <w:r w:rsidR="00470ADC" w:rsidRPr="00D5464D">
        <w:rPr>
          <w:rFonts w:cs="Arial"/>
          <w:iCs/>
          <w:szCs w:val="20"/>
          <w:lang w:val="pt-BR"/>
        </w:rPr>
        <w:t xml:space="preserve"> através</w:t>
      </w:r>
      <w:r w:rsidR="00D81AA1" w:rsidRPr="00D5464D">
        <w:rPr>
          <w:rFonts w:cs="Arial"/>
          <w:iCs/>
          <w:szCs w:val="20"/>
          <w:lang w:val="pt-BR"/>
        </w:rPr>
        <w:t xml:space="preserve"> de </w:t>
      </w:r>
      <w:r w:rsidR="00E045D9" w:rsidRPr="00D5464D">
        <w:rPr>
          <w:rFonts w:cs="Arial"/>
          <w:iCs/>
          <w:szCs w:val="20"/>
          <w:lang w:val="pt-BR"/>
        </w:rPr>
        <w:t>sua mãe</w:t>
      </w:r>
      <w:r w:rsidR="00470ADC" w:rsidRPr="00D5464D">
        <w:rPr>
          <w:rFonts w:cs="Arial"/>
          <w:iCs/>
          <w:szCs w:val="20"/>
          <w:lang w:val="pt-BR"/>
        </w:rPr>
        <w:t xml:space="preserve"> e</w:t>
      </w:r>
      <w:r w:rsidR="00D81AA1" w:rsidRPr="00D5464D">
        <w:rPr>
          <w:rFonts w:cs="Arial"/>
          <w:iCs/>
          <w:szCs w:val="20"/>
          <w:lang w:val="pt-BR"/>
        </w:rPr>
        <w:t xml:space="preserve"> que esta </w:t>
      </w:r>
      <w:r w:rsidR="002C330E" w:rsidRPr="00D5464D">
        <w:rPr>
          <w:rFonts w:cs="Arial"/>
          <w:iCs/>
          <w:szCs w:val="20"/>
          <w:lang w:val="pt-BR"/>
        </w:rPr>
        <w:t>havia</w:t>
      </w:r>
      <w:r w:rsidR="00D81AA1" w:rsidRPr="00D5464D">
        <w:rPr>
          <w:rFonts w:cs="Arial"/>
          <w:iCs/>
          <w:szCs w:val="20"/>
          <w:lang w:val="pt-BR"/>
        </w:rPr>
        <w:t xml:space="preserve"> </w:t>
      </w:r>
      <w:r w:rsidR="00737270" w:rsidRPr="00D5464D">
        <w:rPr>
          <w:rFonts w:cs="Arial"/>
          <w:iCs/>
          <w:szCs w:val="20"/>
          <w:lang w:val="pt-BR"/>
        </w:rPr>
        <w:t>recebid</w:t>
      </w:r>
      <w:r w:rsidR="00D81AA1" w:rsidRPr="00D5464D">
        <w:rPr>
          <w:rFonts w:cs="Arial"/>
          <w:iCs/>
          <w:szCs w:val="20"/>
          <w:lang w:val="pt-BR"/>
        </w:rPr>
        <w:t>o</w:t>
      </w:r>
      <w:r w:rsidR="002C330E" w:rsidRPr="00D5464D">
        <w:rPr>
          <w:rFonts w:cs="Arial"/>
          <w:iCs/>
          <w:szCs w:val="20"/>
          <w:lang w:val="pt-BR"/>
        </w:rPr>
        <w:t xml:space="preserve"> a </w:t>
      </w:r>
      <w:r w:rsidR="00C91CB1" w:rsidRPr="00D5464D">
        <w:rPr>
          <w:rFonts w:cs="Arial"/>
          <w:iCs/>
          <w:szCs w:val="20"/>
          <w:lang w:val="pt-BR"/>
        </w:rPr>
        <w:t xml:space="preserve">notícia </w:t>
      </w:r>
      <w:r w:rsidRPr="00D5464D">
        <w:rPr>
          <w:rFonts w:cs="Arial"/>
          <w:iCs/>
          <w:szCs w:val="20"/>
          <w:lang w:val="pt-BR"/>
        </w:rPr>
        <w:t>de</w:t>
      </w:r>
      <w:r w:rsidR="00D81AA1" w:rsidRPr="00D5464D">
        <w:rPr>
          <w:rFonts w:cs="Arial"/>
          <w:iCs/>
          <w:szCs w:val="20"/>
          <w:lang w:val="pt-BR"/>
        </w:rPr>
        <w:t xml:space="preserve"> </w:t>
      </w:r>
      <w:r w:rsidR="00E045D9" w:rsidRPr="00D5464D">
        <w:rPr>
          <w:rFonts w:cs="Arial"/>
          <w:iCs/>
          <w:szCs w:val="20"/>
          <w:lang w:val="pt-BR"/>
        </w:rPr>
        <w:t xml:space="preserve">um </w:t>
      </w:r>
      <w:r w:rsidR="00D81AA1" w:rsidRPr="00D5464D">
        <w:rPr>
          <w:rFonts w:cs="Arial"/>
          <w:iCs/>
          <w:szCs w:val="20"/>
          <w:lang w:val="pt-BR"/>
        </w:rPr>
        <w:t>des</w:t>
      </w:r>
      <w:r w:rsidR="00470ADC" w:rsidRPr="00D5464D">
        <w:rPr>
          <w:rFonts w:cs="Arial"/>
          <w:iCs/>
          <w:szCs w:val="20"/>
          <w:lang w:val="pt-BR"/>
        </w:rPr>
        <w:t>conhecido</w:t>
      </w:r>
      <w:r w:rsidR="00D81AA1" w:rsidRPr="00D5464D">
        <w:rPr>
          <w:rFonts w:cs="Arial"/>
          <w:iCs/>
          <w:szCs w:val="20"/>
          <w:lang w:val="pt-BR"/>
        </w:rPr>
        <w:t xml:space="preserve">. </w:t>
      </w:r>
    </w:p>
    <w:p w14:paraId="0944555B" w14:textId="77777777" w:rsidR="00D81AA1" w:rsidRPr="00D5464D" w:rsidRDefault="00D81AA1" w:rsidP="00D81AA1">
      <w:pPr>
        <w:pStyle w:val="Prrafodelista"/>
        <w:tabs>
          <w:tab w:val="right" w:pos="0"/>
        </w:tabs>
        <w:ind w:left="0"/>
        <w:contextualSpacing w:val="0"/>
        <w:rPr>
          <w:rFonts w:cs="Arial"/>
          <w:iCs/>
          <w:szCs w:val="20"/>
          <w:lang w:val="pt-BR"/>
        </w:rPr>
      </w:pPr>
    </w:p>
    <w:p w14:paraId="1D8B2A59" w14:textId="1FF7DD92" w:rsidR="00D81AA1" w:rsidRPr="00D5464D" w:rsidRDefault="00402E9F" w:rsidP="00D81AA1">
      <w:pPr>
        <w:pStyle w:val="Prrafodelista"/>
        <w:numPr>
          <w:ilvl w:val="0"/>
          <w:numId w:val="1"/>
        </w:numPr>
        <w:tabs>
          <w:tab w:val="right" w:pos="0"/>
        </w:tabs>
        <w:contextualSpacing w:val="0"/>
        <w:rPr>
          <w:rFonts w:cs="Arial"/>
          <w:iCs/>
          <w:szCs w:val="20"/>
          <w:lang w:val="pt-BR"/>
        </w:rPr>
      </w:pPr>
      <w:r w:rsidRPr="00D5464D">
        <w:rPr>
          <w:rFonts w:cs="Arial"/>
          <w:iCs/>
          <w:szCs w:val="20"/>
          <w:lang w:val="pt-BR"/>
        </w:rPr>
        <w:t>Contudo</w:t>
      </w:r>
      <w:r w:rsidR="00D81AA1" w:rsidRPr="00D5464D">
        <w:rPr>
          <w:rFonts w:cs="Arial"/>
          <w:iCs/>
          <w:szCs w:val="20"/>
          <w:lang w:val="pt-BR"/>
        </w:rPr>
        <w:t>,</w:t>
      </w:r>
      <w:r w:rsidR="002C330E" w:rsidRPr="00D5464D">
        <w:rPr>
          <w:rFonts w:cs="Arial"/>
          <w:iCs/>
          <w:szCs w:val="20"/>
          <w:lang w:val="pt-BR"/>
        </w:rPr>
        <w:t xml:space="preserve"> a </w:t>
      </w:r>
      <w:r w:rsidR="00D81AA1" w:rsidRPr="00D5464D">
        <w:rPr>
          <w:rFonts w:cs="Arial"/>
          <w:iCs/>
          <w:szCs w:val="20"/>
          <w:lang w:val="pt-BR"/>
        </w:rPr>
        <w:t xml:space="preserve">Corte observa que, </w:t>
      </w:r>
      <w:r w:rsidRPr="00D5464D">
        <w:rPr>
          <w:rFonts w:cs="Arial"/>
          <w:iCs/>
          <w:szCs w:val="20"/>
          <w:lang w:val="pt-BR"/>
        </w:rPr>
        <w:t xml:space="preserve">em relação ao </w:t>
      </w:r>
      <w:r w:rsidR="002C330E" w:rsidRPr="00D5464D">
        <w:rPr>
          <w:rFonts w:cs="Arial"/>
          <w:iCs/>
          <w:szCs w:val="20"/>
          <w:lang w:val="pt-BR"/>
        </w:rPr>
        <w:t xml:space="preserve">suposto </w:t>
      </w:r>
      <w:r w:rsidR="00A1358C" w:rsidRPr="00D5464D">
        <w:rPr>
          <w:rFonts w:cs="Arial"/>
          <w:iCs/>
          <w:szCs w:val="20"/>
          <w:lang w:val="pt-BR"/>
        </w:rPr>
        <w:t>falecimento</w:t>
      </w:r>
      <w:r w:rsidR="00D81AA1" w:rsidRPr="00D5464D">
        <w:rPr>
          <w:rFonts w:cs="Arial"/>
          <w:iCs/>
          <w:szCs w:val="20"/>
          <w:lang w:val="pt-BR"/>
        </w:rPr>
        <w:t xml:space="preserve"> de Luis Ferreira da Cruz,</w:t>
      </w:r>
      <w:r w:rsidR="002C330E" w:rsidRPr="00D5464D">
        <w:rPr>
          <w:rFonts w:cs="Arial"/>
          <w:iCs/>
          <w:szCs w:val="20"/>
          <w:lang w:val="pt-BR"/>
        </w:rPr>
        <w:t xml:space="preserve"> a prova</w:t>
      </w:r>
      <w:r w:rsidR="00350187" w:rsidRPr="00D5464D">
        <w:rPr>
          <w:rFonts w:cs="Arial"/>
          <w:iCs/>
          <w:szCs w:val="20"/>
          <w:lang w:val="pt-BR"/>
        </w:rPr>
        <w:t xml:space="preserve"> apresent</w:t>
      </w:r>
      <w:r w:rsidR="00D81AA1" w:rsidRPr="00D5464D">
        <w:rPr>
          <w:rFonts w:cs="Arial"/>
          <w:iCs/>
          <w:szCs w:val="20"/>
          <w:lang w:val="pt-BR"/>
        </w:rPr>
        <w:t>a</w:t>
      </w:r>
      <w:r w:rsidRPr="00D5464D">
        <w:rPr>
          <w:rFonts w:cs="Arial"/>
          <w:iCs/>
          <w:szCs w:val="20"/>
          <w:lang w:val="pt-BR"/>
        </w:rPr>
        <w:t>da</w:t>
      </w:r>
      <w:r w:rsidR="002C330E" w:rsidRPr="00D5464D">
        <w:rPr>
          <w:rFonts w:cs="Arial"/>
          <w:iCs/>
          <w:szCs w:val="20"/>
          <w:lang w:val="pt-BR"/>
        </w:rPr>
        <w:t xml:space="preserve"> pela </w:t>
      </w:r>
      <w:r w:rsidR="00470ADC" w:rsidRPr="00D5464D">
        <w:rPr>
          <w:rFonts w:cs="Arial"/>
          <w:iCs/>
          <w:szCs w:val="20"/>
          <w:lang w:val="pt-BR"/>
        </w:rPr>
        <w:t>Comissão</w:t>
      </w:r>
      <w:r w:rsidR="00E045D9" w:rsidRPr="00D5464D">
        <w:rPr>
          <w:rFonts w:cs="Arial"/>
          <w:iCs/>
          <w:szCs w:val="20"/>
          <w:lang w:val="pt-BR"/>
        </w:rPr>
        <w:t xml:space="preserve"> e </w:t>
      </w:r>
      <w:r w:rsidRPr="00D5464D">
        <w:rPr>
          <w:rFonts w:cs="Arial"/>
          <w:iCs/>
          <w:szCs w:val="20"/>
          <w:lang w:val="pt-BR"/>
        </w:rPr>
        <w:t>pel</w:t>
      </w:r>
      <w:r w:rsidR="002C330E" w:rsidRPr="00D5464D">
        <w:rPr>
          <w:rFonts w:cs="Arial"/>
          <w:iCs/>
          <w:szCs w:val="20"/>
          <w:lang w:val="pt-BR"/>
        </w:rPr>
        <w:t xml:space="preserve">as </w:t>
      </w:r>
      <w:r w:rsidR="00D81AA1" w:rsidRPr="00D5464D">
        <w:rPr>
          <w:rFonts w:cs="Arial"/>
          <w:iCs/>
          <w:szCs w:val="20"/>
          <w:lang w:val="pt-BR"/>
        </w:rPr>
        <w:t>partes</w:t>
      </w:r>
      <w:r w:rsidR="00470ADC" w:rsidRPr="00D5464D">
        <w:rPr>
          <w:rFonts w:cs="Arial"/>
          <w:iCs/>
          <w:szCs w:val="20"/>
          <w:lang w:val="pt-BR"/>
        </w:rPr>
        <w:t xml:space="preserve"> é </w:t>
      </w:r>
      <w:r w:rsidR="00350187" w:rsidRPr="00D5464D">
        <w:rPr>
          <w:rFonts w:cs="Arial"/>
          <w:iCs/>
          <w:szCs w:val="20"/>
          <w:lang w:val="pt-BR"/>
        </w:rPr>
        <w:t>contraditóri</w:t>
      </w:r>
      <w:r w:rsidR="00D81AA1" w:rsidRPr="00D5464D">
        <w:rPr>
          <w:rFonts w:cs="Arial"/>
          <w:iCs/>
          <w:szCs w:val="20"/>
          <w:lang w:val="pt-BR"/>
        </w:rPr>
        <w:t>a</w:t>
      </w:r>
      <w:r w:rsidR="00E045D9" w:rsidRPr="00D5464D">
        <w:rPr>
          <w:rFonts w:cs="Arial"/>
          <w:iCs/>
          <w:szCs w:val="20"/>
          <w:lang w:val="pt-BR"/>
        </w:rPr>
        <w:t xml:space="preserve"> e </w:t>
      </w:r>
      <w:r w:rsidR="002C330E" w:rsidRPr="00D5464D">
        <w:rPr>
          <w:rFonts w:cs="Arial"/>
          <w:iCs/>
          <w:szCs w:val="20"/>
          <w:lang w:val="pt-BR"/>
        </w:rPr>
        <w:t xml:space="preserve">pouco </w:t>
      </w:r>
      <w:r w:rsidR="00D81AA1" w:rsidRPr="00D5464D">
        <w:rPr>
          <w:rFonts w:cs="Arial"/>
          <w:iCs/>
          <w:szCs w:val="20"/>
          <w:lang w:val="pt-BR"/>
        </w:rPr>
        <w:t>conclu</w:t>
      </w:r>
      <w:r w:rsidRPr="00D5464D">
        <w:rPr>
          <w:rFonts w:cs="Arial"/>
          <w:iCs/>
          <w:szCs w:val="20"/>
          <w:lang w:val="pt-BR"/>
        </w:rPr>
        <w:t>siva</w:t>
      </w:r>
      <w:r w:rsidR="00C91CB1" w:rsidRPr="00D5464D">
        <w:rPr>
          <w:rFonts w:cs="Arial"/>
          <w:iCs/>
          <w:szCs w:val="20"/>
          <w:lang w:val="pt-BR"/>
        </w:rPr>
        <w:t>. Em 2</w:t>
      </w:r>
      <w:r w:rsidR="00D81AA1" w:rsidRPr="00D5464D">
        <w:rPr>
          <w:rFonts w:cs="Arial"/>
          <w:iCs/>
          <w:szCs w:val="20"/>
          <w:lang w:val="pt-BR"/>
        </w:rPr>
        <w:t>009</w:t>
      </w:r>
      <w:r w:rsidRPr="00D5464D">
        <w:rPr>
          <w:rFonts w:cs="Arial"/>
          <w:iCs/>
          <w:szCs w:val="20"/>
          <w:lang w:val="pt-BR"/>
        </w:rPr>
        <w:t>,</w:t>
      </w:r>
      <w:r w:rsidR="002C330E" w:rsidRPr="00D5464D">
        <w:rPr>
          <w:rFonts w:cs="Arial"/>
          <w:iCs/>
          <w:szCs w:val="20"/>
          <w:lang w:val="pt-BR"/>
        </w:rPr>
        <w:t xml:space="preserve"> a</w:t>
      </w:r>
      <w:r w:rsidR="00E045D9" w:rsidRPr="00D5464D">
        <w:rPr>
          <w:rFonts w:cs="Arial"/>
          <w:iCs/>
          <w:szCs w:val="20"/>
          <w:lang w:val="pt-BR"/>
        </w:rPr>
        <w:t xml:space="preserve"> versão </w:t>
      </w:r>
      <w:r w:rsidR="00470ADC" w:rsidRPr="00D5464D">
        <w:rPr>
          <w:rFonts w:cs="Arial"/>
          <w:iCs/>
          <w:szCs w:val="20"/>
          <w:lang w:val="pt-BR"/>
        </w:rPr>
        <w:t xml:space="preserve">dos </w:t>
      </w:r>
      <w:r w:rsidR="00D81AA1" w:rsidRPr="00D5464D">
        <w:rPr>
          <w:rFonts w:cs="Arial"/>
          <w:iCs/>
          <w:szCs w:val="20"/>
          <w:lang w:val="pt-BR"/>
        </w:rPr>
        <w:t xml:space="preserve">familiares de </w:t>
      </w:r>
      <w:r w:rsidRPr="00D5464D">
        <w:rPr>
          <w:rFonts w:cs="Arial"/>
          <w:iCs/>
          <w:szCs w:val="20"/>
          <w:lang w:val="pt-BR"/>
        </w:rPr>
        <w:t xml:space="preserve">criação </w:t>
      </w:r>
      <w:r w:rsidR="00D81AA1" w:rsidRPr="00D5464D">
        <w:rPr>
          <w:rFonts w:cs="Arial"/>
          <w:iCs/>
          <w:szCs w:val="20"/>
          <w:lang w:val="pt-BR"/>
        </w:rPr>
        <w:t>de Luis</w:t>
      </w:r>
      <w:r w:rsidR="0066368D" w:rsidRPr="00D5464D">
        <w:rPr>
          <w:rFonts w:cs="Arial"/>
          <w:iCs/>
          <w:szCs w:val="20"/>
          <w:lang w:val="pt-BR"/>
        </w:rPr>
        <w:t xml:space="preserve"> Ferreira da Cruz</w:t>
      </w:r>
      <w:r w:rsidR="00D81AA1" w:rsidRPr="00D5464D">
        <w:rPr>
          <w:rFonts w:cs="Arial"/>
          <w:iCs/>
          <w:szCs w:val="20"/>
          <w:lang w:val="pt-BR"/>
        </w:rPr>
        <w:t xml:space="preserve"> </w:t>
      </w:r>
      <w:r w:rsidR="00737270" w:rsidRPr="00D5464D">
        <w:rPr>
          <w:rFonts w:cs="Arial"/>
          <w:iCs/>
          <w:szCs w:val="20"/>
          <w:lang w:val="pt-BR"/>
        </w:rPr>
        <w:t>estabelecia</w:t>
      </w:r>
      <w:r w:rsidR="00D81AA1" w:rsidRPr="00D5464D">
        <w:rPr>
          <w:rFonts w:cs="Arial"/>
          <w:iCs/>
          <w:szCs w:val="20"/>
          <w:lang w:val="pt-BR"/>
        </w:rPr>
        <w:t xml:space="preserve"> que</w:t>
      </w:r>
      <w:r w:rsidR="00B54FB3" w:rsidRPr="00D5464D">
        <w:rPr>
          <w:rFonts w:cs="Arial"/>
          <w:iCs/>
          <w:szCs w:val="20"/>
          <w:lang w:val="pt-BR"/>
        </w:rPr>
        <w:t xml:space="preserve"> este </w:t>
      </w:r>
      <w:r w:rsidR="00D81AA1" w:rsidRPr="00D5464D">
        <w:rPr>
          <w:rFonts w:cs="Arial"/>
          <w:iCs/>
          <w:szCs w:val="20"/>
          <w:lang w:val="pt-BR"/>
        </w:rPr>
        <w:t xml:space="preserve">se </w:t>
      </w:r>
      <w:r w:rsidR="00470ADC" w:rsidRPr="00D5464D">
        <w:rPr>
          <w:rFonts w:cs="Arial"/>
          <w:iCs/>
          <w:szCs w:val="20"/>
          <w:lang w:val="pt-BR"/>
        </w:rPr>
        <w:t>encontrava</w:t>
      </w:r>
      <w:r w:rsidR="00D81AA1" w:rsidRPr="00D5464D">
        <w:rPr>
          <w:rFonts w:cs="Arial"/>
          <w:iCs/>
          <w:szCs w:val="20"/>
          <w:lang w:val="pt-BR"/>
        </w:rPr>
        <w:t xml:space="preserve"> desaparecido desde </w:t>
      </w:r>
      <w:r w:rsidRPr="00D5464D">
        <w:rPr>
          <w:rFonts w:cs="Arial"/>
          <w:iCs/>
          <w:szCs w:val="20"/>
          <w:lang w:val="pt-BR"/>
        </w:rPr>
        <w:t xml:space="preserve">sua fuga </w:t>
      </w:r>
      <w:r w:rsidR="00470ADC" w:rsidRPr="00D5464D">
        <w:rPr>
          <w:rFonts w:cs="Arial"/>
          <w:iCs/>
          <w:szCs w:val="20"/>
          <w:lang w:val="pt-BR"/>
        </w:rPr>
        <w:t xml:space="preserve">da </w:t>
      </w:r>
      <w:r w:rsidR="00D809F0" w:rsidRPr="00D5464D">
        <w:rPr>
          <w:rFonts w:cs="Arial"/>
          <w:iCs/>
          <w:szCs w:val="20"/>
          <w:lang w:val="pt-BR"/>
        </w:rPr>
        <w:t>Fazenda</w:t>
      </w:r>
      <w:r w:rsidR="00D81AA1" w:rsidRPr="00D5464D">
        <w:rPr>
          <w:rFonts w:cs="Arial"/>
          <w:iCs/>
          <w:szCs w:val="20"/>
          <w:lang w:val="pt-BR"/>
        </w:rPr>
        <w:t xml:space="preserve"> Brasil Verde, </w:t>
      </w:r>
      <w:r w:rsidR="002C330E" w:rsidRPr="00D5464D">
        <w:rPr>
          <w:rFonts w:cs="Arial"/>
          <w:iCs/>
          <w:szCs w:val="20"/>
          <w:lang w:val="pt-BR"/>
        </w:rPr>
        <w:t>ocorrid</w:t>
      </w:r>
      <w:r w:rsidR="00D81AA1" w:rsidRPr="00D5464D">
        <w:rPr>
          <w:rFonts w:cs="Arial"/>
          <w:iCs/>
          <w:szCs w:val="20"/>
          <w:lang w:val="pt-BR"/>
        </w:rPr>
        <w:t>a</w:t>
      </w:r>
      <w:r w:rsidR="00470ADC" w:rsidRPr="00D5464D">
        <w:rPr>
          <w:rFonts w:cs="Arial"/>
          <w:iCs/>
          <w:szCs w:val="20"/>
          <w:lang w:val="pt-BR"/>
        </w:rPr>
        <w:t xml:space="preserve"> em </w:t>
      </w:r>
      <w:r w:rsidR="00D81AA1" w:rsidRPr="00D5464D">
        <w:rPr>
          <w:rFonts w:cs="Arial"/>
          <w:iCs/>
          <w:szCs w:val="20"/>
          <w:lang w:val="pt-BR"/>
        </w:rPr>
        <w:t>1988</w:t>
      </w:r>
      <w:r w:rsidR="00737270" w:rsidRPr="00D5464D">
        <w:rPr>
          <w:rFonts w:cs="Arial"/>
          <w:iCs/>
          <w:szCs w:val="20"/>
          <w:lang w:val="pt-BR"/>
        </w:rPr>
        <w:t>. No entanto</w:t>
      </w:r>
      <w:r w:rsidR="00D81AA1" w:rsidRPr="00D5464D">
        <w:rPr>
          <w:rFonts w:cs="Arial"/>
          <w:iCs/>
          <w:szCs w:val="20"/>
          <w:lang w:val="pt-BR"/>
        </w:rPr>
        <w:t>,</w:t>
      </w:r>
      <w:r w:rsidR="00470ADC" w:rsidRPr="00D5464D">
        <w:rPr>
          <w:rFonts w:cs="Arial"/>
          <w:iCs/>
          <w:szCs w:val="20"/>
          <w:lang w:val="pt-BR"/>
        </w:rPr>
        <w:t xml:space="preserve"> em </w:t>
      </w:r>
      <w:r w:rsidR="00D81AA1" w:rsidRPr="00D5464D">
        <w:rPr>
          <w:rFonts w:cs="Arial"/>
          <w:iCs/>
          <w:szCs w:val="20"/>
          <w:lang w:val="pt-BR"/>
        </w:rPr>
        <w:t>2015</w:t>
      </w:r>
      <w:r w:rsidRPr="00D5464D">
        <w:rPr>
          <w:rFonts w:cs="Arial"/>
          <w:iCs/>
          <w:szCs w:val="20"/>
          <w:lang w:val="pt-BR"/>
        </w:rPr>
        <w:t>,</w:t>
      </w:r>
      <w:r w:rsidR="002C330E" w:rsidRPr="00D5464D">
        <w:rPr>
          <w:rFonts w:cs="Arial"/>
          <w:iCs/>
          <w:szCs w:val="20"/>
          <w:lang w:val="pt-BR"/>
        </w:rPr>
        <w:t xml:space="preserve"> as senhora</w:t>
      </w:r>
      <w:r w:rsidR="00D81AA1" w:rsidRPr="00D5464D">
        <w:rPr>
          <w:rFonts w:cs="Arial"/>
          <w:iCs/>
          <w:szCs w:val="20"/>
          <w:lang w:val="pt-BR"/>
        </w:rPr>
        <w:t>s Maria do Socorro Canuto</w:t>
      </w:r>
      <w:r w:rsidR="00E045D9" w:rsidRPr="00D5464D">
        <w:rPr>
          <w:rFonts w:cs="Arial"/>
          <w:iCs/>
          <w:szCs w:val="20"/>
          <w:lang w:val="pt-BR"/>
        </w:rPr>
        <w:t xml:space="preserve"> e </w:t>
      </w:r>
      <w:r w:rsidR="00D81AA1" w:rsidRPr="00D5464D">
        <w:rPr>
          <w:rFonts w:cs="Arial"/>
          <w:iCs/>
          <w:szCs w:val="20"/>
          <w:lang w:val="pt-BR"/>
        </w:rPr>
        <w:t>M</w:t>
      </w:r>
      <w:r w:rsidR="00E765C2" w:rsidRPr="00D5464D">
        <w:rPr>
          <w:rFonts w:cs="Arial"/>
          <w:iCs/>
          <w:szCs w:val="20"/>
          <w:lang w:val="pt-BR"/>
        </w:rPr>
        <w:t xml:space="preserve">aria </w:t>
      </w:r>
      <w:r w:rsidR="00D81AA1" w:rsidRPr="00D5464D">
        <w:rPr>
          <w:rFonts w:cs="Arial"/>
          <w:iCs/>
          <w:szCs w:val="20"/>
          <w:lang w:val="pt-BR"/>
        </w:rPr>
        <w:t xml:space="preserve">Gorete </w:t>
      </w:r>
      <w:r w:rsidR="002C330E" w:rsidRPr="00D5464D">
        <w:rPr>
          <w:rFonts w:cs="Arial"/>
          <w:iCs/>
          <w:szCs w:val="20"/>
          <w:lang w:val="pt-BR"/>
        </w:rPr>
        <w:t>manifestaram</w:t>
      </w:r>
      <w:r w:rsidR="00D81AA1" w:rsidRPr="00D5464D">
        <w:rPr>
          <w:rFonts w:cs="Arial"/>
          <w:iCs/>
          <w:szCs w:val="20"/>
          <w:lang w:val="pt-BR"/>
        </w:rPr>
        <w:t xml:space="preserve"> que </w:t>
      </w:r>
      <w:r w:rsidR="00200C04" w:rsidRPr="00D5464D">
        <w:rPr>
          <w:rFonts w:cs="Arial"/>
          <w:iCs/>
          <w:szCs w:val="20"/>
          <w:lang w:val="pt-BR"/>
        </w:rPr>
        <w:t>Luis Ferreira da Cruz</w:t>
      </w:r>
      <w:r w:rsidR="00D81AA1" w:rsidRPr="00D5464D">
        <w:rPr>
          <w:rFonts w:cs="Arial"/>
          <w:iCs/>
          <w:szCs w:val="20"/>
          <w:lang w:val="pt-BR"/>
        </w:rPr>
        <w:t xml:space="preserve"> </w:t>
      </w:r>
      <w:r w:rsidR="002C330E" w:rsidRPr="00D5464D">
        <w:rPr>
          <w:rFonts w:cs="Arial"/>
          <w:iCs/>
          <w:szCs w:val="20"/>
          <w:lang w:val="pt-BR"/>
        </w:rPr>
        <w:t>havia</w:t>
      </w:r>
      <w:r w:rsidR="00D81AA1" w:rsidRPr="00D5464D">
        <w:rPr>
          <w:rFonts w:cs="Arial"/>
          <w:iCs/>
          <w:szCs w:val="20"/>
          <w:lang w:val="pt-BR"/>
        </w:rPr>
        <w:t xml:space="preserve"> </w:t>
      </w:r>
      <w:r w:rsidR="00470ADC" w:rsidRPr="00D5464D">
        <w:rPr>
          <w:rFonts w:cs="Arial"/>
          <w:iCs/>
          <w:szCs w:val="20"/>
          <w:lang w:val="pt-BR"/>
        </w:rPr>
        <w:t>falecid</w:t>
      </w:r>
      <w:r w:rsidR="00D81AA1" w:rsidRPr="00D5464D">
        <w:rPr>
          <w:rFonts w:cs="Arial"/>
          <w:iCs/>
          <w:szCs w:val="20"/>
          <w:lang w:val="pt-BR"/>
        </w:rPr>
        <w:t xml:space="preserve">o 10 </w:t>
      </w:r>
      <w:r w:rsidR="00470ADC" w:rsidRPr="00D5464D">
        <w:rPr>
          <w:rFonts w:cs="Arial"/>
          <w:iCs/>
          <w:szCs w:val="20"/>
          <w:lang w:val="pt-BR"/>
        </w:rPr>
        <w:t>anos</w:t>
      </w:r>
      <w:r w:rsidR="00D81AA1" w:rsidRPr="00D5464D">
        <w:rPr>
          <w:rFonts w:cs="Arial"/>
          <w:iCs/>
          <w:szCs w:val="20"/>
          <w:lang w:val="pt-BR"/>
        </w:rPr>
        <w:t xml:space="preserve"> antes</w:t>
      </w:r>
      <w:r w:rsidR="00A1358C" w:rsidRPr="00D5464D">
        <w:rPr>
          <w:rFonts w:cs="Arial"/>
          <w:iCs/>
          <w:szCs w:val="20"/>
          <w:lang w:val="pt-BR"/>
        </w:rPr>
        <w:t>, isto é,</w:t>
      </w:r>
      <w:r w:rsidR="00D81AA1" w:rsidRPr="00D5464D">
        <w:rPr>
          <w:rFonts w:cs="Arial"/>
          <w:iCs/>
          <w:szCs w:val="20"/>
          <w:lang w:val="pt-BR"/>
        </w:rPr>
        <w:t xml:space="preserve"> aproximadamente</w:t>
      </w:r>
      <w:r w:rsidR="00470ADC" w:rsidRPr="00D5464D">
        <w:rPr>
          <w:rFonts w:cs="Arial"/>
          <w:iCs/>
          <w:szCs w:val="20"/>
          <w:lang w:val="pt-BR"/>
        </w:rPr>
        <w:t xml:space="preserve"> em </w:t>
      </w:r>
      <w:r w:rsidR="00D81AA1" w:rsidRPr="00D5464D">
        <w:rPr>
          <w:rFonts w:cs="Arial"/>
          <w:iCs/>
          <w:szCs w:val="20"/>
          <w:lang w:val="pt-BR"/>
        </w:rPr>
        <w:t>2005. Adicionalmente,</w:t>
      </w:r>
      <w:r w:rsidR="00470ADC" w:rsidRPr="00D5464D">
        <w:rPr>
          <w:rFonts w:cs="Arial"/>
          <w:iCs/>
          <w:szCs w:val="20"/>
          <w:lang w:val="pt-BR"/>
        </w:rPr>
        <w:t xml:space="preserve"> em </w:t>
      </w:r>
      <w:r w:rsidR="00D81AA1" w:rsidRPr="00D5464D">
        <w:rPr>
          <w:rFonts w:cs="Arial"/>
          <w:iCs/>
          <w:szCs w:val="20"/>
          <w:lang w:val="pt-BR"/>
        </w:rPr>
        <w:t>declara</w:t>
      </w:r>
      <w:r w:rsidR="00470ADC" w:rsidRPr="00D5464D">
        <w:rPr>
          <w:rFonts w:cs="Arial"/>
          <w:iCs/>
          <w:szCs w:val="20"/>
          <w:lang w:val="pt-BR"/>
        </w:rPr>
        <w:t>ção</w:t>
      </w:r>
      <w:r w:rsidR="002C330E" w:rsidRPr="00D5464D">
        <w:rPr>
          <w:rFonts w:cs="Arial"/>
          <w:iCs/>
          <w:szCs w:val="20"/>
          <w:lang w:val="pt-BR"/>
        </w:rPr>
        <w:t xml:space="preserve"> </w:t>
      </w:r>
      <w:r w:rsidRPr="00D5464D">
        <w:rPr>
          <w:rFonts w:cs="Arial"/>
          <w:iCs/>
          <w:szCs w:val="20"/>
          <w:lang w:val="pt-BR"/>
        </w:rPr>
        <w:t xml:space="preserve">prestada </w:t>
      </w:r>
      <w:r w:rsidR="00470ADC" w:rsidRPr="00D5464D">
        <w:rPr>
          <w:rFonts w:cs="Arial"/>
          <w:iCs/>
          <w:szCs w:val="20"/>
          <w:lang w:val="pt-BR"/>
        </w:rPr>
        <w:t xml:space="preserve">em </w:t>
      </w:r>
      <w:r w:rsidR="00D81AA1" w:rsidRPr="00D5464D">
        <w:rPr>
          <w:rFonts w:cs="Arial"/>
          <w:iCs/>
          <w:szCs w:val="20"/>
          <w:lang w:val="pt-BR"/>
        </w:rPr>
        <w:t>2016,</w:t>
      </w:r>
      <w:r w:rsidR="002C330E" w:rsidRPr="00D5464D">
        <w:rPr>
          <w:rFonts w:cs="Arial"/>
          <w:iCs/>
          <w:szCs w:val="20"/>
          <w:lang w:val="pt-BR"/>
        </w:rPr>
        <w:t xml:space="preserve"> a senhora</w:t>
      </w:r>
      <w:r w:rsidR="00D81AA1" w:rsidRPr="00D5464D">
        <w:rPr>
          <w:rFonts w:cs="Arial"/>
          <w:iCs/>
          <w:szCs w:val="20"/>
          <w:lang w:val="pt-BR"/>
        </w:rPr>
        <w:t xml:space="preserve"> Maria do Socorro </w:t>
      </w:r>
      <w:r w:rsidR="005F3480" w:rsidRPr="00D5464D">
        <w:rPr>
          <w:rFonts w:cs="Arial"/>
          <w:iCs/>
          <w:szCs w:val="20"/>
          <w:lang w:val="pt-BR"/>
        </w:rPr>
        <w:t>afirmou</w:t>
      </w:r>
      <w:r w:rsidR="00D81AA1" w:rsidRPr="00D5464D">
        <w:rPr>
          <w:rFonts w:cs="Arial"/>
          <w:iCs/>
          <w:szCs w:val="20"/>
          <w:lang w:val="pt-BR"/>
        </w:rPr>
        <w:t xml:space="preserve"> que</w:t>
      </w:r>
      <w:r w:rsidR="002C330E" w:rsidRPr="00D5464D">
        <w:rPr>
          <w:rFonts w:cs="Arial"/>
          <w:iCs/>
          <w:szCs w:val="20"/>
          <w:lang w:val="pt-BR"/>
        </w:rPr>
        <w:t xml:space="preserve"> a pessoa</w:t>
      </w:r>
      <w:r w:rsidR="00470ADC" w:rsidRPr="00D5464D">
        <w:rPr>
          <w:rFonts w:cs="Arial"/>
          <w:iCs/>
          <w:szCs w:val="20"/>
          <w:lang w:val="pt-BR"/>
        </w:rPr>
        <w:t xml:space="preserve"> d</w:t>
      </w:r>
      <w:r w:rsidR="005742B6" w:rsidRPr="00D5464D">
        <w:rPr>
          <w:rFonts w:cs="Arial"/>
          <w:iCs/>
          <w:szCs w:val="20"/>
          <w:lang w:val="pt-BR"/>
        </w:rPr>
        <w:t xml:space="preserve">e quem </w:t>
      </w:r>
      <w:r w:rsidR="00D81AA1" w:rsidRPr="00D5464D">
        <w:rPr>
          <w:rFonts w:cs="Arial"/>
          <w:iCs/>
          <w:szCs w:val="20"/>
          <w:lang w:val="pt-BR"/>
        </w:rPr>
        <w:t>pro</w:t>
      </w:r>
      <w:r w:rsidR="00350187" w:rsidRPr="00D5464D">
        <w:rPr>
          <w:rFonts w:cs="Arial"/>
          <w:iCs/>
          <w:szCs w:val="20"/>
          <w:lang w:val="pt-BR"/>
        </w:rPr>
        <w:t xml:space="preserve">vinha </w:t>
      </w:r>
      <w:r w:rsidR="00470ADC" w:rsidRPr="00D5464D">
        <w:rPr>
          <w:rFonts w:cs="Arial"/>
          <w:iCs/>
          <w:szCs w:val="20"/>
          <w:lang w:val="pt-BR"/>
        </w:rPr>
        <w:t>esta</w:t>
      </w:r>
      <w:r w:rsidR="00D81AA1" w:rsidRPr="00D5464D">
        <w:rPr>
          <w:rFonts w:cs="Arial"/>
          <w:iCs/>
          <w:szCs w:val="20"/>
          <w:lang w:val="pt-BR"/>
        </w:rPr>
        <w:t xml:space="preserve"> informa</w:t>
      </w:r>
      <w:r w:rsidR="00470ADC" w:rsidRPr="00D5464D">
        <w:rPr>
          <w:rFonts w:cs="Arial"/>
          <w:iCs/>
          <w:szCs w:val="20"/>
          <w:lang w:val="pt-BR"/>
        </w:rPr>
        <w:t>ção</w:t>
      </w:r>
      <w:r w:rsidR="00D81AA1" w:rsidRPr="00D5464D">
        <w:rPr>
          <w:rFonts w:cs="Arial"/>
          <w:iCs/>
          <w:szCs w:val="20"/>
          <w:lang w:val="pt-BR"/>
        </w:rPr>
        <w:t xml:space="preserve"> era</w:t>
      </w:r>
      <w:r w:rsidR="00E045D9" w:rsidRPr="00D5464D">
        <w:rPr>
          <w:rFonts w:cs="Arial"/>
          <w:iCs/>
          <w:szCs w:val="20"/>
          <w:lang w:val="pt-BR"/>
        </w:rPr>
        <w:t xml:space="preserve"> um </w:t>
      </w:r>
      <w:r w:rsidR="00D81AA1" w:rsidRPr="00D5464D">
        <w:rPr>
          <w:rFonts w:cs="Arial"/>
          <w:iCs/>
          <w:szCs w:val="20"/>
          <w:lang w:val="pt-BR"/>
        </w:rPr>
        <w:t>des</w:t>
      </w:r>
      <w:r w:rsidR="00470ADC" w:rsidRPr="00D5464D">
        <w:rPr>
          <w:rFonts w:cs="Arial"/>
          <w:iCs/>
          <w:szCs w:val="20"/>
          <w:lang w:val="pt-BR"/>
        </w:rPr>
        <w:t>conhecido</w:t>
      </w:r>
      <w:r w:rsidR="00C91CB1" w:rsidRPr="00D5464D">
        <w:rPr>
          <w:rFonts w:cs="Arial"/>
          <w:iCs/>
          <w:szCs w:val="20"/>
          <w:lang w:val="pt-BR"/>
        </w:rPr>
        <w:t xml:space="preserve">. Em </w:t>
      </w:r>
      <w:r w:rsidR="002C330E" w:rsidRPr="00D5464D">
        <w:rPr>
          <w:rFonts w:cs="Arial"/>
          <w:iCs/>
          <w:szCs w:val="20"/>
          <w:lang w:val="pt-BR"/>
        </w:rPr>
        <w:t>nenhuma</w:t>
      </w:r>
      <w:r w:rsidR="00470ADC" w:rsidRPr="00D5464D">
        <w:rPr>
          <w:rFonts w:cs="Arial"/>
          <w:iCs/>
          <w:szCs w:val="20"/>
          <w:lang w:val="pt-BR"/>
        </w:rPr>
        <w:t xml:space="preserve"> das </w:t>
      </w:r>
      <w:r w:rsidR="00350187" w:rsidRPr="00D5464D">
        <w:rPr>
          <w:rFonts w:cs="Arial"/>
          <w:iCs/>
          <w:szCs w:val="20"/>
          <w:lang w:val="pt-BR"/>
        </w:rPr>
        <w:t>declarações prestadas</w:t>
      </w:r>
      <w:r w:rsidR="002C330E" w:rsidRPr="00D5464D">
        <w:rPr>
          <w:rFonts w:cs="Arial"/>
          <w:iCs/>
          <w:szCs w:val="20"/>
          <w:lang w:val="pt-BR"/>
        </w:rPr>
        <w:t xml:space="preserve"> pela senhora</w:t>
      </w:r>
      <w:r w:rsidR="00D81AA1" w:rsidRPr="00D5464D">
        <w:rPr>
          <w:rFonts w:cs="Arial"/>
          <w:iCs/>
          <w:szCs w:val="20"/>
          <w:lang w:val="pt-BR"/>
        </w:rPr>
        <w:t xml:space="preserve"> Maria do Socorro Canuto se indica</w:t>
      </w:r>
      <w:r w:rsidR="002C330E" w:rsidRPr="00D5464D">
        <w:rPr>
          <w:rFonts w:cs="Arial"/>
          <w:iCs/>
          <w:szCs w:val="20"/>
          <w:lang w:val="pt-BR"/>
        </w:rPr>
        <w:t xml:space="preserve"> a </w:t>
      </w:r>
      <w:r w:rsidR="00470ADC" w:rsidRPr="00D5464D">
        <w:rPr>
          <w:rFonts w:cs="Arial"/>
          <w:iCs/>
          <w:szCs w:val="20"/>
          <w:lang w:val="pt-BR"/>
        </w:rPr>
        <w:t>data</w:t>
      </w:r>
      <w:r w:rsidR="00D81AA1" w:rsidRPr="00D5464D">
        <w:rPr>
          <w:rFonts w:cs="Arial"/>
          <w:iCs/>
          <w:szCs w:val="20"/>
          <w:lang w:val="pt-BR"/>
        </w:rPr>
        <w:t xml:space="preserve"> aproximada</w:t>
      </w:r>
      <w:r w:rsidR="00E045D9" w:rsidRPr="00D5464D">
        <w:rPr>
          <w:rFonts w:cs="Arial"/>
          <w:iCs/>
          <w:szCs w:val="20"/>
          <w:lang w:val="pt-BR"/>
        </w:rPr>
        <w:t xml:space="preserve"> na </w:t>
      </w:r>
      <w:r w:rsidR="00470ADC" w:rsidRPr="00D5464D">
        <w:rPr>
          <w:rFonts w:cs="Arial"/>
          <w:iCs/>
          <w:szCs w:val="20"/>
          <w:lang w:val="pt-BR"/>
        </w:rPr>
        <w:t xml:space="preserve">qual </w:t>
      </w:r>
      <w:r w:rsidR="002C330E" w:rsidRPr="00D5464D">
        <w:rPr>
          <w:rFonts w:cs="Arial"/>
          <w:iCs/>
          <w:szCs w:val="20"/>
          <w:lang w:val="pt-BR"/>
        </w:rPr>
        <w:t xml:space="preserve">recebeu a </w:t>
      </w:r>
      <w:r w:rsidR="00C91CB1" w:rsidRPr="00D5464D">
        <w:rPr>
          <w:rFonts w:cs="Arial"/>
          <w:iCs/>
          <w:szCs w:val="20"/>
          <w:lang w:val="pt-BR"/>
        </w:rPr>
        <w:t xml:space="preserve">notícia </w:t>
      </w:r>
      <w:r w:rsidR="005742B6" w:rsidRPr="00D5464D">
        <w:rPr>
          <w:rFonts w:cs="Arial"/>
          <w:iCs/>
          <w:szCs w:val="20"/>
          <w:lang w:val="pt-BR"/>
        </w:rPr>
        <w:t xml:space="preserve">sobre </w:t>
      </w:r>
      <w:r w:rsidR="00470ADC" w:rsidRPr="00D5464D">
        <w:rPr>
          <w:rFonts w:cs="Arial"/>
          <w:iCs/>
          <w:szCs w:val="20"/>
          <w:lang w:val="pt-BR"/>
        </w:rPr>
        <w:t xml:space="preserve">o </w:t>
      </w:r>
      <w:r w:rsidR="00A1358C" w:rsidRPr="00D5464D">
        <w:rPr>
          <w:rFonts w:cs="Arial"/>
          <w:iCs/>
          <w:szCs w:val="20"/>
          <w:lang w:val="pt-BR"/>
        </w:rPr>
        <w:t>falecimento</w:t>
      </w:r>
      <w:r w:rsidR="00D81AA1" w:rsidRPr="00D5464D">
        <w:rPr>
          <w:rFonts w:cs="Arial"/>
          <w:iCs/>
          <w:szCs w:val="20"/>
          <w:lang w:val="pt-BR"/>
        </w:rPr>
        <w:t xml:space="preserve"> de </w:t>
      </w:r>
      <w:r w:rsidR="00200C04" w:rsidRPr="00D5464D">
        <w:rPr>
          <w:rFonts w:cs="Arial"/>
          <w:iCs/>
          <w:szCs w:val="20"/>
          <w:lang w:val="pt-BR"/>
        </w:rPr>
        <w:t>Luis Ferreira da Cruz</w:t>
      </w:r>
      <w:r w:rsidR="00D81AA1" w:rsidRPr="00D5464D">
        <w:rPr>
          <w:rFonts w:cs="Arial"/>
          <w:iCs/>
          <w:szCs w:val="20"/>
          <w:lang w:val="pt-BR"/>
        </w:rPr>
        <w:t xml:space="preserve">. </w:t>
      </w:r>
      <w:r w:rsidR="00350187" w:rsidRPr="00D5464D">
        <w:rPr>
          <w:rFonts w:cs="Arial"/>
          <w:iCs/>
          <w:szCs w:val="20"/>
          <w:lang w:val="pt-BR"/>
        </w:rPr>
        <w:t>Inclusive</w:t>
      </w:r>
      <w:r w:rsidR="005742B6" w:rsidRPr="00D5464D">
        <w:rPr>
          <w:rFonts w:cs="Arial"/>
          <w:iCs/>
          <w:szCs w:val="20"/>
          <w:lang w:val="pt-BR"/>
        </w:rPr>
        <w:t>,</w:t>
      </w:r>
      <w:r w:rsidR="00470ADC" w:rsidRPr="00D5464D">
        <w:rPr>
          <w:rFonts w:cs="Arial"/>
          <w:iCs/>
          <w:szCs w:val="20"/>
          <w:lang w:val="pt-BR"/>
        </w:rPr>
        <w:t xml:space="preserve"> </w:t>
      </w:r>
      <w:r w:rsidR="00D81AA1" w:rsidRPr="00D5464D">
        <w:rPr>
          <w:rFonts w:cs="Arial"/>
          <w:iCs/>
          <w:szCs w:val="20"/>
          <w:lang w:val="pt-BR"/>
        </w:rPr>
        <w:t xml:space="preserve">caso </w:t>
      </w:r>
      <w:r w:rsidR="00470ADC" w:rsidRPr="00D5464D">
        <w:rPr>
          <w:rFonts w:cs="Arial"/>
          <w:iCs/>
          <w:szCs w:val="20"/>
          <w:lang w:val="pt-BR"/>
        </w:rPr>
        <w:t>esta</w:t>
      </w:r>
      <w:r w:rsidR="00D81AA1" w:rsidRPr="00D5464D">
        <w:rPr>
          <w:rFonts w:cs="Arial"/>
          <w:iCs/>
          <w:szCs w:val="20"/>
          <w:lang w:val="pt-BR"/>
        </w:rPr>
        <w:t xml:space="preserve"> informa</w:t>
      </w:r>
      <w:r w:rsidR="00470ADC" w:rsidRPr="00D5464D">
        <w:rPr>
          <w:rFonts w:cs="Arial"/>
          <w:iCs/>
          <w:szCs w:val="20"/>
          <w:lang w:val="pt-BR"/>
        </w:rPr>
        <w:t>ção</w:t>
      </w:r>
      <w:r w:rsidR="00D81AA1" w:rsidRPr="00D5464D">
        <w:rPr>
          <w:rFonts w:cs="Arial"/>
          <w:iCs/>
          <w:szCs w:val="20"/>
          <w:lang w:val="pt-BR"/>
        </w:rPr>
        <w:t xml:space="preserve"> </w:t>
      </w:r>
      <w:r w:rsidR="00103B40" w:rsidRPr="00D5464D">
        <w:rPr>
          <w:rFonts w:cs="Arial"/>
          <w:iCs/>
          <w:szCs w:val="20"/>
          <w:lang w:val="pt-BR"/>
        </w:rPr>
        <w:t>esteja</w:t>
      </w:r>
      <w:r w:rsidR="005742B6" w:rsidRPr="00D5464D">
        <w:rPr>
          <w:rFonts w:cs="Arial"/>
          <w:iCs/>
          <w:szCs w:val="20"/>
          <w:lang w:val="pt-BR"/>
        </w:rPr>
        <w:t xml:space="preserve"> correta </w:t>
      </w:r>
      <w:r w:rsidR="00E045D9" w:rsidRPr="00D5464D">
        <w:rPr>
          <w:rFonts w:cs="Arial"/>
          <w:iCs/>
          <w:szCs w:val="20"/>
          <w:lang w:val="pt-BR"/>
        </w:rPr>
        <w:t xml:space="preserve">e </w:t>
      </w:r>
      <w:r w:rsidR="00470ADC" w:rsidRPr="00D5464D">
        <w:rPr>
          <w:rFonts w:cs="Arial"/>
          <w:iCs/>
          <w:szCs w:val="20"/>
          <w:lang w:val="pt-BR"/>
        </w:rPr>
        <w:t xml:space="preserve">o </w:t>
      </w:r>
      <w:r w:rsidR="002C330E" w:rsidRPr="00D5464D">
        <w:rPr>
          <w:rFonts w:cs="Arial"/>
          <w:iCs/>
          <w:szCs w:val="20"/>
          <w:lang w:val="pt-BR"/>
        </w:rPr>
        <w:t xml:space="preserve">senhor </w:t>
      </w:r>
      <w:r w:rsidR="00200C04" w:rsidRPr="00D5464D">
        <w:rPr>
          <w:rFonts w:cs="Arial"/>
          <w:iCs/>
          <w:szCs w:val="20"/>
          <w:lang w:val="pt-BR"/>
        </w:rPr>
        <w:t>Luis Ferreira da Cruz</w:t>
      </w:r>
      <w:r w:rsidR="00D81AA1" w:rsidRPr="00D5464D">
        <w:rPr>
          <w:rFonts w:cs="Arial"/>
          <w:iCs/>
          <w:szCs w:val="20"/>
          <w:lang w:val="pt-BR"/>
        </w:rPr>
        <w:t xml:space="preserve"> se </w:t>
      </w:r>
      <w:r w:rsidR="00470ADC" w:rsidRPr="00D5464D">
        <w:rPr>
          <w:rFonts w:cs="Arial"/>
          <w:iCs/>
          <w:szCs w:val="20"/>
          <w:lang w:val="pt-BR"/>
        </w:rPr>
        <w:t>encontre</w:t>
      </w:r>
      <w:r w:rsidR="00D81AA1" w:rsidRPr="00D5464D">
        <w:rPr>
          <w:rFonts w:cs="Arial"/>
          <w:iCs/>
          <w:szCs w:val="20"/>
          <w:lang w:val="pt-BR"/>
        </w:rPr>
        <w:t xml:space="preserve"> </w:t>
      </w:r>
      <w:r w:rsidR="005742B6" w:rsidRPr="00D5464D">
        <w:rPr>
          <w:rFonts w:cs="Arial"/>
          <w:iCs/>
          <w:szCs w:val="20"/>
          <w:lang w:val="pt-BR"/>
        </w:rPr>
        <w:t>morto</w:t>
      </w:r>
      <w:r w:rsidR="00EB1CE9" w:rsidRPr="00D5464D">
        <w:rPr>
          <w:rFonts w:cs="Arial"/>
          <w:iCs/>
          <w:szCs w:val="20"/>
          <w:lang w:val="pt-BR"/>
        </w:rPr>
        <w:t xml:space="preserve">, por </w:t>
      </w:r>
      <w:r w:rsidR="002C330E" w:rsidRPr="00D5464D">
        <w:rPr>
          <w:rFonts w:cs="Arial"/>
          <w:iCs/>
          <w:szCs w:val="20"/>
          <w:lang w:val="pt-BR"/>
        </w:rPr>
        <w:t>ter</w:t>
      </w:r>
      <w:r w:rsidR="00D81AA1" w:rsidRPr="00D5464D">
        <w:rPr>
          <w:rFonts w:cs="Arial"/>
          <w:iCs/>
          <w:szCs w:val="20"/>
          <w:lang w:val="pt-BR"/>
        </w:rPr>
        <w:t xml:space="preserve"> </w:t>
      </w:r>
      <w:r w:rsidR="00470ADC" w:rsidRPr="00D5464D">
        <w:rPr>
          <w:rFonts w:cs="Arial"/>
          <w:iCs/>
          <w:szCs w:val="20"/>
          <w:lang w:val="pt-BR"/>
        </w:rPr>
        <w:t>falecid</w:t>
      </w:r>
      <w:r w:rsidR="00D81AA1" w:rsidRPr="00D5464D">
        <w:rPr>
          <w:rFonts w:cs="Arial"/>
          <w:iCs/>
          <w:szCs w:val="20"/>
          <w:lang w:val="pt-BR"/>
        </w:rPr>
        <w:t>o</w:t>
      </w:r>
      <w:r w:rsidR="002C330E" w:rsidRPr="00D5464D">
        <w:rPr>
          <w:rFonts w:cs="Arial"/>
          <w:iCs/>
          <w:szCs w:val="20"/>
          <w:lang w:val="pt-BR"/>
        </w:rPr>
        <w:t xml:space="preserve"> sem </w:t>
      </w:r>
      <w:r w:rsidR="00D81AA1" w:rsidRPr="00D5464D">
        <w:rPr>
          <w:rFonts w:cs="Arial"/>
          <w:iCs/>
          <w:szCs w:val="20"/>
          <w:lang w:val="pt-BR"/>
        </w:rPr>
        <w:t>documentos de identifica</w:t>
      </w:r>
      <w:r w:rsidR="00470ADC" w:rsidRPr="00D5464D">
        <w:rPr>
          <w:rFonts w:cs="Arial"/>
          <w:iCs/>
          <w:szCs w:val="20"/>
          <w:lang w:val="pt-BR"/>
        </w:rPr>
        <w:t>ção</w:t>
      </w:r>
      <w:r w:rsidR="00103B40" w:rsidRPr="00D5464D">
        <w:rPr>
          <w:rFonts w:cs="Arial"/>
          <w:iCs/>
          <w:szCs w:val="20"/>
          <w:lang w:val="pt-BR"/>
        </w:rPr>
        <w:t>,</w:t>
      </w:r>
      <w:r w:rsidR="00470ADC" w:rsidRPr="00D5464D">
        <w:rPr>
          <w:rFonts w:cs="Arial"/>
          <w:iCs/>
          <w:szCs w:val="20"/>
          <w:lang w:val="pt-BR"/>
        </w:rPr>
        <w:t xml:space="preserve"> é </w:t>
      </w:r>
      <w:r w:rsidR="00737270" w:rsidRPr="00D5464D">
        <w:rPr>
          <w:rFonts w:cs="Arial"/>
          <w:iCs/>
          <w:szCs w:val="20"/>
          <w:lang w:val="pt-BR"/>
        </w:rPr>
        <w:t xml:space="preserve">provável </w:t>
      </w:r>
      <w:r w:rsidR="00D81AA1" w:rsidRPr="00D5464D">
        <w:rPr>
          <w:rFonts w:cs="Arial"/>
          <w:iCs/>
          <w:szCs w:val="20"/>
          <w:lang w:val="pt-BR"/>
        </w:rPr>
        <w:t>que</w:t>
      </w:r>
      <w:r w:rsidR="00E045D9" w:rsidRPr="00D5464D">
        <w:rPr>
          <w:rFonts w:cs="Arial"/>
          <w:iCs/>
          <w:szCs w:val="20"/>
          <w:lang w:val="pt-BR"/>
        </w:rPr>
        <w:t xml:space="preserve"> tenha </w:t>
      </w:r>
      <w:r w:rsidR="00D81AA1" w:rsidRPr="00D5464D">
        <w:rPr>
          <w:rFonts w:cs="Arial"/>
          <w:iCs/>
          <w:szCs w:val="20"/>
          <w:lang w:val="pt-BR"/>
        </w:rPr>
        <w:t>sido enterrado como indigente</w:t>
      </w:r>
      <w:r w:rsidR="00470ADC" w:rsidRPr="00D5464D">
        <w:rPr>
          <w:rFonts w:cs="Arial"/>
          <w:iCs/>
          <w:szCs w:val="20"/>
          <w:lang w:val="pt-BR"/>
        </w:rPr>
        <w:t xml:space="preserve"> e é</w:t>
      </w:r>
      <w:r w:rsidR="00E045D9" w:rsidRPr="00D5464D">
        <w:rPr>
          <w:rFonts w:cs="Arial"/>
          <w:iCs/>
          <w:szCs w:val="20"/>
          <w:lang w:val="pt-BR"/>
        </w:rPr>
        <w:t xml:space="preserve"> um </w:t>
      </w:r>
      <w:r w:rsidR="002C330E" w:rsidRPr="00D5464D">
        <w:rPr>
          <w:rFonts w:cs="Arial"/>
          <w:iCs/>
          <w:szCs w:val="20"/>
          <w:lang w:val="pt-BR"/>
        </w:rPr>
        <w:t>fato</w:t>
      </w:r>
      <w:r w:rsidR="00C91CB1" w:rsidRPr="00D5464D">
        <w:rPr>
          <w:rFonts w:cs="Arial"/>
          <w:iCs/>
          <w:szCs w:val="20"/>
          <w:lang w:val="pt-BR"/>
        </w:rPr>
        <w:t xml:space="preserve"> não controvertido</w:t>
      </w:r>
      <w:r w:rsidR="00D81AA1" w:rsidRPr="00D5464D">
        <w:rPr>
          <w:rFonts w:cs="Arial"/>
          <w:iCs/>
          <w:szCs w:val="20"/>
          <w:lang w:val="pt-BR"/>
        </w:rPr>
        <w:t xml:space="preserve"> que </w:t>
      </w:r>
      <w:r w:rsidR="00737270" w:rsidRPr="00D5464D">
        <w:rPr>
          <w:rFonts w:cs="Arial"/>
          <w:iCs/>
          <w:szCs w:val="20"/>
          <w:lang w:val="pt-BR"/>
        </w:rPr>
        <w:t>seu nome</w:t>
      </w:r>
      <w:r w:rsidR="00D81AA1" w:rsidRPr="00D5464D">
        <w:rPr>
          <w:rFonts w:cs="Arial"/>
          <w:iCs/>
          <w:szCs w:val="20"/>
          <w:lang w:val="pt-BR"/>
        </w:rPr>
        <w:t xml:space="preserve"> n</w:t>
      </w:r>
      <w:r w:rsidR="005742B6" w:rsidRPr="00D5464D">
        <w:rPr>
          <w:rFonts w:cs="Arial"/>
          <w:iCs/>
          <w:szCs w:val="20"/>
          <w:lang w:val="pt-BR"/>
        </w:rPr>
        <w:t>ã</w:t>
      </w:r>
      <w:r w:rsidR="00D81AA1" w:rsidRPr="00D5464D">
        <w:rPr>
          <w:rFonts w:cs="Arial"/>
          <w:iCs/>
          <w:szCs w:val="20"/>
          <w:lang w:val="pt-BR"/>
        </w:rPr>
        <w:t xml:space="preserve">o se </w:t>
      </w:r>
      <w:r w:rsidR="00470ADC" w:rsidRPr="00D5464D">
        <w:rPr>
          <w:rFonts w:cs="Arial"/>
          <w:iCs/>
          <w:szCs w:val="20"/>
          <w:lang w:val="pt-BR"/>
        </w:rPr>
        <w:t>encontra</w:t>
      </w:r>
      <w:r w:rsidR="00E045D9" w:rsidRPr="00D5464D">
        <w:rPr>
          <w:rFonts w:cs="Arial"/>
          <w:iCs/>
          <w:szCs w:val="20"/>
          <w:lang w:val="pt-BR"/>
        </w:rPr>
        <w:t xml:space="preserve"> no </w:t>
      </w:r>
      <w:r w:rsidR="00D81AA1" w:rsidRPr="00D5464D">
        <w:rPr>
          <w:rFonts w:cs="Arial"/>
          <w:iCs/>
          <w:szCs w:val="20"/>
          <w:lang w:val="pt-BR"/>
        </w:rPr>
        <w:t xml:space="preserve">registro </w:t>
      </w:r>
      <w:r w:rsidR="00470ADC" w:rsidRPr="00D5464D">
        <w:rPr>
          <w:rFonts w:cs="Arial"/>
          <w:iCs/>
          <w:szCs w:val="20"/>
          <w:lang w:val="pt-BR"/>
        </w:rPr>
        <w:t>correspondente</w:t>
      </w:r>
      <w:r w:rsidR="00D81AA1" w:rsidRPr="00D5464D">
        <w:rPr>
          <w:rFonts w:cs="Arial"/>
          <w:iCs/>
          <w:szCs w:val="20"/>
          <w:lang w:val="pt-BR"/>
        </w:rPr>
        <w:t xml:space="preserve"> de </w:t>
      </w:r>
      <w:r w:rsidR="002C330E" w:rsidRPr="00D5464D">
        <w:rPr>
          <w:rFonts w:cs="Arial"/>
          <w:iCs/>
          <w:szCs w:val="20"/>
          <w:lang w:val="pt-BR"/>
        </w:rPr>
        <w:t>pessoa</w:t>
      </w:r>
      <w:r w:rsidR="00D81AA1" w:rsidRPr="00D5464D">
        <w:rPr>
          <w:rFonts w:cs="Arial"/>
          <w:iCs/>
          <w:szCs w:val="20"/>
          <w:lang w:val="pt-BR"/>
        </w:rPr>
        <w:t xml:space="preserve">s </w:t>
      </w:r>
      <w:r w:rsidR="00470ADC" w:rsidRPr="00D5464D">
        <w:rPr>
          <w:rFonts w:cs="Arial"/>
          <w:iCs/>
          <w:szCs w:val="20"/>
          <w:lang w:val="pt-BR"/>
        </w:rPr>
        <w:t>falecid</w:t>
      </w:r>
      <w:r w:rsidR="00D81AA1" w:rsidRPr="00D5464D">
        <w:rPr>
          <w:rFonts w:cs="Arial"/>
          <w:iCs/>
          <w:szCs w:val="20"/>
          <w:lang w:val="pt-BR"/>
        </w:rPr>
        <w:t>as.</w:t>
      </w:r>
    </w:p>
    <w:p w14:paraId="7EE46B33" w14:textId="77777777" w:rsidR="00D81AA1" w:rsidRPr="00D5464D" w:rsidRDefault="00D81AA1" w:rsidP="00D81AA1">
      <w:pPr>
        <w:pStyle w:val="Prrafodelista"/>
        <w:tabs>
          <w:tab w:val="right" w:pos="0"/>
        </w:tabs>
        <w:ind w:left="0"/>
        <w:contextualSpacing w:val="0"/>
        <w:rPr>
          <w:rFonts w:cs="Arial"/>
          <w:iCs/>
          <w:szCs w:val="20"/>
          <w:lang w:val="pt-BR"/>
        </w:rPr>
      </w:pPr>
    </w:p>
    <w:p w14:paraId="1BF17FB0" w14:textId="1311E6C4" w:rsidR="00D1019C" w:rsidRPr="00D5464D" w:rsidRDefault="00D81AA1" w:rsidP="00D1019C">
      <w:pPr>
        <w:pStyle w:val="Prrafodelista"/>
        <w:numPr>
          <w:ilvl w:val="0"/>
          <w:numId w:val="1"/>
        </w:numPr>
        <w:tabs>
          <w:tab w:val="right" w:pos="0"/>
        </w:tabs>
        <w:contextualSpacing w:val="0"/>
        <w:rPr>
          <w:rFonts w:cs="Arial"/>
          <w:iCs/>
          <w:szCs w:val="20"/>
          <w:lang w:val="pt-BR"/>
        </w:rPr>
      </w:pPr>
      <w:r w:rsidRPr="00D5464D">
        <w:rPr>
          <w:rFonts w:cs="Arial"/>
          <w:iCs/>
          <w:szCs w:val="20"/>
          <w:lang w:val="pt-BR"/>
        </w:rPr>
        <w:t xml:space="preserve">Por </w:t>
      </w:r>
      <w:r w:rsidR="00C91CB1" w:rsidRPr="00D5464D">
        <w:rPr>
          <w:rFonts w:cs="Arial"/>
          <w:iCs/>
          <w:szCs w:val="20"/>
          <w:lang w:val="pt-BR"/>
        </w:rPr>
        <w:t>todo o anterior</w:t>
      </w:r>
      <w:r w:rsidRPr="00D5464D">
        <w:rPr>
          <w:rFonts w:cs="Arial"/>
          <w:iCs/>
          <w:szCs w:val="20"/>
          <w:lang w:val="pt-BR"/>
        </w:rPr>
        <w:t>,</w:t>
      </w:r>
      <w:r w:rsidR="00470ADC" w:rsidRPr="00D5464D">
        <w:rPr>
          <w:rFonts w:cs="Arial"/>
          <w:iCs/>
          <w:szCs w:val="20"/>
          <w:lang w:val="pt-BR"/>
        </w:rPr>
        <w:t xml:space="preserve"> </w:t>
      </w:r>
      <w:r w:rsidR="005742B6" w:rsidRPr="00D5464D">
        <w:rPr>
          <w:rFonts w:cs="Arial"/>
          <w:iCs/>
          <w:szCs w:val="20"/>
          <w:lang w:val="pt-BR"/>
        </w:rPr>
        <w:t xml:space="preserve">no que tange </w:t>
      </w:r>
      <w:r w:rsidR="00E045D9" w:rsidRPr="00D5464D">
        <w:rPr>
          <w:rFonts w:cs="Arial"/>
          <w:iCs/>
          <w:szCs w:val="20"/>
          <w:lang w:val="pt-BR"/>
        </w:rPr>
        <w:t xml:space="preserve">aos </w:t>
      </w:r>
      <w:r w:rsidR="002C330E" w:rsidRPr="00D5464D">
        <w:rPr>
          <w:rFonts w:cs="Arial"/>
          <w:iCs/>
          <w:szCs w:val="20"/>
          <w:lang w:val="pt-BR"/>
        </w:rPr>
        <w:t>fatos</w:t>
      </w:r>
      <w:r w:rsidR="000C2402" w:rsidRPr="00D5464D">
        <w:rPr>
          <w:rFonts w:cs="Arial"/>
          <w:iCs/>
          <w:szCs w:val="20"/>
          <w:lang w:val="pt-BR"/>
        </w:rPr>
        <w:t xml:space="preserve"> </w:t>
      </w:r>
      <w:r w:rsidR="005742B6" w:rsidRPr="00D5464D">
        <w:rPr>
          <w:rFonts w:cs="Arial"/>
          <w:iCs/>
          <w:szCs w:val="20"/>
          <w:lang w:val="pt-BR"/>
        </w:rPr>
        <w:t xml:space="preserve">em relação aos </w:t>
      </w:r>
      <w:r w:rsidR="00470ADC" w:rsidRPr="00D5464D">
        <w:rPr>
          <w:rFonts w:cs="Arial"/>
          <w:iCs/>
          <w:szCs w:val="20"/>
          <w:lang w:val="pt-BR"/>
        </w:rPr>
        <w:t>quais</w:t>
      </w:r>
      <w:r w:rsidRPr="00D5464D">
        <w:rPr>
          <w:rFonts w:cs="Arial"/>
          <w:iCs/>
          <w:szCs w:val="20"/>
          <w:lang w:val="pt-BR"/>
        </w:rPr>
        <w:t xml:space="preserve"> </w:t>
      </w:r>
      <w:r w:rsidR="005742B6" w:rsidRPr="00D5464D">
        <w:rPr>
          <w:rFonts w:cs="Arial"/>
          <w:iCs/>
          <w:szCs w:val="20"/>
          <w:lang w:val="pt-BR"/>
        </w:rPr>
        <w:t xml:space="preserve">possui </w:t>
      </w:r>
      <w:r w:rsidR="00470ADC" w:rsidRPr="00D5464D">
        <w:rPr>
          <w:rFonts w:cs="Arial"/>
          <w:iCs/>
          <w:szCs w:val="20"/>
          <w:lang w:val="pt-BR"/>
        </w:rPr>
        <w:t>competência</w:t>
      </w:r>
      <w:r w:rsidRPr="00D5464D">
        <w:rPr>
          <w:rFonts w:cs="Arial"/>
          <w:iCs/>
          <w:szCs w:val="20"/>
          <w:lang w:val="pt-BR"/>
        </w:rPr>
        <w:t>,</w:t>
      </w:r>
      <w:r w:rsidR="002C330E" w:rsidRPr="00D5464D">
        <w:rPr>
          <w:rFonts w:cs="Arial"/>
          <w:iCs/>
          <w:szCs w:val="20"/>
          <w:lang w:val="pt-BR"/>
        </w:rPr>
        <w:t xml:space="preserve"> a </w:t>
      </w:r>
      <w:r w:rsidRPr="00D5464D">
        <w:rPr>
          <w:rFonts w:cs="Arial"/>
          <w:iCs/>
          <w:szCs w:val="20"/>
          <w:lang w:val="pt-BR"/>
        </w:rPr>
        <w:t>Corte nota que</w:t>
      </w:r>
      <w:r w:rsidR="00470ADC" w:rsidRPr="00D5464D">
        <w:rPr>
          <w:rFonts w:cs="Arial"/>
          <w:iCs/>
          <w:szCs w:val="20"/>
          <w:lang w:val="pt-BR"/>
        </w:rPr>
        <w:t xml:space="preserve"> o </w:t>
      </w:r>
      <w:r w:rsidRPr="00D5464D">
        <w:rPr>
          <w:rFonts w:cs="Arial"/>
          <w:iCs/>
          <w:szCs w:val="20"/>
          <w:lang w:val="pt-BR"/>
        </w:rPr>
        <w:t>Estado re</w:t>
      </w:r>
      <w:r w:rsidR="00470ADC" w:rsidRPr="00D5464D">
        <w:rPr>
          <w:rFonts w:cs="Arial"/>
          <w:iCs/>
          <w:szCs w:val="20"/>
          <w:lang w:val="pt-BR"/>
        </w:rPr>
        <w:t>abriu</w:t>
      </w:r>
      <w:r w:rsidR="002C330E" w:rsidRPr="00D5464D">
        <w:rPr>
          <w:rFonts w:cs="Arial"/>
          <w:iCs/>
          <w:szCs w:val="20"/>
          <w:lang w:val="pt-BR"/>
        </w:rPr>
        <w:t xml:space="preserve"> a </w:t>
      </w:r>
      <w:r w:rsidRPr="00D5464D">
        <w:rPr>
          <w:rFonts w:cs="Arial"/>
          <w:iCs/>
          <w:szCs w:val="20"/>
          <w:lang w:val="pt-BR"/>
        </w:rPr>
        <w:t>investiga</w:t>
      </w:r>
      <w:r w:rsidR="00470ADC" w:rsidRPr="00D5464D">
        <w:rPr>
          <w:rFonts w:cs="Arial"/>
          <w:iCs/>
          <w:szCs w:val="20"/>
          <w:lang w:val="pt-BR"/>
        </w:rPr>
        <w:t>ção</w:t>
      </w:r>
      <w:r w:rsidRPr="00D5464D">
        <w:rPr>
          <w:rFonts w:cs="Arial"/>
          <w:iCs/>
          <w:szCs w:val="20"/>
          <w:lang w:val="pt-BR"/>
        </w:rPr>
        <w:t xml:space="preserve"> sobre</w:t>
      </w:r>
      <w:r w:rsidR="002C330E" w:rsidRPr="00D5464D">
        <w:rPr>
          <w:rFonts w:cs="Arial"/>
          <w:iCs/>
          <w:szCs w:val="20"/>
          <w:lang w:val="pt-BR"/>
        </w:rPr>
        <w:t xml:space="preserve"> </w:t>
      </w:r>
      <w:r w:rsidR="005742B6" w:rsidRPr="00D5464D">
        <w:rPr>
          <w:rFonts w:cs="Arial"/>
          <w:iCs/>
          <w:szCs w:val="20"/>
          <w:lang w:val="pt-BR"/>
        </w:rPr>
        <w:t>o</w:t>
      </w:r>
      <w:r w:rsidR="002C330E" w:rsidRPr="00D5464D">
        <w:rPr>
          <w:rFonts w:cs="Arial"/>
          <w:iCs/>
          <w:szCs w:val="20"/>
          <w:lang w:val="pt-BR"/>
        </w:rPr>
        <w:t xml:space="preserve"> </w:t>
      </w:r>
      <w:r w:rsidRPr="00D5464D">
        <w:rPr>
          <w:rFonts w:cs="Arial"/>
          <w:iCs/>
          <w:szCs w:val="20"/>
          <w:lang w:val="pt-BR"/>
        </w:rPr>
        <w:t>alegad</w:t>
      </w:r>
      <w:r w:rsidR="00E045D9" w:rsidRPr="00D5464D">
        <w:rPr>
          <w:rFonts w:cs="Arial"/>
          <w:iCs/>
          <w:szCs w:val="20"/>
          <w:lang w:val="pt-BR"/>
        </w:rPr>
        <w:t>o desaparecimento</w:t>
      </w:r>
      <w:r w:rsidRPr="00D5464D">
        <w:rPr>
          <w:rFonts w:cs="Arial"/>
          <w:iCs/>
          <w:szCs w:val="20"/>
          <w:lang w:val="pt-BR"/>
        </w:rPr>
        <w:t xml:space="preserve"> </w:t>
      </w:r>
      <w:r w:rsidR="00470ADC" w:rsidRPr="00D5464D">
        <w:rPr>
          <w:rFonts w:cs="Arial"/>
          <w:iCs/>
          <w:szCs w:val="20"/>
          <w:lang w:val="pt-BR"/>
        </w:rPr>
        <w:t xml:space="preserve">do </w:t>
      </w:r>
      <w:r w:rsidR="002C330E" w:rsidRPr="00D5464D">
        <w:rPr>
          <w:rFonts w:cs="Arial"/>
          <w:iCs/>
          <w:szCs w:val="20"/>
          <w:lang w:val="pt-BR"/>
        </w:rPr>
        <w:t xml:space="preserve">senhor </w:t>
      </w:r>
      <w:r w:rsidR="00C53635" w:rsidRPr="00D5464D">
        <w:rPr>
          <w:rFonts w:cs="Arial"/>
          <w:iCs/>
          <w:szCs w:val="20"/>
          <w:lang w:val="pt-BR"/>
        </w:rPr>
        <w:t xml:space="preserve">Luis </w:t>
      </w:r>
      <w:r w:rsidRPr="00D5464D">
        <w:rPr>
          <w:rFonts w:cs="Arial"/>
          <w:iCs/>
          <w:szCs w:val="20"/>
          <w:lang w:val="pt-BR"/>
        </w:rPr>
        <w:t>Ferreira</w:t>
      </w:r>
      <w:r w:rsidR="00C53635" w:rsidRPr="00D5464D">
        <w:rPr>
          <w:rFonts w:cs="Arial"/>
          <w:iCs/>
          <w:szCs w:val="20"/>
          <w:lang w:val="pt-BR"/>
        </w:rPr>
        <w:t xml:space="preserve"> da Cruz</w:t>
      </w:r>
      <w:r w:rsidR="005742B6" w:rsidRPr="00D5464D">
        <w:rPr>
          <w:rFonts w:cs="Arial"/>
          <w:iCs/>
          <w:szCs w:val="20"/>
          <w:lang w:val="pt-BR"/>
        </w:rPr>
        <w:t>,</w:t>
      </w:r>
      <w:r w:rsidR="00470ADC" w:rsidRPr="00D5464D">
        <w:rPr>
          <w:rFonts w:cs="Arial"/>
          <w:iCs/>
          <w:szCs w:val="20"/>
          <w:lang w:val="pt-BR"/>
        </w:rPr>
        <w:t xml:space="preserve"> em </w:t>
      </w:r>
      <w:r w:rsidRPr="00D5464D">
        <w:rPr>
          <w:rFonts w:cs="Arial"/>
          <w:iCs/>
          <w:szCs w:val="20"/>
          <w:lang w:val="pt-BR"/>
        </w:rPr>
        <w:t>2007,</w:t>
      </w:r>
      <w:r w:rsidR="002C330E" w:rsidRPr="00D5464D">
        <w:rPr>
          <w:rFonts w:cs="Arial"/>
          <w:iCs/>
          <w:szCs w:val="20"/>
          <w:lang w:val="pt-BR"/>
        </w:rPr>
        <w:t xml:space="preserve"> </w:t>
      </w:r>
      <w:r w:rsidR="00350187" w:rsidRPr="00D5464D">
        <w:rPr>
          <w:rFonts w:cs="Arial"/>
          <w:iCs/>
          <w:szCs w:val="20"/>
          <w:lang w:val="pt-BR"/>
        </w:rPr>
        <w:t>entretanto</w:t>
      </w:r>
      <w:r w:rsidRPr="00D5464D">
        <w:rPr>
          <w:rFonts w:cs="Arial"/>
          <w:iCs/>
          <w:szCs w:val="20"/>
          <w:lang w:val="pt-BR"/>
        </w:rPr>
        <w:t xml:space="preserve"> n</w:t>
      </w:r>
      <w:r w:rsidR="005742B6" w:rsidRPr="00D5464D">
        <w:rPr>
          <w:rFonts w:cs="Arial"/>
          <w:iCs/>
          <w:szCs w:val="20"/>
          <w:lang w:val="pt-BR"/>
        </w:rPr>
        <w:t>ã</w:t>
      </w:r>
      <w:r w:rsidRPr="00D5464D">
        <w:rPr>
          <w:rFonts w:cs="Arial"/>
          <w:iCs/>
          <w:szCs w:val="20"/>
          <w:lang w:val="pt-BR"/>
        </w:rPr>
        <w:t xml:space="preserve">o </w:t>
      </w:r>
      <w:r w:rsidR="00E045D9" w:rsidRPr="00D5464D">
        <w:rPr>
          <w:rFonts w:cs="Arial"/>
          <w:iCs/>
          <w:szCs w:val="20"/>
          <w:lang w:val="pt-BR"/>
        </w:rPr>
        <w:t>conseguiu</w:t>
      </w:r>
      <w:r w:rsidRPr="00D5464D">
        <w:rPr>
          <w:rFonts w:cs="Arial"/>
          <w:iCs/>
          <w:szCs w:val="20"/>
          <w:lang w:val="pt-BR"/>
        </w:rPr>
        <w:t xml:space="preserve"> </w:t>
      </w:r>
      <w:r w:rsidR="00470ADC" w:rsidRPr="00D5464D">
        <w:rPr>
          <w:rFonts w:cs="Arial"/>
          <w:iCs/>
          <w:szCs w:val="20"/>
          <w:lang w:val="pt-BR"/>
        </w:rPr>
        <w:t>estabelece</w:t>
      </w:r>
      <w:r w:rsidRPr="00D5464D">
        <w:rPr>
          <w:rFonts w:cs="Arial"/>
          <w:iCs/>
          <w:szCs w:val="20"/>
          <w:lang w:val="pt-BR"/>
        </w:rPr>
        <w:t xml:space="preserve">r </w:t>
      </w:r>
      <w:r w:rsidR="005742B6" w:rsidRPr="00D5464D">
        <w:rPr>
          <w:rFonts w:cs="Arial"/>
          <w:iCs/>
          <w:szCs w:val="20"/>
          <w:lang w:val="pt-BR"/>
        </w:rPr>
        <w:t xml:space="preserve">o </w:t>
      </w:r>
      <w:r w:rsidR="00A1358C" w:rsidRPr="00D5464D">
        <w:rPr>
          <w:rFonts w:cs="Arial"/>
          <w:iCs/>
          <w:szCs w:val="20"/>
          <w:lang w:val="pt-BR"/>
        </w:rPr>
        <w:t>seu paradeiro</w:t>
      </w:r>
      <w:r w:rsidRPr="00D5464D">
        <w:rPr>
          <w:rFonts w:cs="Arial"/>
          <w:iCs/>
          <w:szCs w:val="20"/>
          <w:lang w:val="pt-BR"/>
        </w:rPr>
        <w:t>. Posteriormente,</w:t>
      </w:r>
      <w:r w:rsidR="00E045D9" w:rsidRPr="00D5464D">
        <w:rPr>
          <w:rFonts w:cs="Arial"/>
          <w:iCs/>
          <w:szCs w:val="20"/>
          <w:lang w:val="pt-BR"/>
        </w:rPr>
        <w:t xml:space="preserve"> no </w:t>
      </w:r>
      <w:r w:rsidR="00470ADC" w:rsidRPr="00D5464D">
        <w:rPr>
          <w:rFonts w:cs="Arial"/>
          <w:iCs/>
          <w:szCs w:val="20"/>
          <w:lang w:val="pt-BR"/>
        </w:rPr>
        <w:t xml:space="preserve">ano </w:t>
      </w:r>
      <w:r w:rsidRPr="00D5464D">
        <w:rPr>
          <w:rFonts w:cs="Arial"/>
          <w:iCs/>
          <w:szCs w:val="20"/>
          <w:lang w:val="pt-BR"/>
        </w:rPr>
        <w:t>2015</w:t>
      </w:r>
      <w:r w:rsidR="005742B6" w:rsidRPr="00D5464D">
        <w:rPr>
          <w:rFonts w:cs="Arial"/>
          <w:iCs/>
          <w:szCs w:val="20"/>
          <w:lang w:val="pt-BR"/>
        </w:rPr>
        <w:t>,</w:t>
      </w:r>
      <w:r w:rsidR="00470ADC" w:rsidRPr="00D5464D">
        <w:rPr>
          <w:rFonts w:cs="Arial"/>
          <w:iCs/>
          <w:szCs w:val="20"/>
          <w:lang w:val="pt-BR"/>
        </w:rPr>
        <w:t xml:space="preserve"> o </w:t>
      </w:r>
      <w:r w:rsidR="005742B6" w:rsidRPr="00D5464D">
        <w:rPr>
          <w:rFonts w:cs="Arial"/>
          <w:iCs/>
          <w:szCs w:val="20"/>
          <w:lang w:val="pt-BR"/>
        </w:rPr>
        <w:t>Estado averiguou</w:t>
      </w:r>
      <w:r w:rsidR="00470ADC" w:rsidRPr="00D5464D">
        <w:rPr>
          <w:rFonts w:cs="Arial"/>
          <w:iCs/>
          <w:szCs w:val="20"/>
          <w:lang w:val="pt-BR"/>
        </w:rPr>
        <w:t xml:space="preserve"> através</w:t>
      </w:r>
      <w:r w:rsidRPr="00D5464D">
        <w:rPr>
          <w:rFonts w:cs="Arial"/>
          <w:iCs/>
          <w:szCs w:val="20"/>
          <w:lang w:val="pt-BR"/>
        </w:rPr>
        <w:t xml:space="preserve"> de declara</w:t>
      </w:r>
      <w:r w:rsidR="00470ADC" w:rsidRPr="00D5464D">
        <w:rPr>
          <w:rFonts w:cs="Arial"/>
          <w:iCs/>
          <w:szCs w:val="20"/>
          <w:lang w:val="pt-BR"/>
        </w:rPr>
        <w:t>ções</w:t>
      </w:r>
      <w:r w:rsidRPr="00D5464D">
        <w:rPr>
          <w:rFonts w:cs="Arial"/>
          <w:iCs/>
          <w:szCs w:val="20"/>
          <w:lang w:val="pt-BR"/>
        </w:rPr>
        <w:t xml:space="preserve"> de </w:t>
      </w:r>
      <w:r w:rsidR="00E045D9" w:rsidRPr="00D5464D">
        <w:rPr>
          <w:rFonts w:cs="Arial"/>
          <w:iCs/>
          <w:szCs w:val="20"/>
          <w:lang w:val="pt-BR"/>
        </w:rPr>
        <w:t>seus familiares</w:t>
      </w:r>
      <w:r w:rsidRPr="00D5464D">
        <w:rPr>
          <w:rFonts w:cs="Arial"/>
          <w:iCs/>
          <w:szCs w:val="20"/>
          <w:lang w:val="pt-BR"/>
        </w:rPr>
        <w:t xml:space="preserve"> que</w:t>
      </w:r>
      <w:r w:rsidR="00470ADC" w:rsidRPr="00D5464D">
        <w:rPr>
          <w:rFonts w:cs="Arial"/>
          <w:iCs/>
          <w:szCs w:val="20"/>
          <w:lang w:val="pt-BR"/>
        </w:rPr>
        <w:t xml:space="preserve"> o </w:t>
      </w:r>
      <w:r w:rsidR="002C330E" w:rsidRPr="00D5464D">
        <w:rPr>
          <w:rFonts w:cs="Arial"/>
          <w:iCs/>
          <w:szCs w:val="20"/>
          <w:lang w:val="pt-BR"/>
        </w:rPr>
        <w:t xml:space="preserve">senhor </w:t>
      </w:r>
      <w:r w:rsidR="00C53635" w:rsidRPr="00D5464D">
        <w:rPr>
          <w:rFonts w:cs="Arial"/>
          <w:iCs/>
          <w:szCs w:val="20"/>
          <w:lang w:val="pt-BR"/>
        </w:rPr>
        <w:t xml:space="preserve">Luis </w:t>
      </w:r>
      <w:r w:rsidRPr="00D5464D">
        <w:rPr>
          <w:rFonts w:cs="Arial"/>
          <w:iCs/>
          <w:szCs w:val="20"/>
          <w:lang w:val="pt-BR"/>
        </w:rPr>
        <w:t>Ferreira</w:t>
      </w:r>
      <w:r w:rsidR="00C53635" w:rsidRPr="00D5464D">
        <w:rPr>
          <w:rFonts w:cs="Arial"/>
          <w:iCs/>
          <w:szCs w:val="20"/>
          <w:lang w:val="pt-BR"/>
        </w:rPr>
        <w:t xml:space="preserve"> da Cruz</w:t>
      </w:r>
      <w:r w:rsidRPr="00D5464D">
        <w:rPr>
          <w:rFonts w:cs="Arial"/>
          <w:iCs/>
          <w:szCs w:val="20"/>
          <w:lang w:val="pt-BR"/>
        </w:rPr>
        <w:t xml:space="preserve"> </w:t>
      </w:r>
      <w:r w:rsidR="002C330E" w:rsidRPr="00D5464D">
        <w:rPr>
          <w:rFonts w:cs="Arial"/>
          <w:iCs/>
          <w:szCs w:val="20"/>
          <w:lang w:val="pt-BR"/>
        </w:rPr>
        <w:t>teria</w:t>
      </w:r>
      <w:r w:rsidRPr="00D5464D">
        <w:rPr>
          <w:rFonts w:cs="Arial"/>
          <w:iCs/>
          <w:szCs w:val="20"/>
          <w:lang w:val="pt-BR"/>
        </w:rPr>
        <w:t xml:space="preserve"> </w:t>
      </w:r>
      <w:r w:rsidR="005742B6" w:rsidRPr="00D5464D">
        <w:rPr>
          <w:rFonts w:cs="Arial"/>
          <w:iCs/>
          <w:szCs w:val="20"/>
          <w:lang w:val="pt-BR"/>
        </w:rPr>
        <w:t xml:space="preserve">morrido aproximadamente em </w:t>
      </w:r>
      <w:r w:rsidRPr="00D5464D">
        <w:rPr>
          <w:rFonts w:cs="Arial"/>
          <w:iCs/>
          <w:szCs w:val="20"/>
          <w:lang w:val="pt-BR"/>
        </w:rPr>
        <w:t>2005</w:t>
      </w:r>
      <w:r w:rsidR="00C91CB1" w:rsidRPr="00D5464D">
        <w:rPr>
          <w:rFonts w:cs="Arial"/>
          <w:iCs/>
          <w:szCs w:val="20"/>
          <w:lang w:val="pt-BR"/>
        </w:rPr>
        <w:t xml:space="preserve">. Em </w:t>
      </w:r>
      <w:r w:rsidR="00E045D9" w:rsidRPr="00D5464D">
        <w:rPr>
          <w:rFonts w:cs="Arial"/>
          <w:iCs/>
          <w:szCs w:val="20"/>
          <w:lang w:val="pt-BR"/>
        </w:rPr>
        <w:t xml:space="preserve">virtude </w:t>
      </w:r>
      <w:r w:rsidR="00470ADC" w:rsidRPr="00D5464D">
        <w:rPr>
          <w:rFonts w:cs="Arial"/>
          <w:iCs/>
          <w:szCs w:val="20"/>
          <w:lang w:val="pt-BR"/>
        </w:rPr>
        <w:t xml:space="preserve">do </w:t>
      </w:r>
      <w:r w:rsidRPr="00D5464D">
        <w:rPr>
          <w:rFonts w:cs="Arial"/>
          <w:iCs/>
          <w:szCs w:val="20"/>
          <w:lang w:val="pt-BR"/>
        </w:rPr>
        <w:t>anterior,</w:t>
      </w:r>
      <w:r w:rsidR="00470ADC" w:rsidRPr="00D5464D">
        <w:rPr>
          <w:rFonts w:cs="Arial"/>
          <w:iCs/>
          <w:szCs w:val="20"/>
          <w:lang w:val="pt-BR"/>
        </w:rPr>
        <w:t xml:space="preserve"> </w:t>
      </w:r>
      <w:r w:rsidR="005742B6" w:rsidRPr="00D5464D">
        <w:rPr>
          <w:rFonts w:cs="Arial"/>
          <w:iCs/>
          <w:szCs w:val="20"/>
          <w:lang w:val="pt-BR"/>
        </w:rPr>
        <w:t xml:space="preserve">a partir </w:t>
      </w:r>
      <w:r w:rsidR="00470ADC" w:rsidRPr="00D5464D">
        <w:rPr>
          <w:rFonts w:cs="Arial"/>
          <w:iCs/>
          <w:szCs w:val="20"/>
          <w:lang w:val="pt-BR"/>
        </w:rPr>
        <w:t xml:space="preserve">da </w:t>
      </w:r>
      <w:r w:rsidR="002C330E" w:rsidRPr="00D5464D">
        <w:rPr>
          <w:rFonts w:cs="Arial"/>
          <w:iCs/>
          <w:szCs w:val="20"/>
          <w:lang w:val="pt-BR"/>
        </w:rPr>
        <w:t>prova</w:t>
      </w:r>
      <w:r w:rsidR="00350187" w:rsidRPr="00D5464D">
        <w:rPr>
          <w:rFonts w:cs="Arial"/>
          <w:iCs/>
          <w:szCs w:val="20"/>
          <w:lang w:val="pt-BR"/>
        </w:rPr>
        <w:t xml:space="preserve"> apresent</w:t>
      </w:r>
      <w:r w:rsidRPr="00D5464D">
        <w:rPr>
          <w:rFonts w:cs="Arial"/>
          <w:iCs/>
          <w:szCs w:val="20"/>
          <w:lang w:val="pt-BR"/>
        </w:rPr>
        <w:t>a</w:t>
      </w:r>
      <w:r w:rsidR="005742B6" w:rsidRPr="00D5464D">
        <w:rPr>
          <w:rFonts w:cs="Arial"/>
          <w:iCs/>
          <w:szCs w:val="20"/>
          <w:lang w:val="pt-BR"/>
        </w:rPr>
        <w:t>da</w:t>
      </w:r>
      <w:r w:rsidR="002C330E" w:rsidRPr="00D5464D">
        <w:rPr>
          <w:rFonts w:cs="Arial"/>
          <w:iCs/>
          <w:szCs w:val="20"/>
          <w:lang w:val="pt-BR"/>
        </w:rPr>
        <w:t xml:space="preserve"> pela </w:t>
      </w:r>
      <w:r w:rsidR="00470ADC" w:rsidRPr="00D5464D">
        <w:rPr>
          <w:rFonts w:cs="Arial"/>
          <w:iCs/>
          <w:szCs w:val="20"/>
          <w:lang w:val="pt-BR"/>
        </w:rPr>
        <w:t>Comissão</w:t>
      </w:r>
      <w:r w:rsidR="00E045D9" w:rsidRPr="00D5464D">
        <w:rPr>
          <w:rFonts w:cs="Arial"/>
          <w:iCs/>
          <w:szCs w:val="20"/>
          <w:lang w:val="pt-BR"/>
        </w:rPr>
        <w:t xml:space="preserve"> e </w:t>
      </w:r>
      <w:r w:rsidR="002C330E" w:rsidRPr="00D5464D">
        <w:rPr>
          <w:rFonts w:cs="Arial"/>
          <w:iCs/>
          <w:szCs w:val="20"/>
          <w:lang w:val="pt-BR"/>
        </w:rPr>
        <w:t xml:space="preserve">pelas </w:t>
      </w:r>
      <w:r w:rsidRPr="00D5464D">
        <w:rPr>
          <w:rFonts w:cs="Arial"/>
          <w:iCs/>
          <w:szCs w:val="20"/>
          <w:lang w:val="pt-BR"/>
        </w:rPr>
        <w:t>partes,</w:t>
      </w:r>
      <w:r w:rsidR="00470ADC" w:rsidRPr="00D5464D">
        <w:rPr>
          <w:rFonts w:cs="Arial"/>
          <w:iCs/>
          <w:szCs w:val="20"/>
          <w:lang w:val="pt-BR"/>
        </w:rPr>
        <w:t xml:space="preserve"> </w:t>
      </w:r>
      <w:r w:rsidR="005742B6" w:rsidRPr="00D5464D">
        <w:rPr>
          <w:rFonts w:cs="Arial"/>
          <w:iCs/>
          <w:szCs w:val="20"/>
          <w:lang w:val="pt-BR"/>
        </w:rPr>
        <w:t xml:space="preserve">ao momento de proferir </w:t>
      </w:r>
      <w:r w:rsidR="00A1358C" w:rsidRPr="00D5464D">
        <w:rPr>
          <w:rFonts w:cs="Arial"/>
          <w:iCs/>
          <w:szCs w:val="20"/>
          <w:lang w:val="pt-BR"/>
        </w:rPr>
        <w:t>a presente Decisão</w:t>
      </w:r>
      <w:r w:rsidR="006E3A4D" w:rsidRPr="00D5464D">
        <w:rPr>
          <w:rFonts w:cs="Arial"/>
          <w:iCs/>
          <w:szCs w:val="20"/>
          <w:lang w:val="pt-BR"/>
        </w:rPr>
        <w:t>,</w:t>
      </w:r>
      <w:r w:rsidR="002C330E" w:rsidRPr="00D5464D">
        <w:rPr>
          <w:rFonts w:cs="Arial"/>
          <w:iCs/>
          <w:szCs w:val="20"/>
          <w:lang w:val="pt-BR"/>
        </w:rPr>
        <w:t xml:space="preserve"> a </w:t>
      </w:r>
      <w:r w:rsidRPr="00D5464D">
        <w:rPr>
          <w:rFonts w:cs="Arial"/>
          <w:iCs/>
          <w:szCs w:val="20"/>
          <w:lang w:val="pt-BR"/>
        </w:rPr>
        <w:t xml:space="preserve">Corte Interamericana se </w:t>
      </w:r>
      <w:r w:rsidR="00470ADC" w:rsidRPr="00D5464D">
        <w:rPr>
          <w:rFonts w:cs="Arial"/>
          <w:iCs/>
          <w:szCs w:val="20"/>
          <w:lang w:val="pt-BR"/>
        </w:rPr>
        <w:t xml:space="preserve">encontra </w:t>
      </w:r>
      <w:r w:rsidR="002C330E" w:rsidRPr="00D5464D">
        <w:rPr>
          <w:rFonts w:cs="Arial"/>
          <w:iCs/>
          <w:szCs w:val="20"/>
          <w:lang w:val="pt-BR"/>
        </w:rPr>
        <w:t>impossibilitad</w:t>
      </w:r>
      <w:r w:rsidRPr="00D5464D">
        <w:rPr>
          <w:rFonts w:cs="Arial"/>
          <w:iCs/>
          <w:szCs w:val="20"/>
          <w:lang w:val="pt-BR"/>
        </w:rPr>
        <w:t xml:space="preserve">a </w:t>
      </w:r>
      <w:r w:rsidR="005742B6" w:rsidRPr="00D5464D">
        <w:rPr>
          <w:rFonts w:cs="Arial"/>
          <w:iCs/>
          <w:szCs w:val="20"/>
          <w:lang w:val="pt-BR"/>
        </w:rPr>
        <w:t xml:space="preserve">de </w:t>
      </w:r>
      <w:r w:rsidRPr="00D5464D">
        <w:rPr>
          <w:rFonts w:cs="Arial"/>
          <w:iCs/>
          <w:szCs w:val="20"/>
          <w:lang w:val="pt-BR"/>
        </w:rPr>
        <w:t xml:space="preserve">concluir que </w:t>
      </w:r>
      <w:r w:rsidR="00200C04" w:rsidRPr="00D5464D">
        <w:rPr>
          <w:rFonts w:cs="Arial"/>
          <w:iCs/>
          <w:szCs w:val="20"/>
          <w:lang w:val="pt-BR"/>
        </w:rPr>
        <w:t xml:space="preserve">Luis Ferreira </w:t>
      </w:r>
      <w:r w:rsidR="00701BB2" w:rsidRPr="00D5464D">
        <w:rPr>
          <w:rFonts w:cs="Arial"/>
          <w:iCs/>
          <w:szCs w:val="20"/>
          <w:lang w:val="pt-BR"/>
        </w:rPr>
        <w:t>da Cruz</w:t>
      </w:r>
      <w:r w:rsidR="00470ADC" w:rsidRPr="00D5464D">
        <w:rPr>
          <w:rFonts w:cs="Arial"/>
          <w:iCs/>
          <w:szCs w:val="20"/>
          <w:lang w:val="pt-BR"/>
        </w:rPr>
        <w:t xml:space="preserve"> foi </w:t>
      </w:r>
      <w:r w:rsidR="00E045D9" w:rsidRPr="00D5464D">
        <w:rPr>
          <w:rFonts w:cs="Arial"/>
          <w:iCs/>
          <w:szCs w:val="20"/>
          <w:lang w:val="pt-BR"/>
        </w:rPr>
        <w:t>vítima</w:t>
      </w:r>
      <w:r w:rsidRPr="00D5464D">
        <w:rPr>
          <w:rFonts w:cs="Arial"/>
          <w:iCs/>
          <w:szCs w:val="20"/>
          <w:lang w:val="pt-BR"/>
        </w:rPr>
        <w:t xml:space="preserve"> de </w:t>
      </w:r>
      <w:r w:rsidR="00470ADC" w:rsidRPr="00D5464D">
        <w:rPr>
          <w:rFonts w:cs="Arial"/>
          <w:iCs/>
          <w:szCs w:val="20"/>
          <w:lang w:val="pt-BR"/>
        </w:rPr>
        <w:t>desaparecimento e</w:t>
      </w:r>
      <w:r w:rsidR="005742B6" w:rsidRPr="00D5464D">
        <w:rPr>
          <w:rFonts w:cs="Arial"/>
          <w:iCs/>
          <w:szCs w:val="20"/>
          <w:lang w:val="pt-BR"/>
        </w:rPr>
        <w:t>,</w:t>
      </w:r>
      <w:r w:rsidR="00470ADC" w:rsidRPr="00D5464D">
        <w:rPr>
          <w:rFonts w:cs="Arial"/>
          <w:iCs/>
          <w:szCs w:val="20"/>
          <w:lang w:val="pt-BR"/>
        </w:rPr>
        <w:t xml:space="preserve"> em consequência</w:t>
      </w:r>
      <w:r w:rsidR="005742B6" w:rsidRPr="00D5464D">
        <w:rPr>
          <w:rFonts w:cs="Arial"/>
          <w:iCs/>
          <w:szCs w:val="20"/>
          <w:lang w:val="pt-BR"/>
        </w:rPr>
        <w:t>,</w:t>
      </w:r>
      <w:r w:rsidRPr="00D5464D">
        <w:rPr>
          <w:rFonts w:cs="Arial"/>
          <w:iCs/>
          <w:szCs w:val="20"/>
          <w:lang w:val="pt-BR"/>
        </w:rPr>
        <w:t xml:space="preserve"> </w:t>
      </w:r>
      <w:r w:rsidR="00737270" w:rsidRPr="00D5464D">
        <w:rPr>
          <w:rFonts w:cs="Arial"/>
          <w:iCs/>
          <w:szCs w:val="20"/>
          <w:lang w:val="pt-BR"/>
        </w:rPr>
        <w:t>não pode</w:t>
      </w:r>
      <w:r w:rsidRPr="00D5464D">
        <w:rPr>
          <w:rFonts w:cs="Arial"/>
          <w:iCs/>
          <w:szCs w:val="20"/>
          <w:lang w:val="pt-BR"/>
        </w:rPr>
        <w:t xml:space="preserve"> atribuir</w:t>
      </w:r>
      <w:r w:rsidR="002C330E" w:rsidRPr="00D5464D">
        <w:rPr>
          <w:rFonts w:cs="Arial"/>
          <w:iCs/>
          <w:szCs w:val="20"/>
          <w:lang w:val="pt-BR"/>
        </w:rPr>
        <w:t xml:space="preserve"> responsabilidade </w:t>
      </w:r>
      <w:r w:rsidR="00470ADC" w:rsidRPr="00D5464D">
        <w:rPr>
          <w:rFonts w:cs="Arial"/>
          <w:iCs/>
          <w:szCs w:val="20"/>
          <w:lang w:val="pt-BR"/>
        </w:rPr>
        <w:t xml:space="preserve">ao </w:t>
      </w:r>
      <w:r w:rsidRPr="00D5464D">
        <w:rPr>
          <w:rFonts w:cs="Arial"/>
          <w:iCs/>
          <w:szCs w:val="20"/>
          <w:lang w:val="pt-BR"/>
        </w:rPr>
        <w:t>Estado</w:t>
      </w:r>
      <w:r w:rsidR="002C330E" w:rsidRPr="00D5464D">
        <w:rPr>
          <w:rFonts w:cs="Arial"/>
          <w:iCs/>
          <w:szCs w:val="20"/>
          <w:lang w:val="pt-BR"/>
        </w:rPr>
        <w:t xml:space="preserve"> pela </w:t>
      </w:r>
      <w:r w:rsidRPr="00D5464D">
        <w:rPr>
          <w:rFonts w:cs="Arial"/>
          <w:iCs/>
          <w:szCs w:val="20"/>
          <w:lang w:val="pt-BR"/>
        </w:rPr>
        <w:t>falta de investiga</w:t>
      </w:r>
      <w:r w:rsidR="00470ADC" w:rsidRPr="00D5464D">
        <w:rPr>
          <w:rFonts w:cs="Arial"/>
          <w:iCs/>
          <w:szCs w:val="20"/>
          <w:lang w:val="pt-BR"/>
        </w:rPr>
        <w:t>ção</w:t>
      </w:r>
      <w:r w:rsidR="00E045D9" w:rsidRPr="00D5464D">
        <w:rPr>
          <w:rFonts w:cs="Arial"/>
          <w:iCs/>
          <w:szCs w:val="20"/>
          <w:lang w:val="pt-BR"/>
        </w:rPr>
        <w:t xml:space="preserve"> e </w:t>
      </w:r>
      <w:r w:rsidRPr="00D5464D">
        <w:rPr>
          <w:rFonts w:cs="Arial"/>
          <w:iCs/>
          <w:szCs w:val="20"/>
          <w:lang w:val="pt-BR"/>
        </w:rPr>
        <w:t>eventual san</w:t>
      </w:r>
      <w:r w:rsidR="00470ADC" w:rsidRPr="00D5464D">
        <w:rPr>
          <w:rFonts w:cs="Arial"/>
          <w:iCs/>
          <w:szCs w:val="20"/>
          <w:lang w:val="pt-BR"/>
        </w:rPr>
        <w:t xml:space="preserve">ção dos </w:t>
      </w:r>
      <w:r w:rsidRPr="00D5464D">
        <w:rPr>
          <w:rFonts w:cs="Arial"/>
          <w:iCs/>
          <w:szCs w:val="20"/>
          <w:lang w:val="pt-BR"/>
        </w:rPr>
        <w:t xml:space="preserve">alegados </w:t>
      </w:r>
      <w:r w:rsidR="002C330E" w:rsidRPr="00D5464D">
        <w:rPr>
          <w:rFonts w:cs="Arial"/>
          <w:iCs/>
          <w:szCs w:val="20"/>
          <w:lang w:val="pt-BR"/>
        </w:rPr>
        <w:t>responsáveis</w:t>
      </w:r>
      <w:r w:rsidRPr="00D5464D">
        <w:rPr>
          <w:rFonts w:cs="Arial"/>
          <w:iCs/>
          <w:szCs w:val="20"/>
          <w:lang w:val="pt-BR"/>
        </w:rPr>
        <w:t>.</w:t>
      </w:r>
    </w:p>
    <w:p w14:paraId="1ABC35AB" w14:textId="77777777" w:rsidR="00D1019C" w:rsidRPr="00D5464D" w:rsidRDefault="00D1019C" w:rsidP="00D1019C">
      <w:pPr>
        <w:pStyle w:val="Prrafodelista"/>
        <w:rPr>
          <w:rFonts w:cs="Arial"/>
          <w:iCs/>
          <w:szCs w:val="20"/>
          <w:lang w:val="pt-BR"/>
        </w:rPr>
      </w:pPr>
    </w:p>
    <w:p w14:paraId="41639379" w14:textId="3FB3E23F" w:rsidR="004D4500" w:rsidRPr="00D5464D" w:rsidRDefault="005742B6" w:rsidP="00D1019C">
      <w:pPr>
        <w:pStyle w:val="Prrafodelista"/>
        <w:numPr>
          <w:ilvl w:val="0"/>
          <w:numId w:val="1"/>
        </w:numPr>
        <w:tabs>
          <w:tab w:val="right" w:pos="0"/>
        </w:tabs>
        <w:contextualSpacing w:val="0"/>
        <w:rPr>
          <w:rFonts w:cs="Arial"/>
          <w:iCs/>
          <w:szCs w:val="20"/>
          <w:lang w:val="pt-BR"/>
        </w:rPr>
      </w:pPr>
      <w:r w:rsidRPr="00D5464D">
        <w:rPr>
          <w:rFonts w:cs="Arial"/>
          <w:iCs/>
          <w:szCs w:val="20"/>
          <w:lang w:val="pt-BR"/>
        </w:rPr>
        <w:t xml:space="preserve">Em razão de todo </w:t>
      </w:r>
      <w:r w:rsidR="00D81AA1" w:rsidRPr="00D5464D">
        <w:rPr>
          <w:rFonts w:cs="Arial"/>
          <w:iCs/>
          <w:szCs w:val="20"/>
          <w:lang w:val="pt-BR"/>
        </w:rPr>
        <w:t>anterior,</w:t>
      </w:r>
      <w:r w:rsidR="002C330E" w:rsidRPr="00D5464D">
        <w:rPr>
          <w:rFonts w:cs="Arial"/>
          <w:iCs/>
          <w:szCs w:val="20"/>
          <w:lang w:val="pt-BR"/>
        </w:rPr>
        <w:t xml:space="preserve"> a </w:t>
      </w:r>
      <w:r w:rsidR="00D81AA1" w:rsidRPr="00D5464D">
        <w:rPr>
          <w:rFonts w:cs="Arial"/>
          <w:iCs/>
          <w:szCs w:val="20"/>
          <w:lang w:val="pt-BR"/>
        </w:rPr>
        <w:t xml:space="preserve">Corte </w:t>
      </w:r>
      <w:r w:rsidR="00470ADC" w:rsidRPr="00D5464D">
        <w:rPr>
          <w:rFonts w:cs="Arial"/>
          <w:iCs/>
          <w:szCs w:val="20"/>
          <w:lang w:val="pt-BR"/>
        </w:rPr>
        <w:t xml:space="preserve">conclui </w:t>
      </w:r>
      <w:r w:rsidR="00D81AA1" w:rsidRPr="00D5464D">
        <w:rPr>
          <w:rFonts w:cs="Arial"/>
          <w:iCs/>
          <w:szCs w:val="20"/>
          <w:lang w:val="pt-BR"/>
        </w:rPr>
        <w:t>que</w:t>
      </w:r>
      <w:r w:rsidR="00470ADC" w:rsidRPr="00D5464D">
        <w:rPr>
          <w:rFonts w:cs="Arial"/>
          <w:iCs/>
          <w:szCs w:val="20"/>
          <w:lang w:val="pt-BR"/>
        </w:rPr>
        <w:t xml:space="preserve"> o </w:t>
      </w:r>
      <w:r w:rsidR="00D81AA1" w:rsidRPr="00D5464D">
        <w:rPr>
          <w:rFonts w:cs="Arial"/>
          <w:iCs/>
          <w:szCs w:val="20"/>
          <w:lang w:val="pt-BR"/>
        </w:rPr>
        <w:t xml:space="preserve">Estado </w:t>
      </w:r>
      <w:r w:rsidR="00737270" w:rsidRPr="00D5464D">
        <w:rPr>
          <w:rFonts w:cs="Arial"/>
          <w:iCs/>
          <w:szCs w:val="20"/>
          <w:lang w:val="pt-BR"/>
        </w:rPr>
        <w:t>não é</w:t>
      </w:r>
      <w:r w:rsidR="00470ADC" w:rsidRPr="00D5464D">
        <w:rPr>
          <w:rFonts w:cs="Arial"/>
          <w:iCs/>
          <w:szCs w:val="20"/>
          <w:lang w:val="pt-BR"/>
        </w:rPr>
        <w:t xml:space="preserve"> </w:t>
      </w:r>
      <w:r w:rsidR="002C330E" w:rsidRPr="00D5464D">
        <w:rPr>
          <w:rFonts w:cs="Arial"/>
          <w:iCs/>
          <w:szCs w:val="20"/>
          <w:lang w:val="pt-BR"/>
        </w:rPr>
        <w:t xml:space="preserve">responsável pelas </w:t>
      </w:r>
      <w:r w:rsidR="00D81AA1" w:rsidRPr="00D5464D">
        <w:rPr>
          <w:rFonts w:cs="Arial"/>
          <w:iCs/>
          <w:szCs w:val="20"/>
          <w:lang w:val="pt-BR"/>
        </w:rPr>
        <w:t>alegadas viola</w:t>
      </w:r>
      <w:r w:rsidR="00470ADC" w:rsidRPr="00D5464D">
        <w:rPr>
          <w:rFonts w:cs="Arial"/>
          <w:iCs/>
          <w:szCs w:val="20"/>
          <w:lang w:val="pt-BR"/>
        </w:rPr>
        <w:t>ções</w:t>
      </w:r>
      <w:r w:rsidR="00E045D9" w:rsidRPr="00D5464D">
        <w:rPr>
          <w:rFonts w:cs="Arial"/>
          <w:iCs/>
          <w:szCs w:val="20"/>
          <w:lang w:val="pt-BR"/>
        </w:rPr>
        <w:t xml:space="preserve"> aos </w:t>
      </w:r>
      <w:r w:rsidR="00470ADC" w:rsidRPr="00D5464D">
        <w:rPr>
          <w:rFonts w:cs="Arial"/>
          <w:iCs/>
          <w:szCs w:val="20"/>
          <w:lang w:val="pt-BR"/>
        </w:rPr>
        <w:t>direito</w:t>
      </w:r>
      <w:r w:rsidR="00D81AA1" w:rsidRPr="00D5464D">
        <w:rPr>
          <w:rFonts w:cs="Arial"/>
          <w:iCs/>
          <w:szCs w:val="20"/>
          <w:lang w:val="pt-BR"/>
        </w:rPr>
        <w:t>s</w:t>
      </w:r>
      <w:r w:rsidR="00470ADC" w:rsidRPr="00D5464D">
        <w:rPr>
          <w:rFonts w:cs="Arial"/>
          <w:iCs/>
          <w:szCs w:val="20"/>
          <w:lang w:val="pt-BR"/>
        </w:rPr>
        <w:t xml:space="preserve"> à </w:t>
      </w:r>
      <w:r w:rsidR="002C330E" w:rsidRPr="00D5464D">
        <w:rPr>
          <w:rFonts w:cs="Arial"/>
          <w:iCs/>
          <w:szCs w:val="20"/>
          <w:lang w:val="pt-BR"/>
        </w:rPr>
        <w:t xml:space="preserve">personalidade </w:t>
      </w:r>
      <w:r w:rsidR="00D81AA1" w:rsidRPr="00D5464D">
        <w:rPr>
          <w:rFonts w:cs="Arial"/>
          <w:iCs/>
          <w:szCs w:val="20"/>
          <w:lang w:val="pt-BR"/>
        </w:rPr>
        <w:t xml:space="preserve">jurídica, </w:t>
      </w:r>
      <w:r w:rsidRPr="00D5464D">
        <w:rPr>
          <w:rFonts w:cs="Arial"/>
          <w:iCs/>
          <w:szCs w:val="20"/>
          <w:lang w:val="pt-BR"/>
        </w:rPr>
        <w:t xml:space="preserve">à </w:t>
      </w:r>
      <w:r w:rsidR="00D81AA1" w:rsidRPr="00D5464D">
        <w:rPr>
          <w:rFonts w:cs="Arial"/>
          <w:iCs/>
          <w:szCs w:val="20"/>
          <w:lang w:val="pt-BR"/>
        </w:rPr>
        <w:t xml:space="preserve">vida, </w:t>
      </w:r>
      <w:r w:rsidRPr="00D5464D">
        <w:rPr>
          <w:rFonts w:cs="Arial"/>
          <w:iCs/>
          <w:szCs w:val="20"/>
          <w:lang w:val="pt-BR"/>
        </w:rPr>
        <w:t xml:space="preserve">à </w:t>
      </w:r>
      <w:r w:rsidR="002C330E" w:rsidRPr="00D5464D">
        <w:rPr>
          <w:rFonts w:cs="Arial"/>
          <w:iCs/>
          <w:szCs w:val="20"/>
          <w:lang w:val="pt-BR"/>
        </w:rPr>
        <w:t>integridade</w:t>
      </w:r>
      <w:r w:rsidR="00E045D9" w:rsidRPr="00D5464D">
        <w:rPr>
          <w:rFonts w:cs="Arial"/>
          <w:iCs/>
          <w:szCs w:val="20"/>
          <w:lang w:val="pt-BR"/>
        </w:rPr>
        <w:t xml:space="preserve"> e </w:t>
      </w:r>
      <w:r w:rsidRPr="00D5464D">
        <w:rPr>
          <w:rFonts w:cs="Arial"/>
          <w:iCs/>
          <w:szCs w:val="20"/>
          <w:lang w:val="pt-BR"/>
        </w:rPr>
        <w:t xml:space="preserve">à </w:t>
      </w:r>
      <w:r w:rsidR="002C330E" w:rsidRPr="00D5464D">
        <w:rPr>
          <w:rFonts w:cs="Arial"/>
          <w:iCs/>
          <w:szCs w:val="20"/>
          <w:lang w:val="pt-BR"/>
        </w:rPr>
        <w:t>liberdade pessoa</w:t>
      </w:r>
      <w:r w:rsidR="00D81AA1" w:rsidRPr="00D5464D">
        <w:rPr>
          <w:rFonts w:cs="Arial"/>
          <w:iCs/>
          <w:szCs w:val="20"/>
          <w:lang w:val="pt-BR"/>
        </w:rPr>
        <w:t>l, contemplados</w:t>
      </w:r>
      <w:r w:rsidR="00E045D9" w:rsidRPr="00D5464D">
        <w:rPr>
          <w:rFonts w:cs="Arial"/>
          <w:iCs/>
          <w:szCs w:val="20"/>
          <w:lang w:val="pt-BR"/>
        </w:rPr>
        <w:t xml:space="preserve"> nos </w:t>
      </w:r>
      <w:r w:rsidR="00470ADC" w:rsidRPr="00D5464D">
        <w:rPr>
          <w:rFonts w:cs="Arial"/>
          <w:iCs/>
          <w:szCs w:val="20"/>
          <w:lang w:val="pt-BR"/>
        </w:rPr>
        <w:t>artigo</w:t>
      </w:r>
      <w:r w:rsidR="00D81AA1" w:rsidRPr="00D5464D">
        <w:rPr>
          <w:rFonts w:cs="Arial"/>
          <w:iCs/>
          <w:szCs w:val="20"/>
          <w:lang w:val="pt-BR"/>
        </w:rPr>
        <w:t>s 3, 4, 5</w:t>
      </w:r>
      <w:r w:rsidR="00E045D9" w:rsidRPr="00D5464D">
        <w:rPr>
          <w:rFonts w:cs="Arial"/>
          <w:iCs/>
          <w:szCs w:val="20"/>
          <w:lang w:val="pt-BR"/>
        </w:rPr>
        <w:t xml:space="preserve"> e </w:t>
      </w:r>
      <w:r w:rsidR="00D81AA1" w:rsidRPr="00D5464D">
        <w:rPr>
          <w:rFonts w:cs="Arial"/>
          <w:iCs/>
          <w:szCs w:val="20"/>
          <w:lang w:val="pt-BR"/>
        </w:rPr>
        <w:t>7</w:t>
      </w:r>
      <w:r w:rsidR="00470ADC" w:rsidRPr="00D5464D">
        <w:rPr>
          <w:rFonts w:cs="Arial"/>
          <w:iCs/>
          <w:szCs w:val="20"/>
          <w:lang w:val="pt-BR"/>
        </w:rPr>
        <w:t xml:space="preserve"> da </w:t>
      </w:r>
      <w:r w:rsidR="00D81AA1" w:rsidRPr="00D5464D">
        <w:rPr>
          <w:rFonts w:cs="Arial"/>
          <w:iCs/>
          <w:szCs w:val="20"/>
          <w:lang w:val="pt-BR"/>
        </w:rPr>
        <w:t>Conven</w:t>
      </w:r>
      <w:r w:rsidR="00470ADC" w:rsidRPr="00D5464D">
        <w:rPr>
          <w:rFonts w:cs="Arial"/>
          <w:iCs/>
          <w:szCs w:val="20"/>
          <w:lang w:val="pt-BR"/>
        </w:rPr>
        <w:t>ção</w:t>
      </w:r>
      <w:r w:rsidR="00D81AA1" w:rsidRPr="00D5464D">
        <w:rPr>
          <w:rFonts w:cs="Arial"/>
          <w:iCs/>
          <w:szCs w:val="20"/>
          <w:lang w:val="pt-BR"/>
        </w:rPr>
        <w:t xml:space="preserve"> Americana</w:t>
      </w:r>
      <w:r w:rsidR="00A64EF1" w:rsidRPr="00D5464D">
        <w:rPr>
          <w:rFonts w:cs="Arial"/>
          <w:iCs/>
          <w:szCs w:val="20"/>
          <w:lang w:val="pt-BR"/>
        </w:rPr>
        <w:t xml:space="preserve"> sobre </w:t>
      </w:r>
      <w:r w:rsidR="00470ADC" w:rsidRPr="00D5464D">
        <w:rPr>
          <w:rFonts w:cs="Arial"/>
          <w:iCs/>
          <w:szCs w:val="20"/>
          <w:lang w:val="pt-BR"/>
        </w:rPr>
        <w:t>Direito</w:t>
      </w:r>
      <w:r w:rsidR="00A64EF1" w:rsidRPr="00D5464D">
        <w:rPr>
          <w:rFonts w:cs="Arial"/>
          <w:iCs/>
          <w:szCs w:val="20"/>
          <w:lang w:val="pt-BR"/>
        </w:rPr>
        <w:t>s Humanos</w:t>
      </w:r>
      <w:r w:rsidR="00D81AA1" w:rsidRPr="00D5464D">
        <w:rPr>
          <w:rFonts w:cs="Arial"/>
          <w:iCs/>
          <w:szCs w:val="20"/>
          <w:lang w:val="pt-BR"/>
        </w:rPr>
        <w:t>,</w:t>
      </w:r>
      <w:r w:rsidR="00470ADC" w:rsidRPr="00D5464D">
        <w:rPr>
          <w:rFonts w:cs="Arial"/>
          <w:iCs/>
          <w:szCs w:val="20"/>
          <w:lang w:val="pt-BR"/>
        </w:rPr>
        <w:t xml:space="preserve"> em </w:t>
      </w:r>
      <w:r w:rsidR="00D81AA1" w:rsidRPr="00D5464D">
        <w:rPr>
          <w:rFonts w:cs="Arial"/>
          <w:iCs/>
          <w:szCs w:val="20"/>
          <w:lang w:val="pt-BR"/>
        </w:rPr>
        <w:t>rela</w:t>
      </w:r>
      <w:r w:rsidR="00470ADC" w:rsidRPr="00D5464D">
        <w:rPr>
          <w:rFonts w:cs="Arial"/>
          <w:iCs/>
          <w:szCs w:val="20"/>
          <w:lang w:val="pt-BR"/>
        </w:rPr>
        <w:t xml:space="preserve">ção </w:t>
      </w:r>
      <w:r w:rsidRPr="00D5464D">
        <w:rPr>
          <w:rFonts w:cs="Arial"/>
          <w:iCs/>
          <w:szCs w:val="20"/>
          <w:lang w:val="pt-BR"/>
        </w:rPr>
        <w:t>a</w:t>
      </w:r>
      <w:r w:rsidR="002C330E" w:rsidRPr="00D5464D">
        <w:rPr>
          <w:rFonts w:cs="Arial"/>
          <w:iCs/>
          <w:szCs w:val="20"/>
          <w:lang w:val="pt-BR"/>
        </w:rPr>
        <w:t xml:space="preserve">os </w:t>
      </w:r>
      <w:r w:rsidR="00470ADC" w:rsidRPr="00D5464D">
        <w:rPr>
          <w:rFonts w:cs="Arial"/>
          <w:iCs/>
          <w:szCs w:val="20"/>
          <w:lang w:val="pt-BR"/>
        </w:rPr>
        <w:t>direito</w:t>
      </w:r>
      <w:r w:rsidR="00D81AA1" w:rsidRPr="00D5464D">
        <w:rPr>
          <w:rFonts w:cs="Arial"/>
          <w:iCs/>
          <w:szCs w:val="20"/>
          <w:lang w:val="pt-BR"/>
        </w:rPr>
        <w:t xml:space="preserve">s </w:t>
      </w:r>
      <w:r w:rsidR="00470ADC" w:rsidRPr="00D5464D">
        <w:rPr>
          <w:rFonts w:cs="Arial"/>
          <w:iCs/>
          <w:szCs w:val="20"/>
          <w:lang w:val="pt-BR"/>
        </w:rPr>
        <w:t xml:space="preserve">da </w:t>
      </w:r>
      <w:r w:rsidRPr="00D5464D">
        <w:rPr>
          <w:rFonts w:cs="Arial"/>
          <w:iCs/>
          <w:szCs w:val="20"/>
          <w:lang w:val="pt-BR"/>
        </w:rPr>
        <w:t>c</w:t>
      </w:r>
      <w:r w:rsidR="00470ADC" w:rsidRPr="00D5464D">
        <w:rPr>
          <w:rFonts w:cs="Arial"/>
          <w:iCs/>
          <w:szCs w:val="20"/>
          <w:lang w:val="pt-BR"/>
        </w:rPr>
        <w:t>riança,</w:t>
      </w:r>
      <w:r w:rsidRPr="00D5464D">
        <w:rPr>
          <w:rFonts w:cs="Arial"/>
          <w:iCs/>
          <w:szCs w:val="20"/>
          <w:lang w:val="pt-BR"/>
        </w:rPr>
        <w:t xml:space="preserve"> </w:t>
      </w:r>
      <w:r w:rsidR="00470ADC" w:rsidRPr="00D5464D">
        <w:rPr>
          <w:rFonts w:cs="Arial"/>
          <w:iCs/>
          <w:szCs w:val="20"/>
          <w:lang w:val="pt-BR"/>
        </w:rPr>
        <w:t>estabelecid</w:t>
      </w:r>
      <w:r w:rsidR="00D81AA1" w:rsidRPr="00D5464D">
        <w:rPr>
          <w:rFonts w:cs="Arial"/>
          <w:iCs/>
          <w:szCs w:val="20"/>
          <w:lang w:val="pt-BR"/>
        </w:rPr>
        <w:t>os</w:t>
      </w:r>
      <w:r w:rsidR="00E045D9" w:rsidRPr="00D5464D">
        <w:rPr>
          <w:rFonts w:cs="Arial"/>
          <w:iCs/>
          <w:szCs w:val="20"/>
          <w:lang w:val="pt-BR"/>
        </w:rPr>
        <w:t xml:space="preserve"> no </w:t>
      </w:r>
      <w:r w:rsidR="00470ADC" w:rsidRPr="00D5464D">
        <w:rPr>
          <w:rFonts w:cs="Arial"/>
          <w:iCs/>
          <w:szCs w:val="20"/>
          <w:lang w:val="pt-BR"/>
        </w:rPr>
        <w:t>artigo</w:t>
      </w:r>
      <w:r w:rsidR="00D81AA1" w:rsidRPr="00D5464D">
        <w:rPr>
          <w:rFonts w:cs="Arial"/>
          <w:iCs/>
          <w:szCs w:val="20"/>
          <w:lang w:val="pt-BR"/>
        </w:rPr>
        <w:t xml:space="preserve"> 19 </w:t>
      </w:r>
      <w:r w:rsidR="00470ADC" w:rsidRPr="00D5464D">
        <w:rPr>
          <w:rFonts w:cs="Arial"/>
          <w:iCs/>
          <w:szCs w:val="20"/>
          <w:lang w:val="pt-BR"/>
        </w:rPr>
        <w:t xml:space="preserve">do </w:t>
      </w:r>
      <w:r w:rsidR="002C330E" w:rsidRPr="00D5464D">
        <w:rPr>
          <w:rFonts w:cs="Arial"/>
          <w:iCs/>
          <w:szCs w:val="20"/>
          <w:lang w:val="pt-BR"/>
        </w:rPr>
        <w:t>mesm</w:t>
      </w:r>
      <w:r w:rsidR="00D81AA1" w:rsidRPr="00D5464D">
        <w:rPr>
          <w:rFonts w:cs="Arial"/>
          <w:iCs/>
          <w:szCs w:val="20"/>
          <w:lang w:val="pt-BR"/>
        </w:rPr>
        <w:t>o instrumento,</w:t>
      </w:r>
      <w:r w:rsidR="00470ADC" w:rsidRPr="00D5464D">
        <w:rPr>
          <w:rFonts w:cs="Arial"/>
          <w:iCs/>
          <w:szCs w:val="20"/>
          <w:lang w:val="pt-BR"/>
        </w:rPr>
        <w:t xml:space="preserve"> em </w:t>
      </w:r>
      <w:r w:rsidR="002C330E" w:rsidRPr="00D5464D">
        <w:rPr>
          <w:rFonts w:cs="Arial"/>
          <w:iCs/>
          <w:szCs w:val="20"/>
          <w:lang w:val="pt-BR"/>
        </w:rPr>
        <w:t>prejuízo</w:t>
      </w:r>
      <w:r w:rsidR="00D81AA1" w:rsidRPr="00D5464D">
        <w:rPr>
          <w:rFonts w:cs="Arial"/>
          <w:iCs/>
          <w:szCs w:val="20"/>
          <w:lang w:val="pt-BR"/>
        </w:rPr>
        <w:t xml:space="preserve"> de </w:t>
      </w:r>
      <w:r w:rsidR="00C9493B" w:rsidRPr="00D5464D">
        <w:rPr>
          <w:rFonts w:cs="Arial"/>
          <w:iCs/>
          <w:szCs w:val="20"/>
          <w:lang w:val="pt-BR"/>
        </w:rPr>
        <w:t>Iron Canuto da Silva</w:t>
      </w:r>
      <w:r w:rsidR="00E045D9" w:rsidRPr="00D5464D">
        <w:rPr>
          <w:rFonts w:cs="Arial"/>
          <w:iCs/>
          <w:szCs w:val="20"/>
          <w:lang w:val="pt-BR"/>
        </w:rPr>
        <w:t xml:space="preserve"> e </w:t>
      </w:r>
      <w:r w:rsidR="00D81AA1" w:rsidRPr="00D5464D">
        <w:rPr>
          <w:rFonts w:cs="Arial"/>
          <w:iCs/>
          <w:szCs w:val="20"/>
          <w:lang w:val="pt-BR"/>
        </w:rPr>
        <w:t>Luis Ferreira da Cruz,</w:t>
      </w:r>
      <w:r w:rsidR="002C330E" w:rsidRPr="00D5464D">
        <w:rPr>
          <w:rFonts w:cs="Arial"/>
          <w:iCs/>
          <w:szCs w:val="20"/>
          <w:lang w:val="pt-BR"/>
        </w:rPr>
        <w:t xml:space="preserve"> nem </w:t>
      </w:r>
      <w:r w:rsidR="00470ADC" w:rsidRPr="00D5464D">
        <w:rPr>
          <w:rFonts w:cs="Arial"/>
          <w:iCs/>
          <w:szCs w:val="20"/>
          <w:lang w:val="pt-BR"/>
        </w:rPr>
        <w:t xml:space="preserve">da </w:t>
      </w:r>
      <w:r w:rsidR="00D81AA1" w:rsidRPr="00D5464D">
        <w:rPr>
          <w:rFonts w:cs="Arial"/>
          <w:iCs/>
          <w:szCs w:val="20"/>
          <w:lang w:val="pt-BR"/>
        </w:rPr>
        <w:t>viola</w:t>
      </w:r>
      <w:r w:rsidR="00470ADC" w:rsidRPr="00D5464D">
        <w:rPr>
          <w:rFonts w:cs="Arial"/>
          <w:iCs/>
          <w:szCs w:val="20"/>
          <w:lang w:val="pt-BR"/>
        </w:rPr>
        <w:t>ção dos artigo</w:t>
      </w:r>
      <w:r w:rsidR="00D81AA1" w:rsidRPr="00D5464D">
        <w:rPr>
          <w:rFonts w:cs="Arial"/>
          <w:iCs/>
          <w:szCs w:val="20"/>
          <w:lang w:val="pt-BR"/>
        </w:rPr>
        <w:t>s 8</w:t>
      </w:r>
      <w:r w:rsidR="00E045D9" w:rsidRPr="00D5464D">
        <w:rPr>
          <w:rFonts w:cs="Arial"/>
          <w:iCs/>
          <w:szCs w:val="20"/>
          <w:lang w:val="pt-BR"/>
        </w:rPr>
        <w:t xml:space="preserve"> e </w:t>
      </w:r>
      <w:r w:rsidR="00D81AA1" w:rsidRPr="00D5464D">
        <w:rPr>
          <w:rFonts w:cs="Arial"/>
          <w:iCs/>
          <w:szCs w:val="20"/>
          <w:lang w:val="pt-BR"/>
        </w:rPr>
        <w:t xml:space="preserve">25 </w:t>
      </w:r>
      <w:r w:rsidR="00470ADC" w:rsidRPr="00D5464D">
        <w:rPr>
          <w:rFonts w:cs="Arial"/>
          <w:iCs/>
          <w:szCs w:val="20"/>
          <w:lang w:val="pt-BR"/>
        </w:rPr>
        <w:t xml:space="preserve">do </w:t>
      </w:r>
      <w:r w:rsidR="002C330E" w:rsidRPr="00D5464D">
        <w:rPr>
          <w:rFonts w:cs="Arial"/>
          <w:iCs/>
          <w:szCs w:val="20"/>
          <w:lang w:val="pt-BR"/>
        </w:rPr>
        <w:t>mesm</w:t>
      </w:r>
      <w:r w:rsidR="00D81AA1" w:rsidRPr="00D5464D">
        <w:rPr>
          <w:rFonts w:cs="Arial"/>
          <w:iCs/>
          <w:szCs w:val="20"/>
          <w:lang w:val="pt-BR"/>
        </w:rPr>
        <w:t>o instrumento</w:t>
      </w:r>
      <w:r w:rsidR="00470ADC" w:rsidRPr="00D5464D">
        <w:rPr>
          <w:rFonts w:cs="Arial"/>
          <w:iCs/>
          <w:szCs w:val="20"/>
          <w:lang w:val="pt-BR"/>
        </w:rPr>
        <w:t xml:space="preserve"> em </w:t>
      </w:r>
      <w:r w:rsidR="002C330E" w:rsidRPr="00D5464D">
        <w:rPr>
          <w:rFonts w:cs="Arial"/>
          <w:iCs/>
          <w:szCs w:val="20"/>
          <w:lang w:val="pt-BR"/>
        </w:rPr>
        <w:t>prejuízo</w:t>
      </w:r>
      <w:r w:rsidR="00D81AA1" w:rsidRPr="00D5464D">
        <w:rPr>
          <w:rFonts w:cs="Arial"/>
          <w:iCs/>
          <w:szCs w:val="20"/>
          <w:lang w:val="pt-BR"/>
        </w:rPr>
        <w:t xml:space="preserve"> de </w:t>
      </w:r>
      <w:r w:rsidR="00E045D9" w:rsidRPr="00D5464D">
        <w:rPr>
          <w:rFonts w:cs="Arial"/>
          <w:iCs/>
          <w:szCs w:val="20"/>
          <w:lang w:val="pt-BR"/>
        </w:rPr>
        <w:t>seus familiares</w:t>
      </w:r>
      <w:r w:rsidR="00D81AA1" w:rsidRPr="00D5464D">
        <w:rPr>
          <w:rFonts w:cs="Arial"/>
          <w:iCs/>
          <w:szCs w:val="20"/>
          <w:lang w:val="pt-BR"/>
        </w:rPr>
        <w:t>.</w:t>
      </w:r>
    </w:p>
    <w:p w14:paraId="241D6532" w14:textId="77777777" w:rsidR="00D1019C" w:rsidRPr="00D5464D" w:rsidRDefault="00D1019C" w:rsidP="00D81AA1">
      <w:pPr>
        <w:pStyle w:val="Prrafodelista"/>
        <w:autoSpaceDE w:val="0"/>
        <w:autoSpaceDN w:val="0"/>
        <w:adjustRightInd w:val="0"/>
        <w:ind w:left="0"/>
        <w:contextualSpacing w:val="0"/>
        <w:rPr>
          <w:rFonts w:cs="Arial"/>
          <w:b/>
          <w:iCs/>
          <w:szCs w:val="20"/>
          <w:lang w:val="pt-BR"/>
        </w:rPr>
      </w:pPr>
    </w:p>
    <w:p w14:paraId="16BFF9A5" w14:textId="77777777" w:rsidR="004D4500" w:rsidRPr="00D5464D" w:rsidRDefault="00D609BD" w:rsidP="0039404C">
      <w:pPr>
        <w:keepNext/>
        <w:keepLines/>
        <w:tabs>
          <w:tab w:val="clear" w:pos="4419"/>
          <w:tab w:val="clear" w:pos="8838"/>
        </w:tabs>
        <w:jc w:val="center"/>
        <w:outlineLvl w:val="0"/>
        <w:rPr>
          <w:rFonts w:eastAsia="Times New Roman" w:cs="Verdana"/>
          <w:b/>
          <w:bCs/>
          <w:caps/>
          <w:snapToGrid w:val="0"/>
          <w:szCs w:val="20"/>
          <w:lang w:val="pt-BR" w:eastAsia="es-ES"/>
        </w:rPr>
      </w:pPr>
      <w:bookmarkStart w:id="436" w:name="_Toc460432528"/>
      <w:bookmarkStart w:id="437" w:name="_Toc468433943"/>
      <w:r w:rsidRPr="00D5464D">
        <w:rPr>
          <w:rFonts w:eastAsia="Times New Roman" w:cs="Verdana"/>
          <w:b/>
          <w:bCs/>
          <w:caps/>
          <w:snapToGrid w:val="0"/>
          <w:szCs w:val="20"/>
          <w:lang w:val="pt-BR" w:eastAsia="es-ES"/>
        </w:rPr>
        <w:t>IX</w:t>
      </w:r>
      <w:bookmarkEnd w:id="436"/>
      <w:bookmarkEnd w:id="437"/>
    </w:p>
    <w:p w14:paraId="5DD8F78C" w14:textId="14713D8D" w:rsidR="00D609BD" w:rsidRPr="00D5464D" w:rsidRDefault="00D609BD" w:rsidP="0039404C">
      <w:pPr>
        <w:keepNext/>
        <w:keepLines/>
        <w:tabs>
          <w:tab w:val="clear" w:pos="4419"/>
          <w:tab w:val="clear" w:pos="8838"/>
        </w:tabs>
        <w:jc w:val="center"/>
        <w:outlineLvl w:val="0"/>
        <w:rPr>
          <w:rFonts w:eastAsia="Times New Roman" w:cs="Verdana"/>
          <w:b/>
          <w:bCs/>
          <w:caps/>
          <w:snapToGrid w:val="0"/>
          <w:szCs w:val="20"/>
          <w:lang w:val="pt-BR" w:eastAsia="es-ES"/>
        </w:rPr>
      </w:pPr>
      <w:bookmarkStart w:id="438" w:name="_Toc468433944"/>
      <w:r w:rsidRPr="00D5464D">
        <w:rPr>
          <w:rFonts w:eastAsia="Times New Roman" w:cs="Verdana"/>
          <w:b/>
          <w:bCs/>
          <w:caps/>
          <w:snapToGrid w:val="0"/>
          <w:szCs w:val="20"/>
          <w:lang w:val="pt-BR" w:eastAsia="es-ES"/>
        </w:rPr>
        <w:t>REPARA</w:t>
      </w:r>
      <w:r w:rsidR="00470ADC" w:rsidRPr="00D5464D">
        <w:rPr>
          <w:rFonts w:eastAsia="Times New Roman" w:cs="Verdana"/>
          <w:b/>
          <w:bCs/>
          <w:caps/>
          <w:snapToGrid w:val="0"/>
          <w:szCs w:val="20"/>
          <w:lang w:val="pt-BR" w:eastAsia="es-ES"/>
        </w:rPr>
        <w:t>ÇÕES</w:t>
      </w:r>
      <w:bookmarkEnd w:id="438"/>
    </w:p>
    <w:p w14:paraId="679D9012" w14:textId="12454666" w:rsidR="00D609BD" w:rsidRPr="00D5464D" w:rsidRDefault="00D609BD" w:rsidP="0039404C">
      <w:pPr>
        <w:keepNext/>
        <w:keepLines/>
        <w:tabs>
          <w:tab w:val="clear" w:pos="4419"/>
          <w:tab w:val="clear" w:pos="8838"/>
        </w:tabs>
        <w:jc w:val="center"/>
        <w:outlineLvl w:val="0"/>
        <w:rPr>
          <w:rFonts w:eastAsia="Times New Roman" w:cs="Verdana"/>
          <w:b/>
          <w:bCs/>
          <w:caps/>
          <w:snapToGrid w:val="0"/>
          <w:szCs w:val="20"/>
          <w:lang w:val="pt-BR" w:eastAsia="es-ES"/>
        </w:rPr>
      </w:pPr>
      <w:bookmarkStart w:id="439" w:name="_Toc460432530"/>
      <w:bookmarkStart w:id="440" w:name="_Toc460433059"/>
      <w:bookmarkStart w:id="441" w:name="_Toc460441990"/>
      <w:bookmarkStart w:id="442" w:name="_Toc462751132"/>
      <w:bookmarkStart w:id="443" w:name="_Toc464813984"/>
      <w:bookmarkStart w:id="444" w:name="_Toc468433945"/>
      <w:r w:rsidRPr="00D5464D">
        <w:rPr>
          <w:rFonts w:eastAsia="Times New Roman" w:cs="Verdana"/>
          <w:b/>
          <w:bCs/>
          <w:caps/>
          <w:snapToGrid w:val="0"/>
          <w:szCs w:val="20"/>
          <w:lang w:val="pt-BR" w:eastAsia="es-ES"/>
        </w:rPr>
        <w:t>(Aplica</w:t>
      </w:r>
      <w:r w:rsidR="00470ADC" w:rsidRPr="00D5464D">
        <w:rPr>
          <w:rFonts w:eastAsia="Times New Roman" w:cs="Verdana"/>
          <w:b/>
          <w:bCs/>
          <w:caps/>
          <w:snapToGrid w:val="0"/>
          <w:szCs w:val="20"/>
          <w:lang w:val="pt-BR" w:eastAsia="es-ES"/>
        </w:rPr>
        <w:t>ção</w:t>
      </w:r>
      <w:r w:rsidRPr="00D5464D">
        <w:rPr>
          <w:rFonts w:eastAsia="Times New Roman" w:cs="Verdana"/>
          <w:b/>
          <w:bCs/>
          <w:caps/>
          <w:snapToGrid w:val="0"/>
          <w:szCs w:val="20"/>
          <w:lang w:val="pt-BR" w:eastAsia="es-ES"/>
        </w:rPr>
        <w:t xml:space="preserve"> </w:t>
      </w:r>
      <w:r w:rsidR="00470ADC" w:rsidRPr="00D5464D">
        <w:rPr>
          <w:rFonts w:eastAsia="Times New Roman" w:cs="Verdana"/>
          <w:b/>
          <w:bCs/>
          <w:caps/>
          <w:snapToGrid w:val="0"/>
          <w:szCs w:val="20"/>
          <w:lang w:val="pt-BR" w:eastAsia="es-ES"/>
        </w:rPr>
        <w:t>do Artigo</w:t>
      </w:r>
      <w:r w:rsidRPr="00D5464D">
        <w:rPr>
          <w:rFonts w:eastAsia="Times New Roman" w:cs="Verdana"/>
          <w:b/>
          <w:bCs/>
          <w:caps/>
          <w:snapToGrid w:val="0"/>
          <w:szCs w:val="20"/>
          <w:lang w:val="pt-BR" w:eastAsia="es-ES"/>
        </w:rPr>
        <w:t xml:space="preserve"> 63.1</w:t>
      </w:r>
      <w:r w:rsidR="00470ADC" w:rsidRPr="00D5464D">
        <w:rPr>
          <w:rFonts w:eastAsia="Times New Roman" w:cs="Verdana"/>
          <w:b/>
          <w:bCs/>
          <w:caps/>
          <w:snapToGrid w:val="0"/>
          <w:szCs w:val="20"/>
          <w:lang w:val="pt-BR" w:eastAsia="es-ES"/>
        </w:rPr>
        <w:t xml:space="preserve"> da </w:t>
      </w:r>
      <w:r w:rsidRPr="00D5464D">
        <w:rPr>
          <w:rFonts w:eastAsia="Times New Roman" w:cs="Verdana"/>
          <w:b/>
          <w:bCs/>
          <w:caps/>
          <w:snapToGrid w:val="0"/>
          <w:szCs w:val="20"/>
          <w:lang w:val="pt-BR" w:eastAsia="es-ES"/>
        </w:rPr>
        <w:t>Conven</w:t>
      </w:r>
      <w:r w:rsidR="00470ADC" w:rsidRPr="00D5464D">
        <w:rPr>
          <w:rFonts w:eastAsia="Times New Roman" w:cs="Verdana"/>
          <w:b/>
          <w:bCs/>
          <w:caps/>
          <w:snapToGrid w:val="0"/>
          <w:szCs w:val="20"/>
          <w:lang w:val="pt-BR" w:eastAsia="es-ES"/>
        </w:rPr>
        <w:t>ção</w:t>
      </w:r>
      <w:r w:rsidRPr="00D5464D">
        <w:rPr>
          <w:rFonts w:eastAsia="Times New Roman" w:cs="Verdana"/>
          <w:b/>
          <w:bCs/>
          <w:caps/>
          <w:snapToGrid w:val="0"/>
          <w:szCs w:val="20"/>
          <w:lang w:val="pt-BR" w:eastAsia="es-ES"/>
        </w:rPr>
        <w:t xml:space="preserve"> Americana)</w:t>
      </w:r>
      <w:bookmarkEnd w:id="439"/>
      <w:bookmarkEnd w:id="440"/>
      <w:bookmarkEnd w:id="441"/>
      <w:bookmarkEnd w:id="442"/>
      <w:bookmarkEnd w:id="443"/>
      <w:bookmarkEnd w:id="444"/>
    </w:p>
    <w:p w14:paraId="22ACF70E" w14:textId="77777777" w:rsidR="008F611E" w:rsidRPr="00D5464D" w:rsidRDefault="008F611E" w:rsidP="00D609BD">
      <w:pPr>
        <w:pStyle w:val="Prrafodelista"/>
        <w:autoSpaceDE w:val="0"/>
        <w:autoSpaceDN w:val="0"/>
        <w:adjustRightInd w:val="0"/>
        <w:ind w:left="0"/>
        <w:contextualSpacing w:val="0"/>
        <w:rPr>
          <w:rFonts w:cs="Arial"/>
          <w:iCs/>
          <w:szCs w:val="20"/>
          <w:lang w:val="pt-BR"/>
        </w:rPr>
      </w:pPr>
    </w:p>
    <w:p w14:paraId="608E98DE" w14:textId="374C40CE" w:rsidR="00D609BD" w:rsidRPr="00D5464D" w:rsidRDefault="00892333" w:rsidP="00D609BD">
      <w:pPr>
        <w:pStyle w:val="Prrafodelista"/>
        <w:numPr>
          <w:ilvl w:val="0"/>
          <w:numId w:val="1"/>
        </w:numPr>
        <w:autoSpaceDE w:val="0"/>
        <w:autoSpaceDN w:val="0"/>
        <w:adjustRightInd w:val="0"/>
        <w:rPr>
          <w:rFonts w:cs="Arial"/>
          <w:iCs/>
          <w:szCs w:val="20"/>
          <w:lang w:val="pt-BR"/>
        </w:rPr>
      </w:pPr>
      <w:r w:rsidRPr="00D5464D">
        <w:rPr>
          <w:rFonts w:cs="Arial"/>
          <w:iCs/>
          <w:szCs w:val="20"/>
          <w:lang w:val="pt-BR"/>
        </w:rPr>
        <w:t>Com</w:t>
      </w:r>
      <w:r w:rsidR="002C330E" w:rsidRPr="00D5464D">
        <w:rPr>
          <w:rFonts w:cs="Arial"/>
          <w:iCs/>
          <w:szCs w:val="20"/>
          <w:lang w:val="pt-BR"/>
        </w:rPr>
        <w:t xml:space="preserve"> </w:t>
      </w:r>
      <w:r w:rsidR="00D609BD" w:rsidRPr="00D5464D">
        <w:rPr>
          <w:rFonts w:cs="Arial"/>
          <w:iCs/>
          <w:szCs w:val="20"/>
          <w:lang w:val="pt-BR"/>
        </w:rPr>
        <w:t>base</w:t>
      </w:r>
      <w:r w:rsidR="00C176E3" w:rsidRPr="00D5464D">
        <w:rPr>
          <w:rFonts w:cs="Arial"/>
          <w:iCs/>
          <w:szCs w:val="20"/>
          <w:lang w:val="pt-BR"/>
        </w:rPr>
        <w:t xml:space="preserve"> n</w:t>
      </w:r>
      <w:r w:rsidR="00470ADC" w:rsidRPr="00D5464D">
        <w:rPr>
          <w:rFonts w:cs="Arial"/>
          <w:iCs/>
          <w:szCs w:val="20"/>
          <w:lang w:val="pt-BR"/>
        </w:rPr>
        <w:t>o dispost</w:t>
      </w:r>
      <w:r w:rsidR="00D609BD" w:rsidRPr="00D5464D">
        <w:rPr>
          <w:rFonts w:cs="Arial"/>
          <w:iCs/>
          <w:szCs w:val="20"/>
          <w:lang w:val="pt-BR"/>
        </w:rPr>
        <w:t>o</w:t>
      </w:r>
      <w:r w:rsidR="00E045D9" w:rsidRPr="00D5464D">
        <w:rPr>
          <w:rFonts w:cs="Arial"/>
          <w:iCs/>
          <w:szCs w:val="20"/>
          <w:lang w:val="pt-BR"/>
        </w:rPr>
        <w:t xml:space="preserve"> no </w:t>
      </w:r>
      <w:r w:rsidR="00470ADC" w:rsidRPr="00D5464D">
        <w:rPr>
          <w:rFonts w:cs="Arial"/>
          <w:iCs/>
          <w:szCs w:val="20"/>
          <w:lang w:val="pt-BR"/>
        </w:rPr>
        <w:t>artigo</w:t>
      </w:r>
      <w:r w:rsidR="00D609BD" w:rsidRPr="00D5464D">
        <w:rPr>
          <w:rFonts w:cs="Arial"/>
          <w:iCs/>
          <w:szCs w:val="20"/>
          <w:lang w:val="pt-BR"/>
        </w:rPr>
        <w:t xml:space="preserve"> 63.1</w:t>
      </w:r>
      <w:r w:rsidR="00470ADC" w:rsidRPr="00D5464D">
        <w:rPr>
          <w:rFonts w:cs="Arial"/>
          <w:iCs/>
          <w:szCs w:val="20"/>
          <w:lang w:val="pt-BR"/>
        </w:rPr>
        <w:t xml:space="preserve"> da </w:t>
      </w:r>
      <w:r w:rsidR="00D609BD" w:rsidRPr="00D5464D">
        <w:rPr>
          <w:rFonts w:cs="Arial"/>
          <w:iCs/>
          <w:szCs w:val="20"/>
          <w:lang w:val="pt-BR"/>
        </w:rPr>
        <w:t>Conven</w:t>
      </w:r>
      <w:r w:rsidR="00470ADC" w:rsidRPr="00D5464D">
        <w:rPr>
          <w:rFonts w:cs="Arial"/>
          <w:iCs/>
          <w:szCs w:val="20"/>
          <w:lang w:val="pt-BR"/>
        </w:rPr>
        <w:t>ção</w:t>
      </w:r>
      <w:r w:rsidR="00D609BD" w:rsidRPr="00D5464D">
        <w:rPr>
          <w:rFonts w:cs="Arial"/>
          <w:iCs/>
          <w:szCs w:val="20"/>
          <w:lang w:val="pt-BR"/>
        </w:rPr>
        <w:t xml:space="preserve"> Americana</w:t>
      </w:r>
      <w:r w:rsidR="0025611E" w:rsidRPr="00D5464D">
        <w:rPr>
          <w:rFonts w:cs="Arial"/>
          <w:iCs/>
          <w:szCs w:val="20"/>
          <w:lang w:val="pt-BR"/>
        </w:rPr>
        <w:t>,</w:t>
      </w:r>
      <w:r w:rsidR="00D609BD" w:rsidRPr="00D5464D">
        <w:rPr>
          <w:rFonts w:cs="Arial"/>
          <w:iCs/>
          <w:szCs w:val="20"/>
          <w:vertAlign w:val="superscript"/>
          <w:lang w:val="pt-BR"/>
        </w:rPr>
        <w:footnoteReference w:id="518"/>
      </w:r>
      <w:r w:rsidR="002C330E" w:rsidRPr="00D5464D">
        <w:rPr>
          <w:rFonts w:cs="Arial"/>
          <w:iCs/>
          <w:szCs w:val="20"/>
          <w:lang w:val="pt-BR"/>
        </w:rPr>
        <w:t xml:space="preserve"> a </w:t>
      </w:r>
      <w:r w:rsidR="00D609BD" w:rsidRPr="00D5464D">
        <w:rPr>
          <w:rFonts w:cs="Arial"/>
          <w:iCs/>
          <w:szCs w:val="20"/>
          <w:lang w:val="pt-BR"/>
        </w:rPr>
        <w:t xml:space="preserve">Corte </w:t>
      </w:r>
      <w:r w:rsidR="002C330E" w:rsidRPr="00D5464D">
        <w:rPr>
          <w:rFonts w:cs="Arial"/>
          <w:iCs/>
          <w:szCs w:val="20"/>
          <w:lang w:val="pt-BR"/>
        </w:rPr>
        <w:t>indicou</w:t>
      </w:r>
      <w:r w:rsidR="00D609BD" w:rsidRPr="00D5464D">
        <w:rPr>
          <w:rFonts w:cs="Arial"/>
          <w:iCs/>
          <w:szCs w:val="20"/>
          <w:lang w:val="pt-BR"/>
        </w:rPr>
        <w:t xml:space="preserve"> que toda viola</w:t>
      </w:r>
      <w:r w:rsidR="00470ADC" w:rsidRPr="00D5464D">
        <w:rPr>
          <w:rFonts w:cs="Arial"/>
          <w:iCs/>
          <w:szCs w:val="20"/>
          <w:lang w:val="pt-BR"/>
        </w:rPr>
        <w:t>ção</w:t>
      </w:r>
      <w:r w:rsidR="00D609BD" w:rsidRPr="00D5464D">
        <w:rPr>
          <w:rFonts w:cs="Arial"/>
          <w:iCs/>
          <w:szCs w:val="20"/>
          <w:lang w:val="pt-BR"/>
        </w:rPr>
        <w:t xml:space="preserve"> de</w:t>
      </w:r>
      <w:r w:rsidR="00E045D9" w:rsidRPr="00D5464D">
        <w:rPr>
          <w:rFonts w:cs="Arial"/>
          <w:iCs/>
          <w:szCs w:val="20"/>
          <w:lang w:val="pt-BR"/>
        </w:rPr>
        <w:t xml:space="preserve"> uma </w:t>
      </w:r>
      <w:r w:rsidR="002C330E" w:rsidRPr="00D5464D">
        <w:rPr>
          <w:rFonts w:cs="Arial"/>
          <w:iCs/>
          <w:szCs w:val="20"/>
          <w:lang w:val="pt-BR"/>
        </w:rPr>
        <w:t>obrigação</w:t>
      </w:r>
      <w:r w:rsidR="00D609BD" w:rsidRPr="00D5464D">
        <w:rPr>
          <w:rFonts w:cs="Arial"/>
          <w:iCs/>
          <w:szCs w:val="20"/>
          <w:lang w:val="pt-BR"/>
        </w:rPr>
        <w:t xml:space="preserve"> internacional que</w:t>
      </w:r>
      <w:r w:rsidR="00E045D9" w:rsidRPr="00D5464D">
        <w:rPr>
          <w:rFonts w:cs="Arial"/>
          <w:iCs/>
          <w:szCs w:val="20"/>
          <w:lang w:val="pt-BR"/>
        </w:rPr>
        <w:t xml:space="preserve"> </w:t>
      </w:r>
      <w:r w:rsidR="00C91CB1" w:rsidRPr="00D5464D">
        <w:rPr>
          <w:rFonts w:cs="Arial"/>
          <w:iCs/>
          <w:szCs w:val="20"/>
          <w:lang w:val="pt-BR"/>
        </w:rPr>
        <w:t xml:space="preserve">tenha </w:t>
      </w:r>
      <w:r w:rsidRPr="00D5464D">
        <w:rPr>
          <w:rFonts w:cs="Arial"/>
          <w:iCs/>
          <w:szCs w:val="20"/>
          <w:lang w:val="pt-BR"/>
        </w:rPr>
        <w:t xml:space="preserve">provocado </w:t>
      </w:r>
      <w:r w:rsidR="00470ADC" w:rsidRPr="00D5464D">
        <w:rPr>
          <w:rFonts w:cs="Arial"/>
          <w:iCs/>
          <w:szCs w:val="20"/>
          <w:lang w:val="pt-BR"/>
        </w:rPr>
        <w:t>dano</w:t>
      </w:r>
      <w:r w:rsidR="00D609BD" w:rsidRPr="00D5464D">
        <w:rPr>
          <w:rFonts w:cs="Arial"/>
          <w:iCs/>
          <w:szCs w:val="20"/>
          <w:lang w:val="pt-BR"/>
        </w:rPr>
        <w:t xml:space="preserve"> </w:t>
      </w:r>
      <w:r w:rsidRPr="00D5464D">
        <w:rPr>
          <w:rFonts w:cs="Arial"/>
          <w:iCs/>
          <w:szCs w:val="20"/>
          <w:lang w:val="pt-BR"/>
        </w:rPr>
        <w:t xml:space="preserve">compreende </w:t>
      </w:r>
      <w:r w:rsidR="00470ADC" w:rsidRPr="00D5464D">
        <w:rPr>
          <w:rFonts w:cs="Arial"/>
          <w:iCs/>
          <w:szCs w:val="20"/>
          <w:lang w:val="pt-BR"/>
        </w:rPr>
        <w:t>o dever</w:t>
      </w:r>
      <w:r w:rsidR="00D609BD" w:rsidRPr="00D5464D">
        <w:rPr>
          <w:rFonts w:cs="Arial"/>
          <w:iCs/>
          <w:szCs w:val="20"/>
          <w:lang w:val="pt-BR"/>
        </w:rPr>
        <w:t xml:space="preserve"> de </w:t>
      </w:r>
      <w:r w:rsidR="00737270" w:rsidRPr="00D5464D">
        <w:rPr>
          <w:rFonts w:cs="Arial"/>
          <w:iCs/>
          <w:szCs w:val="20"/>
          <w:lang w:val="pt-BR"/>
        </w:rPr>
        <w:t>repará-l</w:t>
      </w:r>
      <w:r w:rsidR="00D609BD" w:rsidRPr="00D5464D">
        <w:rPr>
          <w:rFonts w:cs="Arial"/>
          <w:iCs/>
          <w:szCs w:val="20"/>
          <w:lang w:val="pt-BR"/>
        </w:rPr>
        <w:t xml:space="preserve">o </w:t>
      </w:r>
      <w:r w:rsidR="00470ADC" w:rsidRPr="00D5464D">
        <w:rPr>
          <w:rFonts w:cs="Arial"/>
          <w:iCs/>
          <w:szCs w:val="20"/>
          <w:lang w:val="pt-BR"/>
        </w:rPr>
        <w:t>adequad</w:t>
      </w:r>
      <w:r w:rsidR="00D609BD" w:rsidRPr="00D5464D">
        <w:rPr>
          <w:rFonts w:cs="Arial"/>
          <w:iCs/>
          <w:szCs w:val="20"/>
          <w:lang w:val="pt-BR"/>
        </w:rPr>
        <w:t>amente</w:t>
      </w:r>
      <w:r w:rsidR="0025611E" w:rsidRPr="00D5464D">
        <w:rPr>
          <w:rFonts w:cs="Arial"/>
          <w:iCs/>
          <w:szCs w:val="20"/>
          <w:lang w:val="pt-BR"/>
        </w:rPr>
        <w:t>,</w:t>
      </w:r>
      <w:r w:rsidR="00D609BD" w:rsidRPr="00D5464D">
        <w:rPr>
          <w:rFonts w:cs="Arial"/>
          <w:iCs/>
          <w:szCs w:val="20"/>
          <w:vertAlign w:val="superscript"/>
          <w:lang w:val="pt-BR"/>
        </w:rPr>
        <w:footnoteReference w:id="519"/>
      </w:r>
      <w:r w:rsidR="00470ADC" w:rsidRPr="00D5464D">
        <w:rPr>
          <w:rFonts w:cs="Arial"/>
          <w:iCs/>
          <w:szCs w:val="20"/>
          <w:lang w:val="pt-BR"/>
        </w:rPr>
        <w:t xml:space="preserve"> e</w:t>
      </w:r>
      <w:r w:rsidR="00D609BD" w:rsidRPr="00D5464D">
        <w:rPr>
          <w:rFonts w:cs="Arial"/>
          <w:iCs/>
          <w:szCs w:val="20"/>
          <w:lang w:val="pt-BR"/>
        </w:rPr>
        <w:t xml:space="preserve"> que</w:t>
      </w:r>
      <w:r w:rsidR="00470ADC" w:rsidRPr="00D5464D">
        <w:rPr>
          <w:rFonts w:cs="Arial"/>
          <w:iCs/>
          <w:szCs w:val="20"/>
          <w:lang w:val="pt-BR"/>
        </w:rPr>
        <w:t xml:space="preserve"> essa </w:t>
      </w:r>
      <w:r w:rsidR="00D609BD" w:rsidRPr="00D5464D">
        <w:rPr>
          <w:rFonts w:cs="Arial"/>
          <w:iCs/>
          <w:szCs w:val="20"/>
          <w:lang w:val="pt-BR"/>
        </w:rPr>
        <w:t>disposi</w:t>
      </w:r>
      <w:r w:rsidR="00470ADC" w:rsidRPr="00D5464D">
        <w:rPr>
          <w:rFonts w:cs="Arial"/>
          <w:iCs/>
          <w:szCs w:val="20"/>
          <w:lang w:val="pt-BR"/>
        </w:rPr>
        <w:t>ção</w:t>
      </w:r>
      <w:r w:rsidR="00D609BD" w:rsidRPr="00D5464D">
        <w:rPr>
          <w:rFonts w:cs="Arial"/>
          <w:iCs/>
          <w:szCs w:val="20"/>
          <w:lang w:val="pt-BR"/>
        </w:rPr>
        <w:t xml:space="preserve"> </w:t>
      </w:r>
      <w:r w:rsidRPr="00D5464D">
        <w:rPr>
          <w:rFonts w:cs="Arial"/>
          <w:iCs/>
          <w:szCs w:val="20"/>
          <w:lang w:val="pt-BR"/>
        </w:rPr>
        <w:t xml:space="preserve">reflete </w:t>
      </w:r>
      <w:r w:rsidR="00E045D9" w:rsidRPr="00D5464D">
        <w:rPr>
          <w:rFonts w:cs="Arial"/>
          <w:iCs/>
          <w:szCs w:val="20"/>
          <w:lang w:val="pt-BR"/>
        </w:rPr>
        <w:t xml:space="preserve">uma </w:t>
      </w:r>
      <w:r w:rsidR="00D609BD" w:rsidRPr="00D5464D">
        <w:rPr>
          <w:rFonts w:cs="Arial"/>
          <w:iCs/>
          <w:szCs w:val="20"/>
          <w:lang w:val="pt-BR"/>
        </w:rPr>
        <w:t xml:space="preserve">norma </w:t>
      </w:r>
      <w:r w:rsidR="00470ADC" w:rsidRPr="00D5464D">
        <w:rPr>
          <w:rFonts w:cs="Arial"/>
          <w:iCs/>
          <w:szCs w:val="20"/>
          <w:lang w:val="pt-BR"/>
        </w:rPr>
        <w:t>consuetudinária</w:t>
      </w:r>
      <w:r w:rsidR="00D609BD" w:rsidRPr="00D5464D">
        <w:rPr>
          <w:rFonts w:cs="Arial"/>
          <w:iCs/>
          <w:szCs w:val="20"/>
          <w:lang w:val="pt-BR"/>
        </w:rPr>
        <w:t xml:space="preserve"> que </w:t>
      </w:r>
      <w:r w:rsidR="00470ADC" w:rsidRPr="00D5464D">
        <w:rPr>
          <w:rFonts w:cs="Arial"/>
          <w:iCs/>
          <w:szCs w:val="20"/>
          <w:lang w:val="pt-BR"/>
        </w:rPr>
        <w:t>constitui</w:t>
      </w:r>
      <w:r w:rsidR="00D609BD" w:rsidRPr="00D5464D">
        <w:rPr>
          <w:rFonts w:cs="Arial"/>
          <w:iCs/>
          <w:szCs w:val="20"/>
          <w:lang w:val="pt-BR"/>
        </w:rPr>
        <w:t xml:space="preserve"> </w:t>
      </w:r>
      <w:r w:rsidR="00737270" w:rsidRPr="00D5464D">
        <w:rPr>
          <w:rFonts w:cs="Arial"/>
          <w:iCs/>
          <w:szCs w:val="20"/>
          <w:lang w:val="pt-BR"/>
        </w:rPr>
        <w:t>um dos</w:t>
      </w:r>
      <w:r w:rsidR="00470ADC" w:rsidRPr="00D5464D">
        <w:rPr>
          <w:rFonts w:cs="Arial"/>
          <w:iCs/>
          <w:szCs w:val="20"/>
          <w:lang w:val="pt-BR"/>
        </w:rPr>
        <w:t xml:space="preserve"> </w:t>
      </w:r>
      <w:r w:rsidR="002C330E" w:rsidRPr="00D5464D">
        <w:rPr>
          <w:rFonts w:cs="Arial"/>
          <w:iCs/>
          <w:szCs w:val="20"/>
          <w:lang w:val="pt-BR"/>
        </w:rPr>
        <w:t>princípio</w:t>
      </w:r>
      <w:r w:rsidR="00D609BD" w:rsidRPr="00D5464D">
        <w:rPr>
          <w:rFonts w:cs="Arial"/>
          <w:iCs/>
          <w:szCs w:val="20"/>
          <w:lang w:val="pt-BR"/>
        </w:rPr>
        <w:t xml:space="preserve">s </w:t>
      </w:r>
      <w:r w:rsidR="002C330E" w:rsidRPr="00D5464D">
        <w:rPr>
          <w:rFonts w:cs="Arial"/>
          <w:iCs/>
          <w:szCs w:val="20"/>
          <w:lang w:val="pt-BR"/>
        </w:rPr>
        <w:t>fundamentais</w:t>
      </w:r>
      <w:r w:rsidR="00D609BD" w:rsidRPr="00D5464D">
        <w:rPr>
          <w:rFonts w:cs="Arial"/>
          <w:iCs/>
          <w:szCs w:val="20"/>
          <w:lang w:val="pt-BR"/>
        </w:rPr>
        <w:t xml:space="preserve"> </w:t>
      </w:r>
      <w:r w:rsidR="00470ADC" w:rsidRPr="00D5464D">
        <w:rPr>
          <w:rFonts w:cs="Arial"/>
          <w:iCs/>
          <w:szCs w:val="20"/>
          <w:lang w:val="pt-BR"/>
        </w:rPr>
        <w:t xml:space="preserve">do </w:t>
      </w:r>
      <w:r w:rsidR="00E765C2" w:rsidRPr="00D5464D">
        <w:rPr>
          <w:rFonts w:cs="Arial"/>
          <w:iCs/>
          <w:szCs w:val="20"/>
          <w:lang w:val="pt-BR"/>
        </w:rPr>
        <w:t>Direito Internacional</w:t>
      </w:r>
      <w:r w:rsidR="00D609BD" w:rsidRPr="00D5464D">
        <w:rPr>
          <w:rFonts w:cs="Arial"/>
          <w:iCs/>
          <w:szCs w:val="20"/>
          <w:lang w:val="pt-BR"/>
        </w:rPr>
        <w:t xml:space="preserve"> </w:t>
      </w:r>
      <w:r w:rsidR="00470ADC" w:rsidRPr="00D5464D">
        <w:rPr>
          <w:rFonts w:cs="Arial"/>
          <w:iCs/>
          <w:szCs w:val="20"/>
          <w:lang w:val="pt-BR"/>
        </w:rPr>
        <w:t>contemporâneo</w:t>
      </w:r>
      <w:r w:rsidR="00D609BD" w:rsidRPr="00D5464D">
        <w:rPr>
          <w:rFonts w:cs="Arial"/>
          <w:iCs/>
          <w:szCs w:val="20"/>
          <w:lang w:val="pt-BR"/>
        </w:rPr>
        <w:t xml:space="preserve"> sobre </w:t>
      </w:r>
      <w:r w:rsidRPr="00D5464D">
        <w:rPr>
          <w:rFonts w:cs="Arial"/>
          <w:iCs/>
          <w:szCs w:val="20"/>
          <w:lang w:val="pt-BR"/>
        </w:rPr>
        <w:t xml:space="preserve">a </w:t>
      </w:r>
      <w:r w:rsidR="002C330E" w:rsidRPr="00D5464D">
        <w:rPr>
          <w:rFonts w:cs="Arial"/>
          <w:iCs/>
          <w:szCs w:val="20"/>
          <w:lang w:val="pt-BR"/>
        </w:rPr>
        <w:t xml:space="preserve">responsabilidade </w:t>
      </w:r>
      <w:r w:rsidR="00D609BD" w:rsidRPr="00D5464D">
        <w:rPr>
          <w:rFonts w:cs="Arial"/>
          <w:iCs/>
          <w:szCs w:val="20"/>
          <w:lang w:val="pt-BR"/>
        </w:rPr>
        <w:t>de</w:t>
      </w:r>
      <w:r w:rsidR="00E045D9" w:rsidRPr="00D5464D">
        <w:rPr>
          <w:rFonts w:cs="Arial"/>
          <w:iCs/>
          <w:szCs w:val="20"/>
          <w:lang w:val="pt-BR"/>
        </w:rPr>
        <w:t xml:space="preserve"> um </w:t>
      </w:r>
      <w:r w:rsidR="00D609BD" w:rsidRPr="00D5464D">
        <w:rPr>
          <w:rFonts w:cs="Arial"/>
          <w:iCs/>
          <w:szCs w:val="20"/>
          <w:lang w:val="pt-BR"/>
        </w:rPr>
        <w:t>Estado</w:t>
      </w:r>
      <w:r w:rsidR="0025611E" w:rsidRPr="00D5464D">
        <w:rPr>
          <w:rFonts w:cs="Arial"/>
          <w:iCs/>
          <w:szCs w:val="20"/>
          <w:lang w:val="pt-BR"/>
        </w:rPr>
        <w:t>.</w:t>
      </w:r>
      <w:r w:rsidR="00D609BD" w:rsidRPr="00D5464D">
        <w:rPr>
          <w:rFonts w:cs="Arial"/>
          <w:iCs/>
          <w:szCs w:val="20"/>
          <w:vertAlign w:val="superscript"/>
          <w:lang w:val="pt-BR"/>
        </w:rPr>
        <w:footnoteReference w:id="520"/>
      </w:r>
    </w:p>
    <w:p w14:paraId="5C120FF2" w14:textId="77777777" w:rsidR="00747A03" w:rsidRPr="00D5464D" w:rsidRDefault="00747A03" w:rsidP="00747A03">
      <w:pPr>
        <w:pStyle w:val="Prrafodelista"/>
        <w:autoSpaceDE w:val="0"/>
        <w:autoSpaceDN w:val="0"/>
        <w:adjustRightInd w:val="0"/>
        <w:ind w:left="0"/>
        <w:rPr>
          <w:rFonts w:cs="Arial"/>
          <w:iCs/>
          <w:szCs w:val="20"/>
          <w:lang w:val="pt-BR"/>
        </w:rPr>
      </w:pPr>
    </w:p>
    <w:p w14:paraId="55CBD9AE" w14:textId="5C8D7D08" w:rsidR="00D609BD" w:rsidRPr="00D5464D" w:rsidRDefault="00470ADC" w:rsidP="00D609BD">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A </w:t>
      </w:r>
      <w:r w:rsidR="00D609BD" w:rsidRPr="00D5464D">
        <w:rPr>
          <w:rFonts w:cs="Arial"/>
          <w:bCs/>
          <w:iCs/>
          <w:szCs w:val="20"/>
          <w:lang w:val="pt-BR"/>
        </w:rPr>
        <w:t>repara</w:t>
      </w:r>
      <w:r w:rsidRPr="00D5464D">
        <w:rPr>
          <w:rFonts w:cs="Arial"/>
          <w:bCs/>
          <w:iCs/>
          <w:szCs w:val="20"/>
          <w:lang w:val="pt-BR"/>
        </w:rPr>
        <w:t>ção</w:t>
      </w:r>
      <w:r w:rsidR="00D609BD" w:rsidRPr="00D5464D">
        <w:rPr>
          <w:rFonts w:cs="Arial"/>
          <w:bCs/>
          <w:iCs/>
          <w:szCs w:val="20"/>
          <w:lang w:val="pt-BR"/>
        </w:rPr>
        <w:t xml:space="preserve"> </w:t>
      </w:r>
      <w:r w:rsidRPr="00D5464D">
        <w:rPr>
          <w:rFonts w:cs="Arial"/>
          <w:bCs/>
          <w:iCs/>
          <w:szCs w:val="20"/>
          <w:lang w:val="pt-BR"/>
        </w:rPr>
        <w:t>do dano</w:t>
      </w:r>
      <w:r w:rsidR="00D609BD" w:rsidRPr="00D5464D">
        <w:rPr>
          <w:rFonts w:cs="Arial"/>
          <w:bCs/>
          <w:iCs/>
          <w:szCs w:val="20"/>
          <w:lang w:val="pt-BR"/>
        </w:rPr>
        <w:t xml:space="preserve"> </w:t>
      </w:r>
      <w:r w:rsidR="002C0F86" w:rsidRPr="00D5464D">
        <w:rPr>
          <w:rFonts w:cs="Arial"/>
          <w:bCs/>
          <w:iCs/>
          <w:szCs w:val="20"/>
          <w:lang w:val="pt-BR"/>
        </w:rPr>
        <w:t xml:space="preserve">causado </w:t>
      </w:r>
      <w:r w:rsidR="002C330E" w:rsidRPr="00D5464D">
        <w:rPr>
          <w:rFonts w:cs="Arial"/>
          <w:bCs/>
          <w:iCs/>
          <w:szCs w:val="20"/>
          <w:lang w:val="pt-BR"/>
        </w:rPr>
        <w:t>pela infração</w:t>
      </w:r>
      <w:r w:rsidR="00D609BD" w:rsidRPr="00D5464D">
        <w:rPr>
          <w:rFonts w:cs="Arial"/>
          <w:bCs/>
          <w:iCs/>
          <w:szCs w:val="20"/>
          <w:lang w:val="pt-BR"/>
        </w:rPr>
        <w:t xml:space="preserve"> de</w:t>
      </w:r>
      <w:r w:rsidR="00E045D9" w:rsidRPr="00D5464D">
        <w:rPr>
          <w:rFonts w:cs="Arial"/>
          <w:bCs/>
          <w:iCs/>
          <w:szCs w:val="20"/>
          <w:lang w:val="pt-BR"/>
        </w:rPr>
        <w:t xml:space="preserve"> uma </w:t>
      </w:r>
      <w:r w:rsidR="002C330E" w:rsidRPr="00D5464D">
        <w:rPr>
          <w:rFonts w:cs="Arial"/>
          <w:bCs/>
          <w:iCs/>
          <w:szCs w:val="20"/>
          <w:lang w:val="pt-BR"/>
        </w:rPr>
        <w:t>obrigação</w:t>
      </w:r>
      <w:r w:rsidR="00D609BD" w:rsidRPr="00D5464D">
        <w:rPr>
          <w:rFonts w:cs="Arial"/>
          <w:bCs/>
          <w:iCs/>
          <w:szCs w:val="20"/>
          <w:lang w:val="pt-BR"/>
        </w:rPr>
        <w:t xml:space="preserve"> internacional </w:t>
      </w:r>
      <w:r w:rsidR="00737270" w:rsidRPr="00D5464D">
        <w:rPr>
          <w:rFonts w:cs="Arial"/>
          <w:bCs/>
          <w:iCs/>
          <w:szCs w:val="20"/>
          <w:lang w:val="pt-BR"/>
        </w:rPr>
        <w:t>requer</w:t>
      </w:r>
      <w:r w:rsidR="00D609BD" w:rsidRPr="00D5464D">
        <w:rPr>
          <w:rFonts w:cs="Arial"/>
          <w:bCs/>
          <w:iCs/>
          <w:szCs w:val="20"/>
          <w:lang w:val="pt-BR"/>
        </w:rPr>
        <w:t xml:space="preserve">, </w:t>
      </w:r>
      <w:r w:rsidR="002C330E" w:rsidRPr="00D5464D">
        <w:rPr>
          <w:rFonts w:cs="Arial"/>
          <w:bCs/>
          <w:iCs/>
          <w:szCs w:val="20"/>
          <w:lang w:val="pt-BR"/>
        </w:rPr>
        <w:t>sempre</w:t>
      </w:r>
      <w:r w:rsidR="00D609BD" w:rsidRPr="00D5464D">
        <w:rPr>
          <w:rFonts w:cs="Arial"/>
          <w:bCs/>
          <w:iCs/>
          <w:szCs w:val="20"/>
          <w:lang w:val="pt-BR"/>
        </w:rPr>
        <w:t xml:space="preserve"> que</w:t>
      </w:r>
      <w:r w:rsidR="002C330E" w:rsidRPr="00D5464D">
        <w:rPr>
          <w:rFonts w:cs="Arial"/>
          <w:bCs/>
          <w:iCs/>
          <w:szCs w:val="20"/>
          <w:lang w:val="pt-BR"/>
        </w:rPr>
        <w:t xml:space="preserve"> seja </w:t>
      </w:r>
      <w:r w:rsidR="00E045D9" w:rsidRPr="00D5464D">
        <w:rPr>
          <w:rFonts w:cs="Arial"/>
          <w:bCs/>
          <w:iCs/>
          <w:szCs w:val="20"/>
          <w:lang w:val="pt-BR"/>
        </w:rPr>
        <w:t>possível,</w:t>
      </w:r>
      <w:r w:rsidR="002C330E" w:rsidRPr="00D5464D">
        <w:rPr>
          <w:rFonts w:cs="Arial"/>
          <w:bCs/>
          <w:iCs/>
          <w:szCs w:val="20"/>
          <w:lang w:val="pt-BR"/>
        </w:rPr>
        <w:t xml:space="preserve"> a </w:t>
      </w:r>
      <w:r w:rsidR="00D609BD" w:rsidRPr="00D5464D">
        <w:rPr>
          <w:rFonts w:cs="Arial"/>
          <w:bCs/>
          <w:iCs/>
          <w:szCs w:val="20"/>
          <w:lang w:val="pt-BR"/>
        </w:rPr>
        <w:t xml:space="preserve">plena </w:t>
      </w:r>
      <w:r w:rsidR="002C330E" w:rsidRPr="00D5464D">
        <w:rPr>
          <w:rFonts w:cs="Arial"/>
          <w:bCs/>
          <w:iCs/>
          <w:szCs w:val="20"/>
          <w:lang w:val="pt-BR"/>
        </w:rPr>
        <w:t>restituição</w:t>
      </w:r>
      <w:r w:rsidR="00D609BD" w:rsidRPr="00D5464D">
        <w:rPr>
          <w:rFonts w:cs="Arial"/>
          <w:bCs/>
          <w:iCs/>
          <w:szCs w:val="20"/>
          <w:lang w:val="pt-BR"/>
        </w:rPr>
        <w:t xml:space="preserve"> (</w:t>
      </w:r>
      <w:r w:rsidR="00D609BD" w:rsidRPr="00D5464D">
        <w:rPr>
          <w:rFonts w:cs="Arial"/>
          <w:bCs/>
          <w:i/>
          <w:iCs/>
          <w:szCs w:val="20"/>
          <w:lang w:val="pt-BR"/>
        </w:rPr>
        <w:t>restitutio in integrum</w:t>
      </w:r>
      <w:r w:rsidR="00D609BD" w:rsidRPr="00D5464D">
        <w:rPr>
          <w:rFonts w:cs="Arial"/>
          <w:bCs/>
          <w:iCs/>
          <w:szCs w:val="20"/>
          <w:lang w:val="pt-BR"/>
        </w:rPr>
        <w:t>), que consiste</w:t>
      </w:r>
      <w:r w:rsidR="00E045D9" w:rsidRPr="00D5464D">
        <w:rPr>
          <w:rFonts w:cs="Arial"/>
          <w:bCs/>
          <w:iCs/>
          <w:szCs w:val="20"/>
          <w:lang w:val="pt-BR"/>
        </w:rPr>
        <w:t xml:space="preserve"> no </w:t>
      </w:r>
      <w:r w:rsidR="00D609BD" w:rsidRPr="00D5464D">
        <w:rPr>
          <w:rFonts w:cs="Arial"/>
          <w:bCs/>
          <w:iCs/>
          <w:szCs w:val="20"/>
          <w:lang w:val="pt-BR"/>
        </w:rPr>
        <w:t>r</w:t>
      </w:r>
      <w:r w:rsidRPr="00D5464D">
        <w:rPr>
          <w:rFonts w:cs="Arial"/>
          <w:bCs/>
          <w:iCs/>
          <w:szCs w:val="20"/>
          <w:lang w:val="pt-BR"/>
        </w:rPr>
        <w:t xml:space="preserve">estabelecimento da </w:t>
      </w:r>
      <w:r w:rsidR="00D609BD" w:rsidRPr="00D5464D">
        <w:rPr>
          <w:rFonts w:cs="Arial"/>
          <w:bCs/>
          <w:iCs/>
          <w:szCs w:val="20"/>
          <w:lang w:val="pt-BR"/>
        </w:rPr>
        <w:t>situa</w:t>
      </w:r>
      <w:r w:rsidRPr="00D5464D">
        <w:rPr>
          <w:rFonts w:cs="Arial"/>
          <w:bCs/>
          <w:iCs/>
          <w:szCs w:val="20"/>
          <w:lang w:val="pt-BR"/>
        </w:rPr>
        <w:t>ção</w:t>
      </w:r>
      <w:r w:rsidR="00D609BD" w:rsidRPr="00D5464D">
        <w:rPr>
          <w:rFonts w:cs="Arial"/>
          <w:bCs/>
          <w:iCs/>
          <w:szCs w:val="20"/>
          <w:lang w:val="pt-BR"/>
        </w:rPr>
        <w:t xml:space="preserve"> anterior. </w:t>
      </w:r>
      <w:r w:rsidR="002C0F86" w:rsidRPr="00D5464D">
        <w:rPr>
          <w:rFonts w:cs="Arial"/>
          <w:bCs/>
          <w:iCs/>
          <w:szCs w:val="20"/>
          <w:lang w:val="pt-BR"/>
        </w:rPr>
        <w:t>Caso não seja possível</w:t>
      </w:r>
      <w:r w:rsidR="00D609BD" w:rsidRPr="00D5464D">
        <w:rPr>
          <w:rFonts w:cs="Arial"/>
          <w:bCs/>
          <w:iCs/>
          <w:szCs w:val="20"/>
          <w:lang w:val="pt-BR"/>
        </w:rPr>
        <w:t xml:space="preserve">, como </w:t>
      </w:r>
      <w:r w:rsidR="002C330E" w:rsidRPr="00D5464D">
        <w:rPr>
          <w:rFonts w:cs="Arial"/>
          <w:bCs/>
          <w:iCs/>
          <w:szCs w:val="20"/>
          <w:lang w:val="pt-BR"/>
        </w:rPr>
        <w:t>ocorre</w:t>
      </w:r>
      <w:r w:rsidR="00E045D9" w:rsidRPr="00D5464D">
        <w:rPr>
          <w:rFonts w:cs="Arial"/>
          <w:bCs/>
          <w:iCs/>
          <w:szCs w:val="20"/>
          <w:lang w:val="pt-BR"/>
        </w:rPr>
        <w:t xml:space="preserve"> na </w:t>
      </w:r>
      <w:r w:rsidR="002C330E" w:rsidRPr="00D5464D">
        <w:rPr>
          <w:rFonts w:cs="Arial"/>
          <w:bCs/>
          <w:iCs/>
          <w:szCs w:val="20"/>
          <w:lang w:val="pt-BR"/>
        </w:rPr>
        <w:t>maioria</w:t>
      </w:r>
      <w:r w:rsidRPr="00D5464D">
        <w:rPr>
          <w:rFonts w:cs="Arial"/>
          <w:bCs/>
          <w:iCs/>
          <w:szCs w:val="20"/>
          <w:lang w:val="pt-BR"/>
        </w:rPr>
        <w:t xml:space="preserve"> dos </w:t>
      </w:r>
      <w:r w:rsidR="00D609BD" w:rsidRPr="00D5464D">
        <w:rPr>
          <w:rFonts w:cs="Arial"/>
          <w:bCs/>
          <w:iCs/>
          <w:szCs w:val="20"/>
          <w:lang w:val="pt-BR"/>
        </w:rPr>
        <w:t>casos de viola</w:t>
      </w:r>
      <w:r w:rsidRPr="00D5464D">
        <w:rPr>
          <w:rFonts w:cs="Arial"/>
          <w:bCs/>
          <w:iCs/>
          <w:szCs w:val="20"/>
          <w:lang w:val="pt-BR"/>
        </w:rPr>
        <w:t>ções</w:t>
      </w:r>
      <w:r w:rsidR="00D609BD" w:rsidRPr="00D5464D">
        <w:rPr>
          <w:rFonts w:cs="Arial"/>
          <w:bCs/>
          <w:iCs/>
          <w:szCs w:val="20"/>
          <w:lang w:val="pt-BR"/>
        </w:rPr>
        <w:t xml:space="preserve"> </w:t>
      </w:r>
      <w:r w:rsidR="002C0F86" w:rsidRPr="00D5464D">
        <w:rPr>
          <w:rFonts w:cs="Arial"/>
          <w:bCs/>
          <w:iCs/>
          <w:szCs w:val="20"/>
          <w:lang w:val="pt-BR"/>
        </w:rPr>
        <w:t>de</w:t>
      </w:r>
      <w:r w:rsidR="00D609BD" w:rsidRPr="00D5464D">
        <w:rPr>
          <w:rFonts w:cs="Arial"/>
          <w:bCs/>
          <w:iCs/>
          <w:szCs w:val="20"/>
          <w:lang w:val="pt-BR"/>
        </w:rPr>
        <w:t xml:space="preserve"> </w:t>
      </w:r>
      <w:r w:rsidRPr="00D5464D">
        <w:rPr>
          <w:rFonts w:cs="Arial"/>
          <w:bCs/>
          <w:iCs/>
          <w:szCs w:val="20"/>
          <w:lang w:val="pt-BR"/>
        </w:rPr>
        <w:t>direito</w:t>
      </w:r>
      <w:r w:rsidR="00D609BD" w:rsidRPr="00D5464D">
        <w:rPr>
          <w:rFonts w:cs="Arial"/>
          <w:bCs/>
          <w:iCs/>
          <w:szCs w:val="20"/>
          <w:lang w:val="pt-BR"/>
        </w:rPr>
        <w:t>s humanos,</w:t>
      </w:r>
      <w:r w:rsidRPr="00D5464D">
        <w:rPr>
          <w:rFonts w:cs="Arial"/>
          <w:bCs/>
          <w:iCs/>
          <w:szCs w:val="20"/>
          <w:lang w:val="pt-BR"/>
        </w:rPr>
        <w:t xml:space="preserve"> o </w:t>
      </w:r>
      <w:r w:rsidR="00D609BD" w:rsidRPr="00D5464D">
        <w:rPr>
          <w:rFonts w:cs="Arial"/>
          <w:bCs/>
          <w:iCs/>
          <w:szCs w:val="20"/>
          <w:lang w:val="pt-BR"/>
        </w:rPr>
        <w:t xml:space="preserve">Tribunal determinará medidas para </w:t>
      </w:r>
      <w:r w:rsidR="002C330E" w:rsidRPr="00D5464D">
        <w:rPr>
          <w:rFonts w:cs="Arial"/>
          <w:bCs/>
          <w:iCs/>
          <w:szCs w:val="20"/>
          <w:lang w:val="pt-BR"/>
        </w:rPr>
        <w:t xml:space="preserve">garantir os </w:t>
      </w:r>
      <w:r w:rsidRPr="00D5464D">
        <w:rPr>
          <w:rFonts w:cs="Arial"/>
          <w:bCs/>
          <w:iCs/>
          <w:szCs w:val="20"/>
          <w:lang w:val="pt-BR"/>
        </w:rPr>
        <w:t>direito</w:t>
      </w:r>
      <w:r w:rsidR="00D609BD" w:rsidRPr="00D5464D">
        <w:rPr>
          <w:rFonts w:cs="Arial"/>
          <w:bCs/>
          <w:iCs/>
          <w:szCs w:val="20"/>
          <w:lang w:val="pt-BR"/>
        </w:rPr>
        <w:t xml:space="preserve">s </w:t>
      </w:r>
      <w:r w:rsidRPr="00D5464D">
        <w:rPr>
          <w:rFonts w:cs="Arial"/>
          <w:bCs/>
          <w:iCs/>
          <w:szCs w:val="20"/>
          <w:lang w:val="pt-BR"/>
        </w:rPr>
        <w:t>violado</w:t>
      </w:r>
      <w:r w:rsidR="00D609BD" w:rsidRPr="00D5464D">
        <w:rPr>
          <w:rFonts w:cs="Arial"/>
          <w:bCs/>
          <w:iCs/>
          <w:szCs w:val="20"/>
          <w:lang w:val="pt-BR"/>
        </w:rPr>
        <w:t>s</w:t>
      </w:r>
      <w:r w:rsidR="00E045D9" w:rsidRPr="00D5464D">
        <w:rPr>
          <w:rFonts w:cs="Arial"/>
          <w:bCs/>
          <w:iCs/>
          <w:szCs w:val="20"/>
          <w:lang w:val="pt-BR"/>
        </w:rPr>
        <w:t xml:space="preserve"> e </w:t>
      </w:r>
      <w:r w:rsidR="00D609BD" w:rsidRPr="00D5464D">
        <w:rPr>
          <w:rFonts w:cs="Arial"/>
          <w:bCs/>
          <w:iCs/>
          <w:szCs w:val="20"/>
          <w:lang w:val="pt-BR"/>
        </w:rPr>
        <w:t>reparar</w:t>
      </w:r>
      <w:r w:rsidR="002C330E" w:rsidRPr="00D5464D">
        <w:rPr>
          <w:rFonts w:cs="Arial"/>
          <w:bCs/>
          <w:iCs/>
          <w:szCs w:val="20"/>
          <w:lang w:val="pt-BR"/>
        </w:rPr>
        <w:t xml:space="preserve"> as </w:t>
      </w:r>
      <w:r w:rsidRPr="00D5464D">
        <w:rPr>
          <w:rFonts w:cs="Arial"/>
          <w:bCs/>
          <w:iCs/>
          <w:szCs w:val="20"/>
          <w:lang w:val="pt-BR"/>
        </w:rPr>
        <w:t>consequência</w:t>
      </w:r>
      <w:r w:rsidR="00D609BD" w:rsidRPr="00D5464D">
        <w:rPr>
          <w:rFonts w:cs="Arial"/>
          <w:bCs/>
          <w:iCs/>
          <w:szCs w:val="20"/>
          <w:lang w:val="pt-BR"/>
        </w:rPr>
        <w:t xml:space="preserve">s </w:t>
      </w:r>
      <w:r w:rsidR="002C0F86" w:rsidRPr="00D5464D">
        <w:rPr>
          <w:rFonts w:cs="Arial"/>
          <w:bCs/>
          <w:iCs/>
          <w:szCs w:val="20"/>
          <w:lang w:val="pt-BR"/>
        </w:rPr>
        <w:t xml:space="preserve">produzidas pelas </w:t>
      </w:r>
      <w:r w:rsidR="00D609BD" w:rsidRPr="00D5464D">
        <w:rPr>
          <w:rFonts w:cs="Arial"/>
          <w:bCs/>
          <w:iCs/>
          <w:szCs w:val="20"/>
          <w:lang w:val="pt-BR"/>
        </w:rPr>
        <w:t>infr</w:t>
      </w:r>
      <w:r w:rsidRPr="00D5464D">
        <w:rPr>
          <w:rFonts w:cs="Arial"/>
          <w:bCs/>
          <w:iCs/>
          <w:szCs w:val="20"/>
          <w:lang w:val="pt-BR"/>
        </w:rPr>
        <w:t>ações</w:t>
      </w:r>
      <w:r w:rsidR="0025611E" w:rsidRPr="00D5464D">
        <w:rPr>
          <w:rFonts w:cs="Arial"/>
          <w:bCs/>
          <w:iCs/>
          <w:szCs w:val="20"/>
          <w:lang w:val="pt-BR"/>
        </w:rPr>
        <w:t>.</w:t>
      </w:r>
      <w:r w:rsidR="00D609BD" w:rsidRPr="00D5464D">
        <w:rPr>
          <w:rFonts w:cs="Arial"/>
          <w:iCs/>
          <w:szCs w:val="20"/>
          <w:vertAlign w:val="superscript"/>
          <w:lang w:val="pt-BR"/>
        </w:rPr>
        <w:footnoteReference w:id="521"/>
      </w:r>
    </w:p>
    <w:p w14:paraId="086AC041" w14:textId="77777777" w:rsidR="00D609BD" w:rsidRPr="00D5464D" w:rsidRDefault="00D609BD" w:rsidP="00D609BD">
      <w:pPr>
        <w:pStyle w:val="Prrafodelista"/>
        <w:autoSpaceDE w:val="0"/>
        <w:autoSpaceDN w:val="0"/>
        <w:adjustRightInd w:val="0"/>
        <w:ind w:left="0"/>
        <w:rPr>
          <w:rFonts w:cs="Arial"/>
          <w:iCs/>
          <w:szCs w:val="20"/>
          <w:lang w:val="pt-BR"/>
        </w:rPr>
      </w:pPr>
    </w:p>
    <w:p w14:paraId="025E4181" w14:textId="5FBFEB83" w:rsidR="00D609BD" w:rsidRPr="00D5464D" w:rsidRDefault="00D609BD" w:rsidP="00D609BD">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Este Tribunal </w:t>
      </w:r>
      <w:r w:rsidR="002C330E" w:rsidRPr="00D5464D">
        <w:rPr>
          <w:rFonts w:cs="Arial"/>
          <w:iCs/>
          <w:szCs w:val="20"/>
          <w:lang w:val="pt-BR"/>
        </w:rPr>
        <w:t>estabeleceu</w:t>
      </w:r>
      <w:r w:rsidRPr="00D5464D">
        <w:rPr>
          <w:rFonts w:cs="Arial"/>
          <w:iCs/>
          <w:szCs w:val="20"/>
          <w:lang w:val="pt-BR"/>
        </w:rPr>
        <w:t xml:space="preserve"> que</w:t>
      </w:r>
      <w:r w:rsidR="002C330E" w:rsidRPr="00D5464D">
        <w:rPr>
          <w:rFonts w:cs="Arial"/>
          <w:iCs/>
          <w:szCs w:val="20"/>
          <w:lang w:val="pt-BR"/>
        </w:rPr>
        <w:t xml:space="preserve"> as </w:t>
      </w:r>
      <w:r w:rsidRPr="00D5464D">
        <w:rPr>
          <w:rFonts w:cs="Arial"/>
          <w:iCs/>
          <w:szCs w:val="20"/>
          <w:lang w:val="pt-BR"/>
        </w:rPr>
        <w:t>repara</w:t>
      </w:r>
      <w:r w:rsidR="00470ADC" w:rsidRPr="00D5464D">
        <w:rPr>
          <w:rFonts w:cs="Arial"/>
          <w:iCs/>
          <w:szCs w:val="20"/>
          <w:lang w:val="pt-BR"/>
        </w:rPr>
        <w:t>ções</w:t>
      </w:r>
      <w:r w:rsidRPr="00D5464D">
        <w:rPr>
          <w:rFonts w:cs="Arial"/>
          <w:iCs/>
          <w:szCs w:val="20"/>
          <w:lang w:val="pt-BR"/>
        </w:rPr>
        <w:t xml:space="preserve"> </w:t>
      </w:r>
      <w:r w:rsidR="00470ADC" w:rsidRPr="00D5464D">
        <w:rPr>
          <w:rFonts w:cs="Arial"/>
          <w:iCs/>
          <w:szCs w:val="20"/>
          <w:lang w:val="pt-BR"/>
        </w:rPr>
        <w:t>devem</w:t>
      </w:r>
      <w:r w:rsidR="00E045D9" w:rsidRPr="00D5464D">
        <w:rPr>
          <w:rFonts w:cs="Arial"/>
          <w:iCs/>
          <w:szCs w:val="20"/>
          <w:lang w:val="pt-BR"/>
        </w:rPr>
        <w:t xml:space="preserve"> </w:t>
      </w:r>
      <w:r w:rsidR="002C0F86" w:rsidRPr="00D5464D">
        <w:rPr>
          <w:rFonts w:cs="Arial"/>
          <w:iCs/>
          <w:szCs w:val="20"/>
          <w:lang w:val="pt-BR"/>
        </w:rPr>
        <w:t xml:space="preserve">possuir </w:t>
      </w:r>
      <w:r w:rsidR="00E045D9" w:rsidRPr="00D5464D">
        <w:rPr>
          <w:rFonts w:cs="Arial"/>
          <w:iCs/>
          <w:szCs w:val="20"/>
          <w:lang w:val="pt-BR"/>
        </w:rPr>
        <w:t xml:space="preserve">um </w:t>
      </w:r>
      <w:r w:rsidRPr="00D5464D">
        <w:rPr>
          <w:rFonts w:cs="Arial"/>
          <w:iCs/>
          <w:szCs w:val="20"/>
          <w:lang w:val="pt-BR"/>
        </w:rPr>
        <w:t>nexo causal</w:t>
      </w:r>
      <w:r w:rsidR="00470ADC" w:rsidRPr="00D5464D">
        <w:rPr>
          <w:rFonts w:cs="Arial"/>
          <w:iCs/>
          <w:szCs w:val="20"/>
          <w:lang w:val="pt-BR"/>
        </w:rPr>
        <w:t xml:space="preserve"> com</w:t>
      </w:r>
      <w:r w:rsidR="002C330E" w:rsidRPr="00D5464D">
        <w:rPr>
          <w:rFonts w:cs="Arial"/>
          <w:iCs/>
          <w:szCs w:val="20"/>
          <w:lang w:val="pt-BR"/>
        </w:rPr>
        <w:t xml:space="preserve"> os fatos</w:t>
      </w:r>
      <w:r w:rsidRPr="00D5464D">
        <w:rPr>
          <w:rFonts w:cs="Arial"/>
          <w:iCs/>
          <w:szCs w:val="20"/>
          <w:lang w:val="pt-BR"/>
        </w:rPr>
        <w:t xml:space="preserve"> </w:t>
      </w:r>
      <w:r w:rsidR="00470ADC" w:rsidRPr="00D5464D">
        <w:rPr>
          <w:rFonts w:cs="Arial"/>
          <w:iCs/>
          <w:szCs w:val="20"/>
          <w:lang w:val="pt-BR"/>
        </w:rPr>
        <w:t xml:space="preserve">do </w:t>
      </w:r>
      <w:r w:rsidRPr="00D5464D">
        <w:rPr>
          <w:rFonts w:cs="Arial"/>
          <w:iCs/>
          <w:szCs w:val="20"/>
          <w:lang w:val="pt-BR"/>
        </w:rPr>
        <w:t>caso,</w:t>
      </w:r>
      <w:r w:rsidR="002C330E" w:rsidRPr="00D5464D">
        <w:rPr>
          <w:rFonts w:cs="Arial"/>
          <w:iCs/>
          <w:szCs w:val="20"/>
          <w:lang w:val="pt-BR"/>
        </w:rPr>
        <w:t xml:space="preserve"> </w:t>
      </w:r>
      <w:r w:rsidR="00BC6EE0" w:rsidRPr="00D5464D">
        <w:rPr>
          <w:rFonts w:cs="Arial"/>
          <w:iCs/>
          <w:szCs w:val="20"/>
          <w:lang w:val="pt-BR"/>
        </w:rPr>
        <w:t xml:space="preserve">com </w:t>
      </w:r>
      <w:r w:rsidR="002C330E" w:rsidRPr="00D5464D">
        <w:rPr>
          <w:rFonts w:cs="Arial"/>
          <w:iCs/>
          <w:szCs w:val="20"/>
          <w:lang w:val="pt-BR"/>
        </w:rPr>
        <w:t xml:space="preserve">as </w:t>
      </w:r>
      <w:r w:rsidRPr="00D5464D">
        <w:rPr>
          <w:rFonts w:cs="Arial"/>
          <w:iCs/>
          <w:szCs w:val="20"/>
          <w:lang w:val="pt-BR"/>
        </w:rPr>
        <w:t>viola</w:t>
      </w:r>
      <w:r w:rsidR="00470ADC" w:rsidRPr="00D5464D">
        <w:rPr>
          <w:rFonts w:cs="Arial"/>
          <w:iCs/>
          <w:szCs w:val="20"/>
          <w:lang w:val="pt-BR"/>
        </w:rPr>
        <w:t>ções</w:t>
      </w:r>
      <w:r w:rsidRPr="00D5464D">
        <w:rPr>
          <w:rFonts w:cs="Arial"/>
          <w:iCs/>
          <w:szCs w:val="20"/>
          <w:lang w:val="pt-BR"/>
        </w:rPr>
        <w:t xml:space="preserve"> declaradas,</w:t>
      </w:r>
      <w:r w:rsidR="002C330E" w:rsidRPr="00D5464D">
        <w:rPr>
          <w:rFonts w:cs="Arial"/>
          <w:iCs/>
          <w:szCs w:val="20"/>
          <w:lang w:val="pt-BR"/>
        </w:rPr>
        <w:t xml:space="preserve"> </w:t>
      </w:r>
      <w:r w:rsidR="00BC6EE0" w:rsidRPr="00D5464D">
        <w:rPr>
          <w:rFonts w:cs="Arial"/>
          <w:iCs/>
          <w:szCs w:val="20"/>
          <w:lang w:val="pt-BR"/>
        </w:rPr>
        <w:t xml:space="preserve">com </w:t>
      </w:r>
      <w:r w:rsidR="002C330E" w:rsidRPr="00D5464D">
        <w:rPr>
          <w:rFonts w:cs="Arial"/>
          <w:iCs/>
          <w:szCs w:val="20"/>
          <w:lang w:val="pt-BR"/>
        </w:rPr>
        <w:t xml:space="preserve">os </w:t>
      </w:r>
      <w:r w:rsidRPr="00D5464D">
        <w:rPr>
          <w:rFonts w:cs="Arial"/>
          <w:iCs/>
          <w:szCs w:val="20"/>
          <w:lang w:val="pt-BR"/>
        </w:rPr>
        <w:t>d</w:t>
      </w:r>
      <w:r w:rsidR="00470ADC" w:rsidRPr="00D5464D">
        <w:rPr>
          <w:rFonts w:cs="Arial"/>
          <w:iCs/>
          <w:szCs w:val="20"/>
          <w:lang w:val="pt-BR"/>
        </w:rPr>
        <w:t>anos</w:t>
      </w:r>
      <w:r w:rsidRPr="00D5464D">
        <w:rPr>
          <w:rFonts w:cs="Arial"/>
          <w:iCs/>
          <w:szCs w:val="20"/>
          <w:lang w:val="pt-BR"/>
        </w:rPr>
        <w:t xml:space="preserve"> </w:t>
      </w:r>
      <w:r w:rsidR="002C0F86" w:rsidRPr="00D5464D">
        <w:rPr>
          <w:rFonts w:cs="Arial"/>
          <w:iCs/>
          <w:szCs w:val="20"/>
          <w:lang w:val="pt-BR"/>
        </w:rPr>
        <w:t>provados</w:t>
      </w:r>
      <w:r w:rsidRPr="00D5464D">
        <w:rPr>
          <w:rFonts w:cs="Arial"/>
          <w:iCs/>
          <w:szCs w:val="20"/>
          <w:lang w:val="pt-BR"/>
        </w:rPr>
        <w:t xml:space="preserve">, </w:t>
      </w:r>
      <w:r w:rsidR="002C0F86" w:rsidRPr="00D5464D">
        <w:rPr>
          <w:rFonts w:cs="Arial"/>
          <w:iCs/>
          <w:szCs w:val="20"/>
          <w:lang w:val="pt-BR"/>
        </w:rPr>
        <w:t xml:space="preserve">bem </w:t>
      </w:r>
      <w:r w:rsidRPr="00D5464D">
        <w:rPr>
          <w:rFonts w:cs="Arial"/>
          <w:iCs/>
          <w:szCs w:val="20"/>
          <w:lang w:val="pt-BR"/>
        </w:rPr>
        <w:t>como</w:t>
      </w:r>
      <w:r w:rsidR="002C330E" w:rsidRPr="00D5464D">
        <w:rPr>
          <w:rFonts w:cs="Arial"/>
          <w:iCs/>
          <w:szCs w:val="20"/>
          <w:lang w:val="pt-BR"/>
        </w:rPr>
        <w:t xml:space="preserve"> </w:t>
      </w:r>
      <w:r w:rsidR="002C0F86" w:rsidRPr="00D5464D">
        <w:rPr>
          <w:rFonts w:cs="Arial"/>
          <w:iCs/>
          <w:szCs w:val="20"/>
          <w:lang w:val="pt-BR"/>
        </w:rPr>
        <w:t xml:space="preserve">com </w:t>
      </w:r>
      <w:r w:rsidR="002C330E" w:rsidRPr="00D5464D">
        <w:rPr>
          <w:rFonts w:cs="Arial"/>
          <w:iCs/>
          <w:szCs w:val="20"/>
          <w:lang w:val="pt-BR"/>
        </w:rPr>
        <w:t xml:space="preserve">as </w:t>
      </w:r>
      <w:r w:rsidRPr="00D5464D">
        <w:rPr>
          <w:rFonts w:cs="Arial"/>
          <w:iCs/>
          <w:szCs w:val="20"/>
          <w:lang w:val="pt-BR"/>
        </w:rPr>
        <w:t>medidas solicitadas para reparar</w:t>
      </w:r>
      <w:r w:rsidR="002C330E" w:rsidRPr="00D5464D">
        <w:rPr>
          <w:rFonts w:cs="Arial"/>
          <w:iCs/>
          <w:szCs w:val="20"/>
          <w:lang w:val="pt-BR"/>
        </w:rPr>
        <w:t xml:space="preserve"> os </w:t>
      </w:r>
      <w:r w:rsidRPr="00D5464D">
        <w:rPr>
          <w:rFonts w:cs="Arial"/>
          <w:iCs/>
          <w:szCs w:val="20"/>
          <w:lang w:val="pt-BR"/>
        </w:rPr>
        <w:t>d</w:t>
      </w:r>
      <w:r w:rsidR="00470ADC" w:rsidRPr="00D5464D">
        <w:rPr>
          <w:rFonts w:cs="Arial"/>
          <w:iCs/>
          <w:szCs w:val="20"/>
          <w:lang w:val="pt-BR"/>
        </w:rPr>
        <w:t>anos</w:t>
      </w:r>
      <w:r w:rsidRPr="00D5464D">
        <w:rPr>
          <w:rFonts w:cs="Arial"/>
          <w:iCs/>
          <w:szCs w:val="20"/>
          <w:lang w:val="pt-BR"/>
        </w:rPr>
        <w:t xml:space="preserve"> respectivos. </w:t>
      </w:r>
      <w:r w:rsidR="002C330E" w:rsidRPr="00D5464D">
        <w:rPr>
          <w:rFonts w:cs="Arial"/>
          <w:iCs/>
          <w:szCs w:val="20"/>
          <w:lang w:val="pt-BR"/>
        </w:rPr>
        <w:t>Portanto</w:t>
      </w:r>
      <w:r w:rsidRPr="00D5464D">
        <w:rPr>
          <w:rFonts w:cs="Arial"/>
          <w:iCs/>
          <w:szCs w:val="20"/>
          <w:lang w:val="pt-BR"/>
        </w:rPr>
        <w:t>,</w:t>
      </w:r>
      <w:r w:rsidR="002C330E" w:rsidRPr="00D5464D">
        <w:rPr>
          <w:rFonts w:cs="Arial"/>
          <w:iCs/>
          <w:szCs w:val="20"/>
          <w:lang w:val="pt-BR"/>
        </w:rPr>
        <w:t xml:space="preserve"> a </w:t>
      </w:r>
      <w:r w:rsidRPr="00D5464D">
        <w:rPr>
          <w:rFonts w:cs="Arial"/>
          <w:iCs/>
          <w:szCs w:val="20"/>
          <w:lang w:val="pt-BR"/>
        </w:rPr>
        <w:t xml:space="preserve">Corte </w:t>
      </w:r>
      <w:r w:rsidR="00470ADC" w:rsidRPr="00D5464D">
        <w:rPr>
          <w:rFonts w:cs="Arial"/>
          <w:iCs/>
          <w:szCs w:val="20"/>
          <w:lang w:val="pt-BR"/>
        </w:rPr>
        <w:t>dever</w:t>
      </w:r>
      <w:r w:rsidRPr="00D5464D">
        <w:rPr>
          <w:rFonts w:cs="Arial"/>
          <w:iCs/>
          <w:szCs w:val="20"/>
          <w:lang w:val="pt-BR"/>
        </w:rPr>
        <w:t xml:space="preserve">á observar </w:t>
      </w:r>
      <w:r w:rsidR="00470ADC" w:rsidRPr="00D5464D">
        <w:rPr>
          <w:rFonts w:cs="Arial"/>
          <w:iCs/>
          <w:szCs w:val="20"/>
          <w:lang w:val="pt-BR"/>
        </w:rPr>
        <w:t>esta</w:t>
      </w:r>
      <w:r w:rsidRPr="00D5464D">
        <w:rPr>
          <w:rFonts w:cs="Arial"/>
          <w:iCs/>
          <w:szCs w:val="20"/>
          <w:lang w:val="pt-BR"/>
        </w:rPr>
        <w:t xml:space="preserve"> </w:t>
      </w:r>
      <w:r w:rsidR="002C0F86" w:rsidRPr="00D5464D">
        <w:rPr>
          <w:rFonts w:cs="Arial"/>
          <w:iCs/>
          <w:szCs w:val="20"/>
          <w:lang w:val="pt-BR"/>
        </w:rPr>
        <w:t xml:space="preserve">concorrência de fatores </w:t>
      </w:r>
      <w:r w:rsidRPr="00D5464D">
        <w:rPr>
          <w:rFonts w:cs="Arial"/>
          <w:iCs/>
          <w:szCs w:val="20"/>
          <w:lang w:val="pt-BR"/>
        </w:rPr>
        <w:t xml:space="preserve">para </w:t>
      </w:r>
      <w:r w:rsidR="002C0F86" w:rsidRPr="00D5464D">
        <w:rPr>
          <w:rFonts w:cs="Arial"/>
          <w:iCs/>
          <w:szCs w:val="20"/>
          <w:lang w:val="pt-BR"/>
        </w:rPr>
        <w:t xml:space="preserve">se </w:t>
      </w:r>
      <w:r w:rsidR="002C330E" w:rsidRPr="00D5464D">
        <w:rPr>
          <w:rFonts w:cs="Arial"/>
          <w:iCs/>
          <w:szCs w:val="20"/>
          <w:lang w:val="pt-BR"/>
        </w:rPr>
        <w:t>pronunciar</w:t>
      </w:r>
      <w:r w:rsidRPr="00D5464D">
        <w:rPr>
          <w:rFonts w:cs="Arial"/>
          <w:iCs/>
          <w:szCs w:val="20"/>
          <w:lang w:val="pt-BR"/>
        </w:rPr>
        <w:t xml:space="preserve"> </w:t>
      </w:r>
      <w:r w:rsidR="00470ADC" w:rsidRPr="00D5464D">
        <w:rPr>
          <w:rFonts w:cs="Arial"/>
          <w:iCs/>
          <w:szCs w:val="20"/>
          <w:lang w:val="pt-BR"/>
        </w:rPr>
        <w:t>devidamente</w:t>
      </w:r>
      <w:r w:rsidR="00E045D9" w:rsidRPr="00D5464D">
        <w:rPr>
          <w:rFonts w:cs="Arial"/>
          <w:iCs/>
          <w:szCs w:val="20"/>
          <w:lang w:val="pt-BR"/>
        </w:rPr>
        <w:t xml:space="preserve"> e </w:t>
      </w:r>
      <w:r w:rsidRPr="00D5464D">
        <w:rPr>
          <w:rFonts w:cs="Arial"/>
          <w:iCs/>
          <w:szCs w:val="20"/>
          <w:lang w:val="pt-BR"/>
        </w:rPr>
        <w:t xml:space="preserve">conforme </w:t>
      </w:r>
      <w:r w:rsidR="002C0F86" w:rsidRPr="00D5464D">
        <w:rPr>
          <w:rFonts w:cs="Arial"/>
          <w:iCs/>
          <w:szCs w:val="20"/>
          <w:lang w:val="pt-BR"/>
        </w:rPr>
        <w:t>o</w:t>
      </w:r>
      <w:r w:rsidRPr="00D5464D">
        <w:rPr>
          <w:rFonts w:cs="Arial"/>
          <w:iCs/>
          <w:szCs w:val="20"/>
          <w:lang w:val="pt-BR"/>
        </w:rPr>
        <w:t xml:space="preserve"> </w:t>
      </w:r>
      <w:r w:rsidR="00470ADC" w:rsidRPr="00D5464D">
        <w:rPr>
          <w:rFonts w:cs="Arial"/>
          <w:iCs/>
          <w:szCs w:val="20"/>
          <w:lang w:val="pt-BR"/>
        </w:rPr>
        <w:t>direito</w:t>
      </w:r>
      <w:r w:rsidR="006C4FBD" w:rsidRPr="00D5464D">
        <w:rPr>
          <w:rFonts w:cs="Arial"/>
          <w:iCs/>
          <w:szCs w:val="20"/>
          <w:lang w:val="pt-BR"/>
        </w:rPr>
        <w:t>.</w:t>
      </w:r>
      <w:r w:rsidRPr="00D5464D">
        <w:rPr>
          <w:rFonts w:cs="Arial"/>
          <w:iCs/>
          <w:szCs w:val="20"/>
          <w:vertAlign w:val="superscript"/>
          <w:lang w:val="pt-BR"/>
        </w:rPr>
        <w:footnoteReference w:id="522"/>
      </w:r>
    </w:p>
    <w:p w14:paraId="750394B4" w14:textId="77777777" w:rsidR="00D609BD" w:rsidRPr="00D5464D" w:rsidRDefault="00D609BD" w:rsidP="00D609BD">
      <w:pPr>
        <w:pStyle w:val="Prrafodelista"/>
        <w:autoSpaceDE w:val="0"/>
        <w:autoSpaceDN w:val="0"/>
        <w:adjustRightInd w:val="0"/>
        <w:ind w:left="0"/>
        <w:rPr>
          <w:rFonts w:cs="Arial"/>
          <w:iCs/>
          <w:szCs w:val="20"/>
          <w:lang w:val="pt-BR"/>
        </w:rPr>
      </w:pPr>
    </w:p>
    <w:p w14:paraId="256CA8FE" w14:textId="758BD694" w:rsidR="004B0842" w:rsidRPr="00D5464D" w:rsidRDefault="00C91CB1"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Em </w:t>
      </w:r>
      <w:r w:rsidR="00D609BD" w:rsidRPr="00D5464D">
        <w:rPr>
          <w:rFonts w:cs="Arial"/>
          <w:iCs/>
          <w:szCs w:val="20"/>
          <w:lang w:val="pt-BR"/>
        </w:rPr>
        <w:t>considera</w:t>
      </w:r>
      <w:r w:rsidR="00470ADC" w:rsidRPr="00D5464D">
        <w:rPr>
          <w:rFonts w:cs="Arial"/>
          <w:iCs/>
          <w:szCs w:val="20"/>
          <w:lang w:val="pt-BR"/>
        </w:rPr>
        <w:t xml:space="preserve">ção </w:t>
      </w:r>
      <w:r w:rsidR="00B871F1" w:rsidRPr="00D5464D">
        <w:rPr>
          <w:rFonts w:cs="Arial"/>
          <w:iCs/>
          <w:szCs w:val="20"/>
          <w:lang w:val="pt-BR"/>
        </w:rPr>
        <w:t>às</w:t>
      </w:r>
      <w:r w:rsidR="00470ADC" w:rsidRPr="00D5464D">
        <w:rPr>
          <w:rFonts w:cs="Arial"/>
          <w:iCs/>
          <w:szCs w:val="20"/>
          <w:lang w:val="pt-BR"/>
        </w:rPr>
        <w:t xml:space="preserve"> </w:t>
      </w:r>
      <w:r w:rsidR="00D609BD" w:rsidRPr="00D5464D">
        <w:rPr>
          <w:rFonts w:cs="Arial"/>
          <w:iCs/>
          <w:szCs w:val="20"/>
          <w:lang w:val="pt-BR"/>
        </w:rPr>
        <w:t>viola</w:t>
      </w:r>
      <w:r w:rsidR="00470ADC" w:rsidRPr="00D5464D">
        <w:rPr>
          <w:rFonts w:cs="Arial"/>
          <w:iCs/>
          <w:szCs w:val="20"/>
          <w:lang w:val="pt-BR"/>
        </w:rPr>
        <w:t>ções</w:t>
      </w:r>
      <w:r w:rsidR="00D609BD" w:rsidRPr="00D5464D">
        <w:rPr>
          <w:rFonts w:cs="Arial"/>
          <w:iCs/>
          <w:szCs w:val="20"/>
          <w:lang w:val="pt-BR"/>
        </w:rPr>
        <w:t xml:space="preserve"> declaradas</w:t>
      </w:r>
      <w:r w:rsidR="00E045D9" w:rsidRPr="00D5464D">
        <w:rPr>
          <w:rFonts w:cs="Arial"/>
          <w:iCs/>
          <w:szCs w:val="20"/>
          <w:lang w:val="pt-BR"/>
        </w:rPr>
        <w:t xml:space="preserve"> no </w:t>
      </w:r>
      <w:r w:rsidR="00D609BD" w:rsidRPr="00D5464D">
        <w:rPr>
          <w:rFonts w:cs="Arial"/>
          <w:iCs/>
          <w:szCs w:val="20"/>
          <w:lang w:val="pt-BR"/>
        </w:rPr>
        <w:t>capítulo anterior,</w:t>
      </w:r>
      <w:r w:rsidR="00470ADC" w:rsidRPr="00D5464D">
        <w:rPr>
          <w:rFonts w:cs="Arial"/>
          <w:iCs/>
          <w:szCs w:val="20"/>
          <w:lang w:val="pt-BR"/>
        </w:rPr>
        <w:t xml:space="preserve"> o </w:t>
      </w:r>
      <w:r w:rsidR="00D609BD" w:rsidRPr="00D5464D">
        <w:rPr>
          <w:rFonts w:cs="Arial"/>
          <w:iCs/>
          <w:szCs w:val="20"/>
          <w:lang w:val="pt-BR"/>
        </w:rPr>
        <w:t xml:space="preserve">Tribunal </w:t>
      </w:r>
      <w:r w:rsidR="00470ADC" w:rsidRPr="00D5464D">
        <w:rPr>
          <w:rFonts w:cs="Arial"/>
          <w:iCs/>
          <w:szCs w:val="20"/>
          <w:lang w:val="pt-BR"/>
        </w:rPr>
        <w:t>analisar</w:t>
      </w:r>
      <w:r w:rsidR="00B871F1" w:rsidRPr="00D5464D">
        <w:rPr>
          <w:rFonts w:cs="Arial"/>
          <w:iCs/>
          <w:szCs w:val="20"/>
          <w:lang w:val="pt-BR"/>
        </w:rPr>
        <w:t>á</w:t>
      </w:r>
      <w:r w:rsidR="002C330E" w:rsidRPr="00D5464D">
        <w:rPr>
          <w:rFonts w:cs="Arial"/>
          <w:iCs/>
          <w:szCs w:val="20"/>
          <w:lang w:val="pt-BR"/>
        </w:rPr>
        <w:t xml:space="preserve"> as pretensões apresentadas </w:t>
      </w:r>
      <w:r w:rsidR="00737270" w:rsidRPr="00D5464D">
        <w:rPr>
          <w:rFonts w:cs="Arial"/>
          <w:iCs/>
          <w:szCs w:val="20"/>
          <w:lang w:val="pt-BR"/>
        </w:rPr>
        <w:t xml:space="preserve">pelos </w:t>
      </w:r>
      <w:r w:rsidR="00EB1CE9" w:rsidRPr="00D5464D">
        <w:rPr>
          <w:rFonts w:cs="Arial"/>
          <w:iCs/>
          <w:szCs w:val="20"/>
          <w:lang w:val="pt-BR"/>
        </w:rPr>
        <w:t>representante</w:t>
      </w:r>
      <w:r w:rsidR="00737270" w:rsidRPr="00D5464D">
        <w:rPr>
          <w:rFonts w:cs="Arial"/>
          <w:iCs/>
          <w:szCs w:val="20"/>
          <w:lang w:val="pt-BR"/>
        </w:rPr>
        <w:t xml:space="preserve">s </w:t>
      </w:r>
      <w:r w:rsidR="00470ADC" w:rsidRPr="00D5464D">
        <w:rPr>
          <w:rFonts w:cs="Arial"/>
          <w:iCs/>
          <w:szCs w:val="20"/>
          <w:lang w:val="pt-BR"/>
        </w:rPr>
        <w:t xml:space="preserve">das </w:t>
      </w:r>
      <w:r w:rsidR="00E045D9" w:rsidRPr="00D5464D">
        <w:rPr>
          <w:rFonts w:cs="Arial"/>
          <w:iCs/>
          <w:szCs w:val="20"/>
          <w:lang w:val="pt-BR"/>
        </w:rPr>
        <w:t>vítima</w:t>
      </w:r>
      <w:r w:rsidR="00D609BD" w:rsidRPr="00D5464D">
        <w:rPr>
          <w:rFonts w:cs="Arial"/>
          <w:iCs/>
          <w:szCs w:val="20"/>
          <w:lang w:val="pt-BR"/>
        </w:rPr>
        <w:t xml:space="preserve">s </w:t>
      </w:r>
      <w:r w:rsidR="002C0F86" w:rsidRPr="00D5464D">
        <w:rPr>
          <w:rFonts w:cs="Arial"/>
          <w:iCs/>
          <w:szCs w:val="20"/>
          <w:lang w:val="pt-BR"/>
        </w:rPr>
        <w:t xml:space="preserve">e </w:t>
      </w:r>
      <w:r w:rsidR="002C330E" w:rsidRPr="00D5464D">
        <w:rPr>
          <w:rFonts w:cs="Arial"/>
          <w:iCs/>
          <w:szCs w:val="20"/>
          <w:lang w:val="pt-BR"/>
        </w:rPr>
        <w:t xml:space="preserve">os </w:t>
      </w:r>
      <w:r w:rsidR="00D609BD" w:rsidRPr="00D5464D">
        <w:rPr>
          <w:rFonts w:cs="Arial"/>
          <w:iCs/>
          <w:szCs w:val="20"/>
          <w:lang w:val="pt-BR"/>
        </w:rPr>
        <w:t xml:space="preserve">argumentos </w:t>
      </w:r>
      <w:r w:rsidR="00470ADC" w:rsidRPr="00D5464D">
        <w:rPr>
          <w:rFonts w:cs="Arial"/>
          <w:iCs/>
          <w:szCs w:val="20"/>
          <w:lang w:val="pt-BR"/>
        </w:rPr>
        <w:t xml:space="preserve">do </w:t>
      </w:r>
      <w:r w:rsidR="00D609BD" w:rsidRPr="00D5464D">
        <w:rPr>
          <w:rFonts w:cs="Arial"/>
          <w:iCs/>
          <w:szCs w:val="20"/>
          <w:lang w:val="pt-BR"/>
        </w:rPr>
        <w:t>Estado,</w:t>
      </w:r>
      <w:r w:rsidR="00470ADC" w:rsidRPr="00D5464D">
        <w:rPr>
          <w:rFonts w:cs="Arial"/>
          <w:iCs/>
          <w:szCs w:val="20"/>
          <w:lang w:val="pt-BR"/>
        </w:rPr>
        <w:t xml:space="preserve"> à </w:t>
      </w:r>
      <w:r w:rsidR="00D609BD" w:rsidRPr="00D5464D">
        <w:rPr>
          <w:rFonts w:cs="Arial"/>
          <w:iCs/>
          <w:szCs w:val="20"/>
          <w:lang w:val="pt-BR"/>
        </w:rPr>
        <w:t>luz</w:t>
      </w:r>
      <w:r w:rsidR="00470ADC" w:rsidRPr="00D5464D">
        <w:rPr>
          <w:rFonts w:cs="Arial"/>
          <w:iCs/>
          <w:szCs w:val="20"/>
          <w:lang w:val="pt-BR"/>
        </w:rPr>
        <w:t xml:space="preserve"> dos critério</w:t>
      </w:r>
      <w:r w:rsidR="00D609BD" w:rsidRPr="00D5464D">
        <w:rPr>
          <w:rFonts w:cs="Arial"/>
          <w:iCs/>
          <w:szCs w:val="20"/>
          <w:lang w:val="pt-BR"/>
        </w:rPr>
        <w:t xml:space="preserve">s </w:t>
      </w:r>
      <w:r w:rsidR="00470ADC" w:rsidRPr="00D5464D">
        <w:rPr>
          <w:rFonts w:cs="Arial"/>
          <w:iCs/>
          <w:szCs w:val="20"/>
          <w:lang w:val="pt-BR"/>
        </w:rPr>
        <w:t>determinado</w:t>
      </w:r>
      <w:r w:rsidR="00D609BD" w:rsidRPr="00D5464D">
        <w:rPr>
          <w:rFonts w:cs="Arial"/>
          <w:iCs/>
          <w:szCs w:val="20"/>
          <w:lang w:val="pt-BR"/>
        </w:rPr>
        <w:t>s</w:t>
      </w:r>
      <w:r w:rsidR="00E045D9" w:rsidRPr="00D5464D">
        <w:rPr>
          <w:rFonts w:cs="Arial"/>
          <w:iCs/>
          <w:szCs w:val="20"/>
          <w:lang w:val="pt-BR"/>
        </w:rPr>
        <w:t xml:space="preserve"> na </w:t>
      </w:r>
      <w:r w:rsidR="002C330E" w:rsidRPr="00D5464D">
        <w:rPr>
          <w:rFonts w:cs="Arial"/>
          <w:iCs/>
          <w:szCs w:val="20"/>
          <w:lang w:val="pt-BR"/>
        </w:rPr>
        <w:t xml:space="preserve">jurisprudência </w:t>
      </w:r>
      <w:r w:rsidR="00470ADC" w:rsidRPr="00D5464D">
        <w:rPr>
          <w:rFonts w:cs="Arial"/>
          <w:iCs/>
          <w:szCs w:val="20"/>
          <w:lang w:val="pt-BR"/>
        </w:rPr>
        <w:t xml:space="preserve">da </w:t>
      </w:r>
      <w:r w:rsidR="00D609BD" w:rsidRPr="00D5464D">
        <w:rPr>
          <w:rFonts w:cs="Arial"/>
          <w:iCs/>
          <w:szCs w:val="20"/>
          <w:lang w:val="pt-BR"/>
        </w:rPr>
        <w:t>Corte</w:t>
      </w:r>
      <w:r w:rsidR="00470ADC" w:rsidRPr="00D5464D">
        <w:rPr>
          <w:rFonts w:cs="Arial"/>
          <w:iCs/>
          <w:szCs w:val="20"/>
          <w:lang w:val="pt-BR"/>
        </w:rPr>
        <w:t xml:space="preserve"> </w:t>
      </w:r>
      <w:r w:rsidR="00350187" w:rsidRPr="00D5464D">
        <w:rPr>
          <w:rFonts w:cs="Arial"/>
          <w:iCs/>
          <w:szCs w:val="20"/>
          <w:lang w:val="pt-BR"/>
        </w:rPr>
        <w:t xml:space="preserve">em relação à </w:t>
      </w:r>
      <w:r w:rsidR="002C330E" w:rsidRPr="00D5464D">
        <w:rPr>
          <w:rFonts w:cs="Arial"/>
          <w:iCs/>
          <w:szCs w:val="20"/>
          <w:lang w:val="pt-BR"/>
        </w:rPr>
        <w:t>natureza</w:t>
      </w:r>
      <w:r w:rsidR="00E045D9" w:rsidRPr="00D5464D">
        <w:rPr>
          <w:rFonts w:cs="Arial"/>
          <w:iCs/>
          <w:szCs w:val="20"/>
          <w:lang w:val="pt-BR"/>
        </w:rPr>
        <w:t xml:space="preserve"> e </w:t>
      </w:r>
      <w:r w:rsidR="00D609BD" w:rsidRPr="00D5464D">
        <w:rPr>
          <w:rFonts w:cs="Arial"/>
          <w:iCs/>
          <w:szCs w:val="20"/>
          <w:lang w:val="pt-BR"/>
        </w:rPr>
        <w:t>alcance</w:t>
      </w:r>
      <w:r w:rsidR="00470ADC" w:rsidRPr="00D5464D">
        <w:rPr>
          <w:rFonts w:cs="Arial"/>
          <w:iCs/>
          <w:szCs w:val="20"/>
          <w:lang w:val="pt-BR"/>
        </w:rPr>
        <w:t xml:space="preserve"> da </w:t>
      </w:r>
      <w:r w:rsidR="002C330E" w:rsidRPr="00D5464D">
        <w:rPr>
          <w:rFonts w:cs="Arial"/>
          <w:iCs/>
          <w:szCs w:val="20"/>
          <w:lang w:val="pt-BR"/>
        </w:rPr>
        <w:t>obrigação</w:t>
      </w:r>
      <w:r w:rsidR="00D609BD" w:rsidRPr="00D5464D">
        <w:rPr>
          <w:rFonts w:cs="Arial"/>
          <w:iCs/>
          <w:szCs w:val="20"/>
          <w:lang w:val="pt-BR"/>
        </w:rPr>
        <w:t xml:space="preserve"> de reparar</w:t>
      </w:r>
      <w:r w:rsidR="006C4FBD" w:rsidRPr="00D5464D">
        <w:rPr>
          <w:rFonts w:cs="Arial"/>
          <w:iCs/>
          <w:szCs w:val="20"/>
          <w:lang w:val="pt-BR"/>
        </w:rPr>
        <w:t>,</w:t>
      </w:r>
      <w:r w:rsidR="00D609BD" w:rsidRPr="00D5464D">
        <w:rPr>
          <w:rFonts w:cs="Arial"/>
          <w:iCs/>
          <w:szCs w:val="20"/>
          <w:vertAlign w:val="superscript"/>
          <w:lang w:val="pt-BR"/>
        </w:rPr>
        <w:footnoteReference w:id="523"/>
      </w:r>
      <w:r w:rsidR="00470ADC" w:rsidRPr="00D5464D">
        <w:rPr>
          <w:rFonts w:cs="Arial"/>
          <w:iCs/>
          <w:szCs w:val="20"/>
          <w:lang w:val="pt-BR"/>
        </w:rPr>
        <w:t xml:space="preserve"> com o </w:t>
      </w:r>
      <w:r w:rsidR="00D609BD" w:rsidRPr="00D5464D">
        <w:rPr>
          <w:rFonts w:cs="Arial"/>
          <w:iCs/>
          <w:szCs w:val="20"/>
          <w:lang w:val="pt-BR"/>
        </w:rPr>
        <w:t>objet</w:t>
      </w:r>
      <w:r w:rsidR="002C0F86" w:rsidRPr="00D5464D">
        <w:rPr>
          <w:rFonts w:cs="Arial"/>
          <w:iCs/>
          <w:szCs w:val="20"/>
          <w:lang w:val="pt-BR"/>
        </w:rPr>
        <w:t>iv</w:t>
      </w:r>
      <w:r w:rsidR="00D609BD" w:rsidRPr="00D5464D">
        <w:rPr>
          <w:rFonts w:cs="Arial"/>
          <w:iCs/>
          <w:szCs w:val="20"/>
          <w:lang w:val="pt-BR"/>
        </w:rPr>
        <w:t xml:space="preserve">o de </w:t>
      </w:r>
      <w:r w:rsidR="002C0F86" w:rsidRPr="00D5464D">
        <w:rPr>
          <w:rFonts w:cs="Arial"/>
          <w:iCs/>
          <w:szCs w:val="20"/>
          <w:lang w:val="pt-BR"/>
        </w:rPr>
        <w:t xml:space="preserve">ordenar </w:t>
      </w:r>
      <w:r w:rsidR="002C330E" w:rsidRPr="00D5464D">
        <w:rPr>
          <w:rFonts w:cs="Arial"/>
          <w:iCs/>
          <w:szCs w:val="20"/>
          <w:lang w:val="pt-BR"/>
        </w:rPr>
        <w:t xml:space="preserve">as </w:t>
      </w:r>
      <w:r w:rsidR="00D609BD" w:rsidRPr="00D5464D">
        <w:rPr>
          <w:rFonts w:cs="Arial"/>
          <w:iCs/>
          <w:szCs w:val="20"/>
          <w:lang w:val="pt-BR"/>
        </w:rPr>
        <w:t xml:space="preserve">medidas </w:t>
      </w:r>
      <w:r w:rsidR="00B871F1" w:rsidRPr="00D5464D">
        <w:rPr>
          <w:rFonts w:cs="Arial"/>
          <w:iCs/>
          <w:szCs w:val="20"/>
          <w:lang w:val="pt-BR"/>
        </w:rPr>
        <w:t>voltadas</w:t>
      </w:r>
      <w:r w:rsidR="00FF1290" w:rsidRPr="00D5464D">
        <w:rPr>
          <w:rFonts w:cs="Arial"/>
          <w:iCs/>
          <w:szCs w:val="20"/>
          <w:lang w:val="pt-BR"/>
        </w:rPr>
        <w:t xml:space="preserve"> </w:t>
      </w:r>
      <w:r w:rsidR="00D609BD" w:rsidRPr="00D5464D">
        <w:rPr>
          <w:rFonts w:cs="Arial"/>
          <w:iCs/>
          <w:szCs w:val="20"/>
          <w:lang w:val="pt-BR"/>
        </w:rPr>
        <w:t>a reparar</w:t>
      </w:r>
      <w:r w:rsidR="002C330E" w:rsidRPr="00D5464D">
        <w:rPr>
          <w:rFonts w:cs="Arial"/>
          <w:iCs/>
          <w:szCs w:val="20"/>
          <w:lang w:val="pt-BR"/>
        </w:rPr>
        <w:t xml:space="preserve"> os </w:t>
      </w:r>
      <w:r w:rsidR="00D609BD" w:rsidRPr="00D5464D">
        <w:rPr>
          <w:rFonts w:cs="Arial"/>
          <w:iCs/>
          <w:szCs w:val="20"/>
          <w:lang w:val="pt-BR"/>
        </w:rPr>
        <w:t>d</w:t>
      </w:r>
      <w:r w:rsidR="00470ADC" w:rsidRPr="00D5464D">
        <w:rPr>
          <w:rFonts w:cs="Arial"/>
          <w:iCs/>
          <w:szCs w:val="20"/>
          <w:lang w:val="pt-BR"/>
        </w:rPr>
        <w:t>anos</w:t>
      </w:r>
      <w:r w:rsidR="00D609BD" w:rsidRPr="00D5464D">
        <w:rPr>
          <w:rFonts w:cs="Arial"/>
          <w:iCs/>
          <w:szCs w:val="20"/>
          <w:lang w:val="pt-BR"/>
        </w:rPr>
        <w:t xml:space="preserve"> </w:t>
      </w:r>
      <w:r w:rsidR="002C0F86" w:rsidRPr="00D5464D">
        <w:rPr>
          <w:rFonts w:cs="Arial"/>
          <w:iCs/>
          <w:szCs w:val="20"/>
          <w:lang w:val="pt-BR"/>
        </w:rPr>
        <w:t xml:space="preserve">causados </w:t>
      </w:r>
      <w:r w:rsidR="00E045D9" w:rsidRPr="00D5464D">
        <w:rPr>
          <w:rFonts w:cs="Arial"/>
          <w:iCs/>
          <w:szCs w:val="20"/>
          <w:lang w:val="pt-BR"/>
        </w:rPr>
        <w:t>às vítima</w:t>
      </w:r>
      <w:r w:rsidR="00D609BD" w:rsidRPr="00D5464D">
        <w:rPr>
          <w:rFonts w:cs="Arial"/>
          <w:iCs/>
          <w:szCs w:val="20"/>
          <w:lang w:val="pt-BR"/>
        </w:rPr>
        <w:t>s.</w:t>
      </w:r>
    </w:p>
    <w:p w14:paraId="549BDC88" w14:textId="77777777" w:rsidR="004B0842" w:rsidRPr="00D5464D" w:rsidRDefault="004B0842" w:rsidP="004B0842">
      <w:pPr>
        <w:pStyle w:val="Prrafodelista"/>
        <w:ind w:left="0"/>
        <w:rPr>
          <w:rFonts w:cs="Arial"/>
          <w:iCs/>
          <w:szCs w:val="20"/>
          <w:lang w:val="pt-BR"/>
        </w:rPr>
      </w:pPr>
    </w:p>
    <w:p w14:paraId="7A683973" w14:textId="584CB0A1" w:rsidR="004B0842" w:rsidRPr="00D5464D" w:rsidRDefault="00457BE2" w:rsidP="00F306D7">
      <w:pPr>
        <w:pStyle w:val="Ttulo2"/>
        <w:numPr>
          <w:ilvl w:val="0"/>
          <w:numId w:val="21"/>
        </w:numPr>
        <w:rPr>
          <w:lang w:val="pt-BR"/>
        </w:rPr>
      </w:pPr>
      <w:bookmarkStart w:id="445" w:name="_Toc468433946"/>
      <w:r w:rsidRPr="00D5464D">
        <w:rPr>
          <w:lang w:val="pt-BR"/>
        </w:rPr>
        <w:t>Parte lesionada</w:t>
      </w:r>
      <w:bookmarkEnd w:id="445"/>
    </w:p>
    <w:p w14:paraId="0B70EE23" w14:textId="77777777" w:rsidR="004B0842" w:rsidRPr="00D5464D" w:rsidRDefault="004B0842" w:rsidP="004B0842">
      <w:pPr>
        <w:pStyle w:val="Prrafodelista"/>
        <w:ind w:left="0"/>
        <w:rPr>
          <w:rFonts w:cs="Arial"/>
          <w:iCs/>
          <w:szCs w:val="20"/>
          <w:lang w:val="pt-BR"/>
        </w:rPr>
      </w:pPr>
    </w:p>
    <w:p w14:paraId="066C63D9" w14:textId="0CF4CE88" w:rsidR="004B0842" w:rsidRPr="00D5464D" w:rsidRDefault="004B0842" w:rsidP="00D92C1E">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Este Tribunal reitera que </w:t>
      </w:r>
      <w:r w:rsidR="00C87E13" w:rsidRPr="00D5464D">
        <w:rPr>
          <w:rFonts w:cs="Arial"/>
          <w:iCs/>
          <w:szCs w:val="20"/>
          <w:lang w:val="pt-BR"/>
        </w:rPr>
        <w:t xml:space="preserve">são consideradas </w:t>
      </w:r>
      <w:r w:rsidRPr="00D5464D">
        <w:rPr>
          <w:rFonts w:cs="Arial"/>
          <w:iCs/>
          <w:szCs w:val="20"/>
          <w:lang w:val="pt-BR"/>
        </w:rPr>
        <w:t>partes lesionadas,</w:t>
      </w:r>
      <w:r w:rsidR="00E045D9" w:rsidRPr="00D5464D">
        <w:rPr>
          <w:rFonts w:cs="Arial"/>
          <w:iCs/>
          <w:szCs w:val="20"/>
          <w:lang w:val="pt-BR"/>
        </w:rPr>
        <w:t xml:space="preserve"> nos termo</w:t>
      </w:r>
      <w:r w:rsidRPr="00D5464D">
        <w:rPr>
          <w:rFonts w:cs="Arial"/>
          <w:iCs/>
          <w:szCs w:val="20"/>
          <w:lang w:val="pt-BR"/>
        </w:rPr>
        <w:t xml:space="preserve">s </w:t>
      </w:r>
      <w:r w:rsidR="00470ADC" w:rsidRPr="00D5464D">
        <w:rPr>
          <w:rFonts w:cs="Arial"/>
          <w:iCs/>
          <w:szCs w:val="20"/>
          <w:lang w:val="pt-BR"/>
        </w:rPr>
        <w:t>do artigo</w:t>
      </w:r>
      <w:r w:rsidRPr="00D5464D">
        <w:rPr>
          <w:rFonts w:cs="Arial"/>
          <w:iCs/>
          <w:szCs w:val="20"/>
          <w:lang w:val="pt-BR"/>
        </w:rPr>
        <w:t xml:space="preserve"> 63.1</w:t>
      </w:r>
      <w:r w:rsidR="00470ADC" w:rsidRPr="00D5464D">
        <w:rPr>
          <w:rFonts w:cs="Arial"/>
          <w:iCs/>
          <w:szCs w:val="20"/>
          <w:lang w:val="pt-BR"/>
        </w:rPr>
        <w:t xml:space="preserve"> da </w:t>
      </w:r>
      <w:r w:rsidRPr="00D5464D">
        <w:rPr>
          <w:rFonts w:cs="Arial"/>
          <w:iCs/>
          <w:szCs w:val="20"/>
          <w:lang w:val="pt-BR"/>
        </w:rPr>
        <w:t>Conven</w:t>
      </w:r>
      <w:r w:rsidR="00470ADC" w:rsidRPr="00D5464D">
        <w:rPr>
          <w:rFonts w:cs="Arial"/>
          <w:iCs/>
          <w:szCs w:val="20"/>
          <w:lang w:val="pt-BR"/>
        </w:rPr>
        <w:t>ção</w:t>
      </w:r>
      <w:r w:rsidRPr="00D5464D">
        <w:rPr>
          <w:rFonts w:cs="Arial"/>
          <w:iCs/>
          <w:szCs w:val="20"/>
          <w:lang w:val="pt-BR"/>
        </w:rPr>
        <w:t>, a</w:t>
      </w:r>
      <w:r w:rsidR="00C87E13" w:rsidRPr="00D5464D">
        <w:rPr>
          <w:rFonts w:cs="Arial"/>
          <w:iCs/>
          <w:szCs w:val="20"/>
          <w:lang w:val="pt-BR"/>
        </w:rPr>
        <w:t xml:space="preserve">s pessoas que tenham sido </w:t>
      </w:r>
      <w:r w:rsidRPr="00D5464D">
        <w:rPr>
          <w:rFonts w:cs="Arial"/>
          <w:iCs/>
          <w:szCs w:val="20"/>
          <w:lang w:val="pt-BR"/>
        </w:rPr>
        <w:t xml:space="preserve">declaradas </w:t>
      </w:r>
      <w:r w:rsidR="00E045D9" w:rsidRPr="00D5464D">
        <w:rPr>
          <w:rFonts w:cs="Arial"/>
          <w:iCs/>
          <w:szCs w:val="20"/>
          <w:lang w:val="pt-BR"/>
        </w:rPr>
        <w:t>vítima</w:t>
      </w:r>
      <w:r w:rsidRPr="00D5464D">
        <w:rPr>
          <w:rFonts w:cs="Arial"/>
          <w:iCs/>
          <w:szCs w:val="20"/>
          <w:lang w:val="pt-BR"/>
        </w:rPr>
        <w:t>s</w:t>
      </w:r>
      <w:r w:rsidR="00470ADC" w:rsidRPr="00D5464D">
        <w:rPr>
          <w:rFonts w:cs="Arial"/>
          <w:iCs/>
          <w:szCs w:val="20"/>
          <w:lang w:val="pt-BR"/>
        </w:rPr>
        <w:t xml:space="preserve"> da </w:t>
      </w:r>
      <w:r w:rsidRPr="00D5464D">
        <w:rPr>
          <w:rFonts w:cs="Arial"/>
          <w:iCs/>
          <w:szCs w:val="20"/>
          <w:lang w:val="pt-BR"/>
        </w:rPr>
        <w:t>viola</w:t>
      </w:r>
      <w:r w:rsidR="00470ADC" w:rsidRPr="00D5464D">
        <w:rPr>
          <w:rFonts w:cs="Arial"/>
          <w:iCs/>
          <w:szCs w:val="20"/>
          <w:lang w:val="pt-BR"/>
        </w:rPr>
        <w:t>ção</w:t>
      </w:r>
      <w:r w:rsidRPr="00D5464D">
        <w:rPr>
          <w:rFonts w:cs="Arial"/>
          <w:iCs/>
          <w:szCs w:val="20"/>
          <w:lang w:val="pt-BR"/>
        </w:rPr>
        <w:t xml:space="preserve"> de </w:t>
      </w:r>
      <w:r w:rsidR="00230C71" w:rsidRPr="00D5464D">
        <w:rPr>
          <w:rFonts w:cs="Arial"/>
          <w:iCs/>
          <w:szCs w:val="20"/>
          <w:lang w:val="pt-BR"/>
        </w:rPr>
        <w:t>algum</w:t>
      </w:r>
      <w:r w:rsidRPr="00D5464D">
        <w:rPr>
          <w:rFonts w:cs="Arial"/>
          <w:iCs/>
          <w:szCs w:val="20"/>
          <w:lang w:val="pt-BR"/>
        </w:rPr>
        <w:t xml:space="preserve"> </w:t>
      </w:r>
      <w:r w:rsidR="00470ADC" w:rsidRPr="00D5464D">
        <w:rPr>
          <w:rFonts w:cs="Arial"/>
          <w:iCs/>
          <w:szCs w:val="20"/>
          <w:lang w:val="pt-BR"/>
        </w:rPr>
        <w:t>direito</w:t>
      </w:r>
      <w:r w:rsidRPr="00D5464D">
        <w:rPr>
          <w:rFonts w:cs="Arial"/>
          <w:iCs/>
          <w:szCs w:val="20"/>
          <w:lang w:val="pt-BR"/>
        </w:rPr>
        <w:t xml:space="preserve"> re</w:t>
      </w:r>
      <w:r w:rsidR="00470ADC" w:rsidRPr="00D5464D">
        <w:rPr>
          <w:rFonts w:cs="Arial"/>
          <w:iCs/>
          <w:szCs w:val="20"/>
          <w:lang w:val="pt-BR"/>
        </w:rPr>
        <w:t>conhecido</w:t>
      </w:r>
      <w:r w:rsidR="00E045D9" w:rsidRPr="00D5464D">
        <w:rPr>
          <w:rFonts w:cs="Arial"/>
          <w:iCs/>
          <w:szCs w:val="20"/>
          <w:lang w:val="pt-BR"/>
        </w:rPr>
        <w:t xml:space="preserve"> na </w:t>
      </w:r>
      <w:r w:rsidR="002C330E" w:rsidRPr="00D5464D">
        <w:rPr>
          <w:rFonts w:cs="Arial"/>
          <w:iCs/>
          <w:szCs w:val="20"/>
          <w:lang w:val="pt-BR"/>
        </w:rPr>
        <w:t>mesm</w:t>
      </w:r>
      <w:r w:rsidRPr="00D5464D">
        <w:rPr>
          <w:rFonts w:cs="Arial"/>
          <w:iCs/>
          <w:szCs w:val="20"/>
          <w:lang w:val="pt-BR"/>
        </w:rPr>
        <w:t>a</w:t>
      </w:r>
      <w:r w:rsidR="00C87E13" w:rsidRPr="00D5464D">
        <w:rPr>
          <w:rFonts w:cs="Arial"/>
          <w:iCs/>
          <w:szCs w:val="20"/>
          <w:lang w:val="pt-BR"/>
        </w:rPr>
        <w:t>.</w:t>
      </w:r>
      <w:r w:rsidRPr="00D5464D">
        <w:rPr>
          <w:rFonts w:cs="Arial"/>
          <w:iCs/>
          <w:szCs w:val="20"/>
          <w:vertAlign w:val="superscript"/>
          <w:lang w:val="pt-BR"/>
        </w:rPr>
        <w:footnoteReference w:id="524"/>
      </w:r>
      <w:r w:rsidRPr="00D5464D">
        <w:rPr>
          <w:rFonts w:cs="Arial"/>
          <w:iCs/>
          <w:szCs w:val="20"/>
          <w:lang w:val="pt-BR"/>
        </w:rPr>
        <w:t xml:space="preserve"> </w:t>
      </w:r>
      <w:r w:rsidR="002C330E" w:rsidRPr="00D5464D">
        <w:rPr>
          <w:rFonts w:cs="Arial"/>
          <w:iCs/>
          <w:szCs w:val="20"/>
          <w:lang w:val="pt-BR"/>
        </w:rPr>
        <w:t>Portanto</w:t>
      </w:r>
      <w:r w:rsidRPr="00D5464D">
        <w:rPr>
          <w:rFonts w:cs="Arial"/>
          <w:iCs/>
          <w:szCs w:val="20"/>
          <w:lang w:val="pt-BR"/>
        </w:rPr>
        <w:t xml:space="preserve">, esta Corte considera como “partes lesionadas” </w:t>
      </w:r>
      <w:r w:rsidR="00D92C1E" w:rsidRPr="00D5464D">
        <w:rPr>
          <w:szCs w:val="20"/>
          <w:lang w:val="pt-BR"/>
        </w:rPr>
        <w:t>1. Alcione</w:t>
      </w:r>
      <w:r w:rsidR="003C73E3" w:rsidRPr="00D5464D">
        <w:rPr>
          <w:szCs w:val="20"/>
          <w:lang w:val="pt-BR"/>
        </w:rPr>
        <w:t xml:space="preserve"> Freitas </w:t>
      </w:r>
      <w:r w:rsidR="00D92C1E" w:rsidRPr="00D5464D">
        <w:rPr>
          <w:szCs w:val="20"/>
          <w:lang w:val="pt-BR"/>
        </w:rPr>
        <w:t>Sousa</w:t>
      </w:r>
      <w:r w:rsidR="00C87E13" w:rsidRPr="00D5464D">
        <w:rPr>
          <w:szCs w:val="20"/>
          <w:lang w:val="pt-BR"/>
        </w:rPr>
        <w:t>,</w:t>
      </w:r>
      <w:r w:rsidR="00D92C1E" w:rsidRPr="00D5464D">
        <w:rPr>
          <w:szCs w:val="20"/>
          <w:lang w:val="pt-BR"/>
        </w:rPr>
        <w:t xml:space="preserve"> 2. Alfredo Rodrigues</w:t>
      </w:r>
      <w:r w:rsidR="00C87E13" w:rsidRPr="00D5464D">
        <w:rPr>
          <w:szCs w:val="20"/>
          <w:lang w:val="pt-BR"/>
        </w:rPr>
        <w:t>,</w:t>
      </w:r>
      <w:r w:rsidR="00D92C1E" w:rsidRPr="00D5464D">
        <w:rPr>
          <w:szCs w:val="20"/>
          <w:lang w:val="pt-BR"/>
        </w:rPr>
        <w:t xml:space="preserve"> 3. Antônio Almir Lima da Silva</w:t>
      </w:r>
      <w:r w:rsidR="00C87E13" w:rsidRPr="00D5464D">
        <w:rPr>
          <w:szCs w:val="20"/>
          <w:lang w:val="pt-BR"/>
        </w:rPr>
        <w:t>,</w:t>
      </w:r>
      <w:r w:rsidR="00D92C1E" w:rsidRPr="00D5464D">
        <w:rPr>
          <w:szCs w:val="20"/>
          <w:lang w:val="pt-BR"/>
        </w:rPr>
        <w:t xml:space="preserve"> 4. </w:t>
      </w:r>
      <w:r w:rsidR="00E42F61" w:rsidRPr="00D5464D">
        <w:rPr>
          <w:szCs w:val="20"/>
          <w:lang w:val="pt-BR"/>
        </w:rPr>
        <w:t xml:space="preserve">Antônio </w:t>
      </w:r>
      <w:r w:rsidR="00D92C1E" w:rsidRPr="00D5464D">
        <w:rPr>
          <w:szCs w:val="20"/>
          <w:lang w:val="pt-BR"/>
        </w:rPr>
        <w:t>Aroldo Rodrigues Santos</w:t>
      </w:r>
      <w:r w:rsidR="00C87E13" w:rsidRPr="00D5464D">
        <w:rPr>
          <w:szCs w:val="20"/>
          <w:lang w:val="pt-BR"/>
        </w:rPr>
        <w:t>,</w:t>
      </w:r>
      <w:r w:rsidR="00D92C1E" w:rsidRPr="00D5464D">
        <w:rPr>
          <w:szCs w:val="20"/>
          <w:lang w:val="pt-BR"/>
        </w:rPr>
        <w:t xml:space="preserve"> 5. </w:t>
      </w:r>
      <w:r w:rsidR="00E42F61" w:rsidRPr="00D5464D">
        <w:rPr>
          <w:szCs w:val="20"/>
          <w:lang w:val="pt-BR"/>
        </w:rPr>
        <w:t xml:space="preserve">Antônio </w:t>
      </w:r>
      <w:r w:rsidR="00D92C1E" w:rsidRPr="00D5464D">
        <w:rPr>
          <w:szCs w:val="20"/>
          <w:lang w:val="pt-BR"/>
        </w:rPr>
        <w:t>Bento da Silva</w:t>
      </w:r>
      <w:r w:rsidR="00C87E13" w:rsidRPr="00D5464D">
        <w:rPr>
          <w:szCs w:val="20"/>
          <w:lang w:val="pt-BR"/>
        </w:rPr>
        <w:t>,</w:t>
      </w:r>
      <w:r w:rsidR="00D92C1E" w:rsidRPr="00D5464D">
        <w:rPr>
          <w:szCs w:val="20"/>
          <w:lang w:val="pt-BR"/>
        </w:rPr>
        <w:t xml:space="preserve"> 6. </w:t>
      </w:r>
      <w:r w:rsidR="00E42F61" w:rsidRPr="00D5464D">
        <w:rPr>
          <w:szCs w:val="20"/>
          <w:lang w:val="pt-BR"/>
        </w:rPr>
        <w:t xml:space="preserve">Antônio </w:t>
      </w:r>
      <w:r w:rsidR="00D92C1E" w:rsidRPr="00D5464D">
        <w:rPr>
          <w:szCs w:val="20"/>
          <w:lang w:val="pt-BR"/>
        </w:rPr>
        <w:t>da Silva Martins</w:t>
      </w:r>
      <w:r w:rsidR="00C87E13" w:rsidRPr="00D5464D">
        <w:rPr>
          <w:szCs w:val="20"/>
          <w:lang w:val="pt-BR"/>
        </w:rPr>
        <w:t>,</w:t>
      </w:r>
      <w:r w:rsidR="00D92C1E" w:rsidRPr="00D5464D">
        <w:rPr>
          <w:szCs w:val="20"/>
          <w:lang w:val="pt-BR"/>
        </w:rPr>
        <w:t xml:space="preserve"> 7. </w:t>
      </w:r>
      <w:r w:rsidR="00E42F61" w:rsidRPr="00D5464D">
        <w:rPr>
          <w:szCs w:val="20"/>
          <w:lang w:val="pt-BR"/>
        </w:rPr>
        <w:t xml:space="preserve">Antônio </w:t>
      </w:r>
      <w:r w:rsidR="00D92C1E" w:rsidRPr="00D5464D">
        <w:rPr>
          <w:szCs w:val="20"/>
          <w:lang w:val="pt-BR"/>
        </w:rPr>
        <w:t>Damas Filho</w:t>
      </w:r>
      <w:r w:rsidR="00C87E13" w:rsidRPr="00D5464D">
        <w:rPr>
          <w:szCs w:val="20"/>
          <w:lang w:val="pt-BR"/>
        </w:rPr>
        <w:t>,</w:t>
      </w:r>
      <w:r w:rsidR="00D92C1E" w:rsidRPr="00D5464D">
        <w:rPr>
          <w:szCs w:val="20"/>
          <w:lang w:val="pt-BR"/>
        </w:rPr>
        <w:t xml:space="preserve"> </w:t>
      </w:r>
      <w:r w:rsidR="00D92C1E" w:rsidRPr="00D5464D">
        <w:rPr>
          <w:rFonts w:cs="Times New Roman"/>
          <w:szCs w:val="20"/>
          <w:lang w:val="pt-BR"/>
        </w:rPr>
        <w:t xml:space="preserve">8. </w:t>
      </w:r>
      <w:r w:rsidR="00E42F61" w:rsidRPr="00D5464D">
        <w:rPr>
          <w:rFonts w:cs="Times New Roman"/>
          <w:szCs w:val="20"/>
          <w:lang w:val="pt-BR"/>
        </w:rPr>
        <w:t xml:space="preserve">Antônio </w:t>
      </w:r>
      <w:r w:rsidR="00D92C1E" w:rsidRPr="00D5464D">
        <w:rPr>
          <w:rFonts w:cs="Times New Roman"/>
          <w:szCs w:val="20"/>
          <w:lang w:val="pt-BR"/>
        </w:rPr>
        <w:t>de Paula Rodrigues de Sousa</w:t>
      </w:r>
      <w:r w:rsidR="00C87E13" w:rsidRPr="00D5464D">
        <w:rPr>
          <w:szCs w:val="20"/>
          <w:lang w:val="pt-BR"/>
        </w:rPr>
        <w:t>,</w:t>
      </w:r>
      <w:r w:rsidR="00D92C1E" w:rsidRPr="00D5464D">
        <w:rPr>
          <w:szCs w:val="20"/>
          <w:lang w:val="pt-BR"/>
        </w:rPr>
        <w:t xml:space="preserve"> </w:t>
      </w:r>
      <w:r w:rsidR="00D92C1E" w:rsidRPr="00D5464D">
        <w:rPr>
          <w:rFonts w:cs="Times New Roman"/>
          <w:szCs w:val="20"/>
          <w:lang w:val="pt-BR"/>
        </w:rPr>
        <w:t xml:space="preserve">9. </w:t>
      </w:r>
      <w:r w:rsidR="00E42F61" w:rsidRPr="00D5464D">
        <w:rPr>
          <w:rFonts w:cs="Times New Roman"/>
          <w:szCs w:val="20"/>
          <w:lang w:val="pt-BR"/>
        </w:rPr>
        <w:t xml:space="preserve">Antônio </w:t>
      </w:r>
      <w:r w:rsidR="00D92C1E" w:rsidRPr="00D5464D">
        <w:rPr>
          <w:rFonts w:cs="Times New Roman"/>
          <w:szCs w:val="20"/>
          <w:lang w:val="pt-BR"/>
        </w:rPr>
        <w:t>Edvaldo da Silva</w:t>
      </w:r>
      <w:r w:rsidR="00C87E13" w:rsidRPr="00D5464D">
        <w:rPr>
          <w:szCs w:val="20"/>
          <w:lang w:val="pt-BR"/>
        </w:rPr>
        <w:t>,</w:t>
      </w:r>
      <w:r w:rsidR="00D92C1E" w:rsidRPr="00D5464D">
        <w:rPr>
          <w:szCs w:val="20"/>
          <w:lang w:val="pt-BR"/>
        </w:rPr>
        <w:t xml:space="preserve"> </w:t>
      </w:r>
      <w:r w:rsidR="00D92C1E" w:rsidRPr="00D5464D">
        <w:rPr>
          <w:rFonts w:cs="Times New Roman"/>
          <w:szCs w:val="20"/>
          <w:lang w:val="pt-BR"/>
        </w:rPr>
        <w:t xml:space="preserve">10. </w:t>
      </w:r>
      <w:r w:rsidR="00E42F61" w:rsidRPr="00D5464D">
        <w:rPr>
          <w:rFonts w:cs="Times New Roman"/>
          <w:szCs w:val="20"/>
          <w:lang w:val="pt-BR"/>
        </w:rPr>
        <w:t xml:space="preserve">Antônio </w:t>
      </w:r>
      <w:r w:rsidR="00D92C1E" w:rsidRPr="00D5464D">
        <w:rPr>
          <w:rFonts w:cs="Times New Roman"/>
          <w:szCs w:val="20"/>
          <w:lang w:val="pt-BR"/>
        </w:rPr>
        <w:t>Fernandes Costa</w:t>
      </w:r>
      <w:r w:rsidR="00C87E13" w:rsidRPr="00D5464D">
        <w:rPr>
          <w:szCs w:val="20"/>
          <w:lang w:val="pt-BR"/>
        </w:rPr>
        <w:t>,</w:t>
      </w:r>
      <w:r w:rsidR="00D92C1E" w:rsidRPr="00D5464D">
        <w:rPr>
          <w:szCs w:val="20"/>
          <w:lang w:val="pt-BR"/>
        </w:rPr>
        <w:t xml:space="preserve"> </w:t>
      </w:r>
      <w:r w:rsidR="00D92C1E" w:rsidRPr="00D5464D">
        <w:rPr>
          <w:rFonts w:cs="Times New Roman"/>
          <w:szCs w:val="20"/>
          <w:lang w:val="pt-BR"/>
        </w:rPr>
        <w:t xml:space="preserve">11. </w:t>
      </w:r>
      <w:r w:rsidR="00E42F61" w:rsidRPr="00D5464D">
        <w:rPr>
          <w:rFonts w:cs="Times New Roman"/>
          <w:szCs w:val="20"/>
          <w:lang w:val="pt-BR"/>
        </w:rPr>
        <w:t xml:space="preserve">Antônio </w:t>
      </w:r>
      <w:r w:rsidR="00D92C1E" w:rsidRPr="00D5464D">
        <w:rPr>
          <w:rFonts w:cs="Times New Roman"/>
          <w:szCs w:val="20"/>
          <w:lang w:val="pt-BR"/>
        </w:rPr>
        <w:t>Francisco da Silva</w:t>
      </w:r>
      <w:r w:rsidR="00C87E13" w:rsidRPr="00D5464D">
        <w:rPr>
          <w:szCs w:val="20"/>
          <w:lang w:val="pt-BR"/>
        </w:rPr>
        <w:t>,</w:t>
      </w:r>
      <w:r w:rsidR="00D92C1E" w:rsidRPr="00D5464D">
        <w:rPr>
          <w:szCs w:val="20"/>
          <w:lang w:val="pt-BR"/>
        </w:rPr>
        <w:t xml:space="preserve"> </w:t>
      </w:r>
      <w:r w:rsidR="00D92C1E" w:rsidRPr="00D5464D">
        <w:rPr>
          <w:rFonts w:cs="Times New Roman"/>
          <w:szCs w:val="20"/>
          <w:lang w:val="pt-BR"/>
        </w:rPr>
        <w:t xml:space="preserve">12. </w:t>
      </w:r>
      <w:r w:rsidR="00E42F61" w:rsidRPr="00D5464D">
        <w:rPr>
          <w:rFonts w:cs="Times New Roman"/>
          <w:szCs w:val="20"/>
          <w:lang w:val="pt-BR"/>
        </w:rPr>
        <w:t xml:space="preserve">Antônio </w:t>
      </w:r>
      <w:r w:rsidR="00D92C1E" w:rsidRPr="00D5464D">
        <w:rPr>
          <w:rFonts w:cs="Times New Roman"/>
          <w:szCs w:val="20"/>
          <w:lang w:val="pt-BR"/>
        </w:rPr>
        <w:t>Francisco da Silva Fernandes</w:t>
      </w:r>
      <w:r w:rsidR="00C87E13" w:rsidRPr="00D5464D">
        <w:rPr>
          <w:szCs w:val="20"/>
          <w:lang w:val="pt-BR"/>
        </w:rPr>
        <w:t>,</w:t>
      </w:r>
      <w:r w:rsidR="00D92C1E" w:rsidRPr="00D5464D">
        <w:rPr>
          <w:szCs w:val="20"/>
          <w:lang w:val="pt-BR"/>
        </w:rPr>
        <w:t xml:space="preserve"> </w:t>
      </w:r>
      <w:r w:rsidR="00D92C1E" w:rsidRPr="00D5464D">
        <w:rPr>
          <w:rFonts w:cs="Times New Roman"/>
          <w:szCs w:val="20"/>
          <w:lang w:val="pt-BR"/>
        </w:rPr>
        <w:t xml:space="preserve">13. </w:t>
      </w:r>
      <w:r w:rsidR="00E42F61" w:rsidRPr="00D5464D">
        <w:rPr>
          <w:rFonts w:cs="Times New Roman"/>
          <w:szCs w:val="20"/>
          <w:lang w:val="pt-BR"/>
        </w:rPr>
        <w:t xml:space="preserve">Antônio </w:t>
      </w:r>
      <w:r w:rsidR="00D92C1E" w:rsidRPr="00D5464D">
        <w:rPr>
          <w:rFonts w:cs="Times New Roman"/>
          <w:szCs w:val="20"/>
          <w:lang w:val="pt-BR"/>
        </w:rPr>
        <w:t>Ivaldo Rodrigues da Silva</w:t>
      </w:r>
      <w:r w:rsidR="00C87E13" w:rsidRPr="00D5464D">
        <w:rPr>
          <w:szCs w:val="20"/>
          <w:lang w:val="pt-BR"/>
        </w:rPr>
        <w:t>,</w:t>
      </w:r>
      <w:r w:rsidR="00D92C1E" w:rsidRPr="00D5464D">
        <w:rPr>
          <w:szCs w:val="20"/>
          <w:lang w:val="pt-BR"/>
        </w:rPr>
        <w:t xml:space="preserve"> </w:t>
      </w:r>
      <w:r w:rsidR="00D92C1E" w:rsidRPr="00D5464D">
        <w:rPr>
          <w:rFonts w:cs="Times New Roman"/>
          <w:szCs w:val="20"/>
          <w:lang w:val="pt-BR"/>
        </w:rPr>
        <w:t xml:space="preserve">14. </w:t>
      </w:r>
      <w:r w:rsidR="00E42F61" w:rsidRPr="00D5464D">
        <w:rPr>
          <w:rFonts w:cs="Times New Roman"/>
          <w:szCs w:val="20"/>
          <w:lang w:val="pt-BR"/>
        </w:rPr>
        <w:t xml:space="preserve">Antônio </w:t>
      </w:r>
      <w:r w:rsidR="00D92C1E" w:rsidRPr="00D5464D">
        <w:rPr>
          <w:rFonts w:cs="Times New Roman"/>
          <w:szCs w:val="20"/>
          <w:lang w:val="pt-BR"/>
        </w:rPr>
        <w:t>Paulo da Silva</w:t>
      </w:r>
      <w:r w:rsidR="00C87E13" w:rsidRPr="00D5464D">
        <w:rPr>
          <w:szCs w:val="20"/>
          <w:lang w:val="pt-BR"/>
        </w:rPr>
        <w:t>,</w:t>
      </w:r>
      <w:r w:rsidR="00D92C1E" w:rsidRPr="00D5464D">
        <w:rPr>
          <w:szCs w:val="20"/>
          <w:lang w:val="pt-BR"/>
        </w:rPr>
        <w:t xml:space="preserve"> </w:t>
      </w:r>
      <w:r w:rsidR="00D92C1E" w:rsidRPr="00D5464D">
        <w:rPr>
          <w:rFonts w:cs="Times New Roman"/>
          <w:szCs w:val="20"/>
          <w:lang w:val="pt-BR"/>
        </w:rPr>
        <w:t xml:space="preserve">15. </w:t>
      </w:r>
      <w:r w:rsidR="00E42F61" w:rsidRPr="00D5464D">
        <w:rPr>
          <w:rFonts w:cs="Times New Roman"/>
          <w:szCs w:val="20"/>
          <w:lang w:val="pt-BR"/>
        </w:rPr>
        <w:t xml:space="preserve">Antônio </w:t>
      </w:r>
      <w:r w:rsidR="00D92C1E" w:rsidRPr="00D5464D">
        <w:rPr>
          <w:rFonts w:cs="Times New Roman"/>
          <w:szCs w:val="20"/>
          <w:lang w:val="pt-BR"/>
        </w:rPr>
        <w:t>Pereira da Silva</w:t>
      </w:r>
      <w:r w:rsidR="00C87E13" w:rsidRPr="00D5464D">
        <w:rPr>
          <w:szCs w:val="20"/>
          <w:lang w:val="pt-BR"/>
        </w:rPr>
        <w:t>,</w:t>
      </w:r>
      <w:r w:rsidR="00D92C1E" w:rsidRPr="00D5464D">
        <w:rPr>
          <w:szCs w:val="20"/>
          <w:lang w:val="pt-BR"/>
        </w:rPr>
        <w:t xml:space="preserve"> 16. </w:t>
      </w:r>
      <w:r w:rsidR="00E42F61" w:rsidRPr="00D5464D">
        <w:rPr>
          <w:rFonts w:cs="Times New Roman"/>
          <w:szCs w:val="20"/>
          <w:lang w:val="pt-BR"/>
        </w:rPr>
        <w:t xml:space="preserve">Antônio </w:t>
      </w:r>
      <w:r w:rsidR="00D92C1E" w:rsidRPr="00D5464D">
        <w:rPr>
          <w:rFonts w:cs="Times New Roman"/>
          <w:szCs w:val="20"/>
          <w:lang w:val="pt-BR"/>
        </w:rPr>
        <w:t>Pereira dos Santos</w:t>
      </w:r>
      <w:r w:rsidR="00C87E13" w:rsidRPr="00D5464D">
        <w:rPr>
          <w:rFonts w:cs="Times New Roman"/>
          <w:szCs w:val="20"/>
          <w:lang w:val="pt-BR"/>
        </w:rPr>
        <w:t>,</w:t>
      </w:r>
      <w:r w:rsidR="00D92C1E" w:rsidRPr="00D5464D">
        <w:rPr>
          <w:rFonts w:cs="Times New Roman"/>
          <w:szCs w:val="20"/>
          <w:lang w:val="pt-BR"/>
        </w:rPr>
        <w:t xml:space="preserve"> 17. Carlito Bastos Gonçalves</w:t>
      </w:r>
      <w:r w:rsidR="00C87E13" w:rsidRPr="00D5464D">
        <w:rPr>
          <w:szCs w:val="20"/>
          <w:lang w:val="pt-BR"/>
        </w:rPr>
        <w:t>,</w:t>
      </w:r>
      <w:r w:rsidR="00D92C1E" w:rsidRPr="00D5464D">
        <w:rPr>
          <w:szCs w:val="20"/>
          <w:lang w:val="pt-BR"/>
        </w:rPr>
        <w:t xml:space="preserve"> </w:t>
      </w:r>
      <w:r w:rsidR="00D92C1E" w:rsidRPr="00D5464D">
        <w:rPr>
          <w:rFonts w:cs="Times New Roman"/>
          <w:szCs w:val="20"/>
          <w:lang w:val="pt-BR"/>
        </w:rPr>
        <w:t>18.</w:t>
      </w:r>
      <w:r w:rsidR="00A1358C" w:rsidRPr="00D5464D">
        <w:rPr>
          <w:rFonts w:cs="Times New Roman"/>
          <w:szCs w:val="20"/>
          <w:lang w:val="pt-BR"/>
        </w:rPr>
        <w:t xml:space="preserve"> Carlos </w:t>
      </w:r>
      <w:r w:rsidR="00D92C1E" w:rsidRPr="00D5464D">
        <w:rPr>
          <w:rFonts w:cs="Times New Roman"/>
          <w:szCs w:val="20"/>
          <w:lang w:val="pt-BR"/>
        </w:rPr>
        <w:t>Alberto Silva Alves</w:t>
      </w:r>
      <w:r w:rsidR="00C87E13" w:rsidRPr="00D5464D">
        <w:rPr>
          <w:rFonts w:cs="Times New Roman"/>
          <w:szCs w:val="20"/>
          <w:lang w:val="pt-BR"/>
        </w:rPr>
        <w:t>,</w:t>
      </w:r>
      <w:r w:rsidR="00D92C1E" w:rsidRPr="00D5464D">
        <w:rPr>
          <w:rFonts w:cs="Times New Roman"/>
          <w:szCs w:val="20"/>
          <w:lang w:val="pt-BR"/>
        </w:rPr>
        <w:t xml:space="preserve"> 19.</w:t>
      </w:r>
      <w:r w:rsidR="00A1358C" w:rsidRPr="00D5464D">
        <w:rPr>
          <w:rFonts w:cs="Times New Roman"/>
          <w:szCs w:val="20"/>
          <w:lang w:val="pt-BR"/>
        </w:rPr>
        <w:t xml:space="preserve"> Carlos </w:t>
      </w:r>
      <w:r w:rsidR="00D92C1E" w:rsidRPr="00D5464D">
        <w:rPr>
          <w:rFonts w:cs="Times New Roman"/>
          <w:szCs w:val="20"/>
          <w:lang w:val="pt-BR"/>
        </w:rPr>
        <w:t>André da Conceição Pereira</w:t>
      </w:r>
      <w:r w:rsidR="00C87E13" w:rsidRPr="00D5464D">
        <w:rPr>
          <w:rFonts w:cs="Times New Roman"/>
          <w:szCs w:val="20"/>
          <w:lang w:val="pt-BR"/>
        </w:rPr>
        <w:t>,</w:t>
      </w:r>
      <w:r w:rsidR="00D92C1E" w:rsidRPr="00D5464D">
        <w:rPr>
          <w:rFonts w:cs="Times New Roman"/>
          <w:szCs w:val="20"/>
          <w:lang w:val="pt-BR"/>
        </w:rPr>
        <w:t xml:space="preserve"> 20.</w:t>
      </w:r>
      <w:r w:rsidR="00A1358C" w:rsidRPr="00D5464D">
        <w:rPr>
          <w:rFonts w:cs="Times New Roman"/>
          <w:szCs w:val="20"/>
          <w:lang w:val="pt-BR"/>
        </w:rPr>
        <w:t xml:space="preserve"> Carlos </w:t>
      </w:r>
      <w:r w:rsidR="00D92C1E" w:rsidRPr="00D5464D">
        <w:rPr>
          <w:rFonts w:cs="Times New Roman"/>
          <w:szCs w:val="20"/>
          <w:lang w:val="pt-BR"/>
        </w:rPr>
        <w:t>Augusto Cunha</w:t>
      </w:r>
      <w:r w:rsidR="00C87E13" w:rsidRPr="00D5464D">
        <w:rPr>
          <w:rFonts w:cs="Times New Roman"/>
          <w:szCs w:val="20"/>
          <w:lang w:val="pt-BR"/>
        </w:rPr>
        <w:t>,</w:t>
      </w:r>
      <w:r w:rsidR="00D92C1E" w:rsidRPr="00D5464D">
        <w:rPr>
          <w:rFonts w:cs="Times New Roman"/>
          <w:szCs w:val="20"/>
          <w:lang w:val="pt-BR"/>
        </w:rPr>
        <w:t xml:space="preserve"> 21.</w:t>
      </w:r>
      <w:r w:rsidR="00A1358C" w:rsidRPr="00D5464D">
        <w:rPr>
          <w:rFonts w:cs="Times New Roman"/>
          <w:szCs w:val="20"/>
          <w:lang w:val="pt-BR"/>
        </w:rPr>
        <w:t xml:space="preserve"> Carlos </w:t>
      </w:r>
      <w:r w:rsidR="00D92C1E" w:rsidRPr="00D5464D">
        <w:rPr>
          <w:rFonts w:cs="Times New Roman"/>
          <w:szCs w:val="20"/>
          <w:lang w:val="pt-BR"/>
        </w:rPr>
        <w:t>Ferreira Lopes</w:t>
      </w:r>
      <w:r w:rsidR="00C87E13" w:rsidRPr="00D5464D">
        <w:rPr>
          <w:rFonts w:cs="Times New Roman"/>
          <w:szCs w:val="20"/>
          <w:lang w:val="pt-BR"/>
        </w:rPr>
        <w:t>,</w:t>
      </w:r>
      <w:r w:rsidR="00D92C1E" w:rsidRPr="00D5464D">
        <w:rPr>
          <w:rFonts w:cs="Times New Roman"/>
          <w:szCs w:val="20"/>
          <w:lang w:val="pt-BR"/>
        </w:rPr>
        <w:t xml:space="preserve"> 22. Edirceu Lima de Brito</w:t>
      </w:r>
      <w:r w:rsidR="00C87E13" w:rsidRPr="00D5464D">
        <w:rPr>
          <w:rFonts w:cs="Times New Roman"/>
          <w:szCs w:val="20"/>
          <w:lang w:val="pt-BR"/>
        </w:rPr>
        <w:t>,</w:t>
      </w:r>
      <w:r w:rsidR="00D92C1E" w:rsidRPr="00D5464D">
        <w:rPr>
          <w:rFonts w:cs="Times New Roman"/>
          <w:szCs w:val="20"/>
          <w:lang w:val="pt-BR"/>
        </w:rPr>
        <w:t xml:space="preserve"> 23. Erimar Lima da Silva</w:t>
      </w:r>
      <w:r w:rsidR="00C87E13" w:rsidRPr="00D5464D">
        <w:rPr>
          <w:rFonts w:cs="Times New Roman"/>
          <w:szCs w:val="20"/>
          <w:lang w:val="pt-BR"/>
        </w:rPr>
        <w:t>,</w:t>
      </w:r>
      <w:r w:rsidR="00D92C1E" w:rsidRPr="00D5464D">
        <w:rPr>
          <w:rFonts w:cs="Times New Roman"/>
          <w:szCs w:val="20"/>
          <w:lang w:val="pt-BR"/>
        </w:rPr>
        <w:t xml:space="preserve"> 24. Firmino da Silva</w:t>
      </w:r>
      <w:r w:rsidR="00C87E13" w:rsidRPr="00D5464D">
        <w:rPr>
          <w:rFonts w:cs="Times New Roman"/>
          <w:szCs w:val="20"/>
          <w:lang w:val="pt-BR"/>
        </w:rPr>
        <w:t>,</w:t>
      </w:r>
      <w:r w:rsidR="00D92C1E" w:rsidRPr="00D5464D">
        <w:rPr>
          <w:rFonts w:cs="Times New Roman"/>
          <w:szCs w:val="20"/>
          <w:lang w:val="pt-BR"/>
        </w:rPr>
        <w:t xml:space="preserve"> 25. Francisco </w:t>
      </w:r>
      <w:r w:rsidR="00E42F61" w:rsidRPr="00D5464D">
        <w:rPr>
          <w:rFonts w:cs="Times New Roman"/>
          <w:szCs w:val="20"/>
          <w:lang w:val="pt-BR"/>
        </w:rPr>
        <w:t xml:space="preserve">Antônio </w:t>
      </w:r>
      <w:r w:rsidR="00D92C1E" w:rsidRPr="00D5464D">
        <w:rPr>
          <w:rFonts w:cs="Times New Roman"/>
          <w:szCs w:val="20"/>
          <w:lang w:val="pt-BR"/>
        </w:rPr>
        <w:t>Oliveira Barbosa</w:t>
      </w:r>
      <w:r w:rsidR="00C87E13" w:rsidRPr="00D5464D">
        <w:rPr>
          <w:rFonts w:cs="Times New Roman"/>
          <w:szCs w:val="20"/>
          <w:lang w:val="pt-BR"/>
        </w:rPr>
        <w:t>,</w:t>
      </w:r>
      <w:r w:rsidR="00D92C1E" w:rsidRPr="00D5464D">
        <w:rPr>
          <w:rFonts w:cs="Times New Roman"/>
          <w:szCs w:val="20"/>
          <w:lang w:val="pt-BR"/>
        </w:rPr>
        <w:t xml:space="preserve"> 26. Francisco da Silva</w:t>
      </w:r>
      <w:r w:rsidR="00C87E13" w:rsidRPr="00D5464D">
        <w:rPr>
          <w:rFonts w:cs="Times New Roman"/>
          <w:szCs w:val="20"/>
          <w:lang w:val="pt-BR"/>
        </w:rPr>
        <w:t>,</w:t>
      </w:r>
      <w:r w:rsidR="00D92C1E" w:rsidRPr="00D5464D">
        <w:rPr>
          <w:rFonts w:cs="Times New Roman"/>
          <w:szCs w:val="20"/>
          <w:lang w:val="pt-BR"/>
        </w:rPr>
        <w:t xml:space="preserve"> 27. Francisco das </w:t>
      </w:r>
      <w:r w:rsidR="00D54143" w:rsidRPr="00D5464D">
        <w:rPr>
          <w:rFonts w:cs="Times New Roman"/>
          <w:szCs w:val="20"/>
          <w:lang w:val="pt-BR"/>
        </w:rPr>
        <w:t xml:space="preserve">Chagas </w:t>
      </w:r>
      <w:r w:rsidR="00D92C1E" w:rsidRPr="00D5464D">
        <w:rPr>
          <w:rFonts w:cs="Times New Roman"/>
          <w:szCs w:val="20"/>
          <w:lang w:val="pt-BR"/>
        </w:rPr>
        <w:t>Araujo Carvalho</w:t>
      </w:r>
      <w:r w:rsidR="00C87E13" w:rsidRPr="00D5464D">
        <w:rPr>
          <w:rFonts w:cs="Times New Roman"/>
          <w:szCs w:val="20"/>
          <w:lang w:val="pt-BR"/>
        </w:rPr>
        <w:t>,</w:t>
      </w:r>
      <w:r w:rsidR="00D92C1E" w:rsidRPr="00D5464D">
        <w:rPr>
          <w:rFonts w:cs="Times New Roman"/>
          <w:szCs w:val="20"/>
          <w:lang w:val="pt-BR"/>
        </w:rPr>
        <w:t xml:space="preserve"> </w:t>
      </w:r>
      <w:r w:rsidR="00D92C1E" w:rsidRPr="00D5464D">
        <w:rPr>
          <w:szCs w:val="20"/>
          <w:lang w:val="pt-BR"/>
        </w:rPr>
        <w:t xml:space="preserve">28. Francisco das </w:t>
      </w:r>
      <w:r w:rsidR="00D54143" w:rsidRPr="00D5464D">
        <w:rPr>
          <w:szCs w:val="20"/>
          <w:lang w:val="pt-BR"/>
        </w:rPr>
        <w:t xml:space="preserve">Chagas </w:t>
      </w:r>
      <w:r w:rsidR="00D92C1E" w:rsidRPr="00D5464D">
        <w:rPr>
          <w:szCs w:val="20"/>
          <w:lang w:val="pt-BR"/>
        </w:rPr>
        <w:t>Bastos Souza</w:t>
      </w:r>
      <w:r w:rsidR="00C87E13" w:rsidRPr="00D5464D">
        <w:rPr>
          <w:szCs w:val="20"/>
          <w:lang w:val="pt-BR"/>
        </w:rPr>
        <w:t>,</w:t>
      </w:r>
      <w:r w:rsidR="00D92C1E" w:rsidRPr="00D5464D">
        <w:rPr>
          <w:szCs w:val="20"/>
          <w:lang w:val="pt-BR"/>
        </w:rPr>
        <w:t xml:space="preserve"> </w:t>
      </w:r>
      <w:r w:rsidR="00D92C1E" w:rsidRPr="00D5464D">
        <w:rPr>
          <w:rFonts w:cs="Times New Roman"/>
          <w:szCs w:val="20"/>
          <w:lang w:val="pt-BR"/>
        </w:rPr>
        <w:t xml:space="preserve">29. Francisco das </w:t>
      </w:r>
      <w:r w:rsidR="00D54143" w:rsidRPr="00D5464D">
        <w:rPr>
          <w:rFonts w:cs="Times New Roman"/>
          <w:szCs w:val="20"/>
          <w:lang w:val="pt-BR"/>
        </w:rPr>
        <w:t xml:space="preserve">Chagas </w:t>
      </w:r>
      <w:r w:rsidR="00D92C1E" w:rsidRPr="00D5464D">
        <w:rPr>
          <w:rFonts w:cs="Times New Roman"/>
          <w:szCs w:val="20"/>
          <w:lang w:val="pt-BR"/>
        </w:rPr>
        <w:t>Cardoso Carvalho</w:t>
      </w:r>
      <w:r w:rsidR="00C87E13" w:rsidRPr="00D5464D">
        <w:rPr>
          <w:rFonts w:cs="Times New Roman"/>
          <w:szCs w:val="20"/>
          <w:lang w:val="pt-BR"/>
        </w:rPr>
        <w:t>,</w:t>
      </w:r>
      <w:r w:rsidR="00D92C1E" w:rsidRPr="00D5464D">
        <w:rPr>
          <w:rFonts w:cs="Times New Roman"/>
          <w:szCs w:val="20"/>
          <w:lang w:val="pt-BR"/>
        </w:rPr>
        <w:t xml:space="preserve"> 30. Francisco das </w:t>
      </w:r>
      <w:r w:rsidR="00D54143" w:rsidRPr="00D5464D">
        <w:rPr>
          <w:rFonts w:cs="Times New Roman"/>
          <w:szCs w:val="20"/>
          <w:lang w:val="pt-BR"/>
        </w:rPr>
        <w:t xml:space="preserve">Chagas </w:t>
      </w:r>
      <w:r w:rsidR="00D92C1E" w:rsidRPr="00D5464D">
        <w:rPr>
          <w:rFonts w:cs="Times New Roman"/>
          <w:szCs w:val="20"/>
          <w:lang w:val="pt-BR"/>
        </w:rPr>
        <w:t>Costa Rabelo</w:t>
      </w:r>
      <w:r w:rsidR="00C87E13" w:rsidRPr="00D5464D">
        <w:rPr>
          <w:rFonts w:cs="Times New Roman"/>
          <w:szCs w:val="20"/>
          <w:lang w:val="pt-BR"/>
        </w:rPr>
        <w:t>,</w:t>
      </w:r>
      <w:r w:rsidR="00D92C1E" w:rsidRPr="00D5464D">
        <w:rPr>
          <w:rFonts w:cs="Times New Roman"/>
          <w:szCs w:val="20"/>
          <w:lang w:val="pt-BR"/>
        </w:rPr>
        <w:t xml:space="preserve"> 31. Francisco das </w:t>
      </w:r>
      <w:r w:rsidR="00D54143" w:rsidRPr="00D5464D">
        <w:rPr>
          <w:rFonts w:cs="Times New Roman"/>
          <w:szCs w:val="20"/>
          <w:lang w:val="pt-BR"/>
        </w:rPr>
        <w:t xml:space="preserve">Chagas </w:t>
      </w:r>
      <w:r w:rsidR="00D92C1E" w:rsidRPr="00D5464D">
        <w:rPr>
          <w:rFonts w:cs="Times New Roman"/>
          <w:szCs w:val="20"/>
          <w:lang w:val="pt-BR"/>
        </w:rPr>
        <w:t>da Silva Lira</w:t>
      </w:r>
      <w:r w:rsidR="00C87E13" w:rsidRPr="00D5464D">
        <w:rPr>
          <w:rFonts w:cs="Times New Roman"/>
          <w:szCs w:val="20"/>
          <w:lang w:val="pt-BR"/>
        </w:rPr>
        <w:t>,</w:t>
      </w:r>
      <w:r w:rsidR="00D92C1E" w:rsidRPr="00D5464D">
        <w:rPr>
          <w:rFonts w:cs="Times New Roman"/>
          <w:szCs w:val="20"/>
          <w:lang w:val="pt-BR"/>
        </w:rPr>
        <w:t xml:space="preserve"> 32. Francisco Mariano da Silva</w:t>
      </w:r>
      <w:r w:rsidR="00C87E13" w:rsidRPr="00D5464D">
        <w:rPr>
          <w:rFonts w:cs="Times New Roman"/>
          <w:szCs w:val="20"/>
          <w:lang w:val="pt-BR"/>
        </w:rPr>
        <w:t>,</w:t>
      </w:r>
      <w:r w:rsidR="00D92C1E" w:rsidRPr="00D5464D">
        <w:rPr>
          <w:rFonts w:cs="Times New Roman"/>
          <w:szCs w:val="20"/>
          <w:lang w:val="pt-BR"/>
        </w:rPr>
        <w:t xml:space="preserve"> 33. Francisco das </w:t>
      </w:r>
      <w:r w:rsidR="00D54143" w:rsidRPr="00D5464D">
        <w:rPr>
          <w:rFonts w:cs="Times New Roman"/>
          <w:szCs w:val="20"/>
          <w:lang w:val="pt-BR"/>
        </w:rPr>
        <w:t xml:space="preserve">Chagas </w:t>
      </w:r>
      <w:r w:rsidR="00D92C1E" w:rsidRPr="00D5464D">
        <w:rPr>
          <w:rFonts w:cs="Times New Roman"/>
          <w:szCs w:val="20"/>
          <w:lang w:val="pt-BR"/>
        </w:rPr>
        <w:t>Diogo</w:t>
      </w:r>
      <w:r w:rsidR="00C87E13" w:rsidRPr="00D5464D">
        <w:rPr>
          <w:rFonts w:cs="Times New Roman"/>
          <w:szCs w:val="20"/>
          <w:lang w:val="pt-BR"/>
        </w:rPr>
        <w:t>,</w:t>
      </w:r>
      <w:r w:rsidR="00D92C1E" w:rsidRPr="00D5464D">
        <w:rPr>
          <w:rFonts w:cs="Times New Roman"/>
          <w:szCs w:val="20"/>
          <w:lang w:val="pt-BR"/>
        </w:rPr>
        <w:t xml:space="preserve"> 34. Francisco das </w:t>
      </w:r>
      <w:r w:rsidR="00D54143" w:rsidRPr="00D5464D">
        <w:rPr>
          <w:rFonts w:cs="Times New Roman"/>
          <w:szCs w:val="20"/>
          <w:lang w:val="pt-BR"/>
        </w:rPr>
        <w:t xml:space="preserve">Chagas </w:t>
      </w:r>
      <w:r w:rsidR="00D92C1E" w:rsidRPr="00D5464D">
        <w:rPr>
          <w:rFonts w:cs="Times New Roman"/>
          <w:szCs w:val="20"/>
          <w:lang w:val="pt-BR"/>
        </w:rPr>
        <w:t>Moreira Alves</w:t>
      </w:r>
      <w:r w:rsidR="00C87E13" w:rsidRPr="00D5464D">
        <w:rPr>
          <w:rFonts w:cs="Times New Roman"/>
          <w:szCs w:val="20"/>
          <w:lang w:val="pt-BR"/>
        </w:rPr>
        <w:t>,</w:t>
      </w:r>
      <w:r w:rsidR="00D92C1E" w:rsidRPr="00D5464D">
        <w:rPr>
          <w:rFonts w:cs="Times New Roman"/>
          <w:szCs w:val="20"/>
          <w:lang w:val="pt-BR"/>
        </w:rPr>
        <w:t xml:space="preserve"> 35. Francisco das </w:t>
      </w:r>
      <w:r w:rsidR="00D54143" w:rsidRPr="00D5464D">
        <w:rPr>
          <w:rFonts w:cs="Times New Roman"/>
          <w:szCs w:val="20"/>
          <w:lang w:val="pt-BR"/>
        </w:rPr>
        <w:t xml:space="preserve">Chagas </w:t>
      </w:r>
      <w:r w:rsidR="00D92C1E" w:rsidRPr="00D5464D">
        <w:rPr>
          <w:rFonts w:cs="Times New Roman"/>
          <w:szCs w:val="20"/>
          <w:lang w:val="pt-BR"/>
        </w:rPr>
        <w:t>Rodrigues de Sousa</w:t>
      </w:r>
      <w:r w:rsidR="00C87E13" w:rsidRPr="00D5464D">
        <w:rPr>
          <w:rFonts w:cs="Times New Roman"/>
          <w:szCs w:val="20"/>
          <w:lang w:val="pt-BR"/>
        </w:rPr>
        <w:t>,</w:t>
      </w:r>
      <w:r w:rsidR="00D92C1E" w:rsidRPr="00D5464D">
        <w:rPr>
          <w:rFonts w:cs="Times New Roman"/>
          <w:szCs w:val="20"/>
          <w:lang w:val="pt-BR"/>
        </w:rPr>
        <w:t xml:space="preserve"> 36. Francisco das </w:t>
      </w:r>
      <w:r w:rsidR="00D54143" w:rsidRPr="00D5464D">
        <w:rPr>
          <w:rFonts w:cs="Times New Roman"/>
          <w:szCs w:val="20"/>
          <w:lang w:val="pt-BR"/>
        </w:rPr>
        <w:t xml:space="preserve">Chagas </w:t>
      </w:r>
      <w:r w:rsidR="00D92C1E" w:rsidRPr="00D5464D">
        <w:rPr>
          <w:rFonts w:cs="Times New Roman"/>
          <w:szCs w:val="20"/>
          <w:lang w:val="pt-BR"/>
        </w:rPr>
        <w:t>Sousa Cardoso</w:t>
      </w:r>
      <w:r w:rsidR="00C87E13" w:rsidRPr="00D5464D">
        <w:rPr>
          <w:rFonts w:cs="Times New Roman"/>
          <w:szCs w:val="20"/>
          <w:lang w:val="pt-BR"/>
        </w:rPr>
        <w:t>,</w:t>
      </w:r>
      <w:r w:rsidR="00D92C1E" w:rsidRPr="00D5464D">
        <w:rPr>
          <w:rFonts w:cs="Times New Roman"/>
          <w:szCs w:val="20"/>
          <w:lang w:val="pt-BR"/>
        </w:rPr>
        <w:t xml:space="preserve"> 37. Francisco de Assis Felix</w:t>
      </w:r>
      <w:r w:rsidR="00C87E13" w:rsidRPr="00D5464D">
        <w:rPr>
          <w:rFonts w:cs="Times New Roman"/>
          <w:szCs w:val="20"/>
          <w:lang w:val="pt-BR"/>
        </w:rPr>
        <w:t>,</w:t>
      </w:r>
      <w:r w:rsidR="00D92C1E" w:rsidRPr="00D5464D">
        <w:rPr>
          <w:rFonts w:cs="Times New Roman"/>
          <w:szCs w:val="20"/>
          <w:lang w:val="pt-BR"/>
        </w:rPr>
        <w:t xml:space="preserve"> 38. Francisco de Assis Pereira da Silva</w:t>
      </w:r>
      <w:r w:rsidR="00C87E13" w:rsidRPr="00D5464D">
        <w:rPr>
          <w:rFonts w:cs="Times New Roman"/>
          <w:szCs w:val="20"/>
          <w:lang w:val="pt-BR"/>
        </w:rPr>
        <w:t>,</w:t>
      </w:r>
      <w:r w:rsidR="00D92C1E" w:rsidRPr="00D5464D">
        <w:rPr>
          <w:rFonts w:cs="Times New Roman"/>
          <w:szCs w:val="20"/>
          <w:lang w:val="pt-BR"/>
        </w:rPr>
        <w:t xml:space="preserve"> 39. Francisco de Souza Brígido</w:t>
      </w:r>
      <w:r w:rsidR="00C87E13" w:rsidRPr="00D5464D">
        <w:rPr>
          <w:rFonts w:cs="Times New Roman"/>
          <w:szCs w:val="20"/>
          <w:lang w:val="pt-BR"/>
        </w:rPr>
        <w:t>,</w:t>
      </w:r>
      <w:r w:rsidR="00D92C1E" w:rsidRPr="00D5464D">
        <w:rPr>
          <w:rFonts w:cs="Times New Roman"/>
          <w:szCs w:val="20"/>
          <w:lang w:val="pt-BR"/>
        </w:rPr>
        <w:t xml:space="preserve"> 40. Francisco Ernesto de Melo</w:t>
      </w:r>
      <w:r w:rsidR="00C87E13" w:rsidRPr="00D5464D">
        <w:rPr>
          <w:rFonts w:cs="Times New Roman"/>
          <w:szCs w:val="20"/>
          <w:lang w:val="pt-BR"/>
        </w:rPr>
        <w:t>,</w:t>
      </w:r>
      <w:r w:rsidR="00D92C1E" w:rsidRPr="00D5464D">
        <w:rPr>
          <w:rFonts w:cs="Times New Roman"/>
          <w:szCs w:val="20"/>
          <w:lang w:val="pt-BR"/>
        </w:rPr>
        <w:t xml:space="preserve"> 41. Francisco Fabiano Leandro</w:t>
      </w:r>
      <w:r w:rsidR="00C87E13" w:rsidRPr="00D5464D">
        <w:rPr>
          <w:rFonts w:cs="Times New Roman"/>
          <w:szCs w:val="20"/>
          <w:lang w:val="pt-BR"/>
        </w:rPr>
        <w:t>,</w:t>
      </w:r>
      <w:r w:rsidR="00D92C1E" w:rsidRPr="00D5464D">
        <w:rPr>
          <w:rFonts w:cs="Times New Roman"/>
          <w:szCs w:val="20"/>
          <w:lang w:val="pt-BR"/>
        </w:rPr>
        <w:t xml:space="preserve"> 42. Francisco Ferreira da Silva</w:t>
      </w:r>
      <w:r w:rsidR="00C87E13" w:rsidRPr="00D5464D">
        <w:rPr>
          <w:szCs w:val="20"/>
          <w:lang w:val="pt-BR"/>
        </w:rPr>
        <w:t>,</w:t>
      </w:r>
      <w:r w:rsidR="00D92C1E" w:rsidRPr="00D5464D">
        <w:rPr>
          <w:szCs w:val="20"/>
          <w:lang w:val="pt-BR"/>
        </w:rPr>
        <w:t xml:space="preserve"> </w:t>
      </w:r>
      <w:r w:rsidR="00D92C1E" w:rsidRPr="00D5464D">
        <w:rPr>
          <w:rFonts w:cs="Times New Roman"/>
          <w:szCs w:val="20"/>
          <w:lang w:val="pt-BR"/>
        </w:rPr>
        <w:t>43. Francisco Ferreira da Silva Filho</w:t>
      </w:r>
      <w:r w:rsidR="00C87E13" w:rsidRPr="00D5464D">
        <w:rPr>
          <w:rFonts w:cs="Times New Roman"/>
          <w:szCs w:val="20"/>
          <w:lang w:val="pt-BR"/>
        </w:rPr>
        <w:t>,</w:t>
      </w:r>
      <w:r w:rsidR="00D92C1E" w:rsidRPr="00D5464D">
        <w:rPr>
          <w:rFonts w:cs="Times New Roman"/>
          <w:szCs w:val="20"/>
          <w:lang w:val="pt-BR"/>
        </w:rPr>
        <w:t xml:space="preserve"> 44. Francisco José Furtado</w:t>
      </w:r>
      <w:r w:rsidR="00C87E13" w:rsidRPr="00D5464D">
        <w:rPr>
          <w:rFonts w:cs="Times New Roman"/>
          <w:szCs w:val="20"/>
          <w:lang w:val="pt-BR"/>
        </w:rPr>
        <w:t>,</w:t>
      </w:r>
      <w:r w:rsidR="00D92C1E" w:rsidRPr="00D5464D">
        <w:rPr>
          <w:rFonts w:cs="Times New Roman"/>
          <w:szCs w:val="20"/>
          <w:lang w:val="pt-BR"/>
        </w:rPr>
        <w:t xml:space="preserve"> 45. Francisco </w:t>
      </w:r>
      <w:r w:rsidR="007E0D56" w:rsidRPr="00D5464D">
        <w:rPr>
          <w:rFonts w:cs="Times New Roman"/>
          <w:szCs w:val="20"/>
          <w:lang w:val="pt-BR"/>
        </w:rPr>
        <w:t>Junior</w:t>
      </w:r>
      <w:r w:rsidR="00D92C1E" w:rsidRPr="00D5464D">
        <w:rPr>
          <w:rFonts w:cs="Times New Roman"/>
          <w:szCs w:val="20"/>
          <w:lang w:val="pt-BR"/>
        </w:rPr>
        <w:t xml:space="preserve"> da Silva</w:t>
      </w:r>
      <w:r w:rsidR="00C87E13" w:rsidRPr="00D5464D">
        <w:rPr>
          <w:rFonts w:cs="Times New Roman"/>
          <w:szCs w:val="20"/>
          <w:lang w:val="pt-BR"/>
        </w:rPr>
        <w:t>,</w:t>
      </w:r>
      <w:r w:rsidR="00D92C1E" w:rsidRPr="00D5464D">
        <w:rPr>
          <w:rFonts w:cs="Times New Roman"/>
          <w:szCs w:val="20"/>
          <w:lang w:val="pt-BR"/>
        </w:rPr>
        <w:t xml:space="preserve"> 46. Francisco Mirele Ribeiro da Silva</w:t>
      </w:r>
      <w:r w:rsidR="00C87E13" w:rsidRPr="00D5464D">
        <w:rPr>
          <w:rFonts w:cs="Times New Roman"/>
          <w:szCs w:val="20"/>
          <w:lang w:val="pt-BR"/>
        </w:rPr>
        <w:t>,</w:t>
      </w:r>
      <w:r w:rsidR="00D92C1E" w:rsidRPr="00D5464D">
        <w:rPr>
          <w:rFonts w:cs="Times New Roman"/>
          <w:szCs w:val="20"/>
          <w:lang w:val="pt-BR"/>
        </w:rPr>
        <w:t xml:space="preserve"> </w:t>
      </w:r>
      <w:r w:rsidR="00D92C1E" w:rsidRPr="00D5464D">
        <w:rPr>
          <w:szCs w:val="20"/>
          <w:lang w:val="pt-BR"/>
        </w:rPr>
        <w:t>47. Francisco Pereira da Silva</w:t>
      </w:r>
      <w:r w:rsidR="00C87E13" w:rsidRPr="00D5464D">
        <w:rPr>
          <w:szCs w:val="20"/>
          <w:lang w:val="pt-BR"/>
        </w:rPr>
        <w:t>,</w:t>
      </w:r>
      <w:r w:rsidR="00D92C1E" w:rsidRPr="00D5464D">
        <w:rPr>
          <w:szCs w:val="20"/>
          <w:lang w:val="pt-BR"/>
        </w:rPr>
        <w:t xml:space="preserve"> </w:t>
      </w:r>
      <w:r w:rsidR="00D92C1E" w:rsidRPr="00D5464D">
        <w:rPr>
          <w:rFonts w:cs="Times New Roman"/>
          <w:szCs w:val="20"/>
          <w:lang w:val="pt-BR"/>
        </w:rPr>
        <w:t>48. Francisco Soares da Silva</w:t>
      </w:r>
      <w:r w:rsidR="00C87E13" w:rsidRPr="00D5464D">
        <w:rPr>
          <w:rFonts w:cs="Times New Roman"/>
          <w:szCs w:val="20"/>
          <w:lang w:val="pt-BR"/>
        </w:rPr>
        <w:t>,</w:t>
      </w:r>
      <w:r w:rsidR="00D92C1E" w:rsidRPr="00D5464D">
        <w:rPr>
          <w:rFonts w:cs="Times New Roman"/>
          <w:szCs w:val="20"/>
          <w:lang w:val="pt-BR"/>
        </w:rPr>
        <w:t xml:space="preserve"> 49. Francisco Teodoro Diogo</w:t>
      </w:r>
      <w:r w:rsidR="00C87E13" w:rsidRPr="00D5464D">
        <w:rPr>
          <w:rFonts w:cs="Times New Roman"/>
          <w:szCs w:val="20"/>
          <w:lang w:val="pt-BR"/>
        </w:rPr>
        <w:t>,</w:t>
      </w:r>
      <w:r w:rsidR="00D92C1E" w:rsidRPr="00D5464D">
        <w:rPr>
          <w:rFonts w:cs="Times New Roman"/>
          <w:szCs w:val="20"/>
          <w:lang w:val="pt-BR"/>
        </w:rPr>
        <w:t xml:space="preserve"> 50. Geraldo Ferreira da Silva</w:t>
      </w:r>
      <w:r w:rsidR="00C87E13" w:rsidRPr="00D5464D">
        <w:rPr>
          <w:rFonts w:cs="Times New Roman"/>
          <w:szCs w:val="20"/>
          <w:lang w:val="pt-BR"/>
        </w:rPr>
        <w:t>,</w:t>
      </w:r>
      <w:r w:rsidR="00D92C1E" w:rsidRPr="00D5464D">
        <w:rPr>
          <w:rFonts w:cs="Times New Roman"/>
          <w:szCs w:val="20"/>
          <w:lang w:val="pt-BR"/>
        </w:rPr>
        <w:t xml:space="preserve"> 51. Gonçalo Constâncio da Silva</w:t>
      </w:r>
      <w:r w:rsidR="00C87E13" w:rsidRPr="00D5464D">
        <w:rPr>
          <w:rFonts w:cs="Times New Roman"/>
          <w:szCs w:val="20"/>
          <w:lang w:val="pt-BR"/>
        </w:rPr>
        <w:t>,</w:t>
      </w:r>
      <w:r w:rsidR="00D92C1E" w:rsidRPr="00D5464D">
        <w:rPr>
          <w:rFonts w:cs="Times New Roman"/>
          <w:szCs w:val="20"/>
          <w:lang w:val="pt-BR"/>
        </w:rPr>
        <w:t xml:space="preserve"> 52. Gonçalo Firmino de Sousa</w:t>
      </w:r>
      <w:r w:rsidR="00C87E13" w:rsidRPr="00D5464D">
        <w:rPr>
          <w:rFonts w:cs="Times New Roman"/>
          <w:szCs w:val="20"/>
          <w:lang w:val="pt-BR"/>
        </w:rPr>
        <w:t>,</w:t>
      </w:r>
      <w:r w:rsidR="00D92C1E" w:rsidRPr="00D5464D">
        <w:rPr>
          <w:rFonts w:cs="Times New Roman"/>
          <w:szCs w:val="20"/>
          <w:lang w:val="pt-BR"/>
        </w:rPr>
        <w:t xml:space="preserve"> 53. Gonçalo José Gomes</w:t>
      </w:r>
      <w:r w:rsidR="00C87E13" w:rsidRPr="00D5464D">
        <w:rPr>
          <w:rFonts w:cs="Times New Roman"/>
          <w:szCs w:val="20"/>
          <w:lang w:val="pt-BR"/>
        </w:rPr>
        <w:t>,</w:t>
      </w:r>
      <w:r w:rsidR="00653E8C" w:rsidRPr="00D5464D">
        <w:rPr>
          <w:rFonts w:cs="Times New Roman"/>
          <w:szCs w:val="20"/>
          <w:lang w:val="pt-BR"/>
        </w:rPr>
        <w:t xml:space="preserve"> 54. </w:t>
      </w:r>
      <w:r w:rsidR="00D47B1B" w:rsidRPr="00D5464D">
        <w:rPr>
          <w:rFonts w:cs="Times New Roman"/>
          <w:szCs w:val="20"/>
          <w:lang w:val="pt-BR"/>
        </w:rPr>
        <w:t>José Francisco Furtado de Sousa</w:t>
      </w:r>
      <w:r w:rsidR="00C87E13" w:rsidRPr="00D5464D">
        <w:rPr>
          <w:rFonts w:cs="Times New Roman"/>
          <w:szCs w:val="20"/>
          <w:lang w:val="pt-BR"/>
        </w:rPr>
        <w:t>,</w:t>
      </w:r>
      <w:r w:rsidR="00653E8C" w:rsidRPr="00D5464D">
        <w:rPr>
          <w:rFonts w:cs="Times New Roman"/>
          <w:szCs w:val="20"/>
          <w:lang w:val="pt-BR"/>
        </w:rPr>
        <w:t xml:space="preserve"> 55. J</w:t>
      </w:r>
      <w:r w:rsidR="00D92C1E" w:rsidRPr="00D5464D">
        <w:rPr>
          <w:rFonts w:cs="Times New Roman"/>
          <w:szCs w:val="20"/>
          <w:lang w:val="pt-BR"/>
        </w:rPr>
        <w:t>enival Lopes</w:t>
      </w:r>
      <w:r w:rsidR="00C87E13" w:rsidRPr="00D5464D">
        <w:rPr>
          <w:rFonts w:cs="Times New Roman"/>
          <w:szCs w:val="20"/>
          <w:lang w:val="pt-BR"/>
        </w:rPr>
        <w:t>,</w:t>
      </w:r>
      <w:r w:rsidR="00D92C1E" w:rsidRPr="00D5464D">
        <w:rPr>
          <w:rFonts w:cs="Times New Roman"/>
          <w:szCs w:val="20"/>
          <w:lang w:val="pt-BR"/>
        </w:rPr>
        <w:t xml:space="preserve"> 56. João Diogo Pereira Filho</w:t>
      </w:r>
      <w:r w:rsidR="00C87E13" w:rsidRPr="00D5464D">
        <w:rPr>
          <w:rFonts w:cs="Times New Roman"/>
          <w:szCs w:val="20"/>
          <w:lang w:val="pt-BR"/>
        </w:rPr>
        <w:t>,</w:t>
      </w:r>
      <w:r w:rsidR="00D92C1E" w:rsidRPr="00D5464D">
        <w:rPr>
          <w:rFonts w:cs="Times New Roman"/>
          <w:szCs w:val="20"/>
          <w:lang w:val="pt-BR"/>
        </w:rPr>
        <w:t xml:space="preserve"> 57. José Cordeiro Ramos</w:t>
      </w:r>
      <w:r w:rsidR="00C87E13" w:rsidRPr="00D5464D">
        <w:rPr>
          <w:rFonts w:cs="Times New Roman"/>
          <w:szCs w:val="20"/>
          <w:lang w:val="pt-BR"/>
        </w:rPr>
        <w:t>,</w:t>
      </w:r>
      <w:r w:rsidR="00D92C1E" w:rsidRPr="00D5464D">
        <w:rPr>
          <w:rFonts w:cs="Times New Roman"/>
          <w:szCs w:val="20"/>
          <w:lang w:val="pt-BR"/>
        </w:rPr>
        <w:t xml:space="preserve"> 58. José de Deus de Jesus Sousa</w:t>
      </w:r>
      <w:r w:rsidR="00C87E13" w:rsidRPr="00D5464D">
        <w:rPr>
          <w:rFonts w:cs="Times New Roman"/>
          <w:szCs w:val="20"/>
          <w:lang w:val="pt-BR"/>
        </w:rPr>
        <w:t>,</w:t>
      </w:r>
      <w:r w:rsidR="00D92C1E" w:rsidRPr="00D5464D">
        <w:rPr>
          <w:rFonts w:cs="Times New Roman"/>
          <w:szCs w:val="20"/>
          <w:lang w:val="pt-BR"/>
        </w:rPr>
        <w:t xml:space="preserve"> 59. José de Ribamar Souza</w:t>
      </w:r>
      <w:r w:rsidR="00C87E13" w:rsidRPr="00D5464D">
        <w:rPr>
          <w:rFonts w:cs="Times New Roman"/>
          <w:szCs w:val="20"/>
          <w:lang w:val="pt-BR"/>
        </w:rPr>
        <w:t>,</w:t>
      </w:r>
      <w:r w:rsidR="00D92C1E" w:rsidRPr="00D5464D">
        <w:rPr>
          <w:rFonts w:cs="Times New Roman"/>
          <w:szCs w:val="20"/>
          <w:lang w:val="pt-BR"/>
        </w:rPr>
        <w:t xml:space="preserve"> 60. José do Egito Santos</w:t>
      </w:r>
      <w:r w:rsidR="00C87E13" w:rsidRPr="00D5464D">
        <w:rPr>
          <w:rFonts w:cs="Times New Roman"/>
          <w:szCs w:val="20"/>
          <w:lang w:val="pt-BR"/>
        </w:rPr>
        <w:t>,</w:t>
      </w:r>
      <w:r w:rsidR="00D92C1E" w:rsidRPr="00D5464D">
        <w:rPr>
          <w:rFonts w:cs="Times New Roman"/>
          <w:szCs w:val="20"/>
          <w:lang w:val="pt-BR"/>
        </w:rPr>
        <w:t xml:space="preserve"> 61. José Gomes</w:t>
      </w:r>
      <w:r w:rsidR="00C87E13" w:rsidRPr="00D5464D">
        <w:rPr>
          <w:rFonts w:cs="Times New Roman"/>
          <w:szCs w:val="20"/>
          <w:lang w:val="pt-BR"/>
        </w:rPr>
        <w:t>,</w:t>
      </w:r>
      <w:r w:rsidR="00D92C1E" w:rsidRPr="00D5464D">
        <w:rPr>
          <w:rFonts w:cs="Times New Roman"/>
          <w:szCs w:val="20"/>
          <w:lang w:val="pt-BR"/>
        </w:rPr>
        <w:t xml:space="preserve"> 62. José Leandro da Silva</w:t>
      </w:r>
      <w:r w:rsidR="00C87E13" w:rsidRPr="00D5464D">
        <w:rPr>
          <w:rFonts w:cs="Times New Roman"/>
          <w:szCs w:val="20"/>
          <w:lang w:val="pt-BR"/>
        </w:rPr>
        <w:t>,</w:t>
      </w:r>
      <w:r w:rsidR="00D92C1E" w:rsidRPr="00D5464D">
        <w:rPr>
          <w:rFonts w:cs="Times New Roman"/>
          <w:szCs w:val="20"/>
          <w:lang w:val="pt-BR"/>
        </w:rPr>
        <w:t xml:space="preserve"> </w:t>
      </w:r>
      <w:r w:rsidR="00D92C1E" w:rsidRPr="00D5464D">
        <w:rPr>
          <w:szCs w:val="20"/>
          <w:lang w:val="pt-BR"/>
        </w:rPr>
        <w:t>63. José Renato do Nascimento Costa</w:t>
      </w:r>
      <w:r w:rsidR="00C87E13" w:rsidRPr="00D5464D">
        <w:rPr>
          <w:szCs w:val="20"/>
          <w:lang w:val="pt-BR"/>
        </w:rPr>
        <w:t>,</w:t>
      </w:r>
      <w:r w:rsidR="00D92C1E" w:rsidRPr="00D5464D">
        <w:rPr>
          <w:szCs w:val="20"/>
          <w:lang w:val="pt-BR"/>
        </w:rPr>
        <w:t xml:space="preserve"> </w:t>
      </w:r>
      <w:r w:rsidR="00D92C1E" w:rsidRPr="00D5464D">
        <w:rPr>
          <w:rFonts w:cs="Times New Roman"/>
          <w:szCs w:val="20"/>
          <w:lang w:val="pt-BR"/>
        </w:rPr>
        <w:t>64. Juni</w:t>
      </w:r>
      <w:r w:rsidR="00A1358C" w:rsidRPr="00D5464D">
        <w:rPr>
          <w:rFonts w:cs="Times New Roman"/>
          <w:szCs w:val="20"/>
          <w:lang w:val="pt-BR"/>
        </w:rPr>
        <w:t xml:space="preserve"> Carlos </w:t>
      </w:r>
      <w:r w:rsidR="00D92C1E" w:rsidRPr="00D5464D">
        <w:rPr>
          <w:rFonts w:cs="Times New Roman"/>
          <w:szCs w:val="20"/>
          <w:lang w:val="pt-BR"/>
        </w:rPr>
        <w:t>da Silva</w:t>
      </w:r>
      <w:r w:rsidR="00C87E13" w:rsidRPr="00D5464D">
        <w:rPr>
          <w:rFonts w:cs="Times New Roman"/>
          <w:szCs w:val="20"/>
          <w:lang w:val="pt-BR"/>
        </w:rPr>
        <w:t>,</w:t>
      </w:r>
      <w:r w:rsidR="00D92C1E" w:rsidRPr="00D5464D">
        <w:rPr>
          <w:rFonts w:cs="Times New Roman"/>
          <w:szCs w:val="20"/>
          <w:lang w:val="pt-BR"/>
        </w:rPr>
        <w:t xml:space="preserve"> 65. Lourival da Silva Santos</w:t>
      </w:r>
      <w:r w:rsidR="00C87E13" w:rsidRPr="00D5464D">
        <w:rPr>
          <w:rFonts w:cs="Times New Roman"/>
          <w:szCs w:val="20"/>
          <w:lang w:val="pt-BR"/>
        </w:rPr>
        <w:t>,</w:t>
      </w:r>
      <w:r w:rsidR="00D92C1E" w:rsidRPr="00D5464D">
        <w:rPr>
          <w:rFonts w:cs="Times New Roman"/>
          <w:szCs w:val="20"/>
          <w:lang w:val="pt-BR"/>
        </w:rPr>
        <w:t xml:space="preserve"> </w:t>
      </w:r>
      <w:r w:rsidR="00D92C1E" w:rsidRPr="00D5464D">
        <w:rPr>
          <w:szCs w:val="20"/>
          <w:lang w:val="pt-BR"/>
        </w:rPr>
        <w:t>66. Luis</w:t>
      </w:r>
      <w:r w:rsidR="00A1358C" w:rsidRPr="00D5464D">
        <w:rPr>
          <w:szCs w:val="20"/>
          <w:lang w:val="pt-BR"/>
        </w:rPr>
        <w:t xml:space="preserve"> Carlos </w:t>
      </w:r>
      <w:r w:rsidR="00D92C1E" w:rsidRPr="00D5464D">
        <w:rPr>
          <w:szCs w:val="20"/>
          <w:lang w:val="pt-BR"/>
        </w:rPr>
        <w:t>da Silva Santos</w:t>
      </w:r>
      <w:r w:rsidR="00C87E13" w:rsidRPr="00D5464D">
        <w:rPr>
          <w:szCs w:val="20"/>
          <w:lang w:val="pt-BR"/>
        </w:rPr>
        <w:t>,</w:t>
      </w:r>
      <w:r w:rsidR="00D92C1E" w:rsidRPr="00D5464D">
        <w:rPr>
          <w:szCs w:val="20"/>
          <w:lang w:val="pt-BR"/>
        </w:rPr>
        <w:t xml:space="preserve"> </w:t>
      </w:r>
      <w:r w:rsidR="00D92C1E" w:rsidRPr="00D5464D">
        <w:rPr>
          <w:rFonts w:cs="Times New Roman"/>
          <w:szCs w:val="20"/>
          <w:lang w:val="pt-BR"/>
        </w:rPr>
        <w:t>67. Luiz Gonzaga Silva Pires</w:t>
      </w:r>
      <w:r w:rsidR="00C87E13" w:rsidRPr="00D5464D">
        <w:rPr>
          <w:rFonts w:cs="Times New Roman"/>
          <w:szCs w:val="20"/>
          <w:lang w:val="pt-BR"/>
        </w:rPr>
        <w:t>,</w:t>
      </w:r>
      <w:r w:rsidR="00D92C1E" w:rsidRPr="00D5464D">
        <w:rPr>
          <w:rFonts w:cs="Times New Roman"/>
          <w:szCs w:val="20"/>
          <w:lang w:val="pt-BR"/>
        </w:rPr>
        <w:t xml:space="preserve"> 68. Luiz Sicinato de Menezes</w:t>
      </w:r>
      <w:r w:rsidR="00C87E13" w:rsidRPr="00D5464D">
        <w:rPr>
          <w:rFonts w:cs="Times New Roman"/>
          <w:szCs w:val="20"/>
          <w:lang w:val="pt-BR"/>
        </w:rPr>
        <w:t>,</w:t>
      </w:r>
      <w:r w:rsidR="00D92C1E" w:rsidRPr="00D5464D">
        <w:rPr>
          <w:rFonts w:cs="Times New Roman"/>
          <w:szCs w:val="20"/>
          <w:lang w:val="pt-BR"/>
        </w:rPr>
        <w:t xml:space="preserve"> </w:t>
      </w:r>
      <w:r w:rsidR="00D92C1E" w:rsidRPr="00D5464D">
        <w:rPr>
          <w:szCs w:val="20"/>
          <w:lang w:val="pt-BR"/>
        </w:rPr>
        <w:t>69. Manoel do Nascimento</w:t>
      </w:r>
      <w:r w:rsidR="00C87E13" w:rsidRPr="00D5464D">
        <w:rPr>
          <w:szCs w:val="20"/>
          <w:lang w:val="pt-BR"/>
        </w:rPr>
        <w:t>,</w:t>
      </w:r>
      <w:r w:rsidR="00D92C1E" w:rsidRPr="00D5464D">
        <w:rPr>
          <w:szCs w:val="20"/>
          <w:lang w:val="pt-BR"/>
        </w:rPr>
        <w:t xml:space="preserve"> 70</w:t>
      </w:r>
      <w:r w:rsidR="00D92C1E" w:rsidRPr="00D5464D">
        <w:rPr>
          <w:rFonts w:cs="Times New Roman"/>
          <w:szCs w:val="20"/>
          <w:lang w:val="pt-BR"/>
        </w:rPr>
        <w:t>. Manoel do Nascimento da Silva</w:t>
      </w:r>
      <w:r w:rsidR="00C87E13" w:rsidRPr="00D5464D">
        <w:rPr>
          <w:rFonts w:cs="Times New Roman"/>
          <w:szCs w:val="20"/>
          <w:lang w:val="pt-BR"/>
        </w:rPr>
        <w:t>,</w:t>
      </w:r>
      <w:r w:rsidR="00D92C1E" w:rsidRPr="00D5464D">
        <w:rPr>
          <w:rFonts w:cs="Times New Roman"/>
          <w:szCs w:val="20"/>
          <w:lang w:val="pt-BR"/>
        </w:rPr>
        <w:t xml:space="preserve"> 71. Manoel Pinheiro Brito</w:t>
      </w:r>
      <w:r w:rsidR="00C87E13" w:rsidRPr="00D5464D">
        <w:rPr>
          <w:rFonts w:cs="Times New Roman"/>
          <w:szCs w:val="20"/>
          <w:lang w:val="pt-BR"/>
        </w:rPr>
        <w:t>,</w:t>
      </w:r>
      <w:r w:rsidR="00D92C1E" w:rsidRPr="00D5464D">
        <w:rPr>
          <w:rFonts w:cs="Times New Roman"/>
          <w:szCs w:val="20"/>
          <w:lang w:val="pt-BR"/>
        </w:rPr>
        <w:t xml:space="preserve"> </w:t>
      </w:r>
      <w:r w:rsidR="00D92C1E" w:rsidRPr="00D5464D">
        <w:rPr>
          <w:szCs w:val="20"/>
          <w:lang w:val="pt-BR"/>
        </w:rPr>
        <w:t>72. Marcio F</w:t>
      </w:r>
      <w:r w:rsidR="00665D3A" w:rsidRPr="00D5464D">
        <w:rPr>
          <w:szCs w:val="20"/>
          <w:lang w:val="pt-BR"/>
        </w:rPr>
        <w:t>ran</w:t>
      </w:r>
      <w:r w:rsidR="00D92C1E" w:rsidRPr="00D5464D">
        <w:rPr>
          <w:szCs w:val="20"/>
          <w:lang w:val="pt-BR"/>
        </w:rPr>
        <w:t>ça da Costa Silva</w:t>
      </w:r>
      <w:r w:rsidR="00C87E13" w:rsidRPr="00D5464D">
        <w:rPr>
          <w:szCs w:val="20"/>
          <w:lang w:val="pt-BR"/>
        </w:rPr>
        <w:t>,</w:t>
      </w:r>
      <w:r w:rsidR="00D92C1E" w:rsidRPr="00D5464D">
        <w:rPr>
          <w:szCs w:val="20"/>
          <w:lang w:val="pt-BR"/>
        </w:rPr>
        <w:t xml:space="preserve"> </w:t>
      </w:r>
      <w:r w:rsidR="002A2605" w:rsidRPr="00D5464D">
        <w:rPr>
          <w:rFonts w:cs="Times New Roman"/>
          <w:szCs w:val="20"/>
          <w:lang w:val="pt-BR"/>
        </w:rPr>
        <w:t xml:space="preserve">73. Marcos </w:t>
      </w:r>
      <w:r w:rsidR="00E42F61" w:rsidRPr="00D5464D">
        <w:rPr>
          <w:rFonts w:cs="Times New Roman"/>
          <w:szCs w:val="20"/>
          <w:lang w:val="pt-BR"/>
        </w:rPr>
        <w:t xml:space="preserve">Antônio </w:t>
      </w:r>
      <w:r w:rsidR="00D92C1E" w:rsidRPr="00D5464D">
        <w:rPr>
          <w:rFonts w:cs="Times New Roman"/>
          <w:szCs w:val="20"/>
          <w:lang w:val="pt-BR"/>
        </w:rPr>
        <w:t>Lima</w:t>
      </w:r>
      <w:r w:rsidR="00C87E13" w:rsidRPr="00D5464D">
        <w:rPr>
          <w:rFonts w:cs="Times New Roman"/>
          <w:szCs w:val="20"/>
          <w:lang w:val="pt-BR"/>
        </w:rPr>
        <w:t>,</w:t>
      </w:r>
      <w:r w:rsidR="00D92C1E" w:rsidRPr="00D5464D">
        <w:rPr>
          <w:rFonts w:cs="Times New Roman"/>
          <w:szCs w:val="20"/>
          <w:lang w:val="pt-BR"/>
        </w:rPr>
        <w:t xml:space="preserve"> 74. Paulo Pereira dos Santos</w:t>
      </w:r>
      <w:r w:rsidR="00C87E13" w:rsidRPr="00D5464D">
        <w:rPr>
          <w:rFonts w:cs="Times New Roman"/>
          <w:szCs w:val="20"/>
          <w:lang w:val="pt-BR"/>
        </w:rPr>
        <w:t>,</w:t>
      </w:r>
      <w:r w:rsidR="00D92C1E" w:rsidRPr="00D5464D">
        <w:rPr>
          <w:rFonts w:cs="Times New Roman"/>
          <w:szCs w:val="20"/>
          <w:lang w:val="pt-BR"/>
        </w:rPr>
        <w:t xml:space="preserve"> </w:t>
      </w:r>
      <w:r w:rsidR="00D92C1E" w:rsidRPr="00D5464D">
        <w:rPr>
          <w:szCs w:val="20"/>
          <w:lang w:val="pt-BR"/>
        </w:rPr>
        <w:t>75. Pedro Fernandes da Silva</w:t>
      </w:r>
      <w:r w:rsidR="00C87E13" w:rsidRPr="00D5464D">
        <w:rPr>
          <w:szCs w:val="20"/>
          <w:lang w:val="pt-BR"/>
        </w:rPr>
        <w:t>,</w:t>
      </w:r>
      <w:r w:rsidR="00D92C1E" w:rsidRPr="00D5464D">
        <w:rPr>
          <w:szCs w:val="20"/>
          <w:lang w:val="pt-BR"/>
        </w:rPr>
        <w:t xml:space="preserve"> </w:t>
      </w:r>
      <w:r w:rsidR="00D92C1E" w:rsidRPr="00D5464D">
        <w:rPr>
          <w:rFonts w:cs="Times New Roman"/>
          <w:szCs w:val="20"/>
          <w:lang w:val="pt-BR"/>
        </w:rPr>
        <w:t>76. Raimundo Cardoso Macêdo</w:t>
      </w:r>
      <w:r w:rsidR="00C87E13" w:rsidRPr="00D5464D">
        <w:rPr>
          <w:rFonts w:cs="Times New Roman"/>
          <w:szCs w:val="20"/>
          <w:lang w:val="pt-BR"/>
        </w:rPr>
        <w:t>,</w:t>
      </w:r>
      <w:r w:rsidR="00D92C1E" w:rsidRPr="00D5464D">
        <w:rPr>
          <w:rFonts w:cs="Times New Roman"/>
          <w:szCs w:val="20"/>
          <w:lang w:val="pt-BR"/>
        </w:rPr>
        <w:t xml:space="preserve"> 77. Raimundo de Andrade</w:t>
      </w:r>
      <w:r w:rsidR="00C87E13" w:rsidRPr="00D5464D">
        <w:rPr>
          <w:rFonts w:cs="Times New Roman"/>
          <w:szCs w:val="20"/>
          <w:lang w:val="pt-BR"/>
        </w:rPr>
        <w:t>,</w:t>
      </w:r>
      <w:r w:rsidR="00D92C1E" w:rsidRPr="00D5464D">
        <w:rPr>
          <w:rFonts w:cs="Times New Roman"/>
          <w:szCs w:val="20"/>
          <w:lang w:val="pt-BR"/>
        </w:rPr>
        <w:t xml:space="preserve"> </w:t>
      </w:r>
      <w:r w:rsidR="00D92C1E" w:rsidRPr="00D5464D">
        <w:rPr>
          <w:szCs w:val="20"/>
          <w:lang w:val="pt-BR"/>
        </w:rPr>
        <w:t>78. Raimundo de Sousa Leandro</w:t>
      </w:r>
      <w:r w:rsidR="00C87E13" w:rsidRPr="00D5464D">
        <w:rPr>
          <w:szCs w:val="20"/>
          <w:lang w:val="pt-BR"/>
        </w:rPr>
        <w:t>,</w:t>
      </w:r>
      <w:r w:rsidR="00D92C1E" w:rsidRPr="00D5464D">
        <w:rPr>
          <w:szCs w:val="20"/>
          <w:lang w:val="pt-BR"/>
        </w:rPr>
        <w:t xml:space="preserve"> </w:t>
      </w:r>
      <w:r w:rsidR="00D92C1E" w:rsidRPr="00D5464D">
        <w:rPr>
          <w:rFonts w:cs="Times New Roman"/>
          <w:szCs w:val="20"/>
          <w:lang w:val="pt-BR"/>
        </w:rPr>
        <w:t>79. Raimundo Nonato da Silva</w:t>
      </w:r>
      <w:r w:rsidR="00C87E13" w:rsidRPr="00D5464D">
        <w:rPr>
          <w:rFonts w:cs="Times New Roman"/>
          <w:szCs w:val="20"/>
          <w:lang w:val="pt-BR"/>
        </w:rPr>
        <w:t>,</w:t>
      </w:r>
      <w:r w:rsidR="00D92C1E" w:rsidRPr="00D5464D">
        <w:rPr>
          <w:rFonts w:cs="Times New Roman"/>
          <w:szCs w:val="20"/>
          <w:lang w:val="pt-BR"/>
        </w:rPr>
        <w:t xml:space="preserve"> 80. Roberto Alves Nascimento</w:t>
      </w:r>
      <w:r w:rsidR="00C87E13" w:rsidRPr="00D5464D">
        <w:rPr>
          <w:rFonts w:cs="Times New Roman"/>
          <w:szCs w:val="20"/>
          <w:lang w:val="pt-BR"/>
        </w:rPr>
        <w:t>,</w:t>
      </w:r>
      <w:r w:rsidR="00D92C1E" w:rsidRPr="00D5464D">
        <w:rPr>
          <w:rFonts w:cs="Times New Roman"/>
          <w:szCs w:val="20"/>
          <w:lang w:val="pt-BR"/>
        </w:rPr>
        <w:t xml:space="preserve"> </w:t>
      </w:r>
      <w:r w:rsidR="00D92C1E" w:rsidRPr="00D5464D">
        <w:rPr>
          <w:szCs w:val="20"/>
          <w:lang w:val="pt-BR"/>
        </w:rPr>
        <w:t>81. Rogerio Felix Silva</w:t>
      </w:r>
      <w:r w:rsidR="00C87E13" w:rsidRPr="00D5464D">
        <w:rPr>
          <w:szCs w:val="20"/>
          <w:lang w:val="pt-BR"/>
        </w:rPr>
        <w:t>,</w:t>
      </w:r>
      <w:r w:rsidR="00D92C1E" w:rsidRPr="00D5464D">
        <w:rPr>
          <w:szCs w:val="20"/>
          <w:lang w:val="pt-BR"/>
        </w:rPr>
        <w:t xml:space="preserve"> </w:t>
      </w:r>
      <w:r w:rsidR="00D92C1E" w:rsidRPr="00D5464D">
        <w:rPr>
          <w:rFonts w:cs="Times New Roman"/>
          <w:szCs w:val="20"/>
          <w:lang w:val="pt-BR"/>
        </w:rPr>
        <w:t>82. Sebastião Pereira de Sousa Neto</w:t>
      </w:r>
      <w:r w:rsidR="00C87E13" w:rsidRPr="00D5464D">
        <w:rPr>
          <w:rFonts w:cs="Times New Roman"/>
          <w:szCs w:val="20"/>
          <w:lang w:val="pt-BR"/>
        </w:rPr>
        <w:t>,</w:t>
      </w:r>
      <w:r w:rsidR="00D92C1E" w:rsidRPr="00D5464D">
        <w:rPr>
          <w:rFonts w:cs="Times New Roman"/>
          <w:szCs w:val="20"/>
          <w:lang w:val="pt-BR"/>
        </w:rPr>
        <w:t xml:space="preserve"> 83. Silvestre Moreira de Castro Filho</w:t>
      </w:r>
      <w:r w:rsidR="00C87E13" w:rsidRPr="00D5464D">
        <w:rPr>
          <w:rFonts w:cs="Times New Roman"/>
          <w:szCs w:val="20"/>
          <w:lang w:val="pt-BR"/>
        </w:rPr>
        <w:t>,</w:t>
      </w:r>
      <w:r w:rsidR="00D92C1E" w:rsidRPr="00D5464D">
        <w:rPr>
          <w:rFonts w:cs="Times New Roman"/>
          <w:szCs w:val="20"/>
          <w:lang w:val="pt-BR"/>
        </w:rPr>
        <w:t xml:space="preserve"> </w:t>
      </w:r>
      <w:r w:rsidR="00D92C1E" w:rsidRPr="00D5464D">
        <w:rPr>
          <w:szCs w:val="20"/>
          <w:lang w:val="pt-BR"/>
        </w:rPr>
        <w:t>84. Valdir Gonçalves da Silva</w:t>
      </w:r>
      <w:r w:rsidR="00C87E13" w:rsidRPr="00D5464D">
        <w:rPr>
          <w:szCs w:val="20"/>
          <w:lang w:val="pt-BR"/>
        </w:rPr>
        <w:t>,</w:t>
      </w:r>
      <w:r w:rsidR="00D92C1E" w:rsidRPr="00D5464D">
        <w:rPr>
          <w:szCs w:val="20"/>
          <w:lang w:val="pt-BR"/>
        </w:rPr>
        <w:t xml:space="preserve"> 85. Vicentina Maria da Conceição</w:t>
      </w:r>
      <w:r w:rsidR="00C87E13" w:rsidRPr="00D5464D">
        <w:rPr>
          <w:szCs w:val="20"/>
          <w:lang w:val="pt-BR"/>
        </w:rPr>
        <w:t>,</w:t>
      </w:r>
      <w:r w:rsidR="00D92C1E" w:rsidRPr="00D5464D">
        <w:rPr>
          <w:szCs w:val="20"/>
          <w:lang w:val="pt-BR"/>
        </w:rPr>
        <w:t xml:space="preserve"> 86. </w:t>
      </w:r>
      <w:r w:rsidR="00E42F61" w:rsidRPr="00D5464D">
        <w:rPr>
          <w:rFonts w:cs="Helvetica"/>
          <w:szCs w:val="20"/>
          <w:lang w:val="pt-BR"/>
        </w:rPr>
        <w:t xml:space="preserve">Antônio </w:t>
      </w:r>
      <w:r w:rsidR="00D92C1E" w:rsidRPr="00D5464D">
        <w:rPr>
          <w:rFonts w:cs="Helvetica"/>
          <w:szCs w:val="20"/>
          <w:lang w:val="pt-BR"/>
        </w:rPr>
        <w:t>Alves de Souza</w:t>
      </w:r>
      <w:r w:rsidR="00C87E13" w:rsidRPr="00D5464D">
        <w:rPr>
          <w:rFonts w:cs="Helvetica"/>
          <w:szCs w:val="20"/>
          <w:lang w:val="pt-BR"/>
        </w:rPr>
        <w:t>,</w:t>
      </w:r>
      <w:r w:rsidR="00D92C1E" w:rsidRPr="00D5464D">
        <w:rPr>
          <w:szCs w:val="20"/>
          <w:lang w:val="pt-BR"/>
        </w:rPr>
        <w:t xml:space="preserve"> </w:t>
      </w:r>
      <w:r w:rsidR="0060726B" w:rsidRPr="00D5464D">
        <w:rPr>
          <w:szCs w:val="20"/>
          <w:lang w:val="pt-BR"/>
        </w:rPr>
        <w:t>87</w:t>
      </w:r>
      <w:r w:rsidR="00D92C1E" w:rsidRPr="00D5464D">
        <w:rPr>
          <w:rFonts w:cs="Helvetica"/>
          <w:szCs w:val="20"/>
          <w:lang w:val="pt-BR"/>
        </w:rPr>
        <w:t xml:space="preserve">. </w:t>
      </w:r>
      <w:r w:rsidR="00E42F61" w:rsidRPr="00D5464D">
        <w:rPr>
          <w:rFonts w:cs="Helvetica"/>
          <w:szCs w:val="20"/>
          <w:lang w:val="pt-BR"/>
        </w:rPr>
        <w:t xml:space="preserve">Antônio </w:t>
      </w:r>
      <w:r w:rsidR="00D92C1E" w:rsidRPr="00D5464D">
        <w:rPr>
          <w:rFonts w:cs="Helvetica"/>
          <w:szCs w:val="20"/>
          <w:lang w:val="pt-BR"/>
        </w:rPr>
        <w:t>Bispo dos Santos</w:t>
      </w:r>
      <w:r w:rsidR="00C87E13" w:rsidRPr="00D5464D">
        <w:rPr>
          <w:rFonts w:cs="Helvetica"/>
          <w:szCs w:val="20"/>
          <w:lang w:val="pt-BR"/>
        </w:rPr>
        <w:t>,</w:t>
      </w:r>
      <w:r w:rsidR="00D92C1E" w:rsidRPr="00D5464D">
        <w:rPr>
          <w:szCs w:val="20"/>
          <w:lang w:val="pt-BR"/>
        </w:rPr>
        <w:t xml:space="preserve"> </w:t>
      </w:r>
      <w:r w:rsidR="0060726B" w:rsidRPr="00D5464D">
        <w:rPr>
          <w:szCs w:val="20"/>
          <w:lang w:val="pt-BR"/>
        </w:rPr>
        <w:t>88</w:t>
      </w:r>
      <w:r w:rsidR="00D92C1E" w:rsidRPr="00D5464D">
        <w:rPr>
          <w:rFonts w:cs="Helvetica"/>
          <w:szCs w:val="20"/>
          <w:lang w:val="pt-BR"/>
        </w:rPr>
        <w:t xml:space="preserve">. </w:t>
      </w:r>
      <w:r w:rsidR="00E42F61" w:rsidRPr="00D5464D">
        <w:rPr>
          <w:rFonts w:cs="Helvetica"/>
          <w:szCs w:val="20"/>
          <w:lang w:val="pt-BR"/>
        </w:rPr>
        <w:t xml:space="preserve">Antônio </w:t>
      </w:r>
      <w:r w:rsidR="00D92C1E" w:rsidRPr="00D5464D">
        <w:rPr>
          <w:rFonts w:cs="Helvetica"/>
          <w:szCs w:val="20"/>
          <w:lang w:val="pt-BR"/>
        </w:rPr>
        <w:t>da Silva Nascimento</w:t>
      </w:r>
      <w:r w:rsidR="00C87E13" w:rsidRPr="00D5464D">
        <w:rPr>
          <w:rFonts w:cs="Helvetica"/>
          <w:szCs w:val="20"/>
          <w:lang w:val="pt-BR"/>
        </w:rPr>
        <w:t>,</w:t>
      </w:r>
      <w:r w:rsidR="00D92C1E" w:rsidRPr="00D5464D">
        <w:rPr>
          <w:szCs w:val="20"/>
          <w:lang w:val="pt-BR"/>
        </w:rPr>
        <w:t xml:space="preserve"> </w:t>
      </w:r>
      <w:r w:rsidR="0060726B" w:rsidRPr="00D5464D">
        <w:rPr>
          <w:szCs w:val="20"/>
          <w:lang w:val="pt-BR"/>
        </w:rPr>
        <w:t>89</w:t>
      </w:r>
      <w:r w:rsidR="00D92C1E" w:rsidRPr="00D5464D">
        <w:rPr>
          <w:rFonts w:cs="Helvetica"/>
          <w:szCs w:val="20"/>
          <w:lang w:val="pt-BR"/>
        </w:rPr>
        <w:t xml:space="preserve">. </w:t>
      </w:r>
      <w:r w:rsidR="00E42F61" w:rsidRPr="00D5464D">
        <w:rPr>
          <w:rFonts w:cs="Helvetica"/>
          <w:szCs w:val="20"/>
          <w:lang w:val="pt-BR"/>
        </w:rPr>
        <w:t xml:space="preserve">Antônio </w:t>
      </w:r>
      <w:r w:rsidR="00D92C1E" w:rsidRPr="00D5464D">
        <w:rPr>
          <w:rFonts w:cs="Helvetica"/>
          <w:szCs w:val="20"/>
          <w:lang w:val="pt-BR"/>
        </w:rPr>
        <w:t>Pereira da Silva</w:t>
      </w:r>
      <w:r w:rsidR="00C87E13" w:rsidRPr="00D5464D">
        <w:rPr>
          <w:rFonts w:cs="Helvetica"/>
          <w:szCs w:val="20"/>
          <w:lang w:val="pt-BR"/>
        </w:rPr>
        <w:t>,</w:t>
      </w:r>
      <w:r w:rsidR="00D92C1E" w:rsidRPr="00D5464D">
        <w:rPr>
          <w:szCs w:val="20"/>
          <w:lang w:val="pt-BR"/>
        </w:rPr>
        <w:t xml:space="preserve"> </w:t>
      </w:r>
      <w:r w:rsidR="0060726B" w:rsidRPr="00D5464D">
        <w:rPr>
          <w:szCs w:val="20"/>
          <w:lang w:val="pt-BR"/>
        </w:rPr>
        <w:t>90</w:t>
      </w:r>
      <w:r w:rsidR="00D92C1E" w:rsidRPr="00D5464D">
        <w:rPr>
          <w:rFonts w:cs="Helvetica"/>
          <w:szCs w:val="20"/>
          <w:lang w:val="pt-BR"/>
        </w:rPr>
        <w:t xml:space="preserve">. </w:t>
      </w:r>
      <w:r w:rsidR="00E42F61" w:rsidRPr="00D5464D">
        <w:rPr>
          <w:rFonts w:cs="Helvetica"/>
          <w:szCs w:val="20"/>
          <w:lang w:val="pt-BR"/>
        </w:rPr>
        <w:t xml:space="preserve">Antônio </w:t>
      </w:r>
      <w:r w:rsidR="00D92C1E" w:rsidRPr="00D5464D">
        <w:rPr>
          <w:rFonts w:cs="Helvetica"/>
          <w:szCs w:val="20"/>
          <w:lang w:val="pt-BR"/>
        </w:rPr>
        <w:t>Renato Barros</w:t>
      </w:r>
      <w:r w:rsidR="00C87E13" w:rsidRPr="00D5464D">
        <w:rPr>
          <w:rFonts w:cs="Helvetica"/>
          <w:szCs w:val="20"/>
          <w:lang w:val="pt-BR"/>
        </w:rPr>
        <w:t>,</w:t>
      </w:r>
      <w:r w:rsidR="00D92C1E" w:rsidRPr="00D5464D">
        <w:rPr>
          <w:szCs w:val="20"/>
          <w:lang w:val="pt-BR"/>
        </w:rPr>
        <w:t xml:space="preserve"> </w:t>
      </w:r>
      <w:r w:rsidR="0060726B" w:rsidRPr="00D5464D">
        <w:rPr>
          <w:szCs w:val="20"/>
          <w:lang w:val="pt-BR"/>
        </w:rPr>
        <w:t>91</w:t>
      </w:r>
      <w:r w:rsidR="00D92C1E" w:rsidRPr="00D5464D">
        <w:rPr>
          <w:rFonts w:cs="Helvetica"/>
          <w:szCs w:val="20"/>
          <w:lang w:val="pt-BR"/>
        </w:rPr>
        <w:t>. Benigno Rodrigues da Silva</w:t>
      </w:r>
      <w:r w:rsidR="00C87E13" w:rsidRPr="00D5464D">
        <w:rPr>
          <w:rFonts w:cs="Helvetica"/>
          <w:szCs w:val="20"/>
          <w:lang w:val="pt-BR"/>
        </w:rPr>
        <w:t>,</w:t>
      </w:r>
      <w:r w:rsidR="00D92C1E" w:rsidRPr="00D5464D">
        <w:rPr>
          <w:szCs w:val="20"/>
          <w:lang w:val="pt-BR"/>
        </w:rPr>
        <w:t xml:space="preserve"> </w:t>
      </w:r>
      <w:r w:rsidR="0060726B" w:rsidRPr="00D5464D">
        <w:rPr>
          <w:szCs w:val="20"/>
          <w:lang w:val="pt-BR"/>
        </w:rPr>
        <w:t>92</w:t>
      </w:r>
      <w:r w:rsidR="00D92C1E" w:rsidRPr="00D5464D">
        <w:rPr>
          <w:rFonts w:cs="Helvetica"/>
          <w:szCs w:val="20"/>
          <w:lang w:val="pt-BR"/>
        </w:rPr>
        <w:t>.</w:t>
      </w:r>
      <w:r w:rsidR="00A1358C" w:rsidRPr="00D5464D">
        <w:rPr>
          <w:rFonts w:cs="Helvetica"/>
          <w:szCs w:val="20"/>
          <w:lang w:val="pt-BR"/>
        </w:rPr>
        <w:t xml:space="preserve"> Carlos </w:t>
      </w:r>
      <w:r w:rsidR="00D92C1E" w:rsidRPr="00D5464D">
        <w:rPr>
          <w:rFonts w:cs="Helvetica"/>
          <w:szCs w:val="20"/>
          <w:lang w:val="pt-BR"/>
        </w:rPr>
        <w:t>Alberto Albino da Conceição</w:t>
      </w:r>
      <w:r w:rsidR="00C87E13" w:rsidRPr="00D5464D">
        <w:rPr>
          <w:rFonts w:cs="Helvetica"/>
          <w:szCs w:val="20"/>
          <w:lang w:val="pt-BR"/>
        </w:rPr>
        <w:t>,</w:t>
      </w:r>
      <w:r w:rsidR="00D92C1E" w:rsidRPr="00D5464D">
        <w:rPr>
          <w:szCs w:val="20"/>
          <w:lang w:val="pt-BR"/>
        </w:rPr>
        <w:t xml:space="preserve"> </w:t>
      </w:r>
      <w:r w:rsidR="0060726B" w:rsidRPr="00D5464D">
        <w:rPr>
          <w:szCs w:val="20"/>
          <w:lang w:val="pt-BR"/>
        </w:rPr>
        <w:t>93</w:t>
      </w:r>
      <w:r w:rsidR="00D92C1E" w:rsidRPr="00D5464D">
        <w:rPr>
          <w:rFonts w:cs="Helvetica"/>
          <w:szCs w:val="20"/>
          <w:lang w:val="pt-BR"/>
        </w:rPr>
        <w:t>. Cassimiro Neto Souza Maia</w:t>
      </w:r>
      <w:r w:rsidR="00C87E13" w:rsidRPr="00D5464D">
        <w:rPr>
          <w:rFonts w:cs="Helvetica"/>
          <w:szCs w:val="20"/>
          <w:lang w:val="pt-BR"/>
        </w:rPr>
        <w:t>,</w:t>
      </w:r>
      <w:r w:rsidR="00D92C1E" w:rsidRPr="00D5464D">
        <w:rPr>
          <w:szCs w:val="20"/>
          <w:lang w:val="pt-BR"/>
        </w:rPr>
        <w:t xml:space="preserve"> </w:t>
      </w:r>
      <w:r w:rsidR="00D92C1E" w:rsidRPr="00D5464D">
        <w:rPr>
          <w:rFonts w:cs="Helvetica"/>
          <w:szCs w:val="20"/>
          <w:lang w:val="pt-BR"/>
        </w:rPr>
        <w:t>9</w:t>
      </w:r>
      <w:r w:rsidR="0060726B" w:rsidRPr="00D5464D">
        <w:rPr>
          <w:rFonts w:cs="Helvetica"/>
          <w:szCs w:val="20"/>
          <w:lang w:val="pt-BR"/>
        </w:rPr>
        <w:t>4</w:t>
      </w:r>
      <w:r w:rsidR="00D92C1E" w:rsidRPr="00D5464D">
        <w:rPr>
          <w:rFonts w:cs="Helvetica"/>
          <w:szCs w:val="20"/>
          <w:lang w:val="pt-BR"/>
        </w:rPr>
        <w:t>. Dijalma Santos Batista</w:t>
      </w:r>
      <w:r w:rsidR="00C87E13" w:rsidRPr="00D5464D">
        <w:rPr>
          <w:rFonts w:cs="Helvetica"/>
          <w:szCs w:val="20"/>
          <w:lang w:val="pt-BR"/>
        </w:rPr>
        <w:t>,</w:t>
      </w:r>
      <w:r w:rsidR="00D92C1E" w:rsidRPr="00D5464D">
        <w:rPr>
          <w:szCs w:val="20"/>
          <w:lang w:val="pt-BR"/>
        </w:rPr>
        <w:t xml:space="preserve"> </w:t>
      </w:r>
      <w:r w:rsidR="0060726B" w:rsidRPr="00D5464D">
        <w:rPr>
          <w:szCs w:val="20"/>
          <w:lang w:val="pt-BR"/>
        </w:rPr>
        <w:t>95</w:t>
      </w:r>
      <w:r w:rsidR="00D92C1E" w:rsidRPr="00D5464D">
        <w:rPr>
          <w:rFonts w:cs="Helvetica"/>
          <w:szCs w:val="20"/>
          <w:lang w:val="pt-BR"/>
        </w:rPr>
        <w:t>. Edi Souza de Silva</w:t>
      </w:r>
      <w:r w:rsidR="00C87E13" w:rsidRPr="00D5464D">
        <w:rPr>
          <w:rFonts w:cs="Helvetica"/>
          <w:szCs w:val="20"/>
          <w:lang w:val="pt-BR"/>
        </w:rPr>
        <w:t>,</w:t>
      </w:r>
      <w:r w:rsidR="00D92C1E" w:rsidRPr="00D5464D">
        <w:rPr>
          <w:szCs w:val="20"/>
          <w:lang w:val="pt-BR"/>
        </w:rPr>
        <w:t xml:space="preserve"> </w:t>
      </w:r>
      <w:r w:rsidR="0060726B" w:rsidRPr="00D5464D">
        <w:rPr>
          <w:szCs w:val="20"/>
          <w:lang w:val="pt-BR"/>
        </w:rPr>
        <w:t>96</w:t>
      </w:r>
      <w:r w:rsidR="00D92C1E" w:rsidRPr="00D5464D">
        <w:rPr>
          <w:rFonts w:cs="Helvetica"/>
          <w:szCs w:val="20"/>
          <w:lang w:val="pt-BR"/>
        </w:rPr>
        <w:t>. Edmilson Fernandes dos Santos</w:t>
      </w:r>
      <w:r w:rsidR="00C87E13" w:rsidRPr="00D5464D">
        <w:rPr>
          <w:rFonts w:cs="Helvetica"/>
          <w:szCs w:val="20"/>
          <w:lang w:val="pt-BR"/>
        </w:rPr>
        <w:t>,</w:t>
      </w:r>
      <w:r w:rsidR="00D92C1E" w:rsidRPr="00D5464D">
        <w:rPr>
          <w:szCs w:val="20"/>
          <w:lang w:val="pt-BR"/>
        </w:rPr>
        <w:t xml:space="preserve"> </w:t>
      </w:r>
      <w:r w:rsidR="0060726B" w:rsidRPr="00D5464D">
        <w:rPr>
          <w:szCs w:val="20"/>
          <w:lang w:val="pt-BR"/>
        </w:rPr>
        <w:t>97</w:t>
      </w:r>
      <w:r w:rsidR="00D92C1E" w:rsidRPr="00D5464D">
        <w:rPr>
          <w:rFonts w:cs="Helvetica"/>
          <w:szCs w:val="20"/>
          <w:lang w:val="pt-BR"/>
        </w:rPr>
        <w:t>. Edson Pocidônio da Silva</w:t>
      </w:r>
      <w:r w:rsidR="00C87E13" w:rsidRPr="00D5464D">
        <w:rPr>
          <w:rFonts w:cs="Helvetica"/>
          <w:szCs w:val="20"/>
          <w:lang w:val="pt-BR"/>
        </w:rPr>
        <w:t>,</w:t>
      </w:r>
      <w:r w:rsidR="00D92C1E" w:rsidRPr="00D5464D">
        <w:rPr>
          <w:szCs w:val="20"/>
          <w:lang w:val="pt-BR"/>
        </w:rPr>
        <w:t xml:space="preserve"> </w:t>
      </w:r>
      <w:r w:rsidR="0060726B" w:rsidRPr="00D5464D">
        <w:rPr>
          <w:szCs w:val="20"/>
          <w:lang w:val="pt-BR"/>
        </w:rPr>
        <w:t>98</w:t>
      </w:r>
      <w:r w:rsidR="00D92C1E" w:rsidRPr="00D5464D">
        <w:rPr>
          <w:rFonts w:cs="Helvetica"/>
          <w:szCs w:val="20"/>
          <w:lang w:val="pt-BR"/>
        </w:rPr>
        <w:t xml:space="preserve">. Irineu </w:t>
      </w:r>
      <w:r w:rsidR="00A94737" w:rsidRPr="00D5464D">
        <w:rPr>
          <w:rFonts w:cs="Helvetica"/>
          <w:szCs w:val="20"/>
          <w:lang w:val="pt-BR"/>
        </w:rPr>
        <w:t>Inácio</w:t>
      </w:r>
      <w:r w:rsidR="00D92C1E" w:rsidRPr="00D5464D">
        <w:rPr>
          <w:rFonts w:cs="Helvetica"/>
          <w:szCs w:val="20"/>
          <w:lang w:val="pt-BR"/>
        </w:rPr>
        <w:t xml:space="preserve"> da Silva</w:t>
      </w:r>
      <w:r w:rsidR="00C87E13" w:rsidRPr="00D5464D">
        <w:rPr>
          <w:rFonts w:cs="Helvetica"/>
          <w:szCs w:val="20"/>
          <w:lang w:val="pt-BR"/>
        </w:rPr>
        <w:t>,</w:t>
      </w:r>
      <w:r w:rsidR="00D92C1E" w:rsidRPr="00D5464D">
        <w:rPr>
          <w:szCs w:val="20"/>
          <w:lang w:val="pt-BR"/>
        </w:rPr>
        <w:t xml:space="preserve"> </w:t>
      </w:r>
      <w:r w:rsidR="0060726B" w:rsidRPr="00D5464D">
        <w:rPr>
          <w:szCs w:val="20"/>
          <w:lang w:val="pt-BR"/>
        </w:rPr>
        <w:t>99</w:t>
      </w:r>
      <w:r w:rsidR="00D92C1E" w:rsidRPr="00D5464D">
        <w:rPr>
          <w:rFonts w:cs="Helvetica"/>
          <w:szCs w:val="20"/>
          <w:lang w:val="pt-BR"/>
        </w:rPr>
        <w:t>. Geraldo Hilário de Almeida</w:t>
      </w:r>
      <w:r w:rsidR="00C87E13" w:rsidRPr="00D5464D">
        <w:rPr>
          <w:rFonts w:cs="Helvetica"/>
          <w:szCs w:val="20"/>
          <w:lang w:val="pt-BR"/>
        </w:rPr>
        <w:t>,</w:t>
      </w:r>
      <w:r w:rsidR="00D92C1E" w:rsidRPr="00D5464D">
        <w:rPr>
          <w:szCs w:val="20"/>
          <w:lang w:val="pt-BR"/>
        </w:rPr>
        <w:t xml:space="preserve"> </w:t>
      </w:r>
      <w:r w:rsidR="0060726B" w:rsidRPr="00D5464D">
        <w:rPr>
          <w:szCs w:val="20"/>
          <w:lang w:val="pt-BR"/>
        </w:rPr>
        <w:t>100</w:t>
      </w:r>
      <w:r w:rsidR="00D92C1E" w:rsidRPr="00D5464D">
        <w:rPr>
          <w:rFonts w:cs="Helvetica"/>
          <w:szCs w:val="20"/>
          <w:lang w:val="pt-BR"/>
        </w:rPr>
        <w:t>. João de Deus dos Reis Salvino</w:t>
      </w:r>
      <w:r w:rsidR="00C87E13" w:rsidRPr="00D5464D">
        <w:rPr>
          <w:rFonts w:cs="Helvetica"/>
          <w:szCs w:val="20"/>
          <w:lang w:val="pt-BR"/>
        </w:rPr>
        <w:t>,</w:t>
      </w:r>
      <w:r w:rsidR="00D92C1E" w:rsidRPr="00D5464D">
        <w:rPr>
          <w:szCs w:val="20"/>
          <w:lang w:val="pt-BR"/>
        </w:rPr>
        <w:t xml:space="preserve"> </w:t>
      </w:r>
      <w:r w:rsidR="00D92C1E" w:rsidRPr="00D5464D">
        <w:rPr>
          <w:rFonts w:cs="Helvetica"/>
          <w:szCs w:val="20"/>
          <w:lang w:val="pt-BR"/>
        </w:rPr>
        <w:t>1</w:t>
      </w:r>
      <w:r w:rsidR="0060726B" w:rsidRPr="00D5464D">
        <w:rPr>
          <w:rFonts w:cs="Helvetica"/>
          <w:szCs w:val="20"/>
          <w:lang w:val="pt-BR"/>
        </w:rPr>
        <w:t>01</w:t>
      </w:r>
      <w:r w:rsidR="00D92C1E" w:rsidRPr="00D5464D">
        <w:rPr>
          <w:rFonts w:cs="Helvetica"/>
          <w:szCs w:val="20"/>
          <w:lang w:val="pt-BR"/>
        </w:rPr>
        <w:t>. João Germano da Silva</w:t>
      </w:r>
      <w:r w:rsidR="00C87E13" w:rsidRPr="00D5464D">
        <w:rPr>
          <w:rFonts w:cs="Helvetica"/>
          <w:szCs w:val="20"/>
          <w:lang w:val="pt-BR"/>
        </w:rPr>
        <w:t>,</w:t>
      </w:r>
      <w:r w:rsidR="00D92C1E" w:rsidRPr="00D5464D">
        <w:rPr>
          <w:szCs w:val="20"/>
          <w:lang w:val="pt-BR"/>
        </w:rPr>
        <w:t xml:space="preserve"> </w:t>
      </w:r>
      <w:r w:rsidR="00D92C1E" w:rsidRPr="00D5464D">
        <w:rPr>
          <w:rFonts w:cs="Helvetica"/>
          <w:szCs w:val="20"/>
          <w:lang w:val="pt-BR"/>
        </w:rPr>
        <w:t>1</w:t>
      </w:r>
      <w:r w:rsidR="0060726B" w:rsidRPr="00D5464D">
        <w:rPr>
          <w:rFonts w:cs="Helvetica"/>
          <w:szCs w:val="20"/>
          <w:lang w:val="pt-BR"/>
        </w:rPr>
        <w:t>02</w:t>
      </w:r>
      <w:r w:rsidR="00D92C1E" w:rsidRPr="00D5464D">
        <w:rPr>
          <w:rFonts w:cs="Helvetica"/>
          <w:szCs w:val="20"/>
          <w:lang w:val="pt-BR"/>
        </w:rPr>
        <w:t>. João Pereira Marinho</w:t>
      </w:r>
      <w:r w:rsidR="00C87E13" w:rsidRPr="00D5464D">
        <w:rPr>
          <w:rFonts w:cs="Helvetica"/>
          <w:szCs w:val="20"/>
          <w:lang w:val="pt-BR"/>
        </w:rPr>
        <w:t>,</w:t>
      </w:r>
      <w:r w:rsidR="00D92C1E" w:rsidRPr="00D5464D">
        <w:rPr>
          <w:rFonts w:cs="Helvetica"/>
          <w:szCs w:val="20"/>
          <w:lang w:val="pt-BR"/>
        </w:rPr>
        <w:t xml:space="preserve"> 1</w:t>
      </w:r>
      <w:r w:rsidR="0060726B" w:rsidRPr="00D5464D">
        <w:rPr>
          <w:rFonts w:cs="Helvetica"/>
          <w:szCs w:val="20"/>
          <w:lang w:val="pt-BR"/>
        </w:rPr>
        <w:t>03</w:t>
      </w:r>
      <w:r w:rsidR="00D92C1E" w:rsidRPr="00D5464D">
        <w:rPr>
          <w:rFonts w:cs="Helvetica"/>
          <w:szCs w:val="20"/>
          <w:lang w:val="pt-BR"/>
        </w:rPr>
        <w:t>. Joaquim Francisco Xavier</w:t>
      </w:r>
      <w:r w:rsidR="00C87E13" w:rsidRPr="00D5464D">
        <w:rPr>
          <w:rFonts w:cs="Helvetica"/>
          <w:szCs w:val="20"/>
          <w:lang w:val="pt-BR"/>
        </w:rPr>
        <w:t>,</w:t>
      </w:r>
      <w:r w:rsidR="00D92C1E" w:rsidRPr="00D5464D">
        <w:rPr>
          <w:rFonts w:cs="Helvetica"/>
          <w:szCs w:val="20"/>
          <w:lang w:val="pt-BR"/>
        </w:rPr>
        <w:t xml:space="preserve"> 1</w:t>
      </w:r>
      <w:r w:rsidR="0060726B" w:rsidRPr="00D5464D">
        <w:rPr>
          <w:rFonts w:cs="Helvetica"/>
          <w:szCs w:val="20"/>
          <w:lang w:val="pt-BR"/>
        </w:rPr>
        <w:t>04</w:t>
      </w:r>
      <w:r w:rsidR="00D92C1E" w:rsidRPr="00D5464D">
        <w:rPr>
          <w:rFonts w:cs="Helvetica"/>
          <w:szCs w:val="20"/>
          <w:lang w:val="pt-BR"/>
        </w:rPr>
        <w:t>. José Astrogildo Damascena</w:t>
      </w:r>
      <w:r w:rsidR="00C87E13" w:rsidRPr="00D5464D">
        <w:rPr>
          <w:rFonts w:cs="Helvetica"/>
          <w:szCs w:val="20"/>
          <w:lang w:val="pt-BR"/>
        </w:rPr>
        <w:t>,</w:t>
      </w:r>
      <w:r w:rsidR="00D92C1E" w:rsidRPr="00D5464D">
        <w:rPr>
          <w:rFonts w:cs="Helvetica"/>
          <w:szCs w:val="20"/>
          <w:lang w:val="pt-BR"/>
        </w:rPr>
        <w:t xml:space="preserve"> </w:t>
      </w:r>
      <w:r w:rsidR="0060726B" w:rsidRPr="00D5464D">
        <w:rPr>
          <w:rFonts w:cs="Helvetica"/>
          <w:szCs w:val="20"/>
          <w:lang w:val="pt-BR"/>
        </w:rPr>
        <w:t>105</w:t>
      </w:r>
      <w:r w:rsidR="00D92C1E" w:rsidRPr="00D5464D">
        <w:rPr>
          <w:rFonts w:cs="Helvetica"/>
          <w:szCs w:val="20"/>
          <w:lang w:val="pt-BR"/>
        </w:rPr>
        <w:t>. José</w:t>
      </w:r>
      <w:r w:rsidR="00A1358C" w:rsidRPr="00D5464D">
        <w:rPr>
          <w:rFonts w:cs="Helvetica"/>
          <w:szCs w:val="20"/>
          <w:lang w:val="pt-BR"/>
        </w:rPr>
        <w:t xml:space="preserve"> Carlos </w:t>
      </w:r>
      <w:r w:rsidR="00D92C1E" w:rsidRPr="00D5464D">
        <w:rPr>
          <w:rFonts w:cs="Helvetica"/>
          <w:szCs w:val="20"/>
          <w:lang w:val="pt-BR"/>
        </w:rPr>
        <w:t>Alves dos Santos</w:t>
      </w:r>
      <w:r w:rsidR="00C87E13" w:rsidRPr="00D5464D">
        <w:rPr>
          <w:rFonts w:cs="Helvetica"/>
          <w:szCs w:val="20"/>
          <w:lang w:val="pt-BR"/>
        </w:rPr>
        <w:t>,</w:t>
      </w:r>
      <w:r w:rsidR="00D92C1E" w:rsidRPr="00D5464D">
        <w:rPr>
          <w:rFonts w:cs="Helvetica"/>
          <w:szCs w:val="20"/>
          <w:lang w:val="pt-BR"/>
        </w:rPr>
        <w:t xml:space="preserve"> </w:t>
      </w:r>
      <w:r w:rsidR="0060726B" w:rsidRPr="00D5464D">
        <w:rPr>
          <w:rFonts w:cs="Helvetica"/>
          <w:szCs w:val="20"/>
          <w:lang w:val="pt-BR"/>
        </w:rPr>
        <w:t>106</w:t>
      </w:r>
      <w:r w:rsidR="00D92C1E" w:rsidRPr="00D5464D">
        <w:rPr>
          <w:rFonts w:cs="Times New Roman"/>
          <w:szCs w:val="20"/>
          <w:lang w:val="pt-BR"/>
        </w:rPr>
        <w:t>. José Fernando da Silva Filho</w:t>
      </w:r>
      <w:r w:rsidR="00C87E13" w:rsidRPr="00D5464D">
        <w:rPr>
          <w:rFonts w:cs="Times New Roman"/>
          <w:szCs w:val="20"/>
          <w:lang w:val="pt-BR"/>
        </w:rPr>
        <w:t>,</w:t>
      </w:r>
      <w:r w:rsidR="00D92C1E" w:rsidRPr="00D5464D">
        <w:rPr>
          <w:rFonts w:cs="Times New Roman"/>
          <w:szCs w:val="20"/>
          <w:lang w:val="pt-BR"/>
        </w:rPr>
        <w:t xml:space="preserve"> </w:t>
      </w:r>
      <w:r w:rsidR="0060726B" w:rsidRPr="00D5464D">
        <w:rPr>
          <w:rFonts w:cs="Times New Roman"/>
          <w:szCs w:val="20"/>
          <w:lang w:val="pt-BR"/>
        </w:rPr>
        <w:t>107</w:t>
      </w:r>
      <w:r w:rsidR="00D92C1E" w:rsidRPr="00D5464D">
        <w:rPr>
          <w:rFonts w:cs="Helvetica"/>
          <w:szCs w:val="20"/>
          <w:lang w:val="pt-BR"/>
        </w:rPr>
        <w:t>. José Francisco de Lima</w:t>
      </w:r>
      <w:r w:rsidR="00C87E13" w:rsidRPr="00D5464D">
        <w:rPr>
          <w:rFonts w:cs="Helvetica"/>
          <w:szCs w:val="20"/>
          <w:lang w:val="pt-BR"/>
        </w:rPr>
        <w:t>,</w:t>
      </w:r>
      <w:r w:rsidR="00D92C1E" w:rsidRPr="00D5464D">
        <w:rPr>
          <w:rFonts w:cs="Helvetica"/>
          <w:szCs w:val="20"/>
          <w:lang w:val="pt-BR"/>
        </w:rPr>
        <w:t xml:space="preserve"> </w:t>
      </w:r>
      <w:r w:rsidR="0060726B" w:rsidRPr="00D5464D">
        <w:rPr>
          <w:rFonts w:cs="Helvetica"/>
          <w:szCs w:val="20"/>
          <w:lang w:val="pt-BR"/>
        </w:rPr>
        <w:t>108</w:t>
      </w:r>
      <w:r w:rsidR="00D92C1E" w:rsidRPr="00D5464D">
        <w:rPr>
          <w:rFonts w:cs="Helvetica"/>
          <w:szCs w:val="20"/>
          <w:lang w:val="pt-BR"/>
        </w:rPr>
        <w:t>. José Pereira da Silva</w:t>
      </w:r>
      <w:r w:rsidR="00C87E13" w:rsidRPr="00D5464D">
        <w:rPr>
          <w:rFonts w:cs="Helvetica"/>
          <w:szCs w:val="20"/>
          <w:lang w:val="pt-BR"/>
        </w:rPr>
        <w:t>,</w:t>
      </w:r>
      <w:r w:rsidR="00D92C1E" w:rsidRPr="00D5464D">
        <w:rPr>
          <w:rFonts w:cs="Helvetica"/>
          <w:szCs w:val="20"/>
          <w:lang w:val="pt-BR"/>
        </w:rPr>
        <w:t xml:space="preserve"> </w:t>
      </w:r>
      <w:r w:rsidR="0060726B" w:rsidRPr="00D5464D">
        <w:rPr>
          <w:rFonts w:cs="Helvetica"/>
          <w:szCs w:val="20"/>
          <w:lang w:val="pt-BR"/>
        </w:rPr>
        <w:t>109</w:t>
      </w:r>
      <w:r w:rsidR="00D92C1E" w:rsidRPr="00D5464D">
        <w:rPr>
          <w:rFonts w:cs="Helvetica"/>
          <w:szCs w:val="20"/>
          <w:lang w:val="pt-BR"/>
        </w:rPr>
        <w:t>. José Pereira Marinho</w:t>
      </w:r>
      <w:r w:rsidR="00C87E13" w:rsidRPr="00D5464D">
        <w:rPr>
          <w:rFonts w:cs="Helvetica"/>
          <w:szCs w:val="20"/>
          <w:lang w:val="pt-BR"/>
        </w:rPr>
        <w:t>,</w:t>
      </w:r>
      <w:r w:rsidR="00D92C1E" w:rsidRPr="00D5464D">
        <w:rPr>
          <w:rFonts w:cs="Helvetica"/>
          <w:szCs w:val="20"/>
          <w:lang w:val="pt-BR"/>
        </w:rPr>
        <w:t xml:space="preserve"> </w:t>
      </w:r>
      <w:r w:rsidR="0060726B" w:rsidRPr="00D5464D">
        <w:rPr>
          <w:rFonts w:cs="Helvetica"/>
          <w:szCs w:val="20"/>
          <w:lang w:val="pt-BR"/>
        </w:rPr>
        <w:t>110</w:t>
      </w:r>
      <w:r w:rsidR="00D92C1E" w:rsidRPr="00D5464D">
        <w:rPr>
          <w:rFonts w:cs="Helvetica"/>
          <w:szCs w:val="20"/>
          <w:lang w:val="pt-BR"/>
        </w:rPr>
        <w:t>. José Raimundo dos Santos</w:t>
      </w:r>
      <w:r w:rsidR="00C87E13" w:rsidRPr="00D5464D">
        <w:rPr>
          <w:rFonts w:cs="Helvetica"/>
          <w:szCs w:val="20"/>
          <w:lang w:val="pt-BR"/>
        </w:rPr>
        <w:t>,</w:t>
      </w:r>
      <w:r w:rsidR="00D92C1E" w:rsidRPr="00D5464D">
        <w:rPr>
          <w:rFonts w:cs="Helvetica"/>
          <w:szCs w:val="20"/>
          <w:lang w:val="pt-BR"/>
        </w:rPr>
        <w:t xml:space="preserve"> </w:t>
      </w:r>
      <w:r w:rsidR="0060726B" w:rsidRPr="00D5464D">
        <w:rPr>
          <w:rFonts w:cs="Helvetica"/>
          <w:szCs w:val="20"/>
          <w:lang w:val="pt-BR"/>
        </w:rPr>
        <w:t>111</w:t>
      </w:r>
      <w:r w:rsidR="00D92C1E" w:rsidRPr="00D5464D">
        <w:rPr>
          <w:rFonts w:cs="Helvetica"/>
          <w:szCs w:val="20"/>
          <w:lang w:val="pt-BR"/>
        </w:rPr>
        <w:t>. José Vital Nascimento</w:t>
      </w:r>
      <w:r w:rsidR="00C87E13" w:rsidRPr="00D5464D">
        <w:rPr>
          <w:rFonts w:cs="Helvetica"/>
          <w:szCs w:val="20"/>
          <w:lang w:val="pt-BR"/>
        </w:rPr>
        <w:t>,</w:t>
      </w:r>
      <w:r w:rsidR="00D92C1E" w:rsidRPr="00D5464D">
        <w:rPr>
          <w:rFonts w:cs="Helvetica"/>
          <w:szCs w:val="20"/>
          <w:lang w:val="pt-BR"/>
        </w:rPr>
        <w:t xml:space="preserve"> </w:t>
      </w:r>
      <w:r w:rsidR="0060726B" w:rsidRPr="00D5464D">
        <w:rPr>
          <w:rFonts w:cs="Helvetica"/>
          <w:szCs w:val="20"/>
          <w:lang w:val="pt-BR"/>
        </w:rPr>
        <w:t>112</w:t>
      </w:r>
      <w:r w:rsidR="00D92C1E" w:rsidRPr="00D5464D">
        <w:rPr>
          <w:rFonts w:cs="Helvetica"/>
          <w:szCs w:val="20"/>
          <w:lang w:val="pt-BR"/>
        </w:rPr>
        <w:t>. Luiz Leal dos Santos</w:t>
      </w:r>
      <w:r w:rsidR="00C87E13" w:rsidRPr="00D5464D">
        <w:rPr>
          <w:rFonts w:cs="Helvetica"/>
          <w:szCs w:val="20"/>
          <w:lang w:val="pt-BR"/>
        </w:rPr>
        <w:t>,</w:t>
      </w:r>
      <w:r w:rsidR="00D92C1E" w:rsidRPr="00D5464D">
        <w:rPr>
          <w:rFonts w:cs="Helvetica"/>
          <w:szCs w:val="20"/>
          <w:lang w:val="pt-BR"/>
        </w:rPr>
        <w:t xml:space="preserve"> </w:t>
      </w:r>
      <w:r w:rsidR="0060726B" w:rsidRPr="00D5464D">
        <w:rPr>
          <w:rFonts w:cs="Helvetica"/>
          <w:szCs w:val="20"/>
          <w:lang w:val="pt-BR"/>
        </w:rPr>
        <w:t>113</w:t>
      </w:r>
      <w:r w:rsidR="00D92C1E" w:rsidRPr="00D5464D">
        <w:rPr>
          <w:rFonts w:cs="Helvetica"/>
          <w:szCs w:val="20"/>
          <w:lang w:val="pt-BR"/>
        </w:rPr>
        <w:t>. Manoel Alves de Oliveira</w:t>
      </w:r>
      <w:r w:rsidR="00C87E13" w:rsidRPr="00D5464D">
        <w:rPr>
          <w:rFonts w:cs="Helvetica"/>
          <w:szCs w:val="20"/>
          <w:lang w:val="pt-BR"/>
        </w:rPr>
        <w:t>,</w:t>
      </w:r>
      <w:r w:rsidR="00D92C1E" w:rsidRPr="00D5464D">
        <w:rPr>
          <w:rFonts w:cs="Helvetica"/>
          <w:szCs w:val="20"/>
          <w:lang w:val="pt-BR"/>
        </w:rPr>
        <w:t xml:space="preserve"> </w:t>
      </w:r>
      <w:r w:rsidR="0060726B" w:rsidRPr="00D5464D">
        <w:rPr>
          <w:rFonts w:cs="Helvetica"/>
          <w:szCs w:val="20"/>
          <w:lang w:val="pt-BR"/>
        </w:rPr>
        <w:t>114</w:t>
      </w:r>
      <w:r w:rsidR="00D92C1E" w:rsidRPr="00D5464D">
        <w:rPr>
          <w:rFonts w:cs="Helvetica"/>
          <w:szCs w:val="20"/>
          <w:lang w:val="pt-BR"/>
        </w:rPr>
        <w:t>. Manoel Fernandes dos Santos</w:t>
      </w:r>
      <w:r w:rsidR="00C87E13" w:rsidRPr="00D5464D">
        <w:rPr>
          <w:rFonts w:cs="Helvetica"/>
          <w:szCs w:val="20"/>
          <w:lang w:val="pt-BR"/>
        </w:rPr>
        <w:t>,</w:t>
      </w:r>
      <w:r w:rsidR="00D92C1E" w:rsidRPr="00D5464D">
        <w:rPr>
          <w:rFonts w:cs="Helvetica"/>
          <w:szCs w:val="20"/>
          <w:lang w:val="pt-BR"/>
        </w:rPr>
        <w:t xml:space="preserve"> </w:t>
      </w:r>
      <w:r w:rsidR="0060726B" w:rsidRPr="00D5464D">
        <w:rPr>
          <w:rFonts w:cs="Helvetica"/>
          <w:szCs w:val="20"/>
          <w:lang w:val="pt-BR"/>
        </w:rPr>
        <w:t>115</w:t>
      </w:r>
      <w:r w:rsidR="00D92C1E" w:rsidRPr="00D5464D">
        <w:rPr>
          <w:rFonts w:cs="Helvetica"/>
          <w:szCs w:val="20"/>
          <w:lang w:val="pt-BR"/>
        </w:rPr>
        <w:t>. Marcionilo Pinto de Morais</w:t>
      </w:r>
      <w:r w:rsidR="00C87E13" w:rsidRPr="00D5464D">
        <w:rPr>
          <w:rFonts w:cs="Helvetica"/>
          <w:szCs w:val="20"/>
          <w:lang w:val="pt-BR"/>
        </w:rPr>
        <w:t>,</w:t>
      </w:r>
      <w:r w:rsidR="00D92C1E" w:rsidRPr="00D5464D">
        <w:rPr>
          <w:rFonts w:cs="Helvetica"/>
          <w:szCs w:val="20"/>
          <w:lang w:val="pt-BR"/>
        </w:rPr>
        <w:t xml:space="preserve"> </w:t>
      </w:r>
      <w:r w:rsidR="0060726B" w:rsidRPr="00D5464D">
        <w:rPr>
          <w:rFonts w:cs="Helvetica"/>
          <w:szCs w:val="20"/>
          <w:lang w:val="pt-BR"/>
        </w:rPr>
        <w:t>116</w:t>
      </w:r>
      <w:r w:rsidR="00D92C1E" w:rsidRPr="00D5464D">
        <w:rPr>
          <w:rFonts w:cs="Helvetica"/>
          <w:szCs w:val="20"/>
          <w:lang w:val="pt-BR"/>
        </w:rPr>
        <w:t>. Pedro Pereira de Andrade</w:t>
      </w:r>
      <w:r w:rsidR="00C87E13" w:rsidRPr="00D5464D">
        <w:rPr>
          <w:rFonts w:cs="Helvetica"/>
          <w:szCs w:val="20"/>
          <w:lang w:val="pt-BR"/>
        </w:rPr>
        <w:t>,</w:t>
      </w:r>
      <w:r w:rsidR="00D92C1E" w:rsidRPr="00D5464D">
        <w:rPr>
          <w:rFonts w:cs="Helvetica"/>
          <w:szCs w:val="20"/>
          <w:lang w:val="pt-BR"/>
        </w:rPr>
        <w:t xml:space="preserve"> </w:t>
      </w:r>
      <w:r w:rsidR="0060726B" w:rsidRPr="00D5464D">
        <w:rPr>
          <w:rFonts w:cs="Helvetica"/>
          <w:szCs w:val="20"/>
          <w:lang w:val="pt-BR"/>
        </w:rPr>
        <w:t>117</w:t>
      </w:r>
      <w:r w:rsidR="00D92C1E" w:rsidRPr="00D5464D">
        <w:rPr>
          <w:rFonts w:cs="Helvetica"/>
          <w:szCs w:val="20"/>
          <w:lang w:val="pt-BR"/>
        </w:rPr>
        <w:t>. Raimundo Costa Neves</w:t>
      </w:r>
      <w:r w:rsidR="00C87E13" w:rsidRPr="00D5464D">
        <w:rPr>
          <w:rFonts w:cs="Helvetica"/>
          <w:szCs w:val="20"/>
          <w:lang w:val="pt-BR"/>
        </w:rPr>
        <w:t>,</w:t>
      </w:r>
      <w:r w:rsidR="00D92C1E" w:rsidRPr="00D5464D">
        <w:rPr>
          <w:rFonts w:cs="Helvetica"/>
          <w:szCs w:val="20"/>
          <w:lang w:val="pt-BR"/>
        </w:rPr>
        <w:t xml:space="preserve"> </w:t>
      </w:r>
      <w:r w:rsidR="0060726B" w:rsidRPr="00D5464D">
        <w:rPr>
          <w:rFonts w:cs="Helvetica"/>
          <w:szCs w:val="20"/>
          <w:lang w:val="pt-BR"/>
        </w:rPr>
        <w:t>118</w:t>
      </w:r>
      <w:r w:rsidR="00D92C1E" w:rsidRPr="00D5464D">
        <w:rPr>
          <w:rFonts w:cs="Helvetica"/>
          <w:szCs w:val="20"/>
          <w:lang w:val="pt-BR"/>
        </w:rPr>
        <w:t>. Raimundo Nonato Amaro Ferreira</w:t>
      </w:r>
      <w:r w:rsidR="00C87E13" w:rsidRPr="00D5464D">
        <w:rPr>
          <w:rFonts w:cs="Helvetica"/>
          <w:szCs w:val="20"/>
          <w:lang w:val="pt-BR"/>
        </w:rPr>
        <w:t>,</w:t>
      </w:r>
      <w:r w:rsidR="00D92C1E" w:rsidRPr="00D5464D">
        <w:rPr>
          <w:rFonts w:cs="Helvetica"/>
          <w:szCs w:val="20"/>
          <w:lang w:val="pt-BR"/>
        </w:rPr>
        <w:t xml:space="preserve"> </w:t>
      </w:r>
      <w:r w:rsidR="0060726B" w:rsidRPr="00D5464D">
        <w:rPr>
          <w:rFonts w:cs="Helvetica"/>
          <w:szCs w:val="20"/>
          <w:lang w:val="pt-BR"/>
        </w:rPr>
        <w:t>119</w:t>
      </w:r>
      <w:r w:rsidR="00D92C1E" w:rsidRPr="00D5464D">
        <w:rPr>
          <w:rFonts w:cs="Helvetica"/>
          <w:szCs w:val="20"/>
          <w:lang w:val="pt-BR"/>
        </w:rPr>
        <w:t>. Raimundo Gonçalves Lima</w:t>
      </w:r>
      <w:r w:rsidR="00C87E13" w:rsidRPr="00D5464D">
        <w:rPr>
          <w:rFonts w:cs="Helvetica"/>
          <w:szCs w:val="20"/>
          <w:lang w:val="pt-BR"/>
        </w:rPr>
        <w:t>,</w:t>
      </w:r>
      <w:r w:rsidR="00D92C1E" w:rsidRPr="00D5464D">
        <w:rPr>
          <w:rFonts w:cs="Helvetica"/>
          <w:szCs w:val="20"/>
          <w:lang w:val="pt-BR"/>
        </w:rPr>
        <w:t xml:space="preserve"> </w:t>
      </w:r>
      <w:r w:rsidR="0060726B" w:rsidRPr="00D5464D">
        <w:rPr>
          <w:rFonts w:cs="Helvetica"/>
          <w:szCs w:val="20"/>
          <w:lang w:val="pt-BR"/>
        </w:rPr>
        <w:t>120</w:t>
      </w:r>
      <w:r w:rsidR="00D92C1E" w:rsidRPr="00D5464D">
        <w:rPr>
          <w:rFonts w:cs="Helvetica"/>
          <w:szCs w:val="20"/>
          <w:lang w:val="pt-BR"/>
        </w:rPr>
        <w:t>. Raimundo Nonato da Silva</w:t>
      </w:r>
      <w:r w:rsidR="00C87E13" w:rsidRPr="00D5464D">
        <w:rPr>
          <w:rFonts w:cs="Helvetica"/>
          <w:szCs w:val="20"/>
          <w:lang w:val="pt-BR"/>
        </w:rPr>
        <w:t>,</w:t>
      </w:r>
      <w:r w:rsidR="00D92C1E" w:rsidRPr="00D5464D">
        <w:rPr>
          <w:rFonts w:cs="Helvetica"/>
          <w:szCs w:val="20"/>
          <w:lang w:val="pt-BR"/>
        </w:rPr>
        <w:t xml:space="preserve"> </w:t>
      </w:r>
      <w:r w:rsidR="0060726B" w:rsidRPr="00D5464D">
        <w:rPr>
          <w:rFonts w:cs="Helvetica"/>
          <w:szCs w:val="20"/>
          <w:lang w:val="pt-BR"/>
        </w:rPr>
        <w:t>121</w:t>
      </w:r>
      <w:r w:rsidR="00D92C1E" w:rsidRPr="00D5464D">
        <w:rPr>
          <w:rFonts w:cs="Helvetica"/>
          <w:szCs w:val="20"/>
          <w:lang w:val="pt-BR"/>
        </w:rPr>
        <w:t>. Roberto Aires</w:t>
      </w:r>
      <w:r w:rsidR="00C87E13" w:rsidRPr="00D5464D">
        <w:rPr>
          <w:rFonts w:cs="Helvetica"/>
          <w:szCs w:val="20"/>
          <w:lang w:val="pt-BR"/>
        </w:rPr>
        <w:t>,</w:t>
      </w:r>
      <w:r w:rsidR="00D92C1E" w:rsidRPr="00D5464D">
        <w:rPr>
          <w:rFonts w:cs="Helvetica"/>
          <w:szCs w:val="20"/>
          <w:lang w:val="pt-BR"/>
        </w:rPr>
        <w:t xml:space="preserve"> </w:t>
      </w:r>
      <w:r w:rsidR="0060726B" w:rsidRPr="00D5464D">
        <w:rPr>
          <w:rFonts w:cs="Helvetica"/>
          <w:szCs w:val="20"/>
          <w:lang w:val="pt-BR"/>
        </w:rPr>
        <w:t>122</w:t>
      </w:r>
      <w:r w:rsidR="00D92C1E" w:rsidRPr="00D5464D">
        <w:rPr>
          <w:rFonts w:cs="Helvetica"/>
          <w:szCs w:val="20"/>
          <w:lang w:val="pt-BR"/>
        </w:rPr>
        <w:t>. Ronaldo Alves Ribeiro</w:t>
      </w:r>
      <w:r w:rsidR="00C87E13" w:rsidRPr="00D5464D">
        <w:rPr>
          <w:rFonts w:cs="Helvetica"/>
          <w:szCs w:val="20"/>
          <w:lang w:val="pt-BR"/>
        </w:rPr>
        <w:t>,</w:t>
      </w:r>
      <w:r w:rsidR="00D92C1E" w:rsidRPr="00D5464D">
        <w:rPr>
          <w:rFonts w:cs="Helvetica"/>
          <w:szCs w:val="20"/>
          <w:lang w:val="pt-BR"/>
        </w:rPr>
        <w:t xml:space="preserve"> </w:t>
      </w:r>
      <w:r w:rsidR="0060726B" w:rsidRPr="00D5464D">
        <w:rPr>
          <w:rFonts w:cs="Helvetica"/>
          <w:szCs w:val="20"/>
          <w:lang w:val="pt-BR"/>
        </w:rPr>
        <w:t>123</w:t>
      </w:r>
      <w:r w:rsidR="00D92C1E" w:rsidRPr="00D5464D">
        <w:rPr>
          <w:rFonts w:cs="Helvetica"/>
          <w:szCs w:val="20"/>
          <w:lang w:val="pt-BR"/>
        </w:rPr>
        <w:t>. Sebastião Carro Pereira dos Santos</w:t>
      </w:r>
      <w:r w:rsidR="00C87E13" w:rsidRPr="00D5464D">
        <w:rPr>
          <w:rFonts w:cs="Helvetica"/>
          <w:szCs w:val="20"/>
          <w:lang w:val="pt-BR"/>
        </w:rPr>
        <w:t>,</w:t>
      </w:r>
      <w:r w:rsidR="00D92C1E" w:rsidRPr="00D5464D">
        <w:rPr>
          <w:rFonts w:cs="Helvetica"/>
          <w:szCs w:val="20"/>
          <w:lang w:val="pt-BR"/>
        </w:rPr>
        <w:t xml:space="preserve"> </w:t>
      </w:r>
      <w:r w:rsidR="0060726B" w:rsidRPr="00D5464D">
        <w:rPr>
          <w:rFonts w:cs="Helvetica"/>
          <w:szCs w:val="20"/>
          <w:lang w:val="pt-BR"/>
        </w:rPr>
        <w:t>124</w:t>
      </w:r>
      <w:r w:rsidR="00D92C1E" w:rsidRPr="00D5464D">
        <w:rPr>
          <w:rFonts w:cs="Helvetica"/>
          <w:szCs w:val="20"/>
          <w:lang w:val="pt-BR"/>
        </w:rPr>
        <w:t>. Sebastião Rodrigues da Silva</w:t>
      </w:r>
      <w:r w:rsidR="00C87E13" w:rsidRPr="00D5464D">
        <w:rPr>
          <w:rFonts w:cs="Helvetica"/>
          <w:szCs w:val="20"/>
          <w:lang w:val="pt-BR"/>
        </w:rPr>
        <w:t>,</w:t>
      </w:r>
      <w:r w:rsidR="00D92C1E" w:rsidRPr="00D5464D">
        <w:rPr>
          <w:rFonts w:cs="Helvetica"/>
          <w:szCs w:val="20"/>
          <w:lang w:val="pt-BR"/>
        </w:rPr>
        <w:t xml:space="preserve"> </w:t>
      </w:r>
      <w:r w:rsidR="0060726B" w:rsidRPr="00D5464D">
        <w:rPr>
          <w:rFonts w:cs="Helvetica"/>
          <w:szCs w:val="20"/>
          <w:lang w:val="pt-BR"/>
        </w:rPr>
        <w:t>125</w:t>
      </w:r>
      <w:r w:rsidR="00D92C1E" w:rsidRPr="00D5464D">
        <w:rPr>
          <w:rFonts w:cs="Helvetica"/>
          <w:szCs w:val="20"/>
          <w:lang w:val="pt-BR"/>
        </w:rPr>
        <w:t>. Sinoca da Silva</w:t>
      </w:r>
      <w:r w:rsidR="00C87E13" w:rsidRPr="00D5464D">
        <w:rPr>
          <w:rFonts w:cs="Helvetica"/>
          <w:szCs w:val="20"/>
          <w:lang w:val="pt-BR"/>
        </w:rPr>
        <w:t>,</w:t>
      </w:r>
      <w:r w:rsidR="00D92C1E" w:rsidRPr="00D5464D">
        <w:rPr>
          <w:rFonts w:cs="Helvetica"/>
          <w:szCs w:val="20"/>
          <w:lang w:val="pt-BR"/>
        </w:rPr>
        <w:t xml:space="preserve"> </w:t>
      </w:r>
      <w:r w:rsidR="0060726B" w:rsidRPr="00D5464D">
        <w:rPr>
          <w:rFonts w:cs="Helvetica"/>
          <w:szCs w:val="20"/>
          <w:lang w:val="pt-BR"/>
        </w:rPr>
        <w:t>126</w:t>
      </w:r>
      <w:r w:rsidR="00D92C1E" w:rsidRPr="00D5464D">
        <w:rPr>
          <w:rFonts w:cs="Helvetica"/>
          <w:szCs w:val="20"/>
          <w:lang w:val="pt-BR"/>
        </w:rPr>
        <w:t>. Valdemar de Souza</w:t>
      </w:r>
      <w:r w:rsidR="00C87E13" w:rsidRPr="00D5464D">
        <w:rPr>
          <w:rFonts w:cs="Helvetica"/>
          <w:szCs w:val="20"/>
          <w:lang w:val="pt-BR"/>
        </w:rPr>
        <w:t>,</w:t>
      </w:r>
      <w:r w:rsidR="00D92C1E" w:rsidRPr="00D5464D">
        <w:rPr>
          <w:rFonts w:cs="Helvetica"/>
          <w:szCs w:val="20"/>
          <w:lang w:val="pt-BR"/>
        </w:rPr>
        <w:t xml:space="preserve"> </w:t>
      </w:r>
      <w:r w:rsidR="0060726B" w:rsidRPr="00D5464D">
        <w:rPr>
          <w:rFonts w:cs="Helvetica"/>
          <w:szCs w:val="20"/>
          <w:lang w:val="pt-BR"/>
        </w:rPr>
        <w:t>127</w:t>
      </w:r>
      <w:r w:rsidR="00D92C1E" w:rsidRPr="00D5464D">
        <w:rPr>
          <w:rFonts w:cs="Helvetica"/>
          <w:szCs w:val="20"/>
          <w:lang w:val="pt-BR"/>
        </w:rPr>
        <w:t>. Valdinar Veloso Silva</w:t>
      </w:r>
      <w:r w:rsidR="00470ADC" w:rsidRPr="00D5464D">
        <w:rPr>
          <w:rFonts w:cs="Helvetica"/>
          <w:szCs w:val="20"/>
          <w:lang w:val="pt-BR"/>
        </w:rPr>
        <w:t xml:space="preserve"> e</w:t>
      </w:r>
      <w:r w:rsidR="00D92C1E" w:rsidRPr="00D5464D">
        <w:rPr>
          <w:rFonts w:cs="Helvetica"/>
          <w:szCs w:val="20"/>
          <w:lang w:val="pt-BR"/>
        </w:rPr>
        <w:t xml:space="preserve"> </w:t>
      </w:r>
      <w:r w:rsidR="0060726B" w:rsidRPr="00D5464D">
        <w:rPr>
          <w:rFonts w:cs="Helvetica"/>
          <w:szCs w:val="20"/>
          <w:lang w:val="pt-BR"/>
        </w:rPr>
        <w:t>128</w:t>
      </w:r>
      <w:r w:rsidR="00D92C1E" w:rsidRPr="00D5464D">
        <w:rPr>
          <w:rFonts w:cs="Helvetica"/>
          <w:szCs w:val="20"/>
          <w:lang w:val="pt-BR"/>
        </w:rPr>
        <w:t>. Zeno Gomes Feitosa</w:t>
      </w:r>
      <w:r w:rsidR="00C87E13" w:rsidRPr="00D5464D">
        <w:rPr>
          <w:rFonts w:cs="Helvetica"/>
          <w:szCs w:val="20"/>
          <w:lang w:val="pt-BR"/>
        </w:rPr>
        <w:t xml:space="preserve">. Estas pessoas, </w:t>
      </w:r>
      <w:r w:rsidR="00470ADC" w:rsidRPr="00D5464D">
        <w:rPr>
          <w:rFonts w:cs="Arial"/>
          <w:iCs/>
          <w:szCs w:val="20"/>
          <w:lang w:val="pt-BR"/>
        </w:rPr>
        <w:t xml:space="preserve">em </w:t>
      </w:r>
      <w:r w:rsidR="00B871F1" w:rsidRPr="00D5464D">
        <w:rPr>
          <w:rFonts w:cs="Arial"/>
          <w:iCs/>
          <w:szCs w:val="20"/>
          <w:lang w:val="pt-BR"/>
        </w:rPr>
        <w:t>sua qualidade</w:t>
      </w:r>
      <w:r w:rsidRPr="00D5464D">
        <w:rPr>
          <w:rFonts w:cs="Arial"/>
          <w:iCs/>
          <w:szCs w:val="20"/>
          <w:lang w:val="pt-BR"/>
        </w:rPr>
        <w:t xml:space="preserve"> de </w:t>
      </w:r>
      <w:r w:rsidR="00E045D9" w:rsidRPr="00D5464D">
        <w:rPr>
          <w:rFonts w:cs="Arial"/>
          <w:iCs/>
          <w:szCs w:val="20"/>
          <w:lang w:val="pt-BR"/>
        </w:rPr>
        <w:t>vítima</w:t>
      </w:r>
      <w:r w:rsidRPr="00D5464D">
        <w:rPr>
          <w:rFonts w:cs="Arial"/>
          <w:iCs/>
          <w:szCs w:val="20"/>
          <w:lang w:val="pt-BR"/>
        </w:rPr>
        <w:t>s</w:t>
      </w:r>
      <w:r w:rsidR="00470ADC" w:rsidRPr="00D5464D">
        <w:rPr>
          <w:rFonts w:cs="Arial"/>
          <w:iCs/>
          <w:szCs w:val="20"/>
          <w:lang w:val="pt-BR"/>
        </w:rPr>
        <w:t xml:space="preserve"> das </w:t>
      </w:r>
      <w:r w:rsidRPr="00D5464D">
        <w:rPr>
          <w:rFonts w:cs="Arial"/>
          <w:iCs/>
          <w:szCs w:val="20"/>
          <w:lang w:val="pt-BR"/>
        </w:rPr>
        <w:t>viola</w:t>
      </w:r>
      <w:r w:rsidR="00470ADC" w:rsidRPr="00D5464D">
        <w:rPr>
          <w:rFonts w:cs="Arial"/>
          <w:iCs/>
          <w:szCs w:val="20"/>
          <w:lang w:val="pt-BR"/>
        </w:rPr>
        <w:t>ções</w:t>
      </w:r>
      <w:r w:rsidRPr="00D5464D">
        <w:rPr>
          <w:rFonts w:cs="Arial"/>
          <w:iCs/>
          <w:szCs w:val="20"/>
          <w:lang w:val="pt-BR"/>
        </w:rPr>
        <w:t xml:space="preserve"> declaradas</w:t>
      </w:r>
      <w:r w:rsidR="00E045D9" w:rsidRPr="00D5464D">
        <w:rPr>
          <w:rFonts w:cs="Arial"/>
          <w:iCs/>
          <w:szCs w:val="20"/>
          <w:lang w:val="pt-BR"/>
        </w:rPr>
        <w:t xml:space="preserve"> no </w:t>
      </w:r>
      <w:r w:rsidRPr="00D5464D">
        <w:rPr>
          <w:rFonts w:cs="Arial"/>
          <w:iCs/>
          <w:szCs w:val="20"/>
          <w:lang w:val="pt-BR"/>
        </w:rPr>
        <w:t xml:space="preserve">capítulo </w:t>
      </w:r>
      <w:r w:rsidR="00D92C1E" w:rsidRPr="00D5464D">
        <w:rPr>
          <w:rFonts w:cs="Arial"/>
          <w:iCs/>
          <w:szCs w:val="20"/>
          <w:lang w:val="pt-BR"/>
        </w:rPr>
        <w:t>VIII</w:t>
      </w:r>
      <w:r w:rsidR="00470ADC" w:rsidRPr="00D5464D">
        <w:rPr>
          <w:rFonts w:cs="Arial"/>
          <w:iCs/>
          <w:szCs w:val="20"/>
          <w:lang w:val="pt-BR"/>
        </w:rPr>
        <w:t xml:space="preserve"> desta </w:t>
      </w:r>
      <w:r w:rsidR="002C330E" w:rsidRPr="00D5464D">
        <w:rPr>
          <w:rFonts w:cs="Arial"/>
          <w:iCs/>
          <w:szCs w:val="20"/>
          <w:lang w:val="pt-BR"/>
        </w:rPr>
        <w:t>sentença</w:t>
      </w:r>
      <w:r w:rsidR="00C87E13" w:rsidRPr="00D5464D">
        <w:rPr>
          <w:rFonts w:cs="Arial"/>
          <w:iCs/>
          <w:szCs w:val="20"/>
          <w:lang w:val="pt-BR"/>
        </w:rPr>
        <w:t>,</w:t>
      </w:r>
      <w:r w:rsidRPr="00D5464D">
        <w:rPr>
          <w:rFonts w:cs="Arial"/>
          <w:iCs/>
          <w:szCs w:val="20"/>
          <w:lang w:val="pt-BR"/>
        </w:rPr>
        <w:t xml:space="preserve"> </w:t>
      </w:r>
      <w:r w:rsidR="002C330E" w:rsidRPr="00D5464D">
        <w:rPr>
          <w:rFonts w:cs="Arial"/>
          <w:iCs/>
          <w:szCs w:val="20"/>
          <w:lang w:val="pt-BR"/>
        </w:rPr>
        <w:t>serão</w:t>
      </w:r>
      <w:r w:rsidRPr="00D5464D">
        <w:rPr>
          <w:rFonts w:cs="Arial"/>
          <w:iCs/>
          <w:szCs w:val="20"/>
          <w:lang w:val="pt-BR"/>
        </w:rPr>
        <w:t xml:space="preserve"> consideradas </w:t>
      </w:r>
      <w:r w:rsidR="00E045D9" w:rsidRPr="00D5464D">
        <w:rPr>
          <w:rFonts w:cs="Arial"/>
          <w:iCs/>
          <w:szCs w:val="20"/>
          <w:lang w:val="pt-BR"/>
        </w:rPr>
        <w:t>beneficiárias</w:t>
      </w:r>
      <w:r w:rsidR="00470ADC" w:rsidRPr="00D5464D">
        <w:rPr>
          <w:rFonts w:cs="Arial"/>
          <w:iCs/>
          <w:szCs w:val="20"/>
          <w:lang w:val="pt-BR"/>
        </w:rPr>
        <w:t xml:space="preserve"> das </w:t>
      </w:r>
      <w:r w:rsidRPr="00D5464D">
        <w:rPr>
          <w:rFonts w:cs="Arial"/>
          <w:iCs/>
          <w:szCs w:val="20"/>
          <w:lang w:val="pt-BR"/>
        </w:rPr>
        <w:t>repara</w:t>
      </w:r>
      <w:r w:rsidR="00470ADC" w:rsidRPr="00D5464D">
        <w:rPr>
          <w:rFonts w:cs="Arial"/>
          <w:iCs/>
          <w:szCs w:val="20"/>
          <w:lang w:val="pt-BR"/>
        </w:rPr>
        <w:t>ções</w:t>
      </w:r>
      <w:r w:rsidRPr="00D5464D">
        <w:rPr>
          <w:rFonts w:cs="Arial"/>
          <w:iCs/>
          <w:szCs w:val="20"/>
          <w:lang w:val="pt-BR"/>
        </w:rPr>
        <w:t xml:space="preserve"> que</w:t>
      </w:r>
      <w:r w:rsidR="002C330E" w:rsidRPr="00D5464D">
        <w:rPr>
          <w:rFonts w:cs="Arial"/>
          <w:iCs/>
          <w:szCs w:val="20"/>
          <w:lang w:val="pt-BR"/>
        </w:rPr>
        <w:t xml:space="preserve"> a </w:t>
      </w:r>
      <w:r w:rsidRPr="00D5464D">
        <w:rPr>
          <w:rFonts w:cs="Arial"/>
          <w:iCs/>
          <w:szCs w:val="20"/>
          <w:lang w:val="pt-BR"/>
        </w:rPr>
        <w:t>Corte orden</w:t>
      </w:r>
      <w:r w:rsidR="00C87E13" w:rsidRPr="00D5464D">
        <w:rPr>
          <w:rFonts w:cs="Arial"/>
          <w:iCs/>
          <w:szCs w:val="20"/>
          <w:lang w:val="pt-BR"/>
        </w:rPr>
        <w:t>a</w:t>
      </w:r>
      <w:r w:rsidRPr="00D5464D">
        <w:rPr>
          <w:rFonts w:cs="Arial"/>
          <w:iCs/>
          <w:szCs w:val="20"/>
          <w:lang w:val="pt-BR"/>
        </w:rPr>
        <w:t xml:space="preserve"> </w:t>
      </w:r>
      <w:r w:rsidR="00E765C2" w:rsidRPr="00D5464D">
        <w:rPr>
          <w:rFonts w:cs="Arial"/>
          <w:iCs/>
          <w:szCs w:val="20"/>
          <w:lang w:val="pt-BR"/>
        </w:rPr>
        <w:t>a seguir</w:t>
      </w:r>
      <w:r w:rsidRPr="00D5464D">
        <w:rPr>
          <w:rFonts w:cs="Arial"/>
          <w:iCs/>
          <w:szCs w:val="20"/>
          <w:lang w:val="pt-BR"/>
        </w:rPr>
        <w:t>.</w:t>
      </w:r>
    </w:p>
    <w:p w14:paraId="073F38FA" w14:textId="77777777" w:rsidR="004B0842" w:rsidRPr="00D5464D" w:rsidRDefault="004B0842" w:rsidP="004B0842">
      <w:pPr>
        <w:pStyle w:val="Prrafodelista"/>
        <w:autoSpaceDE w:val="0"/>
        <w:autoSpaceDN w:val="0"/>
        <w:adjustRightInd w:val="0"/>
        <w:rPr>
          <w:rFonts w:cs="Arial"/>
          <w:iCs/>
          <w:szCs w:val="20"/>
          <w:lang w:val="pt-BR"/>
        </w:rPr>
      </w:pPr>
    </w:p>
    <w:p w14:paraId="1F798AB1" w14:textId="3CC792C0" w:rsidR="004B0842" w:rsidRPr="00D5464D" w:rsidRDefault="004B0842" w:rsidP="00F306D7">
      <w:pPr>
        <w:pStyle w:val="Ttulo2"/>
        <w:numPr>
          <w:ilvl w:val="0"/>
          <w:numId w:val="21"/>
        </w:numPr>
        <w:rPr>
          <w:lang w:val="pt-BR"/>
        </w:rPr>
      </w:pPr>
      <w:bookmarkStart w:id="446" w:name="_Toc468433947"/>
      <w:r w:rsidRPr="00D5464D">
        <w:rPr>
          <w:lang w:val="pt-BR"/>
        </w:rPr>
        <w:t>Medidas de Investiga</w:t>
      </w:r>
      <w:r w:rsidR="00470ADC" w:rsidRPr="00D5464D">
        <w:rPr>
          <w:lang w:val="pt-BR"/>
        </w:rPr>
        <w:t>ção</w:t>
      </w:r>
      <w:bookmarkEnd w:id="446"/>
    </w:p>
    <w:p w14:paraId="41E5147A" w14:textId="77777777" w:rsidR="00747A03" w:rsidRPr="00D5464D" w:rsidRDefault="00747A03" w:rsidP="00747A03">
      <w:pPr>
        <w:pStyle w:val="Prrafodelista"/>
        <w:autoSpaceDE w:val="0"/>
        <w:autoSpaceDN w:val="0"/>
        <w:adjustRightInd w:val="0"/>
        <w:ind w:left="0"/>
        <w:rPr>
          <w:rFonts w:cs="Arial"/>
          <w:iCs/>
          <w:szCs w:val="20"/>
          <w:lang w:val="pt-BR"/>
        </w:rPr>
      </w:pPr>
    </w:p>
    <w:p w14:paraId="32F04A4D" w14:textId="15BDCD9B" w:rsidR="004B0842" w:rsidRPr="00D5464D" w:rsidRDefault="00470ADC"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A </w:t>
      </w:r>
      <w:r w:rsidRPr="00D5464D">
        <w:rPr>
          <w:rFonts w:cs="Arial"/>
          <w:b/>
          <w:i/>
          <w:iCs/>
          <w:szCs w:val="20"/>
          <w:lang w:val="pt-BR"/>
        </w:rPr>
        <w:t>Comissão</w:t>
      </w:r>
      <w:r w:rsidR="004B0842" w:rsidRPr="00D5464D">
        <w:rPr>
          <w:rFonts w:cs="Arial"/>
          <w:iCs/>
          <w:szCs w:val="20"/>
          <w:lang w:val="pt-BR"/>
        </w:rPr>
        <w:t xml:space="preserve"> </w:t>
      </w:r>
      <w:r w:rsidR="002C330E" w:rsidRPr="00D5464D">
        <w:rPr>
          <w:rFonts w:cs="Arial"/>
          <w:iCs/>
          <w:szCs w:val="20"/>
          <w:lang w:val="pt-BR"/>
        </w:rPr>
        <w:t>solicitou</w:t>
      </w:r>
      <w:r w:rsidR="004B0842" w:rsidRPr="00D5464D">
        <w:rPr>
          <w:rFonts w:cs="Arial"/>
          <w:iCs/>
          <w:szCs w:val="20"/>
          <w:lang w:val="pt-BR"/>
        </w:rPr>
        <w:t xml:space="preserve"> que se</w:t>
      </w:r>
      <w:r w:rsidR="002C330E" w:rsidRPr="00D5464D">
        <w:rPr>
          <w:rFonts w:cs="Arial"/>
          <w:iCs/>
          <w:szCs w:val="20"/>
          <w:lang w:val="pt-BR"/>
        </w:rPr>
        <w:t xml:space="preserve"> lev</w:t>
      </w:r>
      <w:r w:rsidR="004B0842" w:rsidRPr="00D5464D">
        <w:rPr>
          <w:rFonts w:cs="Arial"/>
          <w:iCs/>
          <w:szCs w:val="20"/>
          <w:lang w:val="pt-BR"/>
        </w:rPr>
        <w:t>e a cabo</w:t>
      </w:r>
      <w:r w:rsidR="00E045D9" w:rsidRPr="00D5464D">
        <w:rPr>
          <w:rFonts w:cs="Arial"/>
          <w:iCs/>
          <w:szCs w:val="20"/>
          <w:lang w:val="pt-BR"/>
        </w:rPr>
        <w:t xml:space="preserve"> uma </w:t>
      </w:r>
      <w:r w:rsidR="004B0842" w:rsidRPr="00D5464D">
        <w:rPr>
          <w:rFonts w:cs="Arial"/>
          <w:iCs/>
          <w:szCs w:val="20"/>
          <w:lang w:val="pt-BR"/>
        </w:rPr>
        <w:t>investiga</w:t>
      </w:r>
      <w:r w:rsidRPr="00D5464D">
        <w:rPr>
          <w:rFonts w:cs="Arial"/>
          <w:iCs/>
          <w:szCs w:val="20"/>
          <w:lang w:val="pt-BR"/>
        </w:rPr>
        <w:t xml:space="preserve">ção </w:t>
      </w:r>
      <w:r w:rsidR="00C87E13" w:rsidRPr="00D5464D">
        <w:rPr>
          <w:rFonts w:cs="Arial"/>
          <w:iCs/>
          <w:szCs w:val="20"/>
          <w:lang w:val="pt-BR"/>
        </w:rPr>
        <w:t xml:space="preserve">sobre </w:t>
      </w:r>
      <w:r w:rsidRPr="00D5464D">
        <w:rPr>
          <w:rFonts w:cs="Arial"/>
          <w:iCs/>
          <w:szCs w:val="20"/>
          <w:lang w:val="pt-BR"/>
        </w:rPr>
        <w:t xml:space="preserve">os </w:t>
      </w:r>
      <w:r w:rsidR="002C330E" w:rsidRPr="00D5464D">
        <w:rPr>
          <w:rFonts w:cs="Arial"/>
          <w:iCs/>
          <w:szCs w:val="20"/>
          <w:lang w:val="pt-BR"/>
        </w:rPr>
        <w:t>fatos</w:t>
      </w:r>
      <w:r w:rsidR="004B0842" w:rsidRPr="00D5464D">
        <w:rPr>
          <w:rFonts w:cs="Arial"/>
          <w:iCs/>
          <w:szCs w:val="20"/>
          <w:lang w:val="pt-BR"/>
        </w:rPr>
        <w:t xml:space="preserve"> relacionados</w:t>
      </w:r>
      <w:r w:rsidRPr="00D5464D">
        <w:rPr>
          <w:rFonts w:cs="Arial"/>
          <w:iCs/>
          <w:szCs w:val="20"/>
          <w:lang w:val="pt-BR"/>
        </w:rPr>
        <w:t xml:space="preserve"> </w:t>
      </w:r>
      <w:r w:rsidR="00C87E13" w:rsidRPr="00D5464D">
        <w:rPr>
          <w:rFonts w:cs="Arial"/>
          <w:iCs/>
          <w:szCs w:val="20"/>
          <w:lang w:val="pt-BR"/>
        </w:rPr>
        <w:t>às</w:t>
      </w:r>
      <w:r w:rsidR="002C330E" w:rsidRPr="00D5464D">
        <w:rPr>
          <w:rFonts w:cs="Arial"/>
          <w:iCs/>
          <w:szCs w:val="20"/>
          <w:lang w:val="pt-BR"/>
        </w:rPr>
        <w:t xml:space="preserve"> </w:t>
      </w:r>
      <w:r w:rsidR="004B0842" w:rsidRPr="00D5464D">
        <w:rPr>
          <w:rFonts w:cs="Arial"/>
          <w:iCs/>
          <w:szCs w:val="20"/>
          <w:lang w:val="pt-BR"/>
        </w:rPr>
        <w:t>viola</w:t>
      </w:r>
      <w:r w:rsidRPr="00D5464D">
        <w:rPr>
          <w:rFonts w:cs="Arial"/>
          <w:iCs/>
          <w:szCs w:val="20"/>
          <w:lang w:val="pt-BR"/>
        </w:rPr>
        <w:t>ções</w:t>
      </w:r>
      <w:r w:rsidR="004B0842" w:rsidRPr="00D5464D">
        <w:rPr>
          <w:rFonts w:cs="Arial"/>
          <w:iCs/>
          <w:szCs w:val="20"/>
          <w:lang w:val="pt-BR"/>
        </w:rPr>
        <w:t xml:space="preserve"> de </w:t>
      </w:r>
      <w:r w:rsidRPr="00D5464D">
        <w:rPr>
          <w:rFonts w:cs="Arial"/>
          <w:iCs/>
          <w:szCs w:val="20"/>
          <w:lang w:val="pt-BR"/>
        </w:rPr>
        <w:t>direito</w:t>
      </w:r>
      <w:r w:rsidR="004B0842" w:rsidRPr="00D5464D">
        <w:rPr>
          <w:rFonts w:cs="Arial"/>
          <w:iCs/>
          <w:szCs w:val="20"/>
          <w:lang w:val="pt-BR"/>
        </w:rPr>
        <w:t>s humanos relativas</w:t>
      </w:r>
      <w:r w:rsidRPr="00D5464D">
        <w:rPr>
          <w:rFonts w:cs="Arial"/>
          <w:iCs/>
          <w:szCs w:val="20"/>
          <w:lang w:val="pt-BR"/>
        </w:rPr>
        <w:t xml:space="preserve"> ao </w:t>
      </w:r>
      <w:r w:rsidR="00E045D9" w:rsidRPr="00D5464D">
        <w:rPr>
          <w:rFonts w:cs="Arial"/>
          <w:iCs/>
          <w:szCs w:val="20"/>
          <w:lang w:val="pt-BR"/>
        </w:rPr>
        <w:t>trabalho</w:t>
      </w:r>
      <w:r w:rsidR="004B0842" w:rsidRPr="00D5464D">
        <w:rPr>
          <w:rFonts w:cs="Arial"/>
          <w:iCs/>
          <w:szCs w:val="20"/>
          <w:lang w:val="pt-BR"/>
        </w:rPr>
        <w:t xml:space="preserve"> </w:t>
      </w:r>
      <w:r w:rsidR="004F1CC2" w:rsidRPr="00D5464D">
        <w:rPr>
          <w:rFonts w:cs="Arial"/>
          <w:iCs/>
          <w:szCs w:val="20"/>
          <w:lang w:val="pt-BR"/>
        </w:rPr>
        <w:t>escravo</w:t>
      </w:r>
      <w:r w:rsidR="00E045D9" w:rsidRPr="00D5464D">
        <w:rPr>
          <w:rFonts w:cs="Arial"/>
          <w:iCs/>
          <w:szCs w:val="20"/>
          <w:lang w:val="pt-BR"/>
        </w:rPr>
        <w:t xml:space="preserve"> e </w:t>
      </w:r>
      <w:r w:rsidR="00C87E13" w:rsidRPr="00D5464D">
        <w:rPr>
          <w:rFonts w:cs="Arial"/>
          <w:iCs/>
          <w:szCs w:val="20"/>
          <w:lang w:val="pt-BR"/>
        </w:rPr>
        <w:t xml:space="preserve">que as mesmas sejam realizadas </w:t>
      </w:r>
      <w:r w:rsidR="004B0842" w:rsidRPr="00D5464D">
        <w:rPr>
          <w:rFonts w:cs="Arial"/>
          <w:iCs/>
          <w:szCs w:val="20"/>
          <w:lang w:val="pt-BR"/>
        </w:rPr>
        <w:t xml:space="preserve">de </w:t>
      </w:r>
      <w:r w:rsidR="002C330E" w:rsidRPr="00D5464D">
        <w:rPr>
          <w:rFonts w:cs="Arial"/>
          <w:iCs/>
          <w:szCs w:val="20"/>
          <w:lang w:val="pt-BR"/>
        </w:rPr>
        <w:t>maneira</w:t>
      </w:r>
      <w:r w:rsidR="004B0842" w:rsidRPr="00D5464D">
        <w:rPr>
          <w:rFonts w:cs="Arial"/>
          <w:iCs/>
          <w:szCs w:val="20"/>
          <w:lang w:val="pt-BR"/>
        </w:rPr>
        <w:t xml:space="preserve"> imparcial, </w:t>
      </w:r>
      <w:r w:rsidRPr="00D5464D">
        <w:rPr>
          <w:rFonts w:cs="Arial"/>
          <w:iCs/>
          <w:szCs w:val="20"/>
          <w:lang w:val="pt-BR"/>
        </w:rPr>
        <w:t>efetiv</w:t>
      </w:r>
      <w:r w:rsidR="004B0842" w:rsidRPr="00D5464D">
        <w:rPr>
          <w:rFonts w:cs="Arial"/>
          <w:iCs/>
          <w:szCs w:val="20"/>
          <w:lang w:val="pt-BR"/>
        </w:rPr>
        <w:t>a</w:t>
      </w:r>
      <w:r w:rsidR="00E045D9" w:rsidRPr="00D5464D">
        <w:rPr>
          <w:rFonts w:cs="Arial"/>
          <w:iCs/>
          <w:szCs w:val="20"/>
          <w:lang w:val="pt-BR"/>
        </w:rPr>
        <w:t xml:space="preserve"> e </w:t>
      </w:r>
      <w:r w:rsidR="004B0842" w:rsidRPr="00D5464D">
        <w:rPr>
          <w:rFonts w:cs="Arial"/>
          <w:iCs/>
          <w:szCs w:val="20"/>
          <w:lang w:val="pt-BR"/>
        </w:rPr>
        <w:t>dentro de</w:t>
      </w:r>
      <w:r w:rsidR="00E045D9" w:rsidRPr="00D5464D">
        <w:rPr>
          <w:rFonts w:cs="Arial"/>
          <w:iCs/>
          <w:szCs w:val="20"/>
          <w:lang w:val="pt-BR"/>
        </w:rPr>
        <w:t xml:space="preserve"> um </w:t>
      </w:r>
      <w:r w:rsidR="002C330E" w:rsidRPr="00D5464D">
        <w:rPr>
          <w:rFonts w:cs="Arial"/>
          <w:iCs/>
          <w:szCs w:val="20"/>
          <w:lang w:val="pt-BR"/>
        </w:rPr>
        <w:t>prazo</w:t>
      </w:r>
      <w:r w:rsidR="004B0842" w:rsidRPr="00D5464D">
        <w:rPr>
          <w:rFonts w:cs="Arial"/>
          <w:iCs/>
          <w:szCs w:val="20"/>
          <w:lang w:val="pt-BR"/>
        </w:rPr>
        <w:t xml:space="preserve"> </w:t>
      </w:r>
      <w:r w:rsidR="00230C71" w:rsidRPr="00D5464D">
        <w:rPr>
          <w:rFonts w:cs="Arial"/>
          <w:iCs/>
          <w:szCs w:val="20"/>
          <w:lang w:val="pt-BR"/>
        </w:rPr>
        <w:t>razoável,</w:t>
      </w:r>
      <w:r w:rsidRPr="00D5464D">
        <w:rPr>
          <w:rFonts w:cs="Arial"/>
          <w:iCs/>
          <w:szCs w:val="20"/>
          <w:lang w:val="pt-BR"/>
        </w:rPr>
        <w:t xml:space="preserve"> com o </w:t>
      </w:r>
      <w:r w:rsidR="004B0842" w:rsidRPr="00D5464D">
        <w:rPr>
          <w:rFonts w:cs="Arial"/>
          <w:iCs/>
          <w:szCs w:val="20"/>
          <w:lang w:val="pt-BR"/>
        </w:rPr>
        <w:t>objet</w:t>
      </w:r>
      <w:r w:rsidR="00C87E13" w:rsidRPr="00D5464D">
        <w:rPr>
          <w:rFonts w:cs="Arial"/>
          <w:iCs/>
          <w:szCs w:val="20"/>
          <w:lang w:val="pt-BR"/>
        </w:rPr>
        <w:t>iv</w:t>
      </w:r>
      <w:r w:rsidR="004B0842" w:rsidRPr="00D5464D">
        <w:rPr>
          <w:rFonts w:cs="Arial"/>
          <w:iCs/>
          <w:szCs w:val="20"/>
          <w:lang w:val="pt-BR"/>
        </w:rPr>
        <w:t>o de esclarecer</w:t>
      </w:r>
      <w:r w:rsidR="002C330E" w:rsidRPr="00D5464D">
        <w:rPr>
          <w:rFonts w:cs="Arial"/>
          <w:iCs/>
          <w:szCs w:val="20"/>
          <w:lang w:val="pt-BR"/>
        </w:rPr>
        <w:t xml:space="preserve"> os fatos</w:t>
      </w:r>
      <w:r w:rsidRPr="00D5464D">
        <w:rPr>
          <w:rFonts w:cs="Arial"/>
          <w:iCs/>
          <w:szCs w:val="20"/>
          <w:lang w:val="pt-BR"/>
        </w:rPr>
        <w:t xml:space="preserve"> </w:t>
      </w:r>
      <w:r w:rsidR="00C87E13" w:rsidRPr="00D5464D">
        <w:rPr>
          <w:rFonts w:cs="Arial"/>
          <w:iCs/>
          <w:szCs w:val="20"/>
          <w:lang w:val="pt-BR"/>
        </w:rPr>
        <w:t>de</w:t>
      </w:r>
      <w:r w:rsidRPr="00D5464D">
        <w:rPr>
          <w:rFonts w:cs="Arial"/>
          <w:iCs/>
          <w:szCs w:val="20"/>
          <w:lang w:val="pt-BR"/>
        </w:rPr>
        <w:t xml:space="preserve"> </w:t>
      </w:r>
      <w:r w:rsidR="004B0842" w:rsidRPr="00D5464D">
        <w:rPr>
          <w:rFonts w:cs="Arial"/>
          <w:iCs/>
          <w:szCs w:val="20"/>
          <w:lang w:val="pt-BR"/>
        </w:rPr>
        <w:t>forma completa, identificar</w:t>
      </w:r>
      <w:r w:rsidR="00E045D9" w:rsidRPr="00D5464D">
        <w:rPr>
          <w:rFonts w:cs="Arial"/>
          <w:iCs/>
          <w:szCs w:val="20"/>
          <w:lang w:val="pt-BR"/>
        </w:rPr>
        <w:t xml:space="preserve"> os </w:t>
      </w:r>
      <w:r w:rsidR="002C330E" w:rsidRPr="00D5464D">
        <w:rPr>
          <w:rFonts w:cs="Arial"/>
          <w:iCs/>
          <w:szCs w:val="20"/>
          <w:lang w:val="pt-BR"/>
        </w:rPr>
        <w:t>responsáveis</w:t>
      </w:r>
      <w:r w:rsidR="004B0842" w:rsidRPr="00D5464D">
        <w:rPr>
          <w:rFonts w:cs="Arial"/>
          <w:iCs/>
          <w:szCs w:val="20"/>
          <w:lang w:val="pt-BR"/>
        </w:rPr>
        <w:t xml:space="preserve"> e </w:t>
      </w:r>
      <w:r w:rsidR="00737270" w:rsidRPr="00D5464D">
        <w:rPr>
          <w:rFonts w:cs="Arial"/>
          <w:iCs/>
          <w:szCs w:val="20"/>
          <w:lang w:val="pt-BR"/>
        </w:rPr>
        <w:t>impor</w:t>
      </w:r>
      <w:r w:rsidR="002C330E" w:rsidRPr="00D5464D">
        <w:rPr>
          <w:rFonts w:cs="Arial"/>
          <w:iCs/>
          <w:szCs w:val="20"/>
          <w:lang w:val="pt-BR"/>
        </w:rPr>
        <w:t xml:space="preserve"> as </w:t>
      </w:r>
      <w:r w:rsidR="004B0842" w:rsidRPr="00D5464D">
        <w:rPr>
          <w:rFonts w:cs="Arial"/>
          <w:iCs/>
          <w:szCs w:val="20"/>
          <w:lang w:val="pt-BR"/>
        </w:rPr>
        <w:t>san</w:t>
      </w:r>
      <w:r w:rsidRPr="00D5464D">
        <w:rPr>
          <w:rFonts w:cs="Arial"/>
          <w:iCs/>
          <w:szCs w:val="20"/>
          <w:lang w:val="pt-BR"/>
        </w:rPr>
        <w:t>ções</w:t>
      </w:r>
      <w:r w:rsidR="004B0842" w:rsidRPr="00D5464D">
        <w:rPr>
          <w:rFonts w:cs="Arial"/>
          <w:iCs/>
          <w:szCs w:val="20"/>
          <w:lang w:val="pt-BR"/>
        </w:rPr>
        <w:t xml:space="preserve"> </w:t>
      </w:r>
      <w:r w:rsidR="00C87E13" w:rsidRPr="00D5464D">
        <w:rPr>
          <w:rFonts w:cs="Arial"/>
          <w:iCs/>
          <w:szCs w:val="20"/>
          <w:lang w:val="pt-BR"/>
        </w:rPr>
        <w:t>correspondentes</w:t>
      </w:r>
      <w:r w:rsidR="004B0842" w:rsidRPr="00D5464D">
        <w:rPr>
          <w:rFonts w:cs="Arial"/>
          <w:iCs/>
          <w:szCs w:val="20"/>
          <w:lang w:val="pt-BR"/>
        </w:rPr>
        <w:t xml:space="preserve">. </w:t>
      </w:r>
    </w:p>
    <w:p w14:paraId="475F3DCB" w14:textId="77777777" w:rsidR="004B0842" w:rsidRPr="00D5464D" w:rsidRDefault="004B0842" w:rsidP="004B0842">
      <w:pPr>
        <w:pStyle w:val="Prrafodelista"/>
        <w:autoSpaceDE w:val="0"/>
        <w:autoSpaceDN w:val="0"/>
        <w:adjustRightInd w:val="0"/>
        <w:ind w:left="0"/>
        <w:rPr>
          <w:rFonts w:cs="Arial"/>
          <w:iCs/>
          <w:szCs w:val="20"/>
          <w:lang w:val="pt-BR"/>
        </w:rPr>
      </w:pPr>
    </w:p>
    <w:p w14:paraId="2BD27C13" w14:textId="6B3A32A4" w:rsidR="004B0842" w:rsidRPr="00D5464D" w:rsidRDefault="004B0842"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Adicionalmente,</w:t>
      </w:r>
      <w:r w:rsidR="002C330E" w:rsidRPr="00D5464D">
        <w:rPr>
          <w:rFonts w:cs="Arial"/>
          <w:iCs/>
          <w:szCs w:val="20"/>
          <w:lang w:val="pt-BR"/>
        </w:rPr>
        <w:t xml:space="preserve"> a </w:t>
      </w:r>
      <w:r w:rsidR="00470ADC" w:rsidRPr="00D5464D">
        <w:rPr>
          <w:rFonts w:cs="Arial"/>
          <w:iCs/>
          <w:szCs w:val="20"/>
          <w:lang w:val="pt-BR"/>
        </w:rPr>
        <w:t>Comissão</w:t>
      </w:r>
      <w:r w:rsidRPr="00D5464D">
        <w:rPr>
          <w:rFonts w:cs="Arial"/>
          <w:iCs/>
          <w:szCs w:val="20"/>
          <w:lang w:val="pt-BR"/>
        </w:rPr>
        <w:t xml:space="preserve"> </w:t>
      </w:r>
      <w:r w:rsidR="00A1358C" w:rsidRPr="00D5464D">
        <w:rPr>
          <w:rFonts w:cs="Arial"/>
          <w:iCs/>
          <w:szCs w:val="20"/>
          <w:lang w:val="pt-BR"/>
        </w:rPr>
        <w:t>requereu</w:t>
      </w:r>
      <w:r w:rsidRPr="00D5464D">
        <w:rPr>
          <w:rFonts w:cs="Arial"/>
          <w:iCs/>
          <w:szCs w:val="20"/>
          <w:lang w:val="pt-BR"/>
        </w:rPr>
        <w:t xml:space="preserve"> </w:t>
      </w:r>
      <w:r w:rsidR="00C87E13" w:rsidRPr="00D5464D">
        <w:rPr>
          <w:rFonts w:cs="Arial"/>
          <w:iCs/>
          <w:szCs w:val="20"/>
          <w:lang w:val="pt-BR"/>
        </w:rPr>
        <w:t xml:space="preserve">a adoção </w:t>
      </w:r>
      <w:r w:rsidR="00470ADC" w:rsidRPr="00D5464D">
        <w:rPr>
          <w:rFonts w:cs="Arial"/>
          <w:iCs/>
          <w:szCs w:val="20"/>
          <w:lang w:val="pt-BR"/>
        </w:rPr>
        <w:t>d</w:t>
      </w:r>
      <w:r w:rsidR="00C87E13" w:rsidRPr="00D5464D">
        <w:rPr>
          <w:rFonts w:cs="Arial"/>
          <w:iCs/>
          <w:szCs w:val="20"/>
          <w:lang w:val="pt-BR"/>
        </w:rPr>
        <w:t>as</w:t>
      </w:r>
      <w:r w:rsidR="00470ADC" w:rsidRPr="00D5464D">
        <w:rPr>
          <w:rFonts w:cs="Arial"/>
          <w:iCs/>
          <w:szCs w:val="20"/>
          <w:lang w:val="pt-BR"/>
        </w:rPr>
        <w:t xml:space="preserve"> </w:t>
      </w:r>
      <w:r w:rsidRPr="00D5464D">
        <w:rPr>
          <w:rFonts w:cs="Arial"/>
          <w:iCs/>
          <w:szCs w:val="20"/>
          <w:lang w:val="pt-BR"/>
        </w:rPr>
        <w:t xml:space="preserve">medidas administrativas, </w:t>
      </w:r>
      <w:r w:rsidR="00737270" w:rsidRPr="00D5464D">
        <w:rPr>
          <w:rFonts w:cs="Arial"/>
          <w:iCs/>
          <w:szCs w:val="20"/>
          <w:lang w:val="pt-BR"/>
        </w:rPr>
        <w:t>disciplinares</w:t>
      </w:r>
      <w:r w:rsidR="00E045D9" w:rsidRPr="00D5464D">
        <w:rPr>
          <w:rFonts w:cs="Arial"/>
          <w:iCs/>
          <w:szCs w:val="20"/>
          <w:lang w:val="pt-BR"/>
        </w:rPr>
        <w:t xml:space="preserve"> e </w:t>
      </w:r>
      <w:r w:rsidR="002C330E" w:rsidRPr="00D5464D">
        <w:rPr>
          <w:rFonts w:cs="Arial"/>
          <w:iCs/>
          <w:szCs w:val="20"/>
          <w:lang w:val="pt-BR"/>
        </w:rPr>
        <w:t>penais</w:t>
      </w:r>
      <w:r w:rsidRPr="00D5464D">
        <w:rPr>
          <w:rFonts w:cs="Arial"/>
          <w:iCs/>
          <w:szCs w:val="20"/>
          <w:lang w:val="pt-BR"/>
        </w:rPr>
        <w:t xml:space="preserve"> </w:t>
      </w:r>
      <w:r w:rsidR="00470ADC" w:rsidRPr="00D5464D">
        <w:rPr>
          <w:rFonts w:cs="Arial"/>
          <w:iCs/>
          <w:szCs w:val="20"/>
          <w:lang w:val="pt-BR"/>
        </w:rPr>
        <w:t>correspondente</w:t>
      </w:r>
      <w:r w:rsidRPr="00D5464D">
        <w:rPr>
          <w:rFonts w:cs="Arial"/>
          <w:iCs/>
          <w:szCs w:val="20"/>
          <w:lang w:val="pt-BR"/>
        </w:rPr>
        <w:t>s</w:t>
      </w:r>
      <w:r w:rsidR="00DD038D" w:rsidRPr="00D5464D">
        <w:rPr>
          <w:rFonts w:cs="Arial"/>
          <w:iCs/>
          <w:szCs w:val="20"/>
          <w:lang w:val="pt-BR"/>
        </w:rPr>
        <w:t>,</w:t>
      </w:r>
      <w:r w:rsidRPr="00D5464D">
        <w:rPr>
          <w:rFonts w:cs="Arial"/>
          <w:iCs/>
          <w:szCs w:val="20"/>
          <w:lang w:val="pt-BR"/>
        </w:rPr>
        <w:t xml:space="preserve"> frente</w:t>
      </w:r>
      <w:r w:rsidR="00E045D9" w:rsidRPr="00D5464D">
        <w:rPr>
          <w:rFonts w:cs="Arial"/>
          <w:iCs/>
          <w:szCs w:val="20"/>
          <w:lang w:val="pt-BR"/>
        </w:rPr>
        <w:t xml:space="preserve"> às </w:t>
      </w:r>
      <w:r w:rsidR="00470ADC" w:rsidRPr="00D5464D">
        <w:rPr>
          <w:rFonts w:cs="Arial"/>
          <w:iCs/>
          <w:szCs w:val="20"/>
          <w:lang w:val="pt-BR"/>
        </w:rPr>
        <w:t>ações</w:t>
      </w:r>
      <w:r w:rsidR="00E045D9" w:rsidRPr="00D5464D">
        <w:rPr>
          <w:rFonts w:cs="Arial"/>
          <w:iCs/>
          <w:szCs w:val="20"/>
          <w:lang w:val="pt-BR"/>
        </w:rPr>
        <w:t xml:space="preserve"> ou </w:t>
      </w:r>
      <w:r w:rsidRPr="00D5464D">
        <w:rPr>
          <w:rFonts w:cs="Arial"/>
          <w:iCs/>
          <w:szCs w:val="20"/>
          <w:lang w:val="pt-BR"/>
        </w:rPr>
        <w:t>o</w:t>
      </w:r>
      <w:r w:rsidR="002C330E" w:rsidRPr="00D5464D">
        <w:rPr>
          <w:rFonts w:cs="Arial"/>
          <w:iCs/>
          <w:szCs w:val="20"/>
          <w:lang w:val="pt-BR"/>
        </w:rPr>
        <w:t>missões</w:t>
      </w:r>
      <w:r w:rsidR="00470ADC" w:rsidRPr="00D5464D">
        <w:rPr>
          <w:rFonts w:cs="Arial"/>
          <w:iCs/>
          <w:szCs w:val="20"/>
          <w:lang w:val="pt-BR"/>
        </w:rPr>
        <w:t xml:space="preserve"> dos </w:t>
      </w:r>
      <w:r w:rsidR="002C330E" w:rsidRPr="00D5464D">
        <w:rPr>
          <w:rFonts w:cs="Arial"/>
          <w:iCs/>
          <w:szCs w:val="20"/>
          <w:lang w:val="pt-BR"/>
        </w:rPr>
        <w:t>funcionári</w:t>
      </w:r>
      <w:r w:rsidRPr="00D5464D">
        <w:rPr>
          <w:rFonts w:cs="Arial"/>
          <w:iCs/>
          <w:szCs w:val="20"/>
          <w:lang w:val="pt-BR"/>
        </w:rPr>
        <w:t>os esta</w:t>
      </w:r>
      <w:r w:rsidR="00E045D9" w:rsidRPr="00D5464D">
        <w:rPr>
          <w:rFonts w:cs="Arial"/>
          <w:iCs/>
          <w:szCs w:val="20"/>
          <w:lang w:val="pt-BR"/>
        </w:rPr>
        <w:t>tais</w:t>
      </w:r>
      <w:r w:rsidRPr="00D5464D">
        <w:rPr>
          <w:rFonts w:cs="Arial"/>
          <w:iCs/>
          <w:szCs w:val="20"/>
          <w:lang w:val="pt-BR"/>
        </w:rPr>
        <w:t xml:space="preserve"> que </w:t>
      </w:r>
      <w:r w:rsidR="00C87E13" w:rsidRPr="00D5464D">
        <w:rPr>
          <w:rFonts w:cs="Arial"/>
          <w:iCs/>
          <w:szCs w:val="20"/>
          <w:lang w:val="pt-BR"/>
        </w:rPr>
        <w:t>contribuíram com a</w:t>
      </w:r>
      <w:r w:rsidR="00470ADC" w:rsidRPr="00D5464D">
        <w:rPr>
          <w:rFonts w:cs="Arial"/>
          <w:iCs/>
          <w:szCs w:val="20"/>
          <w:lang w:val="pt-BR"/>
        </w:rPr>
        <w:t xml:space="preserve"> </w:t>
      </w:r>
      <w:r w:rsidRPr="00D5464D">
        <w:rPr>
          <w:rFonts w:cs="Arial"/>
          <w:iCs/>
          <w:szCs w:val="20"/>
          <w:lang w:val="pt-BR"/>
        </w:rPr>
        <w:t>denega</w:t>
      </w:r>
      <w:r w:rsidR="00470ADC" w:rsidRPr="00D5464D">
        <w:rPr>
          <w:rFonts w:cs="Arial"/>
          <w:iCs/>
          <w:szCs w:val="20"/>
          <w:lang w:val="pt-BR"/>
        </w:rPr>
        <w:t>ção</w:t>
      </w:r>
      <w:r w:rsidRPr="00D5464D">
        <w:rPr>
          <w:rFonts w:cs="Arial"/>
          <w:iCs/>
          <w:szCs w:val="20"/>
          <w:lang w:val="pt-BR"/>
        </w:rPr>
        <w:t xml:space="preserve"> de </w:t>
      </w:r>
      <w:r w:rsidR="002C330E" w:rsidRPr="00D5464D">
        <w:rPr>
          <w:rFonts w:cs="Arial"/>
          <w:iCs/>
          <w:szCs w:val="20"/>
          <w:lang w:val="pt-BR"/>
        </w:rPr>
        <w:t>justiça</w:t>
      </w:r>
      <w:r w:rsidRPr="00D5464D">
        <w:rPr>
          <w:rFonts w:cs="Arial"/>
          <w:iCs/>
          <w:szCs w:val="20"/>
          <w:lang w:val="pt-BR"/>
        </w:rPr>
        <w:t xml:space="preserve"> e </w:t>
      </w:r>
      <w:r w:rsidR="00C87E13" w:rsidRPr="00D5464D">
        <w:rPr>
          <w:rFonts w:cs="Arial"/>
          <w:iCs/>
          <w:szCs w:val="20"/>
          <w:lang w:val="pt-BR"/>
        </w:rPr>
        <w:t xml:space="preserve">a </w:t>
      </w:r>
      <w:r w:rsidR="002C330E" w:rsidRPr="00D5464D">
        <w:rPr>
          <w:rFonts w:cs="Arial"/>
          <w:iCs/>
          <w:szCs w:val="20"/>
          <w:lang w:val="pt-BR"/>
        </w:rPr>
        <w:t>impunidade</w:t>
      </w:r>
      <w:r w:rsidR="00E045D9" w:rsidRPr="00D5464D">
        <w:rPr>
          <w:rFonts w:cs="Arial"/>
          <w:iCs/>
          <w:szCs w:val="20"/>
          <w:lang w:val="pt-BR"/>
        </w:rPr>
        <w:t xml:space="preserve"> </w:t>
      </w:r>
      <w:r w:rsidR="00C87E13" w:rsidRPr="00D5464D">
        <w:rPr>
          <w:rFonts w:cs="Arial"/>
          <w:iCs/>
          <w:szCs w:val="20"/>
          <w:lang w:val="pt-BR"/>
        </w:rPr>
        <w:t>do</w:t>
      </w:r>
      <w:r w:rsidR="002C330E" w:rsidRPr="00D5464D">
        <w:rPr>
          <w:rFonts w:cs="Arial"/>
          <w:iCs/>
          <w:szCs w:val="20"/>
          <w:lang w:val="pt-BR"/>
        </w:rPr>
        <w:t>s fatos</w:t>
      </w:r>
      <w:r w:rsidRPr="00D5464D">
        <w:rPr>
          <w:rFonts w:cs="Arial"/>
          <w:iCs/>
          <w:szCs w:val="20"/>
          <w:lang w:val="pt-BR"/>
        </w:rPr>
        <w:t xml:space="preserve"> </w:t>
      </w:r>
      <w:r w:rsidR="00470ADC" w:rsidRPr="00D5464D">
        <w:rPr>
          <w:rFonts w:cs="Arial"/>
          <w:iCs/>
          <w:szCs w:val="20"/>
          <w:lang w:val="pt-BR"/>
        </w:rPr>
        <w:t xml:space="preserve">do </w:t>
      </w:r>
      <w:r w:rsidRPr="00D5464D">
        <w:rPr>
          <w:rFonts w:cs="Arial"/>
          <w:iCs/>
          <w:szCs w:val="20"/>
          <w:lang w:val="pt-BR"/>
        </w:rPr>
        <w:t xml:space="preserve">caso. </w:t>
      </w:r>
      <w:r w:rsidR="002C330E" w:rsidRPr="00D5464D">
        <w:rPr>
          <w:rFonts w:cs="Arial"/>
          <w:iCs/>
          <w:szCs w:val="20"/>
          <w:lang w:val="pt-BR"/>
        </w:rPr>
        <w:t>Solicitou</w:t>
      </w:r>
      <w:r w:rsidRPr="00D5464D">
        <w:rPr>
          <w:rFonts w:cs="Arial"/>
          <w:iCs/>
          <w:szCs w:val="20"/>
          <w:lang w:val="pt-BR"/>
        </w:rPr>
        <w:t xml:space="preserve"> que se</w:t>
      </w:r>
      <w:r w:rsidR="00C87E13" w:rsidRPr="00D5464D">
        <w:rPr>
          <w:rFonts w:cs="Arial"/>
          <w:iCs/>
          <w:szCs w:val="20"/>
          <w:lang w:val="pt-BR"/>
        </w:rPr>
        <w:t xml:space="preserve">ja dada </w:t>
      </w:r>
      <w:r w:rsidRPr="00D5464D">
        <w:rPr>
          <w:rFonts w:cs="Arial"/>
          <w:iCs/>
          <w:szCs w:val="20"/>
          <w:lang w:val="pt-BR"/>
        </w:rPr>
        <w:t xml:space="preserve">especial </w:t>
      </w:r>
      <w:r w:rsidR="00230C71" w:rsidRPr="00D5464D">
        <w:rPr>
          <w:rFonts w:cs="Arial"/>
          <w:iCs/>
          <w:szCs w:val="20"/>
          <w:lang w:val="pt-BR"/>
        </w:rPr>
        <w:t>ênfase</w:t>
      </w:r>
      <w:r w:rsidR="00E045D9" w:rsidRPr="00D5464D">
        <w:rPr>
          <w:rFonts w:cs="Arial"/>
          <w:iCs/>
          <w:szCs w:val="20"/>
          <w:lang w:val="pt-BR"/>
        </w:rPr>
        <w:t xml:space="preserve"> </w:t>
      </w:r>
      <w:r w:rsidR="00C87E13" w:rsidRPr="00D5464D">
        <w:rPr>
          <w:rFonts w:cs="Arial"/>
          <w:iCs/>
          <w:szCs w:val="20"/>
          <w:lang w:val="pt-BR"/>
        </w:rPr>
        <w:t>à</w:t>
      </w:r>
      <w:r w:rsidR="00E045D9" w:rsidRPr="00D5464D">
        <w:rPr>
          <w:rFonts w:cs="Arial"/>
          <w:iCs/>
          <w:szCs w:val="20"/>
          <w:lang w:val="pt-BR"/>
        </w:rPr>
        <w:t xml:space="preserve">s </w:t>
      </w:r>
      <w:r w:rsidR="002C330E" w:rsidRPr="00D5464D">
        <w:rPr>
          <w:rFonts w:cs="Arial"/>
          <w:iCs/>
          <w:szCs w:val="20"/>
          <w:lang w:val="pt-BR"/>
        </w:rPr>
        <w:t>seguinte</w:t>
      </w:r>
      <w:r w:rsidRPr="00D5464D">
        <w:rPr>
          <w:rFonts w:cs="Arial"/>
          <w:iCs/>
          <w:szCs w:val="20"/>
          <w:lang w:val="pt-BR"/>
        </w:rPr>
        <w:t xml:space="preserve">s </w:t>
      </w:r>
      <w:r w:rsidR="00470ADC" w:rsidRPr="00D5464D">
        <w:rPr>
          <w:rFonts w:cs="Arial"/>
          <w:iCs/>
          <w:szCs w:val="20"/>
          <w:lang w:val="pt-BR"/>
        </w:rPr>
        <w:t>circunstâncias</w:t>
      </w:r>
      <w:r w:rsidRPr="00D5464D">
        <w:rPr>
          <w:rFonts w:cs="Arial"/>
          <w:iCs/>
          <w:szCs w:val="20"/>
          <w:lang w:val="pt-BR"/>
        </w:rPr>
        <w:t xml:space="preserve">: i) </w:t>
      </w:r>
      <w:r w:rsidR="00C87E13" w:rsidRPr="00D5464D">
        <w:rPr>
          <w:rFonts w:cs="Arial"/>
          <w:iCs/>
          <w:szCs w:val="20"/>
          <w:lang w:val="pt-BR"/>
        </w:rPr>
        <w:t xml:space="preserve">foram iniciados </w:t>
      </w:r>
      <w:r w:rsidR="002C330E" w:rsidRPr="00D5464D">
        <w:rPr>
          <w:rFonts w:cs="Arial"/>
          <w:iCs/>
          <w:szCs w:val="20"/>
          <w:lang w:val="pt-BR"/>
        </w:rPr>
        <w:t>processo</w:t>
      </w:r>
      <w:r w:rsidRPr="00D5464D">
        <w:rPr>
          <w:rFonts w:cs="Arial"/>
          <w:iCs/>
          <w:szCs w:val="20"/>
          <w:lang w:val="pt-BR"/>
        </w:rPr>
        <w:t>s administrativos</w:t>
      </w:r>
      <w:r w:rsidR="00E045D9" w:rsidRPr="00D5464D">
        <w:rPr>
          <w:rFonts w:cs="Arial"/>
          <w:iCs/>
          <w:szCs w:val="20"/>
          <w:lang w:val="pt-BR"/>
        </w:rPr>
        <w:t xml:space="preserve"> e </w:t>
      </w:r>
      <w:r w:rsidRPr="00D5464D">
        <w:rPr>
          <w:rFonts w:cs="Arial"/>
          <w:iCs/>
          <w:szCs w:val="20"/>
          <w:lang w:val="pt-BR"/>
        </w:rPr>
        <w:t>n</w:t>
      </w:r>
      <w:r w:rsidR="00C87E13" w:rsidRPr="00D5464D">
        <w:rPr>
          <w:rFonts w:cs="Arial"/>
          <w:iCs/>
          <w:szCs w:val="20"/>
          <w:lang w:val="pt-BR"/>
        </w:rPr>
        <w:t>ã</w:t>
      </w:r>
      <w:r w:rsidRPr="00D5464D">
        <w:rPr>
          <w:rFonts w:cs="Arial"/>
          <w:iCs/>
          <w:szCs w:val="20"/>
          <w:lang w:val="pt-BR"/>
        </w:rPr>
        <w:t xml:space="preserve">o </w:t>
      </w:r>
      <w:r w:rsidR="002C330E" w:rsidRPr="00D5464D">
        <w:rPr>
          <w:rFonts w:cs="Arial"/>
          <w:iCs/>
          <w:szCs w:val="20"/>
          <w:lang w:val="pt-BR"/>
        </w:rPr>
        <w:t>penais</w:t>
      </w:r>
      <w:r w:rsidRPr="00D5464D">
        <w:rPr>
          <w:rFonts w:cs="Arial"/>
          <w:iCs/>
          <w:szCs w:val="20"/>
          <w:lang w:val="pt-BR"/>
        </w:rPr>
        <w:t xml:space="preserve"> para</w:t>
      </w:r>
      <w:r w:rsidR="002C330E" w:rsidRPr="00D5464D">
        <w:rPr>
          <w:rFonts w:cs="Arial"/>
          <w:iCs/>
          <w:szCs w:val="20"/>
          <w:lang w:val="pt-BR"/>
        </w:rPr>
        <w:t xml:space="preserve"> a </w:t>
      </w:r>
      <w:r w:rsidRPr="00D5464D">
        <w:rPr>
          <w:rFonts w:cs="Arial"/>
          <w:iCs/>
          <w:szCs w:val="20"/>
          <w:lang w:val="pt-BR"/>
        </w:rPr>
        <w:t>investiga</w:t>
      </w:r>
      <w:r w:rsidR="00470ADC" w:rsidRPr="00D5464D">
        <w:rPr>
          <w:rFonts w:cs="Arial"/>
          <w:iCs/>
          <w:szCs w:val="20"/>
          <w:lang w:val="pt-BR"/>
        </w:rPr>
        <w:t>ção</w:t>
      </w:r>
      <w:r w:rsidRPr="00D5464D">
        <w:rPr>
          <w:rFonts w:cs="Arial"/>
          <w:iCs/>
          <w:szCs w:val="20"/>
          <w:lang w:val="pt-BR"/>
        </w:rPr>
        <w:t xml:space="preserve"> d</w:t>
      </w:r>
      <w:r w:rsidR="00C87E13" w:rsidRPr="00D5464D">
        <w:rPr>
          <w:rFonts w:cs="Arial"/>
          <w:iCs/>
          <w:szCs w:val="20"/>
          <w:lang w:val="pt-BR"/>
        </w:rPr>
        <w:t>os</w:t>
      </w:r>
      <w:r w:rsidRPr="00D5464D">
        <w:rPr>
          <w:rFonts w:cs="Arial"/>
          <w:iCs/>
          <w:szCs w:val="20"/>
          <w:lang w:val="pt-BR"/>
        </w:rPr>
        <w:t xml:space="preserve"> </w:t>
      </w:r>
      <w:r w:rsidR="00470ADC" w:rsidRPr="00D5464D">
        <w:rPr>
          <w:rFonts w:cs="Arial"/>
          <w:iCs/>
          <w:szCs w:val="20"/>
          <w:lang w:val="pt-BR"/>
        </w:rPr>
        <w:t>desaparecimentos</w:t>
      </w:r>
      <w:r w:rsidR="00C176E3" w:rsidRPr="00D5464D">
        <w:rPr>
          <w:rFonts w:cs="Arial"/>
          <w:iCs/>
          <w:szCs w:val="20"/>
          <w:lang w:val="pt-BR"/>
        </w:rPr>
        <w:t>,</w:t>
      </w:r>
      <w:r w:rsidRPr="00D5464D">
        <w:rPr>
          <w:rFonts w:cs="Arial"/>
          <w:iCs/>
          <w:szCs w:val="20"/>
          <w:lang w:val="pt-BR"/>
        </w:rPr>
        <w:t xml:space="preserve"> ii) </w:t>
      </w:r>
      <w:r w:rsidR="00C87E13" w:rsidRPr="00D5464D">
        <w:rPr>
          <w:rFonts w:cs="Arial"/>
          <w:iCs/>
          <w:szCs w:val="20"/>
          <w:lang w:val="pt-BR"/>
        </w:rPr>
        <w:t xml:space="preserve">foram iniciados </w:t>
      </w:r>
      <w:r w:rsidR="002C330E" w:rsidRPr="00D5464D">
        <w:rPr>
          <w:rFonts w:cs="Arial"/>
          <w:iCs/>
          <w:szCs w:val="20"/>
          <w:lang w:val="pt-BR"/>
        </w:rPr>
        <w:t>procedimento</w:t>
      </w:r>
      <w:r w:rsidRPr="00D5464D">
        <w:rPr>
          <w:rFonts w:cs="Arial"/>
          <w:iCs/>
          <w:szCs w:val="20"/>
          <w:lang w:val="pt-BR"/>
        </w:rPr>
        <w:t>s administrativos</w:t>
      </w:r>
      <w:r w:rsidR="00E045D9" w:rsidRPr="00D5464D">
        <w:rPr>
          <w:rFonts w:cs="Arial"/>
          <w:iCs/>
          <w:szCs w:val="20"/>
          <w:lang w:val="pt-BR"/>
        </w:rPr>
        <w:t xml:space="preserve"> e </w:t>
      </w:r>
      <w:r w:rsidR="00C87E13" w:rsidRPr="00D5464D">
        <w:rPr>
          <w:rFonts w:cs="Arial"/>
          <w:iCs/>
          <w:szCs w:val="20"/>
          <w:lang w:val="pt-BR"/>
        </w:rPr>
        <w:t xml:space="preserve">trabalhistas </w:t>
      </w:r>
      <w:r w:rsidRPr="00D5464D">
        <w:rPr>
          <w:rFonts w:cs="Arial"/>
          <w:iCs/>
          <w:szCs w:val="20"/>
          <w:lang w:val="pt-BR"/>
        </w:rPr>
        <w:t>para</w:t>
      </w:r>
      <w:r w:rsidR="002C330E" w:rsidRPr="00D5464D">
        <w:rPr>
          <w:rFonts w:cs="Arial"/>
          <w:iCs/>
          <w:szCs w:val="20"/>
          <w:lang w:val="pt-BR"/>
        </w:rPr>
        <w:t xml:space="preserve"> a </w:t>
      </w:r>
      <w:r w:rsidRPr="00D5464D">
        <w:rPr>
          <w:rFonts w:cs="Arial"/>
          <w:iCs/>
          <w:szCs w:val="20"/>
          <w:lang w:val="pt-BR"/>
        </w:rPr>
        <w:t>investiga</w:t>
      </w:r>
      <w:r w:rsidR="00470ADC" w:rsidRPr="00D5464D">
        <w:rPr>
          <w:rFonts w:cs="Arial"/>
          <w:iCs/>
          <w:szCs w:val="20"/>
          <w:lang w:val="pt-BR"/>
        </w:rPr>
        <w:t>ção</w:t>
      </w:r>
      <w:r w:rsidRPr="00D5464D">
        <w:rPr>
          <w:rFonts w:cs="Arial"/>
          <w:iCs/>
          <w:szCs w:val="20"/>
          <w:lang w:val="pt-BR"/>
        </w:rPr>
        <w:t xml:space="preserve"> de </w:t>
      </w:r>
      <w:r w:rsidR="00E045D9" w:rsidRPr="00D5464D">
        <w:rPr>
          <w:rFonts w:cs="Arial"/>
          <w:iCs/>
          <w:szCs w:val="20"/>
          <w:lang w:val="pt-BR"/>
        </w:rPr>
        <w:t>trabalho</w:t>
      </w:r>
      <w:r w:rsidRPr="00D5464D">
        <w:rPr>
          <w:rFonts w:cs="Arial"/>
          <w:iCs/>
          <w:szCs w:val="20"/>
          <w:lang w:val="pt-BR"/>
        </w:rPr>
        <w:t xml:space="preserve"> </w:t>
      </w:r>
      <w:r w:rsidR="004F1CC2" w:rsidRPr="00D5464D">
        <w:rPr>
          <w:rFonts w:cs="Arial"/>
          <w:iCs/>
          <w:szCs w:val="20"/>
          <w:lang w:val="pt-BR"/>
        </w:rPr>
        <w:t>escravo</w:t>
      </w:r>
      <w:r w:rsidR="002A0C2B" w:rsidRPr="00D5464D">
        <w:rPr>
          <w:rFonts w:cs="Arial"/>
          <w:iCs/>
          <w:szCs w:val="20"/>
          <w:lang w:val="pt-BR"/>
        </w:rPr>
        <w:t xml:space="preserve"> e </w:t>
      </w:r>
      <w:r w:rsidRPr="00D5464D">
        <w:rPr>
          <w:rFonts w:cs="Arial"/>
          <w:iCs/>
          <w:szCs w:val="20"/>
          <w:lang w:val="pt-BR"/>
        </w:rPr>
        <w:t xml:space="preserve">iii) </w:t>
      </w:r>
      <w:r w:rsidR="002C330E" w:rsidRPr="00D5464D">
        <w:rPr>
          <w:rFonts w:cs="Arial"/>
          <w:iCs/>
          <w:szCs w:val="20"/>
          <w:lang w:val="pt-BR"/>
        </w:rPr>
        <w:t xml:space="preserve">a </w:t>
      </w:r>
      <w:r w:rsidRPr="00D5464D">
        <w:rPr>
          <w:rFonts w:cs="Arial"/>
          <w:iCs/>
          <w:szCs w:val="20"/>
          <w:lang w:val="pt-BR"/>
        </w:rPr>
        <w:t>única investiga</w:t>
      </w:r>
      <w:r w:rsidR="00470ADC" w:rsidRPr="00D5464D">
        <w:rPr>
          <w:rFonts w:cs="Arial"/>
          <w:iCs/>
          <w:szCs w:val="20"/>
          <w:lang w:val="pt-BR"/>
        </w:rPr>
        <w:t>ção</w:t>
      </w:r>
      <w:r w:rsidRPr="00D5464D">
        <w:rPr>
          <w:rFonts w:cs="Arial"/>
          <w:iCs/>
          <w:szCs w:val="20"/>
          <w:lang w:val="pt-BR"/>
        </w:rPr>
        <w:t xml:space="preserve"> penal </w:t>
      </w:r>
      <w:r w:rsidR="00470ADC" w:rsidRPr="00D5464D">
        <w:rPr>
          <w:rFonts w:cs="Arial"/>
          <w:iCs/>
          <w:szCs w:val="20"/>
          <w:lang w:val="pt-BR"/>
        </w:rPr>
        <w:t>abert</w:t>
      </w:r>
      <w:r w:rsidRPr="00D5464D">
        <w:rPr>
          <w:rFonts w:cs="Arial"/>
          <w:iCs/>
          <w:szCs w:val="20"/>
          <w:lang w:val="pt-BR"/>
        </w:rPr>
        <w:t>a</w:t>
      </w:r>
      <w:r w:rsidR="00470ADC" w:rsidRPr="00D5464D">
        <w:rPr>
          <w:rFonts w:cs="Arial"/>
          <w:iCs/>
          <w:szCs w:val="20"/>
          <w:lang w:val="pt-BR"/>
        </w:rPr>
        <w:t xml:space="preserve"> em </w:t>
      </w:r>
      <w:r w:rsidRPr="00D5464D">
        <w:rPr>
          <w:rFonts w:cs="Arial"/>
          <w:iCs/>
          <w:szCs w:val="20"/>
          <w:lang w:val="pt-BR"/>
        </w:rPr>
        <w:t>rela</w:t>
      </w:r>
      <w:r w:rsidR="00470ADC" w:rsidRPr="00D5464D">
        <w:rPr>
          <w:rFonts w:cs="Arial"/>
          <w:iCs/>
          <w:szCs w:val="20"/>
          <w:lang w:val="pt-BR"/>
        </w:rPr>
        <w:t xml:space="preserve">ção </w:t>
      </w:r>
      <w:r w:rsidR="00C87E13" w:rsidRPr="00D5464D">
        <w:rPr>
          <w:rFonts w:cs="Arial"/>
          <w:iCs/>
          <w:szCs w:val="20"/>
          <w:lang w:val="pt-BR"/>
        </w:rPr>
        <w:t xml:space="preserve">a </w:t>
      </w:r>
      <w:r w:rsidR="00470ADC" w:rsidRPr="00D5464D">
        <w:rPr>
          <w:rFonts w:cs="Arial"/>
          <w:iCs/>
          <w:szCs w:val="20"/>
          <w:lang w:val="pt-BR"/>
        </w:rPr>
        <w:t>este</w:t>
      </w:r>
      <w:r w:rsidRPr="00D5464D">
        <w:rPr>
          <w:rFonts w:cs="Arial"/>
          <w:iCs/>
          <w:szCs w:val="20"/>
          <w:lang w:val="pt-BR"/>
        </w:rPr>
        <w:t xml:space="preserve"> delito pr</w:t>
      </w:r>
      <w:r w:rsidR="00470ADC" w:rsidRPr="00D5464D">
        <w:rPr>
          <w:rFonts w:cs="Arial"/>
          <w:iCs/>
          <w:szCs w:val="20"/>
          <w:lang w:val="pt-BR"/>
        </w:rPr>
        <w:t>escreveu</w:t>
      </w:r>
      <w:r w:rsidRPr="00D5464D">
        <w:rPr>
          <w:rFonts w:cs="Arial"/>
          <w:iCs/>
          <w:szCs w:val="20"/>
          <w:lang w:val="pt-BR"/>
        </w:rPr>
        <w:t>.</w:t>
      </w:r>
    </w:p>
    <w:p w14:paraId="44EEAAE3" w14:textId="77777777" w:rsidR="004B0842" w:rsidRPr="00D5464D" w:rsidRDefault="004B0842" w:rsidP="004B0842">
      <w:pPr>
        <w:pStyle w:val="Prrafodelista"/>
        <w:autoSpaceDE w:val="0"/>
        <w:autoSpaceDN w:val="0"/>
        <w:adjustRightInd w:val="0"/>
        <w:ind w:left="0"/>
        <w:rPr>
          <w:rFonts w:cs="Arial"/>
          <w:iCs/>
          <w:szCs w:val="20"/>
          <w:lang w:val="pt-BR"/>
        </w:rPr>
      </w:pPr>
    </w:p>
    <w:p w14:paraId="131E92F8" w14:textId="6A37D458" w:rsidR="004B0842" w:rsidRPr="00D5464D" w:rsidRDefault="00737270"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Os </w:t>
      </w:r>
      <w:r w:rsidR="00EB1CE9" w:rsidRPr="00D5464D">
        <w:rPr>
          <w:rFonts w:cs="Arial"/>
          <w:b/>
          <w:i/>
          <w:iCs/>
          <w:szCs w:val="20"/>
          <w:lang w:val="pt-BR"/>
        </w:rPr>
        <w:t>representante</w:t>
      </w:r>
      <w:r w:rsidRPr="00D5464D">
        <w:rPr>
          <w:rFonts w:cs="Arial"/>
          <w:b/>
          <w:i/>
          <w:iCs/>
          <w:szCs w:val="20"/>
          <w:lang w:val="pt-BR"/>
        </w:rPr>
        <w:t>s</w:t>
      </w:r>
      <w:r w:rsidRPr="00D5464D">
        <w:rPr>
          <w:rFonts w:cs="Arial"/>
          <w:iCs/>
          <w:szCs w:val="20"/>
          <w:lang w:val="pt-BR"/>
        </w:rPr>
        <w:t xml:space="preserve"> </w:t>
      </w:r>
      <w:r w:rsidR="002C330E" w:rsidRPr="00D5464D">
        <w:rPr>
          <w:rFonts w:cs="Arial"/>
          <w:iCs/>
          <w:szCs w:val="20"/>
          <w:lang w:val="pt-BR"/>
        </w:rPr>
        <w:t>solicitaram</w:t>
      </w:r>
      <w:r w:rsidR="004B0842" w:rsidRPr="00D5464D">
        <w:rPr>
          <w:rFonts w:cs="Arial"/>
          <w:iCs/>
          <w:szCs w:val="20"/>
          <w:lang w:val="pt-BR"/>
        </w:rPr>
        <w:t xml:space="preserve"> que</w:t>
      </w:r>
      <w:r w:rsidR="00470ADC" w:rsidRPr="00D5464D">
        <w:rPr>
          <w:rFonts w:cs="Arial"/>
          <w:iCs/>
          <w:szCs w:val="20"/>
          <w:lang w:val="pt-BR"/>
        </w:rPr>
        <w:t xml:space="preserve"> o </w:t>
      </w:r>
      <w:r w:rsidR="004B0842" w:rsidRPr="00D5464D">
        <w:rPr>
          <w:rFonts w:cs="Arial"/>
          <w:iCs/>
          <w:szCs w:val="20"/>
          <w:lang w:val="pt-BR"/>
        </w:rPr>
        <w:t>Estado investigue</w:t>
      </w:r>
      <w:r w:rsidR="002C330E" w:rsidRPr="00D5464D">
        <w:rPr>
          <w:rFonts w:cs="Arial"/>
          <w:iCs/>
          <w:szCs w:val="20"/>
          <w:lang w:val="pt-BR"/>
        </w:rPr>
        <w:t xml:space="preserve"> os fatos</w:t>
      </w:r>
      <w:r w:rsidR="004B0842" w:rsidRPr="00D5464D">
        <w:rPr>
          <w:rFonts w:cs="Arial"/>
          <w:iCs/>
          <w:szCs w:val="20"/>
          <w:lang w:val="pt-BR"/>
        </w:rPr>
        <w:t xml:space="preserve"> por </w:t>
      </w:r>
      <w:r w:rsidR="002C330E" w:rsidRPr="00D5464D">
        <w:rPr>
          <w:rFonts w:cs="Arial"/>
          <w:iCs/>
          <w:szCs w:val="20"/>
          <w:lang w:val="pt-BR"/>
        </w:rPr>
        <w:t xml:space="preserve">meio </w:t>
      </w:r>
      <w:r w:rsidR="004B0842" w:rsidRPr="00D5464D">
        <w:rPr>
          <w:rFonts w:cs="Arial"/>
          <w:iCs/>
          <w:szCs w:val="20"/>
          <w:lang w:val="pt-BR"/>
        </w:rPr>
        <w:t xml:space="preserve">de </w:t>
      </w:r>
      <w:r w:rsidR="002C330E" w:rsidRPr="00D5464D">
        <w:rPr>
          <w:rFonts w:cs="Arial"/>
          <w:iCs/>
          <w:szCs w:val="20"/>
          <w:lang w:val="pt-BR"/>
        </w:rPr>
        <w:t>instituições</w:t>
      </w:r>
      <w:r w:rsidR="004B0842" w:rsidRPr="00D5464D">
        <w:rPr>
          <w:rFonts w:cs="Arial"/>
          <w:iCs/>
          <w:szCs w:val="20"/>
          <w:lang w:val="pt-BR"/>
        </w:rPr>
        <w:t xml:space="preserve"> </w:t>
      </w:r>
      <w:r w:rsidRPr="00D5464D">
        <w:rPr>
          <w:rFonts w:cs="Arial"/>
          <w:iCs/>
          <w:szCs w:val="20"/>
          <w:lang w:val="pt-BR"/>
        </w:rPr>
        <w:t>imparciais</w:t>
      </w:r>
      <w:r w:rsidR="004B0842" w:rsidRPr="00D5464D">
        <w:rPr>
          <w:rFonts w:cs="Arial"/>
          <w:iCs/>
          <w:szCs w:val="20"/>
          <w:lang w:val="pt-BR"/>
        </w:rPr>
        <w:t xml:space="preserve">, </w:t>
      </w:r>
      <w:r w:rsidR="002C330E" w:rsidRPr="00D5464D">
        <w:rPr>
          <w:rFonts w:cs="Arial"/>
          <w:iCs/>
          <w:szCs w:val="20"/>
          <w:lang w:val="pt-BR"/>
        </w:rPr>
        <w:t>independente</w:t>
      </w:r>
      <w:r w:rsidR="004B0842" w:rsidRPr="00D5464D">
        <w:rPr>
          <w:rFonts w:cs="Arial"/>
          <w:iCs/>
          <w:szCs w:val="20"/>
          <w:lang w:val="pt-BR"/>
        </w:rPr>
        <w:t>s</w:t>
      </w:r>
      <w:r w:rsidR="00E045D9" w:rsidRPr="00D5464D">
        <w:rPr>
          <w:rFonts w:cs="Arial"/>
          <w:iCs/>
          <w:szCs w:val="20"/>
          <w:lang w:val="pt-BR"/>
        </w:rPr>
        <w:t xml:space="preserve"> e </w:t>
      </w:r>
      <w:r w:rsidR="00A1358C" w:rsidRPr="00D5464D">
        <w:rPr>
          <w:rFonts w:cs="Arial"/>
          <w:iCs/>
          <w:szCs w:val="20"/>
          <w:lang w:val="pt-BR"/>
        </w:rPr>
        <w:t>competente</w:t>
      </w:r>
      <w:r w:rsidR="004B0842" w:rsidRPr="00D5464D">
        <w:rPr>
          <w:rFonts w:cs="Arial"/>
          <w:iCs/>
          <w:szCs w:val="20"/>
          <w:lang w:val="pt-BR"/>
        </w:rPr>
        <w:t>s dentro de</w:t>
      </w:r>
      <w:r w:rsidR="00E045D9" w:rsidRPr="00D5464D">
        <w:rPr>
          <w:rFonts w:cs="Arial"/>
          <w:iCs/>
          <w:szCs w:val="20"/>
          <w:lang w:val="pt-BR"/>
        </w:rPr>
        <w:t xml:space="preserve"> um </w:t>
      </w:r>
      <w:r w:rsidR="002C330E" w:rsidRPr="00D5464D">
        <w:rPr>
          <w:rFonts w:cs="Arial"/>
          <w:iCs/>
          <w:szCs w:val="20"/>
          <w:lang w:val="pt-BR"/>
        </w:rPr>
        <w:t>prazo</w:t>
      </w:r>
      <w:r w:rsidR="004B0842" w:rsidRPr="00D5464D">
        <w:rPr>
          <w:rFonts w:cs="Arial"/>
          <w:iCs/>
          <w:szCs w:val="20"/>
          <w:lang w:val="pt-BR"/>
        </w:rPr>
        <w:t xml:space="preserve"> </w:t>
      </w:r>
      <w:r w:rsidR="00230C71" w:rsidRPr="00D5464D">
        <w:rPr>
          <w:rFonts w:cs="Arial"/>
          <w:iCs/>
          <w:szCs w:val="20"/>
          <w:lang w:val="pt-BR"/>
        </w:rPr>
        <w:t>razoável.</w:t>
      </w:r>
      <w:r w:rsidR="004B0842" w:rsidRPr="00D5464D">
        <w:rPr>
          <w:rFonts w:cs="Arial"/>
          <w:iCs/>
          <w:szCs w:val="20"/>
          <w:lang w:val="pt-BR"/>
        </w:rPr>
        <w:t xml:space="preserve"> </w:t>
      </w:r>
      <w:r w:rsidR="00470ADC" w:rsidRPr="00D5464D">
        <w:rPr>
          <w:rFonts w:cs="Arial"/>
          <w:iCs/>
          <w:szCs w:val="20"/>
          <w:lang w:val="pt-BR"/>
        </w:rPr>
        <w:t>Alegaram</w:t>
      </w:r>
      <w:r w:rsidR="004B0842" w:rsidRPr="00D5464D">
        <w:rPr>
          <w:rFonts w:cs="Arial"/>
          <w:iCs/>
          <w:szCs w:val="20"/>
          <w:lang w:val="pt-BR"/>
        </w:rPr>
        <w:t xml:space="preserve"> que</w:t>
      </w:r>
      <w:r w:rsidR="00470ADC" w:rsidRPr="00D5464D">
        <w:rPr>
          <w:rFonts w:cs="Arial"/>
          <w:iCs/>
          <w:szCs w:val="20"/>
          <w:lang w:val="pt-BR"/>
        </w:rPr>
        <w:t xml:space="preserve"> o </w:t>
      </w:r>
      <w:r w:rsidR="004B0842" w:rsidRPr="00D5464D">
        <w:rPr>
          <w:rFonts w:cs="Arial"/>
          <w:iCs/>
          <w:szCs w:val="20"/>
          <w:lang w:val="pt-BR"/>
        </w:rPr>
        <w:t xml:space="preserve">Estado está </w:t>
      </w:r>
      <w:r w:rsidR="002C330E" w:rsidRPr="00D5464D">
        <w:rPr>
          <w:rFonts w:cs="Arial"/>
          <w:iCs/>
          <w:szCs w:val="20"/>
          <w:lang w:val="pt-BR"/>
        </w:rPr>
        <w:t>obrigad</w:t>
      </w:r>
      <w:r w:rsidR="004B0842" w:rsidRPr="00D5464D">
        <w:rPr>
          <w:rFonts w:cs="Arial"/>
          <w:iCs/>
          <w:szCs w:val="20"/>
          <w:lang w:val="pt-BR"/>
        </w:rPr>
        <w:t>o a remover todos</w:t>
      </w:r>
      <w:r w:rsidR="002C330E" w:rsidRPr="00D5464D">
        <w:rPr>
          <w:rFonts w:cs="Arial"/>
          <w:iCs/>
          <w:szCs w:val="20"/>
          <w:lang w:val="pt-BR"/>
        </w:rPr>
        <w:t xml:space="preserve"> os </w:t>
      </w:r>
      <w:r w:rsidR="004B0842" w:rsidRPr="00D5464D">
        <w:rPr>
          <w:rFonts w:cs="Arial"/>
          <w:iCs/>
          <w:szCs w:val="20"/>
          <w:lang w:val="pt-BR"/>
        </w:rPr>
        <w:t xml:space="preserve">obstáculos que </w:t>
      </w:r>
      <w:r w:rsidRPr="00D5464D">
        <w:rPr>
          <w:rFonts w:cs="Arial"/>
          <w:iCs/>
          <w:szCs w:val="20"/>
          <w:lang w:val="pt-BR"/>
        </w:rPr>
        <w:t>impeçam</w:t>
      </w:r>
      <w:r w:rsidR="002C330E" w:rsidRPr="00D5464D">
        <w:rPr>
          <w:rFonts w:cs="Arial"/>
          <w:iCs/>
          <w:szCs w:val="20"/>
          <w:lang w:val="pt-BR"/>
        </w:rPr>
        <w:t xml:space="preserve"> a </w:t>
      </w:r>
      <w:r w:rsidR="004B0842" w:rsidRPr="00D5464D">
        <w:rPr>
          <w:rFonts w:cs="Arial"/>
          <w:iCs/>
          <w:szCs w:val="20"/>
          <w:lang w:val="pt-BR"/>
        </w:rPr>
        <w:t>investiga</w:t>
      </w:r>
      <w:r w:rsidR="00470ADC" w:rsidRPr="00D5464D">
        <w:rPr>
          <w:rFonts w:cs="Arial"/>
          <w:iCs/>
          <w:szCs w:val="20"/>
          <w:lang w:val="pt-BR"/>
        </w:rPr>
        <w:t xml:space="preserve">ção </w:t>
      </w:r>
      <w:r w:rsidR="00E045D9" w:rsidRPr="00D5464D">
        <w:rPr>
          <w:rFonts w:cs="Arial"/>
          <w:iCs/>
          <w:szCs w:val="20"/>
          <w:lang w:val="pt-BR"/>
        </w:rPr>
        <w:t xml:space="preserve">e </w:t>
      </w:r>
      <w:r w:rsidR="00470ADC" w:rsidRPr="00D5464D">
        <w:rPr>
          <w:rFonts w:cs="Arial"/>
          <w:iCs/>
          <w:szCs w:val="20"/>
          <w:lang w:val="pt-BR"/>
        </w:rPr>
        <w:t xml:space="preserve">o </w:t>
      </w:r>
      <w:r w:rsidR="002C330E" w:rsidRPr="00D5464D">
        <w:rPr>
          <w:rFonts w:cs="Arial"/>
          <w:iCs/>
          <w:szCs w:val="20"/>
          <w:lang w:val="pt-BR"/>
        </w:rPr>
        <w:t>julgamento</w:t>
      </w:r>
      <w:r w:rsidR="00E045D9" w:rsidRPr="00D5464D">
        <w:rPr>
          <w:rFonts w:cs="Arial"/>
          <w:iCs/>
          <w:szCs w:val="20"/>
          <w:lang w:val="pt-BR"/>
        </w:rPr>
        <w:t xml:space="preserve"> </w:t>
      </w:r>
      <w:r w:rsidR="00BC6EE0" w:rsidRPr="00D5464D">
        <w:rPr>
          <w:rFonts w:cs="Arial"/>
          <w:iCs/>
          <w:szCs w:val="20"/>
          <w:lang w:val="pt-BR"/>
        </w:rPr>
        <w:t xml:space="preserve">dos fatos </w:t>
      </w:r>
      <w:r w:rsidR="00E045D9" w:rsidRPr="00D5464D">
        <w:rPr>
          <w:rFonts w:cs="Arial"/>
          <w:iCs/>
          <w:szCs w:val="20"/>
          <w:lang w:val="pt-BR"/>
        </w:rPr>
        <w:t xml:space="preserve">e </w:t>
      </w:r>
      <w:r w:rsidR="00BC6EE0" w:rsidRPr="00D5464D">
        <w:rPr>
          <w:rFonts w:cs="Arial"/>
          <w:iCs/>
          <w:szCs w:val="20"/>
          <w:lang w:val="pt-BR"/>
        </w:rPr>
        <w:t xml:space="preserve">a </w:t>
      </w:r>
      <w:r w:rsidR="004B0842" w:rsidRPr="00D5464D">
        <w:rPr>
          <w:rFonts w:cs="Arial"/>
          <w:iCs/>
          <w:szCs w:val="20"/>
          <w:lang w:val="pt-BR"/>
        </w:rPr>
        <w:t xml:space="preserve">eventual </w:t>
      </w:r>
      <w:r w:rsidR="00C87E13" w:rsidRPr="00D5464D">
        <w:rPr>
          <w:rFonts w:cs="Arial"/>
          <w:iCs/>
          <w:szCs w:val="20"/>
          <w:lang w:val="pt-BR"/>
        </w:rPr>
        <w:t xml:space="preserve">condenação </w:t>
      </w:r>
      <w:r w:rsidR="00470ADC" w:rsidRPr="00D5464D">
        <w:rPr>
          <w:rFonts w:cs="Arial"/>
          <w:iCs/>
          <w:szCs w:val="20"/>
          <w:lang w:val="pt-BR"/>
        </w:rPr>
        <w:t xml:space="preserve">dos </w:t>
      </w:r>
      <w:r w:rsidR="00350187" w:rsidRPr="00D5464D">
        <w:rPr>
          <w:rFonts w:cs="Arial"/>
          <w:iCs/>
          <w:szCs w:val="20"/>
          <w:lang w:val="pt-BR"/>
        </w:rPr>
        <w:t>responsáveis pela</w:t>
      </w:r>
      <w:r w:rsidR="00470ADC" w:rsidRPr="00D5464D">
        <w:rPr>
          <w:rFonts w:cs="Arial"/>
          <w:iCs/>
          <w:szCs w:val="20"/>
          <w:lang w:val="pt-BR"/>
        </w:rPr>
        <w:t xml:space="preserve">s </w:t>
      </w:r>
      <w:r w:rsidR="004B0842" w:rsidRPr="00D5464D">
        <w:rPr>
          <w:rFonts w:cs="Arial"/>
          <w:iCs/>
          <w:szCs w:val="20"/>
          <w:lang w:val="pt-BR"/>
        </w:rPr>
        <w:t>graves viola</w:t>
      </w:r>
      <w:r w:rsidR="00470ADC" w:rsidRPr="00D5464D">
        <w:rPr>
          <w:rFonts w:cs="Arial"/>
          <w:iCs/>
          <w:szCs w:val="20"/>
          <w:lang w:val="pt-BR"/>
        </w:rPr>
        <w:t>ções</w:t>
      </w:r>
      <w:r w:rsidR="004B0842" w:rsidRPr="00D5464D">
        <w:rPr>
          <w:rFonts w:cs="Arial"/>
          <w:iCs/>
          <w:szCs w:val="20"/>
          <w:lang w:val="pt-BR"/>
        </w:rPr>
        <w:t xml:space="preserve"> de </w:t>
      </w:r>
      <w:r w:rsidR="00470ADC" w:rsidRPr="00D5464D">
        <w:rPr>
          <w:rFonts w:cs="Arial"/>
          <w:iCs/>
          <w:szCs w:val="20"/>
          <w:lang w:val="pt-BR"/>
        </w:rPr>
        <w:t>direito</w:t>
      </w:r>
      <w:r w:rsidR="004B0842" w:rsidRPr="00D5464D">
        <w:rPr>
          <w:rFonts w:cs="Arial"/>
          <w:iCs/>
          <w:szCs w:val="20"/>
          <w:lang w:val="pt-BR"/>
        </w:rPr>
        <w:t>s humanos</w:t>
      </w:r>
      <w:r w:rsidR="00E045D9" w:rsidRPr="00D5464D">
        <w:rPr>
          <w:rFonts w:cs="Arial"/>
          <w:iCs/>
          <w:szCs w:val="20"/>
          <w:lang w:val="pt-BR"/>
        </w:rPr>
        <w:t xml:space="preserve"> neste </w:t>
      </w:r>
      <w:r w:rsidR="004B0842" w:rsidRPr="00D5464D">
        <w:rPr>
          <w:rFonts w:cs="Arial"/>
          <w:iCs/>
          <w:szCs w:val="20"/>
          <w:lang w:val="pt-BR"/>
        </w:rPr>
        <w:t>caso.</w:t>
      </w:r>
    </w:p>
    <w:p w14:paraId="72F69756" w14:textId="77777777" w:rsidR="00747A03" w:rsidRPr="00D5464D" w:rsidRDefault="00747A03" w:rsidP="00747A03">
      <w:pPr>
        <w:pStyle w:val="Prrafodelista"/>
        <w:autoSpaceDE w:val="0"/>
        <w:autoSpaceDN w:val="0"/>
        <w:adjustRightInd w:val="0"/>
        <w:ind w:left="0"/>
        <w:rPr>
          <w:rFonts w:cs="Arial"/>
          <w:iCs/>
          <w:szCs w:val="20"/>
          <w:lang w:val="pt-BR"/>
        </w:rPr>
      </w:pPr>
    </w:p>
    <w:p w14:paraId="68765F93" w14:textId="4476D551" w:rsidR="004B0842" w:rsidRPr="00D5464D" w:rsidRDefault="00470ADC"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O </w:t>
      </w:r>
      <w:r w:rsidR="004B0842" w:rsidRPr="00D5464D">
        <w:rPr>
          <w:rFonts w:cs="Arial"/>
          <w:b/>
          <w:i/>
          <w:iCs/>
          <w:szCs w:val="20"/>
          <w:lang w:val="pt-BR"/>
        </w:rPr>
        <w:t>Estado</w:t>
      </w:r>
      <w:r w:rsidR="004B0842" w:rsidRPr="00D5464D">
        <w:rPr>
          <w:rFonts w:cs="Arial"/>
          <w:iCs/>
          <w:szCs w:val="20"/>
          <w:lang w:val="pt-BR"/>
        </w:rPr>
        <w:t xml:space="preserve"> n</w:t>
      </w:r>
      <w:r w:rsidR="00C87E13" w:rsidRPr="00D5464D">
        <w:rPr>
          <w:rFonts w:cs="Arial"/>
          <w:iCs/>
          <w:szCs w:val="20"/>
          <w:lang w:val="pt-BR"/>
        </w:rPr>
        <w:t>ã</w:t>
      </w:r>
      <w:r w:rsidR="004B0842" w:rsidRPr="00D5464D">
        <w:rPr>
          <w:rFonts w:cs="Arial"/>
          <w:iCs/>
          <w:szCs w:val="20"/>
          <w:lang w:val="pt-BR"/>
        </w:rPr>
        <w:t xml:space="preserve">o se </w:t>
      </w:r>
      <w:r w:rsidR="00E045D9" w:rsidRPr="00D5464D">
        <w:rPr>
          <w:rFonts w:cs="Arial"/>
          <w:iCs/>
          <w:szCs w:val="20"/>
          <w:lang w:val="pt-BR"/>
        </w:rPr>
        <w:t>pronunciou</w:t>
      </w:r>
      <w:r w:rsidR="004B0842" w:rsidRPr="00D5464D">
        <w:rPr>
          <w:rFonts w:cs="Arial"/>
          <w:iCs/>
          <w:szCs w:val="20"/>
          <w:lang w:val="pt-BR"/>
        </w:rPr>
        <w:t xml:space="preserve"> sobre este</w:t>
      </w:r>
      <w:r w:rsidR="00350187" w:rsidRPr="00D5464D">
        <w:rPr>
          <w:rFonts w:cs="Arial"/>
          <w:iCs/>
          <w:szCs w:val="20"/>
          <w:lang w:val="pt-BR"/>
        </w:rPr>
        <w:t xml:space="preserve"> ponto</w:t>
      </w:r>
      <w:r w:rsidR="004B0842" w:rsidRPr="00D5464D">
        <w:rPr>
          <w:rFonts w:cs="Arial"/>
          <w:iCs/>
          <w:szCs w:val="20"/>
          <w:lang w:val="pt-BR"/>
        </w:rPr>
        <w:t>.</w:t>
      </w:r>
    </w:p>
    <w:p w14:paraId="05E1506F" w14:textId="77777777" w:rsidR="00747A03" w:rsidRPr="00D5464D" w:rsidRDefault="00747A03" w:rsidP="00747A03">
      <w:pPr>
        <w:pStyle w:val="Prrafodelista"/>
        <w:autoSpaceDE w:val="0"/>
        <w:autoSpaceDN w:val="0"/>
        <w:adjustRightInd w:val="0"/>
        <w:ind w:left="0"/>
        <w:rPr>
          <w:rFonts w:cs="Arial"/>
          <w:iCs/>
          <w:szCs w:val="20"/>
          <w:lang w:val="pt-BR"/>
        </w:rPr>
      </w:pPr>
    </w:p>
    <w:p w14:paraId="73BED0B2" w14:textId="553925E7" w:rsidR="004B0842" w:rsidRPr="00D5464D" w:rsidRDefault="00470ADC"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A </w:t>
      </w:r>
      <w:r w:rsidR="004B0842" w:rsidRPr="00D5464D">
        <w:rPr>
          <w:rFonts w:cs="Arial"/>
          <w:iCs/>
          <w:szCs w:val="20"/>
          <w:lang w:val="pt-BR"/>
        </w:rPr>
        <w:t xml:space="preserve">Corte </w:t>
      </w:r>
      <w:r w:rsidR="00E045D9" w:rsidRPr="00D5464D">
        <w:rPr>
          <w:rFonts w:cs="Arial"/>
          <w:iCs/>
          <w:szCs w:val="20"/>
          <w:lang w:val="pt-BR"/>
        </w:rPr>
        <w:t>recorda</w:t>
      </w:r>
      <w:r w:rsidR="004B0842" w:rsidRPr="00D5464D">
        <w:rPr>
          <w:rFonts w:cs="Arial"/>
          <w:iCs/>
          <w:szCs w:val="20"/>
          <w:lang w:val="pt-BR"/>
        </w:rPr>
        <w:t xml:space="preserve"> que</w:t>
      </w:r>
      <w:r w:rsidR="00E045D9" w:rsidRPr="00D5464D">
        <w:rPr>
          <w:rFonts w:cs="Arial"/>
          <w:iCs/>
          <w:szCs w:val="20"/>
          <w:lang w:val="pt-BR"/>
        </w:rPr>
        <w:t xml:space="preserve"> no </w:t>
      </w:r>
      <w:r w:rsidR="004B0842" w:rsidRPr="00D5464D">
        <w:rPr>
          <w:rFonts w:cs="Arial"/>
          <w:iCs/>
          <w:szCs w:val="20"/>
          <w:lang w:val="pt-BR"/>
        </w:rPr>
        <w:t xml:space="preserve">capítulo </w:t>
      </w:r>
      <w:r w:rsidR="00DD038D" w:rsidRPr="00D5464D">
        <w:rPr>
          <w:rFonts w:cs="Arial"/>
          <w:iCs/>
          <w:szCs w:val="20"/>
          <w:lang w:val="pt-BR"/>
        </w:rPr>
        <w:t>VII-1</w:t>
      </w:r>
      <w:r w:rsidR="004B0842" w:rsidRPr="00D5464D">
        <w:rPr>
          <w:rFonts w:cs="Arial"/>
          <w:iCs/>
          <w:szCs w:val="20"/>
          <w:lang w:val="pt-BR"/>
        </w:rPr>
        <w:t xml:space="preserve"> </w:t>
      </w:r>
      <w:r w:rsidRPr="00D5464D">
        <w:rPr>
          <w:rFonts w:cs="Arial"/>
          <w:iCs/>
          <w:szCs w:val="20"/>
          <w:lang w:val="pt-BR"/>
        </w:rPr>
        <w:t>declarou</w:t>
      </w:r>
      <w:r w:rsidR="004B0842" w:rsidRPr="00D5464D">
        <w:rPr>
          <w:rFonts w:cs="Arial"/>
          <w:iCs/>
          <w:szCs w:val="20"/>
          <w:lang w:val="pt-BR"/>
        </w:rPr>
        <w:t xml:space="preserve"> que</w:t>
      </w:r>
      <w:r w:rsidR="002C330E" w:rsidRPr="00D5464D">
        <w:rPr>
          <w:rFonts w:cs="Arial"/>
          <w:iCs/>
          <w:szCs w:val="20"/>
          <w:lang w:val="pt-BR"/>
        </w:rPr>
        <w:t xml:space="preserve"> as </w:t>
      </w:r>
      <w:r w:rsidR="004B0842" w:rsidRPr="00D5464D">
        <w:rPr>
          <w:rFonts w:cs="Arial"/>
          <w:iCs/>
          <w:szCs w:val="20"/>
          <w:lang w:val="pt-BR"/>
        </w:rPr>
        <w:t>diversas investiga</w:t>
      </w:r>
      <w:r w:rsidRPr="00D5464D">
        <w:rPr>
          <w:rFonts w:cs="Arial"/>
          <w:iCs/>
          <w:szCs w:val="20"/>
          <w:lang w:val="pt-BR"/>
        </w:rPr>
        <w:t>ções</w:t>
      </w:r>
      <w:r w:rsidR="002C330E" w:rsidRPr="00D5464D">
        <w:rPr>
          <w:rFonts w:cs="Arial"/>
          <w:iCs/>
          <w:szCs w:val="20"/>
          <w:lang w:val="pt-BR"/>
        </w:rPr>
        <w:t xml:space="preserve"> </w:t>
      </w:r>
      <w:r w:rsidR="00181D8E" w:rsidRPr="00D5464D">
        <w:rPr>
          <w:rFonts w:cs="Arial"/>
          <w:iCs/>
          <w:szCs w:val="20"/>
          <w:lang w:val="pt-BR"/>
        </w:rPr>
        <w:t xml:space="preserve">realizadas </w:t>
      </w:r>
      <w:r w:rsidR="002C330E" w:rsidRPr="00D5464D">
        <w:rPr>
          <w:rFonts w:cs="Arial"/>
          <w:iCs/>
          <w:szCs w:val="20"/>
          <w:lang w:val="pt-BR"/>
        </w:rPr>
        <w:t xml:space="preserve">pelo </w:t>
      </w:r>
      <w:r w:rsidR="004B0842" w:rsidRPr="00D5464D">
        <w:rPr>
          <w:rFonts w:cs="Arial"/>
          <w:iCs/>
          <w:szCs w:val="20"/>
          <w:lang w:val="pt-BR"/>
        </w:rPr>
        <w:t xml:space="preserve">Estado </w:t>
      </w:r>
      <w:r w:rsidR="00181D8E" w:rsidRPr="00D5464D">
        <w:rPr>
          <w:rFonts w:cs="Arial"/>
          <w:iCs/>
          <w:szCs w:val="20"/>
          <w:lang w:val="pt-BR"/>
        </w:rPr>
        <w:t xml:space="preserve">sobre </w:t>
      </w:r>
      <w:r w:rsidR="00E045D9" w:rsidRPr="00D5464D">
        <w:rPr>
          <w:rFonts w:cs="Arial"/>
          <w:iCs/>
          <w:szCs w:val="20"/>
          <w:lang w:val="pt-BR"/>
        </w:rPr>
        <w:t xml:space="preserve">os </w:t>
      </w:r>
      <w:r w:rsidR="002C330E" w:rsidRPr="00D5464D">
        <w:rPr>
          <w:rFonts w:cs="Arial"/>
          <w:iCs/>
          <w:szCs w:val="20"/>
          <w:lang w:val="pt-BR"/>
        </w:rPr>
        <w:t>fatos</w:t>
      </w:r>
      <w:r w:rsidR="004B0842" w:rsidRPr="00D5464D">
        <w:rPr>
          <w:rFonts w:cs="Arial"/>
          <w:iCs/>
          <w:szCs w:val="20"/>
          <w:lang w:val="pt-BR"/>
        </w:rPr>
        <w:t xml:space="preserve"> </w:t>
      </w:r>
      <w:r w:rsidRPr="00D5464D">
        <w:rPr>
          <w:rFonts w:cs="Arial"/>
          <w:iCs/>
          <w:szCs w:val="20"/>
          <w:lang w:val="pt-BR"/>
        </w:rPr>
        <w:t xml:space="preserve">do </w:t>
      </w:r>
      <w:r w:rsidR="004B0842" w:rsidRPr="00D5464D">
        <w:rPr>
          <w:rFonts w:cs="Arial"/>
          <w:iCs/>
          <w:szCs w:val="20"/>
          <w:lang w:val="pt-BR"/>
        </w:rPr>
        <w:t xml:space="preserve">presente caso </w:t>
      </w:r>
      <w:r w:rsidRPr="00D5464D">
        <w:rPr>
          <w:rFonts w:cs="Arial"/>
          <w:iCs/>
          <w:szCs w:val="20"/>
          <w:lang w:val="pt-BR"/>
        </w:rPr>
        <w:t>foram</w:t>
      </w:r>
      <w:r w:rsidR="004B0842" w:rsidRPr="00D5464D">
        <w:rPr>
          <w:rFonts w:cs="Arial"/>
          <w:iCs/>
          <w:szCs w:val="20"/>
          <w:lang w:val="pt-BR"/>
        </w:rPr>
        <w:t xml:space="preserve"> in</w:t>
      </w:r>
      <w:r w:rsidRPr="00D5464D">
        <w:rPr>
          <w:rFonts w:cs="Arial"/>
          <w:iCs/>
          <w:szCs w:val="20"/>
          <w:lang w:val="pt-BR"/>
        </w:rPr>
        <w:t>adequad</w:t>
      </w:r>
      <w:r w:rsidR="004B0842" w:rsidRPr="00D5464D">
        <w:rPr>
          <w:rFonts w:cs="Arial"/>
          <w:iCs/>
          <w:szCs w:val="20"/>
          <w:lang w:val="pt-BR"/>
        </w:rPr>
        <w:t>as</w:t>
      </w:r>
      <w:r w:rsidR="00E045D9" w:rsidRPr="00D5464D">
        <w:rPr>
          <w:rFonts w:cs="Arial"/>
          <w:iCs/>
          <w:szCs w:val="20"/>
          <w:lang w:val="pt-BR"/>
        </w:rPr>
        <w:t xml:space="preserve"> e violaram</w:t>
      </w:r>
      <w:r w:rsidR="002C330E" w:rsidRPr="00D5464D">
        <w:rPr>
          <w:rFonts w:cs="Arial"/>
          <w:iCs/>
          <w:szCs w:val="20"/>
          <w:lang w:val="pt-BR"/>
        </w:rPr>
        <w:t xml:space="preserve"> os </w:t>
      </w:r>
      <w:r w:rsidRPr="00D5464D">
        <w:rPr>
          <w:rFonts w:cs="Arial"/>
          <w:iCs/>
          <w:szCs w:val="20"/>
          <w:lang w:val="pt-BR"/>
        </w:rPr>
        <w:t>direito</w:t>
      </w:r>
      <w:r w:rsidR="004B0842" w:rsidRPr="00D5464D">
        <w:rPr>
          <w:rFonts w:cs="Arial"/>
          <w:iCs/>
          <w:szCs w:val="20"/>
          <w:lang w:val="pt-BR"/>
        </w:rPr>
        <w:t>s</w:t>
      </w:r>
      <w:r w:rsidR="00E045D9" w:rsidRPr="00D5464D">
        <w:rPr>
          <w:rFonts w:cs="Arial"/>
          <w:iCs/>
          <w:szCs w:val="20"/>
          <w:lang w:val="pt-BR"/>
        </w:rPr>
        <w:t xml:space="preserve"> às </w:t>
      </w:r>
      <w:r w:rsidR="002C330E" w:rsidRPr="00D5464D">
        <w:rPr>
          <w:rFonts w:cs="Arial"/>
          <w:iCs/>
          <w:szCs w:val="20"/>
          <w:lang w:val="pt-BR"/>
        </w:rPr>
        <w:t>garantias</w:t>
      </w:r>
      <w:r w:rsidR="004B0842" w:rsidRPr="00D5464D">
        <w:rPr>
          <w:rFonts w:cs="Arial"/>
          <w:iCs/>
          <w:szCs w:val="20"/>
          <w:lang w:val="pt-BR"/>
        </w:rPr>
        <w:t xml:space="preserve"> </w:t>
      </w:r>
      <w:r w:rsidR="002C330E" w:rsidRPr="00D5464D">
        <w:rPr>
          <w:rFonts w:cs="Arial"/>
          <w:iCs/>
          <w:szCs w:val="20"/>
          <w:lang w:val="pt-BR"/>
        </w:rPr>
        <w:t>judiciais</w:t>
      </w:r>
      <w:r w:rsidR="00E045D9" w:rsidRPr="00D5464D">
        <w:rPr>
          <w:rFonts w:cs="Arial"/>
          <w:iCs/>
          <w:szCs w:val="20"/>
          <w:lang w:val="pt-BR"/>
        </w:rPr>
        <w:t xml:space="preserve"> e </w:t>
      </w:r>
      <w:r w:rsidRPr="00D5464D">
        <w:rPr>
          <w:rFonts w:cs="Arial"/>
          <w:iCs/>
          <w:szCs w:val="20"/>
          <w:lang w:val="pt-BR"/>
        </w:rPr>
        <w:t xml:space="preserve">à </w:t>
      </w:r>
      <w:r w:rsidR="002C330E" w:rsidRPr="00D5464D">
        <w:rPr>
          <w:rFonts w:cs="Arial"/>
          <w:iCs/>
          <w:szCs w:val="20"/>
          <w:lang w:val="pt-BR"/>
        </w:rPr>
        <w:t>proteção</w:t>
      </w:r>
      <w:r w:rsidR="004B0842" w:rsidRPr="00D5464D">
        <w:rPr>
          <w:rFonts w:cs="Arial"/>
          <w:iCs/>
          <w:szCs w:val="20"/>
          <w:lang w:val="pt-BR"/>
        </w:rPr>
        <w:t xml:space="preserve"> judicial</w:t>
      </w:r>
      <w:r w:rsidRPr="00D5464D">
        <w:rPr>
          <w:rFonts w:cs="Arial"/>
          <w:iCs/>
          <w:szCs w:val="20"/>
          <w:lang w:val="pt-BR"/>
        </w:rPr>
        <w:t xml:space="preserve"> das </w:t>
      </w:r>
      <w:r w:rsidR="00E045D9" w:rsidRPr="00D5464D">
        <w:rPr>
          <w:rFonts w:cs="Arial"/>
          <w:iCs/>
          <w:szCs w:val="20"/>
          <w:lang w:val="pt-BR"/>
        </w:rPr>
        <w:t>vítima</w:t>
      </w:r>
      <w:r w:rsidR="004B0842" w:rsidRPr="00D5464D">
        <w:rPr>
          <w:rFonts w:cs="Arial"/>
          <w:iCs/>
          <w:szCs w:val="20"/>
          <w:lang w:val="pt-BR"/>
        </w:rPr>
        <w:t xml:space="preserve">s. </w:t>
      </w:r>
    </w:p>
    <w:p w14:paraId="7A591FDE" w14:textId="77777777" w:rsidR="004B0842" w:rsidRPr="00D5464D" w:rsidRDefault="004B0842" w:rsidP="004B0842">
      <w:pPr>
        <w:pStyle w:val="Prrafodelista"/>
        <w:autoSpaceDE w:val="0"/>
        <w:autoSpaceDN w:val="0"/>
        <w:adjustRightInd w:val="0"/>
        <w:ind w:left="0"/>
        <w:rPr>
          <w:rFonts w:cs="Arial"/>
          <w:iCs/>
          <w:szCs w:val="20"/>
          <w:lang w:val="pt-BR"/>
        </w:rPr>
      </w:pPr>
    </w:p>
    <w:p w14:paraId="4828745F" w14:textId="60595C35" w:rsidR="004B0842" w:rsidRPr="00D5464D" w:rsidRDefault="00C91CB1"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Em </w:t>
      </w:r>
      <w:r w:rsidR="00E045D9" w:rsidRPr="00D5464D">
        <w:rPr>
          <w:rFonts w:cs="Arial"/>
          <w:iCs/>
          <w:szCs w:val="20"/>
          <w:lang w:val="pt-BR"/>
        </w:rPr>
        <w:t xml:space="preserve">virtude </w:t>
      </w:r>
      <w:r w:rsidR="00470ADC" w:rsidRPr="00D5464D">
        <w:rPr>
          <w:rFonts w:cs="Arial"/>
          <w:iCs/>
          <w:szCs w:val="20"/>
          <w:lang w:val="pt-BR"/>
        </w:rPr>
        <w:t xml:space="preserve">do </w:t>
      </w:r>
      <w:r w:rsidR="004B0842" w:rsidRPr="00D5464D">
        <w:rPr>
          <w:rFonts w:cs="Arial"/>
          <w:iCs/>
          <w:szCs w:val="20"/>
          <w:lang w:val="pt-BR"/>
        </w:rPr>
        <w:t>anterior,</w:t>
      </w:r>
      <w:r w:rsidR="002C330E" w:rsidRPr="00D5464D">
        <w:rPr>
          <w:rFonts w:cs="Arial"/>
          <w:iCs/>
          <w:szCs w:val="20"/>
          <w:lang w:val="pt-BR"/>
        </w:rPr>
        <w:t xml:space="preserve"> </w:t>
      </w:r>
      <w:r w:rsidR="00181D8E" w:rsidRPr="00D5464D">
        <w:rPr>
          <w:rFonts w:cs="Arial"/>
          <w:iCs/>
          <w:szCs w:val="20"/>
          <w:lang w:val="pt-BR"/>
        </w:rPr>
        <w:t xml:space="preserve">assim como em </w:t>
      </w:r>
      <w:r w:rsidR="00921306" w:rsidRPr="00D5464D">
        <w:rPr>
          <w:rFonts w:cs="Arial"/>
          <w:iCs/>
          <w:szCs w:val="20"/>
          <w:lang w:val="pt-BR"/>
        </w:rPr>
        <w:t xml:space="preserve">outros </w:t>
      </w:r>
      <w:r w:rsidR="00181D8E" w:rsidRPr="00D5464D">
        <w:rPr>
          <w:rFonts w:cs="Arial"/>
          <w:iCs/>
          <w:szCs w:val="20"/>
          <w:lang w:val="pt-BR"/>
        </w:rPr>
        <w:t xml:space="preserve">casos </w:t>
      </w:r>
      <w:r w:rsidR="00921306" w:rsidRPr="00D5464D">
        <w:rPr>
          <w:rFonts w:cs="Arial"/>
          <w:iCs/>
          <w:szCs w:val="20"/>
          <w:lang w:val="pt-BR"/>
        </w:rPr>
        <w:t>já analisados</w:t>
      </w:r>
      <w:r w:rsidR="004B0842" w:rsidRPr="00D5464D">
        <w:rPr>
          <w:rFonts w:cs="Arial"/>
          <w:iCs/>
          <w:szCs w:val="20"/>
          <w:vertAlign w:val="superscript"/>
          <w:lang w:val="pt-BR"/>
        </w:rPr>
        <w:footnoteReference w:id="525"/>
      </w:r>
      <w:r w:rsidR="00E045D9" w:rsidRPr="00D5464D">
        <w:rPr>
          <w:rFonts w:cs="Arial"/>
          <w:iCs/>
          <w:szCs w:val="20"/>
          <w:lang w:val="pt-BR"/>
        </w:rPr>
        <w:t xml:space="preserve"> e </w:t>
      </w:r>
      <w:r w:rsidR="00470ADC" w:rsidRPr="00D5464D">
        <w:rPr>
          <w:rFonts w:cs="Arial"/>
          <w:iCs/>
          <w:szCs w:val="20"/>
          <w:lang w:val="pt-BR"/>
        </w:rPr>
        <w:t>em atenção ao caráter</w:t>
      </w:r>
      <w:r w:rsidR="004B0842" w:rsidRPr="00D5464D">
        <w:rPr>
          <w:rFonts w:cs="Arial"/>
          <w:iCs/>
          <w:szCs w:val="20"/>
          <w:lang w:val="pt-BR"/>
        </w:rPr>
        <w:t xml:space="preserve"> de </w:t>
      </w:r>
      <w:r w:rsidR="00DB654E" w:rsidRPr="00D5464D">
        <w:rPr>
          <w:rFonts w:cs="Arial"/>
          <w:iCs/>
          <w:szCs w:val="20"/>
          <w:lang w:val="pt-BR"/>
        </w:rPr>
        <w:t xml:space="preserve">delito de </w:t>
      </w:r>
      <w:r w:rsidR="00E765C2" w:rsidRPr="00D5464D">
        <w:rPr>
          <w:rFonts w:cs="Arial"/>
          <w:iCs/>
          <w:szCs w:val="20"/>
          <w:lang w:val="pt-BR"/>
        </w:rPr>
        <w:t>Direito Internacional</w:t>
      </w:r>
      <w:r w:rsidR="00470ADC" w:rsidRPr="00D5464D">
        <w:rPr>
          <w:rFonts w:cs="Arial"/>
          <w:iCs/>
          <w:szCs w:val="20"/>
          <w:lang w:val="pt-BR"/>
        </w:rPr>
        <w:t xml:space="preserve"> da </w:t>
      </w:r>
      <w:r w:rsidR="000B376D" w:rsidRPr="00D5464D">
        <w:rPr>
          <w:rFonts w:cs="Arial"/>
          <w:iCs/>
          <w:szCs w:val="20"/>
          <w:lang w:val="pt-BR"/>
        </w:rPr>
        <w:t>escravidão</w:t>
      </w:r>
      <w:r w:rsidR="00E045D9" w:rsidRPr="00D5464D">
        <w:rPr>
          <w:rFonts w:cs="Arial"/>
          <w:iCs/>
          <w:szCs w:val="20"/>
          <w:lang w:val="pt-BR"/>
        </w:rPr>
        <w:t xml:space="preserve"> e </w:t>
      </w:r>
      <w:r w:rsidR="00921306" w:rsidRPr="00D5464D">
        <w:rPr>
          <w:rFonts w:cs="Arial"/>
          <w:iCs/>
          <w:szCs w:val="20"/>
          <w:lang w:val="pt-BR"/>
        </w:rPr>
        <w:t>à</w:t>
      </w:r>
      <w:r w:rsidR="002C330E" w:rsidRPr="00D5464D">
        <w:rPr>
          <w:rFonts w:cs="Arial"/>
          <w:iCs/>
          <w:szCs w:val="20"/>
          <w:lang w:val="pt-BR"/>
        </w:rPr>
        <w:t xml:space="preserve"> </w:t>
      </w:r>
      <w:r w:rsidR="004B0842" w:rsidRPr="00D5464D">
        <w:rPr>
          <w:rFonts w:cs="Arial"/>
          <w:iCs/>
          <w:szCs w:val="20"/>
          <w:lang w:val="pt-BR"/>
        </w:rPr>
        <w:t>imprescritibilidad</w:t>
      </w:r>
      <w:r w:rsidR="00181D8E" w:rsidRPr="00D5464D">
        <w:rPr>
          <w:rFonts w:cs="Arial"/>
          <w:iCs/>
          <w:szCs w:val="20"/>
          <w:lang w:val="pt-BR"/>
        </w:rPr>
        <w:t>e</w:t>
      </w:r>
      <w:r w:rsidR="004B0842" w:rsidRPr="00D5464D">
        <w:rPr>
          <w:rFonts w:cs="Arial"/>
          <w:iCs/>
          <w:szCs w:val="20"/>
          <w:lang w:val="pt-BR"/>
        </w:rPr>
        <w:t xml:space="preserve"> </w:t>
      </w:r>
      <w:r w:rsidR="00470ADC" w:rsidRPr="00D5464D">
        <w:rPr>
          <w:rFonts w:cs="Arial"/>
          <w:iCs/>
          <w:szCs w:val="20"/>
          <w:lang w:val="pt-BR"/>
        </w:rPr>
        <w:t>d</w:t>
      </w:r>
      <w:r w:rsidR="00181D8E" w:rsidRPr="00D5464D">
        <w:rPr>
          <w:rFonts w:cs="Arial"/>
          <w:iCs/>
          <w:szCs w:val="20"/>
          <w:lang w:val="pt-BR"/>
        </w:rPr>
        <w:t>a</w:t>
      </w:r>
      <w:r w:rsidR="00470ADC" w:rsidRPr="00D5464D">
        <w:rPr>
          <w:rFonts w:cs="Arial"/>
          <w:iCs/>
          <w:szCs w:val="20"/>
          <w:lang w:val="pt-BR"/>
        </w:rPr>
        <w:t xml:space="preserve"> </w:t>
      </w:r>
      <w:r w:rsidR="002C330E" w:rsidRPr="00D5464D">
        <w:rPr>
          <w:rFonts w:cs="Arial"/>
          <w:iCs/>
          <w:szCs w:val="20"/>
          <w:lang w:val="pt-BR"/>
        </w:rPr>
        <w:t>submissão</w:t>
      </w:r>
      <w:r w:rsidR="004B0842" w:rsidRPr="00D5464D">
        <w:rPr>
          <w:rFonts w:cs="Arial"/>
          <w:iCs/>
          <w:szCs w:val="20"/>
          <w:lang w:val="pt-BR"/>
        </w:rPr>
        <w:t xml:space="preserve"> de</w:t>
      </w:r>
      <w:r w:rsidR="00E045D9" w:rsidRPr="00D5464D">
        <w:rPr>
          <w:rFonts w:cs="Arial"/>
          <w:iCs/>
          <w:szCs w:val="20"/>
          <w:lang w:val="pt-BR"/>
        </w:rPr>
        <w:t xml:space="preserve"> uma </w:t>
      </w:r>
      <w:r w:rsidR="002C330E" w:rsidRPr="00D5464D">
        <w:rPr>
          <w:rFonts w:cs="Arial"/>
          <w:iCs/>
          <w:szCs w:val="20"/>
          <w:lang w:val="pt-BR"/>
        </w:rPr>
        <w:t>pessoa</w:t>
      </w:r>
      <w:r w:rsidR="004B0842" w:rsidRPr="00D5464D">
        <w:rPr>
          <w:rFonts w:cs="Arial"/>
          <w:iCs/>
          <w:szCs w:val="20"/>
          <w:lang w:val="pt-BR"/>
        </w:rPr>
        <w:t xml:space="preserve"> a condi</w:t>
      </w:r>
      <w:r w:rsidR="00470ADC" w:rsidRPr="00D5464D">
        <w:rPr>
          <w:rFonts w:cs="Arial"/>
          <w:iCs/>
          <w:szCs w:val="20"/>
          <w:lang w:val="pt-BR"/>
        </w:rPr>
        <w:t>ção</w:t>
      </w:r>
      <w:r w:rsidR="004B0842" w:rsidRPr="00D5464D">
        <w:rPr>
          <w:rFonts w:cs="Arial"/>
          <w:iCs/>
          <w:szCs w:val="20"/>
          <w:lang w:val="pt-BR"/>
        </w:rPr>
        <w:t xml:space="preserve"> análoga</w:t>
      </w:r>
      <w:r w:rsidR="00470ADC" w:rsidRPr="00D5464D">
        <w:rPr>
          <w:rFonts w:cs="Arial"/>
          <w:iCs/>
          <w:szCs w:val="20"/>
          <w:lang w:val="pt-BR"/>
        </w:rPr>
        <w:t xml:space="preserve"> à </w:t>
      </w:r>
      <w:r w:rsidR="000B376D" w:rsidRPr="00D5464D">
        <w:rPr>
          <w:rFonts w:cs="Arial"/>
          <w:iCs/>
          <w:szCs w:val="20"/>
          <w:lang w:val="pt-BR"/>
        </w:rPr>
        <w:t>escravidão</w:t>
      </w:r>
      <w:r w:rsidR="004B0842" w:rsidRPr="00D5464D">
        <w:rPr>
          <w:rFonts w:cs="Arial"/>
          <w:iCs/>
          <w:szCs w:val="20"/>
          <w:lang w:val="pt-BR"/>
        </w:rPr>
        <w:t xml:space="preserve">, </w:t>
      </w:r>
      <w:r w:rsidR="00181D8E" w:rsidRPr="00D5464D">
        <w:rPr>
          <w:rFonts w:cs="Arial"/>
          <w:iCs/>
          <w:szCs w:val="20"/>
          <w:lang w:val="pt-BR"/>
        </w:rPr>
        <w:t xml:space="preserve">a Corte </w:t>
      </w:r>
      <w:r w:rsidR="00470ADC" w:rsidRPr="00D5464D">
        <w:rPr>
          <w:rFonts w:cs="Arial"/>
          <w:iCs/>
          <w:szCs w:val="20"/>
          <w:lang w:val="pt-BR"/>
        </w:rPr>
        <w:t>dispõe</w:t>
      </w:r>
      <w:r w:rsidR="004B0842" w:rsidRPr="00D5464D">
        <w:rPr>
          <w:rFonts w:cs="Arial"/>
          <w:iCs/>
          <w:szCs w:val="20"/>
          <w:lang w:val="pt-BR"/>
        </w:rPr>
        <w:t xml:space="preserve"> que</w:t>
      </w:r>
      <w:r w:rsidR="00470ADC" w:rsidRPr="00D5464D">
        <w:rPr>
          <w:rFonts w:cs="Arial"/>
          <w:iCs/>
          <w:szCs w:val="20"/>
          <w:lang w:val="pt-BR"/>
        </w:rPr>
        <w:t xml:space="preserve"> o </w:t>
      </w:r>
      <w:r w:rsidR="004B0842" w:rsidRPr="00D5464D">
        <w:rPr>
          <w:rFonts w:cs="Arial"/>
          <w:iCs/>
          <w:szCs w:val="20"/>
          <w:lang w:val="pt-BR"/>
        </w:rPr>
        <w:t>Estado</w:t>
      </w:r>
      <w:r w:rsidR="00470ADC" w:rsidRPr="00D5464D">
        <w:rPr>
          <w:rFonts w:cs="Arial"/>
          <w:iCs/>
          <w:szCs w:val="20"/>
          <w:lang w:val="pt-BR"/>
        </w:rPr>
        <w:t xml:space="preserve"> deve </w:t>
      </w:r>
      <w:r w:rsidR="004B0842" w:rsidRPr="00D5464D">
        <w:rPr>
          <w:rFonts w:cs="Arial"/>
          <w:iCs/>
          <w:szCs w:val="20"/>
          <w:lang w:val="pt-BR"/>
        </w:rPr>
        <w:t>reiniciar,</w:t>
      </w:r>
      <w:r w:rsidR="00470ADC" w:rsidRPr="00D5464D">
        <w:rPr>
          <w:rFonts w:cs="Arial"/>
          <w:iCs/>
          <w:szCs w:val="20"/>
          <w:lang w:val="pt-BR"/>
        </w:rPr>
        <w:t xml:space="preserve"> com</w:t>
      </w:r>
      <w:r w:rsidR="002C330E" w:rsidRPr="00D5464D">
        <w:rPr>
          <w:rFonts w:cs="Arial"/>
          <w:iCs/>
          <w:szCs w:val="20"/>
          <w:lang w:val="pt-BR"/>
        </w:rPr>
        <w:t xml:space="preserve"> a </w:t>
      </w:r>
      <w:r w:rsidR="00470ADC" w:rsidRPr="00D5464D">
        <w:rPr>
          <w:rFonts w:cs="Arial"/>
          <w:iCs/>
          <w:szCs w:val="20"/>
          <w:lang w:val="pt-BR"/>
        </w:rPr>
        <w:t>devida diligência</w:t>
      </w:r>
      <w:r w:rsidR="004B0842" w:rsidRPr="00D5464D">
        <w:rPr>
          <w:rFonts w:cs="Arial"/>
          <w:iCs/>
          <w:szCs w:val="20"/>
          <w:lang w:val="pt-BR"/>
        </w:rPr>
        <w:t>,</w:t>
      </w:r>
      <w:r w:rsidR="002C330E" w:rsidRPr="00D5464D">
        <w:rPr>
          <w:rFonts w:cs="Arial"/>
          <w:iCs/>
          <w:szCs w:val="20"/>
          <w:lang w:val="pt-BR"/>
        </w:rPr>
        <w:t xml:space="preserve"> as </w:t>
      </w:r>
      <w:r w:rsidR="004B0842" w:rsidRPr="00D5464D">
        <w:rPr>
          <w:rFonts w:cs="Arial"/>
          <w:iCs/>
          <w:szCs w:val="20"/>
          <w:lang w:val="pt-BR"/>
        </w:rPr>
        <w:t>investiga</w:t>
      </w:r>
      <w:r w:rsidR="00470ADC" w:rsidRPr="00D5464D">
        <w:rPr>
          <w:rFonts w:cs="Arial"/>
          <w:iCs/>
          <w:szCs w:val="20"/>
          <w:lang w:val="pt-BR"/>
        </w:rPr>
        <w:t>ções</w:t>
      </w:r>
      <w:r w:rsidR="00E045D9" w:rsidRPr="00D5464D">
        <w:rPr>
          <w:rFonts w:cs="Arial"/>
          <w:iCs/>
          <w:szCs w:val="20"/>
          <w:lang w:val="pt-BR"/>
        </w:rPr>
        <w:t xml:space="preserve"> e/ou </w:t>
      </w:r>
      <w:r w:rsidR="002C330E" w:rsidRPr="00D5464D">
        <w:rPr>
          <w:rFonts w:cs="Arial"/>
          <w:iCs/>
          <w:szCs w:val="20"/>
          <w:lang w:val="pt-BR"/>
        </w:rPr>
        <w:t>processo</w:t>
      </w:r>
      <w:r w:rsidR="004B0842" w:rsidRPr="00D5464D">
        <w:rPr>
          <w:rFonts w:cs="Arial"/>
          <w:iCs/>
          <w:szCs w:val="20"/>
          <w:lang w:val="pt-BR"/>
        </w:rPr>
        <w:t xml:space="preserve">s </w:t>
      </w:r>
      <w:r w:rsidR="002C330E" w:rsidRPr="00D5464D">
        <w:rPr>
          <w:rFonts w:cs="Arial"/>
          <w:iCs/>
          <w:szCs w:val="20"/>
          <w:lang w:val="pt-BR"/>
        </w:rPr>
        <w:t>penais</w:t>
      </w:r>
      <w:r w:rsidR="004B0842" w:rsidRPr="00D5464D">
        <w:rPr>
          <w:rFonts w:cs="Arial"/>
          <w:iCs/>
          <w:szCs w:val="20"/>
          <w:lang w:val="pt-BR"/>
        </w:rPr>
        <w:t xml:space="preserve"> que cor</w:t>
      </w:r>
      <w:r w:rsidR="002C330E" w:rsidRPr="00D5464D">
        <w:rPr>
          <w:rFonts w:cs="Arial"/>
          <w:iCs/>
          <w:szCs w:val="20"/>
          <w:lang w:val="pt-BR"/>
        </w:rPr>
        <w:t xml:space="preserve">respondam </w:t>
      </w:r>
      <w:r w:rsidR="00181D8E" w:rsidRPr="00D5464D">
        <w:rPr>
          <w:rFonts w:cs="Arial"/>
          <w:iCs/>
          <w:szCs w:val="20"/>
          <w:lang w:val="pt-BR"/>
        </w:rPr>
        <w:t>a</w:t>
      </w:r>
      <w:r w:rsidR="002C330E" w:rsidRPr="00D5464D">
        <w:rPr>
          <w:rFonts w:cs="Arial"/>
          <w:iCs/>
          <w:szCs w:val="20"/>
          <w:lang w:val="pt-BR"/>
        </w:rPr>
        <w:t>os fatos</w:t>
      </w:r>
      <w:r w:rsidR="004B0842" w:rsidRPr="00D5464D">
        <w:rPr>
          <w:rFonts w:cs="Arial"/>
          <w:iCs/>
          <w:szCs w:val="20"/>
          <w:lang w:val="pt-BR"/>
        </w:rPr>
        <w:t xml:space="preserve"> constatados</w:t>
      </w:r>
      <w:r w:rsidR="00470ADC" w:rsidRPr="00D5464D">
        <w:rPr>
          <w:rFonts w:cs="Arial"/>
          <w:iCs/>
          <w:szCs w:val="20"/>
          <w:lang w:val="pt-BR"/>
        </w:rPr>
        <w:t xml:space="preserve"> em </w:t>
      </w:r>
      <w:r w:rsidR="002C330E" w:rsidRPr="00D5464D">
        <w:rPr>
          <w:rFonts w:cs="Arial"/>
          <w:iCs/>
          <w:szCs w:val="20"/>
          <w:lang w:val="pt-BR"/>
        </w:rPr>
        <w:t>março</w:t>
      </w:r>
      <w:r w:rsidR="004B0842" w:rsidRPr="00D5464D">
        <w:rPr>
          <w:rFonts w:cs="Arial"/>
          <w:iCs/>
          <w:szCs w:val="20"/>
          <w:lang w:val="pt-BR"/>
        </w:rPr>
        <w:t xml:space="preserve"> de 2000</w:t>
      </w:r>
      <w:r w:rsidR="00E045D9" w:rsidRPr="00D5464D">
        <w:rPr>
          <w:rFonts w:cs="Arial"/>
          <w:iCs/>
          <w:szCs w:val="20"/>
          <w:lang w:val="pt-BR"/>
        </w:rPr>
        <w:t xml:space="preserve"> no </w:t>
      </w:r>
      <w:r w:rsidR="004B0842" w:rsidRPr="00D5464D">
        <w:rPr>
          <w:rFonts w:cs="Arial"/>
          <w:iCs/>
          <w:szCs w:val="20"/>
          <w:lang w:val="pt-BR"/>
        </w:rPr>
        <w:t>presente caso para,</w:t>
      </w:r>
      <w:r w:rsidR="00470ADC" w:rsidRPr="00D5464D">
        <w:rPr>
          <w:rFonts w:cs="Arial"/>
          <w:iCs/>
          <w:szCs w:val="20"/>
          <w:lang w:val="pt-BR"/>
        </w:rPr>
        <w:t xml:space="preserve"> em</w:t>
      </w:r>
      <w:r w:rsidR="00E045D9" w:rsidRPr="00D5464D">
        <w:rPr>
          <w:rFonts w:cs="Arial"/>
          <w:iCs/>
          <w:szCs w:val="20"/>
          <w:lang w:val="pt-BR"/>
        </w:rPr>
        <w:t xml:space="preserve"> um </w:t>
      </w:r>
      <w:r w:rsidR="002C330E" w:rsidRPr="00D5464D">
        <w:rPr>
          <w:rFonts w:cs="Arial"/>
          <w:iCs/>
          <w:szCs w:val="20"/>
          <w:lang w:val="pt-BR"/>
        </w:rPr>
        <w:t>prazo</w:t>
      </w:r>
      <w:r w:rsidR="004B0842" w:rsidRPr="00D5464D">
        <w:rPr>
          <w:rFonts w:cs="Arial"/>
          <w:iCs/>
          <w:szCs w:val="20"/>
          <w:lang w:val="pt-BR"/>
        </w:rPr>
        <w:t xml:space="preserve"> </w:t>
      </w:r>
      <w:r w:rsidR="00230C71" w:rsidRPr="00D5464D">
        <w:rPr>
          <w:rFonts w:cs="Arial"/>
          <w:iCs/>
          <w:szCs w:val="20"/>
          <w:lang w:val="pt-BR"/>
        </w:rPr>
        <w:t>razoável,</w:t>
      </w:r>
      <w:r w:rsidR="004B0842" w:rsidRPr="00D5464D">
        <w:rPr>
          <w:rFonts w:cs="Arial"/>
          <w:iCs/>
          <w:szCs w:val="20"/>
          <w:lang w:val="pt-BR"/>
        </w:rPr>
        <w:t xml:space="preserve"> identificar, </w:t>
      </w:r>
      <w:r w:rsidR="00737270" w:rsidRPr="00D5464D">
        <w:rPr>
          <w:rFonts w:cs="Arial"/>
          <w:iCs/>
          <w:szCs w:val="20"/>
          <w:lang w:val="pt-BR"/>
        </w:rPr>
        <w:t>processar</w:t>
      </w:r>
      <w:r w:rsidR="00E045D9" w:rsidRPr="00D5464D">
        <w:rPr>
          <w:rFonts w:cs="Arial"/>
          <w:iCs/>
          <w:szCs w:val="20"/>
          <w:lang w:val="pt-BR"/>
        </w:rPr>
        <w:t xml:space="preserve"> e,</w:t>
      </w:r>
      <w:r w:rsidR="00470ADC" w:rsidRPr="00D5464D">
        <w:rPr>
          <w:rFonts w:cs="Arial"/>
          <w:iCs/>
          <w:szCs w:val="20"/>
          <w:lang w:val="pt-BR"/>
        </w:rPr>
        <w:t xml:space="preserve"> </w:t>
      </w:r>
      <w:r w:rsidR="00E045D9" w:rsidRPr="00D5464D">
        <w:rPr>
          <w:rFonts w:cs="Arial"/>
          <w:iCs/>
          <w:szCs w:val="20"/>
          <w:lang w:val="pt-BR"/>
        </w:rPr>
        <w:t>se for o caso</w:t>
      </w:r>
      <w:r w:rsidRPr="00D5464D">
        <w:rPr>
          <w:rFonts w:cs="Arial"/>
          <w:iCs/>
          <w:szCs w:val="20"/>
          <w:lang w:val="pt-BR"/>
        </w:rPr>
        <w:t>, punir os responsáveis</w:t>
      </w:r>
      <w:r w:rsidR="00A1358C" w:rsidRPr="00D5464D">
        <w:rPr>
          <w:rFonts w:cs="Arial"/>
          <w:iCs/>
          <w:szCs w:val="20"/>
          <w:lang w:val="pt-BR"/>
        </w:rPr>
        <w:t>. Em particular</w:t>
      </w:r>
      <w:r w:rsidR="004B0842" w:rsidRPr="00D5464D">
        <w:rPr>
          <w:rFonts w:cs="Arial"/>
          <w:iCs/>
          <w:szCs w:val="20"/>
          <w:lang w:val="pt-BR"/>
        </w:rPr>
        <w:t>,</w:t>
      </w:r>
      <w:r w:rsidR="00470ADC" w:rsidRPr="00D5464D">
        <w:rPr>
          <w:rFonts w:cs="Arial"/>
          <w:iCs/>
          <w:szCs w:val="20"/>
          <w:lang w:val="pt-BR"/>
        </w:rPr>
        <w:t xml:space="preserve"> o </w:t>
      </w:r>
      <w:r w:rsidR="004B0842" w:rsidRPr="00D5464D">
        <w:rPr>
          <w:rFonts w:cs="Arial"/>
          <w:iCs/>
          <w:szCs w:val="20"/>
          <w:lang w:val="pt-BR"/>
        </w:rPr>
        <w:t xml:space="preserve">Estado </w:t>
      </w:r>
      <w:r w:rsidR="00470ADC" w:rsidRPr="00D5464D">
        <w:rPr>
          <w:rFonts w:cs="Arial"/>
          <w:iCs/>
          <w:szCs w:val="20"/>
          <w:lang w:val="pt-BR"/>
        </w:rPr>
        <w:t>dever</w:t>
      </w:r>
      <w:r w:rsidR="004B0842" w:rsidRPr="00D5464D">
        <w:rPr>
          <w:rFonts w:cs="Arial"/>
          <w:iCs/>
          <w:szCs w:val="20"/>
          <w:lang w:val="pt-BR"/>
        </w:rPr>
        <w:t xml:space="preserve">á: a) </w:t>
      </w:r>
      <w:r w:rsidR="00470ADC" w:rsidRPr="00D5464D">
        <w:rPr>
          <w:rFonts w:cs="Arial"/>
          <w:iCs/>
          <w:szCs w:val="20"/>
          <w:lang w:val="pt-BR"/>
        </w:rPr>
        <w:t xml:space="preserve">assegurar o </w:t>
      </w:r>
      <w:r w:rsidR="004B0842" w:rsidRPr="00D5464D">
        <w:rPr>
          <w:rFonts w:cs="Arial"/>
          <w:iCs/>
          <w:szCs w:val="20"/>
          <w:lang w:val="pt-BR"/>
        </w:rPr>
        <w:t xml:space="preserve">pleno </w:t>
      </w:r>
      <w:r w:rsidR="00470ADC" w:rsidRPr="00D5464D">
        <w:rPr>
          <w:rFonts w:cs="Arial"/>
          <w:iCs/>
          <w:szCs w:val="20"/>
          <w:lang w:val="pt-BR"/>
        </w:rPr>
        <w:t>acesso</w:t>
      </w:r>
      <w:r w:rsidR="00E045D9" w:rsidRPr="00D5464D">
        <w:rPr>
          <w:rFonts w:cs="Arial"/>
          <w:iCs/>
          <w:szCs w:val="20"/>
          <w:lang w:val="pt-BR"/>
        </w:rPr>
        <w:t xml:space="preserve"> e </w:t>
      </w:r>
      <w:r w:rsidR="00470ADC" w:rsidRPr="00D5464D">
        <w:rPr>
          <w:rFonts w:cs="Arial"/>
          <w:iCs/>
          <w:szCs w:val="20"/>
          <w:lang w:val="pt-BR"/>
        </w:rPr>
        <w:t xml:space="preserve">capacidade </w:t>
      </w:r>
      <w:r w:rsidR="004B0842" w:rsidRPr="00D5464D">
        <w:rPr>
          <w:rFonts w:cs="Arial"/>
          <w:iCs/>
          <w:szCs w:val="20"/>
          <w:lang w:val="pt-BR"/>
        </w:rPr>
        <w:t xml:space="preserve">de </w:t>
      </w:r>
      <w:r w:rsidR="00470ADC" w:rsidRPr="00D5464D">
        <w:rPr>
          <w:rFonts w:cs="Arial"/>
          <w:iCs/>
          <w:szCs w:val="20"/>
          <w:lang w:val="pt-BR"/>
        </w:rPr>
        <w:t xml:space="preserve">atuar das </w:t>
      </w:r>
      <w:r w:rsidR="00E045D9" w:rsidRPr="00D5464D">
        <w:rPr>
          <w:rFonts w:cs="Arial"/>
          <w:iCs/>
          <w:szCs w:val="20"/>
          <w:lang w:val="pt-BR"/>
        </w:rPr>
        <w:t>vítima</w:t>
      </w:r>
      <w:r w:rsidR="004B0842" w:rsidRPr="00D5464D">
        <w:rPr>
          <w:rFonts w:cs="Arial"/>
          <w:iCs/>
          <w:szCs w:val="20"/>
          <w:lang w:val="pt-BR"/>
        </w:rPr>
        <w:t>s</w:t>
      </w:r>
      <w:r w:rsidR="00E045D9" w:rsidRPr="00D5464D">
        <w:rPr>
          <w:rFonts w:cs="Arial"/>
          <w:iCs/>
          <w:szCs w:val="20"/>
          <w:lang w:val="pt-BR"/>
        </w:rPr>
        <w:t xml:space="preserve"> e </w:t>
      </w:r>
      <w:r w:rsidR="00181D8E" w:rsidRPr="00D5464D">
        <w:rPr>
          <w:rFonts w:cs="Arial"/>
          <w:iCs/>
          <w:szCs w:val="20"/>
          <w:lang w:val="pt-BR"/>
        </w:rPr>
        <w:t xml:space="preserve">de </w:t>
      </w:r>
      <w:r w:rsidR="00E045D9" w:rsidRPr="00D5464D">
        <w:rPr>
          <w:rFonts w:cs="Arial"/>
          <w:iCs/>
          <w:szCs w:val="20"/>
          <w:lang w:val="pt-BR"/>
        </w:rPr>
        <w:t>seus familiares</w:t>
      </w:r>
      <w:r w:rsidR="00470ADC" w:rsidRPr="00D5464D">
        <w:rPr>
          <w:rFonts w:cs="Arial"/>
          <w:iCs/>
          <w:szCs w:val="20"/>
          <w:lang w:val="pt-BR"/>
        </w:rPr>
        <w:t xml:space="preserve"> em </w:t>
      </w:r>
      <w:r w:rsidR="004B0842" w:rsidRPr="00D5464D">
        <w:rPr>
          <w:rFonts w:cs="Arial"/>
          <w:iCs/>
          <w:szCs w:val="20"/>
          <w:lang w:val="pt-BR"/>
        </w:rPr>
        <w:t>todas</w:t>
      </w:r>
      <w:r w:rsidR="002C330E" w:rsidRPr="00D5464D">
        <w:rPr>
          <w:rFonts w:cs="Arial"/>
          <w:iCs/>
          <w:szCs w:val="20"/>
          <w:lang w:val="pt-BR"/>
        </w:rPr>
        <w:t xml:space="preserve"> as </w:t>
      </w:r>
      <w:r w:rsidR="004B0842" w:rsidRPr="00D5464D">
        <w:rPr>
          <w:rFonts w:cs="Arial"/>
          <w:iCs/>
          <w:szCs w:val="20"/>
          <w:lang w:val="pt-BR"/>
        </w:rPr>
        <w:t xml:space="preserve">etapas </w:t>
      </w:r>
      <w:r w:rsidR="00E045D9" w:rsidRPr="00D5464D">
        <w:rPr>
          <w:rFonts w:cs="Arial"/>
          <w:iCs/>
          <w:szCs w:val="20"/>
          <w:lang w:val="pt-BR"/>
        </w:rPr>
        <w:t>desta</w:t>
      </w:r>
      <w:r w:rsidR="004B0842" w:rsidRPr="00D5464D">
        <w:rPr>
          <w:rFonts w:cs="Arial"/>
          <w:iCs/>
          <w:szCs w:val="20"/>
          <w:lang w:val="pt-BR"/>
        </w:rPr>
        <w:t>s investiga</w:t>
      </w:r>
      <w:r w:rsidR="00470ADC" w:rsidRPr="00D5464D">
        <w:rPr>
          <w:rFonts w:cs="Arial"/>
          <w:iCs/>
          <w:szCs w:val="20"/>
          <w:lang w:val="pt-BR"/>
        </w:rPr>
        <w:t>ções</w:t>
      </w:r>
      <w:r w:rsidR="004B0842" w:rsidRPr="00D5464D">
        <w:rPr>
          <w:rFonts w:cs="Arial"/>
          <w:iCs/>
          <w:szCs w:val="20"/>
          <w:lang w:val="pt-BR"/>
        </w:rPr>
        <w:t xml:space="preserve">, de </w:t>
      </w:r>
      <w:r w:rsidR="00470ADC" w:rsidRPr="00D5464D">
        <w:rPr>
          <w:rFonts w:cs="Arial"/>
          <w:iCs/>
          <w:szCs w:val="20"/>
          <w:lang w:val="pt-BR"/>
        </w:rPr>
        <w:t>acordo com</w:t>
      </w:r>
      <w:r w:rsidR="002C330E" w:rsidRPr="00D5464D">
        <w:rPr>
          <w:rFonts w:cs="Arial"/>
          <w:iCs/>
          <w:szCs w:val="20"/>
          <w:lang w:val="pt-BR"/>
        </w:rPr>
        <w:t xml:space="preserve"> a lei </w:t>
      </w:r>
      <w:r w:rsidR="004B0842" w:rsidRPr="00D5464D">
        <w:rPr>
          <w:rFonts w:cs="Arial"/>
          <w:iCs/>
          <w:szCs w:val="20"/>
          <w:lang w:val="pt-BR"/>
        </w:rPr>
        <w:t>interna</w:t>
      </w:r>
      <w:r w:rsidR="00E045D9" w:rsidRPr="00D5464D">
        <w:rPr>
          <w:rFonts w:cs="Arial"/>
          <w:iCs/>
          <w:szCs w:val="20"/>
          <w:lang w:val="pt-BR"/>
        </w:rPr>
        <w:t xml:space="preserve"> e </w:t>
      </w:r>
      <w:r w:rsidR="002C330E" w:rsidRPr="00D5464D">
        <w:rPr>
          <w:rFonts w:cs="Arial"/>
          <w:iCs/>
          <w:szCs w:val="20"/>
          <w:lang w:val="pt-BR"/>
        </w:rPr>
        <w:t xml:space="preserve">as </w:t>
      </w:r>
      <w:r w:rsidR="004B0842" w:rsidRPr="00D5464D">
        <w:rPr>
          <w:rFonts w:cs="Arial"/>
          <w:iCs/>
          <w:szCs w:val="20"/>
          <w:lang w:val="pt-BR"/>
        </w:rPr>
        <w:t>normas</w:t>
      </w:r>
      <w:r w:rsidR="00470ADC" w:rsidRPr="00D5464D">
        <w:rPr>
          <w:rFonts w:cs="Arial"/>
          <w:iCs/>
          <w:szCs w:val="20"/>
          <w:lang w:val="pt-BR"/>
        </w:rPr>
        <w:t xml:space="preserve"> da </w:t>
      </w:r>
      <w:r w:rsidR="004B0842" w:rsidRPr="00D5464D">
        <w:rPr>
          <w:rFonts w:cs="Arial"/>
          <w:iCs/>
          <w:szCs w:val="20"/>
          <w:lang w:val="pt-BR"/>
        </w:rPr>
        <w:t>Conven</w:t>
      </w:r>
      <w:r w:rsidR="00470ADC" w:rsidRPr="00D5464D">
        <w:rPr>
          <w:rFonts w:cs="Arial"/>
          <w:iCs/>
          <w:szCs w:val="20"/>
          <w:lang w:val="pt-BR"/>
        </w:rPr>
        <w:t>ção</w:t>
      </w:r>
      <w:r w:rsidR="004B0842" w:rsidRPr="00D5464D">
        <w:rPr>
          <w:rFonts w:cs="Arial"/>
          <w:iCs/>
          <w:szCs w:val="20"/>
          <w:lang w:val="pt-BR"/>
        </w:rPr>
        <w:t xml:space="preserve"> Americana; b) </w:t>
      </w:r>
      <w:r w:rsidR="00181D8E" w:rsidRPr="00D5464D">
        <w:rPr>
          <w:rFonts w:cs="Arial"/>
          <w:iCs/>
          <w:szCs w:val="20"/>
          <w:lang w:val="pt-BR"/>
        </w:rPr>
        <w:t xml:space="preserve">como </w:t>
      </w:r>
      <w:r w:rsidR="002C330E" w:rsidRPr="00D5464D">
        <w:rPr>
          <w:rFonts w:cs="Arial"/>
          <w:iCs/>
          <w:szCs w:val="20"/>
          <w:lang w:val="pt-BR"/>
        </w:rPr>
        <w:t xml:space="preserve">a </w:t>
      </w:r>
      <w:r w:rsidR="000B376D" w:rsidRPr="00D5464D">
        <w:rPr>
          <w:rFonts w:cs="Arial"/>
          <w:iCs/>
          <w:szCs w:val="20"/>
          <w:lang w:val="pt-BR"/>
        </w:rPr>
        <w:t>escravidão</w:t>
      </w:r>
      <w:r w:rsidR="00DB654E" w:rsidRPr="00D5464D">
        <w:rPr>
          <w:rFonts w:cs="Arial"/>
          <w:iCs/>
          <w:szCs w:val="20"/>
          <w:lang w:val="pt-BR"/>
        </w:rPr>
        <w:t xml:space="preserve"> </w:t>
      </w:r>
      <w:r w:rsidR="00181D8E" w:rsidRPr="00D5464D">
        <w:rPr>
          <w:rFonts w:cs="Arial"/>
          <w:iCs/>
          <w:szCs w:val="20"/>
          <w:lang w:val="pt-BR"/>
        </w:rPr>
        <w:t xml:space="preserve">é </w:t>
      </w:r>
      <w:r w:rsidR="00E045D9" w:rsidRPr="00D5464D">
        <w:rPr>
          <w:rFonts w:cs="Arial"/>
          <w:iCs/>
          <w:szCs w:val="20"/>
          <w:lang w:val="pt-BR"/>
        </w:rPr>
        <w:t xml:space="preserve">um </w:t>
      </w:r>
      <w:r w:rsidR="00DB654E" w:rsidRPr="00D5464D">
        <w:rPr>
          <w:rFonts w:cs="Arial"/>
          <w:iCs/>
          <w:szCs w:val="20"/>
          <w:lang w:val="pt-BR"/>
        </w:rPr>
        <w:t xml:space="preserve">delito de </w:t>
      </w:r>
      <w:r w:rsidR="00E765C2" w:rsidRPr="00D5464D">
        <w:rPr>
          <w:rFonts w:cs="Arial"/>
          <w:iCs/>
          <w:szCs w:val="20"/>
          <w:lang w:val="pt-BR"/>
        </w:rPr>
        <w:t>Direito Internacional</w:t>
      </w:r>
      <w:r w:rsidR="00E045D9" w:rsidRPr="00D5464D">
        <w:rPr>
          <w:rFonts w:cs="Arial"/>
          <w:iCs/>
          <w:szCs w:val="20"/>
          <w:lang w:val="pt-BR"/>
        </w:rPr>
        <w:t xml:space="preserve"> e </w:t>
      </w:r>
      <w:r w:rsidR="00470ADC" w:rsidRPr="00D5464D">
        <w:rPr>
          <w:rFonts w:cs="Arial"/>
          <w:iCs/>
          <w:szCs w:val="20"/>
          <w:lang w:val="pt-BR"/>
        </w:rPr>
        <w:t xml:space="preserve">em </w:t>
      </w:r>
      <w:r w:rsidR="004B0842" w:rsidRPr="00D5464D">
        <w:rPr>
          <w:rFonts w:cs="Arial"/>
          <w:iCs/>
          <w:szCs w:val="20"/>
          <w:lang w:val="pt-BR"/>
        </w:rPr>
        <w:t>considera</w:t>
      </w:r>
      <w:r w:rsidR="00470ADC" w:rsidRPr="00D5464D">
        <w:rPr>
          <w:rFonts w:cs="Arial"/>
          <w:iCs/>
          <w:szCs w:val="20"/>
          <w:lang w:val="pt-BR"/>
        </w:rPr>
        <w:t xml:space="preserve">ção </w:t>
      </w:r>
      <w:r w:rsidR="00B55CC2" w:rsidRPr="00D5464D">
        <w:rPr>
          <w:rFonts w:cs="Arial"/>
          <w:iCs/>
          <w:szCs w:val="20"/>
          <w:lang w:val="pt-BR"/>
        </w:rPr>
        <w:t>às</w:t>
      </w:r>
      <w:r w:rsidR="00470ADC" w:rsidRPr="00D5464D">
        <w:rPr>
          <w:rFonts w:cs="Arial"/>
          <w:iCs/>
          <w:szCs w:val="20"/>
          <w:lang w:val="pt-BR"/>
        </w:rPr>
        <w:t xml:space="preserve"> </w:t>
      </w:r>
      <w:r w:rsidR="004B0842" w:rsidRPr="00D5464D">
        <w:rPr>
          <w:rFonts w:cs="Arial"/>
          <w:iCs/>
          <w:szCs w:val="20"/>
          <w:lang w:val="pt-BR"/>
        </w:rPr>
        <w:t>particularidades</w:t>
      </w:r>
      <w:r w:rsidR="00E045D9" w:rsidRPr="00D5464D">
        <w:rPr>
          <w:rFonts w:cs="Arial"/>
          <w:iCs/>
          <w:szCs w:val="20"/>
          <w:lang w:val="pt-BR"/>
        </w:rPr>
        <w:t xml:space="preserve"> e </w:t>
      </w:r>
      <w:r w:rsidR="00B55CC2" w:rsidRPr="00D5464D">
        <w:rPr>
          <w:rFonts w:cs="Arial"/>
          <w:iCs/>
          <w:szCs w:val="20"/>
          <w:lang w:val="pt-BR"/>
        </w:rPr>
        <w:t>ao</w:t>
      </w:r>
      <w:r w:rsidR="00470ADC" w:rsidRPr="00D5464D">
        <w:rPr>
          <w:rFonts w:cs="Arial"/>
          <w:iCs/>
          <w:szCs w:val="20"/>
          <w:lang w:val="pt-BR"/>
        </w:rPr>
        <w:t xml:space="preserve"> </w:t>
      </w:r>
      <w:r w:rsidR="004B0842" w:rsidRPr="00D5464D">
        <w:rPr>
          <w:rFonts w:cs="Arial"/>
          <w:iCs/>
          <w:szCs w:val="20"/>
          <w:lang w:val="pt-BR"/>
        </w:rPr>
        <w:t>contexto</w:t>
      </w:r>
      <w:r w:rsidR="00470ADC" w:rsidRPr="00D5464D">
        <w:rPr>
          <w:rFonts w:cs="Arial"/>
          <w:iCs/>
          <w:szCs w:val="20"/>
          <w:lang w:val="pt-BR"/>
        </w:rPr>
        <w:t xml:space="preserve"> em </w:t>
      </w:r>
      <w:r w:rsidR="004B0842" w:rsidRPr="00D5464D">
        <w:rPr>
          <w:rFonts w:cs="Arial"/>
          <w:iCs/>
          <w:szCs w:val="20"/>
          <w:lang w:val="pt-BR"/>
        </w:rPr>
        <w:t xml:space="preserve">que </w:t>
      </w:r>
      <w:r w:rsidR="002C330E" w:rsidRPr="00D5464D">
        <w:rPr>
          <w:rFonts w:cs="Arial"/>
          <w:iCs/>
          <w:szCs w:val="20"/>
          <w:lang w:val="pt-BR"/>
        </w:rPr>
        <w:t>ocorreram os fatos</w:t>
      </w:r>
      <w:r w:rsidR="004B0842" w:rsidRPr="00D5464D">
        <w:rPr>
          <w:rFonts w:cs="Arial"/>
          <w:iCs/>
          <w:szCs w:val="20"/>
          <w:lang w:val="pt-BR"/>
        </w:rPr>
        <w:t>,</w:t>
      </w:r>
      <w:r w:rsidR="00470ADC" w:rsidRPr="00D5464D">
        <w:rPr>
          <w:rFonts w:cs="Arial"/>
          <w:iCs/>
          <w:szCs w:val="20"/>
          <w:lang w:val="pt-BR"/>
        </w:rPr>
        <w:t xml:space="preserve"> o </w:t>
      </w:r>
      <w:r w:rsidR="004B0842" w:rsidRPr="00D5464D">
        <w:rPr>
          <w:rFonts w:cs="Arial"/>
          <w:iCs/>
          <w:szCs w:val="20"/>
          <w:lang w:val="pt-BR"/>
        </w:rPr>
        <w:t>Estado</w:t>
      </w:r>
      <w:r w:rsidR="00470ADC" w:rsidRPr="00D5464D">
        <w:rPr>
          <w:rFonts w:cs="Arial"/>
          <w:iCs/>
          <w:szCs w:val="20"/>
          <w:lang w:val="pt-BR"/>
        </w:rPr>
        <w:t xml:space="preserve"> deve </w:t>
      </w:r>
      <w:r w:rsidR="00B55CC2" w:rsidRPr="00D5464D">
        <w:rPr>
          <w:rFonts w:cs="Arial"/>
          <w:iCs/>
          <w:szCs w:val="20"/>
          <w:lang w:val="pt-BR"/>
        </w:rPr>
        <w:t xml:space="preserve">se </w:t>
      </w:r>
      <w:r w:rsidR="00737270" w:rsidRPr="00D5464D">
        <w:rPr>
          <w:rFonts w:cs="Arial"/>
          <w:iCs/>
          <w:szCs w:val="20"/>
          <w:lang w:val="pt-BR"/>
        </w:rPr>
        <w:t>abster</w:t>
      </w:r>
      <w:r w:rsidR="004B0842" w:rsidRPr="00D5464D">
        <w:rPr>
          <w:rFonts w:cs="Arial"/>
          <w:iCs/>
          <w:szCs w:val="20"/>
          <w:lang w:val="pt-BR"/>
        </w:rPr>
        <w:t xml:space="preserve"> de </w:t>
      </w:r>
      <w:r w:rsidR="00A1358C" w:rsidRPr="00D5464D">
        <w:rPr>
          <w:rFonts w:cs="Arial"/>
          <w:iCs/>
          <w:szCs w:val="20"/>
          <w:lang w:val="pt-BR"/>
        </w:rPr>
        <w:t>recorrer</w:t>
      </w:r>
      <w:r w:rsidR="004B0842" w:rsidRPr="00D5464D">
        <w:rPr>
          <w:rFonts w:cs="Arial"/>
          <w:iCs/>
          <w:szCs w:val="20"/>
          <w:lang w:val="pt-BR"/>
        </w:rPr>
        <w:t xml:space="preserve"> a figuras como</w:t>
      </w:r>
      <w:r w:rsidR="002C330E" w:rsidRPr="00D5464D">
        <w:rPr>
          <w:rFonts w:cs="Arial"/>
          <w:iCs/>
          <w:szCs w:val="20"/>
          <w:lang w:val="pt-BR"/>
        </w:rPr>
        <w:t xml:space="preserve"> a </w:t>
      </w:r>
      <w:r w:rsidR="00470ADC" w:rsidRPr="00D5464D">
        <w:rPr>
          <w:rFonts w:cs="Arial"/>
          <w:iCs/>
          <w:szCs w:val="20"/>
          <w:lang w:val="pt-BR"/>
        </w:rPr>
        <w:t>anistia</w:t>
      </w:r>
      <w:r w:rsidR="004B0842" w:rsidRPr="00D5464D">
        <w:rPr>
          <w:rFonts w:cs="Arial"/>
          <w:iCs/>
          <w:szCs w:val="20"/>
          <w:lang w:val="pt-BR"/>
        </w:rPr>
        <w:t xml:space="preserve">, </w:t>
      </w:r>
      <w:r w:rsidR="00181D8E" w:rsidRPr="00D5464D">
        <w:rPr>
          <w:rFonts w:cs="Arial"/>
          <w:iCs/>
          <w:szCs w:val="20"/>
          <w:lang w:val="pt-BR"/>
        </w:rPr>
        <w:t xml:space="preserve">bem </w:t>
      </w:r>
      <w:r w:rsidR="004B0842" w:rsidRPr="00D5464D">
        <w:rPr>
          <w:rFonts w:cs="Arial"/>
          <w:iCs/>
          <w:szCs w:val="20"/>
          <w:lang w:val="pt-BR"/>
        </w:rPr>
        <w:t xml:space="preserve">como </w:t>
      </w:r>
      <w:r w:rsidR="00470ADC" w:rsidRPr="00D5464D">
        <w:rPr>
          <w:rFonts w:cs="Arial"/>
          <w:iCs/>
          <w:szCs w:val="20"/>
          <w:lang w:val="pt-BR"/>
        </w:rPr>
        <w:t>qualquer</w:t>
      </w:r>
      <w:r w:rsidR="00506E25" w:rsidRPr="00D5464D">
        <w:rPr>
          <w:rFonts w:cs="Arial"/>
          <w:iCs/>
          <w:szCs w:val="20"/>
          <w:lang w:val="pt-BR"/>
        </w:rPr>
        <w:t xml:space="preserve"> obstáculo </w:t>
      </w:r>
      <w:r w:rsidR="002C330E" w:rsidRPr="00D5464D">
        <w:rPr>
          <w:rFonts w:cs="Arial"/>
          <w:iCs/>
          <w:szCs w:val="20"/>
          <w:lang w:val="pt-BR"/>
        </w:rPr>
        <w:t xml:space="preserve">processual </w:t>
      </w:r>
      <w:r w:rsidR="004B0842" w:rsidRPr="00D5464D">
        <w:rPr>
          <w:rFonts w:cs="Arial"/>
          <w:iCs/>
          <w:szCs w:val="20"/>
          <w:lang w:val="pt-BR"/>
        </w:rPr>
        <w:t>para e</w:t>
      </w:r>
      <w:r w:rsidR="00181D8E" w:rsidRPr="00D5464D">
        <w:rPr>
          <w:rFonts w:cs="Arial"/>
          <w:iCs/>
          <w:szCs w:val="20"/>
          <w:lang w:val="pt-BR"/>
        </w:rPr>
        <w:t>s</w:t>
      </w:r>
      <w:r w:rsidR="004B0842" w:rsidRPr="00D5464D">
        <w:rPr>
          <w:rFonts w:cs="Arial"/>
          <w:iCs/>
          <w:szCs w:val="20"/>
          <w:lang w:val="pt-BR"/>
        </w:rPr>
        <w:t>cus</w:t>
      </w:r>
      <w:r w:rsidRPr="00D5464D">
        <w:rPr>
          <w:rFonts w:cs="Arial"/>
          <w:iCs/>
          <w:szCs w:val="20"/>
          <w:lang w:val="pt-BR"/>
        </w:rPr>
        <w:t xml:space="preserve">ar-se </w:t>
      </w:r>
      <w:r w:rsidR="00470ADC" w:rsidRPr="00D5464D">
        <w:rPr>
          <w:rFonts w:cs="Arial"/>
          <w:iCs/>
          <w:szCs w:val="20"/>
          <w:lang w:val="pt-BR"/>
        </w:rPr>
        <w:t xml:space="preserve">desta </w:t>
      </w:r>
      <w:r w:rsidR="002C330E" w:rsidRPr="00D5464D">
        <w:rPr>
          <w:rFonts w:cs="Arial"/>
          <w:iCs/>
          <w:szCs w:val="20"/>
          <w:lang w:val="pt-BR"/>
        </w:rPr>
        <w:t>obrigação</w:t>
      </w:r>
      <w:r w:rsidR="004B0842" w:rsidRPr="00D5464D">
        <w:rPr>
          <w:rFonts w:cs="Arial"/>
          <w:iCs/>
          <w:szCs w:val="20"/>
          <w:lang w:val="pt-BR"/>
        </w:rPr>
        <w:t xml:space="preserve">; c) </w:t>
      </w:r>
      <w:r w:rsidR="002C330E" w:rsidRPr="00D5464D">
        <w:rPr>
          <w:rFonts w:cs="Arial"/>
          <w:iCs/>
          <w:szCs w:val="20"/>
          <w:lang w:val="pt-BR"/>
        </w:rPr>
        <w:t>garantir</w:t>
      </w:r>
      <w:r w:rsidR="004B0842" w:rsidRPr="00D5464D">
        <w:rPr>
          <w:rFonts w:cs="Arial"/>
          <w:iCs/>
          <w:szCs w:val="20"/>
          <w:lang w:val="pt-BR"/>
        </w:rPr>
        <w:t xml:space="preserve"> que</w:t>
      </w:r>
      <w:r w:rsidR="002C330E" w:rsidRPr="00D5464D">
        <w:rPr>
          <w:rFonts w:cs="Arial"/>
          <w:iCs/>
          <w:szCs w:val="20"/>
          <w:lang w:val="pt-BR"/>
        </w:rPr>
        <w:t xml:space="preserve"> as </w:t>
      </w:r>
      <w:r w:rsidR="004B0842" w:rsidRPr="00D5464D">
        <w:rPr>
          <w:rFonts w:cs="Arial"/>
          <w:iCs/>
          <w:szCs w:val="20"/>
          <w:lang w:val="pt-BR"/>
        </w:rPr>
        <w:t>investiga</w:t>
      </w:r>
      <w:r w:rsidR="00470ADC" w:rsidRPr="00D5464D">
        <w:rPr>
          <w:rFonts w:cs="Arial"/>
          <w:iCs/>
          <w:szCs w:val="20"/>
          <w:lang w:val="pt-BR"/>
        </w:rPr>
        <w:t>ções</w:t>
      </w:r>
      <w:r w:rsidR="00E045D9" w:rsidRPr="00D5464D">
        <w:rPr>
          <w:rFonts w:cs="Arial"/>
          <w:iCs/>
          <w:szCs w:val="20"/>
          <w:lang w:val="pt-BR"/>
        </w:rPr>
        <w:t xml:space="preserve"> e </w:t>
      </w:r>
      <w:r w:rsidR="002C330E" w:rsidRPr="00D5464D">
        <w:rPr>
          <w:rFonts w:cs="Arial"/>
          <w:iCs/>
          <w:szCs w:val="20"/>
          <w:lang w:val="pt-BR"/>
        </w:rPr>
        <w:t>processo</w:t>
      </w:r>
      <w:r w:rsidR="004B0842" w:rsidRPr="00D5464D">
        <w:rPr>
          <w:rFonts w:cs="Arial"/>
          <w:iCs/>
          <w:szCs w:val="20"/>
          <w:lang w:val="pt-BR"/>
        </w:rPr>
        <w:t>s</w:t>
      </w:r>
      <w:r w:rsidR="002C330E" w:rsidRPr="00D5464D">
        <w:rPr>
          <w:rFonts w:cs="Arial"/>
          <w:iCs/>
          <w:szCs w:val="20"/>
          <w:lang w:val="pt-BR"/>
        </w:rPr>
        <w:t xml:space="preserve"> </w:t>
      </w:r>
      <w:r w:rsidR="00181D8E" w:rsidRPr="00D5464D">
        <w:rPr>
          <w:rFonts w:cs="Arial"/>
          <w:iCs/>
          <w:szCs w:val="20"/>
          <w:lang w:val="pt-BR"/>
        </w:rPr>
        <w:t>relacionados a</w:t>
      </w:r>
      <w:r w:rsidR="002C330E" w:rsidRPr="00D5464D">
        <w:rPr>
          <w:rFonts w:cs="Arial"/>
          <w:iCs/>
          <w:szCs w:val="20"/>
          <w:lang w:val="pt-BR"/>
        </w:rPr>
        <w:t>os fatos</w:t>
      </w:r>
      <w:r w:rsidR="004B0842" w:rsidRPr="00D5464D">
        <w:rPr>
          <w:rFonts w:cs="Arial"/>
          <w:iCs/>
          <w:szCs w:val="20"/>
          <w:lang w:val="pt-BR"/>
        </w:rPr>
        <w:t xml:space="preserve"> </w:t>
      </w:r>
      <w:r w:rsidR="00470ADC" w:rsidRPr="00D5464D">
        <w:rPr>
          <w:rFonts w:cs="Arial"/>
          <w:iCs/>
          <w:szCs w:val="20"/>
          <w:lang w:val="pt-BR"/>
        </w:rPr>
        <w:t xml:space="preserve">do </w:t>
      </w:r>
      <w:r w:rsidR="004B0842" w:rsidRPr="00D5464D">
        <w:rPr>
          <w:rFonts w:cs="Arial"/>
          <w:iCs/>
          <w:szCs w:val="20"/>
          <w:lang w:val="pt-BR"/>
        </w:rPr>
        <w:t>presente caso se man</w:t>
      </w:r>
      <w:r w:rsidR="00E045D9" w:rsidRPr="00D5464D">
        <w:rPr>
          <w:rFonts w:cs="Arial"/>
          <w:iCs/>
          <w:szCs w:val="20"/>
          <w:lang w:val="pt-BR"/>
        </w:rPr>
        <w:t>tenha</w:t>
      </w:r>
      <w:r w:rsidR="00181D8E" w:rsidRPr="00D5464D">
        <w:rPr>
          <w:rFonts w:cs="Arial"/>
          <w:iCs/>
          <w:szCs w:val="20"/>
          <w:lang w:val="pt-BR"/>
        </w:rPr>
        <w:t>m</w:t>
      </w:r>
      <w:r w:rsidR="004B0842" w:rsidRPr="00D5464D">
        <w:rPr>
          <w:rFonts w:cs="Arial"/>
          <w:iCs/>
          <w:szCs w:val="20"/>
          <w:lang w:val="pt-BR"/>
        </w:rPr>
        <w:t>,</w:t>
      </w:r>
      <w:r w:rsidR="00470ADC" w:rsidRPr="00D5464D">
        <w:rPr>
          <w:rFonts w:cs="Arial"/>
          <w:iCs/>
          <w:szCs w:val="20"/>
          <w:lang w:val="pt-BR"/>
        </w:rPr>
        <w:t xml:space="preserve"> em </w:t>
      </w:r>
      <w:r w:rsidR="004B0842" w:rsidRPr="00D5464D">
        <w:rPr>
          <w:rFonts w:cs="Arial"/>
          <w:iCs/>
          <w:szCs w:val="20"/>
          <w:lang w:val="pt-BR"/>
        </w:rPr>
        <w:t>todo momento,</w:t>
      </w:r>
      <w:r w:rsidR="00470ADC" w:rsidRPr="00D5464D">
        <w:rPr>
          <w:rFonts w:cs="Arial"/>
          <w:iCs/>
          <w:szCs w:val="20"/>
          <w:lang w:val="pt-BR"/>
        </w:rPr>
        <w:t xml:space="preserve"> sob </w:t>
      </w:r>
      <w:r w:rsidR="00181D8E" w:rsidRPr="00D5464D">
        <w:rPr>
          <w:rFonts w:cs="Arial"/>
          <w:iCs/>
          <w:szCs w:val="20"/>
          <w:lang w:val="pt-BR"/>
        </w:rPr>
        <w:t xml:space="preserve">o </w:t>
      </w:r>
      <w:r w:rsidR="00470ADC" w:rsidRPr="00D5464D">
        <w:rPr>
          <w:rFonts w:cs="Arial"/>
          <w:iCs/>
          <w:szCs w:val="20"/>
          <w:lang w:val="pt-BR"/>
        </w:rPr>
        <w:t xml:space="preserve">conhecimento da </w:t>
      </w:r>
      <w:r w:rsidR="00181D8E" w:rsidRPr="00D5464D">
        <w:rPr>
          <w:rFonts w:cs="Arial"/>
          <w:iCs/>
          <w:szCs w:val="20"/>
          <w:lang w:val="pt-BR"/>
        </w:rPr>
        <w:t xml:space="preserve">justiça </w:t>
      </w:r>
      <w:r w:rsidR="004B0842" w:rsidRPr="00D5464D">
        <w:rPr>
          <w:rFonts w:cs="Arial"/>
          <w:iCs/>
          <w:szCs w:val="20"/>
          <w:lang w:val="pt-BR"/>
        </w:rPr>
        <w:t>federal</w:t>
      </w:r>
      <w:r w:rsidR="002A0C2B" w:rsidRPr="00D5464D">
        <w:rPr>
          <w:rFonts w:cs="Arial"/>
          <w:iCs/>
          <w:szCs w:val="20"/>
          <w:lang w:val="pt-BR"/>
        </w:rPr>
        <w:t xml:space="preserve"> e </w:t>
      </w:r>
      <w:r w:rsidR="004B0842" w:rsidRPr="00D5464D">
        <w:rPr>
          <w:rFonts w:cs="Arial"/>
          <w:iCs/>
          <w:szCs w:val="20"/>
          <w:lang w:val="pt-BR"/>
        </w:rPr>
        <w:t xml:space="preserve">d) divulgar </w:t>
      </w:r>
      <w:r w:rsidR="002C330E" w:rsidRPr="00D5464D">
        <w:rPr>
          <w:rFonts w:cs="Arial"/>
          <w:iCs/>
          <w:szCs w:val="20"/>
          <w:lang w:val="pt-BR"/>
        </w:rPr>
        <w:t xml:space="preserve">publicamente os </w:t>
      </w:r>
      <w:r w:rsidR="004B0842" w:rsidRPr="00D5464D">
        <w:rPr>
          <w:rFonts w:cs="Arial"/>
          <w:iCs/>
          <w:szCs w:val="20"/>
          <w:lang w:val="pt-BR"/>
        </w:rPr>
        <w:t>resultados</w:t>
      </w:r>
      <w:r w:rsidR="00470ADC" w:rsidRPr="00D5464D">
        <w:rPr>
          <w:rFonts w:cs="Arial"/>
          <w:iCs/>
          <w:szCs w:val="20"/>
          <w:lang w:val="pt-BR"/>
        </w:rPr>
        <w:t xml:space="preserve"> dos </w:t>
      </w:r>
      <w:r w:rsidR="002C330E" w:rsidRPr="00D5464D">
        <w:rPr>
          <w:rFonts w:cs="Arial"/>
          <w:iCs/>
          <w:szCs w:val="20"/>
          <w:lang w:val="pt-BR"/>
        </w:rPr>
        <w:t>processo</w:t>
      </w:r>
      <w:r w:rsidR="004B0842" w:rsidRPr="00D5464D">
        <w:rPr>
          <w:rFonts w:cs="Arial"/>
          <w:iCs/>
          <w:szCs w:val="20"/>
          <w:lang w:val="pt-BR"/>
        </w:rPr>
        <w:t>s para que</w:t>
      </w:r>
      <w:r w:rsidR="002C330E" w:rsidRPr="00D5464D">
        <w:rPr>
          <w:rFonts w:cs="Arial"/>
          <w:iCs/>
          <w:szCs w:val="20"/>
          <w:lang w:val="pt-BR"/>
        </w:rPr>
        <w:t xml:space="preserve"> a sociedade </w:t>
      </w:r>
      <w:r w:rsidR="00470ADC" w:rsidRPr="00D5464D">
        <w:rPr>
          <w:rFonts w:cs="Arial"/>
          <w:iCs/>
          <w:szCs w:val="20"/>
          <w:lang w:val="pt-BR"/>
        </w:rPr>
        <w:t>brasileir</w:t>
      </w:r>
      <w:r w:rsidR="004B0842" w:rsidRPr="00D5464D">
        <w:rPr>
          <w:rFonts w:cs="Arial"/>
          <w:iCs/>
          <w:szCs w:val="20"/>
          <w:lang w:val="pt-BR"/>
        </w:rPr>
        <w:t xml:space="preserve">a </w:t>
      </w:r>
      <w:r w:rsidR="00470ADC" w:rsidRPr="00D5464D">
        <w:rPr>
          <w:rFonts w:cs="Arial"/>
          <w:iCs/>
          <w:szCs w:val="20"/>
          <w:lang w:val="pt-BR"/>
        </w:rPr>
        <w:t>conheça</w:t>
      </w:r>
      <w:r w:rsidR="002C330E" w:rsidRPr="00D5464D">
        <w:rPr>
          <w:rFonts w:cs="Arial"/>
          <w:iCs/>
          <w:szCs w:val="20"/>
          <w:lang w:val="pt-BR"/>
        </w:rPr>
        <w:t xml:space="preserve"> a </w:t>
      </w:r>
      <w:r w:rsidR="004B0842" w:rsidRPr="00D5464D">
        <w:rPr>
          <w:rFonts w:cs="Arial"/>
          <w:iCs/>
          <w:szCs w:val="20"/>
          <w:lang w:val="pt-BR"/>
        </w:rPr>
        <w:t>determina</w:t>
      </w:r>
      <w:r w:rsidR="00470ADC" w:rsidRPr="00D5464D">
        <w:rPr>
          <w:rFonts w:cs="Arial"/>
          <w:iCs/>
          <w:szCs w:val="20"/>
          <w:lang w:val="pt-BR"/>
        </w:rPr>
        <w:t>ção</w:t>
      </w:r>
      <w:r w:rsidR="004B0842" w:rsidRPr="00D5464D">
        <w:rPr>
          <w:rFonts w:cs="Arial"/>
          <w:iCs/>
          <w:szCs w:val="20"/>
          <w:lang w:val="pt-BR"/>
        </w:rPr>
        <w:t xml:space="preserve"> judicial</w:t>
      </w:r>
      <w:r w:rsidR="00470ADC" w:rsidRPr="00D5464D">
        <w:rPr>
          <w:rFonts w:cs="Arial"/>
          <w:iCs/>
          <w:szCs w:val="20"/>
          <w:lang w:val="pt-BR"/>
        </w:rPr>
        <w:t xml:space="preserve"> </w:t>
      </w:r>
      <w:r w:rsidR="00B55CC2" w:rsidRPr="00D5464D">
        <w:rPr>
          <w:rFonts w:cs="Arial"/>
          <w:iCs/>
          <w:szCs w:val="20"/>
          <w:lang w:val="pt-BR"/>
        </w:rPr>
        <w:t>quanto aos</w:t>
      </w:r>
      <w:r w:rsidR="00FF1290" w:rsidRPr="00D5464D">
        <w:rPr>
          <w:rFonts w:cs="Arial"/>
          <w:iCs/>
          <w:szCs w:val="20"/>
          <w:lang w:val="pt-BR"/>
        </w:rPr>
        <w:t xml:space="preserve"> </w:t>
      </w:r>
      <w:r w:rsidR="002C330E" w:rsidRPr="00D5464D">
        <w:rPr>
          <w:rFonts w:cs="Arial"/>
          <w:iCs/>
          <w:szCs w:val="20"/>
          <w:lang w:val="pt-BR"/>
        </w:rPr>
        <w:t>fatos</w:t>
      </w:r>
      <w:r w:rsidR="004B0842" w:rsidRPr="00D5464D">
        <w:rPr>
          <w:rFonts w:cs="Arial"/>
          <w:iCs/>
          <w:szCs w:val="20"/>
          <w:lang w:val="pt-BR"/>
        </w:rPr>
        <w:t xml:space="preserve"> objeto </w:t>
      </w:r>
      <w:r w:rsidR="00470ADC" w:rsidRPr="00D5464D">
        <w:rPr>
          <w:rFonts w:cs="Arial"/>
          <w:iCs/>
          <w:szCs w:val="20"/>
          <w:lang w:val="pt-BR"/>
        </w:rPr>
        <w:t xml:space="preserve">do </w:t>
      </w:r>
      <w:r w:rsidR="004B0842" w:rsidRPr="00D5464D">
        <w:rPr>
          <w:rFonts w:cs="Arial"/>
          <w:iCs/>
          <w:szCs w:val="20"/>
          <w:lang w:val="pt-BR"/>
        </w:rPr>
        <w:t>presente caso</w:t>
      </w:r>
      <w:r w:rsidR="00181D8E" w:rsidRPr="00D5464D">
        <w:rPr>
          <w:rFonts w:cs="Arial"/>
          <w:iCs/>
          <w:szCs w:val="20"/>
          <w:lang w:val="pt-BR"/>
        </w:rPr>
        <w:t>.</w:t>
      </w:r>
      <w:r w:rsidR="004B0842" w:rsidRPr="00D5464D">
        <w:rPr>
          <w:rFonts w:cs="Arial"/>
          <w:iCs/>
          <w:szCs w:val="20"/>
          <w:vertAlign w:val="superscript"/>
          <w:lang w:val="pt-BR"/>
        </w:rPr>
        <w:footnoteReference w:id="526"/>
      </w:r>
      <w:r w:rsidRPr="00D5464D">
        <w:rPr>
          <w:rFonts w:cs="Arial"/>
          <w:iCs/>
          <w:szCs w:val="20"/>
          <w:lang w:val="pt-BR"/>
        </w:rPr>
        <w:t xml:space="preserve"> Em </w:t>
      </w:r>
      <w:r w:rsidR="00694537" w:rsidRPr="00D5464D">
        <w:rPr>
          <w:rFonts w:cs="Arial"/>
          <w:iCs/>
          <w:szCs w:val="20"/>
          <w:lang w:val="pt-BR"/>
        </w:rPr>
        <w:t>especial,</w:t>
      </w:r>
      <w:r w:rsidR="00470ADC" w:rsidRPr="00D5464D">
        <w:rPr>
          <w:rFonts w:cs="Arial"/>
          <w:iCs/>
          <w:szCs w:val="20"/>
          <w:lang w:val="pt-BR"/>
        </w:rPr>
        <w:t xml:space="preserve"> o </w:t>
      </w:r>
      <w:r w:rsidR="00694537" w:rsidRPr="00D5464D">
        <w:rPr>
          <w:rFonts w:cs="Arial"/>
          <w:iCs/>
          <w:szCs w:val="20"/>
          <w:lang w:val="pt-BR"/>
        </w:rPr>
        <w:t>Estado</w:t>
      </w:r>
      <w:r w:rsidR="00470ADC" w:rsidRPr="00D5464D">
        <w:rPr>
          <w:rFonts w:cs="Arial"/>
          <w:iCs/>
          <w:szCs w:val="20"/>
          <w:lang w:val="pt-BR"/>
        </w:rPr>
        <w:t xml:space="preserve"> deve </w:t>
      </w:r>
      <w:r w:rsidR="00694537" w:rsidRPr="00D5464D">
        <w:rPr>
          <w:rFonts w:cs="Arial"/>
          <w:iCs/>
          <w:szCs w:val="20"/>
          <w:lang w:val="pt-BR"/>
        </w:rPr>
        <w:t>realizar</w:t>
      </w:r>
      <w:r w:rsidR="00E045D9" w:rsidRPr="00D5464D">
        <w:rPr>
          <w:rFonts w:cs="Arial"/>
          <w:iCs/>
          <w:szCs w:val="20"/>
          <w:lang w:val="pt-BR"/>
        </w:rPr>
        <w:t xml:space="preserve"> uma </w:t>
      </w:r>
      <w:r w:rsidR="00694537" w:rsidRPr="00D5464D">
        <w:rPr>
          <w:rFonts w:cs="Arial"/>
          <w:iCs/>
          <w:szCs w:val="20"/>
          <w:lang w:val="pt-BR"/>
        </w:rPr>
        <w:t>investiga</w:t>
      </w:r>
      <w:r w:rsidR="00470ADC" w:rsidRPr="00D5464D">
        <w:rPr>
          <w:rFonts w:cs="Arial"/>
          <w:iCs/>
          <w:szCs w:val="20"/>
          <w:lang w:val="pt-BR"/>
        </w:rPr>
        <w:t>ção</w:t>
      </w:r>
      <w:r w:rsidR="00E045D9" w:rsidRPr="00D5464D">
        <w:rPr>
          <w:rFonts w:cs="Arial"/>
          <w:iCs/>
          <w:szCs w:val="20"/>
          <w:lang w:val="pt-BR"/>
        </w:rPr>
        <w:t xml:space="preserve"> e,</w:t>
      </w:r>
      <w:r w:rsidR="00470ADC" w:rsidRPr="00D5464D">
        <w:rPr>
          <w:rFonts w:cs="Arial"/>
          <w:iCs/>
          <w:szCs w:val="20"/>
          <w:lang w:val="pt-BR"/>
        </w:rPr>
        <w:t xml:space="preserve"> </w:t>
      </w:r>
      <w:r w:rsidR="00E045D9" w:rsidRPr="00D5464D">
        <w:rPr>
          <w:rFonts w:cs="Arial"/>
          <w:iCs/>
          <w:szCs w:val="20"/>
          <w:lang w:val="pt-BR"/>
        </w:rPr>
        <w:t>se for o caso,</w:t>
      </w:r>
      <w:r w:rsidR="00694537" w:rsidRPr="00D5464D">
        <w:rPr>
          <w:rFonts w:cs="Arial"/>
          <w:iCs/>
          <w:szCs w:val="20"/>
          <w:lang w:val="pt-BR"/>
        </w:rPr>
        <w:t xml:space="preserve"> r</w:t>
      </w:r>
      <w:r w:rsidR="00470ADC" w:rsidRPr="00D5464D">
        <w:rPr>
          <w:rFonts w:cs="Arial"/>
          <w:iCs/>
          <w:szCs w:val="20"/>
          <w:lang w:val="pt-BR"/>
        </w:rPr>
        <w:t>estabelece</w:t>
      </w:r>
      <w:r w:rsidR="00694537" w:rsidRPr="00D5464D">
        <w:rPr>
          <w:rFonts w:cs="Arial"/>
          <w:iCs/>
          <w:szCs w:val="20"/>
          <w:lang w:val="pt-BR"/>
        </w:rPr>
        <w:t>r (o</w:t>
      </w:r>
      <w:r w:rsidR="00181D8E" w:rsidRPr="00D5464D">
        <w:rPr>
          <w:rFonts w:cs="Arial"/>
          <w:iCs/>
          <w:szCs w:val="20"/>
          <w:lang w:val="pt-BR"/>
        </w:rPr>
        <w:t>u</w:t>
      </w:r>
      <w:r w:rsidR="00694537" w:rsidRPr="00D5464D">
        <w:rPr>
          <w:rFonts w:cs="Arial"/>
          <w:iCs/>
          <w:szCs w:val="20"/>
          <w:lang w:val="pt-BR"/>
        </w:rPr>
        <w:t xml:space="preserve"> reconstruir)</w:t>
      </w:r>
      <w:r w:rsidR="00470ADC" w:rsidRPr="00D5464D">
        <w:rPr>
          <w:rFonts w:cs="Arial"/>
          <w:iCs/>
          <w:szCs w:val="20"/>
          <w:lang w:val="pt-BR"/>
        </w:rPr>
        <w:t xml:space="preserve"> o </w:t>
      </w:r>
      <w:r w:rsidR="002C330E" w:rsidRPr="00D5464D">
        <w:rPr>
          <w:rFonts w:cs="Arial"/>
          <w:iCs/>
          <w:szCs w:val="20"/>
          <w:lang w:val="pt-BR"/>
        </w:rPr>
        <w:t>processo</w:t>
      </w:r>
      <w:r w:rsidR="00694537" w:rsidRPr="00D5464D">
        <w:rPr>
          <w:rFonts w:cs="Arial"/>
          <w:iCs/>
          <w:szCs w:val="20"/>
          <w:lang w:val="pt-BR"/>
        </w:rPr>
        <w:t xml:space="preserve"> penal </w:t>
      </w:r>
      <w:r w:rsidR="00694537" w:rsidRPr="00D5464D">
        <w:rPr>
          <w:rFonts w:cs="Arial"/>
          <w:bCs/>
          <w:iCs/>
          <w:szCs w:val="20"/>
          <w:lang w:val="pt-BR"/>
        </w:rPr>
        <w:t>2001.39.01.000270-0, iniciado</w:t>
      </w:r>
      <w:r w:rsidR="00470ADC" w:rsidRPr="00D5464D">
        <w:rPr>
          <w:rFonts w:cs="Arial"/>
          <w:bCs/>
          <w:iCs/>
          <w:szCs w:val="20"/>
          <w:lang w:val="pt-BR"/>
        </w:rPr>
        <w:t xml:space="preserve"> em </w:t>
      </w:r>
      <w:r w:rsidR="00694537" w:rsidRPr="00D5464D">
        <w:rPr>
          <w:rFonts w:cs="Arial"/>
          <w:bCs/>
          <w:iCs/>
          <w:szCs w:val="20"/>
          <w:lang w:val="pt-BR"/>
        </w:rPr>
        <w:t>2001,</w:t>
      </w:r>
      <w:r w:rsidR="00470ADC" w:rsidRPr="00D5464D">
        <w:rPr>
          <w:rFonts w:cs="Arial"/>
          <w:bCs/>
          <w:iCs/>
          <w:szCs w:val="20"/>
          <w:lang w:val="pt-BR"/>
        </w:rPr>
        <w:t xml:space="preserve"> perante a </w:t>
      </w:r>
      <w:r w:rsidR="00694537" w:rsidRPr="00D5464D">
        <w:rPr>
          <w:rFonts w:cs="Arial"/>
          <w:bCs/>
          <w:iCs/>
          <w:szCs w:val="20"/>
          <w:lang w:val="pt-BR"/>
        </w:rPr>
        <w:t xml:space="preserve">2ª Vara de </w:t>
      </w:r>
      <w:r w:rsidR="002C330E" w:rsidRPr="00D5464D">
        <w:rPr>
          <w:rFonts w:cs="Arial"/>
          <w:bCs/>
          <w:iCs/>
          <w:szCs w:val="20"/>
          <w:lang w:val="pt-BR"/>
        </w:rPr>
        <w:t>Justiça</w:t>
      </w:r>
      <w:r w:rsidR="00694537" w:rsidRPr="00D5464D">
        <w:rPr>
          <w:rFonts w:cs="Arial"/>
          <w:bCs/>
          <w:iCs/>
          <w:szCs w:val="20"/>
          <w:lang w:val="pt-BR"/>
        </w:rPr>
        <w:t xml:space="preserve"> Federal de Marabá, </w:t>
      </w:r>
      <w:r w:rsidR="00996473" w:rsidRPr="00D5464D">
        <w:rPr>
          <w:rFonts w:cs="Arial"/>
          <w:bCs/>
          <w:iCs/>
          <w:szCs w:val="20"/>
          <w:lang w:val="pt-BR"/>
        </w:rPr>
        <w:t>Estado do Pará</w:t>
      </w:r>
      <w:r w:rsidR="00694537" w:rsidRPr="00D5464D">
        <w:rPr>
          <w:rFonts w:cs="Arial"/>
          <w:bCs/>
          <w:iCs/>
          <w:szCs w:val="20"/>
          <w:lang w:val="pt-BR"/>
        </w:rPr>
        <w:t>.</w:t>
      </w:r>
    </w:p>
    <w:p w14:paraId="53052991" w14:textId="77777777" w:rsidR="004B0842" w:rsidRPr="00D5464D" w:rsidRDefault="004B0842" w:rsidP="004B0842">
      <w:pPr>
        <w:pStyle w:val="Prrafodelista"/>
        <w:autoSpaceDE w:val="0"/>
        <w:autoSpaceDN w:val="0"/>
        <w:adjustRightInd w:val="0"/>
        <w:ind w:left="0"/>
        <w:rPr>
          <w:rFonts w:cs="Arial"/>
          <w:iCs/>
          <w:szCs w:val="20"/>
          <w:lang w:val="pt-BR"/>
        </w:rPr>
      </w:pPr>
    </w:p>
    <w:p w14:paraId="08187D57" w14:textId="7053A62D" w:rsidR="004B0842" w:rsidRPr="00D5464D" w:rsidRDefault="00470ADC"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Ademais</w:t>
      </w:r>
      <w:r w:rsidR="004B0842" w:rsidRPr="00D5464D">
        <w:rPr>
          <w:rFonts w:cs="Arial"/>
          <w:iCs/>
          <w:szCs w:val="20"/>
          <w:lang w:val="pt-BR"/>
        </w:rPr>
        <w:t xml:space="preserve">, </w:t>
      </w:r>
      <w:r w:rsidR="00737270" w:rsidRPr="00D5464D">
        <w:rPr>
          <w:rFonts w:cs="Arial"/>
          <w:iCs/>
          <w:szCs w:val="20"/>
          <w:lang w:val="pt-BR"/>
        </w:rPr>
        <w:t>como fez</w:t>
      </w:r>
      <w:r w:rsidR="002C330E" w:rsidRPr="00D5464D">
        <w:rPr>
          <w:rFonts w:cs="Arial"/>
          <w:iCs/>
          <w:szCs w:val="20"/>
          <w:lang w:val="pt-BR"/>
        </w:rPr>
        <w:t xml:space="preserve"> </w:t>
      </w:r>
      <w:r w:rsidRPr="00D5464D">
        <w:rPr>
          <w:rFonts w:cs="Arial"/>
          <w:iCs/>
          <w:szCs w:val="20"/>
          <w:lang w:val="pt-BR"/>
        </w:rPr>
        <w:t xml:space="preserve">em </w:t>
      </w:r>
      <w:r w:rsidR="002C330E" w:rsidRPr="00D5464D">
        <w:rPr>
          <w:rFonts w:cs="Arial"/>
          <w:iCs/>
          <w:szCs w:val="20"/>
          <w:lang w:val="pt-BR"/>
        </w:rPr>
        <w:t>outra</w:t>
      </w:r>
      <w:r w:rsidR="004B0842" w:rsidRPr="00D5464D">
        <w:rPr>
          <w:rFonts w:cs="Arial"/>
          <w:iCs/>
          <w:szCs w:val="20"/>
          <w:lang w:val="pt-BR"/>
        </w:rPr>
        <w:t>s oportunidades</w:t>
      </w:r>
      <w:r w:rsidR="006C4FBD" w:rsidRPr="00D5464D">
        <w:rPr>
          <w:rFonts w:cs="Arial"/>
          <w:iCs/>
          <w:szCs w:val="20"/>
          <w:lang w:val="pt-BR"/>
        </w:rPr>
        <w:t>,</w:t>
      </w:r>
      <w:r w:rsidR="004B0842" w:rsidRPr="00D5464D">
        <w:rPr>
          <w:rFonts w:cs="Arial"/>
          <w:iCs/>
          <w:szCs w:val="20"/>
          <w:vertAlign w:val="superscript"/>
          <w:lang w:val="pt-BR"/>
        </w:rPr>
        <w:footnoteReference w:id="527"/>
      </w:r>
      <w:r w:rsidR="002C330E" w:rsidRPr="00D5464D">
        <w:rPr>
          <w:rFonts w:cs="Arial"/>
          <w:iCs/>
          <w:szCs w:val="20"/>
          <w:lang w:val="pt-BR"/>
        </w:rPr>
        <w:t xml:space="preserve"> a </w:t>
      </w:r>
      <w:r w:rsidR="004B0842" w:rsidRPr="00D5464D">
        <w:rPr>
          <w:rFonts w:cs="Arial"/>
          <w:iCs/>
          <w:szCs w:val="20"/>
          <w:lang w:val="pt-BR"/>
        </w:rPr>
        <w:t xml:space="preserve">Corte </w:t>
      </w:r>
      <w:r w:rsidRPr="00D5464D">
        <w:rPr>
          <w:rFonts w:cs="Arial"/>
          <w:iCs/>
          <w:szCs w:val="20"/>
          <w:lang w:val="pt-BR"/>
        </w:rPr>
        <w:t>dispõe</w:t>
      </w:r>
      <w:r w:rsidR="004B0842" w:rsidRPr="00D5464D">
        <w:rPr>
          <w:rFonts w:cs="Arial"/>
          <w:iCs/>
          <w:szCs w:val="20"/>
          <w:lang w:val="pt-BR"/>
        </w:rPr>
        <w:t xml:space="preserve"> que, de </w:t>
      </w:r>
      <w:r w:rsidRPr="00D5464D">
        <w:rPr>
          <w:rFonts w:cs="Arial"/>
          <w:iCs/>
          <w:szCs w:val="20"/>
          <w:lang w:val="pt-BR"/>
        </w:rPr>
        <w:t>acordo com</w:t>
      </w:r>
      <w:r w:rsidR="002C330E" w:rsidRPr="00D5464D">
        <w:rPr>
          <w:rFonts w:cs="Arial"/>
          <w:iCs/>
          <w:szCs w:val="20"/>
          <w:lang w:val="pt-BR"/>
        </w:rPr>
        <w:t xml:space="preserve"> a </w:t>
      </w:r>
      <w:r w:rsidR="004B0842" w:rsidRPr="00D5464D">
        <w:rPr>
          <w:rFonts w:cs="Arial"/>
          <w:iCs/>
          <w:szCs w:val="20"/>
          <w:lang w:val="pt-BR"/>
        </w:rPr>
        <w:t>normativa disciplinar pertinente,</w:t>
      </w:r>
      <w:r w:rsidRPr="00D5464D">
        <w:rPr>
          <w:rFonts w:cs="Arial"/>
          <w:iCs/>
          <w:szCs w:val="20"/>
          <w:lang w:val="pt-BR"/>
        </w:rPr>
        <w:t xml:space="preserve"> o </w:t>
      </w:r>
      <w:r w:rsidR="004B0842" w:rsidRPr="00D5464D">
        <w:rPr>
          <w:rFonts w:cs="Arial"/>
          <w:iCs/>
          <w:szCs w:val="20"/>
          <w:lang w:val="pt-BR"/>
        </w:rPr>
        <w:t>Estado examine</w:t>
      </w:r>
      <w:r w:rsidR="002C330E" w:rsidRPr="00D5464D">
        <w:rPr>
          <w:rFonts w:cs="Arial"/>
          <w:iCs/>
          <w:szCs w:val="20"/>
          <w:lang w:val="pt-BR"/>
        </w:rPr>
        <w:t xml:space="preserve"> as </w:t>
      </w:r>
      <w:r w:rsidRPr="00D5464D">
        <w:rPr>
          <w:rFonts w:cs="Arial"/>
          <w:iCs/>
          <w:szCs w:val="20"/>
          <w:lang w:val="pt-BR"/>
        </w:rPr>
        <w:t>eventuais</w:t>
      </w:r>
      <w:r w:rsidR="004B0842" w:rsidRPr="00D5464D">
        <w:rPr>
          <w:rFonts w:cs="Arial"/>
          <w:iCs/>
          <w:szCs w:val="20"/>
          <w:lang w:val="pt-BR"/>
        </w:rPr>
        <w:t xml:space="preserve"> irregularidades </w:t>
      </w:r>
      <w:r w:rsidR="002C330E" w:rsidRPr="00D5464D">
        <w:rPr>
          <w:rFonts w:cs="Arial"/>
          <w:iCs/>
          <w:szCs w:val="20"/>
          <w:lang w:val="pt-BR"/>
        </w:rPr>
        <w:t>processuais</w:t>
      </w:r>
      <w:r w:rsidR="004B0842" w:rsidRPr="00D5464D">
        <w:rPr>
          <w:rFonts w:cs="Arial"/>
          <w:iCs/>
          <w:szCs w:val="20"/>
          <w:lang w:val="pt-BR"/>
        </w:rPr>
        <w:t xml:space="preserve"> e investigativas relacionadas</w:t>
      </w:r>
      <w:r w:rsidRPr="00D5464D">
        <w:rPr>
          <w:rFonts w:cs="Arial"/>
          <w:iCs/>
          <w:szCs w:val="20"/>
          <w:lang w:val="pt-BR"/>
        </w:rPr>
        <w:t xml:space="preserve"> </w:t>
      </w:r>
      <w:r w:rsidR="00181D8E" w:rsidRPr="00D5464D">
        <w:rPr>
          <w:rFonts w:cs="Arial"/>
          <w:iCs/>
          <w:szCs w:val="20"/>
          <w:lang w:val="pt-BR"/>
        </w:rPr>
        <w:t>a</w:t>
      </w:r>
      <w:r w:rsidRPr="00D5464D">
        <w:rPr>
          <w:rFonts w:cs="Arial"/>
          <w:iCs/>
          <w:szCs w:val="20"/>
          <w:lang w:val="pt-BR"/>
        </w:rPr>
        <w:t xml:space="preserve">o </w:t>
      </w:r>
      <w:r w:rsidR="004B0842" w:rsidRPr="00D5464D">
        <w:rPr>
          <w:rFonts w:cs="Arial"/>
          <w:iCs/>
          <w:szCs w:val="20"/>
          <w:lang w:val="pt-BR"/>
        </w:rPr>
        <w:t>presente caso</w:t>
      </w:r>
      <w:r w:rsidR="00E045D9" w:rsidRPr="00D5464D">
        <w:rPr>
          <w:rFonts w:cs="Arial"/>
          <w:iCs/>
          <w:szCs w:val="20"/>
          <w:lang w:val="pt-BR"/>
        </w:rPr>
        <w:t xml:space="preserve"> e,</w:t>
      </w:r>
      <w:r w:rsidRPr="00D5464D">
        <w:rPr>
          <w:rFonts w:cs="Arial"/>
          <w:iCs/>
          <w:szCs w:val="20"/>
          <w:lang w:val="pt-BR"/>
        </w:rPr>
        <w:t xml:space="preserve"> </w:t>
      </w:r>
      <w:r w:rsidR="00E045D9" w:rsidRPr="00D5464D">
        <w:rPr>
          <w:rFonts w:cs="Arial"/>
          <w:iCs/>
          <w:szCs w:val="20"/>
          <w:lang w:val="pt-BR"/>
        </w:rPr>
        <w:t>se for o caso,</w:t>
      </w:r>
      <w:r w:rsidR="004B0842" w:rsidRPr="00D5464D">
        <w:rPr>
          <w:rFonts w:cs="Arial"/>
          <w:iCs/>
          <w:szCs w:val="20"/>
          <w:lang w:val="pt-BR"/>
        </w:rPr>
        <w:t xml:space="preserve"> sancione</w:t>
      </w:r>
      <w:r w:rsidR="002C330E" w:rsidRPr="00D5464D">
        <w:rPr>
          <w:rFonts w:cs="Arial"/>
          <w:iCs/>
          <w:szCs w:val="20"/>
          <w:lang w:val="pt-BR"/>
        </w:rPr>
        <w:t xml:space="preserve"> a </w:t>
      </w:r>
      <w:r w:rsidRPr="00D5464D">
        <w:rPr>
          <w:rFonts w:cs="Arial"/>
          <w:iCs/>
          <w:szCs w:val="20"/>
          <w:lang w:val="pt-BR"/>
        </w:rPr>
        <w:t xml:space="preserve">conduta dos </w:t>
      </w:r>
      <w:r w:rsidR="004B0842" w:rsidRPr="00D5464D">
        <w:rPr>
          <w:rFonts w:cs="Arial"/>
          <w:iCs/>
          <w:szCs w:val="20"/>
          <w:lang w:val="pt-BR"/>
        </w:rPr>
        <w:t xml:space="preserve">servidores públicos </w:t>
      </w:r>
      <w:r w:rsidRPr="00D5464D">
        <w:rPr>
          <w:rFonts w:cs="Arial"/>
          <w:iCs/>
          <w:szCs w:val="20"/>
          <w:lang w:val="pt-BR"/>
        </w:rPr>
        <w:t>correspondente</w:t>
      </w:r>
      <w:r w:rsidR="004B0842" w:rsidRPr="00D5464D">
        <w:rPr>
          <w:rFonts w:cs="Arial"/>
          <w:iCs/>
          <w:szCs w:val="20"/>
          <w:lang w:val="pt-BR"/>
        </w:rPr>
        <w:t>s,</w:t>
      </w:r>
      <w:r w:rsidR="002C330E" w:rsidRPr="00D5464D">
        <w:rPr>
          <w:rFonts w:cs="Arial"/>
          <w:iCs/>
          <w:szCs w:val="20"/>
          <w:lang w:val="pt-BR"/>
        </w:rPr>
        <w:t xml:space="preserve"> sem </w:t>
      </w:r>
      <w:r w:rsidR="004B0842" w:rsidRPr="00D5464D">
        <w:rPr>
          <w:rFonts w:cs="Arial"/>
          <w:iCs/>
          <w:szCs w:val="20"/>
          <w:lang w:val="pt-BR"/>
        </w:rPr>
        <w:t>que</w:t>
      </w:r>
      <w:r w:rsidR="002C330E" w:rsidRPr="00D5464D">
        <w:rPr>
          <w:rFonts w:cs="Arial"/>
          <w:iCs/>
          <w:szCs w:val="20"/>
          <w:lang w:val="pt-BR"/>
        </w:rPr>
        <w:t xml:space="preserve"> seja necessári</w:t>
      </w:r>
      <w:r w:rsidR="004B0842" w:rsidRPr="00D5464D">
        <w:rPr>
          <w:rFonts w:cs="Arial"/>
          <w:iCs/>
          <w:szCs w:val="20"/>
          <w:lang w:val="pt-BR"/>
        </w:rPr>
        <w:t>o que</w:t>
      </w:r>
      <w:r w:rsidR="002C330E" w:rsidRPr="00D5464D">
        <w:rPr>
          <w:rFonts w:cs="Arial"/>
          <w:iCs/>
          <w:szCs w:val="20"/>
          <w:lang w:val="pt-BR"/>
        </w:rPr>
        <w:t xml:space="preserve"> as </w:t>
      </w:r>
      <w:r w:rsidR="00E045D9" w:rsidRPr="00D5464D">
        <w:rPr>
          <w:rFonts w:cs="Arial"/>
          <w:iCs/>
          <w:szCs w:val="20"/>
          <w:lang w:val="pt-BR"/>
        </w:rPr>
        <w:t>vítima</w:t>
      </w:r>
      <w:r w:rsidR="004B0842" w:rsidRPr="00D5464D">
        <w:rPr>
          <w:rFonts w:cs="Arial"/>
          <w:iCs/>
          <w:szCs w:val="20"/>
          <w:lang w:val="pt-BR"/>
        </w:rPr>
        <w:t xml:space="preserve">s </w:t>
      </w:r>
      <w:r w:rsidRPr="00D5464D">
        <w:rPr>
          <w:rFonts w:cs="Arial"/>
          <w:iCs/>
          <w:szCs w:val="20"/>
          <w:lang w:val="pt-BR"/>
        </w:rPr>
        <w:t xml:space="preserve">do </w:t>
      </w:r>
      <w:r w:rsidR="004B0842" w:rsidRPr="00D5464D">
        <w:rPr>
          <w:rFonts w:cs="Arial"/>
          <w:iCs/>
          <w:szCs w:val="20"/>
          <w:lang w:val="pt-BR"/>
        </w:rPr>
        <w:t xml:space="preserve">caso </w:t>
      </w:r>
      <w:r w:rsidR="00A1358C" w:rsidRPr="00D5464D">
        <w:rPr>
          <w:rFonts w:cs="Arial"/>
          <w:iCs/>
          <w:szCs w:val="20"/>
          <w:lang w:val="pt-BR"/>
        </w:rPr>
        <w:t>interponham</w:t>
      </w:r>
      <w:r w:rsidR="004B0842" w:rsidRPr="00D5464D">
        <w:rPr>
          <w:rFonts w:cs="Arial"/>
          <w:iCs/>
          <w:szCs w:val="20"/>
          <w:lang w:val="pt-BR"/>
        </w:rPr>
        <w:t xml:space="preserve"> </w:t>
      </w:r>
      <w:r w:rsidRPr="00D5464D">
        <w:rPr>
          <w:rFonts w:cs="Arial"/>
          <w:iCs/>
          <w:szCs w:val="20"/>
          <w:lang w:val="pt-BR"/>
        </w:rPr>
        <w:t xml:space="preserve">denúncias </w:t>
      </w:r>
      <w:r w:rsidR="004B0842" w:rsidRPr="00D5464D">
        <w:rPr>
          <w:rFonts w:cs="Arial"/>
          <w:iCs/>
          <w:szCs w:val="20"/>
          <w:lang w:val="pt-BR"/>
        </w:rPr>
        <w:t>para</w:t>
      </w:r>
      <w:r w:rsidR="00E045D9" w:rsidRPr="00D5464D">
        <w:rPr>
          <w:rFonts w:cs="Arial"/>
          <w:iCs/>
          <w:szCs w:val="20"/>
          <w:lang w:val="pt-BR"/>
        </w:rPr>
        <w:t xml:space="preserve"> tais </w:t>
      </w:r>
      <w:r w:rsidRPr="00D5464D">
        <w:rPr>
          <w:rFonts w:cs="Arial"/>
          <w:iCs/>
          <w:szCs w:val="20"/>
          <w:lang w:val="pt-BR"/>
        </w:rPr>
        <w:t>efeito</w:t>
      </w:r>
      <w:r w:rsidR="004B0842" w:rsidRPr="00D5464D">
        <w:rPr>
          <w:rFonts w:cs="Arial"/>
          <w:iCs/>
          <w:szCs w:val="20"/>
          <w:lang w:val="pt-BR"/>
        </w:rPr>
        <w:t>s.</w:t>
      </w:r>
    </w:p>
    <w:p w14:paraId="2E8D2808" w14:textId="77777777" w:rsidR="004B0842" w:rsidRPr="00D5464D" w:rsidRDefault="004B0842" w:rsidP="004B0842">
      <w:pPr>
        <w:pStyle w:val="Prrafodelista"/>
        <w:autoSpaceDE w:val="0"/>
        <w:autoSpaceDN w:val="0"/>
        <w:adjustRightInd w:val="0"/>
        <w:rPr>
          <w:rFonts w:cs="Arial"/>
          <w:iCs/>
          <w:szCs w:val="20"/>
          <w:lang w:val="pt-BR"/>
        </w:rPr>
      </w:pPr>
    </w:p>
    <w:p w14:paraId="784581EF" w14:textId="18C96A85" w:rsidR="004B0842" w:rsidRPr="00D5464D" w:rsidRDefault="004B0842" w:rsidP="00F306D7">
      <w:pPr>
        <w:pStyle w:val="Ttulo2"/>
        <w:numPr>
          <w:ilvl w:val="0"/>
          <w:numId w:val="21"/>
        </w:numPr>
        <w:rPr>
          <w:lang w:val="pt-BR"/>
        </w:rPr>
      </w:pPr>
      <w:bookmarkStart w:id="447" w:name="_Toc468433948"/>
      <w:r w:rsidRPr="00D5464D">
        <w:rPr>
          <w:lang w:val="pt-BR"/>
        </w:rPr>
        <w:t xml:space="preserve">Medidas de </w:t>
      </w:r>
      <w:r w:rsidR="00E045D9" w:rsidRPr="00D5464D">
        <w:rPr>
          <w:lang w:val="pt-BR"/>
        </w:rPr>
        <w:t xml:space="preserve">satisfação e </w:t>
      </w:r>
      <w:r w:rsidR="002C330E" w:rsidRPr="00D5464D">
        <w:rPr>
          <w:lang w:val="pt-BR"/>
        </w:rPr>
        <w:t>garantias</w:t>
      </w:r>
      <w:r w:rsidRPr="00D5464D">
        <w:rPr>
          <w:lang w:val="pt-BR"/>
        </w:rPr>
        <w:t xml:space="preserve"> </w:t>
      </w:r>
      <w:r w:rsidR="00470ADC" w:rsidRPr="00D5464D">
        <w:rPr>
          <w:lang w:val="pt-BR"/>
        </w:rPr>
        <w:t>de não repetição</w:t>
      </w:r>
      <w:bookmarkEnd w:id="447"/>
    </w:p>
    <w:p w14:paraId="383B8605" w14:textId="77777777" w:rsidR="00747A03" w:rsidRPr="00D5464D" w:rsidRDefault="00747A03" w:rsidP="00747A03">
      <w:pPr>
        <w:pStyle w:val="Prrafodelista"/>
        <w:autoSpaceDE w:val="0"/>
        <w:autoSpaceDN w:val="0"/>
        <w:adjustRightInd w:val="0"/>
        <w:ind w:left="0"/>
        <w:rPr>
          <w:rFonts w:cs="Arial"/>
          <w:iCs/>
          <w:szCs w:val="20"/>
          <w:lang w:val="pt-BR"/>
        </w:rPr>
      </w:pPr>
    </w:p>
    <w:p w14:paraId="39BE875C" w14:textId="4BEAA063" w:rsidR="004B0842" w:rsidRPr="00D5464D" w:rsidRDefault="00470ADC"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O </w:t>
      </w:r>
      <w:r w:rsidR="004B0842" w:rsidRPr="00D5464D">
        <w:rPr>
          <w:rFonts w:cs="Arial"/>
          <w:iCs/>
          <w:szCs w:val="20"/>
          <w:lang w:val="pt-BR"/>
        </w:rPr>
        <w:t xml:space="preserve">Tribunal determinará medidas que </w:t>
      </w:r>
      <w:r w:rsidR="00230C71" w:rsidRPr="00D5464D">
        <w:rPr>
          <w:rFonts w:cs="Arial"/>
          <w:iCs/>
          <w:szCs w:val="20"/>
          <w:lang w:val="pt-BR"/>
        </w:rPr>
        <w:t>buscam</w:t>
      </w:r>
      <w:r w:rsidR="004B0842" w:rsidRPr="00D5464D">
        <w:rPr>
          <w:rFonts w:cs="Arial"/>
          <w:iCs/>
          <w:szCs w:val="20"/>
          <w:lang w:val="pt-BR"/>
        </w:rPr>
        <w:t xml:space="preserve"> reparar</w:t>
      </w:r>
      <w:r w:rsidRPr="00D5464D">
        <w:rPr>
          <w:rFonts w:cs="Arial"/>
          <w:iCs/>
          <w:szCs w:val="20"/>
          <w:lang w:val="pt-BR"/>
        </w:rPr>
        <w:t xml:space="preserve"> o dano</w:t>
      </w:r>
      <w:r w:rsidR="004B0842" w:rsidRPr="00D5464D">
        <w:rPr>
          <w:rFonts w:cs="Arial"/>
          <w:iCs/>
          <w:szCs w:val="20"/>
          <w:lang w:val="pt-BR"/>
        </w:rPr>
        <w:t xml:space="preserve"> </w:t>
      </w:r>
      <w:r w:rsidR="002C330E" w:rsidRPr="00D5464D">
        <w:rPr>
          <w:rFonts w:cs="Arial"/>
          <w:iCs/>
          <w:szCs w:val="20"/>
          <w:lang w:val="pt-BR"/>
        </w:rPr>
        <w:t>imaterial</w:t>
      </w:r>
      <w:r w:rsidR="00E045D9" w:rsidRPr="00D5464D">
        <w:rPr>
          <w:rFonts w:cs="Arial"/>
          <w:iCs/>
          <w:szCs w:val="20"/>
          <w:lang w:val="pt-BR"/>
        </w:rPr>
        <w:t xml:space="preserve"> e </w:t>
      </w:r>
      <w:r w:rsidR="004B0842" w:rsidRPr="00D5464D">
        <w:rPr>
          <w:rFonts w:cs="Arial"/>
          <w:iCs/>
          <w:szCs w:val="20"/>
          <w:lang w:val="pt-BR"/>
        </w:rPr>
        <w:t xml:space="preserve">que </w:t>
      </w:r>
      <w:r w:rsidR="002C330E" w:rsidRPr="00D5464D">
        <w:rPr>
          <w:rFonts w:cs="Arial"/>
          <w:iCs/>
          <w:szCs w:val="20"/>
          <w:lang w:val="pt-BR"/>
        </w:rPr>
        <w:t>não possuem natureza</w:t>
      </w:r>
      <w:r w:rsidR="004B0842" w:rsidRPr="00D5464D">
        <w:rPr>
          <w:rFonts w:cs="Arial"/>
          <w:iCs/>
          <w:szCs w:val="20"/>
          <w:lang w:val="pt-BR"/>
        </w:rPr>
        <w:t xml:space="preserve"> </w:t>
      </w:r>
      <w:r w:rsidR="00737270" w:rsidRPr="00D5464D">
        <w:rPr>
          <w:rFonts w:cs="Arial"/>
          <w:iCs/>
          <w:szCs w:val="20"/>
          <w:lang w:val="pt-BR"/>
        </w:rPr>
        <w:t>pecuniári</w:t>
      </w:r>
      <w:r w:rsidR="004B0842" w:rsidRPr="00D5464D">
        <w:rPr>
          <w:rFonts w:cs="Arial"/>
          <w:iCs/>
          <w:szCs w:val="20"/>
          <w:lang w:val="pt-BR"/>
        </w:rPr>
        <w:t xml:space="preserve">a, </w:t>
      </w:r>
      <w:r w:rsidR="00181D8E" w:rsidRPr="00D5464D">
        <w:rPr>
          <w:rFonts w:cs="Arial"/>
          <w:iCs/>
          <w:szCs w:val="20"/>
          <w:lang w:val="pt-BR"/>
        </w:rPr>
        <w:t xml:space="preserve">bem </w:t>
      </w:r>
      <w:r w:rsidR="004B0842" w:rsidRPr="00D5464D">
        <w:rPr>
          <w:rFonts w:cs="Arial"/>
          <w:iCs/>
          <w:szCs w:val="20"/>
          <w:lang w:val="pt-BR"/>
        </w:rPr>
        <w:t>como medidas de alcance o</w:t>
      </w:r>
      <w:r w:rsidR="00181D8E" w:rsidRPr="00D5464D">
        <w:rPr>
          <w:rFonts w:cs="Arial"/>
          <w:iCs/>
          <w:szCs w:val="20"/>
          <w:lang w:val="pt-BR"/>
        </w:rPr>
        <w:t>u</w:t>
      </w:r>
      <w:r w:rsidR="004B0842" w:rsidRPr="00D5464D">
        <w:rPr>
          <w:rFonts w:cs="Arial"/>
          <w:iCs/>
          <w:szCs w:val="20"/>
          <w:lang w:val="pt-BR"/>
        </w:rPr>
        <w:t xml:space="preserve"> </w:t>
      </w:r>
      <w:r w:rsidR="00E045D9" w:rsidRPr="00D5464D">
        <w:rPr>
          <w:rFonts w:cs="Arial"/>
          <w:iCs/>
          <w:szCs w:val="20"/>
          <w:lang w:val="pt-BR"/>
        </w:rPr>
        <w:t>repercussão</w:t>
      </w:r>
      <w:r w:rsidR="004B0842" w:rsidRPr="00D5464D">
        <w:rPr>
          <w:rFonts w:cs="Arial"/>
          <w:iCs/>
          <w:szCs w:val="20"/>
          <w:lang w:val="pt-BR"/>
        </w:rPr>
        <w:t xml:space="preserve"> pública</w:t>
      </w:r>
      <w:r w:rsidR="006C4FBD" w:rsidRPr="00D5464D">
        <w:rPr>
          <w:rFonts w:cs="Arial"/>
          <w:iCs/>
          <w:szCs w:val="20"/>
          <w:lang w:val="pt-BR"/>
        </w:rPr>
        <w:t>.</w:t>
      </w:r>
      <w:r w:rsidR="004B0842" w:rsidRPr="00D5464D">
        <w:rPr>
          <w:rFonts w:cs="Arial"/>
          <w:iCs/>
          <w:szCs w:val="20"/>
          <w:vertAlign w:val="superscript"/>
          <w:lang w:val="pt-BR"/>
        </w:rPr>
        <w:footnoteReference w:id="528"/>
      </w:r>
      <w:r w:rsidR="00A1358C" w:rsidRPr="00D5464D">
        <w:rPr>
          <w:rFonts w:cs="Arial"/>
          <w:iCs/>
          <w:szCs w:val="20"/>
          <w:lang w:val="pt-BR"/>
        </w:rPr>
        <w:t xml:space="preserve"> A </w:t>
      </w:r>
      <w:r w:rsidR="002C330E" w:rsidRPr="00D5464D">
        <w:rPr>
          <w:rFonts w:cs="Arial"/>
          <w:iCs/>
          <w:szCs w:val="20"/>
          <w:lang w:val="pt-BR"/>
        </w:rPr>
        <w:t xml:space="preserve">jurisprudência </w:t>
      </w:r>
      <w:r w:rsidR="004B0842" w:rsidRPr="00D5464D">
        <w:rPr>
          <w:rFonts w:cs="Arial"/>
          <w:iCs/>
          <w:szCs w:val="20"/>
          <w:lang w:val="pt-BR"/>
        </w:rPr>
        <w:t>internacional</w:t>
      </w:r>
      <w:r w:rsidRPr="00D5464D">
        <w:rPr>
          <w:rFonts w:cs="Arial"/>
          <w:iCs/>
          <w:szCs w:val="20"/>
          <w:lang w:val="pt-BR"/>
        </w:rPr>
        <w:t xml:space="preserve">, e em </w:t>
      </w:r>
      <w:r w:rsidR="004B0842" w:rsidRPr="00D5464D">
        <w:rPr>
          <w:rFonts w:cs="Arial"/>
          <w:iCs/>
          <w:szCs w:val="20"/>
          <w:lang w:val="pt-BR"/>
        </w:rPr>
        <w:t>particular</w:t>
      </w:r>
      <w:r w:rsidRPr="00D5464D">
        <w:rPr>
          <w:rFonts w:cs="Arial"/>
          <w:iCs/>
          <w:szCs w:val="20"/>
          <w:lang w:val="pt-BR"/>
        </w:rPr>
        <w:t xml:space="preserve"> desta </w:t>
      </w:r>
      <w:r w:rsidR="004B0842" w:rsidRPr="00D5464D">
        <w:rPr>
          <w:rFonts w:cs="Arial"/>
          <w:iCs/>
          <w:szCs w:val="20"/>
          <w:lang w:val="pt-BR"/>
        </w:rPr>
        <w:t xml:space="preserve">Corte, </w:t>
      </w:r>
      <w:r w:rsidR="002C330E" w:rsidRPr="00D5464D">
        <w:rPr>
          <w:rFonts w:cs="Arial"/>
          <w:iCs/>
          <w:szCs w:val="20"/>
          <w:lang w:val="pt-BR"/>
        </w:rPr>
        <w:t>estabeleceu</w:t>
      </w:r>
      <w:r w:rsidR="004B0842" w:rsidRPr="00D5464D">
        <w:rPr>
          <w:rFonts w:cs="Arial"/>
          <w:iCs/>
          <w:szCs w:val="20"/>
          <w:lang w:val="pt-BR"/>
        </w:rPr>
        <w:t xml:space="preserve"> reiteradamente que</w:t>
      </w:r>
      <w:r w:rsidR="002C330E" w:rsidRPr="00D5464D">
        <w:rPr>
          <w:rFonts w:cs="Arial"/>
          <w:iCs/>
          <w:szCs w:val="20"/>
          <w:lang w:val="pt-BR"/>
        </w:rPr>
        <w:t xml:space="preserve"> a sentença</w:t>
      </w:r>
      <w:r w:rsidR="004B0842" w:rsidRPr="00D5464D">
        <w:rPr>
          <w:rFonts w:cs="Arial"/>
          <w:iCs/>
          <w:szCs w:val="20"/>
          <w:lang w:val="pt-BR"/>
        </w:rPr>
        <w:t xml:space="preserve"> </w:t>
      </w:r>
      <w:r w:rsidRPr="00D5464D">
        <w:rPr>
          <w:rFonts w:cs="Arial"/>
          <w:iCs/>
          <w:szCs w:val="20"/>
          <w:lang w:val="pt-BR"/>
        </w:rPr>
        <w:t>constitui</w:t>
      </w:r>
      <w:r w:rsidR="00181D8E" w:rsidRPr="00D5464D">
        <w:rPr>
          <w:rFonts w:cs="Arial"/>
          <w:iCs/>
          <w:szCs w:val="20"/>
          <w:lang w:val="pt-BR"/>
        </w:rPr>
        <w:t>,</w:t>
      </w:r>
      <w:r w:rsidR="004B0842" w:rsidRPr="00D5464D">
        <w:rPr>
          <w:rFonts w:cs="Arial"/>
          <w:iCs/>
          <w:szCs w:val="20"/>
          <w:lang w:val="pt-BR"/>
        </w:rPr>
        <w:t xml:space="preserve"> </w:t>
      </w:r>
      <w:r w:rsidR="004B0842" w:rsidRPr="00D5464D">
        <w:rPr>
          <w:rFonts w:cs="Arial"/>
          <w:i/>
          <w:iCs/>
          <w:szCs w:val="20"/>
          <w:lang w:val="pt-BR"/>
        </w:rPr>
        <w:t>per se</w:t>
      </w:r>
      <w:r w:rsidR="00181D8E" w:rsidRPr="00D5464D">
        <w:rPr>
          <w:rFonts w:cs="Arial"/>
          <w:iCs/>
          <w:szCs w:val="20"/>
          <w:lang w:val="pt-BR"/>
        </w:rPr>
        <w:t>,</w:t>
      </w:r>
      <w:r w:rsidR="00E045D9" w:rsidRPr="00D5464D">
        <w:rPr>
          <w:rFonts w:cs="Arial"/>
          <w:iCs/>
          <w:szCs w:val="20"/>
          <w:lang w:val="pt-BR"/>
        </w:rPr>
        <w:t xml:space="preserve"> uma </w:t>
      </w:r>
      <w:r w:rsidR="004B0842" w:rsidRPr="00D5464D">
        <w:rPr>
          <w:rFonts w:cs="Arial"/>
          <w:iCs/>
          <w:szCs w:val="20"/>
          <w:lang w:val="pt-BR"/>
        </w:rPr>
        <w:t>forma de repara</w:t>
      </w:r>
      <w:r w:rsidRPr="00D5464D">
        <w:rPr>
          <w:rFonts w:cs="Arial"/>
          <w:iCs/>
          <w:szCs w:val="20"/>
          <w:lang w:val="pt-BR"/>
        </w:rPr>
        <w:t>ção</w:t>
      </w:r>
      <w:r w:rsidR="006C4FBD" w:rsidRPr="00D5464D">
        <w:rPr>
          <w:rFonts w:cs="Arial"/>
          <w:iCs/>
          <w:szCs w:val="20"/>
          <w:lang w:val="pt-BR"/>
        </w:rPr>
        <w:t>.</w:t>
      </w:r>
      <w:r w:rsidR="004B0842" w:rsidRPr="00D5464D">
        <w:rPr>
          <w:rFonts w:cs="Arial"/>
          <w:iCs/>
          <w:szCs w:val="20"/>
          <w:vertAlign w:val="superscript"/>
          <w:lang w:val="pt-BR"/>
        </w:rPr>
        <w:footnoteReference w:id="529"/>
      </w:r>
    </w:p>
    <w:p w14:paraId="5D5B984E" w14:textId="77777777" w:rsidR="004B0842" w:rsidRPr="00D5464D" w:rsidRDefault="004B0842" w:rsidP="004B0842">
      <w:pPr>
        <w:pStyle w:val="Prrafodelista"/>
        <w:autoSpaceDE w:val="0"/>
        <w:autoSpaceDN w:val="0"/>
        <w:adjustRightInd w:val="0"/>
        <w:ind w:left="0"/>
        <w:rPr>
          <w:rFonts w:cs="Arial"/>
          <w:iCs/>
          <w:szCs w:val="20"/>
          <w:lang w:val="pt-BR"/>
        </w:rPr>
      </w:pPr>
    </w:p>
    <w:p w14:paraId="1DEED7E8" w14:textId="4F82A738" w:rsidR="004B0842" w:rsidRPr="00D5464D" w:rsidRDefault="004B0842" w:rsidP="00863BF9">
      <w:pPr>
        <w:pStyle w:val="Ttulo3"/>
        <w:rPr>
          <w:lang w:val="pt-BR"/>
        </w:rPr>
      </w:pPr>
      <w:bookmarkStart w:id="448" w:name="_Toc460433063"/>
      <w:bookmarkStart w:id="449" w:name="_Toc460441994"/>
      <w:bookmarkStart w:id="450" w:name="_Toc462751136"/>
      <w:bookmarkStart w:id="451" w:name="_Toc464813988"/>
      <w:bookmarkStart w:id="452" w:name="_Toc468433949"/>
      <w:r w:rsidRPr="00D5464D">
        <w:rPr>
          <w:lang w:val="pt-BR"/>
        </w:rPr>
        <w:t>C.1.</w:t>
      </w:r>
      <w:r w:rsidR="00FF1290" w:rsidRPr="00D5464D">
        <w:rPr>
          <w:lang w:val="pt-BR"/>
        </w:rPr>
        <w:t xml:space="preserve">  </w:t>
      </w:r>
      <w:r w:rsidRPr="00D5464D">
        <w:rPr>
          <w:lang w:val="pt-BR"/>
        </w:rPr>
        <w:t xml:space="preserve">Medidas de </w:t>
      </w:r>
      <w:r w:rsidR="00E045D9" w:rsidRPr="00D5464D">
        <w:rPr>
          <w:lang w:val="pt-BR"/>
        </w:rPr>
        <w:t>satisfação</w:t>
      </w:r>
      <w:r w:rsidRPr="00D5464D">
        <w:rPr>
          <w:lang w:val="pt-BR"/>
        </w:rPr>
        <w:t>: Publica</w:t>
      </w:r>
      <w:r w:rsidR="00470ADC" w:rsidRPr="00D5464D">
        <w:rPr>
          <w:lang w:val="pt-BR"/>
        </w:rPr>
        <w:t xml:space="preserve">ção da </w:t>
      </w:r>
      <w:r w:rsidR="002C330E" w:rsidRPr="00D5464D">
        <w:rPr>
          <w:lang w:val="pt-BR"/>
        </w:rPr>
        <w:t>sentença</w:t>
      </w:r>
      <w:bookmarkEnd w:id="448"/>
      <w:bookmarkEnd w:id="449"/>
      <w:bookmarkEnd w:id="450"/>
      <w:bookmarkEnd w:id="451"/>
      <w:bookmarkEnd w:id="452"/>
    </w:p>
    <w:p w14:paraId="6EDDA483" w14:textId="77777777" w:rsidR="004B0842" w:rsidRPr="00D5464D" w:rsidRDefault="004B0842" w:rsidP="004B0842">
      <w:pPr>
        <w:pStyle w:val="Prrafodelista"/>
        <w:autoSpaceDE w:val="0"/>
        <w:autoSpaceDN w:val="0"/>
        <w:adjustRightInd w:val="0"/>
        <w:rPr>
          <w:rFonts w:cs="Arial"/>
          <w:iCs/>
          <w:szCs w:val="20"/>
          <w:lang w:val="pt-BR"/>
        </w:rPr>
      </w:pPr>
    </w:p>
    <w:p w14:paraId="47FD2F7F" w14:textId="541B04FB" w:rsidR="004B0842" w:rsidRPr="00D5464D" w:rsidRDefault="00737270"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Os </w:t>
      </w:r>
      <w:r w:rsidR="00EB1CE9" w:rsidRPr="00D5464D">
        <w:rPr>
          <w:rFonts w:cs="Arial"/>
          <w:b/>
          <w:i/>
          <w:iCs/>
          <w:szCs w:val="20"/>
          <w:lang w:val="pt-BR"/>
        </w:rPr>
        <w:t>representante</w:t>
      </w:r>
      <w:r w:rsidRPr="00D5464D">
        <w:rPr>
          <w:rFonts w:cs="Arial"/>
          <w:b/>
          <w:i/>
          <w:iCs/>
          <w:szCs w:val="20"/>
          <w:lang w:val="pt-BR"/>
        </w:rPr>
        <w:t>s</w:t>
      </w:r>
      <w:r w:rsidRPr="00D5464D">
        <w:rPr>
          <w:rFonts w:cs="Arial"/>
          <w:iCs/>
          <w:szCs w:val="20"/>
          <w:lang w:val="pt-BR"/>
        </w:rPr>
        <w:t xml:space="preserve"> </w:t>
      </w:r>
      <w:r w:rsidR="002C330E" w:rsidRPr="00D5464D">
        <w:rPr>
          <w:rFonts w:cs="Arial"/>
          <w:iCs/>
          <w:szCs w:val="20"/>
          <w:lang w:val="pt-BR"/>
        </w:rPr>
        <w:t>solicitaram</w:t>
      </w:r>
      <w:r w:rsidR="004B0842" w:rsidRPr="00D5464D">
        <w:rPr>
          <w:rFonts w:cs="Arial"/>
          <w:iCs/>
          <w:szCs w:val="20"/>
          <w:lang w:val="pt-BR"/>
        </w:rPr>
        <w:t xml:space="preserve"> que</w:t>
      </w:r>
      <w:r w:rsidR="00470ADC" w:rsidRPr="00D5464D">
        <w:rPr>
          <w:rFonts w:cs="Arial"/>
          <w:iCs/>
          <w:szCs w:val="20"/>
          <w:lang w:val="pt-BR"/>
        </w:rPr>
        <w:t xml:space="preserve"> o </w:t>
      </w:r>
      <w:r w:rsidR="004B0842" w:rsidRPr="00D5464D">
        <w:rPr>
          <w:rFonts w:cs="Arial"/>
          <w:iCs/>
          <w:szCs w:val="20"/>
          <w:lang w:val="pt-BR"/>
        </w:rPr>
        <w:t>Estado se encar</w:t>
      </w:r>
      <w:r w:rsidR="00181D8E" w:rsidRPr="00D5464D">
        <w:rPr>
          <w:rFonts w:cs="Arial"/>
          <w:iCs/>
          <w:szCs w:val="20"/>
          <w:lang w:val="pt-BR"/>
        </w:rPr>
        <w:t>re</w:t>
      </w:r>
      <w:r w:rsidR="004B0842" w:rsidRPr="00D5464D">
        <w:rPr>
          <w:rFonts w:cs="Arial"/>
          <w:iCs/>
          <w:szCs w:val="20"/>
          <w:lang w:val="pt-BR"/>
        </w:rPr>
        <w:t>gue</w:t>
      </w:r>
      <w:r w:rsidR="00470ADC" w:rsidRPr="00D5464D">
        <w:rPr>
          <w:rFonts w:cs="Arial"/>
          <w:iCs/>
          <w:szCs w:val="20"/>
          <w:lang w:val="pt-BR"/>
        </w:rPr>
        <w:t xml:space="preserve"> da </w:t>
      </w:r>
      <w:r w:rsidR="004B0842" w:rsidRPr="00D5464D">
        <w:rPr>
          <w:rFonts w:cs="Arial"/>
          <w:iCs/>
          <w:szCs w:val="20"/>
          <w:lang w:val="pt-BR"/>
        </w:rPr>
        <w:t>divulga</w:t>
      </w:r>
      <w:r w:rsidR="00470ADC" w:rsidRPr="00D5464D">
        <w:rPr>
          <w:rFonts w:cs="Arial"/>
          <w:iCs/>
          <w:szCs w:val="20"/>
          <w:lang w:val="pt-BR"/>
        </w:rPr>
        <w:t xml:space="preserve">ção das </w:t>
      </w:r>
      <w:r w:rsidR="00181D8E" w:rsidRPr="00D5464D">
        <w:rPr>
          <w:rFonts w:cs="Arial"/>
          <w:iCs/>
          <w:szCs w:val="20"/>
          <w:lang w:val="pt-BR"/>
        </w:rPr>
        <w:t xml:space="preserve">partes </w:t>
      </w:r>
      <w:r w:rsidR="00470ADC" w:rsidRPr="00D5464D">
        <w:rPr>
          <w:rFonts w:cs="Arial"/>
          <w:iCs/>
          <w:szCs w:val="20"/>
          <w:lang w:val="pt-BR"/>
        </w:rPr>
        <w:t xml:space="preserve">da </w:t>
      </w:r>
      <w:r w:rsidR="002C330E" w:rsidRPr="00D5464D">
        <w:rPr>
          <w:rFonts w:cs="Arial"/>
          <w:iCs/>
          <w:szCs w:val="20"/>
          <w:lang w:val="pt-BR"/>
        </w:rPr>
        <w:t>sentença</w:t>
      </w:r>
      <w:r w:rsidR="004B0842" w:rsidRPr="00D5464D">
        <w:rPr>
          <w:rFonts w:cs="Arial"/>
          <w:iCs/>
          <w:szCs w:val="20"/>
          <w:lang w:val="pt-BR"/>
        </w:rPr>
        <w:t xml:space="preserve"> que se </w:t>
      </w:r>
      <w:r w:rsidR="00350187" w:rsidRPr="00D5464D">
        <w:rPr>
          <w:rFonts w:cs="Arial"/>
          <w:iCs/>
          <w:szCs w:val="20"/>
          <w:lang w:val="pt-BR"/>
        </w:rPr>
        <w:t>referem</w:t>
      </w:r>
      <w:r w:rsidR="00E045D9" w:rsidRPr="00D5464D">
        <w:rPr>
          <w:rFonts w:cs="Arial"/>
          <w:iCs/>
          <w:szCs w:val="20"/>
          <w:lang w:val="pt-BR"/>
        </w:rPr>
        <w:t xml:space="preserve"> aos </w:t>
      </w:r>
      <w:r w:rsidR="002C330E" w:rsidRPr="00D5464D">
        <w:rPr>
          <w:rFonts w:cs="Arial"/>
          <w:iCs/>
          <w:szCs w:val="20"/>
          <w:lang w:val="pt-BR"/>
        </w:rPr>
        <w:t>fatos</w:t>
      </w:r>
      <w:r w:rsidR="004B0842" w:rsidRPr="00D5464D">
        <w:rPr>
          <w:rFonts w:cs="Arial"/>
          <w:iCs/>
          <w:szCs w:val="20"/>
          <w:lang w:val="pt-BR"/>
        </w:rPr>
        <w:t xml:space="preserve"> </w:t>
      </w:r>
      <w:r w:rsidR="002C330E" w:rsidRPr="00D5464D">
        <w:rPr>
          <w:rFonts w:cs="Arial"/>
          <w:iCs/>
          <w:szCs w:val="20"/>
          <w:lang w:val="pt-BR"/>
        </w:rPr>
        <w:t>provad</w:t>
      </w:r>
      <w:r w:rsidR="004B0842" w:rsidRPr="00D5464D">
        <w:rPr>
          <w:rFonts w:cs="Arial"/>
          <w:iCs/>
          <w:szCs w:val="20"/>
          <w:lang w:val="pt-BR"/>
        </w:rPr>
        <w:t>os,</w:t>
      </w:r>
      <w:r w:rsidR="00230C71" w:rsidRPr="00D5464D">
        <w:rPr>
          <w:rFonts w:cs="Arial"/>
          <w:iCs/>
          <w:szCs w:val="20"/>
          <w:lang w:val="pt-BR"/>
        </w:rPr>
        <w:t xml:space="preserve"> a análise</w:t>
      </w:r>
      <w:r w:rsidR="00470ADC" w:rsidRPr="00D5464D">
        <w:rPr>
          <w:rFonts w:cs="Arial"/>
          <w:iCs/>
          <w:szCs w:val="20"/>
          <w:lang w:val="pt-BR"/>
        </w:rPr>
        <w:t xml:space="preserve"> das </w:t>
      </w:r>
      <w:r w:rsidR="004B0842" w:rsidRPr="00D5464D">
        <w:rPr>
          <w:rFonts w:cs="Arial"/>
          <w:iCs/>
          <w:szCs w:val="20"/>
          <w:lang w:val="pt-BR"/>
        </w:rPr>
        <w:t>viola</w:t>
      </w:r>
      <w:r w:rsidR="00470ADC" w:rsidRPr="00D5464D">
        <w:rPr>
          <w:rFonts w:cs="Arial"/>
          <w:iCs/>
          <w:szCs w:val="20"/>
          <w:lang w:val="pt-BR"/>
        </w:rPr>
        <w:t xml:space="preserve">ções à </w:t>
      </w:r>
      <w:r w:rsidR="004B0842" w:rsidRPr="00D5464D">
        <w:rPr>
          <w:rFonts w:cs="Arial"/>
          <w:iCs/>
          <w:szCs w:val="20"/>
          <w:lang w:val="pt-BR"/>
        </w:rPr>
        <w:t>Conven</w:t>
      </w:r>
      <w:r w:rsidR="00470ADC" w:rsidRPr="00D5464D">
        <w:rPr>
          <w:rFonts w:cs="Arial"/>
          <w:iCs/>
          <w:szCs w:val="20"/>
          <w:lang w:val="pt-BR"/>
        </w:rPr>
        <w:t>ção</w:t>
      </w:r>
      <w:r w:rsidR="004B0842" w:rsidRPr="00D5464D">
        <w:rPr>
          <w:rFonts w:cs="Arial"/>
          <w:iCs/>
          <w:szCs w:val="20"/>
          <w:lang w:val="pt-BR"/>
        </w:rPr>
        <w:t xml:space="preserve"> Americana</w:t>
      </w:r>
      <w:r w:rsidR="00E045D9" w:rsidRPr="00D5464D">
        <w:rPr>
          <w:rFonts w:cs="Arial"/>
          <w:iCs/>
          <w:szCs w:val="20"/>
          <w:lang w:val="pt-BR"/>
        </w:rPr>
        <w:t xml:space="preserve"> e </w:t>
      </w:r>
      <w:r w:rsidR="002C330E" w:rsidRPr="00D5464D">
        <w:rPr>
          <w:rFonts w:cs="Arial"/>
          <w:iCs/>
          <w:szCs w:val="20"/>
          <w:lang w:val="pt-BR"/>
        </w:rPr>
        <w:t xml:space="preserve">a </w:t>
      </w:r>
      <w:r w:rsidR="004B0842" w:rsidRPr="00D5464D">
        <w:rPr>
          <w:rFonts w:cs="Arial"/>
          <w:iCs/>
          <w:szCs w:val="20"/>
          <w:lang w:val="pt-BR"/>
        </w:rPr>
        <w:t xml:space="preserve">parte dispositiva. Para este </w:t>
      </w:r>
      <w:r w:rsidR="00470ADC" w:rsidRPr="00D5464D">
        <w:rPr>
          <w:rFonts w:cs="Arial"/>
          <w:iCs/>
          <w:szCs w:val="20"/>
          <w:lang w:val="pt-BR"/>
        </w:rPr>
        <w:t>efeito</w:t>
      </w:r>
      <w:r w:rsidR="00445C53" w:rsidRPr="00D5464D">
        <w:rPr>
          <w:rFonts w:cs="Arial"/>
          <w:iCs/>
          <w:szCs w:val="20"/>
          <w:lang w:val="pt-BR"/>
        </w:rPr>
        <w:t>,</w:t>
      </w:r>
      <w:r w:rsidR="004B0842" w:rsidRPr="00D5464D">
        <w:rPr>
          <w:rFonts w:cs="Arial"/>
          <w:iCs/>
          <w:szCs w:val="20"/>
          <w:lang w:val="pt-BR"/>
        </w:rPr>
        <w:t xml:space="preserve"> </w:t>
      </w:r>
      <w:r w:rsidR="002C330E" w:rsidRPr="00D5464D">
        <w:rPr>
          <w:rFonts w:cs="Arial"/>
          <w:iCs/>
          <w:szCs w:val="20"/>
          <w:lang w:val="pt-BR"/>
        </w:rPr>
        <w:t>afirmaram</w:t>
      </w:r>
      <w:r w:rsidR="004B0842" w:rsidRPr="00D5464D">
        <w:rPr>
          <w:rFonts w:cs="Arial"/>
          <w:iCs/>
          <w:szCs w:val="20"/>
          <w:lang w:val="pt-BR"/>
        </w:rPr>
        <w:t xml:space="preserve"> que estas publica</w:t>
      </w:r>
      <w:r w:rsidR="00470ADC" w:rsidRPr="00D5464D">
        <w:rPr>
          <w:rFonts w:cs="Arial"/>
          <w:iCs/>
          <w:szCs w:val="20"/>
          <w:lang w:val="pt-BR"/>
        </w:rPr>
        <w:t>ções</w:t>
      </w:r>
      <w:r w:rsidR="004B0842" w:rsidRPr="00D5464D">
        <w:rPr>
          <w:rFonts w:cs="Arial"/>
          <w:iCs/>
          <w:szCs w:val="20"/>
          <w:lang w:val="pt-BR"/>
        </w:rPr>
        <w:t xml:space="preserve"> </w:t>
      </w:r>
      <w:r w:rsidR="00470ADC" w:rsidRPr="00D5464D">
        <w:rPr>
          <w:rFonts w:cs="Arial"/>
          <w:iCs/>
          <w:szCs w:val="20"/>
          <w:lang w:val="pt-BR"/>
        </w:rPr>
        <w:t>devem</w:t>
      </w:r>
      <w:r w:rsidR="004B0842" w:rsidRPr="00D5464D">
        <w:rPr>
          <w:rFonts w:cs="Arial"/>
          <w:iCs/>
          <w:szCs w:val="20"/>
          <w:lang w:val="pt-BR"/>
        </w:rPr>
        <w:t xml:space="preserve"> </w:t>
      </w:r>
      <w:r w:rsidR="00181D8E" w:rsidRPr="00D5464D">
        <w:rPr>
          <w:rFonts w:cs="Arial"/>
          <w:iCs/>
          <w:szCs w:val="20"/>
          <w:lang w:val="pt-BR"/>
        </w:rPr>
        <w:t xml:space="preserve">ser feitas </w:t>
      </w:r>
      <w:r w:rsidR="00470ADC" w:rsidRPr="00D5464D">
        <w:rPr>
          <w:rFonts w:cs="Arial"/>
          <w:iCs/>
          <w:szCs w:val="20"/>
          <w:lang w:val="pt-BR"/>
        </w:rPr>
        <w:t xml:space="preserve">em </w:t>
      </w:r>
      <w:r w:rsidR="00181D8E" w:rsidRPr="00D5464D">
        <w:rPr>
          <w:rFonts w:cs="Arial"/>
          <w:iCs/>
          <w:szCs w:val="20"/>
          <w:lang w:val="pt-BR"/>
        </w:rPr>
        <w:t xml:space="preserve">jornais </w:t>
      </w:r>
      <w:r w:rsidR="004B0842" w:rsidRPr="00D5464D">
        <w:rPr>
          <w:rFonts w:cs="Arial"/>
          <w:iCs/>
          <w:szCs w:val="20"/>
          <w:lang w:val="pt-BR"/>
        </w:rPr>
        <w:t>de circula</w:t>
      </w:r>
      <w:r w:rsidR="00470ADC" w:rsidRPr="00D5464D">
        <w:rPr>
          <w:rFonts w:cs="Arial"/>
          <w:iCs/>
          <w:szCs w:val="20"/>
          <w:lang w:val="pt-BR"/>
        </w:rPr>
        <w:t>ção</w:t>
      </w:r>
      <w:r w:rsidR="004B0842" w:rsidRPr="00D5464D">
        <w:rPr>
          <w:rFonts w:cs="Arial"/>
          <w:iCs/>
          <w:szCs w:val="20"/>
          <w:lang w:val="pt-BR"/>
        </w:rPr>
        <w:t xml:space="preserve"> nacional </w:t>
      </w:r>
      <w:r w:rsidR="00181D8E" w:rsidRPr="00D5464D">
        <w:rPr>
          <w:rFonts w:cs="Arial"/>
          <w:iCs/>
          <w:szCs w:val="20"/>
          <w:lang w:val="pt-BR"/>
        </w:rPr>
        <w:t xml:space="preserve">e </w:t>
      </w:r>
      <w:r w:rsidR="00470ADC" w:rsidRPr="00D5464D">
        <w:rPr>
          <w:rFonts w:cs="Arial"/>
          <w:iCs/>
          <w:szCs w:val="20"/>
          <w:lang w:val="pt-BR"/>
        </w:rPr>
        <w:t xml:space="preserve">em </w:t>
      </w:r>
      <w:r w:rsidR="00181D8E" w:rsidRPr="00D5464D">
        <w:rPr>
          <w:rFonts w:cs="Arial"/>
          <w:iCs/>
          <w:szCs w:val="20"/>
          <w:lang w:val="pt-BR"/>
        </w:rPr>
        <w:t xml:space="preserve">jornais </w:t>
      </w:r>
      <w:r w:rsidR="00E045D9" w:rsidRPr="00D5464D">
        <w:rPr>
          <w:rFonts w:cs="Arial"/>
          <w:iCs/>
          <w:szCs w:val="20"/>
          <w:lang w:val="pt-BR"/>
        </w:rPr>
        <w:t>regionais</w:t>
      </w:r>
      <w:r w:rsidR="004B0842" w:rsidRPr="00D5464D">
        <w:rPr>
          <w:rFonts w:cs="Arial"/>
          <w:iCs/>
          <w:szCs w:val="20"/>
          <w:lang w:val="pt-BR"/>
        </w:rPr>
        <w:t xml:space="preserve"> d</w:t>
      </w:r>
      <w:r w:rsidR="00181D8E" w:rsidRPr="00D5464D">
        <w:rPr>
          <w:rFonts w:cs="Arial"/>
          <w:iCs/>
          <w:szCs w:val="20"/>
          <w:lang w:val="pt-BR"/>
        </w:rPr>
        <w:t>o</w:t>
      </w:r>
      <w:r w:rsidR="004B0842" w:rsidRPr="00D5464D">
        <w:rPr>
          <w:rFonts w:cs="Arial"/>
          <w:iCs/>
          <w:szCs w:val="20"/>
          <w:lang w:val="pt-BR"/>
        </w:rPr>
        <w:t xml:space="preserve"> Maranhão, Piauí, Mato Grosso</w:t>
      </w:r>
      <w:r w:rsidR="00E045D9" w:rsidRPr="00D5464D">
        <w:rPr>
          <w:rFonts w:cs="Arial"/>
          <w:iCs/>
          <w:szCs w:val="20"/>
          <w:lang w:val="pt-BR"/>
        </w:rPr>
        <w:t xml:space="preserve"> e </w:t>
      </w:r>
      <w:r w:rsidR="004B0842" w:rsidRPr="00D5464D">
        <w:rPr>
          <w:rFonts w:cs="Arial"/>
          <w:iCs/>
          <w:szCs w:val="20"/>
          <w:lang w:val="pt-BR"/>
        </w:rPr>
        <w:t xml:space="preserve">Tocantins, </w:t>
      </w:r>
      <w:r w:rsidR="00445C53" w:rsidRPr="00D5464D">
        <w:rPr>
          <w:rFonts w:cs="Arial"/>
          <w:iCs/>
          <w:szCs w:val="20"/>
          <w:lang w:val="pt-BR"/>
        </w:rPr>
        <w:t>e</w:t>
      </w:r>
      <w:r w:rsidR="004B0842" w:rsidRPr="00D5464D">
        <w:rPr>
          <w:rFonts w:cs="Arial"/>
          <w:iCs/>
          <w:szCs w:val="20"/>
          <w:lang w:val="pt-BR"/>
        </w:rPr>
        <w:t xml:space="preserve">stados </w:t>
      </w:r>
      <w:r w:rsidR="002C330E" w:rsidRPr="00D5464D">
        <w:rPr>
          <w:rFonts w:cs="Arial"/>
          <w:iCs/>
          <w:szCs w:val="20"/>
          <w:lang w:val="pt-BR"/>
        </w:rPr>
        <w:t xml:space="preserve">mais </w:t>
      </w:r>
      <w:r w:rsidR="00470ADC" w:rsidRPr="00D5464D">
        <w:rPr>
          <w:rFonts w:cs="Arial"/>
          <w:iCs/>
          <w:szCs w:val="20"/>
          <w:lang w:val="pt-BR"/>
        </w:rPr>
        <w:t>afeta</w:t>
      </w:r>
      <w:r w:rsidR="004B0842" w:rsidRPr="00D5464D">
        <w:rPr>
          <w:rFonts w:cs="Arial"/>
          <w:iCs/>
          <w:szCs w:val="20"/>
          <w:lang w:val="pt-BR"/>
        </w:rPr>
        <w:t>dos</w:t>
      </w:r>
      <w:r w:rsidR="002C330E" w:rsidRPr="00D5464D">
        <w:rPr>
          <w:rFonts w:cs="Arial"/>
          <w:iCs/>
          <w:szCs w:val="20"/>
          <w:lang w:val="pt-BR"/>
        </w:rPr>
        <w:t xml:space="preserve"> pelo </w:t>
      </w:r>
      <w:r w:rsidR="00E045D9" w:rsidRPr="00D5464D">
        <w:rPr>
          <w:rFonts w:cs="Arial"/>
          <w:iCs/>
          <w:szCs w:val="20"/>
          <w:lang w:val="pt-BR"/>
        </w:rPr>
        <w:t>trabalho</w:t>
      </w:r>
      <w:r w:rsidR="004B0842" w:rsidRPr="00D5464D">
        <w:rPr>
          <w:rFonts w:cs="Arial"/>
          <w:iCs/>
          <w:szCs w:val="20"/>
          <w:lang w:val="pt-BR"/>
        </w:rPr>
        <w:t xml:space="preserve"> </w:t>
      </w:r>
      <w:r w:rsidR="004F1CC2" w:rsidRPr="00D5464D">
        <w:rPr>
          <w:rFonts w:cs="Arial"/>
          <w:iCs/>
          <w:szCs w:val="20"/>
          <w:lang w:val="pt-BR"/>
        </w:rPr>
        <w:t>escravo</w:t>
      </w:r>
      <w:r w:rsidR="004B0842" w:rsidRPr="00D5464D">
        <w:rPr>
          <w:rFonts w:cs="Arial"/>
          <w:iCs/>
          <w:szCs w:val="20"/>
          <w:lang w:val="pt-BR"/>
        </w:rPr>
        <w:t>.</w:t>
      </w:r>
    </w:p>
    <w:p w14:paraId="5129C90F" w14:textId="77777777" w:rsidR="00747A03" w:rsidRPr="00D5464D" w:rsidRDefault="00747A03" w:rsidP="00747A03">
      <w:pPr>
        <w:pStyle w:val="Prrafodelista"/>
        <w:autoSpaceDE w:val="0"/>
        <w:autoSpaceDN w:val="0"/>
        <w:adjustRightInd w:val="0"/>
        <w:ind w:left="0"/>
        <w:rPr>
          <w:rFonts w:cs="Arial"/>
          <w:iCs/>
          <w:szCs w:val="20"/>
          <w:lang w:val="pt-BR"/>
        </w:rPr>
      </w:pPr>
    </w:p>
    <w:p w14:paraId="36B7C951" w14:textId="695FA672" w:rsidR="004B0842" w:rsidRPr="00D5464D" w:rsidRDefault="00470ADC"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O </w:t>
      </w:r>
      <w:r w:rsidR="004B0842" w:rsidRPr="00D5464D">
        <w:rPr>
          <w:rFonts w:cs="Arial"/>
          <w:b/>
          <w:i/>
          <w:iCs/>
          <w:szCs w:val="20"/>
          <w:lang w:val="pt-BR"/>
        </w:rPr>
        <w:t>Estado</w:t>
      </w:r>
      <w:r w:rsidR="004B0842" w:rsidRPr="00D5464D">
        <w:rPr>
          <w:rFonts w:cs="Arial"/>
          <w:iCs/>
          <w:szCs w:val="20"/>
          <w:lang w:val="pt-BR"/>
        </w:rPr>
        <w:t xml:space="preserve"> n</w:t>
      </w:r>
      <w:r w:rsidR="006C4FBD" w:rsidRPr="00D5464D">
        <w:rPr>
          <w:rFonts w:cs="Arial"/>
          <w:iCs/>
          <w:szCs w:val="20"/>
          <w:lang w:val="pt-BR"/>
        </w:rPr>
        <w:t>ã</w:t>
      </w:r>
      <w:r w:rsidR="004B0842" w:rsidRPr="00D5464D">
        <w:rPr>
          <w:rFonts w:cs="Arial"/>
          <w:iCs/>
          <w:szCs w:val="20"/>
          <w:lang w:val="pt-BR"/>
        </w:rPr>
        <w:t xml:space="preserve">o se </w:t>
      </w:r>
      <w:r w:rsidR="00E045D9" w:rsidRPr="00D5464D">
        <w:rPr>
          <w:rFonts w:cs="Arial"/>
          <w:iCs/>
          <w:szCs w:val="20"/>
          <w:lang w:val="pt-BR"/>
        </w:rPr>
        <w:t>pronunciou</w:t>
      </w:r>
      <w:r w:rsidR="004B0842" w:rsidRPr="00D5464D">
        <w:rPr>
          <w:rFonts w:cs="Arial"/>
          <w:iCs/>
          <w:szCs w:val="20"/>
          <w:lang w:val="pt-BR"/>
        </w:rPr>
        <w:t xml:space="preserve"> sobre esta medida de repara</w:t>
      </w:r>
      <w:r w:rsidRPr="00D5464D">
        <w:rPr>
          <w:rFonts w:cs="Arial"/>
          <w:iCs/>
          <w:szCs w:val="20"/>
          <w:lang w:val="pt-BR"/>
        </w:rPr>
        <w:t>ção</w:t>
      </w:r>
      <w:r w:rsidR="004B0842" w:rsidRPr="00D5464D">
        <w:rPr>
          <w:rFonts w:cs="Arial"/>
          <w:iCs/>
          <w:szCs w:val="20"/>
          <w:lang w:val="pt-BR"/>
        </w:rPr>
        <w:t xml:space="preserve">. </w:t>
      </w:r>
    </w:p>
    <w:p w14:paraId="672FF6B2" w14:textId="77777777" w:rsidR="00747A03" w:rsidRPr="00D5464D" w:rsidRDefault="00747A03" w:rsidP="00747A03">
      <w:pPr>
        <w:pStyle w:val="Prrafodelista"/>
        <w:autoSpaceDE w:val="0"/>
        <w:autoSpaceDN w:val="0"/>
        <w:adjustRightInd w:val="0"/>
        <w:ind w:left="0"/>
        <w:rPr>
          <w:rFonts w:cs="Arial"/>
          <w:iCs/>
          <w:szCs w:val="20"/>
          <w:lang w:val="pt-BR"/>
        </w:rPr>
      </w:pPr>
    </w:p>
    <w:p w14:paraId="44178BA3" w14:textId="44609C2D" w:rsidR="004B0842" w:rsidRPr="00D5464D" w:rsidRDefault="00470ADC"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A </w:t>
      </w:r>
      <w:r w:rsidR="00A1358C" w:rsidRPr="00D5464D">
        <w:rPr>
          <w:rFonts w:cs="Arial"/>
          <w:iCs/>
          <w:szCs w:val="20"/>
          <w:lang w:val="pt-BR"/>
        </w:rPr>
        <w:t>Corte considera</w:t>
      </w:r>
      <w:r w:rsidR="004B0842" w:rsidRPr="00D5464D">
        <w:rPr>
          <w:rFonts w:cs="Arial"/>
          <w:iCs/>
          <w:szCs w:val="20"/>
          <w:lang w:val="pt-BR"/>
        </w:rPr>
        <w:t>, como</w:t>
      </w:r>
      <w:r w:rsidR="00C91CB1" w:rsidRPr="00D5464D">
        <w:rPr>
          <w:rFonts w:cs="Arial"/>
          <w:iCs/>
          <w:szCs w:val="20"/>
          <w:lang w:val="pt-BR"/>
        </w:rPr>
        <w:t xml:space="preserve"> </w:t>
      </w:r>
      <w:r w:rsidR="002D5E58" w:rsidRPr="00D5464D">
        <w:rPr>
          <w:rFonts w:cs="Arial"/>
          <w:iCs/>
          <w:szCs w:val="20"/>
          <w:lang w:val="pt-BR"/>
        </w:rPr>
        <w:t xml:space="preserve">já ordenou </w:t>
      </w:r>
      <w:r w:rsidRPr="00D5464D">
        <w:rPr>
          <w:rFonts w:cs="Arial"/>
          <w:iCs/>
          <w:szCs w:val="20"/>
          <w:lang w:val="pt-BR"/>
        </w:rPr>
        <w:t xml:space="preserve">em </w:t>
      </w:r>
      <w:r w:rsidR="002C330E" w:rsidRPr="00D5464D">
        <w:rPr>
          <w:rFonts w:cs="Arial"/>
          <w:iCs/>
          <w:szCs w:val="20"/>
          <w:lang w:val="pt-BR"/>
        </w:rPr>
        <w:t>outros</w:t>
      </w:r>
      <w:r w:rsidR="004B0842" w:rsidRPr="00D5464D">
        <w:rPr>
          <w:rFonts w:cs="Arial"/>
          <w:iCs/>
          <w:szCs w:val="20"/>
          <w:lang w:val="pt-BR"/>
        </w:rPr>
        <w:t xml:space="preserve"> casos</w:t>
      </w:r>
      <w:r w:rsidR="006C4FBD" w:rsidRPr="00D5464D">
        <w:rPr>
          <w:rFonts w:cs="Arial"/>
          <w:iCs/>
          <w:szCs w:val="20"/>
          <w:lang w:val="pt-BR"/>
        </w:rPr>
        <w:t>,</w:t>
      </w:r>
      <w:r w:rsidR="004B0842" w:rsidRPr="00D5464D">
        <w:rPr>
          <w:rFonts w:cs="Arial"/>
          <w:iCs/>
          <w:szCs w:val="20"/>
          <w:vertAlign w:val="superscript"/>
          <w:lang w:val="pt-BR"/>
        </w:rPr>
        <w:footnoteReference w:id="530"/>
      </w:r>
      <w:r w:rsidR="004B0842" w:rsidRPr="00D5464D">
        <w:rPr>
          <w:rFonts w:cs="Arial"/>
          <w:iCs/>
          <w:szCs w:val="20"/>
          <w:lang w:val="pt-BR"/>
        </w:rPr>
        <w:t xml:space="preserve"> que</w:t>
      </w:r>
      <w:r w:rsidRPr="00D5464D">
        <w:rPr>
          <w:rFonts w:cs="Arial"/>
          <w:iCs/>
          <w:szCs w:val="20"/>
          <w:lang w:val="pt-BR"/>
        </w:rPr>
        <w:t xml:space="preserve"> o </w:t>
      </w:r>
      <w:r w:rsidR="004B0842" w:rsidRPr="00D5464D">
        <w:rPr>
          <w:rFonts w:cs="Arial"/>
          <w:iCs/>
          <w:szCs w:val="20"/>
          <w:lang w:val="pt-BR"/>
        </w:rPr>
        <w:t>Estado</w:t>
      </w:r>
      <w:r w:rsidRPr="00D5464D">
        <w:rPr>
          <w:rFonts w:cs="Arial"/>
          <w:iCs/>
          <w:szCs w:val="20"/>
          <w:lang w:val="pt-BR"/>
        </w:rPr>
        <w:t xml:space="preserve"> deve </w:t>
      </w:r>
      <w:r w:rsidR="004B0842" w:rsidRPr="00D5464D">
        <w:rPr>
          <w:rFonts w:cs="Arial"/>
          <w:iCs/>
          <w:szCs w:val="20"/>
          <w:lang w:val="pt-BR"/>
        </w:rPr>
        <w:t>publicar,</w:t>
      </w:r>
      <w:r w:rsidR="00E045D9" w:rsidRPr="00D5464D">
        <w:rPr>
          <w:rFonts w:cs="Arial"/>
          <w:iCs/>
          <w:szCs w:val="20"/>
          <w:lang w:val="pt-BR"/>
        </w:rPr>
        <w:t xml:space="preserve"> no </w:t>
      </w:r>
      <w:r w:rsidR="002C330E" w:rsidRPr="00D5464D">
        <w:rPr>
          <w:rFonts w:cs="Arial"/>
          <w:iCs/>
          <w:szCs w:val="20"/>
          <w:lang w:val="pt-BR"/>
        </w:rPr>
        <w:t>prazo</w:t>
      </w:r>
      <w:r w:rsidR="004B0842" w:rsidRPr="00D5464D">
        <w:rPr>
          <w:rFonts w:cs="Arial"/>
          <w:iCs/>
          <w:szCs w:val="20"/>
          <w:lang w:val="pt-BR"/>
        </w:rPr>
        <w:t xml:space="preserve"> de seis meses, contado a partir</w:t>
      </w:r>
      <w:r w:rsidRPr="00D5464D">
        <w:rPr>
          <w:rFonts w:cs="Arial"/>
          <w:iCs/>
          <w:szCs w:val="20"/>
          <w:lang w:val="pt-BR"/>
        </w:rPr>
        <w:t xml:space="preserve"> da </w:t>
      </w:r>
      <w:r w:rsidR="004B0842" w:rsidRPr="00D5464D">
        <w:rPr>
          <w:rFonts w:cs="Arial"/>
          <w:iCs/>
          <w:szCs w:val="20"/>
          <w:lang w:val="pt-BR"/>
        </w:rPr>
        <w:t>notifica</w:t>
      </w:r>
      <w:r w:rsidRPr="00D5464D">
        <w:rPr>
          <w:rFonts w:cs="Arial"/>
          <w:iCs/>
          <w:szCs w:val="20"/>
          <w:lang w:val="pt-BR"/>
        </w:rPr>
        <w:t xml:space="preserve">ção da </w:t>
      </w:r>
      <w:r w:rsidR="004B0842" w:rsidRPr="00D5464D">
        <w:rPr>
          <w:rFonts w:cs="Arial"/>
          <w:iCs/>
          <w:szCs w:val="20"/>
          <w:lang w:val="pt-BR"/>
        </w:rPr>
        <w:t xml:space="preserve">presente </w:t>
      </w:r>
      <w:r w:rsidR="002C330E" w:rsidRPr="00D5464D">
        <w:rPr>
          <w:rFonts w:cs="Arial"/>
          <w:iCs/>
          <w:szCs w:val="20"/>
          <w:lang w:val="pt-BR"/>
        </w:rPr>
        <w:t>Sentença</w:t>
      </w:r>
      <w:r w:rsidR="004B0842" w:rsidRPr="00D5464D">
        <w:rPr>
          <w:rFonts w:cs="Arial"/>
          <w:iCs/>
          <w:szCs w:val="20"/>
          <w:lang w:val="pt-BR"/>
        </w:rPr>
        <w:t>: a)</w:t>
      </w:r>
      <w:r w:rsidRPr="00D5464D">
        <w:rPr>
          <w:rFonts w:cs="Arial"/>
          <w:iCs/>
          <w:szCs w:val="20"/>
          <w:lang w:val="pt-BR"/>
        </w:rPr>
        <w:t xml:space="preserve"> o </w:t>
      </w:r>
      <w:r w:rsidR="002C330E" w:rsidRPr="00D5464D">
        <w:rPr>
          <w:rFonts w:cs="Arial"/>
          <w:iCs/>
          <w:szCs w:val="20"/>
          <w:lang w:val="pt-BR"/>
        </w:rPr>
        <w:t>resumo</w:t>
      </w:r>
      <w:r w:rsidR="004B0842" w:rsidRPr="00D5464D">
        <w:rPr>
          <w:rFonts w:cs="Arial"/>
          <w:iCs/>
          <w:szCs w:val="20"/>
          <w:lang w:val="pt-BR"/>
        </w:rPr>
        <w:t xml:space="preserve"> oficial</w:t>
      </w:r>
      <w:r w:rsidRPr="00D5464D">
        <w:rPr>
          <w:rFonts w:cs="Arial"/>
          <w:iCs/>
          <w:szCs w:val="20"/>
          <w:lang w:val="pt-BR"/>
        </w:rPr>
        <w:t xml:space="preserve"> da </w:t>
      </w:r>
      <w:r w:rsidR="004B0842" w:rsidRPr="00D5464D">
        <w:rPr>
          <w:rFonts w:cs="Arial"/>
          <w:iCs/>
          <w:szCs w:val="20"/>
          <w:lang w:val="pt-BR"/>
        </w:rPr>
        <w:t xml:space="preserve">presente </w:t>
      </w:r>
      <w:r w:rsidR="002C330E" w:rsidRPr="00D5464D">
        <w:rPr>
          <w:rFonts w:cs="Arial"/>
          <w:iCs/>
          <w:szCs w:val="20"/>
          <w:lang w:val="pt-BR"/>
        </w:rPr>
        <w:t>Sentença</w:t>
      </w:r>
      <w:r w:rsidR="004B0842" w:rsidRPr="00D5464D">
        <w:rPr>
          <w:rFonts w:cs="Arial"/>
          <w:iCs/>
          <w:szCs w:val="20"/>
          <w:lang w:val="pt-BR"/>
        </w:rPr>
        <w:t xml:space="preserve"> elaborado</w:t>
      </w:r>
      <w:r w:rsidR="002C330E" w:rsidRPr="00D5464D">
        <w:rPr>
          <w:rFonts w:cs="Arial"/>
          <w:iCs/>
          <w:szCs w:val="20"/>
          <w:lang w:val="pt-BR"/>
        </w:rPr>
        <w:t xml:space="preserve"> pela </w:t>
      </w:r>
      <w:r w:rsidR="004B0842" w:rsidRPr="00D5464D">
        <w:rPr>
          <w:rFonts w:cs="Arial"/>
          <w:iCs/>
          <w:szCs w:val="20"/>
          <w:lang w:val="pt-BR"/>
        </w:rPr>
        <w:t>Corte</w:t>
      </w:r>
      <w:r w:rsidR="00EB1CE9" w:rsidRPr="00D5464D">
        <w:rPr>
          <w:rFonts w:cs="Arial"/>
          <w:iCs/>
          <w:szCs w:val="20"/>
          <w:lang w:val="pt-BR"/>
        </w:rPr>
        <w:t xml:space="preserve">, por </w:t>
      </w:r>
      <w:r w:rsidR="00350187" w:rsidRPr="00D5464D">
        <w:rPr>
          <w:rFonts w:cs="Arial"/>
          <w:iCs/>
          <w:szCs w:val="20"/>
          <w:lang w:val="pt-BR"/>
        </w:rPr>
        <w:t>uma única vez</w:t>
      </w:r>
      <w:r w:rsidR="004B0842" w:rsidRPr="00D5464D">
        <w:rPr>
          <w:rFonts w:cs="Arial"/>
          <w:iCs/>
          <w:szCs w:val="20"/>
          <w:lang w:val="pt-BR"/>
        </w:rPr>
        <w:t>,</w:t>
      </w:r>
      <w:r w:rsidR="00E045D9" w:rsidRPr="00D5464D">
        <w:rPr>
          <w:rFonts w:cs="Arial"/>
          <w:iCs/>
          <w:szCs w:val="20"/>
          <w:lang w:val="pt-BR"/>
        </w:rPr>
        <w:t xml:space="preserve"> no </w:t>
      </w:r>
      <w:r w:rsidRPr="00D5464D">
        <w:rPr>
          <w:rFonts w:cs="Arial"/>
          <w:iCs/>
          <w:szCs w:val="20"/>
          <w:lang w:val="pt-BR"/>
        </w:rPr>
        <w:t>Diário</w:t>
      </w:r>
      <w:r w:rsidR="004B0842" w:rsidRPr="00D5464D">
        <w:rPr>
          <w:rFonts w:cs="Arial"/>
          <w:iCs/>
          <w:szCs w:val="20"/>
          <w:lang w:val="pt-BR"/>
        </w:rPr>
        <w:t xml:space="preserve"> Oficial; b)</w:t>
      </w:r>
      <w:r w:rsidRPr="00D5464D">
        <w:rPr>
          <w:rFonts w:cs="Arial"/>
          <w:iCs/>
          <w:szCs w:val="20"/>
          <w:lang w:val="pt-BR"/>
        </w:rPr>
        <w:t xml:space="preserve"> o </w:t>
      </w:r>
      <w:r w:rsidR="002C330E" w:rsidRPr="00D5464D">
        <w:rPr>
          <w:rFonts w:cs="Arial"/>
          <w:iCs/>
          <w:szCs w:val="20"/>
          <w:lang w:val="pt-BR"/>
        </w:rPr>
        <w:t>resumo</w:t>
      </w:r>
      <w:r w:rsidR="004B0842" w:rsidRPr="00D5464D">
        <w:rPr>
          <w:rFonts w:cs="Arial"/>
          <w:iCs/>
          <w:szCs w:val="20"/>
          <w:lang w:val="pt-BR"/>
        </w:rPr>
        <w:t xml:space="preserve"> oficial</w:t>
      </w:r>
      <w:r w:rsidRPr="00D5464D">
        <w:rPr>
          <w:rFonts w:cs="Arial"/>
          <w:iCs/>
          <w:szCs w:val="20"/>
          <w:lang w:val="pt-BR"/>
        </w:rPr>
        <w:t xml:space="preserve"> da </w:t>
      </w:r>
      <w:r w:rsidR="004B0842" w:rsidRPr="00D5464D">
        <w:rPr>
          <w:rFonts w:cs="Arial"/>
          <w:iCs/>
          <w:szCs w:val="20"/>
          <w:lang w:val="pt-BR"/>
        </w:rPr>
        <w:t xml:space="preserve">presente </w:t>
      </w:r>
      <w:r w:rsidR="002C330E" w:rsidRPr="00D5464D">
        <w:rPr>
          <w:rFonts w:cs="Arial"/>
          <w:iCs/>
          <w:szCs w:val="20"/>
          <w:lang w:val="pt-BR"/>
        </w:rPr>
        <w:t>Sentença</w:t>
      </w:r>
      <w:r w:rsidR="004B0842" w:rsidRPr="00D5464D">
        <w:rPr>
          <w:rFonts w:cs="Arial"/>
          <w:iCs/>
          <w:szCs w:val="20"/>
          <w:lang w:val="pt-BR"/>
        </w:rPr>
        <w:t xml:space="preserve"> elaborado</w:t>
      </w:r>
      <w:r w:rsidR="002C330E" w:rsidRPr="00D5464D">
        <w:rPr>
          <w:rFonts w:cs="Arial"/>
          <w:iCs/>
          <w:szCs w:val="20"/>
          <w:lang w:val="pt-BR"/>
        </w:rPr>
        <w:t xml:space="preserve"> pela </w:t>
      </w:r>
      <w:r w:rsidR="004B0842" w:rsidRPr="00D5464D">
        <w:rPr>
          <w:rFonts w:cs="Arial"/>
          <w:iCs/>
          <w:szCs w:val="20"/>
          <w:lang w:val="pt-BR"/>
        </w:rPr>
        <w:t>Corte</w:t>
      </w:r>
      <w:r w:rsidR="00EB1CE9" w:rsidRPr="00D5464D">
        <w:rPr>
          <w:rFonts w:cs="Arial"/>
          <w:iCs/>
          <w:szCs w:val="20"/>
          <w:lang w:val="pt-BR"/>
        </w:rPr>
        <w:t xml:space="preserve">, por </w:t>
      </w:r>
      <w:r w:rsidR="00350187" w:rsidRPr="00D5464D">
        <w:rPr>
          <w:rFonts w:cs="Arial"/>
          <w:iCs/>
          <w:szCs w:val="20"/>
          <w:lang w:val="pt-BR"/>
        </w:rPr>
        <w:t>uma única vez</w:t>
      </w:r>
      <w:r w:rsidR="004B0842" w:rsidRPr="00D5464D">
        <w:rPr>
          <w:rFonts w:cs="Arial"/>
          <w:iCs/>
          <w:szCs w:val="20"/>
          <w:lang w:val="pt-BR"/>
        </w:rPr>
        <w:t>,</w:t>
      </w:r>
      <w:r w:rsidRPr="00D5464D">
        <w:rPr>
          <w:rFonts w:cs="Arial"/>
          <w:iCs/>
          <w:szCs w:val="20"/>
          <w:lang w:val="pt-BR"/>
        </w:rPr>
        <w:t xml:space="preserve"> em</w:t>
      </w:r>
      <w:r w:rsidR="00E045D9" w:rsidRPr="00D5464D">
        <w:rPr>
          <w:rFonts w:cs="Arial"/>
          <w:iCs/>
          <w:szCs w:val="20"/>
          <w:lang w:val="pt-BR"/>
        </w:rPr>
        <w:t xml:space="preserve"> um </w:t>
      </w:r>
      <w:r w:rsidR="00C91CB1" w:rsidRPr="00D5464D">
        <w:rPr>
          <w:rFonts w:cs="Arial"/>
          <w:iCs/>
          <w:szCs w:val="20"/>
          <w:lang w:val="pt-BR"/>
        </w:rPr>
        <w:t>jornal de ampla circulação</w:t>
      </w:r>
      <w:r w:rsidR="004B0842" w:rsidRPr="00D5464D">
        <w:rPr>
          <w:rFonts w:cs="Arial"/>
          <w:iCs/>
          <w:szCs w:val="20"/>
          <w:lang w:val="pt-BR"/>
        </w:rPr>
        <w:t xml:space="preserve"> nacional</w:t>
      </w:r>
      <w:r w:rsidR="002A0C2B" w:rsidRPr="00D5464D">
        <w:rPr>
          <w:rFonts w:cs="Arial"/>
          <w:iCs/>
          <w:szCs w:val="20"/>
          <w:lang w:val="pt-BR"/>
        </w:rPr>
        <w:t xml:space="preserve"> e </w:t>
      </w:r>
      <w:r w:rsidR="004B0842" w:rsidRPr="00D5464D">
        <w:rPr>
          <w:rFonts w:cs="Arial"/>
          <w:iCs/>
          <w:szCs w:val="20"/>
          <w:lang w:val="pt-BR"/>
        </w:rPr>
        <w:t>c)</w:t>
      </w:r>
      <w:r w:rsidR="002C330E" w:rsidRPr="00D5464D">
        <w:rPr>
          <w:rFonts w:cs="Arial"/>
          <w:iCs/>
          <w:szCs w:val="20"/>
          <w:lang w:val="pt-BR"/>
        </w:rPr>
        <w:t xml:space="preserve"> a </w:t>
      </w:r>
      <w:r w:rsidR="004B0842" w:rsidRPr="00D5464D">
        <w:rPr>
          <w:rFonts w:cs="Arial"/>
          <w:iCs/>
          <w:szCs w:val="20"/>
          <w:lang w:val="pt-BR"/>
        </w:rPr>
        <w:t xml:space="preserve">presente </w:t>
      </w:r>
      <w:r w:rsidR="002C330E" w:rsidRPr="00D5464D">
        <w:rPr>
          <w:rFonts w:cs="Arial"/>
          <w:iCs/>
          <w:szCs w:val="20"/>
          <w:lang w:val="pt-BR"/>
        </w:rPr>
        <w:t>Sentença</w:t>
      </w:r>
      <w:r w:rsidRPr="00D5464D">
        <w:rPr>
          <w:rFonts w:cs="Arial"/>
          <w:iCs/>
          <w:szCs w:val="20"/>
          <w:lang w:val="pt-BR"/>
        </w:rPr>
        <w:t xml:space="preserve"> </w:t>
      </w:r>
      <w:r w:rsidR="00C176E3" w:rsidRPr="00D5464D">
        <w:rPr>
          <w:rFonts w:cs="Arial"/>
          <w:iCs/>
          <w:szCs w:val="20"/>
          <w:lang w:val="pt-BR"/>
        </w:rPr>
        <w:t>integralmente</w:t>
      </w:r>
      <w:r w:rsidR="00E765C2" w:rsidRPr="00D5464D">
        <w:rPr>
          <w:rFonts w:cs="Arial"/>
          <w:iCs/>
          <w:szCs w:val="20"/>
          <w:lang w:val="pt-BR"/>
        </w:rPr>
        <w:t>,</w:t>
      </w:r>
      <w:r w:rsidR="004B0842" w:rsidRPr="00D5464D">
        <w:rPr>
          <w:rFonts w:cs="Arial"/>
          <w:iCs/>
          <w:szCs w:val="20"/>
          <w:lang w:val="pt-BR"/>
        </w:rPr>
        <w:t xml:space="preserve"> </w:t>
      </w:r>
      <w:r w:rsidRPr="00D5464D">
        <w:rPr>
          <w:rFonts w:cs="Arial"/>
          <w:iCs/>
          <w:szCs w:val="20"/>
          <w:lang w:val="pt-BR"/>
        </w:rPr>
        <w:t xml:space="preserve">disponível </w:t>
      </w:r>
      <w:r w:rsidR="004B0842" w:rsidRPr="00D5464D">
        <w:rPr>
          <w:rFonts w:cs="Arial"/>
          <w:iCs/>
          <w:szCs w:val="20"/>
          <w:lang w:val="pt-BR"/>
        </w:rPr>
        <w:t>por</w:t>
      </w:r>
      <w:r w:rsidR="00E045D9" w:rsidRPr="00D5464D">
        <w:rPr>
          <w:rFonts w:cs="Arial"/>
          <w:iCs/>
          <w:szCs w:val="20"/>
          <w:lang w:val="pt-BR"/>
        </w:rPr>
        <w:t xml:space="preserve"> um </w:t>
      </w:r>
      <w:r w:rsidR="004B0842" w:rsidRPr="00D5464D">
        <w:rPr>
          <w:rFonts w:cs="Arial"/>
          <w:iCs/>
          <w:szCs w:val="20"/>
          <w:lang w:val="pt-BR"/>
        </w:rPr>
        <w:t>período de</w:t>
      </w:r>
      <w:r w:rsidR="00E045D9" w:rsidRPr="00D5464D">
        <w:rPr>
          <w:rFonts w:cs="Arial"/>
          <w:iCs/>
          <w:szCs w:val="20"/>
          <w:lang w:val="pt-BR"/>
        </w:rPr>
        <w:t xml:space="preserve"> um ano,</w:t>
      </w:r>
      <w:r w:rsidRPr="00D5464D">
        <w:rPr>
          <w:rFonts w:cs="Arial"/>
          <w:iCs/>
          <w:szCs w:val="20"/>
          <w:lang w:val="pt-BR"/>
        </w:rPr>
        <w:t xml:space="preserve"> em</w:t>
      </w:r>
      <w:r w:rsidR="00E045D9" w:rsidRPr="00D5464D">
        <w:rPr>
          <w:rFonts w:cs="Arial"/>
          <w:iCs/>
          <w:szCs w:val="20"/>
          <w:lang w:val="pt-BR"/>
        </w:rPr>
        <w:t xml:space="preserve"> um </w:t>
      </w:r>
      <w:r w:rsidR="002C330E" w:rsidRPr="00D5464D">
        <w:rPr>
          <w:rFonts w:cs="Arial"/>
          <w:iCs/>
          <w:szCs w:val="20"/>
          <w:lang w:val="pt-BR"/>
        </w:rPr>
        <w:t>sítio</w:t>
      </w:r>
      <w:r w:rsidR="004B0842" w:rsidRPr="00D5464D">
        <w:rPr>
          <w:rFonts w:cs="Arial"/>
          <w:iCs/>
          <w:szCs w:val="20"/>
          <w:lang w:val="pt-BR"/>
        </w:rPr>
        <w:t xml:space="preserve"> </w:t>
      </w:r>
      <w:r w:rsidR="004B0842" w:rsidRPr="00D5464D">
        <w:rPr>
          <w:rFonts w:cs="Arial"/>
          <w:i/>
          <w:iCs/>
          <w:szCs w:val="20"/>
          <w:lang w:val="pt-BR"/>
        </w:rPr>
        <w:t>web</w:t>
      </w:r>
      <w:r w:rsidR="004B0842" w:rsidRPr="00D5464D">
        <w:rPr>
          <w:rFonts w:cs="Arial"/>
          <w:iCs/>
          <w:szCs w:val="20"/>
          <w:lang w:val="pt-BR"/>
        </w:rPr>
        <w:t xml:space="preserve"> oficial.</w:t>
      </w:r>
    </w:p>
    <w:p w14:paraId="4EE66040" w14:textId="77777777" w:rsidR="00747A03" w:rsidRPr="00D5464D" w:rsidRDefault="00747A03" w:rsidP="00747A03">
      <w:pPr>
        <w:pStyle w:val="Prrafodelista"/>
        <w:autoSpaceDE w:val="0"/>
        <w:autoSpaceDN w:val="0"/>
        <w:adjustRightInd w:val="0"/>
        <w:ind w:left="0"/>
        <w:rPr>
          <w:rFonts w:cs="Arial"/>
          <w:iCs/>
          <w:szCs w:val="20"/>
          <w:lang w:val="pt-BR"/>
        </w:rPr>
      </w:pPr>
    </w:p>
    <w:p w14:paraId="0B506F01" w14:textId="178E82D7" w:rsidR="004B0842" w:rsidRPr="00D5464D" w:rsidRDefault="00470ADC" w:rsidP="00E35960">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O </w:t>
      </w:r>
      <w:r w:rsidR="004B0842" w:rsidRPr="00D5464D">
        <w:rPr>
          <w:rFonts w:cs="Arial"/>
          <w:iCs/>
          <w:szCs w:val="20"/>
          <w:lang w:val="pt-BR"/>
        </w:rPr>
        <w:t xml:space="preserve">Estado </w:t>
      </w:r>
      <w:r w:rsidRPr="00D5464D">
        <w:rPr>
          <w:rFonts w:cs="Arial"/>
          <w:iCs/>
          <w:szCs w:val="20"/>
          <w:lang w:val="pt-BR"/>
        </w:rPr>
        <w:t>dever</w:t>
      </w:r>
      <w:r w:rsidR="004B0842" w:rsidRPr="00D5464D">
        <w:rPr>
          <w:rFonts w:cs="Arial"/>
          <w:iCs/>
          <w:szCs w:val="20"/>
          <w:lang w:val="pt-BR"/>
        </w:rPr>
        <w:t>á informar</w:t>
      </w:r>
      <w:r w:rsidR="004D1D39" w:rsidRPr="00D5464D">
        <w:rPr>
          <w:rFonts w:cs="Arial"/>
          <w:iCs/>
          <w:szCs w:val="20"/>
          <w:lang w:val="pt-BR"/>
        </w:rPr>
        <w:t>,</w:t>
      </w:r>
      <w:r w:rsidR="004B0842" w:rsidRPr="00D5464D">
        <w:rPr>
          <w:rFonts w:cs="Arial"/>
          <w:iCs/>
          <w:szCs w:val="20"/>
          <w:lang w:val="pt-BR"/>
        </w:rPr>
        <w:t xml:space="preserve"> de forma </w:t>
      </w:r>
      <w:r w:rsidR="002C330E" w:rsidRPr="00D5464D">
        <w:rPr>
          <w:rFonts w:cs="Arial"/>
          <w:iCs/>
          <w:szCs w:val="20"/>
          <w:lang w:val="pt-BR"/>
        </w:rPr>
        <w:t>imediat</w:t>
      </w:r>
      <w:r w:rsidR="004B0842" w:rsidRPr="00D5464D">
        <w:rPr>
          <w:rFonts w:cs="Arial"/>
          <w:iCs/>
          <w:szCs w:val="20"/>
          <w:lang w:val="pt-BR"/>
        </w:rPr>
        <w:t>a</w:t>
      </w:r>
      <w:r w:rsidR="004D1D39" w:rsidRPr="00D5464D">
        <w:rPr>
          <w:rFonts w:cs="Arial"/>
          <w:iCs/>
          <w:szCs w:val="20"/>
          <w:lang w:val="pt-BR"/>
        </w:rPr>
        <w:t>,</w:t>
      </w:r>
      <w:r w:rsidR="004B0842" w:rsidRPr="00D5464D">
        <w:rPr>
          <w:rFonts w:cs="Arial"/>
          <w:iCs/>
          <w:szCs w:val="20"/>
          <w:lang w:val="pt-BR"/>
        </w:rPr>
        <w:t xml:space="preserve"> a esta Corte</w:t>
      </w:r>
      <w:r w:rsidR="00E045D9" w:rsidRPr="00D5464D">
        <w:rPr>
          <w:rFonts w:cs="Arial"/>
          <w:iCs/>
          <w:szCs w:val="20"/>
          <w:lang w:val="pt-BR"/>
        </w:rPr>
        <w:t xml:space="preserve"> uma </w:t>
      </w:r>
      <w:r w:rsidR="004B0842" w:rsidRPr="00D5464D">
        <w:rPr>
          <w:rFonts w:cs="Arial"/>
          <w:iCs/>
          <w:szCs w:val="20"/>
          <w:lang w:val="pt-BR"/>
        </w:rPr>
        <w:t>vez que</w:t>
      </w:r>
      <w:r w:rsidR="00FF1290" w:rsidRPr="00D5464D">
        <w:rPr>
          <w:rFonts w:cs="Arial"/>
          <w:iCs/>
          <w:szCs w:val="20"/>
          <w:lang w:val="pt-BR"/>
        </w:rPr>
        <w:t xml:space="preserve"> </w:t>
      </w:r>
      <w:r w:rsidR="004D1D39" w:rsidRPr="00D5464D">
        <w:rPr>
          <w:rFonts w:cs="Arial"/>
          <w:iCs/>
          <w:szCs w:val="20"/>
          <w:lang w:val="pt-BR"/>
        </w:rPr>
        <w:t>realize</w:t>
      </w:r>
      <w:r w:rsidR="004B0842" w:rsidRPr="00D5464D">
        <w:rPr>
          <w:rFonts w:cs="Arial"/>
          <w:iCs/>
          <w:szCs w:val="20"/>
          <w:lang w:val="pt-BR"/>
        </w:rPr>
        <w:t xml:space="preserve"> cada</w:t>
      </w:r>
      <w:r w:rsidR="00E045D9" w:rsidRPr="00D5464D">
        <w:rPr>
          <w:rFonts w:cs="Arial"/>
          <w:iCs/>
          <w:szCs w:val="20"/>
          <w:lang w:val="pt-BR"/>
        </w:rPr>
        <w:t xml:space="preserve"> uma </w:t>
      </w:r>
      <w:r w:rsidRPr="00D5464D">
        <w:rPr>
          <w:rFonts w:cs="Arial"/>
          <w:iCs/>
          <w:szCs w:val="20"/>
          <w:lang w:val="pt-BR"/>
        </w:rPr>
        <w:t xml:space="preserve">das </w:t>
      </w:r>
      <w:r w:rsidR="004B0842" w:rsidRPr="00D5464D">
        <w:rPr>
          <w:rFonts w:cs="Arial"/>
          <w:iCs/>
          <w:szCs w:val="20"/>
          <w:lang w:val="pt-BR"/>
        </w:rPr>
        <w:t>publica</w:t>
      </w:r>
      <w:r w:rsidRPr="00D5464D">
        <w:rPr>
          <w:rFonts w:cs="Arial"/>
          <w:iCs/>
          <w:szCs w:val="20"/>
          <w:lang w:val="pt-BR"/>
        </w:rPr>
        <w:t>ções</w:t>
      </w:r>
      <w:r w:rsidR="004B0842" w:rsidRPr="00D5464D">
        <w:rPr>
          <w:rFonts w:cs="Arial"/>
          <w:iCs/>
          <w:szCs w:val="20"/>
          <w:lang w:val="pt-BR"/>
        </w:rPr>
        <w:t xml:space="preserve"> </w:t>
      </w:r>
      <w:r w:rsidR="002D5E58" w:rsidRPr="00D5464D">
        <w:rPr>
          <w:rFonts w:cs="Arial"/>
          <w:iCs/>
          <w:szCs w:val="20"/>
          <w:lang w:val="pt-BR"/>
        </w:rPr>
        <w:t>ordenadas</w:t>
      </w:r>
      <w:r w:rsidR="004B0842" w:rsidRPr="00D5464D">
        <w:rPr>
          <w:rFonts w:cs="Arial"/>
          <w:iCs/>
          <w:szCs w:val="20"/>
          <w:lang w:val="pt-BR"/>
        </w:rPr>
        <w:t xml:space="preserve">, </w:t>
      </w:r>
      <w:r w:rsidR="002C330E" w:rsidRPr="00D5464D">
        <w:rPr>
          <w:rFonts w:cs="Arial"/>
          <w:iCs/>
          <w:szCs w:val="20"/>
          <w:lang w:val="pt-BR"/>
        </w:rPr>
        <w:t>independente</w:t>
      </w:r>
      <w:r w:rsidR="004B0842" w:rsidRPr="00D5464D">
        <w:rPr>
          <w:rFonts w:cs="Arial"/>
          <w:iCs/>
          <w:szCs w:val="20"/>
          <w:lang w:val="pt-BR"/>
        </w:rPr>
        <w:t xml:space="preserve">mente </w:t>
      </w:r>
      <w:r w:rsidRPr="00D5464D">
        <w:rPr>
          <w:rFonts w:cs="Arial"/>
          <w:iCs/>
          <w:szCs w:val="20"/>
          <w:lang w:val="pt-BR"/>
        </w:rPr>
        <w:t>do</w:t>
      </w:r>
      <w:r w:rsidR="002C330E" w:rsidRPr="00D5464D">
        <w:rPr>
          <w:rFonts w:cs="Arial"/>
          <w:iCs/>
          <w:szCs w:val="20"/>
          <w:lang w:val="pt-BR"/>
        </w:rPr>
        <w:t xml:space="preserve"> prazo</w:t>
      </w:r>
      <w:r w:rsidR="004B0842" w:rsidRPr="00D5464D">
        <w:rPr>
          <w:rFonts w:cs="Arial"/>
          <w:iCs/>
          <w:szCs w:val="20"/>
          <w:lang w:val="pt-BR"/>
        </w:rPr>
        <w:t xml:space="preserve"> de</w:t>
      </w:r>
      <w:r w:rsidR="00E045D9" w:rsidRPr="00D5464D">
        <w:rPr>
          <w:rFonts w:cs="Arial"/>
          <w:iCs/>
          <w:szCs w:val="20"/>
          <w:lang w:val="pt-BR"/>
        </w:rPr>
        <w:t xml:space="preserve"> um </w:t>
      </w:r>
      <w:r w:rsidRPr="00D5464D">
        <w:rPr>
          <w:rFonts w:cs="Arial"/>
          <w:iCs/>
          <w:szCs w:val="20"/>
          <w:lang w:val="pt-BR"/>
        </w:rPr>
        <w:t xml:space="preserve">ano </w:t>
      </w:r>
      <w:r w:rsidR="004B0842" w:rsidRPr="00D5464D">
        <w:rPr>
          <w:rFonts w:cs="Arial"/>
          <w:iCs/>
          <w:szCs w:val="20"/>
          <w:lang w:val="pt-BR"/>
        </w:rPr>
        <w:t>para</w:t>
      </w:r>
      <w:r w:rsidR="002C330E" w:rsidRPr="00D5464D">
        <w:rPr>
          <w:rFonts w:cs="Arial"/>
          <w:iCs/>
          <w:szCs w:val="20"/>
          <w:lang w:val="pt-BR"/>
        </w:rPr>
        <w:t xml:space="preserve"> apresentar </w:t>
      </w:r>
      <w:r w:rsidR="004B0842" w:rsidRPr="00D5464D">
        <w:rPr>
          <w:rFonts w:cs="Arial"/>
          <w:iCs/>
          <w:szCs w:val="20"/>
          <w:lang w:val="pt-BR"/>
        </w:rPr>
        <w:t>s</w:t>
      </w:r>
      <w:r w:rsidR="002D5E58" w:rsidRPr="00D5464D">
        <w:rPr>
          <w:rFonts w:cs="Arial"/>
          <w:iCs/>
          <w:szCs w:val="20"/>
          <w:lang w:val="pt-BR"/>
        </w:rPr>
        <w:t>e</w:t>
      </w:r>
      <w:r w:rsidR="004B0842" w:rsidRPr="00D5464D">
        <w:rPr>
          <w:rFonts w:cs="Arial"/>
          <w:iCs/>
          <w:szCs w:val="20"/>
          <w:lang w:val="pt-BR"/>
        </w:rPr>
        <w:t>u</w:t>
      </w:r>
      <w:r w:rsidR="002C330E" w:rsidRPr="00D5464D">
        <w:rPr>
          <w:rFonts w:cs="Arial"/>
          <w:iCs/>
          <w:szCs w:val="20"/>
          <w:lang w:val="pt-BR"/>
        </w:rPr>
        <w:t xml:space="preserve"> primeiro </w:t>
      </w:r>
      <w:r w:rsidR="00350187" w:rsidRPr="00D5464D">
        <w:rPr>
          <w:rFonts w:cs="Arial"/>
          <w:iCs/>
          <w:szCs w:val="20"/>
          <w:lang w:val="pt-BR"/>
        </w:rPr>
        <w:t>relatório</w:t>
      </w:r>
      <w:r w:rsidR="002D5E58" w:rsidRPr="00D5464D">
        <w:rPr>
          <w:rFonts w:cs="Arial"/>
          <w:iCs/>
          <w:szCs w:val="20"/>
          <w:lang w:val="pt-BR"/>
        </w:rPr>
        <w:t>,</w:t>
      </w:r>
      <w:r w:rsidR="002C330E" w:rsidRPr="00D5464D">
        <w:rPr>
          <w:rFonts w:cs="Arial"/>
          <w:iCs/>
          <w:szCs w:val="20"/>
          <w:lang w:val="pt-BR"/>
        </w:rPr>
        <w:t xml:space="preserve"> </w:t>
      </w:r>
      <w:r w:rsidRPr="00D5464D">
        <w:rPr>
          <w:rFonts w:cs="Arial"/>
          <w:iCs/>
          <w:szCs w:val="20"/>
          <w:lang w:val="pt-BR"/>
        </w:rPr>
        <w:t>dispost</w:t>
      </w:r>
      <w:r w:rsidR="004B0842" w:rsidRPr="00D5464D">
        <w:rPr>
          <w:rFonts w:cs="Arial"/>
          <w:iCs/>
          <w:szCs w:val="20"/>
          <w:lang w:val="pt-BR"/>
        </w:rPr>
        <w:t>o</w:t>
      </w:r>
      <w:r w:rsidR="00E045D9" w:rsidRPr="00D5464D">
        <w:rPr>
          <w:rFonts w:cs="Arial"/>
          <w:iCs/>
          <w:szCs w:val="20"/>
          <w:lang w:val="pt-BR"/>
        </w:rPr>
        <w:t xml:space="preserve"> no </w:t>
      </w:r>
      <w:r w:rsidR="002C330E" w:rsidRPr="00D5464D">
        <w:rPr>
          <w:rFonts w:cs="Arial"/>
          <w:iCs/>
          <w:szCs w:val="20"/>
          <w:lang w:val="pt-BR"/>
        </w:rPr>
        <w:t xml:space="preserve">ponto </w:t>
      </w:r>
      <w:r w:rsidR="004B0842" w:rsidRPr="00D5464D">
        <w:rPr>
          <w:rFonts w:cs="Arial"/>
          <w:iCs/>
          <w:szCs w:val="20"/>
          <w:lang w:val="pt-BR"/>
        </w:rPr>
        <w:t xml:space="preserve">resolutivo </w:t>
      </w:r>
      <w:r w:rsidR="00C861A8" w:rsidRPr="00D5464D">
        <w:rPr>
          <w:rFonts w:cs="Arial"/>
          <w:iCs/>
          <w:szCs w:val="20"/>
          <w:lang w:val="pt-BR"/>
        </w:rPr>
        <w:t>décimo</w:t>
      </w:r>
      <w:r w:rsidRPr="00D5464D">
        <w:rPr>
          <w:rFonts w:cs="Arial"/>
          <w:iCs/>
          <w:szCs w:val="20"/>
          <w:lang w:val="pt-BR"/>
        </w:rPr>
        <w:t xml:space="preserve"> da </w:t>
      </w:r>
      <w:r w:rsidR="002C330E" w:rsidRPr="00D5464D">
        <w:rPr>
          <w:rFonts w:cs="Arial"/>
          <w:iCs/>
          <w:szCs w:val="20"/>
          <w:lang w:val="pt-BR"/>
        </w:rPr>
        <w:t>Sentença</w:t>
      </w:r>
      <w:r w:rsidR="004B0842" w:rsidRPr="00D5464D">
        <w:rPr>
          <w:rFonts w:cs="Arial"/>
          <w:iCs/>
          <w:szCs w:val="20"/>
          <w:lang w:val="pt-BR"/>
        </w:rPr>
        <w:t xml:space="preserve">. </w:t>
      </w:r>
    </w:p>
    <w:p w14:paraId="27BF3EAC" w14:textId="77777777" w:rsidR="004B0842" w:rsidRPr="00D5464D" w:rsidRDefault="004B0842" w:rsidP="004B0842">
      <w:pPr>
        <w:pStyle w:val="Prrafodelista"/>
        <w:autoSpaceDE w:val="0"/>
        <w:autoSpaceDN w:val="0"/>
        <w:adjustRightInd w:val="0"/>
        <w:ind w:left="0"/>
        <w:rPr>
          <w:rFonts w:cs="Arial"/>
          <w:i/>
          <w:iCs/>
          <w:szCs w:val="20"/>
          <w:lang w:val="pt-BR"/>
        </w:rPr>
      </w:pPr>
    </w:p>
    <w:p w14:paraId="6ED426FF" w14:textId="50A2B764" w:rsidR="004B0842" w:rsidRPr="00D5464D" w:rsidRDefault="00E35960" w:rsidP="00863BF9">
      <w:pPr>
        <w:pStyle w:val="Ttulo3"/>
        <w:rPr>
          <w:lang w:val="pt-BR"/>
        </w:rPr>
      </w:pPr>
      <w:bookmarkStart w:id="453" w:name="_Toc460433064"/>
      <w:bookmarkStart w:id="454" w:name="_Toc460441995"/>
      <w:bookmarkStart w:id="455" w:name="_Toc462751137"/>
      <w:bookmarkStart w:id="456" w:name="_Toc464813989"/>
      <w:bookmarkStart w:id="457" w:name="_Toc468433950"/>
      <w:r w:rsidRPr="00D5464D">
        <w:rPr>
          <w:lang w:val="pt-BR"/>
        </w:rPr>
        <w:t>C.2</w:t>
      </w:r>
      <w:r w:rsidR="004B0842" w:rsidRPr="00D5464D">
        <w:rPr>
          <w:lang w:val="pt-BR"/>
        </w:rPr>
        <w:t>.</w:t>
      </w:r>
      <w:r w:rsidR="004B0842" w:rsidRPr="00D5464D">
        <w:rPr>
          <w:lang w:val="pt-BR"/>
        </w:rPr>
        <w:tab/>
      </w:r>
      <w:r w:rsidR="002C330E" w:rsidRPr="00D5464D">
        <w:rPr>
          <w:lang w:val="pt-BR"/>
        </w:rPr>
        <w:t xml:space="preserve">Garantia </w:t>
      </w:r>
      <w:r w:rsidR="00470ADC" w:rsidRPr="00D5464D">
        <w:rPr>
          <w:lang w:val="pt-BR"/>
        </w:rPr>
        <w:t>de não repetição</w:t>
      </w:r>
      <w:r w:rsidR="004B0842" w:rsidRPr="00D5464D">
        <w:rPr>
          <w:lang w:val="pt-BR"/>
        </w:rPr>
        <w:t xml:space="preserve">: </w:t>
      </w:r>
      <w:r w:rsidR="002D5E58" w:rsidRPr="00D5464D">
        <w:rPr>
          <w:lang w:val="pt-BR"/>
        </w:rPr>
        <w:t xml:space="preserve">imprescritibilidade </w:t>
      </w:r>
      <w:r w:rsidR="00470ADC" w:rsidRPr="00D5464D">
        <w:rPr>
          <w:lang w:val="pt-BR"/>
        </w:rPr>
        <w:t xml:space="preserve">do </w:t>
      </w:r>
      <w:r w:rsidR="004B0842" w:rsidRPr="00D5464D">
        <w:rPr>
          <w:lang w:val="pt-BR"/>
        </w:rPr>
        <w:t xml:space="preserve">delito de </w:t>
      </w:r>
      <w:r w:rsidR="00E045D9" w:rsidRPr="00D5464D">
        <w:rPr>
          <w:lang w:val="pt-BR"/>
        </w:rPr>
        <w:t>trabalho</w:t>
      </w:r>
      <w:r w:rsidR="004B0842" w:rsidRPr="00D5464D">
        <w:rPr>
          <w:lang w:val="pt-BR"/>
        </w:rPr>
        <w:t xml:space="preserve"> </w:t>
      </w:r>
      <w:r w:rsidR="004F1CC2" w:rsidRPr="00D5464D">
        <w:rPr>
          <w:lang w:val="pt-BR"/>
        </w:rPr>
        <w:t>escravo</w:t>
      </w:r>
      <w:bookmarkEnd w:id="453"/>
      <w:bookmarkEnd w:id="454"/>
      <w:bookmarkEnd w:id="455"/>
      <w:bookmarkEnd w:id="456"/>
      <w:bookmarkEnd w:id="457"/>
    </w:p>
    <w:p w14:paraId="5BE8EEA9" w14:textId="77777777" w:rsidR="004B0842" w:rsidRPr="00D5464D" w:rsidRDefault="004B0842" w:rsidP="004B0842">
      <w:pPr>
        <w:pStyle w:val="Prrafodelista"/>
        <w:autoSpaceDE w:val="0"/>
        <w:autoSpaceDN w:val="0"/>
        <w:adjustRightInd w:val="0"/>
        <w:rPr>
          <w:rFonts w:cs="Arial"/>
          <w:iCs/>
          <w:szCs w:val="20"/>
          <w:lang w:val="pt-BR"/>
        </w:rPr>
      </w:pPr>
    </w:p>
    <w:p w14:paraId="1218A423" w14:textId="5A0361FA" w:rsidR="004B0842" w:rsidRPr="00D5464D" w:rsidRDefault="00737270"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Os </w:t>
      </w:r>
      <w:r w:rsidR="00EB1CE9" w:rsidRPr="00D5464D">
        <w:rPr>
          <w:rFonts w:cs="Arial"/>
          <w:b/>
          <w:i/>
          <w:iCs/>
          <w:szCs w:val="20"/>
          <w:lang w:val="pt-BR"/>
        </w:rPr>
        <w:t>representante</w:t>
      </w:r>
      <w:r w:rsidRPr="00D5464D">
        <w:rPr>
          <w:rFonts w:cs="Arial"/>
          <w:b/>
          <w:i/>
          <w:iCs/>
          <w:szCs w:val="20"/>
          <w:lang w:val="pt-BR"/>
        </w:rPr>
        <w:t>s</w:t>
      </w:r>
      <w:r w:rsidRPr="00D5464D">
        <w:rPr>
          <w:rFonts w:cs="Arial"/>
          <w:iCs/>
          <w:szCs w:val="20"/>
          <w:lang w:val="pt-BR"/>
        </w:rPr>
        <w:t xml:space="preserve"> </w:t>
      </w:r>
      <w:r w:rsidR="002C330E" w:rsidRPr="00D5464D">
        <w:rPr>
          <w:rFonts w:cs="Arial"/>
          <w:iCs/>
          <w:szCs w:val="20"/>
          <w:lang w:val="pt-BR"/>
        </w:rPr>
        <w:t>afirmaram</w:t>
      </w:r>
      <w:r w:rsidR="004B0842" w:rsidRPr="00D5464D">
        <w:rPr>
          <w:rFonts w:cs="Arial"/>
          <w:iCs/>
          <w:szCs w:val="20"/>
          <w:lang w:val="pt-BR"/>
        </w:rPr>
        <w:t xml:space="preserve"> que,</w:t>
      </w:r>
      <w:r w:rsidR="00FF1290" w:rsidRPr="00D5464D">
        <w:rPr>
          <w:rFonts w:cs="Arial"/>
          <w:iCs/>
          <w:szCs w:val="20"/>
          <w:lang w:val="pt-BR"/>
        </w:rPr>
        <w:t xml:space="preserve"> </w:t>
      </w:r>
      <w:r w:rsidR="002C2CDF" w:rsidRPr="00D5464D">
        <w:rPr>
          <w:rFonts w:cs="Arial"/>
          <w:iCs/>
          <w:szCs w:val="20"/>
          <w:lang w:val="pt-BR"/>
        </w:rPr>
        <w:t>considerando</w:t>
      </w:r>
      <w:r w:rsidR="002D5E58" w:rsidRPr="00D5464D">
        <w:rPr>
          <w:rFonts w:cs="Arial"/>
          <w:iCs/>
          <w:szCs w:val="20"/>
          <w:lang w:val="pt-BR"/>
        </w:rPr>
        <w:t xml:space="preserve"> </w:t>
      </w:r>
      <w:r w:rsidR="004B0842" w:rsidRPr="00D5464D">
        <w:rPr>
          <w:rFonts w:cs="Arial"/>
          <w:iCs/>
          <w:szCs w:val="20"/>
          <w:lang w:val="pt-BR"/>
        </w:rPr>
        <w:t>que se trata de graves viola</w:t>
      </w:r>
      <w:r w:rsidR="00470ADC" w:rsidRPr="00D5464D">
        <w:rPr>
          <w:rFonts w:cs="Arial"/>
          <w:iCs/>
          <w:szCs w:val="20"/>
          <w:lang w:val="pt-BR"/>
        </w:rPr>
        <w:t>ções</w:t>
      </w:r>
      <w:r w:rsidR="00E045D9" w:rsidRPr="00D5464D">
        <w:rPr>
          <w:rFonts w:cs="Arial"/>
          <w:iCs/>
          <w:szCs w:val="20"/>
          <w:lang w:val="pt-BR"/>
        </w:rPr>
        <w:t xml:space="preserve"> aos </w:t>
      </w:r>
      <w:r w:rsidR="00470ADC" w:rsidRPr="00D5464D">
        <w:rPr>
          <w:rFonts w:cs="Arial"/>
          <w:iCs/>
          <w:szCs w:val="20"/>
          <w:lang w:val="pt-BR"/>
        </w:rPr>
        <w:t>direito</w:t>
      </w:r>
      <w:r w:rsidR="004B0842" w:rsidRPr="00D5464D">
        <w:rPr>
          <w:rFonts w:cs="Arial"/>
          <w:iCs/>
          <w:szCs w:val="20"/>
          <w:lang w:val="pt-BR"/>
        </w:rPr>
        <w:t>s humanos,</w:t>
      </w:r>
      <w:r w:rsidR="002C330E" w:rsidRPr="00D5464D">
        <w:rPr>
          <w:rFonts w:cs="Arial"/>
          <w:iCs/>
          <w:szCs w:val="20"/>
          <w:lang w:val="pt-BR"/>
        </w:rPr>
        <w:t xml:space="preserve"> a prescrição</w:t>
      </w:r>
      <w:r w:rsidR="004B0842" w:rsidRPr="00D5464D">
        <w:rPr>
          <w:rFonts w:cs="Arial"/>
          <w:iCs/>
          <w:szCs w:val="20"/>
          <w:lang w:val="pt-BR"/>
        </w:rPr>
        <w:t xml:space="preserve"> </w:t>
      </w:r>
      <w:r w:rsidR="00470ADC" w:rsidRPr="00D5464D">
        <w:rPr>
          <w:rFonts w:cs="Arial"/>
          <w:iCs/>
          <w:szCs w:val="20"/>
          <w:lang w:val="pt-BR"/>
        </w:rPr>
        <w:t xml:space="preserve">do </w:t>
      </w:r>
      <w:r w:rsidR="004B0842" w:rsidRPr="00D5464D">
        <w:rPr>
          <w:rFonts w:cs="Arial"/>
          <w:iCs/>
          <w:szCs w:val="20"/>
          <w:lang w:val="pt-BR"/>
        </w:rPr>
        <w:t xml:space="preserve">delito de </w:t>
      </w:r>
      <w:r w:rsidR="00E045D9" w:rsidRPr="00D5464D">
        <w:rPr>
          <w:rFonts w:cs="Arial"/>
          <w:iCs/>
          <w:szCs w:val="20"/>
          <w:lang w:val="pt-BR"/>
        </w:rPr>
        <w:t>trabalho</w:t>
      </w:r>
      <w:r w:rsidR="004B0842" w:rsidRPr="00D5464D">
        <w:rPr>
          <w:rFonts w:cs="Arial"/>
          <w:iCs/>
          <w:szCs w:val="20"/>
          <w:lang w:val="pt-BR"/>
        </w:rPr>
        <w:t xml:space="preserve"> </w:t>
      </w:r>
      <w:r w:rsidR="004F1CC2" w:rsidRPr="00D5464D">
        <w:rPr>
          <w:rFonts w:cs="Arial"/>
          <w:iCs/>
          <w:szCs w:val="20"/>
          <w:lang w:val="pt-BR"/>
        </w:rPr>
        <w:t>escravo</w:t>
      </w:r>
      <w:r w:rsidR="00470ADC" w:rsidRPr="00D5464D">
        <w:rPr>
          <w:rFonts w:cs="Arial"/>
          <w:iCs/>
          <w:szCs w:val="20"/>
          <w:lang w:val="pt-BR"/>
        </w:rPr>
        <w:t xml:space="preserve"> é </w:t>
      </w:r>
      <w:r w:rsidR="004B0842" w:rsidRPr="00D5464D">
        <w:rPr>
          <w:rFonts w:cs="Arial"/>
          <w:iCs/>
          <w:szCs w:val="20"/>
          <w:lang w:val="pt-BR"/>
        </w:rPr>
        <w:t>in</w:t>
      </w:r>
      <w:r w:rsidR="00470ADC" w:rsidRPr="00D5464D">
        <w:rPr>
          <w:rFonts w:cs="Arial"/>
          <w:iCs/>
          <w:szCs w:val="20"/>
          <w:lang w:val="pt-BR"/>
        </w:rPr>
        <w:t>compatível com</w:t>
      </w:r>
      <w:r w:rsidR="002C330E" w:rsidRPr="00D5464D">
        <w:rPr>
          <w:rFonts w:cs="Arial"/>
          <w:iCs/>
          <w:szCs w:val="20"/>
          <w:lang w:val="pt-BR"/>
        </w:rPr>
        <w:t xml:space="preserve"> a </w:t>
      </w:r>
      <w:r w:rsidR="004B0842" w:rsidRPr="00D5464D">
        <w:rPr>
          <w:rFonts w:cs="Arial"/>
          <w:iCs/>
          <w:szCs w:val="20"/>
          <w:lang w:val="pt-BR"/>
        </w:rPr>
        <w:t>Conven</w:t>
      </w:r>
      <w:r w:rsidR="00470ADC" w:rsidRPr="00D5464D">
        <w:rPr>
          <w:rFonts w:cs="Arial"/>
          <w:iCs/>
          <w:szCs w:val="20"/>
          <w:lang w:val="pt-BR"/>
        </w:rPr>
        <w:t>ção</w:t>
      </w:r>
      <w:r w:rsidR="004B0842" w:rsidRPr="00D5464D">
        <w:rPr>
          <w:rFonts w:cs="Arial"/>
          <w:iCs/>
          <w:szCs w:val="20"/>
          <w:lang w:val="pt-BR"/>
        </w:rPr>
        <w:t xml:space="preserve"> Americana</w:t>
      </w:r>
      <w:r w:rsidR="00A1358C" w:rsidRPr="00D5464D">
        <w:rPr>
          <w:rFonts w:cs="Arial"/>
          <w:iCs/>
          <w:szCs w:val="20"/>
          <w:lang w:val="pt-BR"/>
        </w:rPr>
        <w:t>. Em consequência</w:t>
      </w:r>
      <w:r w:rsidR="004B0842" w:rsidRPr="00D5464D">
        <w:rPr>
          <w:rFonts w:cs="Arial"/>
          <w:iCs/>
          <w:szCs w:val="20"/>
          <w:lang w:val="pt-BR"/>
        </w:rPr>
        <w:t xml:space="preserve">, </w:t>
      </w:r>
      <w:r w:rsidR="002C330E" w:rsidRPr="00D5464D">
        <w:rPr>
          <w:rFonts w:cs="Arial"/>
          <w:iCs/>
          <w:szCs w:val="20"/>
          <w:lang w:val="pt-BR"/>
        </w:rPr>
        <w:t>solicitaram</w:t>
      </w:r>
      <w:r w:rsidR="004B0842" w:rsidRPr="00D5464D">
        <w:rPr>
          <w:rFonts w:cs="Arial"/>
          <w:iCs/>
          <w:szCs w:val="20"/>
          <w:lang w:val="pt-BR"/>
        </w:rPr>
        <w:t xml:space="preserve"> que</w:t>
      </w:r>
      <w:r w:rsidR="00470ADC" w:rsidRPr="00D5464D">
        <w:rPr>
          <w:rFonts w:cs="Arial"/>
          <w:iCs/>
          <w:szCs w:val="20"/>
          <w:lang w:val="pt-BR"/>
        </w:rPr>
        <w:t xml:space="preserve"> o </w:t>
      </w:r>
      <w:r w:rsidR="004B0842" w:rsidRPr="00D5464D">
        <w:rPr>
          <w:rFonts w:cs="Arial"/>
          <w:iCs/>
          <w:szCs w:val="20"/>
          <w:lang w:val="pt-BR"/>
        </w:rPr>
        <w:t xml:space="preserve">Estado </w:t>
      </w:r>
      <w:r w:rsidR="00470ADC" w:rsidRPr="00D5464D">
        <w:rPr>
          <w:rFonts w:cs="Arial"/>
          <w:iCs/>
          <w:szCs w:val="20"/>
          <w:lang w:val="pt-BR"/>
        </w:rPr>
        <w:t>estabeleça</w:t>
      </w:r>
      <w:r w:rsidR="002C330E" w:rsidRPr="00D5464D">
        <w:rPr>
          <w:rFonts w:cs="Arial"/>
          <w:iCs/>
          <w:szCs w:val="20"/>
          <w:lang w:val="pt-BR"/>
        </w:rPr>
        <w:t xml:space="preserve"> a </w:t>
      </w:r>
      <w:r w:rsidR="002D5E58" w:rsidRPr="00D5464D">
        <w:rPr>
          <w:rFonts w:cs="Arial"/>
          <w:iCs/>
          <w:szCs w:val="20"/>
          <w:lang w:val="pt-BR"/>
        </w:rPr>
        <w:t xml:space="preserve">imprescritibilidade </w:t>
      </w:r>
      <w:r w:rsidR="00470ADC" w:rsidRPr="00D5464D">
        <w:rPr>
          <w:rFonts w:cs="Arial"/>
          <w:iCs/>
          <w:szCs w:val="20"/>
          <w:lang w:val="pt-BR"/>
        </w:rPr>
        <w:t xml:space="preserve">deste </w:t>
      </w:r>
      <w:r w:rsidR="004B0842" w:rsidRPr="00D5464D">
        <w:rPr>
          <w:rFonts w:cs="Arial"/>
          <w:iCs/>
          <w:szCs w:val="20"/>
          <w:lang w:val="pt-BR"/>
        </w:rPr>
        <w:t>delito</w:t>
      </w:r>
      <w:r w:rsidR="00E045D9" w:rsidRPr="00D5464D">
        <w:rPr>
          <w:rFonts w:cs="Arial"/>
          <w:iCs/>
          <w:szCs w:val="20"/>
          <w:lang w:val="pt-BR"/>
        </w:rPr>
        <w:t xml:space="preserve"> e</w:t>
      </w:r>
      <w:r w:rsidR="002D5E58" w:rsidRPr="00D5464D">
        <w:rPr>
          <w:rFonts w:cs="Arial"/>
          <w:iCs/>
          <w:szCs w:val="20"/>
          <w:lang w:val="pt-BR"/>
        </w:rPr>
        <w:t>,</w:t>
      </w:r>
      <w:r w:rsidR="00E045D9" w:rsidRPr="00D5464D">
        <w:rPr>
          <w:rFonts w:cs="Arial"/>
          <w:iCs/>
          <w:szCs w:val="20"/>
          <w:lang w:val="pt-BR"/>
        </w:rPr>
        <w:t xml:space="preserve"> </w:t>
      </w:r>
      <w:r w:rsidR="004B0842" w:rsidRPr="00D5464D">
        <w:rPr>
          <w:rFonts w:cs="Arial"/>
          <w:iCs/>
          <w:szCs w:val="20"/>
          <w:lang w:val="pt-BR"/>
        </w:rPr>
        <w:t>adicionalmente</w:t>
      </w:r>
      <w:r w:rsidR="002D5E58" w:rsidRPr="00D5464D">
        <w:rPr>
          <w:rFonts w:cs="Arial"/>
          <w:iCs/>
          <w:szCs w:val="20"/>
          <w:lang w:val="pt-BR"/>
        </w:rPr>
        <w:t>,</w:t>
      </w:r>
      <w:r w:rsidR="004B0842" w:rsidRPr="00D5464D">
        <w:rPr>
          <w:rFonts w:cs="Arial"/>
          <w:iCs/>
          <w:szCs w:val="20"/>
          <w:lang w:val="pt-BR"/>
        </w:rPr>
        <w:t xml:space="preserve"> </w:t>
      </w:r>
      <w:r w:rsidR="00470ADC" w:rsidRPr="00D5464D">
        <w:rPr>
          <w:rFonts w:cs="Arial"/>
          <w:iCs/>
          <w:szCs w:val="20"/>
          <w:lang w:val="pt-BR"/>
        </w:rPr>
        <w:t>adot</w:t>
      </w:r>
      <w:r w:rsidR="004B0842" w:rsidRPr="00D5464D">
        <w:rPr>
          <w:rFonts w:cs="Arial"/>
          <w:iCs/>
          <w:szCs w:val="20"/>
          <w:lang w:val="pt-BR"/>
        </w:rPr>
        <w:t>e todas</w:t>
      </w:r>
      <w:r w:rsidR="002C330E" w:rsidRPr="00D5464D">
        <w:rPr>
          <w:rFonts w:cs="Arial"/>
          <w:iCs/>
          <w:szCs w:val="20"/>
          <w:lang w:val="pt-BR"/>
        </w:rPr>
        <w:t xml:space="preserve"> as </w:t>
      </w:r>
      <w:r w:rsidR="004B0842" w:rsidRPr="00D5464D">
        <w:rPr>
          <w:rFonts w:cs="Arial"/>
          <w:iCs/>
          <w:szCs w:val="20"/>
          <w:lang w:val="pt-BR"/>
        </w:rPr>
        <w:t xml:space="preserve">medidas </w:t>
      </w:r>
      <w:r w:rsidR="002C330E" w:rsidRPr="00D5464D">
        <w:rPr>
          <w:rFonts w:cs="Arial"/>
          <w:iCs/>
          <w:szCs w:val="20"/>
          <w:lang w:val="pt-BR"/>
        </w:rPr>
        <w:t>necessári</w:t>
      </w:r>
      <w:r w:rsidR="004B0842" w:rsidRPr="00D5464D">
        <w:rPr>
          <w:rFonts w:cs="Arial"/>
          <w:iCs/>
          <w:szCs w:val="20"/>
          <w:lang w:val="pt-BR"/>
        </w:rPr>
        <w:t>as para que</w:t>
      </w:r>
      <w:r w:rsidR="002C330E" w:rsidRPr="00D5464D">
        <w:rPr>
          <w:rFonts w:cs="Arial"/>
          <w:iCs/>
          <w:szCs w:val="20"/>
          <w:lang w:val="pt-BR"/>
        </w:rPr>
        <w:t xml:space="preserve"> a prescrição</w:t>
      </w:r>
      <w:r w:rsidR="004B0842" w:rsidRPr="00D5464D">
        <w:rPr>
          <w:rFonts w:cs="Arial"/>
          <w:iCs/>
          <w:szCs w:val="20"/>
          <w:lang w:val="pt-BR"/>
        </w:rPr>
        <w:t xml:space="preserve"> n</w:t>
      </w:r>
      <w:r w:rsidR="002D5E58" w:rsidRPr="00D5464D">
        <w:rPr>
          <w:rFonts w:cs="Arial"/>
          <w:iCs/>
          <w:szCs w:val="20"/>
          <w:lang w:val="pt-BR"/>
        </w:rPr>
        <w:t>ã</w:t>
      </w:r>
      <w:r w:rsidR="004B0842" w:rsidRPr="00D5464D">
        <w:rPr>
          <w:rFonts w:cs="Arial"/>
          <w:iCs/>
          <w:szCs w:val="20"/>
          <w:lang w:val="pt-BR"/>
        </w:rPr>
        <w:t>o</w:t>
      </w:r>
      <w:r w:rsidR="002C330E" w:rsidRPr="00D5464D">
        <w:rPr>
          <w:rFonts w:cs="Arial"/>
          <w:iCs/>
          <w:szCs w:val="20"/>
          <w:lang w:val="pt-BR"/>
        </w:rPr>
        <w:t xml:space="preserve"> seja</w:t>
      </w:r>
      <w:r w:rsidR="00E045D9" w:rsidRPr="00D5464D">
        <w:rPr>
          <w:rFonts w:cs="Arial"/>
          <w:iCs/>
          <w:szCs w:val="20"/>
          <w:lang w:val="pt-BR"/>
        </w:rPr>
        <w:t xml:space="preserve"> um </w:t>
      </w:r>
      <w:r w:rsidR="004B0842" w:rsidRPr="00D5464D">
        <w:rPr>
          <w:rFonts w:cs="Arial"/>
          <w:iCs/>
          <w:szCs w:val="20"/>
          <w:lang w:val="pt-BR"/>
        </w:rPr>
        <w:t>obstáculo para</w:t>
      </w:r>
      <w:r w:rsidR="002C330E" w:rsidRPr="00D5464D">
        <w:rPr>
          <w:rFonts w:cs="Arial"/>
          <w:iCs/>
          <w:szCs w:val="20"/>
          <w:lang w:val="pt-BR"/>
        </w:rPr>
        <w:t xml:space="preserve"> a </w:t>
      </w:r>
      <w:r w:rsidR="004B0842" w:rsidRPr="00D5464D">
        <w:rPr>
          <w:rFonts w:cs="Arial"/>
          <w:iCs/>
          <w:szCs w:val="20"/>
          <w:lang w:val="pt-BR"/>
        </w:rPr>
        <w:t>investiga</w:t>
      </w:r>
      <w:r w:rsidR="00470ADC" w:rsidRPr="00D5464D">
        <w:rPr>
          <w:rFonts w:cs="Arial"/>
          <w:iCs/>
          <w:szCs w:val="20"/>
          <w:lang w:val="pt-BR"/>
        </w:rPr>
        <w:t>ção</w:t>
      </w:r>
      <w:r w:rsidR="00E045D9" w:rsidRPr="00D5464D">
        <w:rPr>
          <w:rFonts w:cs="Arial"/>
          <w:iCs/>
          <w:szCs w:val="20"/>
          <w:lang w:val="pt-BR"/>
        </w:rPr>
        <w:t xml:space="preserve"> e </w:t>
      </w:r>
      <w:r w:rsidR="004B0842" w:rsidRPr="00D5464D">
        <w:rPr>
          <w:rFonts w:cs="Arial"/>
          <w:iCs/>
          <w:szCs w:val="20"/>
          <w:lang w:val="pt-BR"/>
        </w:rPr>
        <w:t xml:space="preserve">eventual </w:t>
      </w:r>
      <w:r w:rsidR="002D5E58" w:rsidRPr="00D5464D">
        <w:rPr>
          <w:rFonts w:cs="Arial"/>
          <w:iCs/>
          <w:szCs w:val="20"/>
          <w:lang w:val="pt-BR"/>
        </w:rPr>
        <w:t xml:space="preserve">punição </w:t>
      </w:r>
      <w:r w:rsidR="00470ADC" w:rsidRPr="00D5464D">
        <w:rPr>
          <w:rFonts w:cs="Arial"/>
          <w:iCs/>
          <w:szCs w:val="20"/>
          <w:lang w:val="pt-BR"/>
        </w:rPr>
        <w:t xml:space="preserve">dos </w:t>
      </w:r>
      <w:r w:rsidR="002C330E" w:rsidRPr="00D5464D">
        <w:rPr>
          <w:rFonts w:cs="Arial"/>
          <w:iCs/>
          <w:szCs w:val="20"/>
          <w:lang w:val="pt-BR"/>
        </w:rPr>
        <w:t>responsáveis pelos fatos</w:t>
      </w:r>
      <w:r w:rsidR="00470ADC" w:rsidRPr="00D5464D">
        <w:rPr>
          <w:rFonts w:cs="Arial"/>
          <w:iCs/>
          <w:szCs w:val="20"/>
          <w:lang w:val="pt-BR"/>
        </w:rPr>
        <w:t xml:space="preserve"> deste </w:t>
      </w:r>
      <w:r w:rsidR="004B0842" w:rsidRPr="00D5464D">
        <w:rPr>
          <w:rFonts w:cs="Arial"/>
          <w:iCs/>
          <w:szCs w:val="20"/>
          <w:lang w:val="pt-BR"/>
        </w:rPr>
        <w:t>caso.</w:t>
      </w:r>
    </w:p>
    <w:p w14:paraId="499655BF" w14:textId="77777777" w:rsidR="00747A03" w:rsidRPr="00D5464D" w:rsidRDefault="00747A03" w:rsidP="00747A03">
      <w:pPr>
        <w:pStyle w:val="Prrafodelista"/>
        <w:autoSpaceDE w:val="0"/>
        <w:autoSpaceDN w:val="0"/>
        <w:adjustRightInd w:val="0"/>
        <w:ind w:left="0"/>
        <w:rPr>
          <w:rFonts w:cs="Arial"/>
          <w:iCs/>
          <w:szCs w:val="20"/>
          <w:lang w:val="pt-BR"/>
        </w:rPr>
      </w:pPr>
    </w:p>
    <w:p w14:paraId="5CC0F9AB" w14:textId="1D016C4F" w:rsidR="004B0842" w:rsidRPr="00D5464D" w:rsidRDefault="00470ADC"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O </w:t>
      </w:r>
      <w:r w:rsidR="004B0842" w:rsidRPr="00D5464D">
        <w:rPr>
          <w:rFonts w:cs="Arial"/>
          <w:b/>
          <w:i/>
          <w:iCs/>
          <w:szCs w:val="20"/>
          <w:lang w:val="pt-BR"/>
        </w:rPr>
        <w:t>Estado</w:t>
      </w:r>
      <w:r w:rsidR="004B0842" w:rsidRPr="00D5464D">
        <w:rPr>
          <w:rFonts w:cs="Arial"/>
          <w:iCs/>
          <w:szCs w:val="20"/>
          <w:lang w:val="pt-BR"/>
        </w:rPr>
        <w:t xml:space="preserve"> </w:t>
      </w:r>
      <w:r w:rsidRPr="00D5464D">
        <w:rPr>
          <w:rFonts w:cs="Arial"/>
          <w:iCs/>
          <w:szCs w:val="20"/>
          <w:lang w:val="pt-BR"/>
        </w:rPr>
        <w:t>considerou</w:t>
      </w:r>
      <w:r w:rsidR="004B0842" w:rsidRPr="00D5464D">
        <w:rPr>
          <w:rFonts w:cs="Arial"/>
          <w:iCs/>
          <w:szCs w:val="20"/>
          <w:lang w:val="pt-BR"/>
        </w:rPr>
        <w:t xml:space="preserve"> improcedente</w:t>
      </w:r>
      <w:r w:rsidR="002C330E" w:rsidRPr="00D5464D">
        <w:rPr>
          <w:rFonts w:cs="Arial"/>
          <w:iCs/>
          <w:szCs w:val="20"/>
          <w:lang w:val="pt-BR"/>
        </w:rPr>
        <w:t xml:space="preserve"> </w:t>
      </w:r>
      <w:r w:rsidR="002D5E58" w:rsidRPr="00D5464D">
        <w:rPr>
          <w:rFonts w:cs="Arial"/>
          <w:iCs/>
          <w:szCs w:val="20"/>
          <w:lang w:val="pt-BR"/>
        </w:rPr>
        <w:t xml:space="preserve">o pedido </w:t>
      </w:r>
      <w:r w:rsidR="004B0842" w:rsidRPr="00D5464D">
        <w:rPr>
          <w:rFonts w:cs="Arial"/>
          <w:iCs/>
          <w:szCs w:val="20"/>
          <w:lang w:val="pt-BR"/>
        </w:rPr>
        <w:t>de declarar</w:t>
      </w:r>
      <w:r w:rsidR="002C330E" w:rsidRPr="00D5464D">
        <w:rPr>
          <w:rFonts w:cs="Arial"/>
          <w:iCs/>
          <w:szCs w:val="20"/>
          <w:lang w:val="pt-BR"/>
        </w:rPr>
        <w:t xml:space="preserve"> a </w:t>
      </w:r>
      <w:r w:rsidR="002D5E58" w:rsidRPr="00D5464D">
        <w:rPr>
          <w:rFonts w:cs="Arial"/>
          <w:iCs/>
          <w:szCs w:val="20"/>
          <w:lang w:val="pt-BR"/>
        </w:rPr>
        <w:t xml:space="preserve">imprescritibilidade </w:t>
      </w:r>
      <w:r w:rsidRPr="00D5464D">
        <w:rPr>
          <w:rFonts w:cs="Arial"/>
          <w:iCs/>
          <w:szCs w:val="20"/>
          <w:lang w:val="pt-BR"/>
        </w:rPr>
        <w:t xml:space="preserve">do </w:t>
      </w:r>
      <w:r w:rsidR="004B0842" w:rsidRPr="00D5464D">
        <w:rPr>
          <w:rFonts w:cs="Arial"/>
          <w:iCs/>
          <w:szCs w:val="20"/>
          <w:lang w:val="pt-BR"/>
        </w:rPr>
        <w:t xml:space="preserve">delito de </w:t>
      </w:r>
      <w:r w:rsidR="00E045D9" w:rsidRPr="00D5464D">
        <w:rPr>
          <w:rFonts w:cs="Arial"/>
          <w:iCs/>
          <w:szCs w:val="20"/>
          <w:lang w:val="pt-BR"/>
        </w:rPr>
        <w:t>trabalho</w:t>
      </w:r>
      <w:r w:rsidR="004B0842" w:rsidRPr="00D5464D">
        <w:rPr>
          <w:rFonts w:cs="Arial"/>
          <w:iCs/>
          <w:szCs w:val="20"/>
          <w:lang w:val="pt-BR"/>
        </w:rPr>
        <w:t xml:space="preserve"> </w:t>
      </w:r>
      <w:r w:rsidR="004F1CC2" w:rsidRPr="00D5464D">
        <w:rPr>
          <w:rFonts w:cs="Arial"/>
          <w:iCs/>
          <w:szCs w:val="20"/>
          <w:lang w:val="pt-BR"/>
        </w:rPr>
        <w:t>escravo</w:t>
      </w:r>
      <w:r w:rsidR="004B0842" w:rsidRPr="00D5464D">
        <w:rPr>
          <w:rFonts w:cs="Arial"/>
          <w:iCs/>
          <w:szCs w:val="20"/>
          <w:lang w:val="pt-BR"/>
        </w:rPr>
        <w:t xml:space="preserve"> por </w:t>
      </w:r>
      <w:r w:rsidR="00E045D9" w:rsidRPr="00D5464D">
        <w:rPr>
          <w:rFonts w:cs="Arial"/>
          <w:iCs/>
          <w:szCs w:val="20"/>
          <w:lang w:val="pt-BR"/>
        </w:rPr>
        <w:t>várias</w:t>
      </w:r>
      <w:r w:rsidR="004B0842" w:rsidRPr="00D5464D">
        <w:rPr>
          <w:rFonts w:cs="Arial"/>
          <w:iCs/>
          <w:szCs w:val="20"/>
          <w:lang w:val="pt-BR"/>
        </w:rPr>
        <w:t xml:space="preserve"> </w:t>
      </w:r>
      <w:r w:rsidR="002C330E" w:rsidRPr="00D5464D">
        <w:rPr>
          <w:rFonts w:cs="Arial"/>
          <w:iCs/>
          <w:szCs w:val="20"/>
          <w:lang w:val="pt-BR"/>
        </w:rPr>
        <w:t>razões</w:t>
      </w:r>
      <w:r w:rsidR="00C91CB1" w:rsidRPr="00D5464D">
        <w:rPr>
          <w:rFonts w:cs="Arial"/>
          <w:iCs/>
          <w:szCs w:val="20"/>
          <w:lang w:val="pt-BR"/>
        </w:rPr>
        <w:t xml:space="preserve">. Em </w:t>
      </w:r>
      <w:r w:rsidR="002C330E" w:rsidRPr="00D5464D">
        <w:rPr>
          <w:rFonts w:cs="Arial"/>
          <w:iCs/>
          <w:szCs w:val="20"/>
          <w:lang w:val="pt-BR"/>
        </w:rPr>
        <w:t xml:space="preserve">primeiro </w:t>
      </w:r>
      <w:r w:rsidR="004B0842" w:rsidRPr="00D5464D">
        <w:rPr>
          <w:rFonts w:cs="Arial"/>
          <w:iCs/>
          <w:szCs w:val="20"/>
          <w:lang w:val="pt-BR"/>
        </w:rPr>
        <w:t>lugar</w:t>
      </w:r>
      <w:r w:rsidR="00ED1731" w:rsidRPr="00D5464D">
        <w:rPr>
          <w:rFonts w:cs="Arial"/>
          <w:iCs/>
          <w:szCs w:val="20"/>
          <w:lang w:val="pt-BR"/>
        </w:rPr>
        <w:t>,</w:t>
      </w:r>
      <w:r w:rsidR="004B0842" w:rsidRPr="00D5464D">
        <w:rPr>
          <w:rFonts w:cs="Arial"/>
          <w:iCs/>
          <w:szCs w:val="20"/>
          <w:lang w:val="pt-BR"/>
        </w:rPr>
        <w:t xml:space="preserve"> </w:t>
      </w:r>
      <w:r w:rsidRPr="00D5464D">
        <w:rPr>
          <w:rFonts w:cs="Arial"/>
          <w:iCs/>
          <w:szCs w:val="20"/>
          <w:lang w:val="pt-BR"/>
        </w:rPr>
        <w:t>considerou</w:t>
      </w:r>
      <w:r w:rsidR="004B0842" w:rsidRPr="00D5464D">
        <w:rPr>
          <w:rFonts w:cs="Arial"/>
          <w:iCs/>
          <w:szCs w:val="20"/>
          <w:lang w:val="pt-BR"/>
        </w:rPr>
        <w:t xml:space="preserve"> que</w:t>
      </w:r>
      <w:r w:rsidR="002C330E" w:rsidRPr="00D5464D">
        <w:rPr>
          <w:rFonts w:cs="Arial"/>
          <w:iCs/>
          <w:szCs w:val="20"/>
          <w:lang w:val="pt-BR"/>
        </w:rPr>
        <w:t xml:space="preserve"> a </w:t>
      </w:r>
      <w:r w:rsidR="002D5E58" w:rsidRPr="00D5464D">
        <w:rPr>
          <w:rFonts w:cs="Arial"/>
          <w:iCs/>
          <w:szCs w:val="20"/>
          <w:lang w:val="pt-BR"/>
        </w:rPr>
        <w:t xml:space="preserve">imprescritibilidade </w:t>
      </w:r>
      <w:r w:rsidRPr="00D5464D">
        <w:rPr>
          <w:rFonts w:cs="Arial"/>
          <w:iCs/>
          <w:szCs w:val="20"/>
          <w:lang w:val="pt-BR"/>
        </w:rPr>
        <w:t xml:space="preserve">dos </w:t>
      </w:r>
      <w:r w:rsidR="004B0842" w:rsidRPr="00D5464D">
        <w:rPr>
          <w:rFonts w:cs="Arial"/>
          <w:iCs/>
          <w:szCs w:val="20"/>
          <w:lang w:val="pt-BR"/>
        </w:rPr>
        <w:t xml:space="preserve">delitos </w:t>
      </w:r>
      <w:r w:rsidR="006465DE" w:rsidRPr="00D5464D">
        <w:rPr>
          <w:rFonts w:cs="Arial"/>
          <w:iCs/>
          <w:szCs w:val="20"/>
          <w:lang w:val="pt-BR"/>
        </w:rPr>
        <w:t xml:space="preserve">contra a </w:t>
      </w:r>
      <w:r w:rsidR="002C330E" w:rsidRPr="00D5464D">
        <w:rPr>
          <w:rFonts w:cs="Arial"/>
          <w:iCs/>
          <w:szCs w:val="20"/>
          <w:lang w:val="pt-BR"/>
        </w:rPr>
        <w:t>humanidade</w:t>
      </w:r>
      <w:r w:rsidR="004B0842" w:rsidRPr="00D5464D">
        <w:rPr>
          <w:rFonts w:cs="Arial"/>
          <w:iCs/>
          <w:szCs w:val="20"/>
          <w:lang w:val="pt-BR"/>
        </w:rPr>
        <w:t xml:space="preserve"> se </w:t>
      </w:r>
      <w:r w:rsidR="002C330E" w:rsidRPr="00D5464D">
        <w:rPr>
          <w:rFonts w:cs="Arial"/>
          <w:iCs/>
          <w:szCs w:val="20"/>
          <w:lang w:val="pt-BR"/>
        </w:rPr>
        <w:t>refere</w:t>
      </w:r>
      <w:r w:rsidR="004B0842" w:rsidRPr="00D5464D">
        <w:rPr>
          <w:rFonts w:cs="Arial"/>
          <w:iCs/>
          <w:szCs w:val="20"/>
          <w:lang w:val="pt-BR"/>
        </w:rPr>
        <w:t xml:space="preserve"> </w:t>
      </w:r>
      <w:r w:rsidR="00E045D9" w:rsidRPr="00D5464D">
        <w:rPr>
          <w:rFonts w:cs="Arial"/>
          <w:iCs/>
          <w:szCs w:val="20"/>
          <w:lang w:val="pt-BR"/>
        </w:rPr>
        <w:t>unicamente</w:t>
      </w:r>
      <w:r w:rsidRPr="00D5464D">
        <w:rPr>
          <w:rFonts w:cs="Arial"/>
          <w:iCs/>
          <w:szCs w:val="20"/>
          <w:lang w:val="pt-BR"/>
        </w:rPr>
        <w:t xml:space="preserve"> ao exercício da </w:t>
      </w:r>
      <w:r w:rsidR="002C330E" w:rsidRPr="00D5464D">
        <w:rPr>
          <w:rFonts w:cs="Arial"/>
          <w:iCs/>
          <w:szCs w:val="20"/>
          <w:lang w:val="pt-BR"/>
        </w:rPr>
        <w:t>jurisdição</w:t>
      </w:r>
      <w:r w:rsidR="004B0842" w:rsidRPr="00D5464D">
        <w:rPr>
          <w:rFonts w:cs="Arial"/>
          <w:iCs/>
          <w:szCs w:val="20"/>
          <w:lang w:val="pt-BR"/>
        </w:rPr>
        <w:t xml:space="preserve"> penal internacional</w:t>
      </w:r>
      <w:r w:rsidR="00E045D9" w:rsidRPr="00D5464D">
        <w:rPr>
          <w:rFonts w:cs="Arial"/>
          <w:iCs/>
          <w:szCs w:val="20"/>
          <w:lang w:val="pt-BR"/>
        </w:rPr>
        <w:t xml:space="preserve"> e </w:t>
      </w:r>
      <w:r w:rsidR="00737270" w:rsidRPr="00D5464D">
        <w:rPr>
          <w:rFonts w:cs="Arial"/>
          <w:iCs/>
          <w:szCs w:val="20"/>
          <w:lang w:val="pt-BR"/>
        </w:rPr>
        <w:t>não é</w:t>
      </w:r>
      <w:r w:rsidR="00E045D9" w:rsidRPr="00D5464D">
        <w:rPr>
          <w:rFonts w:cs="Arial"/>
          <w:iCs/>
          <w:szCs w:val="20"/>
          <w:lang w:val="pt-BR"/>
        </w:rPr>
        <w:t xml:space="preserve"> uma </w:t>
      </w:r>
      <w:r w:rsidR="002C330E" w:rsidRPr="00D5464D">
        <w:rPr>
          <w:rFonts w:cs="Arial"/>
          <w:iCs/>
          <w:szCs w:val="20"/>
          <w:lang w:val="pt-BR"/>
        </w:rPr>
        <w:t>obrigação</w:t>
      </w:r>
      <w:r w:rsidRPr="00D5464D">
        <w:rPr>
          <w:rFonts w:cs="Arial"/>
          <w:iCs/>
          <w:szCs w:val="20"/>
          <w:lang w:val="pt-BR"/>
        </w:rPr>
        <w:t xml:space="preserve"> dos </w:t>
      </w:r>
      <w:r w:rsidR="004B0842" w:rsidRPr="00D5464D">
        <w:rPr>
          <w:rFonts w:cs="Arial"/>
          <w:iCs/>
          <w:szCs w:val="20"/>
          <w:lang w:val="pt-BR"/>
        </w:rPr>
        <w:t xml:space="preserve">Estados </w:t>
      </w:r>
      <w:r w:rsidRPr="00D5464D">
        <w:rPr>
          <w:rFonts w:cs="Arial"/>
          <w:iCs/>
          <w:szCs w:val="20"/>
          <w:lang w:val="pt-BR"/>
        </w:rPr>
        <w:t>estabelec</w:t>
      </w:r>
      <w:r w:rsidR="00EB1CE9" w:rsidRPr="00D5464D">
        <w:rPr>
          <w:rFonts w:cs="Arial"/>
          <w:iCs/>
          <w:szCs w:val="20"/>
          <w:lang w:val="pt-BR"/>
        </w:rPr>
        <w:t xml:space="preserve">ê-la </w:t>
      </w:r>
      <w:r w:rsidR="00E045D9" w:rsidRPr="00D5464D">
        <w:rPr>
          <w:rFonts w:cs="Arial"/>
          <w:iCs/>
          <w:szCs w:val="20"/>
          <w:lang w:val="pt-BR"/>
        </w:rPr>
        <w:t xml:space="preserve">no </w:t>
      </w:r>
      <w:r w:rsidR="004B0842" w:rsidRPr="00D5464D">
        <w:rPr>
          <w:rFonts w:cs="Arial"/>
          <w:iCs/>
          <w:szCs w:val="20"/>
          <w:lang w:val="pt-BR"/>
        </w:rPr>
        <w:t>plano doméstico</w:t>
      </w:r>
      <w:r w:rsidR="00C91CB1" w:rsidRPr="00D5464D">
        <w:rPr>
          <w:rFonts w:cs="Arial"/>
          <w:iCs/>
          <w:szCs w:val="20"/>
          <w:lang w:val="pt-BR"/>
        </w:rPr>
        <w:t xml:space="preserve">. Em </w:t>
      </w:r>
      <w:r w:rsidR="004B0842" w:rsidRPr="00D5464D">
        <w:rPr>
          <w:rFonts w:cs="Arial"/>
          <w:iCs/>
          <w:szCs w:val="20"/>
          <w:lang w:val="pt-BR"/>
        </w:rPr>
        <w:t>segundo lugar</w:t>
      </w:r>
      <w:r w:rsidR="00ED1731" w:rsidRPr="00D5464D">
        <w:rPr>
          <w:rFonts w:cs="Arial"/>
          <w:iCs/>
          <w:szCs w:val="20"/>
          <w:lang w:val="pt-BR"/>
        </w:rPr>
        <w:t>,</w:t>
      </w:r>
      <w:r w:rsidR="004B0842" w:rsidRPr="00D5464D">
        <w:rPr>
          <w:rFonts w:cs="Arial"/>
          <w:iCs/>
          <w:szCs w:val="20"/>
          <w:lang w:val="pt-BR"/>
        </w:rPr>
        <w:t xml:space="preserve"> </w:t>
      </w:r>
      <w:r w:rsidRPr="00D5464D">
        <w:rPr>
          <w:rFonts w:cs="Arial"/>
          <w:iCs/>
          <w:szCs w:val="20"/>
          <w:lang w:val="pt-BR"/>
        </w:rPr>
        <w:t>argumentou</w:t>
      </w:r>
      <w:r w:rsidR="004B0842" w:rsidRPr="00D5464D">
        <w:rPr>
          <w:rFonts w:cs="Arial"/>
          <w:iCs/>
          <w:szCs w:val="20"/>
          <w:lang w:val="pt-BR"/>
        </w:rPr>
        <w:t xml:space="preserve"> que</w:t>
      </w:r>
      <w:r w:rsidR="002D5E58" w:rsidRPr="00D5464D">
        <w:rPr>
          <w:rFonts w:cs="Arial"/>
          <w:iCs/>
          <w:szCs w:val="20"/>
          <w:lang w:val="pt-BR"/>
        </w:rPr>
        <w:t>,</w:t>
      </w:r>
      <w:r w:rsidR="00E045D9" w:rsidRPr="00D5464D">
        <w:rPr>
          <w:rFonts w:cs="Arial"/>
          <w:iCs/>
          <w:szCs w:val="20"/>
          <w:lang w:val="pt-BR"/>
        </w:rPr>
        <w:t xml:space="preserve"> no </w:t>
      </w:r>
      <w:r w:rsidR="004B0842" w:rsidRPr="00D5464D">
        <w:rPr>
          <w:rFonts w:cs="Arial"/>
          <w:iCs/>
          <w:szCs w:val="20"/>
          <w:lang w:val="pt-BR"/>
        </w:rPr>
        <w:t>caso concreto</w:t>
      </w:r>
      <w:r w:rsidR="002D5E58" w:rsidRPr="00D5464D">
        <w:rPr>
          <w:rFonts w:cs="Arial"/>
          <w:iCs/>
          <w:szCs w:val="20"/>
          <w:lang w:val="pt-BR"/>
        </w:rPr>
        <w:t>,</w:t>
      </w:r>
      <w:r w:rsidR="004B0842" w:rsidRPr="00D5464D">
        <w:rPr>
          <w:rFonts w:cs="Arial"/>
          <w:iCs/>
          <w:szCs w:val="20"/>
          <w:lang w:val="pt-BR"/>
        </w:rPr>
        <w:t xml:space="preserve"> </w:t>
      </w:r>
      <w:r w:rsidR="00737270" w:rsidRPr="00D5464D">
        <w:rPr>
          <w:rFonts w:cs="Arial"/>
          <w:iCs/>
          <w:szCs w:val="20"/>
          <w:lang w:val="pt-BR"/>
        </w:rPr>
        <w:t>não é</w:t>
      </w:r>
      <w:r w:rsidRPr="00D5464D">
        <w:rPr>
          <w:rFonts w:cs="Arial"/>
          <w:iCs/>
          <w:szCs w:val="20"/>
          <w:lang w:val="pt-BR"/>
        </w:rPr>
        <w:t xml:space="preserve"> </w:t>
      </w:r>
      <w:r w:rsidR="002C330E" w:rsidRPr="00D5464D">
        <w:rPr>
          <w:rFonts w:cs="Arial"/>
          <w:iCs/>
          <w:szCs w:val="20"/>
          <w:lang w:val="pt-BR"/>
        </w:rPr>
        <w:t>possível falar</w:t>
      </w:r>
      <w:r w:rsidR="004B0842" w:rsidRPr="00D5464D">
        <w:rPr>
          <w:rFonts w:cs="Arial"/>
          <w:iCs/>
          <w:szCs w:val="20"/>
          <w:lang w:val="pt-BR"/>
        </w:rPr>
        <w:t xml:space="preserve"> de</w:t>
      </w:r>
      <w:r w:rsidR="00E045D9" w:rsidRPr="00D5464D">
        <w:rPr>
          <w:rFonts w:cs="Arial"/>
          <w:iCs/>
          <w:szCs w:val="20"/>
          <w:lang w:val="pt-BR"/>
        </w:rPr>
        <w:t xml:space="preserve"> um </w:t>
      </w:r>
      <w:r w:rsidR="004B0842" w:rsidRPr="00D5464D">
        <w:rPr>
          <w:rFonts w:cs="Arial"/>
          <w:iCs/>
          <w:szCs w:val="20"/>
          <w:lang w:val="pt-BR"/>
        </w:rPr>
        <w:t>delito contra</w:t>
      </w:r>
      <w:r w:rsidR="002C330E" w:rsidRPr="00D5464D">
        <w:rPr>
          <w:rFonts w:cs="Arial"/>
          <w:iCs/>
          <w:szCs w:val="20"/>
          <w:lang w:val="pt-BR"/>
        </w:rPr>
        <w:t xml:space="preserve"> a humanidade</w:t>
      </w:r>
      <w:r w:rsidR="002D5E58" w:rsidRPr="00D5464D">
        <w:rPr>
          <w:rFonts w:cs="Arial"/>
          <w:iCs/>
          <w:szCs w:val="20"/>
          <w:lang w:val="pt-BR"/>
        </w:rPr>
        <w:t>,</w:t>
      </w:r>
      <w:r w:rsidR="002C330E" w:rsidRPr="00D5464D">
        <w:rPr>
          <w:rFonts w:cs="Arial"/>
          <w:iCs/>
          <w:szCs w:val="20"/>
          <w:lang w:val="pt-BR"/>
        </w:rPr>
        <w:t xml:space="preserve"> pois </w:t>
      </w:r>
      <w:r w:rsidR="004B0842" w:rsidRPr="00D5464D">
        <w:rPr>
          <w:rFonts w:cs="Arial"/>
          <w:iCs/>
          <w:szCs w:val="20"/>
          <w:lang w:val="pt-BR"/>
        </w:rPr>
        <w:t>n</w:t>
      </w:r>
      <w:r w:rsidR="002D5E58" w:rsidRPr="00D5464D">
        <w:rPr>
          <w:rFonts w:cs="Arial"/>
          <w:iCs/>
          <w:szCs w:val="20"/>
          <w:lang w:val="pt-BR"/>
        </w:rPr>
        <w:t>ã</w:t>
      </w:r>
      <w:r w:rsidR="004B0842" w:rsidRPr="00D5464D">
        <w:rPr>
          <w:rFonts w:cs="Arial"/>
          <w:iCs/>
          <w:szCs w:val="20"/>
          <w:lang w:val="pt-BR"/>
        </w:rPr>
        <w:t xml:space="preserve">o se trata de </w:t>
      </w:r>
      <w:r w:rsidRPr="00D5464D">
        <w:rPr>
          <w:rFonts w:cs="Arial"/>
          <w:iCs/>
          <w:szCs w:val="20"/>
          <w:lang w:val="pt-BR"/>
        </w:rPr>
        <w:t>“um</w:t>
      </w:r>
      <w:r w:rsidR="004B0842" w:rsidRPr="00D5464D">
        <w:rPr>
          <w:rFonts w:cs="Arial"/>
          <w:iCs/>
          <w:szCs w:val="20"/>
          <w:lang w:val="pt-BR"/>
        </w:rPr>
        <w:t xml:space="preserve"> ataque </w:t>
      </w:r>
      <w:r w:rsidR="00737270" w:rsidRPr="00D5464D">
        <w:rPr>
          <w:rFonts w:cs="Arial"/>
          <w:iCs/>
          <w:szCs w:val="20"/>
          <w:lang w:val="pt-BR"/>
        </w:rPr>
        <w:t>generalizado</w:t>
      </w:r>
      <w:r w:rsidR="004B0842" w:rsidRPr="00D5464D">
        <w:rPr>
          <w:rFonts w:cs="Arial"/>
          <w:iCs/>
          <w:szCs w:val="20"/>
          <w:lang w:val="pt-BR"/>
        </w:rPr>
        <w:t xml:space="preserve"> o</w:t>
      </w:r>
      <w:r w:rsidR="002D5E58" w:rsidRPr="00D5464D">
        <w:rPr>
          <w:rFonts w:cs="Arial"/>
          <w:iCs/>
          <w:szCs w:val="20"/>
          <w:lang w:val="pt-BR"/>
        </w:rPr>
        <w:t>u</w:t>
      </w:r>
      <w:r w:rsidR="004B0842" w:rsidRPr="00D5464D">
        <w:rPr>
          <w:rFonts w:cs="Arial"/>
          <w:iCs/>
          <w:szCs w:val="20"/>
          <w:lang w:val="pt-BR"/>
        </w:rPr>
        <w:t xml:space="preserve"> sistemático</w:t>
      </w:r>
      <w:r w:rsidR="00230C71" w:rsidRPr="00D5464D">
        <w:rPr>
          <w:rFonts w:cs="Arial"/>
          <w:iCs/>
          <w:szCs w:val="20"/>
          <w:lang w:val="pt-BR"/>
        </w:rPr>
        <w:t xml:space="preserve"> contra </w:t>
      </w:r>
      <w:r w:rsidRPr="00D5464D">
        <w:rPr>
          <w:rFonts w:cs="Arial"/>
          <w:iCs/>
          <w:szCs w:val="20"/>
          <w:lang w:val="pt-BR"/>
        </w:rPr>
        <w:t xml:space="preserve">a </w:t>
      </w:r>
      <w:r w:rsidR="002C330E" w:rsidRPr="00D5464D">
        <w:rPr>
          <w:rFonts w:cs="Arial"/>
          <w:iCs/>
          <w:szCs w:val="20"/>
          <w:lang w:val="pt-BR"/>
        </w:rPr>
        <w:t>população</w:t>
      </w:r>
      <w:r w:rsidR="004B0842" w:rsidRPr="00D5464D">
        <w:rPr>
          <w:rFonts w:cs="Arial"/>
          <w:iCs/>
          <w:szCs w:val="20"/>
          <w:lang w:val="pt-BR"/>
        </w:rPr>
        <w:t xml:space="preserve"> civil”</w:t>
      </w:r>
      <w:r w:rsidR="00ED1731" w:rsidRPr="00D5464D">
        <w:rPr>
          <w:rFonts w:cs="Arial"/>
          <w:iCs/>
          <w:szCs w:val="20"/>
          <w:lang w:val="pt-BR"/>
        </w:rPr>
        <w:t>,</w:t>
      </w:r>
      <w:r w:rsidR="002C330E" w:rsidRPr="00D5464D">
        <w:rPr>
          <w:rFonts w:cs="Arial"/>
          <w:iCs/>
          <w:szCs w:val="20"/>
          <w:lang w:val="pt-BR"/>
        </w:rPr>
        <w:t xml:space="preserve"> </w:t>
      </w:r>
      <w:r w:rsidR="004B0842" w:rsidRPr="00D5464D">
        <w:rPr>
          <w:rFonts w:cs="Arial"/>
          <w:iCs/>
          <w:szCs w:val="20"/>
          <w:lang w:val="pt-BR"/>
        </w:rPr>
        <w:t>tam</w:t>
      </w:r>
      <w:r w:rsidR="002C330E" w:rsidRPr="00D5464D">
        <w:rPr>
          <w:rFonts w:cs="Arial"/>
          <w:iCs/>
          <w:szCs w:val="20"/>
          <w:lang w:val="pt-BR"/>
        </w:rPr>
        <w:t xml:space="preserve">pouco </w:t>
      </w:r>
      <w:r w:rsidR="004B0842" w:rsidRPr="00D5464D">
        <w:rPr>
          <w:rFonts w:cs="Arial"/>
          <w:iCs/>
          <w:szCs w:val="20"/>
          <w:lang w:val="pt-BR"/>
        </w:rPr>
        <w:t>se “trat</w:t>
      </w:r>
      <w:r w:rsidR="00350187" w:rsidRPr="00D5464D">
        <w:rPr>
          <w:rFonts w:cs="Arial"/>
          <w:iCs/>
          <w:szCs w:val="20"/>
          <w:lang w:val="pt-BR"/>
        </w:rPr>
        <w:t xml:space="preserve">a </w:t>
      </w:r>
      <w:r w:rsidR="004B0842" w:rsidRPr="00D5464D">
        <w:rPr>
          <w:rFonts w:cs="Arial"/>
          <w:iCs/>
          <w:szCs w:val="20"/>
          <w:lang w:val="pt-BR"/>
        </w:rPr>
        <w:t>de</w:t>
      </w:r>
      <w:r w:rsidR="00E045D9" w:rsidRPr="00D5464D">
        <w:rPr>
          <w:rFonts w:cs="Arial"/>
          <w:iCs/>
          <w:szCs w:val="20"/>
          <w:lang w:val="pt-BR"/>
        </w:rPr>
        <w:t xml:space="preserve"> uma </w:t>
      </w:r>
      <w:r w:rsidR="002C330E" w:rsidRPr="00D5464D">
        <w:rPr>
          <w:rFonts w:cs="Arial"/>
          <w:iCs/>
          <w:szCs w:val="20"/>
          <w:lang w:val="pt-BR"/>
        </w:rPr>
        <w:t>prática</w:t>
      </w:r>
      <w:r w:rsidR="004B0842" w:rsidRPr="00D5464D">
        <w:rPr>
          <w:rFonts w:cs="Arial"/>
          <w:iCs/>
          <w:szCs w:val="20"/>
          <w:lang w:val="pt-BR"/>
        </w:rPr>
        <w:t xml:space="preserve"> aplicada o</w:t>
      </w:r>
      <w:r w:rsidR="002D5E58" w:rsidRPr="00D5464D">
        <w:rPr>
          <w:rFonts w:cs="Arial"/>
          <w:iCs/>
          <w:szCs w:val="20"/>
          <w:lang w:val="pt-BR"/>
        </w:rPr>
        <w:t>u</w:t>
      </w:r>
      <w:r w:rsidR="004B0842" w:rsidRPr="00D5464D">
        <w:rPr>
          <w:rFonts w:cs="Arial"/>
          <w:iCs/>
          <w:szCs w:val="20"/>
          <w:lang w:val="pt-BR"/>
        </w:rPr>
        <w:t xml:space="preserve"> tolerada</w:t>
      </w:r>
      <w:r w:rsidR="002C330E" w:rsidRPr="00D5464D">
        <w:rPr>
          <w:rFonts w:cs="Arial"/>
          <w:iCs/>
          <w:szCs w:val="20"/>
          <w:lang w:val="pt-BR"/>
        </w:rPr>
        <w:t xml:space="preserve"> pelo </w:t>
      </w:r>
      <w:r w:rsidR="004B0842" w:rsidRPr="00D5464D">
        <w:rPr>
          <w:rFonts w:cs="Arial"/>
          <w:iCs/>
          <w:szCs w:val="20"/>
          <w:lang w:val="pt-BR"/>
        </w:rPr>
        <w:t xml:space="preserve">Estado </w:t>
      </w:r>
      <w:r w:rsidR="002D5E58" w:rsidRPr="00D5464D">
        <w:rPr>
          <w:rFonts w:cs="Arial"/>
          <w:iCs/>
          <w:szCs w:val="20"/>
          <w:lang w:val="pt-BR"/>
        </w:rPr>
        <w:t>b</w:t>
      </w:r>
      <w:r w:rsidRPr="00D5464D">
        <w:rPr>
          <w:rFonts w:cs="Arial"/>
          <w:iCs/>
          <w:szCs w:val="20"/>
          <w:lang w:val="pt-BR"/>
        </w:rPr>
        <w:t>rasileir</w:t>
      </w:r>
      <w:r w:rsidR="004B0842" w:rsidRPr="00D5464D">
        <w:rPr>
          <w:rFonts w:cs="Arial"/>
          <w:iCs/>
          <w:szCs w:val="20"/>
          <w:lang w:val="pt-BR"/>
        </w:rPr>
        <w:t>o”. Finalmente,</w:t>
      </w:r>
      <w:r w:rsidRPr="00D5464D">
        <w:rPr>
          <w:rFonts w:cs="Arial"/>
          <w:iCs/>
          <w:szCs w:val="20"/>
          <w:lang w:val="pt-BR"/>
        </w:rPr>
        <w:t xml:space="preserve"> o </w:t>
      </w:r>
      <w:r w:rsidR="004B0842" w:rsidRPr="00D5464D">
        <w:rPr>
          <w:rFonts w:cs="Arial"/>
          <w:iCs/>
          <w:szCs w:val="20"/>
          <w:lang w:val="pt-BR"/>
        </w:rPr>
        <w:t xml:space="preserve">Estado </w:t>
      </w:r>
      <w:r w:rsidR="002C330E" w:rsidRPr="00D5464D">
        <w:rPr>
          <w:rFonts w:cs="Arial"/>
          <w:iCs/>
          <w:szCs w:val="20"/>
          <w:lang w:val="pt-BR"/>
        </w:rPr>
        <w:t>afirmou</w:t>
      </w:r>
      <w:r w:rsidR="004B0842" w:rsidRPr="00D5464D">
        <w:rPr>
          <w:rFonts w:cs="Arial"/>
          <w:iCs/>
          <w:szCs w:val="20"/>
          <w:lang w:val="pt-BR"/>
        </w:rPr>
        <w:t xml:space="preserve"> que</w:t>
      </w:r>
      <w:r w:rsidRPr="00D5464D">
        <w:rPr>
          <w:rFonts w:cs="Arial"/>
          <w:iCs/>
          <w:szCs w:val="20"/>
          <w:lang w:val="pt-BR"/>
        </w:rPr>
        <w:t xml:space="preserve"> o artigo</w:t>
      </w:r>
      <w:r w:rsidR="004B0842" w:rsidRPr="00D5464D">
        <w:rPr>
          <w:rFonts w:cs="Arial"/>
          <w:iCs/>
          <w:szCs w:val="20"/>
          <w:lang w:val="pt-BR"/>
        </w:rPr>
        <w:t xml:space="preserve"> 149 </w:t>
      </w:r>
      <w:r w:rsidRPr="00D5464D">
        <w:rPr>
          <w:rFonts w:cs="Arial"/>
          <w:iCs/>
          <w:szCs w:val="20"/>
          <w:lang w:val="pt-BR"/>
        </w:rPr>
        <w:t xml:space="preserve">do </w:t>
      </w:r>
      <w:r w:rsidR="00BE60E8" w:rsidRPr="00D5464D">
        <w:rPr>
          <w:rFonts w:cs="Arial"/>
          <w:iCs/>
          <w:szCs w:val="20"/>
          <w:lang w:val="pt-BR"/>
        </w:rPr>
        <w:t xml:space="preserve">Código Penal </w:t>
      </w:r>
      <w:r w:rsidRPr="00D5464D">
        <w:rPr>
          <w:rFonts w:cs="Arial"/>
          <w:iCs/>
          <w:szCs w:val="20"/>
          <w:lang w:val="pt-BR"/>
        </w:rPr>
        <w:t>brasileir</w:t>
      </w:r>
      <w:r w:rsidR="00BE60E8" w:rsidRPr="00D5464D">
        <w:rPr>
          <w:rFonts w:cs="Arial"/>
          <w:iCs/>
          <w:szCs w:val="20"/>
          <w:lang w:val="pt-BR"/>
        </w:rPr>
        <w:t>o</w:t>
      </w:r>
      <w:r w:rsidRPr="00D5464D">
        <w:rPr>
          <w:rFonts w:cs="Arial"/>
          <w:iCs/>
          <w:szCs w:val="20"/>
          <w:lang w:val="pt-BR"/>
        </w:rPr>
        <w:t xml:space="preserve"> é </w:t>
      </w:r>
      <w:r w:rsidR="004B0842" w:rsidRPr="00D5464D">
        <w:rPr>
          <w:rFonts w:cs="Arial"/>
          <w:iCs/>
          <w:szCs w:val="20"/>
          <w:lang w:val="pt-BR"/>
        </w:rPr>
        <w:t>particularmente</w:t>
      </w:r>
      <w:r w:rsidRPr="00D5464D">
        <w:rPr>
          <w:rFonts w:cs="Arial"/>
          <w:iCs/>
          <w:szCs w:val="20"/>
          <w:lang w:val="pt-BR"/>
        </w:rPr>
        <w:t xml:space="preserve"> amplo</w:t>
      </w:r>
      <w:r w:rsidR="00E045D9" w:rsidRPr="00D5464D">
        <w:rPr>
          <w:rFonts w:cs="Arial"/>
          <w:iCs/>
          <w:szCs w:val="20"/>
          <w:lang w:val="pt-BR"/>
        </w:rPr>
        <w:t xml:space="preserve"> e </w:t>
      </w:r>
      <w:r w:rsidR="004B0842" w:rsidRPr="00D5464D">
        <w:rPr>
          <w:rFonts w:cs="Arial"/>
          <w:iCs/>
          <w:szCs w:val="20"/>
          <w:lang w:val="pt-BR"/>
        </w:rPr>
        <w:t>tipifica</w:t>
      </w:r>
      <w:r w:rsidR="00E045D9" w:rsidRPr="00D5464D">
        <w:rPr>
          <w:rFonts w:cs="Arial"/>
          <w:iCs/>
          <w:szCs w:val="20"/>
          <w:lang w:val="pt-BR"/>
        </w:rPr>
        <w:t xml:space="preserve"> uma </w:t>
      </w:r>
      <w:r w:rsidR="002C330E" w:rsidRPr="00D5464D">
        <w:rPr>
          <w:rFonts w:cs="Arial"/>
          <w:iCs/>
          <w:szCs w:val="20"/>
          <w:lang w:val="pt-BR"/>
        </w:rPr>
        <w:t>série</w:t>
      </w:r>
      <w:r w:rsidR="004B0842" w:rsidRPr="00D5464D">
        <w:rPr>
          <w:rFonts w:cs="Arial"/>
          <w:iCs/>
          <w:szCs w:val="20"/>
          <w:lang w:val="pt-BR"/>
        </w:rPr>
        <w:t xml:space="preserve"> de </w:t>
      </w:r>
      <w:r w:rsidRPr="00D5464D">
        <w:rPr>
          <w:rFonts w:cs="Arial"/>
          <w:iCs/>
          <w:szCs w:val="20"/>
          <w:lang w:val="pt-BR"/>
        </w:rPr>
        <w:t>conduta</w:t>
      </w:r>
      <w:r w:rsidR="004B0842" w:rsidRPr="00D5464D">
        <w:rPr>
          <w:rFonts w:cs="Arial"/>
          <w:iCs/>
          <w:szCs w:val="20"/>
          <w:lang w:val="pt-BR"/>
        </w:rPr>
        <w:t xml:space="preserve">s de </w:t>
      </w:r>
      <w:r w:rsidR="002D5E58" w:rsidRPr="00D5464D">
        <w:rPr>
          <w:rFonts w:cs="Arial"/>
          <w:iCs/>
          <w:szCs w:val="20"/>
          <w:lang w:val="pt-BR"/>
        </w:rPr>
        <w:t xml:space="preserve">variada </w:t>
      </w:r>
      <w:r w:rsidR="002C330E" w:rsidRPr="00D5464D">
        <w:rPr>
          <w:rFonts w:cs="Arial"/>
          <w:iCs/>
          <w:szCs w:val="20"/>
          <w:lang w:val="pt-BR"/>
        </w:rPr>
        <w:t xml:space="preserve">gravidade </w:t>
      </w:r>
      <w:r w:rsidR="004B0842" w:rsidRPr="00D5464D">
        <w:rPr>
          <w:rFonts w:cs="Arial"/>
          <w:iCs/>
          <w:szCs w:val="20"/>
          <w:lang w:val="pt-BR"/>
        </w:rPr>
        <w:t xml:space="preserve">que </w:t>
      </w:r>
      <w:r w:rsidR="00737270" w:rsidRPr="00D5464D">
        <w:rPr>
          <w:rFonts w:cs="Arial"/>
          <w:iCs/>
          <w:szCs w:val="20"/>
          <w:lang w:val="pt-BR"/>
        </w:rPr>
        <w:t xml:space="preserve">não </w:t>
      </w:r>
      <w:r w:rsidR="00230C71" w:rsidRPr="00D5464D">
        <w:rPr>
          <w:rFonts w:cs="Arial"/>
          <w:iCs/>
          <w:szCs w:val="20"/>
          <w:lang w:val="pt-BR"/>
        </w:rPr>
        <w:t xml:space="preserve">podem </w:t>
      </w:r>
      <w:r w:rsidR="002D5E58" w:rsidRPr="00D5464D">
        <w:rPr>
          <w:rFonts w:cs="Arial"/>
          <w:iCs/>
          <w:szCs w:val="20"/>
          <w:lang w:val="pt-BR"/>
        </w:rPr>
        <w:t xml:space="preserve">ser qualificadas </w:t>
      </w:r>
      <w:r w:rsidR="004B0842" w:rsidRPr="00D5464D">
        <w:rPr>
          <w:rFonts w:cs="Arial"/>
          <w:iCs/>
          <w:szCs w:val="20"/>
          <w:lang w:val="pt-BR"/>
        </w:rPr>
        <w:t>todas como delitos contra</w:t>
      </w:r>
      <w:r w:rsidR="002C330E" w:rsidRPr="00D5464D">
        <w:rPr>
          <w:rFonts w:cs="Arial"/>
          <w:iCs/>
          <w:szCs w:val="20"/>
          <w:lang w:val="pt-BR"/>
        </w:rPr>
        <w:t xml:space="preserve"> a humanidade</w:t>
      </w:r>
      <w:r w:rsidR="00445C53" w:rsidRPr="00D5464D">
        <w:rPr>
          <w:rFonts w:cs="Arial"/>
          <w:iCs/>
          <w:szCs w:val="20"/>
          <w:lang w:val="pt-BR"/>
        </w:rPr>
        <w:t>.</w:t>
      </w:r>
      <w:r w:rsidR="004B0842" w:rsidRPr="00D5464D">
        <w:rPr>
          <w:rFonts w:cs="Arial"/>
          <w:iCs/>
          <w:szCs w:val="20"/>
          <w:lang w:val="pt-BR"/>
        </w:rPr>
        <w:t xml:space="preserve"> </w:t>
      </w:r>
    </w:p>
    <w:p w14:paraId="72370E34" w14:textId="77777777" w:rsidR="004B0842" w:rsidRPr="00D5464D" w:rsidRDefault="004B0842" w:rsidP="004B0842">
      <w:pPr>
        <w:pStyle w:val="Prrafodelista"/>
        <w:autoSpaceDE w:val="0"/>
        <w:autoSpaceDN w:val="0"/>
        <w:adjustRightInd w:val="0"/>
        <w:rPr>
          <w:rFonts w:cs="Arial"/>
          <w:iCs/>
          <w:szCs w:val="20"/>
          <w:lang w:val="pt-BR"/>
        </w:rPr>
      </w:pPr>
    </w:p>
    <w:p w14:paraId="4528CF1C" w14:textId="3258645E" w:rsidR="004B0842" w:rsidRPr="00D5464D" w:rsidRDefault="00230C71"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Quanto </w:t>
      </w:r>
      <w:r w:rsidR="00470ADC" w:rsidRPr="00D5464D">
        <w:rPr>
          <w:rFonts w:cs="Arial"/>
          <w:iCs/>
          <w:szCs w:val="20"/>
          <w:lang w:val="pt-BR"/>
        </w:rPr>
        <w:t xml:space="preserve">à </w:t>
      </w:r>
      <w:r w:rsidR="002D5E58" w:rsidRPr="00D5464D">
        <w:rPr>
          <w:rFonts w:cs="Arial"/>
          <w:iCs/>
          <w:szCs w:val="20"/>
          <w:lang w:val="pt-BR"/>
        </w:rPr>
        <w:t xml:space="preserve">imprescritibilidade </w:t>
      </w:r>
      <w:r w:rsidR="00470ADC" w:rsidRPr="00D5464D">
        <w:rPr>
          <w:rFonts w:cs="Arial"/>
          <w:iCs/>
          <w:szCs w:val="20"/>
          <w:lang w:val="pt-BR"/>
        </w:rPr>
        <w:t xml:space="preserve">do </w:t>
      </w:r>
      <w:r w:rsidR="004713F4" w:rsidRPr="00D5464D">
        <w:rPr>
          <w:rFonts w:cs="Arial"/>
          <w:iCs/>
          <w:szCs w:val="20"/>
          <w:lang w:val="pt-BR"/>
        </w:rPr>
        <w:t xml:space="preserve">delito de </w:t>
      </w:r>
      <w:r w:rsidR="000B376D" w:rsidRPr="00D5464D">
        <w:rPr>
          <w:rFonts w:cs="Arial"/>
          <w:iCs/>
          <w:szCs w:val="20"/>
          <w:lang w:val="pt-BR"/>
        </w:rPr>
        <w:t>escravidão</w:t>
      </w:r>
      <w:r w:rsidR="004B0842" w:rsidRPr="00D5464D">
        <w:rPr>
          <w:rFonts w:cs="Arial"/>
          <w:iCs/>
          <w:szCs w:val="20"/>
          <w:lang w:val="pt-BR"/>
        </w:rPr>
        <w:t>,</w:t>
      </w:r>
      <w:r w:rsidR="002C330E" w:rsidRPr="00D5464D">
        <w:rPr>
          <w:rFonts w:cs="Arial"/>
          <w:iCs/>
          <w:szCs w:val="20"/>
          <w:lang w:val="pt-BR"/>
        </w:rPr>
        <w:t xml:space="preserve"> a </w:t>
      </w:r>
      <w:r w:rsidR="004B0842" w:rsidRPr="00D5464D">
        <w:rPr>
          <w:rFonts w:cs="Arial"/>
          <w:iCs/>
          <w:szCs w:val="20"/>
          <w:lang w:val="pt-BR"/>
        </w:rPr>
        <w:t xml:space="preserve">Corte </w:t>
      </w:r>
      <w:r w:rsidR="00470ADC" w:rsidRPr="00D5464D">
        <w:rPr>
          <w:rFonts w:cs="Arial"/>
          <w:iCs/>
          <w:szCs w:val="20"/>
          <w:lang w:val="pt-BR"/>
        </w:rPr>
        <w:t>concluiu</w:t>
      </w:r>
      <w:r w:rsidR="00E045D9" w:rsidRPr="00D5464D">
        <w:rPr>
          <w:rFonts w:cs="Arial"/>
          <w:iCs/>
          <w:szCs w:val="20"/>
          <w:lang w:val="pt-BR"/>
        </w:rPr>
        <w:t xml:space="preserve"> no </w:t>
      </w:r>
      <w:r w:rsidR="004B0842" w:rsidRPr="00D5464D">
        <w:rPr>
          <w:rFonts w:cs="Arial"/>
          <w:iCs/>
          <w:szCs w:val="20"/>
          <w:lang w:val="pt-BR"/>
        </w:rPr>
        <w:t xml:space="preserve">capítulo </w:t>
      </w:r>
      <w:r w:rsidR="00445C53" w:rsidRPr="00D5464D">
        <w:rPr>
          <w:rFonts w:cs="Arial"/>
          <w:iCs/>
          <w:szCs w:val="20"/>
          <w:lang w:val="pt-BR"/>
        </w:rPr>
        <w:t xml:space="preserve">VIII-1 </w:t>
      </w:r>
      <w:r w:rsidR="004B0842" w:rsidRPr="00D5464D">
        <w:rPr>
          <w:rFonts w:cs="Arial"/>
          <w:iCs/>
          <w:szCs w:val="20"/>
          <w:lang w:val="pt-BR"/>
        </w:rPr>
        <w:t>que</w:t>
      </w:r>
      <w:r w:rsidR="002C330E" w:rsidRPr="00D5464D">
        <w:rPr>
          <w:rFonts w:cs="Arial"/>
          <w:iCs/>
          <w:szCs w:val="20"/>
          <w:lang w:val="pt-BR"/>
        </w:rPr>
        <w:t xml:space="preserve"> a </w:t>
      </w:r>
      <w:r w:rsidR="004B0842" w:rsidRPr="00D5464D">
        <w:rPr>
          <w:rFonts w:cs="Arial"/>
          <w:iCs/>
          <w:szCs w:val="20"/>
          <w:lang w:val="pt-BR"/>
        </w:rPr>
        <w:t>aplica</w:t>
      </w:r>
      <w:r w:rsidR="00470ADC" w:rsidRPr="00D5464D">
        <w:rPr>
          <w:rFonts w:cs="Arial"/>
          <w:iCs/>
          <w:szCs w:val="20"/>
          <w:lang w:val="pt-BR"/>
        </w:rPr>
        <w:t xml:space="preserve">ção da </w:t>
      </w:r>
      <w:r w:rsidR="004B0842" w:rsidRPr="00D5464D">
        <w:rPr>
          <w:rFonts w:cs="Arial"/>
          <w:iCs/>
          <w:szCs w:val="20"/>
          <w:lang w:val="pt-BR"/>
        </w:rPr>
        <w:t>figura</w:t>
      </w:r>
      <w:r w:rsidR="00470ADC" w:rsidRPr="00D5464D">
        <w:rPr>
          <w:rFonts w:cs="Arial"/>
          <w:iCs/>
          <w:szCs w:val="20"/>
          <w:lang w:val="pt-BR"/>
        </w:rPr>
        <w:t xml:space="preserve"> da </w:t>
      </w:r>
      <w:r w:rsidR="002C330E" w:rsidRPr="00D5464D">
        <w:rPr>
          <w:rFonts w:cs="Arial"/>
          <w:iCs/>
          <w:szCs w:val="20"/>
          <w:lang w:val="pt-BR"/>
        </w:rPr>
        <w:t>prescrição</w:t>
      </w:r>
      <w:r w:rsidR="00E045D9" w:rsidRPr="00D5464D">
        <w:rPr>
          <w:rFonts w:cs="Arial"/>
          <w:iCs/>
          <w:szCs w:val="20"/>
          <w:lang w:val="pt-BR"/>
        </w:rPr>
        <w:t xml:space="preserve"> no </w:t>
      </w:r>
      <w:r w:rsidR="004B0842" w:rsidRPr="00D5464D">
        <w:rPr>
          <w:rFonts w:cs="Arial"/>
          <w:iCs/>
          <w:szCs w:val="20"/>
          <w:lang w:val="pt-BR"/>
        </w:rPr>
        <w:t xml:space="preserve">presente caso </w:t>
      </w:r>
      <w:r w:rsidR="00967EF3" w:rsidRPr="00D5464D">
        <w:rPr>
          <w:rFonts w:cs="Arial"/>
          <w:iCs/>
          <w:szCs w:val="20"/>
          <w:lang w:val="pt-BR"/>
        </w:rPr>
        <w:t>represent</w:t>
      </w:r>
      <w:r w:rsidR="002C330E" w:rsidRPr="00D5464D">
        <w:rPr>
          <w:rFonts w:cs="Arial"/>
          <w:iCs/>
          <w:szCs w:val="20"/>
          <w:lang w:val="pt-BR"/>
        </w:rPr>
        <w:t>ou</w:t>
      </w:r>
      <w:r w:rsidR="00E045D9" w:rsidRPr="00D5464D">
        <w:rPr>
          <w:rFonts w:cs="Arial"/>
          <w:iCs/>
          <w:szCs w:val="20"/>
          <w:lang w:val="pt-BR"/>
        </w:rPr>
        <w:t xml:space="preserve"> uma </w:t>
      </w:r>
      <w:r w:rsidR="004B0842" w:rsidRPr="00D5464D">
        <w:rPr>
          <w:rFonts w:cs="Arial"/>
          <w:iCs/>
          <w:szCs w:val="20"/>
          <w:lang w:val="pt-BR"/>
        </w:rPr>
        <w:t>viola</w:t>
      </w:r>
      <w:r w:rsidR="00470ADC" w:rsidRPr="00D5464D">
        <w:rPr>
          <w:rFonts w:cs="Arial"/>
          <w:iCs/>
          <w:szCs w:val="20"/>
          <w:lang w:val="pt-BR"/>
        </w:rPr>
        <w:t>ção ao artigo</w:t>
      </w:r>
      <w:r w:rsidR="004B0842" w:rsidRPr="00D5464D">
        <w:rPr>
          <w:rFonts w:cs="Arial"/>
          <w:iCs/>
          <w:szCs w:val="20"/>
          <w:lang w:val="pt-BR"/>
        </w:rPr>
        <w:t xml:space="preserve"> 2</w:t>
      </w:r>
      <w:r w:rsidR="00470ADC" w:rsidRPr="00D5464D">
        <w:rPr>
          <w:rFonts w:cs="Arial"/>
          <w:iCs/>
          <w:szCs w:val="20"/>
          <w:lang w:val="pt-BR"/>
        </w:rPr>
        <w:t xml:space="preserve"> da </w:t>
      </w:r>
      <w:r w:rsidR="004B0842" w:rsidRPr="00D5464D">
        <w:rPr>
          <w:rFonts w:cs="Arial"/>
          <w:iCs/>
          <w:szCs w:val="20"/>
          <w:lang w:val="pt-BR"/>
        </w:rPr>
        <w:t>Conven</w:t>
      </w:r>
      <w:r w:rsidR="00470ADC" w:rsidRPr="00D5464D">
        <w:rPr>
          <w:rFonts w:cs="Arial"/>
          <w:iCs/>
          <w:szCs w:val="20"/>
          <w:lang w:val="pt-BR"/>
        </w:rPr>
        <w:t>ção</w:t>
      </w:r>
      <w:r w:rsidR="004B0842" w:rsidRPr="00D5464D">
        <w:rPr>
          <w:rFonts w:cs="Arial"/>
          <w:iCs/>
          <w:szCs w:val="20"/>
          <w:lang w:val="pt-BR"/>
        </w:rPr>
        <w:t xml:space="preserve"> Americana,</w:t>
      </w:r>
      <w:r w:rsidR="00470ADC" w:rsidRPr="00D5464D">
        <w:rPr>
          <w:rFonts w:cs="Arial"/>
          <w:iCs/>
          <w:szCs w:val="20"/>
          <w:lang w:val="pt-BR"/>
        </w:rPr>
        <w:t xml:space="preserve"> </w:t>
      </w:r>
      <w:r w:rsidR="002D5E58" w:rsidRPr="00D5464D">
        <w:rPr>
          <w:rFonts w:cs="Arial"/>
          <w:iCs/>
          <w:szCs w:val="20"/>
          <w:lang w:val="pt-BR"/>
        </w:rPr>
        <w:t xml:space="preserve">pois </w:t>
      </w:r>
      <w:r w:rsidR="00470ADC" w:rsidRPr="00D5464D">
        <w:rPr>
          <w:rFonts w:cs="Arial"/>
          <w:iCs/>
          <w:szCs w:val="20"/>
          <w:lang w:val="pt-BR"/>
        </w:rPr>
        <w:t>foi</w:t>
      </w:r>
      <w:r w:rsidR="00E045D9" w:rsidRPr="00D5464D">
        <w:rPr>
          <w:rFonts w:cs="Arial"/>
          <w:iCs/>
          <w:szCs w:val="20"/>
          <w:lang w:val="pt-BR"/>
        </w:rPr>
        <w:t xml:space="preserve"> um </w:t>
      </w:r>
      <w:r w:rsidR="004B0842" w:rsidRPr="00D5464D">
        <w:rPr>
          <w:rFonts w:cs="Arial"/>
          <w:iCs/>
          <w:szCs w:val="20"/>
          <w:lang w:val="pt-BR"/>
        </w:rPr>
        <w:t xml:space="preserve">elemento decisivo para </w:t>
      </w:r>
      <w:r w:rsidR="002C330E" w:rsidRPr="00D5464D">
        <w:rPr>
          <w:rFonts w:cs="Arial"/>
          <w:iCs/>
          <w:szCs w:val="20"/>
          <w:lang w:val="pt-BR"/>
        </w:rPr>
        <w:t xml:space="preserve">manter a impunidade </w:t>
      </w:r>
      <w:r w:rsidR="00C176E3" w:rsidRPr="00D5464D">
        <w:rPr>
          <w:rFonts w:cs="Arial"/>
          <w:iCs/>
          <w:szCs w:val="20"/>
          <w:lang w:val="pt-BR"/>
        </w:rPr>
        <w:t>dos</w:t>
      </w:r>
      <w:r w:rsidR="002C330E" w:rsidRPr="00D5464D">
        <w:rPr>
          <w:rFonts w:cs="Arial"/>
          <w:iCs/>
          <w:szCs w:val="20"/>
          <w:lang w:val="pt-BR"/>
        </w:rPr>
        <w:t xml:space="preserve"> fatos</w:t>
      </w:r>
      <w:r w:rsidR="004B0842" w:rsidRPr="00D5464D">
        <w:rPr>
          <w:rFonts w:cs="Arial"/>
          <w:iCs/>
          <w:szCs w:val="20"/>
          <w:lang w:val="pt-BR"/>
        </w:rPr>
        <w:t xml:space="preserve"> constatados</w:t>
      </w:r>
      <w:r w:rsidR="00470ADC" w:rsidRPr="00D5464D">
        <w:rPr>
          <w:rFonts w:cs="Arial"/>
          <w:iCs/>
          <w:szCs w:val="20"/>
          <w:lang w:val="pt-BR"/>
        </w:rPr>
        <w:t xml:space="preserve"> em </w:t>
      </w:r>
      <w:r w:rsidR="004B0842" w:rsidRPr="00D5464D">
        <w:rPr>
          <w:rFonts w:cs="Arial"/>
          <w:iCs/>
          <w:szCs w:val="20"/>
          <w:lang w:val="pt-BR"/>
        </w:rPr>
        <w:t xml:space="preserve">1997. </w:t>
      </w:r>
      <w:r w:rsidR="00350187" w:rsidRPr="00D5464D">
        <w:rPr>
          <w:rFonts w:cs="Arial"/>
          <w:iCs/>
          <w:szCs w:val="20"/>
          <w:lang w:val="pt-BR"/>
        </w:rPr>
        <w:t xml:space="preserve">Além disso, </w:t>
      </w:r>
      <w:r w:rsidR="002C330E" w:rsidRPr="00D5464D">
        <w:rPr>
          <w:rFonts w:cs="Arial"/>
          <w:iCs/>
          <w:szCs w:val="20"/>
          <w:lang w:val="pt-BR"/>
        </w:rPr>
        <w:t xml:space="preserve">a </w:t>
      </w:r>
      <w:r w:rsidR="004B0842" w:rsidRPr="00D5464D">
        <w:rPr>
          <w:rFonts w:cs="Arial"/>
          <w:iCs/>
          <w:szCs w:val="20"/>
          <w:lang w:val="pt-BR"/>
        </w:rPr>
        <w:t xml:space="preserve">Corte </w:t>
      </w:r>
      <w:r w:rsidR="00E045D9" w:rsidRPr="00D5464D">
        <w:rPr>
          <w:rFonts w:cs="Arial"/>
          <w:iCs/>
          <w:szCs w:val="20"/>
          <w:lang w:val="pt-BR"/>
        </w:rPr>
        <w:t>constatou</w:t>
      </w:r>
      <w:r w:rsidR="00470ADC" w:rsidRPr="00D5464D">
        <w:rPr>
          <w:rFonts w:cs="Arial"/>
          <w:iCs/>
          <w:szCs w:val="20"/>
          <w:lang w:val="pt-BR"/>
        </w:rPr>
        <w:t xml:space="preserve"> o caráter</w:t>
      </w:r>
      <w:r w:rsidR="004B0842" w:rsidRPr="00D5464D">
        <w:rPr>
          <w:rFonts w:cs="Arial"/>
          <w:iCs/>
          <w:szCs w:val="20"/>
          <w:lang w:val="pt-BR"/>
        </w:rPr>
        <w:t xml:space="preserve"> </w:t>
      </w:r>
      <w:r w:rsidR="002C330E" w:rsidRPr="00D5464D">
        <w:rPr>
          <w:rFonts w:cs="Arial"/>
          <w:iCs/>
          <w:szCs w:val="20"/>
          <w:lang w:val="pt-BR"/>
        </w:rPr>
        <w:t xml:space="preserve">imprescritível </w:t>
      </w:r>
      <w:r w:rsidR="00470ADC" w:rsidRPr="00D5464D">
        <w:rPr>
          <w:rFonts w:cs="Arial"/>
          <w:iCs/>
          <w:szCs w:val="20"/>
          <w:lang w:val="pt-BR"/>
        </w:rPr>
        <w:t xml:space="preserve">do </w:t>
      </w:r>
      <w:r w:rsidR="004B0842" w:rsidRPr="00D5464D">
        <w:rPr>
          <w:rFonts w:cs="Arial"/>
          <w:iCs/>
          <w:szCs w:val="20"/>
          <w:lang w:val="pt-BR"/>
        </w:rPr>
        <w:t xml:space="preserve">delito de </w:t>
      </w:r>
      <w:r w:rsidR="000B376D" w:rsidRPr="00D5464D">
        <w:rPr>
          <w:rFonts w:cs="Arial"/>
          <w:iCs/>
          <w:szCs w:val="20"/>
          <w:lang w:val="pt-BR"/>
        </w:rPr>
        <w:t>escravidão</w:t>
      </w:r>
      <w:r w:rsidR="00E045D9" w:rsidRPr="00D5464D">
        <w:rPr>
          <w:rFonts w:cs="Arial"/>
          <w:iCs/>
          <w:szCs w:val="20"/>
          <w:lang w:val="pt-BR"/>
        </w:rPr>
        <w:t xml:space="preserve"> e </w:t>
      </w:r>
      <w:r w:rsidR="004B0842" w:rsidRPr="00D5464D">
        <w:rPr>
          <w:rFonts w:cs="Arial"/>
          <w:iCs/>
          <w:szCs w:val="20"/>
          <w:lang w:val="pt-BR"/>
        </w:rPr>
        <w:t xml:space="preserve">de </w:t>
      </w:r>
      <w:r w:rsidRPr="00D5464D">
        <w:rPr>
          <w:rFonts w:cs="Arial"/>
          <w:iCs/>
          <w:szCs w:val="20"/>
          <w:lang w:val="pt-BR"/>
        </w:rPr>
        <w:t>suas formas</w:t>
      </w:r>
      <w:r w:rsidR="004B0842" w:rsidRPr="00D5464D">
        <w:rPr>
          <w:rFonts w:cs="Arial"/>
          <w:iCs/>
          <w:szCs w:val="20"/>
          <w:lang w:val="pt-BR"/>
        </w:rPr>
        <w:t xml:space="preserve"> </w:t>
      </w:r>
      <w:r w:rsidR="006665EF" w:rsidRPr="00D5464D">
        <w:rPr>
          <w:rFonts w:cs="Arial"/>
          <w:iCs/>
          <w:szCs w:val="20"/>
          <w:lang w:val="pt-BR"/>
        </w:rPr>
        <w:t>análogas</w:t>
      </w:r>
      <w:r w:rsidR="00350187" w:rsidRPr="00D5464D">
        <w:rPr>
          <w:rFonts w:cs="Arial"/>
          <w:iCs/>
          <w:szCs w:val="20"/>
          <w:lang w:val="pt-BR"/>
        </w:rPr>
        <w:t xml:space="preserve"> </w:t>
      </w:r>
      <w:r w:rsidR="00E045D9" w:rsidRPr="00D5464D">
        <w:rPr>
          <w:rFonts w:cs="Arial"/>
          <w:iCs/>
          <w:szCs w:val="20"/>
          <w:lang w:val="pt-BR"/>
        </w:rPr>
        <w:t xml:space="preserve">no </w:t>
      </w:r>
      <w:r w:rsidR="00E765C2" w:rsidRPr="00D5464D">
        <w:rPr>
          <w:rFonts w:cs="Arial"/>
          <w:iCs/>
          <w:szCs w:val="20"/>
          <w:lang w:val="pt-BR"/>
        </w:rPr>
        <w:t>Direito Internacional</w:t>
      </w:r>
      <w:r w:rsidR="004B0842" w:rsidRPr="00D5464D">
        <w:rPr>
          <w:rFonts w:cs="Arial"/>
          <w:iCs/>
          <w:szCs w:val="20"/>
          <w:lang w:val="pt-BR"/>
        </w:rPr>
        <w:t xml:space="preserve">, como </w:t>
      </w:r>
      <w:r w:rsidR="00470ADC" w:rsidRPr="00D5464D">
        <w:rPr>
          <w:rFonts w:cs="Arial"/>
          <w:iCs/>
          <w:szCs w:val="20"/>
          <w:lang w:val="pt-BR"/>
        </w:rPr>
        <w:t>consequência</w:t>
      </w:r>
      <w:r w:rsidR="004B0842" w:rsidRPr="00D5464D">
        <w:rPr>
          <w:rFonts w:cs="Arial"/>
          <w:iCs/>
          <w:szCs w:val="20"/>
          <w:lang w:val="pt-BR"/>
        </w:rPr>
        <w:t xml:space="preserve"> de</w:t>
      </w:r>
      <w:r w:rsidR="004713F4" w:rsidRPr="00D5464D">
        <w:rPr>
          <w:rFonts w:cs="Arial"/>
          <w:iCs/>
          <w:szCs w:val="20"/>
          <w:lang w:val="pt-BR"/>
        </w:rPr>
        <w:t xml:space="preserve"> </w:t>
      </w:r>
      <w:r w:rsidR="00E045D9" w:rsidRPr="00D5464D">
        <w:rPr>
          <w:rFonts w:cs="Arial"/>
          <w:iCs/>
          <w:szCs w:val="20"/>
          <w:lang w:val="pt-BR"/>
        </w:rPr>
        <w:t>seu caráter</w:t>
      </w:r>
      <w:r w:rsidR="004713F4" w:rsidRPr="00D5464D">
        <w:rPr>
          <w:rFonts w:cs="Arial"/>
          <w:iCs/>
          <w:szCs w:val="20"/>
          <w:lang w:val="pt-BR"/>
        </w:rPr>
        <w:t xml:space="preserve"> de delito</w:t>
      </w:r>
      <w:r w:rsidR="002D5E58" w:rsidRPr="00D5464D">
        <w:rPr>
          <w:rFonts w:cs="Arial"/>
          <w:iCs/>
          <w:szCs w:val="20"/>
          <w:lang w:val="pt-BR"/>
        </w:rPr>
        <w:t>s</w:t>
      </w:r>
      <w:r w:rsidR="004713F4" w:rsidRPr="00D5464D">
        <w:rPr>
          <w:rFonts w:cs="Arial"/>
          <w:iCs/>
          <w:szCs w:val="20"/>
          <w:lang w:val="pt-BR"/>
        </w:rPr>
        <w:t xml:space="preserve"> de </w:t>
      </w:r>
      <w:r w:rsidR="00E765C2" w:rsidRPr="00D5464D">
        <w:rPr>
          <w:rFonts w:cs="Arial"/>
          <w:iCs/>
          <w:szCs w:val="20"/>
          <w:lang w:val="pt-BR"/>
        </w:rPr>
        <w:t>Direito Internacional</w:t>
      </w:r>
      <w:r w:rsidR="004713F4" w:rsidRPr="00D5464D">
        <w:rPr>
          <w:rFonts w:cs="Arial"/>
          <w:iCs/>
          <w:szCs w:val="20"/>
          <w:lang w:val="pt-BR"/>
        </w:rPr>
        <w:t xml:space="preserve">, </w:t>
      </w:r>
      <w:r w:rsidR="00470ADC" w:rsidRPr="00D5464D">
        <w:rPr>
          <w:rFonts w:cs="Arial"/>
          <w:iCs/>
          <w:szCs w:val="20"/>
          <w:lang w:val="pt-BR"/>
        </w:rPr>
        <w:t>cuja</w:t>
      </w:r>
      <w:r w:rsidR="004713F4" w:rsidRPr="00D5464D">
        <w:rPr>
          <w:rFonts w:cs="Arial"/>
          <w:iCs/>
          <w:szCs w:val="20"/>
          <w:lang w:val="pt-BR"/>
        </w:rPr>
        <w:t xml:space="preserve"> </w:t>
      </w:r>
      <w:r w:rsidR="002C330E" w:rsidRPr="00D5464D">
        <w:rPr>
          <w:rFonts w:cs="Arial"/>
          <w:iCs/>
          <w:szCs w:val="20"/>
          <w:lang w:val="pt-BR"/>
        </w:rPr>
        <w:t>proibição</w:t>
      </w:r>
      <w:r w:rsidR="004713F4" w:rsidRPr="00D5464D">
        <w:rPr>
          <w:rFonts w:cs="Arial"/>
          <w:iCs/>
          <w:szCs w:val="20"/>
          <w:lang w:val="pt-BR"/>
        </w:rPr>
        <w:t xml:space="preserve"> </w:t>
      </w:r>
      <w:r w:rsidR="00470ADC" w:rsidRPr="00D5464D">
        <w:rPr>
          <w:rFonts w:cs="Arial"/>
          <w:iCs/>
          <w:szCs w:val="20"/>
          <w:lang w:val="pt-BR"/>
        </w:rPr>
        <w:t xml:space="preserve">alcançou o </w:t>
      </w:r>
      <w:r w:rsidR="004713F4" w:rsidRPr="00D5464D">
        <w:rPr>
          <w:rFonts w:cs="Arial"/>
          <w:iCs/>
          <w:szCs w:val="20"/>
          <w:lang w:val="pt-BR"/>
        </w:rPr>
        <w:t xml:space="preserve">status de </w:t>
      </w:r>
      <w:r w:rsidR="004B0842" w:rsidRPr="00D5464D">
        <w:rPr>
          <w:rFonts w:cs="Arial"/>
          <w:i/>
          <w:iCs/>
          <w:szCs w:val="20"/>
          <w:lang w:val="pt-BR"/>
        </w:rPr>
        <w:t>jus cogens</w:t>
      </w:r>
      <w:r w:rsidR="004B0842" w:rsidRPr="00D5464D">
        <w:rPr>
          <w:rFonts w:cs="Arial"/>
          <w:iCs/>
          <w:szCs w:val="20"/>
          <w:lang w:val="pt-BR"/>
        </w:rPr>
        <w:t xml:space="preserve"> </w:t>
      </w:r>
      <w:r w:rsidR="004713F4" w:rsidRPr="00D5464D">
        <w:rPr>
          <w:rFonts w:cs="Arial"/>
          <w:iCs/>
          <w:szCs w:val="20"/>
          <w:lang w:val="pt-BR"/>
        </w:rPr>
        <w:t>(</w:t>
      </w:r>
      <w:r w:rsidR="00C85EA9" w:rsidRPr="00D5464D">
        <w:rPr>
          <w:rFonts w:cs="Arial"/>
          <w:iCs/>
          <w:szCs w:val="20"/>
          <w:lang w:val="pt-BR"/>
        </w:rPr>
        <w:t xml:space="preserve">par. </w:t>
      </w:r>
      <w:r w:rsidR="00D036E7" w:rsidRPr="00D5464D">
        <w:rPr>
          <w:rFonts w:cs="Arial"/>
          <w:iCs/>
          <w:szCs w:val="20"/>
          <w:lang w:val="pt-BR"/>
        </w:rPr>
        <w:t>249</w:t>
      </w:r>
      <w:r w:rsidR="00D036E7" w:rsidRPr="00D5464D">
        <w:rPr>
          <w:rFonts w:cs="Arial"/>
          <w:i/>
          <w:iCs/>
          <w:szCs w:val="20"/>
          <w:lang w:val="pt-BR"/>
        </w:rPr>
        <w:t xml:space="preserve"> supra</w:t>
      </w:r>
      <w:r w:rsidR="00D036E7" w:rsidRPr="00D5464D">
        <w:rPr>
          <w:rFonts w:cs="Arial"/>
          <w:iCs/>
          <w:szCs w:val="20"/>
          <w:lang w:val="pt-BR"/>
        </w:rPr>
        <w:t>)</w:t>
      </w:r>
      <w:r w:rsidR="00D4212F" w:rsidRPr="00D5464D">
        <w:rPr>
          <w:rFonts w:cs="Arial"/>
          <w:iCs/>
          <w:szCs w:val="20"/>
          <w:lang w:val="pt-BR"/>
        </w:rPr>
        <w:t>.</w:t>
      </w:r>
      <w:r w:rsidR="004B0842" w:rsidRPr="00D5464D">
        <w:rPr>
          <w:rFonts w:cs="Arial"/>
          <w:iCs/>
          <w:szCs w:val="20"/>
          <w:lang w:val="pt-BR"/>
        </w:rPr>
        <w:t xml:space="preserve"> </w:t>
      </w:r>
      <w:r w:rsidR="00470ADC" w:rsidRPr="00D5464D">
        <w:rPr>
          <w:rFonts w:cs="Arial"/>
          <w:iCs/>
          <w:szCs w:val="20"/>
          <w:lang w:val="pt-BR"/>
        </w:rPr>
        <w:t>Ademais</w:t>
      </w:r>
      <w:r w:rsidR="004B0842" w:rsidRPr="00D5464D">
        <w:rPr>
          <w:rFonts w:cs="Arial"/>
          <w:iCs/>
          <w:szCs w:val="20"/>
          <w:lang w:val="pt-BR"/>
        </w:rPr>
        <w:t>,</w:t>
      </w:r>
      <w:r w:rsidR="002C330E" w:rsidRPr="00D5464D">
        <w:rPr>
          <w:rFonts w:cs="Arial"/>
          <w:iCs/>
          <w:szCs w:val="20"/>
          <w:lang w:val="pt-BR"/>
        </w:rPr>
        <w:t xml:space="preserve"> a </w:t>
      </w:r>
      <w:r w:rsidR="004B0842" w:rsidRPr="00D5464D">
        <w:rPr>
          <w:rFonts w:cs="Arial"/>
          <w:iCs/>
          <w:szCs w:val="20"/>
          <w:lang w:val="pt-BR"/>
        </w:rPr>
        <w:t xml:space="preserve">Corte </w:t>
      </w:r>
      <w:r w:rsidR="00E045D9" w:rsidRPr="00D5464D">
        <w:rPr>
          <w:rFonts w:cs="Arial"/>
          <w:iCs/>
          <w:szCs w:val="20"/>
          <w:lang w:val="pt-BR"/>
        </w:rPr>
        <w:t>recorda</w:t>
      </w:r>
      <w:r w:rsidR="004B0842" w:rsidRPr="00D5464D">
        <w:rPr>
          <w:rFonts w:cs="Arial"/>
          <w:iCs/>
          <w:szCs w:val="20"/>
          <w:lang w:val="pt-BR"/>
        </w:rPr>
        <w:t xml:space="preserve"> que, de </w:t>
      </w:r>
      <w:r w:rsidR="00470ADC" w:rsidRPr="00D5464D">
        <w:rPr>
          <w:rFonts w:cs="Arial"/>
          <w:iCs/>
          <w:szCs w:val="20"/>
          <w:lang w:val="pt-BR"/>
        </w:rPr>
        <w:t xml:space="preserve">acordo com </w:t>
      </w:r>
      <w:r w:rsidR="00E045D9" w:rsidRPr="00D5464D">
        <w:rPr>
          <w:rFonts w:cs="Arial"/>
          <w:iCs/>
          <w:szCs w:val="20"/>
          <w:lang w:val="pt-BR"/>
        </w:rPr>
        <w:t>sua jurisprudência</w:t>
      </w:r>
      <w:r w:rsidR="002C330E" w:rsidRPr="00D5464D">
        <w:rPr>
          <w:rFonts w:cs="Arial"/>
          <w:iCs/>
          <w:szCs w:val="20"/>
          <w:lang w:val="pt-BR"/>
        </w:rPr>
        <w:t xml:space="preserve"> </w:t>
      </w:r>
      <w:r w:rsidR="004B0842" w:rsidRPr="00D5464D">
        <w:rPr>
          <w:rFonts w:cs="Arial"/>
          <w:iCs/>
          <w:szCs w:val="20"/>
          <w:lang w:val="pt-BR"/>
        </w:rPr>
        <w:t>constante</w:t>
      </w:r>
      <w:r w:rsidR="006C4FBD" w:rsidRPr="00D5464D">
        <w:rPr>
          <w:rFonts w:cs="Arial"/>
          <w:iCs/>
          <w:szCs w:val="20"/>
          <w:lang w:val="pt-BR"/>
        </w:rPr>
        <w:t>,</w:t>
      </w:r>
      <w:r w:rsidR="004B0842" w:rsidRPr="00D5464D">
        <w:rPr>
          <w:rFonts w:cs="Arial"/>
          <w:iCs/>
          <w:szCs w:val="20"/>
          <w:vertAlign w:val="superscript"/>
          <w:lang w:val="pt-BR"/>
        </w:rPr>
        <w:footnoteReference w:id="531"/>
      </w:r>
      <w:r w:rsidR="002C330E" w:rsidRPr="00D5464D">
        <w:rPr>
          <w:rFonts w:cs="Arial"/>
          <w:iCs/>
          <w:szCs w:val="20"/>
          <w:lang w:val="pt-BR"/>
        </w:rPr>
        <w:t xml:space="preserve"> os </w:t>
      </w:r>
      <w:r w:rsidR="004B0842" w:rsidRPr="00D5464D">
        <w:rPr>
          <w:rFonts w:cs="Arial"/>
          <w:iCs/>
          <w:szCs w:val="20"/>
          <w:lang w:val="pt-BR"/>
        </w:rPr>
        <w:t xml:space="preserve">delitos que </w:t>
      </w:r>
      <w:r w:rsidR="002D5E58" w:rsidRPr="00D5464D">
        <w:rPr>
          <w:rFonts w:cs="Arial"/>
          <w:iCs/>
          <w:szCs w:val="20"/>
          <w:lang w:val="pt-BR"/>
        </w:rPr>
        <w:t xml:space="preserve">representem </w:t>
      </w:r>
      <w:r w:rsidR="004B0842" w:rsidRPr="00D5464D">
        <w:rPr>
          <w:rFonts w:cs="Arial"/>
          <w:iCs/>
          <w:szCs w:val="20"/>
          <w:lang w:val="pt-BR"/>
        </w:rPr>
        <w:t>graves viola</w:t>
      </w:r>
      <w:r w:rsidR="00470ADC" w:rsidRPr="00D5464D">
        <w:rPr>
          <w:rFonts w:cs="Arial"/>
          <w:iCs/>
          <w:szCs w:val="20"/>
          <w:lang w:val="pt-BR"/>
        </w:rPr>
        <w:t>ções</w:t>
      </w:r>
      <w:r w:rsidR="004B0842" w:rsidRPr="00D5464D">
        <w:rPr>
          <w:rFonts w:cs="Arial"/>
          <w:iCs/>
          <w:szCs w:val="20"/>
          <w:lang w:val="pt-BR"/>
        </w:rPr>
        <w:t xml:space="preserve"> de </w:t>
      </w:r>
      <w:r w:rsidR="00470ADC" w:rsidRPr="00D5464D">
        <w:rPr>
          <w:rFonts w:cs="Arial"/>
          <w:iCs/>
          <w:szCs w:val="20"/>
          <w:lang w:val="pt-BR"/>
        </w:rPr>
        <w:t>direito</w:t>
      </w:r>
      <w:r w:rsidR="004B0842" w:rsidRPr="00D5464D">
        <w:rPr>
          <w:rFonts w:cs="Arial"/>
          <w:iCs/>
          <w:szCs w:val="20"/>
          <w:lang w:val="pt-BR"/>
        </w:rPr>
        <w:t xml:space="preserve">s humanos </w:t>
      </w:r>
      <w:r w:rsidR="00737270" w:rsidRPr="00D5464D">
        <w:rPr>
          <w:rFonts w:cs="Arial"/>
          <w:iCs/>
          <w:szCs w:val="20"/>
          <w:lang w:val="pt-BR"/>
        </w:rPr>
        <w:t xml:space="preserve">não </w:t>
      </w:r>
      <w:r w:rsidRPr="00D5464D">
        <w:rPr>
          <w:rFonts w:cs="Arial"/>
          <w:iCs/>
          <w:szCs w:val="20"/>
          <w:lang w:val="pt-BR"/>
        </w:rPr>
        <w:t xml:space="preserve">podem </w:t>
      </w:r>
      <w:r w:rsidR="004B0842" w:rsidRPr="00D5464D">
        <w:rPr>
          <w:rFonts w:cs="Arial"/>
          <w:iCs/>
          <w:szCs w:val="20"/>
          <w:lang w:val="pt-BR"/>
        </w:rPr>
        <w:t xml:space="preserve">ser objeto de </w:t>
      </w:r>
      <w:r w:rsidR="002C330E" w:rsidRPr="00D5464D">
        <w:rPr>
          <w:rFonts w:cs="Arial"/>
          <w:iCs/>
          <w:szCs w:val="20"/>
          <w:lang w:val="pt-BR"/>
        </w:rPr>
        <w:t>prescrição</w:t>
      </w:r>
      <w:r w:rsidR="00A1358C" w:rsidRPr="00D5464D">
        <w:rPr>
          <w:rFonts w:cs="Arial"/>
          <w:iCs/>
          <w:szCs w:val="20"/>
          <w:lang w:val="pt-BR"/>
        </w:rPr>
        <w:t xml:space="preserve">. </w:t>
      </w:r>
      <w:r w:rsidR="00C176E3" w:rsidRPr="00D5464D">
        <w:rPr>
          <w:rFonts w:cs="Arial"/>
          <w:iCs/>
          <w:szCs w:val="20"/>
          <w:lang w:val="pt-BR"/>
        </w:rPr>
        <w:t xml:space="preserve">Consequentemente, </w:t>
      </w:r>
      <w:r w:rsidR="002D5E58" w:rsidRPr="00D5464D">
        <w:rPr>
          <w:rFonts w:cs="Arial"/>
          <w:iCs/>
          <w:szCs w:val="20"/>
          <w:lang w:val="pt-BR"/>
        </w:rPr>
        <w:t xml:space="preserve">o </w:t>
      </w:r>
      <w:r w:rsidR="004B0842" w:rsidRPr="00D5464D">
        <w:rPr>
          <w:rFonts w:cs="Arial"/>
          <w:iCs/>
          <w:szCs w:val="20"/>
          <w:lang w:val="pt-BR"/>
        </w:rPr>
        <w:t xml:space="preserve">Brasil </w:t>
      </w:r>
      <w:r w:rsidR="00737270" w:rsidRPr="00D5464D">
        <w:rPr>
          <w:rFonts w:cs="Arial"/>
          <w:iCs/>
          <w:szCs w:val="20"/>
          <w:lang w:val="pt-BR"/>
        </w:rPr>
        <w:t>não pode</w:t>
      </w:r>
      <w:r w:rsidR="004B0842" w:rsidRPr="00D5464D">
        <w:rPr>
          <w:rFonts w:cs="Arial"/>
          <w:iCs/>
          <w:szCs w:val="20"/>
          <w:lang w:val="pt-BR"/>
        </w:rPr>
        <w:t xml:space="preserve"> aplicar</w:t>
      </w:r>
      <w:r w:rsidR="002C330E" w:rsidRPr="00D5464D">
        <w:rPr>
          <w:rFonts w:cs="Arial"/>
          <w:iCs/>
          <w:szCs w:val="20"/>
          <w:lang w:val="pt-BR"/>
        </w:rPr>
        <w:t xml:space="preserve"> a prescrição</w:t>
      </w:r>
      <w:r w:rsidR="004B0842" w:rsidRPr="00D5464D">
        <w:rPr>
          <w:rFonts w:cs="Arial"/>
          <w:iCs/>
          <w:szCs w:val="20"/>
          <w:lang w:val="pt-BR"/>
        </w:rPr>
        <w:t xml:space="preserve"> a este caso</w:t>
      </w:r>
      <w:r w:rsidR="00E045D9" w:rsidRPr="00D5464D">
        <w:rPr>
          <w:rFonts w:cs="Arial"/>
          <w:iCs/>
          <w:szCs w:val="20"/>
          <w:lang w:val="pt-BR"/>
        </w:rPr>
        <w:t xml:space="preserve"> e </w:t>
      </w:r>
      <w:r w:rsidR="002D5E58" w:rsidRPr="00D5464D">
        <w:rPr>
          <w:rFonts w:cs="Arial"/>
          <w:iCs/>
          <w:szCs w:val="20"/>
          <w:lang w:val="pt-BR"/>
        </w:rPr>
        <w:t xml:space="preserve">a </w:t>
      </w:r>
      <w:r w:rsidR="002C330E" w:rsidRPr="00D5464D">
        <w:rPr>
          <w:rFonts w:cs="Arial"/>
          <w:iCs/>
          <w:szCs w:val="20"/>
          <w:lang w:val="pt-BR"/>
        </w:rPr>
        <w:t>outros</w:t>
      </w:r>
      <w:r w:rsidR="004B0842" w:rsidRPr="00D5464D">
        <w:rPr>
          <w:rFonts w:cs="Arial"/>
          <w:iCs/>
          <w:szCs w:val="20"/>
          <w:lang w:val="pt-BR"/>
        </w:rPr>
        <w:t xml:space="preserve"> similares. </w:t>
      </w:r>
    </w:p>
    <w:p w14:paraId="6515FDE2" w14:textId="77777777" w:rsidR="00747A03" w:rsidRPr="00D5464D" w:rsidRDefault="00747A03" w:rsidP="00747A03">
      <w:pPr>
        <w:pStyle w:val="Prrafodelista"/>
        <w:autoSpaceDE w:val="0"/>
        <w:autoSpaceDN w:val="0"/>
        <w:adjustRightInd w:val="0"/>
        <w:ind w:left="0"/>
        <w:rPr>
          <w:rFonts w:cs="Arial"/>
          <w:iCs/>
          <w:szCs w:val="20"/>
          <w:lang w:val="pt-BR"/>
        </w:rPr>
      </w:pPr>
    </w:p>
    <w:p w14:paraId="58039AD4" w14:textId="7DC11817" w:rsidR="004B0842" w:rsidRPr="00D5464D" w:rsidRDefault="00470ADC"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A </w:t>
      </w:r>
      <w:r w:rsidR="004B0842" w:rsidRPr="00D5464D">
        <w:rPr>
          <w:rFonts w:cs="Arial"/>
          <w:iCs/>
          <w:szCs w:val="20"/>
          <w:lang w:val="pt-BR"/>
        </w:rPr>
        <w:t>Corte considera que</w:t>
      </w:r>
      <w:r w:rsidR="002C330E" w:rsidRPr="00D5464D">
        <w:rPr>
          <w:rFonts w:cs="Arial"/>
          <w:iCs/>
          <w:szCs w:val="20"/>
          <w:lang w:val="pt-BR"/>
        </w:rPr>
        <w:t xml:space="preserve"> a </w:t>
      </w:r>
      <w:r w:rsidR="004B0842" w:rsidRPr="00D5464D">
        <w:rPr>
          <w:rFonts w:cs="Arial"/>
          <w:iCs/>
          <w:szCs w:val="20"/>
          <w:lang w:val="pt-BR"/>
        </w:rPr>
        <w:t>alegada amplitud</w:t>
      </w:r>
      <w:r w:rsidR="002D5E58" w:rsidRPr="00D5464D">
        <w:rPr>
          <w:rFonts w:cs="Arial"/>
          <w:iCs/>
          <w:szCs w:val="20"/>
          <w:lang w:val="pt-BR"/>
        </w:rPr>
        <w:t>e</w:t>
      </w:r>
      <w:r w:rsidR="004B0842" w:rsidRPr="00D5464D">
        <w:rPr>
          <w:rFonts w:cs="Arial"/>
          <w:iCs/>
          <w:szCs w:val="20"/>
          <w:lang w:val="pt-BR"/>
        </w:rPr>
        <w:t xml:space="preserve"> </w:t>
      </w:r>
      <w:r w:rsidRPr="00D5464D">
        <w:rPr>
          <w:rFonts w:cs="Arial"/>
          <w:iCs/>
          <w:szCs w:val="20"/>
          <w:lang w:val="pt-BR"/>
        </w:rPr>
        <w:t xml:space="preserve">do </w:t>
      </w:r>
      <w:r w:rsidR="004B0842" w:rsidRPr="00D5464D">
        <w:rPr>
          <w:rFonts w:cs="Arial"/>
          <w:iCs/>
          <w:szCs w:val="20"/>
          <w:lang w:val="pt-BR"/>
        </w:rPr>
        <w:t>tipo penal previsto</w:t>
      </w:r>
      <w:r w:rsidR="00E045D9" w:rsidRPr="00D5464D">
        <w:rPr>
          <w:rFonts w:cs="Arial"/>
          <w:iCs/>
          <w:szCs w:val="20"/>
          <w:lang w:val="pt-BR"/>
        </w:rPr>
        <w:t xml:space="preserve"> no </w:t>
      </w:r>
      <w:r w:rsidRPr="00D5464D">
        <w:rPr>
          <w:rFonts w:cs="Arial"/>
          <w:iCs/>
          <w:szCs w:val="20"/>
          <w:lang w:val="pt-BR"/>
        </w:rPr>
        <w:t>artigo</w:t>
      </w:r>
      <w:r w:rsidR="004B0842" w:rsidRPr="00D5464D">
        <w:rPr>
          <w:rFonts w:cs="Arial"/>
          <w:iCs/>
          <w:szCs w:val="20"/>
          <w:lang w:val="pt-BR"/>
        </w:rPr>
        <w:t xml:space="preserve"> 149 </w:t>
      </w:r>
      <w:r w:rsidRPr="00D5464D">
        <w:rPr>
          <w:rFonts w:cs="Arial"/>
          <w:iCs/>
          <w:szCs w:val="20"/>
          <w:lang w:val="pt-BR"/>
        </w:rPr>
        <w:t xml:space="preserve">do </w:t>
      </w:r>
      <w:r w:rsidR="00BE60E8" w:rsidRPr="00D5464D">
        <w:rPr>
          <w:rFonts w:cs="Arial"/>
          <w:iCs/>
          <w:szCs w:val="20"/>
          <w:lang w:val="pt-BR"/>
        </w:rPr>
        <w:t xml:space="preserve">Código Penal </w:t>
      </w:r>
      <w:r w:rsidRPr="00D5464D">
        <w:rPr>
          <w:rFonts w:cs="Arial"/>
          <w:iCs/>
          <w:szCs w:val="20"/>
          <w:lang w:val="pt-BR"/>
        </w:rPr>
        <w:t>brasileir</w:t>
      </w:r>
      <w:r w:rsidR="00BE60E8" w:rsidRPr="00D5464D">
        <w:rPr>
          <w:rFonts w:cs="Arial"/>
          <w:iCs/>
          <w:szCs w:val="20"/>
          <w:lang w:val="pt-BR"/>
        </w:rPr>
        <w:t>o</w:t>
      </w:r>
      <w:r w:rsidR="004B0842" w:rsidRPr="00D5464D">
        <w:rPr>
          <w:rFonts w:cs="Arial"/>
          <w:iCs/>
          <w:szCs w:val="20"/>
          <w:lang w:val="pt-BR"/>
        </w:rPr>
        <w:t xml:space="preserve"> n</w:t>
      </w:r>
      <w:r w:rsidR="002D5E58" w:rsidRPr="00D5464D">
        <w:rPr>
          <w:rFonts w:cs="Arial"/>
          <w:iCs/>
          <w:szCs w:val="20"/>
          <w:lang w:val="pt-BR"/>
        </w:rPr>
        <w:t>ã</w:t>
      </w:r>
      <w:r w:rsidR="004B0842" w:rsidRPr="00D5464D">
        <w:rPr>
          <w:rFonts w:cs="Arial"/>
          <w:iCs/>
          <w:szCs w:val="20"/>
          <w:lang w:val="pt-BR"/>
        </w:rPr>
        <w:t>o modifica</w:t>
      </w:r>
      <w:r w:rsidR="002C330E" w:rsidRPr="00D5464D">
        <w:rPr>
          <w:rFonts w:cs="Arial"/>
          <w:iCs/>
          <w:szCs w:val="20"/>
          <w:lang w:val="pt-BR"/>
        </w:rPr>
        <w:t xml:space="preserve"> a </w:t>
      </w:r>
      <w:r w:rsidRPr="00D5464D">
        <w:rPr>
          <w:rFonts w:cs="Arial"/>
          <w:iCs/>
          <w:szCs w:val="20"/>
          <w:lang w:val="pt-BR"/>
        </w:rPr>
        <w:t>conclusão</w:t>
      </w:r>
      <w:r w:rsidR="004B0842" w:rsidRPr="00D5464D">
        <w:rPr>
          <w:rFonts w:cs="Arial"/>
          <w:iCs/>
          <w:szCs w:val="20"/>
          <w:lang w:val="pt-BR"/>
        </w:rPr>
        <w:t xml:space="preserve"> anterior como preten</w:t>
      </w:r>
      <w:r w:rsidR="00E045D9" w:rsidRPr="00D5464D">
        <w:rPr>
          <w:rFonts w:cs="Arial"/>
          <w:iCs/>
          <w:szCs w:val="20"/>
          <w:lang w:val="pt-BR"/>
        </w:rPr>
        <w:t>d</w:t>
      </w:r>
      <w:r w:rsidR="002D5E58" w:rsidRPr="00D5464D">
        <w:rPr>
          <w:rFonts w:cs="Arial"/>
          <w:iCs/>
          <w:szCs w:val="20"/>
          <w:lang w:val="pt-BR"/>
        </w:rPr>
        <w:t xml:space="preserve">e </w:t>
      </w:r>
      <w:r w:rsidR="00E045D9" w:rsidRPr="00D5464D">
        <w:rPr>
          <w:rFonts w:cs="Arial"/>
          <w:iCs/>
          <w:szCs w:val="20"/>
          <w:lang w:val="pt-BR"/>
        </w:rPr>
        <w:t xml:space="preserve">o </w:t>
      </w:r>
      <w:r w:rsidR="004B0842" w:rsidRPr="00D5464D">
        <w:rPr>
          <w:rFonts w:cs="Arial"/>
          <w:iCs/>
          <w:szCs w:val="20"/>
          <w:lang w:val="pt-BR"/>
        </w:rPr>
        <w:t>Estado (</w:t>
      </w:r>
      <w:r w:rsidR="002C330E" w:rsidRPr="00D5464D">
        <w:rPr>
          <w:rFonts w:cs="Arial"/>
          <w:iCs/>
          <w:szCs w:val="20"/>
          <w:lang w:val="pt-BR"/>
        </w:rPr>
        <w:t>pars.</w:t>
      </w:r>
      <w:r w:rsidR="004B0842" w:rsidRPr="00D5464D">
        <w:rPr>
          <w:rFonts w:cs="Arial"/>
          <w:iCs/>
          <w:szCs w:val="20"/>
          <w:lang w:val="pt-BR"/>
        </w:rPr>
        <w:t xml:space="preserve"> </w:t>
      </w:r>
      <w:r w:rsidR="00627AAF" w:rsidRPr="00D5464D">
        <w:rPr>
          <w:rFonts w:cs="Arial"/>
          <w:iCs/>
          <w:szCs w:val="20"/>
          <w:lang w:val="pt-BR"/>
        </w:rPr>
        <w:t>307</w:t>
      </w:r>
      <w:r w:rsidR="004B0842" w:rsidRPr="00D5464D">
        <w:rPr>
          <w:rFonts w:cs="Arial"/>
          <w:iCs/>
          <w:szCs w:val="20"/>
          <w:lang w:val="pt-BR"/>
        </w:rPr>
        <w:t xml:space="preserve"> a </w:t>
      </w:r>
      <w:r w:rsidR="00627AAF" w:rsidRPr="00D5464D">
        <w:rPr>
          <w:rFonts w:cs="Arial"/>
          <w:iCs/>
          <w:szCs w:val="20"/>
          <w:lang w:val="pt-BR"/>
        </w:rPr>
        <w:t>314</w:t>
      </w:r>
      <w:r w:rsidR="009E2AF6" w:rsidRPr="00D5464D">
        <w:rPr>
          <w:rFonts w:cs="Arial"/>
          <w:i/>
          <w:iCs/>
          <w:szCs w:val="20"/>
          <w:lang w:val="pt-BR"/>
        </w:rPr>
        <w:t xml:space="preserve"> supra</w:t>
      </w:r>
      <w:r w:rsidR="004B0842" w:rsidRPr="00D5464D">
        <w:rPr>
          <w:rFonts w:cs="Arial"/>
          <w:iCs/>
          <w:szCs w:val="20"/>
          <w:lang w:val="pt-BR"/>
        </w:rPr>
        <w:t>)</w:t>
      </w:r>
      <w:r w:rsidR="00A1358C" w:rsidRPr="00D5464D">
        <w:rPr>
          <w:rFonts w:cs="Arial"/>
          <w:iCs/>
          <w:szCs w:val="20"/>
          <w:lang w:val="pt-BR"/>
        </w:rPr>
        <w:t>. Neste</w:t>
      </w:r>
      <w:r w:rsidR="00E045D9" w:rsidRPr="00D5464D">
        <w:rPr>
          <w:rFonts w:cs="Arial"/>
          <w:iCs/>
          <w:szCs w:val="20"/>
          <w:lang w:val="pt-BR"/>
        </w:rPr>
        <w:t xml:space="preserve"> </w:t>
      </w:r>
      <w:r w:rsidR="004B0842" w:rsidRPr="00D5464D">
        <w:rPr>
          <w:rFonts w:cs="Arial"/>
          <w:iCs/>
          <w:szCs w:val="20"/>
          <w:lang w:val="pt-BR"/>
        </w:rPr>
        <w:t>caso</w:t>
      </w:r>
      <w:r w:rsidR="00ED1731" w:rsidRPr="00D5464D">
        <w:rPr>
          <w:rFonts w:cs="Arial"/>
          <w:iCs/>
          <w:szCs w:val="20"/>
          <w:lang w:val="pt-BR"/>
        </w:rPr>
        <w:t>,</w:t>
      </w:r>
      <w:r w:rsidR="002C330E" w:rsidRPr="00D5464D">
        <w:rPr>
          <w:rFonts w:cs="Arial"/>
          <w:iCs/>
          <w:szCs w:val="20"/>
          <w:lang w:val="pt-BR"/>
        </w:rPr>
        <w:t xml:space="preserve"> a </w:t>
      </w:r>
      <w:r w:rsidR="004B0842" w:rsidRPr="00D5464D">
        <w:rPr>
          <w:rFonts w:cs="Arial"/>
          <w:iCs/>
          <w:szCs w:val="20"/>
          <w:lang w:val="pt-BR"/>
        </w:rPr>
        <w:t>Corte n</w:t>
      </w:r>
      <w:r w:rsidR="002D5E58" w:rsidRPr="00D5464D">
        <w:rPr>
          <w:rFonts w:cs="Arial"/>
          <w:iCs/>
          <w:szCs w:val="20"/>
          <w:lang w:val="pt-BR"/>
        </w:rPr>
        <w:t>ã</w:t>
      </w:r>
      <w:r w:rsidR="004B0842" w:rsidRPr="00D5464D">
        <w:rPr>
          <w:rFonts w:cs="Arial"/>
          <w:iCs/>
          <w:szCs w:val="20"/>
          <w:lang w:val="pt-BR"/>
        </w:rPr>
        <w:t xml:space="preserve">o declara </w:t>
      </w:r>
      <w:r w:rsidR="00E765C2" w:rsidRPr="00D5464D">
        <w:rPr>
          <w:rFonts w:cs="Arial"/>
          <w:iCs/>
          <w:szCs w:val="20"/>
          <w:lang w:val="pt-BR"/>
        </w:rPr>
        <w:t>imprescritível</w:t>
      </w:r>
      <w:r w:rsidR="00ED1731" w:rsidRPr="00D5464D">
        <w:rPr>
          <w:rFonts w:cs="Arial"/>
          <w:iCs/>
          <w:szCs w:val="20"/>
          <w:lang w:val="pt-BR"/>
        </w:rPr>
        <w:t>,</w:t>
      </w:r>
      <w:r w:rsidR="004B0842" w:rsidRPr="00D5464D">
        <w:rPr>
          <w:rFonts w:cs="Arial"/>
          <w:iCs/>
          <w:szCs w:val="20"/>
          <w:lang w:val="pt-BR"/>
        </w:rPr>
        <w:t xml:space="preserve"> de </w:t>
      </w:r>
      <w:r w:rsidR="002C330E" w:rsidRPr="00D5464D">
        <w:rPr>
          <w:rFonts w:cs="Arial"/>
          <w:iCs/>
          <w:szCs w:val="20"/>
          <w:lang w:val="pt-BR"/>
        </w:rPr>
        <w:t>maneira</w:t>
      </w:r>
      <w:r w:rsidR="004B0842" w:rsidRPr="00D5464D">
        <w:rPr>
          <w:rFonts w:cs="Arial"/>
          <w:iCs/>
          <w:szCs w:val="20"/>
          <w:lang w:val="pt-BR"/>
        </w:rPr>
        <w:t xml:space="preserve"> </w:t>
      </w:r>
      <w:r w:rsidR="002C330E" w:rsidRPr="00D5464D">
        <w:rPr>
          <w:rFonts w:cs="Arial"/>
          <w:iCs/>
          <w:szCs w:val="20"/>
          <w:lang w:val="pt-BR"/>
        </w:rPr>
        <w:t>geral</w:t>
      </w:r>
      <w:r w:rsidR="00ED1731" w:rsidRPr="00D5464D">
        <w:rPr>
          <w:rFonts w:cs="Arial"/>
          <w:iCs/>
          <w:szCs w:val="20"/>
          <w:lang w:val="pt-BR"/>
        </w:rPr>
        <w:t>,</w:t>
      </w:r>
      <w:r w:rsidR="00E045D9" w:rsidRPr="00D5464D">
        <w:rPr>
          <w:rFonts w:cs="Arial"/>
          <w:iCs/>
          <w:szCs w:val="20"/>
          <w:lang w:val="pt-BR"/>
        </w:rPr>
        <w:t xml:space="preserve"> um </w:t>
      </w:r>
      <w:r w:rsidR="004B0842" w:rsidRPr="00D5464D">
        <w:rPr>
          <w:rFonts w:cs="Arial"/>
          <w:iCs/>
          <w:szCs w:val="20"/>
          <w:lang w:val="pt-BR"/>
        </w:rPr>
        <w:t>delito previsto</w:t>
      </w:r>
      <w:r w:rsidR="00E045D9" w:rsidRPr="00D5464D">
        <w:rPr>
          <w:rFonts w:cs="Arial"/>
          <w:iCs/>
          <w:szCs w:val="20"/>
          <w:lang w:val="pt-BR"/>
        </w:rPr>
        <w:t xml:space="preserve"> no </w:t>
      </w:r>
      <w:r w:rsidR="002C330E" w:rsidRPr="00D5464D">
        <w:rPr>
          <w:rFonts w:cs="Arial"/>
          <w:iCs/>
          <w:szCs w:val="20"/>
          <w:lang w:val="pt-BR"/>
        </w:rPr>
        <w:t>ordenamento</w:t>
      </w:r>
      <w:r w:rsidR="004B0842" w:rsidRPr="00D5464D">
        <w:rPr>
          <w:rFonts w:cs="Arial"/>
          <w:iCs/>
          <w:szCs w:val="20"/>
          <w:lang w:val="pt-BR"/>
        </w:rPr>
        <w:t xml:space="preserve"> jurídico </w:t>
      </w:r>
      <w:r w:rsidRPr="00D5464D">
        <w:rPr>
          <w:rFonts w:cs="Arial"/>
          <w:iCs/>
          <w:szCs w:val="20"/>
          <w:lang w:val="pt-BR"/>
        </w:rPr>
        <w:t>brasileir</w:t>
      </w:r>
      <w:r w:rsidR="009E2AF6" w:rsidRPr="00D5464D">
        <w:rPr>
          <w:rFonts w:cs="Arial"/>
          <w:iCs/>
          <w:szCs w:val="20"/>
          <w:lang w:val="pt-BR"/>
        </w:rPr>
        <w:t>o (o</w:t>
      </w:r>
      <w:r w:rsidR="004B0842" w:rsidRPr="00D5464D">
        <w:rPr>
          <w:rFonts w:cs="Arial"/>
          <w:iCs/>
          <w:szCs w:val="20"/>
          <w:lang w:val="pt-BR"/>
        </w:rPr>
        <w:t xml:space="preserve"> citado </w:t>
      </w:r>
      <w:r w:rsidRPr="00D5464D">
        <w:rPr>
          <w:rFonts w:cs="Arial"/>
          <w:iCs/>
          <w:szCs w:val="20"/>
          <w:lang w:val="pt-BR"/>
        </w:rPr>
        <w:t>artigo</w:t>
      </w:r>
      <w:r w:rsidR="004B0842" w:rsidRPr="00D5464D">
        <w:rPr>
          <w:rFonts w:cs="Arial"/>
          <w:iCs/>
          <w:szCs w:val="20"/>
          <w:lang w:val="pt-BR"/>
        </w:rPr>
        <w:t xml:space="preserve"> 149)</w:t>
      </w:r>
      <w:r w:rsidR="006C4FBD" w:rsidRPr="00D5464D">
        <w:rPr>
          <w:rFonts w:cs="Arial"/>
          <w:iCs/>
          <w:szCs w:val="20"/>
          <w:lang w:val="pt-BR"/>
        </w:rPr>
        <w:t>,</w:t>
      </w:r>
      <w:r w:rsidR="00694537" w:rsidRPr="00D5464D">
        <w:rPr>
          <w:rStyle w:val="Refdenotaalpie"/>
          <w:iCs/>
          <w:lang w:val="pt-BR"/>
        </w:rPr>
        <w:footnoteReference w:id="532"/>
      </w:r>
      <w:r w:rsidR="002C330E" w:rsidRPr="00D5464D">
        <w:rPr>
          <w:rFonts w:cs="Arial"/>
          <w:iCs/>
          <w:szCs w:val="20"/>
          <w:lang w:val="pt-BR"/>
        </w:rPr>
        <w:t xml:space="preserve"> mas </w:t>
      </w:r>
      <w:r w:rsidR="00E045D9" w:rsidRPr="00D5464D">
        <w:rPr>
          <w:rFonts w:cs="Arial"/>
          <w:iCs/>
          <w:szCs w:val="20"/>
          <w:lang w:val="pt-BR"/>
        </w:rPr>
        <w:t>unicamente</w:t>
      </w:r>
      <w:r w:rsidR="002C330E" w:rsidRPr="00D5464D">
        <w:rPr>
          <w:rFonts w:cs="Arial"/>
          <w:iCs/>
          <w:szCs w:val="20"/>
          <w:lang w:val="pt-BR"/>
        </w:rPr>
        <w:t xml:space="preserve"> as </w:t>
      </w:r>
      <w:r w:rsidRPr="00D5464D">
        <w:rPr>
          <w:rFonts w:cs="Arial"/>
          <w:iCs/>
          <w:szCs w:val="20"/>
          <w:lang w:val="pt-BR"/>
        </w:rPr>
        <w:t>conduta</w:t>
      </w:r>
      <w:r w:rsidR="00126C03" w:rsidRPr="00D5464D">
        <w:rPr>
          <w:rFonts w:cs="Arial"/>
          <w:iCs/>
          <w:szCs w:val="20"/>
          <w:lang w:val="pt-BR"/>
        </w:rPr>
        <w:t xml:space="preserve">s que </w:t>
      </w:r>
      <w:r w:rsidR="00C91CB1" w:rsidRPr="00D5464D">
        <w:rPr>
          <w:rFonts w:cs="Arial"/>
          <w:iCs/>
          <w:szCs w:val="20"/>
          <w:lang w:val="pt-BR"/>
        </w:rPr>
        <w:t>constituam</w:t>
      </w:r>
      <w:r w:rsidR="00126C03" w:rsidRPr="00D5464D">
        <w:rPr>
          <w:rFonts w:cs="Arial"/>
          <w:iCs/>
          <w:szCs w:val="20"/>
          <w:lang w:val="pt-BR"/>
        </w:rPr>
        <w:t xml:space="preserve"> </w:t>
      </w:r>
      <w:r w:rsidR="000B376D" w:rsidRPr="00D5464D">
        <w:rPr>
          <w:rFonts w:cs="Arial"/>
          <w:iCs/>
          <w:szCs w:val="20"/>
          <w:lang w:val="pt-BR"/>
        </w:rPr>
        <w:t>escravidão</w:t>
      </w:r>
      <w:r w:rsidR="00126C03" w:rsidRPr="00D5464D">
        <w:rPr>
          <w:rFonts w:cs="Arial"/>
          <w:iCs/>
          <w:szCs w:val="20"/>
          <w:lang w:val="pt-BR"/>
        </w:rPr>
        <w:t xml:space="preserve"> o</w:t>
      </w:r>
      <w:r w:rsidR="002D5E58" w:rsidRPr="00D5464D">
        <w:rPr>
          <w:rFonts w:cs="Arial"/>
          <w:iCs/>
          <w:szCs w:val="20"/>
          <w:lang w:val="pt-BR"/>
        </w:rPr>
        <w:t>u</w:t>
      </w:r>
      <w:r w:rsidR="00E045D9" w:rsidRPr="00D5464D">
        <w:rPr>
          <w:rFonts w:cs="Arial"/>
          <w:iCs/>
          <w:szCs w:val="20"/>
          <w:lang w:val="pt-BR"/>
        </w:rPr>
        <w:t xml:space="preserve"> uma </w:t>
      </w:r>
      <w:r w:rsidR="00126C03" w:rsidRPr="00D5464D">
        <w:rPr>
          <w:rFonts w:cs="Arial"/>
          <w:iCs/>
          <w:szCs w:val="20"/>
          <w:lang w:val="pt-BR"/>
        </w:rPr>
        <w:t xml:space="preserve">de </w:t>
      </w:r>
      <w:r w:rsidR="00230C71" w:rsidRPr="00D5464D">
        <w:rPr>
          <w:rFonts w:cs="Arial"/>
          <w:iCs/>
          <w:szCs w:val="20"/>
          <w:lang w:val="pt-BR"/>
        </w:rPr>
        <w:t>suas formas</w:t>
      </w:r>
      <w:r w:rsidR="00126C03" w:rsidRPr="00D5464D">
        <w:rPr>
          <w:rFonts w:cs="Arial"/>
          <w:iCs/>
          <w:szCs w:val="20"/>
          <w:lang w:val="pt-BR"/>
        </w:rPr>
        <w:t xml:space="preserve"> análogas, </w:t>
      </w:r>
      <w:r w:rsidR="002D5E58" w:rsidRPr="00D5464D">
        <w:rPr>
          <w:rFonts w:cs="Arial"/>
          <w:iCs/>
          <w:szCs w:val="20"/>
          <w:lang w:val="pt-BR"/>
        </w:rPr>
        <w:t xml:space="preserve">em conformidade com </w:t>
      </w:r>
      <w:r w:rsidRPr="00D5464D">
        <w:rPr>
          <w:rFonts w:cs="Arial"/>
          <w:iCs/>
          <w:szCs w:val="20"/>
          <w:lang w:val="pt-BR"/>
        </w:rPr>
        <w:t>o dispost</w:t>
      </w:r>
      <w:r w:rsidR="00126C03" w:rsidRPr="00D5464D">
        <w:rPr>
          <w:rFonts w:cs="Arial"/>
          <w:iCs/>
          <w:szCs w:val="20"/>
          <w:lang w:val="pt-BR"/>
        </w:rPr>
        <w:t>o</w:t>
      </w:r>
      <w:r w:rsidR="00E045D9" w:rsidRPr="00D5464D">
        <w:rPr>
          <w:rFonts w:cs="Arial"/>
          <w:iCs/>
          <w:szCs w:val="20"/>
          <w:lang w:val="pt-BR"/>
        </w:rPr>
        <w:t xml:space="preserve"> nesta </w:t>
      </w:r>
      <w:r w:rsidR="002C330E" w:rsidRPr="00D5464D">
        <w:rPr>
          <w:rFonts w:cs="Arial"/>
          <w:iCs/>
          <w:szCs w:val="20"/>
          <w:lang w:val="pt-BR"/>
        </w:rPr>
        <w:t>Sentença</w:t>
      </w:r>
      <w:r w:rsidR="00A1358C" w:rsidRPr="00D5464D">
        <w:rPr>
          <w:rFonts w:cs="Arial"/>
          <w:iCs/>
          <w:szCs w:val="20"/>
          <w:lang w:val="pt-BR"/>
        </w:rPr>
        <w:t xml:space="preserve">. A </w:t>
      </w:r>
      <w:r w:rsidRPr="00D5464D">
        <w:rPr>
          <w:rFonts w:cs="Arial"/>
          <w:iCs/>
          <w:szCs w:val="20"/>
          <w:lang w:val="pt-BR"/>
        </w:rPr>
        <w:t xml:space="preserve">decisão da </w:t>
      </w:r>
      <w:r w:rsidR="004B0842" w:rsidRPr="00D5464D">
        <w:rPr>
          <w:rFonts w:cs="Arial"/>
          <w:iCs/>
          <w:szCs w:val="20"/>
          <w:lang w:val="pt-BR"/>
        </w:rPr>
        <w:t xml:space="preserve">Corte </w:t>
      </w:r>
      <w:r w:rsidR="002D5E58" w:rsidRPr="00D5464D">
        <w:rPr>
          <w:rFonts w:cs="Arial"/>
          <w:iCs/>
          <w:szCs w:val="20"/>
          <w:lang w:val="pt-BR"/>
        </w:rPr>
        <w:t>possui</w:t>
      </w:r>
      <w:r w:rsidR="00126C03" w:rsidRPr="00D5464D">
        <w:rPr>
          <w:rFonts w:cs="Arial"/>
          <w:iCs/>
          <w:szCs w:val="20"/>
          <w:lang w:val="pt-BR"/>
        </w:rPr>
        <w:t>,</w:t>
      </w:r>
      <w:r w:rsidR="004B0842" w:rsidRPr="00D5464D">
        <w:rPr>
          <w:rFonts w:cs="Arial"/>
          <w:iCs/>
          <w:szCs w:val="20"/>
          <w:lang w:val="pt-BR"/>
        </w:rPr>
        <w:t xml:space="preserve"> obviamente</w:t>
      </w:r>
      <w:r w:rsidR="00126C03" w:rsidRPr="00D5464D">
        <w:rPr>
          <w:rFonts w:cs="Arial"/>
          <w:iCs/>
          <w:szCs w:val="20"/>
          <w:lang w:val="pt-BR"/>
        </w:rPr>
        <w:t>,</w:t>
      </w:r>
      <w:r w:rsidRPr="00D5464D">
        <w:rPr>
          <w:rFonts w:cs="Arial"/>
          <w:iCs/>
          <w:szCs w:val="20"/>
          <w:lang w:val="pt-BR"/>
        </w:rPr>
        <w:t xml:space="preserve"> o efeito</w:t>
      </w:r>
      <w:r w:rsidR="004B0842" w:rsidRPr="00D5464D">
        <w:rPr>
          <w:rFonts w:cs="Arial"/>
          <w:iCs/>
          <w:szCs w:val="20"/>
          <w:lang w:val="pt-BR"/>
        </w:rPr>
        <w:t xml:space="preserve"> de declarar que</w:t>
      </w:r>
      <w:r w:rsidR="002C330E" w:rsidRPr="00D5464D">
        <w:rPr>
          <w:rFonts w:cs="Arial"/>
          <w:iCs/>
          <w:szCs w:val="20"/>
          <w:lang w:val="pt-BR"/>
        </w:rPr>
        <w:t xml:space="preserve"> </w:t>
      </w:r>
      <w:r w:rsidR="00370C30" w:rsidRPr="00D5464D">
        <w:rPr>
          <w:rFonts w:cs="Arial"/>
          <w:iCs/>
          <w:szCs w:val="20"/>
          <w:lang w:val="pt-BR"/>
        </w:rPr>
        <w:t xml:space="preserve">a escravidão e suas formas análogas </w:t>
      </w:r>
      <w:r w:rsidR="002C330E" w:rsidRPr="00D5464D">
        <w:rPr>
          <w:rFonts w:cs="Arial"/>
          <w:iCs/>
          <w:szCs w:val="20"/>
          <w:lang w:val="pt-BR"/>
        </w:rPr>
        <w:t>são imprescritíveis</w:t>
      </w:r>
      <w:r w:rsidR="004B0842" w:rsidRPr="00D5464D">
        <w:rPr>
          <w:rFonts w:cs="Arial"/>
          <w:iCs/>
          <w:szCs w:val="20"/>
          <w:lang w:val="pt-BR"/>
        </w:rPr>
        <w:t>,</w:t>
      </w:r>
      <w:r w:rsidRPr="00D5464D">
        <w:rPr>
          <w:rFonts w:cs="Arial"/>
          <w:iCs/>
          <w:szCs w:val="20"/>
          <w:lang w:val="pt-BR"/>
        </w:rPr>
        <w:t xml:space="preserve"> </w:t>
      </w:r>
      <w:r w:rsidR="009B179E" w:rsidRPr="00D5464D">
        <w:rPr>
          <w:rFonts w:cs="Arial"/>
          <w:iCs/>
          <w:szCs w:val="20"/>
          <w:lang w:val="pt-BR"/>
        </w:rPr>
        <w:t xml:space="preserve">independentemente de </w:t>
      </w:r>
      <w:r w:rsidR="00350187" w:rsidRPr="00D5464D">
        <w:rPr>
          <w:rFonts w:cs="Arial"/>
          <w:iCs/>
          <w:szCs w:val="20"/>
          <w:lang w:val="pt-BR"/>
        </w:rPr>
        <w:t>estas</w:t>
      </w:r>
      <w:r w:rsidR="004B0842" w:rsidRPr="00D5464D">
        <w:rPr>
          <w:rFonts w:cs="Arial"/>
          <w:iCs/>
          <w:szCs w:val="20"/>
          <w:lang w:val="pt-BR"/>
        </w:rPr>
        <w:t xml:space="preserve"> </w:t>
      </w:r>
      <w:r w:rsidRPr="00D5464D">
        <w:rPr>
          <w:rFonts w:cs="Arial"/>
          <w:iCs/>
          <w:szCs w:val="20"/>
          <w:lang w:val="pt-BR"/>
        </w:rPr>
        <w:t>corresponde</w:t>
      </w:r>
      <w:r w:rsidR="009B179E" w:rsidRPr="00D5464D">
        <w:rPr>
          <w:rFonts w:cs="Arial"/>
          <w:iCs/>
          <w:szCs w:val="20"/>
          <w:lang w:val="pt-BR"/>
        </w:rPr>
        <w:t>re</w:t>
      </w:r>
      <w:r w:rsidRPr="00D5464D">
        <w:rPr>
          <w:rFonts w:cs="Arial"/>
          <w:iCs/>
          <w:szCs w:val="20"/>
          <w:lang w:val="pt-BR"/>
        </w:rPr>
        <w:t xml:space="preserve">m </w:t>
      </w:r>
      <w:r w:rsidR="004B0842" w:rsidRPr="00D5464D">
        <w:rPr>
          <w:rFonts w:cs="Arial"/>
          <w:iCs/>
          <w:szCs w:val="20"/>
          <w:lang w:val="pt-BR"/>
        </w:rPr>
        <w:t>a</w:t>
      </w:r>
      <w:r w:rsidR="00A1358C" w:rsidRPr="00D5464D">
        <w:rPr>
          <w:rFonts w:cs="Arial"/>
          <w:iCs/>
          <w:szCs w:val="20"/>
          <w:lang w:val="pt-BR"/>
        </w:rPr>
        <w:t xml:space="preserve"> um </w:t>
      </w:r>
      <w:r w:rsidR="004B0842" w:rsidRPr="00D5464D">
        <w:rPr>
          <w:rFonts w:cs="Arial"/>
          <w:iCs/>
          <w:szCs w:val="20"/>
          <w:lang w:val="pt-BR"/>
        </w:rPr>
        <w:t>o</w:t>
      </w:r>
      <w:r w:rsidR="002D5E58" w:rsidRPr="00D5464D">
        <w:rPr>
          <w:rFonts w:cs="Arial"/>
          <w:iCs/>
          <w:szCs w:val="20"/>
          <w:lang w:val="pt-BR"/>
        </w:rPr>
        <w:t>u</w:t>
      </w:r>
      <w:r w:rsidR="004B0842" w:rsidRPr="00D5464D">
        <w:rPr>
          <w:rFonts w:cs="Arial"/>
          <w:iCs/>
          <w:szCs w:val="20"/>
          <w:lang w:val="pt-BR"/>
        </w:rPr>
        <w:t xml:space="preserve"> </w:t>
      </w:r>
      <w:r w:rsidR="002C330E" w:rsidRPr="00D5464D">
        <w:rPr>
          <w:rFonts w:cs="Arial"/>
          <w:iCs/>
          <w:szCs w:val="20"/>
          <w:lang w:val="pt-BR"/>
        </w:rPr>
        <w:t xml:space="preserve">mais </w:t>
      </w:r>
      <w:r w:rsidR="004B0842" w:rsidRPr="00D5464D">
        <w:rPr>
          <w:rFonts w:cs="Arial"/>
          <w:iCs/>
          <w:szCs w:val="20"/>
          <w:lang w:val="pt-BR"/>
        </w:rPr>
        <w:t xml:space="preserve">tipos </w:t>
      </w:r>
      <w:r w:rsidR="002C330E" w:rsidRPr="00D5464D">
        <w:rPr>
          <w:rFonts w:cs="Arial"/>
          <w:iCs/>
          <w:szCs w:val="20"/>
          <w:lang w:val="pt-BR"/>
        </w:rPr>
        <w:t>penais</w:t>
      </w:r>
      <w:r w:rsidRPr="00D5464D">
        <w:rPr>
          <w:rFonts w:cs="Arial"/>
          <w:iCs/>
          <w:szCs w:val="20"/>
          <w:lang w:val="pt-BR"/>
        </w:rPr>
        <w:t xml:space="preserve"> </w:t>
      </w:r>
      <w:r w:rsidR="002D5E58" w:rsidRPr="00D5464D">
        <w:rPr>
          <w:rFonts w:cs="Arial"/>
          <w:iCs/>
          <w:szCs w:val="20"/>
          <w:lang w:val="pt-BR"/>
        </w:rPr>
        <w:t xml:space="preserve">de acordo com </w:t>
      </w:r>
      <w:r w:rsidRPr="00D5464D">
        <w:rPr>
          <w:rFonts w:cs="Arial"/>
          <w:iCs/>
          <w:szCs w:val="20"/>
          <w:lang w:val="pt-BR"/>
        </w:rPr>
        <w:t xml:space="preserve">o </w:t>
      </w:r>
      <w:r w:rsidR="002C330E" w:rsidRPr="00D5464D">
        <w:rPr>
          <w:rFonts w:cs="Arial"/>
          <w:iCs/>
          <w:szCs w:val="20"/>
          <w:lang w:val="pt-BR"/>
        </w:rPr>
        <w:t>ordenamento</w:t>
      </w:r>
      <w:r w:rsidR="004B0842" w:rsidRPr="00D5464D">
        <w:rPr>
          <w:rFonts w:cs="Arial"/>
          <w:iCs/>
          <w:szCs w:val="20"/>
          <w:lang w:val="pt-BR"/>
        </w:rPr>
        <w:t xml:space="preserve"> interno </w:t>
      </w:r>
      <w:r w:rsidRPr="00D5464D">
        <w:rPr>
          <w:rFonts w:cs="Arial"/>
          <w:iCs/>
          <w:szCs w:val="20"/>
          <w:lang w:val="pt-BR"/>
        </w:rPr>
        <w:t>brasileir</w:t>
      </w:r>
      <w:r w:rsidR="004B0842" w:rsidRPr="00D5464D">
        <w:rPr>
          <w:rFonts w:cs="Arial"/>
          <w:iCs/>
          <w:szCs w:val="20"/>
          <w:lang w:val="pt-BR"/>
        </w:rPr>
        <w:t>o</w:t>
      </w:r>
      <w:r w:rsidR="00A1358C" w:rsidRPr="00D5464D">
        <w:rPr>
          <w:rFonts w:cs="Arial"/>
          <w:iCs/>
          <w:szCs w:val="20"/>
          <w:lang w:val="pt-BR"/>
        </w:rPr>
        <w:t xml:space="preserve">. </w:t>
      </w:r>
      <w:r w:rsidR="00C176E3" w:rsidRPr="00D5464D">
        <w:rPr>
          <w:rFonts w:cs="Arial"/>
          <w:iCs/>
          <w:szCs w:val="20"/>
          <w:lang w:val="pt-BR"/>
        </w:rPr>
        <w:t>Portanto</w:t>
      </w:r>
      <w:r w:rsidR="004B0842" w:rsidRPr="00D5464D">
        <w:rPr>
          <w:rFonts w:cs="Arial"/>
          <w:iCs/>
          <w:szCs w:val="20"/>
          <w:lang w:val="pt-BR"/>
        </w:rPr>
        <w:t xml:space="preserve">, </w:t>
      </w:r>
      <w:r w:rsidR="009B179E" w:rsidRPr="00D5464D">
        <w:rPr>
          <w:rFonts w:cs="Arial"/>
          <w:iCs/>
          <w:szCs w:val="20"/>
          <w:lang w:val="pt-BR"/>
        </w:rPr>
        <w:t xml:space="preserve">cabe </w:t>
      </w:r>
      <w:r w:rsidR="00E045D9" w:rsidRPr="00D5464D">
        <w:rPr>
          <w:rFonts w:cs="Arial"/>
          <w:iCs/>
          <w:szCs w:val="20"/>
          <w:lang w:val="pt-BR"/>
        </w:rPr>
        <w:t xml:space="preserve">a </w:t>
      </w:r>
      <w:r w:rsidR="004B0842" w:rsidRPr="00D5464D">
        <w:rPr>
          <w:rFonts w:cs="Arial"/>
          <w:iCs/>
          <w:szCs w:val="20"/>
          <w:lang w:val="pt-BR"/>
        </w:rPr>
        <w:t>este Tribunal ordenar</w:t>
      </w:r>
      <w:r w:rsidRPr="00D5464D">
        <w:rPr>
          <w:rFonts w:cs="Arial"/>
          <w:iCs/>
          <w:szCs w:val="20"/>
          <w:lang w:val="pt-BR"/>
        </w:rPr>
        <w:t xml:space="preserve"> ao </w:t>
      </w:r>
      <w:r w:rsidR="004B0842" w:rsidRPr="00D5464D">
        <w:rPr>
          <w:rFonts w:cs="Arial"/>
          <w:iCs/>
          <w:szCs w:val="20"/>
          <w:lang w:val="pt-BR"/>
        </w:rPr>
        <w:t>Estado que</w:t>
      </w:r>
      <w:r w:rsidR="002D5E58" w:rsidRPr="00D5464D">
        <w:rPr>
          <w:rFonts w:cs="Arial"/>
          <w:iCs/>
          <w:szCs w:val="20"/>
          <w:lang w:val="pt-BR"/>
        </w:rPr>
        <w:t>,</w:t>
      </w:r>
      <w:r w:rsidR="004B0842" w:rsidRPr="00D5464D">
        <w:rPr>
          <w:rFonts w:cs="Arial"/>
          <w:iCs/>
          <w:szCs w:val="20"/>
          <w:lang w:val="pt-BR"/>
        </w:rPr>
        <w:t xml:space="preserve"> dentro de</w:t>
      </w:r>
      <w:r w:rsidR="00E045D9" w:rsidRPr="00D5464D">
        <w:rPr>
          <w:rFonts w:cs="Arial"/>
          <w:iCs/>
          <w:szCs w:val="20"/>
          <w:lang w:val="pt-BR"/>
        </w:rPr>
        <w:t xml:space="preserve"> um </w:t>
      </w:r>
      <w:r w:rsidR="002C330E" w:rsidRPr="00D5464D">
        <w:rPr>
          <w:rFonts w:cs="Arial"/>
          <w:iCs/>
          <w:szCs w:val="20"/>
          <w:lang w:val="pt-BR"/>
        </w:rPr>
        <w:t>prazo</w:t>
      </w:r>
      <w:r w:rsidR="004B0842" w:rsidRPr="00D5464D">
        <w:rPr>
          <w:rFonts w:cs="Arial"/>
          <w:iCs/>
          <w:szCs w:val="20"/>
          <w:lang w:val="pt-BR"/>
        </w:rPr>
        <w:t xml:space="preserve"> </w:t>
      </w:r>
      <w:r w:rsidR="002C330E" w:rsidRPr="00D5464D">
        <w:rPr>
          <w:rFonts w:cs="Arial"/>
          <w:iCs/>
          <w:szCs w:val="20"/>
          <w:lang w:val="pt-BR"/>
        </w:rPr>
        <w:t xml:space="preserve">razoável </w:t>
      </w:r>
      <w:r w:rsidR="004B0842" w:rsidRPr="00D5464D">
        <w:rPr>
          <w:rFonts w:cs="Arial"/>
          <w:iCs/>
          <w:szCs w:val="20"/>
          <w:lang w:val="pt-BR"/>
        </w:rPr>
        <w:t>a partir</w:t>
      </w:r>
      <w:r w:rsidRPr="00D5464D">
        <w:rPr>
          <w:rFonts w:cs="Arial"/>
          <w:iCs/>
          <w:szCs w:val="20"/>
          <w:lang w:val="pt-BR"/>
        </w:rPr>
        <w:t xml:space="preserve"> da </w:t>
      </w:r>
      <w:r w:rsidR="004B0842" w:rsidRPr="00D5464D">
        <w:rPr>
          <w:rFonts w:cs="Arial"/>
          <w:iCs/>
          <w:szCs w:val="20"/>
          <w:lang w:val="pt-BR"/>
        </w:rPr>
        <w:t>notifica</w:t>
      </w:r>
      <w:r w:rsidRPr="00D5464D">
        <w:rPr>
          <w:rFonts w:cs="Arial"/>
          <w:iCs/>
          <w:szCs w:val="20"/>
          <w:lang w:val="pt-BR"/>
        </w:rPr>
        <w:t xml:space="preserve">ção da </w:t>
      </w:r>
      <w:r w:rsidR="004B0842" w:rsidRPr="00D5464D">
        <w:rPr>
          <w:rFonts w:cs="Arial"/>
          <w:iCs/>
          <w:szCs w:val="20"/>
          <w:lang w:val="pt-BR"/>
        </w:rPr>
        <w:t xml:space="preserve">presente </w:t>
      </w:r>
      <w:r w:rsidR="002C330E" w:rsidRPr="00D5464D">
        <w:rPr>
          <w:rFonts w:cs="Arial"/>
          <w:iCs/>
          <w:szCs w:val="20"/>
          <w:lang w:val="pt-BR"/>
        </w:rPr>
        <w:t>Sentença</w:t>
      </w:r>
      <w:r w:rsidR="002D5E58" w:rsidRPr="00D5464D">
        <w:rPr>
          <w:rFonts w:cs="Arial"/>
          <w:iCs/>
          <w:szCs w:val="20"/>
          <w:lang w:val="pt-BR"/>
        </w:rPr>
        <w:t>,</w:t>
      </w:r>
      <w:r w:rsidR="004B0842" w:rsidRPr="00D5464D">
        <w:rPr>
          <w:rFonts w:cs="Arial"/>
          <w:iCs/>
          <w:szCs w:val="20"/>
          <w:lang w:val="pt-BR"/>
        </w:rPr>
        <w:t xml:space="preserve"> </w:t>
      </w:r>
      <w:r w:rsidRPr="00D5464D">
        <w:rPr>
          <w:rFonts w:cs="Arial"/>
          <w:iCs/>
          <w:szCs w:val="20"/>
          <w:lang w:val="pt-BR"/>
        </w:rPr>
        <w:t>adot</w:t>
      </w:r>
      <w:r w:rsidR="004B0842" w:rsidRPr="00D5464D">
        <w:rPr>
          <w:rFonts w:cs="Arial"/>
          <w:iCs/>
          <w:szCs w:val="20"/>
          <w:lang w:val="pt-BR"/>
        </w:rPr>
        <w:t>e</w:t>
      </w:r>
      <w:r w:rsidR="002C330E" w:rsidRPr="00D5464D">
        <w:rPr>
          <w:rFonts w:cs="Arial"/>
          <w:iCs/>
          <w:szCs w:val="20"/>
          <w:lang w:val="pt-BR"/>
        </w:rPr>
        <w:t xml:space="preserve"> as </w:t>
      </w:r>
      <w:r w:rsidR="004B0842" w:rsidRPr="00D5464D">
        <w:rPr>
          <w:rFonts w:cs="Arial"/>
          <w:iCs/>
          <w:szCs w:val="20"/>
          <w:lang w:val="pt-BR"/>
        </w:rPr>
        <w:t xml:space="preserve">medidas legislativas </w:t>
      </w:r>
      <w:r w:rsidR="002C330E" w:rsidRPr="00D5464D">
        <w:rPr>
          <w:rFonts w:cs="Arial"/>
          <w:iCs/>
          <w:szCs w:val="20"/>
          <w:lang w:val="pt-BR"/>
        </w:rPr>
        <w:t>necessári</w:t>
      </w:r>
      <w:r w:rsidR="004B0842" w:rsidRPr="00D5464D">
        <w:rPr>
          <w:rFonts w:cs="Arial"/>
          <w:iCs/>
          <w:szCs w:val="20"/>
          <w:lang w:val="pt-BR"/>
        </w:rPr>
        <w:t xml:space="preserve">as para </w:t>
      </w:r>
      <w:r w:rsidR="002C330E" w:rsidRPr="00D5464D">
        <w:rPr>
          <w:rFonts w:cs="Arial"/>
          <w:iCs/>
          <w:szCs w:val="20"/>
          <w:lang w:val="pt-BR"/>
        </w:rPr>
        <w:t>garantir</w:t>
      </w:r>
      <w:r w:rsidR="004B0842" w:rsidRPr="00D5464D">
        <w:rPr>
          <w:rFonts w:cs="Arial"/>
          <w:iCs/>
          <w:szCs w:val="20"/>
          <w:lang w:val="pt-BR"/>
        </w:rPr>
        <w:t xml:space="preserve"> que</w:t>
      </w:r>
      <w:r w:rsidR="002C330E" w:rsidRPr="00D5464D">
        <w:rPr>
          <w:rFonts w:cs="Arial"/>
          <w:iCs/>
          <w:szCs w:val="20"/>
          <w:lang w:val="pt-BR"/>
        </w:rPr>
        <w:t xml:space="preserve"> a prescrição</w:t>
      </w:r>
      <w:r w:rsidR="004B0842" w:rsidRPr="00D5464D">
        <w:rPr>
          <w:rFonts w:cs="Arial"/>
          <w:iCs/>
          <w:szCs w:val="20"/>
          <w:lang w:val="pt-BR"/>
        </w:rPr>
        <w:t xml:space="preserve"> n</w:t>
      </w:r>
      <w:r w:rsidR="002D5E58" w:rsidRPr="00D5464D">
        <w:rPr>
          <w:rFonts w:cs="Arial"/>
          <w:iCs/>
          <w:szCs w:val="20"/>
          <w:lang w:val="pt-BR"/>
        </w:rPr>
        <w:t>ã</w:t>
      </w:r>
      <w:r w:rsidR="004B0842" w:rsidRPr="00D5464D">
        <w:rPr>
          <w:rFonts w:cs="Arial"/>
          <w:iCs/>
          <w:szCs w:val="20"/>
          <w:lang w:val="pt-BR"/>
        </w:rPr>
        <w:t>o</w:t>
      </w:r>
      <w:r w:rsidR="002C330E" w:rsidRPr="00D5464D">
        <w:rPr>
          <w:rFonts w:cs="Arial"/>
          <w:iCs/>
          <w:szCs w:val="20"/>
          <w:lang w:val="pt-BR"/>
        </w:rPr>
        <w:t xml:space="preserve"> seja </w:t>
      </w:r>
      <w:r w:rsidR="004B0842" w:rsidRPr="00D5464D">
        <w:rPr>
          <w:rFonts w:cs="Arial"/>
          <w:iCs/>
          <w:szCs w:val="20"/>
          <w:lang w:val="pt-BR"/>
        </w:rPr>
        <w:t>aplicada</w:t>
      </w:r>
      <w:r w:rsidRPr="00D5464D">
        <w:rPr>
          <w:rFonts w:cs="Arial"/>
          <w:iCs/>
          <w:szCs w:val="20"/>
          <w:lang w:val="pt-BR"/>
        </w:rPr>
        <w:t xml:space="preserve"> à </w:t>
      </w:r>
      <w:r w:rsidR="00737270" w:rsidRPr="00D5464D">
        <w:rPr>
          <w:rFonts w:cs="Arial"/>
          <w:iCs/>
          <w:szCs w:val="20"/>
          <w:lang w:val="pt-BR"/>
        </w:rPr>
        <w:t>redução</w:t>
      </w:r>
      <w:r w:rsidR="004B0842" w:rsidRPr="00D5464D">
        <w:rPr>
          <w:rFonts w:cs="Arial"/>
          <w:iCs/>
          <w:szCs w:val="20"/>
          <w:lang w:val="pt-BR"/>
        </w:rPr>
        <w:t xml:space="preserve"> de </w:t>
      </w:r>
      <w:r w:rsidR="002C330E" w:rsidRPr="00D5464D">
        <w:rPr>
          <w:rFonts w:cs="Arial"/>
          <w:iCs/>
          <w:szCs w:val="20"/>
          <w:lang w:val="pt-BR"/>
        </w:rPr>
        <w:t>pessoa</w:t>
      </w:r>
      <w:r w:rsidR="004B0842" w:rsidRPr="00D5464D">
        <w:rPr>
          <w:rFonts w:cs="Arial"/>
          <w:iCs/>
          <w:szCs w:val="20"/>
          <w:lang w:val="pt-BR"/>
        </w:rPr>
        <w:t>s</w:t>
      </w:r>
      <w:r w:rsidRPr="00D5464D">
        <w:rPr>
          <w:rFonts w:cs="Arial"/>
          <w:iCs/>
          <w:szCs w:val="20"/>
          <w:lang w:val="pt-BR"/>
        </w:rPr>
        <w:t xml:space="preserve"> à </w:t>
      </w:r>
      <w:r w:rsidR="000B376D" w:rsidRPr="00D5464D">
        <w:rPr>
          <w:rFonts w:cs="Arial"/>
          <w:iCs/>
          <w:szCs w:val="20"/>
          <w:lang w:val="pt-BR"/>
        </w:rPr>
        <w:t>escravidão</w:t>
      </w:r>
      <w:r w:rsidR="00E045D9" w:rsidRPr="00D5464D">
        <w:rPr>
          <w:rFonts w:cs="Arial"/>
          <w:iCs/>
          <w:szCs w:val="20"/>
          <w:lang w:val="pt-BR"/>
        </w:rPr>
        <w:t xml:space="preserve"> e </w:t>
      </w:r>
      <w:r w:rsidR="004B0842" w:rsidRPr="00D5464D">
        <w:rPr>
          <w:rFonts w:cs="Arial"/>
          <w:iCs/>
          <w:szCs w:val="20"/>
          <w:lang w:val="pt-BR"/>
        </w:rPr>
        <w:t xml:space="preserve">a </w:t>
      </w:r>
      <w:r w:rsidR="00230C71" w:rsidRPr="00D5464D">
        <w:rPr>
          <w:rFonts w:cs="Arial"/>
          <w:iCs/>
          <w:szCs w:val="20"/>
          <w:lang w:val="pt-BR"/>
        </w:rPr>
        <w:t>suas formas</w:t>
      </w:r>
      <w:r w:rsidR="004B0842" w:rsidRPr="00D5464D">
        <w:rPr>
          <w:rFonts w:cs="Arial"/>
          <w:iCs/>
          <w:szCs w:val="20"/>
          <w:lang w:val="pt-BR"/>
        </w:rPr>
        <w:t xml:space="preserve"> análogas,</w:t>
      </w:r>
      <w:r w:rsidR="00E045D9" w:rsidRPr="00D5464D">
        <w:rPr>
          <w:rFonts w:cs="Arial"/>
          <w:iCs/>
          <w:szCs w:val="20"/>
          <w:lang w:val="pt-BR"/>
        </w:rPr>
        <w:t xml:space="preserve"> no </w:t>
      </w:r>
      <w:r w:rsidR="004B0842" w:rsidRPr="00D5464D">
        <w:rPr>
          <w:rFonts w:cs="Arial"/>
          <w:iCs/>
          <w:szCs w:val="20"/>
          <w:lang w:val="pt-BR"/>
        </w:rPr>
        <w:t xml:space="preserve">sentido </w:t>
      </w:r>
      <w:r w:rsidRPr="00D5464D">
        <w:rPr>
          <w:rFonts w:cs="Arial"/>
          <w:iCs/>
          <w:szCs w:val="20"/>
          <w:lang w:val="pt-BR"/>
        </w:rPr>
        <w:t>dispost</w:t>
      </w:r>
      <w:r w:rsidR="004B0842" w:rsidRPr="00D5464D">
        <w:rPr>
          <w:rFonts w:cs="Arial"/>
          <w:iCs/>
          <w:szCs w:val="20"/>
          <w:lang w:val="pt-BR"/>
        </w:rPr>
        <w:t>o</w:t>
      </w:r>
      <w:r w:rsidR="00E045D9" w:rsidRPr="00D5464D">
        <w:rPr>
          <w:rFonts w:cs="Arial"/>
          <w:iCs/>
          <w:szCs w:val="20"/>
          <w:lang w:val="pt-BR"/>
        </w:rPr>
        <w:t xml:space="preserve"> nos </w:t>
      </w:r>
      <w:r w:rsidR="002C330E" w:rsidRPr="00D5464D">
        <w:rPr>
          <w:rFonts w:cs="Arial"/>
          <w:iCs/>
          <w:szCs w:val="20"/>
          <w:lang w:val="pt-BR"/>
        </w:rPr>
        <w:t>parágrafo</w:t>
      </w:r>
      <w:r w:rsidR="004B0842" w:rsidRPr="00D5464D">
        <w:rPr>
          <w:rFonts w:cs="Arial"/>
          <w:iCs/>
          <w:szCs w:val="20"/>
          <w:lang w:val="pt-BR"/>
        </w:rPr>
        <w:t xml:space="preserve">s </w:t>
      </w:r>
      <w:r w:rsidR="00C176E3" w:rsidRPr="00D5464D">
        <w:rPr>
          <w:rFonts w:cs="Arial"/>
          <w:iCs/>
          <w:szCs w:val="20"/>
          <w:lang w:val="pt-BR"/>
        </w:rPr>
        <w:t>269</w:t>
      </w:r>
      <w:r w:rsidR="004B0842" w:rsidRPr="00D5464D">
        <w:rPr>
          <w:rFonts w:cs="Arial"/>
          <w:iCs/>
          <w:szCs w:val="20"/>
          <w:lang w:val="pt-BR"/>
        </w:rPr>
        <w:t xml:space="preserve"> a </w:t>
      </w:r>
      <w:r w:rsidR="00627AAF" w:rsidRPr="00D5464D">
        <w:rPr>
          <w:rFonts w:cs="Arial"/>
          <w:iCs/>
          <w:szCs w:val="20"/>
          <w:lang w:val="pt-BR"/>
        </w:rPr>
        <w:t>314</w:t>
      </w:r>
      <w:r w:rsidRPr="00D5464D">
        <w:rPr>
          <w:rFonts w:cs="Arial"/>
          <w:iCs/>
          <w:szCs w:val="20"/>
          <w:lang w:val="pt-BR"/>
        </w:rPr>
        <w:t xml:space="preserve"> da </w:t>
      </w:r>
      <w:r w:rsidR="004B0842" w:rsidRPr="00D5464D">
        <w:rPr>
          <w:rFonts w:cs="Arial"/>
          <w:iCs/>
          <w:szCs w:val="20"/>
          <w:lang w:val="pt-BR"/>
        </w:rPr>
        <w:t xml:space="preserve">presente </w:t>
      </w:r>
      <w:r w:rsidR="002C330E" w:rsidRPr="00D5464D">
        <w:rPr>
          <w:rFonts w:cs="Arial"/>
          <w:iCs/>
          <w:szCs w:val="20"/>
          <w:lang w:val="pt-BR"/>
        </w:rPr>
        <w:t>Sentença</w:t>
      </w:r>
      <w:r w:rsidR="004B0842" w:rsidRPr="00D5464D">
        <w:rPr>
          <w:rFonts w:cs="Arial"/>
          <w:iCs/>
          <w:szCs w:val="20"/>
          <w:lang w:val="pt-BR"/>
        </w:rPr>
        <w:t>.</w:t>
      </w:r>
    </w:p>
    <w:p w14:paraId="1D579A4C" w14:textId="77777777" w:rsidR="004B0842" w:rsidRPr="00D5464D" w:rsidRDefault="004B0842" w:rsidP="004B0842">
      <w:pPr>
        <w:pStyle w:val="Prrafodelista"/>
        <w:autoSpaceDE w:val="0"/>
        <w:autoSpaceDN w:val="0"/>
        <w:adjustRightInd w:val="0"/>
        <w:ind w:left="0"/>
        <w:rPr>
          <w:rFonts w:cs="Arial"/>
          <w:i/>
          <w:iCs/>
          <w:szCs w:val="20"/>
          <w:lang w:val="pt-BR"/>
        </w:rPr>
      </w:pPr>
    </w:p>
    <w:p w14:paraId="44C722EF" w14:textId="4249FC71" w:rsidR="004B0842" w:rsidRPr="00D5464D" w:rsidRDefault="00E35960" w:rsidP="00863BF9">
      <w:pPr>
        <w:pStyle w:val="Ttulo3"/>
        <w:rPr>
          <w:lang w:val="pt-BR"/>
        </w:rPr>
      </w:pPr>
      <w:bookmarkStart w:id="458" w:name="_Toc460433065"/>
      <w:bookmarkStart w:id="459" w:name="_Toc460441996"/>
      <w:bookmarkStart w:id="460" w:name="_Toc462751138"/>
      <w:bookmarkStart w:id="461" w:name="_Toc464813990"/>
      <w:bookmarkStart w:id="462" w:name="_Toc468433951"/>
      <w:r w:rsidRPr="00D5464D">
        <w:rPr>
          <w:lang w:val="pt-BR"/>
        </w:rPr>
        <w:t>C.3</w:t>
      </w:r>
      <w:r w:rsidR="004B0842" w:rsidRPr="00D5464D">
        <w:rPr>
          <w:lang w:val="pt-BR"/>
        </w:rPr>
        <w:t>.</w:t>
      </w:r>
      <w:r w:rsidR="004B0842" w:rsidRPr="00D5464D">
        <w:rPr>
          <w:lang w:val="pt-BR"/>
        </w:rPr>
        <w:tab/>
      </w:r>
      <w:r w:rsidR="002C330E" w:rsidRPr="00D5464D">
        <w:rPr>
          <w:lang w:val="pt-BR"/>
        </w:rPr>
        <w:t xml:space="preserve">Garantia </w:t>
      </w:r>
      <w:r w:rsidR="00470ADC" w:rsidRPr="00D5464D">
        <w:rPr>
          <w:lang w:val="pt-BR"/>
        </w:rPr>
        <w:t>de não repetição</w:t>
      </w:r>
      <w:r w:rsidR="004B0842" w:rsidRPr="00D5464D">
        <w:rPr>
          <w:lang w:val="pt-BR"/>
        </w:rPr>
        <w:t>: defini</w:t>
      </w:r>
      <w:r w:rsidR="00470ADC" w:rsidRPr="00D5464D">
        <w:rPr>
          <w:lang w:val="pt-BR"/>
        </w:rPr>
        <w:t>ção</w:t>
      </w:r>
      <w:r w:rsidR="004B0842" w:rsidRPr="00D5464D">
        <w:rPr>
          <w:lang w:val="pt-BR"/>
        </w:rPr>
        <w:t xml:space="preserve"> de</w:t>
      </w:r>
      <w:r w:rsidR="004F1CC2" w:rsidRPr="00D5464D">
        <w:rPr>
          <w:lang w:val="pt-BR"/>
        </w:rPr>
        <w:t xml:space="preserve"> tráfico de pessoas</w:t>
      </w:r>
      <w:bookmarkEnd w:id="458"/>
      <w:bookmarkEnd w:id="459"/>
      <w:bookmarkEnd w:id="460"/>
      <w:bookmarkEnd w:id="461"/>
      <w:bookmarkEnd w:id="462"/>
    </w:p>
    <w:p w14:paraId="2694160C" w14:textId="77777777" w:rsidR="004B0842" w:rsidRPr="00D5464D" w:rsidRDefault="004B0842" w:rsidP="004B0842">
      <w:pPr>
        <w:pStyle w:val="Prrafodelista"/>
        <w:autoSpaceDE w:val="0"/>
        <w:autoSpaceDN w:val="0"/>
        <w:adjustRightInd w:val="0"/>
        <w:rPr>
          <w:rFonts w:cs="Arial"/>
          <w:iCs/>
          <w:szCs w:val="20"/>
          <w:lang w:val="pt-BR"/>
        </w:rPr>
      </w:pPr>
    </w:p>
    <w:p w14:paraId="1A1EA16E" w14:textId="493C4C9B" w:rsidR="004B0842" w:rsidRPr="00D5464D" w:rsidRDefault="00737270"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Os </w:t>
      </w:r>
      <w:r w:rsidR="00EB1CE9" w:rsidRPr="00D5464D">
        <w:rPr>
          <w:rFonts w:cs="Arial"/>
          <w:b/>
          <w:i/>
          <w:iCs/>
          <w:szCs w:val="20"/>
          <w:lang w:val="pt-BR"/>
        </w:rPr>
        <w:t>representante</w:t>
      </w:r>
      <w:r w:rsidRPr="00D5464D">
        <w:rPr>
          <w:rFonts w:cs="Arial"/>
          <w:b/>
          <w:i/>
          <w:iCs/>
          <w:szCs w:val="20"/>
          <w:lang w:val="pt-BR"/>
        </w:rPr>
        <w:t>s</w:t>
      </w:r>
      <w:r w:rsidRPr="00D5464D">
        <w:rPr>
          <w:rFonts w:cs="Arial"/>
          <w:iCs/>
          <w:szCs w:val="20"/>
          <w:lang w:val="pt-BR"/>
        </w:rPr>
        <w:t xml:space="preserve"> </w:t>
      </w:r>
      <w:r w:rsidR="002C330E" w:rsidRPr="00D5464D">
        <w:rPr>
          <w:rFonts w:cs="Arial"/>
          <w:iCs/>
          <w:szCs w:val="20"/>
          <w:lang w:val="pt-BR"/>
        </w:rPr>
        <w:t>afirmaram</w:t>
      </w:r>
      <w:r w:rsidR="004B0842" w:rsidRPr="00D5464D">
        <w:rPr>
          <w:rFonts w:cs="Arial"/>
          <w:iCs/>
          <w:szCs w:val="20"/>
          <w:lang w:val="pt-BR"/>
        </w:rPr>
        <w:t xml:space="preserve"> que</w:t>
      </w:r>
      <w:r w:rsidR="006665EF" w:rsidRPr="00D5464D">
        <w:rPr>
          <w:rFonts w:cs="Arial"/>
          <w:iCs/>
          <w:szCs w:val="20"/>
          <w:lang w:val="pt-BR"/>
        </w:rPr>
        <w:t xml:space="preserve"> no Brasil</w:t>
      </w:r>
      <w:r w:rsidR="004B0842" w:rsidRPr="00D5464D">
        <w:rPr>
          <w:rFonts w:cs="Arial"/>
          <w:iCs/>
          <w:szCs w:val="20"/>
          <w:lang w:val="pt-BR"/>
        </w:rPr>
        <w:t xml:space="preserve"> se </w:t>
      </w:r>
      <w:r w:rsidR="00470ADC" w:rsidRPr="00D5464D">
        <w:rPr>
          <w:rFonts w:cs="Arial"/>
          <w:iCs/>
          <w:szCs w:val="20"/>
          <w:lang w:val="pt-BR"/>
        </w:rPr>
        <w:t xml:space="preserve">encontra </w:t>
      </w:r>
      <w:r w:rsidR="004B0842" w:rsidRPr="00D5464D">
        <w:rPr>
          <w:rFonts w:cs="Arial"/>
          <w:iCs/>
          <w:szCs w:val="20"/>
          <w:lang w:val="pt-BR"/>
        </w:rPr>
        <w:t>tipificad</w:t>
      </w:r>
      <w:r w:rsidR="004012FE" w:rsidRPr="00D5464D">
        <w:rPr>
          <w:rFonts w:cs="Arial"/>
          <w:iCs/>
          <w:szCs w:val="20"/>
          <w:lang w:val="pt-BR"/>
        </w:rPr>
        <w:t>o</w:t>
      </w:r>
      <w:r w:rsidR="002C330E" w:rsidRPr="00D5464D">
        <w:rPr>
          <w:rFonts w:cs="Arial"/>
          <w:iCs/>
          <w:szCs w:val="20"/>
          <w:lang w:val="pt-BR"/>
        </w:rPr>
        <w:t xml:space="preserve"> </w:t>
      </w:r>
      <w:r w:rsidR="004F1CC2" w:rsidRPr="00D5464D">
        <w:rPr>
          <w:rFonts w:cs="Arial"/>
          <w:iCs/>
          <w:szCs w:val="20"/>
          <w:lang w:val="pt-BR"/>
        </w:rPr>
        <w:t>o tráfico de pessoas</w:t>
      </w:r>
      <w:r w:rsidR="004B0842" w:rsidRPr="00D5464D">
        <w:rPr>
          <w:rFonts w:cs="Arial"/>
          <w:iCs/>
          <w:szCs w:val="20"/>
          <w:lang w:val="pt-BR"/>
        </w:rPr>
        <w:t xml:space="preserve"> </w:t>
      </w:r>
      <w:r w:rsidR="002C330E" w:rsidRPr="00D5464D">
        <w:rPr>
          <w:rFonts w:cs="Arial"/>
          <w:iCs/>
          <w:szCs w:val="20"/>
          <w:lang w:val="pt-BR"/>
        </w:rPr>
        <w:t>apenas</w:t>
      </w:r>
      <w:r w:rsidR="004B0842" w:rsidRPr="00D5464D">
        <w:rPr>
          <w:rFonts w:cs="Arial"/>
          <w:iCs/>
          <w:szCs w:val="20"/>
          <w:lang w:val="pt-BR"/>
        </w:rPr>
        <w:t xml:space="preserve"> para</w:t>
      </w:r>
      <w:r w:rsidR="00470ADC" w:rsidRPr="00D5464D">
        <w:rPr>
          <w:rFonts w:cs="Arial"/>
          <w:iCs/>
          <w:szCs w:val="20"/>
          <w:lang w:val="pt-BR"/>
        </w:rPr>
        <w:t xml:space="preserve"> fins </w:t>
      </w:r>
      <w:r w:rsidR="004B0842" w:rsidRPr="00D5464D">
        <w:rPr>
          <w:rFonts w:cs="Arial"/>
          <w:iCs/>
          <w:szCs w:val="20"/>
          <w:lang w:val="pt-BR"/>
        </w:rPr>
        <w:t xml:space="preserve">de </w:t>
      </w:r>
      <w:r w:rsidR="00230C71" w:rsidRPr="00D5464D">
        <w:rPr>
          <w:rFonts w:cs="Arial"/>
          <w:iCs/>
          <w:szCs w:val="20"/>
          <w:lang w:val="pt-BR"/>
        </w:rPr>
        <w:t>exploração</w:t>
      </w:r>
      <w:r w:rsidR="004B0842" w:rsidRPr="00D5464D">
        <w:rPr>
          <w:rFonts w:cs="Arial"/>
          <w:iCs/>
          <w:szCs w:val="20"/>
          <w:lang w:val="pt-BR"/>
        </w:rPr>
        <w:t xml:space="preserve"> sexual. De </w:t>
      </w:r>
      <w:r w:rsidR="00470ADC" w:rsidRPr="00D5464D">
        <w:rPr>
          <w:rFonts w:cs="Arial"/>
          <w:iCs/>
          <w:szCs w:val="20"/>
          <w:lang w:val="pt-BR"/>
        </w:rPr>
        <w:t xml:space="preserve">acordo </w:t>
      </w:r>
      <w:r w:rsidRPr="00D5464D">
        <w:rPr>
          <w:rFonts w:cs="Arial"/>
          <w:iCs/>
          <w:szCs w:val="20"/>
          <w:lang w:val="pt-BR"/>
        </w:rPr>
        <w:t>com o estabelecido</w:t>
      </w:r>
      <w:r w:rsidR="00E045D9" w:rsidRPr="00D5464D">
        <w:rPr>
          <w:rFonts w:cs="Arial"/>
          <w:iCs/>
          <w:szCs w:val="20"/>
          <w:lang w:val="pt-BR"/>
        </w:rPr>
        <w:t xml:space="preserve"> no </w:t>
      </w:r>
      <w:r w:rsidR="004B0842" w:rsidRPr="00D5464D">
        <w:rPr>
          <w:rFonts w:cs="Arial"/>
          <w:iCs/>
          <w:szCs w:val="20"/>
          <w:lang w:val="pt-BR"/>
        </w:rPr>
        <w:t>Protocolo de Palermo,</w:t>
      </w:r>
      <w:r w:rsidR="00470ADC" w:rsidRPr="00D5464D">
        <w:rPr>
          <w:rFonts w:cs="Arial"/>
          <w:iCs/>
          <w:szCs w:val="20"/>
          <w:lang w:val="pt-BR"/>
        </w:rPr>
        <w:t xml:space="preserve"> o </w:t>
      </w:r>
      <w:r w:rsidR="004B0842" w:rsidRPr="00D5464D">
        <w:rPr>
          <w:rFonts w:cs="Arial"/>
          <w:iCs/>
          <w:szCs w:val="20"/>
          <w:lang w:val="pt-BR"/>
        </w:rPr>
        <w:t>Estado</w:t>
      </w:r>
      <w:r w:rsidR="00470ADC" w:rsidRPr="00D5464D">
        <w:rPr>
          <w:rFonts w:cs="Arial"/>
          <w:iCs/>
          <w:szCs w:val="20"/>
          <w:lang w:val="pt-BR"/>
        </w:rPr>
        <w:t xml:space="preserve"> deve </w:t>
      </w:r>
      <w:r w:rsidR="004B0842" w:rsidRPr="00D5464D">
        <w:rPr>
          <w:rFonts w:cs="Arial"/>
          <w:iCs/>
          <w:szCs w:val="20"/>
          <w:lang w:val="pt-BR"/>
        </w:rPr>
        <w:t>tipificar</w:t>
      </w:r>
      <w:r w:rsidR="00470ADC" w:rsidRPr="00D5464D">
        <w:rPr>
          <w:rFonts w:cs="Arial"/>
          <w:iCs/>
          <w:szCs w:val="20"/>
          <w:lang w:val="pt-BR"/>
        </w:rPr>
        <w:t xml:space="preserve"> o </w:t>
      </w:r>
      <w:r w:rsidR="004B0842" w:rsidRPr="00D5464D">
        <w:rPr>
          <w:rFonts w:cs="Arial"/>
          <w:iCs/>
          <w:szCs w:val="20"/>
          <w:lang w:val="pt-BR"/>
        </w:rPr>
        <w:t>delito de</w:t>
      </w:r>
      <w:r w:rsidR="004F1CC2" w:rsidRPr="00D5464D">
        <w:rPr>
          <w:rFonts w:cs="Arial"/>
          <w:iCs/>
          <w:szCs w:val="20"/>
          <w:lang w:val="pt-BR"/>
        </w:rPr>
        <w:t xml:space="preserve"> tráfico de pessoas</w:t>
      </w:r>
      <w:r w:rsidR="004B0842" w:rsidRPr="00D5464D">
        <w:rPr>
          <w:rFonts w:cs="Arial"/>
          <w:iCs/>
          <w:szCs w:val="20"/>
          <w:lang w:val="pt-BR"/>
        </w:rPr>
        <w:t xml:space="preserve"> </w:t>
      </w:r>
      <w:r w:rsidR="002C330E" w:rsidRPr="00D5464D">
        <w:rPr>
          <w:rFonts w:cs="Arial"/>
          <w:iCs/>
          <w:szCs w:val="20"/>
          <w:lang w:val="pt-BR"/>
        </w:rPr>
        <w:t>seguindo</w:t>
      </w:r>
      <w:r w:rsidR="004B0842" w:rsidRPr="00D5464D">
        <w:rPr>
          <w:rFonts w:cs="Arial"/>
          <w:iCs/>
          <w:szCs w:val="20"/>
          <w:lang w:val="pt-BR"/>
        </w:rPr>
        <w:t xml:space="preserve"> </w:t>
      </w:r>
      <w:r w:rsidR="00470ADC" w:rsidRPr="00D5464D">
        <w:rPr>
          <w:rFonts w:cs="Arial"/>
          <w:iCs/>
          <w:szCs w:val="20"/>
          <w:lang w:val="pt-BR"/>
        </w:rPr>
        <w:t>padrões</w:t>
      </w:r>
      <w:r w:rsidR="004B0842" w:rsidRPr="00D5464D">
        <w:rPr>
          <w:rFonts w:cs="Arial"/>
          <w:iCs/>
          <w:szCs w:val="20"/>
          <w:lang w:val="pt-BR"/>
        </w:rPr>
        <w:t xml:space="preserve"> </w:t>
      </w:r>
      <w:r w:rsidR="002C330E" w:rsidRPr="00D5464D">
        <w:rPr>
          <w:rFonts w:cs="Arial"/>
          <w:iCs/>
          <w:szCs w:val="20"/>
          <w:lang w:val="pt-BR"/>
        </w:rPr>
        <w:t>internacionais</w:t>
      </w:r>
      <w:r w:rsidR="004B0842" w:rsidRPr="00D5464D">
        <w:rPr>
          <w:rFonts w:cs="Arial"/>
          <w:iCs/>
          <w:szCs w:val="20"/>
          <w:lang w:val="pt-BR"/>
        </w:rPr>
        <w:t xml:space="preserve"> para incluir </w:t>
      </w:r>
      <w:r w:rsidR="00470ADC" w:rsidRPr="00D5464D">
        <w:rPr>
          <w:rFonts w:cs="Arial"/>
          <w:iCs/>
          <w:szCs w:val="20"/>
          <w:lang w:val="pt-BR"/>
        </w:rPr>
        <w:t>qualquer</w:t>
      </w:r>
      <w:r w:rsidR="004B0842" w:rsidRPr="00D5464D">
        <w:rPr>
          <w:rFonts w:cs="Arial"/>
          <w:iCs/>
          <w:szCs w:val="20"/>
          <w:lang w:val="pt-BR"/>
        </w:rPr>
        <w:t xml:space="preserve"> tipo de </w:t>
      </w:r>
      <w:r w:rsidR="004012FE" w:rsidRPr="00D5464D">
        <w:rPr>
          <w:rFonts w:cs="Arial"/>
          <w:iCs/>
          <w:szCs w:val="20"/>
          <w:lang w:val="pt-BR"/>
        </w:rPr>
        <w:t xml:space="preserve">tráfico </w:t>
      </w:r>
      <w:r w:rsidR="00470ADC" w:rsidRPr="00D5464D">
        <w:rPr>
          <w:rFonts w:cs="Arial"/>
          <w:iCs/>
          <w:szCs w:val="20"/>
          <w:lang w:val="pt-BR"/>
        </w:rPr>
        <w:t xml:space="preserve">com fins </w:t>
      </w:r>
      <w:r w:rsidR="004B0842" w:rsidRPr="00D5464D">
        <w:rPr>
          <w:rFonts w:cs="Arial"/>
          <w:iCs/>
          <w:szCs w:val="20"/>
          <w:lang w:val="pt-BR"/>
        </w:rPr>
        <w:t xml:space="preserve">de </w:t>
      </w:r>
      <w:r w:rsidR="00230C71" w:rsidRPr="00D5464D">
        <w:rPr>
          <w:rFonts w:cs="Arial"/>
          <w:iCs/>
          <w:szCs w:val="20"/>
          <w:lang w:val="pt-BR"/>
        </w:rPr>
        <w:t>exploração</w:t>
      </w:r>
      <w:r w:rsidR="004B0842" w:rsidRPr="00D5464D">
        <w:rPr>
          <w:rFonts w:cs="Arial"/>
          <w:iCs/>
          <w:szCs w:val="20"/>
          <w:lang w:val="pt-BR"/>
        </w:rPr>
        <w:t xml:space="preserve"> </w:t>
      </w:r>
      <w:r w:rsidR="00470ADC" w:rsidRPr="00D5464D">
        <w:rPr>
          <w:rFonts w:cs="Arial"/>
          <w:iCs/>
          <w:szCs w:val="20"/>
          <w:lang w:val="pt-BR"/>
        </w:rPr>
        <w:t>econômic</w:t>
      </w:r>
      <w:r w:rsidR="004B0842" w:rsidRPr="00D5464D">
        <w:rPr>
          <w:rFonts w:cs="Arial"/>
          <w:iCs/>
          <w:szCs w:val="20"/>
          <w:lang w:val="pt-BR"/>
        </w:rPr>
        <w:t>a.</w:t>
      </w:r>
    </w:p>
    <w:p w14:paraId="05A6BE9C" w14:textId="77777777" w:rsidR="00747A03" w:rsidRPr="00D5464D" w:rsidRDefault="00747A03" w:rsidP="00747A03">
      <w:pPr>
        <w:pStyle w:val="Prrafodelista"/>
        <w:autoSpaceDE w:val="0"/>
        <w:autoSpaceDN w:val="0"/>
        <w:adjustRightInd w:val="0"/>
        <w:ind w:left="0"/>
        <w:rPr>
          <w:rFonts w:cs="Arial"/>
          <w:iCs/>
          <w:szCs w:val="20"/>
          <w:lang w:val="pt-BR"/>
        </w:rPr>
      </w:pPr>
    </w:p>
    <w:p w14:paraId="07FCD1F7" w14:textId="71FB6525" w:rsidR="004B0842" w:rsidRPr="00D5464D" w:rsidRDefault="00470ADC"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O </w:t>
      </w:r>
      <w:r w:rsidR="004B0842" w:rsidRPr="00D5464D">
        <w:rPr>
          <w:rFonts w:cs="Arial"/>
          <w:b/>
          <w:i/>
          <w:iCs/>
          <w:szCs w:val="20"/>
          <w:lang w:val="pt-BR"/>
        </w:rPr>
        <w:t>Estado</w:t>
      </w:r>
      <w:r w:rsidR="004B0842" w:rsidRPr="00D5464D">
        <w:rPr>
          <w:rFonts w:cs="Arial"/>
          <w:iCs/>
          <w:szCs w:val="20"/>
          <w:lang w:val="pt-BR"/>
        </w:rPr>
        <w:t xml:space="preserve"> </w:t>
      </w:r>
      <w:r w:rsidRPr="00D5464D">
        <w:rPr>
          <w:rFonts w:cs="Arial"/>
          <w:iCs/>
          <w:szCs w:val="20"/>
          <w:lang w:val="pt-BR"/>
        </w:rPr>
        <w:t>argumentou</w:t>
      </w:r>
      <w:r w:rsidR="004B0842" w:rsidRPr="00D5464D">
        <w:rPr>
          <w:rFonts w:cs="Arial"/>
          <w:iCs/>
          <w:szCs w:val="20"/>
          <w:lang w:val="pt-BR"/>
        </w:rPr>
        <w:t xml:space="preserve"> que esta peti</w:t>
      </w:r>
      <w:r w:rsidRPr="00D5464D">
        <w:rPr>
          <w:rFonts w:cs="Arial"/>
          <w:iCs/>
          <w:szCs w:val="20"/>
          <w:lang w:val="pt-BR"/>
        </w:rPr>
        <w:t>ção</w:t>
      </w:r>
      <w:r w:rsidR="004B0842" w:rsidRPr="00D5464D">
        <w:rPr>
          <w:rFonts w:cs="Arial"/>
          <w:iCs/>
          <w:szCs w:val="20"/>
          <w:lang w:val="pt-BR"/>
        </w:rPr>
        <w:t xml:space="preserve"> se </w:t>
      </w:r>
      <w:r w:rsidRPr="00D5464D">
        <w:rPr>
          <w:rFonts w:cs="Arial"/>
          <w:iCs/>
          <w:szCs w:val="20"/>
          <w:lang w:val="pt-BR"/>
        </w:rPr>
        <w:t xml:space="preserve">encontra fora da </w:t>
      </w:r>
      <w:r w:rsidR="002C330E" w:rsidRPr="00D5464D">
        <w:rPr>
          <w:rFonts w:cs="Arial"/>
          <w:iCs/>
          <w:szCs w:val="20"/>
          <w:lang w:val="pt-BR"/>
        </w:rPr>
        <w:t>jurisdição</w:t>
      </w:r>
      <w:r w:rsidRPr="00D5464D">
        <w:rPr>
          <w:rFonts w:cs="Arial"/>
          <w:iCs/>
          <w:szCs w:val="20"/>
          <w:lang w:val="pt-BR"/>
        </w:rPr>
        <w:t xml:space="preserve"> </w:t>
      </w:r>
      <w:r w:rsidR="004012FE" w:rsidRPr="00D5464D">
        <w:rPr>
          <w:rFonts w:cs="Arial"/>
          <w:i/>
          <w:iCs/>
          <w:szCs w:val="20"/>
          <w:lang w:val="pt-BR"/>
        </w:rPr>
        <w:t>ratione materiae</w:t>
      </w:r>
      <w:r w:rsidR="004012FE" w:rsidRPr="00D5464D">
        <w:rPr>
          <w:rFonts w:cs="Arial"/>
          <w:iCs/>
          <w:szCs w:val="20"/>
          <w:lang w:val="pt-BR"/>
        </w:rPr>
        <w:t xml:space="preserve"> </w:t>
      </w:r>
      <w:r w:rsidRPr="00D5464D">
        <w:rPr>
          <w:rFonts w:cs="Arial"/>
          <w:iCs/>
          <w:szCs w:val="20"/>
          <w:lang w:val="pt-BR"/>
        </w:rPr>
        <w:t xml:space="preserve">da </w:t>
      </w:r>
      <w:r w:rsidR="004B0842" w:rsidRPr="00D5464D">
        <w:rPr>
          <w:rFonts w:cs="Arial"/>
          <w:iCs/>
          <w:szCs w:val="20"/>
          <w:lang w:val="pt-BR"/>
        </w:rPr>
        <w:t xml:space="preserve">Corte. </w:t>
      </w:r>
      <w:r w:rsidR="002C330E" w:rsidRPr="00D5464D">
        <w:rPr>
          <w:rFonts w:cs="Arial"/>
          <w:iCs/>
          <w:szCs w:val="20"/>
          <w:lang w:val="pt-BR"/>
        </w:rPr>
        <w:t>Afirmou</w:t>
      </w:r>
      <w:r w:rsidR="004B0842" w:rsidRPr="00D5464D">
        <w:rPr>
          <w:rFonts w:cs="Arial"/>
          <w:iCs/>
          <w:szCs w:val="20"/>
          <w:lang w:val="pt-BR"/>
        </w:rPr>
        <w:t xml:space="preserve"> que</w:t>
      </w:r>
      <w:r w:rsidR="002C330E" w:rsidRPr="00D5464D">
        <w:rPr>
          <w:rFonts w:cs="Arial"/>
          <w:iCs/>
          <w:szCs w:val="20"/>
          <w:lang w:val="pt-BR"/>
        </w:rPr>
        <w:t xml:space="preserve"> os </w:t>
      </w:r>
      <w:r w:rsidR="00EB1CE9" w:rsidRPr="00D5464D">
        <w:rPr>
          <w:rFonts w:cs="Arial"/>
          <w:iCs/>
          <w:szCs w:val="20"/>
          <w:lang w:val="pt-BR"/>
        </w:rPr>
        <w:t>representante</w:t>
      </w:r>
      <w:r w:rsidR="004B0842" w:rsidRPr="00D5464D">
        <w:rPr>
          <w:rFonts w:cs="Arial"/>
          <w:iCs/>
          <w:szCs w:val="20"/>
          <w:lang w:val="pt-BR"/>
        </w:rPr>
        <w:t xml:space="preserve">s </w:t>
      </w:r>
      <w:r w:rsidR="00737270" w:rsidRPr="00D5464D">
        <w:rPr>
          <w:rFonts w:cs="Arial"/>
          <w:iCs/>
          <w:szCs w:val="20"/>
          <w:lang w:val="pt-BR"/>
        </w:rPr>
        <w:t xml:space="preserve">não </w:t>
      </w:r>
      <w:r w:rsidR="00230C71" w:rsidRPr="00D5464D">
        <w:rPr>
          <w:rFonts w:cs="Arial"/>
          <w:iCs/>
          <w:szCs w:val="20"/>
          <w:lang w:val="pt-BR"/>
        </w:rPr>
        <w:t xml:space="preserve">podem </w:t>
      </w:r>
      <w:r w:rsidR="004B0842" w:rsidRPr="00D5464D">
        <w:rPr>
          <w:rFonts w:cs="Arial"/>
          <w:iCs/>
          <w:szCs w:val="20"/>
          <w:lang w:val="pt-BR"/>
        </w:rPr>
        <w:t>solicitar</w:t>
      </w:r>
      <w:r w:rsidRPr="00D5464D">
        <w:rPr>
          <w:rFonts w:cs="Arial"/>
          <w:iCs/>
          <w:szCs w:val="20"/>
          <w:lang w:val="pt-BR"/>
        </w:rPr>
        <w:t xml:space="preserve"> à </w:t>
      </w:r>
      <w:r w:rsidR="004B0842" w:rsidRPr="00D5464D">
        <w:rPr>
          <w:rFonts w:cs="Arial"/>
          <w:iCs/>
          <w:szCs w:val="20"/>
          <w:lang w:val="pt-BR"/>
        </w:rPr>
        <w:t xml:space="preserve">Corte que declare </w:t>
      </w:r>
      <w:r w:rsidRPr="00D5464D">
        <w:rPr>
          <w:rFonts w:cs="Arial"/>
          <w:iCs/>
          <w:szCs w:val="20"/>
          <w:lang w:val="pt-BR"/>
        </w:rPr>
        <w:t>eventuais</w:t>
      </w:r>
      <w:r w:rsidR="004B0842" w:rsidRPr="00D5464D">
        <w:rPr>
          <w:rFonts w:cs="Arial"/>
          <w:iCs/>
          <w:szCs w:val="20"/>
          <w:lang w:val="pt-BR"/>
        </w:rPr>
        <w:t xml:space="preserve"> </w:t>
      </w:r>
      <w:r w:rsidR="002C330E" w:rsidRPr="00D5464D">
        <w:rPr>
          <w:rFonts w:cs="Arial"/>
          <w:iCs/>
          <w:szCs w:val="20"/>
          <w:lang w:val="pt-BR"/>
        </w:rPr>
        <w:t>descumprimento</w:t>
      </w:r>
      <w:r w:rsidR="004B0842" w:rsidRPr="00D5464D">
        <w:rPr>
          <w:rFonts w:cs="Arial"/>
          <w:iCs/>
          <w:szCs w:val="20"/>
          <w:lang w:val="pt-BR"/>
        </w:rPr>
        <w:t xml:space="preserve">s </w:t>
      </w:r>
      <w:r w:rsidR="004012FE" w:rsidRPr="00D5464D">
        <w:rPr>
          <w:rFonts w:cs="Arial"/>
          <w:iCs/>
          <w:szCs w:val="20"/>
          <w:lang w:val="pt-BR"/>
        </w:rPr>
        <w:t xml:space="preserve">de </w:t>
      </w:r>
      <w:r w:rsidR="00E045D9" w:rsidRPr="00D5464D">
        <w:rPr>
          <w:rFonts w:cs="Arial"/>
          <w:iCs/>
          <w:szCs w:val="20"/>
          <w:lang w:val="pt-BR"/>
        </w:rPr>
        <w:t>sua obrigação</w:t>
      </w:r>
      <w:r w:rsidR="004B0842" w:rsidRPr="00D5464D">
        <w:rPr>
          <w:rFonts w:cs="Arial"/>
          <w:iCs/>
          <w:szCs w:val="20"/>
          <w:lang w:val="pt-BR"/>
        </w:rPr>
        <w:t xml:space="preserve"> de criminalizar</w:t>
      </w:r>
      <w:r w:rsidR="002C330E" w:rsidRPr="00D5464D">
        <w:rPr>
          <w:rFonts w:cs="Arial"/>
          <w:iCs/>
          <w:szCs w:val="20"/>
          <w:lang w:val="pt-BR"/>
        </w:rPr>
        <w:t xml:space="preserve"> </w:t>
      </w:r>
      <w:r w:rsidR="004F1CC2" w:rsidRPr="00D5464D">
        <w:rPr>
          <w:rFonts w:cs="Arial"/>
          <w:iCs/>
          <w:szCs w:val="20"/>
          <w:lang w:val="pt-BR"/>
        </w:rPr>
        <w:t>o tráfico de pessoas</w:t>
      </w:r>
      <w:r w:rsidR="004B0842" w:rsidRPr="00D5464D">
        <w:rPr>
          <w:rFonts w:cs="Arial"/>
          <w:iCs/>
          <w:szCs w:val="20"/>
          <w:lang w:val="pt-BR"/>
        </w:rPr>
        <w:t xml:space="preserve">. </w:t>
      </w:r>
      <w:r w:rsidRPr="00D5464D">
        <w:rPr>
          <w:rFonts w:cs="Arial"/>
          <w:iCs/>
          <w:szCs w:val="20"/>
          <w:lang w:val="pt-BR"/>
        </w:rPr>
        <w:t>Ademais</w:t>
      </w:r>
      <w:r w:rsidR="004B0842" w:rsidRPr="00D5464D">
        <w:rPr>
          <w:rFonts w:cs="Arial"/>
          <w:iCs/>
          <w:szCs w:val="20"/>
          <w:lang w:val="pt-BR"/>
        </w:rPr>
        <w:t xml:space="preserve">, </w:t>
      </w:r>
      <w:r w:rsidRPr="00D5464D">
        <w:rPr>
          <w:rFonts w:cs="Arial"/>
          <w:iCs/>
          <w:szCs w:val="20"/>
          <w:lang w:val="pt-BR"/>
        </w:rPr>
        <w:t>afirmou</w:t>
      </w:r>
      <w:r w:rsidR="004B0842" w:rsidRPr="00D5464D">
        <w:rPr>
          <w:rFonts w:cs="Arial"/>
          <w:iCs/>
          <w:szCs w:val="20"/>
          <w:lang w:val="pt-BR"/>
        </w:rPr>
        <w:t xml:space="preserve"> que</w:t>
      </w:r>
      <w:r w:rsidRPr="00D5464D">
        <w:rPr>
          <w:rFonts w:cs="Arial"/>
          <w:iCs/>
          <w:szCs w:val="20"/>
          <w:lang w:val="pt-BR"/>
        </w:rPr>
        <w:t xml:space="preserve"> o </w:t>
      </w:r>
      <w:r w:rsidR="00E045D9" w:rsidRPr="00D5464D">
        <w:rPr>
          <w:rFonts w:cs="Arial"/>
          <w:iCs/>
          <w:szCs w:val="20"/>
          <w:lang w:val="pt-BR"/>
        </w:rPr>
        <w:t>trabalho</w:t>
      </w:r>
      <w:r w:rsidR="004B0842" w:rsidRPr="00D5464D">
        <w:rPr>
          <w:rFonts w:cs="Arial"/>
          <w:iCs/>
          <w:szCs w:val="20"/>
          <w:lang w:val="pt-BR"/>
        </w:rPr>
        <w:t xml:space="preserve"> </w:t>
      </w:r>
      <w:r w:rsidR="004F1CC2" w:rsidRPr="00D5464D">
        <w:rPr>
          <w:rFonts w:cs="Arial"/>
          <w:iCs/>
          <w:szCs w:val="20"/>
          <w:lang w:val="pt-BR"/>
        </w:rPr>
        <w:t>escravo</w:t>
      </w:r>
      <w:r w:rsidR="00E045D9" w:rsidRPr="00D5464D">
        <w:rPr>
          <w:rFonts w:cs="Arial"/>
          <w:iCs/>
          <w:szCs w:val="20"/>
          <w:lang w:val="pt-BR"/>
        </w:rPr>
        <w:t xml:space="preserve"> e </w:t>
      </w:r>
      <w:r w:rsidR="004F1CC2" w:rsidRPr="00D5464D">
        <w:rPr>
          <w:rFonts w:cs="Arial"/>
          <w:iCs/>
          <w:szCs w:val="20"/>
          <w:lang w:val="pt-BR"/>
        </w:rPr>
        <w:t>o tráfico de pessoas</w:t>
      </w:r>
      <w:r w:rsidR="002C330E" w:rsidRPr="00D5464D">
        <w:rPr>
          <w:rFonts w:cs="Arial"/>
          <w:iCs/>
          <w:szCs w:val="20"/>
          <w:lang w:val="pt-BR"/>
        </w:rPr>
        <w:t xml:space="preserve"> são </w:t>
      </w:r>
      <w:r w:rsidRPr="00D5464D">
        <w:rPr>
          <w:rFonts w:cs="Arial"/>
          <w:iCs/>
          <w:szCs w:val="20"/>
          <w:lang w:val="pt-BR"/>
        </w:rPr>
        <w:t>conceito</w:t>
      </w:r>
      <w:r w:rsidR="004B0842" w:rsidRPr="00D5464D">
        <w:rPr>
          <w:rFonts w:cs="Arial"/>
          <w:iCs/>
          <w:szCs w:val="20"/>
          <w:lang w:val="pt-BR"/>
        </w:rPr>
        <w:t>s distintos</w:t>
      </w:r>
      <w:r w:rsidR="00E045D9" w:rsidRPr="00D5464D">
        <w:rPr>
          <w:rFonts w:cs="Arial"/>
          <w:iCs/>
          <w:szCs w:val="20"/>
          <w:lang w:val="pt-BR"/>
        </w:rPr>
        <w:t xml:space="preserve"> e </w:t>
      </w:r>
      <w:r w:rsidRPr="00D5464D">
        <w:rPr>
          <w:rFonts w:cs="Arial"/>
          <w:iCs/>
          <w:szCs w:val="20"/>
          <w:lang w:val="pt-BR"/>
        </w:rPr>
        <w:t xml:space="preserve">o </w:t>
      </w:r>
      <w:r w:rsidR="004B0842" w:rsidRPr="00D5464D">
        <w:rPr>
          <w:rFonts w:cs="Arial"/>
          <w:iCs/>
          <w:szCs w:val="20"/>
          <w:lang w:val="pt-BR"/>
        </w:rPr>
        <w:t xml:space="preserve">presente caso se </w:t>
      </w:r>
      <w:r w:rsidR="00C176E3" w:rsidRPr="00D5464D">
        <w:rPr>
          <w:rFonts w:cs="Arial"/>
          <w:iCs/>
          <w:szCs w:val="20"/>
          <w:lang w:val="pt-BR"/>
        </w:rPr>
        <w:t>refere</w:t>
      </w:r>
      <w:r w:rsidR="004B0842" w:rsidRPr="00D5464D">
        <w:rPr>
          <w:rFonts w:cs="Arial"/>
          <w:iCs/>
          <w:szCs w:val="20"/>
          <w:lang w:val="pt-BR"/>
        </w:rPr>
        <w:t xml:space="preserve"> </w:t>
      </w:r>
      <w:r w:rsidR="00E045D9" w:rsidRPr="00D5464D">
        <w:rPr>
          <w:rFonts w:cs="Arial"/>
          <w:iCs/>
          <w:szCs w:val="20"/>
          <w:lang w:val="pt-BR"/>
        </w:rPr>
        <w:t>unicamente</w:t>
      </w:r>
      <w:r w:rsidR="004B0842" w:rsidRPr="00D5464D">
        <w:rPr>
          <w:rFonts w:cs="Arial"/>
          <w:iCs/>
          <w:szCs w:val="20"/>
          <w:lang w:val="pt-BR"/>
        </w:rPr>
        <w:t xml:space="preserve"> </w:t>
      </w:r>
      <w:r w:rsidR="00037051" w:rsidRPr="00D5464D">
        <w:rPr>
          <w:rFonts w:cs="Arial"/>
          <w:iCs/>
          <w:szCs w:val="20"/>
          <w:lang w:val="pt-BR"/>
        </w:rPr>
        <w:t xml:space="preserve">ao </w:t>
      </w:r>
      <w:r w:rsidR="002C330E" w:rsidRPr="00D5464D">
        <w:rPr>
          <w:rFonts w:cs="Arial"/>
          <w:iCs/>
          <w:szCs w:val="20"/>
          <w:lang w:val="pt-BR"/>
        </w:rPr>
        <w:t>primeiro</w:t>
      </w:r>
      <w:r w:rsidR="00126C03" w:rsidRPr="00D5464D">
        <w:rPr>
          <w:rFonts w:cs="Arial"/>
          <w:iCs/>
          <w:szCs w:val="20"/>
          <w:lang w:val="pt-BR"/>
        </w:rPr>
        <w:t>.</w:t>
      </w:r>
      <w:r w:rsidR="004B0842" w:rsidRPr="00D5464D">
        <w:rPr>
          <w:rFonts w:cs="Arial"/>
          <w:iCs/>
          <w:szCs w:val="20"/>
          <w:lang w:val="pt-BR"/>
        </w:rPr>
        <w:t xml:space="preserve"> </w:t>
      </w:r>
    </w:p>
    <w:p w14:paraId="6BCC6B23" w14:textId="77777777" w:rsidR="00747A03" w:rsidRPr="00D5464D" w:rsidRDefault="00747A03" w:rsidP="00747A03">
      <w:pPr>
        <w:pStyle w:val="Prrafodelista"/>
        <w:autoSpaceDE w:val="0"/>
        <w:autoSpaceDN w:val="0"/>
        <w:adjustRightInd w:val="0"/>
        <w:ind w:left="0"/>
        <w:rPr>
          <w:rFonts w:cs="Arial"/>
          <w:iCs/>
          <w:szCs w:val="20"/>
          <w:lang w:val="pt-BR"/>
        </w:rPr>
      </w:pPr>
    </w:p>
    <w:p w14:paraId="3A09C0AF" w14:textId="3577B92E" w:rsidR="004B0842" w:rsidRPr="00D5464D" w:rsidRDefault="00470ADC" w:rsidP="004012FE">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A </w:t>
      </w:r>
      <w:r w:rsidR="004B0842" w:rsidRPr="00D5464D">
        <w:rPr>
          <w:rFonts w:cs="Arial"/>
          <w:iCs/>
          <w:szCs w:val="20"/>
          <w:lang w:val="pt-BR"/>
        </w:rPr>
        <w:t>Corte considera que</w:t>
      </w:r>
      <w:r w:rsidRPr="00D5464D">
        <w:rPr>
          <w:rFonts w:cs="Arial"/>
          <w:iCs/>
          <w:szCs w:val="20"/>
          <w:lang w:val="pt-BR"/>
        </w:rPr>
        <w:t xml:space="preserve"> o</w:t>
      </w:r>
      <w:r w:rsidR="002C330E" w:rsidRPr="00D5464D">
        <w:rPr>
          <w:rFonts w:cs="Arial"/>
          <w:iCs/>
          <w:szCs w:val="20"/>
          <w:lang w:val="pt-BR"/>
        </w:rPr>
        <w:t xml:space="preserve"> fato </w:t>
      </w:r>
      <w:r w:rsidR="00126C03" w:rsidRPr="00D5464D">
        <w:rPr>
          <w:rFonts w:cs="Arial"/>
          <w:iCs/>
          <w:szCs w:val="20"/>
          <w:lang w:val="pt-BR"/>
        </w:rPr>
        <w:t xml:space="preserve">de </w:t>
      </w:r>
      <w:r w:rsidR="00D75CDB" w:rsidRPr="00D5464D">
        <w:rPr>
          <w:rFonts w:cs="Arial"/>
          <w:iCs/>
          <w:szCs w:val="20"/>
          <w:lang w:val="pt-BR"/>
        </w:rPr>
        <w:t xml:space="preserve">o tráfico </w:t>
      </w:r>
      <w:r w:rsidR="004012FE" w:rsidRPr="00D5464D">
        <w:rPr>
          <w:rFonts w:cs="Arial"/>
          <w:iCs/>
          <w:szCs w:val="20"/>
          <w:lang w:val="pt-BR"/>
        </w:rPr>
        <w:t xml:space="preserve">estar </w:t>
      </w:r>
      <w:r w:rsidR="004B0842" w:rsidRPr="00D5464D">
        <w:rPr>
          <w:rFonts w:cs="Arial"/>
          <w:iCs/>
          <w:szCs w:val="20"/>
          <w:lang w:val="pt-BR"/>
        </w:rPr>
        <w:t>tipificad</w:t>
      </w:r>
      <w:r w:rsidR="004012FE" w:rsidRPr="00D5464D">
        <w:rPr>
          <w:rFonts w:cs="Arial"/>
          <w:iCs/>
          <w:szCs w:val="20"/>
          <w:lang w:val="pt-BR"/>
        </w:rPr>
        <w:t>o</w:t>
      </w:r>
      <w:r w:rsidR="004B0842" w:rsidRPr="00D5464D">
        <w:rPr>
          <w:rFonts w:cs="Arial"/>
          <w:iCs/>
          <w:szCs w:val="20"/>
          <w:lang w:val="pt-BR"/>
        </w:rPr>
        <w:t xml:space="preserve"> </w:t>
      </w:r>
      <w:r w:rsidR="00E045D9" w:rsidRPr="00D5464D">
        <w:rPr>
          <w:rFonts w:cs="Arial"/>
          <w:iCs/>
          <w:szCs w:val="20"/>
          <w:lang w:val="pt-BR"/>
        </w:rPr>
        <w:t>unicamente</w:t>
      </w:r>
      <w:r w:rsidR="004B0842" w:rsidRPr="00D5464D">
        <w:rPr>
          <w:rFonts w:cs="Arial"/>
          <w:iCs/>
          <w:szCs w:val="20"/>
          <w:lang w:val="pt-BR"/>
        </w:rPr>
        <w:t xml:space="preserve"> para</w:t>
      </w:r>
      <w:r w:rsidRPr="00D5464D">
        <w:rPr>
          <w:rFonts w:cs="Arial"/>
          <w:iCs/>
          <w:szCs w:val="20"/>
          <w:lang w:val="pt-BR"/>
        </w:rPr>
        <w:t xml:space="preserve"> fins </w:t>
      </w:r>
      <w:r w:rsidR="004B0842" w:rsidRPr="00D5464D">
        <w:rPr>
          <w:rFonts w:cs="Arial"/>
          <w:iCs/>
          <w:szCs w:val="20"/>
          <w:lang w:val="pt-BR"/>
        </w:rPr>
        <w:t xml:space="preserve">de </w:t>
      </w:r>
      <w:r w:rsidR="00230C71" w:rsidRPr="00D5464D">
        <w:rPr>
          <w:rFonts w:cs="Arial"/>
          <w:iCs/>
          <w:szCs w:val="20"/>
          <w:lang w:val="pt-BR"/>
        </w:rPr>
        <w:t>exploração</w:t>
      </w:r>
      <w:r w:rsidR="004B0842" w:rsidRPr="00D5464D">
        <w:rPr>
          <w:rFonts w:cs="Arial"/>
          <w:iCs/>
          <w:szCs w:val="20"/>
          <w:lang w:val="pt-BR"/>
        </w:rPr>
        <w:t xml:space="preserve"> sexual</w:t>
      </w:r>
      <w:r w:rsidR="00350187" w:rsidRPr="00D5464D">
        <w:rPr>
          <w:rFonts w:cs="Arial"/>
          <w:iCs/>
          <w:szCs w:val="20"/>
          <w:lang w:val="pt-BR"/>
        </w:rPr>
        <w:t xml:space="preserve"> não teve</w:t>
      </w:r>
      <w:r w:rsidR="004B0842" w:rsidRPr="00D5464D">
        <w:rPr>
          <w:rFonts w:cs="Arial"/>
          <w:iCs/>
          <w:szCs w:val="20"/>
          <w:lang w:val="pt-BR"/>
        </w:rPr>
        <w:t xml:space="preserve"> </w:t>
      </w:r>
      <w:r w:rsidR="002C330E" w:rsidRPr="00D5464D">
        <w:rPr>
          <w:rFonts w:cs="Arial"/>
          <w:iCs/>
          <w:szCs w:val="20"/>
          <w:lang w:val="pt-BR"/>
        </w:rPr>
        <w:t xml:space="preserve">maior </w:t>
      </w:r>
      <w:r w:rsidR="00230C71" w:rsidRPr="00D5464D">
        <w:rPr>
          <w:rFonts w:cs="Arial"/>
          <w:iCs/>
          <w:szCs w:val="20"/>
          <w:lang w:val="pt-BR"/>
        </w:rPr>
        <w:t>incidência</w:t>
      </w:r>
      <w:r w:rsidR="00E045D9" w:rsidRPr="00D5464D">
        <w:rPr>
          <w:rFonts w:cs="Arial"/>
          <w:iCs/>
          <w:szCs w:val="20"/>
          <w:lang w:val="pt-BR"/>
        </w:rPr>
        <w:t xml:space="preserve"> no </w:t>
      </w:r>
      <w:r w:rsidR="004B0842" w:rsidRPr="00D5464D">
        <w:rPr>
          <w:rFonts w:cs="Arial"/>
          <w:iCs/>
          <w:szCs w:val="20"/>
          <w:lang w:val="pt-BR"/>
        </w:rPr>
        <w:t>presente caso</w:t>
      </w:r>
      <w:r w:rsidR="00A1358C" w:rsidRPr="00D5464D">
        <w:rPr>
          <w:rFonts w:cs="Arial"/>
          <w:iCs/>
          <w:szCs w:val="20"/>
          <w:lang w:val="pt-BR"/>
        </w:rPr>
        <w:t xml:space="preserve">. </w:t>
      </w:r>
      <w:r w:rsidR="004012FE" w:rsidRPr="00D5464D">
        <w:rPr>
          <w:rFonts w:cs="Arial"/>
          <w:iCs/>
          <w:szCs w:val="20"/>
          <w:lang w:val="pt-BR"/>
        </w:rPr>
        <w:t xml:space="preserve">No parecer </w:t>
      </w:r>
      <w:r w:rsidRPr="00D5464D">
        <w:rPr>
          <w:rFonts w:cs="Arial"/>
          <w:iCs/>
          <w:szCs w:val="20"/>
          <w:lang w:val="pt-BR"/>
        </w:rPr>
        <w:t xml:space="preserve">da </w:t>
      </w:r>
      <w:r w:rsidR="004B0842" w:rsidRPr="00D5464D">
        <w:rPr>
          <w:rFonts w:cs="Arial"/>
          <w:iCs/>
          <w:szCs w:val="20"/>
          <w:lang w:val="pt-BR"/>
        </w:rPr>
        <w:t>Corte</w:t>
      </w:r>
      <w:r w:rsidR="004012FE" w:rsidRPr="00D5464D">
        <w:rPr>
          <w:rFonts w:cs="Arial"/>
          <w:iCs/>
          <w:szCs w:val="20"/>
          <w:lang w:val="pt-BR"/>
        </w:rPr>
        <w:t>,</w:t>
      </w:r>
      <w:r w:rsidR="002C330E" w:rsidRPr="00D5464D">
        <w:rPr>
          <w:rFonts w:cs="Arial"/>
          <w:iCs/>
          <w:szCs w:val="20"/>
          <w:lang w:val="pt-BR"/>
        </w:rPr>
        <w:t xml:space="preserve"> os </w:t>
      </w:r>
      <w:r w:rsidR="004012FE" w:rsidRPr="00D5464D">
        <w:rPr>
          <w:rFonts w:cs="Arial"/>
          <w:iCs/>
          <w:szCs w:val="20"/>
          <w:lang w:val="pt-BR"/>
        </w:rPr>
        <w:t>pres</w:t>
      </w:r>
      <w:r w:rsidR="004B0842" w:rsidRPr="00D5464D">
        <w:rPr>
          <w:rFonts w:cs="Arial"/>
          <w:iCs/>
          <w:szCs w:val="20"/>
          <w:lang w:val="pt-BR"/>
        </w:rPr>
        <w:t>su</w:t>
      </w:r>
      <w:r w:rsidR="002C330E" w:rsidRPr="00D5464D">
        <w:rPr>
          <w:rFonts w:cs="Arial"/>
          <w:iCs/>
          <w:szCs w:val="20"/>
          <w:lang w:val="pt-BR"/>
        </w:rPr>
        <w:t>posto</w:t>
      </w:r>
      <w:r w:rsidR="004B0842" w:rsidRPr="00D5464D">
        <w:rPr>
          <w:rFonts w:cs="Arial"/>
          <w:iCs/>
          <w:szCs w:val="20"/>
          <w:lang w:val="pt-BR"/>
        </w:rPr>
        <w:t>s</w:t>
      </w:r>
      <w:r w:rsidRPr="00D5464D">
        <w:rPr>
          <w:rFonts w:cs="Arial"/>
          <w:iCs/>
          <w:szCs w:val="20"/>
          <w:lang w:val="pt-BR"/>
        </w:rPr>
        <w:t xml:space="preserve"> d</w:t>
      </w:r>
      <w:r w:rsidR="004F1CC2" w:rsidRPr="00D5464D">
        <w:rPr>
          <w:rFonts w:cs="Arial"/>
          <w:iCs/>
          <w:szCs w:val="20"/>
          <w:lang w:val="pt-BR"/>
        </w:rPr>
        <w:t>o tráfico de pessoas</w:t>
      </w:r>
      <w:r w:rsidR="004B0842" w:rsidRPr="00D5464D">
        <w:rPr>
          <w:rFonts w:cs="Arial"/>
          <w:iCs/>
          <w:szCs w:val="20"/>
          <w:lang w:val="pt-BR"/>
        </w:rPr>
        <w:t xml:space="preserve"> </w:t>
      </w:r>
      <w:r w:rsidR="002C330E" w:rsidRPr="00D5464D">
        <w:rPr>
          <w:rFonts w:cs="Arial"/>
          <w:iCs/>
          <w:szCs w:val="20"/>
          <w:lang w:val="pt-BR"/>
        </w:rPr>
        <w:t>ocorrid</w:t>
      </w:r>
      <w:r w:rsidR="004012FE" w:rsidRPr="00D5464D">
        <w:rPr>
          <w:rFonts w:cs="Arial"/>
          <w:iCs/>
          <w:szCs w:val="20"/>
          <w:lang w:val="pt-BR"/>
        </w:rPr>
        <w:t>o</w:t>
      </w:r>
      <w:r w:rsidR="00E045D9" w:rsidRPr="00D5464D">
        <w:rPr>
          <w:rFonts w:cs="Arial"/>
          <w:iCs/>
          <w:szCs w:val="20"/>
          <w:lang w:val="pt-BR"/>
        </w:rPr>
        <w:t xml:space="preserve"> no </w:t>
      </w:r>
      <w:r w:rsidR="004B0842" w:rsidRPr="00D5464D">
        <w:rPr>
          <w:rFonts w:cs="Arial"/>
          <w:iCs/>
          <w:szCs w:val="20"/>
          <w:lang w:val="pt-BR"/>
        </w:rPr>
        <w:t xml:space="preserve">presente caso se </w:t>
      </w:r>
      <w:r w:rsidRPr="00D5464D">
        <w:rPr>
          <w:rFonts w:cs="Arial"/>
          <w:iCs/>
          <w:szCs w:val="20"/>
          <w:lang w:val="pt-BR"/>
        </w:rPr>
        <w:t>encontra</w:t>
      </w:r>
      <w:r w:rsidR="004012FE" w:rsidRPr="00D5464D">
        <w:rPr>
          <w:rFonts w:cs="Arial"/>
          <w:iCs/>
          <w:szCs w:val="20"/>
          <w:lang w:val="pt-BR"/>
        </w:rPr>
        <w:t>va</w:t>
      </w:r>
      <w:r w:rsidRPr="00D5464D">
        <w:rPr>
          <w:rFonts w:cs="Arial"/>
          <w:iCs/>
          <w:szCs w:val="20"/>
          <w:lang w:val="pt-BR"/>
        </w:rPr>
        <w:t>m</w:t>
      </w:r>
      <w:r w:rsidR="004B0842" w:rsidRPr="00D5464D">
        <w:rPr>
          <w:rFonts w:cs="Arial"/>
          <w:iCs/>
          <w:szCs w:val="20"/>
          <w:lang w:val="pt-BR"/>
        </w:rPr>
        <w:t xml:space="preserve"> </w:t>
      </w:r>
      <w:r w:rsidRPr="00D5464D">
        <w:rPr>
          <w:rFonts w:cs="Arial"/>
          <w:iCs/>
          <w:szCs w:val="20"/>
          <w:lang w:val="pt-BR"/>
        </w:rPr>
        <w:t>coberto</w:t>
      </w:r>
      <w:r w:rsidR="004B0842" w:rsidRPr="00D5464D">
        <w:rPr>
          <w:rFonts w:cs="Arial"/>
          <w:iCs/>
          <w:szCs w:val="20"/>
          <w:lang w:val="pt-BR"/>
        </w:rPr>
        <w:t>s</w:t>
      </w:r>
      <w:r w:rsidR="002C330E" w:rsidRPr="00D5464D">
        <w:rPr>
          <w:rFonts w:cs="Arial"/>
          <w:iCs/>
          <w:szCs w:val="20"/>
          <w:lang w:val="pt-BR"/>
        </w:rPr>
        <w:t xml:space="preserve"> pelo </w:t>
      </w:r>
      <w:r w:rsidRPr="00D5464D">
        <w:rPr>
          <w:rFonts w:cs="Arial"/>
          <w:iCs/>
          <w:szCs w:val="20"/>
          <w:lang w:val="pt-BR"/>
        </w:rPr>
        <w:t>artigo</w:t>
      </w:r>
      <w:r w:rsidR="004B0842" w:rsidRPr="00D5464D">
        <w:rPr>
          <w:rFonts w:cs="Arial"/>
          <w:iCs/>
          <w:szCs w:val="20"/>
          <w:lang w:val="pt-BR"/>
        </w:rPr>
        <w:t xml:space="preserve"> 207 </w:t>
      </w:r>
      <w:r w:rsidRPr="00D5464D">
        <w:rPr>
          <w:rFonts w:cs="Arial"/>
          <w:iCs/>
          <w:szCs w:val="20"/>
          <w:lang w:val="pt-BR"/>
        </w:rPr>
        <w:t xml:space="preserve">do </w:t>
      </w:r>
      <w:r w:rsidR="004B0842" w:rsidRPr="00D5464D">
        <w:rPr>
          <w:rFonts w:cs="Arial"/>
          <w:iCs/>
          <w:szCs w:val="20"/>
          <w:lang w:val="pt-BR"/>
        </w:rPr>
        <w:t>Código Penal</w:t>
      </w:r>
      <w:r w:rsidR="004012FE" w:rsidRPr="00D5464D">
        <w:rPr>
          <w:rFonts w:cs="Arial"/>
          <w:iCs/>
          <w:szCs w:val="20"/>
          <w:lang w:val="pt-BR"/>
        </w:rPr>
        <w:t>,</w:t>
      </w:r>
      <w:r w:rsidR="004B0842" w:rsidRPr="00D5464D">
        <w:rPr>
          <w:rFonts w:cs="Arial"/>
          <w:iCs/>
          <w:szCs w:val="20"/>
          <w:lang w:val="pt-BR"/>
        </w:rPr>
        <w:t xml:space="preserve"> que </w:t>
      </w:r>
      <w:r w:rsidRPr="00D5464D">
        <w:rPr>
          <w:rFonts w:cs="Arial"/>
          <w:iCs/>
          <w:szCs w:val="20"/>
          <w:lang w:val="pt-BR"/>
        </w:rPr>
        <w:t>estabelece</w:t>
      </w:r>
      <w:r w:rsidR="004B0842" w:rsidRPr="00D5464D">
        <w:rPr>
          <w:rFonts w:cs="Arial"/>
          <w:iCs/>
          <w:szCs w:val="20"/>
          <w:lang w:val="pt-BR"/>
        </w:rPr>
        <w:t xml:space="preserve">: </w:t>
      </w:r>
      <w:r w:rsidR="004012FE" w:rsidRPr="00D5464D">
        <w:rPr>
          <w:rFonts w:cs="Arial"/>
          <w:bCs/>
          <w:iCs/>
          <w:szCs w:val="20"/>
          <w:lang w:val="pt-BR"/>
        </w:rPr>
        <w:t>“</w:t>
      </w:r>
      <w:r w:rsidR="004012FE" w:rsidRPr="00D5464D">
        <w:rPr>
          <w:rFonts w:cs="Arial"/>
          <w:iCs/>
          <w:szCs w:val="20"/>
          <w:lang w:val="pt-BR"/>
        </w:rPr>
        <w:t xml:space="preserve">Aliciar trabalhadores, com o fim de levá-los de uma para outra localidade do território nacional: Pena - reclusão de um a três anos, e multa”. </w:t>
      </w:r>
      <w:r w:rsidR="004B0842" w:rsidRPr="00D5464D">
        <w:rPr>
          <w:rFonts w:cs="Arial"/>
          <w:iCs/>
          <w:szCs w:val="20"/>
          <w:lang w:val="pt-BR"/>
        </w:rPr>
        <w:t xml:space="preserve">Este </w:t>
      </w:r>
      <w:r w:rsidRPr="00D5464D">
        <w:rPr>
          <w:rFonts w:cs="Arial"/>
          <w:iCs/>
          <w:szCs w:val="20"/>
          <w:lang w:val="pt-BR"/>
        </w:rPr>
        <w:t>artigo foi efetiv</w:t>
      </w:r>
      <w:r w:rsidR="004B0842" w:rsidRPr="00D5464D">
        <w:rPr>
          <w:rFonts w:cs="Arial"/>
          <w:iCs/>
          <w:szCs w:val="20"/>
          <w:lang w:val="pt-BR"/>
        </w:rPr>
        <w:t>amente aplicado</w:t>
      </w:r>
      <w:r w:rsidR="00E045D9" w:rsidRPr="00D5464D">
        <w:rPr>
          <w:rFonts w:cs="Arial"/>
          <w:iCs/>
          <w:szCs w:val="20"/>
          <w:lang w:val="pt-BR"/>
        </w:rPr>
        <w:t xml:space="preserve"> na </w:t>
      </w:r>
      <w:r w:rsidR="004B0842" w:rsidRPr="00D5464D">
        <w:rPr>
          <w:rFonts w:cs="Arial"/>
          <w:iCs/>
          <w:szCs w:val="20"/>
          <w:lang w:val="pt-BR"/>
        </w:rPr>
        <w:t>investiga</w:t>
      </w:r>
      <w:r w:rsidRPr="00D5464D">
        <w:rPr>
          <w:rFonts w:cs="Arial"/>
          <w:iCs/>
          <w:szCs w:val="20"/>
          <w:lang w:val="pt-BR"/>
        </w:rPr>
        <w:t>ção</w:t>
      </w:r>
      <w:r w:rsidR="004B0842" w:rsidRPr="00D5464D">
        <w:rPr>
          <w:rFonts w:cs="Arial"/>
          <w:iCs/>
          <w:szCs w:val="20"/>
          <w:lang w:val="pt-BR"/>
        </w:rPr>
        <w:t xml:space="preserve"> iniciada </w:t>
      </w:r>
      <w:r w:rsidR="004012FE" w:rsidRPr="00D5464D">
        <w:rPr>
          <w:rFonts w:cs="Arial"/>
          <w:iCs/>
          <w:szCs w:val="20"/>
          <w:lang w:val="pt-BR"/>
        </w:rPr>
        <w:t xml:space="preserve">após </w:t>
      </w:r>
      <w:r w:rsidRPr="00D5464D">
        <w:rPr>
          <w:rFonts w:cs="Arial"/>
          <w:iCs/>
          <w:szCs w:val="20"/>
          <w:lang w:val="pt-BR"/>
        </w:rPr>
        <w:t xml:space="preserve">a </w:t>
      </w:r>
      <w:r w:rsidR="004B0842" w:rsidRPr="00D5464D">
        <w:rPr>
          <w:rFonts w:cs="Arial"/>
          <w:iCs/>
          <w:szCs w:val="20"/>
          <w:lang w:val="pt-BR"/>
        </w:rPr>
        <w:t>fiscaliza</w:t>
      </w:r>
      <w:r w:rsidRPr="00D5464D">
        <w:rPr>
          <w:rFonts w:cs="Arial"/>
          <w:iCs/>
          <w:szCs w:val="20"/>
          <w:lang w:val="pt-BR"/>
        </w:rPr>
        <w:t>ção</w:t>
      </w:r>
      <w:r w:rsidR="004B0842" w:rsidRPr="00D5464D">
        <w:rPr>
          <w:rFonts w:cs="Arial"/>
          <w:iCs/>
          <w:szCs w:val="20"/>
          <w:lang w:val="pt-BR"/>
        </w:rPr>
        <w:t xml:space="preserve"> </w:t>
      </w:r>
      <w:r w:rsidRPr="00D5464D">
        <w:rPr>
          <w:rFonts w:cs="Arial"/>
          <w:iCs/>
          <w:szCs w:val="20"/>
          <w:lang w:val="pt-BR"/>
        </w:rPr>
        <w:t xml:space="preserve">do ano </w:t>
      </w:r>
      <w:r w:rsidR="004012FE" w:rsidRPr="00D5464D">
        <w:rPr>
          <w:rFonts w:cs="Arial"/>
          <w:iCs/>
          <w:szCs w:val="20"/>
          <w:lang w:val="pt-BR"/>
        </w:rPr>
        <w:t xml:space="preserve">de </w:t>
      </w:r>
      <w:r w:rsidR="004B0842" w:rsidRPr="00D5464D">
        <w:rPr>
          <w:rFonts w:cs="Arial"/>
          <w:iCs/>
          <w:szCs w:val="20"/>
          <w:lang w:val="pt-BR"/>
        </w:rPr>
        <w:t>1997</w:t>
      </w:r>
      <w:r w:rsidR="00E045D9" w:rsidRPr="00D5464D">
        <w:rPr>
          <w:rFonts w:cs="Arial"/>
          <w:iCs/>
          <w:szCs w:val="20"/>
          <w:lang w:val="pt-BR"/>
        </w:rPr>
        <w:t xml:space="preserve"> e </w:t>
      </w:r>
      <w:r w:rsidRPr="00D5464D">
        <w:rPr>
          <w:rFonts w:cs="Arial"/>
          <w:iCs/>
          <w:szCs w:val="20"/>
          <w:lang w:val="pt-BR"/>
        </w:rPr>
        <w:t xml:space="preserve">foi </w:t>
      </w:r>
      <w:r w:rsidR="004B0842" w:rsidRPr="00D5464D">
        <w:rPr>
          <w:rFonts w:cs="Arial"/>
          <w:iCs/>
          <w:szCs w:val="20"/>
          <w:lang w:val="pt-BR"/>
        </w:rPr>
        <w:t xml:space="preserve">objeto </w:t>
      </w:r>
      <w:r w:rsidRPr="00D5464D">
        <w:rPr>
          <w:rFonts w:cs="Arial"/>
          <w:iCs/>
          <w:szCs w:val="20"/>
          <w:lang w:val="pt-BR"/>
        </w:rPr>
        <w:t xml:space="preserve">do </w:t>
      </w:r>
      <w:r w:rsidR="002C330E" w:rsidRPr="00D5464D">
        <w:rPr>
          <w:rFonts w:cs="Arial"/>
          <w:iCs/>
          <w:szCs w:val="20"/>
          <w:lang w:val="pt-BR"/>
        </w:rPr>
        <w:t>processo</w:t>
      </w:r>
      <w:r w:rsidR="004B0842" w:rsidRPr="00D5464D">
        <w:rPr>
          <w:rFonts w:cs="Arial"/>
          <w:iCs/>
          <w:szCs w:val="20"/>
          <w:lang w:val="pt-BR"/>
        </w:rPr>
        <w:t xml:space="preserve"> penal iniciado</w:t>
      </w:r>
      <w:r w:rsidRPr="00D5464D">
        <w:rPr>
          <w:rFonts w:cs="Arial"/>
          <w:iCs/>
          <w:szCs w:val="20"/>
          <w:lang w:val="pt-BR"/>
        </w:rPr>
        <w:t xml:space="preserve"> </w:t>
      </w:r>
      <w:r w:rsidR="004012FE" w:rsidRPr="00D5464D">
        <w:rPr>
          <w:rFonts w:cs="Arial"/>
          <w:iCs/>
          <w:szCs w:val="20"/>
          <w:lang w:val="pt-BR"/>
        </w:rPr>
        <w:t xml:space="preserve">naquela </w:t>
      </w:r>
      <w:r w:rsidR="004B0842" w:rsidRPr="00D5464D">
        <w:rPr>
          <w:rFonts w:cs="Arial"/>
          <w:iCs/>
          <w:szCs w:val="20"/>
          <w:lang w:val="pt-BR"/>
        </w:rPr>
        <w:t>oportun</w:t>
      </w:r>
      <w:r w:rsidR="00E765C2" w:rsidRPr="00D5464D">
        <w:rPr>
          <w:rFonts w:cs="Arial"/>
          <w:iCs/>
          <w:szCs w:val="20"/>
          <w:lang w:val="pt-BR"/>
        </w:rPr>
        <w:t>idade.</w:t>
      </w:r>
      <w:r w:rsidR="004B0842" w:rsidRPr="00D5464D">
        <w:rPr>
          <w:rFonts w:cs="Arial"/>
          <w:iCs/>
          <w:szCs w:val="20"/>
          <w:lang w:val="pt-BR"/>
        </w:rPr>
        <w:t xml:space="preserve"> </w:t>
      </w:r>
      <w:r w:rsidRPr="00D5464D">
        <w:rPr>
          <w:rFonts w:cs="Arial"/>
          <w:iCs/>
          <w:szCs w:val="20"/>
          <w:lang w:val="pt-BR"/>
        </w:rPr>
        <w:t>Assim</w:t>
      </w:r>
      <w:r w:rsidR="004B0842" w:rsidRPr="00D5464D">
        <w:rPr>
          <w:rFonts w:cs="Arial"/>
          <w:iCs/>
          <w:szCs w:val="20"/>
          <w:lang w:val="pt-BR"/>
        </w:rPr>
        <w:t>,</w:t>
      </w:r>
      <w:r w:rsidR="002C330E" w:rsidRPr="00D5464D">
        <w:rPr>
          <w:rFonts w:cs="Arial"/>
          <w:iCs/>
          <w:szCs w:val="20"/>
          <w:lang w:val="pt-BR"/>
        </w:rPr>
        <w:t xml:space="preserve"> as </w:t>
      </w:r>
      <w:r w:rsidRPr="00D5464D">
        <w:rPr>
          <w:rFonts w:cs="Arial"/>
          <w:iCs/>
          <w:szCs w:val="20"/>
          <w:lang w:val="pt-BR"/>
        </w:rPr>
        <w:t>eventuais</w:t>
      </w:r>
      <w:r w:rsidR="004B0842" w:rsidRPr="00D5464D">
        <w:rPr>
          <w:rFonts w:cs="Arial"/>
          <w:iCs/>
          <w:szCs w:val="20"/>
          <w:lang w:val="pt-BR"/>
        </w:rPr>
        <w:t xml:space="preserve"> </w:t>
      </w:r>
      <w:r w:rsidR="00230C71" w:rsidRPr="00D5464D">
        <w:rPr>
          <w:rFonts w:cs="Arial"/>
          <w:iCs/>
          <w:szCs w:val="20"/>
          <w:lang w:val="pt-BR"/>
        </w:rPr>
        <w:t>deficiência</w:t>
      </w:r>
      <w:r w:rsidR="004B0842" w:rsidRPr="00D5464D">
        <w:rPr>
          <w:rFonts w:cs="Arial"/>
          <w:iCs/>
          <w:szCs w:val="20"/>
          <w:lang w:val="pt-BR"/>
        </w:rPr>
        <w:t>s</w:t>
      </w:r>
      <w:r w:rsidRPr="00D5464D">
        <w:rPr>
          <w:rFonts w:cs="Arial"/>
          <w:iCs/>
          <w:szCs w:val="20"/>
          <w:lang w:val="pt-BR"/>
        </w:rPr>
        <w:t xml:space="preserve"> </w:t>
      </w:r>
      <w:r w:rsidR="004012FE" w:rsidRPr="00D5464D">
        <w:rPr>
          <w:rFonts w:cs="Arial"/>
          <w:iCs/>
          <w:szCs w:val="20"/>
          <w:lang w:val="pt-BR"/>
        </w:rPr>
        <w:t>n</w:t>
      </w:r>
      <w:r w:rsidRPr="00D5464D">
        <w:rPr>
          <w:rFonts w:cs="Arial"/>
          <w:iCs/>
          <w:szCs w:val="20"/>
          <w:lang w:val="pt-BR"/>
        </w:rPr>
        <w:t xml:space="preserve">a </w:t>
      </w:r>
      <w:r w:rsidR="004B0842" w:rsidRPr="00D5464D">
        <w:rPr>
          <w:rFonts w:cs="Arial"/>
          <w:iCs/>
          <w:szCs w:val="20"/>
          <w:lang w:val="pt-BR"/>
        </w:rPr>
        <w:t>tipifica</w:t>
      </w:r>
      <w:r w:rsidRPr="00D5464D">
        <w:rPr>
          <w:rFonts w:cs="Arial"/>
          <w:iCs/>
          <w:szCs w:val="20"/>
          <w:lang w:val="pt-BR"/>
        </w:rPr>
        <w:t>ção d</w:t>
      </w:r>
      <w:r w:rsidR="004F1CC2" w:rsidRPr="00D5464D">
        <w:rPr>
          <w:rFonts w:cs="Arial"/>
          <w:iCs/>
          <w:szCs w:val="20"/>
          <w:lang w:val="pt-BR"/>
        </w:rPr>
        <w:t>o tráfico de pessoas</w:t>
      </w:r>
      <w:r w:rsidR="00230C71" w:rsidRPr="00D5464D">
        <w:rPr>
          <w:rFonts w:cs="Arial"/>
          <w:iCs/>
          <w:szCs w:val="20"/>
          <w:lang w:val="pt-BR"/>
        </w:rPr>
        <w:t xml:space="preserve"> não tiveram</w:t>
      </w:r>
      <w:r w:rsidR="004B0842" w:rsidRPr="00D5464D">
        <w:rPr>
          <w:rFonts w:cs="Arial"/>
          <w:iCs/>
          <w:szCs w:val="20"/>
          <w:lang w:val="pt-BR"/>
        </w:rPr>
        <w:t xml:space="preserve"> </w:t>
      </w:r>
      <w:r w:rsidRPr="00D5464D">
        <w:rPr>
          <w:rFonts w:cs="Arial"/>
          <w:iCs/>
          <w:szCs w:val="20"/>
          <w:lang w:val="pt-BR"/>
        </w:rPr>
        <w:t>consequência</w:t>
      </w:r>
      <w:r w:rsidR="004B0842" w:rsidRPr="00D5464D">
        <w:rPr>
          <w:rFonts w:cs="Arial"/>
          <w:iCs/>
          <w:szCs w:val="20"/>
          <w:lang w:val="pt-BR"/>
        </w:rPr>
        <w:t>s para</w:t>
      </w:r>
      <w:r w:rsidR="002C330E" w:rsidRPr="00D5464D">
        <w:rPr>
          <w:rFonts w:cs="Arial"/>
          <w:iCs/>
          <w:szCs w:val="20"/>
          <w:lang w:val="pt-BR"/>
        </w:rPr>
        <w:t xml:space="preserve"> a impunidade </w:t>
      </w:r>
      <w:r w:rsidRPr="00D5464D">
        <w:rPr>
          <w:rFonts w:cs="Arial"/>
          <w:iCs/>
          <w:szCs w:val="20"/>
          <w:lang w:val="pt-BR"/>
        </w:rPr>
        <w:t xml:space="preserve">das </w:t>
      </w:r>
      <w:r w:rsidR="004B0842" w:rsidRPr="00D5464D">
        <w:rPr>
          <w:rFonts w:cs="Arial"/>
          <w:iCs/>
          <w:szCs w:val="20"/>
          <w:lang w:val="pt-BR"/>
        </w:rPr>
        <w:t>viola</w:t>
      </w:r>
      <w:r w:rsidRPr="00D5464D">
        <w:rPr>
          <w:rFonts w:cs="Arial"/>
          <w:iCs/>
          <w:szCs w:val="20"/>
          <w:lang w:val="pt-BR"/>
        </w:rPr>
        <w:t>ções</w:t>
      </w:r>
      <w:r w:rsidR="004B0842" w:rsidRPr="00D5464D">
        <w:rPr>
          <w:rFonts w:cs="Arial"/>
          <w:iCs/>
          <w:szCs w:val="20"/>
          <w:lang w:val="pt-BR"/>
        </w:rPr>
        <w:t xml:space="preserve"> de </w:t>
      </w:r>
      <w:r w:rsidRPr="00D5464D">
        <w:rPr>
          <w:rFonts w:cs="Arial"/>
          <w:iCs/>
          <w:szCs w:val="20"/>
          <w:lang w:val="pt-BR"/>
        </w:rPr>
        <w:t>direito</w:t>
      </w:r>
      <w:r w:rsidR="004B0842" w:rsidRPr="00D5464D">
        <w:rPr>
          <w:rFonts w:cs="Arial"/>
          <w:iCs/>
          <w:szCs w:val="20"/>
          <w:lang w:val="pt-BR"/>
        </w:rPr>
        <w:t>s humanos identificadas</w:t>
      </w:r>
      <w:r w:rsidR="00E045D9" w:rsidRPr="00D5464D">
        <w:rPr>
          <w:rFonts w:cs="Arial"/>
          <w:iCs/>
          <w:szCs w:val="20"/>
          <w:lang w:val="pt-BR"/>
        </w:rPr>
        <w:t xml:space="preserve"> no </w:t>
      </w:r>
      <w:r w:rsidR="004B0842" w:rsidRPr="00D5464D">
        <w:rPr>
          <w:rFonts w:cs="Arial"/>
          <w:iCs/>
          <w:szCs w:val="20"/>
          <w:lang w:val="pt-BR"/>
        </w:rPr>
        <w:t xml:space="preserve">capítulo </w:t>
      </w:r>
      <w:r w:rsidR="00126C03" w:rsidRPr="00D5464D">
        <w:rPr>
          <w:rFonts w:cs="Arial"/>
          <w:iCs/>
          <w:szCs w:val="20"/>
          <w:lang w:val="pt-BR"/>
        </w:rPr>
        <w:t>VIII</w:t>
      </w:r>
      <w:r w:rsidR="004B0842" w:rsidRPr="00D5464D">
        <w:rPr>
          <w:rFonts w:cs="Arial"/>
          <w:iCs/>
          <w:szCs w:val="20"/>
          <w:lang w:val="pt-BR"/>
        </w:rPr>
        <w:t xml:space="preserve">. </w:t>
      </w:r>
      <w:r w:rsidR="00037051" w:rsidRPr="00D5464D">
        <w:rPr>
          <w:rFonts w:cs="Arial"/>
          <w:iCs/>
          <w:szCs w:val="20"/>
          <w:lang w:val="pt-BR"/>
        </w:rPr>
        <w:t>Por essas razões</w:t>
      </w:r>
      <w:r w:rsidR="004B0842" w:rsidRPr="00D5464D">
        <w:rPr>
          <w:rFonts w:cs="Arial"/>
          <w:iCs/>
          <w:szCs w:val="20"/>
          <w:lang w:val="pt-BR"/>
        </w:rPr>
        <w:t>,</w:t>
      </w:r>
      <w:r w:rsidR="002C330E" w:rsidRPr="00D5464D">
        <w:rPr>
          <w:rFonts w:cs="Arial"/>
          <w:iCs/>
          <w:szCs w:val="20"/>
          <w:lang w:val="pt-BR"/>
        </w:rPr>
        <w:t xml:space="preserve"> a </w:t>
      </w:r>
      <w:r w:rsidR="00A1358C" w:rsidRPr="00D5464D">
        <w:rPr>
          <w:rFonts w:cs="Arial"/>
          <w:iCs/>
          <w:szCs w:val="20"/>
          <w:lang w:val="pt-BR"/>
        </w:rPr>
        <w:t>Corte considera</w:t>
      </w:r>
      <w:r w:rsidR="004B0842" w:rsidRPr="00D5464D">
        <w:rPr>
          <w:rFonts w:cs="Arial"/>
          <w:iCs/>
          <w:szCs w:val="20"/>
          <w:lang w:val="pt-BR"/>
        </w:rPr>
        <w:t xml:space="preserve"> que </w:t>
      </w:r>
      <w:r w:rsidR="00737270" w:rsidRPr="00D5464D">
        <w:rPr>
          <w:rFonts w:cs="Arial"/>
          <w:iCs/>
          <w:szCs w:val="20"/>
          <w:lang w:val="pt-BR"/>
        </w:rPr>
        <w:t>não pode</w:t>
      </w:r>
      <w:r w:rsidR="004012FE" w:rsidRPr="00D5464D">
        <w:rPr>
          <w:rFonts w:cs="Arial"/>
          <w:iCs/>
          <w:szCs w:val="20"/>
          <w:lang w:val="pt-BR"/>
        </w:rPr>
        <w:t xml:space="preserve"> aceitar o pedido </w:t>
      </w:r>
      <w:r w:rsidRPr="00D5464D">
        <w:rPr>
          <w:rFonts w:cs="Arial"/>
          <w:iCs/>
          <w:szCs w:val="20"/>
          <w:lang w:val="pt-BR"/>
        </w:rPr>
        <w:t xml:space="preserve">dos </w:t>
      </w:r>
      <w:r w:rsidR="00EB1CE9" w:rsidRPr="00D5464D">
        <w:rPr>
          <w:rFonts w:cs="Arial"/>
          <w:iCs/>
          <w:szCs w:val="20"/>
          <w:lang w:val="pt-BR"/>
        </w:rPr>
        <w:t>representante</w:t>
      </w:r>
      <w:r w:rsidR="004B0842" w:rsidRPr="00D5464D">
        <w:rPr>
          <w:rFonts w:cs="Arial"/>
          <w:iCs/>
          <w:szCs w:val="20"/>
          <w:lang w:val="pt-BR"/>
        </w:rPr>
        <w:t xml:space="preserve">s </w:t>
      </w:r>
      <w:r w:rsidR="004012FE" w:rsidRPr="00D5464D">
        <w:rPr>
          <w:rFonts w:cs="Arial"/>
          <w:iCs/>
          <w:szCs w:val="20"/>
          <w:lang w:val="pt-BR"/>
        </w:rPr>
        <w:t xml:space="preserve">no sentido de </w:t>
      </w:r>
      <w:r w:rsidR="004B0842" w:rsidRPr="00D5464D">
        <w:rPr>
          <w:rFonts w:cs="Arial"/>
          <w:iCs/>
          <w:szCs w:val="20"/>
          <w:lang w:val="pt-BR"/>
        </w:rPr>
        <w:t xml:space="preserve">que </w:t>
      </w:r>
      <w:r w:rsidR="004012FE" w:rsidRPr="00D5464D">
        <w:rPr>
          <w:rFonts w:cs="Arial"/>
          <w:iCs/>
          <w:szCs w:val="20"/>
          <w:lang w:val="pt-BR"/>
        </w:rPr>
        <w:t xml:space="preserve">o </w:t>
      </w:r>
      <w:r w:rsidR="004B0842" w:rsidRPr="00D5464D">
        <w:rPr>
          <w:rFonts w:cs="Arial"/>
          <w:iCs/>
          <w:szCs w:val="20"/>
          <w:lang w:val="pt-BR"/>
        </w:rPr>
        <w:t>Brasil modifique</w:t>
      </w:r>
      <w:r w:rsidR="002C330E" w:rsidRPr="00D5464D">
        <w:rPr>
          <w:rFonts w:cs="Arial"/>
          <w:iCs/>
          <w:szCs w:val="20"/>
          <w:lang w:val="pt-BR"/>
        </w:rPr>
        <w:t xml:space="preserve"> a </w:t>
      </w:r>
      <w:r w:rsidR="004B0842" w:rsidRPr="00D5464D">
        <w:rPr>
          <w:rFonts w:cs="Arial"/>
          <w:iCs/>
          <w:szCs w:val="20"/>
          <w:lang w:val="pt-BR"/>
        </w:rPr>
        <w:t>defini</w:t>
      </w:r>
      <w:r w:rsidRPr="00D5464D">
        <w:rPr>
          <w:rFonts w:cs="Arial"/>
          <w:iCs/>
          <w:szCs w:val="20"/>
          <w:lang w:val="pt-BR"/>
        </w:rPr>
        <w:t>ção</w:t>
      </w:r>
      <w:r w:rsidR="004B0842" w:rsidRPr="00D5464D">
        <w:rPr>
          <w:rFonts w:cs="Arial"/>
          <w:iCs/>
          <w:szCs w:val="20"/>
          <w:lang w:val="pt-BR"/>
        </w:rPr>
        <w:t xml:space="preserve"> </w:t>
      </w:r>
      <w:r w:rsidRPr="00D5464D">
        <w:rPr>
          <w:rFonts w:cs="Arial"/>
          <w:iCs/>
          <w:szCs w:val="20"/>
          <w:lang w:val="pt-BR"/>
        </w:rPr>
        <w:t xml:space="preserve">do </w:t>
      </w:r>
      <w:r w:rsidR="004B0842" w:rsidRPr="00D5464D">
        <w:rPr>
          <w:rFonts w:cs="Arial"/>
          <w:iCs/>
          <w:szCs w:val="20"/>
          <w:lang w:val="pt-BR"/>
        </w:rPr>
        <w:t>delito de</w:t>
      </w:r>
      <w:r w:rsidR="004F1CC2" w:rsidRPr="00D5464D">
        <w:rPr>
          <w:rFonts w:cs="Arial"/>
          <w:iCs/>
          <w:szCs w:val="20"/>
          <w:lang w:val="pt-BR"/>
        </w:rPr>
        <w:t xml:space="preserve"> tráfico de pessoas</w:t>
      </w:r>
      <w:r w:rsidRPr="00D5464D">
        <w:rPr>
          <w:rFonts w:cs="Arial"/>
          <w:iCs/>
          <w:szCs w:val="20"/>
          <w:lang w:val="pt-BR"/>
        </w:rPr>
        <w:t xml:space="preserve"> em </w:t>
      </w:r>
      <w:r w:rsidR="00E045D9" w:rsidRPr="00D5464D">
        <w:rPr>
          <w:rFonts w:cs="Arial"/>
          <w:iCs/>
          <w:szCs w:val="20"/>
          <w:lang w:val="pt-BR"/>
        </w:rPr>
        <w:t>seu direito</w:t>
      </w:r>
      <w:r w:rsidR="004B0842" w:rsidRPr="00D5464D">
        <w:rPr>
          <w:rFonts w:cs="Arial"/>
          <w:iCs/>
          <w:szCs w:val="20"/>
          <w:lang w:val="pt-BR"/>
        </w:rPr>
        <w:t xml:space="preserve"> interno.</w:t>
      </w:r>
    </w:p>
    <w:p w14:paraId="5E5B646F" w14:textId="77777777" w:rsidR="004B0842" w:rsidRPr="00D5464D" w:rsidRDefault="004B0842" w:rsidP="004B0842">
      <w:pPr>
        <w:pStyle w:val="Prrafodelista"/>
        <w:autoSpaceDE w:val="0"/>
        <w:autoSpaceDN w:val="0"/>
        <w:adjustRightInd w:val="0"/>
        <w:ind w:left="0"/>
        <w:rPr>
          <w:rFonts w:cs="Arial"/>
          <w:i/>
          <w:iCs/>
          <w:szCs w:val="20"/>
          <w:lang w:val="pt-BR"/>
        </w:rPr>
      </w:pPr>
    </w:p>
    <w:p w14:paraId="7328D9FA" w14:textId="54013ECF" w:rsidR="004B0842" w:rsidRPr="00D5464D" w:rsidRDefault="00E35960" w:rsidP="00863BF9">
      <w:pPr>
        <w:pStyle w:val="Ttulo3"/>
        <w:rPr>
          <w:lang w:val="pt-BR"/>
        </w:rPr>
      </w:pPr>
      <w:bookmarkStart w:id="463" w:name="_Toc460433066"/>
      <w:bookmarkStart w:id="464" w:name="_Toc460441997"/>
      <w:bookmarkStart w:id="465" w:name="_Toc462751139"/>
      <w:bookmarkStart w:id="466" w:name="_Toc464813991"/>
      <w:bookmarkStart w:id="467" w:name="_Toc468433952"/>
      <w:r w:rsidRPr="00D5464D">
        <w:rPr>
          <w:lang w:val="pt-BR"/>
        </w:rPr>
        <w:t>C.4</w:t>
      </w:r>
      <w:r w:rsidR="004B0842" w:rsidRPr="00D5464D">
        <w:rPr>
          <w:lang w:val="pt-BR"/>
        </w:rPr>
        <w:t>.</w:t>
      </w:r>
      <w:r w:rsidR="004B0842" w:rsidRPr="00D5464D">
        <w:rPr>
          <w:lang w:val="pt-BR"/>
        </w:rPr>
        <w:tab/>
      </w:r>
      <w:r w:rsidR="002C330E" w:rsidRPr="00D5464D">
        <w:rPr>
          <w:lang w:val="pt-BR"/>
        </w:rPr>
        <w:t xml:space="preserve">Garantia </w:t>
      </w:r>
      <w:r w:rsidR="00470ADC" w:rsidRPr="00D5464D">
        <w:rPr>
          <w:lang w:val="pt-BR"/>
        </w:rPr>
        <w:t>de não repetição</w:t>
      </w:r>
      <w:r w:rsidR="004B0842" w:rsidRPr="00D5464D">
        <w:rPr>
          <w:lang w:val="pt-BR"/>
        </w:rPr>
        <w:t xml:space="preserve">: </w:t>
      </w:r>
      <w:r w:rsidR="002C330E" w:rsidRPr="00D5464D">
        <w:rPr>
          <w:lang w:val="pt-BR"/>
        </w:rPr>
        <w:t>projeto</w:t>
      </w:r>
      <w:r w:rsidR="004B0842" w:rsidRPr="00D5464D">
        <w:rPr>
          <w:lang w:val="pt-BR"/>
        </w:rPr>
        <w:t xml:space="preserve">s de </w:t>
      </w:r>
      <w:r w:rsidR="002C330E" w:rsidRPr="00D5464D">
        <w:rPr>
          <w:lang w:val="pt-BR"/>
        </w:rPr>
        <w:t>lei pendente</w:t>
      </w:r>
      <w:r w:rsidR="004B0842" w:rsidRPr="00D5464D">
        <w:rPr>
          <w:lang w:val="pt-BR"/>
        </w:rPr>
        <w:t>s</w:t>
      </w:r>
      <w:r w:rsidR="00E045D9" w:rsidRPr="00D5464D">
        <w:rPr>
          <w:lang w:val="pt-BR"/>
        </w:rPr>
        <w:t xml:space="preserve"> e </w:t>
      </w:r>
      <w:r w:rsidR="004B0842" w:rsidRPr="00D5464D">
        <w:rPr>
          <w:lang w:val="pt-BR"/>
        </w:rPr>
        <w:t>proporcion</w:t>
      </w:r>
      <w:r w:rsidR="00EB1CE9" w:rsidRPr="00D5464D">
        <w:rPr>
          <w:lang w:val="pt-BR"/>
        </w:rPr>
        <w:t xml:space="preserve">alidade </w:t>
      </w:r>
      <w:r w:rsidR="00470ADC" w:rsidRPr="00D5464D">
        <w:rPr>
          <w:lang w:val="pt-BR"/>
        </w:rPr>
        <w:t xml:space="preserve">da </w:t>
      </w:r>
      <w:r w:rsidR="004B0842" w:rsidRPr="00D5464D">
        <w:rPr>
          <w:lang w:val="pt-BR"/>
        </w:rPr>
        <w:t>pena</w:t>
      </w:r>
      <w:bookmarkEnd w:id="463"/>
      <w:bookmarkEnd w:id="464"/>
      <w:bookmarkEnd w:id="465"/>
      <w:bookmarkEnd w:id="466"/>
      <w:bookmarkEnd w:id="467"/>
    </w:p>
    <w:p w14:paraId="013F3BFE" w14:textId="77777777" w:rsidR="004B0842" w:rsidRPr="00D5464D" w:rsidRDefault="004B0842" w:rsidP="004B0842">
      <w:pPr>
        <w:pStyle w:val="Prrafodelista"/>
        <w:autoSpaceDE w:val="0"/>
        <w:autoSpaceDN w:val="0"/>
        <w:adjustRightInd w:val="0"/>
        <w:rPr>
          <w:rFonts w:cs="Arial"/>
          <w:iCs/>
          <w:szCs w:val="20"/>
          <w:lang w:val="pt-BR"/>
        </w:rPr>
      </w:pPr>
    </w:p>
    <w:p w14:paraId="71ED2F99" w14:textId="6C0106A6" w:rsidR="004B0842" w:rsidRPr="00D5464D" w:rsidRDefault="00737270"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Os </w:t>
      </w:r>
      <w:r w:rsidR="00EB1CE9" w:rsidRPr="00D5464D">
        <w:rPr>
          <w:rFonts w:cs="Arial"/>
          <w:b/>
          <w:i/>
          <w:iCs/>
          <w:szCs w:val="20"/>
          <w:lang w:val="pt-BR"/>
        </w:rPr>
        <w:t>representante</w:t>
      </w:r>
      <w:r w:rsidRPr="00D5464D">
        <w:rPr>
          <w:rFonts w:cs="Arial"/>
          <w:b/>
          <w:i/>
          <w:iCs/>
          <w:szCs w:val="20"/>
          <w:lang w:val="pt-BR"/>
        </w:rPr>
        <w:t>s</w:t>
      </w:r>
      <w:r w:rsidRPr="00D5464D">
        <w:rPr>
          <w:rFonts w:cs="Arial"/>
          <w:iCs/>
          <w:szCs w:val="20"/>
          <w:lang w:val="pt-BR"/>
        </w:rPr>
        <w:t xml:space="preserve"> </w:t>
      </w:r>
      <w:r w:rsidR="002C330E" w:rsidRPr="00D5464D">
        <w:rPr>
          <w:rFonts w:cs="Arial"/>
          <w:iCs/>
          <w:szCs w:val="20"/>
          <w:lang w:val="pt-BR"/>
        </w:rPr>
        <w:t>afirmaram</w:t>
      </w:r>
      <w:r w:rsidR="004B0842" w:rsidRPr="00D5464D">
        <w:rPr>
          <w:rFonts w:cs="Arial"/>
          <w:iCs/>
          <w:szCs w:val="20"/>
          <w:lang w:val="pt-BR"/>
        </w:rPr>
        <w:t xml:space="preserve"> que </w:t>
      </w:r>
      <w:r w:rsidR="00470ADC" w:rsidRPr="00D5464D">
        <w:rPr>
          <w:rFonts w:cs="Arial"/>
          <w:iCs/>
          <w:szCs w:val="20"/>
          <w:lang w:val="pt-BR"/>
        </w:rPr>
        <w:t>atual</w:t>
      </w:r>
      <w:r w:rsidR="004B0842" w:rsidRPr="00D5464D">
        <w:rPr>
          <w:rFonts w:cs="Arial"/>
          <w:iCs/>
          <w:szCs w:val="20"/>
          <w:lang w:val="pt-BR"/>
        </w:rPr>
        <w:t xml:space="preserve">mente se </w:t>
      </w:r>
      <w:r w:rsidR="00470ADC" w:rsidRPr="00D5464D">
        <w:rPr>
          <w:rFonts w:cs="Arial"/>
          <w:iCs/>
          <w:szCs w:val="20"/>
          <w:lang w:val="pt-BR"/>
        </w:rPr>
        <w:t xml:space="preserve">encontra em </w:t>
      </w:r>
      <w:r w:rsidR="004B0842" w:rsidRPr="00D5464D">
        <w:rPr>
          <w:rFonts w:cs="Arial"/>
          <w:iCs/>
          <w:szCs w:val="20"/>
          <w:lang w:val="pt-BR"/>
        </w:rPr>
        <w:t>tramita</w:t>
      </w:r>
      <w:r w:rsidR="00470ADC" w:rsidRPr="00D5464D">
        <w:rPr>
          <w:rFonts w:cs="Arial"/>
          <w:iCs/>
          <w:szCs w:val="20"/>
          <w:lang w:val="pt-BR"/>
        </w:rPr>
        <w:t>ção</w:t>
      </w:r>
      <w:r w:rsidR="00E045D9" w:rsidRPr="00D5464D">
        <w:rPr>
          <w:rFonts w:cs="Arial"/>
          <w:iCs/>
          <w:szCs w:val="20"/>
          <w:lang w:val="pt-BR"/>
        </w:rPr>
        <w:t xml:space="preserve"> um </w:t>
      </w:r>
      <w:r w:rsidR="002C330E" w:rsidRPr="00D5464D">
        <w:rPr>
          <w:rFonts w:cs="Arial"/>
          <w:iCs/>
          <w:szCs w:val="20"/>
          <w:lang w:val="pt-BR"/>
        </w:rPr>
        <w:t>projeto</w:t>
      </w:r>
      <w:r w:rsidR="004B0842" w:rsidRPr="00D5464D">
        <w:rPr>
          <w:rFonts w:cs="Arial"/>
          <w:iCs/>
          <w:szCs w:val="20"/>
          <w:lang w:val="pt-BR"/>
        </w:rPr>
        <w:t xml:space="preserve"> de </w:t>
      </w:r>
      <w:r w:rsidR="002C330E" w:rsidRPr="00D5464D">
        <w:rPr>
          <w:rFonts w:cs="Arial"/>
          <w:iCs/>
          <w:szCs w:val="20"/>
          <w:lang w:val="pt-BR"/>
        </w:rPr>
        <w:t xml:space="preserve">lei </w:t>
      </w:r>
      <w:r w:rsidR="004B0842" w:rsidRPr="00D5464D">
        <w:rPr>
          <w:rFonts w:cs="Arial"/>
          <w:iCs/>
          <w:szCs w:val="20"/>
          <w:lang w:val="pt-BR"/>
        </w:rPr>
        <w:t xml:space="preserve">que tenta </w:t>
      </w:r>
      <w:r w:rsidR="00A1358C" w:rsidRPr="00D5464D">
        <w:rPr>
          <w:rFonts w:cs="Arial"/>
          <w:iCs/>
          <w:szCs w:val="20"/>
          <w:lang w:val="pt-BR"/>
        </w:rPr>
        <w:t>reduzir</w:t>
      </w:r>
      <w:r w:rsidR="00470ADC" w:rsidRPr="00D5464D">
        <w:rPr>
          <w:rFonts w:cs="Arial"/>
          <w:iCs/>
          <w:szCs w:val="20"/>
          <w:lang w:val="pt-BR"/>
        </w:rPr>
        <w:t xml:space="preserve"> o </w:t>
      </w:r>
      <w:r w:rsidR="004B0842" w:rsidRPr="00D5464D">
        <w:rPr>
          <w:rFonts w:cs="Arial"/>
          <w:iCs/>
          <w:szCs w:val="20"/>
          <w:lang w:val="pt-BR"/>
        </w:rPr>
        <w:t xml:space="preserve">alcance </w:t>
      </w:r>
      <w:r w:rsidR="00470ADC" w:rsidRPr="00D5464D">
        <w:rPr>
          <w:rFonts w:cs="Arial"/>
          <w:iCs/>
          <w:szCs w:val="20"/>
          <w:lang w:val="pt-BR"/>
        </w:rPr>
        <w:t xml:space="preserve">do </w:t>
      </w:r>
      <w:r w:rsidR="004B0842" w:rsidRPr="00D5464D">
        <w:rPr>
          <w:rFonts w:cs="Arial"/>
          <w:iCs/>
          <w:szCs w:val="20"/>
          <w:lang w:val="pt-BR"/>
        </w:rPr>
        <w:t xml:space="preserve">delito de </w:t>
      </w:r>
      <w:r w:rsidR="00E045D9" w:rsidRPr="00D5464D">
        <w:rPr>
          <w:rFonts w:cs="Arial"/>
          <w:iCs/>
          <w:szCs w:val="20"/>
          <w:lang w:val="pt-BR"/>
        </w:rPr>
        <w:t>trabalho</w:t>
      </w:r>
      <w:r w:rsidR="004B0842" w:rsidRPr="00D5464D">
        <w:rPr>
          <w:rFonts w:cs="Arial"/>
          <w:iCs/>
          <w:szCs w:val="20"/>
          <w:lang w:val="pt-BR"/>
        </w:rPr>
        <w:t xml:space="preserve"> </w:t>
      </w:r>
      <w:r w:rsidR="004F1CC2" w:rsidRPr="00D5464D">
        <w:rPr>
          <w:rFonts w:cs="Arial"/>
          <w:iCs/>
          <w:szCs w:val="20"/>
          <w:lang w:val="pt-BR"/>
        </w:rPr>
        <w:t>escravo</w:t>
      </w:r>
      <w:r w:rsidR="00470ADC" w:rsidRPr="00D5464D">
        <w:rPr>
          <w:rFonts w:cs="Arial"/>
          <w:iCs/>
          <w:szCs w:val="20"/>
          <w:lang w:val="pt-BR"/>
        </w:rPr>
        <w:t xml:space="preserve"> ao </w:t>
      </w:r>
      <w:r w:rsidR="004B0842" w:rsidRPr="00D5464D">
        <w:rPr>
          <w:rFonts w:cs="Arial"/>
          <w:iCs/>
          <w:szCs w:val="20"/>
          <w:lang w:val="pt-BR"/>
        </w:rPr>
        <w:t>eliminar</w:t>
      </w:r>
      <w:r w:rsidR="002C330E" w:rsidRPr="00D5464D">
        <w:rPr>
          <w:rFonts w:cs="Arial"/>
          <w:iCs/>
          <w:szCs w:val="20"/>
          <w:lang w:val="pt-BR"/>
        </w:rPr>
        <w:t xml:space="preserve"> as </w:t>
      </w:r>
      <w:r w:rsidR="004B0842" w:rsidRPr="00D5464D">
        <w:rPr>
          <w:rFonts w:cs="Arial"/>
          <w:iCs/>
          <w:szCs w:val="20"/>
          <w:lang w:val="pt-BR"/>
        </w:rPr>
        <w:t>men</w:t>
      </w:r>
      <w:r w:rsidR="00470ADC" w:rsidRPr="00D5464D">
        <w:rPr>
          <w:rFonts w:cs="Arial"/>
          <w:iCs/>
          <w:szCs w:val="20"/>
          <w:lang w:val="pt-BR"/>
        </w:rPr>
        <w:t>ções</w:t>
      </w:r>
      <w:r w:rsidR="004B0842" w:rsidRPr="00D5464D">
        <w:rPr>
          <w:rFonts w:cs="Arial"/>
          <w:iCs/>
          <w:szCs w:val="20"/>
          <w:lang w:val="pt-BR"/>
        </w:rPr>
        <w:t xml:space="preserve"> </w:t>
      </w:r>
      <w:r w:rsidR="004012FE" w:rsidRPr="00D5464D">
        <w:rPr>
          <w:rFonts w:cs="Arial"/>
          <w:iCs/>
          <w:szCs w:val="20"/>
          <w:lang w:val="pt-BR"/>
        </w:rPr>
        <w:t>à</w:t>
      </w:r>
      <w:r w:rsidR="004B0842" w:rsidRPr="00D5464D">
        <w:rPr>
          <w:rFonts w:cs="Arial"/>
          <w:iCs/>
          <w:szCs w:val="20"/>
          <w:lang w:val="pt-BR"/>
        </w:rPr>
        <w:t xml:space="preserve"> “jornada </w:t>
      </w:r>
      <w:r w:rsidRPr="00D5464D">
        <w:rPr>
          <w:rFonts w:cs="Arial"/>
          <w:iCs/>
          <w:szCs w:val="20"/>
          <w:lang w:val="pt-BR"/>
        </w:rPr>
        <w:t>exaustiv</w:t>
      </w:r>
      <w:r w:rsidR="004B0842" w:rsidRPr="00D5464D">
        <w:rPr>
          <w:rFonts w:cs="Arial"/>
          <w:iCs/>
          <w:szCs w:val="20"/>
          <w:lang w:val="pt-BR"/>
        </w:rPr>
        <w:t>a”</w:t>
      </w:r>
      <w:r w:rsidR="00E045D9" w:rsidRPr="00D5464D">
        <w:rPr>
          <w:rFonts w:cs="Arial"/>
          <w:iCs/>
          <w:szCs w:val="20"/>
          <w:lang w:val="pt-BR"/>
        </w:rPr>
        <w:t xml:space="preserve"> e </w:t>
      </w:r>
      <w:r w:rsidR="004012FE" w:rsidRPr="00D5464D">
        <w:rPr>
          <w:rFonts w:cs="Arial"/>
          <w:iCs/>
          <w:szCs w:val="20"/>
          <w:lang w:val="pt-BR"/>
        </w:rPr>
        <w:t>às</w:t>
      </w:r>
      <w:r w:rsidR="004B0842" w:rsidRPr="00D5464D">
        <w:rPr>
          <w:rFonts w:cs="Arial"/>
          <w:iCs/>
          <w:szCs w:val="20"/>
          <w:lang w:val="pt-BR"/>
        </w:rPr>
        <w:t xml:space="preserve"> “condi</w:t>
      </w:r>
      <w:r w:rsidR="00470ADC" w:rsidRPr="00D5464D">
        <w:rPr>
          <w:rFonts w:cs="Arial"/>
          <w:iCs/>
          <w:szCs w:val="20"/>
          <w:lang w:val="pt-BR"/>
        </w:rPr>
        <w:t>ções</w:t>
      </w:r>
      <w:r w:rsidR="004B0842" w:rsidRPr="00D5464D">
        <w:rPr>
          <w:rFonts w:cs="Arial"/>
          <w:iCs/>
          <w:szCs w:val="20"/>
          <w:lang w:val="pt-BR"/>
        </w:rPr>
        <w:t xml:space="preserve"> </w:t>
      </w:r>
      <w:r w:rsidR="00EB1CE9" w:rsidRPr="00D5464D">
        <w:rPr>
          <w:rFonts w:cs="Arial"/>
          <w:iCs/>
          <w:szCs w:val="20"/>
          <w:lang w:val="pt-BR"/>
        </w:rPr>
        <w:t>degradante</w:t>
      </w:r>
      <w:r w:rsidR="004B0842" w:rsidRPr="00D5464D">
        <w:rPr>
          <w:rFonts w:cs="Arial"/>
          <w:iCs/>
          <w:szCs w:val="20"/>
          <w:lang w:val="pt-BR"/>
        </w:rPr>
        <w:t xml:space="preserve">s de </w:t>
      </w:r>
      <w:r w:rsidR="00E045D9" w:rsidRPr="00D5464D">
        <w:rPr>
          <w:rFonts w:cs="Arial"/>
          <w:iCs/>
          <w:szCs w:val="20"/>
          <w:lang w:val="pt-BR"/>
        </w:rPr>
        <w:t>trabalho</w:t>
      </w:r>
      <w:r w:rsidR="004B0842" w:rsidRPr="00D5464D">
        <w:rPr>
          <w:rFonts w:cs="Arial"/>
          <w:iCs/>
          <w:szCs w:val="20"/>
          <w:lang w:val="pt-BR"/>
        </w:rPr>
        <w:t>”</w:t>
      </w:r>
      <w:r w:rsidR="00C91CB1" w:rsidRPr="00D5464D">
        <w:rPr>
          <w:rFonts w:cs="Arial"/>
          <w:iCs/>
          <w:szCs w:val="20"/>
          <w:lang w:val="pt-BR"/>
        </w:rPr>
        <w:t xml:space="preserve">. Em </w:t>
      </w:r>
      <w:r w:rsidR="004B0842" w:rsidRPr="00D5464D">
        <w:rPr>
          <w:rFonts w:cs="Arial"/>
          <w:iCs/>
          <w:szCs w:val="20"/>
          <w:lang w:val="pt-BR"/>
        </w:rPr>
        <w:t>considera</w:t>
      </w:r>
      <w:r w:rsidR="00470ADC" w:rsidRPr="00D5464D">
        <w:rPr>
          <w:rFonts w:cs="Arial"/>
          <w:iCs/>
          <w:szCs w:val="20"/>
          <w:lang w:val="pt-BR"/>
        </w:rPr>
        <w:t xml:space="preserve">ção ao </w:t>
      </w:r>
      <w:r w:rsidR="002C330E" w:rsidRPr="00D5464D">
        <w:rPr>
          <w:rFonts w:cs="Arial"/>
          <w:iCs/>
          <w:szCs w:val="20"/>
          <w:lang w:val="pt-BR"/>
        </w:rPr>
        <w:t>princípio</w:t>
      </w:r>
      <w:r w:rsidR="004B0842" w:rsidRPr="00D5464D">
        <w:rPr>
          <w:rFonts w:cs="Arial"/>
          <w:iCs/>
          <w:szCs w:val="20"/>
          <w:lang w:val="pt-BR"/>
        </w:rPr>
        <w:t xml:space="preserve"> de irreversibilidad</w:t>
      </w:r>
      <w:r w:rsidR="004012FE" w:rsidRPr="00D5464D">
        <w:rPr>
          <w:rFonts w:cs="Arial"/>
          <w:iCs/>
          <w:szCs w:val="20"/>
          <w:lang w:val="pt-BR"/>
        </w:rPr>
        <w:t>e</w:t>
      </w:r>
      <w:r w:rsidR="00470ADC" w:rsidRPr="00D5464D">
        <w:rPr>
          <w:rFonts w:cs="Arial"/>
          <w:iCs/>
          <w:szCs w:val="20"/>
          <w:lang w:val="pt-BR"/>
        </w:rPr>
        <w:t xml:space="preserve"> dos direito</w:t>
      </w:r>
      <w:r w:rsidR="004B0842" w:rsidRPr="00D5464D">
        <w:rPr>
          <w:rFonts w:cs="Arial"/>
          <w:iCs/>
          <w:szCs w:val="20"/>
          <w:lang w:val="pt-BR"/>
        </w:rPr>
        <w:t xml:space="preserve">s </w:t>
      </w:r>
      <w:r w:rsidR="002C330E" w:rsidRPr="00D5464D">
        <w:rPr>
          <w:rFonts w:cs="Arial"/>
          <w:iCs/>
          <w:szCs w:val="20"/>
          <w:lang w:val="pt-BR"/>
        </w:rPr>
        <w:t>fundamentais</w:t>
      </w:r>
      <w:r w:rsidR="004B0842" w:rsidRPr="00D5464D">
        <w:rPr>
          <w:rFonts w:cs="Arial"/>
          <w:iCs/>
          <w:szCs w:val="20"/>
          <w:lang w:val="pt-BR"/>
        </w:rPr>
        <w:t>,</w:t>
      </w:r>
      <w:r w:rsidR="002C330E" w:rsidRPr="00D5464D">
        <w:rPr>
          <w:rFonts w:cs="Arial"/>
          <w:iCs/>
          <w:szCs w:val="20"/>
          <w:lang w:val="pt-BR"/>
        </w:rPr>
        <w:t xml:space="preserve"> os </w:t>
      </w:r>
      <w:r w:rsidR="00EB1CE9" w:rsidRPr="00D5464D">
        <w:rPr>
          <w:rFonts w:cs="Arial"/>
          <w:iCs/>
          <w:szCs w:val="20"/>
          <w:lang w:val="pt-BR"/>
        </w:rPr>
        <w:t>representante</w:t>
      </w:r>
      <w:r w:rsidR="004B0842" w:rsidRPr="00D5464D">
        <w:rPr>
          <w:rFonts w:cs="Arial"/>
          <w:iCs/>
          <w:szCs w:val="20"/>
          <w:lang w:val="pt-BR"/>
        </w:rPr>
        <w:t xml:space="preserve">s </w:t>
      </w:r>
      <w:r w:rsidR="002C330E" w:rsidRPr="00D5464D">
        <w:rPr>
          <w:rFonts w:cs="Arial"/>
          <w:iCs/>
          <w:szCs w:val="20"/>
          <w:lang w:val="pt-BR"/>
        </w:rPr>
        <w:t>solicitaram</w:t>
      </w:r>
      <w:r w:rsidR="004B0842" w:rsidRPr="00D5464D">
        <w:rPr>
          <w:rFonts w:cs="Arial"/>
          <w:iCs/>
          <w:szCs w:val="20"/>
          <w:lang w:val="pt-BR"/>
        </w:rPr>
        <w:t xml:space="preserve"> que </w:t>
      </w:r>
      <w:r w:rsidR="004012FE" w:rsidRPr="00D5464D">
        <w:rPr>
          <w:rFonts w:cs="Arial"/>
          <w:iCs/>
          <w:szCs w:val="20"/>
          <w:lang w:val="pt-BR"/>
        </w:rPr>
        <w:t xml:space="preserve">o </w:t>
      </w:r>
      <w:r w:rsidR="004B0842" w:rsidRPr="00D5464D">
        <w:rPr>
          <w:rFonts w:cs="Arial"/>
          <w:iCs/>
          <w:szCs w:val="20"/>
          <w:lang w:val="pt-BR"/>
        </w:rPr>
        <w:t>Brasil se abs</w:t>
      </w:r>
      <w:r w:rsidR="00E045D9" w:rsidRPr="00D5464D">
        <w:rPr>
          <w:rFonts w:cs="Arial"/>
          <w:iCs/>
          <w:szCs w:val="20"/>
          <w:lang w:val="pt-BR"/>
        </w:rPr>
        <w:t>tenha</w:t>
      </w:r>
      <w:r w:rsidR="004B0842" w:rsidRPr="00D5464D">
        <w:rPr>
          <w:rFonts w:cs="Arial"/>
          <w:iCs/>
          <w:szCs w:val="20"/>
          <w:lang w:val="pt-BR"/>
        </w:rPr>
        <w:t xml:space="preserve"> de </w:t>
      </w:r>
      <w:r w:rsidR="00470ADC" w:rsidRPr="00D5464D">
        <w:rPr>
          <w:rFonts w:cs="Arial"/>
          <w:iCs/>
          <w:szCs w:val="20"/>
          <w:lang w:val="pt-BR"/>
        </w:rPr>
        <w:t>adot</w:t>
      </w:r>
      <w:r w:rsidR="004B0842" w:rsidRPr="00D5464D">
        <w:rPr>
          <w:rFonts w:cs="Arial"/>
          <w:iCs/>
          <w:szCs w:val="20"/>
          <w:lang w:val="pt-BR"/>
        </w:rPr>
        <w:t>ar medidas legislativas que signifique</w:t>
      </w:r>
      <w:r w:rsidR="004012FE" w:rsidRPr="00D5464D">
        <w:rPr>
          <w:rFonts w:cs="Arial"/>
          <w:iCs/>
          <w:szCs w:val="20"/>
          <w:lang w:val="pt-BR"/>
        </w:rPr>
        <w:t>m</w:t>
      </w:r>
      <w:r w:rsidR="00E045D9" w:rsidRPr="00D5464D">
        <w:rPr>
          <w:rFonts w:cs="Arial"/>
          <w:iCs/>
          <w:szCs w:val="20"/>
          <w:lang w:val="pt-BR"/>
        </w:rPr>
        <w:t xml:space="preserve"> um </w:t>
      </w:r>
      <w:r w:rsidR="00350187" w:rsidRPr="00D5464D">
        <w:rPr>
          <w:rFonts w:cs="Arial"/>
          <w:iCs/>
          <w:szCs w:val="20"/>
          <w:lang w:val="pt-BR"/>
        </w:rPr>
        <w:t>retrocesso</w:t>
      </w:r>
      <w:r w:rsidR="00E045D9" w:rsidRPr="00D5464D">
        <w:rPr>
          <w:rFonts w:cs="Arial"/>
          <w:iCs/>
          <w:szCs w:val="20"/>
          <w:lang w:val="pt-BR"/>
        </w:rPr>
        <w:t xml:space="preserve"> no </w:t>
      </w:r>
      <w:r w:rsidR="004B0842" w:rsidRPr="00D5464D">
        <w:rPr>
          <w:rFonts w:cs="Arial"/>
          <w:iCs/>
          <w:szCs w:val="20"/>
          <w:lang w:val="pt-BR"/>
        </w:rPr>
        <w:t>combate</w:t>
      </w:r>
      <w:r w:rsidR="00470ADC" w:rsidRPr="00D5464D">
        <w:rPr>
          <w:rFonts w:cs="Arial"/>
          <w:iCs/>
          <w:szCs w:val="20"/>
          <w:lang w:val="pt-BR"/>
        </w:rPr>
        <w:t xml:space="preserve"> ao </w:t>
      </w:r>
      <w:r w:rsidR="00E045D9" w:rsidRPr="00D5464D">
        <w:rPr>
          <w:rFonts w:cs="Arial"/>
          <w:iCs/>
          <w:szCs w:val="20"/>
          <w:lang w:val="pt-BR"/>
        </w:rPr>
        <w:t>trabalho</w:t>
      </w:r>
      <w:r w:rsidR="004B0842" w:rsidRPr="00D5464D">
        <w:rPr>
          <w:rFonts w:cs="Arial"/>
          <w:iCs/>
          <w:szCs w:val="20"/>
          <w:lang w:val="pt-BR"/>
        </w:rPr>
        <w:t xml:space="preserve"> </w:t>
      </w:r>
      <w:r w:rsidR="004F1CC2" w:rsidRPr="00D5464D">
        <w:rPr>
          <w:rFonts w:cs="Arial"/>
          <w:iCs/>
          <w:szCs w:val="20"/>
          <w:lang w:val="pt-BR"/>
        </w:rPr>
        <w:t>escravo</w:t>
      </w:r>
      <w:r w:rsidR="004B0842" w:rsidRPr="00D5464D">
        <w:rPr>
          <w:rFonts w:cs="Arial"/>
          <w:iCs/>
          <w:szCs w:val="20"/>
          <w:lang w:val="pt-BR"/>
        </w:rPr>
        <w:t xml:space="preserve">. Adicionalmente, </w:t>
      </w:r>
      <w:r w:rsidR="002C330E" w:rsidRPr="00D5464D">
        <w:rPr>
          <w:rFonts w:cs="Arial"/>
          <w:iCs/>
          <w:szCs w:val="20"/>
          <w:lang w:val="pt-BR"/>
        </w:rPr>
        <w:t>afirmaram</w:t>
      </w:r>
      <w:r w:rsidR="004B0842" w:rsidRPr="00D5464D">
        <w:rPr>
          <w:rFonts w:cs="Arial"/>
          <w:iCs/>
          <w:szCs w:val="20"/>
          <w:lang w:val="pt-BR"/>
        </w:rPr>
        <w:t xml:space="preserve"> que</w:t>
      </w:r>
      <w:r w:rsidR="002C330E" w:rsidRPr="00D5464D">
        <w:rPr>
          <w:rFonts w:cs="Arial"/>
          <w:iCs/>
          <w:szCs w:val="20"/>
          <w:lang w:val="pt-BR"/>
        </w:rPr>
        <w:t xml:space="preserve"> as </w:t>
      </w:r>
      <w:r w:rsidR="004B0842" w:rsidRPr="00D5464D">
        <w:rPr>
          <w:rFonts w:cs="Arial"/>
          <w:iCs/>
          <w:szCs w:val="20"/>
          <w:lang w:val="pt-BR"/>
        </w:rPr>
        <w:t xml:space="preserve">penas </w:t>
      </w:r>
      <w:r w:rsidR="00470ADC" w:rsidRPr="00D5464D">
        <w:rPr>
          <w:rFonts w:cs="Arial"/>
          <w:iCs/>
          <w:szCs w:val="20"/>
          <w:lang w:val="pt-BR"/>
        </w:rPr>
        <w:t>estabelecid</w:t>
      </w:r>
      <w:r w:rsidR="004B0842" w:rsidRPr="00D5464D">
        <w:rPr>
          <w:rFonts w:cs="Arial"/>
          <w:iCs/>
          <w:szCs w:val="20"/>
          <w:lang w:val="pt-BR"/>
        </w:rPr>
        <w:t>as para</w:t>
      </w:r>
      <w:r w:rsidR="00470ADC" w:rsidRPr="00D5464D">
        <w:rPr>
          <w:rFonts w:cs="Arial"/>
          <w:iCs/>
          <w:szCs w:val="20"/>
          <w:lang w:val="pt-BR"/>
        </w:rPr>
        <w:t xml:space="preserve"> o </w:t>
      </w:r>
      <w:r w:rsidR="004B0842" w:rsidRPr="00D5464D">
        <w:rPr>
          <w:rFonts w:cs="Arial"/>
          <w:iCs/>
          <w:szCs w:val="20"/>
          <w:lang w:val="pt-BR"/>
        </w:rPr>
        <w:t xml:space="preserve">delito de </w:t>
      </w:r>
      <w:r w:rsidR="00E045D9" w:rsidRPr="00D5464D">
        <w:rPr>
          <w:rFonts w:cs="Arial"/>
          <w:iCs/>
          <w:szCs w:val="20"/>
          <w:lang w:val="pt-BR"/>
        </w:rPr>
        <w:t>trabalho</w:t>
      </w:r>
      <w:r w:rsidR="004B0842" w:rsidRPr="00D5464D">
        <w:rPr>
          <w:rFonts w:cs="Arial"/>
          <w:iCs/>
          <w:szCs w:val="20"/>
          <w:lang w:val="pt-BR"/>
        </w:rPr>
        <w:t xml:space="preserve"> </w:t>
      </w:r>
      <w:r w:rsidR="004F1CC2" w:rsidRPr="00D5464D">
        <w:rPr>
          <w:rFonts w:cs="Arial"/>
          <w:iCs/>
          <w:szCs w:val="20"/>
          <w:lang w:val="pt-BR"/>
        </w:rPr>
        <w:t>escravo</w:t>
      </w:r>
      <w:r w:rsidR="004B0842" w:rsidRPr="00D5464D">
        <w:rPr>
          <w:rFonts w:cs="Arial"/>
          <w:iCs/>
          <w:szCs w:val="20"/>
          <w:lang w:val="pt-BR"/>
        </w:rPr>
        <w:t>, do</w:t>
      </w:r>
      <w:r w:rsidR="004012FE" w:rsidRPr="00D5464D">
        <w:rPr>
          <w:rFonts w:cs="Arial"/>
          <w:iCs/>
          <w:szCs w:val="20"/>
          <w:lang w:val="pt-BR"/>
        </w:rPr>
        <w:t>i</w:t>
      </w:r>
      <w:r w:rsidR="004B0842" w:rsidRPr="00D5464D">
        <w:rPr>
          <w:rFonts w:cs="Arial"/>
          <w:iCs/>
          <w:szCs w:val="20"/>
          <w:lang w:val="pt-BR"/>
        </w:rPr>
        <w:t xml:space="preserve">s a </w:t>
      </w:r>
      <w:r w:rsidR="002C330E" w:rsidRPr="00D5464D">
        <w:rPr>
          <w:rFonts w:cs="Arial"/>
          <w:iCs/>
          <w:szCs w:val="20"/>
          <w:lang w:val="pt-BR"/>
        </w:rPr>
        <w:t>oito</w:t>
      </w:r>
      <w:r w:rsidR="004B0842" w:rsidRPr="00D5464D">
        <w:rPr>
          <w:rFonts w:cs="Arial"/>
          <w:iCs/>
          <w:szCs w:val="20"/>
          <w:lang w:val="pt-BR"/>
        </w:rPr>
        <w:t xml:space="preserve"> </w:t>
      </w:r>
      <w:r w:rsidR="00470ADC" w:rsidRPr="00D5464D">
        <w:rPr>
          <w:rFonts w:cs="Arial"/>
          <w:iCs/>
          <w:szCs w:val="20"/>
          <w:lang w:val="pt-BR"/>
        </w:rPr>
        <w:t>anos</w:t>
      </w:r>
      <w:r w:rsidR="004B0842" w:rsidRPr="00D5464D">
        <w:rPr>
          <w:rFonts w:cs="Arial"/>
          <w:iCs/>
          <w:szCs w:val="20"/>
          <w:lang w:val="pt-BR"/>
        </w:rPr>
        <w:t xml:space="preserve"> de </w:t>
      </w:r>
      <w:r w:rsidR="004012FE" w:rsidRPr="00D5464D">
        <w:rPr>
          <w:rFonts w:cs="Arial"/>
          <w:iCs/>
          <w:szCs w:val="20"/>
          <w:lang w:val="pt-BR"/>
        </w:rPr>
        <w:t>detenção</w:t>
      </w:r>
      <w:r w:rsidR="004B0842" w:rsidRPr="00D5464D">
        <w:rPr>
          <w:rFonts w:cs="Arial"/>
          <w:iCs/>
          <w:szCs w:val="20"/>
          <w:lang w:val="pt-BR"/>
        </w:rPr>
        <w:t>,</w:t>
      </w:r>
      <w:r w:rsidR="002C330E" w:rsidRPr="00D5464D">
        <w:rPr>
          <w:rFonts w:cs="Arial"/>
          <w:iCs/>
          <w:szCs w:val="20"/>
          <w:lang w:val="pt-BR"/>
        </w:rPr>
        <w:t xml:space="preserve"> são </w:t>
      </w:r>
      <w:r w:rsidR="004012FE" w:rsidRPr="00D5464D">
        <w:rPr>
          <w:rFonts w:cs="Arial"/>
          <w:iCs/>
          <w:szCs w:val="20"/>
          <w:lang w:val="pt-BR"/>
        </w:rPr>
        <w:t xml:space="preserve">muito </w:t>
      </w:r>
      <w:r w:rsidR="00A1358C" w:rsidRPr="00D5464D">
        <w:rPr>
          <w:rFonts w:cs="Arial"/>
          <w:iCs/>
          <w:szCs w:val="20"/>
          <w:lang w:val="pt-BR"/>
        </w:rPr>
        <w:t>baixa</w:t>
      </w:r>
      <w:r w:rsidR="004B0842" w:rsidRPr="00D5464D">
        <w:rPr>
          <w:rFonts w:cs="Arial"/>
          <w:iCs/>
          <w:szCs w:val="20"/>
          <w:lang w:val="pt-BR"/>
        </w:rPr>
        <w:t>s</w:t>
      </w:r>
      <w:r w:rsidR="00E045D9" w:rsidRPr="00D5464D">
        <w:rPr>
          <w:rFonts w:cs="Arial"/>
          <w:iCs/>
          <w:szCs w:val="20"/>
          <w:lang w:val="pt-BR"/>
        </w:rPr>
        <w:t xml:space="preserve"> e </w:t>
      </w:r>
      <w:r w:rsidR="002C330E" w:rsidRPr="00D5464D">
        <w:rPr>
          <w:rFonts w:cs="Arial"/>
          <w:iCs/>
          <w:szCs w:val="20"/>
          <w:lang w:val="pt-BR"/>
        </w:rPr>
        <w:t>solicitaram</w:t>
      </w:r>
      <w:r w:rsidR="004B0842" w:rsidRPr="00D5464D">
        <w:rPr>
          <w:rFonts w:cs="Arial"/>
          <w:iCs/>
          <w:szCs w:val="20"/>
          <w:lang w:val="pt-BR"/>
        </w:rPr>
        <w:t xml:space="preserve"> que</w:t>
      </w:r>
      <w:r w:rsidR="00470ADC" w:rsidRPr="00D5464D">
        <w:rPr>
          <w:rFonts w:cs="Arial"/>
          <w:iCs/>
          <w:szCs w:val="20"/>
          <w:lang w:val="pt-BR"/>
        </w:rPr>
        <w:t xml:space="preserve"> o </w:t>
      </w:r>
      <w:r w:rsidR="004B0842" w:rsidRPr="00D5464D">
        <w:rPr>
          <w:rFonts w:cs="Arial"/>
          <w:iCs/>
          <w:szCs w:val="20"/>
          <w:lang w:val="pt-BR"/>
        </w:rPr>
        <w:t xml:space="preserve">Estado </w:t>
      </w:r>
      <w:r w:rsidR="00470ADC" w:rsidRPr="00D5464D">
        <w:rPr>
          <w:rFonts w:cs="Arial"/>
          <w:iCs/>
          <w:szCs w:val="20"/>
          <w:lang w:val="pt-BR"/>
        </w:rPr>
        <w:t>estabeleça</w:t>
      </w:r>
      <w:r w:rsidR="004B0842" w:rsidRPr="00D5464D">
        <w:rPr>
          <w:rFonts w:cs="Arial"/>
          <w:iCs/>
          <w:szCs w:val="20"/>
          <w:lang w:val="pt-BR"/>
        </w:rPr>
        <w:t xml:space="preserve"> </w:t>
      </w:r>
      <w:r w:rsidR="002C330E" w:rsidRPr="00D5464D">
        <w:rPr>
          <w:rFonts w:cs="Arial"/>
          <w:iCs/>
          <w:szCs w:val="20"/>
          <w:lang w:val="pt-BR"/>
        </w:rPr>
        <w:t>nova</w:t>
      </w:r>
      <w:r w:rsidR="004B0842" w:rsidRPr="00D5464D">
        <w:rPr>
          <w:rFonts w:cs="Arial"/>
          <w:iCs/>
          <w:szCs w:val="20"/>
          <w:lang w:val="pt-BR"/>
        </w:rPr>
        <w:t>s penas</w:t>
      </w:r>
      <w:r w:rsidR="004012FE" w:rsidRPr="00D5464D">
        <w:rPr>
          <w:rFonts w:cs="Arial"/>
          <w:iCs/>
          <w:szCs w:val="20"/>
          <w:lang w:val="pt-BR"/>
        </w:rPr>
        <w:t>,</w:t>
      </w:r>
      <w:r w:rsidR="004B0842" w:rsidRPr="00D5464D">
        <w:rPr>
          <w:rFonts w:cs="Arial"/>
          <w:iCs/>
          <w:szCs w:val="20"/>
          <w:lang w:val="pt-BR"/>
        </w:rPr>
        <w:t xml:space="preserve"> </w:t>
      </w:r>
      <w:r w:rsidR="002C330E" w:rsidRPr="00D5464D">
        <w:rPr>
          <w:rFonts w:cs="Arial"/>
          <w:iCs/>
          <w:szCs w:val="20"/>
          <w:lang w:val="pt-BR"/>
        </w:rPr>
        <w:t xml:space="preserve">mais </w:t>
      </w:r>
      <w:r w:rsidR="00470ADC" w:rsidRPr="00D5464D">
        <w:rPr>
          <w:rFonts w:cs="Arial"/>
          <w:iCs/>
          <w:szCs w:val="20"/>
          <w:lang w:val="pt-BR"/>
        </w:rPr>
        <w:t>efetiv</w:t>
      </w:r>
      <w:r w:rsidR="004B0842" w:rsidRPr="00D5464D">
        <w:rPr>
          <w:rFonts w:cs="Arial"/>
          <w:iCs/>
          <w:szCs w:val="20"/>
          <w:lang w:val="pt-BR"/>
        </w:rPr>
        <w:t>as</w:t>
      </w:r>
      <w:r w:rsidR="00E045D9" w:rsidRPr="00D5464D">
        <w:rPr>
          <w:rFonts w:cs="Arial"/>
          <w:iCs/>
          <w:szCs w:val="20"/>
          <w:lang w:val="pt-BR"/>
        </w:rPr>
        <w:t xml:space="preserve"> e </w:t>
      </w:r>
      <w:r w:rsidR="00230C71" w:rsidRPr="00D5464D">
        <w:rPr>
          <w:rFonts w:cs="Arial"/>
          <w:iCs/>
          <w:szCs w:val="20"/>
          <w:lang w:val="pt-BR"/>
        </w:rPr>
        <w:t>proporcionais</w:t>
      </w:r>
      <w:r w:rsidR="00470ADC" w:rsidRPr="00D5464D">
        <w:rPr>
          <w:rFonts w:cs="Arial"/>
          <w:iCs/>
          <w:szCs w:val="20"/>
          <w:lang w:val="pt-BR"/>
        </w:rPr>
        <w:t xml:space="preserve"> à </w:t>
      </w:r>
      <w:r w:rsidR="002C330E" w:rsidRPr="00D5464D">
        <w:rPr>
          <w:rFonts w:cs="Arial"/>
          <w:iCs/>
          <w:szCs w:val="20"/>
          <w:lang w:val="pt-BR"/>
        </w:rPr>
        <w:t xml:space="preserve">gravidade </w:t>
      </w:r>
      <w:r w:rsidR="00470ADC" w:rsidRPr="00D5464D">
        <w:rPr>
          <w:rFonts w:cs="Arial"/>
          <w:iCs/>
          <w:szCs w:val="20"/>
          <w:lang w:val="pt-BR"/>
        </w:rPr>
        <w:t xml:space="preserve">dos </w:t>
      </w:r>
      <w:r w:rsidR="002C330E" w:rsidRPr="00D5464D">
        <w:rPr>
          <w:rFonts w:cs="Arial"/>
          <w:iCs/>
          <w:szCs w:val="20"/>
          <w:lang w:val="pt-BR"/>
        </w:rPr>
        <w:t>fatos</w:t>
      </w:r>
      <w:r w:rsidR="004B0842" w:rsidRPr="00D5464D">
        <w:rPr>
          <w:rFonts w:cs="Arial"/>
          <w:iCs/>
          <w:szCs w:val="20"/>
          <w:lang w:val="pt-BR"/>
        </w:rPr>
        <w:t>.</w:t>
      </w:r>
    </w:p>
    <w:p w14:paraId="50774DD9" w14:textId="77777777" w:rsidR="00747A03" w:rsidRPr="00D5464D" w:rsidRDefault="00747A03" w:rsidP="00747A03">
      <w:pPr>
        <w:pStyle w:val="Prrafodelista"/>
        <w:autoSpaceDE w:val="0"/>
        <w:autoSpaceDN w:val="0"/>
        <w:adjustRightInd w:val="0"/>
        <w:ind w:left="0"/>
        <w:rPr>
          <w:rFonts w:cs="Arial"/>
          <w:iCs/>
          <w:szCs w:val="20"/>
          <w:lang w:val="pt-BR"/>
        </w:rPr>
      </w:pPr>
    </w:p>
    <w:p w14:paraId="6D3BD1C1" w14:textId="20143FE3" w:rsidR="004B0842" w:rsidRPr="00D5464D" w:rsidRDefault="00470ADC"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O </w:t>
      </w:r>
      <w:r w:rsidR="004B0842" w:rsidRPr="00D5464D">
        <w:rPr>
          <w:rFonts w:cs="Arial"/>
          <w:b/>
          <w:i/>
          <w:iCs/>
          <w:szCs w:val="20"/>
          <w:lang w:val="pt-BR"/>
        </w:rPr>
        <w:t>Estado</w:t>
      </w:r>
      <w:r w:rsidR="004B0842" w:rsidRPr="00D5464D">
        <w:rPr>
          <w:rFonts w:cs="Arial"/>
          <w:iCs/>
          <w:szCs w:val="20"/>
          <w:lang w:val="pt-BR"/>
        </w:rPr>
        <w:t xml:space="preserve"> </w:t>
      </w:r>
      <w:r w:rsidRPr="00D5464D">
        <w:rPr>
          <w:rFonts w:cs="Arial"/>
          <w:iCs/>
          <w:szCs w:val="20"/>
          <w:lang w:val="pt-BR"/>
        </w:rPr>
        <w:t>argumentou</w:t>
      </w:r>
      <w:r w:rsidR="004B0842" w:rsidRPr="00D5464D">
        <w:rPr>
          <w:rFonts w:cs="Arial"/>
          <w:iCs/>
          <w:szCs w:val="20"/>
          <w:lang w:val="pt-BR"/>
        </w:rPr>
        <w:t xml:space="preserve"> que</w:t>
      </w:r>
      <w:r w:rsidR="002C330E" w:rsidRPr="00D5464D">
        <w:rPr>
          <w:rFonts w:cs="Arial"/>
          <w:iCs/>
          <w:szCs w:val="20"/>
          <w:lang w:val="pt-BR"/>
        </w:rPr>
        <w:t xml:space="preserve"> a </w:t>
      </w:r>
      <w:r w:rsidR="004B0842" w:rsidRPr="00D5464D">
        <w:rPr>
          <w:rFonts w:cs="Arial"/>
          <w:iCs/>
          <w:szCs w:val="20"/>
          <w:lang w:val="pt-BR"/>
        </w:rPr>
        <w:t xml:space="preserve">Corte </w:t>
      </w:r>
      <w:r w:rsidR="00737270" w:rsidRPr="00D5464D">
        <w:rPr>
          <w:rFonts w:cs="Arial"/>
          <w:iCs/>
          <w:szCs w:val="20"/>
          <w:lang w:val="pt-BR"/>
        </w:rPr>
        <w:t>não pode</w:t>
      </w:r>
      <w:r w:rsidR="004B0842" w:rsidRPr="00D5464D">
        <w:rPr>
          <w:rFonts w:cs="Arial"/>
          <w:iCs/>
          <w:szCs w:val="20"/>
          <w:lang w:val="pt-BR"/>
        </w:rPr>
        <w:t xml:space="preserve"> </w:t>
      </w:r>
      <w:r w:rsidR="004012FE" w:rsidRPr="00D5464D">
        <w:rPr>
          <w:rFonts w:cs="Arial"/>
          <w:iCs/>
          <w:szCs w:val="20"/>
          <w:lang w:val="pt-BR"/>
        </w:rPr>
        <w:t xml:space="preserve">se </w:t>
      </w:r>
      <w:r w:rsidR="002C330E" w:rsidRPr="00D5464D">
        <w:rPr>
          <w:rFonts w:cs="Arial"/>
          <w:iCs/>
          <w:szCs w:val="20"/>
          <w:lang w:val="pt-BR"/>
        </w:rPr>
        <w:t>pronunciar</w:t>
      </w:r>
      <w:r w:rsidR="004B0842" w:rsidRPr="00D5464D">
        <w:rPr>
          <w:rFonts w:cs="Arial"/>
          <w:iCs/>
          <w:szCs w:val="20"/>
          <w:lang w:val="pt-BR"/>
        </w:rPr>
        <w:t xml:space="preserve"> sobre</w:t>
      </w:r>
      <w:r w:rsidR="002C330E" w:rsidRPr="00D5464D">
        <w:rPr>
          <w:rFonts w:cs="Arial"/>
          <w:iCs/>
          <w:szCs w:val="20"/>
          <w:lang w:val="pt-BR"/>
        </w:rPr>
        <w:t xml:space="preserve"> a </w:t>
      </w:r>
      <w:r w:rsidR="004B0842" w:rsidRPr="00D5464D">
        <w:rPr>
          <w:rFonts w:cs="Arial"/>
          <w:iCs/>
          <w:szCs w:val="20"/>
          <w:lang w:val="pt-BR"/>
        </w:rPr>
        <w:t>proporcion</w:t>
      </w:r>
      <w:r w:rsidR="00EB1CE9" w:rsidRPr="00D5464D">
        <w:rPr>
          <w:rFonts w:cs="Arial"/>
          <w:iCs/>
          <w:szCs w:val="20"/>
          <w:lang w:val="pt-BR"/>
        </w:rPr>
        <w:t xml:space="preserve">alidade </w:t>
      </w:r>
      <w:r w:rsidRPr="00D5464D">
        <w:rPr>
          <w:rFonts w:cs="Arial"/>
          <w:iCs/>
          <w:szCs w:val="20"/>
          <w:lang w:val="pt-BR"/>
        </w:rPr>
        <w:t xml:space="preserve">em </w:t>
      </w:r>
      <w:r w:rsidR="00230C71" w:rsidRPr="00D5464D">
        <w:rPr>
          <w:rFonts w:cs="Arial"/>
          <w:iCs/>
          <w:szCs w:val="20"/>
          <w:lang w:val="pt-BR"/>
        </w:rPr>
        <w:t>abstrat</w:t>
      </w:r>
      <w:r w:rsidR="004B0842" w:rsidRPr="00D5464D">
        <w:rPr>
          <w:rFonts w:cs="Arial"/>
          <w:iCs/>
          <w:szCs w:val="20"/>
          <w:lang w:val="pt-BR"/>
        </w:rPr>
        <w:t>o</w:t>
      </w:r>
      <w:r w:rsidRPr="00D5464D">
        <w:rPr>
          <w:rFonts w:cs="Arial"/>
          <w:iCs/>
          <w:szCs w:val="20"/>
          <w:lang w:val="pt-BR"/>
        </w:rPr>
        <w:t xml:space="preserve"> da </w:t>
      </w:r>
      <w:r w:rsidR="004B0842" w:rsidRPr="00D5464D">
        <w:rPr>
          <w:rFonts w:cs="Arial"/>
          <w:iCs/>
          <w:szCs w:val="20"/>
          <w:lang w:val="pt-BR"/>
        </w:rPr>
        <w:t>pena</w:t>
      </w:r>
      <w:r w:rsidRPr="00D5464D">
        <w:rPr>
          <w:rFonts w:cs="Arial"/>
          <w:iCs/>
          <w:szCs w:val="20"/>
          <w:lang w:val="pt-BR"/>
        </w:rPr>
        <w:t xml:space="preserve"> </w:t>
      </w:r>
      <w:r w:rsidR="004012FE" w:rsidRPr="00D5464D">
        <w:rPr>
          <w:rFonts w:cs="Arial"/>
          <w:iCs/>
          <w:szCs w:val="20"/>
          <w:lang w:val="pt-BR"/>
        </w:rPr>
        <w:t xml:space="preserve">atribuída </w:t>
      </w:r>
      <w:r w:rsidRPr="00D5464D">
        <w:rPr>
          <w:rFonts w:cs="Arial"/>
          <w:iCs/>
          <w:szCs w:val="20"/>
          <w:lang w:val="pt-BR"/>
        </w:rPr>
        <w:t xml:space="preserve">ao </w:t>
      </w:r>
      <w:r w:rsidR="004B0842" w:rsidRPr="00D5464D">
        <w:rPr>
          <w:rFonts w:cs="Arial"/>
          <w:iCs/>
          <w:szCs w:val="20"/>
          <w:lang w:val="pt-BR"/>
        </w:rPr>
        <w:t xml:space="preserve">delito de </w:t>
      </w:r>
      <w:r w:rsidR="00E045D9" w:rsidRPr="00D5464D">
        <w:rPr>
          <w:rFonts w:cs="Arial"/>
          <w:iCs/>
          <w:szCs w:val="20"/>
          <w:lang w:val="pt-BR"/>
        </w:rPr>
        <w:t>trabalho</w:t>
      </w:r>
      <w:r w:rsidR="004B0842" w:rsidRPr="00D5464D">
        <w:rPr>
          <w:rFonts w:cs="Arial"/>
          <w:iCs/>
          <w:szCs w:val="20"/>
          <w:lang w:val="pt-BR"/>
        </w:rPr>
        <w:t xml:space="preserve"> </w:t>
      </w:r>
      <w:r w:rsidR="004F1CC2" w:rsidRPr="00D5464D">
        <w:rPr>
          <w:rFonts w:cs="Arial"/>
          <w:iCs/>
          <w:szCs w:val="20"/>
          <w:lang w:val="pt-BR"/>
        </w:rPr>
        <w:t>escravo</w:t>
      </w:r>
      <w:r w:rsidR="00E045D9" w:rsidRPr="00D5464D">
        <w:rPr>
          <w:rFonts w:cs="Arial"/>
          <w:iCs/>
          <w:szCs w:val="20"/>
          <w:lang w:val="pt-BR"/>
        </w:rPr>
        <w:t xml:space="preserve"> e </w:t>
      </w:r>
      <w:r w:rsidR="004B0842" w:rsidRPr="00D5464D">
        <w:rPr>
          <w:rFonts w:cs="Arial"/>
          <w:iCs/>
          <w:szCs w:val="20"/>
          <w:lang w:val="pt-BR"/>
        </w:rPr>
        <w:t>que</w:t>
      </w:r>
      <w:r w:rsidR="002C330E" w:rsidRPr="00D5464D">
        <w:rPr>
          <w:rFonts w:cs="Arial"/>
          <w:iCs/>
          <w:szCs w:val="20"/>
          <w:lang w:val="pt-BR"/>
        </w:rPr>
        <w:t xml:space="preserve"> os </w:t>
      </w:r>
      <w:r w:rsidR="00EB1CE9" w:rsidRPr="00D5464D">
        <w:rPr>
          <w:rFonts w:cs="Arial"/>
          <w:iCs/>
          <w:szCs w:val="20"/>
          <w:lang w:val="pt-BR"/>
        </w:rPr>
        <w:t>representante</w:t>
      </w:r>
      <w:r w:rsidR="004B0842" w:rsidRPr="00D5464D">
        <w:rPr>
          <w:rFonts w:cs="Arial"/>
          <w:iCs/>
          <w:szCs w:val="20"/>
          <w:lang w:val="pt-BR"/>
        </w:rPr>
        <w:t>s n</w:t>
      </w:r>
      <w:r w:rsidR="004012FE" w:rsidRPr="00D5464D">
        <w:rPr>
          <w:rFonts w:cs="Arial"/>
          <w:iCs/>
          <w:szCs w:val="20"/>
          <w:lang w:val="pt-BR"/>
        </w:rPr>
        <w:t>ã</w:t>
      </w:r>
      <w:r w:rsidR="004B0842" w:rsidRPr="00D5464D">
        <w:rPr>
          <w:rFonts w:cs="Arial"/>
          <w:iCs/>
          <w:szCs w:val="20"/>
          <w:lang w:val="pt-BR"/>
        </w:rPr>
        <w:t xml:space="preserve">o </w:t>
      </w:r>
      <w:r w:rsidR="002C330E" w:rsidRPr="00D5464D">
        <w:rPr>
          <w:rFonts w:cs="Arial"/>
          <w:iCs/>
          <w:szCs w:val="20"/>
          <w:lang w:val="pt-BR"/>
        </w:rPr>
        <w:t>indicaram</w:t>
      </w:r>
      <w:r w:rsidR="004B0842" w:rsidRPr="00D5464D">
        <w:rPr>
          <w:rFonts w:cs="Arial"/>
          <w:iCs/>
          <w:szCs w:val="20"/>
          <w:lang w:val="pt-BR"/>
        </w:rPr>
        <w:t xml:space="preserve"> </w:t>
      </w:r>
      <w:r w:rsidR="002C330E" w:rsidRPr="00D5464D">
        <w:rPr>
          <w:rFonts w:cs="Arial"/>
          <w:iCs/>
          <w:szCs w:val="20"/>
          <w:lang w:val="pt-BR"/>
        </w:rPr>
        <w:t>parâmetro</w:t>
      </w:r>
      <w:r w:rsidR="004B0842" w:rsidRPr="00D5464D">
        <w:rPr>
          <w:rFonts w:cs="Arial"/>
          <w:iCs/>
          <w:szCs w:val="20"/>
          <w:lang w:val="pt-BR"/>
        </w:rPr>
        <w:t>s interamericanos violados p</w:t>
      </w:r>
      <w:r w:rsidR="004012FE" w:rsidRPr="00D5464D">
        <w:rPr>
          <w:rFonts w:cs="Arial"/>
          <w:iCs/>
          <w:szCs w:val="20"/>
          <w:lang w:val="pt-BR"/>
        </w:rPr>
        <w:t>elo</w:t>
      </w:r>
      <w:r w:rsidR="004B0842" w:rsidRPr="00D5464D">
        <w:rPr>
          <w:rFonts w:cs="Arial"/>
          <w:iCs/>
          <w:szCs w:val="20"/>
          <w:lang w:val="pt-BR"/>
        </w:rPr>
        <w:t xml:space="preserve"> Brasil. </w:t>
      </w:r>
      <w:r w:rsidR="002C330E" w:rsidRPr="00D5464D">
        <w:rPr>
          <w:rFonts w:cs="Arial"/>
          <w:iCs/>
          <w:szCs w:val="20"/>
          <w:lang w:val="pt-BR"/>
        </w:rPr>
        <w:t>Afirmou</w:t>
      </w:r>
      <w:r w:rsidR="004B0842" w:rsidRPr="00D5464D">
        <w:rPr>
          <w:rFonts w:cs="Arial"/>
          <w:iCs/>
          <w:szCs w:val="20"/>
          <w:lang w:val="pt-BR"/>
        </w:rPr>
        <w:t xml:space="preserve"> </w:t>
      </w:r>
      <w:r w:rsidR="00E045D9" w:rsidRPr="00D5464D">
        <w:rPr>
          <w:rFonts w:cs="Arial"/>
          <w:iCs/>
          <w:szCs w:val="20"/>
          <w:lang w:val="pt-BR"/>
        </w:rPr>
        <w:t>também</w:t>
      </w:r>
      <w:r w:rsidR="004B0842" w:rsidRPr="00D5464D">
        <w:rPr>
          <w:rFonts w:cs="Arial"/>
          <w:iCs/>
          <w:szCs w:val="20"/>
          <w:lang w:val="pt-BR"/>
        </w:rPr>
        <w:t xml:space="preserve"> que</w:t>
      </w:r>
      <w:r w:rsidR="002C330E" w:rsidRPr="00D5464D">
        <w:rPr>
          <w:rFonts w:cs="Arial"/>
          <w:iCs/>
          <w:szCs w:val="20"/>
          <w:lang w:val="pt-BR"/>
        </w:rPr>
        <w:t xml:space="preserve"> a </w:t>
      </w:r>
      <w:r w:rsidR="004B0842" w:rsidRPr="00D5464D">
        <w:rPr>
          <w:rFonts w:cs="Arial"/>
          <w:iCs/>
          <w:szCs w:val="20"/>
          <w:lang w:val="pt-BR"/>
        </w:rPr>
        <w:t>proporcion</w:t>
      </w:r>
      <w:r w:rsidR="00EB1CE9" w:rsidRPr="00D5464D">
        <w:rPr>
          <w:rFonts w:cs="Arial"/>
          <w:iCs/>
          <w:szCs w:val="20"/>
          <w:lang w:val="pt-BR"/>
        </w:rPr>
        <w:t xml:space="preserve">alidade </w:t>
      </w:r>
      <w:r w:rsidRPr="00D5464D">
        <w:rPr>
          <w:rFonts w:cs="Arial"/>
          <w:iCs/>
          <w:szCs w:val="20"/>
          <w:lang w:val="pt-BR"/>
        </w:rPr>
        <w:t xml:space="preserve">da </w:t>
      </w:r>
      <w:r w:rsidR="004B0842" w:rsidRPr="00D5464D">
        <w:rPr>
          <w:rFonts w:cs="Arial"/>
          <w:iCs/>
          <w:szCs w:val="20"/>
          <w:lang w:val="pt-BR"/>
        </w:rPr>
        <w:t>pena</w:t>
      </w:r>
      <w:r w:rsidR="00D14320" w:rsidRPr="00D5464D">
        <w:rPr>
          <w:rFonts w:cs="Arial"/>
          <w:iCs/>
          <w:szCs w:val="20"/>
          <w:lang w:val="pt-BR"/>
        </w:rPr>
        <w:t xml:space="preserve"> apenas </w:t>
      </w:r>
      <w:r w:rsidR="002C330E" w:rsidRPr="00D5464D">
        <w:rPr>
          <w:rFonts w:cs="Arial"/>
          <w:iCs/>
          <w:szCs w:val="20"/>
          <w:lang w:val="pt-BR"/>
        </w:rPr>
        <w:t>pode</w:t>
      </w:r>
      <w:r w:rsidR="004B0842" w:rsidRPr="00D5464D">
        <w:rPr>
          <w:rFonts w:cs="Arial"/>
          <w:iCs/>
          <w:szCs w:val="20"/>
          <w:lang w:val="pt-BR"/>
        </w:rPr>
        <w:t xml:space="preserve"> ser considerada </w:t>
      </w:r>
      <w:r w:rsidR="005B3867" w:rsidRPr="00D5464D">
        <w:rPr>
          <w:rFonts w:cs="Arial"/>
          <w:iCs/>
          <w:szCs w:val="20"/>
          <w:lang w:val="pt-BR"/>
        </w:rPr>
        <w:t>a</w:t>
      </w:r>
      <w:r w:rsidR="002C330E" w:rsidRPr="00D5464D">
        <w:rPr>
          <w:rFonts w:cs="Arial"/>
          <w:iCs/>
          <w:szCs w:val="20"/>
          <w:lang w:val="pt-BR"/>
        </w:rPr>
        <w:t xml:space="preserve"> respeito</w:t>
      </w:r>
      <w:r w:rsidR="004B0842" w:rsidRPr="00D5464D">
        <w:rPr>
          <w:rFonts w:cs="Arial"/>
          <w:iCs/>
          <w:szCs w:val="20"/>
          <w:lang w:val="pt-BR"/>
        </w:rPr>
        <w:t xml:space="preserve"> </w:t>
      </w:r>
      <w:r w:rsidR="005B3867" w:rsidRPr="00D5464D">
        <w:rPr>
          <w:rFonts w:cs="Arial"/>
          <w:iCs/>
          <w:szCs w:val="20"/>
          <w:lang w:val="pt-BR"/>
        </w:rPr>
        <w:t xml:space="preserve">de </w:t>
      </w:r>
      <w:r w:rsidR="00E045D9" w:rsidRPr="00D5464D">
        <w:rPr>
          <w:rFonts w:cs="Arial"/>
          <w:iCs/>
          <w:szCs w:val="20"/>
          <w:lang w:val="pt-BR"/>
        </w:rPr>
        <w:t xml:space="preserve">um </w:t>
      </w:r>
      <w:r w:rsidR="004B0842" w:rsidRPr="00D5464D">
        <w:rPr>
          <w:rFonts w:cs="Arial"/>
          <w:iCs/>
          <w:szCs w:val="20"/>
          <w:lang w:val="pt-BR"/>
        </w:rPr>
        <w:t>caso concreto</w:t>
      </w:r>
      <w:r w:rsidR="00E045D9" w:rsidRPr="00D5464D">
        <w:rPr>
          <w:rFonts w:cs="Arial"/>
          <w:iCs/>
          <w:szCs w:val="20"/>
          <w:lang w:val="pt-BR"/>
        </w:rPr>
        <w:t xml:space="preserve"> e </w:t>
      </w:r>
      <w:r w:rsidR="004B0842" w:rsidRPr="00D5464D">
        <w:rPr>
          <w:rFonts w:cs="Arial"/>
          <w:iCs/>
          <w:szCs w:val="20"/>
          <w:lang w:val="pt-BR"/>
        </w:rPr>
        <w:t>que</w:t>
      </w:r>
      <w:r w:rsidRPr="00D5464D">
        <w:rPr>
          <w:rFonts w:cs="Arial"/>
          <w:iCs/>
          <w:szCs w:val="20"/>
          <w:lang w:val="pt-BR"/>
        </w:rPr>
        <w:t xml:space="preserve"> o </w:t>
      </w:r>
      <w:r w:rsidR="004012FE" w:rsidRPr="00D5464D">
        <w:rPr>
          <w:rFonts w:cs="Arial"/>
          <w:iCs/>
          <w:szCs w:val="20"/>
          <w:lang w:val="pt-BR"/>
        </w:rPr>
        <w:t>intervalo</w:t>
      </w:r>
      <w:r w:rsidR="004B0842" w:rsidRPr="00D5464D">
        <w:rPr>
          <w:rFonts w:cs="Arial"/>
          <w:iCs/>
          <w:szCs w:val="20"/>
          <w:lang w:val="pt-BR"/>
        </w:rPr>
        <w:t xml:space="preserve"> de do</w:t>
      </w:r>
      <w:r w:rsidR="004012FE" w:rsidRPr="00D5464D">
        <w:rPr>
          <w:rFonts w:cs="Arial"/>
          <w:iCs/>
          <w:szCs w:val="20"/>
          <w:lang w:val="pt-BR"/>
        </w:rPr>
        <w:t>i</w:t>
      </w:r>
      <w:r w:rsidR="004B0842" w:rsidRPr="00D5464D">
        <w:rPr>
          <w:rFonts w:cs="Arial"/>
          <w:iCs/>
          <w:szCs w:val="20"/>
          <w:lang w:val="pt-BR"/>
        </w:rPr>
        <w:t xml:space="preserve">s a </w:t>
      </w:r>
      <w:r w:rsidR="002C330E" w:rsidRPr="00D5464D">
        <w:rPr>
          <w:rFonts w:cs="Arial"/>
          <w:iCs/>
          <w:szCs w:val="20"/>
          <w:lang w:val="pt-BR"/>
        </w:rPr>
        <w:t>oito</w:t>
      </w:r>
      <w:r w:rsidR="004B0842" w:rsidRPr="00D5464D">
        <w:rPr>
          <w:rFonts w:cs="Arial"/>
          <w:iCs/>
          <w:szCs w:val="20"/>
          <w:lang w:val="pt-BR"/>
        </w:rPr>
        <w:t xml:space="preserve"> </w:t>
      </w:r>
      <w:r w:rsidRPr="00D5464D">
        <w:rPr>
          <w:rFonts w:cs="Arial"/>
          <w:iCs/>
          <w:szCs w:val="20"/>
          <w:lang w:val="pt-BR"/>
        </w:rPr>
        <w:t>anos</w:t>
      </w:r>
      <w:r w:rsidR="004B0842" w:rsidRPr="00D5464D">
        <w:rPr>
          <w:rFonts w:cs="Arial"/>
          <w:iCs/>
          <w:szCs w:val="20"/>
          <w:lang w:val="pt-BR"/>
        </w:rPr>
        <w:t xml:space="preserve"> </w:t>
      </w:r>
      <w:r w:rsidRPr="00D5464D">
        <w:rPr>
          <w:rFonts w:cs="Arial"/>
          <w:iCs/>
          <w:szCs w:val="20"/>
          <w:lang w:val="pt-BR"/>
        </w:rPr>
        <w:t>estabelecid</w:t>
      </w:r>
      <w:r w:rsidR="004B0842" w:rsidRPr="00D5464D">
        <w:rPr>
          <w:rFonts w:cs="Arial"/>
          <w:iCs/>
          <w:szCs w:val="20"/>
          <w:lang w:val="pt-BR"/>
        </w:rPr>
        <w:t>o</w:t>
      </w:r>
      <w:r w:rsidR="00E045D9" w:rsidRPr="00D5464D">
        <w:rPr>
          <w:rFonts w:cs="Arial"/>
          <w:iCs/>
          <w:szCs w:val="20"/>
          <w:lang w:val="pt-BR"/>
        </w:rPr>
        <w:t xml:space="preserve"> na </w:t>
      </w:r>
      <w:r w:rsidR="004B0842" w:rsidRPr="00D5464D">
        <w:rPr>
          <w:rFonts w:cs="Arial"/>
          <w:iCs/>
          <w:szCs w:val="20"/>
          <w:lang w:val="pt-BR"/>
        </w:rPr>
        <w:t>legisla</w:t>
      </w:r>
      <w:r w:rsidRPr="00D5464D">
        <w:rPr>
          <w:rFonts w:cs="Arial"/>
          <w:iCs/>
          <w:szCs w:val="20"/>
          <w:lang w:val="pt-BR"/>
        </w:rPr>
        <w:t>ção</w:t>
      </w:r>
      <w:r w:rsidR="004B0842" w:rsidRPr="00D5464D">
        <w:rPr>
          <w:rFonts w:cs="Arial"/>
          <w:iCs/>
          <w:szCs w:val="20"/>
          <w:lang w:val="pt-BR"/>
        </w:rPr>
        <w:t xml:space="preserve"> </w:t>
      </w:r>
      <w:r w:rsidRPr="00D5464D">
        <w:rPr>
          <w:rFonts w:cs="Arial"/>
          <w:iCs/>
          <w:szCs w:val="20"/>
          <w:lang w:val="pt-BR"/>
        </w:rPr>
        <w:t>brasileir</w:t>
      </w:r>
      <w:r w:rsidR="004B0842" w:rsidRPr="00D5464D">
        <w:rPr>
          <w:rFonts w:cs="Arial"/>
          <w:iCs/>
          <w:szCs w:val="20"/>
          <w:lang w:val="pt-BR"/>
        </w:rPr>
        <w:t xml:space="preserve">a permite </w:t>
      </w:r>
      <w:r w:rsidR="00C91CB1" w:rsidRPr="00D5464D">
        <w:rPr>
          <w:rFonts w:cs="Arial"/>
          <w:iCs/>
          <w:szCs w:val="20"/>
          <w:lang w:val="pt-BR"/>
        </w:rPr>
        <w:t>enfrentar</w:t>
      </w:r>
      <w:r w:rsidR="004B0842" w:rsidRPr="00D5464D">
        <w:rPr>
          <w:rFonts w:cs="Arial"/>
          <w:iCs/>
          <w:szCs w:val="20"/>
          <w:lang w:val="pt-BR"/>
        </w:rPr>
        <w:t xml:space="preserve"> </w:t>
      </w:r>
      <w:r w:rsidR="00EB1CE9" w:rsidRPr="00D5464D">
        <w:rPr>
          <w:rFonts w:cs="Arial"/>
          <w:iCs/>
          <w:szCs w:val="20"/>
          <w:lang w:val="pt-BR"/>
        </w:rPr>
        <w:t>diferen</w:t>
      </w:r>
      <w:r w:rsidR="004012FE" w:rsidRPr="00D5464D">
        <w:rPr>
          <w:rFonts w:cs="Arial"/>
          <w:iCs/>
          <w:szCs w:val="20"/>
          <w:lang w:val="pt-BR"/>
        </w:rPr>
        <w:t>ci</w:t>
      </w:r>
      <w:r w:rsidR="00EB1CE9" w:rsidRPr="00D5464D">
        <w:rPr>
          <w:rFonts w:cs="Arial"/>
          <w:iCs/>
          <w:szCs w:val="20"/>
          <w:lang w:val="pt-BR"/>
        </w:rPr>
        <w:t>a</w:t>
      </w:r>
      <w:r w:rsidR="00350187" w:rsidRPr="00D5464D">
        <w:rPr>
          <w:rFonts w:cs="Arial"/>
          <w:iCs/>
          <w:szCs w:val="20"/>
          <w:lang w:val="pt-BR"/>
        </w:rPr>
        <w:t>da</w:t>
      </w:r>
      <w:r w:rsidR="004B0842" w:rsidRPr="00D5464D">
        <w:rPr>
          <w:rFonts w:cs="Arial"/>
          <w:iCs/>
          <w:szCs w:val="20"/>
          <w:lang w:val="pt-BR"/>
        </w:rPr>
        <w:t>mente</w:t>
      </w:r>
      <w:r w:rsidR="002C330E" w:rsidRPr="00D5464D">
        <w:rPr>
          <w:rFonts w:cs="Arial"/>
          <w:iCs/>
          <w:szCs w:val="20"/>
          <w:lang w:val="pt-BR"/>
        </w:rPr>
        <w:t xml:space="preserve"> os </w:t>
      </w:r>
      <w:r w:rsidR="004B0842" w:rsidRPr="00D5464D">
        <w:rPr>
          <w:rFonts w:cs="Arial"/>
          <w:iCs/>
          <w:szCs w:val="20"/>
          <w:lang w:val="pt-BR"/>
        </w:rPr>
        <w:t xml:space="preserve">distintos </w:t>
      </w:r>
      <w:r w:rsidR="002C330E" w:rsidRPr="00D5464D">
        <w:rPr>
          <w:rFonts w:cs="Arial"/>
          <w:iCs/>
          <w:szCs w:val="20"/>
          <w:lang w:val="pt-BR"/>
        </w:rPr>
        <w:t>níveis</w:t>
      </w:r>
      <w:r w:rsidR="004B0842" w:rsidRPr="00D5464D">
        <w:rPr>
          <w:rFonts w:cs="Arial"/>
          <w:iCs/>
          <w:szCs w:val="20"/>
          <w:lang w:val="pt-BR"/>
        </w:rPr>
        <w:t xml:space="preserve"> de </w:t>
      </w:r>
      <w:r w:rsidR="002C330E" w:rsidRPr="00D5464D">
        <w:rPr>
          <w:rFonts w:cs="Arial"/>
          <w:iCs/>
          <w:szCs w:val="20"/>
          <w:lang w:val="pt-BR"/>
        </w:rPr>
        <w:t xml:space="preserve">gravidade </w:t>
      </w:r>
      <w:r w:rsidRPr="00D5464D">
        <w:rPr>
          <w:rFonts w:cs="Arial"/>
          <w:iCs/>
          <w:szCs w:val="20"/>
          <w:lang w:val="pt-BR"/>
        </w:rPr>
        <w:t>das conduta</w:t>
      </w:r>
      <w:r w:rsidR="004B0842" w:rsidRPr="00D5464D">
        <w:rPr>
          <w:rFonts w:cs="Arial"/>
          <w:iCs/>
          <w:szCs w:val="20"/>
          <w:lang w:val="pt-BR"/>
        </w:rPr>
        <w:t xml:space="preserve">s típicas </w:t>
      </w:r>
      <w:r w:rsidR="004012FE" w:rsidRPr="00D5464D">
        <w:rPr>
          <w:rFonts w:cs="Arial"/>
          <w:iCs/>
          <w:szCs w:val="20"/>
          <w:lang w:val="pt-BR"/>
        </w:rPr>
        <w:t xml:space="preserve">previstas </w:t>
      </w:r>
      <w:r w:rsidR="00E045D9" w:rsidRPr="00D5464D">
        <w:rPr>
          <w:rFonts w:cs="Arial"/>
          <w:iCs/>
          <w:szCs w:val="20"/>
          <w:lang w:val="pt-BR"/>
        </w:rPr>
        <w:t xml:space="preserve">no </w:t>
      </w:r>
      <w:r w:rsidR="004B0842" w:rsidRPr="00D5464D">
        <w:rPr>
          <w:rFonts w:cs="Arial"/>
          <w:iCs/>
          <w:szCs w:val="20"/>
          <w:lang w:val="pt-BR"/>
        </w:rPr>
        <w:t xml:space="preserve">delito de </w:t>
      </w:r>
      <w:r w:rsidR="00E045D9" w:rsidRPr="00D5464D">
        <w:rPr>
          <w:rFonts w:cs="Arial"/>
          <w:iCs/>
          <w:szCs w:val="20"/>
          <w:lang w:val="pt-BR"/>
        </w:rPr>
        <w:t>trabalho</w:t>
      </w:r>
      <w:r w:rsidR="004B0842" w:rsidRPr="00D5464D">
        <w:rPr>
          <w:rFonts w:cs="Arial"/>
          <w:iCs/>
          <w:szCs w:val="20"/>
          <w:lang w:val="pt-BR"/>
        </w:rPr>
        <w:t xml:space="preserve"> </w:t>
      </w:r>
      <w:r w:rsidR="004F1CC2" w:rsidRPr="00D5464D">
        <w:rPr>
          <w:rFonts w:cs="Arial"/>
          <w:iCs/>
          <w:szCs w:val="20"/>
          <w:lang w:val="pt-BR"/>
        </w:rPr>
        <w:t>escravo</w:t>
      </w:r>
      <w:r w:rsidR="004B0842" w:rsidRPr="00D5464D">
        <w:rPr>
          <w:rFonts w:cs="Arial"/>
          <w:iCs/>
          <w:szCs w:val="20"/>
          <w:lang w:val="pt-BR"/>
        </w:rPr>
        <w:t>.</w:t>
      </w:r>
      <w:r w:rsidR="00FF1290" w:rsidRPr="00D5464D">
        <w:rPr>
          <w:rFonts w:cs="Arial"/>
          <w:iCs/>
          <w:szCs w:val="20"/>
          <w:lang w:val="pt-BR"/>
        </w:rPr>
        <w:t xml:space="preserve">  </w:t>
      </w:r>
    </w:p>
    <w:p w14:paraId="3D1C1D74" w14:textId="77777777" w:rsidR="00747A03" w:rsidRPr="00D5464D" w:rsidRDefault="00747A03" w:rsidP="00747A03">
      <w:pPr>
        <w:pStyle w:val="Prrafodelista"/>
        <w:autoSpaceDE w:val="0"/>
        <w:autoSpaceDN w:val="0"/>
        <w:adjustRightInd w:val="0"/>
        <w:ind w:left="0"/>
        <w:rPr>
          <w:rFonts w:cs="Arial"/>
          <w:iCs/>
          <w:szCs w:val="20"/>
          <w:lang w:val="pt-BR"/>
        </w:rPr>
      </w:pPr>
    </w:p>
    <w:p w14:paraId="0A5E5B1E" w14:textId="1170768C" w:rsidR="008E5198" w:rsidRPr="00D5464D" w:rsidRDefault="00470ADC" w:rsidP="00C30FB8">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A </w:t>
      </w:r>
      <w:r w:rsidR="00126C03" w:rsidRPr="00D5464D">
        <w:rPr>
          <w:rFonts w:cs="Arial"/>
          <w:iCs/>
          <w:szCs w:val="20"/>
          <w:lang w:val="pt-BR"/>
        </w:rPr>
        <w:t>Corte nota que,</w:t>
      </w:r>
      <w:r w:rsidRPr="00D5464D">
        <w:rPr>
          <w:rFonts w:cs="Arial"/>
          <w:iCs/>
          <w:szCs w:val="20"/>
          <w:lang w:val="pt-BR"/>
        </w:rPr>
        <w:t xml:space="preserve"> em </w:t>
      </w:r>
      <w:r w:rsidR="00E045D9" w:rsidRPr="00D5464D">
        <w:rPr>
          <w:rFonts w:cs="Arial"/>
          <w:iCs/>
          <w:szCs w:val="20"/>
          <w:lang w:val="pt-BR"/>
        </w:rPr>
        <w:t>termo</w:t>
      </w:r>
      <w:r w:rsidR="004B0842" w:rsidRPr="00D5464D">
        <w:rPr>
          <w:rFonts w:cs="Arial"/>
          <w:iCs/>
          <w:szCs w:val="20"/>
          <w:lang w:val="pt-BR"/>
        </w:rPr>
        <w:t xml:space="preserve">s </w:t>
      </w:r>
      <w:r w:rsidR="002C330E" w:rsidRPr="00D5464D">
        <w:rPr>
          <w:rFonts w:cs="Arial"/>
          <w:iCs/>
          <w:szCs w:val="20"/>
          <w:lang w:val="pt-BR"/>
        </w:rPr>
        <w:t>gerais</w:t>
      </w:r>
      <w:r w:rsidR="00126C03" w:rsidRPr="00D5464D">
        <w:rPr>
          <w:rFonts w:cs="Arial"/>
          <w:iCs/>
          <w:szCs w:val="20"/>
          <w:lang w:val="pt-BR"/>
        </w:rPr>
        <w:t>,</w:t>
      </w:r>
      <w:r w:rsidR="004B0842" w:rsidRPr="00D5464D">
        <w:rPr>
          <w:rFonts w:cs="Arial"/>
          <w:iCs/>
          <w:szCs w:val="20"/>
          <w:lang w:val="pt-BR"/>
        </w:rPr>
        <w:t xml:space="preserve"> </w:t>
      </w:r>
      <w:r w:rsidR="002C330E" w:rsidRPr="00D5464D">
        <w:rPr>
          <w:rFonts w:cs="Arial"/>
          <w:iCs/>
          <w:szCs w:val="20"/>
          <w:lang w:val="pt-BR"/>
        </w:rPr>
        <w:t xml:space="preserve">não possui </w:t>
      </w:r>
      <w:r w:rsidRPr="00D5464D">
        <w:rPr>
          <w:rFonts w:cs="Arial"/>
          <w:iCs/>
          <w:szCs w:val="20"/>
          <w:lang w:val="pt-BR"/>
        </w:rPr>
        <w:t>faculdades</w:t>
      </w:r>
      <w:r w:rsidR="004B0842" w:rsidRPr="00D5464D">
        <w:rPr>
          <w:rFonts w:cs="Arial"/>
          <w:iCs/>
          <w:szCs w:val="20"/>
          <w:lang w:val="pt-BR"/>
        </w:rPr>
        <w:t xml:space="preserve"> para </w:t>
      </w:r>
      <w:r w:rsidR="00A1358C" w:rsidRPr="00D5464D">
        <w:rPr>
          <w:rFonts w:cs="Arial"/>
          <w:iCs/>
          <w:szCs w:val="20"/>
          <w:lang w:val="pt-BR"/>
        </w:rPr>
        <w:t>intervir</w:t>
      </w:r>
      <w:r w:rsidR="00E045D9" w:rsidRPr="00D5464D">
        <w:rPr>
          <w:rFonts w:cs="Arial"/>
          <w:iCs/>
          <w:szCs w:val="20"/>
          <w:lang w:val="pt-BR"/>
        </w:rPr>
        <w:t xml:space="preserve"> no </w:t>
      </w:r>
      <w:r w:rsidR="004B0842" w:rsidRPr="00D5464D">
        <w:rPr>
          <w:rFonts w:cs="Arial"/>
          <w:iCs/>
          <w:szCs w:val="20"/>
          <w:lang w:val="pt-BR"/>
        </w:rPr>
        <w:t>debate legislativo interno</w:t>
      </w:r>
      <w:r w:rsidRPr="00D5464D">
        <w:rPr>
          <w:rFonts w:cs="Arial"/>
          <w:iCs/>
          <w:szCs w:val="20"/>
          <w:lang w:val="pt-BR"/>
        </w:rPr>
        <w:t xml:space="preserve"> dos </w:t>
      </w:r>
      <w:r w:rsidR="004B0842" w:rsidRPr="00D5464D">
        <w:rPr>
          <w:rFonts w:cs="Arial"/>
          <w:iCs/>
          <w:szCs w:val="20"/>
          <w:lang w:val="pt-BR"/>
        </w:rPr>
        <w:t xml:space="preserve">Estados. </w:t>
      </w:r>
      <w:r w:rsidR="004012FE" w:rsidRPr="00D5464D">
        <w:rPr>
          <w:rFonts w:cs="Arial"/>
          <w:iCs/>
          <w:szCs w:val="20"/>
          <w:lang w:val="pt-BR"/>
        </w:rPr>
        <w:t>Além disso</w:t>
      </w:r>
      <w:r w:rsidR="004B0842" w:rsidRPr="00D5464D">
        <w:rPr>
          <w:rFonts w:cs="Arial"/>
          <w:iCs/>
          <w:szCs w:val="20"/>
          <w:lang w:val="pt-BR"/>
        </w:rPr>
        <w:t xml:space="preserve">, </w:t>
      </w:r>
      <w:r w:rsidR="002C330E" w:rsidRPr="00D5464D">
        <w:rPr>
          <w:rFonts w:cs="Arial"/>
          <w:iCs/>
          <w:szCs w:val="20"/>
          <w:lang w:val="pt-BR"/>
        </w:rPr>
        <w:t>pronunciar-se</w:t>
      </w:r>
      <w:r w:rsidR="004B0842" w:rsidRPr="00D5464D">
        <w:rPr>
          <w:rFonts w:cs="Arial"/>
          <w:iCs/>
          <w:szCs w:val="20"/>
          <w:lang w:val="pt-BR"/>
        </w:rPr>
        <w:t xml:space="preserve"> sobre</w:t>
      </w:r>
      <w:r w:rsidR="00E045D9" w:rsidRPr="00D5464D">
        <w:rPr>
          <w:rFonts w:cs="Arial"/>
          <w:iCs/>
          <w:szCs w:val="20"/>
          <w:lang w:val="pt-BR"/>
        </w:rPr>
        <w:t xml:space="preserve"> um </w:t>
      </w:r>
      <w:r w:rsidR="002C330E" w:rsidRPr="00D5464D">
        <w:rPr>
          <w:rFonts w:cs="Arial"/>
          <w:iCs/>
          <w:szCs w:val="20"/>
          <w:lang w:val="pt-BR"/>
        </w:rPr>
        <w:t>projeto</w:t>
      </w:r>
      <w:r w:rsidR="004B0842" w:rsidRPr="00D5464D">
        <w:rPr>
          <w:rFonts w:cs="Arial"/>
          <w:iCs/>
          <w:szCs w:val="20"/>
          <w:lang w:val="pt-BR"/>
        </w:rPr>
        <w:t xml:space="preserve"> de </w:t>
      </w:r>
      <w:r w:rsidR="00737270" w:rsidRPr="00D5464D">
        <w:rPr>
          <w:rFonts w:cs="Arial"/>
          <w:iCs/>
          <w:szCs w:val="20"/>
          <w:lang w:val="pt-BR"/>
        </w:rPr>
        <w:t>lei,</w:t>
      </w:r>
      <w:r w:rsidR="004B0842" w:rsidRPr="00D5464D">
        <w:rPr>
          <w:rFonts w:cs="Arial"/>
          <w:iCs/>
          <w:szCs w:val="20"/>
          <w:lang w:val="pt-BR"/>
        </w:rPr>
        <w:t xml:space="preserve"> </w:t>
      </w:r>
      <w:r w:rsidRPr="00D5464D">
        <w:rPr>
          <w:rFonts w:cs="Arial"/>
          <w:iCs/>
          <w:szCs w:val="20"/>
          <w:lang w:val="pt-BR"/>
        </w:rPr>
        <w:t>qualquer</w:t>
      </w:r>
      <w:r w:rsidR="002C330E" w:rsidRPr="00D5464D">
        <w:rPr>
          <w:rFonts w:cs="Arial"/>
          <w:iCs/>
          <w:szCs w:val="20"/>
          <w:lang w:val="pt-BR"/>
        </w:rPr>
        <w:t xml:space="preserve"> </w:t>
      </w:r>
      <w:r w:rsidR="004012FE" w:rsidRPr="00D5464D">
        <w:rPr>
          <w:rFonts w:cs="Arial"/>
          <w:iCs/>
          <w:szCs w:val="20"/>
          <w:lang w:val="pt-BR"/>
        </w:rPr>
        <w:t xml:space="preserve">que </w:t>
      </w:r>
      <w:r w:rsidR="002C330E" w:rsidRPr="00D5464D">
        <w:rPr>
          <w:rFonts w:cs="Arial"/>
          <w:iCs/>
          <w:szCs w:val="20"/>
          <w:lang w:val="pt-BR"/>
        </w:rPr>
        <w:t xml:space="preserve">seja </w:t>
      </w:r>
      <w:r w:rsidR="00C91CB1" w:rsidRPr="00D5464D">
        <w:rPr>
          <w:rFonts w:cs="Arial"/>
          <w:iCs/>
          <w:szCs w:val="20"/>
          <w:lang w:val="pt-BR"/>
        </w:rPr>
        <w:t>seu conteúdo</w:t>
      </w:r>
      <w:r w:rsidR="004B0842" w:rsidRPr="00D5464D">
        <w:rPr>
          <w:rFonts w:cs="Arial"/>
          <w:iCs/>
          <w:szCs w:val="20"/>
          <w:lang w:val="pt-BR"/>
        </w:rPr>
        <w:t>, representa</w:t>
      </w:r>
      <w:r w:rsidR="00E045D9" w:rsidRPr="00D5464D">
        <w:rPr>
          <w:rFonts w:cs="Arial"/>
          <w:iCs/>
          <w:szCs w:val="20"/>
          <w:lang w:val="pt-BR"/>
        </w:rPr>
        <w:t xml:space="preserve"> uma </w:t>
      </w:r>
      <w:r w:rsidR="00737270" w:rsidRPr="00D5464D">
        <w:rPr>
          <w:rFonts w:cs="Arial"/>
          <w:iCs/>
          <w:szCs w:val="20"/>
          <w:lang w:val="pt-BR"/>
        </w:rPr>
        <w:t>atuação</w:t>
      </w:r>
      <w:r w:rsidR="004B0842" w:rsidRPr="00D5464D">
        <w:rPr>
          <w:rFonts w:cs="Arial"/>
          <w:iCs/>
          <w:szCs w:val="20"/>
          <w:lang w:val="pt-BR"/>
        </w:rPr>
        <w:t xml:space="preserve"> </w:t>
      </w:r>
      <w:r w:rsidR="00230C71" w:rsidRPr="00D5464D">
        <w:rPr>
          <w:rFonts w:cs="Arial"/>
          <w:iCs/>
          <w:szCs w:val="20"/>
          <w:lang w:val="pt-BR"/>
        </w:rPr>
        <w:t>abstrat</w:t>
      </w:r>
      <w:r w:rsidR="004B0842" w:rsidRPr="00D5464D">
        <w:rPr>
          <w:rFonts w:cs="Arial"/>
          <w:iCs/>
          <w:szCs w:val="20"/>
          <w:lang w:val="pt-BR"/>
        </w:rPr>
        <w:t xml:space="preserve">a que </w:t>
      </w:r>
      <w:r w:rsidR="002C330E" w:rsidRPr="00D5464D">
        <w:rPr>
          <w:rFonts w:cs="Arial"/>
          <w:iCs/>
          <w:szCs w:val="20"/>
          <w:lang w:val="pt-BR"/>
        </w:rPr>
        <w:t xml:space="preserve">não possui </w:t>
      </w:r>
      <w:r w:rsidR="004B0842" w:rsidRPr="00D5464D">
        <w:rPr>
          <w:rFonts w:cs="Arial"/>
          <w:iCs/>
          <w:szCs w:val="20"/>
          <w:lang w:val="pt-BR"/>
        </w:rPr>
        <w:t>rela</w:t>
      </w:r>
      <w:r w:rsidRPr="00D5464D">
        <w:rPr>
          <w:rFonts w:cs="Arial"/>
          <w:iCs/>
          <w:szCs w:val="20"/>
          <w:lang w:val="pt-BR"/>
        </w:rPr>
        <w:t>ção com</w:t>
      </w:r>
      <w:r w:rsidR="002C330E" w:rsidRPr="00D5464D">
        <w:rPr>
          <w:rFonts w:cs="Arial"/>
          <w:iCs/>
          <w:szCs w:val="20"/>
          <w:lang w:val="pt-BR"/>
        </w:rPr>
        <w:t xml:space="preserve"> a </w:t>
      </w:r>
      <w:r w:rsidRPr="00D5464D">
        <w:rPr>
          <w:rFonts w:cs="Arial"/>
          <w:iCs/>
          <w:szCs w:val="20"/>
          <w:lang w:val="pt-BR"/>
        </w:rPr>
        <w:t>afetação</w:t>
      </w:r>
      <w:r w:rsidR="004B0842" w:rsidRPr="00D5464D">
        <w:rPr>
          <w:rFonts w:cs="Arial"/>
          <w:iCs/>
          <w:szCs w:val="20"/>
          <w:lang w:val="pt-BR"/>
        </w:rPr>
        <w:t xml:space="preserve"> concreta</w:t>
      </w:r>
      <w:r w:rsidRPr="00D5464D">
        <w:rPr>
          <w:rFonts w:cs="Arial"/>
          <w:iCs/>
          <w:szCs w:val="20"/>
          <w:lang w:val="pt-BR"/>
        </w:rPr>
        <w:t xml:space="preserve"> dos direito</w:t>
      </w:r>
      <w:r w:rsidR="004B0842" w:rsidRPr="00D5464D">
        <w:rPr>
          <w:rFonts w:cs="Arial"/>
          <w:iCs/>
          <w:szCs w:val="20"/>
          <w:lang w:val="pt-BR"/>
        </w:rPr>
        <w:t xml:space="preserve">s </w:t>
      </w:r>
      <w:r w:rsidR="00E045D9" w:rsidRPr="00D5464D">
        <w:rPr>
          <w:rFonts w:cs="Arial"/>
          <w:iCs/>
          <w:szCs w:val="20"/>
          <w:lang w:val="pt-BR"/>
        </w:rPr>
        <w:t>garantid</w:t>
      </w:r>
      <w:r w:rsidR="004B0842" w:rsidRPr="00D5464D">
        <w:rPr>
          <w:rFonts w:cs="Arial"/>
          <w:iCs/>
          <w:szCs w:val="20"/>
          <w:lang w:val="pt-BR"/>
        </w:rPr>
        <w:t>os</w:t>
      </w:r>
      <w:r w:rsidR="002C330E" w:rsidRPr="00D5464D">
        <w:rPr>
          <w:rFonts w:cs="Arial"/>
          <w:iCs/>
          <w:szCs w:val="20"/>
          <w:lang w:val="pt-BR"/>
        </w:rPr>
        <w:t xml:space="preserve"> pela </w:t>
      </w:r>
      <w:r w:rsidR="004B0842" w:rsidRPr="00D5464D">
        <w:rPr>
          <w:rFonts w:cs="Arial"/>
          <w:iCs/>
          <w:szCs w:val="20"/>
          <w:lang w:val="pt-BR"/>
        </w:rPr>
        <w:t>Conven</w:t>
      </w:r>
      <w:r w:rsidRPr="00D5464D">
        <w:rPr>
          <w:rFonts w:cs="Arial"/>
          <w:iCs/>
          <w:szCs w:val="20"/>
          <w:lang w:val="pt-BR"/>
        </w:rPr>
        <w:t>ção</w:t>
      </w:r>
      <w:r w:rsidR="004B0842" w:rsidRPr="00D5464D">
        <w:rPr>
          <w:rFonts w:cs="Arial"/>
          <w:iCs/>
          <w:szCs w:val="20"/>
          <w:lang w:val="pt-BR"/>
        </w:rPr>
        <w:t xml:space="preserve"> Americana.</w:t>
      </w:r>
      <w:r w:rsidRPr="00D5464D">
        <w:rPr>
          <w:rFonts w:cs="Arial"/>
          <w:iCs/>
          <w:szCs w:val="20"/>
          <w:lang w:val="pt-BR"/>
        </w:rPr>
        <w:t xml:space="preserve"> </w:t>
      </w:r>
      <w:r w:rsidR="004012FE" w:rsidRPr="00D5464D">
        <w:rPr>
          <w:rFonts w:cs="Arial"/>
          <w:iCs/>
          <w:szCs w:val="20"/>
          <w:lang w:val="pt-BR"/>
        </w:rPr>
        <w:t>N</w:t>
      </w:r>
      <w:r w:rsidR="00737270" w:rsidRPr="00D5464D">
        <w:rPr>
          <w:rFonts w:cs="Arial"/>
          <w:iCs/>
          <w:szCs w:val="20"/>
          <w:lang w:val="pt-BR"/>
        </w:rPr>
        <w:t>esse</w:t>
      </w:r>
      <w:r w:rsidRPr="00D5464D">
        <w:rPr>
          <w:rFonts w:cs="Arial"/>
          <w:iCs/>
          <w:szCs w:val="20"/>
          <w:lang w:val="pt-BR"/>
        </w:rPr>
        <w:t xml:space="preserve"> </w:t>
      </w:r>
      <w:r w:rsidR="004B0842" w:rsidRPr="00D5464D">
        <w:rPr>
          <w:rFonts w:cs="Arial"/>
          <w:iCs/>
          <w:szCs w:val="20"/>
          <w:lang w:val="pt-BR"/>
        </w:rPr>
        <w:t>sentido,</w:t>
      </w:r>
      <w:r w:rsidR="002C330E" w:rsidRPr="00D5464D">
        <w:rPr>
          <w:rFonts w:cs="Arial"/>
          <w:iCs/>
          <w:szCs w:val="20"/>
          <w:lang w:val="pt-BR"/>
        </w:rPr>
        <w:t xml:space="preserve"> a </w:t>
      </w:r>
      <w:r w:rsidR="004B0842" w:rsidRPr="00D5464D">
        <w:rPr>
          <w:rFonts w:cs="Arial"/>
          <w:iCs/>
          <w:szCs w:val="20"/>
          <w:lang w:val="pt-BR"/>
        </w:rPr>
        <w:t xml:space="preserve">Corte considera que </w:t>
      </w:r>
      <w:r w:rsidR="00737270" w:rsidRPr="00D5464D">
        <w:rPr>
          <w:rFonts w:cs="Arial"/>
          <w:iCs/>
          <w:szCs w:val="20"/>
          <w:lang w:val="pt-BR"/>
        </w:rPr>
        <w:t>não pode</w:t>
      </w:r>
      <w:r w:rsidR="004B0842" w:rsidRPr="00D5464D">
        <w:rPr>
          <w:rFonts w:cs="Arial"/>
          <w:iCs/>
          <w:szCs w:val="20"/>
          <w:lang w:val="pt-BR"/>
        </w:rPr>
        <w:t xml:space="preserve"> </w:t>
      </w:r>
      <w:r w:rsidRPr="00D5464D">
        <w:rPr>
          <w:rFonts w:cs="Arial"/>
          <w:iCs/>
          <w:szCs w:val="20"/>
          <w:lang w:val="pt-BR"/>
        </w:rPr>
        <w:t>aceit</w:t>
      </w:r>
      <w:r w:rsidR="004B0842" w:rsidRPr="00D5464D">
        <w:rPr>
          <w:rFonts w:cs="Arial"/>
          <w:iCs/>
          <w:szCs w:val="20"/>
          <w:lang w:val="pt-BR"/>
        </w:rPr>
        <w:t>ar</w:t>
      </w:r>
      <w:r w:rsidR="002C330E" w:rsidRPr="00D5464D">
        <w:rPr>
          <w:rFonts w:cs="Arial"/>
          <w:iCs/>
          <w:szCs w:val="20"/>
          <w:lang w:val="pt-BR"/>
        </w:rPr>
        <w:t xml:space="preserve"> </w:t>
      </w:r>
      <w:r w:rsidR="004012FE" w:rsidRPr="00D5464D">
        <w:rPr>
          <w:rFonts w:cs="Arial"/>
          <w:iCs/>
          <w:szCs w:val="20"/>
          <w:lang w:val="pt-BR"/>
        </w:rPr>
        <w:t xml:space="preserve">o pedido </w:t>
      </w:r>
      <w:r w:rsidRPr="00D5464D">
        <w:rPr>
          <w:rFonts w:cs="Arial"/>
          <w:iCs/>
          <w:szCs w:val="20"/>
          <w:lang w:val="pt-BR"/>
        </w:rPr>
        <w:t xml:space="preserve">dos </w:t>
      </w:r>
      <w:r w:rsidR="00EB1CE9" w:rsidRPr="00D5464D">
        <w:rPr>
          <w:rFonts w:cs="Arial"/>
          <w:iCs/>
          <w:szCs w:val="20"/>
          <w:lang w:val="pt-BR"/>
        </w:rPr>
        <w:t>representante</w:t>
      </w:r>
      <w:r w:rsidR="004B0842" w:rsidRPr="00D5464D">
        <w:rPr>
          <w:rFonts w:cs="Arial"/>
          <w:iCs/>
          <w:szCs w:val="20"/>
          <w:lang w:val="pt-BR"/>
        </w:rPr>
        <w:t>s relativ</w:t>
      </w:r>
      <w:r w:rsidR="004012FE" w:rsidRPr="00D5464D">
        <w:rPr>
          <w:rFonts w:cs="Arial"/>
          <w:iCs/>
          <w:szCs w:val="20"/>
          <w:lang w:val="pt-BR"/>
        </w:rPr>
        <w:t>o</w:t>
      </w:r>
      <w:r w:rsidR="00E045D9" w:rsidRPr="00D5464D">
        <w:rPr>
          <w:rFonts w:cs="Arial"/>
          <w:iCs/>
          <w:szCs w:val="20"/>
          <w:lang w:val="pt-BR"/>
        </w:rPr>
        <w:t xml:space="preserve"> aos </w:t>
      </w:r>
      <w:r w:rsidR="00126C03" w:rsidRPr="00D5464D">
        <w:rPr>
          <w:rFonts w:cs="Arial"/>
          <w:iCs/>
          <w:szCs w:val="20"/>
          <w:lang w:val="pt-BR"/>
        </w:rPr>
        <w:t xml:space="preserve">referidos </w:t>
      </w:r>
      <w:r w:rsidR="002C330E" w:rsidRPr="00D5464D">
        <w:rPr>
          <w:rFonts w:cs="Arial"/>
          <w:iCs/>
          <w:szCs w:val="20"/>
          <w:lang w:val="pt-BR"/>
        </w:rPr>
        <w:t>projeto</w:t>
      </w:r>
      <w:r w:rsidR="004B0842" w:rsidRPr="00D5464D">
        <w:rPr>
          <w:rFonts w:cs="Arial"/>
          <w:iCs/>
          <w:szCs w:val="20"/>
          <w:lang w:val="pt-BR"/>
        </w:rPr>
        <w:t xml:space="preserve">s de </w:t>
      </w:r>
      <w:r w:rsidR="002C330E" w:rsidRPr="00D5464D">
        <w:rPr>
          <w:rFonts w:cs="Arial"/>
          <w:iCs/>
          <w:szCs w:val="20"/>
          <w:lang w:val="pt-BR"/>
        </w:rPr>
        <w:t>lei.</w:t>
      </w:r>
      <w:r w:rsidR="00FF1290" w:rsidRPr="00D5464D">
        <w:rPr>
          <w:rFonts w:cs="Arial"/>
          <w:iCs/>
          <w:szCs w:val="20"/>
          <w:lang w:val="pt-BR"/>
        </w:rPr>
        <w:t xml:space="preserve"> </w:t>
      </w:r>
      <w:r w:rsidR="004B0842" w:rsidRPr="00D5464D">
        <w:rPr>
          <w:rFonts w:cs="Arial"/>
          <w:iCs/>
          <w:szCs w:val="20"/>
          <w:lang w:val="pt-BR"/>
        </w:rPr>
        <w:t xml:space="preserve"> </w:t>
      </w:r>
    </w:p>
    <w:p w14:paraId="60DA35E9" w14:textId="77777777" w:rsidR="0012698E" w:rsidRPr="00D5464D" w:rsidRDefault="0012698E" w:rsidP="00ED3AD0">
      <w:pPr>
        <w:pStyle w:val="Prrafodelista"/>
        <w:autoSpaceDE w:val="0"/>
        <w:autoSpaceDN w:val="0"/>
        <w:adjustRightInd w:val="0"/>
        <w:ind w:left="0"/>
        <w:rPr>
          <w:rFonts w:cs="Arial"/>
          <w:i/>
          <w:iCs/>
          <w:szCs w:val="20"/>
          <w:lang w:val="pt-BR"/>
        </w:rPr>
      </w:pPr>
    </w:p>
    <w:p w14:paraId="2E530556" w14:textId="01B21882" w:rsidR="0012698E" w:rsidRPr="00D5464D" w:rsidRDefault="00C91CB1" w:rsidP="004B0842">
      <w:pPr>
        <w:pStyle w:val="Prrafodelista"/>
        <w:numPr>
          <w:ilvl w:val="0"/>
          <w:numId w:val="1"/>
        </w:numPr>
        <w:autoSpaceDE w:val="0"/>
        <w:autoSpaceDN w:val="0"/>
        <w:adjustRightInd w:val="0"/>
        <w:rPr>
          <w:rFonts w:cs="Arial"/>
          <w:i/>
          <w:iCs/>
          <w:szCs w:val="20"/>
          <w:lang w:val="pt-BR"/>
        </w:rPr>
      </w:pPr>
      <w:r w:rsidRPr="00D5464D">
        <w:rPr>
          <w:rFonts w:cs="Arial"/>
          <w:iCs/>
          <w:szCs w:val="20"/>
          <w:lang w:val="pt-BR"/>
        </w:rPr>
        <w:t xml:space="preserve">Em </w:t>
      </w:r>
      <w:r w:rsidR="0012698E" w:rsidRPr="00D5464D">
        <w:rPr>
          <w:rFonts w:cs="Arial"/>
          <w:iCs/>
          <w:szCs w:val="20"/>
          <w:lang w:val="pt-BR"/>
        </w:rPr>
        <w:t>rela</w:t>
      </w:r>
      <w:r w:rsidR="00470ADC" w:rsidRPr="00D5464D">
        <w:rPr>
          <w:rFonts w:cs="Arial"/>
          <w:iCs/>
          <w:szCs w:val="20"/>
          <w:lang w:val="pt-BR"/>
        </w:rPr>
        <w:t xml:space="preserve">ção </w:t>
      </w:r>
      <w:r w:rsidR="004012FE" w:rsidRPr="00D5464D">
        <w:rPr>
          <w:rFonts w:cs="Arial"/>
          <w:iCs/>
          <w:szCs w:val="20"/>
          <w:lang w:val="pt-BR"/>
        </w:rPr>
        <w:t>à</w:t>
      </w:r>
      <w:r w:rsidR="002C330E" w:rsidRPr="00D5464D">
        <w:rPr>
          <w:rFonts w:cs="Arial"/>
          <w:iCs/>
          <w:szCs w:val="20"/>
          <w:lang w:val="pt-BR"/>
        </w:rPr>
        <w:t xml:space="preserve"> </w:t>
      </w:r>
      <w:r w:rsidR="0012698E" w:rsidRPr="00D5464D">
        <w:rPr>
          <w:rFonts w:cs="Arial"/>
          <w:iCs/>
          <w:szCs w:val="20"/>
          <w:lang w:val="pt-BR"/>
        </w:rPr>
        <w:t>proporcion</w:t>
      </w:r>
      <w:r w:rsidR="00EB1CE9" w:rsidRPr="00D5464D">
        <w:rPr>
          <w:rFonts w:cs="Arial"/>
          <w:iCs/>
          <w:szCs w:val="20"/>
          <w:lang w:val="pt-BR"/>
        </w:rPr>
        <w:t xml:space="preserve">alidade </w:t>
      </w:r>
      <w:r w:rsidR="00470ADC" w:rsidRPr="00D5464D">
        <w:rPr>
          <w:rFonts w:cs="Arial"/>
          <w:iCs/>
          <w:szCs w:val="20"/>
          <w:lang w:val="pt-BR"/>
        </w:rPr>
        <w:t xml:space="preserve">da </w:t>
      </w:r>
      <w:r w:rsidR="0012698E" w:rsidRPr="00D5464D">
        <w:rPr>
          <w:rFonts w:cs="Arial"/>
          <w:iCs/>
          <w:szCs w:val="20"/>
          <w:lang w:val="pt-BR"/>
        </w:rPr>
        <w:t xml:space="preserve">pena </w:t>
      </w:r>
      <w:r w:rsidR="00470ADC" w:rsidRPr="00D5464D">
        <w:rPr>
          <w:rFonts w:cs="Arial"/>
          <w:iCs/>
          <w:szCs w:val="20"/>
          <w:lang w:val="pt-BR"/>
        </w:rPr>
        <w:t xml:space="preserve">do </w:t>
      </w:r>
      <w:r w:rsidR="0012698E" w:rsidRPr="00D5464D">
        <w:rPr>
          <w:rFonts w:cs="Arial"/>
          <w:iCs/>
          <w:szCs w:val="20"/>
          <w:lang w:val="pt-BR"/>
        </w:rPr>
        <w:t xml:space="preserve">delito de </w:t>
      </w:r>
      <w:r w:rsidR="00737270" w:rsidRPr="00D5464D">
        <w:rPr>
          <w:rFonts w:cs="Arial"/>
          <w:iCs/>
          <w:szCs w:val="20"/>
          <w:lang w:val="pt-BR"/>
        </w:rPr>
        <w:t>redução</w:t>
      </w:r>
      <w:r w:rsidR="0012698E" w:rsidRPr="00D5464D">
        <w:rPr>
          <w:rFonts w:cs="Arial"/>
          <w:iCs/>
          <w:szCs w:val="20"/>
          <w:lang w:val="pt-BR"/>
        </w:rPr>
        <w:t xml:space="preserve"> de </w:t>
      </w:r>
      <w:r w:rsidR="00A1358C" w:rsidRPr="00D5464D">
        <w:rPr>
          <w:rFonts w:cs="Arial"/>
          <w:iCs/>
          <w:szCs w:val="20"/>
          <w:lang w:val="pt-BR"/>
        </w:rPr>
        <w:t>alguém</w:t>
      </w:r>
      <w:r w:rsidR="0012698E" w:rsidRPr="00D5464D">
        <w:rPr>
          <w:rFonts w:cs="Arial"/>
          <w:iCs/>
          <w:szCs w:val="20"/>
          <w:lang w:val="pt-BR"/>
        </w:rPr>
        <w:t xml:space="preserve"> a situa</w:t>
      </w:r>
      <w:r w:rsidR="00470ADC" w:rsidRPr="00D5464D">
        <w:rPr>
          <w:rFonts w:cs="Arial"/>
          <w:iCs/>
          <w:szCs w:val="20"/>
          <w:lang w:val="pt-BR"/>
        </w:rPr>
        <w:t>ção</w:t>
      </w:r>
      <w:r w:rsidR="0012698E" w:rsidRPr="00D5464D">
        <w:rPr>
          <w:rFonts w:cs="Arial"/>
          <w:iCs/>
          <w:szCs w:val="20"/>
          <w:lang w:val="pt-BR"/>
        </w:rPr>
        <w:t xml:space="preserve"> análoga</w:t>
      </w:r>
      <w:r w:rsidR="00470ADC" w:rsidRPr="00D5464D">
        <w:rPr>
          <w:rFonts w:cs="Arial"/>
          <w:iCs/>
          <w:szCs w:val="20"/>
          <w:lang w:val="pt-BR"/>
        </w:rPr>
        <w:t xml:space="preserve"> à </w:t>
      </w:r>
      <w:r w:rsidR="0012698E" w:rsidRPr="00D5464D">
        <w:rPr>
          <w:rFonts w:cs="Arial"/>
          <w:iCs/>
          <w:szCs w:val="20"/>
          <w:lang w:val="pt-BR"/>
        </w:rPr>
        <w:t xml:space="preserve">de </w:t>
      </w:r>
      <w:r w:rsidR="004F1CC2" w:rsidRPr="00D5464D">
        <w:rPr>
          <w:rFonts w:cs="Arial"/>
          <w:iCs/>
          <w:szCs w:val="20"/>
          <w:lang w:val="pt-BR"/>
        </w:rPr>
        <w:t>escravo</w:t>
      </w:r>
      <w:r w:rsidR="0012698E" w:rsidRPr="00D5464D">
        <w:rPr>
          <w:rFonts w:cs="Arial"/>
          <w:iCs/>
          <w:szCs w:val="20"/>
          <w:lang w:val="pt-BR"/>
        </w:rPr>
        <w:t>,</w:t>
      </w:r>
      <w:r w:rsidR="002C330E" w:rsidRPr="00D5464D">
        <w:rPr>
          <w:rFonts w:cs="Arial"/>
          <w:iCs/>
          <w:szCs w:val="20"/>
          <w:lang w:val="pt-BR"/>
        </w:rPr>
        <w:t xml:space="preserve"> a </w:t>
      </w:r>
      <w:r w:rsidR="0012698E" w:rsidRPr="00D5464D">
        <w:rPr>
          <w:rFonts w:cs="Arial"/>
          <w:iCs/>
          <w:szCs w:val="20"/>
          <w:lang w:val="pt-BR"/>
        </w:rPr>
        <w:t>Corte considera que</w:t>
      </w:r>
      <w:r w:rsidR="002C330E" w:rsidRPr="00D5464D">
        <w:rPr>
          <w:rFonts w:cs="Arial"/>
          <w:iCs/>
          <w:szCs w:val="20"/>
          <w:lang w:val="pt-BR"/>
        </w:rPr>
        <w:t xml:space="preserve"> as </w:t>
      </w:r>
      <w:r w:rsidR="0012698E" w:rsidRPr="00D5464D">
        <w:rPr>
          <w:rFonts w:cs="Arial"/>
          <w:iCs/>
          <w:szCs w:val="20"/>
          <w:lang w:val="pt-BR"/>
        </w:rPr>
        <w:t>penas de</w:t>
      </w:r>
      <w:r w:rsidR="00E045D9" w:rsidRPr="00D5464D">
        <w:rPr>
          <w:rFonts w:cs="Arial"/>
          <w:iCs/>
          <w:szCs w:val="20"/>
          <w:lang w:val="pt-BR"/>
        </w:rPr>
        <w:t xml:space="preserve"> um </w:t>
      </w:r>
      <w:r w:rsidR="0012698E" w:rsidRPr="00D5464D">
        <w:rPr>
          <w:rFonts w:cs="Arial"/>
          <w:iCs/>
          <w:szCs w:val="20"/>
          <w:lang w:val="pt-BR"/>
        </w:rPr>
        <w:t>delito como</w:t>
      </w:r>
      <w:r w:rsidR="00470ADC" w:rsidRPr="00D5464D">
        <w:rPr>
          <w:rFonts w:cs="Arial"/>
          <w:iCs/>
          <w:szCs w:val="20"/>
          <w:lang w:val="pt-BR"/>
        </w:rPr>
        <w:t xml:space="preserve"> esse devem</w:t>
      </w:r>
      <w:r w:rsidR="0012698E" w:rsidRPr="00D5464D">
        <w:rPr>
          <w:rFonts w:cs="Arial"/>
          <w:iCs/>
          <w:szCs w:val="20"/>
          <w:lang w:val="pt-BR"/>
        </w:rPr>
        <w:t xml:space="preserve"> ser </w:t>
      </w:r>
      <w:r w:rsidR="00230C71" w:rsidRPr="00D5464D">
        <w:rPr>
          <w:rFonts w:cs="Arial"/>
          <w:iCs/>
          <w:szCs w:val="20"/>
          <w:lang w:val="pt-BR"/>
        </w:rPr>
        <w:t>proporcionais</w:t>
      </w:r>
      <w:r w:rsidR="00470ADC" w:rsidRPr="00D5464D">
        <w:rPr>
          <w:rFonts w:cs="Arial"/>
          <w:iCs/>
          <w:szCs w:val="20"/>
          <w:lang w:val="pt-BR"/>
        </w:rPr>
        <w:t xml:space="preserve"> à </w:t>
      </w:r>
      <w:r w:rsidR="002C330E" w:rsidRPr="00D5464D">
        <w:rPr>
          <w:rFonts w:cs="Arial"/>
          <w:iCs/>
          <w:szCs w:val="20"/>
          <w:lang w:val="pt-BR"/>
        </w:rPr>
        <w:t xml:space="preserve">gravidade </w:t>
      </w:r>
      <w:r w:rsidR="00470ADC" w:rsidRPr="00D5464D">
        <w:rPr>
          <w:rFonts w:cs="Arial"/>
          <w:iCs/>
          <w:szCs w:val="20"/>
          <w:lang w:val="pt-BR"/>
        </w:rPr>
        <w:t xml:space="preserve">das </w:t>
      </w:r>
      <w:r w:rsidR="0012698E" w:rsidRPr="00D5464D">
        <w:rPr>
          <w:rFonts w:cs="Arial"/>
          <w:iCs/>
          <w:szCs w:val="20"/>
          <w:lang w:val="pt-BR"/>
        </w:rPr>
        <w:t>viola</w:t>
      </w:r>
      <w:r w:rsidR="00470ADC" w:rsidRPr="00D5464D">
        <w:rPr>
          <w:rFonts w:cs="Arial"/>
          <w:iCs/>
          <w:szCs w:val="20"/>
          <w:lang w:val="pt-BR"/>
        </w:rPr>
        <w:t>ções</w:t>
      </w:r>
      <w:r w:rsidR="0012698E" w:rsidRPr="00D5464D">
        <w:rPr>
          <w:rFonts w:cs="Arial"/>
          <w:iCs/>
          <w:szCs w:val="20"/>
          <w:lang w:val="pt-BR"/>
        </w:rPr>
        <w:t xml:space="preserve"> de </w:t>
      </w:r>
      <w:r w:rsidR="00470ADC" w:rsidRPr="00D5464D">
        <w:rPr>
          <w:rFonts w:cs="Arial"/>
          <w:iCs/>
          <w:szCs w:val="20"/>
          <w:lang w:val="pt-BR"/>
        </w:rPr>
        <w:t>direito</w:t>
      </w:r>
      <w:r w:rsidR="0012698E" w:rsidRPr="00D5464D">
        <w:rPr>
          <w:rFonts w:cs="Arial"/>
          <w:iCs/>
          <w:szCs w:val="20"/>
          <w:lang w:val="pt-BR"/>
        </w:rPr>
        <w:t xml:space="preserve">s humanos </w:t>
      </w:r>
      <w:r w:rsidR="00737270" w:rsidRPr="00D5464D">
        <w:rPr>
          <w:rFonts w:cs="Arial"/>
          <w:iCs/>
          <w:szCs w:val="20"/>
          <w:lang w:val="pt-BR"/>
        </w:rPr>
        <w:t>envolvida</w:t>
      </w:r>
      <w:r w:rsidR="0012698E" w:rsidRPr="00D5464D">
        <w:rPr>
          <w:rFonts w:cs="Arial"/>
          <w:iCs/>
          <w:szCs w:val="20"/>
          <w:lang w:val="pt-BR"/>
        </w:rPr>
        <w:t>s</w:t>
      </w:r>
      <w:r w:rsidR="00737270" w:rsidRPr="00D5464D">
        <w:rPr>
          <w:rFonts w:cs="Arial"/>
          <w:iCs/>
          <w:szCs w:val="20"/>
          <w:lang w:val="pt-BR"/>
        </w:rPr>
        <w:t>. No entanto</w:t>
      </w:r>
      <w:r w:rsidR="0012698E" w:rsidRPr="00D5464D">
        <w:rPr>
          <w:rFonts w:cs="Arial"/>
          <w:iCs/>
          <w:szCs w:val="20"/>
          <w:lang w:val="pt-BR"/>
        </w:rPr>
        <w:t xml:space="preserve">, determinar </w:t>
      </w:r>
      <w:r w:rsidR="00470ADC" w:rsidRPr="00D5464D">
        <w:rPr>
          <w:rFonts w:cs="Arial"/>
          <w:iCs/>
          <w:szCs w:val="20"/>
          <w:lang w:val="pt-BR"/>
        </w:rPr>
        <w:t>qual é</w:t>
      </w:r>
      <w:r w:rsidR="002C330E" w:rsidRPr="00D5464D">
        <w:rPr>
          <w:rFonts w:cs="Arial"/>
          <w:iCs/>
          <w:szCs w:val="20"/>
          <w:lang w:val="pt-BR"/>
        </w:rPr>
        <w:t xml:space="preserve"> a </w:t>
      </w:r>
      <w:r w:rsidR="0012698E" w:rsidRPr="00D5464D">
        <w:rPr>
          <w:rFonts w:cs="Arial"/>
          <w:iCs/>
          <w:szCs w:val="20"/>
          <w:lang w:val="pt-BR"/>
        </w:rPr>
        <w:t xml:space="preserve">pena </w:t>
      </w:r>
      <w:r w:rsidR="00470ADC" w:rsidRPr="00D5464D">
        <w:rPr>
          <w:rFonts w:cs="Arial"/>
          <w:iCs/>
          <w:szCs w:val="20"/>
          <w:lang w:val="pt-BR"/>
        </w:rPr>
        <w:t>adequad</w:t>
      </w:r>
      <w:r w:rsidR="0012698E" w:rsidRPr="00D5464D">
        <w:rPr>
          <w:rFonts w:cs="Arial"/>
          <w:iCs/>
          <w:szCs w:val="20"/>
          <w:lang w:val="pt-BR"/>
        </w:rPr>
        <w:t xml:space="preserve">a para este delito </w:t>
      </w:r>
      <w:r w:rsidR="00737270" w:rsidRPr="00D5464D">
        <w:rPr>
          <w:rFonts w:cs="Arial"/>
          <w:iCs/>
          <w:szCs w:val="20"/>
          <w:lang w:val="pt-BR"/>
        </w:rPr>
        <w:t>não é</w:t>
      </w:r>
      <w:r w:rsidR="00E045D9" w:rsidRPr="00D5464D">
        <w:rPr>
          <w:rFonts w:cs="Arial"/>
          <w:iCs/>
          <w:szCs w:val="20"/>
          <w:lang w:val="pt-BR"/>
        </w:rPr>
        <w:t xml:space="preserve"> uma tarefa</w:t>
      </w:r>
      <w:r w:rsidR="0012698E" w:rsidRPr="00D5464D">
        <w:rPr>
          <w:rFonts w:cs="Arial"/>
          <w:iCs/>
          <w:szCs w:val="20"/>
          <w:lang w:val="pt-BR"/>
        </w:rPr>
        <w:t xml:space="preserve"> </w:t>
      </w:r>
      <w:r w:rsidR="002C330E" w:rsidRPr="00D5464D">
        <w:rPr>
          <w:rFonts w:cs="Arial"/>
          <w:iCs/>
          <w:szCs w:val="20"/>
          <w:lang w:val="pt-BR"/>
        </w:rPr>
        <w:t xml:space="preserve">própria </w:t>
      </w:r>
      <w:r w:rsidR="002C2EA9" w:rsidRPr="00D5464D">
        <w:rPr>
          <w:rFonts w:cs="Arial"/>
          <w:iCs/>
          <w:szCs w:val="20"/>
          <w:lang w:val="pt-BR"/>
        </w:rPr>
        <w:t>de</w:t>
      </w:r>
      <w:r w:rsidR="00E045D9" w:rsidRPr="00D5464D">
        <w:rPr>
          <w:rFonts w:cs="Arial"/>
          <w:iCs/>
          <w:szCs w:val="20"/>
          <w:lang w:val="pt-BR"/>
        </w:rPr>
        <w:t xml:space="preserve"> um </w:t>
      </w:r>
      <w:r w:rsidR="002156E6" w:rsidRPr="00D5464D">
        <w:rPr>
          <w:rFonts w:cs="Arial"/>
          <w:iCs/>
          <w:szCs w:val="20"/>
          <w:lang w:val="pt-BR"/>
        </w:rPr>
        <w:t xml:space="preserve">Tribunal </w:t>
      </w:r>
      <w:r w:rsidR="00A3477B" w:rsidRPr="00D5464D">
        <w:rPr>
          <w:rFonts w:cs="Arial"/>
          <w:iCs/>
          <w:szCs w:val="20"/>
          <w:lang w:val="pt-BR"/>
        </w:rPr>
        <w:t>internacional</w:t>
      </w:r>
      <w:r w:rsidR="00A1358C" w:rsidRPr="00D5464D">
        <w:rPr>
          <w:rFonts w:cs="Arial"/>
          <w:iCs/>
          <w:szCs w:val="20"/>
          <w:lang w:val="pt-BR"/>
        </w:rPr>
        <w:t xml:space="preserve">. </w:t>
      </w:r>
      <w:r w:rsidR="00E765C2" w:rsidRPr="00D5464D">
        <w:rPr>
          <w:rFonts w:cs="Arial"/>
          <w:iCs/>
          <w:szCs w:val="20"/>
          <w:lang w:val="pt-BR"/>
        </w:rPr>
        <w:t>Nesse sentido</w:t>
      </w:r>
      <w:r w:rsidR="0012698E" w:rsidRPr="00D5464D">
        <w:rPr>
          <w:rFonts w:cs="Arial"/>
          <w:iCs/>
          <w:szCs w:val="20"/>
          <w:lang w:val="pt-BR"/>
        </w:rPr>
        <w:t>,</w:t>
      </w:r>
      <w:r w:rsidR="002C330E" w:rsidRPr="00D5464D">
        <w:rPr>
          <w:rFonts w:cs="Arial"/>
          <w:iCs/>
          <w:szCs w:val="20"/>
          <w:lang w:val="pt-BR"/>
        </w:rPr>
        <w:t xml:space="preserve"> a </w:t>
      </w:r>
      <w:r w:rsidR="00033BDD" w:rsidRPr="00D5464D">
        <w:rPr>
          <w:rFonts w:cs="Arial"/>
          <w:iCs/>
          <w:szCs w:val="20"/>
          <w:lang w:val="pt-BR"/>
        </w:rPr>
        <w:t>Corte nota que</w:t>
      </w:r>
      <w:r w:rsidR="002C330E" w:rsidRPr="00D5464D">
        <w:rPr>
          <w:rFonts w:cs="Arial"/>
          <w:iCs/>
          <w:szCs w:val="20"/>
          <w:lang w:val="pt-BR"/>
        </w:rPr>
        <w:t xml:space="preserve"> a </w:t>
      </w:r>
      <w:r w:rsidR="0012698E" w:rsidRPr="00D5464D">
        <w:rPr>
          <w:rFonts w:cs="Arial"/>
          <w:iCs/>
          <w:szCs w:val="20"/>
          <w:lang w:val="pt-BR"/>
        </w:rPr>
        <w:t>legisla</w:t>
      </w:r>
      <w:r w:rsidR="00470ADC" w:rsidRPr="00D5464D">
        <w:rPr>
          <w:rFonts w:cs="Arial"/>
          <w:iCs/>
          <w:szCs w:val="20"/>
          <w:lang w:val="pt-BR"/>
        </w:rPr>
        <w:t>ção</w:t>
      </w:r>
      <w:r w:rsidR="0012698E" w:rsidRPr="00D5464D">
        <w:rPr>
          <w:rFonts w:cs="Arial"/>
          <w:iCs/>
          <w:szCs w:val="20"/>
          <w:lang w:val="pt-BR"/>
        </w:rPr>
        <w:t xml:space="preserve"> comparada</w:t>
      </w:r>
      <w:r w:rsidR="00470ADC" w:rsidRPr="00D5464D">
        <w:rPr>
          <w:rFonts w:cs="Arial"/>
          <w:iCs/>
          <w:szCs w:val="20"/>
          <w:lang w:val="pt-BR"/>
        </w:rPr>
        <w:t xml:space="preserve"> dos </w:t>
      </w:r>
      <w:r w:rsidR="0012698E" w:rsidRPr="00D5464D">
        <w:rPr>
          <w:rFonts w:cs="Arial"/>
          <w:iCs/>
          <w:szCs w:val="20"/>
          <w:lang w:val="pt-BR"/>
        </w:rPr>
        <w:t>Estados</w:t>
      </w:r>
      <w:r w:rsidR="00470ADC" w:rsidRPr="00D5464D">
        <w:rPr>
          <w:rFonts w:cs="Arial"/>
          <w:iCs/>
          <w:szCs w:val="20"/>
          <w:lang w:val="pt-BR"/>
        </w:rPr>
        <w:t xml:space="preserve"> da </w:t>
      </w:r>
      <w:r w:rsidR="002C330E" w:rsidRPr="00D5464D">
        <w:rPr>
          <w:rFonts w:cs="Arial"/>
          <w:iCs/>
          <w:szCs w:val="20"/>
          <w:lang w:val="pt-BR"/>
        </w:rPr>
        <w:t>região</w:t>
      </w:r>
      <w:r w:rsidR="0012698E" w:rsidRPr="00D5464D">
        <w:rPr>
          <w:rFonts w:cs="Arial"/>
          <w:iCs/>
          <w:szCs w:val="20"/>
          <w:lang w:val="pt-BR"/>
        </w:rPr>
        <w:t xml:space="preserve"> n</w:t>
      </w:r>
      <w:r w:rsidR="004012FE" w:rsidRPr="00D5464D">
        <w:rPr>
          <w:rFonts w:cs="Arial"/>
          <w:iCs/>
          <w:szCs w:val="20"/>
          <w:lang w:val="pt-BR"/>
        </w:rPr>
        <w:t>ã</w:t>
      </w:r>
      <w:r w:rsidR="0012698E" w:rsidRPr="00D5464D">
        <w:rPr>
          <w:rFonts w:cs="Arial"/>
          <w:iCs/>
          <w:szCs w:val="20"/>
          <w:lang w:val="pt-BR"/>
        </w:rPr>
        <w:t xml:space="preserve">o </w:t>
      </w:r>
      <w:r w:rsidR="002C330E" w:rsidRPr="00D5464D">
        <w:rPr>
          <w:rFonts w:cs="Arial"/>
          <w:iCs/>
          <w:szCs w:val="20"/>
          <w:lang w:val="pt-BR"/>
        </w:rPr>
        <w:t>oferece</w:t>
      </w:r>
      <w:r w:rsidR="00E045D9" w:rsidRPr="00D5464D">
        <w:rPr>
          <w:rFonts w:cs="Arial"/>
          <w:iCs/>
          <w:szCs w:val="20"/>
          <w:lang w:val="pt-BR"/>
        </w:rPr>
        <w:t xml:space="preserve"> uma </w:t>
      </w:r>
      <w:r w:rsidR="002C330E" w:rsidRPr="00D5464D">
        <w:rPr>
          <w:rFonts w:cs="Arial"/>
          <w:iCs/>
          <w:szCs w:val="20"/>
          <w:lang w:val="pt-BR"/>
        </w:rPr>
        <w:t xml:space="preserve">referência </w:t>
      </w:r>
      <w:r w:rsidR="003E7CCD" w:rsidRPr="00D5464D">
        <w:rPr>
          <w:rFonts w:cs="Arial"/>
          <w:iCs/>
          <w:szCs w:val="20"/>
          <w:lang w:val="pt-BR"/>
        </w:rPr>
        <w:t>clara</w:t>
      </w:r>
      <w:r w:rsidR="0012698E" w:rsidRPr="00D5464D">
        <w:rPr>
          <w:rFonts w:cs="Arial"/>
          <w:iCs/>
          <w:szCs w:val="20"/>
          <w:lang w:val="pt-BR"/>
        </w:rPr>
        <w:t xml:space="preserve"> </w:t>
      </w:r>
      <w:r w:rsidR="004012FE" w:rsidRPr="00D5464D">
        <w:rPr>
          <w:rFonts w:cs="Arial"/>
          <w:iCs/>
          <w:szCs w:val="20"/>
          <w:lang w:val="pt-BR"/>
        </w:rPr>
        <w:t xml:space="preserve">em relação </w:t>
      </w:r>
      <w:r w:rsidR="00470ADC" w:rsidRPr="00D5464D">
        <w:rPr>
          <w:rFonts w:cs="Arial"/>
          <w:iCs/>
          <w:szCs w:val="20"/>
          <w:lang w:val="pt-BR"/>
        </w:rPr>
        <w:t xml:space="preserve">à </w:t>
      </w:r>
      <w:r w:rsidR="003E7CCD" w:rsidRPr="00D5464D">
        <w:rPr>
          <w:rFonts w:cs="Arial"/>
          <w:iCs/>
          <w:szCs w:val="20"/>
          <w:lang w:val="pt-BR"/>
        </w:rPr>
        <w:t>pena que</w:t>
      </w:r>
      <w:r w:rsidR="00470ADC" w:rsidRPr="00D5464D">
        <w:rPr>
          <w:rFonts w:cs="Arial"/>
          <w:iCs/>
          <w:szCs w:val="20"/>
          <w:lang w:val="pt-BR"/>
        </w:rPr>
        <w:t xml:space="preserve"> deve </w:t>
      </w:r>
      <w:r w:rsidR="004012FE" w:rsidRPr="00D5464D">
        <w:rPr>
          <w:rFonts w:cs="Arial"/>
          <w:iCs/>
          <w:szCs w:val="20"/>
          <w:lang w:val="pt-BR"/>
        </w:rPr>
        <w:t xml:space="preserve">ser estabelecida </w:t>
      </w:r>
      <w:r w:rsidR="00E045D9" w:rsidRPr="00D5464D">
        <w:rPr>
          <w:rFonts w:cs="Arial"/>
          <w:iCs/>
          <w:szCs w:val="20"/>
          <w:lang w:val="pt-BR"/>
        </w:rPr>
        <w:t xml:space="preserve">nestes </w:t>
      </w:r>
      <w:r w:rsidR="003E7CCD" w:rsidRPr="00D5464D">
        <w:rPr>
          <w:rFonts w:cs="Arial"/>
          <w:iCs/>
          <w:szCs w:val="20"/>
          <w:lang w:val="pt-BR"/>
        </w:rPr>
        <w:t>casos</w:t>
      </w:r>
      <w:r w:rsidRPr="00D5464D">
        <w:rPr>
          <w:rFonts w:cs="Arial"/>
          <w:iCs/>
          <w:szCs w:val="20"/>
          <w:lang w:val="pt-BR"/>
        </w:rPr>
        <w:t xml:space="preserve">. Os </w:t>
      </w:r>
      <w:r w:rsidR="0012698E" w:rsidRPr="00D5464D">
        <w:rPr>
          <w:rFonts w:cs="Arial"/>
          <w:iCs/>
          <w:szCs w:val="20"/>
          <w:lang w:val="pt-BR"/>
        </w:rPr>
        <w:t xml:space="preserve">Estados que </w:t>
      </w:r>
      <w:r w:rsidR="004012FE" w:rsidRPr="00D5464D">
        <w:rPr>
          <w:rFonts w:cs="Arial"/>
          <w:iCs/>
          <w:szCs w:val="20"/>
          <w:lang w:val="pt-BR"/>
        </w:rPr>
        <w:t>possuem</w:t>
      </w:r>
      <w:r w:rsidR="002C330E" w:rsidRPr="00D5464D">
        <w:rPr>
          <w:rFonts w:cs="Arial"/>
          <w:iCs/>
          <w:szCs w:val="20"/>
          <w:lang w:val="pt-BR"/>
        </w:rPr>
        <w:t xml:space="preserve"> </w:t>
      </w:r>
      <w:r w:rsidR="00E045D9" w:rsidRPr="00D5464D">
        <w:rPr>
          <w:rFonts w:cs="Arial"/>
          <w:iCs/>
          <w:szCs w:val="20"/>
          <w:lang w:val="pt-BR"/>
        </w:rPr>
        <w:t xml:space="preserve">um </w:t>
      </w:r>
      <w:r w:rsidR="0012698E" w:rsidRPr="00D5464D">
        <w:rPr>
          <w:rFonts w:cs="Arial"/>
          <w:iCs/>
          <w:szCs w:val="20"/>
          <w:lang w:val="pt-BR"/>
        </w:rPr>
        <w:t xml:space="preserve">delito específico de </w:t>
      </w:r>
      <w:r w:rsidR="00E045D9" w:rsidRPr="00D5464D">
        <w:rPr>
          <w:rFonts w:cs="Arial"/>
          <w:iCs/>
          <w:szCs w:val="20"/>
          <w:lang w:val="pt-BR"/>
        </w:rPr>
        <w:t>trabalho</w:t>
      </w:r>
      <w:r w:rsidR="0012698E" w:rsidRPr="00D5464D">
        <w:rPr>
          <w:rFonts w:cs="Arial"/>
          <w:iCs/>
          <w:szCs w:val="20"/>
          <w:lang w:val="pt-BR"/>
        </w:rPr>
        <w:t xml:space="preserve"> </w:t>
      </w:r>
      <w:r w:rsidR="004F1CC2" w:rsidRPr="00D5464D">
        <w:rPr>
          <w:rFonts w:cs="Arial"/>
          <w:iCs/>
          <w:szCs w:val="20"/>
          <w:lang w:val="pt-BR"/>
        </w:rPr>
        <w:t>escravo</w:t>
      </w:r>
      <w:r w:rsidR="0012698E" w:rsidRPr="00D5464D">
        <w:rPr>
          <w:rFonts w:cs="Arial"/>
          <w:iCs/>
          <w:szCs w:val="20"/>
          <w:lang w:val="pt-BR"/>
        </w:rPr>
        <w:t xml:space="preserve"> </w:t>
      </w:r>
      <w:r w:rsidR="00737270" w:rsidRPr="00D5464D">
        <w:rPr>
          <w:rFonts w:cs="Arial"/>
          <w:iCs/>
          <w:szCs w:val="20"/>
          <w:lang w:val="pt-BR"/>
        </w:rPr>
        <w:t>não são</w:t>
      </w:r>
      <w:r w:rsidR="002C330E" w:rsidRPr="00D5464D">
        <w:rPr>
          <w:rFonts w:cs="Arial"/>
          <w:iCs/>
          <w:szCs w:val="20"/>
          <w:lang w:val="pt-BR"/>
        </w:rPr>
        <w:t xml:space="preserve"> </w:t>
      </w:r>
      <w:r w:rsidR="00737270" w:rsidRPr="00D5464D">
        <w:rPr>
          <w:rFonts w:cs="Arial"/>
          <w:iCs/>
          <w:szCs w:val="20"/>
          <w:lang w:val="pt-BR"/>
        </w:rPr>
        <w:t>substancialmente</w:t>
      </w:r>
      <w:r w:rsidR="0012698E" w:rsidRPr="00D5464D">
        <w:rPr>
          <w:rFonts w:cs="Arial"/>
          <w:iCs/>
          <w:szCs w:val="20"/>
          <w:lang w:val="pt-BR"/>
        </w:rPr>
        <w:t xml:space="preserve"> co</w:t>
      </w:r>
      <w:r w:rsidR="00A1358C" w:rsidRPr="00D5464D">
        <w:rPr>
          <w:rFonts w:cs="Arial"/>
          <w:iCs/>
          <w:szCs w:val="20"/>
          <w:lang w:val="pt-BR"/>
        </w:rPr>
        <w:t>incidente</w:t>
      </w:r>
      <w:r w:rsidR="0012698E" w:rsidRPr="00D5464D">
        <w:rPr>
          <w:rFonts w:cs="Arial"/>
          <w:iCs/>
          <w:szCs w:val="20"/>
          <w:lang w:val="pt-BR"/>
        </w:rPr>
        <w:t>s</w:t>
      </w:r>
      <w:r w:rsidR="00470ADC" w:rsidRPr="00D5464D">
        <w:rPr>
          <w:rFonts w:cs="Arial"/>
          <w:iCs/>
          <w:szCs w:val="20"/>
          <w:lang w:val="pt-BR"/>
        </w:rPr>
        <w:t xml:space="preserve"> </w:t>
      </w:r>
      <w:r w:rsidR="00350187" w:rsidRPr="00D5464D">
        <w:rPr>
          <w:rFonts w:cs="Arial"/>
          <w:iCs/>
          <w:szCs w:val="20"/>
          <w:lang w:val="pt-BR"/>
        </w:rPr>
        <w:t>quanto</w:t>
      </w:r>
      <w:r w:rsidR="00470ADC" w:rsidRPr="00D5464D">
        <w:rPr>
          <w:rFonts w:cs="Arial"/>
          <w:iCs/>
          <w:szCs w:val="20"/>
          <w:lang w:val="pt-BR"/>
        </w:rPr>
        <w:t xml:space="preserve"> à </w:t>
      </w:r>
      <w:r w:rsidR="0012698E" w:rsidRPr="00D5464D">
        <w:rPr>
          <w:rFonts w:cs="Arial"/>
          <w:iCs/>
          <w:szCs w:val="20"/>
          <w:lang w:val="pt-BR"/>
        </w:rPr>
        <w:t>dura</w:t>
      </w:r>
      <w:r w:rsidR="00470ADC" w:rsidRPr="00D5464D">
        <w:rPr>
          <w:rFonts w:cs="Arial"/>
          <w:iCs/>
          <w:szCs w:val="20"/>
          <w:lang w:val="pt-BR"/>
        </w:rPr>
        <w:t>ção</w:t>
      </w:r>
      <w:r w:rsidR="0012698E" w:rsidRPr="00D5464D">
        <w:rPr>
          <w:rFonts w:cs="Arial"/>
          <w:iCs/>
          <w:szCs w:val="20"/>
          <w:lang w:val="pt-BR"/>
        </w:rPr>
        <w:t xml:space="preserve"> mínima</w:t>
      </w:r>
      <w:r w:rsidR="00E045D9" w:rsidRPr="00D5464D">
        <w:rPr>
          <w:rFonts w:cs="Arial"/>
          <w:iCs/>
          <w:szCs w:val="20"/>
          <w:lang w:val="pt-BR"/>
        </w:rPr>
        <w:t xml:space="preserve"> e </w:t>
      </w:r>
      <w:r w:rsidR="0012698E" w:rsidRPr="00D5464D">
        <w:rPr>
          <w:rFonts w:cs="Arial"/>
          <w:iCs/>
          <w:szCs w:val="20"/>
          <w:lang w:val="pt-BR"/>
        </w:rPr>
        <w:t>máxima</w:t>
      </w:r>
      <w:r w:rsidR="00470ADC" w:rsidRPr="00D5464D">
        <w:rPr>
          <w:rFonts w:cs="Arial"/>
          <w:iCs/>
          <w:szCs w:val="20"/>
          <w:lang w:val="pt-BR"/>
        </w:rPr>
        <w:t xml:space="preserve"> das </w:t>
      </w:r>
      <w:r w:rsidR="0012698E" w:rsidRPr="00D5464D">
        <w:rPr>
          <w:rFonts w:cs="Arial"/>
          <w:iCs/>
          <w:szCs w:val="20"/>
          <w:lang w:val="pt-BR"/>
        </w:rPr>
        <w:t>penas</w:t>
      </w:r>
      <w:r w:rsidR="00737270" w:rsidRPr="00D5464D">
        <w:rPr>
          <w:rFonts w:cs="Arial"/>
          <w:iCs/>
          <w:szCs w:val="20"/>
          <w:lang w:val="pt-BR"/>
        </w:rPr>
        <w:t xml:space="preserve">. Desta </w:t>
      </w:r>
      <w:r w:rsidR="002C330E" w:rsidRPr="00D5464D">
        <w:rPr>
          <w:rFonts w:cs="Arial"/>
          <w:iCs/>
          <w:szCs w:val="20"/>
          <w:lang w:val="pt-BR"/>
        </w:rPr>
        <w:t>maneira</w:t>
      </w:r>
      <w:r w:rsidR="0012698E" w:rsidRPr="00D5464D">
        <w:rPr>
          <w:rFonts w:cs="Arial"/>
          <w:iCs/>
          <w:szCs w:val="20"/>
          <w:lang w:val="pt-BR"/>
        </w:rPr>
        <w:t>,</w:t>
      </w:r>
      <w:r w:rsidR="002C330E" w:rsidRPr="00D5464D">
        <w:rPr>
          <w:rFonts w:cs="Arial"/>
          <w:iCs/>
          <w:szCs w:val="20"/>
          <w:lang w:val="pt-BR"/>
        </w:rPr>
        <w:t xml:space="preserve"> a </w:t>
      </w:r>
      <w:r w:rsidR="00A1358C" w:rsidRPr="00D5464D">
        <w:rPr>
          <w:rFonts w:cs="Arial"/>
          <w:iCs/>
          <w:szCs w:val="20"/>
          <w:lang w:val="pt-BR"/>
        </w:rPr>
        <w:t>Corte considera</w:t>
      </w:r>
      <w:r w:rsidR="0012698E" w:rsidRPr="00D5464D">
        <w:rPr>
          <w:rFonts w:cs="Arial"/>
          <w:iCs/>
          <w:szCs w:val="20"/>
          <w:lang w:val="pt-BR"/>
        </w:rPr>
        <w:t xml:space="preserve"> que</w:t>
      </w:r>
      <w:r w:rsidR="00470ADC" w:rsidRPr="00D5464D">
        <w:rPr>
          <w:rFonts w:cs="Arial"/>
          <w:iCs/>
          <w:szCs w:val="20"/>
          <w:lang w:val="pt-BR"/>
        </w:rPr>
        <w:t xml:space="preserve"> é faculdade do </w:t>
      </w:r>
      <w:r w:rsidR="009D4E5C" w:rsidRPr="00D5464D">
        <w:rPr>
          <w:rFonts w:cs="Arial"/>
          <w:iCs/>
          <w:szCs w:val="20"/>
          <w:lang w:val="pt-BR"/>
        </w:rPr>
        <w:t>Estado determinar</w:t>
      </w:r>
      <w:r w:rsidR="002C330E" w:rsidRPr="00D5464D">
        <w:rPr>
          <w:rFonts w:cs="Arial"/>
          <w:iCs/>
          <w:szCs w:val="20"/>
          <w:lang w:val="pt-BR"/>
        </w:rPr>
        <w:t xml:space="preserve"> a </w:t>
      </w:r>
      <w:r w:rsidR="0012698E" w:rsidRPr="00D5464D">
        <w:rPr>
          <w:rFonts w:cs="Arial"/>
          <w:iCs/>
          <w:szCs w:val="20"/>
          <w:lang w:val="pt-BR"/>
        </w:rPr>
        <w:t>pena mínima para</w:t>
      </w:r>
      <w:r w:rsidR="00470ADC" w:rsidRPr="00D5464D">
        <w:rPr>
          <w:rFonts w:cs="Arial"/>
          <w:iCs/>
          <w:szCs w:val="20"/>
          <w:lang w:val="pt-BR"/>
        </w:rPr>
        <w:t xml:space="preserve"> essa conduta em </w:t>
      </w:r>
      <w:r w:rsidR="00737270" w:rsidRPr="00D5464D">
        <w:rPr>
          <w:rFonts w:cs="Arial"/>
          <w:iCs/>
          <w:szCs w:val="20"/>
          <w:lang w:val="pt-BR"/>
        </w:rPr>
        <w:t>sua legislação</w:t>
      </w:r>
      <w:r w:rsidR="009D4E5C" w:rsidRPr="00D5464D">
        <w:rPr>
          <w:rFonts w:cs="Arial"/>
          <w:iCs/>
          <w:szCs w:val="20"/>
          <w:lang w:val="pt-BR"/>
        </w:rPr>
        <w:t xml:space="preserve"> penal</w:t>
      </w:r>
      <w:r w:rsidR="00470ADC" w:rsidRPr="00D5464D">
        <w:rPr>
          <w:rFonts w:cs="Arial"/>
          <w:iCs/>
          <w:szCs w:val="20"/>
          <w:lang w:val="pt-BR"/>
        </w:rPr>
        <w:t>; e</w:t>
      </w:r>
      <w:r w:rsidR="009D4E5C" w:rsidRPr="00D5464D">
        <w:rPr>
          <w:rFonts w:cs="Arial"/>
          <w:iCs/>
          <w:szCs w:val="20"/>
          <w:lang w:val="pt-BR"/>
        </w:rPr>
        <w:t xml:space="preserve"> que corresponde</w:t>
      </w:r>
      <w:r w:rsidR="00470ADC" w:rsidRPr="00D5464D">
        <w:rPr>
          <w:rFonts w:cs="Arial"/>
          <w:iCs/>
          <w:szCs w:val="20"/>
          <w:lang w:val="pt-BR"/>
        </w:rPr>
        <w:t xml:space="preserve"> à </w:t>
      </w:r>
      <w:r w:rsidR="009D4E5C" w:rsidRPr="00D5464D">
        <w:rPr>
          <w:rFonts w:cs="Arial"/>
          <w:iCs/>
          <w:szCs w:val="20"/>
          <w:lang w:val="pt-BR"/>
        </w:rPr>
        <w:t xml:space="preserve">esfera de </w:t>
      </w:r>
      <w:r w:rsidR="00470ADC" w:rsidRPr="00D5464D">
        <w:rPr>
          <w:rFonts w:cs="Arial"/>
          <w:iCs/>
          <w:szCs w:val="20"/>
          <w:lang w:val="pt-BR"/>
        </w:rPr>
        <w:t>competência</w:t>
      </w:r>
      <w:r w:rsidR="009D4E5C" w:rsidRPr="00D5464D">
        <w:rPr>
          <w:rFonts w:cs="Arial"/>
          <w:iCs/>
          <w:szCs w:val="20"/>
          <w:lang w:val="pt-BR"/>
        </w:rPr>
        <w:t xml:space="preserve"> </w:t>
      </w:r>
      <w:r w:rsidR="00470ADC" w:rsidRPr="00D5464D">
        <w:rPr>
          <w:rFonts w:cs="Arial"/>
          <w:iCs/>
          <w:szCs w:val="20"/>
          <w:lang w:val="pt-BR"/>
        </w:rPr>
        <w:t xml:space="preserve">do </w:t>
      </w:r>
      <w:r w:rsidR="0012698E" w:rsidRPr="00D5464D">
        <w:rPr>
          <w:rFonts w:cs="Arial"/>
          <w:iCs/>
          <w:szCs w:val="20"/>
          <w:lang w:val="pt-BR"/>
        </w:rPr>
        <w:t>Estado</w:t>
      </w:r>
      <w:r w:rsidR="002C330E" w:rsidRPr="00D5464D">
        <w:rPr>
          <w:rFonts w:cs="Arial"/>
          <w:iCs/>
          <w:szCs w:val="20"/>
          <w:lang w:val="pt-BR"/>
        </w:rPr>
        <w:t xml:space="preserve"> a </w:t>
      </w:r>
      <w:r w:rsidR="007641E1" w:rsidRPr="00D5464D">
        <w:rPr>
          <w:rFonts w:cs="Arial"/>
          <w:iCs/>
          <w:szCs w:val="20"/>
          <w:lang w:val="pt-BR"/>
        </w:rPr>
        <w:t>defini</w:t>
      </w:r>
      <w:r w:rsidR="00470ADC" w:rsidRPr="00D5464D">
        <w:rPr>
          <w:rFonts w:cs="Arial"/>
          <w:iCs/>
          <w:szCs w:val="20"/>
          <w:lang w:val="pt-BR"/>
        </w:rPr>
        <w:t>ção</w:t>
      </w:r>
      <w:r w:rsidR="007641E1" w:rsidRPr="00D5464D">
        <w:rPr>
          <w:rFonts w:cs="Arial"/>
          <w:iCs/>
          <w:szCs w:val="20"/>
          <w:lang w:val="pt-BR"/>
        </w:rPr>
        <w:t xml:space="preserve"> </w:t>
      </w:r>
      <w:r w:rsidR="00470ADC" w:rsidRPr="00D5464D">
        <w:rPr>
          <w:rFonts w:cs="Arial"/>
          <w:iCs/>
          <w:szCs w:val="20"/>
          <w:lang w:val="pt-BR"/>
        </w:rPr>
        <w:t xml:space="preserve">do </w:t>
      </w:r>
      <w:r w:rsidR="00A3477B" w:rsidRPr="00D5464D">
        <w:rPr>
          <w:rFonts w:cs="Arial"/>
          <w:i/>
          <w:iCs/>
          <w:szCs w:val="20"/>
          <w:lang w:val="pt-BR"/>
        </w:rPr>
        <w:t>quantum</w:t>
      </w:r>
      <w:r w:rsidR="00470ADC" w:rsidRPr="00D5464D">
        <w:rPr>
          <w:rFonts w:cs="Arial"/>
          <w:iCs/>
          <w:szCs w:val="20"/>
          <w:lang w:val="pt-BR"/>
        </w:rPr>
        <w:t xml:space="preserve"> das </w:t>
      </w:r>
      <w:r w:rsidR="007641E1" w:rsidRPr="00D5464D">
        <w:rPr>
          <w:rFonts w:cs="Arial"/>
          <w:iCs/>
          <w:szCs w:val="20"/>
          <w:lang w:val="pt-BR"/>
        </w:rPr>
        <w:t>penas</w:t>
      </w:r>
      <w:r w:rsidR="00EB1CE9" w:rsidRPr="00D5464D">
        <w:rPr>
          <w:rFonts w:cs="Arial"/>
          <w:iCs/>
          <w:szCs w:val="20"/>
          <w:lang w:val="pt-BR"/>
        </w:rPr>
        <w:t xml:space="preserve">, </w:t>
      </w:r>
      <w:r w:rsidR="005B3867" w:rsidRPr="00D5464D">
        <w:rPr>
          <w:rFonts w:cs="Arial"/>
          <w:iCs/>
          <w:szCs w:val="20"/>
          <w:lang w:val="pt-BR"/>
        </w:rPr>
        <w:t xml:space="preserve">pois este possui melhores condições </w:t>
      </w:r>
      <w:r w:rsidR="0012698E" w:rsidRPr="00D5464D">
        <w:rPr>
          <w:rFonts w:cs="Arial"/>
          <w:iCs/>
          <w:szCs w:val="20"/>
          <w:lang w:val="pt-BR"/>
        </w:rPr>
        <w:t xml:space="preserve">para </w:t>
      </w:r>
      <w:r w:rsidR="00A8241B" w:rsidRPr="00D5464D">
        <w:rPr>
          <w:rFonts w:cs="Arial"/>
          <w:iCs/>
          <w:szCs w:val="20"/>
          <w:lang w:val="pt-BR"/>
        </w:rPr>
        <w:t>defini-lo</w:t>
      </w:r>
      <w:r w:rsidR="0012698E" w:rsidRPr="00D5464D">
        <w:rPr>
          <w:rFonts w:cs="Arial"/>
          <w:iCs/>
          <w:szCs w:val="20"/>
          <w:lang w:val="pt-BR"/>
        </w:rPr>
        <w:t>.</w:t>
      </w:r>
    </w:p>
    <w:p w14:paraId="420077FA" w14:textId="77777777" w:rsidR="004B0842" w:rsidRPr="00D5464D" w:rsidRDefault="004B0842" w:rsidP="004B0842">
      <w:pPr>
        <w:pStyle w:val="Prrafodelista"/>
        <w:autoSpaceDE w:val="0"/>
        <w:autoSpaceDN w:val="0"/>
        <w:adjustRightInd w:val="0"/>
        <w:rPr>
          <w:rFonts w:cs="Arial"/>
          <w:i/>
          <w:iCs/>
          <w:szCs w:val="20"/>
          <w:lang w:val="pt-BR"/>
        </w:rPr>
      </w:pPr>
      <w:r w:rsidRPr="00D5464D">
        <w:rPr>
          <w:rFonts w:cs="Arial"/>
          <w:i/>
          <w:iCs/>
          <w:szCs w:val="20"/>
          <w:lang w:val="pt-BR"/>
        </w:rPr>
        <w:t xml:space="preserve"> </w:t>
      </w:r>
    </w:p>
    <w:p w14:paraId="27079374" w14:textId="3BADED38" w:rsidR="004B0842" w:rsidRPr="00D5464D" w:rsidRDefault="00E35960" w:rsidP="00863BF9">
      <w:pPr>
        <w:pStyle w:val="Ttulo3"/>
        <w:rPr>
          <w:lang w:val="pt-BR"/>
        </w:rPr>
      </w:pPr>
      <w:bookmarkStart w:id="468" w:name="_Toc460433067"/>
      <w:bookmarkStart w:id="469" w:name="_Toc460441998"/>
      <w:bookmarkStart w:id="470" w:name="_Toc462751140"/>
      <w:bookmarkStart w:id="471" w:name="_Toc464813992"/>
      <w:bookmarkStart w:id="472" w:name="_Toc468433953"/>
      <w:r w:rsidRPr="00D5464D">
        <w:rPr>
          <w:lang w:val="pt-BR"/>
        </w:rPr>
        <w:t>C.5</w:t>
      </w:r>
      <w:r w:rsidR="004B0842" w:rsidRPr="00D5464D">
        <w:rPr>
          <w:lang w:val="pt-BR"/>
        </w:rPr>
        <w:t>.</w:t>
      </w:r>
      <w:r w:rsidR="004B0842" w:rsidRPr="00D5464D">
        <w:rPr>
          <w:lang w:val="pt-BR"/>
        </w:rPr>
        <w:tab/>
      </w:r>
      <w:r w:rsidR="002C330E" w:rsidRPr="00D5464D">
        <w:rPr>
          <w:lang w:val="pt-BR"/>
        </w:rPr>
        <w:t xml:space="preserve">Garantia </w:t>
      </w:r>
      <w:r w:rsidR="00470ADC" w:rsidRPr="00D5464D">
        <w:rPr>
          <w:lang w:val="pt-BR"/>
        </w:rPr>
        <w:t>de não repetição</w:t>
      </w:r>
      <w:r w:rsidR="004B0842" w:rsidRPr="00D5464D">
        <w:rPr>
          <w:lang w:val="pt-BR"/>
        </w:rPr>
        <w:t>: Políticas públicas</w:t>
      </w:r>
      <w:bookmarkEnd w:id="468"/>
      <w:bookmarkEnd w:id="469"/>
      <w:bookmarkEnd w:id="470"/>
      <w:bookmarkEnd w:id="471"/>
      <w:bookmarkEnd w:id="472"/>
      <w:r w:rsidR="00FF1290" w:rsidRPr="00D5464D">
        <w:rPr>
          <w:lang w:val="pt-BR"/>
        </w:rPr>
        <w:t xml:space="preserve"> </w:t>
      </w:r>
      <w:r w:rsidR="004B0842" w:rsidRPr="00D5464D">
        <w:rPr>
          <w:lang w:val="pt-BR"/>
        </w:rPr>
        <w:t xml:space="preserve"> </w:t>
      </w:r>
    </w:p>
    <w:p w14:paraId="305C7449" w14:textId="77777777" w:rsidR="00747A03" w:rsidRPr="00D5464D" w:rsidRDefault="00747A03" w:rsidP="00747A03">
      <w:pPr>
        <w:pStyle w:val="Prrafodelista"/>
        <w:autoSpaceDE w:val="0"/>
        <w:autoSpaceDN w:val="0"/>
        <w:adjustRightInd w:val="0"/>
        <w:ind w:left="0"/>
        <w:rPr>
          <w:rFonts w:cs="Arial"/>
          <w:iCs/>
          <w:szCs w:val="20"/>
          <w:lang w:val="pt-BR"/>
        </w:rPr>
      </w:pPr>
    </w:p>
    <w:p w14:paraId="598EFE31" w14:textId="3E4D73B1" w:rsidR="004B0842" w:rsidRPr="00D5464D" w:rsidRDefault="00470ADC"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A </w:t>
      </w:r>
      <w:r w:rsidRPr="00D5464D">
        <w:rPr>
          <w:rFonts w:cs="Arial"/>
          <w:b/>
          <w:i/>
          <w:iCs/>
          <w:szCs w:val="20"/>
          <w:lang w:val="pt-BR"/>
        </w:rPr>
        <w:t>Comissão</w:t>
      </w:r>
      <w:r w:rsidR="004B0842" w:rsidRPr="00D5464D">
        <w:rPr>
          <w:rFonts w:cs="Arial"/>
          <w:iCs/>
          <w:szCs w:val="20"/>
          <w:lang w:val="pt-BR"/>
        </w:rPr>
        <w:t xml:space="preserve"> </w:t>
      </w:r>
      <w:r w:rsidR="002C330E" w:rsidRPr="00D5464D">
        <w:rPr>
          <w:rFonts w:cs="Arial"/>
          <w:iCs/>
          <w:szCs w:val="20"/>
          <w:lang w:val="pt-BR"/>
        </w:rPr>
        <w:t>solicitou</w:t>
      </w:r>
      <w:r w:rsidR="004B0842" w:rsidRPr="00D5464D">
        <w:rPr>
          <w:rFonts w:cs="Arial"/>
          <w:iCs/>
          <w:szCs w:val="20"/>
          <w:lang w:val="pt-BR"/>
        </w:rPr>
        <w:t xml:space="preserve"> que</w:t>
      </w:r>
      <w:r w:rsidRPr="00D5464D">
        <w:rPr>
          <w:rFonts w:cs="Arial"/>
          <w:iCs/>
          <w:szCs w:val="20"/>
          <w:lang w:val="pt-BR"/>
        </w:rPr>
        <w:t xml:space="preserve"> o </w:t>
      </w:r>
      <w:r w:rsidR="004B0842" w:rsidRPr="00D5464D">
        <w:rPr>
          <w:rFonts w:cs="Arial"/>
          <w:iCs/>
          <w:szCs w:val="20"/>
          <w:lang w:val="pt-BR"/>
        </w:rPr>
        <w:t xml:space="preserve">Estado </w:t>
      </w:r>
      <w:r w:rsidRPr="00D5464D">
        <w:rPr>
          <w:rFonts w:cs="Arial"/>
          <w:iCs/>
          <w:szCs w:val="20"/>
          <w:lang w:val="pt-BR"/>
        </w:rPr>
        <w:t>adot</w:t>
      </w:r>
      <w:r w:rsidR="004012FE" w:rsidRPr="00D5464D">
        <w:rPr>
          <w:rFonts w:cs="Arial"/>
          <w:iCs/>
          <w:szCs w:val="20"/>
          <w:lang w:val="pt-BR"/>
        </w:rPr>
        <w:t>e</w:t>
      </w:r>
      <w:r w:rsidR="00E045D9" w:rsidRPr="00D5464D">
        <w:rPr>
          <w:rFonts w:cs="Arial"/>
          <w:iCs/>
          <w:szCs w:val="20"/>
          <w:lang w:val="pt-BR"/>
        </w:rPr>
        <w:t xml:space="preserve"> uma </w:t>
      </w:r>
      <w:r w:rsidR="002C330E" w:rsidRPr="00D5464D">
        <w:rPr>
          <w:rFonts w:cs="Arial"/>
          <w:iCs/>
          <w:szCs w:val="20"/>
          <w:lang w:val="pt-BR"/>
        </w:rPr>
        <w:t>série</w:t>
      </w:r>
      <w:r w:rsidR="004B0842" w:rsidRPr="00D5464D">
        <w:rPr>
          <w:rFonts w:cs="Arial"/>
          <w:iCs/>
          <w:szCs w:val="20"/>
          <w:lang w:val="pt-BR"/>
        </w:rPr>
        <w:t xml:space="preserve"> de políticas públicas para prevenir</w:t>
      </w:r>
      <w:r w:rsidR="00E045D9" w:rsidRPr="00D5464D">
        <w:rPr>
          <w:rFonts w:cs="Arial"/>
          <w:iCs/>
          <w:szCs w:val="20"/>
          <w:lang w:val="pt-BR"/>
        </w:rPr>
        <w:t xml:space="preserve"> e </w:t>
      </w:r>
      <w:r w:rsidR="004B0842" w:rsidRPr="00D5464D">
        <w:rPr>
          <w:rFonts w:cs="Arial"/>
          <w:iCs/>
          <w:szCs w:val="20"/>
          <w:lang w:val="pt-BR"/>
        </w:rPr>
        <w:t>castigar</w:t>
      </w:r>
      <w:r w:rsidRPr="00D5464D">
        <w:rPr>
          <w:rFonts w:cs="Arial"/>
          <w:iCs/>
          <w:szCs w:val="20"/>
          <w:lang w:val="pt-BR"/>
        </w:rPr>
        <w:t xml:space="preserve"> o </w:t>
      </w:r>
      <w:r w:rsidR="00E045D9" w:rsidRPr="00D5464D">
        <w:rPr>
          <w:rFonts w:cs="Arial"/>
          <w:iCs/>
          <w:szCs w:val="20"/>
          <w:lang w:val="pt-BR"/>
        </w:rPr>
        <w:t>trabalho</w:t>
      </w:r>
      <w:r w:rsidR="004B0842" w:rsidRPr="00D5464D">
        <w:rPr>
          <w:rFonts w:cs="Arial"/>
          <w:iCs/>
          <w:szCs w:val="20"/>
          <w:lang w:val="pt-BR"/>
        </w:rPr>
        <w:t xml:space="preserve"> </w:t>
      </w:r>
      <w:r w:rsidR="004F1CC2" w:rsidRPr="00D5464D">
        <w:rPr>
          <w:rFonts w:cs="Arial"/>
          <w:iCs/>
          <w:szCs w:val="20"/>
          <w:lang w:val="pt-BR"/>
        </w:rPr>
        <w:t>escravo</w:t>
      </w:r>
      <w:r w:rsidR="004B0842" w:rsidRPr="00D5464D">
        <w:rPr>
          <w:rFonts w:cs="Arial"/>
          <w:iCs/>
          <w:szCs w:val="20"/>
          <w:lang w:val="pt-BR"/>
        </w:rPr>
        <w:t xml:space="preserve">. Entre </w:t>
      </w:r>
      <w:r w:rsidR="00350187" w:rsidRPr="00D5464D">
        <w:rPr>
          <w:rFonts w:cs="Arial"/>
          <w:iCs/>
          <w:szCs w:val="20"/>
          <w:lang w:val="pt-BR"/>
        </w:rPr>
        <w:t>estas</w:t>
      </w:r>
      <w:r w:rsidR="004B0842" w:rsidRPr="00D5464D">
        <w:rPr>
          <w:rFonts w:cs="Arial"/>
          <w:iCs/>
          <w:szCs w:val="20"/>
          <w:lang w:val="pt-BR"/>
        </w:rPr>
        <w:t xml:space="preserve"> </w:t>
      </w:r>
      <w:r w:rsidRPr="00D5464D">
        <w:rPr>
          <w:rFonts w:cs="Arial"/>
          <w:iCs/>
          <w:szCs w:val="20"/>
          <w:lang w:val="pt-BR"/>
        </w:rPr>
        <w:t>destaca</w:t>
      </w:r>
      <w:r w:rsidR="004B0842" w:rsidRPr="00D5464D">
        <w:rPr>
          <w:rFonts w:cs="Arial"/>
          <w:iCs/>
          <w:szCs w:val="20"/>
          <w:lang w:val="pt-BR"/>
        </w:rPr>
        <w:t>: i)</w:t>
      </w:r>
      <w:r w:rsidR="002C330E" w:rsidRPr="00D5464D">
        <w:rPr>
          <w:rFonts w:cs="Arial"/>
          <w:iCs/>
          <w:szCs w:val="20"/>
          <w:lang w:val="pt-BR"/>
        </w:rPr>
        <w:t xml:space="preserve"> a </w:t>
      </w:r>
      <w:r w:rsidR="004B0842" w:rsidRPr="00D5464D">
        <w:rPr>
          <w:rFonts w:cs="Arial"/>
          <w:iCs/>
          <w:szCs w:val="20"/>
          <w:lang w:val="pt-BR"/>
        </w:rPr>
        <w:t>implementa</w:t>
      </w:r>
      <w:r w:rsidRPr="00D5464D">
        <w:rPr>
          <w:rFonts w:cs="Arial"/>
          <w:iCs/>
          <w:szCs w:val="20"/>
          <w:lang w:val="pt-BR"/>
        </w:rPr>
        <w:t>ção</w:t>
      </w:r>
      <w:r w:rsidR="004B0842" w:rsidRPr="00D5464D">
        <w:rPr>
          <w:rFonts w:cs="Arial"/>
          <w:iCs/>
          <w:szCs w:val="20"/>
          <w:lang w:val="pt-BR"/>
        </w:rPr>
        <w:t xml:space="preserve"> </w:t>
      </w:r>
      <w:r w:rsidR="004012FE" w:rsidRPr="00D5464D">
        <w:rPr>
          <w:rFonts w:cs="Arial"/>
          <w:iCs/>
          <w:szCs w:val="20"/>
          <w:lang w:val="pt-BR"/>
        </w:rPr>
        <w:t>cont</w:t>
      </w:r>
      <w:r w:rsidR="00B953D5" w:rsidRPr="00D5464D">
        <w:rPr>
          <w:rFonts w:cs="Arial"/>
          <w:iCs/>
          <w:szCs w:val="20"/>
          <w:lang w:val="pt-BR"/>
        </w:rPr>
        <w:t>í</w:t>
      </w:r>
      <w:r w:rsidR="004012FE" w:rsidRPr="00D5464D">
        <w:rPr>
          <w:rFonts w:cs="Arial"/>
          <w:iCs/>
          <w:szCs w:val="20"/>
          <w:lang w:val="pt-BR"/>
        </w:rPr>
        <w:t xml:space="preserve">nua </w:t>
      </w:r>
      <w:r w:rsidRPr="00D5464D">
        <w:rPr>
          <w:rFonts w:cs="Arial"/>
          <w:iCs/>
          <w:szCs w:val="20"/>
          <w:lang w:val="pt-BR"/>
        </w:rPr>
        <w:t xml:space="preserve">das </w:t>
      </w:r>
      <w:r w:rsidR="004B0842" w:rsidRPr="00D5464D">
        <w:rPr>
          <w:rFonts w:cs="Arial"/>
          <w:iCs/>
          <w:szCs w:val="20"/>
          <w:lang w:val="pt-BR"/>
        </w:rPr>
        <w:t xml:space="preserve">políticas públicas </w:t>
      </w:r>
      <w:r w:rsidR="004012FE" w:rsidRPr="00D5464D">
        <w:rPr>
          <w:rFonts w:cs="Arial"/>
          <w:iCs/>
          <w:szCs w:val="20"/>
          <w:lang w:val="pt-BR"/>
        </w:rPr>
        <w:t xml:space="preserve">e de </w:t>
      </w:r>
      <w:r w:rsidR="004B0842" w:rsidRPr="00D5464D">
        <w:rPr>
          <w:rFonts w:cs="Arial"/>
          <w:iCs/>
          <w:szCs w:val="20"/>
          <w:lang w:val="pt-BR"/>
        </w:rPr>
        <w:t>medidas legislativas</w:t>
      </w:r>
      <w:r w:rsidR="00E045D9" w:rsidRPr="00D5464D">
        <w:rPr>
          <w:rFonts w:cs="Arial"/>
          <w:iCs/>
          <w:szCs w:val="20"/>
          <w:lang w:val="pt-BR"/>
        </w:rPr>
        <w:t xml:space="preserve"> e </w:t>
      </w:r>
      <w:r w:rsidR="004B0842" w:rsidRPr="00D5464D">
        <w:rPr>
          <w:rFonts w:cs="Arial"/>
          <w:iCs/>
          <w:szCs w:val="20"/>
          <w:lang w:val="pt-BR"/>
        </w:rPr>
        <w:t>de</w:t>
      </w:r>
      <w:r w:rsidR="002C330E" w:rsidRPr="00D5464D">
        <w:rPr>
          <w:rFonts w:cs="Arial"/>
          <w:iCs/>
          <w:szCs w:val="20"/>
          <w:lang w:val="pt-BR"/>
        </w:rPr>
        <w:t xml:space="preserve"> outra </w:t>
      </w:r>
      <w:r w:rsidR="004012FE" w:rsidRPr="00D5464D">
        <w:rPr>
          <w:rFonts w:cs="Arial"/>
          <w:iCs/>
          <w:szCs w:val="20"/>
          <w:lang w:val="pt-BR"/>
        </w:rPr>
        <w:t xml:space="preserve">natureza </w:t>
      </w:r>
      <w:r w:rsidR="004B0842" w:rsidRPr="00D5464D">
        <w:rPr>
          <w:rFonts w:cs="Arial"/>
          <w:iCs/>
          <w:szCs w:val="20"/>
          <w:lang w:val="pt-BR"/>
        </w:rPr>
        <w:t>para</w:t>
      </w:r>
      <w:r w:rsidR="002C330E" w:rsidRPr="00D5464D">
        <w:rPr>
          <w:rFonts w:cs="Arial"/>
          <w:iCs/>
          <w:szCs w:val="20"/>
          <w:lang w:val="pt-BR"/>
        </w:rPr>
        <w:t xml:space="preserve"> a </w:t>
      </w:r>
      <w:r w:rsidR="004B0842" w:rsidRPr="00D5464D">
        <w:rPr>
          <w:rFonts w:cs="Arial"/>
          <w:iCs/>
          <w:szCs w:val="20"/>
          <w:lang w:val="pt-BR"/>
        </w:rPr>
        <w:t>erradica</w:t>
      </w:r>
      <w:r w:rsidRPr="00D5464D">
        <w:rPr>
          <w:rFonts w:cs="Arial"/>
          <w:iCs/>
          <w:szCs w:val="20"/>
          <w:lang w:val="pt-BR"/>
        </w:rPr>
        <w:t>ção</w:t>
      </w:r>
      <w:r w:rsidR="004B0842" w:rsidRPr="00D5464D">
        <w:rPr>
          <w:rFonts w:cs="Arial"/>
          <w:iCs/>
          <w:szCs w:val="20"/>
          <w:lang w:val="pt-BR"/>
        </w:rPr>
        <w:t xml:space="preserve"> </w:t>
      </w:r>
      <w:r w:rsidRPr="00D5464D">
        <w:rPr>
          <w:rFonts w:cs="Arial"/>
          <w:iCs/>
          <w:szCs w:val="20"/>
          <w:lang w:val="pt-BR"/>
        </w:rPr>
        <w:t xml:space="preserve">do </w:t>
      </w:r>
      <w:r w:rsidR="00E045D9" w:rsidRPr="00D5464D">
        <w:rPr>
          <w:rFonts w:cs="Arial"/>
          <w:iCs/>
          <w:szCs w:val="20"/>
          <w:lang w:val="pt-BR"/>
        </w:rPr>
        <w:t>trabalho</w:t>
      </w:r>
      <w:r w:rsidR="004B0842" w:rsidRPr="00D5464D">
        <w:rPr>
          <w:rFonts w:cs="Arial"/>
          <w:iCs/>
          <w:szCs w:val="20"/>
          <w:lang w:val="pt-BR"/>
        </w:rPr>
        <w:t xml:space="preserve"> </w:t>
      </w:r>
      <w:r w:rsidR="004F1CC2" w:rsidRPr="00D5464D">
        <w:rPr>
          <w:rFonts w:cs="Arial"/>
          <w:iCs/>
          <w:szCs w:val="20"/>
          <w:lang w:val="pt-BR"/>
        </w:rPr>
        <w:t>escravo</w:t>
      </w:r>
      <w:r w:rsidR="00126C03" w:rsidRPr="00D5464D">
        <w:rPr>
          <w:rFonts w:cs="Arial"/>
          <w:iCs/>
          <w:szCs w:val="20"/>
          <w:lang w:val="pt-BR"/>
        </w:rPr>
        <w:t>;</w:t>
      </w:r>
      <w:r w:rsidRPr="00D5464D">
        <w:rPr>
          <w:rFonts w:cs="Arial"/>
          <w:iCs/>
          <w:szCs w:val="20"/>
          <w:lang w:val="pt-BR"/>
        </w:rPr>
        <w:t xml:space="preserve"> em </w:t>
      </w:r>
      <w:r w:rsidR="004B0842" w:rsidRPr="00D5464D">
        <w:rPr>
          <w:rFonts w:cs="Arial"/>
          <w:iCs/>
          <w:szCs w:val="20"/>
          <w:lang w:val="pt-BR"/>
        </w:rPr>
        <w:t>especial,</w:t>
      </w:r>
      <w:r w:rsidRPr="00D5464D">
        <w:rPr>
          <w:rFonts w:cs="Arial"/>
          <w:iCs/>
          <w:szCs w:val="20"/>
          <w:lang w:val="pt-BR"/>
        </w:rPr>
        <w:t xml:space="preserve"> o </w:t>
      </w:r>
      <w:r w:rsidR="004B0842" w:rsidRPr="00D5464D">
        <w:rPr>
          <w:rFonts w:cs="Arial"/>
          <w:iCs/>
          <w:szCs w:val="20"/>
          <w:lang w:val="pt-BR"/>
        </w:rPr>
        <w:t>Estado</w:t>
      </w:r>
      <w:r w:rsidRPr="00D5464D">
        <w:rPr>
          <w:rFonts w:cs="Arial"/>
          <w:iCs/>
          <w:szCs w:val="20"/>
          <w:lang w:val="pt-BR"/>
        </w:rPr>
        <w:t xml:space="preserve"> deve </w:t>
      </w:r>
      <w:r w:rsidR="00E765C2" w:rsidRPr="00D5464D">
        <w:rPr>
          <w:rFonts w:cs="Arial"/>
          <w:iCs/>
          <w:szCs w:val="20"/>
          <w:lang w:val="pt-BR"/>
        </w:rPr>
        <w:t>monitorar</w:t>
      </w:r>
      <w:r w:rsidR="002C330E" w:rsidRPr="00D5464D">
        <w:rPr>
          <w:rFonts w:cs="Arial"/>
          <w:iCs/>
          <w:szCs w:val="20"/>
          <w:lang w:val="pt-BR"/>
        </w:rPr>
        <w:t xml:space="preserve"> a </w:t>
      </w:r>
      <w:r w:rsidR="004B0842" w:rsidRPr="00D5464D">
        <w:rPr>
          <w:rFonts w:cs="Arial"/>
          <w:iCs/>
          <w:szCs w:val="20"/>
          <w:lang w:val="pt-BR"/>
        </w:rPr>
        <w:t>aplica</w:t>
      </w:r>
      <w:r w:rsidRPr="00D5464D">
        <w:rPr>
          <w:rFonts w:cs="Arial"/>
          <w:iCs/>
          <w:szCs w:val="20"/>
          <w:lang w:val="pt-BR"/>
        </w:rPr>
        <w:t>ção</w:t>
      </w:r>
      <w:r w:rsidR="00E045D9" w:rsidRPr="00D5464D">
        <w:rPr>
          <w:rFonts w:cs="Arial"/>
          <w:iCs/>
          <w:szCs w:val="20"/>
          <w:lang w:val="pt-BR"/>
        </w:rPr>
        <w:t xml:space="preserve"> e </w:t>
      </w:r>
      <w:r w:rsidR="004012FE" w:rsidRPr="00D5464D">
        <w:rPr>
          <w:rFonts w:cs="Arial"/>
          <w:iCs/>
          <w:szCs w:val="20"/>
          <w:lang w:val="pt-BR"/>
        </w:rPr>
        <w:t xml:space="preserve">punição </w:t>
      </w:r>
      <w:r w:rsidR="004B0842" w:rsidRPr="00D5464D">
        <w:rPr>
          <w:rFonts w:cs="Arial"/>
          <w:iCs/>
          <w:szCs w:val="20"/>
          <w:lang w:val="pt-BR"/>
        </w:rPr>
        <w:t xml:space="preserve">de </w:t>
      </w:r>
      <w:r w:rsidR="002C330E" w:rsidRPr="00D5464D">
        <w:rPr>
          <w:rFonts w:cs="Arial"/>
          <w:iCs/>
          <w:szCs w:val="20"/>
          <w:lang w:val="pt-BR"/>
        </w:rPr>
        <w:t>pessoa</w:t>
      </w:r>
      <w:r w:rsidR="004B0842" w:rsidRPr="00D5464D">
        <w:rPr>
          <w:rFonts w:cs="Arial"/>
          <w:iCs/>
          <w:szCs w:val="20"/>
          <w:lang w:val="pt-BR"/>
        </w:rPr>
        <w:t xml:space="preserve">s </w:t>
      </w:r>
      <w:r w:rsidR="002C330E" w:rsidRPr="00D5464D">
        <w:rPr>
          <w:rFonts w:cs="Arial"/>
          <w:iCs/>
          <w:szCs w:val="20"/>
          <w:lang w:val="pt-BR"/>
        </w:rPr>
        <w:t>responsáveis</w:t>
      </w:r>
      <w:r w:rsidR="004B0842" w:rsidRPr="00D5464D">
        <w:rPr>
          <w:rFonts w:cs="Arial"/>
          <w:iCs/>
          <w:szCs w:val="20"/>
          <w:lang w:val="pt-BR"/>
        </w:rPr>
        <w:t xml:space="preserve"> </w:t>
      </w:r>
      <w:r w:rsidR="004012FE" w:rsidRPr="00D5464D">
        <w:rPr>
          <w:rFonts w:cs="Arial"/>
          <w:iCs/>
          <w:szCs w:val="20"/>
          <w:lang w:val="pt-BR"/>
        </w:rPr>
        <w:t>por</w:t>
      </w:r>
      <w:r w:rsidR="004B0842" w:rsidRPr="00D5464D">
        <w:rPr>
          <w:rFonts w:cs="Arial"/>
          <w:iCs/>
          <w:szCs w:val="20"/>
          <w:lang w:val="pt-BR"/>
        </w:rPr>
        <w:t xml:space="preserve"> </w:t>
      </w:r>
      <w:r w:rsidR="00E045D9" w:rsidRPr="00D5464D">
        <w:rPr>
          <w:rFonts w:cs="Arial"/>
          <w:iCs/>
          <w:szCs w:val="20"/>
          <w:lang w:val="pt-BR"/>
        </w:rPr>
        <w:t>trabalho</w:t>
      </w:r>
      <w:r w:rsidR="004B0842" w:rsidRPr="00D5464D">
        <w:rPr>
          <w:rFonts w:cs="Arial"/>
          <w:iCs/>
          <w:szCs w:val="20"/>
          <w:lang w:val="pt-BR"/>
        </w:rPr>
        <w:t xml:space="preserve"> </w:t>
      </w:r>
      <w:r w:rsidR="004F1CC2" w:rsidRPr="00D5464D">
        <w:rPr>
          <w:rFonts w:cs="Arial"/>
          <w:iCs/>
          <w:szCs w:val="20"/>
          <w:lang w:val="pt-BR"/>
        </w:rPr>
        <w:t>escravo</w:t>
      </w:r>
      <w:r w:rsidR="004B0842" w:rsidRPr="00D5464D">
        <w:rPr>
          <w:rFonts w:cs="Arial"/>
          <w:iCs/>
          <w:szCs w:val="20"/>
          <w:lang w:val="pt-BR"/>
        </w:rPr>
        <w:t>,</w:t>
      </w:r>
      <w:r w:rsidRPr="00D5464D">
        <w:rPr>
          <w:rFonts w:cs="Arial"/>
          <w:iCs/>
          <w:szCs w:val="20"/>
          <w:lang w:val="pt-BR"/>
        </w:rPr>
        <w:t xml:space="preserve"> em </w:t>
      </w:r>
      <w:r w:rsidR="004B0842" w:rsidRPr="00D5464D">
        <w:rPr>
          <w:rFonts w:cs="Arial"/>
          <w:iCs/>
          <w:szCs w:val="20"/>
          <w:lang w:val="pt-BR"/>
        </w:rPr>
        <w:t>todos</w:t>
      </w:r>
      <w:r w:rsidR="002C330E" w:rsidRPr="00D5464D">
        <w:rPr>
          <w:rFonts w:cs="Arial"/>
          <w:iCs/>
          <w:szCs w:val="20"/>
          <w:lang w:val="pt-BR"/>
        </w:rPr>
        <w:t xml:space="preserve"> os níveis</w:t>
      </w:r>
      <w:r w:rsidR="004B0842" w:rsidRPr="00D5464D">
        <w:rPr>
          <w:rFonts w:cs="Arial"/>
          <w:iCs/>
          <w:szCs w:val="20"/>
          <w:lang w:val="pt-BR"/>
        </w:rPr>
        <w:t>; ii)</w:t>
      </w:r>
      <w:r w:rsidRPr="00D5464D">
        <w:rPr>
          <w:rFonts w:cs="Arial"/>
          <w:iCs/>
          <w:szCs w:val="20"/>
          <w:lang w:val="pt-BR"/>
        </w:rPr>
        <w:t xml:space="preserve"> o </w:t>
      </w:r>
      <w:r w:rsidR="00230C71" w:rsidRPr="00D5464D">
        <w:rPr>
          <w:rFonts w:cs="Arial"/>
          <w:iCs/>
          <w:szCs w:val="20"/>
          <w:lang w:val="pt-BR"/>
        </w:rPr>
        <w:t>fortalecimento</w:t>
      </w:r>
      <w:r w:rsidR="004B0842" w:rsidRPr="00D5464D">
        <w:rPr>
          <w:rFonts w:cs="Arial"/>
          <w:iCs/>
          <w:szCs w:val="20"/>
          <w:lang w:val="pt-BR"/>
        </w:rPr>
        <w:t xml:space="preserve"> </w:t>
      </w:r>
      <w:r w:rsidRPr="00D5464D">
        <w:rPr>
          <w:rFonts w:cs="Arial"/>
          <w:iCs/>
          <w:szCs w:val="20"/>
          <w:lang w:val="pt-BR"/>
        </w:rPr>
        <w:t xml:space="preserve">do </w:t>
      </w:r>
      <w:r w:rsidR="004B0842" w:rsidRPr="00D5464D">
        <w:rPr>
          <w:rFonts w:cs="Arial"/>
          <w:iCs/>
          <w:szCs w:val="20"/>
          <w:lang w:val="pt-BR"/>
        </w:rPr>
        <w:t xml:space="preserve">sistema </w:t>
      </w:r>
      <w:r w:rsidR="004012FE" w:rsidRPr="00D5464D">
        <w:rPr>
          <w:rFonts w:cs="Arial"/>
          <w:iCs/>
          <w:szCs w:val="20"/>
          <w:lang w:val="pt-BR"/>
        </w:rPr>
        <w:t xml:space="preserve">jurídico </w:t>
      </w:r>
      <w:r w:rsidR="00E045D9" w:rsidRPr="00D5464D">
        <w:rPr>
          <w:rFonts w:cs="Arial"/>
          <w:iCs/>
          <w:szCs w:val="20"/>
          <w:lang w:val="pt-BR"/>
        </w:rPr>
        <w:t xml:space="preserve">e </w:t>
      </w:r>
      <w:r w:rsidR="002C330E" w:rsidRPr="00D5464D">
        <w:rPr>
          <w:rFonts w:cs="Arial"/>
          <w:iCs/>
          <w:szCs w:val="20"/>
          <w:lang w:val="pt-BR"/>
        </w:rPr>
        <w:t xml:space="preserve">a </w:t>
      </w:r>
      <w:r w:rsidRPr="00D5464D">
        <w:rPr>
          <w:rFonts w:cs="Arial"/>
          <w:iCs/>
          <w:szCs w:val="20"/>
          <w:lang w:val="pt-BR"/>
        </w:rPr>
        <w:t>criação</w:t>
      </w:r>
      <w:r w:rsidR="004B0842" w:rsidRPr="00D5464D">
        <w:rPr>
          <w:rFonts w:cs="Arial"/>
          <w:iCs/>
          <w:szCs w:val="20"/>
          <w:lang w:val="pt-BR"/>
        </w:rPr>
        <w:t xml:space="preserve"> </w:t>
      </w:r>
      <w:r w:rsidR="00126C03" w:rsidRPr="00D5464D">
        <w:rPr>
          <w:rFonts w:cs="Arial"/>
          <w:iCs/>
          <w:szCs w:val="20"/>
          <w:lang w:val="pt-BR"/>
        </w:rPr>
        <w:t xml:space="preserve">de </w:t>
      </w:r>
      <w:r w:rsidR="004B0842" w:rsidRPr="00D5464D">
        <w:rPr>
          <w:rFonts w:cs="Arial"/>
          <w:iCs/>
          <w:szCs w:val="20"/>
          <w:lang w:val="pt-BR"/>
        </w:rPr>
        <w:t xml:space="preserve">mecanismos de </w:t>
      </w:r>
      <w:r w:rsidRPr="00D5464D">
        <w:rPr>
          <w:rFonts w:cs="Arial"/>
          <w:iCs/>
          <w:szCs w:val="20"/>
          <w:lang w:val="pt-BR"/>
        </w:rPr>
        <w:t>coordenação</w:t>
      </w:r>
      <w:r w:rsidR="004B0842" w:rsidRPr="00D5464D">
        <w:rPr>
          <w:rFonts w:cs="Arial"/>
          <w:iCs/>
          <w:szCs w:val="20"/>
          <w:lang w:val="pt-BR"/>
        </w:rPr>
        <w:t xml:space="preserve"> entre</w:t>
      </w:r>
      <w:r w:rsidR="002C330E" w:rsidRPr="00D5464D">
        <w:rPr>
          <w:rFonts w:cs="Arial"/>
          <w:iCs/>
          <w:szCs w:val="20"/>
          <w:lang w:val="pt-BR"/>
        </w:rPr>
        <w:t xml:space="preserve"> a jurisdição</w:t>
      </w:r>
      <w:r w:rsidR="004B0842" w:rsidRPr="00D5464D">
        <w:rPr>
          <w:rFonts w:cs="Arial"/>
          <w:iCs/>
          <w:szCs w:val="20"/>
          <w:lang w:val="pt-BR"/>
        </w:rPr>
        <w:t xml:space="preserve"> penal</w:t>
      </w:r>
      <w:r w:rsidR="00E045D9" w:rsidRPr="00D5464D">
        <w:rPr>
          <w:rFonts w:cs="Arial"/>
          <w:iCs/>
          <w:szCs w:val="20"/>
          <w:lang w:val="pt-BR"/>
        </w:rPr>
        <w:t xml:space="preserve"> e </w:t>
      </w:r>
      <w:r w:rsidR="002C330E" w:rsidRPr="00D5464D">
        <w:rPr>
          <w:rFonts w:cs="Arial"/>
          <w:iCs/>
          <w:szCs w:val="20"/>
          <w:lang w:val="pt-BR"/>
        </w:rPr>
        <w:t>a jurisdição</w:t>
      </w:r>
      <w:r w:rsidR="004B0842" w:rsidRPr="00D5464D">
        <w:rPr>
          <w:rFonts w:cs="Arial"/>
          <w:iCs/>
          <w:szCs w:val="20"/>
          <w:lang w:val="pt-BR"/>
        </w:rPr>
        <w:t xml:space="preserve"> </w:t>
      </w:r>
      <w:r w:rsidR="004012FE" w:rsidRPr="00D5464D">
        <w:rPr>
          <w:rFonts w:cs="Arial"/>
          <w:iCs/>
          <w:szCs w:val="20"/>
          <w:lang w:val="pt-BR"/>
        </w:rPr>
        <w:t xml:space="preserve">trabalhista </w:t>
      </w:r>
      <w:r w:rsidR="004B0842" w:rsidRPr="00D5464D">
        <w:rPr>
          <w:rFonts w:cs="Arial"/>
          <w:iCs/>
          <w:szCs w:val="20"/>
          <w:lang w:val="pt-BR"/>
        </w:rPr>
        <w:t>para superar</w:t>
      </w:r>
      <w:r w:rsidR="002C330E" w:rsidRPr="00D5464D">
        <w:rPr>
          <w:rFonts w:cs="Arial"/>
          <w:iCs/>
          <w:szCs w:val="20"/>
          <w:lang w:val="pt-BR"/>
        </w:rPr>
        <w:t xml:space="preserve"> os </w:t>
      </w:r>
      <w:r w:rsidR="00E045D9" w:rsidRPr="00D5464D">
        <w:rPr>
          <w:rFonts w:cs="Arial"/>
          <w:iCs/>
          <w:szCs w:val="20"/>
          <w:lang w:val="pt-BR"/>
        </w:rPr>
        <w:t>vazio</w:t>
      </w:r>
      <w:r w:rsidR="004B0842" w:rsidRPr="00D5464D">
        <w:rPr>
          <w:rFonts w:cs="Arial"/>
          <w:iCs/>
          <w:szCs w:val="20"/>
          <w:lang w:val="pt-BR"/>
        </w:rPr>
        <w:t xml:space="preserve">s </w:t>
      </w:r>
      <w:r w:rsidR="004012FE" w:rsidRPr="00D5464D">
        <w:rPr>
          <w:rFonts w:cs="Arial"/>
          <w:iCs/>
          <w:szCs w:val="20"/>
          <w:lang w:val="pt-BR"/>
        </w:rPr>
        <w:t xml:space="preserve">gerados </w:t>
      </w:r>
      <w:r w:rsidR="00E045D9" w:rsidRPr="00D5464D">
        <w:rPr>
          <w:rFonts w:cs="Arial"/>
          <w:iCs/>
          <w:szCs w:val="20"/>
          <w:lang w:val="pt-BR"/>
        </w:rPr>
        <w:t xml:space="preserve">na </w:t>
      </w:r>
      <w:r w:rsidR="004B0842" w:rsidRPr="00D5464D">
        <w:rPr>
          <w:rFonts w:cs="Arial"/>
          <w:iCs/>
          <w:szCs w:val="20"/>
          <w:lang w:val="pt-BR"/>
        </w:rPr>
        <w:t>investiga</w:t>
      </w:r>
      <w:r w:rsidRPr="00D5464D">
        <w:rPr>
          <w:rFonts w:cs="Arial"/>
          <w:iCs/>
          <w:szCs w:val="20"/>
          <w:lang w:val="pt-BR"/>
        </w:rPr>
        <w:t>ção</w:t>
      </w:r>
      <w:r w:rsidR="004B0842" w:rsidRPr="00D5464D">
        <w:rPr>
          <w:rFonts w:cs="Arial"/>
          <w:iCs/>
          <w:szCs w:val="20"/>
          <w:lang w:val="pt-BR"/>
        </w:rPr>
        <w:t xml:space="preserve">, </w:t>
      </w:r>
      <w:r w:rsidR="002C330E" w:rsidRPr="00D5464D">
        <w:rPr>
          <w:rFonts w:cs="Arial"/>
          <w:iCs/>
          <w:szCs w:val="20"/>
          <w:lang w:val="pt-BR"/>
        </w:rPr>
        <w:t>processamento</w:t>
      </w:r>
      <w:r w:rsidR="00E045D9" w:rsidRPr="00D5464D">
        <w:rPr>
          <w:rFonts w:cs="Arial"/>
          <w:iCs/>
          <w:szCs w:val="20"/>
          <w:lang w:val="pt-BR"/>
        </w:rPr>
        <w:t xml:space="preserve"> e </w:t>
      </w:r>
      <w:r w:rsidR="004012FE" w:rsidRPr="00D5464D">
        <w:rPr>
          <w:rFonts w:cs="Arial"/>
          <w:iCs/>
          <w:szCs w:val="20"/>
          <w:lang w:val="pt-BR"/>
        </w:rPr>
        <w:t xml:space="preserve">punição </w:t>
      </w:r>
      <w:r w:rsidRPr="00D5464D">
        <w:rPr>
          <w:rFonts w:cs="Arial"/>
          <w:iCs/>
          <w:szCs w:val="20"/>
          <w:lang w:val="pt-BR"/>
        </w:rPr>
        <w:t xml:space="preserve">das </w:t>
      </w:r>
      <w:r w:rsidR="002C330E" w:rsidRPr="00D5464D">
        <w:rPr>
          <w:rFonts w:cs="Arial"/>
          <w:iCs/>
          <w:szCs w:val="20"/>
          <w:lang w:val="pt-BR"/>
        </w:rPr>
        <w:t>pessoa</w:t>
      </w:r>
      <w:r w:rsidR="004B0842" w:rsidRPr="00D5464D">
        <w:rPr>
          <w:rFonts w:cs="Arial"/>
          <w:iCs/>
          <w:szCs w:val="20"/>
          <w:lang w:val="pt-BR"/>
        </w:rPr>
        <w:t xml:space="preserve">s </w:t>
      </w:r>
      <w:r w:rsidR="00350187" w:rsidRPr="00D5464D">
        <w:rPr>
          <w:rFonts w:cs="Arial"/>
          <w:iCs/>
          <w:szCs w:val="20"/>
          <w:lang w:val="pt-BR"/>
        </w:rPr>
        <w:t>responsáveis pelo</w:t>
      </w:r>
      <w:r w:rsidRPr="00D5464D">
        <w:rPr>
          <w:rFonts w:cs="Arial"/>
          <w:iCs/>
          <w:szCs w:val="20"/>
          <w:lang w:val="pt-BR"/>
        </w:rPr>
        <w:t xml:space="preserve">s </w:t>
      </w:r>
      <w:r w:rsidR="004B0842" w:rsidRPr="00D5464D">
        <w:rPr>
          <w:rFonts w:cs="Arial"/>
          <w:iCs/>
          <w:szCs w:val="20"/>
          <w:lang w:val="pt-BR"/>
        </w:rPr>
        <w:t xml:space="preserve">delitos de </w:t>
      </w:r>
      <w:r w:rsidR="000B376D" w:rsidRPr="00D5464D">
        <w:rPr>
          <w:rFonts w:cs="Arial"/>
          <w:iCs/>
          <w:szCs w:val="20"/>
          <w:lang w:val="pt-BR"/>
        </w:rPr>
        <w:t>servidão</w:t>
      </w:r>
      <w:r w:rsidR="00E045D9" w:rsidRPr="00D5464D">
        <w:rPr>
          <w:rFonts w:cs="Arial"/>
          <w:iCs/>
          <w:szCs w:val="20"/>
          <w:lang w:val="pt-BR"/>
        </w:rPr>
        <w:t xml:space="preserve"> e trabalho</w:t>
      </w:r>
      <w:r w:rsidR="004B0842" w:rsidRPr="00D5464D">
        <w:rPr>
          <w:rFonts w:cs="Arial"/>
          <w:iCs/>
          <w:szCs w:val="20"/>
          <w:lang w:val="pt-BR"/>
        </w:rPr>
        <w:t xml:space="preserve"> </w:t>
      </w:r>
      <w:r w:rsidR="00230C71" w:rsidRPr="00D5464D">
        <w:rPr>
          <w:rFonts w:cs="Arial"/>
          <w:iCs/>
          <w:szCs w:val="20"/>
          <w:lang w:val="pt-BR"/>
        </w:rPr>
        <w:t>forçado</w:t>
      </w:r>
      <w:r w:rsidR="004B0842" w:rsidRPr="00D5464D">
        <w:rPr>
          <w:rFonts w:cs="Arial"/>
          <w:iCs/>
          <w:szCs w:val="20"/>
          <w:lang w:val="pt-BR"/>
        </w:rPr>
        <w:t>; iii)</w:t>
      </w:r>
      <w:r w:rsidRPr="00D5464D">
        <w:rPr>
          <w:rFonts w:cs="Arial"/>
          <w:iCs/>
          <w:szCs w:val="20"/>
          <w:lang w:val="pt-BR"/>
        </w:rPr>
        <w:t xml:space="preserve"> </w:t>
      </w:r>
      <w:r w:rsidR="00EB1CE9" w:rsidRPr="00D5464D">
        <w:rPr>
          <w:rFonts w:cs="Arial"/>
          <w:iCs/>
          <w:szCs w:val="20"/>
          <w:lang w:val="pt-BR"/>
        </w:rPr>
        <w:t>assegura</w:t>
      </w:r>
      <w:r w:rsidR="004012FE" w:rsidRPr="00D5464D">
        <w:rPr>
          <w:rFonts w:cs="Arial"/>
          <w:iCs/>
          <w:szCs w:val="20"/>
          <w:lang w:val="pt-BR"/>
        </w:rPr>
        <w:t>r</w:t>
      </w:r>
      <w:r w:rsidR="00350187" w:rsidRPr="00D5464D">
        <w:rPr>
          <w:rFonts w:cs="Arial"/>
          <w:iCs/>
          <w:szCs w:val="20"/>
          <w:lang w:val="pt-BR"/>
        </w:rPr>
        <w:t xml:space="preserve"> </w:t>
      </w:r>
      <w:r w:rsidRPr="00D5464D">
        <w:rPr>
          <w:rFonts w:cs="Arial"/>
          <w:iCs/>
          <w:szCs w:val="20"/>
          <w:lang w:val="pt-BR"/>
        </w:rPr>
        <w:t xml:space="preserve">o </w:t>
      </w:r>
      <w:r w:rsidR="00A1358C" w:rsidRPr="00D5464D">
        <w:rPr>
          <w:rFonts w:cs="Arial"/>
          <w:iCs/>
          <w:szCs w:val="20"/>
          <w:lang w:val="pt-BR"/>
        </w:rPr>
        <w:t>estrit</w:t>
      </w:r>
      <w:r w:rsidR="004B0842" w:rsidRPr="00D5464D">
        <w:rPr>
          <w:rFonts w:cs="Arial"/>
          <w:iCs/>
          <w:szCs w:val="20"/>
          <w:lang w:val="pt-BR"/>
        </w:rPr>
        <w:t xml:space="preserve">o </w:t>
      </w:r>
      <w:r w:rsidRPr="00D5464D">
        <w:rPr>
          <w:rFonts w:cs="Arial"/>
          <w:iCs/>
          <w:szCs w:val="20"/>
          <w:lang w:val="pt-BR"/>
        </w:rPr>
        <w:t xml:space="preserve">cumprimento das </w:t>
      </w:r>
      <w:r w:rsidR="002C330E" w:rsidRPr="00D5464D">
        <w:rPr>
          <w:rFonts w:cs="Arial"/>
          <w:iCs/>
          <w:szCs w:val="20"/>
          <w:lang w:val="pt-BR"/>
        </w:rPr>
        <w:t>leis</w:t>
      </w:r>
      <w:r w:rsidR="004B0842" w:rsidRPr="00D5464D">
        <w:rPr>
          <w:rFonts w:cs="Arial"/>
          <w:iCs/>
          <w:szCs w:val="20"/>
          <w:lang w:val="pt-BR"/>
        </w:rPr>
        <w:t xml:space="preserve"> </w:t>
      </w:r>
      <w:r w:rsidR="004012FE" w:rsidRPr="00D5464D">
        <w:rPr>
          <w:rFonts w:cs="Arial"/>
          <w:iCs/>
          <w:szCs w:val="20"/>
          <w:lang w:val="pt-BR"/>
        </w:rPr>
        <w:t xml:space="preserve">trabalhistas </w:t>
      </w:r>
      <w:r w:rsidR="004B0842" w:rsidRPr="00D5464D">
        <w:rPr>
          <w:rFonts w:cs="Arial"/>
          <w:iCs/>
          <w:szCs w:val="20"/>
          <w:lang w:val="pt-BR"/>
        </w:rPr>
        <w:t>relativas</w:t>
      </w:r>
      <w:r w:rsidR="00E045D9" w:rsidRPr="00D5464D">
        <w:rPr>
          <w:rFonts w:cs="Arial"/>
          <w:iCs/>
          <w:szCs w:val="20"/>
          <w:lang w:val="pt-BR"/>
        </w:rPr>
        <w:t xml:space="preserve"> às </w:t>
      </w:r>
      <w:r w:rsidR="004B0842" w:rsidRPr="00D5464D">
        <w:rPr>
          <w:rFonts w:cs="Arial"/>
          <w:iCs/>
          <w:szCs w:val="20"/>
          <w:lang w:val="pt-BR"/>
        </w:rPr>
        <w:t xml:space="preserve">jornadas </w:t>
      </w:r>
      <w:r w:rsidR="00A1358C" w:rsidRPr="00D5464D">
        <w:rPr>
          <w:rFonts w:cs="Arial"/>
          <w:iCs/>
          <w:szCs w:val="20"/>
          <w:lang w:val="pt-BR"/>
        </w:rPr>
        <w:t>laborais</w:t>
      </w:r>
      <w:r w:rsidR="00E045D9" w:rsidRPr="00D5464D">
        <w:rPr>
          <w:rFonts w:cs="Arial"/>
          <w:iCs/>
          <w:szCs w:val="20"/>
          <w:lang w:val="pt-BR"/>
        </w:rPr>
        <w:t xml:space="preserve"> e </w:t>
      </w:r>
      <w:r w:rsidRPr="00D5464D">
        <w:rPr>
          <w:rFonts w:cs="Arial"/>
          <w:iCs/>
          <w:szCs w:val="20"/>
          <w:lang w:val="pt-BR"/>
        </w:rPr>
        <w:t xml:space="preserve">o </w:t>
      </w:r>
      <w:r w:rsidR="002C330E" w:rsidRPr="00D5464D">
        <w:rPr>
          <w:rFonts w:cs="Arial"/>
          <w:iCs/>
          <w:szCs w:val="20"/>
          <w:lang w:val="pt-BR"/>
        </w:rPr>
        <w:t>pagamento</w:t>
      </w:r>
      <w:r w:rsidRPr="00D5464D">
        <w:rPr>
          <w:rFonts w:cs="Arial"/>
          <w:iCs/>
          <w:szCs w:val="20"/>
          <w:lang w:val="pt-BR"/>
        </w:rPr>
        <w:t xml:space="preserve"> em </w:t>
      </w:r>
      <w:r w:rsidR="002C330E" w:rsidRPr="00D5464D">
        <w:rPr>
          <w:rFonts w:cs="Arial"/>
          <w:iCs/>
          <w:szCs w:val="20"/>
          <w:lang w:val="pt-BR"/>
        </w:rPr>
        <w:t xml:space="preserve">igualdade </w:t>
      </w:r>
      <w:r w:rsidR="00B953D5" w:rsidRPr="00D5464D">
        <w:rPr>
          <w:rFonts w:cs="Arial"/>
          <w:iCs/>
          <w:szCs w:val="20"/>
          <w:lang w:val="pt-BR"/>
        </w:rPr>
        <w:t>em relação aos</w:t>
      </w:r>
      <w:r w:rsidR="00FF1290" w:rsidRPr="00D5464D">
        <w:rPr>
          <w:rFonts w:cs="Arial"/>
          <w:iCs/>
          <w:szCs w:val="20"/>
          <w:lang w:val="pt-BR"/>
        </w:rPr>
        <w:t xml:space="preserve"> </w:t>
      </w:r>
      <w:r w:rsidRPr="00D5464D">
        <w:rPr>
          <w:rFonts w:cs="Arial"/>
          <w:iCs/>
          <w:szCs w:val="20"/>
          <w:lang w:val="pt-BR"/>
        </w:rPr>
        <w:t>demais</w:t>
      </w:r>
      <w:r w:rsidR="004B0842" w:rsidRPr="00D5464D">
        <w:rPr>
          <w:rFonts w:cs="Arial"/>
          <w:iCs/>
          <w:szCs w:val="20"/>
          <w:lang w:val="pt-BR"/>
        </w:rPr>
        <w:t xml:space="preserve"> </w:t>
      </w:r>
      <w:r w:rsidR="00E045D9" w:rsidRPr="00D5464D">
        <w:rPr>
          <w:rFonts w:cs="Arial"/>
          <w:iCs/>
          <w:szCs w:val="20"/>
          <w:lang w:val="pt-BR"/>
        </w:rPr>
        <w:t>trabalhadores</w:t>
      </w:r>
      <w:r w:rsidR="004B0842" w:rsidRPr="00D5464D">
        <w:rPr>
          <w:rFonts w:cs="Arial"/>
          <w:iCs/>
          <w:szCs w:val="20"/>
          <w:lang w:val="pt-BR"/>
        </w:rPr>
        <w:t xml:space="preserve"> a</w:t>
      </w:r>
      <w:r w:rsidR="004012FE" w:rsidRPr="00D5464D">
        <w:rPr>
          <w:rFonts w:cs="Arial"/>
          <w:iCs/>
          <w:szCs w:val="20"/>
          <w:lang w:val="pt-BR"/>
        </w:rPr>
        <w:t>s</w:t>
      </w:r>
      <w:r w:rsidR="004B0842" w:rsidRPr="00D5464D">
        <w:rPr>
          <w:rFonts w:cs="Arial"/>
          <w:iCs/>
          <w:szCs w:val="20"/>
          <w:lang w:val="pt-BR"/>
        </w:rPr>
        <w:t>salariados</w:t>
      </w:r>
      <w:r w:rsidR="002A0C2B" w:rsidRPr="00D5464D">
        <w:rPr>
          <w:rFonts w:cs="Arial"/>
          <w:iCs/>
          <w:szCs w:val="20"/>
          <w:lang w:val="pt-BR"/>
        </w:rPr>
        <w:t xml:space="preserve"> e </w:t>
      </w:r>
      <w:r w:rsidR="004B0842" w:rsidRPr="00D5464D">
        <w:rPr>
          <w:rFonts w:cs="Arial"/>
          <w:iCs/>
          <w:szCs w:val="20"/>
          <w:lang w:val="pt-BR"/>
        </w:rPr>
        <w:t>iv)</w:t>
      </w:r>
      <w:r w:rsidR="002C330E" w:rsidRPr="00D5464D">
        <w:rPr>
          <w:rFonts w:cs="Arial"/>
          <w:iCs/>
          <w:szCs w:val="20"/>
          <w:lang w:val="pt-BR"/>
        </w:rPr>
        <w:t xml:space="preserve"> a </w:t>
      </w:r>
      <w:r w:rsidRPr="00D5464D">
        <w:rPr>
          <w:rFonts w:cs="Arial"/>
          <w:iCs/>
          <w:szCs w:val="20"/>
          <w:lang w:val="pt-BR"/>
        </w:rPr>
        <w:t xml:space="preserve">adoção das </w:t>
      </w:r>
      <w:r w:rsidR="004B0842" w:rsidRPr="00D5464D">
        <w:rPr>
          <w:rFonts w:cs="Arial"/>
          <w:iCs/>
          <w:szCs w:val="20"/>
          <w:lang w:val="pt-BR"/>
        </w:rPr>
        <w:t xml:space="preserve">medidas </w:t>
      </w:r>
      <w:r w:rsidR="002C330E" w:rsidRPr="00D5464D">
        <w:rPr>
          <w:rFonts w:cs="Arial"/>
          <w:iCs/>
          <w:szCs w:val="20"/>
          <w:lang w:val="pt-BR"/>
        </w:rPr>
        <w:t>necessári</w:t>
      </w:r>
      <w:r w:rsidR="004B0842" w:rsidRPr="00D5464D">
        <w:rPr>
          <w:rFonts w:cs="Arial"/>
          <w:iCs/>
          <w:szCs w:val="20"/>
          <w:lang w:val="pt-BR"/>
        </w:rPr>
        <w:t>as para erradicar todo tipo de discrimina</w:t>
      </w:r>
      <w:r w:rsidRPr="00D5464D">
        <w:rPr>
          <w:rFonts w:cs="Arial"/>
          <w:iCs/>
          <w:szCs w:val="20"/>
          <w:lang w:val="pt-BR"/>
        </w:rPr>
        <w:t>ção</w:t>
      </w:r>
      <w:r w:rsidR="004B0842" w:rsidRPr="00D5464D">
        <w:rPr>
          <w:rFonts w:cs="Arial"/>
          <w:iCs/>
          <w:szCs w:val="20"/>
          <w:lang w:val="pt-BR"/>
        </w:rPr>
        <w:t xml:space="preserve"> racial, </w:t>
      </w:r>
      <w:r w:rsidR="004012FE" w:rsidRPr="00D5464D">
        <w:rPr>
          <w:rFonts w:cs="Arial"/>
          <w:iCs/>
          <w:szCs w:val="20"/>
          <w:lang w:val="pt-BR"/>
        </w:rPr>
        <w:t xml:space="preserve">em </w:t>
      </w:r>
      <w:r w:rsidR="004B0842" w:rsidRPr="00D5464D">
        <w:rPr>
          <w:rFonts w:cs="Arial"/>
          <w:iCs/>
          <w:szCs w:val="20"/>
          <w:lang w:val="pt-BR"/>
        </w:rPr>
        <w:t>particular</w:t>
      </w:r>
      <w:r w:rsidR="002C330E" w:rsidRPr="00D5464D">
        <w:rPr>
          <w:rFonts w:cs="Arial"/>
          <w:iCs/>
          <w:szCs w:val="20"/>
          <w:lang w:val="pt-BR"/>
        </w:rPr>
        <w:t xml:space="preserve"> lev</w:t>
      </w:r>
      <w:r w:rsidR="004B0842" w:rsidRPr="00D5464D">
        <w:rPr>
          <w:rFonts w:cs="Arial"/>
          <w:iCs/>
          <w:szCs w:val="20"/>
          <w:lang w:val="pt-BR"/>
        </w:rPr>
        <w:t xml:space="preserve">ar a cabo </w:t>
      </w:r>
      <w:r w:rsidRPr="00D5464D">
        <w:rPr>
          <w:rFonts w:cs="Arial"/>
          <w:iCs/>
          <w:szCs w:val="20"/>
          <w:lang w:val="pt-BR"/>
        </w:rPr>
        <w:t>campanha</w:t>
      </w:r>
      <w:r w:rsidR="004B0842" w:rsidRPr="00D5464D">
        <w:rPr>
          <w:rFonts w:cs="Arial"/>
          <w:iCs/>
          <w:szCs w:val="20"/>
          <w:lang w:val="pt-BR"/>
        </w:rPr>
        <w:t>s de con</w:t>
      </w:r>
      <w:r w:rsidR="004012FE" w:rsidRPr="00D5464D">
        <w:rPr>
          <w:rFonts w:cs="Arial"/>
          <w:iCs/>
          <w:szCs w:val="20"/>
          <w:lang w:val="pt-BR"/>
        </w:rPr>
        <w:t>s</w:t>
      </w:r>
      <w:r w:rsidR="004B0842" w:rsidRPr="00D5464D">
        <w:rPr>
          <w:rFonts w:cs="Arial"/>
          <w:iCs/>
          <w:szCs w:val="20"/>
          <w:lang w:val="pt-BR"/>
        </w:rPr>
        <w:t>cientiza</w:t>
      </w:r>
      <w:r w:rsidR="00B953D5" w:rsidRPr="00D5464D">
        <w:rPr>
          <w:rFonts w:cs="Arial"/>
          <w:iCs/>
          <w:szCs w:val="20"/>
          <w:lang w:val="pt-BR"/>
        </w:rPr>
        <w:t>ção</w:t>
      </w:r>
      <w:r w:rsidRPr="00D5464D">
        <w:rPr>
          <w:rFonts w:cs="Arial"/>
          <w:iCs/>
          <w:szCs w:val="20"/>
          <w:lang w:val="pt-BR"/>
        </w:rPr>
        <w:t xml:space="preserve"> </w:t>
      </w:r>
      <w:r w:rsidR="00B953D5" w:rsidRPr="00D5464D">
        <w:rPr>
          <w:rFonts w:cs="Arial"/>
          <w:iCs/>
          <w:szCs w:val="20"/>
          <w:lang w:val="pt-BR"/>
        </w:rPr>
        <w:t>da</w:t>
      </w:r>
      <w:r w:rsidRPr="00D5464D">
        <w:rPr>
          <w:rFonts w:cs="Arial"/>
          <w:iCs/>
          <w:szCs w:val="20"/>
          <w:lang w:val="pt-BR"/>
        </w:rPr>
        <w:t xml:space="preserve"> </w:t>
      </w:r>
      <w:r w:rsidR="002C330E" w:rsidRPr="00D5464D">
        <w:rPr>
          <w:rFonts w:cs="Arial"/>
          <w:iCs/>
          <w:szCs w:val="20"/>
          <w:lang w:val="pt-BR"/>
        </w:rPr>
        <w:t>população</w:t>
      </w:r>
      <w:r w:rsidR="004B0842" w:rsidRPr="00D5464D">
        <w:rPr>
          <w:rFonts w:cs="Arial"/>
          <w:iCs/>
          <w:szCs w:val="20"/>
          <w:lang w:val="pt-BR"/>
        </w:rPr>
        <w:t xml:space="preserve"> nacional</w:t>
      </w:r>
      <w:r w:rsidR="00E045D9" w:rsidRPr="00D5464D">
        <w:rPr>
          <w:rFonts w:cs="Arial"/>
          <w:iCs/>
          <w:szCs w:val="20"/>
          <w:lang w:val="pt-BR"/>
        </w:rPr>
        <w:t xml:space="preserve"> e </w:t>
      </w:r>
      <w:r w:rsidR="00B953D5" w:rsidRPr="00D5464D">
        <w:rPr>
          <w:rFonts w:cs="Arial"/>
          <w:iCs/>
          <w:szCs w:val="20"/>
          <w:lang w:val="pt-BR"/>
        </w:rPr>
        <w:t xml:space="preserve">dos </w:t>
      </w:r>
      <w:r w:rsidR="002C330E" w:rsidRPr="00D5464D">
        <w:rPr>
          <w:rFonts w:cs="Arial"/>
          <w:iCs/>
          <w:szCs w:val="20"/>
          <w:lang w:val="pt-BR"/>
        </w:rPr>
        <w:t>funcionári</w:t>
      </w:r>
      <w:r w:rsidR="004B0842" w:rsidRPr="00D5464D">
        <w:rPr>
          <w:rFonts w:cs="Arial"/>
          <w:iCs/>
          <w:szCs w:val="20"/>
          <w:lang w:val="pt-BR"/>
        </w:rPr>
        <w:t xml:space="preserve">os </w:t>
      </w:r>
      <w:r w:rsidRPr="00D5464D">
        <w:rPr>
          <w:rFonts w:cs="Arial"/>
          <w:iCs/>
          <w:szCs w:val="20"/>
          <w:lang w:val="pt-BR"/>
        </w:rPr>
        <w:t xml:space="preserve">do </w:t>
      </w:r>
      <w:r w:rsidR="004B0842" w:rsidRPr="00D5464D">
        <w:rPr>
          <w:rFonts w:cs="Arial"/>
          <w:iCs/>
          <w:szCs w:val="20"/>
          <w:lang w:val="pt-BR"/>
        </w:rPr>
        <w:t xml:space="preserve">Estado, </w:t>
      </w:r>
      <w:r w:rsidR="002C330E" w:rsidRPr="00D5464D">
        <w:rPr>
          <w:rFonts w:cs="Arial"/>
          <w:iCs/>
          <w:szCs w:val="20"/>
          <w:lang w:val="pt-BR"/>
        </w:rPr>
        <w:t>inclu</w:t>
      </w:r>
      <w:r w:rsidR="004012FE" w:rsidRPr="00D5464D">
        <w:rPr>
          <w:rFonts w:cs="Arial"/>
          <w:iCs/>
          <w:szCs w:val="20"/>
          <w:lang w:val="pt-BR"/>
        </w:rPr>
        <w:t xml:space="preserve">indo </w:t>
      </w:r>
      <w:r w:rsidR="002C330E" w:rsidRPr="00D5464D">
        <w:rPr>
          <w:rFonts w:cs="Arial"/>
          <w:iCs/>
          <w:szCs w:val="20"/>
          <w:lang w:val="pt-BR"/>
        </w:rPr>
        <w:t xml:space="preserve">os </w:t>
      </w:r>
      <w:r w:rsidR="004B0842" w:rsidRPr="00D5464D">
        <w:rPr>
          <w:rFonts w:cs="Arial"/>
          <w:iCs/>
          <w:szCs w:val="20"/>
          <w:lang w:val="pt-BR"/>
        </w:rPr>
        <w:t xml:space="preserve">operadores de </w:t>
      </w:r>
      <w:r w:rsidR="002C330E" w:rsidRPr="00D5464D">
        <w:rPr>
          <w:rFonts w:cs="Arial"/>
          <w:iCs/>
          <w:szCs w:val="20"/>
          <w:lang w:val="pt-BR"/>
        </w:rPr>
        <w:t>justiça</w:t>
      </w:r>
      <w:r w:rsidR="004B0842" w:rsidRPr="00D5464D">
        <w:rPr>
          <w:rFonts w:cs="Arial"/>
          <w:iCs/>
          <w:szCs w:val="20"/>
          <w:lang w:val="pt-BR"/>
        </w:rPr>
        <w:t>, sobre</w:t>
      </w:r>
      <w:r w:rsidR="002C330E" w:rsidRPr="00D5464D">
        <w:rPr>
          <w:rFonts w:cs="Arial"/>
          <w:iCs/>
          <w:szCs w:val="20"/>
          <w:lang w:val="pt-BR"/>
        </w:rPr>
        <w:t xml:space="preserve"> </w:t>
      </w:r>
      <w:r w:rsidR="004B0842" w:rsidRPr="00D5464D">
        <w:rPr>
          <w:rFonts w:cs="Arial"/>
          <w:iCs/>
          <w:szCs w:val="20"/>
          <w:lang w:val="pt-BR"/>
        </w:rPr>
        <w:t>discrimina</w:t>
      </w:r>
      <w:r w:rsidRPr="00D5464D">
        <w:rPr>
          <w:rFonts w:cs="Arial"/>
          <w:iCs/>
          <w:szCs w:val="20"/>
          <w:lang w:val="pt-BR"/>
        </w:rPr>
        <w:t>ção</w:t>
      </w:r>
      <w:r w:rsidR="00E045D9" w:rsidRPr="00D5464D">
        <w:rPr>
          <w:rFonts w:cs="Arial"/>
          <w:iCs/>
          <w:szCs w:val="20"/>
          <w:lang w:val="pt-BR"/>
        </w:rPr>
        <w:t xml:space="preserve"> e </w:t>
      </w:r>
      <w:r w:rsidR="002C330E" w:rsidRPr="00D5464D">
        <w:rPr>
          <w:rFonts w:cs="Arial"/>
          <w:iCs/>
          <w:szCs w:val="20"/>
          <w:lang w:val="pt-BR"/>
        </w:rPr>
        <w:t>submissão</w:t>
      </w:r>
      <w:r w:rsidR="004B0842" w:rsidRPr="00D5464D">
        <w:rPr>
          <w:rFonts w:cs="Arial"/>
          <w:iCs/>
          <w:szCs w:val="20"/>
          <w:lang w:val="pt-BR"/>
        </w:rPr>
        <w:t xml:space="preserve"> a </w:t>
      </w:r>
      <w:r w:rsidR="000B376D" w:rsidRPr="00D5464D">
        <w:rPr>
          <w:rFonts w:cs="Arial"/>
          <w:iCs/>
          <w:szCs w:val="20"/>
          <w:lang w:val="pt-BR"/>
        </w:rPr>
        <w:t>servidão</w:t>
      </w:r>
      <w:r w:rsidR="00E045D9" w:rsidRPr="00D5464D">
        <w:rPr>
          <w:rFonts w:cs="Arial"/>
          <w:iCs/>
          <w:szCs w:val="20"/>
          <w:lang w:val="pt-BR"/>
        </w:rPr>
        <w:t xml:space="preserve"> e trabalho</w:t>
      </w:r>
      <w:r w:rsidR="004B0842" w:rsidRPr="00D5464D">
        <w:rPr>
          <w:rFonts w:cs="Arial"/>
          <w:iCs/>
          <w:szCs w:val="20"/>
          <w:lang w:val="pt-BR"/>
        </w:rPr>
        <w:t xml:space="preserve"> </w:t>
      </w:r>
      <w:r w:rsidR="00230C71" w:rsidRPr="00D5464D">
        <w:rPr>
          <w:rFonts w:cs="Arial"/>
          <w:iCs/>
          <w:szCs w:val="20"/>
          <w:lang w:val="pt-BR"/>
        </w:rPr>
        <w:t>forçado</w:t>
      </w:r>
      <w:r w:rsidR="004B0842" w:rsidRPr="00D5464D">
        <w:rPr>
          <w:rFonts w:cs="Arial"/>
          <w:iCs/>
          <w:szCs w:val="20"/>
          <w:lang w:val="pt-BR"/>
        </w:rPr>
        <w:t>.</w:t>
      </w:r>
    </w:p>
    <w:p w14:paraId="5DBA92FD" w14:textId="77777777" w:rsidR="004B0842" w:rsidRPr="00D5464D" w:rsidRDefault="004B0842" w:rsidP="004B0842">
      <w:pPr>
        <w:pStyle w:val="Prrafodelista"/>
        <w:autoSpaceDE w:val="0"/>
        <w:autoSpaceDN w:val="0"/>
        <w:adjustRightInd w:val="0"/>
        <w:rPr>
          <w:rFonts w:cs="Arial"/>
          <w:iCs/>
          <w:szCs w:val="20"/>
          <w:lang w:val="pt-BR"/>
        </w:rPr>
      </w:pPr>
    </w:p>
    <w:p w14:paraId="59A5D10B" w14:textId="58DF9249" w:rsidR="004B0842" w:rsidRPr="00D5464D" w:rsidRDefault="00737270"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Os </w:t>
      </w:r>
      <w:r w:rsidR="00EB1CE9" w:rsidRPr="00D5464D">
        <w:rPr>
          <w:rFonts w:cs="Arial"/>
          <w:b/>
          <w:i/>
          <w:iCs/>
          <w:szCs w:val="20"/>
          <w:lang w:val="pt-BR"/>
        </w:rPr>
        <w:t>representante</w:t>
      </w:r>
      <w:r w:rsidRPr="00D5464D">
        <w:rPr>
          <w:rFonts w:cs="Arial"/>
          <w:b/>
          <w:i/>
          <w:iCs/>
          <w:szCs w:val="20"/>
          <w:lang w:val="pt-BR"/>
        </w:rPr>
        <w:t>s</w:t>
      </w:r>
      <w:r w:rsidRPr="00D5464D">
        <w:rPr>
          <w:rFonts w:cs="Arial"/>
          <w:iCs/>
          <w:szCs w:val="20"/>
          <w:lang w:val="pt-BR"/>
        </w:rPr>
        <w:t xml:space="preserve"> </w:t>
      </w:r>
      <w:r w:rsidR="002C330E" w:rsidRPr="00D5464D">
        <w:rPr>
          <w:rFonts w:cs="Arial"/>
          <w:iCs/>
          <w:szCs w:val="20"/>
          <w:lang w:val="pt-BR"/>
        </w:rPr>
        <w:t>solicitaram</w:t>
      </w:r>
      <w:r w:rsidR="00470ADC" w:rsidRPr="00D5464D">
        <w:rPr>
          <w:rFonts w:cs="Arial"/>
          <w:iCs/>
          <w:szCs w:val="20"/>
          <w:lang w:val="pt-BR"/>
        </w:rPr>
        <w:t xml:space="preserve"> à </w:t>
      </w:r>
      <w:r w:rsidR="004B0842" w:rsidRPr="00D5464D">
        <w:rPr>
          <w:rFonts w:cs="Arial"/>
          <w:iCs/>
          <w:szCs w:val="20"/>
          <w:lang w:val="pt-BR"/>
        </w:rPr>
        <w:t>Corte que ordene</w:t>
      </w:r>
      <w:r w:rsidR="00470ADC" w:rsidRPr="00D5464D">
        <w:rPr>
          <w:rFonts w:cs="Arial"/>
          <w:iCs/>
          <w:szCs w:val="20"/>
          <w:lang w:val="pt-BR"/>
        </w:rPr>
        <w:t xml:space="preserve"> ao </w:t>
      </w:r>
      <w:r w:rsidR="004B0842" w:rsidRPr="00D5464D">
        <w:rPr>
          <w:rFonts w:cs="Arial"/>
          <w:iCs/>
          <w:szCs w:val="20"/>
          <w:lang w:val="pt-BR"/>
        </w:rPr>
        <w:t xml:space="preserve">Estado </w:t>
      </w:r>
      <w:r w:rsidR="00470ADC" w:rsidRPr="00D5464D">
        <w:rPr>
          <w:rFonts w:cs="Arial"/>
          <w:iCs/>
          <w:szCs w:val="20"/>
          <w:lang w:val="pt-BR"/>
        </w:rPr>
        <w:t>estabelece</w:t>
      </w:r>
      <w:r w:rsidR="004B0842" w:rsidRPr="00D5464D">
        <w:rPr>
          <w:rFonts w:cs="Arial"/>
          <w:iCs/>
          <w:szCs w:val="20"/>
          <w:lang w:val="pt-BR"/>
        </w:rPr>
        <w:t xml:space="preserve">r políticas de </w:t>
      </w:r>
      <w:r w:rsidR="00470ADC" w:rsidRPr="00D5464D">
        <w:rPr>
          <w:rFonts w:cs="Arial"/>
          <w:iCs/>
          <w:szCs w:val="20"/>
          <w:lang w:val="pt-BR"/>
        </w:rPr>
        <w:t>coordenação</w:t>
      </w:r>
      <w:r w:rsidR="004B0842" w:rsidRPr="00D5464D">
        <w:rPr>
          <w:rFonts w:cs="Arial"/>
          <w:iCs/>
          <w:szCs w:val="20"/>
          <w:lang w:val="pt-BR"/>
        </w:rPr>
        <w:t xml:space="preserve"> entre</w:t>
      </w:r>
      <w:r w:rsidR="002C330E" w:rsidRPr="00D5464D">
        <w:rPr>
          <w:rFonts w:cs="Arial"/>
          <w:iCs/>
          <w:szCs w:val="20"/>
          <w:lang w:val="pt-BR"/>
        </w:rPr>
        <w:t xml:space="preserve"> as </w:t>
      </w:r>
      <w:r w:rsidR="004B0842" w:rsidRPr="00D5464D">
        <w:rPr>
          <w:rFonts w:cs="Arial"/>
          <w:iCs/>
          <w:szCs w:val="20"/>
          <w:lang w:val="pt-BR"/>
        </w:rPr>
        <w:t xml:space="preserve">autoridades públicas que </w:t>
      </w:r>
      <w:r w:rsidR="002C330E" w:rsidRPr="00D5464D">
        <w:rPr>
          <w:rFonts w:cs="Arial"/>
          <w:iCs/>
          <w:szCs w:val="20"/>
          <w:lang w:val="pt-BR"/>
        </w:rPr>
        <w:t xml:space="preserve">permitam a </w:t>
      </w:r>
      <w:r w:rsidRPr="00D5464D">
        <w:rPr>
          <w:rFonts w:cs="Arial"/>
          <w:iCs/>
          <w:szCs w:val="20"/>
          <w:lang w:val="pt-BR"/>
        </w:rPr>
        <w:t>atuação</w:t>
      </w:r>
      <w:r w:rsidR="004B0842" w:rsidRPr="00D5464D">
        <w:rPr>
          <w:rFonts w:cs="Arial"/>
          <w:iCs/>
          <w:szCs w:val="20"/>
          <w:lang w:val="pt-BR"/>
        </w:rPr>
        <w:t xml:space="preserve"> conjunta </w:t>
      </w:r>
      <w:r w:rsidR="00470ADC" w:rsidRPr="00D5464D">
        <w:rPr>
          <w:rFonts w:cs="Arial"/>
          <w:iCs/>
          <w:szCs w:val="20"/>
          <w:lang w:val="pt-BR"/>
        </w:rPr>
        <w:t xml:space="preserve">do </w:t>
      </w:r>
      <w:r w:rsidR="002C330E" w:rsidRPr="00D5464D">
        <w:rPr>
          <w:rFonts w:cs="Arial"/>
          <w:iCs/>
          <w:szCs w:val="20"/>
          <w:lang w:val="pt-BR"/>
        </w:rPr>
        <w:t>Ministério</w:t>
      </w:r>
      <w:r w:rsidR="004B0842" w:rsidRPr="00D5464D">
        <w:rPr>
          <w:rFonts w:cs="Arial"/>
          <w:iCs/>
          <w:szCs w:val="20"/>
          <w:lang w:val="pt-BR"/>
        </w:rPr>
        <w:t xml:space="preserve"> Público,</w:t>
      </w:r>
      <w:r w:rsidR="002C330E" w:rsidRPr="00D5464D">
        <w:rPr>
          <w:rFonts w:cs="Arial"/>
          <w:iCs/>
          <w:szCs w:val="20"/>
          <w:lang w:val="pt-BR"/>
        </w:rPr>
        <w:t xml:space="preserve"> </w:t>
      </w:r>
      <w:r w:rsidR="004012FE" w:rsidRPr="00D5464D">
        <w:rPr>
          <w:rFonts w:cs="Arial"/>
          <w:iCs/>
          <w:szCs w:val="20"/>
          <w:lang w:val="pt-BR"/>
        </w:rPr>
        <w:t>d</w:t>
      </w:r>
      <w:r w:rsidR="002C330E" w:rsidRPr="00D5464D">
        <w:rPr>
          <w:rFonts w:cs="Arial"/>
          <w:iCs/>
          <w:szCs w:val="20"/>
          <w:lang w:val="pt-BR"/>
        </w:rPr>
        <w:t xml:space="preserve">a </w:t>
      </w:r>
      <w:r w:rsidR="00C91CB1" w:rsidRPr="00D5464D">
        <w:rPr>
          <w:rFonts w:cs="Arial"/>
          <w:iCs/>
          <w:szCs w:val="20"/>
          <w:lang w:val="pt-BR"/>
        </w:rPr>
        <w:t xml:space="preserve">Polícia </w:t>
      </w:r>
      <w:r w:rsidR="004B0842" w:rsidRPr="00D5464D">
        <w:rPr>
          <w:rFonts w:cs="Arial"/>
          <w:iCs/>
          <w:szCs w:val="20"/>
          <w:lang w:val="pt-BR"/>
        </w:rPr>
        <w:t>Federal,</w:t>
      </w:r>
      <w:r w:rsidR="00470ADC" w:rsidRPr="00D5464D">
        <w:rPr>
          <w:rFonts w:cs="Arial"/>
          <w:iCs/>
          <w:szCs w:val="20"/>
          <w:lang w:val="pt-BR"/>
        </w:rPr>
        <w:t xml:space="preserve"> </w:t>
      </w:r>
      <w:r w:rsidR="004012FE" w:rsidRPr="00D5464D">
        <w:rPr>
          <w:rFonts w:cs="Arial"/>
          <w:iCs/>
          <w:szCs w:val="20"/>
          <w:lang w:val="pt-BR"/>
        </w:rPr>
        <w:t>d</w:t>
      </w:r>
      <w:r w:rsidR="00470ADC" w:rsidRPr="00D5464D">
        <w:rPr>
          <w:rFonts w:cs="Arial"/>
          <w:iCs/>
          <w:szCs w:val="20"/>
          <w:lang w:val="pt-BR"/>
        </w:rPr>
        <w:t xml:space="preserve">o </w:t>
      </w:r>
      <w:r w:rsidR="002C330E" w:rsidRPr="00D5464D">
        <w:rPr>
          <w:rFonts w:cs="Arial"/>
          <w:iCs/>
          <w:szCs w:val="20"/>
          <w:lang w:val="pt-BR"/>
        </w:rPr>
        <w:t>Ministério</w:t>
      </w:r>
      <w:r w:rsidR="004B0842" w:rsidRPr="00D5464D">
        <w:rPr>
          <w:rFonts w:cs="Arial"/>
          <w:iCs/>
          <w:szCs w:val="20"/>
          <w:lang w:val="pt-BR"/>
        </w:rPr>
        <w:t xml:space="preserve"> </w:t>
      </w:r>
      <w:r w:rsidR="00470ADC" w:rsidRPr="00D5464D">
        <w:rPr>
          <w:rFonts w:cs="Arial"/>
          <w:iCs/>
          <w:szCs w:val="20"/>
          <w:lang w:val="pt-BR"/>
        </w:rPr>
        <w:t xml:space="preserve">do </w:t>
      </w:r>
      <w:r w:rsidR="00E045D9" w:rsidRPr="00D5464D">
        <w:rPr>
          <w:rFonts w:cs="Arial"/>
          <w:iCs/>
          <w:szCs w:val="20"/>
          <w:lang w:val="pt-BR"/>
        </w:rPr>
        <w:t xml:space="preserve">Trabalho e </w:t>
      </w:r>
      <w:r w:rsidR="004012FE" w:rsidRPr="00D5464D">
        <w:rPr>
          <w:rFonts w:cs="Arial"/>
          <w:iCs/>
          <w:szCs w:val="20"/>
          <w:lang w:val="pt-BR"/>
        </w:rPr>
        <w:t>d</w:t>
      </w:r>
      <w:r w:rsidR="002C330E" w:rsidRPr="00D5464D">
        <w:rPr>
          <w:rFonts w:cs="Arial"/>
          <w:iCs/>
          <w:szCs w:val="20"/>
          <w:lang w:val="pt-BR"/>
        </w:rPr>
        <w:t xml:space="preserve">os </w:t>
      </w:r>
      <w:r w:rsidR="00470ADC" w:rsidRPr="00D5464D">
        <w:rPr>
          <w:rFonts w:cs="Arial"/>
          <w:iCs/>
          <w:szCs w:val="20"/>
          <w:lang w:val="pt-BR"/>
        </w:rPr>
        <w:t>demais</w:t>
      </w:r>
      <w:r w:rsidR="004B0842" w:rsidRPr="00D5464D">
        <w:rPr>
          <w:rFonts w:cs="Arial"/>
          <w:iCs/>
          <w:szCs w:val="20"/>
          <w:lang w:val="pt-BR"/>
        </w:rPr>
        <w:t xml:space="preserve"> </w:t>
      </w:r>
      <w:r w:rsidR="002C330E" w:rsidRPr="00D5464D">
        <w:rPr>
          <w:rFonts w:cs="Arial"/>
          <w:iCs/>
          <w:szCs w:val="20"/>
          <w:lang w:val="pt-BR"/>
        </w:rPr>
        <w:t>órgão</w:t>
      </w:r>
      <w:r w:rsidR="004B0842" w:rsidRPr="00D5464D">
        <w:rPr>
          <w:rFonts w:cs="Arial"/>
          <w:iCs/>
          <w:szCs w:val="20"/>
          <w:lang w:val="pt-BR"/>
        </w:rPr>
        <w:t xml:space="preserve">s </w:t>
      </w:r>
      <w:r w:rsidR="00A1358C" w:rsidRPr="00D5464D">
        <w:rPr>
          <w:rFonts w:cs="Arial"/>
          <w:iCs/>
          <w:szCs w:val="20"/>
          <w:lang w:val="pt-BR"/>
        </w:rPr>
        <w:t>competente</w:t>
      </w:r>
      <w:r w:rsidR="004B0842" w:rsidRPr="00D5464D">
        <w:rPr>
          <w:rFonts w:cs="Arial"/>
          <w:iCs/>
          <w:szCs w:val="20"/>
          <w:lang w:val="pt-BR"/>
        </w:rPr>
        <w:t xml:space="preserve">s. </w:t>
      </w:r>
      <w:r w:rsidR="002C330E" w:rsidRPr="00D5464D">
        <w:rPr>
          <w:rFonts w:cs="Arial"/>
          <w:iCs/>
          <w:szCs w:val="20"/>
          <w:lang w:val="pt-BR"/>
        </w:rPr>
        <w:t>Afirmaram</w:t>
      </w:r>
      <w:r w:rsidR="004B0842" w:rsidRPr="00D5464D">
        <w:rPr>
          <w:rFonts w:cs="Arial"/>
          <w:iCs/>
          <w:szCs w:val="20"/>
          <w:lang w:val="pt-BR"/>
        </w:rPr>
        <w:t xml:space="preserve"> que</w:t>
      </w:r>
      <w:r w:rsidR="00470ADC" w:rsidRPr="00D5464D">
        <w:rPr>
          <w:rFonts w:cs="Arial"/>
          <w:iCs/>
          <w:szCs w:val="20"/>
          <w:lang w:val="pt-BR"/>
        </w:rPr>
        <w:t xml:space="preserve"> o </w:t>
      </w:r>
      <w:r w:rsidR="004B0842" w:rsidRPr="00D5464D">
        <w:rPr>
          <w:rFonts w:cs="Arial"/>
          <w:iCs/>
          <w:szCs w:val="20"/>
          <w:lang w:val="pt-BR"/>
        </w:rPr>
        <w:t>Estado</w:t>
      </w:r>
      <w:r w:rsidR="00470ADC" w:rsidRPr="00D5464D">
        <w:rPr>
          <w:rFonts w:cs="Arial"/>
          <w:iCs/>
          <w:szCs w:val="20"/>
          <w:lang w:val="pt-BR"/>
        </w:rPr>
        <w:t xml:space="preserve"> deve </w:t>
      </w:r>
      <w:r w:rsidR="002C330E" w:rsidRPr="00D5464D">
        <w:rPr>
          <w:rFonts w:cs="Arial"/>
          <w:iCs/>
          <w:szCs w:val="20"/>
          <w:lang w:val="pt-BR"/>
        </w:rPr>
        <w:t xml:space="preserve">garantir a </w:t>
      </w:r>
      <w:r w:rsidR="004B0842" w:rsidRPr="00D5464D">
        <w:rPr>
          <w:rFonts w:cs="Arial"/>
          <w:iCs/>
          <w:szCs w:val="20"/>
          <w:lang w:val="pt-BR"/>
        </w:rPr>
        <w:t>recupera</w:t>
      </w:r>
      <w:r w:rsidR="00470ADC" w:rsidRPr="00D5464D">
        <w:rPr>
          <w:rFonts w:cs="Arial"/>
          <w:iCs/>
          <w:szCs w:val="20"/>
          <w:lang w:val="pt-BR"/>
        </w:rPr>
        <w:t>ção</w:t>
      </w:r>
      <w:r w:rsidR="00E045D9" w:rsidRPr="00D5464D">
        <w:rPr>
          <w:rFonts w:cs="Arial"/>
          <w:iCs/>
          <w:szCs w:val="20"/>
          <w:lang w:val="pt-BR"/>
        </w:rPr>
        <w:t xml:space="preserve"> e </w:t>
      </w:r>
      <w:r w:rsidR="004B0842" w:rsidRPr="00D5464D">
        <w:rPr>
          <w:rFonts w:cs="Arial"/>
          <w:iCs/>
          <w:szCs w:val="20"/>
          <w:lang w:val="pt-BR"/>
        </w:rPr>
        <w:t>readapta</w:t>
      </w:r>
      <w:r w:rsidR="00470ADC" w:rsidRPr="00D5464D">
        <w:rPr>
          <w:rFonts w:cs="Arial"/>
          <w:iCs/>
          <w:szCs w:val="20"/>
          <w:lang w:val="pt-BR"/>
        </w:rPr>
        <w:t xml:space="preserve">ção das </w:t>
      </w:r>
      <w:r w:rsidR="002C330E" w:rsidRPr="00D5464D">
        <w:rPr>
          <w:rFonts w:cs="Arial"/>
          <w:iCs/>
          <w:szCs w:val="20"/>
          <w:lang w:val="pt-BR"/>
        </w:rPr>
        <w:t>pessoa</w:t>
      </w:r>
      <w:r w:rsidR="004B0842" w:rsidRPr="00D5464D">
        <w:rPr>
          <w:rFonts w:cs="Arial"/>
          <w:iCs/>
          <w:szCs w:val="20"/>
          <w:lang w:val="pt-BR"/>
        </w:rPr>
        <w:t xml:space="preserve">s </w:t>
      </w:r>
      <w:r w:rsidR="002C330E" w:rsidRPr="00D5464D">
        <w:rPr>
          <w:rFonts w:cs="Arial"/>
          <w:iCs/>
          <w:szCs w:val="20"/>
          <w:lang w:val="pt-BR"/>
        </w:rPr>
        <w:t>submetida</w:t>
      </w:r>
      <w:r w:rsidR="004B0842" w:rsidRPr="00D5464D">
        <w:rPr>
          <w:rFonts w:cs="Arial"/>
          <w:iCs/>
          <w:szCs w:val="20"/>
          <w:lang w:val="pt-BR"/>
        </w:rPr>
        <w:t xml:space="preserve">s a </w:t>
      </w:r>
      <w:r w:rsidR="00E045D9" w:rsidRPr="00D5464D">
        <w:rPr>
          <w:rFonts w:cs="Arial"/>
          <w:iCs/>
          <w:szCs w:val="20"/>
          <w:lang w:val="pt-BR"/>
        </w:rPr>
        <w:t>trabalho</w:t>
      </w:r>
      <w:r w:rsidR="004B0842" w:rsidRPr="00D5464D">
        <w:rPr>
          <w:rFonts w:cs="Arial"/>
          <w:iCs/>
          <w:szCs w:val="20"/>
          <w:lang w:val="pt-BR"/>
        </w:rPr>
        <w:t xml:space="preserve"> </w:t>
      </w:r>
      <w:r w:rsidR="004F1CC2" w:rsidRPr="00D5464D">
        <w:rPr>
          <w:rFonts w:cs="Arial"/>
          <w:iCs/>
          <w:szCs w:val="20"/>
          <w:lang w:val="pt-BR"/>
        </w:rPr>
        <w:t>escravo</w:t>
      </w:r>
      <w:r w:rsidR="004B0842" w:rsidRPr="00D5464D">
        <w:rPr>
          <w:rFonts w:cs="Arial"/>
          <w:iCs/>
          <w:szCs w:val="20"/>
          <w:lang w:val="pt-BR"/>
        </w:rPr>
        <w:t>, inform</w:t>
      </w:r>
      <w:r w:rsidR="004012FE" w:rsidRPr="00D5464D">
        <w:rPr>
          <w:rFonts w:cs="Arial"/>
          <w:iCs/>
          <w:szCs w:val="20"/>
          <w:lang w:val="pt-BR"/>
        </w:rPr>
        <w:t xml:space="preserve">ando-lhes </w:t>
      </w:r>
      <w:r w:rsidR="004B0842" w:rsidRPr="00D5464D">
        <w:rPr>
          <w:rFonts w:cs="Arial"/>
          <w:iCs/>
          <w:szCs w:val="20"/>
          <w:lang w:val="pt-BR"/>
        </w:rPr>
        <w:t xml:space="preserve">prontamente </w:t>
      </w:r>
      <w:r w:rsidR="004012FE" w:rsidRPr="00D5464D">
        <w:rPr>
          <w:rFonts w:cs="Arial"/>
          <w:iCs/>
          <w:szCs w:val="20"/>
          <w:lang w:val="pt-BR"/>
        </w:rPr>
        <w:t xml:space="preserve">sobre </w:t>
      </w:r>
      <w:r w:rsidR="00E045D9" w:rsidRPr="00D5464D">
        <w:rPr>
          <w:rFonts w:cs="Arial"/>
          <w:iCs/>
          <w:szCs w:val="20"/>
          <w:lang w:val="pt-BR"/>
        </w:rPr>
        <w:t xml:space="preserve">seus direitos e </w:t>
      </w:r>
      <w:r w:rsidR="004012FE" w:rsidRPr="00D5464D">
        <w:rPr>
          <w:rFonts w:cs="Arial"/>
          <w:iCs/>
          <w:szCs w:val="20"/>
          <w:lang w:val="pt-BR"/>
        </w:rPr>
        <w:t xml:space="preserve">sobre </w:t>
      </w:r>
      <w:r w:rsidR="00470ADC" w:rsidRPr="00D5464D">
        <w:rPr>
          <w:rFonts w:cs="Arial"/>
          <w:iCs/>
          <w:szCs w:val="20"/>
          <w:lang w:val="pt-BR"/>
        </w:rPr>
        <w:t xml:space="preserve">os </w:t>
      </w:r>
      <w:r w:rsidR="004B0842" w:rsidRPr="00D5464D">
        <w:rPr>
          <w:rFonts w:cs="Arial"/>
          <w:iCs/>
          <w:szCs w:val="20"/>
          <w:lang w:val="pt-BR"/>
        </w:rPr>
        <w:t xml:space="preserve">programas </w:t>
      </w:r>
      <w:r w:rsidR="002C330E" w:rsidRPr="00D5464D">
        <w:rPr>
          <w:rFonts w:cs="Arial"/>
          <w:iCs/>
          <w:szCs w:val="20"/>
          <w:lang w:val="pt-BR"/>
        </w:rPr>
        <w:t>sociais</w:t>
      </w:r>
      <w:r w:rsidR="004B0842" w:rsidRPr="00D5464D">
        <w:rPr>
          <w:rFonts w:cs="Arial"/>
          <w:iCs/>
          <w:szCs w:val="20"/>
          <w:lang w:val="pt-BR"/>
        </w:rPr>
        <w:t xml:space="preserve"> que </w:t>
      </w:r>
      <w:r w:rsidR="00230C71" w:rsidRPr="00D5464D">
        <w:rPr>
          <w:rFonts w:cs="Arial"/>
          <w:iCs/>
          <w:szCs w:val="20"/>
          <w:lang w:val="pt-BR"/>
        </w:rPr>
        <w:t xml:space="preserve">podem </w:t>
      </w:r>
      <w:r w:rsidR="004B0842" w:rsidRPr="00D5464D">
        <w:rPr>
          <w:rFonts w:cs="Arial"/>
          <w:iCs/>
          <w:szCs w:val="20"/>
          <w:lang w:val="pt-BR"/>
        </w:rPr>
        <w:t>benefici</w:t>
      </w:r>
      <w:r w:rsidR="004012FE" w:rsidRPr="00D5464D">
        <w:rPr>
          <w:rFonts w:cs="Arial"/>
          <w:iCs/>
          <w:szCs w:val="20"/>
          <w:lang w:val="pt-BR"/>
        </w:rPr>
        <w:t>á-</w:t>
      </w:r>
      <w:r w:rsidR="004B0842" w:rsidRPr="00D5464D">
        <w:rPr>
          <w:rFonts w:cs="Arial"/>
          <w:iCs/>
          <w:szCs w:val="20"/>
          <w:lang w:val="pt-BR"/>
        </w:rPr>
        <w:t>los</w:t>
      </w:r>
      <w:r w:rsidR="00A1358C" w:rsidRPr="00D5464D">
        <w:rPr>
          <w:rFonts w:cs="Arial"/>
          <w:iCs/>
          <w:szCs w:val="20"/>
          <w:lang w:val="pt-BR"/>
        </w:rPr>
        <w:t>. Em particular</w:t>
      </w:r>
      <w:r w:rsidR="00DB5A03" w:rsidRPr="00D5464D">
        <w:rPr>
          <w:rFonts w:cs="Arial"/>
          <w:iCs/>
          <w:szCs w:val="20"/>
          <w:lang w:val="pt-BR"/>
        </w:rPr>
        <w:t>,</w:t>
      </w:r>
      <w:r w:rsidR="00470ADC" w:rsidRPr="00D5464D">
        <w:rPr>
          <w:rFonts w:cs="Arial"/>
          <w:iCs/>
          <w:szCs w:val="20"/>
          <w:lang w:val="pt-BR"/>
        </w:rPr>
        <w:t xml:space="preserve"> o </w:t>
      </w:r>
      <w:r w:rsidR="004B0842" w:rsidRPr="00D5464D">
        <w:rPr>
          <w:rFonts w:cs="Arial"/>
          <w:iCs/>
          <w:szCs w:val="20"/>
          <w:lang w:val="pt-BR"/>
        </w:rPr>
        <w:t>Estado</w:t>
      </w:r>
      <w:r w:rsidR="00470ADC" w:rsidRPr="00D5464D">
        <w:rPr>
          <w:rFonts w:cs="Arial"/>
          <w:iCs/>
          <w:szCs w:val="20"/>
          <w:lang w:val="pt-BR"/>
        </w:rPr>
        <w:t xml:space="preserve"> deve estabelece</w:t>
      </w:r>
      <w:r w:rsidR="004B0842" w:rsidRPr="00D5464D">
        <w:rPr>
          <w:rFonts w:cs="Arial"/>
          <w:iCs/>
          <w:szCs w:val="20"/>
          <w:lang w:val="pt-BR"/>
        </w:rPr>
        <w:t>r</w:t>
      </w:r>
      <w:r w:rsidR="00E045D9" w:rsidRPr="00D5464D">
        <w:rPr>
          <w:rFonts w:cs="Arial"/>
          <w:iCs/>
          <w:szCs w:val="20"/>
          <w:lang w:val="pt-BR"/>
        </w:rPr>
        <w:t xml:space="preserve"> uma </w:t>
      </w:r>
      <w:r w:rsidR="004B0842" w:rsidRPr="00D5464D">
        <w:rPr>
          <w:rFonts w:cs="Arial"/>
          <w:iCs/>
          <w:szCs w:val="20"/>
          <w:lang w:val="pt-BR"/>
        </w:rPr>
        <w:t>política pública</w:t>
      </w:r>
      <w:r w:rsidR="00470ADC" w:rsidRPr="00D5464D">
        <w:rPr>
          <w:rFonts w:cs="Arial"/>
          <w:iCs/>
          <w:szCs w:val="20"/>
          <w:lang w:val="pt-BR"/>
        </w:rPr>
        <w:t xml:space="preserve"> com </w:t>
      </w:r>
      <w:r w:rsidR="004B0842" w:rsidRPr="00D5464D">
        <w:rPr>
          <w:rFonts w:cs="Arial"/>
          <w:iCs/>
          <w:szCs w:val="20"/>
          <w:lang w:val="pt-BR"/>
        </w:rPr>
        <w:t>participa</w:t>
      </w:r>
      <w:r w:rsidR="00470ADC" w:rsidRPr="00D5464D">
        <w:rPr>
          <w:rFonts w:cs="Arial"/>
          <w:iCs/>
          <w:szCs w:val="20"/>
          <w:lang w:val="pt-BR"/>
        </w:rPr>
        <w:t>ção</w:t>
      </w:r>
      <w:r w:rsidR="004B0842" w:rsidRPr="00D5464D">
        <w:rPr>
          <w:rFonts w:cs="Arial"/>
          <w:iCs/>
          <w:szCs w:val="20"/>
          <w:lang w:val="pt-BR"/>
        </w:rPr>
        <w:t xml:space="preserve"> d</w:t>
      </w:r>
      <w:r w:rsidR="004012FE" w:rsidRPr="00D5464D">
        <w:rPr>
          <w:rFonts w:cs="Arial"/>
          <w:iCs/>
          <w:szCs w:val="20"/>
          <w:lang w:val="pt-BR"/>
        </w:rPr>
        <w:t>a</w:t>
      </w:r>
      <w:r w:rsidR="004B0842" w:rsidRPr="00D5464D">
        <w:rPr>
          <w:rFonts w:cs="Arial"/>
          <w:iCs/>
          <w:szCs w:val="20"/>
          <w:lang w:val="pt-BR"/>
        </w:rPr>
        <w:t xml:space="preserve"> CONATRAE para intermedia</w:t>
      </w:r>
      <w:r w:rsidR="00DB5A03" w:rsidRPr="00D5464D">
        <w:rPr>
          <w:rFonts w:cs="Arial"/>
          <w:iCs/>
          <w:szCs w:val="20"/>
          <w:lang w:val="pt-BR"/>
        </w:rPr>
        <w:t>r</w:t>
      </w:r>
      <w:r w:rsidR="002C330E" w:rsidRPr="00D5464D">
        <w:rPr>
          <w:rFonts w:cs="Arial"/>
          <w:iCs/>
          <w:szCs w:val="20"/>
          <w:lang w:val="pt-BR"/>
        </w:rPr>
        <w:t xml:space="preserve"> a </w:t>
      </w:r>
      <w:r w:rsidR="00DB5A03" w:rsidRPr="00D5464D">
        <w:rPr>
          <w:rFonts w:cs="Arial"/>
          <w:iCs/>
          <w:szCs w:val="20"/>
          <w:lang w:val="pt-BR"/>
        </w:rPr>
        <w:t>contrata</w:t>
      </w:r>
      <w:r w:rsidR="00470ADC" w:rsidRPr="00D5464D">
        <w:rPr>
          <w:rFonts w:cs="Arial"/>
          <w:iCs/>
          <w:szCs w:val="20"/>
          <w:lang w:val="pt-BR"/>
        </w:rPr>
        <w:t>ção</w:t>
      </w:r>
      <w:r w:rsidR="00DB5A03" w:rsidRPr="00D5464D">
        <w:rPr>
          <w:rFonts w:cs="Arial"/>
          <w:iCs/>
          <w:szCs w:val="20"/>
          <w:lang w:val="pt-BR"/>
        </w:rPr>
        <w:t xml:space="preserve"> </w:t>
      </w:r>
      <w:r w:rsidR="004B0842" w:rsidRPr="00D5464D">
        <w:rPr>
          <w:rFonts w:cs="Arial"/>
          <w:iCs/>
          <w:szCs w:val="20"/>
          <w:lang w:val="pt-BR"/>
        </w:rPr>
        <w:t>de m</w:t>
      </w:r>
      <w:r w:rsidR="004012FE" w:rsidRPr="00D5464D">
        <w:rPr>
          <w:rFonts w:cs="Arial"/>
          <w:iCs/>
          <w:szCs w:val="20"/>
          <w:lang w:val="pt-BR"/>
        </w:rPr>
        <w:t>ão</w:t>
      </w:r>
      <w:r w:rsidR="004B0842" w:rsidRPr="00D5464D">
        <w:rPr>
          <w:rFonts w:cs="Arial"/>
          <w:iCs/>
          <w:szCs w:val="20"/>
          <w:lang w:val="pt-BR"/>
        </w:rPr>
        <w:t xml:space="preserve"> de obra rural a</w:t>
      </w:r>
      <w:r w:rsidR="00470ADC" w:rsidRPr="00D5464D">
        <w:rPr>
          <w:rFonts w:cs="Arial"/>
          <w:iCs/>
          <w:szCs w:val="20"/>
          <w:lang w:val="pt-BR"/>
        </w:rPr>
        <w:t xml:space="preserve"> fim </w:t>
      </w:r>
      <w:r w:rsidR="004B0842" w:rsidRPr="00D5464D">
        <w:rPr>
          <w:rFonts w:cs="Arial"/>
          <w:iCs/>
          <w:szCs w:val="20"/>
          <w:lang w:val="pt-BR"/>
        </w:rPr>
        <w:t>de evitar que</w:t>
      </w:r>
      <w:r w:rsidR="002C330E" w:rsidRPr="00D5464D">
        <w:rPr>
          <w:rFonts w:cs="Arial"/>
          <w:iCs/>
          <w:szCs w:val="20"/>
          <w:lang w:val="pt-BR"/>
        </w:rPr>
        <w:t xml:space="preserve"> os </w:t>
      </w:r>
      <w:r w:rsidR="00E045D9" w:rsidRPr="00D5464D">
        <w:rPr>
          <w:rFonts w:cs="Arial"/>
          <w:iCs/>
          <w:szCs w:val="20"/>
          <w:lang w:val="pt-BR"/>
        </w:rPr>
        <w:t>trabalhadores</w:t>
      </w:r>
      <w:r w:rsidR="004B0842" w:rsidRPr="00D5464D">
        <w:rPr>
          <w:rFonts w:cs="Arial"/>
          <w:iCs/>
          <w:szCs w:val="20"/>
          <w:lang w:val="pt-BR"/>
        </w:rPr>
        <w:t xml:space="preserve"> </w:t>
      </w:r>
      <w:r w:rsidR="0090341D" w:rsidRPr="00D5464D">
        <w:rPr>
          <w:rFonts w:cs="Arial"/>
          <w:iCs/>
          <w:szCs w:val="20"/>
          <w:lang w:val="pt-BR"/>
        </w:rPr>
        <w:t>resgatado</w:t>
      </w:r>
      <w:r w:rsidR="004B0842" w:rsidRPr="00D5464D">
        <w:rPr>
          <w:rFonts w:cs="Arial"/>
          <w:iCs/>
          <w:szCs w:val="20"/>
          <w:lang w:val="pt-BR"/>
        </w:rPr>
        <w:t>s</w:t>
      </w:r>
      <w:r w:rsidR="002C330E" w:rsidRPr="00D5464D">
        <w:rPr>
          <w:rFonts w:cs="Arial"/>
          <w:iCs/>
          <w:szCs w:val="20"/>
          <w:lang w:val="pt-BR"/>
        </w:rPr>
        <w:t xml:space="preserve"> sejam nova</w:t>
      </w:r>
      <w:r w:rsidR="004B0842" w:rsidRPr="00D5464D">
        <w:rPr>
          <w:rFonts w:cs="Arial"/>
          <w:iCs/>
          <w:szCs w:val="20"/>
          <w:lang w:val="pt-BR"/>
        </w:rPr>
        <w:t xml:space="preserve">mente objeto de </w:t>
      </w:r>
      <w:r w:rsidR="00E045D9" w:rsidRPr="00D5464D">
        <w:rPr>
          <w:rFonts w:cs="Arial"/>
          <w:iCs/>
          <w:szCs w:val="20"/>
          <w:lang w:val="pt-BR"/>
        </w:rPr>
        <w:t>trabalho</w:t>
      </w:r>
      <w:r w:rsidR="004B0842" w:rsidRPr="00D5464D">
        <w:rPr>
          <w:rFonts w:cs="Arial"/>
          <w:iCs/>
          <w:szCs w:val="20"/>
          <w:lang w:val="pt-BR"/>
        </w:rPr>
        <w:t xml:space="preserve"> </w:t>
      </w:r>
      <w:r w:rsidR="004F1CC2" w:rsidRPr="00D5464D">
        <w:rPr>
          <w:rFonts w:cs="Arial"/>
          <w:iCs/>
          <w:szCs w:val="20"/>
          <w:lang w:val="pt-BR"/>
        </w:rPr>
        <w:t>escravo</w:t>
      </w:r>
      <w:r w:rsidR="004B0842" w:rsidRPr="00D5464D">
        <w:rPr>
          <w:rFonts w:cs="Arial"/>
          <w:iCs/>
          <w:szCs w:val="20"/>
          <w:lang w:val="pt-BR"/>
        </w:rPr>
        <w:t xml:space="preserve">. </w:t>
      </w:r>
      <w:r w:rsidR="002C330E" w:rsidRPr="00D5464D">
        <w:rPr>
          <w:rFonts w:cs="Arial"/>
          <w:iCs/>
          <w:szCs w:val="20"/>
          <w:lang w:val="pt-BR"/>
        </w:rPr>
        <w:t>Solicitaram</w:t>
      </w:r>
      <w:r w:rsidR="004012FE" w:rsidRPr="00D5464D">
        <w:rPr>
          <w:rFonts w:cs="Arial"/>
          <w:iCs/>
          <w:szCs w:val="20"/>
          <w:lang w:val="pt-BR"/>
        </w:rPr>
        <w:t>,</w:t>
      </w:r>
      <w:r w:rsidR="004B0842" w:rsidRPr="00D5464D">
        <w:rPr>
          <w:rFonts w:cs="Arial"/>
          <w:iCs/>
          <w:szCs w:val="20"/>
          <w:lang w:val="pt-BR"/>
        </w:rPr>
        <w:t xml:space="preserve"> </w:t>
      </w:r>
      <w:r w:rsidR="00470ADC" w:rsidRPr="00D5464D">
        <w:rPr>
          <w:rFonts w:cs="Arial"/>
          <w:iCs/>
          <w:szCs w:val="20"/>
          <w:lang w:val="pt-BR"/>
        </w:rPr>
        <w:t>ademais</w:t>
      </w:r>
      <w:r w:rsidR="004012FE" w:rsidRPr="00D5464D">
        <w:rPr>
          <w:rFonts w:cs="Arial"/>
          <w:iCs/>
          <w:szCs w:val="20"/>
          <w:lang w:val="pt-BR"/>
        </w:rPr>
        <w:t>,</w:t>
      </w:r>
      <w:r w:rsidR="002C330E" w:rsidRPr="00D5464D">
        <w:rPr>
          <w:rFonts w:cs="Arial"/>
          <w:iCs/>
          <w:szCs w:val="20"/>
          <w:lang w:val="pt-BR"/>
        </w:rPr>
        <w:t xml:space="preserve"> a </w:t>
      </w:r>
      <w:r w:rsidR="00470ADC" w:rsidRPr="00D5464D">
        <w:rPr>
          <w:rFonts w:cs="Arial"/>
          <w:iCs/>
          <w:szCs w:val="20"/>
          <w:lang w:val="pt-BR"/>
        </w:rPr>
        <w:t>construção</w:t>
      </w:r>
      <w:r w:rsidR="004B0842" w:rsidRPr="00D5464D">
        <w:rPr>
          <w:rFonts w:cs="Arial"/>
          <w:iCs/>
          <w:szCs w:val="20"/>
          <w:lang w:val="pt-BR"/>
        </w:rPr>
        <w:t xml:space="preserve"> de</w:t>
      </w:r>
      <w:r w:rsidR="00E045D9" w:rsidRPr="00D5464D">
        <w:rPr>
          <w:rFonts w:cs="Arial"/>
          <w:iCs/>
          <w:szCs w:val="20"/>
          <w:lang w:val="pt-BR"/>
        </w:rPr>
        <w:t xml:space="preserve"> um </w:t>
      </w:r>
      <w:r w:rsidR="004B0842" w:rsidRPr="00D5464D">
        <w:rPr>
          <w:rFonts w:cs="Arial"/>
          <w:iCs/>
          <w:szCs w:val="20"/>
          <w:lang w:val="pt-BR"/>
        </w:rPr>
        <w:t xml:space="preserve">Centro de </w:t>
      </w:r>
      <w:r w:rsidR="00470ADC" w:rsidRPr="00D5464D">
        <w:rPr>
          <w:rFonts w:cs="Arial"/>
          <w:iCs/>
          <w:szCs w:val="20"/>
          <w:lang w:val="pt-BR"/>
        </w:rPr>
        <w:t>Atenção</w:t>
      </w:r>
      <w:r w:rsidR="004B0842" w:rsidRPr="00D5464D">
        <w:rPr>
          <w:rFonts w:cs="Arial"/>
          <w:iCs/>
          <w:szCs w:val="20"/>
          <w:lang w:val="pt-BR"/>
        </w:rPr>
        <w:t xml:space="preserve"> a </w:t>
      </w:r>
      <w:r w:rsidR="00E045D9" w:rsidRPr="00D5464D">
        <w:rPr>
          <w:rFonts w:cs="Arial"/>
          <w:iCs/>
          <w:szCs w:val="20"/>
          <w:lang w:val="pt-BR"/>
        </w:rPr>
        <w:t xml:space="preserve">Trabalhadores no </w:t>
      </w:r>
      <w:r w:rsidR="00230C71" w:rsidRPr="00D5464D">
        <w:rPr>
          <w:rFonts w:cs="Arial"/>
          <w:iCs/>
          <w:szCs w:val="20"/>
          <w:lang w:val="pt-BR"/>
        </w:rPr>
        <w:t>município</w:t>
      </w:r>
      <w:r w:rsidR="004B0842" w:rsidRPr="00D5464D">
        <w:rPr>
          <w:rFonts w:cs="Arial"/>
          <w:iCs/>
          <w:szCs w:val="20"/>
          <w:lang w:val="pt-BR"/>
        </w:rPr>
        <w:t xml:space="preserve"> de Barras, Estado d</w:t>
      </w:r>
      <w:r w:rsidR="004012FE" w:rsidRPr="00D5464D">
        <w:rPr>
          <w:rFonts w:cs="Arial"/>
          <w:iCs/>
          <w:szCs w:val="20"/>
          <w:lang w:val="pt-BR"/>
        </w:rPr>
        <w:t>o</w:t>
      </w:r>
      <w:r w:rsidR="004B0842" w:rsidRPr="00D5464D">
        <w:rPr>
          <w:rFonts w:cs="Arial"/>
          <w:iCs/>
          <w:szCs w:val="20"/>
          <w:lang w:val="pt-BR"/>
        </w:rPr>
        <w:t xml:space="preserve"> Piauí, lugar de </w:t>
      </w:r>
      <w:r w:rsidR="002C330E" w:rsidRPr="00D5464D">
        <w:rPr>
          <w:rFonts w:cs="Arial"/>
          <w:iCs/>
          <w:szCs w:val="20"/>
          <w:lang w:val="pt-BR"/>
        </w:rPr>
        <w:t>origem</w:t>
      </w:r>
      <w:r w:rsidR="00470ADC" w:rsidRPr="00D5464D">
        <w:rPr>
          <w:rFonts w:cs="Arial"/>
          <w:iCs/>
          <w:szCs w:val="20"/>
          <w:lang w:val="pt-BR"/>
        </w:rPr>
        <w:t xml:space="preserve"> da </w:t>
      </w:r>
      <w:r w:rsidR="002C330E" w:rsidRPr="00D5464D">
        <w:rPr>
          <w:rFonts w:cs="Arial"/>
          <w:iCs/>
          <w:szCs w:val="20"/>
          <w:lang w:val="pt-BR"/>
        </w:rPr>
        <w:t>maioria</w:t>
      </w:r>
      <w:r w:rsidR="00470ADC" w:rsidRPr="00D5464D">
        <w:rPr>
          <w:rFonts w:cs="Arial"/>
          <w:iCs/>
          <w:szCs w:val="20"/>
          <w:lang w:val="pt-BR"/>
        </w:rPr>
        <w:t xml:space="preserve"> das </w:t>
      </w:r>
      <w:r w:rsidR="00E045D9" w:rsidRPr="00D5464D">
        <w:rPr>
          <w:rFonts w:cs="Arial"/>
          <w:iCs/>
          <w:szCs w:val="20"/>
          <w:lang w:val="pt-BR"/>
        </w:rPr>
        <w:t>vítima</w:t>
      </w:r>
      <w:r w:rsidR="004B0842" w:rsidRPr="00D5464D">
        <w:rPr>
          <w:rFonts w:cs="Arial"/>
          <w:iCs/>
          <w:szCs w:val="20"/>
          <w:lang w:val="pt-BR"/>
        </w:rPr>
        <w:t>s</w:t>
      </w:r>
      <w:r w:rsidR="00470ADC" w:rsidRPr="00D5464D">
        <w:rPr>
          <w:rFonts w:cs="Arial"/>
          <w:iCs/>
          <w:szCs w:val="20"/>
          <w:lang w:val="pt-BR"/>
        </w:rPr>
        <w:t xml:space="preserve"> deste </w:t>
      </w:r>
      <w:r w:rsidR="004B0842" w:rsidRPr="00D5464D">
        <w:rPr>
          <w:rFonts w:cs="Arial"/>
          <w:iCs/>
          <w:szCs w:val="20"/>
          <w:lang w:val="pt-BR"/>
        </w:rPr>
        <w:t>caso.</w:t>
      </w:r>
    </w:p>
    <w:p w14:paraId="49518ABB" w14:textId="77777777" w:rsidR="004B0842" w:rsidRPr="00D5464D" w:rsidRDefault="004B0842" w:rsidP="004B0842">
      <w:pPr>
        <w:pStyle w:val="Prrafodelista"/>
        <w:autoSpaceDE w:val="0"/>
        <w:autoSpaceDN w:val="0"/>
        <w:adjustRightInd w:val="0"/>
        <w:rPr>
          <w:rFonts w:cs="Arial"/>
          <w:iCs/>
          <w:szCs w:val="20"/>
          <w:lang w:val="pt-BR"/>
        </w:rPr>
      </w:pPr>
    </w:p>
    <w:p w14:paraId="58440BD0" w14:textId="339DA73B" w:rsidR="004B0842" w:rsidRPr="00D5464D" w:rsidRDefault="004B0842"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Adicionalmente</w:t>
      </w:r>
      <w:r w:rsidR="00DB5A03" w:rsidRPr="00D5464D">
        <w:rPr>
          <w:rFonts w:cs="Arial"/>
          <w:iCs/>
          <w:szCs w:val="20"/>
          <w:lang w:val="pt-BR"/>
        </w:rPr>
        <w:t>,</w:t>
      </w:r>
      <w:r w:rsidR="002C330E" w:rsidRPr="00D5464D">
        <w:rPr>
          <w:rFonts w:cs="Arial"/>
          <w:iCs/>
          <w:szCs w:val="20"/>
          <w:lang w:val="pt-BR"/>
        </w:rPr>
        <w:t xml:space="preserve"> os </w:t>
      </w:r>
      <w:r w:rsidR="00EB1CE9" w:rsidRPr="00D5464D">
        <w:rPr>
          <w:rFonts w:cs="Arial"/>
          <w:iCs/>
          <w:szCs w:val="20"/>
          <w:lang w:val="pt-BR"/>
        </w:rPr>
        <w:t>representante</w:t>
      </w:r>
      <w:r w:rsidRPr="00D5464D">
        <w:rPr>
          <w:rFonts w:cs="Arial"/>
          <w:iCs/>
          <w:szCs w:val="20"/>
          <w:lang w:val="pt-BR"/>
        </w:rPr>
        <w:t xml:space="preserve">s </w:t>
      </w:r>
      <w:r w:rsidR="002C330E" w:rsidRPr="00D5464D">
        <w:rPr>
          <w:rFonts w:cs="Arial"/>
          <w:iCs/>
          <w:szCs w:val="20"/>
          <w:lang w:val="pt-BR"/>
        </w:rPr>
        <w:t>solicitaram</w:t>
      </w:r>
      <w:r w:rsidRPr="00D5464D">
        <w:rPr>
          <w:rFonts w:cs="Arial"/>
          <w:iCs/>
          <w:szCs w:val="20"/>
          <w:lang w:val="pt-BR"/>
        </w:rPr>
        <w:t xml:space="preserve"> </w:t>
      </w:r>
      <w:r w:rsidR="004012FE" w:rsidRPr="00D5464D">
        <w:rPr>
          <w:rFonts w:cs="Arial"/>
          <w:iCs/>
          <w:szCs w:val="20"/>
          <w:lang w:val="pt-BR"/>
        </w:rPr>
        <w:t xml:space="preserve">a manutenção de </w:t>
      </w:r>
      <w:r w:rsidR="00470ADC" w:rsidRPr="00D5464D">
        <w:rPr>
          <w:rFonts w:cs="Arial"/>
          <w:iCs/>
          <w:szCs w:val="20"/>
          <w:lang w:val="pt-BR"/>
        </w:rPr>
        <w:t>certa</w:t>
      </w:r>
      <w:r w:rsidRPr="00D5464D">
        <w:rPr>
          <w:rFonts w:cs="Arial"/>
          <w:iCs/>
          <w:szCs w:val="20"/>
          <w:lang w:val="pt-BR"/>
        </w:rPr>
        <w:t xml:space="preserve">s políticas públicas que </w:t>
      </w:r>
      <w:r w:rsidR="002C330E" w:rsidRPr="00D5464D">
        <w:rPr>
          <w:rFonts w:cs="Arial"/>
          <w:iCs/>
          <w:szCs w:val="20"/>
          <w:lang w:val="pt-BR"/>
        </w:rPr>
        <w:t>foram</w:t>
      </w:r>
      <w:r w:rsidRPr="00D5464D">
        <w:rPr>
          <w:rFonts w:cs="Arial"/>
          <w:iCs/>
          <w:szCs w:val="20"/>
          <w:lang w:val="pt-BR"/>
        </w:rPr>
        <w:t xml:space="preserve"> exitosas</w:t>
      </w:r>
      <w:r w:rsidR="00E045D9" w:rsidRPr="00D5464D">
        <w:rPr>
          <w:rFonts w:cs="Arial"/>
          <w:iCs/>
          <w:szCs w:val="20"/>
          <w:lang w:val="pt-BR"/>
        </w:rPr>
        <w:t xml:space="preserve"> no </w:t>
      </w:r>
      <w:r w:rsidRPr="00D5464D">
        <w:rPr>
          <w:rFonts w:cs="Arial"/>
          <w:iCs/>
          <w:szCs w:val="20"/>
          <w:lang w:val="pt-BR"/>
        </w:rPr>
        <w:t xml:space="preserve">combate </w:t>
      </w:r>
      <w:r w:rsidR="004012FE" w:rsidRPr="00D5464D">
        <w:rPr>
          <w:rFonts w:cs="Arial"/>
          <w:iCs/>
          <w:szCs w:val="20"/>
          <w:lang w:val="pt-BR"/>
        </w:rPr>
        <w:t>a</w:t>
      </w:r>
      <w:r w:rsidR="00470ADC" w:rsidRPr="00D5464D">
        <w:rPr>
          <w:rFonts w:cs="Arial"/>
          <w:iCs/>
          <w:szCs w:val="20"/>
          <w:lang w:val="pt-BR"/>
        </w:rPr>
        <w:t xml:space="preserve">o </w:t>
      </w:r>
      <w:r w:rsidR="00E045D9" w:rsidRPr="00D5464D">
        <w:rPr>
          <w:rFonts w:cs="Arial"/>
          <w:iCs/>
          <w:szCs w:val="20"/>
          <w:lang w:val="pt-BR"/>
        </w:rPr>
        <w:t>trabalho</w:t>
      </w:r>
      <w:r w:rsidRPr="00D5464D">
        <w:rPr>
          <w:rFonts w:cs="Arial"/>
          <w:iCs/>
          <w:szCs w:val="20"/>
          <w:lang w:val="pt-BR"/>
        </w:rPr>
        <w:t xml:space="preserve"> </w:t>
      </w:r>
      <w:r w:rsidR="004F1CC2" w:rsidRPr="00D5464D">
        <w:rPr>
          <w:rFonts w:cs="Arial"/>
          <w:iCs/>
          <w:szCs w:val="20"/>
          <w:lang w:val="pt-BR"/>
        </w:rPr>
        <w:t>escravo</w:t>
      </w:r>
      <w:r w:rsidR="00A1358C" w:rsidRPr="00D5464D">
        <w:rPr>
          <w:rFonts w:cs="Arial"/>
          <w:iCs/>
          <w:szCs w:val="20"/>
          <w:lang w:val="pt-BR"/>
        </w:rPr>
        <w:t>. Em particular</w:t>
      </w:r>
      <w:r w:rsidRPr="00D5464D">
        <w:rPr>
          <w:rFonts w:cs="Arial"/>
          <w:iCs/>
          <w:szCs w:val="20"/>
          <w:lang w:val="pt-BR"/>
        </w:rPr>
        <w:t xml:space="preserve"> </w:t>
      </w:r>
      <w:r w:rsidR="004012FE" w:rsidRPr="00D5464D">
        <w:rPr>
          <w:rFonts w:cs="Arial"/>
          <w:iCs/>
          <w:szCs w:val="20"/>
          <w:lang w:val="pt-BR"/>
        </w:rPr>
        <w:t xml:space="preserve">solicitaram </w:t>
      </w:r>
      <w:r w:rsidR="00470ADC" w:rsidRPr="00D5464D">
        <w:rPr>
          <w:rFonts w:cs="Arial"/>
          <w:iCs/>
          <w:szCs w:val="20"/>
          <w:lang w:val="pt-BR"/>
        </w:rPr>
        <w:t xml:space="preserve">à </w:t>
      </w:r>
      <w:r w:rsidRPr="00D5464D">
        <w:rPr>
          <w:rFonts w:cs="Arial"/>
          <w:iCs/>
          <w:szCs w:val="20"/>
          <w:lang w:val="pt-BR"/>
        </w:rPr>
        <w:t>Corte que declare que</w:t>
      </w:r>
      <w:r w:rsidR="002C330E" w:rsidRPr="00D5464D">
        <w:rPr>
          <w:rFonts w:cs="Arial"/>
          <w:iCs/>
          <w:szCs w:val="20"/>
          <w:lang w:val="pt-BR"/>
        </w:rPr>
        <w:t xml:space="preserve"> a </w:t>
      </w:r>
      <w:r w:rsidRPr="00D5464D">
        <w:rPr>
          <w:rFonts w:cs="Arial"/>
          <w:iCs/>
          <w:szCs w:val="20"/>
          <w:lang w:val="pt-BR"/>
        </w:rPr>
        <w:t>“Lista Suja”</w:t>
      </w:r>
      <w:r w:rsidR="00E045D9" w:rsidRPr="00D5464D">
        <w:rPr>
          <w:rFonts w:cs="Arial"/>
          <w:iCs/>
          <w:szCs w:val="20"/>
          <w:lang w:val="pt-BR"/>
        </w:rPr>
        <w:t xml:space="preserve"> e </w:t>
      </w:r>
      <w:r w:rsidR="002C330E" w:rsidRPr="00D5464D">
        <w:rPr>
          <w:rFonts w:cs="Arial"/>
          <w:iCs/>
          <w:szCs w:val="20"/>
          <w:lang w:val="pt-BR"/>
        </w:rPr>
        <w:t xml:space="preserve">a </w:t>
      </w:r>
      <w:r w:rsidRPr="00D5464D">
        <w:rPr>
          <w:rFonts w:cs="Arial"/>
          <w:iCs/>
          <w:szCs w:val="20"/>
          <w:lang w:val="pt-BR"/>
        </w:rPr>
        <w:t xml:space="preserve">Portaria Interministerial </w:t>
      </w:r>
      <w:r w:rsidR="00C176E3" w:rsidRPr="00D5464D">
        <w:rPr>
          <w:rFonts w:cs="Arial"/>
          <w:iCs/>
          <w:szCs w:val="20"/>
          <w:lang w:val="pt-BR"/>
        </w:rPr>
        <w:t xml:space="preserve">nº </w:t>
      </w:r>
      <w:r w:rsidRPr="00D5464D">
        <w:rPr>
          <w:rFonts w:cs="Arial"/>
          <w:iCs/>
          <w:szCs w:val="20"/>
          <w:lang w:val="pt-BR"/>
        </w:rPr>
        <w:t>2/2015</w:t>
      </w:r>
      <w:r w:rsidR="002C330E" w:rsidRPr="00D5464D">
        <w:rPr>
          <w:rFonts w:cs="Arial"/>
          <w:iCs/>
          <w:szCs w:val="20"/>
          <w:lang w:val="pt-BR"/>
        </w:rPr>
        <w:t xml:space="preserve"> são </w:t>
      </w:r>
      <w:r w:rsidR="00470ADC" w:rsidRPr="00D5464D">
        <w:rPr>
          <w:rFonts w:cs="Arial"/>
          <w:iCs/>
          <w:szCs w:val="20"/>
          <w:lang w:val="pt-BR"/>
        </w:rPr>
        <w:t>compatíveis com</w:t>
      </w:r>
      <w:r w:rsidR="002C330E" w:rsidRPr="00D5464D">
        <w:rPr>
          <w:rFonts w:cs="Arial"/>
          <w:iCs/>
          <w:szCs w:val="20"/>
          <w:lang w:val="pt-BR"/>
        </w:rPr>
        <w:t xml:space="preserve"> a </w:t>
      </w:r>
      <w:r w:rsidRPr="00D5464D">
        <w:rPr>
          <w:rFonts w:cs="Arial"/>
          <w:iCs/>
          <w:szCs w:val="20"/>
          <w:lang w:val="pt-BR"/>
        </w:rPr>
        <w:t>Conven</w:t>
      </w:r>
      <w:r w:rsidR="00470ADC" w:rsidRPr="00D5464D">
        <w:rPr>
          <w:rFonts w:cs="Arial"/>
          <w:iCs/>
          <w:szCs w:val="20"/>
          <w:lang w:val="pt-BR"/>
        </w:rPr>
        <w:t>ção</w:t>
      </w:r>
      <w:r w:rsidRPr="00D5464D">
        <w:rPr>
          <w:rFonts w:cs="Arial"/>
          <w:iCs/>
          <w:szCs w:val="20"/>
          <w:lang w:val="pt-BR"/>
        </w:rPr>
        <w:t xml:space="preserve"> Americana.</w:t>
      </w:r>
    </w:p>
    <w:p w14:paraId="4A1F49CC" w14:textId="77777777" w:rsidR="00747A03" w:rsidRPr="00D5464D" w:rsidRDefault="00747A03" w:rsidP="00747A03">
      <w:pPr>
        <w:pStyle w:val="Prrafodelista"/>
        <w:autoSpaceDE w:val="0"/>
        <w:autoSpaceDN w:val="0"/>
        <w:adjustRightInd w:val="0"/>
        <w:ind w:left="0"/>
        <w:rPr>
          <w:rFonts w:cs="Arial"/>
          <w:iCs/>
          <w:szCs w:val="20"/>
          <w:lang w:val="pt-BR"/>
        </w:rPr>
      </w:pPr>
    </w:p>
    <w:p w14:paraId="421E8CAF" w14:textId="071C10F1" w:rsidR="004B0842" w:rsidRPr="00D5464D" w:rsidRDefault="00470ADC"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O </w:t>
      </w:r>
      <w:r w:rsidR="004B0842" w:rsidRPr="00D5464D">
        <w:rPr>
          <w:rFonts w:cs="Arial"/>
          <w:b/>
          <w:i/>
          <w:iCs/>
          <w:szCs w:val="20"/>
          <w:lang w:val="pt-BR"/>
        </w:rPr>
        <w:t>Estado</w:t>
      </w:r>
      <w:r w:rsidR="004B0842" w:rsidRPr="00D5464D">
        <w:rPr>
          <w:rFonts w:cs="Arial"/>
          <w:iCs/>
          <w:szCs w:val="20"/>
          <w:lang w:val="pt-BR"/>
        </w:rPr>
        <w:t xml:space="preserve"> </w:t>
      </w:r>
      <w:r w:rsidR="002C330E" w:rsidRPr="00D5464D">
        <w:rPr>
          <w:rFonts w:cs="Arial"/>
          <w:iCs/>
          <w:szCs w:val="20"/>
          <w:lang w:val="pt-BR"/>
        </w:rPr>
        <w:t>afirmou</w:t>
      </w:r>
      <w:r w:rsidR="004B0842" w:rsidRPr="00D5464D">
        <w:rPr>
          <w:rFonts w:cs="Arial"/>
          <w:iCs/>
          <w:szCs w:val="20"/>
          <w:lang w:val="pt-BR"/>
        </w:rPr>
        <w:t xml:space="preserve"> que</w:t>
      </w:r>
      <w:r w:rsidR="004012FE" w:rsidRPr="00D5464D">
        <w:rPr>
          <w:rFonts w:cs="Arial"/>
          <w:iCs/>
          <w:szCs w:val="20"/>
          <w:lang w:val="pt-BR"/>
        </w:rPr>
        <w:t>,</w:t>
      </w:r>
      <w:r w:rsidR="004B0842" w:rsidRPr="00D5464D">
        <w:rPr>
          <w:rFonts w:cs="Arial"/>
          <w:iCs/>
          <w:szCs w:val="20"/>
          <w:lang w:val="pt-BR"/>
        </w:rPr>
        <w:t xml:space="preserve"> </w:t>
      </w:r>
      <w:r w:rsidRPr="00D5464D">
        <w:rPr>
          <w:rFonts w:cs="Arial"/>
          <w:iCs/>
          <w:szCs w:val="20"/>
          <w:lang w:val="pt-BR"/>
        </w:rPr>
        <w:t>de acordo com</w:t>
      </w:r>
      <w:r w:rsidR="002C330E" w:rsidRPr="00D5464D">
        <w:rPr>
          <w:rFonts w:cs="Arial"/>
          <w:iCs/>
          <w:szCs w:val="20"/>
          <w:lang w:val="pt-BR"/>
        </w:rPr>
        <w:t xml:space="preserve"> a </w:t>
      </w:r>
      <w:r w:rsidR="004B0842" w:rsidRPr="00D5464D">
        <w:rPr>
          <w:rFonts w:cs="Arial"/>
          <w:iCs/>
          <w:szCs w:val="20"/>
          <w:lang w:val="pt-BR"/>
        </w:rPr>
        <w:t>Conven</w:t>
      </w:r>
      <w:r w:rsidRPr="00D5464D">
        <w:rPr>
          <w:rFonts w:cs="Arial"/>
          <w:iCs/>
          <w:szCs w:val="20"/>
          <w:lang w:val="pt-BR"/>
        </w:rPr>
        <w:t>ção</w:t>
      </w:r>
      <w:r w:rsidR="004B0842" w:rsidRPr="00D5464D">
        <w:rPr>
          <w:rFonts w:cs="Arial"/>
          <w:iCs/>
          <w:szCs w:val="20"/>
          <w:lang w:val="pt-BR"/>
        </w:rPr>
        <w:t xml:space="preserve"> Americana</w:t>
      </w:r>
      <w:r w:rsidR="004012FE" w:rsidRPr="00D5464D">
        <w:rPr>
          <w:rFonts w:cs="Arial"/>
          <w:iCs/>
          <w:szCs w:val="20"/>
          <w:lang w:val="pt-BR"/>
        </w:rPr>
        <w:t>,</w:t>
      </w:r>
      <w:r w:rsidR="00E045D9" w:rsidRPr="00D5464D">
        <w:rPr>
          <w:rFonts w:cs="Arial"/>
          <w:iCs/>
          <w:szCs w:val="20"/>
          <w:lang w:val="pt-BR"/>
        </w:rPr>
        <w:t xml:space="preserve"> já </w:t>
      </w:r>
      <w:r w:rsidR="004012FE" w:rsidRPr="00D5464D">
        <w:rPr>
          <w:rFonts w:cs="Arial"/>
          <w:iCs/>
          <w:szCs w:val="20"/>
          <w:lang w:val="pt-BR"/>
        </w:rPr>
        <w:t xml:space="preserve">possui </w:t>
      </w:r>
      <w:r w:rsidR="002C330E" w:rsidRPr="00D5464D">
        <w:rPr>
          <w:rFonts w:cs="Arial"/>
          <w:iCs/>
          <w:szCs w:val="20"/>
          <w:lang w:val="pt-BR"/>
        </w:rPr>
        <w:t>a obrigação</w:t>
      </w:r>
      <w:r w:rsidR="004B0842" w:rsidRPr="00D5464D">
        <w:rPr>
          <w:rFonts w:cs="Arial"/>
          <w:iCs/>
          <w:szCs w:val="20"/>
          <w:lang w:val="pt-BR"/>
        </w:rPr>
        <w:t xml:space="preserve"> de promover investiga</w:t>
      </w:r>
      <w:r w:rsidRPr="00D5464D">
        <w:rPr>
          <w:rFonts w:cs="Arial"/>
          <w:iCs/>
          <w:szCs w:val="20"/>
          <w:lang w:val="pt-BR"/>
        </w:rPr>
        <w:t>ções</w:t>
      </w:r>
      <w:r w:rsidR="004B0842" w:rsidRPr="00D5464D">
        <w:rPr>
          <w:rFonts w:cs="Arial"/>
          <w:iCs/>
          <w:szCs w:val="20"/>
          <w:lang w:val="pt-BR"/>
        </w:rPr>
        <w:t xml:space="preserve"> </w:t>
      </w:r>
      <w:r w:rsidR="002C330E" w:rsidRPr="00D5464D">
        <w:rPr>
          <w:rFonts w:cs="Arial"/>
          <w:iCs/>
          <w:szCs w:val="20"/>
          <w:lang w:val="pt-BR"/>
        </w:rPr>
        <w:t>penais</w:t>
      </w:r>
      <w:r w:rsidR="004B0842" w:rsidRPr="00D5464D">
        <w:rPr>
          <w:rFonts w:cs="Arial"/>
          <w:iCs/>
          <w:szCs w:val="20"/>
          <w:lang w:val="pt-BR"/>
        </w:rPr>
        <w:t xml:space="preserve"> </w:t>
      </w:r>
      <w:r w:rsidRPr="00D5464D">
        <w:rPr>
          <w:rFonts w:cs="Arial"/>
          <w:iCs/>
          <w:szCs w:val="20"/>
          <w:lang w:val="pt-BR"/>
        </w:rPr>
        <w:t>adequad</w:t>
      </w:r>
      <w:r w:rsidR="004B0842" w:rsidRPr="00D5464D">
        <w:rPr>
          <w:rFonts w:cs="Arial"/>
          <w:iCs/>
          <w:szCs w:val="20"/>
          <w:lang w:val="pt-BR"/>
        </w:rPr>
        <w:t>as</w:t>
      </w:r>
      <w:r w:rsidR="00E045D9" w:rsidRPr="00D5464D">
        <w:rPr>
          <w:rFonts w:cs="Arial"/>
          <w:iCs/>
          <w:szCs w:val="20"/>
          <w:lang w:val="pt-BR"/>
        </w:rPr>
        <w:t xml:space="preserve"> e </w:t>
      </w:r>
      <w:r w:rsidRPr="00D5464D">
        <w:rPr>
          <w:rFonts w:cs="Arial"/>
          <w:iCs/>
          <w:szCs w:val="20"/>
          <w:lang w:val="pt-BR"/>
        </w:rPr>
        <w:t>efetiv</w:t>
      </w:r>
      <w:r w:rsidR="004B0842" w:rsidRPr="00D5464D">
        <w:rPr>
          <w:rFonts w:cs="Arial"/>
          <w:iCs/>
          <w:szCs w:val="20"/>
          <w:lang w:val="pt-BR"/>
        </w:rPr>
        <w:t xml:space="preserve">as. </w:t>
      </w:r>
      <w:r w:rsidRPr="00D5464D">
        <w:rPr>
          <w:rFonts w:cs="Arial"/>
          <w:iCs/>
          <w:szCs w:val="20"/>
          <w:lang w:val="pt-BR"/>
        </w:rPr>
        <w:t>Argumentou</w:t>
      </w:r>
      <w:r w:rsidR="004B0842" w:rsidRPr="00D5464D">
        <w:rPr>
          <w:rFonts w:cs="Arial"/>
          <w:iCs/>
          <w:szCs w:val="20"/>
          <w:lang w:val="pt-BR"/>
        </w:rPr>
        <w:t xml:space="preserve"> que</w:t>
      </w:r>
      <w:r w:rsidRPr="00D5464D">
        <w:rPr>
          <w:rFonts w:cs="Arial"/>
          <w:iCs/>
          <w:szCs w:val="20"/>
          <w:lang w:val="pt-BR"/>
        </w:rPr>
        <w:t xml:space="preserve"> o cumprimento desta </w:t>
      </w:r>
      <w:r w:rsidR="002C330E" w:rsidRPr="00D5464D">
        <w:rPr>
          <w:rFonts w:cs="Arial"/>
          <w:iCs/>
          <w:szCs w:val="20"/>
          <w:lang w:val="pt-BR"/>
        </w:rPr>
        <w:t>obrigação</w:t>
      </w:r>
      <w:r w:rsidR="004B0842" w:rsidRPr="00D5464D">
        <w:rPr>
          <w:rFonts w:cs="Arial"/>
          <w:iCs/>
          <w:szCs w:val="20"/>
          <w:lang w:val="pt-BR"/>
        </w:rPr>
        <w:t xml:space="preserve"> se </w:t>
      </w:r>
      <w:r w:rsidRPr="00D5464D">
        <w:rPr>
          <w:rFonts w:cs="Arial"/>
          <w:iCs/>
          <w:szCs w:val="20"/>
          <w:lang w:val="pt-BR"/>
        </w:rPr>
        <w:t xml:space="preserve">encontra </w:t>
      </w:r>
      <w:r w:rsidR="004B0842" w:rsidRPr="00D5464D">
        <w:rPr>
          <w:rFonts w:cs="Arial"/>
          <w:iCs/>
          <w:szCs w:val="20"/>
          <w:lang w:val="pt-BR"/>
        </w:rPr>
        <w:t xml:space="preserve">dentro </w:t>
      </w:r>
      <w:r w:rsidRPr="00D5464D">
        <w:rPr>
          <w:rFonts w:cs="Arial"/>
          <w:iCs/>
          <w:szCs w:val="20"/>
          <w:lang w:val="pt-BR"/>
        </w:rPr>
        <w:t>d</w:t>
      </w:r>
      <w:r w:rsidR="004012FE" w:rsidRPr="00D5464D">
        <w:rPr>
          <w:rFonts w:cs="Arial"/>
          <w:iCs/>
          <w:szCs w:val="20"/>
          <w:lang w:val="pt-BR"/>
        </w:rPr>
        <w:t>a</w:t>
      </w:r>
      <w:r w:rsidR="002C330E" w:rsidRPr="00D5464D">
        <w:rPr>
          <w:rFonts w:cs="Arial"/>
          <w:iCs/>
          <w:szCs w:val="20"/>
          <w:lang w:val="pt-BR"/>
        </w:rPr>
        <w:t xml:space="preserve"> margem </w:t>
      </w:r>
      <w:r w:rsidR="004B0842" w:rsidRPr="00D5464D">
        <w:rPr>
          <w:rFonts w:cs="Arial"/>
          <w:iCs/>
          <w:szCs w:val="20"/>
          <w:lang w:val="pt-BR"/>
        </w:rPr>
        <w:t>de aprecia</w:t>
      </w:r>
      <w:r w:rsidRPr="00D5464D">
        <w:rPr>
          <w:rFonts w:cs="Arial"/>
          <w:iCs/>
          <w:szCs w:val="20"/>
          <w:lang w:val="pt-BR"/>
        </w:rPr>
        <w:t>ção</w:t>
      </w:r>
      <w:r w:rsidR="004B0842" w:rsidRPr="00D5464D">
        <w:rPr>
          <w:rFonts w:cs="Arial"/>
          <w:iCs/>
          <w:szCs w:val="20"/>
          <w:lang w:val="pt-BR"/>
        </w:rPr>
        <w:t xml:space="preserve"> </w:t>
      </w:r>
      <w:r w:rsidRPr="00D5464D">
        <w:rPr>
          <w:rFonts w:cs="Arial"/>
          <w:iCs/>
          <w:szCs w:val="20"/>
          <w:lang w:val="pt-BR"/>
        </w:rPr>
        <w:t xml:space="preserve">do </w:t>
      </w:r>
      <w:r w:rsidR="004B0842" w:rsidRPr="00D5464D">
        <w:rPr>
          <w:rFonts w:cs="Arial"/>
          <w:iCs/>
          <w:szCs w:val="20"/>
          <w:lang w:val="pt-BR"/>
        </w:rPr>
        <w:t xml:space="preserve">Estado. </w:t>
      </w:r>
      <w:r w:rsidRPr="00D5464D">
        <w:rPr>
          <w:rFonts w:cs="Arial"/>
          <w:iCs/>
          <w:szCs w:val="20"/>
          <w:lang w:val="pt-BR"/>
        </w:rPr>
        <w:t>Assim</w:t>
      </w:r>
      <w:r w:rsidR="004B0842" w:rsidRPr="00D5464D">
        <w:rPr>
          <w:rFonts w:cs="Arial"/>
          <w:iCs/>
          <w:szCs w:val="20"/>
          <w:lang w:val="pt-BR"/>
        </w:rPr>
        <w:t>, compete</w:t>
      </w:r>
      <w:r w:rsidR="00E045D9" w:rsidRPr="00D5464D">
        <w:rPr>
          <w:rFonts w:cs="Arial"/>
          <w:iCs/>
          <w:szCs w:val="20"/>
          <w:lang w:val="pt-BR"/>
        </w:rPr>
        <w:t xml:space="preserve"> às </w:t>
      </w:r>
      <w:r w:rsidR="004B0842" w:rsidRPr="00D5464D">
        <w:rPr>
          <w:rFonts w:cs="Arial"/>
          <w:iCs/>
          <w:szCs w:val="20"/>
          <w:lang w:val="pt-BR"/>
        </w:rPr>
        <w:t>autoridades domésticas</w:t>
      </w:r>
      <w:r w:rsidRPr="00D5464D">
        <w:rPr>
          <w:rFonts w:cs="Arial"/>
          <w:iCs/>
          <w:szCs w:val="20"/>
          <w:lang w:val="pt-BR"/>
        </w:rPr>
        <w:t>, e</w:t>
      </w:r>
      <w:r w:rsidR="004B0842" w:rsidRPr="00D5464D">
        <w:rPr>
          <w:rFonts w:cs="Arial"/>
          <w:iCs/>
          <w:szCs w:val="20"/>
          <w:lang w:val="pt-BR"/>
        </w:rPr>
        <w:t xml:space="preserve"> n</w:t>
      </w:r>
      <w:r w:rsidR="004012FE" w:rsidRPr="00D5464D">
        <w:rPr>
          <w:rFonts w:cs="Arial"/>
          <w:iCs/>
          <w:szCs w:val="20"/>
          <w:lang w:val="pt-BR"/>
        </w:rPr>
        <w:t>ã</w:t>
      </w:r>
      <w:r w:rsidR="004B0842" w:rsidRPr="00D5464D">
        <w:rPr>
          <w:rFonts w:cs="Arial"/>
          <w:iCs/>
          <w:szCs w:val="20"/>
          <w:lang w:val="pt-BR"/>
        </w:rPr>
        <w:t>o</w:t>
      </w:r>
      <w:r w:rsidRPr="00D5464D">
        <w:rPr>
          <w:rFonts w:cs="Arial"/>
          <w:iCs/>
          <w:szCs w:val="20"/>
          <w:lang w:val="pt-BR"/>
        </w:rPr>
        <w:t xml:space="preserve"> à </w:t>
      </w:r>
      <w:r w:rsidR="004B0842" w:rsidRPr="00D5464D">
        <w:rPr>
          <w:rFonts w:cs="Arial"/>
          <w:iCs/>
          <w:szCs w:val="20"/>
          <w:lang w:val="pt-BR"/>
        </w:rPr>
        <w:t>Corte, determinar</w:t>
      </w:r>
      <w:r w:rsidR="002C330E" w:rsidRPr="00D5464D">
        <w:rPr>
          <w:rFonts w:cs="Arial"/>
          <w:iCs/>
          <w:szCs w:val="20"/>
          <w:lang w:val="pt-BR"/>
        </w:rPr>
        <w:t xml:space="preserve"> a </w:t>
      </w:r>
      <w:r w:rsidR="004B0842" w:rsidRPr="00D5464D">
        <w:rPr>
          <w:rFonts w:cs="Arial"/>
          <w:iCs/>
          <w:szCs w:val="20"/>
          <w:lang w:val="pt-BR"/>
        </w:rPr>
        <w:t xml:space="preserve">forma de </w:t>
      </w:r>
      <w:r w:rsidRPr="00D5464D">
        <w:rPr>
          <w:rFonts w:cs="Arial"/>
          <w:iCs/>
          <w:szCs w:val="20"/>
          <w:lang w:val="pt-BR"/>
        </w:rPr>
        <w:t xml:space="preserve">cumprimento desta </w:t>
      </w:r>
      <w:r w:rsidR="002C330E" w:rsidRPr="00D5464D">
        <w:rPr>
          <w:rFonts w:cs="Arial"/>
          <w:iCs/>
          <w:szCs w:val="20"/>
          <w:lang w:val="pt-BR"/>
        </w:rPr>
        <w:t>obrigação</w:t>
      </w:r>
      <w:r w:rsidR="004B0842" w:rsidRPr="00D5464D">
        <w:rPr>
          <w:rFonts w:cs="Arial"/>
          <w:iCs/>
          <w:szCs w:val="20"/>
          <w:lang w:val="pt-BR"/>
        </w:rPr>
        <w:t xml:space="preserve">. </w:t>
      </w:r>
      <w:r w:rsidR="00350187" w:rsidRPr="00D5464D">
        <w:rPr>
          <w:rFonts w:cs="Arial"/>
          <w:iCs/>
          <w:szCs w:val="20"/>
          <w:lang w:val="pt-BR"/>
        </w:rPr>
        <w:t xml:space="preserve">Além disso, </w:t>
      </w:r>
      <w:r w:rsidRPr="00D5464D">
        <w:rPr>
          <w:rFonts w:cs="Arial"/>
          <w:iCs/>
          <w:szCs w:val="20"/>
          <w:lang w:val="pt-BR"/>
        </w:rPr>
        <w:t>argumentou</w:t>
      </w:r>
      <w:r w:rsidR="004B0842" w:rsidRPr="00D5464D">
        <w:rPr>
          <w:rFonts w:cs="Arial"/>
          <w:iCs/>
          <w:szCs w:val="20"/>
          <w:lang w:val="pt-BR"/>
        </w:rPr>
        <w:t xml:space="preserve"> que</w:t>
      </w:r>
      <w:r w:rsidR="00D14320" w:rsidRPr="00D5464D">
        <w:rPr>
          <w:rFonts w:cs="Arial"/>
          <w:iCs/>
          <w:szCs w:val="20"/>
          <w:lang w:val="pt-BR"/>
        </w:rPr>
        <w:t xml:space="preserve"> </w:t>
      </w:r>
      <w:r w:rsidR="004B0842" w:rsidRPr="00D5464D">
        <w:rPr>
          <w:rFonts w:cs="Arial"/>
          <w:iCs/>
          <w:szCs w:val="20"/>
          <w:lang w:val="pt-BR"/>
        </w:rPr>
        <w:t>compete</w:t>
      </w:r>
      <w:r w:rsidRPr="00D5464D">
        <w:rPr>
          <w:rFonts w:cs="Arial"/>
          <w:iCs/>
          <w:szCs w:val="20"/>
          <w:lang w:val="pt-BR"/>
        </w:rPr>
        <w:t xml:space="preserve"> </w:t>
      </w:r>
      <w:r w:rsidR="00BD2D19" w:rsidRPr="00D5464D">
        <w:rPr>
          <w:rFonts w:cs="Arial"/>
          <w:iCs/>
          <w:szCs w:val="20"/>
          <w:lang w:val="pt-BR"/>
        </w:rPr>
        <w:t xml:space="preserve">apenas </w:t>
      </w:r>
      <w:r w:rsidRPr="00D5464D">
        <w:rPr>
          <w:rFonts w:cs="Arial"/>
          <w:iCs/>
          <w:szCs w:val="20"/>
          <w:lang w:val="pt-BR"/>
        </w:rPr>
        <w:t xml:space="preserve">ao </w:t>
      </w:r>
      <w:r w:rsidR="004B0842" w:rsidRPr="00D5464D">
        <w:rPr>
          <w:rFonts w:cs="Arial"/>
          <w:iCs/>
          <w:szCs w:val="20"/>
          <w:lang w:val="pt-BR"/>
        </w:rPr>
        <w:t xml:space="preserve">Estado </w:t>
      </w:r>
      <w:r w:rsidR="004012FE" w:rsidRPr="00D5464D">
        <w:rPr>
          <w:rFonts w:cs="Arial"/>
          <w:iCs/>
          <w:szCs w:val="20"/>
          <w:lang w:val="pt-BR"/>
        </w:rPr>
        <w:t xml:space="preserve">elaborar </w:t>
      </w:r>
      <w:r w:rsidR="004B0842" w:rsidRPr="00D5464D">
        <w:rPr>
          <w:rFonts w:cs="Arial"/>
          <w:iCs/>
          <w:szCs w:val="20"/>
          <w:lang w:val="pt-BR"/>
        </w:rPr>
        <w:t>políticas públicas relativas</w:t>
      </w:r>
      <w:r w:rsidRPr="00D5464D">
        <w:rPr>
          <w:rFonts w:cs="Arial"/>
          <w:iCs/>
          <w:szCs w:val="20"/>
          <w:lang w:val="pt-BR"/>
        </w:rPr>
        <w:t xml:space="preserve"> ao </w:t>
      </w:r>
      <w:r w:rsidR="00E765C2" w:rsidRPr="00D5464D">
        <w:rPr>
          <w:rFonts w:cs="Arial"/>
          <w:iCs/>
          <w:szCs w:val="20"/>
          <w:lang w:val="pt-BR"/>
        </w:rPr>
        <w:t>resgate</w:t>
      </w:r>
      <w:r w:rsidR="00E045D9" w:rsidRPr="00D5464D">
        <w:rPr>
          <w:rFonts w:cs="Arial"/>
          <w:iCs/>
          <w:szCs w:val="20"/>
          <w:lang w:val="pt-BR"/>
        </w:rPr>
        <w:t xml:space="preserve"> e reabilitação</w:t>
      </w:r>
      <w:r w:rsidR="004B0842" w:rsidRPr="00D5464D">
        <w:rPr>
          <w:rFonts w:cs="Arial"/>
          <w:iCs/>
          <w:szCs w:val="20"/>
          <w:lang w:val="pt-BR"/>
        </w:rPr>
        <w:t xml:space="preserve"> de </w:t>
      </w:r>
      <w:r w:rsidR="00E045D9" w:rsidRPr="00D5464D">
        <w:rPr>
          <w:rFonts w:cs="Arial"/>
          <w:iCs/>
          <w:szCs w:val="20"/>
          <w:lang w:val="pt-BR"/>
        </w:rPr>
        <w:t>trabalhadores</w:t>
      </w:r>
      <w:r w:rsidR="00A1358C" w:rsidRPr="00D5464D">
        <w:rPr>
          <w:rFonts w:cs="Arial"/>
          <w:iCs/>
          <w:szCs w:val="20"/>
          <w:lang w:val="pt-BR"/>
        </w:rPr>
        <w:t xml:space="preserve">. O </w:t>
      </w:r>
      <w:r w:rsidR="004B0842" w:rsidRPr="00D5464D">
        <w:rPr>
          <w:rFonts w:cs="Arial"/>
          <w:iCs/>
          <w:szCs w:val="20"/>
          <w:lang w:val="pt-BR"/>
        </w:rPr>
        <w:t xml:space="preserve">Estado </w:t>
      </w:r>
      <w:r w:rsidRPr="00D5464D">
        <w:rPr>
          <w:rFonts w:cs="Arial"/>
          <w:iCs/>
          <w:szCs w:val="20"/>
          <w:lang w:val="pt-BR"/>
        </w:rPr>
        <w:t>destacou</w:t>
      </w:r>
      <w:r w:rsidR="004B0842" w:rsidRPr="00D5464D">
        <w:rPr>
          <w:rFonts w:cs="Arial"/>
          <w:iCs/>
          <w:szCs w:val="20"/>
          <w:lang w:val="pt-BR"/>
        </w:rPr>
        <w:t xml:space="preserve"> que</w:t>
      </w:r>
      <w:r w:rsidR="00E045D9" w:rsidRPr="00D5464D">
        <w:rPr>
          <w:rFonts w:cs="Arial"/>
          <w:iCs/>
          <w:szCs w:val="20"/>
          <w:lang w:val="pt-BR"/>
        </w:rPr>
        <w:t xml:space="preserve"> já </w:t>
      </w:r>
      <w:r w:rsidR="004B0842" w:rsidRPr="00D5464D">
        <w:rPr>
          <w:rFonts w:cs="Arial"/>
          <w:iCs/>
          <w:szCs w:val="20"/>
          <w:lang w:val="pt-BR"/>
        </w:rPr>
        <w:t>existe</w:t>
      </w:r>
      <w:r w:rsidR="00E045D9" w:rsidRPr="00D5464D">
        <w:rPr>
          <w:rFonts w:cs="Arial"/>
          <w:iCs/>
          <w:szCs w:val="20"/>
          <w:lang w:val="pt-BR"/>
        </w:rPr>
        <w:t xml:space="preserve"> um </w:t>
      </w:r>
      <w:r w:rsidR="00BD2D19" w:rsidRPr="00D5464D">
        <w:rPr>
          <w:rFonts w:cs="Arial"/>
          <w:iCs/>
          <w:szCs w:val="20"/>
          <w:lang w:val="pt-BR"/>
        </w:rPr>
        <w:t xml:space="preserve">projeto </w:t>
      </w:r>
      <w:r w:rsidR="004B0842" w:rsidRPr="00D5464D">
        <w:rPr>
          <w:rFonts w:cs="Arial"/>
          <w:iCs/>
          <w:szCs w:val="20"/>
          <w:lang w:val="pt-BR"/>
        </w:rPr>
        <w:t>piloto de intermedia</w:t>
      </w:r>
      <w:r w:rsidRPr="00D5464D">
        <w:rPr>
          <w:rFonts w:cs="Arial"/>
          <w:iCs/>
          <w:szCs w:val="20"/>
          <w:lang w:val="pt-BR"/>
        </w:rPr>
        <w:t>ção</w:t>
      </w:r>
      <w:r w:rsidR="004B0842" w:rsidRPr="00D5464D">
        <w:rPr>
          <w:rFonts w:cs="Arial"/>
          <w:iCs/>
          <w:szCs w:val="20"/>
          <w:lang w:val="pt-BR"/>
        </w:rPr>
        <w:t xml:space="preserve"> estatal de </w:t>
      </w:r>
      <w:r w:rsidR="00E045D9" w:rsidRPr="00D5464D">
        <w:rPr>
          <w:rFonts w:cs="Arial"/>
          <w:iCs/>
          <w:szCs w:val="20"/>
          <w:lang w:val="pt-BR"/>
        </w:rPr>
        <w:t>trabalhadores</w:t>
      </w:r>
      <w:r w:rsidR="004B0842" w:rsidRPr="00D5464D">
        <w:rPr>
          <w:rFonts w:cs="Arial"/>
          <w:iCs/>
          <w:szCs w:val="20"/>
          <w:lang w:val="pt-BR"/>
        </w:rPr>
        <w:t xml:space="preserve"> </w:t>
      </w:r>
      <w:r w:rsidR="00E045D9" w:rsidRPr="00D5464D">
        <w:rPr>
          <w:rFonts w:cs="Arial"/>
          <w:iCs/>
          <w:szCs w:val="20"/>
          <w:lang w:val="pt-BR"/>
        </w:rPr>
        <w:t>rurais</w:t>
      </w:r>
      <w:r w:rsidR="004B0842" w:rsidRPr="00D5464D">
        <w:rPr>
          <w:rFonts w:cs="Arial"/>
          <w:iCs/>
          <w:szCs w:val="20"/>
          <w:lang w:val="pt-BR"/>
        </w:rPr>
        <w:t>. Por último</w:t>
      </w:r>
      <w:r w:rsidR="00C176E3" w:rsidRPr="00D5464D">
        <w:rPr>
          <w:rFonts w:cs="Arial"/>
          <w:iCs/>
          <w:szCs w:val="20"/>
          <w:lang w:val="pt-BR"/>
        </w:rPr>
        <w:t>,</w:t>
      </w:r>
      <w:r w:rsidR="004B0842" w:rsidRPr="00D5464D">
        <w:rPr>
          <w:rFonts w:cs="Arial"/>
          <w:iCs/>
          <w:szCs w:val="20"/>
          <w:lang w:val="pt-BR"/>
        </w:rPr>
        <w:t xml:space="preserve"> </w:t>
      </w:r>
      <w:r w:rsidRPr="00D5464D">
        <w:rPr>
          <w:rFonts w:cs="Arial"/>
          <w:iCs/>
          <w:szCs w:val="20"/>
          <w:lang w:val="pt-BR"/>
        </w:rPr>
        <w:t>argumentou</w:t>
      </w:r>
      <w:r w:rsidR="004B0842" w:rsidRPr="00D5464D">
        <w:rPr>
          <w:rFonts w:cs="Arial"/>
          <w:iCs/>
          <w:szCs w:val="20"/>
          <w:lang w:val="pt-BR"/>
        </w:rPr>
        <w:t xml:space="preserve"> que</w:t>
      </w:r>
      <w:r w:rsidRPr="00D5464D">
        <w:rPr>
          <w:rFonts w:cs="Arial"/>
          <w:iCs/>
          <w:szCs w:val="20"/>
          <w:lang w:val="pt-BR"/>
        </w:rPr>
        <w:t xml:space="preserve"> o </w:t>
      </w:r>
      <w:r w:rsidR="004B0842" w:rsidRPr="00D5464D">
        <w:rPr>
          <w:rFonts w:cs="Arial"/>
          <w:iCs/>
          <w:szCs w:val="20"/>
          <w:lang w:val="pt-BR"/>
        </w:rPr>
        <w:t xml:space="preserve">Centro de </w:t>
      </w:r>
      <w:r w:rsidRPr="00D5464D">
        <w:rPr>
          <w:rFonts w:cs="Arial"/>
          <w:iCs/>
          <w:szCs w:val="20"/>
          <w:lang w:val="pt-BR"/>
        </w:rPr>
        <w:t>Atenção</w:t>
      </w:r>
      <w:r w:rsidR="004B0842" w:rsidRPr="00D5464D">
        <w:rPr>
          <w:rFonts w:cs="Arial"/>
          <w:iCs/>
          <w:szCs w:val="20"/>
          <w:lang w:val="pt-BR"/>
        </w:rPr>
        <w:t xml:space="preserve"> a </w:t>
      </w:r>
      <w:r w:rsidR="00E045D9" w:rsidRPr="00D5464D">
        <w:rPr>
          <w:rFonts w:cs="Arial"/>
          <w:iCs/>
          <w:szCs w:val="20"/>
          <w:lang w:val="pt-BR"/>
        </w:rPr>
        <w:t>Trabalhadores</w:t>
      </w:r>
      <w:r w:rsidRPr="00D5464D">
        <w:rPr>
          <w:rFonts w:cs="Arial"/>
          <w:iCs/>
          <w:szCs w:val="20"/>
          <w:lang w:val="pt-BR"/>
        </w:rPr>
        <w:t xml:space="preserve"> em </w:t>
      </w:r>
      <w:r w:rsidR="004B0842" w:rsidRPr="00D5464D">
        <w:rPr>
          <w:rFonts w:cs="Arial"/>
          <w:iCs/>
          <w:szCs w:val="20"/>
          <w:lang w:val="pt-BR"/>
        </w:rPr>
        <w:t>Barras</w:t>
      </w:r>
      <w:r w:rsidR="004012FE" w:rsidRPr="00D5464D">
        <w:rPr>
          <w:rFonts w:cs="Arial"/>
          <w:iCs/>
          <w:szCs w:val="20"/>
          <w:lang w:val="pt-BR"/>
        </w:rPr>
        <w:t>,</w:t>
      </w:r>
      <w:r w:rsidR="004B0842" w:rsidRPr="00D5464D">
        <w:rPr>
          <w:rFonts w:cs="Arial"/>
          <w:iCs/>
          <w:szCs w:val="20"/>
          <w:lang w:val="pt-BR"/>
        </w:rPr>
        <w:t xml:space="preserve"> solicitado</w:t>
      </w:r>
      <w:r w:rsidR="002C330E" w:rsidRPr="00D5464D">
        <w:rPr>
          <w:rFonts w:cs="Arial"/>
          <w:iCs/>
          <w:szCs w:val="20"/>
          <w:lang w:val="pt-BR"/>
        </w:rPr>
        <w:t xml:space="preserve"> </w:t>
      </w:r>
      <w:r w:rsidR="00737270" w:rsidRPr="00D5464D">
        <w:rPr>
          <w:rFonts w:cs="Arial"/>
          <w:iCs/>
          <w:szCs w:val="20"/>
          <w:lang w:val="pt-BR"/>
        </w:rPr>
        <w:t xml:space="preserve">pelos </w:t>
      </w:r>
      <w:r w:rsidR="00EB1CE9" w:rsidRPr="00D5464D">
        <w:rPr>
          <w:rFonts w:cs="Arial"/>
          <w:iCs/>
          <w:szCs w:val="20"/>
          <w:lang w:val="pt-BR"/>
        </w:rPr>
        <w:t>representante</w:t>
      </w:r>
      <w:r w:rsidR="00737270" w:rsidRPr="00D5464D">
        <w:rPr>
          <w:rFonts w:cs="Arial"/>
          <w:iCs/>
          <w:szCs w:val="20"/>
          <w:lang w:val="pt-BR"/>
        </w:rPr>
        <w:t>s</w:t>
      </w:r>
      <w:r w:rsidR="004012FE" w:rsidRPr="00D5464D">
        <w:rPr>
          <w:rFonts w:cs="Arial"/>
          <w:iCs/>
          <w:szCs w:val="20"/>
          <w:lang w:val="pt-BR"/>
        </w:rPr>
        <w:t>,</w:t>
      </w:r>
      <w:r w:rsidR="00737270" w:rsidRPr="00D5464D">
        <w:rPr>
          <w:rFonts w:cs="Arial"/>
          <w:iCs/>
          <w:szCs w:val="20"/>
          <w:lang w:val="pt-BR"/>
        </w:rPr>
        <w:t xml:space="preserve"> </w:t>
      </w:r>
      <w:r w:rsidR="002C330E" w:rsidRPr="00D5464D">
        <w:rPr>
          <w:rFonts w:cs="Arial"/>
          <w:iCs/>
          <w:szCs w:val="20"/>
          <w:lang w:val="pt-BR"/>
        </w:rPr>
        <w:t xml:space="preserve">não possui </w:t>
      </w:r>
      <w:r w:rsidR="004012FE" w:rsidRPr="00D5464D">
        <w:rPr>
          <w:rFonts w:cs="Arial"/>
          <w:iCs/>
          <w:szCs w:val="20"/>
          <w:lang w:val="pt-BR"/>
        </w:rPr>
        <w:t xml:space="preserve">nenhuma </w:t>
      </w:r>
      <w:r w:rsidR="004B0842" w:rsidRPr="00D5464D">
        <w:rPr>
          <w:rFonts w:cs="Arial"/>
          <w:iCs/>
          <w:szCs w:val="20"/>
          <w:lang w:val="pt-BR"/>
        </w:rPr>
        <w:t>rela</w:t>
      </w:r>
      <w:r w:rsidRPr="00D5464D">
        <w:rPr>
          <w:rFonts w:cs="Arial"/>
          <w:iCs/>
          <w:szCs w:val="20"/>
          <w:lang w:val="pt-BR"/>
        </w:rPr>
        <w:t>ção</w:t>
      </w:r>
      <w:r w:rsidR="004B0842" w:rsidRPr="00D5464D">
        <w:rPr>
          <w:rFonts w:cs="Arial"/>
          <w:iCs/>
          <w:szCs w:val="20"/>
          <w:lang w:val="pt-BR"/>
        </w:rPr>
        <w:t xml:space="preserve"> </w:t>
      </w:r>
      <w:r w:rsidRPr="00D5464D">
        <w:rPr>
          <w:rFonts w:cs="Arial"/>
          <w:iCs/>
          <w:szCs w:val="20"/>
          <w:lang w:val="pt-BR"/>
        </w:rPr>
        <w:t>com</w:t>
      </w:r>
      <w:r w:rsidR="002C330E" w:rsidRPr="00D5464D">
        <w:rPr>
          <w:rFonts w:cs="Arial"/>
          <w:iCs/>
          <w:szCs w:val="20"/>
          <w:lang w:val="pt-BR"/>
        </w:rPr>
        <w:t xml:space="preserve"> os fatos</w:t>
      </w:r>
      <w:r w:rsidR="004B0842" w:rsidRPr="00D5464D">
        <w:rPr>
          <w:rFonts w:cs="Arial"/>
          <w:iCs/>
          <w:szCs w:val="20"/>
          <w:lang w:val="pt-BR"/>
        </w:rPr>
        <w:t xml:space="preserve"> </w:t>
      </w:r>
      <w:r w:rsidRPr="00D5464D">
        <w:rPr>
          <w:rFonts w:cs="Arial"/>
          <w:iCs/>
          <w:szCs w:val="20"/>
          <w:lang w:val="pt-BR"/>
        </w:rPr>
        <w:t xml:space="preserve">do </w:t>
      </w:r>
      <w:r w:rsidR="004B0842" w:rsidRPr="00D5464D">
        <w:rPr>
          <w:rFonts w:cs="Arial"/>
          <w:iCs/>
          <w:szCs w:val="20"/>
          <w:lang w:val="pt-BR"/>
        </w:rPr>
        <w:t>caso.</w:t>
      </w:r>
    </w:p>
    <w:p w14:paraId="6E91BFC9" w14:textId="77777777" w:rsidR="00747A03" w:rsidRPr="00D5464D" w:rsidRDefault="00747A03" w:rsidP="00747A03">
      <w:pPr>
        <w:pStyle w:val="Prrafodelista"/>
        <w:autoSpaceDE w:val="0"/>
        <w:autoSpaceDN w:val="0"/>
        <w:adjustRightInd w:val="0"/>
        <w:ind w:left="0"/>
        <w:rPr>
          <w:rFonts w:cs="Arial"/>
          <w:iCs/>
          <w:szCs w:val="20"/>
          <w:lang w:val="pt-BR"/>
        </w:rPr>
      </w:pPr>
    </w:p>
    <w:p w14:paraId="308126CB" w14:textId="76975300" w:rsidR="004B0842" w:rsidRPr="00D5464D" w:rsidRDefault="00470ADC"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O </w:t>
      </w:r>
      <w:r w:rsidR="004B0842" w:rsidRPr="00D5464D">
        <w:rPr>
          <w:rFonts w:cs="Arial"/>
          <w:iCs/>
          <w:szCs w:val="20"/>
          <w:lang w:val="pt-BR"/>
        </w:rPr>
        <w:t xml:space="preserve">Estado </w:t>
      </w:r>
      <w:r w:rsidR="002C330E" w:rsidRPr="00D5464D">
        <w:rPr>
          <w:rFonts w:cs="Arial"/>
          <w:iCs/>
          <w:szCs w:val="20"/>
          <w:lang w:val="pt-BR"/>
        </w:rPr>
        <w:t>afirmou</w:t>
      </w:r>
      <w:r w:rsidR="004B0842" w:rsidRPr="00D5464D">
        <w:rPr>
          <w:rFonts w:cs="Arial"/>
          <w:iCs/>
          <w:szCs w:val="20"/>
          <w:lang w:val="pt-BR"/>
        </w:rPr>
        <w:t xml:space="preserve"> que</w:t>
      </w:r>
      <w:r w:rsidR="002C330E" w:rsidRPr="00D5464D">
        <w:rPr>
          <w:rFonts w:cs="Arial"/>
          <w:iCs/>
          <w:szCs w:val="20"/>
          <w:lang w:val="pt-BR"/>
        </w:rPr>
        <w:t xml:space="preserve"> a </w:t>
      </w:r>
      <w:r w:rsidR="004B0842" w:rsidRPr="00D5464D">
        <w:rPr>
          <w:rFonts w:cs="Arial"/>
          <w:iCs/>
          <w:szCs w:val="20"/>
          <w:lang w:val="pt-BR"/>
        </w:rPr>
        <w:t xml:space="preserve">“Lista Suja” se </w:t>
      </w:r>
      <w:r w:rsidRPr="00D5464D">
        <w:rPr>
          <w:rFonts w:cs="Arial"/>
          <w:iCs/>
          <w:szCs w:val="20"/>
          <w:lang w:val="pt-BR"/>
        </w:rPr>
        <w:t>encontra atual</w:t>
      </w:r>
      <w:r w:rsidR="004B0842" w:rsidRPr="00D5464D">
        <w:rPr>
          <w:rFonts w:cs="Arial"/>
          <w:iCs/>
          <w:szCs w:val="20"/>
          <w:lang w:val="pt-BR"/>
        </w:rPr>
        <w:t>mente suspen</w:t>
      </w:r>
      <w:r w:rsidR="004012FE" w:rsidRPr="00D5464D">
        <w:rPr>
          <w:rFonts w:cs="Arial"/>
          <w:iCs/>
          <w:szCs w:val="20"/>
          <w:lang w:val="pt-BR"/>
        </w:rPr>
        <w:t>sa,</w:t>
      </w:r>
      <w:r w:rsidR="002C330E" w:rsidRPr="00D5464D">
        <w:rPr>
          <w:rFonts w:cs="Arial"/>
          <w:iCs/>
          <w:szCs w:val="20"/>
          <w:lang w:val="pt-BR"/>
        </w:rPr>
        <w:t xml:space="preserve"> pois </w:t>
      </w:r>
      <w:r w:rsidR="004B0842" w:rsidRPr="00D5464D">
        <w:rPr>
          <w:rFonts w:cs="Arial"/>
          <w:iCs/>
          <w:szCs w:val="20"/>
          <w:lang w:val="pt-BR"/>
        </w:rPr>
        <w:t xml:space="preserve">está </w:t>
      </w:r>
      <w:r w:rsidR="002C330E" w:rsidRPr="00D5464D">
        <w:rPr>
          <w:rFonts w:cs="Arial"/>
          <w:iCs/>
          <w:szCs w:val="20"/>
          <w:lang w:val="pt-BR"/>
        </w:rPr>
        <w:t>pendente</w:t>
      </w:r>
      <w:r w:rsidR="00E045D9" w:rsidRPr="00D5464D">
        <w:rPr>
          <w:rFonts w:cs="Arial"/>
          <w:iCs/>
          <w:szCs w:val="20"/>
          <w:lang w:val="pt-BR"/>
        </w:rPr>
        <w:t xml:space="preserve"> uma </w:t>
      </w:r>
      <w:r w:rsidRPr="00D5464D">
        <w:rPr>
          <w:rFonts w:cs="Arial"/>
          <w:iCs/>
          <w:szCs w:val="20"/>
          <w:lang w:val="pt-BR"/>
        </w:rPr>
        <w:t>decisão</w:t>
      </w:r>
      <w:r w:rsidR="004B0842" w:rsidRPr="00D5464D">
        <w:rPr>
          <w:rFonts w:cs="Arial"/>
          <w:iCs/>
          <w:szCs w:val="20"/>
          <w:lang w:val="pt-BR"/>
        </w:rPr>
        <w:t xml:space="preserve"> </w:t>
      </w:r>
      <w:r w:rsidRPr="00D5464D">
        <w:rPr>
          <w:rFonts w:cs="Arial"/>
          <w:iCs/>
          <w:szCs w:val="20"/>
          <w:lang w:val="pt-BR"/>
        </w:rPr>
        <w:t xml:space="preserve">do </w:t>
      </w:r>
      <w:r w:rsidR="004B0842" w:rsidRPr="00D5464D">
        <w:rPr>
          <w:rFonts w:cs="Arial"/>
          <w:iCs/>
          <w:szCs w:val="20"/>
          <w:lang w:val="pt-BR"/>
        </w:rPr>
        <w:t>Supremo Tribunal Feder</w:t>
      </w:r>
      <w:r w:rsidR="004012FE" w:rsidRPr="00D5464D">
        <w:rPr>
          <w:rFonts w:cs="Arial"/>
          <w:iCs/>
          <w:szCs w:val="20"/>
          <w:lang w:val="pt-BR"/>
        </w:rPr>
        <w:t xml:space="preserve">al </w:t>
      </w:r>
      <w:r w:rsidR="00BD2D19" w:rsidRPr="00D5464D">
        <w:rPr>
          <w:rFonts w:cs="Arial"/>
          <w:iCs/>
          <w:szCs w:val="20"/>
          <w:lang w:val="pt-BR"/>
        </w:rPr>
        <w:t>a</w:t>
      </w:r>
      <w:r w:rsidR="004012FE" w:rsidRPr="00D5464D">
        <w:rPr>
          <w:rFonts w:cs="Arial"/>
          <w:iCs/>
          <w:szCs w:val="20"/>
          <w:lang w:val="pt-BR"/>
        </w:rPr>
        <w:t xml:space="preserve"> </w:t>
      </w:r>
      <w:r w:rsidR="00737270" w:rsidRPr="00D5464D">
        <w:rPr>
          <w:rFonts w:cs="Arial"/>
          <w:iCs/>
          <w:szCs w:val="20"/>
          <w:lang w:val="pt-BR"/>
        </w:rPr>
        <w:t>respeito</w:t>
      </w:r>
      <w:r w:rsidR="004B0842" w:rsidRPr="00D5464D">
        <w:rPr>
          <w:rFonts w:cs="Arial"/>
          <w:iCs/>
          <w:szCs w:val="20"/>
          <w:lang w:val="pt-BR"/>
        </w:rPr>
        <w:t xml:space="preserve"> </w:t>
      </w:r>
      <w:r w:rsidR="00BD2D19" w:rsidRPr="00D5464D">
        <w:rPr>
          <w:rFonts w:cs="Arial"/>
          <w:iCs/>
          <w:szCs w:val="20"/>
          <w:lang w:val="pt-BR"/>
        </w:rPr>
        <w:t>da</w:t>
      </w:r>
      <w:r w:rsidR="004012FE" w:rsidRPr="00D5464D">
        <w:rPr>
          <w:rFonts w:cs="Arial"/>
          <w:iCs/>
          <w:szCs w:val="20"/>
          <w:lang w:val="pt-BR"/>
        </w:rPr>
        <w:t xml:space="preserve"> s</w:t>
      </w:r>
      <w:r w:rsidR="004B0842" w:rsidRPr="00D5464D">
        <w:rPr>
          <w:rFonts w:cs="Arial"/>
          <w:iCs/>
          <w:szCs w:val="20"/>
          <w:lang w:val="pt-BR"/>
        </w:rPr>
        <w:t>u</w:t>
      </w:r>
      <w:r w:rsidR="004012FE" w:rsidRPr="00D5464D">
        <w:rPr>
          <w:rFonts w:cs="Arial"/>
          <w:iCs/>
          <w:szCs w:val="20"/>
          <w:lang w:val="pt-BR"/>
        </w:rPr>
        <w:t>a</w:t>
      </w:r>
      <w:r w:rsidR="004B0842" w:rsidRPr="00D5464D">
        <w:rPr>
          <w:rFonts w:cs="Arial"/>
          <w:iCs/>
          <w:szCs w:val="20"/>
          <w:lang w:val="pt-BR"/>
        </w:rPr>
        <w:t xml:space="preserve"> constitucion</w:t>
      </w:r>
      <w:r w:rsidR="00E765C2" w:rsidRPr="00D5464D">
        <w:rPr>
          <w:rFonts w:cs="Arial"/>
          <w:iCs/>
          <w:szCs w:val="20"/>
          <w:lang w:val="pt-BR"/>
        </w:rPr>
        <w:t>alidade.</w:t>
      </w:r>
      <w:r w:rsidR="004B0842" w:rsidRPr="00D5464D">
        <w:rPr>
          <w:rFonts w:cs="Arial"/>
          <w:iCs/>
          <w:szCs w:val="20"/>
          <w:lang w:val="pt-BR"/>
        </w:rPr>
        <w:t xml:space="preserve"> </w:t>
      </w:r>
      <w:r w:rsidR="00230C71" w:rsidRPr="00D5464D">
        <w:rPr>
          <w:rFonts w:cs="Arial"/>
          <w:iCs/>
          <w:szCs w:val="20"/>
          <w:lang w:val="pt-BR"/>
        </w:rPr>
        <w:t>Acrescentou</w:t>
      </w:r>
      <w:r w:rsidR="004B0842" w:rsidRPr="00D5464D">
        <w:rPr>
          <w:rFonts w:cs="Arial"/>
          <w:iCs/>
          <w:szCs w:val="20"/>
          <w:lang w:val="pt-BR"/>
        </w:rPr>
        <w:t xml:space="preserve"> que</w:t>
      </w:r>
      <w:r w:rsidR="00DB5A03" w:rsidRPr="00D5464D">
        <w:rPr>
          <w:rFonts w:cs="Arial"/>
          <w:iCs/>
          <w:szCs w:val="20"/>
          <w:lang w:val="pt-BR"/>
        </w:rPr>
        <w:t>,</w:t>
      </w:r>
      <w:r w:rsidRPr="00D5464D">
        <w:rPr>
          <w:rFonts w:cs="Arial"/>
          <w:iCs/>
          <w:szCs w:val="20"/>
          <w:lang w:val="pt-BR"/>
        </w:rPr>
        <w:t xml:space="preserve"> em </w:t>
      </w:r>
      <w:r w:rsidR="00737270" w:rsidRPr="00D5464D">
        <w:rPr>
          <w:rFonts w:cs="Arial"/>
          <w:iCs/>
          <w:szCs w:val="20"/>
          <w:lang w:val="pt-BR"/>
        </w:rPr>
        <w:t>sua opinião</w:t>
      </w:r>
      <w:r w:rsidR="00DB5A03" w:rsidRPr="00D5464D">
        <w:rPr>
          <w:rFonts w:cs="Arial"/>
          <w:iCs/>
          <w:szCs w:val="20"/>
          <w:lang w:val="pt-BR"/>
        </w:rPr>
        <w:t>,</w:t>
      </w:r>
      <w:r w:rsidR="002C330E" w:rsidRPr="00D5464D">
        <w:rPr>
          <w:rFonts w:cs="Arial"/>
          <w:iCs/>
          <w:szCs w:val="20"/>
          <w:lang w:val="pt-BR"/>
        </w:rPr>
        <w:t xml:space="preserve"> a </w:t>
      </w:r>
      <w:r w:rsidR="004B0842" w:rsidRPr="00D5464D">
        <w:rPr>
          <w:rFonts w:cs="Arial"/>
          <w:iCs/>
          <w:szCs w:val="20"/>
          <w:lang w:val="pt-BR"/>
        </w:rPr>
        <w:t>“Lista Suja”</w:t>
      </w:r>
      <w:r w:rsidRPr="00D5464D">
        <w:rPr>
          <w:rFonts w:cs="Arial"/>
          <w:iCs/>
          <w:szCs w:val="20"/>
          <w:lang w:val="pt-BR"/>
        </w:rPr>
        <w:t xml:space="preserve"> é compatível com</w:t>
      </w:r>
      <w:r w:rsidR="002C330E" w:rsidRPr="00D5464D">
        <w:rPr>
          <w:rFonts w:cs="Arial"/>
          <w:iCs/>
          <w:szCs w:val="20"/>
          <w:lang w:val="pt-BR"/>
        </w:rPr>
        <w:t xml:space="preserve"> a </w:t>
      </w:r>
      <w:r w:rsidR="004012FE" w:rsidRPr="00D5464D">
        <w:rPr>
          <w:rFonts w:cs="Arial"/>
          <w:iCs/>
          <w:szCs w:val="20"/>
          <w:lang w:val="pt-BR"/>
        </w:rPr>
        <w:t>C</w:t>
      </w:r>
      <w:r w:rsidR="004B0842" w:rsidRPr="00D5464D">
        <w:rPr>
          <w:rFonts w:cs="Arial"/>
          <w:iCs/>
          <w:szCs w:val="20"/>
          <w:lang w:val="pt-BR"/>
        </w:rPr>
        <w:t>onven</w:t>
      </w:r>
      <w:r w:rsidRPr="00D5464D">
        <w:rPr>
          <w:rFonts w:cs="Arial"/>
          <w:iCs/>
          <w:szCs w:val="20"/>
          <w:lang w:val="pt-BR"/>
        </w:rPr>
        <w:t>ção</w:t>
      </w:r>
      <w:r w:rsidR="004B0842" w:rsidRPr="00D5464D">
        <w:rPr>
          <w:rFonts w:cs="Arial"/>
          <w:iCs/>
          <w:szCs w:val="20"/>
          <w:lang w:val="pt-BR"/>
        </w:rPr>
        <w:t xml:space="preserve"> Americana,</w:t>
      </w:r>
      <w:r w:rsidR="002C330E" w:rsidRPr="00D5464D">
        <w:rPr>
          <w:rFonts w:cs="Arial"/>
          <w:iCs/>
          <w:szCs w:val="20"/>
          <w:lang w:val="pt-BR"/>
        </w:rPr>
        <w:t xml:space="preserve"> </w:t>
      </w:r>
      <w:r w:rsidR="00350187" w:rsidRPr="00D5464D">
        <w:rPr>
          <w:rFonts w:cs="Arial"/>
          <w:iCs/>
          <w:szCs w:val="20"/>
          <w:lang w:val="pt-BR"/>
        </w:rPr>
        <w:t>entretanto</w:t>
      </w:r>
      <w:r w:rsidR="004B0842" w:rsidRPr="00D5464D">
        <w:rPr>
          <w:rFonts w:cs="Arial"/>
          <w:iCs/>
          <w:szCs w:val="20"/>
          <w:lang w:val="pt-BR"/>
        </w:rPr>
        <w:t xml:space="preserve"> </w:t>
      </w:r>
      <w:r w:rsidR="002C330E" w:rsidRPr="00D5464D">
        <w:rPr>
          <w:rFonts w:cs="Arial"/>
          <w:iCs/>
          <w:szCs w:val="20"/>
          <w:lang w:val="pt-BR"/>
        </w:rPr>
        <w:t>solicitou</w:t>
      </w:r>
      <w:r w:rsidRPr="00D5464D">
        <w:rPr>
          <w:rFonts w:cs="Arial"/>
          <w:iCs/>
          <w:szCs w:val="20"/>
          <w:lang w:val="pt-BR"/>
        </w:rPr>
        <w:t xml:space="preserve"> à </w:t>
      </w:r>
      <w:r w:rsidR="004B0842" w:rsidRPr="00D5464D">
        <w:rPr>
          <w:rFonts w:cs="Arial"/>
          <w:iCs/>
          <w:szCs w:val="20"/>
          <w:lang w:val="pt-BR"/>
        </w:rPr>
        <w:t>Corte n</w:t>
      </w:r>
      <w:r w:rsidR="004012FE" w:rsidRPr="00D5464D">
        <w:rPr>
          <w:rFonts w:cs="Arial"/>
          <w:iCs/>
          <w:szCs w:val="20"/>
          <w:lang w:val="pt-BR"/>
        </w:rPr>
        <w:t>ã</w:t>
      </w:r>
      <w:r w:rsidR="004B0842" w:rsidRPr="00D5464D">
        <w:rPr>
          <w:rFonts w:cs="Arial"/>
          <w:iCs/>
          <w:szCs w:val="20"/>
          <w:lang w:val="pt-BR"/>
        </w:rPr>
        <w:t xml:space="preserve">o </w:t>
      </w:r>
      <w:r w:rsidR="00737270" w:rsidRPr="00D5464D">
        <w:rPr>
          <w:rFonts w:cs="Arial"/>
          <w:iCs/>
          <w:szCs w:val="20"/>
          <w:lang w:val="pt-BR"/>
        </w:rPr>
        <w:t>impor</w:t>
      </w:r>
      <w:r w:rsidRPr="00D5464D">
        <w:rPr>
          <w:rFonts w:cs="Arial"/>
          <w:iCs/>
          <w:szCs w:val="20"/>
          <w:lang w:val="pt-BR"/>
        </w:rPr>
        <w:t xml:space="preserve"> ao </w:t>
      </w:r>
      <w:r w:rsidR="00EB1CE9" w:rsidRPr="00D5464D">
        <w:rPr>
          <w:rFonts w:cs="Arial"/>
          <w:iCs/>
          <w:szCs w:val="20"/>
          <w:lang w:val="pt-BR"/>
        </w:rPr>
        <w:t>Poder Judiciário</w:t>
      </w:r>
      <w:r w:rsidR="004B0842" w:rsidRPr="00D5464D">
        <w:rPr>
          <w:rFonts w:cs="Arial"/>
          <w:iCs/>
          <w:szCs w:val="20"/>
          <w:lang w:val="pt-BR"/>
        </w:rPr>
        <w:t xml:space="preserve"> </w:t>
      </w:r>
      <w:r w:rsidRPr="00D5464D">
        <w:rPr>
          <w:rFonts w:cs="Arial"/>
          <w:iCs/>
          <w:szCs w:val="20"/>
          <w:lang w:val="pt-BR"/>
        </w:rPr>
        <w:t>brasileir</w:t>
      </w:r>
      <w:r w:rsidR="004B0842" w:rsidRPr="00D5464D">
        <w:rPr>
          <w:rFonts w:cs="Arial"/>
          <w:iCs/>
          <w:szCs w:val="20"/>
          <w:lang w:val="pt-BR"/>
        </w:rPr>
        <w:t xml:space="preserve">o </w:t>
      </w:r>
      <w:r w:rsidR="002C330E" w:rsidRPr="00D5464D">
        <w:rPr>
          <w:rFonts w:cs="Arial"/>
          <w:iCs/>
          <w:szCs w:val="20"/>
          <w:lang w:val="pt-BR"/>
        </w:rPr>
        <w:t>nenhuma</w:t>
      </w:r>
      <w:r w:rsidR="004B0842" w:rsidRPr="00D5464D">
        <w:rPr>
          <w:rFonts w:cs="Arial"/>
          <w:iCs/>
          <w:szCs w:val="20"/>
          <w:lang w:val="pt-BR"/>
        </w:rPr>
        <w:t xml:space="preserve"> </w:t>
      </w:r>
      <w:r w:rsidRPr="00D5464D">
        <w:rPr>
          <w:rFonts w:cs="Arial"/>
          <w:iCs/>
          <w:szCs w:val="20"/>
          <w:lang w:val="pt-BR"/>
        </w:rPr>
        <w:t>decisão</w:t>
      </w:r>
      <w:r w:rsidR="00E045D9" w:rsidRPr="00D5464D">
        <w:rPr>
          <w:rFonts w:cs="Arial"/>
          <w:iCs/>
          <w:szCs w:val="20"/>
          <w:lang w:val="pt-BR"/>
        </w:rPr>
        <w:t xml:space="preserve"> </w:t>
      </w:r>
      <w:r w:rsidR="004012FE" w:rsidRPr="00D5464D">
        <w:rPr>
          <w:rFonts w:cs="Arial"/>
          <w:iCs/>
          <w:szCs w:val="20"/>
          <w:lang w:val="pt-BR"/>
        </w:rPr>
        <w:t xml:space="preserve">em razão do </w:t>
      </w:r>
      <w:r w:rsidR="002C330E" w:rsidRPr="00D5464D">
        <w:rPr>
          <w:rFonts w:cs="Arial"/>
          <w:iCs/>
          <w:szCs w:val="20"/>
          <w:lang w:val="pt-BR"/>
        </w:rPr>
        <w:t>processo</w:t>
      </w:r>
      <w:r w:rsidR="004B0842" w:rsidRPr="00D5464D">
        <w:rPr>
          <w:rFonts w:cs="Arial"/>
          <w:iCs/>
          <w:szCs w:val="20"/>
          <w:lang w:val="pt-BR"/>
        </w:rPr>
        <w:t xml:space="preserve"> de </w:t>
      </w:r>
      <w:r w:rsidRPr="00D5464D">
        <w:rPr>
          <w:rFonts w:cs="Arial"/>
          <w:iCs/>
          <w:szCs w:val="20"/>
          <w:lang w:val="pt-BR"/>
        </w:rPr>
        <w:t xml:space="preserve">constitucionalidade </w:t>
      </w:r>
      <w:r w:rsidR="002C330E" w:rsidRPr="00D5464D">
        <w:rPr>
          <w:rFonts w:cs="Arial"/>
          <w:iCs/>
          <w:szCs w:val="20"/>
          <w:lang w:val="pt-BR"/>
        </w:rPr>
        <w:t>pendente</w:t>
      </w:r>
      <w:r w:rsidR="004B0842" w:rsidRPr="00D5464D">
        <w:rPr>
          <w:rFonts w:cs="Arial"/>
          <w:iCs/>
          <w:szCs w:val="20"/>
          <w:lang w:val="pt-BR"/>
        </w:rPr>
        <w:t>.</w:t>
      </w:r>
    </w:p>
    <w:p w14:paraId="7A223780" w14:textId="77777777" w:rsidR="00747A03" w:rsidRPr="00D5464D" w:rsidRDefault="00747A03" w:rsidP="00747A03">
      <w:pPr>
        <w:pStyle w:val="Prrafodelista"/>
        <w:autoSpaceDE w:val="0"/>
        <w:autoSpaceDN w:val="0"/>
        <w:adjustRightInd w:val="0"/>
        <w:ind w:left="0"/>
        <w:rPr>
          <w:rFonts w:cs="Arial"/>
          <w:iCs/>
          <w:szCs w:val="20"/>
          <w:lang w:val="pt-BR"/>
        </w:rPr>
      </w:pPr>
    </w:p>
    <w:p w14:paraId="2CA2A948" w14:textId="1C7503A1" w:rsidR="00795D2F" w:rsidRPr="00D5464D" w:rsidRDefault="00470ADC" w:rsidP="00795D2F">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A </w:t>
      </w:r>
      <w:r w:rsidR="00795D2F" w:rsidRPr="00D5464D">
        <w:rPr>
          <w:rFonts w:cs="Arial"/>
          <w:iCs/>
          <w:szCs w:val="20"/>
          <w:lang w:val="pt-BR"/>
        </w:rPr>
        <w:t xml:space="preserve">Corte </w:t>
      </w:r>
      <w:r w:rsidR="00A43986" w:rsidRPr="00D5464D">
        <w:rPr>
          <w:rFonts w:cs="Arial"/>
          <w:iCs/>
          <w:szCs w:val="20"/>
          <w:lang w:val="pt-BR"/>
        </w:rPr>
        <w:t>considera</w:t>
      </w:r>
      <w:r w:rsidR="00795D2F" w:rsidRPr="00D5464D">
        <w:rPr>
          <w:rFonts w:cs="Arial"/>
          <w:iCs/>
          <w:szCs w:val="20"/>
          <w:lang w:val="pt-BR"/>
        </w:rPr>
        <w:t xml:space="preserve"> que </w:t>
      </w:r>
      <w:r w:rsidR="00E045D9" w:rsidRPr="00D5464D">
        <w:rPr>
          <w:rFonts w:cs="Arial"/>
          <w:iCs/>
          <w:szCs w:val="20"/>
          <w:lang w:val="pt-BR"/>
        </w:rPr>
        <w:t>ainda</w:t>
      </w:r>
      <w:r w:rsidR="00795D2F" w:rsidRPr="00D5464D">
        <w:rPr>
          <w:rFonts w:cs="Arial"/>
          <w:iCs/>
          <w:szCs w:val="20"/>
          <w:lang w:val="pt-BR"/>
        </w:rPr>
        <w:t xml:space="preserve"> </w:t>
      </w:r>
      <w:r w:rsidRPr="00D5464D">
        <w:rPr>
          <w:rFonts w:cs="Arial"/>
          <w:iCs/>
          <w:szCs w:val="20"/>
          <w:lang w:val="pt-BR"/>
        </w:rPr>
        <w:t>existem</w:t>
      </w:r>
      <w:r w:rsidR="00795D2F" w:rsidRPr="00D5464D">
        <w:rPr>
          <w:rFonts w:cs="Arial"/>
          <w:iCs/>
          <w:szCs w:val="20"/>
          <w:lang w:val="pt-BR"/>
        </w:rPr>
        <w:t xml:space="preserve"> </w:t>
      </w:r>
      <w:r w:rsidRPr="00D5464D">
        <w:rPr>
          <w:rFonts w:cs="Arial"/>
          <w:iCs/>
          <w:szCs w:val="20"/>
          <w:lang w:val="pt-BR"/>
        </w:rPr>
        <w:t xml:space="preserve">alguns </w:t>
      </w:r>
      <w:r w:rsidR="00795D2F" w:rsidRPr="00D5464D">
        <w:rPr>
          <w:rFonts w:cs="Arial"/>
          <w:iCs/>
          <w:szCs w:val="20"/>
          <w:lang w:val="pt-BR"/>
        </w:rPr>
        <w:t>obstáculos</w:t>
      </w:r>
      <w:r w:rsidR="00E045D9" w:rsidRPr="00D5464D">
        <w:rPr>
          <w:rFonts w:cs="Arial"/>
          <w:iCs/>
          <w:szCs w:val="20"/>
          <w:lang w:val="pt-BR"/>
        </w:rPr>
        <w:t xml:space="preserve"> </w:t>
      </w:r>
      <w:r w:rsidR="00BD2D19" w:rsidRPr="00D5464D">
        <w:rPr>
          <w:rFonts w:cs="Arial"/>
          <w:iCs/>
          <w:szCs w:val="20"/>
          <w:lang w:val="pt-BR"/>
        </w:rPr>
        <w:t>para o</w:t>
      </w:r>
      <w:r w:rsidR="00E045D9" w:rsidRPr="00D5464D">
        <w:rPr>
          <w:rFonts w:cs="Arial"/>
          <w:iCs/>
          <w:szCs w:val="20"/>
          <w:lang w:val="pt-BR"/>
        </w:rPr>
        <w:t xml:space="preserve"> </w:t>
      </w:r>
      <w:r w:rsidR="00795D2F" w:rsidRPr="00D5464D">
        <w:rPr>
          <w:rFonts w:cs="Arial"/>
          <w:iCs/>
          <w:szCs w:val="20"/>
          <w:lang w:val="pt-BR"/>
        </w:rPr>
        <w:t>combate</w:t>
      </w:r>
      <w:r w:rsidRPr="00D5464D">
        <w:rPr>
          <w:rFonts w:cs="Arial"/>
          <w:iCs/>
          <w:szCs w:val="20"/>
          <w:lang w:val="pt-BR"/>
        </w:rPr>
        <w:t xml:space="preserve"> ao </w:t>
      </w:r>
      <w:r w:rsidR="00E045D9" w:rsidRPr="00D5464D">
        <w:rPr>
          <w:rFonts w:cs="Arial"/>
          <w:iCs/>
          <w:szCs w:val="20"/>
          <w:lang w:val="pt-BR"/>
        </w:rPr>
        <w:t>trabalho</w:t>
      </w:r>
      <w:r w:rsidR="001B63D0" w:rsidRPr="00D5464D">
        <w:rPr>
          <w:rFonts w:cs="Arial"/>
          <w:iCs/>
          <w:szCs w:val="20"/>
          <w:lang w:val="pt-BR"/>
        </w:rPr>
        <w:t xml:space="preserve"> </w:t>
      </w:r>
      <w:r w:rsidR="00230C71" w:rsidRPr="00D5464D">
        <w:rPr>
          <w:rFonts w:cs="Arial"/>
          <w:iCs/>
          <w:szCs w:val="20"/>
          <w:lang w:val="pt-BR"/>
        </w:rPr>
        <w:t>forçado</w:t>
      </w:r>
      <w:r w:rsidR="006665EF" w:rsidRPr="00D5464D">
        <w:rPr>
          <w:rFonts w:cs="Arial"/>
          <w:iCs/>
          <w:szCs w:val="20"/>
          <w:lang w:val="pt-BR"/>
        </w:rPr>
        <w:t xml:space="preserve"> no Brasil</w:t>
      </w:r>
      <w:r w:rsidR="00795D2F" w:rsidRPr="00D5464D">
        <w:rPr>
          <w:rFonts w:cs="Arial"/>
          <w:iCs/>
          <w:szCs w:val="20"/>
          <w:lang w:val="pt-BR"/>
        </w:rPr>
        <w:t xml:space="preserve">. </w:t>
      </w:r>
      <w:r w:rsidRPr="00D5464D">
        <w:rPr>
          <w:rFonts w:cs="Arial"/>
          <w:iCs/>
          <w:szCs w:val="20"/>
          <w:lang w:val="pt-BR"/>
        </w:rPr>
        <w:t>Assim</w:t>
      </w:r>
      <w:r w:rsidR="00EB1CE9" w:rsidRPr="00D5464D">
        <w:rPr>
          <w:rFonts w:cs="Arial"/>
          <w:iCs/>
          <w:szCs w:val="20"/>
          <w:lang w:val="pt-BR"/>
        </w:rPr>
        <w:t xml:space="preserve">, por </w:t>
      </w:r>
      <w:r w:rsidRPr="00D5464D">
        <w:rPr>
          <w:rFonts w:cs="Arial"/>
          <w:iCs/>
          <w:szCs w:val="20"/>
          <w:lang w:val="pt-BR"/>
        </w:rPr>
        <w:t>exemplo</w:t>
      </w:r>
      <w:r w:rsidR="00795D2F" w:rsidRPr="00D5464D">
        <w:rPr>
          <w:rFonts w:cs="Arial"/>
          <w:iCs/>
          <w:szCs w:val="20"/>
          <w:lang w:val="pt-BR"/>
        </w:rPr>
        <w:t xml:space="preserve">: </w:t>
      </w:r>
    </w:p>
    <w:p w14:paraId="62B53643" w14:textId="77777777" w:rsidR="00FF28D6" w:rsidRPr="00D5464D" w:rsidRDefault="00FF28D6" w:rsidP="00C176E3">
      <w:pPr>
        <w:pStyle w:val="Prrafodelista"/>
        <w:autoSpaceDE w:val="0"/>
        <w:autoSpaceDN w:val="0"/>
        <w:adjustRightInd w:val="0"/>
        <w:contextualSpacing w:val="0"/>
        <w:rPr>
          <w:rFonts w:cs="Arial"/>
          <w:iCs/>
          <w:szCs w:val="20"/>
          <w:lang w:val="pt-BR"/>
        </w:rPr>
      </w:pPr>
    </w:p>
    <w:p w14:paraId="31507D19" w14:textId="5018F66D" w:rsidR="00747A03" w:rsidRPr="00D5464D" w:rsidRDefault="00470ADC" w:rsidP="00F306D7">
      <w:pPr>
        <w:pStyle w:val="Prrafodelista"/>
        <w:numPr>
          <w:ilvl w:val="0"/>
          <w:numId w:val="13"/>
        </w:numPr>
        <w:autoSpaceDE w:val="0"/>
        <w:autoSpaceDN w:val="0"/>
        <w:adjustRightInd w:val="0"/>
        <w:spacing w:after="120"/>
        <w:ind w:hanging="11"/>
        <w:contextualSpacing w:val="0"/>
        <w:rPr>
          <w:rFonts w:cs="Arial"/>
          <w:iCs/>
          <w:szCs w:val="20"/>
          <w:lang w:val="pt-BR"/>
        </w:rPr>
      </w:pPr>
      <w:r w:rsidRPr="00D5464D">
        <w:rPr>
          <w:rFonts w:cs="Arial"/>
          <w:iCs/>
          <w:szCs w:val="20"/>
          <w:lang w:val="pt-BR"/>
        </w:rPr>
        <w:t xml:space="preserve">O </w:t>
      </w:r>
      <w:r w:rsidR="00795D2F" w:rsidRPr="00D5464D">
        <w:rPr>
          <w:rFonts w:cs="Arial"/>
          <w:iCs/>
          <w:szCs w:val="20"/>
          <w:lang w:val="pt-BR"/>
        </w:rPr>
        <w:t xml:space="preserve">Estado </w:t>
      </w:r>
      <w:r w:rsidRPr="00D5464D">
        <w:rPr>
          <w:rFonts w:cs="Arial"/>
          <w:iCs/>
          <w:szCs w:val="20"/>
          <w:lang w:val="pt-BR"/>
        </w:rPr>
        <w:t>Brasileir</w:t>
      </w:r>
      <w:r w:rsidR="00795D2F" w:rsidRPr="00D5464D">
        <w:rPr>
          <w:rFonts w:cs="Arial"/>
          <w:iCs/>
          <w:szCs w:val="20"/>
          <w:lang w:val="pt-BR"/>
        </w:rPr>
        <w:t xml:space="preserve">o </w:t>
      </w:r>
      <w:r w:rsidR="00FF28D6" w:rsidRPr="00D5464D">
        <w:rPr>
          <w:rFonts w:cs="Arial"/>
          <w:iCs/>
          <w:szCs w:val="20"/>
          <w:lang w:val="pt-BR"/>
        </w:rPr>
        <w:t xml:space="preserve">enfrentou </w:t>
      </w:r>
      <w:r w:rsidR="00795D2F" w:rsidRPr="00D5464D">
        <w:rPr>
          <w:rFonts w:cs="Arial"/>
          <w:iCs/>
          <w:szCs w:val="20"/>
          <w:lang w:val="pt-BR"/>
        </w:rPr>
        <w:t>obstáculos</w:t>
      </w:r>
      <w:r w:rsidRPr="00D5464D">
        <w:rPr>
          <w:rFonts w:cs="Arial"/>
          <w:iCs/>
          <w:szCs w:val="20"/>
          <w:lang w:val="pt-BR"/>
        </w:rPr>
        <w:t xml:space="preserve"> ao </w:t>
      </w:r>
      <w:r w:rsidR="00FF28D6" w:rsidRPr="00D5464D">
        <w:rPr>
          <w:rFonts w:cs="Arial"/>
          <w:iCs/>
          <w:szCs w:val="20"/>
          <w:lang w:val="pt-BR"/>
        </w:rPr>
        <w:t xml:space="preserve">implementar </w:t>
      </w:r>
      <w:r w:rsidR="00795D2F" w:rsidRPr="00D5464D">
        <w:rPr>
          <w:rFonts w:cs="Arial"/>
          <w:iCs/>
          <w:szCs w:val="20"/>
          <w:lang w:val="pt-BR"/>
        </w:rPr>
        <w:t>políticas públicas de preven</w:t>
      </w:r>
      <w:r w:rsidRPr="00D5464D">
        <w:rPr>
          <w:rFonts w:cs="Arial"/>
          <w:iCs/>
          <w:szCs w:val="20"/>
          <w:lang w:val="pt-BR"/>
        </w:rPr>
        <w:t>ção</w:t>
      </w:r>
      <w:r w:rsidR="00795D2F" w:rsidRPr="00D5464D">
        <w:rPr>
          <w:rFonts w:cs="Arial"/>
          <w:i/>
          <w:iCs/>
          <w:szCs w:val="20"/>
          <w:lang w:val="pt-BR"/>
        </w:rPr>
        <w:t xml:space="preserve">, </w:t>
      </w:r>
      <w:r w:rsidR="00795D2F" w:rsidRPr="00D5464D">
        <w:rPr>
          <w:rFonts w:cs="Arial"/>
          <w:iCs/>
          <w:szCs w:val="20"/>
          <w:lang w:val="pt-BR"/>
        </w:rPr>
        <w:t xml:space="preserve">entre </w:t>
      </w:r>
      <w:r w:rsidR="002C330E" w:rsidRPr="00D5464D">
        <w:rPr>
          <w:rFonts w:cs="Arial"/>
          <w:iCs/>
          <w:szCs w:val="20"/>
          <w:lang w:val="pt-BR"/>
        </w:rPr>
        <w:t>outros</w:t>
      </w:r>
      <w:r w:rsidR="00795D2F" w:rsidRPr="00D5464D">
        <w:rPr>
          <w:rFonts w:cs="Arial"/>
          <w:iCs/>
          <w:szCs w:val="20"/>
          <w:lang w:val="pt-BR"/>
        </w:rPr>
        <w:t>,</w:t>
      </w:r>
      <w:r w:rsidR="002C330E" w:rsidRPr="00D5464D">
        <w:rPr>
          <w:rFonts w:cs="Arial"/>
          <w:iCs/>
          <w:szCs w:val="20"/>
          <w:lang w:val="pt-BR"/>
        </w:rPr>
        <w:t xml:space="preserve"> </w:t>
      </w:r>
      <w:r w:rsidR="00FF28D6" w:rsidRPr="00D5464D">
        <w:rPr>
          <w:rFonts w:cs="Arial"/>
          <w:iCs/>
          <w:szCs w:val="20"/>
          <w:lang w:val="pt-BR"/>
        </w:rPr>
        <w:t xml:space="preserve">em razão da </w:t>
      </w:r>
      <w:r w:rsidR="002C330E" w:rsidRPr="00D5464D">
        <w:rPr>
          <w:rFonts w:cs="Arial"/>
          <w:iCs/>
          <w:szCs w:val="20"/>
          <w:lang w:val="pt-BR"/>
        </w:rPr>
        <w:t xml:space="preserve">própria </w:t>
      </w:r>
      <w:r w:rsidRPr="00D5464D">
        <w:rPr>
          <w:rFonts w:cs="Arial"/>
          <w:iCs/>
          <w:szCs w:val="20"/>
          <w:lang w:val="pt-BR"/>
        </w:rPr>
        <w:t>extensão</w:t>
      </w:r>
      <w:r w:rsidR="00795D2F" w:rsidRPr="00D5464D">
        <w:rPr>
          <w:rFonts w:cs="Arial"/>
          <w:iCs/>
          <w:szCs w:val="20"/>
          <w:lang w:val="pt-BR"/>
        </w:rPr>
        <w:t xml:space="preserve"> </w:t>
      </w:r>
      <w:r w:rsidRPr="00D5464D">
        <w:rPr>
          <w:rFonts w:cs="Arial"/>
          <w:iCs/>
          <w:szCs w:val="20"/>
          <w:lang w:val="pt-BR"/>
        </w:rPr>
        <w:t xml:space="preserve">do </w:t>
      </w:r>
      <w:r w:rsidR="00E045D9" w:rsidRPr="00D5464D">
        <w:rPr>
          <w:rFonts w:cs="Arial"/>
          <w:iCs/>
          <w:szCs w:val="20"/>
          <w:lang w:val="pt-BR"/>
        </w:rPr>
        <w:t>território</w:t>
      </w:r>
      <w:r w:rsidR="00795D2F" w:rsidRPr="00D5464D">
        <w:rPr>
          <w:rFonts w:cs="Arial"/>
          <w:iCs/>
          <w:szCs w:val="20"/>
          <w:lang w:val="pt-BR"/>
        </w:rPr>
        <w:t xml:space="preserve"> nacional,</w:t>
      </w:r>
      <w:r w:rsidR="002C330E" w:rsidRPr="00D5464D">
        <w:rPr>
          <w:rFonts w:cs="Arial"/>
          <w:iCs/>
          <w:szCs w:val="20"/>
          <w:lang w:val="pt-BR"/>
        </w:rPr>
        <w:t xml:space="preserve"> </w:t>
      </w:r>
      <w:r w:rsidR="00FF28D6" w:rsidRPr="00D5464D">
        <w:rPr>
          <w:rFonts w:cs="Arial"/>
          <w:iCs/>
          <w:szCs w:val="20"/>
          <w:lang w:val="pt-BR"/>
        </w:rPr>
        <w:t>d</w:t>
      </w:r>
      <w:r w:rsidR="002C330E" w:rsidRPr="00D5464D">
        <w:rPr>
          <w:rFonts w:cs="Arial"/>
          <w:iCs/>
          <w:szCs w:val="20"/>
          <w:lang w:val="pt-BR"/>
        </w:rPr>
        <w:t xml:space="preserve">a </w:t>
      </w:r>
      <w:r w:rsidR="00795D2F" w:rsidRPr="00D5464D">
        <w:rPr>
          <w:rFonts w:cs="Arial"/>
          <w:iCs/>
          <w:szCs w:val="20"/>
          <w:lang w:val="pt-BR"/>
        </w:rPr>
        <w:t>falta de comunica</w:t>
      </w:r>
      <w:r w:rsidRPr="00D5464D">
        <w:rPr>
          <w:rFonts w:cs="Arial"/>
          <w:iCs/>
          <w:szCs w:val="20"/>
          <w:lang w:val="pt-BR"/>
        </w:rPr>
        <w:t>ç</w:t>
      </w:r>
      <w:r w:rsidR="00BD2D19" w:rsidRPr="00D5464D">
        <w:rPr>
          <w:rFonts w:cs="Arial"/>
          <w:iCs/>
          <w:szCs w:val="20"/>
          <w:lang w:val="pt-BR"/>
        </w:rPr>
        <w:t>ão</w:t>
      </w:r>
      <w:r w:rsidR="00E045D9" w:rsidRPr="00D5464D">
        <w:rPr>
          <w:rFonts w:cs="Arial"/>
          <w:iCs/>
          <w:szCs w:val="20"/>
          <w:lang w:val="pt-BR"/>
        </w:rPr>
        <w:t xml:space="preserve"> e </w:t>
      </w:r>
      <w:r w:rsidR="00FF28D6" w:rsidRPr="00D5464D">
        <w:rPr>
          <w:rFonts w:cs="Arial"/>
          <w:iCs/>
          <w:szCs w:val="20"/>
          <w:lang w:val="pt-BR"/>
        </w:rPr>
        <w:t>d</w:t>
      </w:r>
      <w:r w:rsidR="002C330E" w:rsidRPr="00D5464D">
        <w:rPr>
          <w:rFonts w:cs="Arial"/>
          <w:iCs/>
          <w:szCs w:val="20"/>
          <w:lang w:val="pt-BR"/>
        </w:rPr>
        <w:t xml:space="preserve">a </w:t>
      </w:r>
      <w:r w:rsidR="00795D2F" w:rsidRPr="00D5464D">
        <w:rPr>
          <w:rFonts w:cs="Arial"/>
          <w:iCs/>
          <w:szCs w:val="20"/>
          <w:lang w:val="pt-BR"/>
        </w:rPr>
        <w:t>des</w:t>
      </w:r>
      <w:r w:rsidR="002C330E" w:rsidRPr="00D5464D">
        <w:rPr>
          <w:rFonts w:cs="Arial"/>
          <w:iCs/>
          <w:szCs w:val="20"/>
          <w:lang w:val="pt-BR"/>
        </w:rPr>
        <w:t xml:space="preserve">igualdade </w:t>
      </w:r>
      <w:r w:rsidR="00795D2F" w:rsidRPr="00D5464D">
        <w:rPr>
          <w:rFonts w:cs="Arial"/>
          <w:iCs/>
          <w:szCs w:val="20"/>
          <w:lang w:val="pt-BR"/>
        </w:rPr>
        <w:t>social</w:t>
      </w:r>
      <w:r w:rsidR="00FF28D6" w:rsidRPr="00D5464D">
        <w:rPr>
          <w:rFonts w:cs="Arial"/>
          <w:iCs/>
          <w:szCs w:val="20"/>
          <w:lang w:val="pt-BR"/>
        </w:rPr>
        <w:t>,</w:t>
      </w:r>
      <w:r w:rsidR="002C330E" w:rsidRPr="00D5464D">
        <w:rPr>
          <w:rFonts w:cs="Arial"/>
          <w:iCs/>
          <w:szCs w:val="20"/>
          <w:lang w:val="pt-BR"/>
        </w:rPr>
        <w:t xml:space="preserve"> </w:t>
      </w:r>
      <w:r w:rsidR="00FF28D6" w:rsidRPr="00D5464D">
        <w:rPr>
          <w:rFonts w:cs="Arial"/>
          <w:iCs/>
          <w:szCs w:val="20"/>
          <w:lang w:val="pt-BR"/>
        </w:rPr>
        <w:t>d</w:t>
      </w:r>
      <w:r w:rsidR="002C330E" w:rsidRPr="00D5464D">
        <w:rPr>
          <w:rFonts w:cs="Arial"/>
          <w:iCs/>
          <w:szCs w:val="20"/>
          <w:lang w:val="pt-BR"/>
        </w:rPr>
        <w:t xml:space="preserve">a </w:t>
      </w:r>
      <w:r w:rsidR="00795D2F" w:rsidRPr="00D5464D">
        <w:rPr>
          <w:rFonts w:cs="Arial"/>
          <w:iCs/>
          <w:szCs w:val="20"/>
          <w:lang w:val="pt-BR"/>
        </w:rPr>
        <w:t>oposi</w:t>
      </w:r>
      <w:r w:rsidRPr="00D5464D">
        <w:rPr>
          <w:rFonts w:cs="Arial"/>
          <w:iCs/>
          <w:szCs w:val="20"/>
          <w:lang w:val="pt-BR"/>
        </w:rPr>
        <w:t>ção d</w:t>
      </w:r>
      <w:r w:rsidR="00FF28D6" w:rsidRPr="00D5464D">
        <w:rPr>
          <w:rFonts w:cs="Arial"/>
          <w:iCs/>
          <w:szCs w:val="20"/>
          <w:lang w:val="pt-BR"/>
        </w:rPr>
        <w:t>e</w:t>
      </w:r>
      <w:r w:rsidRPr="00D5464D">
        <w:rPr>
          <w:rFonts w:cs="Arial"/>
          <w:iCs/>
          <w:szCs w:val="20"/>
          <w:lang w:val="pt-BR"/>
        </w:rPr>
        <w:t xml:space="preserve"> </w:t>
      </w:r>
      <w:r w:rsidR="002C330E" w:rsidRPr="00D5464D">
        <w:rPr>
          <w:rFonts w:cs="Arial"/>
          <w:iCs/>
          <w:szCs w:val="20"/>
          <w:lang w:val="pt-BR"/>
        </w:rPr>
        <w:t>setores</w:t>
      </w:r>
      <w:r w:rsidR="00795D2F" w:rsidRPr="00D5464D">
        <w:rPr>
          <w:rFonts w:cs="Arial"/>
          <w:iCs/>
          <w:szCs w:val="20"/>
          <w:lang w:val="pt-BR"/>
        </w:rPr>
        <w:t xml:space="preserve"> </w:t>
      </w:r>
      <w:r w:rsidRPr="00D5464D">
        <w:rPr>
          <w:rFonts w:cs="Arial"/>
          <w:iCs/>
          <w:szCs w:val="20"/>
          <w:lang w:val="pt-BR"/>
        </w:rPr>
        <w:t>afeta</w:t>
      </w:r>
      <w:r w:rsidR="00795D2F" w:rsidRPr="00D5464D">
        <w:rPr>
          <w:rFonts w:cs="Arial"/>
          <w:iCs/>
          <w:szCs w:val="20"/>
          <w:lang w:val="pt-BR"/>
        </w:rPr>
        <w:t>dos</w:t>
      </w:r>
      <w:r w:rsidR="002C330E" w:rsidRPr="00D5464D">
        <w:rPr>
          <w:rFonts w:cs="Arial"/>
          <w:iCs/>
          <w:szCs w:val="20"/>
          <w:lang w:val="pt-BR"/>
        </w:rPr>
        <w:t xml:space="preserve"> pela </w:t>
      </w:r>
      <w:r w:rsidR="00795D2F" w:rsidRPr="00D5464D">
        <w:rPr>
          <w:rFonts w:cs="Arial"/>
          <w:iCs/>
          <w:szCs w:val="20"/>
          <w:lang w:val="pt-BR"/>
        </w:rPr>
        <w:t>política nacional de combate</w:t>
      </w:r>
      <w:r w:rsidRPr="00D5464D">
        <w:rPr>
          <w:rFonts w:cs="Arial"/>
          <w:iCs/>
          <w:szCs w:val="20"/>
          <w:lang w:val="pt-BR"/>
        </w:rPr>
        <w:t xml:space="preserve"> ao </w:t>
      </w:r>
      <w:r w:rsidR="00E045D9" w:rsidRPr="00D5464D">
        <w:rPr>
          <w:rFonts w:cs="Arial"/>
          <w:iCs/>
          <w:szCs w:val="20"/>
          <w:lang w:val="pt-BR"/>
        </w:rPr>
        <w:t>trabalho</w:t>
      </w:r>
      <w:r w:rsidR="00795D2F" w:rsidRPr="00D5464D">
        <w:rPr>
          <w:rFonts w:cs="Arial"/>
          <w:iCs/>
          <w:szCs w:val="20"/>
          <w:lang w:val="pt-BR"/>
        </w:rPr>
        <w:t xml:space="preserve"> </w:t>
      </w:r>
      <w:r w:rsidR="004F1CC2" w:rsidRPr="00D5464D">
        <w:rPr>
          <w:rFonts w:cs="Arial"/>
          <w:iCs/>
          <w:szCs w:val="20"/>
          <w:lang w:val="pt-BR"/>
        </w:rPr>
        <w:t>escravo</w:t>
      </w:r>
      <w:r w:rsidR="00795D2F" w:rsidRPr="00D5464D">
        <w:rPr>
          <w:rFonts w:cs="Arial"/>
          <w:iCs/>
          <w:szCs w:val="20"/>
          <w:lang w:val="pt-BR"/>
        </w:rPr>
        <w:t xml:space="preserve">, </w:t>
      </w:r>
      <w:r w:rsidR="002C330E" w:rsidRPr="00D5464D">
        <w:rPr>
          <w:rFonts w:cs="Arial"/>
          <w:iCs/>
          <w:szCs w:val="20"/>
          <w:lang w:val="pt-BR"/>
        </w:rPr>
        <w:t>que</w:t>
      </w:r>
      <w:r w:rsidR="00795D2F" w:rsidRPr="00D5464D">
        <w:rPr>
          <w:rFonts w:cs="Arial"/>
          <w:iCs/>
          <w:szCs w:val="20"/>
          <w:lang w:val="pt-BR"/>
        </w:rPr>
        <w:t xml:space="preserve"> diversifica</w:t>
      </w:r>
      <w:r w:rsidR="00FF28D6" w:rsidRPr="00D5464D">
        <w:rPr>
          <w:rFonts w:cs="Arial"/>
          <w:iCs/>
          <w:szCs w:val="20"/>
          <w:lang w:val="pt-BR"/>
        </w:rPr>
        <w:t>m</w:t>
      </w:r>
      <w:r w:rsidR="00795D2F" w:rsidRPr="00D5464D">
        <w:rPr>
          <w:rFonts w:cs="Arial"/>
          <w:iCs/>
          <w:szCs w:val="20"/>
          <w:lang w:val="pt-BR"/>
        </w:rPr>
        <w:t xml:space="preserve"> su</w:t>
      </w:r>
      <w:r w:rsidR="00FF28D6" w:rsidRPr="00D5464D">
        <w:rPr>
          <w:rFonts w:cs="Arial"/>
          <w:iCs/>
          <w:szCs w:val="20"/>
          <w:lang w:val="pt-BR"/>
        </w:rPr>
        <w:t>a</w:t>
      </w:r>
      <w:r w:rsidR="00795D2F" w:rsidRPr="00D5464D">
        <w:rPr>
          <w:rFonts w:cs="Arial"/>
          <w:iCs/>
          <w:szCs w:val="20"/>
          <w:lang w:val="pt-BR"/>
        </w:rPr>
        <w:t xml:space="preserve">s </w:t>
      </w:r>
      <w:r w:rsidRPr="00D5464D">
        <w:rPr>
          <w:rFonts w:cs="Arial"/>
          <w:iCs/>
          <w:szCs w:val="20"/>
          <w:lang w:val="pt-BR"/>
        </w:rPr>
        <w:t>ações</w:t>
      </w:r>
      <w:r w:rsidR="00795D2F" w:rsidRPr="00D5464D">
        <w:rPr>
          <w:rFonts w:cs="Arial"/>
          <w:iCs/>
          <w:szCs w:val="20"/>
          <w:lang w:val="pt-BR"/>
        </w:rPr>
        <w:t xml:space="preserve"> </w:t>
      </w:r>
      <w:r w:rsidRPr="00D5464D">
        <w:rPr>
          <w:rFonts w:cs="Arial"/>
          <w:iCs/>
          <w:szCs w:val="20"/>
          <w:lang w:val="pt-BR"/>
        </w:rPr>
        <w:t>contrárias</w:t>
      </w:r>
      <w:r w:rsidR="00795D2F" w:rsidRPr="00D5464D">
        <w:rPr>
          <w:rFonts w:cs="Arial"/>
          <w:iCs/>
          <w:szCs w:val="20"/>
          <w:lang w:val="pt-BR"/>
        </w:rPr>
        <w:t xml:space="preserve"> a </w:t>
      </w:r>
      <w:r w:rsidRPr="00D5464D">
        <w:rPr>
          <w:rFonts w:cs="Arial"/>
          <w:iCs/>
          <w:szCs w:val="20"/>
          <w:lang w:val="pt-BR"/>
        </w:rPr>
        <w:t>esta</w:t>
      </w:r>
      <w:r w:rsidR="002C330E" w:rsidRPr="00D5464D">
        <w:rPr>
          <w:rFonts w:cs="Arial"/>
          <w:iCs/>
          <w:szCs w:val="20"/>
          <w:lang w:val="pt-BR"/>
        </w:rPr>
        <w:t xml:space="preserve"> </w:t>
      </w:r>
      <w:r w:rsidR="00795D2F" w:rsidRPr="00D5464D">
        <w:rPr>
          <w:rFonts w:cs="Arial"/>
          <w:iCs/>
          <w:szCs w:val="20"/>
          <w:lang w:val="pt-BR"/>
        </w:rPr>
        <w:t xml:space="preserve">política pública; </w:t>
      </w:r>
    </w:p>
    <w:p w14:paraId="6B6FCA22" w14:textId="283BAD15" w:rsidR="00795D2F" w:rsidRPr="00D5464D" w:rsidRDefault="00C91CB1" w:rsidP="00F306D7">
      <w:pPr>
        <w:pStyle w:val="Prrafodelista"/>
        <w:numPr>
          <w:ilvl w:val="0"/>
          <w:numId w:val="13"/>
        </w:numPr>
        <w:autoSpaceDE w:val="0"/>
        <w:autoSpaceDN w:val="0"/>
        <w:adjustRightInd w:val="0"/>
        <w:spacing w:after="120"/>
        <w:ind w:hanging="11"/>
        <w:contextualSpacing w:val="0"/>
        <w:rPr>
          <w:rFonts w:cs="Arial"/>
          <w:iCs/>
          <w:szCs w:val="20"/>
          <w:lang w:val="pt-BR"/>
        </w:rPr>
      </w:pPr>
      <w:r w:rsidRPr="00D5464D">
        <w:rPr>
          <w:rFonts w:cs="Arial"/>
          <w:iCs/>
          <w:szCs w:val="20"/>
          <w:lang w:val="pt-BR"/>
        </w:rPr>
        <w:t>Em 2</w:t>
      </w:r>
      <w:r w:rsidR="00795D2F" w:rsidRPr="00D5464D">
        <w:rPr>
          <w:rFonts w:cs="Arial"/>
          <w:iCs/>
          <w:szCs w:val="20"/>
          <w:lang w:val="pt-BR"/>
        </w:rPr>
        <w:t xml:space="preserve">3 de </w:t>
      </w:r>
      <w:r w:rsidR="00470ADC" w:rsidRPr="00D5464D">
        <w:rPr>
          <w:rFonts w:cs="Arial"/>
          <w:iCs/>
          <w:szCs w:val="20"/>
          <w:lang w:val="pt-BR"/>
        </w:rPr>
        <w:t>dezembro</w:t>
      </w:r>
      <w:r w:rsidR="00795D2F" w:rsidRPr="00D5464D">
        <w:rPr>
          <w:rFonts w:cs="Arial"/>
          <w:iCs/>
          <w:szCs w:val="20"/>
          <w:lang w:val="pt-BR"/>
        </w:rPr>
        <w:t xml:space="preserve"> de 2014</w:t>
      </w:r>
      <w:r w:rsidR="00FF28D6" w:rsidRPr="00D5464D">
        <w:rPr>
          <w:rFonts w:cs="Arial"/>
          <w:iCs/>
          <w:szCs w:val="20"/>
          <w:lang w:val="pt-BR"/>
        </w:rPr>
        <w:t>,</w:t>
      </w:r>
      <w:r w:rsidR="00470ADC" w:rsidRPr="00D5464D">
        <w:rPr>
          <w:rFonts w:cs="Arial"/>
          <w:iCs/>
          <w:szCs w:val="20"/>
          <w:lang w:val="pt-BR"/>
        </w:rPr>
        <w:t xml:space="preserve"> o </w:t>
      </w:r>
      <w:r w:rsidR="00795D2F" w:rsidRPr="00D5464D">
        <w:rPr>
          <w:rFonts w:cs="Arial"/>
          <w:iCs/>
          <w:szCs w:val="20"/>
          <w:lang w:val="pt-BR"/>
        </w:rPr>
        <w:t xml:space="preserve">Supremo Tribunal Federal </w:t>
      </w:r>
      <w:r w:rsidR="00737270" w:rsidRPr="00D5464D">
        <w:rPr>
          <w:rFonts w:cs="Arial"/>
          <w:iCs/>
          <w:szCs w:val="20"/>
          <w:lang w:val="pt-BR"/>
        </w:rPr>
        <w:t>suspendeu</w:t>
      </w:r>
      <w:r w:rsidR="002C330E" w:rsidRPr="00D5464D">
        <w:rPr>
          <w:rFonts w:cs="Arial"/>
          <w:iCs/>
          <w:szCs w:val="20"/>
          <w:lang w:val="pt-BR"/>
        </w:rPr>
        <w:t xml:space="preserve"> a </w:t>
      </w:r>
      <w:r w:rsidR="00795D2F" w:rsidRPr="00D5464D">
        <w:rPr>
          <w:rFonts w:cs="Arial"/>
          <w:iCs/>
          <w:szCs w:val="20"/>
          <w:lang w:val="pt-BR"/>
        </w:rPr>
        <w:t xml:space="preserve">lista de </w:t>
      </w:r>
      <w:r w:rsidR="00230C71" w:rsidRPr="00D5464D">
        <w:rPr>
          <w:rFonts w:cs="Arial"/>
          <w:iCs/>
          <w:szCs w:val="20"/>
          <w:lang w:val="pt-BR"/>
        </w:rPr>
        <w:t>empregad</w:t>
      </w:r>
      <w:r w:rsidR="00795D2F" w:rsidRPr="00D5464D">
        <w:rPr>
          <w:rFonts w:cs="Arial"/>
          <w:iCs/>
          <w:szCs w:val="20"/>
          <w:lang w:val="pt-BR"/>
        </w:rPr>
        <w:t xml:space="preserve">ores de </w:t>
      </w:r>
      <w:r w:rsidR="004F1CC2" w:rsidRPr="00D5464D">
        <w:rPr>
          <w:rFonts w:cs="Arial"/>
          <w:iCs/>
          <w:szCs w:val="20"/>
          <w:lang w:val="pt-BR"/>
        </w:rPr>
        <w:t>escravo</w:t>
      </w:r>
      <w:r w:rsidR="00795D2F" w:rsidRPr="00D5464D">
        <w:rPr>
          <w:rFonts w:cs="Arial"/>
          <w:iCs/>
          <w:szCs w:val="20"/>
          <w:lang w:val="pt-BR"/>
        </w:rPr>
        <w:t xml:space="preserve"> des</w:t>
      </w:r>
      <w:r w:rsidR="00470ADC" w:rsidRPr="00D5464D">
        <w:rPr>
          <w:rFonts w:cs="Arial"/>
          <w:iCs/>
          <w:szCs w:val="20"/>
          <w:lang w:val="pt-BR"/>
        </w:rPr>
        <w:t>coberto</w:t>
      </w:r>
      <w:r w:rsidR="00795D2F" w:rsidRPr="00D5464D">
        <w:rPr>
          <w:rFonts w:cs="Arial"/>
          <w:iCs/>
          <w:szCs w:val="20"/>
          <w:lang w:val="pt-BR"/>
        </w:rPr>
        <w:t>s</w:t>
      </w:r>
      <w:r w:rsidR="00DB5A03" w:rsidRPr="00D5464D">
        <w:rPr>
          <w:rFonts w:cs="Arial"/>
          <w:iCs/>
          <w:szCs w:val="20"/>
          <w:lang w:val="pt-BR"/>
        </w:rPr>
        <w:t xml:space="preserve"> (“</w:t>
      </w:r>
      <w:r w:rsidR="00FF28D6" w:rsidRPr="00D5464D">
        <w:rPr>
          <w:rFonts w:cs="Arial"/>
          <w:iCs/>
          <w:szCs w:val="20"/>
          <w:lang w:val="pt-BR"/>
        </w:rPr>
        <w:t>L</w:t>
      </w:r>
      <w:r w:rsidR="00DB5A03" w:rsidRPr="00D5464D">
        <w:rPr>
          <w:rFonts w:cs="Arial"/>
          <w:iCs/>
          <w:szCs w:val="20"/>
          <w:lang w:val="pt-BR"/>
        </w:rPr>
        <w:t xml:space="preserve">ista </w:t>
      </w:r>
      <w:r w:rsidR="00FF28D6" w:rsidRPr="00D5464D">
        <w:rPr>
          <w:rFonts w:cs="Arial"/>
          <w:iCs/>
          <w:szCs w:val="20"/>
          <w:lang w:val="pt-BR"/>
        </w:rPr>
        <w:t>S</w:t>
      </w:r>
      <w:r w:rsidR="00DB5A03" w:rsidRPr="00D5464D">
        <w:rPr>
          <w:rFonts w:cs="Arial"/>
          <w:iCs/>
          <w:szCs w:val="20"/>
          <w:lang w:val="pt-BR"/>
        </w:rPr>
        <w:t>uja”)</w:t>
      </w:r>
      <w:r w:rsidR="00795D2F" w:rsidRPr="00D5464D">
        <w:rPr>
          <w:rFonts w:cs="Arial"/>
          <w:iCs/>
          <w:szCs w:val="20"/>
          <w:lang w:val="pt-BR"/>
        </w:rPr>
        <w:t>,</w:t>
      </w:r>
      <w:r w:rsidR="00470ADC" w:rsidRPr="00D5464D">
        <w:rPr>
          <w:rFonts w:cs="Arial"/>
          <w:iCs/>
          <w:szCs w:val="20"/>
          <w:lang w:val="pt-BR"/>
        </w:rPr>
        <w:t xml:space="preserve"> </w:t>
      </w:r>
      <w:r w:rsidR="00BD2D19" w:rsidRPr="00D5464D">
        <w:rPr>
          <w:rFonts w:cs="Arial"/>
          <w:iCs/>
          <w:szCs w:val="20"/>
          <w:lang w:val="pt-BR"/>
        </w:rPr>
        <w:t>em razão</w:t>
      </w:r>
      <w:r w:rsidR="00470ADC" w:rsidRPr="00D5464D">
        <w:rPr>
          <w:rFonts w:cs="Arial"/>
          <w:iCs/>
          <w:szCs w:val="20"/>
          <w:lang w:val="pt-BR"/>
        </w:rPr>
        <w:t xml:space="preserve"> da </w:t>
      </w:r>
      <w:r w:rsidR="00737270" w:rsidRPr="00D5464D">
        <w:rPr>
          <w:rFonts w:cs="Arial"/>
          <w:iCs/>
          <w:szCs w:val="20"/>
          <w:lang w:val="pt-BR"/>
        </w:rPr>
        <w:t>ação</w:t>
      </w:r>
      <w:r w:rsidR="00795D2F" w:rsidRPr="00D5464D">
        <w:rPr>
          <w:rFonts w:cs="Arial"/>
          <w:iCs/>
          <w:szCs w:val="20"/>
          <w:lang w:val="pt-BR"/>
        </w:rPr>
        <w:t xml:space="preserve"> </w:t>
      </w:r>
      <w:r w:rsidR="00470ADC" w:rsidRPr="00D5464D">
        <w:rPr>
          <w:rFonts w:cs="Arial"/>
          <w:iCs/>
          <w:szCs w:val="20"/>
          <w:lang w:val="pt-BR"/>
        </w:rPr>
        <w:t>diret</w:t>
      </w:r>
      <w:r w:rsidR="00795D2F" w:rsidRPr="00D5464D">
        <w:rPr>
          <w:rFonts w:cs="Arial"/>
          <w:iCs/>
          <w:szCs w:val="20"/>
          <w:lang w:val="pt-BR"/>
        </w:rPr>
        <w:t>a de in</w:t>
      </w:r>
      <w:r w:rsidR="00470ADC" w:rsidRPr="00D5464D">
        <w:rPr>
          <w:rFonts w:cs="Arial"/>
          <w:iCs/>
          <w:szCs w:val="20"/>
          <w:lang w:val="pt-BR"/>
        </w:rPr>
        <w:t>constitucionalidade</w:t>
      </w:r>
      <w:r w:rsidR="00A1358C" w:rsidRPr="00D5464D">
        <w:rPr>
          <w:rFonts w:cs="Arial"/>
          <w:iCs/>
          <w:szCs w:val="20"/>
          <w:lang w:val="pt-BR"/>
        </w:rPr>
        <w:t xml:space="preserve"> nº </w:t>
      </w:r>
      <w:r w:rsidR="00795D2F" w:rsidRPr="00D5464D">
        <w:rPr>
          <w:rFonts w:cs="Arial"/>
          <w:iCs/>
          <w:szCs w:val="20"/>
          <w:lang w:val="pt-BR"/>
        </w:rPr>
        <w:t>5.209</w:t>
      </w:r>
      <w:r w:rsidR="000D52CA" w:rsidRPr="00D5464D">
        <w:rPr>
          <w:rFonts w:cs="Arial"/>
          <w:iCs/>
          <w:szCs w:val="20"/>
          <w:lang w:val="pt-BR"/>
        </w:rPr>
        <w:t>,</w:t>
      </w:r>
      <w:r w:rsidR="002C330E" w:rsidRPr="00D5464D">
        <w:rPr>
          <w:rFonts w:cs="Arial"/>
          <w:iCs/>
          <w:szCs w:val="20"/>
          <w:lang w:val="pt-BR"/>
        </w:rPr>
        <w:t xml:space="preserve"> a </w:t>
      </w:r>
      <w:r w:rsidR="00470ADC" w:rsidRPr="00D5464D">
        <w:rPr>
          <w:rFonts w:cs="Arial"/>
          <w:iCs/>
          <w:szCs w:val="20"/>
          <w:lang w:val="pt-BR"/>
        </w:rPr>
        <w:t xml:space="preserve">qual </w:t>
      </w:r>
      <w:r w:rsidR="00737270" w:rsidRPr="00D5464D">
        <w:rPr>
          <w:rFonts w:cs="Arial"/>
          <w:iCs/>
          <w:szCs w:val="20"/>
          <w:lang w:val="pt-BR"/>
        </w:rPr>
        <w:t>não foi</w:t>
      </w:r>
      <w:r w:rsidR="002C330E" w:rsidRPr="00D5464D">
        <w:rPr>
          <w:rFonts w:cs="Arial"/>
          <w:iCs/>
          <w:szCs w:val="20"/>
          <w:lang w:val="pt-BR"/>
        </w:rPr>
        <w:t xml:space="preserve"> </w:t>
      </w:r>
      <w:r w:rsidR="00737270" w:rsidRPr="00D5464D">
        <w:rPr>
          <w:rFonts w:cs="Arial"/>
          <w:iCs/>
          <w:szCs w:val="20"/>
          <w:lang w:val="pt-BR"/>
        </w:rPr>
        <w:t>resolvid</w:t>
      </w:r>
      <w:r w:rsidR="00FA0F9F" w:rsidRPr="00D5464D">
        <w:rPr>
          <w:rFonts w:cs="Arial"/>
          <w:iCs/>
          <w:szCs w:val="20"/>
          <w:lang w:val="pt-BR"/>
        </w:rPr>
        <w:t xml:space="preserve">a </w:t>
      </w:r>
      <w:r w:rsidR="002C330E" w:rsidRPr="00D5464D">
        <w:rPr>
          <w:rFonts w:cs="Arial"/>
          <w:iCs/>
          <w:szCs w:val="20"/>
          <w:lang w:val="pt-BR"/>
        </w:rPr>
        <w:t xml:space="preserve">até </w:t>
      </w:r>
      <w:r w:rsidR="00FF28D6" w:rsidRPr="00D5464D">
        <w:rPr>
          <w:rFonts w:cs="Arial"/>
          <w:iCs/>
          <w:szCs w:val="20"/>
          <w:lang w:val="pt-BR"/>
        </w:rPr>
        <w:t xml:space="preserve">o proferimento </w:t>
      </w:r>
      <w:r w:rsidR="00470ADC" w:rsidRPr="00D5464D">
        <w:rPr>
          <w:rFonts w:cs="Arial"/>
          <w:iCs/>
          <w:szCs w:val="20"/>
          <w:lang w:val="pt-BR"/>
        </w:rPr>
        <w:t xml:space="preserve">da </w:t>
      </w:r>
      <w:r w:rsidR="00FA0F9F" w:rsidRPr="00D5464D">
        <w:rPr>
          <w:rFonts w:cs="Arial"/>
          <w:iCs/>
          <w:szCs w:val="20"/>
          <w:lang w:val="pt-BR"/>
        </w:rPr>
        <w:t xml:space="preserve">presente </w:t>
      </w:r>
      <w:r w:rsidR="002C330E" w:rsidRPr="00D5464D">
        <w:rPr>
          <w:rFonts w:cs="Arial"/>
          <w:iCs/>
          <w:szCs w:val="20"/>
          <w:lang w:val="pt-BR"/>
        </w:rPr>
        <w:t>Sentença</w:t>
      </w:r>
      <w:r w:rsidR="00470ADC" w:rsidRPr="00D5464D">
        <w:rPr>
          <w:rFonts w:cs="Arial"/>
          <w:iCs/>
          <w:szCs w:val="20"/>
          <w:lang w:val="pt-BR"/>
        </w:rPr>
        <w:t>, e</w:t>
      </w:r>
      <w:r w:rsidR="00795D2F" w:rsidRPr="00D5464D">
        <w:rPr>
          <w:rFonts w:cs="Arial"/>
          <w:iCs/>
          <w:szCs w:val="20"/>
          <w:lang w:val="pt-BR"/>
        </w:rPr>
        <w:t xml:space="preserve"> </w:t>
      </w:r>
    </w:p>
    <w:p w14:paraId="3AAA6DBE" w14:textId="080EBCEF" w:rsidR="00795D2F" w:rsidRPr="00D5464D" w:rsidRDefault="00FF28D6" w:rsidP="00F306D7">
      <w:pPr>
        <w:pStyle w:val="Prrafodelista"/>
        <w:numPr>
          <w:ilvl w:val="0"/>
          <w:numId w:val="13"/>
        </w:numPr>
        <w:autoSpaceDE w:val="0"/>
        <w:autoSpaceDN w:val="0"/>
        <w:adjustRightInd w:val="0"/>
        <w:spacing w:after="120"/>
        <w:ind w:hanging="11"/>
        <w:contextualSpacing w:val="0"/>
        <w:rPr>
          <w:rFonts w:cs="Arial"/>
          <w:iCs/>
          <w:szCs w:val="20"/>
          <w:lang w:val="pt-BR"/>
        </w:rPr>
      </w:pPr>
      <w:r w:rsidRPr="00D5464D">
        <w:rPr>
          <w:rFonts w:cs="Arial"/>
          <w:iCs/>
          <w:szCs w:val="20"/>
          <w:lang w:val="pt-BR"/>
        </w:rPr>
        <w:t xml:space="preserve">Foi indicado </w:t>
      </w:r>
      <w:r w:rsidR="00795D2F" w:rsidRPr="00D5464D">
        <w:rPr>
          <w:rFonts w:cs="Arial"/>
          <w:iCs/>
          <w:szCs w:val="20"/>
          <w:lang w:val="pt-BR"/>
        </w:rPr>
        <w:t>que</w:t>
      </w:r>
      <w:r w:rsidR="00470ADC" w:rsidRPr="00D5464D">
        <w:rPr>
          <w:rFonts w:cs="Arial"/>
          <w:iCs/>
          <w:szCs w:val="20"/>
          <w:lang w:val="pt-BR"/>
        </w:rPr>
        <w:t xml:space="preserve"> o </w:t>
      </w:r>
      <w:r w:rsidR="00795D2F" w:rsidRPr="00D5464D">
        <w:rPr>
          <w:rFonts w:cs="Arial"/>
          <w:iCs/>
          <w:szCs w:val="20"/>
          <w:lang w:val="pt-BR"/>
        </w:rPr>
        <w:t xml:space="preserve">Poder </w:t>
      </w:r>
      <w:r w:rsidR="00470ADC" w:rsidRPr="00D5464D">
        <w:rPr>
          <w:rFonts w:cs="Arial"/>
          <w:iCs/>
          <w:szCs w:val="20"/>
          <w:lang w:val="pt-BR"/>
        </w:rPr>
        <w:t>Executiv</w:t>
      </w:r>
      <w:r w:rsidR="00795D2F" w:rsidRPr="00D5464D">
        <w:rPr>
          <w:rFonts w:cs="Arial"/>
          <w:iCs/>
          <w:szCs w:val="20"/>
          <w:lang w:val="pt-BR"/>
        </w:rPr>
        <w:t xml:space="preserve">o </w:t>
      </w:r>
      <w:r w:rsidR="002C330E" w:rsidRPr="00D5464D">
        <w:rPr>
          <w:rFonts w:cs="Arial"/>
          <w:iCs/>
          <w:szCs w:val="20"/>
          <w:lang w:val="pt-BR"/>
        </w:rPr>
        <w:t>encontrou</w:t>
      </w:r>
      <w:r w:rsidR="00795D2F" w:rsidRPr="00D5464D">
        <w:rPr>
          <w:rFonts w:cs="Arial"/>
          <w:iCs/>
          <w:szCs w:val="20"/>
          <w:lang w:val="pt-BR"/>
        </w:rPr>
        <w:t xml:space="preserve"> </w:t>
      </w:r>
      <w:r w:rsidRPr="00D5464D">
        <w:rPr>
          <w:rFonts w:cs="Arial"/>
          <w:iCs/>
          <w:szCs w:val="20"/>
          <w:lang w:val="pt-BR"/>
        </w:rPr>
        <w:t xml:space="preserve">limitações </w:t>
      </w:r>
      <w:r w:rsidR="00795D2F" w:rsidRPr="00D5464D">
        <w:rPr>
          <w:rFonts w:cs="Arial"/>
          <w:iCs/>
          <w:szCs w:val="20"/>
          <w:lang w:val="pt-BR"/>
        </w:rPr>
        <w:t>como</w:t>
      </w:r>
      <w:r w:rsidR="002C330E" w:rsidRPr="00D5464D">
        <w:rPr>
          <w:rFonts w:cs="Arial"/>
          <w:iCs/>
          <w:szCs w:val="20"/>
          <w:lang w:val="pt-BR"/>
        </w:rPr>
        <w:t xml:space="preserve"> a </w:t>
      </w:r>
      <w:r w:rsidR="00795D2F" w:rsidRPr="00D5464D">
        <w:rPr>
          <w:rFonts w:cs="Arial"/>
          <w:iCs/>
          <w:szCs w:val="20"/>
          <w:lang w:val="pt-BR"/>
        </w:rPr>
        <w:t xml:space="preserve">falta de </w:t>
      </w:r>
      <w:r w:rsidR="002C330E" w:rsidRPr="00D5464D">
        <w:rPr>
          <w:rFonts w:cs="Arial"/>
          <w:iCs/>
          <w:szCs w:val="20"/>
          <w:lang w:val="pt-BR"/>
        </w:rPr>
        <w:t>pessoa</w:t>
      </w:r>
      <w:r w:rsidR="00795D2F" w:rsidRPr="00D5464D">
        <w:rPr>
          <w:rFonts w:cs="Arial"/>
          <w:iCs/>
          <w:szCs w:val="20"/>
          <w:lang w:val="pt-BR"/>
        </w:rPr>
        <w:t>l capacitado,</w:t>
      </w:r>
      <w:r w:rsidR="00470ADC" w:rsidRPr="00D5464D">
        <w:rPr>
          <w:rFonts w:cs="Arial"/>
          <w:iCs/>
          <w:szCs w:val="20"/>
          <w:lang w:val="pt-BR"/>
        </w:rPr>
        <w:t xml:space="preserve"> o </w:t>
      </w:r>
      <w:r w:rsidR="00795D2F" w:rsidRPr="00D5464D">
        <w:rPr>
          <w:rFonts w:cs="Arial"/>
          <w:iCs/>
          <w:szCs w:val="20"/>
          <w:lang w:val="pt-BR"/>
        </w:rPr>
        <w:t>déficit de auditores fisca</w:t>
      </w:r>
      <w:r w:rsidRPr="00D5464D">
        <w:rPr>
          <w:rFonts w:cs="Arial"/>
          <w:iCs/>
          <w:szCs w:val="20"/>
          <w:lang w:val="pt-BR"/>
        </w:rPr>
        <w:t xml:space="preserve">is </w:t>
      </w:r>
      <w:r w:rsidR="00795D2F" w:rsidRPr="00D5464D">
        <w:rPr>
          <w:rFonts w:cs="Arial"/>
          <w:iCs/>
          <w:szCs w:val="20"/>
          <w:lang w:val="pt-BR"/>
        </w:rPr>
        <w:t>d</w:t>
      </w:r>
      <w:r w:rsidRPr="00D5464D">
        <w:rPr>
          <w:rFonts w:cs="Arial"/>
          <w:iCs/>
          <w:szCs w:val="20"/>
          <w:lang w:val="pt-BR"/>
        </w:rPr>
        <w:t>o</w:t>
      </w:r>
      <w:r w:rsidR="00795D2F" w:rsidRPr="00D5464D">
        <w:rPr>
          <w:rFonts w:cs="Arial"/>
          <w:iCs/>
          <w:szCs w:val="20"/>
          <w:lang w:val="pt-BR"/>
        </w:rPr>
        <w:t xml:space="preserve"> </w:t>
      </w:r>
      <w:r w:rsidR="00E045D9" w:rsidRPr="00D5464D">
        <w:rPr>
          <w:rFonts w:cs="Arial"/>
          <w:iCs/>
          <w:szCs w:val="20"/>
          <w:lang w:val="pt-BR"/>
        </w:rPr>
        <w:t>trabalho</w:t>
      </w:r>
      <w:r w:rsidR="00795D2F" w:rsidRPr="00D5464D">
        <w:rPr>
          <w:rFonts w:cs="Arial"/>
          <w:iCs/>
          <w:szCs w:val="20"/>
          <w:lang w:val="pt-BR"/>
        </w:rPr>
        <w:t>,</w:t>
      </w:r>
      <w:r w:rsidR="002C330E" w:rsidRPr="00D5464D">
        <w:rPr>
          <w:rFonts w:cs="Arial"/>
          <w:iCs/>
          <w:szCs w:val="20"/>
          <w:lang w:val="pt-BR"/>
        </w:rPr>
        <w:t xml:space="preserve"> a </w:t>
      </w:r>
      <w:r w:rsidR="00795D2F" w:rsidRPr="00D5464D">
        <w:rPr>
          <w:rFonts w:cs="Arial"/>
          <w:iCs/>
          <w:szCs w:val="20"/>
          <w:lang w:val="pt-BR"/>
        </w:rPr>
        <w:t>falta de equipam</w:t>
      </w:r>
      <w:r w:rsidR="00350187" w:rsidRPr="00D5464D">
        <w:rPr>
          <w:rFonts w:cs="Arial"/>
          <w:iCs/>
          <w:szCs w:val="20"/>
          <w:lang w:val="pt-BR"/>
        </w:rPr>
        <w:t xml:space="preserve">ento </w:t>
      </w:r>
      <w:r w:rsidR="00795D2F" w:rsidRPr="00D5464D">
        <w:rPr>
          <w:rFonts w:cs="Arial"/>
          <w:iCs/>
          <w:szCs w:val="20"/>
          <w:lang w:val="pt-BR"/>
        </w:rPr>
        <w:t>público</w:t>
      </w:r>
      <w:r w:rsidR="00E045D9" w:rsidRPr="00D5464D">
        <w:rPr>
          <w:rFonts w:cs="Arial"/>
          <w:iCs/>
          <w:szCs w:val="20"/>
          <w:lang w:val="pt-BR"/>
        </w:rPr>
        <w:t xml:space="preserve"> e </w:t>
      </w:r>
      <w:r w:rsidR="00795D2F" w:rsidRPr="00D5464D">
        <w:rPr>
          <w:rFonts w:cs="Arial"/>
          <w:iCs/>
          <w:szCs w:val="20"/>
          <w:lang w:val="pt-BR"/>
        </w:rPr>
        <w:t xml:space="preserve">redes de </w:t>
      </w:r>
      <w:r w:rsidR="00737270" w:rsidRPr="00D5464D">
        <w:rPr>
          <w:rFonts w:cs="Arial"/>
          <w:iCs/>
          <w:szCs w:val="20"/>
          <w:lang w:val="pt-BR"/>
        </w:rPr>
        <w:t>atuação</w:t>
      </w:r>
      <w:r w:rsidR="00795D2F" w:rsidRPr="00D5464D">
        <w:rPr>
          <w:rFonts w:cs="Arial"/>
          <w:iCs/>
          <w:szCs w:val="20"/>
          <w:lang w:val="pt-BR"/>
        </w:rPr>
        <w:t xml:space="preserve"> estatal para atender</w:t>
      </w:r>
      <w:r w:rsidR="002C330E" w:rsidRPr="00D5464D">
        <w:rPr>
          <w:rFonts w:cs="Arial"/>
          <w:iCs/>
          <w:szCs w:val="20"/>
          <w:lang w:val="pt-BR"/>
        </w:rPr>
        <w:t xml:space="preserve"> </w:t>
      </w:r>
      <w:r w:rsidRPr="00D5464D">
        <w:rPr>
          <w:rFonts w:cs="Arial"/>
          <w:iCs/>
          <w:szCs w:val="20"/>
          <w:lang w:val="pt-BR"/>
        </w:rPr>
        <w:t>à</w:t>
      </w:r>
      <w:r w:rsidR="002C330E" w:rsidRPr="00D5464D">
        <w:rPr>
          <w:rFonts w:cs="Arial"/>
          <w:iCs/>
          <w:szCs w:val="20"/>
          <w:lang w:val="pt-BR"/>
        </w:rPr>
        <w:t xml:space="preserve">s </w:t>
      </w:r>
      <w:r w:rsidR="00795D2F" w:rsidRPr="00D5464D">
        <w:rPr>
          <w:rFonts w:cs="Arial"/>
          <w:iCs/>
          <w:szCs w:val="20"/>
          <w:lang w:val="pt-BR"/>
        </w:rPr>
        <w:t>demandas</w:t>
      </w:r>
      <w:r w:rsidR="00DB5A03" w:rsidRPr="00D5464D">
        <w:rPr>
          <w:rFonts w:cs="Arial"/>
          <w:iCs/>
          <w:szCs w:val="20"/>
          <w:lang w:val="pt-BR"/>
        </w:rPr>
        <w:t>;</w:t>
      </w:r>
      <w:r w:rsidR="002C330E" w:rsidRPr="00D5464D">
        <w:rPr>
          <w:rFonts w:cs="Arial"/>
          <w:iCs/>
          <w:szCs w:val="20"/>
          <w:lang w:val="pt-BR"/>
        </w:rPr>
        <w:t xml:space="preserve"> a </w:t>
      </w:r>
      <w:r w:rsidR="00A1358C" w:rsidRPr="00D5464D">
        <w:rPr>
          <w:rFonts w:cs="Arial"/>
          <w:iCs/>
          <w:szCs w:val="20"/>
          <w:lang w:val="pt-BR"/>
        </w:rPr>
        <w:t>diminuição</w:t>
      </w:r>
      <w:r w:rsidR="00795D2F" w:rsidRPr="00D5464D">
        <w:rPr>
          <w:rFonts w:cs="Arial"/>
          <w:iCs/>
          <w:szCs w:val="20"/>
          <w:lang w:val="pt-BR"/>
        </w:rPr>
        <w:t xml:space="preserve"> de </w:t>
      </w:r>
      <w:r w:rsidR="002C330E" w:rsidRPr="00D5464D">
        <w:rPr>
          <w:rFonts w:cs="Arial"/>
          <w:iCs/>
          <w:szCs w:val="20"/>
          <w:lang w:val="pt-BR"/>
        </w:rPr>
        <w:t>órgão</w:t>
      </w:r>
      <w:r w:rsidR="00795D2F" w:rsidRPr="00D5464D">
        <w:rPr>
          <w:rFonts w:cs="Arial"/>
          <w:iCs/>
          <w:szCs w:val="20"/>
          <w:lang w:val="pt-BR"/>
        </w:rPr>
        <w:t>s que inte</w:t>
      </w:r>
      <w:r w:rsidR="002C330E" w:rsidRPr="00D5464D">
        <w:rPr>
          <w:rFonts w:cs="Arial"/>
          <w:iCs/>
          <w:szCs w:val="20"/>
          <w:lang w:val="pt-BR"/>
        </w:rPr>
        <w:t>gra</w:t>
      </w:r>
      <w:r w:rsidRPr="00D5464D">
        <w:rPr>
          <w:rFonts w:cs="Arial"/>
          <w:iCs/>
          <w:szCs w:val="20"/>
          <w:lang w:val="pt-BR"/>
        </w:rPr>
        <w:t xml:space="preserve">m </w:t>
      </w:r>
      <w:r w:rsidR="00E045D9" w:rsidRPr="00D5464D">
        <w:rPr>
          <w:rFonts w:cs="Arial"/>
          <w:iCs/>
          <w:szCs w:val="20"/>
          <w:lang w:val="pt-BR"/>
        </w:rPr>
        <w:t xml:space="preserve">os </w:t>
      </w:r>
      <w:r w:rsidR="00795D2F" w:rsidRPr="00D5464D">
        <w:rPr>
          <w:rFonts w:cs="Arial"/>
          <w:iCs/>
          <w:szCs w:val="20"/>
          <w:lang w:val="pt-BR"/>
        </w:rPr>
        <w:t xml:space="preserve">Grupos </w:t>
      </w:r>
      <w:r w:rsidR="00470ADC" w:rsidRPr="00D5464D">
        <w:rPr>
          <w:rFonts w:cs="Arial"/>
          <w:iCs/>
          <w:szCs w:val="20"/>
          <w:lang w:val="pt-BR"/>
        </w:rPr>
        <w:t>Especiais</w:t>
      </w:r>
      <w:r w:rsidR="00795D2F" w:rsidRPr="00D5464D">
        <w:rPr>
          <w:rFonts w:cs="Arial"/>
          <w:iCs/>
          <w:szCs w:val="20"/>
          <w:lang w:val="pt-BR"/>
        </w:rPr>
        <w:t xml:space="preserve"> de Fiscaliza</w:t>
      </w:r>
      <w:r w:rsidR="00470ADC" w:rsidRPr="00D5464D">
        <w:rPr>
          <w:rFonts w:cs="Arial"/>
          <w:iCs/>
          <w:szCs w:val="20"/>
          <w:lang w:val="pt-BR"/>
        </w:rPr>
        <w:t>ção</w:t>
      </w:r>
      <w:r w:rsidR="00795D2F" w:rsidRPr="00D5464D">
        <w:rPr>
          <w:rFonts w:cs="Arial"/>
          <w:iCs/>
          <w:szCs w:val="20"/>
          <w:lang w:val="pt-BR"/>
        </w:rPr>
        <w:t xml:space="preserve"> </w:t>
      </w:r>
      <w:r w:rsidR="00631CD6" w:rsidRPr="00D5464D">
        <w:rPr>
          <w:rFonts w:cs="Arial"/>
          <w:iCs/>
          <w:szCs w:val="20"/>
          <w:lang w:val="pt-BR"/>
        </w:rPr>
        <w:t>Móvel</w:t>
      </w:r>
      <w:r w:rsidR="00795D2F" w:rsidRPr="00D5464D">
        <w:rPr>
          <w:rFonts w:cs="Arial"/>
          <w:iCs/>
          <w:szCs w:val="20"/>
          <w:lang w:val="pt-BR"/>
        </w:rPr>
        <w:t xml:space="preserve">, </w:t>
      </w:r>
      <w:r w:rsidRPr="00D5464D">
        <w:rPr>
          <w:rFonts w:cs="Arial"/>
          <w:iCs/>
          <w:szCs w:val="20"/>
          <w:lang w:val="pt-BR"/>
        </w:rPr>
        <w:t xml:space="preserve">bem </w:t>
      </w:r>
      <w:r w:rsidR="00795D2F" w:rsidRPr="00D5464D">
        <w:rPr>
          <w:rFonts w:cs="Arial"/>
          <w:iCs/>
          <w:szCs w:val="20"/>
          <w:lang w:val="pt-BR"/>
        </w:rPr>
        <w:t xml:space="preserve">como de </w:t>
      </w:r>
      <w:r w:rsidR="002C330E" w:rsidRPr="00D5464D">
        <w:rPr>
          <w:rFonts w:cs="Arial"/>
          <w:iCs/>
          <w:szCs w:val="20"/>
          <w:lang w:val="pt-BR"/>
        </w:rPr>
        <w:t>membro</w:t>
      </w:r>
      <w:r w:rsidR="00795D2F" w:rsidRPr="00D5464D">
        <w:rPr>
          <w:rFonts w:cs="Arial"/>
          <w:iCs/>
          <w:szCs w:val="20"/>
          <w:lang w:val="pt-BR"/>
        </w:rPr>
        <w:t>s</w:t>
      </w:r>
      <w:r w:rsidR="00470ADC" w:rsidRPr="00D5464D">
        <w:rPr>
          <w:rFonts w:cs="Arial"/>
          <w:iCs/>
          <w:szCs w:val="20"/>
          <w:lang w:val="pt-BR"/>
        </w:rPr>
        <w:t xml:space="preserve"> da </w:t>
      </w:r>
      <w:r w:rsidR="00C91CB1" w:rsidRPr="00D5464D">
        <w:rPr>
          <w:rFonts w:cs="Arial"/>
          <w:iCs/>
          <w:szCs w:val="20"/>
          <w:lang w:val="pt-BR"/>
        </w:rPr>
        <w:t xml:space="preserve">Polícia </w:t>
      </w:r>
      <w:r w:rsidR="00795D2F" w:rsidRPr="00D5464D">
        <w:rPr>
          <w:rFonts w:cs="Arial"/>
          <w:iCs/>
          <w:szCs w:val="20"/>
          <w:lang w:val="pt-BR"/>
        </w:rPr>
        <w:t xml:space="preserve">Federal, para </w:t>
      </w:r>
      <w:r w:rsidR="00470ADC" w:rsidRPr="00D5464D">
        <w:rPr>
          <w:rFonts w:cs="Arial"/>
          <w:iCs/>
          <w:szCs w:val="20"/>
          <w:lang w:val="pt-BR"/>
        </w:rPr>
        <w:t>atuar</w:t>
      </w:r>
      <w:r w:rsidR="00C176E3" w:rsidRPr="00D5464D">
        <w:rPr>
          <w:rFonts w:cs="Arial"/>
          <w:iCs/>
          <w:szCs w:val="20"/>
          <w:lang w:val="pt-BR"/>
        </w:rPr>
        <w:t>em</w:t>
      </w:r>
      <w:r w:rsidR="00470ADC" w:rsidRPr="00D5464D">
        <w:rPr>
          <w:rFonts w:cs="Arial"/>
          <w:iCs/>
          <w:szCs w:val="20"/>
          <w:lang w:val="pt-BR"/>
        </w:rPr>
        <w:t xml:space="preserve"> </w:t>
      </w:r>
      <w:r w:rsidR="00795D2F" w:rsidRPr="00D5464D">
        <w:rPr>
          <w:rFonts w:cs="Arial"/>
          <w:iCs/>
          <w:szCs w:val="20"/>
          <w:lang w:val="pt-BR"/>
        </w:rPr>
        <w:t xml:space="preserve">como </w:t>
      </w:r>
      <w:r w:rsidR="00E765C2" w:rsidRPr="00D5464D">
        <w:rPr>
          <w:rFonts w:cs="Arial"/>
          <w:iCs/>
          <w:szCs w:val="20"/>
          <w:lang w:val="pt-BR"/>
        </w:rPr>
        <w:t xml:space="preserve">polícia </w:t>
      </w:r>
      <w:r w:rsidR="00795D2F" w:rsidRPr="00D5464D">
        <w:rPr>
          <w:rFonts w:cs="Arial"/>
          <w:iCs/>
          <w:szCs w:val="20"/>
          <w:lang w:val="pt-BR"/>
        </w:rPr>
        <w:t>judici</w:t>
      </w:r>
      <w:r w:rsidRPr="00D5464D">
        <w:rPr>
          <w:rFonts w:cs="Arial"/>
          <w:iCs/>
          <w:szCs w:val="20"/>
          <w:lang w:val="pt-BR"/>
        </w:rPr>
        <w:t xml:space="preserve">ária </w:t>
      </w:r>
      <w:r w:rsidR="00E045D9" w:rsidRPr="00D5464D">
        <w:rPr>
          <w:rFonts w:cs="Arial"/>
          <w:iCs/>
          <w:szCs w:val="20"/>
          <w:lang w:val="pt-BR"/>
        </w:rPr>
        <w:t xml:space="preserve">e </w:t>
      </w:r>
      <w:r w:rsidR="00795D2F" w:rsidRPr="00D5464D">
        <w:rPr>
          <w:rFonts w:cs="Arial"/>
          <w:iCs/>
          <w:szCs w:val="20"/>
          <w:lang w:val="pt-BR"/>
        </w:rPr>
        <w:t>logística</w:t>
      </w:r>
      <w:r w:rsidR="00E045D9" w:rsidRPr="00D5464D">
        <w:rPr>
          <w:rFonts w:cs="Arial"/>
          <w:iCs/>
          <w:szCs w:val="20"/>
          <w:lang w:val="pt-BR"/>
        </w:rPr>
        <w:t xml:space="preserve"> no </w:t>
      </w:r>
      <w:r w:rsidR="00795D2F" w:rsidRPr="00D5464D">
        <w:rPr>
          <w:rFonts w:cs="Arial"/>
          <w:iCs/>
          <w:szCs w:val="20"/>
          <w:lang w:val="pt-BR"/>
        </w:rPr>
        <w:t>combate</w:t>
      </w:r>
      <w:r w:rsidR="00470ADC" w:rsidRPr="00D5464D">
        <w:rPr>
          <w:rFonts w:cs="Arial"/>
          <w:iCs/>
          <w:szCs w:val="20"/>
          <w:lang w:val="pt-BR"/>
        </w:rPr>
        <w:t xml:space="preserve"> ao </w:t>
      </w:r>
      <w:r w:rsidR="00E045D9" w:rsidRPr="00D5464D">
        <w:rPr>
          <w:rFonts w:cs="Arial"/>
          <w:iCs/>
          <w:szCs w:val="20"/>
          <w:lang w:val="pt-BR"/>
        </w:rPr>
        <w:t>trabalho</w:t>
      </w:r>
      <w:r w:rsidR="00795D2F" w:rsidRPr="00D5464D">
        <w:rPr>
          <w:rFonts w:cs="Arial"/>
          <w:iCs/>
          <w:szCs w:val="20"/>
          <w:lang w:val="pt-BR"/>
        </w:rPr>
        <w:t xml:space="preserve"> </w:t>
      </w:r>
      <w:r w:rsidR="004F1CC2" w:rsidRPr="00D5464D">
        <w:rPr>
          <w:rFonts w:cs="Arial"/>
          <w:iCs/>
          <w:szCs w:val="20"/>
          <w:lang w:val="pt-BR"/>
        </w:rPr>
        <w:t>escravo</w:t>
      </w:r>
      <w:r w:rsidR="00FA0F9F" w:rsidRPr="00D5464D">
        <w:rPr>
          <w:rFonts w:cs="Arial"/>
          <w:iCs/>
          <w:szCs w:val="20"/>
          <w:lang w:val="pt-BR"/>
        </w:rPr>
        <w:t>.</w:t>
      </w:r>
      <w:r w:rsidR="00795D2F" w:rsidRPr="00D5464D">
        <w:rPr>
          <w:rFonts w:cs="Arial"/>
          <w:iCs/>
          <w:szCs w:val="20"/>
          <w:lang w:val="pt-BR"/>
        </w:rPr>
        <w:t xml:space="preserve"> </w:t>
      </w:r>
    </w:p>
    <w:p w14:paraId="2250FDB4" w14:textId="12187C70" w:rsidR="004B0842" w:rsidRPr="00D5464D" w:rsidRDefault="00350187"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Entretanto</w:t>
      </w:r>
      <w:r w:rsidR="00795D2F" w:rsidRPr="00D5464D">
        <w:rPr>
          <w:rFonts w:cs="Arial"/>
          <w:iCs/>
          <w:szCs w:val="20"/>
          <w:lang w:val="pt-BR"/>
        </w:rPr>
        <w:t>,</w:t>
      </w:r>
      <w:r w:rsidR="002C330E" w:rsidRPr="00D5464D">
        <w:rPr>
          <w:rFonts w:cs="Arial"/>
          <w:iCs/>
          <w:szCs w:val="20"/>
          <w:lang w:val="pt-BR"/>
        </w:rPr>
        <w:t xml:space="preserve"> a </w:t>
      </w:r>
      <w:r w:rsidR="004B0842" w:rsidRPr="00D5464D">
        <w:rPr>
          <w:rFonts w:cs="Arial"/>
          <w:iCs/>
          <w:szCs w:val="20"/>
          <w:lang w:val="pt-BR"/>
        </w:rPr>
        <w:t xml:space="preserve">Corte </w:t>
      </w:r>
      <w:r w:rsidR="00FA0F9F" w:rsidRPr="00D5464D">
        <w:rPr>
          <w:rFonts w:cs="Arial"/>
          <w:iCs/>
          <w:szCs w:val="20"/>
          <w:lang w:val="pt-BR"/>
        </w:rPr>
        <w:t>destaca</w:t>
      </w:r>
      <w:r w:rsidR="00FA0F9F" w:rsidRPr="00D5464D">
        <w:rPr>
          <w:rFonts w:cs="Arial"/>
          <w:b/>
          <w:iCs/>
          <w:szCs w:val="20"/>
          <w:lang w:val="pt-BR"/>
        </w:rPr>
        <w:t xml:space="preserve"> </w:t>
      </w:r>
      <w:r w:rsidR="004B0842" w:rsidRPr="00D5464D">
        <w:rPr>
          <w:rFonts w:cs="Arial"/>
          <w:iCs/>
          <w:szCs w:val="20"/>
          <w:lang w:val="pt-BR"/>
        </w:rPr>
        <w:t>que</w:t>
      </w:r>
      <w:r w:rsidR="00470ADC" w:rsidRPr="00D5464D">
        <w:rPr>
          <w:rFonts w:cs="Arial"/>
          <w:iCs/>
          <w:szCs w:val="20"/>
          <w:lang w:val="pt-BR"/>
        </w:rPr>
        <w:t xml:space="preserve"> o </w:t>
      </w:r>
      <w:r w:rsidR="004B0842" w:rsidRPr="00D5464D">
        <w:rPr>
          <w:rFonts w:cs="Arial"/>
          <w:iCs/>
          <w:szCs w:val="20"/>
          <w:lang w:val="pt-BR"/>
        </w:rPr>
        <w:t xml:space="preserve">Estado </w:t>
      </w:r>
      <w:r w:rsidR="00FF28D6" w:rsidRPr="00D5464D">
        <w:rPr>
          <w:rFonts w:cs="Arial"/>
          <w:iCs/>
          <w:szCs w:val="20"/>
          <w:lang w:val="pt-BR"/>
        </w:rPr>
        <w:t>b</w:t>
      </w:r>
      <w:r w:rsidR="00470ADC" w:rsidRPr="00D5464D">
        <w:rPr>
          <w:rFonts w:cs="Arial"/>
          <w:iCs/>
          <w:szCs w:val="20"/>
          <w:lang w:val="pt-BR"/>
        </w:rPr>
        <w:t>rasileir</w:t>
      </w:r>
      <w:r w:rsidR="004B0842" w:rsidRPr="00D5464D">
        <w:rPr>
          <w:rFonts w:cs="Arial"/>
          <w:iCs/>
          <w:szCs w:val="20"/>
          <w:lang w:val="pt-BR"/>
        </w:rPr>
        <w:t xml:space="preserve">o, </w:t>
      </w:r>
      <w:r w:rsidR="00230C71" w:rsidRPr="00D5464D">
        <w:rPr>
          <w:rFonts w:cs="Arial"/>
          <w:iCs/>
          <w:szCs w:val="20"/>
          <w:lang w:val="pt-BR"/>
        </w:rPr>
        <w:t xml:space="preserve">desde o </w:t>
      </w:r>
      <w:r w:rsidR="00470ADC" w:rsidRPr="00D5464D">
        <w:rPr>
          <w:rFonts w:cs="Arial"/>
          <w:iCs/>
          <w:szCs w:val="20"/>
          <w:lang w:val="pt-BR"/>
        </w:rPr>
        <w:t xml:space="preserve">ano </w:t>
      </w:r>
      <w:r w:rsidR="00FF28D6" w:rsidRPr="00D5464D">
        <w:rPr>
          <w:rFonts w:cs="Arial"/>
          <w:iCs/>
          <w:szCs w:val="20"/>
          <w:lang w:val="pt-BR"/>
        </w:rPr>
        <w:t xml:space="preserve">de </w:t>
      </w:r>
      <w:r w:rsidR="004B0842" w:rsidRPr="00D5464D">
        <w:rPr>
          <w:rFonts w:cs="Arial"/>
          <w:iCs/>
          <w:szCs w:val="20"/>
          <w:lang w:val="pt-BR"/>
        </w:rPr>
        <w:t>1995</w:t>
      </w:r>
      <w:r w:rsidR="00FF28D6" w:rsidRPr="00D5464D">
        <w:rPr>
          <w:rFonts w:cs="Arial"/>
          <w:iCs/>
          <w:szCs w:val="20"/>
          <w:lang w:val="pt-BR"/>
        </w:rPr>
        <w:t>,</w:t>
      </w:r>
      <w:r w:rsidR="004B0842" w:rsidRPr="00D5464D">
        <w:rPr>
          <w:rFonts w:cs="Arial"/>
          <w:iCs/>
          <w:szCs w:val="20"/>
          <w:lang w:val="pt-BR"/>
        </w:rPr>
        <w:t xml:space="preserve"> </w:t>
      </w:r>
      <w:r w:rsidR="00470ADC" w:rsidRPr="00D5464D">
        <w:rPr>
          <w:rFonts w:cs="Arial"/>
          <w:iCs/>
          <w:szCs w:val="20"/>
          <w:lang w:val="pt-BR"/>
        </w:rPr>
        <w:t xml:space="preserve">assumiu o </w:t>
      </w:r>
      <w:r w:rsidR="00E045D9" w:rsidRPr="00D5464D">
        <w:rPr>
          <w:rFonts w:cs="Arial"/>
          <w:iCs/>
          <w:szCs w:val="20"/>
          <w:lang w:val="pt-BR"/>
        </w:rPr>
        <w:t>compromisso</w:t>
      </w:r>
      <w:r w:rsidR="004B0842" w:rsidRPr="00D5464D">
        <w:rPr>
          <w:rFonts w:cs="Arial"/>
          <w:iCs/>
          <w:szCs w:val="20"/>
          <w:lang w:val="pt-BR"/>
        </w:rPr>
        <w:t xml:space="preserve"> de implementar diversas </w:t>
      </w:r>
      <w:r w:rsidR="00470ADC" w:rsidRPr="00D5464D">
        <w:rPr>
          <w:rFonts w:cs="Arial"/>
          <w:iCs/>
          <w:szCs w:val="20"/>
          <w:lang w:val="pt-BR"/>
        </w:rPr>
        <w:t>ações com</w:t>
      </w:r>
      <w:r w:rsidR="002C330E" w:rsidRPr="00D5464D">
        <w:rPr>
          <w:rFonts w:cs="Arial"/>
          <w:iCs/>
          <w:szCs w:val="20"/>
          <w:lang w:val="pt-BR"/>
        </w:rPr>
        <w:t xml:space="preserve"> a </w:t>
      </w:r>
      <w:r w:rsidR="00470ADC" w:rsidRPr="00D5464D">
        <w:rPr>
          <w:rFonts w:cs="Arial"/>
          <w:iCs/>
          <w:szCs w:val="20"/>
          <w:lang w:val="pt-BR"/>
        </w:rPr>
        <w:t xml:space="preserve">finalidade </w:t>
      </w:r>
      <w:r w:rsidR="004B0842" w:rsidRPr="00D5464D">
        <w:rPr>
          <w:rFonts w:cs="Arial"/>
          <w:iCs/>
          <w:szCs w:val="20"/>
          <w:lang w:val="pt-BR"/>
        </w:rPr>
        <w:t>de erradicar</w:t>
      </w:r>
      <w:r w:rsidR="00470ADC" w:rsidRPr="00D5464D">
        <w:rPr>
          <w:rFonts w:cs="Arial"/>
          <w:iCs/>
          <w:szCs w:val="20"/>
          <w:lang w:val="pt-BR"/>
        </w:rPr>
        <w:t xml:space="preserve"> o </w:t>
      </w:r>
      <w:r w:rsidR="00E045D9" w:rsidRPr="00D5464D">
        <w:rPr>
          <w:rFonts w:cs="Arial"/>
          <w:iCs/>
          <w:szCs w:val="20"/>
          <w:lang w:val="pt-BR"/>
        </w:rPr>
        <w:t>trabalho</w:t>
      </w:r>
      <w:r w:rsidR="001B63D0" w:rsidRPr="00D5464D">
        <w:rPr>
          <w:rFonts w:cs="Arial"/>
          <w:iCs/>
          <w:szCs w:val="20"/>
          <w:lang w:val="pt-BR"/>
        </w:rPr>
        <w:t xml:space="preserve"> </w:t>
      </w:r>
      <w:r w:rsidR="004F1CC2" w:rsidRPr="00D5464D">
        <w:rPr>
          <w:rFonts w:cs="Arial"/>
          <w:iCs/>
          <w:szCs w:val="20"/>
          <w:lang w:val="pt-BR"/>
        </w:rPr>
        <w:t>escravo</w:t>
      </w:r>
      <w:r w:rsidR="004B0842" w:rsidRPr="00D5464D">
        <w:rPr>
          <w:rFonts w:cs="Arial"/>
          <w:iCs/>
          <w:szCs w:val="20"/>
          <w:lang w:val="pt-BR"/>
        </w:rPr>
        <w:t xml:space="preserve">. Entre </w:t>
      </w:r>
      <w:r w:rsidRPr="00D5464D">
        <w:rPr>
          <w:rFonts w:cs="Arial"/>
          <w:iCs/>
          <w:szCs w:val="20"/>
          <w:lang w:val="pt-BR"/>
        </w:rPr>
        <w:t>estas</w:t>
      </w:r>
      <w:r w:rsidR="00FF28D6" w:rsidRPr="00D5464D">
        <w:rPr>
          <w:rFonts w:cs="Arial"/>
          <w:iCs/>
          <w:szCs w:val="20"/>
          <w:lang w:val="pt-BR"/>
        </w:rPr>
        <w:t>,</w:t>
      </w:r>
      <w:r w:rsidR="004B0842" w:rsidRPr="00D5464D">
        <w:rPr>
          <w:rFonts w:cs="Arial"/>
          <w:iCs/>
          <w:szCs w:val="20"/>
          <w:lang w:val="pt-BR"/>
        </w:rPr>
        <w:t xml:space="preserve"> </w:t>
      </w:r>
      <w:r w:rsidR="00470ADC" w:rsidRPr="00D5464D">
        <w:rPr>
          <w:rFonts w:cs="Arial"/>
          <w:iCs/>
          <w:szCs w:val="20"/>
          <w:lang w:val="pt-BR"/>
        </w:rPr>
        <w:t>destaca</w:t>
      </w:r>
      <w:r w:rsidR="00FF28D6" w:rsidRPr="00D5464D">
        <w:rPr>
          <w:rFonts w:cs="Arial"/>
          <w:iCs/>
          <w:szCs w:val="20"/>
          <w:lang w:val="pt-BR"/>
        </w:rPr>
        <w:t>-se</w:t>
      </w:r>
      <w:r w:rsidR="004B0842" w:rsidRPr="00D5464D">
        <w:rPr>
          <w:rFonts w:cs="Arial"/>
          <w:iCs/>
          <w:szCs w:val="20"/>
          <w:lang w:val="pt-BR"/>
        </w:rPr>
        <w:t xml:space="preserve"> </w:t>
      </w:r>
      <w:r w:rsidR="00470ADC" w:rsidRPr="00D5464D">
        <w:rPr>
          <w:rFonts w:cs="Arial"/>
          <w:iCs/>
          <w:szCs w:val="20"/>
          <w:lang w:val="pt-BR"/>
        </w:rPr>
        <w:t>algumas</w:t>
      </w:r>
      <w:r w:rsidR="004B0842" w:rsidRPr="00D5464D">
        <w:rPr>
          <w:rFonts w:cs="Arial"/>
          <w:iCs/>
          <w:szCs w:val="20"/>
          <w:lang w:val="pt-BR"/>
        </w:rPr>
        <w:t xml:space="preserve"> medidas importantes </w:t>
      </w:r>
      <w:r w:rsidR="00E765C2" w:rsidRPr="00D5464D">
        <w:rPr>
          <w:rFonts w:cs="Arial"/>
          <w:iCs/>
          <w:szCs w:val="20"/>
          <w:lang w:val="pt-BR"/>
        </w:rPr>
        <w:t>a seguir</w:t>
      </w:r>
      <w:r w:rsidR="004B0842" w:rsidRPr="00D5464D">
        <w:rPr>
          <w:rFonts w:cs="Arial"/>
          <w:iCs/>
          <w:szCs w:val="20"/>
          <w:lang w:val="pt-BR"/>
        </w:rPr>
        <w:t>:</w:t>
      </w:r>
    </w:p>
    <w:p w14:paraId="1821A288" w14:textId="77777777" w:rsidR="004B0842" w:rsidRPr="00D5464D" w:rsidRDefault="004B0842" w:rsidP="004B0842">
      <w:pPr>
        <w:pStyle w:val="Prrafodelista"/>
        <w:autoSpaceDE w:val="0"/>
        <w:autoSpaceDN w:val="0"/>
        <w:adjustRightInd w:val="0"/>
        <w:rPr>
          <w:rFonts w:cs="Arial"/>
          <w:iCs/>
          <w:szCs w:val="20"/>
          <w:lang w:val="pt-BR"/>
        </w:rPr>
      </w:pPr>
    </w:p>
    <w:p w14:paraId="5D650176" w14:textId="03B63ACF" w:rsidR="004B0842" w:rsidRPr="00D5464D" w:rsidRDefault="00C91CB1" w:rsidP="00F306D7">
      <w:pPr>
        <w:pStyle w:val="Prrafodelista"/>
        <w:numPr>
          <w:ilvl w:val="0"/>
          <w:numId w:val="12"/>
        </w:numPr>
        <w:autoSpaceDE w:val="0"/>
        <w:autoSpaceDN w:val="0"/>
        <w:adjustRightInd w:val="0"/>
        <w:spacing w:after="120"/>
        <w:ind w:hanging="11"/>
        <w:contextualSpacing w:val="0"/>
        <w:rPr>
          <w:rFonts w:cs="Arial"/>
          <w:iCs/>
          <w:szCs w:val="20"/>
          <w:lang w:val="pt-BR"/>
        </w:rPr>
      </w:pPr>
      <w:r w:rsidRPr="00D5464D">
        <w:rPr>
          <w:rFonts w:cs="Arial"/>
          <w:iCs/>
          <w:szCs w:val="20"/>
          <w:lang w:val="pt-BR"/>
        </w:rPr>
        <w:t xml:space="preserve">Em </w:t>
      </w:r>
      <w:r w:rsidR="004B0842" w:rsidRPr="00D5464D">
        <w:rPr>
          <w:rFonts w:cs="Arial"/>
          <w:iCs/>
          <w:szCs w:val="20"/>
          <w:lang w:val="pt-BR"/>
        </w:rPr>
        <w:t xml:space="preserve">1995, </w:t>
      </w:r>
      <w:r w:rsidR="00470ADC" w:rsidRPr="00D5464D">
        <w:rPr>
          <w:rFonts w:cs="Arial"/>
          <w:iCs/>
          <w:szCs w:val="20"/>
          <w:lang w:val="pt-BR"/>
        </w:rPr>
        <w:t xml:space="preserve">emitiu o </w:t>
      </w:r>
      <w:r w:rsidR="004B0842" w:rsidRPr="00D5464D">
        <w:rPr>
          <w:rFonts w:cs="Arial"/>
          <w:iCs/>
          <w:szCs w:val="20"/>
          <w:lang w:val="pt-BR"/>
        </w:rPr>
        <w:t>Decreto</w:t>
      </w:r>
      <w:r w:rsidR="00A1358C" w:rsidRPr="00D5464D">
        <w:rPr>
          <w:rFonts w:cs="Arial"/>
          <w:iCs/>
          <w:szCs w:val="20"/>
          <w:lang w:val="pt-BR"/>
        </w:rPr>
        <w:t xml:space="preserve"> nº </w:t>
      </w:r>
      <w:r w:rsidR="004B0842" w:rsidRPr="00D5464D">
        <w:rPr>
          <w:rFonts w:cs="Arial"/>
          <w:iCs/>
          <w:szCs w:val="20"/>
          <w:lang w:val="pt-BR"/>
        </w:rPr>
        <w:t>1.538,</w:t>
      </w:r>
      <w:r w:rsidR="002C330E" w:rsidRPr="00D5464D">
        <w:rPr>
          <w:rFonts w:cs="Arial"/>
          <w:iCs/>
          <w:szCs w:val="20"/>
          <w:lang w:val="pt-BR"/>
        </w:rPr>
        <w:t xml:space="preserve"> </w:t>
      </w:r>
      <w:r w:rsidR="00FF28D6" w:rsidRPr="00D5464D">
        <w:rPr>
          <w:rFonts w:cs="Arial"/>
          <w:iCs/>
          <w:szCs w:val="20"/>
          <w:lang w:val="pt-BR"/>
        </w:rPr>
        <w:t xml:space="preserve">através do qual </w:t>
      </w:r>
      <w:r w:rsidR="00470ADC" w:rsidRPr="00D5464D">
        <w:rPr>
          <w:rFonts w:cs="Arial"/>
          <w:iCs/>
          <w:szCs w:val="20"/>
          <w:lang w:val="pt-BR"/>
        </w:rPr>
        <w:t xml:space="preserve">criou o </w:t>
      </w:r>
      <w:r w:rsidR="004B0842" w:rsidRPr="00D5464D">
        <w:rPr>
          <w:rFonts w:cs="Arial"/>
          <w:iCs/>
          <w:szCs w:val="20"/>
          <w:lang w:val="pt-BR"/>
        </w:rPr>
        <w:t>Grupo Interministerial para Erradicar</w:t>
      </w:r>
      <w:r w:rsidR="00470ADC" w:rsidRPr="00D5464D">
        <w:rPr>
          <w:rFonts w:cs="Arial"/>
          <w:iCs/>
          <w:szCs w:val="20"/>
          <w:lang w:val="pt-BR"/>
        </w:rPr>
        <w:t xml:space="preserve"> o </w:t>
      </w:r>
      <w:r w:rsidR="00E045D9" w:rsidRPr="00D5464D">
        <w:rPr>
          <w:rFonts w:cs="Arial"/>
          <w:iCs/>
          <w:szCs w:val="20"/>
          <w:lang w:val="pt-BR"/>
        </w:rPr>
        <w:t>Trabalho</w:t>
      </w:r>
      <w:r w:rsidR="001B63D0" w:rsidRPr="00D5464D">
        <w:rPr>
          <w:rFonts w:cs="Arial"/>
          <w:iCs/>
          <w:szCs w:val="20"/>
          <w:lang w:val="pt-BR"/>
        </w:rPr>
        <w:t xml:space="preserve"> </w:t>
      </w:r>
      <w:r w:rsidR="00FF28D6" w:rsidRPr="00D5464D">
        <w:rPr>
          <w:rFonts w:cs="Arial"/>
          <w:iCs/>
          <w:szCs w:val="20"/>
          <w:lang w:val="pt-BR"/>
        </w:rPr>
        <w:t>F</w:t>
      </w:r>
      <w:r w:rsidR="00230C71" w:rsidRPr="00D5464D">
        <w:rPr>
          <w:rFonts w:cs="Arial"/>
          <w:iCs/>
          <w:szCs w:val="20"/>
          <w:lang w:val="pt-BR"/>
        </w:rPr>
        <w:t>orçado</w:t>
      </w:r>
      <w:r w:rsidR="004B0842" w:rsidRPr="00D5464D">
        <w:rPr>
          <w:rFonts w:cs="Arial"/>
          <w:iCs/>
          <w:szCs w:val="20"/>
          <w:lang w:val="pt-BR"/>
        </w:rPr>
        <w:t xml:space="preserve"> (GERTRAF), integrado por diversos </w:t>
      </w:r>
      <w:r w:rsidR="002C330E" w:rsidRPr="00D5464D">
        <w:rPr>
          <w:rFonts w:cs="Arial"/>
          <w:iCs/>
          <w:szCs w:val="20"/>
          <w:lang w:val="pt-BR"/>
        </w:rPr>
        <w:t>ministério</w:t>
      </w:r>
      <w:r w:rsidR="004B0842" w:rsidRPr="00D5464D">
        <w:rPr>
          <w:rFonts w:cs="Arial"/>
          <w:iCs/>
          <w:szCs w:val="20"/>
          <w:lang w:val="pt-BR"/>
        </w:rPr>
        <w:t>s</w:t>
      </w:r>
      <w:r w:rsidR="00E045D9" w:rsidRPr="00D5464D">
        <w:rPr>
          <w:rFonts w:cs="Arial"/>
          <w:iCs/>
          <w:szCs w:val="20"/>
          <w:lang w:val="pt-BR"/>
        </w:rPr>
        <w:t xml:space="preserve"> e </w:t>
      </w:r>
      <w:r w:rsidR="00470ADC" w:rsidRPr="00D5464D">
        <w:rPr>
          <w:rFonts w:cs="Arial"/>
          <w:iCs/>
          <w:szCs w:val="20"/>
          <w:lang w:val="pt-BR"/>
        </w:rPr>
        <w:t>coordenad</w:t>
      </w:r>
      <w:r w:rsidR="004B0842" w:rsidRPr="00D5464D">
        <w:rPr>
          <w:rFonts w:cs="Arial"/>
          <w:iCs/>
          <w:szCs w:val="20"/>
          <w:lang w:val="pt-BR"/>
        </w:rPr>
        <w:t>o</w:t>
      </w:r>
      <w:r w:rsidR="002C330E" w:rsidRPr="00D5464D">
        <w:rPr>
          <w:rFonts w:cs="Arial"/>
          <w:iCs/>
          <w:szCs w:val="20"/>
          <w:lang w:val="pt-BR"/>
        </w:rPr>
        <w:t xml:space="preserve"> pelo Ministério</w:t>
      </w:r>
      <w:r w:rsidR="004B0842" w:rsidRPr="00D5464D">
        <w:rPr>
          <w:rFonts w:cs="Arial"/>
          <w:iCs/>
          <w:szCs w:val="20"/>
          <w:lang w:val="pt-BR"/>
        </w:rPr>
        <w:t xml:space="preserve"> </w:t>
      </w:r>
      <w:r w:rsidR="00470ADC" w:rsidRPr="00D5464D">
        <w:rPr>
          <w:rFonts w:cs="Arial"/>
          <w:iCs/>
          <w:szCs w:val="20"/>
          <w:lang w:val="pt-BR"/>
        </w:rPr>
        <w:t xml:space="preserve">do </w:t>
      </w:r>
      <w:r w:rsidR="00E045D9" w:rsidRPr="00D5464D">
        <w:rPr>
          <w:rFonts w:cs="Arial"/>
          <w:iCs/>
          <w:szCs w:val="20"/>
          <w:lang w:val="pt-BR"/>
        </w:rPr>
        <w:t>Trabalho</w:t>
      </w:r>
      <w:r w:rsidR="004B0842" w:rsidRPr="00D5464D">
        <w:rPr>
          <w:rFonts w:cs="Arial"/>
          <w:iCs/>
          <w:szCs w:val="20"/>
          <w:lang w:val="pt-BR"/>
        </w:rPr>
        <w:t>,</w:t>
      </w:r>
      <w:r w:rsidR="00470ADC" w:rsidRPr="00D5464D">
        <w:rPr>
          <w:rFonts w:cs="Arial"/>
          <w:iCs/>
          <w:szCs w:val="20"/>
          <w:lang w:val="pt-BR"/>
        </w:rPr>
        <w:t xml:space="preserve"> com</w:t>
      </w:r>
      <w:r w:rsidR="002C330E" w:rsidRPr="00D5464D">
        <w:rPr>
          <w:rFonts w:cs="Arial"/>
          <w:iCs/>
          <w:szCs w:val="20"/>
          <w:lang w:val="pt-BR"/>
        </w:rPr>
        <w:t xml:space="preserve"> a </w:t>
      </w:r>
      <w:r w:rsidR="004B0842" w:rsidRPr="00D5464D">
        <w:rPr>
          <w:rFonts w:cs="Arial"/>
          <w:iCs/>
          <w:szCs w:val="20"/>
          <w:lang w:val="pt-BR"/>
        </w:rPr>
        <w:t>participa</w:t>
      </w:r>
      <w:r w:rsidR="00470ADC" w:rsidRPr="00D5464D">
        <w:rPr>
          <w:rFonts w:cs="Arial"/>
          <w:iCs/>
          <w:szCs w:val="20"/>
          <w:lang w:val="pt-BR"/>
        </w:rPr>
        <w:t>ção</w:t>
      </w:r>
      <w:r w:rsidR="004B0842" w:rsidRPr="00D5464D">
        <w:rPr>
          <w:rFonts w:cs="Arial"/>
          <w:iCs/>
          <w:szCs w:val="20"/>
          <w:lang w:val="pt-BR"/>
        </w:rPr>
        <w:t xml:space="preserve"> de </w:t>
      </w:r>
      <w:r w:rsidR="00E045D9" w:rsidRPr="00D5464D">
        <w:rPr>
          <w:rFonts w:cs="Arial"/>
          <w:iCs/>
          <w:szCs w:val="20"/>
          <w:lang w:val="pt-BR"/>
        </w:rPr>
        <w:t>várias</w:t>
      </w:r>
      <w:r w:rsidR="004B0842" w:rsidRPr="00D5464D">
        <w:rPr>
          <w:rFonts w:cs="Arial"/>
          <w:iCs/>
          <w:szCs w:val="20"/>
          <w:lang w:val="pt-BR"/>
        </w:rPr>
        <w:t xml:space="preserve"> entidades, </w:t>
      </w:r>
      <w:r w:rsidR="002C330E" w:rsidRPr="00D5464D">
        <w:rPr>
          <w:rFonts w:cs="Arial"/>
          <w:iCs/>
          <w:szCs w:val="20"/>
          <w:lang w:val="pt-BR"/>
        </w:rPr>
        <w:t>instituições</w:t>
      </w:r>
      <w:r w:rsidR="00E045D9" w:rsidRPr="00D5464D">
        <w:rPr>
          <w:rFonts w:cs="Arial"/>
          <w:iCs/>
          <w:szCs w:val="20"/>
          <w:lang w:val="pt-BR"/>
        </w:rPr>
        <w:t xml:space="preserve"> e </w:t>
      </w:r>
      <w:r w:rsidR="00FF28D6" w:rsidRPr="00D5464D">
        <w:rPr>
          <w:rFonts w:cs="Arial"/>
          <w:iCs/>
          <w:szCs w:val="20"/>
          <w:lang w:val="pt-BR"/>
        </w:rPr>
        <w:t>d</w:t>
      </w:r>
      <w:r w:rsidR="002C330E" w:rsidRPr="00D5464D">
        <w:rPr>
          <w:rFonts w:cs="Arial"/>
          <w:iCs/>
          <w:szCs w:val="20"/>
          <w:lang w:val="pt-BR"/>
        </w:rPr>
        <w:t xml:space="preserve">a </w:t>
      </w:r>
      <w:r w:rsidR="004B0842" w:rsidRPr="00D5464D">
        <w:rPr>
          <w:rFonts w:cs="Arial"/>
          <w:iCs/>
          <w:szCs w:val="20"/>
          <w:lang w:val="pt-BR"/>
        </w:rPr>
        <w:t>OIT.</w:t>
      </w:r>
      <w:r w:rsidR="004B0842" w:rsidRPr="00D5464D">
        <w:rPr>
          <w:rFonts w:cs="Arial"/>
          <w:b/>
          <w:iCs/>
          <w:szCs w:val="20"/>
          <w:lang w:val="pt-BR"/>
        </w:rPr>
        <w:t xml:space="preserve"> </w:t>
      </w:r>
      <w:r w:rsidR="00E045D9" w:rsidRPr="00D5464D">
        <w:rPr>
          <w:rFonts w:cs="Arial"/>
          <w:iCs/>
          <w:szCs w:val="20"/>
          <w:lang w:val="pt-BR"/>
        </w:rPr>
        <w:t>Também</w:t>
      </w:r>
      <w:r w:rsidR="00470ADC" w:rsidRPr="00D5464D">
        <w:rPr>
          <w:rFonts w:cs="Arial"/>
          <w:iCs/>
          <w:szCs w:val="20"/>
          <w:lang w:val="pt-BR"/>
        </w:rPr>
        <w:t xml:space="preserve"> </w:t>
      </w:r>
      <w:r w:rsidR="00FF28D6" w:rsidRPr="00D5464D">
        <w:rPr>
          <w:rFonts w:cs="Arial"/>
          <w:iCs/>
          <w:szCs w:val="20"/>
          <w:lang w:val="pt-BR"/>
        </w:rPr>
        <w:t xml:space="preserve">naquele </w:t>
      </w:r>
      <w:r w:rsidR="00E045D9" w:rsidRPr="00D5464D">
        <w:rPr>
          <w:rFonts w:cs="Arial"/>
          <w:iCs/>
          <w:szCs w:val="20"/>
          <w:lang w:val="pt-BR"/>
        </w:rPr>
        <w:t>ano,</w:t>
      </w:r>
      <w:r w:rsidR="00470ADC" w:rsidRPr="00D5464D">
        <w:rPr>
          <w:rFonts w:cs="Arial"/>
          <w:iCs/>
          <w:szCs w:val="20"/>
          <w:lang w:val="pt-BR"/>
        </w:rPr>
        <w:t xml:space="preserve"> o </w:t>
      </w:r>
      <w:r w:rsidR="004B0842" w:rsidRPr="00D5464D">
        <w:rPr>
          <w:rFonts w:cs="Arial"/>
          <w:iCs/>
          <w:szCs w:val="20"/>
          <w:lang w:val="pt-BR"/>
        </w:rPr>
        <w:t xml:space="preserve">Estado </w:t>
      </w:r>
      <w:r w:rsidR="00470ADC" w:rsidRPr="00D5464D">
        <w:rPr>
          <w:rFonts w:cs="Arial"/>
          <w:iCs/>
          <w:szCs w:val="20"/>
          <w:lang w:val="pt-BR"/>
        </w:rPr>
        <w:t xml:space="preserve">criou o </w:t>
      </w:r>
      <w:r w:rsidR="004B0842" w:rsidRPr="00D5464D">
        <w:rPr>
          <w:rFonts w:cs="Arial"/>
          <w:iCs/>
          <w:szCs w:val="20"/>
          <w:lang w:val="pt-BR"/>
        </w:rPr>
        <w:t>Grupo Especial de Fiscaliza</w:t>
      </w:r>
      <w:r w:rsidR="00470ADC" w:rsidRPr="00D5464D">
        <w:rPr>
          <w:rFonts w:cs="Arial"/>
          <w:iCs/>
          <w:szCs w:val="20"/>
          <w:lang w:val="pt-BR"/>
        </w:rPr>
        <w:t>ção</w:t>
      </w:r>
      <w:r w:rsidR="004B0842" w:rsidRPr="00D5464D">
        <w:rPr>
          <w:rFonts w:cs="Arial"/>
          <w:iCs/>
          <w:szCs w:val="20"/>
          <w:lang w:val="pt-BR"/>
        </w:rPr>
        <w:t xml:space="preserve"> </w:t>
      </w:r>
      <w:r w:rsidR="00631CD6" w:rsidRPr="00D5464D">
        <w:rPr>
          <w:rFonts w:cs="Arial"/>
          <w:iCs/>
          <w:szCs w:val="20"/>
          <w:lang w:val="pt-BR"/>
        </w:rPr>
        <w:t>Móvel</w:t>
      </w:r>
      <w:r w:rsidR="004B0842" w:rsidRPr="00D5464D">
        <w:rPr>
          <w:rFonts w:cs="Arial"/>
          <w:iCs/>
          <w:szCs w:val="20"/>
          <w:lang w:val="pt-BR"/>
        </w:rPr>
        <w:t xml:space="preserve">, </w:t>
      </w:r>
      <w:r w:rsidR="00FF28D6" w:rsidRPr="00D5464D">
        <w:rPr>
          <w:rFonts w:cs="Arial"/>
          <w:iCs/>
          <w:szCs w:val="20"/>
          <w:lang w:val="pt-BR"/>
        </w:rPr>
        <w:t xml:space="preserve">no </w:t>
      </w:r>
      <w:r w:rsidR="00470ADC" w:rsidRPr="00D5464D">
        <w:rPr>
          <w:rFonts w:cs="Arial"/>
          <w:iCs/>
          <w:szCs w:val="20"/>
          <w:lang w:val="pt-BR"/>
        </w:rPr>
        <w:t xml:space="preserve">âmbito da </w:t>
      </w:r>
      <w:r w:rsidR="002C330E" w:rsidRPr="00D5464D">
        <w:rPr>
          <w:rFonts w:cs="Arial"/>
          <w:iCs/>
          <w:szCs w:val="20"/>
          <w:lang w:val="pt-BR"/>
        </w:rPr>
        <w:t xml:space="preserve">Secretaria </w:t>
      </w:r>
      <w:r w:rsidR="004B0842" w:rsidRPr="00D5464D">
        <w:rPr>
          <w:rFonts w:cs="Arial"/>
          <w:iCs/>
          <w:szCs w:val="20"/>
          <w:lang w:val="pt-BR"/>
        </w:rPr>
        <w:t>de Fiscaliza</w:t>
      </w:r>
      <w:r w:rsidR="00470ADC" w:rsidRPr="00D5464D">
        <w:rPr>
          <w:rFonts w:cs="Arial"/>
          <w:iCs/>
          <w:szCs w:val="20"/>
          <w:lang w:val="pt-BR"/>
        </w:rPr>
        <w:t>ção</w:t>
      </w:r>
      <w:r w:rsidR="004B0842" w:rsidRPr="00D5464D">
        <w:rPr>
          <w:rFonts w:cs="Arial"/>
          <w:iCs/>
          <w:szCs w:val="20"/>
          <w:lang w:val="pt-BR"/>
        </w:rPr>
        <w:t xml:space="preserve"> </w:t>
      </w:r>
      <w:r w:rsidR="00470ADC" w:rsidRPr="00D5464D">
        <w:rPr>
          <w:rFonts w:cs="Arial"/>
          <w:iCs/>
          <w:szCs w:val="20"/>
          <w:lang w:val="pt-BR"/>
        </w:rPr>
        <w:t xml:space="preserve">do </w:t>
      </w:r>
      <w:r w:rsidR="00E045D9" w:rsidRPr="00D5464D">
        <w:rPr>
          <w:rFonts w:cs="Arial"/>
          <w:iCs/>
          <w:szCs w:val="20"/>
          <w:lang w:val="pt-BR"/>
        </w:rPr>
        <w:t>Trabalho</w:t>
      </w:r>
      <w:r w:rsidR="004B0842" w:rsidRPr="00D5464D">
        <w:rPr>
          <w:rFonts w:cs="Arial"/>
          <w:iCs/>
          <w:szCs w:val="20"/>
          <w:lang w:val="pt-BR"/>
        </w:rPr>
        <w:t xml:space="preserve"> </w:t>
      </w:r>
      <w:r w:rsidR="00470ADC" w:rsidRPr="00D5464D">
        <w:rPr>
          <w:rFonts w:cs="Arial"/>
          <w:iCs/>
          <w:szCs w:val="20"/>
          <w:lang w:val="pt-BR"/>
        </w:rPr>
        <w:t xml:space="preserve">do </w:t>
      </w:r>
      <w:r w:rsidR="002C330E" w:rsidRPr="00D5464D">
        <w:rPr>
          <w:rFonts w:cs="Arial"/>
          <w:iCs/>
          <w:szCs w:val="20"/>
          <w:lang w:val="pt-BR"/>
        </w:rPr>
        <w:t>Ministério</w:t>
      </w:r>
      <w:r w:rsidR="004B0842" w:rsidRPr="00D5464D">
        <w:rPr>
          <w:rFonts w:cs="Arial"/>
          <w:iCs/>
          <w:szCs w:val="20"/>
          <w:lang w:val="pt-BR"/>
        </w:rPr>
        <w:t xml:space="preserve"> </w:t>
      </w:r>
      <w:r w:rsidR="00470ADC" w:rsidRPr="00D5464D">
        <w:rPr>
          <w:rFonts w:cs="Arial"/>
          <w:iCs/>
          <w:szCs w:val="20"/>
          <w:lang w:val="pt-BR"/>
        </w:rPr>
        <w:t xml:space="preserve">do </w:t>
      </w:r>
      <w:r w:rsidR="00E045D9" w:rsidRPr="00D5464D">
        <w:rPr>
          <w:rFonts w:cs="Arial"/>
          <w:iCs/>
          <w:szCs w:val="20"/>
          <w:lang w:val="pt-BR"/>
        </w:rPr>
        <w:t>Trabalho</w:t>
      </w:r>
      <w:r w:rsidR="004B0842" w:rsidRPr="00D5464D">
        <w:rPr>
          <w:rFonts w:cs="Arial"/>
          <w:iCs/>
          <w:szCs w:val="20"/>
          <w:lang w:val="pt-BR"/>
        </w:rPr>
        <w:t>,</w:t>
      </w:r>
      <w:r w:rsidR="00470ADC" w:rsidRPr="00D5464D">
        <w:rPr>
          <w:rFonts w:cs="Arial"/>
          <w:iCs/>
          <w:szCs w:val="20"/>
          <w:lang w:val="pt-BR"/>
        </w:rPr>
        <w:t xml:space="preserve"> com </w:t>
      </w:r>
      <w:r w:rsidR="00230C71" w:rsidRPr="00D5464D">
        <w:rPr>
          <w:rFonts w:cs="Arial"/>
          <w:iCs/>
          <w:szCs w:val="20"/>
          <w:lang w:val="pt-BR"/>
        </w:rPr>
        <w:t>atribuições</w:t>
      </w:r>
      <w:r w:rsidR="004B0842" w:rsidRPr="00D5464D">
        <w:rPr>
          <w:rFonts w:cs="Arial"/>
          <w:iCs/>
          <w:szCs w:val="20"/>
          <w:lang w:val="pt-BR"/>
        </w:rPr>
        <w:t xml:space="preserve"> para </w:t>
      </w:r>
      <w:r w:rsidR="00470ADC" w:rsidRPr="00D5464D">
        <w:rPr>
          <w:rFonts w:cs="Arial"/>
          <w:iCs/>
          <w:szCs w:val="20"/>
          <w:lang w:val="pt-BR"/>
        </w:rPr>
        <w:t>atuar</w:t>
      </w:r>
      <w:r w:rsidR="00E045D9" w:rsidRPr="00D5464D">
        <w:rPr>
          <w:rFonts w:cs="Arial"/>
          <w:iCs/>
          <w:szCs w:val="20"/>
          <w:lang w:val="pt-BR"/>
        </w:rPr>
        <w:t xml:space="preserve"> no </w:t>
      </w:r>
      <w:r w:rsidR="002C330E" w:rsidRPr="00D5464D">
        <w:rPr>
          <w:rFonts w:cs="Arial"/>
          <w:iCs/>
          <w:szCs w:val="20"/>
          <w:lang w:val="pt-BR"/>
        </w:rPr>
        <w:t xml:space="preserve">meio </w:t>
      </w:r>
      <w:r w:rsidR="004B0842" w:rsidRPr="00D5464D">
        <w:rPr>
          <w:rFonts w:cs="Arial"/>
          <w:iCs/>
          <w:szCs w:val="20"/>
          <w:lang w:val="pt-BR"/>
        </w:rPr>
        <w:t xml:space="preserve">rural e investigar </w:t>
      </w:r>
      <w:r w:rsidR="00470ADC" w:rsidRPr="00D5464D">
        <w:rPr>
          <w:rFonts w:cs="Arial"/>
          <w:iCs/>
          <w:szCs w:val="20"/>
          <w:lang w:val="pt-BR"/>
        </w:rPr>
        <w:t xml:space="preserve">denúncias </w:t>
      </w:r>
      <w:r w:rsidR="004B0842" w:rsidRPr="00D5464D">
        <w:rPr>
          <w:rFonts w:cs="Arial"/>
          <w:iCs/>
          <w:szCs w:val="20"/>
          <w:lang w:val="pt-BR"/>
        </w:rPr>
        <w:t xml:space="preserve">de </w:t>
      </w:r>
      <w:r w:rsidR="00E045D9" w:rsidRPr="00D5464D">
        <w:rPr>
          <w:rFonts w:cs="Arial"/>
          <w:iCs/>
          <w:szCs w:val="20"/>
          <w:lang w:val="pt-BR"/>
        </w:rPr>
        <w:t>trabalho</w:t>
      </w:r>
      <w:r w:rsidR="004B0842" w:rsidRPr="00D5464D">
        <w:rPr>
          <w:rFonts w:cs="Arial"/>
          <w:iCs/>
          <w:szCs w:val="20"/>
          <w:lang w:val="pt-BR"/>
        </w:rPr>
        <w:t xml:space="preserve"> </w:t>
      </w:r>
      <w:r w:rsidR="004F1CC2" w:rsidRPr="00D5464D">
        <w:rPr>
          <w:rFonts w:cs="Arial"/>
          <w:iCs/>
          <w:szCs w:val="20"/>
          <w:lang w:val="pt-BR"/>
        </w:rPr>
        <w:t>escravo</w:t>
      </w:r>
      <w:r w:rsidR="004B0842" w:rsidRPr="00D5464D">
        <w:rPr>
          <w:rFonts w:cs="Arial"/>
          <w:iCs/>
          <w:szCs w:val="20"/>
          <w:lang w:val="pt-BR"/>
        </w:rPr>
        <w:t xml:space="preserve">, </w:t>
      </w:r>
      <w:r w:rsidR="00FF28D6" w:rsidRPr="00D5464D">
        <w:rPr>
          <w:rFonts w:cs="Arial"/>
          <w:iCs/>
          <w:szCs w:val="20"/>
          <w:lang w:val="pt-BR"/>
        </w:rPr>
        <w:t>apoiando</w:t>
      </w:r>
      <w:r w:rsidR="002C330E" w:rsidRPr="00D5464D">
        <w:rPr>
          <w:rFonts w:cs="Arial"/>
          <w:iCs/>
          <w:szCs w:val="20"/>
          <w:lang w:val="pt-BR"/>
        </w:rPr>
        <w:t xml:space="preserve"> as </w:t>
      </w:r>
      <w:r w:rsidR="004B0842" w:rsidRPr="00D5464D">
        <w:rPr>
          <w:rFonts w:cs="Arial"/>
          <w:iCs/>
          <w:szCs w:val="20"/>
          <w:lang w:val="pt-BR"/>
        </w:rPr>
        <w:t>opera</w:t>
      </w:r>
      <w:r w:rsidR="00470ADC" w:rsidRPr="00D5464D">
        <w:rPr>
          <w:rFonts w:cs="Arial"/>
          <w:iCs/>
          <w:szCs w:val="20"/>
          <w:lang w:val="pt-BR"/>
        </w:rPr>
        <w:t>ções</w:t>
      </w:r>
      <w:r w:rsidR="004B0842" w:rsidRPr="00D5464D">
        <w:rPr>
          <w:rFonts w:cs="Arial"/>
          <w:iCs/>
          <w:szCs w:val="20"/>
          <w:lang w:val="pt-BR"/>
        </w:rPr>
        <w:t xml:space="preserve"> </w:t>
      </w:r>
      <w:r w:rsidR="00470ADC" w:rsidRPr="00D5464D">
        <w:rPr>
          <w:rFonts w:cs="Arial"/>
          <w:iCs/>
          <w:szCs w:val="20"/>
          <w:lang w:val="pt-BR"/>
        </w:rPr>
        <w:t xml:space="preserve">do </w:t>
      </w:r>
      <w:r w:rsidR="004B0842" w:rsidRPr="00D5464D">
        <w:rPr>
          <w:rFonts w:cs="Arial"/>
          <w:iCs/>
          <w:szCs w:val="20"/>
          <w:lang w:val="pt-BR"/>
        </w:rPr>
        <w:t>Grupo Interministerial para Erradicar</w:t>
      </w:r>
      <w:r w:rsidR="00470ADC" w:rsidRPr="00D5464D">
        <w:rPr>
          <w:rFonts w:cs="Arial"/>
          <w:iCs/>
          <w:szCs w:val="20"/>
          <w:lang w:val="pt-BR"/>
        </w:rPr>
        <w:t xml:space="preserve"> o </w:t>
      </w:r>
      <w:r w:rsidR="00E045D9" w:rsidRPr="00D5464D">
        <w:rPr>
          <w:rFonts w:cs="Arial"/>
          <w:iCs/>
          <w:szCs w:val="20"/>
          <w:lang w:val="pt-BR"/>
        </w:rPr>
        <w:t>Trabalho</w:t>
      </w:r>
      <w:r w:rsidR="001B63D0" w:rsidRPr="00D5464D">
        <w:rPr>
          <w:rFonts w:cs="Arial"/>
          <w:iCs/>
          <w:szCs w:val="20"/>
          <w:lang w:val="pt-BR"/>
        </w:rPr>
        <w:t xml:space="preserve"> </w:t>
      </w:r>
      <w:r w:rsidR="00FF28D6" w:rsidRPr="00D5464D">
        <w:rPr>
          <w:rFonts w:cs="Arial"/>
          <w:iCs/>
          <w:szCs w:val="20"/>
          <w:lang w:val="pt-BR"/>
        </w:rPr>
        <w:t>F</w:t>
      </w:r>
      <w:r w:rsidR="00230C71" w:rsidRPr="00D5464D">
        <w:rPr>
          <w:rFonts w:cs="Arial"/>
          <w:iCs/>
          <w:szCs w:val="20"/>
          <w:lang w:val="pt-BR"/>
        </w:rPr>
        <w:t>orçado</w:t>
      </w:r>
      <w:r w:rsidR="00A1358C" w:rsidRPr="00D5464D">
        <w:rPr>
          <w:rFonts w:cs="Arial"/>
          <w:iCs/>
          <w:szCs w:val="20"/>
          <w:lang w:val="pt-BR"/>
        </w:rPr>
        <w:t xml:space="preserve">. O </w:t>
      </w:r>
      <w:r w:rsidR="00DB5A03" w:rsidRPr="00D5464D">
        <w:rPr>
          <w:rFonts w:cs="Arial"/>
          <w:iCs/>
          <w:szCs w:val="20"/>
          <w:lang w:val="pt-BR"/>
        </w:rPr>
        <w:t xml:space="preserve">Grupo </w:t>
      </w:r>
      <w:r w:rsidR="00631CD6" w:rsidRPr="00D5464D">
        <w:rPr>
          <w:rFonts w:cs="Arial"/>
          <w:iCs/>
          <w:szCs w:val="20"/>
          <w:lang w:val="pt-BR"/>
        </w:rPr>
        <w:t>Móvel</w:t>
      </w:r>
      <w:r w:rsidR="00DB5A03" w:rsidRPr="00D5464D">
        <w:rPr>
          <w:rFonts w:cs="Arial"/>
          <w:iCs/>
          <w:szCs w:val="20"/>
          <w:lang w:val="pt-BR"/>
        </w:rPr>
        <w:t xml:space="preserve"> </w:t>
      </w:r>
      <w:r w:rsidR="00FF28D6" w:rsidRPr="00D5464D">
        <w:rPr>
          <w:rFonts w:cs="Arial"/>
          <w:iCs/>
          <w:szCs w:val="20"/>
          <w:lang w:val="pt-BR"/>
        </w:rPr>
        <w:t xml:space="preserve">foi considerado </w:t>
      </w:r>
      <w:r w:rsidR="00E045D9" w:rsidRPr="00D5464D">
        <w:rPr>
          <w:rFonts w:cs="Arial"/>
          <w:iCs/>
          <w:szCs w:val="20"/>
          <w:lang w:val="pt-BR"/>
        </w:rPr>
        <w:t xml:space="preserve">um </w:t>
      </w:r>
      <w:r w:rsidR="004B0842" w:rsidRPr="00D5464D">
        <w:rPr>
          <w:rFonts w:cs="Arial"/>
          <w:iCs/>
          <w:szCs w:val="20"/>
          <w:lang w:val="pt-BR"/>
        </w:rPr>
        <w:t>instrumento eficiente para res</w:t>
      </w:r>
      <w:r w:rsidR="00FF28D6" w:rsidRPr="00D5464D">
        <w:rPr>
          <w:rFonts w:cs="Arial"/>
          <w:iCs/>
          <w:szCs w:val="20"/>
          <w:lang w:val="pt-BR"/>
        </w:rPr>
        <w:t>g</w:t>
      </w:r>
      <w:r w:rsidR="004B0842" w:rsidRPr="00D5464D">
        <w:rPr>
          <w:rFonts w:cs="Arial"/>
          <w:iCs/>
          <w:szCs w:val="20"/>
          <w:lang w:val="pt-BR"/>
        </w:rPr>
        <w:t xml:space="preserve">atar </w:t>
      </w:r>
      <w:r w:rsidR="002C330E" w:rsidRPr="00D5464D">
        <w:rPr>
          <w:rFonts w:cs="Arial"/>
          <w:iCs/>
          <w:szCs w:val="20"/>
          <w:lang w:val="pt-BR"/>
        </w:rPr>
        <w:t>pessoa</w:t>
      </w:r>
      <w:r w:rsidR="004B0842" w:rsidRPr="00D5464D">
        <w:rPr>
          <w:rFonts w:cs="Arial"/>
          <w:iCs/>
          <w:szCs w:val="20"/>
          <w:lang w:val="pt-BR"/>
        </w:rPr>
        <w:t xml:space="preserve">s </w:t>
      </w:r>
      <w:r w:rsidR="00C60F2E" w:rsidRPr="00D5464D">
        <w:rPr>
          <w:rFonts w:cs="Arial"/>
          <w:iCs/>
          <w:szCs w:val="20"/>
          <w:lang w:val="pt-BR"/>
        </w:rPr>
        <w:t xml:space="preserve">da </w:t>
      </w:r>
      <w:r w:rsidR="00FF28D6" w:rsidRPr="00D5464D">
        <w:rPr>
          <w:rFonts w:cs="Arial"/>
          <w:iCs/>
          <w:szCs w:val="20"/>
          <w:lang w:val="pt-BR"/>
        </w:rPr>
        <w:t xml:space="preserve">condição </w:t>
      </w:r>
      <w:r w:rsidR="004B0842" w:rsidRPr="00D5464D">
        <w:rPr>
          <w:rFonts w:cs="Arial"/>
          <w:iCs/>
          <w:szCs w:val="20"/>
          <w:lang w:val="pt-BR"/>
        </w:rPr>
        <w:t xml:space="preserve">de </w:t>
      </w:r>
      <w:r w:rsidR="00E045D9" w:rsidRPr="00D5464D">
        <w:rPr>
          <w:rFonts w:cs="Arial"/>
          <w:iCs/>
          <w:szCs w:val="20"/>
          <w:lang w:val="pt-BR"/>
        </w:rPr>
        <w:t>trabalho</w:t>
      </w:r>
      <w:r w:rsidR="001B63D0" w:rsidRPr="00D5464D">
        <w:rPr>
          <w:rFonts w:cs="Arial"/>
          <w:iCs/>
          <w:szCs w:val="20"/>
          <w:lang w:val="pt-BR"/>
        </w:rPr>
        <w:t xml:space="preserve"> </w:t>
      </w:r>
      <w:r w:rsidR="004F1CC2" w:rsidRPr="00D5464D">
        <w:rPr>
          <w:rFonts w:cs="Arial"/>
          <w:iCs/>
          <w:szCs w:val="20"/>
          <w:lang w:val="pt-BR"/>
        </w:rPr>
        <w:t>escravo</w:t>
      </w:r>
      <w:r w:rsidR="004B0842" w:rsidRPr="00D5464D">
        <w:rPr>
          <w:rFonts w:cs="Arial"/>
          <w:iCs/>
          <w:szCs w:val="20"/>
          <w:lang w:val="pt-BR"/>
        </w:rPr>
        <w:t xml:space="preserve">, </w:t>
      </w:r>
      <w:r w:rsidR="00737270" w:rsidRPr="00D5464D">
        <w:rPr>
          <w:rFonts w:cs="Arial"/>
          <w:iCs/>
          <w:szCs w:val="20"/>
          <w:lang w:val="pt-BR"/>
        </w:rPr>
        <w:t>impor</w:t>
      </w:r>
      <w:r w:rsidR="002C330E" w:rsidRPr="00D5464D">
        <w:rPr>
          <w:rFonts w:cs="Arial"/>
          <w:iCs/>
          <w:szCs w:val="20"/>
          <w:lang w:val="pt-BR"/>
        </w:rPr>
        <w:t xml:space="preserve"> </w:t>
      </w:r>
      <w:r w:rsidR="004B0842" w:rsidRPr="00D5464D">
        <w:rPr>
          <w:rFonts w:cs="Arial"/>
          <w:iCs/>
          <w:szCs w:val="20"/>
          <w:lang w:val="pt-BR"/>
        </w:rPr>
        <w:t>san</w:t>
      </w:r>
      <w:r w:rsidR="00470ADC" w:rsidRPr="00D5464D">
        <w:rPr>
          <w:rFonts w:cs="Arial"/>
          <w:iCs/>
          <w:szCs w:val="20"/>
          <w:lang w:val="pt-BR"/>
        </w:rPr>
        <w:t>ções</w:t>
      </w:r>
      <w:r w:rsidR="004B0842" w:rsidRPr="00D5464D">
        <w:rPr>
          <w:rFonts w:cs="Arial"/>
          <w:iCs/>
          <w:szCs w:val="20"/>
          <w:lang w:val="pt-BR"/>
        </w:rPr>
        <w:t xml:space="preserve"> administrativas,</w:t>
      </w:r>
      <w:r w:rsidR="00470ADC" w:rsidRPr="00D5464D">
        <w:rPr>
          <w:rFonts w:cs="Arial"/>
          <w:iCs/>
          <w:szCs w:val="20"/>
          <w:lang w:val="pt-BR"/>
        </w:rPr>
        <w:t xml:space="preserve"> o </w:t>
      </w:r>
      <w:r w:rsidR="002C330E" w:rsidRPr="00D5464D">
        <w:rPr>
          <w:rFonts w:cs="Arial"/>
          <w:iCs/>
          <w:szCs w:val="20"/>
          <w:lang w:val="pt-BR"/>
        </w:rPr>
        <w:t>pagamento</w:t>
      </w:r>
      <w:r w:rsidR="004B0842" w:rsidRPr="00D5464D">
        <w:rPr>
          <w:rFonts w:cs="Arial"/>
          <w:iCs/>
          <w:szCs w:val="20"/>
          <w:lang w:val="pt-BR"/>
        </w:rPr>
        <w:t xml:space="preserve"> de </w:t>
      </w:r>
      <w:r w:rsidR="002C330E" w:rsidRPr="00D5464D">
        <w:rPr>
          <w:rFonts w:cs="Arial"/>
          <w:iCs/>
          <w:szCs w:val="20"/>
          <w:lang w:val="pt-BR"/>
        </w:rPr>
        <w:t>indenizações</w:t>
      </w:r>
      <w:r w:rsidR="00E045D9" w:rsidRPr="00D5464D">
        <w:rPr>
          <w:rFonts w:cs="Arial"/>
          <w:iCs/>
          <w:szCs w:val="20"/>
          <w:lang w:val="pt-BR"/>
        </w:rPr>
        <w:t xml:space="preserve"> e </w:t>
      </w:r>
      <w:r w:rsidR="002C330E" w:rsidRPr="00D5464D">
        <w:rPr>
          <w:rFonts w:cs="Arial"/>
          <w:iCs/>
          <w:szCs w:val="20"/>
          <w:lang w:val="pt-BR"/>
        </w:rPr>
        <w:t xml:space="preserve">a </w:t>
      </w:r>
      <w:r w:rsidR="004B0842" w:rsidRPr="00D5464D">
        <w:rPr>
          <w:rFonts w:cs="Arial"/>
          <w:iCs/>
          <w:szCs w:val="20"/>
          <w:lang w:val="pt-BR"/>
        </w:rPr>
        <w:t>recopila</w:t>
      </w:r>
      <w:r w:rsidR="00470ADC" w:rsidRPr="00D5464D">
        <w:rPr>
          <w:rFonts w:cs="Arial"/>
          <w:iCs/>
          <w:szCs w:val="20"/>
          <w:lang w:val="pt-BR"/>
        </w:rPr>
        <w:t>ção</w:t>
      </w:r>
      <w:r w:rsidR="004B0842" w:rsidRPr="00D5464D">
        <w:rPr>
          <w:rFonts w:cs="Arial"/>
          <w:iCs/>
          <w:szCs w:val="20"/>
          <w:lang w:val="pt-BR"/>
        </w:rPr>
        <w:t xml:space="preserve"> de </w:t>
      </w:r>
      <w:r w:rsidR="002C330E" w:rsidRPr="00D5464D">
        <w:rPr>
          <w:rFonts w:cs="Arial"/>
          <w:iCs/>
          <w:szCs w:val="20"/>
          <w:lang w:val="pt-BR"/>
        </w:rPr>
        <w:t>prova</w:t>
      </w:r>
      <w:r w:rsidR="004B0842" w:rsidRPr="00D5464D">
        <w:rPr>
          <w:rFonts w:cs="Arial"/>
          <w:iCs/>
          <w:szCs w:val="20"/>
          <w:lang w:val="pt-BR"/>
        </w:rPr>
        <w:t>s por</w:t>
      </w:r>
      <w:r w:rsidR="00470ADC" w:rsidRPr="00D5464D">
        <w:rPr>
          <w:rFonts w:cs="Arial"/>
          <w:iCs/>
          <w:szCs w:val="20"/>
          <w:lang w:val="pt-BR"/>
        </w:rPr>
        <w:t xml:space="preserve"> estes </w:t>
      </w:r>
      <w:r w:rsidR="002C330E" w:rsidRPr="00D5464D">
        <w:rPr>
          <w:rFonts w:cs="Arial"/>
          <w:iCs/>
          <w:szCs w:val="20"/>
          <w:lang w:val="pt-BR"/>
        </w:rPr>
        <w:t>fatos</w:t>
      </w:r>
      <w:r w:rsidR="004B0842" w:rsidRPr="00D5464D">
        <w:rPr>
          <w:rFonts w:cs="Arial"/>
          <w:iCs/>
          <w:szCs w:val="20"/>
          <w:lang w:val="pt-BR"/>
        </w:rPr>
        <w:t>,</w:t>
      </w:r>
      <w:r w:rsidRPr="00D5464D">
        <w:rPr>
          <w:rFonts w:cs="Arial"/>
          <w:iCs/>
          <w:szCs w:val="20"/>
          <w:lang w:val="pt-BR"/>
        </w:rPr>
        <w:t xml:space="preserve"> </w:t>
      </w:r>
      <w:r w:rsidR="00FF28D6" w:rsidRPr="00D5464D">
        <w:rPr>
          <w:rFonts w:cs="Arial"/>
          <w:iCs/>
          <w:szCs w:val="20"/>
          <w:lang w:val="pt-BR"/>
        </w:rPr>
        <w:t xml:space="preserve">de modo a </w:t>
      </w:r>
      <w:r w:rsidRPr="00D5464D">
        <w:rPr>
          <w:rFonts w:cs="Arial"/>
          <w:iCs/>
          <w:szCs w:val="20"/>
          <w:lang w:val="pt-BR"/>
        </w:rPr>
        <w:t>possibilit</w:t>
      </w:r>
      <w:r w:rsidR="004B0842" w:rsidRPr="00D5464D">
        <w:rPr>
          <w:rFonts w:cs="Arial"/>
          <w:iCs/>
          <w:szCs w:val="20"/>
          <w:lang w:val="pt-BR"/>
        </w:rPr>
        <w:t>ar</w:t>
      </w:r>
      <w:r w:rsidR="002C330E" w:rsidRPr="00D5464D">
        <w:rPr>
          <w:rFonts w:cs="Arial"/>
          <w:iCs/>
          <w:szCs w:val="20"/>
          <w:lang w:val="pt-BR"/>
        </w:rPr>
        <w:t xml:space="preserve"> as </w:t>
      </w:r>
      <w:r w:rsidR="004B0842" w:rsidRPr="00D5464D">
        <w:rPr>
          <w:rFonts w:cs="Arial"/>
          <w:iCs/>
          <w:szCs w:val="20"/>
          <w:lang w:val="pt-BR"/>
        </w:rPr>
        <w:t>condi</w:t>
      </w:r>
      <w:r w:rsidR="00470ADC" w:rsidRPr="00D5464D">
        <w:rPr>
          <w:rFonts w:cs="Arial"/>
          <w:iCs/>
          <w:szCs w:val="20"/>
          <w:lang w:val="pt-BR"/>
        </w:rPr>
        <w:t>ções</w:t>
      </w:r>
      <w:r w:rsidR="004B0842" w:rsidRPr="00D5464D">
        <w:rPr>
          <w:rFonts w:cs="Arial"/>
          <w:iCs/>
          <w:szCs w:val="20"/>
          <w:lang w:val="pt-BR"/>
        </w:rPr>
        <w:t xml:space="preserve"> de </w:t>
      </w:r>
      <w:r w:rsidR="00737270" w:rsidRPr="00D5464D">
        <w:rPr>
          <w:rFonts w:cs="Arial"/>
          <w:iCs/>
          <w:szCs w:val="20"/>
          <w:lang w:val="pt-BR"/>
        </w:rPr>
        <w:t>atuação</w:t>
      </w:r>
      <w:r w:rsidR="004B0842" w:rsidRPr="00D5464D">
        <w:rPr>
          <w:rFonts w:cs="Arial"/>
          <w:iCs/>
          <w:szCs w:val="20"/>
          <w:lang w:val="pt-BR"/>
        </w:rPr>
        <w:t xml:space="preserve"> </w:t>
      </w:r>
      <w:r w:rsidR="00470ADC" w:rsidRPr="00D5464D">
        <w:rPr>
          <w:rFonts w:cs="Arial"/>
          <w:iCs/>
          <w:szCs w:val="20"/>
          <w:lang w:val="pt-BR"/>
        </w:rPr>
        <w:t xml:space="preserve">do </w:t>
      </w:r>
      <w:r w:rsidR="002C330E" w:rsidRPr="00D5464D">
        <w:rPr>
          <w:rFonts w:cs="Arial"/>
          <w:iCs/>
          <w:szCs w:val="20"/>
          <w:lang w:val="pt-BR"/>
        </w:rPr>
        <w:t>Ministério</w:t>
      </w:r>
      <w:r w:rsidR="004B0842" w:rsidRPr="00D5464D">
        <w:rPr>
          <w:rFonts w:cs="Arial"/>
          <w:iCs/>
          <w:szCs w:val="20"/>
          <w:lang w:val="pt-BR"/>
        </w:rPr>
        <w:t xml:space="preserve"> Público Federal</w:t>
      </w:r>
      <w:r w:rsidR="00E045D9" w:rsidRPr="00D5464D">
        <w:rPr>
          <w:rFonts w:cs="Arial"/>
          <w:iCs/>
          <w:szCs w:val="20"/>
          <w:lang w:val="pt-BR"/>
        </w:rPr>
        <w:t xml:space="preserve"> e </w:t>
      </w:r>
      <w:r w:rsidR="00470ADC" w:rsidRPr="00D5464D">
        <w:rPr>
          <w:rFonts w:cs="Arial"/>
          <w:iCs/>
          <w:szCs w:val="20"/>
          <w:lang w:val="pt-BR"/>
        </w:rPr>
        <w:t xml:space="preserve">do </w:t>
      </w:r>
      <w:r w:rsidR="00EB1CE9" w:rsidRPr="00D5464D">
        <w:rPr>
          <w:rFonts w:cs="Arial"/>
          <w:iCs/>
          <w:szCs w:val="20"/>
          <w:lang w:val="pt-BR"/>
        </w:rPr>
        <w:t>Poder Judiciário</w:t>
      </w:r>
      <w:r w:rsidR="004B0842" w:rsidRPr="00D5464D">
        <w:rPr>
          <w:rFonts w:cs="Arial"/>
          <w:iCs/>
          <w:szCs w:val="20"/>
          <w:lang w:val="pt-BR"/>
        </w:rPr>
        <w:t xml:space="preserve">; </w:t>
      </w:r>
    </w:p>
    <w:p w14:paraId="06F605B4" w14:textId="7C5B5454" w:rsidR="004B0842" w:rsidRPr="00D5464D" w:rsidRDefault="00A1358C" w:rsidP="00F306D7">
      <w:pPr>
        <w:pStyle w:val="Prrafodelista"/>
        <w:numPr>
          <w:ilvl w:val="0"/>
          <w:numId w:val="12"/>
        </w:numPr>
        <w:autoSpaceDE w:val="0"/>
        <w:autoSpaceDN w:val="0"/>
        <w:adjustRightInd w:val="0"/>
        <w:spacing w:after="120"/>
        <w:ind w:hanging="11"/>
        <w:contextualSpacing w:val="0"/>
        <w:rPr>
          <w:rFonts w:cs="Arial"/>
          <w:iCs/>
          <w:szCs w:val="20"/>
          <w:lang w:val="pt-BR"/>
        </w:rPr>
      </w:pPr>
      <w:r w:rsidRPr="00D5464D">
        <w:rPr>
          <w:rFonts w:cs="Arial"/>
          <w:iCs/>
          <w:szCs w:val="20"/>
          <w:lang w:val="pt-BR"/>
        </w:rPr>
        <w:t xml:space="preserve">Por </w:t>
      </w:r>
      <w:r w:rsidR="00FF28D6" w:rsidRPr="00D5464D">
        <w:rPr>
          <w:rFonts w:cs="Arial"/>
          <w:iCs/>
          <w:szCs w:val="20"/>
          <w:lang w:val="pt-BR"/>
        </w:rPr>
        <w:t>outra parte</w:t>
      </w:r>
      <w:r w:rsidRPr="00D5464D">
        <w:rPr>
          <w:rFonts w:cs="Arial"/>
          <w:iCs/>
          <w:szCs w:val="20"/>
          <w:lang w:val="pt-BR"/>
        </w:rPr>
        <w:t>,</w:t>
      </w:r>
      <w:r w:rsidR="00470ADC" w:rsidRPr="00D5464D">
        <w:rPr>
          <w:rFonts w:cs="Arial"/>
          <w:iCs/>
          <w:szCs w:val="20"/>
          <w:lang w:val="pt-BR"/>
        </w:rPr>
        <w:t xml:space="preserve"> </w:t>
      </w:r>
      <w:r w:rsidR="005A2291" w:rsidRPr="00D5464D">
        <w:rPr>
          <w:rFonts w:cs="Arial"/>
          <w:iCs/>
          <w:szCs w:val="20"/>
          <w:lang w:val="pt-BR"/>
        </w:rPr>
        <w:t xml:space="preserve">paralelamente </w:t>
      </w:r>
      <w:r w:rsidR="00FF28D6" w:rsidRPr="00D5464D">
        <w:rPr>
          <w:rFonts w:cs="Arial"/>
          <w:iCs/>
          <w:szCs w:val="20"/>
          <w:lang w:val="pt-BR"/>
        </w:rPr>
        <w:t>à</w:t>
      </w:r>
      <w:r w:rsidR="002C330E" w:rsidRPr="00D5464D">
        <w:rPr>
          <w:rFonts w:cs="Arial"/>
          <w:iCs/>
          <w:szCs w:val="20"/>
          <w:lang w:val="pt-BR"/>
        </w:rPr>
        <w:t xml:space="preserve"> </w:t>
      </w:r>
      <w:r w:rsidR="004B0842" w:rsidRPr="00D5464D">
        <w:rPr>
          <w:rFonts w:cs="Arial"/>
          <w:iCs/>
          <w:szCs w:val="20"/>
          <w:lang w:val="pt-BR"/>
        </w:rPr>
        <w:t>fun</w:t>
      </w:r>
      <w:r w:rsidR="00470ADC" w:rsidRPr="00D5464D">
        <w:rPr>
          <w:rFonts w:cs="Arial"/>
          <w:iCs/>
          <w:szCs w:val="20"/>
          <w:lang w:val="pt-BR"/>
        </w:rPr>
        <w:t>ção</w:t>
      </w:r>
      <w:r w:rsidR="004B0842" w:rsidRPr="00D5464D">
        <w:rPr>
          <w:rFonts w:cs="Arial"/>
          <w:iCs/>
          <w:szCs w:val="20"/>
          <w:lang w:val="pt-BR"/>
        </w:rPr>
        <w:t xml:space="preserve"> de fiscaliza</w:t>
      </w:r>
      <w:r w:rsidR="00470ADC" w:rsidRPr="00D5464D">
        <w:rPr>
          <w:rFonts w:cs="Arial"/>
          <w:iCs/>
          <w:szCs w:val="20"/>
          <w:lang w:val="pt-BR"/>
        </w:rPr>
        <w:t>ção</w:t>
      </w:r>
      <w:r w:rsidR="004B0842" w:rsidRPr="00D5464D">
        <w:rPr>
          <w:rFonts w:cs="Arial"/>
          <w:iCs/>
          <w:szCs w:val="20"/>
          <w:lang w:val="pt-BR"/>
        </w:rPr>
        <w:t>,</w:t>
      </w:r>
      <w:r w:rsidR="00470ADC" w:rsidRPr="00D5464D">
        <w:rPr>
          <w:rFonts w:cs="Arial"/>
          <w:iCs/>
          <w:szCs w:val="20"/>
          <w:lang w:val="pt-BR"/>
        </w:rPr>
        <w:t xml:space="preserve"> o </w:t>
      </w:r>
      <w:r w:rsidR="004B0842" w:rsidRPr="00D5464D">
        <w:rPr>
          <w:rFonts w:cs="Arial"/>
          <w:iCs/>
          <w:szCs w:val="20"/>
          <w:lang w:val="pt-BR"/>
        </w:rPr>
        <w:t>Estado increment</w:t>
      </w:r>
      <w:r w:rsidR="00FF28D6" w:rsidRPr="00D5464D">
        <w:rPr>
          <w:rFonts w:cs="Arial"/>
          <w:iCs/>
          <w:szCs w:val="20"/>
          <w:lang w:val="pt-BR"/>
        </w:rPr>
        <w:t>ou</w:t>
      </w:r>
      <w:r w:rsidR="004B0842" w:rsidRPr="00D5464D">
        <w:rPr>
          <w:rFonts w:cs="Arial"/>
          <w:iCs/>
          <w:szCs w:val="20"/>
          <w:lang w:val="pt-BR"/>
        </w:rPr>
        <w:t xml:space="preserve"> </w:t>
      </w:r>
      <w:r w:rsidR="00470ADC" w:rsidRPr="00D5464D">
        <w:rPr>
          <w:rFonts w:cs="Arial"/>
          <w:iCs/>
          <w:szCs w:val="20"/>
          <w:lang w:val="pt-BR"/>
        </w:rPr>
        <w:t>ações</w:t>
      </w:r>
      <w:r w:rsidR="004B0842" w:rsidRPr="00D5464D">
        <w:rPr>
          <w:rFonts w:cs="Arial"/>
          <w:iCs/>
          <w:szCs w:val="20"/>
          <w:lang w:val="pt-BR"/>
        </w:rPr>
        <w:t xml:space="preserve"> de preven</w:t>
      </w:r>
      <w:r w:rsidR="00470ADC" w:rsidRPr="00D5464D">
        <w:rPr>
          <w:rFonts w:cs="Arial"/>
          <w:iCs/>
          <w:szCs w:val="20"/>
          <w:lang w:val="pt-BR"/>
        </w:rPr>
        <w:t>ção</w:t>
      </w:r>
      <w:r w:rsidR="00E045D9" w:rsidRPr="00D5464D">
        <w:rPr>
          <w:rFonts w:cs="Arial"/>
          <w:iCs/>
          <w:szCs w:val="20"/>
          <w:lang w:val="pt-BR"/>
        </w:rPr>
        <w:t xml:space="preserve"> e </w:t>
      </w:r>
      <w:r w:rsidR="004B0842" w:rsidRPr="00D5464D">
        <w:rPr>
          <w:rFonts w:cs="Arial"/>
          <w:iCs/>
          <w:szCs w:val="20"/>
          <w:lang w:val="pt-BR"/>
        </w:rPr>
        <w:t>reinser</w:t>
      </w:r>
      <w:r w:rsidR="00470ADC" w:rsidRPr="00D5464D">
        <w:rPr>
          <w:rFonts w:cs="Arial"/>
          <w:iCs/>
          <w:szCs w:val="20"/>
          <w:lang w:val="pt-BR"/>
        </w:rPr>
        <w:t>ção</w:t>
      </w:r>
      <w:r w:rsidR="004B0842" w:rsidRPr="00D5464D">
        <w:rPr>
          <w:rFonts w:cs="Arial"/>
          <w:iCs/>
          <w:szCs w:val="20"/>
          <w:lang w:val="pt-BR"/>
        </w:rPr>
        <w:t xml:space="preserve"> de </w:t>
      </w:r>
      <w:r w:rsidR="00E045D9" w:rsidRPr="00D5464D">
        <w:rPr>
          <w:rFonts w:cs="Arial"/>
          <w:iCs/>
          <w:szCs w:val="20"/>
          <w:lang w:val="pt-BR"/>
        </w:rPr>
        <w:t>trabalhadores</w:t>
      </w:r>
      <w:r w:rsidR="004B0842" w:rsidRPr="00D5464D">
        <w:rPr>
          <w:rFonts w:cs="Arial"/>
          <w:iCs/>
          <w:szCs w:val="20"/>
          <w:lang w:val="pt-BR"/>
        </w:rPr>
        <w:t xml:space="preserve">; </w:t>
      </w:r>
    </w:p>
    <w:p w14:paraId="27D70201" w14:textId="56BF282B" w:rsidR="00F04E72" w:rsidRPr="00D5464D" w:rsidRDefault="00C91CB1" w:rsidP="00F306D7">
      <w:pPr>
        <w:pStyle w:val="Prrafodelista"/>
        <w:numPr>
          <w:ilvl w:val="0"/>
          <w:numId w:val="12"/>
        </w:numPr>
        <w:autoSpaceDE w:val="0"/>
        <w:autoSpaceDN w:val="0"/>
        <w:adjustRightInd w:val="0"/>
        <w:spacing w:after="120"/>
        <w:ind w:hanging="11"/>
        <w:contextualSpacing w:val="0"/>
        <w:rPr>
          <w:rFonts w:cs="Arial"/>
          <w:iCs/>
          <w:szCs w:val="20"/>
          <w:lang w:val="pt-BR"/>
        </w:rPr>
      </w:pPr>
      <w:r w:rsidRPr="00D5464D">
        <w:rPr>
          <w:rFonts w:cs="Arial"/>
          <w:iCs/>
          <w:szCs w:val="20"/>
          <w:lang w:val="pt-BR"/>
        </w:rPr>
        <w:t xml:space="preserve">Em </w:t>
      </w:r>
      <w:r w:rsidR="004B0842" w:rsidRPr="00D5464D">
        <w:rPr>
          <w:rFonts w:cs="Arial"/>
          <w:iCs/>
          <w:szCs w:val="20"/>
          <w:lang w:val="pt-BR"/>
        </w:rPr>
        <w:t>2002</w:t>
      </w:r>
      <w:r w:rsidR="00DB5A03" w:rsidRPr="00D5464D">
        <w:rPr>
          <w:rFonts w:cs="Arial"/>
          <w:iCs/>
          <w:szCs w:val="20"/>
          <w:lang w:val="pt-BR"/>
        </w:rPr>
        <w:t>,</w:t>
      </w:r>
      <w:r w:rsidR="004B0842" w:rsidRPr="00D5464D">
        <w:rPr>
          <w:rFonts w:cs="Arial"/>
          <w:iCs/>
          <w:szCs w:val="20"/>
          <w:lang w:val="pt-BR"/>
        </w:rPr>
        <w:t xml:space="preserve"> </w:t>
      </w:r>
      <w:r w:rsidR="00470ADC" w:rsidRPr="00D5464D">
        <w:rPr>
          <w:rFonts w:cs="Arial"/>
          <w:iCs/>
          <w:szCs w:val="20"/>
          <w:lang w:val="pt-BR"/>
        </w:rPr>
        <w:t xml:space="preserve">o </w:t>
      </w:r>
      <w:r w:rsidR="002C330E" w:rsidRPr="00D5464D">
        <w:rPr>
          <w:rFonts w:cs="Arial"/>
          <w:iCs/>
          <w:szCs w:val="20"/>
          <w:lang w:val="pt-BR"/>
        </w:rPr>
        <w:t>Ministério</w:t>
      </w:r>
      <w:r w:rsidR="004B0842" w:rsidRPr="00D5464D">
        <w:rPr>
          <w:rFonts w:cs="Arial"/>
          <w:iCs/>
          <w:szCs w:val="20"/>
          <w:lang w:val="pt-BR"/>
        </w:rPr>
        <w:t xml:space="preserve"> Público </w:t>
      </w:r>
      <w:r w:rsidR="00470ADC" w:rsidRPr="00D5464D">
        <w:rPr>
          <w:rFonts w:cs="Arial"/>
          <w:iCs/>
          <w:szCs w:val="20"/>
          <w:lang w:val="pt-BR"/>
        </w:rPr>
        <w:t xml:space="preserve">do </w:t>
      </w:r>
      <w:r w:rsidR="00E045D9" w:rsidRPr="00D5464D">
        <w:rPr>
          <w:rFonts w:cs="Arial"/>
          <w:iCs/>
          <w:szCs w:val="20"/>
          <w:lang w:val="pt-BR"/>
        </w:rPr>
        <w:t>Trabalho</w:t>
      </w:r>
      <w:r w:rsidR="00470ADC" w:rsidRPr="00D5464D">
        <w:rPr>
          <w:rFonts w:cs="Arial"/>
          <w:iCs/>
          <w:szCs w:val="20"/>
          <w:lang w:val="pt-BR"/>
        </w:rPr>
        <w:t xml:space="preserve"> </w:t>
      </w:r>
      <w:r w:rsidR="00F04E72" w:rsidRPr="00D5464D">
        <w:rPr>
          <w:rFonts w:cs="Arial"/>
          <w:iCs/>
          <w:szCs w:val="20"/>
          <w:lang w:val="pt-BR"/>
        </w:rPr>
        <w:t xml:space="preserve">se integrou ao </w:t>
      </w:r>
      <w:r w:rsidR="00470ADC" w:rsidRPr="00D5464D">
        <w:rPr>
          <w:rFonts w:cs="Arial"/>
          <w:iCs/>
          <w:szCs w:val="20"/>
          <w:lang w:val="pt-BR"/>
        </w:rPr>
        <w:t xml:space="preserve">combate </w:t>
      </w:r>
      <w:r w:rsidR="00F04E72" w:rsidRPr="00D5464D">
        <w:rPr>
          <w:rFonts w:cs="Arial"/>
          <w:iCs/>
          <w:szCs w:val="20"/>
          <w:lang w:val="pt-BR"/>
        </w:rPr>
        <w:t>d</w:t>
      </w:r>
      <w:r w:rsidR="00470ADC" w:rsidRPr="00D5464D">
        <w:rPr>
          <w:rFonts w:cs="Arial"/>
          <w:iCs/>
          <w:szCs w:val="20"/>
          <w:lang w:val="pt-BR"/>
        </w:rPr>
        <w:t xml:space="preserve">o </w:t>
      </w:r>
      <w:r w:rsidR="00E045D9" w:rsidRPr="00D5464D">
        <w:rPr>
          <w:rFonts w:cs="Arial"/>
          <w:iCs/>
          <w:szCs w:val="20"/>
          <w:lang w:val="pt-BR"/>
        </w:rPr>
        <w:t>trabalho</w:t>
      </w:r>
      <w:r w:rsidR="004B0842" w:rsidRPr="00D5464D">
        <w:rPr>
          <w:rFonts w:cs="Arial"/>
          <w:iCs/>
          <w:szCs w:val="20"/>
          <w:lang w:val="pt-BR"/>
        </w:rPr>
        <w:t xml:space="preserve"> </w:t>
      </w:r>
      <w:r w:rsidR="004F1CC2" w:rsidRPr="00D5464D">
        <w:rPr>
          <w:rFonts w:cs="Arial"/>
          <w:iCs/>
          <w:szCs w:val="20"/>
          <w:lang w:val="pt-BR"/>
        </w:rPr>
        <w:t>escravo</w:t>
      </w:r>
      <w:r w:rsidR="00E045D9" w:rsidRPr="00D5464D">
        <w:rPr>
          <w:rFonts w:cs="Arial"/>
          <w:iCs/>
          <w:szCs w:val="20"/>
          <w:lang w:val="pt-BR"/>
        </w:rPr>
        <w:t xml:space="preserve"> e </w:t>
      </w:r>
      <w:r w:rsidR="00737270" w:rsidRPr="00D5464D">
        <w:rPr>
          <w:rFonts w:cs="Arial"/>
          <w:iCs/>
          <w:szCs w:val="20"/>
          <w:lang w:val="pt-BR"/>
        </w:rPr>
        <w:t>constituiu</w:t>
      </w:r>
      <w:r w:rsidR="002C330E" w:rsidRPr="00D5464D">
        <w:rPr>
          <w:rFonts w:cs="Arial"/>
          <w:iCs/>
          <w:szCs w:val="20"/>
          <w:lang w:val="pt-BR"/>
        </w:rPr>
        <w:t xml:space="preserve"> a </w:t>
      </w:r>
      <w:r w:rsidR="00470ADC" w:rsidRPr="00D5464D">
        <w:rPr>
          <w:rFonts w:cs="Arial"/>
          <w:iCs/>
          <w:szCs w:val="20"/>
          <w:lang w:val="pt-BR"/>
        </w:rPr>
        <w:t>Coordenad</w:t>
      </w:r>
      <w:r w:rsidR="004B0842" w:rsidRPr="00D5464D">
        <w:rPr>
          <w:rFonts w:cs="Arial"/>
          <w:iCs/>
          <w:szCs w:val="20"/>
          <w:lang w:val="pt-BR"/>
        </w:rPr>
        <w:t>or</w:t>
      </w:r>
      <w:r w:rsidR="00F57666" w:rsidRPr="00D5464D">
        <w:rPr>
          <w:rFonts w:cs="Arial"/>
          <w:iCs/>
          <w:szCs w:val="20"/>
          <w:lang w:val="pt-BR"/>
        </w:rPr>
        <w:t>i</w:t>
      </w:r>
      <w:r w:rsidR="004B0842" w:rsidRPr="00D5464D">
        <w:rPr>
          <w:rFonts w:cs="Arial"/>
          <w:iCs/>
          <w:szCs w:val="20"/>
          <w:lang w:val="pt-BR"/>
        </w:rPr>
        <w:t>a Nacional de Erradica</w:t>
      </w:r>
      <w:r w:rsidR="00470ADC" w:rsidRPr="00D5464D">
        <w:rPr>
          <w:rFonts w:cs="Arial"/>
          <w:iCs/>
          <w:szCs w:val="20"/>
          <w:lang w:val="pt-BR"/>
        </w:rPr>
        <w:t>ção</w:t>
      </w:r>
      <w:r w:rsidR="004B0842" w:rsidRPr="00D5464D">
        <w:rPr>
          <w:rFonts w:cs="Arial"/>
          <w:iCs/>
          <w:szCs w:val="20"/>
          <w:lang w:val="pt-BR"/>
        </w:rPr>
        <w:t xml:space="preserve"> </w:t>
      </w:r>
      <w:r w:rsidR="00470ADC" w:rsidRPr="00D5464D">
        <w:rPr>
          <w:rFonts w:cs="Arial"/>
          <w:iCs/>
          <w:szCs w:val="20"/>
          <w:lang w:val="pt-BR"/>
        </w:rPr>
        <w:t xml:space="preserve">do </w:t>
      </w:r>
      <w:r w:rsidR="00E045D9" w:rsidRPr="00D5464D">
        <w:rPr>
          <w:rFonts w:cs="Arial"/>
          <w:iCs/>
          <w:szCs w:val="20"/>
          <w:lang w:val="pt-BR"/>
        </w:rPr>
        <w:t>Trabalho</w:t>
      </w:r>
      <w:r w:rsidR="004B0842" w:rsidRPr="00D5464D">
        <w:rPr>
          <w:rFonts w:cs="Arial"/>
          <w:iCs/>
          <w:szCs w:val="20"/>
          <w:lang w:val="pt-BR"/>
        </w:rPr>
        <w:t xml:space="preserve"> </w:t>
      </w:r>
      <w:r w:rsidR="004F1CC2" w:rsidRPr="00D5464D">
        <w:rPr>
          <w:rFonts w:cs="Arial"/>
          <w:iCs/>
          <w:szCs w:val="20"/>
          <w:lang w:val="pt-BR"/>
        </w:rPr>
        <w:t>Escravo</w:t>
      </w:r>
      <w:r w:rsidR="004B0842" w:rsidRPr="00D5464D">
        <w:rPr>
          <w:rFonts w:cs="Arial"/>
          <w:iCs/>
          <w:szCs w:val="20"/>
          <w:lang w:val="pt-BR"/>
        </w:rPr>
        <w:t xml:space="preserve">. </w:t>
      </w:r>
      <w:r w:rsidR="00E045D9" w:rsidRPr="00D5464D">
        <w:rPr>
          <w:rFonts w:cs="Arial"/>
          <w:iCs/>
          <w:szCs w:val="20"/>
          <w:lang w:val="pt-BR"/>
        </w:rPr>
        <w:t>Também</w:t>
      </w:r>
      <w:r w:rsidR="00470ADC" w:rsidRPr="00D5464D">
        <w:rPr>
          <w:rFonts w:cs="Arial"/>
          <w:iCs/>
          <w:szCs w:val="20"/>
          <w:lang w:val="pt-BR"/>
        </w:rPr>
        <w:t xml:space="preserve"> </w:t>
      </w:r>
      <w:r w:rsidR="00F04E72" w:rsidRPr="00D5464D">
        <w:rPr>
          <w:rFonts w:cs="Arial"/>
          <w:iCs/>
          <w:szCs w:val="20"/>
          <w:lang w:val="pt-BR"/>
        </w:rPr>
        <w:t xml:space="preserve">naquele </w:t>
      </w:r>
      <w:r w:rsidR="00E045D9" w:rsidRPr="00D5464D">
        <w:rPr>
          <w:rFonts w:cs="Arial"/>
          <w:iCs/>
          <w:szCs w:val="20"/>
          <w:lang w:val="pt-BR"/>
        </w:rPr>
        <w:t>ano,</w:t>
      </w:r>
      <w:r w:rsidR="004B0842" w:rsidRPr="00D5464D">
        <w:rPr>
          <w:rFonts w:cs="Arial"/>
          <w:iCs/>
          <w:szCs w:val="20"/>
          <w:lang w:val="pt-BR"/>
        </w:rPr>
        <w:t xml:space="preserve"> </w:t>
      </w:r>
      <w:r w:rsidR="00F04E72" w:rsidRPr="00D5464D">
        <w:rPr>
          <w:rFonts w:cs="Arial"/>
          <w:iCs/>
          <w:szCs w:val="20"/>
          <w:lang w:val="pt-BR"/>
        </w:rPr>
        <w:t xml:space="preserve">foi apresentado </w:t>
      </w:r>
      <w:r w:rsidR="00470ADC" w:rsidRPr="00D5464D">
        <w:rPr>
          <w:rFonts w:cs="Arial"/>
          <w:iCs/>
          <w:szCs w:val="20"/>
          <w:lang w:val="pt-BR"/>
        </w:rPr>
        <w:t>o</w:t>
      </w:r>
      <w:r w:rsidR="002C330E" w:rsidRPr="00D5464D">
        <w:rPr>
          <w:rFonts w:cs="Arial"/>
          <w:iCs/>
          <w:szCs w:val="20"/>
          <w:lang w:val="pt-BR"/>
        </w:rPr>
        <w:t xml:space="preserve"> primeiro Plano </w:t>
      </w:r>
      <w:r w:rsidR="004B0842" w:rsidRPr="00D5464D">
        <w:rPr>
          <w:rFonts w:cs="Arial"/>
          <w:iCs/>
          <w:szCs w:val="20"/>
          <w:lang w:val="pt-BR"/>
        </w:rPr>
        <w:t>Nacional de Erradica</w:t>
      </w:r>
      <w:r w:rsidR="00470ADC" w:rsidRPr="00D5464D">
        <w:rPr>
          <w:rFonts w:cs="Arial"/>
          <w:iCs/>
          <w:szCs w:val="20"/>
          <w:lang w:val="pt-BR"/>
        </w:rPr>
        <w:t>ção</w:t>
      </w:r>
      <w:r w:rsidR="004B0842" w:rsidRPr="00D5464D">
        <w:rPr>
          <w:rFonts w:cs="Arial"/>
          <w:iCs/>
          <w:szCs w:val="20"/>
          <w:lang w:val="pt-BR"/>
        </w:rPr>
        <w:t xml:space="preserve"> </w:t>
      </w:r>
      <w:r w:rsidR="00470ADC" w:rsidRPr="00D5464D">
        <w:rPr>
          <w:rFonts w:cs="Arial"/>
          <w:iCs/>
          <w:szCs w:val="20"/>
          <w:lang w:val="pt-BR"/>
        </w:rPr>
        <w:t xml:space="preserve">do </w:t>
      </w:r>
      <w:r w:rsidR="00E045D9" w:rsidRPr="00D5464D">
        <w:rPr>
          <w:rFonts w:cs="Arial"/>
          <w:iCs/>
          <w:szCs w:val="20"/>
          <w:lang w:val="pt-BR"/>
        </w:rPr>
        <w:t>Trabalho</w:t>
      </w:r>
      <w:r w:rsidR="004B0842" w:rsidRPr="00D5464D">
        <w:rPr>
          <w:rFonts w:cs="Arial"/>
          <w:iCs/>
          <w:szCs w:val="20"/>
          <w:lang w:val="pt-BR"/>
        </w:rPr>
        <w:t xml:space="preserve"> </w:t>
      </w:r>
      <w:r w:rsidR="004F1CC2" w:rsidRPr="00D5464D">
        <w:rPr>
          <w:rFonts w:cs="Arial"/>
          <w:iCs/>
          <w:szCs w:val="20"/>
          <w:lang w:val="pt-BR"/>
        </w:rPr>
        <w:t>Escravo</w:t>
      </w:r>
      <w:r w:rsidR="002C330E" w:rsidRPr="00D5464D">
        <w:rPr>
          <w:rFonts w:cs="Arial"/>
          <w:iCs/>
          <w:szCs w:val="20"/>
          <w:lang w:val="pt-BR"/>
        </w:rPr>
        <w:t xml:space="preserve"> pela </w:t>
      </w:r>
      <w:r w:rsidR="00470ADC" w:rsidRPr="00D5464D">
        <w:rPr>
          <w:rFonts w:cs="Arial"/>
          <w:iCs/>
          <w:szCs w:val="20"/>
          <w:lang w:val="pt-BR"/>
        </w:rPr>
        <w:t>Comissão</w:t>
      </w:r>
      <w:r w:rsidR="004B0842" w:rsidRPr="00D5464D">
        <w:rPr>
          <w:rFonts w:cs="Arial"/>
          <w:iCs/>
          <w:szCs w:val="20"/>
          <w:lang w:val="pt-BR"/>
        </w:rPr>
        <w:t xml:space="preserve"> Especial </w:t>
      </w:r>
      <w:r w:rsidR="00470ADC" w:rsidRPr="00D5464D">
        <w:rPr>
          <w:rFonts w:cs="Arial"/>
          <w:iCs/>
          <w:szCs w:val="20"/>
          <w:lang w:val="pt-BR"/>
        </w:rPr>
        <w:t>do Conselho</w:t>
      </w:r>
      <w:r w:rsidR="004B0842" w:rsidRPr="00D5464D">
        <w:rPr>
          <w:rFonts w:cs="Arial"/>
          <w:iCs/>
          <w:szCs w:val="20"/>
          <w:lang w:val="pt-BR"/>
        </w:rPr>
        <w:t xml:space="preserve"> de </w:t>
      </w:r>
      <w:r w:rsidR="00470ADC" w:rsidRPr="00D5464D">
        <w:rPr>
          <w:rFonts w:cs="Arial"/>
          <w:iCs/>
          <w:szCs w:val="20"/>
          <w:lang w:val="pt-BR"/>
        </w:rPr>
        <w:t>Direito</w:t>
      </w:r>
      <w:r w:rsidR="004B0842" w:rsidRPr="00D5464D">
        <w:rPr>
          <w:rFonts w:cs="Arial"/>
          <w:iCs/>
          <w:szCs w:val="20"/>
          <w:lang w:val="pt-BR"/>
        </w:rPr>
        <w:t>s</w:t>
      </w:r>
      <w:r w:rsidR="00470ADC" w:rsidRPr="00D5464D">
        <w:rPr>
          <w:rFonts w:cs="Arial"/>
          <w:iCs/>
          <w:szCs w:val="20"/>
          <w:lang w:val="pt-BR"/>
        </w:rPr>
        <w:t xml:space="preserve"> da </w:t>
      </w:r>
      <w:r w:rsidR="002C330E" w:rsidRPr="00D5464D">
        <w:rPr>
          <w:rFonts w:cs="Arial"/>
          <w:iCs/>
          <w:szCs w:val="20"/>
          <w:lang w:val="pt-BR"/>
        </w:rPr>
        <w:t>Pessoa</w:t>
      </w:r>
      <w:r w:rsidR="004B0842" w:rsidRPr="00D5464D">
        <w:rPr>
          <w:rFonts w:cs="Arial"/>
          <w:iCs/>
          <w:szCs w:val="20"/>
          <w:lang w:val="pt-BR"/>
        </w:rPr>
        <w:t xml:space="preserve"> Humana</w:t>
      </w:r>
      <w:r w:rsidR="00F04E72" w:rsidRPr="00D5464D">
        <w:rPr>
          <w:rFonts w:cs="Arial"/>
          <w:iCs/>
          <w:szCs w:val="20"/>
          <w:lang w:val="pt-BR"/>
        </w:rPr>
        <w:t xml:space="preserve">. Além disso, foi promulgada </w:t>
      </w:r>
      <w:r w:rsidR="002C330E" w:rsidRPr="00D5464D">
        <w:rPr>
          <w:rFonts w:cs="Arial"/>
          <w:iCs/>
          <w:szCs w:val="20"/>
          <w:lang w:val="pt-BR"/>
        </w:rPr>
        <w:t>a Lei</w:t>
      </w:r>
      <w:r w:rsidR="00A1358C" w:rsidRPr="00D5464D">
        <w:rPr>
          <w:rFonts w:cs="Arial"/>
          <w:iCs/>
          <w:szCs w:val="20"/>
          <w:lang w:val="pt-BR"/>
        </w:rPr>
        <w:t xml:space="preserve"> nº </w:t>
      </w:r>
      <w:r w:rsidR="004B0842" w:rsidRPr="00D5464D">
        <w:rPr>
          <w:rFonts w:cs="Arial"/>
          <w:iCs/>
          <w:szCs w:val="20"/>
          <w:lang w:val="pt-BR"/>
        </w:rPr>
        <w:t>10608/2002, relativ</w:t>
      </w:r>
      <w:r w:rsidR="00F04E72" w:rsidRPr="00D5464D">
        <w:rPr>
          <w:rFonts w:cs="Arial"/>
          <w:iCs/>
          <w:szCs w:val="20"/>
          <w:lang w:val="pt-BR"/>
        </w:rPr>
        <w:t>a</w:t>
      </w:r>
      <w:r w:rsidR="00470ADC" w:rsidRPr="00D5464D">
        <w:rPr>
          <w:rFonts w:cs="Arial"/>
          <w:iCs/>
          <w:szCs w:val="20"/>
          <w:lang w:val="pt-BR"/>
        </w:rPr>
        <w:t xml:space="preserve"> ao </w:t>
      </w:r>
      <w:r w:rsidR="004B0842" w:rsidRPr="00D5464D">
        <w:rPr>
          <w:rFonts w:cs="Arial"/>
          <w:iCs/>
          <w:szCs w:val="20"/>
          <w:lang w:val="pt-BR"/>
        </w:rPr>
        <w:t>seguro des</w:t>
      </w:r>
      <w:r w:rsidR="00A1358C" w:rsidRPr="00D5464D">
        <w:rPr>
          <w:rFonts w:cs="Arial"/>
          <w:iCs/>
          <w:szCs w:val="20"/>
          <w:lang w:val="pt-BR"/>
        </w:rPr>
        <w:t>emprego</w:t>
      </w:r>
      <w:r w:rsidR="004B0842" w:rsidRPr="00D5464D">
        <w:rPr>
          <w:rFonts w:cs="Arial"/>
          <w:iCs/>
          <w:szCs w:val="20"/>
          <w:lang w:val="pt-BR"/>
        </w:rPr>
        <w:t xml:space="preserve"> de </w:t>
      </w:r>
      <w:r w:rsidR="00E045D9" w:rsidRPr="00D5464D">
        <w:rPr>
          <w:rFonts w:cs="Arial"/>
          <w:iCs/>
          <w:szCs w:val="20"/>
          <w:lang w:val="pt-BR"/>
        </w:rPr>
        <w:t>trabalhadores</w:t>
      </w:r>
      <w:r w:rsidR="004B0842" w:rsidRPr="00D5464D">
        <w:rPr>
          <w:rFonts w:cs="Arial"/>
          <w:iCs/>
          <w:szCs w:val="20"/>
          <w:lang w:val="pt-BR"/>
        </w:rPr>
        <w:t xml:space="preserve"> </w:t>
      </w:r>
      <w:r w:rsidR="0090341D" w:rsidRPr="00D5464D">
        <w:rPr>
          <w:rFonts w:cs="Arial"/>
          <w:iCs/>
          <w:szCs w:val="20"/>
          <w:lang w:val="pt-BR"/>
        </w:rPr>
        <w:t>resgatado</w:t>
      </w:r>
      <w:r w:rsidR="004B0842" w:rsidRPr="00D5464D">
        <w:rPr>
          <w:rFonts w:cs="Arial"/>
          <w:iCs/>
          <w:szCs w:val="20"/>
          <w:lang w:val="pt-BR"/>
        </w:rPr>
        <w:t>s</w:t>
      </w:r>
      <w:r w:rsidR="00470ADC" w:rsidRPr="00D5464D">
        <w:rPr>
          <w:rFonts w:cs="Arial"/>
          <w:iCs/>
          <w:szCs w:val="20"/>
          <w:lang w:val="pt-BR"/>
        </w:rPr>
        <w:t xml:space="preserve"> sob o </w:t>
      </w:r>
      <w:r w:rsidR="002C330E" w:rsidRPr="00D5464D">
        <w:rPr>
          <w:rFonts w:cs="Arial"/>
          <w:iCs/>
          <w:szCs w:val="20"/>
          <w:lang w:val="pt-BR"/>
        </w:rPr>
        <w:t>regime</w:t>
      </w:r>
      <w:r w:rsidR="004B0842" w:rsidRPr="00D5464D">
        <w:rPr>
          <w:rFonts w:cs="Arial"/>
          <w:iCs/>
          <w:szCs w:val="20"/>
          <w:lang w:val="pt-BR"/>
        </w:rPr>
        <w:t xml:space="preserve"> de </w:t>
      </w:r>
      <w:r w:rsidR="00E045D9" w:rsidRPr="00D5464D">
        <w:rPr>
          <w:rFonts w:cs="Arial"/>
          <w:iCs/>
          <w:szCs w:val="20"/>
          <w:lang w:val="pt-BR"/>
        </w:rPr>
        <w:t>trabalho</w:t>
      </w:r>
      <w:r w:rsidR="001B63D0" w:rsidRPr="00D5464D">
        <w:rPr>
          <w:rFonts w:cs="Arial"/>
          <w:iCs/>
          <w:szCs w:val="20"/>
          <w:lang w:val="pt-BR"/>
        </w:rPr>
        <w:t xml:space="preserve"> </w:t>
      </w:r>
      <w:r w:rsidR="00230C71" w:rsidRPr="00D5464D">
        <w:rPr>
          <w:rFonts w:cs="Arial"/>
          <w:iCs/>
          <w:szCs w:val="20"/>
          <w:lang w:val="pt-BR"/>
        </w:rPr>
        <w:t>forçado</w:t>
      </w:r>
      <w:r w:rsidR="004B0842" w:rsidRPr="00D5464D">
        <w:rPr>
          <w:rFonts w:cs="Arial"/>
          <w:iCs/>
          <w:szCs w:val="20"/>
          <w:lang w:val="pt-BR"/>
        </w:rPr>
        <w:t xml:space="preserve"> o</w:t>
      </w:r>
      <w:r w:rsidR="00F04E72" w:rsidRPr="00D5464D">
        <w:rPr>
          <w:rFonts w:cs="Arial"/>
          <w:iCs/>
          <w:szCs w:val="20"/>
          <w:lang w:val="pt-BR"/>
        </w:rPr>
        <w:t>u</w:t>
      </w:r>
      <w:r w:rsidR="004B0842" w:rsidRPr="00D5464D">
        <w:rPr>
          <w:rFonts w:cs="Arial"/>
          <w:iCs/>
          <w:szCs w:val="20"/>
          <w:lang w:val="pt-BR"/>
        </w:rPr>
        <w:t xml:space="preserve"> condi</w:t>
      </w:r>
      <w:r w:rsidR="00470ADC" w:rsidRPr="00D5464D">
        <w:rPr>
          <w:rFonts w:cs="Arial"/>
          <w:iCs/>
          <w:szCs w:val="20"/>
          <w:lang w:val="pt-BR"/>
        </w:rPr>
        <w:t>ção</w:t>
      </w:r>
      <w:r w:rsidR="004B0842" w:rsidRPr="00D5464D">
        <w:rPr>
          <w:rFonts w:cs="Arial"/>
          <w:iCs/>
          <w:szCs w:val="20"/>
          <w:lang w:val="pt-BR"/>
        </w:rPr>
        <w:t xml:space="preserve"> análoga de </w:t>
      </w:r>
      <w:r w:rsidR="004F1CC2" w:rsidRPr="00D5464D">
        <w:rPr>
          <w:rFonts w:cs="Arial"/>
          <w:iCs/>
          <w:szCs w:val="20"/>
          <w:lang w:val="pt-BR"/>
        </w:rPr>
        <w:t>escravo</w:t>
      </w:r>
      <w:r w:rsidR="004B0842" w:rsidRPr="00D5464D">
        <w:rPr>
          <w:rFonts w:cs="Arial"/>
          <w:iCs/>
          <w:szCs w:val="20"/>
          <w:lang w:val="pt-BR"/>
        </w:rPr>
        <w:t xml:space="preserve">; </w:t>
      </w:r>
    </w:p>
    <w:p w14:paraId="31FA284D" w14:textId="13B8DCF3" w:rsidR="004B0842" w:rsidRPr="00D5464D" w:rsidRDefault="00C91CB1" w:rsidP="00F306D7">
      <w:pPr>
        <w:pStyle w:val="Prrafodelista"/>
        <w:numPr>
          <w:ilvl w:val="0"/>
          <w:numId w:val="12"/>
        </w:numPr>
        <w:autoSpaceDE w:val="0"/>
        <w:autoSpaceDN w:val="0"/>
        <w:adjustRightInd w:val="0"/>
        <w:spacing w:after="120"/>
        <w:ind w:hanging="11"/>
        <w:contextualSpacing w:val="0"/>
        <w:rPr>
          <w:rFonts w:cs="Arial"/>
          <w:iCs/>
          <w:szCs w:val="20"/>
          <w:lang w:val="pt-BR"/>
        </w:rPr>
      </w:pPr>
      <w:r w:rsidRPr="00D5464D">
        <w:rPr>
          <w:rFonts w:cs="Arial"/>
          <w:iCs/>
          <w:szCs w:val="20"/>
          <w:lang w:val="pt-BR"/>
        </w:rPr>
        <w:t>Em 1</w:t>
      </w:r>
      <w:r w:rsidR="00350187" w:rsidRPr="00D5464D">
        <w:rPr>
          <w:rFonts w:cs="Arial"/>
          <w:iCs/>
          <w:szCs w:val="20"/>
          <w:lang w:val="pt-BR"/>
        </w:rPr>
        <w:t xml:space="preserve">1 </w:t>
      </w:r>
      <w:r w:rsidR="00A1358C" w:rsidRPr="00D5464D">
        <w:rPr>
          <w:rFonts w:cs="Arial"/>
          <w:iCs/>
          <w:szCs w:val="20"/>
          <w:lang w:val="pt-BR"/>
        </w:rPr>
        <w:t>de dezembro</w:t>
      </w:r>
      <w:r w:rsidR="004B0842" w:rsidRPr="00D5464D">
        <w:rPr>
          <w:rFonts w:cs="Arial"/>
          <w:iCs/>
          <w:szCs w:val="20"/>
          <w:lang w:val="pt-BR"/>
        </w:rPr>
        <w:t xml:space="preserve"> de 2003, </w:t>
      </w:r>
      <w:r w:rsidR="00F04E72" w:rsidRPr="00D5464D">
        <w:rPr>
          <w:rFonts w:cs="Arial"/>
          <w:iCs/>
          <w:szCs w:val="20"/>
          <w:lang w:val="pt-BR"/>
        </w:rPr>
        <w:t xml:space="preserve">foi aprovada </w:t>
      </w:r>
      <w:r w:rsidR="002C330E" w:rsidRPr="00D5464D">
        <w:rPr>
          <w:rFonts w:cs="Arial"/>
          <w:iCs/>
          <w:szCs w:val="20"/>
          <w:lang w:val="pt-BR"/>
        </w:rPr>
        <w:t>a Lei</w:t>
      </w:r>
      <w:r w:rsidR="00A1358C" w:rsidRPr="00D5464D">
        <w:rPr>
          <w:rFonts w:cs="Arial"/>
          <w:iCs/>
          <w:szCs w:val="20"/>
          <w:lang w:val="pt-BR"/>
        </w:rPr>
        <w:t xml:space="preserve"> nº </w:t>
      </w:r>
      <w:r w:rsidR="004B0842" w:rsidRPr="00D5464D">
        <w:rPr>
          <w:rFonts w:cs="Arial"/>
          <w:iCs/>
          <w:szCs w:val="20"/>
          <w:lang w:val="pt-BR"/>
        </w:rPr>
        <w:t xml:space="preserve">10803/2003, que </w:t>
      </w:r>
      <w:r w:rsidR="002C330E" w:rsidRPr="00D5464D">
        <w:rPr>
          <w:rFonts w:cs="Arial"/>
          <w:iCs/>
          <w:szCs w:val="20"/>
          <w:lang w:val="pt-BR"/>
        </w:rPr>
        <w:t xml:space="preserve">modificou a </w:t>
      </w:r>
      <w:r w:rsidR="004B0842" w:rsidRPr="00D5464D">
        <w:rPr>
          <w:rFonts w:cs="Arial"/>
          <w:iCs/>
          <w:szCs w:val="20"/>
          <w:lang w:val="pt-BR"/>
        </w:rPr>
        <w:t>red</w:t>
      </w:r>
      <w:r w:rsidR="00737270" w:rsidRPr="00D5464D">
        <w:rPr>
          <w:rFonts w:cs="Arial"/>
          <w:iCs/>
          <w:szCs w:val="20"/>
          <w:lang w:val="pt-BR"/>
        </w:rPr>
        <w:t>ação</w:t>
      </w:r>
      <w:r w:rsidR="004B0842" w:rsidRPr="00D5464D">
        <w:rPr>
          <w:rFonts w:cs="Arial"/>
          <w:iCs/>
          <w:szCs w:val="20"/>
          <w:lang w:val="pt-BR"/>
        </w:rPr>
        <w:t xml:space="preserve"> </w:t>
      </w:r>
      <w:r w:rsidR="00470ADC" w:rsidRPr="00D5464D">
        <w:rPr>
          <w:rFonts w:cs="Arial"/>
          <w:iCs/>
          <w:szCs w:val="20"/>
          <w:lang w:val="pt-BR"/>
        </w:rPr>
        <w:t>do artigo</w:t>
      </w:r>
      <w:r w:rsidR="004B0842" w:rsidRPr="00D5464D">
        <w:rPr>
          <w:rFonts w:cs="Arial"/>
          <w:iCs/>
          <w:szCs w:val="20"/>
          <w:lang w:val="pt-BR"/>
        </w:rPr>
        <w:t xml:space="preserve"> 149 </w:t>
      </w:r>
      <w:r w:rsidR="00470ADC" w:rsidRPr="00D5464D">
        <w:rPr>
          <w:rFonts w:cs="Arial"/>
          <w:iCs/>
          <w:szCs w:val="20"/>
          <w:lang w:val="pt-BR"/>
        </w:rPr>
        <w:t xml:space="preserve">do </w:t>
      </w:r>
      <w:r w:rsidR="00BE60E8" w:rsidRPr="00D5464D">
        <w:rPr>
          <w:rFonts w:cs="Arial"/>
          <w:iCs/>
          <w:szCs w:val="20"/>
          <w:lang w:val="pt-BR"/>
        </w:rPr>
        <w:t xml:space="preserve">Código Penal </w:t>
      </w:r>
      <w:r w:rsidR="00470ADC" w:rsidRPr="00D5464D">
        <w:rPr>
          <w:rFonts w:cs="Arial"/>
          <w:iCs/>
          <w:szCs w:val="20"/>
          <w:lang w:val="pt-BR"/>
        </w:rPr>
        <w:t>brasileir</w:t>
      </w:r>
      <w:r w:rsidR="00BE60E8" w:rsidRPr="00D5464D">
        <w:rPr>
          <w:rFonts w:cs="Arial"/>
          <w:iCs/>
          <w:szCs w:val="20"/>
          <w:lang w:val="pt-BR"/>
        </w:rPr>
        <w:t>o</w:t>
      </w:r>
      <w:r w:rsidR="004B0842" w:rsidRPr="00D5464D">
        <w:rPr>
          <w:rFonts w:cs="Arial"/>
          <w:iCs/>
          <w:szCs w:val="20"/>
          <w:lang w:val="pt-BR"/>
        </w:rPr>
        <w:t xml:space="preserve">; </w:t>
      </w:r>
    </w:p>
    <w:p w14:paraId="48FA1D7A" w14:textId="77777777" w:rsidR="00F04E72" w:rsidRPr="00D5464D" w:rsidRDefault="004B0842" w:rsidP="00F306D7">
      <w:pPr>
        <w:pStyle w:val="Prrafodelista"/>
        <w:numPr>
          <w:ilvl w:val="0"/>
          <w:numId w:val="12"/>
        </w:numPr>
        <w:autoSpaceDE w:val="0"/>
        <w:autoSpaceDN w:val="0"/>
        <w:adjustRightInd w:val="0"/>
        <w:spacing w:after="120"/>
        <w:ind w:hanging="11"/>
        <w:contextualSpacing w:val="0"/>
        <w:rPr>
          <w:rFonts w:cs="Arial"/>
          <w:iCs/>
          <w:szCs w:val="20"/>
          <w:lang w:val="pt-BR"/>
        </w:rPr>
      </w:pPr>
      <w:r w:rsidRPr="00D5464D">
        <w:rPr>
          <w:rFonts w:cs="Arial"/>
          <w:iCs/>
          <w:szCs w:val="20"/>
          <w:lang w:val="pt-BR"/>
        </w:rPr>
        <w:t>Através</w:t>
      </w:r>
      <w:r w:rsidR="00470ADC" w:rsidRPr="00D5464D">
        <w:rPr>
          <w:rFonts w:cs="Arial"/>
          <w:iCs/>
          <w:szCs w:val="20"/>
          <w:lang w:val="pt-BR"/>
        </w:rPr>
        <w:t xml:space="preserve"> das </w:t>
      </w:r>
      <w:r w:rsidR="00F04E72" w:rsidRPr="00D5464D">
        <w:rPr>
          <w:rFonts w:cs="Arial"/>
          <w:iCs/>
          <w:szCs w:val="20"/>
          <w:lang w:val="pt-BR"/>
        </w:rPr>
        <w:t xml:space="preserve">portarias </w:t>
      </w:r>
      <w:r w:rsidR="00A1358C" w:rsidRPr="00D5464D">
        <w:rPr>
          <w:rFonts w:cs="Arial"/>
          <w:iCs/>
          <w:szCs w:val="20"/>
          <w:lang w:val="pt-BR"/>
        </w:rPr>
        <w:t xml:space="preserve">nº </w:t>
      </w:r>
      <w:r w:rsidRPr="00D5464D">
        <w:rPr>
          <w:rFonts w:cs="Arial"/>
          <w:iCs/>
          <w:szCs w:val="20"/>
          <w:lang w:val="pt-BR"/>
        </w:rPr>
        <w:t>540</w:t>
      </w:r>
      <w:r w:rsidR="00DB5A03" w:rsidRPr="00D5464D">
        <w:rPr>
          <w:rFonts w:cs="Arial"/>
          <w:iCs/>
          <w:szCs w:val="20"/>
          <w:lang w:val="pt-BR"/>
        </w:rPr>
        <w:t>,</w:t>
      </w:r>
      <w:r w:rsidRPr="00D5464D">
        <w:rPr>
          <w:rFonts w:cs="Arial"/>
          <w:iCs/>
          <w:szCs w:val="20"/>
          <w:lang w:val="pt-BR"/>
        </w:rPr>
        <w:t xml:space="preserve"> de 15 de </w:t>
      </w:r>
      <w:r w:rsidR="002C330E" w:rsidRPr="00D5464D">
        <w:rPr>
          <w:rFonts w:cs="Arial"/>
          <w:iCs/>
          <w:szCs w:val="20"/>
          <w:lang w:val="pt-BR"/>
        </w:rPr>
        <w:t>outubro</w:t>
      </w:r>
      <w:r w:rsidRPr="00D5464D">
        <w:rPr>
          <w:rFonts w:cs="Arial"/>
          <w:iCs/>
          <w:szCs w:val="20"/>
          <w:lang w:val="pt-BR"/>
        </w:rPr>
        <w:t xml:space="preserve"> de 2004</w:t>
      </w:r>
      <w:r w:rsidR="00470ADC" w:rsidRPr="00D5464D">
        <w:rPr>
          <w:rFonts w:cs="Arial"/>
          <w:iCs/>
          <w:szCs w:val="20"/>
          <w:lang w:val="pt-BR"/>
        </w:rPr>
        <w:t>, e</w:t>
      </w:r>
      <w:r w:rsidR="00A1358C" w:rsidRPr="00D5464D">
        <w:rPr>
          <w:rFonts w:cs="Arial"/>
          <w:iCs/>
          <w:szCs w:val="20"/>
          <w:lang w:val="pt-BR"/>
        </w:rPr>
        <w:t xml:space="preserve"> nº </w:t>
      </w:r>
      <w:r w:rsidRPr="00D5464D">
        <w:rPr>
          <w:rFonts w:cs="Arial"/>
          <w:iCs/>
          <w:szCs w:val="20"/>
          <w:lang w:val="pt-BR"/>
        </w:rPr>
        <w:t>2</w:t>
      </w:r>
      <w:r w:rsidR="00DB5A03" w:rsidRPr="00D5464D">
        <w:rPr>
          <w:rFonts w:cs="Arial"/>
          <w:iCs/>
          <w:szCs w:val="20"/>
          <w:lang w:val="pt-BR"/>
        </w:rPr>
        <w:t>,</w:t>
      </w:r>
      <w:r w:rsidRPr="00D5464D">
        <w:rPr>
          <w:rFonts w:cs="Arial"/>
          <w:iCs/>
          <w:szCs w:val="20"/>
          <w:lang w:val="pt-BR"/>
        </w:rPr>
        <w:t xml:space="preserve"> de 12 de</w:t>
      </w:r>
      <w:r w:rsidR="002C330E" w:rsidRPr="00D5464D">
        <w:rPr>
          <w:rFonts w:cs="Arial"/>
          <w:iCs/>
          <w:szCs w:val="20"/>
          <w:lang w:val="pt-BR"/>
        </w:rPr>
        <w:t xml:space="preserve"> maio </w:t>
      </w:r>
      <w:r w:rsidRPr="00D5464D">
        <w:rPr>
          <w:rFonts w:cs="Arial"/>
          <w:iCs/>
          <w:szCs w:val="20"/>
          <w:lang w:val="pt-BR"/>
        </w:rPr>
        <w:t xml:space="preserve">de 2011, </w:t>
      </w:r>
      <w:r w:rsidR="00F04E72" w:rsidRPr="00D5464D">
        <w:rPr>
          <w:rFonts w:cs="Arial"/>
          <w:iCs/>
          <w:szCs w:val="20"/>
          <w:lang w:val="pt-BR"/>
        </w:rPr>
        <w:t xml:space="preserve">foi criado </w:t>
      </w:r>
      <w:r w:rsidR="00470ADC" w:rsidRPr="00D5464D">
        <w:rPr>
          <w:rFonts w:cs="Arial"/>
          <w:iCs/>
          <w:szCs w:val="20"/>
          <w:lang w:val="pt-BR"/>
        </w:rPr>
        <w:t xml:space="preserve">o </w:t>
      </w:r>
      <w:r w:rsidRPr="00D5464D">
        <w:rPr>
          <w:rFonts w:cs="Arial"/>
          <w:iCs/>
          <w:szCs w:val="20"/>
          <w:lang w:val="pt-BR"/>
        </w:rPr>
        <w:t xml:space="preserve">Registro de </w:t>
      </w:r>
      <w:r w:rsidR="00230C71" w:rsidRPr="00D5464D">
        <w:rPr>
          <w:rFonts w:cs="Arial"/>
          <w:iCs/>
          <w:szCs w:val="20"/>
          <w:lang w:val="pt-BR"/>
        </w:rPr>
        <w:t>Empregad</w:t>
      </w:r>
      <w:r w:rsidRPr="00D5464D">
        <w:rPr>
          <w:rFonts w:cs="Arial"/>
          <w:iCs/>
          <w:szCs w:val="20"/>
          <w:lang w:val="pt-BR"/>
        </w:rPr>
        <w:t>ores Infr</w:t>
      </w:r>
      <w:r w:rsidR="00737270" w:rsidRPr="00D5464D">
        <w:rPr>
          <w:rFonts w:cs="Arial"/>
          <w:iCs/>
          <w:szCs w:val="20"/>
          <w:lang w:val="pt-BR"/>
        </w:rPr>
        <w:t>ator</w:t>
      </w:r>
      <w:r w:rsidRPr="00D5464D">
        <w:rPr>
          <w:rFonts w:cs="Arial"/>
          <w:iCs/>
          <w:szCs w:val="20"/>
          <w:lang w:val="pt-BR"/>
        </w:rPr>
        <w:t>es (</w:t>
      </w:r>
      <w:r w:rsidR="00F04E72" w:rsidRPr="00D5464D">
        <w:rPr>
          <w:rFonts w:cs="Arial"/>
          <w:iCs/>
          <w:szCs w:val="20"/>
          <w:lang w:val="pt-BR"/>
        </w:rPr>
        <w:t>“</w:t>
      </w:r>
      <w:r w:rsidRPr="00D5464D">
        <w:rPr>
          <w:rFonts w:cs="Arial"/>
          <w:iCs/>
          <w:szCs w:val="20"/>
          <w:lang w:val="pt-BR"/>
        </w:rPr>
        <w:t>Lista Suja</w:t>
      </w:r>
      <w:r w:rsidR="00F04E72" w:rsidRPr="00D5464D">
        <w:rPr>
          <w:rFonts w:cs="Arial"/>
          <w:iCs/>
          <w:szCs w:val="20"/>
          <w:lang w:val="pt-BR"/>
        </w:rPr>
        <w:t>”</w:t>
      </w:r>
      <w:r w:rsidRPr="00D5464D">
        <w:rPr>
          <w:rFonts w:cs="Arial"/>
          <w:iCs/>
          <w:szCs w:val="20"/>
          <w:lang w:val="pt-BR"/>
        </w:rPr>
        <w:t>)</w:t>
      </w:r>
      <w:r w:rsidR="002C330E" w:rsidRPr="00D5464D">
        <w:rPr>
          <w:rFonts w:cs="Arial"/>
          <w:iCs/>
          <w:szCs w:val="20"/>
          <w:lang w:val="pt-BR"/>
        </w:rPr>
        <w:t xml:space="preserve"> </w:t>
      </w:r>
      <w:r w:rsidR="00F04E72" w:rsidRPr="00D5464D">
        <w:rPr>
          <w:rFonts w:cs="Arial"/>
          <w:iCs/>
          <w:szCs w:val="20"/>
          <w:lang w:val="pt-BR"/>
        </w:rPr>
        <w:t xml:space="preserve">por parte do </w:t>
      </w:r>
      <w:r w:rsidR="002C330E" w:rsidRPr="00D5464D">
        <w:rPr>
          <w:rFonts w:cs="Arial"/>
          <w:iCs/>
          <w:szCs w:val="20"/>
          <w:lang w:val="pt-BR"/>
        </w:rPr>
        <w:t>Ministério</w:t>
      </w:r>
      <w:r w:rsidRPr="00D5464D">
        <w:rPr>
          <w:rFonts w:cs="Arial"/>
          <w:iCs/>
          <w:szCs w:val="20"/>
          <w:lang w:val="pt-BR"/>
        </w:rPr>
        <w:t xml:space="preserve"> </w:t>
      </w:r>
      <w:r w:rsidR="00470ADC" w:rsidRPr="00D5464D">
        <w:rPr>
          <w:rFonts w:cs="Arial"/>
          <w:iCs/>
          <w:szCs w:val="20"/>
          <w:lang w:val="pt-BR"/>
        </w:rPr>
        <w:t xml:space="preserve">do </w:t>
      </w:r>
      <w:r w:rsidR="00E045D9" w:rsidRPr="00D5464D">
        <w:rPr>
          <w:rFonts w:cs="Arial"/>
          <w:iCs/>
          <w:szCs w:val="20"/>
          <w:lang w:val="pt-BR"/>
        </w:rPr>
        <w:t xml:space="preserve">Trabalho e </w:t>
      </w:r>
      <w:r w:rsidR="00A1358C" w:rsidRPr="00D5464D">
        <w:rPr>
          <w:rFonts w:cs="Arial"/>
          <w:iCs/>
          <w:szCs w:val="20"/>
          <w:lang w:val="pt-BR"/>
        </w:rPr>
        <w:t>Emprego</w:t>
      </w:r>
      <w:r w:rsidRPr="00D5464D">
        <w:rPr>
          <w:rFonts w:cs="Arial"/>
          <w:iCs/>
          <w:szCs w:val="20"/>
          <w:lang w:val="pt-BR"/>
        </w:rPr>
        <w:t>,</w:t>
      </w:r>
      <w:r w:rsidR="00470ADC" w:rsidRPr="00D5464D">
        <w:rPr>
          <w:rFonts w:cs="Arial"/>
          <w:iCs/>
          <w:szCs w:val="20"/>
          <w:lang w:val="pt-BR"/>
        </w:rPr>
        <w:t xml:space="preserve"> com atual</w:t>
      </w:r>
      <w:r w:rsidRPr="00D5464D">
        <w:rPr>
          <w:rFonts w:cs="Arial"/>
          <w:iCs/>
          <w:szCs w:val="20"/>
          <w:lang w:val="pt-BR"/>
        </w:rPr>
        <w:t>iza</w:t>
      </w:r>
      <w:r w:rsidR="00470ADC" w:rsidRPr="00D5464D">
        <w:rPr>
          <w:rFonts w:cs="Arial"/>
          <w:iCs/>
          <w:szCs w:val="20"/>
          <w:lang w:val="pt-BR"/>
        </w:rPr>
        <w:t>ção</w:t>
      </w:r>
      <w:r w:rsidRPr="00D5464D">
        <w:rPr>
          <w:rFonts w:cs="Arial"/>
          <w:iCs/>
          <w:szCs w:val="20"/>
          <w:lang w:val="pt-BR"/>
        </w:rPr>
        <w:t xml:space="preserve"> semestral, que con</w:t>
      </w:r>
      <w:r w:rsidR="00E045D9" w:rsidRPr="00D5464D">
        <w:rPr>
          <w:rFonts w:cs="Arial"/>
          <w:iCs/>
          <w:szCs w:val="20"/>
          <w:lang w:val="pt-BR"/>
        </w:rPr>
        <w:t xml:space="preserve">tem </w:t>
      </w:r>
      <w:r w:rsidR="002C330E" w:rsidRPr="00D5464D">
        <w:rPr>
          <w:rFonts w:cs="Arial"/>
          <w:iCs/>
          <w:szCs w:val="20"/>
          <w:lang w:val="pt-BR"/>
        </w:rPr>
        <w:t>os nome</w:t>
      </w:r>
      <w:r w:rsidRPr="00D5464D">
        <w:rPr>
          <w:rFonts w:cs="Arial"/>
          <w:iCs/>
          <w:szCs w:val="20"/>
          <w:lang w:val="pt-BR"/>
        </w:rPr>
        <w:t>s</w:t>
      </w:r>
      <w:r w:rsidR="00470ADC" w:rsidRPr="00D5464D">
        <w:rPr>
          <w:rFonts w:cs="Arial"/>
          <w:iCs/>
          <w:szCs w:val="20"/>
          <w:lang w:val="pt-BR"/>
        </w:rPr>
        <w:t xml:space="preserve"> dos </w:t>
      </w:r>
      <w:r w:rsidRPr="00D5464D">
        <w:rPr>
          <w:rFonts w:cs="Arial"/>
          <w:iCs/>
          <w:szCs w:val="20"/>
          <w:lang w:val="pt-BR"/>
        </w:rPr>
        <w:t>infr</w:t>
      </w:r>
      <w:r w:rsidR="00737270" w:rsidRPr="00D5464D">
        <w:rPr>
          <w:rFonts w:cs="Arial"/>
          <w:iCs/>
          <w:szCs w:val="20"/>
          <w:lang w:val="pt-BR"/>
        </w:rPr>
        <w:t>ator</w:t>
      </w:r>
      <w:r w:rsidRPr="00D5464D">
        <w:rPr>
          <w:rFonts w:cs="Arial"/>
          <w:iCs/>
          <w:szCs w:val="20"/>
          <w:lang w:val="pt-BR"/>
        </w:rPr>
        <w:t xml:space="preserve">es </w:t>
      </w:r>
      <w:r w:rsidR="00DB5A03" w:rsidRPr="00D5464D">
        <w:rPr>
          <w:rFonts w:cs="Arial"/>
          <w:iCs/>
          <w:szCs w:val="20"/>
          <w:lang w:val="pt-BR"/>
        </w:rPr>
        <w:t xml:space="preserve">que </w:t>
      </w:r>
      <w:r w:rsidR="00C91CB1" w:rsidRPr="00D5464D">
        <w:rPr>
          <w:rFonts w:cs="Arial"/>
          <w:iCs/>
          <w:szCs w:val="20"/>
          <w:lang w:val="pt-BR"/>
        </w:rPr>
        <w:t>empregam</w:t>
      </w:r>
      <w:r w:rsidRPr="00D5464D">
        <w:rPr>
          <w:rFonts w:cs="Arial"/>
          <w:iCs/>
          <w:szCs w:val="20"/>
          <w:lang w:val="pt-BR"/>
        </w:rPr>
        <w:t xml:space="preserve"> </w:t>
      </w:r>
      <w:r w:rsidR="00E045D9" w:rsidRPr="00D5464D">
        <w:rPr>
          <w:rFonts w:cs="Arial"/>
          <w:iCs/>
          <w:szCs w:val="20"/>
          <w:lang w:val="pt-BR"/>
        </w:rPr>
        <w:t>trabalhadores</w:t>
      </w:r>
      <w:r w:rsidR="00470ADC" w:rsidRPr="00D5464D">
        <w:rPr>
          <w:rFonts w:cs="Arial"/>
          <w:iCs/>
          <w:szCs w:val="20"/>
          <w:lang w:val="pt-BR"/>
        </w:rPr>
        <w:t xml:space="preserve"> em </w:t>
      </w:r>
      <w:r w:rsidRPr="00D5464D">
        <w:rPr>
          <w:rFonts w:cs="Arial"/>
          <w:iCs/>
          <w:szCs w:val="20"/>
          <w:lang w:val="pt-BR"/>
        </w:rPr>
        <w:t>condi</w:t>
      </w:r>
      <w:r w:rsidR="00470ADC" w:rsidRPr="00D5464D">
        <w:rPr>
          <w:rFonts w:cs="Arial"/>
          <w:iCs/>
          <w:szCs w:val="20"/>
          <w:lang w:val="pt-BR"/>
        </w:rPr>
        <w:t>ções</w:t>
      </w:r>
      <w:r w:rsidRPr="00D5464D">
        <w:rPr>
          <w:rFonts w:cs="Arial"/>
          <w:iCs/>
          <w:szCs w:val="20"/>
          <w:lang w:val="pt-BR"/>
        </w:rPr>
        <w:t xml:space="preserve"> de </w:t>
      </w:r>
      <w:r w:rsidR="004F1CC2" w:rsidRPr="00D5464D">
        <w:rPr>
          <w:rFonts w:cs="Arial"/>
          <w:iCs/>
          <w:szCs w:val="20"/>
          <w:lang w:val="pt-BR"/>
        </w:rPr>
        <w:t>escravo</w:t>
      </w:r>
      <w:r w:rsidRPr="00D5464D">
        <w:rPr>
          <w:rFonts w:cs="Arial"/>
          <w:iCs/>
          <w:szCs w:val="20"/>
          <w:lang w:val="pt-BR"/>
        </w:rPr>
        <w:t xml:space="preserve"> para consulta de </w:t>
      </w:r>
      <w:r w:rsidR="002C330E" w:rsidRPr="00D5464D">
        <w:rPr>
          <w:rFonts w:cs="Arial"/>
          <w:iCs/>
          <w:szCs w:val="20"/>
          <w:lang w:val="pt-BR"/>
        </w:rPr>
        <w:t>instituições</w:t>
      </w:r>
      <w:r w:rsidRPr="00D5464D">
        <w:rPr>
          <w:rFonts w:cs="Arial"/>
          <w:iCs/>
          <w:szCs w:val="20"/>
          <w:lang w:val="pt-BR"/>
        </w:rPr>
        <w:t xml:space="preserve"> </w:t>
      </w:r>
      <w:r w:rsidR="00470ADC" w:rsidRPr="00D5464D">
        <w:rPr>
          <w:rFonts w:cs="Arial"/>
          <w:iCs/>
          <w:szCs w:val="20"/>
          <w:lang w:val="pt-BR"/>
        </w:rPr>
        <w:t>financeira</w:t>
      </w:r>
      <w:r w:rsidRPr="00D5464D">
        <w:rPr>
          <w:rFonts w:cs="Arial"/>
          <w:iCs/>
          <w:szCs w:val="20"/>
          <w:lang w:val="pt-BR"/>
        </w:rPr>
        <w:t>s</w:t>
      </w:r>
      <w:r w:rsidR="00470ADC" w:rsidRPr="00D5464D">
        <w:rPr>
          <w:rFonts w:cs="Arial"/>
          <w:iCs/>
          <w:szCs w:val="20"/>
          <w:lang w:val="pt-BR"/>
        </w:rPr>
        <w:t xml:space="preserve"> em </w:t>
      </w:r>
      <w:r w:rsidRPr="00D5464D">
        <w:rPr>
          <w:rFonts w:cs="Arial"/>
          <w:iCs/>
          <w:szCs w:val="20"/>
          <w:lang w:val="pt-BR"/>
        </w:rPr>
        <w:t xml:space="preserve">casos de </w:t>
      </w:r>
      <w:r w:rsidR="00F04E72" w:rsidRPr="00D5464D">
        <w:rPr>
          <w:rFonts w:cs="Arial"/>
          <w:iCs/>
          <w:szCs w:val="20"/>
          <w:lang w:val="pt-BR"/>
        </w:rPr>
        <w:t xml:space="preserve">pedidos </w:t>
      </w:r>
      <w:r w:rsidRPr="00D5464D">
        <w:rPr>
          <w:rFonts w:cs="Arial"/>
          <w:iCs/>
          <w:szCs w:val="20"/>
          <w:lang w:val="pt-BR"/>
        </w:rPr>
        <w:t xml:space="preserve">de créditos; </w:t>
      </w:r>
    </w:p>
    <w:p w14:paraId="55E7E507" w14:textId="62402EC8" w:rsidR="004B0842" w:rsidRPr="00D5464D" w:rsidRDefault="00C91CB1" w:rsidP="00F306D7">
      <w:pPr>
        <w:pStyle w:val="Prrafodelista"/>
        <w:numPr>
          <w:ilvl w:val="0"/>
          <w:numId w:val="12"/>
        </w:numPr>
        <w:autoSpaceDE w:val="0"/>
        <w:autoSpaceDN w:val="0"/>
        <w:adjustRightInd w:val="0"/>
        <w:spacing w:after="120"/>
        <w:ind w:hanging="11"/>
        <w:contextualSpacing w:val="0"/>
        <w:rPr>
          <w:rFonts w:cs="Arial"/>
          <w:iCs/>
          <w:szCs w:val="20"/>
          <w:lang w:val="pt-BR"/>
        </w:rPr>
      </w:pPr>
      <w:r w:rsidRPr="00D5464D">
        <w:rPr>
          <w:rFonts w:cs="Arial"/>
          <w:iCs/>
          <w:szCs w:val="20"/>
          <w:lang w:val="pt-BR"/>
        </w:rPr>
        <w:t>Em 3</w:t>
      </w:r>
      <w:r w:rsidR="00350187" w:rsidRPr="00D5464D">
        <w:rPr>
          <w:rFonts w:cs="Arial"/>
          <w:iCs/>
          <w:szCs w:val="20"/>
          <w:lang w:val="pt-BR"/>
        </w:rPr>
        <w:t xml:space="preserve">1 </w:t>
      </w:r>
      <w:r w:rsidR="00A1358C" w:rsidRPr="00D5464D">
        <w:rPr>
          <w:rFonts w:cs="Arial"/>
          <w:iCs/>
          <w:szCs w:val="20"/>
          <w:lang w:val="pt-BR"/>
        </w:rPr>
        <w:t>de julho</w:t>
      </w:r>
      <w:r w:rsidR="004B0842" w:rsidRPr="00D5464D">
        <w:rPr>
          <w:rFonts w:cs="Arial"/>
          <w:iCs/>
          <w:szCs w:val="20"/>
          <w:lang w:val="pt-BR"/>
        </w:rPr>
        <w:t xml:space="preserve"> de 2003, </w:t>
      </w:r>
      <w:r w:rsidR="00F04E72" w:rsidRPr="00D5464D">
        <w:rPr>
          <w:rFonts w:cs="Arial"/>
          <w:iCs/>
          <w:szCs w:val="20"/>
          <w:lang w:val="pt-BR"/>
        </w:rPr>
        <w:t xml:space="preserve">foi criada </w:t>
      </w:r>
      <w:r w:rsidR="002C330E" w:rsidRPr="00D5464D">
        <w:rPr>
          <w:rFonts w:cs="Arial"/>
          <w:iCs/>
          <w:szCs w:val="20"/>
          <w:lang w:val="pt-BR"/>
        </w:rPr>
        <w:t xml:space="preserve">a </w:t>
      </w:r>
      <w:r w:rsidR="00470ADC" w:rsidRPr="00D5464D">
        <w:rPr>
          <w:rFonts w:cs="Arial"/>
          <w:iCs/>
          <w:szCs w:val="20"/>
          <w:lang w:val="pt-BR"/>
        </w:rPr>
        <w:t>Comissão</w:t>
      </w:r>
      <w:r w:rsidR="004B0842" w:rsidRPr="00D5464D">
        <w:rPr>
          <w:rFonts w:cs="Arial"/>
          <w:iCs/>
          <w:szCs w:val="20"/>
          <w:lang w:val="pt-BR"/>
        </w:rPr>
        <w:t xml:space="preserve"> Nacional para</w:t>
      </w:r>
      <w:r w:rsidR="002C330E" w:rsidRPr="00D5464D">
        <w:rPr>
          <w:rFonts w:cs="Arial"/>
          <w:iCs/>
          <w:szCs w:val="20"/>
          <w:lang w:val="pt-BR"/>
        </w:rPr>
        <w:t xml:space="preserve"> a </w:t>
      </w:r>
      <w:r w:rsidR="004B0842" w:rsidRPr="00D5464D">
        <w:rPr>
          <w:rFonts w:cs="Arial"/>
          <w:iCs/>
          <w:szCs w:val="20"/>
          <w:lang w:val="pt-BR"/>
        </w:rPr>
        <w:t>Erradica</w:t>
      </w:r>
      <w:r w:rsidR="00470ADC" w:rsidRPr="00D5464D">
        <w:rPr>
          <w:rFonts w:cs="Arial"/>
          <w:iCs/>
          <w:szCs w:val="20"/>
          <w:lang w:val="pt-BR"/>
        </w:rPr>
        <w:t>ção</w:t>
      </w:r>
      <w:r w:rsidR="004B0842" w:rsidRPr="00D5464D">
        <w:rPr>
          <w:rFonts w:cs="Arial"/>
          <w:iCs/>
          <w:szCs w:val="20"/>
          <w:lang w:val="pt-BR"/>
        </w:rPr>
        <w:t xml:space="preserve"> </w:t>
      </w:r>
      <w:r w:rsidR="00470ADC" w:rsidRPr="00D5464D">
        <w:rPr>
          <w:rFonts w:cs="Arial"/>
          <w:iCs/>
          <w:szCs w:val="20"/>
          <w:lang w:val="pt-BR"/>
        </w:rPr>
        <w:t xml:space="preserve">do </w:t>
      </w:r>
      <w:r w:rsidR="00E045D9" w:rsidRPr="00D5464D">
        <w:rPr>
          <w:rFonts w:cs="Arial"/>
          <w:iCs/>
          <w:szCs w:val="20"/>
          <w:lang w:val="pt-BR"/>
        </w:rPr>
        <w:t>Trabalho</w:t>
      </w:r>
      <w:r w:rsidR="004B0842" w:rsidRPr="00D5464D">
        <w:rPr>
          <w:rFonts w:cs="Arial"/>
          <w:iCs/>
          <w:szCs w:val="20"/>
          <w:lang w:val="pt-BR"/>
        </w:rPr>
        <w:t xml:space="preserve"> </w:t>
      </w:r>
      <w:r w:rsidR="004F1CC2" w:rsidRPr="00D5464D">
        <w:rPr>
          <w:rFonts w:cs="Arial"/>
          <w:iCs/>
          <w:szCs w:val="20"/>
          <w:lang w:val="pt-BR"/>
        </w:rPr>
        <w:t>Escravo</w:t>
      </w:r>
      <w:r w:rsidR="004B0842" w:rsidRPr="00D5464D">
        <w:rPr>
          <w:rFonts w:cs="Arial"/>
          <w:iCs/>
          <w:szCs w:val="20"/>
          <w:lang w:val="pt-BR"/>
        </w:rPr>
        <w:t xml:space="preserve"> (CONATRAE), que </w:t>
      </w:r>
      <w:r w:rsidRPr="00D5464D">
        <w:rPr>
          <w:rFonts w:cs="Arial"/>
          <w:iCs/>
          <w:szCs w:val="20"/>
          <w:lang w:val="pt-BR"/>
        </w:rPr>
        <w:t>substituiu</w:t>
      </w:r>
      <w:r w:rsidR="00470ADC" w:rsidRPr="00D5464D">
        <w:rPr>
          <w:rFonts w:cs="Arial"/>
          <w:iCs/>
          <w:szCs w:val="20"/>
          <w:lang w:val="pt-BR"/>
        </w:rPr>
        <w:t xml:space="preserve"> o </w:t>
      </w:r>
      <w:r w:rsidR="004B0842" w:rsidRPr="00D5464D">
        <w:rPr>
          <w:rFonts w:cs="Arial"/>
          <w:iCs/>
          <w:szCs w:val="20"/>
          <w:lang w:val="pt-BR"/>
        </w:rPr>
        <w:t>Grupo Interministerial para Erradicar</w:t>
      </w:r>
      <w:r w:rsidR="00470ADC" w:rsidRPr="00D5464D">
        <w:rPr>
          <w:rFonts w:cs="Arial"/>
          <w:iCs/>
          <w:szCs w:val="20"/>
          <w:lang w:val="pt-BR"/>
        </w:rPr>
        <w:t xml:space="preserve"> o </w:t>
      </w:r>
      <w:r w:rsidR="00E045D9" w:rsidRPr="00D5464D">
        <w:rPr>
          <w:rFonts w:cs="Arial"/>
          <w:iCs/>
          <w:szCs w:val="20"/>
          <w:lang w:val="pt-BR"/>
        </w:rPr>
        <w:t>Trabalho</w:t>
      </w:r>
      <w:r w:rsidR="001B63D0" w:rsidRPr="00D5464D">
        <w:rPr>
          <w:rFonts w:cs="Arial"/>
          <w:iCs/>
          <w:szCs w:val="20"/>
          <w:lang w:val="pt-BR"/>
        </w:rPr>
        <w:t xml:space="preserve"> </w:t>
      </w:r>
      <w:r w:rsidR="00F04E72" w:rsidRPr="00D5464D">
        <w:rPr>
          <w:rFonts w:cs="Arial"/>
          <w:iCs/>
          <w:szCs w:val="20"/>
          <w:lang w:val="pt-BR"/>
        </w:rPr>
        <w:t>F</w:t>
      </w:r>
      <w:r w:rsidR="00230C71" w:rsidRPr="00D5464D">
        <w:rPr>
          <w:rFonts w:cs="Arial"/>
          <w:iCs/>
          <w:szCs w:val="20"/>
          <w:lang w:val="pt-BR"/>
        </w:rPr>
        <w:t>orçado</w:t>
      </w:r>
      <w:r w:rsidR="004B0842" w:rsidRPr="00D5464D">
        <w:rPr>
          <w:rFonts w:cs="Arial"/>
          <w:iCs/>
          <w:szCs w:val="20"/>
          <w:lang w:val="pt-BR"/>
        </w:rPr>
        <w:t xml:space="preserve"> (GERTRAF), </w:t>
      </w:r>
      <w:r w:rsidR="00F04E72" w:rsidRPr="00D5464D">
        <w:rPr>
          <w:rFonts w:cs="Arial"/>
          <w:iCs/>
          <w:szCs w:val="20"/>
          <w:lang w:val="pt-BR"/>
        </w:rPr>
        <w:t xml:space="preserve">criado </w:t>
      </w:r>
      <w:r w:rsidR="00470ADC" w:rsidRPr="00D5464D">
        <w:rPr>
          <w:rFonts w:cs="Arial"/>
          <w:iCs/>
          <w:szCs w:val="20"/>
          <w:lang w:val="pt-BR"/>
        </w:rPr>
        <w:t xml:space="preserve">em </w:t>
      </w:r>
      <w:r w:rsidR="004B0842" w:rsidRPr="00D5464D">
        <w:rPr>
          <w:rFonts w:cs="Arial"/>
          <w:iCs/>
          <w:szCs w:val="20"/>
          <w:lang w:val="pt-BR"/>
        </w:rPr>
        <w:t xml:space="preserve">1995. Esta </w:t>
      </w:r>
      <w:r w:rsidR="00470ADC" w:rsidRPr="00D5464D">
        <w:rPr>
          <w:rFonts w:cs="Arial"/>
          <w:iCs/>
          <w:szCs w:val="20"/>
          <w:lang w:val="pt-BR"/>
        </w:rPr>
        <w:t>Comissão</w:t>
      </w:r>
      <w:r w:rsidR="004B0842" w:rsidRPr="00D5464D">
        <w:rPr>
          <w:rFonts w:cs="Arial"/>
          <w:iCs/>
          <w:szCs w:val="20"/>
          <w:lang w:val="pt-BR"/>
        </w:rPr>
        <w:t xml:space="preserve"> incorpor</w:t>
      </w:r>
      <w:r w:rsidR="00F04E72" w:rsidRPr="00D5464D">
        <w:rPr>
          <w:rFonts w:cs="Arial"/>
          <w:iCs/>
          <w:szCs w:val="20"/>
          <w:lang w:val="pt-BR"/>
        </w:rPr>
        <w:t>ou</w:t>
      </w:r>
      <w:r w:rsidR="002C330E" w:rsidRPr="00D5464D">
        <w:rPr>
          <w:rFonts w:cs="Arial"/>
          <w:iCs/>
          <w:szCs w:val="20"/>
          <w:lang w:val="pt-BR"/>
        </w:rPr>
        <w:t xml:space="preserve"> a </w:t>
      </w:r>
      <w:r w:rsidR="004B0842" w:rsidRPr="00D5464D">
        <w:rPr>
          <w:rFonts w:cs="Arial"/>
          <w:iCs/>
          <w:szCs w:val="20"/>
          <w:lang w:val="pt-BR"/>
        </w:rPr>
        <w:t>participa</w:t>
      </w:r>
      <w:r w:rsidR="00470ADC" w:rsidRPr="00D5464D">
        <w:rPr>
          <w:rFonts w:cs="Arial"/>
          <w:iCs/>
          <w:szCs w:val="20"/>
          <w:lang w:val="pt-BR"/>
        </w:rPr>
        <w:t>ção</w:t>
      </w:r>
      <w:r w:rsidR="004B0842" w:rsidRPr="00D5464D">
        <w:rPr>
          <w:rFonts w:cs="Arial"/>
          <w:iCs/>
          <w:szCs w:val="20"/>
          <w:lang w:val="pt-BR"/>
        </w:rPr>
        <w:t xml:space="preserve"> de</w:t>
      </w:r>
      <w:r w:rsidR="00E045D9" w:rsidRPr="00D5464D">
        <w:rPr>
          <w:rFonts w:cs="Arial"/>
          <w:iCs/>
          <w:szCs w:val="20"/>
          <w:lang w:val="pt-BR"/>
        </w:rPr>
        <w:t xml:space="preserve"> um </w:t>
      </w:r>
      <w:r w:rsidR="002C330E" w:rsidRPr="00D5464D">
        <w:rPr>
          <w:rFonts w:cs="Arial"/>
          <w:iCs/>
          <w:szCs w:val="20"/>
          <w:lang w:val="pt-BR"/>
        </w:rPr>
        <w:t xml:space="preserve">maior </w:t>
      </w:r>
      <w:r w:rsidR="004B0842" w:rsidRPr="00D5464D">
        <w:rPr>
          <w:rFonts w:cs="Arial"/>
          <w:iCs/>
          <w:szCs w:val="20"/>
          <w:lang w:val="pt-BR"/>
        </w:rPr>
        <w:t xml:space="preserve">número de </w:t>
      </w:r>
      <w:r w:rsidR="002C330E" w:rsidRPr="00D5464D">
        <w:rPr>
          <w:rFonts w:cs="Arial"/>
          <w:iCs/>
          <w:szCs w:val="20"/>
          <w:lang w:val="pt-BR"/>
        </w:rPr>
        <w:t>instituições</w:t>
      </w:r>
      <w:r w:rsidR="004B0842" w:rsidRPr="00D5464D">
        <w:rPr>
          <w:rFonts w:cs="Arial"/>
          <w:iCs/>
          <w:szCs w:val="20"/>
          <w:lang w:val="pt-BR"/>
        </w:rPr>
        <w:t xml:space="preserve"> </w:t>
      </w:r>
      <w:r w:rsidR="00470ADC" w:rsidRPr="00D5464D">
        <w:rPr>
          <w:rFonts w:cs="Arial"/>
          <w:iCs/>
          <w:szCs w:val="20"/>
          <w:lang w:val="pt-BR"/>
        </w:rPr>
        <w:t xml:space="preserve">do </w:t>
      </w:r>
      <w:r w:rsidR="004B0842" w:rsidRPr="00D5464D">
        <w:rPr>
          <w:rFonts w:cs="Arial"/>
          <w:iCs/>
          <w:szCs w:val="20"/>
          <w:lang w:val="pt-BR"/>
        </w:rPr>
        <w:t xml:space="preserve">Estado </w:t>
      </w:r>
      <w:r w:rsidR="00470ADC" w:rsidRPr="00D5464D">
        <w:rPr>
          <w:rFonts w:cs="Arial"/>
          <w:iCs/>
          <w:szCs w:val="20"/>
          <w:lang w:val="pt-BR"/>
        </w:rPr>
        <w:t>Brasileir</w:t>
      </w:r>
      <w:r w:rsidR="004B0842" w:rsidRPr="00D5464D">
        <w:rPr>
          <w:rFonts w:cs="Arial"/>
          <w:iCs/>
          <w:szCs w:val="20"/>
          <w:lang w:val="pt-BR"/>
        </w:rPr>
        <w:t>o</w:t>
      </w:r>
      <w:r w:rsidR="00E045D9" w:rsidRPr="00D5464D">
        <w:rPr>
          <w:rFonts w:cs="Arial"/>
          <w:iCs/>
          <w:szCs w:val="20"/>
          <w:lang w:val="pt-BR"/>
        </w:rPr>
        <w:t xml:space="preserve"> e </w:t>
      </w:r>
      <w:r w:rsidR="00F04E72" w:rsidRPr="00D5464D">
        <w:rPr>
          <w:rFonts w:cs="Arial"/>
          <w:iCs/>
          <w:szCs w:val="20"/>
          <w:lang w:val="pt-BR"/>
        </w:rPr>
        <w:t xml:space="preserve">de </w:t>
      </w:r>
      <w:r w:rsidR="002C330E" w:rsidRPr="00D5464D">
        <w:rPr>
          <w:rFonts w:cs="Arial"/>
          <w:iCs/>
          <w:szCs w:val="20"/>
          <w:lang w:val="pt-BR"/>
        </w:rPr>
        <w:t>membro</w:t>
      </w:r>
      <w:r w:rsidR="004B0842" w:rsidRPr="00D5464D">
        <w:rPr>
          <w:rFonts w:cs="Arial"/>
          <w:iCs/>
          <w:szCs w:val="20"/>
          <w:lang w:val="pt-BR"/>
        </w:rPr>
        <w:t>s</w:t>
      </w:r>
      <w:r w:rsidR="00470ADC" w:rsidRPr="00D5464D">
        <w:rPr>
          <w:rFonts w:cs="Arial"/>
          <w:iCs/>
          <w:szCs w:val="20"/>
          <w:lang w:val="pt-BR"/>
        </w:rPr>
        <w:t xml:space="preserve"> da </w:t>
      </w:r>
      <w:r w:rsidR="002C330E" w:rsidRPr="00D5464D">
        <w:rPr>
          <w:rFonts w:cs="Arial"/>
          <w:iCs/>
          <w:szCs w:val="20"/>
          <w:lang w:val="pt-BR"/>
        </w:rPr>
        <w:t xml:space="preserve">sociedade </w:t>
      </w:r>
      <w:r w:rsidR="004B0842" w:rsidRPr="00D5464D">
        <w:rPr>
          <w:rFonts w:cs="Arial"/>
          <w:iCs/>
          <w:szCs w:val="20"/>
          <w:lang w:val="pt-BR"/>
        </w:rPr>
        <w:t>civil,</w:t>
      </w:r>
      <w:r w:rsidR="00470ADC" w:rsidRPr="00D5464D">
        <w:rPr>
          <w:rFonts w:cs="Arial"/>
          <w:iCs/>
          <w:szCs w:val="20"/>
          <w:lang w:val="pt-BR"/>
        </w:rPr>
        <w:t xml:space="preserve"> com</w:t>
      </w:r>
      <w:r w:rsidR="002C330E" w:rsidRPr="00D5464D">
        <w:rPr>
          <w:rFonts w:cs="Arial"/>
          <w:iCs/>
          <w:szCs w:val="20"/>
          <w:lang w:val="pt-BR"/>
        </w:rPr>
        <w:t xml:space="preserve"> a </w:t>
      </w:r>
      <w:r w:rsidR="00470ADC" w:rsidRPr="00D5464D">
        <w:rPr>
          <w:rFonts w:cs="Arial"/>
          <w:iCs/>
          <w:szCs w:val="20"/>
          <w:lang w:val="pt-BR"/>
        </w:rPr>
        <w:t xml:space="preserve">finalidade </w:t>
      </w:r>
      <w:r w:rsidR="004B0842" w:rsidRPr="00D5464D">
        <w:rPr>
          <w:rFonts w:cs="Arial"/>
          <w:iCs/>
          <w:szCs w:val="20"/>
          <w:lang w:val="pt-BR"/>
        </w:rPr>
        <w:t xml:space="preserve">de articular políticas públicas para </w:t>
      </w:r>
      <w:r w:rsidR="00470ADC" w:rsidRPr="00D5464D">
        <w:rPr>
          <w:rFonts w:cs="Arial"/>
          <w:iCs/>
          <w:szCs w:val="20"/>
          <w:lang w:val="pt-BR"/>
        </w:rPr>
        <w:t xml:space="preserve">combater o </w:t>
      </w:r>
      <w:r w:rsidR="00E045D9" w:rsidRPr="00D5464D">
        <w:rPr>
          <w:rFonts w:cs="Arial"/>
          <w:iCs/>
          <w:szCs w:val="20"/>
          <w:lang w:val="pt-BR"/>
        </w:rPr>
        <w:t>trabalho</w:t>
      </w:r>
      <w:r w:rsidR="004B0842" w:rsidRPr="00D5464D">
        <w:rPr>
          <w:rFonts w:cs="Arial"/>
          <w:iCs/>
          <w:szCs w:val="20"/>
          <w:lang w:val="pt-BR"/>
        </w:rPr>
        <w:t xml:space="preserve"> </w:t>
      </w:r>
      <w:r w:rsidR="004F1CC2" w:rsidRPr="00D5464D">
        <w:rPr>
          <w:rFonts w:cs="Arial"/>
          <w:iCs/>
          <w:szCs w:val="20"/>
          <w:lang w:val="pt-BR"/>
        </w:rPr>
        <w:t>escravo</w:t>
      </w:r>
      <w:r w:rsidR="00A1358C" w:rsidRPr="00D5464D">
        <w:rPr>
          <w:rFonts w:cs="Arial"/>
          <w:iCs/>
          <w:szCs w:val="20"/>
          <w:lang w:val="pt-BR"/>
        </w:rPr>
        <w:t xml:space="preserve">. A </w:t>
      </w:r>
      <w:r w:rsidR="004B0842" w:rsidRPr="00D5464D">
        <w:rPr>
          <w:rFonts w:cs="Arial"/>
          <w:iCs/>
          <w:szCs w:val="20"/>
          <w:lang w:val="pt-BR"/>
        </w:rPr>
        <w:t xml:space="preserve">Corte </w:t>
      </w:r>
      <w:r w:rsidR="009E5020" w:rsidRPr="00D5464D">
        <w:rPr>
          <w:rFonts w:cs="Arial"/>
          <w:iCs/>
          <w:szCs w:val="20"/>
          <w:lang w:val="pt-BR"/>
        </w:rPr>
        <w:t xml:space="preserve">registra </w:t>
      </w:r>
      <w:r w:rsidR="004B0842" w:rsidRPr="00D5464D">
        <w:rPr>
          <w:rFonts w:cs="Arial"/>
          <w:iCs/>
          <w:szCs w:val="20"/>
          <w:lang w:val="pt-BR"/>
        </w:rPr>
        <w:t xml:space="preserve">que esta </w:t>
      </w:r>
      <w:r w:rsidR="002C330E" w:rsidRPr="00D5464D">
        <w:rPr>
          <w:rFonts w:cs="Arial"/>
          <w:iCs/>
          <w:szCs w:val="20"/>
          <w:lang w:val="pt-BR"/>
        </w:rPr>
        <w:t xml:space="preserve">instituição foi </w:t>
      </w:r>
      <w:r w:rsidR="00470ADC" w:rsidRPr="00D5464D">
        <w:rPr>
          <w:rFonts w:cs="Arial"/>
          <w:iCs/>
          <w:szCs w:val="20"/>
          <w:lang w:val="pt-BR"/>
        </w:rPr>
        <w:t>qualific</w:t>
      </w:r>
      <w:r w:rsidR="004B0842" w:rsidRPr="00D5464D">
        <w:rPr>
          <w:rFonts w:cs="Arial"/>
          <w:iCs/>
          <w:szCs w:val="20"/>
          <w:lang w:val="pt-BR"/>
        </w:rPr>
        <w:t>ada</w:t>
      </w:r>
      <w:r w:rsidR="002C330E" w:rsidRPr="00D5464D">
        <w:rPr>
          <w:rFonts w:cs="Arial"/>
          <w:iCs/>
          <w:szCs w:val="20"/>
          <w:lang w:val="pt-BR"/>
        </w:rPr>
        <w:t xml:space="preserve"> pela </w:t>
      </w:r>
      <w:r w:rsidR="004B0842" w:rsidRPr="00D5464D">
        <w:rPr>
          <w:rFonts w:cs="Arial"/>
          <w:iCs/>
          <w:szCs w:val="20"/>
          <w:lang w:val="pt-BR"/>
        </w:rPr>
        <w:t xml:space="preserve">OIT como </w:t>
      </w:r>
      <w:r w:rsidR="00F04E72" w:rsidRPr="00D5464D">
        <w:rPr>
          <w:rFonts w:cs="Arial"/>
          <w:iCs/>
          <w:szCs w:val="20"/>
          <w:lang w:val="pt-BR"/>
        </w:rPr>
        <w:t xml:space="preserve">um </w:t>
      </w:r>
      <w:r w:rsidR="004B0842" w:rsidRPr="00D5464D">
        <w:rPr>
          <w:rFonts w:cs="Arial"/>
          <w:iCs/>
          <w:szCs w:val="20"/>
          <w:lang w:val="pt-BR"/>
        </w:rPr>
        <w:t xml:space="preserve">modelo que </w:t>
      </w:r>
      <w:r w:rsidR="002C330E" w:rsidRPr="00D5464D">
        <w:rPr>
          <w:rFonts w:cs="Arial"/>
          <w:iCs/>
          <w:szCs w:val="20"/>
          <w:lang w:val="pt-BR"/>
        </w:rPr>
        <w:t>poderia</w:t>
      </w:r>
      <w:r w:rsidR="004B0842" w:rsidRPr="00D5464D">
        <w:rPr>
          <w:rFonts w:cs="Arial"/>
          <w:iCs/>
          <w:szCs w:val="20"/>
          <w:lang w:val="pt-BR"/>
        </w:rPr>
        <w:t xml:space="preserve"> servir de </w:t>
      </w:r>
      <w:r w:rsidR="00470ADC" w:rsidRPr="00D5464D">
        <w:rPr>
          <w:rFonts w:cs="Arial"/>
          <w:iCs/>
          <w:szCs w:val="20"/>
          <w:lang w:val="pt-BR"/>
        </w:rPr>
        <w:t>exemplo</w:t>
      </w:r>
      <w:r w:rsidR="004B0842" w:rsidRPr="00D5464D">
        <w:rPr>
          <w:rFonts w:cs="Arial"/>
          <w:iCs/>
          <w:szCs w:val="20"/>
          <w:lang w:val="pt-BR"/>
        </w:rPr>
        <w:t xml:space="preserve"> para </w:t>
      </w:r>
      <w:r w:rsidR="002C330E" w:rsidRPr="00D5464D">
        <w:rPr>
          <w:rFonts w:cs="Arial"/>
          <w:iCs/>
          <w:szCs w:val="20"/>
          <w:lang w:val="pt-BR"/>
        </w:rPr>
        <w:t>outros</w:t>
      </w:r>
      <w:r w:rsidR="004B0842" w:rsidRPr="00D5464D">
        <w:rPr>
          <w:rFonts w:cs="Arial"/>
          <w:iCs/>
          <w:szCs w:val="20"/>
          <w:lang w:val="pt-BR"/>
        </w:rPr>
        <w:t xml:space="preserve"> países</w:t>
      </w:r>
      <w:r w:rsidR="00470ADC" w:rsidRPr="00D5464D">
        <w:rPr>
          <w:rFonts w:cs="Arial"/>
          <w:iCs/>
          <w:szCs w:val="20"/>
          <w:lang w:val="pt-BR"/>
        </w:rPr>
        <w:t xml:space="preserve"> com </w:t>
      </w:r>
      <w:r w:rsidR="004B0842" w:rsidRPr="00D5464D">
        <w:rPr>
          <w:rFonts w:cs="Arial"/>
          <w:iCs/>
          <w:szCs w:val="20"/>
          <w:lang w:val="pt-BR"/>
        </w:rPr>
        <w:t xml:space="preserve">problemas similares; </w:t>
      </w:r>
    </w:p>
    <w:p w14:paraId="3C4A229F" w14:textId="2C2BD215" w:rsidR="004B0842" w:rsidRPr="00D5464D" w:rsidRDefault="00C91CB1" w:rsidP="00F306D7">
      <w:pPr>
        <w:pStyle w:val="Prrafodelista"/>
        <w:numPr>
          <w:ilvl w:val="0"/>
          <w:numId w:val="12"/>
        </w:numPr>
        <w:autoSpaceDE w:val="0"/>
        <w:autoSpaceDN w:val="0"/>
        <w:adjustRightInd w:val="0"/>
        <w:spacing w:after="120"/>
        <w:ind w:hanging="11"/>
        <w:contextualSpacing w:val="0"/>
        <w:rPr>
          <w:rFonts w:cs="Arial"/>
          <w:iCs/>
          <w:szCs w:val="20"/>
          <w:lang w:val="pt-BR"/>
        </w:rPr>
      </w:pPr>
      <w:r w:rsidRPr="00D5464D">
        <w:rPr>
          <w:rFonts w:cs="Arial"/>
          <w:iCs/>
          <w:szCs w:val="20"/>
          <w:lang w:val="pt-BR"/>
        </w:rPr>
        <w:t xml:space="preserve">Em </w:t>
      </w:r>
      <w:r w:rsidR="00470ADC" w:rsidRPr="00D5464D">
        <w:rPr>
          <w:rFonts w:cs="Arial"/>
          <w:iCs/>
          <w:szCs w:val="20"/>
          <w:lang w:val="pt-BR"/>
        </w:rPr>
        <w:t>dezembro</w:t>
      </w:r>
      <w:r w:rsidR="004B0842" w:rsidRPr="00D5464D">
        <w:rPr>
          <w:rFonts w:cs="Arial"/>
          <w:iCs/>
          <w:szCs w:val="20"/>
          <w:lang w:val="pt-BR"/>
        </w:rPr>
        <w:t xml:space="preserve"> de 2007,</w:t>
      </w:r>
      <w:r w:rsidR="00470ADC" w:rsidRPr="00D5464D">
        <w:rPr>
          <w:rFonts w:cs="Arial"/>
          <w:iCs/>
          <w:szCs w:val="20"/>
          <w:lang w:val="pt-BR"/>
        </w:rPr>
        <w:t xml:space="preserve"> o </w:t>
      </w:r>
      <w:r w:rsidR="004B0842" w:rsidRPr="00D5464D">
        <w:rPr>
          <w:rFonts w:cs="Arial"/>
          <w:iCs/>
          <w:szCs w:val="20"/>
          <w:lang w:val="pt-BR"/>
        </w:rPr>
        <w:t>Supremo Tribunal Federal d</w:t>
      </w:r>
      <w:r w:rsidR="00F04E72" w:rsidRPr="00D5464D">
        <w:rPr>
          <w:rFonts w:cs="Arial"/>
          <w:iCs/>
          <w:szCs w:val="20"/>
          <w:lang w:val="pt-BR"/>
        </w:rPr>
        <w:t>o</w:t>
      </w:r>
      <w:r w:rsidR="004B0842" w:rsidRPr="00D5464D">
        <w:rPr>
          <w:rFonts w:cs="Arial"/>
          <w:iCs/>
          <w:szCs w:val="20"/>
          <w:lang w:val="pt-BR"/>
        </w:rPr>
        <w:t xml:space="preserve"> Brasil </w:t>
      </w:r>
      <w:r w:rsidRPr="00D5464D">
        <w:rPr>
          <w:rFonts w:cs="Arial"/>
          <w:iCs/>
          <w:szCs w:val="20"/>
          <w:lang w:val="pt-BR"/>
        </w:rPr>
        <w:t>fixou</w:t>
      </w:r>
      <w:r w:rsidR="004B0842" w:rsidRPr="00D5464D">
        <w:rPr>
          <w:rFonts w:cs="Arial"/>
          <w:iCs/>
          <w:szCs w:val="20"/>
          <w:lang w:val="pt-BR"/>
        </w:rPr>
        <w:t xml:space="preserve"> </w:t>
      </w:r>
      <w:r w:rsidR="00470ADC" w:rsidRPr="00D5464D">
        <w:rPr>
          <w:rFonts w:cs="Arial"/>
          <w:iCs/>
          <w:szCs w:val="20"/>
          <w:lang w:val="pt-BR"/>
        </w:rPr>
        <w:t>critério</w:t>
      </w:r>
      <w:r w:rsidR="004B0842" w:rsidRPr="00D5464D">
        <w:rPr>
          <w:rFonts w:cs="Arial"/>
          <w:iCs/>
          <w:szCs w:val="20"/>
          <w:lang w:val="pt-BR"/>
        </w:rPr>
        <w:t xml:space="preserve"> definitivo</w:t>
      </w:r>
      <w:r w:rsidR="00E045D9" w:rsidRPr="00D5464D">
        <w:rPr>
          <w:rFonts w:cs="Arial"/>
          <w:iCs/>
          <w:szCs w:val="20"/>
          <w:lang w:val="pt-BR"/>
        </w:rPr>
        <w:t xml:space="preserve"> no </w:t>
      </w:r>
      <w:r w:rsidR="00F04E72" w:rsidRPr="00D5464D">
        <w:rPr>
          <w:rFonts w:cs="Arial"/>
          <w:iCs/>
          <w:szCs w:val="20"/>
          <w:lang w:val="pt-BR"/>
        </w:rPr>
        <w:t>R</w:t>
      </w:r>
      <w:r w:rsidR="004B0842" w:rsidRPr="00D5464D">
        <w:rPr>
          <w:rFonts w:cs="Arial"/>
          <w:iCs/>
          <w:szCs w:val="20"/>
          <w:lang w:val="pt-BR"/>
        </w:rPr>
        <w:t xml:space="preserve">ecurso </w:t>
      </w:r>
      <w:r w:rsidR="00F04E72" w:rsidRPr="00D5464D">
        <w:rPr>
          <w:rFonts w:cs="Arial"/>
          <w:iCs/>
          <w:szCs w:val="20"/>
          <w:lang w:val="pt-BR"/>
        </w:rPr>
        <w:t>E</w:t>
      </w:r>
      <w:r w:rsidR="004B0842" w:rsidRPr="00D5464D">
        <w:rPr>
          <w:rFonts w:cs="Arial"/>
          <w:iCs/>
          <w:szCs w:val="20"/>
          <w:lang w:val="pt-BR"/>
        </w:rPr>
        <w:t>xtra</w:t>
      </w:r>
      <w:r w:rsidR="002C330E" w:rsidRPr="00D5464D">
        <w:rPr>
          <w:rFonts w:cs="Arial"/>
          <w:iCs/>
          <w:szCs w:val="20"/>
          <w:lang w:val="pt-BR"/>
        </w:rPr>
        <w:t>ordinári</w:t>
      </w:r>
      <w:r w:rsidR="004B0842" w:rsidRPr="00D5464D">
        <w:rPr>
          <w:rFonts w:cs="Arial"/>
          <w:iCs/>
          <w:szCs w:val="20"/>
          <w:lang w:val="pt-BR"/>
        </w:rPr>
        <w:t>o RE</w:t>
      </w:r>
      <w:r w:rsidR="00A1358C" w:rsidRPr="00D5464D">
        <w:rPr>
          <w:rFonts w:cs="Arial"/>
          <w:iCs/>
          <w:szCs w:val="20"/>
          <w:lang w:val="pt-BR"/>
        </w:rPr>
        <w:t xml:space="preserve"> nº </w:t>
      </w:r>
      <w:r w:rsidR="004B0842" w:rsidRPr="00D5464D">
        <w:rPr>
          <w:rFonts w:cs="Arial"/>
          <w:iCs/>
          <w:szCs w:val="20"/>
          <w:lang w:val="pt-BR"/>
        </w:rPr>
        <w:t>398041,</w:t>
      </w:r>
      <w:r w:rsidR="00E045D9" w:rsidRPr="00D5464D">
        <w:rPr>
          <w:rFonts w:cs="Arial"/>
          <w:iCs/>
          <w:szCs w:val="20"/>
          <w:lang w:val="pt-BR"/>
        </w:rPr>
        <w:t xml:space="preserve"> no </w:t>
      </w:r>
      <w:r w:rsidR="004B0842" w:rsidRPr="00D5464D">
        <w:rPr>
          <w:rFonts w:cs="Arial"/>
          <w:iCs/>
          <w:szCs w:val="20"/>
          <w:lang w:val="pt-BR"/>
        </w:rPr>
        <w:t>sentido de que</w:t>
      </w:r>
      <w:r w:rsidR="002C330E" w:rsidRPr="00D5464D">
        <w:rPr>
          <w:rFonts w:cs="Arial"/>
          <w:iCs/>
          <w:szCs w:val="20"/>
          <w:lang w:val="pt-BR"/>
        </w:rPr>
        <w:t xml:space="preserve"> a justiça</w:t>
      </w:r>
      <w:r w:rsidR="004B0842" w:rsidRPr="00D5464D">
        <w:rPr>
          <w:rFonts w:cs="Arial"/>
          <w:iCs/>
          <w:szCs w:val="20"/>
          <w:lang w:val="pt-BR"/>
        </w:rPr>
        <w:t xml:space="preserve"> federal</w:t>
      </w:r>
      <w:r w:rsidR="00470ADC" w:rsidRPr="00D5464D">
        <w:rPr>
          <w:rFonts w:cs="Arial"/>
          <w:iCs/>
          <w:szCs w:val="20"/>
          <w:lang w:val="pt-BR"/>
        </w:rPr>
        <w:t xml:space="preserve"> é</w:t>
      </w:r>
      <w:r w:rsidR="002C330E" w:rsidRPr="00D5464D">
        <w:rPr>
          <w:rFonts w:cs="Arial"/>
          <w:iCs/>
          <w:szCs w:val="20"/>
          <w:lang w:val="pt-BR"/>
        </w:rPr>
        <w:t xml:space="preserve"> a instância</w:t>
      </w:r>
      <w:r w:rsidR="004B0842" w:rsidRPr="00D5464D">
        <w:rPr>
          <w:rFonts w:cs="Arial"/>
          <w:iCs/>
          <w:szCs w:val="20"/>
          <w:lang w:val="pt-BR"/>
        </w:rPr>
        <w:t xml:space="preserve"> </w:t>
      </w:r>
      <w:r w:rsidR="00A1358C" w:rsidRPr="00D5464D">
        <w:rPr>
          <w:rFonts w:cs="Arial"/>
          <w:iCs/>
          <w:szCs w:val="20"/>
          <w:lang w:val="pt-BR"/>
        </w:rPr>
        <w:t>competente</w:t>
      </w:r>
      <w:r w:rsidR="004B0842" w:rsidRPr="00D5464D">
        <w:rPr>
          <w:rFonts w:cs="Arial"/>
          <w:iCs/>
          <w:szCs w:val="20"/>
          <w:lang w:val="pt-BR"/>
        </w:rPr>
        <w:t xml:space="preserve"> </w:t>
      </w:r>
      <w:r w:rsidR="00470ADC" w:rsidRPr="00D5464D">
        <w:rPr>
          <w:rFonts w:cs="Arial"/>
          <w:iCs/>
          <w:szCs w:val="20"/>
          <w:lang w:val="pt-BR"/>
        </w:rPr>
        <w:t xml:space="preserve">do </w:t>
      </w:r>
      <w:r w:rsidR="00EB1CE9" w:rsidRPr="00D5464D">
        <w:rPr>
          <w:rFonts w:cs="Arial"/>
          <w:iCs/>
          <w:szCs w:val="20"/>
          <w:lang w:val="pt-BR"/>
        </w:rPr>
        <w:t>Poder Judiciário</w:t>
      </w:r>
      <w:r w:rsidR="004B0842" w:rsidRPr="00D5464D">
        <w:rPr>
          <w:rFonts w:cs="Arial"/>
          <w:iCs/>
          <w:szCs w:val="20"/>
          <w:lang w:val="pt-BR"/>
        </w:rPr>
        <w:t xml:space="preserve"> para </w:t>
      </w:r>
      <w:r w:rsidR="002C330E" w:rsidRPr="00D5464D">
        <w:rPr>
          <w:rFonts w:cs="Arial"/>
          <w:iCs/>
          <w:szCs w:val="20"/>
          <w:lang w:val="pt-BR"/>
        </w:rPr>
        <w:t xml:space="preserve">julgar os </w:t>
      </w:r>
      <w:r w:rsidR="004B0842" w:rsidRPr="00D5464D">
        <w:rPr>
          <w:rFonts w:cs="Arial"/>
          <w:iCs/>
          <w:szCs w:val="20"/>
          <w:lang w:val="pt-BR"/>
        </w:rPr>
        <w:t>delitos relativos a condi</w:t>
      </w:r>
      <w:r w:rsidR="00470ADC" w:rsidRPr="00D5464D">
        <w:rPr>
          <w:rFonts w:cs="Arial"/>
          <w:iCs/>
          <w:szCs w:val="20"/>
          <w:lang w:val="pt-BR"/>
        </w:rPr>
        <w:t>ções</w:t>
      </w:r>
      <w:r w:rsidR="004B0842" w:rsidRPr="00D5464D">
        <w:rPr>
          <w:rFonts w:cs="Arial"/>
          <w:iCs/>
          <w:szCs w:val="20"/>
          <w:lang w:val="pt-BR"/>
        </w:rPr>
        <w:t xml:space="preserve"> </w:t>
      </w:r>
      <w:r w:rsidR="006665EF" w:rsidRPr="00D5464D">
        <w:rPr>
          <w:rFonts w:cs="Arial"/>
          <w:iCs/>
          <w:szCs w:val="20"/>
          <w:lang w:val="pt-BR"/>
        </w:rPr>
        <w:t>análogas</w:t>
      </w:r>
      <w:r w:rsidR="00350187" w:rsidRPr="00D5464D">
        <w:rPr>
          <w:rFonts w:cs="Arial"/>
          <w:iCs/>
          <w:szCs w:val="20"/>
          <w:lang w:val="pt-BR"/>
        </w:rPr>
        <w:t xml:space="preserve"> </w:t>
      </w:r>
      <w:r w:rsidR="00470ADC" w:rsidRPr="00D5464D">
        <w:rPr>
          <w:rFonts w:cs="Arial"/>
          <w:iCs/>
          <w:szCs w:val="20"/>
          <w:lang w:val="pt-BR"/>
        </w:rPr>
        <w:t xml:space="preserve">à </w:t>
      </w:r>
      <w:r w:rsidR="004B0842" w:rsidRPr="00D5464D">
        <w:rPr>
          <w:rFonts w:cs="Arial"/>
          <w:iCs/>
          <w:szCs w:val="20"/>
          <w:lang w:val="pt-BR"/>
        </w:rPr>
        <w:t xml:space="preserve">de </w:t>
      </w:r>
      <w:r w:rsidR="004F1CC2" w:rsidRPr="00D5464D">
        <w:rPr>
          <w:rFonts w:cs="Arial"/>
          <w:iCs/>
          <w:szCs w:val="20"/>
          <w:lang w:val="pt-BR"/>
        </w:rPr>
        <w:t>escravo</w:t>
      </w:r>
      <w:r w:rsidR="004B0842" w:rsidRPr="00D5464D">
        <w:rPr>
          <w:rFonts w:cs="Arial"/>
          <w:iCs/>
          <w:szCs w:val="20"/>
          <w:lang w:val="pt-BR"/>
        </w:rPr>
        <w:t xml:space="preserve"> previsto</w:t>
      </w:r>
      <w:r w:rsidR="00E045D9" w:rsidRPr="00D5464D">
        <w:rPr>
          <w:rFonts w:cs="Arial"/>
          <w:iCs/>
          <w:szCs w:val="20"/>
          <w:lang w:val="pt-BR"/>
        </w:rPr>
        <w:t xml:space="preserve"> no </w:t>
      </w:r>
      <w:r w:rsidR="00470ADC" w:rsidRPr="00D5464D">
        <w:rPr>
          <w:rFonts w:cs="Arial"/>
          <w:iCs/>
          <w:szCs w:val="20"/>
          <w:lang w:val="pt-BR"/>
        </w:rPr>
        <w:t>artigo</w:t>
      </w:r>
      <w:r w:rsidR="004B0842" w:rsidRPr="00D5464D">
        <w:rPr>
          <w:rFonts w:cs="Arial"/>
          <w:iCs/>
          <w:szCs w:val="20"/>
          <w:lang w:val="pt-BR"/>
        </w:rPr>
        <w:t xml:space="preserve"> 149 </w:t>
      </w:r>
      <w:r w:rsidR="00470ADC" w:rsidRPr="00D5464D">
        <w:rPr>
          <w:rFonts w:cs="Arial"/>
          <w:iCs/>
          <w:szCs w:val="20"/>
          <w:lang w:val="pt-BR"/>
        </w:rPr>
        <w:t xml:space="preserve">do </w:t>
      </w:r>
      <w:r w:rsidR="00BE60E8" w:rsidRPr="00D5464D">
        <w:rPr>
          <w:rFonts w:cs="Arial"/>
          <w:iCs/>
          <w:szCs w:val="20"/>
          <w:lang w:val="pt-BR"/>
        </w:rPr>
        <w:t xml:space="preserve">Código Penal </w:t>
      </w:r>
      <w:r w:rsidR="00470ADC" w:rsidRPr="00D5464D">
        <w:rPr>
          <w:rFonts w:cs="Arial"/>
          <w:iCs/>
          <w:szCs w:val="20"/>
          <w:lang w:val="pt-BR"/>
        </w:rPr>
        <w:t>brasileir</w:t>
      </w:r>
      <w:r w:rsidR="00BE60E8" w:rsidRPr="00D5464D">
        <w:rPr>
          <w:rFonts w:cs="Arial"/>
          <w:iCs/>
          <w:szCs w:val="20"/>
          <w:lang w:val="pt-BR"/>
        </w:rPr>
        <w:t>o</w:t>
      </w:r>
      <w:r w:rsidR="004B0842" w:rsidRPr="00D5464D">
        <w:rPr>
          <w:rFonts w:cs="Arial"/>
          <w:iCs/>
          <w:szCs w:val="20"/>
          <w:lang w:val="pt-BR"/>
        </w:rPr>
        <w:t>;</w:t>
      </w:r>
    </w:p>
    <w:p w14:paraId="722433C3" w14:textId="68CF861E" w:rsidR="00F04E72" w:rsidRPr="00D5464D" w:rsidRDefault="00C91CB1" w:rsidP="00F306D7">
      <w:pPr>
        <w:pStyle w:val="Prrafodelista"/>
        <w:numPr>
          <w:ilvl w:val="0"/>
          <w:numId w:val="12"/>
        </w:numPr>
        <w:autoSpaceDE w:val="0"/>
        <w:autoSpaceDN w:val="0"/>
        <w:adjustRightInd w:val="0"/>
        <w:spacing w:after="120"/>
        <w:ind w:hanging="11"/>
        <w:contextualSpacing w:val="0"/>
        <w:rPr>
          <w:rFonts w:cs="Arial"/>
          <w:iCs/>
          <w:szCs w:val="20"/>
          <w:lang w:val="pt-BR"/>
        </w:rPr>
      </w:pPr>
      <w:r w:rsidRPr="00D5464D">
        <w:rPr>
          <w:rFonts w:cs="Arial"/>
          <w:iCs/>
          <w:szCs w:val="20"/>
          <w:lang w:val="pt-BR"/>
        </w:rPr>
        <w:t xml:space="preserve">Em </w:t>
      </w:r>
      <w:r w:rsidR="004B0842" w:rsidRPr="00D5464D">
        <w:rPr>
          <w:rFonts w:cs="Arial"/>
          <w:iCs/>
          <w:szCs w:val="20"/>
          <w:lang w:val="pt-BR"/>
        </w:rPr>
        <w:t xml:space="preserve">2008, </w:t>
      </w:r>
      <w:r w:rsidR="00F04E72" w:rsidRPr="00D5464D">
        <w:rPr>
          <w:rFonts w:cs="Arial"/>
          <w:iCs/>
          <w:szCs w:val="20"/>
          <w:lang w:val="pt-BR"/>
        </w:rPr>
        <w:t xml:space="preserve">foi lançado </w:t>
      </w:r>
      <w:r w:rsidR="00470ADC" w:rsidRPr="00D5464D">
        <w:rPr>
          <w:rFonts w:cs="Arial"/>
          <w:iCs/>
          <w:szCs w:val="20"/>
          <w:lang w:val="pt-BR"/>
        </w:rPr>
        <w:t xml:space="preserve">o </w:t>
      </w:r>
      <w:r w:rsidR="004B0842" w:rsidRPr="00D5464D">
        <w:rPr>
          <w:rFonts w:cs="Arial"/>
          <w:iCs/>
          <w:szCs w:val="20"/>
          <w:lang w:val="pt-BR"/>
        </w:rPr>
        <w:t xml:space="preserve">Segundo </w:t>
      </w:r>
      <w:r w:rsidR="002C330E" w:rsidRPr="00D5464D">
        <w:rPr>
          <w:rFonts w:cs="Arial"/>
          <w:iCs/>
          <w:szCs w:val="20"/>
          <w:lang w:val="pt-BR"/>
        </w:rPr>
        <w:t xml:space="preserve">Plano </w:t>
      </w:r>
      <w:r w:rsidR="004B0842" w:rsidRPr="00D5464D">
        <w:rPr>
          <w:rFonts w:cs="Arial"/>
          <w:iCs/>
          <w:szCs w:val="20"/>
          <w:lang w:val="pt-BR"/>
        </w:rPr>
        <w:t>Nacional para</w:t>
      </w:r>
      <w:r w:rsidR="002C330E" w:rsidRPr="00D5464D">
        <w:rPr>
          <w:rFonts w:cs="Arial"/>
          <w:iCs/>
          <w:szCs w:val="20"/>
          <w:lang w:val="pt-BR"/>
        </w:rPr>
        <w:t xml:space="preserve"> a </w:t>
      </w:r>
      <w:r w:rsidR="004B0842" w:rsidRPr="00D5464D">
        <w:rPr>
          <w:rFonts w:cs="Arial"/>
          <w:iCs/>
          <w:szCs w:val="20"/>
          <w:lang w:val="pt-BR"/>
        </w:rPr>
        <w:t>Erradica</w:t>
      </w:r>
      <w:r w:rsidR="00470ADC" w:rsidRPr="00D5464D">
        <w:rPr>
          <w:rFonts w:cs="Arial"/>
          <w:iCs/>
          <w:szCs w:val="20"/>
          <w:lang w:val="pt-BR"/>
        </w:rPr>
        <w:t>ção</w:t>
      </w:r>
      <w:r w:rsidR="004B0842" w:rsidRPr="00D5464D">
        <w:rPr>
          <w:rFonts w:cs="Arial"/>
          <w:iCs/>
          <w:szCs w:val="20"/>
          <w:lang w:val="pt-BR"/>
        </w:rPr>
        <w:t xml:space="preserve"> </w:t>
      </w:r>
      <w:r w:rsidR="00470ADC" w:rsidRPr="00D5464D">
        <w:rPr>
          <w:rFonts w:cs="Arial"/>
          <w:iCs/>
          <w:szCs w:val="20"/>
          <w:lang w:val="pt-BR"/>
        </w:rPr>
        <w:t xml:space="preserve">do </w:t>
      </w:r>
      <w:r w:rsidR="00E045D9" w:rsidRPr="00D5464D">
        <w:rPr>
          <w:rFonts w:cs="Arial"/>
          <w:iCs/>
          <w:szCs w:val="20"/>
          <w:lang w:val="pt-BR"/>
        </w:rPr>
        <w:t>Trabalho</w:t>
      </w:r>
      <w:r w:rsidR="004B0842" w:rsidRPr="00D5464D">
        <w:rPr>
          <w:rFonts w:cs="Arial"/>
          <w:iCs/>
          <w:szCs w:val="20"/>
          <w:lang w:val="pt-BR"/>
        </w:rPr>
        <w:t xml:space="preserve"> </w:t>
      </w:r>
      <w:r w:rsidR="004F1CC2" w:rsidRPr="00D5464D">
        <w:rPr>
          <w:rFonts w:cs="Arial"/>
          <w:iCs/>
          <w:szCs w:val="20"/>
          <w:lang w:val="pt-BR"/>
        </w:rPr>
        <w:t>Escravo</w:t>
      </w:r>
      <w:r w:rsidR="00DB5A03" w:rsidRPr="00D5464D">
        <w:rPr>
          <w:rFonts w:cs="Arial"/>
          <w:iCs/>
          <w:szCs w:val="20"/>
          <w:lang w:val="pt-BR"/>
        </w:rPr>
        <w:t>.</w:t>
      </w:r>
      <w:r w:rsidR="004B0842" w:rsidRPr="00D5464D">
        <w:rPr>
          <w:rFonts w:cs="Arial"/>
          <w:iCs/>
          <w:szCs w:val="20"/>
          <w:lang w:val="pt-BR"/>
        </w:rPr>
        <w:t xml:space="preserve"> </w:t>
      </w:r>
      <w:r w:rsidR="00470ADC" w:rsidRPr="00D5464D">
        <w:rPr>
          <w:rFonts w:cs="Arial"/>
          <w:iCs/>
          <w:szCs w:val="20"/>
          <w:lang w:val="pt-BR"/>
        </w:rPr>
        <w:t>Ademais</w:t>
      </w:r>
      <w:r w:rsidR="004B0842" w:rsidRPr="00D5464D">
        <w:rPr>
          <w:rFonts w:cs="Arial"/>
          <w:iCs/>
          <w:szCs w:val="20"/>
          <w:lang w:val="pt-BR"/>
        </w:rPr>
        <w:t>,</w:t>
      </w:r>
      <w:r w:rsidR="00470ADC" w:rsidRPr="00D5464D">
        <w:rPr>
          <w:rFonts w:cs="Arial"/>
          <w:iCs/>
          <w:szCs w:val="20"/>
          <w:lang w:val="pt-BR"/>
        </w:rPr>
        <w:t xml:space="preserve"> com</w:t>
      </w:r>
      <w:r w:rsidR="002C330E" w:rsidRPr="00D5464D">
        <w:rPr>
          <w:rFonts w:cs="Arial"/>
          <w:iCs/>
          <w:szCs w:val="20"/>
          <w:lang w:val="pt-BR"/>
        </w:rPr>
        <w:t xml:space="preserve"> a </w:t>
      </w:r>
      <w:r w:rsidR="00470ADC" w:rsidRPr="00D5464D">
        <w:rPr>
          <w:rFonts w:cs="Arial"/>
          <w:iCs/>
          <w:szCs w:val="20"/>
          <w:lang w:val="pt-BR"/>
        </w:rPr>
        <w:t xml:space="preserve">finalidade </w:t>
      </w:r>
      <w:r w:rsidR="004B0842" w:rsidRPr="00D5464D">
        <w:rPr>
          <w:rFonts w:cs="Arial"/>
          <w:iCs/>
          <w:szCs w:val="20"/>
          <w:lang w:val="pt-BR"/>
        </w:rPr>
        <w:t>de divulgar políticas públicas</w:t>
      </w:r>
      <w:r w:rsidR="00E045D9" w:rsidRPr="00D5464D">
        <w:rPr>
          <w:rFonts w:cs="Arial"/>
          <w:iCs/>
          <w:szCs w:val="20"/>
          <w:lang w:val="pt-BR"/>
        </w:rPr>
        <w:t xml:space="preserve"> e </w:t>
      </w:r>
      <w:r w:rsidR="004B0842" w:rsidRPr="00D5464D">
        <w:rPr>
          <w:rFonts w:cs="Arial"/>
          <w:iCs/>
          <w:szCs w:val="20"/>
          <w:lang w:val="pt-BR"/>
        </w:rPr>
        <w:t>sensibilizar</w:t>
      </w:r>
      <w:r w:rsidR="00470ADC" w:rsidRPr="00D5464D">
        <w:rPr>
          <w:rFonts w:cs="Arial"/>
          <w:iCs/>
          <w:szCs w:val="20"/>
          <w:lang w:val="pt-BR"/>
        </w:rPr>
        <w:t xml:space="preserve"> </w:t>
      </w:r>
      <w:r w:rsidR="009E5020" w:rsidRPr="00D5464D">
        <w:rPr>
          <w:rFonts w:cs="Arial"/>
          <w:iCs/>
          <w:szCs w:val="20"/>
          <w:lang w:val="pt-BR"/>
        </w:rPr>
        <w:t xml:space="preserve">a </w:t>
      </w:r>
      <w:r w:rsidR="002C330E" w:rsidRPr="00D5464D">
        <w:rPr>
          <w:rFonts w:cs="Arial"/>
          <w:iCs/>
          <w:szCs w:val="20"/>
          <w:lang w:val="pt-BR"/>
        </w:rPr>
        <w:t xml:space="preserve">sociedade </w:t>
      </w:r>
      <w:r w:rsidR="00F04E72" w:rsidRPr="00D5464D">
        <w:rPr>
          <w:rFonts w:cs="Arial"/>
          <w:iCs/>
          <w:szCs w:val="20"/>
          <w:lang w:val="pt-BR"/>
        </w:rPr>
        <w:t xml:space="preserve">sobre este </w:t>
      </w:r>
      <w:r w:rsidR="004B0842" w:rsidRPr="00D5464D">
        <w:rPr>
          <w:rFonts w:cs="Arial"/>
          <w:iCs/>
          <w:szCs w:val="20"/>
          <w:lang w:val="pt-BR"/>
        </w:rPr>
        <w:t>tema,</w:t>
      </w:r>
      <w:r w:rsidR="00470ADC" w:rsidRPr="00D5464D">
        <w:rPr>
          <w:rFonts w:cs="Arial"/>
          <w:iCs/>
          <w:szCs w:val="20"/>
          <w:lang w:val="pt-BR"/>
        </w:rPr>
        <w:t xml:space="preserve"> </w:t>
      </w:r>
      <w:r w:rsidR="00F04E72" w:rsidRPr="00D5464D">
        <w:rPr>
          <w:rFonts w:cs="Arial"/>
          <w:iCs/>
          <w:szCs w:val="20"/>
          <w:lang w:val="pt-BR"/>
        </w:rPr>
        <w:t>foi criado</w:t>
      </w:r>
      <w:r w:rsidR="009E5020" w:rsidRPr="00D5464D">
        <w:rPr>
          <w:rFonts w:cs="Arial"/>
          <w:iCs/>
          <w:szCs w:val="20"/>
          <w:lang w:val="pt-BR"/>
        </w:rPr>
        <w:t>, através da Lei 12064/2009,</w:t>
      </w:r>
      <w:r w:rsidR="00F04E72" w:rsidRPr="00D5464D">
        <w:rPr>
          <w:rFonts w:cs="Arial"/>
          <w:iCs/>
          <w:szCs w:val="20"/>
          <w:lang w:val="pt-BR"/>
        </w:rPr>
        <w:t xml:space="preserve"> o </w:t>
      </w:r>
      <w:r w:rsidR="00470ADC" w:rsidRPr="00D5464D">
        <w:rPr>
          <w:rFonts w:cs="Arial"/>
          <w:iCs/>
          <w:szCs w:val="20"/>
          <w:lang w:val="pt-BR"/>
        </w:rPr>
        <w:t>Dia</w:t>
      </w:r>
      <w:r w:rsidR="004B0842" w:rsidRPr="00D5464D">
        <w:rPr>
          <w:rFonts w:cs="Arial"/>
          <w:iCs/>
          <w:szCs w:val="20"/>
          <w:lang w:val="pt-BR"/>
        </w:rPr>
        <w:t xml:space="preserve"> Nacional de Combate</w:t>
      </w:r>
      <w:r w:rsidR="00470ADC" w:rsidRPr="00D5464D">
        <w:rPr>
          <w:rFonts w:cs="Arial"/>
          <w:iCs/>
          <w:szCs w:val="20"/>
          <w:lang w:val="pt-BR"/>
        </w:rPr>
        <w:t xml:space="preserve"> ao </w:t>
      </w:r>
      <w:r w:rsidR="00E045D9" w:rsidRPr="00D5464D">
        <w:rPr>
          <w:rFonts w:cs="Arial"/>
          <w:iCs/>
          <w:szCs w:val="20"/>
          <w:lang w:val="pt-BR"/>
        </w:rPr>
        <w:t>Trabalho</w:t>
      </w:r>
      <w:r w:rsidR="004B0842" w:rsidRPr="00D5464D">
        <w:rPr>
          <w:rFonts w:cs="Arial"/>
          <w:iCs/>
          <w:szCs w:val="20"/>
          <w:lang w:val="pt-BR"/>
        </w:rPr>
        <w:t xml:space="preserve"> </w:t>
      </w:r>
      <w:r w:rsidR="004F1CC2" w:rsidRPr="00D5464D">
        <w:rPr>
          <w:rFonts w:cs="Arial"/>
          <w:iCs/>
          <w:szCs w:val="20"/>
          <w:lang w:val="pt-BR"/>
        </w:rPr>
        <w:t>Escravo</w:t>
      </w:r>
      <w:r w:rsidR="004B0842" w:rsidRPr="00D5464D">
        <w:rPr>
          <w:rFonts w:cs="Arial"/>
          <w:iCs/>
          <w:szCs w:val="20"/>
          <w:lang w:val="pt-BR"/>
        </w:rPr>
        <w:t>;</w:t>
      </w:r>
    </w:p>
    <w:p w14:paraId="33A4BA1C" w14:textId="15EBEFF0" w:rsidR="00F04E72" w:rsidRPr="00D5464D" w:rsidRDefault="00C91CB1" w:rsidP="00F306D7">
      <w:pPr>
        <w:pStyle w:val="Prrafodelista"/>
        <w:numPr>
          <w:ilvl w:val="0"/>
          <w:numId w:val="12"/>
        </w:numPr>
        <w:autoSpaceDE w:val="0"/>
        <w:autoSpaceDN w:val="0"/>
        <w:adjustRightInd w:val="0"/>
        <w:spacing w:after="120"/>
        <w:ind w:hanging="11"/>
        <w:contextualSpacing w:val="0"/>
        <w:rPr>
          <w:rFonts w:cs="Arial"/>
          <w:iCs/>
          <w:szCs w:val="20"/>
          <w:lang w:val="pt-BR"/>
        </w:rPr>
      </w:pPr>
      <w:r w:rsidRPr="00D5464D">
        <w:rPr>
          <w:rFonts w:cs="Arial"/>
          <w:iCs/>
          <w:szCs w:val="20"/>
          <w:lang w:val="pt-BR"/>
        </w:rPr>
        <w:t>Em 2</w:t>
      </w:r>
      <w:r w:rsidR="004B0842" w:rsidRPr="00D5464D">
        <w:rPr>
          <w:rFonts w:cs="Arial"/>
          <w:iCs/>
          <w:szCs w:val="20"/>
          <w:lang w:val="pt-BR"/>
        </w:rPr>
        <w:t xml:space="preserve">2 de </w:t>
      </w:r>
      <w:r w:rsidR="002C330E" w:rsidRPr="00D5464D">
        <w:rPr>
          <w:rFonts w:cs="Arial"/>
          <w:iCs/>
          <w:szCs w:val="20"/>
          <w:lang w:val="pt-BR"/>
        </w:rPr>
        <w:t>junho</w:t>
      </w:r>
      <w:r w:rsidR="004B0842" w:rsidRPr="00D5464D">
        <w:rPr>
          <w:rFonts w:cs="Arial"/>
          <w:iCs/>
          <w:szCs w:val="20"/>
          <w:lang w:val="pt-BR"/>
        </w:rPr>
        <w:t xml:space="preserve"> de 2010,</w:t>
      </w:r>
      <w:r w:rsidR="00470ADC" w:rsidRPr="00D5464D">
        <w:rPr>
          <w:rFonts w:cs="Arial"/>
          <w:iCs/>
          <w:szCs w:val="20"/>
          <w:lang w:val="pt-BR"/>
        </w:rPr>
        <w:t xml:space="preserve"> o </w:t>
      </w:r>
      <w:r w:rsidR="004B0842" w:rsidRPr="00D5464D">
        <w:rPr>
          <w:rFonts w:cs="Arial"/>
          <w:iCs/>
          <w:szCs w:val="20"/>
          <w:lang w:val="pt-BR"/>
        </w:rPr>
        <w:t>Banco Central d</w:t>
      </w:r>
      <w:r w:rsidR="00F04E72" w:rsidRPr="00D5464D">
        <w:rPr>
          <w:rFonts w:cs="Arial"/>
          <w:iCs/>
          <w:szCs w:val="20"/>
          <w:lang w:val="pt-BR"/>
        </w:rPr>
        <w:t>o</w:t>
      </w:r>
      <w:r w:rsidR="004B0842" w:rsidRPr="00D5464D">
        <w:rPr>
          <w:rFonts w:cs="Arial"/>
          <w:iCs/>
          <w:szCs w:val="20"/>
          <w:lang w:val="pt-BR"/>
        </w:rPr>
        <w:t xml:space="preserve"> Brasi</w:t>
      </w:r>
      <w:r w:rsidR="00F04E72" w:rsidRPr="00D5464D">
        <w:rPr>
          <w:rFonts w:cs="Arial"/>
          <w:iCs/>
          <w:szCs w:val="20"/>
          <w:lang w:val="pt-BR"/>
        </w:rPr>
        <w:t>l</w:t>
      </w:r>
      <w:r w:rsidR="004B0842" w:rsidRPr="00D5464D">
        <w:rPr>
          <w:rFonts w:cs="Arial"/>
          <w:iCs/>
          <w:szCs w:val="20"/>
          <w:lang w:val="pt-BR"/>
        </w:rPr>
        <w:t xml:space="preserve"> </w:t>
      </w:r>
      <w:r w:rsidR="00470ADC" w:rsidRPr="00D5464D">
        <w:rPr>
          <w:rFonts w:cs="Arial"/>
          <w:iCs/>
          <w:szCs w:val="20"/>
          <w:lang w:val="pt-BR"/>
        </w:rPr>
        <w:t>emitiu</w:t>
      </w:r>
      <w:r w:rsidR="002C330E" w:rsidRPr="00D5464D">
        <w:rPr>
          <w:rFonts w:cs="Arial"/>
          <w:iCs/>
          <w:szCs w:val="20"/>
          <w:lang w:val="pt-BR"/>
        </w:rPr>
        <w:t xml:space="preserve"> a </w:t>
      </w:r>
      <w:r w:rsidR="004B0842" w:rsidRPr="00D5464D">
        <w:rPr>
          <w:rFonts w:cs="Arial"/>
          <w:iCs/>
          <w:szCs w:val="20"/>
          <w:lang w:val="pt-BR"/>
        </w:rPr>
        <w:t>Resolu</w:t>
      </w:r>
      <w:r w:rsidR="00470ADC" w:rsidRPr="00D5464D">
        <w:rPr>
          <w:rFonts w:cs="Arial"/>
          <w:iCs/>
          <w:szCs w:val="20"/>
          <w:lang w:val="pt-BR"/>
        </w:rPr>
        <w:t>ção</w:t>
      </w:r>
      <w:r w:rsidR="00A1358C" w:rsidRPr="00D5464D">
        <w:rPr>
          <w:rFonts w:cs="Arial"/>
          <w:iCs/>
          <w:szCs w:val="20"/>
          <w:lang w:val="pt-BR"/>
        </w:rPr>
        <w:t xml:space="preserve"> nº </w:t>
      </w:r>
      <w:r w:rsidR="004B0842" w:rsidRPr="00D5464D">
        <w:rPr>
          <w:rFonts w:cs="Arial"/>
          <w:iCs/>
          <w:szCs w:val="20"/>
          <w:lang w:val="pt-BR"/>
        </w:rPr>
        <w:t>3876,</w:t>
      </w:r>
      <w:r w:rsidR="002C330E" w:rsidRPr="00D5464D">
        <w:rPr>
          <w:rFonts w:cs="Arial"/>
          <w:iCs/>
          <w:szCs w:val="20"/>
          <w:lang w:val="pt-BR"/>
        </w:rPr>
        <w:t xml:space="preserve"> </w:t>
      </w:r>
      <w:r w:rsidR="00F04E72" w:rsidRPr="00D5464D">
        <w:rPr>
          <w:rFonts w:cs="Arial"/>
          <w:iCs/>
          <w:szCs w:val="20"/>
          <w:lang w:val="pt-BR"/>
        </w:rPr>
        <w:t xml:space="preserve">através da qual vedou </w:t>
      </w:r>
      <w:r w:rsidR="002C330E" w:rsidRPr="00D5464D">
        <w:rPr>
          <w:rFonts w:cs="Arial"/>
          <w:iCs/>
          <w:szCs w:val="20"/>
          <w:lang w:val="pt-BR"/>
        </w:rPr>
        <w:t xml:space="preserve">a </w:t>
      </w:r>
      <w:r w:rsidR="00230C71" w:rsidRPr="00D5464D">
        <w:rPr>
          <w:rFonts w:cs="Arial"/>
          <w:iCs/>
          <w:szCs w:val="20"/>
          <w:lang w:val="pt-BR"/>
        </w:rPr>
        <w:t>concessão</w:t>
      </w:r>
      <w:r w:rsidR="004B0842" w:rsidRPr="00D5464D">
        <w:rPr>
          <w:rFonts w:cs="Arial"/>
          <w:iCs/>
          <w:szCs w:val="20"/>
          <w:lang w:val="pt-BR"/>
        </w:rPr>
        <w:t xml:space="preserve"> de crédito rural para </w:t>
      </w:r>
      <w:r w:rsidR="002C330E" w:rsidRPr="00D5464D">
        <w:rPr>
          <w:rFonts w:cs="Arial"/>
          <w:iCs/>
          <w:szCs w:val="20"/>
          <w:lang w:val="pt-BR"/>
        </w:rPr>
        <w:t>pessoa</w:t>
      </w:r>
      <w:r w:rsidR="004B0842" w:rsidRPr="00D5464D">
        <w:rPr>
          <w:rFonts w:cs="Arial"/>
          <w:iCs/>
          <w:szCs w:val="20"/>
          <w:lang w:val="pt-BR"/>
        </w:rPr>
        <w:t>s físicas</w:t>
      </w:r>
      <w:r w:rsidR="00E045D9" w:rsidRPr="00D5464D">
        <w:rPr>
          <w:rFonts w:cs="Arial"/>
          <w:iCs/>
          <w:szCs w:val="20"/>
          <w:lang w:val="pt-BR"/>
        </w:rPr>
        <w:t xml:space="preserve"> e </w:t>
      </w:r>
      <w:r w:rsidR="004B0842" w:rsidRPr="00D5464D">
        <w:rPr>
          <w:rFonts w:cs="Arial"/>
          <w:iCs/>
          <w:szCs w:val="20"/>
          <w:lang w:val="pt-BR"/>
        </w:rPr>
        <w:t>jurídicas inscritas</w:t>
      </w:r>
      <w:r w:rsidR="00E045D9" w:rsidRPr="00D5464D">
        <w:rPr>
          <w:rFonts w:cs="Arial"/>
          <w:iCs/>
          <w:szCs w:val="20"/>
          <w:lang w:val="pt-BR"/>
        </w:rPr>
        <w:t xml:space="preserve"> no </w:t>
      </w:r>
      <w:r w:rsidR="004B0842" w:rsidRPr="00D5464D">
        <w:rPr>
          <w:rFonts w:cs="Arial"/>
          <w:iCs/>
          <w:szCs w:val="20"/>
          <w:lang w:val="pt-BR"/>
        </w:rPr>
        <w:t xml:space="preserve">Registro de </w:t>
      </w:r>
      <w:r w:rsidR="00230C71" w:rsidRPr="00D5464D">
        <w:rPr>
          <w:rFonts w:cs="Arial"/>
          <w:iCs/>
          <w:szCs w:val="20"/>
          <w:lang w:val="pt-BR"/>
        </w:rPr>
        <w:t>Empregad</w:t>
      </w:r>
      <w:r w:rsidR="004B0842" w:rsidRPr="00D5464D">
        <w:rPr>
          <w:rFonts w:cs="Arial"/>
          <w:iCs/>
          <w:szCs w:val="20"/>
          <w:lang w:val="pt-BR"/>
        </w:rPr>
        <w:t>ores que man</w:t>
      </w:r>
      <w:r w:rsidR="00230C71" w:rsidRPr="00D5464D">
        <w:rPr>
          <w:rFonts w:cs="Arial"/>
          <w:iCs/>
          <w:szCs w:val="20"/>
          <w:lang w:val="pt-BR"/>
        </w:rPr>
        <w:t>tivessem</w:t>
      </w:r>
      <w:r w:rsidR="004B0842" w:rsidRPr="00D5464D">
        <w:rPr>
          <w:rFonts w:cs="Arial"/>
          <w:iCs/>
          <w:szCs w:val="20"/>
          <w:lang w:val="pt-BR"/>
        </w:rPr>
        <w:t xml:space="preserve"> </w:t>
      </w:r>
      <w:r w:rsidR="00E045D9" w:rsidRPr="00D5464D">
        <w:rPr>
          <w:rFonts w:cs="Arial"/>
          <w:iCs/>
          <w:szCs w:val="20"/>
          <w:lang w:val="pt-BR"/>
        </w:rPr>
        <w:t>trabalhadores</w:t>
      </w:r>
      <w:r w:rsidR="00470ADC" w:rsidRPr="00D5464D">
        <w:rPr>
          <w:rFonts w:cs="Arial"/>
          <w:iCs/>
          <w:szCs w:val="20"/>
          <w:lang w:val="pt-BR"/>
        </w:rPr>
        <w:t xml:space="preserve"> em </w:t>
      </w:r>
      <w:r w:rsidR="004B0842" w:rsidRPr="00D5464D">
        <w:rPr>
          <w:rFonts w:cs="Arial"/>
          <w:iCs/>
          <w:szCs w:val="20"/>
          <w:lang w:val="pt-BR"/>
        </w:rPr>
        <w:t>condi</w:t>
      </w:r>
      <w:r w:rsidR="00470ADC" w:rsidRPr="00D5464D">
        <w:rPr>
          <w:rFonts w:cs="Arial"/>
          <w:iCs/>
          <w:szCs w:val="20"/>
          <w:lang w:val="pt-BR"/>
        </w:rPr>
        <w:t>ções</w:t>
      </w:r>
      <w:r w:rsidR="004B0842" w:rsidRPr="00D5464D">
        <w:rPr>
          <w:rFonts w:cs="Arial"/>
          <w:iCs/>
          <w:szCs w:val="20"/>
          <w:lang w:val="pt-BR"/>
        </w:rPr>
        <w:t xml:space="preserve"> </w:t>
      </w:r>
      <w:r w:rsidR="006665EF" w:rsidRPr="00D5464D">
        <w:rPr>
          <w:rFonts w:cs="Arial"/>
          <w:iCs/>
          <w:szCs w:val="20"/>
          <w:lang w:val="pt-BR"/>
        </w:rPr>
        <w:t>análogas</w:t>
      </w:r>
      <w:r w:rsidR="00350187" w:rsidRPr="00D5464D">
        <w:rPr>
          <w:rFonts w:cs="Arial"/>
          <w:iCs/>
          <w:szCs w:val="20"/>
          <w:lang w:val="pt-BR"/>
        </w:rPr>
        <w:t xml:space="preserve"> </w:t>
      </w:r>
      <w:r w:rsidR="009E5020" w:rsidRPr="00D5464D">
        <w:rPr>
          <w:rFonts w:cs="Arial"/>
          <w:iCs/>
          <w:szCs w:val="20"/>
          <w:lang w:val="pt-BR"/>
        </w:rPr>
        <w:t>à</w:t>
      </w:r>
      <w:r w:rsidR="004B0842" w:rsidRPr="00D5464D">
        <w:rPr>
          <w:rFonts w:cs="Arial"/>
          <w:iCs/>
          <w:szCs w:val="20"/>
          <w:lang w:val="pt-BR"/>
        </w:rPr>
        <w:t xml:space="preserve"> </w:t>
      </w:r>
      <w:r w:rsidR="000B376D" w:rsidRPr="00D5464D">
        <w:rPr>
          <w:rFonts w:cs="Arial"/>
          <w:iCs/>
          <w:szCs w:val="20"/>
          <w:lang w:val="pt-BR"/>
        </w:rPr>
        <w:t>escravidão</w:t>
      </w:r>
      <w:r w:rsidR="004B0842" w:rsidRPr="00D5464D">
        <w:rPr>
          <w:rFonts w:cs="Arial"/>
          <w:iCs/>
          <w:szCs w:val="20"/>
          <w:lang w:val="pt-BR"/>
        </w:rPr>
        <w:t xml:space="preserve">; </w:t>
      </w:r>
    </w:p>
    <w:p w14:paraId="2476B851" w14:textId="77777777" w:rsidR="00F04E72" w:rsidRPr="00D5464D" w:rsidRDefault="00C91CB1" w:rsidP="00F306D7">
      <w:pPr>
        <w:pStyle w:val="Prrafodelista"/>
        <w:numPr>
          <w:ilvl w:val="0"/>
          <w:numId w:val="12"/>
        </w:numPr>
        <w:autoSpaceDE w:val="0"/>
        <w:autoSpaceDN w:val="0"/>
        <w:adjustRightInd w:val="0"/>
        <w:spacing w:after="120"/>
        <w:ind w:hanging="11"/>
        <w:contextualSpacing w:val="0"/>
        <w:rPr>
          <w:rFonts w:cs="Arial"/>
          <w:iCs/>
          <w:szCs w:val="20"/>
          <w:lang w:val="pt-BR"/>
        </w:rPr>
      </w:pPr>
      <w:r w:rsidRPr="00D5464D">
        <w:rPr>
          <w:rFonts w:cs="Arial"/>
          <w:iCs/>
          <w:szCs w:val="20"/>
          <w:lang w:val="pt-BR"/>
        </w:rPr>
        <w:t>Em 5</w:t>
      </w:r>
      <w:r w:rsidR="004B0842" w:rsidRPr="00D5464D">
        <w:rPr>
          <w:rFonts w:cs="Arial"/>
          <w:iCs/>
          <w:szCs w:val="20"/>
          <w:lang w:val="pt-BR"/>
        </w:rPr>
        <w:t xml:space="preserve"> de </w:t>
      </w:r>
      <w:r w:rsidR="002C330E" w:rsidRPr="00D5464D">
        <w:rPr>
          <w:rFonts w:cs="Arial"/>
          <w:iCs/>
          <w:szCs w:val="20"/>
          <w:lang w:val="pt-BR"/>
        </w:rPr>
        <w:t>junho</w:t>
      </w:r>
      <w:r w:rsidR="004B0842" w:rsidRPr="00D5464D">
        <w:rPr>
          <w:rFonts w:cs="Arial"/>
          <w:iCs/>
          <w:szCs w:val="20"/>
          <w:lang w:val="pt-BR"/>
        </w:rPr>
        <w:t xml:space="preserve"> de 2014, </w:t>
      </w:r>
      <w:r w:rsidR="00F04E72" w:rsidRPr="00D5464D">
        <w:rPr>
          <w:rFonts w:cs="Arial"/>
          <w:iCs/>
          <w:szCs w:val="20"/>
          <w:lang w:val="pt-BR"/>
        </w:rPr>
        <w:t xml:space="preserve">foi promulgada </w:t>
      </w:r>
      <w:r w:rsidR="002C330E" w:rsidRPr="00D5464D">
        <w:rPr>
          <w:rFonts w:cs="Arial"/>
          <w:iCs/>
          <w:szCs w:val="20"/>
          <w:lang w:val="pt-BR"/>
        </w:rPr>
        <w:t xml:space="preserve">a </w:t>
      </w:r>
      <w:r w:rsidR="00F04E72" w:rsidRPr="00D5464D">
        <w:rPr>
          <w:rFonts w:cs="Arial"/>
          <w:iCs/>
          <w:szCs w:val="20"/>
          <w:lang w:val="pt-BR"/>
        </w:rPr>
        <w:t>E</w:t>
      </w:r>
      <w:r w:rsidR="00737270" w:rsidRPr="00D5464D">
        <w:rPr>
          <w:rFonts w:cs="Arial"/>
          <w:iCs/>
          <w:szCs w:val="20"/>
          <w:lang w:val="pt-BR"/>
        </w:rPr>
        <w:t>menda</w:t>
      </w:r>
      <w:r w:rsidR="004B0842" w:rsidRPr="00D5464D">
        <w:rPr>
          <w:rFonts w:cs="Arial"/>
          <w:iCs/>
          <w:szCs w:val="20"/>
          <w:lang w:val="pt-BR"/>
        </w:rPr>
        <w:t xml:space="preserve"> </w:t>
      </w:r>
      <w:r w:rsidR="00F04E72" w:rsidRPr="00D5464D">
        <w:rPr>
          <w:rFonts w:cs="Arial"/>
          <w:iCs/>
          <w:szCs w:val="20"/>
          <w:lang w:val="pt-BR"/>
        </w:rPr>
        <w:t>C</w:t>
      </w:r>
      <w:r w:rsidR="004B0842" w:rsidRPr="00D5464D">
        <w:rPr>
          <w:rFonts w:cs="Arial"/>
          <w:iCs/>
          <w:szCs w:val="20"/>
          <w:lang w:val="pt-BR"/>
        </w:rPr>
        <w:t>onstitucional</w:t>
      </w:r>
      <w:r w:rsidR="00A1358C" w:rsidRPr="00D5464D">
        <w:rPr>
          <w:rFonts w:cs="Arial"/>
          <w:iCs/>
          <w:szCs w:val="20"/>
          <w:lang w:val="pt-BR"/>
        </w:rPr>
        <w:t xml:space="preserve"> nº </w:t>
      </w:r>
      <w:r w:rsidR="004B0842" w:rsidRPr="00D5464D">
        <w:rPr>
          <w:rFonts w:cs="Arial"/>
          <w:iCs/>
          <w:szCs w:val="20"/>
          <w:lang w:val="pt-BR"/>
        </w:rPr>
        <w:t>81</w:t>
      </w:r>
      <w:r w:rsidR="00F04E72" w:rsidRPr="00D5464D">
        <w:rPr>
          <w:rFonts w:cs="Arial"/>
          <w:iCs/>
          <w:szCs w:val="20"/>
          <w:lang w:val="pt-BR"/>
        </w:rPr>
        <w:t>,</w:t>
      </w:r>
      <w:r w:rsidR="004B0842" w:rsidRPr="00D5464D">
        <w:rPr>
          <w:rFonts w:cs="Arial"/>
          <w:iCs/>
          <w:szCs w:val="20"/>
          <w:lang w:val="pt-BR"/>
        </w:rPr>
        <w:t xml:space="preserve"> que</w:t>
      </w:r>
      <w:r w:rsidR="00470ADC" w:rsidRPr="00D5464D">
        <w:rPr>
          <w:rFonts w:cs="Arial"/>
          <w:iCs/>
          <w:szCs w:val="20"/>
          <w:lang w:val="pt-BR"/>
        </w:rPr>
        <w:t xml:space="preserve"> em</w:t>
      </w:r>
      <w:r w:rsidR="002C330E" w:rsidRPr="00D5464D">
        <w:rPr>
          <w:rFonts w:cs="Arial"/>
          <w:iCs/>
          <w:szCs w:val="20"/>
          <w:lang w:val="pt-BR"/>
        </w:rPr>
        <w:t xml:space="preserve"> seu artigo </w:t>
      </w:r>
      <w:r w:rsidR="004B0842" w:rsidRPr="00D5464D">
        <w:rPr>
          <w:rFonts w:cs="Arial"/>
          <w:iCs/>
          <w:szCs w:val="20"/>
          <w:lang w:val="pt-BR"/>
        </w:rPr>
        <w:t xml:space="preserve">243 </w:t>
      </w:r>
      <w:r w:rsidR="00470ADC" w:rsidRPr="00D5464D">
        <w:rPr>
          <w:rFonts w:cs="Arial"/>
          <w:iCs/>
          <w:szCs w:val="20"/>
          <w:lang w:val="pt-BR"/>
        </w:rPr>
        <w:t>determinou</w:t>
      </w:r>
      <w:r w:rsidR="004B0842" w:rsidRPr="00D5464D">
        <w:rPr>
          <w:rFonts w:cs="Arial"/>
          <w:iCs/>
          <w:szCs w:val="20"/>
          <w:lang w:val="pt-BR"/>
        </w:rPr>
        <w:t xml:space="preserve"> que</w:t>
      </w:r>
      <w:r w:rsidR="002C330E" w:rsidRPr="00D5464D">
        <w:rPr>
          <w:rFonts w:cs="Arial"/>
          <w:iCs/>
          <w:szCs w:val="20"/>
          <w:lang w:val="pt-BR"/>
        </w:rPr>
        <w:t xml:space="preserve"> as propriedade</w:t>
      </w:r>
      <w:r w:rsidR="004B0842" w:rsidRPr="00D5464D">
        <w:rPr>
          <w:rFonts w:cs="Arial"/>
          <w:iCs/>
          <w:szCs w:val="20"/>
          <w:lang w:val="pt-BR"/>
        </w:rPr>
        <w:t>s urbanas</w:t>
      </w:r>
      <w:r w:rsidR="00E045D9" w:rsidRPr="00D5464D">
        <w:rPr>
          <w:rFonts w:cs="Arial"/>
          <w:iCs/>
          <w:szCs w:val="20"/>
          <w:lang w:val="pt-BR"/>
        </w:rPr>
        <w:t xml:space="preserve"> e rurais</w:t>
      </w:r>
      <w:r w:rsidR="004B0842" w:rsidRPr="00D5464D">
        <w:rPr>
          <w:rFonts w:cs="Arial"/>
          <w:iCs/>
          <w:szCs w:val="20"/>
          <w:lang w:val="pt-BR"/>
        </w:rPr>
        <w:t xml:space="preserve"> de </w:t>
      </w:r>
      <w:r w:rsidR="00470ADC" w:rsidRPr="00D5464D">
        <w:rPr>
          <w:rFonts w:cs="Arial"/>
          <w:iCs/>
          <w:szCs w:val="20"/>
          <w:lang w:val="pt-BR"/>
        </w:rPr>
        <w:t>qualquer</w:t>
      </w:r>
      <w:r w:rsidR="004B0842" w:rsidRPr="00D5464D">
        <w:rPr>
          <w:rFonts w:cs="Arial"/>
          <w:iCs/>
          <w:szCs w:val="20"/>
          <w:lang w:val="pt-BR"/>
        </w:rPr>
        <w:t xml:space="preserve"> </w:t>
      </w:r>
      <w:r w:rsidR="002C330E" w:rsidRPr="00D5464D">
        <w:rPr>
          <w:rFonts w:cs="Arial"/>
          <w:iCs/>
          <w:szCs w:val="20"/>
          <w:lang w:val="pt-BR"/>
        </w:rPr>
        <w:t>região</w:t>
      </w:r>
      <w:r w:rsidR="004B0842" w:rsidRPr="00D5464D">
        <w:rPr>
          <w:rFonts w:cs="Arial"/>
          <w:iCs/>
          <w:szCs w:val="20"/>
          <w:lang w:val="pt-BR"/>
        </w:rPr>
        <w:t xml:space="preserve"> </w:t>
      </w:r>
      <w:r w:rsidR="00470ADC" w:rsidRPr="00D5464D">
        <w:rPr>
          <w:rFonts w:cs="Arial"/>
          <w:iCs/>
          <w:szCs w:val="20"/>
          <w:lang w:val="pt-BR"/>
        </w:rPr>
        <w:t xml:space="preserve">do </w:t>
      </w:r>
      <w:r w:rsidR="004B0842" w:rsidRPr="00D5464D">
        <w:rPr>
          <w:rFonts w:cs="Arial"/>
          <w:iCs/>
          <w:szCs w:val="20"/>
          <w:lang w:val="pt-BR"/>
        </w:rPr>
        <w:t>país</w:t>
      </w:r>
      <w:r w:rsidR="00470ADC" w:rsidRPr="00D5464D">
        <w:rPr>
          <w:rFonts w:cs="Arial"/>
          <w:iCs/>
          <w:szCs w:val="20"/>
          <w:lang w:val="pt-BR"/>
        </w:rPr>
        <w:t xml:space="preserve"> onde</w:t>
      </w:r>
      <w:r w:rsidR="004B0842" w:rsidRPr="00D5464D">
        <w:rPr>
          <w:rFonts w:cs="Arial"/>
          <w:iCs/>
          <w:szCs w:val="20"/>
          <w:lang w:val="pt-BR"/>
        </w:rPr>
        <w:t xml:space="preserve"> </w:t>
      </w:r>
      <w:r w:rsidR="00F04E72" w:rsidRPr="00D5464D">
        <w:rPr>
          <w:rFonts w:cs="Arial"/>
          <w:iCs/>
          <w:szCs w:val="20"/>
          <w:lang w:val="pt-BR"/>
        </w:rPr>
        <w:t xml:space="preserve">for </w:t>
      </w:r>
      <w:r w:rsidR="004B0842" w:rsidRPr="00D5464D">
        <w:rPr>
          <w:rFonts w:cs="Arial"/>
          <w:iCs/>
          <w:szCs w:val="20"/>
          <w:lang w:val="pt-BR"/>
        </w:rPr>
        <w:t xml:space="preserve">localizada, entre </w:t>
      </w:r>
      <w:r w:rsidR="002C330E" w:rsidRPr="00D5464D">
        <w:rPr>
          <w:rFonts w:cs="Arial"/>
          <w:iCs/>
          <w:szCs w:val="20"/>
          <w:lang w:val="pt-BR"/>
        </w:rPr>
        <w:t>outra</w:t>
      </w:r>
      <w:r w:rsidR="004B0842" w:rsidRPr="00D5464D">
        <w:rPr>
          <w:rFonts w:cs="Arial"/>
          <w:iCs/>
          <w:szCs w:val="20"/>
          <w:lang w:val="pt-BR"/>
        </w:rPr>
        <w:t xml:space="preserve">s, </w:t>
      </w:r>
      <w:r w:rsidR="00230C71" w:rsidRPr="00D5464D">
        <w:rPr>
          <w:rFonts w:cs="Arial"/>
          <w:iCs/>
          <w:szCs w:val="20"/>
          <w:lang w:val="pt-BR"/>
        </w:rPr>
        <w:t>exploração</w:t>
      </w:r>
      <w:r w:rsidR="004B0842" w:rsidRPr="00D5464D">
        <w:rPr>
          <w:rFonts w:cs="Arial"/>
          <w:iCs/>
          <w:szCs w:val="20"/>
          <w:lang w:val="pt-BR"/>
        </w:rPr>
        <w:t xml:space="preserve"> de </w:t>
      </w:r>
      <w:r w:rsidR="00E045D9" w:rsidRPr="00D5464D">
        <w:rPr>
          <w:rFonts w:cs="Arial"/>
          <w:iCs/>
          <w:szCs w:val="20"/>
          <w:lang w:val="pt-BR"/>
        </w:rPr>
        <w:t>trabalho</w:t>
      </w:r>
      <w:r w:rsidR="004B0842" w:rsidRPr="00D5464D">
        <w:rPr>
          <w:rFonts w:cs="Arial"/>
          <w:iCs/>
          <w:szCs w:val="20"/>
          <w:lang w:val="pt-BR"/>
        </w:rPr>
        <w:t xml:space="preserve"> </w:t>
      </w:r>
      <w:r w:rsidR="004F1CC2" w:rsidRPr="00D5464D">
        <w:rPr>
          <w:rFonts w:cs="Arial"/>
          <w:iCs/>
          <w:szCs w:val="20"/>
          <w:lang w:val="pt-BR"/>
        </w:rPr>
        <w:t>escravo</w:t>
      </w:r>
      <w:r w:rsidR="00F04E72" w:rsidRPr="00D5464D">
        <w:rPr>
          <w:rFonts w:cs="Arial"/>
          <w:iCs/>
          <w:szCs w:val="20"/>
          <w:lang w:val="pt-BR"/>
        </w:rPr>
        <w:t>,</w:t>
      </w:r>
      <w:r w:rsidR="004B0842" w:rsidRPr="00D5464D">
        <w:rPr>
          <w:rFonts w:cs="Arial"/>
          <w:iCs/>
          <w:szCs w:val="20"/>
          <w:lang w:val="pt-BR"/>
        </w:rPr>
        <w:t xml:space="preserve"> </w:t>
      </w:r>
      <w:r w:rsidR="00737270" w:rsidRPr="00D5464D">
        <w:rPr>
          <w:rFonts w:cs="Arial"/>
          <w:iCs/>
          <w:szCs w:val="20"/>
          <w:lang w:val="pt-BR"/>
        </w:rPr>
        <w:t>seriam</w:t>
      </w:r>
      <w:r w:rsidR="004B0842" w:rsidRPr="00D5464D">
        <w:rPr>
          <w:rFonts w:cs="Arial"/>
          <w:iCs/>
          <w:szCs w:val="20"/>
          <w:lang w:val="pt-BR"/>
        </w:rPr>
        <w:t xml:space="preserve"> ex</w:t>
      </w:r>
      <w:r w:rsidR="00EB1CE9" w:rsidRPr="00D5464D">
        <w:rPr>
          <w:rFonts w:cs="Arial"/>
          <w:iCs/>
          <w:szCs w:val="20"/>
          <w:lang w:val="pt-BR"/>
        </w:rPr>
        <w:t>pr</w:t>
      </w:r>
      <w:r w:rsidR="00F04E72" w:rsidRPr="00D5464D">
        <w:rPr>
          <w:rFonts w:cs="Arial"/>
          <w:iCs/>
          <w:szCs w:val="20"/>
          <w:lang w:val="pt-BR"/>
        </w:rPr>
        <w:t>o</w:t>
      </w:r>
      <w:r w:rsidR="00EB1CE9" w:rsidRPr="00D5464D">
        <w:rPr>
          <w:rFonts w:cs="Arial"/>
          <w:iCs/>
          <w:szCs w:val="20"/>
          <w:lang w:val="pt-BR"/>
        </w:rPr>
        <w:t>pria</w:t>
      </w:r>
      <w:r w:rsidR="004B0842" w:rsidRPr="00D5464D">
        <w:rPr>
          <w:rFonts w:cs="Arial"/>
          <w:iCs/>
          <w:szCs w:val="20"/>
          <w:lang w:val="pt-BR"/>
        </w:rPr>
        <w:t xml:space="preserve">das; </w:t>
      </w:r>
    </w:p>
    <w:p w14:paraId="57B81C0F" w14:textId="7C212ACC" w:rsidR="004B0842" w:rsidRPr="00D5464D" w:rsidRDefault="00470ADC" w:rsidP="00F306D7">
      <w:pPr>
        <w:pStyle w:val="Prrafodelista"/>
        <w:numPr>
          <w:ilvl w:val="0"/>
          <w:numId w:val="12"/>
        </w:numPr>
        <w:autoSpaceDE w:val="0"/>
        <w:autoSpaceDN w:val="0"/>
        <w:adjustRightInd w:val="0"/>
        <w:spacing w:after="120"/>
        <w:ind w:hanging="11"/>
        <w:contextualSpacing w:val="0"/>
        <w:rPr>
          <w:rFonts w:cs="Arial"/>
          <w:iCs/>
          <w:szCs w:val="20"/>
          <w:lang w:val="pt-BR"/>
        </w:rPr>
      </w:pPr>
      <w:r w:rsidRPr="00D5464D">
        <w:rPr>
          <w:rFonts w:cs="Arial"/>
          <w:iCs/>
          <w:szCs w:val="20"/>
          <w:lang w:val="pt-BR"/>
        </w:rPr>
        <w:t xml:space="preserve">A </w:t>
      </w:r>
      <w:r w:rsidR="004B0842" w:rsidRPr="00D5464D">
        <w:rPr>
          <w:rFonts w:cs="Arial"/>
          <w:iCs/>
          <w:szCs w:val="20"/>
          <w:lang w:val="pt-BR"/>
        </w:rPr>
        <w:t xml:space="preserve">Corte </w:t>
      </w:r>
      <w:r w:rsidR="00350187" w:rsidRPr="00D5464D">
        <w:rPr>
          <w:rFonts w:cs="Arial"/>
          <w:iCs/>
          <w:szCs w:val="20"/>
          <w:lang w:val="pt-BR"/>
        </w:rPr>
        <w:t>recebeu</w:t>
      </w:r>
      <w:r w:rsidR="004B0842" w:rsidRPr="00D5464D">
        <w:rPr>
          <w:rFonts w:cs="Arial"/>
          <w:iCs/>
          <w:szCs w:val="20"/>
          <w:lang w:val="pt-BR"/>
        </w:rPr>
        <w:t xml:space="preserve"> informa</w:t>
      </w:r>
      <w:r w:rsidRPr="00D5464D">
        <w:rPr>
          <w:rFonts w:cs="Arial"/>
          <w:iCs/>
          <w:szCs w:val="20"/>
          <w:lang w:val="pt-BR"/>
        </w:rPr>
        <w:t>ção</w:t>
      </w:r>
      <w:r w:rsidR="004B0842" w:rsidRPr="00D5464D">
        <w:rPr>
          <w:rFonts w:cs="Arial"/>
          <w:iCs/>
          <w:szCs w:val="20"/>
          <w:lang w:val="pt-BR"/>
        </w:rPr>
        <w:t xml:space="preserve"> de que</w:t>
      </w:r>
      <w:r w:rsidRPr="00D5464D">
        <w:rPr>
          <w:rFonts w:cs="Arial"/>
          <w:iCs/>
          <w:szCs w:val="20"/>
          <w:lang w:val="pt-BR"/>
        </w:rPr>
        <w:t xml:space="preserve"> o </w:t>
      </w:r>
      <w:r w:rsidR="004B0842" w:rsidRPr="00D5464D">
        <w:rPr>
          <w:rFonts w:cs="Arial"/>
          <w:iCs/>
          <w:szCs w:val="20"/>
          <w:lang w:val="pt-BR"/>
        </w:rPr>
        <w:t xml:space="preserve">Estado </w:t>
      </w:r>
      <w:r w:rsidRPr="00D5464D">
        <w:rPr>
          <w:rFonts w:cs="Arial"/>
          <w:iCs/>
          <w:szCs w:val="20"/>
          <w:lang w:val="pt-BR"/>
        </w:rPr>
        <w:t>Brasileir</w:t>
      </w:r>
      <w:r w:rsidR="004B0842" w:rsidRPr="00D5464D">
        <w:rPr>
          <w:rFonts w:cs="Arial"/>
          <w:iCs/>
          <w:szCs w:val="20"/>
          <w:lang w:val="pt-BR"/>
        </w:rPr>
        <w:t xml:space="preserve">o </w:t>
      </w:r>
      <w:r w:rsidR="00F04E72" w:rsidRPr="00D5464D">
        <w:rPr>
          <w:rFonts w:cs="Arial"/>
          <w:iCs/>
          <w:szCs w:val="20"/>
          <w:lang w:val="pt-BR"/>
        </w:rPr>
        <w:t xml:space="preserve">fortaleceu </w:t>
      </w:r>
      <w:r w:rsidR="002C330E" w:rsidRPr="00D5464D">
        <w:rPr>
          <w:rFonts w:cs="Arial"/>
          <w:iCs/>
          <w:szCs w:val="20"/>
          <w:lang w:val="pt-BR"/>
        </w:rPr>
        <w:t xml:space="preserve">a </w:t>
      </w:r>
      <w:r w:rsidR="00737270" w:rsidRPr="00D5464D">
        <w:rPr>
          <w:rFonts w:cs="Arial"/>
          <w:iCs/>
          <w:szCs w:val="20"/>
          <w:lang w:val="pt-BR"/>
        </w:rPr>
        <w:t>atuação</w:t>
      </w:r>
      <w:r w:rsidR="004B0842" w:rsidRPr="00D5464D">
        <w:rPr>
          <w:rFonts w:cs="Arial"/>
          <w:iCs/>
          <w:szCs w:val="20"/>
          <w:lang w:val="pt-BR"/>
        </w:rPr>
        <w:t xml:space="preserve"> </w:t>
      </w:r>
      <w:r w:rsidRPr="00D5464D">
        <w:rPr>
          <w:rFonts w:cs="Arial"/>
          <w:iCs/>
          <w:szCs w:val="20"/>
          <w:lang w:val="pt-BR"/>
        </w:rPr>
        <w:t xml:space="preserve">do </w:t>
      </w:r>
      <w:r w:rsidR="002C330E" w:rsidRPr="00D5464D">
        <w:rPr>
          <w:rFonts w:cs="Arial"/>
          <w:iCs/>
          <w:szCs w:val="20"/>
          <w:lang w:val="pt-BR"/>
        </w:rPr>
        <w:t>Ministério</w:t>
      </w:r>
      <w:r w:rsidR="004B0842" w:rsidRPr="00D5464D">
        <w:rPr>
          <w:rFonts w:cs="Arial"/>
          <w:iCs/>
          <w:szCs w:val="20"/>
          <w:lang w:val="pt-BR"/>
        </w:rPr>
        <w:t xml:space="preserve"> Público </w:t>
      </w:r>
      <w:r w:rsidRPr="00D5464D">
        <w:rPr>
          <w:rFonts w:cs="Arial"/>
          <w:iCs/>
          <w:szCs w:val="20"/>
          <w:lang w:val="pt-BR"/>
        </w:rPr>
        <w:t xml:space="preserve">do </w:t>
      </w:r>
      <w:r w:rsidR="00E045D9" w:rsidRPr="00D5464D">
        <w:rPr>
          <w:rFonts w:cs="Arial"/>
          <w:iCs/>
          <w:szCs w:val="20"/>
          <w:lang w:val="pt-BR"/>
        </w:rPr>
        <w:t xml:space="preserve">Trabalho e </w:t>
      </w:r>
      <w:r w:rsidRPr="00D5464D">
        <w:rPr>
          <w:rFonts w:cs="Arial"/>
          <w:iCs/>
          <w:szCs w:val="20"/>
          <w:lang w:val="pt-BR"/>
        </w:rPr>
        <w:t xml:space="preserve">do </w:t>
      </w:r>
      <w:r w:rsidR="002C330E" w:rsidRPr="00D5464D">
        <w:rPr>
          <w:rFonts w:cs="Arial"/>
          <w:iCs/>
          <w:szCs w:val="20"/>
          <w:lang w:val="pt-BR"/>
        </w:rPr>
        <w:t>Ministério</w:t>
      </w:r>
      <w:r w:rsidR="004B0842" w:rsidRPr="00D5464D">
        <w:rPr>
          <w:rFonts w:cs="Arial"/>
          <w:iCs/>
          <w:szCs w:val="20"/>
          <w:lang w:val="pt-BR"/>
        </w:rPr>
        <w:t xml:space="preserve"> Público Federal, para formular </w:t>
      </w:r>
      <w:r w:rsidRPr="00D5464D">
        <w:rPr>
          <w:rFonts w:cs="Arial"/>
          <w:iCs/>
          <w:szCs w:val="20"/>
          <w:lang w:val="pt-BR"/>
        </w:rPr>
        <w:t>ações</w:t>
      </w:r>
      <w:r w:rsidR="004B0842" w:rsidRPr="00D5464D">
        <w:rPr>
          <w:rFonts w:cs="Arial"/>
          <w:iCs/>
          <w:szCs w:val="20"/>
          <w:lang w:val="pt-BR"/>
        </w:rPr>
        <w:t xml:space="preserve"> </w:t>
      </w:r>
      <w:r w:rsidR="002C330E" w:rsidRPr="00D5464D">
        <w:rPr>
          <w:rFonts w:cs="Arial"/>
          <w:iCs/>
          <w:szCs w:val="20"/>
          <w:lang w:val="pt-BR"/>
        </w:rPr>
        <w:t>penais</w:t>
      </w:r>
      <w:r w:rsidR="00E045D9" w:rsidRPr="00D5464D">
        <w:rPr>
          <w:rFonts w:cs="Arial"/>
          <w:iCs/>
          <w:szCs w:val="20"/>
          <w:lang w:val="pt-BR"/>
        </w:rPr>
        <w:t xml:space="preserve"> e </w:t>
      </w:r>
      <w:r w:rsidRPr="00D5464D">
        <w:rPr>
          <w:rFonts w:cs="Arial"/>
          <w:iCs/>
          <w:szCs w:val="20"/>
          <w:lang w:val="pt-BR"/>
        </w:rPr>
        <w:t>civis</w:t>
      </w:r>
      <w:r w:rsidR="004B0842" w:rsidRPr="00D5464D">
        <w:rPr>
          <w:rFonts w:cs="Arial"/>
          <w:iCs/>
          <w:szCs w:val="20"/>
          <w:lang w:val="pt-BR"/>
        </w:rPr>
        <w:t xml:space="preserve"> públicas,</w:t>
      </w:r>
      <w:r w:rsidRPr="00D5464D">
        <w:rPr>
          <w:rFonts w:cs="Arial"/>
          <w:iCs/>
          <w:szCs w:val="20"/>
          <w:lang w:val="pt-BR"/>
        </w:rPr>
        <w:t xml:space="preserve"> com o </w:t>
      </w:r>
      <w:r w:rsidR="004B0842" w:rsidRPr="00D5464D">
        <w:rPr>
          <w:rFonts w:cs="Arial"/>
          <w:iCs/>
          <w:szCs w:val="20"/>
          <w:lang w:val="pt-BR"/>
        </w:rPr>
        <w:t>objet</w:t>
      </w:r>
      <w:r w:rsidR="00F04E72" w:rsidRPr="00D5464D">
        <w:rPr>
          <w:rFonts w:cs="Arial"/>
          <w:iCs/>
          <w:szCs w:val="20"/>
          <w:lang w:val="pt-BR"/>
        </w:rPr>
        <w:t>iv</w:t>
      </w:r>
      <w:r w:rsidR="004B0842" w:rsidRPr="00D5464D">
        <w:rPr>
          <w:rFonts w:cs="Arial"/>
          <w:iCs/>
          <w:szCs w:val="20"/>
          <w:lang w:val="pt-BR"/>
        </w:rPr>
        <w:t>o de que</w:t>
      </w:r>
      <w:r w:rsidRPr="00D5464D">
        <w:rPr>
          <w:rFonts w:cs="Arial"/>
          <w:iCs/>
          <w:szCs w:val="20"/>
          <w:lang w:val="pt-BR"/>
        </w:rPr>
        <w:t xml:space="preserve"> o </w:t>
      </w:r>
      <w:r w:rsidR="004B0842" w:rsidRPr="00D5464D">
        <w:rPr>
          <w:rFonts w:cs="Arial"/>
          <w:iCs/>
          <w:szCs w:val="20"/>
          <w:lang w:val="pt-BR"/>
        </w:rPr>
        <w:t xml:space="preserve">Estado </w:t>
      </w:r>
      <w:r w:rsidR="002C330E" w:rsidRPr="00D5464D">
        <w:rPr>
          <w:rFonts w:cs="Arial"/>
          <w:iCs/>
          <w:szCs w:val="20"/>
          <w:lang w:val="pt-BR"/>
        </w:rPr>
        <w:t>possa</w:t>
      </w:r>
      <w:r w:rsidR="004B0842" w:rsidRPr="00D5464D">
        <w:rPr>
          <w:rFonts w:cs="Arial"/>
          <w:iCs/>
          <w:szCs w:val="20"/>
          <w:lang w:val="pt-BR"/>
        </w:rPr>
        <w:t xml:space="preserve"> </w:t>
      </w:r>
      <w:r w:rsidRPr="00D5464D">
        <w:rPr>
          <w:rFonts w:cs="Arial"/>
          <w:iCs/>
          <w:szCs w:val="20"/>
          <w:lang w:val="pt-BR"/>
        </w:rPr>
        <w:t>exercer</w:t>
      </w:r>
      <w:r w:rsidR="004B0842" w:rsidRPr="00D5464D">
        <w:rPr>
          <w:rFonts w:cs="Arial"/>
          <w:iCs/>
          <w:szCs w:val="20"/>
          <w:lang w:val="pt-BR"/>
        </w:rPr>
        <w:t xml:space="preserve"> </w:t>
      </w:r>
      <w:r w:rsidR="00E045D9" w:rsidRPr="00D5464D">
        <w:rPr>
          <w:rFonts w:cs="Arial"/>
          <w:iCs/>
          <w:szCs w:val="20"/>
          <w:lang w:val="pt-BR"/>
        </w:rPr>
        <w:t>sua capacidade</w:t>
      </w:r>
      <w:r w:rsidRPr="00D5464D">
        <w:rPr>
          <w:rFonts w:cs="Arial"/>
          <w:iCs/>
          <w:szCs w:val="20"/>
          <w:lang w:val="pt-BR"/>
        </w:rPr>
        <w:t xml:space="preserve"> </w:t>
      </w:r>
      <w:r w:rsidR="004B0842" w:rsidRPr="00D5464D">
        <w:rPr>
          <w:rFonts w:cs="Arial"/>
          <w:iCs/>
          <w:szCs w:val="20"/>
          <w:lang w:val="pt-BR"/>
        </w:rPr>
        <w:t xml:space="preserve">coercitiva. </w:t>
      </w:r>
      <w:r w:rsidR="00350187" w:rsidRPr="00D5464D">
        <w:rPr>
          <w:rFonts w:cs="Arial"/>
          <w:iCs/>
          <w:szCs w:val="20"/>
          <w:lang w:val="pt-BR"/>
        </w:rPr>
        <w:t xml:space="preserve">Além disso, </w:t>
      </w:r>
      <w:r w:rsidR="00E765C2" w:rsidRPr="00D5464D">
        <w:rPr>
          <w:rFonts w:cs="Arial"/>
          <w:iCs/>
          <w:szCs w:val="20"/>
          <w:lang w:val="pt-BR"/>
        </w:rPr>
        <w:t>elaborou</w:t>
      </w:r>
      <w:r w:rsidR="004B0842" w:rsidRPr="00D5464D">
        <w:rPr>
          <w:rFonts w:cs="Arial"/>
          <w:iCs/>
          <w:szCs w:val="20"/>
          <w:lang w:val="pt-BR"/>
        </w:rPr>
        <w:t xml:space="preserve"> orienta</w:t>
      </w:r>
      <w:r w:rsidRPr="00D5464D">
        <w:rPr>
          <w:rFonts w:cs="Arial"/>
          <w:iCs/>
          <w:szCs w:val="20"/>
          <w:lang w:val="pt-BR"/>
        </w:rPr>
        <w:t>ções</w:t>
      </w:r>
      <w:r w:rsidR="004B0842" w:rsidRPr="00D5464D">
        <w:rPr>
          <w:rFonts w:cs="Arial"/>
          <w:iCs/>
          <w:szCs w:val="20"/>
          <w:lang w:val="pt-BR"/>
        </w:rPr>
        <w:t xml:space="preserve"> técnicas de </w:t>
      </w:r>
      <w:r w:rsidR="002C330E" w:rsidRPr="00D5464D">
        <w:rPr>
          <w:rFonts w:cs="Arial"/>
          <w:iCs/>
          <w:szCs w:val="20"/>
          <w:lang w:val="pt-BR"/>
        </w:rPr>
        <w:t>procedimento</w:t>
      </w:r>
      <w:r w:rsidR="004B0842" w:rsidRPr="00D5464D">
        <w:rPr>
          <w:rFonts w:cs="Arial"/>
          <w:iCs/>
          <w:szCs w:val="20"/>
          <w:lang w:val="pt-BR"/>
        </w:rPr>
        <w:t xml:space="preserve"> para</w:t>
      </w:r>
      <w:r w:rsidRPr="00D5464D">
        <w:rPr>
          <w:rFonts w:cs="Arial"/>
          <w:iCs/>
          <w:szCs w:val="20"/>
          <w:lang w:val="pt-BR"/>
        </w:rPr>
        <w:t xml:space="preserve"> o </w:t>
      </w:r>
      <w:r w:rsidR="002C330E" w:rsidRPr="00D5464D">
        <w:rPr>
          <w:rFonts w:cs="Arial"/>
          <w:iCs/>
          <w:szCs w:val="20"/>
          <w:lang w:val="pt-BR"/>
        </w:rPr>
        <w:t>Ministério</w:t>
      </w:r>
      <w:r w:rsidR="004B0842" w:rsidRPr="00D5464D">
        <w:rPr>
          <w:rFonts w:cs="Arial"/>
          <w:iCs/>
          <w:szCs w:val="20"/>
          <w:lang w:val="pt-BR"/>
        </w:rPr>
        <w:t xml:space="preserve"> Público </w:t>
      </w:r>
      <w:r w:rsidRPr="00D5464D">
        <w:rPr>
          <w:rFonts w:cs="Arial"/>
          <w:iCs/>
          <w:szCs w:val="20"/>
          <w:lang w:val="pt-BR"/>
        </w:rPr>
        <w:t xml:space="preserve">do </w:t>
      </w:r>
      <w:r w:rsidR="00E045D9" w:rsidRPr="00D5464D">
        <w:rPr>
          <w:rFonts w:cs="Arial"/>
          <w:iCs/>
          <w:szCs w:val="20"/>
          <w:lang w:val="pt-BR"/>
        </w:rPr>
        <w:t>Trabalho</w:t>
      </w:r>
      <w:r w:rsidR="004B0842" w:rsidRPr="00D5464D">
        <w:rPr>
          <w:rFonts w:cs="Arial"/>
          <w:iCs/>
          <w:szCs w:val="20"/>
          <w:lang w:val="pt-BR"/>
        </w:rPr>
        <w:t xml:space="preserve"> </w:t>
      </w:r>
      <w:r w:rsidRPr="00D5464D">
        <w:rPr>
          <w:rFonts w:cs="Arial"/>
          <w:iCs/>
          <w:szCs w:val="20"/>
          <w:lang w:val="pt-BR"/>
        </w:rPr>
        <w:t>quando</w:t>
      </w:r>
      <w:r w:rsidR="004B0842" w:rsidRPr="00D5464D">
        <w:rPr>
          <w:rFonts w:cs="Arial"/>
          <w:iCs/>
          <w:szCs w:val="20"/>
          <w:lang w:val="pt-BR"/>
        </w:rPr>
        <w:t xml:space="preserve"> </w:t>
      </w:r>
      <w:r w:rsidR="00A1358C" w:rsidRPr="00D5464D">
        <w:rPr>
          <w:rFonts w:cs="Arial"/>
          <w:iCs/>
          <w:szCs w:val="20"/>
          <w:lang w:val="pt-BR"/>
        </w:rPr>
        <w:t xml:space="preserve">participam </w:t>
      </w:r>
      <w:r w:rsidR="007939A4" w:rsidRPr="00D5464D">
        <w:rPr>
          <w:rFonts w:cs="Arial"/>
          <w:iCs/>
          <w:szCs w:val="20"/>
          <w:lang w:val="pt-BR"/>
        </w:rPr>
        <w:t>de</w:t>
      </w:r>
      <w:r w:rsidR="00FF1290" w:rsidRPr="00D5464D">
        <w:rPr>
          <w:rFonts w:cs="Arial"/>
          <w:iCs/>
          <w:szCs w:val="20"/>
          <w:lang w:val="pt-BR"/>
        </w:rPr>
        <w:t xml:space="preserve"> </w:t>
      </w:r>
      <w:r w:rsidR="004B0842" w:rsidRPr="00D5464D">
        <w:rPr>
          <w:rFonts w:cs="Arial"/>
          <w:iCs/>
          <w:szCs w:val="20"/>
          <w:lang w:val="pt-BR"/>
        </w:rPr>
        <w:t>opera</w:t>
      </w:r>
      <w:r w:rsidRPr="00D5464D">
        <w:rPr>
          <w:rFonts w:cs="Arial"/>
          <w:iCs/>
          <w:szCs w:val="20"/>
          <w:lang w:val="pt-BR"/>
        </w:rPr>
        <w:t>ções</w:t>
      </w:r>
      <w:r w:rsidR="004B0842" w:rsidRPr="00D5464D">
        <w:rPr>
          <w:rFonts w:cs="Arial"/>
          <w:iCs/>
          <w:szCs w:val="20"/>
          <w:lang w:val="pt-BR"/>
        </w:rPr>
        <w:t xml:space="preserve"> </w:t>
      </w:r>
      <w:r w:rsidR="00AC6313" w:rsidRPr="00D5464D">
        <w:rPr>
          <w:rFonts w:cs="Arial"/>
          <w:iCs/>
          <w:szCs w:val="20"/>
          <w:lang w:val="pt-BR"/>
        </w:rPr>
        <w:t>de</w:t>
      </w:r>
      <w:r w:rsidR="004B0842" w:rsidRPr="00D5464D">
        <w:rPr>
          <w:rFonts w:cs="Arial"/>
          <w:iCs/>
          <w:szCs w:val="20"/>
          <w:lang w:val="pt-BR"/>
        </w:rPr>
        <w:t xml:space="preserve"> </w:t>
      </w:r>
      <w:r w:rsidR="00AC6313" w:rsidRPr="00D5464D">
        <w:rPr>
          <w:rFonts w:cs="Arial"/>
          <w:iCs/>
          <w:szCs w:val="20"/>
          <w:lang w:val="pt-BR"/>
        </w:rPr>
        <w:t xml:space="preserve">erradicação do </w:t>
      </w:r>
      <w:r w:rsidR="00E045D9" w:rsidRPr="00D5464D">
        <w:rPr>
          <w:rFonts w:cs="Arial"/>
          <w:iCs/>
          <w:szCs w:val="20"/>
          <w:lang w:val="pt-BR"/>
        </w:rPr>
        <w:t>trabalho</w:t>
      </w:r>
      <w:r w:rsidR="004B0842" w:rsidRPr="00D5464D">
        <w:rPr>
          <w:rFonts w:cs="Arial"/>
          <w:iCs/>
          <w:szCs w:val="20"/>
          <w:lang w:val="pt-BR"/>
        </w:rPr>
        <w:t xml:space="preserve"> </w:t>
      </w:r>
      <w:r w:rsidR="004F1CC2" w:rsidRPr="00D5464D">
        <w:rPr>
          <w:rFonts w:cs="Arial"/>
          <w:iCs/>
          <w:szCs w:val="20"/>
          <w:lang w:val="pt-BR"/>
        </w:rPr>
        <w:t>escravo</w:t>
      </w:r>
      <w:r w:rsidR="004B0842" w:rsidRPr="00D5464D">
        <w:rPr>
          <w:rFonts w:cs="Arial"/>
          <w:iCs/>
          <w:szCs w:val="20"/>
          <w:lang w:val="pt-BR"/>
        </w:rPr>
        <w:t>;</w:t>
      </w:r>
    </w:p>
    <w:p w14:paraId="4D193EFE" w14:textId="37B0A950" w:rsidR="004B0842" w:rsidRPr="00D5464D" w:rsidRDefault="004B0842" w:rsidP="00F306D7">
      <w:pPr>
        <w:pStyle w:val="Prrafodelista"/>
        <w:numPr>
          <w:ilvl w:val="0"/>
          <w:numId w:val="12"/>
        </w:numPr>
        <w:autoSpaceDE w:val="0"/>
        <w:autoSpaceDN w:val="0"/>
        <w:adjustRightInd w:val="0"/>
        <w:spacing w:after="120"/>
        <w:ind w:hanging="11"/>
        <w:contextualSpacing w:val="0"/>
        <w:rPr>
          <w:rFonts w:cs="Arial"/>
          <w:iCs/>
          <w:szCs w:val="20"/>
          <w:lang w:val="pt-BR"/>
        </w:rPr>
      </w:pPr>
      <w:r w:rsidRPr="00D5464D">
        <w:rPr>
          <w:rFonts w:cs="Arial"/>
          <w:iCs/>
          <w:szCs w:val="20"/>
          <w:lang w:val="pt-BR"/>
        </w:rPr>
        <w:t>Tanto</w:t>
      </w:r>
      <w:r w:rsidR="002C330E" w:rsidRPr="00D5464D">
        <w:rPr>
          <w:rFonts w:cs="Arial"/>
          <w:iCs/>
          <w:szCs w:val="20"/>
          <w:lang w:val="pt-BR"/>
        </w:rPr>
        <w:t xml:space="preserve"> a justiç</w:t>
      </w:r>
      <w:r w:rsidR="007939A4" w:rsidRPr="00D5464D">
        <w:rPr>
          <w:rFonts w:cs="Arial"/>
          <w:iCs/>
          <w:szCs w:val="20"/>
          <w:lang w:val="pt-BR"/>
        </w:rPr>
        <w:t>a</w:t>
      </w:r>
      <w:r w:rsidR="00C91CB1" w:rsidRPr="00D5464D">
        <w:rPr>
          <w:rFonts w:cs="Arial"/>
          <w:iCs/>
          <w:szCs w:val="20"/>
          <w:lang w:val="pt-BR"/>
        </w:rPr>
        <w:t xml:space="preserve"> </w:t>
      </w:r>
      <w:r w:rsidR="00AC6313" w:rsidRPr="00D5464D">
        <w:rPr>
          <w:rFonts w:cs="Arial"/>
          <w:iCs/>
          <w:szCs w:val="20"/>
          <w:lang w:val="pt-BR"/>
        </w:rPr>
        <w:t xml:space="preserve">do trabalho </w:t>
      </w:r>
      <w:r w:rsidRPr="00D5464D">
        <w:rPr>
          <w:rFonts w:cs="Arial"/>
          <w:iCs/>
          <w:szCs w:val="20"/>
          <w:lang w:val="pt-BR"/>
        </w:rPr>
        <w:t>como</w:t>
      </w:r>
      <w:r w:rsidR="002C330E" w:rsidRPr="00D5464D">
        <w:rPr>
          <w:rFonts w:cs="Arial"/>
          <w:iCs/>
          <w:szCs w:val="20"/>
          <w:lang w:val="pt-BR"/>
        </w:rPr>
        <w:t xml:space="preserve"> a </w:t>
      </w:r>
      <w:r w:rsidR="00AC6313" w:rsidRPr="00D5464D">
        <w:rPr>
          <w:rFonts w:cs="Arial"/>
          <w:iCs/>
          <w:szCs w:val="20"/>
          <w:lang w:val="pt-BR"/>
        </w:rPr>
        <w:t xml:space="preserve">justiça </w:t>
      </w:r>
      <w:r w:rsidRPr="00D5464D">
        <w:rPr>
          <w:rFonts w:cs="Arial"/>
          <w:iCs/>
          <w:szCs w:val="20"/>
          <w:lang w:val="pt-BR"/>
        </w:rPr>
        <w:t xml:space="preserve">federal </w:t>
      </w:r>
      <w:r w:rsidR="00AC6313" w:rsidRPr="00D5464D">
        <w:rPr>
          <w:rFonts w:cs="Arial"/>
          <w:iCs/>
          <w:szCs w:val="20"/>
          <w:lang w:val="pt-BR"/>
        </w:rPr>
        <w:t xml:space="preserve">condenaram </w:t>
      </w:r>
      <w:r w:rsidR="002C330E" w:rsidRPr="00D5464D">
        <w:rPr>
          <w:rFonts w:cs="Arial"/>
          <w:iCs/>
          <w:szCs w:val="20"/>
          <w:lang w:val="pt-BR"/>
        </w:rPr>
        <w:t>pessoa</w:t>
      </w:r>
      <w:r w:rsidRPr="00D5464D">
        <w:rPr>
          <w:rFonts w:cs="Arial"/>
          <w:iCs/>
          <w:szCs w:val="20"/>
          <w:lang w:val="pt-BR"/>
        </w:rPr>
        <w:t xml:space="preserve">s </w:t>
      </w:r>
      <w:r w:rsidR="002C330E" w:rsidRPr="00D5464D">
        <w:rPr>
          <w:rFonts w:cs="Arial"/>
          <w:iCs/>
          <w:szCs w:val="20"/>
          <w:lang w:val="pt-BR"/>
        </w:rPr>
        <w:t>responsáveis</w:t>
      </w:r>
      <w:r w:rsidRPr="00D5464D">
        <w:rPr>
          <w:rFonts w:cs="Arial"/>
          <w:iCs/>
          <w:szCs w:val="20"/>
          <w:lang w:val="pt-BR"/>
        </w:rPr>
        <w:t xml:space="preserve"> por casos de </w:t>
      </w:r>
      <w:r w:rsidR="00737270" w:rsidRPr="00D5464D">
        <w:rPr>
          <w:rFonts w:cs="Arial"/>
          <w:iCs/>
          <w:szCs w:val="20"/>
          <w:lang w:val="pt-BR"/>
        </w:rPr>
        <w:t>redução</w:t>
      </w:r>
      <w:r w:rsidR="00260035" w:rsidRPr="00D5464D">
        <w:rPr>
          <w:rFonts w:cs="Arial"/>
          <w:iCs/>
          <w:szCs w:val="20"/>
          <w:lang w:val="pt-BR"/>
        </w:rPr>
        <w:t xml:space="preserve"> </w:t>
      </w:r>
      <w:r w:rsidR="007939A4" w:rsidRPr="00D5464D">
        <w:rPr>
          <w:rFonts w:cs="Arial"/>
          <w:iCs/>
          <w:szCs w:val="20"/>
          <w:lang w:val="pt-BR"/>
        </w:rPr>
        <w:t>à</w:t>
      </w:r>
      <w:r w:rsidR="00FF1290" w:rsidRPr="00D5464D">
        <w:rPr>
          <w:rFonts w:cs="Arial"/>
          <w:iCs/>
          <w:szCs w:val="20"/>
          <w:lang w:val="pt-BR"/>
        </w:rPr>
        <w:t xml:space="preserve"> </w:t>
      </w:r>
      <w:r w:rsidR="00260035" w:rsidRPr="00D5464D">
        <w:rPr>
          <w:rFonts w:cs="Arial"/>
          <w:iCs/>
          <w:szCs w:val="20"/>
          <w:lang w:val="pt-BR"/>
        </w:rPr>
        <w:t>condi</w:t>
      </w:r>
      <w:r w:rsidR="00470ADC" w:rsidRPr="00D5464D">
        <w:rPr>
          <w:rFonts w:cs="Arial"/>
          <w:iCs/>
          <w:szCs w:val="20"/>
          <w:lang w:val="pt-BR"/>
        </w:rPr>
        <w:t>ção</w:t>
      </w:r>
      <w:r w:rsidR="00260035" w:rsidRPr="00D5464D">
        <w:rPr>
          <w:rFonts w:cs="Arial"/>
          <w:iCs/>
          <w:szCs w:val="20"/>
          <w:lang w:val="pt-BR"/>
        </w:rPr>
        <w:t xml:space="preserve"> </w:t>
      </w:r>
      <w:r w:rsidRPr="00D5464D">
        <w:rPr>
          <w:rFonts w:cs="Arial"/>
          <w:iCs/>
          <w:szCs w:val="20"/>
          <w:lang w:val="pt-BR"/>
        </w:rPr>
        <w:t>análoga</w:t>
      </w:r>
      <w:r w:rsidR="00470ADC" w:rsidRPr="00D5464D">
        <w:rPr>
          <w:rFonts w:cs="Arial"/>
          <w:iCs/>
          <w:szCs w:val="20"/>
          <w:lang w:val="pt-BR"/>
        </w:rPr>
        <w:t xml:space="preserve"> à </w:t>
      </w:r>
      <w:r w:rsidR="00260035" w:rsidRPr="00D5464D">
        <w:rPr>
          <w:rFonts w:cs="Arial"/>
          <w:iCs/>
          <w:szCs w:val="20"/>
          <w:lang w:val="pt-BR"/>
        </w:rPr>
        <w:t xml:space="preserve">de </w:t>
      </w:r>
      <w:r w:rsidR="004F1CC2" w:rsidRPr="00D5464D">
        <w:rPr>
          <w:rFonts w:cs="Arial"/>
          <w:iCs/>
          <w:szCs w:val="20"/>
          <w:lang w:val="pt-BR"/>
        </w:rPr>
        <w:t>escravo</w:t>
      </w:r>
      <w:r w:rsidRPr="00D5464D">
        <w:rPr>
          <w:rFonts w:cs="Arial"/>
          <w:iCs/>
          <w:szCs w:val="20"/>
          <w:lang w:val="pt-BR"/>
        </w:rPr>
        <w:t>, ob</w:t>
      </w:r>
      <w:r w:rsidR="00AC6313" w:rsidRPr="00D5464D">
        <w:rPr>
          <w:rFonts w:cs="Arial"/>
          <w:iCs/>
          <w:szCs w:val="20"/>
          <w:lang w:val="pt-BR"/>
        </w:rPr>
        <w:t>rigando-os, também</w:t>
      </w:r>
      <w:r w:rsidRPr="00D5464D">
        <w:rPr>
          <w:rFonts w:cs="Arial"/>
          <w:iCs/>
          <w:szCs w:val="20"/>
          <w:lang w:val="pt-BR"/>
        </w:rPr>
        <w:t>, a pagar multas</w:t>
      </w:r>
      <w:r w:rsidR="00AC6313" w:rsidRPr="00D5464D">
        <w:rPr>
          <w:rFonts w:cs="Arial"/>
          <w:iCs/>
          <w:szCs w:val="20"/>
          <w:lang w:val="pt-BR"/>
        </w:rPr>
        <w:t xml:space="preserve"> elevadas</w:t>
      </w:r>
      <w:r w:rsidRPr="00D5464D">
        <w:rPr>
          <w:rFonts w:cs="Arial"/>
          <w:iCs/>
          <w:szCs w:val="20"/>
          <w:lang w:val="pt-BR"/>
        </w:rPr>
        <w:t>;</w:t>
      </w:r>
    </w:p>
    <w:p w14:paraId="5C92846B" w14:textId="5FA6C7C5" w:rsidR="004B0842" w:rsidRPr="00D5464D" w:rsidRDefault="00AC6313" w:rsidP="00F306D7">
      <w:pPr>
        <w:pStyle w:val="Prrafodelista"/>
        <w:numPr>
          <w:ilvl w:val="0"/>
          <w:numId w:val="12"/>
        </w:numPr>
        <w:autoSpaceDE w:val="0"/>
        <w:autoSpaceDN w:val="0"/>
        <w:adjustRightInd w:val="0"/>
        <w:spacing w:after="120"/>
        <w:ind w:hanging="11"/>
        <w:contextualSpacing w:val="0"/>
        <w:rPr>
          <w:rFonts w:cs="Arial"/>
          <w:iCs/>
          <w:szCs w:val="20"/>
          <w:lang w:val="pt-BR"/>
        </w:rPr>
      </w:pPr>
      <w:r w:rsidRPr="00D5464D">
        <w:rPr>
          <w:rFonts w:cs="Arial"/>
          <w:iCs/>
          <w:szCs w:val="20"/>
          <w:lang w:val="pt-BR"/>
        </w:rPr>
        <w:t xml:space="preserve">Sob outra perspectiva, foram </w:t>
      </w:r>
      <w:r w:rsidR="004B0842" w:rsidRPr="00D5464D">
        <w:rPr>
          <w:rFonts w:cs="Arial"/>
          <w:iCs/>
          <w:szCs w:val="20"/>
          <w:lang w:val="pt-BR"/>
        </w:rPr>
        <w:t>implementad</w:t>
      </w:r>
      <w:r w:rsidRPr="00D5464D">
        <w:rPr>
          <w:rFonts w:cs="Arial"/>
          <w:iCs/>
          <w:szCs w:val="20"/>
          <w:lang w:val="pt-BR"/>
        </w:rPr>
        <w:t>as</w:t>
      </w:r>
      <w:r w:rsidR="004B0842" w:rsidRPr="00D5464D">
        <w:rPr>
          <w:rFonts w:cs="Arial"/>
          <w:iCs/>
          <w:szCs w:val="20"/>
          <w:lang w:val="pt-BR"/>
        </w:rPr>
        <w:t xml:space="preserve"> políticas públicas, universalizando</w:t>
      </w:r>
      <w:r w:rsidR="002C330E" w:rsidRPr="00D5464D">
        <w:rPr>
          <w:rFonts w:cs="Arial"/>
          <w:iCs/>
          <w:szCs w:val="20"/>
          <w:lang w:val="pt-BR"/>
        </w:rPr>
        <w:t xml:space="preserve"> os serviço</w:t>
      </w:r>
      <w:r w:rsidR="004B0842" w:rsidRPr="00D5464D">
        <w:rPr>
          <w:rFonts w:cs="Arial"/>
          <w:iCs/>
          <w:szCs w:val="20"/>
          <w:lang w:val="pt-BR"/>
        </w:rPr>
        <w:t>s básicos,</w:t>
      </w:r>
      <w:r w:rsidR="00470ADC" w:rsidRPr="00D5464D">
        <w:rPr>
          <w:rFonts w:cs="Arial"/>
          <w:iCs/>
          <w:szCs w:val="20"/>
          <w:lang w:val="pt-BR"/>
        </w:rPr>
        <w:t xml:space="preserve"> o </w:t>
      </w:r>
      <w:r w:rsidR="004B0842" w:rsidRPr="00D5464D">
        <w:rPr>
          <w:rFonts w:cs="Arial"/>
          <w:iCs/>
          <w:szCs w:val="20"/>
          <w:lang w:val="pt-BR"/>
        </w:rPr>
        <w:t>registro civil,</w:t>
      </w:r>
      <w:r w:rsidR="00470ADC" w:rsidRPr="00D5464D">
        <w:rPr>
          <w:rFonts w:cs="Arial"/>
          <w:iCs/>
          <w:szCs w:val="20"/>
          <w:lang w:val="pt-BR"/>
        </w:rPr>
        <w:t xml:space="preserve"> o desenvolvimento</w:t>
      </w:r>
      <w:r w:rsidR="004B0842" w:rsidRPr="00D5464D">
        <w:rPr>
          <w:rFonts w:cs="Arial"/>
          <w:iCs/>
          <w:szCs w:val="20"/>
          <w:lang w:val="pt-BR"/>
        </w:rPr>
        <w:t xml:space="preserve"> </w:t>
      </w:r>
      <w:r w:rsidR="00470ADC" w:rsidRPr="00D5464D">
        <w:rPr>
          <w:rFonts w:cs="Arial"/>
          <w:iCs/>
          <w:szCs w:val="20"/>
          <w:lang w:val="pt-BR"/>
        </w:rPr>
        <w:t xml:space="preserve">do </w:t>
      </w:r>
      <w:r w:rsidR="004B0842" w:rsidRPr="00D5464D">
        <w:rPr>
          <w:rFonts w:cs="Arial"/>
          <w:iCs/>
          <w:szCs w:val="20"/>
          <w:lang w:val="pt-BR"/>
        </w:rPr>
        <w:t>programa Bolsa-</w:t>
      </w:r>
      <w:r w:rsidR="00470ADC" w:rsidRPr="00D5464D">
        <w:rPr>
          <w:rFonts w:cs="Arial"/>
          <w:iCs/>
          <w:szCs w:val="20"/>
          <w:lang w:val="pt-BR"/>
        </w:rPr>
        <w:t xml:space="preserve">Família </w:t>
      </w:r>
      <w:r w:rsidRPr="00D5464D">
        <w:rPr>
          <w:rFonts w:cs="Arial"/>
          <w:iCs/>
          <w:szCs w:val="20"/>
          <w:lang w:val="pt-BR"/>
        </w:rPr>
        <w:t>condicionado</w:t>
      </w:r>
      <w:r w:rsidR="00470ADC" w:rsidRPr="00D5464D">
        <w:rPr>
          <w:rFonts w:cs="Arial"/>
          <w:iCs/>
          <w:szCs w:val="20"/>
          <w:lang w:val="pt-BR"/>
        </w:rPr>
        <w:t xml:space="preserve"> </w:t>
      </w:r>
      <w:r w:rsidRPr="00D5464D">
        <w:rPr>
          <w:rFonts w:cs="Arial"/>
          <w:iCs/>
          <w:szCs w:val="20"/>
          <w:lang w:val="pt-BR"/>
        </w:rPr>
        <w:t>à</w:t>
      </w:r>
      <w:r w:rsidR="002C330E" w:rsidRPr="00D5464D">
        <w:rPr>
          <w:rFonts w:cs="Arial"/>
          <w:iCs/>
          <w:szCs w:val="20"/>
          <w:lang w:val="pt-BR"/>
        </w:rPr>
        <w:t xml:space="preserve"> </w:t>
      </w:r>
      <w:r w:rsidR="00470ADC" w:rsidRPr="00D5464D">
        <w:rPr>
          <w:rFonts w:cs="Arial"/>
          <w:iCs/>
          <w:szCs w:val="20"/>
          <w:lang w:val="pt-BR"/>
        </w:rPr>
        <w:t xml:space="preserve">assistência </w:t>
      </w:r>
      <w:r w:rsidR="004B0842" w:rsidRPr="00D5464D">
        <w:rPr>
          <w:rFonts w:cs="Arial"/>
          <w:iCs/>
          <w:szCs w:val="20"/>
          <w:lang w:val="pt-BR"/>
        </w:rPr>
        <w:t>escolar</w:t>
      </w:r>
      <w:r w:rsidR="00E045D9" w:rsidRPr="00D5464D">
        <w:rPr>
          <w:rFonts w:cs="Arial"/>
          <w:iCs/>
          <w:szCs w:val="20"/>
          <w:lang w:val="pt-BR"/>
        </w:rPr>
        <w:t xml:space="preserve"> e </w:t>
      </w:r>
      <w:r w:rsidR="00737270" w:rsidRPr="00D5464D">
        <w:rPr>
          <w:rFonts w:cs="Arial"/>
          <w:iCs/>
          <w:szCs w:val="20"/>
          <w:lang w:val="pt-BR"/>
        </w:rPr>
        <w:t>vacina</w:t>
      </w:r>
      <w:r w:rsidR="00470ADC" w:rsidRPr="00D5464D">
        <w:rPr>
          <w:rFonts w:cs="Arial"/>
          <w:iCs/>
          <w:szCs w:val="20"/>
          <w:lang w:val="pt-BR"/>
        </w:rPr>
        <w:t>ção</w:t>
      </w:r>
      <w:r w:rsidR="004B0842" w:rsidRPr="00D5464D">
        <w:rPr>
          <w:rFonts w:cs="Arial"/>
          <w:iCs/>
          <w:szCs w:val="20"/>
          <w:lang w:val="pt-BR"/>
        </w:rPr>
        <w:t xml:space="preserve">, </w:t>
      </w:r>
      <w:r w:rsidRPr="00D5464D">
        <w:rPr>
          <w:rFonts w:cs="Arial"/>
          <w:iCs/>
          <w:szCs w:val="20"/>
          <w:lang w:val="pt-BR"/>
        </w:rPr>
        <w:t xml:space="preserve">o </w:t>
      </w:r>
      <w:r w:rsidR="004B0842" w:rsidRPr="00D5464D">
        <w:rPr>
          <w:rFonts w:cs="Arial"/>
          <w:iCs/>
          <w:szCs w:val="20"/>
          <w:lang w:val="pt-BR"/>
        </w:rPr>
        <w:t>seguro des</w:t>
      </w:r>
      <w:r w:rsidR="00A1358C" w:rsidRPr="00D5464D">
        <w:rPr>
          <w:rFonts w:cs="Arial"/>
          <w:iCs/>
          <w:szCs w:val="20"/>
          <w:lang w:val="pt-BR"/>
        </w:rPr>
        <w:t>emprego</w:t>
      </w:r>
      <w:r w:rsidR="004B0842" w:rsidRPr="00D5464D">
        <w:rPr>
          <w:rFonts w:cs="Arial"/>
          <w:iCs/>
          <w:szCs w:val="20"/>
          <w:lang w:val="pt-BR"/>
        </w:rPr>
        <w:t xml:space="preserve">, </w:t>
      </w:r>
      <w:r w:rsidRPr="00D5464D">
        <w:rPr>
          <w:rFonts w:cs="Arial"/>
          <w:iCs/>
          <w:szCs w:val="20"/>
          <w:lang w:val="pt-BR"/>
        </w:rPr>
        <w:t xml:space="preserve">o </w:t>
      </w:r>
      <w:r w:rsidR="004B0842" w:rsidRPr="00D5464D">
        <w:rPr>
          <w:rFonts w:cs="Arial"/>
          <w:iCs/>
          <w:szCs w:val="20"/>
          <w:lang w:val="pt-BR"/>
        </w:rPr>
        <w:t xml:space="preserve">programa nacional de </w:t>
      </w:r>
      <w:r w:rsidR="00470ADC" w:rsidRPr="00D5464D">
        <w:rPr>
          <w:rFonts w:cs="Arial"/>
          <w:iCs/>
          <w:szCs w:val="20"/>
          <w:lang w:val="pt-BR"/>
        </w:rPr>
        <w:t>acesso</w:t>
      </w:r>
      <w:r w:rsidR="00E045D9" w:rsidRPr="00D5464D">
        <w:rPr>
          <w:rFonts w:cs="Arial"/>
          <w:iCs/>
          <w:szCs w:val="20"/>
          <w:lang w:val="pt-BR"/>
        </w:rPr>
        <w:t xml:space="preserve"> </w:t>
      </w:r>
      <w:r w:rsidR="00F9314F" w:rsidRPr="00D5464D">
        <w:rPr>
          <w:rFonts w:cs="Arial"/>
          <w:iCs/>
          <w:szCs w:val="20"/>
          <w:lang w:val="pt-BR"/>
        </w:rPr>
        <w:t>ao</w:t>
      </w:r>
      <w:r w:rsidR="00FF1290" w:rsidRPr="00D5464D">
        <w:rPr>
          <w:rFonts w:cs="Arial"/>
          <w:iCs/>
          <w:szCs w:val="20"/>
          <w:lang w:val="pt-BR"/>
        </w:rPr>
        <w:t xml:space="preserve"> </w:t>
      </w:r>
      <w:r w:rsidR="00470ADC" w:rsidRPr="00D5464D">
        <w:rPr>
          <w:rFonts w:cs="Arial"/>
          <w:iCs/>
          <w:szCs w:val="20"/>
          <w:lang w:val="pt-BR"/>
        </w:rPr>
        <w:t>ensino</w:t>
      </w:r>
      <w:r w:rsidR="004B0842" w:rsidRPr="00D5464D">
        <w:rPr>
          <w:rFonts w:cs="Arial"/>
          <w:iCs/>
          <w:szCs w:val="20"/>
          <w:lang w:val="pt-BR"/>
        </w:rPr>
        <w:t xml:space="preserve"> técnic</w:t>
      </w:r>
      <w:r w:rsidRPr="00D5464D">
        <w:rPr>
          <w:rFonts w:cs="Arial"/>
          <w:iCs/>
          <w:szCs w:val="20"/>
          <w:lang w:val="pt-BR"/>
        </w:rPr>
        <w:t>o</w:t>
      </w:r>
      <w:r w:rsidR="00E045D9" w:rsidRPr="00D5464D">
        <w:rPr>
          <w:rFonts w:cs="Arial"/>
          <w:iCs/>
          <w:szCs w:val="20"/>
          <w:lang w:val="pt-BR"/>
        </w:rPr>
        <w:t xml:space="preserve"> e </w:t>
      </w:r>
      <w:r w:rsidR="00A1358C" w:rsidRPr="00D5464D">
        <w:rPr>
          <w:rFonts w:cs="Arial"/>
          <w:iCs/>
          <w:szCs w:val="20"/>
          <w:lang w:val="pt-BR"/>
        </w:rPr>
        <w:t>emprego</w:t>
      </w:r>
      <w:r w:rsidR="004B0842" w:rsidRPr="00D5464D">
        <w:rPr>
          <w:rFonts w:cs="Arial"/>
          <w:iCs/>
          <w:szCs w:val="20"/>
          <w:lang w:val="pt-BR"/>
        </w:rPr>
        <w:t xml:space="preserve">, </w:t>
      </w:r>
      <w:r w:rsidRPr="00D5464D">
        <w:rPr>
          <w:rFonts w:cs="Arial"/>
          <w:iCs/>
          <w:szCs w:val="20"/>
          <w:lang w:val="pt-BR"/>
        </w:rPr>
        <w:t xml:space="preserve">bem </w:t>
      </w:r>
      <w:r w:rsidR="004B0842" w:rsidRPr="00D5464D">
        <w:rPr>
          <w:rFonts w:cs="Arial"/>
          <w:iCs/>
          <w:szCs w:val="20"/>
          <w:lang w:val="pt-BR"/>
        </w:rPr>
        <w:t>como</w:t>
      </w:r>
      <w:r w:rsidR="00470ADC" w:rsidRPr="00D5464D">
        <w:rPr>
          <w:rFonts w:cs="Arial"/>
          <w:iCs/>
          <w:szCs w:val="20"/>
          <w:lang w:val="pt-BR"/>
        </w:rPr>
        <w:t xml:space="preserve"> o </w:t>
      </w:r>
      <w:r w:rsidR="004B0842" w:rsidRPr="00D5464D">
        <w:rPr>
          <w:rFonts w:cs="Arial"/>
          <w:iCs/>
          <w:szCs w:val="20"/>
          <w:lang w:val="pt-BR"/>
        </w:rPr>
        <w:t>prestigiado Programa de Erradica</w:t>
      </w:r>
      <w:r w:rsidR="00470ADC" w:rsidRPr="00D5464D">
        <w:rPr>
          <w:rFonts w:cs="Arial"/>
          <w:iCs/>
          <w:szCs w:val="20"/>
          <w:lang w:val="pt-BR"/>
        </w:rPr>
        <w:t>ção</w:t>
      </w:r>
      <w:r w:rsidR="004B0842" w:rsidRPr="00D5464D">
        <w:rPr>
          <w:rFonts w:cs="Arial"/>
          <w:iCs/>
          <w:szCs w:val="20"/>
          <w:lang w:val="pt-BR"/>
        </w:rPr>
        <w:t xml:space="preserve"> d</w:t>
      </w:r>
      <w:r w:rsidRPr="00D5464D">
        <w:rPr>
          <w:rFonts w:cs="Arial"/>
          <w:iCs/>
          <w:szCs w:val="20"/>
          <w:lang w:val="pt-BR"/>
        </w:rPr>
        <w:t>o</w:t>
      </w:r>
      <w:r w:rsidR="004B0842" w:rsidRPr="00D5464D">
        <w:rPr>
          <w:rFonts w:cs="Arial"/>
          <w:iCs/>
          <w:szCs w:val="20"/>
          <w:lang w:val="pt-BR"/>
        </w:rPr>
        <w:t xml:space="preserve"> </w:t>
      </w:r>
      <w:r w:rsidR="00E045D9" w:rsidRPr="00D5464D">
        <w:rPr>
          <w:rFonts w:cs="Arial"/>
          <w:iCs/>
          <w:szCs w:val="20"/>
          <w:lang w:val="pt-BR"/>
        </w:rPr>
        <w:t>Trabalho</w:t>
      </w:r>
      <w:r w:rsidR="004B0842" w:rsidRPr="00D5464D">
        <w:rPr>
          <w:rFonts w:cs="Arial"/>
          <w:iCs/>
          <w:szCs w:val="20"/>
          <w:lang w:val="pt-BR"/>
        </w:rPr>
        <w:t xml:space="preserve"> Infantil (PETI)</w:t>
      </w:r>
      <w:r w:rsidR="00A1358C" w:rsidRPr="00D5464D">
        <w:rPr>
          <w:rFonts w:cs="Arial"/>
          <w:iCs/>
          <w:szCs w:val="20"/>
          <w:lang w:val="pt-BR"/>
        </w:rPr>
        <w:t xml:space="preserve">. O </w:t>
      </w:r>
      <w:r w:rsidR="00470ADC" w:rsidRPr="00D5464D">
        <w:rPr>
          <w:rFonts w:cs="Arial"/>
          <w:iCs/>
          <w:szCs w:val="20"/>
          <w:lang w:val="pt-BR"/>
        </w:rPr>
        <w:t>desenvolvimento</w:t>
      </w:r>
      <w:r w:rsidR="004B0842" w:rsidRPr="00D5464D">
        <w:rPr>
          <w:rFonts w:cs="Arial"/>
          <w:iCs/>
          <w:szCs w:val="20"/>
          <w:lang w:val="pt-BR"/>
        </w:rPr>
        <w:t xml:space="preserve"> </w:t>
      </w:r>
      <w:r w:rsidR="00E045D9" w:rsidRPr="00D5464D">
        <w:rPr>
          <w:rFonts w:cs="Arial"/>
          <w:iCs/>
          <w:szCs w:val="20"/>
          <w:lang w:val="pt-BR"/>
        </w:rPr>
        <w:t>desta</w:t>
      </w:r>
      <w:r w:rsidR="004B0842" w:rsidRPr="00D5464D">
        <w:rPr>
          <w:rFonts w:cs="Arial"/>
          <w:iCs/>
          <w:szCs w:val="20"/>
          <w:lang w:val="pt-BR"/>
        </w:rPr>
        <w:t xml:space="preserve">s políticas </w:t>
      </w:r>
      <w:r w:rsidR="002C330E" w:rsidRPr="00D5464D">
        <w:rPr>
          <w:rFonts w:cs="Arial"/>
          <w:iCs/>
          <w:szCs w:val="20"/>
          <w:lang w:val="pt-BR"/>
        </w:rPr>
        <w:t>sociais</w:t>
      </w:r>
      <w:r w:rsidR="004B0842" w:rsidRPr="00D5464D">
        <w:rPr>
          <w:rFonts w:cs="Arial"/>
          <w:iCs/>
          <w:szCs w:val="20"/>
          <w:lang w:val="pt-BR"/>
        </w:rPr>
        <w:t xml:space="preserve"> </w:t>
      </w:r>
      <w:r w:rsidR="00737270" w:rsidRPr="00D5464D">
        <w:rPr>
          <w:rFonts w:cs="Arial"/>
          <w:iCs/>
          <w:szCs w:val="20"/>
          <w:lang w:val="pt-BR"/>
        </w:rPr>
        <w:t>contribui</w:t>
      </w:r>
      <w:r w:rsidRPr="00D5464D">
        <w:rPr>
          <w:rFonts w:cs="Arial"/>
          <w:iCs/>
          <w:szCs w:val="20"/>
          <w:lang w:val="pt-BR"/>
        </w:rPr>
        <w:t xml:space="preserve">u </w:t>
      </w:r>
      <w:r w:rsidR="00F9314F" w:rsidRPr="00D5464D">
        <w:rPr>
          <w:rFonts w:cs="Arial"/>
          <w:iCs/>
          <w:szCs w:val="20"/>
          <w:lang w:val="pt-BR"/>
        </w:rPr>
        <w:t>par</w:t>
      </w:r>
      <w:r w:rsidR="004B0842" w:rsidRPr="00D5464D">
        <w:rPr>
          <w:rFonts w:cs="Arial"/>
          <w:iCs/>
          <w:szCs w:val="20"/>
          <w:lang w:val="pt-BR"/>
        </w:rPr>
        <w:t xml:space="preserve">a que </w:t>
      </w:r>
      <w:r w:rsidRPr="00D5464D">
        <w:rPr>
          <w:rFonts w:cs="Arial"/>
          <w:iCs/>
          <w:szCs w:val="20"/>
          <w:lang w:val="pt-BR"/>
        </w:rPr>
        <w:t xml:space="preserve">o </w:t>
      </w:r>
      <w:r w:rsidR="004B0842" w:rsidRPr="00D5464D">
        <w:rPr>
          <w:rFonts w:cs="Arial"/>
          <w:iCs/>
          <w:szCs w:val="20"/>
          <w:lang w:val="pt-BR"/>
        </w:rPr>
        <w:t xml:space="preserve">Brasil </w:t>
      </w:r>
      <w:r w:rsidR="00470ADC" w:rsidRPr="00D5464D">
        <w:rPr>
          <w:rFonts w:cs="Arial"/>
          <w:iCs/>
          <w:szCs w:val="20"/>
          <w:lang w:val="pt-BR"/>
        </w:rPr>
        <w:t>fo</w:t>
      </w:r>
      <w:r w:rsidRPr="00D5464D">
        <w:rPr>
          <w:rFonts w:cs="Arial"/>
          <w:iCs/>
          <w:szCs w:val="20"/>
          <w:lang w:val="pt-BR"/>
        </w:rPr>
        <w:t>sse</w:t>
      </w:r>
      <w:r w:rsidR="004B0842" w:rsidRPr="00D5464D">
        <w:rPr>
          <w:rFonts w:cs="Arial"/>
          <w:iCs/>
          <w:szCs w:val="20"/>
          <w:lang w:val="pt-BR"/>
        </w:rPr>
        <w:t xml:space="preserve"> retirado </w:t>
      </w:r>
      <w:r w:rsidR="00470ADC" w:rsidRPr="00D5464D">
        <w:rPr>
          <w:rFonts w:cs="Arial"/>
          <w:iCs/>
          <w:szCs w:val="20"/>
          <w:lang w:val="pt-BR"/>
        </w:rPr>
        <w:t xml:space="preserve">do </w:t>
      </w:r>
      <w:r w:rsidR="004B0842" w:rsidRPr="00D5464D">
        <w:rPr>
          <w:rFonts w:cs="Arial"/>
          <w:iCs/>
          <w:szCs w:val="20"/>
          <w:lang w:val="pt-BR"/>
        </w:rPr>
        <w:t>Mapa d</w:t>
      </w:r>
      <w:r w:rsidRPr="00D5464D">
        <w:rPr>
          <w:rFonts w:cs="Arial"/>
          <w:iCs/>
          <w:szCs w:val="20"/>
          <w:lang w:val="pt-BR"/>
        </w:rPr>
        <w:t>a</w:t>
      </w:r>
      <w:r w:rsidR="004B0842" w:rsidRPr="00D5464D">
        <w:rPr>
          <w:rFonts w:cs="Arial"/>
          <w:iCs/>
          <w:szCs w:val="20"/>
          <w:lang w:val="pt-BR"/>
        </w:rPr>
        <w:t xml:space="preserve"> </w:t>
      </w:r>
      <w:r w:rsidR="00350187" w:rsidRPr="00D5464D">
        <w:rPr>
          <w:rFonts w:cs="Arial"/>
          <w:iCs/>
          <w:szCs w:val="20"/>
          <w:lang w:val="pt-BR"/>
        </w:rPr>
        <w:t>Fome</w:t>
      </w:r>
      <w:r w:rsidR="00470ADC" w:rsidRPr="00D5464D">
        <w:rPr>
          <w:rFonts w:cs="Arial"/>
          <w:iCs/>
          <w:szCs w:val="20"/>
          <w:lang w:val="pt-BR"/>
        </w:rPr>
        <w:t xml:space="preserve"> da </w:t>
      </w:r>
      <w:r w:rsidR="004B0842" w:rsidRPr="00D5464D">
        <w:rPr>
          <w:rFonts w:cs="Arial"/>
          <w:iCs/>
          <w:szCs w:val="20"/>
          <w:lang w:val="pt-BR"/>
        </w:rPr>
        <w:t>Organiza</w:t>
      </w:r>
      <w:r w:rsidR="00470ADC" w:rsidRPr="00D5464D">
        <w:rPr>
          <w:rFonts w:cs="Arial"/>
          <w:iCs/>
          <w:szCs w:val="20"/>
          <w:lang w:val="pt-BR"/>
        </w:rPr>
        <w:t xml:space="preserve">ção das </w:t>
      </w:r>
      <w:r w:rsidR="004B0842" w:rsidRPr="00D5464D">
        <w:rPr>
          <w:rFonts w:cs="Arial"/>
          <w:iCs/>
          <w:szCs w:val="20"/>
          <w:lang w:val="pt-BR"/>
        </w:rPr>
        <w:t>Na</w:t>
      </w:r>
      <w:r w:rsidR="00470ADC" w:rsidRPr="00D5464D">
        <w:rPr>
          <w:rFonts w:cs="Arial"/>
          <w:iCs/>
          <w:szCs w:val="20"/>
          <w:lang w:val="pt-BR"/>
        </w:rPr>
        <w:t>ções</w:t>
      </w:r>
      <w:r w:rsidR="004B0842" w:rsidRPr="00D5464D">
        <w:rPr>
          <w:rFonts w:cs="Arial"/>
          <w:iCs/>
          <w:szCs w:val="20"/>
          <w:lang w:val="pt-BR"/>
        </w:rPr>
        <w:t xml:space="preserve"> Unidas para</w:t>
      </w:r>
      <w:r w:rsidR="002C330E" w:rsidRPr="00D5464D">
        <w:rPr>
          <w:rFonts w:cs="Arial"/>
          <w:iCs/>
          <w:szCs w:val="20"/>
          <w:lang w:val="pt-BR"/>
        </w:rPr>
        <w:t xml:space="preserve"> a </w:t>
      </w:r>
      <w:r w:rsidR="004B0842" w:rsidRPr="00D5464D">
        <w:rPr>
          <w:rFonts w:cs="Arial"/>
          <w:iCs/>
          <w:szCs w:val="20"/>
          <w:lang w:val="pt-BR"/>
        </w:rPr>
        <w:t>Alimenta</w:t>
      </w:r>
      <w:r w:rsidR="00470ADC" w:rsidRPr="00D5464D">
        <w:rPr>
          <w:rFonts w:cs="Arial"/>
          <w:iCs/>
          <w:szCs w:val="20"/>
          <w:lang w:val="pt-BR"/>
        </w:rPr>
        <w:t>ção</w:t>
      </w:r>
      <w:r w:rsidR="00E045D9" w:rsidRPr="00D5464D">
        <w:rPr>
          <w:rFonts w:cs="Arial"/>
          <w:iCs/>
          <w:szCs w:val="20"/>
          <w:lang w:val="pt-BR"/>
        </w:rPr>
        <w:t xml:space="preserve"> e </w:t>
      </w:r>
      <w:r w:rsidR="002C330E" w:rsidRPr="00D5464D">
        <w:rPr>
          <w:rFonts w:cs="Arial"/>
          <w:iCs/>
          <w:szCs w:val="20"/>
          <w:lang w:val="pt-BR"/>
        </w:rPr>
        <w:t xml:space="preserve">a </w:t>
      </w:r>
      <w:r w:rsidR="004B0842" w:rsidRPr="00D5464D">
        <w:rPr>
          <w:rFonts w:cs="Arial"/>
          <w:iCs/>
          <w:szCs w:val="20"/>
          <w:lang w:val="pt-BR"/>
        </w:rPr>
        <w:t>Agricultura (FAO)</w:t>
      </w:r>
      <w:r w:rsidR="00470ADC" w:rsidRPr="00D5464D">
        <w:rPr>
          <w:rFonts w:cs="Arial"/>
          <w:iCs/>
          <w:szCs w:val="20"/>
          <w:lang w:val="pt-BR"/>
        </w:rPr>
        <w:t xml:space="preserve"> em </w:t>
      </w:r>
      <w:r w:rsidR="004B0842" w:rsidRPr="00D5464D">
        <w:rPr>
          <w:rFonts w:cs="Arial"/>
          <w:iCs/>
          <w:szCs w:val="20"/>
          <w:lang w:val="pt-BR"/>
        </w:rPr>
        <w:t>2014</w:t>
      </w:r>
      <w:r w:rsidR="00470ADC" w:rsidRPr="00D5464D">
        <w:rPr>
          <w:rFonts w:cs="Arial"/>
          <w:iCs/>
          <w:szCs w:val="20"/>
          <w:lang w:val="pt-BR"/>
        </w:rPr>
        <w:t>, e</w:t>
      </w:r>
      <w:r w:rsidR="004B0842" w:rsidRPr="00D5464D">
        <w:rPr>
          <w:rFonts w:cs="Arial"/>
          <w:iCs/>
          <w:szCs w:val="20"/>
          <w:lang w:val="pt-BR"/>
        </w:rPr>
        <w:t xml:space="preserve"> </w:t>
      </w:r>
    </w:p>
    <w:p w14:paraId="7BEED728" w14:textId="36C96797" w:rsidR="004B0842" w:rsidRPr="00D5464D" w:rsidRDefault="004B0842" w:rsidP="00F306D7">
      <w:pPr>
        <w:pStyle w:val="Prrafodelista"/>
        <w:numPr>
          <w:ilvl w:val="0"/>
          <w:numId w:val="12"/>
        </w:numPr>
        <w:autoSpaceDE w:val="0"/>
        <w:autoSpaceDN w:val="0"/>
        <w:adjustRightInd w:val="0"/>
        <w:ind w:hanging="11"/>
        <w:contextualSpacing w:val="0"/>
        <w:rPr>
          <w:rFonts w:cs="Arial"/>
          <w:iCs/>
          <w:szCs w:val="20"/>
          <w:lang w:val="pt-BR"/>
        </w:rPr>
      </w:pPr>
      <w:r w:rsidRPr="00D5464D">
        <w:rPr>
          <w:rFonts w:cs="Arial"/>
          <w:iCs/>
          <w:szCs w:val="20"/>
          <w:lang w:val="pt-BR"/>
        </w:rPr>
        <w:t>Consta</w:t>
      </w:r>
      <w:r w:rsidR="00E045D9" w:rsidRPr="00D5464D">
        <w:rPr>
          <w:rFonts w:cs="Arial"/>
          <w:iCs/>
          <w:szCs w:val="20"/>
          <w:lang w:val="pt-BR"/>
        </w:rPr>
        <w:t xml:space="preserve"> no</w:t>
      </w:r>
      <w:r w:rsidR="00AC6313" w:rsidRPr="00D5464D">
        <w:rPr>
          <w:rFonts w:cs="Arial"/>
          <w:iCs/>
          <w:szCs w:val="20"/>
          <w:lang w:val="pt-BR"/>
        </w:rPr>
        <w:t xml:space="preserve">s autos </w:t>
      </w:r>
      <w:r w:rsidRPr="00D5464D">
        <w:rPr>
          <w:rFonts w:cs="Arial"/>
          <w:iCs/>
          <w:szCs w:val="20"/>
          <w:lang w:val="pt-BR"/>
        </w:rPr>
        <w:t>informa</w:t>
      </w:r>
      <w:r w:rsidR="00470ADC" w:rsidRPr="00D5464D">
        <w:rPr>
          <w:rFonts w:cs="Arial"/>
          <w:iCs/>
          <w:szCs w:val="20"/>
          <w:lang w:val="pt-BR"/>
        </w:rPr>
        <w:t>ção</w:t>
      </w:r>
      <w:r w:rsidRPr="00D5464D">
        <w:rPr>
          <w:rFonts w:cs="Arial"/>
          <w:iCs/>
          <w:szCs w:val="20"/>
          <w:lang w:val="pt-BR"/>
        </w:rPr>
        <w:t xml:space="preserve"> sobre mecanismos de coopera</w:t>
      </w:r>
      <w:r w:rsidR="00470ADC" w:rsidRPr="00D5464D">
        <w:rPr>
          <w:rFonts w:cs="Arial"/>
          <w:iCs/>
          <w:szCs w:val="20"/>
          <w:lang w:val="pt-BR"/>
        </w:rPr>
        <w:t>ção</w:t>
      </w:r>
      <w:r w:rsidRPr="00D5464D">
        <w:rPr>
          <w:rFonts w:cs="Arial"/>
          <w:iCs/>
          <w:szCs w:val="20"/>
          <w:lang w:val="pt-BR"/>
        </w:rPr>
        <w:t xml:space="preserve"> técnica para </w:t>
      </w:r>
      <w:r w:rsidR="00A1358C" w:rsidRPr="00D5464D">
        <w:rPr>
          <w:rFonts w:cs="Arial"/>
          <w:iCs/>
          <w:szCs w:val="20"/>
          <w:lang w:val="pt-BR"/>
        </w:rPr>
        <w:t>ampliar</w:t>
      </w:r>
      <w:r w:rsidR="00E045D9" w:rsidRPr="00D5464D">
        <w:rPr>
          <w:rFonts w:cs="Arial"/>
          <w:iCs/>
          <w:szCs w:val="20"/>
          <w:lang w:val="pt-BR"/>
        </w:rPr>
        <w:t xml:space="preserve"> e </w:t>
      </w:r>
      <w:r w:rsidRPr="00D5464D">
        <w:rPr>
          <w:rFonts w:cs="Arial"/>
          <w:iCs/>
          <w:szCs w:val="20"/>
          <w:lang w:val="pt-BR"/>
        </w:rPr>
        <w:t>fortalecer</w:t>
      </w:r>
      <w:r w:rsidR="002C330E" w:rsidRPr="00D5464D">
        <w:rPr>
          <w:rFonts w:cs="Arial"/>
          <w:iCs/>
          <w:szCs w:val="20"/>
          <w:lang w:val="pt-BR"/>
        </w:rPr>
        <w:t xml:space="preserve"> as </w:t>
      </w:r>
      <w:r w:rsidR="00470ADC" w:rsidRPr="00D5464D">
        <w:rPr>
          <w:rFonts w:cs="Arial"/>
          <w:iCs/>
          <w:szCs w:val="20"/>
          <w:lang w:val="pt-BR"/>
        </w:rPr>
        <w:t xml:space="preserve">ações em </w:t>
      </w:r>
      <w:r w:rsidRPr="00D5464D">
        <w:rPr>
          <w:rFonts w:cs="Arial"/>
          <w:iCs/>
          <w:szCs w:val="20"/>
          <w:lang w:val="pt-BR"/>
        </w:rPr>
        <w:t>todo</w:t>
      </w:r>
      <w:r w:rsidR="00470ADC" w:rsidRPr="00D5464D">
        <w:rPr>
          <w:rFonts w:cs="Arial"/>
          <w:iCs/>
          <w:szCs w:val="20"/>
          <w:lang w:val="pt-BR"/>
        </w:rPr>
        <w:t xml:space="preserve"> o </w:t>
      </w:r>
      <w:r w:rsidRPr="00D5464D">
        <w:rPr>
          <w:rFonts w:cs="Arial"/>
          <w:iCs/>
          <w:szCs w:val="20"/>
          <w:lang w:val="pt-BR"/>
        </w:rPr>
        <w:t>país, entre</w:t>
      </w:r>
      <w:r w:rsidR="002C330E" w:rsidRPr="00D5464D">
        <w:rPr>
          <w:rFonts w:cs="Arial"/>
          <w:iCs/>
          <w:szCs w:val="20"/>
          <w:lang w:val="pt-BR"/>
        </w:rPr>
        <w:t xml:space="preserve"> os </w:t>
      </w:r>
      <w:r w:rsidR="00EB1CE9" w:rsidRPr="00D5464D">
        <w:rPr>
          <w:rFonts w:cs="Arial"/>
          <w:iCs/>
          <w:szCs w:val="20"/>
          <w:lang w:val="pt-BR"/>
        </w:rPr>
        <w:t>representante</w:t>
      </w:r>
      <w:r w:rsidRPr="00D5464D">
        <w:rPr>
          <w:rFonts w:cs="Arial"/>
          <w:iCs/>
          <w:szCs w:val="20"/>
          <w:lang w:val="pt-BR"/>
        </w:rPr>
        <w:t xml:space="preserve">s </w:t>
      </w:r>
      <w:r w:rsidR="00470ADC" w:rsidRPr="00D5464D">
        <w:rPr>
          <w:rFonts w:cs="Arial"/>
          <w:iCs/>
          <w:szCs w:val="20"/>
          <w:lang w:val="pt-BR"/>
        </w:rPr>
        <w:t>do Conselho</w:t>
      </w:r>
      <w:r w:rsidRPr="00D5464D">
        <w:rPr>
          <w:rFonts w:cs="Arial"/>
          <w:iCs/>
          <w:szCs w:val="20"/>
          <w:lang w:val="pt-BR"/>
        </w:rPr>
        <w:t xml:space="preserve"> Nacional de </w:t>
      </w:r>
      <w:r w:rsidR="002C330E" w:rsidRPr="00D5464D">
        <w:rPr>
          <w:rFonts w:cs="Arial"/>
          <w:iCs/>
          <w:szCs w:val="20"/>
          <w:lang w:val="pt-BR"/>
        </w:rPr>
        <w:t>Justiça</w:t>
      </w:r>
      <w:r w:rsidRPr="00D5464D">
        <w:rPr>
          <w:rFonts w:cs="Arial"/>
          <w:iCs/>
          <w:szCs w:val="20"/>
          <w:lang w:val="pt-BR"/>
        </w:rPr>
        <w:t>,</w:t>
      </w:r>
      <w:r w:rsidR="002C330E" w:rsidRPr="00D5464D">
        <w:rPr>
          <w:rFonts w:cs="Arial"/>
          <w:iCs/>
          <w:szCs w:val="20"/>
          <w:lang w:val="pt-BR"/>
        </w:rPr>
        <w:t xml:space="preserve"> </w:t>
      </w:r>
      <w:r w:rsidR="00AC6313" w:rsidRPr="00D5464D">
        <w:rPr>
          <w:rFonts w:cs="Arial"/>
          <w:iCs/>
          <w:szCs w:val="20"/>
          <w:lang w:val="pt-BR"/>
        </w:rPr>
        <w:t>d</w:t>
      </w:r>
      <w:r w:rsidR="002C330E" w:rsidRPr="00D5464D">
        <w:rPr>
          <w:rFonts w:cs="Arial"/>
          <w:iCs/>
          <w:szCs w:val="20"/>
          <w:lang w:val="pt-BR"/>
        </w:rPr>
        <w:t xml:space="preserve">a </w:t>
      </w:r>
      <w:r w:rsidRPr="00D5464D">
        <w:rPr>
          <w:rFonts w:cs="Arial"/>
          <w:iCs/>
          <w:szCs w:val="20"/>
          <w:lang w:val="pt-BR"/>
        </w:rPr>
        <w:t>OIT,</w:t>
      </w:r>
      <w:r w:rsidR="00470ADC" w:rsidRPr="00D5464D">
        <w:rPr>
          <w:rFonts w:cs="Arial"/>
          <w:iCs/>
          <w:szCs w:val="20"/>
          <w:lang w:val="pt-BR"/>
        </w:rPr>
        <w:t xml:space="preserve"> </w:t>
      </w:r>
      <w:r w:rsidR="00AC6313" w:rsidRPr="00D5464D">
        <w:rPr>
          <w:rFonts w:cs="Arial"/>
          <w:iCs/>
          <w:szCs w:val="20"/>
          <w:lang w:val="pt-BR"/>
        </w:rPr>
        <w:t>d</w:t>
      </w:r>
      <w:r w:rsidR="00470ADC" w:rsidRPr="00D5464D">
        <w:rPr>
          <w:rFonts w:cs="Arial"/>
          <w:iCs/>
          <w:szCs w:val="20"/>
          <w:lang w:val="pt-BR"/>
        </w:rPr>
        <w:t xml:space="preserve">o </w:t>
      </w:r>
      <w:r w:rsidR="002C330E" w:rsidRPr="00D5464D">
        <w:rPr>
          <w:rFonts w:cs="Arial"/>
          <w:iCs/>
          <w:szCs w:val="20"/>
          <w:lang w:val="pt-BR"/>
        </w:rPr>
        <w:t>Ministério</w:t>
      </w:r>
      <w:r w:rsidRPr="00D5464D">
        <w:rPr>
          <w:rFonts w:cs="Arial"/>
          <w:iCs/>
          <w:szCs w:val="20"/>
          <w:lang w:val="pt-BR"/>
        </w:rPr>
        <w:t xml:space="preserve"> Público </w:t>
      </w:r>
      <w:r w:rsidR="00470ADC" w:rsidRPr="00D5464D">
        <w:rPr>
          <w:rFonts w:cs="Arial"/>
          <w:iCs/>
          <w:szCs w:val="20"/>
          <w:lang w:val="pt-BR"/>
        </w:rPr>
        <w:t xml:space="preserve">do </w:t>
      </w:r>
      <w:r w:rsidR="00E045D9" w:rsidRPr="00D5464D">
        <w:rPr>
          <w:rFonts w:cs="Arial"/>
          <w:iCs/>
          <w:szCs w:val="20"/>
          <w:lang w:val="pt-BR"/>
        </w:rPr>
        <w:t>Trabalho</w:t>
      </w:r>
      <w:r w:rsidRPr="00D5464D">
        <w:rPr>
          <w:rFonts w:cs="Arial"/>
          <w:iCs/>
          <w:szCs w:val="20"/>
          <w:lang w:val="pt-BR"/>
        </w:rPr>
        <w:t>,</w:t>
      </w:r>
      <w:r w:rsidR="00470ADC" w:rsidRPr="00D5464D">
        <w:rPr>
          <w:rFonts w:cs="Arial"/>
          <w:iCs/>
          <w:szCs w:val="20"/>
          <w:lang w:val="pt-BR"/>
        </w:rPr>
        <w:t xml:space="preserve"> </w:t>
      </w:r>
      <w:r w:rsidR="00AC6313" w:rsidRPr="00D5464D">
        <w:rPr>
          <w:rFonts w:cs="Arial"/>
          <w:iCs/>
          <w:szCs w:val="20"/>
          <w:lang w:val="pt-BR"/>
        </w:rPr>
        <w:t>d</w:t>
      </w:r>
      <w:r w:rsidR="00470ADC" w:rsidRPr="00D5464D">
        <w:rPr>
          <w:rFonts w:cs="Arial"/>
          <w:iCs/>
          <w:szCs w:val="20"/>
          <w:lang w:val="pt-BR"/>
        </w:rPr>
        <w:t xml:space="preserve">o </w:t>
      </w:r>
      <w:r w:rsidR="002C330E" w:rsidRPr="00D5464D">
        <w:rPr>
          <w:rFonts w:cs="Arial"/>
          <w:iCs/>
          <w:szCs w:val="20"/>
          <w:lang w:val="pt-BR"/>
        </w:rPr>
        <w:t>Ministério</w:t>
      </w:r>
      <w:r w:rsidRPr="00D5464D">
        <w:rPr>
          <w:rFonts w:cs="Arial"/>
          <w:iCs/>
          <w:szCs w:val="20"/>
          <w:lang w:val="pt-BR"/>
        </w:rPr>
        <w:t xml:space="preserve"> Público Federal,</w:t>
      </w:r>
      <w:r w:rsidR="00470ADC" w:rsidRPr="00D5464D">
        <w:rPr>
          <w:rFonts w:cs="Arial"/>
          <w:iCs/>
          <w:szCs w:val="20"/>
          <w:lang w:val="pt-BR"/>
        </w:rPr>
        <w:t xml:space="preserve"> </w:t>
      </w:r>
      <w:r w:rsidR="00AC6313" w:rsidRPr="00D5464D">
        <w:rPr>
          <w:rFonts w:cs="Arial"/>
          <w:iCs/>
          <w:szCs w:val="20"/>
          <w:lang w:val="pt-BR"/>
        </w:rPr>
        <w:t>d</w:t>
      </w:r>
      <w:r w:rsidR="00470ADC" w:rsidRPr="00D5464D">
        <w:rPr>
          <w:rFonts w:cs="Arial"/>
          <w:iCs/>
          <w:szCs w:val="20"/>
          <w:lang w:val="pt-BR"/>
        </w:rPr>
        <w:t xml:space="preserve">o </w:t>
      </w:r>
      <w:r w:rsidR="00AF0F26" w:rsidRPr="00D5464D">
        <w:rPr>
          <w:rFonts w:cs="Arial"/>
          <w:iCs/>
          <w:szCs w:val="20"/>
          <w:lang w:val="pt-BR"/>
        </w:rPr>
        <w:t>Ministério do Trabalho</w:t>
      </w:r>
      <w:r w:rsidR="00E045D9" w:rsidRPr="00D5464D">
        <w:rPr>
          <w:rFonts w:cs="Arial"/>
          <w:iCs/>
          <w:szCs w:val="20"/>
          <w:lang w:val="pt-BR"/>
        </w:rPr>
        <w:t xml:space="preserve"> e </w:t>
      </w:r>
      <w:r w:rsidR="00A1358C" w:rsidRPr="00D5464D">
        <w:rPr>
          <w:rFonts w:cs="Arial"/>
          <w:iCs/>
          <w:szCs w:val="20"/>
          <w:lang w:val="pt-BR"/>
        </w:rPr>
        <w:t>Emprego</w:t>
      </w:r>
      <w:r w:rsidRPr="00D5464D">
        <w:rPr>
          <w:rFonts w:cs="Arial"/>
          <w:iCs/>
          <w:szCs w:val="20"/>
          <w:lang w:val="pt-BR"/>
        </w:rPr>
        <w:t>,</w:t>
      </w:r>
      <w:r w:rsidR="00470ADC" w:rsidRPr="00D5464D">
        <w:rPr>
          <w:rFonts w:cs="Arial"/>
          <w:iCs/>
          <w:szCs w:val="20"/>
          <w:lang w:val="pt-BR"/>
        </w:rPr>
        <w:t xml:space="preserve"> </w:t>
      </w:r>
      <w:r w:rsidR="00AC6313" w:rsidRPr="00D5464D">
        <w:rPr>
          <w:rFonts w:cs="Arial"/>
          <w:iCs/>
          <w:szCs w:val="20"/>
          <w:lang w:val="pt-BR"/>
        </w:rPr>
        <w:t>d</w:t>
      </w:r>
      <w:r w:rsidR="00470ADC" w:rsidRPr="00D5464D">
        <w:rPr>
          <w:rFonts w:cs="Arial"/>
          <w:iCs/>
          <w:szCs w:val="20"/>
          <w:lang w:val="pt-BR"/>
        </w:rPr>
        <w:t xml:space="preserve">o </w:t>
      </w:r>
      <w:r w:rsidRPr="00D5464D">
        <w:rPr>
          <w:rFonts w:cs="Arial"/>
          <w:iCs/>
          <w:szCs w:val="20"/>
          <w:lang w:val="pt-BR"/>
        </w:rPr>
        <w:t xml:space="preserve">Tribunal Superior de </w:t>
      </w:r>
      <w:r w:rsidR="00E045D9" w:rsidRPr="00D5464D">
        <w:rPr>
          <w:rFonts w:cs="Arial"/>
          <w:iCs/>
          <w:szCs w:val="20"/>
          <w:lang w:val="pt-BR"/>
        </w:rPr>
        <w:t>Trabalho</w:t>
      </w:r>
      <w:r w:rsidRPr="00D5464D">
        <w:rPr>
          <w:rFonts w:cs="Arial"/>
          <w:iCs/>
          <w:szCs w:val="20"/>
          <w:lang w:val="pt-BR"/>
        </w:rPr>
        <w:t>,</w:t>
      </w:r>
      <w:r w:rsidR="002C330E" w:rsidRPr="00D5464D">
        <w:rPr>
          <w:rFonts w:cs="Arial"/>
          <w:iCs/>
          <w:szCs w:val="20"/>
          <w:lang w:val="pt-BR"/>
        </w:rPr>
        <w:t xml:space="preserve"> </w:t>
      </w:r>
      <w:r w:rsidR="00AC6313" w:rsidRPr="00D5464D">
        <w:rPr>
          <w:rFonts w:cs="Arial"/>
          <w:iCs/>
          <w:szCs w:val="20"/>
          <w:lang w:val="pt-BR"/>
        </w:rPr>
        <w:t>d</w:t>
      </w:r>
      <w:r w:rsidR="002C330E" w:rsidRPr="00D5464D">
        <w:rPr>
          <w:rFonts w:cs="Arial"/>
          <w:iCs/>
          <w:szCs w:val="20"/>
          <w:lang w:val="pt-BR"/>
        </w:rPr>
        <w:t xml:space="preserve">a Secretaria </w:t>
      </w:r>
      <w:r w:rsidRPr="00D5464D">
        <w:rPr>
          <w:rFonts w:cs="Arial"/>
          <w:iCs/>
          <w:szCs w:val="20"/>
          <w:lang w:val="pt-BR"/>
        </w:rPr>
        <w:t xml:space="preserve">de </w:t>
      </w:r>
      <w:r w:rsidR="00470ADC" w:rsidRPr="00D5464D">
        <w:rPr>
          <w:rFonts w:cs="Arial"/>
          <w:iCs/>
          <w:szCs w:val="20"/>
          <w:lang w:val="pt-BR"/>
        </w:rPr>
        <w:t>Direito</w:t>
      </w:r>
      <w:r w:rsidRPr="00D5464D">
        <w:rPr>
          <w:rFonts w:cs="Arial"/>
          <w:iCs/>
          <w:szCs w:val="20"/>
          <w:lang w:val="pt-BR"/>
        </w:rPr>
        <w:t>s Humanos</w:t>
      </w:r>
      <w:r w:rsidR="00470ADC" w:rsidRPr="00D5464D">
        <w:rPr>
          <w:rFonts w:cs="Arial"/>
          <w:iCs/>
          <w:szCs w:val="20"/>
          <w:lang w:val="pt-BR"/>
        </w:rPr>
        <w:t xml:space="preserve"> da </w:t>
      </w:r>
      <w:r w:rsidR="002C330E" w:rsidRPr="00D5464D">
        <w:rPr>
          <w:rFonts w:cs="Arial"/>
          <w:iCs/>
          <w:szCs w:val="20"/>
          <w:lang w:val="pt-BR"/>
        </w:rPr>
        <w:t>Presidência</w:t>
      </w:r>
      <w:r w:rsidR="00E045D9" w:rsidRPr="00D5464D">
        <w:rPr>
          <w:rFonts w:cs="Arial"/>
          <w:iCs/>
          <w:szCs w:val="20"/>
          <w:lang w:val="pt-BR"/>
        </w:rPr>
        <w:t xml:space="preserve"> e </w:t>
      </w:r>
      <w:r w:rsidR="00AC6313" w:rsidRPr="00D5464D">
        <w:rPr>
          <w:rFonts w:cs="Arial"/>
          <w:iCs/>
          <w:szCs w:val="20"/>
          <w:lang w:val="pt-BR"/>
        </w:rPr>
        <w:t>d</w:t>
      </w:r>
      <w:r w:rsidR="00470ADC" w:rsidRPr="00D5464D">
        <w:rPr>
          <w:rFonts w:cs="Arial"/>
          <w:iCs/>
          <w:szCs w:val="20"/>
          <w:lang w:val="pt-BR"/>
        </w:rPr>
        <w:t xml:space="preserve">o </w:t>
      </w:r>
      <w:r w:rsidRPr="00D5464D">
        <w:rPr>
          <w:rFonts w:cs="Arial"/>
          <w:iCs/>
          <w:szCs w:val="20"/>
          <w:lang w:val="pt-BR"/>
        </w:rPr>
        <w:t xml:space="preserve">Sindicato Nacional de Auditores </w:t>
      </w:r>
      <w:r w:rsidR="00AC6313" w:rsidRPr="00D5464D">
        <w:rPr>
          <w:rFonts w:cs="Arial"/>
          <w:iCs/>
          <w:szCs w:val="20"/>
          <w:lang w:val="pt-BR"/>
        </w:rPr>
        <w:t xml:space="preserve">Fiscais </w:t>
      </w:r>
      <w:r w:rsidR="00470ADC" w:rsidRPr="00D5464D">
        <w:rPr>
          <w:rFonts w:cs="Arial"/>
          <w:iCs/>
          <w:szCs w:val="20"/>
          <w:lang w:val="pt-BR"/>
        </w:rPr>
        <w:t xml:space="preserve">do </w:t>
      </w:r>
      <w:r w:rsidR="00E045D9" w:rsidRPr="00D5464D">
        <w:rPr>
          <w:rFonts w:cs="Arial"/>
          <w:iCs/>
          <w:szCs w:val="20"/>
          <w:lang w:val="pt-BR"/>
        </w:rPr>
        <w:t>Trabalho</w:t>
      </w:r>
      <w:r w:rsidRPr="00D5464D">
        <w:rPr>
          <w:rFonts w:cs="Arial"/>
          <w:iCs/>
          <w:szCs w:val="20"/>
          <w:lang w:val="pt-BR"/>
        </w:rPr>
        <w:t>.</w:t>
      </w:r>
      <w:r w:rsidRPr="00D5464D">
        <w:rPr>
          <w:rFonts w:cs="Arial"/>
          <w:i/>
          <w:iCs/>
          <w:szCs w:val="20"/>
          <w:lang w:val="pt-BR"/>
        </w:rPr>
        <w:t xml:space="preserve"> </w:t>
      </w:r>
      <w:r w:rsidR="00350187" w:rsidRPr="00D5464D">
        <w:rPr>
          <w:rFonts w:cs="Arial"/>
          <w:iCs/>
          <w:szCs w:val="20"/>
          <w:lang w:val="pt-BR"/>
        </w:rPr>
        <w:t>Inclusive</w:t>
      </w:r>
      <w:r w:rsidRPr="00D5464D">
        <w:rPr>
          <w:rFonts w:cs="Arial"/>
          <w:iCs/>
          <w:szCs w:val="20"/>
          <w:lang w:val="pt-BR"/>
        </w:rPr>
        <w:t>,</w:t>
      </w:r>
      <w:r w:rsidR="00470ADC" w:rsidRPr="00D5464D">
        <w:rPr>
          <w:rFonts w:cs="Arial"/>
          <w:iCs/>
          <w:szCs w:val="20"/>
          <w:lang w:val="pt-BR"/>
        </w:rPr>
        <w:t xml:space="preserve"> em </w:t>
      </w:r>
      <w:r w:rsidRPr="00D5464D">
        <w:rPr>
          <w:rFonts w:cs="Arial"/>
          <w:iCs/>
          <w:szCs w:val="20"/>
          <w:lang w:val="pt-BR"/>
        </w:rPr>
        <w:t>2010,</w:t>
      </w:r>
      <w:r w:rsidR="002C330E" w:rsidRPr="00D5464D">
        <w:rPr>
          <w:rFonts w:cs="Arial"/>
          <w:iCs/>
          <w:szCs w:val="20"/>
          <w:lang w:val="pt-BR"/>
        </w:rPr>
        <w:t xml:space="preserve"> a </w:t>
      </w:r>
      <w:r w:rsidRPr="00D5464D">
        <w:rPr>
          <w:rFonts w:cs="Arial"/>
          <w:iCs/>
          <w:szCs w:val="20"/>
          <w:lang w:val="pt-BR"/>
        </w:rPr>
        <w:t>persecu</w:t>
      </w:r>
      <w:r w:rsidR="00470ADC" w:rsidRPr="00D5464D">
        <w:rPr>
          <w:rFonts w:cs="Arial"/>
          <w:iCs/>
          <w:szCs w:val="20"/>
          <w:lang w:val="pt-BR"/>
        </w:rPr>
        <w:t>ção</w:t>
      </w:r>
      <w:r w:rsidRPr="00D5464D">
        <w:rPr>
          <w:rFonts w:cs="Arial"/>
          <w:iCs/>
          <w:szCs w:val="20"/>
          <w:lang w:val="pt-BR"/>
        </w:rPr>
        <w:t xml:space="preserve"> penal de </w:t>
      </w:r>
      <w:r w:rsidR="000B376D" w:rsidRPr="00D5464D">
        <w:rPr>
          <w:rFonts w:cs="Arial"/>
          <w:iCs/>
          <w:szCs w:val="20"/>
          <w:lang w:val="pt-BR"/>
        </w:rPr>
        <w:t>escravidão</w:t>
      </w:r>
      <w:r w:rsidRPr="00D5464D">
        <w:rPr>
          <w:rFonts w:cs="Arial"/>
          <w:iCs/>
          <w:szCs w:val="20"/>
          <w:lang w:val="pt-BR"/>
        </w:rPr>
        <w:t xml:space="preserve"> </w:t>
      </w:r>
      <w:r w:rsidR="00470ADC" w:rsidRPr="00D5464D">
        <w:rPr>
          <w:rFonts w:cs="Arial"/>
          <w:iCs/>
          <w:szCs w:val="20"/>
          <w:lang w:val="pt-BR"/>
        </w:rPr>
        <w:t xml:space="preserve">contemporânea foi </w:t>
      </w:r>
      <w:r w:rsidRPr="00D5464D">
        <w:rPr>
          <w:rFonts w:cs="Arial"/>
          <w:iCs/>
          <w:szCs w:val="20"/>
          <w:lang w:val="pt-BR"/>
        </w:rPr>
        <w:t>priorizada</w:t>
      </w:r>
      <w:r w:rsidR="002C330E" w:rsidRPr="00D5464D">
        <w:rPr>
          <w:rFonts w:cs="Arial"/>
          <w:iCs/>
          <w:szCs w:val="20"/>
          <w:lang w:val="pt-BR"/>
        </w:rPr>
        <w:t xml:space="preserve"> pela </w:t>
      </w:r>
      <w:r w:rsidRPr="00D5464D">
        <w:rPr>
          <w:rFonts w:cs="Arial"/>
          <w:iCs/>
          <w:szCs w:val="20"/>
          <w:lang w:val="pt-BR"/>
        </w:rPr>
        <w:t xml:space="preserve">2ª </w:t>
      </w:r>
      <w:r w:rsidR="00A1358C" w:rsidRPr="00D5464D">
        <w:rPr>
          <w:rFonts w:cs="Arial"/>
          <w:iCs/>
          <w:szCs w:val="20"/>
          <w:lang w:val="pt-BR"/>
        </w:rPr>
        <w:t xml:space="preserve">Câmara </w:t>
      </w:r>
      <w:r w:rsidRPr="00D5464D">
        <w:rPr>
          <w:rFonts w:cs="Arial"/>
          <w:iCs/>
          <w:szCs w:val="20"/>
          <w:lang w:val="pt-BR"/>
        </w:rPr>
        <w:t xml:space="preserve">de </w:t>
      </w:r>
      <w:r w:rsidR="00470ADC" w:rsidRPr="00D5464D">
        <w:rPr>
          <w:rFonts w:cs="Arial"/>
          <w:iCs/>
          <w:szCs w:val="20"/>
          <w:lang w:val="pt-BR"/>
        </w:rPr>
        <w:t>Coordenação</w:t>
      </w:r>
      <w:r w:rsidR="00E045D9" w:rsidRPr="00D5464D">
        <w:rPr>
          <w:rFonts w:cs="Arial"/>
          <w:iCs/>
          <w:szCs w:val="20"/>
          <w:lang w:val="pt-BR"/>
        </w:rPr>
        <w:t xml:space="preserve"> e </w:t>
      </w:r>
      <w:r w:rsidR="002C330E" w:rsidRPr="00D5464D">
        <w:rPr>
          <w:rFonts w:cs="Arial"/>
          <w:iCs/>
          <w:szCs w:val="20"/>
          <w:lang w:val="pt-BR"/>
        </w:rPr>
        <w:t>Revisão</w:t>
      </w:r>
      <w:r w:rsidRPr="00D5464D">
        <w:rPr>
          <w:rFonts w:cs="Arial"/>
          <w:iCs/>
          <w:szCs w:val="20"/>
          <w:lang w:val="pt-BR"/>
        </w:rPr>
        <w:t xml:space="preserve"> </w:t>
      </w:r>
      <w:r w:rsidR="00470ADC" w:rsidRPr="00D5464D">
        <w:rPr>
          <w:rFonts w:cs="Arial"/>
          <w:iCs/>
          <w:szCs w:val="20"/>
          <w:lang w:val="pt-BR"/>
        </w:rPr>
        <w:t xml:space="preserve">do </w:t>
      </w:r>
      <w:r w:rsidR="002C330E" w:rsidRPr="00D5464D">
        <w:rPr>
          <w:rFonts w:cs="Arial"/>
          <w:iCs/>
          <w:szCs w:val="20"/>
          <w:lang w:val="pt-BR"/>
        </w:rPr>
        <w:t>Ministério</w:t>
      </w:r>
      <w:r w:rsidRPr="00D5464D">
        <w:rPr>
          <w:rFonts w:cs="Arial"/>
          <w:iCs/>
          <w:szCs w:val="20"/>
          <w:lang w:val="pt-BR"/>
        </w:rPr>
        <w:t xml:space="preserve"> Público Federal</w:t>
      </w:r>
      <w:r w:rsidR="00470ADC" w:rsidRPr="00D5464D">
        <w:rPr>
          <w:rFonts w:cs="Arial"/>
          <w:iCs/>
          <w:szCs w:val="20"/>
          <w:lang w:val="pt-BR"/>
        </w:rPr>
        <w:t xml:space="preserve"> em </w:t>
      </w:r>
      <w:r w:rsidRPr="00D5464D">
        <w:rPr>
          <w:rFonts w:cs="Arial"/>
          <w:iCs/>
          <w:szCs w:val="20"/>
          <w:lang w:val="pt-BR"/>
        </w:rPr>
        <w:t>todo</w:t>
      </w:r>
      <w:r w:rsidR="00470ADC" w:rsidRPr="00D5464D">
        <w:rPr>
          <w:rFonts w:cs="Arial"/>
          <w:iCs/>
          <w:szCs w:val="20"/>
          <w:lang w:val="pt-BR"/>
        </w:rPr>
        <w:t xml:space="preserve"> o </w:t>
      </w:r>
      <w:r w:rsidRPr="00D5464D">
        <w:rPr>
          <w:rFonts w:cs="Arial"/>
          <w:iCs/>
          <w:szCs w:val="20"/>
          <w:lang w:val="pt-BR"/>
        </w:rPr>
        <w:t>país,</w:t>
      </w:r>
      <w:r w:rsidR="002C330E" w:rsidRPr="00D5464D">
        <w:rPr>
          <w:rFonts w:cs="Arial"/>
          <w:iCs/>
          <w:szCs w:val="20"/>
          <w:lang w:val="pt-BR"/>
        </w:rPr>
        <w:t xml:space="preserve"> o que </w:t>
      </w:r>
      <w:r w:rsidR="00AC6313" w:rsidRPr="00D5464D">
        <w:rPr>
          <w:rFonts w:cs="Arial"/>
          <w:iCs/>
          <w:szCs w:val="20"/>
          <w:lang w:val="pt-BR"/>
        </w:rPr>
        <w:t xml:space="preserve">gerou </w:t>
      </w:r>
      <w:r w:rsidR="00E045D9" w:rsidRPr="00D5464D">
        <w:rPr>
          <w:rFonts w:cs="Arial"/>
          <w:iCs/>
          <w:szCs w:val="20"/>
          <w:lang w:val="pt-BR"/>
        </w:rPr>
        <w:t>um</w:t>
      </w:r>
      <w:r w:rsidR="00AC6313" w:rsidRPr="00D5464D">
        <w:rPr>
          <w:rFonts w:cs="Arial"/>
          <w:iCs/>
          <w:szCs w:val="20"/>
          <w:lang w:val="pt-BR"/>
        </w:rPr>
        <w:t xml:space="preserve">a </w:t>
      </w:r>
      <w:r w:rsidRPr="00D5464D">
        <w:rPr>
          <w:rFonts w:cs="Arial"/>
          <w:iCs/>
          <w:szCs w:val="20"/>
          <w:lang w:val="pt-BR"/>
        </w:rPr>
        <w:t xml:space="preserve">base de </w:t>
      </w:r>
      <w:r w:rsidR="00470ADC" w:rsidRPr="00D5464D">
        <w:rPr>
          <w:rFonts w:cs="Arial"/>
          <w:iCs/>
          <w:szCs w:val="20"/>
          <w:lang w:val="pt-BR"/>
        </w:rPr>
        <w:t>dado</w:t>
      </w:r>
      <w:r w:rsidRPr="00D5464D">
        <w:rPr>
          <w:rFonts w:cs="Arial"/>
          <w:iCs/>
          <w:szCs w:val="20"/>
          <w:lang w:val="pt-BR"/>
        </w:rPr>
        <w:t>s</w:t>
      </w:r>
      <w:r w:rsidR="00470ADC" w:rsidRPr="00D5464D">
        <w:rPr>
          <w:rFonts w:cs="Arial"/>
          <w:iCs/>
          <w:szCs w:val="20"/>
          <w:lang w:val="pt-BR"/>
        </w:rPr>
        <w:t xml:space="preserve"> com </w:t>
      </w:r>
      <w:r w:rsidRPr="00D5464D">
        <w:rPr>
          <w:rFonts w:cs="Arial"/>
          <w:iCs/>
          <w:szCs w:val="20"/>
          <w:lang w:val="pt-BR"/>
        </w:rPr>
        <w:t>informa</w:t>
      </w:r>
      <w:r w:rsidR="00470ADC" w:rsidRPr="00D5464D">
        <w:rPr>
          <w:rFonts w:cs="Arial"/>
          <w:iCs/>
          <w:szCs w:val="20"/>
          <w:lang w:val="pt-BR"/>
        </w:rPr>
        <w:t>ção</w:t>
      </w:r>
      <w:r w:rsidRPr="00D5464D">
        <w:rPr>
          <w:rFonts w:cs="Arial"/>
          <w:iCs/>
          <w:szCs w:val="20"/>
          <w:lang w:val="pt-BR"/>
        </w:rPr>
        <w:t xml:space="preserve"> sobre i) a</w:t>
      </w:r>
      <w:r w:rsidR="00AC6313" w:rsidRPr="00D5464D">
        <w:rPr>
          <w:rFonts w:cs="Arial"/>
          <w:iCs/>
          <w:szCs w:val="20"/>
          <w:lang w:val="pt-BR"/>
        </w:rPr>
        <w:t>u</w:t>
      </w:r>
      <w:r w:rsidRPr="00D5464D">
        <w:rPr>
          <w:rFonts w:cs="Arial"/>
          <w:iCs/>
          <w:szCs w:val="20"/>
          <w:lang w:val="pt-BR"/>
        </w:rPr>
        <w:t>t</w:t>
      </w:r>
      <w:r w:rsidR="00AC6313" w:rsidRPr="00D5464D">
        <w:rPr>
          <w:rFonts w:cs="Arial"/>
          <w:iCs/>
          <w:szCs w:val="20"/>
          <w:lang w:val="pt-BR"/>
        </w:rPr>
        <w:t>o</w:t>
      </w:r>
      <w:r w:rsidRPr="00D5464D">
        <w:rPr>
          <w:rFonts w:cs="Arial"/>
          <w:iCs/>
          <w:szCs w:val="20"/>
          <w:lang w:val="pt-BR"/>
        </w:rPr>
        <w:t xml:space="preserve">s de </w:t>
      </w:r>
      <w:r w:rsidR="00AB4663" w:rsidRPr="00D5464D">
        <w:rPr>
          <w:rFonts w:cs="Arial"/>
          <w:iCs/>
          <w:szCs w:val="20"/>
          <w:lang w:val="pt-BR"/>
        </w:rPr>
        <w:t>fiscalização</w:t>
      </w:r>
      <w:r w:rsidRPr="00D5464D">
        <w:rPr>
          <w:rFonts w:cs="Arial"/>
          <w:iCs/>
          <w:szCs w:val="20"/>
          <w:lang w:val="pt-BR"/>
        </w:rPr>
        <w:t xml:space="preserve"> </w:t>
      </w:r>
      <w:r w:rsidR="00350187" w:rsidRPr="00D5464D">
        <w:rPr>
          <w:rFonts w:cs="Arial"/>
          <w:iCs/>
          <w:szCs w:val="20"/>
          <w:lang w:val="pt-BR"/>
        </w:rPr>
        <w:t>gerad</w:t>
      </w:r>
      <w:r w:rsidR="00AC6313" w:rsidRPr="00D5464D">
        <w:rPr>
          <w:rFonts w:cs="Arial"/>
          <w:iCs/>
          <w:szCs w:val="20"/>
          <w:lang w:val="pt-BR"/>
        </w:rPr>
        <w:t>os</w:t>
      </w:r>
      <w:r w:rsidRPr="00D5464D">
        <w:rPr>
          <w:rFonts w:cs="Arial"/>
          <w:iCs/>
          <w:szCs w:val="20"/>
          <w:lang w:val="pt-BR"/>
        </w:rPr>
        <w:t xml:space="preserve"> desde 1995</w:t>
      </w:r>
      <w:r w:rsidR="00E045D9" w:rsidRPr="00D5464D">
        <w:rPr>
          <w:rFonts w:cs="Arial"/>
          <w:iCs/>
          <w:szCs w:val="20"/>
          <w:lang w:val="pt-BR"/>
        </w:rPr>
        <w:t xml:space="preserve"> e </w:t>
      </w:r>
      <w:r w:rsidR="00AC6313" w:rsidRPr="00D5464D">
        <w:rPr>
          <w:rFonts w:cs="Arial"/>
          <w:iCs/>
          <w:szCs w:val="20"/>
          <w:lang w:val="pt-BR"/>
        </w:rPr>
        <w:t xml:space="preserve">suas </w:t>
      </w:r>
      <w:r w:rsidR="00470ADC" w:rsidRPr="00D5464D">
        <w:rPr>
          <w:rFonts w:cs="Arial"/>
          <w:iCs/>
          <w:szCs w:val="20"/>
          <w:lang w:val="pt-BR"/>
        </w:rPr>
        <w:t>conclusões</w:t>
      </w:r>
      <w:r w:rsidRPr="00D5464D">
        <w:rPr>
          <w:rFonts w:cs="Arial"/>
          <w:iCs/>
          <w:szCs w:val="20"/>
          <w:lang w:val="pt-BR"/>
        </w:rPr>
        <w:t>; ii)</w:t>
      </w:r>
      <w:r w:rsidR="002C330E" w:rsidRPr="00D5464D">
        <w:rPr>
          <w:rFonts w:cs="Arial"/>
          <w:iCs/>
          <w:szCs w:val="20"/>
          <w:lang w:val="pt-BR"/>
        </w:rPr>
        <w:t xml:space="preserve"> </w:t>
      </w:r>
      <w:r w:rsidRPr="00D5464D">
        <w:rPr>
          <w:rFonts w:cs="Arial"/>
          <w:iCs/>
          <w:szCs w:val="20"/>
          <w:lang w:val="pt-BR"/>
        </w:rPr>
        <w:t>investiga</w:t>
      </w:r>
      <w:r w:rsidR="00470ADC" w:rsidRPr="00D5464D">
        <w:rPr>
          <w:rFonts w:cs="Arial"/>
          <w:iCs/>
          <w:szCs w:val="20"/>
          <w:lang w:val="pt-BR"/>
        </w:rPr>
        <w:t>ção</w:t>
      </w:r>
      <w:r w:rsidRPr="00D5464D">
        <w:rPr>
          <w:rFonts w:cs="Arial"/>
          <w:iCs/>
          <w:szCs w:val="20"/>
          <w:lang w:val="pt-BR"/>
        </w:rPr>
        <w:t xml:space="preserve"> criminal policial; iii)</w:t>
      </w:r>
      <w:r w:rsidR="002C330E" w:rsidRPr="00D5464D">
        <w:rPr>
          <w:rFonts w:cs="Arial"/>
          <w:iCs/>
          <w:szCs w:val="20"/>
          <w:lang w:val="pt-BR"/>
        </w:rPr>
        <w:t xml:space="preserve"> </w:t>
      </w:r>
      <w:r w:rsidRPr="00D5464D">
        <w:rPr>
          <w:rFonts w:cs="Arial"/>
          <w:iCs/>
          <w:szCs w:val="20"/>
          <w:lang w:val="pt-BR"/>
        </w:rPr>
        <w:t>investiga</w:t>
      </w:r>
      <w:r w:rsidR="00470ADC" w:rsidRPr="00D5464D">
        <w:rPr>
          <w:rFonts w:cs="Arial"/>
          <w:iCs/>
          <w:szCs w:val="20"/>
          <w:lang w:val="pt-BR"/>
        </w:rPr>
        <w:t>ção</w:t>
      </w:r>
      <w:r w:rsidRPr="00D5464D">
        <w:rPr>
          <w:rFonts w:cs="Arial"/>
          <w:iCs/>
          <w:szCs w:val="20"/>
          <w:lang w:val="pt-BR"/>
        </w:rPr>
        <w:t xml:space="preserve"> criminal</w:t>
      </w:r>
      <w:r w:rsidR="00230C71" w:rsidRPr="00D5464D">
        <w:rPr>
          <w:rFonts w:cs="Arial"/>
          <w:iCs/>
          <w:szCs w:val="20"/>
          <w:lang w:val="pt-BR"/>
        </w:rPr>
        <w:t xml:space="preserve"> feita </w:t>
      </w:r>
      <w:r w:rsidR="002C330E" w:rsidRPr="00D5464D">
        <w:rPr>
          <w:rFonts w:cs="Arial"/>
          <w:iCs/>
          <w:szCs w:val="20"/>
          <w:lang w:val="pt-BR"/>
        </w:rPr>
        <w:t>pelo Ministério</w:t>
      </w:r>
      <w:r w:rsidRPr="00D5464D">
        <w:rPr>
          <w:rFonts w:cs="Arial"/>
          <w:iCs/>
          <w:szCs w:val="20"/>
          <w:lang w:val="pt-BR"/>
        </w:rPr>
        <w:t xml:space="preserve"> Público Federal; iv)</w:t>
      </w:r>
      <w:r w:rsidR="002C330E" w:rsidRPr="00D5464D">
        <w:rPr>
          <w:rFonts w:cs="Arial"/>
          <w:iCs/>
          <w:szCs w:val="20"/>
          <w:lang w:val="pt-BR"/>
        </w:rPr>
        <w:t xml:space="preserve"> revisão</w:t>
      </w:r>
      <w:r w:rsidR="00470ADC" w:rsidRPr="00D5464D">
        <w:rPr>
          <w:rFonts w:cs="Arial"/>
          <w:iCs/>
          <w:szCs w:val="20"/>
          <w:lang w:val="pt-BR"/>
        </w:rPr>
        <w:t xml:space="preserve"> em </w:t>
      </w:r>
      <w:r w:rsidR="002C330E" w:rsidRPr="00D5464D">
        <w:rPr>
          <w:rFonts w:cs="Arial"/>
          <w:iCs/>
          <w:szCs w:val="20"/>
          <w:lang w:val="pt-BR"/>
        </w:rPr>
        <w:t xml:space="preserve">matéria </w:t>
      </w:r>
      <w:r w:rsidRPr="00D5464D">
        <w:rPr>
          <w:rFonts w:cs="Arial"/>
          <w:iCs/>
          <w:szCs w:val="20"/>
          <w:lang w:val="pt-BR"/>
        </w:rPr>
        <w:t xml:space="preserve">de </w:t>
      </w:r>
      <w:r w:rsidR="00230C71" w:rsidRPr="00D5464D">
        <w:rPr>
          <w:rFonts w:cs="Arial"/>
          <w:iCs/>
          <w:szCs w:val="20"/>
          <w:lang w:val="pt-BR"/>
        </w:rPr>
        <w:t>atribuições</w:t>
      </w:r>
      <w:r w:rsidRPr="00D5464D">
        <w:rPr>
          <w:rFonts w:cs="Arial"/>
          <w:iCs/>
          <w:szCs w:val="20"/>
          <w:lang w:val="pt-BR"/>
        </w:rPr>
        <w:t>; v)</w:t>
      </w:r>
      <w:r w:rsidR="002C330E" w:rsidRPr="00D5464D">
        <w:rPr>
          <w:rFonts w:cs="Arial"/>
          <w:iCs/>
          <w:szCs w:val="20"/>
          <w:lang w:val="pt-BR"/>
        </w:rPr>
        <w:t xml:space="preserve"> </w:t>
      </w:r>
      <w:r w:rsidR="00470ADC" w:rsidRPr="00D5464D">
        <w:rPr>
          <w:rFonts w:cs="Arial"/>
          <w:iCs/>
          <w:szCs w:val="20"/>
          <w:lang w:val="pt-BR"/>
        </w:rPr>
        <w:t>ações</w:t>
      </w:r>
      <w:r w:rsidRPr="00D5464D">
        <w:rPr>
          <w:rFonts w:cs="Arial"/>
          <w:iCs/>
          <w:szCs w:val="20"/>
          <w:lang w:val="pt-BR"/>
        </w:rPr>
        <w:t xml:space="preserve"> </w:t>
      </w:r>
      <w:r w:rsidR="002C330E" w:rsidRPr="00D5464D">
        <w:rPr>
          <w:rFonts w:cs="Arial"/>
          <w:iCs/>
          <w:szCs w:val="20"/>
          <w:lang w:val="pt-BR"/>
        </w:rPr>
        <w:t>penais</w:t>
      </w:r>
      <w:r w:rsidRPr="00D5464D">
        <w:rPr>
          <w:rFonts w:cs="Arial"/>
          <w:iCs/>
          <w:szCs w:val="20"/>
          <w:lang w:val="pt-BR"/>
        </w:rPr>
        <w:t xml:space="preserve"> promovidas</w:t>
      </w:r>
      <w:r w:rsidR="00E045D9" w:rsidRPr="00D5464D">
        <w:rPr>
          <w:rFonts w:cs="Arial"/>
          <w:iCs/>
          <w:szCs w:val="20"/>
          <w:lang w:val="pt-BR"/>
        </w:rPr>
        <w:t xml:space="preserve"> e </w:t>
      </w:r>
      <w:r w:rsidR="00470ADC" w:rsidRPr="00D5464D">
        <w:rPr>
          <w:rFonts w:cs="Arial"/>
          <w:iCs/>
          <w:szCs w:val="20"/>
          <w:lang w:val="pt-BR"/>
        </w:rPr>
        <w:t>execução</w:t>
      </w:r>
      <w:r w:rsidRPr="00D5464D">
        <w:rPr>
          <w:rFonts w:cs="Arial"/>
          <w:iCs/>
          <w:szCs w:val="20"/>
          <w:lang w:val="pt-BR"/>
        </w:rPr>
        <w:t xml:space="preserve"> de penas. </w:t>
      </w:r>
      <w:r w:rsidR="00350187" w:rsidRPr="00D5464D">
        <w:rPr>
          <w:rFonts w:cs="Arial"/>
          <w:iCs/>
          <w:szCs w:val="20"/>
          <w:lang w:val="pt-BR"/>
        </w:rPr>
        <w:t xml:space="preserve">Além disso, </w:t>
      </w:r>
      <w:r w:rsidR="002C330E" w:rsidRPr="00D5464D">
        <w:rPr>
          <w:rFonts w:cs="Arial"/>
          <w:iCs/>
          <w:szCs w:val="20"/>
          <w:lang w:val="pt-BR"/>
        </w:rPr>
        <w:t xml:space="preserve">a </w:t>
      </w:r>
      <w:r w:rsidRPr="00D5464D">
        <w:rPr>
          <w:rFonts w:cs="Arial"/>
          <w:iCs/>
          <w:szCs w:val="20"/>
          <w:lang w:val="pt-BR"/>
        </w:rPr>
        <w:t xml:space="preserve">base de </w:t>
      </w:r>
      <w:r w:rsidR="00470ADC" w:rsidRPr="00D5464D">
        <w:rPr>
          <w:rFonts w:cs="Arial"/>
          <w:iCs/>
          <w:szCs w:val="20"/>
          <w:lang w:val="pt-BR"/>
        </w:rPr>
        <w:t>dado</w:t>
      </w:r>
      <w:r w:rsidRPr="00D5464D">
        <w:rPr>
          <w:rFonts w:cs="Arial"/>
          <w:iCs/>
          <w:szCs w:val="20"/>
          <w:lang w:val="pt-BR"/>
        </w:rPr>
        <w:t xml:space="preserve">s </w:t>
      </w:r>
      <w:r w:rsidR="00F9314F" w:rsidRPr="00D5464D">
        <w:rPr>
          <w:rFonts w:cs="Arial"/>
          <w:iCs/>
          <w:szCs w:val="20"/>
          <w:lang w:val="pt-BR"/>
        </w:rPr>
        <w:t xml:space="preserve">contém </w:t>
      </w:r>
      <w:r w:rsidRPr="00D5464D">
        <w:rPr>
          <w:rFonts w:cs="Arial"/>
          <w:iCs/>
          <w:szCs w:val="20"/>
          <w:lang w:val="pt-BR"/>
        </w:rPr>
        <w:t>vi)</w:t>
      </w:r>
      <w:r w:rsidR="00470ADC" w:rsidRPr="00D5464D">
        <w:rPr>
          <w:rFonts w:cs="Arial"/>
          <w:iCs/>
          <w:szCs w:val="20"/>
          <w:lang w:val="pt-BR"/>
        </w:rPr>
        <w:t xml:space="preserve"> o </w:t>
      </w:r>
      <w:r w:rsidR="002C330E" w:rsidRPr="00D5464D">
        <w:rPr>
          <w:rFonts w:cs="Arial"/>
          <w:iCs/>
          <w:szCs w:val="20"/>
          <w:lang w:val="pt-BR"/>
        </w:rPr>
        <w:t>resumo</w:t>
      </w:r>
      <w:r w:rsidR="00470ADC" w:rsidRPr="00D5464D">
        <w:rPr>
          <w:rFonts w:cs="Arial"/>
          <w:iCs/>
          <w:szCs w:val="20"/>
          <w:lang w:val="pt-BR"/>
        </w:rPr>
        <w:t xml:space="preserve"> das </w:t>
      </w:r>
      <w:r w:rsidR="0031040E" w:rsidRPr="00D5464D">
        <w:rPr>
          <w:rFonts w:cs="Arial"/>
          <w:iCs/>
          <w:szCs w:val="20"/>
          <w:lang w:val="pt-BR"/>
        </w:rPr>
        <w:t>fiscalizações</w:t>
      </w:r>
      <w:r w:rsidRPr="00D5464D">
        <w:rPr>
          <w:rFonts w:cs="Arial"/>
          <w:iCs/>
          <w:szCs w:val="20"/>
          <w:lang w:val="pt-BR"/>
        </w:rPr>
        <w:t>; vii)</w:t>
      </w:r>
      <w:r w:rsidR="002C330E" w:rsidRPr="00D5464D">
        <w:rPr>
          <w:rFonts w:cs="Arial"/>
          <w:iCs/>
          <w:szCs w:val="20"/>
          <w:lang w:val="pt-BR"/>
        </w:rPr>
        <w:t xml:space="preserve"> as </w:t>
      </w:r>
      <w:r w:rsidRPr="00D5464D">
        <w:rPr>
          <w:rFonts w:cs="Arial"/>
          <w:iCs/>
          <w:szCs w:val="20"/>
          <w:lang w:val="pt-BR"/>
        </w:rPr>
        <w:t>entrevistas</w:t>
      </w:r>
      <w:r w:rsidR="00470ADC" w:rsidRPr="00D5464D">
        <w:rPr>
          <w:rFonts w:cs="Arial"/>
          <w:iCs/>
          <w:szCs w:val="20"/>
          <w:lang w:val="pt-BR"/>
        </w:rPr>
        <w:t xml:space="preserve"> com </w:t>
      </w:r>
      <w:r w:rsidR="00E045D9" w:rsidRPr="00D5464D">
        <w:rPr>
          <w:rFonts w:cs="Arial"/>
          <w:iCs/>
          <w:szCs w:val="20"/>
          <w:lang w:val="pt-BR"/>
        </w:rPr>
        <w:t>trabalhadores</w:t>
      </w:r>
      <w:r w:rsidRPr="00D5464D">
        <w:rPr>
          <w:rFonts w:cs="Arial"/>
          <w:iCs/>
          <w:szCs w:val="20"/>
          <w:lang w:val="pt-BR"/>
        </w:rPr>
        <w:t>, traficantes (</w:t>
      </w:r>
      <w:r w:rsidR="00996473" w:rsidRPr="00D5464D">
        <w:rPr>
          <w:rFonts w:cs="Arial"/>
          <w:iCs/>
          <w:szCs w:val="20"/>
          <w:lang w:val="pt-BR"/>
        </w:rPr>
        <w:t>gatos</w:t>
      </w:r>
      <w:r w:rsidRPr="00D5464D">
        <w:rPr>
          <w:rFonts w:cs="Arial"/>
          <w:iCs/>
          <w:szCs w:val="20"/>
          <w:lang w:val="pt-BR"/>
        </w:rPr>
        <w:t>)</w:t>
      </w:r>
      <w:r w:rsidR="00E045D9" w:rsidRPr="00D5464D">
        <w:rPr>
          <w:rFonts w:cs="Arial"/>
          <w:iCs/>
          <w:szCs w:val="20"/>
          <w:lang w:val="pt-BR"/>
        </w:rPr>
        <w:t xml:space="preserve"> e </w:t>
      </w:r>
      <w:r w:rsidRPr="00D5464D">
        <w:rPr>
          <w:rFonts w:cs="Arial"/>
          <w:iCs/>
          <w:szCs w:val="20"/>
          <w:lang w:val="pt-BR"/>
        </w:rPr>
        <w:t>gerentes; viii)</w:t>
      </w:r>
      <w:r w:rsidR="00470ADC" w:rsidRPr="00D5464D">
        <w:rPr>
          <w:rFonts w:cs="Arial"/>
          <w:iCs/>
          <w:szCs w:val="20"/>
          <w:lang w:val="pt-BR"/>
        </w:rPr>
        <w:t xml:space="preserve"> o</w:t>
      </w:r>
      <w:r w:rsidR="002C330E" w:rsidRPr="00D5464D">
        <w:rPr>
          <w:rFonts w:cs="Arial"/>
          <w:iCs/>
          <w:szCs w:val="20"/>
          <w:lang w:val="pt-BR"/>
        </w:rPr>
        <w:t xml:space="preserve"> livro </w:t>
      </w:r>
      <w:r w:rsidRPr="00D5464D">
        <w:rPr>
          <w:rFonts w:cs="Arial"/>
          <w:iCs/>
          <w:szCs w:val="20"/>
          <w:lang w:val="pt-BR"/>
        </w:rPr>
        <w:t>de anota</w:t>
      </w:r>
      <w:r w:rsidR="00470ADC" w:rsidRPr="00D5464D">
        <w:rPr>
          <w:rFonts w:cs="Arial"/>
          <w:iCs/>
          <w:szCs w:val="20"/>
          <w:lang w:val="pt-BR"/>
        </w:rPr>
        <w:t>ções</w:t>
      </w:r>
      <w:r w:rsidRPr="00D5464D">
        <w:rPr>
          <w:rFonts w:cs="Arial"/>
          <w:iCs/>
          <w:szCs w:val="20"/>
          <w:lang w:val="pt-BR"/>
        </w:rPr>
        <w:t xml:space="preserve"> de </w:t>
      </w:r>
      <w:r w:rsidR="00470ADC" w:rsidRPr="00D5464D">
        <w:rPr>
          <w:rFonts w:cs="Arial"/>
          <w:iCs/>
          <w:szCs w:val="20"/>
          <w:lang w:val="pt-BR"/>
        </w:rPr>
        <w:t>dívida</w:t>
      </w:r>
      <w:r w:rsidRPr="00D5464D">
        <w:rPr>
          <w:rFonts w:cs="Arial"/>
          <w:iCs/>
          <w:szCs w:val="20"/>
          <w:lang w:val="pt-BR"/>
        </w:rPr>
        <w:t xml:space="preserve">s de </w:t>
      </w:r>
      <w:r w:rsidR="00E045D9" w:rsidRPr="00D5464D">
        <w:rPr>
          <w:rFonts w:cs="Arial"/>
          <w:iCs/>
          <w:szCs w:val="20"/>
          <w:lang w:val="pt-BR"/>
        </w:rPr>
        <w:t>trabalhadores</w:t>
      </w:r>
      <w:r w:rsidRPr="00D5464D">
        <w:rPr>
          <w:rFonts w:cs="Arial"/>
          <w:iCs/>
          <w:szCs w:val="20"/>
          <w:lang w:val="pt-BR"/>
        </w:rPr>
        <w:t xml:space="preserve">, </w:t>
      </w:r>
      <w:r w:rsidR="00470ADC" w:rsidRPr="00D5464D">
        <w:rPr>
          <w:rFonts w:cs="Arial"/>
          <w:iCs/>
          <w:szCs w:val="20"/>
          <w:lang w:val="pt-BR"/>
        </w:rPr>
        <w:t>denúncias</w:t>
      </w:r>
      <w:r w:rsidRPr="00D5464D">
        <w:rPr>
          <w:rFonts w:cs="Arial"/>
          <w:iCs/>
          <w:szCs w:val="20"/>
          <w:lang w:val="pt-BR"/>
        </w:rPr>
        <w:t>, investiga</w:t>
      </w:r>
      <w:r w:rsidR="00470ADC" w:rsidRPr="00D5464D">
        <w:rPr>
          <w:rFonts w:cs="Arial"/>
          <w:iCs/>
          <w:szCs w:val="20"/>
          <w:lang w:val="pt-BR"/>
        </w:rPr>
        <w:t>ção</w:t>
      </w:r>
      <w:r w:rsidRPr="00D5464D">
        <w:rPr>
          <w:rFonts w:cs="Arial"/>
          <w:iCs/>
          <w:szCs w:val="20"/>
          <w:lang w:val="pt-BR"/>
        </w:rPr>
        <w:t xml:space="preserve"> </w:t>
      </w:r>
      <w:r w:rsidR="00AC6313" w:rsidRPr="00D5464D">
        <w:rPr>
          <w:rFonts w:cs="Arial"/>
          <w:iCs/>
          <w:szCs w:val="20"/>
          <w:lang w:val="pt-BR"/>
        </w:rPr>
        <w:t xml:space="preserve">policial </w:t>
      </w:r>
      <w:r w:rsidR="00E045D9" w:rsidRPr="00D5464D">
        <w:rPr>
          <w:rFonts w:cs="Arial"/>
          <w:iCs/>
          <w:szCs w:val="20"/>
          <w:lang w:val="pt-BR"/>
        </w:rPr>
        <w:t xml:space="preserve">e </w:t>
      </w:r>
      <w:r w:rsidRPr="00D5464D">
        <w:rPr>
          <w:rFonts w:cs="Arial"/>
          <w:iCs/>
          <w:szCs w:val="20"/>
          <w:lang w:val="pt-BR"/>
        </w:rPr>
        <w:t xml:space="preserve">ix) </w:t>
      </w:r>
      <w:r w:rsidR="00E045D9" w:rsidRPr="00D5464D">
        <w:rPr>
          <w:rFonts w:cs="Arial"/>
          <w:iCs/>
          <w:szCs w:val="20"/>
          <w:lang w:val="pt-BR"/>
        </w:rPr>
        <w:t>fotografia</w:t>
      </w:r>
      <w:r w:rsidRPr="00D5464D">
        <w:rPr>
          <w:rFonts w:cs="Arial"/>
          <w:iCs/>
          <w:szCs w:val="20"/>
          <w:lang w:val="pt-BR"/>
        </w:rPr>
        <w:t>s</w:t>
      </w:r>
      <w:r w:rsidR="003A3C64" w:rsidRPr="00D5464D">
        <w:rPr>
          <w:rFonts w:cs="Arial"/>
          <w:iCs/>
          <w:szCs w:val="20"/>
          <w:lang w:val="pt-BR"/>
        </w:rPr>
        <w:t>.</w:t>
      </w:r>
      <w:r w:rsidRPr="00D5464D">
        <w:rPr>
          <w:rFonts w:cs="Arial"/>
          <w:iCs/>
          <w:szCs w:val="20"/>
          <w:lang w:val="pt-BR"/>
        </w:rPr>
        <w:t xml:space="preserve"> </w:t>
      </w:r>
    </w:p>
    <w:p w14:paraId="5278F720" w14:textId="77777777" w:rsidR="00AC6313" w:rsidRPr="00D5464D" w:rsidRDefault="00AC6313" w:rsidP="00AC6313">
      <w:pPr>
        <w:pStyle w:val="Prrafodelista"/>
        <w:autoSpaceDE w:val="0"/>
        <w:autoSpaceDN w:val="0"/>
        <w:adjustRightInd w:val="0"/>
        <w:ind w:left="0"/>
        <w:rPr>
          <w:rFonts w:cs="Arial"/>
          <w:iCs/>
          <w:szCs w:val="20"/>
          <w:lang w:val="pt-BR"/>
        </w:rPr>
      </w:pPr>
    </w:p>
    <w:p w14:paraId="4E4FFB1E" w14:textId="4A1FB3B9" w:rsidR="004B0842" w:rsidRPr="00D5464D" w:rsidRDefault="00737270"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Em atenção</w:t>
      </w:r>
      <w:r w:rsidR="00470ADC" w:rsidRPr="00D5464D">
        <w:rPr>
          <w:rFonts w:cs="Arial"/>
          <w:iCs/>
          <w:szCs w:val="20"/>
          <w:lang w:val="pt-BR"/>
        </w:rPr>
        <w:t xml:space="preserve"> ao </w:t>
      </w:r>
      <w:r w:rsidR="004B0842" w:rsidRPr="00D5464D">
        <w:rPr>
          <w:rFonts w:cs="Arial"/>
          <w:iCs/>
          <w:szCs w:val="20"/>
          <w:lang w:val="pt-BR"/>
        </w:rPr>
        <w:t>anterior,</w:t>
      </w:r>
      <w:r w:rsidR="002C330E" w:rsidRPr="00D5464D">
        <w:rPr>
          <w:rFonts w:cs="Arial"/>
          <w:iCs/>
          <w:szCs w:val="20"/>
          <w:lang w:val="pt-BR"/>
        </w:rPr>
        <w:t xml:space="preserve"> a </w:t>
      </w:r>
      <w:r w:rsidR="004B0842" w:rsidRPr="00D5464D">
        <w:rPr>
          <w:rFonts w:cs="Arial"/>
          <w:iCs/>
          <w:szCs w:val="20"/>
          <w:lang w:val="pt-BR"/>
        </w:rPr>
        <w:t>Corte considera que</w:t>
      </w:r>
      <w:r w:rsidR="002C330E" w:rsidRPr="00D5464D">
        <w:rPr>
          <w:rFonts w:cs="Arial"/>
          <w:iCs/>
          <w:szCs w:val="20"/>
          <w:lang w:val="pt-BR"/>
        </w:rPr>
        <w:t xml:space="preserve"> as </w:t>
      </w:r>
      <w:r w:rsidR="00470ADC" w:rsidRPr="00D5464D">
        <w:rPr>
          <w:rFonts w:cs="Arial"/>
          <w:iCs/>
          <w:szCs w:val="20"/>
          <w:lang w:val="pt-BR"/>
        </w:rPr>
        <w:t>ações</w:t>
      </w:r>
      <w:r w:rsidR="00E045D9" w:rsidRPr="00D5464D">
        <w:rPr>
          <w:rFonts w:cs="Arial"/>
          <w:iCs/>
          <w:szCs w:val="20"/>
          <w:lang w:val="pt-BR"/>
        </w:rPr>
        <w:t xml:space="preserve"> e </w:t>
      </w:r>
      <w:r w:rsidR="004B0842" w:rsidRPr="00D5464D">
        <w:rPr>
          <w:rFonts w:cs="Arial"/>
          <w:iCs/>
          <w:szCs w:val="20"/>
          <w:lang w:val="pt-BR"/>
        </w:rPr>
        <w:t xml:space="preserve">políticas </w:t>
      </w:r>
      <w:r w:rsidR="00470ADC" w:rsidRPr="00D5464D">
        <w:rPr>
          <w:rFonts w:cs="Arial"/>
          <w:iCs/>
          <w:szCs w:val="20"/>
          <w:lang w:val="pt-BR"/>
        </w:rPr>
        <w:t>adot</w:t>
      </w:r>
      <w:r w:rsidR="004B0842" w:rsidRPr="00D5464D">
        <w:rPr>
          <w:rFonts w:cs="Arial"/>
          <w:iCs/>
          <w:szCs w:val="20"/>
          <w:lang w:val="pt-BR"/>
        </w:rPr>
        <w:t>adas</w:t>
      </w:r>
      <w:r w:rsidR="002C330E" w:rsidRPr="00D5464D">
        <w:rPr>
          <w:rFonts w:cs="Arial"/>
          <w:iCs/>
          <w:szCs w:val="20"/>
          <w:lang w:val="pt-BR"/>
        </w:rPr>
        <w:t xml:space="preserve"> pelo </w:t>
      </w:r>
      <w:r w:rsidR="004B0842" w:rsidRPr="00D5464D">
        <w:rPr>
          <w:rFonts w:cs="Arial"/>
          <w:iCs/>
          <w:szCs w:val="20"/>
          <w:lang w:val="pt-BR"/>
        </w:rPr>
        <w:t>Estado</w:t>
      </w:r>
      <w:r w:rsidR="002C330E" w:rsidRPr="00D5464D">
        <w:rPr>
          <w:rFonts w:cs="Arial"/>
          <w:iCs/>
          <w:szCs w:val="20"/>
          <w:lang w:val="pt-BR"/>
        </w:rPr>
        <w:t xml:space="preserve"> são </w:t>
      </w:r>
      <w:r w:rsidR="004B0842" w:rsidRPr="00D5464D">
        <w:rPr>
          <w:rFonts w:cs="Arial"/>
          <w:iCs/>
          <w:szCs w:val="20"/>
          <w:lang w:val="pt-BR"/>
        </w:rPr>
        <w:t>suficientes</w:t>
      </w:r>
      <w:r w:rsidR="00E045D9" w:rsidRPr="00D5464D">
        <w:rPr>
          <w:rFonts w:cs="Arial"/>
          <w:iCs/>
          <w:szCs w:val="20"/>
          <w:lang w:val="pt-BR"/>
        </w:rPr>
        <w:t xml:space="preserve"> e </w:t>
      </w:r>
      <w:r w:rsidR="004B0842" w:rsidRPr="00D5464D">
        <w:rPr>
          <w:rFonts w:cs="Arial"/>
          <w:iCs/>
          <w:szCs w:val="20"/>
          <w:lang w:val="pt-BR"/>
        </w:rPr>
        <w:t>n</w:t>
      </w:r>
      <w:r w:rsidR="00AC6313" w:rsidRPr="00D5464D">
        <w:rPr>
          <w:rFonts w:cs="Arial"/>
          <w:iCs/>
          <w:szCs w:val="20"/>
          <w:lang w:val="pt-BR"/>
        </w:rPr>
        <w:t>ã</w:t>
      </w:r>
      <w:r w:rsidR="004B0842" w:rsidRPr="00D5464D">
        <w:rPr>
          <w:rFonts w:cs="Arial"/>
          <w:iCs/>
          <w:szCs w:val="20"/>
          <w:lang w:val="pt-BR"/>
        </w:rPr>
        <w:t>o</w:t>
      </w:r>
      <w:r w:rsidR="00E765C2" w:rsidRPr="00D5464D">
        <w:rPr>
          <w:rFonts w:cs="Arial"/>
          <w:iCs/>
          <w:szCs w:val="20"/>
          <w:lang w:val="pt-BR"/>
        </w:rPr>
        <w:t xml:space="preserve"> considera </w:t>
      </w:r>
      <w:r w:rsidR="002C330E" w:rsidRPr="00D5464D">
        <w:rPr>
          <w:rFonts w:cs="Arial"/>
          <w:iCs/>
          <w:szCs w:val="20"/>
          <w:lang w:val="pt-BR"/>
        </w:rPr>
        <w:t>necessári</w:t>
      </w:r>
      <w:r w:rsidR="004B0842" w:rsidRPr="00D5464D">
        <w:rPr>
          <w:rFonts w:cs="Arial"/>
          <w:iCs/>
          <w:szCs w:val="20"/>
          <w:lang w:val="pt-BR"/>
        </w:rPr>
        <w:t xml:space="preserve">o ordenar medidas </w:t>
      </w:r>
      <w:r w:rsidR="00470ADC" w:rsidRPr="00D5464D">
        <w:rPr>
          <w:rFonts w:cs="Arial"/>
          <w:iCs/>
          <w:szCs w:val="20"/>
          <w:lang w:val="pt-BR"/>
        </w:rPr>
        <w:t>adicionais</w:t>
      </w:r>
      <w:r w:rsidR="00A1358C" w:rsidRPr="00D5464D">
        <w:rPr>
          <w:rFonts w:cs="Arial"/>
          <w:iCs/>
          <w:szCs w:val="20"/>
          <w:lang w:val="pt-BR"/>
        </w:rPr>
        <w:t>. Em particular</w:t>
      </w:r>
      <w:r w:rsidR="00AC382A" w:rsidRPr="00D5464D">
        <w:rPr>
          <w:rFonts w:cs="Arial"/>
          <w:iCs/>
          <w:szCs w:val="20"/>
          <w:lang w:val="pt-BR"/>
        </w:rPr>
        <w:t>,</w:t>
      </w:r>
      <w:r w:rsidR="002C330E" w:rsidRPr="00D5464D">
        <w:rPr>
          <w:rFonts w:cs="Arial"/>
          <w:iCs/>
          <w:szCs w:val="20"/>
          <w:lang w:val="pt-BR"/>
        </w:rPr>
        <w:t xml:space="preserve"> a </w:t>
      </w:r>
      <w:r w:rsidR="00AC382A" w:rsidRPr="00D5464D">
        <w:rPr>
          <w:rFonts w:cs="Arial"/>
          <w:iCs/>
          <w:szCs w:val="20"/>
          <w:lang w:val="pt-BR"/>
        </w:rPr>
        <w:t>Corte destaca</w:t>
      </w:r>
      <w:r w:rsidR="002C330E" w:rsidRPr="00D5464D">
        <w:rPr>
          <w:rFonts w:cs="Arial"/>
          <w:iCs/>
          <w:szCs w:val="20"/>
          <w:lang w:val="pt-BR"/>
        </w:rPr>
        <w:t xml:space="preserve"> a </w:t>
      </w:r>
      <w:r w:rsidR="00AC382A" w:rsidRPr="00D5464D">
        <w:rPr>
          <w:rFonts w:cs="Arial"/>
          <w:iCs/>
          <w:szCs w:val="20"/>
          <w:lang w:val="pt-BR"/>
        </w:rPr>
        <w:t>participa</w:t>
      </w:r>
      <w:r w:rsidR="00470ADC" w:rsidRPr="00D5464D">
        <w:rPr>
          <w:rFonts w:cs="Arial"/>
          <w:iCs/>
          <w:szCs w:val="20"/>
          <w:lang w:val="pt-BR"/>
        </w:rPr>
        <w:t>ção</w:t>
      </w:r>
      <w:r w:rsidR="00AC382A" w:rsidRPr="00D5464D">
        <w:rPr>
          <w:rFonts w:cs="Arial"/>
          <w:iCs/>
          <w:szCs w:val="20"/>
          <w:lang w:val="pt-BR"/>
        </w:rPr>
        <w:t xml:space="preserve"> </w:t>
      </w:r>
      <w:r w:rsidR="00470ADC" w:rsidRPr="00D5464D">
        <w:rPr>
          <w:rFonts w:cs="Arial"/>
          <w:iCs/>
          <w:szCs w:val="20"/>
          <w:lang w:val="pt-BR"/>
        </w:rPr>
        <w:t>ativ</w:t>
      </w:r>
      <w:r w:rsidR="00AC382A" w:rsidRPr="00D5464D">
        <w:rPr>
          <w:rFonts w:cs="Arial"/>
          <w:iCs/>
          <w:szCs w:val="20"/>
          <w:lang w:val="pt-BR"/>
        </w:rPr>
        <w:t xml:space="preserve">a </w:t>
      </w:r>
      <w:r w:rsidR="00470ADC" w:rsidRPr="00D5464D">
        <w:rPr>
          <w:rFonts w:cs="Arial"/>
          <w:iCs/>
          <w:szCs w:val="20"/>
          <w:lang w:val="pt-BR"/>
        </w:rPr>
        <w:t xml:space="preserve">do </w:t>
      </w:r>
      <w:r w:rsidR="002C330E" w:rsidRPr="00D5464D">
        <w:rPr>
          <w:rFonts w:cs="Arial"/>
          <w:iCs/>
          <w:szCs w:val="20"/>
          <w:lang w:val="pt-BR"/>
        </w:rPr>
        <w:t>Ministério</w:t>
      </w:r>
      <w:r w:rsidR="00AC382A" w:rsidRPr="00D5464D">
        <w:rPr>
          <w:rFonts w:cs="Arial"/>
          <w:iCs/>
          <w:szCs w:val="20"/>
          <w:lang w:val="pt-BR"/>
        </w:rPr>
        <w:t xml:space="preserve"> Público Federal</w:t>
      </w:r>
      <w:r w:rsidR="00E045D9" w:rsidRPr="00D5464D">
        <w:rPr>
          <w:rFonts w:cs="Arial"/>
          <w:iCs/>
          <w:szCs w:val="20"/>
          <w:lang w:val="pt-BR"/>
        </w:rPr>
        <w:t xml:space="preserve"> nas </w:t>
      </w:r>
      <w:r w:rsidR="0031040E" w:rsidRPr="00D5464D">
        <w:rPr>
          <w:rFonts w:cs="Arial"/>
          <w:iCs/>
          <w:szCs w:val="20"/>
          <w:lang w:val="pt-BR"/>
        </w:rPr>
        <w:t>fiscalizações</w:t>
      </w:r>
      <w:r w:rsidR="00AC382A" w:rsidRPr="00D5464D">
        <w:rPr>
          <w:rFonts w:cs="Arial"/>
          <w:iCs/>
          <w:szCs w:val="20"/>
          <w:lang w:val="pt-BR"/>
        </w:rPr>
        <w:t xml:space="preserve"> </w:t>
      </w:r>
      <w:r w:rsidR="00470ADC" w:rsidRPr="00D5464D">
        <w:rPr>
          <w:rFonts w:cs="Arial"/>
          <w:iCs/>
          <w:szCs w:val="20"/>
          <w:lang w:val="pt-BR"/>
        </w:rPr>
        <w:t xml:space="preserve">do </w:t>
      </w:r>
      <w:r w:rsidR="00AC382A" w:rsidRPr="00D5464D">
        <w:rPr>
          <w:rFonts w:cs="Arial"/>
          <w:iCs/>
          <w:szCs w:val="20"/>
          <w:lang w:val="pt-BR"/>
        </w:rPr>
        <w:t xml:space="preserve">Grupo </w:t>
      </w:r>
      <w:r w:rsidR="00631CD6" w:rsidRPr="00D5464D">
        <w:rPr>
          <w:rFonts w:cs="Arial"/>
          <w:iCs/>
          <w:szCs w:val="20"/>
          <w:lang w:val="pt-BR"/>
        </w:rPr>
        <w:t>Móvel</w:t>
      </w:r>
      <w:r w:rsidR="00AC382A" w:rsidRPr="00D5464D">
        <w:rPr>
          <w:rFonts w:cs="Arial"/>
          <w:iCs/>
          <w:szCs w:val="20"/>
          <w:lang w:val="pt-BR"/>
        </w:rPr>
        <w:t xml:space="preserve"> de Combate</w:t>
      </w:r>
      <w:r w:rsidR="00470ADC" w:rsidRPr="00D5464D">
        <w:rPr>
          <w:rFonts w:cs="Arial"/>
          <w:iCs/>
          <w:szCs w:val="20"/>
          <w:lang w:val="pt-BR"/>
        </w:rPr>
        <w:t xml:space="preserve"> ao </w:t>
      </w:r>
      <w:r w:rsidR="00E045D9" w:rsidRPr="00D5464D">
        <w:rPr>
          <w:rFonts w:cs="Arial"/>
          <w:iCs/>
          <w:szCs w:val="20"/>
          <w:lang w:val="pt-BR"/>
        </w:rPr>
        <w:t>Trabalho</w:t>
      </w:r>
      <w:r w:rsidR="00AC382A" w:rsidRPr="00D5464D">
        <w:rPr>
          <w:rFonts w:cs="Arial"/>
          <w:iCs/>
          <w:szCs w:val="20"/>
          <w:lang w:val="pt-BR"/>
        </w:rPr>
        <w:t xml:space="preserve"> </w:t>
      </w:r>
      <w:r w:rsidR="004F1CC2" w:rsidRPr="00D5464D">
        <w:rPr>
          <w:rFonts w:cs="Arial"/>
          <w:iCs/>
          <w:szCs w:val="20"/>
          <w:lang w:val="pt-BR"/>
        </w:rPr>
        <w:t>Escravo</w:t>
      </w:r>
      <w:r w:rsidR="00C91CB1" w:rsidRPr="00D5464D">
        <w:rPr>
          <w:rFonts w:cs="Arial"/>
          <w:iCs/>
          <w:szCs w:val="20"/>
          <w:lang w:val="pt-BR"/>
        </w:rPr>
        <w:t xml:space="preserve">. Sem </w:t>
      </w:r>
      <w:r w:rsidR="002C330E" w:rsidRPr="00D5464D">
        <w:rPr>
          <w:rFonts w:cs="Arial"/>
          <w:iCs/>
          <w:szCs w:val="20"/>
          <w:lang w:val="pt-BR"/>
        </w:rPr>
        <w:t>prejuízo</w:t>
      </w:r>
      <w:r w:rsidR="00470ADC" w:rsidRPr="00D5464D">
        <w:rPr>
          <w:rFonts w:cs="Arial"/>
          <w:iCs/>
          <w:szCs w:val="20"/>
          <w:lang w:val="pt-BR"/>
        </w:rPr>
        <w:t xml:space="preserve"> do </w:t>
      </w:r>
      <w:r w:rsidR="00A3477B" w:rsidRPr="00D5464D">
        <w:rPr>
          <w:rFonts w:cs="Arial"/>
          <w:iCs/>
          <w:szCs w:val="20"/>
          <w:lang w:val="pt-BR"/>
        </w:rPr>
        <w:t>anterior,</w:t>
      </w:r>
      <w:r w:rsidR="002C330E" w:rsidRPr="00D5464D">
        <w:rPr>
          <w:rFonts w:cs="Arial"/>
          <w:iCs/>
          <w:szCs w:val="20"/>
          <w:lang w:val="pt-BR"/>
        </w:rPr>
        <w:t xml:space="preserve"> a </w:t>
      </w:r>
      <w:r w:rsidR="00A3477B" w:rsidRPr="00D5464D">
        <w:rPr>
          <w:rFonts w:cs="Arial"/>
          <w:iCs/>
          <w:szCs w:val="20"/>
          <w:lang w:val="pt-BR"/>
        </w:rPr>
        <w:t>Corte insta</w:t>
      </w:r>
      <w:r w:rsidR="00470ADC" w:rsidRPr="00D5464D">
        <w:rPr>
          <w:rFonts w:cs="Arial"/>
          <w:iCs/>
          <w:szCs w:val="20"/>
          <w:lang w:val="pt-BR"/>
        </w:rPr>
        <w:t xml:space="preserve"> ao </w:t>
      </w:r>
      <w:r w:rsidR="00A3477B" w:rsidRPr="00D5464D">
        <w:rPr>
          <w:rFonts w:cs="Arial"/>
          <w:iCs/>
          <w:szCs w:val="20"/>
          <w:lang w:val="pt-BR"/>
        </w:rPr>
        <w:t>Estado a continuar incrementando</w:t>
      </w:r>
      <w:r w:rsidR="002C330E" w:rsidRPr="00D5464D">
        <w:rPr>
          <w:rFonts w:cs="Arial"/>
          <w:iCs/>
          <w:szCs w:val="20"/>
          <w:lang w:val="pt-BR"/>
        </w:rPr>
        <w:t xml:space="preserve"> a </w:t>
      </w:r>
      <w:r w:rsidR="00470ADC" w:rsidRPr="00D5464D">
        <w:rPr>
          <w:rFonts w:cs="Arial"/>
          <w:iCs/>
          <w:szCs w:val="20"/>
          <w:lang w:val="pt-BR"/>
        </w:rPr>
        <w:t>eficácia</w:t>
      </w:r>
      <w:r w:rsidR="00A3477B" w:rsidRPr="00D5464D">
        <w:rPr>
          <w:rFonts w:cs="Arial"/>
          <w:iCs/>
          <w:szCs w:val="20"/>
          <w:lang w:val="pt-BR"/>
        </w:rPr>
        <w:t xml:space="preserve"> de </w:t>
      </w:r>
      <w:r w:rsidR="00350187" w:rsidRPr="00D5464D">
        <w:rPr>
          <w:rFonts w:cs="Arial"/>
          <w:iCs/>
          <w:szCs w:val="20"/>
          <w:lang w:val="pt-BR"/>
        </w:rPr>
        <w:t>suas políticas</w:t>
      </w:r>
      <w:r w:rsidR="00E045D9" w:rsidRPr="00D5464D">
        <w:rPr>
          <w:rFonts w:cs="Arial"/>
          <w:iCs/>
          <w:szCs w:val="20"/>
          <w:lang w:val="pt-BR"/>
        </w:rPr>
        <w:t xml:space="preserve"> e </w:t>
      </w:r>
      <w:r w:rsidR="002C330E" w:rsidRPr="00D5464D">
        <w:rPr>
          <w:rFonts w:cs="Arial"/>
          <w:iCs/>
          <w:szCs w:val="20"/>
          <w:lang w:val="pt-BR"/>
        </w:rPr>
        <w:t xml:space="preserve">a </w:t>
      </w:r>
      <w:r w:rsidR="00984A47" w:rsidRPr="00D5464D">
        <w:rPr>
          <w:rFonts w:cs="Arial"/>
          <w:iCs/>
          <w:szCs w:val="20"/>
          <w:lang w:val="pt-BR"/>
        </w:rPr>
        <w:t>inter</w:t>
      </w:r>
      <w:r w:rsidRPr="00D5464D">
        <w:rPr>
          <w:rFonts w:cs="Arial"/>
          <w:iCs/>
          <w:szCs w:val="20"/>
          <w:lang w:val="pt-BR"/>
        </w:rPr>
        <w:t>ação</w:t>
      </w:r>
      <w:r w:rsidR="00984A47" w:rsidRPr="00D5464D">
        <w:rPr>
          <w:rFonts w:cs="Arial"/>
          <w:iCs/>
          <w:szCs w:val="20"/>
          <w:lang w:val="pt-BR"/>
        </w:rPr>
        <w:t xml:space="preserve"> entre</w:t>
      </w:r>
      <w:r w:rsidR="002C330E" w:rsidRPr="00D5464D">
        <w:rPr>
          <w:rFonts w:cs="Arial"/>
          <w:iCs/>
          <w:szCs w:val="20"/>
          <w:lang w:val="pt-BR"/>
        </w:rPr>
        <w:t xml:space="preserve"> os </w:t>
      </w:r>
      <w:r w:rsidR="00E045D9" w:rsidRPr="00D5464D">
        <w:rPr>
          <w:rFonts w:cs="Arial"/>
          <w:iCs/>
          <w:szCs w:val="20"/>
          <w:lang w:val="pt-BR"/>
        </w:rPr>
        <w:t>vários</w:t>
      </w:r>
      <w:r w:rsidR="00984A47" w:rsidRPr="00D5464D">
        <w:rPr>
          <w:rFonts w:cs="Arial"/>
          <w:iCs/>
          <w:szCs w:val="20"/>
          <w:lang w:val="pt-BR"/>
        </w:rPr>
        <w:t xml:space="preserve"> </w:t>
      </w:r>
      <w:r w:rsidR="002C330E" w:rsidRPr="00D5464D">
        <w:rPr>
          <w:rFonts w:cs="Arial"/>
          <w:iCs/>
          <w:szCs w:val="20"/>
          <w:lang w:val="pt-BR"/>
        </w:rPr>
        <w:t>órgão</w:t>
      </w:r>
      <w:r w:rsidR="00984A47" w:rsidRPr="00D5464D">
        <w:rPr>
          <w:rFonts w:cs="Arial"/>
          <w:iCs/>
          <w:szCs w:val="20"/>
          <w:lang w:val="pt-BR"/>
        </w:rPr>
        <w:t>s vinculados</w:t>
      </w:r>
      <w:r w:rsidR="00470ADC" w:rsidRPr="00D5464D">
        <w:rPr>
          <w:rFonts w:cs="Arial"/>
          <w:iCs/>
          <w:szCs w:val="20"/>
          <w:lang w:val="pt-BR"/>
        </w:rPr>
        <w:t xml:space="preserve"> ao </w:t>
      </w:r>
      <w:r w:rsidR="00984A47" w:rsidRPr="00D5464D">
        <w:rPr>
          <w:rFonts w:cs="Arial"/>
          <w:iCs/>
          <w:szCs w:val="20"/>
          <w:lang w:val="pt-BR"/>
        </w:rPr>
        <w:t>combate</w:t>
      </w:r>
      <w:r w:rsidR="00470ADC" w:rsidRPr="00D5464D">
        <w:rPr>
          <w:rFonts w:cs="Arial"/>
          <w:iCs/>
          <w:szCs w:val="20"/>
          <w:lang w:val="pt-BR"/>
        </w:rPr>
        <w:t xml:space="preserve"> da </w:t>
      </w:r>
      <w:r w:rsidR="000B376D" w:rsidRPr="00D5464D">
        <w:rPr>
          <w:rFonts w:cs="Arial"/>
          <w:iCs/>
          <w:szCs w:val="20"/>
          <w:lang w:val="pt-BR"/>
        </w:rPr>
        <w:t>escravidão</w:t>
      </w:r>
      <w:r w:rsidR="006665EF" w:rsidRPr="00D5464D">
        <w:rPr>
          <w:rFonts w:cs="Arial"/>
          <w:iCs/>
          <w:szCs w:val="20"/>
          <w:lang w:val="pt-BR"/>
        </w:rPr>
        <w:t xml:space="preserve"> no Brasil</w:t>
      </w:r>
      <w:r w:rsidR="00233178" w:rsidRPr="00D5464D">
        <w:rPr>
          <w:rFonts w:cs="Arial"/>
          <w:iCs/>
          <w:szCs w:val="20"/>
          <w:lang w:val="pt-BR"/>
        </w:rPr>
        <w:t>,</w:t>
      </w:r>
      <w:r w:rsidR="002C330E" w:rsidRPr="00D5464D">
        <w:rPr>
          <w:rFonts w:cs="Arial"/>
          <w:iCs/>
          <w:szCs w:val="20"/>
          <w:lang w:val="pt-BR"/>
        </w:rPr>
        <w:t xml:space="preserve"> sem </w:t>
      </w:r>
      <w:r w:rsidR="005A78C3" w:rsidRPr="00D5464D">
        <w:rPr>
          <w:rFonts w:cs="Arial"/>
          <w:iCs/>
          <w:szCs w:val="20"/>
          <w:lang w:val="pt-BR"/>
        </w:rPr>
        <w:t xml:space="preserve">permitir </w:t>
      </w:r>
      <w:r w:rsidR="002C330E" w:rsidRPr="00D5464D">
        <w:rPr>
          <w:rFonts w:cs="Arial"/>
          <w:iCs/>
          <w:szCs w:val="20"/>
          <w:lang w:val="pt-BR"/>
        </w:rPr>
        <w:t>nenhum</w:t>
      </w:r>
      <w:r w:rsidR="00F9314F" w:rsidRPr="00D5464D">
        <w:rPr>
          <w:rFonts w:cs="Arial"/>
          <w:iCs/>
          <w:szCs w:val="20"/>
          <w:lang w:val="pt-BR"/>
        </w:rPr>
        <w:t xml:space="preserve"> retrocesso </w:t>
      </w:r>
      <w:r w:rsidR="00E045D9" w:rsidRPr="00D5464D">
        <w:rPr>
          <w:rFonts w:cs="Arial"/>
          <w:iCs/>
          <w:szCs w:val="20"/>
          <w:lang w:val="pt-BR"/>
        </w:rPr>
        <w:t xml:space="preserve">na </w:t>
      </w:r>
      <w:r w:rsidR="00A1358C" w:rsidRPr="00D5464D">
        <w:rPr>
          <w:rFonts w:cs="Arial"/>
          <w:iCs/>
          <w:szCs w:val="20"/>
          <w:lang w:val="pt-BR"/>
        </w:rPr>
        <w:t>matéria.</w:t>
      </w:r>
      <w:r w:rsidR="00984A47" w:rsidRPr="00D5464D">
        <w:rPr>
          <w:rFonts w:cs="Arial"/>
          <w:iCs/>
          <w:szCs w:val="20"/>
          <w:lang w:val="pt-BR"/>
        </w:rPr>
        <w:t xml:space="preserve"> </w:t>
      </w:r>
    </w:p>
    <w:p w14:paraId="6D617E5E" w14:textId="77777777" w:rsidR="004B0842" w:rsidRPr="00D5464D" w:rsidRDefault="004B0842" w:rsidP="004B0842">
      <w:pPr>
        <w:pStyle w:val="Prrafodelista"/>
        <w:autoSpaceDE w:val="0"/>
        <w:autoSpaceDN w:val="0"/>
        <w:adjustRightInd w:val="0"/>
        <w:rPr>
          <w:rFonts w:cs="Arial"/>
          <w:iCs/>
          <w:szCs w:val="20"/>
          <w:lang w:val="pt-BR"/>
        </w:rPr>
      </w:pPr>
    </w:p>
    <w:p w14:paraId="5039DF7F" w14:textId="5A6E90E4" w:rsidR="004B0842" w:rsidRPr="00D5464D" w:rsidRDefault="002C330E" w:rsidP="00F306D7">
      <w:pPr>
        <w:pStyle w:val="Ttulo2"/>
        <w:numPr>
          <w:ilvl w:val="0"/>
          <w:numId w:val="21"/>
        </w:numPr>
        <w:rPr>
          <w:lang w:val="pt-BR"/>
        </w:rPr>
      </w:pPr>
      <w:bookmarkStart w:id="473" w:name="_Toc468433954"/>
      <w:r w:rsidRPr="00D5464D">
        <w:rPr>
          <w:lang w:val="pt-BR"/>
        </w:rPr>
        <w:t>Outra</w:t>
      </w:r>
      <w:r w:rsidR="004B0842" w:rsidRPr="00D5464D">
        <w:rPr>
          <w:lang w:val="pt-BR"/>
        </w:rPr>
        <w:t>s medidas solicitadas</w:t>
      </w:r>
      <w:bookmarkEnd w:id="473"/>
    </w:p>
    <w:p w14:paraId="5055F3C0" w14:textId="77777777" w:rsidR="00E94DEB" w:rsidRPr="00D5464D" w:rsidRDefault="00E94DEB" w:rsidP="00E94DEB">
      <w:pPr>
        <w:pStyle w:val="Prrafodelista"/>
        <w:autoSpaceDE w:val="0"/>
        <w:autoSpaceDN w:val="0"/>
        <w:adjustRightInd w:val="0"/>
        <w:ind w:left="0"/>
        <w:rPr>
          <w:rFonts w:cs="Arial"/>
          <w:iCs/>
          <w:szCs w:val="20"/>
          <w:lang w:val="pt-BR"/>
        </w:rPr>
      </w:pPr>
    </w:p>
    <w:p w14:paraId="4BA740D1" w14:textId="6053D91E" w:rsidR="004B0842" w:rsidRPr="00D5464D" w:rsidRDefault="00470ADC"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A </w:t>
      </w:r>
      <w:r w:rsidRPr="00D5464D">
        <w:rPr>
          <w:rFonts w:cs="Arial"/>
          <w:b/>
          <w:i/>
          <w:iCs/>
          <w:szCs w:val="20"/>
          <w:lang w:val="pt-BR"/>
        </w:rPr>
        <w:t>Comissão</w:t>
      </w:r>
      <w:r w:rsidR="004B0842" w:rsidRPr="00D5464D">
        <w:rPr>
          <w:rFonts w:cs="Arial"/>
          <w:iCs/>
          <w:szCs w:val="20"/>
          <w:lang w:val="pt-BR"/>
        </w:rPr>
        <w:t xml:space="preserve"> </w:t>
      </w:r>
      <w:r w:rsidR="002C330E" w:rsidRPr="00D5464D">
        <w:rPr>
          <w:rFonts w:cs="Arial"/>
          <w:iCs/>
          <w:szCs w:val="20"/>
          <w:lang w:val="pt-BR"/>
        </w:rPr>
        <w:t>solicitou</w:t>
      </w:r>
      <w:r w:rsidR="004B0842" w:rsidRPr="00D5464D">
        <w:rPr>
          <w:rFonts w:cs="Arial"/>
          <w:iCs/>
          <w:szCs w:val="20"/>
          <w:lang w:val="pt-BR"/>
        </w:rPr>
        <w:t xml:space="preserve"> que se</w:t>
      </w:r>
      <w:r w:rsidR="00AC6313" w:rsidRPr="00D5464D">
        <w:rPr>
          <w:rFonts w:cs="Arial"/>
          <w:iCs/>
          <w:szCs w:val="20"/>
          <w:lang w:val="pt-BR"/>
        </w:rPr>
        <w:t xml:space="preserve">ja realizada </w:t>
      </w:r>
      <w:r w:rsidR="00E045D9" w:rsidRPr="00D5464D">
        <w:rPr>
          <w:rFonts w:cs="Arial"/>
          <w:iCs/>
          <w:szCs w:val="20"/>
          <w:lang w:val="pt-BR"/>
        </w:rPr>
        <w:t xml:space="preserve">uma </w:t>
      </w:r>
      <w:r w:rsidR="004B0842" w:rsidRPr="00D5464D">
        <w:rPr>
          <w:rFonts w:cs="Arial"/>
          <w:iCs/>
          <w:szCs w:val="20"/>
          <w:lang w:val="pt-BR"/>
        </w:rPr>
        <w:t>investiga</w:t>
      </w:r>
      <w:r w:rsidRPr="00D5464D">
        <w:rPr>
          <w:rFonts w:cs="Arial"/>
          <w:iCs/>
          <w:szCs w:val="20"/>
          <w:lang w:val="pt-BR"/>
        </w:rPr>
        <w:t>ção</w:t>
      </w:r>
      <w:r w:rsidR="004B0842" w:rsidRPr="00D5464D">
        <w:rPr>
          <w:rFonts w:cs="Arial"/>
          <w:iCs/>
          <w:szCs w:val="20"/>
          <w:lang w:val="pt-BR"/>
        </w:rPr>
        <w:t xml:space="preserve"> </w:t>
      </w:r>
      <w:r w:rsidR="00AC6313" w:rsidRPr="00D5464D">
        <w:rPr>
          <w:rFonts w:cs="Arial"/>
          <w:iCs/>
          <w:szCs w:val="20"/>
          <w:lang w:val="pt-BR"/>
        </w:rPr>
        <w:t xml:space="preserve">sobre </w:t>
      </w:r>
      <w:r w:rsidR="00E045D9" w:rsidRPr="00D5464D">
        <w:rPr>
          <w:rFonts w:cs="Arial"/>
          <w:iCs/>
          <w:szCs w:val="20"/>
          <w:lang w:val="pt-BR"/>
        </w:rPr>
        <w:t xml:space="preserve">os </w:t>
      </w:r>
      <w:r w:rsidR="002C330E" w:rsidRPr="00D5464D">
        <w:rPr>
          <w:rFonts w:cs="Arial"/>
          <w:iCs/>
          <w:szCs w:val="20"/>
          <w:lang w:val="pt-BR"/>
        </w:rPr>
        <w:t>fatos</w:t>
      </w:r>
      <w:r w:rsidR="004B0842" w:rsidRPr="00D5464D">
        <w:rPr>
          <w:rFonts w:cs="Arial"/>
          <w:iCs/>
          <w:szCs w:val="20"/>
          <w:lang w:val="pt-BR"/>
        </w:rPr>
        <w:t xml:space="preserve"> relacionados</w:t>
      </w:r>
      <w:r w:rsidRPr="00D5464D">
        <w:rPr>
          <w:rFonts w:cs="Arial"/>
          <w:iCs/>
          <w:szCs w:val="20"/>
          <w:lang w:val="pt-BR"/>
        </w:rPr>
        <w:t xml:space="preserve"> </w:t>
      </w:r>
      <w:r w:rsidR="00AC6313" w:rsidRPr="00D5464D">
        <w:rPr>
          <w:rFonts w:cs="Arial"/>
          <w:iCs/>
          <w:szCs w:val="20"/>
          <w:lang w:val="pt-BR"/>
        </w:rPr>
        <w:t>a</w:t>
      </w:r>
      <w:r w:rsidR="00E045D9" w:rsidRPr="00D5464D">
        <w:rPr>
          <w:rFonts w:cs="Arial"/>
          <w:iCs/>
          <w:szCs w:val="20"/>
          <w:lang w:val="pt-BR"/>
        </w:rPr>
        <w:t>o desaparecimento</w:t>
      </w:r>
      <w:r w:rsidR="004B0842" w:rsidRPr="00D5464D">
        <w:rPr>
          <w:rFonts w:cs="Arial"/>
          <w:iCs/>
          <w:szCs w:val="20"/>
          <w:lang w:val="pt-BR"/>
        </w:rPr>
        <w:t xml:space="preserve"> de </w:t>
      </w:r>
      <w:r w:rsidR="008B075C" w:rsidRPr="00D5464D">
        <w:rPr>
          <w:rFonts w:cs="Arial"/>
          <w:iCs/>
          <w:szCs w:val="20"/>
          <w:lang w:val="pt-BR"/>
        </w:rPr>
        <w:t xml:space="preserve">Iron Canuto </w:t>
      </w:r>
      <w:r w:rsidR="00BE63A6" w:rsidRPr="00D5464D">
        <w:rPr>
          <w:rFonts w:cs="Arial"/>
          <w:iCs/>
          <w:szCs w:val="20"/>
          <w:lang w:val="pt-BR"/>
        </w:rPr>
        <w:t>da Silva</w:t>
      </w:r>
      <w:r w:rsidR="00E045D9" w:rsidRPr="00D5464D">
        <w:rPr>
          <w:rFonts w:cs="Arial"/>
          <w:iCs/>
          <w:szCs w:val="20"/>
          <w:lang w:val="pt-BR"/>
        </w:rPr>
        <w:t xml:space="preserve"> e </w:t>
      </w:r>
      <w:r w:rsidR="00200C04" w:rsidRPr="00D5464D">
        <w:rPr>
          <w:rFonts w:cs="Arial"/>
          <w:iCs/>
          <w:szCs w:val="20"/>
          <w:lang w:val="pt-BR"/>
        </w:rPr>
        <w:t xml:space="preserve">Luis Ferreira </w:t>
      </w:r>
      <w:r w:rsidR="00867094" w:rsidRPr="00D5464D">
        <w:rPr>
          <w:rFonts w:cs="Arial"/>
          <w:iCs/>
          <w:szCs w:val="20"/>
          <w:lang w:val="pt-BR"/>
        </w:rPr>
        <w:t>da Cruz</w:t>
      </w:r>
      <w:r w:rsidR="004B0842" w:rsidRPr="00D5464D">
        <w:rPr>
          <w:rFonts w:cs="Arial"/>
          <w:iCs/>
          <w:szCs w:val="20"/>
          <w:lang w:val="pt-BR"/>
        </w:rPr>
        <w:t>. Esta investiga</w:t>
      </w:r>
      <w:r w:rsidRPr="00D5464D">
        <w:rPr>
          <w:rFonts w:cs="Arial"/>
          <w:iCs/>
          <w:szCs w:val="20"/>
          <w:lang w:val="pt-BR"/>
        </w:rPr>
        <w:t xml:space="preserve">ção deve </w:t>
      </w:r>
      <w:r w:rsidR="004B0842" w:rsidRPr="00D5464D">
        <w:rPr>
          <w:rFonts w:cs="Arial"/>
          <w:iCs/>
          <w:szCs w:val="20"/>
          <w:lang w:val="pt-BR"/>
        </w:rPr>
        <w:t xml:space="preserve">ser </w:t>
      </w:r>
      <w:r w:rsidR="00737270" w:rsidRPr="00D5464D">
        <w:rPr>
          <w:rFonts w:cs="Arial"/>
          <w:iCs/>
          <w:szCs w:val="20"/>
          <w:lang w:val="pt-BR"/>
        </w:rPr>
        <w:t>conduzid</w:t>
      </w:r>
      <w:r w:rsidR="004B0842" w:rsidRPr="00D5464D">
        <w:rPr>
          <w:rFonts w:cs="Arial"/>
          <w:iCs/>
          <w:szCs w:val="20"/>
          <w:lang w:val="pt-BR"/>
        </w:rPr>
        <w:t xml:space="preserve">a de </w:t>
      </w:r>
      <w:r w:rsidR="002C330E" w:rsidRPr="00D5464D">
        <w:rPr>
          <w:rFonts w:cs="Arial"/>
          <w:iCs/>
          <w:szCs w:val="20"/>
          <w:lang w:val="pt-BR"/>
        </w:rPr>
        <w:t>maneira</w:t>
      </w:r>
      <w:r w:rsidR="004B0842" w:rsidRPr="00D5464D">
        <w:rPr>
          <w:rFonts w:cs="Arial"/>
          <w:iCs/>
          <w:szCs w:val="20"/>
          <w:lang w:val="pt-BR"/>
        </w:rPr>
        <w:t xml:space="preserve"> imparcial, </w:t>
      </w:r>
      <w:r w:rsidRPr="00D5464D">
        <w:rPr>
          <w:rFonts w:cs="Arial"/>
          <w:iCs/>
          <w:szCs w:val="20"/>
          <w:lang w:val="pt-BR"/>
        </w:rPr>
        <w:t>efetiv</w:t>
      </w:r>
      <w:r w:rsidR="004B0842" w:rsidRPr="00D5464D">
        <w:rPr>
          <w:rFonts w:cs="Arial"/>
          <w:iCs/>
          <w:szCs w:val="20"/>
          <w:lang w:val="pt-BR"/>
        </w:rPr>
        <w:t>a</w:t>
      </w:r>
      <w:r w:rsidR="00E045D9" w:rsidRPr="00D5464D">
        <w:rPr>
          <w:rFonts w:cs="Arial"/>
          <w:iCs/>
          <w:szCs w:val="20"/>
          <w:lang w:val="pt-BR"/>
        </w:rPr>
        <w:t xml:space="preserve"> e </w:t>
      </w:r>
      <w:r w:rsidR="004B0842" w:rsidRPr="00D5464D">
        <w:rPr>
          <w:rFonts w:cs="Arial"/>
          <w:iCs/>
          <w:szCs w:val="20"/>
          <w:lang w:val="pt-BR"/>
        </w:rPr>
        <w:t>dentro de</w:t>
      </w:r>
      <w:r w:rsidR="00E045D9" w:rsidRPr="00D5464D">
        <w:rPr>
          <w:rFonts w:cs="Arial"/>
          <w:iCs/>
          <w:szCs w:val="20"/>
          <w:lang w:val="pt-BR"/>
        </w:rPr>
        <w:t xml:space="preserve"> um </w:t>
      </w:r>
      <w:r w:rsidR="002C330E" w:rsidRPr="00D5464D">
        <w:rPr>
          <w:rFonts w:cs="Arial"/>
          <w:iCs/>
          <w:szCs w:val="20"/>
          <w:lang w:val="pt-BR"/>
        </w:rPr>
        <w:t>prazo</w:t>
      </w:r>
      <w:r w:rsidR="004B0842" w:rsidRPr="00D5464D">
        <w:rPr>
          <w:rFonts w:cs="Arial"/>
          <w:iCs/>
          <w:szCs w:val="20"/>
          <w:lang w:val="pt-BR"/>
        </w:rPr>
        <w:t xml:space="preserve"> </w:t>
      </w:r>
      <w:r w:rsidR="002C330E" w:rsidRPr="00D5464D">
        <w:rPr>
          <w:rFonts w:cs="Arial"/>
          <w:iCs/>
          <w:szCs w:val="20"/>
          <w:lang w:val="pt-BR"/>
        </w:rPr>
        <w:t>razoável</w:t>
      </w:r>
      <w:r w:rsidR="00AC6313" w:rsidRPr="00D5464D">
        <w:rPr>
          <w:rFonts w:cs="Arial"/>
          <w:iCs/>
          <w:szCs w:val="20"/>
          <w:lang w:val="pt-BR"/>
        </w:rPr>
        <w:t>,</w:t>
      </w:r>
      <w:r w:rsidR="002C330E" w:rsidRPr="00D5464D">
        <w:rPr>
          <w:rFonts w:cs="Arial"/>
          <w:iCs/>
          <w:szCs w:val="20"/>
          <w:lang w:val="pt-BR"/>
        </w:rPr>
        <w:t xml:space="preserve"> </w:t>
      </w:r>
      <w:r w:rsidRPr="00D5464D">
        <w:rPr>
          <w:rFonts w:cs="Arial"/>
          <w:iCs/>
          <w:szCs w:val="20"/>
          <w:lang w:val="pt-BR"/>
        </w:rPr>
        <w:t xml:space="preserve">com o </w:t>
      </w:r>
      <w:r w:rsidR="004B0842" w:rsidRPr="00D5464D">
        <w:rPr>
          <w:rFonts w:cs="Arial"/>
          <w:iCs/>
          <w:szCs w:val="20"/>
          <w:lang w:val="pt-BR"/>
        </w:rPr>
        <w:t>objet</w:t>
      </w:r>
      <w:r w:rsidR="00AC6313" w:rsidRPr="00D5464D">
        <w:rPr>
          <w:rFonts w:cs="Arial"/>
          <w:iCs/>
          <w:szCs w:val="20"/>
          <w:lang w:val="pt-BR"/>
        </w:rPr>
        <w:t>iv</w:t>
      </w:r>
      <w:r w:rsidR="004B0842" w:rsidRPr="00D5464D">
        <w:rPr>
          <w:rFonts w:cs="Arial"/>
          <w:iCs/>
          <w:szCs w:val="20"/>
          <w:lang w:val="pt-BR"/>
        </w:rPr>
        <w:t>o de esclarecer</w:t>
      </w:r>
      <w:r w:rsidR="002C330E" w:rsidRPr="00D5464D">
        <w:rPr>
          <w:rFonts w:cs="Arial"/>
          <w:iCs/>
          <w:szCs w:val="20"/>
          <w:lang w:val="pt-BR"/>
        </w:rPr>
        <w:t xml:space="preserve"> os fatos</w:t>
      </w:r>
      <w:r w:rsidRPr="00D5464D">
        <w:rPr>
          <w:rFonts w:cs="Arial"/>
          <w:iCs/>
          <w:szCs w:val="20"/>
          <w:lang w:val="pt-BR"/>
        </w:rPr>
        <w:t xml:space="preserve"> </w:t>
      </w:r>
      <w:r w:rsidR="00AC6313" w:rsidRPr="00D5464D">
        <w:rPr>
          <w:rFonts w:cs="Arial"/>
          <w:iCs/>
          <w:szCs w:val="20"/>
          <w:lang w:val="pt-BR"/>
        </w:rPr>
        <w:t>de</w:t>
      </w:r>
      <w:r w:rsidRPr="00D5464D">
        <w:rPr>
          <w:rFonts w:cs="Arial"/>
          <w:iCs/>
          <w:szCs w:val="20"/>
          <w:lang w:val="pt-BR"/>
        </w:rPr>
        <w:t xml:space="preserve"> </w:t>
      </w:r>
      <w:r w:rsidR="004B0842" w:rsidRPr="00D5464D">
        <w:rPr>
          <w:rFonts w:cs="Arial"/>
          <w:iCs/>
          <w:szCs w:val="20"/>
          <w:lang w:val="pt-BR"/>
        </w:rPr>
        <w:t>forma completa, identificar</w:t>
      </w:r>
      <w:r w:rsidR="00E045D9" w:rsidRPr="00D5464D">
        <w:rPr>
          <w:rFonts w:cs="Arial"/>
          <w:iCs/>
          <w:szCs w:val="20"/>
          <w:lang w:val="pt-BR"/>
        </w:rPr>
        <w:t xml:space="preserve"> os </w:t>
      </w:r>
      <w:r w:rsidR="002C330E" w:rsidRPr="00D5464D">
        <w:rPr>
          <w:rFonts w:cs="Arial"/>
          <w:iCs/>
          <w:szCs w:val="20"/>
          <w:lang w:val="pt-BR"/>
        </w:rPr>
        <w:t>responsáveis</w:t>
      </w:r>
      <w:r w:rsidR="004B0842" w:rsidRPr="00D5464D">
        <w:rPr>
          <w:rFonts w:cs="Arial"/>
          <w:iCs/>
          <w:szCs w:val="20"/>
          <w:lang w:val="pt-BR"/>
        </w:rPr>
        <w:t xml:space="preserve"> e </w:t>
      </w:r>
      <w:r w:rsidR="00737270" w:rsidRPr="00D5464D">
        <w:rPr>
          <w:rFonts w:cs="Arial"/>
          <w:iCs/>
          <w:szCs w:val="20"/>
          <w:lang w:val="pt-BR"/>
        </w:rPr>
        <w:t>impor</w:t>
      </w:r>
      <w:r w:rsidR="002C330E" w:rsidRPr="00D5464D">
        <w:rPr>
          <w:rFonts w:cs="Arial"/>
          <w:iCs/>
          <w:szCs w:val="20"/>
          <w:lang w:val="pt-BR"/>
        </w:rPr>
        <w:t xml:space="preserve"> as </w:t>
      </w:r>
      <w:r w:rsidR="004B0842" w:rsidRPr="00D5464D">
        <w:rPr>
          <w:rFonts w:cs="Arial"/>
          <w:iCs/>
          <w:szCs w:val="20"/>
          <w:lang w:val="pt-BR"/>
        </w:rPr>
        <w:t>san</w:t>
      </w:r>
      <w:r w:rsidRPr="00D5464D">
        <w:rPr>
          <w:rFonts w:cs="Arial"/>
          <w:iCs/>
          <w:szCs w:val="20"/>
          <w:lang w:val="pt-BR"/>
        </w:rPr>
        <w:t>ções</w:t>
      </w:r>
      <w:r w:rsidR="004B0842" w:rsidRPr="00D5464D">
        <w:rPr>
          <w:rFonts w:cs="Arial"/>
          <w:iCs/>
          <w:szCs w:val="20"/>
          <w:lang w:val="pt-BR"/>
        </w:rPr>
        <w:t xml:space="preserve"> </w:t>
      </w:r>
      <w:r w:rsidR="00AC6313" w:rsidRPr="00D5464D">
        <w:rPr>
          <w:rFonts w:cs="Arial"/>
          <w:iCs/>
          <w:szCs w:val="20"/>
          <w:lang w:val="pt-BR"/>
        </w:rPr>
        <w:t>correspondentes</w:t>
      </w:r>
      <w:r w:rsidR="004B0842" w:rsidRPr="00D5464D">
        <w:rPr>
          <w:rFonts w:cs="Arial"/>
          <w:iCs/>
          <w:szCs w:val="20"/>
          <w:lang w:val="pt-BR"/>
        </w:rPr>
        <w:t>.</w:t>
      </w:r>
    </w:p>
    <w:p w14:paraId="6A6E6BC3" w14:textId="77777777" w:rsidR="004B0842" w:rsidRPr="00D5464D" w:rsidRDefault="004B0842" w:rsidP="004B0842">
      <w:pPr>
        <w:pStyle w:val="Prrafodelista"/>
        <w:autoSpaceDE w:val="0"/>
        <w:autoSpaceDN w:val="0"/>
        <w:adjustRightInd w:val="0"/>
        <w:rPr>
          <w:rFonts w:cs="Arial"/>
          <w:iCs/>
          <w:szCs w:val="20"/>
          <w:lang w:val="pt-BR"/>
        </w:rPr>
      </w:pPr>
    </w:p>
    <w:p w14:paraId="29290FE0" w14:textId="7ADA19F1" w:rsidR="004B0842" w:rsidRPr="00D5464D" w:rsidRDefault="004B0842"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Adicionalmente</w:t>
      </w:r>
      <w:r w:rsidR="00AC6313" w:rsidRPr="00D5464D">
        <w:rPr>
          <w:rFonts w:cs="Arial"/>
          <w:iCs/>
          <w:szCs w:val="20"/>
          <w:lang w:val="pt-BR"/>
        </w:rPr>
        <w:t>,</w:t>
      </w:r>
      <w:r w:rsidR="002C330E" w:rsidRPr="00D5464D">
        <w:rPr>
          <w:rFonts w:cs="Arial"/>
          <w:iCs/>
          <w:szCs w:val="20"/>
          <w:lang w:val="pt-BR"/>
        </w:rPr>
        <w:t xml:space="preserve"> a </w:t>
      </w:r>
      <w:r w:rsidR="00470ADC" w:rsidRPr="00D5464D">
        <w:rPr>
          <w:rFonts w:cs="Arial"/>
          <w:iCs/>
          <w:szCs w:val="20"/>
          <w:lang w:val="pt-BR"/>
        </w:rPr>
        <w:t>Comissão</w:t>
      </w:r>
      <w:r w:rsidRPr="00D5464D">
        <w:rPr>
          <w:rFonts w:cs="Arial"/>
          <w:iCs/>
          <w:szCs w:val="20"/>
          <w:lang w:val="pt-BR"/>
        </w:rPr>
        <w:t xml:space="preserve"> </w:t>
      </w:r>
      <w:r w:rsidR="002C330E" w:rsidRPr="00D5464D">
        <w:rPr>
          <w:rFonts w:cs="Arial"/>
          <w:iCs/>
          <w:szCs w:val="20"/>
          <w:lang w:val="pt-BR"/>
        </w:rPr>
        <w:t>solicitou</w:t>
      </w:r>
      <w:r w:rsidRPr="00D5464D">
        <w:rPr>
          <w:rFonts w:cs="Arial"/>
          <w:iCs/>
          <w:szCs w:val="20"/>
          <w:lang w:val="pt-BR"/>
        </w:rPr>
        <w:t xml:space="preserve"> que se </w:t>
      </w:r>
      <w:r w:rsidR="00470ADC" w:rsidRPr="00D5464D">
        <w:rPr>
          <w:rFonts w:cs="Arial"/>
          <w:iCs/>
          <w:szCs w:val="20"/>
          <w:lang w:val="pt-BR"/>
        </w:rPr>
        <w:t>estabeleça</w:t>
      </w:r>
      <w:r w:rsidR="00E045D9" w:rsidRPr="00D5464D">
        <w:rPr>
          <w:rFonts w:cs="Arial"/>
          <w:iCs/>
          <w:szCs w:val="20"/>
          <w:lang w:val="pt-BR"/>
        </w:rPr>
        <w:t xml:space="preserve"> um </w:t>
      </w:r>
      <w:r w:rsidRPr="00D5464D">
        <w:rPr>
          <w:rFonts w:cs="Arial"/>
          <w:iCs/>
          <w:szCs w:val="20"/>
          <w:lang w:val="pt-BR"/>
        </w:rPr>
        <w:t>mecanismo que facilite</w:t>
      </w:r>
      <w:r w:rsidR="002C330E" w:rsidRPr="00D5464D">
        <w:rPr>
          <w:rFonts w:cs="Arial"/>
          <w:iCs/>
          <w:szCs w:val="20"/>
          <w:lang w:val="pt-BR"/>
        </w:rPr>
        <w:t xml:space="preserve"> a </w:t>
      </w:r>
      <w:r w:rsidRPr="00D5464D">
        <w:rPr>
          <w:rFonts w:cs="Arial"/>
          <w:iCs/>
          <w:szCs w:val="20"/>
          <w:lang w:val="pt-BR"/>
        </w:rPr>
        <w:t>localiza</w:t>
      </w:r>
      <w:r w:rsidR="00470ADC" w:rsidRPr="00D5464D">
        <w:rPr>
          <w:rFonts w:cs="Arial"/>
          <w:iCs/>
          <w:szCs w:val="20"/>
          <w:lang w:val="pt-BR"/>
        </w:rPr>
        <w:t xml:space="preserve">ção das </w:t>
      </w:r>
      <w:r w:rsidR="00E045D9" w:rsidRPr="00D5464D">
        <w:rPr>
          <w:rFonts w:cs="Arial"/>
          <w:iCs/>
          <w:szCs w:val="20"/>
          <w:lang w:val="pt-BR"/>
        </w:rPr>
        <w:t>vítima</w:t>
      </w:r>
      <w:r w:rsidRPr="00D5464D">
        <w:rPr>
          <w:rFonts w:cs="Arial"/>
          <w:iCs/>
          <w:szCs w:val="20"/>
          <w:lang w:val="pt-BR"/>
        </w:rPr>
        <w:t xml:space="preserve">s de </w:t>
      </w:r>
      <w:r w:rsidR="00E045D9" w:rsidRPr="00D5464D">
        <w:rPr>
          <w:rFonts w:cs="Arial"/>
          <w:iCs/>
          <w:szCs w:val="20"/>
          <w:lang w:val="pt-BR"/>
        </w:rPr>
        <w:t>trabalho</w:t>
      </w:r>
      <w:r w:rsidRPr="00D5464D">
        <w:rPr>
          <w:rFonts w:cs="Arial"/>
          <w:iCs/>
          <w:szCs w:val="20"/>
          <w:lang w:val="pt-BR"/>
        </w:rPr>
        <w:t xml:space="preserve"> </w:t>
      </w:r>
      <w:r w:rsidR="004F1CC2" w:rsidRPr="00D5464D">
        <w:rPr>
          <w:rFonts w:cs="Arial"/>
          <w:iCs/>
          <w:szCs w:val="20"/>
          <w:lang w:val="pt-BR"/>
        </w:rPr>
        <w:t>escravo</w:t>
      </w:r>
      <w:r w:rsidR="00E045D9" w:rsidRPr="00D5464D">
        <w:rPr>
          <w:rFonts w:cs="Arial"/>
          <w:iCs/>
          <w:szCs w:val="20"/>
          <w:lang w:val="pt-BR"/>
        </w:rPr>
        <w:t xml:space="preserve"> e </w:t>
      </w:r>
      <w:r w:rsidRPr="00D5464D">
        <w:rPr>
          <w:rFonts w:cs="Arial"/>
          <w:iCs/>
          <w:szCs w:val="20"/>
          <w:lang w:val="pt-BR"/>
        </w:rPr>
        <w:t xml:space="preserve">de </w:t>
      </w:r>
      <w:r w:rsidR="008B075C" w:rsidRPr="00D5464D">
        <w:rPr>
          <w:rFonts w:cs="Arial"/>
          <w:iCs/>
          <w:szCs w:val="20"/>
          <w:lang w:val="pt-BR"/>
        </w:rPr>
        <w:t xml:space="preserve">Iron Canuto </w:t>
      </w:r>
      <w:r w:rsidR="00BE63A6" w:rsidRPr="00D5464D">
        <w:rPr>
          <w:rFonts w:cs="Arial"/>
          <w:iCs/>
          <w:szCs w:val="20"/>
          <w:lang w:val="pt-BR"/>
        </w:rPr>
        <w:t>da Silva</w:t>
      </w:r>
      <w:r w:rsidRPr="00D5464D">
        <w:rPr>
          <w:rFonts w:cs="Arial"/>
          <w:iCs/>
          <w:szCs w:val="20"/>
          <w:lang w:val="pt-BR"/>
        </w:rPr>
        <w:t xml:space="preserve">, </w:t>
      </w:r>
      <w:r w:rsidR="00200C04" w:rsidRPr="00D5464D">
        <w:rPr>
          <w:rFonts w:cs="Arial"/>
          <w:iCs/>
          <w:szCs w:val="20"/>
          <w:lang w:val="pt-BR"/>
        </w:rPr>
        <w:t xml:space="preserve">Luis Ferreira </w:t>
      </w:r>
      <w:r w:rsidR="00867094" w:rsidRPr="00D5464D">
        <w:rPr>
          <w:rFonts w:cs="Arial"/>
          <w:iCs/>
          <w:szCs w:val="20"/>
          <w:lang w:val="pt-BR"/>
        </w:rPr>
        <w:t>da Cruz</w:t>
      </w:r>
      <w:r w:rsidRPr="00D5464D">
        <w:rPr>
          <w:rFonts w:cs="Arial"/>
          <w:iCs/>
          <w:szCs w:val="20"/>
          <w:lang w:val="pt-BR"/>
        </w:rPr>
        <w:t>, Adailton Martins dos Reis</w:t>
      </w:r>
      <w:r w:rsidR="002A0C2B" w:rsidRPr="00D5464D">
        <w:rPr>
          <w:rFonts w:cs="Arial"/>
          <w:iCs/>
          <w:szCs w:val="20"/>
          <w:lang w:val="pt-BR"/>
        </w:rPr>
        <w:t xml:space="preserve"> e </w:t>
      </w:r>
      <w:r w:rsidR="00E765C2" w:rsidRPr="00D5464D">
        <w:rPr>
          <w:rFonts w:cs="Arial"/>
          <w:iCs/>
          <w:szCs w:val="20"/>
          <w:lang w:val="pt-BR"/>
        </w:rPr>
        <w:t xml:space="preserve">José </w:t>
      </w:r>
      <w:r w:rsidRPr="00D5464D">
        <w:rPr>
          <w:rFonts w:cs="Arial"/>
          <w:iCs/>
          <w:szCs w:val="20"/>
          <w:lang w:val="pt-BR"/>
        </w:rPr>
        <w:t xml:space="preserve">Soriano da Costa, </w:t>
      </w:r>
      <w:r w:rsidR="00AC6313" w:rsidRPr="00D5464D">
        <w:rPr>
          <w:rFonts w:cs="Arial"/>
          <w:iCs/>
          <w:szCs w:val="20"/>
          <w:lang w:val="pt-BR"/>
        </w:rPr>
        <w:t xml:space="preserve">bem </w:t>
      </w:r>
      <w:r w:rsidRPr="00D5464D">
        <w:rPr>
          <w:rFonts w:cs="Arial"/>
          <w:iCs/>
          <w:szCs w:val="20"/>
          <w:lang w:val="pt-BR"/>
        </w:rPr>
        <w:t>como</w:t>
      </w:r>
      <w:r w:rsidR="002C330E" w:rsidRPr="00D5464D">
        <w:rPr>
          <w:rFonts w:cs="Arial"/>
          <w:iCs/>
          <w:szCs w:val="20"/>
          <w:lang w:val="pt-BR"/>
        </w:rPr>
        <w:t xml:space="preserve"> </w:t>
      </w:r>
      <w:r w:rsidR="00BC6EE0" w:rsidRPr="00D5464D">
        <w:rPr>
          <w:rFonts w:cs="Arial"/>
          <w:iCs/>
          <w:szCs w:val="20"/>
          <w:lang w:val="pt-BR"/>
        </w:rPr>
        <w:t>d</w:t>
      </w:r>
      <w:r w:rsidR="002C330E" w:rsidRPr="00D5464D">
        <w:rPr>
          <w:rFonts w:cs="Arial"/>
          <w:iCs/>
          <w:szCs w:val="20"/>
          <w:lang w:val="pt-BR"/>
        </w:rPr>
        <w:t xml:space="preserve">os </w:t>
      </w:r>
      <w:r w:rsidRPr="00D5464D">
        <w:rPr>
          <w:rFonts w:cs="Arial"/>
          <w:iCs/>
          <w:szCs w:val="20"/>
          <w:lang w:val="pt-BR"/>
        </w:rPr>
        <w:t>familiares</w:t>
      </w:r>
      <w:r w:rsidR="00470ADC" w:rsidRPr="00D5464D">
        <w:rPr>
          <w:rFonts w:cs="Arial"/>
          <w:iCs/>
          <w:szCs w:val="20"/>
          <w:lang w:val="pt-BR"/>
        </w:rPr>
        <w:t xml:space="preserve"> dos </w:t>
      </w:r>
      <w:r w:rsidRPr="00D5464D">
        <w:rPr>
          <w:rFonts w:cs="Arial"/>
          <w:iCs/>
          <w:szCs w:val="20"/>
          <w:lang w:val="pt-BR"/>
        </w:rPr>
        <w:t>do</w:t>
      </w:r>
      <w:r w:rsidR="00AC6313" w:rsidRPr="00D5464D">
        <w:rPr>
          <w:rFonts w:cs="Arial"/>
          <w:iCs/>
          <w:szCs w:val="20"/>
          <w:lang w:val="pt-BR"/>
        </w:rPr>
        <w:t>i</w:t>
      </w:r>
      <w:r w:rsidRPr="00D5464D">
        <w:rPr>
          <w:rFonts w:cs="Arial"/>
          <w:iCs/>
          <w:szCs w:val="20"/>
          <w:lang w:val="pt-BR"/>
        </w:rPr>
        <w:t xml:space="preserve">s </w:t>
      </w:r>
      <w:r w:rsidR="002C330E" w:rsidRPr="00D5464D">
        <w:rPr>
          <w:rFonts w:cs="Arial"/>
          <w:iCs/>
          <w:szCs w:val="20"/>
          <w:lang w:val="pt-BR"/>
        </w:rPr>
        <w:t>primeiro</w:t>
      </w:r>
      <w:r w:rsidRPr="00D5464D">
        <w:rPr>
          <w:rFonts w:cs="Arial"/>
          <w:iCs/>
          <w:szCs w:val="20"/>
          <w:lang w:val="pt-BR"/>
        </w:rPr>
        <w:t>s,</w:t>
      </w:r>
      <w:r w:rsidR="00E765C2" w:rsidRPr="00D5464D">
        <w:rPr>
          <w:rFonts w:cs="Arial"/>
          <w:iCs/>
          <w:szCs w:val="20"/>
          <w:lang w:val="pt-BR"/>
        </w:rPr>
        <w:t xml:space="preserve"> José </w:t>
      </w:r>
      <w:r w:rsidRPr="00D5464D">
        <w:rPr>
          <w:rFonts w:cs="Arial"/>
          <w:iCs/>
          <w:szCs w:val="20"/>
          <w:lang w:val="pt-BR"/>
        </w:rPr>
        <w:t>Teodoro da Silva</w:t>
      </w:r>
      <w:r w:rsidR="00E045D9" w:rsidRPr="00D5464D">
        <w:rPr>
          <w:rFonts w:cs="Arial"/>
          <w:iCs/>
          <w:szCs w:val="20"/>
          <w:lang w:val="pt-BR"/>
        </w:rPr>
        <w:t xml:space="preserve"> e </w:t>
      </w:r>
      <w:r w:rsidRPr="00D5464D">
        <w:rPr>
          <w:rFonts w:cs="Arial"/>
          <w:iCs/>
          <w:szCs w:val="20"/>
          <w:lang w:val="pt-BR"/>
        </w:rPr>
        <w:t>Miguel Ferreira da Cruz,</w:t>
      </w:r>
      <w:r w:rsidR="00470ADC" w:rsidRPr="00D5464D">
        <w:rPr>
          <w:rFonts w:cs="Arial"/>
          <w:iCs/>
          <w:szCs w:val="20"/>
          <w:lang w:val="pt-BR"/>
        </w:rPr>
        <w:t xml:space="preserve"> com o fim </w:t>
      </w:r>
      <w:r w:rsidRPr="00D5464D">
        <w:rPr>
          <w:rFonts w:cs="Arial"/>
          <w:iCs/>
          <w:szCs w:val="20"/>
          <w:lang w:val="pt-BR"/>
        </w:rPr>
        <w:t xml:space="preserve">de </w:t>
      </w:r>
      <w:r w:rsidR="00737270" w:rsidRPr="00D5464D">
        <w:rPr>
          <w:rFonts w:cs="Arial"/>
          <w:iCs/>
          <w:szCs w:val="20"/>
          <w:lang w:val="pt-BR"/>
        </w:rPr>
        <w:t>repará-l</w:t>
      </w:r>
      <w:r w:rsidRPr="00D5464D">
        <w:rPr>
          <w:rFonts w:cs="Arial"/>
          <w:iCs/>
          <w:szCs w:val="20"/>
          <w:lang w:val="pt-BR"/>
        </w:rPr>
        <w:t>os.</w:t>
      </w:r>
    </w:p>
    <w:p w14:paraId="2752DDC4" w14:textId="77777777" w:rsidR="004B0842" w:rsidRPr="00D5464D" w:rsidRDefault="004B0842" w:rsidP="004B0842">
      <w:pPr>
        <w:pStyle w:val="Prrafodelista"/>
        <w:autoSpaceDE w:val="0"/>
        <w:autoSpaceDN w:val="0"/>
        <w:adjustRightInd w:val="0"/>
        <w:rPr>
          <w:rFonts w:cs="Arial"/>
          <w:iCs/>
          <w:szCs w:val="20"/>
          <w:lang w:val="pt-BR"/>
        </w:rPr>
      </w:pPr>
    </w:p>
    <w:p w14:paraId="3112766E" w14:textId="2E2369CB" w:rsidR="004B0842" w:rsidRPr="00D5464D" w:rsidRDefault="00737270"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Os </w:t>
      </w:r>
      <w:r w:rsidR="00EB1CE9" w:rsidRPr="00D5464D">
        <w:rPr>
          <w:rFonts w:cs="Arial"/>
          <w:b/>
          <w:i/>
          <w:iCs/>
          <w:szCs w:val="20"/>
          <w:lang w:val="pt-BR"/>
        </w:rPr>
        <w:t>representante</w:t>
      </w:r>
      <w:r w:rsidRPr="00D5464D">
        <w:rPr>
          <w:rFonts w:cs="Arial"/>
          <w:b/>
          <w:i/>
          <w:iCs/>
          <w:szCs w:val="20"/>
          <w:lang w:val="pt-BR"/>
        </w:rPr>
        <w:t>s</w:t>
      </w:r>
      <w:r w:rsidRPr="00D5464D">
        <w:rPr>
          <w:rFonts w:cs="Arial"/>
          <w:iCs/>
          <w:szCs w:val="20"/>
          <w:lang w:val="pt-BR"/>
        </w:rPr>
        <w:t xml:space="preserve"> </w:t>
      </w:r>
      <w:r w:rsidR="00470ADC" w:rsidRPr="00D5464D">
        <w:rPr>
          <w:rFonts w:cs="Arial"/>
          <w:iCs/>
          <w:szCs w:val="20"/>
          <w:lang w:val="pt-BR"/>
        </w:rPr>
        <w:t>coincidiram com</w:t>
      </w:r>
      <w:r w:rsidR="002C330E" w:rsidRPr="00D5464D">
        <w:rPr>
          <w:rFonts w:cs="Arial"/>
          <w:iCs/>
          <w:szCs w:val="20"/>
          <w:lang w:val="pt-BR"/>
        </w:rPr>
        <w:t xml:space="preserve"> a </w:t>
      </w:r>
      <w:r w:rsidR="00470ADC" w:rsidRPr="00D5464D">
        <w:rPr>
          <w:rFonts w:cs="Arial"/>
          <w:iCs/>
          <w:szCs w:val="20"/>
          <w:lang w:val="pt-BR"/>
        </w:rPr>
        <w:t>Comissão</w:t>
      </w:r>
      <w:r w:rsidR="00E045D9" w:rsidRPr="00D5464D">
        <w:rPr>
          <w:rFonts w:cs="Arial"/>
          <w:iCs/>
          <w:szCs w:val="20"/>
          <w:lang w:val="pt-BR"/>
        </w:rPr>
        <w:t xml:space="preserve"> e </w:t>
      </w:r>
      <w:r w:rsidR="00470ADC" w:rsidRPr="00D5464D">
        <w:rPr>
          <w:rFonts w:cs="Arial"/>
          <w:iCs/>
          <w:szCs w:val="20"/>
          <w:lang w:val="pt-BR"/>
        </w:rPr>
        <w:t xml:space="preserve">o </w:t>
      </w:r>
      <w:r w:rsidRPr="00D5464D">
        <w:rPr>
          <w:rFonts w:cs="Arial"/>
          <w:b/>
          <w:i/>
          <w:iCs/>
          <w:szCs w:val="20"/>
          <w:lang w:val="pt-BR"/>
        </w:rPr>
        <w:t xml:space="preserve">Estado </w:t>
      </w:r>
      <w:r w:rsidRPr="00D5464D">
        <w:rPr>
          <w:rFonts w:cs="Arial"/>
          <w:iCs/>
          <w:szCs w:val="20"/>
          <w:lang w:val="pt-BR"/>
        </w:rPr>
        <w:t>não se referiu</w:t>
      </w:r>
      <w:r w:rsidR="004B0842" w:rsidRPr="00D5464D">
        <w:rPr>
          <w:rFonts w:cs="Arial"/>
          <w:iCs/>
          <w:szCs w:val="20"/>
          <w:lang w:val="pt-BR"/>
        </w:rPr>
        <w:t xml:space="preserve"> a est</w:t>
      </w:r>
      <w:r w:rsidR="00AC6313" w:rsidRPr="00D5464D">
        <w:rPr>
          <w:rFonts w:cs="Arial"/>
          <w:iCs/>
          <w:szCs w:val="20"/>
          <w:lang w:val="pt-BR"/>
        </w:rPr>
        <w:t>e</w:t>
      </w:r>
      <w:r w:rsidR="004B0842" w:rsidRPr="00D5464D">
        <w:rPr>
          <w:rFonts w:cs="Arial"/>
          <w:iCs/>
          <w:szCs w:val="20"/>
          <w:lang w:val="pt-BR"/>
        </w:rPr>
        <w:t xml:space="preserve"> </w:t>
      </w:r>
      <w:r w:rsidR="00C91CB1" w:rsidRPr="00D5464D">
        <w:rPr>
          <w:rFonts w:cs="Arial"/>
          <w:iCs/>
          <w:szCs w:val="20"/>
          <w:lang w:val="pt-BR"/>
        </w:rPr>
        <w:t>pedido</w:t>
      </w:r>
      <w:r w:rsidR="004B0842" w:rsidRPr="00D5464D">
        <w:rPr>
          <w:rFonts w:cs="Arial"/>
          <w:iCs/>
          <w:szCs w:val="20"/>
          <w:lang w:val="pt-BR"/>
        </w:rPr>
        <w:t>.</w:t>
      </w:r>
    </w:p>
    <w:p w14:paraId="2C5625B7" w14:textId="77777777" w:rsidR="004B0842" w:rsidRPr="00D5464D" w:rsidRDefault="004B0842" w:rsidP="004B0842">
      <w:pPr>
        <w:pStyle w:val="Prrafodelista"/>
        <w:autoSpaceDE w:val="0"/>
        <w:autoSpaceDN w:val="0"/>
        <w:adjustRightInd w:val="0"/>
        <w:rPr>
          <w:rFonts w:cs="Arial"/>
          <w:iCs/>
          <w:szCs w:val="20"/>
          <w:lang w:val="pt-BR"/>
        </w:rPr>
      </w:pPr>
    </w:p>
    <w:p w14:paraId="7FF1A974" w14:textId="7116E603" w:rsidR="00640DA8" w:rsidRPr="00D5464D" w:rsidRDefault="00AC6313"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Tendo em vista</w:t>
      </w:r>
      <w:r w:rsidR="004B0842" w:rsidRPr="00D5464D">
        <w:rPr>
          <w:rFonts w:cs="Arial"/>
          <w:iCs/>
          <w:szCs w:val="20"/>
          <w:lang w:val="pt-BR"/>
        </w:rPr>
        <w:t xml:space="preserve"> que</w:t>
      </w:r>
      <w:r w:rsidR="002C330E" w:rsidRPr="00D5464D">
        <w:rPr>
          <w:rFonts w:cs="Arial"/>
          <w:iCs/>
          <w:szCs w:val="20"/>
          <w:lang w:val="pt-BR"/>
        </w:rPr>
        <w:t xml:space="preserve"> a </w:t>
      </w:r>
      <w:r w:rsidR="004B0842" w:rsidRPr="00D5464D">
        <w:rPr>
          <w:rFonts w:cs="Arial"/>
          <w:iCs/>
          <w:szCs w:val="20"/>
          <w:lang w:val="pt-BR"/>
        </w:rPr>
        <w:t xml:space="preserve">Corte </w:t>
      </w:r>
      <w:r w:rsidR="00470ADC" w:rsidRPr="00D5464D">
        <w:rPr>
          <w:rFonts w:cs="Arial"/>
          <w:iCs/>
          <w:szCs w:val="20"/>
          <w:lang w:val="pt-BR"/>
        </w:rPr>
        <w:t>concluiu</w:t>
      </w:r>
      <w:r w:rsidR="00E045D9" w:rsidRPr="00D5464D">
        <w:rPr>
          <w:rFonts w:cs="Arial"/>
          <w:iCs/>
          <w:szCs w:val="20"/>
          <w:lang w:val="pt-BR"/>
        </w:rPr>
        <w:t xml:space="preserve"> no </w:t>
      </w:r>
      <w:r w:rsidR="003A3C64" w:rsidRPr="00D5464D">
        <w:rPr>
          <w:rFonts w:cs="Arial"/>
          <w:iCs/>
          <w:szCs w:val="20"/>
          <w:lang w:val="pt-BR"/>
        </w:rPr>
        <w:t>capítulo VIII-2</w:t>
      </w:r>
      <w:r w:rsidR="004B0842" w:rsidRPr="00D5464D">
        <w:rPr>
          <w:rFonts w:cs="Arial"/>
          <w:iCs/>
          <w:szCs w:val="20"/>
          <w:lang w:val="pt-BR"/>
        </w:rPr>
        <w:t xml:space="preserve"> que </w:t>
      </w:r>
      <w:r w:rsidRPr="00D5464D">
        <w:rPr>
          <w:rFonts w:cs="Arial"/>
          <w:iCs/>
          <w:szCs w:val="20"/>
          <w:lang w:val="pt-BR"/>
        </w:rPr>
        <w:t xml:space="preserve">o </w:t>
      </w:r>
      <w:r w:rsidR="004B0842" w:rsidRPr="00D5464D">
        <w:rPr>
          <w:rFonts w:cs="Arial"/>
          <w:iCs/>
          <w:szCs w:val="20"/>
          <w:lang w:val="pt-BR"/>
        </w:rPr>
        <w:t xml:space="preserve">Brasil </w:t>
      </w:r>
      <w:r w:rsidR="00A1358C" w:rsidRPr="00D5464D">
        <w:rPr>
          <w:rFonts w:cs="Arial"/>
          <w:iCs/>
          <w:szCs w:val="20"/>
          <w:lang w:val="pt-BR"/>
        </w:rPr>
        <w:t>não violou</w:t>
      </w:r>
      <w:r w:rsidR="002C330E" w:rsidRPr="00D5464D">
        <w:rPr>
          <w:rFonts w:cs="Arial"/>
          <w:iCs/>
          <w:szCs w:val="20"/>
          <w:lang w:val="pt-BR"/>
        </w:rPr>
        <w:t xml:space="preserve"> a </w:t>
      </w:r>
      <w:r w:rsidR="004B0842" w:rsidRPr="00D5464D">
        <w:rPr>
          <w:rFonts w:cs="Arial"/>
          <w:iCs/>
          <w:szCs w:val="20"/>
          <w:lang w:val="pt-BR"/>
        </w:rPr>
        <w:t>Conven</w:t>
      </w:r>
      <w:r w:rsidR="00470ADC" w:rsidRPr="00D5464D">
        <w:rPr>
          <w:rFonts w:cs="Arial"/>
          <w:iCs/>
          <w:szCs w:val="20"/>
          <w:lang w:val="pt-BR"/>
        </w:rPr>
        <w:t>ção</w:t>
      </w:r>
      <w:r w:rsidR="004B0842" w:rsidRPr="00D5464D">
        <w:rPr>
          <w:rFonts w:cs="Arial"/>
          <w:iCs/>
          <w:szCs w:val="20"/>
          <w:lang w:val="pt-BR"/>
        </w:rPr>
        <w:t xml:space="preserve"> Americana </w:t>
      </w:r>
      <w:r w:rsidRPr="00D5464D">
        <w:rPr>
          <w:rFonts w:cs="Arial"/>
          <w:iCs/>
          <w:szCs w:val="20"/>
          <w:lang w:val="pt-BR"/>
        </w:rPr>
        <w:t xml:space="preserve">em relação ao </w:t>
      </w:r>
      <w:r w:rsidR="004B0842" w:rsidRPr="00D5464D">
        <w:rPr>
          <w:rFonts w:cs="Arial"/>
          <w:iCs/>
          <w:szCs w:val="20"/>
          <w:lang w:val="pt-BR"/>
        </w:rPr>
        <w:t>su</w:t>
      </w:r>
      <w:r w:rsidR="002C330E" w:rsidRPr="00D5464D">
        <w:rPr>
          <w:rFonts w:cs="Arial"/>
          <w:iCs/>
          <w:szCs w:val="20"/>
          <w:lang w:val="pt-BR"/>
        </w:rPr>
        <w:t>post</w:t>
      </w:r>
      <w:r w:rsidR="00E045D9" w:rsidRPr="00D5464D">
        <w:rPr>
          <w:rFonts w:cs="Arial"/>
          <w:iCs/>
          <w:szCs w:val="20"/>
          <w:lang w:val="pt-BR"/>
        </w:rPr>
        <w:t>o desaparecimento</w:t>
      </w:r>
      <w:r w:rsidR="004B0842" w:rsidRPr="00D5464D">
        <w:rPr>
          <w:rFonts w:cs="Arial"/>
          <w:iCs/>
          <w:szCs w:val="20"/>
          <w:lang w:val="pt-BR"/>
        </w:rPr>
        <w:t xml:space="preserve"> de </w:t>
      </w:r>
      <w:r w:rsidR="008B075C" w:rsidRPr="00D5464D">
        <w:rPr>
          <w:rFonts w:cs="Arial"/>
          <w:iCs/>
          <w:szCs w:val="20"/>
          <w:lang w:val="pt-BR"/>
        </w:rPr>
        <w:t xml:space="preserve">Iron Canuto </w:t>
      </w:r>
      <w:r w:rsidR="00BE63A6" w:rsidRPr="00D5464D">
        <w:rPr>
          <w:rFonts w:cs="Arial"/>
          <w:iCs/>
          <w:szCs w:val="20"/>
          <w:lang w:val="pt-BR"/>
        </w:rPr>
        <w:t>da Silva</w:t>
      </w:r>
      <w:r w:rsidR="00E045D9" w:rsidRPr="00D5464D">
        <w:rPr>
          <w:rFonts w:cs="Arial"/>
          <w:iCs/>
          <w:szCs w:val="20"/>
          <w:lang w:val="pt-BR"/>
        </w:rPr>
        <w:t xml:space="preserve"> e </w:t>
      </w:r>
      <w:r w:rsidR="00200C04" w:rsidRPr="00D5464D">
        <w:rPr>
          <w:rFonts w:cs="Arial"/>
          <w:iCs/>
          <w:szCs w:val="20"/>
          <w:lang w:val="pt-BR"/>
        </w:rPr>
        <w:t xml:space="preserve">Luis Ferreira </w:t>
      </w:r>
      <w:r w:rsidR="00867094" w:rsidRPr="00D5464D">
        <w:rPr>
          <w:rFonts w:cs="Arial"/>
          <w:iCs/>
          <w:szCs w:val="20"/>
          <w:lang w:val="pt-BR"/>
        </w:rPr>
        <w:t>da Cruz</w:t>
      </w:r>
      <w:r w:rsidR="004B0842" w:rsidRPr="00D5464D">
        <w:rPr>
          <w:rFonts w:cs="Arial"/>
          <w:iCs/>
          <w:szCs w:val="20"/>
          <w:lang w:val="pt-BR"/>
        </w:rPr>
        <w:t xml:space="preserve">, </w:t>
      </w:r>
      <w:r w:rsidR="00737270" w:rsidRPr="00D5464D">
        <w:rPr>
          <w:rFonts w:cs="Arial"/>
          <w:iCs/>
          <w:szCs w:val="20"/>
          <w:lang w:val="pt-BR"/>
        </w:rPr>
        <w:t>não é</w:t>
      </w:r>
      <w:r w:rsidR="00470ADC" w:rsidRPr="00D5464D">
        <w:rPr>
          <w:rFonts w:cs="Arial"/>
          <w:iCs/>
          <w:szCs w:val="20"/>
          <w:lang w:val="pt-BR"/>
        </w:rPr>
        <w:t xml:space="preserve"> </w:t>
      </w:r>
      <w:r w:rsidR="002C330E" w:rsidRPr="00D5464D">
        <w:rPr>
          <w:rFonts w:cs="Arial"/>
          <w:iCs/>
          <w:szCs w:val="20"/>
          <w:lang w:val="pt-BR"/>
        </w:rPr>
        <w:t xml:space="preserve">possível </w:t>
      </w:r>
      <w:r w:rsidRPr="00D5464D">
        <w:rPr>
          <w:rFonts w:cs="Arial"/>
          <w:iCs/>
          <w:szCs w:val="20"/>
          <w:lang w:val="pt-BR"/>
        </w:rPr>
        <w:t xml:space="preserve">ordenar </w:t>
      </w:r>
      <w:r w:rsidR="002C330E" w:rsidRPr="00D5464D">
        <w:rPr>
          <w:rFonts w:cs="Arial"/>
          <w:iCs/>
          <w:szCs w:val="20"/>
          <w:lang w:val="pt-BR"/>
        </w:rPr>
        <w:t>nenhuma</w:t>
      </w:r>
      <w:r w:rsidR="004B0842" w:rsidRPr="00D5464D">
        <w:rPr>
          <w:rFonts w:cs="Arial"/>
          <w:iCs/>
          <w:szCs w:val="20"/>
          <w:lang w:val="pt-BR"/>
        </w:rPr>
        <w:t xml:space="preserve"> medida de repara</w:t>
      </w:r>
      <w:r w:rsidR="00470ADC" w:rsidRPr="00D5464D">
        <w:rPr>
          <w:rFonts w:cs="Arial"/>
          <w:iCs/>
          <w:szCs w:val="20"/>
          <w:lang w:val="pt-BR"/>
        </w:rPr>
        <w:t>ção</w:t>
      </w:r>
      <w:r w:rsidR="00E045D9" w:rsidRPr="00D5464D">
        <w:rPr>
          <w:rFonts w:cs="Arial"/>
          <w:iCs/>
          <w:szCs w:val="20"/>
          <w:lang w:val="pt-BR"/>
        </w:rPr>
        <w:t xml:space="preserve"> </w:t>
      </w:r>
      <w:r w:rsidRPr="00D5464D">
        <w:rPr>
          <w:rFonts w:cs="Arial"/>
          <w:iCs/>
          <w:szCs w:val="20"/>
          <w:lang w:val="pt-BR"/>
        </w:rPr>
        <w:t>n</w:t>
      </w:r>
      <w:r w:rsidR="00E765C2" w:rsidRPr="00D5464D">
        <w:rPr>
          <w:rFonts w:cs="Arial"/>
          <w:iCs/>
          <w:szCs w:val="20"/>
          <w:lang w:val="pt-BR"/>
        </w:rPr>
        <w:t>esse sentido</w:t>
      </w:r>
      <w:r w:rsidR="004B0842" w:rsidRPr="00D5464D">
        <w:rPr>
          <w:rFonts w:cs="Arial"/>
          <w:iCs/>
          <w:szCs w:val="20"/>
          <w:lang w:val="pt-BR"/>
        </w:rPr>
        <w:t xml:space="preserve">. </w:t>
      </w:r>
    </w:p>
    <w:p w14:paraId="74FECE62" w14:textId="77777777" w:rsidR="00640DA8" w:rsidRPr="00D5464D" w:rsidRDefault="00640DA8" w:rsidP="00D53175">
      <w:pPr>
        <w:pStyle w:val="Prrafodelista"/>
        <w:rPr>
          <w:rFonts w:cs="Arial"/>
          <w:iCs/>
          <w:szCs w:val="20"/>
          <w:lang w:val="pt-BR"/>
        </w:rPr>
      </w:pPr>
    </w:p>
    <w:p w14:paraId="6E40808E" w14:textId="2D1819A1" w:rsidR="00640DA8" w:rsidRPr="00D5464D" w:rsidRDefault="007137FB" w:rsidP="00640DA8">
      <w:pPr>
        <w:pStyle w:val="Prrafodelista"/>
        <w:numPr>
          <w:ilvl w:val="0"/>
          <w:numId w:val="1"/>
        </w:numPr>
        <w:autoSpaceDE w:val="0"/>
        <w:autoSpaceDN w:val="0"/>
        <w:adjustRightInd w:val="0"/>
        <w:rPr>
          <w:rFonts w:cs="Arial"/>
          <w:iCs/>
          <w:szCs w:val="20"/>
          <w:lang w:val="pt-BR"/>
        </w:rPr>
      </w:pPr>
      <w:r w:rsidRPr="00D5464D">
        <w:rPr>
          <w:rFonts w:cs="Arial"/>
          <w:iCs/>
          <w:szCs w:val="20"/>
          <w:lang w:val="pt-BR"/>
        </w:rPr>
        <w:t>Por</w:t>
      </w:r>
      <w:r w:rsidR="002C330E" w:rsidRPr="00D5464D">
        <w:rPr>
          <w:rFonts w:cs="Arial"/>
          <w:iCs/>
          <w:szCs w:val="20"/>
          <w:lang w:val="pt-BR"/>
        </w:rPr>
        <w:t xml:space="preserve"> outro </w:t>
      </w:r>
      <w:r w:rsidRPr="00D5464D">
        <w:rPr>
          <w:rFonts w:cs="Arial"/>
          <w:iCs/>
          <w:szCs w:val="20"/>
          <w:lang w:val="pt-BR"/>
        </w:rPr>
        <w:t>lado,</w:t>
      </w:r>
      <w:r w:rsidR="002C330E" w:rsidRPr="00D5464D">
        <w:rPr>
          <w:rFonts w:cs="Arial"/>
          <w:iCs/>
          <w:szCs w:val="20"/>
          <w:lang w:val="pt-BR"/>
        </w:rPr>
        <w:t xml:space="preserve"> os </w:t>
      </w:r>
      <w:r w:rsidR="00EB1CE9" w:rsidRPr="00D5464D">
        <w:rPr>
          <w:rFonts w:cs="Arial"/>
          <w:b/>
          <w:i/>
          <w:iCs/>
          <w:szCs w:val="20"/>
          <w:lang w:val="pt-BR"/>
        </w:rPr>
        <w:t>representante</w:t>
      </w:r>
      <w:r w:rsidR="00640DA8" w:rsidRPr="00D5464D">
        <w:rPr>
          <w:rFonts w:cs="Arial"/>
          <w:b/>
          <w:i/>
          <w:iCs/>
          <w:szCs w:val="20"/>
          <w:lang w:val="pt-BR"/>
        </w:rPr>
        <w:t>s</w:t>
      </w:r>
      <w:r w:rsidR="00640DA8" w:rsidRPr="00D5464D">
        <w:rPr>
          <w:rFonts w:cs="Arial"/>
          <w:iCs/>
          <w:szCs w:val="20"/>
          <w:lang w:val="pt-BR"/>
        </w:rPr>
        <w:t xml:space="preserve"> </w:t>
      </w:r>
      <w:r w:rsidR="002C330E" w:rsidRPr="00D5464D">
        <w:rPr>
          <w:rFonts w:cs="Arial"/>
          <w:iCs/>
          <w:szCs w:val="20"/>
          <w:lang w:val="pt-BR"/>
        </w:rPr>
        <w:t>solicitaram</w:t>
      </w:r>
      <w:r w:rsidR="00640DA8" w:rsidRPr="00D5464D">
        <w:rPr>
          <w:rFonts w:cs="Arial"/>
          <w:iCs/>
          <w:szCs w:val="20"/>
          <w:lang w:val="pt-BR"/>
        </w:rPr>
        <w:t xml:space="preserve"> d</w:t>
      </w:r>
      <w:r w:rsidR="00AC6313" w:rsidRPr="00D5464D">
        <w:rPr>
          <w:rFonts w:cs="Arial"/>
          <w:iCs/>
          <w:szCs w:val="20"/>
          <w:lang w:val="pt-BR"/>
        </w:rPr>
        <w:t>ua</w:t>
      </w:r>
      <w:r w:rsidR="00640DA8" w:rsidRPr="00D5464D">
        <w:rPr>
          <w:rFonts w:cs="Arial"/>
          <w:iCs/>
          <w:szCs w:val="20"/>
          <w:lang w:val="pt-BR"/>
        </w:rPr>
        <w:t>s medidas específicas como repara</w:t>
      </w:r>
      <w:r w:rsidR="00470ADC" w:rsidRPr="00D5464D">
        <w:rPr>
          <w:rFonts w:cs="Arial"/>
          <w:iCs/>
          <w:szCs w:val="20"/>
          <w:lang w:val="pt-BR"/>
        </w:rPr>
        <w:t>ção</w:t>
      </w:r>
      <w:r w:rsidR="00640DA8" w:rsidRPr="00D5464D">
        <w:rPr>
          <w:rFonts w:cs="Arial"/>
          <w:iCs/>
          <w:szCs w:val="20"/>
          <w:lang w:val="pt-BR"/>
        </w:rPr>
        <w:t xml:space="preserve"> simbólica</w:t>
      </w:r>
      <w:r w:rsidR="00E045D9" w:rsidRPr="00D5464D">
        <w:rPr>
          <w:rFonts w:cs="Arial"/>
          <w:iCs/>
          <w:szCs w:val="20"/>
          <w:lang w:val="pt-BR"/>
        </w:rPr>
        <w:t xml:space="preserve"> às vítima</w:t>
      </w:r>
      <w:r w:rsidR="00640DA8" w:rsidRPr="00D5464D">
        <w:rPr>
          <w:rFonts w:cs="Arial"/>
          <w:iCs/>
          <w:szCs w:val="20"/>
          <w:lang w:val="pt-BR"/>
        </w:rPr>
        <w:t>s</w:t>
      </w:r>
      <w:r w:rsidR="00C91CB1" w:rsidRPr="00D5464D">
        <w:rPr>
          <w:rFonts w:cs="Arial"/>
          <w:iCs/>
          <w:szCs w:val="20"/>
          <w:lang w:val="pt-BR"/>
        </w:rPr>
        <w:t xml:space="preserve">. Em </w:t>
      </w:r>
      <w:r w:rsidR="002C330E" w:rsidRPr="00D5464D">
        <w:rPr>
          <w:rFonts w:cs="Arial"/>
          <w:iCs/>
          <w:szCs w:val="20"/>
          <w:lang w:val="pt-BR"/>
        </w:rPr>
        <w:t xml:space="preserve">primeiro </w:t>
      </w:r>
      <w:r w:rsidR="00640DA8" w:rsidRPr="00D5464D">
        <w:rPr>
          <w:rFonts w:cs="Arial"/>
          <w:iCs/>
          <w:szCs w:val="20"/>
          <w:lang w:val="pt-BR"/>
        </w:rPr>
        <w:t>lugar</w:t>
      </w:r>
      <w:r w:rsidR="003A3C64" w:rsidRPr="00D5464D">
        <w:rPr>
          <w:rFonts w:cs="Arial"/>
          <w:iCs/>
          <w:szCs w:val="20"/>
          <w:lang w:val="pt-BR"/>
        </w:rPr>
        <w:t>,</w:t>
      </w:r>
      <w:r w:rsidR="00640DA8" w:rsidRPr="00D5464D">
        <w:rPr>
          <w:rFonts w:cs="Arial"/>
          <w:iCs/>
          <w:szCs w:val="20"/>
          <w:lang w:val="pt-BR"/>
        </w:rPr>
        <w:t xml:space="preserve"> </w:t>
      </w:r>
      <w:r w:rsidR="00A1358C" w:rsidRPr="00D5464D">
        <w:rPr>
          <w:rFonts w:cs="Arial"/>
          <w:iCs/>
          <w:szCs w:val="20"/>
          <w:lang w:val="pt-BR"/>
        </w:rPr>
        <w:t>pediram</w:t>
      </w:r>
      <w:r w:rsidR="00640DA8" w:rsidRPr="00D5464D">
        <w:rPr>
          <w:rFonts w:cs="Arial"/>
          <w:iCs/>
          <w:szCs w:val="20"/>
          <w:lang w:val="pt-BR"/>
        </w:rPr>
        <w:t xml:space="preserve"> </w:t>
      </w:r>
      <w:r w:rsidR="00AC6313" w:rsidRPr="00D5464D">
        <w:rPr>
          <w:rFonts w:cs="Arial"/>
          <w:iCs/>
          <w:szCs w:val="20"/>
          <w:lang w:val="pt-BR"/>
        </w:rPr>
        <w:t xml:space="preserve">a instalação de uma placa comemorativa sobre os fatos e a Sentença da Corte </w:t>
      </w:r>
      <w:r w:rsidR="00470ADC" w:rsidRPr="00D5464D">
        <w:rPr>
          <w:rFonts w:cs="Arial"/>
          <w:iCs/>
          <w:szCs w:val="20"/>
          <w:lang w:val="pt-BR"/>
        </w:rPr>
        <w:t xml:space="preserve">em </w:t>
      </w:r>
      <w:r w:rsidR="00230C71" w:rsidRPr="00D5464D">
        <w:rPr>
          <w:rFonts w:cs="Arial"/>
          <w:iCs/>
          <w:szCs w:val="20"/>
          <w:lang w:val="pt-BR"/>
        </w:rPr>
        <w:t>algum</w:t>
      </w:r>
      <w:r w:rsidR="00640DA8" w:rsidRPr="00D5464D">
        <w:rPr>
          <w:rFonts w:cs="Arial"/>
          <w:iCs/>
          <w:szCs w:val="20"/>
          <w:lang w:val="pt-BR"/>
        </w:rPr>
        <w:t xml:space="preserve"> organismo público</w:t>
      </w:r>
      <w:r w:rsidR="00470ADC" w:rsidRPr="00D5464D">
        <w:rPr>
          <w:rFonts w:cs="Arial"/>
          <w:iCs/>
          <w:szCs w:val="20"/>
          <w:lang w:val="pt-BR"/>
        </w:rPr>
        <w:t xml:space="preserve"> da cidade</w:t>
      </w:r>
      <w:r w:rsidR="00640DA8" w:rsidRPr="00D5464D">
        <w:rPr>
          <w:rFonts w:cs="Arial"/>
          <w:iCs/>
          <w:szCs w:val="20"/>
          <w:lang w:val="pt-BR"/>
        </w:rPr>
        <w:t xml:space="preserve"> de Sapucaia</w:t>
      </w:r>
      <w:r w:rsidR="00C91CB1" w:rsidRPr="00D5464D">
        <w:rPr>
          <w:rFonts w:cs="Arial"/>
          <w:iCs/>
          <w:szCs w:val="20"/>
          <w:lang w:val="pt-BR"/>
        </w:rPr>
        <w:t xml:space="preserve">. Em </w:t>
      </w:r>
      <w:r w:rsidR="00640DA8" w:rsidRPr="00D5464D">
        <w:rPr>
          <w:rFonts w:cs="Arial"/>
          <w:iCs/>
          <w:szCs w:val="20"/>
          <w:lang w:val="pt-BR"/>
        </w:rPr>
        <w:t xml:space="preserve">segundo lugar, </w:t>
      </w:r>
      <w:r w:rsidR="002C330E" w:rsidRPr="00D5464D">
        <w:rPr>
          <w:rFonts w:cs="Arial"/>
          <w:iCs/>
          <w:szCs w:val="20"/>
          <w:lang w:val="pt-BR"/>
        </w:rPr>
        <w:t>solicitaram</w:t>
      </w:r>
      <w:r w:rsidR="00640DA8" w:rsidRPr="00D5464D">
        <w:rPr>
          <w:rFonts w:cs="Arial"/>
          <w:iCs/>
          <w:szCs w:val="20"/>
          <w:lang w:val="pt-BR"/>
        </w:rPr>
        <w:t xml:space="preserve"> que</w:t>
      </w:r>
      <w:r w:rsidR="00470ADC" w:rsidRPr="00D5464D">
        <w:rPr>
          <w:rFonts w:cs="Arial"/>
          <w:iCs/>
          <w:szCs w:val="20"/>
          <w:lang w:val="pt-BR"/>
        </w:rPr>
        <w:t xml:space="preserve"> o </w:t>
      </w:r>
      <w:r w:rsidR="00640DA8" w:rsidRPr="00D5464D">
        <w:rPr>
          <w:rFonts w:cs="Arial"/>
          <w:iCs/>
          <w:szCs w:val="20"/>
          <w:lang w:val="pt-BR"/>
        </w:rPr>
        <w:t xml:space="preserve">Estado </w:t>
      </w:r>
      <w:r w:rsidR="002C330E" w:rsidRPr="00D5464D">
        <w:rPr>
          <w:rFonts w:cs="Arial"/>
          <w:iCs/>
          <w:szCs w:val="20"/>
          <w:lang w:val="pt-BR"/>
        </w:rPr>
        <w:t>realize</w:t>
      </w:r>
      <w:r w:rsidR="00E045D9" w:rsidRPr="00D5464D">
        <w:rPr>
          <w:rFonts w:cs="Arial"/>
          <w:iCs/>
          <w:szCs w:val="20"/>
          <w:lang w:val="pt-BR"/>
        </w:rPr>
        <w:t xml:space="preserve"> uma </w:t>
      </w:r>
      <w:r w:rsidR="00737270" w:rsidRPr="00D5464D">
        <w:rPr>
          <w:rFonts w:cs="Arial"/>
          <w:iCs/>
          <w:szCs w:val="20"/>
          <w:lang w:val="pt-BR"/>
        </w:rPr>
        <w:t xml:space="preserve">cerimônia </w:t>
      </w:r>
      <w:r w:rsidR="00640DA8" w:rsidRPr="00D5464D">
        <w:rPr>
          <w:rFonts w:cs="Arial"/>
          <w:iCs/>
          <w:szCs w:val="20"/>
          <w:lang w:val="pt-BR"/>
        </w:rPr>
        <w:t>pública de re</w:t>
      </w:r>
      <w:r w:rsidR="00470ADC" w:rsidRPr="00D5464D">
        <w:rPr>
          <w:rFonts w:cs="Arial"/>
          <w:iCs/>
          <w:szCs w:val="20"/>
          <w:lang w:val="pt-BR"/>
        </w:rPr>
        <w:t>conhecimento</w:t>
      </w:r>
      <w:r w:rsidR="00640DA8" w:rsidRPr="00D5464D">
        <w:rPr>
          <w:rFonts w:cs="Arial"/>
          <w:iCs/>
          <w:szCs w:val="20"/>
          <w:lang w:val="pt-BR"/>
        </w:rPr>
        <w:t xml:space="preserve"> de </w:t>
      </w:r>
      <w:r w:rsidR="00E045D9" w:rsidRPr="00D5464D">
        <w:rPr>
          <w:rFonts w:cs="Arial"/>
          <w:iCs/>
          <w:szCs w:val="20"/>
          <w:lang w:val="pt-BR"/>
        </w:rPr>
        <w:t>sua responsabilidade</w:t>
      </w:r>
      <w:r w:rsidR="002C330E" w:rsidRPr="00D5464D">
        <w:rPr>
          <w:rFonts w:cs="Arial"/>
          <w:iCs/>
          <w:szCs w:val="20"/>
          <w:lang w:val="pt-BR"/>
        </w:rPr>
        <w:t xml:space="preserve"> </w:t>
      </w:r>
      <w:r w:rsidR="00640DA8" w:rsidRPr="00D5464D">
        <w:rPr>
          <w:rFonts w:cs="Arial"/>
          <w:iCs/>
          <w:szCs w:val="20"/>
          <w:lang w:val="pt-BR"/>
        </w:rPr>
        <w:t>internacional</w:t>
      </w:r>
      <w:r w:rsidR="00E045D9" w:rsidRPr="00D5464D">
        <w:rPr>
          <w:rFonts w:cs="Arial"/>
          <w:iCs/>
          <w:szCs w:val="20"/>
          <w:lang w:val="pt-BR"/>
        </w:rPr>
        <w:t xml:space="preserve"> e </w:t>
      </w:r>
      <w:r w:rsidR="00640DA8" w:rsidRPr="00D5464D">
        <w:rPr>
          <w:rFonts w:cs="Arial"/>
          <w:iCs/>
          <w:szCs w:val="20"/>
          <w:lang w:val="pt-BR"/>
        </w:rPr>
        <w:t>p</w:t>
      </w:r>
      <w:r w:rsidR="00AC6313" w:rsidRPr="00D5464D">
        <w:rPr>
          <w:rFonts w:cs="Arial"/>
          <w:iCs/>
          <w:szCs w:val="20"/>
          <w:lang w:val="pt-BR"/>
        </w:rPr>
        <w:t>eça</w:t>
      </w:r>
      <w:r w:rsidR="00640DA8" w:rsidRPr="00D5464D">
        <w:rPr>
          <w:rFonts w:cs="Arial"/>
          <w:iCs/>
          <w:szCs w:val="20"/>
          <w:lang w:val="pt-BR"/>
        </w:rPr>
        <w:t xml:space="preserve"> </w:t>
      </w:r>
      <w:r w:rsidR="00470ADC" w:rsidRPr="00D5464D">
        <w:rPr>
          <w:rFonts w:cs="Arial"/>
          <w:iCs/>
          <w:szCs w:val="20"/>
          <w:lang w:val="pt-BR"/>
        </w:rPr>
        <w:t>desculpa</w:t>
      </w:r>
      <w:r w:rsidR="00640DA8" w:rsidRPr="00D5464D">
        <w:rPr>
          <w:rFonts w:cs="Arial"/>
          <w:iCs/>
          <w:szCs w:val="20"/>
          <w:lang w:val="pt-BR"/>
        </w:rPr>
        <w:t>s</w:t>
      </w:r>
      <w:r w:rsidR="00E045D9" w:rsidRPr="00D5464D">
        <w:rPr>
          <w:rFonts w:cs="Arial"/>
          <w:iCs/>
          <w:szCs w:val="20"/>
          <w:lang w:val="pt-BR"/>
        </w:rPr>
        <w:t xml:space="preserve"> às vítima</w:t>
      </w:r>
      <w:r w:rsidR="00640DA8" w:rsidRPr="00D5464D">
        <w:rPr>
          <w:rFonts w:cs="Arial"/>
          <w:iCs/>
          <w:szCs w:val="20"/>
          <w:lang w:val="pt-BR"/>
        </w:rPr>
        <w:t>s</w:t>
      </w:r>
      <w:r w:rsidR="00C91CB1" w:rsidRPr="00D5464D">
        <w:rPr>
          <w:rFonts w:cs="Arial"/>
          <w:iCs/>
          <w:szCs w:val="20"/>
          <w:lang w:val="pt-BR"/>
        </w:rPr>
        <w:t xml:space="preserve">. Em </w:t>
      </w:r>
      <w:r w:rsidR="00640DA8" w:rsidRPr="00D5464D">
        <w:rPr>
          <w:rFonts w:cs="Arial"/>
          <w:iCs/>
          <w:szCs w:val="20"/>
          <w:lang w:val="pt-BR"/>
        </w:rPr>
        <w:t xml:space="preserve">ambos </w:t>
      </w:r>
      <w:r w:rsidR="00AC6313" w:rsidRPr="00D5464D">
        <w:rPr>
          <w:rFonts w:cs="Arial"/>
          <w:iCs/>
          <w:szCs w:val="20"/>
          <w:lang w:val="pt-BR"/>
        </w:rPr>
        <w:t xml:space="preserve">os </w:t>
      </w:r>
      <w:r w:rsidR="00640DA8" w:rsidRPr="00D5464D">
        <w:rPr>
          <w:rFonts w:cs="Arial"/>
          <w:iCs/>
          <w:szCs w:val="20"/>
          <w:lang w:val="pt-BR"/>
        </w:rPr>
        <w:t xml:space="preserve">casos, </w:t>
      </w:r>
      <w:r w:rsidR="002C330E" w:rsidRPr="00D5464D">
        <w:rPr>
          <w:rFonts w:cs="Arial"/>
          <w:iCs/>
          <w:szCs w:val="20"/>
          <w:lang w:val="pt-BR"/>
        </w:rPr>
        <w:t>solicitaram</w:t>
      </w:r>
      <w:r w:rsidR="00640DA8" w:rsidRPr="00D5464D">
        <w:rPr>
          <w:rFonts w:cs="Arial"/>
          <w:iCs/>
          <w:szCs w:val="20"/>
          <w:lang w:val="pt-BR"/>
        </w:rPr>
        <w:t xml:space="preserve"> que estas medidas </w:t>
      </w:r>
      <w:r w:rsidR="00737270" w:rsidRPr="00D5464D">
        <w:rPr>
          <w:rFonts w:cs="Arial"/>
          <w:iCs/>
          <w:szCs w:val="20"/>
          <w:lang w:val="pt-BR"/>
        </w:rPr>
        <w:t>contem</w:t>
      </w:r>
      <w:r w:rsidR="00470ADC" w:rsidRPr="00D5464D">
        <w:rPr>
          <w:rFonts w:cs="Arial"/>
          <w:iCs/>
          <w:szCs w:val="20"/>
          <w:lang w:val="pt-BR"/>
        </w:rPr>
        <w:t xml:space="preserve"> com</w:t>
      </w:r>
      <w:r w:rsidR="002C330E" w:rsidRPr="00D5464D">
        <w:rPr>
          <w:rFonts w:cs="Arial"/>
          <w:iCs/>
          <w:szCs w:val="20"/>
          <w:lang w:val="pt-BR"/>
        </w:rPr>
        <w:t xml:space="preserve"> a </w:t>
      </w:r>
      <w:r w:rsidR="00640DA8" w:rsidRPr="00D5464D">
        <w:rPr>
          <w:rFonts w:cs="Arial"/>
          <w:iCs/>
          <w:szCs w:val="20"/>
          <w:lang w:val="pt-BR"/>
        </w:rPr>
        <w:t>participa</w:t>
      </w:r>
      <w:r w:rsidR="00470ADC" w:rsidRPr="00D5464D">
        <w:rPr>
          <w:rFonts w:cs="Arial"/>
          <w:iCs/>
          <w:szCs w:val="20"/>
          <w:lang w:val="pt-BR"/>
        </w:rPr>
        <w:t xml:space="preserve">ção das </w:t>
      </w:r>
      <w:r w:rsidR="00E045D9" w:rsidRPr="00D5464D">
        <w:rPr>
          <w:rFonts w:cs="Arial"/>
          <w:iCs/>
          <w:szCs w:val="20"/>
          <w:lang w:val="pt-BR"/>
        </w:rPr>
        <w:t>vítima</w:t>
      </w:r>
      <w:r w:rsidR="00640DA8" w:rsidRPr="00D5464D">
        <w:rPr>
          <w:rFonts w:cs="Arial"/>
          <w:iCs/>
          <w:szCs w:val="20"/>
          <w:lang w:val="pt-BR"/>
        </w:rPr>
        <w:t xml:space="preserve">s. </w:t>
      </w:r>
    </w:p>
    <w:p w14:paraId="5D23AD56" w14:textId="77777777" w:rsidR="00E94DEB" w:rsidRPr="00D5464D" w:rsidRDefault="00E94DEB" w:rsidP="00E94DEB">
      <w:pPr>
        <w:pStyle w:val="Prrafodelista"/>
        <w:autoSpaceDE w:val="0"/>
        <w:autoSpaceDN w:val="0"/>
        <w:adjustRightInd w:val="0"/>
        <w:ind w:left="0"/>
        <w:rPr>
          <w:rFonts w:cs="Arial"/>
          <w:iCs/>
          <w:szCs w:val="20"/>
          <w:lang w:val="pt-BR"/>
        </w:rPr>
      </w:pPr>
    </w:p>
    <w:p w14:paraId="3CBA9D37" w14:textId="234C297F" w:rsidR="00640DA8" w:rsidRPr="00D5464D" w:rsidRDefault="00470ADC" w:rsidP="00640DA8">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O </w:t>
      </w:r>
      <w:r w:rsidR="00640DA8" w:rsidRPr="00D5464D">
        <w:rPr>
          <w:rFonts w:cs="Arial"/>
          <w:b/>
          <w:i/>
          <w:iCs/>
          <w:szCs w:val="20"/>
          <w:lang w:val="pt-BR"/>
        </w:rPr>
        <w:t>Estado</w:t>
      </w:r>
      <w:r w:rsidR="00640DA8" w:rsidRPr="00D5464D">
        <w:rPr>
          <w:rFonts w:cs="Arial"/>
          <w:iCs/>
          <w:szCs w:val="20"/>
          <w:lang w:val="pt-BR"/>
        </w:rPr>
        <w:t xml:space="preserve"> </w:t>
      </w:r>
      <w:r w:rsidR="00737270" w:rsidRPr="00D5464D">
        <w:rPr>
          <w:rFonts w:cs="Arial"/>
          <w:iCs/>
          <w:szCs w:val="20"/>
          <w:lang w:val="pt-BR"/>
        </w:rPr>
        <w:t>não realizou</w:t>
      </w:r>
      <w:r w:rsidR="00640DA8" w:rsidRPr="00D5464D">
        <w:rPr>
          <w:rFonts w:cs="Arial"/>
          <w:iCs/>
          <w:szCs w:val="20"/>
          <w:lang w:val="pt-BR"/>
        </w:rPr>
        <w:t xml:space="preserve"> obje</w:t>
      </w:r>
      <w:r w:rsidRPr="00D5464D">
        <w:rPr>
          <w:rFonts w:cs="Arial"/>
          <w:iCs/>
          <w:szCs w:val="20"/>
          <w:lang w:val="pt-BR"/>
        </w:rPr>
        <w:t>ções</w:t>
      </w:r>
      <w:r w:rsidR="00640DA8" w:rsidRPr="00D5464D">
        <w:rPr>
          <w:rFonts w:cs="Arial"/>
          <w:iCs/>
          <w:szCs w:val="20"/>
          <w:lang w:val="pt-BR"/>
        </w:rPr>
        <w:t xml:space="preserve"> relativas</w:t>
      </w:r>
      <w:r w:rsidRPr="00D5464D">
        <w:rPr>
          <w:rFonts w:cs="Arial"/>
          <w:iCs/>
          <w:szCs w:val="20"/>
          <w:lang w:val="pt-BR"/>
        </w:rPr>
        <w:t xml:space="preserve"> à </w:t>
      </w:r>
      <w:r w:rsidR="00640DA8" w:rsidRPr="00D5464D">
        <w:rPr>
          <w:rFonts w:cs="Arial"/>
          <w:iCs/>
          <w:szCs w:val="20"/>
          <w:lang w:val="pt-BR"/>
        </w:rPr>
        <w:t>repara</w:t>
      </w:r>
      <w:r w:rsidRPr="00D5464D">
        <w:rPr>
          <w:rFonts w:cs="Arial"/>
          <w:iCs/>
          <w:szCs w:val="20"/>
          <w:lang w:val="pt-BR"/>
        </w:rPr>
        <w:t>ção</w:t>
      </w:r>
      <w:r w:rsidR="00640DA8" w:rsidRPr="00D5464D">
        <w:rPr>
          <w:rFonts w:cs="Arial"/>
          <w:iCs/>
          <w:szCs w:val="20"/>
          <w:lang w:val="pt-BR"/>
        </w:rPr>
        <w:t xml:space="preserve"> simbólica</w:t>
      </w:r>
      <w:r w:rsidRPr="00D5464D">
        <w:rPr>
          <w:rFonts w:cs="Arial"/>
          <w:iCs/>
          <w:szCs w:val="20"/>
          <w:lang w:val="pt-BR"/>
        </w:rPr>
        <w:t xml:space="preserve"> em </w:t>
      </w:r>
      <w:r w:rsidR="002C330E" w:rsidRPr="00D5464D">
        <w:rPr>
          <w:rFonts w:cs="Arial"/>
          <w:iCs/>
          <w:szCs w:val="20"/>
          <w:lang w:val="pt-BR"/>
        </w:rPr>
        <w:t>geral</w:t>
      </w:r>
      <w:r w:rsidR="00737270" w:rsidRPr="00D5464D">
        <w:rPr>
          <w:rFonts w:cs="Arial"/>
          <w:iCs/>
          <w:szCs w:val="20"/>
          <w:lang w:val="pt-BR"/>
        </w:rPr>
        <w:t>. No entanto</w:t>
      </w:r>
      <w:r w:rsidR="003A3C64" w:rsidRPr="00D5464D">
        <w:rPr>
          <w:rFonts w:cs="Arial"/>
          <w:iCs/>
          <w:szCs w:val="20"/>
          <w:lang w:val="pt-BR"/>
        </w:rPr>
        <w:t>,</w:t>
      </w:r>
      <w:r w:rsidR="00640DA8" w:rsidRPr="00D5464D">
        <w:rPr>
          <w:rFonts w:cs="Arial"/>
          <w:iCs/>
          <w:szCs w:val="20"/>
          <w:lang w:val="pt-BR"/>
        </w:rPr>
        <w:t xml:space="preserve"> </w:t>
      </w:r>
      <w:r w:rsidR="002C330E" w:rsidRPr="00D5464D">
        <w:rPr>
          <w:rFonts w:cs="Arial"/>
          <w:iCs/>
          <w:szCs w:val="20"/>
          <w:lang w:val="pt-BR"/>
        </w:rPr>
        <w:t>solicitou</w:t>
      </w:r>
      <w:r w:rsidR="00640DA8" w:rsidRPr="00D5464D">
        <w:rPr>
          <w:rFonts w:cs="Arial"/>
          <w:iCs/>
          <w:szCs w:val="20"/>
          <w:lang w:val="pt-BR"/>
        </w:rPr>
        <w:t xml:space="preserve"> que tanto</w:t>
      </w:r>
      <w:r w:rsidR="002C330E" w:rsidRPr="00D5464D">
        <w:rPr>
          <w:rFonts w:cs="Arial"/>
          <w:iCs/>
          <w:szCs w:val="20"/>
          <w:lang w:val="pt-BR"/>
        </w:rPr>
        <w:t xml:space="preserve"> a </w:t>
      </w:r>
      <w:r w:rsidR="00640DA8" w:rsidRPr="00D5464D">
        <w:rPr>
          <w:rFonts w:cs="Arial"/>
          <w:iCs/>
          <w:szCs w:val="20"/>
          <w:lang w:val="pt-BR"/>
        </w:rPr>
        <w:t xml:space="preserve">placa </w:t>
      </w:r>
      <w:r w:rsidR="00E045D9" w:rsidRPr="00D5464D">
        <w:rPr>
          <w:rFonts w:cs="Arial"/>
          <w:iCs/>
          <w:szCs w:val="20"/>
          <w:lang w:val="pt-BR"/>
        </w:rPr>
        <w:t>comemora</w:t>
      </w:r>
      <w:r w:rsidR="00640DA8" w:rsidRPr="00D5464D">
        <w:rPr>
          <w:rFonts w:cs="Arial"/>
          <w:iCs/>
          <w:szCs w:val="20"/>
          <w:lang w:val="pt-BR"/>
        </w:rPr>
        <w:t>tiva como</w:t>
      </w:r>
      <w:r w:rsidR="002C330E" w:rsidRPr="00D5464D">
        <w:rPr>
          <w:rFonts w:cs="Arial"/>
          <w:iCs/>
          <w:szCs w:val="20"/>
          <w:lang w:val="pt-BR"/>
        </w:rPr>
        <w:t xml:space="preserve"> a </w:t>
      </w:r>
      <w:r w:rsidR="00737270" w:rsidRPr="00D5464D">
        <w:rPr>
          <w:rFonts w:cs="Arial"/>
          <w:iCs/>
          <w:szCs w:val="20"/>
          <w:lang w:val="pt-BR"/>
        </w:rPr>
        <w:t xml:space="preserve">cerimônia </w:t>
      </w:r>
      <w:r w:rsidR="00640DA8" w:rsidRPr="00D5464D">
        <w:rPr>
          <w:rFonts w:cs="Arial"/>
          <w:iCs/>
          <w:szCs w:val="20"/>
          <w:lang w:val="pt-BR"/>
        </w:rPr>
        <w:t>pública</w:t>
      </w:r>
      <w:r w:rsidR="002C330E" w:rsidRPr="00D5464D">
        <w:rPr>
          <w:rFonts w:cs="Arial"/>
          <w:iCs/>
          <w:szCs w:val="20"/>
          <w:lang w:val="pt-BR"/>
        </w:rPr>
        <w:t xml:space="preserve"> sejam </w:t>
      </w:r>
      <w:r w:rsidR="00640DA8" w:rsidRPr="00D5464D">
        <w:rPr>
          <w:rFonts w:cs="Arial"/>
          <w:iCs/>
          <w:szCs w:val="20"/>
          <w:lang w:val="pt-BR"/>
        </w:rPr>
        <w:t>definidas</w:t>
      </w:r>
      <w:r w:rsidR="002C330E" w:rsidRPr="00D5464D">
        <w:rPr>
          <w:rFonts w:cs="Arial"/>
          <w:iCs/>
          <w:szCs w:val="20"/>
          <w:lang w:val="pt-BR"/>
        </w:rPr>
        <w:t xml:space="preserve"> pelo </w:t>
      </w:r>
      <w:r w:rsidR="00640DA8" w:rsidRPr="00D5464D">
        <w:rPr>
          <w:rFonts w:cs="Arial"/>
          <w:iCs/>
          <w:szCs w:val="20"/>
          <w:lang w:val="pt-BR"/>
        </w:rPr>
        <w:t>Estado</w:t>
      </w:r>
      <w:r w:rsidR="00AC6313" w:rsidRPr="00D5464D">
        <w:rPr>
          <w:rFonts w:cs="Arial"/>
          <w:iCs/>
          <w:szCs w:val="20"/>
          <w:lang w:val="pt-BR"/>
        </w:rPr>
        <w:t>,</w:t>
      </w:r>
      <w:r w:rsidR="002C330E" w:rsidRPr="00D5464D">
        <w:rPr>
          <w:rFonts w:cs="Arial"/>
          <w:iCs/>
          <w:szCs w:val="20"/>
          <w:lang w:val="pt-BR"/>
        </w:rPr>
        <w:t xml:space="preserve"> sem necessidade </w:t>
      </w:r>
      <w:r w:rsidRPr="00D5464D">
        <w:rPr>
          <w:rFonts w:cs="Arial"/>
          <w:iCs/>
          <w:szCs w:val="20"/>
          <w:lang w:val="pt-BR"/>
        </w:rPr>
        <w:t xml:space="preserve">do consentimento das </w:t>
      </w:r>
      <w:r w:rsidR="00E045D9" w:rsidRPr="00D5464D">
        <w:rPr>
          <w:rFonts w:cs="Arial"/>
          <w:iCs/>
          <w:szCs w:val="20"/>
          <w:lang w:val="pt-BR"/>
        </w:rPr>
        <w:t>vítima</w:t>
      </w:r>
      <w:r w:rsidR="00640DA8" w:rsidRPr="00D5464D">
        <w:rPr>
          <w:rFonts w:cs="Arial"/>
          <w:iCs/>
          <w:szCs w:val="20"/>
          <w:lang w:val="pt-BR"/>
        </w:rPr>
        <w:t>s</w:t>
      </w:r>
      <w:r w:rsidR="00C91CB1" w:rsidRPr="00D5464D">
        <w:rPr>
          <w:rFonts w:cs="Arial"/>
          <w:iCs/>
          <w:szCs w:val="20"/>
          <w:lang w:val="pt-BR"/>
        </w:rPr>
        <w:t xml:space="preserve">. </w:t>
      </w:r>
      <w:r w:rsidR="00AC6313" w:rsidRPr="00D5464D">
        <w:rPr>
          <w:rFonts w:cs="Arial"/>
          <w:iCs/>
          <w:szCs w:val="20"/>
          <w:lang w:val="pt-BR"/>
        </w:rPr>
        <w:t>C</w:t>
      </w:r>
      <w:r w:rsidR="00640DA8" w:rsidRPr="00D5464D">
        <w:rPr>
          <w:rFonts w:cs="Arial"/>
          <w:iCs/>
          <w:szCs w:val="20"/>
          <w:lang w:val="pt-BR"/>
        </w:rPr>
        <w:t xml:space="preserve">aso </w:t>
      </w:r>
      <w:r w:rsidR="002C330E" w:rsidRPr="00D5464D">
        <w:rPr>
          <w:rFonts w:cs="Arial"/>
          <w:iCs/>
          <w:szCs w:val="20"/>
          <w:lang w:val="pt-BR"/>
        </w:rPr>
        <w:t xml:space="preserve">a </w:t>
      </w:r>
      <w:r w:rsidR="00640DA8" w:rsidRPr="00D5464D">
        <w:rPr>
          <w:rFonts w:cs="Arial"/>
          <w:iCs/>
          <w:szCs w:val="20"/>
          <w:lang w:val="pt-BR"/>
        </w:rPr>
        <w:t>Corte n</w:t>
      </w:r>
      <w:r w:rsidR="00AC6313" w:rsidRPr="00D5464D">
        <w:rPr>
          <w:rFonts w:cs="Arial"/>
          <w:iCs/>
          <w:szCs w:val="20"/>
          <w:lang w:val="pt-BR"/>
        </w:rPr>
        <w:t>ã</w:t>
      </w:r>
      <w:r w:rsidR="00640DA8" w:rsidRPr="00D5464D">
        <w:rPr>
          <w:rFonts w:cs="Arial"/>
          <w:iCs/>
          <w:szCs w:val="20"/>
          <w:lang w:val="pt-BR"/>
        </w:rPr>
        <w:t>o considere</w:t>
      </w:r>
      <w:r w:rsidR="00350187" w:rsidRPr="00D5464D">
        <w:rPr>
          <w:rFonts w:cs="Arial"/>
          <w:iCs/>
          <w:szCs w:val="20"/>
          <w:lang w:val="pt-BR"/>
        </w:rPr>
        <w:t xml:space="preserve"> </w:t>
      </w:r>
      <w:r w:rsidRPr="00D5464D">
        <w:rPr>
          <w:rFonts w:cs="Arial"/>
          <w:iCs/>
          <w:szCs w:val="20"/>
          <w:lang w:val="pt-BR"/>
        </w:rPr>
        <w:t>adequad</w:t>
      </w:r>
      <w:r w:rsidR="00640DA8" w:rsidRPr="00D5464D">
        <w:rPr>
          <w:rFonts w:cs="Arial"/>
          <w:iCs/>
          <w:szCs w:val="20"/>
          <w:lang w:val="pt-BR"/>
        </w:rPr>
        <w:t>o,</w:t>
      </w:r>
      <w:r w:rsidRPr="00D5464D">
        <w:rPr>
          <w:rFonts w:cs="Arial"/>
          <w:iCs/>
          <w:szCs w:val="20"/>
          <w:lang w:val="pt-BR"/>
        </w:rPr>
        <w:t xml:space="preserve"> o </w:t>
      </w:r>
      <w:r w:rsidR="00640DA8" w:rsidRPr="00D5464D">
        <w:rPr>
          <w:rFonts w:cs="Arial"/>
          <w:iCs/>
          <w:szCs w:val="20"/>
          <w:lang w:val="pt-BR"/>
        </w:rPr>
        <w:t xml:space="preserve">Estado </w:t>
      </w:r>
      <w:r w:rsidR="002C330E" w:rsidRPr="00D5464D">
        <w:rPr>
          <w:rFonts w:cs="Arial"/>
          <w:iCs/>
          <w:szCs w:val="20"/>
          <w:lang w:val="pt-BR"/>
        </w:rPr>
        <w:t>solicitou</w:t>
      </w:r>
      <w:r w:rsidR="00640DA8" w:rsidRPr="00D5464D">
        <w:rPr>
          <w:rFonts w:cs="Arial"/>
          <w:iCs/>
          <w:szCs w:val="20"/>
          <w:lang w:val="pt-BR"/>
        </w:rPr>
        <w:t xml:space="preserve"> que</w:t>
      </w:r>
      <w:r w:rsidR="002C330E" w:rsidRPr="00D5464D">
        <w:rPr>
          <w:rFonts w:cs="Arial"/>
          <w:iCs/>
          <w:szCs w:val="20"/>
          <w:lang w:val="pt-BR"/>
        </w:rPr>
        <w:t xml:space="preserve"> seja a própria </w:t>
      </w:r>
      <w:r w:rsidR="00640DA8" w:rsidRPr="00D5464D">
        <w:rPr>
          <w:rFonts w:cs="Arial"/>
          <w:iCs/>
          <w:szCs w:val="20"/>
          <w:lang w:val="pt-BR"/>
        </w:rPr>
        <w:t>Corte</w:t>
      </w:r>
      <w:r w:rsidR="002C330E" w:rsidRPr="00D5464D">
        <w:rPr>
          <w:rFonts w:cs="Arial"/>
          <w:iCs/>
          <w:szCs w:val="20"/>
          <w:lang w:val="pt-BR"/>
        </w:rPr>
        <w:t xml:space="preserve"> </w:t>
      </w:r>
      <w:r w:rsidR="00AC6313" w:rsidRPr="00D5464D">
        <w:rPr>
          <w:rFonts w:cs="Arial"/>
          <w:iCs/>
          <w:szCs w:val="20"/>
          <w:lang w:val="pt-BR"/>
        </w:rPr>
        <w:t xml:space="preserve">quem </w:t>
      </w:r>
      <w:r w:rsidR="00640DA8" w:rsidRPr="00D5464D">
        <w:rPr>
          <w:rFonts w:cs="Arial"/>
          <w:iCs/>
          <w:szCs w:val="20"/>
          <w:lang w:val="pt-BR"/>
        </w:rPr>
        <w:t>defina</w:t>
      </w:r>
      <w:r w:rsidRPr="00D5464D">
        <w:rPr>
          <w:rFonts w:cs="Arial"/>
          <w:iCs/>
          <w:szCs w:val="20"/>
          <w:lang w:val="pt-BR"/>
        </w:rPr>
        <w:t xml:space="preserve"> o conteúdo</w:t>
      </w:r>
      <w:r w:rsidR="00640DA8" w:rsidRPr="00D5464D">
        <w:rPr>
          <w:rFonts w:cs="Arial"/>
          <w:iCs/>
          <w:szCs w:val="20"/>
          <w:lang w:val="pt-BR"/>
        </w:rPr>
        <w:t xml:space="preserve"> </w:t>
      </w:r>
      <w:r w:rsidR="00E045D9" w:rsidRPr="00D5464D">
        <w:rPr>
          <w:rFonts w:cs="Arial"/>
          <w:iCs/>
          <w:szCs w:val="20"/>
          <w:lang w:val="pt-BR"/>
        </w:rPr>
        <w:t>desta</w:t>
      </w:r>
      <w:r w:rsidR="00640DA8" w:rsidRPr="00D5464D">
        <w:rPr>
          <w:rFonts w:cs="Arial"/>
          <w:iCs/>
          <w:szCs w:val="20"/>
          <w:lang w:val="pt-BR"/>
        </w:rPr>
        <w:t>s formas de repara</w:t>
      </w:r>
      <w:r w:rsidRPr="00D5464D">
        <w:rPr>
          <w:rFonts w:cs="Arial"/>
          <w:iCs/>
          <w:szCs w:val="20"/>
          <w:lang w:val="pt-BR"/>
        </w:rPr>
        <w:t>ção</w:t>
      </w:r>
      <w:r w:rsidR="00640DA8" w:rsidRPr="00D5464D">
        <w:rPr>
          <w:rFonts w:cs="Arial"/>
          <w:iCs/>
          <w:szCs w:val="20"/>
          <w:lang w:val="pt-BR"/>
        </w:rPr>
        <w:t xml:space="preserve"> simbólica.</w:t>
      </w:r>
    </w:p>
    <w:p w14:paraId="5E2E2431" w14:textId="77777777" w:rsidR="00640DA8" w:rsidRPr="00D5464D" w:rsidRDefault="00640DA8" w:rsidP="00640DA8">
      <w:pPr>
        <w:pStyle w:val="Prrafodelista"/>
        <w:autoSpaceDE w:val="0"/>
        <w:autoSpaceDN w:val="0"/>
        <w:adjustRightInd w:val="0"/>
        <w:rPr>
          <w:rFonts w:cs="Arial"/>
          <w:iCs/>
          <w:szCs w:val="20"/>
          <w:lang w:val="pt-BR"/>
        </w:rPr>
      </w:pPr>
    </w:p>
    <w:p w14:paraId="2B2F4425" w14:textId="7B01A0B6" w:rsidR="004B0842" w:rsidRPr="00D5464D" w:rsidRDefault="00C91CB1" w:rsidP="00640DA8">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Em </w:t>
      </w:r>
      <w:r w:rsidR="00640DA8" w:rsidRPr="00D5464D">
        <w:rPr>
          <w:rFonts w:cs="Arial"/>
          <w:iCs/>
          <w:szCs w:val="20"/>
          <w:lang w:val="pt-BR"/>
        </w:rPr>
        <w:t>rela</w:t>
      </w:r>
      <w:r w:rsidR="00470ADC" w:rsidRPr="00D5464D">
        <w:rPr>
          <w:rFonts w:cs="Arial"/>
          <w:iCs/>
          <w:szCs w:val="20"/>
          <w:lang w:val="pt-BR"/>
        </w:rPr>
        <w:t xml:space="preserve">ção </w:t>
      </w:r>
      <w:r w:rsidR="00AC6313" w:rsidRPr="00D5464D">
        <w:rPr>
          <w:rFonts w:cs="Arial"/>
          <w:iCs/>
          <w:szCs w:val="20"/>
          <w:lang w:val="pt-BR"/>
        </w:rPr>
        <w:t>à</w:t>
      </w:r>
      <w:r w:rsidR="002C330E" w:rsidRPr="00D5464D">
        <w:rPr>
          <w:rFonts w:cs="Arial"/>
          <w:iCs/>
          <w:szCs w:val="20"/>
          <w:lang w:val="pt-BR"/>
        </w:rPr>
        <w:t xml:space="preserve">s </w:t>
      </w:r>
      <w:r w:rsidR="00640DA8" w:rsidRPr="00D5464D">
        <w:rPr>
          <w:rFonts w:cs="Arial"/>
          <w:iCs/>
          <w:szCs w:val="20"/>
          <w:lang w:val="pt-BR"/>
        </w:rPr>
        <w:t>medidas de repara</w:t>
      </w:r>
      <w:r w:rsidR="00470ADC" w:rsidRPr="00D5464D">
        <w:rPr>
          <w:rFonts w:cs="Arial"/>
          <w:iCs/>
          <w:szCs w:val="20"/>
          <w:lang w:val="pt-BR"/>
        </w:rPr>
        <w:t>ção</w:t>
      </w:r>
      <w:r w:rsidR="00640DA8" w:rsidRPr="00D5464D">
        <w:rPr>
          <w:rFonts w:cs="Arial"/>
          <w:iCs/>
          <w:szCs w:val="20"/>
          <w:lang w:val="pt-BR"/>
        </w:rPr>
        <w:t xml:space="preserve"> </w:t>
      </w:r>
      <w:r w:rsidR="00737270" w:rsidRPr="00D5464D">
        <w:rPr>
          <w:rFonts w:cs="Arial"/>
          <w:iCs/>
          <w:szCs w:val="20"/>
          <w:lang w:val="pt-BR"/>
        </w:rPr>
        <w:t>indica</w:t>
      </w:r>
      <w:r w:rsidR="00640DA8" w:rsidRPr="00D5464D">
        <w:rPr>
          <w:rFonts w:cs="Arial"/>
          <w:iCs/>
          <w:szCs w:val="20"/>
          <w:lang w:val="pt-BR"/>
        </w:rPr>
        <w:t>das,</w:t>
      </w:r>
      <w:r w:rsidR="002C330E" w:rsidRPr="00D5464D">
        <w:rPr>
          <w:rFonts w:cs="Arial"/>
          <w:iCs/>
          <w:szCs w:val="20"/>
          <w:lang w:val="pt-BR"/>
        </w:rPr>
        <w:t xml:space="preserve"> a </w:t>
      </w:r>
      <w:r w:rsidR="00640DA8" w:rsidRPr="00D5464D">
        <w:rPr>
          <w:rFonts w:cs="Arial"/>
          <w:iCs/>
          <w:szCs w:val="20"/>
          <w:lang w:val="pt-BR"/>
        </w:rPr>
        <w:t>Corte considera que</w:t>
      </w:r>
      <w:r w:rsidR="002C330E" w:rsidRPr="00D5464D">
        <w:rPr>
          <w:rFonts w:cs="Arial"/>
          <w:iCs/>
          <w:szCs w:val="20"/>
          <w:lang w:val="pt-BR"/>
        </w:rPr>
        <w:t xml:space="preserve"> </w:t>
      </w:r>
      <w:r w:rsidR="00AC6313" w:rsidRPr="00D5464D">
        <w:rPr>
          <w:rFonts w:cs="Arial"/>
          <w:iCs/>
          <w:szCs w:val="20"/>
          <w:lang w:val="pt-BR"/>
        </w:rPr>
        <w:t xml:space="preserve">o proferimento </w:t>
      </w:r>
      <w:r w:rsidR="00470ADC" w:rsidRPr="00D5464D">
        <w:rPr>
          <w:rFonts w:cs="Arial"/>
          <w:iCs/>
          <w:szCs w:val="20"/>
          <w:lang w:val="pt-BR"/>
        </w:rPr>
        <w:t xml:space="preserve">da </w:t>
      </w:r>
      <w:r w:rsidR="00640DA8" w:rsidRPr="00D5464D">
        <w:rPr>
          <w:rFonts w:cs="Arial"/>
          <w:iCs/>
          <w:szCs w:val="20"/>
          <w:lang w:val="pt-BR"/>
        </w:rPr>
        <w:t xml:space="preserve">presente </w:t>
      </w:r>
      <w:r w:rsidR="002C330E" w:rsidRPr="00D5464D">
        <w:rPr>
          <w:rFonts w:cs="Arial"/>
          <w:iCs/>
          <w:szCs w:val="20"/>
          <w:lang w:val="pt-BR"/>
        </w:rPr>
        <w:t>Sentença</w:t>
      </w:r>
      <w:r w:rsidR="00E045D9" w:rsidRPr="00D5464D">
        <w:rPr>
          <w:rFonts w:cs="Arial"/>
          <w:iCs/>
          <w:szCs w:val="20"/>
          <w:lang w:val="pt-BR"/>
        </w:rPr>
        <w:t xml:space="preserve"> e </w:t>
      </w:r>
      <w:r w:rsidR="002C330E" w:rsidRPr="00D5464D">
        <w:rPr>
          <w:rFonts w:cs="Arial"/>
          <w:iCs/>
          <w:szCs w:val="20"/>
          <w:lang w:val="pt-BR"/>
        </w:rPr>
        <w:t xml:space="preserve">as </w:t>
      </w:r>
      <w:r w:rsidR="00640DA8" w:rsidRPr="00D5464D">
        <w:rPr>
          <w:rFonts w:cs="Arial"/>
          <w:iCs/>
          <w:szCs w:val="20"/>
          <w:lang w:val="pt-BR"/>
        </w:rPr>
        <w:t>repara</w:t>
      </w:r>
      <w:r w:rsidR="00470ADC" w:rsidRPr="00D5464D">
        <w:rPr>
          <w:rFonts w:cs="Arial"/>
          <w:iCs/>
          <w:szCs w:val="20"/>
          <w:lang w:val="pt-BR"/>
        </w:rPr>
        <w:t>ções</w:t>
      </w:r>
      <w:r w:rsidR="00640DA8" w:rsidRPr="00D5464D">
        <w:rPr>
          <w:rFonts w:cs="Arial"/>
          <w:iCs/>
          <w:szCs w:val="20"/>
          <w:lang w:val="pt-BR"/>
        </w:rPr>
        <w:t xml:space="preserve"> ordenadas</w:t>
      </w:r>
      <w:r w:rsidR="00E045D9" w:rsidRPr="00D5464D">
        <w:rPr>
          <w:rFonts w:cs="Arial"/>
          <w:iCs/>
          <w:szCs w:val="20"/>
          <w:lang w:val="pt-BR"/>
        </w:rPr>
        <w:t xml:space="preserve"> neste </w:t>
      </w:r>
      <w:r w:rsidR="00640DA8" w:rsidRPr="00D5464D">
        <w:rPr>
          <w:rFonts w:cs="Arial"/>
          <w:iCs/>
          <w:szCs w:val="20"/>
          <w:lang w:val="pt-BR"/>
        </w:rPr>
        <w:t xml:space="preserve">capítulo </w:t>
      </w:r>
      <w:r w:rsidR="00AC6313" w:rsidRPr="00D5464D">
        <w:rPr>
          <w:rFonts w:cs="Arial"/>
          <w:iCs/>
          <w:szCs w:val="20"/>
          <w:lang w:val="pt-BR"/>
        </w:rPr>
        <w:t xml:space="preserve">são </w:t>
      </w:r>
      <w:r w:rsidR="00640DA8" w:rsidRPr="00D5464D">
        <w:rPr>
          <w:rFonts w:cs="Arial"/>
          <w:iCs/>
          <w:szCs w:val="20"/>
          <w:lang w:val="pt-BR"/>
        </w:rPr>
        <w:t>suficientes</w:t>
      </w:r>
      <w:r w:rsidR="00E045D9" w:rsidRPr="00D5464D">
        <w:rPr>
          <w:rFonts w:cs="Arial"/>
          <w:iCs/>
          <w:szCs w:val="20"/>
          <w:lang w:val="pt-BR"/>
        </w:rPr>
        <w:t xml:space="preserve"> e </w:t>
      </w:r>
      <w:r w:rsidR="00470ADC" w:rsidRPr="00D5464D">
        <w:rPr>
          <w:rFonts w:cs="Arial"/>
          <w:iCs/>
          <w:szCs w:val="20"/>
          <w:lang w:val="pt-BR"/>
        </w:rPr>
        <w:t>adequad</w:t>
      </w:r>
      <w:r w:rsidR="00AC6313" w:rsidRPr="00D5464D">
        <w:rPr>
          <w:rFonts w:cs="Arial"/>
          <w:iCs/>
          <w:szCs w:val="20"/>
          <w:lang w:val="pt-BR"/>
        </w:rPr>
        <w:t>a</w:t>
      </w:r>
      <w:r w:rsidR="00640DA8" w:rsidRPr="00D5464D">
        <w:rPr>
          <w:rFonts w:cs="Arial"/>
          <w:iCs/>
          <w:szCs w:val="20"/>
          <w:lang w:val="pt-BR"/>
        </w:rPr>
        <w:t>s para remediar</w:t>
      </w:r>
      <w:r w:rsidR="002C330E" w:rsidRPr="00D5464D">
        <w:rPr>
          <w:rFonts w:cs="Arial"/>
          <w:iCs/>
          <w:szCs w:val="20"/>
          <w:lang w:val="pt-BR"/>
        </w:rPr>
        <w:t xml:space="preserve"> as </w:t>
      </w:r>
      <w:r w:rsidR="00640DA8" w:rsidRPr="00D5464D">
        <w:rPr>
          <w:rFonts w:cs="Arial"/>
          <w:iCs/>
          <w:szCs w:val="20"/>
          <w:lang w:val="pt-BR"/>
        </w:rPr>
        <w:t>viola</w:t>
      </w:r>
      <w:r w:rsidR="00470ADC" w:rsidRPr="00D5464D">
        <w:rPr>
          <w:rFonts w:cs="Arial"/>
          <w:iCs/>
          <w:szCs w:val="20"/>
          <w:lang w:val="pt-BR"/>
        </w:rPr>
        <w:t>ções</w:t>
      </w:r>
      <w:r w:rsidR="00640DA8" w:rsidRPr="00D5464D">
        <w:rPr>
          <w:rFonts w:cs="Arial"/>
          <w:iCs/>
          <w:szCs w:val="20"/>
          <w:lang w:val="pt-BR"/>
        </w:rPr>
        <w:t xml:space="preserve"> </w:t>
      </w:r>
      <w:r w:rsidR="00E045D9" w:rsidRPr="00D5464D">
        <w:rPr>
          <w:rFonts w:cs="Arial"/>
          <w:iCs/>
          <w:szCs w:val="20"/>
          <w:lang w:val="pt-BR"/>
        </w:rPr>
        <w:t>sofridas</w:t>
      </w:r>
      <w:r w:rsidR="002C330E" w:rsidRPr="00D5464D">
        <w:rPr>
          <w:rFonts w:cs="Arial"/>
          <w:iCs/>
          <w:szCs w:val="20"/>
          <w:lang w:val="pt-BR"/>
        </w:rPr>
        <w:t xml:space="preserve"> pelas </w:t>
      </w:r>
      <w:r w:rsidR="00E045D9" w:rsidRPr="00D5464D">
        <w:rPr>
          <w:rFonts w:cs="Arial"/>
          <w:iCs/>
          <w:szCs w:val="20"/>
          <w:lang w:val="pt-BR"/>
        </w:rPr>
        <w:t>vítima</w:t>
      </w:r>
      <w:r w:rsidR="00640DA8" w:rsidRPr="00D5464D">
        <w:rPr>
          <w:rFonts w:cs="Arial"/>
          <w:iCs/>
          <w:szCs w:val="20"/>
          <w:lang w:val="pt-BR"/>
        </w:rPr>
        <w:t>s</w:t>
      </w:r>
      <w:r w:rsidR="00E045D9" w:rsidRPr="00D5464D">
        <w:rPr>
          <w:rFonts w:cs="Arial"/>
          <w:iCs/>
          <w:szCs w:val="20"/>
          <w:lang w:val="pt-BR"/>
        </w:rPr>
        <w:t xml:space="preserve"> e </w:t>
      </w:r>
      <w:r w:rsidR="00640DA8" w:rsidRPr="00D5464D">
        <w:rPr>
          <w:rFonts w:cs="Arial"/>
          <w:iCs/>
          <w:szCs w:val="20"/>
          <w:lang w:val="pt-BR"/>
        </w:rPr>
        <w:t>n</w:t>
      </w:r>
      <w:r w:rsidR="00AC6313" w:rsidRPr="00D5464D">
        <w:rPr>
          <w:rFonts w:cs="Arial"/>
          <w:iCs/>
          <w:szCs w:val="20"/>
          <w:lang w:val="pt-BR"/>
        </w:rPr>
        <w:t>ã</w:t>
      </w:r>
      <w:r w:rsidR="00640DA8" w:rsidRPr="00D5464D">
        <w:rPr>
          <w:rFonts w:cs="Arial"/>
          <w:iCs/>
          <w:szCs w:val="20"/>
          <w:lang w:val="pt-BR"/>
        </w:rPr>
        <w:t>o</w:t>
      </w:r>
      <w:r w:rsidR="00E765C2" w:rsidRPr="00D5464D">
        <w:rPr>
          <w:rFonts w:cs="Arial"/>
          <w:iCs/>
          <w:szCs w:val="20"/>
          <w:lang w:val="pt-BR"/>
        </w:rPr>
        <w:t xml:space="preserve"> considera </w:t>
      </w:r>
      <w:r w:rsidR="002C330E" w:rsidRPr="00D5464D">
        <w:rPr>
          <w:rFonts w:cs="Arial"/>
          <w:iCs/>
          <w:szCs w:val="20"/>
          <w:lang w:val="pt-BR"/>
        </w:rPr>
        <w:t>necessári</w:t>
      </w:r>
      <w:r w:rsidR="00640DA8" w:rsidRPr="00D5464D">
        <w:rPr>
          <w:rFonts w:cs="Arial"/>
          <w:iCs/>
          <w:szCs w:val="20"/>
          <w:lang w:val="pt-BR"/>
        </w:rPr>
        <w:t>o ordenar</w:t>
      </w:r>
      <w:r w:rsidR="002C330E" w:rsidRPr="00D5464D">
        <w:rPr>
          <w:rFonts w:cs="Arial"/>
          <w:iCs/>
          <w:szCs w:val="20"/>
          <w:lang w:val="pt-BR"/>
        </w:rPr>
        <w:t xml:space="preserve"> a </w:t>
      </w:r>
      <w:r w:rsidR="00640DA8" w:rsidRPr="00D5464D">
        <w:rPr>
          <w:rFonts w:cs="Arial"/>
          <w:iCs/>
          <w:szCs w:val="20"/>
          <w:lang w:val="pt-BR"/>
        </w:rPr>
        <w:t>realiza</w:t>
      </w:r>
      <w:r w:rsidR="00470ADC" w:rsidRPr="00D5464D">
        <w:rPr>
          <w:rFonts w:cs="Arial"/>
          <w:iCs/>
          <w:szCs w:val="20"/>
          <w:lang w:val="pt-BR"/>
        </w:rPr>
        <w:t>ção</w:t>
      </w:r>
      <w:r w:rsidR="00640DA8" w:rsidRPr="00D5464D">
        <w:rPr>
          <w:rFonts w:cs="Arial"/>
          <w:iCs/>
          <w:szCs w:val="20"/>
          <w:lang w:val="pt-BR"/>
        </w:rPr>
        <w:t xml:space="preserve"> de</w:t>
      </w:r>
      <w:r w:rsidR="00E045D9" w:rsidRPr="00D5464D">
        <w:rPr>
          <w:rFonts w:cs="Arial"/>
          <w:iCs/>
          <w:szCs w:val="20"/>
          <w:lang w:val="pt-BR"/>
        </w:rPr>
        <w:t xml:space="preserve"> um </w:t>
      </w:r>
      <w:r w:rsidR="00470ADC" w:rsidRPr="00D5464D">
        <w:rPr>
          <w:rFonts w:cs="Arial"/>
          <w:iCs/>
          <w:szCs w:val="20"/>
          <w:lang w:val="pt-BR"/>
        </w:rPr>
        <w:t xml:space="preserve">ato </w:t>
      </w:r>
      <w:r w:rsidR="00640DA8" w:rsidRPr="00D5464D">
        <w:rPr>
          <w:rFonts w:cs="Arial"/>
          <w:iCs/>
          <w:szCs w:val="20"/>
          <w:lang w:val="pt-BR"/>
        </w:rPr>
        <w:t>público de re</w:t>
      </w:r>
      <w:r w:rsidR="00470ADC" w:rsidRPr="00D5464D">
        <w:rPr>
          <w:rFonts w:cs="Arial"/>
          <w:iCs/>
          <w:szCs w:val="20"/>
          <w:lang w:val="pt-BR"/>
        </w:rPr>
        <w:t>conhecimento</w:t>
      </w:r>
      <w:r w:rsidR="00640DA8" w:rsidRPr="00D5464D">
        <w:rPr>
          <w:rFonts w:cs="Arial"/>
          <w:iCs/>
          <w:szCs w:val="20"/>
          <w:lang w:val="pt-BR"/>
        </w:rPr>
        <w:t xml:space="preserve"> de </w:t>
      </w:r>
      <w:r w:rsidR="002C330E" w:rsidRPr="00D5464D">
        <w:rPr>
          <w:rFonts w:cs="Arial"/>
          <w:iCs/>
          <w:szCs w:val="20"/>
          <w:lang w:val="pt-BR"/>
        </w:rPr>
        <w:t xml:space="preserve">responsabilidade nem a </w:t>
      </w:r>
      <w:r w:rsidR="00640DA8" w:rsidRPr="00D5464D">
        <w:rPr>
          <w:rFonts w:cs="Arial"/>
          <w:iCs/>
          <w:szCs w:val="20"/>
          <w:lang w:val="pt-BR"/>
        </w:rPr>
        <w:t>instala</w:t>
      </w:r>
      <w:r w:rsidR="00470ADC" w:rsidRPr="00D5464D">
        <w:rPr>
          <w:rFonts w:cs="Arial"/>
          <w:iCs/>
          <w:szCs w:val="20"/>
          <w:lang w:val="pt-BR"/>
        </w:rPr>
        <w:t>ção</w:t>
      </w:r>
      <w:r w:rsidR="00640DA8" w:rsidRPr="00D5464D">
        <w:rPr>
          <w:rFonts w:cs="Arial"/>
          <w:iCs/>
          <w:szCs w:val="20"/>
          <w:lang w:val="pt-BR"/>
        </w:rPr>
        <w:t xml:space="preserve"> de</w:t>
      </w:r>
      <w:r w:rsidR="00E045D9" w:rsidRPr="00D5464D">
        <w:rPr>
          <w:rFonts w:cs="Arial"/>
          <w:iCs/>
          <w:szCs w:val="20"/>
          <w:lang w:val="pt-BR"/>
        </w:rPr>
        <w:t xml:space="preserve"> uma </w:t>
      </w:r>
      <w:r w:rsidR="00640DA8" w:rsidRPr="00D5464D">
        <w:rPr>
          <w:rFonts w:cs="Arial"/>
          <w:iCs/>
          <w:szCs w:val="20"/>
          <w:lang w:val="pt-BR"/>
        </w:rPr>
        <w:t xml:space="preserve">placa </w:t>
      </w:r>
      <w:r w:rsidR="00E045D9" w:rsidRPr="00D5464D">
        <w:rPr>
          <w:rFonts w:cs="Arial"/>
          <w:iCs/>
          <w:szCs w:val="20"/>
          <w:lang w:val="pt-BR"/>
        </w:rPr>
        <w:t>comemora</w:t>
      </w:r>
      <w:r w:rsidR="00640DA8" w:rsidRPr="00D5464D">
        <w:rPr>
          <w:rFonts w:cs="Arial"/>
          <w:iCs/>
          <w:szCs w:val="20"/>
          <w:lang w:val="pt-BR"/>
        </w:rPr>
        <w:t>tiva</w:t>
      </w:r>
      <w:r w:rsidR="00470ADC" w:rsidRPr="00D5464D">
        <w:rPr>
          <w:rFonts w:cs="Arial"/>
          <w:iCs/>
          <w:szCs w:val="20"/>
          <w:lang w:val="pt-BR"/>
        </w:rPr>
        <w:t xml:space="preserve"> em </w:t>
      </w:r>
      <w:r w:rsidR="00640DA8" w:rsidRPr="00D5464D">
        <w:rPr>
          <w:rFonts w:cs="Arial"/>
          <w:iCs/>
          <w:szCs w:val="20"/>
          <w:lang w:val="pt-BR"/>
        </w:rPr>
        <w:t>Sapucaia.</w:t>
      </w:r>
      <w:r w:rsidR="00FF1290" w:rsidRPr="00D5464D">
        <w:rPr>
          <w:rFonts w:cs="Arial"/>
          <w:iCs/>
          <w:szCs w:val="20"/>
          <w:lang w:val="pt-BR"/>
        </w:rPr>
        <w:t xml:space="preserve"> </w:t>
      </w:r>
    </w:p>
    <w:p w14:paraId="4F55F8D6" w14:textId="77777777" w:rsidR="004B0842" w:rsidRPr="00D5464D" w:rsidRDefault="004B0842" w:rsidP="004B0842">
      <w:pPr>
        <w:pStyle w:val="Prrafodelista"/>
        <w:autoSpaceDE w:val="0"/>
        <w:autoSpaceDN w:val="0"/>
        <w:adjustRightInd w:val="0"/>
        <w:rPr>
          <w:rFonts w:cs="Arial"/>
          <w:iCs/>
          <w:szCs w:val="20"/>
          <w:lang w:val="pt-BR"/>
        </w:rPr>
      </w:pPr>
    </w:p>
    <w:p w14:paraId="303808D4" w14:textId="4E9D2AF9" w:rsidR="004B0842" w:rsidRPr="00D5464D" w:rsidRDefault="002C330E" w:rsidP="00F306D7">
      <w:pPr>
        <w:pStyle w:val="Ttulo2"/>
        <w:numPr>
          <w:ilvl w:val="0"/>
          <w:numId w:val="21"/>
        </w:numPr>
        <w:rPr>
          <w:lang w:val="pt-BR"/>
        </w:rPr>
      </w:pPr>
      <w:bookmarkStart w:id="474" w:name="_Toc468433955"/>
      <w:r w:rsidRPr="00D5464D">
        <w:rPr>
          <w:lang w:val="pt-BR"/>
        </w:rPr>
        <w:t>Indenização</w:t>
      </w:r>
      <w:r w:rsidR="004B0842" w:rsidRPr="00D5464D">
        <w:rPr>
          <w:lang w:val="pt-BR"/>
        </w:rPr>
        <w:t xml:space="preserve"> </w:t>
      </w:r>
      <w:r w:rsidR="00E045D9" w:rsidRPr="00D5464D">
        <w:rPr>
          <w:lang w:val="pt-BR"/>
        </w:rPr>
        <w:t>compensatóri</w:t>
      </w:r>
      <w:r w:rsidR="004B0842" w:rsidRPr="00D5464D">
        <w:rPr>
          <w:lang w:val="pt-BR"/>
        </w:rPr>
        <w:t>a</w:t>
      </w:r>
      <w:bookmarkEnd w:id="474"/>
    </w:p>
    <w:p w14:paraId="70B773BF" w14:textId="77777777" w:rsidR="004B0842" w:rsidRPr="00D5464D" w:rsidRDefault="004B0842" w:rsidP="004B0842">
      <w:pPr>
        <w:pStyle w:val="Prrafodelista"/>
        <w:autoSpaceDE w:val="0"/>
        <w:autoSpaceDN w:val="0"/>
        <w:adjustRightInd w:val="0"/>
        <w:ind w:left="0"/>
        <w:rPr>
          <w:rFonts w:cs="Arial"/>
          <w:i/>
          <w:iCs/>
          <w:szCs w:val="20"/>
          <w:lang w:val="pt-BR"/>
        </w:rPr>
      </w:pPr>
    </w:p>
    <w:p w14:paraId="48E05235" w14:textId="34246AD1" w:rsidR="004B0842" w:rsidRPr="00D5464D" w:rsidRDefault="004B0842" w:rsidP="00863BF9">
      <w:pPr>
        <w:pStyle w:val="Ttulo3"/>
        <w:rPr>
          <w:lang w:val="pt-BR"/>
        </w:rPr>
      </w:pPr>
      <w:bookmarkStart w:id="475" w:name="_Toc460433070"/>
      <w:bookmarkStart w:id="476" w:name="_Toc460442001"/>
      <w:bookmarkStart w:id="477" w:name="_Toc462751143"/>
      <w:bookmarkStart w:id="478" w:name="_Toc464813995"/>
      <w:bookmarkStart w:id="479" w:name="_Toc468433956"/>
      <w:r w:rsidRPr="00D5464D">
        <w:rPr>
          <w:lang w:val="pt-BR"/>
        </w:rPr>
        <w:t>E.1.</w:t>
      </w:r>
      <w:r w:rsidR="00FF1290" w:rsidRPr="00D5464D">
        <w:rPr>
          <w:lang w:val="pt-BR"/>
        </w:rPr>
        <w:t xml:space="preserve">  </w:t>
      </w:r>
      <w:r w:rsidRPr="00D5464D">
        <w:rPr>
          <w:lang w:val="pt-BR"/>
        </w:rPr>
        <w:t>D</w:t>
      </w:r>
      <w:r w:rsidR="00470ADC" w:rsidRPr="00D5464D">
        <w:rPr>
          <w:lang w:val="pt-BR"/>
        </w:rPr>
        <w:t>anos</w:t>
      </w:r>
      <w:r w:rsidRPr="00D5464D">
        <w:rPr>
          <w:lang w:val="pt-BR"/>
        </w:rPr>
        <w:t xml:space="preserve"> </w:t>
      </w:r>
      <w:r w:rsidR="00737270" w:rsidRPr="00D5464D">
        <w:rPr>
          <w:lang w:val="pt-BR"/>
        </w:rPr>
        <w:t>materiais</w:t>
      </w:r>
      <w:bookmarkEnd w:id="475"/>
      <w:bookmarkEnd w:id="476"/>
      <w:bookmarkEnd w:id="477"/>
      <w:bookmarkEnd w:id="478"/>
      <w:bookmarkEnd w:id="479"/>
    </w:p>
    <w:p w14:paraId="3CDCDA71" w14:textId="77777777" w:rsidR="00E94DEB" w:rsidRPr="00D5464D" w:rsidRDefault="00E94DEB" w:rsidP="00E94DEB">
      <w:pPr>
        <w:pStyle w:val="Prrafodelista"/>
        <w:autoSpaceDE w:val="0"/>
        <w:autoSpaceDN w:val="0"/>
        <w:adjustRightInd w:val="0"/>
        <w:ind w:left="0"/>
        <w:rPr>
          <w:rFonts w:cs="Arial"/>
          <w:iCs/>
          <w:szCs w:val="20"/>
          <w:lang w:val="pt-BR"/>
        </w:rPr>
      </w:pPr>
    </w:p>
    <w:p w14:paraId="0C9DF20C" w14:textId="258331B7" w:rsidR="004B0842" w:rsidRPr="00D5464D" w:rsidRDefault="00470ADC"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A </w:t>
      </w:r>
      <w:r w:rsidRPr="00D5464D">
        <w:rPr>
          <w:rFonts w:cs="Arial"/>
          <w:b/>
          <w:i/>
          <w:iCs/>
          <w:szCs w:val="20"/>
          <w:lang w:val="pt-BR"/>
        </w:rPr>
        <w:t>Comissão</w:t>
      </w:r>
      <w:r w:rsidR="004B0842" w:rsidRPr="00D5464D">
        <w:rPr>
          <w:rFonts w:cs="Arial"/>
          <w:iCs/>
          <w:szCs w:val="20"/>
          <w:lang w:val="pt-BR"/>
        </w:rPr>
        <w:t xml:space="preserve"> </w:t>
      </w:r>
      <w:r w:rsidR="002C330E" w:rsidRPr="00D5464D">
        <w:rPr>
          <w:rFonts w:cs="Arial"/>
          <w:iCs/>
          <w:szCs w:val="20"/>
          <w:lang w:val="pt-BR"/>
        </w:rPr>
        <w:t>solicitou</w:t>
      </w:r>
      <w:r w:rsidR="004B0842" w:rsidRPr="00D5464D">
        <w:rPr>
          <w:rFonts w:cs="Arial"/>
          <w:iCs/>
          <w:szCs w:val="20"/>
          <w:lang w:val="pt-BR"/>
        </w:rPr>
        <w:t xml:space="preserve"> que</w:t>
      </w:r>
      <w:r w:rsidR="002C330E" w:rsidRPr="00D5464D">
        <w:rPr>
          <w:rFonts w:cs="Arial"/>
          <w:iCs/>
          <w:szCs w:val="20"/>
          <w:lang w:val="pt-BR"/>
        </w:rPr>
        <w:t xml:space="preserve"> as </w:t>
      </w:r>
      <w:r w:rsidR="00E045D9" w:rsidRPr="00D5464D">
        <w:rPr>
          <w:rFonts w:cs="Arial"/>
          <w:iCs/>
          <w:szCs w:val="20"/>
          <w:lang w:val="pt-BR"/>
        </w:rPr>
        <w:t>vítima</w:t>
      </w:r>
      <w:r w:rsidR="004B0842" w:rsidRPr="00D5464D">
        <w:rPr>
          <w:rFonts w:cs="Arial"/>
          <w:iCs/>
          <w:szCs w:val="20"/>
          <w:lang w:val="pt-BR"/>
        </w:rPr>
        <w:t>s</w:t>
      </w:r>
      <w:r w:rsidRPr="00D5464D">
        <w:rPr>
          <w:rFonts w:cs="Arial"/>
          <w:iCs/>
          <w:szCs w:val="20"/>
          <w:lang w:val="pt-BR"/>
        </w:rPr>
        <w:t xml:space="preserve"> deste </w:t>
      </w:r>
      <w:r w:rsidR="004B0842" w:rsidRPr="00D5464D">
        <w:rPr>
          <w:rFonts w:cs="Arial"/>
          <w:iCs/>
          <w:szCs w:val="20"/>
          <w:lang w:val="pt-BR"/>
        </w:rPr>
        <w:t>caso</w:t>
      </w:r>
      <w:r w:rsidR="002C330E" w:rsidRPr="00D5464D">
        <w:rPr>
          <w:rFonts w:cs="Arial"/>
          <w:iCs/>
          <w:szCs w:val="20"/>
          <w:lang w:val="pt-BR"/>
        </w:rPr>
        <w:t xml:space="preserve"> sejam </w:t>
      </w:r>
      <w:r w:rsidRPr="00D5464D">
        <w:rPr>
          <w:rFonts w:cs="Arial"/>
          <w:iCs/>
          <w:szCs w:val="20"/>
          <w:lang w:val="pt-BR"/>
        </w:rPr>
        <w:t>adequad</w:t>
      </w:r>
      <w:r w:rsidR="004B0842" w:rsidRPr="00D5464D">
        <w:rPr>
          <w:rFonts w:cs="Arial"/>
          <w:iCs/>
          <w:szCs w:val="20"/>
          <w:lang w:val="pt-BR"/>
        </w:rPr>
        <w:t xml:space="preserve">amente reparadas, tanto </w:t>
      </w:r>
      <w:r w:rsidR="00D838DD" w:rsidRPr="00D5464D">
        <w:rPr>
          <w:rFonts w:cs="Arial"/>
          <w:iCs/>
          <w:szCs w:val="20"/>
          <w:lang w:val="pt-BR"/>
        </w:rPr>
        <w:t xml:space="preserve">em relação </w:t>
      </w:r>
      <w:r w:rsidR="00E045D9" w:rsidRPr="00D5464D">
        <w:rPr>
          <w:rFonts w:cs="Arial"/>
          <w:iCs/>
          <w:szCs w:val="20"/>
          <w:lang w:val="pt-BR"/>
        </w:rPr>
        <w:t xml:space="preserve">aos </w:t>
      </w:r>
      <w:r w:rsidR="004B0842" w:rsidRPr="00D5464D">
        <w:rPr>
          <w:rFonts w:cs="Arial"/>
          <w:iCs/>
          <w:szCs w:val="20"/>
          <w:lang w:val="pt-BR"/>
        </w:rPr>
        <w:t>d</w:t>
      </w:r>
      <w:r w:rsidRPr="00D5464D">
        <w:rPr>
          <w:rFonts w:cs="Arial"/>
          <w:iCs/>
          <w:szCs w:val="20"/>
          <w:lang w:val="pt-BR"/>
        </w:rPr>
        <w:t>anos</w:t>
      </w:r>
      <w:r w:rsidR="004B0842" w:rsidRPr="00D5464D">
        <w:rPr>
          <w:rFonts w:cs="Arial"/>
          <w:iCs/>
          <w:szCs w:val="20"/>
          <w:lang w:val="pt-BR"/>
        </w:rPr>
        <w:t xml:space="preserve"> </w:t>
      </w:r>
      <w:r w:rsidR="00737270" w:rsidRPr="00D5464D">
        <w:rPr>
          <w:rFonts w:cs="Arial"/>
          <w:iCs/>
          <w:szCs w:val="20"/>
          <w:lang w:val="pt-BR"/>
        </w:rPr>
        <w:t>materiais</w:t>
      </w:r>
      <w:r w:rsidR="004B0842" w:rsidRPr="00D5464D">
        <w:rPr>
          <w:rFonts w:cs="Arial"/>
          <w:iCs/>
          <w:szCs w:val="20"/>
          <w:lang w:val="pt-BR"/>
        </w:rPr>
        <w:t xml:space="preserve"> como </w:t>
      </w:r>
      <w:r w:rsidR="00A1358C" w:rsidRPr="00D5464D">
        <w:rPr>
          <w:rFonts w:cs="Arial"/>
          <w:iCs/>
          <w:szCs w:val="20"/>
          <w:lang w:val="pt-BR"/>
        </w:rPr>
        <w:t>morais. Em particular</w:t>
      </w:r>
      <w:r w:rsidR="003A3C64" w:rsidRPr="00D5464D">
        <w:rPr>
          <w:rFonts w:cs="Arial"/>
          <w:iCs/>
          <w:szCs w:val="20"/>
          <w:lang w:val="pt-BR"/>
        </w:rPr>
        <w:t>,</w:t>
      </w:r>
      <w:r w:rsidR="004B0842" w:rsidRPr="00D5464D">
        <w:rPr>
          <w:rFonts w:cs="Arial"/>
          <w:iCs/>
          <w:szCs w:val="20"/>
          <w:lang w:val="pt-BR"/>
        </w:rPr>
        <w:t xml:space="preserve"> </w:t>
      </w:r>
      <w:r w:rsidR="00A1358C" w:rsidRPr="00D5464D">
        <w:rPr>
          <w:rFonts w:cs="Arial"/>
          <w:iCs/>
          <w:szCs w:val="20"/>
          <w:lang w:val="pt-BR"/>
        </w:rPr>
        <w:t>requereu</w:t>
      </w:r>
      <w:r w:rsidR="004B0842" w:rsidRPr="00D5464D">
        <w:rPr>
          <w:rFonts w:cs="Arial"/>
          <w:iCs/>
          <w:szCs w:val="20"/>
          <w:lang w:val="pt-BR"/>
        </w:rPr>
        <w:t xml:space="preserve"> que </w:t>
      </w:r>
      <w:r w:rsidR="00966A4A" w:rsidRPr="00D5464D">
        <w:rPr>
          <w:rFonts w:cs="Arial"/>
          <w:iCs/>
          <w:szCs w:val="20"/>
          <w:lang w:val="pt-BR"/>
        </w:rPr>
        <w:t xml:space="preserve">sejam restituídos </w:t>
      </w:r>
      <w:r w:rsidR="00E045D9" w:rsidRPr="00D5464D">
        <w:rPr>
          <w:rFonts w:cs="Arial"/>
          <w:iCs/>
          <w:szCs w:val="20"/>
          <w:lang w:val="pt-BR"/>
        </w:rPr>
        <w:t>aos trabalhadores</w:t>
      </w:r>
      <w:r w:rsidR="002C330E" w:rsidRPr="00D5464D">
        <w:rPr>
          <w:rFonts w:cs="Arial"/>
          <w:iCs/>
          <w:szCs w:val="20"/>
          <w:lang w:val="pt-BR"/>
        </w:rPr>
        <w:t xml:space="preserve"> os </w:t>
      </w:r>
      <w:r w:rsidR="00E045D9" w:rsidRPr="00D5464D">
        <w:rPr>
          <w:rFonts w:cs="Arial"/>
          <w:iCs/>
          <w:szCs w:val="20"/>
          <w:lang w:val="pt-BR"/>
        </w:rPr>
        <w:t>salário</w:t>
      </w:r>
      <w:r w:rsidR="004B0842" w:rsidRPr="00D5464D">
        <w:rPr>
          <w:rFonts w:cs="Arial"/>
          <w:iCs/>
          <w:szCs w:val="20"/>
          <w:lang w:val="pt-BR"/>
        </w:rPr>
        <w:t xml:space="preserve">s </w:t>
      </w:r>
      <w:r w:rsidRPr="00D5464D">
        <w:rPr>
          <w:rFonts w:cs="Arial"/>
          <w:iCs/>
          <w:szCs w:val="20"/>
          <w:lang w:val="pt-BR"/>
        </w:rPr>
        <w:t>devido</w:t>
      </w:r>
      <w:r w:rsidR="004B0842" w:rsidRPr="00D5464D">
        <w:rPr>
          <w:rFonts w:cs="Arial"/>
          <w:iCs/>
          <w:szCs w:val="20"/>
          <w:lang w:val="pt-BR"/>
        </w:rPr>
        <w:t>s</w:t>
      </w:r>
      <w:r w:rsidR="002C330E" w:rsidRPr="00D5464D">
        <w:rPr>
          <w:rFonts w:cs="Arial"/>
          <w:iCs/>
          <w:szCs w:val="20"/>
          <w:lang w:val="pt-BR"/>
        </w:rPr>
        <w:t xml:space="preserve"> pelos serviço</w:t>
      </w:r>
      <w:r w:rsidR="004B0842" w:rsidRPr="00D5464D">
        <w:rPr>
          <w:rFonts w:cs="Arial"/>
          <w:iCs/>
          <w:szCs w:val="20"/>
          <w:lang w:val="pt-BR"/>
        </w:rPr>
        <w:t xml:space="preserve">s prestados </w:t>
      </w:r>
      <w:r w:rsidR="00966A4A" w:rsidRPr="00D5464D">
        <w:rPr>
          <w:rFonts w:cs="Arial"/>
          <w:iCs/>
          <w:szCs w:val="20"/>
          <w:lang w:val="pt-BR"/>
        </w:rPr>
        <w:t xml:space="preserve">e </w:t>
      </w:r>
      <w:r w:rsidR="002C330E" w:rsidRPr="00D5464D">
        <w:rPr>
          <w:rFonts w:cs="Arial"/>
          <w:iCs/>
          <w:szCs w:val="20"/>
          <w:lang w:val="pt-BR"/>
        </w:rPr>
        <w:t xml:space="preserve">as </w:t>
      </w:r>
      <w:r w:rsidR="004B0842" w:rsidRPr="00D5464D">
        <w:rPr>
          <w:rFonts w:cs="Arial"/>
          <w:iCs/>
          <w:szCs w:val="20"/>
          <w:lang w:val="pt-BR"/>
        </w:rPr>
        <w:t>s</w:t>
      </w:r>
      <w:r w:rsidR="00966A4A" w:rsidRPr="00D5464D">
        <w:rPr>
          <w:rFonts w:cs="Arial"/>
          <w:iCs/>
          <w:szCs w:val="20"/>
          <w:lang w:val="pt-BR"/>
        </w:rPr>
        <w:t>o</w:t>
      </w:r>
      <w:r w:rsidR="004B0842" w:rsidRPr="00D5464D">
        <w:rPr>
          <w:rFonts w:cs="Arial"/>
          <w:iCs/>
          <w:szCs w:val="20"/>
          <w:lang w:val="pt-BR"/>
        </w:rPr>
        <w:t xml:space="preserve">mas de </w:t>
      </w:r>
      <w:r w:rsidR="00737270" w:rsidRPr="00D5464D">
        <w:rPr>
          <w:rFonts w:cs="Arial"/>
          <w:iCs/>
          <w:szCs w:val="20"/>
          <w:lang w:val="pt-BR"/>
        </w:rPr>
        <w:t>dinheiro</w:t>
      </w:r>
      <w:r w:rsidR="004B0842" w:rsidRPr="00D5464D">
        <w:rPr>
          <w:rFonts w:cs="Arial"/>
          <w:iCs/>
          <w:szCs w:val="20"/>
          <w:lang w:val="pt-BR"/>
        </w:rPr>
        <w:t xml:space="preserve"> ilegalmente su</w:t>
      </w:r>
      <w:r w:rsidR="00966A4A" w:rsidRPr="00D5464D">
        <w:rPr>
          <w:rFonts w:cs="Arial"/>
          <w:iCs/>
          <w:szCs w:val="20"/>
          <w:lang w:val="pt-BR"/>
        </w:rPr>
        <w:t>b</w:t>
      </w:r>
      <w:r w:rsidR="004B0842" w:rsidRPr="00D5464D">
        <w:rPr>
          <w:rFonts w:cs="Arial"/>
          <w:iCs/>
          <w:szCs w:val="20"/>
          <w:lang w:val="pt-BR"/>
        </w:rPr>
        <w:t xml:space="preserve">traídas. </w:t>
      </w:r>
    </w:p>
    <w:p w14:paraId="225B674A" w14:textId="77777777" w:rsidR="004B0842" w:rsidRPr="00D5464D" w:rsidRDefault="004B0842" w:rsidP="004B0842">
      <w:pPr>
        <w:pStyle w:val="Prrafodelista"/>
        <w:autoSpaceDE w:val="0"/>
        <w:autoSpaceDN w:val="0"/>
        <w:adjustRightInd w:val="0"/>
        <w:rPr>
          <w:rFonts w:cs="Arial"/>
          <w:iCs/>
          <w:szCs w:val="20"/>
          <w:lang w:val="pt-BR"/>
        </w:rPr>
      </w:pPr>
    </w:p>
    <w:p w14:paraId="27964CD0" w14:textId="1EF53F81" w:rsidR="004B0842" w:rsidRPr="00D5464D" w:rsidRDefault="00737270"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Os </w:t>
      </w:r>
      <w:r w:rsidR="00EB1CE9" w:rsidRPr="00D5464D">
        <w:rPr>
          <w:rFonts w:cs="Arial"/>
          <w:b/>
          <w:i/>
          <w:iCs/>
          <w:szCs w:val="20"/>
          <w:lang w:val="pt-BR"/>
        </w:rPr>
        <w:t>representante</w:t>
      </w:r>
      <w:r w:rsidRPr="00D5464D">
        <w:rPr>
          <w:rFonts w:cs="Arial"/>
          <w:b/>
          <w:i/>
          <w:iCs/>
          <w:szCs w:val="20"/>
          <w:lang w:val="pt-BR"/>
        </w:rPr>
        <w:t>s</w:t>
      </w:r>
      <w:r w:rsidRPr="00D5464D">
        <w:rPr>
          <w:rFonts w:cs="Arial"/>
          <w:iCs/>
          <w:szCs w:val="20"/>
          <w:lang w:val="pt-BR"/>
        </w:rPr>
        <w:t xml:space="preserve"> </w:t>
      </w:r>
      <w:r w:rsidR="004B0842" w:rsidRPr="00D5464D">
        <w:rPr>
          <w:rFonts w:cs="Arial"/>
          <w:iCs/>
          <w:szCs w:val="20"/>
          <w:lang w:val="pt-BR"/>
        </w:rPr>
        <w:t>reclam</w:t>
      </w:r>
      <w:r w:rsidR="00350187" w:rsidRPr="00D5464D">
        <w:rPr>
          <w:rFonts w:cs="Arial"/>
          <w:iCs/>
          <w:szCs w:val="20"/>
          <w:lang w:val="pt-BR"/>
        </w:rPr>
        <w:t xml:space="preserve">aram </w:t>
      </w:r>
      <w:r w:rsidR="00470ADC" w:rsidRPr="00D5464D">
        <w:rPr>
          <w:rFonts w:cs="Arial"/>
          <w:iCs/>
          <w:szCs w:val="20"/>
          <w:lang w:val="pt-BR"/>
        </w:rPr>
        <w:t xml:space="preserve">o </w:t>
      </w:r>
      <w:r w:rsidR="002C330E" w:rsidRPr="00D5464D">
        <w:rPr>
          <w:rFonts w:cs="Arial"/>
          <w:iCs/>
          <w:szCs w:val="20"/>
          <w:lang w:val="pt-BR"/>
        </w:rPr>
        <w:t>pagamento</w:t>
      </w:r>
      <w:r w:rsidR="004B0842" w:rsidRPr="00D5464D">
        <w:rPr>
          <w:rFonts w:cs="Arial"/>
          <w:iCs/>
          <w:szCs w:val="20"/>
          <w:lang w:val="pt-BR"/>
        </w:rPr>
        <w:t xml:space="preserve"> de todos </w:t>
      </w:r>
      <w:r w:rsidR="00966A4A" w:rsidRPr="00D5464D">
        <w:rPr>
          <w:rFonts w:cs="Arial"/>
          <w:iCs/>
          <w:szCs w:val="20"/>
          <w:lang w:val="pt-BR"/>
        </w:rPr>
        <w:t xml:space="preserve">os </w:t>
      </w:r>
      <w:r w:rsidR="00351C4B" w:rsidRPr="00D5464D">
        <w:rPr>
          <w:rFonts w:cs="Arial"/>
          <w:iCs/>
          <w:szCs w:val="20"/>
          <w:lang w:val="pt-BR"/>
        </w:rPr>
        <w:t>direitos trabalhistas</w:t>
      </w:r>
      <w:r w:rsidR="004B0842" w:rsidRPr="00D5464D">
        <w:rPr>
          <w:rFonts w:cs="Arial"/>
          <w:iCs/>
          <w:szCs w:val="20"/>
          <w:lang w:val="pt-BR"/>
        </w:rPr>
        <w:t xml:space="preserve"> </w:t>
      </w:r>
      <w:r w:rsidRPr="00D5464D">
        <w:rPr>
          <w:rFonts w:cs="Arial"/>
          <w:iCs/>
          <w:szCs w:val="20"/>
          <w:lang w:val="pt-BR"/>
        </w:rPr>
        <w:t>que não foram</w:t>
      </w:r>
      <w:r w:rsidR="004B0842" w:rsidRPr="00D5464D">
        <w:rPr>
          <w:rFonts w:cs="Arial"/>
          <w:iCs/>
          <w:szCs w:val="20"/>
          <w:lang w:val="pt-BR"/>
        </w:rPr>
        <w:t xml:space="preserve"> </w:t>
      </w:r>
      <w:r w:rsidR="00470ADC" w:rsidRPr="00D5464D">
        <w:rPr>
          <w:rFonts w:cs="Arial"/>
          <w:iCs/>
          <w:szCs w:val="20"/>
          <w:lang w:val="pt-BR"/>
        </w:rPr>
        <w:t>coberto</w:t>
      </w:r>
      <w:r w:rsidR="004B0842" w:rsidRPr="00D5464D">
        <w:rPr>
          <w:rFonts w:cs="Arial"/>
          <w:iCs/>
          <w:szCs w:val="20"/>
          <w:lang w:val="pt-BR"/>
        </w:rPr>
        <w:t>s</w:t>
      </w:r>
      <w:r w:rsidR="002C330E" w:rsidRPr="00D5464D">
        <w:rPr>
          <w:rFonts w:cs="Arial"/>
          <w:iCs/>
          <w:szCs w:val="20"/>
          <w:lang w:val="pt-BR"/>
        </w:rPr>
        <w:t xml:space="preserve"> pelos </w:t>
      </w:r>
      <w:r w:rsidR="004B0842" w:rsidRPr="00D5464D">
        <w:rPr>
          <w:rFonts w:cs="Arial"/>
          <w:iCs/>
          <w:szCs w:val="20"/>
          <w:lang w:val="pt-BR"/>
        </w:rPr>
        <w:t>“</w:t>
      </w:r>
      <w:r w:rsidR="00E045D9" w:rsidRPr="00D5464D">
        <w:rPr>
          <w:rFonts w:cs="Arial"/>
          <w:iCs/>
          <w:szCs w:val="20"/>
          <w:lang w:val="pt-BR"/>
        </w:rPr>
        <w:t>Termo</w:t>
      </w:r>
      <w:r w:rsidR="004B0842" w:rsidRPr="00D5464D">
        <w:rPr>
          <w:rFonts w:cs="Arial"/>
          <w:iCs/>
          <w:szCs w:val="20"/>
          <w:lang w:val="pt-BR"/>
        </w:rPr>
        <w:t>s de Resci</w:t>
      </w:r>
      <w:r w:rsidR="009E2AF6" w:rsidRPr="00D5464D">
        <w:rPr>
          <w:rFonts w:cs="Arial"/>
          <w:iCs/>
          <w:szCs w:val="20"/>
          <w:lang w:val="pt-BR"/>
        </w:rPr>
        <w:t>são</w:t>
      </w:r>
      <w:r w:rsidR="00470ADC" w:rsidRPr="00D5464D">
        <w:rPr>
          <w:rFonts w:cs="Arial"/>
          <w:iCs/>
          <w:szCs w:val="20"/>
          <w:lang w:val="pt-BR"/>
        </w:rPr>
        <w:t xml:space="preserve"> dos </w:t>
      </w:r>
      <w:r w:rsidR="004B0842" w:rsidRPr="00D5464D">
        <w:rPr>
          <w:rFonts w:cs="Arial"/>
          <w:iCs/>
          <w:szCs w:val="20"/>
          <w:lang w:val="pt-BR"/>
        </w:rPr>
        <w:t xml:space="preserve">Contratos de </w:t>
      </w:r>
      <w:r w:rsidR="00E045D9" w:rsidRPr="00D5464D">
        <w:rPr>
          <w:rFonts w:cs="Arial"/>
          <w:iCs/>
          <w:szCs w:val="20"/>
          <w:lang w:val="pt-BR"/>
        </w:rPr>
        <w:t>Trabalho</w:t>
      </w:r>
      <w:r w:rsidR="004B0842" w:rsidRPr="00D5464D">
        <w:rPr>
          <w:rFonts w:cs="Arial"/>
          <w:iCs/>
          <w:szCs w:val="20"/>
          <w:lang w:val="pt-BR"/>
        </w:rPr>
        <w:t>” (TRCT)</w:t>
      </w:r>
      <w:r w:rsidR="00470ADC" w:rsidRPr="00D5464D">
        <w:rPr>
          <w:rFonts w:cs="Arial"/>
          <w:iCs/>
          <w:szCs w:val="20"/>
          <w:lang w:val="pt-BR"/>
        </w:rPr>
        <w:t xml:space="preserve"> </w:t>
      </w:r>
      <w:r w:rsidR="00966A4A" w:rsidRPr="00D5464D">
        <w:rPr>
          <w:rFonts w:cs="Arial"/>
          <w:iCs/>
          <w:szCs w:val="20"/>
          <w:lang w:val="pt-BR"/>
        </w:rPr>
        <w:t>n</w:t>
      </w:r>
      <w:r w:rsidR="00470ADC" w:rsidRPr="00D5464D">
        <w:rPr>
          <w:rFonts w:cs="Arial"/>
          <w:iCs/>
          <w:szCs w:val="20"/>
          <w:lang w:val="pt-BR"/>
        </w:rPr>
        <w:t xml:space="preserve">o </w:t>
      </w:r>
      <w:r w:rsidR="004B0842" w:rsidRPr="00D5464D">
        <w:rPr>
          <w:rFonts w:cs="Arial"/>
          <w:iCs/>
          <w:szCs w:val="20"/>
          <w:lang w:val="pt-BR"/>
        </w:rPr>
        <w:t xml:space="preserve">momento </w:t>
      </w:r>
      <w:r w:rsidR="00470ADC" w:rsidRPr="00D5464D">
        <w:rPr>
          <w:rFonts w:cs="Arial"/>
          <w:iCs/>
          <w:szCs w:val="20"/>
          <w:lang w:val="pt-BR"/>
        </w:rPr>
        <w:t xml:space="preserve">do </w:t>
      </w:r>
      <w:r w:rsidR="00E765C2" w:rsidRPr="00D5464D">
        <w:rPr>
          <w:rFonts w:cs="Arial"/>
          <w:iCs/>
          <w:szCs w:val="20"/>
          <w:lang w:val="pt-BR"/>
        </w:rPr>
        <w:t>resgate</w:t>
      </w:r>
      <w:r w:rsidR="00470ADC" w:rsidRPr="00D5464D">
        <w:rPr>
          <w:rFonts w:cs="Arial"/>
          <w:iCs/>
          <w:szCs w:val="20"/>
          <w:lang w:val="pt-BR"/>
        </w:rPr>
        <w:t xml:space="preserve"> dos </w:t>
      </w:r>
      <w:r w:rsidR="00E045D9" w:rsidRPr="00D5464D">
        <w:rPr>
          <w:rFonts w:cs="Arial"/>
          <w:iCs/>
          <w:szCs w:val="20"/>
          <w:lang w:val="pt-BR"/>
        </w:rPr>
        <w:t>trabalhadores</w:t>
      </w:r>
      <w:r w:rsidR="004B0842" w:rsidRPr="00D5464D">
        <w:rPr>
          <w:rFonts w:cs="Arial"/>
          <w:iCs/>
          <w:szCs w:val="20"/>
          <w:lang w:val="pt-BR"/>
        </w:rPr>
        <w:t>.</w:t>
      </w:r>
    </w:p>
    <w:p w14:paraId="11EEF548" w14:textId="77777777" w:rsidR="00E94DEB" w:rsidRPr="00D5464D" w:rsidRDefault="00E94DEB" w:rsidP="00E94DEB">
      <w:pPr>
        <w:pStyle w:val="Prrafodelista"/>
        <w:autoSpaceDE w:val="0"/>
        <w:autoSpaceDN w:val="0"/>
        <w:adjustRightInd w:val="0"/>
        <w:ind w:left="0"/>
        <w:rPr>
          <w:rFonts w:cs="Arial"/>
          <w:iCs/>
          <w:szCs w:val="20"/>
          <w:lang w:val="pt-BR"/>
        </w:rPr>
      </w:pPr>
    </w:p>
    <w:p w14:paraId="3FE4D5E3" w14:textId="1513264E" w:rsidR="004B0842" w:rsidRPr="00D5464D" w:rsidRDefault="00470ADC"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O </w:t>
      </w:r>
      <w:r w:rsidR="004B0842" w:rsidRPr="00D5464D">
        <w:rPr>
          <w:rFonts w:cs="Arial"/>
          <w:b/>
          <w:i/>
          <w:iCs/>
          <w:szCs w:val="20"/>
          <w:lang w:val="pt-BR"/>
        </w:rPr>
        <w:t>Estado</w:t>
      </w:r>
      <w:r w:rsidR="004B0842" w:rsidRPr="00D5464D">
        <w:rPr>
          <w:rFonts w:cs="Arial"/>
          <w:iCs/>
          <w:szCs w:val="20"/>
          <w:lang w:val="pt-BR"/>
        </w:rPr>
        <w:t xml:space="preserve"> </w:t>
      </w:r>
      <w:r w:rsidR="002C330E" w:rsidRPr="00D5464D">
        <w:rPr>
          <w:rFonts w:cs="Arial"/>
          <w:iCs/>
          <w:szCs w:val="20"/>
          <w:lang w:val="pt-BR"/>
        </w:rPr>
        <w:t>afirmou</w:t>
      </w:r>
      <w:r w:rsidR="004B0842" w:rsidRPr="00D5464D">
        <w:rPr>
          <w:rFonts w:cs="Arial"/>
          <w:iCs/>
          <w:szCs w:val="20"/>
          <w:lang w:val="pt-BR"/>
        </w:rPr>
        <w:t xml:space="preserve"> que </w:t>
      </w:r>
      <w:r w:rsidR="00737270" w:rsidRPr="00D5464D">
        <w:rPr>
          <w:rFonts w:cs="Arial"/>
          <w:iCs/>
          <w:szCs w:val="20"/>
          <w:lang w:val="pt-BR"/>
        </w:rPr>
        <w:t>não pode</w:t>
      </w:r>
      <w:r w:rsidR="004B0842" w:rsidRPr="00D5464D">
        <w:rPr>
          <w:rFonts w:cs="Arial"/>
          <w:iCs/>
          <w:szCs w:val="20"/>
          <w:lang w:val="pt-BR"/>
        </w:rPr>
        <w:t xml:space="preserve"> responder por</w:t>
      </w:r>
      <w:r w:rsidR="00E045D9" w:rsidRPr="00D5464D">
        <w:rPr>
          <w:rFonts w:cs="Arial"/>
          <w:iCs/>
          <w:szCs w:val="20"/>
          <w:lang w:val="pt-BR"/>
        </w:rPr>
        <w:t xml:space="preserve"> um </w:t>
      </w:r>
      <w:r w:rsidRPr="00D5464D">
        <w:rPr>
          <w:rFonts w:cs="Arial"/>
          <w:iCs/>
          <w:szCs w:val="20"/>
          <w:lang w:val="pt-BR"/>
        </w:rPr>
        <w:t>dano</w:t>
      </w:r>
      <w:r w:rsidR="004B0842" w:rsidRPr="00D5464D">
        <w:rPr>
          <w:rFonts w:cs="Arial"/>
          <w:iCs/>
          <w:szCs w:val="20"/>
          <w:lang w:val="pt-BR"/>
        </w:rPr>
        <w:t xml:space="preserve"> exclusivamente </w:t>
      </w:r>
      <w:r w:rsidR="00966A4A" w:rsidRPr="00D5464D">
        <w:rPr>
          <w:rFonts w:cs="Arial"/>
          <w:iCs/>
          <w:szCs w:val="20"/>
          <w:lang w:val="pt-BR"/>
        </w:rPr>
        <w:t xml:space="preserve">laboral </w:t>
      </w:r>
      <w:r w:rsidR="004B0842" w:rsidRPr="00D5464D">
        <w:rPr>
          <w:rFonts w:cs="Arial"/>
          <w:iCs/>
          <w:szCs w:val="20"/>
          <w:lang w:val="pt-BR"/>
        </w:rPr>
        <w:t xml:space="preserve">que </w:t>
      </w:r>
      <w:r w:rsidR="00966A4A" w:rsidRPr="00D5464D">
        <w:rPr>
          <w:rFonts w:cs="Arial"/>
          <w:iCs/>
          <w:szCs w:val="20"/>
          <w:lang w:val="pt-BR"/>
        </w:rPr>
        <w:t xml:space="preserve">deveria </w:t>
      </w:r>
      <w:r w:rsidR="004B0842" w:rsidRPr="00D5464D">
        <w:rPr>
          <w:rFonts w:cs="Arial"/>
          <w:iCs/>
          <w:szCs w:val="20"/>
          <w:lang w:val="pt-BR"/>
        </w:rPr>
        <w:t xml:space="preserve">ser </w:t>
      </w:r>
      <w:r w:rsidR="00230C71" w:rsidRPr="00D5464D">
        <w:rPr>
          <w:rFonts w:cs="Arial"/>
          <w:iCs/>
          <w:szCs w:val="20"/>
          <w:lang w:val="pt-BR"/>
        </w:rPr>
        <w:t>indeniz</w:t>
      </w:r>
      <w:r w:rsidR="004B0842" w:rsidRPr="00D5464D">
        <w:rPr>
          <w:rFonts w:cs="Arial"/>
          <w:iCs/>
          <w:szCs w:val="20"/>
          <w:lang w:val="pt-BR"/>
        </w:rPr>
        <w:t>ado</w:t>
      </w:r>
      <w:r w:rsidR="002C330E" w:rsidRPr="00D5464D">
        <w:rPr>
          <w:rFonts w:cs="Arial"/>
          <w:iCs/>
          <w:szCs w:val="20"/>
          <w:lang w:val="pt-BR"/>
        </w:rPr>
        <w:t xml:space="preserve"> </w:t>
      </w:r>
      <w:r w:rsidR="00966A4A" w:rsidRPr="00D5464D">
        <w:rPr>
          <w:rFonts w:cs="Arial"/>
          <w:iCs/>
          <w:szCs w:val="20"/>
          <w:lang w:val="pt-BR"/>
        </w:rPr>
        <w:t xml:space="preserve">por </w:t>
      </w:r>
      <w:r w:rsidR="004B0842" w:rsidRPr="00D5464D">
        <w:rPr>
          <w:rFonts w:cs="Arial"/>
          <w:iCs/>
          <w:szCs w:val="20"/>
          <w:lang w:val="pt-BR"/>
        </w:rPr>
        <w:t xml:space="preserve">particulares. </w:t>
      </w:r>
      <w:r w:rsidR="00230C71" w:rsidRPr="00D5464D">
        <w:rPr>
          <w:rFonts w:cs="Arial"/>
          <w:iCs/>
          <w:szCs w:val="20"/>
          <w:lang w:val="pt-BR"/>
        </w:rPr>
        <w:t>Acrescentou</w:t>
      </w:r>
      <w:r w:rsidR="004B0842" w:rsidRPr="00D5464D">
        <w:rPr>
          <w:rFonts w:cs="Arial"/>
          <w:iCs/>
          <w:szCs w:val="20"/>
          <w:lang w:val="pt-BR"/>
        </w:rPr>
        <w:t xml:space="preserve"> que</w:t>
      </w:r>
      <w:r w:rsidR="002C330E" w:rsidRPr="00D5464D">
        <w:rPr>
          <w:rFonts w:cs="Arial"/>
          <w:iCs/>
          <w:szCs w:val="20"/>
          <w:lang w:val="pt-BR"/>
        </w:rPr>
        <w:t xml:space="preserve"> os </w:t>
      </w:r>
      <w:r w:rsidR="00EB1CE9" w:rsidRPr="00D5464D">
        <w:rPr>
          <w:rFonts w:cs="Arial"/>
          <w:iCs/>
          <w:szCs w:val="20"/>
          <w:lang w:val="pt-BR"/>
        </w:rPr>
        <w:t>representante</w:t>
      </w:r>
      <w:r w:rsidR="004B0842" w:rsidRPr="00D5464D">
        <w:rPr>
          <w:rFonts w:cs="Arial"/>
          <w:iCs/>
          <w:szCs w:val="20"/>
          <w:lang w:val="pt-BR"/>
        </w:rPr>
        <w:t>s n</w:t>
      </w:r>
      <w:r w:rsidR="00966A4A" w:rsidRPr="00D5464D">
        <w:rPr>
          <w:rFonts w:cs="Arial"/>
          <w:iCs/>
          <w:szCs w:val="20"/>
          <w:lang w:val="pt-BR"/>
        </w:rPr>
        <w:t>ã</w:t>
      </w:r>
      <w:r w:rsidR="004B0842" w:rsidRPr="00D5464D">
        <w:rPr>
          <w:rFonts w:cs="Arial"/>
          <w:iCs/>
          <w:szCs w:val="20"/>
          <w:lang w:val="pt-BR"/>
        </w:rPr>
        <w:t xml:space="preserve">o </w:t>
      </w:r>
      <w:r w:rsidR="00C91CB1" w:rsidRPr="00D5464D">
        <w:rPr>
          <w:rFonts w:cs="Arial"/>
          <w:iCs/>
          <w:szCs w:val="20"/>
          <w:lang w:val="pt-BR"/>
        </w:rPr>
        <w:t>apresentaram</w:t>
      </w:r>
      <w:r w:rsidR="00350187" w:rsidRPr="00D5464D">
        <w:rPr>
          <w:rFonts w:cs="Arial"/>
          <w:iCs/>
          <w:szCs w:val="20"/>
          <w:lang w:val="pt-BR"/>
        </w:rPr>
        <w:t xml:space="preserve"> </w:t>
      </w:r>
      <w:r w:rsidR="002C330E" w:rsidRPr="00D5464D">
        <w:rPr>
          <w:rFonts w:cs="Arial"/>
          <w:iCs/>
          <w:szCs w:val="20"/>
          <w:lang w:val="pt-BR"/>
        </w:rPr>
        <w:t>nenhuma</w:t>
      </w:r>
      <w:r w:rsidR="004B0842" w:rsidRPr="00D5464D">
        <w:rPr>
          <w:rFonts w:cs="Arial"/>
          <w:iCs/>
          <w:szCs w:val="20"/>
          <w:lang w:val="pt-BR"/>
        </w:rPr>
        <w:t xml:space="preserve"> </w:t>
      </w:r>
      <w:r w:rsidR="002C330E" w:rsidRPr="00D5464D">
        <w:rPr>
          <w:rFonts w:cs="Arial"/>
          <w:iCs/>
          <w:szCs w:val="20"/>
          <w:lang w:val="pt-BR"/>
        </w:rPr>
        <w:t>prova</w:t>
      </w:r>
      <w:r w:rsidR="004B0842" w:rsidRPr="00D5464D">
        <w:rPr>
          <w:rFonts w:cs="Arial"/>
          <w:iCs/>
          <w:szCs w:val="20"/>
          <w:lang w:val="pt-BR"/>
        </w:rPr>
        <w:t xml:space="preserve"> para </w:t>
      </w:r>
      <w:r w:rsidR="00350187" w:rsidRPr="00D5464D">
        <w:rPr>
          <w:rFonts w:cs="Arial"/>
          <w:iCs/>
          <w:szCs w:val="20"/>
          <w:lang w:val="pt-BR"/>
        </w:rPr>
        <w:t>demonstr</w:t>
      </w:r>
      <w:r w:rsidRPr="00D5464D">
        <w:rPr>
          <w:rFonts w:cs="Arial"/>
          <w:iCs/>
          <w:szCs w:val="20"/>
          <w:lang w:val="pt-BR"/>
        </w:rPr>
        <w:t>ar</w:t>
      </w:r>
      <w:r w:rsidR="002C330E" w:rsidRPr="00D5464D">
        <w:rPr>
          <w:rFonts w:cs="Arial"/>
          <w:iCs/>
          <w:szCs w:val="20"/>
          <w:lang w:val="pt-BR"/>
        </w:rPr>
        <w:t xml:space="preserve"> os </w:t>
      </w:r>
      <w:r w:rsidR="00A1358C" w:rsidRPr="00D5464D">
        <w:rPr>
          <w:rFonts w:cs="Arial"/>
          <w:iCs/>
          <w:szCs w:val="20"/>
          <w:lang w:val="pt-BR"/>
        </w:rPr>
        <w:t>montantes</w:t>
      </w:r>
      <w:r w:rsidRPr="00D5464D">
        <w:rPr>
          <w:rFonts w:cs="Arial"/>
          <w:iCs/>
          <w:szCs w:val="20"/>
          <w:lang w:val="pt-BR"/>
        </w:rPr>
        <w:t xml:space="preserve"> dos </w:t>
      </w:r>
      <w:r w:rsidR="004B0842" w:rsidRPr="00D5464D">
        <w:rPr>
          <w:rFonts w:cs="Arial"/>
          <w:iCs/>
          <w:szCs w:val="20"/>
          <w:lang w:val="pt-BR"/>
        </w:rPr>
        <w:t>d</w:t>
      </w:r>
      <w:r w:rsidRPr="00D5464D">
        <w:rPr>
          <w:rFonts w:cs="Arial"/>
          <w:iCs/>
          <w:szCs w:val="20"/>
          <w:lang w:val="pt-BR"/>
        </w:rPr>
        <w:t>anos</w:t>
      </w:r>
      <w:r w:rsidR="004B0842" w:rsidRPr="00D5464D">
        <w:rPr>
          <w:rFonts w:cs="Arial"/>
          <w:iCs/>
          <w:szCs w:val="20"/>
          <w:lang w:val="pt-BR"/>
        </w:rPr>
        <w:t xml:space="preserve"> </w:t>
      </w:r>
      <w:r w:rsidR="00737270" w:rsidRPr="00D5464D">
        <w:rPr>
          <w:rFonts w:cs="Arial"/>
          <w:iCs/>
          <w:szCs w:val="20"/>
          <w:lang w:val="pt-BR"/>
        </w:rPr>
        <w:t>materiais</w:t>
      </w:r>
      <w:r w:rsidR="00E045D9" w:rsidRPr="00D5464D">
        <w:rPr>
          <w:rFonts w:cs="Arial"/>
          <w:iCs/>
          <w:szCs w:val="20"/>
          <w:lang w:val="pt-BR"/>
        </w:rPr>
        <w:t xml:space="preserve"> neste </w:t>
      </w:r>
      <w:r w:rsidR="004B0842" w:rsidRPr="00D5464D">
        <w:rPr>
          <w:rFonts w:cs="Arial"/>
          <w:iCs/>
          <w:szCs w:val="20"/>
          <w:lang w:val="pt-BR"/>
        </w:rPr>
        <w:t>caso</w:t>
      </w:r>
      <w:r w:rsidR="00E045D9" w:rsidRPr="00D5464D">
        <w:rPr>
          <w:rFonts w:cs="Arial"/>
          <w:iCs/>
          <w:szCs w:val="20"/>
          <w:lang w:val="pt-BR"/>
        </w:rPr>
        <w:t xml:space="preserve"> e </w:t>
      </w:r>
      <w:r w:rsidR="004B0842" w:rsidRPr="00D5464D">
        <w:rPr>
          <w:rFonts w:cs="Arial"/>
          <w:iCs/>
          <w:szCs w:val="20"/>
          <w:lang w:val="pt-BR"/>
        </w:rPr>
        <w:t>que</w:t>
      </w:r>
      <w:r w:rsidR="002C330E" w:rsidRPr="00D5464D">
        <w:rPr>
          <w:rFonts w:cs="Arial"/>
          <w:iCs/>
          <w:szCs w:val="20"/>
          <w:lang w:val="pt-BR"/>
        </w:rPr>
        <w:t xml:space="preserve"> a </w:t>
      </w:r>
      <w:r w:rsidR="004B0842" w:rsidRPr="00D5464D">
        <w:rPr>
          <w:rFonts w:cs="Arial"/>
          <w:iCs/>
          <w:szCs w:val="20"/>
          <w:lang w:val="pt-BR"/>
        </w:rPr>
        <w:t>invoca</w:t>
      </w:r>
      <w:r w:rsidRPr="00D5464D">
        <w:rPr>
          <w:rFonts w:cs="Arial"/>
          <w:iCs/>
          <w:szCs w:val="20"/>
          <w:lang w:val="pt-BR"/>
        </w:rPr>
        <w:t xml:space="preserve">ção </w:t>
      </w:r>
      <w:r w:rsidR="00966A4A" w:rsidRPr="00D5464D">
        <w:rPr>
          <w:rFonts w:cs="Arial"/>
          <w:iCs/>
          <w:szCs w:val="20"/>
          <w:lang w:val="pt-BR"/>
        </w:rPr>
        <w:t>da</w:t>
      </w:r>
      <w:r w:rsidRPr="00D5464D">
        <w:rPr>
          <w:rFonts w:cs="Arial"/>
          <w:iCs/>
          <w:szCs w:val="20"/>
          <w:lang w:val="pt-BR"/>
        </w:rPr>
        <w:t xml:space="preserve"> equidade </w:t>
      </w:r>
      <w:r w:rsidR="00737270" w:rsidRPr="00D5464D">
        <w:rPr>
          <w:rFonts w:cs="Arial"/>
          <w:iCs/>
          <w:szCs w:val="20"/>
          <w:lang w:val="pt-BR"/>
        </w:rPr>
        <w:t>não pode</w:t>
      </w:r>
      <w:r w:rsidR="004B0842" w:rsidRPr="00D5464D">
        <w:rPr>
          <w:rFonts w:cs="Arial"/>
          <w:iCs/>
          <w:szCs w:val="20"/>
          <w:lang w:val="pt-BR"/>
        </w:rPr>
        <w:t xml:space="preserve"> sup</w:t>
      </w:r>
      <w:r w:rsidR="00966A4A" w:rsidRPr="00D5464D">
        <w:rPr>
          <w:rFonts w:cs="Arial"/>
          <w:iCs/>
          <w:szCs w:val="20"/>
          <w:lang w:val="pt-BR"/>
        </w:rPr>
        <w:t>r</w:t>
      </w:r>
      <w:r w:rsidR="004B0842" w:rsidRPr="00D5464D">
        <w:rPr>
          <w:rFonts w:cs="Arial"/>
          <w:iCs/>
          <w:szCs w:val="20"/>
          <w:lang w:val="pt-BR"/>
        </w:rPr>
        <w:t xml:space="preserve">ir estas </w:t>
      </w:r>
      <w:r w:rsidR="00230C71" w:rsidRPr="00D5464D">
        <w:rPr>
          <w:rFonts w:cs="Arial"/>
          <w:iCs/>
          <w:szCs w:val="20"/>
          <w:lang w:val="pt-BR"/>
        </w:rPr>
        <w:t>deficiência</w:t>
      </w:r>
      <w:r w:rsidR="004B0842" w:rsidRPr="00D5464D">
        <w:rPr>
          <w:rFonts w:cs="Arial"/>
          <w:iCs/>
          <w:szCs w:val="20"/>
          <w:lang w:val="pt-BR"/>
        </w:rPr>
        <w:t xml:space="preserve">s </w:t>
      </w:r>
      <w:r w:rsidR="002C330E" w:rsidRPr="00D5464D">
        <w:rPr>
          <w:rFonts w:cs="Arial"/>
          <w:iCs/>
          <w:szCs w:val="20"/>
          <w:lang w:val="pt-BR"/>
        </w:rPr>
        <w:t>probatória</w:t>
      </w:r>
      <w:r w:rsidR="004B0842" w:rsidRPr="00D5464D">
        <w:rPr>
          <w:rFonts w:cs="Arial"/>
          <w:iCs/>
          <w:szCs w:val="20"/>
          <w:lang w:val="pt-BR"/>
        </w:rPr>
        <w:t>s.</w:t>
      </w:r>
    </w:p>
    <w:p w14:paraId="44F61F21" w14:textId="77777777" w:rsidR="00E94DEB" w:rsidRPr="00D5464D" w:rsidRDefault="00E94DEB" w:rsidP="00E94DEB">
      <w:pPr>
        <w:pStyle w:val="Prrafodelista"/>
        <w:autoSpaceDE w:val="0"/>
        <w:autoSpaceDN w:val="0"/>
        <w:adjustRightInd w:val="0"/>
        <w:ind w:left="0"/>
        <w:rPr>
          <w:rFonts w:cs="Arial"/>
          <w:iCs/>
          <w:szCs w:val="20"/>
          <w:lang w:val="pt-BR"/>
        </w:rPr>
      </w:pPr>
    </w:p>
    <w:p w14:paraId="7595354D" w14:textId="17E9D7B3" w:rsidR="004B0842" w:rsidRPr="00D5464D" w:rsidRDefault="00470ADC"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A </w:t>
      </w:r>
      <w:r w:rsidR="004B0842" w:rsidRPr="00D5464D">
        <w:rPr>
          <w:rFonts w:cs="Arial"/>
          <w:iCs/>
          <w:szCs w:val="20"/>
          <w:lang w:val="pt-BR"/>
        </w:rPr>
        <w:t xml:space="preserve">Corte </w:t>
      </w:r>
      <w:r w:rsidR="00737270" w:rsidRPr="00D5464D">
        <w:rPr>
          <w:rFonts w:cs="Arial"/>
          <w:iCs/>
          <w:szCs w:val="20"/>
          <w:lang w:val="pt-BR"/>
        </w:rPr>
        <w:t>desenvolveu</w:t>
      </w:r>
      <w:r w:rsidRPr="00D5464D">
        <w:rPr>
          <w:rFonts w:cs="Arial"/>
          <w:iCs/>
          <w:szCs w:val="20"/>
          <w:lang w:val="pt-BR"/>
        </w:rPr>
        <w:t xml:space="preserve"> em </w:t>
      </w:r>
      <w:r w:rsidR="00E045D9" w:rsidRPr="00D5464D">
        <w:rPr>
          <w:rFonts w:cs="Arial"/>
          <w:iCs/>
          <w:szCs w:val="20"/>
          <w:lang w:val="pt-BR"/>
        </w:rPr>
        <w:t>sua jurisprudência</w:t>
      </w:r>
      <w:r w:rsidR="002C330E" w:rsidRPr="00D5464D">
        <w:rPr>
          <w:rFonts w:cs="Arial"/>
          <w:iCs/>
          <w:szCs w:val="20"/>
          <w:lang w:val="pt-BR"/>
        </w:rPr>
        <w:t xml:space="preserve"> </w:t>
      </w:r>
      <w:r w:rsidRPr="00D5464D">
        <w:rPr>
          <w:rFonts w:cs="Arial"/>
          <w:iCs/>
          <w:szCs w:val="20"/>
          <w:lang w:val="pt-BR"/>
        </w:rPr>
        <w:t>o conceito</w:t>
      </w:r>
      <w:r w:rsidR="004B0842" w:rsidRPr="00D5464D">
        <w:rPr>
          <w:rFonts w:cs="Arial"/>
          <w:iCs/>
          <w:szCs w:val="20"/>
          <w:lang w:val="pt-BR"/>
        </w:rPr>
        <w:t xml:space="preserve"> de</w:t>
      </w:r>
      <w:r w:rsidRPr="00D5464D">
        <w:rPr>
          <w:rFonts w:cs="Arial"/>
          <w:iCs/>
          <w:szCs w:val="20"/>
          <w:lang w:val="pt-BR"/>
        </w:rPr>
        <w:t xml:space="preserve"> dano</w:t>
      </w:r>
      <w:r w:rsidR="004B0842" w:rsidRPr="00D5464D">
        <w:rPr>
          <w:rFonts w:cs="Arial"/>
          <w:iCs/>
          <w:szCs w:val="20"/>
          <w:lang w:val="pt-BR"/>
        </w:rPr>
        <w:t xml:space="preserve"> material</w:t>
      </w:r>
      <w:r w:rsidR="00E045D9" w:rsidRPr="00D5464D">
        <w:rPr>
          <w:rFonts w:cs="Arial"/>
          <w:iCs/>
          <w:szCs w:val="20"/>
          <w:lang w:val="pt-BR"/>
        </w:rPr>
        <w:t xml:space="preserve"> e </w:t>
      </w:r>
      <w:r w:rsidR="002C330E" w:rsidRPr="00D5464D">
        <w:rPr>
          <w:rFonts w:cs="Arial"/>
          <w:iCs/>
          <w:szCs w:val="20"/>
          <w:lang w:val="pt-BR"/>
        </w:rPr>
        <w:t>estabeleceu</w:t>
      </w:r>
      <w:r w:rsidR="004B0842" w:rsidRPr="00D5464D">
        <w:rPr>
          <w:rFonts w:cs="Arial"/>
          <w:iCs/>
          <w:szCs w:val="20"/>
          <w:lang w:val="pt-BR"/>
        </w:rPr>
        <w:t xml:space="preserve"> que este </w:t>
      </w:r>
      <w:r w:rsidR="00833B64" w:rsidRPr="00D5464D">
        <w:rPr>
          <w:rFonts w:cs="Arial"/>
          <w:iCs/>
          <w:szCs w:val="20"/>
          <w:lang w:val="pt-BR"/>
        </w:rPr>
        <w:t xml:space="preserve">supõe </w:t>
      </w:r>
      <w:r w:rsidRPr="00D5464D">
        <w:rPr>
          <w:rFonts w:cs="Arial"/>
          <w:iCs/>
          <w:szCs w:val="20"/>
          <w:lang w:val="pt-BR"/>
        </w:rPr>
        <w:t>“</w:t>
      </w:r>
      <w:r w:rsidR="00833B64" w:rsidRPr="00D5464D">
        <w:rPr>
          <w:rFonts w:cs="Arial"/>
          <w:iCs/>
          <w:szCs w:val="20"/>
          <w:lang w:val="pt-BR"/>
        </w:rPr>
        <w:t>a perda ou detrimento dos ingressos das vítimas, os gastos efetuados com motivo dos fatos e as consequências de caráter pecuniário que tenham um nexo causal com os fatos do caso”</w:t>
      </w:r>
      <w:r w:rsidR="009E2AF6" w:rsidRPr="00D5464D">
        <w:rPr>
          <w:rFonts w:cs="Arial"/>
          <w:iCs/>
          <w:szCs w:val="20"/>
          <w:lang w:val="pt-BR"/>
        </w:rPr>
        <w:t>.</w:t>
      </w:r>
      <w:r w:rsidR="004B0842" w:rsidRPr="00D5464D">
        <w:rPr>
          <w:rFonts w:cs="Arial"/>
          <w:iCs/>
          <w:szCs w:val="20"/>
          <w:vertAlign w:val="superscript"/>
          <w:lang w:val="pt-BR"/>
        </w:rPr>
        <w:footnoteReference w:id="533"/>
      </w:r>
    </w:p>
    <w:p w14:paraId="5DF5B7E8" w14:textId="77777777" w:rsidR="00E94DEB" w:rsidRPr="00D5464D" w:rsidRDefault="00E94DEB" w:rsidP="00E94DEB">
      <w:pPr>
        <w:pStyle w:val="Prrafodelista"/>
        <w:autoSpaceDE w:val="0"/>
        <w:autoSpaceDN w:val="0"/>
        <w:adjustRightInd w:val="0"/>
        <w:ind w:left="0"/>
        <w:rPr>
          <w:rFonts w:cs="Arial"/>
          <w:iCs/>
          <w:szCs w:val="20"/>
          <w:lang w:val="pt-BR"/>
        </w:rPr>
      </w:pPr>
    </w:p>
    <w:p w14:paraId="1A03EEA7" w14:textId="2ACA931F" w:rsidR="004B0842" w:rsidRPr="00D5464D" w:rsidRDefault="00470ADC"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A </w:t>
      </w:r>
      <w:r w:rsidR="004B0842" w:rsidRPr="00D5464D">
        <w:rPr>
          <w:rFonts w:cs="Arial"/>
          <w:iCs/>
          <w:szCs w:val="20"/>
          <w:lang w:val="pt-BR"/>
        </w:rPr>
        <w:t xml:space="preserve">Corte </w:t>
      </w:r>
      <w:r w:rsidR="00833B64" w:rsidRPr="00D5464D">
        <w:rPr>
          <w:rFonts w:cs="Arial"/>
          <w:iCs/>
          <w:szCs w:val="20"/>
          <w:lang w:val="pt-BR"/>
        </w:rPr>
        <w:t>não ordenará</w:t>
      </w:r>
      <w:r w:rsidR="004B0842" w:rsidRPr="00D5464D">
        <w:rPr>
          <w:rFonts w:cs="Arial"/>
          <w:iCs/>
          <w:szCs w:val="20"/>
          <w:lang w:val="pt-BR"/>
        </w:rPr>
        <w:t xml:space="preserve"> </w:t>
      </w:r>
      <w:r w:rsidR="00833B64" w:rsidRPr="00D5464D">
        <w:rPr>
          <w:rFonts w:cs="Arial"/>
          <w:iCs/>
          <w:szCs w:val="20"/>
          <w:lang w:val="pt-BR"/>
        </w:rPr>
        <w:t xml:space="preserve">nenhuma </w:t>
      </w:r>
      <w:r w:rsidR="002C330E" w:rsidRPr="00D5464D">
        <w:rPr>
          <w:rFonts w:cs="Arial"/>
          <w:iCs/>
          <w:szCs w:val="20"/>
          <w:lang w:val="pt-BR"/>
        </w:rPr>
        <w:t>indenização</w:t>
      </w:r>
      <w:r w:rsidR="004B0842" w:rsidRPr="00D5464D">
        <w:rPr>
          <w:rFonts w:cs="Arial"/>
          <w:iCs/>
          <w:szCs w:val="20"/>
          <w:lang w:val="pt-BR"/>
        </w:rPr>
        <w:t xml:space="preserve"> por d</w:t>
      </w:r>
      <w:r w:rsidRPr="00D5464D">
        <w:rPr>
          <w:rFonts w:cs="Arial"/>
          <w:iCs/>
          <w:szCs w:val="20"/>
          <w:lang w:val="pt-BR"/>
        </w:rPr>
        <w:t>anos</w:t>
      </w:r>
      <w:r w:rsidR="004B0842" w:rsidRPr="00D5464D">
        <w:rPr>
          <w:rFonts w:cs="Arial"/>
          <w:iCs/>
          <w:szCs w:val="20"/>
          <w:lang w:val="pt-BR"/>
        </w:rPr>
        <w:t xml:space="preserve"> </w:t>
      </w:r>
      <w:r w:rsidR="00737270" w:rsidRPr="00D5464D">
        <w:rPr>
          <w:rFonts w:cs="Arial"/>
          <w:iCs/>
          <w:szCs w:val="20"/>
          <w:lang w:val="pt-BR"/>
        </w:rPr>
        <w:t>materiais</w:t>
      </w:r>
      <w:r w:rsidR="00E045D9" w:rsidRPr="00D5464D">
        <w:rPr>
          <w:rFonts w:cs="Arial"/>
          <w:iCs/>
          <w:szCs w:val="20"/>
          <w:lang w:val="pt-BR"/>
        </w:rPr>
        <w:t xml:space="preserve"> neste </w:t>
      </w:r>
      <w:r w:rsidR="004B0842" w:rsidRPr="00D5464D">
        <w:rPr>
          <w:rFonts w:cs="Arial"/>
          <w:iCs/>
          <w:szCs w:val="20"/>
          <w:lang w:val="pt-BR"/>
        </w:rPr>
        <w:t>caso</w:t>
      </w:r>
      <w:r w:rsidR="00C91CB1" w:rsidRPr="00D5464D">
        <w:rPr>
          <w:rFonts w:cs="Arial"/>
          <w:iCs/>
          <w:szCs w:val="20"/>
          <w:lang w:val="pt-BR"/>
        </w:rPr>
        <w:t xml:space="preserve">. Os </w:t>
      </w:r>
      <w:r w:rsidR="00EB1CE9" w:rsidRPr="00D5464D">
        <w:rPr>
          <w:rFonts w:cs="Arial"/>
          <w:iCs/>
          <w:szCs w:val="20"/>
          <w:lang w:val="pt-BR"/>
        </w:rPr>
        <w:t>representante</w:t>
      </w:r>
      <w:r w:rsidR="004B0842" w:rsidRPr="00D5464D">
        <w:rPr>
          <w:rFonts w:cs="Arial"/>
          <w:iCs/>
          <w:szCs w:val="20"/>
          <w:lang w:val="pt-BR"/>
        </w:rPr>
        <w:t>s n</w:t>
      </w:r>
      <w:r w:rsidR="00833B64" w:rsidRPr="00D5464D">
        <w:rPr>
          <w:rFonts w:cs="Arial"/>
          <w:iCs/>
          <w:szCs w:val="20"/>
          <w:lang w:val="pt-BR"/>
        </w:rPr>
        <w:t>ã</w:t>
      </w:r>
      <w:r w:rsidR="004B0842" w:rsidRPr="00D5464D">
        <w:rPr>
          <w:rFonts w:cs="Arial"/>
          <w:iCs/>
          <w:szCs w:val="20"/>
          <w:lang w:val="pt-BR"/>
        </w:rPr>
        <w:t xml:space="preserve">o </w:t>
      </w:r>
      <w:r w:rsidR="00C91CB1" w:rsidRPr="00D5464D">
        <w:rPr>
          <w:rFonts w:cs="Arial"/>
          <w:iCs/>
          <w:szCs w:val="20"/>
          <w:lang w:val="pt-BR"/>
        </w:rPr>
        <w:t>apresentaram</w:t>
      </w:r>
      <w:r w:rsidR="00350187" w:rsidRPr="00D5464D">
        <w:rPr>
          <w:rFonts w:cs="Arial"/>
          <w:iCs/>
          <w:szCs w:val="20"/>
          <w:lang w:val="pt-BR"/>
        </w:rPr>
        <w:t xml:space="preserve"> </w:t>
      </w:r>
      <w:r w:rsidR="002C330E" w:rsidRPr="00D5464D">
        <w:rPr>
          <w:rFonts w:cs="Arial"/>
          <w:iCs/>
          <w:szCs w:val="20"/>
          <w:lang w:val="pt-BR"/>
        </w:rPr>
        <w:t>nenhuma</w:t>
      </w:r>
      <w:r w:rsidR="004B0842" w:rsidRPr="00D5464D">
        <w:rPr>
          <w:rFonts w:cs="Arial"/>
          <w:iCs/>
          <w:szCs w:val="20"/>
          <w:lang w:val="pt-BR"/>
        </w:rPr>
        <w:t xml:space="preserve"> </w:t>
      </w:r>
      <w:r w:rsidR="002C330E" w:rsidRPr="00D5464D">
        <w:rPr>
          <w:rFonts w:cs="Arial"/>
          <w:iCs/>
          <w:szCs w:val="20"/>
          <w:lang w:val="pt-BR"/>
        </w:rPr>
        <w:t>prova</w:t>
      </w:r>
      <w:r w:rsidR="004B0842" w:rsidRPr="00D5464D">
        <w:rPr>
          <w:rFonts w:cs="Arial"/>
          <w:iCs/>
          <w:szCs w:val="20"/>
          <w:lang w:val="pt-BR"/>
        </w:rPr>
        <w:t xml:space="preserve"> relativa </w:t>
      </w:r>
      <w:r w:rsidR="00833B64" w:rsidRPr="00D5464D">
        <w:rPr>
          <w:rFonts w:cs="Arial"/>
          <w:iCs/>
          <w:szCs w:val="20"/>
          <w:lang w:val="pt-BR"/>
        </w:rPr>
        <w:t>à</w:t>
      </w:r>
      <w:r w:rsidR="004B0842" w:rsidRPr="00D5464D">
        <w:rPr>
          <w:rFonts w:cs="Arial"/>
          <w:iCs/>
          <w:szCs w:val="20"/>
          <w:lang w:val="pt-BR"/>
        </w:rPr>
        <w:t xml:space="preserve"> su</w:t>
      </w:r>
      <w:r w:rsidR="00833B64" w:rsidRPr="00D5464D">
        <w:rPr>
          <w:rFonts w:cs="Arial"/>
          <w:iCs/>
          <w:szCs w:val="20"/>
          <w:lang w:val="pt-BR"/>
        </w:rPr>
        <w:t>a</w:t>
      </w:r>
      <w:r w:rsidR="004B0842" w:rsidRPr="00D5464D">
        <w:rPr>
          <w:rFonts w:cs="Arial"/>
          <w:iCs/>
          <w:szCs w:val="20"/>
          <w:lang w:val="pt-BR"/>
        </w:rPr>
        <w:t xml:space="preserve"> alega</w:t>
      </w:r>
      <w:r w:rsidRPr="00D5464D">
        <w:rPr>
          <w:rFonts w:cs="Arial"/>
          <w:iCs/>
          <w:szCs w:val="20"/>
          <w:lang w:val="pt-BR"/>
        </w:rPr>
        <w:t>ção</w:t>
      </w:r>
      <w:r w:rsidR="004B0842" w:rsidRPr="00D5464D">
        <w:rPr>
          <w:rFonts w:cs="Arial"/>
          <w:iCs/>
          <w:szCs w:val="20"/>
          <w:lang w:val="pt-BR"/>
        </w:rPr>
        <w:t xml:space="preserve"> </w:t>
      </w:r>
      <w:r w:rsidR="003A3C64" w:rsidRPr="00D5464D">
        <w:rPr>
          <w:rFonts w:cs="Arial"/>
          <w:iCs/>
          <w:szCs w:val="20"/>
          <w:lang w:val="pt-BR"/>
        </w:rPr>
        <w:t xml:space="preserve">de </w:t>
      </w:r>
      <w:r w:rsidR="004B0842" w:rsidRPr="00D5464D">
        <w:rPr>
          <w:rFonts w:cs="Arial"/>
          <w:iCs/>
          <w:szCs w:val="20"/>
          <w:lang w:val="pt-BR"/>
        </w:rPr>
        <w:t>que</w:t>
      </w:r>
      <w:r w:rsidR="002C330E" w:rsidRPr="00D5464D">
        <w:rPr>
          <w:rFonts w:cs="Arial"/>
          <w:iCs/>
          <w:szCs w:val="20"/>
          <w:lang w:val="pt-BR"/>
        </w:rPr>
        <w:t xml:space="preserve"> os </w:t>
      </w:r>
      <w:r w:rsidR="00A1358C" w:rsidRPr="00D5464D">
        <w:rPr>
          <w:rFonts w:cs="Arial"/>
          <w:iCs/>
          <w:szCs w:val="20"/>
          <w:lang w:val="pt-BR"/>
        </w:rPr>
        <w:t>montantes</w:t>
      </w:r>
      <w:r w:rsidR="004B0842" w:rsidRPr="00D5464D">
        <w:rPr>
          <w:rFonts w:cs="Arial"/>
          <w:iCs/>
          <w:szCs w:val="20"/>
          <w:lang w:val="pt-BR"/>
        </w:rPr>
        <w:t xml:space="preserve"> pagos</w:t>
      </w:r>
      <w:r w:rsidRPr="00D5464D">
        <w:rPr>
          <w:rFonts w:cs="Arial"/>
          <w:iCs/>
          <w:szCs w:val="20"/>
          <w:lang w:val="pt-BR"/>
        </w:rPr>
        <w:t xml:space="preserve"> em </w:t>
      </w:r>
      <w:r w:rsidR="00833B64" w:rsidRPr="00D5464D">
        <w:rPr>
          <w:rFonts w:cs="Arial"/>
          <w:iCs/>
          <w:szCs w:val="20"/>
          <w:lang w:val="pt-BR"/>
        </w:rPr>
        <w:t xml:space="preserve">razão </w:t>
      </w:r>
      <w:r w:rsidRPr="00D5464D">
        <w:rPr>
          <w:rFonts w:cs="Arial"/>
          <w:iCs/>
          <w:szCs w:val="20"/>
          <w:lang w:val="pt-BR"/>
        </w:rPr>
        <w:t xml:space="preserve">dos </w:t>
      </w:r>
      <w:r w:rsidR="004B0842" w:rsidRPr="00D5464D">
        <w:rPr>
          <w:rFonts w:cs="Arial"/>
          <w:iCs/>
          <w:szCs w:val="20"/>
          <w:lang w:val="pt-BR"/>
        </w:rPr>
        <w:t>TRCT</w:t>
      </w:r>
      <w:r w:rsidR="00E045D9" w:rsidRPr="00D5464D">
        <w:rPr>
          <w:rFonts w:cs="Arial"/>
          <w:iCs/>
          <w:szCs w:val="20"/>
          <w:lang w:val="pt-BR"/>
        </w:rPr>
        <w:t xml:space="preserve"> teriam </w:t>
      </w:r>
      <w:r w:rsidR="004B0842" w:rsidRPr="00D5464D">
        <w:rPr>
          <w:rFonts w:cs="Arial"/>
          <w:iCs/>
          <w:szCs w:val="20"/>
          <w:lang w:val="pt-BR"/>
        </w:rPr>
        <w:t>sido insuficientes</w:t>
      </w:r>
      <w:r w:rsidRPr="00D5464D">
        <w:rPr>
          <w:rFonts w:cs="Arial"/>
          <w:iCs/>
          <w:szCs w:val="20"/>
          <w:lang w:val="pt-BR"/>
        </w:rPr>
        <w:t xml:space="preserve"> </w:t>
      </w:r>
      <w:r w:rsidR="00833B64" w:rsidRPr="00D5464D">
        <w:rPr>
          <w:rFonts w:cs="Arial"/>
          <w:iCs/>
          <w:szCs w:val="20"/>
          <w:lang w:val="pt-BR"/>
        </w:rPr>
        <w:t xml:space="preserve">de acordo com a </w:t>
      </w:r>
      <w:r w:rsidR="004B0842" w:rsidRPr="00D5464D">
        <w:rPr>
          <w:rFonts w:cs="Arial"/>
          <w:iCs/>
          <w:szCs w:val="20"/>
          <w:lang w:val="pt-BR"/>
        </w:rPr>
        <w:t>legisla</w:t>
      </w:r>
      <w:r w:rsidRPr="00D5464D">
        <w:rPr>
          <w:rFonts w:cs="Arial"/>
          <w:iCs/>
          <w:szCs w:val="20"/>
          <w:lang w:val="pt-BR"/>
        </w:rPr>
        <w:t>ção</w:t>
      </w:r>
      <w:r w:rsidR="004B0842" w:rsidRPr="00D5464D">
        <w:rPr>
          <w:rFonts w:cs="Arial"/>
          <w:iCs/>
          <w:szCs w:val="20"/>
          <w:lang w:val="pt-BR"/>
        </w:rPr>
        <w:t xml:space="preserve"> </w:t>
      </w:r>
      <w:r w:rsidR="00833B64" w:rsidRPr="00D5464D">
        <w:rPr>
          <w:rFonts w:cs="Arial"/>
          <w:iCs/>
          <w:szCs w:val="20"/>
          <w:lang w:val="pt-BR"/>
        </w:rPr>
        <w:t xml:space="preserve">trabalhista </w:t>
      </w:r>
      <w:r w:rsidRPr="00D5464D">
        <w:rPr>
          <w:rFonts w:cs="Arial"/>
          <w:iCs/>
          <w:szCs w:val="20"/>
          <w:lang w:val="pt-BR"/>
        </w:rPr>
        <w:t>brasileir</w:t>
      </w:r>
      <w:r w:rsidR="004B0842" w:rsidRPr="00D5464D">
        <w:rPr>
          <w:rFonts w:cs="Arial"/>
          <w:iCs/>
          <w:szCs w:val="20"/>
          <w:lang w:val="pt-BR"/>
        </w:rPr>
        <w:t>a</w:t>
      </w:r>
      <w:r w:rsidR="00A1358C" w:rsidRPr="00D5464D">
        <w:rPr>
          <w:rFonts w:cs="Arial"/>
          <w:iCs/>
          <w:szCs w:val="20"/>
          <w:lang w:val="pt-BR"/>
        </w:rPr>
        <w:t xml:space="preserve">. A </w:t>
      </w:r>
      <w:r w:rsidR="004B0842" w:rsidRPr="00D5464D">
        <w:rPr>
          <w:rFonts w:cs="Arial"/>
          <w:iCs/>
          <w:szCs w:val="20"/>
          <w:lang w:val="pt-BR"/>
        </w:rPr>
        <w:t>Corte</w:t>
      </w:r>
      <w:r w:rsidR="00350187" w:rsidRPr="00D5464D">
        <w:rPr>
          <w:rFonts w:cs="Arial"/>
          <w:iCs/>
          <w:szCs w:val="20"/>
          <w:lang w:val="pt-BR"/>
        </w:rPr>
        <w:t xml:space="preserve"> não conta</w:t>
      </w:r>
      <w:r w:rsidRPr="00D5464D">
        <w:rPr>
          <w:rFonts w:cs="Arial"/>
          <w:iCs/>
          <w:szCs w:val="20"/>
          <w:lang w:val="pt-BR"/>
        </w:rPr>
        <w:t xml:space="preserve"> com </w:t>
      </w:r>
      <w:r w:rsidR="002C330E" w:rsidRPr="00D5464D">
        <w:rPr>
          <w:rFonts w:cs="Arial"/>
          <w:iCs/>
          <w:szCs w:val="20"/>
          <w:lang w:val="pt-BR"/>
        </w:rPr>
        <w:t xml:space="preserve">nenhum </w:t>
      </w:r>
      <w:r w:rsidR="004B0842" w:rsidRPr="00D5464D">
        <w:rPr>
          <w:rFonts w:cs="Arial"/>
          <w:iCs/>
          <w:szCs w:val="20"/>
          <w:lang w:val="pt-BR"/>
        </w:rPr>
        <w:t xml:space="preserve">elemento para determinar </w:t>
      </w:r>
      <w:r w:rsidRPr="00D5464D">
        <w:rPr>
          <w:rFonts w:cs="Arial"/>
          <w:iCs/>
          <w:szCs w:val="20"/>
          <w:lang w:val="pt-BR"/>
        </w:rPr>
        <w:t>qual</w:t>
      </w:r>
      <w:r w:rsidR="004B0842" w:rsidRPr="00D5464D">
        <w:rPr>
          <w:rFonts w:cs="Arial"/>
          <w:iCs/>
          <w:szCs w:val="20"/>
          <w:lang w:val="pt-BR"/>
        </w:rPr>
        <w:t xml:space="preserve"> era</w:t>
      </w:r>
      <w:r w:rsidR="002C330E" w:rsidRPr="00D5464D">
        <w:rPr>
          <w:rFonts w:cs="Arial"/>
          <w:iCs/>
          <w:szCs w:val="20"/>
          <w:lang w:val="pt-BR"/>
        </w:rPr>
        <w:t xml:space="preserve"> a </w:t>
      </w:r>
      <w:r w:rsidR="004B0842" w:rsidRPr="00D5464D">
        <w:rPr>
          <w:rFonts w:cs="Arial"/>
          <w:iCs/>
          <w:szCs w:val="20"/>
          <w:lang w:val="pt-BR"/>
        </w:rPr>
        <w:t xml:space="preserve">forma </w:t>
      </w:r>
      <w:r w:rsidR="00230C71" w:rsidRPr="00D5464D">
        <w:rPr>
          <w:rFonts w:cs="Arial"/>
          <w:iCs/>
          <w:szCs w:val="20"/>
          <w:lang w:val="pt-BR"/>
        </w:rPr>
        <w:t>corret</w:t>
      </w:r>
      <w:r w:rsidR="004B0842" w:rsidRPr="00D5464D">
        <w:rPr>
          <w:rFonts w:cs="Arial"/>
          <w:iCs/>
          <w:szCs w:val="20"/>
          <w:lang w:val="pt-BR"/>
        </w:rPr>
        <w:t>a de c</w:t>
      </w:r>
      <w:r w:rsidR="00833B64" w:rsidRPr="00D5464D">
        <w:rPr>
          <w:rFonts w:cs="Arial"/>
          <w:iCs/>
          <w:szCs w:val="20"/>
          <w:lang w:val="pt-BR"/>
        </w:rPr>
        <w:t>á</w:t>
      </w:r>
      <w:r w:rsidR="004B0842" w:rsidRPr="00D5464D">
        <w:rPr>
          <w:rFonts w:cs="Arial"/>
          <w:iCs/>
          <w:szCs w:val="20"/>
          <w:lang w:val="pt-BR"/>
        </w:rPr>
        <w:t>lcul</w:t>
      </w:r>
      <w:r w:rsidR="00833B64" w:rsidRPr="00D5464D">
        <w:rPr>
          <w:rFonts w:cs="Arial"/>
          <w:iCs/>
          <w:szCs w:val="20"/>
          <w:lang w:val="pt-BR"/>
        </w:rPr>
        <w:t>o d</w:t>
      </w:r>
      <w:r w:rsidR="002C330E" w:rsidRPr="00D5464D">
        <w:rPr>
          <w:rFonts w:cs="Arial"/>
          <w:iCs/>
          <w:szCs w:val="20"/>
          <w:lang w:val="pt-BR"/>
        </w:rPr>
        <w:t>as indenizações</w:t>
      </w:r>
      <w:r w:rsidRPr="00D5464D">
        <w:rPr>
          <w:rFonts w:cs="Arial"/>
          <w:iCs/>
          <w:szCs w:val="20"/>
          <w:lang w:val="pt-BR"/>
        </w:rPr>
        <w:t xml:space="preserve"> dos </w:t>
      </w:r>
      <w:r w:rsidR="004B0842" w:rsidRPr="00D5464D">
        <w:rPr>
          <w:rFonts w:cs="Arial"/>
          <w:iCs/>
          <w:szCs w:val="20"/>
          <w:lang w:val="pt-BR"/>
        </w:rPr>
        <w:t>TRCT</w:t>
      </w:r>
      <w:r w:rsidRPr="00D5464D">
        <w:rPr>
          <w:rFonts w:cs="Arial"/>
          <w:iCs/>
          <w:szCs w:val="20"/>
          <w:lang w:val="pt-BR"/>
        </w:rPr>
        <w:t>,</w:t>
      </w:r>
      <w:r w:rsidR="00737270" w:rsidRPr="00D5464D">
        <w:rPr>
          <w:rFonts w:cs="Arial"/>
          <w:iCs/>
          <w:szCs w:val="20"/>
          <w:lang w:val="pt-BR"/>
        </w:rPr>
        <w:t xml:space="preserve"> </w:t>
      </w:r>
      <w:r w:rsidR="002C330E" w:rsidRPr="00D5464D">
        <w:rPr>
          <w:rFonts w:cs="Arial"/>
          <w:iCs/>
          <w:szCs w:val="20"/>
          <w:lang w:val="pt-BR"/>
        </w:rPr>
        <w:t xml:space="preserve">seja </w:t>
      </w:r>
      <w:r w:rsidRPr="00D5464D">
        <w:rPr>
          <w:rFonts w:cs="Arial"/>
          <w:iCs/>
          <w:szCs w:val="20"/>
          <w:lang w:val="pt-BR"/>
        </w:rPr>
        <w:t xml:space="preserve">em </w:t>
      </w:r>
      <w:r w:rsidR="00E045D9" w:rsidRPr="00D5464D">
        <w:rPr>
          <w:rFonts w:cs="Arial"/>
          <w:iCs/>
          <w:szCs w:val="20"/>
          <w:lang w:val="pt-BR"/>
        </w:rPr>
        <w:t>termo</w:t>
      </w:r>
      <w:r w:rsidR="004B0842" w:rsidRPr="00D5464D">
        <w:rPr>
          <w:rFonts w:cs="Arial"/>
          <w:iCs/>
          <w:szCs w:val="20"/>
          <w:lang w:val="pt-BR"/>
        </w:rPr>
        <w:t xml:space="preserve">s </w:t>
      </w:r>
      <w:r w:rsidR="002C330E" w:rsidRPr="00D5464D">
        <w:rPr>
          <w:rFonts w:cs="Arial"/>
          <w:iCs/>
          <w:szCs w:val="20"/>
          <w:lang w:val="pt-BR"/>
        </w:rPr>
        <w:t xml:space="preserve">gerais </w:t>
      </w:r>
      <w:r w:rsidR="004B0842" w:rsidRPr="00D5464D">
        <w:rPr>
          <w:rFonts w:cs="Arial"/>
          <w:iCs/>
          <w:szCs w:val="20"/>
          <w:lang w:val="pt-BR"/>
        </w:rPr>
        <w:t>o</w:t>
      </w:r>
      <w:r w:rsidR="00833B64" w:rsidRPr="00D5464D">
        <w:rPr>
          <w:rFonts w:cs="Arial"/>
          <w:iCs/>
          <w:szCs w:val="20"/>
          <w:lang w:val="pt-BR"/>
        </w:rPr>
        <w:t>u em relação a</w:t>
      </w:r>
      <w:r w:rsidR="004B0842" w:rsidRPr="00D5464D">
        <w:rPr>
          <w:rFonts w:cs="Arial"/>
          <w:iCs/>
          <w:szCs w:val="20"/>
          <w:lang w:val="pt-BR"/>
        </w:rPr>
        <w:t xml:space="preserve"> </w:t>
      </w:r>
      <w:r w:rsidR="00737270" w:rsidRPr="00D5464D">
        <w:rPr>
          <w:rFonts w:cs="Arial"/>
          <w:iCs/>
          <w:szCs w:val="20"/>
          <w:lang w:val="pt-BR"/>
        </w:rPr>
        <w:t>cada</w:t>
      </w:r>
      <w:r w:rsidR="00E765C2" w:rsidRPr="00D5464D">
        <w:rPr>
          <w:rFonts w:cs="Arial"/>
          <w:iCs/>
          <w:szCs w:val="20"/>
          <w:lang w:val="pt-BR"/>
        </w:rPr>
        <w:t xml:space="preserve"> um dos </w:t>
      </w:r>
      <w:r w:rsidR="00E045D9" w:rsidRPr="00D5464D">
        <w:rPr>
          <w:rFonts w:cs="Arial"/>
          <w:iCs/>
          <w:szCs w:val="20"/>
          <w:lang w:val="pt-BR"/>
        </w:rPr>
        <w:t>trabalhadores</w:t>
      </w:r>
      <w:r w:rsidR="004B0842" w:rsidRPr="00D5464D">
        <w:rPr>
          <w:rFonts w:cs="Arial"/>
          <w:iCs/>
          <w:szCs w:val="20"/>
          <w:lang w:val="pt-BR"/>
        </w:rPr>
        <w:t xml:space="preserve"> identificados como </w:t>
      </w:r>
      <w:r w:rsidR="00E045D9" w:rsidRPr="00D5464D">
        <w:rPr>
          <w:rFonts w:cs="Arial"/>
          <w:iCs/>
          <w:szCs w:val="20"/>
          <w:lang w:val="pt-BR"/>
        </w:rPr>
        <w:t>vítima</w:t>
      </w:r>
      <w:r w:rsidR="004B0842" w:rsidRPr="00D5464D">
        <w:rPr>
          <w:rFonts w:cs="Arial"/>
          <w:iCs/>
          <w:szCs w:val="20"/>
          <w:lang w:val="pt-BR"/>
        </w:rPr>
        <w:t>s</w:t>
      </w:r>
      <w:r w:rsidR="00E045D9" w:rsidRPr="00D5464D">
        <w:rPr>
          <w:rFonts w:cs="Arial"/>
          <w:iCs/>
          <w:szCs w:val="20"/>
          <w:lang w:val="pt-BR"/>
        </w:rPr>
        <w:t xml:space="preserve"> neste </w:t>
      </w:r>
      <w:r w:rsidR="004B0842" w:rsidRPr="00D5464D">
        <w:rPr>
          <w:rFonts w:cs="Arial"/>
          <w:iCs/>
          <w:szCs w:val="20"/>
          <w:lang w:val="pt-BR"/>
        </w:rPr>
        <w:t xml:space="preserve">caso. </w:t>
      </w:r>
      <w:r w:rsidRPr="00D5464D">
        <w:rPr>
          <w:rFonts w:cs="Arial"/>
          <w:iCs/>
          <w:szCs w:val="20"/>
          <w:lang w:val="pt-BR"/>
        </w:rPr>
        <w:t>Consequentemente</w:t>
      </w:r>
      <w:r w:rsidR="004B0842" w:rsidRPr="00D5464D">
        <w:rPr>
          <w:rFonts w:cs="Arial"/>
          <w:iCs/>
          <w:szCs w:val="20"/>
          <w:lang w:val="pt-BR"/>
        </w:rPr>
        <w:t>,</w:t>
      </w:r>
      <w:r w:rsidR="002C330E" w:rsidRPr="00D5464D">
        <w:rPr>
          <w:rFonts w:cs="Arial"/>
          <w:iCs/>
          <w:szCs w:val="20"/>
          <w:lang w:val="pt-BR"/>
        </w:rPr>
        <w:t xml:space="preserve"> a </w:t>
      </w:r>
      <w:r w:rsidR="004B0842" w:rsidRPr="00D5464D">
        <w:rPr>
          <w:rFonts w:cs="Arial"/>
          <w:iCs/>
          <w:szCs w:val="20"/>
          <w:lang w:val="pt-BR"/>
        </w:rPr>
        <w:t>Corte n</w:t>
      </w:r>
      <w:r w:rsidR="00833B64" w:rsidRPr="00D5464D">
        <w:rPr>
          <w:rFonts w:cs="Arial"/>
          <w:iCs/>
          <w:szCs w:val="20"/>
          <w:lang w:val="pt-BR"/>
        </w:rPr>
        <w:t>ã</w:t>
      </w:r>
      <w:r w:rsidR="004B0842" w:rsidRPr="00D5464D">
        <w:rPr>
          <w:rFonts w:cs="Arial"/>
          <w:iCs/>
          <w:szCs w:val="20"/>
          <w:lang w:val="pt-BR"/>
        </w:rPr>
        <w:t xml:space="preserve">o se </w:t>
      </w:r>
      <w:r w:rsidRPr="00D5464D">
        <w:rPr>
          <w:rFonts w:cs="Arial"/>
          <w:iCs/>
          <w:szCs w:val="20"/>
          <w:lang w:val="pt-BR"/>
        </w:rPr>
        <w:t xml:space="preserve">encontra em </w:t>
      </w:r>
      <w:r w:rsidR="004B0842" w:rsidRPr="00D5464D">
        <w:rPr>
          <w:rFonts w:cs="Arial"/>
          <w:iCs/>
          <w:szCs w:val="20"/>
          <w:lang w:val="pt-BR"/>
        </w:rPr>
        <w:t>condi</w:t>
      </w:r>
      <w:r w:rsidRPr="00D5464D">
        <w:rPr>
          <w:rFonts w:cs="Arial"/>
          <w:iCs/>
          <w:szCs w:val="20"/>
          <w:lang w:val="pt-BR"/>
        </w:rPr>
        <w:t>ções</w:t>
      </w:r>
      <w:r w:rsidR="004B0842" w:rsidRPr="00D5464D">
        <w:rPr>
          <w:rFonts w:cs="Arial"/>
          <w:iCs/>
          <w:szCs w:val="20"/>
          <w:lang w:val="pt-BR"/>
        </w:rPr>
        <w:t xml:space="preserve"> de determinar: i)</w:t>
      </w:r>
      <w:r w:rsidRPr="00D5464D">
        <w:rPr>
          <w:rFonts w:cs="Arial"/>
          <w:iCs/>
          <w:szCs w:val="20"/>
          <w:lang w:val="pt-BR"/>
        </w:rPr>
        <w:t xml:space="preserve"> o</w:t>
      </w:r>
      <w:r w:rsidR="00E045D9" w:rsidRPr="00D5464D">
        <w:rPr>
          <w:rFonts w:cs="Arial"/>
          <w:iCs/>
          <w:szCs w:val="20"/>
          <w:lang w:val="pt-BR"/>
        </w:rPr>
        <w:t xml:space="preserve"> montante </w:t>
      </w:r>
      <w:r w:rsidR="004B0842" w:rsidRPr="00D5464D">
        <w:rPr>
          <w:rFonts w:cs="Arial"/>
          <w:iCs/>
          <w:szCs w:val="20"/>
          <w:lang w:val="pt-BR"/>
        </w:rPr>
        <w:t>que</w:t>
      </w:r>
      <w:r w:rsidR="00350187" w:rsidRPr="00D5464D">
        <w:rPr>
          <w:rFonts w:cs="Arial"/>
          <w:iCs/>
          <w:szCs w:val="20"/>
          <w:lang w:val="pt-BR"/>
        </w:rPr>
        <w:t xml:space="preserve"> </w:t>
      </w:r>
      <w:r w:rsidR="004B0842" w:rsidRPr="00D5464D">
        <w:rPr>
          <w:rFonts w:cs="Arial"/>
          <w:iCs/>
          <w:szCs w:val="20"/>
          <w:lang w:val="pt-BR"/>
        </w:rPr>
        <w:t>correspon</w:t>
      </w:r>
      <w:r w:rsidRPr="00D5464D">
        <w:rPr>
          <w:rFonts w:cs="Arial"/>
          <w:iCs/>
          <w:szCs w:val="20"/>
          <w:lang w:val="pt-BR"/>
        </w:rPr>
        <w:t>dia</w:t>
      </w:r>
      <w:r w:rsidR="004B0842" w:rsidRPr="00D5464D">
        <w:rPr>
          <w:rFonts w:cs="Arial"/>
          <w:iCs/>
          <w:szCs w:val="20"/>
          <w:lang w:val="pt-BR"/>
        </w:rPr>
        <w:t xml:space="preserve"> a cada </w:t>
      </w:r>
      <w:r w:rsidR="00E045D9" w:rsidRPr="00D5464D">
        <w:rPr>
          <w:rFonts w:cs="Arial"/>
          <w:iCs/>
          <w:szCs w:val="20"/>
          <w:lang w:val="pt-BR"/>
        </w:rPr>
        <w:t>trabalh</w:t>
      </w:r>
      <w:r w:rsidR="004B0842" w:rsidRPr="00D5464D">
        <w:rPr>
          <w:rFonts w:cs="Arial"/>
          <w:iCs/>
          <w:szCs w:val="20"/>
          <w:lang w:val="pt-BR"/>
        </w:rPr>
        <w:t>ador</w:t>
      </w:r>
      <w:r w:rsidRPr="00D5464D">
        <w:rPr>
          <w:rFonts w:cs="Arial"/>
          <w:iCs/>
          <w:szCs w:val="20"/>
          <w:lang w:val="pt-BR"/>
        </w:rPr>
        <w:t xml:space="preserve"> </w:t>
      </w:r>
      <w:r w:rsidR="00833B64" w:rsidRPr="00D5464D">
        <w:rPr>
          <w:rFonts w:cs="Arial"/>
          <w:iCs/>
          <w:szCs w:val="20"/>
          <w:lang w:val="pt-BR"/>
        </w:rPr>
        <w:t>n</w:t>
      </w:r>
      <w:r w:rsidRPr="00D5464D">
        <w:rPr>
          <w:rFonts w:cs="Arial"/>
          <w:iCs/>
          <w:szCs w:val="20"/>
          <w:lang w:val="pt-BR"/>
        </w:rPr>
        <w:t xml:space="preserve">o </w:t>
      </w:r>
      <w:r w:rsidR="004B0842" w:rsidRPr="00D5464D">
        <w:rPr>
          <w:rFonts w:cs="Arial"/>
          <w:iCs/>
          <w:szCs w:val="20"/>
          <w:lang w:val="pt-BR"/>
        </w:rPr>
        <w:t xml:space="preserve">momento de ser </w:t>
      </w:r>
      <w:r w:rsidR="0090341D" w:rsidRPr="00D5464D">
        <w:rPr>
          <w:rFonts w:cs="Arial"/>
          <w:iCs/>
          <w:szCs w:val="20"/>
          <w:lang w:val="pt-BR"/>
        </w:rPr>
        <w:t>resgatado</w:t>
      </w:r>
      <w:r w:rsidR="002A0C2B" w:rsidRPr="00D5464D">
        <w:rPr>
          <w:rFonts w:cs="Arial"/>
          <w:iCs/>
          <w:szCs w:val="20"/>
          <w:lang w:val="pt-BR"/>
        </w:rPr>
        <w:t xml:space="preserve"> e </w:t>
      </w:r>
      <w:r w:rsidR="004B0842" w:rsidRPr="00D5464D">
        <w:rPr>
          <w:rFonts w:cs="Arial"/>
          <w:iCs/>
          <w:szCs w:val="20"/>
          <w:lang w:val="pt-BR"/>
        </w:rPr>
        <w:t>ii)</w:t>
      </w:r>
      <w:r w:rsidR="002C330E" w:rsidRPr="00D5464D">
        <w:rPr>
          <w:rFonts w:cs="Arial"/>
          <w:iCs/>
          <w:szCs w:val="20"/>
          <w:lang w:val="pt-BR"/>
        </w:rPr>
        <w:t xml:space="preserve"> a </w:t>
      </w:r>
      <w:r w:rsidR="004B0842" w:rsidRPr="00D5464D">
        <w:rPr>
          <w:rFonts w:cs="Arial"/>
          <w:iCs/>
          <w:szCs w:val="20"/>
          <w:lang w:val="pt-BR"/>
        </w:rPr>
        <w:t xml:space="preserve">eventual </w:t>
      </w:r>
      <w:r w:rsidR="00A1358C" w:rsidRPr="00D5464D">
        <w:rPr>
          <w:rFonts w:cs="Arial"/>
          <w:iCs/>
          <w:szCs w:val="20"/>
          <w:lang w:val="pt-BR"/>
        </w:rPr>
        <w:t>diferença</w:t>
      </w:r>
      <w:r w:rsidRPr="00D5464D">
        <w:rPr>
          <w:rFonts w:cs="Arial"/>
          <w:iCs/>
          <w:szCs w:val="20"/>
          <w:lang w:val="pt-BR"/>
        </w:rPr>
        <w:t xml:space="preserve"> com o</w:t>
      </w:r>
      <w:r w:rsidR="00E045D9" w:rsidRPr="00D5464D">
        <w:rPr>
          <w:rFonts w:cs="Arial"/>
          <w:iCs/>
          <w:szCs w:val="20"/>
          <w:lang w:val="pt-BR"/>
        </w:rPr>
        <w:t xml:space="preserve"> montante </w:t>
      </w:r>
      <w:r w:rsidRPr="00D5464D">
        <w:rPr>
          <w:rFonts w:cs="Arial"/>
          <w:iCs/>
          <w:szCs w:val="20"/>
          <w:lang w:val="pt-BR"/>
        </w:rPr>
        <w:t>efetiv</w:t>
      </w:r>
      <w:r w:rsidR="004B0842" w:rsidRPr="00D5464D">
        <w:rPr>
          <w:rFonts w:cs="Arial"/>
          <w:iCs/>
          <w:szCs w:val="20"/>
          <w:lang w:val="pt-BR"/>
        </w:rPr>
        <w:t xml:space="preserve">amente </w:t>
      </w:r>
      <w:r w:rsidR="00737270" w:rsidRPr="00D5464D">
        <w:rPr>
          <w:rFonts w:cs="Arial"/>
          <w:iCs/>
          <w:szCs w:val="20"/>
          <w:lang w:val="pt-BR"/>
        </w:rPr>
        <w:t>recebid</w:t>
      </w:r>
      <w:r w:rsidR="004B0842" w:rsidRPr="00D5464D">
        <w:rPr>
          <w:rFonts w:cs="Arial"/>
          <w:iCs/>
          <w:szCs w:val="20"/>
          <w:lang w:val="pt-BR"/>
        </w:rPr>
        <w:t xml:space="preserve">o por cada </w:t>
      </w:r>
      <w:r w:rsidR="00E045D9" w:rsidRPr="00D5464D">
        <w:rPr>
          <w:rFonts w:cs="Arial"/>
          <w:iCs/>
          <w:szCs w:val="20"/>
          <w:lang w:val="pt-BR"/>
        </w:rPr>
        <w:t>trabalh</w:t>
      </w:r>
      <w:r w:rsidR="004B0842" w:rsidRPr="00D5464D">
        <w:rPr>
          <w:rFonts w:cs="Arial"/>
          <w:iCs/>
          <w:szCs w:val="20"/>
          <w:lang w:val="pt-BR"/>
        </w:rPr>
        <w:t>ador</w:t>
      </w:r>
      <w:r w:rsidR="00C91CB1" w:rsidRPr="00D5464D">
        <w:rPr>
          <w:rFonts w:cs="Arial"/>
          <w:iCs/>
          <w:szCs w:val="20"/>
          <w:lang w:val="pt-BR"/>
        </w:rPr>
        <w:t xml:space="preserve">. Os </w:t>
      </w:r>
      <w:r w:rsidR="004B0842" w:rsidRPr="00D5464D">
        <w:rPr>
          <w:rFonts w:cs="Arial"/>
          <w:iCs/>
          <w:szCs w:val="20"/>
          <w:lang w:val="pt-BR"/>
        </w:rPr>
        <w:t>do</w:t>
      </w:r>
      <w:r w:rsidR="00833B64" w:rsidRPr="00D5464D">
        <w:rPr>
          <w:rFonts w:cs="Arial"/>
          <w:iCs/>
          <w:szCs w:val="20"/>
          <w:lang w:val="pt-BR"/>
        </w:rPr>
        <w:t>i</w:t>
      </w:r>
      <w:r w:rsidR="004B0842" w:rsidRPr="00D5464D">
        <w:rPr>
          <w:rFonts w:cs="Arial"/>
          <w:iCs/>
          <w:szCs w:val="20"/>
          <w:lang w:val="pt-BR"/>
        </w:rPr>
        <w:t>s elementos anteriores</w:t>
      </w:r>
      <w:r w:rsidR="002C330E" w:rsidRPr="00D5464D">
        <w:rPr>
          <w:rFonts w:cs="Arial"/>
          <w:iCs/>
          <w:szCs w:val="20"/>
          <w:lang w:val="pt-BR"/>
        </w:rPr>
        <w:t xml:space="preserve"> são </w:t>
      </w:r>
      <w:r w:rsidR="004B0842" w:rsidRPr="00D5464D">
        <w:rPr>
          <w:rFonts w:cs="Arial"/>
          <w:iCs/>
          <w:szCs w:val="20"/>
          <w:lang w:val="pt-BR"/>
        </w:rPr>
        <w:t>indispens</w:t>
      </w:r>
      <w:r w:rsidR="00E045D9" w:rsidRPr="00D5464D">
        <w:rPr>
          <w:rFonts w:cs="Arial"/>
          <w:iCs/>
          <w:szCs w:val="20"/>
          <w:lang w:val="pt-BR"/>
        </w:rPr>
        <w:t xml:space="preserve">áveis </w:t>
      </w:r>
      <w:r w:rsidR="004B0842" w:rsidRPr="00D5464D">
        <w:rPr>
          <w:rFonts w:cs="Arial"/>
          <w:iCs/>
          <w:szCs w:val="20"/>
          <w:lang w:val="pt-BR"/>
        </w:rPr>
        <w:t xml:space="preserve">para </w:t>
      </w:r>
      <w:r w:rsidRPr="00D5464D">
        <w:rPr>
          <w:rFonts w:cs="Arial"/>
          <w:iCs/>
          <w:szCs w:val="20"/>
          <w:lang w:val="pt-BR"/>
        </w:rPr>
        <w:t>estabelece</w:t>
      </w:r>
      <w:r w:rsidR="004B0842" w:rsidRPr="00D5464D">
        <w:rPr>
          <w:rFonts w:cs="Arial"/>
          <w:iCs/>
          <w:szCs w:val="20"/>
          <w:lang w:val="pt-BR"/>
        </w:rPr>
        <w:t>r</w:t>
      </w:r>
      <w:r w:rsidR="002C330E" w:rsidRPr="00D5464D">
        <w:rPr>
          <w:rFonts w:cs="Arial"/>
          <w:iCs/>
          <w:szCs w:val="20"/>
          <w:lang w:val="pt-BR"/>
        </w:rPr>
        <w:t xml:space="preserve"> a </w:t>
      </w:r>
      <w:r w:rsidR="00E045D9" w:rsidRPr="00D5464D">
        <w:rPr>
          <w:rFonts w:cs="Arial"/>
          <w:iCs/>
          <w:szCs w:val="20"/>
          <w:lang w:val="pt-BR"/>
        </w:rPr>
        <w:t>existência</w:t>
      </w:r>
      <w:r w:rsidR="004B0842" w:rsidRPr="00D5464D">
        <w:rPr>
          <w:rFonts w:cs="Arial"/>
          <w:iCs/>
          <w:szCs w:val="20"/>
          <w:lang w:val="pt-BR"/>
        </w:rPr>
        <w:t xml:space="preserve"> de</w:t>
      </w:r>
      <w:r w:rsidR="00E045D9" w:rsidRPr="00D5464D">
        <w:rPr>
          <w:rFonts w:cs="Arial"/>
          <w:iCs/>
          <w:szCs w:val="20"/>
          <w:lang w:val="pt-BR"/>
        </w:rPr>
        <w:t xml:space="preserve"> um </w:t>
      </w:r>
      <w:r w:rsidRPr="00D5464D">
        <w:rPr>
          <w:rFonts w:cs="Arial"/>
          <w:iCs/>
          <w:szCs w:val="20"/>
          <w:lang w:val="pt-BR"/>
        </w:rPr>
        <w:t>dano</w:t>
      </w:r>
      <w:r w:rsidR="004B0842" w:rsidRPr="00D5464D">
        <w:rPr>
          <w:rFonts w:cs="Arial"/>
          <w:iCs/>
          <w:szCs w:val="20"/>
          <w:lang w:val="pt-BR"/>
        </w:rPr>
        <w:t xml:space="preserve"> material</w:t>
      </w:r>
      <w:r w:rsidR="00A1358C" w:rsidRPr="00D5464D">
        <w:rPr>
          <w:rFonts w:cs="Arial"/>
          <w:iCs/>
          <w:szCs w:val="20"/>
          <w:lang w:val="pt-BR"/>
        </w:rPr>
        <w:t>. Em consequência</w:t>
      </w:r>
      <w:r w:rsidR="004B0842" w:rsidRPr="00D5464D">
        <w:rPr>
          <w:rFonts w:cs="Arial"/>
          <w:iCs/>
          <w:szCs w:val="20"/>
          <w:lang w:val="pt-BR"/>
        </w:rPr>
        <w:t>,</w:t>
      </w:r>
      <w:r w:rsidR="002C330E" w:rsidRPr="00D5464D">
        <w:rPr>
          <w:rFonts w:cs="Arial"/>
          <w:iCs/>
          <w:szCs w:val="20"/>
          <w:lang w:val="pt-BR"/>
        </w:rPr>
        <w:t xml:space="preserve"> a </w:t>
      </w:r>
      <w:r w:rsidR="004B0842" w:rsidRPr="00D5464D">
        <w:rPr>
          <w:rFonts w:cs="Arial"/>
          <w:iCs/>
          <w:szCs w:val="20"/>
          <w:lang w:val="pt-BR"/>
        </w:rPr>
        <w:t xml:space="preserve">Corte </w:t>
      </w:r>
      <w:r w:rsidR="00833B64" w:rsidRPr="00D5464D">
        <w:rPr>
          <w:rFonts w:cs="Arial"/>
          <w:iCs/>
          <w:szCs w:val="20"/>
          <w:lang w:val="pt-BR"/>
        </w:rPr>
        <w:t xml:space="preserve">rejeita o pedido </w:t>
      </w:r>
      <w:r w:rsidRPr="00D5464D">
        <w:rPr>
          <w:rFonts w:cs="Arial"/>
          <w:iCs/>
          <w:szCs w:val="20"/>
          <w:lang w:val="pt-BR"/>
        </w:rPr>
        <w:t xml:space="preserve">dos </w:t>
      </w:r>
      <w:r w:rsidR="00EB1CE9" w:rsidRPr="00D5464D">
        <w:rPr>
          <w:rFonts w:cs="Arial"/>
          <w:iCs/>
          <w:szCs w:val="20"/>
          <w:lang w:val="pt-BR"/>
        </w:rPr>
        <w:t>representante</w:t>
      </w:r>
      <w:r w:rsidR="004B0842" w:rsidRPr="00D5464D">
        <w:rPr>
          <w:rFonts w:cs="Arial"/>
          <w:iCs/>
          <w:szCs w:val="20"/>
          <w:lang w:val="pt-BR"/>
        </w:rPr>
        <w:t xml:space="preserve">s </w:t>
      </w:r>
      <w:r w:rsidR="00350187" w:rsidRPr="00D5464D">
        <w:rPr>
          <w:rFonts w:cs="Arial"/>
          <w:iCs/>
          <w:szCs w:val="20"/>
          <w:lang w:val="pt-BR"/>
        </w:rPr>
        <w:t>a este respeito</w:t>
      </w:r>
      <w:r w:rsidR="004B0842" w:rsidRPr="00D5464D">
        <w:rPr>
          <w:rFonts w:cs="Arial"/>
          <w:iCs/>
          <w:szCs w:val="20"/>
          <w:lang w:val="pt-BR"/>
        </w:rPr>
        <w:t>.</w:t>
      </w:r>
      <w:r w:rsidR="00FF1290" w:rsidRPr="00D5464D">
        <w:rPr>
          <w:rFonts w:cs="Arial"/>
          <w:iCs/>
          <w:szCs w:val="20"/>
          <w:lang w:val="pt-BR"/>
        </w:rPr>
        <w:t xml:space="preserve">   </w:t>
      </w:r>
      <w:r w:rsidR="004B0842" w:rsidRPr="00D5464D">
        <w:rPr>
          <w:rFonts w:cs="Arial"/>
          <w:iCs/>
          <w:szCs w:val="20"/>
          <w:lang w:val="pt-BR"/>
        </w:rPr>
        <w:t xml:space="preserve"> </w:t>
      </w:r>
    </w:p>
    <w:p w14:paraId="23E73ED5" w14:textId="77777777" w:rsidR="004B0842" w:rsidRPr="00D5464D" w:rsidRDefault="004B0842" w:rsidP="004B0842">
      <w:pPr>
        <w:pStyle w:val="Prrafodelista"/>
        <w:autoSpaceDE w:val="0"/>
        <w:autoSpaceDN w:val="0"/>
        <w:adjustRightInd w:val="0"/>
        <w:ind w:left="0"/>
        <w:rPr>
          <w:rFonts w:cs="Arial"/>
          <w:i/>
          <w:iCs/>
          <w:szCs w:val="20"/>
          <w:lang w:val="pt-BR"/>
        </w:rPr>
      </w:pPr>
    </w:p>
    <w:p w14:paraId="796233C3" w14:textId="46C762E8" w:rsidR="004B0842" w:rsidRPr="00D5464D" w:rsidRDefault="004B0842" w:rsidP="00863BF9">
      <w:pPr>
        <w:pStyle w:val="Ttulo3"/>
        <w:rPr>
          <w:lang w:val="pt-BR"/>
        </w:rPr>
      </w:pPr>
      <w:bookmarkStart w:id="480" w:name="_Toc460433071"/>
      <w:bookmarkStart w:id="481" w:name="_Toc460442002"/>
      <w:bookmarkStart w:id="482" w:name="_Toc462751144"/>
      <w:bookmarkStart w:id="483" w:name="_Toc464813996"/>
      <w:bookmarkStart w:id="484" w:name="_Toc468433957"/>
      <w:r w:rsidRPr="00D5464D">
        <w:rPr>
          <w:lang w:val="pt-BR"/>
        </w:rPr>
        <w:t>E.2.</w:t>
      </w:r>
      <w:r w:rsidR="00FF1290" w:rsidRPr="00D5464D">
        <w:rPr>
          <w:lang w:val="pt-BR"/>
        </w:rPr>
        <w:t xml:space="preserve"> </w:t>
      </w:r>
      <w:r w:rsidRPr="00D5464D">
        <w:rPr>
          <w:lang w:val="pt-BR"/>
        </w:rPr>
        <w:t xml:space="preserve"> D</w:t>
      </w:r>
      <w:r w:rsidR="00470ADC" w:rsidRPr="00D5464D">
        <w:rPr>
          <w:lang w:val="pt-BR"/>
        </w:rPr>
        <w:t>anos</w:t>
      </w:r>
      <w:r w:rsidRPr="00D5464D">
        <w:rPr>
          <w:lang w:val="pt-BR"/>
        </w:rPr>
        <w:t xml:space="preserve"> </w:t>
      </w:r>
      <w:r w:rsidR="002C330E" w:rsidRPr="00D5464D">
        <w:rPr>
          <w:lang w:val="pt-BR"/>
        </w:rPr>
        <w:t>i</w:t>
      </w:r>
      <w:r w:rsidR="00737270" w:rsidRPr="00D5464D">
        <w:rPr>
          <w:lang w:val="pt-BR"/>
        </w:rPr>
        <w:t>materiais</w:t>
      </w:r>
      <w:bookmarkEnd w:id="480"/>
      <w:bookmarkEnd w:id="481"/>
      <w:bookmarkEnd w:id="482"/>
      <w:bookmarkEnd w:id="483"/>
      <w:bookmarkEnd w:id="484"/>
      <w:r w:rsidRPr="00D5464D">
        <w:rPr>
          <w:lang w:val="pt-BR"/>
        </w:rPr>
        <w:t xml:space="preserve"> </w:t>
      </w:r>
    </w:p>
    <w:p w14:paraId="4768BD7F" w14:textId="77777777" w:rsidR="004B0842" w:rsidRPr="00D5464D" w:rsidRDefault="004B0842" w:rsidP="004B0842">
      <w:pPr>
        <w:pStyle w:val="Prrafodelista"/>
        <w:autoSpaceDE w:val="0"/>
        <w:autoSpaceDN w:val="0"/>
        <w:adjustRightInd w:val="0"/>
        <w:rPr>
          <w:rFonts w:cs="Arial"/>
          <w:iCs/>
          <w:szCs w:val="20"/>
          <w:lang w:val="pt-BR"/>
        </w:rPr>
      </w:pPr>
    </w:p>
    <w:p w14:paraId="183A7C25" w14:textId="61BFF6B2" w:rsidR="004B0842" w:rsidRPr="00D5464D" w:rsidRDefault="00737270"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Os </w:t>
      </w:r>
      <w:r w:rsidR="00EB1CE9" w:rsidRPr="00D5464D">
        <w:rPr>
          <w:rFonts w:cs="Arial"/>
          <w:b/>
          <w:i/>
          <w:iCs/>
          <w:szCs w:val="20"/>
          <w:lang w:val="pt-BR"/>
        </w:rPr>
        <w:t>representante</w:t>
      </w:r>
      <w:r w:rsidRPr="00D5464D">
        <w:rPr>
          <w:rFonts w:cs="Arial"/>
          <w:b/>
          <w:i/>
          <w:iCs/>
          <w:szCs w:val="20"/>
          <w:lang w:val="pt-BR"/>
        </w:rPr>
        <w:t>s</w:t>
      </w:r>
      <w:r w:rsidRPr="00D5464D">
        <w:rPr>
          <w:rFonts w:cs="Arial"/>
          <w:iCs/>
          <w:szCs w:val="20"/>
          <w:lang w:val="pt-BR"/>
        </w:rPr>
        <w:t xml:space="preserve"> </w:t>
      </w:r>
      <w:r w:rsidR="002C330E" w:rsidRPr="00D5464D">
        <w:rPr>
          <w:rFonts w:cs="Arial"/>
          <w:iCs/>
          <w:szCs w:val="20"/>
          <w:lang w:val="pt-BR"/>
        </w:rPr>
        <w:t>solicitaram a indenização</w:t>
      </w:r>
      <w:r w:rsidR="00470ADC" w:rsidRPr="00D5464D">
        <w:rPr>
          <w:rFonts w:cs="Arial"/>
          <w:iCs/>
          <w:szCs w:val="20"/>
          <w:lang w:val="pt-BR"/>
        </w:rPr>
        <w:t xml:space="preserve"> dos </w:t>
      </w:r>
      <w:r w:rsidR="004B0842" w:rsidRPr="00D5464D">
        <w:rPr>
          <w:rFonts w:cs="Arial"/>
          <w:iCs/>
          <w:szCs w:val="20"/>
          <w:lang w:val="pt-BR"/>
        </w:rPr>
        <w:t>d</w:t>
      </w:r>
      <w:r w:rsidR="00470ADC" w:rsidRPr="00D5464D">
        <w:rPr>
          <w:rFonts w:cs="Arial"/>
          <w:iCs/>
          <w:szCs w:val="20"/>
          <w:lang w:val="pt-BR"/>
        </w:rPr>
        <w:t>anos</w:t>
      </w:r>
      <w:r w:rsidR="004B0842" w:rsidRPr="00D5464D">
        <w:rPr>
          <w:rFonts w:cs="Arial"/>
          <w:iCs/>
          <w:szCs w:val="20"/>
          <w:lang w:val="pt-BR"/>
        </w:rPr>
        <w:t xml:space="preserve"> </w:t>
      </w:r>
      <w:r w:rsidRPr="00D5464D">
        <w:rPr>
          <w:rFonts w:cs="Arial"/>
          <w:iCs/>
          <w:szCs w:val="20"/>
          <w:lang w:val="pt-BR"/>
        </w:rPr>
        <w:t>sofridos</w:t>
      </w:r>
      <w:r w:rsidR="004B0842" w:rsidRPr="00D5464D">
        <w:rPr>
          <w:rFonts w:cs="Arial"/>
          <w:iCs/>
          <w:szCs w:val="20"/>
          <w:lang w:val="pt-BR"/>
        </w:rPr>
        <w:t xml:space="preserve"> por todas</w:t>
      </w:r>
      <w:r w:rsidR="002C330E" w:rsidRPr="00D5464D">
        <w:rPr>
          <w:rFonts w:cs="Arial"/>
          <w:iCs/>
          <w:szCs w:val="20"/>
          <w:lang w:val="pt-BR"/>
        </w:rPr>
        <w:t xml:space="preserve"> as pessoa</w:t>
      </w:r>
      <w:r w:rsidR="004B0842" w:rsidRPr="00D5464D">
        <w:rPr>
          <w:rFonts w:cs="Arial"/>
          <w:iCs/>
          <w:szCs w:val="20"/>
          <w:lang w:val="pt-BR"/>
        </w:rPr>
        <w:t xml:space="preserve">s identificadas como </w:t>
      </w:r>
      <w:r w:rsidR="00E045D9" w:rsidRPr="00D5464D">
        <w:rPr>
          <w:rFonts w:cs="Arial"/>
          <w:iCs/>
          <w:szCs w:val="20"/>
          <w:lang w:val="pt-BR"/>
        </w:rPr>
        <w:t>vítima</w:t>
      </w:r>
      <w:r w:rsidR="004B0842" w:rsidRPr="00D5464D">
        <w:rPr>
          <w:rFonts w:cs="Arial"/>
          <w:iCs/>
          <w:szCs w:val="20"/>
          <w:lang w:val="pt-BR"/>
        </w:rPr>
        <w:t>s</w:t>
      </w:r>
      <w:r w:rsidR="00470ADC" w:rsidRPr="00D5464D">
        <w:rPr>
          <w:rFonts w:cs="Arial"/>
          <w:iCs/>
          <w:szCs w:val="20"/>
          <w:lang w:val="pt-BR"/>
        </w:rPr>
        <w:t xml:space="preserve"> em</w:t>
      </w:r>
      <w:r w:rsidR="002C330E" w:rsidRPr="00D5464D">
        <w:rPr>
          <w:rFonts w:cs="Arial"/>
          <w:iCs/>
          <w:szCs w:val="20"/>
          <w:lang w:val="pt-BR"/>
        </w:rPr>
        <w:t xml:space="preserve"> seu </w:t>
      </w:r>
      <w:r w:rsidR="00230C71" w:rsidRPr="00D5464D">
        <w:rPr>
          <w:rFonts w:cs="Arial"/>
          <w:iCs/>
          <w:szCs w:val="20"/>
          <w:lang w:val="pt-BR"/>
        </w:rPr>
        <w:t>escrito de petições</w:t>
      </w:r>
      <w:r w:rsidR="004B0842" w:rsidRPr="00D5464D">
        <w:rPr>
          <w:rFonts w:cs="Arial"/>
          <w:iCs/>
          <w:szCs w:val="20"/>
          <w:lang w:val="pt-BR"/>
        </w:rPr>
        <w:t xml:space="preserve">, </w:t>
      </w:r>
      <w:r w:rsidR="00833B64" w:rsidRPr="00D5464D">
        <w:rPr>
          <w:rFonts w:cs="Arial"/>
          <w:iCs/>
          <w:szCs w:val="20"/>
          <w:lang w:val="pt-BR"/>
        </w:rPr>
        <w:t>a</w:t>
      </w:r>
      <w:r w:rsidR="004B0842" w:rsidRPr="00D5464D">
        <w:rPr>
          <w:rFonts w:cs="Arial"/>
          <w:iCs/>
          <w:szCs w:val="20"/>
          <w:lang w:val="pt-BR"/>
        </w:rPr>
        <w:t>rgumentos</w:t>
      </w:r>
      <w:r w:rsidR="00E045D9" w:rsidRPr="00D5464D">
        <w:rPr>
          <w:rFonts w:cs="Arial"/>
          <w:iCs/>
          <w:szCs w:val="20"/>
          <w:lang w:val="pt-BR"/>
        </w:rPr>
        <w:t xml:space="preserve"> e </w:t>
      </w:r>
      <w:r w:rsidR="00833B64" w:rsidRPr="00D5464D">
        <w:rPr>
          <w:rFonts w:cs="Arial"/>
          <w:iCs/>
          <w:szCs w:val="20"/>
          <w:lang w:val="pt-BR"/>
        </w:rPr>
        <w:t>p</w:t>
      </w:r>
      <w:r w:rsidR="002C330E" w:rsidRPr="00D5464D">
        <w:rPr>
          <w:rFonts w:cs="Arial"/>
          <w:iCs/>
          <w:szCs w:val="20"/>
          <w:lang w:val="pt-BR"/>
        </w:rPr>
        <w:t>rova</w:t>
      </w:r>
      <w:r w:rsidR="004B0842" w:rsidRPr="00D5464D">
        <w:rPr>
          <w:rFonts w:cs="Arial"/>
          <w:iCs/>
          <w:szCs w:val="20"/>
          <w:lang w:val="pt-BR"/>
        </w:rPr>
        <w:t>s.</w:t>
      </w:r>
      <w:r w:rsidR="00470ADC" w:rsidRPr="00D5464D">
        <w:rPr>
          <w:rFonts w:cs="Arial"/>
          <w:iCs/>
          <w:szCs w:val="20"/>
          <w:lang w:val="pt-BR"/>
        </w:rPr>
        <w:t xml:space="preserve"> </w:t>
      </w:r>
      <w:r w:rsidR="00833B64" w:rsidRPr="00D5464D">
        <w:rPr>
          <w:rFonts w:cs="Arial"/>
          <w:iCs/>
          <w:szCs w:val="20"/>
          <w:lang w:val="pt-BR"/>
        </w:rPr>
        <w:t>Q</w:t>
      </w:r>
      <w:r w:rsidR="00350187" w:rsidRPr="00D5464D">
        <w:rPr>
          <w:rFonts w:cs="Arial"/>
          <w:iCs/>
          <w:szCs w:val="20"/>
          <w:lang w:val="pt-BR"/>
        </w:rPr>
        <w:t>uanto</w:t>
      </w:r>
      <w:r w:rsidR="00470ADC" w:rsidRPr="00D5464D">
        <w:rPr>
          <w:rFonts w:cs="Arial"/>
          <w:iCs/>
          <w:szCs w:val="20"/>
          <w:lang w:val="pt-BR"/>
        </w:rPr>
        <w:t xml:space="preserve"> ao dano</w:t>
      </w:r>
      <w:r w:rsidR="004B0842" w:rsidRPr="00D5464D">
        <w:rPr>
          <w:rFonts w:cs="Arial"/>
          <w:iCs/>
          <w:szCs w:val="20"/>
          <w:lang w:val="pt-BR"/>
        </w:rPr>
        <w:t xml:space="preserve"> </w:t>
      </w:r>
      <w:r w:rsidR="002C330E" w:rsidRPr="00D5464D">
        <w:rPr>
          <w:rFonts w:cs="Arial"/>
          <w:iCs/>
          <w:szCs w:val="20"/>
          <w:lang w:val="pt-BR"/>
        </w:rPr>
        <w:t>imaterial</w:t>
      </w:r>
      <w:r w:rsidR="00833B64" w:rsidRPr="00D5464D">
        <w:rPr>
          <w:rFonts w:cs="Arial"/>
          <w:iCs/>
          <w:szCs w:val="20"/>
          <w:lang w:val="pt-BR"/>
        </w:rPr>
        <w:t>,</w:t>
      </w:r>
      <w:r w:rsidR="004B0842" w:rsidRPr="00D5464D">
        <w:rPr>
          <w:rFonts w:cs="Arial"/>
          <w:iCs/>
          <w:szCs w:val="20"/>
          <w:lang w:val="pt-BR"/>
        </w:rPr>
        <w:t xml:space="preserve"> </w:t>
      </w:r>
      <w:r w:rsidR="002C330E" w:rsidRPr="00D5464D">
        <w:rPr>
          <w:rFonts w:cs="Arial"/>
          <w:iCs/>
          <w:szCs w:val="20"/>
          <w:lang w:val="pt-BR"/>
        </w:rPr>
        <w:t>solicitaram</w:t>
      </w:r>
      <w:r w:rsidR="004B0842" w:rsidRPr="00D5464D">
        <w:rPr>
          <w:rFonts w:cs="Arial"/>
          <w:iCs/>
          <w:szCs w:val="20"/>
          <w:lang w:val="pt-BR"/>
        </w:rPr>
        <w:t xml:space="preserve"> US$ 40.000 para </w:t>
      </w:r>
      <w:r w:rsidRPr="00D5464D">
        <w:rPr>
          <w:rFonts w:cs="Arial"/>
          <w:iCs/>
          <w:szCs w:val="20"/>
          <w:lang w:val="pt-BR"/>
        </w:rPr>
        <w:t>cada</w:t>
      </w:r>
      <w:r w:rsidR="00E765C2" w:rsidRPr="00D5464D">
        <w:rPr>
          <w:rFonts w:cs="Arial"/>
          <w:iCs/>
          <w:szCs w:val="20"/>
          <w:lang w:val="pt-BR"/>
        </w:rPr>
        <w:t xml:space="preserve"> um dos </w:t>
      </w:r>
      <w:r w:rsidR="00E045D9" w:rsidRPr="00D5464D">
        <w:rPr>
          <w:rFonts w:cs="Arial"/>
          <w:iCs/>
          <w:szCs w:val="20"/>
          <w:lang w:val="pt-BR"/>
        </w:rPr>
        <w:t>trabalhadores</w:t>
      </w:r>
      <w:r w:rsidR="00A235E3" w:rsidRPr="00D5464D">
        <w:rPr>
          <w:rFonts w:cs="Arial"/>
          <w:iCs/>
          <w:szCs w:val="20"/>
          <w:lang w:val="pt-BR"/>
        </w:rPr>
        <w:t xml:space="preserve"> encontrados</w:t>
      </w:r>
      <w:r w:rsidR="00E045D9" w:rsidRPr="00D5464D">
        <w:rPr>
          <w:rFonts w:cs="Arial"/>
          <w:iCs/>
          <w:szCs w:val="20"/>
          <w:lang w:val="pt-BR"/>
        </w:rPr>
        <w:t xml:space="preserve"> na </w:t>
      </w:r>
      <w:r w:rsidR="00D809F0" w:rsidRPr="00D5464D">
        <w:rPr>
          <w:rFonts w:cs="Arial"/>
          <w:iCs/>
          <w:szCs w:val="20"/>
          <w:lang w:val="pt-BR"/>
        </w:rPr>
        <w:t>Fazenda</w:t>
      </w:r>
      <w:r w:rsidR="004B0842" w:rsidRPr="00D5464D">
        <w:rPr>
          <w:rFonts w:cs="Arial"/>
          <w:iCs/>
          <w:szCs w:val="20"/>
          <w:lang w:val="pt-BR"/>
        </w:rPr>
        <w:t xml:space="preserve"> Brasil Verde</w:t>
      </w:r>
      <w:r w:rsidR="00E045D9" w:rsidRPr="00D5464D">
        <w:rPr>
          <w:rFonts w:cs="Arial"/>
          <w:iCs/>
          <w:szCs w:val="20"/>
          <w:lang w:val="pt-BR"/>
        </w:rPr>
        <w:t xml:space="preserve"> </w:t>
      </w:r>
      <w:r w:rsidR="00833B64" w:rsidRPr="00D5464D">
        <w:rPr>
          <w:rFonts w:cs="Arial"/>
          <w:iCs/>
          <w:szCs w:val="20"/>
          <w:lang w:val="pt-BR"/>
        </w:rPr>
        <w:t xml:space="preserve">durante </w:t>
      </w:r>
      <w:r w:rsidR="00E045D9" w:rsidRPr="00D5464D">
        <w:rPr>
          <w:rFonts w:cs="Arial"/>
          <w:iCs/>
          <w:szCs w:val="20"/>
          <w:lang w:val="pt-BR"/>
        </w:rPr>
        <w:t>a</w:t>
      </w:r>
      <w:r w:rsidR="00833B64" w:rsidRPr="00D5464D">
        <w:rPr>
          <w:rFonts w:cs="Arial"/>
          <w:iCs/>
          <w:szCs w:val="20"/>
          <w:lang w:val="pt-BR"/>
        </w:rPr>
        <w:t>s</w:t>
      </w:r>
      <w:r w:rsidR="00E045D9" w:rsidRPr="00D5464D">
        <w:rPr>
          <w:rFonts w:cs="Arial"/>
          <w:iCs/>
          <w:szCs w:val="20"/>
          <w:lang w:val="pt-BR"/>
        </w:rPr>
        <w:t xml:space="preserve"> </w:t>
      </w:r>
      <w:r w:rsidR="00833B64" w:rsidRPr="00D5464D">
        <w:rPr>
          <w:rFonts w:cs="Arial"/>
          <w:iCs/>
          <w:szCs w:val="20"/>
          <w:lang w:val="pt-BR"/>
        </w:rPr>
        <w:t xml:space="preserve">fiscalizações </w:t>
      </w:r>
      <w:r w:rsidR="004B0842" w:rsidRPr="00D5464D">
        <w:rPr>
          <w:rFonts w:cs="Arial"/>
          <w:iCs/>
          <w:szCs w:val="20"/>
          <w:lang w:val="pt-BR"/>
        </w:rPr>
        <w:t>de abril de 1997</w:t>
      </w:r>
      <w:r w:rsidR="00E045D9" w:rsidRPr="00D5464D">
        <w:rPr>
          <w:rFonts w:cs="Arial"/>
          <w:iCs/>
          <w:szCs w:val="20"/>
          <w:lang w:val="pt-BR"/>
        </w:rPr>
        <w:t xml:space="preserve"> e </w:t>
      </w:r>
      <w:r w:rsidR="004B0842" w:rsidRPr="00D5464D">
        <w:rPr>
          <w:rFonts w:cs="Arial"/>
          <w:iCs/>
          <w:szCs w:val="20"/>
          <w:lang w:val="pt-BR"/>
        </w:rPr>
        <w:t xml:space="preserve">de </w:t>
      </w:r>
      <w:r w:rsidR="002C330E" w:rsidRPr="00D5464D">
        <w:rPr>
          <w:rFonts w:cs="Arial"/>
          <w:iCs/>
          <w:szCs w:val="20"/>
          <w:lang w:val="pt-BR"/>
        </w:rPr>
        <w:t>março</w:t>
      </w:r>
      <w:r w:rsidR="004B0842" w:rsidRPr="00D5464D">
        <w:rPr>
          <w:rFonts w:cs="Arial"/>
          <w:iCs/>
          <w:szCs w:val="20"/>
          <w:lang w:val="pt-BR"/>
        </w:rPr>
        <w:t xml:space="preserve"> de 2000. </w:t>
      </w:r>
      <w:r w:rsidR="00350187" w:rsidRPr="00D5464D">
        <w:rPr>
          <w:rFonts w:cs="Arial"/>
          <w:iCs/>
          <w:szCs w:val="20"/>
          <w:lang w:val="pt-BR"/>
        </w:rPr>
        <w:t xml:space="preserve">Além disso, </w:t>
      </w:r>
      <w:r w:rsidR="00833B64" w:rsidRPr="00D5464D">
        <w:rPr>
          <w:rFonts w:cs="Arial"/>
          <w:iCs/>
          <w:szCs w:val="20"/>
          <w:lang w:val="pt-BR"/>
        </w:rPr>
        <w:t xml:space="preserve">no que </w:t>
      </w:r>
      <w:r w:rsidR="00D838DD" w:rsidRPr="00D5464D">
        <w:rPr>
          <w:rFonts w:cs="Arial"/>
          <w:iCs/>
          <w:szCs w:val="20"/>
          <w:lang w:val="pt-BR"/>
        </w:rPr>
        <w:t xml:space="preserve">diz </w:t>
      </w:r>
      <w:r w:rsidR="00833B64" w:rsidRPr="00D5464D">
        <w:rPr>
          <w:rFonts w:cs="Arial"/>
          <w:iCs/>
          <w:szCs w:val="20"/>
          <w:lang w:val="pt-BR"/>
        </w:rPr>
        <w:t>respeit</w:t>
      </w:r>
      <w:r w:rsidR="00AB4162" w:rsidRPr="00D5464D">
        <w:rPr>
          <w:rFonts w:cs="Arial"/>
          <w:iCs/>
          <w:szCs w:val="20"/>
          <w:lang w:val="pt-BR"/>
        </w:rPr>
        <w:t>o</w:t>
      </w:r>
      <w:r w:rsidR="00833B64" w:rsidRPr="00D5464D">
        <w:rPr>
          <w:rFonts w:cs="Arial"/>
          <w:iCs/>
          <w:szCs w:val="20"/>
          <w:lang w:val="pt-BR"/>
        </w:rPr>
        <w:t xml:space="preserve"> </w:t>
      </w:r>
      <w:r w:rsidR="00E045D9" w:rsidRPr="00D5464D">
        <w:rPr>
          <w:rFonts w:cs="Arial"/>
          <w:iCs/>
          <w:szCs w:val="20"/>
          <w:lang w:val="pt-BR"/>
        </w:rPr>
        <w:t>às vítima</w:t>
      </w:r>
      <w:r w:rsidR="004B0842" w:rsidRPr="00D5464D">
        <w:rPr>
          <w:rFonts w:cs="Arial"/>
          <w:iCs/>
          <w:szCs w:val="20"/>
          <w:lang w:val="pt-BR"/>
        </w:rPr>
        <w:t xml:space="preserve">s </w:t>
      </w:r>
      <w:r w:rsidR="00E045D9" w:rsidRPr="00D5464D">
        <w:rPr>
          <w:rFonts w:cs="Arial"/>
          <w:iCs/>
          <w:szCs w:val="20"/>
          <w:lang w:val="pt-BR"/>
        </w:rPr>
        <w:t>dessa</w:t>
      </w:r>
      <w:r w:rsidR="00470ADC" w:rsidRPr="00D5464D">
        <w:rPr>
          <w:rFonts w:cs="Arial"/>
          <w:iCs/>
          <w:szCs w:val="20"/>
          <w:lang w:val="pt-BR"/>
        </w:rPr>
        <w:t xml:space="preserve"> </w:t>
      </w:r>
      <w:r w:rsidR="004B0842" w:rsidRPr="00D5464D">
        <w:rPr>
          <w:rFonts w:cs="Arial"/>
          <w:iCs/>
          <w:szCs w:val="20"/>
          <w:lang w:val="pt-BR"/>
        </w:rPr>
        <w:t xml:space="preserve">última </w:t>
      </w:r>
      <w:r w:rsidR="00AB4663" w:rsidRPr="00D5464D">
        <w:rPr>
          <w:rFonts w:cs="Arial"/>
          <w:iCs/>
          <w:szCs w:val="20"/>
          <w:lang w:val="pt-BR"/>
        </w:rPr>
        <w:t>fiscalização</w:t>
      </w:r>
      <w:r w:rsidR="004B0842" w:rsidRPr="00D5464D">
        <w:rPr>
          <w:rFonts w:cs="Arial"/>
          <w:iCs/>
          <w:szCs w:val="20"/>
          <w:lang w:val="pt-BR"/>
        </w:rPr>
        <w:t xml:space="preserve">, </w:t>
      </w:r>
      <w:r w:rsidR="002C330E" w:rsidRPr="00D5464D">
        <w:rPr>
          <w:rFonts w:cs="Arial"/>
          <w:iCs/>
          <w:szCs w:val="20"/>
          <w:lang w:val="pt-BR"/>
        </w:rPr>
        <w:t>solicitaram</w:t>
      </w:r>
      <w:r w:rsidR="00E045D9" w:rsidRPr="00D5464D">
        <w:rPr>
          <w:rFonts w:cs="Arial"/>
          <w:iCs/>
          <w:szCs w:val="20"/>
          <w:lang w:val="pt-BR"/>
        </w:rPr>
        <w:t xml:space="preserve"> uma </w:t>
      </w:r>
      <w:r w:rsidR="002C330E" w:rsidRPr="00D5464D">
        <w:rPr>
          <w:rFonts w:cs="Arial"/>
          <w:iCs/>
          <w:szCs w:val="20"/>
          <w:lang w:val="pt-BR"/>
        </w:rPr>
        <w:t>indenização</w:t>
      </w:r>
      <w:r w:rsidR="004B0842" w:rsidRPr="00D5464D">
        <w:rPr>
          <w:rFonts w:cs="Arial"/>
          <w:iCs/>
          <w:szCs w:val="20"/>
          <w:lang w:val="pt-BR"/>
        </w:rPr>
        <w:t xml:space="preserve"> </w:t>
      </w:r>
      <w:r w:rsidR="00833B64" w:rsidRPr="00D5464D">
        <w:rPr>
          <w:rFonts w:cs="Arial"/>
          <w:iCs/>
          <w:szCs w:val="20"/>
          <w:lang w:val="pt-BR"/>
        </w:rPr>
        <w:t>por</w:t>
      </w:r>
      <w:r w:rsidR="00470ADC" w:rsidRPr="00D5464D">
        <w:rPr>
          <w:rFonts w:cs="Arial"/>
          <w:iCs/>
          <w:szCs w:val="20"/>
          <w:lang w:val="pt-BR"/>
        </w:rPr>
        <w:t xml:space="preserve"> dano</w:t>
      </w:r>
      <w:r w:rsidR="004B0842" w:rsidRPr="00D5464D">
        <w:rPr>
          <w:rFonts w:cs="Arial"/>
          <w:iCs/>
          <w:szCs w:val="20"/>
          <w:lang w:val="pt-BR"/>
        </w:rPr>
        <w:t xml:space="preserve"> moral </w:t>
      </w:r>
      <w:r w:rsidR="00470ADC" w:rsidRPr="00D5464D">
        <w:rPr>
          <w:rFonts w:cs="Arial"/>
          <w:iCs/>
          <w:szCs w:val="20"/>
          <w:lang w:val="pt-BR"/>
        </w:rPr>
        <w:t>coletiv</w:t>
      </w:r>
      <w:r w:rsidR="004B0842" w:rsidRPr="00D5464D">
        <w:rPr>
          <w:rFonts w:cs="Arial"/>
          <w:iCs/>
          <w:szCs w:val="20"/>
          <w:lang w:val="pt-BR"/>
        </w:rPr>
        <w:t>o, calculado</w:t>
      </w:r>
      <w:r w:rsidR="00470ADC" w:rsidRPr="00D5464D">
        <w:rPr>
          <w:rFonts w:cs="Arial"/>
          <w:iCs/>
          <w:szCs w:val="20"/>
          <w:lang w:val="pt-BR"/>
        </w:rPr>
        <w:t xml:space="preserve"> em </w:t>
      </w:r>
      <w:r w:rsidRPr="00D5464D">
        <w:rPr>
          <w:rFonts w:cs="Arial"/>
          <w:iCs/>
          <w:szCs w:val="20"/>
          <w:lang w:val="pt-BR"/>
        </w:rPr>
        <w:t>equidade,</w:t>
      </w:r>
      <w:r w:rsidR="004B0842" w:rsidRPr="00D5464D">
        <w:rPr>
          <w:rFonts w:cs="Arial"/>
          <w:iCs/>
          <w:szCs w:val="20"/>
          <w:lang w:val="pt-BR"/>
        </w:rPr>
        <w:t xml:space="preserve"> destinado</w:t>
      </w:r>
      <w:r w:rsidR="00470ADC" w:rsidRPr="00D5464D">
        <w:rPr>
          <w:rFonts w:cs="Arial"/>
          <w:iCs/>
          <w:szCs w:val="20"/>
          <w:lang w:val="pt-BR"/>
        </w:rPr>
        <w:t xml:space="preserve"> à construção</w:t>
      </w:r>
      <w:r w:rsidR="004B0842" w:rsidRPr="00D5464D">
        <w:rPr>
          <w:rFonts w:cs="Arial"/>
          <w:iCs/>
          <w:szCs w:val="20"/>
          <w:lang w:val="pt-BR"/>
        </w:rPr>
        <w:t xml:space="preserve"> de</w:t>
      </w:r>
      <w:r w:rsidR="00E045D9" w:rsidRPr="00D5464D">
        <w:rPr>
          <w:rFonts w:cs="Arial"/>
          <w:iCs/>
          <w:szCs w:val="20"/>
          <w:lang w:val="pt-BR"/>
        </w:rPr>
        <w:t xml:space="preserve"> um </w:t>
      </w:r>
      <w:r w:rsidR="004B0842" w:rsidRPr="00D5464D">
        <w:rPr>
          <w:rFonts w:cs="Arial"/>
          <w:iCs/>
          <w:szCs w:val="20"/>
          <w:lang w:val="pt-BR"/>
        </w:rPr>
        <w:t>curso técnico rural</w:t>
      </w:r>
      <w:r w:rsidR="00470ADC" w:rsidRPr="00D5464D">
        <w:rPr>
          <w:rFonts w:cs="Arial"/>
          <w:iCs/>
          <w:szCs w:val="20"/>
          <w:lang w:val="pt-BR"/>
        </w:rPr>
        <w:t xml:space="preserve"> em </w:t>
      </w:r>
      <w:r w:rsidR="004B0842" w:rsidRPr="00D5464D">
        <w:rPr>
          <w:rFonts w:cs="Arial"/>
          <w:iCs/>
          <w:szCs w:val="20"/>
          <w:lang w:val="pt-BR"/>
        </w:rPr>
        <w:t>Barras, Piauí, para</w:t>
      </w:r>
      <w:r w:rsidR="002C330E" w:rsidRPr="00D5464D">
        <w:rPr>
          <w:rFonts w:cs="Arial"/>
          <w:iCs/>
          <w:szCs w:val="20"/>
          <w:lang w:val="pt-BR"/>
        </w:rPr>
        <w:t xml:space="preserve"> a </w:t>
      </w:r>
      <w:r w:rsidR="004B0842" w:rsidRPr="00D5464D">
        <w:rPr>
          <w:rFonts w:cs="Arial"/>
          <w:iCs/>
          <w:szCs w:val="20"/>
          <w:lang w:val="pt-BR"/>
        </w:rPr>
        <w:t>capacita</w:t>
      </w:r>
      <w:r w:rsidR="00470ADC" w:rsidRPr="00D5464D">
        <w:rPr>
          <w:rFonts w:cs="Arial"/>
          <w:iCs/>
          <w:szCs w:val="20"/>
          <w:lang w:val="pt-BR"/>
        </w:rPr>
        <w:t>ção</w:t>
      </w:r>
      <w:r w:rsidR="004B0842" w:rsidRPr="00D5464D">
        <w:rPr>
          <w:rFonts w:cs="Arial"/>
          <w:iCs/>
          <w:szCs w:val="20"/>
          <w:lang w:val="pt-BR"/>
        </w:rPr>
        <w:t xml:space="preserve"> de </w:t>
      </w:r>
      <w:r w:rsidR="00E045D9" w:rsidRPr="00D5464D">
        <w:rPr>
          <w:rFonts w:cs="Arial"/>
          <w:iCs/>
          <w:szCs w:val="20"/>
          <w:lang w:val="pt-BR"/>
        </w:rPr>
        <w:t>trabalhadores</w:t>
      </w:r>
      <w:r w:rsidR="004B0842" w:rsidRPr="00D5464D">
        <w:rPr>
          <w:rFonts w:cs="Arial"/>
          <w:iCs/>
          <w:szCs w:val="20"/>
          <w:lang w:val="pt-BR"/>
        </w:rPr>
        <w:t xml:space="preserve"> </w:t>
      </w:r>
      <w:r w:rsidR="00E045D9" w:rsidRPr="00D5464D">
        <w:rPr>
          <w:rFonts w:cs="Arial"/>
          <w:iCs/>
          <w:szCs w:val="20"/>
          <w:lang w:val="pt-BR"/>
        </w:rPr>
        <w:t>rurais</w:t>
      </w:r>
      <w:r w:rsidR="004B0842" w:rsidRPr="00D5464D">
        <w:rPr>
          <w:rFonts w:cs="Arial"/>
          <w:iCs/>
          <w:szCs w:val="20"/>
          <w:lang w:val="pt-BR"/>
        </w:rPr>
        <w:t>.</w:t>
      </w:r>
    </w:p>
    <w:p w14:paraId="16B9441A" w14:textId="77777777" w:rsidR="004B0842" w:rsidRPr="00D5464D" w:rsidRDefault="004B0842" w:rsidP="004B0842">
      <w:pPr>
        <w:pStyle w:val="Prrafodelista"/>
        <w:autoSpaceDE w:val="0"/>
        <w:autoSpaceDN w:val="0"/>
        <w:adjustRightInd w:val="0"/>
        <w:rPr>
          <w:rFonts w:cs="Arial"/>
          <w:iCs/>
          <w:szCs w:val="20"/>
          <w:lang w:val="pt-BR"/>
        </w:rPr>
      </w:pPr>
    </w:p>
    <w:p w14:paraId="5C7656CF" w14:textId="56A9CC1F" w:rsidR="004B0842" w:rsidRPr="00D5464D" w:rsidRDefault="004B0842"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Adicionalmente,</w:t>
      </w:r>
      <w:r w:rsidR="00470ADC" w:rsidRPr="00D5464D">
        <w:rPr>
          <w:rFonts w:cs="Arial"/>
          <w:iCs/>
          <w:szCs w:val="20"/>
          <w:lang w:val="pt-BR"/>
        </w:rPr>
        <w:t xml:space="preserve"> em</w:t>
      </w:r>
      <w:r w:rsidR="002C330E" w:rsidRPr="00D5464D">
        <w:rPr>
          <w:rFonts w:cs="Arial"/>
          <w:iCs/>
          <w:szCs w:val="20"/>
          <w:lang w:val="pt-BR"/>
        </w:rPr>
        <w:t xml:space="preserve"> seu escrito </w:t>
      </w:r>
      <w:r w:rsidRPr="00D5464D">
        <w:rPr>
          <w:rFonts w:cs="Arial"/>
          <w:iCs/>
          <w:szCs w:val="20"/>
          <w:lang w:val="pt-BR"/>
        </w:rPr>
        <w:t>de observa</w:t>
      </w:r>
      <w:r w:rsidR="00470ADC" w:rsidRPr="00D5464D">
        <w:rPr>
          <w:rFonts w:cs="Arial"/>
          <w:iCs/>
          <w:szCs w:val="20"/>
          <w:lang w:val="pt-BR"/>
        </w:rPr>
        <w:t>ções</w:t>
      </w:r>
      <w:r w:rsidRPr="00D5464D">
        <w:rPr>
          <w:rFonts w:cs="Arial"/>
          <w:iCs/>
          <w:szCs w:val="20"/>
          <w:lang w:val="pt-BR"/>
        </w:rPr>
        <w:t xml:space="preserve"> </w:t>
      </w:r>
      <w:r w:rsidR="00470ADC" w:rsidRPr="00D5464D">
        <w:rPr>
          <w:rFonts w:cs="Arial"/>
          <w:iCs/>
          <w:szCs w:val="20"/>
          <w:lang w:val="pt-BR"/>
        </w:rPr>
        <w:t>finais</w:t>
      </w:r>
      <w:r w:rsidR="00833B64" w:rsidRPr="00D5464D">
        <w:rPr>
          <w:rFonts w:cs="Arial"/>
          <w:iCs/>
          <w:szCs w:val="20"/>
          <w:lang w:val="pt-BR"/>
        </w:rPr>
        <w:t>,</w:t>
      </w:r>
      <w:r w:rsidR="002C330E" w:rsidRPr="00D5464D">
        <w:rPr>
          <w:rFonts w:cs="Arial"/>
          <w:iCs/>
          <w:szCs w:val="20"/>
          <w:lang w:val="pt-BR"/>
        </w:rPr>
        <w:t xml:space="preserve"> os </w:t>
      </w:r>
      <w:r w:rsidR="00EB1CE9" w:rsidRPr="00D5464D">
        <w:rPr>
          <w:rFonts w:cs="Arial"/>
          <w:iCs/>
          <w:szCs w:val="20"/>
          <w:lang w:val="pt-BR"/>
        </w:rPr>
        <w:t>representante</w:t>
      </w:r>
      <w:r w:rsidRPr="00D5464D">
        <w:rPr>
          <w:rFonts w:cs="Arial"/>
          <w:iCs/>
          <w:szCs w:val="20"/>
          <w:lang w:val="pt-BR"/>
        </w:rPr>
        <w:t xml:space="preserve">s </w:t>
      </w:r>
      <w:r w:rsidR="002C330E" w:rsidRPr="00D5464D">
        <w:rPr>
          <w:rFonts w:cs="Arial"/>
          <w:iCs/>
          <w:szCs w:val="20"/>
          <w:lang w:val="pt-BR"/>
        </w:rPr>
        <w:t>solicitaram</w:t>
      </w:r>
      <w:r w:rsidRPr="00D5464D">
        <w:rPr>
          <w:rFonts w:cs="Arial"/>
          <w:iCs/>
          <w:szCs w:val="20"/>
          <w:lang w:val="pt-BR"/>
        </w:rPr>
        <w:t xml:space="preserve"> US$ 40.000 para cada </w:t>
      </w:r>
      <w:r w:rsidR="00E045D9" w:rsidRPr="00D5464D">
        <w:rPr>
          <w:rFonts w:cs="Arial"/>
          <w:iCs/>
          <w:szCs w:val="20"/>
          <w:lang w:val="pt-BR"/>
        </w:rPr>
        <w:t>trabalh</w:t>
      </w:r>
      <w:r w:rsidRPr="00D5464D">
        <w:rPr>
          <w:rFonts w:cs="Arial"/>
          <w:iCs/>
          <w:szCs w:val="20"/>
          <w:lang w:val="pt-BR"/>
        </w:rPr>
        <w:t xml:space="preserve">ador </w:t>
      </w:r>
      <w:r w:rsidR="0090341D" w:rsidRPr="00D5464D">
        <w:rPr>
          <w:rFonts w:cs="Arial"/>
          <w:iCs/>
          <w:szCs w:val="20"/>
          <w:lang w:val="pt-BR"/>
        </w:rPr>
        <w:t>resgatado</w:t>
      </w:r>
      <w:r w:rsidR="00E045D9" w:rsidRPr="00D5464D">
        <w:rPr>
          <w:rFonts w:cs="Arial"/>
          <w:iCs/>
          <w:szCs w:val="20"/>
          <w:lang w:val="pt-BR"/>
        </w:rPr>
        <w:t xml:space="preserve"> na </w:t>
      </w:r>
      <w:r w:rsidRPr="00D5464D">
        <w:rPr>
          <w:rFonts w:cs="Arial"/>
          <w:iCs/>
          <w:szCs w:val="20"/>
          <w:lang w:val="pt-BR"/>
        </w:rPr>
        <w:t>fiscaliza</w:t>
      </w:r>
      <w:r w:rsidR="00470ADC" w:rsidRPr="00D5464D">
        <w:rPr>
          <w:rFonts w:cs="Arial"/>
          <w:iCs/>
          <w:szCs w:val="20"/>
          <w:lang w:val="pt-BR"/>
        </w:rPr>
        <w:t>ção</w:t>
      </w:r>
      <w:r w:rsidRPr="00D5464D">
        <w:rPr>
          <w:rFonts w:cs="Arial"/>
          <w:iCs/>
          <w:szCs w:val="20"/>
          <w:lang w:val="pt-BR"/>
        </w:rPr>
        <w:t xml:space="preserve"> de 1996 </w:t>
      </w:r>
      <w:r w:rsidR="00C91CB1" w:rsidRPr="00D5464D">
        <w:rPr>
          <w:rFonts w:cs="Arial"/>
          <w:iCs/>
          <w:szCs w:val="20"/>
          <w:lang w:val="pt-BR"/>
        </w:rPr>
        <w:t>a título de</w:t>
      </w:r>
      <w:r w:rsidRPr="00D5464D">
        <w:rPr>
          <w:rFonts w:cs="Arial"/>
          <w:iCs/>
          <w:szCs w:val="20"/>
          <w:lang w:val="pt-BR"/>
        </w:rPr>
        <w:t xml:space="preserve"> </w:t>
      </w:r>
      <w:r w:rsidR="002C330E" w:rsidRPr="00D5464D">
        <w:rPr>
          <w:rFonts w:cs="Arial"/>
          <w:iCs/>
          <w:szCs w:val="20"/>
          <w:lang w:val="pt-BR"/>
        </w:rPr>
        <w:t>indenização</w:t>
      </w:r>
      <w:r w:rsidRPr="00D5464D">
        <w:rPr>
          <w:rFonts w:cs="Arial"/>
          <w:iCs/>
          <w:szCs w:val="20"/>
          <w:lang w:val="pt-BR"/>
        </w:rPr>
        <w:t xml:space="preserve"> </w:t>
      </w:r>
      <w:r w:rsidR="00833B64" w:rsidRPr="00D5464D">
        <w:rPr>
          <w:rFonts w:cs="Arial"/>
          <w:iCs/>
          <w:szCs w:val="20"/>
          <w:lang w:val="pt-BR"/>
        </w:rPr>
        <w:t>pelo</w:t>
      </w:r>
      <w:r w:rsidR="00470ADC" w:rsidRPr="00D5464D">
        <w:rPr>
          <w:rFonts w:cs="Arial"/>
          <w:iCs/>
          <w:szCs w:val="20"/>
          <w:lang w:val="pt-BR"/>
        </w:rPr>
        <w:t xml:space="preserve"> dano</w:t>
      </w:r>
      <w:r w:rsidRPr="00D5464D">
        <w:rPr>
          <w:rFonts w:cs="Arial"/>
          <w:iCs/>
          <w:szCs w:val="20"/>
          <w:lang w:val="pt-BR"/>
        </w:rPr>
        <w:t xml:space="preserve"> moral </w:t>
      </w:r>
      <w:r w:rsidR="00737270" w:rsidRPr="00D5464D">
        <w:rPr>
          <w:rFonts w:cs="Arial"/>
          <w:iCs/>
          <w:szCs w:val="20"/>
          <w:lang w:val="pt-BR"/>
        </w:rPr>
        <w:t>sofr</w:t>
      </w:r>
      <w:r w:rsidRPr="00D5464D">
        <w:rPr>
          <w:rFonts w:cs="Arial"/>
          <w:iCs/>
          <w:szCs w:val="20"/>
          <w:lang w:val="pt-BR"/>
        </w:rPr>
        <w:t>ido</w:t>
      </w:r>
      <w:r w:rsidR="00C91CB1" w:rsidRPr="00D5464D">
        <w:rPr>
          <w:rFonts w:cs="Arial"/>
          <w:iCs/>
          <w:szCs w:val="20"/>
          <w:lang w:val="pt-BR"/>
        </w:rPr>
        <w:t xml:space="preserve">. No </w:t>
      </w:r>
      <w:r w:rsidR="002C330E" w:rsidRPr="00D5464D">
        <w:rPr>
          <w:rFonts w:cs="Arial"/>
          <w:iCs/>
          <w:szCs w:val="20"/>
          <w:lang w:val="pt-BR"/>
        </w:rPr>
        <w:t>mesm</w:t>
      </w:r>
      <w:r w:rsidRPr="00D5464D">
        <w:rPr>
          <w:rFonts w:cs="Arial"/>
          <w:iCs/>
          <w:szCs w:val="20"/>
          <w:lang w:val="pt-BR"/>
        </w:rPr>
        <w:t xml:space="preserve">o escrito </w:t>
      </w:r>
      <w:r w:rsidR="00E045D9" w:rsidRPr="00D5464D">
        <w:rPr>
          <w:rFonts w:cs="Arial"/>
          <w:iCs/>
          <w:szCs w:val="20"/>
          <w:lang w:val="pt-BR"/>
        </w:rPr>
        <w:t>também</w:t>
      </w:r>
      <w:r w:rsidRPr="00D5464D">
        <w:rPr>
          <w:rFonts w:cs="Arial"/>
          <w:iCs/>
          <w:szCs w:val="20"/>
          <w:lang w:val="pt-BR"/>
        </w:rPr>
        <w:t xml:space="preserve"> </w:t>
      </w:r>
      <w:r w:rsidR="002C330E" w:rsidRPr="00D5464D">
        <w:rPr>
          <w:rFonts w:cs="Arial"/>
          <w:iCs/>
          <w:szCs w:val="20"/>
          <w:lang w:val="pt-BR"/>
        </w:rPr>
        <w:t>solicitaram</w:t>
      </w:r>
      <w:r w:rsidR="00E045D9" w:rsidRPr="00D5464D">
        <w:rPr>
          <w:rFonts w:cs="Arial"/>
          <w:iCs/>
          <w:szCs w:val="20"/>
          <w:lang w:val="pt-BR"/>
        </w:rPr>
        <w:t xml:space="preserve"> uma </w:t>
      </w:r>
      <w:r w:rsidR="002C330E" w:rsidRPr="00D5464D">
        <w:rPr>
          <w:rFonts w:cs="Arial"/>
          <w:iCs/>
          <w:szCs w:val="20"/>
          <w:lang w:val="pt-BR"/>
        </w:rPr>
        <w:t>indenização</w:t>
      </w:r>
      <w:r w:rsidRPr="00D5464D">
        <w:rPr>
          <w:rFonts w:cs="Arial"/>
          <w:iCs/>
          <w:szCs w:val="20"/>
          <w:lang w:val="pt-BR"/>
        </w:rPr>
        <w:t xml:space="preserve"> </w:t>
      </w:r>
      <w:r w:rsidR="00833B64" w:rsidRPr="00D5464D">
        <w:rPr>
          <w:rFonts w:cs="Arial"/>
          <w:iCs/>
          <w:szCs w:val="20"/>
          <w:lang w:val="pt-BR"/>
        </w:rPr>
        <w:t>por</w:t>
      </w:r>
      <w:r w:rsidR="00470ADC" w:rsidRPr="00D5464D">
        <w:rPr>
          <w:rFonts w:cs="Arial"/>
          <w:iCs/>
          <w:szCs w:val="20"/>
          <w:lang w:val="pt-BR"/>
        </w:rPr>
        <w:t xml:space="preserve"> dano</w:t>
      </w:r>
      <w:r w:rsidRPr="00D5464D">
        <w:rPr>
          <w:rFonts w:cs="Arial"/>
          <w:iCs/>
          <w:szCs w:val="20"/>
          <w:lang w:val="pt-BR"/>
        </w:rPr>
        <w:t xml:space="preserve"> moral</w:t>
      </w:r>
      <w:r w:rsidR="002C330E" w:rsidRPr="00D5464D">
        <w:rPr>
          <w:rFonts w:cs="Arial"/>
          <w:iCs/>
          <w:szCs w:val="20"/>
          <w:lang w:val="pt-BR"/>
        </w:rPr>
        <w:t xml:space="preserve"> pel</w:t>
      </w:r>
      <w:r w:rsidR="00E045D9" w:rsidRPr="00D5464D">
        <w:rPr>
          <w:rFonts w:cs="Arial"/>
          <w:iCs/>
          <w:szCs w:val="20"/>
          <w:lang w:val="pt-BR"/>
        </w:rPr>
        <w:t>o desaparecimento forçado</w:t>
      </w:r>
      <w:r w:rsidRPr="00D5464D">
        <w:rPr>
          <w:rFonts w:cs="Arial"/>
          <w:iCs/>
          <w:szCs w:val="20"/>
          <w:lang w:val="pt-BR"/>
        </w:rPr>
        <w:t xml:space="preserve"> de </w:t>
      </w:r>
      <w:r w:rsidR="00200C04" w:rsidRPr="00D5464D">
        <w:rPr>
          <w:rFonts w:cs="Arial"/>
          <w:iCs/>
          <w:szCs w:val="20"/>
          <w:lang w:val="pt-BR"/>
        </w:rPr>
        <w:t xml:space="preserve">Luis Ferreira </w:t>
      </w:r>
      <w:r w:rsidR="00701BB2" w:rsidRPr="00D5464D">
        <w:rPr>
          <w:rFonts w:cs="Arial"/>
          <w:iCs/>
          <w:szCs w:val="20"/>
          <w:lang w:val="pt-BR"/>
        </w:rPr>
        <w:t>da Cruz</w:t>
      </w:r>
      <w:r w:rsidRPr="00D5464D">
        <w:rPr>
          <w:rFonts w:cs="Arial"/>
          <w:iCs/>
          <w:szCs w:val="20"/>
          <w:lang w:val="pt-BR"/>
        </w:rPr>
        <w:t>.</w:t>
      </w:r>
    </w:p>
    <w:p w14:paraId="6E9B3039" w14:textId="77777777" w:rsidR="00E94DEB" w:rsidRPr="00D5464D" w:rsidRDefault="00E94DEB" w:rsidP="00E94DEB">
      <w:pPr>
        <w:pStyle w:val="Prrafodelista"/>
        <w:autoSpaceDE w:val="0"/>
        <w:autoSpaceDN w:val="0"/>
        <w:adjustRightInd w:val="0"/>
        <w:ind w:left="0"/>
        <w:rPr>
          <w:rFonts w:cs="Arial"/>
          <w:iCs/>
          <w:szCs w:val="20"/>
          <w:lang w:val="pt-BR"/>
        </w:rPr>
      </w:pPr>
    </w:p>
    <w:p w14:paraId="21E3C7BE" w14:textId="440DDDB1" w:rsidR="004B0842" w:rsidRPr="00D5464D" w:rsidRDefault="00470ADC"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O </w:t>
      </w:r>
      <w:r w:rsidR="004B0842" w:rsidRPr="00D5464D">
        <w:rPr>
          <w:rFonts w:cs="Arial"/>
          <w:b/>
          <w:i/>
          <w:iCs/>
          <w:szCs w:val="20"/>
          <w:lang w:val="pt-BR"/>
        </w:rPr>
        <w:t>Estado</w:t>
      </w:r>
      <w:r w:rsidR="004B0842" w:rsidRPr="00D5464D">
        <w:rPr>
          <w:rFonts w:cs="Arial"/>
          <w:iCs/>
          <w:szCs w:val="20"/>
          <w:lang w:val="pt-BR"/>
        </w:rPr>
        <w:t xml:space="preserve"> </w:t>
      </w:r>
      <w:r w:rsidRPr="00D5464D">
        <w:rPr>
          <w:rFonts w:cs="Arial"/>
          <w:iCs/>
          <w:szCs w:val="20"/>
          <w:lang w:val="pt-BR"/>
        </w:rPr>
        <w:t>argumentou</w:t>
      </w:r>
      <w:r w:rsidR="003A3C64" w:rsidRPr="00D5464D">
        <w:rPr>
          <w:rFonts w:cs="Arial"/>
          <w:iCs/>
          <w:szCs w:val="20"/>
          <w:lang w:val="pt-BR"/>
        </w:rPr>
        <w:t>,</w:t>
      </w:r>
      <w:r w:rsidRPr="00D5464D">
        <w:rPr>
          <w:rFonts w:cs="Arial"/>
          <w:iCs/>
          <w:szCs w:val="20"/>
          <w:lang w:val="pt-BR"/>
        </w:rPr>
        <w:t xml:space="preserve"> em </w:t>
      </w:r>
      <w:r w:rsidR="00E045D9" w:rsidRPr="00D5464D">
        <w:rPr>
          <w:rFonts w:cs="Arial"/>
          <w:iCs/>
          <w:szCs w:val="20"/>
          <w:lang w:val="pt-BR"/>
        </w:rPr>
        <w:t>termo</w:t>
      </w:r>
      <w:r w:rsidR="004B0842" w:rsidRPr="00D5464D">
        <w:rPr>
          <w:rFonts w:cs="Arial"/>
          <w:iCs/>
          <w:szCs w:val="20"/>
          <w:lang w:val="pt-BR"/>
        </w:rPr>
        <w:t xml:space="preserve">s </w:t>
      </w:r>
      <w:r w:rsidR="002C330E" w:rsidRPr="00D5464D">
        <w:rPr>
          <w:rFonts w:cs="Arial"/>
          <w:iCs/>
          <w:szCs w:val="20"/>
          <w:lang w:val="pt-BR"/>
        </w:rPr>
        <w:t>gerais</w:t>
      </w:r>
      <w:r w:rsidR="003A3C64" w:rsidRPr="00D5464D">
        <w:rPr>
          <w:rFonts w:cs="Arial"/>
          <w:iCs/>
          <w:szCs w:val="20"/>
          <w:lang w:val="pt-BR"/>
        </w:rPr>
        <w:t>,</w:t>
      </w:r>
      <w:r w:rsidR="004B0842" w:rsidRPr="00D5464D">
        <w:rPr>
          <w:rFonts w:cs="Arial"/>
          <w:iCs/>
          <w:szCs w:val="20"/>
          <w:lang w:val="pt-BR"/>
        </w:rPr>
        <w:t xml:space="preserve"> que </w:t>
      </w:r>
      <w:r w:rsidR="002C330E" w:rsidRPr="00D5464D">
        <w:rPr>
          <w:rFonts w:cs="Arial"/>
          <w:iCs/>
          <w:szCs w:val="20"/>
          <w:lang w:val="pt-BR"/>
        </w:rPr>
        <w:t>não possui obrigação</w:t>
      </w:r>
      <w:r w:rsidR="004B0842" w:rsidRPr="00D5464D">
        <w:rPr>
          <w:rFonts w:cs="Arial"/>
          <w:iCs/>
          <w:szCs w:val="20"/>
          <w:lang w:val="pt-BR"/>
        </w:rPr>
        <w:t xml:space="preserve"> de </w:t>
      </w:r>
      <w:r w:rsidR="00230C71" w:rsidRPr="00D5464D">
        <w:rPr>
          <w:rFonts w:cs="Arial"/>
          <w:iCs/>
          <w:szCs w:val="20"/>
          <w:lang w:val="pt-BR"/>
        </w:rPr>
        <w:t>indeniz</w:t>
      </w:r>
      <w:r w:rsidR="004B0842" w:rsidRPr="00D5464D">
        <w:rPr>
          <w:rFonts w:cs="Arial"/>
          <w:iCs/>
          <w:szCs w:val="20"/>
          <w:lang w:val="pt-BR"/>
        </w:rPr>
        <w:t>ar</w:t>
      </w:r>
      <w:r w:rsidRPr="00D5464D">
        <w:rPr>
          <w:rFonts w:cs="Arial"/>
          <w:iCs/>
          <w:szCs w:val="20"/>
          <w:lang w:val="pt-BR"/>
        </w:rPr>
        <w:t xml:space="preserve"> o dano</w:t>
      </w:r>
      <w:r w:rsidR="004B0842" w:rsidRPr="00D5464D">
        <w:rPr>
          <w:rFonts w:cs="Arial"/>
          <w:iCs/>
          <w:szCs w:val="20"/>
          <w:lang w:val="pt-BR"/>
        </w:rPr>
        <w:t xml:space="preserve"> moral</w:t>
      </w:r>
      <w:r w:rsidR="00833B64" w:rsidRPr="00D5464D">
        <w:rPr>
          <w:rFonts w:cs="Arial"/>
          <w:iCs/>
          <w:szCs w:val="20"/>
          <w:lang w:val="pt-BR"/>
        </w:rPr>
        <w:t>,</w:t>
      </w:r>
      <w:r w:rsidR="002C330E" w:rsidRPr="00D5464D">
        <w:rPr>
          <w:rFonts w:cs="Arial"/>
          <w:iCs/>
          <w:szCs w:val="20"/>
          <w:lang w:val="pt-BR"/>
        </w:rPr>
        <w:t xml:space="preserve"> pois as </w:t>
      </w:r>
      <w:r w:rsidR="004B0842" w:rsidRPr="00D5464D">
        <w:rPr>
          <w:rFonts w:cs="Arial"/>
          <w:iCs/>
          <w:szCs w:val="20"/>
          <w:lang w:val="pt-BR"/>
        </w:rPr>
        <w:t>su</w:t>
      </w:r>
      <w:r w:rsidR="002C330E" w:rsidRPr="00D5464D">
        <w:rPr>
          <w:rFonts w:cs="Arial"/>
          <w:iCs/>
          <w:szCs w:val="20"/>
          <w:lang w:val="pt-BR"/>
        </w:rPr>
        <w:t>posta</w:t>
      </w:r>
      <w:r w:rsidR="004B0842" w:rsidRPr="00D5464D">
        <w:rPr>
          <w:rFonts w:cs="Arial"/>
          <w:iCs/>
          <w:szCs w:val="20"/>
          <w:lang w:val="pt-BR"/>
        </w:rPr>
        <w:t>s viola</w:t>
      </w:r>
      <w:r w:rsidRPr="00D5464D">
        <w:rPr>
          <w:rFonts w:cs="Arial"/>
          <w:iCs/>
          <w:szCs w:val="20"/>
          <w:lang w:val="pt-BR"/>
        </w:rPr>
        <w:t>ções</w:t>
      </w:r>
      <w:r w:rsidR="004B0842" w:rsidRPr="00D5464D">
        <w:rPr>
          <w:rFonts w:cs="Arial"/>
          <w:iCs/>
          <w:szCs w:val="20"/>
          <w:lang w:val="pt-BR"/>
        </w:rPr>
        <w:t xml:space="preserve"> de </w:t>
      </w:r>
      <w:r w:rsidRPr="00D5464D">
        <w:rPr>
          <w:rFonts w:cs="Arial"/>
          <w:iCs/>
          <w:szCs w:val="20"/>
          <w:lang w:val="pt-BR"/>
        </w:rPr>
        <w:t>direito</w:t>
      </w:r>
      <w:r w:rsidR="004B0842" w:rsidRPr="00D5464D">
        <w:rPr>
          <w:rFonts w:cs="Arial"/>
          <w:iCs/>
          <w:szCs w:val="20"/>
          <w:lang w:val="pt-BR"/>
        </w:rPr>
        <w:t xml:space="preserve">s </w:t>
      </w:r>
      <w:r w:rsidRPr="00D5464D">
        <w:rPr>
          <w:rFonts w:cs="Arial"/>
          <w:iCs/>
          <w:szCs w:val="20"/>
          <w:lang w:val="pt-BR"/>
        </w:rPr>
        <w:t>foram</w:t>
      </w:r>
      <w:r w:rsidR="004B0842" w:rsidRPr="00D5464D">
        <w:rPr>
          <w:rFonts w:cs="Arial"/>
          <w:iCs/>
          <w:szCs w:val="20"/>
          <w:lang w:val="pt-BR"/>
        </w:rPr>
        <w:t xml:space="preserve"> realizadas por particulares</w:t>
      </w:r>
      <w:r w:rsidR="00E045D9" w:rsidRPr="00D5464D">
        <w:rPr>
          <w:rFonts w:cs="Arial"/>
          <w:iCs/>
          <w:szCs w:val="20"/>
          <w:lang w:val="pt-BR"/>
        </w:rPr>
        <w:t xml:space="preserve"> e </w:t>
      </w:r>
      <w:r w:rsidR="004B0842" w:rsidRPr="00D5464D">
        <w:rPr>
          <w:rFonts w:cs="Arial"/>
          <w:iCs/>
          <w:szCs w:val="20"/>
          <w:lang w:val="pt-BR"/>
        </w:rPr>
        <w:t>n</w:t>
      </w:r>
      <w:r w:rsidR="00833B64" w:rsidRPr="00D5464D">
        <w:rPr>
          <w:rFonts w:cs="Arial"/>
          <w:iCs/>
          <w:szCs w:val="20"/>
          <w:lang w:val="pt-BR"/>
        </w:rPr>
        <w:t>ã</w:t>
      </w:r>
      <w:r w:rsidR="004B0842" w:rsidRPr="00D5464D">
        <w:rPr>
          <w:rFonts w:cs="Arial"/>
          <w:iCs/>
          <w:szCs w:val="20"/>
          <w:lang w:val="pt-BR"/>
        </w:rPr>
        <w:t>o</w:t>
      </w:r>
      <w:r w:rsidR="002C330E" w:rsidRPr="00D5464D">
        <w:rPr>
          <w:rFonts w:cs="Arial"/>
          <w:iCs/>
          <w:szCs w:val="20"/>
          <w:lang w:val="pt-BR"/>
        </w:rPr>
        <w:t xml:space="preserve"> pelo </w:t>
      </w:r>
      <w:r w:rsidR="004B0842" w:rsidRPr="00D5464D">
        <w:rPr>
          <w:rFonts w:cs="Arial"/>
          <w:iCs/>
          <w:szCs w:val="20"/>
          <w:lang w:val="pt-BR"/>
        </w:rPr>
        <w:t>Estado</w:t>
      </w:r>
      <w:r w:rsidR="00737270" w:rsidRPr="00D5464D">
        <w:rPr>
          <w:rFonts w:cs="Arial"/>
          <w:iCs/>
          <w:szCs w:val="20"/>
          <w:lang w:val="pt-BR"/>
        </w:rPr>
        <w:t xml:space="preserve">. Desta </w:t>
      </w:r>
      <w:r w:rsidR="002C330E" w:rsidRPr="00D5464D">
        <w:rPr>
          <w:rFonts w:cs="Arial"/>
          <w:iCs/>
          <w:szCs w:val="20"/>
          <w:lang w:val="pt-BR"/>
        </w:rPr>
        <w:t>maneira</w:t>
      </w:r>
      <w:r w:rsidR="003A3C64" w:rsidRPr="00D5464D">
        <w:rPr>
          <w:rFonts w:cs="Arial"/>
          <w:iCs/>
          <w:szCs w:val="20"/>
          <w:lang w:val="pt-BR"/>
        </w:rPr>
        <w:t>,</w:t>
      </w:r>
      <w:r w:rsidR="004B0842" w:rsidRPr="00D5464D">
        <w:rPr>
          <w:rFonts w:cs="Arial"/>
          <w:iCs/>
          <w:szCs w:val="20"/>
          <w:lang w:val="pt-BR"/>
        </w:rPr>
        <w:t xml:space="preserve"> n</w:t>
      </w:r>
      <w:r w:rsidR="00833B64" w:rsidRPr="00D5464D">
        <w:rPr>
          <w:rFonts w:cs="Arial"/>
          <w:iCs/>
          <w:szCs w:val="20"/>
          <w:lang w:val="pt-BR"/>
        </w:rPr>
        <w:t>ã</w:t>
      </w:r>
      <w:r w:rsidR="004B0842" w:rsidRPr="00D5464D">
        <w:rPr>
          <w:rFonts w:cs="Arial"/>
          <w:iCs/>
          <w:szCs w:val="20"/>
          <w:lang w:val="pt-BR"/>
        </w:rPr>
        <w:t xml:space="preserve">o </w:t>
      </w:r>
      <w:r w:rsidR="00737270" w:rsidRPr="00D5464D">
        <w:rPr>
          <w:rFonts w:cs="Arial"/>
          <w:iCs/>
          <w:szCs w:val="20"/>
          <w:lang w:val="pt-BR"/>
        </w:rPr>
        <w:t>existiria</w:t>
      </w:r>
      <w:r w:rsidR="00E045D9" w:rsidRPr="00D5464D">
        <w:rPr>
          <w:rFonts w:cs="Arial"/>
          <w:iCs/>
          <w:szCs w:val="20"/>
          <w:lang w:val="pt-BR"/>
        </w:rPr>
        <w:t xml:space="preserve"> um </w:t>
      </w:r>
      <w:r w:rsidR="004B0842" w:rsidRPr="00D5464D">
        <w:rPr>
          <w:rFonts w:cs="Arial"/>
          <w:iCs/>
          <w:szCs w:val="20"/>
          <w:lang w:val="pt-BR"/>
        </w:rPr>
        <w:t>nexo causal entre</w:t>
      </w:r>
      <w:r w:rsidR="002C330E" w:rsidRPr="00D5464D">
        <w:rPr>
          <w:rFonts w:cs="Arial"/>
          <w:iCs/>
          <w:szCs w:val="20"/>
          <w:lang w:val="pt-BR"/>
        </w:rPr>
        <w:t xml:space="preserve"> os </w:t>
      </w:r>
      <w:r w:rsidR="004B0842" w:rsidRPr="00D5464D">
        <w:rPr>
          <w:rFonts w:cs="Arial"/>
          <w:iCs/>
          <w:szCs w:val="20"/>
          <w:lang w:val="pt-BR"/>
        </w:rPr>
        <w:t>d</w:t>
      </w:r>
      <w:r w:rsidRPr="00D5464D">
        <w:rPr>
          <w:rFonts w:cs="Arial"/>
          <w:iCs/>
          <w:szCs w:val="20"/>
          <w:lang w:val="pt-BR"/>
        </w:rPr>
        <w:t>anos</w:t>
      </w:r>
      <w:r w:rsidR="004B0842" w:rsidRPr="00D5464D">
        <w:rPr>
          <w:rFonts w:cs="Arial"/>
          <w:iCs/>
          <w:szCs w:val="20"/>
          <w:lang w:val="pt-BR"/>
        </w:rPr>
        <w:t xml:space="preserve"> alegados</w:t>
      </w:r>
      <w:r w:rsidR="00E045D9" w:rsidRPr="00D5464D">
        <w:rPr>
          <w:rFonts w:cs="Arial"/>
          <w:iCs/>
          <w:szCs w:val="20"/>
          <w:lang w:val="pt-BR"/>
        </w:rPr>
        <w:t xml:space="preserve"> e </w:t>
      </w:r>
      <w:r w:rsidR="002C330E" w:rsidRPr="00D5464D">
        <w:rPr>
          <w:rFonts w:cs="Arial"/>
          <w:iCs/>
          <w:szCs w:val="20"/>
          <w:lang w:val="pt-BR"/>
        </w:rPr>
        <w:t xml:space="preserve">a </w:t>
      </w:r>
      <w:r w:rsidRPr="00D5464D">
        <w:rPr>
          <w:rFonts w:cs="Arial"/>
          <w:iCs/>
          <w:szCs w:val="20"/>
          <w:lang w:val="pt-BR"/>
        </w:rPr>
        <w:t>conduta</w:t>
      </w:r>
      <w:r w:rsidR="004B0842" w:rsidRPr="00D5464D">
        <w:rPr>
          <w:rFonts w:cs="Arial"/>
          <w:iCs/>
          <w:szCs w:val="20"/>
          <w:lang w:val="pt-BR"/>
        </w:rPr>
        <w:t xml:space="preserve"> </w:t>
      </w:r>
      <w:r w:rsidRPr="00D5464D">
        <w:rPr>
          <w:rFonts w:cs="Arial"/>
          <w:iCs/>
          <w:szCs w:val="20"/>
          <w:lang w:val="pt-BR"/>
        </w:rPr>
        <w:t xml:space="preserve">do </w:t>
      </w:r>
      <w:r w:rsidR="004B0842" w:rsidRPr="00D5464D">
        <w:rPr>
          <w:rFonts w:cs="Arial"/>
          <w:iCs/>
          <w:szCs w:val="20"/>
          <w:lang w:val="pt-BR"/>
        </w:rPr>
        <w:t xml:space="preserve">Estado. </w:t>
      </w:r>
      <w:r w:rsidR="00230C71" w:rsidRPr="00D5464D">
        <w:rPr>
          <w:rFonts w:cs="Arial"/>
          <w:iCs/>
          <w:szCs w:val="20"/>
          <w:lang w:val="pt-BR"/>
        </w:rPr>
        <w:t>Acrescentou</w:t>
      </w:r>
      <w:r w:rsidR="004B0842" w:rsidRPr="00D5464D">
        <w:rPr>
          <w:rFonts w:cs="Arial"/>
          <w:iCs/>
          <w:szCs w:val="20"/>
          <w:lang w:val="pt-BR"/>
        </w:rPr>
        <w:t xml:space="preserve"> que</w:t>
      </w:r>
      <w:r w:rsidR="003A3C64" w:rsidRPr="00D5464D">
        <w:rPr>
          <w:rFonts w:cs="Arial"/>
          <w:iCs/>
          <w:szCs w:val="20"/>
          <w:lang w:val="pt-BR"/>
        </w:rPr>
        <w:t>,</w:t>
      </w:r>
      <w:r w:rsidRPr="00D5464D">
        <w:rPr>
          <w:rFonts w:cs="Arial"/>
          <w:iCs/>
          <w:szCs w:val="20"/>
          <w:lang w:val="pt-BR"/>
        </w:rPr>
        <w:t xml:space="preserve"> em </w:t>
      </w:r>
      <w:r w:rsidR="004B0842" w:rsidRPr="00D5464D">
        <w:rPr>
          <w:rFonts w:cs="Arial"/>
          <w:iCs/>
          <w:szCs w:val="20"/>
          <w:lang w:val="pt-BR"/>
        </w:rPr>
        <w:t>caso de viola</w:t>
      </w:r>
      <w:r w:rsidRPr="00D5464D">
        <w:rPr>
          <w:rFonts w:cs="Arial"/>
          <w:iCs/>
          <w:szCs w:val="20"/>
          <w:lang w:val="pt-BR"/>
        </w:rPr>
        <w:t>ções</w:t>
      </w:r>
      <w:r w:rsidR="00E045D9" w:rsidRPr="00D5464D">
        <w:rPr>
          <w:rFonts w:cs="Arial"/>
          <w:iCs/>
          <w:szCs w:val="20"/>
          <w:lang w:val="pt-BR"/>
        </w:rPr>
        <w:t xml:space="preserve"> aos </w:t>
      </w:r>
      <w:r w:rsidRPr="00D5464D">
        <w:rPr>
          <w:rFonts w:cs="Arial"/>
          <w:iCs/>
          <w:szCs w:val="20"/>
          <w:lang w:val="pt-BR"/>
        </w:rPr>
        <w:t>artigo</w:t>
      </w:r>
      <w:r w:rsidR="004B0842" w:rsidRPr="00D5464D">
        <w:rPr>
          <w:rFonts w:cs="Arial"/>
          <w:iCs/>
          <w:szCs w:val="20"/>
          <w:lang w:val="pt-BR"/>
        </w:rPr>
        <w:t>s 8</w:t>
      </w:r>
      <w:r w:rsidR="00E045D9" w:rsidRPr="00D5464D">
        <w:rPr>
          <w:rFonts w:cs="Arial"/>
          <w:iCs/>
          <w:szCs w:val="20"/>
          <w:lang w:val="pt-BR"/>
        </w:rPr>
        <w:t xml:space="preserve"> e </w:t>
      </w:r>
      <w:r w:rsidR="004B0842" w:rsidRPr="00D5464D">
        <w:rPr>
          <w:rFonts w:cs="Arial"/>
          <w:iCs/>
          <w:szCs w:val="20"/>
          <w:lang w:val="pt-BR"/>
        </w:rPr>
        <w:t>25</w:t>
      </w:r>
      <w:r w:rsidRPr="00D5464D">
        <w:rPr>
          <w:rFonts w:cs="Arial"/>
          <w:iCs/>
          <w:szCs w:val="20"/>
          <w:lang w:val="pt-BR"/>
        </w:rPr>
        <w:t xml:space="preserve"> da </w:t>
      </w:r>
      <w:r w:rsidR="004B0842" w:rsidRPr="00D5464D">
        <w:rPr>
          <w:rFonts w:cs="Arial"/>
          <w:iCs/>
          <w:szCs w:val="20"/>
          <w:lang w:val="pt-BR"/>
        </w:rPr>
        <w:t>Conven</w:t>
      </w:r>
      <w:r w:rsidRPr="00D5464D">
        <w:rPr>
          <w:rFonts w:cs="Arial"/>
          <w:iCs/>
          <w:szCs w:val="20"/>
          <w:lang w:val="pt-BR"/>
        </w:rPr>
        <w:t>ção</w:t>
      </w:r>
      <w:r w:rsidR="004B0842" w:rsidRPr="00D5464D">
        <w:rPr>
          <w:rFonts w:cs="Arial"/>
          <w:iCs/>
          <w:szCs w:val="20"/>
          <w:lang w:val="pt-BR"/>
        </w:rPr>
        <w:t xml:space="preserve"> Americana</w:t>
      </w:r>
      <w:r w:rsidR="003A3C64" w:rsidRPr="00D5464D">
        <w:rPr>
          <w:rFonts w:cs="Arial"/>
          <w:iCs/>
          <w:szCs w:val="20"/>
          <w:lang w:val="pt-BR"/>
        </w:rPr>
        <w:t>,</w:t>
      </w:r>
      <w:r w:rsidR="002C330E" w:rsidRPr="00D5464D">
        <w:rPr>
          <w:rFonts w:cs="Arial"/>
          <w:iCs/>
          <w:szCs w:val="20"/>
          <w:lang w:val="pt-BR"/>
        </w:rPr>
        <w:t xml:space="preserve"> a </w:t>
      </w:r>
      <w:r w:rsidR="004B0842" w:rsidRPr="00D5464D">
        <w:rPr>
          <w:rFonts w:cs="Arial"/>
          <w:iCs/>
          <w:szCs w:val="20"/>
          <w:lang w:val="pt-BR"/>
        </w:rPr>
        <w:t xml:space="preserve">eventual </w:t>
      </w:r>
      <w:r w:rsidR="002C330E" w:rsidRPr="00D5464D">
        <w:rPr>
          <w:rFonts w:cs="Arial"/>
          <w:iCs/>
          <w:szCs w:val="20"/>
          <w:lang w:val="pt-BR"/>
        </w:rPr>
        <w:t>sentença</w:t>
      </w:r>
      <w:r w:rsidRPr="00D5464D">
        <w:rPr>
          <w:rFonts w:cs="Arial"/>
          <w:iCs/>
          <w:szCs w:val="20"/>
          <w:lang w:val="pt-BR"/>
        </w:rPr>
        <w:t xml:space="preserve"> é</w:t>
      </w:r>
      <w:r w:rsidR="00833B64" w:rsidRPr="00D5464D">
        <w:rPr>
          <w:rFonts w:cs="Arial"/>
          <w:iCs/>
          <w:szCs w:val="20"/>
          <w:lang w:val="pt-BR"/>
        </w:rPr>
        <w:t>,</w:t>
      </w:r>
      <w:r w:rsidRPr="00D5464D">
        <w:rPr>
          <w:rFonts w:cs="Arial"/>
          <w:iCs/>
          <w:szCs w:val="20"/>
          <w:lang w:val="pt-BR"/>
        </w:rPr>
        <w:t xml:space="preserve"> em </w:t>
      </w:r>
      <w:r w:rsidR="002C330E" w:rsidRPr="00D5464D">
        <w:rPr>
          <w:rFonts w:cs="Arial"/>
          <w:iCs/>
          <w:szCs w:val="20"/>
          <w:lang w:val="pt-BR"/>
        </w:rPr>
        <w:t>si mesm</w:t>
      </w:r>
      <w:r w:rsidR="004B0842" w:rsidRPr="00D5464D">
        <w:rPr>
          <w:rFonts w:cs="Arial"/>
          <w:iCs/>
          <w:szCs w:val="20"/>
          <w:lang w:val="pt-BR"/>
        </w:rPr>
        <w:t>a</w:t>
      </w:r>
      <w:r w:rsidR="00833B64" w:rsidRPr="00D5464D">
        <w:rPr>
          <w:rFonts w:cs="Arial"/>
          <w:iCs/>
          <w:szCs w:val="20"/>
          <w:lang w:val="pt-BR"/>
        </w:rPr>
        <w:t>, uma</w:t>
      </w:r>
      <w:r w:rsidR="004B0842" w:rsidRPr="00D5464D">
        <w:rPr>
          <w:rFonts w:cs="Arial"/>
          <w:iCs/>
          <w:szCs w:val="20"/>
          <w:lang w:val="pt-BR"/>
        </w:rPr>
        <w:t xml:space="preserve"> repara</w:t>
      </w:r>
      <w:r w:rsidRPr="00D5464D">
        <w:rPr>
          <w:rFonts w:cs="Arial"/>
          <w:iCs/>
          <w:szCs w:val="20"/>
          <w:lang w:val="pt-BR"/>
        </w:rPr>
        <w:t>ção</w:t>
      </w:r>
      <w:r w:rsidR="004B0842" w:rsidRPr="00D5464D">
        <w:rPr>
          <w:rFonts w:cs="Arial"/>
          <w:iCs/>
          <w:szCs w:val="20"/>
          <w:lang w:val="pt-BR"/>
        </w:rPr>
        <w:t xml:space="preserve"> suficiente.</w:t>
      </w:r>
    </w:p>
    <w:p w14:paraId="6B2D9B8B" w14:textId="77777777" w:rsidR="00E94DEB" w:rsidRPr="00D5464D" w:rsidRDefault="00E94DEB" w:rsidP="00E94DEB">
      <w:pPr>
        <w:pStyle w:val="Prrafodelista"/>
        <w:autoSpaceDE w:val="0"/>
        <w:autoSpaceDN w:val="0"/>
        <w:adjustRightInd w:val="0"/>
        <w:ind w:left="0"/>
        <w:rPr>
          <w:rFonts w:cs="Arial"/>
          <w:iCs/>
          <w:szCs w:val="20"/>
          <w:lang w:val="pt-BR"/>
        </w:rPr>
      </w:pPr>
    </w:p>
    <w:p w14:paraId="544B1C14" w14:textId="4A2DC695" w:rsidR="004B0842" w:rsidRPr="00D5464D" w:rsidRDefault="00470ADC" w:rsidP="00833B64">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A </w:t>
      </w:r>
      <w:r w:rsidR="004B0842" w:rsidRPr="00D5464D">
        <w:rPr>
          <w:rFonts w:cs="Arial"/>
          <w:iCs/>
          <w:szCs w:val="20"/>
          <w:lang w:val="pt-BR"/>
        </w:rPr>
        <w:t xml:space="preserve">Corte </w:t>
      </w:r>
      <w:r w:rsidR="00737270" w:rsidRPr="00D5464D">
        <w:rPr>
          <w:rFonts w:cs="Arial"/>
          <w:iCs/>
          <w:szCs w:val="20"/>
          <w:lang w:val="pt-BR"/>
        </w:rPr>
        <w:t>desenvolveu</w:t>
      </w:r>
      <w:r w:rsidRPr="00D5464D">
        <w:rPr>
          <w:rFonts w:cs="Arial"/>
          <w:iCs/>
          <w:szCs w:val="20"/>
          <w:lang w:val="pt-BR"/>
        </w:rPr>
        <w:t xml:space="preserve"> em </w:t>
      </w:r>
      <w:r w:rsidR="00E045D9" w:rsidRPr="00D5464D">
        <w:rPr>
          <w:rFonts w:cs="Arial"/>
          <w:iCs/>
          <w:szCs w:val="20"/>
          <w:lang w:val="pt-BR"/>
        </w:rPr>
        <w:t>sua jurisprudência</w:t>
      </w:r>
      <w:r w:rsidR="002C330E" w:rsidRPr="00D5464D">
        <w:rPr>
          <w:rFonts w:cs="Arial"/>
          <w:iCs/>
          <w:szCs w:val="20"/>
          <w:lang w:val="pt-BR"/>
        </w:rPr>
        <w:t xml:space="preserve"> </w:t>
      </w:r>
      <w:r w:rsidRPr="00D5464D">
        <w:rPr>
          <w:rFonts w:cs="Arial"/>
          <w:iCs/>
          <w:szCs w:val="20"/>
          <w:lang w:val="pt-BR"/>
        </w:rPr>
        <w:t>o conceito</w:t>
      </w:r>
      <w:r w:rsidR="004B0842" w:rsidRPr="00D5464D">
        <w:rPr>
          <w:rFonts w:cs="Arial"/>
          <w:iCs/>
          <w:szCs w:val="20"/>
          <w:lang w:val="pt-BR"/>
        </w:rPr>
        <w:t xml:space="preserve"> de</w:t>
      </w:r>
      <w:r w:rsidRPr="00D5464D">
        <w:rPr>
          <w:rFonts w:cs="Arial"/>
          <w:iCs/>
          <w:szCs w:val="20"/>
          <w:lang w:val="pt-BR"/>
        </w:rPr>
        <w:t xml:space="preserve"> dano</w:t>
      </w:r>
      <w:r w:rsidR="004B0842" w:rsidRPr="00D5464D">
        <w:rPr>
          <w:rFonts w:cs="Arial"/>
          <w:iCs/>
          <w:szCs w:val="20"/>
          <w:lang w:val="pt-BR"/>
        </w:rPr>
        <w:t xml:space="preserve"> </w:t>
      </w:r>
      <w:r w:rsidR="002C330E" w:rsidRPr="00D5464D">
        <w:rPr>
          <w:rFonts w:cs="Arial"/>
          <w:iCs/>
          <w:szCs w:val="20"/>
          <w:lang w:val="pt-BR"/>
        </w:rPr>
        <w:t>imaterial</w:t>
      </w:r>
      <w:r w:rsidR="00E045D9" w:rsidRPr="00D5464D">
        <w:rPr>
          <w:rFonts w:cs="Arial"/>
          <w:iCs/>
          <w:szCs w:val="20"/>
          <w:lang w:val="pt-BR"/>
        </w:rPr>
        <w:t xml:space="preserve"> e </w:t>
      </w:r>
      <w:r w:rsidR="002C330E" w:rsidRPr="00D5464D">
        <w:rPr>
          <w:rFonts w:cs="Arial"/>
          <w:iCs/>
          <w:szCs w:val="20"/>
          <w:lang w:val="pt-BR"/>
        </w:rPr>
        <w:t>estabeleceu</w:t>
      </w:r>
      <w:r w:rsidR="004B0842" w:rsidRPr="00D5464D">
        <w:rPr>
          <w:rFonts w:cs="Arial"/>
          <w:iCs/>
          <w:szCs w:val="20"/>
          <w:lang w:val="pt-BR"/>
        </w:rPr>
        <w:t xml:space="preserve"> que este “</w:t>
      </w:r>
      <w:r w:rsidR="002C330E" w:rsidRPr="00D5464D">
        <w:rPr>
          <w:rFonts w:cs="Arial"/>
          <w:iCs/>
          <w:szCs w:val="20"/>
          <w:lang w:val="pt-BR"/>
        </w:rPr>
        <w:t>pode</w:t>
      </w:r>
      <w:r w:rsidR="004B0842" w:rsidRPr="00D5464D">
        <w:rPr>
          <w:rFonts w:cs="Arial"/>
          <w:iCs/>
          <w:szCs w:val="20"/>
          <w:lang w:val="pt-BR"/>
        </w:rPr>
        <w:t xml:space="preserve"> </w:t>
      </w:r>
      <w:r w:rsidR="00350187" w:rsidRPr="00D5464D">
        <w:rPr>
          <w:rFonts w:cs="Arial"/>
          <w:iCs/>
          <w:szCs w:val="20"/>
          <w:lang w:val="pt-BR"/>
        </w:rPr>
        <w:t>compreende</w:t>
      </w:r>
      <w:r w:rsidR="004B0842" w:rsidRPr="00D5464D">
        <w:rPr>
          <w:rFonts w:cs="Arial"/>
          <w:iCs/>
          <w:szCs w:val="20"/>
          <w:lang w:val="pt-BR"/>
        </w:rPr>
        <w:t xml:space="preserve">r </w:t>
      </w:r>
      <w:r w:rsidR="00833B64" w:rsidRPr="00D5464D">
        <w:rPr>
          <w:rFonts w:cs="Arial"/>
          <w:iCs/>
          <w:szCs w:val="20"/>
          <w:lang w:val="pt-BR"/>
        </w:rPr>
        <w:t xml:space="preserve">tanto os sofrimentos e as aflições causadas </w:t>
      </w:r>
      <w:r w:rsidR="003606D7" w:rsidRPr="00D5464D">
        <w:rPr>
          <w:rFonts w:cs="Arial"/>
          <w:iCs/>
          <w:szCs w:val="20"/>
          <w:lang w:val="pt-BR"/>
        </w:rPr>
        <w:t xml:space="preserve">pela violação, </w:t>
      </w:r>
      <w:r w:rsidR="00833B64" w:rsidRPr="00D5464D">
        <w:rPr>
          <w:rFonts w:cs="Arial"/>
          <w:iCs/>
          <w:szCs w:val="20"/>
          <w:lang w:val="pt-BR"/>
        </w:rPr>
        <w:t xml:space="preserve">como o menosprezo de valores muito significativos para as pessoas, e </w:t>
      </w:r>
      <w:r w:rsidR="003606D7" w:rsidRPr="00D5464D">
        <w:rPr>
          <w:rFonts w:cs="Arial"/>
          <w:iCs/>
          <w:szCs w:val="20"/>
          <w:lang w:val="pt-BR"/>
        </w:rPr>
        <w:t xml:space="preserve">qualquer alteração, de caráter não </w:t>
      </w:r>
      <w:r w:rsidR="00833B64" w:rsidRPr="00D5464D">
        <w:rPr>
          <w:rFonts w:cs="Arial"/>
          <w:iCs/>
          <w:szCs w:val="20"/>
          <w:lang w:val="pt-BR"/>
        </w:rPr>
        <w:t>pecuniári</w:t>
      </w:r>
      <w:r w:rsidR="003606D7" w:rsidRPr="00D5464D">
        <w:rPr>
          <w:rFonts w:cs="Arial"/>
          <w:iCs/>
          <w:szCs w:val="20"/>
          <w:lang w:val="pt-BR"/>
        </w:rPr>
        <w:t>o</w:t>
      </w:r>
      <w:r w:rsidR="00833B64" w:rsidRPr="00D5464D">
        <w:rPr>
          <w:rFonts w:cs="Arial"/>
          <w:iCs/>
          <w:szCs w:val="20"/>
          <w:lang w:val="pt-BR"/>
        </w:rPr>
        <w:t xml:space="preserve">, nas condições de </w:t>
      </w:r>
      <w:r w:rsidR="003606D7" w:rsidRPr="00D5464D">
        <w:rPr>
          <w:rFonts w:cs="Arial"/>
          <w:iCs/>
          <w:szCs w:val="20"/>
          <w:lang w:val="pt-BR"/>
        </w:rPr>
        <w:t>existência das vítimas</w:t>
      </w:r>
      <w:r w:rsidR="004B0842" w:rsidRPr="00D5464D">
        <w:rPr>
          <w:rFonts w:cs="Arial"/>
          <w:iCs/>
          <w:szCs w:val="20"/>
          <w:lang w:val="pt-BR"/>
        </w:rPr>
        <w:t>”</w:t>
      </w:r>
      <w:r w:rsidR="009E2AF6" w:rsidRPr="00D5464D">
        <w:rPr>
          <w:rFonts w:cs="Arial"/>
          <w:iCs/>
          <w:szCs w:val="20"/>
          <w:lang w:val="pt-BR"/>
        </w:rPr>
        <w:t>.</w:t>
      </w:r>
      <w:r w:rsidR="004B0842" w:rsidRPr="00D5464D">
        <w:rPr>
          <w:rFonts w:cs="Arial"/>
          <w:iCs/>
          <w:szCs w:val="20"/>
          <w:vertAlign w:val="superscript"/>
          <w:lang w:val="pt-BR"/>
        </w:rPr>
        <w:footnoteReference w:id="534"/>
      </w:r>
      <w:r w:rsidR="004B0842" w:rsidRPr="00D5464D">
        <w:rPr>
          <w:rFonts w:cs="Arial"/>
          <w:iCs/>
          <w:szCs w:val="20"/>
          <w:lang w:val="pt-BR"/>
        </w:rPr>
        <w:t xml:space="preserve"> Dado que </w:t>
      </w:r>
      <w:r w:rsidR="00737270" w:rsidRPr="00D5464D">
        <w:rPr>
          <w:rFonts w:cs="Arial"/>
          <w:iCs/>
          <w:szCs w:val="20"/>
          <w:lang w:val="pt-BR"/>
        </w:rPr>
        <w:t>não é</w:t>
      </w:r>
      <w:r w:rsidRPr="00D5464D">
        <w:rPr>
          <w:rFonts w:cs="Arial"/>
          <w:iCs/>
          <w:szCs w:val="20"/>
          <w:lang w:val="pt-BR"/>
        </w:rPr>
        <w:t xml:space="preserve"> </w:t>
      </w:r>
      <w:r w:rsidR="002C330E" w:rsidRPr="00D5464D">
        <w:rPr>
          <w:rFonts w:cs="Arial"/>
          <w:iCs/>
          <w:szCs w:val="20"/>
          <w:lang w:val="pt-BR"/>
        </w:rPr>
        <w:t xml:space="preserve">possível </w:t>
      </w:r>
      <w:r w:rsidR="003606D7" w:rsidRPr="00D5464D">
        <w:rPr>
          <w:rFonts w:cs="Arial"/>
          <w:iCs/>
          <w:szCs w:val="20"/>
          <w:lang w:val="pt-BR"/>
        </w:rPr>
        <w:t xml:space="preserve">atribuir </w:t>
      </w:r>
      <w:r w:rsidRPr="00D5464D">
        <w:rPr>
          <w:rFonts w:cs="Arial"/>
          <w:iCs/>
          <w:szCs w:val="20"/>
          <w:lang w:val="pt-BR"/>
        </w:rPr>
        <w:t>ao dano</w:t>
      </w:r>
      <w:r w:rsidR="004B0842" w:rsidRPr="00D5464D">
        <w:rPr>
          <w:rFonts w:cs="Arial"/>
          <w:iCs/>
          <w:szCs w:val="20"/>
          <w:lang w:val="pt-BR"/>
        </w:rPr>
        <w:t xml:space="preserve"> </w:t>
      </w:r>
      <w:r w:rsidR="002C330E" w:rsidRPr="00D5464D">
        <w:rPr>
          <w:rFonts w:cs="Arial"/>
          <w:iCs/>
          <w:szCs w:val="20"/>
          <w:lang w:val="pt-BR"/>
        </w:rPr>
        <w:t>imaterial</w:t>
      </w:r>
      <w:r w:rsidR="00E045D9" w:rsidRPr="00D5464D">
        <w:rPr>
          <w:rFonts w:cs="Arial"/>
          <w:iCs/>
          <w:szCs w:val="20"/>
          <w:lang w:val="pt-BR"/>
        </w:rPr>
        <w:t xml:space="preserve"> um </w:t>
      </w:r>
      <w:r w:rsidR="004B0842" w:rsidRPr="00D5464D">
        <w:rPr>
          <w:rFonts w:cs="Arial"/>
          <w:iCs/>
          <w:szCs w:val="20"/>
          <w:lang w:val="pt-BR"/>
        </w:rPr>
        <w:t>equivalente mone</w:t>
      </w:r>
      <w:r w:rsidR="00C91CB1" w:rsidRPr="00D5464D">
        <w:rPr>
          <w:rFonts w:cs="Arial"/>
          <w:iCs/>
          <w:szCs w:val="20"/>
          <w:lang w:val="pt-BR"/>
        </w:rPr>
        <w:t xml:space="preserve">tário </w:t>
      </w:r>
      <w:r w:rsidR="004B0842" w:rsidRPr="00D5464D">
        <w:rPr>
          <w:rFonts w:cs="Arial"/>
          <w:iCs/>
          <w:szCs w:val="20"/>
          <w:lang w:val="pt-BR"/>
        </w:rPr>
        <w:t>preciso,</w:t>
      </w:r>
      <w:r w:rsidR="00D14320" w:rsidRPr="00D5464D">
        <w:rPr>
          <w:rFonts w:cs="Arial"/>
          <w:iCs/>
          <w:szCs w:val="20"/>
          <w:lang w:val="pt-BR"/>
        </w:rPr>
        <w:t xml:space="preserve"> apenas </w:t>
      </w:r>
      <w:r w:rsidR="002C330E" w:rsidRPr="00D5464D">
        <w:rPr>
          <w:rFonts w:cs="Arial"/>
          <w:iCs/>
          <w:szCs w:val="20"/>
          <w:lang w:val="pt-BR"/>
        </w:rPr>
        <w:t>pode</w:t>
      </w:r>
      <w:r w:rsidR="004B0842" w:rsidRPr="00D5464D">
        <w:rPr>
          <w:rFonts w:cs="Arial"/>
          <w:iCs/>
          <w:szCs w:val="20"/>
          <w:lang w:val="pt-BR"/>
        </w:rPr>
        <w:t xml:space="preserve"> ser objeto de compensa</w:t>
      </w:r>
      <w:r w:rsidRPr="00D5464D">
        <w:rPr>
          <w:rFonts w:cs="Arial"/>
          <w:iCs/>
          <w:szCs w:val="20"/>
          <w:lang w:val="pt-BR"/>
        </w:rPr>
        <w:t>ção</w:t>
      </w:r>
      <w:r w:rsidR="004B0842" w:rsidRPr="00D5464D">
        <w:rPr>
          <w:rFonts w:cs="Arial"/>
          <w:iCs/>
          <w:szCs w:val="20"/>
          <w:lang w:val="pt-BR"/>
        </w:rPr>
        <w:t>, para</w:t>
      </w:r>
      <w:r w:rsidR="002C330E" w:rsidRPr="00D5464D">
        <w:rPr>
          <w:rFonts w:cs="Arial"/>
          <w:iCs/>
          <w:szCs w:val="20"/>
          <w:lang w:val="pt-BR"/>
        </w:rPr>
        <w:t xml:space="preserve"> os </w:t>
      </w:r>
      <w:r w:rsidRPr="00D5464D">
        <w:rPr>
          <w:rFonts w:cs="Arial"/>
          <w:iCs/>
          <w:szCs w:val="20"/>
          <w:lang w:val="pt-BR"/>
        </w:rPr>
        <w:t xml:space="preserve">fins da </w:t>
      </w:r>
      <w:r w:rsidR="004B0842" w:rsidRPr="00D5464D">
        <w:rPr>
          <w:rFonts w:cs="Arial"/>
          <w:iCs/>
          <w:szCs w:val="20"/>
          <w:lang w:val="pt-BR"/>
        </w:rPr>
        <w:t>repara</w:t>
      </w:r>
      <w:r w:rsidRPr="00D5464D">
        <w:rPr>
          <w:rFonts w:cs="Arial"/>
          <w:iCs/>
          <w:szCs w:val="20"/>
          <w:lang w:val="pt-BR"/>
        </w:rPr>
        <w:t>ção</w:t>
      </w:r>
      <w:r w:rsidR="004B0842" w:rsidRPr="00D5464D">
        <w:rPr>
          <w:rFonts w:cs="Arial"/>
          <w:iCs/>
          <w:szCs w:val="20"/>
          <w:lang w:val="pt-BR"/>
        </w:rPr>
        <w:t xml:space="preserve"> integral</w:t>
      </w:r>
      <w:r w:rsidRPr="00D5464D">
        <w:rPr>
          <w:rFonts w:cs="Arial"/>
          <w:iCs/>
          <w:szCs w:val="20"/>
          <w:lang w:val="pt-BR"/>
        </w:rPr>
        <w:t xml:space="preserve"> à </w:t>
      </w:r>
      <w:r w:rsidR="00E045D9" w:rsidRPr="00D5464D">
        <w:rPr>
          <w:rFonts w:cs="Arial"/>
          <w:iCs/>
          <w:szCs w:val="20"/>
          <w:lang w:val="pt-BR"/>
        </w:rPr>
        <w:t>vítima</w:t>
      </w:r>
      <w:r w:rsidR="004B0842" w:rsidRPr="00D5464D">
        <w:rPr>
          <w:rFonts w:cs="Arial"/>
          <w:iCs/>
          <w:szCs w:val="20"/>
          <w:lang w:val="pt-BR"/>
        </w:rPr>
        <w:t>, mediante</w:t>
      </w:r>
      <w:r w:rsidRPr="00D5464D">
        <w:rPr>
          <w:rFonts w:cs="Arial"/>
          <w:iCs/>
          <w:szCs w:val="20"/>
          <w:lang w:val="pt-BR"/>
        </w:rPr>
        <w:t xml:space="preserve"> o </w:t>
      </w:r>
      <w:r w:rsidR="002C330E" w:rsidRPr="00D5464D">
        <w:rPr>
          <w:rFonts w:cs="Arial"/>
          <w:iCs/>
          <w:szCs w:val="20"/>
          <w:lang w:val="pt-BR"/>
        </w:rPr>
        <w:t>pagamento</w:t>
      </w:r>
      <w:r w:rsidR="004B0842" w:rsidRPr="00D5464D">
        <w:rPr>
          <w:rFonts w:cs="Arial"/>
          <w:iCs/>
          <w:szCs w:val="20"/>
          <w:lang w:val="pt-BR"/>
        </w:rPr>
        <w:t xml:space="preserve"> de</w:t>
      </w:r>
      <w:r w:rsidR="00E045D9" w:rsidRPr="00D5464D">
        <w:rPr>
          <w:rFonts w:cs="Arial"/>
          <w:iCs/>
          <w:szCs w:val="20"/>
          <w:lang w:val="pt-BR"/>
        </w:rPr>
        <w:t xml:space="preserve"> uma </w:t>
      </w:r>
      <w:r w:rsidR="00350187" w:rsidRPr="00D5464D">
        <w:rPr>
          <w:rFonts w:cs="Arial"/>
          <w:iCs/>
          <w:szCs w:val="20"/>
          <w:lang w:val="pt-BR"/>
        </w:rPr>
        <w:t xml:space="preserve">quantia </w:t>
      </w:r>
      <w:r w:rsidR="003606D7" w:rsidRPr="00D5464D">
        <w:rPr>
          <w:rFonts w:cs="Arial"/>
          <w:iCs/>
          <w:szCs w:val="20"/>
          <w:lang w:val="pt-BR"/>
        </w:rPr>
        <w:t>em</w:t>
      </w:r>
      <w:r w:rsidR="00350187" w:rsidRPr="00D5464D">
        <w:rPr>
          <w:rFonts w:cs="Arial"/>
          <w:iCs/>
          <w:szCs w:val="20"/>
          <w:lang w:val="pt-BR"/>
        </w:rPr>
        <w:t xml:space="preserve"> dinheiro</w:t>
      </w:r>
      <w:r w:rsidR="004B0842" w:rsidRPr="00D5464D">
        <w:rPr>
          <w:rFonts w:cs="Arial"/>
          <w:iCs/>
          <w:szCs w:val="20"/>
          <w:lang w:val="pt-BR"/>
        </w:rPr>
        <w:t xml:space="preserve"> o</w:t>
      </w:r>
      <w:r w:rsidR="003606D7" w:rsidRPr="00D5464D">
        <w:rPr>
          <w:rFonts w:cs="Arial"/>
          <w:iCs/>
          <w:szCs w:val="20"/>
          <w:lang w:val="pt-BR"/>
        </w:rPr>
        <w:t>u</w:t>
      </w:r>
      <w:r w:rsidR="002C330E" w:rsidRPr="00D5464D">
        <w:rPr>
          <w:rFonts w:cs="Arial"/>
          <w:iCs/>
          <w:szCs w:val="20"/>
          <w:lang w:val="pt-BR"/>
        </w:rPr>
        <w:t xml:space="preserve"> </w:t>
      </w:r>
      <w:r w:rsidR="003606D7" w:rsidRPr="00D5464D">
        <w:rPr>
          <w:rFonts w:cs="Arial"/>
          <w:iCs/>
          <w:szCs w:val="20"/>
          <w:lang w:val="pt-BR"/>
        </w:rPr>
        <w:t>d</w:t>
      </w:r>
      <w:r w:rsidR="002C330E" w:rsidRPr="00D5464D">
        <w:rPr>
          <w:rFonts w:cs="Arial"/>
          <w:iCs/>
          <w:szCs w:val="20"/>
          <w:lang w:val="pt-BR"/>
        </w:rPr>
        <w:t xml:space="preserve">a </w:t>
      </w:r>
      <w:r w:rsidR="004B0842" w:rsidRPr="00D5464D">
        <w:rPr>
          <w:rFonts w:cs="Arial"/>
          <w:iCs/>
          <w:szCs w:val="20"/>
          <w:lang w:val="pt-BR"/>
        </w:rPr>
        <w:t xml:space="preserve">entrega de </w:t>
      </w:r>
      <w:r w:rsidR="00350187" w:rsidRPr="00D5464D">
        <w:rPr>
          <w:rFonts w:cs="Arial"/>
          <w:iCs/>
          <w:szCs w:val="20"/>
          <w:lang w:val="pt-BR"/>
        </w:rPr>
        <w:t>bens ou serviços</w:t>
      </w:r>
      <w:r w:rsidR="004B0842" w:rsidRPr="00D5464D">
        <w:rPr>
          <w:rFonts w:cs="Arial"/>
          <w:iCs/>
          <w:szCs w:val="20"/>
          <w:lang w:val="pt-BR"/>
        </w:rPr>
        <w:t xml:space="preserve"> </w:t>
      </w:r>
      <w:r w:rsidR="003606D7" w:rsidRPr="00D5464D">
        <w:rPr>
          <w:rFonts w:cs="Arial"/>
          <w:iCs/>
          <w:szCs w:val="20"/>
          <w:lang w:val="pt-BR"/>
        </w:rPr>
        <w:t>quantificáveis</w:t>
      </w:r>
      <w:r w:rsidR="00E045D9" w:rsidRPr="00D5464D">
        <w:rPr>
          <w:rFonts w:cs="Arial"/>
          <w:iCs/>
          <w:szCs w:val="20"/>
          <w:lang w:val="pt-BR"/>
        </w:rPr>
        <w:t xml:space="preserve"> </w:t>
      </w:r>
      <w:r w:rsidRPr="00D5464D">
        <w:rPr>
          <w:rFonts w:cs="Arial"/>
          <w:iCs/>
          <w:szCs w:val="20"/>
          <w:lang w:val="pt-BR"/>
        </w:rPr>
        <w:t xml:space="preserve">em </w:t>
      </w:r>
      <w:r w:rsidR="00737270" w:rsidRPr="00D5464D">
        <w:rPr>
          <w:rFonts w:cs="Arial"/>
          <w:iCs/>
          <w:szCs w:val="20"/>
          <w:lang w:val="pt-BR"/>
        </w:rPr>
        <w:t>dinheiro</w:t>
      </w:r>
      <w:r w:rsidR="004B0842" w:rsidRPr="00D5464D">
        <w:rPr>
          <w:rFonts w:cs="Arial"/>
          <w:iCs/>
          <w:szCs w:val="20"/>
          <w:lang w:val="pt-BR"/>
        </w:rPr>
        <w:t>, determin</w:t>
      </w:r>
      <w:r w:rsidR="003606D7" w:rsidRPr="00D5464D">
        <w:rPr>
          <w:rFonts w:cs="Arial"/>
          <w:iCs/>
          <w:szCs w:val="20"/>
          <w:lang w:val="pt-BR"/>
        </w:rPr>
        <w:t>adas pelo Tribunal</w:t>
      </w:r>
      <w:r w:rsidRPr="00D5464D">
        <w:rPr>
          <w:rFonts w:cs="Arial"/>
          <w:iCs/>
          <w:szCs w:val="20"/>
          <w:lang w:val="pt-BR"/>
        </w:rPr>
        <w:t xml:space="preserve"> em </w:t>
      </w:r>
      <w:r w:rsidR="004B0842" w:rsidRPr="00D5464D">
        <w:rPr>
          <w:rFonts w:cs="Arial"/>
          <w:iCs/>
          <w:szCs w:val="20"/>
          <w:lang w:val="pt-BR"/>
        </w:rPr>
        <w:t>aplica</w:t>
      </w:r>
      <w:r w:rsidRPr="00D5464D">
        <w:rPr>
          <w:rFonts w:cs="Arial"/>
          <w:iCs/>
          <w:szCs w:val="20"/>
          <w:lang w:val="pt-BR"/>
        </w:rPr>
        <w:t>ção</w:t>
      </w:r>
      <w:r w:rsidR="004B0842" w:rsidRPr="00D5464D">
        <w:rPr>
          <w:rFonts w:cs="Arial"/>
          <w:iCs/>
          <w:szCs w:val="20"/>
          <w:lang w:val="pt-BR"/>
        </w:rPr>
        <w:t xml:space="preserve"> </w:t>
      </w:r>
      <w:r w:rsidR="002C330E" w:rsidRPr="00D5464D">
        <w:rPr>
          <w:rFonts w:cs="Arial"/>
          <w:iCs/>
          <w:szCs w:val="20"/>
          <w:lang w:val="pt-BR"/>
        </w:rPr>
        <w:t xml:space="preserve">razoável </w:t>
      </w:r>
      <w:r w:rsidRPr="00D5464D">
        <w:rPr>
          <w:rFonts w:cs="Arial"/>
          <w:iCs/>
          <w:szCs w:val="20"/>
          <w:lang w:val="pt-BR"/>
        </w:rPr>
        <w:t xml:space="preserve">do </w:t>
      </w:r>
      <w:r w:rsidR="00EB1CE9" w:rsidRPr="00D5464D">
        <w:rPr>
          <w:rFonts w:cs="Arial"/>
          <w:iCs/>
          <w:szCs w:val="20"/>
          <w:lang w:val="pt-BR"/>
        </w:rPr>
        <w:t>arbítrio</w:t>
      </w:r>
      <w:r w:rsidR="004B0842" w:rsidRPr="00D5464D">
        <w:rPr>
          <w:rFonts w:cs="Arial"/>
          <w:iCs/>
          <w:szCs w:val="20"/>
          <w:lang w:val="pt-BR"/>
        </w:rPr>
        <w:t xml:space="preserve"> judicial</w:t>
      </w:r>
      <w:r w:rsidR="00E045D9" w:rsidRPr="00D5464D">
        <w:rPr>
          <w:rFonts w:cs="Arial"/>
          <w:iCs/>
          <w:szCs w:val="20"/>
          <w:lang w:val="pt-BR"/>
        </w:rPr>
        <w:t xml:space="preserve"> e </w:t>
      </w:r>
      <w:r w:rsidRPr="00D5464D">
        <w:rPr>
          <w:rFonts w:cs="Arial"/>
          <w:iCs/>
          <w:szCs w:val="20"/>
          <w:lang w:val="pt-BR"/>
        </w:rPr>
        <w:t xml:space="preserve">em </w:t>
      </w:r>
      <w:r w:rsidR="00E045D9" w:rsidRPr="00D5464D">
        <w:rPr>
          <w:rFonts w:cs="Arial"/>
          <w:iCs/>
          <w:szCs w:val="20"/>
          <w:lang w:val="pt-BR"/>
        </w:rPr>
        <w:t>termo</w:t>
      </w:r>
      <w:r w:rsidR="004B0842" w:rsidRPr="00D5464D">
        <w:rPr>
          <w:rFonts w:cs="Arial"/>
          <w:iCs/>
          <w:szCs w:val="20"/>
          <w:lang w:val="pt-BR"/>
        </w:rPr>
        <w:t>s de equidad</w:t>
      </w:r>
      <w:r w:rsidR="003606D7" w:rsidRPr="00D5464D">
        <w:rPr>
          <w:rFonts w:cs="Arial"/>
          <w:iCs/>
          <w:szCs w:val="20"/>
          <w:lang w:val="pt-BR"/>
        </w:rPr>
        <w:t>e</w:t>
      </w:r>
      <w:r w:rsidR="009E2AF6" w:rsidRPr="00D5464D">
        <w:rPr>
          <w:rFonts w:cs="Arial"/>
          <w:iCs/>
          <w:szCs w:val="20"/>
          <w:lang w:val="pt-BR"/>
        </w:rPr>
        <w:t>.</w:t>
      </w:r>
      <w:r w:rsidR="004B0842" w:rsidRPr="00D5464D">
        <w:rPr>
          <w:rFonts w:cs="Arial"/>
          <w:iCs/>
          <w:szCs w:val="20"/>
          <w:vertAlign w:val="superscript"/>
          <w:lang w:val="pt-BR"/>
        </w:rPr>
        <w:footnoteReference w:id="535"/>
      </w:r>
    </w:p>
    <w:p w14:paraId="6080FB23" w14:textId="77777777" w:rsidR="004B0842" w:rsidRPr="00D5464D" w:rsidRDefault="004B0842" w:rsidP="004B0842">
      <w:pPr>
        <w:pStyle w:val="Prrafodelista"/>
        <w:autoSpaceDE w:val="0"/>
        <w:autoSpaceDN w:val="0"/>
        <w:adjustRightInd w:val="0"/>
        <w:rPr>
          <w:rFonts w:cs="Arial"/>
          <w:iCs/>
          <w:szCs w:val="20"/>
          <w:lang w:val="pt-BR"/>
        </w:rPr>
      </w:pPr>
    </w:p>
    <w:p w14:paraId="4F2F5FAE" w14:textId="5A5C4D56" w:rsidR="004B0842" w:rsidRPr="00D5464D" w:rsidRDefault="003606D7"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N</w:t>
      </w:r>
      <w:r w:rsidR="002C330E" w:rsidRPr="00D5464D">
        <w:rPr>
          <w:rFonts w:cs="Arial"/>
          <w:iCs/>
          <w:szCs w:val="20"/>
          <w:lang w:val="pt-BR"/>
        </w:rPr>
        <w:t xml:space="preserve">os </w:t>
      </w:r>
      <w:r w:rsidR="004B0842" w:rsidRPr="00D5464D">
        <w:rPr>
          <w:rFonts w:cs="Arial"/>
          <w:iCs/>
          <w:szCs w:val="20"/>
          <w:lang w:val="pt-BR"/>
        </w:rPr>
        <w:t xml:space="preserve">capítulos </w:t>
      </w:r>
      <w:r w:rsidR="00753978" w:rsidRPr="00D5464D">
        <w:rPr>
          <w:rFonts w:cs="Arial"/>
          <w:iCs/>
          <w:szCs w:val="20"/>
          <w:lang w:val="pt-BR"/>
        </w:rPr>
        <w:t>VIII-1</w:t>
      </w:r>
      <w:r w:rsidR="00E045D9" w:rsidRPr="00D5464D">
        <w:rPr>
          <w:rFonts w:cs="Arial"/>
          <w:iCs/>
          <w:szCs w:val="20"/>
          <w:lang w:val="pt-BR"/>
        </w:rPr>
        <w:t xml:space="preserve"> e </w:t>
      </w:r>
      <w:r w:rsidR="00753978" w:rsidRPr="00D5464D">
        <w:rPr>
          <w:rFonts w:cs="Arial"/>
          <w:iCs/>
          <w:szCs w:val="20"/>
          <w:lang w:val="pt-BR"/>
        </w:rPr>
        <w:t>VIII-2</w:t>
      </w:r>
      <w:r w:rsidR="00D838DD" w:rsidRPr="00D5464D">
        <w:rPr>
          <w:rFonts w:cs="Arial"/>
          <w:iCs/>
          <w:szCs w:val="20"/>
          <w:lang w:val="pt-BR"/>
        </w:rPr>
        <w:t>,</w:t>
      </w:r>
      <w:r w:rsidR="004B0842" w:rsidRPr="00D5464D">
        <w:rPr>
          <w:rFonts w:cs="Arial"/>
          <w:iCs/>
          <w:szCs w:val="20"/>
          <w:lang w:val="pt-BR"/>
        </w:rPr>
        <w:t xml:space="preserve"> </w:t>
      </w:r>
      <w:r w:rsidRPr="00D5464D">
        <w:rPr>
          <w:rFonts w:cs="Arial"/>
          <w:iCs/>
          <w:szCs w:val="20"/>
          <w:lang w:val="pt-BR"/>
        </w:rPr>
        <w:t xml:space="preserve">foi </w:t>
      </w:r>
      <w:r w:rsidR="00470ADC" w:rsidRPr="00D5464D">
        <w:rPr>
          <w:rFonts w:cs="Arial"/>
          <w:iCs/>
          <w:szCs w:val="20"/>
          <w:lang w:val="pt-BR"/>
        </w:rPr>
        <w:t>declar</w:t>
      </w:r>
      <w:r w:rsidRPr="00D5464D">
        <w:rPr>
          <w:rFonts w:cs="Arial"/>
          <w:iCs/>
          <w:szCs w:val="20"/>
          <w:lang w:val="pt-BR"/>
        </w:rPr>
        <w:t>ada</w:t>
      </w:r>
      <w:r w:rsidR="002C330E" w:rsidRPr="00D5464D">
        <w:rPr>
          <w:rFonts w:cs="Arial"/>
          <w:iCs/>
          <w:szCs w:val="20"/>
          <w:lang w:val="pt-BR"/>
        </w:rPr>
        <w:t xml:space="preserve"> a responsabilidade </w:t>
      </w:r>
      <w:r w:rsidR="004B0842" w:rsidRPr="00D5464D">
        <w:rPr>
          <w:rFonts w:cs="Arial"/>
          <w:iCs/>
          <w:szCs w:val="20"/>
          <w:lang w:val="pt-BR"/>
        </w:rPr>
        <w:t xml:space="preserve">internacional </w:t>
      </w:r>
      <w:r w:rsidR="00470ADC" w:rsidRPr="00D5464D">
        <w:rPr>
          <w:rFonts w:cs="Arial"/>
          <w:iCs/>
          <w:szCs w:val="20"/>
          <w:lang w:val="pt-BR"/>
        </w:rPr>
        <w:t xml:space="preserve">do </w:t>
      </w:r>
      <w:r w:rsidR="004B0842" w:rsidRPr="00D5464D">
        <w:rPr>
          <w:rFonts w:cs="Arial"/>
          <w:iCs/>
          <w:szCs w:val="20"/>
          <w:lang w:val="pt-BR"/>
        </w:rPr>
        <w:t>Estado</w:t>
      </w:r>
      <w:r w:rsidR="002C330E" w:rsidRPr="00D5464D">
        <w:rPr>
          <w:rFonts w:cs="Arial"/>
          <w:iCs/>
          <w:szCs w:val="20"/>
          <w:lang w:val="pt-BR"/>
        </w:rPr>
        <w:t xml:space="preserve"> pelas </w:t>
      </w:r>
      <w:r w:rsidR="004B0842" w:rsidRPr="00D5464D">
        <w:rPr>
          <w:rFonts w:cs="Arial"/>
          <w:iCs/>
          <w:szCs w:val="20"/>
          <w:lang w:val="pt-BR"/>
        </w:rPr>
        <w:t>viola</w:t>
      </w:r>
      <w:r w:rsidR="00470ADC" w:rsidRPr="00D5464D">
        <w:rPr>
          <w:rFonts w:cs="Arial"/>
          <w:iCs/>
          <w:szCs w:val="20"/>
          <w:lang w:val="pt-BR"/>
        </w:rPr>
        <w:t>ções</w:t>
      </w:r>
      <w:r w:rsidR="00E045D9" w:rsidRPr="00D5464D">
        <w:rPr>
          <w:rFonts w:cs="Arial"/>
          <w:iCs/>
          <w:szCs w:val="20"/>
          <w:lang w:val="pt-BR"/>
        </w:rPr>
        <w:t xml:space="preserve"> aos </w:t>
      </w:r>
      <w:r w:rsidR="00470ADC" w:rsidRPr="00D5464D">
        <w:rPr>
          <w:rFonts w:cs="Arial"/>
          <w:iCs/>
          <w:szCs w:val="20"/>
          <w:lang w:val="pt-BR"/>
        </w:rPr>
        <w:t>direito</w:t>
      </w:r>
      <w:r w:rsidR="004B0842" w:rsidRPr="00D5464D">
        <w:rPr>
          <w:rFonts w:cs="Arial"/>
          <w:iCs/>
          <w:szCs w:val="20"/>
          <w:lang w:val="pt-BR"/>
        </w:rPr>
        <w:t xml:space="preserve">s </w:t>
      </w:r>
      <w:r w:rsidR="00470ADC" w:rsidRPr="00D5464D">
        <w:rPr>
          <w:rFonts w:cs="Arial"/>
          <w:iCs/>
          <w:szCs w:val="20"/>
          <w:lang w:val="pt-BR"/>
        </w:rPr>
        <w:t>estabelecid</w:t>
      </w:r>
      <w:r w:rsidR="004B0842" w:rsidRPr="00D5464D">
        <w:rPr>
          <w:rFonts w:cs="Arial"/>
          <w:iCs/>
          <w:szCs w:val="20"/>
          <w:lang w:val="pt-BR"/>
        </w:rPr>
        <w:t>os</w:t>
      </w:r>
      <w:r w:rsidR="00E045D9" w:rsidRPr="00D5464D">
        <w:rPr>
          <w:rFonts w:cs="Arial"/>
          <w:iCs/>
          <w:szCs w:val="20"/>
          <w:lang w:val="pt-BR"/>
        </w:rPr>
        <w:t xml:space="preserve"> no </w:t>
      </w:r>
      <w:r w:rsidR="00470ADC" w:rsidRPr="00D5464D">
        <w:rPr>
          <w:rFonts w:cs="Arial"/>
          <w:iCs/>
          <w:szCs w:val="20"/>
          <w:lang w:val="pt-BR"/>
        </w:rPr>
        <w:t>artigo</w:t>
      </w:r>
      <w:r w:rsidR="004B0842" w:rsidRPr="00D5464D">
        <w:rPr>
          <w:rFonts w:cs="Arial"/>
          <w:iCs/>
          <w:szCs w:val="20"/>
          <w:lang w:val="pt-BR"/>
        </w:rPr>
        <w:t xml:space="preserve"> 6</w:t>
      </w:r>
      <w:r w:rsidR="00470ADC" w:rsidRPr="00D5464D">
        <w:rPr>
          <w:rFonts w:cs="Arial"/>
          <w:iCs/>
          <w:szCs w:val="20"/>
          <w:lang w:val="pt-BR"/>
        </w:rPr>
        <w:t xml:space="preserve"> da </w:t>
      </w:r>
      <w:r w:rsidR="004B0842" w:rsidRPr="00D5464D">
        <w:rPr>
          <w:rFonts w:cs="Arial"/>
          <w:iCs/>
          <w:szCs w:val="20"/>
          <w:lang w:val="pt-BR"/>
        </w:rPr>
        <w:t>Conven</w:t>
      </w:r>
      <w:r w:rsidR="00470ADC" w:rsidRPr="00D5464D">
        <w:rPr>
          <w:rFonts w:cs="Arial"/>
          <w:iCs/>
          <w:szCs w:val="20"/>
          <w:lang w:val="pt-BR"/>
        </w:rPr>
        <w:t>ção</w:t>
      </w:r>
      <w:r w:rsidR="004B0842" w:rsidRPr="00D5464D">
        <w:rPr>
          <w:rFonts w:cs="Arial"/>
          <w:iCs/>
          <w:szCs w:val="20"/>
          <w:lang w:val="pt-BR"/>
        </w:rPr>
        <w:t xml:space="preserve"> Americana,</w:t>
      </w:r>
      <w:r w:rsidR="00470ADC" w:rsidRPr="00D5464D">
        <w:rPr>
          <w:rFonts w:cs="Arial"/>
          <w:iCs/>
          <w:szCs w:val="20"/>
          <w:lang w:val="pt-BR"/>
        </w:rPr>
        <w:t xml:space="preserve"> </w:t>
      </w:r>
      <w:r w:rsidR="00A1358C" w:rsidRPr="00D5464D">
        <w:rPr>
          <w:rFonts w:cs="Arial"/>
          <w:iCs/>
          <w:szCs w:val="20"/>
          <w:lang w:val="pt-BR"/>
        </w:rPr>
        <w:t>em relação aos artigos</w:t>
      </w:r>
      <w:r w:rsidR="004B0842" w:rsidRPr="00D5464D">
        <w:rPr>
          <w:rFonts w:cs="Arial"/>
          <w:iCs/>
          <w:szCs w:val="20"/>
          <w:lang w:val="pt-BR"/>
        </w:rPr>
        <w:t xml:space="preserve"> 1.1, 3, 5, 7, 11</w:t>
      </w:r>
      <w:r w:rsidR="00E045D9" w:rsidRPr="00D5464D">
        <w:rPr>
          <w:rFonts w:cs="Arial"/>
          <w:iCs/>
          <w:szCs w:val="20"/>
          <w:lang w:val="pt-BR"/>
        </w:rPr>
        <w:t xml:space="preserve"> e </w:t>
      </w:r>
      <w:r w:rsidR="004B0842" w:rsidRPr="00D5464D">
        <w:rPr>
          <w:rFonts w:cs="Arial"/>
          <w:iCs/>
          <w:szCs w:val="20"/>
          <w:lang w:val="pt-BR"/>
        </w:rPr>
        <w:t>22</w:t>
      </w:r>
      <w:r w:rsidR="00470ADC" w:rsidRPr="00D5464D">
        <w:rPr>
          <w:rFonts w:cs="Arial"/>
          <w:iCs/>
          <w:szCs w:val="20"/>
          <w:lang w:val="pt-BR"/>
        </w:rPr>
        <w:t xml:space="preserve"> da </w:t>
      </w:r>
      <w:r w:rsidR="004B0842" w:rsidRPr="00D5464D">
        <w:rPr>
          <w:rFonts w:cs="Arial"/>
          <w:iCs/>
          <w:szCs w:val="20"/>
          <w:lang w:val="pt-BR"/>
        </w:rPr>
        <w:t>Conven</w:t>
      </w:r>
      <w:r w:rsidR="00470ADC" w:rsidRPr="00D5464D">
        <w:rPr>
          <w:rFonts w:cs="Arial"/>
          <w:iCs/>
          <w:szCs w:val="20"/>
          <w:lang w:val="pt-BR"/>
        </w:rPr>
        <w:t>ção</w:t>
      </w:r>
      <w:r w:rsidR="004B0842" w:rsidRPr="00D5464D">
        <w:rPr>
          <w:rFonts w:cs="Arial"/>
          <w:iCs/>
          <w:szCs w:val="20"/>
          <w:lang w:val="pt-BR"/>
        </w:rPr>
        <w:t xml:space="preserve"> (</w:t>
      </w:r>
      <w:r w:rsidR="00C85EA9" w:rsidRPr="00D5464D">
        <w:rPr>
          <w:rFonts w:cs="Arial"/>
          <w:iCs/>
          <w:szCs w:val="20"/>
          <w:lang w:val="pt-BR"/>
        </w:rPr>
        <w:t xml:space="preserve">par. </w:t>
      </w:r>
      <w:r w:rsidR="00D036E7" w:rsidRPr="00D5464D">
        <w:rPr>
          <w:rFonts w:cs="Arial"/>
          <w:iCs/>
          <w:szCs w:val="20"/>
          <w:lang w:val="pt-BR"/>
        </w:rPr>
        <w:t xml:space="preserve">343 </w:t>
      </w:r>
      <w:r w:rsidR="00D036E7" w:rsidRPr="00D5464D">
        <w:rPr>
          <w:rFonts w:cs="Arial"/>
          <w:i/>
          <w:iCs/>
          <w:szCs w:val="20"/>
          <w:lang w:val="pt-BR"/>
        </w:rPr>
        <w:t>supra</w:t>
      </w:r>
      <w:r w:rsidR="00D036E7" w:rsidRPr="00D5464D">
        <w:rPr>
          <w:rFonts w:cs="Arial"/>
          <w:iCs/>
          <w:szCs w:val="20"/>
          <w:lang w:val="pt-BR"/>
        </w:rPr>
        <w:t>)</w:t>
      </w:r>
      <w:r w:rsidR="004B0842" w:rsidRPr="00D5464D">
        <w:rPr>
          <w:rFonts w:cs="Arial"/>
          <w:iCs/>
          <w:szCs w:val="20"/>
          <w:lang w:val="pt-BR"/>
        </w:rPr>
        <w:t xml:space="preserve">, </w:t>
      </w:r>
      <w:r w:rsidRPr="00D5464D">
        <w:rPr>
          <w:rFonts w:cs="Arial"/>
          <w:iCs/>
          <w:szCs w:val="20"/>
          <w:lang w:val="pt-BR"/>
        </w:rPr>
        <w:t xml:space="preserve">bem </w:t>
      </w:r>
      <w:r w:rsidR="004B0842" w:rsidRPr="00D5464D">
        <w:rPr>
          <w:rFonts w:cs="Arial"/>
          <w:iCs/>
          <w:szCs w:val="20"/>
          <w:lang w:val="pt-BR"/>
        </w:rPr>
        <w:t>como</w:t>
      </w:r>
      <w:r w:rsidR="002C330E" w:rsidRPr="00D5464D">
        <w:rPr>
          <w:rFonts w:cs="Arial"/>
          <w:iCs/>
          <w:szCs w:val="20"/>
          <w:lang w:val="pt-BR"/>
        </w:rPr>
        <w:t xml:space="preserve"> </w:t>
      </w:r>
      <w:r w:rsidRPr="00D5464D">
        <w:rPr>
          <w:rFonts w:cs="Arial"/>
          <w:iCs/>
          <w:szCs w:val="20"/>
          <w:lang w:val="pt-BR"/>
        </w:rPr>
        <w:t>d</w:t>
      </w:r>
      <w:r w:rsidR="002C330E" w:rsidRPr="00D5464D">
        <w:rPr>
          <w:rFonts w:cs="Arial"/>
          <w:iCs/>
          <w:szCs w:val="20"/>
          <w:lang w:val="pt-BR"/>
        </w:rPr>
        <w:t xml:space="preserve">os </w:t>
      </w:r>
      <w:r w:rsidR="00470ADC" w:rsidRPr="00D5464D">
        <w:rPr>
          <w:rFonts w:cs="Arial"/>
          <w:iCs/>
          <w:szCs w:val="20"/>
          <w:lang w:val="pt-BR"/>
        </w:rPr>
        <w:t>direito</w:t>
      </w:r>
      <w:r w:rsidR="004B0842" w:rsidRPr="00D5464D">
        <w:rPr>
          <w:rFonts w:cs="Arial"/>
          <w:iCs/>
          <w:szCs w:val="20"/>
          <w:lang w:val="pt-BR"/>
        </w:rPr>
        <w:t xml:space="preserve">s </w:t>
      </w:r>
      <w:r w:rsidR="00470ADC" w:rsidRPr="00D5464D">
        <w:rPr>
          <w:rFonts w:cs="Arial"/>
          <w:iCs/>
          <w:szCs w:val="20"/>
          <w:lang w:val="pt-BR"/>
        </w:rPr>
        <w:t>estabelecid</w:t>
      </w:r>
      <w:r w:rsidR="004B0842" w:rsidRPr="00D5464D">
        <w:rPr>
          <w:rFonts w:cs="Arial"/>
          <w:iCs/>
          <w:szCs w:val="20"/>
          <w:lang w:val="pt-BR"/>
        </w:rPr>
        <w:t>os</w:t>
      </w:r>
      <w:r w:rsidR="00E045D9" w:rsidRPr="00D5464D">
        <w:rPr>
          <w:rFonts w:cs="Arial"/>
          <w:iCs/>
          <w:szCs w:val="20"/>
          <w:lang w:val="pt-BR"/>
        </w:rPr>
        <w:t xml:space="preserve"> nos </w:t>
      </w:r>
      <w:r w:rsidR="00470ADC" w:rsidRPr="00D5464D">
        <w:rPr>
          <w:rFonts w:cs="Arial"/>
          <w:iCs/>
          <w:szCs w:val="20"/>
          <w:lang w:val="pt-BR"/>
        </w:rPr>
        <w:t>artigo</w:t>
      </w:r>
      <w:r w:rsidR="004B0842" w:rsidRPr="00D5464D">
        <w:rPr>
          <w:rFonts w:cs="Arial"/>
          <w:iCs/>
          <w:szCs w:val="20"/>
          <w:lang w:val="pt-BR"/>
        </w:rPr>
        <w:t>s 8</w:t>
      </w:r>
      <w:r w:rsidR="00E045D9" w:rsidRPr="00D5464D">
        <w:rPr>
          <w:rFonts w:cs="Arial"/>
          <w:iCs/>
          <w:szCs w:val="20"/>
          <w:lang w:val="pt-BR"/>
        </w:rPr>
        <w:t xml:space="preserve"> e </w:t>
      </w:r>
      <w:r w:rsidR="004B0842" w:rsidRPr="00D5464D">
        <w:rPr>
          <w:rFonts w:cs="Arial"/>
          <w:iCs/>
          <w:szCs w:val="20"/>
          <w:lang w:val="pt-BR"/>
        </w:rPr>
        <w:t xml:space="preserve">25 </w:t>
      </w:r>
      <w:r w:rsidR="00470ADC" w:rsidRPr="00D5464D">
        <w:rPr>
          <w:rFonts w:cs="Arial"/>
          <w:iCs/>
          <w:szCs w:val="20"/>
          <w:lang w:val="pt-BR"/>
        </w:rPr>
        <w:t xml:space="preserve">do </w:t>
      </w:r>
      <w:r w:rsidR="002C330E" w:rsidRPr="00D5464D">
        <w:rPr>
          <w:rFonts w:cs="Arial"/>
          <w:iCs/>
          <w:szCs w:val="20"/>
          <w:lang w:val="pt-BR"/>
        </w:rPr>
        <w:t>mesm</w:t>
      </w:r>
      <w:r w:rsidR="004B0842" w:rsidRPr="00D5464D">
        <w:rPr>
          <w:rFonts w:cs="Arial"/>
          <w:iCs/>
          <w:szCs w:val="20"/>
          <w:lang w:val="pt-BR"/>
        </w:rPr>
        <w:t>o instrumento (</w:t>
      </w:r>
      <w:r w:rsidR="002C330E" w:rsidRPr="00D5464D">
        <w:rPr>
          <w:rFonts w:cs="Arial"/>
          <w:iCs/>
          <w:szCs w:val="20"/>
          <w:lang w:val="pt-BR"/>
        </w:rPr>
        <w:t>pars.</w:t>
      </w:r>
      <w:r w:rsidR="00A66BE0" w:rsidRPr="00D5464D">
        <w:rPr>
          <w:rFonts w:cs="Arial"/>
          <w:iCs/>
          <w:szCs w:val="20"/>
          <w:lang w:val="pt-BR"/>
        </w:rPr>
        <w:t xml:space="preserve"> 36</w:t>
      </w:r>
      <w:r w:rsidR="007A3720" w:rsidRPr="00D5464D">
        <w:rPr>
          <w:rFonts w:cs="Arial"/>
          <w:iCs/>
          <w:szCs w:val="20"/>
          <w:lang w:val="pt-BR"/>
        </w:rPr>
        <w:t>8</w:t>
      </w:r>
      <w:r w:rsidR="00A66BE0" w:rsidRPr="00D5464D">
        <w:rPr>
          <w:rFonts w:cs="Arial"/>
          <w:iCs/>
          <w:szCs w:val="20"/>
          <w:lang w:val="pt-BR"/>
        </w:rPr>
        <w:t>, 38</w:t>
      </w:r>
      <w:r w:rsidR="007A3720" w:rsidRPr="00D5464D">
        <w:rPr>
          <w:rFonts w:cs="Arial"/>
          <w:iCs/>
          <w:szCs w:val="20"/>
          <w:lang w:val="pt-BR"/>
        </w:rPr>
        <w:t>2</w:t>
      </w:r>
      <w:r w:rsidR="00E045D9" w:rsidRPr="00D5464D">
        <w:rPr>
          <w:rFonts w:cs="Arial"/>
          <w:iCs/>
          <w:szCs w:val="20"/>
          <w:lang w:val="pt-BR"/>
        </w:rPr>
        <w:t xml:space="preserve"> e </w:t>
      </w:r>
      <w:r w:rsidR="00A66BE0" w:rsidRPr="00D5464D">
        <w:rPr>
          <w:rFonts w:cs="Arial"/>
          <w:iCs/>
          <w:szCs w:val="20"/>
          <w:lang w:val="pt-BR"/>
        </w:rPr>
        <w:t>42</w:t>
      </w:r>
      <w:r w:rsidR="007A3720" w:rsidRPr="00D5464D">
        <w:rPr>
          <w:rFonts w:cs="Arial"/>
          <w:iCs/>
          <w:szCs w:val="20"/>
          <w:lang w:val="pt-BR"/>
        </w:rPr>
        <w:t>0</w:t>
      </w:r>
      <w:r w:rsidR="009E2AF6" w:rsidRPr="00D5464D">
        <w:rPr>
          <w:rFonts w:cs="Arial"/>
          <w:i/>
          <w:iCs/>
          <w:szCs w:val="20"/>
          <w:lang w:val="pt-BR"/>
        </w:rPr>
        <w:t xml:space="preserve"> supra</w:t>
      </w:r>
      <w:r w:rsidR="00A66BE0" w:rsidRPr="00D5464D">
        <w:rPr>
          <w:rFonts w:cs="Arial"/>
          <w:iCs/>
          <w:szCs w:val="20"/>
          <w:lang w:val="pt-BR"/>
        </w:rPr>
        <w:t>),</w:t>
      </w:r>
      <w:r w:rsidR="00470ADC" w:rsidRPr="00D5464D">
        <w:rPr>
          <w:rFonts w:cs="Arial"/>
          <w:iCs/>
          <w:szCs w:val="20"/>
          <w:lang w:val="pt-BR"/>
        </w:rPr>
        <w:t xml:space="preserve"> </w:t>
      </w:r>
      <w:r w:rsidR="00A1358C" w:rsidRPr="00D5464D">
        <w:rPr>
          <w:rFonts w:cs="Arial"/>
          <w:iCs/>
          <w:szCs w:val="20"/>
          <w:lang w:val="pt-BR"/>
        </w:rPr>
        <w:t>em relação aos artigos</w:t>
      </w:r>
      <w:r w:rsidR="00FA0F9F" w:rsidRPr="00D5464D">
        <w:rPr>
          <w:rFonts w:cs="Arial"/>
          <w:iCs/>
          <w:szCs w:val="20"/>
          <w:lang w:val="pt-BR"/>
        </w:rPr>
        <w:t xml:space="preserve"> 1.1</w:t>
      </w:r>
      <w:r w:rsidR="00E045D9" w:rsidRPr="00D5464D">
        <w:rPr>
          <w:rFonts w:cs="Arial"/>
          <w:iCs/>
          <w:szCs w:val="20"/>
          <w:lang w:val="pt-BR"/>
        </w:rPr>
        <w:t xml:space="preserve"> e </w:t>
      </w:r>
      <w:r w:rsidR="00A66BE0" w:rsidRPr="00D5464D">
        <w:rPr>
          <w:rFonts w:cs="Arial"/>
          <w:iCs/>
          <w:szCs w:val="20"/>
          <w:lang w:val="pt-BR"/>
        </w:rPr>
        <w:t>2</w:t>
      </w:r>
      <w:r w:rsidR="00470ADC" w:rsidRPr="00D5464D">
        <w:rPr>
          <w:rFonts w:cs="Arial"/>
          <w:iCs/>
          <w:szCs w:val="20"/>
          <w:lang w:val="pt-BR"/>
        </w:rPr>
        <w:t xml:space="preserve"> da </w:t>
      </w:r>
      <w:r w:rsidR="00FA0F9F" w:rsidRPr="00D5464D">
        <w:rPr>
          <w:rFonts w:cs="Arial"/>
          <w:iCs/>
          <w:szCs w:val="20"/>
          <w:lang w:val="pt-BR"/>
        </w:rPr>
        <w:t>Conven</w:t>
      </w:r>
      <w:r w:rsidR="00470ADC" w:rsidRPr="00D5464D">
        <w:rPr>
          <w:rFonts w:cs="Arial"/>
          <w:iCs/>
          <w:szCs w:val="20"/>
          <w:lang w:val="pt-BR"/>
        </w:rPr>
        <w:t>ção</w:t>
      </w:r>
      <w:r w:rsidR="00C91CB1" w:rsidRPr="00D5464D">
        <w:rPr>
          <w:rFonts w:cs="Arial"/>
          <w:iCs/>
          <w:szCs w:val="20"/>
          <w:lang w:val="pt-BR"/>
        </w:rPr>
        <w:t xml:space="preserve">. </w:t>
      </w:r>
      <w:r w:rsidR="00017B54" w:rsidRPr="00D5464D">
        <w:rPr>
          <w:rFonts w:cs="Arial"/>
          <w:iCs/>
          <w:szCs w:val="20"/>
          <w:lang w:val="pt-BR"/>
        </w:rPr>
        <w:t>Considerando o</w:t>
      </w:r>
      <w:r w:rsidR="00470ADC" w:rsidRPr="00D5464D">
        <w:rPr>
          <w:rFonts w:cs="Arial"/>
          <w:iCs/>
          <w:szCs w:val="20"/>
          <w:lang w:val="pt-BR"/>
        </w:rPr>
        <w:t xml:space="preserve"> expost</w:t>
      </w:r>
      <w:r w:rsidR="004B0842" w:rsidRPr="00D5464D">
        <w:rPr>
          <w:rFonts w:cs="Arial"/>
          <w:iCs/>
          <w:szCs w:val="20"/>
          <w:lang w:val="pt-BR"/>
        </w:rPr>
        <w:t>o</w:t>
      </w:r>
      <w:r w:rsidR="00E045D9" w:rsidRPr="00D5464D">
        <w:rPr>
          <w:rFonts w:cs="Arial"/>
          <w:iCs/>
          <w:szCs w:val="20"/>
          <w:lang w:val="pt-BR"/>
        </w:rPr>
        <w:t xml:space="preserve"> e </w:t>
      </w:r>
      <w:r w:rsidR="00470ADC" w:rsidRPr="00D5464D">
        <w:rPr>
          <w:rFonts w:cs="Arial"/>
          <w:iCs/>
          <w:szCs w:val="20"/>
          <w:lang w:val="pt-BR"/>
        </w:rPr>
        <w:t xml:space="preserve">as </w:t>
      </w:r>
      <w:r w:rsidR="00D53175" w:rsidRPr="00D5464D">
        <w:rPr>
          <w:rFonts w:cs="Arial"/>
          <w:iCs/>
          <w:szCs w:val="20"/>
          <w:lang w:val="pt-BR"/>
        </w:rPr>
        <w:t>diferentes viola</w:t>
      </w:r>
      <w:r w:rsidR="00470ADC" w:rsidRPr="00D5464D">
        <w:rPr>
          <w:rFonts w:cs="Arial"/>
          <w:iCs/>
          <w:szCs w:val="20"/>
          <w:lang w:val="pt-BR"/>
        </w:rPr>
        <w:t>ções</w:t>
      </w:r>
      <w:r w:rsidR="00D53175" w:rsidRPr="00D5464D">
        <w:rPr>
          <w:rFonts w:cs="Arial"/>
          <w:iCs/>
          <w:szCs w:val="20"/>
          <w:lang w:val="pt-BR"/>
        </w:rPr>
        <w:t xml:space="preserve"> determinadas</w:t>
      </w:r>
      <w:r w:rsidR="00E045D9" w:rsidRPr="00D5464D">
        <w:rPr>
          <w:rFonts w:cs="Arial"/>
          <w:iCs/>
          <w:szCs w:val="20"/>
          <w:lang w:val="pt-BR"/>
        </w:rPr>
        <w:t xml:space="preserve"> na </w:t>
      </w:r>
      <w:r w:rsidR="00D53175" w:rsidRPr="00D5464D">
        <w:rPr>
          <w:rFonts w:cs="Arial"/>
          <w:iCs/>
          <w:szCs w:val="20"/>
          <w:lang w:val="pt-BR"/>
        </w:rPr>
        <w:t xml:space="preserve">presente </w:t>
      </w:r>
      <w:r w:rsidR="002C330E" w:rsidRPr="00D5464D">
        <w:rPr>
          <w:rFonts w:cs="Arial"/>
          <w:iCs/>
          <w:szCs w:val="20"/>
          <w:lang w:val="pt-BR"/>
        </w:rPr>
        <w:t>Sentença</w:t>
      </w:r>
      <w:r w:rsidR="00D53175" w:rsidRPr="00D5464D">
        <w:rPr>
          <w:rFonts w:cs="Arial"/>
          <w:iCs/>
          <w:szCs w:val="20"/>
          <w:lang w:val="pt-BR"/>
        </w:rPr>
        <w:t xml:space="preserve"> </w:t>
      </w:r>
      <w:r w:rsidRPr="00D5464D">
        <w:rPr>
          <w:rFonts w:cs="Arial"/>
          <w:iCs/>
          <w:szCs w:val="20"/>
          <w:lang w:val="pt-BR"/>
        </w:rPr>
        <w:t xml:space="preserve">em relação </w:t>
      </w:r>
      <w:r w:rsidR="00D53175" w:rsidRPr="00D5464D">
        <w:rPr>
          <w:rFonts w:cs="Arial"/>
          <w:iCs/>
          <w:szCs w:val="20"/>
          <w:lang w:val="pt-BR"/>
        </w:rPr>
        <w:t xml:space="preserve">a grupos diferentes de </w:t>
      </w:r>
      <w:r w:rsidR="00E045D9" w:rsidRPr="00D5464D">
        <w:rPr>
          <w:rFonts w:cs="Arial"/>
          <w:iCs/>
          <w:szCs w:val="20"/>
          <w:lang w:val="pt-BR"/>
        </w:rPr>
        <w:t>trabalhadores</w:t>
      </w:r>
      <w:r w:rsidR="00470ADC" w:rsidRPr="00D5464D">
        <w:rPr>
          <w:rFonts w:cs="Arial"/>
          <w:iCs/>
          <w:szCs w:val="20"/>
          <w:lang w:val="pt-BR"/>
        </w:rPr>
        <w:t xml:space="preserve"> com </w:t>
      </w:r>
      <w:r w:rsidR="00D53175" w:rsidRPr="00D5464D">
        <w:rPr>
          <w:rFonts w:cs="Arial"/>
          <w:iCs/>
          <w:szCs w:val="20"/>
          <w:lang w:val="pt-BR"/>
        </w:rPr>
        <w:t xml:space="preserve">base </w:t>
      </w:r>
      <w:r w:rsidRPr="00D5464D">
        <w:rPr>
          <w:rFonts w:cs="Arial"/>
          <w:iCs/>
          <w:szCs w:val="20"/>
          <w:lang w:val="pt-BR"/>
        </w:rPr>
        <w:t>em</w:t>
      </w:r>
      <w:r w:rsidR="00D53175" w:rsidRPr="00D5464D">
        <w:rPr>
          <w:rFonts w:cs="Arial"/>
          <w:iCs/>
          <w:szCs w:val="20"/>
          <w:lang w:val="pt-BR"/>
        </w:rPr>
        <w:t xml:space="preserve"> </w:t>
      </w:r>
      <w:r w:rsidR="002C330E" w:rsidRPr="00D5464D">
        <w:rPr>
          <w:rFonts w:cs="Arial"/>
          <w:iCs/>
          <w:szCs w:val="20"/>
          <w:lang w:val="pt-BR"/>
        </w:rPr>
        <w:t>fatos</w:t>
      </w:r>
      <w:r w:rsidR="00E045D9" w:rsidRPr="00D5464D">
        <w:rPr>
          <w:rFonts w:cs="Arial"/>
          <w:iCs/>
          <w:szCs w:val="20"/>
          <w:lang w:val="pt-BR"/>
        </w:rPr>
        <w:t xml:space="preserve"> e </w:t>
      </w:r>
      <w:r w:rsidR="00D53175" w:rsidRPr="00D5464D">
        <w:rPr>
          <w:rFonts w:cs="Arial"/>
          <w:iCs/>
          <w:szCs w:val="20"/>
          <w:lang w:val="pt-BR"/>
        </w:rPr>
        <w:t>viola</w:t>
      </w:r>
      <w:r w:rsidR="00470ADC" w:rsidRPr="00D5464D">
        <w:rPr>
          <w:rFonts w:cs="Arial"/>
          <w:iCs/>
          <w:szCs w:val="20"/>
          <w:lang w:val="pt-BR"/>
        </w:rPr>
        <w:t>ções</w:t>
      </w:r>
      <w:r w:rsidR="00D53175" w:rsidRPr="00D5464D">
        <w:rPr>
          <w:rFonts w:cs="Arial"/>
          <w:iCs/>
          <w:szCs w:val="20"/>
          <w:lang w:val="pt-BR"/>
        </w:rPr>
        <w:t xml:space="preserve"> de </w:t>
      </w:r>
      <w:r w:rsidR="00470ADC" w:rsidRPr="00D5464D">
        <w:rPr>
          <w:rFonts w:cs="Arial"/>
          <w:iCs/>
          <w:szCs w:val="20"/>
          <w:lang w:val="pt-BR"/>
        </w:rPr>
        <w:t>caráter</w:t>
      </w:r>
      <w:r w:rsidRPr="00D5464D">
        <w:rPr>
          <w:rFonts w:cs="Arial"/>
          <w:iCs/>
          <w:szCs w:val="20"/>
          <w:lang w:val="pt-BR"/>
        </w:rPr>
        <w:t xml:space="preserve"> diferente</w:t>
      </w:r>
      <w:r w:rsidR="004B0842" w:rsidRPr="00D5464D">
        <w:rPr>
          <w:rFonts w:cs="Arial"/>
          <w:iCs/>
          <w:szCs w:val="20"/>
          <w:lang w:val="pt-BR"/>
        </w:rPr>
        <w:t xml:space="preserve">, este Tribunal </w:t>
      </w:r>
      <w:r w:rsidR="00230C71" w:rsidRPr="00D5464D">
        <w:rPr>
          <w:rFonts w:cs="Arial"/>
          <w:iCs/>
          <w:szCs w:val="20"/>
          <w:lang w:val="pt-BR"/>
        </w:rPr>
        <w:t>fixa</w:t>
      </w:r>
      <w:r w:rsidR="00470ADC" w:rsidRPr="00D5464D">
        <w:rPr>
          <w:rFonts w:cs="Arial"/>
          <w:iCs/>
          <w:szCs w:val="20"/>
          <w:lang w:val="pt-BR"/>
        </w:rPr>
        <w:t xml:space="preserve"> em </w:t>
      </w:r>
      <w:r w:rsidR="00350187" w:rsidRPr="00D5464D">
        <w:rPr>
          <w:rFonts w:cs="Arial"/>
          <w:iCs/>
          <w:szCs w:val="20"/>
          <w:lang w:val="pt-BR"/>
        </w:rPr>
        <w:t>equidade a</w:t>
      </w:r>
      <w:r w:rsidR="00E045D9" w:rsidRPr="00D5464D">
        <w:rPr>
          <w:rFonts w:cs="Arial"/>
          <w:iCs/>
          <w:szCs w:val="20"/>
          <w:lang w:val="pt-BR"/>
        </w:rPr>
        <w:t xml:space="preserve"> soma </w:t>
      </w:r>
      <w:r w:rsidR="00D53175" w:rsidRPr="00D5464D">
        <w:rPr>
          <w:rFonts w:cs="Arial"/>
          <w:iCs/>
          <w:szCs w:val="20"/>
          <w:lang w:val="pt-BR"/>
        </w:rPr>
        <w:t>de US$ 30</w:t>
      </w:r>
      <w:r w:rsidR="004B0842" w:rsidRPr="00D5464D">
        <w:rPr>
          <w:rFonts w:cs="Arial"/>
          <w:iCs/>
          <w:szCs w:val="20"/>
          <w:lang w:val="pt-BR"/>
        </w:rPr>
        <w:t>.000,00 (</w:t>
      </w:r>
      <w:r w:rsidR="00E045D9" w:rsidRPr="00D5464D">
        <w:rPr>
          <w:rFonts w:cs="Arial"/>
          <w:iCs/>
          <w:szCs w:val="20"/>
          <w:lang w:val="pt-BR"/>
        </w:rPr>
        <w:t>trinta</w:t>
      </w:r>
      <w:r w:rsidR="004B0842" w:rsidRPr="00D5464D">
        <w:rPr>
          <w:rFonts w:cs="Arial"/>
          <w:iCs/>
          <w:szCs w:val="20"/>
          <w:lang w:val="pt-BR"/>
        </w:rPr>
        <w:t xml:space="preserve"> mil dólares</w:t>
      </w:r>
      <w:r w:rsidR="00470ADC" w:rsidRPr="00D5464D">
        <w:rPr>
          <w:rFonts w:cs="Arial"/>
          <w:iCs/>
          <w:szCs w:val="20"/>
          <w:lang w:val="pt-BR"/>
        </w:rPr>
        <w:t xml:space="preserve"> dos Estados Unidos da América</w:t>
      </w:r>
      <w:r w:rsidR="004B0842" w:rsidRPr="00D5464D">
        <w:rPr>
          <w:rFonts w:cs="Arial"/>
          <w:iCs/>
          <w:szCs w:val="20"/>
          <w:lang w:val="pt-BR"/>
        </w:rPr>
        <w:t xml:space="preserve">) para </w:t>
      </w:r>
      <w:r w:rsidR="00737270" w:rsidRPr="00D5464D">
        <w:rPr>
          <w:rFonts w:cs="Arial"/>
          <w:iCs/>
          <w:szCs w:val="20"/>
          <w:lang w:val="pt-BR"/>
        </w:rPr>
        <w:t>cada</w:t>
      </w:r>
      <w:r w:rsidR="00E765C2" w:rsidRPr="00D5464D">
        <w:rPr>
          <w:rFonts w:cs="Arial"/>
          <w:iCs/>
          <w:szCs w:val="20"/>
          <w:lang w:val="pt-BR"/>
        </w:rPr>
        <w:t xml:space="preserve"> um dos </w:t>
      </w:r>
      <w:r w:rsidR="004B0842" w:rsidRPr="00D5464D">
        <w:rPr>
          <w:rFonts w:cs="Arial"/>
          <w:iCs/>
          <w:szCs w:val="20"/>
          <w:lang w:val="pt-BR"/>
        </w:rPr>
        <w:t xml:space="preserve">43 </w:t>
      </w:r>
      <w:r w:rsidR="00E045D9" w:rsidRPr="00D5464D">
        <w:rPr>
          <w:rFonts w:cs="Arial"/>
          <w:iCs/>
          <w:szCs w:val="20"/>
          <w:lang w:val="pt-BR"/>
        </w:rPr>
        <w:t>trabalhadores</w:t>
      </w:r>
      <w:r w:rsidR="00470ADC" w:rsidRPr="00D5464D">
        <w:rPr>
          <w:rFonts w:cs="Arial"/>
          <w:iCs/>
          <w:szCs w:val="20"/>
          <w:lang w:val="pt-BR"/>
        </w:rPr>
        <w:t xml:space="preserve"> da </w:t>
      </w:r>
      <w:r w:rsidR="00D809F0" w:rsidRPr="00D5464D">
        <w:rPr>
          <w:rFonts w:cs="Arial"/>
          <w:iCs/>
          <w:szCs w:val="20"/>
          <w:lang w:val="pt-BR"/>
        </w:rPr>
        <w:t>Fazenda</w:t>
      </w:r>
      <w:r w:rsidR="004B0842" w:rsidRPr="00D5464D">
        <w:rPr>
          <w:rFonts w:cs="Arial"/>
          <w:iCs/>
          <w:szCs w:val="20"/>
          <w:lang w:val="pt-BR"/>
        </w:rPr>
        <w:t xml:space="preserve"> Brasil Verde que </w:t>
      </w:r>
      <w:r w:rsidRPr="00D5464D">
        <w:rPr>
          <w:rFonts w:cs="Arial"/>
          <w:iCs/>
          <w:szCs w:val="20"/>
          <w:lang w:val="pt-BR"/>
        </w:rPr>
        <w:t xml:space="preserve">foram encontrados </w:t>
      </w:r>
      <w:r w:rsidR="004B0842" w:rsidRPr="00D5464D">
        <w:rPr>
          <w:rFonts w:cs="Arial"/>
          <w:iCs/>
          <w:szCs w:val="20"/>
          <w:lang w:val="pt-BR"/>
        </w:rPr>
        <w:t>durante</w:t>
      </w:r>
      <w:r w:rsidR="002C330E" w:rsidRPr="00D5464D">
        <w:rPr>
          <w:rFonts w:cs="Arial"/>
          <w:iCs/>
          <w:szCs w:val="20"/>
          <w:lang w:val="pt-BR"/>
        </w:rPr>
        <w:t xml:space="preserve"> a </w:t>
      </w:r>
      <w:r w:rsidR="004B0842" w:rsidRPr="00D5464D">
        <w:rPr>
          <w:rFonts w:cs="Arial"/>
          <w:iCs/>
          <w:szCs w:val="20"/>
          <w:lang w:val="pt-BR"/>
        </w:rPr>
        <w:t>fiscaliza</w:t>
      </w:r>
      <w:r w:rsidR="00470ADC" w:rsidRPr="00D5464D">
        <w:rPr>
          <w:rFonts w:cs="Arial"/>
          <w:iCs/>
          <w:szCs w:val="20"/>
          <w:lang w:val="pt-BR"/>
        </w:rPr>
        <w:t>ção</w:t>
      </w:r>
      <w:r w:rsidR="004B0842" w:rsidRPr="00D5464D">
        <w:rPr>
          <w:rFonts w:cs="Arial"/>
          <w:iCs/>
          <w:szCs w:val="20"/>
          <w:lang w:val="pt-BR"/>
        </w:rPr>
        <w:t xml:space="preserve"> de 23 de abril de 1997</w:t>
      </w:r>
      <w:r w:rsidR="00E045D9" w:rsidRPr="00D5464D">
        <w:rPr>
          <w:rFonts w:cs="Arial"/>
          <w:iCs/>
          <w:szCs w:val="20"/>
          <w:lang w:val="pt-BR"/>
        </w:rPr>
        <w:t xml:space="preserve"> e </w:t>
      </w:r>
      <w:r w:rsidR="004B0842" w:rsidRPr="00D5464D">
        <w:rPr>
          <w:rFonts w:cs="Arial"/>
          <w:iCs/>
          <w:szCs w:val="20"/>
          <w:lang w:val="pt-BR"/>
        </w:rPr>
        <w:t xml:space="preserve">que </w:t>
      </w:r>
      <w:r w:rsidR="00470ADC" w:rsidRPr="00D5464D">
        <w:rPr>
          <w:rFonts w:cs="Arial"/>
          <w:iCs/>
          <w:szCs w:val="20"/>
          <w:lang w:val="pt-BR"/>
        </w:rPr>
        <w:t>foram</w:t>
      </w:r>
      <w:r w:rsidR="004B0842" w:rsidRPr="00D5464D">
        <w:rPr>
          <w:rFonts w:cs="Arial"/>
          <w:iCs/>
          <w:szCs w:val="20"/>
          <w:lang w:val="pt-BR"/>
        </w:rPr>
        <w:t xml:space="preserve"> identificados</w:t>
      </w:r>
      <w:r w:rsidR="002C330E" w:rsidRPr="00D5464D">
        <w:rPr>
          <w:rFonts w:cs="Arial"/>
          <w:iCs/>
          <w:szCs w:val="20"/>
          <w:lang w:val="pt-BR"/>
        </w:rPr>
        <w:t xml:space="preserve"> pela </w:t>
      </w:r>
      <w:r w:rsidR="004B0842" w:rsidRPr="00D5464D">
        <w:rPr>
          <w:rFonts w:cs="Arial"/>
          <w:iCs/>
          <w:szCs w:val="20"/>
          <w:lang w:val="pt-BR"/>
        </w:rPr>
        <w:t>Corte</w:t>
      </w:r>
      <w:r w:rsidR="00E045D9" w:rsidRPr="00D5464D">
        <w:rPr>
          <w:rFonts w:cs="Arial"/>
          <w:iCs/>
          <w:szCs w:val="20"/>
          <w:lang w:val="pt-BR"/>
        </w:rPr>
        <w:t xml:space="preserve"> no </w:t>
      </w:r>
      <w:r w:rsidR="004B0842" w:rsidRPr="00D5464D">
        <w:rPr>
          <w:rFonts w:cs="Arial"/>
          <w:iCs/>
          <w:szCs w:val="20"/>
          <w:lang w:val="pt-BR"/>
        </w:rPr>
        <w:t xml:space="preserve">presente </w:t>
      </w:r>
      <w:r w:rsidR="002C330E" w:rsidRPr="00D5464D">
        <w:rPr>
          <w:rFonts w:cs="Arial"/>
          <w:iCs/>
          <w:szCs w:val="20"/>
          <w:lang w:val="pt-BR"/>
        </w:rPr>
        <w:t>litígio</w:t>
      </w:r>
      <w:r w:rsidR="004B0842" w:rsidRPr="00D5464D">
        <w:rPr>
          <w:rFonts w:cs="Arial"/>
          <w:iCs/>
          <w:szCs w:val="20"/>
          <w:lang w:val="pt-BR"/>
        </w:rPr>
        <w:t xml:space="preserve"> (</w:t>
      </w:r>
      <w:r w:rsidR="00C85EA9" w:rsidRPr="00D5464D">
        <w:rPr>
          <w:rFonts w:cs="Arial"/>
          <w:iCs/>
          <w:szCs w:val="20"/>
          <w:lang w:val="pt-BR"/>
        </w:rPr>
        <w:t xml:space="preserve">par. </w:t>
      </w:r>
      <w:r w:rsidR="00D036E7" w:rsidRPr="00D5464D">
        <w:rPr>
          <w:rFonts w:cs="Arial"/>
          <w:iCs/>
          <w:szCs w:val="20"/>
          <w:lang w:val="pt-BR"/>
        </w:rPr>
        <w:t xml:space="preserve">199 </w:t>
      </w:r>
      <w:r w:rsidR="00D036E7" w:rsidRPr="00D5464D">
        <w:rPr>
          <w:rFonts w:cs="Arial"/>
          <w:i/>
          <w:iCs/>
          <w:szCs w:val="20"/>
          <w:lang w:val="pt-BR"/>
        </w:rPr>
        <w:t>supra</w:t>
      </w:r>
      <w:r w:rsidR="00D036E7" w:rsidRPr="00D5464D">
        <w:rPr>
          <w:rFonts w:cs="Arial"/>
          <w:iCs/>
          <w:szCs w:val="20"/>
          <w:lang w:val="pt-BR"/>
        </w:rPr>
        <w:t>)</w:t>
      </w:r>
      <w:r w:rsidR="002A0C2B" w:rsidRPr="00D5464D">
        <w:rPr>
          <w:rFonts w:cs="Arial"/>
          <w:iCs/>
          <w:szCs w:val="20"/>
          <w:lang w:val="pt-BR"/>
        </w:rPr>
        <w:t xml:space="preserve"> e </w:t>
      </w:r>
      <w:r w:rsidR="002C330E" w:rsidRPr="00D5464D">
        <w:rPr>
          <w:rFonts w:cs="Arial"/>
          <w:iCs/>
          <w:szCs w:val="20"/>
          <w:lang w:val="pt-BR"/>
        </w:rPr>
        <w:t xml:space="preserve">a </w:t>
      </w:r>
      <w:r w:rsidR="00E045D9" w:rsidRPr="00D5464D">
        <w:rPr>
          <w:rFonts w:cs="Arial"/>
          <w:iCs/>
          <w:szCs w:val="20"/>
          <w:lang w:val="pt-BR"/>
        </w:rPr>
        <w:t xml:space="preserve">soma </w:t>
      </w:r>
      <w:r w:rsidR="004B0842" w:rsidRPr="00D5464D">
        <w:rPr>
          <w:rFonts w:cs="Arial"/>
          <w:iCs/>
          <w:szCs w:val="20"/>
          <w:lang w:val="pt-BR"/>
        </w:rPr>
        <w:t>de US$ 40.000,00 (</w:t>
      </w:r>
      <w:r w:rsidR="00C91CB1" w:rsidRPr="00D5464D">
        <w:rPr>
          <w:rFonts w:cs="Arial"/>
          <w:iCs/>
          <w:szCs w:val="20"/>
          <w:lang w:val="pt-BR"/>
        </w:rPr>
        <w:t>quarenta</w:t>
      </w:r>
      <w:r w:rsidR="004B0842" w:rsidRPr="00D5464D">
        <w:rPr>
          <w:rFonts w:cs="Arial"/>
          <w:iCs/>
          <w:szCs w:val="20"/>
          <w:lang w:val="pt-BR"/>
        </w:rPr>
        <w:t xml:space="preserve"> mil dólares</w:t>
      </w:r>
      <w:r w:rsidR="00470ADC" w:rsidRPr="00D5464D">
        <w:rPr>
          <w:rFonts w:cs="Arial"/>
          <w:iCs/>
          <w:szCs w:val="20"/>
          <w:lang w:val="pt-BR"/>
        </w:rPr>
        <w:t xml:space="preserve"> dos Estados Unidos da América</w:t>
      </w:r>
      <w:r w:rsidR="004B0842" w:rsidRPr="00D5464D">
        <w:rPr>
          <w:rFonts w:cs="Arial"/>
          <w:iCs/>
          <w:szCs w:val="20"/>
          <w:lang w:val="pt-BR"/>
        </w:rPr>
        <w:t xml:space="preserve">) para </w:t>
      </w:r>
      <w:r w:rsidR="00737270" w:rsidRPr="00D5464D">
        <w:rPr>
          <w:rFonts w:cs="Arial"/>
          <w:iCs/>
          <w:szCs w:val="20"/>
          <w:lang w:val="pt-BR"/>
        </w:rPr>
        <w:t>cada</w:t>
      </w:r>
      <w:r w:rsidR="00E765C2" w:rsidRPr="00D5464D">
        <w:rPr>
          <w:rFonts w:cs="Arial"/>
          <w:iCs/>
          <w:szCs w:val="20"/>
          <w:lang w:val="pt-BR"/>
        </w:rPr>
        <w:t xml:space="preserve"> um dos </w:t>
      </w:r>
      <w:r w:rsidR="004B0842" w:rsidRPr="00D5464D">
        <w:rPr>
          <w:rFonts w:cs="Arial"/>
          <w:iCs/>
          <w:szCs w:val="20"/>
          <w:lang w:val="pt-BR"/>
        </w:rPr>
        <w:t xml:space="preserve">85 </w:t>
      </w:r>
      <w:r w:rsidR="00E045D9" w:rsidRPr="00D5464D">
        <w:rPr>
          <w:rFonts w:cs="Arial"/>
          <w:iCs/>
          <w:szCs w:val="20"/>
          <w:lang w:val="pt-BR"/>
        </w:rPr>
        <w:t>trabalhadores</w:t>
      </w:r>
      <w:r w:rsidR="00470ADC" w:rsidRPr="00D5464D">
        <w:rPr>
          <w:rFonts w:cs="Arial"/>
          <w:iCs/>
          <w:szCs w:val="20"/>
          <w:lang w:val="pt-BR"/>
        </w:rPr>
        <w:t xml:space="preserve"> da </w:t>
      </w:r>
      <w:r w:rsidR="00D809F0" w:rsidRPr="00D5464D">
        <w:rPr>
          <w:rFonts w:cs="Arial"/>
          <w:iCs/>
          <w:szCs w:val="20"/>
          <w:lang w:val="pt-BR"/>
        </w:rPr>
        <w:t>Fazenda</w:t>
      </w:r>
      <w:r w:rsidR="004B0842" w:rsidRPr="00D5464D">
        <w:rPr>
          <w:rFonts w:cs="Arial"/>
          <w:iCs/>
          <w:szCs w:val="20"/>
          <w:lang w:val="pt-BR"/>
        </w:rPr>
        <w:t xml:space="preserve"> Brasil Verde que </w:t>
      </w:r>
      <w:r w:rsidRPr="00D5464D">
        <w:rPr>
          <w:rFonts w:cs="Arial"/>
          <w:iCs/>
          <w:szCs w:val="20"/>
          <w:lang w:val="pt-BR"/>
        </w:rPr>
        <w:t xml:space="preserve">foram encontrados </w:t>
      </w:r>
      <w:r w:rsidR="004B0842" w:rsidRPr="00D5464D">
        <w:rPr>
          <w:rFonts w:cs="Arial"/>
          <w:iCs/>
          <w:szCs w:val="20"/>
          <w:lang w:val="pt-BR"/>
        </w:rPr>
        <w:t>durante</w:t>
      </w:r>
      <w:r w:rsidR="002C330E" w:rsidRPr="00D5464D">
        <w:rPr>
          <w:rFonts w:cs="Arial"/>
          <w:iCs/>
          <w:szCs w:val="20"/>
          <w:lang w:val="pt-BR"/>
        </w:rPr>
        <w:t xml:space="preserve"> a </w:t>
      </w:r>
      <w:r w:rsidR="004B0842" w:rsidRPr="00D5464D">
        <w:rPr>
          <w:rFonts w:cs="Arial"/>
          <w:iCs/>
          <w:szCs w:val="20"/>
          <w:lang w:val="pt-BR"/>
        </w:rPr>
        <w:t>fiscaliza</w:t>
      </w:r>
      <w:r w:rsidR="00470ADC" w:rsidRPr="00D5464D">
        <w:rPr>
          <w:rFonts w:cs="Arial"/>
          <w:iCs/>
          <w:szCs w:val="20"/>
          <w:lang w:val="pt-BR"/>
        </w:rPr>
        <w:t>ção</w:t>
      </w:r>
      <w:r w:rsidR="004B0842" w:rsidRPr="00D5464D">
        <w:rPr>
          <w:rFonts w:cs="Arial"/>
          <w:iCs/>
          <w:szCs w:val="20"/>
          <w:lang w:val="pt-BR"/>
        </w:rPr>
        <w:t xml:space="preserve"> de 15 de </w:t>
      </w:r>
      <w:r w:rsidR="002C330E" w:rsidRPr="00D5464D">
        <w:rPr>
          <w:rFonts w:cs="Arial"/>
          <w:iCs/>
          <w:szCs w:val="20"/>
          <w:lang w:val="pt-BR"/>
        </w:rPr>
        <w:t>março</w:t>
      </w:r>
      <w:r w:rsidR="004B0842" w:rsidRPr="00D5464D">
        <w:rPr>
          <w:rFonts w:cs="Arial"/>
          <w:iCs/>
          <w:szCs w:val="20"/>
          <w:lang w:val="pt-BR"/>
        </w:rPr>
        <w:t xml:space="preserve"> de 2000</w:t>
      </w:r>
      <w:r w:rsidR="00E045D9" w:rsidRPr="00D5464D">
        <w:rPr>
          <w:rFonts w:cs="Arial"/>
          <w:iCs/>
          <w:szCs w:val="20"/>
          <w:lang w:val="pt-BR"/>
        </w:rPr>
        <w:t xml:space="preserve"> e </w:t>
      </w:r>
      <w:r w:rsidR="004B0842" w:rsidRPr="00D5464D">
        <w:rPr>
          <w:rFonts w:cs="Arial"/>
          <w:iCs/>
          <w:szCs w:val="20"/>
          <w:lang w:val="pt-BR"/>
        </w:rPr>
        <w:t xml:space="preserve">que </w:t>
      </w:r>
      <w:r w:rsidR="00470ADC" w:rsidRPr="00D5464D">
        <w:rPr>
          <w:rFonts w:cs="Arial"/>
          <w:iCs/>
          <w:szCs w:val="20"/>
          <w:lang w:val="pt-BR"/>
        </w:rPr>
        <w:t>foram</w:t>
      </w:r>
      <w:r w:rsidR="004B0842" w:rsidRPr="00D5464D">
        <w:rPr>
          <w:rFonts w:cs="Arial"/>
          <w:iCs/>
          <w:szCs w:val="20"/>
          <w:lang w:val="pt-BR"/>
        </w:rPr>
        <w:t xml:space="preserve"> identificados</w:t>
      </w:r>
      <w:r w:rsidR="002C330E" w:rsidRPr="00D5464D">
        <w:rPr>
          <w:rFonts w:cs="Arial"/>
          <w:iCs/>
          <w:szCs w:val="20"/>
          <w:lang w:val="pt-BR"/>
        </w:rPr>
        <w:t xml:space="preserve"> pela </w:t>
      </w:r>
      <w:r w:rsidR="004B0842" w:rsidRPr="00D5464D">
        <w:rPr>
          <w:rFonts w:cs="Arial"/>
          <w:iCs/>
          <w:szCs w:val="20"/>
          <w:lang w:val="pt-BR"/>
        </w:rPr>
        <w:t>Corte</w:t>
      </w:r>
      <w:r w:rsidR="00E045D9" w:rsidRPr="00D5464D">
        <w:rPr>
          <w:rFonts w:cs="Arial"/>
          <w:iCs/>
          <w:szCs w:val="20"/>
          <w:lang w:val="pt-BR"/>
        </w:rPr>
        <w:t xml:space="preserve"> no </w:t>
      </w:r>
      <w:r w:rsidR="004B0842" w:rsidRPr="00D5464D">
        <w:rPr>
          <w:rFonts w:cs="Arial"/>
          <w:iCs/>
          <w:szCs w:val="20"/>
          <w:lang w:val="pt-BR"/>
        </w:rPr>
        <w:t xml:space="preserve">presente </w:t>
      </w:r>
      <w:r w:rsidR="002C330E" w:rsidRPr="00D5464D">
        <w:rPr>
          <w:rFonts w:cs="Arial"/>
          <w:iCs/>
          <w:szCs w:val="20"/>
          <w:lang w:val="pt-BR"/>
        </w:rPr>
        <w:t>litígio</w:t>
      </w:r>
      <w:r w:rsidR="004B0842" w:rsidRPr="00D5464D">
        <w:rPr>
          <w:rFonts w:cs="Arial"/>
          <w:iCs/>
          <w:szCs w:val="20"/>
          <w:lang w:val="pt-BR"/>
        </w:rPr>
        <w:t xml:space="preserve"> (</w:t>
      </w:r>
      <w:r w:rsidR="00C85EA9" w:rsidRPr="00D5464D">
        <w:rPr>
          <w:rFonts w:cs="Arial"/>
          <w:iCs/>
          <w:szCs w:val="20"/>
          <w:lang w:val="pt-BR"/>
        </w:rPr>
        <w:t xml:space="preserve">par. </w:t>
      </w:r>
      <w:r w:rsidR="00D036E7" w:rsidRPr="00D5464D">
        <w:rPr>
          <w:rFonts w:cs="Arial"/>
          <w:iCs/>
          <w:szCs w:val="20"/>
          <w:lang w:val="pt-BR"/>
        </w:rPr>
        <w:t xml:space="preserve">206 </w:t>
      </w:r>
      <w:r w:rsidR="00D036E7" w:rsidRPr="00D5464D">
        <w:rPr>
          <w:rFonts w:cs="Arial"/>
          <w:i/>
          <w:iCs/>
          <w:szCs w:val="20"/>
          <w:lang w:val="pt-BR"/>
        </w:rPr>
        <w:t>supra</w:t>
      </w:r>
      <w:r w:rsidR="00D036E7" w:rsidRPr="00D5464D">
        <w:rPr>
          <w:rFonts w:cs="Arial"/>
          <w:iCs/>
          <w:szCs w:val="20"/>
          <w:lang w:val="pt-BR"/>
        </w:rPr>
        <w:t>)</w:t>
      </w:r>
      <w:r w:rsidR="004B0842" w:rsidRPr="00D5464D">
        <w:rPr>
          <w:rFonts w:cs="Arial"/>
          <w:iCs/>
          <w:szCs w:val="20"/>
          <w:lang w:val="pt-BR"/>
        </w:rPr>
        <w:t xml:space="preserve">. </w:t>
      </w:r>
    </w:p>
    <w:p w14:paraId="10DE59D6" w14:textId="77777777" w:rsidR="00E94DEB" w:rsidRPr="00D5464D" w:rsidRDefault="00E94DEB" w:rsidP="00E94DEB">
      <w:pPr>
        <w:pStyle w:val="Prrafodelista"/>
        <w:autoSpaceDE w:val="0"/>
        <w:autoSpaceDN w:val="0"/>
        <w:adjustRightInd w:val="0"/>
        <w:ind w:left="0"/>
        <w:rPr>
          <w:rFonts w:cs="Arial"/>
          <w:iCs/>
          <w:szCs w:val="20"/>
          <w:lang w:val="pt-BR"/>
        </w:rPr>
      </w:pPr>
    </w:p>
    <w:p w14:paraId="474AC229" w14:textId="7552A97A" w:rsidR="004B0842" w:rsidRPr="00D5464D" w:rsidRDefault="00470ADC"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A </w:t>
      </w:r>
      <w:r w:rsidR="004B0842" w:rsidRPr="00D5464D">
        <w:rPr>
          <w:rFonts w:cs="Arial"/>
          <w:iCs/>
          <w:szCs w:val="20"/>
          <w:lang w:val="pt-BR"/>
        </w:rPr>
        <w:t>Corte considera que</w:t>
      </w:r>
      <w:r w:rsidR="002C330E" w:rsidRPr="00D5464D">
        <w:rPr>
          <w:rFonts w:cs="Arial"/>
          <w:iCs/>
          <w:szCs w:val="20"/>
          <w:lang w:val="pt-BR"/>
        </w:rPr>
        <w:t xml:space="preserve"> os </w:t>
      </w:r>
      <w:r w:rsidR="00A1358C" w:rsidRPr="00D5464D">
        <w:rPr>
          <w:rFonts w:cs="Arial"/>
          <w:iCs/>
          <w:szCs w:val="20"/>
          <w:lang w:val="pt-BR"/>
        </w:rPr>
        <w:t>montantes</w:t>
      </w:r>
      <w:r w:rsidR="004B0842" w:rsidRPr="00D5464D">
        <w:rPr>
          <w:rFonts w:cs="Arial"/>
          <w:iCs/>
          <w:szCs w:val="20"/>
          <w:lang w:val="pt-BR"/>
        </w:rPr>
        <w:t xml:space="preserve"> determinados</w:t>
      </w:r>
      <w:r w:rsidRPr="00D5464D">
        <w:rPr>
          <w:rFonts w:cs="Arial"/>
          <w:iCs/>
          <w:szCs w:val="20"/>
          <w:lang w:val="pt-BR"/>
        </w:rPr>
        <w:t xml:space="preserve"> em equidade </w:t>
      </w:r>
      <w:r w:rsidR="00C91CB1" w:rsidRPr="00D5464D">
        <w:rPr>
          <w:rFonts w:cs="Arial"/>
          <w:iCs/>
          <w:szCs w:val="20"/>
          <w:lang w:val="pt-BR"/>
        </w:rPr>
        <w:t>a título de</w:t>
      </w:r>
      <w:r w:rsidR="004B0842" w:rsidRPr="00D5464D">
        <w:rPr>
          <w:rFonts w:cs="Arial"/>
          <w:iCs/>
          <w:szCs w:val="20"/>
          <w:lang w:val="pt-BR"/>
        </w:rPr>
        <w:t xml:space="preserve"> </w:t>
      </w:r>
      <w:r w:rsidR="002C330E" w:rsidRPr="00D5464D">
        <w:rPr>
          <w:rFonts w:cs="Arial"/>
          <w:iCs/>
          <w:szCs w:val="20"/>
          <w:lang w:val="pt-BR"/>
        </w:rPr>
        <w:t>pagamento</w:t>
      </w:r>
      <w:r w:rsidR="004B0842" w:rsidRPr="00D5464D">
        <w:rPr>
          <w:rFonts w:cs="Arial"/>
          <w:iCs/>
          <w:szCs w:val="20"/>
          <w:lang w:val="pt-BR"/>
        </w:rPr>
        <w:t xml:space="preserve"> de</w:t>
      </w:r>
      <w:r w:rsidRPr="00D5464D">
        <w:rPr>
          <w:rFonts w:cs="Arial"/>
          <w:iCs/>
          <w:szCs w:val="20"/>
          <w:lang w:val="pt-BR"/>
        </w:rPr>
        <w:t xml:space="preserve"> dano</w:t>
      </w:r>
      <w:r w:rsidR="004B0842" w:rsidRPr="00D5464D">
        <w:rPr>
          <w:rFonts w:cs="Arial"/>
          <w:iCs/>
          <w:szCs w:val="20"/>
          <w:lang w:val="pt-BR"/>
        </w:rPr>
        <w:t xml:space="preserve"> </w:t>
      </w:r>
      <w:r w:rsidR="002C330E" w:rsidRPr="00D5464D">
        <w:rPr>
          <w:rFonts w:cs="Arial"/>
          <w:iCs/>
          <w:szCs w:val="20"/>
          <w:lang w:val="pt-BR"/>
        </w:rPr>
        <w:t>imaterial</w:t>
      </w:r>
      <w:r w:rsidR="004B0842" w:rsidRPr="00D5464D">
        <w:rPr>
          <w:rFonts w:cs="Arial"/>
          <w:iCs/>
          <w:szCs w:val="20"/>
          <w:lang w:val="pt-BR"/>
        </w:rPr>
        <w:t xml:space="preserve"> para </w:t>
      </w:r>
      <w:r w:rsidR="00737270" w:rsidRPr="00D5464D">
        <w:rPr>
          <w:rFonts w:cs="Arial"/>
          <w:iCs/>
          <w:szCs w:val="20"/>
          <w:lang w:val="pt-BR"/>
        </w:rPr>
        <w:t>cada</w:t>
      </w:r>
      <w:r w:rsidR="00E765C2" w:rsidRPr="00D5464D">
        <w:rPr>
          <w:rFonts w:cs="Arial"/>
          <w:iCs/>
          <w:szCs w:val="20"/>
          <w:lang w:val="pt-BR"/>
        </w:rPr>
        <w:t xml:space="preserve"> um dos </w:t>
      </w:r>
      <w:r w:rsidR="00E045D9" w:rsidRPr="00D5464D">
        <w:rPr>
          <w:rFonts w:cs="Arial"/>
          <w:iCs/>
          <w:szCs w:val="20"/>
          <w:lang w:val="pt-BR"/>
        </w:rPr>
        <w:t>trabalhadores</w:t>
      </w:r>
      <w:r w:rsidRPr="00D5464D">
        <w:rPr>
          <w:rFonts w:cs="Arial"/>
          <w:iCs/>
          <w:szCs w:val="20"/>
          <w:lang w:val="pt-BR"/>
        </w:rPr>
        <w:t xml:space="preserve"> da </w:t>
      </w:r>
      <w:r w:rsidR="00D809F0" w:rsidRPr="00D5464D">
        <w:rPr>
          <w:rFonts w:cs="Arial"/>
          <w:iCs/>
          <w:szCs w:val="20"/>
          <w:lang w:val="pt-BR"/>
        </w:rPr>
        <w:t>Fazenda</w:t>
      </w:r>
      <w:r w:rsidR="004B0842" w:rsidRPr="00D5464D">
        <w:rPr>
          <w:rFonts w:cs="Arial"/>
          <w:iCs/>
          <w:szCs w:val="20"/>
          <w:lang w:val="pt-BR"/>
        </w:rPr>
        <w:t xml:space="preserve"> Brasil Verde</w:t>
      </w:r>
      <w:r w:rsidR="00017B54" w:rsidRPr="00D5464D">
        <w:rPr>
          <w:rFonts w:cs="Arial"/>
          <w:iCs/>
          <w:szCs w:val="20"/>
          <w:lang w:val="pt-BR"/>
        </w:rPr>
        <w:t>,</w:t>
      </w:r>
      <w:r w:rsidR="004B0842" w:rsidRPr="00D5464D">
        <w:rPr>
          <w:rFonts w:cs="Arial"/>
          <w:iCs/>
          <w:szCs w:val="20"/>
          <w:lang w:val="pt-BR"/>
        </w:rPr>
        <w:t xml:space="preserve"> encontrados</w:t>
      </w:r>
      <w:r w:rsidR="00E045D9" w:rsidRPr="00D5464D">
        <w:rPr>
          <w:rFonts w:cs="Arial"/>
          <w:iCs/>
          <w:szCs w:val="20"/>
          <w:lang w:val="pt-BR"/>
        </w:rPr>
        <w:t xml:space="preserve"> nas </w:t>
      </w:r>
      <w:r w:rsidR="004B0842" w:rsidRPr="00D5464D">
        <w:rPr>
          <w:rFonts w:cs="Arial"/>
          <w:iCs/>
          <w:szCs w:val="20"/>
          <w:lang w:val="pt-BR"/>
        </w:rPr>
        <w:t>fiscaliza</w:t>
      </w:r>
      <w:r w:rsidRPr="00D5464D">
        <w:rPr>
          <w:rFonts w:cs="Arial"/>
          <w:iCs/>
          <w:szCs w:val="20"/>
          <w:lang w:val="pt-BR"/>
        </w:rPr>
        <w:t>ções</w:t>
      </w:r>
      <w:r w:rsidR="004B0842" w:rsidRPr="00D5464D">
        <w:rPr>
          <w:rFonts w:cs="Arial"/>
          <w:iCs/>
          <w:szCs w:val="20"/>
          <w:lang w:val="pt-BR"/>
        </w:rPr>
        <w:t xml:space="preserve"> de 1997</w:t>
      </w:r>
      <w:r w:rsidR="00E045D9" w:rsidRPr="00D5464D">
        <w:rPr>
          <w:rFonts w:cs="Arial"/>
          <w:iCs/>
          <w:szCs w:val="20"/>
          <w:lang w:val="pt-BR"/>
        </w:rPr>
        <w:t xml:space="preserve"> e </w:t>
      </w:r>
      <w:r w:rsidR="004B0842" w:rsidRPr="00D5464D">
        <w:rPr>
          <w:rFonts w:cs="Arial"/>
          <w:iCs/>
          <w:szCs w:val="20"/>
          <w:lang w:val="pt-BR"/>
        </w:rPr>
        <w:t>2000, compensa</w:t>
      </w:r>
      <w:r w:rsidR="00306955" w:rsidRPr="00D5464D">
        <w:rPr>
          <w:rFonts w:cs="Arial"/>
          <w:iCs/>
          <w:szCs w:val="20"/>
          <w:lang w:val="pt-BR"/>
        </w:rPr>
        <w:t>m</w:t>
      </w:r>
      <w:r w:rsidR="00E045D9" w:rsidRPr="00D5464D">
        <w:rPr>
          <w:rFonts w:cs="Arial"/>
          <w:iCs/>
          <w:szCs w:val="20"/>
          <w:lang w:val="pt-BR"/>
        </w:rPr>
        <w:t xml:space="preserve"> e </w:t>
      </w:r>
      <w:r w:rsidR="004B0842" w:rsidRPr="00D5464D">
        <w:rPr>
          <w:rFonts w:cs="Arial"/>
          <w:iCs/>
          <w:szCs w:val="20"/>
          <w:lang w:val="pt-BR"/>
        </w:rPr>
        <w:t>forma</w:t>
      </w:r>
      <w:r w:rsidR="00306955" w:rsidRPr="00D5464D">
        <w:rPr>
          <w:rFonts w:cs="Arial"/>
          <w:iCs/>
          <w:szCs w:val="20"/>
          <w:lang w:val="pt-BR"/>
        </w:rPr>
        <w:t>m</w:t>
      </w:r>
      <w:r w:rsidR="004B0842" w:rsidRPr="00D5464D">
        <w:rPr>
          <w:rFonts w:cs="Arial"/>
          <w:iCs/>
          <w:szCs w:val="20"/>
          <w:lang w:val="pt-BR"/>
        </w:rPr>
        <w:t xml:space="preserve"> parte</w:t>
      </w:r>
      <w:r w:rsidRPr="00D5464D">
        <w:rPr>
          <w:rFonts w:cs="Arial"/>
          <w:iCs/>
          <w:szCs w:val="20"/>
          <w:lang w:val="pt-BR"/>
        </w:rPr>
        <w:t xml:space="preserve"> da </w:t>
      </w:r>
      <w:r w:rsidR="004B0842" w:rsidRPr="00D5464D">
        <w:rPr>
          <w:rFonts w:cs="Arial"/>
          <w:iCs/>
          <w:szCs w:val="20"/>
          <w:lang w:val="pt-BR"/>
        </w:rPr>
        <w:t>repara</w:t>
      </w:r>
      <w:r w:rsidRPr="00D5464D">
        <w:rPr>
          <w:rFonts w:cs="Arial"/>
          <w:iCs/>
          <w:szCs w:val="20"/>
          <w:lang w:val="pt-BR"/>
        </w:rPr>
        <w:t>ção</w:t>
      </w:r>
      <w:r w:rsidR="004B0842" w:rsidRPr="00D5464D">
        <w:rPr>
          <w:rFonts w:cs="Arial"/>
          <w:iCs/>
          <w:szCs w:val="20"/>
          <w:lang w:val="pt-BR"/>
        </w:rPr>
        <w:t xml:space="preserve"> integral</w:t>
      </w:r>
      <w:r w:rsidR="00E045D9" w:rsidRPr="00D5464D">
        <w:rPr>
          <w:rFonts w:cs="Arial"/>
          <w:iCs/>
          <w:szCs w:val="20"/>
          <w:lang w:val="pt-BR"/>
        </w:rPr>
        <w:t xml:space="preserve"> às vítima</w:t>
      </w:r>
      <w:r w:rsidR="004B0842" w:rsidRPr="00D5464D">
        <w:rPr>
          <w:rFonts w:cs="Arial"/>
          <w:iCs/>
          <w:szCs w:val="20"/>
          <w:lang w:val="pt-BR"/>
        </w:rPr>
        <w:t xml:space="preserve">s, </w:t>
      </w:r>
      <w:r w:rsidR="003606D7" w:rsidRPr="00D5464D">
        <w:rPr>
          <w:rFonts w:cs="Arial"/>
          <w:iCs/>
          <w:szCs w:val="20"/>
          <w:lang w:val="pt-BR"/>
        </w:rPr>
        <w:t xml:space="preserve">levando </w:t>
      </w:r>
      <w:r w:rsidRPr="00D5464D">
        <w:rPr>
          <w:rFonts w:cs="Arial"/>
          <w:iCs/>
          <w:szCs w:val="20"/>
          <w:lang w:val="pt-BR"/>
        </w:rPr>
        <w:t xml:space="preserve">em </w:t>
      </w:r>
      <w:r w:rsidR="004B0842" w:rsidRPr="00D5464D">
        <w:rPr>
          <w:rFonts w:cs="Arial"/>
          <w:iCs/>
          <w:szCs w:val="20"/>
          <w:lang w:val="pt-BR"/>
        </w:rPr>
        <w:t>considera</w:t>
      </w:r>
      <w:r w:rsidRPr="00D5464D">
        <w:rPr>
          <w:rFonts w:cs="Arial"/>
          <w:iCs/>
          <w:szCs w:val="20"/>
          <w:lang w:val="pt-BR"/>
        </w:rPr>
        <w:t>ção</w:t>
      </w:r>
      <w:r w:rsidR="002C330E" w:rsidRPr="00D5464D">
        <w:rPr>
          <w:rFonts w:cs="Arial"/>
          <w:iCs/>
          <w:szCs w:val="20"/>
          <w:lang w:val="pt-BR"/>
        </w:rPr>
        <w:t xml:space="preserve"> os </w:t>
      </w:r>
      <w:r w:rsidR="00E045D9" w:rsidRPr="00D5464D">
        <w:rPr>
          <w:rFonts w:cs="Arial"/>
          <w:iCs/>
          <w:szCs w:val="20"/>
          <w:lang w:val="pt-BR"/>
        </w:rPr>
        <w:t>sofrimento</w:t>
      </w:r>
      <w:r w:rsidR="004B0842" w:rsidRPr="00D5464D">
        <w:rPr>
          <w:rFonts w:cs="Arial"/>
          <w:iCs/>
          <w:szCs w:val="20"/>
          <w:lang w:val="pt-BR"/>
        </w:rPr>
        <w:t>s</w:t>
      </w:r>
      <w:r w:rsidR="00E045D9" w:rsidRPr="00D5464D">
        <w:rPr>
          <w:rFonts w:cs="Arial"/>
          <w:iCs/>
          <w:szCs w:val="20"/>
          <w:lang w:val="pt-BR"/>
        </w:rPr>
        <w:t xml:space="preserve"> e </w:t>
      </w:r>
      <w:r w:rsidR="00350187" w:rsidRPr="00D5464D">
        <w:rPr>
          <w:rFonts w:cs="Arial"/>
          <w:iCs/>
          <w:szCs w:val="20"/>
          <w:lang w:val="pt-BR"/>
        </w:rPr>
        <w:t>aflições</w:t>
      </w:r>
      <w:r w:rsidR="004B0842" w:rsidRPr="00D5464D">
        <w:rPr>
          <w:rFonts w:cs="Arial"/>
          <w:iCs/>
          <w:szCs w:val="20"/>
          <w:lang w:val="pt-BR"/>
        </w:rPr>
        <w:t xml:space="preserve"> </w:t>
      </w:r>
      <w:r w:rsidR="003606D7" w:rsidRPr="00D5464D">
        <w:rPr>
          <w:rFonts w:cs="Arial"/>
          <w:iCs/>
          <w:szCs w:val="20"/>
          <w:lang w:val="pt-BR"/>
        </w:rPr>
        <w:t xml:space="preserve">de </w:t>
      </w:r>
      <w:r w:rsidR="004B0842" w:rsidRPr="00D5464D">
        <w:rPr>
          <w:rFonts w:cs="Arial"/>
          <w:iCs/>
          <w:szCs w:val="20"/>
          <w:lang w:val="pt-BR"/>
        </w:rPr>
        <w:t xml:space="preserve">que </w:t>
      </w:r>
      <w:r w:rsidR="002C330E" w:rsidRPr="00D5464D">
        <w:rPr>
          <w:rFonts w:cs="Arial"/>
          <w:iCs/>
          <w:szCs w:val="20"/>
          <w:lang w:val="pt-BR"/>
        </w:rPr>
        <w:t>padeceram</w:t>
      </w:r>
      <w:r w:rsidRPr="00D5464D">
        <w:rPr>
          <w:rFonts w:cs="Arial"/>
          <w:iCs/>
          <w:szCs w:val="20"/>
          <w:lang w:val="pt-BR"/>
        </w:rPr>
        <w:t xml:space="preserve"> em </w:t>
      </w:r>
      <w:r w:rsidR="00EB1CE9" w:rsidRPr="00D5464D">
        <w:rPr>
          <w:rFonts w:cs="Arial"/>
          <w:iCs/>
          <w:szCs w:val="20"/>
          <w:lang w:val="pt-BR"/>
        </w:rPr>
        <w:t>seu estado</w:t>
      </w:r>
      <w:r w:rsidR="004B0842" w:rsidRPr="00D5464D">
        <w:rPr>
          <w:rFonts w:cs="Arial"/>
          <w:iCs/>
          <w:szCs w:val="20"/>
          <w:lang w:val="pt-BR"/>
        </w:rPr>
        <w:t xml:space="preserve"> de condi</w:t>
      </w:r>
      <w:r w:rsidRPr="00D5464D">
        <w:rPr>
          <w:rFonts w:cs="Arial"/>
          <w:iCs/>
          <w:szCs w:val="20"/>
          <w:lang w:val="pt-BR"/>
        </w:rPr>
        <w:t>ção</w:t>
      </w:r>
      <w:r w:rsidR="004B0842" w:rsidRPr="00D5464D">
        <w:rPr>
          <w:rFonts w:cs="Arial"/>
          <w:iCs/>
          <w:szCs w:val="20"/>
          <w:lang w:val="pt-BR"/>
        </w:rPr>
        <w:t xml:space="preserve"> análoga</w:t>
      </w:r>
      <w:r w:rsidRPr="00D5464D">
        <w:rPr>
          <w:rFonts w:cs="Arial"/>
          <w:iCs/>
          <w:szCs w:val="20"/>
          <w:lang w:val="pt-BR"/>
        </w:rPr>
        <w:t xml:space="preserve"> à </w:t>
      </w:r>
      <w:r w:rsidR="00260035" w:rsidRPr="00D5464D">
        <w:rPr>
          <w:rFonts w:cs="Arial"/>
          <w:iCs/>
          <w:szCs w:val="20"/>
          <w:lang w:val="pt-BR"/>
        </w:rPr>
        <w:t xml:space="preserve">de </w:t>
      </w:r>
      <w:r w:rsidR="004F1CC2" w:rsidRPr="00D5464D">
        <w:rPr>
          <w:rFonts w:cs="Arial"/>
          <w:iCs/>
          <w:szCs w:val="20"/>
          <w:lang w:val="pt-BR"/>
        </w:rPr>
        <w:t>escravo</w:t>
      </w:r>
      <w:r w:rsidR="004B0842" w:rsidRPr="00D5464D">
        <w:rPr>
          <w:rFonts w:cs="Arial"/>
          <w:iCs/>
          <w:szCs w:val="20"/>
          <w:lang w:val="pt-BR"/>
        </w:rPr>
        <w:t xml:space="preserve">. </w:t>
      </w:r>
      <w:r w:rsidRPr="00D5464D">
        <w:rPr>
          <w:rFonts w:cs="Arial"/>
          <w:iCs/>
          <w:szCs w:val="20"/>
          <w:lang w:val="pt-BR"/>
        </w:rPr>
        <w:t>Ademais</w:t>
      </w:r>
      <w:r w:rsidR="004B0842" w:rsidRPr="00D5464D">
        <w:rPr>
          <w:rFonts w:cs="Arial"/>
          <w:iCs/>
          <w:szCs w:val="20"/>
          <w:lang w:val="pt-BR"/>
        </w:rPr>
        <w:t>,</w:t>
      </w:r>
      <w:r w:rsidR="002C330E" w:rsidRPr="00D5464D">
        <w:rPr>
          <w:rFonts w:cs="Arial"/>
          <w:iCs/>
          <w:szCs w:val="20"/>
          <w:lang w:val="pt-BR"/>
        </w:rPr>
        <w:t xml:space="preserve"> </w:t>
      </w:r>
      <w:r w:rsidR="003606D7" w:rsidRPr="00D5464D">
        <w:rPr>
          <w:rFonts w:cs="Arial"/>
          <w:iCs/>
          <w:szCs w:val="20"/>
          <w:lang w:val="pt-BR"/>
        </w:rPr>
        <w:t xml:space="preserve">apesar de </w:t>
      </w:r>
      <w:r w:rsidR="002C330E" w:rsidRPr="00D5464D">
        <w:rPr>
          <w:rFonts w:cs="Arial"/>
          <w:iCs/>
          <w:szCs w:val="20"/>
          <w:lang w:val="pt-BR"/>
        </w:rPr>
        <w:t xml:space="preserve">a </w:t>
      </w:r>
      <w:r w:rsidR="00230C71" w:rsidRPr="00D5464D">
        <w:rPr>
          <w:rFonts w:cs="Arial"/>
          <w:iCs/>
          <w:szCs w:val="20"/>
          <w:lang w:val="pt-BR"/>
        </w:rPr>
        <w:t>fixa</w:t>
      </w:r>
      <w:r w:rsidRPr="00D5464D">
        <w:rPr>
          <w:rFonts w:cs="Arial"/>
          <w:iCs/>
          <w:szCs w:val="20"/>
          <w:lang w:val="pt-BR"/>
        </w:rPr>
        <w:t>ção</w:t>
      </w:r>
      <w:r w:rsidR="004B0842" w:rsidRPr="00D5464D">
        <w:rPr>
          <w:rFonts w:cs="Arial"/>
          <w:iCs/>
          <w:szCs w:val="20"/>
          <w:lang w:val="pt-BR"/>
        </w:rPr>
        <w:t xml:space="preserve"> </w:t>
      </w:r>
      <w:r w:rsidRPr="00D5464D">
        <w:rPr>
          <w:rFonts w:cs="Arial"/>
          <w:iCs/>
          <w:szCs w:val="20"/>
          <w:lang w:val="pt-BR"/>
        </w:rPr>
        <w:t>do</w:t>
      </w:r>
      <w:r w:rsidR="00E045D9" w:rsidRPr="00D5464D">
        <w:rPr>
          <w:rFonts w:cs="Arial"/>
          <w:iCs/>
          <w:szCs w:val="20"/>
          <w:lang w:val="pt-BR"/>
        </w:rPr>
        <w:t xml:space="preserve"> montante </w:t>
      </w:r>
      <w:r w:rsidRPr="00D5464D">
        <w:rPr>
          <w:rFonts w:cs="Arial"/>
          <w:iCs/>
          <w:szCs w:val="20"/>
          <w:lang w:val="pt-BR"/>
        </w:rPr>
        <w:t>econômic</w:t>
      </w:r>
      <w:r w:rsidR="004B0842" w:rsidRPr="00D5464D">
        <w:rPr>
          <w:rFonts w:cs="Arial"/>
          <w:iCs/>
          <w:szCs w:val="20"/>
          <w:lang w:val="pt-BR"/>
        </w:rPr>
        <w:t>o corresponde</w:t>
      </w:r>
      <w:r w:rsidR="00017B54" w:rsidRPr="00D5464D">
        <w:rPr>
          <w:rFonts w:cs="Arial"/>
          <w:iCs/>
          <w:szCs w:val="20"/>
          <w:lang w:val="pt-BR"/>
        </w:rPr>
        <w:t>r</w:t>
      </w:r>
      <w:r w:rsidRPr="00D5464D">
        <w:rPr>
          <w:rFonts w:cs="Arial"/>
          <w:iCs/>
          <w:szCs w:val="20"/>
          <w:lang w:val="pt-BR"/>
        </w:rPr>
        <w:t xml:space="preserve"> ao âmbito</w:t>
      </w:r>
      <w:r w:rsidR="004B0842" w:rsidRPr="00D5464D">
        <w:rPr>
          <w:rFonts w:cs="Arial"/>
          <w:iCs/>
          <w:szCs w:val="20"/>
          <w:lang w:val="pt-BR"/>
        </w:rPr>
        <w:t xml:space="preserve"> </w:t>
      </w:r>
      <w:r w:rsidRPr="00D5464D">
        <w:rPr>
          <w:rFonts w:cs="Arial"/>
          <w:iCs/>
          <w:szCs w:val="20"/>
          <w:lang w:val="pt-BR"/>
        </w:rPr>
        <w:t>d</w:t>
      </w:r>
      <w:r w:rsidR="00017B54" w:rsidRPr="00D5464D">
        <w:rPr>
          <w:rFonts w:cs="Arial"/>
          <w:iCs/>
          <w:szCs w:val="20"/>
          <w:lang w:val="pt-BR"/>
        </w:rPr>
        <w:t>a discricionariedade</w:t>
      </w:r>
      <w:r w:rsidR="004B0842" w:rsidRPr="00D5464D">
        <w:rPr>
          <w:rFonts w:cs="Arial"/>
          <w:iCs/>
          <w:szCs w:val="20"/>
          <w:lang w:val="pt-BR"/>
        </w:rPr>
        <w:t xml:space="preserve"> judicial,</w:t>
      </w:r>
      <w:r w:rsidR="00E045D9" w:rsidRPr="00D5464D">
        <w:rPr>
          <w:rFonts w:cs="Arial"/>
          <w:iCs/>
          <w:szCs w:val="20"/>
          <w:lang w:val="pt-BR"/>
        </w:rPr>
        <w:t xml:space="preserve"> neste </w:t>
      </w:r>
      <w:r w:rsidR="004B0842" w:rsidRPr="00D5464D">
        <w:rPr>
          <w:rFonts w:cs="Arial"/>
          <w:iCs/>
          <w:szCs w:val="20"/>
          <w:lang w:val="pt-BR"/>
        </w:rPr>
        <w:t>caso</w:t>
      </w:r>
      <w:r w:rsidRPr="00D5464D">
        <w:rPr>
          <w:rFonts w:cs="Arial"/>
          <w:iCs/>
          <w:szCs w:val="20"/>
          <w:lang w:val="pt-BR"/>
        </w:rPr>
        <w:t xml:space="preserve"> é o </w:t>
      </w:r>
      <w:r w:rsidR="002C330E" w:rsidRPr="00D5464D">
        <w:rPr>
          <w:rFonts w:cs="Arial"/>
          <w:iCs/>
          <w:szCs w:val="20"/>
          <w:lang w:val="pt-BR"/>
        </w:rPr>
        <w:t xml:space="preserve">mais </w:t>
      </w:r>
      <w:r w:rsidR="004B0842" w:rsidRPr="00D5464D">
        <w:rPr>
          <w:rFonts w:cs="Arial"/>
          <w:iCs/>
          <w:szCs w:val="20"/>
          <w:lang w:val="pt-BR"/>
        </w:rPr>
        <w:t>próximo</w:t>
      </w:r>
      <w:r w:rsidRPr="00D5464D">
        <w:rPr>
          <w:rFonts w:cs="Arial"/>
          <w:iCs/>
          <w:szCs w:val="20"/>
          <w:lang w:val="pt-BR"/>
        </w:rPr>
        <w:t xml:space="preserve"> ao </w:t>
      </w:r>
      <w:r w:rsidR="004B0842" w:rsidRPr="00D5464D">
        <w:rPr>
          <w:rFonts w:cs="Arial"/>
          <w:iCs/>
          <w:szCs w:val="20"/>
          <w:lang w:val="pt-BR"/>
        </w:rPr>
        <w:t xml:space="preserve">que </w:t>
      </w:r>
      <w:r w:rsidR="002C330E" w:rsidRPr="00D5464D">
        <w:rPr>
          <w:rFonts w:cs="Arial"/>
          <w:iCs/>
          <w:szCs w:val="20"/>
          <w:lang w:val="pt-BR"/>
        </w:rPr>
        <w:t xml:space="preserve">solicitaram os </w:t>
      </w:r>
      <w:r w:rsidR="00EB1CE9" w:rsidRPr="00D5464D">
        <w:rPr>
          <w:rFonts w:cs="Arial"/>
          <w:iCs/>
          <w:szCs w:val="20"/>
          <w:lang w:val="pt-BR"/>
        </w:rPr>
        <w:t>representante</w:t>
      </w:r>
      <w:r w:rsidR="004B0842" w:rsidRPr="00D5464D">
        <w:rPr>
          <w:rFonts w:cs="Arial"/>
          <w:iCs/>
          <w:szCs w:val="20"/>
          <w:lang w:val="pt-BR"/>
        </w:rPr>
        <w:t>s,</w:t>
      </w:r>
      <w:r w:rsidR="002C330E" w:rsidRPr="00D5464D">
        <w:rPr>
          <w:rFonts w:cs="Arial"/>
          <w:iCs/>
          <w:szCs w:val="20"/>
          <w:lang w:val="pt-BR"/>
        </w:rPr>
        <w:t xml:space="preserve"> </w:t>
      </w:r>
      <w:r w:rsidR="003606D7" w:rsidRPr="00D5464D">
        <w:rPr>
          <w:rFonts w:cs="Arial"/>
          <w:iCs/>
          <w:szCs w:val="20"/>
          <w:lang w:val="pt-BR"/>
        </w:rPr>
        <w:t xml:space="preserve">de maneira </w:t>
      </w:r>
      <w:r w:rsidR="002C330E" w:rsidRPr="00D5464D">
        <w:rPr>
          <w:rFonts w:cs="Arial"/>
          <w:iCs/>
          <w:szCs w:val="20"/>
          <w:lang w:val="pt-BR"/>
        </w:rPr>
        <w:t xml:space="preserve">que </w:t>
      </w:r>
      <w:r w:rsidR="004B0842" w:rsidRPr="00D5464D">
        <w:rPr>
          <w:rFonts w:cs="Arial"/>
          <w:iCs/>
          <w:szCs w:val="20"/>
          <w:lang w:val="pt-BR"/>
        </w:rPr>
        <w:t xml:space="preserve">se considera </w:t>
      </w:r>
      <w:r w:rsidR="002C330E" w:rsidRPr="00D5464D">
        <w:rPr>
          <w:rFonts w:cs="Arial"/>
          <w:iCs/>
          <w:szCs w:val="20"/>
          <w:lang w:val="pt-BR"/>
        </w:rPr>
        <w:t>razoável</w:t>
      </w:r>
      <w:r w:rsidR="00E045D9" w:rsidRPr="00D5464D">
        <w:rPr>
          <w:rFonts w:cs="Arial"/>
          <w:iCs/>
          <w:szCs w:val="20"/>
          <w:lang w:val="pt-BR"/>
        </w:rPr>
        <w:t xml:space="preserve"> e </w:t>
      </w:r>
      <w:r w:rsidR="004B0842" w:rsidRPr="00D5464D">
        <w:rPr>
          <w:rFonts w:cs="Arial"/>
          <w:iCs/>
          <w:szCs w:val="20"/>
          <w:lang w:val="pt-BR"/>
        </w:rPr>
        <w:t>proporcional</w:t>
      </w:r>
      <w:r w:rsidRPr="00D5464D">
        <w:rPr>
          <w:rFonts w:cs="Arial"/>
          <w:iCs/>
          <w:szCs w:val="20"/>
          <w:lang w:val="pt-BR"/>
        </w:rPr>
        <w:t xml:space="preserve"> ao </w:t>
      </w:r>
      <w:r w:rsidR="004B0842" w:rsidRPr="00D5464D">
        <w:rPr>
          <w:rFonts w:cs="Arial"/>
          <w:iCs/>
          <w:szCs w:val="20"/>
          <w:lang w:val="pt-BR"/>
        </w:rPr>
        <w:t>solicitado.</w:t>
      </w:r>
      <w:r w:rsidR="00FF1290" w:rsidRPr="00D5464D">
        <w:rPr>
          <w:rFonts w:cs="Arial"/>
          <w:iCs/>
          <w:szCs w:val="20"/>
          <w:lang w:val="pt-BR"/>
        </w:rPr>
        <w:t xml:space="preserve">  </w:t>
      </w:r>
      <w:r w:rsidR="004B0842" w:rsidRPr="00D5464D">
        <w:rPr>
          <w:rFonts w:cs="Arial"/>
          <w:iCs/>
          <w:szCs w:val="20"/>
          <w:lang w:val="pt-BR"/>
        </w:rPr>
        <w:t xml:space="preserve"> </w:t>
      </w:r>
    </w:p>
    <w:p w14:paraId="1A0772AB" w14:textId="77777777" w:rsidR="004B0842" w:rsidRPr="00D5464D" w:rsidRDefault="004B0842" w:rsidP="004B0842">
      <w:pPr>
        <w:pStyle w:val="Prrafodelista"/>
        <w:autoSpaceDE w:val="0"/>
        <w:autoSpaceDN w:val="0"/>
        <w:adjustRightInd w:val="0"/>
        <w:ind w:left="0"/>
        <w:contextualSpacing w:val="0"/>
        <w:rPr>
          <w:rFonts w:cs="Arial"/>
          <w:iCs/>
          <w:szCs w:val="20"/>
          <w:lang w:val="pt-BR"/>
        </w:rPr>
      </w:pPr>
    </w:p>
    <w:p w14:paraId="2AC6C072" w14:textId="7CAF8CD1" w:rsidR="004B0842" w:rsidRPr="00D5464D" w:rsidRDefault="003606D7"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No tocante à</w:t>
      </w:r>
      <w:r w:rsidR="002C330E" w:rsidRPr="00D5464D">
        <w:rPr>
          <w:rFonts w:cs="Arial"/>
          <w:iCs/>
          <w:szCs w:val="20"/>
          <w:lang w:val="pt-BR"/>
        </w:rPr>
        <w:t xml:space="preserve"> </w:t>
      </w:r>
      <w:r w:rsidR="004B0842" w:rsidRPr="00D5464D">
        <w:rPr>
          <w:rFonts w:cs="Arial"/>
          <w:iCs/>
          <w:szCs w:val="20"/>
          <w:lang w:val="pt-BR"/>
        </w:rPr>
        <w:t>peti</w:t>
      </w:r>
      <w:r w:rsidR="00470ADC" w:rsidRPr="00D5464D">
        <w:rPr>
          <w:rFonts w:cs="Arial"/>
          <w:iCs/>
          <w:szCs w:val="20"/>
          <w:lang w:val="pt-BR"/>
        </w:rPr>
        <w:t>ção</w:t>
      </w:r>
      <w:r w:rsidR="004B0842" w:rsidRPr="00D5464D">
        <w:rPr>
          <w:rFonts w:cs="Arial"/>
          <w:iCs/>
          <w:szCs w:val="20"/>
          <w:lang w:val="pt-BR"/>
        </w:rPr>
        <w:t xml:space="preserve"> de repara</w:t>
      </w:r>
      <w:r w:rsidR="00470ADC" w:rsidRPr="00D5464D">
        <w:rPr>
          <w:rFonts w:cs="Arial"/>
          <w:iCs/>
          <w:szCs w:val="20"/>
          <w:lang w:val="pt-BR"/>
        </w:rPr>
        <w:t>ção</w:t>
      </w:r>
      <w:r w:rsidR="004B0842" w:rsidRPr="00D5464D">
        <w:rPr>
          <w:rFonts w:cs="Arial"/>
          <w:iCs/>
          <w:szCs w:val="20"/>
          <w:lang w:val="pt-BR"/>
        </w:rPr>
        <w:t xml:space="preserve"> de</w:t>
      </w:r>
      <w:r w:rsidR="00470ADC" w:rsidRPr="00D5464D">
        <w:rPr>
          <w:rFonts w:cs="Arial"/>
          <w:iCs/>
          <w:szCs w:val="20"/>
          <w:lang w:val="pt-BR"/>
        </w:rPr>
        <w:t xml:space="preserve"> dano</w:t>
      </w:r>
      <w:r w:rsidR="004B0842" w:rsidRPr="00D5464D">
        <w:rPr>
          <w:rFonts w:cs="Arial"/>
          <w:iCs/>
          <w:szCs w:val="20"/>
          <w:lang w:val="pt-BR"/>
        </w:rPr>
        <w:t xml:space="preserve"> moral </w:t>
      </w:r>
      <w:r w:rsidR="00470ADC" w:rsidRPr="00D5464D">
        <w:rPr>
          <w:rFonts w:cs="Arial"/>
          <w:iCs/>
          <w:szCs w:val="20"/>
          <w:lang w:val="pt-BR"/>
        </w:rPr>
        <w:t>coletiv</w:t>
      </w:r>
      <w:r w:rsidR="004B0842" w:rsidRPr="00D5464D">
        <w:rPr>
          <w:rFonts w:cs="Arial"/>
          <w:iCs/>
          <w:szCs w:val="20"/>
          <w:lang w:val="pt-BR"/>
        </w:rPr>
        <w:t>o,</w:t>
      </w:r>
      <w:r w:rsidR="002C330E" w:rsidRPr="00D5464D">
        <w:rPr>
          <w:rFonts w:cs="Arial"/>
          <w:iCs/>
          <w:szCs w:val="20"/>
          <w:lang w:val="pt-BR"/>
        </w:rPr>
        <w:t xml:space="preserve"> a </w:t>
      </w:r>
      <w:r w:rsidR="004B0842" w:rsidRPr="00D5464D">
        <w:rPr>
          <w:rFonts w:cs="Arial"/>
          <w:iCs/>
          <w:szCs w:val="20"/>
          <w:lang w:val="pt-BR"/>
        </w:rPr>
        <w:t>Corte considera que</w:t>
      </w:r>
      <w:r w:rsidR="002C330E" w:rsidRPr="00D5464D">
        <w:rPr>
          <w:rFonts w:cs="Arial"/>
          <w:iCs/>
          <w:szCs w:val="20"/>
          <w:lang w:val="pt-BR"/>
        </w:rPr>
        <w:t xml:space="preserve"> as </w:t>
      </w:r>
      <w:r w:rsidR="004B0842" w:rsidRPr="00D5464D">
        <w:rPr>
          <w:rFonts w:cs="Arial"/>
          <w:iCs/>
          <w:szCs w:val="20"/>
          <w:lang w:val="pt-BR"/>
        </w:rPr>
        <w:t>compensa</w:t>
      </w:r>
      <w:r w:rsidR="00470ADC" w:rsidRPr="00D5464D">
        <w:rPr>
          <w:rFonts w:cs="Arial"/>
          <w:iCs/>
          <w:szCs w:val="20"/>
          <w:lang w:val="pt-BR"/>
        </w:rPr>
        <w:t>ções</w:t>
      </w:r>
      <w:r w:rsidR="004B0842" w:rsidRPr="00D5464D">
        <w:rPr>
          <w:rFonts w:cs="Arial"/>
          <w:iCs/>
          <w:szCs w:val="20"/>
          <w:lang w:val="pt-BR"/>
        </w:rPr>
        <w:t xml:space="preserve"> </w:t>
      </w:r>
      <w:r w:rsidR="00230C71" w:rsidRPr="00D5464D">
        <w:rPr>
          <w:rFonts w:cs="Arial"/>
          <w:iCs/>
          <w:szCs w:val="20"/>
          <w:lang w:val="pt-BR"/>
        </w:rPr>
        <w:t>indenizatóri</w:t>
      </w:r>
      <w:r w:rsidR="004B0842" w:rsidRPr="00D5464D">
        <w:rPr>
          <w:rFonts w:cs="Arial"/>
          <w:iCs/>
          <w:szCs w:val="20"/>
          <w:lang w:val="pt-BR"/>
        </w:rPr>
        <w:t>as ordenadas</w:t>
      </w:r>
      <w:r w:rsidR="00E045D9" w:rsidRPr="00D5464D">
        <w:rPr>
          <w:rFonts w:cs="Arial"/>
          <w:iCs/>
          <w:szCs w:val="20"/>
          <w:lang w:val="pt-BR"/>
        </w:rPr>
        <w:t xml:space="preserve"> na </w:t>
      </w:r>
      <w:r w:rsidR="004B0842" w:rsidRPr="00D5464D">
        <w:rPr>
          <w:rFonts w:cs="Arial"/>
          <w:iCs/>
          <w:szCs w:val="20"/>
          <w:lang w:val="pt-BR"/>
        </w:rPr>
        <w:t xml:space="preserve">presente </w:t>
      </w:r>
      <w:r w:rsidR="002C330E" w:rsidRPr="00D5464D">
        <w:rPr>
          <w:rFonts w:cs="Arial"/>
          <w:iCs/>
          <w:szCs w:val="20"/>
          <w:lang w:val="pt-BR"/>
        </w:rPr>
        <w:t xml:space="preserve">Sentença são </w:t>
      </w:r>
      <w:r w:rsidR="004B0842" w:rsidRPr="00D5464D">
        <w:rPr>
          <w:rFonts w:cs="Arial"/>
          <w:iCs/>
          <w:szCs w:val="20"/>
          <w:lang w:val="pt-BR"/>
        </w:rPr>
        <w:t>suficientes</w:t>
      </w:r>
      <w:r w:rsidR="00E045D9" w:rsidRPr="00D5464D">
        <w:rPr>
          <w:rFonts w:cs="Arial"/>
          <w:iCs/>
          <w:szCs w:val="20"/>
          <w:lang w:val="pt-BR"/>
        </w:rPr>
        <w:t xml:space="preserve"> e </w:t>
      </w:r>
      <w:r w:rsidR="004B0842" w:rsidRPr="00D5464D">
        <w:rPr>
          <w:rFonts w:cs="Arial"/>
          <w:iCs/>
          <w:szCs w:val="20"/>
          <w:lang w:val="pt-BR"/>
        </w:rPr>
        <w:t>n</w:t>
      </w:r>
      <w:r w:rsidRPr="00D5464D">
        <w:rPr>
          <w:rFonts w:cs="Arial"/>
          <w:iCs/>
          <w:szCs w:val="20"/>
          <w:lang w:val="pt-BR"/>
        </w:rPr>
        <w:t>ã</w:t>
      </w:r>
      <w:r w:rsidR="004B0842" w:rsidRPr="00D5464D">
        <w:rPr>
          <w:rFonts w:cs="Arial"/>
          <w:iCs/>
          <w:szCs w:val="20"/>
          <w:lang w:val="pt-BR"/>
        </w:rPr>
        <w:t>o</w:t>
      </w:r>
      <w:r w:rsidR="00E765C2" w:rsidRPr="00D5464D">
        <w:rPr>
          <w:rFonts w:cs="Arial"/>
          <w:iCs/>
          <w:szCs w:val="20"/>
          <w:lang w:val="pt-BR"/>
        </w:rPr>
        <w:t xml:space="preserve"> considera </w:t>
      </w:r>
      <w:r w:rsidR="002C330E" w:rsidRPr="00D5464D">
        <w:rPr>
          <w:rFonts w:cs="Arial"/>
          <w:iCs/>
          <w:szCs w:val="20"/>
          <w:lang w:val="pt-BR"/>
        </w:rPr>
        <w:t>necessári</w:t>
      </w:r>
      <w:r w:rsidR="004B0842" w:rsidRPr="00D5464D">
        <w:rPr>
          <w:rFonts w:cs="Arial"/>
          <w:iCs/>
          <w:szCs w:val="20"/>
          <w:lang w:val="pt-BR"/>
        </w:rPr>
        <w:t>o ordenar repara</w:t>
      </w:r>
      <w:r w:rsidR="00470ADC" w:rsidRPr="00D5464D">
        <w:rPr>
          <w:rFonts w:cs="Arial"/>
          <w:iCs/>
          <w:szCs w:val="20"/>
          <w:lang w:val="pt-BR"/>
        </w:rPr>
        <w:t>ções</w:t>
      </w:r>
      <w:r w:rsidR="004B0842" w:rsidRPr="00D5464D">
        <w:rPr>
          <w:rFonts w:cs="Arial"/>
          <w:iCs/>
          <w:szCs w:val="20"/>
          <w:lang w:val="pt-BR"/>
        </w:rPr>
        <w:t xml:space="preserve"> </w:t>
      </w:r>
      <w:r w:rsidR="00470ADC" w:rsidRPr="00D5464D">
        <w:rPr>
          <w:rFonts w:cs="Arial"/>
          <w:iCs/>
          <w:szCs w:val="20"/>
          <w:lang w:val="pt-BR"/>
        </w:rPr>
        <w:t>adicionais</w:t>
      </w:r>
      <w:r w:rsidR="00E045D9" w:rsidRPr="00D5464D">
        <w:rPr>
          <w:rFonts w:cs="Arial"/>
          <w:iCs/>
          <w:szCs w:val="20"/>
          <w:lang w:val="pt-BR"/>
        </w:rPr>
        <w:t xml:space="preserve"> no </w:t>
      </w:r>
      <w:r w:rsidR="004B0842" w:rsidRPr="00D5464D">
        <w:rPr>
          <w:rFonts w:cs="Arial"/>
          <w:iCs/>
          <w:szCs w:val="20"/>
          <w:lang w:val="pt-BR"/>
        </w:rPr>
        <w:t xml:space="preserve">presente caso. </w:t>
      </w:r>
    </w:p>
    <w:p w14:paraId="25D1A357" w14:textId="77777777" w:rsidR="004B0842" w:rsidRPr="00D5464D" w:rsidRDefault="004B0842" w:rsidP="004B0842">
      <w:pPr>
        <w:pStyle w:val="Prrafodelista"/>
        <w:autoSpaceDE w:val="0"/>
        <w:autoSpaceDN w:val="0"/>
        <w:adjustRightInd w:val="0"/>
        <w:ind w:left="0"/>
        <w:contextualSpacing w:val="0"/>
        <w:rPr>
          <w:rFonts w:cs="Arial"/>
          <w:iCs/>
          <w:szCs w:val="20"/>
          <w:lang w:val="pt-BR"/>
        </w:rPr>
      </w:pPr>
    </w:p>
    <w:p w14:paraId="767416D8" w14:textId="5E82B623" w:rsidR="004B0842" w:rsidRPr="00D5464D" w:rsidRDefault="00470ADC" w:rsidP="00F306D7">
      <w:pPr>
        <w:pStyle w:val="Ttulo2"/>
        <w:numPr>
          <w:ilvl w:val="0"/>
          <w:numId w:val="21"/>
        </w:numPr>
        <w:rPr>
          <w:lang w:val="pt-BR"/>
        </w:rPr>
      </w:pPr>
      <w:bookmarkStart w:id="485" w:name="_Toc468433958"/>
      <w:r w:rsidRPr="00D5464D">
        <w:rPr>
          <w:lang w:val="pt-BR"/>
        </w:rPr>
        <w:t>Custas</w:t>
      </w:r>
      <w:r w:rsidR="00E045D9" w:rsidRPr="00D5464D">
        <w:rPr>
          <w:lang w:val="pt-BR"/>
        </w:rPr>
        <w:t xml:space="preserve"> e </w:t>
      </w:r>
      <w:r w:rsidR="004B0842" w:rsidRPr="00D5464D">
        <w:rPr>
          <w:lang w:val="pt-BR"/>
        </w:rPr>
        <w:t>gastos</w:t>
      </w:r>
      <w:bookmarkStart w:id="486" w:name="_Toc426108490"/>
      <w:bookmarkStart w:id="487" w:name="_Toc430339043"/>
      <w:bookmarkStart w:id="488" w:name="_Toc451267379"/>
      <w:bookmarkEnd w:id="485"/>
    </w:p>
    <w:p w14:paraId="5E9D5F4B" w14:textId="77777777" w:rsidR="004B0842" w:rsidRPr="00D5464D" w:rsidRDefault="004B0842" w:rsidP="004B0842">
      <w:pPr>
        <w:pStyle w:val="Prrafodelista"/>
        <w:autoSpaceDE w:val="0"/>
        <w:autoSpaceDN w:val="0"/>
        <w:adjustRightInd w:val="0"/>
        <w:rPr>
          <w:rFonts w:cs="Arial"/>
          <w:iCs/>
          <w:szCs w:val="20"/>
          <w:lang w:val="pt-BR"/>
        </w:rPr>
      </w:pPr>
    </w:p>
    <w:p w14:paraId="565D9FC7" w14:textId="6EFBD33B" w:rsidR="004B0842" w:rsidRPr="00D5464D" w:rsidRDefault="00737270"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Os </w:t>
      </w:r>
      <w:r w:rsidR="00EB1CE9" w:rsidRPr="00D5464D">
        <w:rPr>
          <w:rFonts w:cs="Arial"/>
          <w:b/>
          <w:i/>
          <w:iCs/>
          <w:szCs w:val="20"/>
          <w:lang w:val="pt-BR"/>
        </w:rPr>
        <w:t>representante</w:t>
      </w:r>
      <w:r w:rsidRPr="00D5464D">
        <w:rPr>
          <w:rFonts w:cs="Arial"/>
          <w:b/>
          <w:i/>
          <w:iCs/>
          <w:szCs w:val="20"/>
          <w:lang w:val="pt-BR"/>
        </w:rPr>
        <w:t>s</w:t>
      </w:r>
      <w:r w:rsidRPr="00D5464D">
        <w:rPr>
          <w:rFonts w:cs="Arial"/>
          <w:iCs/>
          <w:szCs w:val="20"/>
          <w:lang w:val="pt-BR"/>
        </w:rPr>
        <w:t xml:space="preserve"> </w:t>
      </w:r>
      <w:r w:rsidR="002C330E" w:rsidRPr="00D5464D">
        <w:rPr>
          <w:rFonts w:cs="Arial"/>
          <w:iCs/>
          <w:szCs w:val="20"/>
          <w:lang w:val="pt-BR"/>
        </w:rPr>
        <w:t>solicitaram</w:t>
      </w:r>
      <w:r w:rsidR="00470ADC" w:rsidRPr="00D5464D">
        <w:rPr>
          <w:rFonts w:cs="Arial"/>
          <w:iCs/>
          <w:szCs w:val="20"/>
          <w:lang w:val="pt-BR"/>
        </w:rPr>
        <w:t xml:space="preserve"> o </w:t>
      </w:r>
      <w:r w:rsidR="002C330E" w:rsidRPr="00D5464D">
        <w:rPr>
          <w:rFonts w:cs="Arial"/>
          <w:iCs/>
          <w:szCs w:val="20"/>
          <w:lang w:val="pt-BR"/>
        </w:rPr>
        <w:t xml:space="preserve">pagamento </w:t>
      </w:r>
      <w:r w:rsidR="003606D7" w:rsidRPr="00D5464D">
        <w:rPr>
          <w:rFonts w:cs="Arial"/>
          <w:iCs/>
          <w:szCs w:val="20"/>
          <w:lang w:val="pt-BR"/>
        </w:rPr>
        <w:t xml:space="preserve">dos </w:t>
      </w:r>
      <w:r w:rsidR="004B0842" w:rsidRPr="00D5464D">
        <w:rPr>
          <w:rFonts w:cs="Arial"/>
          <w:iCs/>
          <w:szCs w:val="20"/>
          <w:lang w:val="pt-BR"/>
        </w:rPr>
        <w:t xml:space="preserve">gastos </w:t>
      </w:r>
      <w:r w:rsidR="00A1358C" w:rsidRPr="00D5464D">
        <w:rPr>
          <w:rFonts w:cs="Arial"/>
          <w:iCs/>
          <w:szCs w:val="20"/>
          <w:lang w:val="pt-BR"/>
        </w:rPr>
        <w:t>incorrid</w:t>
      </w:r>
      <w:r w:rsidR="004B0842" w:rsidRPr="00D5464D">
        <w:rPr>
          <w:rFonts w:cs="Arial"/>
          <w:iCs/>
          <w:szCs w:val="20"/>
          <w:lang w:val="pt-BR"/>
        </w:rPr>
        <w:t>os</w:t>
      </w:r>
      <w:r w:rsidR="00E045D9" w:rsidRPr="00D5464D">
        <w:rPr>
          <w:rFonts w:cs="Arial"/>
          <w:iCs/>
          <w:szCs w:val="20"/>
          <w:lang w:val="pt-BR"/>
        </w:rPr>
        <w:t xml:space="preserve"> na </w:t>
      </w:r>
      <w:r w:rsidR="004B0842" w:rsidRPr="00D5464D">
        <w:rPr>
          <w:rFonts w:cs="Arial"/>
          <w:iCs/>
          <w:szCs w:val="20"/>
          <w:lang w:val="pt-BR"/>
        </w:rPr>
        <w:t>tramita</w:t>
      </w:r>
      <w:r w:rsidR="00470ADC" w:rsidRPr="00D5464D">
        <w:rPr>
          <w:rFonts w:cs="Arial"/>
          <w:iCs/>
          <w:szCs w:val="20"/>
          <w:lang w:val="pt-BR"/>
        </w:rPr>
        <w:t>ção</w:t>
      </w:r>
      <w:r w:rsidR="004B0842" w:rsidRPr="00D5464D">
        <w:rPr>
          <w:rFonts w:cs="Arial"/>
          <w:iCs/>
          <w:szCs w:val="20"/>
          <w:lang w:val="pt-BR"/>
        </w:rPr>
        <w:t xml:space="preserve"> </w:t>
      </w:r>
      <w:r w:rsidR="00470ADC" w:rsidRPr="00D5464D">
        <w:rPr>
          <w:rFonts w:cs="Arial"/>
          <w:iCs/>
          <w:szCs w:val="20"/>
          <w:lang w:val="pt-BR"/>
        </w:rPr>
        <w:t xml:space="preserve">do </w:t>
      </w:r>
      <w:r w:rsidR="004B0842" w:rsidRPr="00D5464D">
        <w:rPr>
          <w:rFonts w:cs="Arial"/>
          <w:iCs/>
          <w:szCs w:val="20"/>
          <w:lang w:val="pt-BR"/>
        </w:rPr>
        <w:t xml:space="preserve">presente </w:t>
      </w:r>
      <w:r w:rsidR="002C330E" w:rsidRPr="00D5464D">
        <w:rPr>
          <w:rFonts w:cs="Arial"/>
          <w:iCs/>
          <w:szCs w:val="20"/>
          <w:lang w:val="pt-BR"/>
        </w:rPr>
        <w:t>processo</w:t>
      </w:r>
      <w:r w:rsidR="00306955" w:rsidRPr="00D5464D">
        <w:rPr>
          <w:rFonts w:cs="Arial"/>
          <w:iCs/>
          <w:szCs w:val="20"/>
          <w:lang w:val="pt-BR"/>
        </w:rPr>
        <w:t>,</w:t>
      </w:r>
      <w:r w:rsidR="004B0842" w:rsidRPr="00D5464D">
        <w:rPr>
          <w:rFonts w:cs="Arial"/>
          <w:iCs/>
          <w:szCs w:val="20"/>
          <w:lang w:val="pt-BR"/>
        </w:rPr>
        <w:t xml:space="preserve"> </w:t>
      </w:r>
      <w:r w:rsidR="00230C71" w:rsidRPr="00D5464D">
        <w:rPr>
          <w:rFonts w:cs="Arial"/>
          <w:iCs/>
          <w:szCs w:val="20"/>
          <w:lang w:val="pt-BR"/>
        </w:rPr>
        <w:t>desde a</w:t>
      </w:r>
      <w:r w:rsidR="00E045D9" w:rsidRPr="00D5464D">
        <w:rPr>
          <w:rFonts w:cs="Arial"/>
          <w:iCs/>
          <w:szCs w:val="20"/>
          <w:lang w:val="pt-BR"/>
        </w:rPr>
        <w:t xml:space="preserve"> </w:t>
      </w:r>
      <w:r w:rsidR="002C330E" w:rsidRPr="00D5464D">
        <w:rPr>
          <w:rFonts w:cs="Arial"/>
          <w:iCs/>
          <w:szCs w:val="20"/>
          <w:lang w:val="pt-BR"/>
        </w:rPr>
        <w:t>apresentação</w:t>
      </w:r>
      <w:r w:rsidR="00470ADC" w:rsidRPr="00D5464D">
        <w:rPr>
          <w:rFonts w:cs="Arial"/>
          <w:iCs/>
          <w:szCs w:val="20"/>
          <w:lang w:val="pt-BR"/>
        </w:rPr>
        <w:t xml:space="preserve"> da </w:t>
      </w:r>
      <w:r w:rsidR="004B0842" w:rsidRPr="00D5464D">
        <w:rPr>
          <w:rFonts w:cs="Arial"/>
          <w:iCs/>
          <w:szCs w:val="20"/>
          <w:lang w:val="pt-BR"/>
        </w:rPr>
        <w:t>peti</w:t>
      </w:r>
      <w:r w:rsidR="00470ADC" w:rsidRPr="00D5464D">
        <w:rPr>
          <w:rFonts w:cs="Arial"/>
          <w:iCs/>
          <w:szCs w:val="20"/>
          <w:lang w:val="pt-BR"/>
        </w:rPr>
        <w:t>ção perante a Comissão</w:t>
      </w:r>
      <w:r w:rsidR="004B0842" w:rsidRPr="00D5464D">
        <w:rPr>
          <w:rFonts w:cs="Arial"/>
          <w:iCs/>
          <w:szCs w:val="20"/>
          <w:lang w:val="pt-BR"/>
        </w:rPr>
        <w:t xml:space="preserve"> </w:t>
      </w:r>
      <w:r w:rsidR="002C330E" w:rsidRPr="00D5464D">
        <w:rPr>
          <w:rFonts w:cs="Arial"/>
          <w:iCs/>
          <w:szCs w:val="20"/>
          <w:lang w:val="pt-BR"/>
        </w:rPr>
        <w:t xml:space="preserve">até as </w:t>
      </w:r>
      <w:r w:rsidR="00470ADC" w:rsidRPr="00D5464D">
        <w:rPr>
          <w:rFonts w:cs="Arial"/>
          <w:iCs/>
          <w:szCs w:val="20"/>
          <w:lang w:val="pt-BR"/>
        </w:rPr>
        <w:t>diligência</w:t>
      </w:r>
      <w:r w:rsidR="004B0842" w:rsidRPr="00D5464D">
        <w:rPr>
          <w:rFonts w:cs="Arial"/>
          <w:iCs/>
          <w:szCs w:val="20"/>
          <w:lang w:val="pt-BR"/>
        </w:rPr>
        <w:t>s</w:t>
      </w:r>
      <w:r w:rsidR="002C330E" w:rsidRPr="00D5464D">
        <w:rPr>
          <w:rFonts w:cs="Arial"/>
          <w:iCs/>
          <w:szCs w:val="20"/>
          <w:lang w:val="pt-BR"/>
        </w:rPr>
        <w:t xml:space="preserve"> lev</w:t>
      </w:r>
      <w:r w:rsidR="004B0842" w:rsidRPr="00D5464D">
        <w:rPr>
          <w:rFonts w:cs="Arial"/>
          <w:iCs/>
          <w:szCs w:val="20"/>
          <w:lang w:val="pt-BR"/>
        </w:rPr>
        <w:t>adas a cabo</w:t>
      </w:r>
      <w:r w:rsidR="00470ADC" w:rsidRPr="00D5464D">
        <w:rPr>
          <w:rFonts w:cs="Arial"/>
          <w:iCs/>
          <w:szCs w:val="20"/>
          <w:lang w:val="pt-BR"/>
        </w:rPr>
        <w:t xml:space="preserve"> perante a </w:t>
      </w:r>
      <w:r w:rsidR="004B0842" w:rsidRPr="00D5464D">
        <w:rPr>
          <w:rFonts w:cs="Arial"/>
          <w:iCs/>
          <w:szCs w:val="20"/>
          <w:lang w:val="pt-BR"/>
        </w:rPr>
        <w:t>Corte.</w:t>
      </w:r>
    </w:p>
    <w:p w14:paraId="60C785D5" w14:textId="77777777" w:rsidR="004B0842" w:rsidRPr="00D5464D" w:rsidRDefault="004B0842" w:rsidP="004B0842">
      <w:pPr>
        <w:pStyle w:val="Prrafodelista"/>
        <w:autoSpaceDE w:val="0"/>
        <w:autoSpaceDN w:val="0"/>
        <w:adjustRightInd w:val="0"/>
        <w:rPr>
          <w:rFonts w:cs="Arial"/>
          <w:iCs/>
          <w:szCs w:val="20"/>
          <w:lang w:val="pt-BR"/>
        </w:rPr>
      </w:pPr>
    </w:p>
    <w:p w14:paraId="616635D6" w14:textId="211EE8BD" w:rsidR="004B0842" w:rsidRPr="00D5464D" w:rsidRDefault="00737270"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Os </w:t>
      </w:r>
      <w:r w:rsidR="00EB1CE9" w:rsidRPr="00D5464D">
        <w:rPr>
          <w:rFonts w:cs="Arial"/>
          <w:iCs/>
          <w:szCs w:val="20"/>
          <w:lang w:val="pt-BR"/>
        </w:rPr>
        <w:t>representante</w:t>
      </w:r>
      <w:r w:rsidRPr="00D5464D">
        <w:rPr>
          <w:rFonts w:cs="Arial"/>
          <w:iCs/>
          <w:szCs w:val="20"/>
          <w:lang w:val="pt-BR"/>
        </w:rPr>
        <w:t xml:space="preserve">s </w:t>
      </w:r>
      <w:r w:rsidR="002C330E" w:rsidRPr="00D5464D">
        <w:rPr>
          <w:rFonts w:cs="Arial"/>
          <w:iCs/>
          <w:szCs w:val="20"/>
          <w:lang w:val="pt-BR"/>
        </w:rPr>
        <w:t>afirmaram</w:t>
      </w:r>
      <w:r w:rsidR="004B0842" w:rsidRPr="00D5464D">
        <w:rPr>
          <w:rFonts w:cs="Arial"/>
          <w:iCs/>
          <w:szCs w:val="20"/>
          <w:lang w:val="pt-BR"/>
        </w:rPr>
        <w:t xml:space="preserve"> que</w:t>
      </w:r>
      <w:r w:rsidR="002C330E" w:rsidRPr="00D5464D">
        <w:rPr>
          <w:rFonts w:cs="Arial"/>
          <w:iCs/>
          <w:szCs w:val="20"/>
          <w:lang w:val="pt-BR"/>
        </w:rPr>
        <w:t xml:space="preserve"> os </w:t>
      </w:r>
      <w:r w:rsidR="004B0842" w:rsidRPr="00D5464D">
        <w:rPr>
          <w:rFonts w:cs="Arial"/>
          <w:iCs/>
          <w:szCs w:val="20"/>
          <w:lang w:val="pt-BR"/>
        </w:rPr>
        <w:t>gastos</w:t>
      </w:r>
      <w:r w:rsidR="00E045D9" w:rsidRPr="00D5464D">
        <w:rPr>
          <w:rFonts w:cs="Arial"/>
          <w:iCs/>
          <w:szCs w:val="20"/>
          <w:lang w:val="pt-BR"/>
        </w:rPr>
        <w:t xml:space="preserve"> e </w:t>
      </w:r>
      <w:r w:rsidR="00470ADC" w:rsidRPr="00D5464D">
        <w:rPr>
          <w:rFonts w:cs="Arial"/>
          <w:iCs/>
          <w:szCs w:val="20"/>
          <w:lang w:val="pt-BR"/>
        </w:rPr>
        <w:t xml:space="preserve">custas da </w:t>
      </w:r>
      <w:r w:rsidR="004B0842" w:rsidRPr="00D5464D">
        <w:rPr>
          <w:rFonts w:cs="Arial"/>
          <w:iCs/>
          <w:szCs w:val="20"/>
          <w:lang w:val="pt-BR"/>
        </w:rPr>
        <w:t xml:space="preserve">CPT </w:t>
      </w:r>
      <w:r w:rsidR="00017B54" w:rsidRPr="00D5464D">
        <w:rPr>
          <w:rFonts w:cs="Arial"/>
          <w:iCs/>
          <w:szCs w:val="20"/>
          <w:lang w:val="pt-BR"/>
        </w:rPr>
        <w:t xml:space="preserve">correspondem </w:t>
      </w:r>
      <w:r w:rsidR="004B0842" w:rsidRPr="00D5464D">
        <w:rPr>
          <w:rFonts w:cs="Arial"/>
          <w:iCs/>
          <w:szCs w:val="20"/>
          <w:lang w:val="pt-BR"/>
        </w:rPr>
        <w:t xml:space="preserve">a US$139,66. </w:t>
      </w:r>
      <w:r w:rsidRPr="00D5464D">
        <w:rPr>
          <w:rFonts w:cs="Arial"/>
          <w:iCs/>
          <w:szCs w:val="20"/>
          <w:lang w:val="pt-BR"/>
        </w:rPr>
        <w:t>Por sua vez</w:t>
      </w:r>
      <w:r w:rsidR="003606D7" w:rsidRPr="00D5464D">
        <w:rPr>
          <w:rFonts w:cs="Arial"/>
          <w:iCs/>
          <w:szCs w:val="20"/>
          <w:lang w:val="pt-BR"/>
        </w:rPr>
        <w:t>,</w:t>
      </w:r>
      <w:r w:rsidR="002C330E" w:rsidRPr="00D5464D">
        <w:rPr>
          <w:rFonts w:cs="Arial"/>
          <w:iCs/>
          <w:szCs w:val="20"/>
          <w:lang w:val="pt-BR"/>
        </w:rPr>
        <w:t xml:space="preserve"> os </w:t>
      </w:r>
      <w:r w:rsidR="004B0842" w:rsidRPr="00D5464D">
        <w:rPr>
          <w:rFonts w:cs="Arial"/>
          <w:iCs/>
          <w:szCs w:val="20"/>
          <w:lang w:val="pt-BR"/>
        </w:rPr>
        <w:t>gastos</w:t>
      </w:r>
      <w:r w:rsidR="00E045D9" w:rsidRPr="00D5464D">
        <w:rPr>
          <w:rFonts w:cs="Arial"/>
          <w:iCs/>
          <w:szCs w:val="20"/>
          <w:lang w:val="pt-BR"/>
        </w:rPr>
        <w:t xml:space="preserve"> e </w:t>
      </w:r>
      <w:r w:rsidR="00470ADC" w:rsidRPr="00D5464D">
        <w:rPr>
          <w:rFonts w:cs="Arial"/>
          <w:iCs/>
          <w:szCs w:val="20"/>
          <w:lang w:val="pt-BR"/>
        </w:rPr>
        <w:t>custas</w:t>
      </w:r>
      <w:r w:rsidR="004B0842" w:rsidRPr="00D5464D">
        <w:rPr>
          <w:rFonts w:cs="Arial"/>
          <w:iCs/>
          <w:szCs w:val="20"/>
          <w:lang w:val="pt-BR"/>
        </w:rPr>
        <w:t xml:space="preserve"> d</w:t>
      </w:r>
      <w:r w:rsidR="003606D7" w:rsidRPr="00D5464D">
        <w:rPr>
          <w:rFonts w:cs="Arial"/>
          <w:iCs/>
          <w:szCs w:val="20"/>
          <w:lang w:val="pt-BR"/>
        </w:rPr>
        <w:t>o</w:t>
      </w:r>
      <w:r w:rsidR="004B0842" w:rsidRPr="00D5464D">
        <w:rPr>
          <w:rFonts w:cs="Arial"/>
          <w:iCs/>
          <w:szCs w:val="20"/>
          <w:lang w:val="pt-BR"/>
        </w:rPr>
        <w:t xml:space="preserve"> CEJIL </w:t>
      </w:r>
      <w:r w:rsidR="00470ADC" w:rsidRPr="00D5464D">
        <w:rPr>
          <w:rFonts w:cs="Arial"/>
          <w:iCs/>
          <w:szCs w:val="20"/>
          <w:lang w:val="pt-BR"/>
        </w:rPr>
        <w:t>alcanç</w:t>
      </w:r>
      <w:r w:rsidR="00350187" w:rsidRPr="00D5464D">
        <w:rPr>
          <w:rFonts w:cs="Arial"/>
          <w:iCs/>
          <w:szCs w:val="20"/>
          <w:lang w:val="pt-BR"/>
        </w:rPr>
        <w:t xml:space="preserve">aram </w:t>
      </w:r>
      <w:r w:rsidR="002C330E" w:rsidRPr="00D5464D">
        <w:rPr>
          <w:rFonts w:cs="Arial"/>
          <w:iCs/>
          <w:szCs w:val="20"/>
          <w:lang w:val="pt-BR"/>
        </w:rPr>
        <w:t xml:space="preserve">a </w:t>
      </w:r>
      <w:r w:rsidR="00E045D9" w:rsidRPr="00D5464D">
        <w:rPr>
          <w:rFonts w:cs="Arial"/>
          <w:iCs/>
          <w:szCs w:val="20"/>
          <w:lang w:val="pt-BR"/>
        </w:rPr>
        <w:t xml:space="preserve">soma </w:t>
      </w:r>
      <w:r w:rsidR="004B0842" w:rsidRPr="00D5464D">
        <w:rPr>
          <w:rFonts w:cs="Arial"/>
          <w:iCs/>
          <w:szCs w:val="20"/>
          <w:lang w:val="pt-BR"/>
        </w:rPr>
        <w:t>de US$105.108,25</w:t>
      </w:r>
      <w:r w:rsidR="00C91CB1" w:rsidRPr="00D5464D">
        <w:rPr>
          <w:rFonts w:cs="Arial"/>
          <w:iCs/>
          <w:szCs w:val="20"/>
          <w:lang w:val="pt-BR"/>
        </w:rPr>
        <w:t xml:space="preserve">. Os </w:t>
      </w:r>
      <w:r w:rsidR="00EB1CE9" w:rsidRPr="00D5464D">
        <w:rPr>
          <w:rFonts w:cs="Arial"/>
          <w:iCs/>
          <w:szCs w:val="20"/>
          <w:lang w:val="pt-BR"/>
        </w:rPr>
        <w:t>representante</w:t>
      </w:r>
      <w:r w:rsidR="004B0842" w:rsidRPr="00D5464D">
        <w:rPr>
          <w:rFonts w:cs="Arial"/>
          <w:iCs/>
          <w:szCs w:val="20"/>
          <w:lang w:val="pt-BR"/>
        </w:rPr>
        <w:t>s divi</w:t>
      </w:r>
      <w:r w:rsidR="00A1358C" w:rsidRPr="00D5464D">
        <w:rPr>
          <w:rFonts w:cs="Arial"/>
          <w:iCs/>
          <w:szCs w:val="20"/>
          <w:lang w:val="pt-BR"/>
        </w:rPr>
        <w:t>d</w:t>
      </w:r>
      <w:r w:rsidR="003606D7" w:rsidRPr="00D5464D">
        <w:rPr>
          <w:rFonts w:cs="Arial"/>
          <w:iCs/>
          <w:szCs w:val="20"/>
          <w:lang w:val="pt-BR"/>
        </w:rPr>
        <w:t>i</w:t>
      </w:r>
      <w:r w:rsidR="00A1358C" w:rsidRPr="00D5464D">
        <w:rPr>
          <w:rFonts w:cs="Arial"/>
          <w:iCs/>
          <w:szCs w:val="20"/>
          <w:lang w:val="pt-BR"/>
        </w:rPr>
        <w:t>ram</w:t>
      </w:r>
      <w:r w:rsidR="002C330E" w:rsidRPr="00D5464D">
        <w:rPr>
          <w:rFonts w:cs="Arial"/>
          <w:iCs/>
          <w:szCs w:val="20"/>
          <w:lang w:val="pt-BR"/>
        </w:rPr>
        <w:t xml:space="preserve"> a </w:t>
      </w:r>
      <w:r w:rsidR="00E045D9" w:rsidRPr="00D5464D">
        <w:rPr>
          <w:rFonts w:cs="Arial"/>
          <w:iCs/>
          <w:szCs w:val="20"/>
          <w:lang w:val="pt-BR"/>
        </w:rPr>
        <w:t xml:space="preserve">soma </w:t>
      </w:r>
      <w:r w:rsidR="004B0842" w:rsidRPr="00D5464D">
        <w:rPr>
          <w:rFonts w:cs="Arial"/>
          <w:iCs/>
          <w:szCs w:val="20"/>
          <w:lang w:val="pt-BR"/>
        </w:rPr>
        <w:t>anterior</w:t>
      </w:r>
      <w:r w:rsidR="00470ADC" w:rsidRPr="00D5464D">
        <w:rPr>
          <w:rFonts w:cs="Arial"/>
          <w:iCs/>
          <w:szCs w:val="20"/>
          <w:lang w:val="pt-BR"/>
        </w:rPr>
        <w:t xml:space="preserve"> da </w:t>
      </w:r>
      <w:r w:rsidR="002C330E" w:rsidRPr="00D5464D">
        <w:rPr>
          <w:rFonts w:cs="Arial"/>
          <w:iCs/>
          <w:szCs w:val="20"/>
          <w:lang w:val="pt-BR"/>
        </w:rPr>
        <w:t>seguinte</w:t>
      </w:r>
      <w:r w:rsidR="004B0842" w:rsidRPr="00D5464D">
        <w:rPr>
          <w:rFonts w:cs="Arial"/>
          <w:iCs/>
          <w:szCs w:val="20"/>
          <w:lang w:val="pt-BR"/>
        </w:rPr>
        <w:t xml:space="preserve"> </w:t>
      </w:r>
      <w:r w:rsidR="002C330E" w:rsidRPr="00D5464D">
        <w:rPr>
          <w:rFonts w:cs="Arial"/>
          <w:iCs/>
          <w:szCs w:val="20"/>
          <w:lang w:val="pt-BR"/>
        </w:rPr>
        <w:t>maneira</w:t>
      </w:r>
      <w:r w:rsidR="004B0842" w:rsidRPr="00D5464D">
        <w:rPr>
          <w:rFonts w:cs="Arial"/>
          <w:iCs/>
          <w:szCs w:val="20"/>
          <w:lang w:val="pt-BR"/>
        </w:rPr>
        <w:t xml:space="preserve">: i) US$45.764,54 por gastos de </w:t>
      </w:r>
      <w:r w:rsidR="00E045D9" w:rsidRPr="00D5464D">
        <w:rPr>
          <w:rFonts w:cs="Arial"/>
          <w:iCs/>
          <w:szCs w:val="20"/>
          <w:lang w:val="pt-BR"/>
        </w:rPr>
        <w:t>viagens</w:t>
      </w:r>
      <w:r w:rsidR="004B0842" w:rsidRPr="00D5464D">
        <w:rPr>
          <w:rFonts w:cs="Arial"/>
          <w:iCs/>
          <w:szCs w:val="20"/>
          <w:lang w:val="pt-BR"/>
        </w:rPr>
        <w:t xml:space="preserve">; ii) US$1.678,76 por gastos de </w:t>
      </w:r>
      <w:r w:rsidR="00470ADC" w:rsidRPr="00D5464D">
        <w:rPr>
          <w:rFonts w:cs="Arial"/>
          <w:iCs/>
          <w:szCs w:val="20"/>
          <w:lang w:val="pt-BR"/>
        </w:rPr>
        <w:t>correio</w:t>
      </w:r>
      <w:r w:rsidR="004B0842" w:rsidRPr="00D5464D">
        <w:rPr>
          <w:rFonts w:cs="Arial"/>
          <w:iCs/>
          <w:szCs w:val="20"/>
          <w:lang w:val="pt-BR"/>
        </w:rPr>
        <w:t>s</w:t>
      </w:r>
      <w:r w:rsidR="00E045D9" w:rsidRPr="00D5464D">
        <w:rPr>
          <w:rFonts w:cs="Arial"/>
          <w:iCs/>
          <w:szCs w:val="20"/>
          <w:lang w:val="pt-BR"/>
        </w:rPr>
        <w:t xml:space="preserve"> e </w:t>
      </w:r>
      <w:r w:rsidR="003606D7" w:rsidRPr="00D5464D">
        <w:rPr>
          <w:rFonts w:cs="Arial"/>
          <w:iCs/>
          <w:szCs w:val="20"/>
          <w:lang w:val="pt-BR"/>
        </w:rPr>
        <w:t>foto</w:t>
      </w:r>
      <w:r w:rsidR="00470ADC" w:rsidRPr="00D5464D">
        <w:rPr>
          <w:rFonts w:cs="Arial"/>
          <w:iCs/>
          <w:szCs w:val="20"/>
          <w:lang w:val="pt-BR"/>
        </w:rPr>
        <w:t>cópias</w:t>
      </w:r>
      <w:r w:rsidR="004B0842" w:rsidRPr="00D5464D">
        <w:rPr>
          <w:rFonts w:cs="Arial"/>
          <w:iCs/>
          <w:szCs w:val="20"/>
          <w:lang w:val="pt-BR"/>
        </w:rPr>
        <w:t xml:space="preserve">; iii) US$2.770,29 por gastos </w:t>
      </w:r>
      <w:r w:rsidR="003606D7" w:rsidRPr="00D5464D">
        <w:rPr>
          <w:rFonts w:cs="Arial"/>
          <w:iCs/>
          <w:szCs w:val="20"/>
          <w:lang w:val="pt-BR"/>
        </w:rPr>
        <w:t>cartoriais</w:t>
      </w:r>
      <w:r w:rsidR="00C91CB1" w:rsidRPr="00D5464D">
        <w:rPr>
          <w:rFonts w:cs="Arial"/>
          <w:iCs/>
          <w:szCs w:val="20"/>
          <w:lang w:val="pt-BR"/>
        </w:rPr>
        <w:t xml:space="preserve"> </w:t>
      </w:r>
      <w:r w:rsidR="00E045D9" w:rsidRPr="00D5464D">
        <w:rPr>
          <w:rFonts w:cs="Arial"/>
          <w:iCs/>
          <w:szCs w:val="20"/>
          <w:lang w:val="pt-BR"/>
        </w:rPr>
        <w:t xml:space="preserve">e </w:t>
      </w:r>
      <w:r w:rsidR="00622CFB" w:rsidRPr="00D5464D">
        <w:rPr>
          <w:rFonts w:cs="Arial"/>
          <w:iCs/>
          <w:szCs w:val="20"/>
          <w:lang w:val="pt-BR"/>
        </w:rPr>
        <w:t>traduções</w:t>
      </w:r>
      <w:r w:rsidR="004B0842" w:rsidRPr="00D5464D">
        <w:rPr>
          <w:rFonts w:cs="Arial"/>
          <w:iCs/>
          <w:szCs w:val="20"/>
          <w:lang w:val="pt-BR"/>
        </w:rPr>
        <w:t xml:space="preserve">; iv) US$122,24 por gastos </w:t>
      </w:r>
      <w:r w:rsidR="003606D7" w:rsidRPr="00D5464D">
        <w:rPr>
          <w:rFonts w:cs="Arial"/>
          <w:iCs/>
          <w:szCs w:val="20"/>
          <w:lang w:val="pt-BR"/>
        </w:rPr>
        <w:t>de pesquisa</w:t>
      </w:r>
      <w:r w:rsidR="004B0842" w:rsidRPr="00D5464D">
        <w:rPr>
          <w:rFonts w:cs="Arial"/>
          <w:iCs/>
          <w:szCs w:val="20"/>
          <w:lang w:val="pt-BR"/>
        </w:rPr>
        <w:t xml:space="preserve">; v) US$54.591,48 por </w:t>
      </w:r>
      <w:r w:rsidR="00E045D9" w:rsidRPr="00D5464D">
        <w:rPr>
          <w:rFonts w:cs="Arial"/>
          <w:iCs/>
          <w:szCs w:val="20"/>
          <w:lang w:val="pt-BR"/>
        </w:rPr>
        <w:t>salário</w:t>
      </w:r>
      <w:r w:rsidR="004B0842" w:rsidRPr="00D5464D">
        <w:rPr>
          <w:rFonts w:cs="Arial"/>
          <w:iCs/>
          <w:szCs w:val="20"/>
          <w:lang w:val="pt-BR"/>
        </w:rPr>
        <w:t>s</w:t>
      </w:r>
      <w:r w:rsidR="00470ADC" w:rsidRPr="00D5464D">
        <w:rPr>
          <w:rFonts w:cs="Arial"/>
          <w:iCs/>
          <w:szCs w:val="20"/>
          <w:lang w:val="pt-BR"/>
        </w:rPr>
        <w:t>; e</w:t>
      </w:r>
      <w:r w:rsidR="004B0842" w:rsidRPr="00D5464D">
        <w:rPr>
          <w:rFonts w:cs="Arial"/>
          <w:iCs/>
          <w:szCs w:val="20"/>
          <w:lang w:val="pt-BR"/>
        </w:rPr>
        <w:t xml:space="preserve"> vi) US$180,95 por </w:t>
      </w:r>
      <w:r w:rsidR="003606D7" w:rsidRPr="00D5464D">
        <w:rPr>
          <w:rFonts w:cs="Arial"/>
          <w:iCs/>
          <w:szCs w:val="20"/>
          <w:lang w:val="pt-BR"/>
        </w:rPr>
        <w:t xml:space="preserve">ligações de longa </w:t>
      </w:r>
      <w:r w:rsidR="004B0842" w:rsidRPr="00D5464D">
        <w:rPr>
          <w:rFonts w:cs="Arial"/>
          <w:iCs/>
          <w:szCs w:val="20"/>
          <w:lang w:val="pt-BR"/>
        </w:rPr>
        <w:t>dist</w:t>
      </w:r>
      <w:r w:rsidR="003606D7" w:rsidRPr="00D5464D">
        <w:rPr>
          <w:rFonts w:cs="Arial"/>
          <w:iCs/>
          <w:szCs w:val="20"/>
          <w:lang w:val="pt-BR"/>
        </w:rPr>
        <w:t>â</w:t>
      </w:r>
      <w:r w:rsidR="004B0842" w:rsidRPr="00D5464D">
        <w:rPr>
          <w:rFonts w:cs="Arial"/>
          <w:iCs/>
          <w:szCs w:val="20"/>
          <w:lang w:val="pt-BR"/>
        </w:rPr>
        <w:t>ncia.</w:t>
      </w:r>
    </w:p>
    <w:p w14:paraId="72DA00B6" w14:textId="77777777" w:rsidR="00E94DEB" w:rsidRPr="00D5464D" w:rsidRDefault="00E94DEB" w:rsidP="00E94DEB">
      <w:pPr>
        <w:pStyle w:val="Prrafodelista"/>
        <w:autoSpaceDE w:val="0"/>
        <w:autoSpaceDN w:val="0"/>
        <w:adjustRightInd w:val="0"/>
        <w:ind w:left="0"/>
        <w:rPr>
          <w:rFonts w:cs="Arial"/>
          <w:iCs/>
          <w:szCs w:val="20"/>
          <w:lang w:val="pt-BR"/>
        </w:rPr>
      </w:pPr>
    </w:p>
    <w:p w14:paraId="213DE4B4" w14:textId="23DF9078" w:rsidR="004B0842" w:rsidRPr="00D5464D" w:rsidRDefault="00470ADC"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O </w:t>
      </w:r>
      <w:r w:rsidR="004B0842" w:rsidRPr="00D5464D">
        <w:rPr>
          <w:rFonts w:cs="Arial"/>
          <w:b/>
          <w:i/>
          <w:iCs/>
          <w:szCs w:val="20"/>
          <w:lang w:val="pt-BR"/>
        </w:rPr>
        <w:t>Estado</w:t>
      </w:r>
      <w:r w:rsidR="004B0842" w:rsidRPr="00D5464D">
        <w:rPr>
          <w:rFonts w:cs="Arial"/>
          <w:iCs/>
          <w:szCs w:val="20"/>
          <w:lang w:val="pt-BR"/>
        </w:rPr>
        <w:t xml:space="preserve"> </w:t>
      </w:r>
      <w:r w:rsidR="002C330E" w:rsidRPr="00D5464D">
        <w:rPr>
          <w:rFonts w:cs="Arial"/>
          <w:iCs/>
          <w:szCs w:val="20"/>
          <w:lang w:val="pt-BR"/>
        </w:rPr>
        <w:t>solicitou</w:t>
      </w:r>
      <w:r w:rsidR="004B0842" w:rsidRPr="00D5464D">
        <w:rPr>
          <w:rFonts w:cs="Arial"/>
          <w:iCs/>
          <w:szCs w:val="20"/>
          <w:lang w:val="pt-BR"/>
        </w:rPr>
        <w:t xml:space="preserve"> que,</w:t>
      </w:r>
      <w:r w:rsidRPr="00D5464D">
        <w:rPr>
          <w:rFonts w:cs="Arial"/>
          <w:iCs/>
          <w:szCs w:val="20"/>
          <w:lang w:val="pt-BR"/>
        </w:rPr>
        <w:t xml:space="preserve"> </w:t>
      </w:r>
      <w:r w:rsidR="004B0842" w:rsidRPr="00D5464D">
        <w:rPr>
          <w:rFonts w:cs="Arial"/>
          <w:iCs/>
          <w:szCs w:val="20"/>
          <w:lang w:val="pt-BR"/>
        </w:rPr>
        <w:t xml:space="preserve">caso </w:t>
      </w:r>
      <w:r w:rsidR="0045224E" w:rsidRPr="00D5464D">
        <w:rPr>
          <w:rFonts w:cs="Arial"/>
          <w:iCs/>
          <w:szCs w:val="20"/>
          <w:lang w:val="pt-BR"/>
        </w:rPr>
        <w:t xml:space="preserve">não seja declarada </w:t>
      </w:r>
      <w:r w:rsidR="00E045D9" w:rsidRPr="00D5464D">
        <w:rPr>
          <w:rFonts w:cs="Arial"/>
          <w:iCs/>
          <w:szCs w:val="20"/>
          <w:lang w:val="pt-BR"/>
        </w:rPr>
        <w:t>sua responsabilidade</w:t>
      </w:r>
      <w:r w:rsidR="002C330E" w:rsidRPr="00D5464D">
        <w:rPr>
          <w:rFonts w:cs="Arial"/>
          <w:iCs/>
          <w:szCs w:val="20"/>
          <w:lang w:val="pt-BR"/>
        </w:rPr>
        <w:t xml:space="preserve"> </w:t>
      </w:r>
      <w:r w:rsidR="004B0842" w:rsidRPr="00D5464D">
        <w:rPr>
          <w:rFonts w:cs="Arial"/>
          <w:iCs/>
          <w:szCs w:val="20"/>
          <w:lang w:val="pt-BR"/>
        </w:rPr>
        <w:t>internacional, n</w:t>
      </w:r>
      <w:r w:rsidR="0045224E" w:rsidRPr="00D5464D">
        <w:rPr>
          <w:rFonts w:cs="Arial"/>
          <w:iCs/>
          <w:szCs w:val="20"/>
          <w:lang w:val="pt-BR"/>
        </w:rPr>
        <w:t>ã</w:t>
      </w:r>
      <w:r w:rsidR="004B0842" w:rsidRPr="00D5464D">
        <w:rPr>
          <w:rFonts w:cs="Arial"/>
          <w:iCs/>
          <w:szCs w:val="20"/>
          <w:lang w:val="pt-BR"/>
        </w:rPr>
        <w:t>o</w:t>
      </w:r>
      <w:r w:rsidR="002C330E" w:rsidRPr="00D5464D">
        <w:rPr>
          <w:rFonts w:cs="Arial"/>
          <w:iCs/>
          <w:szCs w:val="20"/>
          <w:lang w:val="pt-BR"/>
        </w:rPr>
        <w:t xml:space="preserve"> seja </w:t>
      </w:r>
      <w:r w:rsidR="004B0842" w:rsidRPr="00D5464D">
        <w:rPr>
          <w:rFonts w:cs="Arial"/>
          <w:iCs/>
          <w:szCs w:val="20"/>
          <w:lang w:val="pt-BR"/>
        </w:rPr>
        <w:t xml:space="preserve">condenado a pagar </w:t>
      </w:r>
      <w:r w:rsidR="002C330E" w:rsidRPr="00D5464D">
        <w:rPr>
          <w:rFonts w:cs="Arial"/>
          <w:iCs/>
          <w:szCs w:val="20"/>
          <w:lang w:val="pt-BR"/>
        </w:rPr>
        <w:t>nenhum</w:t>
      </w:r>
      <w:r w:rsidR="00E045D9" w:rsidRPr="00D5464D">
        <w:rPr>
          <w:rFonts w:cs="Arial"/>
          <w:iCs/>
          <w:szCs w:val="20"/>
          <w:lang w:val="pt-BR"/>
        </w:rPr>
        <w:t xml:space="preserve"> montante </w:t>
      </w:r>
      <w:r w:rsidR="004B0842" w:rsidRPr="00D5464D">
        <w:rPr>
          <w:rFonts w:cs="Arial"/>
          <w:iCs/>
          <w:szCs w:val="20"/>
          <w:lang w:val="pt-BR"/>
        </w:rPr>
        <w:t>por gastos</w:t>
      </w:r>
      <w:r w:rsidR="00E045D9" w:rsidRPr="00D5464D">
        <w:rPr>
          <w:rFonts w:cs="Arial"/>
          <w:iCs/>
          <w:szCs w:val="20"/>
          <w:lang w:val="pt-BR"/>
        </w:rPr>
        <w:t xml:space="preserve"> e </w:t>
      </w:r>
      <w:r w:rsidRPr="00D5464D">
        <w:rPr>
          <w:rFonts w:cs="Arial"/>
          <w:iCs/>
          <w:szCs w:val="20"/>
          <w:lang w:val="pt-BR"/>
        </w:rPr>
        <w:t>custas</w:t>
      </w:r>
      <w:r w:rsidR="004B0842" w:rsidRPr="00D5464D">
        <w:rPr>
          <w:rFonts w:cs="Arial"/>
          <w:iCs/>
          <w:szCs w:val="20"/>
          <w:lang w:val="pt-BR"/>
        </w:rPr>
        <w:t xml:space="preserve">. </w:t>
      </w:r>
      <w:r w:rsidR="00E045D9" w:rsidRPr="00D5464D">
        <w:rPr>
          <w:rFonts w:cs="Arial"/>
          <w:iCs/>
          <w:szCs w:val="20"/>
          <w:lang w:val="pt-BR"/>
        </w:rPr>
        <w:t>Especificamente</w:t>
      </w:r>
      <w:r w:rsidR="00CE461E" w:rsidRPr="00D5464D">
        <w:rPr>
          <w:rFonts w:cs="Arial"/>
          <w:iCs/>
          <w:szCs w:val="20"/>
          <w:lang w:val="pt-BR"/>
        </w:rPr>
        <w:t>,</w:t>
      </w:r>
      <w:r w:rsidR="004B0842" w:rsidRPr="00D5464D">
        <w:rPr>
          <w:rFonts w:cs="Arial"/>
          <w:iCs/>
          <w:szCs w:val="20"/>
          <w:lang w:val="pt-BR"/>
        </w:rPr>
        <w:t xml:space="preserve"> </w:t>
      </w:r>
      <w:r w:rsidR="00A1358C" w:rsidRPr="00D5464D">
        <w:rPr>
          <w:rFonts w:cs="Arial"/>
          <w:iCs/>
          <w:szCs w:val="20"/>
          <w:lang w:val="pt-BR"/>
        </w:rPr>
        <w:t>requereu</w:t>
      </w:r>
      <w:r w:rsidR="004B0842" w:rsidRPr="00D5464D">
        <w:rPr>
          <w:rFonts w:cs="Arial"/>
          <w:iCs/>
          <w:szCs w:val="20"/>
          <w:lang w:val="pt-BR"/>
        </w:rPr>
        <w:t xml:space="preserve"> que</w:t>
      </w:r>
      <w:r w:rsidR="002C330E" w:rsidRPr="00D5464D">
        <w:rPr>
          <w:rFonts w:cs="Arial"/>
          <w:iCs/>
          <w:szCs w:val="20"/>
          <w:lang w:val="pt-BR"/>
        </w:rPr>
        <w:t xml:space="preserve"> a </w:t>
      </w:r>
      <w:r w:rsidR="004B0842" w:rsidRPr="00D5464D">
        <w:rPr>
          <w:rFonts w:cs="Arial"/>
          <w:iCs/>
          <w:szCs w:val="20"/>
          <w:lang w:val="pt-BR"/>
        </w:rPr>
        <w:t>Corte se pronuncie sobre</w:t>
      </w:r>
      <w:r w:rsidRPr="00D5464D">
        <w:rPr>
          <w:rFonts w:cs="Arial"/>
          <w:iCs/>
          <w:szCs w:val="20"/>
          <w:lang w:val="pt-BR"/>
        </w:rPr>
        <w:t xml:space="preserve"> </w:t>
      </w:r>
      <w:r w:rsidR="0045224E" w:rsidRPr="00D5464D">
        <w:rPr>
          <w:rFonts w:cs="Arial"/>
          <w:iCs/>
          <w:szCs w:val="20"/>
          <w:lang w:val="pt-BR"/>
        </w:rPr>
        <w:t xml:space="preserve">a natureza </w:t>
      </w:r>
      <w:r w:rsidRPr="00D5464D">
        <w:rPr>
          <w:rFonts w:cs="Arial"/>
          <w:iCs/>
          <w:szCs w:val="20"/>
          <w:lang w:val="pt-BR"/>
        </w:rPr>
        <w:t>das custas</w:t>
      </w:r>
      <w:r w:rsidR="00E045D9" w:rsidRPr="00D5464D">
        <w:rPr>
          <w:rFonts w:cs="Arial"/>
          <w:iCs/>
          <w:szCs w:val="20"/>
          <w:lang w:val="pt-BR"/>
        </w:rPr>
        <w:t xml:space="preserve"> e </w:t>
      </w:r>
      <w:r w:rsidR="004B0842" w:rsidRPr="00D5464D">
        <w:rPr>
          <w:rFonts w:cs="Arial"/>
          <w:iCs/>
          <w:szCs w:val="20"/>
          <w:lang w:val="pt-BR"/>
        </w:rPr>
        <w:t>gastos.</w:t>
      </w:r>
    </w:p>
    <w:p w14:paraId="5E7BA043" w14:textId="77777777" w:rsidR="004B0842" w:rsidRPr="00D5464D" w:rsidRDefault="004B0842" w:rsidP="004B0842">
      <w:pPr>
        <w:pStyle w:val="Prrafodelista"/>
        <w:autoSpaceDE w:val="0"/>
        <w:autoSpaceDN w:val="0"/>
        <w:adjustRightInd w:val="0"/>
        <w:rPr>
          <w:rFonts w:cs="Arial"/>
          <w:iCs/>
          <w:szCs w:val="20"/>
          <w:lang w:val="pt-BR"/>
        </w:rPr>
      </w:pPr>
    </w:p>
    <w:p w14:paraId="47C00022" w14:textId="39D356E7" w:rsidR="004B0842" w:rsidRPr="00D5464D" w:rsidRDefault="004B0842"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Adicionalmente,</w:t>
      </w:r>
      <w:r w:rsidR="00470ADC" w:rsidRPr="00D5464D">
        <w:rPr>
          <w:rFonts w:cs="Arial"/>
          <w:iCs/>
          <w:szCs w:val="20"/>
          <w:lang w:val="pt-BR"/>
        </w:rPr>
        <w:t xml:space="preserve"> </w:t>
      </w:r>
      <w:r w:rsidRPr="00D5464D">
        <w:rPr>
          <w:rFonts w:cs="Arial"/>
          <w:iCs/>
          <w:szCs w:val="20"/>
          <w:lang w:val="pt-BR"/>
        </w:rPr>
        <w:t xml:space="preserve">caso </w:t>
      </w:r>
      <w:r w:rsidR="0045224E" w:rsidRPr="00D5464D">
        <w:rPr>
          <w:rFonts w:cs="Arial"/>
          <w:iCs/>
          <w:szCs w:val="20"/>
          <w:lang w:val="pt-BR"/>
        </w:rPr>
        <w:t xml:space="preserve">fosse </w:t>
      </w:r>
      <w:r w:rsidRPr="00D5464D">
        <w:rPr>
          <w:rFonts w:cs="Arial"/>
          <w:iCs/>
          <w:szCs w:val="20"/>
          <w:lang w:val="pt-BR"/>
        </w:rPr>
        <w:t xml:space="preserve">condenado a pagar </w:t>
      </w:r>
      <w:r w:rsidR="00470ADC" w:rsidRPr="00D5464D">
        <w:rPr>
          <w:rFonts w:cs="Arial"/>
          <w:iCs/>
          <w:szCs w:val="20"/>
          <w:lang w:val="pt-BR"/>
        </w:rPr>
        <w:t>custas</w:t>
      </w:r>
      <w:r w:rsidR="00E045D9" w:rsidRPr="00D5464D">
        <w:rPr>
          <w:rFonts w:cs="Arial"/>
          <w:iCs/>
          <w:szCs w:val="20"/>
          <w:lang w:val="pt-BR"/>
        </w:rPr>
        <w:t xml:space="preserve"> e </w:t>
      </w:r>
      <w:r w:rsidRPr="00D5464D">
        <w:rPr>
          <w:rFonts w:cs="Arial"/>
          <w:iCs/>
          <w:szCs w:val="20"/>
          <w:lang w:val="pt-BR"/>
        </w:rPr>
        <w:t>gastos,</w:t>
      </w:r>
      <w:r w:rsidR="00470ADC" w:rsidRPr="00D5464D">
        <w:rPr>
          <w:rFonts w:cs="Arial"/>
          <w:iCs/>
          <w:szCs w:val="20"/>
          <w:lang w:val="pt-BR"/>
        </w:rPr>
        <w:t xml:space="preserve"> o </w:t>
      </w:r>
      <w:r w:rsidRPr="00D5464D">
        <w:rPr>
          <w:rFonts w:cs="Arial"/>
          <w:iCs/>
          <w:szCs w:val="20"/>
          <w:lang w:val="pt-BR"/>
        </w:rPr>
        <w:t xml:space="preserve">Estado </w:t>
      </w:r>
      <w:r w:rsidR="002C330E" w:rsidRPr="00D5464D">
        <w:rPr>
          <w:rFonts w:cs="Arial"/>
          <w:iCs/>
          <w:szCs w:val="20"/>
          <w:lang w:val="pt-BR"/>
        </w:rPr>
        <w:t>afirmou</w:t>
      </w:r>
      <w:r w:rsidRPr="00D5464D">
        <w:rPr>
          <w:rFonts w:cs="Arial"/>
          <w:iCs/>
          <w:szCs w:val="20"/>
          <w:lang w:val="pt-BR"/>
        </w:rPr>
        <w:t xml:space="preserve"> que</w:t>
      </w:r>
      <w:r w:rsidR="00470ADC" w:rsidRPr="00D5464D">
        <w:rPr>
          <w:rFonts w:cs="Arial"/>
          <w:iCs/>
          <w:szCs w:val="20"/>
          <w:lang w:val="pt-BR"/>
        </w:rPr>
        <w:t xml:space="preserve"> </w:t>
      </w:r>
      <w:r w:rsidR="00D45816" w:rsidRPr="00D5464D">
        <w:rPr>
          <w:rFonts w:cs="Arial"/>
          <w:iCs/>
          <w:szCs w:val="20"/>
          <w:lang w:val="pt-BR"/>
        </w:rPr>
        <w:t xml:space="preserve">tal condenação </w:t>
      </w:r>
      <w:r w:rsidR="00470ADC" w:rsidRPr="00D5464D">
        <w:rPr>
          <w:rFonts w:cs="Arial"/>
          <w:iCs/>
          <w:szCs w:val="20"/>
          <w:lang w:val="pt-BR"/>
        </w:rPr>
        <w:t xml:space="preserve">deve </w:t>
      </w:r>
      <w:r w:rsidRPr="00D5464D">
        <w:rPr>
          <w:rFonts w:cs="Arial"/>
          <w:iCs/>
          <w:szCs w:val="20"/>
          <w:lang w:val="pt-BR"/>
        </w:rPr>
        <w:t xml:space="preserve">ser </w:t>
      </w:r>
      <w:r w:rsidR="00D45816" w:rsidRPr="00D5464D">
        <w:rPr>
          <w:rFonts w:cs="Arial"/>
          <w:iCs/>
          <w:szCs w:val="20"/>
          <w:lang w:val="pt-BR"/>
        </w:rPr>
        <w:t xml:space="preserve">feita </w:t>
      </w:r>
      <w:r w:rsidRPr="00D5464D">
        <w:rPr>
          <w:rFonts w:cs="Arial"/>
          <w:iCs/>
          <w:szCs w:val="20"/>
          <w:lang w:val="pt-BR"/>
        </w:rPr>
        <w:t xml:space="preserve">por </w:t>
      </w:r>
      <w:r w:rsidR="00A1358C" w:rsidRPr="00D5464D">
        <w:rPr>
          <w:rFonts w:cs="Arial"/>
          <w:iCs/>
          <w:szCs w:val="20"/>
          <w:lang w:val="pt-BR"/>
        </w:rPr>
        <w:t>montantes</w:t>
      </w:r>
      <w:r w:rsidRPr="00D5464D">
        <w:rPr>
          <w:rFonts w:cs="Arial"/>
          <w:iCs/>
          <w:szCs w:val="20"/>
          <w:lang w:val="pt-BR"/>
        </w:rPr>
        <w:t xml:space="preserve"> </w:t>
      </w:r>
      <w:r w:rsidR="00E045D9" w:rsidRPr="00D5464D">
        <w:rPr>
          <w:rFonts w:cs="Arial"/>
          <w:iCs/>
          <w:szCs w:val="20"/>
          <w:lang w:val="pt-BR"/>
        </w:rPr>
        <w:t xml:space="preserve">razoáveis e </w:t>
      </w:r>
      <w:r w:rsidR="00470ADC" w:rsidRPr="00D5464D">
        <w:rPr>
          <w:rFonts w:cs="Arial"/>
          <w:iCs/>
          <w:szCs w:val="20"/>
          <w:lang w:val="pt-BR"/>
        </w:rPr>
        <w:t>devidamente</w:t>
      </w:r>
      <w:r w:rsidRPr="00D5464D">
        <w:rPr>
          <w:rFonts w:cs="Arial"/>
          <w:iCs/>
          <w:szCs w:val="20"/>
          <w:lang w:val="pt-BR"/>
        </w:rPr>
        <w:t xml:space="preserve"> com</w:t>
      </w:r>
      <w:r w:rsidR="002C330E" w:rsidRPr="00D5464D">
        <w:rPr>
          <w:rFonts w:cs="Arial"/>
          <w:iCs/>
          <w:szCs w:val="20"/>
          <w:lang w:val="pt-BR"/>
        </w:rPr>
        <w:t>provad</w:t>
      </w:r>
      <w:r w:rsidRPr="00D5464D">
        <w:rPr>
          <w:rFonts w:cs="Arial"/>
          <w:iCs/>
          <w:szCs w:val="20"/>
          <w:lang w:val="pt-BR"/>
        </w:rPr>
        <w:t xml:space="preserve">os que </w:t>
      </w:r>
      <w:r w:rsidR="00E045D9" w:rsidRPr="00D5464D">
        <w:rPr>
          <w:rFonts w:cs="Arial"/>
          <w:iCs/>
          <w:szCs w:val="20"/>
          <w:lang w:val="pt-BR"/>
        </w:rPr>
        <w:t xml:space="preserve">tenham </w:t>
      </w:r>
      <w:r w:rsidRPr="00D5464D">
        <w:rPr>
          <w:rFonts w:cs="Arial"/>
          <w:iCs/>
          <w:szCs w:val="20"/>
          <w:lang w:val="pt-BR"/>
        </w:rPr>
        <w:t>rela</w:t>
      </w:r>
      <w:r w:rsidR="00470ADC" w:rsidRPr="00D5464D">
        <w:rPr>
          <w:rFonts w:cs="Arial"/>
          <w:iCs/>
          <w:szCs w:val="20"/>
          <w:lang w:val="pt-BR"/>
        </w:rPr>
        <w:t>ção</w:t>
      </w:r>
      <w:r w:rsidRPr="00D5464D">
        <w:rPr>
          <w:rFonts w:cs="Arial"/>
          <w:iCs/>
          <w:szCs w:val="20"/>
          <w:lang w:val="pt-BR"/>
        </w:rPr>
        <w:t xml:space="preserve"> </w:t>
      </w:r>
      <w:r w:rsidR="00470ADC" w:rsidRPr="00D5464D">
        <w:rPr>
          <w:rFonts w:cs="Arial"/>
          <w:iCs/>
          <w:szCs w:val="20"/>
          <w:lang w:val="pt-BR"/>
        </w:rPr>
        <w:t>diret</w:t>
      </w:r>
      <w:r w:rsidRPr="00D5464D">
        <w:rPr>
          <w:rFonts w:cs="Arial"/>
          <w:iCs/>
          <w:szCs w:val="20"/>
          <w:lang w:val="pt-BR"/>
        </w:rPr>
        <w:t>a</w:t>
      </w:r>
      <w:r w:rsidR="00470ADC" w:rsidRPr="00D5464D">
        <w:rPr>
          <w:rFonts w:cs="Arial"/>
          <w:iCs/>
          <w:szCs w:val="20"/>
          <w:lang w:val="pt-BR"/>
        </w:rPr>
        <w:t xml:space="preserve"> </w:t>
      </w:r>
      <w:r w:rsidR="0045224E" w:rsidRPr="00D5464D">
        <w:rPr>
          <w:rFonts w:cs="Arial"/>
          <w:iCs/>
          <w:szCs w:val="20"/>
          <w:lang w:val="pt-BR"/>
        </w:rPr>
        <w:t>a</w:t>
      </w:r>
      <w:r w:rsidR="00470ADC" w:rsidRPr="00D5464D">
        <w:rPr>
          <w:rFonts w:cs="Arial"/>
          <w:iCs/>
          <w:szCs w:val="20"/>
          <w:lang w:val="pt-BR"/>
        </w:rPr>
        <w:t xml:space="preserve">o </w:t>
      </w:r>
      <w:r w:rsidRPr="00D5464D">
        <w:rPr>
          <w:rFonts w:cs="Arial"/>
          <w:iCs/>
          <w:szCs w:val="20"/>
          <w:lang w:val="pt-BR"/>
        </w:rPr>
        <w:t>caso concreto</w:t>
      </w:r>
      <w:r w:rsidR="00A1358C" w:rsidRPr="00D5464D">
        <w:rPr>
          <w:rFonts w:cs="Arial"/>
          <w:iCs/>
          <w:szCs w:val="20"/>
          <w:lang w:val="pt-BR"/>
        </w:rPr>
        <w:t>. Em particular</w:t>
      </w:r>
      <w:r w:rsidRPr="00D5464D">
        <w:rPr>
          <w:rFonts w:cs="Arial"/>
          <w:iCs/>
          <w:szCs w:val="20"/>
          <w:lang w:val="pt-BR"/>
        </w:rPr>
        <w:t xml:space="preserve">, </w:t>
      </w:r>
      <w:r w:rsidR="0045224E" w:rsidRPr="00D5464D">
        <w:rPr>
          <w:rFonts w:cs="Arial"/>
          <w:iCs/>
          <w:szCs w:val="20"/>
          <w:lang w:val="pt-BR"/>
        </w:rPr>
        <w:t xml:space="preserve">o </w:t>
      </w:r>
      <w:r w:rsidRPr="00D5464D">
        <w:rPr>
          <w:rFonts w:cs="Arial"/>
          <w:iCs/>
          <w:szCs w:val="20"/>
          <w:lang w:val="pt-BR"/>
        </w:rPr>
        <w:t xml:space="preserve">Brasil </w:t>
      </w:r>
      <w:r w:rsidR="00470ADC" w:rsidRPr="00D5464D">
        <w:rPr>
          <w:rFonts w:cs="Arial"/>
          <w:iCs/>
          <w:szCs w:val="20"/>
          <w:lang w:val="pt-BR"/>
        </w:rPr>
        <w:t>considerou</w:t>
      </w:r>
      <w:r w:rsidRPr="00D5464D">
        <w:rPr>
          <w:rFonts w:cs="Arial"/>
          <w:iCs/>
          <w:szCs w:val="20"/>
          <w:lang w:val="pt-BR"/>
        </w:rPr>
        <w:t xml:space="preserve"> que</w:t>
      </w:r>
      <w:r w:rsidR="002C330E" w:rsidRPr="00D5464D">
        <w:rPr>
          <w:rFonts w:cs="Arial"/>
          <w:iCs/>
          <w:szCs w:val="20"/>
          <w:lang w:val="pt-BR"/>
        </w:rPr>
        <w:t xml:space="preserve"> os </w:t>
      </w:r>
      <w:r w:rsidRPr="00D5464D">
        <w:rPr>
          <w:rFonts w:cs="Arial"/>
          <w:iCs/>
          <w:szCs w:val="20"/>
          <w:lang w:val="pt-BR"/>
        </w:rPr>
        <w:t xml:space="preserve">gastos </w:t>
      </w:r>
      <w:r w:rsidR="0045224E" w:rsidRPr="00D5464D">
        <w:rPr>
          <w:rFonts w:cs="Arial"/>
          <w:iCs/>
          <w:szCs w:val="20"/>
          <w:lang w:val="pt-BR"/>
        </w:rPr>
        <w:t xml:space="preserve">de </w:t>
      </w:r>
      <w:r w:rsidR="00E045D9" w:rsidRPr="00D5464D">
        <w:rPr>
          <w:rFonts w:cs="Arial"/>
          <w:iCs/>
          <w:szCs w:val="20"/>
          <w:lang w:val="pt-BR"/>
        </w:rPr>
        <w:t>salário</w:t>
      </w:r>
      <w:r w:rsidRPr="00D5464D">
        <w:rPr>
          <w:rFonts w:cs="Arial"/>
          <w:iCs/>
          <w:szCs w:val="20"/>
          <w:lang w:val="pt-BR"/>
        </w:rPr>
        <w:t xml:space="preserve">s de </w:t>
      </w:r>
      <w:r w:rsidR="00470ADC" w:rsidRPr="00D5464D">
        <w:rPr>
          <w:rFonts w:cs="Arial"/>
          <w:iCs/>
          <w:szCs w:val="20"/>
          <w:lang w:val="pt-BR"/>
        </w:rPr>
        <w:t>advogad</w:t>
      </w:r>
      <w:r w:rsidRPr="00D5464D">
        <w:rPr>
          <w:rFonts w:cs="Arial"/>
          <w:iCs/>
          <w:szCs w:val="20"/>
          <w:lang w:val="pt-BR"/>
        </w:rPr>
        <w:t>os n</w:t>
      </w:r>
      <w:r w:rsidR="0045224E" w:rsidRPr="00D5464D">
        <w:rPr>
          <w:rFonts w:cs="Arial"/>
          <w:iCs/>
          <w:szCs w:val="20"/>
          <w:lang w:val="pt-BR"/>
        </w:rPr>
        <w:t>ã</w:t>
      </w:r>
      <w:r w:rsidRPr="00D5464D">
        <w:rPr>
          <w:rFonts w:cs="Arial"/>
          <w:iCs/>
          <w:szCs w:val="20"/>
          <w:lang w:val="pt-BR"/>
        </w:rPr>
        <w:t xml:space="preserve">o </w:t>
      </w:r>
      <w:r w:rsidR="00A1358C" w:rsidRPr="00D5464D">
        <w:rPr>
          <w:rFonts w:cs="Arial"/>
          <w:iCs/>
          <w:szCs w:val="20"/>
          <w:lang w:val="pt-BR"/>
        </w:rPr>
        <w:t>cumprem</w:t>
      </w:r>
      <w:r w:rsidR="00470ADC" w:rsidRPr="00D5464D">
        <w:rPr>
          <w:rFonts w:cs="Arial"/>
          <w:iCs/>
          <w:szCs w:val="20"/>
          <w:lang w:val="pt-BR"/>
        </w:rPr>
        <w:t xml:space="preserve"> estes </w:t>
      </w:r>
      <w:r w:rsidRPr="00D5464D">
        <w:rPr>
          <w:rFonts w:cs="Arial"/>
          <w:iCs/>
          <w:szCs w:val="20"/>
          <w:lang w:val="pt-BR"/>
        </w:rPr>
        <w:t>requisitos</w:t>
      </w:r>
      <w:r w:rsidR="0045224E" w:rsidRPr="00D5464D">
        <w:rPr>
          <w:rFonts w:cs="Arial"/>
          <w:iCs/>
          <w:szCs w:val="20"/>
          <w:lang w:val="pt-BR"/>
        </w:rPr>
        <w:t>,</w:t>
      </w:r>
      <w:r w:rsidR="002C330E" w:rsidRPr="00D5464D">
        <w:rPr>
          <w:rFonts w:cs="Arial"/>
          <w:iCs/>
          <w:szCs w:val="20"/>
          <w:lang w:val="pt-BR"/>
        </w:rPr>
        <w:t xml:space="preserve"> pois </w:t>
      </w:r>
      <w:r w:rsidRPr="00D5464D">
        <w:rPr>
          <w:rFonts w:cs="Arial"/>
          <w:iCs/>
          <w:szCs w:val="20"/>
          <w:lang w:val="pt-BR"/>
        </w:rPr>
        <w:t xml:space="preserve">se trata de simples </w:t>
      </w:r>
      <w:r w:rsidR="0045224E" w:rsidRPr="00D5464D">
        <w:rPr>
          <w:rFonts w:cs="Arial"/>
          <w:iCs/>
          <w:szCs w:val="20"/>
          <w:lang w:val="pt-BR"/>
        </w:rPr>
        <w:t xml:space="preserve">estimações </w:t>
      </w:r>
      <w:r w:rsidRPr="00D5464D">
        <w:rPr>
          <w:rFonts w:cs="Arial"/>
          <w:iCs/>
          <w:szCs w:val="20"/>
          <w:lang w:val="pt-BR"/>
        </w:rPr>
        <w:t>im</w:t>
      </w:r>
      <w:r w:rsidR="00737270" w:rsidRPr="00D5464D">
        <w:rPr>
          <w:rFonts w:cs="Arial"/>
          <w:iCs/>
          <w:szCs w:val="20"/>
          <w:lang w:val="pt-BR"/>
        </w:rPr>
        <w:t>possíveis</w:t>
      </w:r>
      <w:r w:rsidR="002C330E" w:rsidRPr="00D5464D">
        <w:rPr>
          <w:rFonts w:cs="Arial"/>
          <w:iCs/>
          <w:szCs w:val="20"/>
          <w:lang w:val="pt-BR"/>
        </w:rPr>
        <w:t xml:space="preserve"> </w:t>
      </w:r>
      <w:r w:rsidRPr="00D5464D">
        <w:rPr>
          <w:rFonts w:cs="Arial"/>
          <w:iCs/>
          <w:szCs w:val="20"/>
          <w:lang w:val="pt-BR"/>
        </w:rPr>
        <w:t>de ser</w:t>
      </w:r>
      <w:r w:rsidR="0045224E" w:rsidRPr="00D5464D">
        <w:rPr>
          <w:rFonts w:cs="Arial"/>
          <w:iCs/>
          <w:szCs w:val="20"/>
          <w:lang w:val="pt-BR"/>
        </w:rPr>
        <w:t>em</w:t>
      </w:r>
      <w:r w:rsidRPr="00D5464D">
        <w:rPr>
          <w:rFonts w:cs="Arial"/>
          <w:iCs/>
          <w:szCs w:val="20"/>
          <w:lang w:val="pt-BR"/>
        </w:rPr>
        <w:t xml:space="preserve"> corroborad</w:t>
      </w:r>
      <w:r w:rsidR="0045224E" w:rsidRPr="00D5464D">
        <w:rPr>
          <w:rFonts w:cs="Arial"/>
          <w:iCs/>
          <w:szCs w:val="20"/>
          <w:lang w:val="pt-BR"/>
        </w:rPr>
        <w:t>a</w:t>
      </w:r>
      <w:r w:rsidRPr="00D5464D">
        <w:rPr>
          <w:rFonts w:cs="Arial"/>
          <w:iCs/>
          <w:szCs w:val="20"/>
          <w:lang w:val="pt-BR"/>
        </w:rPr>
        <w:t xml:space="preserve">s. </w:t>
      </w:r>
    </w:p>
    <w:p w14:paraId="667AFB03" w14:textId="77777777" w:rsidR="00E94DEB" w:rsidRPr="00D5464D" w:rsidRDefault="00E94DEB" w:rsidP="00E94DEB">
      <w:pPr>
        <w:pStyle w:val="Prrafodelista"/>
        <w:autoSpaceDE w:val="0"/>
        <w:autoSpaceDN w:val="0"/>
        <w:adjustRightInd w:val="0"/>
        <w:ind w:left="0"/>
        <w:rPr>
          <w:rFonts w:cs="Arial"/>
          <w:iCs/>
          <w:szCs w:val="20"/>
          <w:lang w:val="pt-BR"/>
        </w:rPr>
      </w:pPr>
    </w:p>
    <w:p w14:paraId="302574E6" w14:textId="025A1549" w:rsidR="004B0842" w:rsidRPr="00D5464D" w:rsidRDefault="00470ADC"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A </w:t>
      </w:r>
      <w:r w:rsidR="004B0842" w:rsidRPr="00D5464D">
        <w:rPr>
          <w:rFonts w:cs="Arial"/>
          <w:iCs/>
          <w:szCs w:val="20"/>
          <w:lang w:val="pt-BR"/>
        </w:rPr>
        <w:t xml:space="preserve">Corte reitera que, </w:t>
      </w:r>
      <w:r w:rsidR="0045224E" w:rsidRPr="00D5464D">
        <w:rPr>
          <w:rFonts w:cs="Arial"/>
          <w:iCs/>
          <w:szCs w:val="20"/>
          <w:lang w:val="pt-BR"/>
        </w:rPr>
        <w:t xml:space="preserve">em conformidade com </w:t>
      </w:r>
      <w:r w:rsidR="00E045D9" w:rsidRPr="00D5464D">
        <w:rPr>
          <w:rFonts w:cs="Arial"/>
          <w:iCs/>
          <w:szCs w:val="20"/>
          <w:lang w:val="pt-BR"/>
        </w:rPr>
        <w:t>sua jurisprudência</w:t>
      </w:r>
      <w:r w:rsidR="002C330E" w:rsidRPr="00D5464D">
        <w:rPr>
          <w:rFonts w:cs="Arial"/>
          <w:iCs/>
          <w:szCs w:val="20"/>
          <w:lang w:val="pt-BR"/>
        </w:rPr>
        <w:t xml:space="preserve">, as </w:t>
      </w:r>
      <w:r w:rsidRPr="00D5464D">
        <w:rPr>
          <w:rFonts w:cs="Arial"/>
          <w:iCs/>
          <w:szCs w:val="20"/>
          <w:lang w:val="pt-BR"/>
        </w:rPr>
        <w:t>custas</w:t>
      </w:r>
      <w:r w:rsidR="00E045D9" w:rsidRPr="00D5464D">
        <w:rPr>
          <w:rFonts w:cs="Arial"/>
          <w:iCs/>
          <w:szCs w:val="20"/>
          <w:lang w:val="pt-BR"/>
        </w:rPr>
        <w:t xml:space="preserve"> e </w:t>
      </w:r>
      <w:r w:rsidR="004B0842" w:rsidRPr="00D5464D">
        <w:rPr>
          <w:rFonts w:cs="Arial"/>
          <w:iCs/>
          <w:szCs w:val="20"/>
          <w:lang w:val="pt-BR"/>
        </w:rPr>
        <w:t>gastos</w:t>
      </w:r>
      <w:r w:rsidR="00230C71" w:rsidRPr="00D5464D">
        <w:rPr>
          <w:rFonts w:cs="Arial"/>
          <w:iCs/>
          <w:szCs w:val="20"/>
          <w:lang w:val="pt-BR"/>
        </w:rPr>
        <w:t xml:space="preserve"> fazem </w:t>
      </w:r>
      <w:r w:rsidR="004B0842" w:rsidRPr="00D5464D">
        <w:rPr>
          <w:rFonts w:cs="Arial"/>
          <w:iCs/>
          <w:szCs w:val="20"/>
          <w:lang w:val="pt-BR"/>
        </w:rPr>
        <w:t xml:space="preserve">parte </w:t>
      </w:r>
      <w:r w:rsidRPr="00D5464D">
        <w:rPr>
          <w:rFonts w:cs="Arial"/>
          <w:iCs/>
          <w:szCs w:val="20"/>
          <w:lang w:val="pt-BR"/>
        </w:rPr>
        <w:t>do conceito</w:t>
      </w:r>
      <w:r w:rsidR="004B0842" w:rsidRPr="00D5464D">
        <w:rPr>
          <w:rFonts w:cs="Arial"/>
          <w:iCs/>
          <w:szCs w:val="20"/>
          <w:lang w:val="pt-BR"/>
        </w:rPr>
        <w:t xml:space="preserve"> de repara</w:t>
      </w:r>
      <w:r w:rsidRPr="00D5464D">
        <w:rPr>
          <w:rFonts w:cs="Arial"/>
          <w:iCs/>
          <w:szCs w:val="20"/>
          <w:lang w:val="pt-BR"/>
        </w:rPr>
        <w:t>ção</w:t>
      </w:r>
      <w:r w:rsidR="004B0842" w:rsidRPr="00D5464D">
        <w:rPr>
          <w:rFonts w:cs="Arial"/>
          <w:iCs/>
          <w:szCs w:val="20"/>
          <w:lang w:val="pt-BR"/>
        </w:rPr>
        <w:t>, toda vez que</w:t>
      </w:r>
      <w:r w:rsidR="002C330E" w:rsidRPr="00D5464D">
        <w:rPr>
          <w:rFonts w:cs="Arial"/>
          <w:iCs/>
          <w:szCs w:val="20"/>
          <w:lang w:val="pt-BR"/>
        </w:rPr>
        <w:t xml:space="preserve"> as </w:t>
      </w:r>
      <w:r w:rsidRPr="00D5464D">
        <w:rPr>
          <w:rFonts w:cs="Arial"/>
          <w:iCs/>
          <w:szCs w:val="20"/>
          <w:lang w:val="pt-BR"/>
        </w:rPr>
        <w:t>ativ</w:t>
      </w:r>
      <w:r w:rsidR="004B0842" w:rsidRPr="00D5464D">
        <w:rPr>
          <w:rFonts w:cs="Arial"/>
          <w:iCs/>
          <w:szCs w:val="20"/>
          <w:lang w:val="pt-BR"/>
        </w:rPr>
        <w:t xml:space="preserve">idades </w:t>
      </w:r>
      <w:r w:rsidR="00C91CB1" w:rsidRPr="00D5464D">
        <w:rPr>
          <w:rFonts w:cs="Arial"/>
          <w:iCs/>
          <w:szCs w:val="20"/>
          <w:lang w:val="pt-BR"/>
        </w:rPr>
        <w:t>realizadas</w:t>
      </w:r>
      <w:r w:rsidR="002C330E" w:rsidRPr="00D5464D">
        <w:rPr>
          <w:rFonts w:cs="Arial"/>
          <w:iCs/>
          <w:szCs w:val="20"/>
          <w:lang w:val="pt-BR"/>
        </w:rPr>
        <w:t xml:space="preserve"> pelas </w:t>
      </w:r>
      <w:r w:rsidR="00E045D9" w:rsidRPr="00D5464D">
        <w:rPr>
          <w:rFonts w:cs="Arial"/>
          <w:iCs/>
          <w:szCs w:val="20"/>
          <w:lang w:val="pt-BR"/>
        </w:rPr>
        <w:t>vítima</w:t>
      </w:r>
      <w:r w:rsidR="004B0842" w:rsidRPr="00D5464D">
        <w:rPr>
          <w:rFonts w:cs="Arial"/>
          <w:iCs/>
          <w:szCs w:val="20"/>
          <w:lang w:val="pt-BR"/>
        </w:rPr>
        <w:t>s</w:t>
      </w:r>
      <w:r w:rsidRPr="00D5464D">
        <w:rPr>
          <w:rFonts w:cs="Arial"/>
          <w:iCs/>
          <w:szCs w:val="20"/>
          <w:lang w:val="pt-BR"/>
        </w:rPr>
        <w:t xml:space="preserve"> com o fim </w:t>
      </w:r>
      <w:r w:rsidR="004B0842" w:rsidRPr="00D5464D">
        <w:rPr>
          <w:rFonts w:cs="Arial"/>
          <w:iCs/>
          <w:szCs w:val="20"/>
          <w:lang w:val="pt-BR"/>
        </w:rPr>
        <w:t xml:space="preserve">de </w:t>
      </w:r>
      <w:r w:rsidR="002C330E" w:rsidRPr="00D5464D">
        <w:rPr>
          <w:rFonts w:cs="Arial"/>
          <w:iCs/>
          <w:szCs w:val="20"/>
          <w:lang w:val="pt-BR"/>
        </w:rPr>
        <w:t>obter</w:t>
      </w:r>
      <w:r w:rsidR="004B0842" w:rsidRPr="00D5464D">
        <w:rPr>
          <w:rFonts w:cs="Arial"/>
          <w:iCs/>
          <w:szCs w:val="20"/>
          <w:lang w:val="pt-BR"/>
        </w:rPr>
        <w:t xml:space="preserve"> </w:t>
      </w:r>
      <w:r w:rsidR="002C330E" w:rsidRPr="00D5464D">
        <w:rPr>
          <w:rFonts w:cs="Arial"/>
          <w:iCs/>
          <w:szCs w:val="20"/>
          <w:lang w:val="pt-BR"/>
        </w:rPr>
        <w:t>justiça</w:t>
      </w:r>
      <w:r w:rsidR="004B0842" w:rsidRPr="00D5464D">
        <w:rPr>
          <w:rFonts w:cs="Arial"/>
          <w:iCs/>
          <w:szCs w:val="20"/>
          <w:lang w:val="pt-BR"/>
        </w:rPr>
        <w:t xml:space="preserve">, tanto </w:t>
      </w:r>
      <w:r w:rsidR="00C91CB1" w:rsidRPr="00D5464D">
        <w:rPr>
          <w:rFonts w:cs="Arial"/>
          <w:iCs/>
          <w:szCs w:val="20"/>
          <w:lang w:val="pt-BR"/>
        </w:rPr>
        <w:t>no âmbito nacional</w:t>
      </w:r>
      <w:r w:rsidR="004B0842" w:rsidRPr="00D5464D">
        <w:rPr>
          <w:rFonts w:cs="Arial"/>
          <w:iCs/>
          <w:szCs w:val="20"/>
          <w:lang w:val="pt-BR"/>
        </w:rPr>
        <w:t xml:space="preserve"> como internacional, </w:t>
      </w:r>
      <w:r w:rsidR="00A1358C" w:rsidRPr="00D5464D">
        <w:rPr>
          <w:rFonts w:cs="Arial"/>
          <w:iCs/>
          <w:szCs w:val="20"/>
          <w:lang w:val="pt-BR"/>
        </w:rPr>
        <w:t>implicam</w:t>
      </w:r>
      <w:r w:rsidR="004B0842" w:rsidRPr="00D5464D">
        <w:rPr>
          <w:rFonts w:cs="Arial"/>
          <w:iCs/>
          <w:szCs w:val="20"/>
          <w:lang w:val="pt-BR"/>
        </w:rPr>
        <w:t xml:space="preserve"> </w:t>
      </w:r>
      <w:r w:rsidR="00D45816" w:rsidRPr="00D5464D">
        <w:rPr>
          <w:rFonts w:cs="Arial"/>
          <w:iCs/>
          <w:szCs w:val="20"/>
          <w:lang w:val="pt-BR"/>
        </w:rPr>
        <w:t xml:space="preserve">em </w:t>
      </w:r>
      <w:r w:rsidR="0045224E" w:rsidRPr="00D5464D">
        <w:rPr>
          <w:rFonts w:cs="Arial"/>
          <w:iCs/>
          <w:szCs w:val="20"/>
          <w:lang w:val="pt-BR"/>
        </w:rPr>
        <w:t xml:space="preserve">gastos </w:t>
      </w:r>
      <w:r w:rsidR="004B0842" w:rsidRPr="00D5464D">
        <w:rPr>
          <w:rFonts w:cs="Arial"/>
          <w:iCs/>
          <w:szCs w:val="20"/>
          <w:lang w:val="pt-BR"/>
        </w:rPr>
        <w:t xml:space="preserve">que </w:t>
      </w:r>
      <w:r w:rsidRPr="00D5464D">
        <w:rPr>
          <w:rFonts w:cs="Arial"/>
          <w:iCs/>
          <w:szCs w:val="20"/>
          <w:lang w:val="pt-BR"/>
        </w:rPr>
        <w:t>devem</w:t>
      </w:r>
      <w:r w:rsidR="004B0842" w:rsidRPr="00D5464D">
        <w:rPr>
          <w:rFonts w:cs="Arial"/>
          <w:iCs/>
          <w:szCs w:val="20"/>
          <w:lang w:val="pt-BR"/>
        </w:rPr>
        <w:t xml:space="preserve"> ser compensad</w:t>
      </w:r>
      <w:r w:rsidR="0045224E" w:rsidRPr="00D5464D">
        <w:rPr>
          <w:rFonts w:cs="Arial"/>
          <w:iCs/>
          <w:szCs w:val="20"/>
          <w:lang w:val="pt-BR"/>
        </w:rPr>
        <w:t>o</w:t>
      </w:r>
      <w:r w:rsidR="004B0842" w:rsidRPr="00D5464D">
        <w:rPr>
          <w:rFonts w:cs="Arial"/>
          <w:iCs/>
          <w:szCs w:val="20"/>
          <w:lang w:val="pt-BR"/>
        </w:rPr>
        <w:t xml:space="preserve">s </w:t>
      </w:r>
      <w:r w:rsidRPr="00D5464D">
        <w:rPr>
          <w:rFonts w:cs="Arial"/>
          <w:iCs/>
          <w:szCs w:val="20"/>
          <w:lang w:val="pt-BR"/>
        </w:rPr>
        <w:t>quando</w:t>
      </w:r>
      <w:r w:rsidR="002C330E" w:rsidRPr="00D5464D">
        <w:rPr>
          <w:rFonts w:cs="Arial"/>
          <w:iCs/>
          <w:szCs w:val="20"/>
          <w:lang w:val="pt-BR"/>
        </w:rPr>
        <w:t xml:space="preserve"> a responsabilidade </w:t>
      </w:r>
      <w:r w:rsidR="004B0842" w:rsidRPr="00D5464D">
        <w:rPr>
          <w:rFonts w:cs="Arial"/>
          <w:iCs/>
          <w:szCs w:val="20"/>
          <w:lang w:val="pt-BR"/>
        </w:rPr>
        <w:t xml:space="preserve">internacional </w:t>
      </w:r>
      <w:r w:rsidRPr="00D5464D">
        <w:rPr>
          <w:rFonts w:cs="Arial"/>
          <w:iCs/>
          <w:szCs w:val="20"/>
          <w:lang w:val="pt-BR"/>
        </w:rPr>
        <w:t xml:space="preserve">do </w:t>
      </w:r>
      <w:r w:rsidR="004B0842" w:rsidRPr="00D5464D">
        <w:rPr>
          <w:rFonts w:cs="Arial"/>
          <w:iCs/>
          <w:szCs w:val="20"/>
          <w:lang w:val="pt-BR"/>
        </w:rPr>
        <w:t>Estado</w:t>
      </w:r>
      <w:r w:rsidRPr="00D5464D">
        <w:rPr>
          <w:rFonts w:cs="Arial"/>
          <w:iCs/>
          <w:szCs w:val="20"/>
          <w:lang w:val="pt-BR"/>
        </w:rPr>
        <w:t xml:space="preserve"> é </w:t>
      </w:r>
      <w:r w:rsidR="004B0842" w:rsidRPr="00D5464D">
        <w:rPr>
          <w:rFonts w:cs="Arial"/>
          <w:iCs/>
          <w:szCs w:val="20"/>
          <w:lang w:val="pt-BR"/>
        </w:rPr>
        <w:t>declarada mediante</w:t>
      </w:r>
      <w:r w:rsidR="00E045D9" w:rsidRPr="00D5464D">
        <w:rPr>
          <w:rFonts w:cs="Arial"/>
          <w:iCs/>
          <w:szCs w:val="20"/>
          <w:lang w:val="pt-BR"/>
        </w:rPr>
        <w:t xml:space="preserve"> uma </w:t>
      </w:r>
      <w:r w:rsidR="002C330E" w:rsidRPr="00D5464D">
        <w:rPr>
          <w:rFonts w:cs="Arial"/>
          <w:iCs/>
          <w:szCs w:val="20"/>
          <w:lang w:val="pt-BR"/>
        </w:rPr>
        <w:t>sentença</w:t>
      </w:r>
      <w:r w:rsidR="004B0842" w:rsidRPr="00D5464D">
        <w:rPr>
          <w:rFonts w:cs="Arial"/>
          <w:iCs/>
          <w:szCs w:val="20"/>
          <w:lang w:val="pt-BR"/>
        </w:rPr>
        <w:t xml:space="preserve"> </w:t>
      </w:r>
      <w:r w:rsidR="00737270" w:rsidRPr="00D5464D">
        <w:rPr>
          <w:rFonts w:cs="Arial"/>
          <w:iCs/>
          <w:szCs w:val="20"/>
          <w:lang w:val="pt-BR"/>
        </w:rPr>
        <w:t>condenatóri</w:t>
      </w:r>
      <w:r w:rsidR="004B0842" w:rsidRPr="00D5464D">
        <w:rPr>
          <w:rFonts w:cs="Arial"/>
          <w:iCs/>
          <w:szCs w:val="20"/>
          <w:lang w:val="pt-BR"/>
        </w:rPr>
        <w:t>a.</w:t>
      </w:r>
      <w:r w:rsidRPr="00D5464D">
        <w:rPr>
          <w:rFonts w:cs="Arial"/>
          <w:iCs/>
          <w:szCs w:val="20"/>
          <w:lang w:val="pt-BR"/>
        </w:rPr>
        <w:t xml:space="preserve"> </w:t>
      </w:r>
      <w:r w:rsidR="0045224E" w:rsidRPr="00D5464D">
        <w:rPr>
          <w:rFonts w:cs="Arial"/>
          <w:iCs/>
          <w:szCs w:val="20"/>
          <w:lang w:val="pt-BR"/>
        </w:rPr>
        <w:t>Q</w:t>
      </w:r>
      <w:r w:rsidR="00350187" w:rsidRPr="00D5464D">
        <w:rPr>
          <w:rFonts w:cs="Arial"/>
          <w:iCs/>
          <w:szCs w:val="20"/>
          <w:lang w:val="pt-BR"/>
        </w:rPr>
        <w:t>uanto</w:t>
      </w:r>
      <w:r w:rsidRPr="00D5464D">
        <w:rPr>
          <w:rFonts w:cs="Arial"/>
          <w:iCs/>
          <w:szCs w:val="20"/>
          <w:lang w:val="pt-BR"/>
        </w:rPr>
        <w:t xml:space="preserve"> ao </w:t>
      </w:r>
      <w:r w:rsidR="004B0842" w:rsidRPr="00D5464D">
        <w:rPr>
          <w:rFonts w:cs="Arial"/>
          <w:iCs/>
          <w:szCs w:val="20"/>
          <w:lang w:val="pt-BR"/>
        </w:rPr>
        <w:t>reembolso de gastos, corresponde</w:t>
      </w:r>
      <w:r w:rsidRPr="00D5464D">
        <w:rPr>
          <w:rFonts w:cs="Arial"/>
          <w:iCs/>
          <w:szCs w:val="20"/>
          <w:lang w:val="pt-BR"/>
        </w:rPr>
        <w:t xml:space="preserve"> à </w:t>
      </w:r>
      <w:r w:rsidR="004B0842" w:rsidRPr="00D5464D">
        <w:rPr>
          <w:rFonts w:cs="Arial"/>
          <w:iCs/>
          <w:szCs w:val="20"/>
          <w:lang w:val="pt-BR"/>
        </w:rPr>
        <w:t xml:space="preserve">Corte apreciar prudentemente </w:t>
      </w:r>
      <w:r w:rsidR="0045224E" w:rsidRPr="00D5464D">
        <w:rPr>
          <w:rFonts w:cs="Arial"/>
          <w:iCs/>
          <w:szCs w:val="20"/>
          <w:lang w:val="pt-BR"/>
        </w:rPr>
        <w:t xml:space="preserve">o </w:t>
      </w:r>
      <w:r w:rsidR="00737270" w:rsidRPr="00D5464D">
        <w:rPr>
          <w:rFonts w:cs="Arial"/>
          <w:iCs/>
          <w:szCs w:val="20"/>
          <w:lang w:val="pt-BR"/>
        </w:rPr>
        <w:t>seu alcance</w:t>
      </w:r>
      <w:r w:rsidR="004B0842" w:rsidRPr="00D5464D">
        <w:rPr>
          <w:rFonts w:cs="Arial"/>
          <w:iCs/>
          <w:szCs w:val="20"/>
          <w:lang w:val="pt-BR"/>
        </w:rPr>
        <w:t>,</w:t>
      </w:r>
      <w:r w:rsidRPr="00D5464D">
        <w:rPr>
          <w:rFonts w:cs="Arial"/>
          <w:iCs/>
          <w:szCs w:val="20"/>
          <w:lang w:val="pt-BR"/>
        </w:rPr>
        <w:t xml:space="preserve"> o qual </w:t>
      </w:r>
      <w:r w:rsidR="0045224E" w:rsidRPr="00D5464D">
        <w:rPr>
          <w:rFonts w:cs="Arial"/>
          <w:iCs/>
          <w:szCs w:val="20"/>
          <w:lang w:val="pt-BR"/>
        </w:rPr>
        <w:t xml:space="preserve">compreende </w:t>
      </w:r>
      <w:r w:rsidR="00E045D9" w:rsidRPr="00D5464D">
        <w:rPr>
          <w:rFonts w:cs="Arial"/>
          <w:iCs/>
          <w:szCs w:val="20"/>
          <w:lang w:val="pt-BR"/>
        </w:rPr>
        <w:t xml:space="preserve">os </w:t>
      </w:r>
      <w:r w:rsidR="004B0842" w:rsidRPr="00D5464D">
        <w:rPr>
          <w:rFonts w:cs="Arial"/>
          <w:iCs/>
          <w:szCs w:val="20"/>
          <w:lang w:val="pt-BR"/>
        </w:rPr>
        <w:t xml:space="preserve">gastos </w:t>
      </w:r>
      <w:r w:rsidR="002C330E" w:rsidRPr="00D5464D">
        <w:rPr>
          <w:rFonts w:cs="Arial"/>
          <w:iCs/>
          <w:szCs w:val="20"/>
          <w:lang w:val="pt-BR"/>
        </w:rPr>
        <w:t>gerados</w:t>
      </w:r>
      <w:r w:rsidR="004B0842" w:rsidRPr="00D5464D">
        <w:rPr>
          <w:rFonts w:cs="Arial"/>
          <w:iCs/>
          <w:szCs w:val="20"/>
          <w:lang w:val="pt-BR"/>
        </w:rPr>
        <w:t xml:space="preserve"> </w:t>
      </w:r>
      <w:r w:rsidR="0045224E" w:rsidRPr="00D5464D">
        <w:rPr>
          <w:rFonts w:cs="Arial"/>
          <w:iCs/>
          <w:szCs w:val="20"/>
          <w:lang w:val="pt-BR"/>
        </w:rPr>
        <w:t>per</w:t>
      </w:r>
      <w:r w:rsidR="004B0842" w:rsidRPr="00D5464D">
        <w:rPr>
          <w:rFonts w:cs="Arial"/>
          <w:iCs/>
          <w:szCs w:val="20"/>
          <w:lang w:val="pt-BR"/>
        </w:rPr>
        <w:t>ante</w:t>
      </w:r>
      <w:r w:rsidR="002C330E" w:rsidRPr="00D5464D">
        <w:rPr>
          <w:rFonts w:cs="Arial"/>
          <w:iCs/>
          <w:szCs w:val="20"/>
          <w:lang w:val="pt-BR"/>
        </w:rPr>
        <w:t xml:space="preserve"> as </w:t>
      </w:r>
      <w:r w:rsidR="004B0842" w:rsidRPr="00D5464D">
        <w:rPr>
          <w:rFonts w:cs="Arial"/>
          <w:iCs/>
          <w:szCs w:val="20"/>
          <w:lang w:val="pt-BR"/>
        </w:rPr>
        <w:t>autoridades</w:t>
      </w:r>
      <w:r w:rsidRPr="00D5464D">
        <w:rPr>
          <w:rFonts w:cs="Arial"/>
          <w:iCs/>
          <w:szCs w:val="20"/>
          <w:lang w:val="pt-BR"/>
        </w:rPr>
        <w:t xml:space="preserve"> da </w:t>
      </w:r>
      <w:r w:rsidR="002C330E" w:rsidRPr="00D5464D">
        <w:rPr>
          <w:rFonts w:cs="Arial"/>
          <w:iCs/>
          <w:szCs w:val="20"/>
          <w:lang w:val="pt-BR"/>
        </w:rPr>
        <w:t>jurisdição</w:t>
      </w:r>
      <w:r w:rsidR="004B0842" w:rsidRPr="00D5464D">
        <w:rPr>
          <w:rFonts w:cs="Arial"/>
          <w:iCs/>
          <w:szCs w:val="20"/>
          <w:lang w:val="pt-BR"/>
        </w:rPr>
        <w:t xml:space="preserve"> interna </w:t>
      </w:r>
      <w:r w:rsidR="0045224E" w:rsidRPr="00D5464D">
        <w:rPr>
          <w:rFonts w:cs="Arial"/>
          <w:iCs/>
          <w:szCs w:val="20"/>
          <w:lang w:val="pt-BR"/>
        </w:rPr>
        <w:t xml:space="preserve">e durante </w:t>
      </w:r>
      <w:r w:rsidR="00E045D9" w:rsidRPr="00D5464D">
        <w:rPr>
          <w:rFonts w:cs="Arial"/>
          <w:iCs/>
          <w:szCs w:val="20"/>
          <w:lang w:val="pt-BR"/>
        </w:rPr>
        <w:t xml:space="preserve">o </w:t>
      </w:r>
      <w:r w:rsidR="004B0842" w:rsidRPr="00D5464D">
        <w:rPr>
          <w:rFonts w:cs="Arial"/>
          <w:iCs/>
          <w:szCs w:val="20"/>
          <w:lang w:val="pt-BR"/>
        </w:rPr>
        <w:t xml:space="preserve">curso </w:t>
      </w:r>
      <w:r w:rsidRPr="00D5464D">
        <w:rPr>
          <w:rFonts w:cs="Arial"/>
          <w:iCs/>
          <w:szCs w:val="20"/>
          <w:lang w:val="pt-BR"/>
        </w:rPr>
        <w:t xml:space="preserve">do </w:t>
      </w:r>
      <w:r w:rsidR="002C330E" w:rsidRPr="00D5464D">
        <w:rPr>
          <w:rFonts w:cs="Arial"/>
          <w:iCs/>
          <w:szCs w:val="20"/>
          <w:lang w:val="pt-BR"/>
        </w:rPr>
        <w:t>processo</w:t>
      </w:r>
      <w:r w:rsidR="00350187" w:rsidRPr="00D5464D">
        <w:rPr>
          <w:rFonts w:cs="Arial"/>
          <w:iCs/>
          <w:szCs w:val="20"/>
          <w:lang w:val="pt-BR"/>
        </w:rPr>
        <w:t xml:space="preserve"> perante o </w:t>
      </w:r>
      <w:r w:rsidR="0045224E" w:rsidRPr="00D5464D">
        <w:rPr>
          <w:rFonts w:cs="Arial"/>
          <w:iCs/>
          <w:szCs w:val="20"/>
          <w:lang w:val="pt-BR"/>
        </w:rPr>
        <w:t>S</w:t>
      </w:r>
      <w:r w:rsidR="00350187" w:rsidRPr="00D5464D">
        <w:rPr>
          <w:rFonts w:cs="Arial"/>
          <w:iCs/>
          <w:szCs w:val="20"/>
          <w:lang w:val="pt-BR"/>
        </w:rPr>
        <w:t>istema</w:t>
      </w:r>
      <w:r w:rsidR="004B0842" w:rsidRPr="00D5464D">
        <w:rPr>
          <w:rFonts w:cs="Arial"/>
          <w:iCs/>
          <w:szCs w:val="20"/>
          <w:lang w:val="pt-BR"/>
        </w:rPr>
        <w:t xml:space="preserve"> </w:t>
      </w:r>
      <w:r w:rsidR="0045224E" w:rsidRPr="00D5464D">
        <w:rPr>
          <w:rFonts w:cs="Arial"/>
          <w:iCs/>
          <w:szCs w:val="20"/>
          <w:lang w:val="pt-BR"/>
        </w:rPr>
        <w:t>I</w:t>
      </w:r>
      <w:r w:rsidR="004B0842" w:rsidRPr="00D5464D">
        <w:rPr>
          <w:rFonts w:cs="Arial"/>
          <w:iCs/>
          <w:szCs w:val="20"/>
          <w:lang w:val="pt-BR"/>
        </w:rPr>
        <w:t xml:space="preserve">nteramericano, </w:t>
      </w:r>
      <w:r w:rsidR="0045224E" w:rsidRPr="00D5464D">
        <w:rPr>
          <w:rFonts w:cs="Arial"/>
          <w:iCs/>
          <w:szCs w:val="20"/>
          <w:lang w:val="pt-BR"/>
        </w:rPr>
        <w:t xml:space="preserve">levando em consideração </w:t>
      </w:r>
      <w:r w:rsidR="002C330E" w:rsidRPr="00D5464D">
        <w:rPr>
          <w:rFonts w:cs="Arial"/>
          <w:iCs/>
          <w:szCs w:val="20"/>
          <w:lang w:val="pt-BR"/>
        </w:rPr>
        <w:t xml:space="preserve">as </w:t>
      </w:r>
      <w:r w:rsidRPr="00D5464D">
        <w:rPr>
          <w:rFonts w:cs="Arial"/>
          <w:iCs/>
          <w:szCs w:val="20"/>
          <w:lang w:val="pt-BR"/>
        </w:rPr>
        <w:t>circunstâncias</w:t>
      </w:r>
      <w:r w:rsidR="004B0842" w:rsidRPr="00D5464D">
        <w:rPr>
          <w:rFonts w:cs="Arial"/>
          <w:iCs/>
          <w:szCs w:val="20"/>
          <w:lang w:val="pt-BR"/>
        </w:rPr>
        <w:t xml:space="preserve"> </w:t>
      </w:r>
      <w:r w:rsidRPr="00D5464D">
        <w:rPr>
          <w:rFonts w:cs="Arial"/>
          <w:iCs/>
          <w:szCs w:val="20"/>
          <w:lang w:val="pt-BR"/>
        </w:rPr>
        <w:t xml:space="preserve">do </w:t>
      </w:r>
      <w:r w:rsidR="004B0842" w:rsidRPr="00D5464D">
        <w:rPr>
          <w:rFonts w:cs="Arial"/>
          <w:iCs/>
          <w:szCs w:val="20"/>
          <w:lang w:val="pt-BR"/>
        </w:rPr>
        <w:t>caso concreto</w:t>
      </w:r>
      <w:r w:rsidR="00E045D9" w:rsidRPr="00D5464D">
        <w:rPr>
          <w:rFonts w:cs="Arial"/>
          <w:iCs/>
          <w:szCs w:val="20"/>
          <w:lang w:val="pt-BR"/>
        </w:rPr>
        <w:t xml:space="preserve"> e </w:t>
      </w:r>
      <w:r w:rsidR="002C330E" w:rsidRPr="00D5464D">
        <w:rPr>
          <w:rFonts w:cs="Arial"/>
          <w:iCs/>
          <w:szCs w:val="20"/>
          <w:lang w:val="pt-BR"/>
        </w:rPr>
        <w:t>a natureza</w:t>
      </w:r>
      <w:r w:rsidRPr="00D5464D">
        <w:rPr>
          <w:rFonts w:cs="Arial"/>
          <w:iCs/>
          <w:szCs w:val="20"/>
          <w:lang w:val="pt-BR"/>
        </w:rPr>
        <w:t xml:space="preserve"> da </w:t>
      </w:r>
      <w:r w:rsidR="002C330E" w:rsidRPr="00D5464D">
        <w:rPr>
          <w:rFonts w:cs="Arial"/>
          <w:iCs/>
          <w:szCs w:val="20"/>
          <w:lang w:val="pt-BR"/>
        </w:rPr>
        <w:t>jurisdição</w:t>
      </w:r>
      <w:r w:rsidR="004B0842" w:rsidRPr="00D5464D">
        <w:rPr>
          <w:rFonts w:cs="Arial"/>
          <w:iCs/>
          <w:szCs w:val="20"/>
          <w:lang w:val="pt-BR"/>
        </w:rPr>
        <w:t xml:space="preserve"> internacional de </w:t>
      </w:r>
      <w:r w:rsidR="002C330E" w:rsidRPr="00D5464D">
        <w:rPr>
          <w:rFonts w:cs="Arial"/>
          <w:iCs/>
          <w:szCs w:val="20"/>
          <w:lang w:val="pt-BR"/>
        </w:rPr>
        <w:t>proteção</w:t>
      </w:r>
      <w:r w:rsidRPr="00D5464D">
        <w:rPr>
          <w:rFonts w:cs="Arial"/>
          <w:iCs/>
          <w:szCs w:val="20"/>
          <w:lang w:val="pt-BR"/>
        </w:rPr>
        <w:t xml:space="preserve"> dos direito</w:t>
      </w:r>
      <w:r w:rsidR="004B0842" w:rsidRPr="00D5464D">
        <w:rPr>
          <w:rFonts w:cs="Arial"/>
          <w:iCs/>
          <w:szCs w:val="20"/>
          <w:lang w:val="pt-BR"/>
        </w:rPr>
        <w:t>s humanos. Esta aprecia</w:t>
      </w:r>
      <w:r w:rsidRPr="00D5464D">
        <w:rPr>
          <w:rFonts w:cs="Arial"/>
          <w:iCs/>
          <w:szCs w:val="20"/>
          <w:lang w:val="pt-BR"/>
        </w:rPr>
        <w:t>ção</w:t>
      </w:r>
      <w:r w:rsidR="004B0842" w:rsidRPr="00D5464D">
        <w:rPr>
          <w:rFonts w:cs="Arial"/>
          <w:iCs/>
          <w:szCs w:val="20"/>
          <w:lang w:val="pt-BR"/>
        </w:rPr>
        <w:t xml:space="preserve"> </w:t>
      </w:r>
      <w:r w:rsidR="002C330E" w:rsidRPr="00D5464D">
        <w:rPr>
          <w:rFonts w:cs="Arial"/>
          <w:iCs/>
          <w:szCs w:val="20"/>
          <w:lang w:val="pt-BR"/>
        </w:rPr>
        <w:t>pode</w:t>
      </w:r>
      <w:r w:rsidR="004B0842" w:rsidRPr="00D5464D">
        <w:rPr>
          <w:rFonts w:cs="Arial"/>
          <w:iCs/>
          <w:szCs w:val="20"/>
          <w:lang w:val="pt-BR"/>
        </w:rPr>
        <w:t xml:space="preserve"> ser realizada</w:t>
      </w:r>
      <w:r w:rsidRPr="00D5464D">
        <w:rPr>
          <w:rFonts w:cs="Arial"/>
          <w:iCs/>
          <w:szCs w:val="20"/>
          <w:lang w:val="pt-BR"/>
        </w:rPr>
        <w:t xml:space="preserve"> com </w:t>
      </w:r>
      <w:r w:rsidR="004B0842" w:rsidRPr="00D5464D">
        <w:rPr>
          <w:rFonts w:cs="Arial"/>
          <w:iCs/>
          <w:szCs w:val="20"/>
          <w:lang w:val="pt-BR"/>
        </w:rPr>
        <w:t>base</w:t>
      </w:r>
      <w:r w:rsidR="00E045D9" w:rsidRPr="00D5464D">
        <w:rPr>
          <w:rFonts w:cs="Arial"/>
          <w:iCs/>
          <w:szCs w:val="20"/>
          <w:lang w:val="pt-BR"/>
        </w:rPr>
        <w:t xml:space="preserve"> no </w:t>
      </w:r>
      <w:r w:rsidR="002C330E" w:rsidRPr="00D5464D">
        <w:rPr>
          <w:rFonts w:cs="Arial"/>
          <w:iCs/>
          <w:szCs w:val="20"/>
          <w:lang w:val="pt-BR"/>
        </w:rPr>
        <w:t>princípio</w:t>
      </w:r>
      <w:r w:rsidR="004B0842" w:rsidRPr="00D5464D">
        <w:rPr>
          <w:rFonts w:cs="Arial"/>
          <w:iCs/>
          <w:szCs w:val="20"/>
          <w:lang w:val="pt-BR"/>
        </w:rPr>
        <w:t xml:space="preserve"> de</w:t>
      </w:r>
      <w:r w:rsidRPr="00D5464D">
        <w:rPr>
          <w:rFonts w:cs="Arial"/>
          <w:iCs/>
          <w:szCs w:val="20"/>
          <w:lang w:val="pt-BR"/>
        </w:rPr>
        <w:t xml:space="preserve"> equidade</w:t>
      </w:r>
      <w:r w:rsidR="00E045D9" w:rsidRPr="00D5464D">
        <w:rPr>
          <w:rFonts w:cs="Arial"/>
          <w:iCs/>
          <w:szCs w:val="20"/>
          <w:lang w:val="pt-BR"/>
        </w:rPr>
        <w:t xml:space="preserve"> e </w:t>
      </w:r>
      <w:r w:rsidR="0045224E" w:rsidRPr="00D5464D">
        <w:rPr>
          <w:rFonts w:cs="Arial"/>
          <w:iCs/>
          <w:szCs w:val="20"/>
          <w:lang w:val="pt-BR"/>
        </w:rPr>
        <w:t xml:space="preserve">tendo em vista </w:t>
      </w:r>
      <w:r w:rsidR="002C330E" w:rsidRPr="00D5464D">
        <w:rPr>
          <w:rFonts w:cs="Arial"/>
          <w:iCs/>
          <w:szCs w:val="20"/>
          <w:lang w:val="pt-BR"/>
        </w:rPr>
        <w:t xml:space="preserve">os </w:t>
      </w:r>
      <w:r w:rsidR="004B0842" w:rsidRPr="00D5464D">
        <w:rPr>
          <w:rFonts w:cs="Arial"/>
          <w:iCs/>
          <w:szCs w:val="20"/>
          <w:lang w:val="pt-BR"/>
        </w:rPr>
        <w:t xml:space="preserve">gastos </w:t>
      </w:r>
      <w:r w:rsidR="002C330E" w:rsidRPr="00D5464D">
        <w:rPr>
          <w:rFonts w:cs="Arial"/>
          <w:iCs/>
          <w:szCs w:val="20"/>
          <w:lang w:val="pt-BR"/>
        </w:rPr>
        <w:t>indicado</w:t>
      </w:r>
      <w:r w:rsidR="004B0842" w:rsidRPr="00D5464D">
        <w:rPr>
          <w:rFonts w:cs="Arial"/>
          <w:iCs/>
          <w:szCs w:val="20"/>
          <w:lang w:val="pt-BR"/>
        </w:rPr>
        <w:t>s</w:t>
      </w:r>
      <w:r w:rsidR="002C330E" w:rsidRPr="00D5464D">
        <w:rPr>
          <w:rFonts w:cs="Arial"/>
          <w:iCs/>
          <w:szCs w:val="20"/>
          <w:lang w:val="pt-BR"/>
        </w:rPr>
        <w:t xml:space="preserve"> pelas </w:t>
      </w:r>
      <w:r w:rsidR="004B0842" w:rsidRPr="00D5464D">
        <w:rPr>
          <w:rFonts w:cs="Arial"/>
          <w:iCs/>
          <w:szCs w:val="20"/>
          <w:lang w:val="pt-BR"/>
        </w:rPr>
        <w:t xml:space="preserve">partes, </w:t>
      </w:r>
      <w:r w:rsidR="002C330E" w:rsidRPr="00D5464D">
        <w:rPr>
          <w:rFonts w:cs="Arial"/>
          <w:iCs/>
          <w:szCs w:val="20"/>
          <w:lang w:val="pt-BR"/>
        </w:rPr>
        <w:t>sempre</w:t>
      </w:r>
      <w:r w:rsidR="004B0842" w:rsidRPr="00D5464D">
        <w:rPr>
          <w:rFonts w:cs="Arial"/>
          <w:iCs/>
          <w:szCs w:val="20"/>
          <w:lang w:val="pt-BR"/>
        </w:rPr>
        <w:t xml:space="preserve"> que </w:t>
      </w:r>
      <w:r w:rsidR="00A1358C" w:rsidRPr="00D5464D">
        <w:rPr>
          <w:rFonts w:cs="Arial"/>
          <w:iCs/>
          <w:szCs w:val="20"/>
          <w:lang w:val="pt-BR"/>
        </w:rPr>
        <w:t xml:space="preserve">seu </w:t>
      </w:r>
      <w:r w:rsidR="00A1358C" w:rsidRPr="00D5464D">
        <w:rPr>
          <w:rFonts w:cs="Arial"/>
          <w:i/>
          <w:iCs/>
          <w:szCs w:val="20"/>
          <w:lang w:val="pt-BR"/>
        </w:rPr>
        <w:t>quantum</w:t>
      </w:r>
      <w:r w:rsidR="002C330E" w:rsidRPr="00D5464D">
        <w:rPr>
          <w:rFonts w:cs="Arial"/>
          <w:iCs/>
          <w:szCs w:val="20"/>
          <w:lang w:val="pt-BR"/>
        </w:rPr>
        <w:t xml:space="preserve"> seja </w:t>
      </w:r>
      <w:r w:rsidR="00A1358C" w:rsidRPr="00D5464D">
        <w:rPr>
          <w:rFonts w:cs="Arial"/>
          <w:iCs/>
          <w:szCs w:val="20"/>
          <w:lang w:val="pt-BR"/>
        </w:rPr>
        <w:t>razoável</w:t>
      </w:r>
      <w:r w:rsidR="009E2AF6" w:rsidRPr="00D5464D">
        <w:rPr>
          <w:rFonts w:cs="Arial"/>
          <w:iCs/>
          <w:szCs w:val="20"/>
          <w:lang w:val="pt-BR"/>
        </w:rPr>
        <w:t>.</w:t>
      </w:r>
      <w:r w:rsidR="004B0842" w:rsidRPr="00D5464D">
        <w:rPr>
          <w:rFonts w:cs="Arial"/>
          <w:iCs/>
          <w:szCs w:val="20"/>
          <w:vertAlign w:val="superscript"/>
          <w:lang w:val="pt-BR"/>
        </w:rPr>
        <w:footnoteReference w:id="536"/>
      </w:r>
      <w:r w:rsidR="004B0842" w:rsidRPr="00D5464D">
        <w:rPr>
          <w:rFonts w:cs="Arial"/>
          <w:iCs/>
          <w:szCs w:val="20"/>
          <w:lang w:val="pt-BR"/>
        </w:rPr>
        <w:t xml:space="preserve"> Como </w:t>
      </w:r>
      <w:r w:rsidR="00737270" w:rsidRPr="00D5464D">
        <w:rPr>
          <w:rFonts w:cs="Arial"/>
          <w:iCs/>
          <w:szCs w:val="20"/>
          <w:lang w:val="pt-BR"/>
        </w:rPr>
        <w:t>indicou</w:t>
      </w:r>
      <w:r w:rsidRPr="00D5464D">
        <w:rPr>
          <w:rFonts w:cs="Arial"/>
          <w:iCs/>
          <w:szCs w:val="20"/>
          <w:lang w:val="pt-BR"/>
        </w:rPr>
        <w:t xml:space="preserve"> em </w:t>
      </w:r>
      <w:r w:rsidR="002C330E" w:rsidRPr="00D5464D">
        <w:rPr>
          <w:rFonts w:cs="Arial"/>
          <w:iCs/>
          <w:szCs w:val="20"/>
          <w:lang w:val="pt-BR"/>
        </w:rPr>
        <w:t>outra</w:t>
      </w:r>
      <w:r w:rsidR="004B0842" w:rsidRPr="00D5464D">
        <w:rPr>
          <w:rFonts w:cs="Arial"/>
          <w:iCs/>
          <w:szCs w:val="20"/>
          <w:lang w:val="pt-BR"/>
        </w:rPr>
        <w:t xml:space="preserve">s </w:t>
      </w:r>
      <w:r w:rsidR="002C330E" w:rsidRPr="00D5464D">
        <w:rPr>
          <w:rFonts w:cs="Arial"/>
          <w:iCs/>
          <w:szCs w:val="20"/>
          <w:lang w:val="pt-BR"/>
        </w:rPr>
        <w:t>ocasiões</w:t>
      </w:r>
      <w:r w:rsidR="004B0842" w:rsidRPr="00D5464D">
        <w:rPr>
          <w:rFonts w:cs="Arial"/>
          <w:iCs/>
          <w:szCs w:val="20"/>
          <w:lang w:val="pt-BR"/>
        </w:rPr>
        <w:t>,</w:t>
      </w:r>
      <w:r w:rsidR="002C330E" w:rsidRPr="00D5464D">
        <w:rPr>
          <w:rFonts w:cs="Arial"/>
          <w:iCs/>
          <w:szCs w:val="20"/>
          <w:lang w:val="pt-BR"/>
        </w:rPr>
        <w:t xml:space="preserve"> a </w:t>
      </w:r>
      <w:r w:rsidR="004B0842" w:rsidRPr="00D5464D">
        <w:rPr>
          <w:rFonts w:cs="Arial"/>
          <w:iCs/>
          <w:szCs w:val="20"/>
          <w:lang w:val="pt-BR"/>
        </w:rPr>
        <w:t xml:space="preserve">Corte </w:t>
      </w:r>
      <w:r w:rsidR="00E045D9" w:rsidRPr="00D5464D">
        <w:rPr>
          <w:rFonts w:cs="Arial"/>
          <w:iCs/>
          <w:szCs w:val="20"/>
          <w:lang w:val="pt-BR"/>
        </w:rPr>
        <w:t>recorda</w:t>
      </w:r>
      <w:r w:rsidR="004B0842" w:rsidRPr="00D5464D">
        <w:rPr>
          <w:rFonts w:cs="Arial"/>
          <w:iCs/>
          <w:szCs w:val="20"/>
          <w:lang w:val="pt-BR"/>
        </w:rPr>
        <w:t xml:space="preserve"> que </w:t>
      </w:r>
      <w:r w:rsidR="00737270" w:rsidRPr="00D5464D">
        <w:rPr>
          <w:rFonts w:cs="Arial"/>
          <w:iCs/>
          <w:szCs w:val="20"/>
          <w:lang w:val="pt-BR"/>
        </w:rPr>
        <w:t>não é</w:t>
      </w:r>
      <w:r w:rsidRPr="00D5464D">
        <w:rPr>
          <w:rFonts w:cs="Arial"/>
          <w:iCs/>
          <w:szCs w:val="20"/>
          <w:lang w:val="pt-BR"/>
        </w:rPr>
        <w:t xml:space="preserve"> </w:t>
      </w:r>
      <w:r w:rsidR="004B0842" w:rsidRPr="00D5464D">
        <w:rPr>
          <w:rFonts w:cs="Arial"/>
          <w:iCs/>
          <w:szCs w:val="20"/>
          <w:lang w:val="pt-BR"/>
        </w:rPr>
        <w:t>suficiente</w:t>
      </w:r>
      <w:r w:rsidR="00D45816" w:rsidRPr="00D5464D">
        <w:rPr>
          <w:rFonts w:cs="Arial"/>
          <w:iCs/>
          <w:szCs w:val="20"/>
          <w:lang w:val="pt-BR"/>
        </w:rPr>
        <w:t xml:space="preserve"> o envio</w:t>
      </w:r>
      <w:r w:rsidR="002C330E" w:rsidRPr="00D5464D">
        <w:rPr>
          <w:rFonts w:cs="Arial"/>
          <w:iCs/>
          <w:szCs w:val="20"/>
          <w:lang w:val="pt-BR"/>
        </w:rPr>
        <w:t xml:space="preserve"> </w:t>
      </w:r>
      <w:r w:rsidR="004B0842" w:rsidRPr="00D5464D">
        <w:rPr>
          <w:rFonts w:cs="Arial"/>
          <w:iCs/>
          <w:szCs w:val="20"/>
          <w:lang w:val="pt-BR"/>
        </w:rPr>
        <w:t xml:space="preserve">de documentos </w:t>
      </w:r>
      <w:r w:rsidR="002C330E" w:rsidRPr="00D5464D">
        <w:rPr>
          <w:rFonts w:cs="Arial"/>
          <w:iCs/>
          <w:szCs w:val="20"/>
          <w:lang w:val="pt-BR"/>
        </w:rPr>
        <w:t>probatório</w:t>
      </w:r>
      <w:r w:rsidR="004B0842" w:rsidRPr="00D5464D">
        <w:rPr>
          <w:rFonts w:cs="Arial"/>
          <w:iCs/>
          <w:szCs w:val="20"/>
          <w:lang w:val="pt-BR"/>
        </w:rPr>
        <w:t>s,</w:t>
      </w:r>
      <w:r w:rsidR="002C330E" w:rsidRPr="00D5464D">
        <w:rPr>
          <w:rFonts w:cs="Arial"/>
          <w:iCs/>
          <w:szCs w:val="20"/>
          <w:lang w:val="pt-BR"/>
        </w:rPr>
        <w:t xml:space="preserve"> mas requer</w:t>
      </w:r>
      <w:r w:rsidR="0045224E" w:rsidRPr="00D5464D">
        <w:rPr>
          <w:rFonts w:cs="Arial"/>
          <w:iCs/>
          <w:szCs w:val="20"/>
          <w:lang w:val="pt-BR"/>
        </w:rPr>
        <w:t>-se</w:t>
      </w:r>
      <w:r w:rsidR="002C330E" w:rsidRPr="00D5464D">
        <w:rPr>
          <w:rFonts w:cs="Arial"/>
          <w:iCs/>
          <w:szCs w:val="20"/>
          <w:lang w:val="pt-BR"/>
        </w:rPr>
        <w:t xml:space="preserve"> </w:t>
      </w:r>
      <w:r w:rsidR="0045224E" w:rsidRPr="00D5464D">
        <w:rPr>
          <w:rFonts w:cs="Arial"/>
          <w:iCs/>
          <w:szCs w:val="20"/>
          <w:lang w:val="pt-BR"/>
        </w:rPr>
        <w:t>d</w:t>
      </w:r>
      <w:r w:rsidR="002C330E" w:rsidRPr="00D5464D">
        <w:rPr>
          <w:rFonts w:cs="Arial"/>
          <w:iCs/>
          <w:szCs w:val="20"/>
          <w:lang w:val="pt-BR"/>
        </w:rPr>
        <w:t xml:space="preserve">as </w:t>
      </w:r>
      <w:r w:rsidR="004B0842" w:rsidRPr="00D5464D">
        <w:rPr>
          <w:rFonts w:cs="Arial"/>
          <w:iCs/>
          <w:szCs w:val="20"/>
          <w:lang w:val="pt-BR"/>
        </w:rPr>
        <w:t xml:space="preserve">partes </w:t>
      </w:r>
      <w:r w:rsidR="00E045D9" w:rsidRPr="00D5464D">
        <w:rPr>
          <w:rFonts w:cs="Arial"/>
          <w:iCs/>
          <w:szCs w:val="20"/>
          <w:lang w:val="pt-BR"/>
        </w:rPr>
        <w:t xml:space="preserve">uma </w:t>
      </w:r>
      <w:r w:rsidR="004B0842" w:rsidRPr="00D5464D">
        <w:rPr>
          <w:rFonts w:cs="Arial"/>
          <w:iCs/>
          <w:szCs w:val="20"/>
          <w:lang w:val="pt-BR"/>
        </w:rPr>
        <w:t>argumenta</w:t>
      </w:r>
      <w:r w:rsidRPr="00D5464D">
        <w:rPr>
          <w:rFonts w:cs="Arial"/>
          <w:iCs/>
          <w:szCs w:val="20"/>
          <w:lang w:val="pt-BR"/>
        </w:rPr>
        <w:t>ção</w:t>
      </w:r>
      <w:r w:rsidR="004B0842" w:rsidRPr="00D5464D">
        <w:rPr>
          <w:rFonts w:cs="Arial"/>
          <w:iCs/>
          <w:szCs w:val="20"/>
          <w:lang w:val="pt-BR"/>
        </w:rPr>
        <w:t xml:space="preserve"> que relacione</w:t>
      </w:r>
      <w:r w:rsidR="002C330E" w:rsidRPr="00D5464D">
        <w:rPr>
          <w:rFonts w:cs="Arial"/>
          <w:iCs/>
          <w:szCs w:val="20"/>
          <w:lang w:val="pt-BR"/>
        </w:rPr>
        <w:t xml:space="preserve"> a prova</w:t>
      </w:r>
      <w:r w:rsidRPr="00D5464D">
        <w:rPr>
          <w:rFonts w:cs="Arial"/>
          <w:iCs/>
          <w:szCs w:val="20"/>
          <w:lang w:val="pt-BR"/>
        </w:rPr>
        <w:t xml:space="preserve"> </w:t>
      </w:r>
      <w:r w:rsidR="0045224E" w:rsidRPr="00D5464D">
        <w:rPr>
          <w:rFonts w:cs="Arial"/>
          <w:iCs/>
          <w:szCs w:val="20"/>
          <w:lang w:val="pt-BR"/>
        </w:rPr>
        <w:t>a</w:t>
      </w:r>
      <w:r w:rsidRPr="00D5464D">
        <w:rPr>
          <w:rFonts w:cs="Arial"/>
          <w:iCs/>
          <w:szCs w:val="20"/>
          <w:lang w:val="pt-BR"/>
        </w:rPr>
        <w:t>o</w:t>
      </w:r>
      <w:r w:rsidR="002C330E" w:rsidRPr="00D5464D">
        <w:rPr>
          <w:rFonts w:cs="Arial"/>
          <w:iCs/>
          <w:szCs w:val="20"/>
          <w:lang w:val="pt-BR"/>
        </w:rPr>
        <w:t xml:space="preserve"> fato </w:t>
      </w:r>
      <w:r w:rsidR="004B0842" w:rsidRPr="00D5464D">
        <w:rPr>
          <w:rFonts w:cs="Arial"/>
          <w:iCs/>
          <w:szCs w:val="20"/>
          <w:lang w:val="pt-BR"/>
        </w:rPr>
        <w:t>que se considera representado</w:t>
      </w:r>
      <w:r w:rsidRPr="00D5464D">
        <w:rPr>
          <w:rFonts w:cs="Arial"/>
          <w:iCs/>
          <w:szCs w:val="20"/>
          <w:lang w:val="pt-BR"/>
        </w:rPr>
        <w:t xml:space="preserve"> e</w:t>
      </w:r>
      <w:r w:rsidR="004B0842" w:rsidRPr="00D5464D">
        <w:rPr>
          <w:rFonts w:cs="Arial"/>
          <w:iCs/>
          <w:szCs w:val="20"/>
          <w:lang w:val="pt-BR"/>
        </w:rPr>
        <w:t xml:space="preserve"> que,</w:t>
      </w:r>
      <w:r w:rsidRPr="00D5464D">
        <w:rPr>
          <w:rFonts w:cs="Arial"/>
          <w:iCs/>
          <w:szCs w:val="20"/>
          <w:lang w:val="pt-BR"/>
        </w:rPr>
        <w:t xml:space="preserve"> </w:t>
      </w:r>
      <w:r w:rsidR="0045224E" w:rsidRPr="00D5464D">
        <w:rPr>
          <w:rFonts w:cs="Arial"/>
          <w:iCs/>
          <w:szCs w:val="20"/>
          <w:lang w:val="pt-BR"/>
        </w:rPr>
        <w:t xml:space="preserve">no caso de </w:t>
      </w:r>
      <w:r w:rsidR="004B0842" w:rsidRPr="00D5464D">
        <w:rPr>
          <w:rFonts w:cs="Arial"/>
          <w:iCs/>
          <w:szCs w:val="20"/>
          <w:lang w:val="pt-BR"/>
        </w:rPr>
        <w:t xml:space="preserve">alegados desembolsos </w:t>
      </w:r>
      <w:r w:rsidRPr="00D5464D">
        <w:rPr>
          <w:rFonts w:cs="Arial"/>
          <w:iCs/>
          <w:szCs w:val="20"/>
          <w:lang w:val="pt-BR"/>
        </w:rPr>
        <w:t>econômic</w:t>
      </w:r>
      <w:r w:rsidR="004B0842" w:rsidRPr="00D5464D">
        <w:rPr>
          <w:rFonts w:cs="Arial"/>
          <w:iCs/>
          <w:szCs w:val="20"/>
          <w:lang w:val="pt-BR"/>
        </w:rPr>
        <w:t xml:space="preserve">os, </w:t>
      </w:r>
      <w:r w:rsidR="0045224E" w:rsidRPr="00D5464D">
        <w:rPr>
          <w:rFonts w:cs="Arial"/>
          <w:iCs/>
          <w:szCs w:val="20"/>
          <w:lang w:val="pt-BR"/>
        </w:rPr>
        <w:t xml:space="preserve">sejam estabelecidas </w:t>
      </w:r>
      <w:r w:rsidRPr="00D5464D">
        <w:rPr>
          <w:rFonts w:cs="Arial"/>
          <w:iCs/>
          <w:szCs w:val="20"/>
          <w:lang w:val="pt-BR"/>
        </w:rPr>
        <w:t>com clar</w:t>
      </w:r>
      <w:r w:rsidR="00D45816" w:rsidRPr="00D5464D">
        <w:rPr>
          <w:rFonts w:cs="Arial"/>
          <w:iCs/>
          <w:szCs w:val="20"/>
          <w:lang w:val="pt-BR"/>
        </w:rPr>
        <w:t>eza</w:t>
      </w:r>
      <w:r w:rsidR="0045224E" w:rsidRPr="00D5464D">
        <w:rPr>
          <w:rFonts w:cs="Arial"/>
          <w:iCs/>
          <w:szCs w:val="20"/>
          <w:lang w:val="pt-BR"/>
        </w:rPr>
        <w:t xml:space="preserve"> as quantias </w:t>
      </w:r>
      <w:r w:rsidR="00E045D9" w:rsidRPr="00D5464D">
        <w:rPr>
          <w:rFonts w:cs="Arial"/>
          <w:iCs/>
          <w:szCs w:val="20"/>
          <w:lang w:val="pt-BR"/>
        </w:rPr>
        <w:t xml:space="preserve">e </w:t>
      </w:r>
      <w:r w:rsidR="002C330E" w:rsidRPr="00D5464D">
        <w:rPr>
          <w:rFonts w:cs="Arial"/>
          <w:iCs/>
          <w:szCs w:val="20"/>
          <w:lang w:val="pt-BR"/>
        </w:rPr>
        <w:t xml:space="preserve">a </w:t>
      </w:r>
      <w:r w:rsidR="004B0842" w:rsidRPr="00D5464D">
        <w:rPr>
          <w:rFonts w:cs="Arial"/>
          <w:iCs/>
          <w:szCs w:val="20"/>
          <w:lang w:val="pt-BR"/>
        </w:rPr>
        <w:t>justifica</w:t>
      </w:r>
      <w:r w:rsidRPr="00D5464D">
        <w:rPr>
          <w:rFonts w:cs="Arial"/>
          <w:iCs/>
          <w:szCs w:val="20"/>
          <w:lang w:val="pt-BR"/>
        </w:rPr>
        <w:t>ção d</w:t>
      </w:r>
      <w:r w:rsidR="00D45816" w:rsidRPr="00D5464D">
        <w:rPr>
          <w:rFonts w:cs="Arial"/>
          <w:iCs/>
          <w:szCs w:val="20"/>
          <w:lang w:val="pt-BR"/>
        </w:rPr>
        <w:t>o</w:t>
      </w:r>
      <w:r w:rsidRPr="00D5464D">
        <w:rPr>
          <w:rFonts w:cs="Arial"/>
          <w:iCs/>
          <w:szCs w:val="20"/>
          <w:lang w:val="pt-BR"/>
        </w:rPr>
        <w:t xml:space="preserve">s </w:t>
      </w:r>
      <w:r w:rsidR="002C330E" w:rsidRPr="00D5464D">
        <w:rPr>
          <w:rFonts w:cs="Arial"/>
          <w:iCs/>
          <w:szCs w:val="20"/>
          <w:lang w:val="pt-BR"/>
        </w:rPr>
        <w:t>mesm</w:t>
      </w:r>
      <w:r w:rsidR="004B0842" w:rsidRPr="00D5464D">
        <w:rPr>
          <w:rFonts w:cs="Arial"/>
          <w:iCs/>
          <w:szCs w:val="20"/>
          <w:lang w:val="pt-BR"/>
        </w:rPr>
        <w:t>os</w:t>
      </w:r>
      <w:r w:rsidR="009E2AF6" w:rsidRPr="00D5464D">
        <w:rPr>
          <w:rFonts w:cs="Arial"/>
          <w:iCs/>
          <w:szCs w:val="20"/>
          <w:lang w:val="pt-BR"/>
        </w:rPr>
        <w:t>.</w:t>
      </w:r>
      <w:r w:rsidR="004B0842" w:rsidRPr="00D5464D">
        <w:rPr>
          <w:rFonts w:cs="Arial"/>
          <w:iCs/>
          <w:szCs w:val="20"/>
          <w:vertAlign w:val="superscript"/>
          <w:lang w:val="pt-BR"/>
        </w:rPr>
        <w:footnoteReference w:id="537"/>
      </w:r>
    </w:p>
    <w:p w14:paraId="2802558D" w14:textId="77777777" w:rsidR="004B0842" w:rsidRPr="00D5464D" w:rsidRDefault="004B0842" w:rsidP="004B0842">
      <w:pPr>
        <w:pStyle w:val="Prrafodelista"/>
        <w:autoSpaceDE w:val="0"/>
        <w:autoSpaceDN w:val="0"/>
        <w:adjustRightInd w:val="0"/>
        <w:rPr>
          <w:rFonts w:cs="Arial"/>
          <w:iCs/>
          <w:szCs w:val="20"/>
          <w:lang w:val="pt-BR"/>
        </w:rPr>
      </w:pPr>
    </w:p>
    <w:p w14:paraId="7C98CC53" w14:textId="52109B0C" w:rsidR="004B0842" w:rsidRPr="00D5464D" w:rsidRDefault="0045224E"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A partir d</w:t>
      </w:r>
      <w:r w:rsidR="00A1358C" w:rsidRPr="00D5464D">
        <w:rPr>
          <w:rFonts w:cs="Arial"/>
          <w:iCs/>
          <w:szCs w:val="20"/>
          <w:lang w:val="pt-BR"/>
        </w:rPr>
        <w:t>a análise</w:t>
      </w:r>
      <w:r w:rsidR="00470ADC" w:rsidRPr="00D5464D">
        <w:rPr>
          <w:rFonts w:cs="Arial"/>
          <w:iCs/>
          <w:szCs w:val="20"/>
          <w:lang w:val="pt-BR"/>
        </w:rPr>
        <w:t xml:space="preserve"> dos </w:t>
      </w:r>
      <w:r w:rsidR="004B0842" w:rsidRPr="00D5464D">
        <w:rPr>
          <w:rFonts w:cs="Arial"/>
          <w:iCs/>
          <w:szCs w:val="20"/>
          <w:lang w:val="pt-BR"/>
        </w:rPr>
        <w:t>antecedentes</w:t>
      </w:r>
      <w:r w:rsidR="00350187" w:rsidRPr="00D5464D">
        <w:rPr>
          <w:rFonts w:cs="Arial"/>
          <w:iCs/>
          <w:szCs w:val="20"/>
          <w:lang w:val="pt-BR"/>
        </w:rPr>
        <w:t xml:space="preserve"> </w:t>
      </w:r>
      <w:r w:rsidR="00C91CB1" w:rsidRPr="00D5464D">
        <w:rPr>
          <w:rFonts w:cs="Arial"/>
          <w:iCs/>
          <w:szCs w:val="20"/>
          <w:lang w:val="pt-BR"/>
        </w:rPr>
        <w:t>apresentados</w:t>
      </w:r>
      <w:r w:rsidR="004B0842" w:rsidRPr="00D5464D">
        <w:rPr>
          <w:rFonts w:cs="Arial"/>
          <w:iCs/>
          <w:szCs w:val="20"/>
          <w:lang w:val="pt-BR"/>
        </w:rPr>
        <w:t>,</w:t>
      </w:r>
      <w:r w:rsidR="002C330E" w:rsidRPr="00D5464D">
        <w:rPr>
          <w:rFonts w:cs="Arial"/>
          <w:iCs/>
          <w:szCs w:val="20"/>
          <w:lang w:val="pt-BR"/>
        </w:rPr>
        <w:t xml:space="preserve"> a </w:t>
      </w:r>
      <w:r w:rsidR="004B0842" w:rsidRPr="00D5464D">
        <w:rPr>
          <w:rFonts w:cs="Arial"/>
          <w:iCs/>
          <w:szCs w:val="20"/>
          <w:lang w:val="pt-BR"/>
        </w:rPr>
        <w:t xml:space="preserve">Corte </w:t>
      </w:r>
      <w:r w:rsidR="00470ADC" w:rsidRPr="00D5464D">
        <w:rPr>
          <w:rFonts w:cs="Arial"/>
          <w:iCs/>
          <w:szCs w:val="20"/>
          <w:lang w:val="pt-BR"/>
        </w:rPr>
        <w:t xml:space="preserve">conclui </w:t>
      </w:r>
      <w:r w:rsidR="004B0842" w:rsidRPr="00D5464D">
        <w:rPr>
          <w:rFonts w:cs="Arial"/>
          <w:iCs/>
          <w:szCs w:val="20"/>
          <w:lang w:val="pt-BR"/>
        </w:rPr>
        <w:t xml:space="preserve">que </w:t>
      </w:r>
      <w:r w:rsidR="00470ADC" w:rsidRPr="00D5464D">
        <w:rPr>
          <w:rFonts w:cs="Arial"/>
          <w:iCs/>
          <w:szCs w:val="20"/>
          <w:lang w:val="pt-BR"/>
        </w:rPr>
        <w:t xml:space="preserve">alguns </w:t>
      </w:r>
      <w:r w:rsidR="00A1358C" w:rsidRPr="00D5464D">
        <w:rPr>
          <w:rFonts w:cs="Arial"/>
          <w:iCs/>
          <w:szCs w:val="20"/>
          <w:lang w:val="pt-BR"/>
        </w:rPr>
        <w:t>montantes</w:t>
      </w:r>
      <w:r w:rsidR="004B0842" w:rsidRPr="00D5464D">
        <w:rPr>
          <w:rFonts w:cs="Arial"/>
          <w:iCs/>
          <w:szCs w:val="20"/>
          <w:lang w:val="pt-BR"/>
        </w:rPr>
        <w:t xml:space="preserve"> solicitados se </w:t>
      </w:r>
      <w:r w:rsidR="00470ADC" w:rsidRPr="00D5464D">
        <w:rPr>
          <w:rFonts w:cs="Arial"/>
          <w:iCs/>
          <w:szCs w:val="20"/>
          <w:lang w:val="pt-BR"/>
        </w:rPr>
        <w:t>encontram</w:t>
      </w:r>
      <w:r w:rsidR="004B0842" w:rsidRPr="00D5464D">
        <w:rPr>
          <w:rFonts w:cs="Arial"/>
          <w:iCs/>
          <w:szCs w:val="20"/>
          <w:lang w:val="pt-BR"/>
        </w:rPr>
        <w:t xml:space="preserve"> justificados</w:t>
      </w:r>
      <w:r w:rsidR="00E045D9" w:rsidRPr="00D5464D">
        <w:rPr>
          <w:rFonts w:cs="Arial"/>
          <w:iCs/>
          <w:szCs w:val="20"/>
          <w:lang w:val="pt-BR"/>
        </w:rPr>
        <w:t xml:space="preserve"> e </w:t>
      </w:r>
      <w:r w:rsidR="00C2779D" w:rsidRPr="00D5464D">
        <w:rPr>
          <w:rFonts w:cs="Arial"/>
          <w:iCs/>
          <w:szCs w:val="20"/>
          <w:lang w:val="pt-BR"/>
        </w:rPr>
        <w:t>com</w:t>
      </w:r>
      <w:r w:rsidR="002C330E" w:rsidRPr="00D5464D">
        <w:rPr>
          <w:rFonts w:cs="Arial"/>
          <w:iCs/>
          <w:szCs w:val="20"/>
          <w:lang w:val="pt-BR"/>
        </w:rPr>
        <w:t>provad</w:t>
      </w:r>
      <w:r w:rsidR="00C2779D" w:rsidRPr="00D5464D">
        <w:rPr>
          <w:rFonts w:cs="Arial"/>
          <w:iCs/>
          <w:szCs w:val="20"/>
          <w:lang w:val="pt-BR"/>
        </w:rPr>
        <w:t>os</w:t>
      </w:r>
      <w:r w:rsidR="00A1358C" w:rsidRPr="00D5464D">
        <w:rPr>
          <w:rFonts w:cs="Arial"/>
          <w:iCs/>
          <w:szCs w:val="20"/>
          <w:lang w:val="pt-BR"/>
        </w:rPr>
        <w:t>. Em consequência</w:t>
      </w:r>
      <w:r w:rsidR="004B0842" w:rsidRPr="00D5464D">
        <w:rPr>
          <w:rFonts w:cs="Arial"/>
          <w:iCs/>
          <w:szCs w:val="20"/>
          <w:lang w:val="pt-BR"/>
        </w:rPr>
        <w:t>,</w:t>
      </w:r>
      <w:r w:rsidR="002C330E" w:rsidRPr="00D5464D">
        <w:rPr>
          <w:rFonts w:cs="Arial"/>
          <w:iCs/>
          <w:szCs w:val="20"/>
          <w:lang w:val="pt-BR"/>
        </w:rPr>
        <w:t xml:space="preserve"> a </w:t>
      </w:r>
      <w:r w:rsidR="004B0842" w:rsidRPr="00D5464D">
        <w:rPr>
          <w:rFonts w:cs="Arial"/>
          <w:iCs/>
          <w:szCs w:val="20"/>
          <w:lang w:val="pt-BR"/>
        </w:rPr>
        <w:t>Corte determina</w:t>
      </w:r>
      <w:r w:rsidRPr="00D5464D">
        <w:rPr>
          <w:rFonts w:cs="Arial"/>
          <w:iCs/>
          <w:szCs w:val="20"/>
          <w:lang w:val="pt-BR"/>
        </w:rPr>
        <w:t>,</w:t>
      </w:r>
      <w:r w:rsidR="00470ADC" w:rsidRPr="00D5464D">
        <w:rPr>
          <w:rFonts w:cs="Arial"/>
          <w:iCs/>
          <w:szCs w:val="20"/>
          <w:lang w:val="pt-BR"/>
        </w:rPr>
        <w:t xml:space="preserve"> em equidade</w:t>
      </w:r>
      <w:r w:rsidRPr="00D5464D">
        <w:rPr>
          <w:rFonts w:cs="Arial"/>
          <w:iCs/>
          <w:szCs w:val="20"/>
          <w:lang w:val="pt-BR"/>
        </w:rPr>
        <w:t>,</w:t>
      </w:r>
      <w:r w:rsidR="00470ADC" w:rsidRPr="00D5464D">
        <w:rPr>
          <w:rFonts w:cs="Arial"/>
          <w:iCs/>
          <w:szCs w:val="20"/>
          <w:lang w:val="pt-BR"/>
        </w:rPr>
        <w:t xml:space="preserve"> </w:t>
      </w:r>
      <w:r w:rsidR="004B0842" w:rsidRPr="00D5464D">
        <w:rPr>
          <w:rFonts w:cs="Arial"/>
          <w:iCs/>
          <w:szCs w:val="20"/>
          <w:lang w:val="pt-BR"/>
        </w:rPr>
        <w:t>que</w:t>
      </w:r>
      <w:r w:rsidR="00470ADC" w:rsidRPr="00D5464D">
        <w:rPr>
          <w:rFonts w:cs="Arial"/>
          <w:iCs/>
          <w:szCs w:val="20"/>
          <w:lang w:val="pt-BR"/>
        </w:rPr>
        <w:t xml:space="preserve"> o </w:t>
      </w:r>
      <w:r w:rsidR="004B0842" w:rsidRPr="00D5464D">
        <w:rPr>
          <w:rFonts w:cs="Arial"/>
          <w:iCs/>
          <w:szCs w:val="20"/>
          <w:lang w:val="pt-BR"/>
        </w:rPr>
        <w:t>Estado</w:t>
      </w:r>
      <w:r w:rsidR="00470ADC" w:rsidRPr="00D5464D">
        <w:rPr>
          <w:rFonts w:cs="Arial"/>
          <w:iCs/>
          <w:szCs w:val="20"/>
          <w:lang w:val="pt-BR"/>
        </w:rPr>
        <w:t xml:space="preserve"> deve </w:t>
      </w:r>
      <w:r w:rsidR="004B0842" w:rsidRPr="00D5464D">
        <w:rPr>
          <w:rFonts w:cs="Arial"/>
          <w:iCs/>
          <w:szCs w:val="20"/>
          <w:lang w:val="pt-BR"/>
        </w:rPr>
        <w:t>pagar</w:t>
      </w:r>
      <w:r w:rsidR="002C330E" w:rsidRPr="00D5464D">
        <w:rPr>
          <w:rFonts w:cs="Arial"/>
          <w:iCs/>
          <w:szCs w:val="20"/>
          <w:lang w:val="pt-BR"/>
        </w:rPr>
        <w:t xml:space="preserve"> a </w:t>
      </w:r>
      <w:r w:rsidR="00E045D9" w:rsidRPr="00D5464D">
        <w:rPr>
          <w:rFonts w:cs="Arial"/>
          <w:iCs/>
          <w:szCs w:val="20"/>
          <w:lang w:val="pt-BR"/>
        </w:rPr>
        <w:t xml:space="preserve">soma </w:t>
      </w:r>
      <w:r w:rsidR="00FA0F9F" w:rsidRPr="00D5464D">
        <w:rPr>
          <w:rFonts w:cs="Arial"/>
          <w:iCs/>
          <w:szCs w:val="20"/>
          <w:lang w:val="pt-BR"/>
        </w:rPr>
        <w:t>de US$5</w:t>
      </w:r>
      <w:r w:rsidR="001425E4" w:rsidRPr="00D5464D">
        <w:rPr>
          <w:rFonts w:cs="Arial"/>
          <w:iCs/>
          <w:szCs w:val="20"/>
          <w:lang w:val="pt-BR"/>
        </w:rPr>
        <w:t>.</w:t>
      </w:r>
      <w:r w:rsidR="00D53175" w:rsidRPr="00D5464D">
        <w:rPr>
          <w:rFonts w:cs="Arial"/>
          <w:iCs/>
          <w:szCs w:val="20"/>
          <w:lang w:val="pt-BR"/>
        </w:rPr>
        <w:t>000,00 (</w:t>
      </w:r>
      <w:r w:rsidR="00FA0F9F" w:rsidRPr="00D5464D">
        <w:rPr>
          <w:rFonts w:cs="Arial"/>
          <w:iCs/>
          <w:szCs w:val="20"/>
          <w:lang w:val="pt-BR"/>
        </w:rPr>
        <w:t xml:space="preserve">cinco </w:t>
      </w:r>
      <w:r w:rsidR="00D53175" w:rsidRPr="00D5464D">
        <w:rPr>
          <w:rFonts w:cs="Arial"/>
          <w:iCs/>
          <w:szCs w:val="20"/>
          <w:lang w:val="pt-BR"/>
        </w:rPr>
        <w:t>mil dólares</w:t>
      </w:r>
      <w:r w:rsidR="00470ADC" w:rsidRPr="00D5464D">
        <w:rPr>
          <w:rFonts w:cs="Arial"/>
          <w:iCs/>
          <w:szCs w:val="20"/>
          <w:lang w:val="pt-BR"/>
        </w:rPr>
        <w:t xml:space="preserve"> dos Estados Unidos da América</w:t>
      </w:r>
      <w:r w:rsidR="00D53175" w:rsidRPr="00D5464D">
        <w:rPr>
          <w:rFonts w:cs="Arial"/>
          <w:iCs/>
          <w:szCs w:val="20"/>
          <w:lang w:val="pt-BR"/>
        </w:rPr>
        <w:t>)</w:t>
      </w:r>
      <w:r w:rsidR="00470ADC" w:rsidRPr="00D5464D">
        <w:rPr>
          <w:rFonts w:cs="Arial"/>
          <w:iCs/>
          <w:szCs w:val="20"/>
          <w:lang w:val="pt-BR"/>
        </w:rPr>
        <w:t xml:space="preserve"> à </w:t>
      </w:r>
      <w:r w:rsidR="00D53175" w:rsidRPr="00D5464D">
        <w:rPr>
          <w:rFonts w:cs="Arial"/>
          <w:iCs/>
          <w:szCs w:val="20"/>
          <w:lang w:val="pt-BR"/>
        </w:rPr>
        <w:t>CPT</w:t>
      </w:r>
      <w:r w:rsidR="002A0C2B" w:rsidRPr="00D5464D">
        <w:rPr>
          <w:rFonts w:cs="Arial"/>
          <w:iCs/>
          <w:szCs w:val="20"/>
          <w:lang w:val="pt-BR"/>
        </w:rPr>
        <w:t xml:space="preserve"> e </w:t>
      </w:r>
      <w:r w:rsidR="00D53175" w:rsidRPr="00D5464D">
        <w:rPr>
          <w:rFonts w:cs="Arial"/>
          <w:iCs/>
          <w:szCs w:val="20"/>
          <w:lang w:val="pt-BR"/>
        </w:rPr>
        <w:t>US$</w:t>
      </w:r>
      <w:r w:rsidR="00FA0F9F" w:rsidRPr="00D5464D">
        <w:rPr>
          <w:rFonts w:cs="Arial"/>
          <w:iCs/>
          <w:szCs w:val="20"/>
          <w:lang w:val="pt-BR"/>
        </w:rPr>
        <w:t>50</w:t>
      </w:r>
      <w:r w:rsidR="004B0842" w:rsidRPr="00D5464D">
        <w:rPr>
          <w:rFonts w:cs="Arial"/>
          <w:iCs/>
          <w:szCs w:val="20"/>
          <w:lang w:val="pt-BR"/>
        </w:rPr>
        <w:t>.</w:t>
      </w:r>
      <w:r w:rsidR="00D53175" w:rsidRPr="00D5464D">
        <w:rPr>
          <w:rFonts w:cs="Arial"/>
          <w:iCs/>
          <w:szCs w:val="20"/>
          <w:lang w:val="pt-BR"/>
        </w:rPr>
        <w:t>000</w:t>
      </w:r>
      <w:r w:rsidR="004B0842" w:rsidRPr="00D5464D">
        <w:rPr>
          <w:rFonts w:cs="Arial"/>
          <w:iCs/>
          <w:szCs w:val="20"/>
          <w:lang w:val="pt-BR"/>
        </w:rPr>
        <w:t>,</w:t>
      </w:r>
      <w:r w:rsidR="00D53175" w:rsidRPr="00D5464D">
        <w:rPr>
          <w:rFonts w:cs="Arial"/>
          <w:iCs/>
          <w:szCs w:val="20"/>
          <w:lang w:val="pt-BR"/>
        </w:rPr>
        <w:t>00</w:t>
      </w:r>
      <w:r w:rsidR="004B0842" w:rsidRPr="00D5464D">
        <w:rPr>
          <w:rFonts w:cs="Arial"/>
          <w:iCs/>
          <w:szCs w:val="20"/>
          <w:lang w:val="pt-BR"/>
        </w:rPr>
        <w:t xml:space="preserve"> </w:t>
      </w:r>
      <w:r w:rsidR="00D53175" w:rsidRPr="00D5464D">
        <w:rPr>
          <w:rFonts w:cs="Arial"/>
          <w:iCs/>
          <w:szCs w:val="20"/>
          <w:lang w:val="pt-BR"/>
        </w:rPr>
        <w:t>(</w:t>
      </w:r>
      <w:r w:rsidR="00470ADC" w:rsidRPr="00D5464D">
        <w:rPr>
          <w:rFonts w:cs="Arial"/>
          <w:iCs/>
          <w:szCs w:val="20"/>
          <w:lang w:val="pt-BR"/>
        </w:rPr>
        <w:t>cinquenta</w:t>
      </w:r>
      <w:r w:rsidR="00FA0F9F" w:rsidRPr="00D5464D">
        <w:rPr>
          <w:rFonts w:cs="Arial"/>
          <w:iCs/>
          <w:szCs w:val="20"/>
          <w:lang w:val="pt-BR"/>
        </w:rPr>
        <w:t xml:space="preserve"> </w:t>
      </w:r>
      <w:r w:rsidR="00D53175" w:rsidRPr="00D5464D">
        <w:rPr>
          <w:rFonts w:cs="Arial"/>
          <w:iCs/>
          <w:szCs w:val="20"/>
          <w:lang w:val="pt-BR"/>
        </w:rPr>
        <w:t>mil dólares</w:t>
      </w:r>
      <w:r w:rsidR="00470ADC" w:rsidRPr="00D5464D">
        <w:rPr>
          <w:rFonts w:cs="Arial"/>
          <w:iCs/>
          <w:szCs w:val="20"/>
          <w:lang w:val="pt-BR"/>
        </w:rPr>
        <w:t xml:space="preserve"> dos Estados Unidos da América</w:t>
      </w:r>
      <w:r w:rsidR="00D53175" w:rsidRPr="00D5464D">
        <w:rPr>
          <w:rFonts w:cs="Arial"/>
          <w:iCs/>
          <w:szCs w:val="20"/>
          <w:lang w:val="pt-BR"/>
        </w:rPr>
        <w:t xml:space="preserve">) </w:t>
      </w:r>
      <w:r w:rsidR="004B0842" w:rsidRPr="00D5464D">
        <w:rPr>
          <w:rFonts w:cs="Arial"/>
          <w:iCs/>
          <w:szCs w:val="20"/>
          <w:lang w:val="pt-BR"/>
        </w:rPr>
        <w:t>a</w:t>
      </w:r>
      <w:r w:rsidR="009E2AF6" w:rsidRPr="00D5464D">
        <w:rPr>
          <w:rFonts w:cs="Arial"/>
          <w:iCs/>
          <w:szCs w:val="20"/>
          <w:lang w:val="pt-BR"/>
        </w:rPr>
        <w:t>o</w:t>
      </w:r>
      <w:r w:rsidR="004B0842" w:rsidRPr="00D5464D">
        <w:rPr>
          <w:rFonts w:cs="Arial"/>
          <w:iCs/>
          <w:szCs w:val="20"/>
          <w:lang w:val="pt-BR"/>
        </w:rPr>
        <w:t xml:space="preserve"> CEJIL</w:t>
      </w:r>
      <w:r w:rsidR="00D53175" w:rsidRPr="00D5464D">
        <w:rPr>
          <w:rFonts w:cs="Arial"/>
          <w:iCs/>
          <w:szCs w:val="20"/>
          <w:lang w:val="pt-BR"/>
        </w:rPr>
        <w:t>.</w:t>
      </w:r>
      <w:r w:rsidR="004B0842" w:rsidRPr="00D5464D">
        <w:rPr>
          <w:rFonts w:cs="Arial"/>
          <w:b/>
          <w:iCs/>
          <w:szCs w:val="20"/>
          <w:lang w:val="pt-BR"/>
        </w:rPr>
        <w:t xml:space="preserve"> </w:t>
      </w:r>
    </w:p>
    <w:p w14:paraId="0CE37EA5" w14:textId="77777777" w:rsidR="004B0842" w:rsidRPr="00D5464D" w:rsidRDefault="004B0842" w:rsidP="004B0842">
      <w:pPr>
        <w:pStyle w:val="Prrafodelista"/>
        <w:autoSpaceDE w:val="0"/>
        <w:autoSpaceDN w:val="0"/>
        <w:adjustRightInd w:val="0"/>
        <w:rPr>
          <w:rFonts w:cs="Arial"/>
          <w:iCs/>
          <w:szCs w:val="20"/>
          <w:lang w:val="pt-BR"/>
        </w:rPr>
      </w:pPr>
    </w:p>
    <w:p w14:paraId="0E7E4867" w14:textId="3BEDDD67" w:rsidR="004B0842" w:rsidRPr="00D5464D" w:rsidRDefault="002C330E" w:rsidP="00F306D7">
      <w:pPr>
        <w:pStyle w:val="Ttulo2"/>
        <w:numPr>
          <w:ilvl w:val="0"/>
          <w:numId w:val="21"/>
        </w:numPr>
        <w:rPr>
          <w:lang w:val="pt-BR"/>
        </w:rPr>
      </w:pPr>
      <w:bookmarkStart w:id="489" w:name="_Toc468433959"/>
      <w:r w:rsidRPr="00D5464D">
        <w:rPr>
          <w:lang w:val="pt-BR"/>
        </w:rPr>
        <w:t xml:space="preserve">Modalidade </w:t>
      </w:r>
      <w:r w:rsidR="004B0842" w:rsidRPr="00D5464D">
        <w:rPr>
          <w:lang w:val="pt-BR"/>
        </w:rPr>
        <w:t xml:space="preserve">de </w:t>
      </w:r>
      <w:r w:rsidR="00470ADC" w:rsidRPr="00D5464D">
        <w:rPr>
          <w:lang w:val="pt-BR"/>
        </w:rPr>
        <w:t xml:space="preserve">cumprimento dos </w:t>
      </w:r>
      <w:r w:rsidRPr="00D5464D">
        <w:rPr>
          <w:lang w:val="pt-BR"/>
        </w:rPr>
        <w:t>pagamento</w:t>
      </w:r>
      <w:r w:rsidR="004B0842" w:rsidRPr="00D5464D">
        <w:rPr>
          <w:lang w:val="pt-BR"/>
        </w:rPr>
        <w:t>s ordenados</w:t>
      </w:r>
      <w:bookmarkEnd w:id="486"/>
      <w:bookmarkEnd w:id="487"/>
      <w:bookmarkEnd w:id="488"/>
      <w:bookmarkEnd w:id="489"/>
    </w:p>
    <w:p w14:paraId="03CD1DB3" w14:textId="77777777" w:rsidR="00E94DEB" w:rsidRPr="00D5464D" w:rsidRDefault="00E94DEB" w:rsidP="00E94DEB">
      <w:pPr>
        <w:pStyle w:val="Prrafodelista"/>
        <w:autoSpaceDE w:val="0"/>
        <w:autoSpaceDN w:val="0"/>
        <w:adjustRightInd w:val="0"/>
        <w:ind w:left="0"/>
        <w:rPr>
          <w:rFonts w:cs="Arial"/>
          <w:iCs/>
          <w:szCs w:val="20"/>
          <w:lang w:val="pt-BR"/>
        </w:rPr>
      </w:pPr>
    </w:p>
    <w:p w14:paraId="73B9BC45" w14:textId="153E2A0C" w:rsidR="004B0842" w:rsidRPr="00D5464D" w:rsidRDefault="00470ADC" w:rsidP="004B0842">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O </w:t>
      </w:r>
      <w:r w:rsidR="004B0842" w:rsidRPr="00D5464D">
        <w:rPr>
          <w:rFonts w:cs="Arial"/>
          <w:iCs/>
          <w:szCs w:val="20"/>
          <w:lang w:val="pt-BR"/>
        </w:rPr>
        <w:t xml:space="preserve">Estado </w:t>
      </w:r>
      <w:r w:rsidRPr="00D5464D">
        <w:rPr>
          <w:rFonts w:cs="Arial"/>
          <w:iCs/>
          <w:szCs w:val="20"/>
          <w:lang w:val="pt-BR"/>
        </w:rPr>
        <w:t>dever</w:t>
      </w:r>
      <w:r w:rsidR="004B0842" w:rsidRPr="00D5464D">
        <w:rPr>
          <w:rFonts w:cs="Arial"/>
          <w:iCs/>
          <w:szCs w:val="20"/>
          <w:lang w:val="pt-BR"/>
        </w:rPr>
        <w:t xml:space="preserve">á </w:t>
      </w:r>
      <w:r w:rsidRPr="00D5464D">
        <w:rPr>
          <w:rFonts w:cs="Arial"/>
          <w:iCs/>
          <w:szCs w:val="20"/>
          <w:lang w:val="pt-BR"/>
        </w:rPr>
        <w:t xml:space="preserve">realizar o </w:t>
      </w:r>
      <w:r w:rsidR="002C330E" w:rsidRPr="00D5464D">
        <w:rPr>
          <w:rFonts w:cs="Arial"/>
          <w:iCs/>
          <w:szCs w:val="20"/>
          <w:lang w:val="pt-BR"/>
        </w:rPr>
        <w:t>pagamento</w:t>
      </w:r>
      <w:r w:rsidRPr="00D5464D">
        <w:rPr>
          <w:rFonts w:cs="Arial"/>
          <w:iCs/>
          <w:szCs w:val="20"/>
          <w:lang w:val="pt-BR"/>
        </w:rPr>
        <w:t xml:space="preserve"> das </w:t>
      </w:r>
      <w:r w:rsidR="002C330E" w:rsidRPr="00D5464D">
        <w:rPr>
          <w:rFonts w:cs="Arial"/>
          <w:iCs/>
          <w:szCs w:val="20"/>
          <w:lang w:val="pt-BR"/>
        </w:rPr>
        <w:t>indenizações</w:t>
      </w:r>
      <w:r w:rsidR="004B0842" w:rsidRPr="00D5464D">
        <w:rPr>
          <w:rFonts w:cs="Arial"/>
          <w:iCs/>
          <w:szCs w:val="20"/>
          <w:lang w:val="pt-BR"/>
        </w:rPr>
        <w:t xml:space="preserve"> </w:t>
      </w:r>
      <w:r w:rsidR="00C91CB1" w:rsidRPr="00D5464D">
        <w:rPr>
          <w:rFonts w:cs="Arial"/>
          <w:iCs/>
          <w:szCs w:val="20"/>
          <w:lang w:val="pt-BR"/>
        </w:rPr>
        <w:t>a título de</w:t>
      </w:r>
      <w:r w:rsidRPr="00D5464D">
        <w:rPr>
          <w:rFonts w:cs="Arial"/>
          <w:iCs/>
          <w:szCs w:val="20"/>
          <w:lang w:val="pt-BR"/>
        </w:rPr>
        <w:t xml:space="preserve"> dano</w:t>
      </w:r>
      <w:r w:rsidR="004B0842" w:rsidRPr="00D5464D">
        <w:rPr>
          <w:rFonts w:cs="Arial"/>
          <w:iCs/>
          <w:szCs w:val="20"/>
          <w:lang w:val="pt-BR"/>
        </w:rPr>
        <w:t xml:space="preserve"> </w:t>
      </w:r>
      <w:r w:rsidR="002C330E" w:rsidRPr="00D5464D">
        <w:rPr>
          <w:rFonts w:cs="Arial"/>
          <w:iCs/>
          <w:szCs w:val="20"/>
          <w:lang w:val="pt-BR"/>
        </w:rPr>
        <w:t>imaterial</w:t>
      </w:r>
      <w:r w:rsidR="004B0842" w:rsidRPr="00D5464D">
        <w:rPr>
          <w:rFonts w:cs="Arial"/>
          <w:iCs/>
          <w:szCs w:val="20"/>
          <w:lang w:val="pt-BR"/>
        </w:rPr>
        <w:t xml:space="preserve"> </w:t>
      </w:r>
      <w:r w:rsidR="0045224E" w:rsidRPr="00D5464D">
        <w:rPr>
          <w:rFonts w:cs="Arial"/>
          <w:iCs/>
          <w:szCs w:val="20"/>
          <w:lang w:val="pt-BR"/>
        </w:rPr>
        <w:t xml:space="preserve">e por restituição de </w:t>
      </w:r>
      <w:r w:rsidRPr="00D5464D">
        <w:rPr>
          <w:rFonts w:cs="Arial"/>
          <w:iCs/>
          <w:szCs w:val="20"/>
          <w:lang w:val="pt-BR"/>
        </w:rPr>
        <w:t>custas</w:t>
      </w:r>
      <w:r w:rsidR="00E045D9" w:rsidRPr="00D5464D">
        <w:rPr>
          <w:rFonts w:cs="Arial"/>
          <w:iCs/>
          <w:szCs w:val="20"/>
          <w:lang w:val="pt-BR"/>
        </w:rPr>
        <w:t xml:space="preserve"> e </w:t>
      </w:r>
      <w:r w:rsidR="004B0842" w:rsidRPr="00D5464D">
        <w:rPr>
          <w:rFonts w:cs="Arial"/>
          <w:iCs/>
          <w:szCs w:val="20"/>
          <w:lang w:val="pt-BR"/>
        </w:rPr>
        <w:t xml:space="preserve">gastos </w:t>
      </w:r>
      <w:r w:rsidRPr="00D5464D">
        <w:rPr>
          <w:rFonts w:cs="Arial"/>
          <w:iCs/>
          <w:szCs w:val="20"/>
          <w:lang w:val="pt-BR"/>
        </w:rPr>
        <w:t>estabelecid</w:t>
      </w:r>
      <w:r w:rsidR="004B0842" w:rsidRPr="00D5464D">
        <w:rPr>
          <w:rFonts w:cs="Arial"/>
          <w:iCs/>
          <w:szCs w:val="20"/>
          <w:lang w:val="pt-BR"/>
        </w:rPr>
        <w:t>os</w:t>
      </w:r>
      <w:r w:rsidR="00E045D9" w:rsidRPr="00D5464D">
        <w:rPr>
          <w:rFonts w:cs="Arial"/>
          <w:iCs/>
          <w:szCs w:val="20"/>
          <w:lang w:val="pt-BR"/>
        </w:rPr>
        <w:t xml:space="preserve"> na </w:t>
      </w:r>
      <w:r w:rsidR="004B0842" w:rsidRPr="00D5464D">
        <w:rPr>
          <w:rFonts w:cs="Arial"/>
          <w:iCs/>
          <w:szCs w:val="20"/>
          <w:lang w:val="pt-BR"/>
        </w:rPr>
        <w:t xml:space="preserve">presente </w:t>
      </w:r>
      <w:r w:rsidR="002C330E" w:rsidRPr="00D5464D">
        <w:rPr>
          <w:rFonts w:cs="Arial"/>
          <w:iCs/>
          <w:szCs w:val="20"/>
          <w:lang w:val="pt-BR"/>
        </w:rPr>
        <w:t>Sentença</w:t>
      </w:r>
      <w:r w:rsidR="004B0842" w:rsidRPr="00D5464D">
        <w:rPr>
          <w:rFonts w:cs="Arial"/>
          <w:iCs/>
          <w:szCs w:val="20"/>
          <w:lang w:val="pt-BR"/>
        </w:rPr>
        <w:t xml:space="preserve"> </w:t>
      </w:r>
      <w:r w:rsidRPr="00D5464D">
        <w:rPr>
          <w:rFonts w:cs="Arial"/>
          <w:iCs/>
          <w:szCs w:val="20"/>
          <w:lang w:val="pt-BR"/>
        </w:rPr>
        <w:t>diret</w:t>
      </w:r>
      <w:r w:rsidR="004B0842" w:rsidRPr="00D5464D">
        <w:rPr>
          <w:rFonts w:cs="Arial"/>
          <w:iCs/>
          <w:szCs w:val="20"/>
          <w:lang w:val="pt-BR"/>
        </w:rPr>
        <w:t>amente</w:t>
      </w:r>
      <w:r w:rsidR="00E045D9" w:rsidRPr="00D5464D">
        <w:rPr>
          <w:rFonts w:cs="Arial"/>
          <w:iCs/>
          <w:szCs w:val="20"/>
          <w:lang w:val="pt-BR"/>
        </w:rPr>
        <w:t xml:space="preserve"> às </w:t>
      </w:r>
      <w:r w:rsidR="002C330E" w:rsidRPr="00D5464D">
        <w:rPr>
          <w:rFonts w:cs="Arial"/>
          <w:iCs/>
          <w:szCs w:val="20"/>
          <w:lang w:val="pt-BR"/>
        </w:rPr>
        <w:t>pessoa</w:t>
      </w:r>
      <w:r w:rsidR="004B0842" w:rsidRPr="00D5464D">
        <w:rPr>
          <w:rFonts w:cs="Arial"/>
          <w:iCs/>
          <w:szCs w:val="20"/>
          <w:lang w:val="pt-BR"/>
        </w:rPr>
        <w:t xml:space="preserve">s </w:t>
      </w:r>
      <w:r w:rsidR="0045224E" w:rsidRPr="00D5464D">
        <w:rPr>
          <w:rFonts w:cs="Arial"/>
          <w:iCs/>
          <w:szCs w:val="20"/>
          <w:lang w:val="pt-BR"/>
        </w:rPr>
        <w:t xml:space="preserve">e organizações </w:t>
      </w:r>
      <w:r w:rsidR="004B0842" w:rsidRPr="00D5464D">
        <w:rPr>
          <w:rFonts w:cs="Arial"/>
          <w:iCs/>
          <w:szCs w:val="20"/>
          <w:lang w:val="pt-BR"/>
        </w:rPr>
        <w:t>indicadas</w:t>
      </w:r>
      <w:r w:rsidR="00E045D9" w:rsidRPr="00D5464D">
        <w:rPr>
          <w:rFonts w:cs="Arial"/>
          <w:iCs/>
          <w:szCs w:val="20"/>
          <w:lang w:val="pt-BR"/>
        </w:rPr>
        <w:t xml:space="preserve"> na </w:t>
      </w:r>
      <w:r w:rsidR="002C330E" w:rsidRPr="00D5464D">
        <w:rPr>
          <w:rFonts w:cs="Arial"/>
          <w:iCs/>
          <w:szCs w:val="20"/>
          <w:lang w:val="pt-BR"/>
        </w:rPr>
        <w:t>mesm</w:t>
      </w:r>
      <w:r w:rsidR="004B0842" w:rsidRPr="00D5464D">
        <w:rPr>
          <w:rFonts w:cs="Arial"/>
          <w:iCs/>
          <w:szCs w:val="20"/>
          <w:lang w:val="pt-BR"/>
        </w:rPr>
        <w:t xml:space="preserve">a, dentro </w:t>
      </w:r>
      <w:r w:rsidRPr="00D5464D">
        <w:rPr>
          <w:rFonts w:cs="Arial"/>
          <w:iCs/>
          <w:szCs w:val="20"/>
          <w:lang w:val="pt-BR"/>
        </w:rPr>
        <w:t>do</w:t>
      </w:r>
      <w:r w:rsidR="002C330E" w:rsidRPr="00D5464D">
        <w:rPr>
          <w:rFonts w:cs="Arial"/>
          <w:iCs/>
          <w:szCs w:val="20"/>
          <w:lang w:val="pt-BR"/>
        </w:rPr>
        <w:t xml:space="preserve"> prazo</w:t>
      </w:r>
      <w:r w:rsidR="004B0842" w:rsidRPr="00D5464D">
        <w:rPr>
          <w:rFonts w:cs="Arial"/>
          <w:iCs/>
          <w:szCs w:val="20"/>
          <w:lang w:val="pt-BR"/>
        </w:rPr>
        <w:t xml:space="preserve"> de</w:t>
      </w:r>
      <w:r w:rsidR="00E045D9" w:rsidRPr="00D5464D">
        <w:rPr>
          <w:rFonts w:cs="Arial"/>
          <w:iCs/>
          <w:szCs w:val="20"/>
          <w:lang w:val="pt-BR"/>
        </w:rPr>
        <w:t xml:space="preserve"> um </w:t>
      </w:r>
      <w:r w:rsidRPr="00D5464D">
        <w:rPr>
          <w:rFonts w:cs="Arial"/>
          <w:iCs/>
          <w:szCs w:val="20"/>
          <w:lang w:val="pt-BR"/>
        </w:rPr>
        <w:t>ano</w:t>
      </w:r>
      <w:r w:rsidR="00A66C2A" w:rsidRPr="00D5464D">
        <w:rPr>
          <w:rFonts w:cs="Arial"/>
          <w:iCs/>
          <w:szCs w:val="20"/>
          <w:lang w:val="pt-BR"/>
        </w:rPr>
        <w:t>,</w:t>
      </w:r>
      <w:r w:rsidRPr="00D5464D">
        <w:rPr>
          <w:rFonts w:cs="Arial"/>
          <w:iCs/>
          <w:szCs w:val="20"/>
          <w:lang w:val="pt-BR"/>
        </w:rPr>
        <w:t xml:space="preserve"> </w:t>
      </w:r>
      <w:r w:rsidR="004B0842" w:rsidRPr="00D5464D">
        <w:rPr>
          <w:rFonts w:cs="Arial"/>
          <w:iCs/>
          <w:szCs w:val="20"/>
          <w:lang w:val="pt-BR"/>
        </w:rPr>
        <w:t>contado a partir</w:t>
      </w:r>
      <w:r w:rsidRPr="00D5464D">
        <w:rPr>
          <w:rFonts w:cs="Arial"/>
          <w:iCs/>
          <w:szCs w:val="20"/>
          <w:lang w:val="pt-BR"/>
        </w:rPr>
        <w:t xml:space="preserve"> da </w:t>
      </w:r>
      <w:r w:rsidR="004B0842" w:rsidRPr="00D5464D">
        <w:rPr>
          <w:rFonts w:cs="Arial"/>
          <w:iCs/>
          <w:szCs w:val="20"/>
          <w:lang w:val="pt-BR"/>
        </w:rPr>
        <w:t>notifica</w:t>
      </w:r>
      <w:r w:rsidRPr="00D5464D">
        <w:rPr>
          <w:rFonts w:cs="Arial"/>
          <w:iCs/>
          <w:szCs w:val="20"/>
          <w:lang w:val="pt-BR"/>
        </w:rPr>
        <w:t>ção</w:t>
      </w:r>
      <w:r w:rsidR="004B0842" w:rsidRPr="00D5464D">
        <w:rPr>
          <w:rFonts w:cs="Arial"/>
          <w:iCs/>
          <w:szCs w:val="20"/>
          <w:lang w:val="pt-BR"/>
        </w:rPr>
        <w:t xml:space="preserve"> </w:t>
      </w:r>
      <w:r w:rsidR="00A1358C" w:rsidRPr="00D5464D">
        <w:rPr>
          <w:rFonts w:cs="Arial"/>
          <w:iCs/>
          <w:szCs w:val="20"/>
          <w:lang w:val="pt-BR"/>
        </w:rPr>
        <w:t xml:space="preserve">da presente </w:t>
      </w:r>
      <w:r w:rsidR="00A66C2A" w:rsidRPr="00D5464D">
        <w:rPr>
          <w:rFonts w:cs="Arial"/>
          <w:iCs/>
          <w:szCs w:val="20"/>
          <w:lang w:val="pt-BR"/>
        </w:rPr>
        <w:t>Sentença</w:t>
      </w:r>
      <w:r w:rsidR="004B0842" w:rsidRPr="00D5464D">
        <w:rPr>
          <w:rFonts w:cs="Arial"/>
          <w:iCs/>
          <w:szCs w:val="20"/>
          <w:lang w:val="pt-BR"/>
        </w:rPr>
        <w:t>,</w:t>
      </w:r>
      <w:r w:rsidR="00E045D9" w:rsidRPr="00D5464D">
        <w:rPr>
          <w:rFonts w:cs="Arial"/>
          <w:iCs/>
          <w:szCs w:val="20"/>
          <w:lang w:val="pt-BR"/>
        </w:rPr>
        <w:t xml:space="preserve"> nos termo</w:t>
      </w:r>
      <w:r w:rsidR="004B0842" w:rsidRPr="00D5464D">
        <w:rPr>
          <w:rFonts w:cs="Arial"/>
          <w:iCs/>
          <w:szCs w:val="20"/>
          <w:lang w:val="pt-BR"/>
        </w:rPr>
        <w:t>s</w:t>
      </w:r>
      <w:r w:rsidRPr="00D5464D">
        <w:rPr>
          <w:rFonts w:cs="Arial"/>
          <w:iCs/>
          <w:szCs w:val="20"/>
          <w:lang w:val="pt-BR"/>
        </w:rPr>
        <w:t xml:space="preserve"> dos </w:t>
      </w:r>
      <w:r w:rsidR="002C330E" w:rsidRPr="00D5464D">
        <w:rPr>
          <w:rFonts w:cs="Arial"/>
          <w:iCs/>
          <w:szCs w:val="20"/>
          <w:lang w:val="pt-BR"/>
        </w:rPr>
        <w:t>parágrafo</w:t>
      </w:r>
      <w:r w:rsidR="004B0842" w:rsidRPr="00D5464D">
        <w:rPr>
          <w:rFonts w:cs="Arial"/>
          <w:iCs/>
          <w:szCs w:val="20"/>
          <w:lang w:val="pt-BR"/>
        </w:rPr>
        <w:t>s</w:t>
      </w:r>
      <w:r w:rsidR="00A66C2A" w:rsidRPr="00D5464D">
        <w:rPr>
          <w:rFonts w:cs="Arial"/>
          <w:iCs/>
          <w:szCs w:val="20"/>
          <w:lang w:val="pt-BR"/>
        </w:rPr>
        <w:t xml:space="preserve"> seguintes</w:t>
      </w:r>
      <w:r w:rsidR="004B0842" w:rsidRPr="00D5464D">
        <w:rPr>
          <w:rFonts w:cs="Arial"/>
          <w:iCs/>
          <w:szCs w:val="20"/>
          <w:lang w:val="pt-BR"/>
        </w:rPr>
        <w:t>.</w:t>
      </w:r>
    </w:p>
    <w:p w14:paraId="37788D77" w14:textId="77777777" w:rsidR="004B0842" w:rsidRPr="00D5464D" w:rsidRDefault="004B0842" w:rsidP="004B0842">
      <w:pPr>
        <w:pStyle w:val="Prrafodelista"/>
        <w:autoSpaceDE w:val="0"/>
        <w:autoSpaceDN w:val="0"/>
        <w:adjustRightInd w:val="0"/>
        <w:rPr>
          <w:rFonts w:cs="Arial"/>
          <w:iCs/>
          <w:szCs w:val="20"/>
          <w:lang w:val="pt-BR"/>
        </w:rPr>
      </w:pPr>
    </w:p>
    <w:p w14:paraId="78D1581A" w14:textId="54EF346F" w:rsidR="00A66C2A" w:rsidRPr="00D5464D" w:rsidRDefault="00A66C2A" w:rsidP="00E94DEB">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Caso algum dos </w:t>
      </w:r>
      <w:r w:rsidR="00470ADC" w:rsidRPr="00D5464D">
        <w:rPr>
          <w:rFonts w:cs="Arial"/>
          <w:iCs/>
          <w:szCs w:val="20"/>
          <w:lang w:val="pt-BR"/>
        </w:rPr>
        <w:t>beneficiário</w:t>
      </w:r>
      <w:r w:rsidR="004B0842" w:rsidRPr="00D5464D">
        <w:rPr>
          <w:rFonts w:cs="Arial"/>
          <w:iCs/>
          <w:szCs w:val="20"/>
          <w:lang w:val="pt-BR"/>
        </w:rPr>
        <w:t>s</w:t>
      </w:r>
      <w:r w:rsidR="00E045D9" w:rsidRPr="00D5464D">
        <w:rPr>
          <w:rFonts w:cs="Arial"/>
          <w:iCs/>
          <w:szCs w:val="20"/>
          <w:lang w:val="pt-BR"/>
        </w:rPr>
        <w:t xml:space="preserve"> tenha </w:t>
      </w:r>
      <w:r w:rsidR="00470ADC" w:rsidRPr="00D5464D">
        <w:rPr>
          <w:rFonts w:cs="Arial"/>
          <w:iCs/>
          <w:szCs w:val="20"/>
          <w:lang w:val="pt-BR"/>
        </w:rPr>
        <w:t>falecid</w:t>
      </w:r>
      <w:r w:rsidR="004B0842" w:rsidRPr="00D5464D">
        <w:rPr>
          <w:rFonts w:cs="Arial"/>
          <w:iCs/>
          <w:szCs w:val="20"/>
          <w:lang w:val="pt-BR"/>
        </w:rPr>
        <w:t>o o</w:t>
      </w:r>
      <w:r w:rsidRPr="00D5464D">
        <w:rPr>
          <w:rFonts w:cs="Arial"/>
          <w:iCs/>
          <w:szCs w:val="20"/>
          <w:lang w:val="pt-BR"/>
        </w:rPr>
        <w:t>u venha a</w:t>
      </w:r>
      <w:r w:rsidR="004B0842" w:rsidRPr="00D5464D">
        <w:rPr>
          <w:rFonts w:cs="Arial"/>
          <w:iCs/>
          <w:szCs w:val="20"/>
          <w:lang w:val="pt-BR"/>
        </w:rPr>
        <w:t xml:space="preserve"> </w:t>
      </w:r>
      <w:r w:rsidR="00350187" w:rsidRPr="00D5464D">
        <w:rPr>
          <w:rFonts w:cs="Arial"/>
          <w:iCs/>
          <w:szCs w:val="20"/>
          <w:lang w:val="pt-BR"/>
        </w:rPr>
        <w:t>fale</w:t>
      </w:r>
      <w:r w:rsidRPr="00D5464D">
        <w:rPr>
          <w:rFonts w:cs="Arial"/>
          <w:iCs/>
          <w:szCs w:val="20"/>
          <w:lang w:val="pt-BR"/>
        </w:rPr>
        <w:t>cer</w:t>
      </w:r>
      <w:r w:rsidR="004B0842" w:rsidRPr="00D5464D">
        <w:rPr>
          <w:rFonts w:cs="Arial"/>
          <w:iCs/>
          <w:szCs w:val="20"/>
          <w:lang w:val="pt-BR"/>
        </w:rPr>
        <w:t xml:space="preserve"> antes de que</w:t>
      </w:r>
      <w:r w:rsidR="002C330E" w:rsidRPr="00D5464D">
        <w:rPr>
          <w:rFonts w:cs="Arial"/>
          <w:iCs/>
          <w:szCs w:val="20"/>
          <w:lang w:val="pt-BR"/>
        </w:rPr>
        <w:t xml:space="preserve"> sejam </w:t>
      </w:r>
      <w:r w:rsidRPr="00D5464D">
        <w:rPr>
          <w:rFonts w:cs="Arial"/>
          <w:iCs/>
          <w:szCs w:val="20"/>
          <w:lang w:val="pt-BR"/>
        </w:rPr>
        <w:t xml:space="preserve">pagas </w:t>
      </w:r>
      <w:r w:rsidR="002C330E" w:rsidRPr="00D5464D">
        <w:rPr>
          <w:rFonts w:cs="Arial"/>
          <w:iCs/>
          <w:szCs w:val="20"/>
          <w:lang w:val="pt-BR"/>
        </w:rPr>
        <w:t xml:space="preserve">as </w:t>
      </w:r>
      <w:r w:rsidR="004B0842" w:rsidRPr="00D5464D">
        <w:rPr>
          <w:rFonts w:cs="Arial"/>
          <w:iCs/>
          <w:szCs w:val="20"/>
          <w:lang w:val="pt-BR"/>
        </w:rPr>
        <w:t>respectivas</w:t>
      </w:r>
      <w:r w:rsidRPr="00D5464D">
        <w:rPr>
          <w:rFonts w:cs="Arial"/>
          <w:iCs/>
          <w:szCs w:val="20"/>
          <w:lang w:val="pt-BR"/>
        </w:rPr>
        <w:t xml:space="preserve"> indenizações</w:t>
      </w:r>
      <w:r w:rsidR="004B0842" w:rsidRPr="00D5464D">
        <w:rPr>
          <w:rFonts w:cs="Arial"/>
          <w:iCs/>
          <w:szCs w:val="20"/>
          <w:lang w:val="pt-BR"/>
        </w:rPr>
        <w:t xml:space="preserve">, </w:t>
      </w:r>
      <w:r w:rsidR="00350187" w:rsidRPr="00D5464D">
        <w:rPr>
          <w:rFonts w:cs="Arial"/>
          <w:iCs/>
          <w:szCs w:val="20"/>
          <w:lang w:val="pt-BR"/>
        </w:rPr>
        <w:t>estas</w:t>
      </w:r>
      <w:r w:rsidR="004B0842" w:rsidRPr="00D5464D">
        <w:rPr>
          <w:rFonts w:cs="Arial"/>
          <w:iCs/>
          <w:szCs w:val="20"/>
          <w:lang w:val="pt-BR"/>
        </w:rPr>
        <w:t xml:space="preserve"> </w:t>
      </w:r>
      <w:r w:rsidRPr="00D5464D">
        <w:rPr>
          <w:rFonts w:cs="Arial"/>
          <w:iCs/>
          <w:szCs w:val="20"/>
          <w:lang w:val="pt-BR"/>
        </w:rPr>
        <w:t xml:space="preserve">serão feitas </w:t>
      </w:r>
      <w:r w:rsidR="00470ADC" w:rsidRPr="00D5464D">
        <w:rPr>
          <w:rFonts w:cs="Arial"/>
          <w:iCs/>
          <w:szCs w:val="20"/>
          <w:lang w:val="pt-BR"/>
        </w:rPr>
        <w:t>diret</w:t>
      </w:r>
      <w:r w:rsidR="004B0842" w:rsidRPr="00D5464D">
        <w:rPr>
          <w:rFonts w:cs="Arial"/>
          <w:iCs/>
          <w:szCs w:val="20"/>
          <w:lang w:val="pt-BR"/>
        </w:rPr>
        <w:t>amente a</w:t>
      </w:r>
      <w:r w:rsidRPr="00D5464D">
        <w:rPr>
          <w:rFonts w:cs="Arial"/>
          <w:iCs/>
          <w:szCs w:val="20"/>
          <w:lang w:val="pt-BR"/>
        </w:rPr>
        <w:t>os</w:t>
      </w:r>
      <w:r w:rsidR="004B0842" w:rsidRPr="00D5464D">
        <w:rPr>
          <w:rFonts w:cs="Arial"/>
          <w:iCs/>
          <w:szCs w:val="20"/>
          <w:lang w:val="pt-BR"/>
        </w:rPr>
        <w:t xml:space="preserve"> </w:t>
      </w:r>
      <w:r w:rsidR="00E045D9" w:rsidRPr="00D5464D">
        <w:rPr>
          <w:rFonts w:cs="Arial"/>
          <w:iCs/>
          <w:szCs w:val="20"/>
          <w:lang w:val="pt-BR"/>
        </w:rPr>
        <w:t xml:space="preserve">seus </w:t>
      </w:r>
      <w:r w:rsidRPr="00D5464D">
        <w:rPr>
          <w:rFonts w:cs="Arial"/>
          <w:iCs/>
          <w:szCs w:val="20"/>
          <w:lang w:val="pt-BR"/>
        </w:rPr>
        <w:t>herdeiros</w:t>
      </w:r>
      <w:r w:rsidR="004B0842" w:rsidRPr="00D5464D">
        <w:rPr>
          <w:rFonts w:cs="Arial"/>
          <w:iCs/>
          <w:szCs w:val="20"/>
          <w:lang w:val="pt-BR"/>
        </w:rPr>
        <w:t>, conforme</w:t>
      </w:r>
      <w:r w:rsidR="00470ADC" w:rsidRPr="00D5464D">
        <w:rPr>
          <w:rFonts w:cs="Arial"/>
          <w:iCs/>
          <w:szCs w:val="20"/>
          <w:lang w:val="pt-BR"/>
        </w:rPr>
        <w:t xml:space="preserve"> o direito</w:t>
      </w:r>
      <w:r w:rsidR="004B0842" w:rsidRPr="00D5464D">
        <w:rPr>
          <w:rFonts w:cs="Arial"/>
          <w:iCs/>
          <w:szCs w:val="20"/>
          <w:lang w:val="pt-BR"/>
        </w:rPr>
        <w:t xml:space="preserve"> interno </w:t>
      </w:r>
      <w:r w:rsidR="00A1358C" w:rsidRPr="00D5464D">
        <w:rPr>
          <w:rFonts w:cs="Arial"/>
          <w:iCs/>
          <w:szCs w:val="20"/>
          <w:lang w:val="pt-BR"/>
        </w:rPr>
        <w:t>aplicável</w:t>
      </w:r>
      <w:r w:rsidR="004B0842" w:rsidRPr="00D5464D">
        <w:rPr>
          <w:rFonts w:cs="Arial"/>
          <w:iCs/>
          <w:szCs w:val="20"/>
          <w:lang w:val="pt-BR"/>
        </w:rPr>
        <w:t>.</w:t>
      </w:r>
    </w:p>
    <w:p w14:paraId="04499EBB" w14:textId="77777777" w:rsidR="00A66C2A" w:rsidRPr="00D5464D" w:rsidRDefault="00A66C2A" w:rsidP="00A66C2A">
      <w:pPr>
        <w:pStyle w:val="Prrafodelista"/>
        <w:rPr>
          <w:rFonts w:cs="Arial"/>
          <w:iCs/>
          <w:szCs w:val="20"/>
          <w:lang w:val="pt-BR"/>
        </w:rPr>
      </w:pPr>
    </w:p>
    <w:p w14:paraId="26D2AAED" w14:textId="77777777" w:rsidR="00A66C2A" w:rsidRPr="00D5464D" w:rsidRDefault="0045224E" w:rsidP="00A66C2A">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O Estado deve cumprir as obrigações monetárias, mediante o pagamento em dólares dos Estados Unidos da América, ou o equivalente em moeda brasileira, utilizando, para o cálculo respectivo, o tipo de câmbio vigente na bolsa de Nova York, </w:t>
      </w:r>
      <w:r w:rsidR="00A66C2A" w:rsidRPr="00D5464D">
        <w:rPr>
          <w:rFonts w:cs="Arial"/>
          <w:iCs/>
          <w:szCs w:val="20"/>
          <w:lang w:val="pt-BR"/>
        </w:rPr>
        <w:t xml:space="preserve">Estados Unidos da América, </w:t>
      </w:r>
      <w:r w:rsidRPr="00D5464D">
        <w:rPr>
          <w:rFonts w:cs="Arial"/>
          <w:iCs/>
          <w:szCs w:val="20"/>
          <w:lang w:val="pt-BR"/>
        </w:rPr>
        <w:t xml:space="preserve">no dia anterior ao pagamento. </w:t>
      </w:r>
    </w:p>
    <w:p w14:paraId="01F5D1D0" w14:textId="77777777" w:rsidR="00A66C2A" w:rsidRPr="00D5464D" w:rsidRDefault="00A66C2A" w:rsidP="00A66C2A">
      <w:pPr>
        <w:pStyle w:val="Prrafodelista"/>
        <w:rPr>
          <w:rFonts w:cs="Arial"/>
          <w:iCs/>
          <w:szCs w:val="20"/>
          <w:lang w:val="pt-BR"/>
        </w:rPr>
      </w:pPr>
    </w:p>
    <w:p w14:paraId="0199BA1D" w14:textId="49682BB6" w:rsidR="004B0842" w:rsidRPr="00D5464D" w:rsidRDefault="0045224E" w:rsidP="00A66C2A">
      <w:pPr>
        <w:pStyle w:val="Prrafodelista"/>
        <w:numPr>
          <w:ilvl w:val="0"/>
          <w:numId w:val="1"/>
        </w:numPr>
        <w:autoSpaceDE w:val="0"/>
        <w:autoSpaceDN w:val="0"/>
        <w:adjustRightInd w:val="0"/>
        <w:rPr>
          <w:rFonts w:cs="Arial"/>
          <w:iCs/>
          <w:szCs w:val="20"/>
          <w:lang w:val="pt-BR"/>
        </w:rPr>
      </w:pPr>
      <w:r w:rsidRPr="00D5464D">
        <w:rPr>
          <w:rFonts w:cs="Arial"/>
          <w:iCs/>
          <w:szCs w:val="20"/>
          <w:lang w:val="pt-BR"/>
        </w:rPr>
        <w:t>Se, por causas atribuíveis a</w:t>
      </w:r>
      <w:r w:rsidR="00A66C2A" w:rsidRPr="00D5464D">
        <w:rPr>
          <w:rFonts w:cs="Arial"/>
          <w:iCs/>
          <w:szCs w:val="20"/>
          <w:lang w:val="pt-BR"/>
        </w:rPr>
        <w:t xml:space="preserve"> algum d</w:t>
      </w:r>
      <w:r w:rsidRPr="00D5464D">
        <w:rPr>
          <w:rFonts w:cs="Arial"/>
          <w:iCs/>
          <w:szCs w:val="20"/>
          <w:lang w:val="pt-BR"/>
        </w:rPr>
        <w:t xml:space="preserve">os beneficiários das indenizações ou aos </w:t>
      </w:r>
      <w:r w:rsidR="00A66C2A" w:rsidRPr="00D5464D">
        <w:rPr>
          <w:rFonts w:cs="Arial"/>
          <w:iCs/>
          <w:szCs w:val="20"/>
          <w:lang w:val="pt-BR"/>
        </w:rPr>
        <w:t xml:space="preserve">seus </w:t>
      </w:r>
      <w:r w:rsidRPr="00D5464D">
        <w:rPr>
          <w:rFonts w:cs="Arial"/>
          <w:iCs/>
          <w:szCs w:val="20"/>
          <w:lang w:val="pt-BR"/>
        </w:rPr>
        <w:t>herdeiros, não for possível o pagamento do</w:t>
      </w:r>
      <w:r w:rsidR="00A66C2A" w:rsidRPr="00D5464D">
        <w:rPr>
          <w:rFonts w:cs="Arial"/>
          <w:iCs/>
          <w:szCs w:val="20"/>
          <w:lang w:val="pt-BR"/>
        </w:rPr>
        <w:t xml:space="preserve"> total ou parte do</w:t>
      </w:r>
      <w:r w:rsidRPr="00D5464D">
        <w:rPr>
          <w:rFonts w:cs="Arial"/>
          <w:iCs/>
          <w:szCs w:val="20"/>
          <w:lang w:val="pt-BR"/>
        </w:rPr>
        <w:t>s montantes determinados no prazo indicado, o Estado destinará esses montantes a seu favor, em conta ou certificado de depósito em uma instituição financeira brasileira solvente, em dólares dos Estados Unidos da</w:t>
      </w:r>
      <w:r w:rsidR="00A66C2A" w:rsidRPr="00D5464D">
        <w:rPr>
          <w:rFonts w:cs="Arial"/>
          <w:iCs/>
          <w:szCs w:val="20"/>
          <w:lang w:val="pt-BR"/>
        </w:rPr>
        <w:t xml:space="preserve"> América</w:t>
      </w:r>
      <w:r w:rsidR="00470ADC" w:rsidRPr="00D5464D">
        <w:rPr>
          <w:rFonts w:cs="Arial"/>
          <w:iCs/>
          <w:szCs w:val="20"/>
          <w:lang w:val="pt-BR"/>
        </w:rPr>
        <w:t>, e</w:t>
      </w:r>
      <w:r w:rsidR="00E045D9" w:rsidRPr="00D5464D">
        <w:rPr>
          <w:rFonts w:cs="Arial"/>
          <w:iCs/>
          <w:szCs w:val="20"/>
          <w:lang w:val="pt-BR"/>
        </w:rPr>
        <w:t xml:space="preserve"> nas </w:t>
      </w:r>
      <w:r w:rsidR="004B0842" w:rsidRPr="00D5464D">
        <w:rPr>
          <w:rFonts w:cs="Arial"/>
          <w:iCs/>
          <w:szCs w:val="20"/>
          <w:lang w:val="pt-BR"/>
        </w:rPr>
        <w:t>condi</w:t>
      </w:r>
      <w:r w:rsidR="00470ADC" w:rsidRPr="00D5464D">
        <w:rPr>
          <w:rFonts w:cs="Arial"/>
          <w:iCs/>
          <w:szCs w:val="20"/>
          <w:lang w:val="pt-BR"/>
        </w:rPr>
        <w:t>ções</w:t>
      </w:r>
      <w:r w:rsidR="004B0842" w:rsidRPr="00D5464D">
        <w:rPr>
          <w:rFonts w:cs="Arial"/>
          <w:iCs/>
          <w:szCs w:val="20"/>
          <w:lang w:val="pt-BR"/>
        </w:rPr>
        <w:t xml:space="preserve"> </w:t>
      </w:r>
      <w:r w:rsidR="00470ADC" w:rsidRPr="00D5464D">
        <w:rPr>
          <w:rFonts w:cs="Arial"/>
          <w:iCs/>
          <w:szCs w:val="20"/>
          <w:lang w:val="pt-BR"/>
        </w:rPr>
        <w:t>financeira</w:t>
      </w:r>
      <w:r w:rsidR="004B0842" w:rsidRPr="00D5464D">
        <w:rPr>
          <w:rFonts w:cs="Arial"/>
          <w:iCs/>
          <w:szCs w:val="20"/>
          <w:lang w:val="pt-BR"/>
        </w:rPr>
        <w:t xml:space="preserve">s </w:t>
      </w:r>
      <w:r w:rsidR="002C330E" w:rsidRPr="00D5464D">
        <w:rPr>
          <w:rFonts w:cs="Arial"/>
          <w:iCs/>
          <w:szCs w:val="20"/>
          <w:lang w:val="pt-BR"/>
        </w:rPr>
        <w:t xml:space="preserve">mais </w:t>
      </w:r>
      <w:r w:rsidR="00470ADC" w:rsidRPr="00D5464D">
        <w:rPr>
          <w:rFonts w:cs="Arial"/>
          <w:iCs/>
          <w:szCs w:val="20"/>
          <w:lang w:val="pt-BR"/>
        </w:rPr>
        <w:t>favoráveis</w:t>
      </w:r>
      <w:r w:rsidR="004B0842" w:rsidRPr="00D5464D">
        <w:rPr>
          <w:rFonts w:cs="Arial"/>
          <w:iCs/>
          <w:szCs w:val="20"/>
          <w:lang w:val="pt-BR"/>
        </w:rPr>
        <w:t xml:space="preserve"> </w:t>
      </w:r>
      <w:r w:rsidR="002C330E" w:rsidRPr="00D5464D">
        <w:rPr>
          <w:rFonts w:cs="Arial"/>
          <w:iCs/>
          <w:szCs w:val="20"/>
          <w:lang w:val="pt-BR"/>
        </w:rPr>
        <w:t>permit</w:t>
      </w:r>
      <w:r w:rsidR="00A66C2A" w:rsidRPr="00D5464D">
        <w:rPr>
          <w:rFonts w:cs="Arial"/>
          <w:iCs/>
          <w:szCs w:val="20"/>
          <w:lang w:val="pt-BR"/>
        </w:rPr>
        <w:t xml:space="preserve">idas pela </w:t>
      </w:r>
      <w:r w:rsidR="004B0842" w:rsidRPr="00D5464D">
        <w:rPr>
          <w:rFonts w:cs="Arial"/>
          <w:iCs/>
          <w:szCs w:val="20"/>
          <w:lang w:val="pt-BR"/>
        </w:rPr>
        <w:t>legisla</w:t>
      </w:r>
      <w:r w:rsidR="00470ADC" w:rsidRPr="00D5464D">
        <w:rPr>
          <w:rFonts w:cs="Arial"/>
          <w:iCs/>
          <w:szCs w:val="20"/>
          <w:lang w:val="pt-BR"/>
        </w:rPr>
        <w:t>ção</w:t>
      </w:r>
      <w:r w:rsidR="00E045D9" w:rsidRPr="00D5464D">
        <w:rPr>
          <w:rFonts w:cs="Arial"/>
          <w:iCs/>
          <w:szCs w:val="20"/>
          <w:lang w:val="pt-BR"/>
        </w:rPr>
        <w:t xml:space="preserve"> e </w:t>
      </w:r>
      <w:r w:rsidR="002C330E" w:rsidRPr="00D5464D">
        <w:rPr>
          <w:rFonts w:cs="Arial"/>
          <w:iCs/>
          <w:szCs w:val="20"/>
          <w:lang w:val="pt-BR"/>
        </w:rPr>
        <w:t>a prática</w:t>
      </w:r>
      <w:r w:rsidR="004B0842" w:rsidRPr="00D5464D">
        <w:rPr>
          <w:rFonts w:cs="Arial"/>
          <w:iCs/>
          <w:szCs w:val="20"/>
          <w:lang w:val="pt-BR"/>
        </w:rPr>
        <w:t xml:space="preserve"> </w:t>
      </w:r>
      <w:r w:rsidR="00470ADC" w:rsidRPr="00D5464D">
        <w:rPr>
          <w:rFonts w:cs="Arial"/>
          <w:iCs/>
          <w:szCs w:val="20"/>
          <w:lang w:val="pt-BR"/>
        </w:rPr>
        <w:t xml:space="preserve">bancária do </w:t>
      </w:r>
      <w:r w:rsidR="004B0842" w:rsidRPr="00D5464D">
        <w:rPr>
          <w:rFonts w:cs="Arial"/>
          <w:iCs/>
          <w:szCs w:val="20"/>
          <w:lang w:val="pt-BR"/>
        </w:rPr>
        <w:t>Estado.</w:t>
      </w:r>
      <w:r w:rsidR="002C330E" w:rsidRPr="00D5464D">
        <w:rPr>
          <w:rFonts w:cs="Arial"/>
          <w:iCs/>
          <w:szCs w:val="20"/>
          <w:lang w:val="pt-BR"/>
        </w:rPr>
        <w:t xml:space="preserve"> </w:t>
      </w:r>
      <w:r w:rsidR="00152D0B" w:rsidRPr="00D5464D">
        <w:rPr>
          <w:rFonts w:cs="Arial"/>
          <w:iCs/>
          <w:szCs w:val="20"/>
          <w:lang w:val="pt-BR"/>
        </w:rPr>
        <w:t xml:space="preserve">Caso a </w:t>
      </w:r>
      <w:r w:rsidR="002C330E" w:rsidRPr="00D5464D">
        <w:rPr>
          <w:rFonts w:cs="Arial"/>
          <w:iCs/>
          <w:szCs w:val="20"/>
          <w:lang w:val="pt-BR"/>
        </w:rPr>
        <w:t>indenização</w:t>
      </w:r>
      <w:r w:rsidR="004B0842" w:rsidRPr="00D5464D">
        <w:rPr>
          <w:rFonts w:cs="Arial"/>
          <w:iCs/>
          <w:szCs w:val="20"/>
          <w:lang w:val="pt-BR"/>
        </w:rPr>
        <w:t xml:space="preserve"> </w:t>
      </w:r>
      <w:r w:rsidR="00470ADC" w:rsidRPr="00D5464D">
        <w:rPr>
          <w:rFonts w:cs="Arial"/>
          <w:iCs/>
          <w:szCs w:val="20"/>
          <w:lang w:val="pt-BR"/>
        </w:rPr>
        <w:t>correspondente</w:t>
      </w:r>
      <w:r w:rsidR="00E045D9" w:rsidRPr="00D5464D">
        <w:rPr>
          <w:rFonts w:cs="Arial"/>
          <w:iCs/>
          <w:szCs w:val="20"/>
          <w:lang w:val="pt-BR"/>
        </w:rPr>
        <w:t xml:space="preserve"> </w:t>
      </w:r>
      <w:r w:rsidR="00152D0B" w:rsidRPr="00D5464D">
        <w:rPr>
          <w:rFonts w:cs="Arial"/>
          <w:iCs/>
          <w:szCs w:val="20"/>
          <w:lang w:val="pt-BR"/>
        </w:rPr>
        <w:t xml:space="preserve">não seja reclamada </w:t>
      </w:r>
      <w:r w:rsidR="00D40EC3" w:rsidRPr="00D5464D">
        <w:rPr>
          <w:rFonts w:cs="Arial"/>
          <w:iCs/>
          <w:szCs w:val="20"/>
          <w:lang w:val="pt-BR"/>
        </w:rPr>
        <w:t>no período de</w:t>
      </w:r>
      <w:r w:rsidR="00470ADC" w:rsidRPr="00D5464D">
        <w:rPr>
          <w:rFonts w:cs="Arial"/>
          <w:iCs/>
          <w:szCs w:val="20"/>
          <w:lang w:val="pt-BR"/>
        </w:rPr>
        <w:t xml:space="preserve"> </w:t>
      </w:r>
      <w:r w:rsidR="00152D0B" w:rsidRPr="00D5464D">
        <w:rPr>
          <w:rFonts w:cs="Arial"/>
          <w:iCs/>
          <w:szCs w:val="20"/>
          <w:lang w:val="pt-BR"/>
        </w:rPr>
        <w:t xml:space="preserve">10 </w:t>
      </w:r>
      <w:r w:rsidR="00470ADC" w:rsidRPr="00D5464D">
        <w:rPr>
          <w:rFonts w:cs="Arial"/>
          <w:iCs/>
          <w:szCs w:val="20"/>
          <w:lang w:val="pt-BR"/>
        </w:rPr>
        <w:t>anos</w:t>
      </w:r>
      <w:r w:rsidR="004B0842" w:rsidRPr="00D5464D">
        <w:rPr>
          <w:rFonts w:cs="Arial"/>
          <w:iCs/>
          <w:szCs w:val="20"/>
          <w:lang w:val="pt-BR"/>
        </w:rPr>
        <w:t>,</w:t>
      </w:r>
      <w:r w:rsidR="002C330E" w:rsidRPr="00D5464D">
        <w:rPr>
          <w:rFonts w:cs="Arial"/>
          <w:iCs/>
          <w:szCs w:val="20"/>
          <w:lang w:val="pt-BR"/>
        </w:rPr>
        <w:t xml:space="preserve"> as </w:t>
      </w:r>
      <w:r w:rsidR="00470ADC" w:rsidRPr="00D5464D">
        <w:rPr>
          <w:rFonts w:cs="Arial"/>
          <w:iCs/>
          <w:szCs w:val="20"/>
          <w:lang w:val="pt-BR"/>
        </w:rPr>
        <w:t>quantias</w:t>
      </w:r>
      <w:r w:rsidR="004B0842" w:rsidRPr="00D5464D">
        <w:rPr>
          <w:rFonts w:cs="Arial"/>
          <w:iCs/>
          <w:szCs w:val="20"/>
          <w:lang w:val="pt-BR"/>
        </w:rPr>
        <w:t xml:space="preserve"> </w:t>
      </w:r>
      <w:r w:rsidR="002C330E" w:rsidRPr="00D5464D">
        <w:rPr>
          <w:rFonts w:cs="Arial"/>
          <w:iCs/>
          <w:szCs w:val="20"/>
          <w:lang w:val="pt-BR"/>
        </w:rPr>
        <w:t>serão</w:t>
      </w:r>
      <w:r w:rsidR="004B0842" w:rsidRPr="00D5464D">
        <w:rPr>
          <w:rFonts w:cs="Arial"/>
          <w:iCs/>
          <w:szCs w:val="20"/>
          <w:lang w:val="pt-BR"/>
        </w:rPr>
        <w:t xml:space="preserve"> </w:t>
      </w:r>
      <w:r w:rsidR="00470ADC" w:rsidRPr="00D5464D">
        <w:rPr>
          <w:rFonts w:cs="Arial"/>
          <w:iCs/>
          <w:szCs w:val="20"/>
          <w:lang w:val="pt-BR"/>
        </w:rPr>
        <w:t>devolvida</w:t>
      </w:r>
      <w:r w:rsidR="004B0842" w:rsidRPr="00D5464D">
        <w:rPr>
          <w:rFonts w:cs="Arial"/>
          <w:iCs/>
          <w:szCs w:val="20"/>
          <w:lang w:val="pt-BR"/>
        </w:rPr>
        <w:t>s</w:t>
      </w:r>
      <w:r w:rsidR="00470ADC" w:rsidRPr="00D5464D">
        <w:rPr>
          <w:rFonts w:cs="Arial"/>
          <w:iCs/>
          <w:szCs w:val="20"/>
          <w:lang w:val="pt-BR"/>
        </w:rPr>
        <w:t xml:space="preserve"> ao </w:t>
      </w:r>
      <w:r w:rsidR="004B0842" w:rsidRPr="00D5464D">
        <w:rPr>
          <w:rFonts w:cs="Arial"/>
          <w:iCs/>
          <w:szCs w:val="20"/>
          <w:lang w:val="pt-BR"/>
        </w:rPr>
        <w:t>Estado</w:t>
      </w:r>
      <w:r w:rsidR="00470ADC" w:rsidRPr="00D5464D">
        <w:rPr>
          <w:rFonts w:cs="Arial"/>
          <w:iCs/>
          <w:szCs w:val="20"/>
          <w:lang w:val="pt-BR"/>
        </w:rPr>
        <w:t xml:space="preserve"> com</w:t>
      </w:r>
      <w:r w:rsidR="002C330E" w:rsidRPr="00D5464D">
        <w:rPr>
          <w:rFonts w:cs="Arial"/>
          <w:iCs/>
          <w:szCs w:val="20"/>
          <w:lang w:val="pt-BR"/>
        </w:rPr>
        <w:t xml:space="preserve"> os </w:t>
      </w:r>
      <w:r w:rsidR="00350187" w:rsidRPr="00D5464D">
        <w:rPr>
          <w:rFonts w:cs="Arial"/>
          <w:iCs/>
          <w:szCs w:val="20"/>
          <w:lang w:val="pt-BR"/>
        </w:rPr>
        <w:t xml:space="preserve">juros </w:t>
      </w:r>
      <w:r w:rsidR="00152D0B" w:rsidRPr="00D5464D">
        <w:rPr>
          <w:rFonts w:cs="Arial"/>
          <w:iCs/>
          <w:szCs w:val="20"/>
          <w:lang w:val="pt-BR"/>
        </w:rPr>
        <w:t>devidos</w:t>
      </w:r>
      <w:r w:rsidR="004B0842" w:rsidRPr="00D5464D">
        <w:rPr>
          <w:rFonts w:cs="Arial"/>
          <w:iCs/>
          <w:szCs w:val="20"/>
          <w:lang w:val="pt-BR"/>
        </w:rPr>
        <w:t>.</w:t>
      </w:r>
    </w:p>
    <w:p w14:paraId="523870B9" w14:textId="77777777" w:rsidR="00E94DEB" w:rsidRPr="00D5464D" w:rsidRDefault="00E94DEB" w:rsidP="00E94DEB">
      <w:pPr>
        <w:pStyle w:val="Prrafodelista"/>
        <w:autoSpaceDE w:val="0"/>
        <w:autoSpaceDN w:val="0"/>
        <w:adjustRightInd w:val="0"/>
        <w:ind w:left="0"/>
        <w:rPr>
          <w:rFonts w:cs="Arial"/>
          <w:iCs/>
          <w:szCs w:val="20"/>
          <w:lang w:val="pt-BR"/>
        </w:rPr>
      </w:pPr>
    </w:p>
    <w:p w14:paraId="7DE92C50" w14:textId="0E62A32C" w:rsidR="004B0842" w:rsidRPr="00D5464D" w:rsidRDefault="00152D0B" w:rsidP="001425E4">
      <w:pPr>
        <w:pStyle w:val="Prrafodelista"/>
        <w:numPr>
          <w:ilvl w:val="0"/>
          <w:numId w:val="1"/>
        </w:numPr>
        <w:autoSpaceDE w:val="0"/>
        <w:autoSpaceDN w:val="0"/>
        <w:adjustRightInd w:val="0"/>
        <w:rPr>
          <w:rFonts w:cs="Arial"/>
          <w:iCs/>
          <w:szCs w:val="20"/>
          <w:lang w:val="pt-BR"/>
        </w:rPr>
      </w:pPr>
      <w:r w:rsidRPr="00D5464D">
        <w:rPr>
          <w:rFonts w:cs="Arial"/>
          <w:iCs/>
          <w:szCs w:val="20"/>
          <w:lang w:val="pt-BR"/>
        </w:rPr>
        <w:t xml:space="preserve">Os montantes determinados na </w:t>
      </w:r>
      <w:r w:rsidR="004B0842" w:rsidRPr="00D5464D">
        <w:rPr>
          <w:rFonts w:cs="Arial"/>
          <w:iCs/>
          <w:szCs w:val="20"/>
          <w:lang w:val="pt-BR"/>
        </w:rPr>
        <w:t xml:space="preserve">presente </w:t>
      </w:r>
      <w:r w:rsidR="002C330E" w:rsidRPr="00D5464D">
        <w:rPr>
          <w:rFonts w:cs="Arial"/>
          <w:iCs/>
          <w:szCs w:val="20"/>
          <w:lang w:val="pt-BR"/>
        </w:rPr>
        <w:t>Sentença</w:t>
      </w:r>
      <w:r w:rsidR="004B0842" w:rsidRPr="00D5464D">
        <w:rPr>
          <w:rFonts w:cs="Arial"/>
          <w:iCs/>
          <w:szCs w:val="20"/>
          <w:lang w:val="pt-BR"/>
        </w:rPr>
        <w:t xml:space="preserve"> como </w:t>
      </w:r>
      <w:r w:rsidR="002C330E" w:rsidRPr="00D5464D">
        <w:rPr>
          <w:rFonts w:cs="Arial"/>
          <w:iCs/>
          <w:szCs w:val="20"/>
          <w:lang w:val="pt-BR"/>
        </w:rPr>
        <w:t>indenização</w:t>
      </w:r>
      <w:r w:rsidR="004B0842" w:rsidRPr="00D5464D">
        <w:rPr>
          <w:rFonts w:cs="Arial"/>
          <w:iCs/>
          <w:szCs w:val="20"/>
          <w:lang w:val="pt-BR"/>
        </w:rPr>
        <w:t xml:space="preserve"> por</w:t>
      </w:r>
      <w:r w:rsidR="00470ADC" w:rsidRPr="00D5464D">
        <w:rPr>
          <w:rFonts w:cs="Arial"/>
          <w:iCs/>
          <w:szCs w:val="20"/>
          <w:lang w:val="pt-BR"/>
        </w:rPr>
        <w:t xml:space="preserve"> dano</w:t>
      </w:r>
      <w:r w:rsidR="004B0842" w:rsidRPr="00D5464D">
        <w:rPr>
          <w:rFonts w:cs="Arial"/>
          <w:iCs/>
          <w:szCs w:val="20"/>
          <w:lang w:val="pt-BR"/>
        </w:rPr>
        <w:t xml:space="preserve"> </w:t>
      </w:r>
      <w:r w:rsidR="002C330E" w:rsidRPr="00D5464D">
        <w:rPr>
          <w:rFonts w:cs="Arial"/>
          <w:iCs/>
          <w:szCs w:val="20"/>
          <w:lang w:val="pt-BR"/>
        </w:rPr>
        <w:t>imaterial</w:t>
      </w:r>
      <w:r w:rsidR="00470ADC" w:rsidRPr="00D5464D">
        <w:rPr>
          <w:rFonts w:cs="Arial"/>
          <w:iCs/>
          <w:szCs w:val="20"/>
          <w:lang w:val="pt-BR"/>
        </w:rPr>
        <w:t xml:space="preserve"> e</w:t>
      </w:r>
      <w:r w:rsidR="004B0842" w:rsidRPr="00D5464D">
        <w:rPr>
          <w:rFonts w:cs="Arial"/>
          <w:iCs/>
          <w:szCs w:val="20"/>
          <w:lang w:val="pt-BR"/>
        </w:rPr>
        <w:t xml:space="preserve"> como </w:t>
      </w:r>
      <w:r w:rsidR="00A1358C" w:rsidRPr="00D5464D">
        <w:rPr>
          <w:rFonts w:cs="Arial"/>
          <w:iCs/>
          <w:szCs w:val="20"/>
          <w:lang w:val="pt-BR"/>
        </w:rPr>
        <w:t xml:space="preserve">reembolso </w:t>
      </w:r>
      <w:r w:rsidR="004B0842" w:rsidRPr="00D5464D">
        <w:rPr>
          <w:rFonts w:cs="Arial"/>
          <w:iCs/>
          <w:szCs w:val="20"/>
          <w:lang w:val="pt-BR"/>
        </w:rPr>
        <w:t xml:space="preserve">de </w:t>
      </w:r>
      <w:r w:rsidR="00470ADC" w:rsidRPr="00D5464D">
        <w:rPr>
          <w:rFonts w:cs="Arial"/>
          <w:iCs/>
          <w:szCs w:val="20"/>
          <w:lang w:val="pt-BR"/>
        </w:rPr>
        <w:t>custas</w:t>
      </w:r>
      <w:r w:rsidR="00E045D9" w:rsidRPr="00D5464D">
        <w:rPr>
          <w:rFonts w:cs="Arial"/>
          <w:iCs/>
          <w:szCs w:val="20"/>
          <w:lang w:val="pt-BR"/>
        </w:rPr>
        <w:t xml:space="preserve"> e </w:t>
      </w:r>
      <w:r w:rsidR="004B0842" w:rsidRPr="00D5464D">
        <w:rPr>
          <w:rFonts w:cs="Arial"/>
          <w:iCs/>
          <w:szCs w:val="20"/>
          <w:lang w:val="pt-BR"/>
        </w:rPr>
        <w:t xml:space="preserve">gastos </w:t>
      </w:r>
      <w:r w:rsidR="00470ADC" w:rsidRPr="00D5464D">
        <w:rPr>
          <w:rFonts w:cs="Arial"/>
          <w:iCs/>
          <w:szCs w:val="20"/>
          <w:lang w:val="pt-BR"/>
        </w:rPr>
        <w:t>deverão</w:t>
      </w:r>
      <w:r w:rsidR="004B0842" w:rsidRPr="00D5464D">
        <w:rPr>
          <w:rFonts w:cs="Arial"/>
          <w:iCs/>
          <w:szCs w:val="20"/>
          <w:lang w:val="pt-BR"/>
        </w:rPr>
        <w:t xml:space="preserve"> ser entreg</w:t>
      </w:r>
      <w:r w:rsidRPr="00D5464D">
        <w:rPr>
          <w:rFonts w:cs="Arial"/>
          <w:iCs/>
          <w:szCs w:val="20"/>
          <w:lang w:val="pt-BR"/>
        </w:rPr>
        <w:t xml:space="preserve">ues </w:t>
      </w:r>
      <w:r w:rsidR="00E045D9" w:rsidRPr="00D5464D">
        <w:rPr>
          <w:rFonts w:cs="Arial"/>
          <w:iCs/>
          <w:szCs w:val="20"/>
          <w:lang w:val="pt-BR"/>
        </w:rPr>
        <w:t xml:space="preserve">às </w:t>
      </w:r>
      <w:r w:rsidR="002C330E" w:rsidRPr="00D5464D">
        <w:rPr>
          <w:rFonts w:cs="Arial"/>
          <w:iCs/>
          <w:szCs w:val="20"/>
          <w:lang w:val="pt-BR"/>
        </w:rPr>
        <w:t>pessoa</w:t>
      </w:r>
      <w:r w:rsidR="004B0842" w:rsidRPr="00D5464D">
        <w:rPr>
          <w:rFonts w:cs="Arial"/>
          <w:iCs/>
          <w:szCs w:val="20"/>
          <w:lang w:val="pt-BR"/>
        </w:rPr>
        <w:t xml:space="preserve">s </w:t>
      </w:r>
      <w:r w:rsidRPr="00D5464D">
        <w:rPr>
          <w:rFonts w:cs="Arial"/>
          <w:iCs/>
          <w:szCs w:val="20"/>
          <w:lang w:val="pt-BR"/>
        </w:rPr>
        <w:t xml:space="preserve">e organizações </w:t>
      </w:r>
      <w:r w:rsidR="004B0842" w:rsidRPr="00D5464D">
        <w:rPr>
          <w:rFonts w:cs="Arial"/>
          <w:iCs/>
          <w:szCs w:val="20"/>
          <w:lang w:val="pt-BR"/>
        </w:rPr>
        <w:t>indicadas</w:t>
      </w:r>
      <w:r w:rsidR="00470ADC" w:rsidRPr="00D5464D">
        <w:rPr>
          <w:rFonts w:cs="Arial"/>
          <w:iCs/>
          <w:szCs w:val="20"/>
          <w:lang w:val="pt-BR"/>
        </w:rPr>
        <w:t xml:space="preserve"> </w:t>
      </w:r>
      <w:r w:rsidRPr="00D5464D">
        <w:rPr>
          <w:rFonts w:cs="Arial"/>
          <w:iCs/>
          <w:szCs w:val="20"/>
          <w:lang w:val="pt-BR"/>
        </w:rPr>
        <w:t xml:space="preserve">de maneira </w:t>
      </w:r>
      <w:r w:rsidR="00350187" w:rsidRPr="00D5464D">
        <w:rPr>
          <w:rFonts w:cs="Arial"/>
          <w:iCs/>
          <w:szCs w:val="20"/>
          <w:lang w:val="pt-BR"/>
        </w:rPr>
        <w:t>integral</w:t>
      </w:r>
      <w:r w:rsidR="004B0842" w:rsidRPr="00D5464D">
        <w:rPr>
          <w:rFonts w:cs="Arial"/>
          <w:iCs/>
          <w:szCs w:val="20"/>
          <w:lang w:val="pt-BR"/>
        </w:rPr>
        <w:t>, conforme</w:t>
      </w:r>
      <w:r w:rsidR="00470ADC" w:rsidRPr="00D5464D">
        <w:rPr>
          <w:rFonts w:cs="Arial"/>
          <w:iCs/>
          <w:szCs w:val="20"/>
          <w:lang w:val="pt-BR"/>
        </w:rPr>
        <w:t xml:space="preserve"> </w:t>
      </w:r>
      <w:r w:rsidRPr="00D5464D">
        <w:rPr>
          <w:rFonts w:cs="Arial"/>
          <w:iCs/>
          <w:szCs w:val="20"/>
          <w:lang w:val="pt-BR"/>
        </w:rPr>
        <w:t xml:space="preserve">disposto </w:t>
      </w:r>
      <w:r w:rsidR="00C91CB1" w:rsidRPr="00D5464D">
        <w:rPr>
          <w:rFonts w:cs="Arial"/>
          <w:iCs/>
          <w:szCs w:val="20"/>
          <w:lang w:val="pt-BR"/>
        </w:rPr>
        <w:t>nesta decisão</w:t>
      </w:r>
      <w:r w:rsidR="004B0842" w:rsidRPr="00D5464D">
        <w:rPr>
          <w:rFonts w:cs="Arial"/>
          <w:iCs/>
          <w:szCs w:val="20"/>
          <w:lang w:val="pt-BR"/>
        </w:rPr>
        <w:t>,</w:t>
      </w:r>
      <w:r w:rsidR="002C330E" w:rsidRPr="00D5464D">
        <w:rPr>
          <w:rFonts w:cs="Arial"/>
          <w:iCs/>
          <w:szCs w:val="20"/>
          <w:lang w:val="pt-BR"/>
        </w:rPr>
        <w:t xml:space="preserve"> sem </w:t>
      </w:r>
      <w:r w:rsidR="00A1358C" w:rsidRPr="00D5464D">
        <w:rPr>
          <w:rFonts w:cs="Arial"/>
          <w:iCs/>
          <w:szCs w:val="20"/>
          <w:lang w:val="pt-BR"/>
        </w:rPr>
        <w:t>reduções</w:t>
      </w:r>
      <w:r w:rsidR="004B0842" w:rsidRPr="00D5464D">
        <w:rPr>
          <w:rFonts w:cs="Arial"/>
          <w:iCs/>
          <w:szCs w:val="20"/>
          <w:lang w:val="pt-BR"/>
        </w:rPr>
        <w:t xml:space="preserve"> </w:t>
      </w:r>
      <w:r w:rsidRPr="00D5464D">
        <w:rPr>
          <w:rFonts w:cs="Arial"/>
          <w:iCs/>
          <w:szCs w:val="20"/>
          <w:lang w:val="pt-BR"/>
        </w:rPr>
        <w:t xml:space="preserve">decorrentes </w:t>
      </w:r>
      <w:r w:rsidR="004B0842" w:rsidRPr="00D5464D">
        <w:rPr>
          <w:rFonts w:cs="Arial"/>
          <w:iCs/>
          <w:szCs w:val="20"/>
          <w:lang w:val="pt-BR"/>
        </w:rPr>
        <w:t xml:space="preserve">de </w:t>
      </w:r>
      <w:r w:rsidR="00470ADC" w:rsidRPr="00D5464D">
        <w:rPr>
          <w:rFonts w:cs="Arial"/>
          <w:iCs/>
          <w:szCs w:val="20"/>
          <w:lang w:val="pt-BR"/>
        </w:rPr>
        <w:t>eventuais</w:t>
      </w:r>
      <w:r w:rsidR="004B0842" w:rsidRPr="00D5464D">
        <w:rPr>
          <w:rFonts w:cs="Arial"/>
          <w:iCs/>
          <w:szCs w:val="20"/>
          <w:lang w:val="pt-BR"/>
        </w:rPr>
        <w:t xml:space="preserve"> </w:t>
      </w:r>
      <w:r w:rsidRPr="00D5464D">
        <w:rPr>
          <w:rFonts w:cs="Arial"/>
          <w:iCs/>
          <w:szCs w:val="20"/>
          <w:lang w:val="pt-BR"/>
        </w:rPr>
        <w:t xml:space="preserve">ônus </w:t>
      </w:r>
      <w:r w:rsidR="00C91CB1" w:rsidRPr="00D5464D">
        <w:rPr>
          <w:rFonts w:cs="Arial"/>
          <w:iCs/>
          <w:szCs w:val="20"/>
          <w:lang w:val="pt-BR"/>
        </w:rPr>
        <w:t>fiscais</w:t>
      </w:r>
      <w:r w:rsidR="004B0842" w:rsidRPr="00D5464D">
        <w:rPr>
          <w:rFonts w:cs="Arial"/>
          <w:iCs/>
          <w:szCs w:val="20"/>
          <w:lang w:val="pt-BR"/>
        </w:rPr>
        <w:t xml:space="preserve">. </w:t>
      </w:r>
    </w:p>
    <w:p w14:paraId="7555E90A" w14:textId="77777777" w:rsidR="006878A8" w:rsidRPr="00D5464D" w:rsidRDefault="006878A8" w:rsidP="00F74CCF">
      <w:pPr>
        <w:pStyle w:val="Prrafodelista"/>
        <w:rPr>
          <w:rFonts w:cs="Arial"/>
          <w:iCs/>
          <w:szCs w:val="20"/>
          <w:lang w:val="pt-BR"/>
        </w:rPr>
      </w:pPr>
    </w:p>
    <w:p w14:paraId="7BDA0C68" w14:textId="7A26C754" w:rsidR="001156BC" w:rsidRPr="00D5464D" w:rsidRDefault="00EB1CE9" w:rsidP="001156BC">
      <w:pPr>
        <w:pStyle w:val="Prrafodelista"/>
        <w:numPr>
          <w:ilvl w:val="0"/>
          <w:numId w:val="1"/>
        </w:numPr>
        <w:autoSpaceDE w:val="0"/>
        <w:autoSpaceDN w:val="0"/>
        <w:adjustRightInd w:val="0"/>
        <w:rPr>
          <w:rFonts w:cs="Arial"/>
          <w:iCs/>
          <w:szCs w:val="20"/>
          <w:lang w:val="pt-BR"/>
        </w:rPr>
      </w:pPr>
      <w:r w:rsidRPr="00D5464D">
        <w:rPr>
          <w:spacing w:val="-2"/>
          <w:lang w:val="pt-BR"/>
        </w:rPr>
        <w:t>Caso o Estado incorra</w:t>
      </w:r>
      <w:r w:rsidR="00470ADC" w:rsidRPr="00D5464D">
        <w:rPr>
          <w:spacing w:val="-2"/>
          <w:lang w:val="pt-BR"/>
        </w:rPr>
        <w:t xml:space="preserve"> em </w:t>
      </w:r>
      <w:r w:rsidR="006878A8" w:rsidRPr="00D5464D">
        <w:rPr>
          <w:spacing w:val="-2"/>
          <w:lang w:val="pt-BR"/>
        </w:rPr>
        <w:t>mora</w:t>
      </w:r>
      <w:r w:rsidR="006878A8" w:rsidRPr="00D5464D">
        <w:rPr>
          <w:rFonts w:cs="Verdana"/>
          <w:spacing w:val="-2"/>
          <w:lang w:val="pt-BR"/>
        </w:rPr>
        <w:t xml:space="preserve">, </w:t>
      </w:r>
      <w:r w:rsidR="00470ADC" w:rsidRPr="00D5464D">
        <w:rPr>
          <w:spacing w:val="-2"/>
          <w:lang w:val="pt-BR"/>
        </w:rPr>
        <w:t>dever</w:t>
      </w:r>
      <w:r w:rsidR="006878A8" w:rsidRPr="00D5464D">
        <w:rPr>
          <w:spacing w:val="-2"/>
          <w:lang w:val="pt-BR"/>
        </w:rPr>
        <w:t>á pagar</w:t>
      </w:r>
      <w:r w:rsidR="00E045D9" w:rsidRPr="00D5464D">
        <w:rPr>
          <w:spacing w:val="-2"/>
          <w:lang w:val="pt-BR"/>
        </w:rPr>
        <w:t xml:space="preserve"> </w:t>
      </w:r>
      <w:r w:rsidR="00152D0B" w:rsidRPr="00D5464D">
        <w:rPr>
          <w:spacing w:val="-2"/>
          <w:lang w:val="pt-BR"/>
        </w:rPr>
        <w:t xml:space="preserve">juros </w:t>
      </w:r>
      <w:r w:rsidR="006878A8" w:rsidRPr="00D5464D">
        <w:rPr>
          <w:spacing w:val="-2"/>
          <w:lang w:val="pt-BR"/>
        </w:rPr>
        <w:t>sobre</w:t>
      </w:r>
      <w:r w:rsidR="002C330E" w:rsidRPr="00D5464D">
        <w:rPr>
          <w:spacing w:val="-2"/>
          <w:lang w:val="pt-BR"/>
        </w:rPr>
        <w:t xml:space="preserve"> </w:t>
      </w:r>
      <w:r w:rsidR="00152D0B" w:rsidRPr="00D5464D">
        <w:rPr>
          <w:spacing w:val="-2"/>
          <w:lang w:val="pt-BR"/>
        </w:rPr>
        <w:t xml:space="preserve">o montante </w:t>
      </w:r>
      <w:r w:rsidR="00350187" w:rsidRPr="00D5464D">
        <w:rPr>
          <w:spacing w:val="-2"/>
          <w:lang w:val="pt-BR"/>
        </w:rPr>
        <w:t>devid</w:t>
      </w:r>
      <w:r w:rsidR="00152D0B" w:rsidRPr="00D5464D">
        <w:rPr>
          <w:spacing w:val="-2"/>
          <w:lang w:val="pt-BR"/>
        </w:rPr>
        <w:t>o</w:t>
      </w:r>
      <w:r w:rsidR="006878A8" w:rsidRPr="00D5464D">
        <w:rPr>
          <w:spacing w:val="-2"/>
          <w:lang w:val="pt-BR"/>
        </w:rPr>
        <w:t xml:space="preserve">, </w:t>
      </w:r>
      <w:r w:rsidR="00470ADC" w:rsidRPr="00D5464D">
        <w:rPr>
          <w:spacing w:val="-2"/>
          <w:lang w:val="pt-BR"/>
        </w:rPr>
        <w:t>correspondente</w:t>
      </w:r>
      <w:r w:rsidR="00152D0B" w:rsidRPr="00D5464D">
        <w:rPr>
          <w:spacing w:val="-2"/>
          <w:lang w:val="pt-BR"/>
        </w:rPr>
        <w:t>s</w:t>
      </w:r>
      <w:r w:rsidR="00470ADC" w:rsidRPr="00D5464D">
        <w:rPr>
          <w:spacing w:val="-2"/>
          <w:lang w:val="pt-BR"/>
        </w:rPr>
        <w:t xml:space="preserve"> ao</w:t>
      </w:r>
      <w:r w:rsidR="00152D0B" w:rsidRPr="00D5464D">
        <w:rPr>
          <w:spacing w:val="-2"/>
          <w:lang w:val="pt-BR"/>
        </w:rPr>
        <w:t>s</w:t>
      </w:r>
      <w:r w:rsidR="00470ADC" w:rsidRPr="00D5464D">
        <w:rPr>
          <w:spacing w:val="-2"/>
          <w:lang w:val="pt-BR"/>
        </w:rPr>
        <w:t xml:space="preserve"> </w:t>
      </w:r>
      <w:r w:rsidR="00350187" w:rsidRPr="00D5464D">
        <w:rPr>
          <w:spacing w:val="-2"/>
          <w:lang w:val="pt-BR"/>
        </w:rPr>
        <w:t>juro</w:t>
      </w:r>
      <w:r w:rsidR="00152D0B" w:rsidRPr="00D5464D">
        <w:rPr>
          <w:spacing w:val="-2"/>
          <w:lang w:val="pt-BR"/>
        </w:rPr>
        <w:t>s</w:t>
      </w:r>
      <w:r w:rsidR="00350187" w:rsidRPr="00D5464D">
        <w:rPr>
          <w:spacing w:val="-2"/>
          <w:lang w:val="pt-BR"/>
        </w:rPr>
        <w:t xml:space="preserve"> bancário</w:t>
      </w:r>
      <w:r w:rsidR="00152D0B" w:rsidRPr="00D5464D">
        <w:rPr>
          <w:spacing w:val="-2"/>
          <w:lang w:val="pt-BR"/>
        </w:rPr>
        <w:t>s</w:t>
      </w:r>
      <w:r w:rsidR="00C91CB1" w:rsidRPr="00D5464D">
        <w:rPr>
          <w:spacing w:val="-2"/>
          <w:lang w:val="pt-BR"/>
        </w:rPr>
        <w:t xml:space="preserve"> </w:t>
      </w:r>
      <w:r w:rsidR="00152D0B" w:rsidRPr="00D5464D">
        <w:rPr>
          <w:spacing w:val="-2"/>
          <w:lang w:val="pt-BR"/>
        </w:rPr>
        <w:t xml:space="preserve">de mora </w:t>
      </w:r>
      <w:r w:rsidR="00E045D9" w:rsidRPr="00D5464D">
        <w:rPr>
          <w:spacing w:val="-2"/>
          <w:lang w:val="pt-BR"/>
        </w:rPr>
        <w:t xml:space="preserve">na </w:t>
      </w:r>
      <w:r w:rsidR="006878A8" w:rsidRPr="00D5464D">
        <w:rPr>
          <w:spacing w:val="-2"/>
          <w:lang w:val="pt-BR"/>
        </w:rPr>
        <w:t xml:space="preserve">República </w:t>
      </w:r>
      <w:r w:rsidR="00470ADC" w:rsidRPr="00D5464D">
        <w:rPr>
          <w:spacing w:val="-2"/>
          <w:lang w:val="pt-BR"/>
        </w:rPr>
        <w:t>Federativa do Brasil</w:t>
      </w:r>
      <w:r w:rsidR="006878A8" w:rsidRPr="00D5464D">
        <w:rPr>
          <w:spacing w:val="-2"/>
          <w:lang w:val="pt-BR"/>
        </w:rPr>
        <w:t>.</w:t>
      </w:r>
    </w:p>
    <w:p w14:paraId="771AE1A5" w14:textId="77777777" w:rsidR="001156BC" w:rsidRPr="00D5464D" w:rsidRDefault="001156BC" w:rsidP="001156BC">
      <w:pPr>
        <w:pStyle w:val="Prrafodelista2"/>
        <w:ind w:left="0" w:right="-90"/>
        <w:contextualSpacing/>
        <w:rPr>
          <w:lang w:val="pt-BR"/>
        </w:rPr>
      </w:pPr>
    </w:p>
    <w:p w14:paraId="329D167F" w14:textId="3268F711" w:rsidR="00702C18" w:rsidRPr="00D5464D" w:rsidRDefault="00702C18" w:rsidP="00702C18">
      <w:pPr>
        <w:keepNext/>
        <w:keepLines/>
        <w:tabs>
          <w:tab w:val="left" w:pos="851"/>
        </w:tabs>
        <w:jc w:val="center"/>
        <w:outlineLvl w:val="0"/>
        <w:rPr>
          <w:rFonts w:eastAsia="Cambria" w:cs="Verdana"/>
          <w:b/>
          <w:bCs/>
          <w:caps/>
          <w:snapToGrid w:val="0"/>
          <w:kern w:val="32"/>
          <w:szCs w:val="20"/>
          <w:lang w:val="pt-BR"/>
        </w:rPr>
      </w:pPr>
      <w:bookmarkStart w:id="490" w:name="_Toc375517156"/>
      <w:bookmarkStart w:id="491" w:name="_Toc459158160"/>
      <w:bookmarkStart w:id="492" w:name="_Toc468433960"/>
      <w:r w:rsidRPr="00D5464D">
        <w:rPr>
          <w:rFonts w:eastAsia="Cambria" w:cs="Verdana"/>
          <w:b/>
          <w:bCs/>
          <w:caps/>
          <w:snapToGrid w:val="0"/>
          <w:kern w:val="32"/>
          <w:szCs w:val="20"/>
          <w:lang w:val="pt-BR"/>
        </w:rPr>
        <w:t>X</w:t>
      </w:r>
      <w:r w:rsidRPr="00D5464D">
        <w:rPr>
          <w:rFonts w:eastAsia="Cambria" w:cs="Verdana"/>
          <w:b/>
          <w:bCs/>
          <w:caps/>
          <w:snapToGrid w:val="0"/>
          <w:kern w:val="32"/>
          <w:szCs w:val="20"/>
          <w:lang w:val="pt-BR"/>
        </w:rPr>
        <w:br/>
      </w:r>
      <w:r w:rsidR="002C330E" w:rsidRPr="00D5464D">
        <w:rPr>
          <w:rFonts w:eastAsia="Cambria" w:cs="Verdana"/>
          <w:b/>
          <w:bCs/>
          <w:caps/>
          <w:snapToGrid w:val="0"/>
          <w:kern w:val="32"/>
          <w:szCs w:val="20"/>
          <w:lang w:val="pt-BR"/>
        </w:rPr>
        <w:t>PONTOS</w:t>
      </w:r>
      <w:r w:rsidRPr="00D5464D">
        <w:rPr>
          <w:rFonts w:eastAsia="Cambria" w:cs="Verdana"/>
          <w:b/>
          <w:bCs/>
          <w:caps/>
          <w:snapToGrid w:val="0"/>
          <w:kern w:val="32"/>
          <w:szCs w:val="20"/>
          <w:lang w:val="pt-BR"/>
        </w:rPr>
        <w:t xml:space="preserve"> RESOLUTIVOS</w:t>
      </w:r>
      <w:bookmarkEnd w:id="490"/>
      <w:bookmarkEnd w:id="491"/>
      <w:bookmarkEnd w:id="492"/>
    </w:p>
    <w:p w14:paraId="4F74DE8B" w14:textId="77777777" w:rsidR="00702C18" w:rsidRPr="00D5464D" w:rsidRDefault="00702C18" w:rsidP="00702C18">
      <w:pPr>
        <w:tabs>
          <w:tab w:val="clear" w:pos="4419"/>
          <w:tab w:val="clear" w:pos="8838"/>
        </w:tabs>
        <w:ind w:left="720" w:right="-90"/>
        <w:contextualSpacing/>
        <w:rPr>
          <w:rFonts w:eastAsia="MS Mincho" w:cs="Times New Roman"/>
          <w:szCs w:val="20"/>
          <w:lang w:val="pt-BR" w:bidi="en-US"/>
        </w:rPr>
      </w:pPr>
    </w:p>
    <w:p w14:paraId="518A51F9" w14:textId="760C36D3" w:rsidR="00702C18" w:rsidRPr="00D5464D" w:rsidRDefault="00230C71" w:rsidP="00F306D7">
      <w:pPr>
        <w:numPr>
          <w:ilvl w:val="0"/>
          <w:numId w:val="25"/>
        </w:numPr>
        <w:tabs>
          <w:tab w:val="clear" w:pos="4419"/>
          <w:tab w:val="clear" w:pos="8838"/>
          <w:tab w:val="left" w:pos="0"/>
        </w:tabs>
        <w:ind w:left="0" w:right="-90" w:firstLine="0"/>
        <w:jc w:val="both"/>
        <w:rPr>
          <w:rFonts w:eastAsia="MS Mincho" w:cs="Times New Roman"/>
          <w:szCs w:val="20"/>
          <w:lang w:val="pt-BR" w:bidi="en-US"/>
        </w:rPr>
      </w:pPr>
      <w:r w:rsidRPr="00D5464D">
        <w:rPr>
          <w:rFonts w:eastAsia="MS Mincho" w:cs="Times New Roman"/>
          <w:szCs w:val="20"/>
          <w:lang w:val="pt-BR" w:bidi="en-US"/>
        </w:rPr>
        <w:t>Portanto,</w:t>
      </w:r>
      <w:r w:rsidR="00702C18" w:rsidRPr="00D5464D">
        <w:rPr>
          <w:rFonts w:eastAsia="MS Mincho" w:cs="Times New Roman"/>
          <w:szCs w:val="20"/>
          <w:lang w:val="pt-BR" w:bidi="en-US"/>
        </w:rPr>
        <w:t xml:space="preserve"> </w:t>
      </w:r>
    </w:p>
    <w:p w14:paraId="0435AAC8" w14:textId="02171EAB" w:rsidR="00702C18" w:rsidRPr="00D5464D" w:rsidRDefault="00470ADC" w:rsidP="00702C18">
      <w:pPr>
        <w:tabs>
          <w:tab w:val="clear" w:pos="4419"/>
          <w:tab w:val="clear" w:pos="8838"/>
          <w:tab w:val="left" w:pos="720"/>
        </w:tabs>
        <w:ind w:right="-90"/>
        <w:contextualSpacing/>
        <w:rPr>
          <w:rFonts w:eastAsia="MS Mincho" w:cs="Times New Roman"/>
          <w:szCs w:val="20"/>
          <w:lang w:val="pt-BR" w:bidi="en-US"/>
        </w:rPr>
      </w:pPr>
      <w:r w:rsidRPr="00D5464D">
        <w:rPr>
          <w:rFonts w:eastAsia="MS Mincho" w:cs="Times New Roman"/>
          <w:szCs w:val="20"/>
          <w:lang w:val="pt-BR" w:bidi="en-US"/>
        </w:rPr>
        <w:cr/>
        <w:t xml:space="preserve">A </w:t>
      </w:r>
      <w:r w:rsidR="00702C18" w:rsidRPr="00D5464D">
        <w:rPr>
          <w:rFonts w:eastAsia="MS Mincho" w:cs="Times New Roman"/>
          <w:b/>
          <w:bCs/>
          <w:szCs w:val="20"/>
          <w:lang w:val="pt-BR" w:bidi="en-US"/>
        </w:rPr>
        <w:t xml:space="preserve">CORTE </w:t>
      </w:r>
    </w:p>
    <w:p w14:paraId="19E567D7" w14:textId="77777777" w:rsidR="00702C18" w:rsidRPr="00D5464D" w:rsidRDefault="00702C18" w:rsidP="00702C18">
      <w:pPr>
        <w:tabs>
          <w:tab w:val="clear" w:pos="4419"/>
          <w:tab w:val="clear" w:pos="8838"/>
          <w:tab w:val="left" w:pos="720"/>
        </w:tabs>
        <w:ind w:right="-90"/>
        <w:contextualSpacing/>
        <w:rPr>
          <w:rFonts w:eastAsia="MS Mincho" w:cs="Times New Roman"/>
          <w:szCs w:val="20"/>
          <w:lang w:val="pt-BR" w:bidi="en-US"/>
        </w:rPr>
      </w:pPr>
    </w:p>
    <w:p w14:paraId="10CD6AE4" w14:textId="77777777" w:rsidR="00702C18" w:rsidRPr="00D5464D" w:rsidRDefault="00702C18" w:rsidP="00702C18">
      <w:pPr>
        <w:tabs>
          <w:tab w:val="clear" w:pos="4419"/>
          <w:tab w:val="clear" w:pos="8838"/>
          <w:tab w:val="left" w:pos="720"/>
        </w:tabs>
        <w:ind w:right="-90"/>
        <w:contextualSpacing/>
        <w:rPr>
          <w:rFonts w:eastAsia="MS Mincho" w:cs="Times New Roman"/>
          <w:b/>
          <w:szCs w:val="20"/>
          <w:lang w:val="pt-BR" w:bidi="en-US"/>
        </w:rPr>
      </w:pPr>
      <w:r w:rsidRPr="00D5464D">
        <w:rPr>
          <w:rFonts w:eastAsia="MS Mincho" w:cs="Times New Roman"/>
          <w:b/>
          <w:szCs w:val="20"/>
          <w:lang w:val="pt-BR" w:bidi="en-US"/>
        </w:rPr>
        <w:t xml:space="preserve">DECIDE, </w:t>
      </w:r>
    </w:p>
    <w:p w14:paraId="338A60C1" w14:textId="77777777" w:rsidR="00702C18" w:rsidRPr="00D5464D" w:rsidRDefault="00702C18" w:rsidP="00702C18">
      <w:pPr>
        <w:tabs>
          <w:tab w:val="clear" w:pos="4419"/>
          <w:tab w:val="clear" w:pos="8838"/>
          <w:tab w:val="left" w:pos="720"/>
        </w:tabs>
        <w:ind w:right="-90"/>
        <w:contextualSpacing/>
        <w:rPr>
          <w:rFonts w:eastAsia="MS Mincho" w:cs="Times New Roman"/>
          <w:szCs w:val="20"/>
          <w:lang w:val="pt-BR" w:bidi="en-US"/>
        </w:rPr>
      </w:pPr>
      <w:r w:rsidRPr="00D5464D">
        <w:rPr>
          <w:rFonts w:eastAsia="MS Mincho" w:cs="Times New Roman"/>
          <w:szCs w:val="20"/>
          <w:lang w:val="pt-BR" w:bidi="en-US"/>
        </w:rPr>
        <w:t xml:space="preserve"> </w:t>
      </w:r>
    </w:p>
    <w:p w14:paraId="5EAEA13B" w14:textId="2D99ED61" w:rsidR="00702C18" w:rsidRPr="00D5464D" w:rsidRDefault="00702C18" w:rsidP="00702C18">
      <w:pPr>
        <w:tabs>
          <w:tab w:val="clear" w:pos="4419"/>
          <w:tab w:val="clear" w:pos="8838"/>
          <w:tab w:val="left" w:pos="720"/>
        </w:tabs>
        <w:ind w:right="-90"/>
        <w:contextualSpacing/>
        <w:rPr>
          <w:rFonts w:eastAsia="MS Mincho" w:cs="Times New Roman"/>
          <w:szCs w:val="20"/>
          <w:lang w:val="pt-BR" w:bidi="en-US"/>
        </w:rPr>
      </w:pPr>
      <w:r w:rsidRPr="00D5464D">
        <w:rPr>
          <w:rFonts w:eastAsia="MS Mincho" w:cs="Times New Roman"/>
          <w:szCs w:val="20"/>
          <w:lang w:val="pt-BR" w:bidi="en-US"/>
        </w:rPr>
        <w:t xml:space="preserve">Por </w:t>
      </w:r>
      <w:r w:rsidR="00E045D9" w:rsidRPr="00D5464D">
        <w:rPr>
          <w:rFonts w:eastAsia="MS Mincho" w:cs="Times New Roman"/>
          <w:szCs w:val="20"/>
          <w:lang w:val="pt-BR" w:bidi="en-US"/>
        </w:rPr>
        <w:t>unanimidade,</w:t>
      </w:r>
      <w:r w:rsidRPr="00D5464D">
        <w:rPr>
          <w:rFonts w:eastAsia="MS Mincho" w:cs="Times New Roman"/>
          <w:szCs w:val="20"/>
          <w:lang w:val="pt-BR" w:bidi="en-US"/>
        </w:rPr>
        <w:t xml:space="preserve"> </w:t>
      </w:r>
    </w:p>
    <w:p w14:paraId="6C6C3B75" w14:textId="77777777" w:rsidR="00702C18" w:rsidRPr="00D5464D" w:rsidRDefault="00702C18" w:rsidP="00702C18">
      <w:pPr>
        <w:tabs>
          <w:tab w:val="clear" w:pos="4419"/>
          <w:tab w:val="clear" w:pos="8838"/>
          <w:tab w:val="left" w:pos="720"/>
        </w:tabs>
        <w:ind w:right="-90"/>
        <w:contextualSpacing/>
        <w:rPr>
          <w:rFonts w:eastAsia="MS Mincho" w:cs="Times New Roman"/>
          <w:szCs w:val="20"/>
          <w:lang w:val="pt-BR" w:bidi="en-US"/>
        </w:rPr>
      </w:pPr>
    </w:p>
    <w:p w14:paraId="0F31EE58" w14:textId="791A792A" w:rsidR="00702C18" w:rsidRPr="00D5464D" w:rsidRDefault="00152D0B" w:rsidP="00F306D7">
      <w:pPr>
        <w:numPr>
          <w:ilvl w:val="0"/>
          <w:numId w:val="14"/>
        </w:numPr>
        <w:tabs>
          <w:tab w:val="clear" w:pos="4419"/>
          <w:tab w:val="clear" w:pos="8838"/>
          <w:tab w:val="left" w:pos="720"/>
        </w:tabs>
        <w:ind w:right="-90"/>
        <w:contextualSpacing/>
        <w:jc w:val="both"/>
        <w:rPr>
          <w:rFonts w:eastAsia="Cambria" w:cs="Times New Roman"/>
          <w:lang w:val="pt-BR"/>
        </w:rPr>
      </w:pPr>
      <w:r w:rsidRPr="00D5464D">
        <w:rPr>
          <w:rFonts w:eastAsia="MS Mincho" w:cs="Times New Roman"/>
          <w:szCs w:val="20"/>
          <w:lang w:val="pt-BR"/>
        </w:rPr>
        <w:t>Rejeitar</w:t>
      </w:r>
      <w:r w:rsidR="002C330E" w:rsidRPr="00D5464D">
        <w:rPr>
          <w:rFonts w:eastAsia="Cambria" w:cs="Times New Roman"/>
          <w:szCs w:val="20"/>
          <w:lang w:val="pt-BR"/>
        </w:rPr>
        <w:t xml:space="preserve"> as </w:t>
      </w:r>
      <w:r w:rsidR="00470ADC" w:rsidRPr="00D5464D">
        <w:rPr>
          <w:rFonts w:eastAsia="Cambria" w:cs="Times New Roman"/>
          <w:szCs w:val="20"/>
          <w:lang w:val="pt-BR"/>
        </w:rPr>
        <w:t>exceções</w:t>
      </w:r>
      <w:r w:rsidR="00702C18" w:rsidRPr="00D5464D">
        <w:rPr>
          <w:rFonts w:eastAsia="Cambria" w:cs="Times New Roman"/>
          <w:szCs w:val="20"/>
          <w:lang w:val="pt-BR"/>
        </w:rPr>
        <w:t xml:space="preserve"> preliminares </w:t>
      </w:r>
      <w:r w:rsidR="002C330E" w:rsidRPr="00D5464D">
        <w:rPr>
          <w:rFonts w:eastAsia="Cambria" w:cs="Times New Roman"/>
          <w:szCs w:val="20"/>
          <w:lang w:val="pt-BR"/>
        </w:rPr>
        <w:t>interpost</w:t>
      </w:r>
      <w:r w:rsidR="00702C18" w:rsidRPr="00D5464D">
        <w:rPr>
          <w:rFonts w:eastAsia="Cambria" w:cs="Times New Roman"/>
          <w:szCs w:val="20"/>
          <w:lang w:val="pt-BR"/>
        </w:rPr>
        <w:t>as</w:t>
      </w:r>
      <w:r w:rsidR="002C330E" w:rsidRPr="00D5464D">
        <w:rPr>
          <w:rFonts w:eastAsia="Cambria" w:cs="Times New Roman"/>
          <w:szCs w:val="20"/>
          <w:lang w:val="pt-BR"/>
        </w:rPr>
        <w:t xml:space="preserve"> pelo </w:t>
      </w:r>
      <w:r w:rsidR="00702C18" w:rsidRPr="00D5464D">
        <w:rPr>
          <w:rFonts w:eastAsia="Cambria" w:cs="Times New Roman"/>
          <w:szCs w:val="20"/>
          <w:lang w:val="pt-BR"/>
        </w:rPr>
        <w:t>Estado relativas</w:t>
      </w:r>
      <w:r w:rsidR="00470ADC" w:rsidRPr="00D5464D">
        <w:rPr>
          <w:rFonts w:eastAsia="Cambria" w:cs="Times New Roman"/>
          <w:szCs w:val="20"/>
          <w:lang w:val="pt-BR"/>
        </w:rPr>
        <w:t xml:space="preserve"> à </w:t>
      </w:r>
      <w:r w:rsidR="00303055" w:rsidRPr="00D5464D">
        <w:rPr>
          <w:rFonts w:eastAsia="Cambria" w:cs="Times New Roman"/>
          <w:szCs w:val="20"/>
          <w:lang w:val="pt-BR"/>
        </w:rPr>
        <w:t>i</w:t>
      </w:r>
      <w:r w:rsidR="00303055" w:rsidRPr="00D5464D">
        <w:rPr>
          <w:rFonts w:eastAsia="Batang" w:cs="Times"/>
          <w:szCs w:val="24"/>
          <w:lang w:val="pt-BR" w:eastAsia="es-ES"/>
        </w:rPr>
        <w:t>n</w:t>
      </w:r>
      <w:r w:rsidR="00470ADC" w:rsidRPr="00D5464D">
        <w:rPr>
          <w:rFonts w:eastAsia="Batang" w:cs="Times"/>
          <w:szCs w:val="24"/>
          <w:lang w:val="pt-BR" w:eastAsia="es-ES"/>
        </w:rPr>
        <w:t>admissibilidade</w:t>
      </w:r>
      <w:r w:rsidR="00303055" w:rsidRPr="00D5464D">
        <w:rPr>
          <w:rFonts w:eastAsia="Batang" w:cs="Times"/>
          <w:szCs w:val="24"/>
          <w:lang w:val="pt-BR" w:eastAsia="es-ES"/>
        </w:rPr>
        <w:t xml:space="preserve"> </w:t>
      </w:r>
      <w:r w:rsidR="00470ADC" w:rsidRPr="00D5464D">
        <w:rPr>
          <w:rFonts w:eastAsia="Batang" w:cs="Times"/>
          <w:szCs w:val="24"/>
          <w:lang w:val="pt-BR" w:eastAsia="es-ES"/>
        </w:rPr>
        <w:t>d</w:t>
      </w:r>
      <w:r w:rsidRPr="00D5464D">
        <w:rPr>
          <w:rFonts w:eastAsia="Batang" w:cs="Times"/>
          <w:szCs w:val="24"/>
          <w:lang w:val="pt-BR" w:eastAsia="es-ES"/>
        </w:rPr>
        <w:t>a</w:t>
      </w:r>
      <w:r w:rsidR="00470ADC" w:rsidRPr="00D5464D">
        <w:rPr>
          <w:rFonts w:eastAsia="Batang" w:cs="Times"/>
          <w:szCs w:val="24"/>
          <w:lang w:val="pt-BR" w:eastAsia="es-ES"/>
        </w:rPr>
        <w:t xml:space="preserve"> </w:t>
      </w:r>
      <w:r w:rsidR="002C330E" w:rsidRPr="00D5464D">
        <w:rPr>
          <w:rFonts w:eastAsia="Batang" w:cs="Times"/>
          <w:szCs w:val="24"/>
          <w:lang w:val="pt-BR" w:eastAsia="es-ES"/>
        </w:rPr>
        <w:t>submissão</w:t>
      </w:r>
      <w:r w:rsidR="00303055" w:rsidRPr="00D5464D">
        <w:rPr>
          <w:rFonts w:eastAsia="Batang" w:cs="Times"/>
          <w:szCs w:val="24"/>
          <w:lang w:val="pt-BR" w:eastAsia="es-ES"/>
        </w:rPr>
        <w:t xml:space="preserve"> </w:t>
      </w:r>
      <w:r w:rsidR="00470ADC" w:rsidRPr="00D5464D">
        <w:rPr>
          <w:rFonts w:eastAsia="Batang" w:cs="Times"/>
          <w:szCs w:val="24"/>
          <w:lang w:val="pt-BR" w:eastAsia="es-ES"/>
        </w:rPr>
        <w:t xml:space="preserve">do </w:t>
      </w:r>
      <w:r w:rsidR="00303055" w:rsidRPr="00D5464D">
        <w:rPr>
          <w:rFonts w:eastAsia="Batang" w:cs="Times"/>
          <w:szCs w:val="24"/>
          <w:lang w:val="pt-BR" w:eastAsia="es-ES"/>
        </w:rPr>
        <w:t>caso</w:t>
      </w:r>
      <w:r w:rsidR="00470ADC" w:rsidRPr="00D5464D">
        <w:rPr>
          <w:rFonts w:eastAsia="Batang" w:cs="Times"/>
          <w:szCs w:val="24"/>
          <w:lang w:val="pt-BR" w:eastAsia="es-ES"/>
        </w:rPr>
        <w:t xml:space="preserve"> à </w:t>
      </w:r>
      <w:r w:rsidR="00303055" w:rsidRPr="00D5464D">
        <w:rPr>
          <w:rFonts w:eastAsia="Batang" w:cs="Times"/>
          <w:szCs w:val="24"/>
          <w:lang w:val="pt-BR" w:eastAsia="es-ES"/>
        </w:rPr>
        <w:t>Corte</w:t>
      </w:r>
      <w:r w:rsidR="00470ADC" w:rsidRPr="00D5464D">
        <w:rPr>
          <w:rFonts w:eastAsia="Batang" w:cs="Times"/>
          <w:szCs w:val="24"/>
          <w:lang w:val="pt-BR" w:eastAsia="es-ES"/>
        </w:rPr>
        <w:t xml:space="preserve"> em </w:t>
      </w:r>
      <w:r w:rsidR="00E045D9" w:rsidRPr="00D5464D">
        <w:rPr>
          <w:rFonts w:eastAsia="Batang" w:cs="Times"/>
          <w:szCs w:val="24"/>
          <w:lang w:val="pt-BR" w:eastAsia="es-ES"/>
        </w:rPr>
        <w:t xml:space="preserve">virtude </w:t>
      </w:r>
      <w:r w:rsidR="00470ADC" w:rsidRPr="00D5464D">
        <w:rPr>
          <w:rFonts w:eastAsia="Batang" w:cs="Times"/>
          <w:szCs w:val="24"/>
          <w:lang w:val="pt-BR" w:eastAsia="es-ES"/>
        </w:rPr>
        <w:t xml:space="preserve">da </w:t>
      </w:r>
      <w:r w:rsidR="00303055" w:rsidRPr="00D5464D">
        <w:rPr>
          <w:rFonts w:eastAsia="Batang" w:cs="Times"/>
          <w:szCs w:val="24"/>
          <w:lang w:val="pt-BR" w:eastAsia="es-ES"/>
        </w:rPr>
        <w:t>publica</w:t>
      </w:r>
      <w:r w:rsidR="00470ADC" w:rsidRPr="00D5464D">
        <w:rPr>
          <w:rFonts w:eastAsia="Batang" w:cs="Times"/>
          <w:szCs w:val="24"/>
          <w:lang w:val="pt-BR" w:eastAsia="es-ES"/>
        </w:rPr>
        <w:t>ção</w:t>
      </w:r>
      <w:r w:rsidR="00303055" w:rsidRPr="00D5464D">
        <w:rPr>
          <w:rFonts w:eastAsia="Batang" w:cs="Times"/>
          <w:szCs w:val="24"/>
          <w:lang w:val="pt-BR" w:eastAsia="es-ES"/>
        </w:rPr>
        <w:t xml:space="preserve"> </w:t>
      </w:r>
      <w:r w:rsidR="00470ADC" w:rsidRPr="00D5464D">
        <w:rPr>
          <w:rFonts w:eastAsia="Batang" w:cs="Times"/>
          <w:szCs w:val="24"/>
          <w:lang w:val="pt-BR" w:eastAsia="es-ES"/>
        </w:rPr>
        <w:t>do</w:t>
      </w:r>
      <w:r w:rsidR="002C330E" w:rsidRPr="00D5464D">
        <w:rPr>
          <w:rFonts w:eastAsia="Batang" w:cs="Times"/>
          <w:szCs w:val="24"/>
          <w:lang w:val="pt-BR" w:eastAsia="es-ES"/>
        </w:rPr>
        <w:t xml:space="preserve">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de Mérito</w:t>
      </w:r>
      <w:r w:rsidR="00303055" w:rsidRPr="00D5464D">
        <w:rPr>
          <w:rFonts w:eastAsia="Batang" w:cs="Times"/>
          <w:szCs w:val="24"/>
          <w:lang w:val="pt-BR" w:eastAsia="es-ES"/>
        </w:rPr>
        <w:t xml:space="preserve"> por parte</w:t>
      </w:r>
      <w:r w:rsidR="00470ADC" w:rsidRPr="00D5464D">
        <w:rPr>
          <w:rFonts w:eastAsia="Batang" w:cs="Times"/>
          <w:szCs w:val="24"/>
          <w:lang w:val="pt-BR" w:eastAsia="es-ES"/>
        </w:rPr>
        <w:t xml:space="preserve"> da Comissão</w:t>
      </w:r>
      <w:r w:rsidR="00303055" w:rsidRPr="00D5464D">
        <w:rPr>
          <w:rFonts w:eastAsia="Batang" w:cs="Times"/>
          <w:szCs w:val="24"/>
          <w:lang w:val="pt-BR" w:eastAsia="es-ES"/>
        </w:rPr>
        <w:t>;</w:t>
      </w:r>
      <w:r w:rsidR="002C330E" w:rsidRPr="00D5464D">
        <w:rPr>
          <w:rFonts w:eastAsia="Batang" w:cs="Times"/>
          <w:szCs w:val="24"/>
          <w:lang w:val="pt-BR" w:eastAsia="es-ES"/>
        </w:rPr>
        <w:t xml:space="preserve"> </w:t>
      </w:r>
      <w:r w:rsidRPr="00D5464D">
        <w:rPr>
          <w:rFonts w:eastAsia="Batang" w:cs="Times"/>
          <w:szCs w:val="24"/>
          <w:lang w:val="pt-BR" w:eastAsia="es-ES"/>
        </w:rPr>
        <w:t>à</w:t>
      </w:r>
      <w:r w:rsidR="002C330E" w:rsidRPr="00D5464D">
        <w:rPr>
          <w:rFonts w:eastAsia="Batang" w:cs="Times"/>
          <w:szCs w:val="24"/>
          <w:lang w:val="pt-BR" w:eastAsia="es-ES"/>
        </w:rPr>
        <w:t xml:space="preserve"> </w:t>
      </w:r>
      <w:r w:rsidR="00303055" w:rsidRPr="00D5464D">
        <w:rPr>
          <w:rFonts w:eastAsia="Batang" w:cs="Times"/>
          <w:szCs w:val="24"/>
          <w:lang w:val="pt-BR" w:eastAsia="es-ES"/>
        </w:rPr>
        <w:t>in</w:t>
      </w:r>
      <w:r w:rsidR="00470ADC" w:rsidRPr="00D5464D">
        <w:rPr>
          <w:rFonts w:eastAsia="Batang" w:cs="Times"/>
          <w:szCs w:val="24"/>
          <w:lang w:val="pt-BR" w:eastAsia="es-ES"/>
        </w:rPr>
        <w:t>competência</w:t>
      </w:r>
      <w:r w:rsidR="00303055" w:rsidRPr="00D5464D">
        <w:rPr>
          <w:rFonts w:eastAsia="Batang" w:cs="Times"/>
          <w:szCs w:val="24"/>
          <w:lang w:val="pt-BR" w:eastAsia="es-ES"/>
        </w:rPr>
        <w:t xml:space="preserve"> </w:t>
      </w:r>
      <w:r w:rsidR="00477681" w:rsidRPr="00D5464D">
        <w:rPr>
          <w:rFonts w:eastAsia="Batang" w:cs="Times"/>
          <w:i/>
          <w:szCs w:val="24"/>
          <w:lang w:val="pt-BR" w:eastAsia="es-ES"/>
        </w:rPr>
        <w:t>ratione personae</w:t>
      </w:r>
      <w:r w:rsidRPr="00D5464D">
        <w:rPr>
          <w:rFonts w:eastAsia="Batang" w:cs="Times"/>
          <w:i/>
          <w:szCs w:val="24"/>
          <w:lang w:val="pt-BR" w:eastAsia="es-ES"/>
        </w:rPr>
        <w:t xml:space="preserve"> </w:t>
      </w:r>
      <w:r w:rsidRPr="00D5464D">
        <w:rPr>
          <w:rFonts w:eastAsia="Batang" w:cs="Times"/>
          <w:szCs w:val="24"/>
          <w:lang w:val="pt-BR" w:eastAsia="es-ES"/>
        </w:rPr>
        <w:t xml:space="preserve">com </w:t>
      </w:r>
      <w:r w:rsidR="002C330E" w:rsidRPr="00D5464D">
        <w:rPr>
          <w:rFonts w:eastAsia="Batang" w:cs="Times"/>
          <w:szCs w:val="24"/>
          <w:lang w:val="pt-BR" w:eastAsia="es-ES"/>
        </w:rPr>
        <w:t>respeito</w:t>
      </w:r>
      <w:r w:rsidR="00303055" w:rsidRPr="00D5464D">
        <w:rPr>
          <w:rFonts w:eastAsia="Batang" w:cs="Times"/>
          <w:szCs w:val="24"/>
          <w:lang w:val="pt-BR" w:eastAsia="es-ES"/>
        </w:rPr>
        <w:t xml:space="preserve"> </w:t>
      </w:r>
      <w:r w:rsidRPr="00D5464D">
        <w:rPr>
          <w:rFonts w:eastAsia="Batang" w:cs="Times"/>
          <w:szCs w:val="24"/>
          <w:lang w:val="pt-BR" w:eastAsia="es-ES"/>
        </w:rPr>
        <w:t>a</w:t>
      </w:r>
      <w:r w:rsidR="00303055" w:rsidRPr="00D5464D">
        <w:rPr>
          <w:rFonts w:eastAsia="Batang" w:cs="Times"/>
          <w:szCs w:val="24"/>
          <w:lang w:val="pt-BR" w:eastAsia="es-ES"/>
        </w:rPr>
        <w:t xml:space="preserve"> </w:t>
      </w:r>
      <w:r w:rsidR="002C330E" w:rsidRPr="00D5464D">
        <w:rPr>
          <w:rFonts w:eastAsia="Batang" w:cs="Times"/>
          <w:szCs w:val="24"/>
          <w:lang w:val="pt-BR" w:eastAsia="es-ES"/>
        </w:rPr>
        <w:t>suposta</w:t>
      </w:r>
      <w:r w:rsidR="00303055" w:rsidRPr="00D5464D">
        <w:rPr>
          <w:rFonts w:eastAsia="Batang" w:cs="Times"/>
          <w:szCs w:val="24"/>
          <w:lang w:val="pt-BR" w:eastAsia="es-ES"/>
        </w:rPr>
        <w:t xml:space="preserve">s </w:t>
      </w:r>
      <w:r w:rsidR="00E045D9" w:rsidRPr="00D5464D">
        <w:rPr>
          <w:rFonts w:eastAsia="Batang" w:cs="Times"/>
          <w:szCs w:val="24"/>
          <w:lang w:val="pt-BR" w:eastAsia="es-ES"/>
        </w:rPr>
        <w:t>vítima</w:t>
      </w:r>
      <w:r w:rsidR="00303055" w:rsidRPr="00D5464D">
        <w:rPr>
          <w:rFonts w:eastAsia="Batang" w:cs="Times"/>
          <w:szCs w:val="24"/>
          <w:lang w:val="pt-BR" w:eastAsia="es-ES"/>
        </w:rPr>
        <w:t>s n</w:t>
      </w:r>
      <w:r w:rsidRPr="00D5464D">
        <w:rPr>
          <w:rFonts w:eastAsia="Batang" w:cs="Times"/>
          <w:szCs w:val="24"/>
          <w:lang w:val="pt-BR" w:eastAsia="es-ES"/>
        </w:rPr>
        <w:t>ã</w:t>
      </w:r>
      <w:r w:rsidR="00303055" w:rsidRPr="00D5464D">
        <w:rPr>
          <w:rFonts w:eastAsia="Batang" w:cs="Times"/>
          <w:szCs w:val="24"/>
          <w:lang w:val="pt-BR" w:eastAsia="es-ES"/>
        </w:rPr>
        <w:t xml:space="preserve">o identificadas, </w:t>
      </w:r>
      <w:r w:rsidRPr="00D5464D">
        <w:rPr>
          <w:rFonts w:eastAsia="Batang" w:cs="Times"/>
          <w:szCs w:val="24"/>
          <w:lang w:val="pt-BR" w:eastAsia="es-ES"/>
        </w:rPr>
        <w:t xml:space="preserve">ou </w:t>
      </w:r>
      <w:r w:rsidR="00303055" w:rsidRPr="00D5464D">
        <w:rPr>
          <w:rFonts w:eastAsia="Batang" w:cs="Times"/>
          <w:szCs w:val="24"/>
          <w:lang w:val="pt-BR" w:eastAsia="es-ES"/>
        </w:rPr>
        <w:t>identificadas</w:t>
      </w:r>
      <w:r w:rsidR="00D40EC3" w:rsidRPr="00D5464D">
        <w:rPr>
          <w:rFonts w:eastAsia="Batang" w:cs="Times"/>
          <w:szCs w:val="24"/>
          <w:lang w:val="pt-BR" w:eastAsia="es-ES"/>
        </w:rPr>
        <w:t>,</w:t>
      </w:r>
      <w:r w:rsidR="00303055" w:rsidRPr="00D5464D">
        <w:rPr>
          <w:rFonts w:eastAsia="Batang" w:cs="Times"/>
          <w:szCs w:val="24"/>
          <w:lang w:val="pt-BR" w:eastAsia="es-ES"/>
        </w:rPr>
        <w:t xml:space="preserve"> </w:t>
      </w:r>
      <w:r w:rsidR="002C330E" w:rsidRPr="00D5464D">
        <w:rPr>
          <w:rFonts w:eastAsia="Batang" w:cs="Times"/>
          <w:szCs w:val="24"/>
          <w:lang w:val="pt-BR" w:eastAsia="es-ES"/>
        </w:rPr>
        <w:t>mas</w:t>
      </w:r>
      <w:r w:rsidR="00303055" w:rsidRPr="00D5464D">
        <w:rPr>
          <w:rFonts w:eastAsia="Batang" w:cs="Times"/>
          <w:szCs w:val="24"/>
          <w:lang w:val="pt-BR" w:eastAsia="es-ES"/>
        </w:rPr>
        <w:t xml:space="preserve"> que n</w:t>
      </w:r>
      <w:r w:rsidRPr="00D5464D">
        <w:rPr>
          <w:rFonts w:eastAsia="Batang" w:cs="Times"/>
          <w:szCs w:val="24"/>
          <w:lang w:val="pt-BR" w:eastAsia="es-ES"/>
        </w:rPr>
        <w:t>ã</w:t>
      </w:r>
      <w:r w:rsidR="00303055" w:rsidRPr="00D5464D">
        <w:rPr>
          <w:rFonts w:eastAsia="Batang" w:cs="Times"/>
          <w:szCs w:val="24"/>
          <w:lang w:val="pt-BR" w:eastAsia="es-ES"/>
        </w:rPr>
        <w:t xml:space="preserve">o </w:t>
      </w:r>
      <w:r w:rsidRPr="00D5464D">
        <w:rPr>
          <w:rFonts w:eastAsia="Batang" w:cs="Times"/>
          <w:szCs w:val="24"/>
          <w:lang w:val="pt-BR" w:eastAsia="es-ES"/>
        </w:rPr>
        <w:t>concederam</w:t>
      </w:r>
      <w:r w:rsidR="00350187" w:rsidRPr="00D5464D">
        <w:rPr>
          <w:rFonts w:eastAsia="Batang" w:cs="Times"/>
          <w:szCs w:val="24"/>
          <w:lang w:val="pt-BR" w:eastAsia="es-ES"/>
        </w:rPr>
        <w:t xml:space="preserve"> </w:t>
      </w:r>
      <w:r w:rsidR="00933DE1" w:rsidRPr="00D5464D">
        <w:rPr>
          <w:rFonts w:eastAsia="Batang" w:cs="Times"/>
          <w:szCs w:val="24"/>
          <w:lang w:val="pt-BR" w:eastAsia="es-ES"/>
        </w:rPr>
        <w:t>procuração</w:t>
      </w:r>
      <w:r w:rsidR="00303055" w:rsidRPr="00D5464D">
        <w:rPr>
          <w:rFonts w:eastAsia="Batang" w:cs="Times"/>
          <w:szCs w:val="24"/>
          <w:lang w:val="pt-BR" w:eastAsia="es-ES"/>
        </w:rPr>
        <w:t xml:space="preserve">, </w:t>
      </w:r>
      <w:r w:rsidRPr="00D5464D">
        <w:rPr>
          <w:rFonts w:eastAsia="Batang" w:cs="Times"/>
          <w:szCs w:val="24"/>
          <w:lang w:val="pt-BR" w:eastAsia="es-ES"/>
        </w:rPr>
        <w:t xml:space="preserve">ou </w:t>
      </w:r>
      <w:r w:rsidR="00303055" w:rsidRPr="00D5464D">
        <w:rPr>
          <w:rFonts w:eastAsia="Batang" w:cs="Times"/>
          <w:szCs w:val="24"/>
          <w:lang w:val="pt-BR" w:eastAsia="es-ES"/>
        </w:rPr>
        <w:t>que n</w:t>
      </w:r>
      <w:r w:rsidRPr="00D5464D">
        <w:rPr>
          <w:rFonts w:eastAsia="Batang" w:cs="Times"/>
          <w:szCs w:val="24"/>
          <w:lang w:val="pt-BR" w:eastAsia="es-ES"/>
        </w:rPr>
        <w:t>ã</w:t>
      </w:r>
      <w:r w:rsidR="00303055" w:rsidRPr="00D5464D">
        <w:rPr>
          <w:rFonts w:eastAsia="Batang" w:cs="Times"/>
          <w:szCs w:val="24"/>
          <w:lang w:val="pt-BR" w:eastAsia="es-ES"/>
        </w:rPr>
        <w:t xml:space="preserve">o </w:t>
      </w:r>
      <w:r w:rsidR="00EB1CE9" w:rsidRPr="00D5464D">
        <w:rPr>
          <w:rFonts w:eastAsia="Batang" w:cs="Times"/>
          <w:szCs w:val="24"/>
          <w:lang w:val="pt-BR" w:eastAsia="es-ES"/>
        </w:rPr>
        <w:t>apareciam</w:t>
      </w:r>
      <w:r w:rsidR="00E045D9" w:rsidRPr="00D5464D">
        <w:rPr>
          <w:rFonts w:eastAsia="Batang" w:cs="Times"/>
          <w:szCs w:val="24"/>
          <w:lang w:val="pt-BR" w:eastAsia="es-ES"/>
        </w:rPr>
        <w:t xml:space="preserve"> no </w:t>
      </w:r>
      <w:r w:rsidR="00350187" w:rsidRPr="00D5464D">
        <w:rPr>
          <w:rFonts w:eastAsia="Batang" w:cs="Times"/>
          <w:szCs w:val="24"/>
          <w:lang w:val="pt-BR" w:eastAsia="es-ES"/>
        </w:rPr>
        <w:t>Relatório</w:t>
      </w:r>
      <w:r w:rsidR="002C330E" w:rsidRPr="00D5464D">
        <w:rPr>
          <w:rFonts w:eastAsia="Batang" w:cs="Times"/>
          <w:szCs w:val="24"/>
          <w:lang w:val="pt-BR" w:eastAsia="es-ES"/>
        </w:rPr>
        <w:t xml:space="preserve"> de Mérito</w:t>
      </w:r>
      <w:r w:rsidR="00470ADC" w:rsidRPr="00D5464D">
        <w:rPr>
          <w:rFonts w:eastAsia="Batang" w:cs="Times"/>
          <w:szCs w:val="24"/>
          <w:lang w:val="pt-BR" w:eastAsia="es-ES"/>
        </w:rPr>
        <w:t xml:space="preserve"> da Comissão</w:t>
      </w:r>
      <w:r w:rsidR="00303055" w:rsidRPr="00D5464D">
        <w:rPr>
          <w:rFonts w:eastAsia="Batang" w:cs="Times"/>
          <w:szCs w:val="24"/>
          <w:lang w:val="pt-BR" w:eastAsia="es-ES"/>
        </w:rPr>
        <w:t xml:space="preserve"> o</w:t>
      </w:r>
      <w:r w:rsidRPr="00D5464D">
        <w:rPr>
          <w:rFonts w:eastAsia="Batang" w:cs="Times"/>
          <w:szCs w:val="24"/>
          <w:lang w:val="pt-BR" w:eastAsia="es-ES"/>
        </w:rPr>
        <w:t>u</w:t>
      </w:r>
      <w:r w:rsidR="00303055" w:rsidRPr="00D5464D">
        <w:rPr>
          <w:rFonts w:eastAsia="Batang" w:cs="Times"/>
          <w:szCs w:val="24"/>
          <w:lang w:val="pt-BR" w:eastAsia="es-ES"/>
        </w:rPr>
        <w:t xml:space="preserve"> que</w:t>
      </w:r>
      <w:r w:rsidR="00350187" w:rsidRPr="00D5464D">
        <w:rPr>
          <w:rFonts w:eastAsia="Batang" w:cs="Times"/>
          <w:szCs w:val="24"/>
          <w:lang w:val="pt-BR" w:eastAsia="es-ES"/>
        </w:rPr>
        <w:t xml:space="preserve"> não estavam</w:t>
      </w:r>
      <w:r w:rsidR="00303055" w:rsidRPr="00D5464D">
        <w:rPr>
          <w:rFonts w:eastAsia="Batang" w:cs="Times"/>
          <w:szCs w:val="24"/>
          <w:lang w:val="pt-BR" w:eastAsia="es-ES"/>
        </w:rPr>
        <w:t xml:space="preserve"> relacionadas</w:t>
      </w:r>
      <w:r w:rsidR="00470ADC" w:rsidRPr="00D5464D">
        <w:rPr>
          <w:rFonts w:eastAsia="Batang" w:cs="Times"/>
          <w:szCs w:val="24"/>
          <w:lang w:val="pt-BR" w:eastAsia="es-ES"/>
        </w:rPr>
        <w:t xml:space="preserve"> </w:t>
      </w:r>
      <w:r w:rsidRPr="00D5464D">
        <w:rPr>
          <w:rFonts w:eastAsia="Batang" w:cs="Times"/>
          <w:szCs w:val="24"/>
          <w:lang w:val="pt-BR" w:eastAsia="es-ES"/>
        </w:rPr>
        <w:t>a</w:t>
      </w:r>
      <w:r w:rsidR="002C330E" w:rsidRPr="00D5464D">
        <w:rPr>
          <w:rFonts w:eastAsia="Batang" w:cs="Times"/>
          <w:szCs w:val="24"/>
          <w:lang w:val="pt-BR" w:eastAsia="es-ES"/>
        </w:rPr>
        <w:t>os fatos</w:t>
      </w:r>
      <w:r w:rsidR="00303055" w:rsidRPr="00D5464D">
        <w:rPr>
          <w:rFonts w:eastAsia="Batang" w:cs="Times"/>
          <w:szCs w:val="24"/>
          <w:lang w:val="pt-BR" w:eastAsia="es-ES"/>
        </w:rPr>
        <w:t xml:space="preserve"> </w:t>
      </w:r>
      <w:r w:rsidR="00470ADC" w:rsidRPr="00D5464D">
        <w:rPr>
          <w:rFonts w:eastAsia="Batang" w:cs="Times"/>
          <w:szCs w:val="24"/>
          <w:lang w:val="pt-BR" w:eastAsia="es-ES"/>
        </w:rPr>
        <w:t xml:space="preserve">do </w:t>
      </w:r>
      <w:r w:rsidR="00303055" w:rsidRPr="00D5464D">
        <w:rPr>
          <w:rFonts w:eastAsia="Batang" w:cs="Times"/>
          <w:szCs w:val="24"/>
          <w:lang w:val="pt-BR" w:eastAsia="es-ES"/>
        </w:rPr>
        <w:t>caso;</w:t>
      </w:r>
      <w:r w:rsidR="002C330E" w:rsidRPr="00D5464D">
        <w:rPr>
          <w:rFonts w:eastAsia="Batang" w:cs="Times"/>
          <w:szCs w:val="24"/>
          <w:lang w:val="pt-BR" w:eastAsia="es-ES"/>
        </w:rPr>
        <w:t xml:space="preserve"> </w:t>
      </w:r>
      <w:r w:rsidRPr="00D5464D">
        <w:rPr>
          <w:rFonts w:eastAsia="Batang" w:cs="Times"/>
          <w:szCs w:val="24"/>
          <w:lang w:val="pt-BR" w:eastAsia="es-ES"/>
        </w:rPr>
        <w:t>à</w:t>
      </w:r>
      <w:r w:rsidR="002C330E" w:rsidRPr="00D5464D">
        <w:rPr>
          <w:rFonts w:eastAsia="Batang" w:cs="Times"/>
          <w:szCs w:val="24"/>
          <w:lang w:val="pt-BR" w:eastAsia="es-ES"/>
        </w:rPr>
        <w:t xml:space="preserve"> </w:t>
      </w:r>
      <w:r w:rsidR="009E7747" w:rsidRPr="00D5464D">
        <w:rPr>
          <w:rFonts w:eastAsia="Batang" w:cs="Times"/>
          <w:szCs w:val="24"/>
          <w:lang w:val="pt-BR" w:eastAsia="es-ES"/>
        </w:rPr>
        <w:t>i</w:t>
      </w:r>
      <w:r w:rsidR="00303055" w:rsidRPr="00D5464D">
        <w:rPr>
          <w:rFonts w:eastAsia="Batang" w:cs="Times"/>
          <w:szCs w:val="24"/>
          <w:lang w:val="pt-BR" w:eastAsia="es-ES"/>
        </w:rPr>
        <w:t>n</w:t>
      </w:r>
      <w:r w:rsidR="00470ADC" w:rsidRPr="00D5464D">
        <w:rPr>
          <w:rFonts w:eastAsia="Batang" w:cs="Times"/>
          <w:szCs w:val="24"/>
          <w:lang w:val="pt-BR" w:eastAsia="es-ES"/>
        </w:rPr>
        <w:t>competência</w:t>
      </w:r>
      <w:r w:rsidR="00303055" w:rsidRPr="00D5464D">
        <w:rPr>
          <w:rFonts w:eastAsia="Batang" w:cs="Times"/>
          <w:szCs w:val="24"/>
          <w:lang w:val="pt-BR" w:eastAsia="es-ES"/>
        </w:rPr>
        <w:t xml:space="preserve"> </w:t>
      </w:r>
      <w:r w:rsidR="00477681" w:rsidRPr="00D5464D">
        <w:rPr>
          <w:rFonts w:eastAsia="Batang" w:cs="Times"/>
          <w:i/>
          <w:szCs w:val="24"/>
          <w:lang w:val="pt-BR" w:eastAsia="es-ES"/>
        </w:rPr>
        <w:t>ratione personae</w:t>
      </w:r>
      <w:r w:rsidR="00303055" w:rsidRPr="00D5464D">
        <w:rPr>
          <w:rFonts w:eastAsia="Batang" w:cs="Times"/>
          <w:szCs w:val="24"/>
          <w:lang w:val="pt-BR" w:eastAsia="es-ES"/>
        </w:rPr>
        <w:t xml:space="preserve"> de viola</w:t>
      </w:r>
      <w:r w:rsidR="00470ADC" w:rsidRPr="00D5464D">
        <w:rPr>
          <w:rFonts w:eastAsia="Batang" w:cs="Times"/>
          <w:szCs w:val="24"/>
          <w:lang w:val="pt-BR" w:eastAsia="es-ES"/>
        </w:rPr>
        <w:t xml:space="preserve">ções em </w:t>
      </w:r>
      <w:r w:rsidR="00230C71" w:rsidRPr="00D5464D">
        <w:rPr>
          <w:rFonts w:eastAsia="Batang" w:cs="Times"/>
          <w:szCs w:val="24"/>
          <w:lang w:val="pt-BR" w:eastAsia="es-ES"/>
        </w:rPr>
        <w:t>abstrat</w:t>
      </w:r>
      <w:r w:rsidR="00303055" w:rsidRPr="00D5464D">
        <w:rPr>
          <w:rFonts w:eastAsia="Batang" w:cs="Times"/>
          <w:szCs w:val="24"/>
          <w:lang w:val="pt-BR" w:eastAsia="es-ES"/>
        </w:rPr>
        <w:t>o;</w:t>
      </w:r>
      <w:r w:rsidR="002C330E" w:rsidRPr="00D5464D">
        <w:rPr>
          <w:rFonts w:eastAsia="Batang" w:cs="Times"/>
          <w:szCs w:val="24"/>
          <w:lang w:val="pt-BR" w:eastAsia="es-ES"/>
        </w:rPr>
        <w:t xml:space="preserve"> </w:t>
      </w:r>
      <w:r w:rsidRPr="00D5464D">
        <w:rPr>
          <w:rFonts w:eastAsia="Batang" w:cs="Times"/>
          <w:szCs w:val="24"/>
          <w:lang w:val="pt-BR" w:eastAsia="es-ES"/>
        </w:rPr>
        <w:t>à</w:t>
      </w:r>
      <w:r w:rsidR="002C330E" w:rsidRPr="00D5464D">
        <w:rPr>
          <w:rFonts w:eastAsia="Batang" w:cs="Times"/>
          <w:szCs w:val="24"/>
          <w:lang w:val="pt-BR" w:eastAsia="es-ES"/>
        </w:rPr>
        <w:t xml:space="preserve"> </w:t>
      </w:r>
      <w:r w:rsidR="009E7747" w:rsidRPr="00D5464D">
        <w:rPr>
          <w:rFonts w:eastAsia="Batang" w:cs="Times"/>
          <w:szCs w:val="24"/>
          <w:lang w:val="pt-BR" w:eastAsia="es-ES"/>
        </w:rPr>
        <w:t>i</w:t>
      </w:r>
      <w:r w:rsidR="00303055" w:rsidRPr="00D5464D">
        <w:rPr>
          <w:rFonts w:eastAsia="Batang" w:cs="Times"/>
          <w:szCs w:val="24"/>
          <w:lang w:val="pt-BR" w:eastAsia="es-ES"/>
        </w:rPr>
        <w:t>n</w:t>
      </w:r>
      <w:r w:rsidR="00470ADC" w:rsidRPr="00D5464D">
        <w:rPr>
          <w:rFonts w:eastAsia="Batang" w:cs="Times"/>
          <w:szCs w:val="24"/>
          <w:lang w:val="pt-BR" w:eastAsia="es-ES"/>
        </w:rPr>
        <w:t>competência</w:t>
      </w:r>
      <w:r w:rsidR="00303055" w:rsidRPr="00D5464D">
        <w:rPr>
          <w:rFonts w:eastAsia="Batang" w:cs="Times"/>
          <w:szCs w:val="24"/>
          <w:lang w:val="pt-BR" w:eastAsia="es-ES"/>
        </w:rPr>
        <w:t xml:space="preserve"> </w:t>
      </w:r>
      <w:r w:rsidR="00303055" w:rsidRPr="00D5464D">
        <w:rPr>
          <w:rFonts w:eastAsia="Batang" w:cs="Times"/>
          <w:i/>
          <w:szCs w:val="24"/>
          <w:lang w:val="pt-BR" w:eastAsia="es-ES"/>
        </w:rPr>
        <w:t>ratione materiae</w:t>
      </w:r>
      <w:r w:rsidR="00303055" w:rsidRPr="00D5464D">
        <w:rPr>
          <w:rFonts w:eastAsia="Batang" w:cs="Times"/>
          <w:szCs w:val="24"/>
          <w:lang w:val="pt-BR" w:eastAsia="es-ES"/>
        </w:rPr>
        <w:t xml:space="preserve"> por viola</w:t>
      </w:r>
      <w:r w:rsidR="00470ADC" w:rsidRPr="00D5464D">
        <w:rPr>
          <w:rFonts w:eastAsia="Batang" w:cs="Times"/>
          <w:szCs w:val="24"/>
          <w:lang w:val="pt-BR" w:eastAsia="es-ES"/>
        </w:rPr>
        <w:t xml:space="preserve">ção ao </w:t>
      </w:r>
      <w:r w:rsidR="002C330E" w:rsidRPr="00D5464D">
        <w:rPr>
          <w:rFonts w:eastAsia="Batang" w:cs="Times"/>
          <w:szCs w:val="24"/>
          <w:lang w:val="pt-BR" w:eastAsia="es-ES"/>
        </w:rPr>
        <w:t>princípio</w:t>
      </w:r>
      <w:r w:rsidR="00303055" w:rsidRPr="00D5464D">
        <w:rPr>
          <w:rFonts w:eastAsia="Batang" w:cs="Times"/>
          <w:szCs w:val="24"/>
          <w:lang w:val="pt-BR" w:eastAsia="es-ES"/>
        </w:rPr>
        <w:t xml:space="preserve"> de </w:t>
      </w:r>
      <w:r w:rsidR="00351C4B" w:rsidRPr="00D5464D">
        <w:rPr>
          <w:rFonts w:eastAsia="Batang" w:cs="Times"/>
          <w:szCs w:val="24"/>
          <w:lang w:val="pt-BR" w:eastAsia="es-ES"/>
        </w:rPr>
        <w:t>subsidiariedade</w:t>
      </w:r>
      <w:r w:rsidRPr="00D5464D">
        <w:rPr>
          <w:rFonts w:eastAsia="Batang" w:cs="Times"/>
          <w:szCs w:val="24"/>
          <w:lang w:val="pt-BR" w:eastAsia="es-ES"/>
        </w:rPr>
        <w:t xml:space="preserve"> </w:t>
      </w:r>
      <w:r w:rsidR="00470ADC" w:rsidRPr="00D5464D">
        <w:rPr>
          <w:rFonts w:eastAsia="Batang" w:cs="Times"/>
          <w:szCs w:val="24"/>
          <w:lang w:val="pt-BR" w:eastAsia="es-ES"/>
        </w:rPr>
        <w:t xml:space="preserve">do </w:t>
      </w:r>
      <w:r w:rsidR="00303055" w:rsidRPr="00D5464D">
        <w:rPr>
          <w:rFonts w:eastAsia="Batang" w:cs="Times"/>
          <w:szCs w:val="24"/>
          <w:lang w:val="pt-BR" w:eastAsia="es-ES"/>
        </w:rPr>
        <w:t>Sistema Interamericano (fórmula</w:t>
      </w:r>
      <w:r w:rsidR="00470ADC" w:rsidRPr="00D5464D">
        <w:rPr>
          <w:rFonts w:eastAsia="Batang" w:cs="Times"/>
          <w:szCs w:val="24"/>
          <w:lang w:val="pt-BR" w:eastAsia="es-ES"/>
        </w:rPr>
        <w:t xml:space="preserve"> da </w:t>
      </w:r>
      <w:r w:rsidR="00303055" w:rsidRPr="00D5464D">
        <w:rPr>
          <w:rFonts w:eastAsia="Batang" w:cs="Times"/>
          <w:szCs w:val="24"/>
          <w:lang w:val="pt-BR" w:eastAsia="es-ES"/>
        </w:rPr>
        <w:t xml:space="preserve">4ª </w:t>
      </w:r>
      <w:r w:rsidR="002C330E" w:rsidRPr="00D5464D">
        <w:rPr>
          <w:rFonts w:eastAsia="Batang" w:cs="Times"/>
          <w:szCs w:val="24"/>
          <w:lang w:val="pt-BR" w:eastAsia="es-ES"/>
        </w:rPr>
        <w:t>instância</w:t>
      </w:r>
      <w:r w:rsidR="00303055" w:rsidRPr="00D5464D">
        <w:rPr>
          <w:rFonts w:eastAsia="Batang" w:cs="Times"/>
          <w:szCs w:val="24"/>
          <w:lang w:val="pt-BR" w:eastAsia="es-ES"/>
        </w:rPr>
        <w:t>);</w:t>
      </w:r>
      <w:r w:rsidR="002C330E" w:rsidRPr="00D5464D">
        <w:rPr>
          <w:rFonts w:eastAsia="Batang" w:cs="Times"/>
          <w:szCs w:val="24"/>
          <w:lang w:val="pt-BR" w:eastAsia="es-ES"/>
        </w:rPr>
        <w:t xml:space="preserve"> </w:t>
      </w:r>
      <w:r w:rsidRPr="00D5464D">
        <w:rPr>
          <w:rFonts w:eastAsia="Batang" w:cs="Times"/>
          <w:szCs w:val="24"/>
          <w:lang w:val="pt-BR" w:eastAsia="es-ES"/>
        </w:rPr>
        <w:t>à</w:t>
      </w:r>
      <w:r w:rsidR="002C330E" w:rsidRPr="00D5464D">
        <w:rPr>
          <w:rFonts w:eastAsia="Batang" w:cs="Times"/>
          <w:szCs w:val="24"/>
          <w:lang w:val="pt-BR" w:eastAsia="es-ES"/>
        </w:rPr>
        <w:t xml:space="preserve"> </w:t>
      </w:r>
      <w:r w:rsidR="009E7747" w:rsidRPr="00D5464D">
        <w:rPr>
          <w:rFonts w:eastAsia="Batang" w:cs="Times"/>
          <w:szCs w:val="24"/>
          <w:lang w:val="pt-BR" w:eastAsia="es-ES"/>
        </w:rPr>
        <w:t>i</w:t>
      </w:r>
      <w:r w:rsidR="00303055" w:rsidRPr="00D5464D">
        <w:rPr>
          <w:rFonts w:eastAsia="Batang" w:cs="Times"/>
          <w:szCs w:val="24"/>
          <w:lang w:val="pt-BR" w:eastAsia="es-ES"/>
        </w:rPr>
        <w:t>n</w:t>
      </w:r>
      <w:r w:rsidR="00470ADC" w:rsidRPr="00D5464D">
        <w:rPr>
          <w:rFonts w:eastAsia="Batang" w:cs="Times"/>
          <w:szCs w:val="24"/>
          <w:lang w:val="pt-BR" w:eastAsia="es-ES"/>
        </w:rPr>
        <w:t>competência</w:t>
      </w:r>
      <w:r w:rsidR="00303055" w:rsidRPr="00D5464D">
        <w:rPr>
          <w:rFonts w:eastAsia="Batang" w:cs="Times"/>
          <w:szCs w:val="24"/>
          <w:lang w:val="pt-BR" w:eastAsia="es-ES"/>
        </w:rPr>
        <w:t xml:space="preserve"> </w:t>
      </w:r>
      <w:r w:rsidR="00303055" w:rsidRPr="00D5464D">
        <w:rPr>
          <w:rFonts w:eastAsia="Batang" w:cs="Times"/>
          <w:i/>
          <w:szCs w:val="24"/>
          <w:lang w:val="pt-BR" w:eastAsia="es-ES"/>
        </w:rPr>
        <w:t>ratione materiae</w:t>
      </w:r>
      <w:r w:rsidR="00303055" w:rsidRPr="00D5464D">
        <w:rPr>
          <w:rFonts w:eastAsia="Batang" w:cs="Times"/>
          <w:szCs w:val="24"/>
          <w:lang w:val="pt-BR" w:eastAsia="es-ES"/>
        </w:rPr>
        <w:t xml:space="preserve"> relativa a </w:t>
      </w:r>
      <w:r w:rsidR="002C330E" w:rsidRPr="00D5464D">
        <w:rPr>
          <w:rFonts w:eastAsia="Batang" w:cs="Times"/>
          <w:szCs w:val="24"/>
          <w:lang w:val="pt-BR" w:eastAsia="es-ES"/>
        </w:rPr>
        <w:t>suposta</w:t>
      </w:r>
      <w:r w:rsidR="00303055" w:rsidRPr="00D5464D">
        <w:rPr>
          <w:rFonts w:eastAsia="Batang" w:cs="Times"/>
          <w:szCs w:val="24"/>
          <w:lang w:val="pt-BR" w:eastAsia="es-ES"/>
        </w:rPr>
        <w:t>s viola</w:t>
      </w:r>
      <w:r w:rsidR="00470ADC" w:rsidRPr="00D5464D">
        <w:rPr>
          <w:rFonts w:eastAsia="Batang" w:cs="Times"/>
          <w:szCs w:val="24"/>
          <w:lang w:val="pt-BR" w:eastAsia="es-ES"/>
        </w:rPr>
        <w:t xml:space="preserve">ções da </w:t>
      </w:r>
      <w:r w:rsidR="002C330E" w:rsidRPr="00D5464D">
        <w:rPr>
          <w:rFonts w:eastAsia="Batang" w:cs="Times"/>
          <w:szCs w:val="24"/>
          <w:lang w:val="pt-BR" w:eastAsia="es-ES"/>
        </w:rPr>
        <w:t>proibição</w:t>
      </w:r>
      <w:r w:rsidR="00303055" w:rsidRPr="00D5464D">
        <w:rPr>
          <w:rFonts w:eastAsia="Batang" w:cs="Times"/>
          <w:szCs w:val="24"/>
          <w:lang w:val="pt-BR" w:eastAsia="es-ES"/>
        </w:rPr>
        <w:t xml:space="preserve"> de tráfico de </w:t>
      </w:r>
      <w:r w:rsidR="002C330E" w:rsidRPr="00D5464D">
        <w:rPr>
          <w:rFonts w:eastAsia="Batang" w:cs="Times"/>
          <w:szCs w:val="24"/>
          <w:lang w:val="pt-BR" w:eastAsia="es-ES"/>
        </w:rPr>
        <w:t>pessoa</w:t>
      </w:r>
      <w:r w:rsidR="00303055" w:rsidRPr="00D5464D">
        <w:rPr>
          <w:rFonts w:eastAsia="Batang" w:cs="Times"/>
          <w:szCs w:val="24"/>
          <w:lang w:val="pt-BR" w:eastAsia="es-ES"/>
        </w:rPr>
        <w:t>s;</w:t>
      </w:r>
      <w:r w:rsidR="002C330E" w:rsidRPr="00D5464D">
        <w:rPr>
          <w:rFonts w:eastAsia="Batang" w:cs="Times"/>
          <w:szCs w:val="24"/>
          <w:lang w:val="pt-BR" w:eastAsia="es-ES"/>
        </w:rPr>
        <w:t xml:space="preserve"> </w:t>
      </w:r>
      <w:r w:rsidRPr="00D5464D">
        <w:rPr>
          <w:rFonts w:eastAsia="Batang" w:cs="Times"/>
          <w:szCs w:val="24"/>
          <w:lang w:val="pt-BR" w:eastAsia="es-ES"/>
        </w:rPr>
        <w:t>à</w:t>
      </w:r>
      <w:r w:rsidR="002C330E" w:rsidRPr="00D5464D">
        <w:rPr>
          <w:rFonts w:eastAsia="Batang" w:cs="Times"/>
          <w:szCs w:val="24"/>
          <w:lang w:val="pt-BR" w:eastAsia="es-ES"/>
        </w:rPr>
        <w:t xml:space="preserve"> </w:t>
      </w:r>
      <w:r w:rsidR="009E7747" w:rsidRPr="00D5464D">
        <w:rPr>
          <w:rFonts w:eastAsia="Batang" w:cs="Times"/>
          <w:szCs w:val="24"/>
          <w:lang w:val="pt-BR" w:eastAsia="es-ES"/>
        </w:rPr>
        <w:t>i</w:t>
      </w:r>
      <w:r w:rsidR="00303055" w:rsidRPr="00D5464D">
        <w:rPr>
          <w:rFonts w:eastAsia="Batang" w:cs="Times"/>
          <w:szCs w:val="24"/>
          <w:lang w:val="pt-BR" w:eastAsia="es-ES"/>
        </w:rPr>
        <w:t>n</w:t>
      </w:r>
      <w:r w:rsidR="00470ADC" w:rsidRPr="00D5464D">
        <w:rPr>
          <w:rFonts w:eastAsia="Batang" w:cs="Times"/>
          <w:szCs w:val="24"/>
          <w:lang w:val="pt-BR" w:eastAsia="es-ES"/>
        </w:rPr>
        <w:t>competência</w:t>
      </w:r>
      <w:r w:rsidR="00303055" w:rsidRPr="00D5464D">
        <w:rPr>
          <w:rFonts w:eastAsia="Batang" w:cs="Times"/>
          <w:szCs w:val="24"/>
          <w:lang w:val="pt-BR" w:eastAsia="es-ES"/>
        </w:rPr>
        <w:t xml:space="preserve"> </w:t>
      </w:r>
      <w:r w:rsidR="00303055" w:rsidRPr="00D5464D">
        <w:rPr>
          <w:rFonts w:eastAsia="Batang" w:cs="Times"/>
          <w:i/>
          <w:szCs w:val="24"/>
          <w:lang w:val="pt-BR" w:eastAsia="es-ES"/>
        </w:rPr>
        <w:t>ratione materiae</w:t>
      </w:r>
      <w:r w:rsidR="00303055" w:rsidRPr="00D5464D">
        <w:rPr>
          <w:rFonts w:eastAsia="Batang" w:cs="Times"/>
          <w:szCs w:val="24"/>
          <w:lang w:val="pt-BR" w:eastAsia="es-ES"/>
        </w:rPr>
        <w:t xml:space="preserve"> sobre su</w:t>
      </w:r>
      <w:r w:rsidR="002C330E" w:rsidRPr="00D5464D">
        <w:rPr>
          <w:rFonts w:eastAsia="Batang" w:cs="Times"/>
          <w:szCs w:val="24"/>
          <w:lang w:val="pt-BR" w:eastAsia="es-ES"/>
        </w:rPr>
        <w:t>posta</w:t>
      </w:r>
      <w:r w:rsidR="00303055" w:rsidRPr="00D5464D">
        <w:rPr>
          <w:rFonts w:eastAsia="Batang" w:cs="Times"/>
          <w:szCs w:val="24"/>
          <w:lang w:val="pt-BR" w:eastAsia="es-ES"/>
        </w:rPr>
        <w:t>s viola</w:t>
      </w:r>
      <w:r w:rsidR="00470ADC" w:rsidRPr="00D5464D">
        <w:rPr>
          <w:rFonts w:eastAsia="Batang" w:cs="Times"/>
          <w:szCs w:val="24"/>
          <w:lang w:val="pt-BR" w:eastAsia="es-ES"/>
        </w:rPr>
        <w:t>ções</w:t>
      </w:r>
      <w:r w:rsidR="00303055" w:rsidRPr="00D5464D">
        <w:rPr>
          <w:rFonts w:eastAsia="Batang" w:cs="Times"/>
          <w:szCs w:val="24"/>
          <w:lang w:val="pt-BR" w:eastAsia="es-ES"/>
        </w:rPr>
        <w:t xml:space="preserve"> de </w:t>
      </w:r>
      <w:r w:rsidR="00351C4B" w:rsidRPr="00D5464D">
        <w:rPr>
          <w:rFonts w:eastAsia="Batang" w:cs="Times"/>
          <w:szCs w:val="24"/>
          <w:lang w:val="pt-BR" w:eastAsia="es-ES"/>
        </w:rPr>
        <w:t>direitos trabalhistas</w:t>
      </w:r>
      <w:r w:rsidR="00303055" w:rsidRPr="00D5464D">
        <w:rPr>
          <w:rFonts w:eastAsia="Batang" w:cs="Times"/>
          <w:szCs w:val="24"/>
          <w:lang w:val="pt-BR" w:eastAsia="es-ES"/>
        </w:rPr>
        <w:t>;</w:t>
      </w:r>
      <w:r w:rsidR="002C330E" w:rsidRPr="00D5464D">
        <w:rPr>
          <w:rFonts w:eastAsia="Batang" w:cs="Times"/>
          <w:szCs w:val="24"/>
          <w:lang w:val="pt-BR" w:eastAsia="es-ES"/>
        </w:rPr>
        <w:t xml:space="preserve"> </w:t>
      </w:r>
      <w:r w:rsidRPr="00D5464D">
        <w:rPr>
          <w:rFonts w:eastAsia="Batang" w:cs="Times"/>
          <w:szCs w:val="24"/>
          <w:lang w:val="pt-BR" w:eastAsia="es-ES"/>
        </w:rPr>
        <w:t>à</w:t>
      </w:r>
      <w:r w:rsidR="002C330E" w:rsidRPr="00D5464D">
        <w:rPr>
          <w:rFonts w:eastAsia="Batang" w:cs="Times"/>
          <w:szCs w:val="24"/>
          <w:lang w:val="pt-BR" w:eastAsia="es-ES"/>
        </w:rPr>
        <w:t xml:space="preserve"> </w:t>
      </w:r>
      <w:r w:rsidR="009E7747" w:rsidRPr="00D5464D">
        <w:rPr>
          <w:rFonts w:eastAsia="Batang" w:cs="Times"/>
          <w:szCs w:val="24"/>
          <w:lang w:val="pt-BR" w:eastAsia="es-ES"/>
        </w:rPr>
        <w:t>f</w:t>
      </w:r>
      <w:r w:rsidR="00303055" w:rsidRPr="00D5464D">
        <w:rPr>
          <w:rFonts w:eastAsia="Batang" w:cs="Times"/>
          <w:szCs w:val="24"/>
          <w:lang w:val="pt-BR" w:eastAsia="es-ES"/>
        </w:rPr>
        <w:t xml:space="preserve">alta de </w:t>
      </w:r>
      <w:r w:rsidR="00470ADC" w:rsidRPr="00D5464D">
        <w:rPr>
          <w:rFonts w:eastAsia="Batang" w:cs="Times"/>
          <w:szCs w:val="24"/>
          <w:lang w:val="pt-BR" w:eastAsia="es-ES"/>
        </w:rPr>
        <w:t>esgotamento</w:t>
      </w:r>
      <w:r w:rsidR="00303055" w:rsidRPr="00D5464D">
        <w:rPr>
          <w:rFonts w:eastAsia="Batang" w:cs="Times"/>
          <w:szCs w:val="24"/>
          <w:lang w:val="pt-BR" w:eastAsia="es-ES"/>
        </w:rPr>
        <w:t xml:space="preserve"> </w:t>
      </w:r>
      <w:r w:rsidR="002C330E" w:rsidRPr="00D5464D">
        <w:rPr>
          <w:rFonts w:eastAsia="Batang" w:cs="Times"/>
          <w:szCs w:val="24"/>
          <w:lang w:val="pt-BR" w:eastAsia="es-ES"/>
        </w:rPr>
        <w:t>prévio</w:t>
      </w:r>
      <w:r w:rsidR="00470ADC" w:rsidRPr="00D5464D">
        <w:rPr>
          <w:rFonts w:eastAsia="Batang" w:cs="Times"/>
          <w:szCs w:val="24"/>
          <w:lang w:val="pt-BR" w:eastAsia="es-ES"/>
        </w:rPr>
        <w:t xml:space="preserve"> dos </w:t>
      </w:r>
      <w:r w:rsidR="00303055" w:rsidRPr="00D5464D">
        <w:rPr>
          <w:rFonts w:eastAsia="Batang" w:cs="Times"/>
          <w:szCs w:val="24"/>
          <w:lang w:val="pt-BR" w:eastAsia="es-ES"/>
        </w:rPr>
        <w:t>recursos internos</w:t>
      </w:r>
      <w:r w:rsidR="00470ADC" w:rsidRPr="00D5464D">
        <w:rPr>
          <w:rFonts w:eastAsia="Batang" w:cs="Times"/>
          <w:szCs w:val="24"/>
          <w:lang w:val="pt-BR" w:eastAsia="es-ES"/>
        </w:rPr>
        <w:t xml:space="preserve"> e</w:t>
      </w:r>
      <w:r w:rsidR="002C330E" w:rsidRPr="00D5464D">
        <w:rPr>
          <w:rFonts w:eastAsia="Batang" w:cs="Times"/>
          <w:szCs w:val="24"/>
          <w:lang w:val="pt-BR" w:eastAsia="es-ES"/>
        </w:rPr>
        <w:t xml:space="preserve"> </w:t>
      </w:r>
      <w:r w:rsidRPr="00D5464D">
        <w:rPr>
          <w:rFonts w:eastAsia="Batang" w:cs="Times"/>
          <w:szCs w:val="24"/>
          <w:lang w:val="pt-BR" w:eastAsia="es-ES"/>
        </w:rPr>
        <w:t>à</w:t>
      </w:r>
      <w:r w:rsidR="002C330E" w:rsidRPr="00D5464D">
        <w:rPr>
          <w:rFonts w:eastAsia="Batang" w:cs="Times"/>
          <w:szCs w:val="24"/>
          <w:lang w:val="pt-BR" w:eastAsia="es-ES"/>
        </w:rPr>
        <w:t xml:space="preserve"> prescrição</w:t>
      </w:r>
      <w:r w:rsidR="00470ADC" w:rsidRPr="00D5464D">
        <w:rPr>
          <w:rFonts w:eastAsia="Batang" w:cs="Times"/>
          <w:szCs w:val="24"/>
          <w:lang w:val="pt-BR" w:eastAsia="es-ES"/>
        </w:rPr>
        <w:t xml:space="preserve"> da </w:t>
      </w:r>
      <w:r w:rsidR="00303055" w:rsidRPr="00D5464D">
        <w:rPr>
          <w:rFonts w:eastAsia="Batang" w:cs="Times"/>
          <w:szCs w:val="24"/>
          <w:lang w:val="pt-BR" w:eastAsia="es-ES"/>
        </w:rPr>
        <w:t>peti</w:t>
      </w:r>
      <w:r w:rsidR="00470ADC" w:rsidRPr="00D5464D">
        <w:rPr>
          <w:rFonts w:eastAsia="Batang" w:cs="Times"/>
          <w:szCs w:val="24"/>
          <w:lang w:val="pt-BR" w:eastAsia="es-ES"/>
        </w:rPr>
        <w:t>ção perante a Comissão</w:t>
      </w:r>
      <w:r w:rsidR="00303055" w:rsidRPr="00D5464D">
        <w:rPr>
          <w:rFonts w:eastAsia="Batang" w:cs="Times"/>
          <w:szCs w:val="24"/>
          <w:lang w:val="pt-BR" w:eastAsia="es-ES"/>
        </w:rPr>
        <w:t xml:space="preserve"> </w:t>
      </w:r>
      <w:r w:rsidRPr="00D5464D">
        <w:rPr>
          <w:rFonts w:eastAsia="Batang" w:cs="Times"/>
          <w:szCs w:val="24"/>
          <w:lang w:val="pt-BR" w:eastAsia="es-ES"/>
        </w:rPr>
        <w:t xml:space="preserve">em relação a </w:t>
      </w:r>
      <w:r w:rsidR="002C330E" w:rsidRPr="00D5464D">
        <w:rPr>
          <w:rFonts w:eastAsia="Batang" w:cs="Times"/>
          <w:szCs w:val="24"/>
          <w:lang w:val="pt-BR" w:eastAsia="es-ES"/>
        </w:rPr>
        <w:t>pretensões</w:t>
      </w:r>
      <w:r w:rsidR="00303055" w:rsidRPr="00D5464D">
        <w:rPr>
          <w:rFonts w:eastAsia="Batang" w:cs="Times"/>
          <w:szCs w:val="24"/>
          <w:lang w:val="pt-BR" w:eastAsia="es-ES"/>
        </w:rPr>
        <w:t xml:space="preserve"> de repara</w:t>
      </w:r>
      <w:r w:rsidR="00470ADC" w:rsidRPr="00D5464D">
        <w:rPr>
          <w:rFonts w:eastAsia="Batang" w:cs="Times"/>
          <w:szCs w:val="24"/>
          <w:lang w:val="pt-BR" w:eastAsia="es-ES"/>
        </w:rPr>
        <w:t>ção</w:t>
      </w:r>
      <w:r w:rsidR="00303055" w:rsidRPr="00D5464D">
        <w:rPr>
          <w:rFonts w:eastAsia="Batang" w:cs="Times"/>
          <w:szCs w:val="24"/>
          <w:lang w:val="pt-BR" w:eastAsia="es-ES"/>
        </w:rPr>
        <w:t xml:space="preserve"> de</w:t>
      </w:r>
      <w:r w:rsidR="00470ADC" w:rsidRPr="00D5464D">
        <w:rPr>
          <w:rFonts w:eastAsia="Batang" w:cs="Times"/>
          <w:szCs w:val="24"/>
          <w:lang w:val="pt-BR" w:eastAsia="es-ES"/>
        </w:rPr>
        <w:t xml:space="preserve"> dano</w:t>
      </w:r>
      <w:r w:rsidR="00303055" w:rsidRPr="00D5464D">
        <w:rPr>
          <w:rFonts w:eastAsia="Batang" w:cs="Times"/>
          <w:szCs w:val="24"/>
          <w:lang w:val="pt-BR" w:eastAsia="es-ES"/>
        </w:rPr>
        <w:t xml:space="preserve"> moral</w:t>
      </w:r>
      <w:r w:rsidR="00E045D9" w:rsidRPr="00D5464D">
        <w:rPr>
          <w:rFonts w:eastAsia="Batang" w:cs="Times"/>
          <w:szCs w:val="24"/>
          <w:lang w:val="pt-BR" w:eastAsia="es-ES"/>
        </w:rPr>
        <w:t xml:space="preserve"> e </w:t>
      </w:r>
      <w:r w:rsidR="00303055" w:rsidRPr="00D5464D">
        <w:rPr>
          <w:rFonts w:eastAsia="Batang" w:cs="Times"/>
          <w:szCs w:val="24"/>
          <w:lang w:val="pt-BR" w:eastAsia="es-ES"/>
        </w:rPr>
        <w:t>material</w:t>
      </w:r>
      <w:r w:rsidR="00702C18" w:rsidRPr="00D5464D">
        <w:rPr>
          <w:rFonts w:eastAsia="Cambria" w:cs="Times New Roman"/>
          <w:szCs w:val="20"/>
          <w:lang w:val="pt-BR"/>
        </w:rPr>
        <w:t>,</w:t>
      </w:r>
      <w:r w:rsidR="00E045D9" w:rsidRPr="00D5464D">
        <w:rPr>
          <w:rFonts w:eastAsia="Cambria" w:cs="Times New Roman"/>
          <w:szCs w:val="20"/>
          <w:lang w:val="pt-BR"/>
        </w:rPr>
        <w:t xml:space="preserve"> nos termo</w:t>
      </w:r>
      <w:r w:rsidR="00702C18" w:rsidRPr="00D5464D">
        <w:rPr>
          <w:rFonts w:eastAsia="Cambria" w:cs="Times New Roman"/>
          <w:szCs w:val="20"/>
          <w:lang w:val="pt-BR"/>
        </w:rPr>
        <w:t>s</w:t>
      </w:r>
      <w:r w:rsidR="00470ADC" w:rsidRPr="00D5464D">
        <w:rPr>
          <w:rFonts w:eastAsia="Cambria" w:cs="Times New Roman"/>
          <w:szCs w:val="20"/>
          <w:lang w:val="pt-BR"/>
        </w:rPr>
        <w:t xml:space="preserve"> dos </w:t>
      </w:r>
      <w:r w:rsidR="002C330E" w:rsidRPr="00D5464D">
        <w:rPr>
          <w:rFonts w:eastAsia="Cambria" w:cs="Times New Roman"/>
          <w:szCs w:val="20"/>
          <w:lang w:val="pt-BR"/>
        </w:rPr>
        <w:t>parágrafo</w:t>
      </w:r>
      <w:r w:rsidR="00702C18" w:rsidRPr="00D5464D">
        <w:rPr>
          <w:rFonts w:eastAsia="Cambria" w:cs="Times New Roman"/>
          <w:szCs w:val="20"/>
          <w:lang w:val="pt-BR"/>
        </w:rPr>
        <w:t xml:space="preserve">s </w:t>
      </w:r>
      <w:r w:rsidR="009E7747" w:rsidRPr="00D5464D">
        <w:rPr>
          <w:rFonts w:eastAsia="Cambria" w:cs="Times New Roman"/>
          <w:szCs w:val="20"/>
          <w:lang w:val="pt-BR"/>
        </w:rPr>
        <w:t>23 a 28, 44 a 50, 54, 71 a 74, 78 a 80, 84, 89 a 93</w:t>
      </w:r>
      <w:r w:rsidR="00E045D9" w:rsidRPr="00D5464D">
        <w:rPr>
          <w:rFonts w:eastAsia="Cambria" w:cs="Times New Roman"/>
          <w:szCs w:val="20"/>
          <w:lang w:val="pt-BR"/>
        </w:rPr>
        <w:t xml:space="preserve"> e </w:t>
      </w:r>
      <w:r w:rsidR="009E7747" w:rsidRPr="00D5464D">
        <w:rPr>
          <w:rFonts w:eastAsia="Cambria" w:cs="Times New Roman"/>
          <w:szCs w:val="20"/>
          <w:lang w:val="pt-BR"/>
        </w:rPr>
        <w:t>98</w:t>
      </w:r>
      <w:r w:rsidR="00470ADC" w:rsidRPr="00D5464D">
        <w:rPr>
          <w:rFonts w:eastAsia="Cambria" w:cs="Times New Roman"/>
          <w:szCs w:val="20"/>
          <w:lang w:val="pt-BR"/>
        </w:rPr>
        <w:t xml:space="preserve"> da </w:t>
      </w:r>
      <w:r w:rsidR="00702C18" w:rsidRPr="00D5464D">
        <w:rPr>
          <w:rFonts w:eastAsia="Cambria" w:cs="Times New Roman"/>
          <w:szCs w:val="20"/>
          <w:lang w:val="pt-BR"/>
        </w:rPr>
        <w:t xml:space="preserve">presente </w:t>
      </w:r>
      <w:r w:rsidR="002C330E" w:rsidRPr="00D5464D">
        <w:rPr>
          <w:rFonts w:eastAsia="Cambria" w:cs="Times New Roman"/>
          <w:szCs w:val="20"/>
          <w:lang w:val="pt-BR"/>
        </w:rPr>
        <w:t>Sentença</w:t>
      </w:r>
      <w:r w:rsidR="00702C18" w:rsidRPr="00D5464D">
        <w:rPr>
          <w:rFonts w:eastAsia="Cambria" w:cs="Times New Roman"/>
          <w:szCs w:val="20"/>
          <w:lang w:val="pt-BR"/>
        </w:rPr>
        <w:t xml:space="preserve">. </w:t>
      </w:r>
      <w:r w:rsidR="00702C18" w:rsidRPr="00D5464D">
        <w:rPr>
          <w:rFonts w:eastAsia="Cambria" w:cs="Times New Roman"/>
          <w:szCs w:val="20"/>
          <w:lang w:val="pt-BR"/>
        </w:rPr>
        <w:cr/>
      </w:r>
    </w:p>
    <w:p w14:paraId="09915C98" w14:textId="738ECB2B" w:rsidR="00702C18" w:rsidRPr="00D5464D" w:rsidRDefault="00702C18" w:rsidP="00F306D7">
      <w:pPr>
        <w:numPr>
          <w:ilvl w:val="0"/>
          <w:numId w:val="14"/>
        </w:numPr>
        <w:tabs>
          <w:tab w:val="clear" w:pos="4419"/>
          <w:tab w:val="clear" w:pos="8838"/>
          <w:tab w:val="left" w:pos="720"/>
        </w:tabs>
        <w:ind w:right="-90"/>
        <w:contextualSpacing/>
        <w:jc w:val="both"/>
        <w:rPr>
          <w:rFonts w:eastAsia="Cambria" w:cs="Times New Roman"/>
          <w:lang w:val="pt-BR"/>
        </w:rPr>
      </w:pPr>
      <w:r w:rsidRPr="00D5464D">
        <w:rPr>
          <w:rFonts w:eastAsia="MS Mincho" w:cs="Times New Roman"/>
          <w:szCs w:val="20"/>
          <w:lang w:val="pt-BR"/>
        </w:rPr>
        <w:t>Declarar parcialmente procedente</w:t>
      </w:r>
      <w:r w:rsidR="002C330E" w:rsidRPr="00D5464D">
        <w:rPr>
          <w:rFonts w:eastAsia="Cambria" w:cs="Times New Roman"/>
          <w:szCs w:val="20"/>
          <w:lang w:val="pt-BR"/>
        </w:rPr>
        <w:t xml:space="preserve"> a </w:t>
      </w:r>
      <w:r w:rsidR="00470ADC" w:rsidRPr="00D5464D">
        <w:rPr>
          <w:rFonts w:eastAsia="Cambria" w:cs="Times New Roman"/>
          <w:szCs w:val="20"/>
          <w:lang w:val="pt-BR"/>
        </w:rPr>
        <w:t>exceção</w:t>
      </w:r>
      <w:r w:rsidRPr="00D5464D">
        <w:rPr>
          <w:rFonts w:eastAsia="Cambria" w:cs="Times New Roman"/>
          <w:szCs w:val="20"/>
          <w:lang w:val="pt-BR"/>
        </w:rPr>
        <w:t xml:space="preserve"> preliminar </w:t>
      </w:r>
      <w:r w:rsidR="002C330E" w:rsidRPr="00D5464D">
        <w:rPr>
          <w:rFonts w:eastAsia="Cambria" w:cs="Times New Roman"/>
          <w:szCs w:val="20"/>
          <w:lang w:val="pt-BR"/>
        </w:rPr>
        <w:t>interpost</w:t>
      </w:r>
      <w:r w:rsidR="009E7747" w:rsidRPr="00D5464D">
        <w:rPr>
          <w:rFonts w:eastAsia="Cambria" w:cs="Times New Roman"/>
          <w:szCs w:val="20"/>
          <w:lang w:val="pt-BR"/>
        </w:rPr>
        <w:t>a</w:t>
      </w:r>
      <w:r w:rsidR="002C330E" w:rsidRPr="00D5464D">
        <w:rPr>
          <w:rFonts w:eastAsia="Cambria" w:cs="Times New Roman"/>
          <w:szCs w:val="20"/>
          <w:lang w:val="pt-BR"/>
        </w:rPr>
        <w:t xml:space="preserve"> pelo </w:t>
      </w:r>
      <w:r w:rsidR="009E7747" w:rsidRPr="00D5464D">
        <w:rPr>
          <w:rFonts w:eastAsia="Cambria" w:cs="Times New Roman"/>
          <w:szCs w:val="20"/>
          <w:lang w:val="pt-BR"/>
        </w:rPr>
        <w:t>Estado relativa</w:t>
      </w:r>
      <w:r w:rsidR="00470ADC" w:rsidRPr="00D5464D">
        <w:rPr>
          <w:rFonts w:eastAsia="Cambria" w:cs="Times New Roman"/>
          <w:szCs w:val="20"/>
          <w:lang w:val="pt-BR"/>
        </w:rPr>
        <w:t xml:space="preserve"> à </w:t>
      </w:r>
      <w:r w:rsidR="009E7747" w:rsidRPr="00D5464D">
        <w:rPr>
          <w:rFonts w:eastAsia="Batang" w:cs="Times"/>
          <w:szCs w:val="24"/>
          <w:lang w:val="pt-BR" w:eastAsia="es-ES"/>
        </w:rPr>
        <w:t>in</w:t>
      </w:r>
      <w:r w:rsidR="00470ADC" w:rsidRPr="00D5464D">
        <w:rPr>
          <w:rFonts w:eastAsia="Batang" w:cs="Times"/>
          <w:szCs w:val="24"/>
          <w:lang w:val="pt-BR" w:eastAsia="es-ES"/>
        </w:rPr>
        <w:t>competência</w:t>
      </w:r>
      <w:r w:rsidR="009E7747" w:rsidRPr="00D5464D">
        <w:rPr>
          <w:rFonts w:eastAsia="Batang" w:cs="Times"/>
          <w:szCs w:val="24"/>
          <w:lang w:val="pt-BR" w:eastAsia="es-ES"/>
        </w:rPr>
        <w:t xml:space="preserve"> </w:t>
      </w:r>
      <w:r w:rsidR="009E7747" w:rsidRPr="00D5464D">
        <w:rPr>
          <w:rFonts w:eastAsia="Batang" w:cs="Times"/>
          <w:i/>
          <w:szCs w:val="24"/>
          <w:lang w:val="pt-BR" w:eastAsia="es-ES"/>
        </w:rPr>
        <w:t>ratione temporis</w:t>
      </w:r>
      <w:r w:rsidR="009E7747" w:rsidRPr="00D5464D">
        <w:rPr>
          <w:rFonts w:eastAsia="Batang" w:cs="Times"/>
          <w:szCs w:val="24"/>
          <w:lang w:val="pt-BR" w:eastAsia="es-ES"/>
        </w:rPr>
        <w:t xml:space="preserve"> </w:t>
      </w:r>
      <w:r w:rsidR="00D6373E" w:rsidRPr="00D5464D">
        <w:rPr>
          <w:rFonts w:eastAsia="Batang" w:cs="Times"/>
          <w:szCs w:val="24"/>
          <w:lang w:val="pt-BR" w:eastAsia="es-ES"/>
        </w:rPr>
        <w:t>em relação a</w:t>
      </w:r>
      <w:r w:rsidR="009E7747" w:rsidRPr="00D5464D">
        <w:rPr>
          <w:rFonts w:eastAsia="Batang" w:cs="Times"/>
          <w:szCs w:val="24"/>
          <w:lang w:val="pt-BR" w:eastAsia="es-ES"/>
        </w:rPr>
        <w:t xml:space="preserve"> </w:t>
      </w:r>
      <w:r w:rsidR="002C330E" w:rsidRPr="00D5464D">
        <w:rPr>
          <w:rFonts w:eastAsia="Batang" w:cs="Times"/>
          <w:szCs w:val="24"/>
          <w:lang w:val="pt-BR" w:eastAsia="es-ES"/>
        </w:rPr>
        <w:t>fatos</w:t>
      </w:r>
      <w:r w:rsidR="009E7747" w:rsidRPr="00D5464D">
        <w:rPr>
          <w:rFonts w:eastAsia="Batang" w:cs="Times"/>
          <w:szCs w:val="24"/>
          <w:lang w:val="pt-BR" w:eastAsia="es-ES"/>
        </w:rPr>
        <w:t xml:space="preserve"> anteriores</w:t>
      </w:r>
      <w:r w:rsidR="00470ADC" w:rsidRPr="00D5464D">
        <w:rPr>
          <w:rFonts w:eastAsia="Batang" w:cs="Times"/>
          <w:szCs w:val="24"/>
          <w:lang w:val="pt-BR" w:eastAsia="es-ES"/>
        </w:rPr>
        <w:t xml:space="preserve"> à data</w:t>
      </w:r>
      <w:r w:rsidR="009E7747" w:rsidRPr="00D5464D">
        <w:rPr>
          <w:rFonts w:eastAsia="Batang" w:cs="Times"/>
          <w:szCs w:val="24"/>
          <w:lang w:val="pt-BR" w:eastAsia="es-ES"/>
        </w:rPr>
        <w:t xml:space="preserve"> de re</w:t>
      </w:r>
      <w:r w:rsidR="00470ADC" w:rsidRPr="00D5464D">
        <w:rPr>
          <w:rFonts w:eastAsia="Batang" w:cs="Times"/>
          <w:szCs w:val="24"/>
          <w:lang w:val="pt-BR" w:eastAsia="es-ES"/>
        </w:rPr>
        <w:t xml:space="preserve">conhecimento da </w:t>
      </w:r>
      <w:r w:rsidR="002C330E" w:rsidRPr="00D5464D">
        <w:rPr>
          <w:rFonts w:eastAsia="Batang" w:cs="Times"/>
          <w:szCs w:val="24"/>
          <w:lang w:val="pt-BR" w:eastAsia="es-ES"/>
        </w:rPr>
        <w:t>jurisdição</w:t>
      </w:r>
      <w:r w:rsidR="00470ADC" w:rsidRPr="00D5464D">
        <w:rPr>
          <w:rFonts w:eastAsia="Batang" w:cs="Times"/>
          <w:szCs w:val="24"/>
          <w:lang w:val="pt-BR" w:eastAsia="es-ES"/>
        </w:rPr>
        <w:t xml:space="preserve"> da </w:t>
      </w:r>
      <w:r w:rsidR="009E7747" w:rsidRPr="00D5464D">
        <w:rPr>
          <w:rFonts w:eastAsia="Batang" w:cs="Times"/>
          <w:szCs w:val="24"/>
          <w:lang w:val="pt-BR" w:eastAsia="es-ES"/>
        </w:rPr>
        <w:t xml:space="preserve">Corte por parte </w:t>
      </w:r>
      <w:r w:rsidR="00470ADC" w:rsidRPr="00D5464D">
        <w:rPr>
          <w:rFonts w:eastAsia="Batang" w:cs="Times"/>
          <w:szCs w:val="24"/>
          <w:lang w:val="pt-BR" w:eastAsia="es-ES"/>
        </w:rPr>
        <w:t xml:space="preserve">do </w:t>
      </w:r>
      <w:r w:rsidR="009E7747" w:rsidRPr="00D5464D">
        <w:rPr>
          <w:rFonts w:eastAsia="Batang" w:cs="Times"/>
          <w:szCs w:val="24"/>
          <w:lang w:val="pt-BR" w:eastAsia="es-ES"/>
        </w:rPr>
        <w:t>Estado</w:t>
      </w:r>
      <w:r w:rsidR="002A0C2B" w:rsidRPr="00D5464D">
        <w:rPr>
          <w:rFonts w:eastAsia="Batang" w:cs="Times"/>
          <w:szCs w:val="24"/>
          <w:lang w:val="pt-BR" w:eastAsia="es-ES"/>
        </w:rPr>
        <w:t xml:space="preserve"> e </w:t>
      </w:r>
      <w:r w:rsidR="00D6373E" w:rsidRPr="00D5464D">
        <w:rPr>
          <w:rFonts w:eastAsia="Batang" w:cs="Times"/>
          <w:szCs w:val="24"/>
          <w:lang w:val="pt-BR" w:eastAsia="es-ES"/>
        </w:rPr>
        <w:t>à</w:t>
      </w:r>
      <w:r w:rsidR="002C330E" w:rsidRPr="00D5464D">
        <w:rPr>
          <w:rFonts w:eastAsia="Batang" w:cs="Times"/>
          <w:szCs w:val="24"/>
          <w:lang w:val="pt-BR" w:eastAsia="es-ES"/>
        </w:rPr>
        <w:t xml:space="preserve"> </w:t>
      </w:r>
      <w:r w:rsidR="009E7747" w:rsidRPr="00D5464D">
        <w:rPr>
          <w:rFonts w:eastAsia="Batang" w:cs="Times"/>
          <w:szCs w:val="24"/>
          <w:lang w:val="pt-BR" w:eastAsia="es-ES"/>
        </w:rPr>
        <w:t>in</w:t>
      </w:r>
      <w:r w:rsidR="00470ADC" w:rsidRPr="00D5464D">
        <w:rPr>
          <w:rFonts w:eastAsia="Batang" w:cs="Times"/>
          <w:szCs w:val="24"/>
          <w:lang w:val="pt-BR" w:eastAsia="es-ES"/>
        </w:rPr>
        <w:t>competência</w:t>
      </w:r>
      <w:r w:rsidR="009E7747" w:rsidRPr="00D5464D">
        <w:rPr>
          <w:rFonts w:eastAsia="Batang" w:cs="Times"/>
          <w:szCs w:val="24"/>
          <w:lang w:val="pt-BR" w:eastAsia="es-ES"/>
        </w:rPr>
        <w:t xml:space="preserve"> </w:t>
      </w:r>
      <w:r w:rsidR="009E7747" w:rsidRPr="00D5464D">
        <w:rPr>
          <w:rFonts w:eastAsia="Batang" w:cs="Times"/>
          <w:i/>
          <w:szCs w:val="24"/>
          <w:lang w:val="pt-BR" w:eastAsia="es-ES"/>
        </w:rPr>
        <w:t>ratione temporis</w:t>
      </w:r>
      <w:r w:rsidR="009E7747" w:rsidRPr="00D5464D">
        <w:rPr>
          <w:rFonts w:eastAsia="Batang" w:cs="Times"/>
          <w:szCs w:val="24"/>
          <w:lang w:val="pt-BR" w:eastAsia="es-ES"/>
        </w:rPr>
        <w:t xml:space="preserve"> sobre </w:t>
      </w:r>
      <w:r w:rsidR="002C330E" w:rsidRPr="00D5464D">
        <w:rPr>
          <w:rFonts w:eastAsia="Batang" w:cs="Times"/>
          <w:szCs w:val="24"/>
          <w:lang w:val="pt-BR" w:eastAsia="es-ES"/>
        </w:rPr>
        <w:t>fatos</w:t>
      </w:r>
      <w:r w:rsidR="009E7747" w:rsidRPr="00D5464D">
        <w:rPr>
          <w:rFonts w:eastAsia="Batang" w:cs="Times"/>
          <w:szCs w:val="24"/>
          <w:lang w:val="pt-BR" w:eastAsia="es-ES"/>
        </w:rPr>
        <w:t xml:space="preserve"> anteriores</w:t>
      </w:r>
      <w:r w:rsidR="00470ADC" w:rsidRPr="00D5464D">
        <w:rPr>
          <w:rFonts w:eastAsia="Batang" w:cs="Times"/>
          <w:szCs w:val="24"/>
          <w:lang w:val="pt-BR" w:eastAsia="es-ES"/>
        </w:rPr>
        <w:t xml:space="preserve"> à </w:t>
      </w:r>
      <w:r w:rsidR="00351C4B" w:rsidRPr="00D5464D">
        <w:rPr>
          <w:rFonts w:eastAsia="Batang" w:cs="Times"/>
          <w:szCs w:val="24"/>
          <w:lang w:val="pt-BR" w:eastAsia="es-ES"/>
        </w:rPr>
        <w:t>adesão</w:t>
      </w:r>
      <w:r w:rsidR="009E7747" w:rsidRPr="00D5464D">
        <w:rPr>
          <w:rFonts w:eastAsia="Batang" w:cs="Times"/>
          <w:szCs w:val="24"/>
          <w:lang w:val="pt-BR" w:eastAsia="es-ES"/>
        </w:rPr>
        <w:t xml:space="preserve"> </w:t>
      </w:r>
      <w:r w:rsidR="00470ADC" w:rsidRPr="00D5464D">
        <w:rPr>
          <w:rFonts w:eastAsia="Batang" w:cs="Times"/>
          <w:szCs w:val="24"/>
          <w:lang w:val="pt-BR" w:eastAsia="es-ES"/>
        </w:rPr>
        <w:t xml:space="preserve">do </w:t>
      </w:r>
      <w:r w:rsidR="009E7747" w:rsidRPr="00D5464D">
        <w:rPr>
          <w:rFonts w:eastAsia="Batang" w:cs="Times"/>
          <w:szCs w:val="24"/>
          <w:lang w:val="pt-BR" w:eastAsia="es-ES"/>
        </w:rPr>
        <w:t>Estado</w:t>
      </w:r>
      <w:r w:rsidR="00470ADC" w:rsidRPr="00D5464D">
        <w:rPr>
          <w:rFonts w:eastAsia="Batang" w:cs="Times"/>
          <w:szCs w:val="24"/>
          <w:lang w:val="pt-BR" w:eastAsia="es-ES"/>
        </w:rPr>
        <w:t xml:space="preserve"> à </w:t>
      </w:r>
      <w:r w:rsidR="009E7747" w:rsidRPr="00D5464D">
        <w:rPr>
          <w:rFonts w:eastAsia="Batang" w:cs="Times"/>
          <w:szCs w:val="24"/>
          <w:lang w:val="pt-BR" w:eastAsia="es-ES"/>
        </w:rPr>
        <w:t>Conven</w:t>
      </w:r>
      <w:r w:rsidR="00470ADC" w:rsidRPr="00D5464D">
        <w:rPr>
          <w:rFonts w:eastAsia="Batang" w:cs="Times"/>
          <w:szCs w:val="24"/>
          <w:lang w:val="pt-BR" w:eastAsia="es-ES"/>
        </w:rPr>
        <w:t>ção</w:t>
      </w:r>
      <w:r w:rsidR="009E7747" w:rsidRPr="00D5464D">
        <w:rPr>
          <w:rFonts w:eastAsia="Batang" w:cs="Times"/>
          <w:szCs w:val="24"/>
          <w:lang w:val="pt-BR" w:eastAsia="es-ES"/>
        </w:rPr>
        <w:t xml:space="preserve"> Americana</w:t>
      </w:r>
      <w:r w:rsidRPr="00D5464D">
        <w:rPr>
          <w:rFonts w:eastAsia="Cambria" w:cs="Times New Roman"/>
          <w:szCs w:val="20"/>
          <w:lang w:val="pt-BR"/>
        </w:rPr>
        <w:t>,</w:t>
      </w:r>
      <w:r w:rsidR="00E045D9" w:rsidRPr="00D5464D">
        <w:rPr>
          <w:rFonts w:eastAsia="Cambria" w:cs="Times New Roman"/>
          <w:szCs w:val="20"/>
          <w:lang w:val="pt-BR"/>
        </w:rPr>
        <w:t xml:space="preserve"> nos termo</w:t>
      </w:r>
      <w:r w:rsidRPr="00D5464D">
        <w:rPr>
          <w:rFonts w:eastAsia="Cambria" w:cs="Times New Roman"/>
          <w:szCs w:val="20"/>
          <w:lang w:val="pt-BR"/>
        </w:rPr>
        <w:t>s</w:t>
      </w:r>
      <w:r w:rsidR="00470ADC" w:rsidRPr="00D5464D">
        <w:rPr>
          <w:rFonts w:eastAsia="Cambria" w:cs="Times New Roman"/>
          <w:szCs w:val="20"/>
          <w:lang w:val="pt-BR"/>
        </w:rPr>
        <w:t xml:space="preserve"> dos </w:t>
      </w:r>
      <w:r w:rsidR="002C330E" w:rsidRPr="00D5464D">
        <w:rPr>
          <w:rFonts w:eastAsia="Cambria" w:cs="Times New Roman"/>
          <w:szCs w:val="20"/>
          <w:lang w:val="pt-BR"/>
        </w:rPr>
        <w:t>parágrafo</w:t>
      </w:r>
      <w:r w:rsidRPr="00D5464D">
        <w:rPr>
          <w:rFonts w:eastAsia="Cambria" w:cs="Times New Roman"/>
          <w:szCs w:val="20"/>
          <w:lang w:val="pt-BR"/>
        </w:rPr>
        <w:t xml:space="preserve">s </w:t>
      </w:r>
      <w:r w:rsidR="009E7747" w:rsidRPr="00D5464D">
        <w:rPr>
          <w:rFonts w:eastAsia="Cambria" w:cs="Times New Roman"/>
          <w:szCs w:val="20"/>
          <w:lang w:val="pt-BR"/>
        </w:rPr>
        <w:t>63 a 65</w:t>
      </w:r>
      <w:r w:rsidR="00470ADC" w:rsidRPr="00D5464D">
        <w:rPr>
          <w:rFonts w:eastAsia="Cambria" w:cs="Times New Roman"/>
          <w:szCs w:val="20"/>
          <w:lang w:val="pt-BR"/>
        </w:rPr>
        <w:t xml:space="preserve"> da </w:t>
      </w:r>
      <w:r w:rsidRPr="00D5464D">
        <w:rPr>
          <w:rFonts w:eastAsia="Cambria" w:cs="Times New Roman"/>
          <w:szCs w:val="20"/>
          <w:lang w:val="pt-BR"/>
        </w:rPr>
        <w:t xml:space="preserve">presente </w:t>
      </w:r>
      <w:r w:rsidR="002C330E" w:rsidRPr="00D5464D">
        <w:rPr>
          <w:rFonts w:eastAsia="Cambria" w:cs="Times New Roman"/>
          <w:szCs w:val="20"/>
          <w:lang w:val="pt-BR"/>
        </w:rPr>
        <w:t>Sentença</w:t>
      </w:r>
      <w:r w:rsidRPr="00D5464D">
        <w:rPr>
          <w:rFonts w:eastAsia="Cambria" w:cs="Times New Roman"/>
          <w:szCs w:val="20"/>
          <w:lang w:val="pt-BR"/>
        </w:rPr>
        <w:t xml:space="preserve">. </w:t>
      </w:r>
      <w:r w:rsidRPr="00D5464D">
        <w:rPr>
          <w:rFonts w:eastAsia="Cambria" w:cs="Times New Roman"/>
          <w:szCs w:val="20"/>
          <w:lang w:val="pt-BR"/>
        </w:rPr>
        <w:cr/>
      </w:r>
    </w:p>
    <w:p w14:paraId="2899F6A8" w14:textId="77777777" w:rsidR="00702C18" w:rsidRPr="00D5464D" w:rsidRDefault="00702C18" w:rsidP="00702C18">
      <w:pPr>
        <w:tabs>
          <w:tab w:val="clear" w:pos="4419"/>
          <w:tab w:val="clear" w:pos="8838"/>
          <w:tab w:val="left" w:pos="720"/>
        </w:tabs>
        <w:ind w:right="-90"/>
        <w:contextualSpacing/>
        <w:rPr>
          <w:rFonts w:eastAsia="MS Mincho" w:cs="Times New Roman"/>
          <w:szCs w:val="20"/>
          <w:lang w:val="pt-BR" w:bidi="en-US"/>
        </w:rPr>
      </w:pPr>
      <w:r w:rsidRPr="00D5464D">
        <w:rPr>
          <w:rFonts w:eastAsia="MS Mincho" w:cs="Times New Roman"/>
          <w:b/>
          <w:bCs/>
          <w:szCs w:val="20"/>
          <w:lang w:val="pt-BR" w:bidi="en-US"/>
        </w:rPr>
        <w:t xml:space="preserve">DECLARA: </w:t>
      </w:r>
    </w:p>
    <w:p w14:paraId="359850CA" w14:textId="77777777" w:rsidR="00702C18" w:rsidRPr="00D5464D" w:rsidRDefault="00702C18" w:rsidP="00702C18">
      <w:pPr>
        <w:tabs>
          <w:tab w:val="clear" w:pos="4419"/>
          <w:tab w:val="clear" w:pos="8838"/>
          <w:tab w:val="left" w:pos="720"/>
        </w:tabs>
        <w:ind w:right="-90"/>
        <w:contextualSpacing/>
        <w:rPr>
          <w:rFonts w:eastAsia="MS Mincho" w:cs="Times New Roman"/>
          <w:szCs w:val="20"/>
          <w:lang w:val="pt-BR" w:bidi="en-US"/>
        </w:rPr>
      </w:pPr>
    </w:p>
    <w:p w14:paraId="2F603358" w14:textId="483E4BCF" w:rsidR="00702C18" w:rsidRPr="00D5464D" w:rsidRDefault="00702C18" w:rsidP="00702C18">
      <w:pPr>
        <w:tabs>
          <w:tab w:val="clear" w:pos="4419"/>
          <w:tab w:val="clear" w:pos="8838"/>
        </w:tabs>
        <w:ind w:right="-90"/>
        <w:contextualSpacing/>
        <w:rPr>
          <w:rFonts w:eastAsia="MS Mincho" w:cs="Times New Roman"/>
          <w:szCs w:val="20"/>
          <w:lang w:val="pt-BR" w:bidi="en-US"/>
        </w:rPr>
      </w:pPr>
      <w:r w:rsidRPr="00D5464D">
        <w:rPr>
          <w:rFonts w:eastAsia="MS Mincho" w:cs="Times New Roman"/>
          <w:szCs w:val="20"/>
          <w:lang w:val="pt-BR" w:bidi="en-US"/>
        </w:rPr>
        <w:t xml:space="preserve">Por </w:t>
      </w:r>
      <w:r w:rsidR="00E045D9" w:rsidRPr="00D5464D">
        <w:rPr>
          <w:rFonts w:eastAsia="MS Mincho" w:cs="Times New Roman"/>
          <w:szCs w:val="20"/>
          <w:lang w:val="pt-BR" w:bidi="en-US"/>
        </w:rPr>
        <w:t>unanimidade,</w:t>
      </w:r>
      <w:r w:rsidRPr="00D5464D">
        <w:rPr>
          <w:rFonts w:eastAsia="MS Mincho" w:cs="Times New Roman"/>
          <w:szCs w:val="20"/>
          <w:lang w:val="pt-BR" w:bidi="en-US"/>
        </w:rPr>
        <w:t xml:space="preserve"> que:</w:t>
      </w:r>
    </w:p>
    <w:p w14:paraId="1CE8D04D" w14:textId="77777777" w:rsidR="00E94DEB" w:rsidRPr="00D5464D" w:rsidRDefault="00E94DEB" w:rsidP="00E94DEB">
      <w:pPr>
        <w:tabs>
          <w:tab w:val="clear" w:pos="4419"/>
          <w:tab w:val="clear" w:pos="8838"/>
          <w:tab w:val="left" w:pos="720"/>
        </w:tabs>
        <w:ind w:right="-90"/>
        <w:contextualSpacing/>
        <w:jc w:val="both"/>
        <w:rPr>
          <w:rFonts w:eastAsia="Cambria" w:cs="Times New Roman"/>
          <w:szCs w:val="20"/>
          <w:lang w:val="pt-BR"/>
        </w:rPr>
      </w:pPr>
    </w:p>
    <w:p w14:paraId="14DE759E" w14:textId="165E33BA" w:rsidR="00702C18" w:rsidRPr="00D5464D" w:rsidRDefault="00470ADC" w:rsidP="00F306D7">
      <w:pPr>
        <w:numPr>
          <w:ilvl w:val="0"/>
          <w:numId w:val="14"/>
        </w:numPr>
        <w:tabs>
          <w:tab w:val="clear" w:pos="4419"/>
          <w:tab w:val="clear" w:pos="8838"/>
          <w:tab w:val="left" w:pos="720"/>
        </w:tabs>
        <w:ind w:right="-90"/>
        <w:contextualSpacing/>
        <w:jc w:val="both"/>
        <w:rPr>
          <w:rFonts w:eastAsia="Cambria" w:cs="Times New Roman"/>
          <w:szCs w:val="20"/>
          <w:lang w:val="pt-BR"/>
        </w:rPr>
      </w:pPr>
      <w:r w:rsidRPr="00D5464D">
        <w:rPr>
          <w:rFonts w:eastAsia="MS Mincho" w:cs="Times New Roman"/>
          <w:szCs w:val="20"/>
          <w:lang w:val="pt-BR" w:bidi="en-US"/>
        </w:rPr>
        <w:t xml:space="preserve">O </w:t>
      </w:r>
      <w:r w:rsidR="00702C18" w:rsidRPr="00D5464D">
        <w:rPr>
          <w:rFonts w:eastAsia="MS Mincho" w:cs="Times New Roman"/>
          <w:szCs w:val="20"/>
          <w:lang w:val="pt-BR"/>
        </w:rPr>
        <w:t>Estado</w:t>
      </w:r>
      <w:r w:rsidRPr="00D5464D">
        <w:rPr>
          <w:rFonts w:eastAsia="Cambria" w:cs="Times New Roman"/>
          <w:szCs w:val="20"/>
          <w:lang w:val="pt-BR"/>
        </w:rPr>
        <w:t xml:space="preserve"> é </w:t>
      </w:r>
      <w:r w:rsidR="002C330E" w:rsidRPr="00D5464D">
        <w:rPr>
          <w:rFonts w:eastAsia="Cambria" w:cs="Times New Roman"/>
          <w:szCs w:val="20"/>
          <w:lang w:val="pt-BR"/>
        </w:rPr>
        <w:t xml:space="preserve">responsável pela </w:t>
      </w:r>
      <w:r w:rsidR="00702C18" w:rsidRPr="00D5464D">
        <w:rPr>
          <w:rFonts w:eastAsia="Cambria" w:cs="Times New Roman"/>
          <w:lang w:val="pt-BR"/>
        </w:rPr>
        <w:t>viola</w:t>
      </w:r>
      <w:r w:rsidRPr="00D5464D">
        <w:rPr>
          <w:rFonts w:eastAsia="Cambria" w:cs="Times New Roman"/>
          <w:lang w:val="pt-BR"/>
        </w:rPr>
        <w:t>ção</w:t>
      </w:r>
      <w:r w:rsidR="00702C18" w:rsidRPr="00D5464D">
        <w:rPr>
          <w:rFonts w:eastAsia="Cambria" w:cs="Times New Roman"/>
          <w:lang w:val="pt-BR"/>
        </w:rPr>
        <w:t xml:space="preserve"> </w:t>
      </w:r>
      <w:r w:rsidRPr="00D5464D">
        <w:rPr>
          <w:rFonts w:eastAsia="Cambria" w:cs="Times New Roman"/>
          <w:lang w:val="pt-BR"/>
        </w:rPr>
        <w:t>do direito</w:t>
      </w:r>
      <w:r w:rsidR="00702C18" w:rsidRPr="00D5464D">
        <w:rPr>
          <w:rFonts w:eastAsia="Cambria" w:cs="Times New Roman"/>
          <w:lang w:val="pt-BR"/>
        </w:rPr>
        <w:t xml:space="preserve"> </w:t>
      </w:r>
      <w:r w:rsidR="00230C71" w:rsidRPr="00D5464D">
        <w:rPr>
          <w:rFonts w:eastAsia="Cambria" w:cs="Times New Roman"/>
          <w:lang w:val="pt-BR"/>
        </w:rPr>
        <w:t xml:space="preserve">a não ser </w:t>
      </w:r>
      <w:r w:rsidR="002C330E" w:rsidRPr="00D5464D">
        <w:rPr>
          <w:rFonts w:eastAsia="Cambria" w:cs="Times New Roman"/>
          <w:lang w:val="pt-BR"/>
        </w:rPr>
        <w:t>submetido</w:t>
      </w:r>
      <w:r w:rsidR="00702C18" w:rsidRPr="00D5464D">
        <w:rPr>
          <w:rFonts w:eastAsia="Cambria" w:cs="Times New Roman"/>
          <w:lang w:val="pt-BR"/>
        </w:rPr>
        <w:t xml:space="preserve"> a </w:t>
      </w:r>
      <w:r w:rsidR="000B376D" w:rsidRPr="00D5464D">
        <w:rPr>
          <w:rFonts w:eastAsia="Cambria" w:cs="Times New Roman"/>
          <w:lang w:val="pt-BR"/>
        </w:rPr>
        <w:t>escravidão</w:t>
      </w:r>
      <w:r w:rsidR="00E045D9" w:rsidRPr="00D5464D">
        <w:rPr>
          <w:rFonts w:eastAsia="Cambria" w:cs="Times New Roman"/>
          <w:lang w:val="pt-BR"/>
        </w:rPr>
        <w:t xml:space="preserve"> e</w:t>
      </w:r>
      <w:r w:rsidR="00D6373E" w:rsidRPr="00D5464D">
        <w:rPr>
          <w:rFonts w:eastAsia="Cambria" w:cs="Times New Roman"/>
          <w:lang w:val="pt-BR"/>
        </w:rPr>
        <w:t xml:space="preserve"> ao</w:t>
      </w:r>
      <w:r w:rsidR="004F1CC2" w:rsidRPr="00D5464D">
        <w:rPr>
          <w:rFonts w:eastAsia="Cambria" w:cs="Times New Roman"/>
          <w:lang w:val="pt-BR"/>
        </w:rPr>
        <w:t xml:space="preserve"> tráfico de pessoas</w:t>
      </w:r>
      <w:r w:rsidR="00702C18" w:rsidRPr="00D5464D">
        <w:rPr>
          <w:rFonts w:eastAsia="Cambria" w:cs="Times New Roman"/>
          <w:lang w:val="pt-BR"/>
        </w:rPr>
        <w:t xml:space="preserve">, </w:t>
      </w:r>
      <w:r w:rsidRPr="00D5464D">
        <w:rPr>
          <w:rFonts w:eastAsia="Cambria" w:cs="Times New Roman"/>
          <w:lang w:val="pt-BR"/>
        </w:rPr>
        <w:t>estabelecid</w:t>
      </w:r>
      <w:r w:rsidR="00702C18" w:rsidRPr="00D5464D">
        <w:rPr>
          <w:rFonts w:eastAsia="Cambria" w:cs="Times New Roman"/>
          <w:lang w:val="pt-BR"/>
        </w:rPr>
        <w:t>o</w:t>
      </w:r>
      <w:r w:rsidR="00E045D9" w:rsidRPr="00D5464D">
        <w:rPr>
          <w:rFonts w:eastAsia="Cambria" w:cs="Times New Roman"/>
          <w:lang w:val="pt-BR"/>
        </w:rPr>
        <w:t xml:space="preserve"> no </w:t>
      </w:r>
      <w:r w:rsidRPr="00D5464D">
        <w:rPr>
          <w:rFonts w:eastAsia="Cambria" w:cs="Times New Roman"/>
          <w:lang w:val="pt-BR"/>
        </w:rPr>
        <w:t>artigo</w:t>
      </w:r>
      <w:r w:rsidR="00702C18" w:rsidRPr="00D5464D">
        <w:rPr>
          <w:rFonts w:eastAsia="Cambria" w:cs="Times New Roman"/>
          <w:lang w:val="pt-BR"/>
        </w:rPr>
        <w:t xml:space="preserve"> 6.1</w:t>
      </w:r>
      <w:r w:rsidRPr="00D5464D">
        <w:rPr>
          <w:rFonts w:eastAsia="Cambria" w:cs="Times New Roman"/>
          <w:lang w:val="pt-BR"/>
        </w:rPr>
        <w:t xml:space="preserve"> da </w:t>
      </w:r>
      <w:r w:rsidR="00702C18" w:rsidRPr="00D5464D">
        <w:rPr>
          <w:rFonts w:eastAsia="Cambria" w:cs="Times New Roman"/>
          <w:lang w:val="pt-BR"/>
        </w:rPr>
        <w:t>Conven</w:t>
      </w:r>
      <w:r w:rsidRPr="00D5464D">
        <w:rPr>
          <w:rFonts w:eastAsia="Cambria" w:cs="Times New Roman"/>
          <w:lang w:val="pt-BR"/>
        </w:rPr>
        <w:t>ção</w:t>
      </w:r>
      <w:r w:rsidR="00702C18" w:rsidRPr="00D5464D">
        <w:rPr>
          <w:rFonts w:eastAsia="Cambria" w:cs="Times New Roman"/>
          <w:lang w:val="pt-BR"/>
        </w:rPr>
        <w:t xml:space="preserve"> Americana sobre </w:t>
      </w:r>
      <w:r w:rsidRPr="00D5464D">
        <w:rPr>
          <w:rFonts w:eastAsia="Cambria" w:cs="Times New Roman"/>
          <w:lang w:val="pt-BR"/>
        </w:rPr>
        <w:t>Direito</w:t>
      </w:r>
      <w:r w:rsidR="00702C18" w:rsidRPr="00D5464D">
        <w:rPr>
          <w:rFonts w:eastAsia="Cambria" w:cs="Times New Roman"/>
          <w:lang w:val="pt-BR"/>
        </w:rPr>
        <w:t>s Humanos,</w:t>
      </w:r>
      <w:r w:rsidRPr="00D5464D">
        <w:rPr>
          <w:rFonts w:eastAsia="Cambria" w:cs="Times New Roman"/>
          <w:lang w:val="pt-BR"/>
        </w:rPr>
        <w:t xml:space="preserve"> </w:t>
      </w:r>
      <w:r w:rsidR="00A1358C" w:rsidRPr="00D5464D">
        <w:rPr>
          <w:rFonts w:eastAsia="Cambria" w:cs="Times New Roman"/>
          <w:lang w:val="pt-BR"/>
        </w:rPr>
        <w:t>em relação aos artigos</w:t>
      </w:r>
      <w:r w:rsidR="00702C18" w:rsidRPr="00D5464D">
        <w:rPr>
          <w:rFonts w:eastAsia="Cambria" w:cs="Times New Roman"/>
          <w:lang w:val="pt-BR"/>
        </w:rPr>
        <w:t xml:space="preserve"> 1.1, 3, 5, 7, 11</w:t>
      </w:r>
      <w:r w:rsidR="00E045D9" w:rsidRPr="00D5464D">
        <w:rPr>
          <w:rFonts w:eastAsia="Cambria" w:cs="Times New Roman"/>
          <w:lang w:val="pt-BR"/>
        </w:rPr>
        <w:t xml:space="preserve"> e </w:t>
      </w:r>
      <w:r w:rsidR="00702C18" w:rsidRPr="00D5464D">
        <w:rPr>
          <w:rFonts w:eastAsia="Cambria" w:cs="Times New Roman"/>
          <w:lang w:val="pt-BR"/>
        </w:rPr>
        <w:t xml:space="preserve">22 </w:t>
      </w:r>
      <w:r w:rsidRPr="00D5464D">
        <w:rPr>
          <w:rFonts w:eastAsia="Cambria" w:cs="Times New Roman"/>
          <w:lang w:val="pt-BR"/>
        </w:rPr>
        <w:t xml:space="preserve">do </w:t>
      </w:r>
      <w:r w:rsidR="002C330E" w:rsidRPr="00D5464D">
        <w:rPr>
          <w:rFonts w:eastAsia="Cambria" w:cs="Times New Roman"/>
          <w:lang w:val="pt-BR"/>
        </w:rPr>
        <w:t>mesm</w:t>
      </w:r>
      <w:r w:rsidR="00702C18" w:rsidRPr="00D5464D">
        <w:rPr>
          <w:rFonts w:eastAsia="Cambria" w:cs="Times New Roman"/>
          <w:lang w:val="pt-BR"/>
        </w:rPr>
        <w:t>o instrumento,</w:t>
      </w:r>
      <w:r w:rsidRPr="00D5464D">
        <w:rPr>
          <w:rFonts w:eastAsia="Cambria" w:cs="Times New Roman"/>
          <w:lang w:val="pt-BR"/>
        </w:rPr>
        <w:t xml:space="preserve"> em </w:t>
      </w:r>
      <w:r w:rsidR="002C330E" w:rsidRPr="00D5464D">
        <w:rPr>
          <w:rFonts w:eastAsia="Cambria" w:cs="Times New Roman"/>
          <w:lang w:val="pt-BR"/>
        </w:rPr>
        <w:t>prejuízo</w:t>
      </w:r>
      <w:r w:rsidRPr="00D5464D">
        <w:rPr>
          <w:rFonts w:eastAsia="Cambria" w:cs="Times New Roman"/>
          <w:lang w:val="pt-BR"/>
        </w:rPr>
        <w:t xml:space="preserve"> dos </w:t>
      </w:r>
      <w:r w:rsidR="00702C18" w:rsidRPr="00D5464D">
        <w:rPr>
          <w:rFonts w:eastAsia="Cambria" w:cs="Times New Roman"/>
          <w:lang w:val="pt-BR"/>
        </w:rPr>
        <w:t xml:space="preserve">85 </w:t>
      </w:r>
      <w:r w:rsidR="00E045D9" w:rsidRPr="00D5464D">
        <w:rPr>
          <w:rFonts w:eastAsia="Cambria" w:cs="Times New Roman"/>
          <w:lang w:val="pt-BR"/>
        </w:rPr>
        <w:t>trabalhadores</w:t>
      </w:r>
      <w:r w:rsidR="00702C18" w:rsidRPr="00D5464D">
        <w:rPr>
          <w:rFonts w:eastAsia="Cambria" w:cs="Times New Roman"/>
          <w:lang w:val="pt-BR"/>
        </w:rPr>
        <w:t xml:space="preserve"> </w:t>
      </w:r>
      <w:r w:rsidR="0090341D" w:rsidRPr="00D5464D">
        <w:rPr>
          <w:rFonts w:eastAsia="Cambria" w:cs="Times New Roman"/>
          <w:lang w:val="pt-BR"/>
        </w:rPr>
        <w:t>resgatado</w:t>
      </w:r>
      <w:r w:rsidR="00702C18" w:rsidRPr="00D5464D">
        <w:rPr>
          <w:rFonts w:eastAsia="Cambria" w:cs="Times New Roman"/>
          <w:lang w:val="pt-BR"/>
        </w:rPr>
        <w:t>s</w:t>
      </w:r>
      <w:r w:rsidR="00C91CB1" w:rsidRPr="00D5464D">
        <w:rPr>
          <w:rFonts w:eastAsia="Cambria" w:cs="Times New Roman"/>
          <w:lang w:val="pt-BR"/>
        </w:rPr>
        <w:t xml:space="preserve"> em 1</w:t>
      </w:r>
      <w:r w:rsidR="00702C18" w:rsidRPr="00D5464D">
        <w:rPr>
          <w:rFonts w:eastAsia="Cambria" w:cs="Times New Roman"/>
          <w:lang w:val="pt-BR"/>
        </w:rPr>
        <w:t xml:space="preserve">5 de </w:t>
      </w:r>
      <w:r w:rsidR="002C330E" w:rsidRPr="00D5464D">
        <w:rPr>
          <w:rFonts w:eastAsia="Cambria" w:cs="Times New Roman"/>
          <w:lang w:val="pt-BR"/>
        </w:rPr>
        <w:t>março</w:t>
      </w:r>
      <w:r w:rsidR="00702C18" w:rsidRPr="00D5464D">
        <w:rPr>
          <w:rFonts w:eastAsia="Cambria" w:cs="Times New Roman"/>
          <w:lang w:val="pt-BR"/>
        </w:rPr>
        <w:t xml:space="preserve"> de 2000</w:t>
      </w:r>
      <w:r w:rsidR="00E045D9" w:rsidRPr="00D5464D">
        <w:rPr>
          <w:rFonts w:eastAsia="Cambria" w:cs="Times New Roman"/>
          <w:lang w:val="pt-BR"/>
        </w:rPr>
        <w:t xml:space="preserve"> na </w:t>
      </w:r>
      <w:r w:rsidR="00D809F0" w:rsidRPr="00D5464D">
        <w:rPr>
          <w:rFonts w:eastAsia="Cambria" w:cs="Times New Roman"/>
          <w:lang w:val="pt-BR"/>
        </w:rPr>
        <w:t>Fazenda</w:t>
      </w:r>
      <w:r w:rsidR="00702C18" w:rsidRPr="00D5464D">
        <w:rPr>
          <w:rFonts w:eastAsia="Cambria" w:cs="Times New Roman"/>
          <w:lang w:val="pt-BR"/>
        </w:rPr>
        <w:t xml:space="preserve"> Brasil Verde, </w:t>
      </w:r>
      <w:r w:rsidR="00E045D9" w:rsidRPr="00D5464D">
        <w:rPr>
          <w:rFonts w:eastAsia="Cambria" w:cs="Times New Roman"/>
          <w:lang w:val="pt-BR"/>
        </w:rPr>
        <w:t>lista</w:t>
      </w:r>
      <w:r w:rsidR="00D6373E" w:rsidRPr="00D5464D">
        <w:rPr>
          <w:rFonts w:eastAsia="Cambria" w:cs="Times New Roman"/>
          <w:lang w:val="pt-BR"/>
        </w:rPr>
        <w:t>do</w:t>
      </w:r>
      <w:r w:rsidR="00702C18" w:rsidRPr="00D5464D">
        <w:rPr>
          <w:rFonts w:eastAsia="Cambria" w:cs="Times New Roman"/>
          <w:lang w:val="pt-BR"/>
        </w:rPr>
        <w:t>s</w:t>
      </w:r>
      <w:r w:rsidR="00E045D9" w:rsidRPr="00D5464D">
        <w:rPr>
          <w:rFonts w:eastAsia="Cambria" w:cs="Times New Roman"/>
          <w:lang w:val="pt-BR"/>
        </w:rPr>
        <w:t xml:space="preserve"> no </w:t>
      </w:r>
      <w:r w:rsidR="002C330E" w:rsidRPr="00D5464D">
        <w:rPr>
          <w:rFonts w:eastAsia="Cambria" w:cs="Times New Roman"/>
          <w:lang w:val="pt-BR"/>
        </w:rPr>
        <w:t>parágrafo</w:t>
      </w:r>
      <w:r w:rsidR="00702C18" w:rsidRPr="00D5464D">
        <w:rPr>
          <w:rFonts w:eastAsia="Cambria" w:cs="Times New Roman"/>
          <w:lang w:val="pt-BR"/>
        </w:rPr>
        <w:t xml:space="preserve"> </w:t>
      </w:r>
      <w:r w:rsidR="00A21B95" w:rsidRPr="00D5464D">
        <w:rPr>
          <w:rFonts w:eastAsia="Cambria" w:cs="Times New Roman"/>
          <w:lang w:val="pt-BR"/>
        </w:rPr>
        <w:t>206</w:t>
      </w:r>
      <w:r w:rsidRPr="00D5464D">
        <w:rPr>
          <w:rFonts w:eastAsia="Cambria" w:cs="Times New Roman"/>
          <w:lang w:val="pt-BR"/>
        </w:rPr>
        <w:t xml:space="preserve"> da </w:t>
      </w:r>
      <w:r w:rsidR="00702C18" w:rsidRPr="00D5464D">
        <w:rPr>
          <w:rFonts w:eastAsia="Cambria" w:cs="Times New Roman"/>
          <w:lang w:val="pt-BR"/>
        </w:rPr>
        <w:t xml:space="preserve">presente </w:t>
      </w:r>
      <w:r w:rsidR="002C330E" w:rsidRPr="00D5464D">
        <w:rPr>
          <w:rFonts w:eastAsia="Cambria" w:cs="Times New Roman"/>
          <w:lang w:val="pt-BR"/>
        </w:rPr>
        <w:t>Sentença</w:t>
      </w:r>
      <w:r w:rsidR="00702C18" w:rsidRPr="00D5464D">
        <w:rPr>
          <w:rFonts w:eastAsia="Cambria" w:cs="Times New Roman"/>
          <w:lang w:val="pt-BR"/>
        </w:rPr>
        <w:t>,</w:t>
      </w:r>
      <w:r w:rsidR="00E045D9" w:rsidRPr="00D5464D">
        <w:rPr>
          <w:rFonts w:eastAsia="Cambria" w:cs="Times New Roman"/>
          <w:lang w:val="pt-BR"/>
        </w:rPr>
        <w:t xml:space="preserve"> nos </w:t>
      </w:r>
      <w:r w:rsidR="00E045D9" w:rsidRPr="00D5464D">
        <w:rPr>
          <w:rFonts w:eastAsia="Cambria" w:cs="Times New Roman"/>
          <w:szCs w:val="20"/>
          <w:lang w:val="pt-BR"/>
        </w:rPr>
        <w:t>termo</w:t>
      </w:r>
      <w:r w:rsidR="00702C18" w:rsidRPr="00D5464D">
        <w:rPr>
          <w:rFonts w:eastAsia="Cambria" w:cs="Times New Roman"/>
          <w:szCs w:val="20"/>
          <w:lang w:val="pt-BR"/>
        </w:rPr>
        <w:t>s</w:t>
      </w:r>
      <w:r w:rsidRPr="00D5464D">
        <w:rPr>
          <w:rFonts w:eastAsia="Cambria" w:cs="Times New Roman"/>
          <w:szCs w:val="20"/>
          <w:lang w:val="pt-BR"/>
        </w:rPr>
        <w:t xml:space="preserve"> dos </w:t>
      </w:r>
      <w:r w:rsidR="002C330E" w:rsidRPr="00D5464D">
        <w:rPr>
          <w:rFonts w:eastAsia="Cambria" w:cs="Times New Roman"/>
          <w:szCs w:val="20"/>
          <w:lang w:val="pt-BR"/>
        </w:rPr>
        <w:t>parágrafo</w:t>
      </w:r>
      <w:r w:rsidR="00702C18" w:rsidRPr="00D5464D">
        <w:rPr>
          <w:rFonts w:eastAsia="Cambria" w:cs="Times New Roman"/>
          <w:szCs w:val="20"/>
          <w:lang w:val="pt-BR"/>
        </w:rPr>
        <w:t xml:space="preserve">s </w:t>
      </w:r>
      <w:r w:rsidR="00A21B95" w:rsidRPr="00D5464D">
        <w:rPr>
          <w:rFonts w:eastAsia="Cambria" w:cs="Times New Roman"/>
          <w:szCs w:val="20"/>
          <w:lang w:val="pt-BR"/>
        </w:rPr>
        <w:t>342</w:t>
      </w:r>
      <w:r w:rsidR="00E045D9" w:rsidRPr="00D5464D">
        <w:rPr>
          <w:rFonts w:eastAsia="Cambria" w:cs="Times New Roman"/>
          <w:szCs w:val="20"/>
          <w:lang w:val="pt-BR"/>
        </w:rPr>
        <w:t xml:space="preserve"> e </w:t>
      </w:r>
      <w:r w:rsidR="00A21B95" w:rsidRPr="00D5464D">
        <w:rPr>
          <w:rFonts w:eastAsia="Cambria" w:cs="Times New Roman"/>
          <w:szCs w:val="20"/>
          <w:lang w:val="pt-BR"/>
        </w:rPr>
        <w:t>343</w:t>
      </w:r>
      <w:r w:rsidRPr="00D5464D">
        <w:rPr>
          <w:rFonts w:eastAsia="Cambria" w:cs="Times New Roman"/>
          <w:szCs w:val="20"/>
          <w:lang w:val="pt-BR"/>
        </w:rPr>
        <w:t xml:space="preserve"> da </w:t>
      </w:r>
      <w:r w:rsidR="00702C18" w:rsidRPr="00D5464D">
        <w:rPr>
          <w:rFonts w:eastAsia="Cambria" w:cs="Times New Roman"/>
          <w:szCs w:val="20"/>
          <w:lang w:val="pt-BR"/>
        </w:rPr>
        <w:t xml:space="preserve">presente </w:t>
      </w:r>
      <w:r w:rsidR="002C330E" w:rsidRPr="00D5464D">
        <w:rPr>
          <w:rFonts w:eastAsia="Cambria" w:cs="Times New Roman"/>
          <w:szCs w:val="20"/>
          <w:lang w:val="pt-BR"/>
        </w:rPr>
        <w:t>Sentença</w:t>
      </w:r>
      <w:r w:rsidR="00702C18" w:rsidRPr="00D5464D">
        <w:rPr>
          <w:rFonts w:eastAsia="Cambria" w:cs="Times New Roman"/>
          <w:lang w:val="pt-BR"/>
        </w:rPr>
        <w:t xml:space="preserve">. Adicionalmente, </w:t>
      </w:r>
      <w:r w:rsidR="00D6373E" w:rsidRPr="00D5464D">
        <w:rPr>
          <w:rFonts w:eastAsia="Cambria" w:cs="Times New Roman"/>
          <w:lang w:val="pt-BR"/>
        </w:rPr>
        <w:t xml:space="preserve">em relação </w:t>
      </w:r>
      <w:r w:rsidRPr="00D5464D">
        <w:rPr>
          <w:rFonts w:eastAsia="Cambria" w:cs="Times New Roman"/>
          <w:lang w:val="pt-BR"/>
        </w:rPr>
        <w:t xml:space="preserve">ao </w:t>
      </w:r>
      <w:r w:rsidR="002C330E" w:rsidRPr="00D5464D">
        <w:rPr>
          <w:rFonts w:eastAsia="Cambria" w:cs="Times New Roman"/>
          <w:lang w:val="pt-BR"/>
        </w:rPr>
        <w:t xml:space="preserve">senhor </w:t>
      </w:r>
      <w:r w:rsidR="00E42F61" w:rsidRPr="00D5464D">
        <w:rPr>
          <w:rFonts w:eastAsia="Cambria" w:cs="Times New Roman"/>
          <w:lang w:val="pt-BR"/>
        </w:rPr>
        <w:t xml:space="preserve">Antônio </w:t>
      </w:r>
      <w:r w:rsidR="00702C18" w:rsidRPr="00D5464D">
        <w:rPr>
          <w:rFonts w:eastAsia="Cambria" w:cs="Times New Roman"/>
          <w:lang w:val="pt-BR"/>
        </w:rPr>
        <w:t>Francisco da Silva</w:t>
      </w:r>
      <w:r w:rsidR="00D6373E" w:rsidRPr="00D5464D">
        <w:rPr>
          <w:rFonts w:eastAsia="Cambria" w:cs="Times New Roman"/>
          <w:lang w:val="pt-BR"/>
        </w:rPr>
        <w:t>,</w:t>
      </w:r>
      <w:r w:rsidRPr="00D5464D">
        <w:rPr>
          <w:rFonts w:eastAsia="Cambria" w:cs="Times New Roman"/>
          <w:lang w:val="pt-BR"/>
        </w:rPr>
        <w:t xml:space="preserve"> essa </w:t>
      </w:r>
      <w:r w:rsidR="00702C18" w:rsidRPr="00D5464D">
        <w:rPr>
          <w:rFonts w:eastAsia="Cambria" w:cs="Times New Roman"/>
          <w:lang w:val="pt-BR"/>
        </w:rPr>
        <w:t>viola</w:t>
      </w:r>
      <w:r w:rsidRPr="00D5464D">
        <w:rPr>
          <w:rFonts w:eastAsia="Cambria" w:cs="Times New Roman"/>
          <w:lang w:val="pt-BR"/>
        </w:rPr>
        <w:t>ção</w:t>
      </w:r>
      <w:r w:rsidR="00702C18" w:rsidRPr="00D5464D">
        <w:rPr>
          <w:rFonts w:eastAsia="Cambria" w:cs="Times New Roman"/>
          <w:lang w:val="pt-BR"/>
        </w:rPr>
        <w:t xml:space="preserve"> </w:t>
      </w:r>
      <w:r w:rsidR="002C330E" w:rsidRPr="00D5464D">
        <w:rPr>
          <w:rFonts w:eastAsia="Cambria" w:cs="Times New Roman"/>
          <w:lang w:val="pt-BR"/>
        </w:rPr>
        <w:t>ocorreu</w:t>
      </w:r>
      <w:r w:rsidR="00702C18" w:rsidRPr="00D5464D">
        <w:rPr>
          <w:rFonts w:eastAsia="Cambria" w:cs="Times New Roman"/>
          <w:lang w:val="pt-BR"/>
        </w:rPr>
        <w:t xml:space="preserve"> </w:t>
      </w:r>
      <w:r w:rsidR="00E045D9" w:rsidRPr="00D5464D">
        <w:rPr>
          <w:rFonts w:eastAsia="Cambria" w:cs="Times New Roman"/>
          <w:lang w:val="pt-BR"/>
        </w:rPr>
        <w:t>também</w:t>
      </w:r>
      <w:r w:rsidRPr="00D5464D">
        <w:rPr>
          <w:rFonts w:eastAsia="Cambria" w:cs="Times New Roman"/>
          <w:lang w:val="pt-BR"/>
        </w:rPr>
        <w:t xml:space="preserve"> </w:t>
      </w:r>
      <w:r w:rsidR="00A1358C" w:rsidRPr="00D5464D">
        <w:rPr>
          <w:rFonts w:eastAsia="Cambria" w:cs="Times New Roman"/>
          <w:lang w:val="pt-BR"/>
        </w:rPr>
        <w:t>em relação ao artigo</w:t>
      </w:r>
      <w:r w:rsidR="00702C18" w:rsidRPr="00D5464D">
        <w:rPr>
          <w:rFonts w:eastAsia="Cambria" w:cs="Times New Roman"/>
          <w:lang w:val="pt-BR"/>
        </w:rPr>
        <w:t xml:space="preserve"> 19</w:t>
      </w:r>
      <w:r w:rsidRPr="00D5464D">
        <w:rPr>
          <w:rFonts w:eastAsia="Cambria" w:cs="Times New Roman"/>
          <w:lang w:val="pt-BR"/>
        </w:rPr>
        <w:t xml:space="preserve"> da </w:t>
      </w:r>
      <w:r w:rsidR="00702C18" w:rsidRPr="00D5464D">
        <w:rPr>
          <w:rFonts w:eastAsia="Cambria" w:cs="Times New Roman"/>
          <w:lang w:val="pt-BR"/>
        </w:rPr>
        <w:t>Conven</w:t>
      </w:r>
      <w:r w:rsidRPr="00D5464D">
        <w:rPr>
          <w:rFonts w:eastAsia="Cambria" w:cs="Times New Roman"/>
          <w:lang w:val="pt-BR"/>
        </w:rPr>
        <w:t>ção</w:t>
      </w:r>
      <w:r w:rsidR="00702C18" w:rsidRPr="00D5464D">
        <w:rPr>
          <w:rFonts w:eastAsia="Cambria" w:cs="Times New Roman"/>
          <w:lang w:val="pt-BR"/>
        </w:rPr>
        <w:t xml:space="preserve"> Americana sobre </w:t>
      </w:r>
      <w:r w:rsidRPr="00D5464D">
        <w:rPr>
          <w:rFonts w:eastAsia="Cambria" w:cs="Times New Roman"/>
          <w:lang w:val="pt-BR"/>
        </w:rPr>
        <w:t>Direito</w:t>
      </w:r>
      <w:r w:rsidR="00702C18" w:rsidRPr="00D5464D">
        <w:rPr>
          <w:rFonts w:eastAsia="Cambria" w:cs="Times New Roman"/>
          <w:lang w:val="pt-BR"/>
        </w:rPr>
        <w:t>s Humanos</w:t>
      </w:r>
      <w:r w:rsidR="00EB1CE9" w:rsidRPr="00D5464D">
        <w:rPr>
          <w:rFonts w:eastAsia="Cambria" w:cs="Times New Roman"/>
          <w:lang w:val="pt-BR"/>
        </w:rPr>
        <w:t xml:space="preserve">, por </w:t>
      </w:r>
      <w:r w:rsidR="00702C18" w:rsidRPr="00D5464D">
        <w:rPr>
          <w:rFonts w:eastAsia="Cambria" w:cs="Times New Roman"/>
          <w:lang w:val="pt-BR"/>
        </w:rPr>
        <w:t xml:space="preserve">ser </w:t>
      </w:r>
      <w:r w:rsidR="002C330E" w:rsidRPr="00D5464D">
        <w:rPr>
          <w:rFonts w:eastAsia="Cambria" w:cs="Times New Roman"/>
          <w:lang w:val="pt-BR"/>
        </w:rPr>
        <w:t xml:space="preserve">criança </w:t>
      </w:r>
      <w:r w:rsidR="00D6373E" w:rsidRPr="00D5464D">
        <w:rPr>
          <w:rFonts w:eastAsia="Cambria" w:cs="Times New Roman"/>
          <w:lang w:val="pt-BR"/>
        </w:rPr>
        <w:t>n</w:t>
      </w:r>
      <w:r w:rsidRPr="00D5464D">
        <w:rPr>
          <w:rFonts w:eastAsia="Cambria" w:cs="Times New Roman"/>
          <w:lang w:val="pt-BR"/>
        </w:rPr>
        <w:t xml:space="preserve">o </w:t>
      </w:r>
      <w:r w:rsidR="00702C18" w:rsidRPr="00D5464D">
        <w:rPr>
          <w:rFonts w:eastAsia="Cambria" w:cs="Times New Roman"/>
          <w:lang w:val="pt-BR"/>
        </w:rPr>
        <w:t>momento</w:t>
      </w:r>
      <w:r w:rsidRPr="00D5464D">
        <w:rPr>
          <w:rFonts w:eastAsia="Cambria" w:cs="Times New Roman"/>
          <w:lang w:val="pt-BR"/>
        </w:rPr>
        <w:t xml:space="preserve"> dos </w:t>
      </w:r>
      <w:r w:rsidR="002C330E" w:rsidRPr="00D5464D">
        <w:rPr>
          <w:rFonts w:eastAsia="Cambria" w:cs="Times New Roman"/>
          <w:lang w:val="pt-BR"/>
        </w:rPr>
        <w:t>fatos</w:t>
      </w:r>
      <w:r w:rsidR="00702C18" w:rsidRPr="00D5464D">
        <w:rPr>
          <w:rFonts w:eastAsia="Cambria" w:cs="Times New Roman"/>
          <w:lang w:val="pt-BR"/>
        </w:rPr>
        <w:t>,</w:t>
      </w:r>
      <w:r w:rsidR="00E045D9" w:rsidRPr="00D5464D">
        <w:rPr>
          <w:rFonts w:eastAsia="Cambria" w:cs="Times New Roman"/>
          <w:lang w:val="pt-BR"/>
        </w:rPr>
        <w:t xml:space="preserve"> nos </w:t>
      </w:r>
      <w:r w:rsidR="00E045D9" w:rsidRPr="00D5464D">
        <w:rPr>
          <w:rFonts w:eastAsia="Cambria" w:cs="Times New Roman"/>
          <w:szCs w:val="20"/>
          <w:lang w:val="pt-BR"/>
        </w:rPr>
        <w:t>termo</w:t>
      </w:r>
      <w:r w:rsidR="00702C18" w:rsidRPr="00D5464D">
        <w:rPr>
          <w:rFonts w:eastAsia="Cambria" w:cs="Times New Roman"/>
          <w:szCs w:val="20"/>
          <w:lang w:val="pt-BR"/>
        </w:rPr>
        <w:t>s</w:t>
      </w:r>
      <w:r w:rsidRPr="00D5464D">
        <w:rPr>
          <w:rFonts w:eastAsia="Cambria" w:cs="Times New Roman"/>
          <w:szCs w:val="20"/>
          <w:lang w:val="pt-BR"/>
        </w:rPr>
        <w:t xml:space="preserve"> dos </w:t>
      </w:r>
      <w:r w:rsidR="002C330E" w:rsidRPr="00D5464D">
        <w:rPr>
          <w:rFonts w:eastAsia="Cambria" w:cs="Times New Roman"/>
          <w:szCs w:val="20"/>
          <w:lang w:val="pt-BR"/>
        </w:rPr>
        <w:t>parágrafo</w:t>
      </w:r>
      <w:r w:rsidR="00702C18" w:rsidRPr="00D5464D">
        <w:rPr>
          <w:rFonts w:eastAsia="Cambria" w:cs="Times New Roman"/>
          <w:szCs w:val="20"/>
          <w:lang w:val="pt-BR"/>
        </w:rPr>
        <w:t xml:space="preserve">s </w:t>
      </w:r>
      <w:r w:rsidR="00A21B95" w:rsidRPr="00D5464D">
        <w:rPr>
          <w:rFonts w:eastAsia="Cambria" w:cs="Times New Roman"/>
          <w:szCs w:val="20"/>
          <w:lang w:val="pt-BR"/>
        </w:rPr>
        <w:t>342</w:t>
      </w:r>
      <w:r w:rsidR="00E045D9" w:rsidRPr="00D5464D">
        <w:rPr>
          <w:rFonts w:eastAsia="Cambria" w:cs="Times New Roman"/>
          <w:szCs w:val="20"/>
          <w:lang w:val="pt-BR"/>
        </w:rPr>
        <w:t xml:space="preserve"> e </w:t>
      </w:r>
      <w:r w:rsidR="00A21B95" w:rsidRPr="00D5464D">
        <w:rPr>
          <w:rFonts w:eastAsia="Cambria" w:cs="Times New Roman"/>
          <w:szCs w:val="20"/>
          <w:lang w:val="pt-BR"/>
        </w:rPr>
        <w:t>343</w:t>
      </w:r>
      <w:r w:rsidRPr="00D5464D">
        <w:rPr>
          <w:rFonts w:eastAsia="Cambria" w:cs="Times New Roman"/>
          <w:szCs w:val="20"/>
          <w:lang w:val="pt-BR"/>
        </w:rPr>
        <w:t xml:space="preserve"> da </w:t>
      </w:r>
      <w:r w:rsidR="00702C18" w:rsidRPr="00D5464D">
        <w:rPr>
          <w:rFonts w:eastAsia="Cambria" w:cs="Times New Roman"/>
          <w:szCs w:val="20"/>
          <w:lang w:val="pt-BR"/>
        </w:rPr>
        <w:t xml:space="preserve">presente </w:t>
      </w:r>
      <w:r w:rsidR="002C330E" w:rsidRPr="00D5464D">
        <w:rPr>
          <w:rFonts w:eastAsia="Cambria" w:cs="Times New Roman"/>
          <w:szCs w:val="20"/>
          <w:lang w:val="pt-BR"/>
        </w:rPr>
        <w:t>Sentença</w:t>
      </w:r>
      <w:r w:rsidR="00702C18" w:rsidRPr="00D5464D">
        <w:rPr>
          <w:rFonts w:eastAsia="Cambria" w:cs="Times New Roman"/>
          <w:szCs w:val="20"/>
          <w:lang w:val="pt-BR"/>
        </w:rPr>
        <w:t xml:space="preserve">. </w:t>
      </w:r>
    </w:p>
    <w:p w14:paraId="3552EADE" w14:textId="77777777" w:rsidR="00702C18" w:rsidRPr="00D5464D" w:rsidRDefault="00702C18" w:rsidP="00702C18">
      <w:pPr>
        <w:tabs>
          <w:tab w:val="clear" w:pos="4419"/>
          <w:tab w:val="clear" w:pos="8838"/>
        </w:tabs>
        <w:ind w:right="-90"/>
        <w:contextualSpacing/>
        <w:jc w:val="both"/>
        <w:rPr>
          <w:rFonts w:eastAsia="MS Mincho" w:cs="Times New Roman"/>
          <w:szCs w:val="20"/>
          <w:lang w:val="pt-BR" w:bidi="en-US"/>
        </w:rPr>
      </w:pPr>
    </w:p>
    <w:p w14:paraId="49091087" w14:textId="6E696240" w:rsidR="00702C18" w:rsidRPr="00D5464D" w:rsidRDefault="00702C18" w:rsidP="00702C18">
      <w:pPr>
        <w:tabs>
          <w:tab w:val="clear" w:pos="4419"/>
          <w:tab w:val="clear" w:pos="8838"/>
        </w:tabs>
        <w:ind w:right="-90"/>
        <w:contextualSpacing/>
        <w:jc w:val="both"/>
        <w:rPr>
          <w:rFonts w:eastAsia="MS Mincho" w:cs="Times New Roman"/>
          <w:szCs w:val="20"/>
          <w:lang w:val="pt-BR" w:bidi="en-US"/>
        </w:rPr>
      </w:pPr>
      <w:r w:rsidRPr="00D5464D">
        <w:rPr>
          <w:rFonts w:eastAsia="MS Mincho" w:cs="Times New Roman"/>
          <w:szCs w:val="20"/>
          <w:lang w:val="pt-BR" w:bidi="en-US"/>
        </w:rPr>
        <w:t>Por cinco votos a favor</w:t>
      </w:r>
      <w:r w:rsidR="00E045D9" w:rsidRPr="00D5464D">
        <w:rPr>
          <w:rFonts w:eastAsia="MS Mincho" w:cs="Times New Roman"/>
          <w:szCs w:val="20"/>
          <w:lang w:val="pt-BR" w:bidi="en-US"/>
        </w:rPr>
        <w:t xml:space="preserve"> e</w:t>
      </w:r>
      <w:r w:rsidR="00A1358C" w:rsidRPr="00D5464D">
        <w:rPr>
          <w:rFonts w:eastAsia="MS Mincho" w:cs="Times New Roman"/>
          <w:szCs w:val="20"/>
          <w:lang w:val="pt-BR" w:bidi="en-US"/>
        </w:rPr>
        <w:t xml:space="preserve"> um </w:t>
      </w:r>
      <w:r w:rsidR="00D6373E" w:rsidRPr="00D5464D">
        <w:rPr>
          <w:rFonts w:eastAsia="MS Mincho" w:cs="Times New Roman"/>
          <w:szCs w:val="20"/>
          <w:lang w:val="pt-BR" w:bidi="en-US"/>
        </w:rPr>
        <w:t>contrário</w:t>
      </w:r>
      <w:r w:rsidRPr="00D5464D">
        <w:rPr>
          <w:rFonts w:eastAsia="MS Mincho" w:cs="Times New Roman"/>
          <w:szCs w:val="20"/>
          <w:lang w:val="pt-BR" w:bidi="en-US"/>
        </w:rPr>
        <w:t>, que:</w:t>
      </w:r>
    </w:p>
    <w:p w14:paraId="594EEA3A" w14:textId="77777777" w:rsidR="00E94DEB" w:rsidRPr="00D5464D" w:rsidRDefault="00E94DEB" w:rsidP="00E94DEB">
      <w:pPr>
        <w:tabs>
          <w:tab w:val="clear" w:pos="4419"/>
          <w:tab w:val="clear" w:pos="8838"/>
          <w:tab w:val="left" w:pos="720"/>
        </w:tabs>
        <w:ind w:right="-90"/>
        <w:contextualSpacing/>
        <w:jc w:val="both"/>
        <w:rPr>
          <w:rFonts w:eastAsia="Cambria" w:cs="Times New Roman"/>
          <w:szCs w:val="20"/>
          <w:lang w:val="pt-BR"/>
        </w:rPr>
      </w:pPr>
    </w:p>
    <w:p w14:paraId="58A83D4E" w14:textId="1A661561" w:rsidR="00702C18" w:rsidRPr="00D5464D" w:rsidRDefault="00470ADC" w:rsidP="00F306D7">
      <w:pPr>
        <w:numPr>
          <w:ilvl w:val="0"/>
          <w:numId w:val="14"/>
        </w:numPr>
        <w:tabs>
          <w:tab w:val="clear" w:pos="4419"/>
          <w:tab w:val="clear" w:pos="8838"/>
          <w:tab w:val="left" w:pos="720"/>
        </w:tabs>
        <w:ind w:right="-90"/>
        <w:contextualSpacing/>
        <w:jc w:val="both"/>
        <w:rPr>
          <w:rFonts w:eastAsia="Cambria" w:cs="Times New Roman"/>
          <w:szCs w:val="20"/>
          <w:lang w:val="pt-BR"/>
        </w:rPr>
      </w:pPr>
      <w:r w:rsidRPr="00D5464D">
        <w:rPr>
          <w:rFonts w:eastAsia="MS Mincho" w:cs="Times New Roman"/>
          <w:szCs w:val="20"/>
          <w:lang w:val="pt-BR" w:bidi="en-US"/>
        </w:rPr>
        <w:t xml:space="preserve">O </w:t>
      </w:r>
      <w:r w:rsidR="00702C18" w:rsidRPr="00D5464D">
        <w:rPr>
          <w:rFonts w:eastAsia="Cambria" w:cs="Times New Roman"/>
          <w:szCs w:val="20"/>
          <w:lang w:val="pt-BR"/>
        </w:rPr>
        <w:t>Estado</w:t>
      </w:r>
      <w:r w:rsidRPr="00D5464D">
        <w:rPr>
          <w:rFonts w:eastAsia="Cambria" w:cs="Times New Roman"/>
          <w:szCs w:val="20"/>
          <w:lang w:val="pt-BR"/>
        </w:rPr>
        <w:t xml:space="preserve"> é </w:t>
      </w:r>
      <w:r w:rsidR="002C330E" w:rsidRPr="00D5464D">
        <w:rPr>
          <w:rFonts w:eastAsia="Cambria" w:cs="Times New Roman"/>
          <w:szCs w:val="20"/>
          <w:lang w:val="pt-BR"/>
        </w:rPr>
        <w:t xml:space="preserve">responsável pela </w:t>
      </w:r>
      <w:r w:rsidR="00702C18" w:rsidRPr="00D5464D">
        <w:rPr>
          <w:rFonts w:eastAsia="Cambria" w:cs="Times New Roman"/>
          <w:lang w:val="pt-BR"/>
        </w:rPr>
        <w:t>viola</w:t>
      </w:r>
      <w:r w:rsidRPr="00D5464D">
        <w:rPr>
          <w:rFonts w:eastAsia="Cambria" w:cs="Times New Roman"/>
          <w:lang w:val="pt-BR"/>
        </w:rPr>
        <w:t>ção</w:t>
      </w:r>
      <w:r w:rsidR="00702C18" w:rsidRPr="00D5464D">
        <w:rPr>
          <w:rFonts w:eastAsia="Cambria" w:cs="Times New Roman"/>
          <w:lang w:val="pt-BR"/>
        </w:rPr>
        <w:t xml:space="preserve"> </w:t>
      </w:r>
      <w:r w:rsidRPr="00D5464D">
        <w:rPr>
          <w:rFonts w:eastAsia="Cambria" w:cs="Times New Roman"/>
          <w:lang w:val="pt-BR"/>
        </w:rPr>
        <w:t>do artigo</w:t>
      </w:r>
      <w:r w:rsidR="00702C18" w:rsidRPr="00D5464D">
        <w:rPr>
          <w:rFonts w:eastAsia="Cambria" w:cs="Times New Roman"/>
          <w:lang w:val="pt-BR"/>
        </w:rPr>
        <w:t xml:space="preserve"> 6.1</w:t>
      </w:r>
      <w:r w:rsidRPr="00D5464D">
        <w:rPr>
          <w:rFonts w:eastAsia="Cambria" w:cs="Times New Roman"/>
          <w:lang w:val="pt-BR"/>
        </w:rPr>
        <w:t xml:space="preserve"> da </w:t>
      </w:r>
      <w:r w:rsidR="00702C18" w:rsidRPr="00D5464D">
        <w:rPr>
          <w:rFonts w:eastAsia="Cambria" w:cs="Times New Roman"/>
          <w:lang w:val="pt-BR"/>
        </w:rPr>
        <w:t>Conven</w:t>
      </w:r>
      <w:r w:rsidRPr="00D5464D">
        <w:rPr>
          <w:rFonts w:eastAsia="Cambria" w:cs="Times New Roman"/>
          <w:lang w:val="pt-BR"/>
        </w:rPr>
        <w:t>ção</w:t>
      </w:r>
      <w:r w:rsidR="00702C18" w:rsidRPr="00D5464D">
        <w:rPr>
          <w:rFonts w:eastAsia="Cambria" w:cs="Times New Roman"/>
          <w:lang w:val="pt-BR"/>
        </w:rPr>
        <w:t xml:space="preserve"> Americana,</w:t>
      </w:r>
      <w:r w:rsidRPr="00D5464D">
        <w:rPr>
          <w:rFonts w:eastAsia="Cambria" w:cs="Times New Roman"/>
          <w:lang w:val="pt-BR"/>
        </w:rPr>
        <w:t xml:space="preserve"> </w:t>
      </w:r>
      <w:r w:rsidR="00A1358C" w:rsidRPr="00D5464D">
        <w:rPr>
          <w:rFonts w:eastAsia="Cambria" w:cs="Times New Roman"/>
          <w:lang w:val="pt-BR"/>
        </w:rPr>
        <w:t>em relação ao artigo</w:t>
      </w:r>
      <w:r w:rsidR="00702C18" w:rsidRPr="00D5464D">
        <w:rPr>
          <w:rFonts w:eastAsia="Cambria" w:cs="Times New Roman"/>
          <w:lang w:val="pt-BR"/>
        </w:rPr>
        <w:t xml:space="preserve"> 1.1 </w:t>
      </w:r>
      <w:r w:rsidRPr="00D5464D">
        <w:rPr>
          <w:rFonts w:eastAsia="Cambria" w:cs="Times New Roman"/>
          <w:lang w:val="pt-BR"/>
        </w:rPr>
        <w:t xml:space="preserve">do </w:t>
      </w:r>
      <w:r w:rsidR="002C330E" w:rsidRPr="00D5464D">
        <w:rPr>
          <w:rFonts w:eastAsia="Cambria" w:cs="Times New Roman"/>
          <w:lang w:val="pt-BR"/>
        </w:rPr>
        <w:t>mesm</w:t>
      </w:r>
      <w:r w:rsidR="00702C18" w:rsidRPr="00D5464D">
        <w:rPr>
          <w:rFonts w:eastAsia="Cambria" w:cs="Times New Roman"/>
          <w:lang w:val="pt-BR"/>
        </w:rPr>
        <w:t xml:space="preserve">o instrumento, </w:t>
      </w:r>
      <w:r w:rsidR="002C330E" w:rsidRPr="00D5464D">
        <w:rPr>
          <w:rFonts w:eastAsia="Cambria" w:cs="Times New Roman"/>
          <w:lang w:val="pt-BR"/>
        </w:rPr>
        <w:t>produzid</w:t>
      </w:r>
      <w:r w:rsidR="00702C18" w:rsidRPr="00D5464D">
        <w:rPr>
          <w:rFonts w:eastAsia="Cambria" w:cs="Times New Roman"/>
          <w:lang w:val="pt-BR"/>
        </w:rPr>
        <w:t>a</w:t>
      </w:r>
      <w:r w:rsidR="00E045D9" w:rsidRPr="00D5464D">
        <w:rPr>
          <w:rFonts w:eastAsia="Cambria" w:cs="Times New Roman"/>
          <w:lang w:val="pt-BR"/>
        </w:rPr>
        <w:t xml:space="preserve"> no </w:t>
      </w:r>
      <w:r w:rsidR="00702C18" w:rsidRPr="00D5464D">
        <w:rPr>
          <w:rFonts w:eastAsia="Cambria" w:cs="Times New Roman"/>
          <w:lang w:val="pt-BR"/>
        </w:rPr>
        <w:t>marco de</w:t>
      </w:r>
      <w:r w:rsidR="00E045D9" w:rsidRPr="00D5464D">
        <w:rPr>
          <w:rFonts w:eastAsia="Cambria" w:cs="Times New Roman"/>
          <w:lang w:val="pt-BR"/>
        </w:rPr>
        <w:t xml:space="preserve"> uma </w:t>
      </w:r>
      <w:r w:rsidR="00702C18" w:rsidRPr="00D5464D">
        <w:rPr>
          <w:rFonts w:eastAsia="Cambria" w:cs="Times New Roman"/>
          <w:lang w:val="pt-BR"/>
        </w:rPr>
        <w:t>situa</w:t>
      </w:r>
      <w:r w:rsidRPr="00D5464D">
        <w:rPr>
          <w:rFonts w:eastAsia="Cambria" w:cs="Times New Roman"/>
          <w:lang w:val="pt-BR"/>
        </w:rPr>
        <w:t>ção</w:t>
      </w:r>
      <w:r w:rsidR="00702C18" w:rsidRPr="00D5464D">
        <w:rPr>
          <w:rFonts w:eastAsia="Cambria" w:cs="Times New Roman"/>
          <w:lang w:val="pt-BR"/>
        </w:rPr>
        <w:t xml:space="preserve"> de discrimina</w:t>
      </w:r>
      <w:r w:rsidRPr="00D5464D">
        <w:rPr>
          <w:rFonts w:eastAsia="Cambria" w:cs="Times New Roman"/>
          <w:lang w:val="pt-BR"/>
        </w:rPr>
        <w:t>ção</w:t>
      </w:r>
      <w:r w:rsidR="00702C18" w:rsidRPr="00D5464D">
        <w:rPr>
          <w:rFonts w:eastAsia="Cambria" w:cs="Times New Roman"/>
          <w:lang w:val="pt-BR"/>
        </w:rPr>
        <w:t xml:space="preserve"> </w:t>
      </w:r>
      <w:r w:rsidRPr="00D5464D">
        <w:rPr>
          <w:rFonts w:eastAsia="Cambria" w:cs="Times New Roman"/>
          <w:lang w:val="pt-BR"/>
        </w:rPr>
        <w:t>estrutura</w:t>
      </w:r>
      <w:r w:rsidR="00702C18" w:rsidRPr="00D5464D">
        <w:rPr>
          <w:rFonts w:eastAsia="Cambria" w:cs="Times New Roman"/>
          <w:lang w:val="pt-BR"/>
        </w:rPr>
        <w:t>l histórica,</w:t>
      </w:r>
      <w:r w:rsidRPr="00D5464D">
        <w:rPr>
          <w:rFonts w:eastAsia="Cambria" w:cs="Times New Roman"/>
          <w:lang w:val="pt-BR"/>
        </w:rPr>
        <w:t xml:space="preserve"> em </w:t>
      </w:r>
      <w:r w:rsidR="002C330E" w:rsidRPr="00D5464D">
        <w:rPr>
          <w:rFonts w:eastAsia="Cambria" w:cs="Times New Roman"/>
          <w:lang w:val="pt-BR"/>
        </w:rPr>
        <w:t>razão</w:t>
      </w:r>
      <w:r w:rsidRPr="00D5464D">
        <w:rPr>
          <w:rFonts w:eastAsia="Cambria" w:cs="Times New Roman"/>
          <w:lang w:val="pt-BR"/>
        </w:rPr>
        <w:t xml:space="preserve"> da </w:t>
      </w:r>
      <w:r w:rsidR="00702C18" w:rsidRPr="00D5464D">
        <w:rPr>
          <w:rFonts w:eastAsia="Cambria" w:cs="Times New Roman"/>
          <w:lang w:val="pt-BR"/>
        </w:rPr>
        <w:t>posi</w:t>
      </w:r>
      <w:r w:rsidRPr="00D5464D">
        <w:rPr>
          <w:rFonts w:eastAsia="Cambria" w:cs="Times New Roman"/>
          <w:lang w:val="pt-BR"/>
        </w:rPr>
        <w:t>ção</w:t>
      </w:r>
      <w:r w:rsidR="00702C18" w:rsidRPr="00D5464D">
        <w:rPr>
          <w:rFonts w:eastAsia="Cambria" w:cs="Times New Roman"/>
          <w:lang w:val="pt-BR"/>
        </w:rPr>
        <w:t xml:space="preserve"> </w:t>
      </w:r>
      <w:r w:rsidRPr="00D5464D">
        <w:rPr>
          <w:rFonts w:eastAsia="Cambria" w:cs="Times New Roman"/>
          <w:lang w:val="pt-BR"/>
        </w:rPr>
        <w:t>econômic</w:t>
      </w:r>
      <w:r w:rsidR="00702C18" w:rsidRPr="00D5464D">
        <w:rPr>
          <w:rFonts w:eastAsia="Cambria" w:cs="Times New Roman"/>
          <w:lang w:val="pt-BR"/>
        </w:rPr>
        <w:t>a</w:t>
      </w:r>
      <w:r w:rsidRPr="00D5464D">
        <w:rPr>
          <w:rFonts w:eastAsia="Cambria" w:cs="Times New Roman"/>
          <w:lang w:val="pt-BR"/>
        </w:rPr>
        <w:t xml:space="preserve"> dos </w:t>
      </w:r>
      <w:r w:rsidR="00702C18" w:rsidRPr="00D5464D">
        <w:rPr>
          <w:rFonts w:eastAsia="Cambria" w:cs="Times New Roman"/>
          <w:lang w:val="pt-BR"/>
        </w:rPr>
        <w:t xml:space="preserve">85 </w:t>
      </w:r>
      <w:r w:rsidR="00E045D9" w:rsidRPr="00D5464D">
        <w:rPr>
          <w:rFonts w:eastAsia="Cambria" w:cs="Times New Roman"/>
          <w:lang w:val="pt-BR"/>
        </w:rPr>
        <w:t>trabalhadores</w:t>
      </w:r>
      <w:r w:rsidR="00702C18" w:rsidRPr="00D5464D">
        <w:rPr>
          <w:rFonts w:eastAsia="Cambria" w:cs="Times New Roman"/>
          <w:lang w:val="pt-BR"/>
        </w:rPr>
        <w:t xml:space="preserve"> identificados</w:t>
      </w:r>
      <w:r w:rsidR="00E045D9" w:rsidRPr="00D5464D">
        <w:rPr>
          <w:rFonts w:eastAsia="Cambria" w:cs="Times New Roman"/>
          <w:lang w:val="pt-BR"/>
        </w:rPr>
        <w:t xml:space="preserve"> no </w:t>
      </w:r>
      <w:r w:rsidR="002C330E" w:rsidRPr="00D5464D">
        <w:rPr>
          <w:rFonts w:eastAsia="Cambria" w:cs="Times New Roman"/>
          <w:lang w:val="pt-BR"/>
        </w:rPr>
        <w:t>parágrafo</w:t>
      </w:r>
      <w:r w:rsidR="00702C18" w:rsidRPr="00D5464D">
        <w:rPr>
          <w:rFonts w:eastAsia="Cambria" w:cs="Times New Roman"/>
          <w:lang w:val="pt-BR"/>
        </w:rPr>
        <w:t xml:space="preserve"> </w:t>
      </w:r>
      <w:r w:rsidR="00A21B95" w:rsidRPr="00D5464D">
        <w:rPr>
          <w:rFonts w:eastAsia="Cambria" w:cs="Times New Roman"/>
          <w:lang w:val="pt-BR"/>
        </w:rPr>
        <w:t>206</w:t>
      </w:r>
      <w:r w:rsidRPr="00D5464D">
        <w:rPr>
          <w:rFonts w:eastAsia="Cambria" w:cs="Times New Roman"/>
          <w:lang w:val="pt-BR"/>
        </w:rPr>
        <w:t xml:space="preserve"> da </w:t>
      </w:r>
      <w:r w:rsidR="00702C18" w:rsidRPr="00D5464D">
        <w:rPr>
          <w:rFonts w:eastAsia="Cambria" w:cs="Times New Roman"/>
          <w:lang w:val="pt-BR"/>
        </w:rPr>
        <w:t xml:space="preserve">presente </w:t>
      </w:r>
      <w:r w:rsidR="002C330E" w:rsidRPr="00D5464D">
        <w:rPr>
          <w:rFonts w:eastAsia="Cambria" w:cs="Times New Roman"/>
          <w:lang w:val="pt-BR"/>
        </w:rPr>
        <w:t>Sentença</w:t>
      </w:r>
      <w:r w:rsidR="00702C18" w:rsidRPr="00D5464D">
        <w:rPr>
          <w:rFonts w:eastAsia="Cambria" w:cs="Times New Roman"/>
          <w:lang w:val="pt-BR"/>
        </w:rPr>
        <w:t>,</w:t>
      </w:r>
      <w:r w:rsidR="00E045D9" w:rsidRPr="00D5464D">
        <w:rPr>
          <w:rFonts w:eastAsia="Cambria" w:cs="Times New Roman"/>
          <w:lang w:val="pt-BR"/>
        </w:rPr>
        <w:t xml:space="preserve"> nos </w:t>
      </w:r>
      <w:r w:rsidR="00E045D9" w:rsidRPr="00D5464D">
        <w:rPr>
          <w:rFonts w:eastAsia="Cambria" w:cs="Times New Roman"/>
          <w:szCs w:val="20"/>
          <w:lang w:val="pt-BR"/>
        </w:rPr>
        <w:t>termo</w:t>
      </w:r>
      <w:r w:rsidR="00702C18" w:rsidRPr="00D5464D">
        <w:rPr>
          <w:rFonts w:eastAsia="Cambria" w:cs="Times New Roman"/>
          <w:szCs w:val="20"/>
          <w:lang w:val="pt-BR"/>
        </w:rPr>
        <w:t>s</w:t>
      </w:r>
      <w:r w:rsidRPr="00D5464D">
        <w:rPr>
          <w:rFonts w:eastAsia="Cambria" w:cs="Times New Roman"/>
          <w:szCs w:val="20"/>
          <w:lang w:val="pt-BR"/>
        </w:rPr>
        <w:t xml:space="preserve"> dos </w:t>
      </w:r>
      <w:r w:rsidR="002C330E" w:rsidRPr="00D5464D">
        <w:rPr>
          <w:rFonts w:eastAsia="Cambria" w:cs="Times New Roman"/>
          <w:szCs w:val="20"/>
          <w:lang w:val="pt-BR"/>
        </w:rPr>
        <w:t>parágrafo</w:t>
      </w:r>
      <w:r w:rsidR="00702C18" w:rsidRPr="00D5464D">
        <w:rPr>
          <w:rFonts w:eastAsia="Cambria" w:cs="Times New Roman"/>
          <w:szCs w:val="20"/>
          <w:lang w:val="pt-BR"/>
        </w:rPr>
        <w:t xml:space="preserve">s </w:t>
      </w:r>
      <w:r w:rsidR="00A21B95" w:rsidRPr="00D5464D">
        <w:rPr>
          <w:rFonts w:eastAsia="Cambria" w:cs="Times New Roman"/>
          <w:szCs w:val="20"/>
          <w:lang w:val="pt-BR"/>
        </w:rPr>
        <w:t>342</w:t>
      </w:r>
      <w:r w:rsidR="00E045D9" w:rsidRPr="00D5464D">
        <w:rPr>
          <w:rFonts w:eastAsia="Cambria" w:cs="Times New Roman"/>
          <w:szCs w:val="20"/>
          <w:lang w:val="pt-BR"/>
        </w:rPr>
        <w:t xml:space="preserve"> e </w:t>
      </w:r>
      <w:r w:rsidR="00A21B95" w:rsidRPr="00D5464D">
        <w:rPr>
          <w:rFonts w:eastAsia="Cambria" w:cs="Times New Roman"/>
          <w:szCs w:val="20"/>
          <w:lang w:val="pt-BR"/>
        </w:rPr>
        <w:t>343</w:t>
      </w:r>
      <w:r w:rsidRPr="00D5464D">
        <w:rPr>
          <w:rFonts w:eastAsia="Cambria" w:cs="Times New Roman"/>
          <w:szCs w:val="20"/>
          <w:lang w:val="pt-BR"/>
        </w:rPr>
        <w:t xml:space="preserve"> da </w:t>
      </w:r>
      <w:r w:rsidR="00702C18" w:rsidRPr="00D5464D">
        <w:rPr>
          <w:rFonts w:eastAsia="Cambria" w:cs="Times New Roman"/>
          <w:szCs w:val="20"/>
          <w:lang w:val="pt-BR"/>
        </w:rPr>
        <w:t xml:space="preserve">presente </w:t>
      </w:r>
      <w:r w:rsidR="002C330E" w:rsidRPr="00D5464D">
        <w:rPr>
          <w:rFonts w:eastAsia="Cambria" w:cs="Times New Roman"/>
          <w:szCs w:val="20"/>
          <w:lang w:val="pt-BR"/>
        </w:rPr>
        <w:t>Sentença</w:t>
      </w:r>
      <w:r w:rsidR="00702C18" w:rsidRPr="00D5464D">
        <w:rPr>
          <w:rFonts w:eastAsia="Cambria" w:cs="Times New Roman"/>
          <w:lang w:val="pt-BR"/>
        </w:rPr>
        <w:t>.</w:t>
      </w:r>
    </w:p>
    <w:p w14:paraId="4944CADA" w14:textId="77777777" w:rsidR="00702C18" w:rsidRPr="00D5464D" w:rsidRDefault="00702C18" w:rsidP="00702C18">
      <w:pPr>
        <w:tabs>
          <w:tab w:val="clear" w:pos="4419"/>
          <w:tab w:val="clear" w:pos="8838"/>
          <w:tab w:val="left" w:pos="720"/>
        </w:tabs>
        <w:ind w:right="-90"/>
        <w:contextualSpacing/>
        <w:jc w:val="both"/>
        <w:rPr>
          <w:rFonts w:eastAsia="Cambria" w:cs="Times New Roman"/>
          <w:lang w:val="pt-BR"/>
        </w:rPr>
      </w:pPr>
    </w:p>
    <w:p w14:paraId="6F26EE26" w14:textId="1CCE64CC" w:rsidR="00702C18" w:rsidRPr="00D5464D" w:rsidRDefault="00D40EC3" w:rsidP="00702C18">
      <w:pPr>
        <w:tabs>
          <w:tab w:val="clear" w:pos="4419"/>
          <w:tab w:val="clear" w:pos="8838"/>
          <w:tab w:val="left" w:pos="720"/>
        </w:tabs>
        <w:ind w:right="-90"/>
        <w:contextualSpacing/>
        <w:jc w:val="both"/>
        <w:rPr>
          <w:rFonts w:eastAsia="Cambria" w:cs="Times New Roman"/>
          <w:szCs w:val="20"/>
          <w:lang w:val="pt-BR"/>
        </w:rPr>
      </w:pPr>
      <w:r w:rsidRPr="00D5464D">
        <w:rPr>
          <w:rFonts w:eastAsia="Cambria" w:cs="Times New Roman"/>
          <w:szCs w:val="20"/>
          <w:lang w:val="pt-BR"/>
        </w:rPr>
        <w:t xml:space="preserve">Voto </w:t>
      </w:r>
      <w:r w:rsidR="00702C18" w:rsidRPr="00D5464D">
        <w:rPr>
          <w:rFonts w:eastAsia="Cambria" w:cs="Times New Roman"/>
          <w:szCs w:val="20"/>
          <w:lang w:val="pt-BR"/>
        </w:rPr>
        <w:t>Dis</w:t>
      </w:r>
      <w:r w:rsidR="00D6373E" w:rsidRPr="00D5464D">
        <w:rPr>
          <w:rFonts w:eastAsia="Cambria" w:cs="Times New Roman"/>
          <w:szCs w:val="20"/>
          <w:lang w:val="pt-BR"/>
        </w:rPr>
        <w:t xml:space="preserve">sidente </w:t>
      </w:r>
      <w:r w:rsidR="00470ADC" w:rsidRPr="00D5464D">
        <w:rPr>
          <w:rFonts w:eastAsia="Cambria" w:cs="Times New Roman"/>
          <w:szCs w:val="20"/>
          <w:lang w:val="pt-BR"/>
        </w:rPr>
        <w:t xml:space="preserve">o </w:t>
      </w:r>
      <w:r w:rsidR="002C330E" w:rsidRPr="00D5464D">
        <w:rPr>
          <w:rFonts w:eastAsia="Cambria" w:cs="Times New Roman"/>
          <w:szCs w:val="20"/>
          <w:lang w:val="pt-BR"/>
        </w:rPr>
        <w:t>Juiz</w:t>
      </w:r>
      <w:r w:rsidR="00702C18" w:rsidRPr="00D5464D">
        <w:rPr>
          <w:rFonts w:eastAsia="Cambria" w:cs="Times New Roman"/>
          <w:szCs w:val="20"/>
          <w:lang w:val="pt-BR"/>
        </w:rPr>
        <w:t xml:space="preserve"> Sierra Porto.</w:t>
      </w:r>
    </w:p>
    <w:p w14:paraId="438B29A8" w14:textId="77777777" w:rsidR="00702C18" w:rsidRPr="00D5464D" w:rsidRDefault="00702C18" w:rsidP="00702C18">
      <w:pPr>
        <w:tabs>
          <w:tab w:val="clear" w:pos="4419"/>
          <w:tab w:val="clear" w:pos="8838"/>
        </w:tabs>
        <w:ind w:left="720"/>
        <w:contextualSpacing/>
        <w:jc w:val="both"/>
        <w:rPr>
          <w:rFonts w:eastAsia="Cambria" w:cs="Times New Roman"/>
          <w:szCs w:val="20"/>
          <w:lang w:val="pt-BR"/>
        </w:rPr>
      </w:pPr>
    </w:p>
    <w:p w14:paraId="4CC9E3A1" w14:textId="2A5740AD" w:rsidR="00702C18" w:rsidRPr="00D5464D" w:rsidRDefault="00702C18" w:rsidP="00702C18">
      <w:pPr>
        <w:tabs>
          <w:tab w:val="clear" w:pos="4419"/>
          <w:tab w:val="clear" w:pos="8838"/>
        </w:tabs>
        <w:contextualSpacing/>
        <w:jc w:val="both"/>
        <w:rPr>
          <w:rFonts w:eastAsia="Cambria" w:cs="Times New Roman"/>
          <w:szCs w:val="20"/>
          <w:lang w:val="pt-BR"/>
        </w:rPr>
      </w:pPr>
      <w:r w:rsidRPr="00D5464D">
        <w:rPr>
          <w:rFonts w:eastAsia="Cambria" w:cs="Times New Roman"/>
          <w:szCs w:val="20"/>
          <w:lang w:val="pt-BR"/>
        </w:rPr>
        <w:t xml:space="preserve">Por </w:t>
      </w:r>
      <w:r w:rsidR="00E045D9" w:rsidRPr="00D5464D">
        <w:rPr>
          <w:rFonts w:eastAsia="Cambria" w:cs="Times New Roman"/>
          <w:szCs w:val="20"/>
          <w:lang w:val="pt-BR"/>
        </w:rPr>
        <w:t>unanimidade,</w:t>
      </w:r>
      <w:r w:rsidRPr="00D5464D">
        <w:rPr>
          <w:rFonts w:eastAsia="Cambria" w:cs="Times New Roman"/>
          <w:szCs w:val="20"/>
          <w:lang w:val="pt-BR"/>
        </w:rPr>
        <w:t xml:space="preserve"> que: </w:t>
      </w:r>
    </w:p>
    <w:p w14:paraId="106C00C4" w14:textId="77777777" w:rsidR="00E94DEB" w:rsidRPr="00D5464D" w:rsidRDefault="00E94DEB" w:rsidP="00E94DEB">
      <w:pPr>
        <w:tabs>
          <w:tab w:val="clear" w:pos="4419"/>
          <w:tab w:val="clear" w:pos="8838"/>
          <w:tab w:val="left" w:pos="720"/>
        </w:tabs>
        <w:ind w:right="-90"/>
        <w:contextualSpacing/>
        <w:jc w:val="both"/>
        <w:rPr>
          <w:rFonts w:eastAsia="Cambria" w:cs="Times New Roman"/>
          <w:szCs w:val="20"/>
          <w:lang w:val="pt-BR"/>
        </w:rPr>
      </w:pPr>
    </w:p>
    <w:p w14:paraId="27A1E1FE" w14:textId="0DABB7A2" w:rsidR="00702C18" w:rsidRPr="00D5464D" w:rsidRDefault="00470ADC" w:rsidP="00F306D7">
      <w:pPr>
        <w:numPr>
          <w:ilvl w:val="0"/>
          <w:numId w:val="14"/>
        </w:numPr>
        <w:tabs>
          <w:tab w:val="clear" w:pos="4419"/>
          <w:tab w:val="clear" w:pos="8838"/>
          <w:tab w:val="left" w:pos="720"/>
        </w:tabs>
        <w:ind w:right="-90"/>
        <w:contextualSpacing/>
        <w:jc w:val="both"/>
        <w:rPr>
          <w:rFonts w:eastAsia="Cambria" w:cs="Times New Roman"/>
          <w:szCs w:val="20"/>
          <w:lang w:val="pt-BR"/>
        </w:rPr>
      </w:pPr>
      <w:r w:rsidRPr="00D5464D">
        <w:rPr>
          <w:rFonts w:eastAsia="Cambria" w:cs="Times New Roman"/>
          <w:szCs w:val="20"/>
          <w:lang w:val="pt-BR"/>
        </w:rPr>
        <w:t xml:space="preserve">O </w:t>
      </w:r>
      <w:r w:rsidR="00702C18" w:rsidRPr="00D5464D">
        <w:rPr>
          <w:rFonts w:eastAsia="Cambria" w:cs="Times New Roman"/>
          <w:szCs w:val="20"/>
          <w:lang w:val="pt-BR"/>
        </w:rPr>
        <w:t>Estado</w:t>
      </w:r>
      <w:r w:rsidRPr="00D5464D">
        <w:rPr>
          <w:rFonts w:eastAsia="Cambria" w:cs="Times New Roman"/>
          <w:szCs w:val="20"/>
          <w:lang w:val="pt-BR"/>
        </w:rPr>
        <w:t xml:space="preserve"> é </w:t>
      </w:r>
      <w:r w:rsidR="002C330E" w:rsidRPr="00D5464D">
        <w:rPr>
          <w:rFonts w:eastAsia="Cambria" w:cs="Times New Roman"/>
          <w:szCs w:val="20"/>
          <w:lang w:val="pt-BR"/>
        </w:rPr>
        <w:t xml:space="preserve">responsável </w:t>
      </w:r>
      <w:r w:rsidR="00702C18" w:rsidRPr="00D5464D">
        <w:rPr>
          <w:rFonts w:eastAsia="Cambria" w:cs="Times New Roman"/>
          <w:szCs w:val="20"/>
          <w:lang w:val="pt-BR"/>
        </w:rPr>
        <w:t>por violar</w:t>
      </w:r>
      <w:r w:rsidR="002C330E" w:rsidRPr="00D5464D">
        <w:rPr>
          <w:rFonts w:eastAsia="Cambria" w:cs="Times New Roman"/>
          <w:szCs w:val="20"/>
          <w:lang w:val="pt-BR"/>
        </w:rPr>
        <w:t xml:space="preserve"> as garantias</w:t>
      </w:r>
      <w:r w:rsidR="00702C18" w:rsidRPr="00D5464D">
        <w:rPr>
          <w:rFonts w:eastAsia="Cambria" w:cs="Times New Roman"/>
          <w:szCs w:val="20"/>
          <w:lang w:val="pt-BR"/>
        </w:rPr>
        <w:t xml:space="preserve"> </w:t>
      </w:r>
      <w:r w:rsidR="002C330E" w:rsidRPr="00D5464D">
        <w:rPr>
          <w:rFonts w:eastAsia="Cambria" w:cs="Times New Roman"/>
          <w:szCs w:val="20"/>
          <w:lang w:val="pt-BR"/>
        </w:rPr>
        <w:t>judiciais</w:t>
      </w:r>
      <w:r w:rsidR="00702C18" w:rsidRPr="00D5464D">
        <w:rPr>
          <w:rFonts w:eastAsia="Cambria" w:cs="Times New Roman"/>
          <w:szCs w:val="20"/>
          <w:lang w:val="pt-BR"/>
        </w:rPr>
        <w:t xml:space="preserve"> de </w:t>
      </w:r>
      <w:r w:rsidRPr="00D5464D">
        <w:rPr>
          <w:rFonts w:eastAsia="Cambria" w:cs="Times New Roman"/>
          <w:szCs w:val="20"/>
          <w:lang w:val="pt-BR"/>
        </w:rPr>
        <w:t>devida diligência</w:t>
      </w:r>
      <w:r w:rsidR="00E045D9" w:rsidRPr="00D5464D">
        <w:rPr>
          <w:rFonts w:eastAsia="Cambria" w:cs="Times New Roman"/>
          <w:szCs w:val="20"/>
          <w:lang w:val="pt-BR"/>
        </w:rPr>
        <w:t xml:space="preserve"> e </w:t>
      </w:r>
      <w:r w:rsidR="00702C18" w:rsidRPr="00D5464D">
        <w:rPr>
          <w:rFonts w:eastAsia="Cambria" w:cs="Times New Roman"/>
          <w:szCs w:val="20"/>
          <w:lang w:val="pt-BR"/>
        </w:rPr>
        <w:t>de</w:t>
      </w:r>
      <w:r w:rsidR="002C330E" w:rsidRPr="00D5464D">
        <w:rPr>
          <w:rFonts w:eastAsia="Cambria" w:cs="Times New Roman"/>
          <w:szCs w:val="20"/>
          <w:lang w:val="pt-BR"/>
        </w:rPr>
        <w:t xml:space="preserve"> prazo</w:t>
      </w:r>
      <w:r w:rsidR="00702C18" w:rsidRPr="00D5464D">
        <w:rPr>
          <w:rFonts w:eastAsia="Cambria" w:cs="Times New Roman"/>
          <w:szCs w:val="20"/>
          <w:lang w:val="pt-BR"/>
        </w:rPr>
        <w:t xml:space="preserve"> </w:t>
      </w:r>
      <w:r w:rsidR="00230C71" w:rsidRPr="00D5464D">
        <w:rPr>
          <w:rFonts w:eastAsia="Cambria" w:cs="Times New Roman"/>
          <w:szCs w:val="20"/>
          <w:lang w:val="pt-BR"/>
        </w:rPr>
        <w:t>razoável,</w:t>
      </w:r>
      <w:r w:rsidR="00702C18" w:rsidRPr="00D5464D">
        <w:rPr>
          <w:rFonts w:eastAsia="Cambria" w:cs="Times New Roman"/>
          <w:szCs w:val="20"/>
          <w:lang w:val="pt-BR"/>
        </w:rPr>
        <w:t xml:space="preserve"> previstas</w:t>
      </w:r>
      <w:r w:rsidR="00E045D9" w:rsidRPr="00D5464D">
        <w:rPr>
          <w:rFonts w:eastAsia="Cambria" w:cs="Times New Roman"/>
          <w:szCs w:val="20"/>
          <w:lang w:val="pt-BR"/>
        </w:rPr>
        <w:t xml:space="preserve"> no </w:t>
      </w:r>
      <w:r w:rsidRPr="00D5464D">
        <w:rPr>
          <w:rFonts w:eastAsia="Cambria" w:cs="Times New Roman"/>
          <w:szCs w:val="20"/>
          <w:lang w:val="pt-BR"/>
        </w:rPr>
        <w:t>artigo</w:t>
      </w:r>
      <w:r w:rsidR="00702C18" w:rsidRPr="00D5464D">
        <w:rPr>
          <w:rFonts w:eastAsia="Cambria" w:cs="Times New Roman"/>
          <w:szCs w:val="20"/>
          <w:lang w:val="pt-BR"/>
        </w:rPr>
        <w:t xml:space="preserve"> 8.1</w:t>
      </w:r>
      <w:r w:rsidRPr="00D5464D">
        <w:rPr>
          <w:rFonts w:eastAsia="Cambria" w:cs="Times New Roman"/>
          <w:szCs w:val="20"/>
          <w:lang w:val="pt-BR"/>
        </w:rPr>
        <w:t xml:space="preserve"> da </w:t>
      </w:r>
      <w:r w:rsidR="00702C18" w:rsidRPr="00D5464D">
        <w:rPr>
          <w:rFonts w:eastAsia="Cambria" w:cs="Times New Roman"/>
          <w:szCs w:val="20"/>
          <w:lang w:val="pt-BR"/>
        </w:rPr>
        <w:t>Conven</w:t>
      </w:r>
      <w:r w:rsidRPr="00D5464D">
        <w:rPr>
          <w:rFonts w:eastAsia="Cambria" w:cs="Times New Roman"/>
          <w:szCs w:val="20"/>
          <w:lang w:val="pt-BR"/>
        </w:rPr>
        <w:t>ção</w:t>
      </w:r>
      <w:r w:rsidR="00702C18" w:rsidRPr="00D5464D">
        <w:rPr>
          <w:rFonts w:eastAsia="Cambria" w:cs="Times New Roman"/>
          <w:szCs w:val="20"/>
          <w:lang w:val="pt-BR"/>
        </w:rPr>
        <w:t xml:space="preserve"> Americana sobre </w:t>
      </w:r>
      <w:r w:rsidRPr="00D5464D">
        <w:rPr>
          <w:rFonts w:eastAsia="Cambria" w:cs="Times New Roman"/>
          <w:szCs w:val="20"/>
          <w:lang w:val="pt-BR"/>
        </w:rPr>
        <w:t>Direito</w:t>
      </w:r>
      <w:r w:rsidR="00702C18" w:rsidRPr="00D5464D">
        <w:rPr>
          <w:rFonts w:eastAsia="Cambria" w:cs="Times New Roman"/>
          <w:szCs w:val="20"/>
          <w:lang w:val="pt-BR"/>
        </w:rPr>
        <w:t>s Humanos,</w:t>
      </w:r>
      <w:r w:rsidRPr="00D5464D">
        <w:rPr>
          <w:rFonts w:eastAsia="Cambria" w:cs="Times New Roman"/>
          <w:szCs w:val="20"/>
          <w:lang w:val="pt-BR"/>
        </w:rPr>
        <w:t xml:space="preserve"> </w:t>
      </w:r>
      <w:r w:rsidR="00A1358C" w:rsidRPr="00D5464D">
        <w:rPr>
          <w:rFonts w:eastAsia="Cambria" w:cs="Times New Roman"/>
          <w:szCs w:val="20"/>
          <w:lang w:val="pt-BR"/>
        </w:rPr>
        <w:t>em relação ao artigo</w:t>
      </w:r>
      <w:r w:rsidR="00702C18" w:rsidRPr="00D5464D">
        <w:rPr>
          <w:rFonts w:eastAsia="Cambria" w:cs="Times New Roman"/>
          <w:szCs w:val="20"/>
          <w:lang w:val="pt-BR"/>
        </w:rPr>
        <w:t xml:space="preserve"> 1.1 </w:t>
      </w:r>
      <w:r w:rsidRPr="00D5464D">
        <w:rPr>
          <w:rFonts w:eastAsia="Cambria" w:cs="Times New Roman"/>
          <w:szCs w:val="20"/>
          <w:lang w:val="pt-BR"/>
        </w:rPr>
        <w:t xml:space="preserve">do </w:t>
      </w:r>
      <w:r w:rsidR="002C330E" w:rsidRPr="00D5464D">
        <w:rPr>
          <w:rFonts w:eastAsia="Cambria" w:cs="Times New Roman"/>
          <w:szCs w:val="20"/>
          <w:lang w:val="pt-BR"/>
        </w:rPr>
        <w:t>mesm</w:t>
      </w:r>
      <w:r w:rsidR="00702C18" w:rsidRPr="00D5464D">
        <w:rPr>
          <w:rFonts w:eastAsia="Cambria" w:cs="Times New Roman"/>
          <w:szCs w:val="20"/>
          <w:lang w:val="pt-BR"/>
        </w:rPr>
        <w:t>o instrumento,</w:t>
      </w:r>
      <w:r w:rsidRPr="00D5464D">
        <w:rPr>
          <w:rFonts w:eastAsia="Cambria" w:cs="Times New Roman"/>
          <w:szCs w:val="20"/>
          <w:lang w:val="pt-BR"/>
        </w:rPr>
        <w:t xml:space="preserve"> em </w:t>
      </w:r>
      <w:r w:rsidR="002C330E" w:rsidRPr="00D5464D">
        <w:rPr>
          <w:rFonts w:eastAsia="Cambria" w:cs="Times New Roman"/>
          <w:szCs w:val="20"/>
          <w:lang w:val="pt-BR"/>
        </w:rPr>
        <w:t>prejuízo</w:t>
      </w:r>
      <w:r w:rsidRPr="00D5464D">
        <w:rPr>
          <w:rFonts w:eastAsia="Cambria" w:cs="Times New Roman"/>
          <w:szCs w:val="20"/>
          <w:lang w:val="pt-BR"/>
        </w:rPr>
        <w:t xml:space="preserve"> dos </w:t>
      </w:r>
      <w:r w:rsidR="00702C18" w:rsidRPr="00D5464D">
        <w:rPr>
          <w:rFonts w:eastAsia="Cambria" w:cs="Times New Roman"/>
          <w:szCs w:val="20"/>
          <w:lang w:val="pt-BR"/>
        </w:rPr>
        <w:t xml:space="preserve">43 </w:t>
      </w:r>
      <w:r w:rsidR="00E045D9" w:rsidRPr="00D5464D">
        <w:rPr>
          <w:rFonts w:eastAsia="Cambria" w:cs="Times New Roman"/>
          <w:szCs w:val="20"/>
          <w:lang w:val="pt-BR"/>
        </w:rPr>
        <w:t>trabalhadores</w:t>
      </w:r>
      <w:r w:rsidRPr="00D5464D">
        <w:rPr>
          <w:rFonts w:eastAsia="Cambria" w:cs="Times New Roman"/>
          <w:szCs w:val="20"/>
          <w:lang w:val="pt-BR"/>
        </w:rPr>
        <w:t xml:space="preserve"> da </w:t>
      </w:r>
      <w:r w:rsidR="00D809F0" w:rsidRPr="00D5464D">
        <w:rPr>
          <w:rFonts w:eastAsia="Cambria" w:cs="Times New Roman"/>
          <w:szCs w:val="20"/>
          <w:lang w:val="pt-BR"/>
        </w:rPr>
        <w:t>Fazenda</w:t>
      </w:r>
      <w:r w:rsidR="00702C18" w:rsidRPr="00D5464D">
        <w:rPr>
          <w:rFonts w:eastAsia="Cambria" w:cs="Times New Roman"/>
          <w:szCs w:val="20"/>
          <w:lang w:val="pt-BR"/>
        </w:rPr>
        <w:t xml:space="preserve"> Brasil Verde </w:t>
      </w:r>
      <w:r w:rsidR="00E045D9" w:rsidRPr="00D5464D">
        <w:rPr>
          <w:rFonts w:eastAsia="Cambria" w:cs="Times New Roman"/>
          <w:szCs w:val="20"/>
          <w:lang w:val="pt-BR"/>
        </w:rPr>
        <w:t>encontra</w:t>
      </w:r>
      <w:r w:rsidR="00D6373E" w:rsidRPr="00D5464D">
        <w:rPr>
          <w:rFonts w:eastAsia="Cambria" w:cs="Times New Roman"/>
          <w:szCs w:val="20"/>
          <w:lang w:val="pt-BR"/>
        </w:rPr>
        <w:t xml:space="preserve">dos </w:t>
      </w:r>
      <w:r w:rsidR="00702C18" w:rsidRPr="00D5464D">
        <w:rPr>
          <w:rFonts w:eastAsia="Cambria" w:cs="Times New Roman"/>
          <w:szCs w:val="20"/>
          <w:lang w:val="pt-BR"/>
        </w:rPr>
        <w:t>durante</w:t>
      </w:r>
      <w:r w:rsidR="002C330E" w:rsidRPr="00D5464D">
        <w:rPr>
          <w:rFonts w:eastAsia="Cambria" w:cs="Times New Roman"/>
          <w:szCs w:val="20"/>
          <w:lang w:val="pt-BR"/>
        </w:rPr>
        <w:t xml:space="preserve"> a </w:t>
      </w:r>
      <w:r w:rsidR="00702C18" w:rsidRPr="00D5464D">
        <w:rPr>
          <w:rFonts w:eastAsia="Cambria" w:cs="Times New Roman"/>
          <w:szCs w:val="20"/>
          <w:lang w:val="pt-BR"/>
        </w:rPr>
        <w:t>fiscaliza</w:t>
      </w:r>
      <w:r w:rsidRPr="00D5464D">
        <w:rPr>
          <w:rFonts w:eastAsia="Cambria" w:cs="Times New Roman"/>
          <w:szCs w:val="20"/>
          <w:lang w:val="pt-BR"/>
        </w:rPr>
        <w:t>ção</w:t>
      </w:r>
      <w:r w:rsidR="00702C18" w:rsidRPr="00D5464D">
        <w:rPr>
          <w:rFonts w:eastAsia="Cambria" w:cs="Times New Roman"/>
          <w:szCs w:val="20"/>
          <w:lang w:val="pt-BR"/>
        </w:rPr>
        <w:t xml:space="preserve"> de 23 de abril de 1997</w:t>
      </w:r>
      <w:r w:rsidR="00E045D9" w:rsidRPr="00D5464D">
        <w:rPr>
          <w:rFonts w:eastAsia="Cambria" w:cs="Times New Roman"/>
          <w:szCs w:val="20"/>
          <w:lang w:val="pt-BR"/>
        </w:rPr>
        <w:t xml:space="preserve"> e </w:t>
      </w:r>
      <w:r w:rsidR="00702C18" w:rsidRPr="00D5464D">
        <w:rPr>
          <w:rFonts w:eastAsia="Cambria" w:cs="Times New Roman"/>
          <w:szCs w:val="20"/>
          <w:lang w:val="pt-BR"/>
        </w:rPr>
        <w:t xml:space="preserve">que </w:t>
      </w:r>
      <w:r w:rsidRPr="00D5464D">
        <w:rPr>
          <w:rFonts w:eastAsia="Cambria" w:cs="Times New Roman"/>
          <w:szCs w:val="20"/>
          <w:lang w:val="pt-BR"/>
        </w:rPr>
        <w:t>foram</w:t>
      </w:r>
      <w:r w:rsidR="00702C18" w:rsidRPr="00D5464D">
        <w:rPr>
          <w:rFonts w:eastAsia="Cambria" w:cs="Times New Roman"/>
          <w:szCs w:val="20"/>
          <w:lang w:val="pt-BR"/>
        </w:rPr>
        <w:t xml:space="preserve"> identificados</w:t>
      </w:r>
      <w:r w:rsidR="002C330E" w:rsidRPr="00D5464D">
        <w:rPr>
          <w:rFonts w:eastAsia="Cambria" w:cs="Times New Roman"/>
          <w:szCs w:val="20"/>
          <w:lang w:val="pt-BR"/>
        </w:rPr>
        <w:t xml:space="preserve"> pela </w:t>
      </w:r>
      <w:r w:rsidR="00702C18" w:rsidRPr="00D5464D">
        <w:rPr>
          <w:rFonts w:eastAsia="Cambria" w:cs="Times New Roman"/>
          <w:szCs w:val="20"/>
          <w:lang w:val="pt-BR"/>
        </w:rPr>
        <w:t>Corte</w:t>
      </w:r>
      <w:r w:rsidR="00E045D9" w:rsidRPr="00D5464D">
        <w:rPr>
          <w:rFonts w:eastAsia="Cambria" w:cs="Times New Roman"/>
          <w:szCs w:val="20"/>
          <w:lang w:val="pt-BR"/>
        </w:rPr>
        <w:t xml:space="preserve"> no </w:t>
      </w:r>
      <w:r w:rsidR="002C330E" w:rsidRPr="00D5464D">
        <w:rPr>
          <w:rFonts w:eastAsia="Cambria" w:cs="Times New Roman"/>
          <w:szCs w:val="20"/>
          <w:lang w:val="pt-BR"/>
        </w:rPr>
        <w:t>parágrafo</w:t>
      </w:r>
      <w:r w:rsidR="00702C18" w:rsidRPr="00D5464D">
        <w:rPr>
          <w:rFonts w:eastAsia="Cambria" w:cs="Times New Roman"/>
          <w:szCs w:val="20"/>
          <w:lang w:val="pt-BR"/>
        </w:rPr>
        <w:t xml:space="preserve"> </w:t>
      </w:r>
      <w:r w:rsidR="003452E0" w:rsidRPr="00D5464D">
        <w:rPr>
          <w:rFonts w:eastAsia="Cambria" w:cs="Times New Roman"/>
          <w:szCs w:val="20"/>
          <w:lang w:val="pt-BR"/>
        </w:rPr>
        <w:t>199</w:t>
      </w:r>
      <w:r w:rsidRPr="00D5464D">
        <w:rPr>
          <w:rFonts w:eastAsia="Cambria" w:cs="Times New Roman"/>
          <w:szCs w:val="20"/>
          <w:lang w:val="pt-BR"/>
        </w:rPr>
        <w:t xml:space="preserve"> da </w:t>
      </w:r>
      <w:r w:rsidR="002C330E" w:rsidRPr="00D5464D">
        <w:rPr>
          <w:rFonts w:eastAsia="Cambria" w:cs="Times New Roman"/>
          <w:szCs w:val="20"/>
          <w:lang w:val="pt-BR"/>
        </w:rPr>
        <w:t>Sentença</w:t>
      </w:r>
      <w:r w:rsidR="00702C18" w:rsidRPr="00D5464D">
        <w:rPr>
          <w:rFonts w:eastAsia="Batang" w:cs="Times New Roman"/>
          <w:bCs/>
          <w:color w:val="000000"/>
          <w:spacing w:val="-2"/>
          <w:szCs w:val="20"/>
          <w:lang w:val="pt-BR"/>
        </w:rPr>
        <w:t>,</w:t>
      </w:r>
      <w:r w:rsidR="00E045D9" w:rsidRPr="00D5464D">
        <w:rPr>
          <w:rFonts w:eastAsia="Batang" w:cs="Times New Roman"/>
          <w:color w:val="000000"/>
          <w:spacing w:val="-2"/>
          <w:szCs w:val="20"/>
          <w:lang w:val="pt-BR"/>
        </w:rPr>
        <w:t xml:space="preserve"> nos termo</w:t>
      </w:r>
      <w:r w:rsidR="00702C18" w:rsidRPr="00D5464D">
        <w:rPr>
          <w:rFonts w:eastAsia="Batang" w:cs="Times New Roman"/>
          <w:color w:val="000000"/>
          <w:spacing w:val="-2"/>
          <w:szCs w:val="20"/>
          <w:lang w:val="pt-BR"/>
        </w:rPr>
        <w:t>s</w:t>
      </w:r>
      <w:r w:rsidRPr="00D5464D">
        <w:rPr>
          <w:rFonts w:eastAsia="Batang" w:cs="Times New Roman"/>
          <w:color w:val="000000"/>
          <w:spacing w:val="-2"/>
          <w:szCs w:val="20"/>
          <w:lang w:val="pt-BR"/>
        </w:rPr>
        <w:t xml:space="preserve"> dos </w:t>
      </w:r>
      <w:r w:rsidR="002C330E" w:rsidRPr="00D5464D">
        <w:rPr>
          <w:rFonts w:eastAsia="Batang" w:cs="Times New Roman"/>
          <w:color w:val="000000"/>
          <w:spacing w:val="-2"/>
          <w:szCs w:val="20"/>
          <w:lang w:val="pt-BR"/>
        </w:rPr>
        <w:t>parágrafo</w:t>
      </w:r>
      <w:r w:rsidR="00702C18" w:rsidRPr="00D5464D">
        <w:rPr>
          <w:rFonts w:eastAsia="Batang" w:cs="Times New Roman"/>
          <w:color w:val="000000"/>
          <w:spacing w:val="-2"/>
          <w:szCs w:val="20"/>
          <w:lang w:val="pt-BR"/>
        </w:rPr>
        <w:t xml:space="preserve">s </w:t>
      </w:r>
      <w:r w:rsidR="00A21B95" w:rsidRPr="00D5464D">
        <w:rPr>
          <w:rFonts w:eastAsia="Cambria" w:cs="Times New Roman"/>
          <w:szCs w:val="20"/>
          <w:lang w:val="pt-BR"/>
        </w:rPr>
        <w:t>36</w:t>
      </w:r>
      <w:r w:rsidR="007A3720" w:rsidRPr="00D5464D">
        <w:rPr>
          <w:rFonts w:eastAsia="Cambria" w:cs="Times New Roman"/>
          <w:szCs w:val="20"/>
          <w:lang w:val="pt-BR"/>
        </w:rPr>
        <w:t>1</w:t>
      </w:r>
      <w:r w:rsidR="009D2CB0" w:rsidRPr="00D5464D">
        <w:rPr>
          <w:rFonts w:eastAsia="Cambria" w:cs="Times New Roman"/>
          <w:szCs w:val="20"/>
          <w:lang w:val="pt-BR"/>
        </w:rPr>
        <w:t xml:space="preserve"> a 382</w:t>
      </w:r>
      <w:r w:rsidRPr="00D5464D">
        <w:rPr>
          <w:rFonts w:eastAsia="Cambria" w:cs="Times New Roman"/>
          <w:szCs w:val="20"/>
          <w:lang w:val="pt-BR"/>
        </w:rPr>
        <w:t xml:space="preserve"> da </w:t>
      </w:r>
      <w:r w:rsidR="00702C18" w:rsidRPr="00D5464D">
        <w:rPr>
          <w:rFonts w:eastAsia="Cambria" w:cs="Times New Roman"/>
          <w:szCs w:val="20"/>
          <w:lang w:val="pt-BR"/>
        </w:rPr>
        <w:t xml:space="preserve">presente </w:t>
      </w:r>
      <w:r w:rsidR="002C330E" w:rsidRPr="00D5464D">
        <w:rPr>
          <w:rFonts w:eastAsia="Cambria" w:cs="Times New Roman"/>
          <w:szCs w:val="20"/>
          <w:lang w:val="pt-BR"/>
        </w:rPr>
        <w:t>Sentença</w:t>
      </w:r>
      <w:r w:rsidR="00702C18" w:rsidRPr="00D5464D">
        <w:rPr>
          <w:rFonts w:eastAsia="Cambria" w:cs="Times New Roman"/>
          <w:szCs w:val="20"/>
          <w:lang w:val="pt-BR"/>
        </w:rPr>
        <w:t>.</w:t>
      </w:r>
    </w:p>
    <w:p w14:paraId="086798BB" w14:textId="77777777" w:rsidR="00702C18" w:rsidRPr="00D5464D" w:rsidRDefault="00702C18" w:rsidP="00702C18">
      <w:pPr>
        <w:tabs>
          <w:tab w:val="clear" w:pos="4419"/>
          <w:tab w:val="clear" w:pos="8838"/>
        </w:tabs>
        <w:ind w:right="-90"/>
        <w:contextualSpacing/>
        <w:jc w:val="both"/>
        <w:rPr>
          <w:rFonts w:eastAsia="MS Mincho" w:cs="Times New Roman"/>
          <w:szCs w:val="20"/>
          <w:lang w:val="pt-BR" w:bidi="en-US"/>
        </w:rPr>
      </w:pPr>
    </w:p>
    <w:p w14:paraId="095AEE0B" w14:textId="79E12D75" w:rsidR="00702C18" w:rsidRPr="00D5464D" w:rsidRDefault="00702C18" w:rsidP="00702C18">
      <w:pPr>
        <w:tabs>
          <w:tab w:val="clear" w:pos="4419"/>
          <w:tab w:val="clear" w:pos="8838"/>
        </w:tabs>
        <w:ind w:right="-90"/>
        <w:contextualSpacing/>
        <w:jc w:val="both"/>
        <w:rPr>
          <w:rFonts w:eastAsia="MS Mincho" w:cs="Times New Roman"/>
          <w:szCs w:val="20"/>
          <w:lang w:val="pt-BR" w:bidi="en-US"/>
        </w:rPr>
      </w:pPr>
      <w:r w:rsidRPr="00D5464D">
        <w:rPr>
          <w:rFonts w:eastAsia="MS Mincho" w:cs="Times New Roman"/>
          <w:szCs w:val="20"/>
          <w:lang w:val="pt-BR" w:bidi="en-US"/>
        </w:rPr>
        <w:t>Por cinco votos a favor</w:t>
      </w:r>
      <w:r w:rsidR="00E045D9" w:rsidRPr="00D5464D">
        <w:rPr>
          <w:rFonts w:eastAsia="MS Mincho" w:cs="Times New Roman"/>
          <w:szCs w:val="20"/>
          <w:lang w:val="pt-BR" w:bidi="en-US"/>
        </w:rPr>
        <w:t xml:space="preserve"> e</w:t>
      </w:r>
      <w:r w:rsidR="00A1358C" w:rsidRPr="00D5464D">
        <w:rPr>
          <w:rFonts w:eastAsia="MS Mincho" w:cs="Times New Roman"/>
          <w:szCs w:val="20"/>
          <w:lang w:val="pt-BR" w:bidi="en-US"/>
        </w:rPr>
        <w:t xml:space="preserve"> um </w:t>
      </w:r>
      <w:r w:rsidRPr="00D5464D">
        <w:rPr>
          <w:rFonts w:eastAsia="MS Mincho" w:cs="Times New Roman"/>
          <w:szCs w:val="20"/>
          <w:lang w:val="pt-BR" w:bidi="en-US"/>
        </w:rPr>
        <w:t>contr</w:t>
      </w:r>
      <w:r w:rsidR="00D6373E" w:rsidRPr="00D5464D">
        <w:rPr>
          <w:rFonts w:eastAsia="MS Mincho" w:cs="Times New Roman"/>
          <w:szCs w:val="20"/>
          <w:lang w:val="pt-BR" w:bidi="en-US"/>
        </w:rPr>
        <w:t>ário</w:t>
      </w:r>
      <w:r w:rsidRPr="00D5464D">
        <w:rPr>
          <w:rFonts w:eastAsia="MS Mincho" w:cs="Times New Roman"/>
          <w:szCs w:val="20"/>
          <w:lang w:val="pt-BR" w:bidi="en-US"/>
        </w:rPr>
        <w:t>, que:</w:t>
      </w:r>
    </w:p>
    <w:p w14:paraId="245C080C" w14:textId="77777777" w:rsidR="00E94DEB" w:rsidRPr="00D5464D" w:rsidRDefault="00E94DEB" w:rsidP="00E94DEB">
      <w:pPr>
        <w:tabs>
          <w:tab w:val="clear" w:pos="4419"/>
          <w:tab w:val="clear" w:pos="8838"/>
          <w:tab w:val="left" w:pos="720"/>
        </w:tabs>
        <w:ind w:right="-90"/>
        <w:contextualSpacing/>
        <w:jc w:val="both"/>
        <w:rPr>
          <w:rFonts w:eastAsia="Cambria" w:cs="Times New Roman"/>
          <w:szCs w:val="20"/>
          <w:lang w:val="pt-BR"/>
        </w:rPr>
      </w:pPr>
    </w:p>
    <w:p w14:paraId="1A6D003D" w14:textId="6FFC0073" w:rsidR="00702C18" w:rsidRPr="00D5464D" w:rsidRDefault="00470ADC" w:rsidP="00F306D7">
      <w:pPr>
        <w:numPr>
          <w:ilvl w:val="0"/>
          <w:numId w:val="14"/>
        </w:numPr>
        <w:tabs>
          <w:tab w:val="clear" w:pos="4419"/>
          <w:tab w:val="clear" w:pos="8838"/>
          <w:tab w:val="left" w:pos="720"/>
        </w:tabs>
        <w:ind w:right="-90"/>
        <w:contextualSpacing/>
        <w:jc w:val="both"/>
        <w:rPr>
          <w:rFonts w:eastAsia="Cambria" w:cs="Times New Roman"/>
          <w:szCs w:val="20"/>
          <w:lang w:val="pt-BR"/>
        </w:rPr>
      </w:pPr>
      <w:r w:rsidRPr="00D5464D">
        <w:rPr>
          <w:rFonts w:eastAsia="MS Mincho" w:cs="Times New Roman"/>
          <w:szCs w:val="20"/>
          <w:lang w:val="pt-BR" w:bidi="en-US"/>
        </w:rPr>
        <w:t xml:space="preserve">O </w:t>
      </w:r>
      <w:r w:rsidR="00702C18" w:rsidRPr="00D5464D">
        <w:rPr>
          <w:rFonts w:eastAsia="Cambria" w:cs="Times New Roman"/>
          <w:szCs w:val="20"/>
          <w:lang w:val="pt-BR"/>
        </w:rPr>
        <w:t>Estado</w:t>
      </w:r>
      <w:r w:rsidRPr="00D5464D">
        <w:rPr>
          <w:rFonts w:eastAsia="Cambria" w:cs="Times New Roman"/>
          <w:szCs w:val="20"/>
          <w:lang w:val="pt-BR"/>
        </w:rPr>
        <w:t xml:space="preserve"> é </w:t>
      </w:r>
      <w:r w:rsidR="002C330E" w:rsidRPr="00D5464D">
        <w:rPr>
          <w:rFonts w:eastAsia="Cambria" w:cs="Times New Roman"/>
          <w:szCs w:val="20"/>
          <w:lang w:val="pt-BR"/>
        </w:rPr>
        <w:t xml:space="preserve">responsável </w:t>
      </w:r>
      <w:r w:rsidR="00702C18" w:rsidRPr="00D5464D">
        <w:rPr>
          <w:rFonts w:eastAsia="Cambria" w:cs="Times New Roman"/>
          <w:szCs w:val="20"/>
          <w:lang w:val="pt-BR"/>
        </w:rPr>
        <w:t>por violar</w:t>
      </w:r>
      <w:r w:rsidRPr="00D5464D">
        <w:rPr>
          <w:rFonts w:eastAsia="Cambria" w:cs="Times New Roman"/>
          <w:szCs w:val="20"/>
          <w:lang w:val="pt-BR"/>
        </w:rPr>
        <w:t xml:space="preserve"> o direito à </w:t>
      </w:r>
      <w:r w:rsidR="002C330E" w:rsidRPr="00D5464D">
        <w:rPr>
          <w:rFonts w:eastAsia="Cambria" w:cs="Times New Roman"/>
          <w:szCs w:val="20"/>
          <w:lang w:val="pt-BR"/>
        </w:rPr>
        <w:t>proteção</w:t>
      </w:r>
      <w:r w:rsidR="00702C18" w:rsidRPr="00D5464D">
        <w:rPr>
          <w:rFonts w:eastAsia="Cambria" w:cs="Times New Roman"/>
          <w:szCs w:val="20"/>
          <w:lang w:val="pt-BR"/>
        </w:rPr>
        <w:t xml:space="preserve"> judicial, previsto</w:t>
      </w:r>
      <w:r w:rsidR="00E045D9" w:rsidRPr="00D5464D">
        <w:rPr>
          <w:rFonts w:eastAsia="Cambria" w:cs="Times New Roman"/>
          <w:szCs w:val="20"/>
          <w:lang w:val="pt-BR"/>
        </w:rPr>
        <w:t xml:space="preserve"> no </w:t>
      </w:r>
      <w:r w:rsidRPr="00D5464D">
        <w:rPr>
          <w:rFonts w:eastAsia="Cambria" w:cs="Times New Roman"/>
          <w:szCs w:val="20"/>
          <w:lang w:val="pt-BR"/>
        </w:rPr>
        <w:t>artigo</w:t>
      </w:r>
      <w:r w:rsidR="00702C18" w:rsidRPr="00D5464D">
        <w:rPr>
          <w:rFonts w:eastAsia="Cambria" w:cs="Times New Roman"/>
          <w:szCs w:val="20"/>
          <w:lang w:val="pt-BR"/>
        </w:rPr>
        <w:t xml:space="preserve"> 25</w:t>
      </w:r>
      <w:r w:rsidRPr="00D5464D">
        <w:rPr>
          <w:rFonts w:eastAsia="Cambria" w:cs="Times New Roman"/>
          <w:szCs w:val="20"/>
          <w:lang w:val="pt-BR"/>
        </w:rPr>
        <w:t xml:space="preserve"> da </w:t>
      </w:r>
      <w:r w:rsidR="00702C18" w:rsidRPr="00D5464D">
        <w:rPr>
          <w:rFonts w:eastAsia="Cambria" w:cs="Times New Roman"/>
          <w:szCs w:val="20"/>
          <w:lang w:val="pt-BR"/>
        </w:rPr>
        <w:t>Conven</w:t>
      </w:r>
      <w:r w:rsidRPr="00D5464D">
        <w:rPr>
          <w:rFonts w:eastAsia="Cambria" w:cs="Times New Roman"/>
          <w:szCs w:val="20"/>
          <w:lang w:val="pt-BR"/>
        </w:rPr>
        <w:t>ção</w:t>
      </w:r>
      <w:r w:rsidR="00702C18" w:rsidRPr="00D5464D">
        <w:rPr>
          <w:rFonts w:eastAsia="Cambria" w:cs="Times New Roman"/>
          <w:szCs w:val="20"/>
          <w:lang w:val="pt-BR"/>
        </w:rPr>
        <w:t xml:space="preserve"> Americana sobre </w:t>
      </w:r>
      <w:r w:rsidRPr="00D5464D">
        <w:rPr>
          <w:rFonts w:eastAsia="Cambria" w:cs="Times New Roman"/>
          <w:szCs w:val="20"/>
          <w:lang w:val="pt-BR"/>
        </w:rPr>
        <w:t>Direito</w:t>
      </w:r>
      <w:r w:rsidR="00702C18" w:rsidRPr="00D5464D">
        <w:rPr>
          <w:rFonts w:eastAsia="Cambria" w:cs="Times New Roman"/>
          <w:szCs w:val="20"/>
          <w:lang w:val="pt-BR"/>
        </w:rPr>
        <w:t>s Humanos,</w:t>
      </w:r>
      <w:r w:rsidRPr="00D5464D">
        <w:rPr>
          <w:rFonts w:eastAsia="Cambria" w:cs="Times New Roman"/>
          <w:szCs w:val="20"/>
          <w:lang w:val="pt-BR"/>
        </w:rPr>
        <w:t xml:space="preserve"> </w:t>
      </w:r>
      <w:r w:rsidR="00A1358C" w:rsidRPr="00D5464D">
        <w:rPr>
          <w:rFonts w:eastAsia="Cambria" w:cs="Times New Roman"/>
          <w:szCs w:val="20"/>
          <w:lang w:val="pt-BR"/>
        </w:rPr>
        <w:t>em relação aos artigos</w:t>
      </w:r>
      <w:r w:rsidR="00702C18" w:rsidRPr="00D5464D">
        <w:rPr>
          <w:rFonts w:eastAsia="Cambria" w:cs="Times New Roman"/>
          <w:szCs w:val="20"/>
          <w:lang w:val="pt-BR"/>
        </w:rPr>
        <w:t xml:space="preserve"> 1.1</w:t>
      </w:r>
      <w:r w:rsidR="00E045D9" w:rsidRPr="00D5464D">
        <w:rPr>
          <w:rFonts w:eastAsia="Cambria" w:cs="Times New Roman"/>
          <w:szCs w:val="20"/>
          <w:lang w:val="pt-BR"/>
        </w:rPr>
        <w:t xml:space="preserve"> e </w:t>
      </w:r>
      <w:r w:rsidR="00702C18" w:rsidRPr="00D5464D">
        <w:rPr>
          <w:rFonts w:eastAsia="Cambria" w:cs="Times New Roman"/>
          <w:szCs w:val="20"/>
          <w:lang w:val="pt-BR"/>
        </w:rPr>
        <w:t xml:space="preserve">2 </w:t>
      </w:r>
      <w:r w:rsidRPr="00D5464D">
        <w:rPr>
          <w:rFonts w:eastAsia="Cambria" w:cs="Times New Roman"/>
          <w:szCs w:val="20"/>
          <w:lang w:val="pt-BR"/>
        </w:rPr>
        <w:t xml:space="preserve">do </w:t>
      </w:r>
      <w:r w:rsidR="002C330E" w:rsidRPr="00D5464D">
        <w:rPr>
          <w:rFonts w:eastAsia="Cambria" w:cs="Times New Roman"/>
          <w:szCs w:val="20"/>
          <w:lang w:val="pt-BR"/>
        </w:rPr>
        <w:t>mesm</w:t>
      </w:r>
      <w:r w:rsidR="00702C18" w:rsidRPr="00D5464D">
        <w:rPr>
          <w:rFonts w:eastAsia="Cambria" w:cs="Times New Roman"/>
          <w:szCs w:val="20"/>
          <w:lang w:val="pt-BR"/>
        </w:rPr>
        <w:t>o instrumento</w:t>
      </w:r>
      <w:r w:rsidRPr="00D5464D">
        <w:rPr>
          <w:rFonts w:eastAsia="Cambria" w:cs="Times New Roman"/>
          <w:szCs w:val="20"/>
          <w:lang w:val="pt-BR"/>
        </w:rPr>
        <w:t xml:space="preserve"> em </w:t>
      </w:r>
      <w:r w:rsidR="002C330E" w:rsidRPr="00D5464D">
        <w:rPr>
          <w:rFonts w:eastAsia="Cambria" w:cs="Times New Roman"/>
          <w:szCs w:val="20"/>
          <w:lang w:val="pt-BR"/>
        </w:rPr>
        <w:t>prejuízo</w:t>
      </w:r>
      <w:r w:rsidR="00702C18" w:rsidRPr="00D5464D">
        <w:rPr>
          <w:rFonts w:eastAsia="Cambria" w:cs="Times New Roman"/>
          <w:szCs w:val="20"/>
          <w:lang w:val="pt-BR"/>
        </w:rPr>
        <w:t xml:space="preserve"> de: a)</w:t>
      </w:r>
      <w:r w:rsidR="002C330E" w:rsidRPr="00D5464D">
        <w:rPr>
          <w:rFonts w:eastAsia="Cambria" w:cs="Times New Roman"/>
          <w:szCs w:val="20"/>
          <w:lang w:val="pt-BR"/>
        </w:rPr>
        <w:t xml:space="preserve"> os </w:t>
      </w:r>
      <w:r w:rsidR="00702C18" w:rsidRPr="00D5464D">
        <w:rPr>
          <w:rFonts w:eastAsia="Cambria" w:cs="Times New Roman"/>
          <w:szCs w:val="20"/>
          <w:lang w:val="pt-BR"/>
        </w:rPr>
        <w:t xml:space="preserve">43 </w:t>
      </w:r>
      <w:r w:rsidR="00E045D9" w:rsidRPr="00D5464D">
        <w:rPr>
          <w:rFonts w:eastAsia="Cambria" w:cs="Times New Roman"/>
          <w:szCs w:val="20"/>
          <w:lang w:val="pt-BR"/>
        </w:rPr>
        <w:t>trabalhadores</w:t>
      </w:r>
      <w:r w:rsidRPr="00D5464D">
        <w:rPr>
          <w:rFonts w:eastAsia="Cambria" w:cs="Times New Roman"/>
          <w:szCs w:val="20"/>
          <w:lang w:val="pt-BR"/>
        </w:rPr>
        <w:t xml:space="preserve"> da </w:t>
      </w:r>
      <w:r w:rsidR="00D809F0" w:rsidRPr="00D5464D">
        <w:rPr>
          <w:rFonts w:eastAsia="Cambria" w:cs="Times New Roman"/>
          <w:szCs w:val="20"/>
          <w:lang w:val="pt-BR"/>
        </w:rPr>
        <w:t>Fazenda</w:t>
      </w:r>
      <w:r w:rsidR="00702C18" w:rsidRPr="00D5464D">
        <w:rPr>
          <w:rFonts w:eastAsia="Cambria" w:cs="Times New Roman"/>
          <w:szCs w:val="20"/>
          <w:lang w:val="pt-BR"/>
        </w:rPr>
        <w:t xml:space="preserve"> Brasil Verde </w:t>
      </w:r>
      <w:r w:rsidR="00D6373E" w:rsidRPr="00D5464D">
        <w:rPr>
          <w:rFonts w:eastAsia="Cambria" w:cs="Times New Roman"/>
          <w:szCs w:val="20"/>
          <w:lang w:val="pt-BR"/>
        </w:rPr>
        <w:t xml:space="preserve">encontrados </w:t>
      </w:r>
      <w:r w:rsidR="00702C18" w:rsidRPr="00D5464D">
        <w:rPr>
          <w:rFonts w:eastAsia="Cambria" w:cs="Times New Roman"/>
          <w:szCs w:val="20"/>
          <w:lang w:val="pt-BR"/>
        </w:rPr>
        <w:t>durante</w:t>
      </w:r>
      <w:r w:rsidR="002C330E" w:rsidRPr="00D5464D">
        <w:rPr>
          <w:rFonts w:eastAsia="Cambria" w:cs="Times New Roman"/>
          <w:szCs w:val="20"/>
          <w:lang w:val="pt-BR"/>
        </w:rPr>
        <w:t xml:space="preserve"> a </w:t>
      </w:r>
      <w:r w:rsidR="00702C18" w:rsidRPr="00D5464D">
        <w:rPr>
          <w:rFonts w:eastAsia="Cambria" w:cs="Times New Roman"/>
          <w:szCs w:val="20"/>
          <w:lang w:val="pt-BR"/>
        </w:rPr>
        <w:t>fiscaliza</w:t>
      </w:r>
      <w:r w:rsidRPr="00D5464D">
        <w:rPr>
          <w:rFonts w:eastAsia="Cambria" w:cs="Times New Roman"/>
          <w:szCs w:val="20"/>
          <w:lang w:val="pt-BR"/>
        </w:rPr>
        <w:t>ção</w:t>
      </w:r>
      <w:r w:rsidR="00702C18" w:rsidRPr="00D5464D">
        <w:rPr>
          <w:rFonts w:eastAsia="Cambria" w:cs="Times New Roman"/>
          <w:szCs w:val="20"/>
          <w:lang w:val="pt-BR"/>
        </w:rPr>
        <w:t xml:space="preserve"> de 23 de abril de 1997</w:t>
      </w:r>
      <w:r w:rsidR="00E045D9" w:rsidRPr="00D5464D">
        <w:rPr>
          <w:rFonts w:eastAsia="Cambria" w:cs="Times New Roman"/>
          <w:szCs w:val="20"/>
          <w:lang w:val="pt-BR"/>
        </w:rPr>
        <w:t xml:space="preserve"> e </w:t>
      </w:r>
      <w:r w:rsidR="00702C18" w:rsidRPr="00D5464D">
        <w:rPr>
          <w:rFonts w:eastAsia="Cambria" w:cs="Times New Roman"/>
          <w:szCs w:val="20"/>
          <w:lang w:val="pt-BR"/>
        </w:rPr>
        <w:t xml:space="preserve">que </w:t>
      </w:r>
      <w:r w:rsidRPr="00D5464D">
        <w:rPr>
          <w:rFonts w:eastAsia="Cambria" w:cs="Times New Roman"/>
          <w:szCs w:val="20"/>
          <w:lang w:val="pt-BR"/>
        </w:rPr>
        <w:t>foram</w:t>
      </w:r>
      <w:r w:rsidR="00702C18" w:rsidRPr="00D5464D">
        <w:rPr>
          <w:rFonts w:eastAsia="Cambria" w:cs="Times New Roman"/>
          <w:szCs w:val="20"/>
          <w:lang w:val="pt-BR"/>
        </w:rPr>
        <w:t xml:space="preserve"> identificados</w:t>
      </w:r>
      <w:r w:rsidR="002C330E" w:rsidRPr="00D5464D">
        <w:rPr>
          <w:rFonts w:eastAsia="Cambria" w:cs="Times New Roman"/>
          <w:szCs w:val="20"/>
          <w:lang w:val="pt-BR"/>
        </w:rPr>
        <w:t xml:space="preserve"> pela </w:t>
      </w:r>
      <w:r w:rsidR="00702C18" w:rsidRPr="00D5464D">
        <w:rPr>
          <w:rFonts w:eastAsia="Cambria" w:cs="Times New Roman"/>
          <w:szCs w:val="20"/>
          <w:lang w:val="pt-BR"/>
        </w:rPr>
        <w:t>Corte</w:t>
      </w:r>
      <w:r w:rsidR="00E045D9" w:rsidRPr="00D5464D">
        <w:rPr>
          <w:rFonts w:eastAsia="Cambria" w:cs="Times New Roman"/>
          <w:szCs w:val="20"/>
          <w:lang w:val="pt-BR"/>
        </w:rPr>
        <w:t xml:space="preserve"> no </w:t>
      </w:r>
      <w:r w:rsidR="00702C18" w:rsidRPr="00D5464D">
        <w:rPr>
          <w:rFonts w:eastAsia="Cambria" w:cs="Times New Roman"/>
          <w:szCs w:val="20"/>
          <w:lang w:val="pt-BR"/>
        </w:rPr>
        <w:t xml:space="preserve">presente </w:t>
      </w:r>
      <w:r w:rsidR="002C330E" w:rsidRPr="00D5464D">
        <w:rPr>
          <w:rFonts w:eastAsia="Cambria" w:cs="Times New Roman"/>
          <w:szCs w:val="20"/>
          <w:lang w:val="pt-BR"/>
        </w:rPr>
        <w:t>litígio</w:t>
      </w:r>
      <w:r w:rsidR="00702C18" w:rsidRPr="00D5464D">
        <w:rPr>
          <w:rFonts w:eastAsia="Cambria" w:cs="Times New Roman"/>
          <w:szCs w:val="20"/>
          <w:lang w:val="pt-BR"/>
        </w:rPr>
        <w:t xml:space="preserve"> (</w:t>
      </w:r>
      <w:r w:rsidR="00C85EA9" w:rsidRPr="00D5464D">
        <w:rPr>
          <w:rFonts w:eastAsia="Cambria" w:cs="Times New Roman"/>
          <w:szCs w:val="20"/>
          <w:lang w:val="pt-BR"/>
        </w:rPr>
        <w:t xml:space="preserve">par. </w:t>
      </w:r>
      <w:r w:rsidR="00D036E7" w:rsidRPr="00D5464D">
        <w:rPr>
          <w:rFonts w:eastAsia="Cambria" w:cs="Times New Roman"/>
          <w:szCs w:val="20"/>
          <w:lang w:val="pt-BR"/>
        </w:rPr>
        <w:t>199</w:t>
      </w:r>
      <w:r w:rsidR="00D036E7" w:rsidRPr="00D5464D">
        <w:rPr>
          <w:rFonts w:eastAsia="Cambria" w:cs="Times New Roman"/>
          <w:i/>
          <w:szCs w:val="20"/>
          <w:lang w:val="pt-BR"/>
        </w:rPr>
        <w:t xml:space="preserve"> supra</w:t>
      </w:r>
      <w:r w:rsidR="00D036E7" w:rsidRPr="00D5464D">
        <w:rPr>
          <w:rFonts w:eastAsia="Cambria" w:cs="Times New Roman"/>
          <w:szCs w:val="20"/>
          <w:lang w:val="pt-BR"/>
        </w:rPr>
        <w:t>)</w:t>
      </w:r>
      <w:r w:rsidR="002A0C2B" w:rsidRPr="00D5464D">
        <w:rPr>
          <w:rFonts w:eastAsia="Cambria" w:cs="Times New Roman"/>
          <w:szCs w:val="20"/>
          <w:lang w:val="pt-BR"/>
        </w:rPr>
        <w:t xml:space="preserve"> e </w:t>
      </w:r>
      <w:r w:rsidR="00702C18" w:rsidRPr="00D5464D">
        <w:rPr>
          <w:rFonts w:eastAsia="Cambria" w:cs="Times New Roman"/>
          <w:szCs w:val="20"/>
          <w:lang w:val="pt-BR"/>
        </w:rPr>
        <w:t>b)</w:t>
      </w:r>
      <w:r w:rsidR="002C330E" w:rsidRPr="00D5464D">
        <w:rPr>
          <w:rFonts w:eastAsia="Cambria" w:cs="Times New Roman"/>
          <w:szCs w:val="20"/>
          <w:lang w:val="pt-BR"/>
        </w:rPr>
        <w:t xml:space="preserve"> os </w:t>
      </w:r>
      <w:r w:rsidR="00702C18" w:rsidRPr="00D5464D">
        <w:rPr>
          <w:rFonts w:eastAsia="Cambria" w:cs="Times New Roman"/>
          <w:szCs w:val="20"/>
          <w:lang w:val="pt-BR"/>
        </w:rPr>
        <w:t xml:space="preserve">85 </w:t>
      </w:r>
      <w:r w:rsidR="00E045D9" w:rsidRPr="00D5464D">
        <w:rPr>
          <w:rFonts w:eastAsia="Cambria" w:cs="Times New Roman"/>
          <w:szCs w:val="20"/>
          <w:lang w:val="pt-BR"/>
        </w:rPr>
        <w:t>trabalhadores</w:t>
      </w:r>
      <w:r w:rsidRPr="00D5464D">
        <w:rPr>
          <w:rFonts w:eastAsia="Cambria" w:cs="Times New Roman"/>
          <w:szCs w:val="20"/>
          <w:lang w:val="pt-BR"/>
        </w:rPr>
        <w:t xml:space="preserve"> da </w:t>
      </w:r>
      <w:r w:rsidR="00D809F0" w:rsidRPr="00D5464D">
        <w:rPr>
          <w:rFonts w:eastAsia="Cambria" w:cs="Times New Roman"/>
          <w:szCs w:val="20"/>
          <w:lang w:val="pt-BR"/>
        </w:rPr>
        <w:t>Fazenda</w:t>
      </w:r>
      <w:r w:rsidR="00702C18" w:rsidRPr="00D5464D">
        <w:rPr>
          <w:rFonts w:eastAsia="Cambria" w:cs="Times New Roman"/>
          <w:szCs w:val="20"/>
          <w:lang w:val="pt-BR"/>
        </w:rPr>
        <w:t xml:space="preserve"> Brasil Verde </w:t>
      </w:r>
      <w:r w:rsidR="00D6373E" w:rsidRPr="00D5464D">
        <w:rPr>
          <w:rFonts w:eastAsia="Cambria" w:cs="Times New Roman"/>
          <w:szCs w:val="20"/>
          <w:lang w:val="pt-BR"/>
        </w:rPr>
        <w:t xml:space="preserve">encontrados </w:t>
      </w:r>
      <w:r w:rsidR="00702C18" w:rsidRPr="00D5464D">
        <w:rPr>
          <w:rFonts w:eastAsia="Cambria" w:cs="Times New Roman"/>
          <w:szCs w:val="20"/>
          <w:lang w:val="pt-BR"/>
        </w:rPr>
        <w:t>durante</w:t>
      </w:r>
      <w:r w:rsidR="002C330E" w:rsidRPr="00D5464D">
        <w:rPr>
          <w:rFonts w:eastAsia="Cambria" w:cs="Times New Roman"/>
          <w:szCs w:val="20"/>
          <w:lang w:val="pt-BR"/>
        </w:rPr>
        <w:t xml:space="preserve"> a </w:t>
      </w:r>
      <w:r w:rsidR="00702C18" w:rsidRPr="00D5464D">
        <w:rPr>
          <w:rFonts w:eastAsia="Cambria" w:cs="Times New Roman"/>
          <w:szCs w:val="20"/>
          <w:lang w:val="pt-BR"/>
        </w:rPr>
        <w:t>fiscaliza</w:t>
      </w:r>
      <w:r w:rsidRPr="00D5464D">
        <w:rPr>
          <w:rFonts w:eastAsia="Cambria" w:cs="Times New Roman"/>
          <w:szCs w:val="20"/>
          <w:lang w:val="pt-BR"/>
        </w:rPr>
        <w:t>ção</w:t>
      </w:r>
      <w:r w:rsidR="00702C18" w:rsidRPr="00D5464D">
        <w:rPr>
          <w:rFonts w:eastAsia="Cambria" w:cs="Times New Roman"/>
          <w:szCs w:val="20"/>
          <w:lang w:val="pt-BR"/>
        </w:rPr>
        <w:t xml:space="preserve"> de 15 de </w:t>
      </w:r>
      <w:r w:rsidR="002C330E" w:rsidRPr="00D5464D">
        <w:rPr>
          <w:rFonts w:eastAsia="Cambria" w:cs="Times New Roman"/>
          <w:szCs w:val="20"/>
          <w:lang w:val="pt-BR"/>
        </w:rPr>
        <w:t>março</w:t>
      </w:r>
      <w:r w:rsidR="00702C18" w:rsidRPr="00D5464D">
        <w:rPr>
          <w:rFonts w:eastAsia="Cambria" w:cs="Times New Roman"/>
          <w:szCs w:val="20"/>
          <w:lang w:val="pt-BR"/>
        </w:rPr>
        <w:t xml:space="preserve"> de 2000</w:t>
      </w:r>
      <w:r w:rsidR="00E045D9" w:rsidRPr="00D5464D">
        <w:rPr>
          <w:rFonts w:eastAsia="Cambria" w:cs="Times New Roman"/>
          <w:szCs w:val="20"/>
          <w:lang w:val="pt-BR"/>
        </w:rPr>
        <w:t xml:space="preserve"> e </w:t>
      </w:r>
      <w:r w:rsidR="00702C18" w:rsidRPr="00D5464D">
        <w:rPr>
          <w:rFonts w:eastAsia="Cambria" w:cs="Times New Roman"/>
          <w:szCs w:val="20"/>
          <w:lang w:val="pt-BR"/>
        </w:rPr>
        <w:t xml:space="preserve">que </w:t>
      </w:r>
      <w:r w:rsidRPr="00D5464D">
        <w:rPr>
          <w:rFonts w:eastAsia="Cambria" w:cs="Times New Roman"/>
          <w:szCs w:val="20"/>
          <w:lang w:val="pt-BR"/>
        </w:rPr>
        <w:t>foram</w:t>
      </w:r>
      <w:r w:rsidR="00702C18" w:rsidRPr="00D5464D">
        <w:rPr>
          <w:rFonts w:eastAsia="Cambria" w:cs="Times New Roman"/>
          <w:szCs w:val="20"/>
          <w:lang w:val="pt-BR"/>
        </w:rPr>
        <w:t xml:space="preserve"> identificados</w:t>
      </w:r>
      <w:r w:rsidR="002C330E" w:rsidRPr="00D5464D">
        <w:rPr>
          <w:rFonts w:eastAsia="Cambria" w:cs="Times New Roman"/>
          <w:szCs w:val="20"/>
          <w:lang w:val="pt-BR"/>
        </w:rPr>
        <w:t xml:space="preserve"> pela </w:t>
      </w:r>
      <w:r w:rsidR="00702C18" w:rsidRPr="00D5464D">
        <w:rPr>
          <w:rFonts w:eastAsia="Cambria" w:cs="Times New Roman"/>
          <w:szCs w:val="20"/>
          <w:lang w:val="pt-BR"/>
        </w:rPr>
        <w:t>Corte</w:t>
      </w:r>
      <w:r w:rsidR="00E045D9" w:rsidRPr="00D5464D">
        <w:rPr>
          <w:rFonts w:eastAsia="Cambria" w:cs="Times New Roman"/>
          <w:szCs w:val="20"/>
          <w:lang w:val="pt-BR"/>
        </w:rPr>
        <w:t xml:space="preserve"> no </w:t>
      </w:r>
      <w:r w:rsidR="00702C18" w:rsidRPr="00D5464D">
        <w:rPr>
          <w:rFonts w:eastAsia="Cambria" w:cs="Times New Roman"/>
          <w:szCs w:val="20"/>
          <w:lang w:val="pt-BR"/>
        </w:rPr>
        <w:t xml:space="preserve">presente </w:t>
      </w:r>
      <w:r w:rsidR="002C330E" w:rsidRPr="00D5464D">
        <w:rPr>
          <w:rFonts w:eastAsia="Cambria" w:cs="Times New Roman"/>
          <w:szCs w:val="20"/>
          <w:lang w:val="pt-BR"/>
        </w:rPr>
        <w:t>litígio</w:t>
      </w:r>
      <w:r w:rsidR="00702C18" w:rsidRPr="00D5464D">
        <w:rPr>
          <w:rFonts w:eastAsia="Cambria" w:cs="Times New Roman"/>
          <w:szCs w:val="20"/>
          <w:lang w:val="pt-BR"/>
        </w:rPr>
        <w:t xml:space="preserve"> (</w:t>
      </w:r>
      <w:r w:rsidR="00C85EA9" w:rsidRPr="00D5464D">
        <w:rPr>
          <w:rFonts w:eastAsia="Cambria" w:cs="Times New Roman"/>
          <w:szCs w:val="20"/>
          <w:lang w:val="pt-BR"/>
        </w:rPr>
        <w:t xml:space="preserve">par. </w:t>
      </w:r>
      <w:r w:rsidR="00D036E7" w:rsidRPr="00D5464D">
        <w:rPr>
          <w:rFonts w:eastAsia="Cambria" w:cs="Times New Roman"/>
          <w:szCs w:val="20"/>
          <w:lang w:val="pt-BR"/>
        </w:rPr>
        <w:t>206</w:t>
      </w:r>
      <w:r w:rsidR="00D036E7" w:rsidRPr="00D5464D">
        <w:rPr>
          <w:rFonts w:eastAsia="Cambria" w:cs="Times New Roman"/>
          <w:i/>
          <w:szCs w:val="20"/>
          <w:lang w:val="pt-BR"/>
        </w:rPr>
        <w:t xml:space="preserve"> supra</w:t>
      </w:r>
      <w:r w:rsidR="00D036E7" w:rsidRPr="00D5464D">
        <w:rPr>
          <w:rFonts w:eastAsia="Cambria" w:cs="Times New Roman"/>
          <w:szCs w:val="20"/>
          <w:lang w:val="pt-BR"/>
        </w:rPr>
        <w:t>)</w:t>
      </w:r>
      <w:r w:rsidR="00702C18" w:rsidRPr="00D5464D">
        <w:rPr>
          <w:rFonts w:eastAsia="Cambria" w:cs="Times New Roman"/>
          <w:szCs w:val="20"/>
          <w:lang w:val="pt-BR"/>
        </w:rPr>
        <w:t xml:space="preserve">. </w:t>
      </w:r>
      <w:r w:rsidR="00702C18" w:rsidRPr="00D5464D">
        <w:rPr>
          <w:rFonts w:eastAsia="Cambria" w:cs="Times New Roman"/>
          <w:lang w:val="pt-BR"/>
        </w:rPr>
        <w:t>Adicionalmente,</w:t>
      </w:r>
      <w:r w:rsidRPr="00D5464D">
        <w:rPr>
          <w:rFonts w:eastAsia="Cambria" w:cs="Times New Roman"/>
          <w:lang w:val="pt-BR"/>
        </w:rPr>
        <w:t xml:space="preserve"> em </w:t>
      </w:r>
      <w:r w:rsidR="00702C18" w:rsidRPr="00D5464D">
        <w:rPr>
          <w:rFonts w:eastAsia="Cambria" w:cs="Times New Roman"/>
          <w:lang w:val="pt-BR"/>
        </w:rPr>
        <w:t>rela</w:t>
      </w:r>
      <w:r w:rsidRPr="00D5464D">
        <w:rPr>
          <w:rFonts w:eastAsia="Cambria" w:cs="Times New Roman"/>
          <w:lang w:val="pt-BR"/>
        </w:rPr>
        <w:t xml:space="preserve">ção </w:t>
      </w:r>
      <w:r w:rsidR="00D6373E" w:rsidRPr="00D5464D">
        <w:rPr>
          <w:rFonts w:eastAsia="Cambria" w:cs="Times New Roman"/>
          <w:lang w:val="pt-BR"/>
        </w:rPr>
        <w:t>a</w:t>
      </w:r>
      <w:r w:rsidRPr="00D5464D">
        <w:rPr>
          <w:rFonts w:eastAsia="Cambria" w:cs="Times New Roman"/>
          <w:lang w:val="pt-BR"/>
        </w:rPr>
        <w:t xml:space="preserve">o </w:t>
      </w:r>
      <w:r w:rsidR="002C330E" w:rsidRPr="00D5464D">
        <w:rPr>
          <w:rFonts w:eastAsia="Cambria" w:cs="Times New Roman"/>
          <w:lang w:val="pt-BR"/>
        </w:rPr>
        <w:t xml:space="preserve">senhor </w:t>
      </w:r>
      <w:r w:rsidR="00E42F61" w:rsidRPr="00D5464D">
        <w:rPr>
          <w:rFonts w:eastAsia="Cambria" w:cs="Times New Roman"/>
          <w:lang w:val="pt-BR"/>
        </w:rPr>
        <w:t xml:space="preserve">Antônio </w:t>
      </w:r>
      <w:r w:rsidR="00702C18" w:rsidRPr="00D5464D">
        <w:rPr>
          <w:rFonts w:eastAsia="Cambria" w:cs="Times New Roman"/>
          <w:lang w:val="pt-BR"/>
        </w:rPr>
        <w:t>Francisco da Silva</w:t>
      </w:r>
      <w:r w:rsidR="00D6373E" w:rsidRPr="00D5464D">
        <w:rPr>
          <w:rFonts w:eastAsia="Cambria" w:cs="Times New Roman"/>
          <w:lang w:val="pt-BR"/>
        </w:rPr>
        <w:t>,</w:t>
      </w:r>
      <w:r w:rsidRPr="00D5464D">
        <w:rPr>
          <w:rFonts w:eastAsia="Cambria" w:cs="Times New Roman"/>
          <w:lang w:val="pt-BR"/>
        </w:rPr>
        <w:t xml:space="preserve"> essa </w:t>
      </w:r>
      <w:r w:rsidR="00702C18" w:rsidRPr="00D5464D">
        <w:rPr>
          <w:rFonts w:eastAsia="Cambria" w:cs="Times New Roman"/>
          <w:lang w:val="pt-BR"/>
        </w:rPr>
        <w:t>viola</w:t>
      </w:r>
      <w:r w:rsidRPr="00D5464D">
        <w:rPr>
          <w:rFonts w:eastAsia="Cambria" w:cs="Times New Roman"/>
          <w:lang w:val="pt-BR"/>
        </w:rPr>
        <w:t>ção</w:t>
      </w:r>
      <w:r w:rsidR="00702C18" w:rsidRPr="00D5464D">
        <w:rPr>
          <w:rFonts w:eastAsia="Cambria" w:cs="Times New Roman"/>
          <w:lang w:val="pt-BR"/>
        </w:rPr>
        <w:t xml:space="preserve"> </w:t>
      </w:r>
      <w:r w:rsidR="002C330E" w:rsidRPr="00D5464D">
        <w:rPr>
          <w:rFonts w:eastAsia="Cambria" w:cs="Times New Roman"/>
          <w:lang w:val="pt-BR"/>
        </w:rPr>
        <w:t>ocorreu</w:t>
      </w:r>
      <w:r w:rsidRPr="00D5464D">
        <w:rPr>
          <w:rFonts w:eastAsia="Cambria" w:cs="Times New Roman"/>
          <w:lang w:val="pt-BR"/>
        </w:rPr>
        <w:t xml:space="preserve"> </w:t>
      </w:r>
      <w:r w:rsidR="00A1358C" w:rsidRPr="00D5464D">
        <w:rPr>
          <w:rFonts w:eastAsia="Cambria" w:cs="Times New Roman"/>
          <w:lang w:val="pt-BR"/>
        </w:rPr>
        <w:t>em relação ao artigo</w:t>
      </w:r>
      <w:r w:rsidR="00702C18" w:rsidRPr="00D5464D">
        <w:rPr>
          <w:rFonts w:eastAsia="Cambria" w:cs="Times New Roman"/>
          <w:lang w:val="pt-BR"/>
        </w:rPr>
        <w:t xml:space="preserve"> 19</w:t>
      </w:r>
      <w:r w:rsidRPr="00D5464D">
        <w:rPr>
          <w:rFonts w:eastAsia="Cambria" w:cs="Times New Roman"/>
          <w:lang w:val="pt-BR"/>
        </w:rPr>
        <w:t xml:space="preserve"> da </w:t>
      </w:r>
      <w:r w:rsidR="00702C18" w:rsidRPr="00D5464D">
        <w:rPr>
          <w:rFonts w:eastAsia="Cambria" w:cs="Times New Roman"/>
          <w:lang w:val="pt-BR"/>
        </w:rPr>
        <w:t>Conven</w:t>
      </w:r>
      <w:r w:rsidRPr="00D5464D">
        <w:rPr>
          <w:rFonts w:eastAsia="Cambria" w:cs="Times New Roman"/>
          <w:lang w:val="pt-BR"/>
        </w:rPr>
        <w:t>ção</w:t>
      </w:r>
      <w:r w:rsidR="00702C18" w:rsidRPr="00D5464D">
        <w:rPr>
          <w:rFonts w:eastAsia="Cambria" w:cs="Times New Roman"/>
          <w:lang w:val="pt-BR"/>
        </w:rPr>
        <w:t xml:space="preserve"> Americana, todo</w:t>
      </w:r>
      <w:r w:rsidR="002C330E" w:rsidRPr="00D5464D">
        <w:rPr>
          <w:rFonts w:eastAsia="Cambria" w:cs="Times New Roman"/>
          <w:lang w:val="pt-BR"/>
        </w:rPr>
        <w:t xml:space="preserve"> anterior</w:t>
      </w:r>
      <w:r w:rsidR="00E045D9" w:rsidRPr="00D5464D">
        <w:rPr>
          <w:rFonts w:eastAsia="Cambria" w:cs="Times New Roman"/>
          <w:lang w:val="pt-BR"/>
        </w:rPr>
        <w:t xml:space="preserve"> nos </w:t>
      </w:r>
      <w:r w:rsidR="00E045D9" w:rsidRPr="00D5464D">
        <w:rPr>
          <w:rFonts w:eastAsia="Cambria" w:cs="Times New Roman"/>
          <w:szCs w:val="20"/>
          <w:lang w:val="pt-BR"/>
        </w:rPr>
        <w:t>termo</w:t>
      </w:r>
      <w:r w:rsidR="00702C18" w:rsidRPr="00D5464D">
        <w:rPr>
          <w:rFonts w:eastAsia="Cambria" w:cs="Times New Roman"/>
          <w:szCs w:val="20"/>
          <w:lang w:val="pt-BR"/>
        </w:rPr>
        <w:t>s</w:t>
      </w:r>
      <w:r w:rsidRPr="00D5464D">
        <w:rPr>
          <w:rFonts w:eastAsia="Cambria" w:cs="Times New Roman"/>
          <w:szCs w:val="20"/>
          <w:lang w:val="pt-BR"/>
        </w:rPr>
        <w:t xml:space="preserve"> dos </w:t>
      </w:r>
      <w:r w:rsidR="002C330E" w:rsidRPr="00D5464D">
        <w:rPr>
          <w:rFonts w:eastAsia="Cambria" w:cs="Times New Roman"/>
          <w:szCs w:val="20"/>
          <w:lang w:val="pt-BR"/>
        </w:rPr>
        <w:t>parágrafo</w:t>
      </w:r>
      <w:r w:rsidR="00702C18" w:rsidRPr="00D5464D">
        <w:rPr>
          <w:rFonts w:eastAsia="Cambria" w:cs="Times New Roman"/>
          <w:szCs w:val="20"/>
          <w:lang w:val="pt-BR"/>
        </w:rPr>
        <w:t xml:space="preserve">s </w:t>
      </w:r>
      <w:r w:rsidR="007A3720" w:rsidRPr="00D5464D">
        <w:rPr>
          <w:rFonts w:eastAsia="Cambria" w:cs="Times New Roman"/>
          <w:szCs w:val="20"/>
          <w:lang w:val="pt-BR"/>
        </w:rPr>
        <w:t>383</w:t>
      </w:r>
      <w:r w:rsidR="00483F80" w:rsidRPr="00D5464D">
        <w:rPr>
          <w:rFonts w:eastAsia="Cambria" w:cs="Times New Roman"/>
          <w:szCs w:val="20"/>
          <w:lang w:val="pt-BR"/>
        </w:rPr>
        <w:t xml:space="preserve"> a 42</w:t>
      </w:r>
      <w:r w:rsidR="007A3720" w:rsidRPr="00D5464D">
        <w:rPr>
          <w:rFonts w:eastAsia="Cambria" w:cs="Times New Roman"/>
          <w:szCs w:val="20"/>
          <w:lang w:val="pt-BR"/>
        </w:rPr>
        <w:t>0</w:t>
      </w:r>
      <w:r w:rsidRPr="00D5464D">
        <w:rPr>
          <w:rFonts w:eastAsia="Cambria" w:cs="Times New Roman"/>
          <w:szCs w:val="20"/>
          <w:lang w:val="pt-BR"/>
        </w:rPr>
        <w:t xml:space="preserve"> da </w:t>
      </w:r>
      <w:r w:rsidR="00702C18" w:rsidRPr="00D5464D">
        <w:rPr>
          <w:rFonts w:eastAsia="Cambria" w:cs="Times New Roman"/>
          <w:szCs w:val="20"/>
          <w:lang w:val="pt-BR"/>
        </w:rPr>
        <w:t xml:space="preserve">presente </w:t>
      </w:r>
      <w:r w:rsidR="002C330E" w:rsidRPr="00D5464D">
        <w:rPr>
          <w:rFonts w:eastAsia="Cambria" w:cs="Times New Roman"/>
          <w:szCs w:val="20"/>
          <w:lang w:val="pt-BR"/>
        </w:rPr>
        <w:t>Sentença</w:t>
      </w:r>
      <w:r w:rsidR="00702C18" w:rsidRPr="00D5464D">
        <w:rPr>
          <w:rFonts w:eastAsia="Cambria" w:cs="Times New Roman"/>
          <w:szCs w:val="20"/>
          <w:lang w:val="pt-BR"/>
        </w:rPr>
        <w:t>.</w:t>
      </w:r>
    </w:p>
    <w:p w14:paraId="62AEE187" w14:textId="77777777" w:rsidR="00702C18" w:rsidRPr="00D5464D" w:rsidRDefault="00702C18" w:rsidP="00702C18">
      <w:pPr>
        <w:tabs>
          <w:tab w:val="clear" w:pos="4419"/>
          <w:tab w:val="clear" w:pos="8838"/>
          <w:tab w:val="left" w:pos="720"/>
        </w:tabs>
        <w:ind w:right="-90"/>
        <w:contextualSpacing/>
        <w:jc w:val="both"/>
        <w:rPr>
          <w:rFonts w:eastAsia="Cambria" w:cs="Times New Roman"/>
          <w:szCs w:val="20"/>
          <w:lang w:val="pt-BR"/>
        </w:rPr>
      </w:pPr>
    </w:p>
    <w:p w14:paraId="6A0ED451" w14:textId="07A74A94" w:rsidR="00702C18" w:rsidRPr="00D5464D" w:rsidRDefault="00AB4162" w:rsidP="00702C18">
      <w:pPr>
        <w:tabs>
          <w:tab w:val="clear" w:pos="4419"/>
          <w:tab w:val="clear" w:pos="8838"/>
          <w:tab w:val="left" w:pos="720"/>
        </w:tabs>
        <w:ind w:right="-90"/>
        <w:contextualSpacing/>
        <w:jc w:val="both"/>
        <w:rPr>
          <w:rFonts w:eastAsia="Cambria" w:cs="Times New Roman"/>
          <w:szCs w:val="20"/>
          <w:lang w:val="pt-BR"/>
        </w:rPr>
      </w:pPr>
      <w:r w:rsidRPr="00D5464D">
        <w:rPr>
          <w:rFonts w:eastAsia="Cambria" w:cs="Times New Roman"/>
          <w:szCs w:val="20"/>
          <w:lang w:val="pt-BR"/>
        </w:rPr>
        <w:t xml:space="preserve">Voto </w:t>
      </w:r>
      <w:r w:rsidR="00702C18" w:rsidRPr="00D5464D">
        <w:rPr>
          <w:rFonts w:eastAsia="Cambria" w:cs="Times New Roman"/>
          <w:szCs w:val="20"/>
          <w:lang w:val="pt-BR"/>
        </w:rPr>
        <w:t>Dis</w:t>
      </w:r>
      <w:r w:rsidR="00D6373E" w:rsidRPr="00D5464D">
        <w:rPr>
          <w:rFonts w:eastAsia="Cambria" w:cs="Times New Roman"/>
          <w:szCs w:val="20"/>
          <w:lang w:val="pt-BR"/>
        </w:rPr>
        <w:t xml:space="preserve">sidente </w:t>
      </w:r>
      <w:r w:rsidR="00470ADC" w:rsidRPr="00D5464D">
        <w:rPr>
          <w:rFonts w:eastAsia="Cambria" w:cs="Times New Roman"/>
          <w:szCs w:val="20"/>
          <w:lang w:val="pt-BR"/>
        </w:rPr>
        <w:t xml:space="preserve">o </w:t>
      </w:r>
      <w:r w:rsidR="002C330E" w:rsidRPr="00D5464D">
        <w:rPr>
          <w:rFonts w:eastAsia="Cambria" w:cs="Times New Roman"/>
          <w:szCs w:val="20"/>
          <w:lang w:val="pt-BR"/>
        </w:rPr>
        <w:t>Juiz</w:t>
      </w:r>
      <w:r w:rsidR="00702C18" w:rsidRPr="00D5464D">
        <w:rPr>
          <w:rFonts w:eastAsia="Cambria" w:cs="Times New Roman"/>
          <w:szCs w:val="20"/>
          <w:lang w:val="pt-BR"/>
        </w:rPr>
        <w:t xml:space="preserve"> Sierra Porto.</w:t>
      </w:r>
    </w:p>
    <w:p w14:paraId="55F4089B" w14:textId="77777777" w:rsidR="00702C18" w:rsidRPr="00D5464D" w:rsidRDefault="00702C18" w:rsidP="00702C18">
      <w:pPr>
        <w:tabs>
          <w:tab w:val="left" w:pos="720"/>
        </w:tabs>
        <w:ind w:right="-90"/>
        <w:contextualSpacing/>
        <w:rPr>
          <w:rFonts w:eastAsia="Cambria" w:cs="Times New Roman"/>
          <w:szCs w:val="20"/>
          <w:lang w:val="pt-BR"/>
        </w:rPr>
      </w:pPr>
    </w:p>
    <w:p w14:paraId="0DFB12B4" w14:textId="1DB97548" w:rsidR="00702C18" w:rsidRPr="00D5464D" w:rsidRDefault="00702C18" w:rsidP="00702C18">
      <w:pPr>
        <w:tabs>
          <w:tab w:val="left" w:pos="720"/>
        </w:tabs>
        <w:ind w:right="-90"/>
        <w:contextualSpacing/>
        <w:rPr>
          <w:rFonts w:eastAsia="Cambria" w:cs="Times New Roman"/>
          <w:szCs w:val="20"/>
          <w:lang w:val="pt-BR"/>
        </w:rPr>
      </w:pPr>
      <w:r w:rsidRPr="00D5464D">
        <w:rPr>
          <w:rFonts w:eastAsia="Cambria" w:cs="Times New Roman"/>
          <w:szCs w:val="20"/>
          <w:lang w:val="pt-BR"/>
        </w:rPr>
        <w:t xml:space="preserve">Por </w:t>
      </w:r>
      <w:r w:rsidR="00E045D9" w:rsidRPr="00D5464D">
        <w:rPr>
          <w:rFonts w:eastAsia="Cambria" w:cs="Times New Roman"/>
          <w:szCs w:val="20"/>
          <w:lang w:val="pt-BR"/>
        </w:rPr>
        <w:t>unanimidade,</w:t>
      </w:r>
      <w:r w:rsidRPr="00D5464D">
        <w:rPr>
          <w:rFonts w:eastAsia="Cambria" w:cs="Times New Roman"/>
          <w:szCs w:val="20"/>
          <w:lang w:val="pt-BR"/>
        </w:rPr>
        <w:t xml:space="preserve"> que: </w:t>
      </w:r>
    </w:p>
    <w:p w14:paraId="587F91F3" w14:textId="77777777" w:rsidR="00E94DEB" w:rsidRPr="00D5464D" w:rsidRDefault="00E94DEB" w:rsidP="00E94DEB">
      <w:pPr>
        <w:tabs>
          <w:tab w:val="clear" w:pos="4419"/>
          <w:tab w:val="clear" w:pos="8838"/>
          <w:tab w:val="left" w:pos="720"/>
        </w:tabs>
        <w:ind w:right="-90"/>
        <w:contextualSpacing/>
        <w:jc w:val="both"/>
        <w:rPr>
          <w:rFonts w:eastAsia="Cambria" w:cs="Times New Roman"/>
          <w:szCs w:val="20"/>
          <w:lang w:val="pt-BR"/>
        </w:rPr>
      </w:pPr>
    </w:p>
    <w:p w14:paraId="233115CD" w14:textId="5221B0D3" w:rsidR="00702C18" w:rsidRPr="00D5464D" w:rsidRDefault="00470ADC" w:rsidP="00F306D7">
      <w:pPr>
        <w:numPr>
          <w:ilvl w:val="0"/>
          <w:numId w:val="14"/>
        </w:numPr>
        <w:tabs>
          <w:tab w:val="clear" w:pos="4419"/>
          <w:tab w:val="clear" w:pos="8838"/>
          <w:tab w:val="left" w:pos="720"/>
        </w:tabs>
        <w:ind w:right="-90"/>
        <w:contextualSpacing/>
        <w:jc w:val="both"/>
        <w:rPr>
          <w:rFonts w:eastAsia="Cambria" w:cs="Times New Roman"/>
          <w:szCs w:val="20"/>
          <w:lang w:val="pt-BR"/>
        </w:rPr>
      </w:pPr>
      <w:r w:rsidRPr="00D5464D">
        <w:rPr>
          <w:rFonts w:eastAsia="Cambria" w:cs="Times New Roman"/>
          <w:szCs w:val="20"/>
          <w:lang w:val="pt-BR"/>
        </w:rPr>
        <w:t xml:space="preserve">O </w:t>
      </w:r>
      <w:r w:rsidR="00702C18" w:rsidRPr="00D5464D">
        <w:rPr>
          <w:rFonts w:eastAsia="Cambria" w:cs="Times New Roman"/>
          <w:szCs w:val="20"/>
          <w:lang w:val="pt-BR"/>
        </w:rPr>
        <w:t xml:space="preserve">Estado </w:t>
      </w:r>
      <w:r w:rsidR="00737270" w:rsidRPr="00D5464D">
        <w:rPr>
          <w:rFonts w:eastAsia="Cambria" w:cs="Times New Roman"/>
          <w:szCs w:val="20"/>
          <w:lang w:val="pt-BR"/>
        </w:rPr>
        <w:t>não é</w:t>
      </w:r>
      <w:r w:rsidRPr="00D5464D">
        <w:rPr>
          <w:rFonts w:eastAsia="Cambria" w:cs="Times New Roman"/>
          <w:szCs w:val="20"/>
          <w:lang w:val="pt-BR"/>
        </w:rPr>
        <w:t xml:space="preserve"> </w:t>
      </w:r>
      <w:r w:rsidR="002C330E" w:rsidRPr="00D5464D">
        <w:rPr>
          <w:rFonts w:eastAsia="Cambria" w:cs="Times New Roman"/>
          <w:szCs w:val="20"/>
          <w:lang w:val="pt-BR"/>
        </w:rPr>
        <w:t xml:space="preserve">responsável pelas </w:t>
      </w:r>
      <w:r w:rsidR="00702C18" w:rsidRPr="00D5464D">
        <w:rPr>
          <w:rFonts w:eastAsia="Cambria" w:cs="Arial"/>
          <w:iCs/>
          <w:szCs w:val="20"/>
          <w:lang w:val="pt-BR"/>
        </w:rPr>
        <w:t>viola</w:t>
      </w:r>
      <w:r w:rsidRPr="00D5464D">
        <w:rPr>
          <w:rFonts w:eastAsia="Cambria" w:cs="Arial"/>
          <w:iCs/>
          <w:szCs w:val="20"/>
          <w:lang w:val="pt-BR"/>
        </w:rPr>
        <w:t>ções</w:t>
      </w:r>
      <w:r w:rsidR="00E045D9" w:rsidRPr="00D5464D">
        <w:rPr>
          <w:rFonts w:eastAsia="Cambria" w:cs="Arial"/>
          <w:iCs/>
          <w:szCs w:val="20"/>
          <w:lang w:val="pt-BR"/>
        </w:rPr>
        <w:t xml:space="preserve"> aos </w:t>
      </w:r>
      <w:r w:rsidRPr="00D5464D">
        <w:rPr>
          <w:rFonts w:eastAsia="Cambria" w:cs="Arial"/>
          <w:iCs/>
          <w:szCs w:val="20"/>
          <w:lang w:val="pt-BR"/>
        </w:rPr>
        <w:t>direito</w:t>
      </w:r>
      <w:r w:rsidR="00702C18" w:rsidRPr="00D5464D">
        <w:rPr>
          <w:rFonts w:eastAsia="Cambria" w:cs="Arial"/>
          <w:iCs/>
          <w:szCs w:val="20"/>
          <w:lang w:val="pt-BR"/>
        </w:rPr>
        <w:t>s</w:t>
      </w:r>
      <w:r w:rsidRPr="00D5464D">
        <w:rPr>
          <w:rFonts w:eastAsia="Cambria" w:cs="Arial"/>
          <w:iCs/>
          <w:szCs w:val="20"/>
          <w:lang w:val="pt-BR"/>
        </w:rPr>
        <w:t xml:space="preserve"> à </w:t>
      </w:r>
      <w:r w:rsidR="002C330E" w:rsidRPr="00D5464D">
        <w:rPr>
          <w:rFonts w:eastAsia="Cambria" w:cs="Arial"/>
          <w:iCs/>
          <w:szCs w:val="20"/>
          <w:lang w:val="pt-BR"/>
        </w:rPr>
        <w:t xml:space="preserve">personalidade </w:t>
      </w:r>
      <w:r w:rsidR="00702C18" w:rsidRPr="00D5464D">
        <w:rPr>
          <w:rFonts w:eastAsia="Cambria" w:cs="Arial"/>
          <w:iCs/>
          <w:szCs w:val="20"/>
          <w:lang w:val="pt-BR"/>
        </w:rPr>
        <w:t xml:space="preserve">jurídica, </w:t>
      </w:r>
      <w:r w:rsidR="00D6373E" w:rsidRPr="00D5464D">
        <w:rPr>
          <w:rFonts w:eastAsia="Cambria" w:cs="Arial"/>
          <w:iCs/>
          <w:szCs w:val="20"/>
          <w:lang w:val="pt-BR"/>
        </w:rPr>
        <w:t xml:space="preserve">à </w:t>
      </w:r>
      <w:r w:rsidR="00702C18" w:rsidRPr="00D5464D">
        <w:rPr>
          <w:rFonts w:eastAsia="Cambria" w:cs="Arial"/>
          <w:iCs/>
          <w:szCs w:val="20"/>
          <w:lang w:val="pt-BR"/>
        </w:rPr>
        <w:t xml:space="preserve">vida, </w:t>
      </w:r>
      <w:r w:rsidR="00D6373E" w:rsidRPr="00D5464D">
        <w:rPr>
          <w:rFonts w:eastAsia="Cambria" w:cs="Arial"/>
          <w:iCs/>
          <w:szCs w:val="20"/>
          <w:lang w:val="pt-BR"/>
        </w:rPr>
        <w:t xml:space="preserve">à </w:t>
      </w:r>
      <w:r w:rsidR="002C330E" w:rsidRPr="00D5464D">
        <w:rPr>
          <w:rFonts w:eastAsia="Cambria" w:cs="Arial"/>
          <w:iCs/>
          <w:szCs w:val="20"/>
          <w:lang w:val="pt-BR"/>
        </w:rPr>
        <w:t>integridade</w:t>
      </w:r>
      <w:r w:rsidR="00E045D9" w:rsidRPr="00D5464D">
        <w:rPr>
          <w:rFonts w:eastAsia="Cambria" w:cs="Arial"/>
          <w:iCs/>
          <w:szCs w:val="20"/>
          <w:lang w:val="pt-BR"/>
        </w:rPr>
        <w:t xml:space="preserve"> e </w:t>
      </w:r>
      <w:r w:rsidR="00D6373E" w:rsidRPr="00D5464D">
        <w:rPr>
          <w:rFonts w:eastAsia="Cambria" w:cs="Arial"/>
          <w:iCs/>
          <w:szCs w:val="20"/>
          <w:lang w:val="pt-BR"/>
        </w:rPr>
        <w:t xml:space="preserve">à </w:t>
      </w:r>
      <w:r w:rsidR="002C330E" w:rsidRPr="00D5464D">
        <w:rPr>
          <w:rFonts w:eastAsia="Cambria" w:cs="Arial"/>
          <w:iCs/>
          <w:szCs w:val="20"/>
          <w:lang w:val="pt-BR"/>
        </w:rPr>
        <w:t>liberdade pessoa</w:t>
      </w:r>
      <w:r w:rsidR="00702C18" w:rsidRPr="00D5464D">
        <w:rPr>
          <w:rFonts w:eastAsia="Cambria" w:cs="Arial"/>
          <w:iCs/>
          <w:szCs w:val="20"/>
          <w:lang w:val="pt-BR"/>
        </w:rPr>
        <w:t xml:space="preserve">l, </w:t>
      </w:r>
      <w:r w:rsidR="00D6373E" w:rsidRPr="00D5464D">
        <w:rPr>
          <w:rFonts w:eastAsia="Cambria" w:cs="Arial"/>
          <w:iCs/>
          <w:szCs w:val="20"/>
          <w:lang w:val="pt-BR"/>
        </w:rPr>
        <w:t xml:space="preserve">às </w:t>
      </w:r>
      <w:r w:rsidR="002C330E" w:rsidRPr="00D5464D">
        <w:rPr>
          <w:rFonts w:eastAsia="Cambria" w:cs="Arial"/>
          <w:iCs/>
          <w:szCs w:val="20"/>
          <w:lang w:val="pt-BR"/>
        </w:rPr>
        <w:t>garantias</w:t>
      </w:r>
      <w:r w:rsidR="00E045D9" w:rsidRPr="00D5464D">
        <w:rPr>
          <w:rFonts w:eastAsia="Cambria" w:cs="Arial"/>
          <w:iCs/>
          <w:szCs w:val="20"/>
          <w:lang w:val="pt-BR"/>
        </w:rPr>
        <w:t xml:space="preserve"> e </w:t>
      </w:r>
      <w:r w:rsidR="00D6373E" w:rsidRPr="00D5464D">
        <w:rPr>
          <w:rFonts w:eastAsia="Cambria" w:cs="Arial"/>
          <w:iCs/>
          <w:szCs w:val="20"/>
          <w:lang w:val="pt-BR"/>
        </w:rPr>
        <w:t xml:space="preserve">à </w:t>
      </w:r>
      <w:r w:rsidR="002C330E" w:rsidRPr="00D5464D">
        <w:rPr>
          <w:rFonts w:eastAsia="Cambria" w:cs="Arial"/>
          <w:iCs/>
          <w:szCs w:val="20"/>
          <w:lang w:val="pt-BR"/>
        </w:rPr>
        <w:t>proteção</w:t>
      </w:r>
      <w:r w:rsidR="00702C18" w:rsidRPr="00D5464D">
        <w:rPr>
          <w:rFonts w:eastAsia="Cambria" w:cs="Arial"/>
          <w:iCs/>
          <w:szCs w:val="20"/>
          <w:lang w:val="pt-BR"/>
        </w:rPr>
        <w:t xml:space="preserve"> </w:t>
      </w:r>
      <w:r w:rsidR="002C330E" w:rsidRPr="00D5464D">
        <w:rPr>
          <w:rFonts w:eastAsia="Cambria" w:cs="Arial"/>
          <w:iCs/>
          <w:szCs w:val="20"/>
          <w:lang w:val="pt-BR"/>
        </w:rPr>
        <w:t>judiciais</w:t>
      </w:r>
      <w:r w:rsidR="00702C18" w:rsidRPr="00D5464D">
        <w:rPr>
          <w:rFonts w:eastAsia="Cambria" w:cs="Arial"/>
          <w:iCs/>
          <w:szCs w:val="20"/>
          <w:lang w:val="pt-BR"/>
        </w:rPr>
        <w:t>, contemplados</w:t>
      </w:r>
      <w:r w:rsidR="00E045D9" w:rsidRPr="00D5464D">
        <w:rPr>
          <w:rFonts w:eastAsia="Cambria" w:cs="Arial"/>
          <w:iCs/>
          <w:szCs w:val="20"/>
          <w:lang w:val="pt-BR"/>
        </w:rPr>
        <w:t xml:space="preserve"> nos </w:t>
      </w:r>
      <w:r w:rsidRPr="00D5464D">
        <w:rPr>
          <w:rFonts w:eastAsia="Cambria" w:cs="Arial"/>
          <w:iCs/>
          <w:szCs w:val="20"/>
          <w:lang w:val="pt-BR"/>
        </w:rPr>
        <w:t>artigo</w:t>
      </w:r>
      <w:r w:rsidR="00702C18" w:rsidRPr="00D5464D">
        <w:rPr>
          <w:rFonts w:eastAsia="Cambria" w:cs="Arial"/>
          <w:iCs/>
          <w:szCs w:val="20"/>
          <w:lang w:val="pt-BR"/>
        </w:rPr>
        <w:t>s 3, 4, 5, 7, 8</w:t>
      </w:r>
      <w:r w:rsidR="00E045D9" w:rsidRPr="00D5464D">
        <w:rPr>
          <w:rFonts w:eastAsia="Cambria" w:cs="Arial"/>
          <w:iCs/>
          <w:szCs w:val="20"/>
          <w:lang w:val="pt-BR"/>
        </w:rPr>
        <w:t xml:space="preserve"> e </w:t>
      </w:r>
      <w:r w:rsidR="00702C18" w:rsidRPr="00D5464D">
        <w:rPr>
          <w:rFonts w:eastAsia="Cambria" w:cs="Arial"/>
          <w:iCs/>
          <w:szCs w:val="20"/>
          <w:lang w:val="pt-BR"/>
        </w:rPr>
        <w:t>25</w:t>
      </w:r>
      <w:r w:rsidRPr="00D5464D">
        <w:rPr>
          <w:rFonts w:eastAsia="Cambria" w:cs="Arial"/>
          <w:iCs/>
          <w:szCs w:val="20"/>
          <w:lang w:val="pt-BR"/>
        </w:rPr>
        <w:t xml:space="preserve"> da </w:t>
      </w:r>
      <w:r w:rsidR="00702C18" w:rsidRPr="00D5464D">
        <w:rPr>
          <w:rFonts w:eastAsia="Cambria" w:cs="Arial"/>
          <w:iCs/>
          <w:szCs w:val="20"/>
          <w:lang w:val="pt-BR"/>
        </w:rPr>
        <w:t>Conven</w:t>
      </w:r>
      <w:r w:rsidRPr="00D5464D">
        <w:rPr>
          <w:rFonts w:eastAsia="Cambria" w:cs="Arial"/>
          <w:iCs/>
          <w:szCs w:val="20"/>
          <w:lang w:val="pt-BR"/>
        </w:rPr>
        <w:t>ção</w:t>
      </w:r>
      <w:r w:rsidR="00702C18" w:rsidRPr="00D5464D">
        <w:rPr>
          <w:rFonts w:eastAsia="Cambria" w:cs="Arial"/>
          <w:iCs/>
          <w:szCs w:val="20"/>
          <w:lang w:val="pt-BR"/>
        </w:rPr>
        <w:t xml:space="preserve"> Americana,</w:t>
      </w:r>
      <w:r w:rsidRPr="00D5464D">
        <w:rPr>
          <w:rFonts w:eastAsia="Cambria" w:cs="Arial"/>
          <w:iCs/>
          <w:szCs w:val="20"/>
          <w:lang w:val="pt-BR"/>
        </w:rPr>
        <w:t xml:space="preserve"> </w:t>
      </w:r>
      <w:r w:rsidR="00A1358C" w:rsidRPr="00D5464D">
        <w:rPr>
          <w:rFonts w:eastAsia="Cambria" w:cs="Arial"/>
          <w:iCs/>
          <w:szCs w:val="20"/>
          <w:lang w:val="pt-BR"/>
        </w:rPr>
        <w:t>em relação aos artigos</w:t>
      </w:r>
      <w:r w:rsidR="00702C18" w:rsidRPr="00D5464D">
        <w:rPr>
          <w:rFonts w:eastAsia="Cambria" w:cs="Arial"/>
          <w:iCs/>
          <w:szCs w:val="20"/>
          <w:lang w:val="pt-BR"/>
        </w:rPr>
        <w:t xml:space="preserve"> 1.1</w:t>
      </w:r>
      <w:r w:rsidR="00E045D9" w:rsidRPr="00D5464D">
        <w:rPr>
          <w:rFonts w:eastAsia="Cambria" w:cs="Arial"/>
          <w:iCs/>
          <w:szCs w:val="20"/>
          <w:lang w:val="pt-BR"/>
        </w:rPr>
        <w:t xml:space="preserve"> e </w:t>
      </w:r>
      <w:r w:rsidR="00702C18" w:rsidRPr="00D5464D">
        <w:rPr>
          <w:rFonts w:eastAsia="Cambria" w:cs="Arial"/>
          <w:iCs/>
          <w:szCs w:val="20"/>
          <w:lang w:val="pt-BR"/>
        </w:rPr>
        <w:t xml:space="preserve">19 </w:t>
      </w:r>
      <w:r w:rsidRPr="00D5464D">
        <w:rPr>
          <w:rFonts w:eastAsia="Cambria" w:cs="Arial"/>
          <w:iCs/>
          <w:szCs w:val="20"/>
          <w:lang w:val="pt-BR"/>
        </w:rPr>
        <w:t xml:space="preserve">do </w:t>
      </w:r>
      <w:r w:rsidR="002C330E" w:rsidRPr="00D5464D">
        <w:rPr>
          <w:rFonts w:eastAsia="Cambria" w:cs="Arial"/>
          <w:iCs/>
          <w:szCs w:val="20"/>
          <w:lang w:val="pt-BR"/>
        </w:rPr>
        <w:t>mesm</w:t>
      </w:r>
      <w:r w:rsidR="00702C18" w:rsidRPr="00D5464D">
        <w:rPr>
          <w:rFonts w:eastAsia="Cambria" w:cs="Arial"/>
          <w:iCs/>
          <w:szCs w:val="20"/>
          <w:lang w:val="pt-BR"/>
        </w:rPr>
        <w:t>o instrumento,</w:t>
      </w:r>
      <w:r w:rsidRPr="00D5464D">
        <w:rPr>
          <w:rFonts w:eastAsia="Cambria" w:cs="Arial"/>
          <w:iCs/>
          <w:szCs w:val="20"/>
          <w:lang w:val="pt-BR"/>
        </w:rPr>
        <w:t xml:space="preserve"> em </w:t>
      </w:r>
      <w:r w:rsidR="002C330E" w:rsidRPr="00D5464D">
        <w:rPr>
          <w:rFonts w:eastAsia="Cambria" w:cs="Arial"/>
          <w:iCs/>
          <w:szCs w:val="20"/>
          <w:lang w:val="pt-BR"/>
        </w:rPr>
        <w:t>prejuízo</w:t>
      </w:r>
      <w:r w:rsidR="00702C18" w:rsidRPr="00D5464D">
        <w:rPr>
          <w:rFonts w:eastAsia="Cambria" w:cs="Arial"/>
          <w:iCs/>
          <w:szCs w:val="20"/>
          <w:lang w:val="pt-BR"/>
        </w:rPr>
        <w:t xml:space="preserve"> de Luis Ferreira da Cruz e </w:t>
      </w:r>
      <w:r w:rsidR="008B075C" w:rsidRPr="00D5464D">
        <w:rPr>
          <w:rFonts w:eastAsia="Cambria" w:cs="Arial"/>
          <w:iCs/>
          <w:szCs w:val="20"/>
          <w:lang w:val="pt-BR"/>
        </w:rPr>
        <w:t>Iron Canuto da Silva</w:t>
      </w:r>
      <w:r w:rsidR="002C330E" w:rsidRPr="00D5464D">
        <w:rPr>
          <w:rFonts w:eastAsia="Cambria" w:cs="Arial"/>
          <w:iCs/>
          <w:szCs w:val="20"/>
          <w:lang w:val="pt-BR"/>
        </w:rPr>
        <w:t xml:space="preserve"> nem </w:t>
      </w:r>
      <w:r w:rsidR="00702C18" w:rsidRPr="00D5464D">
        <w:rPr>
          <w:rFonts w:eastAsia="Cambria" w:cs="Arial"/>
          <w:iCs/>
          <w:szCs w:val="20"/>
          <w:lang w:val="pt-BR"/>
        </w:rPr>
        <w:t xml:space="preserve">de </w:t>
      </w:r>
      <w:r w:rsidR="00E045D9" w:rsidRPr="00D5464D">
        <w:rPr>
          <w:rFonts w:eastAsia="Cambria" w:cs="Arial"/>
          <w:iCs/>
          <w:szCs w:val="20"/>
          <w:lang w:val="pt-BR"/>
        </w:rPr>
        <w:t>seus familiares</w:t>
      </w:r>
      <w:r w:rsidR="00702C18" w:rsidRPr="00D5464D">
        <w:rPr>
          <w:rFonts w:eastAsia="Cambria" w:cs="Times New Roman"/>
          <w:szCs w:val="20"/>
          <w:lang w:val="pt-BR"/>
        </w:rPr>
        <w:t>,</w:t>
      </w:r>
      <w:r w:rsidR="00E045D9" w:rsidRPr="00D5464D">
        <w:rPr>
          <w:rFonts w:eastAsia="Cambria" w:cs="Times New Roman"/>
          <w:szCs w:val="20"/>
          <w:lang w:val="pt-BR"/>
        </w:rPr>
        <w:t xml:space="preserve"> nos termo</w:t>
      </w:r>
      <w:r w:rsidR="00702C18" w:rsidRPr="00D5464D">
        <w:rPr>
          <w:rFonts w:eastAsia="Cambria" w:cs="Times New Roman"/>
          <w:szCs w:val="20"/>
          <w:lang w:val="pt-BR"/>
        </w:rPr>
        <w:t>s</w:t>
      </w:r>
      <w:r w:rsidRPr="00D5464D">
        <w:rPr>
          <w:rFonts w:eastAsia="Cambria" w:cs="Times New Roman"/>
          <w:szCs w:val="20"/>
          <w:lang w:val="pt-BR"/>
        </w:rPr>
        <w:t xml:space="preserve"> dos </w:t>
      </w:r>
      <w:r w:rsidR="002C330E" w:rsidRPr="00D5464D">
        <w:rPr>
          <w:rFonts w:eastAsia="Cambria" w:cs="Times New Roman"/>
          <w:szCs w:val="20"/>
          <w:lang w:val="pt-BR"/>
        </w:rPr>
        <w:t>parágrafo</w:t>
      </w:r>
      <w:r w:rsidR="00702C18" w:rsidRPr="00D5464D">
        <w:rPr>
          <w:rFonts w:eastAsia="Cambria" w:cs="Times New Roman"/>
          <w:szCs w:val="20"/>
          <w:lang w:val="pt-BR"/>
        </w:rPr>
        <w:t xml:space="preserve">s </w:t>
      </w:r>
      <w:r w:rsidR="00483F80" w:rsidRPr="00D5464D">
        <w:rPr>
          <w:rFonts w:eastAsia="Cambria" w:cs="Times New Roman"/>
          <w:szCs w:val="20"/>
          <w:lang w:val="pt-BR"/>
        </w:rPr>
        <w:t>42</w:t>
      </w:r>
      <w:r w:rsidR="007A3720" w:rsidRPr="00D5464D">
        <w:rPr>
          <w:rFonts w:eastAsia="Cambria" w:cs="Times New Roman"/>
          <w:szCs w:val="20"/>
          <w:lang w:val="pt-BR"/>
        </w:rPr>
        <w:t>1</w:t>
      </w:r>
      <w:r w:rsidR="00E045D9" w:rsidRPr="00D5464D">
        <w:rPr>
          <w:rFonts w:eastAsia="Cambria" w:cs="Times New Roman"/>
          <w:szCs w:val="20"/>
          <w:lang w:val="pt-BR"/>
        </w:rPr>
        <w:t xml:space="preserve"> e </w:t>
      </w:r>
      <w:r w:rsidR="00BC5A18" w:rsidRPr="00D5464D">
        <w:rPr>
          <w:rFonts w:eastAsia="Cambria" w:cs="Times New Roman"/>
          <w:szCs w:val="20"/>
          <w:lang w:val="pt-BR"/>
        </w:rPr>
        <w:t>426</w:t>
      </w:r>
      <w:r w:rsidR="00483F80" w:rsidRPr="00D5464D">
        <w:rPr>
          <w:rFonts w:eastAsia="Cambria" w:cs="Times New Roman"/>
          <w:szCs w:val="20"/>
          <w:lang w:val="pt-BR"/>
        </w:rPr>
        <w:t xml:space="preserve"> a 43</w:t>
      </w:r>
      <w:r w:rsidR="007A3720" w:rsidRPr="00D5464D">
        <w:rPr>
          <w:rFonts w:eastAsia="Cambria" w:cs="Times New Roman"/>
          <w:szCs w:val="20"/>
          <w:lang w:val="pt-BR"/>
        </w:rPr>
        <w:t>4</w:t>
      </w:r>
      <w:r w:rsidRPr="00D5464D">
        <w:rPr>
          <w:rFonts w:eastAsia="Cambria" w:cs="Times New Roman"/>
          <w:szCs w:val="20"/>
          <w:lang w:val="pt-BR"/>
        </w:rPr>
        <w:t xml:space="preserve"> da </w:t>
      </w:r>
      <w:r w:rsidR="00702C18" w:rsidRPr="00D5464D">
        <w:rPr>
          <w:rFonts w:eastAsia="Cambria" w:cs="Times New Roman"/>
          <w:szCs w:val="20"/>
          <w:lang w:val="pt-BR"/>
        </w:rPr>
        <w:t xml:space="preserve">presente </w:t>
      </w:r>
      <w:r w:rsidR="002C330E" w:rsidRPr="00D5464D">
        <w:rPr>
          <w:rFonts w:eastAsia="Cambria" w:cs="Times New Roman"/>
          <w:szCs w:val="20"/>
          <w:lang w:val="pt-BR"/>
        </w:rPr>
        <w:t>Sentença</w:t>
      </w:r>
      <w:r w:rsidR="00702C18" w:rsidRPr="00D5464D">
        <w:rPr>
          <w:rFonts w:eastAsia="Cambria" w:cs="Times New Roman"/>
          <w:szCs w:val="20"/>
          <w:lang w:val="pt-BR"/>
        </w:rPr>
        <w:t>.</w:t>
      </w:r>
    </w:p>
    <w:p w14:paraId="2D1E2560" w14:textId="77777777" w:rsidR="00702C18" w:rsidRPr="00D5464D" w:rsidRDefault="00702C18" w:rsidP="00702C18">
      <w:pPr>
        <w:tabs>
          <w:tab w:val="clear" w:pos="4419"/>
          <w:tab w:val="clear" w:pos="8838"/>
        </w:tabs>
        <w:ind w:right="-90"/>
        <w:contextualSpacing/>
        <w:jc w:val="both"/>
        <w:rPr>
          <w:rFonts w:eastAsia="MS Mincho" w:cs="Times New Roman"/>
          <w:szCs w:val="20"/>
          <w:lang w:val="pt-BR" w:bidi="en-US"/>
        </w:rPr>
      </w:pPr>
    </w:p>
    <w:p w14:paraId="788CADC9" w14:textId="37E4CF15" w:rsidR="00702C18" w:rsidRPr="00D5464D" w:rsidRDefault="00D40EC3" w:rsidP="00702C18">
      <w:pPr>
        <w:tabs>
          <w:tab w:val="clear" w:pos="4419"/>
          <w:tab w:val="clear" w:pos="8838"/>
          <w:tab w:val="left" w:pos="720"/>
        </w:tabs>
        <w:ind w:right="-90"/>
        <w:contextualSpacing/>
        <w:jc w:val="both"/>
        <w:rPr>
          <w:rFonts w:eastAsia="MS Mincho" w:cs="Times New Roman"/>
          <w:b/>
          <w:bCs/>
          <w:szCs w:val="20"/>
          <w:lang w:val="pt-BR" w:bidi="en-US"/>
        </w:rPr>
      </w:pPr>
      <w:r w:rsidRPr="00D5464D">
        <w:rPr>
          <w:rFonts w:eastAsia="MS Mincho" w:cs="Times New Roman"/>
          <w:b/>
          <w:bCs/>
          <w:szCs w:val="20"/>
          <w:lang w:val="pt-BR" w:bidi="en-US"/>
        </w:rPr>
        <w:t xml:space="preserve">E </w:t>
      </w:r>
      <w:r w:rsidR="00470ADC" w:rsidRPr="00D5464D">
        <w:rPr>
          <w:rFonts w:eastAsia="MS Mincho" w:cs="Times New Roman"/>
          <w:b/>
          <w:bCs/>
          <w:szCs w:val="20"/>
          <w:lang w:val="pt-BR" w:bidi="en-US"/>
        </w:rPr>
        <w:t>DISPÕE</w:t>
      </w:r>
      <w:r w:rsidR="00702C18" w:rsidRPr="00D5464D">
        <w:rPr>
          <w:rFonts w:eastAsia="MS Mincho" w:cs="Times New Roman"/>
          <w:b/>
          <w:bCs/>
          <w:szCs w:val="20"/>
          <w:lang w:val="pt-BR" w:bidi="en-US"/>
        </w:rPr>
        <w:t>:</w:t>
      </w:r>
    </w:p>
    <w:p w14:paraId="47F3F706" w14:textId="77777777" w:rsidR="00702C18" w:rsidRPr="00D5464D" w:rsidRDefault="00702C18" w:rsidP="00702C18">
      <w:pPr>
        <w:tabs>
          <w:tab w:val="clear" w:pos="4419"/>
          <w:tab w:val="clear" w:pos="8838"/>
          <w:tab w:val="left" w:pos="720"/>
        </w:tabs>
        <w:ind w:right="-90"/>
        <w:contextualSpacing/>
        <w:jc w:val="both"/>
        <w:rPr>
          <w:rFonts w:eastAsia="MS Mincho" w:cs="Times New Roman"/>
          <w:b/>
          <w:bCs/>
          <w:szCs w:val="20"/>
          <w:lang w:val="pt-BR" w:bidi="en-US"/>
        </w:rPr>
      </w:pPr>
    </w:p>
    <w:p w14:paraId="75587685" w14:textId="7F80B8C2" w:rsidR="00702C18" w:rsidRPr="00D5464D" w:rsidRDefault="00702C18" w:rsidP="00702C18">
      <w:pPr>
        <w:tabs>
          <w:tab w:val="clear" w:pos="4419"/>
          <w:tab w:val="clear" w:pos="8838"/>
          <w:tab w:val="left" w:pos="720"/>
        </w:tabs>
        <w:ind w:right="-90"/>
        <w:contextualSpacing/>
        <w:jc w:val="both"/>
        <w:rPr>
          <w:rFonts w:eastAsia="MS Mincho" w:cs="Times New Roman"/>
          <w:bCs/>
          <w:szCs w:val="20"/>
          <w:lang w:val="pt-BR" w:bidi="en-US"/>
        </w:rPr>
      </w:pPr>
      <w:r w:rsidRPr="00D5464D">
        <w:rPr>
          <w:rFonts w:eastAsia="MS Mincho" w:cs="Times New Roman"/>
          <w:szCs w:val="20"/>
          <w:lang w:val="pt-BR" w:bidi="en-US"/>
        </w:rPr>
        <w:t xml:space="preserve">Por </w:t>
      </w:r>
      <w:r w:rsidR="00E045D9" w:rsidRPr="00D5464D">
        <w:rPr>
          <w:rFonts w:eastAsia="MS Mincho" w:cs="Times New Roman"/>
          <w:szCs w:val="20"/>
          <w:lang w:val="pt-BR" w:bidi="en-US"/>
        </w:rPr>
        <w:t>unanimidade,</w:t>
      </w:r>
      <w:r w:rsidRPr="00D5464D">
        <w:rPr>
          <w:rFonts w:eastAsia="MS Mincho" w:cs="Times New Roman"/>
          <w:bCs/>
          <w:szCs w:val="20"/>
          <w:lang w:val="pt-BR" w:bidi="en-US"/>
        </w:rPr>
        <w:t xml:space="preserve"> que:</w:t>
      </w:r>
    </w:p>
    <w:p w14:paraId="5DC7C83F" w14:textId="77777777" w:rsidR="00702C18" w:rsidRPr="00D5464D" w:rsidRDefault="00702C18" w:rsidP="00702C18">
      <w:pPr>
        <w:tabs>
          <w:tab w:val="clear" w:pos="4419"/>
          <w:tab w:val="clear" w:pos="8838"/>
          <w:tab w:val="left" w:pos="720"/>
        </w:tabs>
        <w:ind w:right="-90"/>
        <w:contextualSpacing/>
        <w:jc w:val="both"/>
        <w:rPr>
          <w:rFonts w:eastAsia="MS Mincho" w:cs="Times New Roman"/>
          <w:bCs/>
          <w:szCs w:val="20"/>
          <w:lang w:val="pt-BR" w:bidi="en-US"/>
        </w:rPr>
      </w:pPr>
    </w:p>
    <w:p w14:paraId="545A035C" w14:textId="46B5E167" w:rsidR="00702C18" w:rsidRPr="00D5464D" w:rsidRDefault="00702C18" w:rsidP="00F306D7">
      <w:pPr>
        <w:numPr>
          <w:ilvl w:val="0"/>
          <w:numId w:val="14"/>
        </w:numPr>
        <w:tabs>
          <w:tab w:val="clear" w:pos="4419"/>
          <w:tab w:val="clear" w:pos="8838"/>
          <w:tab w:val="left" w:pos="720"/>
        </w:tabs>
        <w:ind w:right="-90"/>
        <w:contextualSpacing/>
        <w:jc w:val="both"/>
        <w:rPr>
          <w:rFonts w:eastAsia="Cambria" w:cs="Times New Roman"/>
          <w:bCs/>
          <w:szCs w:val="20"/>
          <w:lang w:val="pt-BR"/>
        </w:rPr>
      </w:pPr>
      <w:r w:rsidRPr="00D5464D">
        <w:rPr>
          <w:rFonts w:eastAsia="Cambria" w:cs="Times New Roman"/>
          <w:szCs w:val="20"/>
          <w:lang w:val="pt-BR"/>
        </w:rPr>
        <w:t>Esta</w:t>
      </w:r>
      <w:r w:rsidRPr="00D5464D">
        <w:rPr>
          <w:rFonts w:eastAsia="Cambria" w:cs="Times New Roman"/>
          <w:bCs/>
          <w:szCs w:val="20"/>
          <w:lang w:val="pt-BR"/>
        </w:rPr>
        <w:t xml:space="preserve"> </w:t>
      </w:r>
      <w:r w:rsidR="002C330E" w:rsidRPr="00D5464D">
        <w:rPr>
          <w:rFonts w:eastAsia="Cambria" w:cs="Times New Roman"/>
          <w:bCs/>
          <w:szCs w:val="20"/>
          <w:lang w:val="pt-BR"/>
        </w:rPr>
        <w:t>Sentença</w:t>
      </w:r>
      <w:r w:rsidRPr="00D5464D">
        <w:rPr>
          <w:rFonts w:eastAsia="Cambria" w:cs="Times New Roman"/>
          <w:bCs/>
          <w:szCs w:val="20"/>
          <w:lang w:val="pt-BR"/>
        </w:rPr>
        <w:t xml:space="preserve"> </w:t>
      </w:r>
      <w:r w:rsidR="00470ADC" w:rsidRPr="00D5464D">
        <w:rPr>
          <w:rFonts w:eastAsia="Cambria" w:cs="Times New Roman"/>
          <w:bCs/>
          <w:szCs w:val="20"/>
          <w:lang w:val="pt-BR"/>
        </w:rPr>
        <w:t>constitui</w:t>
      </w:r>
      <w:r w:rsidRPr="00D5464D">
        <w:rPr>
          <w:rFonts w:eastAsia="Cambria" w:cs="Times New Roman"/>
          <w:bCs/>
          <w:szCs w:val="20"/>
          <w:lang w:val="pt-BR"/>
        </w:rPr>
        <w:t xml:space="preserve">, </w:t>
      </w:r>
      <w:r w:rsidRPr="00D5464D">
        <w:rPr>
          <w:rFonts w:eastAsia="Cambria" w:cs="Times New Roman"/>
          <w:bCs/>
          <w:i/>
          <w:szCs w:val="20"/>
          <w:lang w:val="pt-BR"/>
        </w:rPr>
        <w:t>per se</w:t>
      </w:r>
      <w:r w:rsidRPr="00D5464D">
        <w:rPr>
          <w:rFonts w:eastAsia="Cambria" w:cs="Times New Roman"/>
          <w:bCs/>
          <w:szCs w:val="20"/>
          <w:lang w:val="pt-BR"/>
        </w:rPr>
        <w:t>,</w:t>
      </w:r>
      <w:r w:rsidR="00E045D9" w:rsidRPr="00D5464D">
        <w:rPr>
          <w:rFonts w:eastAsia="Cambria" w:cs="Times New Roman"/>
          <w:bCs/>
          <w:szCs w:val="20"/>
          <w:lang w:val="pt-BR"/>
        </w:rPr>
        <w:t xml:space="preserve"> uma </w:t>
      </w:r>
      <w:r w:rsidRPr="00D5464D">
        <w:rPr>
          <w:rFonts w:eastAsia="Cambria" w:cs="Times New Roman"/>
          <w:bCs/>
          <w:szCs w:val="20"/>
          <w:lang w:val="pt-BR"/>
        </w:rPr>
        <w:t>forma de repara</w:t>
      </w:r>
      <w:r w:rsidR="00470ADC" w:rsidRPr="00D5464D">
        <w:rPr>
          <w:rFonts w:eastAsia="Cambria" w:cs="Times New Roman"/>
          <w:bCs/>
          <w:szCs w:val="20"/>
          <w:lang w:val="pt-BR"/>
        </w:rPr>
        <w:t>ção</w:t>
      </w:r>
      <w:r w:rsidRPr="00D5464D">
        <w:rPr>
          <w:rFonts w:eastAsia="Cambria" w:cs="Times New Roman"/>
          <w:bCs/>
          <w:szCs w:val="20"/>
          <w:lang w:val="pt-BR"/>
        </w:rPr>
        <w:t>.</w:t>
      </w:r>
    </w:p>
    <w:p w14:paraId="7AE3EC49" w14:textId="77777777" w:rsidR="00E94DEB" w:rsidRPr="00D5464D" w:rsidRDefault="00E94DEB" w:rsidP="00E94DEB">
      <w:pPr>
        <w:tabs>
          <w:tab w:val="clear" w:pos="4419"/>
          <w:tab w:val="clear" w:pos="8838"/>
          <w:tab w:val="left" w:pos="720"/>
        </w:tabs>
        <w:ind w:right="-90"/>
        <w:contextualSpacing/>
        <w:jc w:val="both"/>
        <w:rPr>
          <w:rFonts w:eastAsia="Cambria" w:cs="Times New Roman"/>
          <w:bCs/>
          <w:szCs w:val="20"/>
          <w:lang w:val="pt-BR"/>
        </w:rPr>
      </w:pPr>
    </w:p>
    <w:p w14:paraId="547D46A4" w14:textId="04F07D0B" w:rsidR="00702C18" w:rsidRPr="00D5464D" w:rsidRDefault="00470ADC" w:rsidP="00F306D7">
      <w:pPr>
        <w:numPr>
          <w:ilvl w:val="0"/>
          <w:numId w:val="14"/>
        </w:numPr>
        <w:tabs>
          <w:tab w:val="clear" w:pos="4419"/>
          <w:tab w:val="clear" w:pos="8838"/>
          <w:tab w:val="left" w:pos="720"/>
        </w:tabs>
        <w:ind w:right="-90"/>
        <w:contextualSpacing/>
        <w:jc w:val="both"/>
        <w:rPr>
          <w:rFonts w:eastAsia="Cambria" w:cs="Times New Roman"/>
          <w:bCs/>
          <w:szCs w:val="20"/>
          <w:lang w:val="pt-BR"/>
        </w:rPr>
      </w:pPr>
      <w:r w:rsidRPr="00D5464D">
        <w:rPr>
          <w:rFonts w:eastAsia="MS Mincho" w:cs="Times New Roman"/>
          <w:bCs/>
          <w:szCs w:val="20"/>
          <w:lang w:val="pt-BR" w:bidi="en-US"/>
        </w:rPr>
        <w:t xml:space="preserve">O </w:t>
      </w:r>
      <w:r w:rsidR="00702C18" w:rsidRPr="00D5464D">
        <w:rPr>
          <w:rFonts w:eastAsia="Cambria" w:cs="Times New Roman"/>
          <w:bCs/>
          <w:szCs w:val="20"/>
          <w:lang w:val="pt-BR"/>
        </w:rPr>
        <w:t>Estado</w:t>
      </w:r>
      <w:r w:rsidRPr="00D5464D">
        <w:rPr>
          <w:rFonts w:eastAsia="Cambria" w:cs="Times New Roman"/>
          <w:bCs/>
          <w:szCs w:val="20"/>
          <w:lang w:val="pt-BR"/>
        </w:rPr>
        <w:t xml:space="preserve"> deve </w:t>
      </w:r>
      <w:r w:rsidR="00702C18" w:rsidRPr="00D5464D">
        <w:rPr>
          <w:rFonts w:eastAsia="Cambria" w:cs="Arial"/>
          <w:iCs/>
          <w:szCs w:val="20"/>
          <w:lang w:val="pt-BR"/>
        </w:rPr>
        <w:t>reiniciar,</w:t>
      </w:r>
      <w:r w:rsidRPr="00D5464D">
        <w:rPr>
          <w:rFonts w:eastAsia="Cambria" w:cs="Arial"/>
          <w:iCs/>
          <w:szCs w:val="20"/>
          <w:lang w:val="pt-BR"/>
        </w:rPr>
        <w:t xml:space="preserve"> com</w:t>
      </w:r>
      <w:r w:rsidR="002C330E" w:rsidRPr="00D5464D">
        <w:rPr>
          <w:rFonts w:eastAsia="Cambria" w:cs="Arial"/>
          <w:iCs/>
          <w:szCs w:val="20"/>
          <w:lang w:val="pt-BR"/>
        </w:rPr>
        <w:t xml:space="preserve"> a </w:t>
      </w:r>
      <w:r w:rsidRPr="00D5464D">
        <w:rPr>
          <w:rFonts w:eastAsia="Cambria" w:cs="Arial"/>
          <w:iCs/>
          <w:szCs w:val="20"/>
          <w:lang w:val="pt-BR"/>
        </w:rPr>
        <w:t>devida diligência</w:t>
      </w:r>
      <w:r w:rsidR="00702C18" w:rsidRPr="00D5464D">
        <w:rPr>
          <w:rFonts w:eastAsia="Cambria" w:cs="Arial"/>
          <w:iCs/>
          <w:szCs w:val="20"/>
          <w:lang w:val="pt-BR"/>
        </w:rPr>
        <w:t>,</w:t>
      </w:r>
      <w:r w:rsidR="002C330E" w:rsidRPr="00D5464D">
        <w:rPr>
          <w:rFonts w:eastAsia="Cambria" w:cs="Arial"/>
          <w:iCs/>
          <w:szCs w:val="20"/>
          <w:lang w:val="pt-BR"/>
        </w:rPr>
        <w:t xml:space="preserve"> as </w:t>
      </w:r>
      <w:r w:rsidR="00702C18" w:rsidRPr="00D5464D">
        <w:rPr>
          <w:rFonts w:eastAsia="Cambria" w:cs="Arial"/>
          <w:iCs/>
          <w:szCs w:val="20"/>
          <w:lang w:val="pt-BR"/>
        </w:rPr>
        <w:t>investiga</w:t>
      </w:r>
      <w:r w:rsidRPr="00D5464D">
        <w:rPr>
          <w:rFonts w:eastAsia="Cambria" w:cs="Arial"/>
          <w:iCs/>
          <w:szCs w:val="20"/>
          <w:lang w:val="pt-BR"/>
        </w:rPr>
        <w:t>ções</w:t>
      </w:r>
      <w:r w:rsidR="00E045D9" w:rsidRPr="00D5464D">
        <w:rPr>
          <w:rFonts w:eastAsia="Cambria" w:cs="Arial"/>
          <w:iCs/>
          <w:szCs w:val="20"/>
          <w:lang w:val="pt-BR"/>
        </w:rPr>
        <w:t xml:space="preserve"> e/ou </w:t>
      </w:r>
      <w:r w:rsidR="002C330E" w:rsidRPr="00D5464D">
        <w:rPr>
          <w:rFonts w:eastAsia="Cambria" w:cs="Arial"/>
          <w:iCs/>
          <w:szCs w:val="20"/>
          <w:lang w:val="pt-BR"/>
        </w:rPr>
        <w:t>processo</w:t>
      </w:r>
      <w:r w:rsidR="00702C18" w:rsidRPr="00D5464D">
        <w:rPr>
          <w:rFonts w:eastAsia="Cambria" w:cs="Arial"/>
          <w:iCs/>
          <w:szCs w:val="20"/>
          <w:lang w:val="pt-BR"/>
        </w:rPr>
        <w:t xml:space="preserve">s </w:t>
      </w:r>
      <w:r w:rsidR="002C330E" w:rsidRPr="00D5464D">
        <w:rPr>
          <w:rFonts w:eastAsia="Cambria" w:cs="Arial"/>
          <w:iCs/>
          <w:szCs w:val="20"/>
          <w:lang w:val="pt-BR"/>
        </w:rPr>
        <w:t>penais</w:t>
      </w:r>
      <w:r w:rsidR="00702C18" w:rsidRPr="00D5464D">
        <w:rPr>
          <w:rFonts w:eastAsia="Cambria" w:cs="Arial"/>
          <w:iCs/>
          <w:szCs w:val="20"/>
          <w:lang w:val="pt-BR"/>
        </w:rPr>
        <w:t xml:space="preserve"> </w:t>
      </w:r>
      <w:r w:rsidR="00D6373E" w:rsidRPr="00D5464D">
        <w:rPr>
          <w:rFonts w:eastAsia="Cambria" w:cs="Arial"/>
          <w:iCs/>
          <w:szCs w:val="20"/>
          <w:lang w:val="pt-BR"/>
        </w:rPr>
        <w:t xml:space="preserve">relacionados aos </w:t>
      </w:r>
      <w:r w:rsidR="002C330E" w:rsidRPr="00D5464D">
        <w:rPr>
          <w:rFonts w:eastAsia="Cambria" w:cs="Arial"/>
          <w:iCs/>
          <w:szCs w:val="20"/>
          <w:lang w:val="pt-BR"/>
        </w:rPr>
        <w:t>fatos</w:t>
      </w:r>
      <w:r w:rsidR="00702C18" w:rsidRPr="00D5464D">
        <w:rPr>
          <w:rFonts w:eastAsia="Cambria" w:cs="Arial"/>
          <w:iCs/>
          <w:szCs w:val="20"/>
          <w:lang w:val="pt-BR"/>
        </w:rPr>
        <w:t xml:space="preserve"> constatados</w:t>
      </w:r>
      <w:r w:rsidRPr="00D5464D">
        <w:rPr>
          <w:rFonts w:eastAsia="Cambria" w:cs="Arial"/>
          <w:iCs/>
          <w:szCs w:val="20"/>
          <w:lang w:val="pt-BR"/>
        </w:rPr>
        <w:t xml:space="preserve"> em </w:t>
      </w:r>
      <w:r w:rsidR="002C330E" w:rsidRPr="00D5464D">
        <w:rPr>
          <w:rFonts w:eastAsia="Cambria" w:cs="Arial"/>
          <w:iCs/>
          <w:szCs w:val="20"/>
          <w:lang w:val="pt-BR"/>
        </w:rPr>
        <w:t>março</w:t>
      </w:r>
      <w:r w:rsidR="00702C18" w:rsidRPr="00D5464D">
        <w:rPr>
          <w:rFonts w:eastAsia="Cambria" w:cs="Arial"/>
          <w:iCs/>
          <w:szCs w:val="20"/>
          <w:lang w:val="pt-BR"/>
        </w:rPr>
        <w:t xml:space="preserve"> de 2000</w:t>
      </w:r>
      <w:r w:rsidR="00E045D9" w:rsidRPr="00D5464D">
        <w:rPr>
          <w:rFonts w:eastAsia="Cambria" w:cs="Arial"/>
          <w:iCs/>
          <w:szCs w:val="20"/>
          <w:lang w:val="pt-BR"/>
        </w:rPr>
        <w:t xml:space="preserve"> no </w:t>
      </w:r>
      <w:r w:rsidR="00702C18" w:rsidRPr="00D5464D">
        <w:rPr>
          <w:rFonts w:eastAsia="Cambria" w:cs="Arial"/>
          <w:iCs/>
          <w:szCs w:val="20"/>
          <w:lang w:val="pt-BR"/>
        </w:rPr>
        <w:t>presente caso para,</w:t>
      </w:r>
      <w:r w:rsidRPr="00D5464D">
        <w:rPr>
          <w:rFonts w:eastAsia="Cambria" w:cs="Arial"/>
          <w:iCs/>
          <w:szCs w:val="20"/>
          <w:lang w:val="pt-BR"/>
        </w:rPr>
        <w:t xml:space="preserve"> em</w:t>
      </w:r>
      <w:r w:rsidR="00E045D9" w:rsidRPr="00D5464D">
        <w:rPr>
          <w:rFonts w:eastAsia="Cambria" w:cs="Arial"/>
          <w:iCs/>
          <w:szCs w:val="20"/>
          <w:lang w:val="pt-BR"/>
        </w:rPr>
        <w:t xml:space="preserve"> um </w:t>
      </w:r>
      <w:r w:rsidR="002C330E" w:rsidRPr="00D5464D">
        <w:rPr>
          <w:rFonts w:eastAsia="Cambria" w:cs="Arial"/>
          <w:iCs/>
          <w:szCs w:val="20"/>
          <w:lang w:val="pt-BR"/>
        </w:rPr>
        <w:t>prazo</w:t>
      </w:r>
      <w:r w:rsidR="00702C18" w:rsidRPr="00D5464D">
        <w:rPr>
          <w:rFonts w:eastAsia="Cambria" w:cs="Arial"/>
          <w:iCs/>
          <w:szCs w:val="20"/>
          <w:lang w:val="pt-BR"/>
        </w:rPr>
        <w:t xml:space="preserve"> </w:t>
      </w:r>
      <w:r w:rsidR="00230C71" w:rsidRPr="00D5464D">
        <w:rPr>
          <w:rFonts w:eastAsia="Cambria" w:cs="Arial"/>
          <w:iCs/>
          <w:szCs w:val="20"/>
          <w:lang w:val="pt-BR"/>
        </w:rPr>
        <w:t>razoável,</w:t>
      </w:r>
      <w:r w:rsidR="00702C18" w:rsidRPr="00D5464D">
        <w:rPr>
          <w:rFonts w:eastAsia="Cambria" w:cs="Arial"/>
          <w:iCs/>
          <w:szCs w:val="20"/>
          <w:lang w:val="pt-BR"/>
        </w:rPr>
        <w:t xml:space="preserve"> identificar, </w:t>
      </w:r>
      <w:r w:rsidR="00737270" w:rsidRPr="00D5464D">
        <w:rPr>
          <w:rFonts w:eastAsia="Cambria" w:cs="Arial"/>
          <w:iCs/>
          <w:szCs w:val="20"/>
          <w:lang w:val="pt-BR"/>
        </w:rPr>
        <w:t>processar</w:t>
      </w:r>
      <w:r w:rsidR="00E045D9" w:rsidRPr="00D5464D">
        <w:rPr>
          <w:rFonts w:eastAsia="Cambria" w:cs="Arial"/>
          <w:iCs/>
          <w:szCs w:val="20"/>
          <w:lang w:val="pt-BR"/>
        </w:rPr>
        <w:t xml:space="preserve"> e,</w:t>
      </w:r>
      <w:r w:rsidRPr="00D5464D">
        <w:rPr>
          <w:rFonts w:eastAsia="Cambria" w:cs="Arial"/>
          <w:iCs/>
          <w:szCs w:val="20"/>
          <w:lang w:val="pt-BR"/>
        </w:rPr>
        <w:t xml:space="preserve"> </w:t>
      </w:r>
      <w:r w:rsidR="00E045D9" w:rsidRPr="00D5464D">
        <w:rPr>
          <w:rFonts w:eastAsia="Cambria" w:cs="Arial"/>
          <w:iCs/>
          <w:szCs w:val="20"/>
          <w:lang w:val="pt-BR"/>
        </w:rPr>
        <w:t>se for o caso</w:t>
      </w:r>
      <w:r w:rsidR="00C91CB1" w:rsidRPr="00D5464D">
        <w:rPr>
          <w:rFonts w:eastAsia="Cambria" w:cs="Arial"/>
          <w:iCs/>
          <w:szCs w:val="20"/>
          <w:lang w:val="pt-BR"/>
        </w:rPr>
        <w:t>, punir os responsáveis</w:t>
      </w:r>
      <w:r w:rsidR="00702C18" w:rsidRPr="00D5464D">
        <w:rPr>
          <w:rFonts w:eastAsia="Cambria" w:cs="Times New Roman"/>
          <w:bCs/>
          <w:szCs w:val="20"/>
          <w:lang w:val="pt-BR"/>
        </w:rPr>
        <w:t xml:space="preserve">, </w:t>
      </w:r>
      <w:r w:rsidRPr="00D5464D">
        <w:rPr>
          <w:rFonts w:eastAsia="Cambria" w:cs="Times New Roman"/>
          <w:bCs/>
          <w:szCs w:val="20"/>
          <w:lang w:val="pt-BR"/>
        </w:rPr>
        <w:t xml:space="preserve">de acordo </w:t>
      </w:r>
      <w:r w:rsidR="00737270" w:rsidRPr="00D5464D">
        <w:rPr>
          <w:rFonts w:eastAsia="Cambria" w:cs="Times New Roman"/>
          <w:bCs/>
          <w:szCs w:val="20"/>
          <w:lang w:val="pt-BR"/>
        </w:rPr>
        <w:t>com o estabelecido</w:t>
      </w:r>
      <w:r w:rsidR="00E045D9" w:rsidRPr="00D5464D">
        <w:rPr>
          <w:rFonts w:eastAsia="Cambria" w:cs="Times New Roman"/>
          <w:bCs/>
          <w:szCs w:val="20"/>
          <w:lang w:val="pt-BR"/>
        </w:rPr>
        <w:t xml:space="preserve"> nos </w:t>
      </w:r>
      <w:r w:rsidR="002C330E" w:rsidRPr="00D5464D">
        <w:rPr>
          <w:rFonts w:eastAsia="Cambria" w:cs="Times New Roman"/>
          <w:bCs/>
          <w:szCs w:val="20"/>
          <w:lang w:val="pt-BR"/>
        </w:rPr>
        <w:t>parágrafo</w:t>
      </w:r>
      <w:r w:rsidR="00702C18" w:rsidRPr="00D5464D">
        <w:rPr>
          <w:rFonts w:eastAsia="Cambria" w:cs="Times New Roman"/>
          <w:bCs/>
          <w:szCs w:val="20"/>
          <w:lang w:val="pt-BR"/>
        </w:rPr>
        <w:t xml:space="preserve">s </w:t>
      </w:r>
      <w:r w:rsidR="00C861A8" w:rsidRPr="00D5464D">
        <w:rPr>
          <w:rFonts w:eastAsia="Cambria" w:cs="Times New Roman"/>
          <w:bCs/>
          <w:szCs w:val="20"/>
          <w:lang w:val="pt-BR"/>
        </w:rPr>
        <w:t>44</w:t>
      </w:r>
      <w:r w:rsidR="007A3720" w:rsidRPr="00D5464D">
        <w:rPr>
          <w:rFonts w:eastAsia="Cambria" w:cs="Times New Roman"/>
          <w:bCs/>
          <w:szCs w:val="20"/>
          <w:lang w:val="pt-BR"/>
        </w:rPr>
        <w:t>4</w:t>
      </w:r>
      <w:r w:rsidR="00C861A8" w:rsidRPr="00D5464D">
        <w:rPr>
          <w:rFonts w:eastAsia="Cambria" w:cs="Times New Roman"/>
          <w:bCs/>
          <w:szCs w:val="20"/>
          <w:lang w:val="pt-BR"/>
        </w:rPr>
        <w:t xml:space="preserve"> a 44</w:t>
      </w:r>
      <w:r w:rsidR="007A3720" w:rsidRPr="00D5464D">
        <w:rPr>
          <w:rFonts w:eastAsia="Cambria" w:cs="Times New Roman"/>
          <w:bCs/>
          <w:szCs w:val="20"/>
          <w:lang w:val="pt-BR"/>
        </w:rPr>
        <w:t>6</w:t>
      </w:r>
      <w:r w:rsidR="00C861A8" w:rsidRPr="00D5464D">
        <w:rPr>
          <w:rFonts w:eastAsia="Cambria" w:cs="Times New Roman"/>
          <w:bCs/>
          <w:szCs w:val="20"/>
          <w:lang w:val="pt-BR"/>
        </w:rPr>
        <w:t xml:space="preserve"> </w:t>
      </w:r>
      <w:r w:rsidRPr="00D5464D">
        <w:rPr>
          <w:rFonts w:eastAsia="Cambria" w:cs="Times New Roman"/>
          <w:bCs/>
          <w:szCs w:val="20"/>
          <w:lang w:val="pt-BR"/>
        </w:rPr>
        <w:t xml:space="preserve">da </w:t>
      </w:r>
      <w:r w:rsidR="00702C18" w:rsidRPr="00D5464D">
        <w:rPr>
          <w:rFonts w:eastAsia="Cambria" w:cs="Times New Roman"/>
          <w:bCs/>
          <w:szCs w:val="20"/>
          <w:lang w:val="pt-BR"/>
        </w:rPr>
        <w:t xml:space="preserve">presente </w:t>
      </w:r>
      <w:r w:rsidR="002C330E" w:rsidRPr="00D5464D">
        <w:rPr>
          <w:rFonts w:eastAsia="Cambria" w:cs="Times New Roman"/>
          <w:bCs/>
          <w:szCs w:val="20"/>
          <w:lang w:val="pt-BR"/>
        </w:rPr>
        <w:t>Sentença</w:t>
      </w:r>
      <w:r w:rsidR="00702C18" w:rsidRPr="00D5464D">
        <w:rPr>
          <w:rFonts w:eastAsia="Cambria" w:cs="Times New Roman"/>
          <w:bCs/>
          <w:szCs w:val="20"/>
          <w:lang w:val="pt-BR"/>
        </w:rPr>
        <w:t>.</w:t>
      </w:r>
      <w:r w:rsidRPr="00D5464D">
        <w:rPr>
          <w:rFonts w:eastAsia="Cambria" w:cs="Times New Roman"/>
          <w:bCs/>
          <w:szCs w:val="20"/>
          <w:lang w:val="pt-BR"/>
        </w:rPr>
        <w:t xml:space="preserve"> </w:t>
      </w:r>
      <w:r w:rsidR="00D6373E" w:rsidRPr="00D5464D">
        <w:rPr>
          <w:rFonts w:eastAsia="Cambria" w:cs="Times New Roman"/>
          <w:bCs/>
          <w:szCs w:val="20"/>
          <w:lang w:val="pt-BR"/>
        </w:rPr>
        <w:t>S</w:t>
      </w:r>
      <w:r w:rsidR="00E045D9" w:rsidRPr="00D5464D">
        <w:rPr>
          <w:rFonts w:eastAsia="Cambria" w:cs="Times New Roman"/>
          <w:bCs/>
          <w:szCs w:val="20"/>
          <w:lang w:val="pt-BR"/>
        </w:rPr>
        <w:t>e for o caso,</w:t>
      </w:r>
      <w:r w:rsidRPr="00D5464D">
        <w:rPr>
          <w:rFonts w:eastAsia="Cambria" w:cs="Arial"/>
          <w:iCs/>
          <w:szCs w:val="20"/>
          <w:lang w:val="pt-BR"/>
        </w:rPr>
        <w:t xml:space="preserve"> o </w:t>
      </w:r>
      <w:r w:rsidR="00702C18" w:rsidRPr="00D5464D">
        <w:rPr>
          <w:rFonts w:eastAsia="Cambria" w:cs="Arial"/>
          <w:iCs/>
          <w:szCs w:val="20"/>
          <w:lang w:val="pt-BR"/>
        </w:rPr>
        <w:t>Estado</w:t>
      </w:r>
      <w:r w:rsidRPr="00D5464D">
        <w:rPr>
          <w:rFonts w:eastAsia="Cambria" w:cs="Arial"/>
          <w:iCs/>
          <w:szCs w:val="20"/>
          <w:lang w:val="pt-BR"/>
        </w:rPr>
        <w:t xml:space="preserve"> deve </w:t>
      </w:r>
      <w:r w:rsidR="00702C18" w:rsidRPr="00D5464D">
        <w:rPr>
          <w:rFonts w:eastAsia="Cambria" w:cs="Arial"/>
          <w:iCs/>
          <w:szCs w:val="20"/>
          <w:lang w:val="pt-BR"/>
        </w:rPr>
        <w:t>r</w:t>
      </w:r>
      <w:r w:rsidRPr="00D5464D">
        <w:rPr>
          <w:rFonts w:eastAsia="Cambria" w:cs="Arial"/>
          <w:iCs/>
          <w:szCs w:val="20"/>
          <w:lang w:val="pt-BR"/>
        </w:rPr>
        <w:t>estabelece</w:t>
      </w:r>
      <w:r w:rsidR="00702C18" w:rsidRPr="00D5464D">
        <w:rPr>
          <w:rFonts w:eastAsia="Cambria" w:cs="Arial"/>
          <w:iCs/>
          <w:szCs w:val="20"/>
          <w:lang w:val="pt-BR"/>
        </w:rPr>
        <w:t>r (o</w:t>
      </w:r>
      <w:r w:rsidR="009662BB" w:rsidRPr="00D5464D">
        <w:rPr>
          <w:rFonts w:eastAsia="Cambria" w:cs="Arial"/>
          <w:iCs/>
          <w:szCs w:val="20"/>
          <w:lang w:val="pt-BR"/>
        </w:rPr>
        <w:t>u</w:t>
      </w:r>
      <w:r w:rsidR="00702C18" w:rsidRPr="00D5464D">
        <w:rPr>
          <w:rFonts w:eastAsia="Cambria" w:cs="Arial"/>
          <w:iCs/>
          <w:szCs w:val="20"/>
          <w:lang w:val="pt-BR"/>
        </w:rPr>
        <w:t xml:space="preserve"> reconstruir)</w:t>
      </w:r>
      <w:r w:rsidRPr="00D5464D">
        <w:rPr>
          <w:rFonts w:eastAsia="Cambria" w:cs="Arial"/>
          <w:iCs/>
          <w:szCs w:val="20"/>
          <w:lang w:val="pt-BR"/>
        </w:rPr>
        <w:t xml:space="preserve"> o </w:t>
      </w:r>
      <w:r w:rsidR="002C330E" w:rsidRPr="00D5464D">
        <w:rPr>
          <w:rFonts w:eastAsia="Cambria" w:cs="Arial"/>
          <w:iCs/>
          <w:szCs w:val="20"/>
          <w:lang w:val="pt-BR"/>
        </w:rPr>
        <w:t>processo</w:t>
      </w:r>
      <w:r w:rsidR="00702C18" w:rsidRPr="00D5464D">
        <w:rPr>
          <w:rFonts w:eastAsia="Cambria" w:cs="Arial"/>
          <w:iCs/>
          <w:szCs w:val="20"/>
          <w:lang w:val="pt-BR"/>
        </w:rPr>
        <w:t xml:space="preserve"> penal </w:t>
      </w:r>
      <w:r w:rsidR="00702C18" w:rsidRPr="00D5464D">
        <w:rPr>
          <w:rFonts w:eastAsia="Cambria" w:cs="Arial"/>
          <w:bCs/>
          <w:iCs/>
          <w:szCs w:val="20"/>
          <w:lang w:val="pt-BR"/>
        </w:rPr>
        <w:t>2001.39.01.000270-0, iniciado</w:t>
      </w:r>
      <w:r w:rsidRPr="00D5464D">
        <w:rPr>
          <w:rFonts w:eastAsia="Cambria" w:cs="Arial"/>
          <w:bCs/>
          <w:iCs/>
          <w:szCs w:val="20"/>
          <w:lang w:val="pt-BR"/>
        </w:rPr>
        <w:t xml:space="preserve"> em </w:t>
      </w:r>
      <w:r w:rsidR="00702C18" w:rsidRPr="00D5464D">
        <w:rPr>
          <w:rFonts w:eastAsia="Cambria" w:cs="Arial"/>
          <w:bCs/>
          <w:iCs/>
          <w:szCs w:val="20"/>
          <w:lang w:val="pt-BR"/>
        </w:rPr>
        <w:t>2001,</w:t>
      </w:r>
      <w:r w:rsidRPr="00D5464D">
        <w:rPr>
          <w:rFonts w:eastAsia="Cambria" w:cs="Arial"/>
          <w:bCs/>
          <w:iCs/>
          <w:szCs w:val="20"/>
          <w:lang w:val="pt-BR"/>
        </w:rPr>
        <w:t xml:space="preserve"> perante a </w:t>
      </w:r>
      <w:r w:rsidR="00702C18" w:rsidRPr="00D5464D">
        <w:rPr>
          <w:rFonts w:eastAsia="Cambria" w:cs="Arial"/>
          <w:bCs/>
          <w:iCs/>
          <w:szCs w:val="20"/>
          <w:lang w:val="pt-BR"/>
        </w:rPr>
        <w:t xml:space="preserve">2ª Vara de </w:t>
      </w:r>
      <w:r w:rsidR="002C330E" w:rsidRPr="00D5464D">
        <w:rPr>
          <w:rFonts w:eastAsia="Cambria" w:cs="Arial"/>
          <w:bCs/>
          <w:iCs/>
          <w:szCs w:val="20"/>
          <w:lang w:val="pt-BR"/>
        </w:rPr>
        <w:t>Justiça</w:t>
      </w:r>
      <w:r w:rsidR="00702C18" w:rsidRPr="00D5464D">
        <w:rPr>
          <w:rFonts w:eastAsia="Cambria" w:cs="Arial"/>
          <w:bCs/>
          <w:iCs/>
          <w:szCs w:val="20"/>
          <w:lang w:val="pt-BR"/>
        </w:rPr>
        <w:t xml:space="preserve"> Federal de Marabá, </w:t>
      </w:r>
      <w:r w:rsidR="00996473" w:rsidRPr="00D5464D">
        <w:rPr>
          <w:rFonts w:eastAsia="Cambria" w:cs="Arial"/>
          <w:bCs/>
          <w:iCs/>
          <w:szCs w:val="20"/>
          <w:lang w:val="pt-BR"/>
        </w:rPr>
        <w:t>Estado do Pará</w:t>
      </w:r>
      <w:r w:rsidR="00702C18" w:rsidRPr="00D5464D">
        <w:rPr>
          <w:rFonts w:eastAsia="Cambria" w:cs="Times New Roman"/>
          <w:bCs/>
          <w:szCs w:val="20"/>
          <w:lang w:val="pt-BR"/>
        </w:rPr>
        <w:t xml:space="preserve">, </w:t>
      </w:r>
      <w:r w:rsidRPr="00D5464D">
        <w:rPr>
          <w:rFonts w:eastAsia="Cambria" w:cs="Times New Roman"/>
          <w:bCs/>
          <w:szCs w:val="20"/>
          <w:lang w:val="pt-BR"/>
        </w:rPr>
        <w:t xml:space="preserve">de acordo </w:t>
      </w:r>
      <w:r w:rsidR="00737270" w:rsidRPr="00D5464D">
        <w:rPr>
          <w:rFonts w:eastAsia="Cambria" w:cs="Times New Roman"/>
          <w:bCs/>
          <w:szCs w:val="20"/>
          <w:lang w:val="pt-BR"/>
        </w:rPr>
        <w:t>com o estabelecido</w:t>
      </w:r>
      <w:r w:rsidR="00E045D9" w:rsidRPr="00D5464D">
        <w:rPr>
          <w:rFonts w:eastAsia="Cambria" w:cs="Times New Roman"/>
          <w:bCs/>
          <w:szCs w:val="20"/>
          <w:lang w:val="pt-BR"/>
        </w:rPr>
        <w:t xml:space="preserve"> nos </w:t>
      </w:r>
      <w:r w:rsidR="002C330E" w:rsidRPr="00D5464D">
        <w:rPr>
          <w:rFonts w:eastAsia="Cambria" w:cs="Times New Roman"/>
          <w:bCs/>
          <w:szCs w:val="20"/>
          <w:lang w:val="pt-BR"/>
        </w:rPr>
        <w:t>parágrafo</w:t>
      </w:r>
      <w:r w:rsidR="00EA6274" w:rsidRPr="00D5464D">
        <w:rPr>
          <w:rFonts w:eastAsia="Cambria" w:cs="Times New Roman"/>
          <w:bCs/>
          <w:szCs w:val="20"/>
          <w:lang w:val="pt-BR"/>
        </w:rPr>
        <w:t>s 44</w:t>
      </w:r>
      <w:r w:rsidR="007A3720" w:rsidRPr="00D5464D">
        <w:rPr>
          <w:rFonts w:eastAsia="Cambria" w:cs="Times New Roman"/>
          <w:bCs/>
          <w:szCs w:val="20"/>
          <w:lang w:val="pt-BR"/>
        </w:rPr>
        <w:t>4</w:t>
      </w:r>
      <w:r w:rsidR="00EA6274" w:rsidRPr="00D5464D">
        <w:rPr>
          <w:rFonts w:eastAsia="Cambria" w:cs="Times New Roman"/>
          <w:bCs/>
          <w:szCs w:val="20"/>
          <w:lang w:val="pt-BR"/>
        </w:rPr>
        <w:t xml:space="preserve"> a 44</w:t>
      </w:r>
      <w:r w:rsidR="007A3720" w:rsidRPr="00D5464D">
        <w:rPr>
          <w:rFonts w:eastAsia="Cambria" w:cs="Times New Roman"/>
          <w:bCs/>
          <w:szCs w:val="20"/>
          <w:lang w:val="pt-BR"/>
        </w:rPr>
        <w:t>6</w:t>
      </w:r>
      <w:r w:rsidRPr="00D5464D">
        <w:rPr>
          <w:rFonts w:eastAsia="Cambria" w:cs="Times New Roman"/>
          <w:bCs/>
          <w:szCs w:val="20"/>
          <w:lang w:val="pt-BR"/>
        </w:rPr>
        <w:t xml:space="preserve"> da </w:t>
      </w:r>
      <w:r w:rsidR="00702C18" w:rsidRPr="00D5464D">
        <w:rPr>
          <w:rFonts w:eastAsia="Cambria" w:cs="Times New Roman"/>
          <w:bCs/>
          <w:szCs w:val="20"/>
          <w:lang w:val="pt-BR"/>
        </w:rPr>
        <w:t xml:space="preserve">presente </w:t>
      </w:r>
      <w:r w:rsidR="002C330E" w:rsidRPr="00D5464D">
        <w:rPr>
          <w:rFonts w:eastAsia="Cambria" w:cs="Times New Roman"/>
          <w:bCs/>
          <w:szCs w:val="20"/>
          <w:lang w:val="pt-BR"/>
        </w:rPr>
        <w:t>Sentença</w:t>
      </w:r>
      <w:r w:rsidR="00702C18" w:rsidRPr="00D5464D">
        <w:rPr>
          <w:rFonts w:eastAsia="Cambria" w:cs="Times New Roman"/>
          <w:bCs/>
          <w:szCs w:val="20"/>
          <w:lang w:val="pt-BR"/>
        </w:rPr>
        <w:t>.</w:t>
      </w:r>
    </w:p>
    <w:p w14:paraId="12A789FA" w14:textId="77777777" w:rsidR="00E94DEB" w:rsidRPr="00D5464D" w:rsidRDefault="00E94DEB" w:rsidP="00E94DEB">
      <w:pPr>
        <w:tabs>
          <w:tab w:val="clear" w:pos="4419"/>
          <w:tab w:val="clear" w:pos="8838"/>
          <w:tab w:val="left" w:pos="720"/>
        </w:tabs>
        <w:ind w:right="-90"/>
        <w:contextualSpacing/>
        <w:jc w:val="both"/>
        <w:rPr>
          <w:rFonts w:eastAsia="Cambria" w:cs="Times New Roman"/>
          <w:bCs/>
          <w:szCs w:val="20"/>
          <w:lang w:val="pt-BR"/>
        </w:rPr>
      </w:pPr>
    </w:p>
    <w:p w14:paraId="12271278" w14:textId="402DB310" w:rsidR="00702C18" w:rsidRPr="00D5464D" w:rsidRDefault="00470ADC" w:rsidP="00F306D7">
      <w:pPr>
        <w:numPr>
          <w:ilvl w:val="0"/>
          <w:numId w:val="14"/>
        </w:numPr>
        <w:tabs>
          <w:tab w:val="clear" w:pos="4419"/>
          <w:tab w:val="clear" w:pos="8838"/>
          <w:tab w:val="left" w:pos="720"/>
        </w:tabs>
        <w:ind w:right="-90"/>
        <w:contextualSpacing/>
        <w:jc w:val="both"/>
        <w:rPr>
          <w:rFonts w:eastAsia="Cambria" w:cs="Times New Roman"/>
          <w:bCs/>
          <w:szCs w:val="20"/>
          <w:lang w:val="pt-BR"/>
        </w:rPr>
      </w:pPr>
      <w:r w:rsidRPr="00D5464D">
        <w:rPr>
          <w:rFonts w:eastAsia="MS Mincho" w:cs="Times New Roman"/>
          <w:bCs/>
          <w:szCs w:val="20"/>
          <w:lang w:val="pt-BR" w:bidi="en-US"/>
        </w:rPr>
        <w:t xml:space="preserve">O </w:t>
      </w:r>
      <w:r w:rsidR="00702C18" w:rsidRPr="00D5464D">
        <w:rPr>
          <w:rFonts w:eastAsia="Cambria" w:cs="Times New Roman"/>
          <w:bCs/>
          <w:szCs w:val="20"/>
          <w:lang w:val="pt-BR"/>
        </w:rPr>
        <w:t>Estado</w:t>
      </w:r>
      <w:r w:rsidRPr="00D5464D">
        <w:rPr>
          <w:rFonts w:eastAsia="Cambria" w:cs="Times New Roman"/>
          <w:bCs/>
          <w:szCs w:val="20"/>
          <w:lang w:val="pt-BR"/>
        </w:rPr>
        <w:t xml:space="preserve"> deve </w:t>
      </w:r>
      <w:r w:rsidR="00702C18" w:rsidRPr="00D5464D">
        <w:rPr>
          <w:rFonts w:eastAsia="Cambria" w:cs="Times New Roman"/>
          <w:bCs/>
          <w:szCs w:val="20"/>
          <w:lang w:val="pt-BR"/>
        </w:rPr>
        <w:t>realizar</w:t>
      </w:r>
      <w:r w:rsidR="00D6373E" w:rsidRPr="00D5464D">
        <w:rPr>
          <w:rFonts w:eastAsia="Cambria" w:cs="Times New Roman"/>
          <w:bCs/>
          <w:szCs w:val="20"/>
          <w:lang w:val="pt-BR"/>
        </w:rPr>
        <w:t>,</w:t>
      </w:r>
      <w:r w:rsidR="00E045D9" w:rsidRPr="00D5464D">
        <w:rPr>
          <w:rFonts w:eastAsia="Cambria" w:cs="Times New Roman"/>
          <w:bCs/>
          <w:szCs w:val="20"/>
          <w:lang w:val="pt-BR"/>
        </w:rPr>
        <w:t xml:space="preserve"> no </w:t>
      </w:r>
      <w:r w:rsidR="002C330E" w:rsidRPr="00D5464D">
        <w:rPr>
          <w:rFonts w:eastAsia="Cambria" w:cs="Times New Roman"/>
          <w:bCs/>
          <w:szCs w:val="20"/>
          <w:lang w:val="pt-BR"/>
        </w:rPr>
        <w:t>prazo</w:t>
      </w:r>
      <w:r w:rsidR="00702C18" w:rsidRPr="00D5464D">
        <w:rPr>
          <w:rFonts w:eastAsia="Cambria" w:cs="Times New Roman"/>
          <w:bCs/>
          <w:szCs w:val="20"/>
          <w:lang w:val="pt-BR"/>
        </w:rPr>
        <w:t xml:space="preserve"> de seis meses a partir</w:t>
      </w:r>
      <w:r w:rsidRPr="00D5464D">
        <w:rPr>
          <w:rFonts w:eastAsia="Cambria" w:cs="Times New Roman"/>
          <w:bCs/>
          <w:szCs w:val="20"/>
          <w:lang w:val="pt-BR"/>
        </w:rPr>
        <w:t xml:space="preserve"> da </w:t>
      </w:r>
      <w:r w:rsidR="00702C18" w:rsidRPr="00D5464D">
        <w:rPr>
          <w:rFonts w:eastAsia="Cambria" w:cs="Times New Roman"/>
          <w:bCs/>
          <w:szCs w:val="20"/>
          <w:lang w:val="pt-BR"/>
        </w:rPr>
        <w:t>notifica</w:t>
      </w:r>
      <w:r w:rsidRPr="00D5464D">
        <w:rPr>
          <w:rFonts w:eastAsia="Cambria" w:cs="Times New Roman"/>
          <w:bCs/>
          <w:szCs w:val="20"/>
          <w:lang w:val="pt-BR"/>
        </w:rPr>
        <w:t xml:space="preserve">ção da </w:t>
      </w:r>
      <w:r w:rsidR="00702C18" w:rsidRPr="00D5464D">
        <w:rPr>
          <w:rFonts w:eastAsia="Cambria" w:cs="Times New Roman"/>
          <w:bCs/>
          <w:szCs w:val="20"/>
          <w:lang w:val="pt-BR"/>
        </w:rPr>
        <w:t xml:space="preserve">presente </w:t>
      </w:r>
      <w:r w:rsidR="002C330E" w:rsidRPr="00D5464D">
        <w:rPr>
          <w:rFonts w:eastAsia="Cambria" w:cs="Times New Roman"/>
          <w:bCs/>
          <w:szCs w:val="20"/>
          <w:lang w:val="pt-BR"/>
        </w:rPr>
        <w:t>Sentença</w:t>
      </w:r>
      <w:r w:rsidR="00702C18" w:rsidRPr="00D5464D">
        <w:rPr>
          <w:rFonts w:eastAsia="Cambria" w:cs="Times New Roman"/>
          <w:bCs/>
          <w:szCs w:val="20"/>
          <w:lang w:val="pt-BR"/>
        </w:rPr>
        <w:t>,</w:t>
      </w:r>
      <w:r w:rsidR="002C330E" w:rsidRPr="00D5464D">
        <w:rPr>
          <w:rFonts w:eastAsia="Cambria" w:cs="Times New Roman"/>
          <w:bCs/>
          <w:szCs w:val="20"/>
          <w:lang w:val="pt-BR"/>
        </w:rPr>
        <w:t xml:space="preserve"> as </w:t>
      </w:r>
      <w:r w:rsidR="00702C18" w:rsidRPr="00D5464D">
        <w:rPr>
          <w:rFonts w:eastAsia="Cambria" w:cs="Times New Roman"/>
          <w:bCs/>
          <w:szCs w:val="20"/>
          <w:lang w:val="pt-BR"/>
        </w:rPr>
        <w:t>publica</w:t>
      </w:r>
      <w:r w:rsidRPr="00D5464D">
        <w:rPr>
          <w:rFonts w:eastAsia="Cambria" w:cs="Times New Roman"/>
          <w:bCs/>
          <w:szCs w:val="20"/>
          <w:lang w:val="pt-BR"/>
        </w:rPr>
        <w:t>ções</w:t>
      </w:r>
      <w:r w:rsidR="00C57A19" w:rsidRPr="00D5464D">
        <w:rPr>
          <w:rFonts w:eastAsia="Cambria" w:cs="Times New Roman"/>
          <w:bCs/>
          <w:szCs w:val="20"/>
          <w:lang w:val="pt-BR"/>
        </w:rPr>
        <w:t xml:space="preserve"> indicadas</w:t>
      </w:r>
      <w:r w:rsidR="00E045D9" w:rsidRPr="00D5464D">
        <w:rPr>
          <w:rFonts w:eastAsia="Cambria" w:cs="Times New Roman"/>
          <w:bCs/>
          <w:szCs w:val="20"/>
          <w:lang w:val="pt-BR"/>
        </w:rPr>
        <w:t xml:space="preserve"> no </w:t>
      </w:r>
      <w:r w:rsidR="002C330E" w:rsidRPr="00D5464D">
        <w:rPr>
          <w:rFonts w:eastAsia="Cambria" w:cs="Times New Roman"/>
          <w:bCs/>
          <w:szCs w:val="20"/>
          <w:lang w:val="pt-BR"/>
        </w:rPr>
        <w:t>parágrafo</w:t>
      </w:r>
      <w:r w:rsidR="00C57A19" w:rsidRPr="00D5464D">
        <w:rPr>
          <w:rFonts w:eastAsia="Cambria" w:cs="Times New Roman"/>
          <w:bCs/>
          <w:szCs w:val="20"/>
          <w:lang w:val="pt-BR"/>
        </w:rPr>
        <w:t xml:space="preserve"> </w:t>
      </w:r>
      <w:r w:rsidR="00EA6274" w:rsidRPr="00D5464D">
        <w:rPr>
          <w:rFonts w:eastAsia="Cambria" w:cs="Times New Roman"/>
          <w:bCs/>
          <w:szCs w:val="20"/>
          <w:lang w:val="pt-BR"/>
        </w:rPr>
        <w:t>45</w:t>
      </w:r>
      <w:r w:rsidR="00C963FF" w:rsidRPr="00D5464D">
        <w:rPr>
          <w:rFonts w:eastAsia="Cambria" w:cs="Times New Roman"/>
          <w:bCs/>
          <w:szCs w:val="20"/>
          <w:lang w:val="pt-BR"/>
        </w:rPr>
        <w:t>0</w:t>
      </w:r>
      <w:r w:rsidRPr="00D5464D">
        <w:rPr>
          <w:rFonts w:eastAsia="Cambria" w:cs="Times New Roman"/>
          <w:bCs/>
          <w:szCs w:val="20"/>
          <w:lang w:val="pt-BR"/>
        </w:rPr>
        <w:t xml:space="preserve"> da </w:t>
      </w:r>
      <w:r w:rsidR="002C330E" w:rsidRPr="00D5464D">
        <w:rPr>
          <w:rFonts w:eastAsia="Cambria" w:cs="Times New Roman"/>
          <w:bCs/>
          <w:szCs w:val="20"/>
          <w:lang w:val="pt-BR"/>
        </w:rPr>
        <w:t>Sentença</w:t>
      </w:r>
      <w:r w:rsidR="00702C18" w:rsidRPr="00D5464D">
        <w:rPr>
          <w:rFonts w:eastAsia="Cambria" w:cs="Times New Roman"/>
          <w:bCs/>
          <w:szCs w:val="20"/>
          <w:lang w:val="pt-BR"/>
        </w:rPr>
        <w:t>,</w:t>
      </w:r>
      <w:r w:rsidR="00E045D9" w:rsidRPr="00D5464D">
        <w:rPr>
          <w:rFonts w:eastAsia="Cambria" w:cs="Times New Roman"/>
          <w:bCs/>
          <w:szCs w:val="20"/>
          <w:lang w:val="pt-BR"/>
        </w:rPr>
        <w:t xml:space="preserve"> nos termo</w:t>
      </w:r>
      <w:r w:rsidR="00702C18" w:rsidRPr="00D5464D">
        <w:rPr>
          <w:rFonts w:eastAsia="Cambria" w:cs="Times New Roman"/>
          <w:bCs/>
          <w:szCs w:val="20"/>
          <w:lang w:val="pt-BR"/>
        </w:rPr>
        <w:t xml:space="preserve">s </w:t>
      </w:r>
      <w:r w:rsidRPr="00D5464D">
        <w:rPr>
          <w:rFonts w:eastAsia="Cambria" w:cs="Times New Roman"/>
          <w:bCs/>
          <w:szCs w:val="20"/>
          <w:lang w:val="pt-BR"/>
        </w:rPr>
        <w:t>dispost</w:t>
      </w:r>
      <w:r w:rsidR="00702C18" w:rsidRPr="00D5464D">
        <w:rPr>
          <w:rFonts w:eastAsia="Cambria" w:cs="Times New Roman"/>
          <w:bCs/>
          <w:szCs w:val="20"/>
          <w:lang w:val="pt-BR"/>
        </w:rPr>
        <w:t>os</w:t>
      </w:r>
      <w:r w:rsidR="00E045D9" w:rsidRPr="00D5464D">
        <w:rPr>
          <w:rFonts w:eastAsia="Cambria" w:cs="Times New Roman"/>
          <w:bCs/>
          <w:szCs w:val="20"/>
          <w:lang w:val="pt-BR"/>
        </w:rPr>
        <w:t xml:space="preserve"> na </w:t>
      </w:r>
      <w:r w:rsidR="002C330E" w:rsidRPr="00D5464D">
        <w:rPr>
          <w:rFonts w:eastAsia="Cambria" w:cs="Times New Roman"/>
          <w:bCs/>
          <w:szCs w:val="20"/>
          <w:lang w:val="pt-BR"/>
        </w:rPr>
        <w:t>mesm</w:t>
      </w:r>
      <w:r w:rsidR="00702C18" w:rsidRPr="00D5464D">
        <w:rPr>
          <w:rFonts w:eastAsia="Cambria" w:cs="Times New Roman"/>
          <w:bCs/>
          <w:szCs w:val="20"/>
          <w:lang w:val="pt-BR"/>
        </w:rPr>
        <w:t>a.</w:t>
      </w:r>
    </w:p>
    <w:p w14:paraId="34CF3216" w14:textId="77777777" w:rsidR="00E94DEB" w:rsidRPr="00D5464D" w:rsidRDefault="00E94DEB" w:rsidP="00E94DEB">
      <w:pPr>
        <w:tabs>
          <w:tab w:val="clear" w:pos="4419"/>
          <w:tab w:val="clear" w:pos="8838"/>
          <w:tab w:val="left" w:pos="720"/>
        </w:tabs>
        <w:ind w:right="-90"/>
        <w:contextualSpacing/>
        <w:jc w:val="both"/>
        <w:rPr>
          <w:rFonts w:eastAsia="Cambria" w:cs="Times New Roman"/>
          <w:bCs/>
          <w:szCs w:val="20"/>
          <w:lang w:val="pt-BR"/>
        </w:rPr>
      </w:pPr>
    </w:p>
    <w:p w14:paraId="68A58263" w14:textId="343B3379" w:rsidR="00702C18" w:rsidRPr="00D5464D" w:rsidRDefault="00470ADC" w:rsidP="00F306D7">
      <w:pPr>
        <w:numPr>
          <w:ilvl w:val="0"/>
          <w:numId w:val="14"/>
        </w:numPr>
        <w:tabs>
          <w:tab w:val="clear" w:pos="4419"/>
          <w:tab w:val="clear" w:pos="8838"/>
          <w:tab w:val="left" w:pos="720"/>
        </w:tabs>
        <w:ind w:right="-90"/>
        <w:contextualSpacing/>
        <w:jc w:val="both"/>
        <w:rPr>
          <w:rFonts w:eastAsia="Cambria" w:cs="Times New Roman"/>
          <w:bCs/>
          <w:szCs w:val="20"/>
          <w:lang w:val="pt-BR"/>
        </w:rPr>
      </w:pPr>
      <w:r w:rsidRPr="00D5464D">
        <w:rPr>
          <w:rFonts w:eastAsia="MS Mincho" w:cs="Times New Roman"/>
          <w:bCs/>
          <w:szCs w:val="20"/>
          <w:lang w:val="pt-BR" w:bidi="en-US"/>
        </w:rPr>
        <w:t xml:space="preserve">O </w:t>
      </w:r>
      <w:r w:rsidR="00702C18" w:rsidRPr="00D5464D">
        <w:rPr>
          <w:rFonts w:eastAsia="Cambria" w:cs="Verdana"/>
          <w:szCs w:val="20"/>
          <w:lang w:val="pt-BR"/>
        </w:rPr>
        <w:t>Estado</w:t>
      </w:r>
      <w:r w:rsidR="00A1358C" w:rsidRPr="00D5464D">
        <w:rPr>
          <w:rFonts w:eastAsia="Cambria" w:cs="Verdana"/>
          <w:szCs w:val="20"/>
          <w:lang w:val="pt-BR"/>
        </w:rPr>
        <w:t xml:space="preserve"> deve</w:t>
      </w:r>
      <w:r w:rsidR="00702C18" w:rsidRPr="00D5464D">
        <w:rPr>
          <w:rFonts w:eastAsia="Cambria" w:cs="Verdana"/>
          <w:szCs w:val="20"/>
          <w:lang w:val="pt-BR"/>
        </w:rPr>
        <w:t xml:space="preserve">, </w:t>
      </w:r>
      <w:r w:rsidR="00702C18" w:rsidRPr="00D5464D">
        <w:rPr>
          <w:rFonts w:eastAsia="Cambria" w:cs="Arial"/>
          <w:iCs/>
          <w:szCs w:val="20"/>
          <w:lang w:val="pt-BR"/>
        </w:rPr>
        <w:t>dentro de</w:t>
      </w:r>
      <w:r w:rsidR="00E045D9" w:rsidRPr="00D5464D">
        <w:rPr>
          <w:rFonts w:eastAsia="Cambria" w:cs="Arial"/>
          <w:iCs/>
          <w:szCs w:val="20"/>
          <w:lang w:val="pt-BR"/>
        </w:rPr>
        <w:t xml:space="preserve"> um </w:t>
      </w:r>
      <w:r w:rsidR="002C330E" w:rsidRPr="00D5464D">
        <w:rPr>
          <w:rFonts w:eastAsia="Cambria" w:cs="Arial"/>
          <w:iCs/>
          <w:szCs w:val="20"/>
          <w:lang w:val="pt-BR"/>
        </w:rPr>
        <w:t>prazo</w:t>
      </w:r>
      <w:r w:rsidR="00702C18" w:rsidRPr="00D5464D">
        <w:rPr>
          <w:rFonts w:eastAsia="Cambria" w:cs="Arial"/>
          <w:iCs/>
          <w:szCs w:val="20"/>
          <w:lang w:val="pt-BR"/>
        </w:rPr>
        <w:t xml:space="preserve"> </w:t>
      </w:r>
      <w:r w:rsidR="002C330E" w:rsidRPr="00D5464D">
        <w:rPr>
          <w:rFonts w:eastAsia="Cambria" w:cs="Arial"/>
          <w:iCs/>
          <w:szCs w:val="20"/>
          <w:lang w:val="pt-BR"/>
        </w:rPr>
        <w:t xml:space="preserve">razoável </w:t>
      </w:r>
      <w:r w:rsidR="00702C18" w:rsidRPr="00D5464D">
        <w:rPr>
          <w:rFonts w:eastAsia="Cambria" w:cs="Arial"/>
          <w:iCs/>
          <w:szCs w:val="20"/>
          <w:lang w:val="pt-BR"/>
        </w:rPr>
        <w:t>a partir</w:t>
      </w:r>
      <w:r w:rsidRPr="00D5464D">
        <w:rPr>
          <w:rFonts w:eastAsia="Cambria" w:cs="Arial"/>
          <w:iCs/>
          <w:szCs w:val="20"/>
          <w:lang w:val="pt-BR"/>
        </w:rPr>
        <w:t xml:space="preserve"> da </w:t>
      </w:r>
      <w:r w:rsidR="00702C18" w:rsidRPr="00D5464D">
        <w:rPr>
          <w:rFonts w:eastAsia="Cambria" w:cs="Arial"/>
          <w:iCs/>
          <w:szCs w:val="20"/>
          <w:lang w:val="pt-BR"/>
        </w:rPr>
        <w:t>notifica</w:t>
      </w:r>
      <w:r w:rsidRPr="00D5464D">
        <w:rPr>
          <w:rFonts w:eastAsia="Cambria" w:cs="Arial"/>
          <w:iCs/>
          <w:szCs w:val="20"/>
          <w:lang w:val="pt-BR"/>
        </w:rPr>
        <w:t xml:space="preserve">ção da </w:t>
      </w:r>
      <w:r w:rsidR="00702C18" w:rsidRPr="00D5464D">
        <w:rPr>
          <w:rFonts w:eastAsia="Cambria" w:cs="Arial"/>
          <w:iCs/>
          <w:szCs w:val="20"/>
          <w:lang w:val="pt-BR"/>
        </w:rPr>
        <w:t xml:space="preserve">presente </w:t>
      </w:r>
      <w:r w:rsidR="002C330E" w:rsidRPr="00D5464D">
        <w:rPr>
          <w:rFonts w:eastAsia="Cambria" w:cs="Arial"/>
          <w:iCs/>
          <w:szCs w:val="20"/>
          <w:lang w:val="pt-BR"/>
        </w:rPr>
        <w:t>Sentença</w:t>
      </w:r>
      <w:r w:rsidR="00702C18" w:rsidRPr="00D5464D">
        <w:rPr>
          <w:rFonts w:eastAsia="Cambria" w:cs="Arial"/>
          <w:iCs/>
          <w:szCs w:val="20"/>
          <w:lang w:val="pt-BR"/>
        </w:rPr>
        <w:t xml:space="preserve">, </w:t>
      </w:r>
      <w:r w:rsidRPr="00D5464D">
        <w:rPr>
          <w:rFonts w:eastAsia="Cambria" w:cs="Arial"/>
          <w:iCs/>
          <w:szCs w:val="20"/>
          <w:lang w:val="pt-BR"/>
        </w:rPr>
        <w:t>adot</w:t>
      </w:r>
      <w:r w:rsidR="00702C18" w:rsidRPr="00D5464D">
        <w:rPr>
          <w:rFonts w:eastAsia="Cambria" w:cs="Arial"/>
          <w:iCs/>
          <w:szCs w:val="20"/>
          <w:lang w:val="pt-BR"/>
        </w:rPr>
        <w:t>ar</w:t>
      </w:r>
      <w:r w:rsidR="002C330E" w:rsidRPr="00D5464D">
        <w:rPr>
          <w:rFonts w:eastAsia="Cambria" w:cs="Arial"/>
          <w:iCs/>
          <w:szCs w:val="20"/>
          <w:lang w:val="pt-BR"/>
        </w:rPr>
        <w:t xml:space="preserve"> as </w:t>
      </w:r>
      <w:r w:rsidR="00702C18" w:rsidRPr="00D5464D">
        <w:rPr>
          <w:rFonts w:eastAsia="Cambria" w:cs="Arial"/>
          <w:iCs/>
          <w:szCs w:val="20"/>
          <w:lang w:val="pt-BR"/>
        </w:rPr>
        <w:t xml:space="preserve">medidas </w:t>
      </w:r>
      <w:r w:rsidR="002C330E" w:rsidRPr="00D5464D">
        <w:rPr>
          <w:rFonts w:eastAsia="Cambria" w:cs="Arial"/>
          <w:iCs/>
          <w:szCs w:val="20"/>
          <w:lang w:val="pt-BR"/>
        </w:rPr>
        <w:t>necessári</w:t>
      </w:r>
      <w:r w:rsidR="00702C18" w:rsidRPr="00D5464D">
        <w:rPr>
          <w:rFonts w:eastAsia="Cambria" w:cs="Arial"/>
          <w:iCs/>
          <w:szCs w:val="20"/>
          <w:lang w:val="pt-BR"/>
        </w:rPr>
        <w:t xml:space="preserve">as para </w:t>
      </w:r>
      <w:r w:rsidR="002C330E" w:rsidRPr="00D5464D">
        <w:rPr>
          <w:rFonts w:eastAsia="Cambria" w:cs="Arial"/>
          <w:iCs/>
          <w:szCs w:val="20"/>
          <w:lang w:val="pt-BR"/>
        </w:rPr>
        <w:t>garantir</w:t>
      </w:r>
      <w:r w:rsidR="00702C18" w:rsidRPr="00D5464D">
        <w:rPr>
          <w:rFonts w:eastAsia="Cambria" w:cs="Arial"/>
          <w:iCs/>
          <w:szCs w:val="20"/>
          <w:lang w:val="pt-BR"/>
        </w:rPr>
        <w:t xml:space="preserve"> que</w:t>
      </w:r>
      <w:r w:rsidR="002C330E" w:rsidRPr="00D5464D">
        <w:rPr>
          <w:rFonts w:eastAsia="Cambria" w:cs="Arial"/>
          <w:iCs/>
          <w:szCs w:val="20"/>
          <w:lang w:val="pt-BR"/>
        </w:rPr>
        <w:t xml:space="preserve"> a prescrição</w:t>
      </w:r>
      <w:r w:rsidR="00702C18" w:rsidRPr="00D5464D">
        <w:rPr>
          <w:rFonts w:eastAsia="Cambria" w:cs="Arial"/>
          <w:iCs/>
          <w:szCs w:val="20"/>
          <w:lang w:val="pt-BR"/>
        </w:rPr>
        <w:t xml:space="preserve"> n</w:t>
      </w:r>
      <w:r w:rsidR="00D6373E" w:rsidRPr="00D5464D">
        <w:rPr>
          <w:rFonts w:eastAsia="Cambria" w:cs="Arial"/>
          <w:iCs/>
          <w:szCs w:val="20"/>
          <w:lang w:val="pt-BR"/>
        </w:rPr>
        <w:t>ã</w:t>
      </w:r>
      <w:r w:rsidR="00702C18" w:rsidRPr="00D5464D">
        <w:rPr>
          <w:rFonts w:eastAsia="Cambria" w:cs="Arial"/>
          <w:iCs/>
          <w:szCs w:val="20"/>
          <w:lang w:val="pt-BR"/>
        </w:rPr>
        <w:t>o</w:t>
      </w:r>
      <w:r w:rsidR="002C330E" w:rsidRPr="00D5464D">
        <w:rPr>
          <w:rFonts w:eastAsia="Cambria" w:cs="Arial"/>
          <w:iCs/>
          <w:szCs w:val="20"/>
          <w:lang w:val="pt-BR"/>
        </w:rPr>
        <w:t xml:space="preserve"> seja </w:t>
      </w:r>
      <w:r w:rsidR="00702C18" w:rsidRPr="00D5464D">
        <w:rPr>
          <w:rFonts w:eastAsia="Cambria" w:cs="Arial"/>
          <w:iCs/>
          <w:szCs w:val="20"/>
          <w:lang w:val="pt-BR"/>
        </w:rPr>
        <w:t>aplicada</w:t>
      </w:r>
      <w:r w:rsidRPr="00D5464D">
        <w:rPr>
          <w:rFonts w:eastAsia="Cambria" w:cs="Arial"/>
          <w:iCs/>
          <w:szCs w:val="20"/>
          <w:lang w:val="pt-BR"/>
        </w:rPr>
        <w:t xml:space="preserve"> ao </w:t>
      </w:r>
      <w:r w:rsidR="00702C18" w:rsidRPr="00D5464D">
        <w:rPr>
          <w:rFonts w:eastAsia="Cambria" w:cs="Arial"/>
          <w:iCs/>
          <w:szCs w:val="20"/>
          <w:lang w:val="pt-BR"/>
        </w:rPr>
        <w:t xml:space="preserve">delito de </w:t>
      </w:r>
      <w:r w:rsidR="00E765C2" w:rsidRPr="00D5464D">
        <w:rPr>
          <w:rFonts w:eastAsia="Cambria" w:cs="Arial"/>
          <w:iCs/>
          <w:szCs w:val="20"/>
          <w:lang w:val="pt-BR"/>
        </w:rPr>
        <w:t>Direito Internacional</w:t>
      </w:r>
      <w:r w:rsidR="00702C18" w:rsidRPr="00D5464D">
        <w:rPr>
          <w:rFonts w:eastAsia="Cambria" w:cs="Arial"/>
          <w:iCs/>
          <w:szCs w:val="20"/>
          <w:lang w:val="pt-BR"/>
        </w:rPr>
        <w:t xml:space="preserve"> de </w:t>
      </w:r>
      <w:r w:rsidR="000B376D" w:rsidRPr="00D5464D">
        <w:rPr>
          <w:rFonts w:eastAsia="Cambria" w:cs="Arial"/>
          <w:iCs/>
          <w:szCs w:val="20"/>
          <w:lang w:val="pt-BR"/>
        </w:rPr>
        <w:t>escravidão</w:t>
      </w:r>
      <w:r w:rsidR="00E045D9" w:rsidRPr="00D5464D">
        <w:rPr>
          <w:rFonts w:eastAsia="Cambria" w:cs="Arial"/>
          <w:iCs/>
          <w:szCs w:val="20"/>
          <w:lang w:val="pt-BR"/>
        </w:rPr>
        <w:t xml:space="preserve"> e </w:t>
      </w:r>
      <w:r w:rsidR="00230C71" w:rsidRPr="00D5464D">
        <w:rPr>
          <w:rFonts w:eastAsia="Cambria" w:cs="Arial"/>
          <w:iCs/>
          <w:szCs w:val="20"/>
          <w:lang w:val="pt-BR"/>
        </w:rPr>
        <w:t>suas formas</w:t>
      </w:r>
      <w:r w:rsidR="00702C18" w:rsidRPr="00D5464D">
        <w:rPr>
          <w:rFonts w:eastAsia="Cambria" w:cs="Arial"/>
          <w:iCs/>
          <w:szCs w:val="20"/>
          <w:lang w:val="pt-BR"/>
        </w:rPr>
        <w:t xml:space="preserve"> análogas,</w:t>
      </w:r>
      <w:r w:rsidR="00E045D9" w:rsidRPr="00D5464D">
        <w:rPr>
          <w:rFonts w:eastAsia="Cambria" w:cs="Arial"/>
          <w:iCs/>
          <w:szCs w:val="20"/>
          <w:lang w:val="pt-BR"/>
        </w:rPr>
        <w:t xml:space="preserve"> no </w:t>
      </w:r>
      <w:r w:rsidR="00702C18" w:rsidRPr="00D5464D">
        <w:rPr>
          <w:rFonts w:eastAsia="Cambria" w:cs="Arial"/>
          <w:iCs/>
          <w:szCs w:val="20"/>
          <w:lang w:val="pt-BR"/>
        </w:rPr>
        <w:t xml:space="preserve">sentido </w:t>
      </w:r>
      <w:r w:rsidRPr="00D5464D">
        <w:rPr>
          <w:rFonts w:eastAsia="Cambria" w:cs="Arial"/>
          <w:iCs/>
          <w:szCs w:val="20"/>
          <w:lang w:val="pt-BR"/>
        </w:rPr>
        <w:t>dispost</w:t>
      </w:r>
      <w:r w:rsidR="00702C18" w:rsidRPr="00D5464D">
        <w:rPr>
          <w:rFonts w:eastAsia="Cambria" w:cs="Arial"/>
          <w:iCs/>
          <w:szCs w:val="20"/>
          <w:lang w:val="pt-BR"/>
        </w:rPr>
        <w:t>o</w:t>
      </w:r>
      <w:r w:rsidR="00E045D9" w:rsidRPr="00D5464D">
        <w:rPr>
          <w:rFonts w:eastAsia="Cambria" w:cs="Arial"/>
          <w:iCs/>
          <w:szCs w:val="20"/>
          <w:lang w:val="pt-BR"/>
        </w:rPr>
        <w:t xml:space="preserve"> nos </w:t>
      </w:r>
      <w:r w:rsidR="002C330E" w:rsidRPr="00D5464D">
        <w:rPr>
          <w:rFonts w:eastAsia="Cambria" w:cs="Arial"/>
          <w:iCs/>
          <w:szCs w:val="20"/>
          <w:lang w:val="pt-BR"/>
        </w:rPr>
        <w:t>parágrafo</w:t>
      </w:r>
      <w:r w:rsidR="00702C18" w:rsidRPr="00D5464D">
        <w:rPr>
          <w:rFonts w:eastAsia="Cambria" w:cs="Arial"/>
          <w:iCs/>
          <w:szCs w:val="20"/>
          <w:lang w:val="pt-BR"/>
        </w:rPr>
        <w:t xml:space="preserve">s </w:t>
      </w:r>
      <w:r w:rsidR="007A3164" w:rsidRPr="00D5464D">
        <w:rPr>
          <w:rFonts w:eastAsia="Cambria" w:cs="Arial"/>
          <w:iCs/>
          <w:szCs w:val="20"/>
          <w:lang w:val="pt-BR"/>
        </w:rPr>
        <w:t>45</w:t>
      </w:r>
      <w:r w:rsidR="00B839C3" w:rsidRPr="00D5464D">
        <w:rPr>
          <w:rFonts w:eastAsia="Cambria" w:cs="Arial"/>
          <w:iCs/>
          <w:szCs w:val="20"/>
          <w:lang w:val="pt-BR"/>
        </w:rPr>
        <w:t>4</w:t>
      </w:r>
      <w:r w:rsidR="00E045D9" w:rsidRPr="00D5464D">
        <w:rPr>
          <w:rFonts w:eastAsia="Cambria" w:cs="Arial"/>
          <w:iCs/>
          <w:szCs w:val="20"/>
          <w:lang w:val="pt-BR"/>
        </w:rPr>
        <w:t xml:space="preserve"> e </w:t>
      </w:r>
      <w:r w:rsidR="007A3164" w:rsidRPr="00D5464D">
        <w:rPr>
          <w:rFonts w:eastAsia="Cambria" w:cs="Arial"/>
          <w:iCs/>
          <w:szCs w:val="20"/>
          <w:lang w:val="pt-BR"/>
        </w:rPr>
        <w:t>45</w:t>
      </w:r>
      <w:r w:rsidR="007A3720" w:rsidRPr="00D5464D">
        <w:rPr>
          <w:rFonts w:eastAsia="Cambria" w:cs="Arial"/>
          <w:iCs/>
          <w:szCs w:val="20"/>
          <w:lang w:val="pt-BR"/>
        </w:rPr>
        <w:t>5</w:t>
      </w:r>
      <w:r w:rsidRPr="00D5464D">
        <w:rPr>
          <w:rFonts w:eastAsia="Cambria" w:cs="Arial"/>
          <w:iCs/>
          <w:szCs w:val="20"/>
          <w:lang w:val="pt-BR"/>
        </w:rPr>
        <w:t xml:space="preserve"> da </w:t>
      </w:r>
      <w:r w:rsidR="00702C18" w:rsidRPr="00D5464D">
        <w:rPr>
          <w:rFonts w:eastAsia="Cambria" w:cs="Arial"/>
          <w:iCs/>
          <w:szCs w:val="20"/>
          <w:lang w:val="pt-BR"/>
        </w:rPr>
        <w:t xml:space="preserve">presente </w:t>
      </w:r>
      <w:r w:rsidR="002C330E" w:rsidRPr="00D5464D">
        <w:rPr>
          <w:rFonts w:eastAsia="Cambria" w:cs="Arial"/>
          <w:iCs/>
          <w:szCs w:val="20"/>
          <w:lang w:val="pt-BR"/>
        </w:rPr>
        <w:t>Sentença</w:t>
      </w:r>
      <w:r w:rsidR="00702C18" w:rsidRPr="00D5464D">
        <w:rPr>
          <w:rFonts w:eastAsia="Cambria" w:cs="Times New Roman"/>
          <w:bCs/>
          <w:szCs w:val="20"/>
          <w:lang w:val="pt-BR"/>
        </w:rPr>
        <w:t>.</w:t>
      </w:r>
    </w:p>
    <w:p w14:paraId="74CF7DD1" w14:textId="77777777" w:rsidR="00E94DEB" w:rsidRPr="00D5464D" w:rsidRDefault="00E94DEB" w:rsidP="00E94DEB">
      <w:pPr>
        <w:tabs>
          <w:tab w:val="clear" w:pos="4419"/>
          <w:tab w:val="clear" w:pos="8838"/>
          <w:tab w:val="left" w:pos="720"/>
        </w:tabs>
        <w:ind w:right="-90"/>
        <w:contextualSpacing/>
        <w:jc w:val="both"/>
        <w:rPr>
          <w:rFonts w:eastAsia="Cambria" w:cs="Times New Roman"/>
          <w:bCs/>
          <w:szCs w:val="20"/>
          <w:lang w:val="pt-BR"/>
        </w:rPr>
      </w:pPr>
    </w:p>
    <w:p w14:paraId="6D31E6B0" w14:textId="1123E658" w:rsidR="00702C18" w:rsidRPr="00D5464D" w:rsidRDefault="00470ADC" w:rsidP="00F306D7">
      <w:pPr>
        <w:numPr>
          <w:ilvl w:val="0"/>
          <w:numId w:val="14"/>
        </w:numPr>
        <w:tabs>
          <w:tab w:val="clear" w:pos="4419"/>
          <w:tab w:val="clear" w:pos="8838"/>
          <w:tab w:val="left" w:pos="720"/>
        </w:tabs>
        <w:ind w:right="-90"/>
        <w:contextualSpacing/>
        <w:jc w:val="both"/>
        <w:rPr>
          <w:rFonts w:eastAsia="Cambria" w:cs="Times New Roman"/>
          <w:bCs/>
          <w:szCs w:val="20"/>
          <w:lang w:val="pt-BR"/>
        </w:rPr>
      </w:pPr>
      <w:r w:rsidRPr="00D5464D">
        <w:rPr>
          <w:rFonts w:eastAsia="MS Mincho" w:cs="Times New Roman"/>
          <w:bCs/>
          <w:szCs w:val="20"/>
          <w:lang w:val="pt-BR" w:bidi="en-US"/>
        </w:rPr>
        <w:t xml:space="preserve">O </w:t>
      </w:r>
      <w:r w:rsidR="00702C18" w:rsidRPr="00D5464D">
        <w:rPr>
          <w:rFonts w:eastAsia="Cambria" w:cs="Times New Roman"/>
          <w:szCs w:val="20"/>
          <w:lang w:val="pt-BR"/>
        </w:rPr>
        <w:t>Estado</w:t>
      </w:r>
      <w:r w:rsidRPr="00D5464D">
        <w:rPr>
          <w:rFonts w:eastAsia="Cambria" w:cs="Times New Roman"/>
          <w:bCs/>
          <w:szCs w:val="20"/>
          <w:lang w:val="pt-BR"/>
        </w:rPr>
        <w:t xml:space="preserve"> deve </w:t>
      </w:r>
      <w:r w:rsidR="00702C18" w:rsidRPr="00D5464D">
        <w:rPr>
          <w:rFonts w:eastAsia="Cambria" w:cs="Times New Roman"/>
          <w:bCs/>
          <w:szCs w:val="20"/>
          <w:lang w:val="pt-BR"/>
        </w:rPr>
        <w:t>pagar</w:t>
      </w:r>
      <w:r w:rsidR="002C330E" w:rsidRPr="00D5464D">
        <w:rPr>
          <w:rFonts w:eastAsia="Cambria" w:cs="Times New Roman"/>
          <w:bCs/>
          <w:szCs w:val="20"/>
          <w:lang w:val="pt-BR"/>
        </w:rPr>
        <w:t xml:space="preserve"> </w:t>
      </w:r>
      <w:r w:rsidR="00D6373E" w:rsidRPr="00D5464D">
        <w:rPr>
          <w:rFonts w:eastAsia="Cambria" w:cs="Times New Roman"/>
          <w:bCs/>
          <w:szCs w:val="20"/>
          <w:lang w:val="pt-BR"/>
        </w:rPr>
        <w:t xml:space="preserve">os montantes fixados </w:t>
      </w:r>
      <w:r w:rsidR="00E045D9" w:rsidRPr="00D5464D">
        <w:rPr>
          <w:rFonts w:eastAsia="Cambria" w:cs="Times New Roman"/>
          <w:bCs/>
          <w:szCs w:val="20"/>
          <w:lang w:val="pt-BR"/>
        </w:rPr>
        <w:t xml:space="preserve">no </w:t>
      </w:r>
      <w:r w:rsidR="002C330E" w:rsidRPr="00D5464D">
        <w:rPr>
          <w:rFonts w:eastAsia="Cambria" w:cs="Times New Roman"/>
          <w:bCs/>
          <w:szCs w:val="20"/>
          <w:lang w:val="pt-BR"/>
        </w:rPr>
        <w:t>parágrafo</w:t>
      </w:r>
      <w:r w:rsidR="00D7650B" w:rsidRPr="00D5464D">
        <w:rPr>
          <w:rFonts w:eastAsia="Cambria" w:cs="Times New Roman"/>
          <w:bCs/>
          <w:szCs w:val="20"/>
          <w:lang w:val="pt-BR"/>
        </w:rPr>
        <w:t xml:space="preserve"> 487</w:t>
      </w:r>
      <w:r w:rsidRPr="00D5464D">
        <w:rPr>
          <w:rFonts w:eastAsia="Cambria" w:cs="Times New Roman"/>
          <w:bCs/>
          <w:szCs w:val="20"/>
          <w:lang w:val="pt-BR"/>
        </w:rPr>
        <w:t xml:space="preserve"> da </w:t>
      </w:r>
      <w:r w:rsidR="00702C18" w:rsidRPr="00D5464D">
        <w:rPr>
          <w:rFonts w:eastAsia="Cambria" w:cs="Times New Roman"/>
          <w:bCs/>
          <w:szCs w:val="20"/>
          <w:lang w:val="pt-BR"/>
        </w:rPr>
        <w:t xml:space="preserve">presente </w:t>
      </w:r>
      <w:r w:rsidR="002C330E" w:rsidRPr="00D5464D">
        <w:rPr>
          <w:rFonts w:eastAsia="Cambria" w:cs="Times New Roman"/>
          <w:bCs/>
          <w:szCs w:val="20"/>
          <w:lang w:val="pt-BR"/>
        </w:rPr>
        <w:t>Sentença</w:t>
      </w:r>
      <w:r w:rsidR="00702C18" w:rsidRPr="00D5464D">
        <w:rPr>
          <w:rFonts w:eastAsia="Cambria" w:cs="Times New Roman"/>
          <w:bCs/>
          <w:szCs w:val="20"/>
          <w:lang w:val="pt-BR"/>
        </w:rPr>
        <w:t xml:space="preserve">, </w:t>
      </w:r>
      <w:r w:rsidR="00C91CB1" w:rsidRPr="00D5464D">
        <w:rPr>
          <w:rFonts w:eastAsia="Cambria" w:cs="Times New Roman"/>
          <w:bCs/>
          <w:szCs w:val="20"/>
          <w:lang w:val="pt-BR"/>
        </w:rPr>
        <w:t>a título de</w:t>
      </w:r>
      <w:r w:rsidR="00702C18" w:rsidRPr="00D5464D">
        <w:rPr>
          <w:rFonts w:eastAsia="Cambria" w:cs="Times New Roman"/>
          <w:bCs/>
          <w:szCs w:val="20"/>
          <w:lang w:val="pt-BR"/>
        </w:rPr>
        <w:t xml:space="preserve"> </w:t>
      </w:r>
      <w:r w:rsidR="002C330E" w:rsidRPr="00D5464D">
        <w:rPr>
          <w:rFonts w:eastAsia="Cambria" w:cs="Times New Roman"/>
          <w:bCs/>
          <w:szCs w:val="20"/>
          <w:lang w:val="pt-BR"/>
        </w:rPr>
        <w:t>indenizações</w:t>
      </w:r>
      <w:r w:rsidR="00702C18" w:rsidRPr="00D5464D">
        <w:rPr>
          <w:rFonts w:eastAsia="Cambria" w:cs="Times New Roman"/>
          <w:bCs/>
          <w:szCs w:val="20"/>
          <w:lang w:val="pt-BR"/>
        </w:rPr>
        <w:t xml:space="preserve"> por</w:t>
      </w:r>
      <w:r w:rsidRPr="00D5464D">
        <w:rPr>
          <w:rFonts w:eastAsia="Cambria" w:cs="Times New Roman"/>
          <w:bCs/>
          <w:szCs w:val="20"/>
          <w:lang w:val="pt-BR"/>
        </w:rPr>
        <w:t xml:space="preserve"> dano</w:t>
      </w:r>
      <w:r w:rsidR="00702C18" w:rsidRPr="00D5464D">
        <w:rPr>
          <w:rFonts w:eastAsia="Cambria" w:cs="Times New Roman"/>
          <w:bCs/>
          <w:szCs w:val="20"/>
          <w:lang w:val="pt-BR"/>
        </w:rPr>
        <w:t xml:space="preserve"> </w:t>
      </w:r>
      <w:r w:rsidR="002C330E" w:rsidRPr="00D5464D">
        <w:rPr>
          <w:rFonts w:eastAsia="Cambria" w:cs="Times New Roman"/>
          <w:bCs/>
          <w:szCs w:val="20"/>
          <w:lang w:val="pt-BR"/>
        </w:rPr>
        <w:t>imaterial</w:t>
      </w:r>
      <w:r w:rsidR="002A0C2B" w:rsidRPr="00D5464D">
        <w:rPr>
          <w:rFonts w:eastAsia="Cambria" w:cs="Times New Roman"/>
          <w:bCs/>
          <w:szCs w:val="20"/>
          <w:lang w:val="pt-BR"/>
        </w:rPr>
        <w:t xml:space="preserve"> e </w:t>
      </w:r>
      <w:r w:rsidR="00D6373E" w:rsidRPr="00D5464D">
        <w:rPr>
          <w:rFonts w:eastAsia="Cambria" w:cs="Times New Roman"/>
          <w:bCs/>
          <w:szCs w:val="20"/>
          <w:lang w:val="pt-BR"/>
        </w:rPr>
        <w:t xml:space="preserve">de </w:t>
      </w:r>
      <w:r w:rsidR="00A1358C" w:rsidRPr="00D5464D">
        <w:rPr>
          <w:rFonts w:eastAsia="Cambria" w:cs="Times New Roman"/>
          <w:bCs/>
          <w:szCs w:val="20"/>
          <w:lang w:val="pt-BR"/>
        </w:rPr>
        <w:t xml:space="preserve">reembolso </w:t>
      </w:r>
      <w:r w:rsidR="00702C18" w:rsidRPr="00D5464D">
        <w:rPr>
          <w:rFonts w:eastAsia="Cambria" w:cs="Times New Roman"/>
          <w:bCs/>
          <w:szCs w:val="20"/>
          <w:lang w:val="pt-BR"/>
        </w:rPr>
        <w:t xml:space="preserve">de </w:t>
      </w:r>
      <w:r w:rsidRPr="00D5464D">
        <w:rPr>
          <w:rFonts w:eastAsia="Cambria" w:cs="Times New Roman"/>
          <w:bCs/>
          <w:szCs w:val="20"/>
          <w:lang w:val="pt-BR"/>
        </w:rPr>
        <w:t>custas</w:t>
      </w:r>
      <w:r w:rsidR="00E045D9" w:rsidRPr="00D5464D">
        <w:rPr>
          <w:rFonts w:eastAsia="Cambria" w:cs="Times New Roman"/>
          <w:bCs/>
          <w:szCs w:val="20"/>
          <w:lang w:val="pt-BR"/>
        </w:rPr>
        <w:t xml:space="preserve"> e </w:t>
      </w:r>
      <w:r w:rsidR="00702C18" w:rsidRPr="00D5464D">
        <w:rPr>
          <w:rFonts w:eastAsia="Cambria" w:cs="Times New Roman"/>
          <w:bCs/>
          <w:szCs w:val="20"/>
          <w:lang w:val="pt-BR"/>
        </w:rPr>
        <w:t>gastos,</w:t>
      </w:r>
      <w:r w:rsidR="00E045D9" w:rsidRPr="00D5464D">
        <w:rPr>
          <w:rFonts w:eastAsia="Cambria" w:cs="Times New Roman"/>
          <w:bCs/>
          <w:szCs w:val="20"/>
          <w:lang w:val="pt-BR"/>
        </w:rPr>
        <w:t xml:space="preserve"> nos termo</w:t>
      </w:r>
      <w:r w:rsidR="00702C18" w:rsidRPr="00D5464D">
        <w:rPr>
          <w:rFonts w:eastAsia="Cambria" w:cs="Times New Roman"/>
          <w:bCs/>
          <w:szCs w:val="20"/>
          <w:lang w:val="pt-BR"/>
        </w:rPr>
        <w:t xml:space="preserve">s </w:t>
      </w:r>
      <w:r w:rsidRPr="00D5464D">
        <w:rPr>
          <w:rFonts w:eastAsia="Cambria" w:cs="Times New Roman"/>
          <w:bCs/>
          <w:szCs w:val="20"/>
          <w:lang w:val="pt-BR"/>
        </w:rPr>
        <w:t xml:space="preserve">do </w:t>
      </w:r>
      <w:r w:rsidR="002C330E" w:rsidRPr="00D5464D">
        <w:rPr>
          <w:rFonts w:eastAsia="Cambria" w:cs="Times New Roman"/>
          <w:bCs/>
          <w:szCs w:val="20"/>
          <w:lang w:val="pt-BR"/>
        </w:rPr>
        <w:t>parágrafo</w:t>
      </w:r>
      <w:r w:rsidR="00702C18" w:rsidRPr="00D5464D">
        <w:rPr>
          <w:rFonts w:eastAsia="Cambria" w:cs="Times New Roman"/>
          <w:bCs/>
          <w:szCs w:val="20"/>
          <w:lang w:val="pt-BR"/>
        </w:rPr>
        <w:t xml:space="preserve"> </w:t>
      </w:r>
      <w:r w:rsidR="007A3164" w:rsidRPr="00D5464D">
        <w:rPr>
          <w:rFonts w:eastAsia="Cambria" w:cs="Times New Roman"/>
          <w:bCs/>
          <w:szCs w:val="20"/>
          <w:lang w:val="pt-BR"/>
        </w:rPr>
        <w:t>49</w:t>
      </w:r>
      <w:r w:rsidR="00C1211D" w:rsidRPr="00D5464D">
        <w:rPr>
          <w:rFonts w:eastAsia="Cambria" w:cs="Times New Roman"/>
          <w:bCs/>
          <w:szCs w:val="20"/>
          <w:lang w:val="pt-BR"/>
        </w:rPr>
        <w:t>5</w:t>
      </w:r>
      <w:r w:rsidRPr="00D5464D">
        <w:rPr>
          <w:rFonts w:eastAsia="Cambria" w:cs="Times New Roman"/>
          <w:bCs/>
          <w:szCs w:val="20"/>
          <w:lang w:val="pt-BR"/>
        </w:rPr>
        <w:t xml:space="preserve"> da </w:t>
      </w:r>
      <w:r w:rsidR="00702C18" w:rsidRPr="00D5464D">
        <w:rPr>
          <w:rFonts w:eastAsia="Cambria" w:cs="Times New Roman"/>
          <w:bCs/>
          <w:szCs w:val="20"/>
          <w:lang w:val="pt-BR"/>
        </w:rPr>
        <w:t xml:space="preserve">presente </w:t>
      </w:r>
      <w:r w:rsidR="002C330E" w:rsidRPr="00D5464D">
        <w:rPr>
          <w:rFonts w:eastAsia="Cambria" w:cs="Times New Roman"/>
          <w:bCs/>
          <w:szCs w:val="20"/>
          <w:lang w:val="pt-BR"/>
        </w:rPr>
        <w:t>Sentença</w:t>
      </w:r>
      <w:r w:rsidR="00702C18" w:rsidRPr="00D5464D">
        <w:rPr>
          <w:rFonts w:eastAsia="Cambria" w:cs="Times New Roman"/>
          <w:bCs/>
          <w:szCs w:val="20"/>
          <w:lang w:val="pt-BR"/>
        </w:rPr>
        <w:t>.</w:t>
      </w:r>
    </w:p>
    <w:p w14:paraId="2F1659BD" w14:textId="77777777" w:rsidR="00E94DEB" w:rsidRPr="00D5464D" w:rsidRDefault="00E94DEB" w:rsidP="00E94DEB">
      <w:pPr>
        <w:tabs>
          <w:tab w:val="clear" w:pos="4419"/>
          <w:tab w:val="clear" w:pos="8838"/>
          <w:tab w:val="left" w:pos="720"/>
        </w:tabs>
        <w:ind w:right="-90"/>
        <w:contextualSpacing/>
        <w:jc w:val="both"/>
        <w:rPr>
          <w:rFonts w:eastAsia="Cambria" w:cs="Times New Roman"/>
          <w:bCs/>
          <w:szCs w:val="20"/>
          <w:lang w:val="pt-BR"/>
        </w:rPr>
      </w:pPr>
    </w:p>
    <w:p w14:paraId="7E312619" w14:textId="0360FBDA" w:rsidR="00702C18" w:rsidRPr="00D5464D" w:rsidRDefault="00470ADC" w:rsidP="00F306D7">
      <w:pPr>
        <w:numPr>
          <w:ilvl w:val="0"/>
          <w:numId w:val="14"/>
        </w:numPr>
        <w:tabs>
          <w:tab w:val="clear" w:pos="4419"/>
          <w:tab w:val="clear" w:pos="8838"/>
          <w:tab w:val="left" w:pos="720"/>
        </w:tabs>
        <w:ind w:right="-90"/>
        <w:contextualSpacing/>
        <w:jc w:val="both"/>
        <w:rPr>
          <w:rFonts w:eastAsia="Cambria" w:cs="Times New Roman"/>
          <w:bCs/>
          <w:szCs w:val="20"/>
          <w:lang w:val="pt-BR"/>
        </w:rPr>
      </w:pPr>
      <w:r w:rsidRPr="00D5464D">
        <w:rPr>
          <w:rFonts w:eastAsia="MS Mincho" w:cs="Times New Roman"/>
          <w:bCs/>
          <w:szCs w:val="20"/>
          <w:lang w:val="pt-BR" w:bidi="en-US"/>
        </w:rPr>
        <w:t xml:space="preserve">O </w:t>
      </w:r>
      <w:r w:rsidR="00702C18" w:rsidRPr="00D5464D">
        <w:rPr>
          <w:rFonts w:eastAsia="Cambria" w:cs="Times New Roman"/>
          <w:bCs/>
          <w:szCs w:val="20"/>
          <w:lang w:val="pt-BR"/>
        </w:rPr>
        <w:t>Estado</w:t>
      </w:r>
      <w:r w:rsidR="00A1358C" w:rsidRPr="00D5464D">
        <w:rPr>
          <w:rFonts w:eastAsia="Cambria" w:cs="Times New Roman"/>
          <w:bCs/>
          <w:szCs w:val="20"/>
          <w:lang w:val="pt-BR"/>
        </w:rPr>
        <w:t xml:space="preserve"> deve</w:t>
      </w:r>
      <w:r w:rsidR="00702C18" w:rsidRPr="00D5464D">
        <w:rPr>
          <w:rFonts w:eastAsia="Cambria" w:cs="Times New Roman"/>
          <w:bCs/>
          <w:szCs w:val="20"/>
          <w:lang w:val="pt-BR"/>
        </w:rPr>
        <w:t xml:space="preserve">, dentro </w:t>
      </w:r>
      <w:r w:rsidRPr="00D5464D">
        <w:rPr>
          <w:rFonts w:eastAsia="Cambria" w:cs="Times New Roman"/>
          <w:bCs/>
          <w:szCs w:val="20"/>
          <w:lang w:val="pt-BR"/>
        </w:rPr>
        <w:t>do</w:t>
      </w:r>
      <w:r w:rsidR="002C330E" w:rsidRPr="00D5464D">
        <w:rPr>
          <w:rFonts w:eastAsia="Cambria" w:cs="Times New Roman"/>
          <w:bCs/>
          <w:szCs w:val="20"/>
          <w:lang w:val="pt-BR"/>
        </w:rPr>
        <w:t xml:space="preserve"> prazo</w:t>
      </w:r>
      <w:r w:rsidR="00702C18" w:rsidRPr="00D5464D">
        <w:rPr>
          <w:rFonts w:eastAsia="Cambria" w:cs="Times New Roman"/>
          <w:bCs/>
          <w:szCs w:val="20"/>
          <w:lang w:val="pt-BR"/>
        </w:rPr>
        <w:t xml:space="preserve"> de</w:t>
      </w:r>
      <w:r w:rsidR="00E045D9" w:rsidRPr="00D5464D">
        <w:rPr>
          <w:rFonts w:eastAsia="Cambria" w:cs="Times New Roman"/>
          <w:bCs/>
          <w:szCs w:val="20"/>
          <w:lang w:val="pt-BR"/>
        </w:rPr>
        <w:t xml:space="preserve"> um </w:t>
      </w:r>
      <w:r w:rsidRPr="00D5464D">
        <w:rPr>
          <w:rFonts w:eastAsia="Cambria" w:cs="Times New Roman"/>
          <w:bCs/>
          <w:szCs w:val="20"/>
          <w:lang w:val="pt-BR"/>
        </w:rPr>
        <w:t xml:space="preserve">ano </w:t>
      </w:r>
      <w:r w:rsidR="00702C18" w:rsidRPr="00D5464D">
        <w:rPr>
          <w:rFonts w:eastAsia="Cambria" w:cs="Times New Roman"/>
          <w:bCs/>
          <w:szCs w:val="20"/>
          <w:lang w:val="pt-BR"/>
        </w:rPr>
        <w:t>contado a partir</w:t>
      </w:r>
      <w:r w:rsidRPr="00D5464D">
        <w:rPr>
          <w:rFonts w:eastAsia="Cambria" w:cs="Times New Roman"/>
          <w:bCs/>
          <w:szCs w:val="20"/>
          <w:lang w:val="pt-BR"/>
        </w:rPr>
        <w:t xml:space="preserve"> da </w:t>
      </w:r>
      <w:r w:rsidR="00702C18" w:rsidRPr="00D5464D">
        <w:rPr>
          <w:rFonts w:eastAsia="Cambria" w:cs="Times New Roman"/>
          <w:bCs/>
          <w:szCs w:val="20"/>
          <w:lang w:val="pt-BR"/>
        </w:rPr>
        <w:t>notifica</w:t>
      </w:r>
      <w:r w:rsidRPr="00D5464D">
        <w:rPr>
          <w:rFonts w:eastAsia="Cambria" w:cs="Times New Roman"/>
          <w:bCs/>
          <w:szCs w:val="20"/>
          <w:lang w:val="pt-BR"/>
        </w:rPr>
        <w:t xml:space="preserve">ção desta </w:t>
      </w:r>
      <w:r w:rsidR="002C330E" w:rsidRPr="00D5464D">
        <w:rPr>
          <w:rFonts w:eastAsia="Cambria" w:cs="Times New Roman"/>
          <w:bCs/>
          <w:szCs w:val="20"/>
          <w:lang w:val="pt-BR"/>
        </w:rPr>
        <w:t>Sentença</w:t>
      </w:r>
      <w:r w:rsidR="00702C18" w:rsidRPr="00D5464D">
        <w:rPr>
          <w:rFonts w:eastAsia="Cambria" w:cs="Times New Roman"/>
          <w:bCs/>
          <w:szCs w:val="20"/>
          <w:lang w:val="pt-BR"/>
        </w:rPr>
        <w:t xml:space="preserve">, </w:t>
      </w:r>
      <w:r w:rsidR="00D6373E" w:rsidRPr="00D5464D">
        <w:rPr>
          <w:rFonts w:eastAsia="Cambria" w:cs="Times New Roman"/>
          <w:bCs/>
          <w:szCs w:val="20"/>
          <w:lang w:val="pt-BR"/>
        </w:rPr>
        <w:t>a</w:t>
      </w:r>
      <w:r w:rsidR="002C330E" w:rsidRPr="00D5464D">
        <w:rPr>
          <w:rFonts w:eastAsia="Cambria" w:cs="Times New Roman"/>
          <w:bCs/>
          <w:szCs w:val="20"/>
          <w:lang w:val="pt-BR"/>
        </w:rPr>
        <w:t>pres</w:t>
      </w:r>
      <w:r w:rsidR="00D6373E" w:rsidRPr="00D5464D">
        <w:rPr>
          <w:rFonts w:eastAsia="Cambria" w:cs="Times New Roman"/>
          <w:bCs/>
          <w:szCs w:val="20"/>
          <w:lang w:val="pt-BR"/>
        </w:rPr>
        <w:t>en</w:t>
      </w:r>
      <w:r w:rsidR="002C330E" w:rsidRPr="00D5464D">
        <w:rPr>
          <w:rFonts w:eastAsia="Cambria" w:cs="Times New Roman"/>
          <w:bCs/>
          <w:szCs w:val="20"/>
          <w:lang w:val="pt-BR"/>
        </w:rPr>
        <w:t>tar</w:t>
      </w:r>
      <w:r w:rsidRPr="00D5464D">
        <w:rPr>
          <w:rFonts w:eastAsia="Cambria" w:cs="Times New Roman"/>
          <w:bCs/>
          <w:szCs w:val="20"/>
          <w:lang w:val="pt-BR"/>
        </w:rPr>
        <w:t xml:space="preserve"> ao </w:t>
      </w:r>
      <w:r w:rsidR="00702C18" w:rsidRPr="00D5464D">
        <w:rPr>
          <w:rFonts w:eastAsia="Cambria" w:cs="Times New Roman"/>
          <w:bCs/>
          <w:szCs w:val="20"/>
          <w:lang w:val="pt-BR"/>
        </w:rPr>
        <w:t>Tribunal</w:t>
      </w:r>
      <w:r w:rsidR="00E045D9" w:rsidRPr="00D5464D">
        <w:rPr>
          <w:rFonts w:eastAsia="Cambria" w:cs="Times New Roman"/>
          <w:bCs/>
          <w:szCs w:val="20"/>
          <w:lang w:val="pt-BR"/>
        </w:rPr>
        <w:t xml:space="preserve"> um </w:t>
      </w:r>
      <w:r w:rsidR="00350187" w:rsidRPr="00D5464D">
        <w:rPr>
          <w:rFonts w:eastAsia="Cambria" w:cs="Times New Roman"/>
          <w:bCs/>
          <w:szCs w:val="20"/>
          <w:lang w:val="pt-BR"/>
        </w:rPr>
        <w:t>relatório</w:t>
      </w:r>
      <w:r w:rsidR="002C330E" w:rsidRPr="00D5464D">
        <w:rPr>
          <w:rFonts w:eastAsia="Cambria" w:cs="Times New Roman"/>
          <w:bCs/>
          <w:szCs w:val="20"/>
          <w:lang w:val="pt-BR"/>
        </w:rPr>
        <w:t xml:space="preserve"> </w:t>
      </w:r>
      <w:r w:rsidR="00702C18" w:rsidRPr="00D5464D">
        <w:rPr>
          <w:rFonts w:eastAsia="Cambria" w:cs="Times New Roman"/>
          <w:bCs/>
          <w:szCs w:val="20"/>
          <w:lang w:val="pt-BR"/>
        </w:rPr>
        <w:t>sobre</w:t>
      </w:r>
      <w:r w:rsidR="002C330E" w:rsidRPr="00D5464D">
        <w:rPr>
          <w:rFonts w:eastAsia="Cambria" w:cs="Times New Roman"/>
          <w:bCs/>
          <w:szCs w:val="20"/>
          <w:lang w:val="pt-BR"/>
        </w:rPr>
        <w:t xml:space="preserve"> as </w:t>
      </w:r>
      <w:r w:rsidR="00702C18" w:rsidRPr="00D5464D">
        <w:rPr>
          <w:rFonts w:eastAsia="Cambria" w:cs="Times New Roman"/>
          <w:bCs/>
          <w:szCs w:val="20"/>
          <w:lang w:val="pt-BR"/>
        </w:rPr>
        <w:t xml:space="preserve">medidas </w:t>
      </w:r>
      <w:r w:rsidRPr="00D5464D">
        <w:rPr>
          <w:rFonts w:eastAsia="Cambria" w:cs="Times New Roman"/>
          <w:bCs/>
          <w:szCs w:val="20"/>
          <w:lang w:val="pt-BR"/>
        </w:rPr>
        <w:t>adot</w:t>
      </w:r>
      <w:r w:rsidR="00702C18" w:rsidRPr="00D5464D">
        <w:rPr>
          <w:rFonts w:eastAsia="Cambria" w:cs="Times New Roman"/>
          <w:bCs/>
          <w:szCs w:val="20"/>
          <w:lang w:val="pt-BR"/>
        </w:rPr>
        <w:t xml:space="preserve">adas para </w:t>
      </w:r>
      <w:r w:rsidR="00D40EC3" w:rsidRPr="00D5464D">
        <w:rPr>
          <w:rFonts w:eastAsia="Cambria" w:cs="Times New Roman"/>
          <w:bCs/>
          <w:szCs w:val="20"/>
          <w:lang w:val="pt-BR"/>
        </w:rPr>
        <w:t xml:space="preserve">dar </w:t>
      </w:r>
      <w:r w:rsidR="00A1358C" w:rsidRPr="00D5464D">
        <w:rPr>
          <w:rFonts w:eastAsia="Cambria" w:cs="Times New Roman"/>
          <w:bCs/>
          <w:szCs w:val="20"/>
          <w:lang w:val="pt-BR"/>
        </w:rPr>
        <w:t>cumpri</w:t>
      </w:r>
      <w:r w:rsidR="00D40EC3" w:rsidRPr="00D5464D">
        <w:rPr>
          <w:rFonts w:eastAsia="Cambria" w:cs="Times New Roman"/>
          <w:bCs/>
          <w:szCs w:val="20"/>
          <w:lang w:val="pt-BR"/>
        </w:rPr>
        <w:t>mento</w:t>
      </w:r>
      <w:r w:rsidR="002C330E" w:rsidRPr="00D5464D">
        <w:rPr>
          <w:rFonts w:eastAsia="Cambria" w:cs="Times New Roman"/>
          <w:bCs/>
          <w:szCs w:val="20"/>
          <w:lang w:val="pt-BR"/>
        </w:rPr>
        <w:t xml:space="preserve"> </w:t>
      </w:r>
      <w:r w:rsidR="00D40EC3" w:rsidRPr="00D5464D">
        <w:rPr>
          <w:rFonts w:eastAsia="Cambria" w:cs="Times New Roman"/>
          <w:bCs/>
          <w:szCs w:val="20"/>
          <w:lang w:val="pt-BR"/>
        </w:rPr>
        <w:t xml:space="preserve">à </w:t>
      </w:r>
      <w:r w:rsidR="002C330E" w:rsidRPr="00D5464D">
        <w:rPr>
          <w:rFonts w:eastAsia="Cambria" w:cs="Times New Roman"/>
          <w:bCs/>
          <w:szCs w:val="20"/>
          <w:lang w:val="pt-BR"/>
        </w:rPr>
        <w:t>mesm</w:t>
      </w:r>
      <w:r w:rsidR="00702C18" w:rsidRPr="00D5464D">
        <w:rPr>
          <w:rFonts w:eastAsia="Cambria" w:cs="Times New Roman"/>
          <w:bCs/>
          <w:szCs w:val="20"/>
          <w:lang w:val="pt-BR"/>
        </w:rPr>
        <w:t>a,</w:t>
      </w:r>
      <w:r w:rsidR="002C330E" w:rsidRPr="00D5464D">
        <w:rPr>
          <w:rFonts w:eastAsia="Cambria" w:cs="Times New Roman"/>
          <w:bCs/>
          <w:szCs w:val="20"/>
          <w:lang w:val="pt-BR"/>
        </w:rPr>
        <w:t xml:space="preserve"> sem prejuízo</w:t>
      </w:r>
      <w:r w:rsidRPr="00D5464D">
        <w:rPr>
          <w:rFonts w:eastAsia="Cambria" w:cs="Times New Roman"/>
          <w:bCs/>
          <w:szCs w:val="20"/>
          <w:lang w:val="pt-BR"/>
        </w:rPr>
        <w:t xml:space="preserve"> do estabelecid</w:t>
      </w:r>
      <w:r w:rsidR="00702C18" w:rsidRPr="00D5464D">
        <w:rPr>
          <w:rFonts w:eastAsia="Cambria" w:cs="Times New Roman"/>
          <w:bCs/>
          <w:szCs w:val="20"/>
          <w:lang w:val="pt-BR"/>
        </w:rPr>
        <w:t>o</w:t>
      </w:r>
      <w:r w:rsidR="00E045D9" w:rsidRPr="00D5464D">
        <w:rPr>
          <w:rFonts w:eastAsia="Cambria" w:cs="Times New Roman"/>
          <w:bCs/>
          <w:szCs w:val="20"/>
          <w:lang w:val="pt-BR"/>
        </w:rPr>
        <w:t xml:space="preserve"> no </w:t>
      </w:r>
      <w:r w:rsidR="002C330E" w:rsidRPr="00D5464D">
        <w:rPr>
          <w:rFonts w:eastAsia="Cambria" w:cs="Times New Roman"/>
          <w:bCs/>
          <w:szCs w:val="20"/>
          <w:lang w:val="pt-BR"/>
        </w:rPr>
        <w:t>parágrafo</w:t>
      </w:r>
      <w:r w:rsidR="00702C18" w:rsidRPr="00D5464D">
        <w:rPr>
          <w:rFonts w:eastAsia="Cambria" w:cs="Times New Roman"/>
          <w:bCs/>
          <w:szCs w:val="20"/>
          <w:lang w:val="pt-BR"/>
        </w:rPr>
        <w:t xml:space="preserve"> </w:t>
      </w:r>
      <w:r w:rsidR="00C861A8" w:rsidRPr="00D5464D">
        <w:rPr>
          <w:rFonts w:eastAsia="Cambria" w:cs="Times New Roman"/>
          <w:bCs/>
          <w:szCs w:val="20"/>
          <w:lang w:val="pt-BR"/>
        </w:rPr>
        <w:t>45</w:t>
      </w:r>
      <w:r w:rsidR="007A3720" w:rsidRPr="00D5464D">
        <w:rPr>
          <w:rFonts w:eastAsia="Cambria" w:cs="Times New Roman"/>
          <w:bCs/>
          <w:szCs w:val="20"/>
          <w:lang w:val="pt-BR"/>
        </w:rPr>
        <w:t>1</w:t>
      </w:r>
      <w:r w:rsidRPr="00D5464D">
        <w:rPr>
          <w:rFonts w:eastAsia="Cambria" w:cs="Times New Roman"/>
          <w:bCs/>
          <w:szCs w:val="20"/>
          <w:lang w:val="pt-BR"/>
        </w:rPr>
        <w:t xml:space="preserve"> da </w:t>
      </w:r>
      <w:r w:rsidR="00702C18" w:rsidRPr="00D5464D">
        <w:rPr>
          <w:rFonts w:eastAsia="Cambria" w:cs="Times New Roman"/>
          <w:bCs/>
          <w:szCs w:val="20"/>
          <w:lang w:val="pt-BR"/>
        </w:rPr>
        <w:t xml:space="preserve">presente </w:t>
      </w:r>
      <w:r w:rsidR="002C330E" w:rsidRPr="00D5464D">
        <w:rPr>
          <w:rFonts w:eastAsia="Cambria" w:cs="Times New Roman"/>
          <w:bCs/>
          <w:szCs w:val="20"/>
          <w:lang w:val="pt-BR"/>
        </w:rPr>
        <w:t>Sentença</w:t>
      </w:r>
      <w:r w:rsidR="00702C18" w:rsidRPr="00D5464D">
        <w:rPr>
          <w:rFonts w:eastAsia="Cambria" w:cs="Times New Roman"/>
          <w:bCs/>
          <w:szCs w:val="20"/>
          <w:lang w:val="pt-BR"/>
        </w:rPr>
        <w:t>.</w:t>
      </w:r>
    </w:p>
    <w:p w14:paraId="766891DE" w14:textId="77777777" w:rsidR="00E94DEB" w:rsidRPr="00D5464D" w:rsidRDefault="00E94DEB" w:rsidP="00E94DEB">
      <w:pPr>
        <w:tabs>
          <w:tab w:val="clear" w:pos="4419"/>
          <w:tab w:val="clear" w:pos="8838"/>
          <w:tab w:val="left" w:pos="720"/>
        </w:tabs>
        <w:ind w:right="-90"/>
        <w:contextualSpacing/>
        <w:jc w:val="both"/>
        <w:rPr>
          <w:rFonts w:eastAsia="Cambria" w:cs="Times New Roman"/>
          <w:bCs/>
          <w:szCs w:val="20"/>
          <w:lang w:val="pt-BR"/>
        </w:rPr>
      </w:pPr>
    </w:p>
    <w:p w14:paraId="21C7B6BD" w14:textId="22D8D971" w:rsidR="00702C18" w:rsidRPr="00D5464D" w:rsidRDefault="00470ADC" w:rsidP="00F306D7">
      <w:pPr>
        <w:numPr>
          <w:ilvl w:val="0"/>
          <w:numId w:val="14"/>
        </w:numPr>
        <w:tabs>
          <w:tab w:val="clear" w:pos="4419"/>
          <w:tab w:val="clear" w:pos="8838"/>
          <w:tab w:val="left" w:pos="720"/>
        </w:tabs>
        <w:ind w:right="-90"/>
        <w:contextualSpacing/>
        <w:jc w:val="both"/>
        <w:rPr>
          <w:rFonts w:eastAsia="Cambria" w:cs="Times New Roman"/>
          <w:bCs/>
          <w:szCs w:val="20"/>
          <w:lang w:val="pt-BR"/>
        </w:rPr>
      </w:pPr>
      <w:r w:rsidRPr="00D5464D">
        <w:rPr>
          <w:rFonts w:eastAsia="MS Mincho" w:cs="Times New Roman"/>
          <w:bCs/>
          <w:szCs w:val="20"/>
          <w:lang w:val="pt-BR" w:bidi="en-US"/>
        </w:rPr>
        <w:t xml:space="preserve">A </w:t>
      </w:r>
      <w:r w:rsidR="00702C18" w:rsidRPr="00D5464D">
        <w:rPr>
          <w:rFonts w:eastAsia="Cambria" w:cs="Times New Roman"/>
          <w:bCs/>
          <w:szCs w:val="20"/>
          <w:lang w:val="pt-BR"/>
        </w:rPr>
        <w:t xml:space="preserve">Corte </w:t>
      </w:r>
      <w:r w:rsidR="00E045D9" w:rsidRPr="00D5464D">
        <w:rPr>
          <w:rFonts w:eastAsia="Cambria" w:cs="Times New Roman"/>
          <w:bCs/>
          <w:szCs w:val="20"/>
          <w:lang w:val="pt-BR"/>
        </w:rPr>
        <w:t>supervisionar</w:t>
      </w:r>
      <w:r w:rsidR="00702C18" w:rsidRPr="00D5464D">
        <w:rPr>
          <w:rFonts w:eastAsia="Cambria" w:cs="Times New Roman"/>
          <w:bCs/>
          <w:szCs w:val="20"/>
          <w:lang w:val="pt-BR"/>
        </w:rPr>
        <w:t>á</w:t>
      </w:r>
      <w:r w:rsidRPr="00D5464D">
        <w:rPr>
          <w:rFonts w:eastAsia="Cambria" w:cs="Times New Roman"/>
          <w:bCs/>
          <w:szCs w:val="20"/>
          <w:lang w:val="pt-BR"/>
        </w:rPr>
        <w:t xml:space="preserve"> o cumprimento</w:t>
      </w:r>
      <w:r w:rsidR="00702C18" w:rsidRPr="00D5464D">
        <w:rPr>
          <w:rFonts w:eastAsia="Cambria" w:cs="Times New Roman"/>
          <w:bCs/>
          <w:szCs w:val="20"/>
          <w:lang w:val="pt-BR"/>
        </w:rPr>
        <w:t xml:space="preserve"> </w:t>
      </w:r>
      <w:r w:rsidR="00D6373E" w:rsidRPr="00D5464D">
        <w:rPr>
          <w:rFonts w:eastAsia="Cambria" w:cs="Times New Roman"/>
          <w:bCs/>
          <w:szCs w:val="20"/>
          <w:lang w:val="pt-BR"/>
        </w:rPr>
        <w:t>integral</w:t>
      </w:r>
      <w:r w:rsidRPr="00D5464D">
        <w:rPr>
          <w:rFonts w:eastAsia="Cambria" w:cs="Times New Roman"/>
          <w:bCs/>
          <w:szCs w:val="20"/>
          <w:lang w:val="pt-BR"/>
        </w:rPr>
        <w:t xml:space="preserve"> desta </w:t>
      </w:r>
      <w:r w:rsidR="002C330E" w:rsidRPr="00D5464D">
        <w:rPr>
          <w:rFonts w:eastAsia="Cambria" w:cs="Times New Roman"/>
          <w:bCs/>
          <w:szCs w:val="20"/>
          <w:lang w:val="pt-BR"/>
        </w:rPr>
        <w:t>Sentença</w:t>
      </w:r>
      <w:r w:rsidR="00702C18" w:rsidRPr="00D5464D">
        <w:rPr>
          <w:rFonts w:eastAsia="Cambria" w:cs="Times New Roman"/>
          <w:bCs/>
          <w:szCs w:val="20"/>
          <w:lang w:val="pt-BR"/>
        </w:rPr>
        <w:t>,</w:t>
      </w:r>
      <w:r w:rsidRPr="00D5464D">
        <w:rPr>
          <w:rFonts w:eastAsia="Cambria" w:cs="Times New Roman"/>
          <w:bCs/>
          <w:szCs w:val="20"/>
          <w:lang w:val="pt-BR"/>
        </w:rPr>
        <w:t xml:space="preserve"> </w:t>
      </w:r>
      <w:r w:rsidR="00D6373E" w:rsidRPr="00D5464D">
        <w:rPr>
          <w:rFonts w:eastAsia="Cambria" w:cs="Times New Roman"/>
          <w:bCs/>
          <w:szCs w:val="20"/>
          <w:lang w:val="pt-BR"/>
        </w:rPr>
        <w:t xml:space="preserve">no </w:t>
      </w:r>
      <w:r w:rsidRPr="00D5464D">
        <w:rPr>
          <w:rFonts w:eastAsia="Cambria" w:cs="Times New Roman"/>
          <w:bCs/>
          <w:szCs w:val="20"/>
          <w:lang w:val="pt-BR"/>
        </w:rPr>
        <w:t>exercício</w:t>
      </w:r>
      <w:r w:rsidR="00702C18" w:rsidRPr="00D5464D">
        <w:rPr>
          <w:rFonts w:eastAsia="Cambria" w:cs="Times New Roman"/>
          <w:bCs/>
          <w:szCs w:val="20"/>
          <w:lang w:val="pt-BR"/>
        </w:rPr>
        <w:t xml:space="preserve"> de </w:t>
      </w:r>
      <w:r w:rsidR="00230C71" w:rsidRPr="00D5464D">
        <w:rPr>
          <w:rFonts w:eastAsia="Cambria" w:cs="Times New Roman"/>
          <w:bCs/>
          <w:szCs w:val="20"/>
          <w:lang w:val="pt-BR"/>
        </w:rPr>
        <w:t>suas atribuições</w:t>
      </w:r>
      <w:r w:rsidR="00E045D9" w:rsidRPr="00D5464D">
        <w:rPr>
          <w:rFonts w:eastAsia="Cambria" w:cs="Times New Roman"/>
          <w:bCs/>
          <w:szCs w:val="20"/>
          <w:lang w:val="pt-BR"/>
        </w:rPr>
        <w:t xml:space="preserve"> e </w:t>
      </w:r>
      <w:r w:rsidR="006A6BE3" w:rsidRPr="00D5464D">
        <w:rPr>
          <w:rFonts w:eastAsia="Cambria" w:cs="Times New Roman"/>
          <w:bCs/>
          <w:szCs w:val="20"/>
          <w:lang w:val="pt-BR"/>
        </w:rPr>
        <w:t>no</w:t>
      </w:r>
      <w:r w:rsidR="00FF1290" w:rsidRPr="00D5464D">
        <w:rPr>
          <w:rFonts w:eastAsia="Cambria" w:cs="Times New Roman"/>
          <w:bCs/>
          <w:szCs w:val="20"/>
          <w:lang w:val="pt-BR"/>
        </w:rPr>
        <w:t xml:space="preserve"> </w:t>
      </w:r>
      <w:r w:rsidRPr="00D5464D">
        <w:rPr>
          <w:rFonts w:eastAsia="Cambria" w:cs="Times New Roman"/>
          <w:bCs/>
          <w:szCs w:val="20"/>
          <w:lang w:val="pt-BR"/>
        </w:rPr>
        <w:t>cumprimento</w:t>
      </w:r>
      <w:r w:rsidR="00702C18" w:rsidRPr="00D5464D">
        <w:rPr>
          <w:rFonts w:eastAsia="Cambria" w:cs="Times New Roman"/>
          <w:bCs/>
          <w:szCs w:val="20"/>
          <w:lang w:val="pt-BR"/>
        </w:rPr>
        <w:t xml:space="preserve"> de </w:t>
      </w:r>
      <w:r w:rsidR="00A1358C" w:rsidRPr="00D5464D">
        <w:rPr>
          <w:rFonts w:eastAsia="Cambria" w:cs="Times New Roman"/>
          <w:bCs/>
          <w:szCs w:val="20"/>
          <w:lang w:val="pt-BR"/>
        </w:rPr>
        <w:t>seus deveres</w:t>
      </w:r>
      <w:r w:rsidR="00D6373E" w:rsidRPr="00D5464D">
        <w:rPr>
          <w:rFonts w:eastAsia="Cambria" w:cs="Times New Roman"/>
          <w:bCs/>
          <w:szCs w:val="20"/>
          <w:lang w:val="pt-BR"/>
        </w:rPr>
        <w:t>, em conformidade com a</w:t>
      </w:r>
      <w:r w:rsidRPr="00D5464D">
        <w:rPr>
          <w:rFonts w:eastAsia="Cambria" w:cs="Times New Roman"/>
          <w:bCs/>
          <w:szCs w:val="20"/>
          <w:lang w:val="pt-BR"/>
        </w:rPr>
        <w:t xml:space="preserve"> </w:t>
      </w:r>
      <w:r w:rsidR="00702C18" w:rsidRPr="00D5464D">
        <w:rPr>
          <w:rFonts w:eastAsia="Cambria" w:cs="Times New Roman"/>
          <w:bCs/>
          <w:szCs w:val="20"/>
          <w:lang w:val="pt-BR"/>
        </w:rPr>
        <w:t>Conven</w:t>
      </w:r>
      <w:r w:rsidRPr="00D5464D">
        <w:rPr>
          <w:rFonts w:eastAsia="Cambria" w:cs="Times New Roman"/>
          <w:bCs/>
          <w:szCs w:val="20"/>
          <w:lang w:val="pt-BR"/>
        </w:rPr>
        <w:t>ção</w:t>
      </w:r>
      <w:r w:rsidR="00702C18" w:rsidRPr="00D5464D">
        <w:rPr>
          <w:rFonts w:eastAsia="Cambria" w:cs="Times New Roman"/>
          <w:bCs/>
          <w:szCs w:val="20"/>
          <w:lang w:val="pt-BR"/>
        </w:rPr>
        <w:t xml:space="preserve"> Americana sobre </w:t>
      </w:r>
      <w:r w:rsidRPr="00D5464D">
        <w:rPr>
          <w:rFonts w:eastAsia="Cambria" w:cs="Times New Roman"/>
          <w:bCs/>
          <w:szCs w:val="20"/>
          <w:lang w:val="pt-BR"/>
        </w:rPr>
        <w:t>Direito</w:t>
      </w:r>
      <w:r w:rsidR="00702C18" w:rsidRPr="00D5464D">
        <w:rPr>
          <w:rFonts w:eastAsia="Cambria" w:cs="Times New Roman"/>
          <w:bCs/>
          <w:szCs w:val="20"/>
          <w:lang w:val="pt-BR"/>
        </w:rPr>
        <w:t>s Humanos</w:t>
      </w:r>
      <w:r w:rsidR="002A0C2B" w:rsidRPr="00D5464D">
        <w:rPr>
          <w:rFonts w:eastAsia="Cambria" w:cs="Times New Roman"/>
          <w:bCs/>
          <w:szCs w:val="20"/>
          <w:lang w:val="pt-BR"/>
        </w:rPr>
        <w:t xml:space="preserve"> e </w:t>
      </w:r>
      <w:r w:rsidR="00702C18" w:rsidRPr="00D5464D">
        <w:rPr>
          <w:rFonts w:eastAsia="Cambria" w:cs="Times New Roman"/>
          <w:bCs/>
          <w:szCs w:val="20"/>
          <w:lang w:val="pt-BR"/>
        </w:rPr>
        <w:t xml:space="preserve">dará por </w:t>
      </w:r>
      <w:r w:rsidR="00350187" w:rsidRPr="00D5464D">
        <w:rPr>
          <w:rFonts w:eastAsia="Cambria" w:cs="Times New Roman"/>
          <w:bCs/>
          <w:szCs w:val="20"/>
          <w:lang w:val="pt-BR"/>
        </w:rPr>
        <w:t xml:space="preserve">concluído </w:t>
      </w:r>
      <w:r w:rsidRPr="00D5464D">
        <w:rPr>
          <w:rFonts w:eastAsia="Cambria" w:cs="Times New Roman"/>
          <w:bCs/>
          <w:szCs w:val="20"/>
          <w:lang w:val="pt-BR"/>
        </w:rPr>
        <w:t xml:space="preserve">o </w:t>
      </w:r>
      <w:r w:rsidR="00702C18" w:rsidRPr="00D5464D">
        <w:rPr>
          <w:rFonts w:eastAsia="Cambria" w:cs="Times New Roman"/>
          <w:bCs/>
          <w:szCs w:val="20"/>
          <w:lang w:val="pt-BR"/>
        </w:rPr>
        <w:t>presente caso</w:t>
      </w:r>
      <w:r w:rsidR="00E045D9" w:rsidRPr="00D5464D">
        <w:rPr>
          <w:rFonts w:eastAsia="Cambria" w:cs="Times New Roman"/>
          <w:bCs/>
          <w:szCs w:val="20"/>
          <w:lang w:val="pt-BR"/>
        </w:rPr>
        <w:t xml:space="preserve"> uma </w:t>
      </w:r>
      <w:r w:rsidR="00702C18" w:rsidRPr="00D5464D">
        <w:rPr>
          <w:rFonts w:eastAsia="Cambria" w:cs="Times New Roman"/>
          <w:bCs/>
          <w:szCs w:val="20"/>
          <w:lang w:val="pt-BR"/>
        </w:rPr>
        <w:t>vez que</w:t>
      </w:r>
      <w:r w:rsidRPr="00D5464D">
        <w:rPr>
          <w:rFonts w:eastAsia="Cambria" w:cs="Times New Roman"/>
          <w:bCs/>
          <w:szCs w:val="20"/>
          <w:lang w:val="pt-BR"/>
        </w:rPr>
        <w:t xml:space="preserve"> o </w:t>
      </w:r>
      <w:r w:rsidR="00702C18" w:rsidRPr="00D5464D">
        <w:rPr>
          <w:rFonts w:eastAsia="Cambria" w:cs="Times New Roman"/>
          <w:bCs/>
          <w:szCs w:val="20"/>
          <w:lang w:val="pt-BR"/>
        </w:rPr>
        <w:t>Estado</w:t>
      </w:r>
      <w:r w:rsidR="00E045D9" w:rsidRPr="00D5464D">
        <w:rPr>
          <w:rFonts w:eastAsia="Cambria" w:cs="Times New Roman"/>
          <w:bCs/>
          <w:szCs w:val="20"/>
          <w:lang w:val="pt-BR"/>
        </w:rPr>
        <w:t xml:space="preserve"> </w:t>
      </w:r>
      <w:r w:rsidR="00C91CB1" w:rsidRPr="00D5464D">
        <w:rPr>
          <w:rFonts w:eastAsia="Cambria" w:cs="Times New Roman"/>
          <w:bCs/>
          <w:szCs w:val="20"/>
          <w:lang w:val="pt-BR"/>
        </w:rPr>
        <w:t>tenha dado</w:t>
      </w:r>
      <w:r w:rsidR="00702C18" w:rsidRPr="00D5464D">
        <w:rPr>
          <w:rFonts w:eastAsia="Cambria" w:cs="Times New Roman"/>
          <w:bCs/>
          <w:szCs w:val="20"/>
          <w:lang w:val="pt-BR"/>
        </w:rPr>
        <w:t xml:space="preserve"> </w:t>
      </w:r>
      <w:r w:rsidR="00D6373E" w:rsidRPr="00D5464D">
        <w:rPr>
          <w:rFonts w:eastAsia="Cambria" w:cs="Times New Roman"/>
          <w:bCs/>
          <w:szCs w:val="20"/>
          <w:lang w:val="pt-BR"/>
        </w:rPr>
        <w:t xml:space="preserve">total </w:t>
      </w:r>
      <w:r w:rsidRPr="00D5464D">
        <w:rPr>
          <w:rFonts w:eastAsia="Cambria" w:cs="Times New Roman"/>
          <w:bCs/>
          <w:szCs w:val="20"/>
          <w:lang w:val="pt-BR"/>
        </w:rPr>
        <w:t>cumprimento ao dispost</w:t>
      </w:r>
      <w:r w:rsidR="00702C18" w:rsidRPr="00D5464D">
        <w:rPr>
          <w:rFonts w:eastAsia="Cambria" w:cs="Times New Roman"/>
          <w:bCs/>
          <w:szCs w:val="20"/>
          <w:lang w:val="pt-BR"/>
        </w:rPr>
        <w:t>o</w:t>
      </w:r>
      <w:r w:rsidR="00E045D9" w:rsidRPr="00D5464D">
        <w:rPr>
          <w:rFonts w:eastAsia="Cambria" w:cs="Times New Roman"/>
          <w:bCs/>
          <w:szCs w:val="20"/>
          <w:lang w:val="pt-BR"/>
        </w:rPr>
        <w:t xml:space="preserve"> na </w:t>
      </w:r>
      <w:r w:rsidR="002C330E" w:rsidRPr="00D5464D">
        <w:rPr>
          <w:rFonts w:eastAsia="Cambria" w:cs="Times New Roman"/>
          <w:bCs/>
          <w:szCs w:val="20"/>
          <w:lang w:val="pt-BR"/>
        </w:rPr>
        <w:t>mesm</w:t>
      </w:r>
      <w:r w:rsidR="00702C18" w:rsidRPr="00D5464D">
        <w:rPr>
          <w:rFonts w:eastAsia="Cambria" w:cs="Times New Roman"/>
          <w:bCs/>
          <w:szCs w:val="20"/>
          <w:lang w:val="pt-BR"/>
        </w:rPr>
        <w:t>a.</w:t>
      </w:r>
    </w:p>
    <w:p w14:paraId="05BA457C" w14:textId="77777777" w:rsidR="00702C18" w:rsidRPr="00D5464D" w:rsidRDefault="00702C18" w:rsidP="00702C18">
      <w:pPr>
        <w:tabs>
          <w:tab w:val="left" w:pos="720"/>
        </w:tabs>
        <w:ind w:right="-90"/>
        <w:contextualSpacing/>
        <w:rPr>
          <w:rFonts w:eastAsia="Cambria" w:cs="Times New Roman"/>
          <w:bCs/>
          <w:szCs w:val="20"/>
          <w:lang w:val="pt-BR"/>
        </w:rPr>
      </w:pPr>
    </w:p>
    <w:p w14:paraId="56084AD6" w14:textId="0589B27A" w:rsidR="00702C18" w:rsidRPr="00D5464D" w:rsidRDefault="00D6373E" w:rsidP="00702C18">
      <w:pPr>
        <w:jc w:val="both"/>
        <w:rPr>
          <w:rFonts w:eastAsia="Cambria" w:cs="Times New Roman"/>
          <w:lang w:val="pt-BR"/>
        </w:rPr>
      </w:pPr>
      <w:r w:rsidRPr="00D5464D">
        <w:rPr>
          <w:rFonts w:eastAsia="Cambria" w:cs="Times New Roman"/>
          <w:lang w:val="pt-BR"/>
        </w:rPr>
        <w:t>O</w:t>
      </w:r>
      <w:r w:rsidR="00702C18" w:rsidRPr="00D5464D">
        <w:rPr>
          <w:rFonts w:eastAsia="Cambria" w:cs="Times New Roman"/>
          <w:lang w:val="pt-BR"/>
        </w:rPr>
        <w:t xml:space="preserve">s </w:t>
      </w:r>
      <w:r w:rsidR="002C330E" w:rsidRPr="00D5464D">
        <w:rPr>
          <w:rFonts w:eastAsia="Cambria" w:cs="Times New Roman"/>
          <w:lang w:val="pt-BR"/>
        </w:rPr>
        <w:t>Juízes</w:t>
      </w:r>
      <w:r w:rsidR="00702C18" w:rsidRPr="00D5464D">
        <w:rPr>
          <w:rFonts w:eastAsia="Cambria" w:cs="Times New Roman"/>
          <w:lang w:val="pt-BR"/>
        </w:rPr>
        <w:t xml:space="preserve"> Eduardo Ferre</w:t>
      </w:r>
      <w:r w:rsidR="00584AC9" w:rsidRPr="00D5464D">
        <w:rPr>
          <w:rFonts w:eastAsia="Cambria" w:cs="Times New Roman"/>
          <w:lang w:val="pt-BR"/>
        </w:rPr>
        <w:t>r Mac-Gregor Poisot</w:t>
      </w:r>
      <w:r w:rsidR="00E045D9" w:rsidRPr="00D5464D">
        <w:rPr>
          <w:rFonts w:eastAsia="Cambria" w:cs="Times New Roman"/>
          <w:lang w:val="pt-BR"/>
        </w:rPr>
        <w:t xml:space="preserve"> e </w:t>
      </w:r>
      <w:r w:rsidR="00584AC9" w:rsidRPr="00D5464D">
        <w:rPr>
          <w:rFonts w:eastAsia="Cambria" w:cs="Times New Roman"/>
          <w:lang w:val="pt-BR"/>
        </w:rPr>
        <w:t>Eduardo Vi</w:t>
      </w:r>
      <w:r w:rsidR="00702C18" w:rsidRPr="00D5464D">
        <w:rPr>
          <w:rFonts w:eastAsia="Cambria" w:cs="Times New Roman"/>
          <w:lang w:val="pt-BR"/>
        </w:rPr>
        <w:t xml:space="preserve">o Grossi </w:t>
      </w:r>
      <w:r w:rsidR="00A1358C" w:rsidRPr="00D5464D">
        <w:rPr>
          <w:rFonts w:eastAsia="Cambria" w:cs="Times New Roman"/>
          <w:lang w:val="pt-BR"/>
        </w:rPr>
        <w:t>deram</w:t>
      </w:r>
      <w:r w:rsidR="00702C18" w:rsidRPr="00D5464D">
        <w:rPr>
          <w:rFonts w:eastAsia="Cambria" w:cs="Times New Roman"/>
          <w:lang w:val="pt-BR"/>
        </w:rPr>
        <w:t xml:space="preserve"> a </w:t>
      </w:r>
      <w:r w:rsidR="00470ADC" w:rsidRPr="00D5464D">
        <w:rPr>
          <w:rFonts w:eastAsia="Cambria" w:cs="Times New Roman"/>
          <w:lang w:val="pt-BR"/>
        </w:rPr>
        <w:t xml:space="preserve">conhecer à </w:t>
      </w:r>
      <w:r w:rsidR="00702C18" w:rsidRPr="00D5464D">
        <w:rPr>
          <w:rFonts w:eastAsia="Cambria" w:cs="Times New Roman"/>
          <w:lang w:val="pt-BR"/>
        </w:rPr>
        <w:t>Corte s</w:t>
      </w:r>
      <w:r w:rsidRPr="00D5464D">
        <w:rPr>
          <w:rFonts w:eastAsia="Cambria" w:cs="Times New Roman"/>
          <w:lang w:val="pt-BR"/>
        </w:rPr>
        <w:t>e</w:t>
      </w:r>
      <w:r w:rsidR="00702C18" w:rsidRPr="00D5464D">
        <w:rPr>
          <w:rFonts w:eastAsia="Cambria" w:cs="Times New Roman"/>
          <w:lang w:val="pt-BR"/>
        </w:rPr>
        <w:t xml:space="preserve">us votos </w:t>
      </w:r>
      <w:r w:rsidR="002C330E" w:rsidRPr="00D5464D">
        <w:rPr>
          <w:rFonts w:eastAsia="Cambria" w:cs="Times New Roman"/>
          <w:lang w:val="pt-BR"/>
        </w:rPr>
        <w:t>individuais</w:t>
      </w:r>
      <w:r w:rsidR="00702C18" w:rsidRPr="00D5464D">
        <w:rPr>
          <w:rFonts w:eastAsia="Cambria" w:cs="Times New Roman"/>
          <w:lang w:val="pt-BR"/>
        </w:rPr>
        <w:t xml:space="preserve"> </w:t>
      </w:r>
      <w:r w:rsidR="00470ADC" w:rsidRPr="00D5464D">
        <w:rPr>
          <w:rFonts w:eastAsia="Cambria" w:cs="Times New Roman"/>
          <w:lang w:val="pt-BR"/>
        </w:rPr>
        <w:t>concordante</w:t>
      </w:r>
      <w:r w:rsidR="00702C18" w:rsidRPr="00D5464D">
        <w:rPr>
          <w:rFonts w:eastAsia="Cambria" w:cs="Times New Roman"/>
          <w:lang w:val="pt-BR"/>
        </w:rPr>
        <w:t>s</w:t>
      </w:r>
      <w:r w:rsidR="00A1358C" w:rsidRPr="00D5464D">
        <w:rPr>
          <w:rFonts w:eastAsia="Cambria" w:cs="Times New Roman"/>
          <w:lang w:val="pt-BR"/>
        </w:rPr>
        <w:t xml:space="preserve">. O </w:t>
      </w:r>
      <w:r w:rsidR="002C330E" w:rsidRPr="00D5464D">
        <w:rPr>
          <w:rFonts w:eastAsia="Cambria" w:cs="Times New Roman"/>
          <w:lang w:val="pt-BR"/>
        </w:rPr>
        <w:t>Juiz</w:t>
      </w:r>
      <w:r w:rsidR="00702C18" w:rsidRPr="00D5464D">
        <w:rPr>
          <w:rFonts w:eastAsia="Cambria" w:cs="Times New Roman"/>
          <w:lang w:val="pt-BR"/>
        </w:rPr>
        <w:t xml:space="preserve"> Humberto </w:t>
      </w:r>
      <w:r w:rsidR="00E42F61" w:rsidRPr="00D5464D">
        <w:rPr>
          <w:rFonts w:eastAsia="Cambria" w:cs="Times New Roman"/>
          <w:lang w:val="pt-BR"/>
        </w:rPr>
        <w:t xml:space="preserve">Antônio </w:t>
      </w:r>
      <w:r w:rsidR="00702C18" w:rsidRPr="00D5464D">
        <w:rPr>
          <w:rFonts w:eastAsia="Cambria" w:cs="Times New Roman"/>
          <w:lang w:val="pt-BR"/>
        </w:rPr>
        <w:t>Sierra Porto</w:t>
      </w:r>
      <w:r w:rsidR="00470ADC" w:rsidRPr="00D5464D">
        <w:rPr>
          <w:rFonts w:eastAsia="Cambria" w:cs="Times New Roman"/>
          <w:lang w:val="pt-BR"/>
        </w:rPr>
        <w:t xml:space="preserve"> deu </w:t>
      </w:r>
      <w:r w:rsidR="00702C18" w:rsidRPr="00D5464D">
        <w:rPr>
          <w:rFonts w:eastAsia="Cambria" w:cs="Times New Roman"/>
          <w:lang w:val="pt-BR"/>
        </w:rPr>
        <w:t xml:space="preserve">a </w:t>
      </w:r>
      <w:r w:rsidR="00470ADC" w:rsidRPr="00D5464D">
        <w:rPr>
          <w:rFonts w:eastAsia="Cambria" w:cs="Times New Roman"/>
          <w:lang w:val="pt-BR"/>
        </w:rPr>
        <w:t xml:space="preserve">conhecer à </w:t>
      </w:r>
      <w:r w:rsidR="00702C18" w:rsidRPr="00D5464D">
        <w:rPr>
          <w:rFonts w:eastAsia="Cambria" w:cs="Times New Roman"/>
          <w:lang w:val="pt-BR"/>
        </w:rPr>
        <w:t xml:space="preserve">Corte </w:t>
      </w:r>
      <w:r w:rsidR="00EB1CE9" w:rsidRPr="00D5464D">
        <w:rPr>
          <w:rFonts w:eastAsia="Cambria" w:cs="Times New Roman"/>
          <w:lang w:val="pt-BR"/>
        </w:rPr>
        <w:t>seu voto</w:t>
      </w:r>
      <w:r w:rsidR="00702C18" w:rsidRPr="00D5464D">
        <w:rPr>
          <w:rFonts w:eastAsia="Cambria" w:cs="Times New Roman"/>
          <w:lang w:val="pt-BR"/>
        </w:rPr>
        <w:t xml:space="preserve"> individual parcialmente </w:t>
      </w:r>
      <w:r w:rsidR="00230C71" w:rsidRPr="00D5464D">
        <w:rPr>
          <w:rFonts w:eastAsia="Cambria" w:cs="Times New Roman"/>
          <w:lang w:val="pt-BR"/>
        </w:rPr>
        <w:t>dissidente</w:t>
      </w:r>
      <w:r w:rsidR="00702C18" w:rsidRPr="00D5464D">
        <w:rPr>
          <w:rFonts w:eastAsia="Cambria" w:cs="Times New Roman"/>
          <w:lang w:val="pt-BR"/>
        </w:rPr>
        <w:t>.</w:t>
      </w:r>
    </w:p>
    <w:p w14:paraId="172BD4B4" w14:textId="77777777" w:rsidR="00702C18" w:rsidRPr="00D5464D" w:rsidRDefault="00702C18" w:rsidP="00702C18">
      <w:pPr>
        <w:tabs>
          <w:tab w:val="left" w:pos="720"/>
        </w:tabs>
        <w:ind w:right="-90"/>
        <w:contextualSpacing/>
        <w:rPr>
          <w:rFonts w:eastAsia="Cambria" w:cs="Times New Roman"/>
          <w:bCs/>
          <w:szCs w:val="20"/>
          <w:lang w:val="pt-BR"/>
        </w:rPr>
      </w:pPr>
    </w:p>
    <w:p w14:paraId="078BB285" w14:textId="5C21D77E" w:rsidR="00702C18" w:rsidRPr="00D5464D" w:rsidRDefault="002C330E" w:rsidP="00702C18">
      <w:pPr>
        <w:tabs>
          <w:tab w:val="left" w:pos="720"/>
        </w:tabs>
        <w:ind w:right="-90"/>
        <w:contextualSpacing/>
        <w:jc w:val="both"/>
        <w:rPr>
          <w:rFonts w:eastAsia="Cambria" w:cs="Times New Roman"/>
          <w:bCs/>
          <w:szCs w:val="20"/>
          <w:lang w:val="pt-BR"/>
        </w:rPr>
      </w:pPr>
      <w:r w:rsidRPr="00D5464D">
        <w:rPr>
          <w:rFonts w:eastAsia="Cambria" w:cs="Times New Roman"/>
          <w:bCs/>
          <w:szCs w:val="20"/>
          <w:lang w:val="pt-BR"/>
        </w:rPr>
        <w:t>Redigida</w:t>
      </w:r>
      <w:r w:rsidR="00470ADC" w:rsidRPr="00D5464D">
        <w:rPr>
          <w:rFonts w:eastAsia="Cambria" w:cs="Times New Roman"/>
          <w:bCs/>
          <w:szCs w:val="20"/>
          <w:lang w:val="pt-BR"/>
        </w:rPr>
        <w:t xml:space="preserve"> em </w:t>
      </w:r>
      <w:r w:rsidR="00EB1CE9" w:rsidRPr="00D5464D">
        <w:rPr>
          <w:rFonts w:eastAsia="Cambria" w:cs="Times New Roman"/>
          <w:bCs/>
          <w:szCs w:val="20"/>
          <w:lang w:val="pt-BR"/>
        </w:rPr>
        <w:t xml:space="preserve">espanhol </w:t>
      </w:r>
      <w:r w:rsidR="00E045D9" w:rsidRPr="00D5464D">
        <w:rPr>
          <w:rFonts w:eastAsia="Cambria" w:cs="Times New Roman"/>
          <w:bCs/>
          <w:szCs w:val="20"/>
          <w:lang w:val="pt-BR"/>
        </w:rPr>
        <w:t xml:space="preserve">e </w:t>
      </w:r>
      <w:r w:rsidR="00470ADC" w:rsidRPr="00D5464D">
        <w:rPr>
          <w:rFonts w:eastAsia="Cambria" w:cs="Times New Roman"/>
          <w:bCs/>
          <w:szCs w:val="20"/>
          <w:lang w:val="pt-BR"/>
        </w:rPr>
        <w:t xml:space="preserve">em </w:t>
      </w:r>
      <w:r w:rsidRPr="00D5464D">
        <w:rPr>
          <w:rFonts w:eastAsia="Cambria" w:cs="Times New Roman"/>
          <w:bCs/>
          <w:szCs w:val="20"/>
          <w:lang w:val="pt-BR"/>
        </w:rPr>
        <w:t>português</w:t>
      </w:r>
      <w:r w:rsidR="00702C18" w:rsidRPr="00D5464D">
        <w:rPr>
          <w:rFonts w:eastAsia="Cambria" w:cs="Times New Roman"/>
          <w:bCs/>
          <w:szCs w:val="20"/>
          <w:lang w:val="pt-BR"/>
        </w:rPr>
        <w:t xml:space="preserve">, </w:t>
      </w:r>
      <w:r w:rsidRPr="00D5464D">
        <w:rPr>
          <w:rFonts w:eastAsia="Cambria" w:cs="Times New Roman"/>
          <w:bCs/>
          <w:szCs w:val="20"/>
          <w:lang w:val="pt-BR"/>
        </w:rPr>
        <w:t>fazendo</w:t>
      </w:r>
      <w:r w:rsidR="00737270" w:rsidRPr="00D5464D">
        <w:rPr>
          <w:rFonts w:eastAsia="Cambria" w:cs="Times New Roman"/>
          <w:bCs/>
          <w:szCs w:val="20"/>
          <w:lang w:val="pt-BR"/>
        </w:rPr>
        <w:t xml:space="preserve"> fé </w:t>
      </w:r>
      <w:r w:rsidR="00470ADC" w:rsidRPr="00D5464D">
        <w:rPr>
          <w:rFonts w:eastAsia="Cambria" w:cs="Times New Roman"/>
          <w:bCs/>
          <w:szCs w:val="20"/>
          <w:lang w:val="pt-BR"/>
        </w:rPr>
        <w:t xml:space="preserve">o </w:t>
      </w:r>
      <w:r w:rsidR="00702C18" w:rsidRPr="00D5464D">
        <w:rPr>
          <w:rFonts w:eastAsia="Cambria" w:cs="Times New Roman"/>
          <w:bCs/>
          <w:szCs w:val="20"/>
          <w:lang w:val="pt-BR"/>
        </w:rPr>
        <w:t>texto</w:t>
      </w:r>
      <w:r w:rsidR="00470ADC" w:rsidRPr="00D5464D">
        <w:rPr>
          <w:rFonts w:eastAsia="Cambria" w:cs="Times New Roman"/>
          <w:bCs/>
          <w:szCs w:val="20"/>
          <w:lang w:val="pt-BR"/>
        </w:rPr>
        <w:t xml:space="preserve"> em espanhol</w:t>
      </w:r>
      <w:r w:rsidR="00702C18" w:rsidRPr="00D5464D">
        <w:rPr>
          <w:rFonts w:eastAsia="Cambria" w:cs="Times New Roman"/>
          <w:bCs/>
          <w:szCs w:val="20"/>
          <w:lang w:val="pt-BR"/>
        </w:rPr>
        <w:t>,</w:t>
      </w:r>
      <w:r w:rsidR="00470ADC" w:rsidRPr="00D5464D">
        <w:rPr>
          <w:rFonts w:eastAsia="Cambria" w:cs="Times New Roman"/>
          <w:bCs/>
          <w:szCs w:val="20"/>
          <w:lang w:val="pt-BR"/>
        </w:rPr>
        <w:t xml:space="preserve"> em </w:t>
      </w:r>
      <w:r w:rsidR="00702C18" w:rsidRPr="00D5464D">
        <w:rPr>
          <w:rFonts w:eastAsia="Cambria" w:cs="Times New Roman"/>
          <w:bCs/>
          <w:szCs w:val="20"/>
          <w:lang w:val="pt-BR"/>
        </w:rPr>
        <w:t>San José, Costa Rica,</w:t>
      </w:r>
      <w:r w:rsidR="00470ADC" w:rsidRPr="00D5464D">
        <w:rPr>
          <w:rFonts w:eastAsia="Cambria" w:cs="Times New Roman"/>
          <w:bCs/>
          <w:szCs w:val="20"/>
          <w:lang w:val="pt-BR"/>
        </w:rPr>
        <w:t xml:space="preserve"> </w:t>
      </w:r>
      <w:r w:rsidR="00D6373E" w:rsidRPr="00D5464D">
        <w:rPr>
          <w:rFonts w:eastAsia="Cambria" w:cs="Times New Roman"/>
          <w:bCs/>
          <w:szCs w:val="20"/>
          <w:lang w:val="pt-BR"/>
        </w:rPr>
        <w:t>n</w:t>
      </w:r>
      <w:r w:rsidR="00470ADC" w:rsidRPr="00D5464D">
        <w:rPr>
          <w:rFonts w:eastAsia="Cambria" w:cs="Times New Roman"/>
          <w:bCs/>
          <w:szCs w:val="20"/>
          <w:lang w:val="pt-BR"/>
        </w:rPr>
        <w:t>o dia</w:t>
      </w:r>
      <w:r w:rsidR="00702C18" w:rsidRPr="00D5464D">
        <w:rPr>
          <w:rFonts w:eastAsia="Cambria" w:cs="Times New Roman"/>
          <w:bCs/>
          <w:szCs w:val="20"/>
          <w:lang w:val="pt-BR"/>
        </w:rPr>
        <w:t xml:space="preserve"> 20 de </w:t>
      </w:r>
      <w:r w:rsidRPr="00D5464D">
        <w:rPr>
          <w:rFonts w:eastAsia="Cambria" w:cs="Times New Roman"/>
          <w:bCs/>
          <w:szCs w:val="20"/>
          <w:lang w:val="pt-BR"/>
        </w:rPr>
        <w:t>outubro</w:t>
      </w:r>
      <w:r w:rsidR="00702C18" w:rsidRPr="00D5464D">
        <w:rPr>
          <w:rFonts w:eastAsia="Cambria" w:cs="Times New Roman"/>
          <w:bCs/>
          <w:szCs w:val="20"/>
          <w:lang w:val="pt-BR"/>
        </w:rPr>
        <w:t xml:space="preserve"> de 2016.</w:t>
      </w:r>
    </w:p>
    <w:p w14:paraId="0ABECCD5" w14:textId="2C940262" w:rsidR="001156BC" w:rsidRPr="00D5464D" w:rsidRDefault="001156BC" w:rsidP="00F74CCF">
      <w:pPr>
        <w:tabs>
          <w:tab w:val="left" w:pos="720"/>
        </w:tabs>
        <w:ind w:right="-90"/>
        <w:contextualSpacing/>
        <w:rPr>
          <w:bCs/>
          <w:szCs w:val="20"/>
          <w:lang w:val="pt-BR"/>
        </w:rPr>
      </w:pPr>
    </w:p>
    <w:p w14:paraId="471FEA9B" w14:textId="77777777" w:rsidR="00FB456C" w:rsidRPr="00D5464D" w:rsidRDefault="00FB456C" w:rsidP="00F74CCF">
      <w:pPr>
        <w:tabs>
          <w:tab w:val="left" w:pos="720"/>
        </w:tabs>
        <w:ind w:right="-90"/>
        <w:contextualSpacing/>
        <w:rPr>
          <w:bCs/>
          <w:szCs w:val="20"/>
          <w:lang w:val="pt-BR"/>
        </w:rPr>
      </w:pPr>
    </w:p>
    <w:p w14:paraId="2E782A28" w14:textId="77777777" w:rsidR="00FB456C" w:rsidRPr="00D5464D" w:rsidRDefault="00FB456C" w:rsidP="00F74CCF">
      <w:pPr>
        <w:tabs>
          <w:tab w:val="left" w:pos="720"/>
        </w:tabs>
        <w:ind w:right="-90"/>
        <w:contextualSpacing/>
        <w:rPr>
          <w:bCs/>
          <w:szCs w:val="20"/>
          <w:lang w:val="pt-BR"/>
        </w:rPr>
      </w:pPr>
    </w:p>
    <w:p w14:paraId="52F5FEF2" w14:textId="77777777" w:rsidR="00FB456C" w:rsidRPr="00D5464D" w:rsidRDefault="00FB456C" w:rsidP="00F74CCF">
      <w:pPr>
        <w:tabs>
          <w:tab w:val="left" w:pos="720"/>
        </w:tabs>
        <w:ind w:right="-90"/>
        <w:contextualSpacing/>
        <w:rPr>
          <w:bCs/>
          <w:szCs w:val="20"/>
          <w:lang w:val="pt-BR"/>
        </w:rPr>
      </w:pPr>
    </w:p>
    <w:p w14:paraId="42426F84" w14:textId="77777777" w:rsidR="00FB456C" w:rsidRPr="00D5464D" w:rsidRDefault="00FB456C" w:rsidP="00F74CCF">
      <w:pPr>
        <w:tabs>
          <w:tab w:val="left" w:pos="720"/>
        </w:tabs>
        <w:ind w:right="-90"/>
        <w:contextualSpacing/>
        <w:rPr>
          <w:bCs/>
          <w:szCs w:val="20"/>
          <w:lang w:val="pt-BR"/>
        </w:rPr>
      </w:pPr>
    </w:p>
    <w:p w14:paraId="09BD007C" w14:textId="77777777" w:rsidR="00FB456C" w:rsidRPr="00D5464D" w:rsidRDefault="00FB456C" w:rsidP="00F74CCF">
      <w:pPr>
        <w:tabs>
          <w:tab w:val="left" w:pos="720"/>
        </w:tabs>
        <w:ind w:right="-90"/>
        <w:contextualSpacing/>
        <w:rPr>
          <w:bCs/>
          <w:szCs w:val="20"/>
          <w:lang w:val="pt-BR"/>
        </w:rPr>
      </w:pPr>
    </w:p>
    <w:p w14:paraId="32C84D3F" w14:textId="77777777" w:rsidR="00FB456C" w:rsidRPr="00D5464D" w:rsidRDefault="00FB456C" w:rsidP="00F74CCF">
      <w:pPr>
        <w:tabs>
          <w:tab w:val="left" w:pos="720"/>
        </w:tabs>
        <w:ind w:right="-90"/>
        <w:contextualSpacing/>
        <w:rPr>
          <w:bCs/>
          <w:szCs w:val="20"/>
          <w:lang w:val="pt-BR"/>
        </w:rPr>
      </w:pPr>
    </w:p>
    <w:p w14:paraId="49482634" w14:textId="77777777" w:rsidR="00FB456C" w:rsidRPr="00D5464D" w:rsidRDefault="00FB456C" w:rsidP="00F74CCF">
      <w:pPr>
        <w:tabs>
          <w:tab w:val="left" w:pos="720"/>
        </w:tabs>
        <w:ind w:right="-90"/>
        <w:contextualSpacing/>
        <w:rPr>
          <w:bCs/>
          <w:szCs w:val="20"/>
          <w:lang w:val="pt-BR"/>
        </w:rPr>
      </w:pPr>
    </w:p>
    <w:p w14:paraId="6FEE7B32" w14:textId="77777777" w:rsidR="00FB456C" w:rsidRPr="00D5464D" w:rsidRDefault="00FB456C" w:rsidP="00F74CCF">
      <w:pPr>
        <w:tabs>
          <w:tab w:val="left" w:pos="720"/>
        </w:tabs>
        <w:ind w:right="-90"/>
        <w:contextualSpacing/>
        <w:rPr>
          <w:bCs/>
          <w:szCs w:val="20"/>
          <w:lang w:val="pt-BR"/>
        </w:rPr>
      </w:pPr>
    </w:p>
    <w:p w14:paraId="2AF912FE" w14:textId="77777777" w:rsidR="00FB456C" w:rsidRPr="00D5464D" w:rsidRDefault="00FB456C" w:rsidP="00F74CCF">
      <w:pPr>
        <w:tabs>
          <w:tab w:val="left" w:pos="720"/>
        </w:tabs>
        <w:ind w:right="-90"/>
        <w:contextualSpacing/>
        <w:rPr>
          <w:bCs/>
          <w:szCs w:val="20"/>
          <w:lang w:val="pt-BR"/>
        </w:rPr>
      </w:pPr>
    </w:p>
    <w:p w14:paraId="305A6E6B" w14:textId="77777777" w:rsidR="00FB456C" w:rsidRPr="00D5464D" w:rsidRDefault="00FB456C" w:rsidP="00F74CCF">
      <w:pPr>
        <w:tabs>
          <w:tab w:val="left" w:pos="720"/>
        </w:tabs>
        <w:ind w:right="-90"/>
        <w:contextualSpacing/>
        <w:rPr>
          <w:bCs/>
          <w:szCs w:val="20"/>
          <w:lang w:val="pt-BR"/>
        </w:rPr>
      </w:pPr>
    </w:p>
    <w:p w14:paraId="184AD80A" w14:textId="77777777" w:rsidR="00FB456C" w:rsidRPr="00D5464D" w:rsidRDefault="00FB456C" w:rsidP="00F74CCF">
      <w:pPr>
        <w:tabs>
          <w:tab w:val="left" w:pos="720"/>
        </w:tabs>
        <w:ind w:right="-90"/>
        <w:contextualSpacing/>
        <w:rPr>
          <w:bCs/>
          <w:szCs w:val="20"/>
          <w:lang w:val="pt-BR"/>
        </w:rPr>
      </w:pPr>
    </w:p>
    <w:p w14:paraId="0A4EB0F5" w14:textId="77777777" w:rsidR="00FB456C" w:rsidRPr="00D5464D" w:rsidRDefault="00FB456C" w:rsidP="00F74CCF">
      <w:pPr>
        <w:tabs>
          <w:tab w:val="left" w:pos="720"/>
        </w:tabs>
        <w:ind w:right="-90"/>
        <w:contextualSpacing/>
        <w:rPr>
          <w:bCs/>
          <w:szCs w:val="20"/>
          <w:lang w:val="pt-BR"/>
        </w:rPr>
      </w:pPr>
    </w:p>
    <w:p w14:paraId="07E758C3" w14:textId="77777777" w:rsidR="00FB456C" w:rsidRPr="00D5464D" w:rsidRDefault="00FB456C" w:rsidP="00F74CCF">
      <w:pPr>
        <w:tabs>
          <w:tab w:val="left" w:pos="720"/>
        </w:tabs>
        <w:ind w:right="-90"/>
        <w:contextualSpacing/>
        <w:rPr>
          <w:bCs/>
          <w:szCs w:val="20"/>
          <w:lang w:val="pt-BR"/>
        </w:rPr>
      </w:pPr>
    </w:p>
    <w:p w14:paraId="54D1E69C" w14:textId="77777777" w:rsidR="00FB456C" w:rsidRPr="00D5464D" w:rsidRDefault="00FB456C" w:rsidP="00FB456C">
      <w:pPr>
        <w:jc w:val="both"/>
        <w:rPr>
          <w:lang w:val="pt-BR"/>
        </w:rPr>
      </w:pPr>
    </w:p>
    <w:p w14:paraId="1388C36B" w14:textId="2BF289D5" w:rsidR="00FB456C" w:rsidRPr="00D5464D" w:rsidRDefault="00FB456C" w:rsidP="00FB456C">
      <w:pPr>
        <w:pStyle w:val="Default"/>
        <w:rPr>
          <w:sz w:val="20"/>
          <w:lang w:val="es-ES"/>
        </w:rPr>
      </w:pPr>
      <w:r w:rsidRPr="00D5464D">
        <w:rPr>
          <w:sz w:val="20"/>
          <w:lang w:val="pt-BR"/>
        </w:rPr>
        <w:t xml:space="preserve">Sentença da Corte Interamericana de Direitos Humanos. </w:t>
      </w:r>
      <w:r w:rsidRPr="00D5464D">
        <w:rPr>
          <w:sz w:val="20"/>
          <w:lang w:val="es-ES"/>
        </w:rPr>
        <w:t>Caso Trabalhadores da Fazenda Brasil Verde Vs. Brasil. Exceções Preliminares, Mérito, Reparações e Custas.</w:t>
      </w:r>
    </w:p>
    <w:p w14:paraId="00BDA40F" w14:textId="77777777" w:rsidR="00FB456C" w:rsidRPr="00D5464D" w:rsidRDefault="00FB456C" w:rsidP="00FB456C">
      <w:pPr>
        <w:pStyle w:val="Default"/>
        <w:rPr>
          <w:sz w:val="20"/>
          <w:lang w:val="es-ES"/>
        </w:rPr>
      </w:pPr>
    </w:p>
    <w:p w14:paraId="064B922B" w14:textId="77777777" w:rsidR="00FB456C" w:rsidRPr="00D5464D" w:rsidRDefault="00FB456C" w:rsidP="00FB456C">
      <w:pPr>
        <w:rPr>
          <w:strike/>
        </w:rPr>
      </w:pPr>
    </w:p>
    <w:p w14:paraId="1C333060" w14:textId="77777777" w:rsidR="00FB456C" w:rsidRPr="00D5464D" w:rsidRDefault="00FB456C" w:rsidP="00FB456C"/>
    <w:p w14:paraId="72D38D0E" w14:textId="77777777" w:rsidR="00FB456C" w:rsidRPr="00D5464D" w:rsidRDefault="00FB456C" w:rsidP="00FB456C"/>
    <w:p w14:paraId="38D740CB" w14:textId="77777777" w:rsidR="00FB456C" w:rsidRPr="00D5464D" w:rsidRDefault="00FB456C" w:rsidP="00FB456C"/>
    <w:p w14:paraId="34DD80CA" w14:textId="77777777" w:rsidR="00FB456C" w:rsidRPr="00D5464D" w:rsidRDefault="00FB456C" w:rsidP="00FB456C">
      <w:pPr>
        <w:jc w:val="center"/>
        <w:rPr>
          <w:lang w:val="es-ES"/>
        </w:rPr>
      </w:pPr>
      <w:r w:rsidRPr="00D5464D">
        <w:rPr>
          <w:lang w:val="es-ES"/>
        </w:rPr>
        <w:t>Eduardo Ferrer Mac-Gregor Poisot</w:t>
      </w:r>
    </w:p>
    <w:p w14:paraId="30A2A571" w14:textId="77777777" w:rsidR="00FB456C" w:rsidRPr="00D5464D" w:rsidRDefault="00FB456C" w:rsidP="00FB456C">
      <w:pPr>
        <w:jc w:val="center"/>
      </w:pPr>
      <w:r w:rsidRPr="00D5464D">
        <w:rPr>
          <w:lang w:val="es-ES"/>
        </w:rPr>
        <w:t>Presidente em Exercício</w:t>
      </w:r>
    </w:p>
    <w:p w14:paraId="6AB1B4A4" w14:textId="77777777" w:rsidR="00FB456C" w:rsidRPr="00D5464D" w:rsidRDefault="00FB456C" w:rsidP="00FB456C"/>
    <w:p w14:paraId="3E6BFA8E" w14:textId="77777777" w:rsidR="00FB456C" w:rsidRPr="00D5464D" w:rsidRDefault="00FB456C" w:rsidP="00FB456C"/>
    <w:p w14:paraId="44EE0EDC" w14:textId="77777777" w:rsidR="00FB456C" w:rsidRPr="00D5464D" w:rsidRDefault="00FB456C" w:rsidP="00FB456C"/>
    <w:p w14:paraId="7BBCEA01" w14:textId="77777777" w:rsidR="00FB456C" w:rsidRPr="00D5464D" w:rsidRDefault="00FB456C" w:rsidP="00FB456C"/>
    <w:p w14:paraId="196A31A2" w14:textId="7791B5A6" w:rsidR="00FB456C" w:rsidRPr="00D5464D" w:rsidRDefault="00FB456C" w:rsidP="00FB456C">
      <w:pPr>
        <w:rPr>
          <w:lang w:val="es-ES"/>
        </w:rPr>
      </w:pPr>
      <w:r w:rsidRPr="00D5464D">
        <w:t xml:space="preserve"> Eduardo Vio Grossi</w:t>
      </w:r>
      <w:r w:rsidRPr="00D5464D">
        <w:tab/>
      </w:r>
      <w:r w:rsidRPr="00D5464D">
        <w:tab/>
        <w:t xml:space="preserve">                    </w:t>
      </w:r>
      <w:r w:rsidRPr="00D5464D">
        <w:rPr>
          <w:lang w:val="es-ES"/>
        </w:rPr>
        <w:t>Humberto Antonio Sierra Porto</w:t>
      </w:r>
    </w:p>
    <w:p w14:paraId="19FEE4B4" w14:textId="77777777" w:rsidR="00FB456C" w:rsidRPr="00D5464D" w:rsidRDefault="00FB456C" w:rsidP="00FB456C">
      <w:pPr>
        <w:rPr>
          <w:lang w:val="es-ES"/>
        </w:rPr>
      </w:pPr>
      <w:r w:rsidRPr="00D5464D">
        <w:rPr>
          <w:lang w:val="es-ES"/>
        </w:rPr>
        <w:tab/>
      </w:r>
    </w:p>
    <w:p w14:paraId="6298807D" w14:textId="77777777" w:rsidR="00FB456C" w:rsidRPr="00D5464D" w:rsidRDefault="00FB456C" w:rsidP="00FB456C">
      <w:pPr>
        <w:rPr>
          <w:lang w:val="es-ES"/>
        </w:rPr>
      </w:pPr>
    </w:p>
    <w:p w14:paraId="0F8636F8" w14:textId="77777777" w:rsidR="00FB456C" w:rsidRPr="00D5464D" w:rsidRDefault="00FB456C" w:rsidP="00FB456C">
      <w:pPr>
        <w:rPr>
          <w:lang w:val="es-ES"/>
        </w:rPr>
      </w:pPr>
    </w:p>
    <w:p w14:paraId="2AF78FBA" w14:textId="77777777" w:rsidR="00FB456C" w:rsidRPr="00D5464D" w:rsidRDefault="00FB456C" w:rsidP="00FB456C">
      <w:pPr>
        <w:rPr>
          <w:lang w:val="es-ES"/>
        </w:rPr>
      </w:pPr>
    </w:p>
    <w:p w14:paraId="76519EEB" w14:textId="77777777" w:rsidR="00FB456C" w:rsidRPr="00D5464D" w:rsidRDefault="00FB456C" w:rsidP="00FB456C">
      <w:pPr>
        <w:rPr>
          <w:lang w:val="es-ES"/>
        </w:rPr>
      </w:pPr>
    </w:p>
    <w:p w14:paraId="344AA119" w14:textId="77777777" w:rsidR="00FB456C" w:rsidRPr="00D5464D" w:rsidRDefault="00FB456C" w:rsidP="00FB456C">
      <w:pPr>
        <w:rPr>
          <w:lang w:val="es-ES"/>
        </w:rPr>
      </w:pPr>
    </w:p>
    <w:p w14:paraId="2E12FBFF" w14:textId="3F5C909A" w:rsidR="00FB456C" w:rsidRPr="00D5464D" w:rsidRDefault="00FB456C" w:rsidP="00FB456C">
      <w:pPr>
        <w:rPr>
          <w:lang w:val="es-ES"/>
        </w:rPr>
      </w:pPr>
      <w:r w:rsidRPr="00D5464D">
        <w:rPr>
          <w:lang w:val="es-ES"/>
        </w:rPr>
        <w:t>Elizabeth Odio Benito</w:t>
      </w:r>
      <w:r w:rsidRPr="00D5464D">
        <w:rPr>
          <w:lang w:val="es-ES"/>
        </w:rPr>
        <w:tab/>
      </w:r>
      <w:r w:rsidRPr="00D5464D">
        <w:rPr>
          <w:lang w:val="es-ES"/>
        </w:rPr>
        <w:tab/>
        <w:t xml:space="preserve"> Eugenio Raúl Zaffaroni</w:t>
      </w:r>
    </w:p>
    <w:p w14:paraId="295A3D28" w14:textId="77777777" w:rsidR="00FB456C" w:rsidRPr="00D5464D" w:rsidRDefault="00FB456C" w:rsidP="00FB456C">
      <w:pPr>
        <w:rPr>
          <w:lang w:val="es-ES"/>
        </w:rPr>
      </w:pPr>
    </w:p>
    <w:p w14:paraId="05E8E101" w14:textId="77777777" w:rsidR="00FB456C" w:rsidRPr="00D5464D" w:rsidRDefault="00FB456C" w:rsidP="00FB456C">
      <w:pPr>
        <w:rPr>
          <w:lang w:val="es-ES"/>
        </w:rPr>
      </w:pPr>
    </w:p>
    <w:p w14:paraId="520CA30D" w14:textId="77777777" w:rsidR="00FB456C" w:rsidRPr="00D5464D" w:rsidRDefault="00FB456C" w:rsidP="00FB456C">
      <w:pPr>
        <w:rPr>
          <w:lang w:val="es-ES"/>
        </w:rPr>
      </w:pPr>
    </w:p>
    <w:p w14:paraId="49D812B2" w14:textId="77777777" w:rsidR="00FB456C" w:rsidRPr="00D5464D" w:rsidRDefault="00FB456C" w:rsidP="00FB456C">
      <w:pPr>
        <w:rPr>
          <w:lang w:val="es-ES"/>
        </w:rPr>
      </w:pPr>
    </w:p>
    <w:p w14:paraId="015222DD" w14:textId="77777777" w:rsidR="00FB456C" w:rsidRPr="00D5464D" w:rsidRDefault="00FB456C" w:rsidP="00FB456C">
      <w:pPr>
        <w:rPr>
          <w:lang w:val="es-ES"/>
        </w:rPr>
      </w:pPr>
    </w:p>
    <w:p w14:paraId="471036DA" w14:textId="77777777" w:rsidR="00FB456C" w:rsidRPr="00D5464D" w:rsidRDefault="00FB456C" w:rsidP="00FB456C">
      <w:pPr>
        <w:jc w:val="center"/>
        <w:rPr>
          <w:lang w:val="es-ES"/>
        </w:rPr>
      </w:pPr>
      <w:r w:rsidRPr="00D5464D">
        <w:rPr>
          <w:lang w:val="es-ES"/>
        </w:rPr>
        <w:t>L. Patricio Pazmiño Freire</w:t>
      </w:r>
    </w:p>
    <w:p w14:paraId="5415165F" w14:textId="77777777" w:rsidR="00FB456C" w:rsidRPr="00D5464D" w:rsidRDefault="00FB456C" w:rsidP="00FB456C">
      <w:pPr>
        <w:rPr>
          <w:lang w:val="es-ES"/>
        </w:rPr>
      </w:pPr>
    </w:p>
    <w:p w14:paraId="48082343" w14:textId="77777777" w:rsidR="00FB456C" w:rsidRPr="00D5464D" w:rsidRDefault="00FB456C" w:rsidP="00FB456C"/>
    <w:p w14:paraId="7B3D98A1" w14:textId="77777777" w:rsidR="00FB456C" w:rsidRPr="00D5464D" w:rsidRDefault="00FB456C" w:rsidP="00FB456C"/>
    <w:p w14:paraId="051549C9" w14:textId="77777777" w:rsidR="00FB456C" w:rsidRPr="00D5464D" w:rsidRDefault="00FB456C" w:rsidP="00FB456C">
      <w:pPr>
        <w:jc w:val="both"/>
      </w:pPr>
    </w:p>
    <w:p w14:paraId="1CBC49B6" w14:textId="77777777" w:rsidR="00FB456C" w:rsidRPr="00D5464D" w:rsidRDefault="00FB456C" w:rsidP="00FB456C">
      <w:pPr>
        <w:jc w:val="both"/>
      </w:pPr>
    </w:p>
    <w:p w14:paraId="7E648C9A" w14:textId="77777777" w:rsidR="00FB456C" w:rsidRPr="00D5464D" w:rsidRDefault="00FB456C" w:rsidP="00FB456C">
      <w:pPr>
        <w:jc w:val="both"/>
      </w:pPr>
    </w:p>
    <w:p w14:paraId="7272E6B4" w14:textId="77777777" w:rsidR="00FB456C" w:rsidRPr="00D5464D" w:rsidRDefault="00FB456C" w:rsidP="00FB456C">
      <w:pPr>
        <w:jc w:val="center"/>
        <w:rPr>
          <w:lang w:val="pt-BR"/>
        </w:rPr>
      </w:pPr>
      <w:r w:rsidRPr="00D5464D">
        <w:rPr>
          <w:lang w:val="pt-BR"/>
        </w:rPr>
        <w:t>Pablo Saavedra Alessandri</w:t>
      </w:r>
    </w:p>
    <w:p w14:paraId="3D0983D9" w14:textId="77777777" w:rsidR="00FB456C" w:rsidRPr="00D5464D" w:rsidRDefault="00FB456C" w:rsidP="00FB456C">
      <w:pPr>
        <w:jc w:val="center"/>
        <w:rPr>
          <w:lang w:val="pt-BR"/>
        </w:rPr>
      </w:pPr>
      <w:r w:rsidRPr="00D5464D">
        <w:rPr>
          <w:lang w:val="pt-BR"/>
        </w:rPr>
        <w:t>Secretário</w:t>
      </w:r>
    </w:p>
    <w:p w14:paraId="3113EA6F" w14:textId="77777777" w:rsidR="00FB456C" w:rsidRPr="00D5464D" w:rsidRDefault="00FB456C" w:rsidP="00FB456C">
      <w:pPr>
        <w:pStyle w:val="Textonotapie"/>
        <w:rPr>
          <w:lang w:val="pt-BR"/>
        </w:rPr>
      </w:pPr>
    </w:p>
    <w:p w14:paraId="64156C8E" w14:textId="77777777" w:rsidR="00FB456C" w:rsidRPr="00D5464D" w:rsidRDefault="00FB456C" w:rsidP="00FB456C">
      <w:pPr>
        <w:pStyle w:val="Textonotapie"/>
        <w:rPr>
          <w:lang w:val="pt-BR"/>
        </w:rPr>
      </w:pPr>
    </w:p>
    <w:p w14:paraId="24F26153" w14:textId="77777777" w:rsidR="00FB456C" w:rsidRPr="00D5464D" w:rsidRDefault="00FB456C" w:rsidP="00FB456C">
      <w:pPr>
        <w:pStyle w:val="Textonotapie"/>
        <w:rPr>
          <w:lang w:val="pt-BR"/>
        </w:rPr>
      </w:pPr>
    </w:p>
    <w:p w14:paraId="018C698C" w14:textId="77777777" w:rsidR="00FB456C" w:rsidRPr="00D5464D" w:rsidRDefault="00FB456C" w:rsidP="00FB456C">
      <w:pPr>
        <w:pStyle w:val="Textonotapie"/>
        <w:rPr>
          <w:lang w:val="pt-BR"/>
        </w:rPr>
      </w:pPr>
    </w:p>
    <w:p w14:paraId="02B9E2C6" w14:textId="77777777" w:rsidR="00FB456C" w:rsidRPr="00D5464D" w:rsidRDefault="00FB456C" w:rsidP="00FB456C">
      <w:pPr>
        <w:jc w:val="both"/>
        <w:rPr>
          <w:lang w:val="pt-BR"/>
        </w:rPr>
      </w:pPr>
      <w:r w:rsidRPr="00D5464D">
        <w:rPr>
          <w:lang w:val="pt-BR"/>
        </w:rPr>
        <w:t>Comunique-se e execute-se,</w:t>
      </w:r>
    </w:p>
    <w:p w14:paraId="303D8146" w14:textId="77777777" w:rsidR="00FB456C" w:rsidRPr="00D5464D" w:rsidRDefault="00FB456C" w:rsidP="00FB456C">
      <w:pPr>
        <w:rPr>
          <w:lang w:val="pt-BR"/>
        </w:rPr>
      </w:pPr>
    </w:p>
    <w:p w14:paraId="42953A60" w14:textId="77777777" w:rsidR="00FB456C" w:rsidRPr="00D5464D" w:rsidRDefault="00FB456C" w:rsidP="00FB456C">
      <w:pPr>
        <w:rPr>
          <w:lang w:val="pt-BR"/>
        </w:rPr>
      </w:pPr>
    </w:p>
    <w:p w14:paraId="71ED3B31" w14:textId="77777777" w:rsidR="00FB456C" w:rsidRPr="00D5464D" w:rsidRDefault="00FB456C" w:rsidP="00FB456C">
      <w:pPr>
        <w:jc w:val="right"/>
        <w:rPr>
          <w:lang w:val="pt-BR"/>
        </w:rPr>
      </w:pPr>
    </w:p>
    <w:p w14:paraId="3504C5E1" w14:textId="77777777" w:rsidR="00FB456C" w:rsidRPr="00D5464D" w:rsidRDefault="00FB456C" w:rsidP="00FB456C">
      <w:pPr>
        <w:jc w:val="right"/>
        <w:rPr>
          <w:lang w:val="pt-BR"/>
        </w:rPr>
      </w:pPr>
    </w:p>
    <w:p w14:paraId="132824FA" w14:textId="77777777" w:rsidR="00FB456C" w:rsidRPr="00D5464D" w:rsidRDefault="00FB456C" w:rsidP="00FB456C">
      <w:pPr>
        <w:jc w:val="center"/>
        <w:rPr>
          <w:lang w:val="pt-BR"/>
        </w:rPr>
      </w:pPr>
      <w:r w:rsidRPr="00D5464D">
        <w:rPr>
          <w:lang w:val="pt-BR"/>
        </w:rPr>
        <w:t xml:space="preserve">                                                                                   </w:t>
      </w:r>
      <w:r w:rsidRPr="00D5464D">
        <w:rPr>
          <w:lang w:val="es-ES"/>
        </w:rPr>
        <w:t>Eduardo Ferrer Mac-Gregor Poisot</w:t>
      </w:r>
    </w:p>
    <w:p w14:paraId="061F554E" w14:textId="77777777" w:rsidR="00FB456C" w:rsidRPr="00D5464D" w:rsidRDefault="00FB456C" w:rsidP="00FB456C">
      <w:pPr>
        <w:ind w:left="6480"/>
      </w:pPr>
      <w:r w:rsidRPr="00D5464D">
        <w:rPr>
          <w:lang w:val="es-ES"/>
        </w:rPr>
        <w:t>Presidente em Exercício</w:t>
      </w:r>
    </w:p>
    <w:p w14:paraId="7B183393" w14:textId="77777777" w:rsidR="00FB456C" w:rsidRPr="00D5464D" w:rsidRDefault="00FB456C" w:rsidP="00FB456C">
      <w:pPr>
        <w:ind w:left="5040" w:firstLine="720"/>
        <w:jc w:val="center"/>
        <w:rPr>
          <w:lang w:val="pt-BR"/>
        </w:rPr>
      </w:pPr>
    </w:p>
    <w:p w14:paraId="6A7F8EFA" w14:textId="77777777" w:rsidR="00FB456C" w:rsidRPr="00D5464D" w:rsidRDefault="00FB456C" w:rsidP="00FB456C">
      <w:pPr>
        <w:jc w:val="both"/>
        <w:rPr>
          <w:lang w:val="pt-BR"/>
        </w:rPr>
      </w:pPr>
    </w:p>
    <w:p w14:paraId="3A9D0156" w14:textId="77777777" w:rsidR="00FB456C" w:rsidRPr="00D5464D" w:rsidRDefault="00FB456C" w:rsidP="00FB456C">
      <w:pPr>
        <w:jc w:val="both"/>
        <w:rPr>
          <w:lang w:val="pt-BR"/>
        </w:rPr>
      </w:pPr>
    </w:p>
    <w:p w14:paraId="34490507" w14:textId="77777777" w:rsidR="00FB456C" w:rsidRPr="00D5464D" w:rsidRDefault="00FB456C" w:rsidP="00FB456C">
      <w:pPr>
        <w:jc w:val="both"/>
        <w:rPr>
          <w:lang w:val="pt-BR"/>
        </w:rPr>
      </w:pPr>
      <w:r w:rsidRPr="00D5464D">
        <w:rPr>
          <w:lang w:val="pt-BR"/>
        </w:rPr>
        <w:t>Pablo Saavedra Alessandri</w:t>
      </w:r>
    </w:p>
    <w:p w14:paraId="7052ADA4" w14:textId="5299C2B3" w:rsidR="00FB456C" w:rsidRPr="00D5464D" w:rsidRDefault="00FB456C" w:rsidP="00FB456C">
      <w:pPr>
        <w:rPr>
          <w:lang w:val="pt-BR"/>
        </w:rPr>
      </w:pPr>
      <w:r w:rsidRPr="00D5464D">
        <w:rPr>
          <w:lang w:val="pt-BR"/>
        </w:rPr>
        <w:t xml:space="preserve">         Secretário</w:t>
      </w:r>
    </w:p>
    <w:p w14:paraId="1DF2E945" w14:textId="77777777" w:rsidR="00F16338" w:rsidRPr="00D5464D" w:rsidRDefault="00F16338" w:rsidP="00F74CCF">
      <w:pPr>
        <w:tabs>
          <w:tab w:val="left" w:pos="720"/>
        </w:tabs>
        <w:ind w:right="-90"/>
        <w:contextualSpacing/>
        <w:rPr>
          <w:bCs/>
          <w:szCs w:val="20"/>
          <w:lang w:val="pt-BR"/>
        </w:rPr>
        <w:sectPr w:rsidR="00F16338" w:rsidRPr="00D5464D" w:rsidSect="00547C8F">
          <w:headerReference w:type="default" r:id="rId8"/>
          <w:footerReference w:type="default" r:id="rId9"/>
          <w:pgSz w:w="12240" w:h="15840" w:code="1"/>
          <w:pgMar w:top="1440" w:right="1440" w:bottom="1440" w:left="1440" w:header="709" w:footer="709" w:gutter="0"/>
          <w:cols w:space="708"/>
          <w:docGrid w:linePitch="360"/>
        </w:sectPr>
      </w:pPr>
    </w:p>
    <w:p w14:paraId="45AAF77F" w14:textId="77777777" w:rsidR="00F16338" w:rsidRPr="00D5464D" w:rsidRDefault="00F16338" w:rsidP="00F16338">
      <w:pPr>
        <w:tabs>
          <w:tab w:val="clear" w:pos="4419"/>
          <w:tab w:val="clear" w:pos="8838"/>
        </w:tabs>
        <w:jc w:val="center"/>
        <w:rPr>
          <w:rFonts w:eastAsia="MS Mincho" w:cs="Times New Roman"/>
          <w:b/>
          <w:szCs w:val="20"/>
          <w:lang w:val="pt-BR" w:eastAsia="es-ES"/>
        </w:rPr>
      </w:pPr>
      <w:bookmarkStart w:id="493" w:name="_Toc462751118"/>
    </w:p>
    <w:p w14:paraId="4AE58D77" w14:textId="77777777" w:rsidR="00F16338" w:rsidRPr="00D5464D" w:rsidRDefault="00F16338" w:rsidP="00F16338">
      <w:pPr>
        <w:tabs>
          <w:tab w:val="clear" w:pos="4419"/>
          <w:tab w:val="clear" w:pos="8838"/>
        </w:tabs>
        <w:jc w:val="center"/>
        <w:rPr>
          <w:rFonts w:eastAsia="MS Mincho" w:cs="Times New Roman"/>
          <w:b/>
          <w:szCs w:val="20"/>
          <w:lang w:val="pt-BR" w:eastAsia="es-ES"/>
        </w:rPr>
      </w:pPr>
    </w:p>
    <w:p w14:paraId="6370EF43" w14:textId="77777777" w:rsidR="00F16338" w:rsidRPr="00D5464D" w:rsidRDefault="00F16338" w:rsidP="00F16338">
      <w:pPr>
        <w:tabs>
          <w:tab w:val="clear" w:pos="4419"/>
          <w:tab w:val="clear" w:pos="8838"/>
        </w:tabs>
        <w:jc w:val="center"/>
        <w:rPr>
          <w:rFonts w:eastAsia="MS Mincho" w:cs="Times New Roman"/>
          <w:b/>
          <w:szCs w:val="20"/>
          <w:lang w:val="pt-BR" w:eastAsia="es-ES"/>
        </w:rPr>
      </w:pPr>
    </w:p>
    <w:p w14:paraId="7E97BFCB" w14:textId="77777777" w:rsidR="00F16338" w:rsidRPr="00D5464D" w:rsidRDefault="00F16338" w:rsidP="00F16338">
      <w:pPr>
        <w:tabs>
          <w:tab w:val="clear" w:pos="4419"/>
          <w:tab w:val="clear" w:pos="8838"/>
        </w:tabs>
        <w:jc w:val="center"/>
        <w:rPr>
          <w:rFonts w:eastAsia="MS Mincho" w:cs="Times New Roman"/>
          <w:b/>
          <w:szCs w:val="20"/>
          <w:lang w:val="pt-BR" w:eastAsia="es-ES"/>
        </w:rPr>
      </w:pPr>
    </w:p>
    <w:p w14:paraId="1EA5C283" w14:textId="77777777" w:rsidR="00F16338" w:rsidRPr="00D5464D" w:rsidRDefault="00F16338" w:rsidP="00F16338">
      <w:pPr>
        <w:tabs>
          <w:tab w:val="clear" w:pos="4419"/>
          <w:tab w:val="clear" w:pos="8838"/>
        </w:tabs>
        <w:jc w:val="center"/>
        <w:rPr>
          <w:rFonts w:eastAsia="MS Mincho" w:cs="Times New Roman"/>
          <w:b/>
          <w:szCs w:val="20"/>
          <w:lang w:val="pt-BR" w:eastAsia="es-ES"/>
        </w:rPr>
      </w:pPr>
    </w:p>
    <w:p w14:paraId="5823E77E" w14:textId="77777777" w:rsidR="00F16338" w:rsidRPr="00D5464D" w:rsidRDefault="00F16338" w:rsidP="00F16338">
      <w:pPr>
        <w:tabs>
          <w:tab w:val="clear" w:pos="4419"/>
          <w:tab w:val="clear" w:pos="8838"/>
        </w:tabs>
        <w:jc w:val="center"/>
        <w:rPr>
          <w:rFonts w:eastAsia="MS Mincho" w:cs="Times New Roman"/>
          <w:b/>
          <w:szCs w:val="20"/>
          <w:lang w:val="pt-BR" w:eastAsia="es-ES"/>
        </w:rPr>
      </w:pPr>
    </w:p>
    <w:p w14:paraId="7474A6AF" w14:textId="77777777" w:rsidR="00F16338" w:rsidRPr="00D5464D" w:rsidRDefault="00F16338" w:rsidP="00F16338">
      <w:pPr>
        <w:tabs>
          <w:tab w:val="clear" w:pos="4419"/>
          <w:tab w:val="clear" w:pos="8838"/>
        </w:tabs>
        <w:jc w:val="center"/>
        <w:rPr>
          <w:rFonts w:eastAsia="MS Mincho" w:cs="Times New Roman"/>
          <w:b/>
          <w:szCs w:val="20"/>
          <w:lang w:val="pt-BR" w:eastAsia="es-ES"/>
        </w:rPr>
      </w:pPr>
    </w:p>
    <w:p w14:paraId="3A2B8694" w14:textId="77777777" w:rsidR="00F16338" w:rsidRPr="00D5464D" w:rsidRDefault="00F16338" w:rsidP="00F16338">
      <w:pPr>
        <w:tabs>
          <w:tab w:val="clear" w:pos="4419"/>
          <w:tab w:val="clear" w:pos="8838"/>
        </w:tabs>
        <w:jc w:val="center"/>
        <w:rPr>
          <w:rFonts w:eastAsia="MS Mincho" w:cs="Times New Roman"/>
          <w:b/>
          <w:szCs w:val="20"/>
          <w:lang w:val="pt-BR" w:eastAsia="es-ES"/>
        </w:rPr>
      </w:pPr>
      <w:r w:rsidRPr="00D5464D">
        <w:rPr>
          <w:rFonts w:eastAsia="MS Mincho" w:cs="Times New Roman"/>
          <w:b/>
          <w:szCs w:val="20"/>
          <w:lang w:val="pt-BR" w:eastAsia="es-ES"/>
        </w:rPr>
        <w:t>VOTO FUNDAMENTADO DO</w:t>
      </w:r>
    </w:p>
    <w:p w14:paraId="32D6B11C" w14:textId="77777777" w:rsidR="00F16338" w:rsidRPr="00D5464D" w:rsidRDefault="00F16338" w:rsidP="00F16338">
      <w:pPr>
        <w:tabs>
          <w:tab w:val="clear" w:pos="4419"/>
          <w:tab w:val="clear" w:pos="8838"/>
        </w:tabs>
        <w:jc w:val="center"/>
        <w:rPr>
          <w:rFonts w:eastAsia="Cambria" w:cs="Times New Roman"/>
          <w:b/>
          <w:szCs w:val="20"/>
          <w:lang w:val="pt-BR"/>
        </w:rPr>
      </w:pPr>
      <w:r w:rsidRPr="00D5464D">
        <w:rPr>
          <w:rFonts w:eastAsia="Cambria" w:cs="Times New Roman"/>
          <w:b/>
          <w:szCs w:val="20"/>
          <w:lang w:val="pt-BR"/>
        </w:rPr>
        <w:t>JUIZ EDUARDO FERRER MAC-GREGOR POISOT</w:t>
      </w:r>
    </w:p>
    <w:p w14:paraId="715554BD" w14:textId="77777777" w:rsidR="00F16338" w:rsidRPr="00D5464D" w:rsidRDefault="00F16338" w:rsidP="00F16338">
      <w:pPr>
        <w:tabs>
          <w:tab w:val="clear" w:pos="4419"/>
          <w:tab w:val="clear" w:pos="8838"/>
        </w:tabs>
        <w:jc w:val="center"/>
        <w:rPr>
          <w:rFonts w:eastAsia="Cambria" w:cs="Times New Roman"/>
          <w:b/>
          <w:szCs w:val="20"/>
          <w:lang w:val="pt-BR"/>
        </w:rPr>
      </w:pPr>
    </w:p>
    <w:p w14:paraId="71A0C121" w14:textId="77777777" w:rsidR="00F16338" w:rsidRPr="00D5464D" w:rsidRDefault="00F16338" w:rsidP="00F16338">
      <w:pPr>
        <w:tabs>
          <w:tab w:val="clear" w:pos="4419"/>
          <w:tab w:val="clear" w:pos="8838"/>
        </w:tabs>
        <w:jc w:val="center"/>
        <w:rPr>
          <w:rFonts w:eastAsia="Cambria" w:cs="Times New Roman"/>
          <w:b/>
          <w:i/>
          <w:szCs w:val="20"/>
          <w:u w:val="single"/>
          <w:lang w:val="pt-BR"/>
        </w:rPr>
      </w:pPr>
      <w:r w:rsidRPr="00D5464D">
        <w:rPr>
          <w:rFonts w:eastAsia="Cambria" w:cs="Times New Roman"/>
          <w:b/>
          <w:i/>
          <w:szCs w:val="20"/>
          <w:u w:val="single"/>
          <w:lang w:val="pt-BR"/>
        </w:rPr>
        <w:t>CASO TRABALHADORES DA FAZENDA BRASIL VERDE VS. BRASIL</w:t>
      </w:r>
    </w:p>
    <w:p w14:paraId="3F1E1389" w14:textId="77777777" w:rsidR="00F16338" w:rsidRPr="00D5464D" w:rsidRDefault="00F16338" w:rsidP="00F16338">
      <w:pPr>
        <w:tabs>
          <w:tab w:val="clear" w:pos="4419"/>
          <w:tab w:val="clear" w:pos="8838"/>
        </w:tabs>
        <w:jc w:val="center"/>
        <w:rPr>
          <w:rFonts w:eastAsia="Cambria" w:cs="Times New Roman"/>
          <w:b/>
          <w:szCs w:val="20"/>
          <w:u w:val="single"/>
          <w:lang w:val="pt-BR"/>
        </w:rPr>
      </w:pPr>
    </w:p>
    <w:p w14:paraId="7FE0550B" w14:textId="77777777" w:rsidR="00F16338" w:rsidRPr="00D5464D" w:rsidRDefault="00F16338" w:rsidP="00F16338">
      <w:pPr>
        <w:tabs>
          <w:tab w:val="clear" w:pos="4419"/>
          <w:tab w:val="clear" w:pos="8838"/>
        </w:tabs>
        <w:jc w:val="center"/>
        <w:rPr>
          <w:rFonts w:eastAsia="Cambria" w:cs="Times New Roman"/>
          <w:b/>
          <w:sz w:val="18"/>
          <w:szCs w:val="18"/>
          <w:lang w:val="pt-BR"/>
        </w:rPr>
      </w:pPr>
      <w:r w:rsidRPr="00D5464D">
        <w:rPr>
          <w:rFonts w:eastAsia="Cambria" w:cs="Times New Roman"/>
          <w:b/>
          <w:sz w:val="18"/>
          <w:szCs w:val="18"/>
          <w:lang w:val="pt-BR"/>
        </w:rPr>
        <w:t>SENTENÇA DE 20 DE OUTUBRO DE 2016</w:t>
      </w:r>
    </w:p>
    <w:p w14:paraId="5C2B84E0" w14:textId="77777777" w:rsidR="00F16338" w:rsidRPr="00D5464D" w:rsidRDefault="00F16338" w:rsidP="00F16338">
      <w:pPr>
        <w:tabs>
          <w:tab w:val="clear" w:pos="4419"/>
          <w:tab w:val="clear" w:pos="8838"/>
        </w:tabs>
        <w:jc w:val="center"/>
        <w:rPr>
          <w:rFonts w:eastAsia="Cambria" w:cs="Times New Roman"/>
          <w:b/>
          <w:i/>
          <w:iCs/>
          <w:sz w:val="18"/>
          <w:szCs w:val="18"/>
          <w:lang w:val="pt-BR"/>
        </w:rPr>
      </w:pPr>
      <w:r w:rsidRPr="00D5464D">
        <w:rPr>
          <w:rFonts w:eastAsia="Cambria" w:cs="Times New Roman"/>
          <w:b/>
          <w:i/>
          <w:iCs/>
          <w:sz w:val="18"/>
          <w:szCs w:val="18"/>
          <w:lang w:val="pt-BR"/>
        </w:rPr>
        <w:t>(Exceções Preliminares, Mérito, Reparações e Custas)</w:t>
      </w:r>
    </w:p>
    <w:p w14:paraId="0C956536" w14:textId="77777777" w:rsidR="00F16338" w:rsidRPr="00D5464D" w:rsidRDefault="00F16338" w:rsidP="00F16338">
      <w:pPr>
        <w:tabs>
          <w:tab w:val="clear" w:pos="4419"/>
          <w:tab w:val="clear" w:pos="8838"/>
        </w:tabs>
        <w:rPr>
          <w:rFonts w:eastAsia="MS Mincho" w:cs="Tahoma"/>
          <w:szCs w:val="20"/>
          <w:lang w:val="pt-BR" w:eastAsia="es-ES"/>
        </w:rPr>
      </w:pPr>
    </w:p>
    <w:p w14:paraId="5A58884E" w14:textId="77777777" w:rsidR="00F16338" w:rsidRPr="00D5464D" w:rsidRDefault="00F16338" w:rsidP="00F16338">
      <w:pPr>
        <w:tabs>
          <w:tab w:val="clear" w:pos="4419"/>
          <w:tab w:val="clear" w:pos="8838"/>
        </w:tabs>
        <w:rPr>
          <w:rFonts w:eastAsia="MS Mincho" w:cs="Tahoma"/>
          <w:szCs w:val="20"/>
          <w:lang w:val="pt-BR" w:eastAsia="es-ES"/>
        </w:rPr>
      </w:pPr>
    </w:p>
    <w:p w14:paraId="11720150" w14:textId="77777777" w:rsidR="00F16338" w:rsidRPr="00D5464D" w:rsidRDefault="00F16338" w:rsidP="00F16338">
      <w:pPr>
        <w:tabs>
          <w:tab w:val="clear" w:pos="4419"/>
          <w:tab w:val="clear" w:pos="8838"/>
        </w:tabs>
        <w:rPr>
          <w:rFonts w:eastAsia="MS Mincho" w:cs="Tahoma"/>
          <w:szCs w:val="20"/>
          <w:lang w:val="pt-BR" w:eastAsia="es-ES"/>
        </w:rPr>
      </w:pPr>
      <w:r w:rsidRPr="00D5464D">
        <w:rPr>
          <w:rFonts w:eastAsia="MS Mincho" w:cs="Tahoma"/>
          <w:szCs w:val="20"/>
          <w:lang w:val="pt-BR" w:eastAsia="es-ES"/>
        </w:rPr>
        <w:t>A Juíza Elizabeth Odio Benito aderiu ao presente Voto do Juiz Eduardo Ferrer Mac-Gregor Poisot.</w:t>
      </w:r>
    </w:p>
    <w:p w14:paraId="5DA91FE5" w14:textId="77777777" w:rsidR="00F16338" w:rsidRPr="00D5464D" w:rsidRDefault="00F16338" w:rsidP="00F16338">
      <w:pPr>
        <w:tabs>
          <w:tab w:val="clear" w:pos="4419"/>
          <w:tab w:val="clear" w:pos="8838"/>
        </w:tabs>
        <w:rPr>
          <w:rFonts w:eastAsia="MS Mincho" w:cs="Tahoma"/>
          <w:szCs w:val="20"/>
          <w:lang w:val="pt-BR" w:eastAsia="es-ES"/>
        </w:rPr>
      </w:pPr>
    </w:p>
    <w:p w14:paraId="3C39791F" w14:textId="77777777" w:rsidR="00F16338" w:rsidRPr="00D5464D" w:rsidRDefault="00F16338" w:rsidP="00F16338">
      <w:pPr>
        <w:tabs>
          <w:tab w:val="clear" w:pos="4419"/>
          <w:tab w:val="clear" w:pos="8838"/>
        </w:tabs>
        <w:jc w:val="center"/>
        <w:rPr>
          <w:rFonts w:eastAsia="MS Mincho" w:cs="Tahoma"/>
          <w:szCs w:val="20"/>
          <w:lang w:val="pt-BR" w:eastAsia="es-ES"/>
        </w:rPr>
      </w:pPr>
    </w:p>
    <w:p w14:paraId="03E86771" w14:textId="77777777" w:rsidR="00F16338" w:rsidRPr="00D5464D" w:rsidRDefault="00F16338" w:rsidP="00F16338">
      <w:pPr>
        <w:tabs>
          <w:tab w:val="clear" w:pos="4419"/>
          <w:tab w:val="clear" w:pos="8838"/>
        </w:tabs>
        <w:jc w:val="center"/>
        <w:rPr>
          <w:rFonts w:eastAsia="MS Mincho" w:cs="Tahoma"/>
          <w:szCs w:val="20"/>
          <w:lang w:val="pt-BR" w:eastAsia="es-ES"/>
        </w:rPr>
      </w:pPr>
      <w:r w:rsidRPr="00D5464D">
        <w:rPr>
          <w:rFonts w:eastAsia="MS Mincho" w:cs="Tahoma"/>
          <w:szCs w:val="20"/>
          <w:lang w:val="pt-BR" w:eastAsia="es-ES"/>
        </w:rPr>
        <w:t>INTRODUÇÃO:</w:t>
      </w:r>
    </w:p>
    <w:p w14:paraId="05D510FA" w14:textId="77777777" w:rsidR="00F16338" w:rsidRPr="00D5464D" w:rsidRDefault="00F16338" w:rsidP="00F16338">
      <w:pPr>
        <w:tabs>
          <w:tab w:val="clear" w:pos="4419"/>
          <w:tab w:val="clear" w:pos="8838"/>
        </w:tabs>
        <w:jc w:val="center"/>
        <w:rPr>
          <w:rFonts w:eastAsia="MS Mincho" w:cs="Tahoma"/>
          <w:szCs w:val="20"/>
          <w:lang w:val="pt-BR" w:eastAsia="es-ES"/>
        </w:rPr>
      </w:pPr>
      <w:r w:rsidRPr="00D5464D">
        <w:rPr>
          <w:rFonts w:eastAsia="MS Mincho" w:cs="Tahoma"/>
          <w:szCs w:val="20"/>
          <w:lang w:val="pt-BR" w:eastAsia="es-ES"/>
        </w:rPr>
        <w:t>SOBRE A “DISCRIMINAÇÃO ESTRUTURAL HISTÓRICA” POR MOTIVO DA POSIÇÃO ECONÔMICA (POBREZA) DOS TRABALHADORES SUBMETIDOS A TRABALHO ESCRAVO</w:t>
      </w:r>
    </w:p>
    <w:bookmarkEnd w:id="493"/>
    <w:p w14:paraId="59F8FFC4" w14:textId="77777777" w:rsidR="00F16338" w:rsidRPr="00D5464D" w:rsidRDefault="00F16338" w:rsidP="00F16338">
      <w:pPr>
        <w:tabs>
          <w:tab w:val="clear" w:pos="4419"/>
          <w:tab w:val="clear" w:pos="8838"/>
        </w:tabs>
        <w:contextualSpacing/>
        <w:jc w:val="both"/>
        <w:rPr>
          <w:rFonts w:eastAsia="Cambria" w:cs="System Font Regular"/>
          <w:color w:val="16191F"/>
          <w:szCs w:val="20"/>
          <w:lang w:val="pt-BR"/>
        </w:rPr>
      </w:pPr>
    </w:p>
    <w:p w14:paraId="4078DDD7" w14:textId="77777777" w:rsidR="00F16338" w:rsidRPr="00D5464D" w:rsidRDefault="00F16338" w:rsidP="00F16338">
      <w:pPr>
        <w:tabs>
          <w:tab w:val="clear" w:pos="4419"/>
          <w:tab w:val="clear" w:pos="8838"/>
        </w:tabs>
        <w:contextualSpacing/>
        <w:jc w:val="both"/>
        <w:rPr>
          <w:rFonts w:eastAsia="Cambria" w:cs="System Font Regular"/>
          <w:color w:val="16191F"/>
          <w:szCs w:val="20"/>
          <w:lang w:val="pt-BR"/>
        </w:rPr>
      </w:pPr>
    </w:p>
    <w:p w14:paraId="77E36090" w14:textId="77777777" w:rsidR="00F16338" w:rsidRPr="00D5464D" w:rsidRDefault="00F16338" w:rsidP="00F306D7">
      <w:pPr>
        <w:numPr>
          <w:ilvl w:val="0"/>
          <w:numId w:val="26"/>
        </w:numPr>
        <w:tabs>
          <w:tab w:val="clear" w:pos="4419"/>
          <w:tab w:val="clear" w:pos="8838"/>
        </w:tabs>
        <w:contextualSpacing/>
        <w:jc w:val="both"/>
        <w:rPr>
          <w:rFonts w:eastAsia="Cambria" w:cs="System Font Regular"/>
          <w:color w:val="16191F"/>
          <w:szCs w:val="20"/>
          <w:lang w:val="pt-BR"/>
        </w:rPr>
      </w:pPr>
      <w:r w:rsidRPr="00D5464D">
        <w:rPr>
          <w:rFonts w:eastAsia="Cambria" w:cs="Times New Roman"/>
          <w:szCs w:val="20"/>
          <w:lang w:val="pt-BR"/>
        </w:rPr>
        <w:t>Esta é a primeira ocasião na qual a Corte Interamericana de Direitos Humanos  (doravante denominada “Corte IDH” ou “Tribunal Interamericano”)</w:t>
      </w:r>
      <w:r w:rsidRPr="00D5464D">
        <w:rPr>
          <w:rFonts w:eastAsia="Cambria" w:cs="System Font Regular"/>
          <w:color w:val="16191F"/>
          <w:szCs w:val="20"/>
          <w:lang w:val="pt-BR"/>
        </w:rPr>
        <w:t xml:space="preserve"> teve a oportunidade de se pronunciar a respeito do fenômeno do trabalho escravo —que, neste caso, envolve trabalhos forçados, servidão por dívidas e tráfico de pessoas—;  declarando o Estado responsável por infringir o artigo 6.1 da Convenção Americana sobre Direitos Humanos </w:t>
      </w:r>
      <w:r w:rsidRPr="00D5464D">
        <w:rPr>
          <w:rFonts w:eastAsia="Cambria" w:cs="Times New Roman"/>
          <w:szCs w:val="20"/>
          <w:lang w:val="pt-BR"/>
        </w:rPr>
        <w:t xml:space="preserve">(doravante denominada “Convenção Americana” ou “Pacto de San José”), </w:t>
      </w:r>
      <w:r w:rsidRPr="00D5464D">
        <w:rPr>
          <w:rFonts w:eastAsia="Cambria" w:cs="System Font Regular"/>
          <w:color w:val="16191F"/>
          <w:szCs w:val="20"/>
          <w:lang w:val="pt-BR"/>
        </w:rPr>
        <w:t xml:space="preserve">a respeito dos 85 trabalhadores —principalmente homens, mas também uma mulher— resgatados da Fazenda Brasil Verde, vítimas do presente caso. </w:t>
      </w:r>
    </w:p>
    <w:p w14:paraId="68FC5DE2" w14:textId="77777777" w:rsidR="00F16338" w:rsidRPr="00D5464D" w:rsidRDefault="00F16338" w:rsidP="00F16338">
      <w:pPr>
        <w:tabs>
          <w:tab w:val="clear" w:pos="4419"/>
          <w:tab w:val="clear" w:pos="8838"/>
          <w:tab w:val="left" w:pos="709"/>
          <w:tab w:val="left" w:pos="1464"/>
        </w:tabs>
        <w:contextualSpacing/>
        <w:jc w:val="both"/>
        <w:rPr>
          <w:rFonts w:eastAsia="Cambria" w:cs="Times New Roman"/>
          <w:szCs w:val="20"/>
          <w:lang w:val="pt-BR"/>
        </w:rPr>
      </w:pPr>
    </w:p>
    <w:p w14:paraId="34AAA4C2" w14:textId="77777777" w:rsidR="00F16338" w:rsidRPr="00D5464D" w:rsidRDefault="00F16338" w:rsidP="00F306D7">
      <w:pPr>
        <w:numPr>
          <w:ilvl w:val="0"/>
          <w:numId w:val="26"/>
        </w:numPr>
        <w:tabs>
          <w:tab w:val="clear" w:pos="4419"/>
          <w:tab w:val="clear" w:pos="8838"/>
          <w:tab w:val="left" w:pos="709"/>
          <w:tab w:val="left" w:pos="1464"/>
        </w:tabs>
        <w:contextualSpacing/>
        <w:jc w:val="both"/>
        <w:rPr>
          <w:rFonts w:eastAsia="Cambria" w:cs="Times New Roman"/>
          <w:szCs w:val="20"/>
          <w:lang w:val="pt-BR"/>
        </w:rPr>
      </w:pPr>
      <w:r w:rsidRPr="00D5464D">
        <w:rPr>
          <w:rFonts w:eastAsia="Cambria" w:cs="System Font Regular"/>
          <w:color w:val="16191F"/>
          <w:szCs w:val="20"/>
          <w:lang w:val="pt-BR"/>
        </w:rPr>
        <w:t>O Tribunal Interamericano analisou o contexto de discriminação baseado em pobreza dentro do fenômeno de trabalho escravo no Brasil (que data desde a metade do Século XVIII) e que, de maneira sistemática, permitiu que as vítimas fossem objeto de tráfico de pessoas. Assim, o reconhecimento da Corte Interamericana quanto à “pobreza” como parte da proibição da discriminação por “posição econômica”,  possui particular relevância para a jurisprudência interamericana — e, em geral, para o contexto latino-americano—,</w:t>
      </w:r>
      <w:r w:rsidRPr="00D5464D">
        <w:rPr>
          <w:rFonts w:eastAsia="Cambria" w:cs="Times New Roman"/>
          <w:color w:val="16191F"/>
          <w:szCs w:val="20"/>
          <w:vertAlign w:val="superscript"/>
          <w:lang w:val="pt-BR"/>
        </w:rPr>
        <w:footnoteReference w:id="538"/>
      </w:r>
      <w:r w:rsidRPr="00D5464D">
        <w:rPr>
          <w:rFonts w:eastAsia="Cambria" w:cs="System Font Regular"/>
          <w:color w:val="16191F"/>
          <w:szCs w:val="20"/>
          <w:lang w:val="pt-BR"/>
        </w:rPr>
        <w:t xml:space="preserve"> ao ser a primeira vez que se considera a </w:t>
      </w:r>
      <w:r w:rsidRPr="00D5464D">
        <w:rPr>
          <w:rFonts w:eastAsia="Cambria" w:cs="Times New Roman"/>
          <w:szCs w:val="20"/>
          <w:lang w:val="pt-BR"/>
        </w:rPr>
        <w:t>pobreza como um componente da proibição de discriminação por “</w:t>
      </w:r>
      <w:r w:rsidRPr="00D5464D">
        <w:rPr>
          <w:rFonts w:eastAsia="Cambria" w:cs="Times New Roman"/>
          <w:i/>
          <w:szCs w:val="20"/>
          <w:lang w:val="pt-BR"/>
        </w:rPr>
        <w:t xml:space="preserve">posição econômica” </w:t>
      </w:r>
      <w:r w:rsidRPr="00D5464D">
        <w:rPr>
          <w:rFonts w:eastAsia="Cambria" w:cs="Times New Roman"/>
          <w:szCs w:val="20"/>
          <w:lang w:val="pt-BR"/>
        </w:rPr>
        <w:t xml:space="preserve">(categoria que se encontra contemplada de maneira expressa no artigo 1.1 da Convenção Americana, diferentemente de outros tratados internacionais); com especial relevância que as violações tenham sido declaradas “no marco de uma situação de </w:t>
      </w:r>
      <w:r w:rsidRPr="00D5464D">
        <w:rPr>
          <w:rFonts w:eastAsia="Cambria" w:cs="Times New Roman"/>
          <w:i/>
          <w:szCs w:val="20"/>
          <w:lang w:val="pt-BR"/>
        </w:rPr>
        <w:t>discriminação estrutural histórica</w:t>
      </w:r>
      <w:r w:rsidRPr="00D5464D">
        <w:rPr>
          <w:rFonts w:eastAsia="Cambria" w:cs="Times New Roman"/>
          <w:szCs w:val="20"/>
          <w:lang w:val="pt-BR"/>
        </w:rPr>
        <w:t>,</w:t>
      </w:r>
      <w:r w:rsidRPr="00D5464D">
        <w:rPr>
          <w:rFonts w:eastAsia="Cambria" w:cs="Times New Roman"/>
          <w:lang w:val="pt-BR"/>
        </w:rPr>
        <w:t xml:space="preserve"> </w:t>
      </w:r>
      <w:r w:rsidRPr="00D5464D">
        <w:rPr>
          <w:rFonts w:eastAsia="Cambria" w:cs="Times New Roman"/>
          <w:szCs w:val="20"/>
          <w:lang w:val="pt-BR"/>
        </w:rPr>
        <w:t>em razão da posição econômica dos 85 trabalhadores” no caso particular.</w:t>
      </w:r>
      <w:r w:rsidRPr="00D5464D">
        <w:rPr>
          <w:rFonts w:eastAsia="Cambria" w:cs="Times New Roman"/>
          <w:szCs w:val="20"/>
          <w:vertAlign w:val="superscript"/>
          <w:lang w:val="pt-BR"/>
        </w:rPr>
        <w:footnoteReference w:id="539"/>
      </w:r>
      <w:r w:rsidRPr="00D5464D">
        <w:rPr>
          <w:rFonts w:eastAsia="Cambria" w:cs="Times New Roman"/>
          <w:i/>
          <w:szCs w:val="20"/>
          <w:lang w:val="pt-BR"/>
        </w:rPr>
        <w:t xml:space="preserve"> </w:t>
      </w:r>
    </w:p>
    <w:p w14:paraId="117F7168" w14:textId="77777777" w:rsidR="00F16338" w:rsidRPr="00D5464D" w:rsidRDefault="00F16338" w:rsidP="00F16338">
      <w:pPr>
        <w:tabs>
          <w:tab w:val="clear" w:pos="4419"/>
          <w:tab w:val="clear" w:pos="8838"/>
          <w:tab w:val="left" w:pos="709"/>
          <w:tab w:val="left" w:pos="1464"/>
        </w:tabs>
        <w:rPr>
          <w:rFonts w:eastAsia="MS Mincho" w:cs="Times New Roman"/>
          <w:sz w:val="24"/>
          <w:szCs w:val="20"/>
          <w:lang w:val="pt-BR" w:eastAsia="es-ES"/>
        </w:rPr>
      </w:pPr>
    </w:p>
    <w:p w14:paraId="612E6ED5" w14:textId="77777777" w:rsidR="00F16338" w:rsidRPr="00D5464D" w:rsidRDefault="00F16338" w:rsidP="00F306D7">
      <w:pPr>
        <w:numPr>
          <w:ilvl w:val="0"/>
          <w:numId w:val="26"/>
        </w:numPr>
        <w:tabs>
          <w:tab w:val="clear" w:pos="4419"/>
          <w:tab w:val="clear" w:pos="8838"/>
          <w:tab w:val="left" w:pos="709"/>
          <w:tab w:val="left" w:pos="1464"/>
        </w:tabs>
        <w:contextualSpacing/>
        <w:jc w:val="both"/>
        <w:rPr>
          <w:rFonts w:eastAsia="Cambria" w:cs="Times New Roman"/>
          <w:szCs w:val="20"/>
          <w:lang w:val="pt-BR"/>
        </w:rPr>
      </w:pPr>
      <w:r w:rsidRPr="00D5464D">
        <w:rPr>
          <w:rFonts w:eastAsia="Cambria" w:cs="Times New Roman"/>
          <w:szCs w:val="20"/>
          <w:lang w:val="pt-BR"/>
        </w:rPr>
        <w:t xml:space="preserve">Por esse motivo, emito o presente Voto Fundamentado, ao considerar a necessidade de enfatizar e aprofundar alguns elementos do caso em relação ao reconhecimento da pobreza como parte da proibição de discriminação em função da posição econômica, reconhecida no artigo 1.1, e a identificação das circunstâncias de </w:t>
      </w:r>
      <w:r w:rsidRPr="00D5464D">
        <w:rPr>
          <w:rFonts w:eastAsia="Cambria" w:cs="Times New Roman"/>
          <w:i/>
          <w:szCs w:val="20"/>
          <w:lang w:val="pt-BR"/>
        </w:rPr>
        <w:t>discriminação estrutural histórica</w:t>
      </w:r>
      <w:r w:rsidRPr="00D5464D">
        <w:rPr>
          <w:rFonts w:eastAsia="Cambria" w:cs="Times New Roman"/>
          <w:szCs w:val="20"/>
          <w:lang w:val="pt-BR"/>
        </w:rPr>
        <w:t xml:space="preserve"> evidenciadas na Sentença. Para maior claridade, serão expostos a seguir: I) a pobreza como parte da proibição de discriminar em razão  da “posição econômica” nos sistemas de proteção de direitos humanos (pars. 4-25); II) a pobreza e a posição econômica na jurisprudência interamericana (pars. 26-44); III) a pobreza como parte da “posição econômica” contemplada na Convenção Americana no presente caso (pars. 45-55); </w:t>
      </w:r>
      <w:r w:rsidRPr="00D5464D">
        <w:rPr>
          <w:rFonts w:eastAsia="Cambria" w:cs="System Font Regular"/>
          <w:color w:val="16191F"/>
          <w:szCs w:val="20"/>
          <w:lang w:val="pt-BR"/>
        </w:rPr>
        <w:t xml:space="preserve">IV) as violações estruturais no Direito Internacional (pars. 56-71); V) Discriminação estrutural, indireta e de fato na jurisprudência da Corte Interamericana (pars. 72-80); VI) o alcance da discriminação estrutural histórica no caso dos Trabalhadores da Fazenda Brasil Verde </w:t>
      </w:r>
      <w:r w:rsidRPr="00D5464D">
        <w:rPr>
          <w:rFonts w:eastAsia="Cambria" w:cs="Times New Roman"/>
          <w:szCs w:val="20"/>
          <w:lang w:val="pt-BR"/>
        </w:rPr>
        <w:t>(pars. 81-96)</w:t>
      </w:r>
      <w:r w:rsidRPr="00D5464D">
        <w:rPr>
          <w:rFonts w:eastAsia="Cambria" w:cs="System Font Regular"/>
          <w:color w:val="16191F"/>
          <w:szCs w:val="20"/>
          <w:lang w:val="pt-BR"/>
        </w:rPr>
        <w:t xml:space="preserve">; e </w:t>
      </w:r>
      <w:r w:rsidRPr="00D5464D">
        <w:rPr>
          <w:rFonts w:eastAsia="Cambria" w:cs="Times New Roman"/>
          <w:szCs w:val="20"/>
          <w:lang w:val="pt-BR"/>
        </w:rPr>
        <w:t xml:space="preserve">VII) Conclusões (pars. 97-100). </w:t>
      </w:r>
    </w:p>
    <w:p w14:paraId="4D5EC93B" w14:textId="77777777" w:rsidR="00F16338" w:rsidRPr="00D5464D" w:rsidRDefault="00F16338" w:rsidP="00F16338">
      <w:pPr>
        <w:tabs>
          <w:tab w:val="clear" w:pos="4419"/>
          <w:tab w:val="clear" w:pos="8838"/>
        </w:tabs>
        <w:contextualSpacing/>
        <w:jc w:val="both"/>
        <w:rPr>
          <w:rFonts w:eastAsia="Cambria" w:cs="Times New Roman"/>
          <w:b/>
          <w:i/>
          <w:szCs w:val="20"/>
          <w:lang w:val="pt-BR"/>
        </w:rPr>
      </w:pPr>
    </w:p>
    <w:p w14:paraId="485AACD5" w14:textId="77777777" w:rsidR="00F16338" w:rsidRPr="00D5464D" w:rsidRDefault="00F16338" w:rsidP="00F16338">
      <w:pPr>
        <w:tabs>
          <w:tab w:val="clear" w:pos="4419"/>
          <w:tab w:val="clear" w:pos="8838"/>
        </w:tabs>
        <w:contextualSpacing/>
        <w:jc w:val="both"/>
        <w:rPr>
          <w:rFonts w:eastAsia="Cambria" w:cs="Times New Roman"/>
          <w:b/>
          <w:i/>
          <w:szCs w:val="20"/>
          <w:lang w:val="pt-BR"/>
        </w:rPr>
      </w:pPr>
    </w:p>
    <w:p w14:paraId="59A53D65" w14:textId="77777777" w:rsidR="00F16338" w:rsidRPr="00D5464D" w:rsidRDefault="00F16338" w:rsidP="00F16338">
      <w:pPr>
        <w:tabs>
          <w:tab w:val="clear" w:pos="4419"/>
          <w:tab w:val="clear" w:pos="8838"/>
        </w:tabs>
        <w:contextualSpacing/>
        <w:jc w:val="center"/>
        <w:rPr>
          <w:rFonts w:eastAsia="Cambria" w:cs="Times New Roman"/>
          <w:szCs w:val="20"/>
          <w:lang w:val="pt-BR"/>
        </w:rPr>
      </w:pPr>
      <w:r w:rsidRPr="00D5464D">
        <w:rPr>
          <w:rFonts w:eastAsia="Cambria" w:cs="Times New Roman"/>
          <w:szCs w:val="20"/>
          <w:lang w:val="pt-BR"/>
        </w:rPr>
        <w:t>I. A POBREZA COMO PARTE DA PROIBIÇÃO DE DISCRIMINAR POR MOTIVO DE “POSIÇÃO ECONÔMICA” NOS SISTEMAS DE PROTEÇÃO DE DIREITOS HUMANOS</w:t>
      </w:r>
    </w:p>
    <w:p w14:paraId="3331399D" w14:textId="77777777" w:rsidR="00F16338" w:rsidRPr="00D5464D" w:rsidRDefault="00F16338" w:rsidP="00F16338">
      <w:pPr>
        <w:tabs>
          <w:tab w:val="clear" w:pos="4419"/>
          <w:tab w:val="clear" w:pos="8838"/>
        </w:tabs>
        <w:contextualSpacing/>
        <w:jc w:val="both"/>
        <w:rPr>
          <w:rFonts w:eastAsia="Cambria" w:cs="System Font Regular"/>
          <w:color w:val="16191F"/>
          <w:szCs w:val="20"/>
          <w:lang w:val="pt-BR"/>
        </w:rPr>
      </w:pPr>
    </w:p>
    <w:p w14:paraId="027C016C" w14:textId="77777777" w:rsidR="00F16338" w:rsidRPr="00D5464D" w:rsidRDefault="00F16338" w:rsidP="00F16338">
      <w:pPr>
        <w:tabs>
          <w:tab w:val="clear" w:pos="4419"/>
          <w:tab w:val="clear" w:pos="8838"/>
        </w:tabs>
        <w:contextualSpacing/>
        <w:jc w:val="both"/>
        <w:rPr>
          <w:rFonts w:eastAsia="Cambria" w:cs="System Font Regular"/>
          <w:color w:val="16191F"/>
          <w:szCs w:val="20"/>
          <w:lang w:val="pt-BR"/>
        </w:rPr>
      </w:pPr>
    </w:p>
    <w:p w14:paraId="6A4F475A" w14:textId="77777777" w:rsidR="00F16338" w:rsidRPr="00D5464D" w:rsidRDefault="00F16338" w:rsidP="00F306D7">
      <w:pPr>
        <w:numPr>
          <w:ilvl w:val="0"/>
          <w:numId w:val="26"/>
        </w:numPr>
        <w:tabs>
          <w:tab w:val="clear" w:pos="4419"/>
          <w:tab w:val="clear" w:pos="8838"/>
        </w:tabs>
        <w:contextualSpacing/>
        <w:jc w:val="both"/>
        <w:rPr>
          <w:rFonts w:eastAsia="Cambria" w:cs="System Font Regular"/>
          <w:color w:val="16191F"/>
          <w:szCs w:val="20"/>
          <w:lang w:val="pt-BR"/>
        </w:rPr>
      </w:pPr>
      <w:r w:rsidRPr="00D5464D">
        <w:rPr>
          <w:rFonts w:eastAsia="Cambria" w:cs="System Font Regular"/>
          <w:color w:val="16191F"/>
          <w:szCs w:val="20"/>
          <w:lang w:val="pt-BR"/>
        </w:rPr>
        <w:t>Tanto e</w:t>
      </w:r>
      <w:r w:rsidRPr="00D5464D">
        <w:rPr>
          <w:rFonts w:eastAsia="Cambria" w:cs="System Font Regular"/>
          <w:color w:val="16191F"/>
          <w:lang w:val="pt-BR"/>
        </w:rPr>
        <w:t>ste Tribunal Interamericano, como o Tribunal Europeu de Direitos Humanos (doravante denominado “TEDH” ou “Tribunal Europeu”), coincidem no sentido de que os tratados de direitos humanos são instrumentos vivos, cuja interpretação tem de acompanhar a evolução dos tempos e as regras gerais de interpretação estabelecidas no artigo 29 da Convenção Americana e na Convenção de Viena sobre o Direito dos Tratados. Esta interpretação evolutiva não apenas deve ser aplicada à interpretação dos direitos estabelecidos nos incisos 3 a 26 da Convenção Americana, mas também deve ser levada em consideração para configurar categorias especiais de proteção à luz do artigo 1.1.</w:t>
      </w:r>
      <w:r w:rsidRPr="00D5464D">
        <w:rPr>
          <w:rFonts w:eastAsia="Cambria" w:cs="Times New Roman"/>
          <w:color w:val="16191F"/>
          <w:szCs w:val="20"/>
          <w:vertAlign w:val="superscript"/>
          <w:lang w:val="pt-BR"/>
        </w:rPr>
        <w:footnoteReference w:id="540"/>
      </w:r>
      <w:r w:rsidRPr="00D5464D">
        <w:rPr>
          <w:rFonts w:eastAsia="Cambria" w:cs="System Font Regular"/>
          <w:color w:val="16191F"/>
          <w:lang w:val="pt-BR"/>
        </w:rPr>
        <w:t xml:space="preserve"> </w:t>
      </w:r>
    </w:p>
    <w:p w14:paraId="7E712D99" w14:textId="77777777" w:rsidR="00F16338" w:rsidRPr="00D5464D" w:rsidRDefault="00F16338" w:rsidP="00F16338">
      <w:pPr>
        <w:tabs>
          <w:tab w:val="clear" w:pos="4419"/>
          <w:tab w:val="clear" w:pos="8838"/>
        </w:tabs>
        <w:rPr>
          <w:rFonts w:eastAsia="MS Mincho" w:cs="Times New Roman"/>
          <w:sz w:val="24"/>
          <w:szCs w:val="24"/>
          <w:lang w:val="pt-BR" w:eastAsia="es-ES"/>
        </w:rPr>
      </w:pPr>
    </w:p>
    <w:p w14:paraId="56EF389F" w14:textId="77777777" w:rsidR="00F16338" w:rsidRPr="00D5464D" w:rsidRDefault="00F16338" w:rsidP="00F306D7">
      <w:pPr>
        <w:numPr>
          <w:ilvl w:val="0"/>
          <w:numId w:val="26"/>
        </w:numPr>
        <w:tabs>
          <w:tab w:val="clear" w:pos="4419"/>
          <w:tab w:val="clear" w:pos="8838"/>
        </w:tabs>
        <w:contextualSpacing/>
        <w:jc w:val="both"/>
        <w:rPr>
          <w:rFonts w:eastAsia="Cambria" w:cs="System Font Regular"/>
          <w:color w:val="16191F"/>
          <w:szCs w:val="20"/>
          <w:lang w:val="pt-BR"/>
        </w:rPr>
      </w:pPr>
      <w:r w:rsidRPr="00D5464D">
        <w:rPr>
          <w:rFonts w:eastAsia="Cambria" w:cs="Times New Roman"/>
          <w:lang w:val="pt-BR"/>
        </w:rPr>
        <w:t>Assim, ao interpretar o Pacto de San José sempre se deve escolher a alternativa mais favorável para a tutela dos direitos protegidos por este tratado, segundo o princípio da norma mais favorável para o ser humano.</w:t>
      </w:r>
      <w:r w:rsidRPr="00D5464D">
        <w:rPr>
          <w:rFonts w:eastAsia="Cambria" w:cs="Times New Roman"/>
          <w:szCs w:val="20"/>
          <w:vertAlign w:val="superscript"/>
          <w:lang w:val="pt-BR"/>
        </w:rPr>
        <w:footnoteReference w:id="541"/>
      </w:r>
      <w:r w:rsidRPr="00D5464D">
        <w:rPr>
          <w:rFonts w:eastAsia="Cambria" w:cs="Times New Roman"/>
          <w:lang w:val="pt-BR"/>
        </w:rPr>
        <w:t xml:space="preserve"> Em </w:t>
      </w:r>
      <w:r w:rsidRPr="00D5464D">
        <w:rPr>
          <w:rFonts w:eastAsia="Cambria" w:cs="Tahoma"/>
          <w:lang w:val="pt-BR"/>
        </w:rPr>
        <w:t xml:space="preserve">seu trabalho interpretativo, a Corte IDH expressou que a </w:t>
      </w:r>
      <w:r w:rsidRPr="00D5464D">
        <w:rPr>
          <w:rFonts w:eastAsia="Cambria" w:cs="Times New Roman"/>
          <w:szCs w:val="20"/>
          <w:lang w:val="pt-BR"/>
        </w:rPr>
        <w:t xml:space="preserve">Convenção Americana não contém uma definição explícita do conceito de “discriminação” nem de quais grupos “são submetidos a discriminação”; entretanto, a partir de diversas referências ao </w:t>
      </w:r>
      <w:r w:rsidRPr="00D5464D">
        <w:rPr>
          <w:rFonts w:eastAsia="Cambria" w:cs="Times New Roman"/>
          <w:i/>
          <w:iCs/>
          <w:szCs w:val="20"/>
          <w:lang w:val="pt-BR"/>
        </w:rPr>
        <w:t xml:space="preserve">corpus iuris </w:t>
      </w:r>
      <w:r w:rsidRPr="00D5464D">
        <w:rPr>
          <w:rFonts w:eastAsia="Cambria" w:cs="Times New Roman"/>
          <w:iCs/>
          <w:szCs w:val="20"/>
          <w:lang w:val="pt-BR"/>
        </w:rPr>
        <w:t>na</w:t>
      </w:r>
      <w:r w:rsidRPr="00D5464D">
        <w:rPr>
          <w:rFonts w:eastAsia="Cambria" w:cs="Times New Roman"/>
          <w:i/>
          <w:iCs/>
          <w:szCs w:val="20"/>
          <w:lang w:val="pt-BR"/>
        </w:rPr>
        <w:t xml:space="preserve"> </w:t>
      </w:r>
      <w:r w:rsidRPr="00D5464D">
        <w:rPr>
          <w:rFonts w:eastAsia="Cambria" w:cs="Times New Roman"/>
          <w:szCs w:val="20"/>
          <w:lang w:val="pt-BR"/>
        </w:rPr>
        <w:t>matéria, o Tribunal Interamericano indicou que a discriminação se relaciona a:</w:t>
      </w:r>
      <w:r w:rsidRPr="00D5464D">
        <w:rPr>
          <w:rFonts w:eastAsia="Cambria" w:cs="Times New Roman"/>
          <w:b/>
          <w:szCs w:val="20"/>
          <w:lang w:val="pt-BR"/>
        </w:rPr>
        <w:t xml:space="preserve"> </w:t>
      </w:r>
    </w:p>
    <w:p w14:paraId="325C1723" w14:textId="77777777" w:rsidR="00F16338" w:rsidRPr="00D5464D" w:rsidRDefault="00F16338" w:rsidP="00F16338">
      <w:pPr>
        <w:tabs>
          <w:tab w:val="clear" w:pos="4419"/>
          <w:tab w:val="clear" w:pos="8838"/>
        </w:tabs>
        <w:contextualSpacing/>
        <w:jc w:val="both"/>
        <w:rPr>
          <w:rFonts w:eastAsia="Cambria" w:cs="System Font Regular"/>
          <w:i/>
          <w:color w:val="16191F"/>
          <w:szCs w:val="20"/>
          <w:lang w:val="pt-BR"/>
        </w:rPr>
      </w:pPr>
    </w:p>
    <w:p w14:paraId="11F0585C" w14:textId="77777777" w:rsidR="00F16338" w:rsidRPr="00D5464D" w:rsidRDefault="00F16338" w:rsidP="00F16338">
      <w:pPr>
        <w:tabs>
          <w:tab w:val="clear" w:pos="4419"/>
          <w:tab w:val="clear" w:pos="8838"/>
        </w:tabs>
        <w:ind w:left="708" w:right="758"/>
        <w:contextualSpacing/>
        <w:jc w:val="both"/>
        <w:rPr>
          <w:rFonts w:eastAsia="Cambria" w:cs="Times New Roman"/>
          <w:i/>
          <w:sz w:val="16"/>
          <w:szCs w:val="16"/>
          <w:lang w:val="pt-BR"/>
        </w:rPr>
      </w:pPr>
      <w:r w:rsidRPr="00D5464D">
        <w:rPr>
          <w:rFonts w:eastAsia="Cambria" w:cs="Times New Roman"/>
          <w:i/>
          <w:sz w:val="16"/>
          <w:szCs w:val="16"/>
          <w:lang w:val="pt-BR"/>
        </w:rPr>
        <w:t>toda distinção, exclusão, restrição ou preferência que se baseie em determinados motivos, como raça, cor, sexo, idioma, religião, opinião política ou de qualquer outra natureza, origem nacional ou social, posição econômica, nascimento ou qualquer outra condição social, e que tenha por objeto ou como resultado anular ou depreciar o reconhecimento, gozo ou exercício, em condições de igualdade, dos direitos humanos e liberdades fundamentais de todas as pessoas.</w:t>
      </w:r>
      <w:r w:rsidRPr="00D5464D">
        <w:rPr>
          <w:rFonts w:eastAsia="Cambria" w:cs="Times New Roman"/>
          <w:sz w:val="16"/>
          <w:szCs w:val="20"/>
          <w:vertAlign w:val="superscript"/>
          <w:lang w:val="pt-BR"/>
        </w:rPr>
        <w:footnoteReference w:id="542"/>
      </w:r>
      <w:r w:rsidRPr="00D5464D">
        <w:rPr>
          <w:rFonts w:eastAsia="Cambria" w:cs="Times New Roman"/>
          <w:i/>
          <w:sz w:val="16"/>
          <w:szCs w:val="16"/>
          <w:lang w:val="pt-BR"/>
        </w:rPr>
        <w:t xml:space="preserve"> </w:t>
      </w:r>
    </w:p>
    <w:p w14:paraId="4C7A6F34" w14:textId="77777777" w:rsidR="00F16338" w:rsidRPr="00D5464D" w:rsidRDefault="00F16338" w:rsidP="00F16338">
      <w:pPr>
        <w:tabs>
          <w:tab w:val="clear" w:pos="4419"/>
          <w:tab w:val="clear" w:pos="8838"/>
        </w:tabs>
        <w:ind w:left="708" w:right="758"/>
        <w:contextualSpacing/>
        <w:jc w:val="both"/>
        <w:rPr>
          <w:rFonts w:eastAsia="Cambria" w:cs="Times New Roman"/>
          <w:i/>
          <w:sz w:val="16"/>
          <w:szCs w:val="16"/>
          <w:lang w:val="pt-BR"/>
        </w:rPr>
      </w:pPr>
    </w:p>
    <w:p w14:paraId="1008F70F" w14:textId="77777777" w:rsidR="00F16338" w:rsidRPr="00D5464D" w:rsidRDefault="00F16338" w:rsidP="00F306D7">
      <w:pPr>
        <w:numPr>
          <w:ilvl w:val="0"/>
          <w:numId w:val="26"/>
        </w:numPr>
        <w:tabs>
          <w:tab w:val="clear" w:pos="4419"/>
          <w:tab w:val="clear" w:pos="8838"/>
        </w:tabs>
        <w:ind w:right="49"/>
        <w:contextualSpacing/>
        <w:jc w:val="both"/>
        <w:rPr>
          <w:rFonts w:eastAsia="Cambria" w:cs="Times New Roman"/>
          <w:i/>
          <w:szCs w:val="20"/>
          <w:lang w:val="pt-BR"/>
        </w:rPr>
      </w:pPr>
      <w:r w:rsidRPr="00D5464D">
        <w:rPr>
          <w:rFonts w:eastAsia="Cambria" w:cs="Times New Roman"/>
          <w:szCs w:val="20"/>
          <w:lang w:val="pt-BR"/>
        </w:rPr>
        <w:t xml:space="preserve">Sob este panorama, geralmente, o Direito Internacional e o Direito Constitucional identificam um conjunto determinado de grupos em relação aos quais a discriminação, com base nestes motivos, deveria ser justificada de maneira objetiva e razoável para considerar que não se viola o direito à igualdade quanto ao desfrute e garantia dos direitos humanos reconhecidos nos tratados internacionais ou nas constituições. Não obstante, o certo é que esta lista não é absoluta nem literal, de modo que em muitos casos —como no presente — será necessário delimitar o conteúdo dessas categorias para que sejam aplicadas ao caso concreto. </w:t>
      </w:r>
    </w:p>
    <w:p w14:paraId="42FAB3C5" w14:textId="77777777" w:rsidR="00F16338" w:rsidRPr="00D5464D" w:rsidRDefault="00F16338" w:rsidP="00F16338">
      <w:pPr>
        <w:tabs>
          <w:tab w:val="clear" w:pos="4419"/>
          <w:tab w:val="clear" w:pos="8838"/>
        </w:tabs>
        <w:ind w:right="49"/>
        <w:contextualSpacing/>
        <w:jc w:val="both"/>
        <w:rPr>
          <w:rFonts w:eastAsia="Cambria" w:cs="Times New Roman"/>
          <w:i/>
          <w:szCs w:val="20"/>
          <w:lang w:val="pt-BR"/>
        </w:rPr>
      </w:pPr>
    </w:p>
    <w:p w14:paraId="26CF64AF" w14:textId="77777777" w:rsidR="00F16338" w:rsidRPr="00D5464D" w:rsidRDefault="00F16338" w:rsidP="00F306D7">
      <w:pPr>
        <w:numPr>
          <w:ilvl w:val="0"/>
          <w:numId w:val="26"/>
        </w:numPr>
        <w:tabs>
          <w:tab w:val="clear" w:pos="4419"/>
          <w:tab w:val="clear" w:pos="8838"/>
        </w:tabs>
        <w:ind w:right="49"/>
        <w:contextualSpacing/>
        <w:jc w:val="both"/>
        <w:rPr>
          <w:rFonts w:eastAsia="Cambria" w:cs="Times New Roman"/>
          <w:i/>
          <w:szCs w:val="20"/>
          <w:lang w:val="pt-BR"/>
        </w:rPr>
      </w:pPr>
      <w:r w:rsidRPr="00D5464D">
        <w:rPr>
          <w:rFonts w:eastAsia="Cambria" w:cs="Times New Roman"/>
          <w:szCs w:val="20"/>
          <w:lang w:val="pt-BR"/>
        </w:rPr>
        <w:t xml:space="preserve">A “pobreza”, por exemplo, não foi reconhecida de maneira expressa como uma categoria de especial proteção; isso não significa, entretanto, que a pobreza não possa ser avaliada como parte de alguma categoria que esteja reconhecida de maneira expressa ou, ainda, que seja incorporada como parte de “outra condição social”. Nesta tessitura, os diversos sistemas de proteção de direitos humanos (regionais e universal) têm suas particularidades quanto ao reconhecimento da pobreza como parte da categoria de proibição de discriminação “por posição econômica”; isso não é impedimento para que sejam obrigações quanto à erradicação da pobreza, não como parte de uma categoria de especial proteção, mas como uma situação agravante das condições sociais nas quais vivem as pessoas e que podem variar caso a caso. </w:t>
      </w:r>
    </w:p>
    <w:p w14:paraId="7D56586D" w14:textId="77777777" w:rsidR="00F16338" w:rsidRPr="00D5464D" w:rsidRDefault="00F16338" w:rsidP="00F16338">
      <w:pPr>
        <w:tabs>
          <w:tab w:val="clear" w:pos="4419"/>
          <w:tab w:val="clear" w:pos="8838"/>
        </w:tabs>
        <w:contextualSpacing/>
        <w:jc w:val="both"/>
        <w:rPr>
          <w:rFonts w:eastAsia="Cambria" w:cs="Times New Roman"/>
          <w:i/>
          <w:szCs w:val="20"/>
          <w:lang w:val="pt-BR"/>
        </w:rPr>
      </w:pPr>
    </w:p>
    <w:p w14:paraId="748B390B" w14:textId="77777777" w:rsidR="00F16338" w:rsidRPr="00D5464D" w:rsidRDefault="00F16338" w:rsidP="00F16338">
      <w:pPr>
        <w:tabs>
          <w:tab w:val="clear" w:pos="4419"/>
          <w:tab w:val="clear" w:pos="8838"/>
        </w:tabs>
        <w:contextualSpacing/>
        <w:jc w:val="both"/>
        <w:rPr>
          <w:rFonts w:eastAsia="Cambria" w:cs="Times New Roman"/>
          <w:i/>
          <w:szCs w:val="20"/>
          <w:lang w:val="pt-BR"/>
        </w:rPr>
      </w:pPr>
      <w:r w:rsidRPr="00D5464D">
        <w:rPr>
          <w:rFonts w:eastAsia="Cambria" w:cs="Times New Roman"/>
          <w:i/>
          <w:szCs w:val="20"/>
          <w:lang w:val="pt-BR"/>
        </w:rPr>
        <w:t>i) Sistema Europeu de Direitos Humanos</w:t>
      </w:r>
    </w:p>
    <w:p w14:paraId="1C1846F8" w14:textId="77777777" w:rsidR="00F16338" w:rsidRPr="00D5464D" w:rsidRDefault="00F16338" w:rsidP="00F16338">
      <w:pPr>
        <w:tabs>
          <w:tab w:val="clear" w:pos="4419"/>
          <w:tab w:val="clear" w:pos="8838"/>
        </w:tabs>
        <w:rPr>
          <w:rFonts w:eastAsia="MS Mincho" w:cs="System Font Regular"/>
          <w:b/>
          <w:i/>
          <w:color w:val="16191F"/>
          <w:sz w:val="24"/>
          <w:szCs w:val="20"/>
          <w:lang w:val="pt-BR" w:eastAsia="es-ES"/>
        </w:rPr>
      </w:pPr>
    </w:p>
    <w:p w14:paraId="6A676831" w14:textId="77777777" w:rsidR="00F16338" w:rsidRPr="00D5464D" w:rsidRDefault="00F16338" w:rsidP="00F306D7">
      <w:pPr>
        <w:numPr>
          <w:ilvl w:val="0"/>
          <w:numId w:val="26"/>
        </w:numPr>
        <w:tabs>
          <w:tab w:val="clear" w:pos="4419"/>
          <w:tab w:val="clear" w:pos="8838"/>
        </w:tabs>
        <w:contextualSpacing/>
        <w:jc w:val="both"/>
        <w:rPr>
          <w:rFonts w:eastAsia="Cambria" w:cs="Times New Roman"/>
          <w:szCs w:val="20"/>
          <w:lang w:val="pt-BR"/>
        </w:rPr>
      </w:pPr>
      <w:r w:rsidRPr="00D5464D">
        <w:rPr>
          <w:rFonts w:eastAsia="Cambria" w:cs="Times New Roman"/>
          <w:szCs w:val="20"/>
          <w:lang w:val="pt-BR"/>
        </w:rPr>
        <w:t xml:space="preserve">Quanto ao Sistema Europeu de Direitos Humanos, no artigo 14 da Convenção Europeia de Direitos Humanos (doravante denominada “Convenção Europeia” ou “a CEDH”) e no artigo 1º do Protocolo 12 à CEDH, estão estabelecidas as cláusulas de proteção igualitária (subordinada e autônoma, respectivamente). Estas disposições estabelecem: </w:t>
      </w:r>
    </w:p>
    <w:p w14:paraId="1C150050" w14:textId="77777777" w:rsidR="00F16338" w:rsidRPr="00D5464D" w:rsidRDefault="00F16338" w:rsidP="00F16338">
      <w:pPr>
        <w:tabs>
          <w:tab w:val="clear" w:pos="4419"/>
          <w:tab w:val="clear" w:pos="8838"/>
        </w:tabs>
        <w:contextualSpacing/>
        <w:jc w:val="both"/>
        <w:rPr>
          <w:rFonts w:eastAsia="Cambria" w:cs="Times New Roman"/>
          <w:szCs w:val="20"/>
          <w:lang w:val="pt-BR"/>
        </w:rPr>
      </w:pPr>
    </w:p>
    <w:p w14:paraId="6CB9AEBD" w14:textId="77777777" w:rsidR="00F16338" w:rsidRPr="00D5464D" w:rsidRDefault="00F16338" w:rsidP="00F16338">
      <w:pPr>
        <w:tabs>
          <w:tab w:val="clear" w:pos="4419"/>
          <w:tab w:val="clear" w:pos="8838"/>
        </w:tabs>
        <w:ind w:left="360"/>
        <w:jc w:val="both"/>
        <w:rPr>
          <w:rFonts w:eastAsia="MS Mincho" w:cs="Times New Roman"/>
          <w:i/>
          <w:sz w:val="16"/>
          <w:szCs w:val="16"/>
          <w:lang w:val="pt-BR" w:eastAsia="es-ES"/>
        </w:rPr>
      </w:pPr>
      <w:r w:rsidRPr="00D5464D">
        <w:rPr>
          <w:rFonts w:eastAsia="MS Mincho" w:cs="Times New Roman"/>
          <w:bCs/>
          <w:i/>
          <w:sz w:val="16"/>
          <w:szCs w:val="16"/>
          <w:lang w:val="pt-BR" w:eastAsia="es-ES"/>
        </w:rPr>
        <w:t>ARTIGO 14. Proibição de discriminação. O gozo dos direitos e liberdades reconhecidos na presente Convenção deve ser assegurado sem quaisquer distinções, tais como as fundadas no sexo, raça, cor, língua, religião, opiniões políticas ou outras, a origem nacional ou social, a pertença a uma minoria nacional, a riqueza, o nascimento ou qualquer outra situação.</w:t>
      </w:r>
      <w:r w:rsidRPr="00D5464D">
        <w:rPr>
          <w:rFonts w:eastAsia="MS Mincho" w:cs="Times New Roman"/>
          <w:i/>
          <w:sz w:val="16"/>
          <w:szCs w:val="20"/>
          <w:vertAlign w:val="superscript"/>
          <w:lang w:val="pt-BR" w:eastAsia="es-ES"/>
        </w:rPr>
        <w:footnoteReference w:id="543"/>
      </w:r>
      <w:r w:rsidRPr="00D5464D">
        <w:rPr>
          <w:rFonts w:eastAsia="MS Mincho" w:cs="Times New Roman"/>
          <w:i/>
          <w:sz w:val="16"/>
          <w:szCs w:val="16"/>
          <w:lang w:val="pt-BR" w:eastAsia="es-ES"/>
        </w:rPr>
        <w:t xml:space="preserve"> </w:t>
      </w:r>
    </w:p>
    <w:p w14:paraId="2A7172E9" w14:textId="77777777" w:rsidR="00F16338" w:rsidRPr="00D5464D" w:rsidRDefault="00F16338" w:rsidP="00F16338">
      <w:pPr>
        <w:tabs>
          <w:tab w:val="clear" w:pos="4419"/>
          <w:tab w:val="clear" w:pos="8838"/>
        </w:tabs>
        <w:ind w:left="360"/>
        <w:jc w:val="both"/>
        <w:rPr>
          <w:rFonts w:eastAsia="MS Mincho" w:cs="Times New Roman"/>
          <w:bCs/>
          <w:i/>
          <w:sz w:val="16"/>
          <w:szCs w:val="16"/>
          <w:lang w:val="pt-BR" w:eastAsia="es-ES"/>
        </w:rPr>
      </w:pPr>
    </w:p>
    <w:p w14:paraId="5D521DD9" w14:textId="77777777" w:rsidR="00F16338" w:rsidRPr="00D5464D" w:rsidRDefault="00F16338" w:rsidP="00F16338">
      <w:pPr>
        <w:tabs>
          <w:tab w:val="clear" w:pos="4419"/>
          <w:tab w:val="clear" w:pos="8838"/>
        </w:tabs>
        <w:ind w:left="360"/>
        <w:jc w:val="both"/>
        <w:rPr>
          <w:rFonts w:eastAsia="MS Mincho" w:cs="Times New Roman"/>
          <w:i/>
          <w:sz w:val="16"/>
          <w:szCs w:val="16"/>
          <w:lang w:val="pt-BR" w:eastAsia="es-ES"/>
        </w:rPr>
      </w:pPr>
      <w:r w:rsidRPr="00D5464D">
        <w:rPr>
          <w:rFonts w:eastAsia="MS Mincho" w:cs="Times New Roman"/>
          <w:bCs/>
          <w:i/>
          <w:sz w:val="16"/>
          <w:szCs w:val="16"/>
          <w:lang w:val="pt-BR" w:eastAsia="es-ES"/>
        </w:rPr>
        <w:t>ARTIGO 1 do Protocolo 12. Interdição geral de discriminação 1. O gozo de todo e qualquer direito previsto na lei deve ser garantido sem discriminação alguma em razão, nomeadamente, do sexo, raça, cor, língua, religião, convicções políticas ou outras, origem nacional ou social, pertença a uma minoria nacional, riqueza, nascimento ou outra situação.</w:t>
      </w:r>
      <w:r w:rsidRPr="00D5464D">
        <w:rPr>
          <w:rFonts w:eastAsia="MS Mincho" w:cs="Times New Roman"/>
          <w:i/>
          <w:sz w:val="16"/>
          <w:szCs w:val="20"/>
          <w:vertAlign w:val="superscript"/>
          <w:lang w:val="pt-BR" w:eastAsia="es-ES"/>
        </w:rPr>
        <w:footnoteReference w:id="544"/>
      </w:r>
      <w:r w:rsidRPr="00D5464D">
        <w:rPr>
          <w:rFonts w:eastAsia="MS Mincho" w:cs="Times New Roman"/>
          <w:i/>
          <w:sz w:val="16"/>
          <w:szCs w:val="16"/>
          <w:lang w:val="pt-BR" w:eastAsia="es-ES"/>
        </w:rPr>
        <w:t xml:space="preserve"> </w:t>
      </w:r>
    </w:p>
    <w:p w14:paraId="324FF96E" w14:textId="77777777" w:rsidR="00F16338" w:rsidRPr="00D5464D" w:rsidRDefault="00F16338" w:rsidP="00F16338">
      <w:pPr>
        <w:tabs>
          <w:tab w:val="clear" w:pos="4419"/>
          <w:tab w:val="clear" w:pos="8838"/>
        </w:tabs>
        <w:contextualSpacing/>
        <w:jc w:val="both"/>
        <w:rPr>
          <w:rFonts w:eastAsia="Cambria" w:cs="Arial"/>
          <w:color w:val="000000"/>
          <w:szCs w:val="20"/>
          <w:lang w:val="pt-BR"/>
        </w:rPr>
      </w:pPr>
    </w:p>
    <w:p w14:paraId="4120C482" w14:textId="77777777" w:rsidR="00F16338" w:rsidRPr="00D5464D" w:rsidRDefault="00F16338" w:rsidP="00F306D7">
      <w:pPr>
        <w:numPr>
          <w:ilvl w:val="0"/>
          <w:numId w:val="26"/>
        </w:numPr>
        <w:tabs>
          <w:tab w:val="clear" w:pos="4419"/>
          <w:tab w:val="clear" w:pos="8838"/>
        </w:tabs>
        <w:contextualSpacing/>
        <w:jc w:val="both"/>
        <w:rPr>
          <w:rFonts w:eastAsia="Cambria" w:cs="Arial"/>
          <w:color w:val="000000"/>
          <w:szCs w:val="20"/>
          <w:lang w:val="pt-BR"/>
        </w:rPr>
      </w:pPr>
      <w:r w:rsidRPr="00D5464D">
        <w:rPr>
          <w:rFonts w:eastAsia="Cambria" w:cs="Arial"/>
          <w:color w:val="000000"/>
          <w:szCs w:val="20"/>
          <w:lang w:val="pt-BR"/>
        </w:rPr>
        <w:t>Em relação ao alcance do artigo 14 da Convenção Europeia (Proibição de discriminação à luz das disposições da Convenção) e do artigo 1º do Protocolo 12 (Interdição geral de discriminação à luz da legislação interna), o Tribunal Europeu especificou que, apesar da “diferença” de alcance entre as mesmas (disposições da Convenção e da lei interna), a interpretação da “proibição de discriminação” é idêntica em ambas as disposições; assim, o Tribunal Europeu aplica a mesma interpretação sobre a proibição de discriminação desenvolvida à luz do artigo 14 da Convenção Europeia para o artigo 1º do Protocolo 12.</w:t>
      </w:r>
      <w:r w:rsidRPr="00D5464D">
        <w:rPr>
          <w:rFonts w:eastAsia="Cambria" w:cs="Arial"/>
          <w:color w:val="000000"/>
          <w:szCs w:val="20"/>
          <w:vertAlign w:val="superscript"/>
          <w:lang w:val="pt-BR"/>
        </w:rPr>
        <w:footnoteReference w:id="545"/>
      </w:r>
    </w:p>
    <w:p w14:paraId="211F7703" w14:textId="77777777" w:rsidR="00F16338" w:rsidRPr="00D5464D" w:rsidRDefault="00F16338" w:rsidP="00F16338">
      <w:pPr>
        <w:tabs>
          <w:tab w:val="clear" w:pos="4419"/>
          <w:tab w:val="clear" w:pos="8838"/>
        </w:tabs>
        <w:contextualSpacing/>
        <w:jc w:val="both"/>
        <w:rPr>
          <w:rFonts w:eastAsia="Cambria" w:cs="System Font Regular"/>
          <w:b/>
          <w:i/>
          <w:color w:val="16191F"/>
          <w:szCs w:val="20"/>
          <w:lang w:val="pt-BR"/>
        </w:rPr>
      </w:pPr>
    </w:p>
    <w:p w14:paraId="4F256204" w14:textId="77777777" w:rsidR="00F16338" w:rsidRPr="00D5464D" w:rsidRDefault="00F16338" w:rsidP="00F306D7">
      <w:pPr>
        <w:numPr>
          <w:ilvl w:val="0"/>
          <w:numId w:val="26"/>
        </w:numPr>
        <w:tabs>
          <w:tab w:val="clear" w:pos="4419"/>
          <w:tab w:val="clear" w:pos="8838"/>
        </w:tabs>
        <w:contextualSpacing/>
        <w:jc w:val="both"/>
        <w:rPr>
          <w:rFonts w:eastAsia="Cambria" w:cs="System Font Regular"/>
          <w:b/>
          <w:i/>
          <w:color w:val="16191F"/>
          <w:szCs w:val="20"/>
          <w:lang w:val="pt-BR"/>
        </w:rPr>
      </w:pPr>
      <w:r w:rsidRPr="00D5464D">
        <w:rPr>
          <w:rFonts w:eastAsia="Cambria" w:cs="Times New Roman"/>
          <w:szCs w:val="20"/>
          <w:lang w:val="pt-BR"/>
        </w:rPr>
        <w:t xml:space="preserve">Independentemente disso, a Convenção Europeia não contém a discriminação por posição econômica ou por pobreza de maneira expressa. Isso não foi obstáculo para que o Tribunal Europeu desenvolvesse jurisprudência sobre as condições econômicas que muitas vítimas enfrentaram. </w:t>
      </w:r>
    </w:p>
    <w:p w14:paraId="682E0892" w14:textId="77777777" w:rsidR="00F16338" w:rsidRPr="00D5464D" w:rsidRDefault="00F16338" w:rsidP="00F16338">
      <w:pPr>
        <w:tabs>
          <w:tab w:val="clear" w:pos="4419"/>
          <w:tab w:val="clear" w:pos="8838"/>
        </w:tabs>
        <w:contextualSpacing/>
        <w:jc w:val="both"/>
        <w:rPr>
          <w:rFonts w:eastAsia="Cambria" w:cs="System Font Regular"/>
          <w:b/>
          <w:i/>
          <w:color w:val="16191F"/>
          <w:szCs w:val="20"/>
          <w:lang w:val="pt-BR"/>
        </w:rPr>
      </w:pPr>
    </w:p>
    <w:p w14:paraId="490BB011" w14:textId="77777777" w:rsidR="00F16338" w:rsidRPr="00D5464D" w:rsidRDefault="00F16338" w:rsidP="00F306D7">
      <w:pPr>
        <w:numPr>
          <w:ilvl w:val="0"/>
          <w:numId w:val="26"/>
        </w:numPr>
        <w:tabs>
          <w:tab w:val="clear" w:pos="4419"/>
          <w:tab w:val="clear" w:pos="8838"/>
        </w:tabs>
        <w:contextualSpacing/>
        <w:jc w:val="both"/>
        <w:rPr>
          <w:rFonts w:eastAsia="Cambria" w:cs="System Font Regular"/>
          <w:b/>
          <w:i/>
          <w:color w:val="16191F"/>
          <w:szCs w:val="20"/>
          <w:lang w:val="pt-BR"/>
        </w:rPr>
      </w:pPr>
      <w:r w:rsidRPr="00D5464D">
        <w:rPr>
          <w:rFonts w:eastAsia="Cambria" w:cs="System Font Regular"/>
          <w:color w:val="16191F"/>
          <w:szCs w:val="20"/>
          <w:lang w:val="pt-BR"/>
        </w:rPr>
        <w:t>Nesse sentido, o artigo 14 da CEDH foi associado, de maneira implícita, acessória e indireta, aos direitos e liberdades protegidos pela CEDH. Assim, a proibição de discriminação contemplada na Convenção Europeia foi relacionada ao direito à vida (art. 2 da CEDH) em razão das condições de vida ou de assistência;</w:t>
      </w:r>
      <w:r w:rsidRPr="00D5464D">
        <w:rPr>
          <w:rFonts w:eastAsia="Cambria" w:cs="Times New Roman"/>
          <w:szCs w:val="20"/>
          <w:vertAlign w:val="superscript"/>
          <w:lang w:val="pt-BR"/>
        </w:rPr>
        <w:footnoteReference w:id="546"/>
      </w:r>
      <w:r w:rsidRPr="00D5464D">
        <w:rPr>
          <w:rFonts w:eastAsia="Cambria" w:cs="System Font Regular"/>
          <w:color w:val="16191F"/>
          <w:szCs w:val="20"/>
          <w:lang w:val="pt-BR"/>
        </w:rPr>
        <w:t xml:space="preserve"> à proibição de tratamentos cruéis, desumanos ou degradantes ou ao respeito à vida privada e familiar (arts. 3 e 8 da CEDH), relacionando-os a um nível de vida digna</w:t>
      </w:r>
      <w:r w:rsidRPr="00D5464D">
        <w:rPr>
          <w:rFonts w:eastAsia="Cambria" w:cs="Times New Roman"/>
          <w:szCs w:val="20"/>
          <w:vertAlign w:val="superscript"/>
          <w:lang w:val="pt-BR"/>
        </w:rPr>
        <w:footnoteReference w:id="547"/>
      </w:r>
      <w:r w:rsidRPr="00D5464D">
        <w:rPr>
          <w:rFonts w:eastAsia="Cambria" w:cs="Times New Roman"/>
          <w:lang w:val="pt-BR"/>
        </w:rPr>
        <w:t xml:space="preserve"> ou ao direito à proteção da vida privada e familiar (art. 8 da CEDH), no tocante à privação dos direitos custódia de crianças e sua colocação em uma instituição estatal,</w:t>
      </w:r>
      <w:r w:rsidRPr="00D5464D">
        <w:rPr>
          <w:rFonts w:eastAsia="Cambria" w:cs="Times New Roman"/>
          <w:szCs w:val="20"/>
          <w:vertAlign w:val="superscript"/>
          <w:lang w:val="pt-BR"/>
        </w:rPr>
        <w:footnoteReference w:id="548"/>
      </w:r>
      <w:r w:rsidRPr="00D5464D">
        <w:rPr>
          <w:rFonts w:eastAsia="Cambria" w:cs="Times New Roman"/>
          <w:lang w:val="pt-BR"/>
        </w:rPr>
        <w:t xml:space="preserve"> e ao direito de propriedade (art. 1º do Protocolo nº 1 da CEDH).</w:t>
      </w:r>
      <w:r w:rsidRPr="00D5464D">
        <w:rPr>
          <w:rFonts w:eastAsia="Cambria" w:cs="Times New Roman"/>
          <w:szCs w:val="20"/>
          <w:vertAlign w:val="superscript"/>
          <w:lang w:val="pt-BR"/>
        </w:rPr>
        <w:footnoteReference w:id="549"/>
      </w:r>
    </w:p>
    <w:p w14:paraId="606E4CA6" w14:textId="77777777" w:rsidR="00F16338" w:rsidRPr="00D5464D" w:rsidRDefault="00F16338" w:rsidP="00F16338">
      <w:pPr>
        <w:tabs>
          <w:tab w:val="clear" w:pos="4419"/>
          <w:tab w:val="clear" w:pos="8838"/>
        </w:tabs>
        <w:rPr>
          <w:rFonts w:eastAsia="MS Mincho" w:cs="System Font Regular"/>
          <w:b/>
          <w:i/>
          <w:color w:val="16191F"/>
          <w:sz w:val="24"/>
          <w:szCs w:val="20"/>
          <w:lang w:val="pt-BR" w:eastAsia="es-ES"/>
        </w:rPr>
      </w:pPr>
    </w:p>
    <w:p w14:paraId="027F594B" w14:textId="77777777" w:rsidR="00F16338" w:rsidRPr="00D5464D" w:rsidRDefault="00F16338" w:rsidP="00F306D7">
      <w:pPr>
        <w:numPr>
          <w:ilvl w:val="0"/>
          <w:numId w:val="26"/>
        </w:numPr>
        <w:tabs>
          <w:tab w:val="clear" w:pos="4419"/>
          <w:tab w:val="clear" w:pos="8838"/>
        </w:tabs>
        <w:contextualSpacing/>
        <w:jc w:val="both"/>
        <w:rPr>
          <w:rFonts w:eastAsia="Cambria" w:cs="System Font Regular"/>
          <w:b/>
          <w:i/>
          <w:color w:val="16191F"/>
          <w:szCs w:val="20"/>
          <w:lang w:val="pt-BR"/>
        </w:rPr>
      </w:pPr>
      <w:r w:rsidRPr="00D5464D">
        <w:rPr>
          <w:rFonts w:eastAsia="Cambria" w:cs="System Font Regular"/>
          <w:color w:val="16191F"/>
          <w:szCs w:val="20"/>
          <w:lang w:val="pt-BR"/>
        </w:rPr>
        <w:t xml:space="preserve">De igual maneira, no seio do Sistema Europeu encontramos um dado marcante no artigo 30 da Carta Social Europeia, </w:t>
      </w:r>
      <w:r w:rsidRPr="00D5464D">
        <w:rPr>
          <w:rFonts w:eastAsia="Cambria" w:cs="Times New Roman"/>
          <w:lang w:val="pt-BR"/>
        </w:rPr>
        <w:t xml:space="preserve">que protege às </w:t>
      </w:r>
      <w:r w:rsidRPr="00D5464D">
        <w:rPr>
          <w:rFonts w:eastAsia="Cambria" w:cs="Times New Roman"/>
          <w:i/>
          <w:lang w:val="pt-BR"/>
        </w:rPr>
        <w:t xml:space="preserve">pessoas contra a pobreza e a exclusão social, </w:t>
      </w:r>
      <w:r w:rsidRPr="00D5464D">
        <w:rPr>
          <w:rFonts w:eastAsia="Cambria" w:cs="Times New Roman"/>
          <w:lang w:val="pt-BR"/>
        </w:rPr>
        <w:t xml:space="preserve">de maneira que os Estados se comprometem “a tomar medidas, no quadro de uma abordagem global e coordenada, para promover o acesso efetivo, designadamente, ao emprego, à habitação, à formação, ao ensino, à cultura, à assistência social e médica das </w:t>
      </w:r>
      <w:r w:rsidRPr="00D5464D">
        <w:rPr>
          <w:rFonts w:eastAsia="Cambria" w:cs="Times New Roman"/>
          <w:i/>
          <w:lang w:val="pt-BR"/>
        </w:rPr>
        <w:t>pessoas que se encontrem ou corram o risco de se encontrar em uma situação de exclusão social ou de pobreza, e da sua família</w:t>
      </w:r>
      <w:r w:rsidRPr="00D5464D">
        <w:rPr>
          <w:rFonts w:eastAsia="Cambria" w:cs="Times New Roman"/>
          <w:lang w:val="pt-BR"/>
        </w:rPr>
        <w:t>”.</w:t>
      </w:r>
      <w:r w:rsidRPr="00D5464D">
        <w:rPr>
          <w:rFonts w:eastAsia="Cambria" w:cs="Times New Roman"/>
          <w:szCs w:val="20"/>
          <w:vertAlign w:val="superscript"/>
          <w:lang w:val="pt-BR"/>
        </w:rPr>
        <w:footnoteReference w:id="550"/>
      </w:r>
      <w:r w:rsidRPr="00D5464D">
        <w:rPr>
          <w:rFonts w:eastAsia="Cambria" w:cs="Times New Roman"/>
          <w:lang w:val="pt-BR"/>
        </w:rPr>
        <w:t xml:space="preserve"> </w:t>
      </w:r>
    </w:p>
    <w:p w14:paraId="6A9155AE" w14:textId="77777777" w:rsidR="00F16338" w:rsidRPr="00D5464D" w:rsidRDefault="00F16338" w:rsidP="00F16338">
      <w:pPr>
        <w:tabs>
          <w:tab w:val="clear" w:pos="4419"/>
          <w:tab w:val="clear" w:pos="8838"/>
        </w:tabs>
        <w:rPr>
          <w:rFonts w:eastAsia="MS Mincho" w:cs="Times New Roman"/>
          <w:sz w:val="24"/>
          <w:szCs w:val="24"/>
          <w:lang w:val="pt-BR" w:eastAsia="es-ES"/>
        </w:rPr>
      </w:pPr>
    </w:p>
    <w:p w14:paraId="6490E055" w14:textId="77777777" w:rsidR="00F16338" w:rsidRPr="00D5464D" w:rsidRDefault="00F16338" w:rsidP="00F306D7">
      <w:pPr>
        <w:numPr>
          <w:ilvl w:val="0"/>
          <w:numId w:val="26"/>
        </w:numPr>
        <w:tabs>
          <w:tab w:val="clear" w:pos="4419"/>
          <w:tab w:val="clear" w:pos="8838"/>
        </w:tabs>
        <w:contextualSpacing/>
        <w:jc w:val="both"/>
        <w:rPr>
          <w:rFonts w:eastAsia="Cambria" w:cs="System Font Regular"/>
          <w:b/>
          <w:i/>
          <w:color w:val="16191F"/>
          <w:szCs w:val="20"/>
          <w:lang w:val="pt-BR"/>
        </w:rPr>
      </w:pPr>
      <w:r w:rsidRPr="00D5464D">
        <w:rPr>
          <w:rFonts w:eastAsia="Cambria" w:cs="Times New Roman"/>
          <w:lang w:val="pt-BR"/>
        </w:rPr>
        <w:t xml:space="preserve">Este preceito da </w:t>
      </w:r>
      <w:r w:rsidRPr="00D5464D">
        <w:rPr>
          <w:rFonts w:eastAsia="Cambria" w:cs="Times New Roman"/>
          <w:i/>
          <w:lang w:val="pt-BR"/>
        </w:rPr>
        <w:t>Carta Social Europeia</w:t>
      </w:r>
      <w:r w:rsidRPr="00D5464D">
        <w:rPr>
          <w:rFonts w:eastAsia="Cambria" w:cs="Times New Roman"/>
          <w:lang w:val="pt-BR"/>
        </w:rPr>
        <w:t xml:space="preserve"> tem a finalidade explícita de aliviar a pobreza e a exclusão social, obrigando os Estados a adotar um enfoque integral a respeito dessas questões. Assim, entende-se por pobreza as circunstâncias que vão desde a pobreza extrema, por várias gerações nas respectivas famílias, àquelas em que as pessoas estão expostas provisoriamente ao risco de sofrê-la. Por sua vez, a expressão exclusão social é entendida como a situação das pessoas que se encontram em uma posição de pobreza extrema devido a uma acumulação de desvantagens, que sofrem situações ou acontecimentos degradantes ou marginalização, cujos direitos a receber certos benefícios (oferecidos pelo Estado) podem ter expirado há algum tempo ou cujas situações são produto de circunstâncias sobrepostas.</w:t>
      </w:r>
      <w:r w:rsidRPr="00D5464D">
        <w:rPr>
          <w:rFonts w:eastAsia="Cambria" w:cs="Times New Roman"/>
          <w:szCs w:val="20"/>
          <w:vertAlign w:val="superscript"/>
          <w:lang w:val="pt-BR"/>
        </w:rPr>
        <w:footnoteReference w:id="551"/>
      </w:r>
      <w:r w:rsidRPr="00D5464D">
        <w:rPr>
          <w:rFonts w:eastAsia="Cambria" w:cs="Times New Roman"/>
          <w:lang w:val="pt-BR"/>
        </w:rPr>
        <w:t xml:space="preserve"> </w:t>
      </w:r>
    </w:p>
    <w:p w14:paraId="24FB11D8" w14:textId="77777777" w:rsidR="00F16338" w:rsidRPr="00D5464D" w:rsidRDefault="00F16338" w:rsidP="00F16338">
      <w:pPr>
        <w:tabs>
          <w:tab w:val="clear" w:pos="4419"/>
          <w:tab w:val="clear" w:pos="8838"/>
        </w:tabs>
        <w:contextualSpacing/>
        <w:jc w:val="both"/>
        <w:rPr>
          <w:rFonts w:eastAsia="Cambria" w:cs="System Font Regular"/>
          <w:b/>
          <w:i/>
          <w:color w:val="16191F"/>
          <w:szCs w:val="20"/>
          <w:lang w:val="pt-BR"/>
        </w:rPr>
      </w:pPr>
    </w:p>
    <w:p w14:paraId="4EE853B3" w14:textId="77777777" w:rsidR="00F16338" w:rsidRPr="00D5464D" w:rsidRDefault="00F16338" w:rsidP="00F16338">
      <w:pPr>
        <w:tabs>
          <w:tab w:val="clear" w:pos="4419"/>
          <w:tab w:val="clear" w:pos="8838"/>
        </w:tabs>
        <w:contextualSpacing/>
        <w:jc w:val="both"/>
        <w:rPr>
          <w:rFonts w:eastAsia="Cambria" w:cs="Times New Roman"/>
          <w:i/>
          <w:szCs w:val="20"/>
          <w:lang w:val="pt-BR"/>
        </w:rPr>
      </w:pPr>
      <w:r w:rsidRPr="00D5464D">
        <w:rPr>
          <w:rFonts w:eastAsia="Cambria" w:cs="Times New Roman"/>
          <w:i/>
          <w:szCs w:val="20"/>
          <w:lang w:val="pt-BR"/>
        </w:rPr>
        <w:t>ii) Sistema Africano de Direitos Humanos</w:t>
      </w:r>
    </w:p>
    <w:p w14:paraId="41DFD7C3" w14:textId="77777777" w:rsidR="00F16338" w:rsidRPr="00D5464D" w:rsidRDefault="00F16338" w:rsidP="00F16338">
      <w:pPr>
        <w:tabs>
          <w:tab w:val="clear" w:pos="4419"/>
          <w:tab w:val="clear" w:pos="8838"/>
        </w:tabs>
        <w:contextualSpacing/>
        <w:jc w:val="both"/>
        <w:rPr>
          <w:rFonts w:eastAsia="Cambria" w:cs="System Font Regular"/>
          <w:b/>
          <w:color w:val="16191F"/>
          <w:szCs w:val="20"/>
          <w:lang w:val="pt-BR"/>
        </w:rPr>
      </w:pPr>
    </w:p>
    <w:p w14:paraId="43653698" w14:textId="77777777" w:rsidR="00F16338" w:rsidRPr="00D5464D" w:rsidRDefault="00F16338" w:rsidP="00F306D7">
      <w:pPr>
        <w:numPr>
          <w:ilvl w:val="0"/>
          <w:numId w:val="26"/>
        </w:numPr>
        <w:tabs>
          <w:tab w:val="clear" w:pos="4419"/>
          <w:tab w:val="clear" w:pos="8838"/>
        </w:tabs>
        <w:contextualSpacing/>
        <w:jc w:val="both"/>
        <w:rPr>
          <w:rFonts w:eastAsia="Cambria" w:cs="System Font Regular"/>
          <w:b/>
          <w:i/>
          <w:color w:val="16191F"/>
          <w:szCs w:val="20"/>
          <w:lang w:val="pt-BR"/>
        </w:rPr>
      </w:pPr>
      <w:r w:rsidRPr="00D5464D">
        <w:rPr>
          <w:rFonts w:eastAsia="Cambria" w:cs="Times New Roman"/>
          <w:szCs w:val="20"/>
          <w:lang w:val="pt-BR"/>
        </w:rPr>
        <w:t>A</w:t>
      </w:r>
      <w:r w:rsidRPr="00D5464D">
        <w:rPr>
          <w:rFonts w:eastAsia="Cambria" w:cs="Times New Roman"/>
          <w:b/>
          <w:i/>
          <w:szCs w:val="20"/>
          <w:lang w:val="pt-BR"/>
        </w:rPr>
        <w:t xml:space="preserve"> </w:t>
      </w:r>
      <w:r w:rsidRPr="00D5464D">
        <w:rPr>
          <w:rFonts w:eastAsia="Cambria" w:cs="System Font Regular"/>
          <w:color w:val="16191F"/>
          <w:szCs w:val="20"/>
          <w:lang w:val="pt-BR"/>
        </w:rPr>
        <w:t>Carta Africana de Direitos Humanos e dos Povos —ou Carta de Banjul— dispõe em seu artigo 2º que “[t]oda pessoa tem direito ao gozo dos direitos e liberdades reconhecidos e garantidos na presente Carta, sem nenhuma distinção, nomeadamente de raça, de etnia, de cor, de sexo, de língua, de religião, de opinião política ou de qualquer outra opinião, de origem nacional ou social, de fortuna, de nascimento ou de qualquer outra situação”. Nesse sentido, nem a posição econômica nem a pobreza são categorias de proteção especial de maneira expressa, o que não impede que sejam incorporadas mediante “</w:t>
      </w:r>
      <w:r w:rsidRPr="00D5464D">
        <w:rPr>
          <w:rFonts w:eastAsia="Cambria" w:cs="System Font Regular"/>
          <w:i/>
          <w:color w:val="16191F"/>
          <w:szCs w:val="20"/>
          <w:lang w:val="pt-BR"/>
        </w:rPr>
        <w:t>qualquer outra situação</w:t>
      </w:r>
      <w:r w:rsidRPr="00D5464D">
        <w:rPr>
          <w:rFonts w:eastAsia="Cambria" w:cs="System Font Regular"/>
          <w:color w:val="16191F"/>
          <w:szCs w:val="20"/>
          <w:lang w:val="pt-BR"/>
        </w:rPr>
        <w:t>”.</w:t>
      </w:r>
    </w:p>
    <w:p w14:paraId="1CEC4E7F" w14:textId="77777777" w:rsidR="00F16338" w:rsidRPr="00D5464D" w:rsidRDefault="00F16338" w:rsidP="00F16338">
      <w:pPr>
        <w:tabs>
          <w:tab w:val="clear" w:pos="4419"/>
          <w:tab w:val="clear" w:pos="8838"/>
        </w:tabs>
        <w:contextualSpacing/>
        <w:jc w:val="both"/>
        <w:rPr>
          <w:rFonts w:eastAsia="Cambria" w:cs="System Font Regular"/>
          <w:b/>
          <w:i/>
          <w:color w:val="16191F"/>
          <w:szCs w:val="20"/>
          <w:lang w:val="pt-BR"/>
        </w:rPr>
      </w:pPr>
    </w:p>
    <w:p w14:paraId="308C197B" w14:textId="77777777" w:rsidR="00F16338" w:rsidRPr="00D5464D" w:rsidRDefault="00F16338" w:rsidP="00F306D7">
      <w:pPr>
        <w:numPr>
          <w:ilvl w:val="0"/>
          <w:numId w:val="26"/>
        </w:numPr>
        <w:tabs>
          <w:tab w:val="clear" w:pos="4419"/>
          <w:tab w:val="clear" w:pos="8838"/>
        </w:tabs>
        <w:contextualSpacing/>
        <w:jc w:val="both"/>
        <w:rPr>
          <w:rFonts w:eastAsia="Cambria" w:cs="System Font Regular"/>
          <w:b/>
          <w:i/>
          <w:color w:val="16191F"/>
          <w:szCs w:val="20"/>
          <w:lang w:val="pt-BR"/>
        </w:rPr>
      </w:pPr>
      <w:r w:rsidRPr="00D5464D">
        <w:rPr>
          <w:rFonts w:eastAsia="Cambria" w:cs="System Font Regular"/>
          <w:color w:val="16191F"/>
          <w:szCs w:val="20"/>
          <w:lang w:val="pt-BR"/>
        </w:rPr>
        <w:t xml:space="preserve">No caso </w:t>
      </w:r>
      <w:r w:rsidRPr="00D5464D">
        <w:rPr>
          <w:rFonts w:eastAsia="Cambria" w:cs="System Font Regular"/>
          <w:i/>
          <w:color w:val="16191F"/>
          <w:szCs w:val="20"/>
          <w:lang w:val="pt-BR"/>
        </w:rPr>
        <w:t>Endorois Vs. Quênia</w:t>
      </w:r>
      <w:r w:rsidRPr="00D5464D">
        <w:rPr>
          <w:rFonts w:eastAsia="Cambria" w:cs="System Font Regular"/>
          <w:color w:val="16191F"/>
          <w:szCs w:val="20"/>
          <w:lang w:val="pt-BR"/>
        </w:rPr>
        <w:t xml:space="preserve">, a Comissão Africana de Direitos Humanos e dos Povos considerou, no contexto de violação ao artigo 17.2 (participação na vida cultural da comunidade) e 17.3 (proteção dos valores culturais), que o Estado deveria tomar ações positivas para erradicar as dificuldades que as comunidades indígenas enfrentavam, entre elas, a pobreza extrema. Assim, estabeleceu que: </w:t>
      </w:r>
    </w:p>
    <w:p w14:paraId="09BA5822" w14:textId="77777777" w:rsidR="00F16338" w:rsidRPr="00D5464D" w:rsidRDefault="00F16338" w:rsidP="00F16338">
      <w:pPr>
        <w:tabs>
          <w:tab w:val="clear" w:pos="4419"/>
          <w:tab w:val="clear" w:pos="8838"/>
        </w:tabs>
        <w:rPr>
          <w:rFonts w:eastAsia="MS Mincho" w:cs="System Font Regular"/>
          <w:color w:val="16191F"/>
          <w:sz w:val="24"/>
          <w:szCs w:val="20"/>
          <w:lang w:val="pt-BR" w:eastAsia="es-ES"/>
        </w:rPr>
      </w:pPr>
    </w:p>
    <w:p w14:paraId="4CD3B8AA" w14:textId="77777777" w:rsidR="00F16338" w:rsidRPr="00D5464D" w:rsidRDefault="00F16338" w:rsidP="00F16338">
      <w:pPr>
        <w:tabs>
          <w:tab w:val="clear" w:pos="4419"/>
          <w:tab w:val="clear" w:pos="8838"/>
        </w:tabs>
        <w:ind w:left="708"/>
        <w:contextualSpacing/>
        <w:jc w:val="both"/>
        <w:rPr>
          <w:rFonts w:eastAsia="Cambria" w:cs="System Font Regular"/>
          <w:b/>
          <w:i/>
          <w:color w:val="16191F"/>
          <w:sz w:val="16"/>
          <w:szCs w:val="16"/>
          <w:u w:val="single"/>
          <w:lang w:val="pt-BR"/>
        </w:rPr>
      </w:pPr>
      <w:r w:rsidRPr="00D5464D">
        <w:rPr>
          <w:rFonts w:eastAsia="Cambria" w:cs="System Font Regular"/>
          <w:i/>
          <w:color w:val="16191F"/>
          <w:sz w:val="16"/>
          <w:szCs w:val="16"/>
          <w:lang w:val="pt-BR"/>
        </w:rPr>
        <w:t xml:space="preserve">48. […] o Estado demandado tem uma obrigação reforçada, não apenas no sentido de tomar medidas positivas para proteger os grupos e comunidades, como os Endorois, mas também deve promover os direitos culturais, incluindo a criação de políticas, instituições ou outros mecanismos que deem oportunidade à existência de diferentes culturas e formas de vida, em razão dos desafios enfrentados pelas comunidades indígenas. Dentre esses desafios estão </w:t>
      </w:r>
      <w:r w:rsidRPr="00D5464D">
        <w:rPr>
          <w:rFonts w:eastAsia="Cambria" w:cs="System Font Regular"/>
          <w:i/>
          <w:color w:val="16191F"/>
          <w:sz w:val="16"/>
          <w:szCs w:val="16"/>
          <w:u w:val="single"/>
          <w:lang w:val="pt-BR"/>
        </w:rPr>
        <w:t xml:space="preserve">a exclusão, a exploração, a discriminação e a pobreza extrema </w:t>
      </w:r>
      <w:r w:rsidRPr="00D5464D">
        <w:rPr>
          <w:rFonts w:eastAsia="Cambria" w:cs="System Font Regular"/>
          <w:i/>
          <w:color w:val="16191F"/>
          <w:sz w:val="16"/>
          <w:szCs w:val="16"/>
          <w:lang w:val="pt-BR"/>
        </w:rPr>
        <w:t>[…].</w:t>
      </w:r>
      <w:r w:rsidRPr="00D5464D">
        <w:rPr>
          <w:rFonts w:eastAsia="Cambria" w:cs="Times New Roman"/>
          <w:i/>
          <w:color w:val="16191F"/>
          <w:sz w:val="16"/>
          <w:szCs w:val="16"/>
          <w:vertAlign w:val="superscript"/>
          <w:lang w:val="pt-BR"/>
        </w:rPr>
        <w:footnoteReference w:id="552"/>
      </w:r>
    </w:p>
    <w:p w14:paraId="716020F4" w14:textId="77777777" w:rsidR="00F16338" w:rsidRPr="00D5464D" w:rsidRDefault="00F16338" w:rsidP="00F16338">
      <w:pPr>
        <w:tabs>
          <w:tab w:val="clear" w:pos="4419"/>
          <w:tab w:val="clear" w:pos="8838"/>
        </w:tabs>
        <w:rPr>
          <w:rFonts w:eastAsia="MS Mincho" w:cs="System Font Regular"/>
          <w:b/>
          <w:i/>
          <w:color w:val="16191F"/>
          <w:sz w:val="24"/>
          <w:szCs w:val="20"/>
          <w:lang w:val="pt-BR" w:eastAsia="es-ES"/>
        </w:rPr>
      </w:pPr>
    </w:p>
    <w:p w14:paraId="0FDD309F" w14:textId="77777777" w:rsidR="00F16338" w:rsidRPr="00D5464D" w:rsidRDefault="00F16338" w:rsidP="00F306D7">
      <w:pPr>
        <w:numPr>
          <w:ilvl w:val="0"/>
          <w:numId w:val="26"/>
        </w:numPr>
        <w:tabs>
          <w:tab w:val="clear" w:pos="4419"/>
          <w:tab w:val="clear" w:pos="8838"/>
        </w:tabs>
        <w:contextualSpacing/>
        <w:jc w:val="both"/>
        <w:rPr>
          <w:rFonts w:eastAsia="Cambria" w:cs="System Font Regular"/>
          <w:b/>
          <w:color w:val="16191F"/>
          <w:szCs w:val="20"/>
          <w:lang w:val="pt-BR"/>
        </w:rPr>
      </w:pPr>
      <w:r w:rsidRPr="00D5464D">
        <w:rPr>
          <w:rFonts w:eastAsia="Cambria" w:cs="System Font Regular"/>
          <w:color w:val="16191F"/>
          <w:szCs w:val="20"/>
          <w:lang w:val="pt-BR"/>
        </w:rPr>
        <w:t xml:space="preserve">Mesmo que a Carta de Banjul seja um dos instrumentos mais progressistas quanto à incorporação de direitos —ao reconhecer expressamente o </w:t>
      </w:r>
      <w:r w:rsidRPr="00D5464D">
        <w:rPr>
          <w:rFonts w:eastAsia="Cambria" w:cs="System Font Regular"/>
          <w:i/>
          <w:color w:val="16191F"/>
          <w:szCs w:val="20"/>
          <w:lang w:val="pt-BR"/>
        </w:rPr>
        <w:t>Direito ao Desenvolvimento</w:t>
      </w:r>
      <w:r w:rsidRPr="00D5464D">
        <w:rPr>
          <w:rFonts w:eastAsia="Cambria" w:cs="System Font Regular"/>
          <w:color w:val="16191F"/>
          <w:szCs w:val="20"/>
          <w:lang w:val="pt-BR"/>
        </w:rPr>
        <w:t xml:space="preserve"> em seu artigo 22—é certo que o Sistema Africano não conta com grandes desenvolvimentos jurisprudenciais sobre as condições de pobreza ou a posição econômica,</w:t>
      </w:r>
      <w:r w:rsidRPr="00D5464D">
        <w:rPr>
          <w:rFonts w:eastAsia="Cambria" w:cs="Times New Roman"/>
          <w:color w:val="16191F"/>
          <w:szCs w:val="20"/>
          <w:vertAlign w:val="superscript"/>
          <w:lang w:val="pt-BR"/>
        </w:rPr>
        <w:footnoteReference w:id="553"/>
      </w:r>
      <w:r w:rsidRPr="00D5464D">
        <w:rPr>
          <w:rFonts w:eastAsia="Cambria" w:cs="System Font Regular"/>
          <w:color w:val="16191F"/>
          <w:szCs w:val="20"/>
          <w:lang w:val="pt-BR"/>
        </w:rPr>
        <w:t xml:space="preserve"> em grande medida dado o contexto do continente africano.  </w:t>
      </w:r>
    </w:p>
    <w:p w14:paraId="339F0088" w14:textId="77777777" w:rsidR="00F16338" w:rsidRPr="00D5464D" w:rsidRDefault="00F16338" w:rsidP="00F16338">
      <w:pPr>
        <w:tabs>
          <w:tab w:val="clear" w:pos="4419"/>
          <w:tab w:val="clear" w:pos="8838"/>
        </w:tabs>
        <w:contextualSpacing/>
        <w:jc w:val="both"/>
        <w:rPr>
          <w:rFonts w:eastAsia="Cambria" w:cs="Times New Roman"/>
          <w:i/>
          <w:szCs w:val="20"/>
          <w:lang w:val="pt-BR"/>
        </w:rPr>
      </w:pPr>
    </w:p>
    <w:p w14:paraId="75E420CB" w14:textId="77777777" w:rsidR="00F16338" w:rsidRPr="00D5464D" w:rsidRDefault="00F16338" w:rsidP="00F16338">
      <w:pPr>
        <w:tabs>
          <w:tab w:val="clear" w:pos="4419"/>
          <w:tab w:val="clear" w:pos="8838"/>
        </w:tabs>
        <w:contextualSpacing/>
        <w:jc w:val="both"/>
        <w:rPr>
          <w:rFonts w:eastAsia="Cambria" w:cs="Times New Roman"/>
          <w:i/>
          <w:szCs w:val="20"/>
          <w:lang w:val="pt-BR"/>
        </w:rPr>
      </w:pPr>
    </w:p>
    <w:p w14:paraId="4BCAFF36" w14:textId="77777777" w:rsidR="00F16338" w:rsidRPr="00D5464D" w:rsidRDefault="00F16338" w:rsidP="00F16338">
      <w:pPr>
        <w:tabs>
          <w:tab w:val="clear" w:pos="4419"/>
          <w:tab w:val="clear" w:pos="8838"/>
        </w:tabs>
        <w:contextualSpacing/>
        <w:jc w:val="both"/>
        <w:rPr>
          <w:rFonts w:eastAsia="Cambria" w:cs="Times New Roman"/>
          <w:i/>
          <w:szCs w:val="20"/>
          <w:lang w:val="pt-BR"/>
        </w:rPr>
      </w:pPr>
      <w:r w:rsidRPr="00D5464D">
        <w:rPr>
          <w:rFonts w:eastAsia="Cambria" w:cs="Times New Roman"/>
          <w:i/>
          <w:szCs w:val="20"/>
          <w:lang w:val="pt-BR"/>
        </w:rPr>
        <w:t>iii) Sistema Universal de Direitos Humanos</w:t>
      </w:r>
    </w:p>
    <w:p w14:paraId="45AD9102" w14:textId="77777777" w:rsidR="00F16338" w:rsidRPr="00D5464D" w:rsidRDefault="00F16338" w:rsidP="00F16338">
      <w:pPr>
        <w:tabs>
          <w:tab w:val="clear" w:pos="4419"/>
          <w:tab w:val="clear" w:pos="8838"/>
        </w:tabs>
        <w:contextualSpacing/>
        <w:jc w:val="both"/>
        <w:rPr>
          <w:rFonts w:eastAsia="Cambria" w:cs="Times New Roman"/>
          <w:i/>
          <w:szCs w:val="20"/>
          <w:lang w:val="pt-BR"/>
        </w:rPr>
      </w:pPr>
    </w:p>
    <w:p w14:paraId="2EA0E420" w14:textId="77777777" w:rsidR="00F16338" w:rsidRPr="00D5464D" w:rsidRDefault="00F16338" w:rsidP="00F306D7">
      <w:pPr>
        <w:numPr>
          <w:ilvl w:val="0"/>
          <w:numId w:val="26"/>
        </w:numPr>
        <w:tabs>
          <w:tab w:val="clear" w:pos="4419"/>
          <w:tab w:val="clear" w:pos="8838"/>
        </w:tabs>
        <w:contextualSpacing/>
        <w:jc w:val="both"/>
        <w:rPr>
          <w:rFonts w:eastAsia="Cambria" w:cs="Times New Roman"/>
          <w:szCs w:val="20"/>
          <w:lang w:val="pt-BR"/>
        </w:rPr>
      </w:pPr>
      <w:r w:rsidRPr="00D5464D">
        <w:rPr>
          <w:rFonts w:eastAsia="Cambria" w:cs="Times New Roman"/>
          <w:szCs w:val="20"/>
          <w:lang w:val="pt-BR"/>
        </w:rPr>
        <w:t>Quanto ao Sistema Universal de Direitos Humanos, quatro instrumentos definiram o que se deve entender pelo termo “discriminação”: i) a Convenção Nº 111 da Organização Internacional do Trabalho relativa à discriminação em matéria de emprego e profissão (1958);</w:t>
      </w:r>
      <w:r w:rsidRPr="00D5464D">
        <w:rPr>
          <w:rFonts w:eastAsia="Cambria" w:cs="Times New Roman"/>
          <w:szCs w:val="20"/>
          <w:vertAlign w:val="superscript"/>
          <w:lang w:val="pt-BR"/>
        </w:rPr>
        <w:footnoteReference w:id="554"/>
      </w:r>
      <w:r w:rsidRPr="00D5464D">
        <w:rPr>
          <w:rFonts w:eastAsia="Cambria" w:cs="Times New Roman"/>
          <w:szCs w:val="20"/>
          <w:lang w:val="pt-BR"/>
        </w:rPr>
        <w:t xml:space="preserve"> ii) a </w:t>
      </w:r>
      <w:r w:rsidRPr="00D5464D">
        <w:rPr>
          <w:rFonts w:eastAsia="Cambria" w:cs="Georgia"/>
          <w:color w:val="262626"/>
          <w:szCs w:val="20"/>
          <w:lang w:val="pt-BR"/>
        </w:rPr>
        <w:t>Convenção da UNESCO relativa à luta contra a discriminação no campo do ensino (1960);</w:t>
      </w:r>
      <w:r w:rsidRPr="00D5464D">
        <w:rPr>
          <w:rFonts w:eastAsia="Cambria" w:cs="Georgia"/>
          <w:color w:val="262626"/>
          <w:szCs w:val="20"/>
          <w:vertAlign w:val="superscript"/>
          <w:lang w:val="pt-BR"/>
        </w:rPr>
        <w:footnoteReference w:id="555"/>
      </w:r>
      <w:r w:rsidRPr="00D5464D">
        <w:rPr>
          <w:rFonts w:eastAsia="Cambria" w:cs="Times New Roman"/>
          <w:szCs w:val="20"/>
          <w:lang w:val="pt-BR"/>
        </w:rPr>
        <w:t xml:space="preserve"> iii) a Convenção sobre a eliminação de Todas as Formas de Discriminação Racial (1965)</w:t>
      </w:r>
      <w:r w:rsidRPr="00D5464D">
        <w:rPr>
          <w:rFonts w:eastAsia="Cambria" w:cs="Times New Roman"/>
          <w:szCs w:val="20"/>
          <w:vertAlign w:val="superscript"/>
          <w:lang w:val="pt-BR"/>
        </w:rPr>
        <w:footnoteReference w:id="556"/>
      </w:r>
      <w:r w:rsidRPr="00D5464D">
        <w:rPr>
          <w:rFonts w:eastAsia="Cambria" w:cs="Times New Roman"/>
          <w:szCs w:val="20"/>
          <w:lang w:val="pt-BR"/>
        </w:rPr>
        <w:t>; e</w:t>
      </w:r>
      <w:r w:rsidRPr="00D5464D">
        <w:rPr>
          <w:rFonts w:eastAsia="Cambria" w:cs="Georgia"/>
          <w:color w:val="262626"/>
          <w:szCs w:val="20"/>
          <w:lang w:val="pt-BR"/>
        </w:rPr>
        <w:t xml:space="preserve"> iv) a </w:t>
      </w:r>
      <w:r w:rsidRPr="00D5464D">
        <w:rPr>
          <w:rFonts w:eastAsia="Cambria" w:cs="Times New Roman"/>
          <w:szCs w:val="20"/>
          <w:lang w:val="pt-BR"/>
        </w:rPr>
        <w:t>Convenção sobre a Eliminação de Todas as Formas de Discriminação contra a Mulher (1979).</w:t>
      </w:r>
      <w:r w:rsidRPr="00D5464D">
        <w:rPr>
          <w:rFonts w:eastAsia="Cambria" w:cs="Times New Roman"/>
          <w:szCs w:val="20"/>
          <w:vertAlign w:val="superscript"/>
          <w:lang w:val="pt-BR"/>
        </w:rPr>
        <w:footnoteReference w:id="557"/>
      </w:r>
      <w:r w:rsidRPr="00D5464D">
        <w:rPr>
          <w:rFonts w:eastAsia="Cambria" w:cs="Times New Roman"/>
          <w:szCs w:val="20"/>
          <w:lang w:val="pt-BR"/>
        </w:rPr>
        <w:t xml:space="preserve"> Isto é, estas definições reconhecem como categorias expressas a </w:t>
      </w:r>
      <w:r w:rsidRPr="00D5464D">
        <w:rPr>
          <w:rFonts w:eastAsia="Cambria" w:cs="Verdana"/>
          <w:szCs w:val="20"/>
          <w:lang w:val="pt-BR"/>
        </w:rPr>
        <w:t xml:space="preserve">proibição de discriminação por motivo de raça, cor, origem nacional, origem étnica, sexo, religião, idioma, opinião política ou de qualquer outra natureza, de nascimento, ascendência nacional ou origem social. Quanto à “posição econômica”, apenas a </w:t>
      </w:r>
      <w:r w:rsidRPr="00D5464D">
        <w:rPr>
          <w:rFonts w:eastAsia="Cambria" w:cs="Georgia"/>
          <w:color w:val="262626"/>
          <w:szCs w:val="20"/>
          <w:lang w:val="pt-BR"/>
        </w:rPr>
        <w:t xml:space="preserve">Convenção da UNESCO relativa à luta contra a discriminação no campo do ensino, reconhece este motivo de discriminação. </w:t>
      </w:r>
    </w:p>
    <w:p w14:paraId="6D5C76C4" w14:textId="77777777" w:rsidR="00F16338" w:rsidRPr="00D5464D" w:rsidRDefault="00F16338" w:rsidP="00F16338">
      <w:pPr>
        <w:tabs>
          <w:tab w:val="clear" w:pos="4419"/>
          <w:tab w:val="clear" w:pos="8838"/>
        </w:tabs>
        <w:contextualSpacing/>
        <w:jc w:val="both"/>
        <w:rPr>
          <w:rFonts w:eastAsia="Cambria" w:cs="Times New Roman"/>
          <w:szCs w:val="20"/>
          <w:lang w:val="pt-BR"/>
        </w:rPr>
      </w:pPr>
    </w:p>
    <w:p w14:paraId="0F452090" w14:textId="77777777" w:rsidR="00F16338" w:rsidRPr="00D5464D" w:rsidRDefault="00F16338" w:rsidP="00F306D7">
      <w:pPr>
        <w:numPr>
          <w:ilvl w:val="0"/>
          <w:numId w:val="26"/>
        </w:numPr>
        <w:tabs>
          <w:tab w:val="clear" w:pos="4419"/>
          <w:tab w:val="clear" w:pos="8838"/>
        </w:tabs>
        <w:contextualSpacing/>
        <w:jc w:val="both"/>
        <w:rPr>
          <w:rFonts w:eastAsia="Cambria" w:cs="Times New Roman"/>
          <w:szCs w:val="20"/>
          <w:lang w:val="pt-BR"/>
        </w:rPr>
      </w:pPr>
      <w:r w:rsidRPr="00D5464D">
        <w:rPr>
          <w:rFonts w:eastAsia="Cambria" w:cs="Times New Roman"/>
          <w:szCs w:val="20"/>
          <w:lang w:val="pt-BR"/>
        </w:rPr>
        <w:t>Quanto ao Pacto Internacional sobre Direitos Civis e Políticos e ao Pacto Internacional sobre Direitos Econômicos Sociais e Culturais (1966), ambos contemplam a proibição de discriminação por “posição econômica”.</w:t>
      </w:r>
      <w:r w:rsidRPr="00D5464D">
        <w:rPr>
          <w:rFonts w:eastAsia="Cambria" w:cs="Times New Roman"/>
          <w:szCs w:val="20"/>
          <w:vertAlign w:val="superscript"/>
          <w:lang w:val="pt-BR"/>
        </w:rPr>
        <w:footnoteReference w:id="558"/>
      </w:r>
      <w:r w:rsidRPr="00D5464D">
        <w:rPr>
          <w:rFonts w:eastAsia="Cambria" w:cs="Times New Roman"/>
          <w:szCs w:val="20"/>
          <w:lang w:val="pt-BR"/>
        </w:rPr>
        <w:t xml:space="preserve"> O </w:t>
      </w:r>
      <w:r w:rsidRPr="00D5464D">
        <w:rPr>
          <w:rFonts w:eastAsia="Cambria" w:cs="Times"/>
          <w:szCs w:val="20"/>
          <w:lang w:val="pt-BR"/>
        </w:rPr>
        <w:t>Comitê de Direitos Econômicos, Sociais e Culturais (doravante denominado “Comitê DESC”)</w:t>
      </w:r>
      <w:r w:rsidRPr="00D5464D">
        <w:rPr>
          <w:rFonts w:eastAsia="Cambria" w:cs="Times New Roman"/>
          <w:szCs w:val="20"/>
          <w:lang w:val="pt-BR"/>
        </w:rPr>
        <w:t>, em sua Observação Geral nº 20, indicou que o crescimento econômico não levou, por si mesmo, a um desenvolvimento sustentável e há pessoas e grupos de pessoas que continuam enfrentando desigualdades socioeconômicas, com frequência como consequência de padrões históricos enraizados e formas contemporâneas de discriminação.</w:t>
      </w:r>
      <w:r w:rsidRPr="00D5464D">
        <w:rPr>
          <w:rFonts w:eastAsia="Cambria" w:cs="Times New Roman"/>
          <w:szCs w:val="20"/>
          <w:vertAlign w:val="superscript"/>
          <w:lang w:val="pt-BR"/>
        </w:rPr>
        <w:footnoteReference w:id="559"/>
      </w:r>
      <w:r w:rsidRPr="00D5464D">
        <w:rPr>
          <w:rFonts w:eastAsia="Cambria" w:cs="Times New Roman"/>
          <w:szCs w:val="20"/>
          <w:lang w:val="pt-BR"/>
        </w:rPr>
        <w:t xml:space="preserve"> </w:t>
      </w:r>
    </w:p>
    <w:p w14:paraId="69FEE23E" w14:textId="77777777" w:rsidR="00F16338" w:rsidRPr="00D5464D" w:rsidRDefault="00F16338" w:rsidP="00F16338">
      <w:pPr>
        <w:tabs>
          <w:tab w:val="clear" w:pos="4419"/>
          <w:tab w:val="clear" w:pos="8838"/>
        </w:tabs>
        <w:rPr>
          <w:rFonts w:eastAsia="MS Mincho" w:cs="Times New Roman"/>
          <w:sz w:val="24"/>
          <w:szCs w:val="20"/>
          <w:lang w:val="pt-BR" w:eastAsia="es-ES"/>
        </w:rPr>
      </w:pPr>
    </w:p>
    <w:p w14:paraId="723A4B9F" w14:textId="77777777" w:rsidR="00F16338" w:rsidRPr="00D5464D" w:rsidRDefault="00F16338" w:rsidP="00F306D7">
      <w:pPr>
        <w:numPr>
          <w:ilvl w:val="0"/>
          <w:numId w:val="26"/>
        </w:numPr>
        <w:tabs>
          <w:tab w:val="clear" w:pos="4419"/>
          <w:tab w:val="clear" w:pos="8838"/>
        </w:tabs>
        <w:contextualSpacing/>
        <w:jc w:val="both"/>
        <w:rPr>
          <w:rFonts w:eastAsia="Cambria" w:cs="Times New Roman"/>
          <w:szCs w:val="20"/>
          <w:lang w:val="pt-BR"/>
        </w:rPr>
      </w:pPr>
      <w:r w:rsidRPr="00D5464D">
        <w:rPr>
          <w:rFonts w:eastAsia="Cambria" w:cs="Times New Roman"/>
          <w:szCs w:val="20"/>
          <w:lang w:val="pt-BR"/>
        </w:rPr>
        <w:t xml:space="preserve">Ademais, o Comitê DESC constatou que a discriminação contra alguns grupos subsiste, é onipresente, está frequentemente enraizada ao comportamento e à organização da sociedade e, com frequência, implica em atos de discriminação indireta ou não questionada. </w:t>
      </w:r>
      <w:r w:rsidRPr="00D5464D">
        <w:rPr>
          <w:rFonts w:eastAsia="Cambria" w:cs="Times New Roman"/>
          <w:szCs w:val="20"/>
          <w:u w:val="single"/>
          <w:lang w:val="pt-BR"/>
        </w:rPr>
        <w:t>Esta discriminação sistêmica (e histórica, em alguns casos), pode consistir em normas jurídicas, políticas, práticas ou atitudes culturais predominantes no setor público ou privado, que geram desvantagens comparativas para alguns grupos sociais e privilégios para outros.</w:t>
      </w:r>
      <w:r w:rsidRPr="00D5464D">
        <w:rPr>
          <w:rFonts w:eastAsia="Cambria" w:cs="Times New Roman"/>
          <w:szCs w:val="20"/>
          <w:vertAlign w:val="superscript"/>
          <w:lang w:val="pt-BR"/>
        </w:rPr>
        <w:footnoteReference w:id="560"/>
      </w:r>
      <w:r w:rsidRPr="00D5464D">
        <w:rPr>
          <w:rFonts w:eastAsia="Cambria" w:cs="Times New Roman"/>
          <w:szCs w:val="20"/>
          <w:lang w:val="pt-BR"/>
        </w:rPr>
        <w:t xml:space="preserve"> </w:t>
      </w:r>
    </w:p>
    <w:p w14:paraId="41741091" w14:textId="77777777" w:rsidR="00F16338" w:rsidRPr="00D5464D" w:rsidRDefault="00F16338" w:rsidP="00F16338">
      <w:pPr>
        <w:tabs>
          <w:tab w:val="clear" w:pos="4419"/>
          <w:tab w:val="clear" w:pos="8838"/>
        </w:tabs>
        <w:contextualSpacing/>
        <w:jc w:val="both"/>
        <w:rPr>
          <w:rFonts w:eastAsia="Cambria" w:cs="Times New Roman"/>
          <w:szCs w:val="20"/>
          <w:lang w:val="pt-BR"/>
        </w:rPr>
      </w:pPr>
    </w:p>
    <w:p w14:paraId="1CAC639E" w14:textId="77777777" w:rsidR="00F16338" w:rsidRPr="00D5464D" w:rsidRDefault="00F16338" w:rsidP="00F306D7">
      <w:pPr>
        <w:numPr>
          <w:ilvl w:val="0"/>
          <w:numId w:val="26"/>
        </w:numPr>
        <w:tabs>
          <w:tab w:val="clear" w:pos="4419"/>
          <w:tab w:val="clear" w:pos="8838"/>
        </w:tabs>
        <w:contextualSpacing/>
        <w:jc w:val="both"/>
        <w:rPr>
          <w:rFonts w:eastAsia="Cambria" w:cs="Times New Roman"/>
          <w:szCs w:val="20"/>
          <w:lang w:val="pt-BR"/>
        </w:rPr>
      </w:pPr>
      <w:r w:rsidRPr="00D5464D">
        <w:rPr>
          <w:rFonts w:eastAsia="Cambria" w:cs="Times New Roman"/>
          <w:szCs w:val="20"/>
          <w:lang w:val="pt-BR"/>
        </w:rPr>
        <w:t>Quanto à posição (ou situação) econômica como categoria de proteção especial, o Comitê DESC indicou que a proibição de discriminação é um conceito amplo, que inclui os bens imóveis e os bens pessoais, ou a falta deles,</w:t>
      </w:r>
      <w:r w:rsidRPr="00D5464D">
        <w:rPr>
          <w:rFonts w:eastAsia="Cambria" w:cs="Times New Roman"/>
          <w:szCs w:val="20"/>
          <w:vertAlign w:val="superscript"/>
          <w:lang w:val="pt-BR"/>
        </w:rPr>
        <w:footnoteReference w:id="561"/>
      </w:r>
      <w:r w:rsidRPr="00D5464D">
        <w:rPr>
          <w:rFonts w:eastAsia="Cambria" w:cs="Times New Roman"/>
          <w:szCs w:val="20"/>
          <w:lang w:val="pt-BR"/>
        </w:rPr>
        <w:t xml:space="preserve"> isto é, uma das facetas da pobreza. Sobre este ponto, o </w:t>
      </w:r>
      <w:r w:rsidRPr="00D5464D">
        <w:rPr>
          <w:rFonts w:eastAsia="Cambria" w:cs="Times"/>
          <w:szCs w:val="20"/>
          <w:lang w:val="pt-BR"/>
        </w:rPr>
        <w:t xml:space="preserve">Comitê DESC considerou que a </w:t>
      </w:r>
      <w:r w:rsidRPr="00D5464D">
        <w:rPr>
          <w:rFonts w:eastAsia="Cambria" w:cs="Times"/>
          <w:i/>
          <w:szCs w:val="20"/>
          <w:lang w:val="pt-BR"/>
        </w:rPr>
        <w:t>pobreza</w:t>
      </w:r>
      <w:r w:rsidRPr="00D5464D">
        <w:rPr>
          <w:rFonts w:eastAsia="Cambria" w:cs="Times"/>
          <w:szCs w:val="20"/>
          <w:lang w:val="pt-BR"/>
        </w:rPr>
        <w:t xml:space="preserve"> é uma </w:t>
      </w:r>
      <w:r w:rsidRPr="00D5464D">
        <w:rPr>
          <w:rFonts w:eastAsia="Cambria" w:cs="Times"/>
          <w:i/>
          <w:szCs w:val="20"/>
          <w:lang w:val="pt-BR"/>
        </w:rPr>
        <w:t>condição humana que se caracteriza pela privação contínua ou crônica dos recursos</w:t>
      </w:r>
      <w:r w:rsidRPr="00D5464D">
        <w:rPr>
          <w:rFonts w:eastAsia="Cambria" w:cs="Times"/>
          <w:szCs w:val="20"/>
          <w:lang w:val="pt-BR"/>
        </w:rPr>
        <w:t>, da capacidade, das opções, da segurança e do poder necessários para desfrutar de um nível de vida adequado e de outros direitos civis, culturais, econômicos, políticos e sociais.</w:t>
      </w:r>
      <w:r w:rsidRPr="00D5464D">
        <w:rPr>
          <w:rFonts w:eastAsia="Cambria" w:cs="Times New Roman"/>
          <w:szCs w:val="20"/>
          <w:vertAlign w:val="superscript"/>
          <w:lang w:val="pt-BR"/>
        </w:rPr>
        <w:footnoteReference w:id="562"/>
      </w:r>
      <w:r w:rsidRPr="00D5464D">
        <w:rPr>
          <w:rFonts w:eastAsia="Cambria" w:cs="Times"/>
          <w:szCs w:val="20"/>
          <w:lang w:val="pt-BR"/>
        </w:rPr>
        <w:t xml:space="preserve"> </w:t>
      </w:r>
    </w:p>
    <w:p w14:paraId="1C766F2E" w14:textId="77777777" w:rsidR="00F16338" w:rsidRPr="00D5464D" w:rsidRDefault="00F16338" w:rsidP="00F16338">
      <w:pPr>
        <w:tabs>
          <w:tab w:val="clear" w:pos="4419"/>
          <w:tab w:val="clear" w:pos="8838"/>
        </w:tabs>
        <w:rPr>
          <w:rFonts w:eastAsia="MS Mincho" w:cs="Times"/>
          <w:sz w:val="24"/>
          <w:szCs w:val="20"/>
          <w:lang w:val="pt-BR" w:eastAsia="es-ES"/>
        </w:rPr>
      </w:pPr>
    </w:p>
    <w:p w14:paraId="0693F5D5" w14:textId="77777777" w:rsidR="00F16338" w:rsidRPr="00D5464D" w:rsidRDefault="00F16338" w:rsidP="00F306D7">
      <w:pPr>
        <w:numPr>
          <w:ilvl w:val="0"/>
          <w:numId w:val="26"/>
        </w:numPr>
        <w:tabs>
          <w:tab w:val="clear" w:pos="4419"/>
          <w:tab w:val="clear" w:pos="8838"/>
        </w:tabs>
        <w:contextualSpacing/>
        <w:jc w:val="both"/>
        <w:rPr>
          <w:rFonts w:eastAsia="Cambria" w:cs="Times New Roman"/>
          <w:szCs w:val="20"/>
          <w:lang w:val="pt-BR"/>
        </w:rPr>
      </w:pPr>
      <w:r w:rsidRPr="00D5464D">
        <w:rPr>
          <w:rFonts w:eastAsia="Cambria" w:cs="Times"/>
          <w:szCs w:val="20"/>
          <w:lang w:val="pt-BR"/>
        </w:rPr>
        <w:t xml:space="preserve">Por sua vez, os </w:t>
      </w:r>
      <w:r w:rsidRPr="00D5464D">
        <w:rPr>
          <w:rFonts w:eastAsia="Cambria" w:cs="Times New Roman"/>
          <w:lang w:val="pt-BR"/>
        </w:rPr>
        <w:t>Princípios Reitores sobre Pobreza Extrema e Direitos Humanos (doravante denominados “os PREPDH”)</w:t>
      </w:r>
      <w:r w:rsidRPr="00D5464D">
        <w:rPr>
          <w:rFonts w:eastAsia="Cambria" w:cs="Times"/>
          <w:szCs w:val="20"/>
          <w:lang w:val="pt-BR"/>
        </w:rPr>
        <w:t xml:space="preserve">, definem a </w:t>
      </w:r>
      <w:r w:rsidRPr="00D5464D">
        <w:rPr>
          <w:rFonts w:eastAsia="Cambria" w:cs="Times"/>
          <w:i/>
          <w:szCs w:val="20"/>
          <w:lang w:val="pt-BR"/>
        </w:rPr>
        <w:t>pobreza extrema</w:t>
      </w:r>
      <w:r w:rsidRPr="00D5464D">
        <w:rPr>
          <w:rFonts w:eastAsia="Cambria" w:cs="Times"/>
          <w:szCs w:val="20"/>
          <w:lang w:val="pt-BR"/>
        </w:rPr>
        <w:t xml:space="preserve"> como </w:t>
      </w:r>
      <w:r w:rsidRPr="00D5464D">
        <w:rPr>
          <w:rFonts w:eastAsia="Cambria" w:cs="Times"/>
          <w:i/>
          <w:szCs w:val="20"/>
          <w:lang w:val="pt-BR"/>
        </w:rPr>
        <w:t>“uma combinação de escassez de renda</w:t>
      </w:r>
      <w:r w:rsidRPr="00D5464D">
        <w:rPr>
          <w:rFonts w:eastAsia="Cambria" w:cs="Times"/>
          <w:szCs w:val="20"/>
          <w:lang w:val="pt-BR"/>
        </w:rPr>
        <w:t>, falta de desenvolvimento humano e exclusão social”,</w:t>
      </w:r>
      <w:r w:rsidRPr="00D5464D">
        <w:rPr>
          <w:rFonts w:eastAsia="Cambria" w:cs="Times New Roman"/>
          <w:szCs w:val="20"/>
          <w:vertAlign w:val="superscript"/>
          <w:lang w:val="pt-BR"/>
        </w:rPr>
        <w:footnoteReference w:id="563"/>
      </w:r>
      <w:r w:rsidRPr="00D5464D">
        <w:rPr>
          <w:rFonts w:eastAsia="Cambria" w:cs="Times"/>
          <w:szCs w:val="20"/>
          <w:lang w:val="pt-BR"/>
        </w:rPr>
        <w:t xml:space="preserve"> em que uma falta prolongada de segurança básica afeta vários âmbitos da existência ao mesmo tempo, comprometendo gravemente as possibilidades das pessoas de exercerem ou cobrarem seus direitos em um futuro previsível.</w:t>
      </w:r>
      <w:r w:rsidRPr="00D5464D">
        <w:rPr>
          <w:rFonts w:eastAsia="Cambria" w:cs="Times New Roman"/>
          <w:szCs w:val="20"/>
          <w:vertAlign w:val="superscript"/>
          <w:lang w:val="pt-BR"/>
        </w:rPr>
        <w:footnoteReference w:id="564"/>
      </w:r>
      <w:r w:rsidRPr="00D5464D">
        <w:rPr>
          <w:rFonts w:eastAsia="Cambria" w:cs="Times"/>
          <w:szCs w:val="20"/>
          <w:lang w:val="pt-BR"/>
        </w:rPr>
        <w:t xml:space="preserve"> </w:t>
      </w:r>
    </w:p>
    <w:p w14:paraId="754A8FBE" w14:textId="77777777" w:rsidR="00F16338" w:rsidRPr="00D5464D" w:rsidRDefault="00F16338" w:rsidP="00F16338">
      <w:pPr>
        <w:tabs>
          <w:tab w:val="clear" w:pos="4419"/>
          <w:tab w:val="clear" w:pos="8838"/>
        </w:tabs>
        <w:contextualSpacing/>
        <w:jc w:val="both"/>
        <w:rPr>
          <w:rFonts w:eastAsia="Cambria" w:cs="Times New Roman"/>
          <w:szCs w:val="20"/>
          <w:lang w:val="pt-BR"/>
        </w:rPr>
      </w:pPr>
    </w:p>
    <w:p w14:paraId="48796209" w14:textId="77777777" w:rsidR="00F16338" w:rsidRPr="00D5464D" w:rsidRDefault="00F16338" w:rsidP="00F306D7">
      <w:pPr>
        <w:numPr>
          <w:ilvl w:val="0"/>
          <w:numId w:val="26"/>
        </w:numPr>
        <w:tabs>
          <w:tab w:val="clear" w:pos="4419"/>
          <w:tab w:val="clear" w:pos="8838"/>
        </w:tabs>
        <w:contextualSpacing/>
        <w:jc w:val="both"/>
        <w:rPr>
          <w:rFonts w:eastAsia="Cambria" w:cs="Times New Roman"/>
          <w:b/>
          <w:szCs w:val="20"/>
          <w:lang w:val="pt-BR"/>
        </w:rPr>
      </w:pPr>
      <w:r w:rsidRPr="00D5464D">
        <w:rPr>
          <w:rFonts w:eastAsia="Cambria" w:cs="Times New Roman"/>
          <w:szCs w:val="20"/>
          <w:lang w:val="pt-BR"/>
        </w:rPr>
        <w:t xml:space="preserve">Adicionalmente, os </w:t>
      </w:r>
      <w:r w:rsidRPr="00D5464D">
        <w:rPr>
          <w:rFonts w:eastAsia="Cambria" w:cs="Times New Roman"/>
          <w:lang w:val="pt-BR"/>
        </w:rPr>
        <w:t>PREPDH</w:t>
      </w:r>
      <w:r w:rsidRPr="00D5464D">
        <w:rPr>
          <w:rFonts w:eastAsia="Cambria" w:cs="Times New Roman"/>
          <w:szCs w:val="20"/>
          <w:lang w:val="pt-BR"/>
        </w:rPr>
        <w:t xml:space="preserve"> consideram que: </w:t>
      </w:r>
    </w:p>
    <w:p w14:paraId="73B2D067" w14:textId="77777777" w:rsidR="00F16338" w:rsidRPr="00D5464D" w:rsidRDefault="00F16338" w:rsidP="00F16338">
      <w:pPr>
        <w:tabs>
          <w:tab w:val="clear" w:pos="4419"/>
          <w:tab w:val="clear" w:pos="8838"/>
        </w:tabs>
        <w:rPr>
          <w:rFonts w:eastAsia="MS Mincho" w:cs="Times New Roman"/>
          <w:b/>
          <w:sz w:val="24"/>
          <w:szCs w:val="20"/>
          <w:lang w:val="pt-BR" w:eastAsia="es-ES"/>
        </w:rPr>
      </w:pPr>
    </w:p>
    <w:p w14:paraId="2DF1F728" w14:textId="77777777" w:rsidR="00F16338" w:rsidRPr="00D5464D" w:rsidRDefault="00F16338" w:rsidP="00F16338">
      <w:pPr>
        <w:widowControl w:val="0"/>
        <w:tabs>
          <w:tab w:val="clear" w:pos="4419"/>
          <w:tab w:val="clear" w:pos="8838"/>
        </w:tabs>
        <w:autoSpaceDE w:val="0"/>
        <w:autoSpaceDN w:val="0"/>
        <w:adjustRightInd w:val="0"/>
        <w:ind w:left="709"/>
        <w:contextualSpacing/>
        <w:jc w:val="both"/>
        <w:rPr>
          <w:rFonts w:eastAsia="Cambria" w:cs="Times"/>
          <w:sz w:val="16"/>
          <w:szCs w:val="16"/>
          <w:lang w:val="pt-BR"/>
        </w:rPr>
      </w:pPr>
      <w:r w:rsidRPr="00D5464D">
        <w:rPr>
          <w:rFonts w:eastAsia="Cambria" w:cs="Times"/>
          <w:sz w:val="16"/>
          <w:szCs w:val="16"/>
          <w:lang w:val="pt-BR"/>
        </w:rPr>
        <w:t xml:space="preserve">3. A pobreza é, em si mesma, um problema de direitos humanos urgente. É, ao mesmo tempo, causa e consequência de violações dos direitos humanos, é uma condição que conduz a outras violações. A </w:t>
      </w:r>
      <w:r w:rsidRPr="00D5464D">
        <w:rPr>
          <w:rFonts w:eastAsia="Cambria" w:cs="Times"/>
          <w:i/>
          <w:sz w:val="16"/>
          <w:szCs w:val="16"/>
          <w:u w:val="single"/>
          <w:lang w:val="pt-BR"/>
        </w:rPr>
        <w:t>extrema pobreza se caracteriza por violações múltiplas e interconexas dos direitos civis, políticos, econômicos, sociais e culturais, e as pessoas que vivem na pobreza se veem regularmente expostas à denegação de sua dignidade e igualdade</w:t>
      </w:r>
      <w:r w:rsidRPr="00D5464D">
        <w:rPr>
          <w:rFonts w:eastAsia="Cambria" w:cs="Times"/>
          <w:sz w:val="16"/>
          <w:szCs w:val="16"/>
          <w:lang w:val="pt-BR"/>
        </w:rPr>
        <w:t xml:space="preserve">. </w:t>
      </w:r>
    </w:p>
    <w:p w14:paraId="36A3770C" w14:textId="77777777" w:rsidR="00F16338" w:rsidRPr="00D5464D" w:rsidRDefault="00F16338" w:rsidP="00F16338">
      <w:pPr>
        <w:widowControl w:val="0"/>
        <w:tabs>
          <w:tab w:val="clear" w:pos="4419"/>
          <w:tab w:val="clear" w:pos="8838"/>
        </w:tabs>
        <w:autoSpaceDE w:val="0"/>
        <w:autoSpaceDN w:val="0"/>
        <w:adjustRightInd w:val="0"/>
        <w:ind w:left="709"/>
        <w:contextualSpacing/>
        <w:jc w:val="both"/>
        <w:rPr>
          <w:rFonts w:eastAsia="Cambria" w:cs="Times"/>
          <w:sz w:val="16"/>
          <w:szCs w:val="16"/>
          <w:lang w:val="pt-BR"/>
        </w:rPr>
      </w:pPr>
    </w:p>
    <w:p w14:paraId="381AE612" w14:textId="77777777" w:rsidR="00F16338" w:rsidRPr="00D5464D" w:rsidRDefault="00F16338" w:rsidP="00F16338">
      <w:pPr>
        <w:widowControl w:val="0"/>
        <w:tabs>
          <w:tab w:val="clear" w:pos="4419"/>
          <w:tab w:val="clear" w:pos="8838"/>
        </w:tabs>
        <w:autoSpaceDE w:val="0"/>
        <w:autoSpaceDN w:val="0"/>
        <w:adjustRightInd w:val="0"/>
        <w:ind w:left="709"/>
        <w:contextualSpacing/>
        <w:jc w:val="both"/>
        <w:rPr>
          <w:rFonts w:eastAsia="Cambria" w:cs="Times"/>
          <w:sz w:val="16"/>
          <w:szCs w:val="16"/>
          <w:lang w:val="pt-BR"/>
        </w:rPr>
      </w:pPr>
      <w:r w:rsidRPr="00D5464D">
        <w:rPr>
          <w:rFonts w:eastAsia="Cambria" w:cs="Times"/>
          <w:sz w:val="16"/>
          <w:szCs w:val="16"/>
          <w:lang w:val="pt-BR"/>
        </w:rPr>
        <w:t xml:space="preserve">4. As pessoas que vivem na pobreza encontram enormes obstáculos, de natureza física, econômica, cultural e social, para exercerem os seus direitos. Como consequência, sofrem muitas privações que se relacionam entre si e se reforçam mutuamente, — como as condições perigosas de trabalho, a insalubridade da moradia, a falta de alimentos nutritivos, o acesso desigual à justiça, a falta de poder político e o acesso limitado à atenção de saúde—, que os impedem de tornar realidade os seus direitos e perpetuam sua pobreza. As </w:t>
      </w:r>
      <w:r w:rsidRPr="00D5464D">
        <w:rPr>
          <w:rFonts w:eastAsia="Cambria" w:cs="Times"/>
          <w:i/>
          <w:sz w:val="16"/>
          <w:szCs w:val="16"/>
          <w:u w:val="single"/>
          <w:lang w:val="pt-BR"/>
        </w:rPr>
        <w:t>pessoas submetidas à pobreza extrema vivem em um círculo vicioso de impotência, estigmatização, discriminação, exclusão e privação material que se alimentam mutuamente.</w:t>
      </w:r>
      <w:r w:rsidRPr="00D5464D">
        <w:rPr>
          <w:rFonts w:eastAsia="Cambria" w:cs="Times New Roman"/>
          <w:i/>
          <w:sz w:val="16"/>
          <w:szCs w:val="20"/>
          <w:u w:val="single"/>
          <w:vertAlign w:val="superscript"/>
          <w:lang w:val="pt-BR"/>
        </w:rPr>
        <w:footnoteReference w:id="565"/>
      </w:r>
      <w:r w:rsidRPr="00D5464D">
        <w:rPr>
          <w:rFonts w:eastAsia="Cambria" w:cs="Times"/>
          <w:sz w:val="16"/>
          <w:szCs w:val="16"/>
          <w:lang w:val="pt-BR"/>
        </w:rPr>
        <w:t xml:space="preserve"> (Sem ênfase no original).</w:t>
      </w:r>
    </w:p>
    <w:p w14:paraId="7AF90ACA" w14:textId="77777777" w:rsidR="00F16338" w:rsidRPr="00D5464D" w:rsidRDefault="00F16338" w:rsidP="00F16338">
      <w:pPr>
        <w:widowControl w:val="0"/>
        <w:tabs>
          <w:tab w:val="clear" w:pos="4419"/>
          <w:tab w:val="clear" w:pos="8838"/>
        </w:tabs>
        <w:autoSpaceDE w:val="0"/>
        <w:autoSpaceDN w:val="0"/>
        <w:adjustRightInd w:val="0"/>
        <w:contextualSpacing/>
        <w:jc w:val="both"/>
        <w:rPr>
          <w:rFonts w:eastAsia="Cambria" w:cs="Times New Roman"/>
          <w:szCs w:val="20"/>
          <w:lang w:val="pt-BR"/>
        </w:rPr>
      </w:pPr>
    </w:p>
    <w:p w14:paraId="3F1FE7CF" w14:textId="77777777" w:rsidR="00F16338" w:rsidRPr="00D5464D" w:rsidRDefault="00F16338" w:rsidP="00F306D7">
      <w:pPr>
        <w:widowControl w:val="0"/>
        <w:numPr>
          <w:ilvl w:val="0"/>
          <w:numId w:val="26"/>
        </w:numPr>
        <w:tabs>
          <w:tab w:val="clear" w:pos="4419"/>
          <w:tab w:val="clear" w:pos="8838"/>
        </w:tabs>
        <w:autoSpaceDE w:val="0"/>
        <w:autoSpaceDN w:val="0"/>
        <w:adjustRightInd w:val="0"/>
        <w:contextualSpacing/>
        <w:jc w:val="both"/>
        <w:rPr>
          <w:rFonts w:eastAsia="Cambria" w:cs="Times New Roman"/>
          <w:szCs w:val="20"/>
          <w:lang w:val="pt-BR"/>
        </w:rPr>
      </w:pPr>
      <w:r w:rsidRPr="00D5464D">
        <w:rPr>
          <w:rFonts w:eastAsia="Cambria" w:cs="Times"/>
          <w:szCs w:val="20"/>
          <w:lang w:val="pt-BR"/>
        </w:rPr>
        <w:t xml:space="preserve">A </w:t>
      </w:r>
      <w:r w:rsidRPr="00D5464D">
        <w:rPr>
          <w:rFonts w:eastAsia="Cambria" w:cs="Times New Roman"/>
          <w:szCs w:val="20"/>
          <w:lang w:val="pt-BR"/>
        </w:rPr>
        <w:t>Relatora Especial sobre Pobreza Extrema e Direitos Humanos considerou</w:t>
      </w:r>
      <w:r w:rsidRPr="00D5464D">
        <w:rPr>
          <w:rFonts w:eastAsia="Cambria" w:cs="Times New Roman"/>
          <w:szCs w:val="20"/>
          <w:u w:val="single"/>
          <w:lang w:val="pt-BR"/>
        </w:rPr>
        <w:t xml:space="preserve"> que as </w:t>
      </w:r>
      <w:r w:rsidRPr="00D5464D">
        <w:rPr>
          <w:rFonts w:eastAsia="Cambria" w:cs="Times"/>
          <w:szCs w:val="20"/>
          <w:u w:val="single"/>
          <w:lang w:val="pt-BR"/>
        </w:rPr>
        <w:t>pessoas que vivem na pobreza são objeto de discriminação pela própria pobreza</w:t>
      </w:r>
      <w:r w:rsidRPr="00D5464D">
        <w:rPr>
          <w:rFonts w:eastAsia="Cambria" w:cs="Times"/>
          <w:szCs w:val="20"/>
          <w:lang w:val="pt-BR"/>
        </w:rPr>
        <w:t>; e muitas vezes, também, porque pertencem a outros setores desfavorecidos da população, como os povos indígenas, as pessoas com deficiência, as minorias étnicas e as pessoas que vivem com HIV/AIDS, entre outros.</w:t>
      </w:r>
      <w:r w:rsidRPr="00D5464D">
        <w:rPr>
          <w:rFonts w:eastAsia="Cambria" w:cs="Times New Roman"/>
          <w:szCs w:val="20"/>
          <w:vertAlign w:val="superscript"/>
          <w:lang w:val="pt-BR"/>
        </w:rPr>
        <w:footnoteReference w:id="566"/>
      </w:r>
      <w:r w:rsidRPr="00D5464D">
        <w:rPr>
          <w:rFonts w:eastAsia="Cambria" w:cs="Times"/>
          <w:szCs w:val="20"/>
          <w:lang w:val="pt-BR"/>
        </w:rPr>
        <w:t xml:space="preserve"> Isto é, o fato de que, geralmente, as pessoas que se encontram em condições de pobreza coincidentemente possam pertencer a outros setores vulneráveis (mulheres, crianças, pessoas com deficiência, indígenas, afrodescendentes, idosos, etc.), não exclui a possibilidade de que as pessoas em situação de pobreza não se vinculem a outra categoria.  </w:t>
      </w:r>
    </w:p>
    <w:p w14:paraId="460CD6C7" w14:textId="77777777" w:rsidR="00F16338" w:rsidRPr="00D5464D" w:rsidRDefault="00F16338" w:rsidP="00F16338">
      <w:pPr>
        <w:widowControl w:val="0"/>
        <w:tabs>
          <w:tab w:val="clear" w:pos="4419"/>
          <w:tab w:val="clear" w:pos="8838"/>
        </w:tabs>
        <w:autoSpaceDE w:val="0"/>
        <w:autoSpaceDN w:val="0"/>
        <w:adjustRightInd w:val="0"/>
        <w:contextualSpacing/>
        <w:jc w:val="both"/>
        <w:rPr>
          <w:rFonts w:eastAsia="Cambria" w:cs="Times New Roman"/>
          <w:szCs w:val="20"/>
          <w:lang w:val="pt-BR"/>
        </w:rPr>
      </w:pPr>
    </w:p>
    <w:p w14:paraId="75985D51" w14:textId="77777777" w:rsidR="00F16338" w:rsidRPr="00D5464D" w:rsidRDefault="00F16338" w:rsidP="00F306D7">
      <w:pPr>
        <w:numPr>
          <w:ilvl w:val="0"/>
          <w:numId w:val="26"/>
        </w:numPr>
        <w:tabs>
          <w:tab w:val="clear" w:pos="4419"/>
          <w:tab w:val="clear" w:pos="8838"/>
        </w:tabs>
        <w:contextualSpacing/>
        <w:jc w:val="both"/>
        <w:rPr>
          <w:rFonts w:eastAsia="Cambria" w:cs="Times New Roman"/>
          <w:szCs w:val="20"/>
          <w:lang w:val="pt-BR"/>
        </w:rPr>
      </w:pPr>
      <w:r w:rsidRPr="00D5464D">
        <w:rPr>
          <w:rFonts w:eastAsia="Cambria" w:cs="Times New Roman"/>
          <w:szCs w:val="20"/>
          <w:lang w:val="pt-BR"/>
        </w:rPr>
        <w:t xml:space="preserve">Esta tendência também foi refletida por outros Relatores das Nações Unidas que fazem uma diferenciação entre os grupos tradicionalmente reconhecidos e as pessoas que vivem em situação de pobreza, reconhecendo-os como pessoas que merecem proteção especial no respeito e na garantia dos direitos humanos internacionalmente reconhecidos. </w:t>
      </w:r>
    </w:p>
    <w:p w14:paraId="7140E223" w14:textId="77777777" w:rsidR="00F16338" w:rsidRPr="00D5464D" w:rsidRDefault="00F16338" w:rsidP="00F16338">
      <w:pPr>
        <w:tabs>
          <w:tab w:val="clear" w:pos="4419"/>
          <w:tab w:val="clear" w:pos="8838"/>
        </w:tabs>
        <w:rPr>
          <w:rFonts w:eastAsia="MS Mincho" w:cs="Times New Roman"/>
          <w:sz w:val="24"/>
          <w:szCs w:val="20"/>
          <w:lang w:val="pt-BR" w:eastAsia="es-ES"/>
        </w:rPr>
      </w:pPr>
    </w:p>
    <w:p w14:paraId="61304057" w14:textId="77777777" w:rsidR="00F16338" w:rsidRPr="00D5464D" w:rsidRDefault="00F16338" w:rsidP="00F306D7">
      <w:pPr>
        <w:numPr>
          <w:ilvl w:val="0"/>
          <w:numId w:val="26"/>
        </w:numPr>
        <w:tabs>
          <w:tab w:val="clear" w:pos="4419"/>
          <w:tab w:val="clear" w:pos="8838"/>
        </w:tabs>
        <w:contextualSpacing/>
        <w:jc w:val="both"/>
        <w:rPr>
          <w:rFonts w:eastAsia="Cambria" w:cs="Times New Roman"/>
          <w:szCs w:val="20"/>
          <w:lang w:val="pt-BR"/>
        </w:rPr>
      </w:pPr>
      <w:r w:rsidRPr="00D5464D">
        <w:rPr>
          <w:rFonts w:eastAsia="Cambria" w:cs="Times New Roman"/>
          <w:szCs w:val="20"/>
          <w:lang w:val="pt-BR"/>
        </w:rPr>
        <w:t>Deste modo, encontramos pronunciamentos das Relatorias Especiais das Nações Unidas sobre: i) tráfico de pessoas, especialmente de mulheres e crianças;</w:t>
      </w:r>
      <w:r w:rsidRPr="00D5464D">
        <w:rPr>
          <w:rFonts w:eastAsia="Cambria" w:cs="Times New Roman"/>
          <w:szCs w:val="20"/>
          <w:vertAlign w:val="superscript"/>
          <w:lang w:val="pt-BR"/>
        </w:rPr>
        <w:footnoteReference w:id="567"/>
      </w:r>
      <w:r w:rsidRPr="00D5464D">
        <w:rPr>
          <w:rFonts w:eastAsia="Cambria" w:cs="Times New Roman"/>
          <w:szCs w:val="20"/>
          <w:lang w:val="pt-BR"/>
        </w:rPr>
        <w:t xml:space="preserve"> ii) direito à água;</w:t>
      </w:r>
      <w:r w:rsidRPr="00D5464D">
        <w:rPr>
          <w:rFonts w:eastAsia="Cambria" w:cs="Times New Roman"/>
          <w:szCs w:val="20"/>
          <w:vertAlign w:val="superscript"/>
          <w:lang w:val="pt-BR"/>
        </w:rPr>
        <w:footnoteReference w:id="568"/>
      </w:r>
      <w:r w:rsidRPr="00D5464D">
        <w:rPr>
          <w:rFonts w:eastAsia="Cambria" w:cs="Times New Roman"/>
          <w:szCs w:val="20"/>
          <w:lang w:val="pt-BR"/>
        </w:rPr>
        <w:t xml:space="preserve"> iii) defensoras e defensores de direitos humanos;</w:t>
      </w:r>
      <w:r w:rsidRPr="00D5464D">
        <w:rPr>
          <w:rFonts w:eastAsia="Cambria" w:cs="Times New Roman"/>
          <w:szCs w:val="20"/>
          <w:vertAlign w:val="superscript"/>
          <w:lang w:val="pt-BR"/>
        </w:rPr>
        <w:footnoteReference w:id="569"/>
      </w:r>
      <w:r w:rsidRPr="00D5464D">
        <w:rPr>
          <w:rFonts w:eastAsia="Cambria" w:cs="Times New Roman"/>
          <w:szCs w:val="20"/>
          <w:lang w:val="pt-BR"/>
        </w:rPr>
        <w:t xml:space="preserve"> iv) direito à educação;</w:t>
      </w:r>
      <w:r w:rsidRPr="00D5464D">
        <w:rPr>
          <w:rFonts w:eastAsia="Cambria" w:cs="Times New Roman"/>
          <w:szCs w:val="20"/>
          <w:vertAlign w:val="superscript"/>
          <w:lang w:val="pt-BR"/>
        </w:rPr>
        <w:footnoteReference w:id="570"/>
      </w:r>
      <w:r w:rsidRPr="00D5464D">
        <w:rPr>
          <w:rFonts w:eastAsia="Cambria" w:cs="Times New Roman"/>
          <w:szCs w:val="20"/>
          <w:lang w:val="pt-BR"/>
        </w:rPr>
        <w:t xml:space="preserve"> v) questão das obrigações de direitos humanos relacionadas ao desfrute de um meio ambiente sem riscos, limpo, saudável e sustentável;</w:t>
      </w:r>
      <w:r w:rsidRPr="00D5464D">
        <w:rPr>
          <w:rFonts w:eastAsia="Cambria" w:cs="Times New Roman"/>
          <w:szCs w:val="20"/>
          <w:vertAlign w:val="superscript"/>
          <w:lang w:val="pt-BR"/>
        </w:rPr>
        <w:footnoteReference w:id="571"/>
      </w:r>
      <w:r w:rsidRPr="00D5464D">
        <w:rPr>
          <w:rFonts w:eastAsia="Cambria" w:cs="Times New Roman"/>
          <w:szCs w:val="20"/>
          <w:lang w:val="pt-BR"/>
        </w:rPr>
        <w:t xml:space="preserve"> vi) direito a uma moradia adequada,</w:t>
      </w:r>
      <w:r w:rsidRPr="00D5464D">
        <w:rPr>
          <w:rFonts w:eastAsia="Cambria" w:cs="Times New Roman"/>
          <w:szCs w:val="20"/>
          <w:vertAlign w:val="superscript"/>
          <w:lang w:val="pt-BR"/>
        </w:rPr>
        <w:footnoteReference w:id="572"/>
      </w:r>
      <w:r w:rsidRPr="00D5464D">
        <w:rPr>
          <w:rFonts w:eastAsia="Cambria" w:cs="Times New Roman"/>
          <w:szCs w:val="20"/>
          <w:lang w:val="pt-BR"/>
        </w:rPr>
        <w:t xml:space="preserve"> e vii) direito à alimentação.</w:t>
      </w:r>
      <w:r w:rsidRPr="00D5464D">
        <w:rPr>
          <w:rFonts w:eastAsia="Cambria" w:cs="Times New Roman"/>
          <w:szCs w:val="20"/>
          <w:vertAlign w:val="superscript"/>
          <w:lang w:val="pt-BR"/>
        </w:rPr>
        <w:footnoteReference w:id="573"/>
      </w:r>
      <w:r w:rsidRPr="00D5464D">
        <w:rPr>
          <w:rFonts w:eastAsia="Cambria" w:cs="Times New Roman"/>
          <w:szCs w:val="20"/>
          <w:lang w:val="pt-BR"/>
        </w:rPr>
        <w:t xml:space="preserve"> </w:t>
      </w:r>
    </w:p>
    <w:p w14:paraId="13212B8A" w14:textId="77777777" w:rsidR="00F16338" w:rsidRPr="00D5464D" w:rsidRDefault="00F16338" w:rsidP="00F16338">
      <w:pPr>
        <w:tabs>
          <w:tab w:val="clear" w:pos="4419"/>
          <w:tab w:val="clear" w:pos="8838"/>
        </w:tabs>
        <w:contextualSpacing/>
        <w:jc w:val="both"/>
        <w:rPr>
          <w:rFonts w:eastAsia="Cambria" w:cs="Times New Roman"/>
          <w:i/>
          <w:szCs w:val="20"/>
          <w:lang w:val="pt-BR"/>
        </w:rPr>
      </w:pPr>
    </w:p>
    <w:p w14:paraId="7A90101E" w14:textId="77777777" w:rsidR="00F16338" w:rsidRPr="00D5464D" w:rsidRDefault="00F16338" w:rsidP="00F16338">
      <w:pPr>
        <w:tabs>
          <w:tab w:val="clear" w:pos="4419"/>
          <w:tab w:val="clear" w:pos="8838"/>
        </w:tabs>
        <w:contextualSpacing/>
        <w:jc w:val="both"/>
        <w:rPr>
          <w:rFonts w:eastAsia="Cambria" w:cs="Times New Roman"/>
          <w:i/>
          <w:szCs w:val="20"/>
          <w:lang w:val="pt-BR"/>
        </w:rPr>
      </w:pPr>
    </w:p>
    <w:p w14:paraId="03C73794" w14:textId="77777777" w:rsidR="00F16338" w:rsidRPr="00D5464D" w:rsidRDefault="00F16338" w:rsidP="00F16338">
      <w:pPr>
        <w:tabs>
          <w:tab w:val="clear" w:pos="4419"/>
          <w:tab w:val="clear" w:pos="8838"/>
        </w:tabs>
        <w:contextualSpacing/>
        <w:jc w:val="center"/>
        <w:rPr>
          <w:rFonts w:eastAsia="Cambria" w:cs="Times New Roman"/>
          <w:szCs w:val="20"/>
          <w:lang w:val="pt-BR"/>
        </w:rPr>
      </w:pPr>
      <w:r w:rsidRPr="00D5464D">
        <w:rPr>
          <w:rFonts w:eastAsia="Cambria" w:cs="Times New Roman"/>
          <w:szCs w:val="20"/>
          <w:lang w:val="pt-BR"/>
        </w:rPr>
        <w:t>II. A POBREZA E A POSIÇÃO ECONÔMICA NA JURISPRUDÊNCIA INTERAMERICANA</w:t>
      </w:r>
    </w:p>
    <w:p w14:paraId="0CABD2CE" w14:textId="77777777" w:rsidR="00F16338" w:rsidRPr="00D5464D" w:rsidRDefault="00F16338" w:rsidP="00F16338">
      <w:pPr>
        <w:tabs>
          <w:tab w:val="clear" w:pos="4419"/>
          <w:tab w:val="clear" w:pos="8838"/>
        </w:tabs>
        <w:contextualSpacing/>
        <w:jc w:val="both"/>
        <w:rPr>
          <w:rFonts w:eastAsia="Cambria" w:cs="Times New Roman"/>
          <w:szCs w:val="20"/>
          <w:lang w:val="pt-BR"/>
        </w:rPr>
      </w:pPr>
    </w:p>
    <w:p w14:paraId="36C2D87E" w14:textId="77777777" w:rsidR="00F16338" w:rsidRPr="00D5464D" w:rsidRDefault="00F16338" w:rsidP="00F16338">
      <w:pPr>
        <w:tabs>
          <w:tab w:val="clear" w:pos="4419"/>
          <w:tab w:val="clear" w:pos="8838"/>
        </w:tabs>
        <w:contextualSpacing/>
        <w:jc w:val="both"/>
        <w:rPr>
          <w:rFonts w:eastAsia="Cambria" w:cs="Times New Roman"/>
          <w:szCs w:val="20"/>
          <w:lang w:val="pt-BR"/>
        </w:rPr>
      </w:pPr>
    </w:p>
    <w:p w14:paraId="6BF82154" w14:textId="77777777" w:rsidR="00F16338" w:rsidRPr="00D5464D" w:rsidRDefault="00F16338" w:rsidP="00F306D7">
      <w:pPr>
        <w:numPr>
          <w:ilvl w:val="0"/>
          <w:numId w:val="26"/>
        </w:numPr>
        <w:tabs>
          <w:tab w:val="clear" w:pos="4419"/>
          <w:tab w:val="clear" w:pos="8838"/>
        </w:tabs>
        <w:contextualSpacing/>
        <w:jc w:val="both"/>
        <w:rPr>
          <w:rFonts w:eastAsia="Cambria" w:cs="Times New Roman"/>
          <w:szCs w:val="20"/>
          <w:lang w:val="pt-BR"/>
        </w:rPr>
      </w:pPr>
      <w:r w:rsidRPr="00D5464D">
        <w:rPr>
          <w:rFonts w:eastAsia="Cambria" w:cs="Times New Roman"/>
          <w:szCs w:val="20"/>
          <w:lang w:val="pt-BR"/>
        </w:rPr>
        <w:t>O</w:t>
      </w:r>
      <w:r w:rsidRPr="00D5464D">
        <w:rPr>
          <w:rFonts w:eastAsia="Cambria" w:cs="Times New Roman"/>
          <w:i/>
          <w:szCs w:val="20"/>
          <w:lang w:val="pt-BR"/>
        </w:rPr>
        <w:t xml:space="preserve"> </w:t>
      </w:r>
      <w:r w:rsidRPr="00D5464D">
        <w:rPr>
          <w:rFonts w:eastAsia="Cambria" w:cs="Times New Roman"/>
          <w:szCs w:val="20"/>
          <w:lang w:val="pt-BR"/>
        </w:rPr>
        <w:t xml:space="preserve">tema da pobreza e da posição econômica esteve presente ao longo da jurisprudência deste Tribunal Interamericano; muitas violações de direitos humanos trazem consigo situações de exclusão e de marginalização pela própria situação de pobreza das vítimas. Até agora, na totalidade dos casos, a pobreza foi identificada como um fator de vulnerabilidade que aprofunda o impacto de violações de direitos humanos nas vítimas submetidas a esta condição. </w:t>
      </w:r>
    </w:p>
    <w:p w14:paraId="29237F44" w14:textId="77777777" w:rsidR="00F16338" w:rsidRPr="00D5464D" w:rsidRDefault="00F16338" w:rsidP="00F16338">
      <w:pPr>
        <w:tabs>
          <w:tab w:val="clear" w:pos="4419"/>
          <w:tab w:val="clear" w:pos="8838"/>
        </w:tabs>
        <w:rPr>
          <w:rFonts w:eastAsia="MS Mincho" w:cs="Times New Roman"/>
          <w:sz w:val="24"/>
          <w:szCs w:val="20"/>
          <w:lang w:val="pt-BR" w:eastAsia="es-ES"/>
        </w:rPr>
      </w:pPr>
    </w:p>
    <w:p w14:paraId="51D60ED2" w14:textId="77777777" w:rsidR="00F16338" w:rsidRPr="00D5464D" w:rsidRDefault="00F16338" w:rsidP="00F306D7">
      <w:pPr>
        <w:numPr>
          <w:ilvl w:val="0"/>
          <w:numId w:val="26"/>
        </w:numPr>
        <w:tabs>
          <w:tab w:val="clear" w:pos="4419"/>
          <w:tab w:val="clear" w:pos="8838"/>
        </w:tabs>
        <w:contextualSpacing/>
        <w:jc w:val="both"/>
        <w:rPr>
          <w:rFonts w:eastAsia="Cambria" w:cs="Times New Roman"/>
          <w:b/>
          <w:szCs w:val="20"/>
          <w:lang w:val="pt-BR"/>
        </w:rPr>
      </w:pPr>
      <w:r w:rsidRPr="00D5464D">
        <w:rPr>
          <w:rFonts w:eastAsia="Cambria" w:cs="Times New Roman"/>
          <w:szCs w:val="20"/>
          <w:lang w:val="pt-BR"/>
        </w:rPr>
        <w:t xml:space="preserve">No caso do </w:t>
      </w:r>
      <w:r w:rsidRPr="00D5464D">
        <w:rPr>
          <w:rFonts w:eastAsia="Cambria" w:cs="Times New Roman"/>
          <w:i/>
          <w:szCs w:val="20"/>
          <w:lang w:val="pt-BR"/>
        </w:rPr>
        <w:t xml:space="preserve">Instituto de Reeducação do Menor Vs. Paraguai </w:t>
      </w:r>
      <w:r w:rsidRPr="00D5464D">
        <w:rPr>
          <w:rFonts w:eastAsia="Cambria" w:cs="Times New Roman"/>
          <w:szCs w:val="20"/>
          <w:lang w:val="pt-BR"/>
        </w:rPr>
        <w:t>(2004), quanto às reparações, a Corte IDH registrou que naquele caso havia crianças que se encontravam em um manifesto estado de pobreza e que haviam sido vítimas de graves violações de direitos humanos.</w:t>
      </w:r>
      <w:r w:rsidRPr="00D5464D">
        <w:rPr>
          <w:rFonts w:eastAsia="Cambria" w:cs="Times New Roman"/>
          <w:szCs w:val="20"/>
          <w:vertAlign w:val="superscript"/>
          <w:lang w:val="pt-BR"/>
        </w:rPr>
        <w:footnoteReference w:id="574"/>
      </w:r>
      <w:r w:rsidRPr="00D5464D">
        <w:rPr>
          <w:rFonts w:eastAsia="Cambria" w:cs="Times New Roman"/>
          <w:szCs w:val="20"/>
          <w:lang w:val="pt-BR"/>
        </w:rPr>
        <w:t xml:space="preserve"> </w:t>
      </w:r>
    </w:p>
    <w:p w14:paraId="1C037432" w14:textId="77777777" w:rsidR="00F16338" w:rsidRPr="00D5464D" w:rsidRDefault="00F16338" w:rsidP="00F16338">
      <w:pPr>
        <w:tabs>
          <w:tab w:val="clear" w:pos="4419"/>
          <w:tab w:val="clear" w:pos="8838"/>
        </w:tabs>
        <w:rPr>
          <w:rFonts w:eastAsia="MS Mincho" w:cs="Times New Roman"/>
          <w:sz w:val="24"/>
          <w:szCs w:val="20"/>
          <w:lang w:val="pt-BR" w:eastAsia="es-ES"/>
        </w:rPr>
      </w:pPr>
    </w:p>
    <w:p w14:paraId="4B8D56D7" w14:textId="77777777" w:rsidR="00F16338" w:rsidRPr="00D5464D" w:rsidRDefault="00F16338" w:rsidP="00F306D7">
      <w:pPr>
        <w:numPr>
          <w:ilvl w:val="0"/>
          <w:numId w:val="26"/>
        </w:numPr>
        <w:tabs>
          <w:tab w:val="clear" w:pos="4419"/>
          <w:tab w:val="clear" w:pos="8838"/>
        </w:tabs>
        <w:contextualSpacing/>
        <w:jc w:val="both"/>
        <w:rPr>
          <w:rFonts w:eastAsia="Cambria" w:cs="Times New Roman"/>
          <w:szCs w:val="20"/>
          <w:lang w:val="pt-BR"/>
        </w:rPr>
      </w:pPr>
      <w:r w:rsidRPr="00D5464D">
        <w:rPr>
          <w:rFonts w:eastAsia="Cambria" w:cs="Times New Roman"/>
          <w:szCs w:val="20"/>
          <w:lang w:val="pt-BR"/>
        </w:rPr>
        <w:t xml:space="preserve">No caso da </w:t>
      </w:r>
      <w:r w:rsidRPr="00D5464D">
        <w:rPr>
          <w:rFonts w:eastAsia="Cambria" w:cs="Times New Roman"/>
          <w:i/>
          <w:szCs w:val="20"/>
          <w:lang w:val="pt-BR"/>
        </w:rPr>
        <w:t xml:space="preserve">Comunidade Moiwana Vs. Suriname </w:t>
      </w:r>
      <w:r w:rsidRPr="00D5464D">
        <w:rPr>
          <w:rFonts w:eastAsia="Cambria" w:cs="Times New Roman"/>
          <w:szCs w:val="20"/>
          <w:lang w:val="pt-BR"/>
        </w:rPr>
        <w:t>(2005), o Tribunal Interamericano considerou provado que os membros daquela comunidade haviam sido abruptamente forçados a deixarem suas casas e terras tradicionais e se encontravam em uma situação de deslocamento contínuo, na Guiana Francesa ou em outras partes do Suriname. Além disso, a Corte IDH considerou que os membros da Comunidade haviam sofrido pobreza e privações desde sua fuga da Aldeia de Moiwana, posto que a possibilidade de utilizar seus meios tradicionais de subsistência havia sido drasticamente limitada</w:t>
      </w:r>
      <w:r w:rsidRPr="00D5464D">
        <w:rPr>
          <w:rFonts w:eastAsia="Cambria" w:cs="Times New Roman"/>
          <w:lang w:val="pt-BR"/>
        </w:rPr>
        <w:t>.</w:t>
      </w:r>
      <w:r w:rsidRPr="00D5464D">
        <w:rPr>
          <w:rFonts w:eastAsia="Cambria" w:cs="Times New Roman"/>
          <w:szCs w:val="20"/>
          <w:vertAlign w:val="superscript"/>
          <w:lang w:val="pt-BR"/>
        </w:rPr>
        <w:footnoteReference w:id="575"/>
      </w:r>
      <w:r w:rsidRPr="00D5464D">
        <w:rPr>
          <w:rFonts w:eastAsia="Cambria" w:cs="Times New Roman"/>
          <w:szCs w:val="20"/>
          <w:lang w:val="pt-BR"/>
        </w:rPr>
        <w:t xml:space="preserve"> </w:t>
      </w:r>
    </w:p>
    <w:p w14:paraId="0849442F" w14:textId="77777777" w:rsidR="00F16338" w:rsidRPr="00D5464D" w:rsidRDefault="00F16338" w:rsidP="00F16338">
      <w:pPr>
        <w:tabs>
          <w:tab w:val="clear" w:pos="4419"/>
          <w:tab w:val="clear" w:pos="8838"/>
        </w:tabs>
        <w:rPr>
          <w:rFonts w:eastAsia="MS Mincho" w:cs="Times New Roman"/>
          <w:sz w:val="24"/>
          <w:szCs w:val="20"/>
          <w:lang w:val="pt-BR" w:eastAsia="es-ES"/>
        </w:rPr>
      </w:pPr>
    </w:p>
    <w:p w14:paraId="7DC97CE3" w14:textId="77777777" w:rsidR="00F16338" w:rsidRPr="00D5464D" w:rsidRDefault="00F16338" w:rsidP="00F306D7">
      <w:pPr>
        <w:numPr>
          <w:ilvl w:val="0"/>
          <w:numId w:val="26"/>
        </w:numPr>
        <w:tabs>
          <w:tab w:val="clear" w:pos="4419"/>
          <w:tab w:val="clear" w:pos="8838"/>
        </w:tabs>
        <w:contextualSpacing/>
        <w:jc w:val="both"/>
        <w:rPr>
          <w:rFonts w:eastAsia="Cambria" w:cs="Times New Roman"/>
          <w:b/>
          <w:szCs w:val="20"/>
          <w:lang w:val="pt-BR"/>
        </w:rPr>
      </w:pPr>
      <w:r w:rsidRPr="00D5464D">
        <w:rPr>
          <w:rFonts w:eastAsia="Cambria" w:cs="Times New Roman"/>
          <w:szCs w:val="20"/>
          <w:lang w:val="es-ES"/>
        </w:rPr>
        <w:t xml:space="preserve">No caso </w:t>
      </w:r>
      <w:r w:rsidRPr="00D5464D">
        <w:rPr>
          <w:rFonts w:eastAsia="Cambria" w:cs="Times New Roman"/>
          <w:i/>
          <w:szCs w:val="20"/>
          <w:lang w:val="es-ES"/>
        </w:rPr>
        <w:t xml:space="preserve">Servellón García Vs. </w:t>
      </w:r>
      <w:r w:rsidRPr="00D5464D">
        <w:rPr>
          <w:rFonts w:eastAsia="Cambria" w:cs="Times New Roman"/>
          <w:i/>
          <w:szCs w:val="20"/>
          <w:lang w:val="pt-BR"/>
        </w:rPr>
        <w:t xml:space="preserve">Honduras </w:t>
      </w:r>
      <w:r w:rsidRPr="00D5464D">
        <w:rPr>
          <w:rFonts w:eastAsia="Cambria" w:cs="Times New Roman"/>
          <w:szCs w:val="20"/>
          <w:lang w:val="pt-BR"/>
        </w:rPr>
        <w:t>(2005)</w:t>
      </w:r>
      <w:r w:rsidRPr="00D5464D">
        <w:rPr>
          <w:rFonts w:eastAsia="Cambria" w:cs="Times New Roman"/>
          <w:i/>
          <w:szCs w:val="20"/>
          <w:lang w:val="pt-BR"/>
        </w:rPr>
        <w:t xml:space="preserve">, a </w:t>
      </w:r>
      <w:r w:rsidRPr="00D5464D">
        <w:rPr>
          <w:rFonts w:eastAsia="Cambria" w:cs="Times New Roman"/>
          <w:szCs w:val="20"/>
          <w:lang w:val="pt-BR"/>
        </w:rPr>
        <w:t xml:space="preserve">Corte IDH considerou que os Estados tinham a obrigação de assegurar a proteção das crianças e jovens afetados pela pobreza que estejam socialmente marginalizados. Do mesmo modo, o Tribunal destacou, como havia feito no caso das </w:t>
      </w:r>
      <w:r w:rsidRPr="00D5464D">
        <w:rPr>
          <w:rFonts w:eastAsia="Cambria" w:cs="Times New Roman"/>
          <w:i/>
          <w:szCs w:val="20"/>
          <w:lang w:val="pt-BR"/>
        </w:rPr>
        <w:t xml:space="preserve">Crianças de Rua (Villagrán Morales e outros) Vs. Guatemala, </w:t>
      </w:r>
      <w:r w:rsidRPr="00D5464D">
        <w:rPr>
          <w:rFonts w:eastAsia="Cambria" w:cs="Times New Roman"/>
          <w:szCs w:val="20"/>
          <w:lang w:val="pt-BR"/>
        </w:rPr>
        <w:t>que, se os Estados têm elementos para crer que as crianças em situação de risco estão afetadas por fatores que podem conduzi-los a cometer atos ilícitos, devem adotar as medidas de prevenção do delito. O Estado deve assumir sua posição especial de garantidor com maior cuidado e responsabilidade e deve tomar medidas especiais orientadas pelo princípio do interesse superior da criança.</w:t>
      </w:r>
      <w:r w:rsidRPr="00D5464D">
        <w:rPr>
          <w:rFonts w:eastAsia="Cambria" w:cs="Times New Roman"/>
          <w:szCs w:val="20"/>
          <w:vertAlign w:val="superscript"/>
          <w:lang w:val="pt-BR"/>
        </w:rPr>
        <w:footnoteReference w:id="576"/>
      </w:r>
      <w:r w:rsidRPr="00D5464D">
        <w:rPr>
          <w:rFonts w:eastAsia="Cambria" w:cs="Times New Roman"/>
          <w:szCs w:val="20"/>
          <w:lang w:val="pt-BR"/>
        </w:rPr>
        <w:t xml:space="preserve"> </w:t>
      </w:r>
    </w:p>
    <w:p w14:paraId="35C90B0C" w14:textId="77777777" w:rsidR="00F16338" w:rsidRPr="00D5464D" w:rsidRDefault="00F16338" w:rsidP="00F16338">
      <w:pPr>
        <w:tabs>
          <w:tab w:val="clear" w:pos="4419"/>
          <w:tab w:val="clear" w:pos="8838"/>
        </w:tabs>
        <w:rPr>
          <w:rFonts w:eastAsia="MS Mincho" w:cs="Times New Roman"/>
          <w:b/>
          <w:sz w:val="24"/>
          <w:szCs w:val="20"/>
          <w:lang w:val="pt-BR" w:eastAsia="es-ES"/>
        </w:rPr>
      </w:pPr>
    </w:p>
    <w:p w14:paraId="7CB9AB7D" w14:textId="77777777" w:rsidR="00F16338" w:rsidRPr="00D5464D" w:rsidRDefault="00F16338" w:rsidP="00F306D7">
      <w:pPr>
        <w:numPr>
          <w:ilvl w:val="0"/>
          <w:numId w:val="26"/>
        </w:numPr>
        <w:tabs>
          <w:tab w:val="clear" w:pos="4419"/>
          <w:tab w:val="clear" w:pos="8838"/>
        </w:tabs>
        <w:contextualSpacing/>
        <w:jc w:val="both"/>
        <w:rPr>
          <w:rFonts w:eastAsia="Cambria" w:cs="Times New Roman"/>
          <w:szCs w:val="20"/>
          <w:lang w:val="pt-BR"/>
        </w:rPr>
      </w:pPr>
      <w:r w:rsidRPr="00D5464D">
        <w:rPr>
          <w:rFonts w:eastAsia="Cambria" w:cs="Times New Roman"/>
          <w:szCs w:val="20"/>
          <w:lang w:val="pt-BR"/>
        </w:rPr>
        <w:t xml:space="preserve">No caso da </w:t>
      </w:r>
      <w:r w:rsidRPr="00D5464D">
        <w:rPr>
          <w:rFonts w:eastAsia="Cambria" w:cs="Times New Roman"/>
          <w:i/>
          <w:szCs w:val="20"/>
          <w:lang w:val="pt-BR"/>
        </w:rPr>
        <w:t>Comunidade Indígena Yakye Axa Vs. Paraguai (</w:t>
      </w:r>
      <w:r w:rsidRPr="00D5464D">
        <w:rPr>
          <w:rFonts w:eastAsia="Cambria" w:cs="Times New Roman"/>
          <w:szCs w:val="20"/>
          <w:lang w:val="pt-BR"/>
        </w:rPr>
        <w:t>2005), o juiz Ad Hoc Ramón Foguel, em seu voto parcialmente concordante e parcialmente dissidente, explicitou que a situação de pobreza extrema no caso das comunidades indígenas, em especial daquelas afetadas pela pobreza extrema, implica na negação sistemática da possibilidade de gozar de direitos inerentes ao ser humano. Para o juiz Ad Hoc Foguel, a Comunidade Yakye Axa certamente estava afetada pela pobreza extrema.</w:t>
      </w:r>
      <w:r w:rsidRPr="00D5464D">
        <w:rPr>
          <w:rFonts w:eastAsia="Cambria" w:cs="Times New Roman"/>
          <w:szCs w:val="20"/>
          <w:vertAlign w:val="superscript"/>
          <w:lang w:val="pt-BR"/>
        </w:rPr>
        <w:footnoteReference w:id="577"/>
      </w:r>
      <w:r w:rsidRPr="00D5464D">
        <w:rPr>
          <w:rFonts w:eastAsia="Cambria" w:cs="Times New Roman"/>
          <w:b/>
          <w:szCs w:val="20"/>
          <w:lang w:val="pt-BR"/>
        </w:rPr>
        <w:t xml:space="preserve"> </w:t>
      </w:r>
      <w:r w:rsidRPr="00D5464D">
        <w:rPr>
          <w:rFonts w:eastAsia="Cambria" w:cs="Times New Roman"/>
          <w:szCs w:val="20"/>
          <w:lang w:val="pt-BR"/>
        </w:rPr>
        <w:t>De igual maneira, o juiz Ad Hoc sugeriu que, neste ponto, deve-se levar em consideração o indicado pela Corte IDH no sentido de que a interpretação de um instrumento internacional de proteção deve acompanhar a evolução dos tempos e as condições de vida atuais, pois a Corte indicou também que a interpretação evolutiva, em concordância com as regras gerais de interpretação dos tratados, contribuiu de maneira importante para os avanços do Direito Internacional dos Direitos Humanos.</w:t>
      </w:r>
      <w:r w:rsidRPr="00D5464D">
        <w:rPr>
          <w:rFonts w:eastAsia="Cambria" w:cs="Times New Roman"/>
          <w:szCs w:val="20"/>
          <w:vertAlign w:val="superscript"/>
          <w:lang w:val="pt-BR"/>
        </w:rPr>
        <w:footnoteReference w:id="578"/>
      </w:r>
    </w:p>
    <w:p w14:paraId="79F4DC55" w14:textId="77777777" w:rsidR="00F16338" w:rsidRPr="00D5464D" w:rsidRDefault="00F16338" w:rsidP="00F16338">
      <w:pPr>
        <w:tabs>
          <w:tab w:val="clear" w:pos="4419"/>
          <w:tab w:val="clear" w:pos="8838"/>
        </w:tabs>
        <w:rPr>
          <w:rFonts w:eastAsia="MS Mincho" w:cs="Times New Roman"/>
          <w:sz w:val="24"/>
          <w:szCs w:val="20"/>
          <w:lang w:val="pt-BR" w:eastAsia="es-ES"/>
        </w:rPr>
      </w:pPr>
    </w:p>
    <w:p w14:paraId="41B5A7BC" w14:textId="77777777" w:rsidR="00F16338" w:rsidRPr="00D5464D" w:rsidRDefault="00F16338" w:rsidP="00F306D7">
      <w:pPr>
        <w:numPr>
          <w:ilvl w:val="0"/>
          <w:numId w:val="26"/>
        </w:numPr>
        <w:tabs>
          <w:tab w:val="clear" w:pos="4419"/>
          <w:tab w:val="clear" w:pos="8838"/>
        </w:tabs>
        <w:contextualSpacing/>
        <w:jc w:val="both"/>
        <w:rPr>
          <w:rFonts w:eastAsia="Cambria" w:cs="Times New Roman"/>
          <w:sz w:val="16"/>
          <w:szCs w:val="16"/>
          <w:lang w:val="pt-BR"/>
        </w:rPr>
      </w:pPr>
      <w:r w:rsidRPr="00D5464D">
        <w:rPr>
          <w:rFonts w:eastAsia="Cambria" w:cs="Times New Roman"/>
          <w:szCs w:val="20"/>
          <w:lang w:val="pt-BR"/>
        </w:rPr>
        <w:t xml:space="preserve">Sob esta ótica, o juiz Ad Hoc afirma que, em sua opinião, na interpretação evolutiva do direito à vida, estabelecido na Convenção Americana, deve-se levar em consideração a </w:t>
      </w:r>
      <w:r w:rsidRPr="00D5464D">
        <w:rPr>
          <w:rFonts w:eastAsia="Cambria" w:cs="Times New Roman"/>
          <w:i/>
          <w:szCs w:val="20"/>
          <w:lang w:val="pt-BR"/>
        </w:rPr>
        <w:t xml:space="preserve">condição socioeconômica </w:t>
      </w:r>
      <w:r w:rsidRPr="00D5464D">
        <w:rPr>
          <w:rFonts w:eastAsia="Cambria" w:cs="Times New Roman"/>
          <w:szCs w:val="20"/>
          <w:lang w:val="pt-BR"/>
        </w:rPr>
        <w:t xml:space="preserve">do Paraguai e da maioria dos países latino-americanos, marcada pelo crescimento da pobreza extrema, em termos absolutos e relativos, apesar da implementação de políticas de proteção social. Para o juiz Foguel, a interpretação do direito à vida não deve apenas observar o cumprimento, por parte do Estado, de prestações próprias de proteção social, que garantam temporariamente condições de vida mínimas, sem observar as causas subjacentes à produção da pobreza, que reproduzem suas condições e produzem novos pobres. O juiz considera que isso </w:t>
      </w:r>
      <w:r w:rsidRPr="00D5464D">
        <w:rPr>
          <w:rFonts w:eastAsia="Cambria" w:cs="Times New Roman"/>
          <w:lang w:val="pt-BR"/>
        </w:rPr>
        <w:t xml:space="preserve">indica a necessidade de vincular as medidas de erradicação da pobreza com o conjunto de fenômenos que a originam, levando em consideração a incidência das decisões tomadas no âmbito dos Estados, de órgãos multinacionais e multilaterais, pois, na </w:t>
      </w:r>
      <w:r w:rsidRPr="00D5464D">
        <w:rPr>
          <w:rFonts w:eastAsia="Cambria" w:cs="Times New Roman"/>
          <w:szCs w:val="20"/>
          <w:lang w:val="pt-BR"/>
        </w:rPr>
        <w:t>reprodução das condições de pobreza, existem responsabilidades de atores e instituições internacionais e nacionais comprometidas.</w:t>
      </w:r>
      <w:r w:rsidRPr="00D5464D">
        <w:rPr>
          <w:rFonts w:eastAsia="Cambria" w:cs="Times New Roman"/>
          <w:szCs w:val="20"/>
          <w:vertAlign w:val="superscript"/>
          <w:lang w:val="pt-BR"/>
        </w:rPr>
        <w:footnoteReference w:id="579"/>
      </w:r>
      <w:r w:rsidRPr="00D5464D">
        <w:rPr>
          <w:rFonts w:eastAsia="Cambria" w:cs="Times New Roman"/>
          <w:szCs w:val="20"/>
          <w:lang w:val="pt-BR"/>
        </w:rPr>
        <w:t xml:space="preserve"> Assim, concluiu considerando </w:t>
      </w:r>
      <w:r w:rsidRPr="00D5464D">
        <w:rPr>
          <w:rFonts w:eastAsia="Cambria" w:cs="Times New Roman"/>
          <w:sz w:val="16"/>
          <w:szCs w:val="16"/>
          <w:lang w:val="pt-BR"/>
        </w:rPr>
        <w:t>que:</w:t>
      </w:r>
    </w:p>
    <w:p w14:paraId="70F09EB3" w14:textId="77777777" w:rsidR="00F16338" w:rsidRPr="00D5464D" w:rsidRDefault="00F16338" w:rsidP="00F16338">
      <w:pPr>
        <w:tabs>
          <w:tab w:val="clear" w:pos="4419"/>
          <w:tab w:val="clear" w:pos="8838"/>
        </w:tabs>
        <w:contextualSpacing/>
        <w:jc w:val="both"/>
        <w:rPr>
          <w:rFonts w:eastAsia="Cambria" w:cs="Times New Roman"/>
          <w:sz w:val="16"/>
          <w:szCs w:val="16"/>
          <w:lang w:val="pt-BR"/>
        </w:rPr>
      </w:pPr>
    </w:p>
    <w:p w14:paraId="5A053D33" w14:textId="77777777" w:rsidR="00F16338" w:rsidRPr="00D5464D" w:rsidRDefault="00F16338" w:rsidP="00F16338">
      <w:pPr>
        <w:tabs>
          <w:tab w:val="clear" w:pos="4419"/>
          <w:tab w:val="clear" w:pos="8838"/>
        </w:tabs>
        <w:ind w:left="708"/>
        <w:contextualSpacing/>
        <w:jc w:val="both"/>
        <w:rPr>
          <w:rFonts w:eastAsia="Cambria" w:cs="Times New Roman"/>
          <w:i/>
          <w:sz w:val="16"/>
          <w:szCs w:val="16"/>
          <w:lang w:val="pt-BR"/>
        </w:rPr>
      </w:pPr>
      <w:r w:rsidRPr="00D5464D">
        <w:rPr>
          <w:rFonts w:eastAsia="Cambria" w:cs="Times New Roman"/>
          <w:i/>
          <w:sz w:val="16"/>
          <w:szCs w:val="16"/>
          <w:lang w:val="pt-BR"/>
        </w:rPr>
        <w:t>Nos avanços do Direito Internacional dos Direitos Humanos se requer que a comunidade internacional assuma que a pobreza, e particularmente a pobreza extrema, é uma forma de negação de todos os direitos humanos (civis, políticos, econômicos e culturais) e atue em consequência, de modo a facilitar a identificação dos perpetradores sobre os quais recai a responsabilidade internacional. O sistema de crescimento econômico ligado a uma forma de globalização que empobrece crescentes setores constitui uma forma “massiva, flagrante e sistemática de violação de direitos humanos”, em um mundo crescentemente interdependente. Nesta interpretação do direito à vida que acompanhe a evolução dos tempos e as condições de vida atuais deve-se prestar atenção nas causas produtoras de pobreza extrema e nos perpetradores que estão atrás delas. Nesta perspectiva, não cessam as responsabilidades internacionais do Estado [...] e dos outros Estados Signatários da Convenção Americana, mas as mesmas são compartilhadas com a Comunidade Internacional que requer novos instrumentos.</w:t>
      </w:r>
      <w:r w:rsidRPr="00D5464D">
        <w:rPr>
          <w:rFonts w:eastAsia="Cambria" w:cs="Times New Roman"/>
          <w:sz w:val="16"/>
          <w:szCs w:val="16"/>
          <w:vertAlign w:val="superscript"/>
          <w:lang w:val="pt-BR"/>
        </w:rPr>
        <w:footnoteReference w:id="580"/>
      </w:r>
      <w:r w:rsidRPr="00D5464D">
        <w:rPr>
          <w:rFonts w:eastAsia="Cambria" w:cs="Times New Roman"/>
          <w:i/>
          <w:sz w:val="16"/>
          <w:szCs w:val="16"/>
          <w:lang w:val="pt-BR"/>
        </w:rPr>
        <w:t xml:space="preserve"> </w:t>
      </w:r>
    </w:p>
    <w:p w14:paraId="1609B741" w14:textId="77777777" w:rsidR="00F16338" w:rsidRPr="00D5464D" w:rsidRDefault="00F16338" w:rsidP="00F16338">
      <w:pPr>
        <w:tabs>
          <w:tab w:val="clear" w:pos="4419"/>
          <w:tab w:val="clear" w:pos="8838"/>
        </w:tabs>
        <w:rPr>
          <w:rFonts w:eastAsia="MS Mincho" w:cs="Times New Roman"/>
          <w:i/>
          <w:szCs w:val="20"/>
          <w:lang w:val="pt-BR" w:eastAsia="es-ES"/>
        </w:rPr>
      </w:pPr>
    </w:p>
    <w:p w14:paraId="0DC7F768" w14:textId="77777777" w:rsidR="00F16338" w:rsidRPr="00D5464D" w:rsidRDefault="00F16338" w:rsidP="00F306D7">
      <w:pPr>
        <w:numPr>
          <w:ilvl w:val="0"/>
          <w:numId w:val="26"/>
        </w:numPr>
        <w:tabs>
          <w:tab w:val="clear" w:pos="4419"/>
          <w:tab w:val="clear" w:pos="8838"/>
        </w:tabs>
        <w:contextualSpacing/>
        <w:jc w:val="both"/>
        <w:rPr>
          <w:rFonts w:eastAsia="Cambria" w:cs="Times New Roman"/>
          <w:i/>
          <w:sz w:val="16"/>
          <w:szCs w:val="16"/>
          <w:lang w:val="pt-BR"/>
        </w:rPr>
      </w:pPr>
      <w:r w:rsidRPr="00D5464D">
        <w:rPr>
          <w:rFonts w:eastAsia="Cambria" w:cs="Times New Roman"/>
          <w:szCs w:val="20"/>
          <w:lang w:val="pt-BR"/>
        </w:rPr>
        <w:t xml:space="preserve">No caso do </w:t>
      </w:r>
      <w:r w:rsidRPr="00D5464D">
        <w:rPr>
          <w:rFonts w:eastAsia="Cambria" w:cs="Times New Roman"/>
          <w:i/>
          <w:szCs w:val="20"/>
          <w:lang w:val="pt-BR"/>
        </w:rPr>
        <w:t xml:space="preserve">Massacre de Mapiripán Vs. Colômbia </w:t>
      </w:r>
      <w:r w:rsidRPr="00D5464D">
        <w:rPr>
          <w:rFonts w:eastAsia="Cambria" w:cs="Times New Roman"/>
          <w:szCs w:val="20"/>
          <w:lang w:val="pt-BR"/>
        </w:rPr>
        <w:t>(2005), a Corte IDH constatou que, dadas as características dos massacres, os danos sofridos pelas famílias, somado ao medo dos familiares de que fatos similares voltassem a acontecer, à aterrorização e ameaças  feitas por alguns paramilitares, bem como o medo de dar seu testemunho ou de tê-lo dado, provocaram o deslocamento interno de muitas famílias de Mapiripán. Ademais, o Tribunal Interamericano considerou que era possível que alguns dos familiares deslocados não vivessem em Mapiripán ao momento dos fatos, mas nos arredores, entretanto se viram igualmente obrigados a se deslocar como consequência dos mesmos. A Corte IDH constatou que, de acordo com os próprios testemunhos, muitas dessas pessoas haviam enfrentado graves condições de pobreza e a falta de acesso a muitos serviços básicos.</w:t>
      </w:r>
      <w:r w:rsidRPr="00D5464D">
        <w:rPr>
          <w:rFonts w:eastAsia="Cambria" w:cs="Times New Roman"/>
          <w:szCs w:val="20"/>
          <w:vertAlign w:val="superscript"/>
          <w:lang w:val="pt-BR"/>
        </w:rPr>
        <w:footnoteReference w:id="581"/>
      </w:r>
      <w:r w:rsidRPr="00D5464D">
        <w:rPr>
          <w:rFonts w:eastAsia="Cambria" w:cs="Times New Roman"/>
          <w:szCs w:val="20"/>
          <w:lang w:val="pt-BR"/>
        </w:rPr>
        <w:t xml:space="preserve">  </w:t>
      </w:r>
    </w:p>
    <w:p w14:paraId="4B6B0C80" w14:textId="77777777" w:rsidR="00F16338" w:rsidRPr="00D5464D" w:rsidRDefault="00F16338" w:rsidP="00F16338">
      <w:pPr>
        <w:tabs>
          <w:tab w:val="clear" w:pos="4419"/>
          <w:tab w:val="clear" w:pos="8838"/>
        </w:tabs>
        <w:contextualSpacing/>
        <w:jc w:val="both"/>
        <w:rPr>
          <w:rFonts w:eastAsia="Cambria" w:cs="Times New Roman"/>
          <w:i/>
          <w:sz w:val="16"/>
          <w:szCs w:val="16"/>
          <w:lang w:val="pt-BR"/>
        </w:rPr>
      </w:pPr>
    </w:p>
    <w:p w14:paraId="64CB5B6C" w14:textId="77777777" w:rsidR="00F16338" w:rsidRPr="00D5464D" w:rsidRDefault="00F16338" w:rsidP="00F306D7">
      <w:pPr>
        <w:numPr>
          <w:ilvl w:val="0"/>
          <w:numId w:val="26"/>
        </w:numPr>
        <w:tabs>
          <w:tab w:val="clear" w:pos="4419"/>
          <w:tab w:val="clear" w:pos="8838"/>
        </w:tabs>
        <w:contextualSpacing/>
        <w:jc w:val="both"/>
        <w:rPr>
          <w:rFonts w:eastAsia="Cambria" w:cs="Times New Roman"/>
          <w:i/>
          <w:szCs w:val="20"/>
          <w:lang w:val="pt-BR"/>
        </w:rPr>
      </w:pPr>
      <w:r w:rsidRPr="00D5464D">
        <w:rPr>
          <w:rFonts w:eastAsia="Cambria" w:cs="Times New Roman"/>
          <w:szCs w:val="20"/>
          <w:lang w:val="pt-BR"/>
        </w:rPr>
        <w:t xml:space="preserve">No caso da </w:t>
      </w:r>
      <w:r w:rsidRPr="00D5464D">
        <w:rPr>
          <w:rFonts w:eastAsia="Cambria" w:cs="Times New Roman"/>
          <w:i/>
          <w:szCs w:val="20"/>
          <w:lang w:val="pt-BR"/>
        </w:rPr>
        <w:t xml:space="preserve">Comunidade Indígena Sawhoyamaxa Vs. Paraguai </w:t>
      </w:r>
      <w:r w:rsidRPr="00D5464D">
        <w:rPr>
          <w:rFonts w:eastAsia="Cambria" w:cs="Times New Roman"/>
          <w:szCs w:val="20"/>
          <w:lang w:val="pt-BR"/>
        </w:rPr>
        <w:t>(2006), a Corte IDH estabeleceu que a responsabilidade internacional dos Estados no âmbito da Convenção Americana surge no momento da violação das obrigações gerais previstas  nos artigos 1.1 e 2 deste tratado. Destas obrigações gerais derivam deveres especiais, determináveis em função das particulares necessidades de proteção do sujeito de direito, seja por sua condição pessoal ou pela situação específica em que se encontre, como a extrema pobreza, a marginalização e a infância.</w:t>
      </w:r>
      <w:r w:rsidRPr="00D5464D">
        <w:rPr>
          <w:rFonts w:eastAsia="Cambria" w:cs="Times New Roman"/>
          <w:szCs w:val="20"/>
          <w:vertAlign w:val="superscript"/>
          <w:lang w:val="pt-BR"/>
        </w:rPr>
        <w:footnoteReference w:id="582"/>
      </w:r>
      <w:r w:rsidRPr="00D5464D">
        <w:rPr>
          <w:rFonts w:eastAsia="Cambria" w:cs="Times New Roman"/>
          <w:szCs w:val="20"/>
          <w:lang w:val="pt-BR"/>
        </w:rPr>
        <w:t xml:space="preserve"> </w:t>
      </w:r>
    </w:p>
    <w:p w14:paraId="687F1EAA" w14:textId="77777777" w:rsidR="00F16338" w:rsidRPr="00D5464D" w:rsidRDefault="00F16338" w:rsidP="00F16338">
      <w:pPr>
        <w:tabs>
          <w:tab w:val="clear" w:pos="4419"/>
          <w:tab w:val="clear" w:pos="8838"/>
        </w:tabs>
        <w:rPr>
          <w:rFonts w:eastAsia="MS Mincho" w:cs="Times New Roman"/>
          <w:i/>
          <w:szCs w:val="20"/>
          <w:lang w:val="pt-BR" w:eastAsia="es-ES"/>
        </w:rPr>
      </w:pPr>
    </w:p>
    <w:p w14:paraId="6FC85731" w14:textId="77777777" w:rsidR="00F16338" w:rsidRPr="00D5464D" w:rsidRDefault="00F16338" w:rsidP="00F306D7">
      <w:pPr>
        <w:numPr>
          <w:ilvl w:val="0"/>
          <w:numId w:val="26"/>
        </w:numPr>
        <w:tabs>
          <w:tab w:val="clear" w:pos="4419"/>
          <w:tab w:val="clear" w:pos="8838"/>
        </w:tabs>
        <w:contextualSpacing/>
        <w:jc w:val="both"/>
        <w:rPr>
          <w:rFonts w:eastAsia="Cambria" w:cs="Times New Roman"/>
          <w:i/>
          <w:szCs w:val="20"/>
          <w:lang w:val="pt-BR"/>
        </w:rPr>
      </w:pPr>
      <w:r w:rsidRPr="00D5464D">
        <w:rPr>
          <w:rFonts w:eastAsia="Cambria" w:cs="Times New Roman"/>
          <w:szCs w:val="20"/>
          <w:lang w:val="pt-BR"/>
        </w:rPr>
        <w:t xml:space="preserve">No caso </w:t>
      </w:r>
      <w:r w:rsidRPr="00D5464D">
        <w:rPr>
          <w:rFonts w:eastAsia="Cambria" w:cs="Times New Roman"/>
          <w:i/>
          <w:szCs w:val="20"/>
          <w:lang w:val="pt-BR"/>
        </w:rPr>
        <w:t xml:space="preserve">Ximenes Lopes Vs. Brasil </w:t>
      </w:r>
      <w:r w:rsidRPr="00D5464D">
        <w:rPr>
          <w:rFonts w:eastAsia="Cambria" w:cs="Times New Roman"/>
          <w:szCs w:val="20"/>
          <w:lang w:val="pt-BR"/>
        </w:rPr>
        <w:t>(2006), o Tribunal Interamericano tomou em consideração que os grupos que vivem em circunstâncias adversas e com menos recursos, tais como as pessoas em condições de extrema pobreza, crianças e adolescentes em situação de risco, e populações indígenas, enfrentam um incremento no risco por padecerem de deficiências […]. Desta maneira, a Corte IDH considerou que o vínculo existente entre a deficiência, por um lado, e a pobreza e a exclusão social, por outro, era direto e significativo. Em razão disso, entre as medidas positivas sob responsabilidade dos Estados, encontram-se aquelas necessárias para prevenir as formas de deficiência evitáveis e dar às pessoas que (tenham alguma limitação) o tratamento preferencial apropriado à sua condição (especial de vulnerabilidade).</w:t>
      </w:r>
      <w:r w:rsidRPr="00D5464D">
        <w:rPr>
          <w:rFonts w:eastAsia="Cambria" w:cs="Times New Roman"/>
          <w:szCs w:val="20"/>
          <w:vertAlign w:val="superscript"/>
          <w:lang w:val="pt-BR"/>
        </w:rPr>
        <w:footnoteReference w:id="583"/>
      </w:r>
      <w:r w:rsidRPr="00D5464D">
        <w:rPr>
          <w:rFonts w:eastAsia="Cambria" w:cs="Times New Roman"/>
          <w:szCs w:val="20"/>
          <w:lang w:val="pt-BR"/>
        </w:rPr>
        <w:t xml:space="preserve"> </w:t>
      </w:r>
    </w:p>
    <w:p w14:paraId="73C5E12B" w14:textId="77777777" w:rsidR="00F16338" w:rsidRPr="00D5464D" w:rsidRDefault="00F16338" w:rsidP="00F16338">
      <w:pPr>
        <w:tabs>
          <w:tab w:val="clear" w:pos="4419"/>
          <w:tab w:val="clear" w:pos="8838"/>
        </w:tabs>
        <w:rPr>
          <w:rFonts w:eastAsia="MS Mincho" w:cs="Times New Roman"/>
          <w:i/>
          <w:sz w:val="24"/>
          <w:szCs w:val="20"/>
          <w:lang w:val="pt-BR" w:eastAsia="es-ES"/>
        </w:rPr>
      </w:pPr>
    </w:p>
    <w:p w14:paraId="095C1DE5" w14:textId="77777777" w:rsidR="00F16338" w:rsidRPr="00D5464D" w:rsidRDefault="00F16338" w:rsidP="00F306D7">
      <w:pPr>
        <w:numPr>
          <w:ilvl w:val="0"/>
          <w:numId w:val="26"/>
        </w:numPr>
        <w:tabs>
          <w:tab w:val="clear" w:pos="4419"/>
          <w:tab w:val="clear" w:pos="8838"/>
        </w:tabs>
        <w:contextualSpacing/>
        <w:jc w:val="both"/>
        <w:rPr>
          <w:rFonts w:eastAsia="Cambria" w:cs="Times New Roman"/>
          <w:szCs w:val="20"/>
          <w:lang w:val="pt-BR"/>
        </w:rPr>
      </w:pPr>
      <w:r w:rsidRPr="00D5464D">
        <w:rPr>
          <w:rFonts w:eastAsia="Cambria" w:cs="Times New Roman"/>
          <w:szCs w:val="20"/>
          <w:lang w:val="pt-BR"/>
        </w:rPr>
        <w:t xml:space="preserve">No caso da </w:t>
      </w:r>
      <w:r w:rsidRPr="00D5464D">
        <w:rPr>
          <w:rFonts w:eastAsia="Cambria" w:cs="Times New Roman"/>
          <w:i/>
          <w:szCs w:val="20"/>
          <w:lang w:val="pt-BR"/>
        </w:rPr>
        <w:t xml:space="preserve">Comunidade Indígena Xákmok Kásek Vs. Paraguai </w:t>
      </w:r>
      <w:r w:rsidRPr="00D5464D">
        <w:rPr>
          <w:rFonts w:eastAsia="Cambria" w:cs="Times New Roman"/>
          <w:szCs w:val="20"/>
          <w:lang w:val="pt-BR"/>
        </w:rPr>
        <w:t>(2010), o Tribunal Interamericano ressaltou que a extrema pobreza e a falta de atenção médica adequada a mulheres em estado de gravidez ou pós-parto eram causas de alta mortalidade e morbidade. Por isso, os Estados deveriam oferecer políticas de saúde adequadas que permitam oferecer assistência, com pessoal adequadamente treinado para atenção a partos, políticas de prevenção da mortalidade materna através de controles pré-natais e pós-parto adequados, e instrumentos jurídicos e administrativos em políticas de saúde que permitam documentar adequadamente os casos de mortalidade materna, uma vez que as mulheres em estado de gravidez requerem medidas de proteção especial.</w:t>
      </w:r>
      <w:r w:rsidRPr="00D5464D">
        <w:rPr>
          <w:rFonts w:eastAsia="Cambria" w:cs="Times New Roman"/>
          <w:szCs w:val="20"/>
          <w:vertAlign w:val="superscript"/>
          <w:lang w:val="pt-BR"/>
        </w:rPr>
        <w:footnoteReference w:id="584"/>
      </w:r>
      <w:r w:rsidRPr="00D5464D">
        <w:rPr>
          <w:rFonts w:eastAsia="Cambria" w:cs="Times New Roman"/>
          <w:szCs w:val="20"/>
          <w:lang w:val="pt-BR"/>
        </w:rPr>
        <w:t xml:space="preserve"> </w:t>
      </w:r>
    </w:p>
    <w:p w14:paraId="2DF383A1" w14:textId="77777777" w:rsidR="00F16338" w:rsidRPr="00D5464D" w:rsidRDefault="00F16338" w:rsidP="00F16338">
      <w:pPr>
        <w:tabs>
          <w:tab w:val="clear" w:pos="4419"/>
          <w:tab w:val="clear" w:pos="8838"/>
        </w:tabs>
        <w:rPr>
          <w:rFonts w:eastAsia="MS Mincho" w:cs="Times New Roman"/>
          <w:sz w:val="24"/>
          <w:szCs w:val="20"/>
          <w:lang w:val="pt-BR" w:eastAsia="es-ES"/>
        </w:rPr>
      </w:pPr>
    </w:p>
    <w:p w14:paraId="720D7C1F" w14:textId="77777777" w:rsidR="00F16338" w:rsidRPr="00D5464D" w:rsidRDefault="00F16338" w:rsidP="00F306D7">
      <w:pPr>
        <w:numPr>
          <w:ilvl w:val="0"/>
          <w:numId w:val="26"/>
        </w:numPr>
        <w:tabs>
          <w:tab w:val="clear" w:pos="4419"/>
          <w:tab w:val="clear" w:pos="8838"/>
        </w:tabs>
        <w:contextualSpacing/>
        <w:jc w:val="both"/>
        <w:rPr>
          <w:rFonts w:eastAsia="Cambria" w:cs="Times New Roman"/>
          <w:szCs w:val="20"/>
          <w:lang w:val="pt-BR"/>
        </w:rPr>
      </w:pPr>
      <w:r w:rsidRPr="00D5464D">
        <w:rPr>
          <w:rFonts w:eastAsia="Cambria" w:cs="Times New Roman"/>
          <w:szCs w:val="20"/>
          <w:lang w:val="pt-BR"/>
        </w:rPr>
        <w:t xml:space="preserve">No caso </w:t>
      </w:r>
      <w:r w:rsidRPr="00D5464D">
        <w:rPr>
          <w:rFonts w:eastAsia="Cambria" w:cs="Times New Roman"/>
          <w:i/>
          <w:szCs w:val="20"/>
          <w:lang w:val="pt-BR"/>
        </w:rPr>
        <w:t xml:space="preserve">Rosendo Cantú e outra Vs. México </w:t>
      </w:r>
      <w:r w:rsidRPr="00D5464D">
        <w:rPr>
          <w:rFonts w:eastAsia="Cambria" w:cs="Times New Roman"/>
          <w:szCs w:val="20"/>
          <w:lang w:val="pt-BR"/>
        </w:rPr>
        <w:t>(2010), a Corte IDH afirmou que, de acordo com o artigo 19 da Convenção Americana, os Estados deveriam assumir uma posição especial de garantidor, com maior cuidado e responsabilidade, e devem tomar medidas ou cuidados especiais orientados de acordo com o princípio do interesse superior da criança. Nesse sentido, o Estado deve prestar especial atenção às necessidades e aos direitos das crianças em particular condição de vulnerabilidade. Neste caso, considerou-se que, de acordo com suas obrigações convencionais, com efeito, o Estado deveria ter adotado medidas especiais a favor da senhora Rosendo Cantú, não apenas durante a denúncia penal, mas durante todo o tempo em que, sendo uma criança, esteve vinculada às investigações policiais em razão do delito que havia denunciado, sobretudo, por se tratar de uma (mulher) indígena, uma vez que as crianças indígenas cujas comunidades são afetadas pela pobreza se encontram em uma especial situação de vulnerabilidade.</w:t>
      </w:r>
      <w:r w:rsidRPr="00D5464D">
        <w:rPr>
          <w:rFonts w:eastAsia="Cambria" w:cs="Times New Roman"/>
          <w:szCs w:val="20"/>
          <w:vertAlign w:val="superscript"/>
          <w:lang w:val="pt-BR"/>
        </w:rPr>
        <w:footnoteReference w:id="585"/>
      </w:r>
      <w:r w:rsidRPr="00D5464D">
        <w:rPr>
          <w:rFonts w:eastAsia="Cambria" w:cs="Times New Roman"/>
          <w:szCs w:val="20"/>
          <w:lang w:val="pt-BR"/>
        </w:rPr>
        <w:t xml:space="preserve">  </w:t>
      </w:r>
    </w:p>
    <w:p w14:paraId="0A5F99CA" w14:textId="77777777" w:rsidR="00F16338" w:rsidRPr="00D5464D" w:rsidRDefault="00F16338" w:rsidP="00F16338">
      <w:pPr>
        <w:tabs>
          <w:tab w:val="clear" w:pos="4419"/>
          <w:tab w:val="clear" w:pos="8838"/>
        </w:tabs>
        <w:rPr>
          <w:rFonts w:eastAsia="MS Mincho" w:cs="Times New Roman"/>
          <w:sz w:val="24"/>
          <w:szCs w:val="20"/>
          <w:lang w:val="pt-BR" w:eastAsia="es-ES"/>
        </w:rPr>
      </w:pPr>
    </w:p>
    <w:p w14:paraId="109B9CD9" w14:textId="77777777" w:rsidR="00F16338" w:rsidRPr="00D5464D" w:rsidRDefault="00F16338" w:rsidP="00F306D7">
      <w:pPr>
        <w:numPr>
          <w:ilvl w:val="0"/>
          <w:numId w:val="26"/>
        </w:numPr>
        <w:tabs>
          <w:tab w:val="clear" w:pos="4419"/>
          <w:tab w:val="clear" w:pos="8838"/>
        </w:tabs>
        <w:contextualSpacing/>
        <w:jc w:val="both"/>
        <w:rPr>
          <w:rFonts w:eastAsia="Cambria" w:cs="Times New Roman"/>
          <w:i/>
          <w:szCs w:val="20"/>
          <w:lang w:val="pt-BR"/>
        </w:rPr>
      </w:pPr>
      <w:r w:rsidRPr="00D5464D">
        <w:rPr>
          <w:rFonts w:eastAsia="Cambria" w:cs="Times New Roman"/>
          <w:szCs w:val="20"/>
          <w:lang w:val="pt-BR"/>
        </w:rPr>
        <w:t>No caso</w:t>
      </w:r>
      <w:r w:rsidRPr="00D5464D">
        <w:rPr>
          <w:rFonts w:eastAsia="Cambria" w:cs="Times New Roman"/>
          <w:i/>
          <w:szCs w:val="20"/>
          <w:lang w:val="pt-BR"/>
        </w:rPr>
        <w:t xml:space="preserve"> Furlan e outros Vs. Argentina </w:t>
      </w:r>
      <w:r w:rsidRPr="00D5464D">
        <w:rPr>
          <w:rFonts w:eastAsia="Cambria" w:cs="Times New Roman"/>
          <w:szCs w:val="20"/>
          <w:lang w:val="pt-BR"/>
        </w:rPr>
        <w:t>(2012), ao reiterar a relação entre a pobreza e a deficiência,</w:t>
      </w:r>
      <w:r w:rsidRPr="00D5464D">
        <w:rPr>
          <w:rFonts w:eastAsia="Cambria" w:cs="Times New Roman"/>
          <w:szCs w:val="20"/>
          <w:vertAlign w:val="superscript"/>
          <w:lang w:val="pt-BR"/>
        </w:rPr>
        <w:footnoteReference w:id="586"/>
      </w:r>
      <w:r w:rsidRPr="00D5464D">
        <w:rPr>
          <w:rFonts w:eastAsia="Cambria" w:cs="Times New Roman"/>
          <w:szCs w:val="20"/>
          <w:lang w:val="pt-BR"/>
        </w:rPr>
        <w:t xml:space="preserve"> a Corte IDH observou que o defensor público de menores não foi notificado pelo juiz do processo civil, apesar de Sebastián Furlan ser uma criança no momento em que  foram realizadas as perícias que estabeleciam o grau de sua deficiência; razão pela qual Sebastián Furlan deixou de contar com uma garantia, não apenas obrigatória no âmbito interno, mas através da qual também teria podido intervir, como coadjuvante no processo civil, mediante as faculdades concedidas pela lei. Levando em consideração o anterior e as circunstâncias específicas do caso, a Corte IDH notou que o defensor público de menores e incapazes [</w:t>
      </w:r>
      <w:r w:rsidRPr="00D5464D">
        <w:rPr>
          <w:rFonts w:eastAsia="Cambria" w:cs="Times New Roman"/>
          <w:i/>
          <w:szCs w:val="20"/>
          <w:lang w:val="pt-BR"/>
        </w:rPr>
        <w:t>sic</w:t>
      </w:r>
      <w:r w:rsidRPr="00D5464D">
        <w:rPr>
          <w:rFonts w:eastAsia="Cambria" w:cs="Times New Roman"/>
          <w:szCs w:val="20"/>
          <w:lang w:val="pt-BR"/>
        </w:rPr>
        <w:t>] era uma ferramenta essencial para enfrentar a vulnerabilidade de Sebastián Furlan em virtude do efeito negativo gerado pela inter-relação entre sua deficiência e os escassos recursos econômicos com que contavam ele próprio e sua família, o que fez com que a pobreza de seu ambiente tivesse um impacto desproporcional em sua condição de pessoa com deficiência.</w:t>
      </w:r>
      <w:r w:rsidRPr="00D5464D">
        <w:rPr>
          <w:rFonts w:eastAsia="Cambria" w:cs="Times New Roman"/>
          <w:szCs w:val="20"/>
          <w:vertAlign w:val="superscript"/>
          <w:lang w:val="pt-BR"/>
        </w:rPr>
        <w:footnoteReference w:id="587"/>
      </w:r>
      <w:r w:rsidRPr="00D5464D">
        <w:rPr>
          <w:rFonts w:eastAsia="Cambria" w:cs="Times New Roman"/>
          <w:szCs w:val="20"/>
          <w:lang w:val="pt-BR"/>
        </w:rPr>
        <w:t xml:space="preserve"> </w:t>
      </w:r>
    </w:p>
    <w:p w14:paraId="3CDCE8BB" w14:textId="77777777" w:rsidR="00F16338" w:rsidRPr="00D5464D" w:rsidRDefault="00F16338" w:rsidP="00F16338">
      <w:pPr>
        <w:tabs>
          <w:tab w:val="clear" w:pos="4419"/>
          <w:tab w:val="clear" w:pos="8838"/>
        </w:tabs>
        <w:rPr>
          <w:rFonts w:eastAsia="MS Mincho" w:cs="Times New Roman"/>
          <w:i/>
          <w:sz w:val="24"/>
          <w:szCs w:val="20"/>
          <w:lang w:val="pt-BR" w:eastAsia="es-ES"/>
        </w:rPr>
      </w:pPr>
    </w:p>
    <w:p w14:paraId="01D914BF" w14:textId="77777777" w:rsidR="00F16338" w:rsidRPr="00D5464D" w:rsidRDefault="00F16338" w:rsidP="00F306D7">
      <w:pPr>
        <w:numPr>
          <w:ilvl w:val="0"/>
          <w:numId w:val="26"/>
        </w:numPr>
        <w:tabs>
          <w:tab w:val="clear" w:pos="4419"/>
          <w:tab w:val="clear" w:pos="8838"/>
        </w:tabs>
        <w:contextualSpacing/>
        <w:jc w:val="both"/>
        <w:rPr>
          <w:rFonts w:eastAsia="Cambria" w:cs="Times New Roman"/>
          <w:i/>
          <w:szCs w:val="20"/>
          <w:lang w:val="pt-BR"/>
        </w:rPr>
      </w:pPr>
      <w:r w:rsidRPr="00D5464D">
        <w:rPr>
          <w:rFonts w:eastAsia="Cambria" w:cs="Times New Roman"/>
          <w:szCs w:val="20"/>
          <w:lang w:val="pt-BR"/>
        </w:rPr>
        <w:t xml:space="preserve">No caso </w:t>
      </w:r>
      <w:r w:rsidRPr="00D5464D">
        <w:rPr>
          <w:rFonts w:eastAsia="Cambria" w:cs="Times New Roman"/>
          <w:i/>
          <w:szCs w:val="20"/>
          <w:lang w:val="pt-BR"/>
        </w:rPr>
        <w:t xml:space="preserve">Uzcátegui e outros Vs. Venezuela </w:t>
      </w:r>
      <w:r w:rsidRPr="00D5464D">
        <w:rPr>
          <w:rFonts w:eastAsia="Cambria" w:cs="Times New Roman"/>
          <w:szCs w:val="20"/>
          <w:lang w:val="pt-BR"/>
        </w:rPr>
        <w:t>(2012), no que tange ao direito de propriedade, a Corte IDH considerou que, em virtude das circunstâncias nas quais tiveram lugar e, em especial, da condição socioeconômica de vulnerabilidade da família Uzcátegui, os danos causados à sua propriedade como resultado do arrombamento tiveram para eles um efeito ou magnitude maiores do que teria gerado para outros grupos familiares. Nesse sentido, a Corte IDH considerou que os Estados devem levar em consideração que os grupos de pessoas que vivem em circunstâncias adversas e com menos recursos, tais como aquelas que vivem em condições de pobreza, enfrentam um incremento no grau de afetação a seus direitos, precisamente por sua situação de maior vulnerabilidade.</w:t>
      </w:r>
      <w:r w:rsidRPr="00D5464D">
        <w:rPr>
          <w:rFonts w:eastAsia="Cambria" w:cs="Times New Roman"/>
          <w:szCs w:val="20"/>
          <w:vertAlign w:val="superscript"/>
          <w:lang w:val="pt-BR"/>
        </w:rPr>
        <w:footnoteReference w:id="588"/>
      </w:r>
      <w:r w:rsidRPr="00D5464D">
        <w:rPr>
          <w:rFonts w:eastAsia="Cambria" w:cs="Times New Roman"/>
          <w:szCs w:val="20"/>
          <w:lang w:val="pt-BR"/>
        </w:rPr>
        <w:t xml:space="preserve"> </w:t>
      </w:r>
    </w:p>
    <w:p w14:paraId="7FFD8972" w14:textId="77777777" w:rsidR="00F16338" w:rsidRPr="00D5464D" w:rsidRDefault="00F16338" w:rsidP="00F16338">
      <w:pPr>
        <w:tabs>
          <w:tab w:val="clear" w:pos="4419"/>
          <w:tab w:val="clear" w:pos="8838"/>
        </w:tabs>
        <w:rPr>
          <w:rFonts w:eastAsia="MS Mincho" w:cs="Times New Roman"/>
          <w:i/>
          <w:sz w:val="24"/>
          <w:szCs w:val="20"/>
          <w:lang w:val="pt-BR" w:eastAsia="es-ES"/>
        </w:rPr>
      </w:pPr>
    </w:p>
    <w:p w14:paraId="3C8EE51C" w14:textId="77777777" w:rsidR="00F16338" w:rsidRPr="00D5464D" w:rsidRDefault="00F16338" w:rsidP="00F306D7">
      <w:pPr>
        <w:numPr>
          <w:ilvl w:val="0"/>
          <w:numId w:val="26"/>
        </w:numPr>
        <w:tabs>
          <w:tab w:val="clear" w:pos="4419"/>
          <w:tab w:val="clear" w:pos="8838"/>
        </w:tabs>
        <w:contextualSpacing/>
        <w:jc w:val="both"/>
        <w:rPr>
          <w:rFonts w:eastAsia="Cambria" w:cs="Times New Roman"/>
          <w:b/>
          <w:i/>
          <w:szCs w:val="20"/>
          <w:lang w:val="pt-BR"/>
        </w:rPr>
      </w:pPr>
      <w:r w:rsidRPr="00D5464D">
        <w:rPr>
          <w:rFonts w:eastAsia="Cambria" w:cs="Times New Roman"/>
          <w:szCs w:val="20"/>
          <w:lang w:val="pt-BR"/>
        </w:rPr>
        <w:t>No marco do conflito armado interno e de aplicação do Direito Internacional Humanitário, a Corte IDH considerou que as pessoas em situação de pobreza em razão de sua condição socioeconômica e vulnerabilidade enfrentam a violação de direitos humanos de maneira diferente (com maior intensidade) do que outras pessoas ou grupos em outras condições.</w:t>
      </w:r>
      <w:r w:rsidRPr="00D5464D">
        <w:rPr>
          <w:rFonts w:eastAsia="Cambria" w:cs="Times New Roman"/>
          <w:szCs w:val="20"/>
          <w:vertAlign w:val="superscript"/>
          <w:lang w:val="pt-BR"/>
        </w:rPr>
        <w:footnoteReference w:id="589"/>
      </w:r>
      <w:r w:rsidRPr="00D5464D">
        <w:rPr>
          <w:rFonts w:eastAsia="Cambria" w:cs="Times New Roman"/>
          <w:szCs w:val="20"/>
          <w:lang w:val="pt-BR"/>
        </w:rPr>
        <w:t xml:space="preserve"> No Caso do Massacre </w:t>
      </w:r>
      <w:r w:rsidRPr="00D5464D">
        <w:rPr>
          <w:rFonts w:eastAsia="Cambria" w:cs="Times New Roman"/>
          <w:i/>
          <w:szCs w:val="20"/>
          <w:lang w:val="pt-BR"/>
        </w:rPr>
        <w:t xml:space="preserve">de Santo Domingo Vs. Colômbia </w:t>
      </w:r>
      <w:r w:rsidRPr="00D5464D">
        <w:rPr>
          <w:rFonts w:eastAsia="Cambria" w:cs="Times New Roman"/>
          <w:szCs w:val="20"/>
          <w:lang w:val="pt-BR"/>
        </w:rPr>
        <w:t>(2012)</w:t>
      </w:r>
      <w:r w:rsidRPr="00D5464D">
        <w:rPr>
          <w:rFonts w:eastAsia="Cambria" w:cs="Times New Roman"/>
          <w:i/>
          <w:szCs w:val="20"/>
          <w:lang w:val="pt-BR"/>
        </w:rPr>
        <w:t xml:space="preserve">, </w:t>
      </w:r>
      <w:r w:rsidRPr="00D5464D">
        <w:rPr>
          <w:rFonts w:eastAsia="Cambria" w:cs="Times New Roman"/>
          <w:szCs w:val="20"/>
          <w:lang w:val="pt-BR"/>
        </w:rPr>
        <w:t>o</w:t>
      </w:r>
      <w:r w:rsidRPr="00D5464D">
        <w:rPr>
          <w:rFonts w:eastAsia="Cambria" w:cs="Times New Roman"/>
          <w:i/>
          <w:szCs w:val="20"/>
          <w:lang w:val="pt-BR"/>
        </w:rPr>
        <w:t xml:space="preserve"> </w:t>
      </w:r>
      <w:r w:rsidRPr="00D5464D">
        <w:rPr>
          <w:rFonts w:eastAsia="Cambria" w:cs="Times New Roman"/>
          <w:szCs w:val="20"/>
          <w:lang w:val="pt-BR"/>
        </w:rPr>
        <w:t>Tribunal Interamericano provou que, depois que os moradores de Santo Domingo tiveram de abandonar suas casas e deslocar-se como consequência dos fatos violentos dos quais haviam sido vítimas , ocorreram saques em algumas das casas e lojas de Santo Domingo, bem como danos e destruição de bens móveis e imóveis.</w:t>
      </w:r>
      <w:r w:rsidRPr="00D5464D">
        <w:rPr>
          <w:rFonts w:eastAsia="Cambria" w:cs="Times New Roman"/>
          <w:szCs w:val="20"/>
          <w:vertAlign w:val="superscript"/>
          <w:lang w:val="pt-BR"/>
        </w:rPr>
        <w:footnoteReference w:id="590"/>
      </w:r>
      <w:r w:rsidRPr="00D5464D">
        <w:rPr>
          <w:rFonts w:eastAsia="Cambria" w:cs="Times New Roman"/>
          <w:szCs w:val="20"/>
          <w:lang w:val="pt-BR"/>
        </w:rPr>
        <w:t xml:space="preserve">  </w:t>
      </w:r>
    </w:p>
    <w:p w14:paraId="50F835F8" w14:textId="77777777" w:rsidR="00F16338" w:rsidRPr="00D5464D" w:rsidRDefault="00F16338" w:rsidP="00F16338">
      <w:pPr>
        <w:tabs>
          <w:tab w:val="clear" w:pos="4419"/>
          <w:tab w:val="clear" w:pos="8838"/>
        </w:tabs>
        <w:contextualSpacing/>
        <w:jc w:val="both"/>
        <w:rPr>
          <w:rFonts w:eastAsia="Cambria" w:cs="Times New Roman"/>
          <w:b/>
          <w:i/>
          <w:szCs w:val="20"/>
          <w:lang w:val="pt-BR"/>
        </w:rPr>
      </w:pPr>
    </w:p>
    <w:p w14:paraId="5D3B39EB" w14:textId="77777777" w:rsidR="00F16338" w:rsidRPr="00D5464D" w:rsidRDefault="00F16338" w:rsidP="00F306D7">
      <w:pPr>
        <w:numPr>
          <w:ilvl w:val="0"/>
          <w:numId w:val="26"/>
        </w:numPr>
        <w:tabs>
          <w:tab w:val="clear" w:pos="4419"/>
          <w:tab w:val="clear" w:pos="8838"/>
        </w:tabs>
        <w:contextualSpacing/>
        <w:jc w:val="both"/>
        <w:rPr>
          <w:rFonts w:eastAsia="Cambria" w:cs="Times New Roman"/>
          <w:b/>
          <w:szCs w:val="20"/>
          <w:lang w:val="pt-BR"/>
        </w:rPr>
      </w:pPr>
      <w:r w:rsidRPr="00D5464D">
        <w:rPr>
          <w:rFonts w:eastAsia="Cambria" w:cs="Times New Roman"/>
          <w:szCs w:val="20"/>
          <w:lang w:val="pt-BR"/>
        </w:rPr>
        <w:t xml:space="preserve">No caso </w:t>
      </w:r>
      <w:r w:rsidRPr="00D5464D">
        <w:rPr>
          <w:rFonts w:eastAsia="Cambria" w:cs="Times New Roman"/>
          <w:i/>
          <w:szCs w:val="20"/>
          <w:lang w:val="pt-BR"/>
        </w:rPr>
        <w:t xml:space="preserve">Artavia Murillo e outros (Fecundação in Vitro) Vs. Costa Rica </w:t>
      </w:r>
      <w:r w:rsidRPr="00D5464D">
        <w:rPr>
          <w:rFonts w:eastAsia="Cambria" w:cs="Times New Roman"/>
          <w:szCs w:val="20"/>
          <w:lang w:val="pt-BR"/>
        </w:rPr>
        <w:t xml:space="preserve">(2012), sobre a </w:t>
      </w:r>
      <w:r w:rsidRPr="00D5464D">
        <w:rPr>
          <w:rFonts w:eastAsia="Cambria" w:cs="Times New Roman"/>
          <w:lang w:val="pt-BR"/>
        </w:rPr>
        <w:t xml:space="preserve">proibição da fecundação </w:t>
      </w:r>
      <w:r w:rsidRPr="00D5464D">
        <w:rPr>
          <w:rFonts w:eastAsia="Cambria" w:cs="Times New Roman"/>
          <w:i/>
          <w:lang w:val="pt-BR"/>
        </w:rPr>
        <w:t>in vitro</w:t>
      </w:r>
      <w:r w:rsidRPr="00D5464D">
        <w:rPr>
          <w:rFonts w:eastAsia="Cambria" w:cs="Times New Roman"/>
          <w:lang w:val="pt-BR"/>
        </w:rPr>
        <w:t xml:space="preserve">, a Corte IDH afirmou que esta teve um impacto desproporcional nos casais inférteis que não contavam com os recursos econômicos para realizar a FIV no exterior; assim, várias das vítimas não tinham os recursos econômicos para realizar </w:t>
      </w:r>
      <w:r w:rsidRPr="00D5464D">
        <w:rPr>
          <w:rFonts w:eastAsia="Cambria" w:cs="Times New Roman"/>
          <w:szCs w:val="20"/>
          <w:lang w:val="pt-BR"/>
        </w:rPr>
        <w:t xml:space="preserve">de maneira exitosa o tratamento da fecundação </w:t>
      </w:r>
      <w:r w:rsidRPr="00D5464D">
        <w:rPr>
          <w:rFonts w:eastAsia="Cambria" w:cs="Times New Roman"/>
          <w:i/>
          <w:szCs w:val="20"/>
          <w:lang w:val="pt-BR"/>
        </w:rPr>
        <w:t>in vitro</w:t>
      </w:r>
      <w:r w:rsidRPr="00D5464D">
        <w:rPr>
          <w:rFonts w:eastAsia="Cambria" w:cs="Times New Roman"/>
          <w:szCs w:val="20"/>
          <w:lang w:val="pt-BR"/>
        </w:rPr>
        <w:t xml:space="preserve"> no exterior,</w:t>
      </w:r>
      <w:r w:rsidRPr="00D5464D">
        <w:rPr>
          <w:rFonts w:eastAsia="Cambria" w:cs="Times New Roman"/>
          <w:szCs w:val="20"/>
          <w:vertAlign w:val="superscript"/>
          <w:lang w:val="pt-BR"/>
        </w:rPr>
        <w:footnoteReference w:id="591"/>
      </w:r>
      <w:r w:rsidRPr="00D5464D">
        <w:rPr>
          <w:rFonts w:eastAsia="Cambria" w:cs="Times New Roman"/>
          <w:szCs w:val="20"/>
          <w:lang w:val="pt-BR"/>
        </w:rPr>
        <w:t xml:space="preserve"> constituindo-se em um caso de discriminação indireta.</w:t>
      </w:r>
      <w:r w:rsidRPr="00D5464D">
        <w:rPr>
          <w:rFonts w:eastAsia="Cambria" w:cs="Times New Roman"/>
          <w:szCs w:val="20"/>
          <w:vertAlign w:val="superscript"/>
          <w:lang w:val="pt-BR"/>
        </w:rPr>
        <w:footnoteReference w:id="592"/>
      </w:r>
      <w:r w:rsidRPr="00D5464D">
        <w:rPr>
          <w:rFonts w:eastAsia="Cambria" w:cs="Times New Roman"/>
          <w:szCs w:val="20"/>
          <w:lang w:val="pt-BR"/>
        </w:rPr>
        <w:t xml:space="preserve"> </w:t>
      </w:r>
    </w:p>
    <w:p w14:paraId="4429C982" w14:textId="77777777" w:rsidR="00F16338" w:rsidRPr="00D5464D" w:rsidRDefault="00F16338" w:rsidP="00F16338">
      <w:pPr>
        <w:tabs>
          <w:tab w:val="clear" w:pos="4419"/>
          <w:tab w:val="clear" w:pos="8838"/>
        </w:tabs>
        <w:contextualSpacing/>
        <w:jc w:val="both"/>
        <w:rPr>
          <w:rFonts w:eastAsia="Cambria" w:cs="Times New Roman"/>
          <w:b/>
          <w:i/>
          <w:szCs w:val="20"/>
          <w:lang w:val="pt-BR"/>
        </w:rPr>
      </w:pPr>
    </w:p>
    <w:p w14:paraId="1224519A" w14:textId="77777777" w:rsidR="00F16338" w:rsidRPr="00D5464D" w:rsidRDefault="00F16338" w:rsidP="00F306D7">
      <w:pPr>
        <w:numPr>
          <w:ilvl w:val="0"/>
          <w:numId w:val="26"/>
        </w:numPr>
        <w:tabs>
          <w:tab w:val="clear" w:pos="4419"/>
          <w:tab w:val="clear" w:pos="8838"/>
        </w:tabs>
        <w:contextualSpacing/>
        <w:jc w:val="both"/>
        <w:rPr>
          <w:rFonts w:eastAsia="Cambria" w:cs="Times New Roman"/>
          <w:b/>
          <w:i/>
          <w:szCs w:val="20"/>
          <w:lang w:val="pt-BR"/>
        </w:rPr>
      </w:pPr>
      <w:r w:rsidRPr="00D5464D">
        <w:rPr>
          <w:rFonts w:eastAsia="Cambria" w:cs="Times New Roman"/>
          <w:szCs w:val="20"/>
          <w:lang w:val="pt-BR"/>
        </w:rPr>
        <w:t xml:space="preserve">Nos casos </w:t>
      </w:r>
      <w:r w:rsidRPr="00D5464D">
        <w:rPr>
          <w:rFonts w:eastAsia="Cambria" w:cs="Times New Roman"/>
          <w:i/>
          <w:szCs w:val="20"/>
          <w:lang w:val="pt-BR"/>
        </w:rPr>
        <w:t xml:space="preserve">Yean e Bosico </w:t>
      </w:r>
      <w:r w:rsidRPr="00D5464D">
        <w:rPr>
          <w:rFonts w:eastAsia="Cambria" w:cs="Times New Roman"/>
          <w:szCs w:val="20"/>
          <w:lang w:val="pt-BR"/>
        </w:rPr>
        <w:t xml:space="preserve">(2005) e </w:t>
      </w:r>
      <w:r w:rsidRPr="00D5464D">
        <w:rPr>
          <w:rFonts w:eastAsia="Cambria" w:cs="Times New Roman"/>
          <w:i/>
          <w:szCs w:val="20"/>
          <w:lang w:val="pt-BR"/>
        </w:rPr>
        <w:t xml:space="preserve">Pessoas Dominicanas e Haitianas expulsas </w:t>
      </w:r>
      <w:r w:rsidRPr="00D5464D">
        <w:rPr>
          <w:rFonts w:eastAsia="Cambria" w:cs="Times New Roman"/>
          <w:szCs w:val="20"/>
          <w:lang w:val="pt-BR"/>
        </w:rPr>
        <w:t>(2014), ambos contra a República Dominicana, foi provado que muitas das pessoas haitianas na República Dominicana sofriam condições de pobreza e marginalidade derivadas de sua condição jurídica e de sua falta de oportunidades.</w:t>
      </w:r>
      <w:r w:rsidRPr="00D5464D">
        <w:rPr>
          <w:rFonts w:eastAsia="Cambria" w:cs="Times New Roman"/>
          <w:szCs w:val="20"/>
          <w:vertAlign w:val="superscript"/>
          <w:lang w:val="pt-BR"/>
        </w:rPr>
        <w:footnoteReference w:id="593"/>
      </w:r>
      <w:r w:rsidRPr="00D5464D">
        <w:rPr>
          <w:rFonts w:eastAsia="Cambria" w:cs="Times New Roman"/>
          <w:b/>
          <w:szCs w:val="20"/>
          <w:lang w:val="pt-BR"/>
        </w:rPr>
        <w:t xml:space="preserve"> </w:t>
      </w:r>
    </w:p>
    <w:p w14:paraId="165B3E77" w14:textId="77777777" w:rsidR="00F16338" w:rsidRPr="00D5464D" w:rsidRDefault="00F16338" w:rsidP="00F16338">
      <w:pPr>
        <w:tabs>
          <w:tab w:val="clear" w:pos="4419"/>
          <w:tab w:val="clear" w:pos="8838"/>
        </w:tabs>
        <w:contextualSpacing/>
        <w:jc w:val="both"/>
        <w:rPr>
          <w:rFonts w:eastAsia="Cambria" w:cs="Times New Roman"/>
          <w:b/>
          <w:szCs w:val="20"/>
          <w:lang w:val="pt-BR"/>
        </w:rPr>
      </w:pPr>
      <w:r w:rsidRPr="00D5464D">
        <w:rPr>
          <w:rFonts w:eastAsia="Cambria" w:cs="Times New Roman"/>
          <w:b/>
          <w:szCs w:val="20"/>
          <w:lang w:val="pt-BR"/>
        </w:rPr>
        <w:tab/>
      </w:r>
    </w:p>
    <w:p w14:paraId="45781394" w14:textId="77777777" w:rsidR="00F16338" w:rsidRPr="00D5464D" w:rsidRDefault="00F16338" w:rsidP="00F306D7">
      <w:pPr>
        <w:numPr>
          <w:ilvl w:val="0"/>
          <w:numId w:val="26"/>
        </w:numPr>
        <w:tabs>
          <w:tab w:val="clear" w:pos="4419"/>
          <w:tab w:val="clear" w:pos="8838"/>
        </w:tabs>
        <w:contextualSpacing/>
        <w:jc w:val="both"/>
        <w:rPr>
          <w:rFonts w:eastAsia="Cambria" w:cs="Times New Roman"/>
          <w:b/>
          <w:szCs w:val="20"/>
          <w:lang w:val="pt-BR"/>
        </w:rPr>
      </w:pPr>
      <w:r w:rsidRPr="00D5464D">
        <w:rPr>
          <w:rFonts w:eastAsia="Cambria" w:cs="Times New Roman"/>
          <w:szCs w:val="20"/>
          <w:lang w:val="pt-BR"/>
        </w:rPr>
        <w:t xml:space="preserve">No caso </w:t>
      </w:r>
      <w:r w:rsidRPr="00D5464D">
        <w:rPr>
          <w:rFonts w:eastAsia="Cambria" w:cs="Times New Roman"/>
          <w:i/>
          <w:szCs w:val="20"/>
          <w:lang w:val="pt-BR"/>
        </w:rPr>
        <w:t xml:space="preserve">Gonzales Lluy e outros Vs. Equador </w:t>
      </w:r>
      <w:r w:rsidRPr="00D5464D">
        <w:rPr>
          <w:rFonts w:eastAsia="Cambria" w:cs="Times New Roman"/>
          <w:szCs w:val="20"/>
          <w:lang w:val="pt-BR"/>
        </w:rPr>
        <w:t>(2015), em relação à saúde da vítima, a</w:t>
      </w:r>
      <w:r w:rsidRPr="00D5464D">
        <w:rPr>
          <w:rFonts w:eastAsia="Cambria" w:cs="Times New Roman"/>
          <w:b/>
          <w:szCs w:val="20"/>
          <w:lang w:val="pt-BR"/>
        </w:rPr>
        <w:t xml:space="preserve"> </w:t>
      </w:r>
      <w:r w:rsidRPr="00D5464D">
        <w:rPr>
          <w:rFonts w:eastAsia="Cambria" w:cs="Times New Roman"/>
          <w:szCs w:val="20"/>
          <w:lang w:val="pt-BR"/>
        </w:rPr>
        <w:t>Corte IDH notou que, entre as medidas previstas para garantir o direito à saúde no Protocolo de San Salvador, os Estados deveriam promover a total imunização contra as principais doenças infecciosas; a prevenção e o tratamento das doenças endêmicas, profissionais e de outra natureza, e a satisfação das necessidades de saúde dos grupos de mais alto risco e que, por suas condições de pobreza, sejam mais vulneráveis.</w:t>
      </w:r>
      <w:r w:rsidRPr="00D5464D">
        <w:rPr>
          <w:rFonts w:eastAsia="Cambria" w:cs="Times New Roman"/>
          <w:szCs w:val="20"/>
          <w:vertAlign w:val="superscript"/>
          <w:lang w:val="pt-BR"/>
        </w:rPr>
        <w:footnoteReference w:id="594"/>
      </w:r>
      <w:r w:rsidRPr="00D5464D">
        <w:rPr>
          <w:rFonts w:eastAsia="Cambria" w:cs="Times New Roman"/>
          <w:szCs w:val="20"/>
          <w:lang w:val="pt-BR"/>
        </w:rPr>
        <w:t xml:space="preserve"> </w:t>
      </w:r>
    </w:p>
    <w:p w14:paraId="2A93DF05" w14:textId="77777777" w:rsidR="00F16338" w:rsidRPr="00D5464D" w:rsidRDefault="00F16338" w:rsidP="00F16338">
      <w:pPr>
        <w:tabs>
          <w:tab w:val="clear" w:pos="4419"/>
          <w:tab w:val="clear" w:pos="8838"/>
        </w:tabs>
        <w:rPr>
          <w:rFonts w:eastAsia="MS Mincho" w:cs="Times New Roman"/>
          <w:sz w:val="24"/>
          <w:szCs w:val="20"/>
          <w:lang w:val="pt-BR" w:eastAsia="es-ES"/>
        </w:rPr>
      </w:pPr>
    </w:p>
    <w:p w14:paraId="05DF9CE2" w14:textId="77777777" w:rsidR="00F16338" w:rsidRPr="00D5464D" w:rsidRDefault="00F16338" w:rsidP="00F306D7">
      <w:pPr>
        <w:numPr>
          <w:ilvl w:val="0"/>
          <w:numId w:val="26"/>
        </w:numPr>
        <w:tabs>
          <w:tab w:val="clear" w:pos="4419"/>
          <w:tab w:val="clear" w:pos="8838"/>
        </w:tabs>
        <w:contextualSpacing/>
        <w:jc w:val="both"/>
        <w:rPr>
          <w:rFonts w:eastAsia="Cambria" w:cs="Times New Roman"/>
          <w:b/>
          <w:szCs w:val="20"/>
          <w:lang w:val="pt-BR"/>
        </w:rPr>
      </w:pPr>
      <w:r w:rsidRPr="00D5464D">
        <w:rPr>
          <w:rFonts w:eastAsia="Cambria" w:cs="Times New Roman"/>
          <w:szCs w:val="20"/>
          <w:lang w:val="pt-BR"/>
        </w:rPr>
        <w:t>Neste caso, a Corte IDH considerou que confluíram, de forma inter-relacionada, múltiplos fatores de vulnerabilidade e de risco de discriminação associados à condição da vítima de criança, mulher, pessoa em situação de pobreza e pessoa com HIV. De igual maneira, a Corte IDH expressou que a pobreza teve um impacto no acesso inicial a uma atenção de saúde que não foi de qualidade e que, ao contrário, gerou o contágio com HIV. A situação de pobreza impactou também nas dificuldades para encontrar um melhor acesso ao sistema educativo e conseguir uma moradia digna. Posteriormente, sendo uma criança com HIV, os obstáculos sofridos pela vítima no acesso à educação tiveram um impacto negativo em seu desenvolvimento integral, que possui  também um impacto diferenciado quando se leva em consideração o papel da educação para superar os estereótipos de gênero. Em suma, no parecer do Tribunal Interamericano, o caso da vítima ilustrava como a estigmatização relacionada ao HIV não impactava, de forma homogênea, em todas as pessoas e que são mais graves os impactos nos grupos já marginalizados.</w:t>
      </w:r>
      <w:r w:rsidRPr="00D5464D">
        <w:rPr>
          <w:rFonts w:eastAsia="Cambria" w:cs="Times New Roman"/>
          <w:szCs w:val="20"/>
          <w:vertAlign w:val="superscript"/>
          <w:lang w:val="pt-BR"/>
        </w:rPr>
        <w:footnoteReference w:id="595"/>
      </w:r>
      <w:r w:rsidRPr="00D5464D">
        <w:rPr>
          <w:rFonts w:eastAsia="Cambria" w:cs="Times New Roman"/>
          <w:szCs w:val="20"/>
          <w:lang w:val="pt-BR"/>
        </w:rPr>
        <w:t xml:space="preserve"> Ao levar em consideração o anterior, a Corte IDH concluiu que a vítima sofreu uma discriminação derivada de sua condição de pessoa com HIV, criança, e mulher vivendo em situação de pobreza.</w:t>
      </w:r>
      <w:r w:rsidRPr="00D5464D">
        <w:rPr>
          <w:rFonts w:eastAsia="Cambria" w:cs="Times New Roman"/>
          <w:szCs w:val="20"/>
          <w:vertAlign w:val="superscript"/>
          <w:lang w:val="pt-BR"/>
        </w:rPr>
        <w:footnoteReference w:id="596"/>
      </w:r>
    </w:p>
    <w:p w14:paraId="6E924A50" w14:textId="77777777" w:rsidR="00F16338" w:rsidRPr="00D5464D" w:rsidRDefault="00F16338" w:rsidP="00F16338">
      <w:pPr>
        <w:tabs>
          <w:tab w:val="clear" w:pos="4419"/>
          <w:tab w:val="clear" w:pos="8838"/>
        </w:tabs>
        <w:contextualSpacing/>
        <w:jc w:val="both"/>
        <w:rPr>
          <w:rFonts w:eastAsia="Cambria" w:cs="Times New Roman"/>
          <w:b/>
          <w:szCs w:val="20"/>
          <w:lang w:val="pt-BR"/>
        </w:rPr>
      </w:pPr>
    </w:p>
    <w:p w14:paraId="7D39D273" w14:textId="77777777" w:rsidR="00F16338" w:rsidRPr="00D5464D" w:rsidRDefault="00F16338" w:rsidP="00F306D7">
      <w:pPr>
        <w:numPr>
          <w:ilvl w:val="0"/>
          <w:numId w:val="26"/>
        </w:numPr>
        <w:tabs>
          <w:tab w:val="clear" w:pos="4419"/>
          <w:tab w:val="clear" w:pos="8838"/>
        </w:tabs>
        <w:contextualSpacing/>
        <w:jc w:val="both"/>
        <w:rPr>
          <w:rFonts w:eastAsia="Cambria" w:cs="Times New Roman"/>
          <w:b/>
          <w:szCs w:val="20"/>
          <w:lang w:val="pt-BR"/>
        </w:rPr>
      </w:pPr>
      <w:r w:rsidRPr="00D5464D">
        <w:rPr>
          <w:rFonts w:eastAsia="Cambria" w:cs="Times New Roman"/>
          <w:szCs w:val="20"/>
          <w:lang w:val="pt-BR"/>
        </w:rPr>
        <w:t>Como podemos observar, na jurisprudência interamericana a posição econômica (pobreza ou condição econômica) esteve vinculada de três maneiras distintas: em primeiro lugar, pobreza ou condição econômica associada a grupos de vulnerabilidade tradicionalmente identificados (crianças, mulheres, indígenas, pessoas com deficiência, migrantes, etc.); em segundo lugar, pobreza ou condição econômica analisada como uma discriminação múltipla/composta</w:t>
      </w:r>
      <w:r w:rsidRPr="00D5464D">
        <w:rPr>
          <w:rFonts w:eastAsia="Cambria" w:cs="Times New Roman"/>
          <w:szCs w:val="20"/>
          <w:vertAlign w:val="superscript"/>
          <w:lang w:val="pt-BR"/>
        </w:rPr>
        <w:footnoteReference w:id="597"/>
      </w:r>
      <w:r w:rsidRPr="00D5464D">
        <w:rPr>
          <w:rFonts w:eastAsia="Cambria" w:cs="Times New Roman"/>
          <w:szCs w:val="20"/>
          <w:lang w:val="pt-BR"/>
        </w:rPr>
        <w:t xml:space="preserve"> ou interseccional</w:t>
      </w:r>
      <w:r w:rsidRPr="00D5464D">
        <w:rPr>
          <w:rFonts w:eastAsia="Cambria" w:cs="Times New Roman"/>
          <w:szCs w:val="20"/>
          <w:vertAlign w:val="superscript"/>
          <w:lang w:val="pt-BR"/>
        </w:rPr>
        <w:footnoteReference w:id="598"/>
      </w:r>
      <w:r w:rsidRPr="00D5464D">
        <w:rPr>
          <w:rFonts w:eastAsia="Cambria" w:cs="Times New Roman"/>
          <w:szCs w:val="20"/>
          <w:lang w:val="pt-BR"/>
        </w:rPr>
        <w:t xml:space="preserve"> com outras categorias; e, em terceiro lugar, pobreza ou condição econômica analisada de maneira isolada, dadas as circunstâncias do caso, sem vinculá-la a outra categoria de proteção especial.</w:t>
      </w:r>
      <w:r w:rsidRPr="00D5464D">
        <w:rPr>
          <w:rFonts w:eastAsia="Cambria" w:cs="Times New Roman"/>
          <w:szCs w:val="20"/>
          <w:vertAlign w:val="superscript"/>
          <w:lang w:val="pt-BR"/>
        </w:rPr>
        <w:footnoteReference w:id="599"/>
      </w:r>
      <w:r w:rsidRPr="00D5464D">
        <w:rPr>
          <w:rFonts w:eastAsia="Cambria" w:cs="Times New Roman"/>
          <w:szCs w:val="20"/>
          <w:lang w:val="pt-BR"/>
        </w:rPr>
        <w:t xml:space="preserve"> Apesar disso, em nenhum caso havia sido analisada esta terceira situação à luz da pobreza como parte da posição econômica, segundo o disposto no artigo 1.1 da Convenção Americana, sendo o </w:t>
      </w:r>
      <w:r w:rsidRPr="00D5464D">
        <w:rPr>
          <w:rFonts w:eastAsia="Cambria" w:cs="Times New Roman"/>
          <w:i/>
          <w:szCs w:val="20"/>
          <w:lang w:val="pt-BR"/>
        </w:rPr>
        <w:t>Caso Trabalhadores da Fazenda Brasil Verde</w:t>
      </w:r>
      <w:r w:rsidRPr="00D5464D">
        <w:rPr>
          <w:rFonts w:eastAsia="Cambria" w:cs="Times New Roman"/>
          <w:szCs w:val="20"/>
          <w:lang w:val="pt-BR"/>
        </w:rPr>
        <w:t xml:space="preserve"> a primeira oportunidade, o que motiva a apresentação do presente Voto Fundamentado.</w:t>
      </w:r>
    </w:p>
    <w:p w14:paraId="2E4B7B7E" w14:textId="77777777" w:rsidR="00F16338" w:rsidRPr="00D5464D" w:rsidRDefault="00F16338" w:rsidP="00F16338">
      <w:pPr>
        <w:tabs>
          <w:tab w:val="clear" w:pos="4419"/>
          <w:tab w:val="clear" w:pos="8838"/>
        </w:tabs>
        <w:contextualSpacing/>
        <w:jc w:val="center"/>
        <w:rPr>
          <w:rFonts w:eastAsia="Cambria" w:cs="Times New Roman"/>
          <w:b/>
          <w:szCs w:val="20"/>
          <w:lang w:val="pt-BR"/>
        </w:rPr>
      </w:pPr>
    </w:p>
    <w:p w14:paraId="20CD520A" w14:textId="77777777" w:rsidR="00F16338" w:rsidRPr="00D5464D" w:rsidRDefault="00F16338" w:rsidP="00F16338">
      <w:pPr>
        <w:tabs>
          <w:tab w:val="clear" w:pos="4419"/>
          <w:tab w:val="clear" w:pos="8838"/>
        </w:tabs>
        <w:contextualSpacing/>
        <w:jc w:val="center"/>
        <w:rPr>
          <w:rFonts w:eastAsia="Cambria" w:cs="Times New Roman"/>
          <w:b/>
          <w:szCs w:val="20"/>
          <w:lang w:val="pt-BR"/>
        </w:rPr>
      </w:pPr>
    </w:p>
    <w:p w14:paraId="7FD1051F" w14:textId="77777777" w:rsidR="00F16338" w:rsidRPr="00D5464D" w:rsidRDefault="00F16338" w:rsidP="00F16338">
      <w:pPr>
        <w:tabs>
          <w:tab w:val="clear" w:pos="4419"/>
          <w:tab w:val="clear" w:pos="8838"/>
        </w:tabs>
        <w:contextualSpacing/>
        <w:jc w:val="center"/>
        <w:rPr>
          <w:rFonts w:eastAsia="Cambria" w:cs="Times New Roman"/>
          <w:szCs w:val="20"/>
          <w:lang w:val="pt-BR"/>
        </w:rPr>
      </w:pPr>
      <w:r w:rsidRPr="00D5464D">
        <w:rPr>
          <w:rFonts w:eastAsia="Cambria" w:cs="Times New Roman"/>
          <w:szCs w:val="20"/>
          <w:lang w:val="pt-BR"/>
        </w:rPr>
        <w:t>III. A POBREZA COMO PARTE DA “POSIÇÃO ECONÔMICA” CONTEMPLADA NA CONVENÇÃO AMERICANA NO PRESENTE CASO</w:t>
      </w:r>
    </w:p>
    <w:p w14:paraId="10BE7F02" w14:textId="77777777" w:rsidR="00F16338" w:rsidRPr="00D5464D" w:rsidRDefault="00F16338" w:rsidP="00F16338">
      <w:pPr>
        <w:tabs>
          <w:tab w:val="clear" w:pos="4419"/>
          <w:tab w:val="clear" w:pos="8838"/>
        </w:tabs>
        <w:jc w:val="both"/>
        <w:rPr>
          <w:rFonts w:eastAsia="Cambria" w:cs="Times New Roman"/>
          <w:lang w:val="pt-BR"/>
        </w:rPr>
      </w:pPr>
    </w:p>
    <w:p w14:paraId="771B363B" w14:textId="77777777" w:rsidR="00F16338" w:rsidRPr="00D5464D" w:rsidRDefault="00F16338" w:rsidP="00F16338">
      <w:pPr>
        <w:tabs>
          <w:tab w:val="clear" w:pos="4419"/>
          <w:tab w:val="clear" w:pos="8838"/>
        </w:tabs>
        <w:jc w:val="both"/>
        <w:rPr>
          <w:rFonts w:eastAsia="Cambria" w:cs="Times New Roman"/>
          <w:lang w:val="pt-BR"/>
        </w:rPr>
      </w:pPr>
    </w:p>
    <w:p w14:paraId="69FC72B6" w14:textId="77777777" w:rsidR="00F16338" w:rsidRPr="00D5464D" w:rsidRDefault="00F16338" w:rsidP="00F306D7">
      <w:pPr>
        <w:numPr>
          <w:ilvl w:val="0"/>
          <w:numId w:val="26"/>
        </w:numPr>
        <w:tabs>
          <w:tab w:val="clear" w:pos="4419"/>
          <w:tab w:val="clear" w:pos="8838"/>
        </w:tabs>
        <w:contextualSpacing/>
        <w:jc w:val="both"/>
        <w:rPr>
          <w:rFonts w:eastAsia="Cambria" w:cs="Times New Roman"/>
          <w:szCs w:val="20"/>
          <w:lang w:val="pt-BR"/>
        </w:rPr>
      </w:pPr>
      <w:r w:rsidRPr="00D5464D">
        <w:rPr>
          <w:rFonts w:eastAsia="Cambria" w:cs="Times New Roman"/>
          <w:szCs w:val="20"/>
          <w:lang w:val="pt-BR"/>
        </w:rPr>
        <w:t>Apesar de os tribunais regionais de direitos humanos não terem se pronunciado sobre a discriminação por motivo de posição econômica derivada da pobreza sofrida pelas pessoas sob suas jurisdições —fator que talvez se deva ao fato de que, diferentemente da CADH, nem a Convenção Europeia nem a Carta Africana contêm expressamente a proibição de discriminação por “posição econômica”—; o certo é que a Corte IDH, como foi evidenciado, caminha na mesma direção do Sistema Universal, ao reconhecer que as pessoas que vivem em situação de pobreza são pessoas que se encontram protegidas pelo articulo 1.1 da Convenção Americana por sua posição econômica. Desta forma, o Tribunal Interamericano adiciona uma forma a mais de compreender a pobreza, como parte de uma categoria de proteção especial.</w:t>
      </w:r>
    </w:p>
    <w:p w14:paraId="14C9A4EF" w14:textId="77777777" w:rsidR="00F16338" w:rsidRPr="00D5464D" w:rsidRDefault="00F16338" w:rsidP="00F16338">
      <w:pPr>
        <w:tabs>
          <w:tab w:val="clear" w:pos="4419"/>
          <w:tab w:val="clear" w:pos="8838"/>
        </w:tabs>
        <w:contextualSpacing/>
        <w:jc w:val="both"/>
        <w:rPr>
          <w:rFonts w:eastAsia="Cambria" w:cs="Times New Roman"/>
          <w:szCs w:val="20"/>
          <w:lang w:val="pt-BR"/>
        </w:rPr>
      </w:pPr>
      <w:r w:rsidRPr="00D5464D">
        <w:rPr>
          <w:rFonts w:eastAsia="Cambria" w:cs="Times New Roman"/>
          <w:szCs w:val="20"/>
          <w:lang w:val="pt-BR"/>
        </w:rPr>
        <w:t xml:space="preserve"> </w:t>
      </w:r>
    </w:p>
    <w:p w14:paraId="16C91F1F" w14:textId="77777777" w:rsidR="00F16338" w:rsidRPr="00D5464D" w:rsidRDefault="00F16338" w:rsidP="00F306D7">
      <w:pPr>
        <w:numPr>
          <w:ilvl w:val="0"/>
          <w:numId w:val="26"/>
        </w:numPr>
        <w:tabs>
          <w:tab w:val="clear" w:pos="4419"/>
          <w:tab w:val="clear" w:pos="8838"/>
        </w:tabs>
        <w:contextualSpacing/>
        <w:jc w:val="both"/>
        <w:rPr>
          <w:rFonts w:eastAsia="Cambria" w:cs="Times New Roman"/>
          <w:szCs w:val="20"/>
          <w:lang w:val="pt-BR"/>
        </w:rPr>
      </w:pPr>
      <w:r w:rsidRPr="00D5464D">
        <w:rPr>
          <w:rFonts w:eastAsia="Cambria" w:cs="Times New Roman"/>
          <w:szCs w:val="20"/>
          <w:lang w:val="pt-BR"/>
        </w:rPr>
        <w:t xml:space="preserve">A </w:t>
      </w:r>
      <w:r w:rsidRPr="00D5464D">
        <w:rPr>
          <w:rFonts w:eastAsia="Cambria" w:cs="Times New Roman"/>
          <w:lang w:val="pt-BR"/>
        </w:rPr>
        <w:t xml:space="preserve">Corte IDH reconheceu na Sentença, pela primeira vez, que os fatos discriminatórios do presente caso derivaram da posição econômica </w:t>
      </w:r>
      <w:r w:rsidRPr="00D5464D">
        <w:rPr>
          <w:rFonts w:eastAsia="Cambria" w:cs="Times New Roman"/>
          <w:szCs w:val="20"/>
          <w:lang w:val="pt-BR"/>
        </w:rPr>
        <w:t>—</w:t>
      </w:r>
      <w:r w:rsidRPr="00D5464D">
        <w:rPr>
          <w:rFonts w:eastAsia="Cambria" w:cs="Times New Roman"/>
          <w:lang w:val="pt-BR"/>
        </w:rPr>
        <w:t>por sua situação  de pobreza</w:t>
      </w:r>
      <w:r w:rsidRPr="00D5464D">
        <w:rPr>
          <w:rFonts w:eastAsia="Cambria" w:cs="Times New Roman"/>
          <w:szCs w:val="20"/>
          <w:lang w:val="pt-BR"/>
        </w:rPr>
        <w:t>—</w:t>
      </w:r>
      <w:r w:rsidRPr="00D5464D">
        <w:rPr>
          <w:rFonts w:eastAsia="Cambria" w:cs="Times New Roman"/>
          <w:lang w:val="pt-BR"/>
        </w:rPr>
        <w:t xml:space="preserve"> das 85 vítimas que se encontravam dentro da Fazenda Brasil Verde. Assim, pronunciou-se no sentido de estabelecer que: </w:t>
      </w:r>
    </w:p>
    <w:p w14:paraId="3CBBA7E0" w14:textId="77777777" w:rsidR="00F16338" w:rsidRPr="00D5464D" w:rsidRDefault="00F16338" w:rsidP="00F16338">
      <w:pPr>
        <w:tabs>
          <w:tab w:val="clear" w:pos="4419"/>
          <w:tab w:val="clear" w:pos="8838"/>
        </w:tabs>
        <w:jc w:val="both"/>
        <w:rPr>
          <w:rFonts w:eastAsia="Cambria" w:cs="Times New Roman"/>
          <w:lang w:val="pt-BR"/>
        </w:rPr>
      </w:pPr>
    </w:p>
    <w:p w14:paraId="06241E63" w14:textId="77777777" w:rsidR="00F16338" w:rsidRPr="00D5464D" w:rsidRDefault="00F16338" w:rsidP="00F16338">
      <w:pPr>
        <w:tabs>
          <w:tab w:val="clear" w:pos="4419"/>
          <w:tab w:val="clear" w:pos="8838"/>
        </w:tabs>
        <w:ind w:left="708"/>
        <w:contextualSpacing/>
        <w:jc w:val="both"/>
        <w:rPr>
          <w:rFonts w:eastAsia="Cambria" w:cs="Times New Roman"/>
          <w:sz w:val="16"/>
          <w:szCs w:val="16"/>
          <w:lang w:val="pt-BR"/>
        </w:rPr>
      </w:pPr>
      <w:r w:rsidRPr="00D5464D">
        <w:rPr>
          <w:rFonts w:eastAsia="Cambria" w:cs="Times New Roman"/>
          <w:sz w:val="16"/>
          <w:szCs w:val="16"/>
          <w:lang w:val="pt-BR"/>
        </w:rPr>
        <w:t xml:space="preserve">339. […] no presente caso, </w:t>
      </w:r>
      <w:r w:rsidRPr="00D5464D">
        <w:rPr>
          <w:rFonts w:eastAsia="Cambria" w:cs="Times New Roman"/>
          <w:sz w:val="16"/>
          <w:szCs w:val="16"/>
          <w:u w:val="single"/>
          <w:lang w:val="pt-BR"/>
        </w:rPr>
        <w:t>algumas características de particular vitimização compartilhadas pelos 85 trabalhadores resgatados</w:t>
      </w:r>
      <w:r w:rsidRPr="00D5464D">
        <w:rPr>
          <w:rFonts w:eastAsia="Cambria" w:cs="Times New Roman"/>
          <w:sz w:val="16"/>
          <w:szCs w:val="16"/>
          <w:lang w:val="pt-BR"/>
        </w:rPr>
        <w:t xml:space="preserve"> em 15 de março de 2000: </w:t>
      </w:r>
      <w:r w:rsidRPr="00D5464D">
        <w:rPr>
          <w:rFonts w:eastAsia="Cambria" w:cs="Times New Roman"/>
          <w:b/>
          <w:sz w:val="16"/>
          <w:szCs w:val="16"/>
          <w:u w:val="single"/>
          <w:lang w:val="pt-BR"/>
        </w:rPr>
        <w:t>[i)]</w:t>
      </w:r>
      <w:r w:rsidRPr="00D5464D">
        <w:rPr>
          <w:rFonts w:eastAsia="Cambria" w:cs="Times New Roman"/>
          <w:lang w:val="pt-BR"/>
        </w:rPr>
        <w:t xml:space="preserve"> </w:t>
      </w:r>
      <w:r w:rsidRPr="00D5464D">
        <w:rPr>
          <w:rFonts w:eastAsia="Cambria" w:cs="Times New Roman"/>
          <w:b/>
          <w:sz w:val="16"/>
          <w:szCs w:val="16"/>
          <w:u w:val="single"/>
          <w:lang w:val="pt-BR"/>
        </w:rPr>
        <w:t>eles se encontravam em uma situação de pobreza; [ii)] provinham das regiões mais pobres do país, [iii)] com menor desenvolvimento humano e perspectivas de trabalho e emprego; [iv)] eram analfabetos, e [v)] tinham pouca ou nenhuma escolarização [...]</w:t>
      </w:r>
      <w:r w:rsidRPr="00D5464D">
        <w:rPr>
          <w:rFonts w:eastAsia="Cambria" w:cs="Times New Roman"/>
          <w:sz w:val="16"/>
          <w:szCs w:val="16"/>
          <w:lang w:val="pt-BR"/>
        </w:rPr>
        <w:t xml:space="preserve">.Essas circunstâncias os colocava em uma situação que os tornava mais suscetíveis de serem aliciados mediante falsas promessas e enganos. </w:t>
      </w:r>
      <w:r w:rsidRPr="00D5464D">
        <w:rPr>
          <w:rFonts w:eastAsia="Cambria" w:cs="Times New Roman"/>
          <w:b/>
          <w:sz w:val="16"/>
          <w:szCs w:val="16"/>
          <w:lang w:val="pt-BR"/>
        </w:rPr>
        <w:t xml:space="preserve">Esta situação de risco imediato para um grupo determinado de pessoas com características idênticas e originários das mesmas regiões do país </w:t>
      </w:r>
      <w:r w:rsidRPr="00D5464D">
        <w:rPr>
          <w:rFonts w:eastAsia="Cambria" w:cs="Times New Roman"/>
          <w:b/>
          <w:sz w:val="16"/>
          <w:szCs w:val="16"/>
          <w:u w:val="single"/>
          <w:lang w:val="pt-BR"/>
        </w:rPr>
        <w:t>possui origens históricas e era conhecida</w:t>
      </w:r>
      <w:r w:rsidRPr="00D5464D">
        <w:rPr>
          <w:rFonts w:eastAsia="Cambria" w:cs="Times New Roman"/>
          <w:b/>
          <w:sz w:val="16"/>
          <w:szCs w:val="16"/>
          <w:lang w:val="pt-BR"/>
        </w:rPr>
        <w:t>, pelo menos, desde 1995</w:t>
      </w:r>
      <w:r w:rsidRPr="00D5464D">
        <w:rPr>
          <w:rFonts w:eastAsia="Cambria" w:cs="Times New Roman"/>
          <w:sz w:val="16"/>
          <w:szCs w:val="16"/>
          <w:lang w:val="pt-BR"/>
        </w:rPr>
        <w:t>, quando o Governo do Brasil expressamente reconheceu a existência de “trabalho escravo”</w:t>
      </w:r>
    </w:p>
    <w:p w14:paraId="32AE5F8F" w14:textId="77777777" w:rsidR="00F16338" w:rsidRPr="00D5464D" w:rsidRDefault="00F16338" w:rsidP="00F16338">
      <w:pPr>
        <w:tabs>
          <w:tab w:val="clear" w:pos="4419"/>
          <w:tab w:val="clear" w:pos="8838"/>
        </w:tabs>
        <w:ind w:left="708"/>
        <w:jc w:val="both"/>
        <w:rPr>
          <w:rFonts w:eastAsia="Cambria" w:cs="Times New Roman"/>
          <w:sz w:val="16"/>
          <w:szCs w:val="16"/>
          <w:lang w:val="pt-BR"/>
        </w:rPr>
      </w:pPr>
      <w:r w:rsidRPr="00D5464D">
        <w:rPr>
          <w:rFonts w:eastAsia="Cambria" w:cs="Times New Roman"/>
          <w:sz w:val="16"/>
          <w:szCs w:val="16"/>
          <w:lang w:val="pt-BR"/>
        </w:rPr>
        <w:t>[…]</w:t>
      </w:r>
    </w:p>
    <w:p w14:paraId="6694AF23" w14:textId="77777777" w:rsidR="00F16338" w:rsidRPr="00D5464D" w:rsidRDefault="00F16338" w:rsidP="00F16338">
      <w:pPr>
        <w:tabs>
          <w:tab w:val="clear" w:pos="4419"/>
          <w:tab w:val="clear" w:pos="8838"/>
        </w:tabs>
        <w:ind w:left="708"/>
        <w:jc w:val="both"/>
        <w:rPr>
          <w:rFonts w:eastAsia="Cambria" w:cs="Times New Roman"/>
          <w:i/>
          <w:sz w:val="16"/>
          <w:szCs w:val="16"/>
          <w:lang w:val="pt-BR"/>
        </w:rPr>
      </w:pPr>
    </w:p>
    <w:p w14:paraId="710FC8C6" w14:textId="77777777" w:rsidR="00F16338" w:rsidRPr="00D5464D" w:rsidRDefault="00F16338" w:rsidP="00F16338">
      <w:pPr>
        <w:tabs>
          <w:tab w:val="clear" w:pos="4419"/>
          <w:tab w:val="clear" w:pos="8838"/>
        </w:tabs>
        <w:ind w:left="708"/>
        <w:jc w:val="both"/>
        <w:rPr>
          <w:rFonts w:eastAsia="Cambria" w:cs="Times New Roman"/>
          <w:sz w:val="16"/>
          <w:szCs w:val="16"/>
          <w:lang w:val="pt-BR"/>
        </w:rPr>
      </w:pPr>
      <w:r w:rsidRPr="00D5464D">
        <w:rPr>
          <w:rFonts w:eastAsia="Cambria" w:cs="Times New Roman"/>
          <w:i/>
          <w:sz w:val="16"/>
          <w:szCs w:val="16"/>
          <w:lang w:val="pt-BR"/>
        </w:rPr>
        <w:t xml:space="preserve">341. Ao constatar a situação anterior, a </w:t>
      </w:r>
      <w:r w:rsidRPr="00D5464D">
        <w:rPr>
          <w:rFonts w:eastAsia="Cambria" w:cs="Times New Roman"/>
          <w:i/>
          <w:sz w:val="16"/>
          <w:szCs w:val="16"/>
          <w:u w:val="single"/>
          <w:lang w:val="pt-BR"/>
        </w:rPr>
        <w:t>Corte conclui que o Estado não considerou a vulnerabilidade dos 85 trabalhadores</w:t>
      </w:r>
      <w:r w:rsidRPr="00D5464D">
        <w:rPr>
          <w:rFonts w:eastAsia="Cambria" w:cs="Times New Roman"/>
          <w:i/>
          <w:sz w:val="16"/>
          <w:szCs w:val="16"/>
          <w:lang w:val="pt-BR"/>
        </w:rPr>
        <w:t xml:space="preserve"> resgatados em 15 de março de 2000, </w:t>
      </w:r>
      <w:r w:rsidRPr="00D5464D">
        <w:rPr>
          <w:rFonts w:eastAsia="Cambria" w:cs="Times New Roman"/>
          <w:b/>
          <w:i/>
          <w:sz w:val="16"/>
          <w:szCs w:val="16"/>
          <w:u w:val="single"/>
          <w:lang w:val="pt-BR"/>
        </w:rPr>
        <w:t>em virtude da discriminação em razão da posição econômica à qual estavam submetidos</w:t>
      </w:r>
      <w:r w:rsidRPr="00D5464D">
        <w:rPr>
          <w:rFonts w:eastAsia="Cambria" w:cs="Times New Roman"/>
          <w:i/>
          <w:sz w:val="16"/>
          <w:szCs w:val="16"/>
          <w:lang w:val="pt-BR"/>
        </w:rPr>
        <w:t>. Isso constitui uma violação ao artigo 6.1 da Convenção Americana, em relação ao artigo 1.1 do mesmo instrumento, em prejuízo daquelas pessoas.</w:t>
      </w:r>
      <w:r w:rsidRPr="00D5464D">
        <w:rPr>
          <w:rFonts w:eastAsia="MS Mincho" w:cs="Times New Roman"/>
          <w:sz w:val="16"/>
          <w:szCs w:val="20"/>
          <w:vertAlign w:val="superscript"/>
          <w:lang w:val="pt-BR" w:eastAsia="es-ES"/>
        </w:rPr>
        <w:t xml:space="preserve"> </w:t>
      </w:r>
      <w:r w:rsidRPr="00D5464D">
        <w:rPr>
          <w:rFonts w:eastAsia="Cambria" w:cs="Times New Roman"/>
          <w:sz w:val="16"/>
          <w:szCs w:val="16"/>
          <w:vertAlign w:val="superscript"/>
          <w:lang w:val="es-ES_tradnl"/>
        </w:rPr>
        <w:footnoteReference w:id="600"/>
      </w:r>
      <w:r w:rsidRPr="00D5464D">
        <w:rPr>
          <w:rFonts w:eastAsia="Cambria" w:cs="Times New Roman"/>
          <w:i/>
          <w:sz w:val="16"/>
          <w:szCs w:val="16"/>
          <w:lang w:val="pt-BR"/>
        </w:rPr>
        <w:t xml:space="preserve"> </w:t>
      </w:r>
      <w:r w:rsidRPr="00D5464D">
        <w:rPr>
          <w:rFonts w:eastAsia="Cambria" w:cs="Times New Roman"/>
          <w:sz w:val="16"/>
          <w:szCs w:val="16"/>
          <w:lang w:val="pt-BR"/>
        </w:rPr>
        <w:t>(Sem ênfase no original)</w:t>
      </w:r>
    </w:p>
    <w:p w14:paraId="059645D3" w14:textId="77777777" w:rsidR="00F16338" w:rsidRPr="00D5464D" w:rsidRDefault="00F16338" w:rsidP="00F16338">
      <w:pPr>
        <w:tabs>
          <w:tab w:val="clear" w:pos="4419"/>
          <w:tab w:val="clear" w:pos="8838"/>
        </w:tabs>
        <w:ind w:left="708"/>
        <w:jc w:val="both"/>
        <w:rPr>
          <w:rFonts w:eastAsia="Cambria" w:cs="Times New Roman"/>
          <w:i/>
          <w:szCs w:val="20"/>
          <w:lang w:val="pt-BR"/>
        </w:rPr>
      </w:pPr>
    </w:p>
    <w:p w14:paraId="710166B9" w14:textId="77777777" w:rsidR="00F16338" w:rsidRPr="00D5464D" w:rsidRDefault="00F16338" w:rsidP="00F306D7">
      <w:pPr>
        <w:numPr>
          <w:ilvl w:val="0"/>
          <w:numId w:val="26"/>
        </w:numPr>
        <w:tabs>
          <w:tab w:val="clear" w:pos="4419"/>
          <w:tab w:val="clear" w:pos="8838"/>
        </w:tabs>
        <w:contextualSpacing/>
        <w:jc w:val="both"/>
        <w:rPr>
          <w:rFonts w:eastAsia="Cambria" w:cs="Times New Roman"/>
          <w:b/>
          <w:szCs w:val="20"/>
          <w:lang w:val="pt-BR"/>
        </w:rPr>
      </w:pPr>
      <w:r w:rsidRPr="00D5464D">
        <w:rPr>
          <w:rFonts w:eastAsia="Cambria" w:cs="Times New Roman"/>
          <w:szCs w:val="20"/>
          <w:lang w:val="pt-BR"/>
        </w:rPr>
        <w:t>Nesse sentido, os critérios específicos em virtude dos quais é proibido discriminar, segundo o artigo 1.1 da Convenção Americana, não são um lista taxativa, nem literal ou limitadora, mas meramente enunciativa.</w:t>
      </w:r>
      <w:r w:rsidRPr="00D5464D">
        <w:rPr>
          <w:rFonts w:eastAsia="Cambria" w:cs="Times New Roman"/>
          <w:szCs w:val="20"/>
          <w:vertAlign w:val="superscript"/>
          <w:lang w:val="pt-BR"/>
        </w:rPr>
        <w:footnoteReference w:id="601"/>
      </w:r>
      <w:r w:rsidRPr="00D5464D">
        <w:rPr>
          <w:rFonts w:eastAsia="Cambria" w:cs="Times New Roman"/>
          <w:szCs w:val="20"/>
          <w:lang w:val="pt-BR"/>
        </w:rPr>
        <w:t xml:space="preserve"> Diferentemente de outros casos nos quais a Corte IDH ampliou o catálogo de categorias de proteção especial disposto no artigo 1.1 do Pacto de San José,</w:t>
      </w:r>
      <w:r w:rsidRPr="00D5464D">
        <w:rPr>
          <w:rFonts w:eastAsia="Cambria" w:cs="Times New Roman"/>
          <w:szCs w:val="20"/>
          <w:vertAlign w:val="superscript"/>
          <w:lang w:val="pt-BR"/>
        </w:rPr>
        <w:footnoteReference w:id="602"/>
      </w:r>
      <w:r w:rsidRPr="00D5464D">
        <w:rPr>
          <w:rFonts w:eastAsia="Cambria" w:cs="Times New Roman"/>
          <w:szCs w:val="20"/>
          <w:lang w:val="pt-BR"/>
        </w:rPr>
        <w:t xml:space="preserve"> incorporando, por exemplo, a identidade de gênero, a orientação sexual</w:t>
      </w:r>
      <w:r w:rsidRPr="00D5464D">
        <w:rPr>
          <w:rFonts w:eastAsia="Cambria" w:cs="Times New Roman"/>
          <w:szCs w:val="20"/>
          <w:vertAlign w:val="superscript"/>
          <w:lang w:val="pt-BR"/>
        </w:rPr>
        <w:footnoteReference w:id="603"/>
      </w:r>
      <w:r w:rsidRPr="00D5464D">
        <w:rPr>
          <w:rFonts w:eastAsia="Cambria" w:cs="Times New Roman"/>
          <w:szCs w:val="20"/>
          <w:lang w:val="pt-BR"/>
        </w:rPr>
        <w:t xml:space="preserve"> ou a deficiência,</w:t>
      </w:r>
      <w:r w:rsidRPr="00D5464D">
        <w:rPr>
          <w:rFonts w:eastAsia="Cambria" w:cs="Times New Roman"/>
          <w:szCs w:val="20"/>
          <w:vertAlign w:val="superscript"/>
          <w:lang w:val="pt-BR"/>
        </w:rPr>
        <w:footnoteReference w:id="604"/>
      </w:r>
      <w:r w:rsidRPr="00D5464D">
        <w:rPr>
          <w:rFonts w:eastAsia="Cambria" w:cs="Times New Roman"/>
          <w:szCs w:val="20"/>
          <w:lang w:val="pt-BR"/>
        </w:rPr>
        <w:t xml:space="preserve"> nesta Sentença, o que a Corte IDH faz é delimitar o alcance e o conteúdo da proibição de discriminação por motivo de “posição econômica” através da análise das circunstâncias de pobreza nas quais se encontravam 85 das vítimas do presente caso. </w:t>
      </w:r>
    </w:p>
    <w:p w14:paraId="5DCEB473" w14:textId="77777777" w:rsidR="00F16338" w:rsidRPr="00D5464D" w:rsidRDefault="00F16338" w:rsidP="00F16338">
      <w:pPr>
        <w:tabs>
          <w:tab w:val="clear" w:pos="4419"/>
          <w:tab w:val="clear" w:pos="8838"/>
        </w:tabs>
        <w:contextualSpacing/>
        <w:jc w:val="both"/>
        <w:rPr>
          <w:rFonts w:eastAsia="Cambria" w:cs="Times New Roman"/>
          <w:b/>
          <w:szCs w:val="20"/>
          <w:lang w:val="pt-BR"/>
        </w:rPr>
      </w:pPr>
    </w:p>
    <w:p w14:paraId="5DED9989" w14:textId="77777777" w:rsidR="00F16338" w:rsidRPr="00D5464D" w:rsidRDefault="00F16338" w:rsidP="00F306D7">
      <w:pPr>
        <w:numPr>
          <w:ilvl w:val="0"/>
          <w:numId w:val="26"/>
        </w:numPr>
        <w:tabs>
          <w:tab w:val="clear" w:pos="4419"/>
          <w:tab w:val="clear" w:pos="8838"/>
        </w:tabs>
        <w:contextualSpacing/>
        <w:jc w:val="both"/>
        <w:rPr>
          <w:rFonts w:eastAsia="Cambria" w:cs="Times New Roman"/>
          <w:b/>
          <w:szCs w:val="20"/>
          <w:lang w:val="pt-BR"/>
        </w:rPr>
      </w:pPr>
      <w:r w:rsidRPr="00D5464D">
        <w:rPr>
          <w:rFonts w:eastAsia="Cambria" w:cs="Times New Roman"/>
          <w:szCs w:val="20"/>
          <w:lang w:val="pt-BR"/>
        </w:rPr>
        <w:t xml:space="preserve">A este respeito, a Relatora Especial sobre Pobreza Extrema e Direitos Humanos, expressou que: </w:t>
      </w:r>
    </w:p>
    <w:p w14:paraId="7F27FCF9" w14:textId="77777777" w:rsidR="00F16338" w:rsidRPr="00D5464D" w:rsidRDefault="00F16338" w:rsidP="00F16338">
      <w:pPr>
        <w:tabs>
          <w:tab w:val="clear" w:pos="4419"/>
          <w:tab w:val="clear" w:pos="8838"/>
        </w:tabs>
        <w:contextualSpacing/>
        <w:jc w:val="both"/>
        <w:rPr>
          <w:rFonts w:eastAsia="Cambria" w:cs="Times New Roman"/>
          <w:b/>
          <w:szCs w:val="20"/>
          <w:lang w:val="pt-BR"/>
        </w:rPr>
      </w:pPr>
    </w:p>
    <w:p w14:paraId="3C20E55A" w14:textId="77777777" w:rsidR="00F16338" w:rsidRPr="00D5464D" w:rsidRDefault="00F16338" w:rsidP="00F16338">
      <w:pPr>
        <w:tabs>
          <w:tab w:val="clear" w:pos="4419"/>
          <w:tab w:val="clear" w:pos="8838"/>
        </w:tabs>
        <w:ind w:left="708"/>
        <w:contextualSpacing/>
        <w:jc w:val="both"/>
        <w:rPr>
          <w:rFonts w:eastAsia="Cambria" w:cs="Times New Roman"/>
          <w:i/>
          <w:sz w:val="16"/>
          <w:szCs w:val="16"/>
          <w:lang w:val="pt-BR"/>
        </w:rPr>
      </w:pPr>
      <w:r w:rsidRPr="00D5464D">
        <w:rPr>
          <w:rFonts w:eastAsia="Cambria" w:cs="Times New Roman"/>
          <w:i/>
          <w:sz w:val="16"/>
          <w:szCs w:val="16"/>
          <w:lang w:val="pt-BR"/>
        </w:rPr>
        <w:t xml:space="preserve">“18. [a] discriminação está proibida por vários motivos enumerados, </w:t>
      </w:r>
      <w:r w:rsidRPr="00D5464D">
        <w:rPr>
          <w:rFonts w:eastAsia="Cambria" w:cs="Times New Roman"/>
          <w:i/>
          <w:sz w:val="16"/>
          <w:szCs w:val="16"/>
          <w:u w:val="single"/>
          <w:lang w:val="pt-BR"/>
        </w:rPr>
        <w:t>entre os quais figuram a posição econômica e social</w:t>
      </w:r>
      <w:r w:rsidRPr="00D5464D">
        <w:rPr>
          <w:rFonts w:eastAsia="Cambria" w:cs="Times New Roman"/>
          <w:i/>
          <w:sz w:val="16"/>
          <w:szCs w:val="16"/>
          <w:lang w:val="pt-BR"/>
        </w:rPr>
        <w:t>, como dá a entender a expressão ‘qualquer outra condição social’, incluída como motivo de discriminação no Pacto Internacional sobre Direitos Econômicos, Sociais e Culturais e no Pacto Internacional sobre Direitos Civis e Políticos. As medidas de penalização estão dirigidas às pessoas por sua renda, aparência, modo de falar, domicílio ou necessidades quando são identificadas como pobres. É por isso que estas medidas claramente constituem discriminação baseada na condição econômica e social”.</w:t>
      </w:r>
      <w:r w:rsidRPr="00D5464D">
        <w:rPr>
          <w:rFonts w:eastAsia="Cambria" w:cs="Times New Roman"/>
          <w:sz w:val="16"/>
          <w:szCs w:val="20"/>
          <w:vertAlign w:val="superscript"/>
          <w:lang w:val="pt-BR"/>
        </w:rPr>
        <w:footnoteReference w:id="605"/>
      </w:r>
    </w:p>
    <w:p w14:paraId="550B8223" w14:textId="77777777" w:rsidR="00F16338" w:rsidRPr="00D5464D" w:rsidRDefault="00F16338" w:rsidP="00F16338">
      <w:pPr>
        <w:tabs>
          <w:tab w:val="clear" w:pos="4419"/>
          <w:tab w:val="clear" w:pos="8838"/>
        </w:tabs>
        <w:rPr>
          <w:rFonts w:eastAsia="MS Mincho" w:cs="Times New Roman"/>
          <w:b/>
          <w:szCs w:val="20"/>
          <w:lang w:val="pt-BR" w:eastAsia="es-ES"/>
        </w:rPr>
      </w:pPr>
    </w:p>
    <w:p w14:paraId="358C6DC1" w14:textId="77777777" w:rsidR="00F16338" w:rsidRPr="00D5464D" w:rsidRDefault="00F16338" w:rsidP="00F16338">
      <w:pPr>
        <w:tabs>
          <w:tab w:val="clear" w:pos="4419"/>
          <w:tab w:val="clear" w:pos="8838"/>
        </w:tabs>
        <w:contextualSpacing/>
        <w:jc w:val="both"/>
        <w:rPr>
          <w:rFonts w:eastAsia="Cambria" w:cs="Times New Roman"/>
          <w:szCs w:val="20"/>
          <w:lang w:val="pt-BR"/>
        </w:rPr>
      </w:pPr>
      <w:r w:rsidRPr="00D5464D">
        <w:rPr>
          <w:rFonts w:eastAsia="Cambria" w:cs="Times New Roman"/>
          <w:szCs w:val="20"/>
          <w:lang w:val="pt-BR"/>
        </w:rPr>
        <w:t xml:space="preserve">Ademais, acrescentou: </w:t>
      </w:r>
    </w:p>
    <w:p w14:paraId="675B544F" w14:textId="77777777" w:rsidR="00F16338" w:rsidRPr="00D5464D" w:rsidRDefault="00F16338" w:rsidP="00F16338">
      <w:pPr>
        <w:tabs>
          <w:tab w:val="clear" w:pos="4419"/>
          <w:tab w:val="clear" w:pos="8838"/>
        </w:tabs>
        <w:contextualSpacing/>
        <w:jc w:val="both"/>
        <w:rPr>
          <w:rFonts w:eastAsia="Cambria" w:cs="Times New Roman"/>
          <w:szCs w:val="20"/>
          <w:lang w:val="pt-BR"/>
        </w:rPr>
      </w:pPr>
    </w:p>
    <w:p w14:paraId="35BE5AAD" w14:textId="77777777" w:rsidR="00F16338" w:rsidRPr="00D5464D" w:rsidRDefault="00F16338" w:rsidP="00F16338">
      <w:pPr>
        <w:tabs>
          <w:tab w:val="clear" w:pos="4419"/>
          <w:tab w:val="clear" w:pos="8838"/>
        </w:tabs>
        <w:ind w:left="708"/>
        <w:contextualSpacing/>
        <w:jc w:val="both"/>
        <w:rPr>
          <w:rFonts w:eastAsia="Cambria" w:cs="Times"/>
          <w:lang w:val="pt-BR"/>
        </w:rPr>
      </w:pPr>
      <w:r w:rsidRPr="00D5464D">
        <w:rPr>
          <w:rFonts w:eastAsia="Cambria" w:cs="Arial"/>
          <w:i/>
          <w:sz w:val="16"/>
          <w:szCs w:val="16"/>
          <w:lang w:val="pt-BR"/>
        </w:rPr>
        <w:t>“Em sua jurisprudência, o Comitê de Direitos Humanos reiterou que a lista de motivos de discriminação não é exaustiva e que a expressão “qualquer outra condição social” não está sujeita a uma única interpretação. [Por outro lado,] n</w:t>
      </w:r>
      <w:r w:rsidRPr="00D5464D">
        <w:rPr>
          <w:rFonts w:eastAsia="Cambria" w:cs="Arial"/>
          <w:i/>
          <w:sz w:val="16"/>
          <w:szCs w:val="16"/>
          <w:u w:val="single"/>
          <w:lang w:val="pt-BR"/>
        </w:rPr>
        <w:t>o artigo 1º da Convenção Americana sobre Direitos Humanos está incluído, de maneira expressa, a [posição] econômica e [origem] social entre os motivos de discriminação. Outros motivos proibidos de discriminação, como “a situação econômica” e, inclusive, “a origem social”, também podem ser pertinentes ao abordar questões relacionadas à pobreza.</w:t>
      </w:r>
      <w:r w:rsidRPr="00D5464D">
        <w:rPr>
          <w:rFonts w:eastAsia="Cambria" w:cs="Times New Roman"/>
          <w:sz w:val="16"/>
          <w:szCs w:val="20"/>
          <w:vertAlign w:val="superscript"/>
          <w:lang w:val="pt-BR"/>
        </w:rPr>
        <w:footnoteReference w:id="606"/>
      </w:r>
      <w:r w:rsidRPr="00D5464D">
        <w:rPr>
          <w:rFonts w:eastAsia="Cambria" w:cs="Arial"/>
          <w:i/>
          <w:sz w:val="16"/>
          <w:szCs w:val="16"/>
          <w:lang w:val="pt-BR"/>
        </w:rPr>
        <w:t xml:space="preserve"> </w:t>
      </w:r>
      <w:r w:rsidRPr="00D5464D">
        <w:rPr>
          <w:rFonts w:eastAsia="Cambria" w:cs="Arial"/>
          <w:sz w:val="16"/>
          <w:szCs w:val="16"/>
          <w:lang w:val="pt-BR"/>
        </w:rPr>
        <w:t>(Sem ênfase no original</w:t>
      </w:r>
      <w:r w:rsidRPr="00D5464D">
        <w:rPr>
          <w:rFonts w:eastAsia="Cambria" w:cs="Times"/>
          <w:lang w:val="pt-BR"/>
        </w:rPr>
        <w:t xml:space="preserve">). </w:t>
      </w:r>
    </w:p>
    <w:p w14:paraId="62A981FA" w14:textId="77777777" w:rsidR="00F16338" w:rsidRPr="00D5464D" w:rsidRDefault="00F16338" w:rsidP="00F16338">
      <w:pPr>
        <w:tabs>
          <w:tab w:val="clear" w:pos="4419"/>
          <w:tab w:val="clear" w:pos="8838"/>
        </w:tabs>
        <w:ind w:left="708"/>
        <w:contextualSpacing/>
        <w:jc w:val="both"/>
        <w:rPr>
          <w:rFonts w:eastAsia="Cambria" w:cs="Times"/>
          <w:lang w:val="pt-BR"/>
        </w:rPr>
      </w:pPr>
    </w:p>
    <w:p w14:paraId="1BEC3993" w14:textId="77777777" w:rsidR="00F16338" w:rsidRPr="00D5464D" w:rsidRDefault="00F16338" w:rsidP="00F306D7">
      <w:pPr>
        <w:numPr>
          <w:ilvl w:val="0"/>
          <w:numId w:val="26"/>
        </w:numPr>
        <w:tabs>
          <w:tab w:val="clear" w:pos="4419"/>
          <w:tab w:val="clear" w:pos="8838"/>
        </w:tabs>
        <w:contextualSpacing/>
        <w:jc w:val="both"/>
        <w:rPr>
          <w:rFonts w:eastAsia="Cambria" w:cs="Times New Roman"/>
          <w:b/>
          <w:szCs w:val="20"/>
          <w:lang w:val="pt-BR"/>
        </w:rPr>
      </w:pPr>
      <w:r w:rsidRPr="00D5464D">
        <w:rPr>
          <w:rFonts w:eastAsia="Cambria" w:cs="Times New Roman"/>
          <w:lang w:val="pt-BR"/>
        </w:rPr>
        <w:t xml:space="preserve">Desta maneira, a Corte IDH </w:t>
      </w:r>
      <w:r w:rsidRPr="00D5464D">
        <w:rPr>
          <w:rFonts w:eastAsia="Cambria" w:cs="Times New Roman"/>
          <w:szCs w:val="20"/>
          <w:lang w:val="pt-BR"/>
        </w:rPr>
        <w:t>—</w:t>
      </w:r>
      <w:r w:rsidRPr="00D5464D">
        <w:rPr>
          <w:rFonts w:eastAsia="Cambria" w:cs="Times New Roman"/>
          <w:lang w:val="pt-BR"/>
        </w:rPr>
        <w:t>como bem afirma a Sentença</w:t>
      </w:r>
      <w:r w:rsidRPr="00D5464D">
        <w:rPr>
          <w:rFonts w:eastAsia="Cambria" w:cs="Times New Roman"/>
          <w:szCs w:val="20"/>
          <w:lang w:val="pt-BR"/>
        </w:rPr>
        <w:t>—</w:t>
      </w:r>
      <w:r w:rsidRPr="00D5464D">
        <w:rPr>
          <w:rFonts w:eastAsia="Cambria" w:cs="Times New Roman"/>
          <w:lang w:val="pt-BR"/>
        </w:rPr>
        <w:t xml:space="preserve"> se pronunciou no sentido de estabelecer que toda pessoa que se encontre em uma situação de vulnerabilidade é titular de uma proteção especial, em razão dos deveres especiais cujo cumprimento por parte do Estado é necessário para satisfazer as obrigações gerais de respeito e garantia dos direitos humanos. O Tribunal Interamericano recordou que, não basta com que os Estados se abstenham de violar os direitos, mas é imperativa a adoção de medidas positivas, determináveis em função das particulares necessidades de proteção do sujeito de direito, seja por sua condição pessoal ou pela situação específica em que se encontre,</w:t>
      </w:r>
      <w:r w:rsidRPr="00D5464D">
        <w:rPr>
          <w:rFonts w:eastAsia="Cambria" w:cs="Times New Roman"/>
          <w:szCs w:val="20"/>
          <w:vertAlign w:val="superscript"/>
          <w:lang w:val="pt-BR"/>
        </w:rPr>
        <w:footnoteReference w:id="607"/>
      </w:r>
      <w:r w:rsidRPr="00D5464D">
        <w:rPr>
          <w:rFonts w:eastAsia="Cambria" w:cs="Times New Roman"/>
          <w:lang w:val="pt-BR"/>
        </w:rPr>
        <w:t xml:space="preserve"> </w:t>
      </w:r>
      <w:r w:rsidRPr="00D5464D">
        <w:rPr>
          <w:rFonts w:eastAsia="Cambria" w:cs="Times New Roman"/>
          <w:i/>
          <w:lang w:val="pt-BR"/>
        </w:rPr>
        <w:t>como a extrema pobreza ou a marginalização.</w:t>
      </w:r>
      <w:r w:rsidRPr="00D5464D">
        <w:rPr>
          <w:rFonts w:eastAsia="Cambria" w:cs="Times New Roman"/>
          <w:szCs w:val="20"/>
          <w:vertAlign w:val="superscript"/>
          <w:lang w:val="pt-BR"/>
        </w:rPr>
        <w:footnoteReference w:id="608"/>
      </w:r>
      <w:r w:rsidRPr="00D5464D">
        <w:rPr>
          <w:rFonts w:eastAsia="Cambria" w:cs="Times New Roman"/>
          <w:lang w:val="pt-BR"/>
        </w:rPr>
        <w:t xml:space="preserve"> </w:t>
      </w:r>
    </w:p>
    <w:p w14:paraId="50698981" w14:textId="77777777" w:rsidR="00F16338" w:rsidRPr="00D5464D" w:rsidRDefault="00F16338" w:rsidP="00F16338">
      <w:pPr>
        <w:tabs>
          <w:tab w:val="clear" w:pos="4419"/>
          <w:tab w:val="clear" w:pos="8838"/>
        </w:tabs>
        <w:contextualSpacing/>
        <w:jc w:val="both"/>
        <w:rPr>
          <w:rFonts w:eastAsia="Cambria" w:cs="Times New Roman"/>
          <w:b/>
          <w:szCs w:val="20"/>
          <w:lang w:val="pt-BR"/>
        </w:rPr>
      </w:pPr>
    </w:p>
    <w:p w14:paraId="7BCCF02D" w14:textId="77777777" w:rsidR="00F16338" w:rsidRPr="00D5464D" w:rsidRDefault="00F16338" w:rsidP="00F306D7">
      <w:pPr>
        <w:numPr>
          <w:ilvl w:val="0"/>
          <w:numId w:val="26"/>
        </w:numPr>
        <w:tabs>
          <w:tab w:val="clear" w:pos="4419"/>
          <w:tab w:val="clear" w:pos="8838"/>
        </w:tabs>
        <w:contextualSpacing/>
        <w:jc w:val="both"/>
        <w:rPr>
          <w:rFonts w:eastAsia="Cambria" w:cs="Times New Roman"/>
          <w:szCs w:val="20"/>
          <w:lang w:val="pt-BR"/>
        </w:rPr>
      </w:pPr>
      <w:r w:rsidRPr="00D5464D">
        <w:rPr>
          <w:rFonts w:eastAsia="Cambria" w:cs="Times New Roman"/>
          <w:szCs w:val="20"/>
          <w:lang w:val="pt-BR"/>
        </w:rPr>
        <w:t>Assim, a pobreza forma parte do conteúdo da proibição de discriminar em razão da posição econômica de uma pessoa ou de um grupo de pessoas. Ademais, a pobreza, ao ser um fenômeno multidimensional,</w:t>
      </w:r>
      <w:r w:rsidRPr="00D5464D">
        <w:rPr>
          <w:rFonts w:eastAsia="Cambria" w:cs="Times New Roman"/>
          <w:szCs w:val="20"/>
          <w:vertAlign w:val="superscript"/>
          <w:lang w:val="pt-BR"/>
        </w:rPr>
        <w:footnoteReference w:id="609"/>
      </w:r>
      <w:r w:rsidRPr="00D5464D">
        <w:rPr>
          <w:rFonts w:eastAsia="Cambria" w:cs="Times New Roman"/>
          <w:szCs w:val="20"/>
          <w:lang w:val="pt-BR"/>
        </w:rPr>
        <w:t xml:space="preserve"> pode ser abordada a partir de diferentes categorias de proteção à luz do artigo 1.1 da Convenção Americana, como a posição econômica, a origem social ou ainda mediante outra condição social,</w:t>
      </w:r>
      <w:r w:rsidRPr="00D5464D">
        <w:rPr>
          <w:rFonts w:eastAsia="Cambria" w:cs="Times New Roman"/>
          <w:szCs w:val="20"/>
          <w:vertAlign w:val="superscript"/>
          <w:lang w:val="pt-BR"/>
        </w:rPr>
        <w:footnoteReference w:id="610"/>
      </w:r>
      <w:r w:rsidRPr="00D5464D">
        <w:rPr>
          <w:rFonts w:eastAsia="Cambria" w:cs="Times New Roman"/>
          <w:szCs w:val="20"/>
          <w:lang w:val="pt-BR"/>
        </w:rPr>
        <w:t xml:space="preserve"> e a garantia destas categorias de proteção pode ser feira de maneira separada, múltipla ou interseccional, dependendo do caso concreto.</w:t>
      </w:r>
      <w:r w:rsidRPr="00D5464D">
        <w:rPr>
          <w:rFonts w:eastAsia="Cambria" w:cs="Times New Roman"/>
          <w:szCs w:val="20"/>
          <w:vertAlign w:val="superscript"/>
          <w:lang w:val="pt-BR"/>
        </w:rPr>
        <w:footnoteReference w:id="611"/>
      </w:r>
      <w:r w:rsidRPr="00D5464D">
        <w:rPr>
          <w:rFonts w:eastAsia="Cambria" w:cs="Times New Roman"/>
          <w:szCs w:val="20"/>
          <w:lang w:val="pt-BR"/>
        </w:rPr>
        <w:t xml:space="preserve"> </w:t>
      </w:r>
    </w:p>
    <w:p w14:paraId="0026F825" w14:textId="77777777" w:rsidR="00F16338" w:rsidRPr="00D5464D" w:rsidRDefault="00F16338" w:rsidP="00F16338">
      <w:pPr>
        <w:widowControl w:val="0"/>
        <w:tabs>
          <w:tab w:val="clear" w:pos="4419"/>
          <w:tab w:val="clear" w:pos="8838"/>
        </w:tabs>
        <w:autoSpaceDE w:val="0"/>
        <w:autoSpaceDN w:val="0"/>
        <w:adjustRightInd w:val="0"/>
        <w:contextualSpacing/>
        <w:jc w:val="both"/>
        <w:rPr>
          <w:rFonts w:eastAsia="Cambria" w:cs="Times"/>
          <w:sz w:val="16"/>
          <w:szCs w:val="16"/>
          <w:lang w:val="pt-BR"/>
        </w:rPr>
      </w:pPr>
    </w:p>
    <w:p w14:paraId="720A586A" w14:textId="77777777" w:rsidR="00F16338" w:rsidRPr="00D5464D" w:rsidRDefault="00F16338" w:rsidP="00F306D7">
      <w:pPr>
        <w:widowControl w:val="0"/>
        <w:numPr>
          <w:ilvl w:val="0"/>
          <w:numId w:val="26"/>
        </w:numPr>
        <w:tabs>
          <w:tab w:val="clear" w:pos="4419"/>
          <w:tab w:val="clear" w:pos="8838"/>
        </w:tabs>
        <w:autoSpaceDE w:val="0"/>
        <w:autoSpaceDN w:val="0"/>
        <w:adjustRightInd w:val="0"/>
        <w:contextualSpacing/>
        <w:jc w:val="both"/>
        <w:rPr>
          <w:rFonts w:eastAsia="Cambria" w:cs="Times"/>
          <w:sz w:val="16"/>
          <w:szCs w:val="16"/>
          <w:lang w:val="pt-BR"/>
        </w:rPr>
      </w:pPr>
      <w:r w:rsidRPr="00D5464D">
        <w:rPr>
          <w:rFonts w:eastAsia="Cambria" w:cs="Times"/>
          <w:szCs w:val="20"/>
          <w:lang w:val="pt-BR"/>
        </w:rPr>
        <w:t>Em relação aos fatos do presente caso, o Tribunal Interamericano chegou a esta conclusão porque as pessoas que se encontram em situação de pobreza são mais propensas a serem vítimas de tráfico de pessoas,</w:t>
      </w:r>
      <w:r w:rsidRPr="00D5464D">
        <w:rPr>
          <w:rFonts w:eastAsia="Cambria" w:cs="Times New Roman"/>
          <w:szCs w:val="20"/>
          <w:vertAlign w:val="superscript"/>
          <w:lang w:val="pt-BR"/>
        </w:rPr>
        <w:footnoteReference w:id="612"/>
      </w:r>
      <w:r w:rsidRPr="00D5464D">
        <w:rPr>
          <w:rFonts w:eastAsia="Cambria" w:cs="Times"/>
          <w:szCs w:val="20"/>
          <w:lang w:val="pt-BR"/>
        </w:rPr>
        <w:t xml:space="preserve"> como ocorreu no caso dos 85 trabalhadores da Fazenda Brasil Verde. Quanto ao vínculo entre o trabalho, a pobreza e as novas formas de escravidão, os </w:t>
      </w:r>
      <w:r w:rsidRPr="00D5464D">
        <w:rPr>
          <w:rFonts w:eastAsia="Cambria" w:cs="Times New Roman"/>
          <w:lang w:val="pt-BR"/>
        </w:rPr>
        <w:t>PREPDH</w:t>
      </w:r>
      <w:r w:rsidRPr="00D5464D" w:rsidDel="004321C1">
        <w:rPr>
          <w:rFonts w:eastAsia="Cambria" w:cs="Times"/>
          <w:szCs w:val="20"/>
          <w:lang w:val="pt-BR"/>
        </w:rPr>
        <w:t xml:space="preserve"> </w:t>
      </w:r>
      <w:r w:rsidRPr="00D5464D">
        <w:rPr>
          <w:rFonts w:eastAsia="Cambria" w:cs="Times"/>
          <w:szCs w:val="20"/>
          <w:lang w:val="pt-BR"/>
        </w:rPr>
        <w:t xml:space="preserve">afirmam que: </w:t>
      </w:r>
    </w:p>
    <w:p w14:paraId="11EEC476" w14:textId="77777777" w:rsidR="00F16338" w:rsidRPr="00D5464D" w:rsidRDefault="00F16338" w:rsidP="00F16338">
      <w:pPr>
        <w:widowControl w:val="0"/>
        <w:tabs>
          <w:tab w:val="clear" w:pos="4419"/>
          <w:tab w:val="clear" w:pos="8838"/>
        </w:tabs>
        <w:autoSpaceDE w:val="0"/>
        <w:autoSpaceDN w:val="0"/>
        <w:adjustRightInd w:val="0"/>
        <w:contextualSpacing/>
        <w:jc w:val="both"/>
        <w:rPr>
          <w:rFonts w:eastAsia="Cambria" w:cs="Times"/>
          <w:szCs w:val="20"/>
          <w:lang w:val="pt-BR"/>
        </w:rPr>
      </w:pPr>
    </w:p>
    <w:p w14:paraId="0FF39E97" w14:textId="77777777" w:rsidR="00F16338" w:rsidRPr="00D5464D" w:rsidRDefault="00F16338" w:rsidP="00F16338">
      <w:pPr>
        <w:widowControl w:val="0"/>
        <w:tabs>
          <w:tab w:val="clear" w:pos="4419"/>
          <w:tab w:val="clear" w:pos="8838"/>
        </w:tabs>
        <w:autoSpaceDE w:val="0"/>
        <w:autoSpaceDN w:val="0"/>
        <w:adjustRightInd w:val="0"/>
        <w:ind w:left="709"/>
        <w:contextualSpacing/>
        <w:jc w:val="both"/>
        <w:rPr>
          <w:rFonts w:eastAsia="Cambria" w:cs="Times"/>
          <w:sz w:val="16"/>
          <w:szCs w:val="16"/>
          <w:lang w:val="pt-BR"/>
        </w:rPr>
      </w:pPr>
      <w:r w:rsidRPr="00D5464D">
        <w:rPr>
          <w:rFonts w:eastAsia="Cambria" w:cs="Times"/>
          <w:sz w:val="16"/>
          <w:szCs w:val="16"/>
          <w:lang w:val="pt-BR"/>
        </w:rPr>
        <w:t xml:space="preserve">83. </w:t>
      </w:r>
      <w:r w:rsidRPr="00D5464D">
        <w:rPr>
          <w:rFonts w:eastAsia="Cambria" w:cs="Times"/>
          <w:i/>
          <w:sz w:val="16"/>
          <w:szCs w:val="16"/>
          <w:u w:val="single"/>
          <w:lang w:val="pt-BR"/>
        </w:rPr>
        <w:t>Tanto nas zonas rurais como nas zonas urbanas, as pessoas que vivem na pobreza enfrentam o desemprego ou o subemprego e o trabalho ocasional sem garantias</w:t>
      </w:r>
      <w:r w:rsidRPr="00D5464D">
        <w:rPr>
          <w:rFonts w:eastAsia="Cambria" w:cs="Times"/>
          <w:i/>
          <w:sz w:val="16"/>
          <w:szCs w:val="16"/>
          <w:lang w:val="pt-BR"/>
        </w:rPr>
        <w:t>, com baixos salários e condições de trabalho inseguras e degradantes</w:t>
      </w:r>
      <w:r w:rsidRPr="00D5464D">
        <w:rPr>
          <w:rFonts w:eastAsia="Cambria" w:cs="Times"/>
          <w:sz w:val="16"/>
          <w:szCs w:val="16"/>
          <w:lang w:val="pt-BR"/>
        </w:rPr>
        <w:t xml:space="preserve">. Essas pessoas costumam trabalhar à margem da economia formal e sem prestações de previdência social, por exemplo, sem licença maternidade, licença por enfermidade, pensões ou prestações por deficiência. Podem passar a maior parte das horas do dia no local de trabalho, conseguindo sobreviver apenas com sua renda e </w:t>
      </w:r>
      <w:r w:rsidRPr="00D5464D">
        <w:rPr>
          <w:rFonts w:eastAsia="Cambria" w:cs="Times"/>
          <w:i/>
          <w:sz w:val="16"/>
          <w:szCs w:val="16"/>
          <w:u w:val="single"/>
          <w:lang w:val="pt-BR"/>
        </w:rPr>
        <w:t>sofrendo a exploração, na forma de trabalho forçado ou em regime de servidão</w:t>
      </w:r>
      <w:r w:rsidRPr="00D5464D">
        <w:rPr>
          <w:rFonts w:eastAsia="Cambria" w:cs="Times"/>
          <w:sz w:val="16"/>
          <w:szCs w:val="16"/>
          <w:lang w:val="pt-BR"/>
        </w:rPr>
        <w:t>, demissões arbitrárias e abusos.</w:t>
      </w:r>
      <w:r w:rsidRPr="00D5464D">
        <w:rPr>
          <w:rFonts w:eastAsia="Cambria" w:cs="Times New Roman"/>
          <w:sz w:val="16"/>
          <w:szCs w:val="20"/>
          <w:vertAlign w:val="superscript"/>
          <w:lang w:val="pt-BR"/>
        </w:rPr>
        <w:footnoteReference w:id="613"/>
      </w:r>
      <w:r w:rsidRPr="00D5464D">
        <w:rPr>
          <w:rFonts w:eastAsia="Cambria" w:cs="Times"/>
          <w:sz w:val="16"/>
          <w:szCs w:val="16"/>
          <w:lang w:val="pt-BR"/>
        </w:rPr>
        <w:t xml:space="preserve"> (Sem ênfase no original)</w:t>
      </w:r>
    </w:p>
    <w:p w14:paraId="1017B16B" w14:textId="77777777" w:rsidR="00F16338" w:rsidRPr="00D5464D" w:rsidRDefault="00F16338" w:rsidP="00F16338">
      <w:pPr>
        <w:widowControl w:val="0"/>
        <w:tabs>
          <w:tab w:val="clear" w:pos="4419"/>
          <w:tab w:val="clear" w:pos="8838"/>
        </w:tabs>
        <w:autoSpaceDE w:val="0"/>
        <w:autoSpaceDN w:val="0"/>
        <w:adjustRightInd w:val="0"/>
        <w:contextualSpacing/>
        <w:jc w:val="both"/>
        <w:rPr>
          <w:rFonts w:eastAsia="Cambria" w:cs="Times New Roman"/>
          <w:lang w:val="pt-BR"/>
        </w:rPr>
      </w:pPr>
    </w:p>
    <w:p w14:paraId="77FE0FF0" w14:textId="77777777" w:rsidR="00F16338" w:rsidRPr="00D5464D" w:rsidRDefault="00F16338" w:rsidP="00F306D7">
      <w:pPr>
        <w:numPr>
          <w:ilvl w:val="0"/>
          <w:numId w:val="26"/>
        </w:numPr>
        <w:tabs>
          <w:tab w:val="clear" w:pos="4419"/>
          <w:tab w:val="clear" w:pos="8838"/>
        </w:tabs>
        <w:contextualSpacing/>
        <w:jc w:val="both"/>
        <w:rPr>
          <w:rFonts w:eastAsia="Cambria" w:cs="Times New Roman"/>
          <w:lang w:val="pt-BR"/>
        </w:rPr>
      </w:pPr>
      <w:r w:rsidRPr="00D5464D">
        <w:rPr>
          <w:rFonts w:eastAsia="Cambria" w:cs="Times New Roman"/>
          <w:lang w:val="pt-BR"/>
        </w:rPr>
        <w:t xml:space="preserve">Nesse sentido, a </w:t>
      </w:r>
      <w:r w:rsidRPr="00D5464D">
        <w:rPr>
          <w:rFonts w:eastAsia="Cambria" w:cs="Times New Roman"/>
          <w:i/>
          <w:lang w:val="pt-BR"/>
        </w:rPr>
        <w:t>Relatora Especial sobre formas contemporâneas de escravidão, incluindo suas causas</w:t>
      </w:r>
      <w:r w:rsidRPr="00D5464D">
        <w:rPr>
          <w:rFonts w:eastAsia="Cambria" w:cs="Times New Roman"/>
          <w:lang w:val="pt-BR"/>
        </w:rPr>
        <w:t xml:space="preserve"> e </w:t>
      </w:r>
      <w:r w:rsidRPr="00D5464D">
        <w:rPr>
          <w:rFonts w:eastAsia="Cambria" w:cs="Times New Roman"/>
          <w:i/>
          <w:lang w:val="pt-BR"/>
        </w:rPr>
        <w:t xml:space="preserve">consequências, </w:t>
      </w:r>
      <w:r w:rsidRPr="00D5464D">
        <w:rPr>
          <w:rFonts w:eastAsia="Cambria" w:cs="Times New Roman"/>
          <w:lang w:val="pt-BR"/>
        </w:rPr>
        <w:t>expressou que:</w:t>
      </w:r>
    </w:p>
    <w:p w14:paraId="68B6619F" w14:textId="77777777" w:rsidR="00F16338" w:rsidRPr="00D5464D" w:rsidRDefault="00F16338" w:rsidP="00F16338">
      <w:pPr>
        <w:tabs>
          <w:tab w:val="clear" w:pos="4419"/>
          <w:tab w:val="clear" w:pos="8838"/>
        </w:tabs>
        <w:contextualSpacing/>
        <w:jc w:val="both"/>
        <w:rPr>
          <w:rFonts w:eastAsia="Cambria" w:cs="Times New Roman"/>
          <w:lang w:val="pt-BR"/>
        </w:rPr>
      </w:pPr>
    </w:p>
    <w:p w14:paraId="37CBFF22" w14:textId="77777777" w:rsidR="00F16338" w:rsidRPr="00D5464D" w:rsidRDefault="00F16338" w:rsidP="00F16338">
      <w:pPr>
        <w:tabs>
          <w:tab w:val="clear" w:pos="4419"/>
          <w:tab w:val="clear" w:pos="8838"/>
        </w:tabs>
        <w:ind w:left="708"/>
        <w:jc w:val="both"/>
        <w:rPr>
          <w:rFonts w:eastAsia="MS Mincho" w:cs="Times"/>
          <w:sz w:val="16"/>
          <w:szCs w:val="16"/>
          <w:lang w:val="pt-BR" w:eastAsia="es-ES"/>
        </w:rPr>
      </w:pPr>
      <w:r w:rsidRPr="00D5464D">
        <w:rPr>
          <w:rFonts w:eastAsia="MS Mincho" w:cs="Times"/>
          <w:sz w:val="16"/>
          <w:szCs w:val="16"/>
          <w:lang w:val="pt-BR" w:eastAsia="es-ES"/>
        </w:rPr>
        <w:t xml:space="preserve">48. Os trabalhadores em condições de servidão </w:t>
      </w:r>
      <w:r w:rsidRPr="00D5464D">
        <w:rPr>
          <w:rFonts w:eastAsia="MS Mincho" w:cs="Times"/>
          <w:i/>
          <w:sz w:val="16"/>
          <w:szCs w:val="16"/>
          <w:lang w:val="pt-BR" w:eastAsia="es-ES"/>
        </w:rPr>
        <w:t>pertencem, quase sempre,</w:t>
      </w:r>
      <w:r w:rsidRPr="00D5464D">
        <w:rPr>
          <w:rFonts w:eastAsia="MS Mincho" w:cs="Times"/>
          <w:sz w:val="16"/>
          <w:szCs w:val="16"/>
          <w:lang w:val="pt-BR" w:eastAsia="es-ES"/>
        </w:rPr>
        <w:t xml:space="preserve"> a grupos socialmente excluídos, como os indígenas, as minorias e os migrantes, que sofrem ainda mais do que outros a discriminação e a exclusão política.</w:t>
      </w:r>
      <w:r w:rsidRPr="00D5464D">
        <w:rPr>
          <w:rFonts w:eastAsia="MS Mincho" w:cs="Times New Roman"/>
          <w:sz w:val="16"/>
          <w:szCs w:val="20"/>
          <w:vertAlign w:val="superscript"/>
          <w:lang w:val="pt-BR" w:eastAsia="es-ES"/>
        </w:rPr>
        <w:footnoteReference w:id="614"/>
      </w:r>
    </w:p>
    <w:p w14:paraId="2807842F" w14:textId="77777777" w:rsidR="00F16338" w:rsidRPr="00D5464D" w:rsidRDefault="00F16338" w:rsidP="00F16338">
      <w:pPr>
        <w:tabs>
          <w:tab w:val="clear" w:pos="4419"/>
          <w:tab w:val="clear" w:pos="8838"/>
        </w:tabs>
        <w:rPr>
          <w:rFonts w:eastAsia="MS Mincho" w:cs="Times New Roman"/>
          <w:szCs w:val="20"/>
          <w:lang w:val="pt-BR" w:eastAsia="es-ES"/>
        </w:rPr>
      </w:pPr>
    </w:p>
    <w:p w14:paraId="4366C7D4" w14:textId="77777777" w:rsidR="00F16338" w:rsidRPr="00D5464D" w:rsidRDefault="00F16338" w:rsidP="00F16338">
      <w:pPr>
        <w:tabs>
          <w:tab w:val="clear" w:pos="4419"/>
          <w:tab w:val="clear" w:pos="8838"/>
        </w:tabs>
        <w:rPr>
          <w:rFonts w:eastAsia="MS Mincho" w:cs="Times New Roman"/>
          <w:szCs w:val="20"/>
          <w:lang w:val="pt-BR" w:eastAsia="es-ES"/>
        </w:rPr>
      </w:pPr>
      <w:r w:rsidRPr="00D5464D">
        <w:rPr>
          <w:rFonts w:eastAsia="MS Mincho" w:cs="Times New Roman"/>
          <w:szCs w:val="20"/>
          <w:lang w:val="pt-BR" w:eastAsia="es-ES"/>
        </w:rPr>
        <w:t xml:space="preserve">Ademais: </w:t>
      </w:r>
    </w:p>
    <w:p w14:paraId="590CF82A" w14:textId="77777777" w:rsidR="00F16338" w:rsidRPr="00D5464D" w:rsidRDefault="00F16338" w:rsidP="00F16338">
      <w:pPr>
        <w:tabs>
          <w:tab w:val="clear" w:pos="4419"/>
          <w:tab w:val="clear" w:pos="8838"/>
        </w:tabs>
        <w:rPr>
          <w:rFonts w:eastAsia="MS Mincho" w:cs="Times New Roman"/>
          <w:szCs w:val="20"/>
          <w:lang w:val="pt-BR" w:eastAsia="es-ES"/>
        </w:rPr>
      </w:pPr>
    </w:p>
    <w:p w14:paraId="61994F87" w14:textId="77777777" w:rsidR="00F16338" w:rsidRPr="00D5464D" w:rsidRDefault="00F16338" w:rsidP="00F16338">
      <w:pPr>
        <w:tabs>
          <w:tab w:val="clear" w:pos="4419"/>
          <w:tab w:val="clear" w:pos="8838"/>
        </w:tabs>
        <w:ind w:left="708"/>
        <w:contextualSpacing/>
        <w:jc w:val="both"/>
        <w:rPr>
          <w:rFonts w:eastAsia="Cambria" w:cs="Times"/>
          <w:sz w:val="16"/>
          <w:szCs w:val="16"/>
          <w:lang w:val="pt-BR"/>
        </w:rPr>
      </w:pPr>
      <w:r w:rsidRPr="00D5464D">
        <w:rPr>
          <w:rFonts w:eastAsia="Cambria" w:cs="Times New Roman"/>
          <w:sz w:val="16"/>
          <w:szCs w:val="16"/>
          <w:lang w:val="pt-BR"/>
        </w:rPr>
        <w:t xml:space="preserve">38. Em muitos países onde ocorrem casos de escravidão, as vítimas são pobres, com poucas conexões políticas e escasso poder de expressar queixas. Estes </w:t>
      </w:r>
      <w:r w:rsidRPr="00D5464D">
        <w:rPr>
          <w:rFonts w:eastAsia="Cambria" w:cs="Times"/>
          <w:i/>
          <w:sz w:val="16"/>
          <w:szCs w:val="16"/>
          <w:lang w:val="pt-BR"/>
        </w:rPr>
        <w:t>grupos estão normalmente marginalizados e discriminados</w:t>
      </w:r>
      <w:r w:rsidRPr="00D5464D">
        <w:rPr>
          <w:rFonts w:eastAsia="Cambria" w:cs="Times"/>
          <w:sz w:val="16"/>
          <w:szCs w:val="16"/>
          <w:lang w:val="pt-BR"/>
        </w:rPr>
        <w:t xml:space="preserve"> por motivo de sua casta, raça, sexo, e/ou sua origem, como os migrantes indígenas.</w:t>
      </w:r>
      <w:r w:rsidRPr="00D5464D">
        <w:rPr>
          <w:rFonts w:eastAsia="Cambria" w:cs="Times New Roman"/>
          <w:sz w:val="16"/>
          <w:szCs w:val="20"/>
          <w:vertAlign w:val="superscript"/>
          <w:lang w:val="pt-BR"/>
        </w:rPr>
        <w:footnoteReference w:id="615"/>
      </w:r>
    </w:p>
    <w:p w14:paraId="518CD9F0" w14:textId="77777777" w:rsidR="00F16338" w:rsidRPr="00D5464D" w:rsidRDefault="00F16338" w:rsidP="00F16338">
      <w:pPr>
        <w:tabs>
          <w:tab w:val="clear" w:pos="4419"/>
          <w:tab w:val="clear" w:pos="8838"/>
        </w:tabs>
        <w:ind w:left="708"/>
        <w:contextualSpacing/>
        <w:jc w:val="both"/>
        <w:rPr>
          <w:rFonts w:eastAsia="Cambria" w:cs="Times"/>
          <w:szCs w:val="20"/>
          <w:lang w:val="pt-BR"/>
        </w:rPr>
      </w:pPr>
    </w:p>
    <w:p w14:paraId="2391BB9C" w14:textId="77777777" w:rsidR="00F16338" w:rsidRPr="00D5464D" w:rsidRDefault="00F16338" w:rsidP="00F306D7">
      <w:pPr>
        <w:numPr>
          <w:ilvl w:val="0"/>
          <w:numId w:val="26"/>
        </w:numPr>
        <w:tabs>
          <w:tab w:val="clear" w:pos="4419"/>
          <w:tab w:val="clear" w:pos="8838"/>
        </w:tabs>
        <w:contextualSpacing/>
        <w:jc w:val="both"/>
        <w:rPr>
          <w:rFonts w:eastAsia="Cambria" w:cs="Times New Roman"/>
          <w:lang w:val="pt-BR"/>
        </w:rPr>
      </w:pPr>
      <w:r w:rsidRPr="00D5464D">
        <w:rPr>
          <w:rFonts w:eastAsia="Cambria" w:cs="Times New Roman"/>
          <w:lang w:val="pt-BR"/>
        </w:rPr>
        <w:t xml:space="preserve">Isto é, ainda que </w:t>
      </w:r>
      <w:r w:rsidRPr="00D5464D">
        <w:rPr>
          <w:rFonts w:eastAsia="Cambria" w:cs="Times New Roman"/>
          <w:i/>
          <w:szCs w:val="20"/>
          <w:lang w:val="pt-BR"/>
        </w:rPr>
        <w:t xml:space="preserve">geralmente, normalmente ou quase sempre as </w:t>
      </w:r>
      <w:r w:rsidRPr="00D5464D">
        <w:rPr>
          <w:rFonts w:eastAsia="Cambria" w:cs="Times New Roman"/>
          <w:szCs w:val="20"/>
          <w:lang w:val="pt-BR"/>
        </w:rPr>
        <w:t>vítimas de escravidão e suas formas análogas sejam pessoas pobres que foram historicamente discriminadas</w:t>
      </w:r>
      <w:r w:rsidRPr="00D5464D">
        <w:rPr>
          <w:rFonts w:eastAsia="Cambria" w:cs="Times"/>
          <w:szCs w:val="20"/>
          <w:lang w:val="pt-BR"/>
        </w:rPr>
        <w:t xml:space="preserve"> por motivo de sua raça, sexo, e/ou sua origem como migrantes indígenas, isso </w:t>
      </w:r>
      <w:r w:rsidRPr="00D5464D">
        <w:rPr>
          <w:rFonts w:eastAsia="Cambria" w:cs="Times New Roman"/>
          <w:szCs w:val="20"/>
          <w:lang w:val="pt-BR"/>
        </w:rPr>
        <w:t>não exclui o fato de que existem pessoas que, não necessariamente, se encontram incluídas dentro destas categorias expressas, mas que, de igual maneira, são pobres, marginalizadas ou excluídas. Não obstante , faz-se mister ressaltar que quando, além da situação pobreza estiver presente outra categoria, como raça, gênero, origem étnica, etc., prevista no artigo 1.1, estaremos diante de uma situação de discriminação múltipla/composta ou interseccional, dependendo das particularidades</w:t>
      </w:r>
      <w:r w:rsidRPr="00D5464D">
        <w:rPr>
          <w:rFonts w:eastAsia="Cambria" w:cs="Times New Roman"/>
          <w:lang w:val="pt-BR"/>
        </w:rPr>
        <w:t xml:space="preserve"> do caso,</w:t>
      </w:r>
      <w:r w:rsidRPr="00D5464D">
        <w:rPr>
          <w:rFonts w:eastAsia="Cambria" w:cs="Times New Roman"/>
          <w:szCs w:val="20"/>
          <w:vertAlign w:val="superscript"/>
          <w:lang w:val="pt-BR"/>
        </w:rPr>
        <w:footnoteReference w:id="616"/>
      </w:r>
      <w:r w:rsidRPr="00D5464D">
        <w:rPr>
          <w:rFonts w:eastAsia="Cambria" w:cs="Times New Roman"/>
          <w:lang w:val="pt-BR"/>
        </w:rPr>
        <w:t xml:space="preserve"> conforme já foi reconhecido em outras ocasiões pelo Tribunal Interamericano.</w:t>
      </w:r>
      <w:r w:rsidRPr="00D5464D">
        <w:rPr>
          <w:rFonts w:eastAsia="Cambria" w:cs="Times New Roman"/>
          <w:szCs w:val="20"/>
          <w:vertAlign w:val="superscript"/>
          <w:lang w:val="pt-BR"/>
        </w:rPr>
        <w:footnoteReference w:id="617"/>
      </w:r>
      <w:r w:rsidRPr="00D5464D">
        <w:rPr>
          <w:rFonts w:eastAsia="Cambria" w:cs="Times New Roman"/>
          <w:lang w:val="pt-BR"/>
        </w:rPr>
        <w:t xml:space="preserve"> </w:t>
      </w:r>
    </w:p>
    <w:p w14:paraId="28D706F8" w14:textId="77777777" w:rsidR="00F16338" w:rsidRPr="00D5464D" w:rsidRDefault="00F16338" w:rsidP="00F16338">
      <w:pPr>
        <w:tabs>
          <w:tab w:val="clear" w:pos="4419"/>
          <w:tab w:val="clear" w:pos="8838"/>
        </w:tabs>
        <w:contextualSpacing/>
        <w:jc w:val="both"/>
        <w:rPr>
          <w:rFonts w:eastAsia="Cambria" w:cs="Times New Roman"/>
          <w:lang w:val="pt-BR"/>
        </w:rPr>
      </w:pPr>
    </w:p>
    <w:p w14:paraId="5C3333E1" w14:textId="77777777" w:rsidR="00F16338" w:rsidRPr="00D5464D" w:rsidRDefault="00F16338" w:rsidP="00F306D7">
      <w:pPr>
        <w:numPr>
          <w:ilvl w:val="0"/>
          <w:numId w:val="26"/>
        </w:numPr>
        <w:tabs>
          <w:tab w:val="clear" w:pos="4419"/>
          <w:tab w:val="clear" w:pos="8838"/>
        </w:tabs>
        <w:contextualSpacing/>
        <w:jc w:val="both"/>
        <w:rPr>
          <w:rFonts w:eastAsia="Cambria" w:cs="Times New Roman"/>
          <w:szCs w:val="20"/>
          <w:lang w:val="pt-BR"/>
        </w:rPr>
      </w:pPr>
      <w:r w:rsidRPr="00D5464D">
        <w:rPr>
          <w:rFonts w:eastAsia="Cambria" w:cs="Times New Roman"/>
          <w:lang w:val="pt-BR"/>
        </w:rPr>
        <w:t>Para os fins do direito anti-discriminatório, a posição econômica alude a situações estruturais de negação de necessidades gerais de vida digna e autônoma, por diversas circunstâncias, a um setor da população. Deve-se entender, portanto, dentro do conjunto de situações que impedem que uma pessoa desenvolva uma vida digna, como o acesso e desfrute aos serviços sociais mais básicos. Nesse sentido, as condições de dignidade se referem à possibilidade, por exemplo, de exercer um trabalho ou ainda o gozo de bens, tais como moradia, educação, saúde, lazer, serviços públicos, segurança social, cultura, dado que é a situação frente a estes direitos e benefícios o que configura a condição socioeconômica do indivíduo.</w:t>
      </w:r>
      <w:r w:rsidRPr="00D5464D">
        <w:rPr>
          <w:rFonts w:eastAsia="Cambria" w:cs="Times New Roman"/>
          <w:szCs w:val="20"/>
          <w:vertAlign w:val="superscript"/>
          <w:lang w:val="pt-BR"/>
        </w:rPr>
        <w:footnoteReference w:id="618"/>
      </w:r>
      <w:r w:rsidRPr="00D5464D">
        <w:rPr>
          <w:rFonts w:eastAsia="Cambria" w:cs="Times New Roman"/>
          <w:lang w:val="pt-BR"/>
        </w:rPr>
        <w:t xml:space="preserve"> Isso se torna mais evidente na América Latina em relação às mulheres, em função da falta de autonomia econômica e de circunstâncias mais agudas de incidência de pobreza em comparação com os homens, o que exige dos Estados a adoção de ações específicas para solucionar essa situação de desigualdade de gênero no impacto da pobreza.</w:t>
      </w:r>
      <w:r w:rsidRPr="00D5464D">
        <w:rPr>
          <w:rFonts w:eastAsia="Cambria" w:cs="Times New Roman"/>
          <w:vertAlign w:val="superscript"/>
          <w:lang w:val="es-ES_tradnl"/>
        </w:rPr>
        <w:footnoteReference w:id="619"/>
      </w:r>
    </w:p>
    <w:p w14:paraId="335A2C22" w14:textId="77777777" w:rsidR="00F16338" w:rsidRPr="00D5464D" w:rsidRDefault="00F16338" w:rsidP="00F16338">
      <w:pPr>
        <w:tabs>
          <w:tab w:val="clear" w:pos="4419"/>
          <w:tab w:val="clear" w:pos="8838"/>
        </w:tabs>
        <w:contextualSpacing/>
        <w:jc w:val="both"/>
        <w:rPr>
          <w:rFonts w:eastAsia="Cambria" w:cs="Times New Roman"/>
          <w:szCs w:val="20"/>
          <w:lang w:val="pt-BR"/>
        </w:rPr>
      </w:pPr>
      <w:r w:rsidRPr="00D5464D">
        <w:rPr>
          <w:rFonts w:eastAsia="Cambria" w:cs="Times New Roman"/>
          <w:lang w:val="pt-BR"/>
        </w:rPr>
        <w:t xml:space="preserve"> </w:t>
      </w:r>
    </w:p>
    <w:p w14:paraId="255BF5AF" w14:textId="77777777" w:rsidR="00F16338" w:rsidRPr="00D5464D" w:rsidRDefault="00F16338" w:rsidP="00F306D7">
      <w:pPr>
        <w:numPr>
          <w:ilvl w:val="0"/>
          <w:numId w:val="26"/>
        </w:numPr>
        <w:tabs>
          <w:tab w:val="clear" w:pos="4419"/>
          <w:tab w:val="clear" w:pos="8838"/>
        </w:tabs>
        <w:contextualSpacing/>
        <w:jc w:val="both"/>
        <w:rPr>
          <w:rFonts w:eastAsia="Cambria" w:cs="Times New Roman"/>
          <w:b/>
          <w:szCs w:val="20"/>
          <w:lang w:val="pt-BR"/>
        </w:rPr>
      </w:pPr>
      <w:r w:rsidRPr="00D5464D">
        <w:rPr>
          <w:rFonts w:eastAsia="Cambria" w:cs="Times New Roman"/>
          <w:szCs w:val="20"/>
          <w:lang w:val="pt-BR"/>
        </w:rPr>
        <w:t xml:space="preserve">Em suma, o Tribunal Interamericano foi ampliando e delimitando o conteúdo das categorias em razão das quais pessoas ou grupos de pessoas não podem ser discriminadas, o que, em alguns casos, respondeu às realidades sociais que foram sendo apresentadas com a evolução das mesmas; as quais, além disso, não se vinculam de maneira individual, mas respondem a diversos fatores e barreiras sociais e culturais de maneira conjunta, como a condição de pessoa com HIV que pode ser geradora de deficiência, a infertilidade como forma de deficiência que gera outras repercussões no gênero, ou a situação de desvantagem de um trabalhador por sua condição de migrante irregular e, agora, a situação de pobreza como parte da posição econômica. </w:t>
      </w:r>
    </w:p>
    <w:p w14:paraId="53ED128A" w14:textId="77777777" w:rsidR="00F16338" w:rsidRPr="00D5464D" w:rsidRDefault="00F16338" w:rsidP="00F16338">
      <w:pPr>
        <w:tabs>
          <w:tab w:val="clear" w:pos="4419"/>
          <w:tab w:val="clear" w:pos="8838"/>
        </w:tabs>
        <w:contextualSpacing/>
        <w:jc w:val="both"/>
        <w:rPr>
          <w:rFonts w:eastAsia="Cambria" w:cs="Times New Roman"/>
          <w:b/>
          <w:szCs w:val="20"/>
          <w:lang w:val="pt-BR"/>
        </w:rPr>
      </w:pPr>
    </w:p>
    <w:p w14:paraId="48ED1B6A" w14:textId="77777777" w:rsidR="00F16338" w:rsidRPr="00D5464D" w:rsidRDefault="00F16338" w:rsidP="00F16338">
      <w:pPr>
        <w:tabs>
          <w:tab w:val="clear" w:pos="4419"/>
          <w:tab w:val="clear" w:pos="8838"/>
        </w:tabs>
        <w:contextualSpacing/>
        <w:jc w:val="both"/>
        <w:rPr>
          <w:rFonts w:eastAsia="Cambria" w:cs="Times New Roman"/>
          <w:b/>
          <w:szCs w:val="20"/>
          <w:lang w:val="pt-BR"/>
        </w:rPr>
      </w:pPr>
    </w:p>
    <w:p w14:paraId="4B417ED5" w14:textId="77777777" w:rsidR="00F16338" w:rsidRPr="00D5464D" w:rsidRDefault="00F16338" w:rsidP="00F16338">
      <w:pPr>
        <w:tabs>
          <w:tab w:val="clear" w:pos="4419"/>
          <w:tab w:val="clear" w:pos="8838"/>
        </w:tabs>
        <w:contextualSpacing/>
        <w:jc w:val="center"/>
        <w:rPr>
          <w:rFonts w:eastAsia="Cambria" w:cs="System Font Regular"/>
          <w:color w:val="16191F"/>
          <w:szCs w:val="20"/>
          <w:lang w:val="pt-BR"/>
        </w:rPr>
      </w:pPr>
      <w:r w:rsidRPr="00D5464D">
        <w:rPr>
          <w:rFonts w:eastAsia="Cambria" w:cs="System Font Regular"/>
          <w:color w:val="16191F"/>
          <w:szCs w:val="20"/>
          <w:lang w:val="pt-BR"/>
        </w:rPr>
        <w:t xml:space="preserve">IV. AS VIOLAÇÕES ESTRUTURAIS NO DIREITO INTERNACIONAL </w:t>
      </w:r>
    </w:p>
    <w:p w14:paraId="2AAB9C9A" w14:textId="77777777" w:rsidR="00F16338" w:rsidRPr="00D5464D" w:rsidRDefault="00F16338" w:rsidP="00F16338">
      <w:pPr>
        <w:tabs>
          <w:tab w:val="clear" w:pos="4419"/>
          <w:tab w:val="clear" w:pos="8838"/>
        </w:tabs>
        <w:jc w:val="both"/>
        <w:rPr>
          <w:rFonts w:eastAsia="Cambria" w:cs="System Font Regular"/>
          <w:color w:val="16191F"/>
          <w:szCs w:val="20"/>
          <w:lang w:val="pt-BR"/>
        </w:rPr>
      </w:pPr>
    </w:p>
    <w:p w14:paraId="14A39704" w14:textId="77777777" w:rsidR="00F16338" w:rsidRPr="00D5464D" w:rsidRDefault="00F16338" w:rsidP="00F16338">
      <w:pPr>
        <w:tabs>
          <w:tab w:val="clear" w:pos="4419"/>
          <w:tab w:val="clear" w:pos="8838"/>
        </w:tabs>
        <w:jc w:val="both"/>
        <w:rPr>
          <w:rFonts w:eastAsia="Cambria" w:cs="System Font Regular"/>
          <w:color w:val="16191F"/>
          <w:szCs w:val="20"/>
          <w:lang w:val="pt-BR"/>
        </w:rPr>
      </w:pPr>
    </w:p>
    <w:p w14:paraId="62E52A7A" w14:textId="77777777" w:rsidR="00F16338" w:rsidRPr="00D5464D" w:rsidRDefault="00F16338" w:rsidP="00F306D7">
      <w:pPr>
        <w:numPr>
          <w:ilvl w:val="0"/>
          <w:numId w:val="26"/>
        </w:numPr>
        <w:tabs>
          <w:tab w:val="clear" w:pos="4419"/>
          <w:tab w:val="clear" w:pos="8838"/>
        </w:tabs>
        <w:jc w:val="both"/>
        <w:rPr>
          <w:rFonts w:eastAsia="Cambria" w:cs="System Font Regular"/>
          <w:color w:val="16191F"/>
          <w:szCs w:val="20"/>
          <w:lang w:val="pt-BR"/>
        </w:rPr>
      </w:pPr>
      <w:r w:rsidRPr="00D5464D">
        <w:rPr>
          <w:rFonts w:eastAsia="Cambria" w:cs="System Font Regular"/>
          <w:color w:val="16191F"/>
          <w:szCs w:val="20"/>
          <w:lang w:val="pt-BR"/>
        </w:rPr>
        <w:t xml:space="preserve">O presente capítulo tem como finalidade enquadrar os avanços feitos em matéria de reconhecimento da discriminação estrutural. Desta maneira, resulta de vital importância que os Estados considerem a existência destas situações sistêmicas de discriminação; já que nem todas as violações de direitos humanos se apresentam como fatos isolados, mas, em alguns casos, respondem a contextos específicos e institucionais de negação de direitos humanos. </w:t>
      </w:r>
    </w:p>
    <w:p w14:paraId="0C9B62BD" w14:textId="77777777" w:rsidR="00F16338" w:rsidRPr="00D5464D" w:rsidRDefault="00F16338" w:rsidP="00F16338">
      <w:pPr>
        <w:tabs>
          <w:tab w:val="clear" w:pos="4419"/>
          <w:tab w:val="clear" w:pos="8838"/>
        </w:tabs>
        <w:jc w:val="both"/>
        <w:rPr>
          <w:rFonts w:eastAsia="Cambria" w:cs="System Font Regular"/>
          <w:color w:val="16191F"/>
          <w:szCs w:val="20"/>
          <w:lang w:val="pt-BR"/>
        </w:rPr>
      </w:pPr>
    </w:p>
    <w:p w14:paraId="4027AD06" w14:textId="77777777" w:rsidR="00F16338" w:rsidRPr="00D5464D" w:rsidRDefault="00F16338" w:rsidP="00F306D7">
      <w:pPr>
        <w:numPr>
          <w:ilvl w:val="0"/>
          <w:numId w:val="26"/>
        </w:numPr>
        <w:tabs>
          <w:tab w:val="clear" w:pos="4419"/>
          <w:tab w:val="clear" w:pos="8838"/>
        </w:tabs>
        <w:jc w:val="both"/>
        <w:rPr>
          <w:rFonts w:eastAsia="Cambria" w:cs="System Font Regular"/>
          <w:b/>
          <w:i/>
          <w:color w:val="16191F"/>
          <w:szCs w:val="20"/>
          <w:lang w:val="pt-BR"/>
        </w:rPr>
      </w:pPr>
      <w:r w:rsidRPr="00D5464D">
        <w:rPr>
          <w:rFonts w:eastAsia="Cambria" w:cs="System Font Regular"/>
          <w:color w:val="16191F"/>
          <w:szCs w:val="20"/>
          <w:lang w:val="pt-BR"/>
        </w:rPr>
        <w:t>Ainda que no estado atual do Direito Internacional e Constitucional dos Direitos Humanos não se conte com uma visão consolidada deste fenômeno, isso não afasta o fato de que, pouco a pouco, várias instâncias têm se pronunciado sobre a existência e materialização desta situação. Assim, encontramos alguns traços coincidentes no âmbito internacional.</w:t>
      </w:r>
    </w:p>
    <w:p w14:paraId="4D259A24" w14:textId="77777777" w:rsidR="00F16338" w:rsidRPr="00D5464D" w:rsidRDefault="00F16338" w:rsidP="00F16338">
      <w:pPr>
        <w:tabs>
          <w:tab w:val="clear" w:pos="4419"/>
          <w:tab w:val="clear" w:pos="8838"/>
        </w:tabs>
        <w:jc w:val="both"/>
        <w:rPr>
          <w:rFonts w:eastAsia="Cambria" w:cs="System Font Regular"/>
          <w:b/>
          <w:i/>
          <w:color w:val="16191F"/>
          <w:szCs w:val="20"/>
          <w:lang w:val="pt-BR"/>
        </w:rPr>
      </w:pPr>
      <w:r w:rsidRPr="00D5464D">
        <w:rPr>
          <w:rFonts w:eastAsia="Cambria" w:cs="System Font Regular"/>
          <w:color w:val="16191F"/>
          <w:szCs w:val="20"/>
          <w:lang w:val="pt-BR"/>
        </w:rPr>
        <w:t xml:space="preserve"> </w:t>
      </w:r>
    </w:p>
    <w:p w14:paraId="3697448D" w14:textId="77777777" w:rsidR="00F16338" w:rsidRPr="00D5464D" w:rsidRDefault="00F16338" w:rsidP="00F16338">
      <w:pPr>
        <w:tabs>
          <w:tab w:val="clear" w:pos="4419"/>
          <w:tab w:val="clear" w:pos="8838"/>
        </w:tabs>
        <w:contextualSpacing/>
        <w:jc w:val="both"/>
        <w:rPr>
          <w:rFonts w:eastAsia="Cambria" w:cs="System Font Regular"/>
          <w:i/>
          <w:color w:val="16191F"/>
          <w:szCs w:val="20"/>
          <w:lang w:val="pt-BR"/>
        </w:rPr>
      </w:pPr>
      <w:r w:rsidRPr="00D5464D">
        <w:rPr>
          <w:rFonts w:eastAsia="Cambria" w:cs="System Font Regular"/>
          <w:i/>
          <w:color w:val="16191F"/>
          <w:szCs w:val="20"/>
          <w:lang w:val="pt-BR"/>
        </w:rPr>
        <w:t xml:space="preserve">i) Tribunal Europeu de Direitos Humanos </w:t>
      </w:r>
    </w:p>
    <w:p w14:paraId="642D9728" w14:textId="77777777" w:rsidR="00F16338" w:rsidRPr="00D5464D" w:rsidRDefault="00F16338" w:rsidP="00F16338">
      <w:pPr>
        <w:tabs>
          <w:tab w:val="clear" w:pos="4419"/>
          <w:tab w:val="clear" w:pos="8838"/>
        </w:tabs>
        <w:jc w:val="both"/>
        <w:rPr>
          <w:rFonts w:eastAsia="Cambria" w:cs="System Font Regular"/>
          <w:i/>
          <w:color w:val="16191F"/>
          <w:szCs w:val="20"/>
          <w:lang w:val="pt-BR"/>
        </w:rPr>
      </w:pPr>
    </w:p>
    <w:p w14:paraId="440CD3BD" w14:textId="77777777" w:rsidR="00F16338" w:rsidRPr="00D5464D" w:rsidRDefault="00F16338" w:rsidP="00F306D7">
      <w:pPr>
        <w:numPr>
          <w:ilvl w:val="0"/>
          <w:numId w:val="26"/>
        </w:numPr>
        <w:tabs>
          <w:tab w:val="clear" w:pos="4419"/>
          <w:tab w:val="clear" w:pos="8838"/>
        </w:tabs>
        <w:jc w:val="both"/>
        <w:rPr>
          <w:rFonts w:eastAsia="Cambria" w:cs="System Font Regular"/>
          <w:i/>
          <w:color w:val="16191F"/>
          <w:szCs w:val="20"/>
          <w:lang w:val="pt-BR"/>
        </w:rPr>
      </w:pPr>
      <w:r w:rsidRPr="00D5464D">
        <w:rPr>
          <w:rFonts w:eastAsia="Cambria" w:cs="System Font Regular"/>
          <w:color w:val="16191F"/>
          <w:szCs w:val="20"/>
          <w:lang w:val="pt-BR"/>
        </w:rPr>
        <w:t xml:space="preserve">Até hoje o Tribunal Europeu não reconheceu o conceito de </w:t>
      </w:r>
      <w:r w:rsidRPr="00D5464D">
        <w:rPr>
          <w:rFonts w:eastAsia="Cambria" w:cs="System Font Regular"/>
          <w:i/>
          <w:color w:val="16191F"/>
          <w:szCs w:val="20"/>
          <w:lang w:val="pt-BR"/>
        </w:rPr>
        <w:t xml:space="preserve">“discriminação estrutural” </w:t>
      </w:r>
      <w:r w:rsidRPr="00D5464D">
        <w:rPr>
          <w:rFonts w:eastAsia="Cambria" w:cs="System Font Regular"/>
          <w:color w:val="16191F"/>
          <w:szCs w:val="20"/>
          <w:lang w:val="pt-BR"/>
        </w:rPr>
        <w:t>por categorias de proteção especial</w:t>
      </w:r>
      <w:r w:rsidRPr="00D5464D">
        <w:rPr>
          <w:rFonts w:eastAsia="Cambria" w:cs="System Font Regular"/>
          <w:i/>
          <w:color w:val="16191F"/>
          <w:szCs w:val="20"/>
          <w:lang w:val="pt-BR"/>
        </w:rPr>
        <w:t xml:space="preserve">, </w:t>
      </w:r>
      <w:r w:rsidRPr="00D5464D">
        <w:rPr>
          <w:rFonts w:eastAsia="Cambria" w:cs="System Font Regular"/>
          <w:color w:val="16191F"/>
          <w:szCs w:val="20"/>
          <w:lang w:val="pt-BR"/>
        </w:rPr>
        <w:t xml:space="preserve">que poderiam estar abarcadas pelo artigo 14 da Convenção Europeia, ou através do artigo 1º do Protocolo 12 desta Convenção;  no entanto, isso não impediu que as violações estruturais aos direitos contemplados na Convenção Europeia, derivadas de um contexto sistemático de negação destes direitos, fossem protegidas. Nesse sentido, cabe destacar que diferentemente da Convenção Americana, onde existe um mandato convencional de adequar ou adotar medidas de direito interno (Artigo 2 do Pacto de San José), na Convenção Europeia não encontramos uma disposição de amplitude e dimensão similares. </w:t>
      </w:r>
    </w:p>
    <w:p w14:paraId="3B23DD51" w14:textId="77777777" w:rsidR="00F16338" w:rsidRPr="00D5464D" w:rsidRDefault="00F16338" w:rsidP="00F16338">
      <w:pPr>
        <w:tabs>
          <w:tab w:val="clear" w:pos="4419"/>
          <w:tab w:val="clear" w:pos="8838"/>
        </w:tabs>
        <w:jc w:val="both"/>
        <w:rPr>
          <w:rFonts w:eastAsia="Cambria" w:cs="System Font Regular"/>
          <w:i/>
          <w:color w:val="16191F"/>
          <w:szCs w:val="20"/>
          <w:lang w:val="pt-BR"/>
        </w:rPr>
      </w:pPr>
    </w:p>
    <w:p w14:paraId="69EE363A" w14:textId="77777777" w:rsidR="00F16338" w:rsidRPr="00D5464D" w:rsidRDefault="00F16338" w:rsidP="00F306D7">
      <w:pPr>
        <w:numPr>
          <w:ilvl w:val="0"/>
          <w:numId w:val="26"/>
        </w:numPr>
        <w:tabs>
          <w:tab w:val="clear" w:pos="4419"/>
          <w:tab w:val="clear" w:pos="8838"/>
        </w:tabs>
        <w:jc w:val="both"/>
        <w:rPr>
          <w:rFonts w:eastAsia="Cambria" w:cs="System Font Regular"/>
          <w:i/>
          <w:color w:val="16191F"/>
          <w:szCs w:val="20"/>
          <w:lang w:val="pt-BR"/>
        </w:rPr>
      </w:pPr>
      <w:r w:rsidRPr="00D5464D">
        <w:rPr>
          <w:rFonts w:eastAsia="Cambria" w:cs="System Font Regular"/>
          <w:color w:val="16191F"/>
          <w:szCs w:val="20"/>
          <w:lang w:val="pt-BR"/>
        </w:rPr>
        <w:t xml:space="preserve">Desta maneira, o meio considerado idôneo pelo TEDH para fazer frente às violações de direitos humanos em situações estruturais é a adoção de medidas que ajudem a reverter estas circunstâncias desfavoráveis para um setor da população. A ausência do mandato convencional na CEDH não foi impedimento para que, na prática jurisprudencial, o Tribunal de Estrasburgo reconhecesse a existência de </w:t>
      </w:r>
      <w:r w:rsidRPr="00D5464D">
        <w:rPr>
          <w:rFonts w:eastAsia="Cambria" w:cs="System Font Regular"/>
          <w:i/>
          <w:color w:val="16191F"/>
          <w:szCs w:val="20"/>
          <w:lang w:val="pt-BR"/>
        </w:rPr>
        <w:t>problemas estruturais e sistêmicos</w:t>
      </w:r>
      <w:r w:rsidRPr="00D5464D">
        <w:rPr>
          <w:rFonts w:eastAsia="Cambria" w:cs="System Font Regular"/>
          <w:color w:val="16191F"/>
          <w:szCs w:val="20"/>
          <w:lang w:val="pt-BR"/>
        </w:rPr>
        <w:t xml:space="preserve"> em relação a outros direitos protegidos pela Convenção de Roma e, deste modo, ordenasse a implementação de medidas positivas para garantir os direitos protegidos na Convenção Europeia.</w:t>
      </w:r>
      <w:r w:rsidRPr="00D5464D">
        <w:rPr>
          <w:rFonts w:eastAsia="Cambria" w:cs="Times New Roman"/>
          <w:color w:val="16191F"/>
          <w:szCs w:val="20"/>
          <w:vertAlign w:val="superscript"/>
          <w:lang w:val="pt-BR"/>
        </w:rPr>
        <w:footnoteReference w:id="620"/>
      </w:r>
      <w:r w:rsidRPr="00D5464D">
        <w:rPr>
          <w:rFonts w:eastAsia="Cambria" w:cs="System Font Regular"/>
          <w:color w:val="16191F"/>
          <w:szCs w:val="20"/>
          <w:lang w:val="pt-BR"/>
        </w:rPr>
        <w:t xml:space="preserve"> </w:t>
      </w:r>
    </w:p>
    <w:p w14:paraId="72A34C0C" w14:textId="77777777" w:rsidR="00F16338" w:rsidRPr="00D5464D" w:rsidRDefault="00F16338" w:rsidP="00F16338">
      <w:pPr>
        <w:tabs>
          <w:tab w:val="clear" w:pos="4419"/>
          <w:tab w:val="clear" w:pos="8838"/>
        </w:tabs>
        <w:jc w:val="both"/>
        <w:rPr>
          <w:rFonts w:eastAsia="Cambria" w:cs="System Font Regular"/>
          <w:i/>
          <w:color w:val="16191F"/>
          <w:szCs w:val="20"/>
          <w:lang w:val="pt-BR"/>
        </w:rPr>
      </w:pPr>
    </w:p>
    <w:p w14:paraId="7DA967A9" w14:textId="77777777" w:rsidR="00F16338" w:rsidRPr="00D5464D" w:rsidRDefault="00F16338" w:rsidP="00F306D7">
      <w:pPr>
        <w:numPr>
          <w:ilvl w:val="0"/>
          <w:numId w:val="26"/>
        </w:numPr>
        <w:tabs>
          <w:tab w:val="clear" w:pos="4419"/>
          <w:tab w:val="clear" w:pos="8838"/>
        </w:tabs>
        <w:jc w:val="both"/>
        <w:rPr>
          <w:rFonts w:eastAsia="Cambria" w:cs="System Font Regular"/>
          <w:i/>
          <w:color w:val="16191F"/>
          <w:szCs w:val="20"/>
          <w:lang w:val="pt-BR"/>
        </w:rPr>
      </w:pPr>
      <w:r w:rsidRPr="00D5464D">
        <w:rPr>
          <w:rFonts w:eastAsia="Cambria" w:cs="System Font Regular"/>
          <w:color w:val="16191F"/>
          <w:szCs w:val="20"/>
          <w:lang w:val="pt-BR"/>
        </w:rPr>
        <w:t>O</w:t>
      </w:r>
      <w:r w:rsidRPr="00D5464D">
        <w:rPr>
          <w:rFonts w:eastAsia="Cambria" w:cs="System Font Regular"/>
          <w:i/>
          <w:color w:val="16191F"/>
          <w:szCs w:val="20"/>
          <w:lang w:val="pt-BR"/>
        </w:rPr>
        <w:t xml:space="preserve"> </w:t>
      </w:r>
      <w:r w:rsidRPr="00D5464D">
        <w:rPr>
          <w:rFonts w:eastAsia="Cambria" w:cs="System Font Regular"/>
          <w:color w:val="16191F"/>
          <w:szCs w:val="20"/>
          <w:lang w:val="pt-BR"/>
        </w:rPr>
        <w:t xml:space="preserve">reconhecimento dos problemas estruturais e sistêmicos na jurisprudência europeia foi feito através das denominadas </w:t>
      </w:r>
      <w:r w:rsidRPr="00D5464D">
        <w:rPr>
          <w:rFonts w:eastAsia="Cambria" w:cs="System Font Regular"/>
          <w:i/>
          <w:color w:val="16191F"/>
          <w:szCs w:val="20"/>
          <w:lang w:val="pt-BR"/>
        </w:rPr>
        <w:t>sentenças piloto.</w:t>
      </w:r>
      <w:r w:rsidRPr="00D5464D">
        <w:rPr>
          <w:rFonts w:eastAsia="Cambria" w:cs="Times New Roman"/>
          <w:color w:val="16191F"/>
          <w:szCs w:val="20"/>
          <w:vertAlign w:val="superscript"/>
          <w:lang w:val="pt-BR"/>
        </w:rPr>
        <w:footnoteReference w:id="621"/>
      </w:r>
      <w:r w:rsidRPr="00D5464D">
        <w:rPr>
          <w:rFonts w:eastAsia="Cambria" w:cs="System Font Regular"/>
          <w:color w:val="16191F"/>
          <w:szCs w:val="20"/>
          <w:lang w:val="pt-BR"/>
        </w:rPr>
        <w:t xml:space="preserve"> Desta maneira, as sentenças piloto são aquelas adotadas pelo Tribunal Europeu contra o Estado envolvido </w:t>
      </w:r>
      <w:r w:rsidRPr="00D5464D">
        <w:rPr>
          <w:rFonts w:eastAsia="Cambria" w:cs="Times New Roman"/>
          <w:szCs w:val="20"/>
          <w:lang w:val="pt-BR"/>
        </w:rPr>
        <w:t>—</w:t>
      </w:r>
      <w:r w:rsidRPr="00D5464D">
        <w:rPr>
          <w:rFonts w:eastAsia="Cambria" w:cs="System Font Regular"/>
          <w:color w:val="16191F"/>
          <w:szCs w:val="20"/>
          <w:lang w:val="pt-BR"/>
        </w:rPr>
        <w:t>derivada da acumulação de diversos casos que apresentam características similares</w:t>
      </w:r>
      <w:r w:rsidRPr="00D5464D">
        <w:rPr>
          <w:rFonts w:eastAsia="Cambria" w:cs="Times New Roman"/>
          <w:szCs w:val="20"/>
          <w:lang w:val="pt-BR"/>
        </w:rPr>
        <w:t>—</w:t>
      </w:r>
      <w:r w:rsidRPr="00D5464D">
        <w:rPr>
          <w:rFonts w:eastAsia="Cambria" w:cs="System Font Regular"/>
          <w:color w:val="16191F"/>
          <w:szCs w:val="20"/>
          <w:lang w:val="pt-BR"/>
        </w:rPr>
        <w:t xml:space="preserve"> obrigando-o a adotar leis internas (medidas gerais) que corrijam um </w:t>
      </w:r>
      <w:r w:rsidRPr="00D5464D">
        <w:rPr>
          <w:rFonts w:eastAsia="Cambria" w:cs="System Font Regular"/>
          <w:i/>
          <w:color w:val="16191F"/>
          <w:szCs w:val="20"/>
          <w:lang w:val="pt-BR"/>
        </w:rPr>
        <w:t xml:space="preserve">problema estrutural </w:t>
      </w:r>
      <w:r w:rsidRPr="00D5464D">
        <w:rPr>
          <w:rFonts w:eastAsia="Cambria" w:cs="System Font Regular"/>
          <w:color w:val="16191F"/>
          <w:szCs w:val="20"/>
          <w:lang w:val="pt-BR"/>
        </w:rPr>
        <w:t xml:space="preserve">o qual, precisamente, origina a violação da Convenção Europeia. Desta feita, neste tipo de casos, o TEDH constata a existência de um problema sistêmico, suspende os processos sobre casos idênticos </w:t>
      </w:r>
      <w:r w:rsidRPr="00D5464D">
        <w:rPr>
          <w:rFonts w:eastAsia="Cambria" w:cs="Times New Roman"/>
          <w:szCs w:val="20"/>
          <w:lang w:val="pt-BR"/>
        </w:rPr>
        <w:t>—</w:t>
      </w:r>
      <w:r w:rsidRPr="00D5464D">
        <w:rPr>
          <w:rFonts w:eastAsia="Cambria" w:cs="System Font Regular"/>
          <w:color w:val="16191F"/>
          <w:szCs w:val="20"/>
          <w:lang w:val="pt-BR"/>
        </w:rPr>
        <w:t>efeito dominó</w:t>
      </w:r>
      <w:r w:rsidRPr="00D5464D">
        <w:rPr>
          <w:rFonts w:eastAsia="Cambria" w:cs="Times New Roman"/>
          <w:szCs w:val="20"/>
          <w:lang w:val="pt-BR"/>
        </w:rPr>
        <w:t>—</w:t>
      </w:r>
      <w:r w:rsidRPr="00D5464D">
        <w:rPr>
          <w:rFonts w:eastAsia="Cambria" w:cs="System Font Regular"/>
          <w:color w:val="16191F"/>
          <w:szCs w:val="20"/>
          <w:lang w:val="pt-BR"/>
        </w:rPr>
        <w:t xml:space="preserve"> e exige do Estado a adoção de medidas gerais. O demandante (caso piloto) e todos os indivíduos afetados pelo problema estrutural terão seus processos suspensos até que o Estado adote tais  medidas.</w:t>
      </w:r>
      <w:r w:rsidRPr="00D5464D">
        <w:rPr>
          <w:rFonts w:eastAsia="Cambria" w:cs="Times New Roman"/>
          <w:color w:val="16191F"/>
          <w:szCs w:val="20"/>
          <w:vertAlign w:val="superscript"/>
          <w:lang w:val="pt-BR"/>
        </w:rPr>
        <w:footnoteReference w:id="622"/>
      </w:r>
      <w:r w:rsidRPr="00D5464D">
        <w:rPr>
          <w:rFonts w:eastAsia="Cambria" w:cs="System Font Regular"/>
          <w:color w:val="16191F"/>
          <w:szCs w:val="20"/>
          <w:lang w:val="pt-BR"/>
        </w:rPr>
        <w:t xml:space="preserve"> </w:t>
      </w:r>
    </w:p>
    <w:p w14:paraId="66FAAF9C" w14:textId="77777777" w:rsidR="00F16338" w:rsidRPr="00D5464D" w:rsidRDefault="00F16338" w:rsidP="00F16338">
      <w:pPr>
        <w:tabs>
          <w:tab w:val="clear" w:pos="4419"/>
          <w:tab w:val="clear" w:pos="8838"/>
        </w:tabs>
        <w:jc w:val="both"/>
        <w:rPr>
          <w:rFonts w:eastAsia="Cambria" w:cs="Times"/>
          <w:iCs/>
          <w:szCs w:val="20"/>
          <w:lang w:val="pt-BR"/>
        </w:rPr>
      </w:pPr>
    </w:p>
    <w:p w14:paraId="3A2FDF32" w14:textId="77777777" w:rsidR="00F16338" w:rsidRPr="00D5464D" w:rsidRDefault="00F16338" w:rsidP="00F306D7">
      <w:pPr>
        <w:numPr>
          <w:ilvl w:val="0"/>
          <w:numId w:val="26"/>
        </w:numPr>
        <w:tabs>
          <w:tab w:val="clear" w:pos="4419"/>
          <w:tab w:val="clear" w:pos="8838"/>
        </w:tabs>
        <w:jc w:val="both"/>
        <w:rPr>
          <w:rFonts w:eastAsia="Cambria" w:cs="Times"/>
          <w:iCs/>
          <w:szCs w:val="20"/>
          <w:lang w:val="pt-BR"/>
        </w:rPr>
      </w:pPr>
      <w:r w:rsidRPr="00D5464D">
        <w:rPr>
          <w:rFonts w:eastAsia="Cambria" w:cs="System Font Regular"/>
          <w:color w:val="16191F"/>
          <w:szCs w:val="20"/>
          <w:lang w:val="pt-BR"/>
        </w:rPr>
        <w:t xml:space="preserve">O </w:t>
      </w:r>
      <w:r w:rsidRPr="00D5464D">
        <w:rPr>
          <w:rFonts w:eastAsia="Cambria" w:cs="System Font Regular"/>
          <w:i/>
          <w:color w:val="16191F"/>
          <w:szCs w:val="20"/>
          <w:lang w:val="pt-BR"/>
        </w:rPr>
        <w:t>leading case</w:t>
      </w:r>
      <w:r w:rsidRPr="00D5464D">
        <w:rPr>
          <w:rFonts w:eastAsia="Cambria" w:cs="System Font Regular"/>
          <w:color w:val="16191F"/>
          <w:szCs w:val="20"/>
          <w:lang w:val="pt-BR"/>
        </w:rPr>
        <w:t xml:space="preserve"> do TEDH para as sentenças piloto foi o caso </w:t>
      </w:r>
      <w:r w:rsidRPr="00D5464D">
        <w:rPr>
          <w:rFonts w:eastAsia="Cambria" w:cs="Times"/>
          <w:i/>
          <w:iCs/>
          <w:szCs w:val="20"/>
          <w:lang w:val="pt-BR"/>
        </w:rPr>
        <w:t xml:space="preserve">Broniowski Vs. Polônia, </w:t>
      </w:r>
      <w:r w:rsidRPr="00D5464D">
        <w:rPr>
          <w:rFonts w:eastAsia="Cambria" w:cs="Times"/>
          <w:iCs/>
          <w:szCs w:val="20"/>
          <w:lang w:val="pt-BR"/>
        </w:rPr>
        <w:t>de 2004,</w:t>
      </w:r>
      <w:r w:rsidRPr="00D5464D">
        <w:rPr>
          <w:rFonts w:eastAsia="Cambria" w:cs="Times"/>
          <w:i/>
          <w:iCs/>
          <w:szCs w:val="20"/>
          <w:lang w:val="pt-BR"/>
        </w:rPr>
        <w:t xml:space="preserve"> </w:t>
      </w:r>
      <w:r w:rsidRPr="00D5464D">
        <w:rPr>
          <w:rFonts w:eastAsia="Cambria" w:cs="Times"/>
          <w:iCs/>
          <w:szCs w:val="20"/>
          <w:lang w:val="pt-BR"/>
        </w:rPr>
        <w:t>sobre o direito de propriedade</w:t>
      </w:r>
      <w:r w:rsidRPr="00D5464D">
        <w:rPr>
          <w:rFonts w:eastAsia="Cambria" w:cs="Times"/>
          <w:i/>
          <w:iCs/>
          <w:szCs w:val="20"/>
          <w:lang w:val="pt-BR"/>
        </w:rPr>
        <w:t xml:space="preserve"> </w:t>
      </w:r>
      <w:r w:rsidRPr="00D5464D">
        <w:rPr>
          <w:rFonts w:eastAsia="Cambria" w:cs="Times"/>
          <w:iCs/>
          <w:szCs w:val="20"/>
          <w:lang w:val="pt-BR"/>
        </w:rPr>
        <w:t xml:space="preserve">(violação ao artigo 1º do Protocolo 1 da CEDH). Naquela oportunidade, a Corte Europeia considerou, na análise do artigo 46, que, segundo as conclusões do Tribunal, a violação do direito à propriedade naquele caso havia tido origem em um problema generalizado, que foi resultado do mal funcionamento da legislação polonesa, da prática administrativa e havia afetado um grande número de pessoas; a </w:t>
      </w:r>
      <w:r w:rsidRPr="00D5464D">
        <w:rPr>
          <w:rFonts w:eastAsia="Cambria" w:cs="Arial"/>
          <w:color w:val="000000"/>
          <w:szCs w:val="20"/>
          <w:lang w:val="pt-BR"/>
        </w:rPr>
        <w:t>afetação aos bens naquele caso não havia sido motivada por um incidente isolado; pelo contrário, o problema no caso havia sido consequência da conduta administrativa e normativa por parte das autoridades contra uma classe específica de cidadãos (em concreto, os cidadãos que reclamavam seu direito à propriedade eram provenientes das proximidades do Rio Bug). Desta maneira, o TEDH considerou que a existência e a natureza sistêmica do problema, que já havia sido reconhecido pelas autoridades judiciais polonesas como uma “disfunção sistêmica inadmissível”,</w:t>
      </w:r>
      <w:r w:rsidRPr="00D5464D">
        <w:rPr>
          <w:rFonts w:eastAsia="Cambria" w:cs="Arial"/>
          <w:i/>
          <w:color w:val="000000"/>
          <w:szCs w:val="20"/>
          <w:lang w:val="pt-BR"/>
        </w:rPr>
        <w:t xml:space="preserve"> </w:t>
      </w:r>
      <w:r w:rsidRPr="00D5464D">
        <w:rPr>
          <w:rFonts w:eastAsia="Cambria" w:cs="Arial"/>
          <w:color w:val="000000"/>
          <w:szCs w:val="20"/>
          <w:lang w:val="pt-BR"/>
        </w:rPr>
        <w:t>gerou a negação do desfrute pacífico de seus bens a toda uma classe específica de cidadãos, ao que também deveriam se somar as deficiências na legislação nacional e as práticas identificadas no caso individual.</w:t>
      </w:r>
      <w:r w:rsidRPr="00D5464D">
        <w:rPr>
          <w:rFonts w:eastAsia="Cambria" w:cs="Times New Roman"/>
          <w:color w:val="000000"/>
          <w:szCs w:val="20"/>
          <w:vertAlign w:val="superscript"/>
          <w:lang w:val="pt-BR"/>
        </w:rPr>
        <w:footnoteReference w:id="623"/>
      </w:r>
      <w:r w:rsidRPr="00D5464D">
        <w:rPr>
          <w:rFonts w:eastAsia="Cambria" w:cs="Arial"/>
          <w:color w:val="000000"/>
          <w:szCs w:val="20"/>
          <w:lang w:val="pt-BR"/>
        </w:rPr>
        <w:t xml:space="preserve"> </w:t>
      </w:r>
    </w:p>
    <w:p w14:paraId="59924DBD" w14:textId="77777777" w:rsidR="00F16338" w:rsidRPr="00D5464D" w:rsidRDefault="00F16338" w:rsidP="00F16338">
      <w:pPr>
        <w:tabs>
          <w:tab w:val="clear" w:pos="4419"/>
          <w:tab w:val="clear" w:pos="8838"/>
        </w:tabs>
        <w:jc w:val="both"/>
        <w:rPr>
          <w:rFonts w:eastAsia="Cambria" w:cs="System Font Regular"/>
          <w:i/>
          <w:color w:val="16191F"/>
          <w:szCs w:val="20"/>
          <w:lang w:val="pt-BR"/>
        </w:rPr>
      </w:pPr>
    </w:p>
    <w:p w14:paraId="5CBD3DED" w14:textId="77777777" w:rsidR="00F16338" w:rsidRPr="00D5464D" w:rsidRDefault="00F16338" w:rsidP="00F306D7">
      <w:pPr>
        <w:numPr>
          <w:ilvl w:val="0"/>
          <w:numId w:val="26"/>
        </w:numPr>
        <w:tabs>
          <w:tab w:val="clear" w:pos="4419"/>
          <w:tab w:val="clear" w:pos="8838"/>
        </w:tabs>
        <w:jc w:val="both"/>
        <w:rPr>
          <w:rFonts w:eastAsia="Cambria" w:cs="System Font Regular"/>
          <w:i/>
          <w:color w:val="16191F"/>
          <w:szCs w:val="20"/>
          <w:lang w:val="pt-BR"/>
        </w:rPr>
      </w:pPr>
      <w:r w:rsidRPr="00D5464D">
        <w:rPr>
          <w:rFonts w:eastAsia="Cambria" w:cs="Times"/>
          <w:iCs/>
          <w:szCs w:val="20"/>
          <w:lang w:val="pt-BR"/>
        </w:rPr>
        <w:t>As sentenças piloto, como mecanismo de correção e reconhecimento de  problemas estruturais e sistêmicos dentro dos Estados parte da Convenção Europeia, não foi uma prática isolada em 2004, mas tem sido reiterada até 2016;</w:t>
      </w:r>
      <w:r w:rsidRPr="00D5464D">
        <w:rPr>
          <w:rFonts w:eastAsia="Cambria" w:cs="Times New Roman"/>
          <w:iCs/>
          <w:szCs w:val="20"/>
          <w:vertAlign w:val="superscript"/>
          <w:lang w:val="pt-BR"/>
        </w:rPr>
        <w:footnoteReference w:id="624"/>
      </w:r>
      <w:r w:rsidRPr="00D5464D">
        <w:rPr>
          <w:rFonts w:eastAsia="Cambria" w:cs="Times"/>
          <w:iCs/>
          <w:szCs w:val="20"/>
          <w:lang w:val="pt-BR"/>
        </w:rPr>
        <w:t xml:space="preserve"> abarcando temas como: i) prazos excessivos nos procedimentos internos; ii) a exclusão do direito ao voto de pessoas privadas da liberdade; iii) a falta de regularização da condição de residente de pessoas que haviam sido eliminadas ilegalmente do registro de residentes permanentes; iv) condições desumanas e degradantes de detenção; v) atraso injustificado na execução de decisões judiciais internas; e vi) </w:t>
      </w:r>
      <w:r w:rsidRPr="00D5464D">
        <w:rPr>
          <w:rFonts w:eastAsia="Cambria" w:cs="System Font Regular"/>
          <w:color w:val="16191F"/>
          <w:szCs w:val="20"/>
          <w:lang w:val="pt-BR"/>
        </w:rPr>
        <w:t>violações relacionadas ao direito à propriedade.</w:t>
      </w:r>
      <w:r w:rsidRPr="00D5464D">
        <w:rPr>
          <w:rFonts w:eastAsia="Cambria" w:cs="Times"/>
          <w:i/>
          <w:iCs/>
          <w:sz w:val="16"/>
          <w:szCs w:val="16"/>
          <w:lang w:val="pt-BR"/>
        </w:rPr>
        <w:t xml:space="preserve"> </w:t>
      </w:r>
    </w:p>
    <w:p w14:paraId="62FD8703" w14:textId="77777777" w:rsidR="00F16338" w:rsidRPr="00D5464D" w:rsidRDefault="00F16338" w:rsidP="00F16338">
      <w:pPr>
        <w:tabs>
          <w:tab w:val="clear" w:pos="4419"/>
          <w:tab w:val="clear" w:pos="8838"/>
        </w:tabs>
        <w:jc w:val="both"/>
        <w:rPr>
          <w:rFonts w:eastAsia="Cambria" w:cs="System Font Regular"/>
          <w:i/>
          <w:color w:val="16191F"/>
          <w:szCs w:val="20"/>
          <w:lang w:val="pt-BR"/>
        </w:rPr>
      </w:pPr>
    </w:p>
    <w:p w14:paraId="333156BB" w14:textId="77777777" w:rsidR="00F16338" w:rsidRPr="00D5464D" w:rsidRDefault="00F16338" w:rsidP="00F16338">
      <w:pPr>
        <w:tabs>
          <w:tab w:val="clear" w:pos="4419"/>
          <w:tab w:val="clear" w:pos="8838"/>
        </w:tabs>
        <w:jc w:val="both"/>
        <w:rPr>
          <w:rFonts w:eastAsia="Cambria" w:cs="System Font Regular"/>
          <w:i/>
          <w:color w:val="16191F"/>
          <w:szCs w:val="20"/>
          <w:lang w:val="pt-BR"/>
        </w:rPr>
      </w:pPr>
      <w:r w:rsidRPr="00D5464D">
        <w:rPr>
          <w:rFonts w:eastAsia="Cambria" w:cs="System Font Regular"/>
          <w:i/>
          <w:color w:val="16191F"/>
          <w:szCs w:val="20"/>
          <w:lang w:val="pt-BR"/>
        </w:rPr>
        <w:t>ii) Sistema Universal de Direitos Humanos</w:t>
      </w:r>
    </w:p>
    <w:p w14:paraId="06D91935" w14:textId="77777777" w:rsidR="00F16338" w:rsidRPr="00D5464D" w:rsidRDefault="00F16338" w:rsidP="00F16338">
      <w:pPr>
        <w:tabs>
          <w:tab w:val="clear" w:pos="4419"/>
          <w:tab w:val="clear" w:pos="8838"/>
        </w:tabs>
        <w:jc w:val="both"/>
        <w:rPr>
          <w:rFonts w:eastAsia="Cambria" w:cs="System Font Regular"/>
          <w:i/>
          <w:color w:val="16191F"/>
          <w:szCs w:val="20"/>
          <w:lang w:val="pt-BR"/>
        </w:rPr>
      </w:pPr>
    </w:p>
    <w:p w14:paraId="51A8AE7D" w14:textId="77777777" w:rsidR="00F16338" w:rsidRPr="00D5464D" w:rsidRDefault="00F16338" w:rsidP="00F306D7">
      <w:pPr>
        <w:numPr>
          <w:ilvl w:val="0"/>
          <w:numId w:val="26"/>
        </w:numPr>
        <w:tabs>
          <w:tab w:val="clear" w:pos="4419"/>
          <w:tab w:val="clear" w:pos="8838"/>
        </w:tabs>
        <w:jc w:val="both"/>
        <w:rPr>
          <w:rFonts w:eastAsia="Cambria" w:cs="System Font Regular"/>
          <w:i/>
          <w:color w:val="16191F"/>
          <w:szCs w:val="20"/>
          <w:lang w:val="pt-BR"/>
        </w:rPr>
      </w:pPr>
      <w:r w:rsidRPr="00D5464D">
        <w:rPr>
          <w:rFonts w:eastAsia="Cambria" w:cs="System Font Regular"/>
          <w:i/>
          <w:color w:val="16191F"/>
          <w:szCs w:val="20"/>
          <w:lang w:val="pt-BR"/>
        </w:rPr>
        <w:t xml:space="preserve">O </w:t>
      </w:r>
      <w:r w:rsidRPr="00D5464D">
        <w:rPr>
          <w:rFonts w:eastAsia="Cambria" w:cs="System Font Regular"/>
          <w:color w:val="16191F"/>
          <w:szCs w:val="20"/>
          <w:lang w:val="pt-BR"/>
        </w:rPr>
        <w:t xml:space="preserve">Comitê de DESC, em sua </w:t>
      </w:r>
      <w:r w:rsidRPr="00D5464D">
        <w:rPr>
          <w:rFonts w:eastAsia="Cambria" w:cs="Times New Roman"/>
          <w:szCs w:val="20"/>
          <w:lang w:val="pt-BR"/>
        </w:rPr>
        <w:t xml:space="preserve">Observação Geral nº 20, </w:t>
      </w:r>
      <w:r w:rsidRPr="00D5464D">
        <w:rPr>
          <w:rFonts w:eastAsia="Cambria" w:cs="Times New Roman"/>
          <w:i/>
          <w:szCs w:val="20"/>
          <w:lang w:val="pt-BR"/>
        </w:rPr>
        <w:t>sobre a não discriminação e os direitos econômicos, sociais e culturais</w:t>
      </w:r>
      <w:r w:rsidRPr="00D5464D">
        <w:rPr>
          <w:rFonts w:eastAsia="Cambria" w:cs="System Font Regular"/>
          <w:color w:val="16191F"/>
          <w:szCs w:val="20"/>
          <w:lang w:val="pt-BR"/>
        </w:rPr>
        <w:t xml:space="preserve"> (2009), considerou que: </w:t>
      </w:r>
    </w:p>
    <w:p w14:paraId="4F3AE001" w14:textId="77777777" w:rsidR="00F16338" w:rsidRPr="00D5464D" w:rsidRDefault="00F16338" w:rsidP="00F16338">
      <w:pPr>
        <w:tabs>
          <w:tab w:val="clear" w:pos="4419"/>
          <w:tab w:val="clear" w:pos="8838"/>
        </w:tabs>
        <w:ind w:left="708"/>
        <w:jc w:val="both"/>
        <w:rPr>
          <w:rFonts w:eastAsia="Cambria" w:cs="Times"/>
          <w:sz w:val="32"/>
          <w:szCs w:val="32"/>
          <w:lang w:val="pt-BR"/>
        </w:rPr>
      </w:pPr>
    </w:p>
    <w:p w14:paraId="20B0641A" w14:textId="77777777" w:rsidR="00F16338" w:rsidRPr="00D5464D" w:rsidRDefault="00F16338" w:rsidP="00F16338">
      <w:pPr>
        <w:tabs>
          <w:tab w:val="clear" w:pos="4419"/>
          <w:tab w:val="clear" w:pos="8838"/>
        </w:tabs>
        <w:ind w:left="708"/>
        <w:jc w:val="both"/>
        <w:rPr>
          <w:rFonts w:eastAsia="Cambria" w:cs="Times"/>
          <w:i/>
          <w:sz w:val="16"/>
          <w:szCs w:val="16"/>
          <w:lang w:val="pt-BR"/>
        </w:rPr>
      </w:pPr>
      <w:r w:rsidRPr="00D5464D">
        <w:rPr>
          <w:rFonts w:eastAsia="Cambria" w:cs="Times"/>
          <w:i/>
          <w:sz w:val="16"/>
          <w:szCs w:val="16"/>
          <w:lang w:val="pt-BR"/>
        </w:rPr>
        <w:t>40. Nos planos, políticas, estratégias e legislação nacionais deve-se prever o estabelecimento de mecanismos e instituições que abordem, de maneira eficaz, o caráter individual e estrutural do dano causado pela discriminação na esfera dos direitos econômicos, sociais e culturais […].</w:t>
      </w:r>
      <w:r w:rsidRPr="00D5464D">
        <w:rPr>
          <w:rFonts w:eastAsia="Cambria" w:cs="Times New Roman"/>
          <w:sz w:val="16"/>
          <w:szCs w:val="20"/>
          <w:vertAlign w:val="superscript"/>
          <w:lang w:val="pt-BR"/>
        </w:rPr>
        <w:footnoteReference w:id="625"/>
      </w:r>
      <w:r w:rsidRPr="00D5464D">
        <w:rPr>
          <w:rFonts w:eastAsia="Cambria" w:cs="Times"/>
          <w:i/>
          <w:sz w:val="16"/>
          <w:szCs w:val="16"/>
          <w:lang w:val="pt-BR"/>
        </w:rPr>
        <w:t xml:space="preserve"> </w:t>
      </w:r>
    </w:p>
    <w:p w14:paraId="29FCF5D7" w14:textId="77777777" w:rsidR="00F16338" w:rsidRPr="00D5464D" w:rsidRDefault="00F16338" w:rsidP="00F16338">
      <w:pPr>
        <w:tabs>
          <w:tab w:val="clear" w:pos="4419"/>
          <w:tab w:val="clear" w:pos="8838"/>
        </w:tabs>
        <w:ind w:left="708"/>
        <w:jc w:val="both"/>
        <w:rPr>
          <w:rFonts w:eastAsia="Cambria" w:cs="Times"/>
          <w:i/>
          <w:szCs w:val="20"/>
          <w:lang w:val="pt-BR"/>
        </w:rPr>
      </w:pPr>
    </w:p>
    <w:p w14:paraId="686FFC04" w14:textId="77777777" w:rsidR="00F16338" w:rsidRPr="00D5464D" w:rsidRDefault="00F16338" w:rsidP="00F306D7">
      <w:pPr>
        <w:widowControl w:val="0"/>
        <w:numPr>
          <w:ilvl w:val="0"/>
          <w:numId w:val="26"/>
        </w:numPr>
        <w:tabs>
          <w:tab w:val="clear" w:pos="4419"/>
          <w:tab w:val="clear" w:pos="8838"/>
        </w:tabs>
        <w:autoSpaceDE w:val="0"/>
        <w:autoSpaceDN w:val="0"/>
        <w:adjustRightInd w:val="0"/>
        <w:contextualSpacing/>
        <w:jc w:val="both"/>
        <w:rPr>
          <w:rFonts w:eastAsia="Cambria" w:cs="Times"/>
          <w:szCs w:val="20"/>
          <w:lang w:val="pt-BR"/>
        </w:rPr>
      </w:pPr>
      <w:r w:rsidRPr="00D5464D">
        <w:rPr>
          <w:rFonts w:eastAsia="Cambria" w:cs="Times"/>
          <w:szCs w:val="20"/>
          <w:lang w:val="pt-BR"/>
        </w:rPr>
        <w:t xml:space="preserve">Por sua vez, o Comitê para a Eliminação da Violência contra a Mulher (2010), em sua </w:t>
      </w:r>
      <w:r w:rsidRPr="00D5464D">
        <w:rPr>
          <w:rFonts w:eastAsia="Cambria" w:cs="Times"/>
          <w:bCs/>
          <w:szCs w:val="20"/>
          <w:lang w:val="pt-BR"/>
        </w:rPr>
        <w:t>Recomendação Geral nº 28, relativa às obrigações básicas dos Estados partes</w:t>
      </w:r>
      <w:r w:rsidRPr="00D5464D">
        <w:rPr>
          <w:rFonts w:eastAsia="Cambria" w:cs="Times"/>
          <w:szCs w:val="20"/>
          <w:lang w:val="pt-BR"/>
        </w:rPr>
        <w:t xml:space="preserve">, expressou que: </w:t>
      </w:r>
    </w:p>
    <w:p w14:paraId="2B240729" w14:textId="77777777" w:rsidR="00F16338" w:rsidRPr="00D5464D" w:rsidRDefault="00F16338" w:rsidP="00F16338">
      <w:pPr>
        <w:widowControl w:val="0"/>
        <w:tabs>
          <w:tab w:val="clear" w:pos="4419"/>
          <w:tab w:val="clear" w:pos="8838"/>
        </w:tabs>
        <w:autoSpaceDE w:val="0"/>
        <w:autoSpaceDN w:val="0"/>
        <w:adjustRightInd w:val="0"/>
        <w:jc w:val="both"/>
        <w:rPr>
          <w:rFonts w:eastAsia="MS Mincho" w:cs="Times"/>
          <w:szCs w:val="20"/>
          <w:lang w:val="pt-BR" w:eastAsia="es-ES"/>
        </w:rPr>
      </w:pPr>
    </w:p>
    <w:p w14:paraId="20338457" w14:textId="77777777" w:rsidR="00F16338" w:rsidRPr="00D5464D" w:rsidRDefault="00F16338" w:rsidP="00F16338">
      <w:pPr>
        <w:widowControl w:val="0"/>
        <w:tabs>
          <w:tab w:val="clear" w:pos="4419"/>
          <w:tab w:val="clear" w:pos="8838"/>
        </w:tabs>
        <w:autoSpaceDE w:val="0"/>
        <w:autoSpaceDN w:val="0"/>
        <w:adjustRightInd w:val="0"/>
        <w:ind w:left="708"/>
        <w:jc w:val="both"/>
        <w:rPr>
          <w:rFonts w:eastAsia="MS Mincho" w:cs="Times"/>
          <w:i/>
          <w:sz w:val="16"/>
          <w:szCs w:val="16"/>
          <w:lang w:val="pt-BR" w:eastAsia="es-ES"/>
        </w:rPr>
      </w:pPr>
      <w:r w:rsidRPr="00D5464D">
        <w:rPr>
          <w:rFonts w:eastAsia="MS Mincho" w:cs="Times"/>
          <w:i/>
          <w:sz w:val="16"/>
          <w:szCs w:val="16"/>
          <w:lang w:val="pt-BR" w:eastAsia="es-ES"/>
        </w:rPr>
        <w:t xml:space="preserve">16. Os Estados parte têm a obrigação de respeitar, proteger e cumprir o direito de não discriminação da mulher e assegurar o desenvolvimento e o avanço da mulher a fim de melhorar sua situação e tornar efetivo seu direito à igualdade </w:t>
      </w:r>
      <w:r w:rsidRPr="00D5464D">
        <w:rPr>
          <w:rFonts w:eastAsia="MS Mincho" w:cs="Times"/>
          <w:iCs/>
          <w:sz w:val="16"/>
          <w:szCs w:val="16"/>
          <w:lang w:val="pt-BR" w:eastAsia="es-ES"/>
        </w:rPr>
        <w:t>de jure</w:t>
      </w:r>
      <w:r w:rsidRPr="00D5464D">
        <w:rPr>
          <w:rFonts w:eastAsia="MS Mincho" w:cs="Times"/>
          <w:i/>
          <w:iCs/>
          <w:sz w:val="16"/>
          <w:szCs w:val="16"/>
          <w:lang w:val="pt-BR" w:eastAsia="es-ES"/>
        </w:rPr>
        <w:t xml:space="preserve"> e </w:t>
      </w:r>
      <w:r w:rsidRPr="00D5464D">
        <w:rPr>
          <w:rFonts w:eastAsia="MS Mincho" w:cs="Times"/>
          <w:iCs/>
          <w:sz w:val="16"/>
          <w:szCs w:val="16"/>
          <w:lang w:val="pt-BR" w:eastAsia="es-ES"/>
        </w:rPr>
        <w:t>de facto</w:t>
      </w:r>
      <w:r w:rsidRPr="00D5464D">
        <w:rPr>
          <w:rFonts w:eastAsia="MS Mincho" w:cs="Times"/>
          <w:i/>
          <w:iCs/>
          <w:sz w:val="16"/>
          <w:szCs w:val="16"/>
          <w:lang w:val="pt-BR" w:eastAsia="es-ES"/>
        </w:rPr>
        <w:t>,</w:t>
      </w:r>
      <w:r w:rsidRPr="00D5464D">
        <w:rPr>
          <w:rFonts w:eastAsia="MS Mincho" w:cs="Times"/>
          <w:i/>
          <w:sz w:val="16"/>
          <w:szCs w:val="16"/>
          <w:lang w:val="pt-BR" w:eastAsia="es-ES"/>
        </w:rPr>
        <w:t xml:space="preserve"> ou substantiva com o homem. Os Estados parte deverão assegurar que não exista discriminação direta nem indireta contra a mulher. Entende-se como discriminação direta contra a mulher a que supõe um tratamento diferente fundado explicitamente nas diferenças de sexo e gênero. A discriminação indireta contra a mulher tem lugar quando uma lei, uma política, um programa ou uma prática parece ser neutra, porquanto se refere tanto aos homens como às mulheres, mas, na prática, tem um efeito discriminatório contra a mulher porque as desigualdades preexistentes não foram levadas em consideração na medida aparentemente neutra. Ademais, a discriminação indireta pode exacerbar as desigualdades existentes pela falta de reconhecimento dos padrões estruturais e históricos de discriminação e o desequilíbrio das relações de poder entre a mulher e o homem.</w:t>
      </w:r>
      <w:r w:rsidRPr="00D5464D">
        <w:rPr>
          <w:rFonts w:eastAsia="MS Mincho" w:cs="Times New Roman"/>
          <w:sz w:val="16"/>
          <w:szCs w:val="20"/>
          <w:vertAlign w:val="superscript"/>
          <w:lang w:val="pt-BR" w:eastAsia="es-ES"/>
        </w:rPr>
        <w:footnoteReference w:id="626"/>
      </w:r>
    </w:p>
    <w:p w14:paraId="7368CC47" w14:textId="77777777" w:rsidR="00F16338" w:rsidRPr="00D5464D" w:rsidRDefault="00F16338" w:rsidP="00F16338">
      <w:pPr>
        <w:widowControl w:val="0"/>
        <w:tabs>
          <w:tab w:val="clear" w:pos="4419"/>
          <w:tab w:val="clear" w:pos="8838"/>
        </w:tabs>
        <w:autoSpaceDE w:val="0"/>
        <w:autoSpaceDN w:val="0"/>
        <w:adjustRightInd w:val="0"/>
        <w:ind w:left="708"/>
        <w:jc w:val="both"/>
        <w:rPr>
          <w:rFonts w:eastAsia="MS Mincho" w:cs="Times"/>
          <w:i/>
          <w:szCs w:val="20"/>
          <w:lang w:val="pt-BR" w:eastAsia="es-ES"/>
        </w:rPr>
      </w:pPr>
    </w:p>
    <w:p w14:paraId="1671B55C" w14:textId="77777777" w:rsidR="00F16338" w:rsidRPr="00D5464D" w:rsidRDefault="00F16338" w:rsidP="00F306D7">
      <w:pPr>
        <w:numPr>
          <w:ilvl w:val="0"/>
          <w:numId w:val="26"/>
        </w:numPr>
        <w:tabs>
          <w:tab w:val="clear" w:pos="4419"/>
          <w:tab w:val="clear" w:pos="8838"/>
        </w:tabs>
        <w:jc w:val="both"/>
        <w:rPr>
          <w:rFonts w:eastAsia="Cambria" w:cs="System Font Regular"/>
          <w:i/>
          <w:color w:val="16191F"/>
          <w:szCs w:val="20"/>
          <w:lang w:val="pt-BR"/>
        </w:rPr>
      </w:pPr>
      <w:r w:rsidRPr="00D5464D">
        <w:rPr>
          <w:rFonts w:eastAsia="Cambria" w:cs="System Font Regular"/>
          <w:color w:val="16191F"/>
          <w:szCs w:val="20"/>
          <w:lang w:val="pt-BR"/>
        </w:rPr>
        <w:t xml:space="preserve">No que se refere ao Comitê para a Eliminação da Discriminação Racial, em sua </w:t>
      </w:r>
      <w:r w:rsidRPr="00D5464D">
        <w:rPr>
          <w:rFonts w:eastAsia="Cambria" w:cs="Times New Roman"/>
          <w:szCs w:val="20"/>
          <w:lang w:val="pt-BR"/>
        </w:rPr>
        <w:t xml:space="preserve">Recomendação Geral Nº 34, </w:t>
      </w:r>
      <w:r w:rsidRPr="00D5464D">
        <w:rPr>
          <w:rFonts w:eastAsia="Cambria" w:cs="Times New Roman"/>
          <w:i/>
          <w:szCs w:val="20"/>
          <w:lang w:val="pt-BR"/>
        </w:rPr>
        <w:t>sobre discriminação racial contra afrodescendentes</w:t>
      </w:r>
      <w:r w:rsidRPr="00D5464D">
        <w:rPr>
          <w:rFonts w:eastAsia="Cambria" w:cs="System Font Regular"/>
          <w:color w:val="16191F"/>
          <w:szCs w:val="20"/>
          <w:lang w:val="pt-BR"/>
        </w:rPr>
        <w:t xml:space="preserve"> (2011), entendeu que: </w:t>
      </w:r>
    </w:p>
    <w:p w14:paraId="23473DC0" w14:textId="77777777" w:rsidR="00F16338" w:rsidRPr="00D5464D" w:rsidRDefault="00F16338" w:rsidP="00F16338">
      <w:pPr>
        <w:tabs>
          <w:tab w:val="clear" w:pos="4419"/>
          <w:tab w:val="clear" w:pos="8838"/>
        </w:tabs>
        <w:jc w:val="both"/>
        <w:rPr>
          <w:rFonts w:eastAsia="Cambria" w:cs="System Font Regular"/>
          <w:i/>
          <w:color w:val="16191F"/>
          <w:sz w:val="16"/>
          <w:szCs w:val="16"/>
          <w:lang w:val="pt-BR"/>
        </w:rPr>
      </w:pPr>
    </w:p>
    <w:p w14:paraId="7F18B27B" w14:textId="77777777" w:rsidR="00F16338" w:rsidRPr="00D5464D" w:rsidRDefault="00F16338" w:rsidP="00F16338">
      <w:pPr>
        <w:tabs>
          <w:tab w:val="clear" w:pos="4419"/>
          <w:tab w:val="clear" w:pos="8838"/>
        </w:tabs>
        <w:ind w:left="708"/>
        <w:jc w:val="both"/>
        <w:rPr>
          <w:rFonts w:eastAsia="Cambria" w:cs="System Font Regular"/>
          <w:color w:val="16191F"/>
          <w:sz w:val="16"/>
          <w:szCs w:val="16"/>
          <w:lang w:val="pt-BR"/>
        </w:rPr>
      </w:pPr>
      <w:r w:rsidRPr="00D5464D">
        <w:rPr>
          <w:rFonts w:eastAsia="Cambria" w:cs="Times New Roman"/>
          <w:i/>
          <w:sz w:val="16"/>
          <w:szCs w:val="16"/>
          <w:lang w:val="pt-BR"/>
        </w:rPr>
        <w:t xml:space="preserve">6. O racismo e a discriminação estrutural contra afrodescendentes, </w:t>
      </w:r>
      <w:r w:rsidRPr="00D5464D">
        <w:rPr>
          <w:rFonts w:eastAsia="Cambria" w:cs="Times New Roman"/>
          <w:i/>
          <w:sz w:val="16"/>
          <w:szCs w:val="16"/>
          <w:u w:val="single"/>
          <w:lang w:val="pt-BR"/>
        </w:rPr>
        <w:t>enraizados no infame regime da escravidão,</w:t>
      </w:r>
      <w:r w:rsidRPr="00D5464D">
        <w:rPr>
          <w:rFonts w:eastAsia="Cambria" w:cs="Times New Roman"/>
          <w:i/>
          <w:sz w:val="16"/>
          <w:szCs w:val="16"/>
          <w:lang w:val="pt-BR"/>
        </w:rPr>
        <w:t xml:space="preserve"> manifestam-se em situações de desigualdade que afetam estas pessoas e que se refletem, entre outras coisas, no seguinte: o fato de que formem parte, juntamente com as populações indígenas, dos </w:t>
      </w:r>
      <w:r w:rsidRPr="00D5464D">
        <w:rPr>
          <w:rFonts w:eastAsia="Cambria" w:cs="Times New Roman"/>
          <w:i/>
          <w:sz w:val="16"/>
          <w:szCs w:val="16"/>
          <w:u w:val="single"/>
          <w:lang w:val="pt-BR"/>
        </w:rPr>
        <w:t>grupos mais pobres da população</w:t>
      </w:r>
      <w:r w:rsidRPr="00D5464D">
        <w:rPr>
          <w:rFonts w:eastAsia="Cambria" w:cs="Times New Roman"/>
          <w:i/>
          <w:sz w:val="16"/>
          <w:szCs w:val="16"/>
          <w:lang w:val="pt-BR"/>
        </w:rPr>
        <w:t xml:space="preserve">; suas baixas taxas de participação e representação nos processos políticos e institucionais de tomada de decisões; as dificuldades adicionais enfrentadas no acesso à educação, a qualidade desta e as possibilidades de completá-la, o que </w:t>
      </w:r>
      <w:r w:rsidRPr="00D5464D">
        <w:rPr>
          <w:rFonts w:eastAsia="Cambria" w:cs="Times New Roman"/>
          <w:i/>
          <w:sz w:val="16"/>
          <w:szCs w:val="16"/>
          <w:u w:val="single"/>
          <w:lang w:val="pt-BR"/>
        </w:rPr>
        <w:t>faz com que a pobreza se transmita de geração em geração</w:t>
      </w:r>
      <w:r w:rsidRPr="00D5464D">
        <w:rPr>
          <w:rFonts w:eastAsia="Cambria" w:cs="Times New Roman"/>
          <w:i/>
          <w:sz w:val="16"/>
          <w:szCs w:val="16"/>
          <w:lang w:val="pt-BR"/>
        </w:rPr>
        <w:t>; o acesso desigual ao mercado do trabalho; o limitado reconhecimento social e a escassa valorização de sua diversidade étnica e cultural, e sua desproporcional presença na população carcerária</w:t>
      </w:r>
      <w:r w:rsidRPr="00D5464D">
        <w:rPr>
          <w:rFonts w:eastAsia="Cambria" w:cs="System Font Regular"/>
          <w:i/>
          <w:color w:val="16191F"/>
          <w:sz w:val="16"/>
          <w:szCs w:val="16"/>
          <w:lang w:val="pt-BR"/>
        </w:rPr>
        <w:t>”.</w:t>
      </w:r>
      <w:r w:rsidRPr="00D5464D">
        <w:rPr>
          <w:rFonts w:eastAsia="Cambria" w:cs="Times New Roman"/>
          <w:color w:val="16191F"/>
          <w:sz w:val="16"/>
          <w:szCs w:val="16"/>
          <w:vertAlign w:val="superscript"/>
          <w:lang w:val="pt-BR"/>
        </w:rPr>
        <w:footnoteReference w:id="627"/>
      </w:r>
      <w:r w:rsidRPr="00D5464D">
        <w:rPr>
          <w:rFonts w:eastAsia="Cambria" w:cs="System Font Regular"/>
          <w:i/>
          <w:color w:val="16191F"/>
          <w:sz w:val="16"/>
          <w:szCs w:val="16"/>
          <w:lang w:val="pt-BR"/>
        </w:rPr>
        <w:t xml:space="preserve"> </w:t>
      </w:r>
      <w:r w:rsidRPr="00D5464D">
        <w:rPr>
          <w:rFonts w:eastAsia="Cambria" w:cs="System Font Regular"/>
          <w:color w:val="16191F"/>
          <w:sz w:val="16"/>
          <w:szCs w:val="16"/>
          <w:lang w:val="pt-BR"/>
        </w:rPr>
        <w:t>(Sem ênfase no original).</w:t>
      </w:r>
    </w:p>
    <w:p w14:paraId="718420AD" w14:textId="77777777" w:rsidR="00F16338" w:rsidRPr="00D5464D" w:rsidRDefault="00F16338" w:rsidP="00F16338">
      <w:pPr>
        <w:tabs>
          <w:tab w:val="clear" w:pos="4419"/>
          <w:tab w:val="clear" w:pos="8838"/>
        </w:tabs>
        <w:jc w:val="both"/>
        <w:rPr>
          <w:rFonts w:eastAsia="Cambria" w:cs="System Font Regular"/>
          <w:i/>
          <w:color w:val="16191F"/>
          <w:szCs w:val="20"/>
          <w:lang w:val="pt-BR"/>
        </w:rPr>
      </w:pPr>
    </w:p>
    <w:p w14:paraId="74E680C2" w14:textId="77777777" w:rsidR="00F16338" w:rsidRPr="00D5464D" w:rsidRDefault="00F16338" w:rsidP="00F306D7">
      <w:pPr>
        <w:numPr>
          <w:ilvl w:val="0"/>
          <w:numId w:val="26"/>
        </w:numPr>
        <w:tabs>
          <w:tab w:val="clear" w:pos="4419"/>
          <w:tab w:val="clear" w:pos="8838"/>
        </w:tabs>
        <w:jc w:val="both"/>
        <w:rPr>
          <w:rFonts w:eastAsia="Cambria" w:cs="System Font Regular"/>
          <w:i/>
          <w:color w:val="16191F"/>
          <w:szCs w:val="20"/>
          <w:lang w:val="pt-BR"/>
        </w:rPr>
      </w:pPr>
      <w:r w:rsidRPr="00D5464D">
        <w:rPr>
          <w:rFonts w:eastAsia="Cambria" w:cs="System Font Regular"/>
          <w:color w:val="16191F"/>
          <w:szCs w:val="20"/>
          <w:lang w:val="pt-BR"/>
        </w:rPr>
        <w:t xml:space="preserve">Finalmente, a definição mais completa sobre a discriminação estrutural ou sistêmica foi a recentemente apresentada pelo Comitê dos Direitos das Pessoas com Deficiência, em sua Observação Geral nº 3, sobre os direitos da mulher com deficiência. Nesse sentido, este Comitê entende que existe discriminação estrutural ou sistêmica quando: </w:t>
      </w:r>
    </w:p>
    <w:p w14:paraId="49E692AE" w14:textId="77777777" w:rsidR="00F16338" w:rsidRPr="00D5464D" w:rsidRDefault="00F16338" w:rsidP="00F16338">
      <w:pPr>
        <w:tabs>
          <w:tab w:val="clear" w:pos="4419"/>
          <w:tab w:val="clear" w:pos="8838"/>
        </w:tabs>
        <w:ind w:left="708"/>
        <w:jc w:val="both"/>
        <w:rPr>
          <w:rFonts w:eastAsia="Cambria" w:cs="Arial"/>
          <w:color w:val="191919"/>
          <w:szCs w:val="20"/>
          <w:lang w:val="pt-BR"/>
        </w:rPr>
      </w:pPr>
    </w:p>
    <w:p w14:paraId="2D95EEF6" w14:textId="77777777" w:rsidR="00F16338" w:rsidRPr="00D5464D" w:rsidRDefault="00F16338" w:rsidP="00F16338">
      <w:pPr>
        <w:tabs>
          <w:tab w:val="clear" w:pos="4419"/>
          <w:tab w:val="clear" w:pos="8838"/>
        </w:tabs>
        <w:ind w:left="708"/>
        <w:jc w:val="both"/>
        <w:rPr>
          <w:rFonts w:eastAsia="Cambria" w:cs="Arial"/>
          <w:i/>
          <w:color w:val="191919"/>
          <w:sz w:val="16"/>
          <w:szCs w:val="16"/>
          <w:lang w:val="pt-BR"/>
        </w:rPr>
      </w:pPr>
      <w:r w:rsidRPr="00D5464D">
        <w:rPr>
          <w:rFonts w:eastAsia="Cambria" w:cs="Arial"/>
          <w:i/>
          <w:color w:val="191919"/>
          <w:sz w:val="16"/>
          <w:szCs w:val="16"/>
          <w:lang w:val="pt-BR"/>
        </w:rPr>
        <w:t>17. e) a discriminação estrutural ou sistêmica oculta padrões claros de comportamento institucional discriminatório, tradições culturais discriminatórias, normas e/ou regras sociais, de gênero e os estereótipos preconceituosos que podem levar a tal discriminação, deficiência intrinsecamente ligada à falta de políticas, regulamentação e prestação de serviços especificamente para as mulheres com deficiência […].</w:t>
      </w:r>
      <w:r w:rsidRPr="00D5464D">
        <w:rPr>
          <w:rFonts w:eastAsia="Cambria" w:cs="Times New Roman"/>
          <w:sz w:val="16"/>
          <w:szCs w:val="20"/>
          <w:vertAlign w:val="superscript"/>
          <w:lang w:val="pt-BR"/>
        </w:rPr>
        <w:footnoteReference w:id="628"/>
      </w:r>
    </w:p>
    <w:p w14:paraId="6BFD0D5C" w14:textId="77777777" w:rsidR="00F16338" w:rsidRPr="00D5464D" w:rsidRDefault="00F16338" w:rsidP="00F16338">
      <w:pPr>
        <w:tabs>
          <w:tab w:val="clear" w:pos="4419"/>
          <w:tab w:val="clear" w:pos="8838"/>
        </w:tabs>
        <w:jc w:val="both"/>
        <w:rPr>
          <w:rFonts w:eastAsia="Cambria" w:cs="System Font Regular"/>
          <w:i/>
          <w:color w:val="16191F"/>
          <w:szCs w:val="20"/>
          <w:lang w:val="pt-BR"/>
        </w:rPr>
      </w:pPr>
    </w:p>
    <w:p w14:paraId="65F672E3" w14:textId="77777777" w:rsidR="00F16338" w:rsidRPr="00D5464D" w:rsidRDefault="00F16338" w:rsidP="00F306D7">
      <w:pPr>
        <w:numPr>
          <w:ilvl w:val="0"/>
          <w:numId w:val="26"/>
        </w:numPr>
        <w:tabs>
          <w:tab w:val="clear" w:pos="4419"/>
          <w:tab w:val="clear" w:pos="8838"/>
        </w:tabs>
        <w:jc w:val="both"/>
        <w:rPr>
          <w:rFonts w:eastAsia="Cambria" w:cs="System Font Regular"/>
          <w:i/>
          <w:color w:val="16191F"/>
          <w:szCs w:val="20"/>
          <w:lang w:val="pt-BR"/>
        </w:rPr>
      </w:pPr>
      <w:r w:rsidRPr="00D5464D">
        <w:rPr>
          <w:rFonts w:eastAsia="Cambria" w:cs="System Font Regular"/>
          <w:color w:val="16191F"/>
          <w:szCs w:val="20"/>
          <w:lang w:val="pt-BR"/>
        </w:rPr>
        <w:t>Sobre a existência de pobreza estrutural, o Relator Especial das Nações Unidas sobre o Direito à Alimentação, analisando a prestação de assistência social condicionada —para as quais deve-se satisfazer certos requisitos de elegibilidade— considerou que:</w:t>
      </w:r>
    </w:p>
    <w:p w14:paraId="3AA26108" w14:textId="77777777" w:rsidR="00F16338" w:rsidRPr="00D5464D" w:rsidRDefault="00F16338" w:rsidP="00F16338">
      <w:pPr>
        <w:tabs>
          <w:tab w:val="clear" w:pos="4419"/>
          <w:tab w:val="clear" w:pos="8838"/>
        </w:tabs>
        <w:jc w:val="both"/>
        <w:rPr>
          <w:rFonts w:eastAsia="Cambria" w:cs="System Font Regular"/>
          <w:i/>
          <w:color w:val="16191F"/>
          <w:szCs w:val="20"/>
          <w:lang w:val="pt-BR"/>
        </w:rPr>
      </w:pPr>
    </w:p>
    <w:p w14:paraId="02713F56" w14:textId="77777777" w:rsidR="00F16338" w:rsidRPr="00D5464D" w:rsidRDefault="00F16338" w:rsidP="00F16338">
      <w:pPr>
        <w:tabs>
          <w:tab w:val="clear" w:pos="4419"/>
          <w:tab w:val="clear" w:pos="8838"/>
        </w:tabs>
        <w:ind w:left="708"/>
        <w:jc w:val="both"/>
        <w:rPr>
          <w:rFonts w:eastAsia="Cambria" w:cs="Times"/>
          <w:i/>
          <w:sz w:val="16"/>
          <w:szCs w:val="16"/>
          <w:lang w:val="pt-BR"/>
        </w:rPr>
      </w:pPr>
      <w:r w:rsidRPr="00D5464D">
        <w:rPr>
          <w:rFonts w:eastAsia="Cambria" w:cs="Times"/>
          <w:i/>
          <w:sz w:val="16"/>
          <w:szCs w:val="16"/>
          <w:lang w:val="pt-BR"/>
        </w:rPr>
        <w:t>30. Os programas de assistência condicionada estão desenhados geralmente para fazer frente à pobreza estrutural, a longo prazo, mais que à diminuição da renda, especialmente se se prevê que essa diminuição será de curta duração; não são o instrumento ideal para fazer frente à pobreza conjuntural.</w:t>
      </w:r>
      <w:r w:rsidRPr="00D5464D">
        <w:rPr>
          <w:rFonts w:eastAsia="Cambria" w:cs="Times New Roman"/>
          <w:sz w:val="16"/>
          <w:szCs w:val="20"/>
          <w:vertAlign w:val="superscript"/>
          <w:lang w:val="pt-BR"/>
        </w:rPr>
        <w:footnoteReference w:id="629"/>
      </w:r>
      <w:r w:rsidRPr="00D5464D">
        <w:rPr>
          <w:rFonts w:eastAsia="Cambria" w:cs="Times"/>
          <w:i/>
          <w:sz w:val="16"/>
          <w:szCs w:val="16"/>
          <w:lang w:val="pt-BR"/>
        </w:rPr>
        <w:t xml:space="preserve"> </w:t>
      </w:r>
    </w:p>
    <w:p w14:paraId="4D976809" w14:textId="77777777" w:rsidR="00F16338" w:rsidRPr="00D5464D" w:rsidRDefault="00F16338" w:rsidP="00F16338">
      <w:pPr>
        <w:tabs>
          <w:tab w:val="clear" w:pos="4419"/>
          <w:tab w:val="clear" w:pos="8838"/>
        </w:tabs>
        <w:jc w:val="both"/>
        <w:rPr>
          <w:rFonts w:eastAsia="Cambria" w:cs="System Font Regular"/>
          <w:i/>
          <w:color w:val="16191F"/>
          <w:szCs w:val="20"/>
          <w:lang w:val="pt-BR"/>
        </w:rPr>
      </w:pPr>
    </w:p>
    <w:p w14:paraId="447EF80A" w14:textId="77777777" w:rsidR="00F16338" w:rsidRPr="00D5464D" w:rsidRDefault="00F16338" w:rsidP="00F306D7">
      <w:pPr>
        <w:widowControl w:val="0"/>
        <w:numPr>
          <w:ilvl w:val="0"/>
          <w:numId w:val="26"/>
        </w:numPr>
        <w:tabs>
          <w:tab w:val="clear" w:pos="4419"/>
          <w:tab w:val="clear" w:pos="8838"/>
        </w:tabs>
        <w:autoSpaceDE w:val="0"/>
        <w:autoSpaceDN w:val="0"/>
        <w:adjustRightInd w:val="0"/>
        <w:contextualSpacing/>
        <w:jc w:val="both"/>
        <w:rPr>
          <w:rFonts w:eastAsia="Cambria" w:cs="Times"/>
          <w:szCs w:val="20"/>
          <w:lang w:val="pt-BR"/>
        </w:rPr>
      </w:pPr>
      <w:r w:rsidRPr="00D5464D">
        <w:rPr>
          <w:rFonts w:eastAsia="Cambria" w:cs="System Font Regular"/>
          <w:color w:val="16191F"/>
          <w:szCs w:val="20"/>
          <w:lang w:val="pt-BR"/>
        </w:rPr>
        <w:t xml:space="preserve">Apesar de até hoje não existir no Direito Internacional uma definição expressa sobre o que se deve entender por </w:t>
      </w:r>
      <w:r w:rsidRPr="00D5464D">
        <w:rPr>
          <w:rFonts w:eastAsia="Cambria" w:cs="System Font Regular"/>
          <w:i/>
          <w:color w:val="16191F"/>
          <w:szCs w:val="20"/>
          <w:lang w:val="pt-BR"/>
        </w:rPr>
        <w:t>pobreza estrutural</w:t>
      </w:r>
      <w:r w:rsidRPr="00D5464D">
        <w:rPr>
          <w:rFonts w:eastAsia="Cambria" w:cs="Times New Roman"/>
          <w:color w:val="16191F"/>
          <w:szCs w:val="20"/>
          <w:vertAlign w:val="superscript"/>
          <w:lang w:val="pt-BR"/>
        </w:rPr>
        <w:footnoteReference w:id="630"/>
      </w:r>
      <w:r w:rsidRPr="00D5464D">
        <w:rPr>
          <w:rFonts w:eastAsia="Cambria" w:cs="System Font Regular"/>
          <w:i/>
          <w:color w:val="16191F"/>
          <w:szCs w:val="20"/>
          <w:lang w:val="pt-BR"/>
        </w:rPr>
        <w:t xml:space="preserve"> </w:t>
      </w:r>
      <w:r w:rsidRPr="00D5464D">
        <w:rPr>
          <w:rFonts w:eastAsia="Cambria" w:cs="System Font Regular"/>
          <w:color w:val="16191F"/>
          <w:szCs w:val="20"/>
          <w:lang w:val="pt-BR"/>
        </w:rPr>
        <w:t xml:space="preserve">como forma de discriminação, pronunciamentos dos Relatores Especiais sobre a Pobreza Extrema permitem determinar as pessoas que poderiam se ver afetadas por esta situação particular. Nesse sentido, por exemplo, os </w:t>
      </w:r>
      <w:r w:rsidRPr="00D5464D">
        <w:rPr>
          <w:rFonts w:eastAsia="Cambria" w:cs="Times New Roman"/>
          <w:lang w:val="pt-BR"/>
        </w:rPr>
        <w:t>PREPDH</w:t>
      </w:r>
      <w:r w:rsidRPr="00D5464D">
        <w:rPr>
          <w:rFonts w:eastAsia="Cambria" w:cs="System Font Regular"/>
          <w:i/>
          <w:color w:val="16191F"/>
          <w:szCs w:val="20"/>
          <w:lang w:val="pt-BR"/>
        </w:rPr>
        <w:t xml:space="preserve"> </w:t>
      </w:r>
      <w:r w:rsidRPr="00D5464D">
        <w:rPr>
          <w:rFonts w:eastAsia="Cambria" w:cs="System Font Regular"/>
          <w:color w:val="16191F"/>
          <w:szCs w:val="20"/>
          <w:lang w:val="pt-BR"/>
        </w:rPr>
        <w:t>afirmaram que a pobreza extrema é uma situação criada, propiciada e perpetuada por ações e omissões dos Estados e de outros agentes. Ao deixarem de lado às pessoas que viviam na pobreza extrema, as políticas públicas do passado transmitiram a pobreza de geração em geração. As desigualdades estruturais e sistêmicas, de ordem social, política, econômica e cultural, as quais, com frequência, não são abordadas, aprofundam ainda mais a pobreza.</w:t>
      </w:r>
      <w:r w:rsidRPr="00D5464D">
        <w:rPr>
          <w:rFonts w:eastAsia="Cambria" w:cs="Times New Roman"/>
          <w:color w:val="16191F"/>
          <w:szCs w:val="20"/>
          <w:vertAlign w:val="superscript"/>
          <w:lang w:val="pt-BR"/>
        </w:rPr>
        <w:footnoteReference w:id="631"/>
      </w:r>
      <w:r w:rsidRPr="00D5464D">
        <w:rPr>
          <w:rFonts w:eastAsia="Cambria" w:cs="System Font Regular"/>
          <w:color w:val="16191F"/>
          <w:szCs w:val="20"/>
          <w:lang w:val="pt-BR"/>
        </w:rPr>
        <w:t xml:space="preserve"> </w:t>
      </w:r>
    </w:p>
    <w:p w14:paraId="55FE6F26" w14:textId="77777777" w:rsidR="00F16338" w:rsidRPr="00D5464D" w:rsidRDefault="00F16338" w:rsidP="00F16338">
      <w:pPr>
        <w:widowControl w:val="0"/>
        <w:tabs>
          <w:tab w:val="clear" w:pos="4419"/>
          <w:tab w:val="clear" w:pos="8838"/>
        </w:tabs>
        <w:autoSpaceDE w:val="0"/>
        <w:autoSpaceDN w:val="0"/>
        <w:adjustRightInd w:val="0"/>
        <w:contextualSpacing/>
        <w:jc w:val="both"/>
        <w:rPr>
          <w:rFonts w:eastAsia="Cambria" w:cs="Times"/>
          <w:szCs w:val="20"/>
          <w:lang w:val="pt-BR"/>
        </w:rPr>
      </w:pPr>
    </w:p>
    <w:p w14:paraId="1CFAE4A4" w14:textId="77777777" w:rsidR="00F16338" w:rsidRPr="00D5464D" w:rsidRDefault="00F16338" w:rsidP="00F306D7">
      <w:pPr>
        <w:widowControl w:val="0"/>
        <w:numPr>
          <w:ilvl w:val="0"/>
          <w:numId w:val="26"/>
        </w:numPr>
        <w:tabs>
          <w:tab w:val="clear" w:pos="4419"/>
          <w:tab w:val="clear" w:pos="8838"/>
        </w:tabs>
        <w:autoSpaceDE w:val="0"/>
        <w:autoSpaceDN w:val="0"/>
        <w:adjustRightInd w:val="0"/>
        <w:contextualSpacing/>
        <w:jc w:val="both"/>
        <w:rPr>
          <w:rFonts w:eastAsia="Cambria" w:cs="Times"/>
          <w:szCs w:val="20"/>
          <w:lang w:val="pt-BR"/>
        </w:rPr>
      </w:pPr>
      <w:r w:rsidRPr="00D5464D">
        <w:rPr>
          <w:rFonts w:eastAsia="Cambria" w:cs="System Font Regular"/>
          <w:color w:val="16191F"/>
          <w:szCs w:val="20"/>
          <w:lang w:val="pt-BR"/>
        </w:rPr>
        <w:t xml:space="preserve">Outrossim, o </w:t>
      </w:r>
      <w:r w:rsidRPr="00D5464D">
        <w:rPr>
          <w:rFonts w:eastAsia="Cambria" w:cs="Times"/>
          <w:szCs w:val="20"/>
          <w:lang w:val="pt-BR"/>
        </w:rPr>
        <w:t>direito das pessoas que vivem na pobreza de participar plenamente na sociedade e na adoção de decisões esbarra em uma grande quantidade de obstáculos que agravam a situação, obstáculos de natureza econômica, social, estrutural, jurídica e sistêmica.</w:t>
      </w:r>
      <w:r w:rsidRPr="00D5464D">
        <w:rPr>
          <w:rFonts w:eastAsia="Cambria" w:cs="Times New Roman"/>
          <w:szCs w:val="20"/>
          <w:vertAlign w:val="superscript"/>
          <w:lang w:val="pt-BR"/>
        </w:rPr>
        <w:footnoteReference w:id="632"/>
      </w:r>
      <w:r w:rsidRPr="00D5464D">
        <w:rPr>
          <w:rFonts w:eastAsia="Cambria" w:cs="Times"/>
          <w:szCs w:val="20"/>
          <w:lang w:val="pt-BR"/>
        </w:rPr>
        <w:t xml:space="preserve"> Por outra parte, ainda quando existem mecanismos participativos, as pessoas que vivem na pobreza têm sérias dificuldades para usá-los ou exercerem sua influência através deles por falta de informação, uma educação escassa ou analfabetismo.</w:t>
      </w:r>
      <w:r w:rsidRPr="00D5464D">
        <w:rPr>
          <w:rFonts w:eastAsia="Cambria" w:cs="Times New Roman"/>
          <w:szCs w:val="20"/>
          <w:vertAlign w:val="superscript"/>
          <w:lang w:val="pt-BR"/>
        </w:rPr>
        <w:footnoteReference w:id="633"/>
      </w:r>
      <w:r w:rsidRPr="00D5464D">
        <w:rPr>
          <w:rFonts w:eastAsia="Cambria" w:cs="Times"/>
          <w:szCs w:val="20"/>
          <w:lang w:val="pt-BR"/>
        </w:rPr>
        <w:t xml:space="preserve"> Como resposta a estas situações de discriminação estrutural, em muitos países, as decisões afetam apenas as partes do litígio ou as que interpõem uma demanda, inclusive quando as causas possuem repercussões mais amplas. Isto quer dizer que apenas as pessoas que tenham a capacidade ou a tenacidade para superar todas as barreiras de acesso à justiça poderão se beneficiar de decisões importantes. </w:t>
      </w:r>
    </w:p>
    <w:p w14:paraId="60222744" w14:textId="77777777" w:rsidR="00F16338" w:rsidRPr="00D5464D" w:rsidRDefault="00F16338" w:rsidP="00F16338">
      <w:pPr>
        <w:widowControl w:val="0"/>
        <w:tabs>
          <w:tab w:val="clear" w:pos="4419"/>
          <w:tab w:val="clear" w:pos="8838"/>
        </w:tabs>
        <w:autoSpaceDE w:val="0"/>
        <w:autoSpaceDN w:val="0"/>
        <w:adjustRightInd w:val="0"/>
        <w:contextualSpacing/>
        <w:jc w:val="both"/>
        <w:rPr>
          <w:rFonts w:eastAsia="Cambria" w:cs="Times"/>
          <w:szCs w:val="20"/>
          <w:lang w:val="pt-BR"/>
        </w:rPr>
      </w:pPr>
    </w:p>
    <w:p w14:paraId="194944AE" w14:textId="77777777" w:rsidR="00F16338" w:rsidRPr="00D5464D" w:rsidRDefault="00F16338" w:rsidP="00F306D7">
      <w:pPr>
        <w:widowControl w:val="0"/>
        <w:numPr>
          <w:ilvl w:val="0"/>
          <w:numId w:val="26"/>
        </w:numPr>
        <w:tabs>
          <w:tab w:val="clear" w:pos="4419"/>
          <w:tab w:val="clear" w:pos="8838"/>
        </w:tabs>
        <w:autoSpaceDE w:val="0"/>
        <w:autoSpaceDN w:val="0"/>
        <w:adjustRightInd w:val="0"/>
        <w:contextualSpacing/>
        <w:jc w:val="both"/>
        <w:rPr>
          <w:rFonts w:eastAsia="Cambria" w:cs="Times"/>
          <w:szCs w:val="20"/>
          <w:lang w:val="pt-BR"/>
        </w:rPr>
      </w:pPr>
      <w:r w:rsidRPr="00D5464D">
        <w:rPr>
          <w:rFonts w:eastAsia="Cambria" w:cs="Times"/>
          <w:szCs w:val="20"/>
          <w:lang w:val="pt-BR"/>
        </w:rPr>
        <w:t xml:space="preserve">Não obstante isso, as pessoas que vivem na pobreza costumam sofrer as consequências de práticas estendidas ou de medidas governamentais de amplo alcance que geram situações nas quais estão em jogo os direitos de muitas pessoas. Por isso, nos sistemas jurídicos nos quais os tribunais podem exercer um controle jurisdicional ou proferir decisões </w:t>
      </w:r>
      <w:r w:rsidRPr="00D5464D">
        <w:rPr>
          <w:rFonts w:eastAsia="Cambria" w:cs="Times"/>
          <w:i/>
          <w:szCs w:val="20"/>
          <w:lang w:val="pt-BR"/>
        </w:rPr>
        <w:t>erga omnes</w:t>
      </w:r>
      <w:r w:rsidRPr="00D5464D">
        <w:rPr>
          <w:rFonts w:eastAsia="Cambria" w:cs="Times"/>
          <w:szCs w:val="20"/>
          <w:lang w:val="pt-BR"/>
        </w:rPr>
        <w:t>, com capacidade para declarar inconstitucionais certas leis ou situações, isto pode ter um efeito positivo no momento de garantir justiça às pessoas que vivem na pobreza.</w:t>
      </w:r>
      <w:r w:rsidRPr="00D5464D">
        <w:rPr>
          <w:rFonts w:eastAsia="Cambria" w:cs="Times New Roman"/>
          <w:szCs w:val="20"/>
          <w:vertAlign w:val="superscript"/>
          <w:lang w:val="pt-BR"/>
        </w:rPr>
        <w:footnoteReference w:id="634"/>
      </w:r>
      <w:r w:rsidRPr="00D5464D">
        <w:rPr>
          <w:rFonts w:eastAsia="Cambria" w:cs="Times"/>
          <w:szCs w:val="20"/>
          <w:lang w:val="pt-BR"/>
        </w:rPr>
        <w:t xml:space="preserve"> </w:t>
      </w:r>
    </w:p>
    <w:p w14:paraId="2ADC8D0C" w14:textId="77777777" w:rsidR="00F16338" w:rsidRPr="00D5464D" w:rsidRDefault="00F16338" w:rsidP="00F16338">
      <w:pPr>
        <w:widowControl w:val="0"/>
        <w:tabs>
          <w:tab w:val="clear" w:pos="4419"/>
          <w:tab w:val="clear" w:pos="8838"/>
        </w:tabs>
        <w:autoSpaceDE w:val="0"/>
        <w:autoSpaceDN w:val="0"/>
        <w:adjustRightInd w:val="0"/>
        <w:contextualSpacing/>
        <w:jc w:val="both"/>
        <w:rPr>
          <w:rFonts w:eastAsia="Cambria" w:cs="Times"/>
          <w:szCs w:val="20"/>
          <w:lang w:val="pt-BR"/>
        </w:rPr>
      </w:pPr>
    </w:p>
    <w:p w14:paraId="6A1BC3EC" w14:textId="77777777" w:rsidR="00F16338" w:rsidRPr="00D5464D" w:rsidRDefault="00F16338" w:rsidP="00F306D7">
      <w:pPr>
        <w:widowControl w:val="0"/>
        <w:numPr>
          <w:ilvl w:val="0"/>
          <w:numId w:val="26"/>
        </w:numPr>
        <w:tabs>
          <w:tab w:val="clear" w:pos="4419"/>
          <w:tab w:val="clear" w:pos="8838"/>
        </w:tabs>
        <w:autoSpaceDE w:val="0"/>
        <w:autoSpaceDN w:val="0"/>
        <w:adjustRightInd w:val="0"/>
        <w:contextualSpacing/>
        <w:jc w:val="both"/>
        <w:rPr>
          <w:rFonts w:eastAsia="Cambria" w:cs="Times"/>
          <w:szCs w:val="20"/>
          <w:lang w:val="pt-BR"/>
        </w:rPr>
      </w:pPr>
      <w:r w:rsidRPr="00D5464D">
        <w:rPr>
          <w:rFonts w:eastAsia="Cambria" w:cs="Times"/>
          <w:szCs w:val="20"/>
          <w:lang w:val="pt-BR"/>
        </w:rPr>
        <w:t xml:space="preserve">Assim, as pessoas que sofrem pobreza estrutural são pessoas que, em geral, transmitem esta situação aos seus descendentes e de maneira histórica, suas possibilidades de participação política se veem diminuídas e também é negado o seu acesso a serviços básicos; razão pela qual o acesso à justiça dependerá de que tenham a capacidade para superar a própria condição de pobreza independentemente de, coincidentemente ou não, pertencerem a grupos historicamente marginalizados ou excluídos. </w:t>
      </w:r>
    </w:p>
    <w:p w14:paraId="46382846" w14:textId="77777777" w:rsidR="00F16338" w:rsidRPr="00D5464D" w:rsidRDefault="00F16338" w:rsidP="00F16338">
      <w:pPr>
        <w:tabs>
          <w:tab w:val="clear" w:pos="4419"/>
          <w:tab w:val="clear" w:pos="8838"/>
        </w:tabs>
        <w:jc w:val="both"/>
        <w:rPr>
          <w:rFonts w:eastAsia="Cambria" w:cs="System Font Regular"/>
          <w:i/>
          <w:color w:val="16191F"/>
          <w:sz w:val="16"/>
          <w:szCs w:val="16"/>
          <w:lang w:val="pt-BR"/>
        </w:rPr>
      </w:pPr>
    </w:p>
    <w:p w14:paraId="736DE2B6" w14:textId="77777777" w:rsidR="00F16338" w:rsidRPr="00D5464D" w:rsidRDefault="00F16338" w:rsidP="00F16338">
      <w:pPr>
        <w:tabs>
          <w:tab w:val="clear" w:pos="4419"/>
          <w:tab w:val="clear" w:pos="8838"/>
        </w:tabs>
        <w:jc w:val="both"/>
        <w:rPr>
          <w:rFonts w:eastAsia="Cambria" w:cs="System Font Regular"/>
          <w:i/>
          <w:color w:val="16191F"/>
          <w:sz w:val="16"/>
          <w:szCs w:val="16"/>
          <w:lang w:val="pt-BR"/>
        </w:rPr>
      </w:pPr>
    </w:p>
    <w:p w14:paraId="599F65CA" w14:textId="77777777" w:rsidR="00F16338" w:rsidRPr="00D5464D" w:rsidRDefault="00F16338" w:rsidP="00F16338">
      <w:pPr>
        <w:tabs>
          <w:tab w:val="clear" w:pos="4419"/>
          <w:tab w:val="clear" w:pos="8838"/>
        </w:tabs>
        <w:jc w:val="center"/>
        <w:rPr>
          <w:rFonts w:eastAsia="Cambria" w:cs="System Font Regular"/>
          <w:caps/>
          <w:color w:val="16191F"/>
          <w:szCs w:val="20"/>
          <w:lang w:val="pt-BR"/>
        </w:rPr>
      </w:pPr>
      <w:r w:rsidRPr="00D5464D">
        <w:rPr>
          <w:rFonts w:eastAsia="Cambria" w:cs="System Font Regular"/>
          <w:caps/>
          <w:color w:val="16191F"/>
          <w:szCs w:val="20"/>
          <w:lang w:val="pt-BR"/>
        </w:rPr>
        <w:t>V. Discriminação estrutural, indireta e de fato na jurisprudência da Corte Interamericana</w:t>
      </w:r>
    </w:p>
    <w:p w14:paraId="5310D205" w14:textId="77777777" w:rsidR="00F16338" w:rsidRPr="00D5464D" w:rsidRDefault="00F16338" w:rsidP="00F16338">
      <w:pPr>
        <w:tabs>
          <w:tab w:val="clear" w:pos="4419"/>
          <w:tab w:val="clear" w:pos="8838"/>
        </w:tabs>
        <w:jc w:val="both"/>
        <w:rPr>
          <w:rFonts w:eastAsia="Cambria" w:cs="System Font Regular"/>
          <w:color w:val="16191F"/>
          <w:szCs w:val="20"/>
          <w:lang w:val="pt-BR"/>
        </w:rPr>
      </w:pPr>
    </w:p>
    <w:p w14:paraId="4755E946" w14:textId="77777777" w:rsidR="00F16338" w:rsidRPr="00D5464D" w:rsidRDefault="00F16338" w:rsidP="00F16338">
      <w:pPr>
        <w:tabs>
          <w:tab w:val="clear" w:pos="4419"/>
          <w:tab w:val="clear" w:pos="8838"/>
        </w:tabs>
        <w:jc w:val="both"/>
        <w:rPr>
          <w:rFonts w:eastAsia="Cambria" w:cs="System Font Regular"/>
          <w:color w:val="16191F"/>
          <w:szCs w:val="20"/>
          <w:lang w:val="pt-BR"/>
        </w:rPr>
      </w:pPr>
    </w:p>
    <w:p w14:paraId="45E30C01" w14:textId="77777777" w:rsidR="00F16338" w:rsidRPr="00D5464D" w:rsidRDefault="00F16338" w:rsidP="00F306D7">
      <w:pPr>
        <w:numPr>
          <w:ilvl w:val="0"/>
          <w:numId w:val="26"/>
        </w:numPr>
        <w:tabs>
          <w:tab w:val="clear" w:pos="4419"/>
          <w:tab w:val="clear" w:pos="8838"/>
        </w:tabs>
        <w:jc w:val="both"/>
        <w:rPr>
          <w:rFonts w:eastAsia="Cambria" w:cs="System Font Regular"/>
          <w:color w:val="16191F"/>
          <w:szCs w:val="20"/>
          <w:lang w:val="pt-BR"/>
        </w:rPr>
      </w:pPr>
      <w:r w:rsidRPr="00D5464D">
        <w:rPr>
          <w:rFonts w:eastAsia="Cambria" w:cs="System Font Regular"/>
          <w:color w:val="16191F"/>
          <w:szCs w:val="20"/>
          <w:lang w:val="pt-BR"/>
        </w:rPr>
        <w:t xml:space="preserve">A jurisprudência constante da Corte IDH tratou da discriminação direta sofrida por certos grupos de pessoas dentro das sociedades, dando visibilidade a ela. No entanto, isso não significa que o Tribunal Interamericano tenha deixado de se pronunciar, de maneira isolada, no sentido de estabelecer que, em certos contextos, deve ser levada em consideração a discriminação estrutural, a discriminação de fato ou a discriminação indireta. </w:t>
      </w:r>
    </w:p>
    <w:p w14:paraId="32505995" w14:textId="77777777" w:rsidR="00F16338" w:rsidRPr="00D5464D" w:rsidRDefault="00F16338" w:rsidP="00F16338">
      <w:pPr>
        <w:tabs>
          <w:tab w:val="clear" w:pos="4419"/>
          <w:tab w:val="clear" w:pos="8838"/>
        </w:tabs>
        <w:jc w:val="both"/>
        <w:rPr>
          <w:rFonts w:eastAsia="Cambria" w:cs="System Font Regular"/>
          <w:color w:val="16191F"/>
          <w:szCs w:val="20"/>
          <w:lang w:val="pt-BR"/>
        </w:rPr>
      </w:pPr>
    </w:p>
    <w:p w14:paraId="4F896D17" w14:textId="77777777" w:rsidR="00F16338" w:rsidRPr="00D5464D" w:rsidRDefault="00F16338" w:rsidP="00F306D7">
      <w:pPr>
        <w:numPr>
          <w:ilvl w:val="0"/>
          <w:numId w:val="26"/>
        </w:numPr>
        <w:tabs>
          <w:tab w:val="clear" w:pos="4419"/>
          <w:tab w:val="clear" w:pos="8838"/>
        </w:tabs>
        <w:jc w:val="both"/>
        <w:rPr>
          <w:rFonts w:eastAsia="Cambria" w:cs="System Font Regular"/>
          <w:color w:val="16191F"/>
          <w:szCs w:val="20"/>
          <w:lang w:val="pt-BR"/>
        </w:rPr>
      </w:pPr>
      <w:r w:rsidRPr="00D5464D">
        <w:rPr>
          <w:rFonts w:eastAsia="Cambria" w:cs="System Font Regular"/>
          <w:color w:val="16191F"/>
          <w:szCs w:val="20"/>
          <w:lang w:val="pt-BR"/>
        </w:rPr>
        <w:t xml:space="preserve">Nesse sentido, no caso </w:t>
      </w:r>
      <w:r w:rsidRPr="00D5464D">
        <w:rPr>
          <w:rFonts w:eastAsia="Cambria" w:cs="System Font Regular"/>
          <w:i/>
          <w:color w:val="16191F"/>
          <w:szCs w:val="20"/>
          <w:lang w:val="pt-BR"/>
        </w:rPr>
        <w:t xml:space="preserve">González e outras (“Campo Algodoeiro”) Vs. México, </w:t>
      </w:r>
      <w:r w:rsidRPr="00D5464D">
        <w:rPr>
          <w:rFonts w:eastAsia="Cambria" w:cs="System Font Regular"/>
          <w:color w:val="16191F"/>
          <w:szCs w:val="20"/>
          <w:lang w:val="pt-BR"/>
        </w:rPr>
        <w:t>de</w:t>
      </w:r>
      <w:r w:rsidRPr="00D5464D">
        <w:rPr>
          <w:rFonts w:eastAsia="Cambria" w:cs="System Font Regular"/>
          <w:i/>
          <w:color w:val="16191F"/>
          <w:szCs w:val="20"/>
          <w:lang w:val="pt-BR"/>
        </w:rPr>
        <w:t xml:space="preserve"> </w:t>
      </w:r>
      <w:r w:rsidRPr="00D5464D">
        <w:rPr>
          <w:rFonts w:eastAsia="Cambria" w:cs="System Font Regular"/>
          <w:color w:val="16191F"/>
          <w:szCs w:val="20"/>
          <w:lang w:val="pt-BR"/>
        </w:rPr>
        <w:t xml:space="preserve">2009, no capítulo de reparações da Sentença, referindo-se à discriminação estrutural, o Tribunal expressou que: </w:t>
      </w:r>
    </w:p>
    <w:p w14:paraId="662ADB87" w14:textId="77777777" w:rsidR="00F16338" w:rsidRPr="00D5464D" w:rsidRDefault="00F16338" w:rsidP="00F16338">
      <w:pPr>
        <w:tabs>
          <w:tab w:val="clear" w:pos="4419"/>
          <w:tab w:val="clear" w:pos="8838"/>
        </w:tabs>
        <w:contextualSpacing/>
        <w:jc w:val="both"/>
        <w:rPr>
          <w:rFonts w:eastAsia="MS Mincho" w:cs="System Font Regular"/>
          <w:color w:val="16191F"/>
          <w:sz w:val="24"/>
          <w:szCs w:val="20"/>
          <w:lang w:val="pt-BR" w:eastAsia="es-ES"/>
        </w:rPr>
      </w:pPr>
    </w:p>
    <w:p w14:paraId="1534B186" w14:textId="77777777" w:rsidR="00F16338" w:rsidRPr="00D5464D" w:rsidRDefault="00F16338" w:rsidP="00F16338">
      <w:pPr>
        <w:tabs>
          <w:tab w:val="clear" w:pos="4419"/>
          <w:tab w:val="clear" w:pos="8838"/>
        </w:tabs>
        <w:ind w:left="708"/>
        <w:contextualSpacing/>
        <w:jc w:val="both"/>
        <w:rPr>
          <w:rFonts w:eastAsia="Cambria" w:cs="Times New Roman"/>
          <w:sz w:val="16"/>
          <w:szCs w:val="16"/>
          <w:lang w:val="pt-BR"/>
        </w:rPr>
      </w:pPr>
      <w:r w:rsidRPr="00D5464D">
        <w:rPr>
          <w:rFonts w:eastAsia="Cambria" w:cs="Times New Roman"/>
          <w:i/>
          <w:sz w:val="16"/>
          <w:szCs w:val="16"/>
          <w:lang w:val="pt-BR"/>
        </w:rPr>
        <w:t xml:space="preserve">450 […]. Entretanto, levando em consideração a </w:t>
      </w:r>
      <w:r w:rsidRPr="00D5464D">
        <w:rPr>
          <w:rFonts w:eastAsia="Cambria" w:cs="Times New Roman"/>
          <w:i/>
          <w:sz w:val="16"/>
          <w:szCs w:val="16"/>
          <w:u w:val="single"/>
          <w:lang w:val="pt-BR"/>
        </w:rPr>
        <w:t>situação de discriminação estrutural</w:t>
      </w:r>
      <w:r w:rsidRPr="00D5464D">
        <w:rPr>
          <w:rFonts w:eastAsia="Cambria" w:cs="Times New Roman"/>
          <w:i/>
          <w:sz w:val="16"/>
          <w:szCs w:val="16"/>
          <w:lang w:val="pt-BR"/>
        </w:rPr>
        <w:t xml:space="preserve"> na qual se enquadram os fatos ocorridos no presente caso e que foi reconhecida pelo Estado [...], as </w:t>
      </w:r>
      <w:r w:rsidRPr="00D5464D">
        <w:rPr>
          <w:rFonts w:eastAsia="Cambria" w:cs="Times New Roman"/>
          <w:i/>
          <w:sz w:val="16"/>
          <w:szCs w:val="16"/>
          <w:u w:val="single"/>
          <w:lang w:val="pt-BR"/>
        </w:rPr>
        <w:t>reparações devem ter uma vocação transformadora desta situação</w:t>
      </w:r>
      <w:r w:rsidRPr="00D5464D">
        <w:rPr>
          <w:rFonts w:eastAsia="Cambria" w:cs="Times New Roman"/>
          <w:i/>
          <w:sz w:val="16"/>
          <w:szCs w:val="16"/>
          <w:lang w:val="pt-BR"/>
        </w:rPr>
        <w:t xml:space="preserve">, de tal forma que as mesmas tenham um efeito não somente restitutivo, mas também corretivo. Nesse sentido, </w:t>
      </w:r>
      <w:r w:rsidRPr="00D5464D">
        <w:rPr>
          <w:rFonts w:eastAsia="Cambria" w:cs="Times New Roman"/>
          <w:i/>
          <w:sz w:val="16"/>
          <w:szCs w:val="16"/>
          <w:u w:val="single"/>
          <w:lang w:val="pt-BR"/>
        </w:rPr>
        <w:t>não é admissível uma restituição à mesma situação estrutural de violência e discriminação</w:t>
      </w:r>
      <w:r w:rsidRPr="00D5464D">
        <w:rPr>
          <w:rFonts w:eastAsia="Cambria" w:cs="Times New Roman"/>
          <w:i/>
          <w:sz w:val="16"/>
          <w:szCs w:val="16"/>
          <w:lang w:val="pt-BR"/>
        </w:rPr>
        <w:t xml:space="preserve"> […] </w:t>
      </w:r>
      <w:r w:rsidRPr="00D5464D">
        <w:rPr>
          <w:rFonts w:eastAsia="Cambria" w:cs="Times New Roman"/>
          <w:i/>
          <w:sz w:val="16"/>
          <w:szCs w:val="20"/>
          <w:vertAlign w:val="superscript"/>
          <w:lang w:val="pt-BR"/>
        </w:rPr>
        <w:footnoteReference w:id="635"/>
      </w:r>
      <w:r w:rsidRPr="00D5464D">
        <w:rPr>
          <w:rFonts w:eastAsia="Cambria" w:cs="Times New Roman"/>
          <w:i/>
          <w:sz w:val="16"/>
          <w:szCs w:val="16"/>
          <w:lang w:val="pt-BR"/>
        </w:rPr>
        <w:t xml:space="preserve">. </w:t>
      </w:r>
      <w:r w:rsidRPr="00D5464D">
        <w:rPr>
          <w:rFonts w:eastAsia="Cambria" w:cs="Times New Roman"/>
          <w:sz w:val="16"/>
          <w:szCs w:val="16"/>
          <w:lang w:val="pt-BR"/>
        </w:rPr>
        <w:t>(Sem ênfase no original).</w:t>
      </w:r>
    </w:p>
    <w:p w14:paraId="218B0F3D" w14:textId="77777777" w:rsidR="00F16338" w:rsidRPr="00D5464D" w:rsidRDefault="00F16338" w:rsidP="00F16338">
      <w:pPr>
        <w:tabs>
          <w:tab w:val="clear" w:pos="4419"/>
          <w:tab w:val="clear" w:pos="8838"/>
        </w:tabs>
        <w:ind w:left="708"/>
        <w:contextualSpacing/>
        <w:jc w:val="both"/>
        <w:rPr>
          <w:rFonts w:eastAsia="Cambria" w:cs="Times New Roman"/>
          <w:szCs w:val="20"/>
          <w:lang w:val="pt-BR"/>
        </w:rPr>
      </w:pPr>
    </w:p>
    <w:p w14:paraId="6ED45B6B" w14:textId="77777777" w:rsidR="00F16338" w:rsidRPr="00D5464D" w:rsidRDefault="00F16338" w:rsidP="00F306D7">
      <w:pPr>
        <w:numPr>
          <w:ilvl w:val="0"/>
          <w:numId w:val="26"/>
        </w:numPr>
        <w:tabs>
          <w:tab w:val="clear" w:pos="4419"/>
          <w:tab w:val="clear" w:pos="8838"/>
        </w:tabs>
        <w:contextualSpacing/>
        <w:jc w:val="both"/>
        <w:rPr>
          <w:rFonts w:eastAsia="Cambria" w:cs="Times New Roman"/>
          <w:i/>
          <w:sz w:val="16"/>
          <w:szCs w:val="16"/>
          <w:lang w:val="pt-BR"/>
        </w:rPr>
      </w:pPr>
      <w:r w:rsidRPr="00D5464D">
        <w:rPr>
          <w:rFonts w:eastAsia="Cambria" w:cs="Times New Roman"/>
          <w:szCs w:val="20"/>
          <w:lang w:val="pt-BR"/>
        </w:rPr>
        <w:t xml:space="preserve">No caso da </w:t>
      </w:r>
      <w:r w:rsidRPr="00D5464D">
        <w:rPr>
          <w:rFonts w:eastAsia="Cambria" w:cs="Times New Roman"/>
          <w:i/>
          <w:szCs w:val="20"/>
          <w:lang w:val="pt-BR"/>
        </w:rPr>
        <w:t>Comunidade Indígena Xákmok Kásek Vs. Paraguai</w:t>
      </w:r>
      <w:r w:rsidRPr="00D5464D">
        <w:rPr>
          <w:rFonts w:eastAsia="Cambria" w:cs="Times New Roman"/>
          <w:szCs w:val="20"/>
          <w:lang w:val="pt-BR"/>
        </w:rPr>
        <w:t xml:space="preserve">, de 2010, referindo-se à discriminação </w:t>
      </w:r>
      <w:r w:rsidRPr="00D5464D">
        <w:rPr>
          <w:rFonts w:eastAsia="Cambria" w:cs="Times New Roman"/>
          <w:i/>
          <w:szCs w:val="20"/>
          <w:lang w:val="pt-BR"/>
        </w:rPr>
        <w:t>de</w:t>
      </w:r>
      <w:r w:rsidRPr="00D5464D">
        <w:rPr>
          <w:rFonts w:eastAsia="Cambria" w:cs="Times New Roman"/>
          <w:szCs w:val="20"/>
          <w:lang w:val="pt-BR"/>
        </w:rPr>
        <w:t xml:space="preserve"> </w:t>
      </w:r>
      <w:r w:rsidRPr="00D5464D">
        <w:rPr>
          <w:rFonts w:eastAsia="Cambria" w:cs="Times New Roman"/>
          <w:i/>
          <w:szCs w:val="20"/>
          <w:lang w:val="pt-BR"/>
        </w:rPr>
        <w:t>facto</w:t>
      </w:r>
      <w:r w:rsidRPr="00D5464D">
        <w:rPr>
          <w:rFonts w:eastAsia="Cambria" w:cs="Times New Roman"/>
          <w:szCs w:val="20"/>
          <w:lang w:val="pt-BR"/>
        </w:rPr>
        <w:t>,</w:t>
      </w:r>
      <w:r w:rsidRPr="00D5464D">
        <w:rPr>
          <w:rFonts w:eastAsia="Cambria" w:cs="Times New Roman"/>
          <w:i/>
          <w:szCs w:val="20"/>
          <w:lang w:val="pt-BR"/>
        </w:rPr>
        <w:t xml:space="preserve"> </w:t>
      </w:r>
      <w:r w:rsidRPr="00D5464D">
        <w:rPr>
          <w:rFonts w:eastAsia="Cambria" w:cs="Times New Roman"/>
          <w:szCs w:val="20"/>
          <w:lang w:val="pt-BR"/>
        </w:rPr>
        <w:t xml:space="preserve">a Corte considerou que: </w:t>
      </w:r>
    </w:p>
    <w:p w14:paraId="63C403EA" w14:textId="77777777" w:rsidR="00F16338" w:rsidRPr="00D5464D" w:rsidRDefault="00F16338" w:rsidP="00F16338">
      <w:pPr>
        <w:tabs>
          <w:tab w:val="clear" w:pos="4419"/>
          <w:tab w:val="clear" w:pos="8838"/>
        </w:tabs>
        <w:contextualSpacing/>
        <w:jc w:val="both"/>
        <w:rPr>
          <w:rFonts w:eastAsia="Cambria" w:cs="Times New Roman"/>
          <w:i/>
          <w:sz w:val="16"/>
          <w:szCs w:val="16"/>
          <w:lang w:val="pt-BR"/>
        </w:rPr>
      </w:pPr>
    </w:p>
    <w:p w14:paraId="71D7255C" w14:textId="77777777" w:rsidR="00F16338" w:rsidRPr="00D5464D" w:rsidRDefault="00F16338" w:rsidP="00F16338">
      <w:pPr>
        <w:tabs>
          <w:tab w:val="clear" w:pos="4419"/>
          <w:tab w:val="clear" w:pos="8838"/>
        </w:tabs>
        <w:ind w:left="708"/>
        <w:contextualSpacing/>
        <w:jc w:val="both"/>
        <w:rPr>
          <w:rFonts w:eastAsia="Cambria" w:cs="Times New Roman"/>
          <w:i/>
          <w:sz w:val="16"/>
          <w:szCs w:val="16"/>
          <w:lang w:val="pt-BR"/>
        </w:rPr>
      </w:pPr>
      <w:r w:rsidRPr="00D5464D">
        <w:rPr>
          <w:rFonts w:eastAsia="Cambria" w:cs="Times New Roman"/>
          <w:i/>
          <w:sz w:val="16"/>
          <w:szCs w:val="16"/>
          <w:lang w:val="pt-BR"/>
        </w:rPr>
        <w:t xml:space="preserve">273. No presente caso está estabelecido que a situação de extrema e especial vulnerabilidade dos membros da Comunidade deve-se, inter alia, </w:t>
      </w:r>
      <w:r w:rsidRPr="00D5464D">
        <w:rPr>
          <w:rFonts w:eastAsia="Cambria" w:cs="Times New Roman"/>
          <w:i/>
          <w:sz w:val="16"/>
          <w:szCs w:val="16"/>
          <w:u w:val="single"/>
          <w:lang w:val="pt-BR"/>
        </w:rPr>
        <w:t>à falta de recursos adequados e efetivos que proteja os direitos dos indígenas e não só de maneira formal; a insuficiente presença de instituições estatais obrigadas a prestar serviços e bens aos membros da Comunidade, em especial, alimentação, água, saúde e educação</w:t>
      </w:r>
      <w:r w:rsidRPr="00D5464D">
        <w:rPr>
          <w:rFonts w:eastAsia="Cambria" w:cs="Times New Roman"/>
          <w:i/>
          <w:sz w:val="16"/>
          <w:szCs w:val="16"/>
          <w:lang w:val="pt-BR"/>
        </w:rPr>
        <w:t xml:space="preserve">; […]. </w:t>
      </w:r>
    </w:p>
    <w:p w14:paraId="65C13634" w14:textId="77777777" w:rsidR="00F16338" w:rsidRPr="00D5464D" w:rsidRDefault="00F16338" w:rsidP="00F16338">
      <w:pPr>
        <w:tabs>
          <w:tab w:val="clear" w:pos="4419"/>
          <w:tab w:val="clear" w:pos="8838"/>
        </w:tabs>
        <w:contextualSpacing/>
        <w:jc w:val="both"/>
        <w:rPr>
          <w:rFonts w:eastAsia="Cambria" w:cs="Times New Roman"/>
          <w:sz w:val="16"/>
          <w:szCs w:val="16"/>
          <w:lang w:val="pt-BR"/>
        </w:rPr>
      </w:pPr>
    </w:p>
    <w:p w14:paraId="4049456D" w14:textId="77777777" w:rsidR="00F16338" w:rsidRPr="00D5464D" w:rsidRDefault="00F16338" w:rsidP="00F16338">
      <w:pPr>
        <w:tabs>
          <w:tab w:val="clear" w:pos="4419"/>
          <w:tab w:val="clear" w:pos="8838"/>
        </w:tabs>
        <w:ind w:left="708"/>
        <w:contextualSpacing/>
        <w:jc w:val="both"/>
        <w:rPr>
          <w:rFonts w:eastAsia="Cambria" w:cs="Times New Roman"/>
          <w:sz w:val="16"/>
          <w:szCs w:val="16"/>
          <w:lang w:val="pt-BR"/>
        </w:rPr>
      </w:pPr>
      <w:r w:rsidRPr="00D5464D">
        <w:rPr>
          <w:rFonts w:eastAsia="Cambria" w:cs="Times New Roman"/>
          <w:i/>
          <w:sz w:val="16"/>
          <w:szCs w:val="16"/>
          <w:lang w:val="pt-BR"/>
        </w:rPr>
        <w:t xml:space="preserve">274. […] </w:t>
      </w:r>
      <w:r w:rsidRPr="00D5464D">
        <w:rPr>
          <w:rFonts w:eastAsia="Cambria" w:cs="Times New Roman"/>
          <w:i/>
          <w:sz w:val="16"/>
          <w:szCs w:val="16"/>
          <w:u w:val="single"/>
          <w:lang w:val="pt-BR"/>
        </w:rPr>
        <w:t>evidencia uma discriminação de facto contra os membros da Comunidade Xákmok Kásek, marginalizados no gozo dos direitos</w:t>
      </w:r>
      <w:r w:rsidRPr="00D5464D">
        <w:rPr>
          <w:rFonts w:eastAsia="Cambria" w:cs="Times New Roman"/>
          <w:i/>
          <w:sz w:val="16"/>
          <w:szCs w:val="16"/>
          <w:lang w:val="pt-BR"/>
        </w:rPr>
        <w:t xml:space="preserve"> que o Tribunal declara violados nesta Sentença. </w:t>
      </w:r>
      <w:r w:rsidRPr="00D5464D">
        <w:rPr>
          <w:rFonts w:eastAsia="Cambria" w:cs="Times New Roman"/>
          <w:i/>
          <w:sz w:val="16"/>
          <w:szCs w:val="16"/>
          <w:u w:val="single"/>
          <w:lang w:val="pt-BR"/>
        </w:rPr>
        <w:t>Igualmente, evidencia-se que o Estado não adotou as medidas positivas necessárias para reverter tal exclusão.</w:t>
      </w:r>
      <w:r w:rsidRPr="00D5464D">
        <w:rPr>
          <w:rFonts w:eastAsia="Cambria" w:cs="Times New Roman"/>
          <w:sz w:val="16"/>
          <w:szCs w:val="20"/>
          <w:vertAlign w:val="superscript"/>
          <w:lang w:val="pt-BR"/>
        </w:rPr>
        <w:footnoteReference w:id="636"/>
      </w:r>
      <w:r w:rsidRPr="00D5464D">
        <w:rPr>
          <w:rFonts w:eastAsia="Cambria" w:cs="Times New Roman"/>
          <w:sz w:val="16"/>
          <w:szCs w:val="16"/>
          <w:lang w:val="pt-BR"/>
        </w:rPr>
        <w:t xml:space="preserve"> (Sem ênfase no original)</w:t>
      </w:r>
    </w:p>
    <w:p w14:paraId="55F94CF3" w14:textId="77777777" w:rsidR="00F16338" w:rsidRPr="00D5464D" w:rsidRDefault="00F16338" w:rsidP="00F16338">
      <w:pPr>
        <w:tabs>
          <w:tab w:val="clear" w:pos="4419"/>
          <w:tab w:val="clear" w:pos="8838"/>
        </w:tabs>
        <w:rPr>
          <w:rFonts w:eastAsia="MS Mincho" w:cs="Times New Roman"/>
          <w:i/>
          <w:szCs w:val="20"/>
          <w:lang w:val="pt-BR" w:eastAsia="es-ES"/>
        </w:rPr>
      </w:pPr>
    </w:p>
    <w:p w14:paraId="5809E4C3" w14:textId="77777777" w:rsidR="00F16338" w:rsidRPr="00D5464D" w:rsidRDefault="00F16338" w:rsidP="00F306D7">
      <w:pPr>
        <w:numPr>
          <w:ilvl w:val="0"/>
          <w:numId w:val="26"/>
        </w:numPr>
        <w:tabs>
          <w:tab w:val="clear" w:pos="4419"/>
          <w:tab w:val="clear" w:pos="8838"/>
        </w:tabs>
        <w:contextualSpacing/>
        <w:jc w:val="both"/>
        <w:rPr>
          <w:rFonts w:eastAsia="Cambria" w:cs="Times New Roman"/>
          <w:i/>
          <w:szCs w:val="20"/>
          <w:lang w:val="pt-BR"/>
        </w:rPr>
      </w:pPr>
      <w:r w:rsidRPr="00D5464D">
        <w:rPr>
          <w:rFonts w:eastAsia="Cambria" w:cs="Times New Roman"/>
          <w:szCs w:val="20"/>
          <w:lang w:val="pt-BR"/>
        </w:rPr>
        <w:t xml:space="preserve">No caso </w:t>
      </w:r>
      <w:r w:rsidRPr="00D5464D">
        <w:rPr>
          <w:rFonts w:eastAsia="Cambria" w:cs="Times New Roman"/>
          <w:i/>
          <w:szCs w:val="20"/>
          <w:lang w:val="pt-BR"/>
        </w:rPr>
        <w:t>Atala Riffo e crianças Vs. Chile</w:t>
      </w:r>
      <w:r w:rsidRPr="00D5464D">
        <w:rPr>
          <w:rFonts w:eastAsia="Cambria" w:cs="Times New Roman"/>
          <w:szCs w:val="20"/>
          <w:lang w:val="pt-BR"/>
        </w:rPr>
        <w:t xml:space="preserve">, de 2012, o Tribunal expressou, a respeito da discriminação estrutural, que: </w:t>
      </w:r>
    </w:p>
    <w:p w14:paraId="0E99E88E" w14:textId="77777777" w:rsidR="00F16338" w:rsidRPr="00D5464D" w:rsidRDefault="00F16338" w:rsidP="00F16338">
      <w:pPr>
        <w:tabs>
          <w:tab w:val="clear" w:pos="4419"/>
          <w:tab w:val="clear" w:pos="8838"/>
        </w:tabs>
        <w:contextualSpacing/>
        <w:jc w:val="both"/>
        <w:rPr>
          <w:rFonts w:eastAsia="Cambria" w:cs="Times New Roman"/>
          <w:i/>
          <w:szCs w:val="20"/>
          <w:lang w:val="pt-BR"/>
        </w:rPr>
      </w:pPr>
    </w:p>
    <w:p w14:paraId="417B4FA6" w14:textId="77777777" w:rsidR="00F16338" w:rsidRPr="00D5464D" w:rsidRDefault="00F16338" w:rsidP="00F16338">
      <w:pPr>
        <w:tabs>
          <w:tab w:val="clear" w:pos="4419"/>
          <w:tab w:val="clear" w:pos="8838"/>
        </w:tabs>
        <w:ind w:left="708"/>
        <w:jc w:val="both"/>
        <w:rPr>
          <w:rFonts w:eastAsia="MS Mincho" w:cs="Times New Roman"/>
          <w:sz w:val="16"/>
          <w:szCs w:val="16"/>
          <w:lang w:val="pt-BR" w:eastAsia="es-ES"/>
        </w:rPr>
      </w:pPr>
      <w:r w:rsidRPr="00D5464D">
        <w:rPr>
          <w:rFonts w:eastAsia="MS Mincho" w:cs="Times New Roman"/>
          <w:i/>
          <w:sz w:val="16"/>
          <w:szCs w:val="16"/>
          <w:lang w:val="pt-BR" w:eastAsia="es-ES"/>
        </w:rPr>
        <w:t xml:space="preserve">92. No que diz respeito ao argumento do Estado de que até a data do proferimento da sentença da Corte Suprema não teria havido consenso a respeito da orientação sexual como categoria de discriminação proibida, a </w:t>
      </w:r>
      <w:r w:rsidRPr="00D5464D">
        <w:rPr>
          <w:rFonts w:eastAsia="MS Mincho" w:cs="Times New Roman"/>
          <w:i/>
          <w:sz w:val="16"/>
          <w:szCs w:val="16"/>
          <w:u w:val="single"/>
          <w:lang w:val="pt-BR" w:eastAsia="es-ES"/>
        </w:rPr>
        <w:t>Corte ressalta que a suposta falta de consenso interno de alguns países sobre o respeito pleno aos direitos das minorias sexuais não pode ser considerado</w:t>
      </w:r>
      <w:r w:rsidRPr="00D5464D">
        <w:rPr>
          <w:rFonts w:eastAsia="MS Mincho" w:cs="Times New Roman"/>
          <w:i/>
          <w:sz w:val="16"/>
          <w:szCs w:val="16"/>
          <w:lang w:val="pt-BR" w:eastAsia="es-ES"/>
        </w:rPr>
        <w:t xml:space="preserve"> argumento válido para negar-lhes ou restringir-lhes os direitos humanos ou </w:t>
      </w:r>
      <w:r w:rsidRPr="00D5464D">
        <w:rPr>
          <w:rFonts w:eastAsia="MS Mincho" w:cs="Times New Roman"/>
          <w:i/>
          <w:sz w:val="16"/>
          <w:szCs w:val="16"/>
          <w:u w:val="single"/>
          <w:lang w:val="pt-BR" w:eastAsia="es-ES"/>
        </w:rPr>
        <w:t>para perpetuar e reproduzir a discriminação histórica e estrutural que essas minorias têm sofrido.</w:t>
      </w:r>
      <w:r w:rsidRPr="00D5464D">
        <w:rPr>
          <w:rFonts w:eastAsia="MS Mincho" w:cs="Times New Roman"/>
          <w:i/>
          <w:sz w:val="16"/>
          <w:szCs w:val="16"/>
          <w:lang w:val="pt-BR" w:eastAsia="es-ES"/>
        </w:rPr>
        <w:t xml:space="preserve"> </w:t>
      </w:r>
      <w:r w:rsidRPr="00D5464D">
        <w:rPr>
          <w:rFonts w:eastAsia="MS Mincho" w:cs="Times New Roman"/>
          <w:sz w:val="16"/>
          <w:szCs w:val="16"/>
          <w:lang w:val="pt-BR" w:eastAsia="es-ES"/>
        </w:rPr>
        <w:t>[…] (Sem ênfase no original)</w:t>
      </w:r>
    </w:p>
    <w:p w14:paraId="32AB78C2" w14:textId="77777777" w:rsidR="00F16338" w:rsidRPr="00D5464D" w:rsidRDefault="00F16338" w:rsidP="00F16338">
      <w:pPr>
        <w:tabs>
          <w:tab w:val="clear" w:pos="4419"/>
          <w:tab w:val="clear" w:pos="8838"/>
        </w:tabs>
        <w:ind w:left="708"/>
        <w:jc w:val="both"/>
        <w:rPr>
          <w:rFonts w:eastAsia="MS Mincho" w:cs="Times New Roman"/>
          <w:i/>
          <w:szCs w:val="20"/>
          <w:lang w:val="pt-BR" w:eastAsia="es-ES"/>
        </w:rPr>
      </w:pPr>
    </w:p>
    <w:p w14:paraId="77448211" w14:textId="77777777" w:rsidR="00F16338" w:rsidRPr="00D5464D" w:rsidRDefault="00F16338" w:rsidP="00F306D7">
      <w:pPr>
        <w:numPr>
          <w:ilvl w:val="0"/>
          <w:numId w:val="26"/>
        </w:numPr>
        <w:tabs>
          <w:tab w:val="clear" w:pos="4419"/>
          <w:tab w:val="clear" w:pos="8838"/>
        </w:tabs>
        <w:contextualSpacing/>
        <w:jc w:val="both"/>
        <w:rPr>
          <w:rFonts w:eastAsia="Cambria" w:cs="Times New Roman"/>
          <w:i/>
          <w:szCs w:val="20"/>
          <w:lang w:val="pt-BR"/>
        </w:rPr>
      </w:pPr>
      <w:r w:rsidRPr="00D5464D">
        <w:rPr>
          <w:rFonts w:eastAsia="Cambria" w:cs="Times New Roman"/>
          <w:szCs w:val="20"/>
          <w:lang w:val="pt-BR"/>
        </w:rPr>
        <w:t xml:space="preserve">Quanto às reparações, o Tribunal Interamericano considerou naquele caso que: </w:t>
      </w:r>
    </w:p>
    <w:p w14:paraId="1A3EACFB" w14:textId="77777777" w:rsidR="00F16338" w:rsidRPr="00D5464D" w:rsidRDefault="00F16338" w:rsidP="00F16338">
      <w:pPr>
        <w:tabs>
          <w:tab w:val="clear" w:pos="4419"/>
          <w:tab w:val="clear" w:pos="8838"/>
        </w:tabs>
        <w:contextualSpacing/>
        <w:jc w:val="both"/>
        <w:rPr>
          <w:rFonts w:eastAsia="Cambria" w:cs="Times New Roman"/>
          <w:i/>
          <w:szCs w:val="20"/>
          <w:lang w:val="pt-BR"/>
        </w:rPr>
      </w:pPr>
    </w:p>
    <w:p w14:paraId="717ED4C0" w14:textId="77777777" w:rsidR="00F16338" w:rsidRPr="00D5464D" w:rsidRDefault="00F16338" w:rsidP="00F16338">
      <w:pPr>
        <w:tabs>
          <w:tab w:val="clear" w:pos="4419"/>
          <w:tab w:val="clear" w:pos="8838"/>
        </w:tabs>
        <w:ind w:left="708"/>
        <w:jc w:val="both"/>
        <w:rPr>
          <w:rFonts w:eastAsia="MS Mincho" w:cs="Times New Roman"/>
          <w:sz w:val="16"/>
          <w:szCs w:val="16"/>
          <w:lang w:val="pt-BR" w:eastAsia="es-ES"/>
        </w:rPr>
      </w:pPr>
      <w:r w:rsidRPr="00D5464D">
        <w:rPr>
          <w:rFonts w:eastAsia="MS Mincho" w:cs="Times New Roman"/>
          <w:i/>
          <w:sz w:val="16"/>
          <w:szCs w:val="16"/>
          <w:lang w:val="pt-BR" w:eastAsia="es-ES"/>
        </w:rPr>
        <w:t xml:space="preserve">267. A Corte ressalta que alguns atos discriminatórios analisados em capítulos anteriores </w:t>
      </w:r>
      <w:r w:rsidRPr="00D5464D">
        <w:rPr>
          <w:rFonts w:eastAsia="MS Mincho" w:cs="Times New Roman"/>
          <w:i/>
          <w:sz w:val="16"/>
          <w:szCs w:val="16"/>
          <w:u w:val="single"/>
          <w:lang w:val="pt-BR" w:eastAsia="es-ES"/>
        </w:rPr>
        <w:t>se relacionaram com a reprodução de estereótipos associados à discriminação estrutural e histórica que têm sofrido as minorias sexuais</w:t>
      </w:r>
      <w:r w:rsidRPr="00D5464D">
        <w:rPr>
          <w:rFonts w:eastAsia="MS Mincho" w:cs="Times New Roman"/>
          <w:i/>
          <w:sz w:val="16"/>
          <w:szCs w:val="16"/>
          <w:lang w:val="pt-BR" w:eastAsia="es-ES"/>
        </w:rPr>
        <w:t xml:space="preserve"> [...], especialmente em questões que dizem respeito ao acesso à justiça e à aplicação do direito interno. Por esse motivo, </w:t>
      </w:r>
      <w:r w:rsidRPr="00D5464D">
        <w:rPr>
          <w:rFonts w:eastAsia="MS Mincho" w:cs="Times New Roman"/>
          <w:i/>
          <w:sz w:val="16"/>
          <w:szCs w:val="16"/>
          <w:u w:val="single"/>
          <w:lang w:val="pt-BR" w:eastAsia="es-ES"/>
        </w:rPr>
        <w:t>algumas das reparações devem ter uma vocação transformadora dessa situação, de maneira a ter um efeito não só restituitório, mas também corretivo</w:t>
      </w:r>
      <w:r w:rsidRPr="00D5464D">
        <w:rPr>
          <w:rFonts w:eastAsia="MS Mincho" w:cs="Times New Roman"/>
          <w:i/>
          <w:sz w:val="16"/>
          <w:szCs w:val="16"/>
          <w:lang w:val="pt-BR" w:eastAsia="es-ES"/>
        </w:rPr>
        <w:t>, com vistas a mudanças estruturais que desarticulem os estereótipos e práticas que perpetuam a discriminação contra a população LGTBI.</w:t>
      </w:r>
      <w:r w:rsidRPr="00D5464D">
        <w:rPr>
          <w:rFonts w:eastAsia="MS Mincho" w:cs="Times New Roman"/>
          <w:sz w:val="16"/>
          <w:szCs w:val="20"/>
          <w:vertAlign w:val="superscript"/>
          <w:lang w:val="pt-BR" w:eastAsia="es-ES"/>
        </w:rPr>
        <w:footnoteReference w:id="637"/>
      </w:r>
      <w:r w:rsidRPr="00D5464D">
        <w:rPr>
          <w:rFonts w:eastAsia="MS Mincho" w:cs="Times New Roman"/>
          <w:i/>
          <w:sz w:val="16"/>
          <w:szCs w:val="16"/>
          <w:lang w:val="pt-BR" w:eastAsia="es-ES"/>
        </w:rPr>
        <w:t xml:space="preserve"> </w:t>
      </w:r>
      <w:r w:rsidRPr="00D5464D">
        <w:rPr>
          <w:rFonts w:eastAsia="MS Mincho" w:cs="Times New Roman"/>
          <w:sz w:val="16"/>
          <w:szCs w:val="16"/>
          <w:lang w:val="pt-BR" w:eastAsia="es-ES"/>
        </w:rPr>
        <w:t xml:space="preserve">(Sem ênfase no original) </w:t>
      </w:r>
    </w:p>
    <w:p w14:paraId="29B4B31A" w14:textId="77777777" w:rsidR="00F16338" w:rsidRPr="00D5464D" w:rsidRDefault="00F16338" w:rsidP="00F16338">
      <w:pPr>
        <w:tabs>
          <w:tab w:val="clear" w:pos="4419"/>
          <w:tab w:val="clear" w:pos="8838"/>
        </w:tabs>
        <w:rPr>
          <w:rFonts w:eastAsia="MS Mincho" w:cs="Times New Roman"/>
          <w:szCs w:val="20"/>
          <w:lang w:val="pt-BR" w:eastAsia="es-ES"/>
        </w:rPr>
      </w:pPr>
    </w:p>
    <w:p w14:paraId="1447AEC3" w14:textId="77777777" w:rsidR="00F16338" w:rsidRPr="00D5464D" w:rsidRDefault="00F16338" w:rsidP="00F306D7">
      <w:pPr>
        <w:numPr>
          <w:ilvl w:val="0"/>
          <w:numId w:val="26"/>
        </w:numPr>
        <w:tabs>
          <w:tab w:val="clear" w:pos="4419"/>
          <w:tab w:val="clear" w:pos="8838"/>
        </w:tabs>
        <w:jc w:val="both"/>
        <w:rPr>
          <w:rFonts w:eastAsia="MS Mincho" w:cs="Times New Roman"/>
          <w:szCs w:val="20"/>
          <w:lang w:val="pt-BR" w:eastAsia="es-ES"/>
        </w:rPr>
      </w:pPr>
      <w:r w:rsidRPr="00D5464D">
        <w:rPr>
          <w:rFonts w:eastAsia="MS Mincho" w:cs="Times New Roman"/>
          <w:szCs w:val="20"/>
          <w:lang w:val="pt-BR" w:eastAsia="es-ES"/>
        </w:rPr>
        <w:t xml:space="preserve">Finalmente, no caso </w:t>
      </w:r>
      <w:r w:rsidRPr="00D5464D">
        <w:rPr>
          <w:rFonts w:eastAsia="MS Mincho" w:cs="Times New Roman"/>
          <w:i/>
          <w:szCs w:val="20"/>
          <w:lang w:val="pt-BR" w:eastAsia="es-ES"/>
        </w:rPr>
        <w:t>Nadege Dorzema e outros Vs. República Dominicana</w:t>
      </w:r>
      <w:r w:rsidRPr="00D5464D">
        <w:rPr>
          <w:rFonts w:eastAsia="MS Mincho" w:cs="Times New Roman"/>
          <w:szCs w:val="20"/>
          <w:lang w:val="pt-BR" w:eastAsia="es-ES"/>
        </w:rPr>
        <w:t xml:space="preserve">, de ano 2012, sem se pronunciar sobre a discriminação estrutural, a Corte afirmou o seguinte sobre a discriminação indireta e de fato: </w:t>
      </w:r>
    </w:p>
    <w:p w14:paraId="1D0818CD" w14:textId="77777777" w:rsidR="00F16338" w:rsidRPr="00D5464D" w:rsidRDefault="00F16338" w:rsidP="00F16338">
      <w:pPr>
        <w:tabs>
          <w:tab w:val="clear" w:pos="4419"/>
          <w:tab w:val="clear" w:pos="8838"/>
        </w:tabs>
        <w:rPr>
          <w:rFonts w:eastAsia="MS Mincho" w:cs="Times New Roman"/>
          <w:szCs w:val="20"/>
          <w:lang w:val="pt-BR" w:eastAsia="es-ES"/>
        </w:rPr>
      </w:pPr>
    </w:p>
    <w:p w14:paraId="5AAC3F85" w14:textId="77777777" w:rsidR="00F16338" w:rsidRPr="00D5464D" w:rsidRDefault="00F16338" w:rsidP="00F16338">
      <w:pPr>
        <w:tabs>
          <w:tab w:val="clear" w:pos="4419"/>
          <w:tab w:val="clear" w:pos="8838"/>
        </w:tabs>
        <w:ind w:left="708"/>
        <w:contextualSpacing/>
        <w:jc w:val="both"/>
        <w:rPr>
          <w:rFonts w:eastAsia="Cambria" w:cs="Times New Roman"/>
          <w:sz w:val="16"/>
          <w:szCs w:val="16"/>
          <w:lang w:val="pt-BR"/>
        </w:rPr>
      </w:pPr>
      <w:r w:rsidRPr="00D5464D">
        <w:rPr>
          <w:rFonts w:eastAsia="Cambria" w:cs="Times New Roman"/>
          <w:i/>
          <w:sz w:val="16"/>
          <w:szCs w:val="16"/>
          <w:lang w:val="pt-BR"/>
        </w:rPr>
        <w:t xml:space="preserve">235. A </w:t>
      </w:r>
      <w:r w:rsidRPr="00D5464D">
        <w:rPr>
          <w:rFonts w:eastAsia="Cambria" w:cs="Times New Roman"/>
          <w:i/>
          <w:sz w:val="16"/>
          <w:szCs w:val="16"/>
          <w:u w:val="single"/>
          <w:lang w:val="pt-BR"/>
        </w:rPr>
        <w:t>Corte considera que uma violação do direito à igualdade e não discriminação se produz também diante de situações e casos de discriminação indireta</w:t>
      </w:r>
      <w:r w:rsidRPr="00D5464D">
        <w:rPr>
          <w:rFonts w:eastAsia="Cambria" w:cs="Times New Roman"/>
          <w:i/>
          <w:sz w:val="16"/>
          <w:szCs w:val="16"/>
          <w:lang w:val="pt-BR"/>
        </w:rPr>
        <w:t xml:space="preserve"> </w:t>
      </w:r>
      <w:r w:rsidRPr="00D5464D">
        <w:rPr>
          <w:rFonts w:eastAsia="Cambria" w:cs="Times New Roman"/>
          <w:sz w:val="16"/>
          <w:szCs w:val="16"/>
          <w:lang w:val="pt-BR"/>
        </w:rPr>
        <w:t xml:space="preserve">[…]. </w:t>
      </w:r>
    </w:p>
    <w:p w14:paraId="1D0DC35C" w14:textId="77777777" w:rsidR="00F16338" w:rsidRPr="00D5464D" w:rsidRDefault="00F16338" w:rsidP="00F16338">
      <w:pPr>
        <w:tabs>
          <w:tab w:val="clear" w:pos="4419"/>
          <w:tab w:val="clear" w:pos="8838"/>
        </w:tabs>
        <w:ind w:left="708"/>
        <w:contextualSpacing/>
        <w:jc w:val="both"/>
        <w:rPr>
          <w:rFonts w:eastAsia="Cambria" w:cs="Times New Roman"/>
          <w:sz w:val="16"/>
          <w:szCs w:val="16"/>
          <w:lang w:val="pt-BR"/>
        </w:rPr>
      </w:pPr>
    </w:p>
    <w:p w14:paraId="340C656F" w14:textId="77777777" w:rsidR="00F16338" w:rsidRPr="00D5464D" w:rsidRDefault="00F16338" w:rsidP="00F16338">
      <w:pPr>
        <w:tabs>
          <w:tab w:val="clear" w:pos="4419"/>
          <w:tab w:val="clear" w:pos="8838"/>
        </w:tabs>
        <w:ind w:left="708"/>
        <w:contextualSpacing/>
        <w:jc w:val="both"/>
        <w:rPr>
          <w:rFonts w:eastAsia="Cambria" w:cs="Times New Roman"/>
          <w:i/>
          <w:sz w:val="16"/>
          <w:szCs w:val="16"/>
          <w:lang w:val="pt-BR"/>
        </w:rPr>
      </w:pPr>
      <w:r w:rsidRPr="00D5464D">
        <w:rPr>
          <w:rFonts w:eastAsia="Cambria" w:cs="Times New Roman"/>
          <w:i/>
          <w:sz w:val="16"/>
          <w:szCs w:val="16"/>
          <w:lang w:val="pt-BR"/>
        </w:rPr>
        <w:t>237. Portanto, a Corte observa que, no presente caso, a situação de especial vulnerabilidade dos imigrantes haitianos se devia, inter alia, a: i) a falta de medidas preventivas para enfrentar de maneira adequada situações relacionadas ao controle migratório na fronteira terrestre com o Haiti e em consideração de sua situação de vulnerabilidade; ii) a violência usada através do uso ilegítimo e desproporcional da força contra pessoas migrantes desarmadas; iii) a falta de investigação desta violência, a falta de declarações e participação das vítimas no processo penal e a impunidade dos fatos; iv) as detenções e a expulsão coletiva sem as devidas garantias; v) a falta de atenção e tratamento médico adequado às vítimas feridas, e vi) o tratamento degradante aos cadáveres e a falta de sua entrega aos familiares.</w:t>
      </w:r>
    </w:p>
    <w:p w14:paraId="5A9C11F7" w14:textId="77777777" w:rsidR="00F16338" w:rsidRPr="00D5464D" w:rsidRDefault="00F16338" w:rsidP="00F16338">
      <w:pPr>
        <w:tabs>
          <w:tab w:val="clear" w:pos="4419"/>
          <w:tab w:val="clear" w:pos="8838"/>
        </w:tabs>
        <w:ind w:left="708"/>
        <w:contextualSpacing/>
        <w:jc w:val="both"/>
        <w:rPr>
          <w:rFonts w:eastAsia="Cambria" w:cs="Times New Roman"/>
          <w:i/>
          <w:sz w:val="16"/>
          <w:szCs w:val="16"/>
          <w:lang w:val="pt-BR"/>
        </w:rPr>
      </w:pPr>
    </w:p>
    <w:p w14:paraId="306A04E0" w14:textId="77777777" w:rsidR="00F16338" w:rsidRPr="00D5464D" w:rsidRDefault="00F16338" w:rsidP="00F16338">
      <w:pPr>
        <w:tabs>
          <w:tab w:val="clear" w:pos="4419"/>
          <w:tab w:val="clear" w:pos="8838"/>
        </w:tabs>
        <w:ind w:left="708"/>
        <w:contextualSpacing/>
        <w:jc w:val="both"/>
        <w:rPr>
          <w:rFonts w:eastAsia="Cambria" w:cs="Times New Roman"/>
          <w:i/>
          <w:sz w:val="16"/>
          <w:szCs w:val="16"/>
          <w:lang w:val="pt-BR"/>
        </w:rPr>
      </w:pPr>
      <w:r w:rsidRPr="00D5464D">
        <w:rPr>
          <w:rFonts w:eastAsia="Cambria" w:cs="Times New Roman"/>
          <w:i/>
          <w:sz w:val="16"/>
          <w:szCs w:val="16"/>
          <w:lang w:val="pt-BR"/>
        </w:rPr>
        <w:t>238.</w:t>
      </w:r>
      <w:r w:rsidRPr="00D5464D">
        <w:rPr>
          <w:rFonts w:eastAsia="Cambria" w:cs="Times New Roman"/>
          <w:i/>
          <w:sz w:val="16"/>
          <w:szCs w:val="16"/>
          <w:u w:val="single"/>
          <w:lang w:val="pt-BR"/>
        </w:rPr>
        <w:t xml:space="preserve"> Toda a exposição anterior evidencia que, no presente caso, existiu uma discriminação de facto em prejuízo das vítimas por sua condição de migrantes, o que derivou em uma marginalização no gozo dos direitos que a Corte declarou violados nesta Sentença</w:t>
      </w:r>
      <w:r w:rsidRPr="00D5464D">
        <w:rPr>
          <w:rFonts w:eastAsia="Cambria" w:cs="Times New Roman"/>
          <w:i/>
          <w:sz w:val="16"/>
          <w:szCs w:val="16"/>
          <w:lang w:val="pt-BR"/>
        </w:rPr>
        <w:t>. Portanto, a Corte conclui que o Estado não respeitou nem garantiu os direitos dos migrantes haitianos, sem discriminação, em violação do artigo 1.1 da Convenção Americana, em relação aos artigos 2, 4, 5, 7, 8, 22.9 e 25 da mesma.</w:t>
      </w:r>
      <w:r w:rsidRPr="00D5464D">
        <w:rPr>
          <w:rFonts w:eastAsia="Cambria" w:cs="Times New Roman"/>
          <w:sz w:val="16"/>
          <w:szCs w:val="20"/>
          <w:vertAlign w:val="superscript"/>
          <w:lang w:val="pt-BR"/>
        </w:rPr>
        <w:footnoteReference w:id="638"/>
      </w:r>
      <w:r w:rsidRPr="00D5464D">
        <w:rPr>
          <w:rFonts w:eastAsia="Cambria" w:cs="Times New Roman"/>
          <w:i/>
          <w:sz w:val="16"/>
          <w:szCs w:val="16"/>
          <w:lang w:val="pt-BR"/>
        </w:rPr>
        <w:t xml:space="preserve"> </w:t>
      </w:r>
      <w:r w:rsidRPr="00D5464D">
        <w:rPr>
          <w:rFonts w:eastAsia="Cambria" w:cs="Times New Roman"/>
          <w:sz w:val="16"/>
          <w:szCs w:val="16"/>
          <w:lang w:val="pt-BR"/>
        </w:rPr>
        <w:t>(Sem ênfase no original)</w:t>
      </w:r>
    </w:p>
    <w:p w14:paraId="6E49DE8A" w14:textId="77777777" w:rsidR="00F16338" w:rsidRPr="00D5464D" w:rsidRDefault="00F16338" w:rsidP="00F16338">
      <w:pPr>
        <w:tabs>
          <w:tab w:val="clear" w:pos="4419"/>
          <w:tab w:val="clear" w:pos="8838"/>
        </w:tabs>
        <w:rPr>
          <w:rFonts w:eastAsia="MS Mincho" w:cs="Times New Roman"/>
          <w:i/>
          <w:szCs w:val="20"/>
          <w:lang w:val="pt-BR" w:eastAsia="es-ES"/>
        </w:rPr>
      </w:pPr>
    </w:p>
    <w:p w14:paraId="22EB33D1" w14:textId="77777777" w:rsidR="00F16338" w:rsidRPr="00D5464D" w:rsidRDefault="00F16338" w:rsidP="00F306D7">
      <w:pPr>
        <w:numPr>
          <w:ilvl w:val="0"/>
          <w:numId w:val="26"/>
        </w:numPr>
        <w:tabs>
          <w:tab w:val="clear" w:pos="4419"/>
          <w:tab w:val="clear" w:pos="8838"/>
        </w:tabs>
        <w:contextualSpacing/>
        <w:jc w:val="both"/>
        <w:rPr>
          <w:rFonts w:eastAsia="Cambria" w:cs="System Font Regular"/>
          <w:color w:val="16191F"/>
          <w:szCs w:val="20"/>
          <w:lang w:val="pt-BR"/>
        </w:rPr>
      </w:pPr>
      <w:r w:rsidRPr="00D5464D">
        <w:rPr>
          <w:rFonts w:eastAsia="Cambria" w:cs="Arial"/>
          <w:szCs w:val="20"/>
          <w:lang w:val="pt-BR"/>
        </w:rPr>
        <w:t xml:space="preserve">Assim, a Corte IDH já avaliou o impacto da discriminação indireta em contextos de discriminação </w:t>
      </w:r>
      <w:r w:rsidRPr="00D5464D">
        <w:rPr>
          <w:rFonts w:eastAsia="Cambria" w:cs="Arial"/>
          <w:i/>
          <w:szCs w:val="20"/>
          <w:lang w:val="pt-BR"/>
        </w:rPr>
        <w:t>de</w:t>
      </w:r>
      <w:r w:rsidRPr="00D5464D">
        <w:rPr>
          <w:rFonts w:eastAsia="Cambria" w:cs="Arial"/>
          <w:szCs w:val="20"/>
          <w:lang w:val="pt-BR"/>
        </w:rPr>
        <w:t xml:space="preserve"> </w:t>
      </w:r>
      <w:r w:rsidRPr="00D5464D">
        <w:rPr>
          <w:rFonts w:eastAsia="Cambria" w:cs="Arial"/>
          <w:i/>
          <w:szCs w:val="20"/>
          <w:lang w:val="pt-BR"/>
        </w:rPr>
        <w:t>facto.</w:t>
      </w:r>
      <w:r w:rsidRPr="00D5464D">
        <w:rPr>
          <w:rFonts w:eastAsia="Cambria" w:cs="Times New Roman"/>
          <w:szCs w:val="20"/>
          <w:vertAlign w:val="superscript"/>
          <w:lang w:val="pt-BR"/>
        </w:rPr>
        <w:footnoteReference w:id="639"/>
      </w:r>
      <w:r w:rsidRPr="00D5464D">
        <w:rPr>
          <w:rFonts w:eastAsia="Cambria" w:cs="Arial"/>
          <w:szCs w:val="20"/>
          <w:lang w:val="pt-BR"/>
        </w:rPr>
        <w:t xml:space="preserve"> Desta forma, a discriminação indireta (ou de resultado) se configura quando as normas e práticas são aparentemente neutras, mas o resultado de seu conteúdo ou aplicação produz um impacto desproporcional em pessoas ou grupos de pessoas em situação de desvantagem histórica, justamente em razão dessa desvantagem; sem que exista uma justificativa objetiva e razoável, a qual se materializa na existência de fatores estruturais e contextuais que devem ser analisados caso a caso. </w:t>
      </w:r>
    </w:p>
    <w:p w14:paraId="342FB11E" w14:textId="77777777" w:rsidR="00F16338" w:rsidRPr="00D5464D" w:rsidRDefault="00F16338" w:rsidP="00F16338">
      <w:pPr>
        <w:tabs>
          <w:tab w:val="clear" w:pos="4419"/>
          <w:tab w:val="clear" w:pos="8838"/>
        </w:tabs>
        <w:contextualSpacing/>
        <w:jc w:val="both"/>
        <w:rPr>
          <w:rFonts w:eastAsia="Cambria" w:cs="Times New Roman"/>
          <w:szCs w:val="20"/>
          <w:lang w:val="pt-BR"/>
        </w:rPr>
      </w:pPr>
    </w:p>
    <w:p w14:paraId="24AA9DB9" w14:textId="77777777" w:rsidR="00F16338" w:rsidRPr="00D5464D" w:rsidRDefault="00F16338" w:rsidP="00F306D7">
      <w:pPr>
        <w:numPr>
          <w:ilvl w:val="0"/>
          <w:numId w:val="26"/>
        </w:numPr>
        <w:tabs>
          <w:tab w:val="clear" w:pos="4419"/>
          <w:tab w:val="clear" w:pos="8838"/>
        </w:tabs>
        <w:contextualSpacing/>
        <w:jc w:val="both"/>
        <w:rPr>
          <w:rFonts w:eastAsia="Cambria" w:cs="Times New Roman"/>
          <w:szCs w:val="20"/>
          <w:lang w:val="pt-BR"/>
        </w:rPr>
      </w:pPr>
      <w:r w:rsidRPr="00D5464D">
        <w:rPr>
          <w:rFonts w:eastAsia="Cambria" w:cs="Times New Roman"/>
          <w:szCs w:val="20"/>
          <w:lang w:val="pt-BR"/>
        </w:rPr>
        <w:t xml:space="preserve">Nestes quatro casos, o Tribunal Interamericano reconheceu a existência de fatores estruturais, indiretos ou de fato, que interferem no gozo e exercício de alguns direitos contemplados na Convenção Americana. Nesse sentido, o princípio de igualdade, entendido como proibição de discriminação, é uma concepção limitada para algumas situações que se baseiam em discriminações indiretas que têm seu fundamento em circunstâncias de </w:t>
      </w:r>
      <w:r w:rsidRPr="00D5464D">
        <w:rPr>
          <w:rFonts w:eastAsia="Cambria" w:cs="Times New Roman"/>
          <w:i/>
          <w:szCs w:val="20"/>
          <w:lang w:val="pt-BR"/>
        </w:rPr>
        <w:t>fato</w:t>
      </w:r>
      <w:r w:rsidRPr="00D5464D">
        <w:rPr>
          <w:rFonts w:eastAsia="Cambria" w:cs="Times New Roman"/>
          <w:szCs w:val="20"/>
          <w:lang w:val="pt-BR"/>
        </w:rPr>
        <w:t xml:space="preserve">. Desta maneira, é necessário entender a não discriminação à luz de uma situação de desvantagem vivenciada por alguns grupos e que, portanto, podem submetê-los a condições históricas de discriminação, as quais, em algumas ocasiões, encontram-se apoiadas pela sociedade. Os </w:t>
      </w:r>
      <w:r w:rsidRPr="00D5464D">
        <w:rPr>
          <w:rFonts w:eastAsia="Cambria" w:cs="Arial"/>
          <w:lang w:val="pt-BR"/>
        </w:rPr>
        <w:t xml:space="preserve">elementos estruturais e contextuais produzidos com a discriminação indireta ou de fato permitem determinar se, à luz do artigo 1.1 da Convenção Americana, um grupo determinado de pessoas está diante de  uma situação de discriminação estrutural. </w:t>
      </w:r>
    </w:p>
    <w:p w14:paraId="4071832C" w14:textId="77777777" w:rsidR="00F16338" w:rsidRPr="00D5464D" w:rsidRDefault="00F16338" w:rsidP="00F16338">
      <w:pPr>
        <w:tabs>
          <w:tab w:val="clear" w:pos="4419"/>
          <w:tab w:val="clear" w:pos="8838"/>
        </w:tabs>
        <w:rPr>
          <w:rFonts w:eastAsia="MS Mincho" w:cs="Arial"/>
          <w:sz w:val="24"/>
          <w:szCs w:val="24"/>
          <w:lang w:val="pt-BR" w:eastAsia="es-ES"/>
        </w:rPr>
      </w:pPr>
    </w:p>
    <w:p w14:paraId="5DC1F4F7" w14:textId="77777777" w:rsidR="00F16338" w:rsidRPr="00D5464D" w:rsidRDefault="00F16338" w:rsidP="00F306D7">
      <w:pPr>
        <w:numPr>
          <w:ilvl w:val="0"/>
          <w:numId w:val="26"/>
        </w:numPr>
        <w:tabs>
          <w:tab w:val="clear" w:pos="4419"/>
          <w:tab w:val="clear" w:pos="8838"/>
        </w:tabs>
        <w:contextualSpacing/>
        <w:jc w:val="both"/>
        <w:rPr>
          <w:rFonts w:eastAsia="Cambria" w:cs="System Font Regular"/>
          <w:color w:val="16191F"/>
          <w:szCs w:val="20"/>
          <w:lang w:val="pt-BR"/>
        </w:rPr>
      </w:pPr>
      <w:r w:rsidRPr="00D5464D">
        <w:rPr>
          <w:rFonts w:eastAsia="Cambria" w:cs="Arial"/>
          <w:lang w:val="pt-BR"/>
        </w:rPr>
        <w:t>Estes são alguns elementos que devem ser levados em consideração, de maneira enunciativa, mas não limitadora, para determinar se, derivado de um contexto ou de padrões coletivos ou massivos, estamos frente a uma situação de discriminação estrutural. Nesse sentido, os casos mencionados levaram em consideração que se tratavam de: i) um grupo ou grupos de pessoas com características imutáveis ou imodificáveis pela própria vontade da pessoa ou que estão relacionados</w:t>
      </w:r>
      <w:r w:rsidRPr="00D5464D">
        <w:rPr>
          <w:rFonts w:eastAsia="Cambria" w:cs="System Font Regular"/>
          <w:color w:val="16191F"/>
          <w:szCs w:val="20"/>
          <w:lang w:val="pt-BR"/>
        </w:rPr>
        <w:t xml:space="preserve"> </w:t>
      </w:r>
      <w:r w:rsidRPr="00D5464D">
        <w:rPr>
          <w:rFonts w:eastAsia="Cambria" w:cs="Arial"/>
          <w:lang w:val="pt-BR"/>
        </w:rPr>
        <w:t xml:space="preserve">a fatores históricos de práticas discriminatórias, podendo ser este grupo de pessoas uma minoria ou maioria; ii) que estes grupos se encontravam em uma situação sistemática e histórica de exclusão, marginalização ou subordinação que os impedia de ter acesso a condições básicas de desenvolvimento humano; iii) que a situação de exclusão, marginalização ou subordinação se concentra em uma região geográfica determinada ou pode também ser generalizada em todo o território de um Estado e, em alguns casos, pode ser intergeracional; e iv) que as pessoas pertencentes a estes grupos, sem importar a intenção da norma, a neutralidade ou a menção expressa de alguma distinção ou restrição explícita baseada nos enunciados e interpretações do artigo 1.1 da Convenção Americana, são vítimas de discriminação indireta ou de discriminação </w:t>
      </w:r>
      <w:r w:rsidRPr="00D5464D">
        <w:rPr>
          <w:rFonts w:eastAsia="Cambria" w:cs="Arial"/>
          <w:i/>
          <w:lang w:val="pt-BR"/>
        </w:rPr>
        <w:t>de</w:t>
      </w:r>
      <w:r w:rsidRPr="00D5464D">
        <w:rPr>
          <w:rFonts w:eastAsia="Cambria" w:cs="Arial"/>
          <w:lang w:val="pt-BR"/>
        </w:rPr>
        <w:t xml:space="preserve"> </w:t>
      </w:r>
      <w:r w:rsidRPr="00D5464D">
        <w:rPr>
          <w:rFonts w:eastAsia="Cambria" w:cs="Arial"/>
          <w:i/>
          <w:lang w:val="pt-BR"/>
        </w:rPr>
        <w:t>facto,</w:t>
      </w:r>
      <w:r w:rsidRPr="00D5464D">
        <w:rPr>
          <w:rFonts w:eastAsia="Cambria" w:cs="Arial"/>
          <w:lang w:val="pt-BR"/>
        </w:rPr>
        <w:t xml:space="preserve"> em virtude das atuações ou da aplicação de medidas ou ações implementadas pelo Estado.</w:t>
      </w:r>
    </w:p>
    <w:p w14:paraId="74DF9A98" w14:textId="77777777" w:rsidR="00F16338" w:rsidRPr="00D5464D" w:rsidRDefault="00F16338" w:rsidP="00F16338">
      <w:pPr>
        <w:tabs>
          <w:tab w:val="clear" w:pos="4419"/>
          <w:tab w:val="clear" w:pos="8838"/>
        </w:tabs>
        <w:contextualSpacing/>
        <w:jc w:val="both"/>
        <w:rPr>
          <w:rFonts w:eastAsia="Cambria" w:cs="System Font Regular"/>
          <w:color w:val="16191F"/>
          <w:szCs w:val="20"/>
          <w:lang w:val="pt-BR"/>
        </w:rPr>
      </w:pPr>
    </w:p>
    <w:p w14:paraId="413AA484" w14:textId="77777777" w:rsidR="00F16338" w:rsidRPr="00D5464D" w:rsidRDefault="00F16338" w:rsidP="00F16338">
      <w:pPr>
        <w:tabs>
          <w:tab w:val="clear" w:pos="4419"/>
          <w:tab w:val="clear" w:pos="8838"/>
        </w:tabs>
        <w:contextualSpacing/>
        <w:jc w:val="both"/>
        <w:rPr>
          <w:rFonts w:eastAsia="Cambria" w:cs="System Font Regular"/>
          <w:color w:val="16191F"/>
          <w:szCs w:val="20"/>
          <w:lang w:val="pt-BR"/>
        </w:rPr>
      </w:pPr>
    </w:p>
    <w:p w14:paraId="01C639FE" w14:textId="77777777" w:rsidR="00F16338" w:rsidRPr="00D5464D" w:rsidRDefault="00F16338" w:rsidP="00F16338">
      <w:pPr>
        <w:tabs>
          <w:tab w:val="clear" w:pos="4419"/>
          <w:tab w:val="clear" w:pos="8838"/>
        </w:tabs>
        <w:contextualSpacing/>
        <w:jc w:val="center"/>
        <w:rPr>
          <w:rFonts w:eastAsia="Cambria" w:cs="Times New Roman"/>
          <w:szCs w:val="20"/>
          <w:lang w:val="pt-BR"/>
        </w:rPr>
      </w:pPr>
      <w:r w:rsidRPr="00D5464D">
        <w:rPr>
          <w:rFonts w:eastAsia="Cambria" w:cs="Times New Roman"/>
          <w:szCs w:val="20"/>
          <w:lang w:val="pt-BR"/>
        </w:rPr>
        <w:t xml:space="preserve">VI. O ALCANCE DA DISCRIMINAÇÃO ESTRUTURAL HISTÓRICA NO CASO DOS TRABALHADORES DA FAZENDA BRASIL VERDE </w:t>
      </w:r>
    </w:p>
    <w:p w14:paraId="2CAB772D" w14:textId="77777777" w:rsidR="00F16338" w:rsidRPr="00D5464D" w:rsidRDefault="00F16338" w:rsidP="00F16338">
      <w:pPr>
        <w:tabs>
          <w:tab w:val="clear" w:pos="4419"/>
          <w:tab w:val="clear" w:pos="8838"/>
        </w:tabs>
        <w:rPr>
          <w:rFonts w:eastAsia="MS Mincho" w:cs="System Font Regular"/>
          <w:color w:val="16191F"/>
          <w:szCs w:val="20"/>
          <w:lang w:val="pt-BR" w:eastAsia="es-ES"/>
        </w:rPr>
      </w:pPr>
    </w:p>
    <w:p w14:paraId="4907D224" w14:textId="77777777" w:rsidR="00F16338" w:rsidRPr="00D5464D" w:rsidRDefault="00F16338" w:rsidP="00F16338">
      <w:pPr>
        <w:tabs>
          <w:tab w:val="clear" w:pos="4419"/>
          <w:tab w:val="clear" w:pos="8838"/>
        </w:tabs>
        <w:rPr>
          <w:rFonts w:eastAsia="MS Mincho" w:cs="System Font Regular"/>
          <w:color w:val="16191F"/>
          <w:szCs w:val="20"/>
          <w:lang w:val="pt-BR" w:eastAsia="es-ES"/>
        </w:rPr>
      </w:pPr>
    </w:p>
    <w:p w14:paraId="4C1582EC" w14:textId="77777777" w:rsidR="00F16338" w:rsidRPr="00D5464D" w:rsidRDefault="00F16338" w:rsidP="00F306D7">
      <w:pPr>
        <w:numPr>
          <w:ilvl w:val="0"/>
          <w:numId w:val="26"/>
        </w:numPr>
        <w:tabs>
          <w:tab w:val="clear" w:pos="4419"/>
          <w:tab w:val="clear" w:pos="8838"/>
        </w:tabs>
        <w:contextualSpacing/>
        <w:jc w:val="both"/>
        <w:rPr>
          <w:rFonts w:eastAsia="Cambria" w:cs="Times New Roman"/>
          <w:lang w:val="pt-BR"/>
        </w:rPr>
      </w:pPr>
      <w:r w:rsidRPr="00D5464D">
        <w:rPr>
          <w:rFonts w:eastAsia="Cambria" w:cs="Times New Roman"/>
          <w:lang w:val="pt-BR"/>
        </w:rPr>
        <w:t>No presente caso, a Corte IDH considerou provado que o comércio de escravos esteve historicamente ligado ao trabalho forçado no Brasil.</w:t>
      </w:r>
      <w:r w:rsidRPr="00D5464D">
        <w:rPr>
          <w:rFonts w:eastAsia="Cambria" w:cs="Times New Roman"/>
          <w:szCs w:val="20"/>
          <w:vertAlign w:val="superscript"/>
          <w:lang w:val="pt-BR"/>
        </w:rPr>
        <w:footnoteReference w:id="640"/>
      </w:r>
      <w:r w:rsidRPr="00D5464D">
        <w:rPr>
          <w:rFonts w:eastAsia="Cambria" w:cs="Times New Roman"/>
          <w:lang w:val="pt-BR"/>
        </w:rPr>
        <w:t xml:space="preserve"> No entanto, apesar de a escravidão ter sido abolida (1888), a pobreza e a concentração da propriedade das terras foram causas estruturais que provocaram a continuação do trabalho escravo no Brasil e, ao não terem terras próprias nem situações laborais estáveis, muitos trabalhadores no Brasil se submetiam a situações de exploração, aceitando o risco de cair em condições de trabalho desumanas e degradantes. Em 2010, a OIT considerou que existiam aproximadamente 25.000 pessoas submetidas a trabalho forçado no território brasileiro.</w:t>
      </w:r>
      <w:r w:rsidRPr="00D5464D">
        <w:rPr>
          <w:rFonts w:eastAsia="Cambria" w:cs="Times New Roman"/>
          <w:szCs w:val="20"/>
          <w:vertAlign w:val="superscript"/>
          <w:lang w:val="pt-BR"/>
        </w:rPr>
        <w:footnoteReference w:id="641"/>
      </w:r>
      <w:r w:rsidRPr="00D5464D">
        <w:rPr>
          <w:rFonts w:eastAsia="Cambria" w:cs="Times New Roman"/>
          <w:lang w:val="pt-BR"/>
        </w:rPr>
        <w:t xml:space="preserve"> Além disso, foi provado que a maior quantidade de vítimas de trabalho escravo no Brasil são trabalhadores originários das regiões dos estados que se caracterizam por serem os mais pobres, com maiores índices de analfabetismo e de emprego rural (Maranhão, Píauí, Tocatins), entre outros. Os trabalhadores destes estados se dirigem àqueles com maior demanda por trabalho escravo: Pará, Mato Grosso e Tocantins.</w:t>
      </w:r>
      <w:r w:rsidRPr="00D5464D">
        <w:rPr>
          <w:rFonts w:eastAsia="Cambria" w:cs="Times New Roman"/>
          <w:szCs w:val="20"/>
          <w:vertAlign w:val="superscript"/>
          <w:lang w:val="pt-BR"/>
        </w:rPr>
        <w:footnoteReference w:id="642"/>
      </w:r>
      <w:r w:rsidRPr="00D5464D">
        <w:rPr>
          <w:rFonts w:eastAsia="Cambria" w:cs="Times New Roman"/>
          <w:lang w:val="pt-BR"/>
        </w:rPr>
        <w:t>Os trabalhadores, em sua maioria homens pobres, afrodescendentes ou mulatos, entre 18 e 40 anos, são recrutados em seus estados de origem por “gatos” para trabalhar em Estados longínquos, com a promessa de salários atrativos.</w:t>
      </w:r>
      <w:r w:rsidRPr="00D5464D">
        <w:rPr>
          <w:rFonts w:eastAsia="Cambria" w:cs="Times New Roman"/>
          <w:szCs w:val="20"/>
          <w:vertAlign w:val="superscript"/>
          <w:lang w:val="pt-BR"/>
        </w:rPr>
        <w:footnoteReference w:id="643"/>
      </w:r>
      <w:r w:rsidRPr="00D5464D">
        <w:rPr>
          <w:rFonts w:eastAsia="Cambria" w:cs="Times New Roman"/>
          <w:b/>
          <w:lang w:val="pt-BR"/>
        </w:rPr>
        <w:t xml:space="preserve"> </w:t>
      </w:r>
    </w:p>
    <w:p w14:paraId="704C7B63" w14:textId="77777777" w:rsidR="00F16338" w:rsidRPr="00D5464D" w:rsidRDefault="00F16338" w:rsidP="00F16338">
      <w:pPr>
        <w:tabs>
          <w:tab w:val="clear" w:pos="4419"/>
          <w:tab w:val="clear" w:pos="8838"/>
        </w:tabs>
        <w:contextualSpacing/>
        <w:jc w:val="both"/>
        <w:rPr>
          <w:rFonts w:eastAsia="Cambria" w:cs="Times New Roman"/>
          <w:lang w:val="pt-BR"/>
        </w:rPr>
      </w:pPr>
    </w:p>
    <w:p w14:paraId="41267522" w14:textId="77777777" w:rsidR="00F16338" w:rsidRPr="00D5464D" w:rsidRDefault="00F16338" w:rsidP="00F306D7">
      <w:pPr>
        <w:numPr>
          <w:ilvl w:val="0"/>
          <w:numId w:val="26"/>
        </w:numPr>
        <w:tabs>
          <w:tab w:val="clear" w:pos="4419"/>
          <w:tab w:val="clear" w:pos="8838"/>
        </w:tabs>
        <w:contextualSpacing/>
        <w:jc w:val="both"/>
        <w:rPr>
          <w:rFonts w:eastAsia="Cambria" w:cs="Times New Roman"/>
          <w:lang w:val="pt-BR"/>
        </w:rPr>
      </w:pPr>
      <w:r w:rsidRPr="00D5464D">
        <w:rPr>
          <w:rFonts w:eastAsia="Cambria" w:cs="Times New Roman"/>
          <w:lang w:val="pt-BR"/>
        </w:rPr>
        <w:t xml:space="preserve">Quanto à localização geográfica das fazendas, a </w:t>
      </w:r>
      <w:r w:rsidRPr="00D5464D">
        <w:rPr>
          <w:rFonts w:eastAsia="Cambria" w:cs="Times New Roman"/>
          <w:szCs w:val="20"/>
          <w:lang w:val="pt-BR"/>
        </w:rPr>
        <w:t>Corte IDH considerou que esta localização era, por si mesma, um elemento que limitava a liberdade dos trabalhadores, posto que, muitas vezes, o acesso a centros urbanos era quase impossível, devido não apenas à distância, mas também à precariedade das vias de acesso</w:t>
      </w:r>
      <w:r w:rsidRPr="00D5464D">
        <w:rPr>
          <w:rFonts w:eastAsia="Cambria" w:cs="Times New Roman"/>
          <w:lang w:val="pt-BR"/>
        </w:rPr>
        <w:t>. De igual modo, devido à sua extrema pobreza, seu desespero para trabalhar e sua situação de vulnerabilidade, aceitam condições de trabalho precárias.</w:t>
      </w:r>
      <w:r w:rsidRPr="00D5464D">
        <w:rPr>
          <w:rFonts w:eastAsia="Cambria" w:cs="Times New Roman"/>
          <w:szCs w:val="20"/>
          <w:vertAlign w:val="superscript"/>
          <w:lang w:val="pt-BR"/>
        </w:rPr>
        <w:footnoteReference w:id="644"/>
      </w:r>
      <w:r w:rsidRPr="00D5464D">
        <w:rPr>
          <w:rFonts w:eastAsia="Cambria" w:cs="Times New Roman"/>
          <w:lang w:val="pt-BR"/>
        </w:rPr>
        <w:t xml:space="preserve"> No tocante às investigações sobre estes fatos, de acordo com a OIT, a impunidade em relação à submissão ao trabalho escravo se deve à articulação dos fazendeiros com setores dos poderes federais, estaduais e municipais do Brasil. Muitos fazendeiros exercem domínio e influência em diferentes instâncias do poder nacional, seja de forma direta ou indireta.</w:t>
      </w:r>
      <w:r w:rsidRPr="00D5464D">
        <w:rPr>
          <w:rFonts w:eastAsia="Cambria" w:cs="Times New Roman"/>
          <w:szCs w:val="20"/>
          <w:vertAlign w:val="superscript"/>
          <w:lang w:val="pt-BR"/>
        </w:rPr>
        <w:footnoteReference w:id="645"/>
      </w:r>
      <w:r w:rsidRPr="00D5464D">
        <w:rPr>
          <w:rFonts w:eastAsia="Cambria" w:cs="Times New Roman"/>
          <w:lang w:val="pt-BR"/>
        </w:rPr>
        <w:t xml:space="preserve"> A Fazenda Brasil Verde se encontrava no Estado do Pará.</w:t>
      </w:r>
      <w:r w:rsidRPr="00D5464D">
        <w:rPr>
          <w:rFonts w:eastAsia="Cambria" w:cs="Times New Roman"/>
          <w:szCs w:val="20"/>
          <w:vertAlign w:val="superscript"/>
          <w:lang w:val="pt-BR"/>
        </w:rPr>
        <w:footnoteReference w:id="646"/>
      </w:r>
      <w:r w:rsidRPr="00D5464D">
        <w:rPr>
          <w:rFonts w:eastAsia="Cambria" w:cs="Times New Roman"/>
          <w:b/>
          <w:lang w:val="pt-BR"/>
        </w:rPr>
        <w:t xml:space="preserve"> </w:t>
      </w:r>
    </w:p>
    <w:p w14:paraId="7B68700A" w14:textId="77777777" w:rsidR="00F16338" w:rsidRPr="00D5464D" w:rsidRDefault="00F16338" w:rsidP="00F16338">
      <w:pPr>
        <w:tabs>
          <w:tab w:val="clear" w:pos="4419"/>
          <w:tab w:val="clear" w:pos="8838"/>
        </w:tabs>
        <w:contextualSpacing/>
        <w:jc w:val="both"/>
        <w:rPr>
          <w:rFonts w:eastAsia="Cambria" w:cs="Times New Roman"/>
          <w:b/>
          <w:lang w:val="pt-BR"/>
        </w:rPr>
      </w:pPr>
    </w:p>
    <w:p w14:paraId="709F35E7" w14:textId="77777777" w:rsidR="00F16338" w:rsidRPr="00D5464D" w:rsidRDefault="00F16338" w:rsidP="00F306D7">
      <w:pPr>
        <w:numPr>
          <w:ilvl w:val="0"/>
          <w:numId w:val="26"/>
        </w:numPr>
        <w:tabs>
          <w:tab w:val="clear" w:pos="4419"/>
          <w:tab w:val="clear" w:pos="8838"/>
        </w:tabs>
        <w:contextualSpacing/>
        <w:jc w:val="both"/>
        <w:rPr>
          <w:rFonts w:eastAsia="Cambria" w:cs="Times New Roman"/>
          <w:b/>
          <w:lang w:val="pt-BR"/>
        </w:rPr>
      </w:pPr>
      <w:r w:rsidRPr="00D5464D">
        <w:rPr>
          <w:rFonts w:eastAsia="Cambria" w:cs="Times New Roman"/>
          <w:lang w:val="pt-BR"/>
        </w:rPr>
        <w:t>A Corte declarou na Sentença que os trabalhadores resgatados da Fazenda Brasil Verde se encontravam em uma situação de servidão por dívida e de submissão a trabalhos forçados e que existiam fatores que potencializavam sua vulnerabilidade.</w:t>
      </w:r>
      <w:r w:rsidRPr="00D5464D">
        <w:rPr>
          <w:rFonts w:eastAsia="Cambria" w:cs="Times New Roman"/>
          <w:szCs w:val="20"/>
          <w:vertAlign w:val="superscript"/>
          <w:lang w:val="pt-BR"/>
        </w:rPr>
        <w:footnoteReference w:id="647"/>
      </w:r>
      <w:r w:rsidRPr="00D5464D">
        <w:rPr>
          <w:rFonts w:eastAsia="Cambria" w:cs="Times New Roman"/>
          <w:lang w:val="pt-BR"/>
        </w:rPr>
        <w:t xml:space="preserve"> O Tribunal também considerou que, dados os fatos do presente caso e as características específicas às quais foram submetidos os 85 trabalhadores resgatados no ano 2000, os fatos ultrapassavam os requisitos de servidão por dívidas e trabalho forçado para chegar a cumprir os elementos mais estritos da definição de escravidão estabelecida pela Corte.</w:t>
      </w:r>
      <w:r w:rsidRPr="00D5464D">
        <w:rPr>
          <w:rFonts w:eastAsia="Cambria" w:cs="Times New Roman"/>
          <w:szCs w:val="20"/>
          <w:vertAlign w:val="superscript"/>
          <w:lang w:val="pt-BR"/>
        </w:rPr>
        <w:footnoteReference w:id="648"/>
      </w:r>
      <w:r w:rsidRPr="00D5464D">
        <w:rPr>
          <w:rFonts w:eastAsia="Cambria" w:cs="Times New Roman"/>
          <w:b/>
          <w:lang w:val="pt-BR"/>
        </w:rPr>
        <w:t xml:space="preserve"> </w:t>
      </w:r>
    </w:p>
    <w:p w14:paraId="26E3CBF1" w14:textId="77777777" w:rsidR="00F16338" w:rsidRPr="00D5464D" w:rsidRDefault="00F16338" w:rsidP="00F16338">
      <w:pPr>
        <w:tabs>
          <w:tab w:val="clear" w:pos="4419"/>
          <w:tab w:val="clear" w:pos="8838"/>
        </w:tabs>
        <w:contextualSpacing/>
        <w:jc w:val="both"/>
        <w:rPr>
          <w:rFonts w:eastAsia="MS Mincho" w:cs="System Font Regular"/>
          <w:i/>
          <w:color w:val="16191F"/>
          <w:szCs w:val="20"/>
          <w:lang w:val="pt-BR" w:eastAsia="es-ES"/>
        </w:rPr>
      </w:pPr>
    </w:p>
    <w:p w14:paraId="0C139B1F" w14:textId="77777777" w:rsidR="00F16338" w:rsidRPr="00D5464D" w:rsidRDefault="00F16338" w:rsidP="00F306D7">
      <w:pPr>
        <w:numPr>
          <w:ilvl w:val="0"/>
          <w:numId w:val="26"/>
        </w:numPr>
        <w:tabs>
          <w:tab w:val="clear" w:pos="4419"/>
          <w:tab w:val="clear" w:pos="8838"/>
        </w:tabs>
        <w:contextualSpacing/>
        <w:jc w:val="both"/>
        <w:rPr>
          <w:rFonts w:eastAsia="MS Mincho" w:cs="System Font Regular"/>
          <w:i/>
          <w:color w:val="16191F"/>
          <w:szCs w:val="20"/>
          <w:lang w:val="pt-BR" w:eastAsia="es-ES"/>
        </w:rPr>
      </w:pPr>
      <w:r w:rsidRPr="00D5464D">
        <w:rPr>
          <w:rFonts w:eastAsia="MS Mincho" w:cs="System Font Regular"/>
          <w:i/>
          <w:color w:val="16191F"/>
          <w:szCs w:val="20"/>
          <w:lang w:val="pt-BR" w:eastAsia="es-ES"/>
        </w:rPr>
        <w:t xml:space="preserve">O </w:t>
      </w:r>
      <w:r w:rsidRPr="00D5464D">
        <w:rPr>
          <w:rFonts w:eastAsia="MS Mincho" w:cs="System Font Regular"/>
          <w:color w:val="16191F"/>
          <w:szCs w:val="20"/>
          <w:lang w:val="pt-BR" w:eastAsia="es-ES"/>
        </w:rPr>
        <w:t xml:space="preserve">caso </w:t>
      </w:r>
      <w:r w:rsidRPr="00D5464D">
        <w:rPr>
          <w:rFonts w:eastAsia="MS Mincho" w:cs="System Font Regular"/>
          <w:i/>
          <w:color w:val="16191F"/>
          <w:szCs w:val="20"/>
          <w:lang w:val="pt-BR" w:eastAsia="es-ES"/>
        </w:rPr>
        <w:t xml:space="preserve">Trabalhadores da Fazenda Brasil Verde Vs. Brasil </w:t>
      </w:r>
      <w:r w:rsidRPr="00D5464D">
        <w:rPr>
          <w:rFonts w:eastAsia="MS Mincho" w:cs="System Font Regular"/>
          <w:color w:val="16191F"/>
          <w:szCs w:val="20"/>
          <w:lang w:val="pt-BR" w:eastAsia="es-ES"/>
        </w:rPr>
        <w:t xml:space="preserve">constitui a primeira vez na qual o Tribunal Interamericano reconhece a existência de uma </w:t>
      </w:r>
      <w:r w:rsidRPr="00D5464D">
        <w:rPr>
          <w:rFonts w:eastAsia="MS Mincho" w:cs="System Font Regular"/>
          <w:i/>
          <w:color w:val="16191F"/>
          <w:szCs w:val="20"/>
          <w:lang w:val="pt-BR" w:eastAsia="es-ES"/>
        </w:rPr>
        <w:t>discriminação estrutural histórica</w:t>
      </w:r>
      <w:r w:rsidRPr="00D5464D">
        <w:rPr>
          <w:rFonts w:eastAsia="MS Mincho" w:cs="System Font Regular"/>
          <w:color w:val="16191F"/>
          <w:szCs w:val="20"/>
          <w:lang w:val="pt-BR" w:eastAsia="es-ES"/>
        </w:rPr>
        <w:t>,</w:t>
      </w:r>
      <w:r w:rsidRPr="00D5464D">
        <w:rPr>
          <w:rFonts w:eastAsia="MS Mincho" w:cs="System Font Regular"/>
          <w:i/>
          <w:color w:val="16191F"/>
          <w:szCs w:val="20"/>
          <w:lang w:val="pt-BR" w:eastAsia="es-ES"/>
        </w:rPr>
        <w:t xml:space="preserve"> </w:t>
      </w:r>
      <w:r w:rsidRPr="00D5464D">
        <w:rPr>
          <w:rFonts w:eastAsia="MS Mincho" w:cs="System Font Regular"/>
          <w:color w:val="16191F"/>
          <w:szCs w:val="20"/>
          <w:lang w:val="pt-BR" w:eastAsia="es-ES"/>
        </w:rPr>
        <w:t xml:space="preserve">em razão do contexto no qual ocorreram as violações de direitos humanos das 85 vítimas. Nesse sentido, também constitui o primeiro caso no qual a Corte IDH expressamente determina a responsabilidade internacional contra um Estado por perpetuar esta situação estrutural histórica de exclusão. Nesse sentido, na Sentença se expõe que: </w:t>
      </w:r>
    </w:p>
    <w:p w14:paraId="67329B13" w14:textId="77777777" w:rsidR="00F16338" w:rsidRPr="00D5464D" w:rsidRDefault="00F16338" w:rsidP="00F16338">
      <w:pPr>
        <w:tabs>
          <w:tab w:val="clear" w:pos="4419"/>
          <w:tab w:val="clear" w:pos="8838"/>
        </w:tabs>
        <w:contextualSpacing/>
        <w:jc w:val="both"/>
        <w:rPr>
          <w:rFonts w:eastAsia="MS Mincho" w:cs="System Font Regular"/>
          <w:color w:val="16191F"/>
          <w:szCs w:val="20"/>
          <w:lang w:val="pt-BR" w:eastAsia="es-ES"/>
        </w:rPr>
      </w:pPr>
      <w:r w:rsidRPr="00D5464D">
        <w:rPr>
          <w:rFonts w:eastAsia="MS Mincho" w:cs="System Font Regular"/>
          <w:color w:val="16191F"/>
          <w:szCs w:val="20"/>
          <w:lang w:val="pt-BR" w:eastAsia="es-ES"/>
        </w:rPr>
        <w:t xml:space="preserve"> </w:t>
      </w:r>
    </w:p>
    <w:p w14:paraId="1B740531" w14:textId="77777777" w:rsidR="00F16338" w:rsidRPr="00D5464D" w:rsidRDefault="00F16338" w:rsidP="00F16338">
      <w:pPr>
        <w:tabs>
          <w:tab w:val="clear" w:pos="4419"/>
          <w:tab w:val="clear" w:pos="8838"/>
        </w:tabs>
        <w:ind w:left="708"/>
        <w:jc w:val="both"/>
        <w:rPr>
          <w:rFonts w:eastAsia="MS Mincho" w:cs="Times New Roman"/>
          <w:sz w:val="16"/>
          <w:szCs w:val="16"/>
          <w:lang w:val="pt-BR" w:eastAsia="es-ES"/>
        </w:rPr>
      </w:pPr>
      <w:r w:rsidRPr="00D5464D">
        <w:rPr>
          <w:rFonts w:eastAsia="MS Mincho" w:cs="Times New Roman"/>
          <w:sz w:val="16"/>
          <w:szCs w:val="16"/>
          <w:lang w:val="pt-BR" w:eastAsia="es-ES"/>
        </w:rPr>
        <w:t xml:space="preserve">343. Em razão de todo o exposto, o Tribunal considera que o Estado violou o direito a não ser submetido à escravidão e ao tráfico de pessoas, em violação do artigo 6.1 da Convenção Americana sobre Direitos Humanos, em relação aos artigos 1.1, 3, 5, 7, 11 e 22 do mesmo instrumento, em prejuízo dos 85 trabalhadores resgatados em 15 de março de 2000 na Fazenda Brasil Verde, listados no parágrafo 206 da presente Sentença. Adicionalmente, em relação ao senhor Antônio Francisco da Silva, essa violação ocorreu também em relação ao artigo 19 da Convenção Americana, por ser criança ao momento dos fatos. </w:t>
      </w:r>
      <w:r w:rsidRPr="00D5464D">
        <w:rPr>
          <w:rFonts w:eastAsia="MS Mincho" w:cs="Times New Roman"/>
          <w:sz w:val="16"/>
          <w:szCs w:val="16"/>
          <w:u w:val="single"/>
          <w:lang w:val="pt-BR" w:eastAsia="es-ES"/>
        </w:rPr>
        <w:t>Finalmente, o Brasil é responsável pela violação do artigo 6.1 da Convenção Americana, em relação ao artigo 1.1 do mesmo instrumento, produzida no marco de uma situação de discriminação estrutural histórica em razão da posição econômica dos 85 trabalhadores identificados no parágrafo 206 da presente Sentença</w:t>
      </w:r>
      <w:r w:rsidRPr="00D5464D">
        <w:rPr>
          <w:rFonts w:eastAsia="MS Mincho" w:cs="Times New Roman"/>
          <w:sz w:val="16"/>
          <w:szCs w:val="16"/>
          <w:lang w:val="pt-BR" w:eastAsia="es-ES"/>
        </w:rPr>
        <w:t xml:space="preserve">. </w:t>
      </w:r>
    </w:p>
    <w:p w14:paraId="4CF7E1BF" w14:textId="77777777" w:rsidR="00F16338" w:rsidRPr="00D5464D" w:rsidRDefault="00F16338" w:rsidP="00F16338">
      <w:pPr>
        <w:tabs>
          <w:tab w:val="clear" w:pos="4419"/>
          <w:tab w:val="clear" w:pos="8838"/>
        </w:tabs>
        <w:contextualSpacing/>
        <w:jc w:val="both"/>
        <w:rPr>
          <w:rFonts w:eastAsia="Cambria" w:cs="Times New Roman"/>
          <w:szCs w:val="20"/>
          <w:lang w:val="pt-BR"/>
        </w:rPr>
      </w:pPr>
    </w:p>
    <w:p w14:paraId="5C9C3806" w14:textId="77777777" w:rsidR="00F16338" w:rsidRPr="00D5464D" w:rsidRDefault="00F16338" w:rsidP="00F16338">
      <w:pPr>
        <w:tabs>
          <w:tab w:val="clear" w:pos="4419"/>
          <w:tab w:val="clear" w:pos="8838"/>
        </w:tabs>
        <w:ind w:firstLine="708"/>
        <w:contextualSpacing/>
        <w:jc w:val="center"/>
        <w:rPr>
          <w:rFonts w:eastAsia="Cambria" w:cs="Times New Roman"/>
          <w:sz w:val="16"/>
          <w:szCs w:val="16"/>
          <w:lang w:val="pt-BR"/>
        </w:rPr>
      </w:pPr>
      <w:r w:rsidRPr="00D5464D">
        <w:rPr>
          <w:rFonts w:eastAsia="Cambria" w:cs="Times New Roman"/>
          <w:sz w:val="16"/>
          <w:szCs w:val="16"/>
          <w:lang w:val="pt-BR"/>
        </w:rPr>
        <w:t>PONTOS RESOLUTIVOS</w:t>
      </w:r>
    </w:p>
    <w:p w14:paraId="701E1DA3" w14:textId="77777777" w:rsidR="00F16338" w:rsidRPr="00D5464D" w:rsidRDefault="00F16338" w:rsidP="00F16338">
      <w:pPr>
        <w:tabs>
          <w:tab w:val="clear" w:pos="4419"/>
          <w:tab w:val="clear" w:pos="8838"/>
          <w:tab w:val="left" w:pos="720"/>
        </w:tabs>
        <w:ind w:right="-90"/>
        <w:contextualSpacing/>
        <w:jc w:val="both"/>
        <w:rPr>
          <w:rFonts w:eastAsia="Cambria" w:cs="Times New Roman"/>
          <w:sz w:val="16"/>
          <w:szCs w:val="16"/>
          <w:lang w:val="pt-BR" w:eastAsia="es-ES"/>
        </w:rPr>
      </w:pPr>
    </w:p>
    <w:p w14:paraId="4E63DFCA" w14:textId="77777777" w:rsidR="00F16338" w:rsidRPr="00D5464D" w:rsidRDefault="00F16338" w:rsidP="00F16338">
      <w:pPr>
        <w:tabs>
          <w:tab w:val="clear" w:pos="4419"/>
          <w:tab w:val="clear" w:pos="8838"/>
          <w:tab w:val="left" w:pos="720"/>
        </w:tabs>
        <w:ind w:left="708" w:right="49"/>
        <w:contextualSpacing/>
        <w:jc w:val="both"/>
        <w:rPr>
          <w:rFonts w:eastAsia="Cambria" w:cs="Times New Roman"/>
          <w:sz w:val="16"/>
          <w:szCs w:val="16"/>
          <w:lang w:val="pt-BR" w:eastAsia="es-ES"/>
        </w:rPr>
      </w:pPr>
      <w:r w:rsidRPr="00D5464D">
        <w:rPr>
          <w:rFonts w:eastAsia="Cambria" w:cs="Times New Roman"/>
          <w:sz w:val="16"/>
          <w:szCs w:val="16"/>
          <w:lang w:val="pt-BR" w:eastAsia="es-ES"/>
        </w:rPr>
        <w:tab/>
        <w:t xml:space="preserve">4. </w:t>
      </w:r>
      <w:r w:rsidRPr="00D5464D">
        <w:rPr>
          <w:rFonts w:eastAsia="Cambria" w:cs="Times New Roman"/>
          <w:sz w:val="16"/>
          <w:szCs w:val="16"/>
          <w:u w:val="single"/>
          <w:lang w:val="pt-BR" w:eastAsia="es-ES"/>
        </w:rPr>
        <w:t>O Estado é responsável pela violação do artigo 6.1 da Convenção Americana, em relação ao artigo 1.1 do mesmo instrumento, produzida no marco de uma situação de discriminação estrutural histórica, em razão da posição econômica dos 85 trabalhadores identificados</w:t>
      </w:r>
      <w:r w:rsidRPr="00D5464D">
        <w:rPr>
          <w:rFonts w:eastAsia="Cambria" w:cs="Times New Roman"/>
          <w:sz w:val="16"/>
          <w:szCs w:val="16"/>
          <w:lang w:val="pt-BR" w:eastAsia="es-ES"/>
        </w:rPr>
        <w:t xml:space="preserve"> no parágrafo 206 da presente Sentença, nos termos dos parágrafos 342 e 343 da presente Sentença.</w:t>
      </w:r>
      <w:r w:rsidRPr="00D5464D">
        <w:rPr>
          <w:rFonts w:eastAsia="Cambria" w:cs="Times New Roman"/>
          <w:sz w:val="16"/>
          <w:szCs w:val="20"/>
          <w:vertAlign w:val="superscript"/>
          <w:lang w:val="pt-BR" w:eastAsia="es-ES"/>
        </w:rPr>
        <w:footnoteReference w:id="649"/>
      </w:r>
      <w:r w:rsidRPr="00D5464D">
        <w:rPr>
          <w:rFonts w:eastAsia="Cambria" w:cs="Times New Roman"/>
          <w:sz w:val="16"/>
          <w:szCs w:val="16"/>
          <w:lang w:val="pt-BR" w:eastAsia="es-ES"/>
        </w:rPr>
        <w:t xml:space="preserve"> </w:t>
      </w:r>
      <w:r w:rsidRPr="00D5464D">
        <w:rPr>
          <w:rFonts w:eastAsia="MS Mincho" w:cs="Times New Roman"/>
          <w:sz w:val="16"/>
          <w:szCs w:val="16"/>
          <w:lang w:val="pt-BR" w:eastAsia="es-ES"/>
        </w:rPr>
        <w:t>(Sem ênfase no original)</w:t>
      </w:r>
    </w:p>
    <w:p w14:paraId="688D1FAC" w14:textId="77777777" w:rsidR="00F16338" w:rsidRPr="00D5464D" w:rsidRDefault="00F16338" w:rsidP="00F16338">
      <w:pPr>
        <w:tabs>
          <w:tab w:val="clear" w:pos="4419"/>
          <w:tab w:val="clear" w:pos="8838"/>
        </w:tabs>
        <w:contextualSpacing/>
        <w:jc w:val="both"/>
        <w:rPr>
          <w:rFonts w:eastAsia="Cambria" w:cs="Times New Roman"/>
          <w:lang w:val="pt-BR"/>
        </w:rPr>
      </w:pPr>
    </w:p>
    <w:p w14:paraId="0904FAC8" w14:textId="77777777" w:rsidR="00F16338" w:rsidRPr="00D5464D" w:rsidRDefault="00F16338" w:rsidP="00F306D7">
      <w:pPr>
        <w:numPr>
          <w:ilvl w:val="0"/>
          <w:numId w:val="26"/>
        </w:numPr>
        <w:tabs>
          <w:tab w:val="clear" w:pos="4419"/>
          <w:tab w:val="clear" w:pos="8838"/>
        </w:tabs>
        <w:contextualSpacing/>
        <w:jc w:val="both"/>
        <w:rPr>
          <w:rFonts w:eastAsia="Cambria" w:cs="Times New Roman"/>
          <w:lang w:val="pt-BR"/>
        </w:rPr>
      </w:pPr>
      <w:r w:rsidRPr="00D5464D">
        <w:rPr>
          <w:rFonts w:eastAsia="Cambria" w:cs="Times New Roman"/>
          <w:lang w:val="pt-BR"/>
        </w:rPr>
        <w:t xml:space="preserve">Ainda que a problemática da existência de pobreza e de extrema pobreza na região interamericana seja de responsabilidade de todos os Estados que formam parte do Sistema Interamericano, para os efeitos da análise do presente caso, é importante ressaltar que a situação de pobreza —que poderia se enquadrar dentro de uma pobreza estrutural—originou, em primeiro lugar, que os 85 trabalhadores fossem vítima de tráfico de pessoas e teve como consequência a submissão das vítimas a trabalho forçado e servidão por dívidas. Dois aspectos fundamentais concorreram no presente caso e foram determinantes para configurar a discriminação por situação econômica derivada da pobreza: i) a concentração do fenômeno de trabalho escravo em uma área geográfica específica e sua perpetuação histórica; e ii) a impossibilidade das 85 vítimas de obterem condições básicas de desenvolvimento humano mediante seu trabalho. </w:t>
      </w:r>
    </w:p>
    <w:p w14:paraId="1F157059" w14:textId="77777777" w:rsidR="00F16338" w:rsidRPr="00D5464D" w:rsidRDefault="00F16338" w:rsidP="00F16338">
      <w:pPr>
        <w:tabs>
          <w:tab w:val="clear" w:pos="4419"/>
          <w:tab w:val="clear" w:pos="8838"/>
        </w:tabs>
        <w:contextualSpacing/>
        <w:jc w:val="both"/>
        <w:rPr>
          <w:rFonts w:eastAsia="Cambria" w:cs="Times New Roman"/>
          <w:lang w:val="pt-BR"/>
        </w:rPr>
      </w:pPr>
    </w:p>
    <w:p w14:paraId="1483C7D3" w14:textId="77777777" w:rsidR="00F16338" w:rsidRPr="00D5464D" w:rsidRDefault="00F16338" w:rsidP="00F306D7">
      <w:pPr>
        <w:numPr>
          <w:ilvl w:val="0"/>
          <w:numId w:val="26"/>
        </w:numPr>
        <w:tabs>
          <w:tab w:val="clear" w:pos="4419"/>
          <w:tab w:val="clear" w:pos="8838"/>
        </w:tabs>
        <w:contextualSpacing/>
        <w:jc w:val="both"/>
        <w:rPr>
          <w:rFonts w:eastAsia="Cambria" w:cs="Times New Roman"/>
          <w:b/>
          <w:color w:val="FF0000"/>
          <w:szCs w:val="20"/>
          <w:lang w:val="pt-BR"/>
        </w:rPr>
      </w:pPr>
      <w:r w:rsidRPr="00D5464D">
        <w:rPr>
          <w:rFonts w:eastAsia="Cambria" w:cs="Times New Roman"/>
          <w:szCs w:val="20"/>
          <w:lang w:val="pt-BR"/>
        </w:rPr>
        <w:t>É importante esclarecer que, em muitos casos, é provável que não exista uma intencionalidade direta de confinar os membros de um grupo nos estratos inferiores da estrutura social, nem de colocá-los em situações de desvantagem sistemática; é provável que nem sequer seja possível identificar com claridade qual foi ou quais foram os fatores concretos, as decisões ou as práticas que contribuíram para chegar a esse resultado de desvantagem sistêmica. Nesse sentido, o relevante é determinar se existiu uma afetação à proibição de discriminação e se um grupo de pessoas foi excluído continuamente em âmbitos relevantes e imprescindíveis para o desenvolvimento autônomo da pessoa.</w:t>
      </w:r>
    </w:p>
    <w:p w14:paraId="1E9593B1" w14:textId="77777777" w:rsidR="00F16338" w:rsidRPr="00D5464D" w:rsidRDefault="00F16338" w:rsidP="00F16338">
      <w:pPr>
        <w:tabs>
          <w:tab w:val="clear" w:pos="4419"/>
          <w:tab w:val="clear" w:pos="8838"/>
        </w:tabs>
        <w:rPr>
          <w:rFonts w:eastAsia="MS Mincho" w:cs="Arial"/>
          <w:sz w:val="24"/>
          <w:szCs w:val="24"/>
          <w:lang w:val="pt-BR" w:eastAsia="es-ES"/>
        </w:rPr>
      </w:pPr>
    </w:p>
    <w:p w14:paraId="6B4F9CF4" w14:textId="77777777" w:rsidR="00F16338" w:rsidRPr="00D5464D" w:rsidRDefault="00F16338" w:rsidP="00F306D7">
      <w:pPr>
        <w:numPr>
          <w:ilvl w:val="0"/>
          <w:numId w:val="26"/>
        </w:numPr>
        <w:tabs>
          <w:tab w:val="clear" w:pos="4419"/>
          <w:tab w:val="clear" w:pos="8838"/>
        </w:tabs>
        <w:jc w:val="both"/>
        <w:rPr>
          <w:rFonts w:eastAsia="Cambria" w:cs="Arial"/>
          <w:lang w:val="pt-BR"/>
        </w:rPr>
      </w:pPr>
      <w:r w:rsidRPr="00D5464D">
        <w:rPr>
          <w:rFonts w:eastAsia="Cambria" w:cs="Arial"/>
          <w:lang w:val="pt-BR"/>
        </w:rPr>
        <w:t>Como consequência do contexto, as 85 vítimas do presente caso haviam sido alvo de tráfico de pessoas pela captação e aliciamento de trabalhadores através de fraude, enganos e falsas promessas desde as regiões mais pobres do país e que esta captação tinha como finalidade a exploração do trabalho no Brasil.</w:t>
      </w:r>
      <w:r w:rsidRPr="00D5464D">
        <w:rPr>
          <w:rFonts w:eastAsia="Cambria" w:cs="Times New Roman"/>
          <w:szCs w:val="20"/>
          <w:vertAlign w:val="superscript"/>
          <w:lang w:val="pt-BR"/>
        </w:rPr>
        <w:footnoteReference w:id="650"/>
      </w:r>
      <w:r w:rsidRPr="00D5464D">
        <w:rPr>
          <w:rFonts w:eastAsia="Cambria" w:cs="Arial"/>
          <w:b/>
          <w:lang w:val="pt-BR"/>
        </w:rPr>
        <w:t xml:space="preserve"> </w:t>
      </w:r>
    </w:p>
    <w:p w14:paraId="68452A8F" w14:textId="77777777" w:rsidR="00F16338" w:rsidRPr="00D5464D" w:rsidRDefault="00F16338" w:rsidP="00F16338">
      <w:pPr>
        <w:tabs>
          <w:tab w:val="clear" w:pos="4419"/>
          <w:tab w:val="clear" w:pos="8838"/>
        </w:tabs>
        <w:rPr>
          <w:rFonts w:eastAsia="MS Mincho" w:cs="Arial"/>
          <w:sz w:val="24"/>
          <w:szCs w:val="24"/>
          <w:lang w:val="pt-BR" w:eastAsia="es-ES"/>
        </w:rPr>
      </w:pPr>
    </w:p>
    <w:p w14:paraId="407E9BC5" w14:textId="77777777" w:rsidR="00F16338" w:rsidRPr="00D5464D" w:rsidRDefault="00F16338" w:rsidP="00F306D7">
      <w:pPr>
        <w:numPr>
          <w:ilvl w:val="0"/>
          <w:numId w:val="26"/>
        </w:numPr>
        <w:tabs>
          <w:tab w:val="clear" w:pos="4419"/>
          <w:tab w:val="clear" w:pos="8838"/>
        </w:tabs>
        <w:jc w:val="both"/>
        <w:rPr>
          <w:rFonts w:eastAsia="Cambria" w:cs="Arial"/>
          <w:lang w:val="pt-BR"/>
        </w:rPr>
      </w:pPr>
      <w:r w:rsidRPr="00D5464D">
        <w:rPr>
          <w:rFonts w:eastAsia="Cambria" w:cs="Arial"/>
          <w:lang w:val="pt-BR"/>
        </w:rPr>
        <w:t xml:space="preserve">Assim, levando em consideração que no presente caso restou configurado que: i) um grupo de pessoas que requeriam </w:t>
      </w:r>
      <w:r w:rsidRPr="00D5464D">
        <w:rPr>
          <w:rFonts w:eastAsia="Cambria" w:cs="Times New Roman"/>
          <w:lang w:val="pt-BR"/>
        </w:rPr>
        <w:t>proteção especial por serem pessoas trabalhadoras foram vítimas  de tráfico de pessoas e que, em virtude de sua situação de pobreza, mediante engano, alcançaram o limite de escravidão</w:t>
      </w:r>
      <w:r w:rsidRPr="00D5464D">
        <w:rPr>
          <w:rFonts w:eastAsia="Cambria" w:cs="Arial"/>
          <w:lang w:val="pt-BR"/>
        </w:rPr>
        <w:t xml:space="preserve">; ii) as pessoas estavam submetidas a esta prática histórica e sistêmica que os manteve em uma situação de exclusão e marginalização; iii) apesar de este caso se circunscrever ao estado do Pará e à Fazenda Brasil Verde, também leva-se em consideração as milhares de vítimas que continuam sendo liberadas por autoridades brasileiras, em especial no sul do Estado do Pará; e iv) no presente caso, o fenômeno de escravidão do qual foram vítimas os 85 trabalhadores foi uma discriminação indireta e de </w:t>
      </w:r>
      <w:r w:rsidRPr="00D5464D">
        <w:rPr>
          <w:rFonts w:eastAsia="Cambria" w:cs="Arial"/>
          <w:i/>
          <w:lang w:val="pt-BR"/>
        </w:rPr>
        <w:t>fato,</w:t>
      </w:r>
      <w:r w:rsidRPr="00D5464D">
        <w:rPr>
          <w:rFonts w:eastAsia="Cambria" w:cs="Arial"/>
          <w:lang w:val="pt-BR"/>
        </w:rPr>
        <w:t xml:space="preserve"> em razão da ineficácia das medidas estatais para evitar sua prevenção e erradicação. O Tribunal Interamericano concluiu que os 85 trabalhadores da Fazenda Brasil Verde foram vítimas de uma discriminação estrutural histórica que ocorreu dentro do Estado brasileiro em virtude do fenômeno da escravidão, nos termos da Sentença.</w:t>
      </w:r>
      <w:r w:rsidRPr="00D5464D">
        <w:rPr>
          <w:rFonts w:eastAsia="Cambria" w:cs="Times New Roman"/>
          <w:szCs w:val="20"/>
          <w:vertAlign w:val="superscript"/>
          <w:lang w:val="pt-BR"/>
        </w:rPr>
        <w:footnoteReference w:id="651"/>
      </w:r>
    </w:p>
    <w:p w14:paraId="542ABD04" w14:textId="77777777" w:rsidR="00F16338" w:rsidRPr="00D5464D" w:rsidRDefault="00F16338" w:rsidP="00F16338">
      <w:pPr>
        <w:tabs>
          <w:tab w:val="clear" w:pos="4419"/>
          <w:tab w:val="clear" w:pos="8838"/>
        </w:tabs>
        <w:jc w:val="both"/>
        <w:rPr>
          <w:rFonts w:eastAsia="Cambria" w:cs="Arial"/>
          <w:lang w:val="pt-BR"/>
        </w:rPr>
      </w:pPr>
    </w:p>
    <w:p w14:paraId="06A2243D" w14:textId="77777777" w:rsidR="00F16338" w:rsidRPr="00D5464D" w:rsidRDefault="00F16338" w:rsidP="00F306D7">
      <w:pPr>
        <w:numPr>
          <w:ilvl w:val="0"/>
          <w:numId w:val="26"/>
        </w:numPr>
        <w:tabs>
          <w:tab w:val="clear" w:pos="4419"/>
          <w:tab w:val="clear" w:pos="8838"/>
        </w:tabs>
        <w:jc w:val="both"/>
        <w:rPr>
          <w:rFonts w:eastAsia="Cambria" w:cs="Arial"/>
          <w:lang w:val="pt-BR"/>
        </w:rPr>
      </w:pPr>
      <w:r w:rsidRPr="00D5464D">
        <w:rPr>
          <w:rFonts w:eastAsia="Cambria" w:cs="Arial"/>
          <w:lang w:val="pt-BR"/>
        </w:rPr>
        <w:t xml:space="preserve">O reconhecimento da </w:t>
      </w:r>
      <w:r w:rsidRPr="00D5464D">
        <w:rPr>
          <w:rFonts w:eastAsia="Cambria" w:cs="Arial"/>
          <w:i/>
          <w:lang w:val="pt-BR"/>
        </w:rPr>
        <w:t>discriminação estrutural histórica</w:t>
      </w:r>
      <w:r w:rsidRPr="00D5464D">
        <w:rPr>
          <w:rFonts w:eastAsia="Cambria" w:cs="Arial"/>
          <w:lang w:val="pt-BR"/>
        </w:rPr>
        <w:t xml:space="preserve"> pelo fenômeno de trabalho escravo é de vital importância, pois não quaisquer pessoas que eram alvo da captação pelos </w:t>
      </w:r>
      <w:r w:rsidRPr="00D5464D">
        <w:rPr>
          <w:rFonts w:eastAsia="Cambria" w:cs="Arial"/>
          <w:i/>
          <w:lang w:val="pt-BR"/>
        </w:rPr>
        <w:t xml:space="preserve">gatos, </w:t>
      </w:r>
      <w:r w:rsidRPr="00D5464D">
        <w:rPr>
          <w:rFonts w:eastAsia="Cambria" w:cs="Arial"/>
          <w:lang w:val="pt-BR"/>
        </w:rPr>
        <w:t>mas</w:t>
      </w:r>
      <w:r w:rsidRPr="00D5464D">
        <w:rPr>
          <w:rFonts w:eastAsia="Cambria" w:cs="Arial"/>
          <w:i/>
          <w:lang w:val="pt-BR"/>
        </w:rPr>
        <w:t xml:space="preserve"> sim </w:t>
      </w:r>
      <w:r w:rsidRPr="00D5464D">
        <w:rPr>
          <w:rFonts w:eastAsia="Cambria" w:cs="Arial"/>
          <w:lang w:val="pt-BR"/>
        </w:rPr>
        <w:t>pessoas com um perfil específico, no qual a pobreza em que viviam era um fator crucial de vulnerabilidade. Nos termos da Sentença, a Corte IDH se pronunciou e considerou que:</w:t>
      </w:r>
    </w:p>
    <w:p w14:paraId="1554ED36" w14:textId="77777777" w:rsidR="00F16338" w:rsidRPr="00D5464D" w:rsidRDefault="00F16338" w:rsidP="00F16338">
      <w:pPr>
        <w:tabs>
          <w:tab w:val="clear" w:pos="4419"/>
          <w:tab w:val="clear" w:pos="8838"/>
        </w:tabs>
        <w:rPr>
          <w:rFonts w:eastAsia="MS Mincho" w:cs="Arial"/>
          <w:sz w:val="24"/>
          <w:szCs w:val="24"/>
          <w:lang w:val="pt-BR" w:eastAsia="es-ES"/>
        </w:rPr>
      </w:pPr>
    </w:p>
    <w:p w14:paraId="761CFB2B" w14:textId="77777777" w:rsidR="00F16338" w:rsidRPr="00D5464D" w:rsidRDefault="00F16338" w:rsidP="00F16338">
      <w:pPr>
        <w:tabs>
          <w:tab w:val="clear" w:pos="4419"/>
          <w:tab w:val="clear" w:pos="8838"/>
        </w:tabs>
        <w:ind w:left="708"/>
        <w:contextualSpacing/>
        <w:jc w:val="both"/>
        <w:rPr>
          <w:rFonts w:eastAsia="Cambria" w:cs="Times New Roman"/>
          <w:sz w:val="16"/>
          <w:szCs w:val="16"/>
          <w:lang w:val="pt-BR"/>
        </w:rPr>
      </w:pPr>
      <w:r w:rsidRPr="00D5464D">
        <w:rPr>
          <w:rFonts w:eastAsia="Cambria" w:cs="Times New Roman"/>
          <w:sz w:val="16"/>
          <w:szCs w:val="16"/>
          <w:lang w:val="pt-BR"/>
        </w:rPr>
        <w:t xml:space="preserve">339. […] no presente caso, </w:t>
      </w:r>
      <w:r w:rsidRPr="00D5464D">
        <w:rPr>
          <w:rFonts w:eastAsia="Cambria" w:cs="Times New Roman"/>
          <w:sz w:val="16"/>
          <w:szCs w:val="16"/>
          <w:u w:val="single"/>
          <w:lang w:val="pt-BR"/>
        </w:rPr>
        <w:t>algumas características de particular vitimização compartilhadas pelos 85 trabalhadores resgatados</w:t>
      </w:r>
      <w:r w:rsidRPr="00D5464D">
        <w:rPr>
          <w:rFonts w:eastAsia="Cambria" w:cs="Times New Roman"/>
          <w:sz w:val="16"/>
          <w:szCs w:val="16"/>
          <w:lang w:val="pt-BR"/>
        </w:rPr>
        <w:t xml:space="preserve"> em 15 de março de 2000: </w:t>
      </w:r>
      <w:r w:rsidRPr="00D5464D">
        <w:rPr>
          <w:rFonts w:eastAsia="Cambria" w:cs="Times New Roman"/>
          <w:b/>
          <w:sz w:val="16"/>
          <w:szCs w:val="16"/>
          <w:lang w:val="pt-BR"/>
        </w:rPr>
        <w:t xml:space="preserve">[i] eles se encontravam em uma situação de pobreza; [ii] provinham das regiões mais pobres do país, [iii] com menor desenvolvimento humano e perspectivas de trabalho e emprego; [iv] eram analfabetos, e [v] tinham pouca ou nenhuma escolarização </w:t>
      </w:r>
      <w:r w:rsidRPr="00D5464D">
        <w:rPr>
          <w:rFonts w:eastAsia="Cambria" w:cs="Times New Roman"/>
          <w:sz w:val="16"/>
          <w:szCs w:val="16"/>
          <w:lang w:val="pt-BR"/>
        </w:rPr>
        <w:t xml:space="preserve">[...].Essas circunstâncias os colocava em uma situação que os tornava mais suscetíveis de serem aliciados mediante falsas promessas e enganos. </w:t>
      </w:r>
      <w:r w:rsidRPr="00D5464D">
        <w:rPr>
          <w:rFonts w:eastAsia="Cambria" w:cs="Times New Roman"/>
          <w:b/>
          <w:sz w:val="16"/>
          <w:szCs w:val="16"/>
          <w:lang w:val="pt-BR"/>
        </w:rPr>
        <w:t>Esta situação de risco imediato para um grupo determinado de pessoas com características idênticas e originários das mesmas regiões do país possui origens históricas e era conhecida, pelo menos, desde 1995</w:t>
      </w:r>
      <w:r w:rsidRPr="00D5464D">
        <w:rPr>
          <w:rFonts w:eastAsia="Cambria" w:cs="Times New Roman"/>
          <w:sz w:val="16"/>
          <w:szCs w:val="16"/>
          <w:lang w:val="pt-BR"/>
        </w:rPr>
        <w:t>, quando o Governo do Brasil expressamente reconheceu a existência de “trabalho escravo” no país.</w:t>
      </w:r>
      <w:r w:rsidRPr="00D5464D">
        <w:rPr>
          <w:rFonts w:eastAsia="Cambria" w:cs="Times New Roman"/>
          <w:sz w:val="16"/>
          <w:szCs w:val="20"/>
          <w:vertAlign w:val="superscript"/>
          <w:lang w:val="pt-BR"/>
        </w:rPr>
        <w:footnoteReference w:id="652"/>
      </w:r>
      <w:r w:rsidRPr="00D5464D">
        <w:rPr>
          <w:rFonts w:eastAsia="Cambria" w:cs="Times New Roman"/>
          <w:sz w:val="16"/>
          <w:szCs w:val="16"/>
          <w:lang w:val="pt-BR"/>
        </w:rPr>
        <w:t xml:space="preserve"> (Sem ênfase no original)</w:t>
      </w:r>
    </w:p>
    <w:p w14:paraId="50DC968F" w14:textId="77777777" w:rsidR="00F16338" w:rsidRPr="00D5464D" w:rsidRDefault="00F16338" w:rsidP="00F16338">
      <w:pPr>
        <w:tabs>
          <w:tab w:val="clear" w:pos="4419"/>
          <w:tab w:val="clear" w:pos="8838"/>
        </w:tabs>
        <w:jc w:val="both"/>
        <w:rPr>
          <w:rFonts w:eastAsia="Cambria" w:cs="Arial"/>
          <w:lang w:val="pt-BR"/>
        </w:rPr>
      </w:pPr>
      <w:r w:rsidRPr="00D5464D">
        <w:rPr>
          <w:rFonts w:eastAsia="Cambria" w:cs="Arial"/>
          <w:lang w:val="pt-BR"/>
        </w:rPr>
        <w:t xml:space="preserve"> </w:t>
      </w:r>
    </w:p>
    <w:p w14:paraId="3988C20B" w14:textId="77777777" w:rsidR="00F16338" w:rsidRPr="00D5464D" w:rsidRDefault="00F16338" w:rsidP="00F306D7">
      <w:pPr>
        <w:numPr>
          <w:ilvl w:val="0"/>
          <w:numId w:val="26"/>
        </w:numPr>
        <w:tabs>
          <w:tab w:val="clear" w:pos="4419"/>
          <w:tab w:val="clear" w:pos="8838"/>
        </w:tabs>
        <w:contextualSpacing/>
        <w:jc w:val="both"/>
        <w:rPr>
          <w:rFonts w:eastAsia="Cambria" w:cs="System Font Regular"/>
          <w:color w:val="16191F"/>
          <w:szCs w:val="20"/>
          <w:lang w:val="pt-BR"/>
        </w:rPr>
      </w:pPr>
      <w:r w:rsidRPr="00D5464D">
        <w:rPr>
          <w:rFonts w:eastAsia="Cambria" w:cs="System Font Regular"/>
          <w:color w:val="16191F"/>
          <w:szCs w:val="20"/>
          <w:lang w:val="pt-BR"/>
        </w:rPr>
        <w:t>Quanto à discriminação estrutural para a determinação da responsabilidade internacional:</w:t>
      </w:r>
    </w:p>
    <w:p w14:paraId="4E88EE85" w14:textId="77777777" w:rsidR="00F16338" w:rsidRPr="00D5464D" w:rsidRDefault="00F16338" w:rsidP="00F16338">
      <w:pPr>
        <w:tabs>
          <w:tab w:val="clear" w:pos="4419"/>
          <w:tab w:val="clear" w:pos="8838"/>
        </w:tabs>
        <w:contextualSpacing/>
        <w:jc w:val="both"/>
        <w:rPr>
          <w:rFonts w:eastAsia="Cambria" w:cs="System Font Regular"/>
          <w:color w:val="16191F"/>
          <w:szCs w:val="20"/>
          <w:lang w:val="pt-BR"/>
        </w:rPr>
      </w:pPr>
      <w:r w:rsidRPr="00D5464D">
        <w:rPr>
          <w:rFonts w:eastAsia="Cambria" w:cs="System Font Regular"/>
          <w:color w:val="16191F"/>
          <w:szCs w:val="20"/>
          <w:lang w:val="pt-BR"/>
        </w:rPr>
        <w:t xml:space="preserve"> </w:t>
      </w:r>
    </w:p>
    <w:p w14:paraId="76334BF0" w14:textId="77777777" w:rsidR="00F16338" w:rsidRPr="00D5464D" w:rsidRDefault="00F16338" w:rsidP="00F16338">
      <w:pPr>
        <w:tabs>
          <w:tab w:val="clear" w:pos="4419"/>
          <w:tab w:val="clear" w:pos="8838"/>
        </w:tabs>
        <w:ind w:left="708"/>
        <w:contextualSpacing/>
        <w:jc w:val="both"/>
        <w:rPr>
          <w:rFonts w:eastAsia="MS Mincho" w:cs="System Font Regular"/>
          <w:color w:val="16191F"/>
          <w:sz w:val="16"/>
          <w:szCs w:val="16"/>
          <w:lang w:val="pt-BR" w:eastAsia="es-ES"/>
        </w:rPr>
      </w:pPr>
      <w:r w:rsidRPr="00D5464D">
        <w:rPr>
          <w:rFonts w:eastAsia="MS Mincho" w:cs="System Font Regular"/>
          <w:color w:val="16191F"/>
          <w:sz w:val="16"/>
          <w:szCs w:val="16"/>
          <w:lang w:val="pt-BR" w:eastAsia="es-ES"/>
        </w:rPr>
        <w:t xml:space="preserve">338. </w:t>
      </w:r>
      <w:r w:rsidRPr="00D5464D">
        <w:rPr>
          <w:rFonts w:eastAsia="MS Mincho" w:cs="System Font Regular"/>
          <w:color w:val="16191F"/>
          <w:sz w:val="16"/>
          <w:szCs w:val="16"/>
          <w:u w:val="single"/>
          <w:lang w:val="pt-BR" w:eastAsia="es-ES"/>
        </w:rPr>
        <w:t>A Corte considera que o Estado incorre em responsabilidade internacional nos casos em que, existindo discriminação estrutural, não adota medidas específicas com respeito à situação particular de vitimização na qual se concretiza a vulnerabilidade sobre um círculo de pessoas individualizadas.</w:t>
      </w:r>
      <w:r w:rsidRPr="00D5464D">
        <w:rPr>
          <w:rFonts w:eastAsia="MS Mincho" w:cs="System Font Regular"/>
          <w:color w:val="16191F"/>
          <w:sz w:val="16"/>
          <w:szCs w:val="16"/>
          <w:lang w:val="pt-BR" w:eastAsia="es-ES"/>
        </w:rPr>
        <w:t xml:space="preserve"> A própria vitimização destas pessoas demonstra a sua particular vulnerabilidade, o que demanda uma ação de proteção também particular, em relação à qual houve omissão no caso.</w:t>
      </w:r>
      <w:r w:rsidRPr="00D5464D">
        <w:rPr>
          <w:rFonts w:eastAsia="Cambria" w:cs="Times New Roman"/>
          <w:sz w:val="16"/>
          <w:szCs w:val="20"/>
          <w:vertAlign w:val="superscript"/>
          <w:lang w:val="pt-BR"/>
        </w:rPr>
        <w:footnoteReference w:id="653"/>
      </w:r>
      <w:r w:rsidRPr="00D5464D">
        <w:rPr>
          <w:rFonts w:eastAsia="Cambria" w:cs="Times New Roman"/>
          <w:sz w:val="16"/>
          <w:szCs w:val="16"/>
          <w:lang w:val="pt-BR"/>
        </w:rPr>
        <w:t xml:space="preserve"> (Sem ênfase no original)</w:t>
      </w:r>
    </w:p>
    <w:p w14:paraId="28F53E69" w14:textId="77777777" w:rsidR="00F16338" w:rsidRPr="00D5464D" w:rsidRDefault="00F16338" w:rsidP="00F16338">
      <w:pPr>
        <w:tabs>
          <w:tab w:val="clear" w:pos="4419"/>
          <w:tab w:val="clear" w:pos="8838"/>
        </w:tabs>
        <w:jc w:val="both"/>
        <w:rPr>
          <w:rFonts w:eastAsia="Cambria" w:cs="Arial"/>
          <w:lang w:val="pt-BR"/>
        </w:rPr>
      </w:pPr>
    </w:p>
    <w:p w14:paraId="6367FE29" w14:textId="77777777" w:rsidR="00F16338" w:rsidRPr="00D5464D" w:rsidRDefault="00F16338" w:rsidP="00F306D7">
      <w:pPr>
        <w:numPr>
          <w:ilvl w:val="0"/>
          <w:numId w:val="26"/>
        </w:numPr>
        <w:tabs>
          <w:tab w:val="clear" w:pos="4419"/>
          <w:tab w:val="clear" w:pos="8838"/>
        </w:tabs>
        <w:jc w:val="both"/>
        <w:rPr>
          <w:rFonts w:eastAsia="Cambria" w:cs="Arial"/>
          <w:lang w:val="pt-BR"/>
        </w:rPr>
      </w:pPr>
      <w:r w:rsidRPr="00D5464D">
        <w:rPr>
          <w:rFonts w:eastAsia="Cambria" w:cs="Arial"/>
          <w:lang w:val="pt-BR"/>
        </w:rPr>
        <w:t xml:space="preserve">Em outras palavras, a existência da discriminação estrutural, em si mesma, é uma situação criticável aos Estados por manterem amplos setores, ou grupos da população, em particular situação de exclusão social. No entanto, diante desta palpável situação de discriminação estrutural —como os fatos reconhecidos no presente caso— se um Estado, tendo conhecimento da existência desta problemática dentro de seu território a respeito de um grupo determinável, não tomar medidas suficientes e efetivas para combater esta situação em concreto, acaba gerando uma situação de maior vulnerabilidade para as vítimas, em especial pelo conhecimento latente da existência de risco; situação, em particular, que pode ser avaliada pelo Tribunal Interamericano. </w:t>
      </w:r>
    </w:p>
    <w:p w14:paraId="278E57B1" w14:textId="77777777" w:rsidR="00F16338" w:rsidRPr="00D5464D" w:rsidRDefault="00F16338" w:rsidP="00F16338">
      <w:pPr>
        <w:tabs>
          <w:tab w:val="clear" w:pos="4419"/>
          <w:tab w:val="clear" w:pos="8838"/>
        </w:tabs>
        <w:rPr>
          <w:rFonts w:eastAsia="MS Mincho" w:cs="Arial"/>
          <w:sz w:val="24"/>
          <w:szCs w:val="24"/>
          <w:lang w:val="pt-BR" w:eastAsia="es-ES"/>
        </w:rPr>
      </w:pPr>
    </w:p>
    <w:p w14:paraId="1AC6F140" w14:textId="77777777" w:rsidR="00F16338" w:rsidRPr="00D5464D" w:rsidRDefault="00F16338" w:rsidP="00F306D7">
      <w:pPr>
        <w:numPr>
          <w:ilvl w:val="0"/>
          <w:numId w:val="26"/>
        </w:numPr>
        <w:tabs>
          <w:tab w:val="clear" w:pos="4419"/>
          <w:tab w:val="clear" w:pos="8838"/>
        </w:tabs>
        <w:jc w:val="both"/>
        <w:rPr>
          <w:rFonts w:eastAsia="Cambria" w:cs="Arial"/>
          <w:lang w:val="pt-BR"/>
        </w:rPr>
      </w:pPr>
      <w:r w:rsidRPr="00D5464D">
        <w:rPr>
          <w:rFonts w:eastAsia="Cambria" w:cs="Arial"/>
          <w:lang w:val="pt-BR"/>
        </w:rPr>
        <w:t xml:space="preserve">Isso não exclui a obrigação do Estado de implementar, no âmbito interno, ações de caráter geral. É </w:t>
      </w:r>
      <w:r w:rsidRPr="00D5464D">
        <w:rPr>
          <w:rFonts w:eastAsia="Cambria" w:cs="Times New Roman"/>
          <w:lang w:val="pt-BR"/>
        </w:rPr>
        <w:t>muito importante considerar a natureza individual e coletiva dos beneficiários de certas obrigações estatais para garantir a efetividade dos direitos. Nesse sentido, as normas que respondam a uma situação individual serão conhecidas como medidas de equiparação positiva; as que compensem uma desigualdade grupal serão denominadas ações de equiparação positiva.</w:t>
      </w:r>
      <w:r w:rsidRPr="00D5464D">
        <w:rPr>
          <w:rFonts w:eastAsia="Cambria" w:cs="Times New Roman"/>
          <w:szCs w:val="20"/>
          <w:vertAlign w:val="superscript"/>
          <w:lang w:val="pt-BR"/>
        </w:rPr>
        <w:footnoteReference w:id="654"/>
      </w:r>
      <w:r w:rsidRPr="00D5464D">
        <w:rPr>
          <w:rFonts w:eastAsia="Cambria" w:cs="Times New Roman"/>
          <w:lang w:val="pt-BR"/>
        </w:rPr>
        <w:t xml:space="preserve"> </w:t>
      </w:r>
    </w:p>
    <w:p w14:paraId="5D21F6D2" w14:textId="77777777" w:rsidR="00F16338" w:rsidRPr="00D5464D" w:rsidRDefault="00F16338" w:rsidP="00F16338">
      <w:pPr>
        <w:tabs>
          <w:tab w:val="clear" w:pos="4419"/>
          <w:tab w:val="clear" w:pos="8838"/>
        </w:tabs>
        <w:rPr>
          <w:rFonts w:eastAsia="MS Mincho" w:cs="Times New Roman"/>
          <w:sz w:val="24"/>
          <w:szCs w:val="24"/>
          <w:lang w:val="pt-BR" w:eastAsia="es-ES"/>
        </w:rPr>
      </w:pPr>
    </w:p>
    <w:p w14:paraId="7B06B692" w14:textId="77777777" w:rsidR="00F16338" w:rsidRPr="00D5464D" w:rsidRDefault="00F16338" w:rsidP="00F306D7">
      <w:pPr>
        <w:numPr>
          <w:ilvl w:val="0"/>
          <w:numId w:val="26"/>
        </w:numPr>
        <w:tabs>
          <w:tab w:val="clear" w:pos="4419"/>
          <w:tab w:val="clear" w:pos="8838"/>
        </w:tabs>
        <w:jc w:val="both"/>
        <w:rPr>
          <w:rFonts w:eastAsia="Cambria" w:cs="Arial"/>
          <w:lang w:val="pt-BR"/>
        </w:rPr>
      </w:pPr>
      <w:r w:rsidRPr="00D5464D">
        <w:rPr>
          <w:rFonts w:eastAsia="Cambria" w:cs="Times New Roman"/>
          <w:lang w:val="pt-BR"/>
        </w:rPr>
        <w:t>No presente caso, a Corte IDH considerou que, no momento dos fatos, as ações gerais para combater o fenômeno do trabalho escravo —pois já se sabia da existência da problemática do trabalho escravo no Brasil— que haviam sido implementadas desde 1995 até 2000 não haviam sido suficientes e efetivas; além disso , para o Tribunal Interamericano, a expressão</w:t>
      </w:r>
      <w:r w:rsidRPr="00D5464D">
        <w:rPr>
          <w:rFonts w:eastAsia="Cambria" w:cs="Times New Roman"/>
          <w:i/>
          <w:lang w:val="pt-BR"/>
        </w:rPr>
        <w:t xml:space="preserve"> </w:t>
      </w:r>
      <w:r w:rsidRPr="00D5464D">
        <w:rPr>
          <w:rFonts w:eastAsia="Cambria" w:cs="Times New Roman"/>
          <w:i/>
          <w:szCs w:val="20"/>
          <w:lang w:val="pt-BR"/>
        </w:rPr>
        <w:t xml:space="preserve">“não adota medidas específicas com respeito à situação particular”, </w:t>
      </w:r>
      <w:r w:rsidRPr="00D5464D">
        <w:rPr>
          <w:rFonts w:eastAsia="Cambria" w:cs="Times New Roman"/>
          <w:szCs w:val="20"/>
          <w:lang w:val="pt-BR"/>
        </w:rPr>
        <w:t>significa</w:t>
      </w:r>
      <w:r w:rsidRPr="00D5464D">
        <w:rPr>
          <w:rFonts w:eastAsia="Cambria" w:cs="Times New Roman"/>
          <w:i/>
          <w:szCs w:val="20"/>
          <w:lang w:val="pt-BR"/>
        </w:rPr>
        <w:t xml:space="preserve"> </w:t>
      </w:r>
      <w:r w:rsidRPr="00D5464D">
        <w:rPr>
          <w:rFonts w:eastAsia="Cambria" w:cs="Times New Roman"/>
          <w:szCs w:val="20"/>
          <w:lang w:val="pt-BR"/>
        </w:rPr>
        <w:t xml:space="preserve">que, independentemente das ações gerais implementadas, quando seja identificável um setor específico do grupo (por exemplo, geograficamente), o Estado deve implementar medidas adicionais às ações gerais para reverter essa situação que requer a atuação prioritária da estrutura estatal. </w:t>
      </w:r>
    </w:p>
    <w:p w14:paraId="4B96E88A" w14:textId="77777777" w:rsidR="00F16338" w:rsidRPr="00D5464D" w:rsidRDefault="00F16338" w:rsidP="00F16338">
      <w:pPr>
        <w:tabs>
          <w:tab w:val="clear" w:pos="4419"/>
          <w:tab w:val="clear" w:pos="8838"/>
        </w:tabs>
        <w:jc w:val="both"/>
        <w:rPr>
          <w:rFonts w:eastAsia="Cambria" w:cs="Arial"/>
          <w:lang w:val="pt-BR"/>
        </w:rPr>
      </w:pPr>
    </w:p>
    <w:p w14:paraId="7763C661" w14:textId="77777777" w:rsidR="00F16338" w:rsidRPr="00D5464D" w:rsidRDefault="00F16338" w:rsidP="00F306D7">
      <w:pPr>
        <w:numPr>
          <w:ilvl w:val="0"/>
          <w:numId w:val="26"/>
        </w:numPr>
        <w:tabs>
          <w:tab w:val="clear" w:pos="4419"/>
          <w:tab w:val="clear" w:pos="8838"/>
        </w:tabs>
        <w:jc w:val="both"/>
        <w:rPr>
          <w:rFonts w:eastAsia="Cambria" w:cs="Arial"/>
          <w:lang w:val="pt-BR"/>
        </w:rPr>
      </w:pPr>
      <w:r w:rsidRPr="00D5464D">
        <w:rPr>
          <w:rFonts w:eastAsia="Cambria" w:cs="System Font Regular"/>
          <w:color w:val="16191F"/>
          <w:szCs w:val="20"/>
          <w:lang w:val="pt-BR"/>
        </w:rPr>
        <w:t xml:space="preserve">Além disso , este aspecto possui fundamental importância e relevância, pois as discriminações estruturais têm um componente de continuidade histórica que se perpetua de maneira sistêmica nas sociedades atuais; e que, ademais, na doutrina e na jurisprudência não havia sido consolidada como um aspecto fundamental da discriminação sofrida por alguns grupos que foram excluídos e marginalizados. </w:t>
      </w:r>
    </w:p>
    <w:p w14:paraId="49BE65AF" w14:textId="77777777" w:rsidR="00F16338" w:rsidRPr="00D5464D" w:rsidRDefault="00F16338" w:rsidP="00F16338">
      <w:pPr>
        <w:tabs>
          <w:tab w:val="clear" w:pos="4419"/>
          <w:tab w:val="clear" w:pos="8838"/>
        </w:tabs>
        <w:contextualSpacing/>
        <w:jc w:val="both"/>
        <w:rPr>
          <w:rFonts w:eastAsia="Cambria" w:cs="System Font Regular"/>
          <w:color w:val="16191F"/>
          <w:szCs w:val="20"/>
          <w:lang w:val="pt-BR"/>
        </w:rPr>
      </w:pPr>
    </w:p>
    <w:p w14:paraId="284FBA60" w14:textId="77777777" w:rsidR="00F16338" w:rsidRPr="00D5464D" w:rsidRDefault="00F16338" w:rsidP="00F306D7">
      <w:pPr>
        <w:numPr>
          <w:ilvl w:val="0"/>
          <w:numId w:val="26"/>
        </w:numPr>
        <w:tabs>
          <w:tab w:val="clear" w:pos="4419"/>
          <w:tab w:val="clear" w:pos="8838"/>
        </w:tabs>
        <w:contextualSpacing/>
        <w:jc w:val="both"/>
        <w:rPr>
          <w:rFonts w:eastAsia="Cambria" w:cs="System Font Regular"/>
          <w:color w:val="16191F"/>
          <w:szCs w:val="20"/>
          <w:lang w:val="pt-BR"/>
        </w:rPr>
      </w:pPr>
      <w:r w:rsidRPr="00D5464D">
        <w:rPr>
          <w:rFonts w:eastAsia="Cambria" w:cs="Times New Roman"/>
          <w:szCs w:val="20"/>
          <w:lang w:val="pt-BR"/>
        </w:rPr>
        <w:t xml:space="preserve">Desta maneira, o que a Corte IDH consolida, ao reconhecer a existência deste tipo de discriminações de natureza histórica, é que a proibição de discriminação persegue como finalidade evitar a materialização de grupos que se encontrem submetidos, excluídos ou marginalizados, em consequência de circunstâncias sociais, econômicas, políticas ou de medidas públicas. Por outra parte, a discriminação estrutural histórica dos indivíduos nos fatos do caso não se vincula com a não razoabilidade ou arbitrariedade de um critério expresso dentro da norma ou dos efeitos diretos em um caso em concreto. </w:t>
      </w:r>
    </w:p>
    <w:p w14:paraId="15ADB983" w14:textId="77777777" w:rsidR="00F16338" w:rsidRPr="00D5464D" w:rsidRDefault="00F16338" w:rsidP="00F16338">
      <w:pPr>
        <w:tabs>
          <w:tab w:val="clear" w:pos="4419"/>
          <w:tab w:val="clear" w:pos="8838"/>
        </w:tabs>
        <w:rPr>
          <w:rFonts w:eastAsia="MS Mincho" w:cs="Times New Roman"/>
          <w:sz w:val="24"/>
          <w:szCs w:val="20"/>
          <w:lang w:val="pt-BR" w:eastAsia="es-ES"/>
        </w:rPr>
      </w:pPr>
    </w:p>
    <w:p w14:paraId="44B298C0" w14:textId="77777777" w:rsidR="00F16338" w:rsidRPr="00D5464D" w:rsidRDefault="00F16338" w:rsidP="00F306D7">
      <w:pPr>
        <w:numPr>
          <w:ilvl w:val="0"/>
          <w:numId w:val="26"/>
        </w:numPr>
        <w:tabs>
          <w:tab w:val="clear" w:pos="4419"/>
          <w:tab w:val="clear" w:pos="8838"/>
        </w:tabs>
        <w:contextualSpacing/>
        <w:jc w:val="both"/>
        <w:rPr>
          <w:rFonts w:eastAsia="Cambria" w:cs="System Font Regular"/>
          <w:color w:val="16191F"/>
          <w:szCs w:val="20"/>
          <w:lang w:val="pt-BR"/>
        </w:rPr>
      </w:pPr>
      <w:r w:rsidRPr="00D5464D">
        <w:rPr>
          <w:rFonts w:eastAsia="Cambria" w:cs="Times New Roman"/>
          <w:szCs w:val="20"/>
          <w:lang w:val="pt-BR"/>
        </w:rPr>
        <w:t>Ao contrário, a ineficácia, a incapacidade e a aplicação deficiente de ações gerais para prevenir a discriminação no âmbito interno de um Estado podem chegar a produzir e perpetuar, por anos, a existência de discriminação para certos grupos em desvantagem; como o são as pessoas submetidas a trabalho escravo, as quais, em razão de suas condições de pobreza, resultam em um foco especial de vulnerabilidade brasileira, à luz do artigo 6.1 da Convenção Americana, em relação do artigo 1.1 do mesmo instrumento.</w:t>
      </w:r>
      <w:r w:rsidRPr="00D5464D">
        <w:rPr>
          <w:rFonts w:eastAsia="Cambria" w:cs="Times New Roman"/>
          <w:szCs w:val="20"/>
          <w:vertAlign w:val="superscript"/>
          <w:lang w:val="pt-BR"/>
        </w:rPr>
        <w:footnoteReference w:id="655"/>
      </w:r>
    </w:p>
    <w:p w14:paraId="129AE681" w14:textId="77777777" w:rsidR="00F16338" w:rsidRPr="00D5464D" w:rsidRDefault="00F16338" w:rsidP="00F16338">
      <w:pPr>
        <w:tabs>
          <w:tab w:val="clear" w:pos="4419"/>
          <w:tab w:val="clear" w:pos="8838"/>
        </w:tabs>
        <w:contextualSpacing/>
        <w:jc w:val="both"/>
        <w:rPr>
          <w:rFonts w:eastAsia="Cambria" w:cs="System Font Regular"/>
          <w:color w:val="16191F"/>
          <w:szCs w:val="20"/>
          <w:lang w:val="pt-BR"/>
        </w:rPr>
      </w:pPr>
    </w:p>
    <w:p w14:paraId="5B8993CA" w14:textId="77777777" w:rsidR="00F16338" w:rsidRPr="00D5464D" w:rsidRDefault="00F16338" w:rsidP="00F16338">
      <w:pPr>
        <w:tabs>
          <w:tab w:val="clear" w:pos="4419"/>
          <w:tab w:val="clear" w:pos="8838"/>
        </w:tabs>
        <w:contextualSpacing/>
        <w:jc w:val="both"/>
        <w:rPr>
          <w:rFonts w:eastAsia="Cambria" w:cs="System Font Regular"/>
          <w:color w:val="16191F"/>
          <w:szCs w:val="20"/>
          <w:lang w:val="pt-BR"/>
        </w:rPr>
      </w:pPr>
    </w:p>
    <w:p w14:paraId="47F79DAD" w14:textId="77777777" w:rsidR="00F16338" w:rsidRPr="00D5464D" w:rsidRDefault="00F16338" w:rsidP="00F16338">
      <w:pPr>
        <w:tabs>
          <w:tab w:val="clear" w:pos="4419"/>
          <w:tab w:val="clear" w:pos="8838"/>
        </w:tabs>
        <w:contextualSpacing/>
        <w:jc w:val="center"/>
        <w:rPr>
          <w:rFonts w:eastAsia="Cambria" w:cs="Times New Roman"/>
          <w:szCs w:val="20"/>
          <w:lang w:val="pt-BR"/>
        </w:rPr>
      </w:pPr>
      <w:r w:rsidRPr="00D5464D">
        <w:rPr>
          <w:rFonts w:eastAsia="Cambria" w:cs="Times New Roman"/>
          <w:szCs w:val="20"/>
          <w:lang w:val="pt-BR"/>
        </w:rPr>
        <w:t>VII. CONCLUSÕES</w:t>
      </w:r>
    </w:p>
    <w:p w14:paraId="0168C1E7" w14:textId="77777777" w:rsidR="00F16338" w:rsidRPr="00D5464D" w:rsidRDefault="00F16338" w:rsidP="00F16338">
      <w:pPr>
        <w:tabs>
          <w:tab w:val="clear" w:pos="4419"/>
          <w:tab w:val="clear" w:pos="8838"/>
        </w:tabs>
        <w:contextualSpacing/>
        <w:jc w:val="both"/>
        <w:rPr>
          <w:rFonts w:eastAsia="Cambria" w:cs="Times New Roman"/>
          <w:szCs w:val="20"/>
          <w:lang w:val="pt-BR"/>
        </w:rPr>
      </w:pPr>
    </w:p>
    <w:p w14:paraId="2AE37C68" w14:textId="77777777" w:rsidR="00F16338" w:rsidRPr="00D5464D" w:rsidRDefault="00F16338" w:rsidP="00F16338">
      <w:pPr>
        <w:tabs>
          <w:tab w:val="clear" w:pos="4419"/>
          <w:tab w:val="clear" w:pos="8838"/>
        </w:tabs>
        <w:contextualSpacing/>
        <w:jc w:val="both"/>
        <w:rPr>
          <w:rFonts w:eastAsia="Cambria" w:cs="Times New Roman"/>
          <w:szCs w:val="20"/>
          <w:lang w:val="pt-BR"/>
        </w:rPr>
      </w:pPr>
    </w:p>
    <w:p w14:paraId="7428722D" w14:textId="77777777" w:rsidR="00F16338" w:rsidRPr="00D5464D" w:rsidRDefault="00F16338" w:rsidP="00F306D7">
      <w:pPr>
        <w:numPr>
          <w:ilvl w:val="0"/>
          <w:numId w:val="26"/>
        </w:numPr>
        <w:tabs>
          <w:tab w:val="clear" w:pos="4419"/>
          <w:tab w:val="clear" w:pos="8838"/>
        </w:tabs>
        <w:contextualSpacing/>
        <w:jc w:val="both"/>
        <w:rPr>
          <w:rFonts w:eastAsia="Cambria" w:cs="Times New Roman"/>
          <w:szCs w:val="20"/>
          <w:lang w:val="pt-BR"/>
        </w:rPr>
      </w:pPr>
      <w:r w:rsidRPr="00D5464D">
        <w:rPr>
          <w:rFonts w:eastAsia="Cambria" w:cs="Times New Roman"/>
          <w:szCs w:val="20"/>
          <w:lang w:val="pt-BR"/>
        </w:rPr>
        <w:t>Como se tratou de expor no presente voto, diferentemente dos Sistemas Europeu e Africano de Direitos Humanos, os Sistemas Universal e Interamericano mostram uma tendência a considerar que as pessoas que se encontram em situação de pobreza constituem um grupo em situação de vulnerabilidade diferenciado dos grupos tradicionalmente identificados; esta condição é reconhecida como categoria de proteção especial e é parte da proibição de discriminação por “posição econômica” contemplada de maneira expressa no artigo 1.1 da Convenção Americana.</w:t>
      </w:r>
    </w:p>
    <w:p w14:paraId="4EB1303B" w14:textId="77777777" w:rsidR="00F16338" w:rsidRPr="00D5464D" w:rsidRDefault="00F16338" w:rsidP="00F16338">
      <w:pPr>
        <w:tabs>
          <w:tab w:val="clear" w:pos="4419"/>
          <w:tab w:val="clear" w:pos="8838"/>
        </w:tabs>
        <w:contextualSpacing/>
        <w:jc w:val="both"/>
        <w:rPr>
          <w:rFonts w:eastAsia="Cambria" w:cs="Times New Roman"/>
          <w:b/>
          <w:i/>
          <w:szCs w:val="20"/>
          <w:lang w:val="pt-BR"/>
        </w:rPr>
      </w:pPr>
    </w:p>
    <w:p w14:paraId="7E941DAC" w14:textId="77777777" w:rsidR="00F16338" w:rsidRPr="00D5464D" w:rsidRDefault="00F16338" w:rsidP="00F306D7">
      <w:pPr>
        <w:numPr>
          <w:ilvl w:val="0"/>
          <w:numId w:val="26"/>
        </w:numPr>
        <w:tabs>
          <w:tab w:val="clear" w:pos="4419"/>
          <w:tab w:val="clear" w:pos="8838"/>
        </w:tabs>
        <w:contextualSpacing/>
        <w:jc w:val="both"/>
        <w:rPr>
          <w:rFonts w:eastAsia="Cambria" w:cs="Times New Roman"/>
          <w:szCs w:val="20"/>
          <w:lang w:val="pt-BR"/>
        </w:rPr>
      </w:pPr>
      <w:r w:rsidRPr="00D5464D">
        <w:rPr>
          <w:rFonts w:eastAsia="Cambria" w:cs="Times New Roman"/>
          <w:szCs w:val="20"/>
          <w:lang w:val="pt-BR"/>
        </w:rPr>
        <w:t xml:space="preserve">No presente caso, a situação de especial vulnerabilidade pela posição de pobreza em que se encontravam os 85 trabalhadores, fez com que fossem vítimas de tráfico de pessoas devido ao </w:t>
      </w:r>
      <w:r w:rsidRPr="00D5464D">
        <w:rPr>
          <w:rFonts w:eastAsia="Cambria" w:cs="Times New Roman"/>
          <w:i/>
          <w:szCs w:val="20"/>
          <w:lang w:val="pt-BR"/>
        </w:rPr>
        <w:t>modus operandi</w:t>
      </w:r>
      <w:r w:rsidRPr="00D5464D">
        <w:rPr>
          <w:rFonts w:eastAsia="Cambria" w:cs="Times New Roman"/>
          <w:szCs w:val="20"/>
          <w:lang w:val="pt-BR"/>
        </w:rPr>
        <w:t xml:space="preserve"> existente na região do Estado do Pará; e, também, considerando outras características similares, deixava-os propensos a aceitar, mediante enganos, ofertas de trabalho na Fazenda Brasil Verde, que se materializaram em formas de trabalho escravo. Esta situação particular não foi um ato isolado, mas, como foi explicitado na Sentença, possui antecedentes históricos e se perpetuou em relação a setores específicos da população e determinadas regiões geográficas após 1995, data na qual o Brasil reconheceu expressamente a existência de “trabalho escravo” no país. A partir disso , foi analisada conjuntamente a posição de pobreza como o fator estrutural determinante para a perpetuação histórica do trabalho escravo no Brasil. </w:t>
      </w:r>
    </w:p>
    <w:p w14:paraId="13435250" w14:textId="77777777" w:rsidR="00F16338" w:rsidRPr="00D5464D" w:rsidRDefault="00F16338" w:rsidP="00F16338">
      <w:pPr>
        <w:tabs>
          <w:tab w:val="clear" w:pos="4419"/>
          <w:tab w:val="clear" w:pos="8838"/>
        </w:tabs>
        <w:rPr>
          <w:rFonts w:eastAsia="MS Mincho" w:cs="Times New Roman"/>
          <w:b/>
          <w:i/>
          <w:sz w:val="24"/>
          <w:szCs w:val="20"/>
          <w:lang w:val="pt-BR" w:eastAsia="es-ES"/>
        </w:rPr>
      </w:pPr>
    </w:p>
    <w:p w14:paraId="18B98016" w14:textId="77777777" w:rsidR="00F16338" w:rsidRPr="00D5464D" w:rsidRDefault="00F16338" w:rsidP="00F306D7">
      <w:pPr>
        <w:numPr>
          <w:ilvl w:val="0"/>
          <w:numId w:val="26"/>
        </w:numPr>
        <w:tabs>
          <w:tab w:val="clear" w:pos="4419"/>
          <w:tab w:val="clear" w:pos="8838"/>
        </w:tabs>
        <w:contextualSpacing/>
        <w:jc w:val="both"/>
        <w:rPr>
          <w:rFonts w:eastAsia="Cambria" w:cs="Times New Roman"/>
          <w:strike/>
          <w:szCs w:val="20"/>
          <w:lang w:val="pt-BR"/>
        </w:rPr>
      </w:pPr>
      <w:r w:rsidRPr="00D5464D">
        <w:rPr>
          <w:rFonts w:eastAsia="Cambria" w:cs="Times New Roman"/>
          <w:lang w:val="pt-BR"/>
        </w:rPr>
        <w:t>Como se expressa na Sentença, a pobreza “é o principal fator da escravidão contemporânea no Brasil, por aumentar a vulnerabilidade de significativa parcela da população, tornando-a presa fácil dos aliciadores para o trabalho escravo”.</w:t>
      </w:r>
      <w:r w:rsidRPr="00D5464D">
        <w:rPr>
          <w:rFonts w:eastAsia="Cambria" w:cs="Times New Roman"/>
          <w:szCs w:val="20"/>
          <w:vertAlign w:val="superscript"/>
          <w:lang w:val="pt-BR"/>
        </w:rPr>
        <w:footnoteReference w:id="656"/>
      </w:r>
      <w:r w:rsidRPr="00D5464D">
        <w:rPr>
          <w:rFonts w:eastAsia="Cambria" w:cs="Times New Roman"/>
          <w:lang w:val="pt-BR"/>
        </w:rPr>
        <w:t xml:space="preserve"> A </w:t>
      </w:r>
      <w:r w:rsidRPr="00D5464D">
        <w:rPr>
          <w:rFonts w:eastAsia="Cambria" w:cs="Times New Roman"/>
          <w:szCs w:val="20"/>
          <w:lang w:val="pt-BR"/>
        </w:rPr>
        <w:t xml:space="preserve">pobreza, no caso </w:t>
      </w:r>
      <w:r w:rsidRPr="00D5464D">
        <w:rPr>
          <w:rFonts w:eastAsia="Cambria" w:cs="Times New Roman"/>
          <w:i/>
          <w:szCs w:val="20"/>
          <w:lang w:val="pt-BR"/>
        </w:rPr>
        <w:t xml:space="preserve">sub judice, </w:t>
      </w:r>
      <w:r w:rsidRPr="00D5464D">
        <w:rPr>
          <w:rFonts w:eastAsia="Cambria" w:cs="Times New Roman"/>
          <w:szCs w:val="20"/>
          <w:lang w:val="pt-BR"/>
        </w:rPr>
        <w:t>não se enquadra como um fenômeno, mas como uma afetação de especial vulnerabilidade, na qual a situação de exclusão e marginalização, somada à negação estrutural e sistêmica de direitos (com antecedentes históricos para o caso particular), provocaram uma afetação nos 85 trabalhadores resgatados da Fazenda Brasil Verde.</w:t>
      </w:r>
    </w:p>
    <w:p w14:paraId="1F73883D" w14:textId="77777777" w:rsidR="00F16338" w:rsidRPr="00D5464D" w:rsidRDefault="00F16338" w:rsidP="00F16338">
      <w:pPr>
        <w:tabs>
          <w:tab w:val="clear" w:pos="4419"/>
          <w:tab w:val="clear" w:pos="8838"/>
        </w:tabs>
        <w:contextualSpacing/>
        <w:jc w:val="both"/>
        <w:rPr>
          <w:rFonts w:eastAsia="Cambria" w:cs="Times New Roman"/>
          <w:strike/>
          <w:szCs w:val="20"/>
          <w:lang w:val="pt-BR"/>
        </w:rPr>
      </w:pPr>
    </w:p>
    <w:p w14:paraId="2E3E4123" w14:textId="77777777" w:rsidR="00F16338" w:rsidRPr="00D5464D" w:rsidRDefault="00F16338" w:rsidP="00F306D7">
      <w:pPr>
        <w:numPr>
          <w:ilvl w:val="0"/>
          <w:numId w:val="26"/>
        </w:numPr>
        <w:tabs>
          <w:tab w:val="clear" w:pos="4419"/>
          <w:tab w:val="clear" w:pos="8838"/>
        </w:tabs>
        <w:contextualSpacing/>
        <w:jc w:val="both"/>
        <w:rPr>
          <w:rFonts w:eastAsia="Cambria" w:cs="Times New Roman"/>
          <w:b/>
          <w:i/>
          <w:szCs w:val="20"/>
          <w:lang w:val="pt-BR"/>
        </w:rPr>
      </w:pPr>
      <w:r w:rsidRPr="00D5464D">
        <w:rPr>
          <w:rFonts w:eastAsia="Cambria" w:cs="Times New Roman"/>
          <w:szCs w:val="20"/>
          <w:lang w:val="pt-BR"/>
        </w:rPr>
        <w:t>Não pode passar inadvertido para um juiz interamericano que a escravidão, em suas formas análogas e contemporâneas, tem origem e consequência na pobreza, na desigualdade e na exclusão social, repercutindo nas democracias substantivas dos países da região</w:t>
      </w:r>
      <w:r w:rsidRPr="00D5464D">
        <w:rPr>
          <w:rFonts w:eastAsia="Cambria" w:cs="System Font Regular"/>
          <w:color w:val="16191F"/>
          <w:szCs w:val="20"/>
          <w:lang w:val="pt-BR"/>
        </w:rPr>
        <w:t>. Deste modo, a análise da experiência interamericana de proteção de direitos humanos (civis, políticos, econômicos, sociais, culturais e ambientais) demanda que sejam consideradas as peculiaridades da região, já que a América Latina é a região com o mais alto grau de desigualdade no mundo.</w:t>
      </w:r>
      <w:r w:rsidRPr="00D5464D">
        <w:rPr>
          <w:rFonts w:eastAsia="Cambria" w:cs="Times New Roman"/>
          <w:color w:val="16191F"/>
          <w:szCs w:val="20"/>
          <w:vertAlign w:val="superscript"/>
          <w:lang w:val="pt-BR"/>
        </w:rPr>
        <w:footnoteReference w:id="657"/>
      </w:r>
      <w:r w:rsidRPr="00D5464D">
        <w:rPr>
          <w:rFonts w:eastAsia="Cambria" w:cs="System Font Regular"/>
          <w:color w:val="16191F"/>
          <w:szCs w:val="20"/>
          <w:lang w:val="pt-BR"/>
        </w:rPr>
        <w:t xml:space="preserve"> Nesse </w:t>
      </w:r>
      <w:r w:rsidRPr="00D5464D">
        <w:rPr>
          <w:rFonts w:eastAsia="Cambria" w:cs="Times New Roman"/>
          <w:szCs w:val="20"/>
          <w:lang w:val="pt-BR"/>
        </w:rPr>
        <w:t xml:space="preserve">sentido, os Estados na região devem ser consequentes com o que proclama a </w:t>
      </w:r>
      <w:r w:rsidRPr="00D5464D">
        <w:rPr>
          <w:rFonts w:eastAsia="Cambria" w:cs="Times"/>
          <w:i/>
          <w:szCs w:val="20"/>
          <w:lang w:val="pt-BR"/>
        </w:rPr>
        <w:t>Carta Social das Américas</w:t>
      </w:r>
      <w:r w:rsidRPr="00D5464D">
        <w:rPr>
          <w:rFonts w:eastAsia="Cambria" w:cs="Times"/>
          <w:szCs w:val="20"/>
          <w:lang w:val="pt-BR"/>
        </w:rPr>
        <w:t xml:space="preserve"> (2012)</w:t>
      </w:r>
      <w:r w:rsidRPr="00D5464D">
        <w:rPr>
          <w:rFonts w:eastAsia="Cambria" w:cs="Times New Roman"/>
          <w:szCs w:val="20"/>
          <w:vertAlign w:val="superscript"/>
          <w:lang w:val="pt-BR"/>
        </w:rPr>
        <w:footnoteReference w:id="658"/>
      </w:r>
      <w:r w:rsidRPr="00D5464D">
        <w:rPr>
          <w:rFonts w:eastAsia="Cambria" w:cs="Times"/>
          <w:szCs w:val="20"/>
          <w:lang w:val="pt-BR"/>
        </w:rPr>
        <w:t xml:space="preserve"> e seu Plano de Ação (2015),</w:t>
      </w:r>
      <w:r w:rsidRPr="00D5464D">
        <w:rPr>
          <w:rFonts w:eastAsia="Cambria" w:cs="Times New Roman"/>
          <w:szCs w:val="20"/>
          <w:vertAlign w:val="superscript"/>
          <w:lang w:val="pt-BR"/>
        </w:rPr>
        <w:footnoteReference w:id="659"/>
      </w:r>
      <w:r w:rsidRPr="00D5464D">
        <w:rPr>
          <w:rFonts w:eastAsia="Cambria" w:cs="Times"/>
          <w:szCs w:val="20"/>
          <w:lang w:val="pt-BR"/>
        </w:rPr>
        <w:t xml:space="preserve"> para buscar alcançar progressivamente a realização plena da </w:t>
      </w:r>
      <w:r w:rsidRPr="00D5464D">
        <w:rPr>
          <w:rFonts w:eastAsia="Cambria" w:cs="Times"/>
          <w:i/>
          <w:szCs w:val="20"/>
          <w:lang w:val="pt-BR"/>
        </w:rPr>
        <w:t>justiça social</w:t>
      </w:r>
      <w:r w:rsidRPr="00D5464D">
        <w:rPr>
          <w:rFonts w:eastAsia="Cambria" w:cs="Times"/>
          <w:szCs w:val="20"/>
          <w:lang w:val="pt-BR"/>
        </w:rPr>
        <w:t xml:space="preserve"> em nosso continente.  </w:t>
      </w:r>
    </w:p>
    <w:p w14:paraId="25559F4D" w14:textId="77777777" w:rsidR="00F16338" w:rsidRPr="00D5464D" w:rsidRDefault="00F16338" w:rsidP="00F16338">
      <w:pPr>
        <w:tabs>
          <w:tab w:val="clear" w:pos="4419"/>
          <w:tab w:val="clear" w:pos="8838"/>
        </w:tabs>
        <w:contextualSpacing/>
        <w:jc w:val="both"/>
        <w:rPr>
          <w:rFonts w:eastAsia="Cambria" w:cs="Times New Roman"/>
          <w:b/>
          <w:i/>
          <w:szCs w:val="20"/>
          <w:lang w:val="pt-BR"/>
        </w:rPr>
      </w:pPr>
    </w:p>
    <w:p w14:paraId="60CD20AA" w14:textId="77777777" w:rsidR="00F16338" w:rsidRPr="00D5464D" w:rsidRDefault="00F16338" w:rsidP="00F16338">
      <w:pPr>
        <w:tabs>
          <w:tab w:val="clear" w:pos="4419"/>
          <w:tab w:val="clear" w:pos="8838"/>
        </w:tabs>
        <w:contextualSpacing/>
        <w:jc w:val="both"/>
        <w:rPr>
          <w:rFonts w:eastAsia="Cambria" w:cs="Times New Roman"/>
          <w:b/>
          <w:i/>
          <w:szCs w:val="20"/>
          <w:lang w:val="pt-BR"/>
        </w:rPr>
      </w:pPr>
    </w:p>
    <w:p w14:paraId="386B15D7" w14:textId="77777777" w:rsidR="00F16338" w:rsidRPr="00D5464D" w:rsidRDefault="00F16338" w:rsidP="00F16338">
      <w:pPr>
        <w:tabs>
          <w:tab w:val="clear" w:pos="4419"/>
          <w:tab w:val="clear" w:pos="8838"/>
        </w:tabs>
        <w:contextualSpacing/>
        <w:jc w:val="both"/>
        <w:rPr>
          <w:rFonts w:eastAsia="Cambria" w:cs="Times New Roman"/>
          <w:b/>
          <w:i/>
          <w:szCs w:val="20"/>
          <w:lang w:val="pt-BR"/>
        </w:rPr>
      </w:pPr>
    </w:p>
    <w:p w14:paraId="7F31AB26" w14:textId="77777777" w:rsidR="00F16338" w:rsidRPr="00D5464D" w:rsidRDefault="00F16338" w:rsidP="00F16338">
      <w:pPr>
        <w:tabs>
          <w:tab w:val="clear" w:pos="4419"/>
          <w:tab w:val="clear" w:pos="8838"/>
        </w:tabs>
        <w:contextualSpacing/>
        <w:jc w:val="both"/>
        <w:rPr>
          <w:rFonts w:eastAsia="Cambria" w:cs="Times New Roman"/>
          <w:b/>
          <w:i/>
          <w:szCs w:val="20"/>
          <w:lang w:val="pt-BR"/>
        </w:rPr>
      </w:pPr>
    </w:p>
    <w:p w14:paraId="2F7FCD0A" w14:textId="77777777" w:rsidR="00F16338" w:rsidRPr="00D5464D" w:rsidRDefault="00F16338" w:rsidP="00F16338">
      <w:pPr>
        <w:tabs>
          <w:tab w:val="clear" w:pos="4419"/>
          <w:tab w:val="clear" w:pos="8838"/>
        </w:tabs>
        <w:contextualSpacing/>
        <w:jc w:val="both"/>
        <w:rPr>
          <w:rFonts w:eastAsia="Cambria" w:cs="Times New Roman"/>
          <w:b/>
          <w:i/>
          <w:szCs w:val="20"/>
          <w:lang w:val="pt-BR"/>
        </w:rPr>
      </w:pPr>
    </w:p>
    <w:p w14:paraId="54E9B240" w14:textId="77777777" w:rsidR="00F16338" w:rsidRPr="00D5464D" w:rsidRDefault="00F16338" w:rsidP="00F16338">
      <w:pPr>
        <w:tabs>
          <w:tab w:val="clear" w:pos="4419"/>
          <w:tab w:val="clear" w:pos="8838"/>
        </w:tabs>
        <w:contextualSpacing/>
        <w:jc w:val="both"/>
        <w:rPr>
          <w:rFonts w:eastAsia="Cambria" w:cs="Times New Roman"/>
          <w:b/>
          <w:i/>
          <w:szCs w:val="20"/>
          <w:lang w:val="pt-BR"/>
        </w:rPr>
      </w:pPr>
    </w:p>
    <w:p w14:paraId="2468353E" w14:textId="77777777" w:rsidR="00F16338" w:rsidRPr="00D5464D" w:rsidRDefault="00F16338" w:rsidP="00F16338">
      <w:pPr>
        <w:tabs>
          <w:tab w:val="clear" w:pos="4419"/>
          <w:tab w:val="clear" w:pos="8838"/>
        </w:tabs>
        <w:ind w:left="3600" w:right="96" w:firstLine="720"/>
        <w:jc w:val="center"/>
        <w:rPr>
          <w:rFonts w:eastAsia="Calibri" w:cs="Times New Roman"/>
          <w:szCs w:val="20"/>
          <w:lang w:val="pt-BR"/>
        </w:rPr>
      </w:pPr>
    </w:p>
    <w:p w14:paraId="4CCF45E4" w14:textId="77777777" w:rsidR="00F16338" w:rsidRPr="00D5464D" w:rsidRDefault="00F16338" w:rsidP="00F16338">
      <w:pPr>
        <w:tabs>
          <w:tab w:val="clear" w:pos="4419"/>
          <w:tab w:val="clear" w:pos="8838"/>
        </w:tabs>
        <w:ind w:left="3600" w:right="96" w:firstLine="720"/>
        <w:jc w:val="center"/>
        <w:rPr>
          <w:rFonts w:eastAsia="Calibri" w:cs="Times New Roman"/>
          <w:szCs w:val="20"/>
          <w:lang w:val="pt-BR"/>
        </w:rPr>
      </w:pPr>
      <w:r w:rsidRPr="00D5464D">
        <w:rPr>
          <w:rFonts w:eastAsia="Calibri" w:cs="Times New Roman"/>
          <w:szCs w:val="20"/>
          <w:lang w:val="pt-BR"/>
        </w:rPr>
        <w:t>Eduardo Ferrer Mac-Gregor Poisot</w:t>
      </w:r>
    </w:p>
    <w:p w14:paraId="46B928C6" w14:textId="77777777" w:rsidR="00F16338" w:rsidRPr="00D5464D" w:rsidRDefault="00F16338" w:rsidP="00F16338">
      <w:pPr>
        <w:tabs>
          <w:tab w:val="clear" w:pos="4419"/>
          <w:tab w:val="clear" w:pos="8838"/>
        </w:tabs>
        <w:ind w:left="3960" w:right="96" w:firstLine="360"/>
        <w:jc w:val="center"/>
        <w:rPr>
          <w:rFonts w:eastAsia="Calibri" w:cs="Times New Roman"/>
          <w:szCs w:val="20"/>
          <w:lang w:val="pt-BR"/>
        </w:rPr>
      </w:pPr>
      <w:r w:rsidRPr="00D5464D">
        <w:rPr>
          <w:rFonts w:eastAsia="Calibri" w:cs="Times New Roman"/>
          <w:szCs w:val="20"/>
          <w:lang w:val="pt-BR"/>
        </w:rPr>
        <w:t>Juiz</w:t>
      </w:r>
    </w:p>
    <w:p w14:paraId="485E11D1" w14:textId="77777777" w:rsidR="00F16338" w:rsidRPr="00D5464D" w:rsidRDefault="00F16338" w:rsidP="00F16338">
      <w:pPr>
        <w:tabs>
          <w:tab w:val="clear" w:pos="4419"/>
          <w:tab w:val="clear" w:pos="8838"/>
        </w:tabs>
        <w:rPr>
          <w:rFonts w:eastAsia="MS Mincho" w:cs="Times New Roman"/>
          <w:sz w:val="24"/>
          <w:szCs w:val="24"/>
          <w:lang w:val="pt-BR" w:eastAsia="es-ES"/>
        </w:rPr>
      </w:pPr>
    </w:p>
    <w:p w14:paraId="5BDE4941" w14:textId="77777777" w:rsidR="00F16338" w:rsidRPr="00D5464D" w:rsidRDefault="00F16338" w:rsidP="00F16338">
      <w:pPr>
        <w:tabs>
          <w:tab w:val="clear" w:pos="4419"/>
          <w:tab w:val="clear" w:pos="8838"/>
        </w:tabs>
        <w:rPr>
          <w:rFonts w:eastAsia="MS Mincho" w:cs="Times New Roman"/>
          <w:sz w:val="24"/>
          <w:szCs w:val="24"/>
          <w:lang w:val="pt-BR" w:eastAsia="es-ES"/>
        </w:rPr>
      </w:pPr>
    </w:p>
    <w:p w14:paraId="79AD23A4" w14:textId="77777777" w:rsidR="00F16338" w:rsidRPr="00D5464D" w:rsidRDefault="00F16338" w:rsidP="00F16338">
      <w:pPr>
        <w:tabs>
          <w:tab w:val="clear" w:pos="4419"/>
          <w:tab w:val="clear" w:pos="8838"/>
        </w:tabs>
        <w:rPr>
          <w:rFonts w:eastAsia="MS Mincho" w:cs="Times New Roman"/>
          <w:sz w:val="24"/>
          <w:szCs w:val="24"/>
          <w:lang w:val="pt-BR" w:eastAsia="es-ES"/>
        </w:rPr>
      </w:pPr>
    </w:p>
    <w:p w14:paraId="023D5367" w14:textId="77777777" w:rsidR="00F16338" w:rsidRPr="00D5464D" w:rsidRDefault="00F16338" w:rsidP="00F16338">
      <w:pPr>
        <w:tabs>
          <w:tab w:val="clear" w:pos="4419"/>
          <w:tab w:val="clear" w:pos="8838"/>
        </w:tabs>
        <w:rPr>
          <w:rFonts w:eastAsia="MS Mincho" w:cs="Times New Roman"/>
          <w:sz w:val="24"/>
          <w:szCs w:val="24"/>
          <w:lang w:val="pt-BR" w:eastAsia="es-ES"/>
        </w:rPr>
      </w:pPr>
    </w:p>
    <w:p w14:paraId="05B53D76" w14:textId="77777777" w:rsidR="00F16338" w:rsidRPr="00D5464D" w:rsidRDefault="00F16338" w:rsidP="00F16338">
      <w:pPr>
        <w:tabs>
          <w:tab w:val="clear" w:pos="4419"/>
          <w:tab w:val="clear" w:pos="8838"/>
        </w:tabs>
        <w:rPr>
          <w:rFonts w:eastAsia="MS Mincho" w:cs="Times New Roman"/>
          <w:sz w:val="24"/>
          <w:szCs w:val="24"/>
          <w:lang w:val="pt-BR" w:eastAsia="es-ES"/>
        </w:rPr>
      </w:pPr>
    </w:p>
    <w:p w14:paraId="15037D56" w14:textId="77777777" w:rsidR="00F16338" w:rsidRPr="00D5464D" w:rsidRDefault="00F16338" w:rsidP="00F16338">
      <w:pPr>
        <w:tabs>
          <w:tab w:val="clear" w:pos="4419"/>
          <w:tab w:val="clear" w:pos="8838"/>
        </w:tabs>
        <w:rPr>
          <w:rFonts w:eastAsia="MS Mincho" w:cs="Times New Roman"/>
          <w:szCs w:val="20"/>
          <w:lang w:val="pt-BR" w:eastAsia="es-ES"/>
        </w:rPr>
      </w:pPr>
      <w:r w:rsidRPr="00D5464D">
        <w:rPr>
          <w:rFonts w:eastAsia="MS Mincho" w:cs="Times New Roman"/>
          <w:szCs w:val="20"/>
          <w:lang w:val="pt-BR" w:eastAsia="es-ES"/>
        </w:rPr>
        <w:t>Pablo Saavedra Alessandri</w:t>
      </w:r>
    </w:p>
    <w:p w14:paraId="41EC0FD3" w14:textId="77777777" w:rsidR="00F16338" w:rsidRPr="00D5464D" w:rsidRDefault="00F16338" w:rsidP="00F16338">
      <w:pPr>
        <w:tabs>
          <w:tab w:val="clear" w:pos="4419"/>
          <w:tab w:val="clear" w:pos="8838"/>
        </w:tabs>
        <w:rPr>
          <w:rFonts w:eastAsia="MS Mincho" w:cs="Times New Roman"/>
          <w:szCs w:val="20"/>
          <w:lang w:val="pt-BR" w:eastAsia="es-ES"/>
        </w:rPr>
      </w:pPr>
      <w:r w:rsidRPr="00D5464D">
        <w:rPr>
          <w:rFonts w:eastAsia="MS Mincho" w:cs="Times New Roman"/>
          <w:szCs w:val="20"/>
          <w:lang w:val="pt-BR" w:eastAsia="es-ES"/>
        </w:rPr>
        <w:tab/>
        <w:t>Secretário</w:t>
      </w:r>
    </w:p>
    <w:p w14:paraId="460D8B9A" w14:textId="77777777" w:rsidR="00BE08AB" w:rsidRPr="00D5464D" w:rsidRDefault="00BE08AB" w:rsidP="00F74CCF">
      <w:pPr>
        <w:tabs>
          <w:tab w:val="left" w:pos="720"/>
        </w:tabs>
        <w:ind w:right="-90"/>
        <w:contextualSpacing/>
        <w:rPr>
          <w:bCs/>
          <w:szCs w:val="20"/>
          <w:lang w:val="pt-BR"/>
        </w:rPr>
        <w:sectPr w:rsidR="00BE08AB" w:rsidRPr="00D5464D" w:rsidSect="00F16338">
          <w:footerReference w:type="even" r:id="rId10"/>
          <w:footerReference w:type="default" r:id="rId11"/>
          <w:footnotePr>
            <w:numRestart w:val="eachSect"/>
          </w:footnotePr>
          <w:pgSz w:w="12240" w:h="15840"/>
          <w:pgMar w:top="1417" w:right="1701" w:bottom="1417" w:left="1701" w:header="708" w:footer="708" w:gutter="0"/>
          <w:pgNumType w:start="1"/>
          <w:cols w:space="708"/>
          <w:titlePg/>
          <w:docGrid w:linePitch="360"/>
        </w:sectPr>
      </w:pPr>
    </w:p>
    <w:p w14:paraId="3CB94279" w14:textId="77777777" w:rsidR="00BE08AB" w:rsidRPr="00D5464D" w:rsidRDefault="00BE08AB" w:rsidP="00BE08AB">
      <w:pPr>
        <w:tabs>
          <w:tab w:val="clear" w:pos="4419"/>
          <w:tab w:val="clear" w:pos="8838"/>
        </w:tabs>
        <w:jc w:val="center"/>
        <w:rPr>
          <w:rFonts w:eastAsia="Calibri" w:cs="Times New Roman"/>
          <w:b/>
          <w:szCs w:val="20"/>
          <w:lang w:val="es-ES"/>
        </w:rPr>
      </w:pPr>
    </w:p>
    <w:p w14:paraId="2A37F426" w14:textId="77777777" w:rsidR="00BE08AB" w:rsidRPr="00D5464D" w:rsidRDefault="00BE08AB" w:rsidP="00BE08AB">
      <w:pPr>
        <w:tabs>
          <w:tab w:val="clear" w:pos="4419"/>
          <w:tab w:val="clear" w:pos="8838"/>
        </w:tabs>
        <w:jc w:val="center"/>
        <w:rPr>
          <w:rFonts w:eastAsia="Calibri" w:cs="Times New Roman"/>
          <w:b/>
          <w:szCs w:val="20"/>
          <w:lang w:val="es-ES"/>
        </w:rPr>
      </w:pPr>
    </w:p>
    <w:p w14:paraId="3F9E27A0" w14:textId="77777777" w:rsidR="00BE08AB" w:rsidRPr="00D5464D" w:rsidRDefault="00BE08AB" w:rsidP="00BE08AB">
      <w:pPr>
        <w:tabs>
          <w:tab w:val="clear" w:pos="4419"/>
          <w:tab w:val="clear" w:pos="8838"/>
        </w:tabs>
        <w:jc w:val="center"/>
        <w:rPr>
          <w:rFonts w:eastAsia="Calibri" w:cs="Times New Roman"/>
          <w:b/>
          <w:szCs w:val="20"/>
          <w:lang w:val="es-ES"/>
        </w:rPr>
      </w:pPr>
    </w:p>
    <w:p w14:paraId="31630C74" w14:textId="77777777" w:rsidR="00BE08AB" w:rsidRPr="00D5464D" w:rsidRDefault="00BE08AB" w:rsidP="00BE08AB">
      <w:pPr>
        <w:tabs>
          <w:tab w:val="clear" w:pos="4419"/>
          <w:tab w:val="clear" w:pos="8838"/>
        </w:tabs>
        <w:jc w:val="center"/>
        <w:rPr>
          <w:rFonts w:eastAsia="Calibri" w:cs="Times New Roman"/>
          <w:b/>
          <w:szCs w:val="20"/>
          <w:lang w:val="es-ES"/>
        </w:rPr>
      </w:pPr>
    </w:p>
    <w:p w14:paraId="3FE18420" w14:textId="77777777" w:rsidR="00BE08AB" w:rsidRPr="00D5464D" w:rsidRDefault="00BE08AB" w:rsidP="00BE08AB">
      <w:pPr>
        <w:tabs>
          <w:tab w:val="clear" w:pos="4419"/>
          <w:tab w:val="clear" w:pos="8838"/>
        </w:tabs>
        <w:jc w:val="center"/>
        <w:rPr>
          <w:rFonts w:eastAsia="Calibri" w:cs="Times New Roman"/>
          <w:b/>
          <w:szCs w:val="20"/>
          <w:lang w:val="es-ES"/>
        </w:rPr>
      </w:pPr>
    </w:p>
    <w:p w14:paraId="49968C20" w14:textId="77777777" w:rsidR="00BE08AB" w:rsidRPr="00D5464D" w:rsidRDefault="00BE08AB" w:rsidP="00BE08AB">
      <w:pPr>
        <w:tabs>
          <w:tab w:val="clear" w:pos="4419"/>
          <w:tab w:val="clear" w:pos="8838"/>
        </w:tabs>
        <w:jc w:val="center"/>
        <w:rPr>
          <w:rFonts w:eastAsia="Calibri" w:cs="Times New Roman"/>
          <w:b/>
          <w:szCs w:val="20"/>
          <w:lang w:val="es-ES"/>
        </w:rPr>
      </w:pPr>
    </w:p>
    <w:p w14:paraId="2F8A92EC" w14:textId="77777777" w:rsidR="00BE08AB" w:rsidRPr="00D5464D" w:rsidRDefault="00BE08AB" w:rsidP="00BE08AB">
      <w:pPr>
        <w:tabs>
          <w:tab w:val="clear" w:pos="4419"/>
          <w:tab w:val="clear" w:pos="8838"/>
        </w:tabs>
        <w:jc w:val="center"/>
        <w:rPr>
          <w:rFonts w:eastAsia="Calibri" w:cs="Times New Roman"/>
          <w:b/>
          <w:szCs w:val="20"/>
          <w:lang w:val="pt-BR"/>
        </w:rPr>
      </w:pPr>
      <w:r w:rsidRPr="00D5464D">
        <w:rPr>
          <w:rFonts w:eastAsia="Calibri" w:cs="Times New Roman"/>
          <w:b/>
          <w:szCs w:val="20"/>
          <w:lang w:val="pt-BR"/>
        </w:rPr>
        <w:t>VOTO INDIVIDUAL CONCORDANTE DO JUIZ EDUARDO VIO GROSSI,</w:t>
      </w:r>
    </w:p>
    <w:p w14:paraId="723345C4" w14:textId="77777777" w:rsidR="00BE08AB" w:rsidRPr="00D5464D" w:rsidRDefault="00BE08AB" w:rsidP="00BE08AB">
      <w:pPr>
        <w:tabs>
          <w:tab w:val="clear" w:pos="4419"/>
          <w:tab w:val="clear" w:pos="8838"/>
        </w:tabs>
        <w:jc w:val="center"/>
        <w:rPr>
          <w:rFonts w:eastAsia="Calibri" w:cs="Times New Roman"/>
          <w:b/>
          <w:szCs w:val="20"/>
          <w:lang w:val="pt-BR"/>
        </w:rPr>
      </w:pPr>
      <w:r w:rsidRPr="00D5464D">
        <w:rPr>
          <w:rFonts w:eastAsia="Calibri" w:cs="Times New Roman"/>
          <w:b/>
          <w:szCs w:val="20"/>
          <w:lang w:val="pt-BR"/>
        </w:rPr>
        <w:t>CORTE INTERAMERICANA DE DIREITOS HUMANOS</w:t>
      </w:r>
    </w:p>
    <w:p w14:paraId="34086ED5" w14:textId="77777777" w:rsidR="00BE08AB" w:rsidRPr="00D5464D" w:rsidRDefault="00BE08AB" w:rsidP="00BE08AB">
      <w:pPr>
        <w:tabs>
          <w:tab w:val="clear" w:pos="4419"/>
          <w:tab w:val="clear" w:pos="8838"/>
        </w:tabs>
        <w:jc w:val="center"/>
        <w:rPr>
          <w:rFonts w:eastAsia="Calibri" w:cs="Times New Roman"/>
          <w:b/>
          <w:szCs w:val="20"/>
          <w:lang w:val="pt-BR"/>
        </w:rPr>
      </w:pPr>
      <w:r w:rsidRPr="00D5464D">
        <w:rPr>
          <w:rFonts w:eastAsia="Calibri" w:cs="Times New Roman"/>
          <w:b/>
          <w:szCs w:val="20"/>
          <w:lang w:val="pt-BR"/>
        </w:rPr>
        <w:t xml:space="preserve">CASO TRABALHADORES DA FAZENDA BRASIL VERDE </w:t>
      </w:r>
      <w:r w:rsidRPr="00D5464D">
        <w:rPr>
          <w:rFonts w:eastAsia="Calibri" w:cs="Times New Roman"/>
          <w:b/>
          <w:i/>
          <w:szCs w:val="20"/>
          <w:lang w:val="pt-BR"/>
        </w:rPr>
        <w:t>VS</w:t>
      </w:r>
      <w:r w:rsidRPr="00D5464D">
        <w:rPr>
          <w:rFonts w:eastAsia="Calibri" w:cs="Times New Roman"/>
          <w:b/>
          <w:szCs w:val="20"/>
          <w:lang w:val="pt-BR"/>
        </w:rPr>
        <w:t>. BRASIL</w:t>
      </w:r>
    </w:p>
    <w:p w14:paraId="4290BA2B" w14:textId="77777777" w:rsidR="00BE08AB" w:rsidRPr="00D5464D" w:rsidRDefault="00BE08AB" w:rsidP="00BE08AB">
      <w:pPr>
        <w:rPr>
          <w:rFonts w:eastAsia="Calibri" w:cs="Times New Roman"/>
          <w:b/>
          <w:szCs w:val="20"/>
          <w:lang w:val="pt-BR"/>
        </w:rPr>
      </w:pPr>
      <w:r w:rsidRPr="00D5464D">
        <w:rPr>
          <w:rFonts w:eastAsia="Calibri" w:cs="Times New Roman"/>
          <w:b/>
          <w:szCs w:val="20"/>
          <w:lang w:val="pt-BR"/>
        </w:rPr>
        <w:tab/>
        <w:t>SENTENÇA DE 20 OUTUBRO DE 2016</w:t>
      </w:r>
      <w:r w:rsidRPr="00D5464D">
        <w:rPr>
          <w:rFonts w:eastAsia="Calibri" w:cs="Times New Roman"/>
          <w:b/>
          <w:szCs w:val="20"/>
          <w:lang w:val="pt-BR"/>
        </w:rPr>
        <w:tab/>
      </w:r>
    </w:p>
    <w:p w14:paraId="4542E6D3" w14:textId="77777777" w:rsidR="00BE08AB" w:rsidRPr="00D5464D" w:rsidRDefault="00BE08AB" w:rsidP="00BE08AB">
      <w:pPr>
        <w:tabs>
          <w:tab w:val="clear" w:pos="4419"/>
          <w:tab w:val="clear" w:pos="8838"/>
        </w:tabs>
        <w:jc w:val="center"/>
        <w:rPr>
          <w:rFonts w:eastAsia="Calibri" w:cs="Times New Roman"/>
          <w:b/>
          <w:szCs w:val="20"/>
          <w:lang w:val="pt-BR"/>
        </w:rPr>
      </w:pPr>
      <w:r w:rsidRPr="00D5464D">
        <w:rPr>
          <w:rFonts w:eastAsia="Calibri" w:cs="Times New Roman"/>
          <w:b/>
          <w:szCs w:val="20"/>
          <w:lang w:val="pt-BR"/>
        </w:rPr>
        <w:t>(</w:t>
      </w:r>
      <w:r w:rsidRPr="00D5464D">
        <w:rPr>
          <w:rFonts w:eastAsia="Calibri" w:cs="Times New Roman"/>
          <w:b/>
          <w:i/>
          <w:szCs w:val="20"/>
          <w:lang w:val="pt-BR"/>
        </w:rPr>
        <w:t>Exceções Preliminares, Mérito, Reparações e Custas</w:t>
      </w:r>
      <w:r w:rsidRPr="00D5464D">
        <w:rPr>
          <w:rFonts w:eastAsia="Calibri" w:cs="Times New Roman"/>
          <w:b/>
          <w:szCs w:val="20"/>
          <w:lang w:val="pt-BR"/>
        </w:rPr>
        <w:t>)</w:t>
      </w:r>
    </w:p>
    <w:p w14:paraId="329E1960" w14:textId="77777777" w:rsidR="00BE08AB" w:rsidRPr="00D5464D" w:rsidRDefault="00BE08AB" w:rsidP="00BE08AB">
      <w:pPr>
        <w:tabs>
          <w:tab w:val="clear" w:pos="4419"/>
          <w:tab w:val="clear" w:pos="8838"/>
        </w:tabs>
        <w:jc w:val="both"/>
        <w:rPr>
          <w:rFonts w:eastAsia="Calibri" w:cs="Times New Roman"/>
          <w:szCs w:val="20"/>
          <w:lang w:val="pt-BR"/>
        </w:rPr>
      </w:pPr>
    </w:p>
    <w:p w14:paraId="764040DA" w14:textId="77777777" w:rsidR="00BE08AB" w:rsidRPr="00D5464D" w:rsidRDefault="00BE08AB" w:rsidP="00F306D7">
      <w:pPr>
        <w:numPr>
          <w:ilvl w:val="0"/>
          <w:numId w:val="27"/>
        </w:numPr>
        <w:tabs>
          <w:tab w:val="clear" w:pos="4419"/>
          <w:tab w:val="clear" w:pos="8838"/>
        </w:tabs>
        <w:spacing w:after="200" w:line="276" w:lineRule="auto"/>
        <w:contextualSpacing/>
        <w:jc w:val="both"/>
        <w:rPr>
          <w:rFonts w:eastAsia="Calibri" w:cs="Times New Roman"/>
          <w:szCs w:val="20"/>
          <w:lang w:val="pt-BR"/>
        </w:rPr>
      </w:pPr>
      <w:r w:rsidRPr="00D5464D">
        <w:rPr>
          <w:rFonts w:eastAsia="Calibri" w:cs="Times New Roman"/>
          <w:szCs w:val="20"/>
          <w:lang w:val="pt-BR"/>
        </w:rPr>
        <w:t>Profere-se o presente voto concordante à Sentença em epígrafe,</w:t>
      </w:r>
      <w:r w:rsidRPr="00D5464D">
        <w:rPr>
          <w:rFonts w:eastAsia="Calibri" w:cs="Times New Roman"/>
          <w:szCs w:val="20"/>
          <w:vertAlign w:val="superscript"/>
          <w:lang w:val="es-ES"/>
        </w:rPr>
        <w:footnoteReference w:id="660"/>
      </w:r>
      <w:r w:rsidRPr="00D5464D">
        <w:rPr>
          <w:rFonts w:eastAsia="Calibri" w:cs="Times New Roman"/>
          <w:szCs w:val="20"/>
          <w:lang w:val="pt-BR"/>
        </w:rPr>
        <w:t xml:space="preserve"> com o propósito de reiterar que a referência feita no ponto Resolutivo nº 4 da mesma à “discriminação estrutural histórica”, não implica que se esteja declarando, em geral, a responsabilidade internacional do Estado em virtude da mesma.</w:t>
      </w:r>
    </w:p>
    <w:p w14:paraId="1A04E841" w14:textId="77777777" w:rsidR="00BE08AB" w:rsidRPr="00D5464D" w:rsidRDefault="00BE08AB" w:rsidP="00BE08AB">
      <w:pPr>
        <w:tabs>
          <w:tab w:val="clear" w:pos="4419"/>
          <w:tab w:val="clear" w:pos="8838"/>
        </w:tabs>
        <w:contextualSpacing/>
        <w:jc w:val="both"/>
        <w:rPr>
          <w:rFonts w:eastAsia="Calibri" w:cs="Times New Roman"/>
          <w:szCs w:val="20"/>
          <w:lang w:val="pt-BR"/>
        </w:rPr>
      </w:pPr>
    </w:p>
    <w:p w14:paraId="494EBF3C" w14:textId="77777777" w:rsidR="00BE08AB" w:rsidRPr="00D5464D" w:rsidRDefault="00BE08AB" w:rsidP="00F306D7">
      <w:pPr>
        <w:numPr>
          <w:ilvl w:val="0"/>
          <w:numId w:val="27"/>
        </w:numPr>
        <w:tabs>
          <w:tab w:val="clear" w:pos="4419"/>
          <w:tab w:val="clear" w:pos="8838"/>
        </w:tabs>
        <w:spacing w:after="200" w:line="276" w:lineRule="auto"/>
        <w:contextualSpacing/>
        <w:jc w:val="both"/>
        <w:rPr>
          <w:rFonts w:eastAsia="Calibri" w:cs="Times New Roman"/>
          <w:szCs w:val="20"/>
          <w:lang w:val="pt-BR"/>
        </w:rPr>
      </w:pPr>
      <w:r w:rsidRPr="00D5464D">
        <w:rPr>
          <w:rFonts w:eastAsia="Calibri" w:cs="Times New Roman"/>
          <w:szCs w:val="20"/>
          <w:lang w:val="pt-BR"/>
        </w:rPr>
        <w:t>Efetivamente, dado que na Sentença não se formula nenhum pronunciamento sobre a “discriminação estrutural histórica” no Estado e que, além disso, se consigna que em “1995 […] o Governo do Brasil reconheceu expressamente a existência de ‘trabalho escravo’ no país”,</w:t>
      </w:r>
      <w:r w:rsidRPr="00D5464D">
        <w:rPr>
          <w:rFonts w:eastAsia="Calibri" w:cs="Times New Roman"/>
          <w:szCs w:val="20"/>
          <w:vertAlign w:val="superscript"/>
          <w:lang w:val="es-ES"/>
        </w:rPr>
        <w:footnoteReference w:id="661"/>
      </w:r>
      <w:r w:rsidRPr="00D5464D">
        <w:rPr>
          <w:rFonts w:eastAsia="Calibri" w:cs="Times New Roman"/>
          <w:szCs w:val="20"/>
          <w:lang w:val="pt-BR"/>
        </w:rPr>
        <w:t xml:space="preserve"> adotando posteriormente medidas a respeito;</w:t>
      </w:r>
      <w:r w:rsidRPr="00D5464D">
        <w:rPr>
          <w:rFonts w:eastAsia="Calibri" w:cs="Times New Roman"/>
          <w:szCs w:val="20"/>
          <w:vertAlign w:val="superscript"/>
          <w:lang w:val="es-ES"/>
        </w:rPr>
        <w:footnoteReference w:id="662"/>
      </w:r>
      <w:r w:rsidRPr="00D5464D">
        <w:rPr>
          <w:rFonts w:eastAsia="Calibri" w:cs="Times New Roman"/>
          <w:szCs w:val="20"/>
          <w:lang w:val="pt-BR"/>
        </w:rPr>
        <w:t xml:space="preserve"> e tendo presente que “[a] Corte considera que o Estado incorre em responsabilidade internacional nos casos em que, existindo discriminação estrutural, não adota medidas específicas com respeito à situação particular de vitimização na qual se concretiza a vulnerabilidade sobre um círculo de pessoas individualizadas”,</w:t>
      </w:r>
      <w:r w:rsidRPr="00D5464D">
        <w:rPr>
          <w:rFonts w:eastAsia="Calibri" w:cs="Times New Roman"/>
          <w:szCs w:val="20"/>
          <w:vertAlign w:val="superscript"/>
          <w:lang w:val="es-ES"/>
        </w:rPr>
        <w:footnoteReference w:id="663"/>
      </w:r>
      <w:r w:rsidRPr="00D5464D">
        <w:rPr>
          <w:rFonts w:eastAsia="Calibri" w:cs="Times New Roman"/>
          <w:szCs w:val="20"/>
          <w:lang w:val="pt-BR"/>
        </w:rPr>
        <w:t xml:space="preserve"> o lógico seria concluir, como faz a Sentença, que “o Brasil não demonstrou ter adotado, no que tange ao presente caso e no momento dos fatos, as medidas específicas para prevenir a ocorrência da violação ao artigo 6.1 constatada no presente caso, de acordo com as circunstâncias já conhecidas de trabalhadores em situação de escravidão e de denúncias concretas contra a Fazenda Brasil Verde”.</w:t>
      </w:r>
      <w:r w:rsidRPr="00D5464D">
        <w:rPr>
          <w:rFonts w:eastAsia="Calibri" w:cs="Times New Roman"/>
          <w:szCs w:val="20"/>
          <w:vertAlign w:val="superscript"/>
          <w:lang w:val="es-ES"/>
        </w:rPr>
        <w:footnoteReference w:id="664"/>
      </w:r>
      <w:r w:rsidRPr="00D5464D">
        <w:rPr>
          <w:rFonts w:eastAsia="Calibri" w:cs="Times New Roman"/>
          <w:szCs w:val="20"/>
          <w:lang w:val="pt-BR"/>
        </w:rPr>
        <w:t xml:space="preserve">  </w:t>
      </w:r>
    </w:p>
    <w:p w14:paraId="6D0B2E6C" w14:textId="77777777" w:rsidR="00BE08AB" w:rsidRPr="00D5464D" w:rsidRDefault="00BE08AB" w:rsidP="00BE08AB">
      <w:pPr>
        <w:tabs>
          <w:tab w:val="clear" w:pos="4419"/>
          <w:tab w:val="clear" w:pos="8838"/>
        </w:tabs>
        <w:spacing w:after="200" w:line="276" w:lineRule="auto"/>
        <w:ind w:left="720"/>
        <w:contextualSpacing/>
        <w:rPr>
          <w:rFonts w:eastAsia="Calibri" w:cs="Times New Roman"/>
          <w:szCs w:val="20"/>
          <w:lang w:val="pt-BR"/>
        </w:rPr>
      </w:pPr>
    </w:p>
    <w:p w14:paraId="6100C5F7" w14:textId="77777777" w:rsidR="00BE08AB" w:rsidRPr="00D5464D" w:rsidRDefault="00BE08AB" w:rsidP="00F306D7">
      <w:pPr>
        <w:numPr>
          <w:ilvl w:val="0"/>
          <w:numId w:val="27"/>
        </w:numPr>
        <w:tabs>
          <w:tab w:val="clear" w:pos="4419"/>
          <w:tab w:val="clear" w:pos="8838"/>
        </w:tabs>
        <w:spacing w:after="200" w:line="276" w:lineRule="auto"/>
        <w:contextualSpacing/>
        <w:jc w:val="both"/>
        <w:rPr>
          <w:rFonts w:eastAsia="Calibri" w:cs="Times New Roman"/>
          <w:szCs w:val="20"/>
          <w:lang w:val="pt-BR"/>
        </w:rPr>
      </w:pPr>
      <w:r w:rsidRPr="00D5464D">
        <w:rPr>
          <w:rFonts w:eastAsia="Calibri" w:cs="Times New Roman"/>
          <w:szCs w:val="20"/>
          <w:lang w:val="pt-BR"/>
        </w:rPr>
        <w:t>Para maior precisão, cabe enfatizar que na Sentença se indica que a “posição econômica” da pessoa é um dos motivos de discriminação proibidos pelo artigo 1.1 da Convenção Americana”,</w:t>
      </w:r>
      <w:r w:rsidRPr="00D5464D">
        <w:rPr>
          <w:rFonts w:eastAsia="Calibri" w:cs="Times New Roman"/>
          <w:szCs w:val="20"/>
          <w:vertAlign w:val="superscript"/>
          <w:lang w:val="es-ES"/>
        </w:rPr>
        <w:footnoteReference w:id="665"/>
      </w:r>
      <w:r w:rsidRPr="00D5464D">
        <w:rPr>
          <w:rFonts w:eastAsia="Calibri" w:cs="Times New Roman"/>
          <w:szCs w:val="20"/>
          <w:lang w:val="pt-BR"/>
        </w:rPr>
        <w:t xml:space="preserve"> que “[a] partir da prova disponível nos autos, adverte-se quanto à existência de uma situação baseada na posição econômica das vítimas resgatadas em 15 de março de 2000, a qual caracterizou um tratamento discriminatório”,</w:t>
      </w:r>
      <w:r w:rsidRPr="00D5464D">
        <w:rPr>
          <w:rFonts w:eastAsia="Calibri" w:cs="Times New Roman"/>
          <w:szCs w:val="20"/>
          <w:vertAlign w:val="superscript"/>
          <w:lang w:val="es-ES"/>
        </w:rPr>
        <w:footnoteReference w:id="666"/>
      </w:r>
      <w:r w:rsidRPr="00D5464D">
        <w:rPr>
          <w:rFonts w:eastAsia="Calibri" w:cs="Times New Roman"/>
          <w:szCs w:val="20"/>
          <w:lang w:val="pt-BR"/>
        </w:rPr>
        <w:t xml:space="preserve"> e que “[a] pobreza, nesse sentido, é o principal fator da escravidão contemporânea no Brasil, por aumentar a vulnerabilidade de significativa parcela da população, tornando-a presa fácil dos aliciadores para o trabalho escravo”.</w:t>
      </w:r>
      <w:r w:rsidRPr="00D5464D">
        <w:rPr>
          <w:rFonts w:eastAsia="Calibri" w:cs="Times New Roman"/>
          <w:szCs w:val="20"/>
          <w:vertAlign w:val="superscript"/>
          <w:lang w:val="es-ES"/>
        </w:rPr>
        <w:footnoteReference w:id="667"/>
      </w:r>
      <w:r w:rsidRPr="00D5464D">
        <w:rPr>
          <w:rFonts w:eastAsia="Calibri" w:cs="Times New Roman"/>
          <w:szCs w:val="20"/>
          <w:lang w:val="pt-BR"/>
        </w:rPr>
        <w:t xml:space="preserve">  Nesse sentido, poderia afirmar-se que a discriminação levada em consideração na Sentença se vincula mais com a posição econômica ou a pobreza das vítimas do que com a realização de trabalho na condição de escravos, o que seria uma das consequências de sua posição econômica ou da situação de pobreza.</w:t>
      </w:r>
      <w:r w:rsidRPr="00D5464D">
        <w:rPr>
          <w:rFonts w:eastAsia="Calibri" w:cs="Times New Roman"/>
          <w:szCs w:val="20"/>
          <w:vertAlign w:val="superscript"/>
          <w:lang w:val="es-ES"/>
        </w:rPr>
        <w:footnoteReference w:id="668"/>
      </w:r>
    </w:p>
    <w:p w14:paraId="75B781C0" w14:textId="77777777" w:rsidR="00BE08AB" w:rsidRPr="00D5464D" w:rsidRDefault="00BE08AB" w:rsidP="00BE08AB">
      <w:pPr>
        <w:tabs>
          <w:tab w:val="clear" w:pos="4419"/>
          <w:tab w:val="clear" w:pos="8838"/>
        </w:tabs>
        <w:spacing w:after="200" w:line="276" w:lineRule="auto"/>
        <w:ind w:left="720"/>
        <w:contextualSpacing/>
        <w:rPr>
          <w:rFonts w:eastAsia="Calibri" w:cs="Times New Roman"/>
          <w:szCs w:val="20"/>
          <w:lang w:val="pt-BR"/>
        </w:rPr>
      </w:pPr>
    </w:p>
    <w:p w14:paraId="1BF9879B" w14:textId="77777777" w:rsidR="00BE08AB" w:rsidRPr="00D5464D" w:rsidRDefault="00BE08AB" w:rsidP="00F306D7">
      <w:pPr>
        <w:numPr>
          <w:ilvl w:val="0"/>
          <w:numId w:val="27"/>
        </w:numPr>
        <w:tabs>
          <w:tab w:val="clear" w:pos="4419"/>
          <w:tab w:val="clear" w:pos="8838"/>
        </w:tabs>
        <w:spacing w:after="200" w:line="276" w:lineRule="auto"/>
        <w:contextualSpacing/>
        <w:jc w:val="both"/>
        <w:rPr>
          <w:rFonts w:eastAsia="Calibri" w:cs="Times New Roman"/>
          <w:szCs w:val="20"/>
          <w:lang w:val="pt-BR"/>
        </w:rPr>
      </w:pPr>
      <w:r w:rsidRPr="00D5464D">
        <w:rPr>
          <w:rFonts w:eastAsia="Calibri" w:cs="Times New Roman"/>
          <w:szCs w:val="20"/>
          <w:lang w:val="pt-BR"/>
        </w:rPr>
        <w:t>Vale dizer, em virtude de que coube à Corte pronunciar-se apenas sobre o caso específico que lhe foi submetido, de acordo com a prova disponível nos autos, a responsabilidade internacional do Estado declarada no Ponto Resolutivo nº 4 da Sentença diz relação unicamente à especial situação dos trabalhadores mencionados. Portanto, não se refere à “discriminação estrutural histórica” existente no momento dos fatos do presente caso, a qual, além do mais, representa o contexto no qual estes últimos fatos tiveram lugar e, em consequência e em certa medida, os explica, mas não os justifica.</w:t>
      </w:r>
      <w:r w:rsidRPr="00D5464D">
        <w:rPr>
          <w:rFonts w:eastAsia="Calibri" w:cs="Times New Roman"/>
          <w:szCs w:val="20"/>
          <w:vertAlign w:val="superscript"/>
          <w:lang w:val="es-ES"/>
        </w:rPr>
        <w:footnoteReference w:id="669"/>
      </w:r>
    </w:p>
    <w:p w14:paraId="4ED40B84" w14:textId="77777777" w:rsidR="00BE08AB" w:rsidRPr="00D5464D" w:rsidRDefault="00BE08AB" w:rsidP="00BE08AB">
      <w:pPr>
        <w:tabs>
          <w:tab w:val="clear" w:pos="4419"/>
          <w:tab w:val="clear" w:pos="8838"/>
        </w:tabs>
        <w:jc w:val="both"/>
        <w:rPr>
          <w:rFonts w:eastAsia="Calibri" w:cs="Times New Roman"/>
          <w:szCs w:val="20"/>
          <w:lang w:val="pt-BR"/>
        </w:rPr>
      </w:pPr>
    </w:p>
    <w:p w14:paraId="37CAA85C" w14:textId="77777777" w:rsidR="00BE08AB" w:rsidRPr="00D5464D" w:rsidRDefault="00BE08AB" w:rsidP="00BE08AB">
      <w:pPr>
        <w:tabs>
          <w:tab w:val="clear" w:pos="4419"/>
          <w:tab w:val="clear" w:pos="8838"/>
        </w:tabs>
        <w:jc w:val="both"/>
        <w:rPr>
          <w:rFonts w:eastAsia="Calibri" w:cs="Times New Roman"/>
          <w:szCs w:val="20"/>
          <w:lang w:val="pt-BR"/>
        </w:rPr>
      </w:pPr>
    </w:p>
    <w:p w14:paraId="74A9B05A" w14:textId="77777777" w:rsidR="00BE08AB" w:rsidRPr="00D5464D" w:rsidRDefault="00BE08AB" w:rsidP="00BE08AB">
      <w:pPr>
        <w:tabs>
          <w:tab w:val="clear" w:pos="4419"/>
          <w:tab w:val="clear" w:pos="8838"/>
        </w:tabs>
        <w:jc w:val="right"/>
        <w:rPr>
          <w:rFonts w:eastAsia="Calibri" w:cs="Times New Roman"/>
          <w:szCs w:val="20"/>
          <w:lang w:val="pt-BR"/>
        </w:rPr>
      </w:pPr>
    </w:p>
    <w:p w14:paraId="2CDF7238" w14:textId="77777777" w:rsidR="00BE08AB" w:rsidRPr="00D5464D" w:rsidRDefault="00BE08AB" w:rsidP="00BE08AB">
      <w:pPr>
        <w:tabs>
          <w:tab w:val="clear" w:pos="4419"/>
          <w:tab w:val="clear" w:pos="8838"/>
        </w:tabs>
        <w:jc w:val="right"/>
        <w:rPr>
          <w:rFonts w:eastAsia="Calibri" w:cs="Times New Roman"/>
          <w:szCs w:val="20"/>
          <w:lang w:val="pt-BR"/>
        </w:rPr>
      </w:pPr>
    </w:p>
    <w:p w14:paraId="132D9C0C" w14:textId="77777777" w:rsidR="00BE08AB" w:rsidRPr="00D5464D" w:rsidRDefault="00BE08AB" w:rsidP="00BE08AB">
      <w:pPr>
        <w:tabs>
          <w:tab w:val="clear" w:pos="4419"/>
          <w:tab w:val="clear" w:pos="8838"/>
        </w:tabs>
        <w:jc w:val="right"/>
        <w:rPr>
          <w:rFonts w:eastAsia="Calibri" w:cs="Times New Roman"/>
          <w:szCs w:val="20"/>
          <w:lang w:val="pt-BR"/>
        </w:rPr>
      </w:pPr>
    </w:p>
    <w:p w14:paraId="57C839B2" w14:textId="77777777" w:rsidR="00BE08AB" w:rsidRPr="00D5464D" w:rsidRDefault="00BE08AB" w:rsidP="00BE08AB">
      <w:pPr>
        <w:tabs>
          <w:tab w:val="clear" w:pos="4419"/>
          <w:tab w:val="clear" w:pos="8838"/>
        </w:tabs>
        <w:jc w:val="center"/>
        <w:rPr>
          <w:rFonts w:eastAsia="Calibri" w:cs="Times New Roman"/>
          <w:szCs w:val="20"/>
          <w:lang w:val="pt-BR"/>
        </w:rPr>
      </w:pPr>
    </w:p>
    <w:p w14:paraId="375A4A7D" w14:textId="77777777" w:rsidR="00BE08AB" w:rsidRPr="00D5464D" w:rsidRDefault="00BE08AB" w:rsidP="00BE08AB">
      <w:pPr>
        <w:tabs>
          <w:tab w:val="clear" w:pos="4419"/>
          <w:tab w:val="clear" w:pos="8838"/>
        </w:tabs>
        <w:jc w:val="right"/>
        <w:rPr>
          <w:rFonts w:eastAsia="Calibri" w:cs="Times New Roman"/>
          <w:szCs w:val="20"/>
          <w:lang w:val="pt-BR"/>
        </w:rPr>
      </w:pPr>
    </w:p>
    <w:p w14:paraId="1DE87BAC" w14:textId="77777777" w:rsidR="00BE08AB" w:rsidRPr="00D5464D" w:rsidRDefault="00BE08AB" w:rsidP="00BE08AB">
      <w:pPr>
        <w:tabs>
          <w:tab w:val="clear" w:pos="4419"/>
          <w:tab w:val="clear" w:pos="8838"/>
        </w:tabs>
        <w:jc w:val="right"/>
        <w:rPr>
          <w:rFonts w:eastAsia="Calibri" w:cs="Times New Roman"/>
          <w:szCs w:val="20"/>
          <w:lang w:val="pt-BR"/>
        </w:rPr>
      </w:pPr>
      <w:r w:rsidRPr="00D5464D">
        <w:rPr>
          <w:rFonts w:eastAsia="Calibri" w:cs="Times New Roman"/>
          <w:szCs w:val="20"/>
          <w:lang w:val="pt-BR"/>
        </w:rPr>
        <w:t>Eduardo Vio Grossi</w:t>
      </w:r>
    </w:p>
    <w:p w14:paraId="7ADD3C4A" w14:textId="77777777" w:rsidR="00BE08AB" w:rsidRPr="00D5464D" w:rsidRDefault="00BE08AB" w:rsidP="00BE08AB">
      <w:pPr>
        <w:tabs>
          <w:tab w:val="clear" w:pos="4419"/>
          <w:tab w:val="clear" w:pos="8838"/>
        </w:tabs>
        <w:ind w:left="6480" w:firstLine="720"/>
        <w:jc w:val="center"/>
        <w:rPr>
          <w:rFonts w:eastAsia="Calibri" w:cs="Times New Roman"/>
          <w:szCs w:val="20"/>
          <w:lang w:val="pt-BR"/>
        </w:rPr>
      </w:pPr>
      <w:r w:rsidRPr="00D5464D">
        <w:rPr>
          <w:rFonts w:eastAsia="Calibri" w:cs="Times New Roman"/>
          <w:szCs w:val="20"/>
          <w:lang w:val="pt-BR"/>
        </w:rPr>
        <w:t>Juiz</w:t>
      </w:r>
    </w:p>
    <w:p w14:paraId="145ED5AD" w14:textId="77777777" w:rsidR="00BE08AB" w:rsidRPr="00D5464D" w:rsidRDefault="00BE08AB" w:rsidP="00BE08AB">
      <w:pPr>
        <w:tabs>
          <w:tab w:val="clear" w:pos="4419"/>
          <w:tab w:val="clear" w:pos="8838"/>
        </w:tabs>
        <w:jc w:val="right"/>
        <w:rPr>
          <w:rFonts w:eastAsia="Calibri" w:cs="Times New Roman"/>
          <w:szCs w:val="20"/>
          <w:lang w:val="pt-BR"/>
        </w:rPr>
      </w:pPr>
    </w:p>
    <w:p w14:paraId="15380BD1" w14:textId="77777777" w:rsidR="00BE08AB" w:rsidRPr="00D5464D" w:rsidRDefault="00BE08AB" w:rsidP="00BE08AB">
      <w:pPr>
        <w:tabs>
          <w:tab w:val="clear" w:pos="4419"/>
          <w:tab w:val="clear" w:pos="8838"/>
        </w:tabs>
        <w:spacing w:after="200" w:line="276" w:lineRule="auto"/>
        <w:ind w:right="4585"/>
        <w:contextualSpacing/>
        <w:rPr>
          <w:rFonts w:eastAsia="Calibri" w:cs="Verdana"/>
          <w:szCs w:val="20"/>
          <w:lang w:val="pt-BR" w:eastAsia="es-MX"/>
        </w:rPr>
      </w:pPr>
    </w:p>
    <w:p w14:paraId="222A0CB9" w14:textId="77777777" w:rsidR="00BE08AB" w:rsidRPr="00D5464D" w:rsidRDefault="00BE08AB" w:rsidP="00BE08AB">
      <w:pPr>
        <w:tabs>
          <w:tab w:val="clear" w:pos="4419"/>
          <w:tab w:val="clear" w:pos="8838"/>
        </w:tabs>
        <w:spacing w:after="200" w:line="276" w:lineRule="auto"/>
        <w:ind w:right="4585"/>
        <w:contextualSpacing/>
        <w:rPr>
          <w:rFonts w:eastAsia="Calibri" w:cs="Verdana"/>
          <w:szCs w:val="20"/>
          <w:lang w:val="pt-BR" w:eastAsia="es-MX"/>
        </w:rPr>
      </w:pPr>
    </w:p>
    <w:p w14:paraId="4236C6BC" w14:textId="77777777" w:rsidR="00BE08AB" w:rsidRPr="00D5464D" w:rsidRDefault="00BE08AB" w:rsidP="00BE08AB">
      <w:pPr>
        <w:tabs>
          <w:tab w:val="clear" w:pos="4419"/>
          <w:tab w:val="clear" w:pos="8838"/>
        </w:tabs>
        <w:spacing w:after="200" w:line="276" w:lineRule="auto"/>
        <w:ind w:right="4585"/>
        <w:contextualSpacing/>
        <w:rPr>
          <w:rFonts w:eastAsia="Calibri" w:cs="Verdana"/>
          <w:szCs w:val="20"/>
          <w:lang w:val="pt-BR" w:eastAsia="es-MX"/>
        </w:rPr>
      </w:pPr>
      <w:r w:rsidRPr="00D5464D">
        <w:rPr>
          <w:rFonts w:eastAsia="Calibri" w:cs="Verdana"/>
          <w:szCs w:val="20"/>
          <w:lang w:val="pt-BR" w:eastAsia="es-MX"/>
        </w:rPr>
        <w:t>Pablo Saavedra Alessandri</w:t>
      </w:r>
    </w:p>
    <w:p w14:paraId="4A72F69C" w14:textId="77777777" w:rsidR="00BE08AB" w:rsidRPr="00D5464D" w:rsidRDefault="00BE08AB" w:rsidP="00BE08AB">
      <w:pPr>
        <w:tabs>
          <w:tab w:val="clear" w:pos="4419"/>
          <w:tab w:val="clear" w:pos="8838"/>
        </w:tabs>
        <w:spacing w:after="200" w:line="276" w:lineRule="auto"/>
        <w:ind w:right="4585" w:firstLine="720"/>
        <w:contextualSpacing/>
        <w:rPr>
          <w:rFonts w:eastAsia="Calibri" w:cs="Verdana"/>
          <w:szCs w:val="20"/>
          <w:lang w:val="es-MX" w:eastAsia="es-MX"/>
        </w:rPr>
      </w:pPr>
      <w:r w:rsidRPr="00D5464D">
        <w:rPr>
          <w:rFonts w:eastAsia="Calibri" w:cs="Verdana"/>
          <w:szCs w:val="20"/>
          <w:lang w:val="pt-BR" w:eastAsia="es-MX"/>
        </w:rPr>
        <w:t xml:space="preserve"> </w:t>
      </w:r>
      <w:r w:rsidRPr="00D5464D">
        <w:rPr>
          <w:rFonts w:eastAsia="Calibri" w:cs="Verdana"/>
          <w:szCs w:val="20"/>
          <w:lang w:val="es-MX" w:eastAsia="es-MX"/>
        </w:rPr>
        <w:t>Secretário</w:t>
      </w:r>
    </w:p>
    <w:p w14:paraId="5816448F" w14:textId="77777777" w:rsidR="00BE08AB" w:rsidRPr="00D5464D" w:rsidRDefault="00BE08AB" w:rsidP="00F74CCF">
      <w:pPr>
        <w:tabs>
          <w:tab w:val="left" w:pos="720"/>
        </w:tabs>
        <w:ind w:right="-90"/>
        <w:contextualSpacing/>
        <w:rPr>
          <w:bCs/>
          <w:szCs w:val="20"/>
          <w:lang w:val="pt-BR"/>
        </w:rPr>
        <w:sectPr w:rsidR="00BE08AB" w:rsidRPr="00D5464D" w:rsidSect="00F16338">
          <w:footnotePr>
            <w:numRestart w:val="eachSect"/>
          </w:footnotePr>
          <w:pgSz w:w="12240" w:h="15840"/>
          <w:pgMar w:top="1417" w:right="1701" w:bottom="1417" w:left="1701" w:header="708" w:footer="708" w:gutter="0"/>
          <w:pgNumType w:start="1"/>
          <w:cols w:space="708"/>
          <w:titlePg/>
          <w:docGrid w:linePitch="360"/>
        </w:sectPr>
      </w:pPr>
    </w:p>
    <w:p w14:paraId="69511017" w14:textId="77777777" w:rsidR="00BE08AB" w:rsidRPr="00D5464D" w:rsidRDefault="00BE08AB" w:rsidP="00BE08AB">
      <w:pPr>
        <w:tabs>
          <w:tab w:val="clear" w:pos="4419"/>
          <w:tab w:val="clear" w:pos="8838"/>
          <w:tab w:val="left" w:pos="567"/>
          <w:tab w:val="left" w:pos="1134"/>
        </w:tabs>
        <w:ind w:right="29"/>
        <w:jc w:val="center"/>
        <w:rPr>
          <w:rFonts w:eastAsia="Calibri" w:cs="Times New Roman"/>
          <w:b/>
          <w:szCs w:val="20"/>
        </w:rPr>
      </w:pPr>
    </w:p>
    <w:p w14:paraId="65E34301" w14:textId="77777777" w:rsidR="00BE08AB" w:rsidRPr="00D5464D" w:rsidRDefault="00BE08AB" w:rsidP="00BE08AB">
      <w:pPr>
        <w:tabs>
          <w:tab w:val="clear" w:pos="4419"/>
          <w:tab w:val="clear" w:pos="8838"/>
          <w:tab w:val="left" w:pos="567"/>
          <w:tab w:val="left" w:pos="1134"/>
        </w:tabs>
        <w:ind w:right="29"/>
        <w:jc w:val="center"/>
        <w:rPr>
          <w:rFonts w:eastAsia="Calibri" w:cs="Times New Roman"/>
          <w:b/>
          <w:szCs w:val="20"/>
        </w:rPr>
      </w:pPr>
    </w:p>
    <w:p w14:paraId="5A8E78D8" w14:textId="77777777" w:rsidR="00BE08AB" w:rsidRPr="00D5464D" w:rsidRDefault="00BE08AB" w:rsidP="00BE08AB">
      <w:pPr>
        <w:tabs>
          <w:tab w:val="clear" w:pos="4419"/>
          <w:tab w:val="clear" w:pos="8838"/>
          <w:tab w:val="left" w:pos="567"/>
          <w:tab w:val="left" w:pos="1134"/>
        </w:tabs>
        <w:ind w:right="29"/>
        <w:jc w:val="center"/>
        <w:rPr>
          <w:rFonts w:eastAsia="Calibri" w:cs="Times New Roman"/>
          <w:b/>
          <w:szCs w:val="20"/>
        </w:rPr>
      </w:pPr>
    </w:p>
    <w:p w14:paraId="26BEDD7F" w14:textId="77777777" w:rsidR="00BE08AB" w:rsidRPr="00D5464D" w:rsidRDefault="00BE08AB" w:rsidP="00BE08AB">
      <w:pPr>
        <w:tabs>
          <w:tab w:val="clear" w:pos="4419"/>
          <w:tab w:val="clear" w:pos="8838"/>
          <w:tab w:val="left" w:pos="567"/>
          <w:tab w:val="left" w:pos="1134"/>
        </w:tabs>
        <w:ind w:right="29"/>
        <w:jc w:val="both"/>
        <w:rPr>
          <w:rFonts w:eastAsia="Calibri" w:cs="Times New Roman"/>
          <w:b/>
          <w:szCs w:val="20"/>
        </w:rPr>
      </w:pPr>
    </w:p>
    <w:p w14:paraId="0344219D" w14:textId="77777777" w:rsidR="00BE08AB" w:rsidRPr="00D5464D" w:rsidRDefault="00BE08AB" w:rsidP="00BE08AB">
      <w:pPr>
        <w:tabs>
          <w:tab w:val="clear" w:pos="4419"/>
          <w:tab w:val="clear" w:pos="8838"/>
          <w:tab w:val="left" w:pos="567"/>
          <w:tab w:val="left" w:pos="1134"/>
        </w:tabs>
        <w:ind w:right="29"/>
        <w:jc w:val="both"/>
        <w:rPr>
          <w:rFonts w:eastAsia="Calibri" w:cs="Times New Roman"/>
          <w:b/>
          <w:szCs w:val="20"/>
        </w:rPr>
      </w:pPr>
    </w:p>
    <w:p w14:paraId="67CA3AA8" w14:textId="77777777" w:rsidR="00BE08AB" w:rsidRPr="00D5464D" w:rsidRDefault="00BE08AB" w:rsidP="00BE08AB">
      <w:pPr>
        <w:tabs>
          <w:tab w:val="clear" w:pos="4419"/>
          <w:tab w:val="clear" w:pos="8838"/>
          <w:tab w:val="left" w:pos="567"/>
          <w:tab w:val="left" w:pos="1134"/>
        </w:tabs>
        <w:ind w:right="29"/>
        <w:jc w:val="both"/>
        <w:rPr>
          <w:rFonts w:eastAsia="Calibri" w:cs="Times New Roman"/>
          <w:b/>
          <w:szCs w:val="20"/>
        </w:rPr>
      </w:pPr>
    </w:p>
    <w:p w14:paraId="543928D5" w14:textId="77777777" w:rsidR="00BE08AB" w:rsidRPr="00D5464D" w:rsidRDefault="00BE08AB" w:rsidP="00BE08AB">
      <w:pPr>
        <w:tabs>
          <w:tab w:val="clear" w:pos="4419"/>
          <w:tab w:val="clear" w:pos="8838"/>
          <w:tab w:val="left" w:pos="567"/>
          <w:tab w:val="left" w:pos="1134"/>
        </w:tabs>
        <w:ind w:right="29"/>
        <w:jc w:val="center"/>
        <w:rPr>
          <w:rFonts w:eastAsia="Calibri" w:cs="Times New Roman"/>
          <w:b/>
          <w:snapToGrid w:val="0"/>
          <w:szCs w:val="20"/>
          <w:lang w:val="pt-BR"/>
        </w:rPr>
      </w:pPr>
      <w:r w:rsidRPr="00D5464D">
        <w:rPr>
          <w:rFonts w:eastAsia="Calibri" w:cs="Times New Roman"/>
          <w:b/>
          <w:szCs w:val="20"/>
          <w:lang w:val="pt-BR"/>
        </w:rPr>
        <w:t>VOTO PARCIALMENTE DISSIDENTE DO JUIZ HUMBERTO ANTONIO SIERRA PORTO</w:t>
      </w:r>
    </w:p>
    <w:p w14:paraId="2FE05024" w14:textId="77777777" w:rsidR="00BE08AB" w:rsidRPr="00D5464D" w:rsidRDefault="00BE08AB" w:rsidP="00BE08AB">
      <w:pPr>
        <w:tabs>
          <w:tab w:val="clear" w:pos="4419"/>
          <w:tab w:val="clear" w:pos="8838"/>
          <w:tab w:val="left" w:pos="567"/>
          <w:tab w:val="left" w:pos="1134"/>
        </w:tabs>
        <w:ind w:right="29"/>
        <w:jc w:val="center"/>
        <w:rPr>
          <w:rFonts w:eastAsia="Calibri" w:cs="Times New Roman"/>
          <w:b/>
          <w:snapToGrid w:val="0"/>
          <w:szCs w:val="20"/>
          <w:lang w:val="pt-BR"/>
        </w:rPr>
      </w:pPr>
    </w:p>
    <w:p w14:paraId="4B6F49F9" w14:textId="77777777" w:rsidR="00BE08AB" w:rsidRPr="00D5464D" w:rsidRDefault="00BE08AB" w:rsidP="00BE08AB">
      <w:pPr>
        <w:tabs>
          <w:tab w:val="clear" w:pos="4419"/>
          <w:tab w:val="clear" w:pos="8838"/>
          <w:tab w:val="left" w:pos="567"/>
          <w:tab w:val="left" w:pos="1134"/>
        </w:tabs>
        <w:ind w:right="29"/>
        <w:jc w:val="center"/>
        <w:rPr>
          <w:rFonts w:eastAsia="Calibri" w:cs="Times New Roman"/>
          <w:b/>
          <w:snapToGrid w:val="0"/>
          <w:szCs w:val="20"/>
          <w:lang w:val="pt-BR"/>
        </w:rPr>
      </w:pPr>
      <w:r w:rsidRPr="00D5464D">
        <w:rPr>
          <w:rFonts w:eastAsia="Calibri" w:cs="Times New Roman"/>
          <w:b/>
          <w:snapToGrid w:val="0"/>
          <w:szCs w:val="20"/>
          <w:lang w:val="pt-BR"/>
        </w:rPr>
        <w:t>CORTE INTERAMERICANA DE DIREITOS HUMANOS</w:t>
      </w:r>
    </w:p>
    <w:p w14:paraId="0775A795" w14:textId="77777777" w:rsidR="00BE08AB" w:rsidRPr="00D5464D" w:rsidRDefault="00BE08AB" w:rsidP="00BE08AB">
      <w:pPr>
        <w:tabs>
          <w:tab w:val="clear" w:pos="4419"/>
          <w:tab w:val="clear" w:pos="8838"/>
        </w:tabs>
        <w:ind w:right="-138"/>
        <w:jc w:val="center"/>
        <w:rPr>
          <w:rFonts w:eastAsia="MS Mincho" w:cs="Times New Roman"/>
          <w:b/>
          <w:szCs w:val="20"/>
          <w:lang w:val="pt-BR"/>
        </w:rPr>
      </w:pPr>
    </w:p>
    <w:p w14:paraId="47AAB59A" w14:textId="77777777" w:rsidR="00BE08AB" w:rsidRPr="00D5464D" w:rsidRDefault="00BE08AB" w:rsidP="00BE08AB">
      <w:pPr>
        <w:tabs>
          <w:tab w:val="clear" w:pos="4419"/>
          <w:tab w:val="clear" w:pos="8838"/>
        </w:tabs>
        <w:ind w:right="-138"/>
        <w:jc w:val="center"/>
        <w:rPr>
          <w:rFonts w:eastAsia="MS Mincho" w:cs="Times New Roman"/>
          <w:b/>
          <w:sz w:val="16"/>
          <w:szCs w:val="20"/>
          <w:lang w:val="pt-BR"/>
        </w:rPr>
      </w:pPr>
      <w:r w:rsidRPr="00D5464D">
        <w:rPr>
          <w:rFonts w:eastAsia="MS Mincho" w:cs="Times New Roman"/>
          <w:b/>
          <w:szCs w:val="20"/>
          <w:lang w:val="pt-BR"/>
        </w:rPr>
        <w:t xml:space="preserve">CASO TRABALHADORES DA FAZENDA BRASIL VERDE </w:t>
      </w:r>
      <w:r w:rsidRPr="00D5464D">
        <w:rPr>
          <w:rFonts w:eastAsia="MS Mincho" w:cs="Times New Roman"/>
          <w:b/>
          <w:i/>
          <w:szCs w:val="20"/>
          <w:lang w:val="pt-BR"/>
        </w:rPr>
        <w:t>VS</w:t>
      </w:r>
      <w:r w:rsidRPr="00D5464D">
        <w:rPr>
          <w:rFonts w:eastAsia="MS Mincho" w:cs="Times New Roman"/>
          <w:b/>
          <w:szCs w:val="20"/>
          <w:lang w:val="pt-BR"/>
        </w:rPr>
        <w:t>. BRASIL</w:t>
      </w:r>
    </w:p>
    <w:p w14:paraId="7B05B0CE" w14:textId="77777777" w:rsidR="00BE08AB" w:rsidRPr="00D5464D" w:rsidRDefault="00BE08AB" w:rsidP="00BE08AB">
      <w:pPr>
        <w:tabs>
          <w:tab w:val="clear" w:pos="4419"/>
          <w:tab w:val="clear" w:pos="8838"/>
        </w:tabs>
        <w:ind w:right="-138"/>
        <w:jc w:val="center"/>
        <w:rPr>
          <w:rFonts w:eastAsia="MS Mincho" w:cs="Times New Roman"/>
          <w:b/>
          <w:szCs w:val="20"/>
          <w:lang w:val="pt-BR"/>
        </w:rPr>
      </w:pPr>
    </w:p>
    <w:p w14:paraId="245CC334" w14:textId="77777777" w:rsidR="00BE08AB" w:rsidRPr="00D5464D" w:rsidRDefault="00BE08AB" w:rsidP="00BE08AB">
      <w:pPr>
        <w:tabs>
          <w:tab w:val="clear" w:pos="4419"/>
          <w:tab w:val="clear" w:pos="8838"/>
        </w:tabs>
        <w:ind w:right="-138"/>
        <w:jc w:val="center"/>
        <w:rPr>
          <w:rFonts w:eastAsia="MS Mincho" w:cs="Times New Roman"/>
          <w:b/>
          <w:szCs w:val="20"/>
          <w:lang w:val="pt-BR"/>
        </w:rPr>
      </w:pPr>
      <w:r w:rsidRPr="00D5464D">
        <w:rPr>
          <w:rFonts w:eastAsia="MS Mincho" w:cs="Times New Roman"/>
          <w:b/>
          <w:szCs w:val="20"/>
          <w:lang w:val="pt-BR"/>
        </w:rPr>
        <w:t>SENTENÇA DE 20 OUTUBRO DE 2016</w:t>
      </w:r>
    </w:p>
    <w:p w14:paraId="15B958D1" w14:textId="77777777" w:rsidR="00BE08AB" w:rsidRPr="00D5464D" w:rsidRDefault="00BE08AB" w:rsidP="00BE08AB">
      <w:pPr>
        <w:tabs>
          <w:tab w:val="clear" w:pos="4419"/>
          <w:tab w:val="clear" w:pos="8838"/>
        </w:tabs>
        <w:jc w:val="center"/>
        <w:rPr>
          <w:rFonts w:ascii="Verdana Bold" w:eastAsia="Calibri" w:hAnsi="Verdana Bold" w:cs="Times New Roman"/>
          <w:b/>
          <w:i/>
          <w:snapToGrid w:val="0"/>
          <w:szCs w:val="20"/>
          <w:lang w:val="pt-BR"/>
        </w:rPr>
      </w:pPr>
      <w:r w:rsidRPr="00D5464D">
        <w:rPr>
          <w:rFonts w:ascii="Verdana Bold" w:eastAsia="Times New Roman" w:hAnsi="Verdana Bold" w:cs="Times New Roman"/>
          <w:b/>
          <w:i/>
          <w:iCs/>
          <w:szCs w:val="24"/>
          <w:lang w:val="pt-BR"/>
        </w:rPr>
        <w:t>(Exceções Preliminares, Mérito, Reparações e Custas)</w:t>
      </w:r>
    </w:p>
    <w:p w14:paraId="029102E0" w14:textId="77777777" w:rsidR="00BE08AB" w:rsidRPr="00D5464D" w:rsidRDefault="00BE08AB" w:rsidP="00BE08AB">
      <w:pPr>
        <w:tabs>
          <w:tab w:val="clear" w:pos="4419"/>
          <w:tab w:val="clear" w:pos="8838"/>
        </w:tabs>
        <w:jc w:val="both"/>
        <w:rPr>
          <w:rFonts w:eastAsia="Calibri" w:cs="Times New Roman"/>
          <w:snapToGrid w:val="0"/>
          <w:szCs w:val="20"/>
          <w:lang w:val="pt-BR"/>
        </w:rPr>
      </w:pPr>
    </w:p>
    <w:p w14:paraId="102800A7" w14:textId="77777777" w:rsidR="00BE08AB" w:rsidRPr="00D5464D" w:rsidRDefault="00BE08AB" w:rsidP="00BE08AB">
      <w:pPr>
        <w:tabs>
          <w:tab w:val="clear" w:pos="4419"/>
          <w:tab w:val="clear" w:pos="8838"/>
        </w:tabs>
        <w:contextualSpacing/>
        <w:jc w:val="both"/>
        <w:rPr>
          <w:rFonts w:eastAsia="Calibri" w:cs="Times New Roman"/>
          <w:snapToGrid w:val="0"/>
          <w:szCs w:val="20"/>
          <w:lang w:val="pt-BR"/>
        </w:rPr>
      </w:pPr>
    </w:p>
    <w:p w14:paraId="69ADBFC3" w14:textId="77777777" w:rsidR="00BE08AB" w:rsidRPr="00D5464D" w:rsidRDefault="00BE08AB" w:rsidP="00F306D7">
      <w:pPr>
        <w:numPr>
          <w:ilvl w:val="0"/>
          <w:numId w:val="28"/>
        </w:numPr>
        <w:tabs>
          <w:tab w:val="clear" w:pos="4419"/>
          <w:tab w:val="clear" w:pos="8838"/>
        </w:tabs>
        <w:contextualSpacing/>
        <w:jc w:val="both"/>
        <w:rPr>
          <w:rFonts w:eastAsia="Calibri" w:cs="Times New Roman"/>
          <w:snapToGrid w:val="0"/>
          <w:szCs w:val="20"/>
          <w:lang w:val="pt-BR"/>
        </w:rPr>
      </w:pPr>
      <w:r w:rsidRPr="00D5464D">
        <w:rPr>
          <w:rFonts w:eastAsia="Calibri" w:cs="Times New Roman"/>
          <w:snapToGrid w:val="0"/>
          <w:szCs w:val="20"/>
          <w:lang w:val="pt-BR"/>
        </w:rPr>
        <w:t xml:space="preserve">O motivo do presente voto é expressar os motivos de minha dissidência parcial com respeito ao decidido pela maioria dos Juízes da Corte Interamericana de Direitos Humanos (doravante denominada “a Corte” ou “o Tribunal”) na Sentença de 20 de outubro de 2016 sobre o caso </w:t>
      </w:r>
      <w:r w:rsidRPr="00D5464D">
        <w:rPr>
          <w:rFonts w:eastAsia="Calibri" w:cs="Times New Roman"/>
          <w:i/>
          <w:snapToGrid w:val="0"/>
          <w:szCs w:val="20"/>
          <w:lang w:val="pt-BR"/>
        </w:rPr>
        <w:t>Trabalhadores da Fazenda Brasil Verde Vs. Brasil</w:t>
      </w:r>
      <w:r w:rsidRPr="00D5464D">
        <w:rPr>
          <w:rFonts w:eastAsia="Calibri" w:cs="Times New Roman"/>
          <w:snapToGrid w:val="0"/>
          <w:szCs w:val="20"/>
          <w:lang w:val="pt-BR"/>
        </w:rPr>
        <w:t>.</w:t>
      </w:r>
    </w:p>
    <w:p w14:paraId="49A29C6B" w14:textId="77777777" w:rsidR="00BE08AB" w:rsidRPr="00D5464D" w:rsidRDefault="00BE08AB" w:rsidP="00BE08AB">
      <w:pPr>
        <w:tabs>
          <w:tab w:val="clear" w:pos="4419"/>
          <w:tab w:val="clear" w:pos="8838"/>
        </w:tabs>
        <w:contextualSpacing/>
        <w:jc w:val="both"/>
        <w:rPr>
          <w:rFonts w:eastAsia="Calibri" w:cs="Times New Roman"/>
          <w:snapToGrid w:val="0"/>
          <w:szCs w:val="20"/>
          <w:lang w:val="pt-BR"/>
        </w:rPr>
      </w:pPr>
    </w:p>
    <w:p w14:paraId="7E578305" w14:textId="77777777" w:rsidR="00BE08AB" w:rsidRPr="00D5464D" w:rsidRDefault="00BE08AB" w:rsidP="00F306D7">
      <w:pPr>
        <w:numPr>
          <w:ilvl w:val="0"/>
          <w:numId w:val="28"/>
        </w:numPr>
        <w:tabs>
          <w:tab w:val="clear" w:pos="4419"/>
          <w:tab w:val="clear" w:pos="8838"/>
        </w:tabs>
        <w:contextualSpacing/>
        <w:jc w:val="both"/>
        <w:rPr>
          <w:rFonts w:eastAsia="Calibri" w:cs="Times New Roman"/>
          <w:snapToGrid w:val="0"/>
          <w:szCs w:val="20"/>
          <w:lang w:val="pt-BR"/>
        </w:rPr>
      </w:pPr>
      <w:r w:rsidRPr="00D5464D">
        <w:rPr>
          <w:rFonts w:eastAsia="Calibri" w:cs="Times New Roman"/>
          <w:snapToGrid w:val="0"/>
          <w:szCs w:val="20"/>
          <w:lang w:val="pt-BR"/>
        </w:rPr>
        <w:t xml:space="preserve">Minha divergência a respeito da posição adotada se refere ao Ponto Resolutivo Nº 4, no qual a Corte determinou a </w:t>
      </w:r>
      <w:r w:rsidRPr="00D5464D">
        <w:rPr>
          <w:rFonts w:eastAsia="Cambria" w:cs="Times New Roman"/>
          <w:lang w:val="pt-BR"/>
        </w:rPr>
        <w:t xml:space="preserve">violação do artigo 6.1 da Convenção Americana </w:t>
      </w:r>
      <w:r w:rsidRPr="00D5464D">
        <w:rPr>
          <w:rFonts w:eastAsia="Cambria" w:cs="Times New Roman"/>
          <w:szCs w:val="20"/>
          <w:lang w:val="pt-BR"/>
        </w:rPr>
        <w:t>sobre Direitos Humanos</w:t>
      </w:r>
      <w:r w:rsidRPr="00D5464D">
        <w:rPr>
          <w:rFonts w:eastAsia="Cambria" w:cs="Times New Roman"/>
          <w:lang w:val="pt-BR"/>
        </w:rPr>
        <w:t xml:space="preserve">, em relação ao artigo 1.1 do mesmo instrumento, produzida no marco de uma “situação de discriminação estrutural histórica”; bem como ao Ponto Resolutivo Nº 6, no qual determinou-se a violação do </w:t>
      </w:r>
      <w:r w:rsidRPr="00D5464D">
        <w:rPr>
          <w:rFonts w:eastAsia="Cambria" w:cs="Times New Roman"/>
          <w:szCs w:val="20"/>
          <w:lang w:val="pt-BR"/>
        </w:rPr>
        <w:t>direito à proteção judicial, previsto no artigo 25 da Convenção Americana</w:t>
      </w:r>
      <w:r w:rsidRPr="00D5464D">
        <w:rPr>
          <w:rFonts w:eastAsia="Calibri" w:cs="Times New Roman"/>
          <w:snapToGrid w:val="0"/>
          <w:szCs w:val="20"/>
          <w:lang w:val="pt-BR"/>
        </w:rPr>
        <w:t>.</w:t>
      </w:r>
    </w:p>
    <w:p w14:paraId="7E4A41F6" w14:textId="77777777" w:rsidR="00BE08AB" w:rsidRPr="00D5464D" w:rsidRDefault="00BE08AB" w:rsidP="00BE08AB">
      <w:pPr>
        <w:tabs>
          <w:tab w:val="clear" w:pos="4419"/>
          <w:tab w:val="clear" w:pos="8838"/>
        </w:tabs>
        <w:ind w:left="720"/>
        <w:contextualSpacing/>
        <w:jc w:val="both"/>
        <w:rPr>
          <w:rFonts w:eastAsia="Calibri" w:cs="Times New Roman"/>
          <w:snapToGrid w:val="0"/>
          <w:szCs w:val="20"/>
          <w:lang w:val="pt-BR"/>
        </w:rPr>
      </w:pPr>
    </w:p>
    <w:p w14:paraId="01D170D5" w14:textId="77777777" w:rsidR="00BE08AB" w:rsidRPr="00D5464D" w:rsidRDefault="00BE08AB" w:rsidP="00BE08AB">
      <w:pPr>
        <w:tabs>
          <w:tab w:val="clear" w:pos="4419"/>
          <w:tab w:val="clear" w:pos="8838"/>
        </w:tabs>
        <w:ind w:left="720"/>
        <w:contextualSpacing/>
        <w:jc w:val="both"/>
        <w:rPr>
          <w:rFonts w:eastAsia="Calibri" w:cs="Times New Roman"/>
          <w:snapToGrid w:val="0"/>
          <w:szCs w:val="20"/>
          <w:lang w:val="pt-BR"/>
        </w:rPr>
      </w:pPr>
    </w:p>
    <w:p w14:paraId="5AE25599" w14:textId="77777777" w:rsidR="00BE08AB" w:rsidRPr="00D5464D" w:rsidRDefault="00BE08AB" w:rsidP="00F306D7">
      <w:pPr>
        <w:numPr>
          <w:ilvl w:val="0"/>
          <w:numId w:val="29"/>
        </w:numPr>
        <w:tabs>
          <w:tab w:val="clear" w:pos="4419"/>
          <w:tab w:val="clear" w:pos="8838"/>
        </w:tabs>
        <w:contextualSpacing/>
        <w:jc w:val="both"/>
        <w:rPr>
          <w:rFonts w:eastAsia="Calibri" w:cs="Times New Roman"/>
          <w:b/>
          <w:snapToGrid w:val="0"/>
          <w:szCs w:val="20"/>
          <w:lang w:val="pt-BR"/>
        </w:rPr>
      </w:pPr>
      <w:r w:rsidRPr="00D5464D">
        <w:rPr>
          <w:rFonts w:eastAsia="Calibri" w:cs="Times New Roman"/>
          <w:b/>
          <w:snapToGrid w:val="0"/>
          <w:szCs w:val="20"/>
          <w:lang w:val="pt-BR"/>
        </w:rPr>
        <w:t xml:space="preserve">Dissidência a respeito da </w:t>
      </w:r>
      <w:r w:rsidRPr="00D5464D">
        <w:rPr>
          <w:rFonts w:eastAsia="Cambria" w:cs="Times New Roman"/>
          <w:b/>
          <w:lang w:val="pt-BR"/>
        </w:rPr>
        <w:t xml:space="preserve">violação do artigo 6.1 da Convenção Americana </w:t>
      </w:r>
      <w:r w:rsidRPr="00D5464D">
        <w:rPr>
          <w:rFonts w:eastAsia="Cambria" w:cs="Times New Roman"/>
          <w:b/>
          <w:szCs w:val="20"/>
          <w:lang w:val="pt-BR"/>
        </w:rPr>
        <w:t>sobre Direitos Humanos</w:t>
      </w:r>
      <w:r w:rsidRPr="00D5464D">
        <w:rPr>
          <w:rFonts w:eastAsia="Cambria" w:cs="Times New Roman"/>
          <w:b/>
          <w:lang w:val="pt-BR"/>
        </w:rPr>
        <w:t>, em relação ao artigo 1.1 do mesmo instrumento, produzida no marco de uma situação de discriminação estrutural histórica</w:t>
      </w:r>
    </w:p>
    <w:p w14:paraId="37FAAD98" w14:textId="77777777" w:rsidR="00BE08AB" w:rsidRPr="00D5464D" w:rsidRDefault="00BE08AB" w:rsidP="00BE08AB">
      <w:pPr>
        <w:tabs>
          <w:tab w:val="clear" w:pos="4419"/>
          <w:tab w:val="clear" w:pos="8838"/>
        </w:tabs>
        <w:ind w:left="720"/>
        <w:contextualSpacing/>
        <w:jc w:val="both"/>
        <w:rPr>
          <w:rFonts w:eastAsia="Calibri" w:cs="Times New Roman"/>
          <w:snapToGrid w:val="0"/>
          <w:szCs w:val="20"/>
          <w:lang w:val="pt-BR"/>
        </w:rPr>
      </w:pPr>
    </w:p>
    <w:p w14:paraId="26E276FD" w14:textId="77777777" w:rsidR="00BE08AB" w:rsidRPr="00D5464D" w:rsidRDefault="00BE08AB" w:rsidP="00BE08AB">
      <w:pPr>
        <w:tabs>
          <w:tab w:val="clear" w:pos="4419"/>
          <w:tab w:val="clear" w:pos="8838"/>
        </w:tabs>
        <w:contextualSpacing/>
        <w:jc w:val="both"/>
        <w:rPr>
          <w:rFonts w:eastAsia="Calibri" w:cs="Times New Roman"/>
          <w:snapToGrid w:val="0"/>
          <w:szCs w:val="20"/>
          <w:lang w:val="pt-BR"/>
        </w:rPr>
      </w:pPr>
    </w:p>
    <w:p w14:paraId="58FB886C" w14:textId="77777777" w:rsidR="00BE08AB" w:rsidRPr="00D5464D" w:rsidRDefault="00BE08AB" w:rsidP="00F306D7">
      <w:pPr>
        <w:numPr>
          <w:ilvl w:val="0"/>
          <w:numId w:val="28"/>
        </w:numPr>
        <w:tabs>
          <w:tab w:val="clear" w:pos="4419"/>
          <w:tab w:val="clear" w:pos="8838"/>
        </w:tabs>
        <w:contextualSpacing/>
        <w:jc w:val="both"/>
        <w:rPr>
          <w:rFonts w:eastAsia="Calibri" w:cs="Times New Roman"/>
          <w:snapToGrid w:val="0"/>
          <w:szCs w:val="20"/>
          <w:lang w:val="pt-BR"/>
        </w:rPr>
      </w:pPr>
      <w:r w:rsidRPr="00D5464D">
        <w:rPr>
          <w:rFonts w:eastAsia="Calibri" w:cs="Times New Roman"/>
          <w:snapToGrid w:val="0"/>
          <w:szCs w:val="20"/>
          <w:lang w:val="pt-BR"/>
        </w:rPr>
        <w:t xml:space="preserve">A </w:t>
      </w:r>
      <w:r w:rsidRPr="00D5464D">
        <w:rPr>
          <w:rFonts w:eastAsia="Cambria" w:cs="Times New Roman"/>
          <w:szCs w:val="20"/>
          <w:lang w:val="pt-BR"/>
        </w:rPr>
        <w:t xml:space="preserve">Corte determinou na Sentença do presente caso que </w:t>
      </w:r>
      <w:r w:rsidRPr="00D5464D">
        <w:rPr>
          <w:rFonts w:eastAsia="Cambria" w:cs="Times New Roman"/>
          <w:lang w:val="pt-BR"/>
        </w:rPr>
        <w:t>“o Estado incorre em responsabilidade internacional nos casos em que, existindo discriminação estrutural, não adota medidas específicas com respeito à situação particular de vitimização na qual se concretiza a vulnerabilidade sobre um círculo de pessoas individualizadas. A própria vitimização destas pessoas demonstra a sua particular vulnerabilidade, o que demanda uma ação de proteção também particular, em relação à qual houve omissão no caso das pessoas aliciadas para trabalharem na Fazenda Brasil Verde</w:t>
      </w:r>
      <w:r w:rsidRPr="00D5464D">
        <w:rPr>
          <w:rFonts w:eastAsia="Calibri" w:cs="Times New Roman"/>
          <w:lang w:val="pt-BR"/>
        </w:rPr>
        <w:t>”.</w:t>
      </w:r>
      <w:r w:rsidRPr="00D5464D">
        <w:rPr>
          <w:rFonts w:eastAsia="Calibri" w:cs="Times New Roman"/>
          <w:szCs w:val="20"/>
          <w:vertAlign w:val="superscript"/>
          <w:lang w:val="es-ES"/>
        </w:rPr>
        <w:footnoteReference w:id="670"/>
      </w:r>
      <w:r w:rsidRPr="00D5464D">
        <w:rPr>
          <w:rFonts w:eastAsia="Calibri" w:cs="Times New Roman"/>
          <w:lang w:val="pt-BR"/>
        </w:rPr>
        <w:t xml:space="preserve"> </w:t>
      </w:r>
    </w:p>
    <w:p w14:paraId="44AD8022" w14:textId="77777777" w:rsidR="00BE08AB" w:rsidRPr="00D5464D" w:rsidRDefault="00BE08AB" w:rsidP="00BE08AB">
      <w:pPr>
        <w:tabs>
          <w:tab w:val="clear" w:pos="4419"/>
          <w:tab w:val="clear" w:pos="8838"/>
        </w:tabs>
        <w:contextualSpacing/>
        <w:jc w:val="both"/>
        <w:rPr>
          <w:rFonts w:eastAsia="Calibri" w:cs="Times New Roman"/>
          <w:snapToGrid w:val="0"/>
          <w:szCs w:val="20"/>
          <w:lang w:val="pt-BR"/>
        </w:rPr>
      </w:pPr>
    </w:p>
    <w:p w14:paraId="4F197D94" w14:textId="77777777" w:rsidR="00BE08AB" w:rsidRPr="00D5464D" w:rsidRDefault="00BE08AB" w:rsidP="00F306D7">
      <w:pPr>
        <w:numPr>
          <w:ilvl w:val="0"/>
          <w:numId w:val="28"/>
        </w:numPr>
        <w:tabs>
          <w:tab w:val="clear" w:pos="4419"/>
          <w:tab w:val="clear" w:pos="8838"/>
        </w:tabs>
        <w:contextualSpacing/>
        <w:jc w:val="both"/>
        <w:rPr>
          <w:rFonts w:eastAsia="Calibri" w:cs="Times New Roman"/>
          <w:snapToGrid w:val="0"/>
          <w:szCs w:val="20"/>
          <w:lang w:val="pt-BR"/>
        </w:rPr>
      </w:pPr>
      <w:r w:rsidRPr="00D5464D">
        <w:rPr>
          <w:rFonts w:eastAsia="Calibri" w:cs="Times New Roman"/>
          <w:lang w:val="pt-BR"/>
        </w:rPr>
        <w:t>Além disso, a Corte estabeleceu que os 85 trabalhadores resgatados em 15 de março de 2000 compartilhavam “algumas características de particular vitimização”, tais como: “eles se encontravam em uma situação de pobreza; provinham das regiões mais pobres do país, com menor desenvolvimento humano e perspectivas de trabalho e emprego; eram analfabetos, e tinham pouca ou nenhuma escolarização”. Além disso, a Corte afirmou que “[e]sta situação de risco imediato para um grupo determinado de pessoas com características idênticas e originários das mesmas regiões do país possui origens históricas e era conhecida, pelo menos, desde 1995, quando o Governo do Brasil expressamente reconheceu a existência de “trabalho escravo” no país”.</w:t>
      </w:r>
      <w:r w:rsidRPr="00D5464D">
        <w:rPr>
          <w:rFonts w:eastAsia="Calibri" w:cs="Times New Roman"/>
          <w:szCs w:val="20"/>
          <w:vertAlign w:val="superscript"/>
          <w:lang w:val="es-ES"/>
        </w:rPr>
        <w:footnoteReference w:id="671"/>
      </w:r>
      <w:r w:rsidRPr="00D5464D">
        <w:rPr>
          <w:rFonts w:eastAsia="Calibri" w:cs="Times New Roman"/>
          <w:lang w:val="pt-BR"/>
        </w:rPr>
        <w:t xml:space="preserve"> </w:t>
      </w:r>
    </w:p>
    <w:p w14:paraId="1FF37FD1" w14:textId="77777777" w:rsidR="00BE08AB" w:rsidRPr="00D5464D" w:rsidRDefault="00BE08AB" w:rsidP="00BE08AB">
      <w:pPr>
        <w:tabs>
          <w:tab w:val="clear" w:pos="4419"/>
          <w:tab w:val="clear" w:pos="8838"/>
        </w:tabs>
        <w:ind w:left="720"/>
        <w:contextualSpacing/>
        <w:jc w:val="both"/>
        <w:rPr>
          <w:rFonts w:eastAsia="Calibri" w:cs="Times New Roman"/>
          <w:snapToGrid w:val="0"/>
          <w:szCs w:val="20"/>
          <w:lang w:val="pt-BR"/>
        </w:rPr>
      </w:pPr>
    </w:p>
    <w:p w14:paraId="5B7B41BA" w14:textId="77777777" w:rsidR="00BE08AB" w:rsidRPr="00D5464D" w:rsidRDefault="00BE08AB" w:rsidP="00F306D7">
      <w:pPr>
        <w:numPr>
          <w:ilvl w:val="0"/>
          <w:numId w:val="28"/>
        </w:numPr>
        <w:tabs>
          <w:tab w:val="clear" w:pos="4419"/>
          <w:tab w:val="clear" w:pos="8838"/>
        </w:tabs>
        <w:contextualSpacing/>
        <w:jc w:val="both"/>
        <w:rPr>
          <w:rFonts w:eastAsia="Calibri" w:cs="Times New Roman"/>
          <w:snapToGrid w:val="0"/>
          <w:szCs w:val="20"/>
          <w:lang w:val="pt-BR"/>
        </w:rPr>
      </w:pPr>
      <w:r w:rsidRPr="00D5464D">
        <w:rPr>
          <w:rFonts w:eastAsia="Calibri" w:cs="Times New Roman"/>
          <w:lang w:val="pt-BR"/>
        </w:rPr>
        <w:t>Finalmente, a Corte considerou que “o Estado não considerou a vulnerabilidade dos 85 trabalhadores resgatados em 15 de março de 2000, em virtude da discriminação em razão da posição econômica à qual estavam submetidos”.</w:t>
      </w:r>
      <w:r w:rsidRPr="00D5464D">
        <w:rPr>
          <w:rFonts w:eastAsia="Calibri" w:cs="Times New Roman"/>
          <w:szCs w:val="20"/>
          <w:vertAlign w:val="superscript"/>
          <w:lang w:val="es-ES"/>
        </w:rPr>
        <w:footnoteReference w:id="672"/>
      </w:r>
      <w:r w:rsidRPr="00D5464D">
        <w:rPr>
          <w:rFonts w:eastAsia="Calibri" w:cs="Times New Roman"/>
          <w:lang w:val="pt-BR"/>
        </w:rPr>
        <w:t xml:space="preserve"> De maneira que era responsável pela violação do artigo 6.1 da Convenção Americana, em relação ao artigo 1.1 do mesmo instrumento, produzida no marco de uma situação de discriminação estrutural histórica em razão da posição econômica dos 85 trabalhadores identificados na Sentença.</w:t>
      </w:r>
      <w:r w:rsidRPr="00D5464D">
        <w:rPr>
          <w:rFonts w:eastAsia="Calibri" w:cs="Times New Roman"/>
          <w:szCs w:val="20"/>
          <w:vertAlign w:val="superscript"/>
          <w:lang w:val="es-ES"/>
        </w:rPr>
        <w:footnoteReference w:id="673"/>
      </w:r>
    </w:p>
    <w:p w14:paraId="22955D61" w14:textId="77777777" w:rsidR="00BE08AB" w:rsidRPr="00D5464D" w:rsidRDefault="00BE08AB" w:rsidP="00BE08AB">
      <w:pPr>
        <w:tabs>
          <w:tab w:val="clear" w:pos="4419"/>
          <w:tab w:val="clear" w:pos="8838"/>
        </w:tabs>
        <w:ind w:left="720"/>
        <w:contextualSpacing/>
        <w:jc w:val="both"/>
        <w:rPr>
          <w:rFonts w:eastAsia="Calibri" w:cs="Times New Roman"/>
          <w:snapToGrid w:val="0"/>
          <w:szCs w:val="20"/>
          <w:lang w:val="pt-BR"/>
        </w:rPr>
      </w:pPr>
    </w:p>
    <w:p w14:paraId="572C1FCA" w14:textId="77777777" w:rsidR="00BE08AB" w:rsidRPr="00D5464D" w:rsidRDefault="00BE08AB" w:rsidP="00F306D7">
      <w:pPr>
        <w:numPr>
          <w:ilvl w:val="0"/>
          <w:numId w:val="28"/>
        </w:numPr>
        <w:tabs>
          <w:tab w:val="clear" w:pos="4419"/>
          <w:tab w:val="clear" w:pos="8838"/>
        </w:tabs>
        <w:contextualSpacing/>
        <w:jc w:val="both"/>
        <w:rPr>
          <w:rFonts w:eastAsia="Calibri" w:cs="Times New Roman"/>
          <w:snapToGrid w:val="0"/>
          <w:szCs w:val="20"/>
          <w:lang w:val="pt-BR"/>
        </w:rPr>
      </w:pPr>
      <w:r w:rsidRPr="00D5464D">
        <w:rPr>
          <w:rFonts w:eastAsia="Calibri" w:cs="Times New Roman"/>
          <w:snapToGrid w:val="0"/>
          <w:szCs w:val="20"/>
          <w:lang w:val="pt-BR"/>
        </w:rPr>
        <w:t xml:space="preserve">Discordo da decisão a que chegou a maioria por três motivos. Em primeiro lugar, considero que a determinação da existência de uma “discriminação estrutural histórica” requer uma análise profunda, o que não foi realizado na Sentença do presente caso. Para a determinação da violação não foi levado a cabo um exame detalhado que tivesse em consideração aspectos econômicos, sociais e de política pública no Brasil, mas unicamente levou em conta o fato de que as pessoas compartilhavam algumas condições de vida (pobreza e falta de educação). </w:t>
      </w:r>
    </w:p>
    <w:p w14:paraId="52CC6225" w14:textId="77777777" w:rsidR="00BE08AB" w:rsidRPr="00D5464D" w:rsidRDefault="00BE08AB" w:rsidP="00BE08AB">
      <w:pPr>
        <w:tabs>
          <w:tab w:val="clear" w:pos="4419"/>
          <w:tab w:val="clear" w:pos="8838"/>
        </w:tabs>
        <w:ind w:left="720"/>
        <w:contextualSpacing/>
        <w:jc w:val="both"/>
        <w:rPr>
          <w:rFonts w:eastAsia="Calibri" w:cs="Times New Roman"/>
          <w:snapToGrid w:val="0"/>
          <w:szCs w:val="20"/>
          <w:lang w:val="pt-BR"/>
        </w:rPr>
      </w:pPr>
    </w:p>
    <w:p w14:paraId="05DE1683" w14:textId="77777777" w:rsidR="00BE08AB" w:rsidRPr="00D5464D" w:rsidRDefault="00BE08AB" w:rsidP="00F306D7">
      <w:pPr>
        <w:numPr>
          <w:ilvl w:val="0"/>
          <w:numId w:val="28"/>
        </w:numPr>
        <w:tabs>
          <w:tab w:val="clear" w:pos="4419"/>
          <w:tab w:val="clear" w:pos="8838"/>
        </w:tabs>
        <w:contextualSpacing/>
        <w:jc w:val="both"/>
        <w:rPr>
          <w:rFonts w:eastAsia="Calibri" w:cs="Times New Roman"/>
          <w:snapToGrid w:val="0"/>
          <w:szCs w:val="20"/>
          <w:lang w:val="pt-BR"/>
        </w:rPr>
      </w:pPr>
      <w:r w:rsidRPr="00D5464D">
        <w:rPr>
          <w:rFonts w:eastAsia="Calibri" w:cs="Times New Roman"/>
          <w:snapToGrid w:val="0"/>
          <w:szCs w:val="20"/>
          <w:lang w:val="pt-BR"/>
        </w:rPr>
        <w:t>A este respeito, considero que, a partir das provas juntadas no no presente caso, não era possível concluir a existência de uma discriminação contra os 85 trabalhadores resgatados na fiscalização de 2000. Não se contava com elementos de análise confiáveis sobre as circunstâncias nas quais se encontravam os trabalhadores em relação ao resto dos habitantes dessa região do Piauí. Tampouco existia prova relacionada às condições de vida dos habitantes do Piauí em geral, sobretudo com anterioridade ao recrutamento para trabalhar na Fazenda Brasil Verde.</w:t>
      </w:r>
    </w:p>
    <w:p w14:paraId="341256BD" w14:textId="77777777" w:rsidR="00BE08AB" w:rsidRPr="00D5464D" w:rsidRDefault="00BE08AB" w:rsidP="00BE08AB">
      <w:pPr>
        <w:tabs>
          <w:tab w:val="clear" w:pos="4419"/>
          <w:tab w:val="clear" w:pos="8838"/>
        </w:tabs>
        <w:ind w:left="720"/>
        <w:contextualSpacing/>
        <w:jc w:val="both"/>
        <w:rPr>
          <w:rFonts w:eastAsia="Calibri" w:cs="Times New Roman"/>
          <w:snapToGrid w:val="0"/>
          <w:szCs w:val="20"/>
          <w:lang w:val="pt-BR"/>
        </w:rPr>
      </w:pPr>
    </w:p>
    <w:p w14:paraId="3E965E83" w14:textId="77777777" w:rsidR="00BE08AB" w:rsidRPr="00D5464D" w:rsidRDefault="00BE08AB" w:rsidP="00F306D7">
      <w:pPr>
        <w:numPr>
          <w:ilvl w:val="0"/>
          <w:numId w:val="28"/>
        </w:numPr>
        <w:tabs>
          <w:tab w:val="clear" w:pos="4419"/>
          <w:tab w:val="clear" w:pos="8838"/>
        </w:tabs>
        <w:contextualSpacing/>
        <w:jc w:val="both"/>
        <w:rPr>
          <w:rFonts w:eastAsia="Calibri" w:cs="Times New Roman"/>
          <w:snapToGrid w:val="0"/>
          <w:szCs w:val="20"/>
          <w:lang w:val="pt-BR"/>
        </w:rPr>
      </w:pPr>
      <w:r w:rsidRPr="00D5464D">
        <w:rPr>
          <w:rFonts w:eastAsia="Calibri" w:cs="Times New Roman"/>
          <w:snapToGrid w:val="0"/>
          <w:szCs w:val="20"/>
          <w:lang w:val="pt-BR"/>
        </w:rPr>
        <w:t>Ainda se considerarmos que a pobreza é uma condição que potencialmente pode colocar as vítimas em uma situação de vulnerabilidade, é necessário realizar uma análise que determine que, efetivamente, tenha existido uma discriminação contra uma população específica. A simples presunção de afetação em virtude da pobreza não pode ter como consequência automática a existência de discriminação contra um grupo específico. No presente caso, a Corte não contava com elementos de prova para considerar que toda a população do Piauí estivesse submetida a uma “discriminação estrutural histórica”, tampouco havia elementos para determinar que os 85 trabalhadores haviam sido submetidos a essa condição.</w:t>
      </w:r>
    </w:p>
    <w:p w14:paraId="29B496DE" w14:textId="77777777" w:rsidR="00BE08AB" w:rsidRPr="00D5464D" w:rsidRDefault="00BE08AB" w:rsidP="00BE08AB">
      <w:pPr>
        <w:tabs>
          <w:tab w:val="clear" w:pos="4419"/>
          <w:tab w:val="clear" w:pos="8838"/>
        </w:tabs>
        <w:ind w:left="720"/>
        <w:contextualSpacing/>
        <w:jc w:val="both"/>
        <w:rPr>
          <w:rFonts w:eastAsia="Calibri" w:cs="Times New Roman"/>
          <w:snapToGrid w:val="0"/>
          <w:szCs w:val="20"/>
          <w:lang w:val="pt-BR"/>
        </w:rPr>
      </w:pPr>
    </w:p>
    <w:p w14:paraId="100C7CDF" w14:textId="77777777" w:rsidR="00BE08AB" w:rsidRPr="00D5464D" w:rsidRDefault="00BE08AB" w:rsidP="00F306D7">
      <w:pPr>
        <w:numPr>
          <w:ilvl w:val="0"/>
          <w:numId w:val="28"/>
        </w:numPr>
        <w:tabs>
          <w:tab w:val="clear" w:pos="4419"/>
          <w:tab w:val="clear" w:pos="8838"/>
        </w:tabs>
        <w:contextualSpacing/>
        <w:jc w:val="both"/>
        <w:rPr>
          <w:rFonts w:eastAsia="Calibri" w:cs="Times New Roman"/>
          <w:snapToGrid w:val="0"/>
          <w:szCs w:val="20"/>
          <w:lang w:val="pt-BR"/>
        </w:rPr>
      </w:pPr>
      <w:r w:rsidRPr="00D5464D">
        <w:rPr>
          <w:rFonts w:eastAsia="Calibri" w:cs="Times New Roman"/>
          <w:snapToGrid w:val="0"/>
          <w:szCs w:val="20"/>
          <w:lang w:val="pt-BR"/>
        </w:rPr>
        <w:t xml:space="preserve">Não obstante o fato de que a determinação da violação faz referência aos 85 trabalhadores, não resta claro se para a existência dessa “discriminação estrutural histórica” em </w:t>
      </w:r>
      <w:r w:rsidRPr="00D5464D">
        <w:rPr>
          <w:rFonts w:eastAsia="Calibri" w:cs="Times New Roman"/>
          <w:i/>
          <w:snapToGrid w:val="0"/>
          <w:szCs w:val="20"/>
          <w:lang w:val="pt-BR"/>
        </w:rPr>
        <w:t>particular</w:t>
      </w:r>
      <w:r w:rsidRPr="00D5464D">
        <w:rPr>
          <w:rFonts w:eastAsia="Calibri" w:cs="Times New Roman"/>
          <w:snapToGrid w:val="0"/>
          <w:szCs w:val="20"/>
          <w:lang w:val="pt-BR"/>
        </w:rPr>
        <w:t xml:space="preserve"> a respeito desse grupo, é necessária a existência de uma “discriminação estrutural histórica” </w:t>
      </w:r>
      <w:r w:rsidRPr="00D5464D">
        <w:rPr>
          <w:rFonts w:eastAsia="Calibri" w:cs="Times New Roman"/>
          <w:i/>
          <w:snapToGrid w:val="0"/>
          <w:szCs w:val="20"/>
          <w:lang w:val="pt-BR"/>
        </w:rPr>
        <w:t>geral</w:t>
      </w:r>
      <w:r w:rsidRPr="00D5464D">
        <w:rPr>
          <w:rFonts w:eastAsia="Calibri" w:cs="Times New Roman"/>
          <w:snapToGrid w:val="0"/>
          <w:szCs w:val="20"/>
          <w:lang w:val="pt-BR"/>
        </w:rPr>
        <w:t xml:space="preserve"> contra toda pessoa em situação de pobreza no Piauí. O argumento utilizado pela Corte parece indicar que, em todos os casos nos quais as vítimas compartilhem uma característica comum (que poderia colocá-los em uma situação de vulnerabilidade), por esse fato apenas, existirá automaticamente discriminação estrutural.</w:t>
      </w:r>
    </w:p>
    <w:p w14:paraId="4A1F2FA8" w14:textId="77777777" w:rsidR="00BE08AB" w:rsidRPr="00D5464D" w:rsidRDefault="00BE08AB" w:rsidP="00BE08AB">
      <w:pPr>
        <w:tabs>
          <w:tab w:val="clear" w:pos="4419"/>
          <w:tab w:val="clear" w:pos="8838"/>
        </w:tabs>
        <w:ind w:left="720"/>
        <w:contextualSpacing/>
        <w:jc w:val="both"/>
        <w:rPr>
          <w:rFonts w:eastAsia="Calibri" w:cs="Times New Roman"/>
          <w:snapToGrid w:val="0"/>
          <w:szCs w:val="20"/>
          <w:lang w:val="pt-BR"/>
        </w:rPr>
      </w:pPr>
    </w:p>
    <w:p w14:paraId="29742629" w14:textId="77777777" w:rsidR="00BE08AB" w:rsidRPr="00D5464D" w:rsidRDefault="00BE08AB" w:rsidP="00F306D7">
      <w:pPr>
        <w:numPr>
          <w:ilvl w:val="0"/>
          <w:numId w:val="28"/>
        </w:numPr>
        <w:tabs>
          <w:tab w:val="clear" w:pos="4419"/>
          <w:tab w:val="clear" w:pos="8838"/>
        </w:tabs>
        <w:contextualSpacing/>
        <w:jc w:val="both"/>
        <w:rPr>
          <w:rFonts w:eastAsia="Calibri" w:cs="Times New Roman"/>
          <w:snapToGrid w:val="0"/>
          <w:szCs w:val="20"/>
          <w:lang w:val="pt-BR"/>
        </w:rPr>
      </w:pPr>
      <w:r w:rsidRPr="00D5464D">
        <w:rPr>
          <w:rFonts w:eastAsia="Calibri" w:cs="Times New Roman"/>
          <w:snapToGrid w:val="0"/>
          <w:szCs w:val="20"/>
          <w:lang w:val="pt-BR"/>
        </w:rPr>
        <w:t xml:space="preserve">Em segundo lugar, considero que as características comuns compartilhadas pelos trabalhadores no presente caso não são fatores suficientes para declarar a existência de discriminação estrutural contra eles. Apesar de ser correto </w:t>
      </w:r>
      <w:r w:rsidRPr="00D5464D">
        <w:rPr>
          <w:rFonts w:eastAsia="Calibri" w:cs="Times New Roman"/>
          <w:lang w:val="pt-BR"/>
        </w:rPr>
        <w:t>que, em geral, os trabalhadores submetidos a condições análogas à escravidão compartilhavam algumas características, essas características são também compartilhadas por um grande número de pessoas no Brasil, que vivem em situação de pobreza e contam com baixos níveis de escolaridade. Nesse sentido, não resulta correto concluir a existência de discriminação estrutural histórica contra os trabalhadores da Fazenda Brasil Verde no presente caso.</w:t>
      </w:r>
    </w:p>
    <w:p w14:paraId="67E8BC79" w14:textId="77777777" w:rsidR="00BE08AB" w:rsidRPr="00D5464D" w:rsidRDefault="00BE08AB" w:rsidP="00BE08AB">
      <w:pPr>
        <w:tabs>
          <w:tab w:val="clear" w:pos="4419"/>
          <w:tab w:val="clear" w:pos="8838"/>
        </w:tabs>
        <w:ind w:left="720"/>
        <w:contextualSpacing/>
        <w:jc w:val="both"/>
        <w:rPr>
          <w:rFonts w:eastAsia="Calibri" w:cs="Times New Roman"/>
          <w:lang w:val="pt-BR"/>
        </w:rPr>
      </w:pPr>
    </w:p>
    <w:p w14:paraId="66935608" w14:textId="77777777" w:rsidR="00BE08AB" w:rsidRPr="00D5464D" w:rsidRDefault="00BE08AB" w:rsidP="00F306D7">
      <w:pPr>
        <w:numPr>
          <w:ilvl w:val="0"/>
          <w:numId w:val="28"/>
        </w:numPr>
        <w:tabs>
          <w:tab w:val="clear" w:pos="4419"/>
          <w:tab w:val="clear" w:pos="8838"/>
        </w:tabs>
        <w:contextualSpacing/>
        <w:jc w:val="both"/>
        <w:rPr>
          <w:rFonts w:eastAsia="Calibri" w:cs="Times New Roman"/>
          <w:snapToGrid w:val="0"/>
          <w:szCs w:val="20"/>
          <w:lang w:val="pt-BR"/>
        </w:rPr>
      </w:pPr>
      <w:r w:rsidRPr="00D5464D">
        <w:rPr>
          <w:rFonts w:eastAsia="Calibri" w:cs="Times New Roman"/>
          <w:snapToGrid w:val="0"/>
          <w:szCs w:val="20"/>
          <w:lang w:val="pt-BR"/>
        </w:rPr>
        <w:t xml:space="preserve">Em terceiro lugar, a Sentença não leva adequadamente em consideração as medidas adotadas pelo Estado dirigidas a </w:t>
      </w:r>
      <w:r w:rsidRPr="00D5464D">
        <w:rPr>
          <w:rFonts w:eastAsia="Calibri" w:cs="Times New Roman"/>
          <w:lang w:val="pt-BR"/>
        </w:rPr>
        <w:t>prevenir e sancionar a escravidão, em particular no ambiente rural. Em que pesem os esforços realizados pelo Estado, a determinação da existência de discriminação estrutural histórica contra os trabalhadores da Fazenda Brasil Verde pareceria ser consequência da existência de pessoas em situação de pobreza e também em situação de escravidão no Brasil, o que levou à correspondente condenação ao Estado por esta circunstância. A existência de problemas sociais estruturais não gera, automaticamente, a responsabilidade internacional do Brasil.</w:t>
      </w:r>
    </w:p>
    <w:p w14:paraId="3D585636" w14:textId="77777777" w:rsidR="00BE08AB" w:rsidRPr="00D5464D" w:rsidRDefault="00BE08AB" w:rsidP="00BE08AB">
      <w:pPr>
        <w:tabs>
          <w:tab w:val="clear" w:pos="4419"/>
          <w:tab w:val="clear" w:pos="8838"/>
        </w:tabs>
        <w:ind w:left="720"/>
        <w:contextualSpacing/>
        <w:jc w:val="both"/>
        <w:rPr>
          <w:rFonts w:eastAsia="Calibri" w:cs="Times New Roman"/>
          <w:snapToGrid w:val="0"/>
          <w:szCs w:val="20"/>
          <w:lang w:val="pt-BR"/>
        </w:rPr>
      </w:pPr>
    </w:p>
    <w:p w14:paraId="00F01F47" w14:textId="77777777" w:rsidR="00BE08AB" w:rsidRPr="00D5464D" w:rsidRDefault="00BE08AB" w:rsidP="00F306D7">
      <w:pPr>
        <w:numPr>
          <w:ilvl w:val="0"/>
          <w:numId w:val="28"/>
        </w:numPr>
        <w:tabs>
          <w:tab w:val="clear" w:pos="4419"/>
          <w:tab w:val="clear" w:pos="8838"/>
        </w:tabs>
        <w:contextualSpacing/>
        <w:jc w:val="both"/>
        <w:rPr>
          <w:rFonts w:eastAsia="Calibri" w:cs="Times New Roman"/>
          <w:snapToGrid w:val="0"/>
          <w:szCs w:val="20"/>
          <w:lang w:val="pt-BR"/>
        </w:rPr>
      </w:pPr>
      <w:r w:rsidRPr="00D5464D">
        <w:rPr>
          <w:rFonts w:eastAsia="Calibri" w:cs="Times New Roman"/>
          <w:snapToGrid w:val="0"/>
          <w:szCs w:val="20"/>
          <w:lang w:val="pt-BR"/>
        </w:rPr>
        <w:t xml:space="preserve">Em conclusão, considero que é incorreta a determinação da Corte sobre a existência de uma </w:t>
      </w:r>
      <w:r w:rsidRPr="00D5464D">
        <w:rPr>
          <w:rFonts w:eastAsia="Calibri" w:cs="Times New Roman"/>
          <w:lang w:val="pt-BR"/>
        </w:rPr>
        <w:t>situação de discriminação estrutural histórica no Brasil. Esta determinação da Corte carece da análise detalhada necessária e de uma fundamentação consistente com as características gerais da população e com as causas e consequências concretas de uma situação de discriminação, em particular quando se refere a elementos que podem dar margem a interpretações divergentes, como a pobreza. Por outra parte, considero que a decisão da maioria desconhece as medidas estatais adotadas ao longo das últimas décadas e a realidade do Brasil, e se fundamenta em uma análise reducionista, segundo a qual a existência de uma situação de vulnerabilidade gera diretamente, sem maior análise, a responsabilidade internacional do Estado.</w:t>
      </w:r>
    </w:p>
    <w:p w14:paraId="16EC891D" w14:textId="77777777" w:rsidR="00BE08AB" w:rsidRPr="00D5464D" w:rsidRDefault="00BE08AB" w:rsidP="00BE08AB">
      <w:pPr>
        <w:tabs>
          <w:tab w:val="clear" w:pos="4419"/>
          <w:tab w:val="clear" w:pos="8838"/>
        </w:tabs>
        <w:ind w:left="720"/>
        <w:contextualSpacing/>
        <w:jc w:val="both"/>
        <w:rPr>
          <w:rFonts w:eastAsia="Calibri" w:cs="Times New Roman"/>
          <w:b/>
          <w:snapToGrid w:val="0"/>
          <w:szCs w:val="20"/>
          <w:lang w:val="pt-BR"/>
        </w:rPr>
      </w:pPr>
    </w:p>
    <w:p w14:paraId="0B54D85C" w14:textId="77777777" w:rsidR="00BE08AB" w:rsidRPr="00D5464D" w:rsidRDefault="00BE08AB" w:rsidP="00BE08AB">
      <w:pPr>
        <w:tabs>
          <w:tab w:val="clear" w:pos="4419"/>
          <w:tab w:val="clear" w:pos="8838"/>
        </w:tabs>
        <w:ind w:left="720"/>
        <w:contextualSpacing/>
        <w:jc w:val="both"/>
        <w:rPr>
          <w:rFonts w:eastAsia="Calibri" w:cs="Times New Roman"/>
          <w:b/>
          <w:snapToGrid w:val="0"/>
          <w:szCs w:val="20"/>
          <w:lang w:val="pt-BR"/>
        </w:rPr>
      </w:pPr>
    </w:p>
    <w:p w14:paraId="50FCF097" w14:textId="77777777" w:rsidR="00BE08AB" w:rsidRPr="00D5464D" w:rsidRDefault="00BE08AB" w:rsidP="00F306D7">
      <w:pPr>
        <w:numPr>
          <w:ilvl w:val="0"/>
          <w:numId w:val="29"/>
        </w:numPr>
        <w:tabs>
          <w:tab w:val="clear" w:pos="4419"/>
          <w:tab w:val="clear" w:pos="8838"/>
        </w:tabs>
        <w:contextualSpacing/>
        <w:jc w:val="both"/>
        <w:rPr>
          <w:rFonts w:eastAsia="Calibri" w:cs="Times New Roman"/>
          <w:b/>
          <w:snapToGrid w:val="0"/>
          <w:szCs w:val="20"/>
          <w:lang w:val="pt-BR"/>
        </w:rPr>
      </w:pPr>
      <w:r w:rsidRPr="00D5464D">
        <w:rPr>
          <w:rFonts w:eastAsia="Calibri" w:cs="Times New Roman"/>
          <w:b/>
          <w:snapToGrid w:val="0"/>
          <w:szCs w:val="20"/>
          <w:lang w:val="pt-BR"/>
        </w:rPr>
        <w:t xml:space="preserve">Dissidência a respeito da </w:t>
      </w:r>
      <w:r w:rsidRPr="00D5464D">
        <w:rPr>
          <w:rFonts w:eastAsia="Cambria" w:cs="Times New Roman"/>
          <w:b/>
          <w:lang w:val="pt-BR"/>
        </w:rPr>
        <w:t xml:space="preserve">violação do </w:t>
      </w:r>
      <w:r w:rsidRPr="00D5464D">
        <w:rPr>
          <w:rFonts w:eastAsia="Cambria" w:cs="Times New Roman"/>
          <w:b/>
          <w:szCs w:val="20"/>
          <w:lang w:val="pt-BR"/>
        </w:rPr>
        <w:t>direito à proteção judicial, previsto no artigo 25 da Convenção Americana</w:t>
      </w:r>
    </w:p>
    <w:p w14:paraId="12A6A4AA" w14:textId="77777777" w:rsidR="00BE08AB" w:rsidRPr="00D5464D" w:rsidRDefault="00BE08AB" w:rsidP="00BE08AB">
      <w:pPr>
        <w:tabs>
          <w:tab w:val="clear" w:pos="4419"/>
          <w:tab w:val="clear" w:pos="8838"/>
        </w:tabs>
        <w:ind w:left="720"/>
        <w:contextualSpacing/>
        <w:jc w:val="both"/>
        <w:rPr>
          <w:rFonts w:eastAsia="Calibri" w:cs="Times New Roman"/>
          <w:snapToGrid w:val="0"/>
          <w:szCs w:val="20"/>
          <w:lang w:val="pt-BR"/>
        </w:rPr>
      </w:pPr>
    </w:p>
    <w:p w14:paraId="1E07DAC9" w14:textId="77777777" w:rsidR="00BE08AB" w:rsidRPr="00D5464D" w:rsidRDefault="00BE08AB" w:rsidP="00BE08AB">
      <w:pPr>
        <w:tabs>
          <w:tab w:val="clear" w:pos="4419"/>
          <w:tab w:val="clear" w:pos="8838"/>
        </w:tabs>
        <w:contextualSpacing/>
        <w:jc w:val="both"/>
        <w:rPr>
          <w:rFonts w:eastAsia="Calibri" w:cs="Times New Roman"/>
          <w:snapToGrid w:val="0"/>
          <w:szCs w:val="20"/>
          <w:lang w:val="pt-BR"/>
        </w:rPr>
      </w:pPr>
    </w:p>
    <w:p w14:paraId="2E61205F" w14:textId="77777777" w:rsidR="00BE08AB" w:rsidRPr="00D5464D" w:rsidRDefault="00BE08AB" w:rsidP="00F306D7">
      <w:pPr>
        <w:numPr>
          <w:ilvl w:val="0"/>
          <w:numId w:val="28"/>
        </w:numPr>
        <w:tabs>
          <w:tab w:val="clear" w:pos="4419"/>
          <w:tab w:val="clear" w:pos="8838"/>
        </w:tabs>
        <w:contextualSpacing/>
        <w:jc w:val="both"/>
        <w:rPr>
          <w:rFonts w:eastAsia="Calibri" w:cs="Times New Roman"/>
          <w:snapToGrid w:val="0"/>
          <w:szCs w:val="20"/>
          <w:lang w:val="pt-BR"/>
        </w:rPr>
      </w:pPr>
      <w:r w:rsidRPr="00D5464D">
        <w:rPr>
          <w:rFonts w:eastAsia="Calibri" w:cs="Times New Roman"/>
          <w:snapToGrid w:val="0"/>
          <w:szCs w:val="20"/>
          <w:lang w:val="pt-BR"/>
        </w:rPr>
        <w:t xml:space="preserve">A Corte determinou na Sentença do presente caso que o </w:t>
      </w:r>
      <w:r w:rsidRPr="00D5464D">
        <w:rPr>
          <w:rFonts w:eastAsia="Cambria" w:cs="Times New Roman"/>
          <w:szCs w:val="20"/>
          <w:lang w:val="pt-BR"/>
        </w:rPr>
        <w:t>Estado é responsável por violar o direito à proteção judicial, previsto no artigo 25 da Convenção Americana sobre Direitos Humanos, em relação aos artigos 1.1 e 2 do mesmo instrumento.</w:t>
      </w:r>
      <w:r w:rsidRPr="00D5464D">
        <w:rPr>
          <w:rFonts w:eastAsia="Calibri" w:cs="Times New Roman"/>
          <w:snapToGrid w:val="0"/>
          <w:szCs w:val="20"/>
          <w:lang w:val="pt-BR"/>
        </w:rPr>
        <w:t xml:space="preserve"> </w:t>
      </w:r>
      <w:r w:rsidRPr="00D5464D">
        <w:rPr>
          <w:rFonts w:eastAsia="Cambria" w:cs="Times New Roman"/>
          <w:szCs w:val="20"/>
          <w:lang w:val="pt-BR"/>
        </w:rPr>
        <w:t>Para chegar a essa determinação, a Corte utilizou os mesmos argumentos usados anteriormente para determinar a violação do artigo 8 da Convenção Americana, como a duração do processo e a falta de diligência das autoridades.</w:t>
      </w:r>
    </w:p>
    <w:p w14:paraId="5F239DB3" w14:textId="77777777" w:rsidR="00BE08AB" w:rsidRPr="00D5464D" w:rsidRDefault="00BE08AB" w:rsidP="00BE08AB">
      <w:pPr>
        <w:tabs>
          <w:tab w:val="clear" w:pos="4419"/>
          <w:tab w:val="clear" w:pos="8838"/>
        </w:tabs>
        <w:contextualSpacing/>
        <w:jc w:val="both"/>
        <w:rPr>
          <w:rFonts w:eastAsia="Calibri" w:cs="Times New Roman"/>
          <w:snapToGrid w:val="0"/>
          <w:szCs w:val="20"/>
          <w:lang w:val="pt-BR"/>
        </w:rPr>
      </w:pPr>
    </w:p>
    <w:p w14:paraId="7465B6EA" w14:textId="77777777" w:rsidR="00BE08AB" w:rsidRPr="00D5464D" w:rsidRDefault="00BE08AB" w:rsidP="00F306D7">
      <w:pPr>
        <w:numPr>
          <w:ilvl w:val="0"/>
          <w:numId w:val="28"/>
        </w:numPr>
        <w:tabs>
          <w:tab w:val="clear" w:pos="4419"/>
          <w:tab w:val="clear" w:pos="8838"/>
        </w:tabs>
        <w:contextualSpacing/>
        <w:jc w:val="both"/>
        <w:rPr>
          <w:rFonts w:eastAsia="Calibri" w:cs="Times New Roman"/>
          <w:snapToGrid w:val="0"/>
          <w:szCs w:val="20"/>
          <w:lang w:val="pt-BR"/>
        </w:rPr>
      </w:pPr>
      <w:r w:rsidRPr="00D5464D">
        <w:rPr>
          <w:rFonts w:eastAsia="Cambria" w:cs="Times New Roman"/>
          <w:szCs w:val="20"/>
          <w:lang w:val="pt-BR"/>
        </w:rPr>
        <w:t xml:space="preserve">A este respeito, discordo da decisão da maioria, já que considero que a análise das violações aos artigos 8 e 25 da Convenção deve ser feita de maneira diferenciada e com argumentos analisados de forma independente; considero muito relevante que a Corte faça a distinção entre ambos os artigos e entre as razões pelas quais estes podem ser considerados violados. </w:t>
      </w:r>
    </w:p>
    <w:p w14:paraId="7D271582" w14:textId="77777777" w:rsidR="00BE08AB" w:rsidRPr="00D5464D" w:rsidRDefault="00BE08AB" w:rsidP="00BE08AB">
      <w:pPr>
        <w:tabs>
          <w:tab w:val="clear" w:pos="4419"/>
          <w:tab w:val="clear" w:pos="8838"/>
        </w:tabs>
        <w:ind w:left="720"/>
        <w:contextualSpacing/>
        <w:jc w:val="both"/>
        <w:rPr>
          <w:rFonts w:eastAsia="Calibri" w:cs="Times New Roman"/>
          <w:snapToGrid w:val="0"/>
          <w:szCs w:val="20"/>
          <w:lang w:val="pt-BR"/>
        </w:rPr>
      </w:pPr>
    </w:p>
    <w:p w14:paraId="5F7108A5" w14:textId="77777777" w:rsidR="00BE08AB" w:rsidRPr="00D5464D" w:rsidRDefault="00BE08AB" w:rsidP="00F306D7">
      <w:pPr>
        <w:numPr>
          <w:ilvl w:val="0"/>
          <w:numId w:val="28"/>
        </w:numPr>
        <w:tabs>
          <w:tab w:val="clear" w:pos="4419"/>
          <w:tab w:val="clear" w:pos="8838"/>
        </w:tabs>
        <w:contextualSpacing/>
        <w:jc w:val="both"/>
        <w:rPr>
          <w:rFonts w:eastAsia="Calibri" w:cs="Times New Roman"/>
          <w:snapToGrid w:val="0"/>
          <w:szCs w:val="20"/>
          <w:lang w:val="pt-BR"/>
        </w:rPr>
      </w:pPr>
      <w:r w:rsidRPr="00D5464D">
        <w:rPr>
          <w:rFonts w:eastAsia="Calibri" w:cs="Times New Roman"/>
          <w:snapToGrid w:val="0"/>
          <w:szCs w:val="20"/>
          <w:lang w:val="pt-BR"/>
        </w:rPr>
        <w:t xml:space="preserve">Nesse sentido, compartilho o indicado pela ex-Juíza da Corte, Cecilia Medina Quiroga, a respeito de que o </w:t>
      </w:r>
      <w:r w:rsidRPr="00D5464D">
        <w:rPr>
          <w:rFonts w:eastAsia="Calibri" w:cs="Times New Roman"/>
          <w:lang w:val="pt-BR"/>
        </w:rPr>
        <w:t>artigo 25 prevê o direito do indivíduo à proteção de seus direitos humanos no âmbito nacional, de uma maneira simples, rápida e efetiva; enquanto o artigo 8 não estabelece o direito a um recurso, mas ao devido processo, isto é, o conjunto de requisitos que devem ser observados nas instâncias processuais, com o fim de proteger o direito dos indivíduos a que os processos judiciais sejam decididos com a máxima justiça possível.</w:t>
      </w:r>
      <w:r w:rsidRPr="00D5464D">
        <w:rPr>
          <w:rFonts w:eastAsia="Calibri" w:cs="Times New Roman"/>
          <w:szCs w:val="20"/>
          <w:vertAlign w:val="superscript"/>
          <w:lang w:val="es-ES"/>
        </w:rPr>
        <w:footnoteReference w:id="674"/>
      </w:r>
      <w:r w:rsidRPr="00D5464D">
        <w:rPr>
          <w:rFonts w:eastAsia="Calibri" w:cs="Times New Roman"/>
          <w:lang w:val="pt-BR"/>
        </w:rPr>
        <w:t xml:space="preserve"> Ambos os direitos são de natureza distinta, e sua relação é uma de substância a forma, como afirma esta Corte, porquanto o artigo 25 prevê o direito a um recurso</w:t>
      </w:r>
      <w:r w:rsidRPr="00D5464D">
        <w:rPr>
          <w:rFonts w:eastAsia="Calibri" w:cs="Times New Roman"/>
          <w:szCs w:val="20"/>
          <w:lang w:val="pt-BR"/>
        </w:rPr>
        <w:t xml:space="preserve"> judicial enquanto o artigo 8 estabelece a maneira como este se tramita.</w:t>
      </w:r>
      <w:r w:rsidRPr="00D5464D">
        <w:rPr>
          <w:rFonts w:eastAsia="Calibri" w:cs="Times New Roman"/>
          <w:szCs w:val="20"/>
          <w:vertAlign w:val="superscript"/>
          <w:lang w:val="es-ES_tradnl"/>
        </w:rPr>
        <w:footnoteReference w:id="675"/>
      </w:r>
    </w:p>
    <w:p w14:paraId="0E659BDA" w14:textId="77777777" w:rsidR="00BE08AB" w:rsidRPr="00D5464D" w:rsidRDefault="00BE08AB" w:rsidP="00BE08AB">
      <w:pPr>
        <w:tabs>
          <w:tab w:val="clear" w:pos="4419"/>
          <w:tab w:val="clear" w:pos="8838"/>
        </w:tabs>
        <w:contextualSpacing/>
        <w:jc w:val="both"/>
        <w:rPr>
          <w:rFonts w:eastAsia="Calibri" w:cs="Times New Roman"/>
          <w:snapToGrid w:val="0"/>
          <w:szCs w:val="20"/>
          <w:lang w:val="pt-BR"/>
        </w:rPr>
      </w:pPr>
    </w:p>
    <w:p w14:paraId="6B18C1F9" w14:textId="77777777" w:rsidR="00BE08AB" w:rsidRPr="00D5464D" w:rsidRDefault="00BE08AB" w:rsidP="00F306D7">
      <w:pPr>
        <w:numPr>
          <w:ilvl w:val="0"/>
          <w:numId w:val="28"/>
        </w:numPr>
        <w:tabs>
          <w:tab w:val="clear" w:pos="4419"/>
          <w:tab w:val="clear" w:pos="8838"/>
        </w:tabs>
        <w:contextualSpacing/>
        <w:jc w:val="both"/>
        <w:rPr>
          <w:rFonts w:eastAsia="Calibri" w:cs="Times New Roman"/>
          <w:snapToGrid w:val="0"/>
          <w:szCs w:val="20"/>
          <w:lang w:val="pt-BR"/>
        </w:rPr>
      </w:pPr>
      <w:r w:rsidRPr="00D5464D">
        <w:rPr>
          <w:rFonts w:eastAsia="Calibri" w:cs="Times New Roman"/>
          <w:szCs w:val="20"/>
          <w:lang w:val="pt-BR"/>
        </w:rPr>
        <w:t>A violação do artigo 25 ocorre: i) quando não existe um recurso estabelecido na legislação de um Estado, ou esse recurso está mal elaborado na própria norma, e ii) quando os juízes não aplicam corretamente esse recurso. Considero que quando se confunde conceitualmente ambos os artigos, torna-se difícil a identificação, com precisão, das razões pelas quais se viola um e outro. Acaba-se utilizando então, por exemplo, elementos correspondentes ao “prazo razoável” do artigo 8 para fazer considerações a respeito da rapidez do recurso requerida no artigo 25.</w:t>
      </w:r>
    </w:p>
    <w:p w14:paraId="2FD66E1C" w14:textId="77777777" w:rsidR="00BE08AB" w:rsidRPr="00D5464D" w:rsidRDefault="00BE08AB" w:rsidP="00BE08AB">
      <w:pPr>
        <w:tabs>
          <w:tab w:val="clear" w:pos="4419"/>
          <w:tab w:val="clear" w:pos="8838"/>
        </w:tabs>
        <w:ind w:left="720"/>
        <w:contextualSpacing/>
        <w:jc w:val="both"/>
        <w:rPr>
          <w:rFonts w:eastAsia="Calibri" w:cs="Times New Roman"/>
          <w:snapToGrid w:val="0"/>
          <w:szCs w:val="20"/>
          <w:lang w:val="pt-BR"/>
        </w:rPr>
      </w:pPr>
    </w:p>
    <w:p w14:paraId="504AFD5D" w14:textId="77777777" w:rsidR="00BE08AB" w:rsidRPr="00D5464D" w:rsidRDefault="00BE08AB" w:rsidP="00F306D7">
      <w:pPr>
        <w:numPr>
          <w:ilvl w:val="0"/>
          <w:numId w:val="28"/>
        </w:numPr>
        <w:tabs>
          <w:tab w:val="clear" w:pos="4419"/>
          <w:tab w:val="clear" w:pos="8838"/>
        </w:tabs>
        <w:contextualSpacing/>
        <w:jc w:val="both"/>
        <w:rPr>
          <w:rFonts w:eastAsia="Calibri" w:cs="Times New Roman"/>
          <w:snapToGrid w:val="0"/>
          <w:szCs w:val="20"/>
          <w:lang w:val="pt-BR"/>
        </w:rPr>
      </w:pPr>
      <w:r w:rsidRPr="00D5464D">
        <w:rPr>
          <w:rFonts w:eastAsia="Calibri" w:cs="Times New Roman"/>
          <w:snapToGrid w:val="0"/>
          <w:szCs w:val="20"/>
          <w:lang w:val="pt-BR"/>
        </w:rPr>
        <w:t xml:space="preserve">Em razão do anterior, posso concluir que a Corte não realizou a análise das violações aos artigos 8 e 25 da Convenção Americana de maneira correta, confundindo o conteúdo dos mesmos, </w:t>
      </w:r>
      <w:r w:rsidRPr="00D5464D">
        <w:rPr>
          <w:rFonts w:eastAsia="Calibri" w:cs="Times New Roman"/>
          <w:strike/>
          <w:snapToGrid w:val="0"/>
          <w:szCs w:val="20"/>
          <w:lang w:val="pt-BR"/>
        </w:rPr>
        <w:t>e</w:t>
      </w:r>
      <w:r w:rsidRPr="00D5464D">
        <w:rPr>
          <w:rFonts w:eastAsia="Calibri" w:cs="Times New Roman"/>
          <w:snapToGrid w:val="0"/>
          <w:szCs w:val="20"/>
          <w:lang w:val="pt-BR"/>
        </w:rPr>
        <w:t xml:space="preserve"> falhando em diferenciar as ações que constituem violações a um e ao outro e trazendo como consequência uma falta de claridade na análise da Corte.</w:t>
      </w:r>
    </w:p>
    <w:p w14:paraId="67E6C6C7" w14:textId="77777777" w:rsidR="00BE08AB" w:rsidRPr="00D5464D" w:rsidRDefault="00BE08AB" w:rsidP="00BE08AB">
      <w:pPr>
        <w:tabs>
          <w:tab w:val="clear" w:pos="4419"/>
          <w:tab w:val="clear" w:pos="8838"/>
        </w:tabs>
        <w:ind w:left="3600" w:right="96" w:firstLine="720"/>
        <w:jc w:val="center"/>
        <w:rPr>
          <w:rFonts w:eastAsia="Calibri" w:cs="Times New Roman"/>
          <w:szCs w:val="20"/>
          <w:lang w:val="pt-BR"/>
        </w:rPr>
      </w:pPr>
    </w:p>
    <w:p w14:paraId="1B64B303" w14:textId="77777777" w:rsidR="00BE08AB" w:rsidRPr="00D5464D" w:rsidRDefault="00BE08AB" w:rsidP="00BE08AB">
      <w:pPr>
        <w:tabs>
          <w:tab w:val="clear" w:pos="4419"/>
          <w:tab w:val="clear" w:pos="8838"/>
        </w:tabs>
        <w:ind w:left="3600" w:right="96" w:firstLine="720"/>
        <w:jc w:val="center"/>
        <w:rPr>
          <w:rFonts w:eastAsia="Calibri" w:cs="Times New Roman"/>
          <w:szCs w:val="20"/>
          <w:lang w:val="pt-BR"/>
        </w:rPr>
      </w:pPr>
    </w:p>
    <w:p w14:paraId="01343117" w14:textId="77777777" w:rsidR="00BE08AB" w:rsidRPr="00D5464D" w:rsidRDefault="00BE08AB" w:rsidP="00BE08AB">
      <w:pPr>
        <w:tabs>
          <w:tab w:val="clear" w:pos="4419"/>
          <w:tab w:val="clear" w:pos="8838"/>
        </w:tabs>
        <w:ind w:left="3600" w:right="96" w:firstLine="720"/>
        <w:jc w:val="center"/>
        <w:rPr>
          <w:rFonts w:eastAsia="Calibri" w:cs="Times New Roman"/>
          <w:szCs w:val="20"/>
          <w:lang w:val="pt-BR"/>
        </w:rPr>
      </w:pPr>
    </w:p>
    <w:p w14:paraId="4A4BFF45" w14:textId="77777777" w:rsidR="00BE08AB" w:rsidRPr="00D5464D" w:rsidRDefault="00BE08AB" w:rsidP="00BE08AB">
      <w:pPr>
        <w:tabs>
          <w:tab w:val="clear" w:pos="4419"/>
          <w:tab w:val="clear" w:pos="8838"/>
        </w:tabs>
        <w:ind w:left="3600" w:right="96" w:firstLine="720"/>
        <w:jc w:val="center"/>
        <w:rPr>
          <w:rFonts w:eastAsia="Calibri" w:cs="Times New Roman"/>
          <w:szCs w:val="20"/>
          <w:lang w:val="pt-BR"/>
        </w:rPr>
      </w:pPr>
    </w:p>
    <w:p w14:paraId="608CD195" w14:textId="77777777" w:rsidR="00BE08AB" w:rsidRPr="00D5464D" w:rsidRDefault="00BE08AB" w:rsidP="00BE08AB">
      <w:pPr>
        <w:tabs>
          <w:tab w:val="clear" w:pos="4419"/>
          <w:tab w:val="clear" w:pos="8838"/>
        </w:tabs>
        <w:ind w:left="3600" w:right="96" w:firstLine="720"/>
        <w:jc w:val="center"/>
        <w:rPr>
          <w:rFonts w:eastAsia="Calibri" w:cs="Times New Roman"/>
          <w:szCs w:val="20"/>
          <w:lang w:val="pt-BR"/>
        </w:rPr>
      </w:pPr>
    </w:p>
    <w:p w14:paraId="15512C6E" w14:textId="77777777" w:rsidR="00BE08AB" w:rsidRPr="00D5464D" w:rsidRDefault="00BE08AB" w:rsidP="00BE08AB">
      <w:pPr>
        <w:tabs>
          <w:tab w:val="clear" w:pos="4419"/>
          <w:tab w:val="clear" w:pos="8838"/>
        </w:tabs>
        <w:ind w:left="3600" w:right="96" w:firstLine="720"/>
        <w:jc w:val="center"/>
        <w:rPr>
          <w:rFonts w:eastAsia="Calibri" w:cs="Times New Roman"/>
          <w:szCs w:val="20"/>
          <w:lang w:val="pt-BR"/>
        </w:rPr>
      </w:pPr>
    </w:p>
    <w:p w14:paraId="66222FA1" w14:textId="77777777" w:rsidR="00BE08AB" w:rsidRPr="00D5464D" w:rsidRDefault="00BE08AB" w:rsidP="00BE08AB">
      <w:pPr>
        <w:tabs>
          <w:tab w:val="clear" w:pos="4419"/>
          <w:tab w:val="clear" w:pos="8838"/>
        </w:tabs>
        <w:ind w:left="3600" w:right="96" w:firstLine="720"/>
        <w:jc w:val="center"/>
        <w:rPr>
          <w:rFonts w:eastAsia="Calibri" w:cs="Times New Roman"/>
          <w:szCs w:val="20"/>
          <w:lang w:val="pt-BR"/>
        </w:rPr>
      </w:pPr>
    </w:p>
    <w:p w14:paraId="488A321E" w14:textId="77777777" w:rsidR="00BE08AB" w:rsidRPr="00D5464D" w:rsidRDefault="00BE08AB" w:rsidP="00BE08AB">
      <w:pPr>
        <w:tabs>
          <w:tab w:val="clear" w:pos="4419"/>
          <w:tab w:val="clear" w:pos="8838"/>
        </w:tabs>
        <w:ind w:left="3600" w:right="96" w:firstLine="720"/>
        <w:rPr>
          <w:rFonts w:eastAsia="Calibri" w:cs="Times New Roman"/>
          <w:szCs w:val="20"/>
          <w:lang w:val="pt-BR"/>
        </w:rPr>
      </w:pPr>
      <w:r w:rsidRPr="00D5464D">
        <w:rPr>
          <w:rFonts w:eastAsia="Calibri" w:cs="Times New Roman"/>
          <w:szCs w:val="20"/>
          <w:lang w:val="pt-BR"/>
        </w:rPr>
        <w:t xml:space="preserve">             Humberto Antonio Sierra Porto</w:t>
      </w:r>
    </w:p>
    <w:p w14:paraId="78B181AF" w14:textId="77777777" w:rsidR="00BE08AB" w:rsidRPr="00D5464D" w:rsidRDefault="00BE08AB" w:rsidP="00BE08AB">
      <w:pPr>
        <w:tabs>
          <w:tab w:val="clear" w:pos="4419"/>
          <w:tab w:val="clear" w:pos="8838"/>
        </w:tabs>
        <w:ind w:left="3960" w:right="96" w:firstLine="360"/>
        <w:jc w:val="center"/>
        <w:rPr>
          <w:rFonts w:eastAsia="Calibri" w:cs="Times New Roman"/>
          <w:szCs w:val="20"/>
          <w:lang w:val="pt-BR"/>
        </w:rPr>
      </w:pPr>
      <w:r w:rsidRPr="00D5464D">
        <w:rPr>
          <w:rFonts w:eastAsia="Calibri" w:cs="Times New Roman"/>
          <w:szCs w:val="20"/>
          <w:lang w:val="pt-BR"/>
        </w:rPr>
        <w:t>Juiz</w:t>
      </w:r>
    </w:p>
    <w:p w14:paraId="4CC92024" w14:textId="77777777" w:rsidR="00BE08AB" w:rsidRPr="00D5464D" w:rsidRDefault="00BE08AB" w:rsidP="00BE08AB">
      <w:pPr>
        <w:tabs>
          <w:tab w:val="clear" w:pos="4419"/>
          <w:tab w:val="clear" w:pos="8838"/>
        </w:tabs>
        <w:jc w:val="both"/>
        <w:rPr>
          <w:rFonts w:eastAsia="Calibri" w:cs="Times New Roman"/>
          <w:szCs w:val="20"/>
          <w:lang w:val="pt-BR"/>
        </w:rPr>
      </w:pPr>
    </w:p>
    <w:p w14:paraId="5AE2F1CC" w14:textId="77777777" w:rsidR="00BE08AB" w:rsidRPr="00D5464D" w:rsidRDefault="00BE08AB" w:rsidP="00BE08AB">
      <w:pPr>
        <w:tabs>
          <w:tab w:val="clear" w:pos="4419"/>
          <w:tab w:val="clear" w:pos="8838"/>
        </w:tabs>
        <w:jc w:val="both"/>
        <w:rPr>
          <w:rFonts w:eastAsia="Calibri" w:cs="Times New Roman"/>
          <w:szCs w:val="20"/>
          <w:lang w:val="pt-BR"/>
        </w:rPr>
      </w:pPr>
    </w:p>
    <w:p w14:paraId="4F630E74" w14:textId="77777777" w:rsidR="00BE08AB" w:rsidRPr="00D5464D" w:rsidRDefault="00BE08AB" w:rsidP="00BE08AB">
      <w:pPr>
        <w:tabs>
          <w:tab w:val="clear" w:pos="4419"/>
          <w:tab w:val="clear" w:pos="8838"/>
        </w:tabs>
        <w:jc w:val="both"/>
        <w:rPr>
          <w:rFonts w:eastAsia="Calibri" w:cs="Times New Roman"/>
          <w:szCs w:val="20"/>
          <w:lang w:val="pt-BR"/>
        </w:rPr>
      </w:pPr>
    </w:p>
    <w:p w14:paraId="262E4ED6" w14:textId="77777777" w:rsidR="00BE08AB" w:rsidRPr="00D5464D" w:rsidRDefault="00BE08AB" w:rsidP="00BE08AB">
      <w:pPr>
        <w:tabs>
          <w:tab w:val="clear" w:pos="4419"/>
          <w:tab w:val="clear" w:pos="8838"/>
        </w:tabs>
        <w:jc w:val="both"/>
        <w:rPr>
          <w:rFonts w:eastAsia="Calibri" w:cs="Times New Roman"/>
          <w:szCs w:val="20"/>
          <w:lang w:val="pt-BR"/>
        </w:rPr>
      </w:pPr>
    </w:p>
    <w:p w14:paraId="59932149" w14:textId="77777777" w:rsidR="00BE08AB" w:rsidRPr="00D5464D" w:rsidRDefault="00BE08AB" w:rsidP="00BE08AB">
      <w:pPr>
        <w:tabs>
          <w:tab w:val="clear" w:pos="4419"/>
          <w:tab w:val="clear" w:pos="8838"/>
        </w:tabs>
        <w:jc w:val="both"/>
        <w:rPr>
          <w:rFonts w:eastAsia="Calibri" w:cs="Times New Roman"/>
          <w:szCs w:val="20"/>
          <w:lang w:val="pt-BR"/>
        </w:rPr>
      </w:pPr>
    </w:p>
    <w:p w14:paraId="7C70DA89" w14:textId="77777777" w:rsidR="00BE08AB" w:rsidRPr="00D5464D" w:rsidRDefault="00BE08AB" w:rsidP="00BE08AB">
      <w:pPr>
        <w:tabs>
          <w:tab w:val="clear" w:pos="4419"/>
          <w:tab w:val="clear" w:pos="8838"/>
        </w:tabs>
        <w:jc w:val="both"/>
        <w:rPr>
          <w:rFonts w:eastAsia="Calibri" w:cs="Times New Roman"/>
          <w:szCs w:val="20"/>
          <w:lang w:val="pt-BR"/>
        </w:rPr>
      </w:pPr>
      <w:r w:rsidRPr="00D5464D">
        <w:rPr>
          <w:rFonts w:eastAsia="Calibri" w:cs="Times New Roman"/>
          <w:szCs w:val="20"/>
          <w:lang w:val="pt-BR"/>
        </w:rPr>
        <w:t>Pablo Saavedra Alessandri</w:t>
      </w:r>
    </w:p>
    <w:p w14:paraId="58B8E2F6" w14:textId="290F9188" w:rsidR="00FB456C" w:rsidRPr="00BE08AB" w:rsidRDefault="00BE08AB" w:rsidP="00BE08AB">
      <w:pPr>
        <w:tabs>
          <w:tab w:val="clear" w:pos="4419"/>
          <w:tab w:val="clear" w:pos="8838"/>
        </w:tabs>
        <w:jc w:val="both"/>
        <w:rPr>
          <w:rFonts w:eastAsia="Calibri" w:cs="Times New Roman"/>
          <w:szCs w:val="20"/>
        </w:rPr>
      </w:pPr>
      <w:r w:rsidRPr="00D5464D">
        <w:rPr>
          <w:rFonts w:eastAsia="Calibri" w:cs="Times New Roman"/>
          <w:szCs w:val="20"/>
          <w:lang w:val="pt-BR"/>
        </w:rPr>
        <w:tab/>
      </w:r>
      <w:r w:rsidRPr="00D5464D">
        <w:rPr>
          <w:rFonts w:eastAsia="Calibri" w:cs="Times New Roman"/>
          <w:szCs w:val="20"/>
        </w:rPr>
        <w:t>Secretário</w:t>
      </w:r>
    </w:p>
    <w:sectPr w:rsidR="00FB456C" w:rsidRPr="00BE08AB" w:rsidSect="00F16338">
      <w:footnotePr>
        <w:numRestart w:val="eachSect"/>
      </w:footnotePr>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FC73A" w14:textId="77777777" w:rsidR="00241CDD" w:rsidRDefault="00241CDD" w:rsidP="00BA1ACF">
      <w:r>
        <w:separator/>
      </w:r>
    </w:p>
  </w:endnote>
  <w:endnote w:type="continuationSeparator" w:id="0">
    <w:p w14:paraId="77250F09" w14:textId="77777777" w:rsidR="00241CDD" w:rsidRDefault="00241CDD" w:rsidP="00BA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Bold">
    <w:altName w:val="Verdana"/>
    <w:charset w:val="00"/>
    <w:family w:val="swiss"/>
    <w:pitch w:val="variable"/>
    <w:sig w:usb0="A10006FF" w:usb1="4000205B" w:usb2="00000010" w:usb3="00000000" w:csb0="0000019F" w:csb1="00000000"/>
  </w:font>
  <w:font w:name="18dgiyl">
    <w:panose1 w:val="00000000000000000000"/>
    <w:charset w:val="00"/>
    <w:family w:val="swiss"/>
    <w:notTrueType/>
    <w:pitch w:val="default"/>
    <w:sig w:usb0="00000003" w:usb1="00000000" w:usb2="00000000" w:usb3="00000000" w:csb0="00000001" w:csb1="00000000"/>
  </w:font>
  <w:font w:name="19efu">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02FF" w:usb1="5000785B" w:usb2="00000000" w:usb3="00000000" w:csb0="0000019F" w:csb1="00000000"/>
  </w:font>
  <w:font w:name="Vrinda">
    <w:panose1 w:val="00000400000000000000"/>
    <w:charset w:val="00"/>
    <w:family w:val="swiss"/>
    <w:pitch w:val="variable"/>
    <w:sig w:usb0="0001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System Font Regular">
    <w:charset w:val="00"/>
    <w:family w:val="auto"/>
    <w:pitch w:val="variable"/>
    <w:sig w:usb0="2000028F" w:usb1="00000003" w:usb2="00000000" w:usb3="00000000" w:csb0="0000019F" w:csb1="00000000"/>
  </w:font>
  <w:font w:name="Optima">
    <w:charset w:val="00"/>
    <w:family w:val="swiss"/>
    <w:pitch w:val="variable"/>
    <w:sig w:usb0="8000006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3155075"/>
      <w:docPartObj>
        <w:docPartGallery w:val="Page Numbers (Bottom of Page)"/>
        <w:docPartUnique/>
      </w:docPartObj>
    </w:sdtPr>
    <w:sdtEndPr>
      <w:rPr>
        <w:szCs w:val="20"/>
      </w:rPr>
    </w:sdtEndPr>
    <w:sdtContent>
      <w:p w14:paraId="287DC954" w14:textId="77777777" w:rsidR="00AF210B" w:rsidRPr="00A00142" w:rsidRDefault="00AF210B">
        <w:pPr>
          <w:pStyle w:val="Piedepgina"/>
          <w:jc w:val="center"/>
          <w:rPr>
            <w:szCs w:val="20"/>
          </w:rPr>
        </w:pPr>
        <w:r>
          <w:fldChar w:fldCharType="begin"/>
        </w:r>
        <w:r>
          <w:instrText>PAGE   \* MERGEFORMAT</w:instrText>
        </w:r>
        <w:r>
          <w:fldChar w:fldCharType="separate"/>
        </w:r>
        <w:r w:rsidR="00D5464D" w:rsidRPr="00D5464D">
          <w:rPr>
            <w:noProof/>
            <w:szCs w:val="20"/>
            <w:lang w:val="es-ES"/>
          </w:rPr>
          <w:t>72</w:t>
        </w:r>
        <w:r>
          <w:rPr>
            <w:noProof/>
            <w:szCs w:val="20"/>
            <w:lang w:val="es-ES"/>
          </w:rPr>
          <w:fldChar w:fldCharType="end"/>
        </w:r>
      </w:p>
    </w:sdtContent>
  </w:sdt>
  <w:p w14:paraId="7CA15C66" w14:textId="77777777" w:rsidR="00AF210B" w:rsidRDefault="00AF21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70C74" w14:textId="77777777" w:rsidR="00B86DAD" w:rsidRDefault="00F306D7" w:rsidP="00F6203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EF5A5FE" w14:textId="77777777" w:rsidR="00B86DAD" w:rsidRDefault="00241CD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18980" w14:textId="77777777" w:rsidR="00B86DAD" w:rsidRPr="007005DD" w:rsidRDefault="00F306D7" w:rsidP="00F6203A">
    <w:pPr>
      <w:pStyle w:val="Piedepgina"/>
      <w:framePr w:wrap="around" w:vAnchor="text" w:hAnchor="margin" w:xAlign="center" w:y="1"/>
      <w:rPr>
        <w:rStyle w:val="Nmerodepgina"/>
      </w:rPr>
    </w:pPr>
    <w:r w:rsidRPr="007005DD">
      <w:rPr>
        <w:rStyle w:val="Nmerodepgina"/>
      </w:rPr>
      <w:fldChar w:fldCharType="begin"/>
    </w:r>
    <w:r w:rsidRPr="007005DD">
      <w:rPr>
        <w:rStyle w:val="Nmerodepgina"/>
      </w:rPr>
      <w:instrText xml:space="preserve">PAGE  </w:instrText>
    </w:r>
    <w:r w:rsidRPr="007005DD">
      <w:rPr>
        <w:rStyle w:val="Nmerodepgina"/>
      </w:rPr>
      <w:fldChar w:fldCharType="separate"/>
    </w:r>
    <w:r w:rsidR="0047419B">
      <w:rPr>
        <w:rStyle w:val="Nmerodepgina"/>
        <w:noProof/>
      </w:rPr>
      <w:t>4</w:t>
    </w:r>
    <w:r w:rsidRPr="007005DD">
      <w:rPr>
        <w:rStyle w:val="Nmerodepgina"/>
      </w:rPr>
      <w:fldChar w:fldCharType="end"/>
    </w:r>
  </w:p>
  <w:p w14:paraId="3054E16C" w14:textId="77777777" w:rsidR="00B86DAD" w:rsidRDefault="00241C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D4F1C" w14:textId="77777777" w:rsidR="00241CDD" w:rsidRDefault="00241CDD" w:rsidP="00BA1ACF">
      <w:r>
        <w:separator/>
      </w:r>
    </w:p>
  </w:footnote>
  <w:footnote w:type="continuationSeparator" w:id="0">
    <w:p w14:paraId="7D1F93EE" w14:textId="77777777" w:rsidR="00241CDD" w:rsidRDefault="00241CDD" w:rsidP="00BA1ACF">
      <w:r>
        <w:continuationSeparator/>
      </w:r>
    </w:p>
  </w:footnote>
  <w:footnote w:id="1">
    <w:p w14:paraId="1CC32ABB" w14:textId="1C85FF6E"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 Juiz Roberto F. Caldas, de nacionalidade brasileira, não participou na deliberação da presente Sentença, de acordo com o disposto nos artigos 19.2 do Estatuto e 19.1 do Regulamento da Corte.</w:t>
      </w:r>
    </w:p>
  </w:footnote>
  <w:footnote w:id="2">
    <w:p w14:paraId="064AFF02" w14:textId="5598FE60" w:rsidR="00AF210B" w:rsidRPr="00D5464D" w:rsidRDefault="00AF210B" w:rsidP="002A0C2B">
      <w:pPr>
        <w:tabs>
          <w:tab w:val="clear" w:pos="4419"/>
          <w:tab w:val="clear" w:pos="8838"/>
          <w:tab w:val="right" w:pos="0"/>
          <w:tab w:val="left" w:pos="567"/>
        </w:tabs>
        <w:spacing w:after="20"/>
        <w:jc w:val="both"/>
        <w:rPr>
          <w:sz w:val="16"/>
          <w:szCs w:val="16"/>
          <w:lang w:val="pt-BR"/>
        </w:rPr>
      </w:pPr>
      <w:r w:rsidRPr="00D5464D">
        <w:rPr>
          <w:rStyle w:val="Refdenotaalpie"/>
          <w:sz w:val="16"/>
          <w:szCs w:val="16"/>
        </w:rPr>
        <w:footnoteRef/>
      </w:r>
      <w:r w:rsidRPr="00D5464D">
        <w:rPr>
          <w:sz w:val="16"/>
          <w:szCs w:val="16"/>
          <w:lang w:val="pt-BR" w:eastAsia="es-ES"/>
        </w:rPr>
        <w:t xml:space="preserve"> A Comissão Interamericana designou como delegados o Comissário Felipe González e o Secretário Executivo Emilio Álvarez Icaza L. e como assessores jurídicos Elizabeth Abi-Mershed, Secretária Executiva Adjunta e Silvia Serrano Guzmán, advogada da Secretária Executiva. </w:t>
      </w:r>
    </w:p>
  </w:footnote>
  <w:footnote w:id="3">
    <w:p w14:paraId="0625B69D" w14:textId="6B319F6B" w:rsidR="00AF210B" w:rsidRPr="00D5464D" w:rsidRDefault="00AF210B" w:rsidP="002A0C2B">
      <w:pPr>
        <w:tabs>
          <w:tab w:val="clear" w:pos="4419"/>
          <w:tab w:val="clear" w:pos="8838"/>
          <w:tab w:val="right" w:pos="0"/>
          <w:tab w:val="left" w:pos="567"/>
        </w:tabs>
        <w:spacing w:after="20"/>
        <w:jc w:val="both"/>
        <w:rPr>
          <w:sz w:val="16"/>
          <w:szCs w:val="16"/>
          <w:lang w:val="pt-BR"/>
        </w:rPr>
      </w:pPr>
      <w:r w:rsidRPr="00D5464D">
        <w:rPr>
          <w:rStyle w:val="Refdenotaalpie"/>
          <w:sz w:val="16"/>
          <w:szCs w:val="16"/>
        </w:rPr>
        <w:footnoteRef/>
      </w:r>
      <w:r w:rsidRPr="00D5464D">
        <w:rPr>
          <w:sz w:val="16"/>
          <w:szCs w:val="16"/>
          <w:lang w:val="pt-BR"/>
        </w:rPr>
        <w:t xml:space="preserve"> Dentro de tais ações e omissões se encontram: 1) a situação de trabalho forçado e servidão por dívidas análoga à escravidão a partir de 10 de dezembro de 1998, 2) as ações e omissões que levaram à situação de impunidade da totalidade dos fatos do caso. Esta situação de impunidade continuava vigente ao momento da aceitação de competência da Corte e continua vigente até a presente data, 3) Os desaparecimentos de Iron Canuto da Silva e Luis Ferreira da Cruz, os quais continuaram além da data de aceitação da competência da Corte. </w:t>
      </w:r>
    </w:p>
  </w:footnote>
  <w:footnote w:id="4">
    <w:p w14:paraId="6FDB5211" w14:textId="2C2F9A69"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Os representantes solicitaram à Corte que declarasse a responsabilidade internacional do Estado pela: 1) violação do dever de garantia da proibição de escravidão, servidão e tráfico de pessoas, contemplada no artigo 6 da Convenção, em relação aos direitos à personalidade jurídica, à integridade pessoal, à liberdade e segurança pessoal, à vida privada, à honra e dignidade e à circulação e residência, estabelecidos nos artigos 3, 5, 7, 11 e 22 da Convenção, em prejuízo das pessoas que se encontravam trabalhando na Fazenda Brasil Verde a partir da aceitação da competência contenciosa da Corte. Esta responsabilidade é agravada em virtude da violação do princípio de não discriminação e dos direitos da criança, estabelecidos nos artigos 1.1 e 19 do mesmo instrumento. 2) Violação dos direitos à proteção judicial e às garantias judiciais, estabelecidos nos artigos 25 e 8, em relação ao artigo 1.1 da Convenção, em prejuízo das pessoas que se encontravam trabalhando na Fazenda Brasil Verde a partir da aceitação da competência contenciosa da Corte. 3) Descumprimento do dever de garantia, em relação aos direitos à personalidade jurídica, à vida, à integridade e à liberdade pessoais de Luis Ferreira da Cruz, contemplados nos artigos 3, 4, 5 e 7 da Convenção, em conexão com os artigos 1.1, 8 e 25 do mesmo instrumento. 4) Violação dos direitos às garantias judiciais, à proteção judicial e à integridade pessoal dos familiares de Luis Ferreira da Cruz, contemplados nos artigos 8, 25 e 5 da Convenção, em relação ao artigo 1.1 do mesmo instrumento. 5) Violação continuada dos direitos às garantias judiciais e à proteção judicial, contemplados nos artigos 8 e 25 da Convenção, em prejuízo das pessoas que se encontravam trabalhando na Fazenda Brasil Verde antes de 1998. </w:t>
      </w:r>
    </w:p>
  </w:footnote>
  <w:footnote w:id="5">
    <w:p w14:paraId="4BE83662" w14:textId="5CAD551D"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Mediante escritos de 8 e 30 de junho e 10 de agosto de 2015, o Estado designou como Agentes Maria Dulce Silva Barros, Boni de Moraes Soares, Pedro Marcos de Castro Saldanha, João Guilherme Fernandes Maranhão, Rodrigo de Oliveira Morais, Luciana Peres, Fabiola de Nazaré Oliveira e Hélia Alves Girão. </w:t>
      </w:r>
    </w:p>
  </w:footnote>
  <w:footnote w:id="6">
    <w:p w14:paraId="267B3022" w14:textId="0C612191"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Resolução do Presidente da Corte de 11 de dezembro de 2015, disponível no seguinte link: </w:t>
      </w:r>
      <w:hyperlink r:id="rId1" w:history="1">
        <w:r w:rsidRPr="00D5464D">
          <w:rPr>
            <w:rStyle w:val="Hipervnculo"/>
            <w:lang w:val="pt-BR"/>
          </w:rPr>
          <w:t>http://www.corteidh.or.cr/docs/assuntos/trabalhadores_11_12_15.pdf</w:t>
        </w:r>
      </w:hyperlink>
      <w:r w:rsidRPr="00D5464D">
        <w:rPr>
          <w:lang w:val="pt-BR"/>
        </w:rPr>
        <w:t>.</w:t>
      </w:r>
    </w:p>
  </w:footnote>
  <w:footnote w:id="7">
    <w:p w14:paraId="5EF25CB8" w14:textId="229C2568"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Resolução da Corte de 15 de fevereiro de 2016, disponível no seguinte link: </w:t>
      </w:r>
      <w:hyperlink r:id="rId2" w:history="1">
        <w:r w:rsidRPr="00D5464D">
          <w:rPr>
            <w:rStyle w:val="Hipervnculo"/>
            <w:lang w:val="pt-BR"/>
          </w:rPr>
          <w:t>http://www.corteidh.or.cr/docs/assuntos/trabalhadores_15_02_16_por.pdf</w:t>
        </w:r>
      </w:hyperlink>
      <w:r w:rsidRPr="00D5464D">
        <w:rPr>
          <w:lang w:val="pt-BR"/>
        </w:rPr>
        <w:t>.</w:t>
      </w:r>
    </w:p>
  </w:footnote>
  <w:footnote w:id="8">
    <w:p w14:paraId="12DBECEB" w14:textId="5DBC78E7"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A esta audiência compareceram: a) pela Comissão Interamericana: </w:t>
      </w:r>
      <w:r w:rsidRPr="00D5464D">
        <w:rPr>
          <w:lang w:val="pt-BR" w:eastAsia="es-ES"/>
        </w:rPr>
        <w:t>Francisco Eguiguren Praeli</w:t>
      </w:r>
      <w:r w:rsidRPr="00D5464D">
        <w:rPr>
          <w:lang w:val="pt-BR"/>
        </w:rPr>
        <w:t xml:space="preserve">, Comissário e Silvia Serrano Guzmán, assessora da Secretaria Executiva; b) pelos representantes: </w:t>
      </w:r>
      <w:r w:rsidRPr="00D5464D">
        <w:rPr>
          <w:lang w:val="pt-BR" w:eastAsia="es-ES"/>
        </w:rPr>
        <w:t>Viviana Krsticevic, Helena de Souza Rocha, Beatriz Affonso, Elsa Meany, Xavier Plassat, Ricardo Rezende Figueira e Ana Batista de Souza</w:t>
      </w:r>
      <w:r w:rsidRPr="00D5464D">
        <w:rPr>
          <w:lang w:val="pt-BR"/>
        </w:rPr>
        <w:t xml:space="preserve"> e c) pelo Estado: </w:t>
      </w:r>
      <w:r w:rsidRPr="00D5464D">
        <w:rPr>
          <w:lang w:val="pt-BR" w:eastAsia="es-ES"/>
        </w:rPr>
        <w:t>Maria Dulce Silva Barros, Boni de Moraes Soares, João Guilherme Fernandes Maranhão, Luciana Peres, Hélida Alves Girão, Giordano da Silva Rosseto, Maria Cristina M. dos Anjos, Gustavo Guimarães, Nilma Lino Gomes, Cecilia Bizerra Souza e Claudio Fachel.</w:t>
      </w:r>
      <w:r w:rsidRPr="00D5464D">
        <w:rPr>
          <w:b/>
          <w:lang w:val="pt-BR" w:eastAsia="es-ES"/>
        </w:rPr>
        <w:t xml:space="preserve"> </w:t>
      </w:r>
    </w:p>
  </w:footnote>
  <w:footnote w:id="9">
    <w:p w14:paraId="51834051" w14:textId="601C9ADD"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lang w:val="pt-BR"/>
        </w:rPr>
        <w:tab/>
        <w:t xml:space="preserve">A respeito dos </w:t>
      </w:r>
      <w:r w:rsidRPr="00D5464D">
        <w:rPr>
          <w:i/>
          <w:lang w:val="pt-BR"/>
        </w:rPr>
        <w:t xml:space="preserve">amici curiae </w:t>
      </w:r>
      <w:r w:rsidRPr="00D5464D">
        <w:rPr>
          <w:lang w:val="pt-BR"/>
        </w:rPr>
        <w:t>apresentados, o Estado objetou que as traduções dos escritos</w:t>
      </w:r>
      <w:r w:rsidRPr="00D5464D">
        <w:rPr>
          <w:i/>
          <w:lang w:val="pt-BR"/>
        </w:rPr>
        <w:t xml:space="preserve"> </w:t>
      </w:r>
      <w:r w:rsidRPr="00D5464D">
        <w:rPr>
          <w:lang w:val="pt-BR"/>
        </w:rPr>
        <w:t>da</w:t>
      </w:r>
      <w:r w:rsidRPr="00D5464D">
        <w:rPr>
          <w:i/>
          <w:lang w:val="pt-BR"/>
        </w:rPr>
        <w:t xml:space="preserve"> </w:t>
      </w:r>
      <w:r w:rsidRPr="00D5464D">
        <w:rPr>
          <w:lang w:val="pt-BR"/>
        </w:rPr>
        <w:t xml:space="preserve">Universidade do Norte da Colômbia, do Instituto de Democracia e Direitos Humanos da Pontifícia Universidade Católica do Peru e da organização Human Rights in Practice não foram apresentadas dentro do prazo estabelecido para tal efeito e, em consequência, solicitou que fossem declarados inadmissíveis. Também argumentou que o </w:t>
      </w:r>
      <w:r w:rsidRPr="00D5464D">
        <w:rPr>
          <w:i/>
          <w:lang w:val="pt-BR"/>
        </w:rPr>
        <w:t>amicus curiae</w:t>
      </w:r>
      <w:r w:rsidRPr="00D5464D">
        <w:rPr>
          <w:lang w:val="pt-BR"/>
        </w:rPr>
        <w:t xml:space="preserve"> de Tara Melish, professora associada da State University of New York, faz referência expressa ao escrito de contestação do Estado, apesar de que este documento é de uso exclusivo das partes e da Corte Interamericana durante a tramitação do processo, em virtude do qual deve ser declarado inadmissível. A respeito disso, a Corte constatou que a tradução ao português do escrito da Universidade do Norte da Colômbia foi apresentada em 14 de março de 2016, enquanto a tradução dos escritos do Instituto de Democracia e Direitos Humanos da Pontifícia Universidade Católica do Peru e da organização Human Rights in Practice foram apresentadas em 17 de março de 2016. Portanto, a Corte não tomará em consideração os escritos apresentados em qualidade de </w:t>
      </w:r>
      <w:r w:rsidRPr="00D5464D">
        <w:rPr>
          <w:i/>
          <w:lang w:val="pt-BR"/>
        </w:rPr>
        <w:t>amici curiae</w:t>
      </w:r>
      <w:r w:rsidRPr="00D5464D">
        <w:rPr>
          <w:lang w:val="pt-BR"/>
        </w:rPr>
        <w:t xml:space="preserve"> do Instituto de Democracia e Direitos Humanos da Pontifícia Universidade Católica do Peru e da organização Human Rights in Practice, por terem sido apresentados de forma extemporânea. Sem prejuízo do anterior, o escrito da Universidade do Norte da Colômbia foi apresentado dentro do prazo concedido pela Corte. No tocante às objeções do Estado sobre o escrito apresentado pela senhora Tara Melish, a Corte faz notar que não tornou público o escrito de contestação do Estado do Brasil neste caso. Apesar disso, a Corte constata que este documento não possui um caráter reservado ou contem informação sensível que o Estado tenha solicitado que fosse submetida a reserva, de modo que não prospera o pedido de inadmissibilidade formulado pelo Estado.</w:t>
      </w:r>
    </w:p>
  </w:footnote>
  <w:footnote w:id="10">
    <w:p w14:paraId="1A1CA055" w14:textId="7E4F9926"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 escrito foi assinado por Valena Jacob Chaves Mesquita, </w:t>
      </w:r>
      <w:r w:rsidRPr="00D5464D">
        <w:rPr>
          <w:noProof/>
          <w:lang w:val="pt-BR"/>
        </w:rPr>
        <w:t xml:space="preserve">Cristina Figueiredo Terezo Ribeiro, Manoel Maurício Ramos Neto, Caio César Dias Santos, Raysa Antonia Alves Alves e Tamires da Silva Lima. </w:t>
      </w:r>
    </w:p>
  </w:footnote>
  <w:footnote w:id="11">
    <w:p w14:paraId="573F8FC1" w14:textId="12CE5D18"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 escrito foi assinado por Elizabeth Salmón Gárate, Cristina Branco Vizarreta, Alessandra Enrico Headrington e Adrián Língua Parra (expediente de prova, folha 1).</w:t>
      </w:r>
    </w:p>
  </w:footnote>
  <w:footnote w:id="12">
    <w:p w14:paraId="3C7AC5C4" w14:textId="5D013CC4"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 escrito foi assinado por Sharan Burrow. </w:t>
      </w:r>
    </w:p>
  </w:footnote>
  <w:footnote w:id="13">
    <w:p w14:paraId="4D01C433" w14:textId="760A5005"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 escrito foi assinado por Cindy Hawkins Rada, Maira Kleber Sierra, Shirlei Llain Arenilla, Andrea Alejandra Ariza Lascarro. </w:t>
      </w:r>
    </w:p>
  </w:footnote>
  <w:footnote w:id="14">
    <w:p w14:paraId="57D0A3C1" w14:textId="745925B3"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 escrito foi assinado por Hellen Duffy.</w:t>
      </w:r>
      <w:r w:rsidRPr="00D5464D">
        <w:rPr>
          <w:b/>
          <w:lang w:val="pt-BR"/>
        </w:rPr>
        <w:t xml:space="preserve"> </w:t>
      </w:r>
    </w:p>
  </w:footnote>
  <w:footnote w:id="15">
    <w:p w14:paraId="7A270B09" w14:textId="24EC971A"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 escrito foi assinado por Sheldon Leader e Anil Yilmaz-Vastardis. </w:t>
      </w:r>
    </w:p>
  </w:footnote>
  <w:footnote w:id="16">
    <w:p w14:paraId="46DF5600" w14:textId="5C93A02F" w:rsidR="00AF210B" w:rsidRPr="00D5464D" w:rsidRDefault="00AF210B" w:rsidP="002A0C2B">
      <w:pPr>
        <w:spacing w:after="20"/>
        <w:jc w:val="both"/>
        <w:rPr>
          <w:b/>
          <w:sz w:val="16"/>
          <w:szCs w:val="16"/>
          <w:lang w:val="pt-BR"/>
        </w:rPr>
      </w:pPr>
      <w:r w:rsidRPr="00D5464D">
        <w:rPr>
          <w:rStyle w:val="Refdenotaalpie"/>
          <w:sz w:val="16"/>
          <w:szCs w:val="16"/>
        </w:rPr>
        <w:footnoteRef/>
      </w:r>
      <w:r w:rsidRPr="00D5464D">
        <w:rPr>
          <w:sz w:val="16"/>
          <w:szCs w:val="16"/>
          <w:lang w:val="pt-BR"/>
        </w:rPr>
        <w:t xml:space="preserve"> </w:t>
      </w:r>
      <w:r w:rsidRPr="00D5464D">
        <w:rPr>
          <w:rStyle w:val="Textoennegrita"/>
          <w:b w:val="0"/>
          <w:color w:val="000000"/>
          <w:sz w:val="16"/>
          <w:szCs w:val="16"/>
          <w:shd w:val="clear" w:color="auto" w:fill="FFFFFF"/>
          <w:lang w:val="pt-BR"/>
        </w:rPr>
        <w:t xml:space="preserve">Resolução sobre Diligência </w:t>
      </w:r>
      <w:r w:rsidRPr="00D5464D">
        <w:rPr>
          <w:rStyle w:val="Textoennegrita"/>
          <w:b w:val="0"/>
          <w:i/>
          <w:color w:val="000000"/>
          <w:sz w:val="16"/>
          <w:szCs w:val="16"/>
          <w:shd w:val="clear" w:color="auto" w:fill="FFFFFF"/>
          <w:lang w:val="pt-BR"/>
        </w:rPr>
        <w:t>in situ</w:t>
      </w:r>
      <w:r w:rsidRPr="00D5464D">
        <w:rPr>
          <w:rStyle w:val="Textoennegrita"/>
          <w:b w:val="0"/>
          <w:color w:val="000000"/>
          <w:sz w:val="16"/>
          <w:szCs w:val="16"/>
          <w:shd w:val="clear" w:color="auto" w:fill="FFFFFF"/>
          <w:lang w:val="pt-BR"/>
        </w:rPr>
        <w:t xml:space="preserve"> de 23 de fevereiro de 2016, disponível no seguinte link: </w:t>
      </w:r>
      <w:hyperlink r:id="rId3" w:history="1">
        <w:r w:rsidRPr="00D5464D">
          <w:rPr>
            <w:rStyle w:val="Hipervnculo"/>
            <w:sz w:val="16"/>
            <w:szCs w:val="16"/>
            <w:shd w:val="clear" w:color="auto" w:fill="FFFFFF"/>
            <w:lang w:val="pt-BR"/>
          </w:rPr>
          <w:t>http://www.corteidh.or.cr/docs/assuntos/trabalhadores_23_02_16.pdf</w:t>
        </w:r>
      </w:hyperlink>
      <w:r w:rsidRPr="00D5464D">
        <w:rPr>
          <w:rStyle w:val="Textoennegrita"/>
          <w:b w:val="0"/>
          <w:color w:val="000000"/>
          <w:sz w:val="16"/>
          <w:szCs w:val="16"/>
          <w:shd w:val="clear" w:color="auto" w:fill="FFFFFF"/>
          <w:lang w:val="pt-BR"/>
        </w:rPr>
        <w:t>.</w:t>
      </w:r>
    </w:p>
  </w:footnote>
  <w:footnote w:id="17">
    <w:p w14:paraId="00F3100D" w14:textId="4F05D2BC"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A delegação do Tribunal que realizou a diligência </w:t>
      </w:r>
      <w:r w:rsidRPr="00D5464D">
        <w:rPr>
          <w:i/>
          <w:lang w:val="pt-BR"/>
        </w:rPr>
        <w:t>in situ</w:t>
      </w:r>
      <w:r w:rsidRPr="00D5464D">
        <w:rPr>
          <w:lang w:val="pt-BR"/>
        </w:rPr>
        <w:t xml:space="preserve"> esteve integrada pelos Juízes Eduardo Ferrer Mac-Gregor Poisot, Presidente em exercício para o presente caso, Eugenio Raul Zaffaroni e Patricio Pazmiño Freire; Pablo Saavedra Alessandri, Secretário da Corte e Carlos E. Gaio, Advogado da Secretaria da Corte. </w:t>
      </w:r>
    </w:p>
  </w:footnote>
  <w:footnote w:id="18">
    <w:p w14:paraId="07BB723B" w14:textId="155981D0" w:rsidR="00AF210B" w:rsidRPr="00D5464D" w:rsidRDefault="00AF210B" w:rsidP="002A0C2B">
      <w:pPr>
        <w:tabs>
          <w:tab w:val="clear" w:pos="4419"/>
          <w:tab w:val="clear" w:pos="8838"/>
          <w:tab w:val="right" w:pos="0"/>
        </w:tabs>
        <w:spacing w:after="20"/>
        <w:jc w:val="both"/>
        <w:rPr>
          <w:sz w:val="16"/>
          <w:szCs w:val="16"/>
          <w:lang w:val="pt-BR"/>
        </w:rPr>
      </w:pPr>
      <w:r w:rsidRPr="00D5464D">
        <w:rPr>
          <w:rStyle w:val="Refdenotaalpie"/>
          <w:sz w:val="16"/>
          <w:szCs w:val="16"/>
        </w:rPr>
        <w:footnoteRef/>
      </w:r>
      <w:r w:rsidRPr="00D5464D">
        <w:rPr>
          <w:sz w:val="16"/>
          <w:szCs w:val="16"/>
          <w:lang w:val="pt-BR"/>
        </w:rPr>
        <w:t xml:space="preserve"> </w:t>
      </w:r>
      <w:r w:rsidRPr="00D5464D">
        <w:rPr>
          <w:i/>
          <w:sz w:val="16"/>
          <w:szCs w:val="16"/>
          <w:lang w:val="pt-BR"/>
        </w:rPr>
        <w:t>Cf. Caso Cepeda Vargas Vs. Colômbia. Exceções Preliminares, Mérito, Reparações e Custas.</w:t>
      </w:r>
      <w:r w:rsidRPr="00D5464D">
        <w:rPr>
          <w:sz w:val="16"/>
          <w:szCs w:val="16"/>
          <w:lang w:val="pt-BR"/>
        </w:rPr>
        <w:t xml:space="preserve"> Sentença de 26 de maio de 2010, Série C Nº 213, par. 35 e </w:t>
      </w:r>
      <w:r w:rsidRPr="00D5464D">
        <w:rPr>
          <w:rStyle w:val="Textoennegrita"/>
          <w:b w:val="0"/>
          <w:i/>
          <w:color w:val="000000"/>
          <w:sz w:val="16"/>
          <w:shd w:val="clear" w:color="auto" w:fill="FFFFFF"/>
          <w:lang w:val="pt-BR"/>
        </w:rPr>
        <w:t>Caso Maldonado Ordoñez Vs. Guatemala. Exceção Preliminar, Mérito, Reparações e Custas</w:t>
      </w:r>
      <w:r w:rsidRPr="00D5464D">
        <w:rPr>
          <w:rStyle w:val="Textoennegrita"/>
          <w:b w:val="0"/>
          <w:color w:val="000000"/>
          <w:sz w:val="16"/>
          <w:shd w:val="clear" w:color="auto" w:fill="FFFFFF"/>
          <w:lang w:val="pt-BR"/>
        </w:rPr>
        <w:t>. Sentença de 3 de maio de 2016. Série C Nº 311, par. 20.</w:t>
      </w:r>
    </w:p>
  </w:footnote>
  <w:footnote w:id="19">
    <w:p w14:paraId="3D19FB0E" w14:textId="1495B20E" w:rsidR="00AF210B" w:rsidRPr="00D5464D" w:rsidRDefault="00AF210B" w:rsidP="002A0C2B">
      <w:pPr>
        <w:tabs>
          <w:tab w:val="clear" w:pos="4419"/>
          <w:tab w:val="clear" w:pos="8838"/>
          <w:tab w:val="right" w:pos="0"/>
        </w:tabs>
        <w:spacing w:after="20"/>
        <w:jc w:val="both"/>
        <w:rPr>
          <w:sz w:val="16"/>
          <w:szCs w:val="16"/>
          <w:lang w:val="pt-BR"/>
        </w:rPr>
      </w:pPr>
      <w:r w:rsidRPr="00D5464D">
        <w:rPr>
          <w:rStyle w:val="Refdenotaalpie"/>
          <w:sz w:val="16"/>
          <w:szCs w:val="16"/>
        </w:rPr>
        <w:footnoteRef/>
      </w:r>
      <w:r w:rsidRPr="00D5464D">
        <w:rPr>
          <w:sz w:val="16"/>
          <w:szCs w:val="16"/>
          <w:lang w:val="es-ES"/>
        </w:rPr>
        <w:t xml:space="preserve"> </w:t>
      </w:r>
      <w:r w:rsidRPr="00D5464D">
        <w:rPr>
          <w:i/>
          <w:sz w:val="16"/>
          <w:szCs w:val="16"/>
          <w:lang w:val="es-ES"/>
        </w:rPr>
        <w:t xml:space="preserve">Cf. </w:t>
      </w:r>
      <w:r w:rsidRPr="00D5464D">
        <w:rPr>
          <w:i/>
          <w:iCs/>
          <w:sz w:val="16"/>
          <w:szCs w:val="16"/>
          <w:lang w:val="es-ES" w:eastAsia="es-ES_tradnl"/>
        </w:rPr>
        <w:t xml:space="preserve">Caso Las Palmeras Vs. </w:t>
      </w:r>
      <w:r w:rsidRPr="00D5464D">
        <w:rPr>
          <w:i/>
          <w:iCs/>
          <w:sz w:val="16"/>
          <w:szCs w:val="16"/>
          <w:lang w:val="pt-BR" w:eastAsia="es-ES_tradnl"/>
        </w:rPr>
        <w:t>Colômbia. Exceções Preliminares.</w:t>
      </w:r>
      <w:r w:rsidRPr="00D5464D">
        <w:rPr>
          <w:iCs/>
          <w:sz w:val="16"/>
          <w:szCs w:val="16"/>
          <w:lang w:val="pt-BR" w:eastAsia="es-ES_tradnl"/>
        </w:rPr>
        <w:t xml:space="preserve"> </w:t>
      </w:r>
      <w:r w:rsidRPr="00D5464D">
        <w:rPr>
          <w:sz w:val="16"/>
          <w:szCs w:val="16"/>
          <w:lang w:val="pt-BR" w:eastAsia="es-ES_tradnl"/>
        </w:rPr>
        <w:t xml:space="preserve">Sentença de 4 de fevereiro de 2000, Série C Nº 67, par. 34 e </w:t>
      </w:r>
      <w:r w:rsidRPr="00D5464D">
        <w:rPr>
          <w:rStyle w:val="Textoennegrita"/>
          <w:b w:val="0"/>
          <w:i/>
          <w:color w:val="000000"/>
          <w:sz w:val="16"/>
          <w:szCs w:val="16"/>
          <w:shd w:val="clear" w:color="auto" w:fill="FFFFFF"/>
          <w:lang w:val="pt-BR"/>
        </w:rPr>
        <w:t xml:space="preserve">Caso </w:t>
      </w:r>
      <w:r w:rsidRPr="00D5464D">
        <w:rPr>
          <w:rStyle w:val="Textoennegrita"/>
          <w:b w:val="0"/>
          <w:i/>
          <w:color w:val="000000"/>
          <w:sz w:val="16"/>
          <w:shd w:val="clear" w:color="auto" w:fill="FFFFFF"/>
          <w:lang w:val="pt-BR"/>
        </w:rPr>
        <w:t>Maldonado Ordoñez</w:t>
      </w:r>
      <w:r w:rsidRPr="00D5464D">
        <w:rPr>
          <w:rStyle w:val="Textoennegrita"/>
          <w:b w:val="0"/>
          <w:i/>
          <w:color w:val="000000"/>
          <w:sz w:val="16"/>
          <w:szCs w:val="16"/>
          <w:shd w:val="clear" w:color="auto" w:fill="FFFFFF"/>
          <w:lang w:val="pt-BR"/>
        </w:rPr>
        <w:t xml:space="preserve">, </w:t>
      </w:r>
      <w:r w:rsidRPr="00D5464D">
        <w:rPr>
          <w:rStyle w:val="Textoennegrita"/>
          <w:b w:val="0"/>
          <w:color w:val="000000"/>
          <w:sz w:val="16"/>
          <w:szCs w:val="16"/>
          <w:shd w:val="clear" w:color="auto" w:fill="FFFFFF"/>
          <w:lang w:val="pt-BR"/>
        </w:rPr>
        <w:t>par. 20.</w:t>
      </w:r>
    </w:p>
  </w:footnote>
  <w:footnote w:id="20">
    <w:p w14:paraId="28C12137" w14:textId="3C953070" w:rsidR="00AF210B" w:rsidRPr="00D5464D" w:rsidRDefault="00AF210B" w:rsidP="002A0C2B">
      <w:pPr>
        <w:tabs>
          <w:tab w:val="clear" w:pos="4419"/>
          <w:tab w:val="clear" w:pos="8838"/>
          <w:tab w:val="right" w:pos="0"/>
        </w:tabs>
        <w:spacing w:after="20"/>
        <w:jc w:val="both"/>
        <w:rPr>
          <w:sz w:val="16"/>
          <w:szCs w:val="16"/>
          <w:lang w:val="pt-BR"/>
        </w:rPr>
      </w:pPr>
      <w:r w:rsidRPr="00D5464D">
        <w:rPr>
          <w:rStyle w:val="Refdenotaalpie"/>
          <w:sz w:val="16"/>
          <w:szCs w:val="16"/>
        </w:rPr>
        <w:footnoteRef/>
      </w:r>
      <w:r w:rsidRPr="00D5464D">
        <w:rPr>
          <w:sz w:val="16"/>
          <w:szCs w:val="16"/>
          <w:lang w:val="pt-BR"/>
        </w:rPr>
        <w:t xml:space="preserve"> </w:t>
      </w:r>
      <w:r w:rsidRPr="00D5464D">
        <w:rPr>
          <w:i/>
          <w:sz w:val="16"/>
          <w:szCs w:val="16"/>
          <w:lang w:val="pt-BR"/>
        </w:rPr>
        <w:t xml:space="preserve">Cf. </w:t>
      </w:r>
      <w:r w:rsidRPr="00D5464D">
        <w:rPr>
          <w:rFonts w:eastAsia="Times New Roman" w:cs="Times New Roman"/>
          <w:i/>
          <w:sz w:val="16"/>
          <w:szCs w:val="16"/>
          <w:lang w:val="pt-BR" w:eastAsia="es-ES"/>
        </w:rPr>
        <w:t>Certas atribuições da Comissão Interamericana de Direitos Humanos (arts. 41, 42, 44, 46, 47, 50 e 51 da Convenção Americana sobre Direitos Humanos),</w:t>
      </w:r>
      <w:r w:rsidRPr="00D5464D">
        <w:rPr>
          <w:rFonts w:eastAsia="Times New Roman" w:cs="Times New Roman"/>
          <w:sz w:val="16"/>
          <w:szCs w:val="16"/>
          <w:lang w:val="pt-BR" w:eastAsia="es-ES"/>
        </w:rPr>
        <w:t xml:space="preserve"> </w:t>
      </w:r>
      <w:r w:rsidRPr="00D5464D">
        <w:rPr>
          <w:rFonts w:cs="Times New Roman"/>
          <w:noProof/>
          <w:sz w:val="16"/>
          <w:szCs w:val="16"/>
          <w:lang w:val="pt-BR"/>
        </w:rPr>
        <w:t>Parecer Consultivo OC-13/93,</w:t>
      </w:r>
      <w:r w:rsidRPr="00D5464D">
        <w:rPr>
          <w:rFonts w:eastAsia="Times New Roman" w:cs="Times New Roman"/>
          <w:sz w:val="16"/>
          <w:szCs w:val="16"/>
          <w:lang w:val="pt-BR" w:eastAsia="es-ES"/>
        </w:rPr>
        <w:t xml:space="preserve"> de </w:t>
      </w:r>
      <w:r w:rsidRPr="00D5464D">
        <w:rPr>
          <w:rFonts w:cs="Times New Roman"/>
          <w:noProof/>
          <w:sz w:val="16"/>
          <w:szCs w:val="16"/>
          <w:lang w:val="pt-BR"/>
        </w:rPr>
        <w:t xml:space="preserve">16 de julho de 1993, par. </w:t>
      </w:r>
      <w:r w:rsidRPr="00D5464D">
        <w:rPr>
          <w:rFonts w:eastAsia="Times New Roman" w:cs="Times New Roman"/>
          <w:sz w:val="16"/>
          <w:szCs w:val="16"/>
          <w:lang w:val="pt-BR" w:eastAsia="es-ES"/>
        </w:rPr>
        <w:t>53.</w:t>
      </w:r>
      <w:r w:rsidRPr="00D5464D">
        <w:rPr>
          <w:rFonts w:cs="Times New Roman"/>
          <w:noProof/>
          <w:sz w:val="16"/>
          <w:szCs w:val="16"/>
          <w:lang w:val="pt-BR"/>
        </w:rPr>
        <w:t xml:space="preserve"> </w:t>
      </w:r>
    </w:p>
  </w:footnote>
  <w:footnote w:id="21">
    <w:p w14:paraId="142403F7" w14:textId="3159B526"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rFonts w:eastAsia="Times New Roman" w:cs="Times New Roman"/>
          <w:i/>
          <w:lang w:val="pt-BR" w:eastAsia="es-ES"/>
        </w:rPr>
        <w:t>Certas atribuições da Comissão Interamericana de Direitos Humanos</w:t>
      </w:r>
      <w:r w:rsidRPr="00D5464D">
        <w:rPr>
          <w:noProof/>
          <w:lang w:val="pt-BR"/>
        </w:rPr>
        <w:t>,</w:t>
      </w:r>
      <w:r w:rsidRPr="00D5464D">
        <w:rPr>
          <w:lang w:val="pt-BR"/>
        </w:rPr>
        <w:t xml:space="preserve"> par. 48.</w:t>
      </w:r>
    </w:p>
  </w:footnote>
  <w:footnote w:id="22">
    <w:p w14:paraId="44B8CB0F" w14:textId="36DEE440"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rFonts w:eastAsia="Times New Roman" w:cs="Times New Roman"/>
          <w:i/>
          <w:lang w:val="pt-BR" w:eastAsia="es-ES"/>
        </w:rPr>
        <w:t>Certas atribuições da Comissão Interamericana de Direitos Humanos</w:t>
      </w:r>
      <w:r w:rsidRPr="00D5464D">
        <w:rPr>
          <w:noProof/>
          <w:lang w:val="pt-BR"/>
        </w:rPr>
        <w:t>,</w:t>
      </w:r>
      <w:r w:rsidRPr="00D5464D">
        <w:rPr>
          <w:lang w:val="pt-BR"/>
        </w:rPr>
        <w:t xml:space="preserve"> par. 50.</w:t>
      </w:r>
    </w:p>
  </w:footnote>
  <w:footnote w:id="23">
    <w:p w14:paraId="0052DE5D" w14:textId="524ACF22"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1. Alfredo Rodrigues, 2. Antônio Bento da Silva, 3. Antônio Damas Filho, 4. Antônio Fernandes Costa, 5. Antônio Francisco da Silva, 6. Antônio Ivaldo Rodrigues da Silva, 7. Carlito Bastos Gonçalves, 8. Carlos Ferreira Lopes, 9. Erimar Lima da Silva, 10. Firmino da Silva, 11. Francisco Mariano da Silva, 12. Francisco das Chagas Bastos Sousa, 13. Francisco das Chagas Cardoso Carvalho, 14. Francisco das Chagas Diogo, 15. Francisco de Assis Felix, 16. Francisco de Assis Pereira da Silva, 17. Francisco de Sousa Brígido, 18. Francisco Fabiano Leandro, 19. Francisco Ferreira da Silva, 20. Francisco Teodoro Diogo, 21. Gonçalo Constancio da Silva, 22. Gonçalo Firmino de Sousa, 23. José Cordeiro Ramos, 24. José Francisco Furtado de Sousa, 25. José Leandro da Silva, 26. Luiz Sicinato de Menezes, 27. Marcos Antônio Lima, 28. Pedro Fernandes da Silva, 29. Raimundo de Sousa Leandro, 30. Raimundo Nonato da Silva, 31. Roberto Alves Nascimento, 32. Rogério Felix Silva e 33. Vicentina Maria da Conceição.</w:t>
      </w:r>
    </w:p>
  </w:footnote>
  <w:footnote w:id="24">
    <w:p w14:paraId="06293615" w14:textId="1AF9342E"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1. Firmino da Silva (supostamente falecido e representado por sua suposta esposa Maria da Silva Santos); Gonçalo Constâncio da Silva (supostamente falecido e representado por sua suposta esposa Lucilene Alves da Silva) e José Cordeiro Ramos (supostamente falecido e representado por sua esposa Elizete Mendes Lima).</w:t>
      </w:r>
      <w:r w:rsidRPr="00D5464D">
        <w:rPr>
          <w:b/>
          <w:lang w:val="pt-BR"/>
        </w:rPr>
        <w:t xml:space="preserve"> </w:t>
      </w:r>
    </w:p>
  </w:footnote>
  <w:footnote w:id="25">
    <w:p w14:paraId="760C821E" w14:textId="6553809B"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1. Antônio Bento da Silva, 2. Antônio Francisco da Silva, 3. Carlos Ferreira Lopes, 4. Firmino da Silva, 5. Francisco das Chagas Bastos Souza, 6. Francisco das Chagas Cardoso Carvalho, 7. Francisco Fabiano Leandro, 8. Francisco Ferreira da Silva, 9. Francisco Mariano da Silva, 10. Gonçalo Firmino de Souza, 11. Raimundo Nonato da Silva e 12. Vicentina Maria da Conceição.</w:t>
      </w:r>
    </w:p>
  </w:footnote>
  <w:footnote w:id="26">
    <w:p w14:paraId="58E8B3D7" w14:textId="4F79A77A"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essas pessoas seriam 1. Alfredo Rodrigues, 2. Antônio Damas Filho, 3. Antônio Fernandes Costa, 4. Antônio Ivaldo Rodrigues da Silva, 5. Carlito Bastos Gonçalves, 6. Erimar Lima da Silva, 7. Francisco das Chagas Diogo, 8. Francisco de Assis Felix, 9. Francisco de Assis Pereira da Silva, 10. Francisco de Sousa Brígido, 11. Francisco Teodoro Diogo, 12. José Leandro da Silva, 13. Luiz Sicinato de Menezes, 14. Marcos Antônio Lima, 15. Pedro Fernandes da Silva, 16. Raimundo de Sousa Leandro, 17. Roberto Alves Nascimento e 18. Rogerio Felix Silva.</w:t>
      </w:r>
    </w:p>
  </w:footnote>
  <w:footnote w:id="27">
    <w:p w14:paraId="72482B39" w14:textId="216EF970" w:rsidR="00AF210B" w:rsidRPr="00D5464D" w:rsidRDefault="00AF210B" w:rsidP="002A0C2B">
      <w:pPr>
        <w:tabs>
          <w:tab w:val="clear" w:pos="4419"/>
          <w:tab w:val="clear" w:pos="8838"/>
          <w:tab w:val="right" w:pos="0"/>
        </w:tabs>
        <w:autoSpaceDE w:val="0"/>
        <w:autoSpaceDN w:val="0"/>
        <w:adjustRightInd w:val="0"/>
        <w:spacing w:after="20"/>
        <w:jc w:val="both"/>
        <w:rPr>
          <w:sz w:val="16"/>
          <w:szCs w:val="16"/>
          <w:lang w:val="pt-BR"/>
        </w:rPr>
      </w:pPr>
      <w:r w:rsidRPr="00D5464D">
        <w:rPr>
          <w:rStyle w:val="Refdenotaalpie"/>
          <w:sz w:val="16"/>
          <w:szCs w:val="16"/>
        </w:rPr>
        <w:footnoteRef/>
      </w:r>
      <w:r w:rsidRPr="00D5464D">
        <w:rPr>
          <w:sz w:val="16"/>
          <w:szCs w:val="16"/>
          <w:lang w:val="pt-BR"/>
        </w:rPr>
        <w:t xml:space="preserve"> </w:t>
      </w:r>
      <w:r w:rsidRPr="00D5464D">
        <w:rPr>
          <w:i/>
          <w:sz w:val="16"/>
          <w:szCs w:val="16"/>
          <w:lang w:val="pt-BR"/>
        </w:rPr>
        <w:t xml:space="preserve">Cf. </w:t>
      </w:r>
      <w:r w:rsidRPr="00D5464D">
        <w:rPr>
          <w:rStyle w:val="Textoennegrita"/>
          <w:b w:val="0"/>
          <w:i/>
          <w:color w:val="000000"/>
          <w:sz w:val="16"/>
          <w:shd w:val="clear" w:color="auto" w:fill="FFFFFF"/>
          <w:lang w:val="pt-BR"/>
        </w:rPr>
        <w:t>Caso do Massacre Plan de Sánchez Vs. Guatemala. Mérito</w:t>
      </w:r>
      <w:r w:rsidRPr="00D5464D">
        <w:rPr>
          <w:rStyle w:val="Textoennegrita"/>
          <w:b w:val="0"/>
          <w:color w:val="000000"/>
          <w:sz w:val="16"/>
          <w:shd w:val="clear" w:color="auto" w:fill="FFFFFF"/>
          <w:lang w:val="pt-BR"/>
        </w:rPr>
        <w:t xml:space="preserve">. Sentença de 29 de abril de 2004. Série C Nº 105, par. 48 e </w:t>
      </w:r>
      <w:r w:rsidRPr="00D5464D">
        <w:rPr>
          <w:i/>
          <w:sz w:val="16"/>
          <w:szCs w:val="16"/>
          <w:lang w:val="pt-BR"/>
        </w:rPr>
        <w:t xml:space="preserve">Caso dos Massacres de Ituango Vs. Colômbia. </w:t>
      </w:r>
      <w:r w:rsidRPr="00D5464D">
        <w:rPr>
          <w:sz w:val="16"/>
          <w:szCs w:val="16"/>
          <w:lang w:val="pt-BR"/>
        </w:rPr>
        <w:t>Sentença de 1º de julho de 2006, Série C Nº 148, par. 91</w:t>
      </w:r>
      <w:r w:rsidRPr="00D5464D">
        <w:rPr>
          <w:rFonts w:cs="Verdana"/>
          <w:sz w:val="16"/>
          <w:szCs w:val="16"/>
          <w:lang w:val="pt-BR"/>
        </w:rPr>
        <w:t>.</w:t>
      </w:r>
    </w:p>
  </w:footnote>
  <w:footnote w:id="28">
    <w:p w14:paraId="55AF2E08" w14:textId="7DB08999"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Cf. Caso dos Massacres de El Mozote e lugares vizinhos Vs. El Salvador. Mérito, Reparações e Custas</w:t>
      </w:r>
      <w:r w:rsidRPr="00D5464D">
        <w:rPr>
          <w:lang w:val="pt-BR"/>
        </w:rPr>
        <w:t xml:space="preserve">. Sentença de 25 de outubro de 2012, Série C Nº 252, par. 51. </w:t>
      </w:r>
    </w:p>
  </w:footnote>
  <w:footnote w:id="29">
    <w:p w14:paraId="3C85BA5B" w14:textId="4DDF1F1F"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rStyle w:val="Textoennegrita"/>
          <w:b w:val="0"/>
          <w:i/>
          <w:color w:val="000000"/>
          <w:shd w:val="clear" w:color="auto" w:fill="FFFFFF"/>
          <w:lang w:val="pt-BR"/>
        </w:rPr>
        <w:t>Caso dos Massacres de Rio Negro Vs. Guatemala. Exceção Preliminar, Mérito, Reparações e Custas</w:t>
      </w:r>
      <w:r w:rsidRPr="00D5464D">
        <w:rPr>
          <w:rStyle w:val="Textoennegrita"/>
          <w:b w:val="0"/>
          <w:color w:val="000000"/>
          <w:shd w:val="clear" w:color="auto" w:fill="FFFFFF"/>
          <w:lang w:val="pt-BR"/>
        </w:rPr>
        <w:t xml:space="preserve">. Sentença de 4 de setembro de 2012. Série C Nº 250, par. 48 e </w:t>
      </w:r>
      <w:r w:rsidRPr="00D5464D">
        <w:rPr>
          <w:rStyle w:val="Textoennegrita"/>
          <w:b w:val="0"/>
          <w:i/>
          <w:color w:val="000000"/>
          <w:shd w:val="clear" w:color="auto" w:fill="FFFFFF"/>
          <w:lang w:val="pt-BR"/>
        </w:rPr>
        <w:t>Caso dos Massacres de El Mozote e lugares vizinhos</w:t>
      </w:r>
      <w:r w:rsidRPr="00D5464D">
        <w:rPr>
          <w:rStyle w:val="Textoennegrita"/>
          <w:b w:val="0"/>
          <w:color w:val="000000"/>
          <w:shd w:val="clear" w:color="auto" w:fill="FFFFFF"/>
          <w:lang w:val="pt-BR"/>
        </w:rPr>
        <w:t>, par. 50.</w:t>
      </w:r>
    </w:p>
  </w:footnote>
  <w:footnote w:id="30">
    <w:p w14:paraId="714AF98A" w14:textId="430A98EC" w:rsidR="00AF210B" w:rsidRPr="00D5464D" w:rsidRDefault="00AF210B" w:rsidP="002A0C2B">
      <w:pPr>
        <w:pStyle w:val="Textonotapie"/>
        <w:tabs>
          <w:tab w:val="left" w:pos="567"/>
        </w:tabs>
        <w:spacing w:after="20"/>
        <w:rPr>
          <w:lang w:val="pt-BR"/>
        </w:rPr>
      </w:pPr>
      <w:r w:rsidRPr="00D5464D">
        <w:rPr>
          <w:rStyle w:val="Refdenotaalpie"/>
          <w:szCs w:val="16"/>
          <w:lang w:val="es-PR"/>
        </w:rPr>
        <w:footnoteRef/>
      </w:r>
      <w:r w:rsidRPr="00D5464D">
        <w:rPr>
          <w:lang w:val="pt-BR"/>
        </w:rPr>
        <w:t xml:space="preserve"> Cabe destacar que a Corte aplicou o artigo 35.2 de seu regulamento nos seguintes casos: </w:t>
      </w:r>
      <w:r w:rsidRPr="00D5464D">
        <w:rPr>
          <w:i/>
          <w:lang w:val="pt-BR"/>
        </w:rPr>
        <w:t>Caso dos Massacres de Rio Negro Vs. Guatemala</w:t>
      </w:r>
      <w:r w:rsidRPr="00D5464D">
        <w:rPr>
          <w:lang w:val="pt-BR"/>
        </w:rPr>
        <w:t xml:space="preserve">; </w:t>
      </w:r>
      <w:r w:rsidRPr="00D5464D">
        <w:rPr>
          <w:i/>
          <w:lang w:val="pt-BR"/>
        </w:rPr>
        <w:t>Caso Nadege Dorzema e outros Vs. República Dominicana. Mérito Reparações e Custas.</w:t>
      </w:r>
      <w:r w:rsidRPr="00D5464D">
        <w:rPr>
          <w:lang w:val="pt-BR"/>
        </w:rPr>
        <w:t xml:space="preserve"> Sentença de 24 de outubro de 2012. Série C Nº 251; </w:t>
      </w:r>
      <w:r w:rsidRPr="00D5464D">
        <w:rPr>
          <w:i/>
          <w:lang w:val="pt-BR"/>
        </w:rPr>
        <w:t>Caso dos Massacres de El Mozote e lugares vizinhos Vs. El Salvador;</w:t>
      </w:r>
      <w:r w:rsidRPr="00D5464D">
        <w:rPr>
          <w:lang w:val="pt-BR"/>
        </w:rPr>
        <w:t xml:space="preserve"> </w:t>
      </w:r>
      <w:r w:rsidRPr="00D5464D">
        <w:rPr>
          <w:i/>
          <w:lang w:val="pt-BR"/>
        </w:rPr>
        <w:t>Caso das Comunidades Afrodescendentes Deslocadas da Bacia do Rio Cacarica (Operação Génesis) Vs. Colômbia. Exceções Preliminares, Mérito, Reparações e Custas.</w:t>
      </w:r>
      <w:r w:rsidRPr="00D5464D">
        <w:rPr>
          <w:lang w:val="pt-BR"/>
        </w:rPr>
        <w:t xml:space="preserve"> Sentença de 20 de novembro de 2013. Série C Nº 270 e </w:t>
      </w:r>
      <w:r w:rsidRPr="00D5464D">
        <w:rPr>
          <w:rStyle w:val="Textoennegrita"/>
          <w:b w:val="0"/>
          <w:i/>
          <w:color w:val="000000"/>
          <w:shd w:val="clear" w:color="auto" w:fill="FFFFFF"/>
          <w:lang w:val="pt-BR"/>
        </w:rPr>
        <w:t>Caso Comunidade Camponesa de Santa Bárbara Vs. Peru. Exceções Preliminares, Mérito, Reparações e Custas</w:t>
      </w:r>
      <w:r w:rsidRPr="00D5464D">
        <w:rPr>
          <w:rStyle w:val="Textoennegrita"/>
          <w:b w:val="0"/>
          <w:color w:val="000000"/>
          <w:shd w:val="clear" w:color="auto" w:fill="FFFFFF"/>
          <w:lang w:val="pt-BR"/>
        </w:rPr>
        <w:t>. Sentença de 1º de setembro de 2015. Série C Nº 299</w:t>
      </w:r>
      <w:r w:rsidRPr="00D5464D">
        <w:rPr>
          <w:lang w:val="pt-BR"/>
        </w:rPr>
        <w:t xml:space="preserve">. Além disso, rejeitou sua aplicação nos seguintes casos: </w:t>
      </w:r>
      <w:r w:rsidRPr="00D5464D">
        <w:rPr>
          <w:i/>
          <w:lang w:val="pt-BR"/>
        </w:rPr>
        <w:t>Caso Barbani Duarte e Outros Vs. Uruguai. Mérito, Reparações e Custas.</w:t>
      </w:r>
      <w:r w:rsidRPr="00D5464D">
        <w:rPr>
          <w:lang w:val="pt-BR"/>
        </w:rPr>
        <w:t xml:space="preserve"> Sentença de 13 de outubro de 2011. Série C Nº 234; </w:t>
      </w:r>
      <w:r w:rsidRPr="00D5464D">
        <w:rPr>
          <w:i/>
          <w:lang w:val="pt-BR"/>
        </w:rPr>
        <w:t>Caso Defensor de Direitos Humanos e outros Vs. Guatemala. Exceções Preliminares, Mérito, Reparações e Custas.</w:t>
      </w:r>
      <w:r w:rsidRPr="00D5464D">
        <w:rPr>
          <w:lang w:val="pt-BR"/>
        </w:rPr>
        <w:t xml:space="preserve"> Sentença de 28 de agosto de 2014. Série C Nº 283; </w:t>
      </w:r>
      <w:r w:rsidRPr="00D5464D">
        <w:rPr>
          <w:i/>
          <w:lang w:val="pt-BR"/>
        </w:rPr>
        <w:t>Caso García e Familiares Vs. Guatemala. Mérito Reparações e Custas.</w:t>
      </w:r>
      <w:r w:rsidRPr="00D5464D">
        <w:rPr>
          <w:lang w:val="pt-BR"/>
        </w:rPr>
        <w:t xml:space="preserve"> Sentença de 29 de novembro de 2012. Série C Nº 258; </w:t>
      </w:r>
      <w:r w:rsidRPr="00D5464D">
        <w:rPr>
          <w:i/>
          <w:lang w:val="pt-BR"/>
        </w:rPr>
        <w:t>Caso Suárez Peralta Vs. Equador. Exceções Preliminares, Mérito, Reparações e Custas.</w:t>
      </w:r>
      <w:r w:rsidRPr="00D5464D">
        <w:rPr>
          <w:lang w:val="pt-BR"/>
        </w:rPr>
        <w:t xml:space="preserve"> Sentença de 21 de maio de 2013. Série C Nº 261; </w:t>
      </w:r>
      <w:r w:rsidRPr="00D5464D">
        <w:rPr>
          <w:i/>
          <w:lang w:val="pt-BR"/>
        </w:rPr>
        <w:t>Caso J. Vs. Peru. Exceção Preliminar, Mérito, Reparações e Custas</w:t>
      </w:r>
      <w:r w:rsidRPr="00D5464D">
        <w:rPr>
          <w:lang w:val="pt-BR"/>
        </w:rPr>
        <w:t xml:space="preserve">. Sentença de 27 de novembro de 2013. Série C Nº 275; </w:t>
      </w:r>
      <w:r w:rsidRPr="00D5464D">
        <w:rPr>
          <w:i/>
          <w:lang w:val="pt-BR"/>
        </w:rPr>
        <w:t>Caso Rochac Hernández e outros Vs. El Salvador. Mérito, Reparações e Custas.</w:t>
      </w:r>
      <w:r w:rsidRPr="00D5464D">
        <w:rPr>
          <w:lang w:val="pt-BR"/>
        </w:rPr>
        <w:t xml:space="preserve"> Sentença de 14 de outubro de 2014. Série C Nº 285 e </w:t>
      </w:r>
      <w:r w:rsidRPr="00D5464D">
        <w:rPr>
          <w:i/>
          <w:lang w:val="pt-BR"/>
        </w:rPr>
        <w:t>Caso Argüelles e outros Vs. Argentina. Exceções Preliminares, Mérito, Reparações e Custas</w:t>
      </w:r>
      <w:r w:rsidRPr="00D5464D">
        <w:rPr>
          <w:lang w:val="pt-BR"/>
        </w:rPr>
        <w:t>. Sentença de 20 de novembro de 2014. Série C Nº 288.</w:t>
      </w:r>
    </w:p>
  </w:footnote>
  <w:footnote w:id="31">
    <w:p w14:paraId="64542415" w14:textId="01B907D0" w:rsidR="00AF210B" w:rsidRPr="00D5464D" w:rsidRDefault="00AF210B" w:rsidP="002A0C2B">
      <w:pPr>
        <w:pStyle w:val="Textonotapie"/>
        <w:tabs>
          <w:tab w:val="left" w:pos="567"/>
        </w:tabs>
        <w:spacing w:after="20"/>
        <w:rPr>
          <w:lang w:val="pt-BR"/>
        </w:rPr>
      </w:pPr>
      <w:r w:rsidRPr="00D5464D">
        <w:rPr>
          <w:rStyle w:val="Refdenotaalpie"/>
          <w:szCs w:val="16"/>
          <w:lang w:val="es-PR"/>
        </w:rPr>
        <w:footnoteRef/>
      </w:r>
      <w:r w:rsidRPr="00D5464D">
        <w:rPr>
          <w:lang w:val="pt-BR"/>
        </w:rPr>
        <w:t xml:space="preserve"> </w:t>
      </w:r>
      <w:r w:rsidRPr="00D5464D">
        <w:rPr>
          <w:i/>
          <w:lang w:val="pt-BR"/>
        </w:rPr>
        <w:t xml:space="preserve">Cf. Caso dos Massacres de Rio Negro, </w:t>
      </w:r>
      <w:r w:rsidRPr="00D5464D">
        <w:rPr>
          <w:lang w:val="pt-BR"/>
        </w:rPr>
        <w:t xml:space="preserve">par. 48 e </w:t>
      </w:r>
      <w:r w:rsidRPr="00D5464D">
        <w:rPr>
          <w:i/>
          <w:lang w:val="pt-BR"/>
        </w:rPr>
        <w:t xml:space="preserve">Caso das Comunidades Afrodescendentes Deslocadas da Bacia do Rio Cacarica (Operação Génesis), </w:t>
      </w:r>
      <w:r w:rsidRPr="00D5464D">
        <w:rPr>
          <w:lang w:val="pt-BR"/>
        </w:rPr>
        <w:t>par. 41.</w:t>
      </w:r>
    </w:p>
  </w:footnote>
  <w:footnote w:id="32">
    <w:p w14:paraId="0AF92AB3" w14:textId="2756982B" w:rsidR="00AF210B" w:rsidRPr="00D5464D" w:rsidRDefault="00AF210B" w:rsidP="002A0C2B">
      <w:pPr>
        <w:pStyle w:val="Textonotapie"/>
        <w:tabs>
          <w:tab w:val="left" w:pos="567"/>
        </w:tabs>
        <w:spacing w:after="20"/>
        <w:rPr>
          <w:lang w:val="pt-BR"/>
        </w:rPr>
      </w:pPr>
      <w:r w:rsidRPr="00D5464D">
        <w:rPr>
          <w:rStyle w:val="Refdenotaalpie"/>
          <w:szCs w:val="16"/>
          <w:lang w:val="es-PR"/>
        </w:rPr>
        <w:footnoteRef/>
      </w:r>
      <w:r w:rsidRPr="00D5464D">
        <w:rPr>
          <w:lang w:val="pt-BR"/>
        </w:rPr>
        <w:t xml:space="preserve"> </w:t>
      </w:r>
      <w:r w:rsidRPr="00D5464D">
        <w:rPr>
          <w:i/>
          <w:lang w:val="pt-BR"/>
        </w:rPr>
        <w:t xml:space="preserve">Cf. Caso Nadege Dorzema e outros, </w:t>
      </w:r>
      <w:r w:rsidRPr="00D5464D">
        <w:rPr>
          <w:lang w:val="pt-BR"/>
        </w:rPr>
        <w:t xml:space="preserve">par. 30 e </w:t>
      </w:r>
      <w:r w:rsidRPr="00D5464D">
        <w:rPr>
          <w:i/>
          <w:lang w:val="pt-BR"/>
        </w:rPr>
        <w:t xml:space="preserve">Caso das Comunidades Afrodescendentes Deslocadas da Bacia do Rio Cacarica (Operação Génesis), </w:t>
      </w:r>
      <w:r w:rsidRPr="00D5464D">
        <w:rPr>
          <w:lang w:val="pt-BR"/>
        </w:rPr>
        <w:t>par. 41.</w:t>
      </w:r>
    </w:p>
  </w:footnote>
  <w:footnote w:id="33">
    <w:p w14:paraId="13E7CC2D" w14:textId="008048B0" w:rsidR="00AF210B" w:rsidRPr="00D5464D" w:rsidRDefault="00AF210B" w:rsidP="002A0C2B">
      <w:pPr>
        <w:pStyle w:val="Textonotapie"/>
        <w:tabs>
          <w:tab w:val="left" w:pos="567"/>
        </w:tabs>
        <w:spacing w:after="20"/>
        <w:rPr>
          <w:lang w:val="pt-BR"/>
        </w:rPr>
      </w:pPr>
      <w:r w:rsidRPr="00D5464D">
        <w:rPr>
          <w:rStyle w:val="Refdenotaalpie"/>
          <w:szCs w:val="16"/>
          <w:lang w:val="es-PR"/>
        </w:rPr>
        <w:footnoteRef/>
      </w:r>
      <w:r w:rsidRPr="00D5464D">
        <w:rPr>
          <w:lang w:val="pt-BR"/>
        </w:rPr>
        <w:t xml:space="preserve"> </w:t>
      </w:r>
      <w:r w:rsidRPr="00D5464D">
        <w:rPr>
          <w:i/>
          <w:lang w:val="pt-BR"/>
        </w:rPr>
        <w:t xml:space="preserve">Cf. Caso dos Massacres de El Mozote e lugares vizinhos, </w:t>
      </w:r>
      <w:r w:rsidRPr="00D5464D">
        <w:rPr>
          <w:lang w:val="pt-BR"/>
        </w:rPr>
        <w:t xml:space="preserve">par. 30. </w:t>
      </w:r>
    </w:p>
  </w:footnote>
  <w:footnote w:id="34">
    <w:p w14:paraId="3E90A833" w14:textId="54C5AF87" w:rsidR="00AF210B" w:rsidRPr="00D5464D" w:rsidRDefault="00AF210B" w:rsidP="002A0C2B">
      <w:pPr>
        <w:pStyle w:val="Textonotapie"/>
        <w:tabs>
          <w:tab w:val="left" w:pos="567"/>
        </w:tabs>
        <w:spacing w:after="20"/>
        <w:rPr>
          <w:lang w:val="pt-BR"/>
        </w:rPr>
      </w:pPr>
      <w:r w:rsidRPr="00D5464D">
        <w:rPr>
          <w:rStyle w:val="Refdenotaalpie"/>
          <w:szCs w:val="16"/>
          <w:lang w:val="es-PR"/>
        </w:rPr>
        <w:footnoteRef/>
      </w:r>
      <w:r w:rsidRPr="00D5464D">
        <w:rPr>
          <w:lang w:val="pt-BR"/>
        </w:rPr>
        <w:t xml:space="preserve"> </w:t>
      </w:r>
      <w:r w:rsidRPr="00D5464D">
        <w:rPr>
          <w:i/>
          <w:lang w:val="pt-BR"/>
        </w:rPr>
        <w:t xml:space="preserve">Cf. Caso dos Massacres de Rio Negro, </w:t>
      </w:r>
      <w:r w:rsidRPr="00D5464D">
        <w:rPr>
          <w:lang w:val="pt-BR"/>
        </w:rPr>
        <w:t xml:space="preserve">par. 48. </w:t>
      </w:r>
    </w:p>
  </w:footnote>
  <w:footnote w:id="35">
    <w:p w14:paraId="4E917BCD" w14:textId="27E599C6" w:rsidR="00AF210B" w:rsidRPr="00D5464D" w:rsidRDefault="00AF210B" w:rsidP="002A0C2B">
      <w:pPr>
        <w:pStyle w:val="Textonotapie"/>
        <w:tabs>
          <w:tab w:val="left" w:pos="567"/>
        </w:tabs>
        <w:spacing w:after="20"/>
        <w:rPr>
          <w:lang w:val="pt-BR"/>
        </w:rPr>
      </w:pPr>
      <w:r w:rsidRPr="00D5464D">
        <w:rPr>
          <w:rStyle w:val="Refdenotaalpie"/>
          <w:szCs w:val="16"/>
          <w:lang w:val="es-PR"/>
        </w:rPr>
        <w:footnoteRef/>
      </w:r>
      <w:r w:rsidRPr="00D5464D">
        <w:rPr>
          <w:lang w:val="pt-BR"/>
        </w:rPr>
        <w:t xml:space="preserve"> </w:t>
      </w:r>
      <w:r w:rsidRPr="00D5464D">
        <w:rPr>
          <w:i/>
          <w:lang w:val="pt-BR"/>
        </w:rPr>
        <w:t xml:space="preserve">Cf. Caso das Comunidades Afrodescendentes Deslocadas da Bacia do Rio Cacarica (Operação Génesis), </w:t>
      </w:r>
      <w:r w:rsidRPr="00D5464D">
        <w:rPr>
          <w:lang w:val="pt-BR"/>
        </w:rPr>
        <w:t>par. 41.</w:t>
      </w:r>
    </w:p>
  </w:footnote>
  <w:footnote w:id="36">
    <w:p w14:paraId="3E47480E" w14:textId="02E34C4F" w:rsidR="00AF210B" w:rsidRPr="00D5464D" w:rsidRDefault="00AF210B" w:rsidP="002A0C2B">
      <w:pPr>
        <w:pStyle w:val="Textonotapie"/>
        <w:tabs>
          <w:tab w:val="left" w:pos="567"/>
        </w:tabs>
        <w:spacing w:after="20"/>
        <w:rPr>
          <w:lang w:val="pt-BR"/>
        </w:rPr>
      </w:pPr>
      <w:r w:rsidRPr="00D5464D">
        <w:rPr>
          <w:rStyle w:val="Refdenotaalpie"/>
          <w:szCs w:val="16"/>
          <w:lang w:val="es-PR"/>
        </w:rPr>
        <w:footnoteRef/>
      </w:r>
      <w:r w:rsidRPr="00D5464D">
        <w:rPr>
          <w:lang w:val="pt-BR"/>
        </w:rPr>
        <w:t xml:space="preserve"> </w:t>
      </w:r>
      <w:r w:rsidRPr="00D5464D">
        <w:rPr>
          <w:i/>
          <w:lang w:val="pt-BR"/>
        </w:rPr>
        <w:t xml:space="preserve">Cf. Caso dos Massacres de El Mozote e lugares vizinhos, </w:t>
      </w:r>
      <w:r w:rsidRPr="00D5464D">
        <w:rPr>
          <w:lang w:val="pt-BR"/>
        </w:rPr>
        <w:t xml:space="preserve">par. 30 e </w:t>
      </w:r>
      <w:r w:rsidRPr="00D5464D">
        <w:rPr>
          <w:i/>
          <w:lang w:val="pt-BR"/>
        </w:rPr>
        <w:t xml:space="preserve">Caso dos Massacres de Rio Negro, </w:t>
      </w:r>
      <w:r w:rsidRPr="00D5464D">
        <w:rPr>
          <w:lang w:val="pt-BR"/>
        </w:rPr>
        <w:t>par. 48.</w:t>
      </w:r>
    </w:p>
  </w:footnote>
  <w:footnote w:id="37">
    <w:p w14:paraId="4FA42018" w14:textId="5DFE2A2D" w:rsidR="00AF210B" w:rsidRPr="00D5464D" w:rsidRDefault="00AF210B" w:rsidP="002A0C2B">
      <w:pPr>
        <w:pStyle w:val="Textonotapie"/>
        <w:tabs>
          <w:tab w:val="left" w:pos="567"/>
        </w:tabs>
        <w:spacing w:after="20"/>
        <w:rPr>
          <w:lang w:val="pt-BR"/>
        </w:rPr>
      </w:pPr>
      <w:r w:rsidRPr="00D5464D">
        <w:rPr>
          <w:rStyle w:val="Refdenotaalpie"/>
          <w:szCs w:val="16"/>
          <w:lang w:val="es-PR"/>
        </w:rPr>
        <w:footnoteRef/>
      </w:r>
      <w:r w:rsidRPr="00D5464D">
        <w:rPr>
          <w:lang w:val="pt-BR"/>
        </w:rPr>
        <w:t xml:space="preserve"> </w:t>
      </w:r>
      <w:r w:rsidRPr="00D5464D">
        <w:rPr>
          <w:i/>
          <w:lang w:val="pt-BR"/>
        </w:rPr>
        <w:t xml:space="preserve">Cf. Caso dos Massacres de Rio Negro, </w:t>
      </w:r>
      <w:r w:rsidRPr="00D5464D">
        <w:rPr>
          <w:lang w:val="pt-BR"/>
        </w:rPr>
        <w:t xml:space="preserve">par. 51 e </w:t>
      </w:r>
      <w:r w:rsidRPr="00D5464D">
        <w:rPr>
          <w:i/>
          <w:lang w:val="pt-BR"/>
        </w:rPr>
        <w:t xml:space="preserve">Caso das Comunidades Afrodescendentes Deslocadas da Bacia do Rio Cacarica (Operação Génesis), </w:t>
      </w:r>
      <w:r w:rsidRPr="00D5464D">
        <w:rPr>
          <w:lang w:val="pt-BR"/>
        </w:rPr>
        <w:t>par. 41.</w:t>
      </w:r>
    </w:p>
  </w:footnote>
  <w:footnote w:id="38">
    <w:p w14:paraId="66701ED8" w14:textId="181D6B3A" w:rsidR="00AF210B" w:rsidRPr="00D5464D" w:rsidRDefault="00AF210B" w:rsidP="002A0C2B">
      <w:pPr>
        <w:pStyle w:val="Textonotapie"/>
        <w:tabs>
          <w:tab w:val="left" w:pos="567"/>
        </w:tabs>
        <w:spacing w:after="20"/>
        <w:rPr>
          <w:lang w:val="pt-BR"/>
        </w:rPr>
      </w:pPr>
      <w:r w:rsidRPr="00D5464D">
        <w:rPr>
          <w:rStyle w:val="Refdenotaalpie"/>
          <w:szCs w:val="16"/>
          <w:lang w:val="es-PR"/>
        </w:rPr>
        <w:footnoteRef/>
      </w:r>
      <w:r w:rsidRPr="00D5464D">
        <w:rPr>
          <w:lang w:val="pt-BR"/>
        </w:rPr>
        <w:t xml:space="preserve"> </w:t>
      </w:r>
      <w:r w:rsidRPr="00D5464D">
        <w:rPr>
          <w:i/>
          <w:lang w:val="pt-BR"/>
        </w:rPr>
        <w:t xml:space="preserve">Cf. Caso dos Massacres de Rio Negro, </w:t>
      </w:r>
      <w:r w:rsidRPr="00D5464D">
        <w:rPr>
          <w:lang w:val="pt-BR"/>
        </w:rPr>
        <w:t>par. 48.</w:t>
      </w:r>
    </w:p>
  </w:footnote>
  <w:footnote w:id="39">
    <w:p w14:paraId="765C3469" w14:textId="33BE06DC" w:rsidR="00AF210B" w:rsidRPr="00D5464D" w:rsidRDefault="00AF210B" w:rsidP="002A0C2B">
      <w:pPr>
        <w:pStyle w:val="Textonotapie"/>
        <w:tabs>
          <w:tab w:val="left" w:pos="567"/>
        </w:tabs>
        <w:spacing w:after="20"/>
        <w:rPr>
          <w:lang w:val="pt-BR"/>
        </w:rPr>
      </w:pPr>
      <w:r w:rsidRPr="00D5464D">
        <w:rPr>
          <w:rStyle w:val="Refdenotaalpie"/>
          <w:szCs w:val="16"/>
          <w:lang w:val="es-PR"/>
        </w:rPr>
        <w:footnoteRef/>
      </w:r>
      <w:r w:rsidRPr="00D5464D">
        <w:rPr>
          <w:lang w:val="pt-BR"/>
        </w:rPr>
        <w:t xml:space="preserve"> </w:t>
      </w:r>
      <w:r w:rsidRPr="00D5464D">
        <w:rPr>
          <w:i/>
          <w:lang w:val="pt-BR"/>
        </w:rPr>
        <w:t xml:space="preserve">Cf. Caso Nadege Dorzema e outros, </w:t>
      </w:r>
      <w:r w:rsidRPr="00D5464D">
        <w:rPr>
          <w:lang w:val="pt-BR"/>
        </w:rPr>
        <w:t>par. 30.</w:t>
      </w:r>
    </w:p>
  </w:footnote>
  <w:footnote w:id="40">
    <w:p w14:paraId="4A538838" w14:textId="254427B8" w:rsidR="00AF210B" w:rsidRPr="00D5464D" w:rsidRDefault="00AF210B" w:rsidP="002A0C2B">
      <w:pPr>
        <w:pStyle w:val="Textonotapie"/>
        <w:tabs>
          <w:tab w:val="left" w:pos="567"/>
        </w:tabs>
        <w:spacing w:after="20"/>
        <w:rPr>
          <w:lang w:val="pt-BR"/>
        </w:rPr>
      </w:pPr>
      <w:r w:rsidRPr="00D5464D">
        <w:rPr>
          <w:rStyle w:val="Refdenotaalpie"/>
          <w:szCs w:val="16"/>
          <w:lang w:val="es-PR"/>
        </w:rPr>
        <w:footnoteRef/>
      </w:r>
      <w:r w:rsidRPr="00D5464D">
        <w:rPr>
          <w:lang w:val="pt-BR"/>
        </w:rPr>
        <w:t xml:space="preserve"> </w:t>
      </w:r>
      <w:r w:rsidRPr="00D5464D">
        <w:rPr>
          <w:i/>
          <w:lang w:val="pt-BR"/>
        </w:rPr>
        <w:t xml:space="preserve">Cf. Caso dos Massacres de Rio Negro, </w:t>
      </w:r>
      <w:r w:rsidRPr="00D5464D">
        <w:rPr>
          <w:lang w:val="pt-BR"/>
        </w:rPr>
        <w:t xml:space="preserve">par. 48 e </w:t>
      </w:r>
      <w:r w:rsidRPr="00D5464D">
        <w:rPr>
          <w:i/>
          <w:lang w:val="pt-BR"/>
        </w:rPr>
        <w:t xml:space="preserve">Caso dos Massacres de El Mozote e lugares vizinhos, </w:t>
      </w:r>
      <w:r w:rsidRPr="00D5464D">
        <w:rPr>
          <w:lang w:val="pt-BR"/>
        </w:rPr>
        <w:t>par. 50.</w:t>
      </w:r>
    </w:p>
  </w:footnote>
  <w:footnote w:id="41">
    <w:p w14:paraId="019DB1BA" w14:textId="210FD595" w:rsidR="00AF210B" w:rsidRPr="00D5464D" w:rsidRDefault="00AF210B" w:rsidP="002A0C2B">
      <w:pPr>
        <w:tabs>
          <w:tab w:val="clear" w:pos="4419"/>
          <w:tab w:val="clear" w:pos="8838"/>
          <w:tab w:val="right" w:pos="0"/>
        </w:tabs>
        <w:spacing w:after="20"/>
        <w:jc w:val="both"/>
        <w:rPr>
          <w:sz w:val="16"/>
          <w:szCs w:val="16"/>
          <w:lang w:val="pt-BR"/>
        </w:rPr>
      </w:pPr>
      <w:r w:rsidRPr="00D5464D">
        <w:rPr>
          <w:sz w:val="16"/>
          <w:szCs w:val="16"/>
          <w:vertAlign w:val="superscript"/>
        </w:rPr>
        <w:footnoteRef/>
      </w:r>
      <w:r w:rsidRPr="00D5464D">
        <w:rPr>
          <w:sz w:val="16"/>
          <w:szCs w:val="16"/>
          <w:vertAlign w:val="superscript"/>
          <w:lang w:val="pt-BR"/>
        </w:rPr>
        <w:t xml:space="preserve"> </w:t>
      </w:r>
      <w:r w:rsidRPr="00D5464D">
        <w:rPr>
          <w:i/>
          <w:sz w:val="16"/>
          <w:szCs w:val="16"/>
          <w:lang w:val="pt-BR"/>
        </w:rPr>
        <w:t xml:space="preserve">Cf. Caso Ticona Estrada e outros Vs. Bolívia. Mérito, Reparações e Custas. </w:t>
      </w:r>
      <w:r w:rsidRPr="00D5464D">
        <w:rPr>
          <w:sz w:val="16"/>
          <w:szCs w:val="16"/>
          <w:lang w:val="pt-BR"/>
        </w:rPr>
        <w:t xml:space="preserve">Sentença de 27 de novembro de 2008. Série C Nº 191, par. 110 e </w:t>
      </w:r>
      <w:r w:rsidRPr="00D5464D">
        <w:rPr>
          <w:bCs/>
          <w:i/>
          <w:sz w:val="16"/>
          <w:szCs w:val="16"/>
          <w:lang w:val="pt-BR"/>
        </w:rPr>
        <w:t xml:space="preserve">Caso López Lone e outros Vs. Honduras. </w:t>
      </w:r>
      <w:r w:rsidRPr="00D5464D">
        <w:rPr>
          <w:rStyle w:val="Textoennegrita"/>
          <w:b w:val="0"/>
          <w:i/>
          <w:color w:val="000000"/>
          <w:sz w:val="16"/>
          <w:shd w:val="clear" w:color="auto" w:fill="FFFFFF"/>
          <w:lang w:val="pt-BR"/>
        </w:rPr>
        <w:t>Exceção Preliminar, Mérito, Reparações e Custas</w:t>
      </w:r>
      <w:r w:rsidRPr="00D5464D">
        <w:rPr>
          <w:rStyle w:val="Textoennegrita"/>
          <w:b w:val="0"/>
          <w:color w:val="000000"/>
          <w:sz w:val="16"/>
          <w:shd w:val="clear" w:color="auto" w:fill="FFFFFF"/>
          <w:lang w:val="pt-BR"/>
        </w:rPr>
        <w:t>. Sentença de 05 de outubro de 2015. Série C Nº 302</w:t>
      </w:r>
      <w:r w:rsidRPr="00D5464D">
        <w:rPr>
          <w:i/>
          <w:sz w:val="16"/>
          <w:szCs w:val="16"/>
          <w:lang w:val="pt-BR"/>
        </w:rPr>
        <w:t xml:space="preserve">, </w:t>
      </w:r>
      <w:r w:rsidRPr="00D5464D">
        <w:rPr>
          <w:sz w:val="16"/>
          <w:szCs w:val="16"/>
          <w:lang w:val="pt-BR"/>
        </w:rPr>
        <w:t>par. 288.</w:t>
      </w:r>
    </w:p>
  </w:footnote>
  <w:footnote w:id="42">
    <w:p w14:paraId="19B7D6D5" w14:textId="3C573FCE"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rStyle w:val="Textoennegrita"/>
          <w:b w:val="0"/>
          <w:i/>
          <w:color w:val="000000"/>
          <w:shd w:val="clear" w:color="auto" w:fill="FFFFFF"/>
          <w:lang w:val="pt-BR"/>
        </w:rPr>
        <w:t>Caso Velásquez Rodríguez Vs. Honduras. Exceções Preliminares</w:t>
      </w:r>
      <w:r w:rsidRPr="00D5464D">
        <w:rPr>
          <w:rStyle w:val="Textoennegrita"/>
          <w:b w:val="0"/>
          <w:color w:val="000000"/>
          <w:shd w:val="clear" w:color="auto" w:fill="FFFFFF"/>
          <w:lang w:val="pt-BR"/>
        </w:rPr>
        <w:t xml:space="preserve">. Sentença de 26 de junho de 1987. Série C Nº 1, par. 96 e </w:t>
      </w:r>
      <w:r w:rsidRPr="00D5464D">
        <w:rPr>
          <w:i/>
          <w:lang w:val="pt-BR"/>
        </w:rPr>
        <w:t>Caso Quispialaya Vilcapoma Vs. Peru. Exceções preliminares, Mérito e Reparações e Custas</w:t>
      </w:r>
      <w:r w:rsidRPr="00D5464D">
        <w:rPr>
          <w:lang w:val="pt-BR"/>
        </w:rPr>
        <w:t>. Sentença de 23 de novembro de 2015, Série C Nº 308, pars. 30 e 32</w:t>
      </w:r>
      <w:r w:rsidRPr="00D5464D">
        <w:rPr>
          <w:rStyle w:val="Textoennegrita"/>
          <w:b w:val="0"/>
          <w:lang w:val="pt-BR"/>
        </w:rPr>
        <w:t>.</w:t>
      </w:r>
    </w:p>
  </w:footnote>
  <w:footnote w:id="43">
    <w:p w14:paraId="3CB96DF1" w14:textId="6168EDE2" w:rsidR="00AF210B" w:rsidRPr="00D5464D" w:rsidRDefault="00AF210B" w:rsidP="002A0C2B">
      <w:pPr>
        <w:pStyle w:val="Textonotapie"/>
        <w:tabs>
          <w:tab w:val="left" w:pos="720"/>
        </w:tabs>
        <w:spacing w:after="20"/>
        <w:rPr>
          <w:rFonts w:cs="Times New Roman"/>
          <w:lang w:val="pt-BR"/>
        </w:rPr>
      </w:pPr>
      <w:r w:rsidRPr="00D5464D">
        <w:rPr>
          <w:rStyle w:val="Refdenotaalpie"/>
          <w:szCs w:val="16"/>
        </w:rPr>
        <w:footnoteRef/>
      </w:r>
      <w:r w:rsidRPr="00D5464D">
        <w:rPr>
          <w:lang w:val="pt-BR"/>
        </w:rPr>
        <w:t xml:space="preserve"> O reconhecimento de competência feito pelo Brasil em 10 de dezembro de 1998 salienta que “[o] Governo da República Federativa do Brasil declara que reconhece, por tempo indeterminado, como obrigatória e de pleno direito, a competência da Corte Interamericana de Direitos Humanos, em todos os casos relacionados com a interpretação ou aplicação da Convenção Americana [sobre] Direitos Humanos, em conformidade com o artigo 62 dessa mesma Convenção, sob reserva de reciprocidade e para fatos posteriores a esta declaração". </w:t>
      </w:r>
      <w:r w:rsidRPr="00D5464D">
        <w:rPr>
          <w:i/>
          <w:lang w:val="pt-BR"/>
        </w:rPr>
        <w:t xml:space="preserve">Cf. </w:t>
      </w:r>
      <w:r w:rsidRPr="00D5464D">
        <w:rPr>
          <w:lang w:val="pt-BR"/>
        </w:rPr>
        <w:t xml:space="preserve">Informação geral do Tratado: Convenção Americana sobre Direitos Humanos. Brasil, reconhecimento de competência. Disponível em </w:t>
      </w:r>
      <w:hyperlink r:id="rId4" w:history="1">
        <w:r w:rsidRPr="00D5464D">
          <w:rPr>
            <w:rStyle w:val="Hipervnculo"/>
            <w:lang w:val="pt-BR"/>
          </w:rPr>
          <w:t>http://www.oas.org/juridico/spanish/firmas/b-32.html</w:t>
        </w:r>
      </w:hyperlink>
      <w:r w:rsidRPr="00D5464D">
        <w:rPr>
          <w:rFonts w:cs="Times New Roman"/>
          <w:lang w:val="pt-BR"/>
        </w:rPr>
        <w:t>; último acesso em 10 de outubro de 2016.</w:t>
      </w:r>
    </w:p>
  </w:footnote>
  <w:footnote w:id="44">
    <w:p w14:paraId="30BB7D3F" w14:textId="12126B96" w:rsidR="00AF210B" w:rsidRPr="00D5464D" w:rsidRDefault="00AF210B" w:rsidP="002A0C2B">
      <w:pPr>
        <w:pStyle w:val="Textonotapie"/>
        <w:tabs>
          <w:tab w:val="left" w:pos="360"/>
          <w:tab w:val="left" w:pos="720"/>
        </w:tabs>
        <w:spacing w:after="20"/>
        <w:rPr>
          <w:lang w:val="pt-BR"/>
        </w:rPr>
      </w:pPr>
      <w:r w:rsidRPr="00D5464D">
        <w:rPr>
          <w:rStyle w:val="Refdenotaalpie"/>
          <w:szCs w:val="16"/>
        </w:rPr>
        <w:footnoteRef/>
      </w:r>
      <w:r w:rsidRPr="00D5464D">
        <w:rPr>
          <w:lang w:val="pt-BR"/>
        </w:rPr>
        <w:t xml:space="preserve"> </w:t>
      </w:r>
      <w:r w:rsidRPr="00D5464D">
        <w:rPr>
          <w:i/>
          <w:lang w:val="pt-BR"/>
        </w:rPr>
        <w:t>Cf. Caso Gomes Lund e outros (“Guerrilha do Araguaia”) Vs. Brasil</w:t>
      </w:r>
      <w:r w:rsidRPr="00D5464D">
        <w:rPr>
          <w:lang w:val="pt-BR"/>
        </w:rPr>
        <w:t xml:space="preserve">. </w:t>
      </w:r>
      <w:r w:rsidRPr="00D5464D">
        <w:rPr>
          <w:i/>
          <w:lang w:val="pt-BR"/>
        </w:rPr>
        <w:t>Exceções Preliminares, Mérito, Reparações e Custas</w:t>
      </w:r>
      <w:r w:rsidRPr="00D5464D">
        <w:rPr>
          <w:lang w:val="pt-BR"/>
        </w:rPr>
        <w:t xml:space="preserve">. Sentença de 24 de novembro de 2010. Série C Nº 219, par. 16. </w:t>
      </w:r>
    </w:p>
  </w:footnote>
  <w:footnote w:id="45">
    <w:p w14:paraId="23C0AF02" w14:textId="391FC6E0"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Cf. Gomes Lund e outros (“Guerrilha do Araguaia”)</w:t>
      </w:r>
      <w:r w:rsidRPr="00D5464D">
        <w:rPr>
          <w:lang w:val="pt-BR"/>
        </w:rPr>
        <w:t xml:space="preserve">, par. 17. </w:t>
      </w:r>
    </w:p>
  </w:footnote>
  <w:footnote w:id="46">
    <w:p w14:paraId="3206A064" w14:textId="43AF3E42"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No Preâmbulo da Convenção Americana se afirma que a proteção internacional é “de natureza convencional, coadjuvante ou complementar da que oferece o direito interno dos Estados americanos”. Ver também, O </w:t>
      </w:r>
      <w:r w:rsidRPr="00D5464D">
        <w:rPr>
          <w:i/>
          <w:lang w:val="pt-BR"/>
        </w:rPr>
        <w:t xml:space="preserve">Efeito das Reservas sobre a Entrada em Vigência da Convenção Americana sobre Direitos Humanos </w:t>
      </w:r>
      <w:r w:rsidRPr="00D5464D">
        <w:rPr>
          <w:lang w:val="pt-BR"/>
        </w:rPr>
        <w:t xml:space="preserve">(arts. 74 e 75). Parecer Consultivo OC-2/82 de 24 de setembro de 1982. Série A Nº 2, par. 31; </w:t>
      </w:r>
      <w:r w:rsidRPr="00D5464D">
        <w:rPr>
          <w:i/>
          <w:lang w:val="pt-BR"/>
        </w:rPr>
        <w:t>A</w:t>
      </w:r>
      <w:r w:rsidRPr="00D5464D">
        <w:rPr>
          <w:lang w:val="pt-BR"/>
        </w:rPr>
        <w:t xml:space="preserve"> </w:t>
      </w:r>
      <w:r w:rsidRPr="00D5464D">
        <w:rPr>
          <w:i/>
          <w:lang w:val="pt-BR"/>
        </w:rPr>
        <w:t>Expressão "Leis" no Artigo 30 da Convenção Americana sobre Direitos Humanos</w:t>
      </w:r>
      <w:r w:rsidRPr="00D5464D">
        <w:rPr>
          <w:lang w:val="pt-BR"/>
        </w:rPr>
        <w:t xml:space="preserve">. Parecer Consultivo OC-6/86 de 9 de maio de 1986. Série A Nº 6, par. 26; </w:t>
      </w:r>
      <w:r w:rsidRPr="00D5464D">
        <w:rPr>
          <w:i/>
          <w:lang w:val="pt-BR"/>
        </w:rPr>
        <w:t>Caso Velásquez Rodríguez Vs. Honduras</w:t>
      </w:r>
      <w:r w:rsidRPr="00D5464D">
        <w:rPr>
          <w:lang w:val="pt-BR"/>
        </w:rPr>
        <w:t xml:space="preserve">. </w:t>
      </w:r>
      <w:r w:rsidRPr="00D5464D">
        <w:rPr>
          <w:i/>
          <w:lang w:val="pt-BR"/>
        </w:rPr>
        <w:t>Mérito</w:t>
      </w:r>
      <w:r w:rsidRPr="00D5464D">
        <w:rPr>
          <w:lang w:val="pt-BR"/>
        </w:rPr>
        <w:t xml:space="preserve">. Sentença de 29 de julho de 1988. Série C Nº 4, par. 61 e </w:t>
      </w:r>
      <w:r w:rsidRPr="00D5464D">
        <w:rPr>
          <w:i/>
          <w:lang w:val="pt-BR"/>
        </w:rPr>
        <w:t xml:space="preserve">Caso García Ibarra e outros Vs. Equador. Exceções Preliminares, Mérito, Reparações e Custas. </w:t>
      </w:r>
      <w:r w:rsidRPr="00D5464D">
        <w:rPr>
          <w:lang w:val="pt-BR"/>
        </w:rPr>
        <w:t>Sentença de 17 de novembro de 2015, par.17.</w:t>
      </w:r>
    </w:p>
  </w:footnote>
  <w:footnote w:id="47">
    <w:p w14:paraId="4343ECCD" w14:textId="1BA665E8" w:rsidR="00AF210B" w:rsidRPr="00D5464D" w:rsidRDefault="00AF210B" w:rsidP="002A0C2B">
      <w:pPr>
        <w:tabs>
          <w:tab w:val="clear" w:pos="4419"/>
          <w:tab w:val="clear" w:pos="8838"/>
          <w:tab w:val="right" w:pos="0"/>
          <w:tab w:val="left" w:pos="720"/>
        </w:tabs>
        <w:spacing w:after="20"/>
        <w:jc w:val="both"/>
        <w:rPr>
          <w:rFonts w:cs="Verdana"/>
          <w:bCs/>
          <w:i/>
          <w:iCs/>
          <w:snapToGrid w:val="0"/>
          <w:color w:val="FF0000"/>
          <w:sz w:val="16"/>
          <w:szCs w:val="16"/>
          <w:lang w:val="pt-BR"/>
        </w:rPr>
      </w:pPr>
      <w:r w:rsidRPr="00D5464D">
        <w:rPr>
          <w:rStyle w:val="Refdenotaalpie"/>
          <w:sz w:val="16"/>
          <w:szCs w:val="16"/>
        </w:rPr>
        <w:footnoteRef/>
      </w:r>
      <w:r w:rsidRPr="00D5464D">
        <w:rPr>
          <w:sz w:val="16"/>
          <w:szCs w:val="16"/>
          <w:lang w:val="es-ES"/>
        </w:rPr>
        <w:t xml:space="preserve"> </w:t>
      </w:r>
      <w:r w:rsidRPr="00D5464D">
        <w:rPr>
          <w:i/>
          <w:sz w:val="16"/>
          <w:szCs w:val="16"/>
          <w:lang w:val="es-ES"/>
        </w:rPr>
        <w:t xml:space="preserve">Cf. Caso Cabrera García e Montiel Flores Vs. México. </w:t>
      </w:r>
      <w:r w:rsidRPr="00D5464D">
        <w:rPr>
          <w:i/>
          <w:sz w:val="16"/>
          <w:szCs w:val="16"/>
          <w:lang w:val="pt-BR"/>
        </w:rPr>
        <w:t>Exceção Preliminar, Mérito, Reparações e Custas</w:t>
      </w:r>
      <w:r w:rsidRPr="00D5464D">
        <w:rPr>
          <w:sz w:val="16"/>
          <w:szCs w:val="16"/>
          <w:lang w:val="pt-BR"/>
        </w:rPr>
        <w:t xml:space="preserve">. Sentença de 26 de novembro de 2010. Série C Nº 220, par. 16 e </w:t>
      </w:r>
      <w:r w:rsidRPr="00D5464D">
        <w:rPr>
          <w:i/>
          <w:sz w:val="16"/>
          <w:szCs w:val="16"/>
          <w:lang w:val="pt-BR"/>
        </w:rPr>
        <w:t xml:space="preserve">Caso García Ibarra e outros, </w:t>
      </w:r>
      <w:r w:rsidRPr="00D5464D">
        <w:rPr>
          <w:sz w:val="16"/>
          <w:szCs w:val="16"/>
          <w:lang w:val="pt-BR"/>
        </w:rPr>
        <w:t>par. 17</w:t>
      </w:r>
      <w:r w:rsidRPr="00D5464D">
        <w:rPr>
          <w:rFonts w:cs="Verdana"/>
          <w:bCs/>
          <w:snapToGrid w:val="0"/>
          <w:sz w:val="16"/>
          <w:szCs w:val="16"/>
          <w:lang w:val="pt-BR"/>
        </w:rPr>
        <w:t>.</w:t>
      </w:r>
    </w:p>
  </w:footnote>
  <w:footnote w:id="48">
    <w:p w14:paraId="1FE05176" w14:textId="3514AFE2" w:rsidR="00AF210B" w:rsidRPr="00D5464D" w:rsidRDefault="00AF210B" w:rsidP="002A0C2B">
      <w:pPr>
        <w:tabs>
          <w:tab w:val="clear" w:pos="4419"/>
          <w:tab w:val="clear" w:pos="8838"/>
          <w:tab w:val="right" w:pos="0"/>
        </w:tabs>
        <w:spacing w:after="20"/>
        <w:jc w:val="both"/>
        <w:rPr>
          <w:sz w:val="16"/>
          <w:szCs w:val="16"/>
          <w:lang w:val="pt-BR"/>
        </w:rPr>
      </w:pPr>
      <w:r w:rsidRPr="00D5464D">
        <w:rPr>
          <w:rStyle w:val="Refdenotaalpie"/>
          <w:sz w:val="16"/>
          <w:szCs w:val="16"/>
        </w:rPr>
        <w:footnoteRef/>
      </w:r>
      <w:r w:rsidRPr="00D5464D">
        <w:rPr>
          <w:sz w:val="16"/>
          <w:szCs w:val="16"/>
          <w:lang w:val="es-ES"/>
        </w:rPr>
        <w:t xml:space="preserve"> </w:t>
      </w:r>
      <w:r w:rsidRPr="00D5464D">
        <w:rPr>
          <w:i/>
          <w:sz w:val="16"/>
          <w:szCs w:val="16"/>
          <w:lang w:val="es-ES"/>
        </w:rPr>
        <w:t xml:space="preserve">Cf. Caso Castañeda Gutman Vs. </w:t>
      </w:r>
      <w:r w:rsidRPr="00D5464D">
        <w:rPr>
          <w:i/>
          <w:sz w:val="16"/>
          <w:szCs w:val="16"/>
          <w:lang w:val="pt-BR"/>
        </w:rPr>
        <w:t xml:space="preserve">México. Exceções Preliminares, Mérito, Reparações e Custas. </w:t>
      </w:r>
      <w:r w:rsidRPr="00D5464D">
        <w:rPr>
          <w:sz w:val="16"/>
          <w:szCs w:val="16"/>
          <w:lang w:val="pt-BR"/>
        </w:rPr>
        <w:t xml:space="preserve">Sentença de 6 de agosto de 2008. Série C Nº 184, par. 39; e </w:t>
      </w:r>
      <w:r w:rsidRPr="00D5464D">
        <w:rPr>
          <w:i/>
          <w:sz w:val="16"/>
          <w:szCs w:val="16"/>
          <w:lang w:val="pt-BR"/>
        </w:rPr>
        <w:t xml:space="preserve">Caso García Ibarra e outros, </w:t>
      </w:r>
      <w:r w:rsidRPr="00D5464D">
        <w:rPr>
          <w:sz w:val="16"/>
          <w:szCs w:val="16"/>
          <w:lang w:val="pt-BR"/>
        </w:rPr>
        <w:t>par. 17.</w:t>
      </w:r>
    </w:p>
  </w:footnote>
  <w:footnote w:id="49">
    <w:p w14:paraId="7BA1DF4D" w14:textId="74E2F71F" w:rsidR="00AF210B" w:rsidRPr="00D5464D" w:rsidRDefault="00AF210B" w:rsidP="002A0C2B">
      <w:pPr>
        <w:pStyle w:val="Textonotapie"/>
        <w:tabs>
          <w:tab w:val="clear" w:pos="4419"/>
          <w:tab w:val="clear" w:pos="8838"/>
          <w:tab w:val="right" w:pos="0"/>
        </w:tabs>
        <w:spacing w:after="20"/>
        <w:rPr>
          <w:i/>
          <w:lang w:val="pt-BR"/>
        </w:rPr>
      </w:pPr>
      <w:r w:rsidRPr="00D5464D">
        <w:rPr>
          <w:rStyle w:val="Refdenotaalpie"/>
          <w:szCs w:val="16"/>
        </w:rPr>
        <w:footnoteRef/>
      </w:r>
      <w:r w:rsidRPr="00D5464D">
        <w:rPr>
          <w:lang w:val="pt-BR"/>
        </w:rPr>
        <w:t xml:space="preserve"> </w:t>
      </w:r>
      <w:r w:rsidRPr="00D5464D">
        <w:rPr>
          <w:rStyle w:val="Textoennegrita"/>
          <w:b w:val="0"/>
          <w:i/>
          <w:color w:val="000000"/>
          <w:shd w:val="clear" w:color="auto" w:fill="FFFFFF"/>
          <w:lang w:val="pt-BR"/>
        </w:rPr>
        <w:t>Caso das “Crianças de Rua” (Villagrán Morales e outros) Vs. Guatemala. Mérito</w:t>
      </w:r>
      <w:r w:rsidRPr="00D5464D">
        <w:rPr>
          <w:rStyle w:val="Textoennegrita"/>
          <w:b w:val="0"/>
          <w:color w:val="000000"/>
          <w:shd w:val="clear" w:color="auto" w:fill="FFFFFF"/>
          <w:lang w:val="pt-BR"/>
        </w:rPr>
        <w:t xml:space="preserve">. Sentença de 19 de novembro de 1999. Série C Nº 63, par. 222 e </w:t>
      </w:r>
      <w:r w:rsidRPr="00D5464D">
        <w:rPr>
          <w:i/>
          <w:lang w:val="pt-BR"/>
        </w:rPr>
        <w:t xml:space="preserve">Caso García Ibarra e outros, </w:t>
      </w:r>
      <w:r w:rsidRPr="00D5464D">
        <w:rPr>
          <w:lang w:val="pt-BR"/>
        </w:rPr>
        <w:t>pars. 19 e 20.</w:t>
      </w:r>
    </w:p>
  </w:footnote>
  <w:footnote w:id="50">
    <w:p w14:paraId="6E5CA360" w14:textId="2E440A9A" w:rsidR="00AF210B" w:rsidRPr="00D5464D" w:rsidRDefault="00AF210B" w:rsidP="002A0C2B">
      <w:pPr>
        <w:spacing w:after="20"/>
        <w:jc w:val="both"/>
        <w:rPr>
          <w:b/>
          <w:lang w:val="pt-BR"/>
        </w:rPr>
      </w:pPr>
      <w:r w:rsidRPr="00D5464D">
        <w:rPr>
          <w:sz w:val="16"/>
          <w:szCs w:val="16"/>
          <w:vertAlign w:val="superscript"/>
        </w:rPr>
        <w:footnoteRef/>
      </w:r>
      <w:r w:rsidRPr="00D5464D">
        <w:rPr>
          <w:sz w:val="16"/>
          <w:szCs w:val="16"/>
          <w:lang w:val="pt-BR"/>
        </w:rPr>
        <w:t xml:space="preserve"> </w:t>
      </w:r>
      <w:r w:rsidRPr="00D5464D">
        <w:rPr>
          <w:i/>
          <w:sz w:val="16"/>
          <w:szCs w:val="16"/>
          <w:lang w:val="pt-BR"/>
        </w:rPr>
        <w:t>Cf. Caso da Comunidade Mayagna (Sumo) Awas Tingni Vs. Nicarágua</w:t>
      </w:r>
      <w:r w:rsidRPr="00D5464D">
        <w:rPr>
          <w:sz w:val="16"/>
          <w:szCs w:val="16"/>
          <w:lang w:val="pt-BR"/>
        </w:rPr>
        <w:t>.</w:t>
      </w:r>
      <w:r w:rsidRPr="00D5464D">
        <w:rPr>
          <w:rStyle w:val="apple-converted-space"/>
          <w:color w:val="000000"/>
          <w:sz w:val="16"/>
          <w:szCs w:val="16"/>
          <w:lang w:val="pt-BR"/>
        </w:rPr>
        <w:t> </w:t>
      </w:r>
      <w:r w:rsidRPr="00D5464D">
        <w:rPr>
          <w:i/>
          <w:sz w:val="16"/>
          <w:szCs w:val="16"/>
          <w:lang w:val="pt-BR"/>
        </w:rPr>
        <w:t>Mérito, Reparações e Custas.</w:t>
      </w:r>
      <w:r w:rsidRPr="00D5464D">
        <w:rPr>
          <w:rStyle w:val="apple-converted-space"/>
          <w:i/>
          <w:color w:val="000000"/>
          <w:sz w:val="16"/>
          <w:szCs w:val="16"/>
          <w:lang w:val="pt-BR"/>
        </w:rPr>
        <w:t> </w:t>
      </w:r>
      <w:r w:rsidRPr="00D5464D">
        <w:rPr>
          <w:sz w:val="16"/>
          <w:szCs w:val="16"/>
          <w:lang w:val="pt-BR"/>
        </w:rPr>
        <w:t xml:space="preserve">Sentença de 31 de agosto de 2001. Série C Nº 79, par. 148 e </w:t>
      </w:r>
      <w:r w:rsidRPr="00D5464D">
        <w:rPr>
          <w:i/>
          <w:sz w:val="16"/>
          <w:szCs w:val="16"/>
          <w:lang w:val="pt-BR"/>
        </w:rPr>
        <w:t>Caso</w:t>
      </w:r>
      <w:r w:rsidRPr="00D5464D">
        <w:rPr>
          <w:sz w:val="16"/>
          <w:szCs w:val="16"/>
          <w:lang w:val="pt-BR"/>
        </w:rPr>
        <w:t xml:space="preserve"> </w:t>
      </w:r>
      <w:r w:rsidRPr="00D5464D">
        <w:rPr>
          <w:i/>
          <w:sz w:val="16"/>
          <w:szCs w:val="16"/>
          <w:lang w:val="pt-BR"/>
        </w:rPr>
        <w:t xml:space="preserve">Rodríguez Vera e </w:t>
      </w:r>
      <w:r w:rsidRPr="00D5464D">
        <w:rPr>
          <w:rStyle w:val="Textoennegrita"/>
          <w:b w:val="0"/>
          <w:i/>
          <w:color w:val="000000"/>
          <w:sz w:val="16"/>
          <w:szCs w:val="16"/>
          <w:shd w:val="clear" w:color="auto" w:fill="FFFFFF"/>
          <w:lang w:val="pt-BR"/>
        </w:rPr>
        <w:t>outros (Desaparecidos do Palácio de Justiça) Vs. Colômbia. Exceções Preliminares, Mérito, Reparações e Custas</w:t>
      </w:r>
      <w:r w:rsidRPr="00D5464D">
        <w:rPr>
          <w:rStyle w:val="Textoennegrita"/>
          <w:b w:val="0"/>
          <w:color w:val="000000"/>
          <w:sz w:val="16"/>
          <w:szCs w:val="16"/>
          <w:shd w:val="clear" w:color="auto" w:fill="FFFFFF"/>
          <w:lang w:val="pt-BR"/>
        </w:rPr>
        <w:t>. Sentença de 14 de novembro de 2014. Série C Nº 287</w:t>
      </w:r>
      <w:r w:rsidRPr="00D5464D">
        <w:rPr>
          <w:sz w:val="16"/>
          <w:szCs w:val="16"/>
          <w:lang w:val="pt-BR"/>
        </w:rPr>
        <w:t>, par. 39. A este respeito, o artigo 31.3.c da referida Convenção de Viena estabelece como regra de interpretação que “[s]erão levados em consideração, juntamente com o contexto: […]c) quaisquer regras pertinentes de Direito Internacional aplicáveis às relações entre as partes”.</w:t>
      </w:r>
    </w:p>
  </w:footnote>
  <w:footnote w:id="51">
    <w:p w14:paraId="72F49907" w14:textId="4C79BA23" w:rsidR="00AF210B" w:rsidRPr="00D5464D" w:rsidRDefault="00AF210B" w:rsidP="002A0C2B">
      <w:pPr>
        <w:pStyle w:val="Footnotes"/>
        <w:tabs>
          <w:tab w:val="right" w:pos="0"/>
        </w:tabs>
        <w:spacing w:after="20"/>
      </w:pPr>
      <w:r w:rsidRPr="00D5464D">
        <w:rPr>
          <w:rStyle w:val="Refdenotaalpie"/>
          <w:szCs w:val="16"/>
        </w:rPr>
        <w:footnoteRef/>
      </w:r>
      <w:r w:rsidRPr="00D5464D">
        <w:t xml:space="preserve"> </w:t>
      </w:r>
      <w:r w:rsidRPr="00D5464D">
        <w:rPr>
          <w:i/>
        </w:rPr>
        <w:t>Cf. Caso do Massacre de Santo Domingo Vs. Colômbia. Exceções Preliminares, Mérito e Reparações</w:t>
      </w:r>
      <w:r w:rsidRPr="00D5464D">
        <w:t xml:space="preserve">. Sentença de 30 de novembro de 2012. Série C Nº 259, par. 24 e </w:t>
      </w:r>
      <w:r w:rsidRPr="00D5464D">
        <w:rPr>
          <w:i/>
          <w:color w:val="000000"/>
        </w:rPr>
        <w:t>Caso Rodríguez Vera</w:t>
      </w:r>
      <w:r w:rsidRPr="00D5464D">
        <w:rPr>
          <w:color w:val="000000"/>
        </w:rPr>
        <w:t>, par. 39.</w:t>
      </w:r>
    </w:p>
  </w:footnote>
  <w:footnote w:id="52">
    <w:p w14:paraId="2C9F84D3" w14:textId="51632D29" w:rsidR="00AF210B" w:rsidRPr="00D5464D" w:rsidRDefault="00AF210B" w:rsidP="002A0C2B">
      <w:pPr>
        <w:spacing w:after="20"/>
        <w:jc w:val="both"/>
        <w:rPr>
          <w:b/>
          <w:sz w:val="2"/>
          <w:lang w:val="pt-BR"/>
        </w:rPr>
      </w:pPr>
      <w:r w:rsidRPr="00D5464D">
        <w:rPr>
          <w:rStyle w:val="Refdenotaalpie"/>
          <w:sz w:val="16"/>
          <w:szCs w:val="16"/>
        </w:rPr>
        <w:footnoteRef/>
      </w:r>
      <w:r w:rsidRPr="00D5464D">
        <w:rPr>
          <w:sz w:val="16"/>
          <w:szCs w:val="16"/>
          <w:lang w:val="es-ES"/>
        </w:rPr>
        <w:t xml:space="preserve"> </w:t>
      </w:r>
      <w:r w:rsidRPr="00D5464D">
        <w:rPr>
          <w:rFonts w:cs="Verdana"/>
          <w:i/>
          <w:iCs/>
          <w:sz w:val="16"/>
          <w:szCs w:val="16"/>
          <w:lang w:val="es-ES"/>
        </w:rPr>
        <w:t xml:space="preserve">Cf. Caso Velásquez Rodríguez Vs. </w:t>
      </w:r>
      <w:r w:rsidRPr="00D5464D">
        <w:rPr>
          <w:rFonts w:cs="Verdana"/>
          <w:i/>
          <w:iCs/>
          <w:sz w:val="16"/>
          <w:szCs w:val="16"/>
          <w:lang w:val="pt-BR"/>
        </w:rPr>
        <w:t>Honduras</w:t>
      </w:r>
      <w:r w:rsidRPr="00D5464D">
        <w:rPr>
          <w:rFonts w:cs="Verdana"/>
          <w:sz w:val="16"/>
          <w:szCs w:val="16"/>
          <w:lang w:val="pt-BR"/>
        </w:rPr>
        <w:t xml:space="preserve">. </w:t>
      </w:r>
      <w:r w:rsidRPr="00D5464D">
        <w:rPr>
          <w:rFonts w:cs="Verdana"/>
          <w:i/>
          <w:iCs/>
          <w:sz w:val="16"/>
          <w:szCs w:val="16"/>
          <w:lang w:val="pt-BR"/>
        </w:rPr>
        <w:t>Exceções Preliminares</w:t>
      </w:r>
      <w:r w:rsidRPr="00D5464D">
        <w:rPr>
          <w:rFonts w:cs="Verdana"/>
          <w:sz w:val="16"/>
          <w:szCs w:val="16"/>
          <w:lang w:val="pt-BR"/>
        </w:rPr>
        <w:t xml:space="preserve">, par. 88 e </w:t>
      </w:r>
      <w:r w:rsidRPr="00D5464D">
        <w:rPr>
          <w:rStyle w:val="Textoennegrita"/>
          <w:b w:val="0"/>
          <w:i/>
          <w:color w:val="000000"/>
          <w:sz w:val="16"/>
          <w:shd w:val="clear" w:color="auto" w:fill="FFFFFF"/>
          <w:lang w:val="pt-BR"/>
        </w:rPr>
        <w:t>Caso Herrera Espinoza e outros Vs. Equador. Exceções Preliminares, Mérito, Reparações e Custas</w:t>
      </w:r>
      <w:r w:rsidRPr="00D5464D">
        <w:rPr>
          <w:rStyle w:val="Textoennegrita"/>
          <w:b w:val="0"/>
          <w:color w:val="000000"/>
          <w:sz w:val="16"/>
          <w:shd w:val="clear" w:color="auto" w:fill="FFFFFF"/>
          <w:lang w:val="pt-BR"/>
        </w:rPr>
        <w:t>. Sentença de 1º de setembro de 2016. Série C Nº 316, pars. 25 e 26</w:t>
      </w:r>
      <w:r w:rsidRPr="00D5464D">
        <w:rPr>
          <w:rFonts w:cs="Verdana"/>
          <w:sz w:val="16"/>
          <w:szCs w:val="16"/>
          <w:lang w:val="pt-BR"/>
        </w:rPr>
        <w:t>.</w:t>
      </w:r>
    </w:p>
  </w:footnote>
  <w:footnote w:id="53">
    <w:p w14:paraId="7EB7600D" w14:textId="76788658"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rFonts w:cs="Verdana"/>
          <w:i/>
          <w:iCs/>
          <w:lang w:val="pt-BR"/>
        </w:rPr>
        <w:t>Caso Velásquez Rodríguez Vs. Honduras</w:t>
      </w:r>
      <w:r w:rsidRPr="00D5464D">
        <w:rPr>
          <w:rFonts w:cs="Verdana"/>
          <w:lang w:val="pt-BR"/>
        </w:rPr>
        <w:t xml:space="preserve">. </w:t>
      </w:r>
      <w:r w:rsidRPr="00D5464D">
        <w:rPr>
          <w:rFonts w:cs="Verdana"/>
          <w:i/>
          <w:iCs/>
          <w:lang w:val="pt-BR"/>
        </w:rPr>
        <w:t>Exceções Preliminares</w:t>
      </w:r>
      <w:r w:rsidRPr="00D5464D">
        <w:rPr>
          <w:rFonts w:cs="Verdana"/>
          <w:lang w:val="pt-BR"/>
        </w:rPr>
        <w:t xml:space="preserve">, par. 85 e </w:t>
      </w:r>
      <w:r w:rsidRPr="00D5464D">
        <w:rPr>
          <w:rStyle w:val="Textoennegrita"/>
          <w:b w:val="0"/>
          <w:i/>
          <w:color w:val="000000"/>
          <w:shd w:val="clear" w:color="auto" w:fill="FFFFFF"/>
          <w:lang w:val="pt-BR"/>
        </w:rPr>
        <w:t>Caso Herrera Espinoza e outros</w:t>
      </w:r>
      <w:r w:rsidRPr="00D5464D">
        <w:rPr>
          <w:rStyle w:val="Textoennegrita"/>
          <w:b w:val="0"/>
          <w:color w:val="000000"/>
          <w:shd w:val="clear" w:color="auto" w:fill="FFFFFF"/>
          <w:lang w:val="pt-BR"/>
        </w:rPr>
        <w:t xml:space="preserve">, par. 24. </w:t>
      </w:r>
    </w:p>
  </w:footnote>
  <w:footnote w:id="54">
    <w:p w14:paraId="5BECC4E9" w14:textId="4D82EF8B" w:rsidR="00AF210B" w:rsidRPr="00D5464D" w:rsidRDefault="00AF210B" w:rsidP="002A0C2B">
      <w:pPr>
        <w:spacing w:after="20"/>
        <w:jc w:val="both"/>
        <w:rPr>
          <w:b/>
          <w:sz w:val="2"/>
          <w:lang w:val="pt-BR"/>
        </w:rPr>
      </w:pPr>
      <w:r w:rsidRPr="00D5464D">
        <w:rPr>
          <w:rStyle w:val="Refdenotaalpie"/>
          <w:sz w:val="16"/>
          <w:szCs w:val="16"/>
        </w:rPr>
        <w:footnoteRef/>
      </w:r>
      <w:r w:rsidRPr="00D5464D">
        <w:rPr>
          <w:sz w:val="16"/>
          <w:szCs w:val="16"/>
          <w:lang w:val="pt-BR"/>
        </w:rPr>
        <w:t xml:space="preserve"> </w:t>
      </w:r>
      <w:r w:rsidRPr="00D5464D">
        <w:rPr>
          <w:i/>
          <w:sz w:val="16"/>
          <w:szCs w:val="16"/>
          <w:lang w:val="pt-BR"/>
        </w:rPr>
        <w:t xml:space="preserve">Cf. </w:t>
      </w:r>
      <w:r w:rsidRPr="00D5464D">
        <w:rPr>
          <w:rStyle w:val="Textoennegrita"/>
          <w:b w:val="0"/>
          <w:i/>
          <w:color w:val="000000"/>
          <w:sz w:val="16"/>
          <w:szCs w:val="16"/>
          <w:shd w:val="clear" w:color="auto" w:fill="FFFFFF"/>
          <w:lang w:val="pt-BR"/>
        </w:rPr>
        <w:t>Caso Gonzales Lluy e outros Vs. Equador. Exceções Preliminares, Mérito, Reparações e Custas</w:t>
      </w:r>
      <w:r w:rsidRPr="00D5464D">
        <w:rPr>
          <w:rStyle w:val="Textoennegrita"/>
          <w:b w:val="0"/>
          <w:color w:val="000000"/>
          <w:sz w:val="16"/>
          <w:szCs w:val="16"/>
          <w:shd w:val="clear" w:color="auto" w:fill="FFFFFF"/>
          <w:lang w:val="pt-BR"/>
        </w:rPr>
        <w:t xml:space="preserve">. Sentença de 1º de setembro de 2015. Série C Nº 298, par. 28 e </w:t>
      </w:r>
      <w:r w:rsidRPr="00D5464D">
        <w:rPr>
          <w:rStyle w:val="Textoennegrita"/>
          <w:b w:val="0"/>
          <w:i/>
          <w:color w:val="000000"/>
          <w:sz w:val="16"/>
          <w:shd w:val="clear" w:color="auto" w:fill="FFFFFF"/>
          <w:lang w:val="pt-BR"/>
        </w:rPr>
        <w:t>Caso Chinchilla Sandoval Vs. Guatemala. Exceção Preliminar, Mérito, Reparações e Custas</w:t>
      </w:r>
      <w:r w:rsidRPr="00D5464D">
        <w:rPr>
          <w:rStyle w:val="Textoennegrita"/>
          <w:b w:val="0"/>
          <w:color w:val="000000"/>
          <w:sz w:val="16"/>
          <w:shd w:val="clear" w:color="auto" w:fill="FFFFFF"/>
          <w:lang w:val="pt-BR"/>
        </w:rPr>
        <w:t>. Sentença de 29 de fevereiro de 2016. Série C Nº 312, par. 21.</w:t>
      </w:r>
    </w:p>
  </w:footnote>
  <w:footnote w:id="55">
    <w:p w14:paraId="254B17F5" w14:textId="50D74A78" w:rsidR="00AF210B" w:rsidRPr="00D5464D" w:rsidRDefault="00AF210B" w:rsidP="002A0C2B">
      <w:pPr>
        <w:tabs>
          <w:tab w:val="clear" w:pos="4419"/>
          <w:tab w:val="clear" w:pos="8838"/>
          <w:tab w:val="right" w:pos="0"/>
        </w:tabs>
        <w:spacing w:after="20"/>
        <w:jc w:val="both"/>
        <w:rPr>
          <w:sz w:val="16"/>
          <w:szCs w:val="16"/>
          <w:lang w:val="pt-BR"/>
        </w:rPr>
      </w:pPr>
      <w:r w:rsidRPr="00D5464D">
        <w:rPr>
          <w:rStyle w:val="Refdenotaalpie"/>
          <w:sz w:val="16"/>
          <w:szCs w:val="16"/>
        </w:rPr>
        <w:footnoteRef/>
      </w:r>
      <w:r w:rsidRPr="00D5464D">
        <w:rPr>
          <w:sz w:val="16"/>
          <w:szCs w:val="16"/>
          <w:lang w:val="pt-BR"/>
        </w:rPr>
        <w:t xml:space="preserve"> </w:t>
      </w:r>
      <w:r w:rsidRPr="00D5464D">
        <w:rPr>
          <w:i/>
          <w:sz w:val="16"/>
          <w:szCs w:val="16"/>
          <w:lang w:val="pt-BR"/>
        </w:rPr>
        <w:t xml:space="preserve">Cf. </w:t>
      </w:r>
      <w:r w:rsidRPr="00D5464D">
        <w:rPr>
          <w:rStyle w:val="Textoennegrita"/>
          <w:b w:val="0"/>
          <w:i/>
          <w:color w:val="000000"/>
          <w:sz w:val="16"/>
          <w:shd w:val="clear" w:color="auto" w:fill="FFFFFF"/>
          <w:lang w:val="pt-BR"/>
        </w:rPr>
        <w:t>Caso Reverón Trujillo Vs. Venezuela. Exceção Preliminar, Mérito, Reparações e Custas</w:t>
      </w:r>
      <w:r w:rsidRPr="00D5464D">
        <w:rPr>
          <w:rStyle w:val="Textoennegrita"/>
          <w:b w:val="0"/>
          <w:color w:val="000000"/>
          <w:sz w:val="16"/>
          <w:shd w:val="clear" w:color="auto" w:fill="FFFFFF"/>
          <w:lang w:val="pt-BR"/>
        </w:rPr>
        <w:t xml:space="preserve">. Sentença de 30 de junho de 2009. Série C Nº 197, par. 23 e </w:t>
      </w:r>
      <w:r w:rsidRPr="00D5464D">
        <w:rPr>
          <w:rStyle w:val="Textoennegrita"/>
          <w:b w:val="0"/>
          <w:i/>
          <w:color w:val="000000"/>
          <w:sz w:val="16"/>
          <w:shd w:val="clear" w:color="auto" w:fill="FFFFFF"/>
          <w:lang w:val="pt-BR"/>
        </w:rPr>
        <w:t>Caso Tenorio Roca e outros Vs. Peru. Exceções Preliminares, Mérito, Reparações e Custas</w:t>
      </w:r>
      <w:r w:rsidRPr="00D5464D">
        <w:rPr>
          <w:rStyle w:val="Textoennegrita"/>
          <w:b w:val="0"/>
          <w:color w:val="000000"/>
          <w:sz w:val="16"/>
          <w:shd w:val="clear" w:color="auto" w:fill="FFFFFF"/>
          <w:lang w:val="pt-BR"/>
        </w:rPr>
        <w:t xml:space="preserve">. Sentença de 22 de junho de 2016. Série C Nº 314, par. 21. </w:t>
      </w:r>
    </w:p>
  </w:footnote>
  <w:footnote w:id="56">
    <w:p w14:paraId="4CE2C867" w14:textId="2AE48020"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rStyle w:val="Textoennegrita"/>
          <w:b w:val="0"/>
          <w:i/>
          <w:color w:val="000000"/>
          <w:shd w:val="clear" w:color="auto" w:fill="FFFFFF"/>
          <w:lang w:val="pt-BR"/>
        </w:rPr>
        <w:t>Caso Furlan e familiares Vs. Argentina. Exceções Preliminares, Mérito, Reparações e Custas</w:t>
      </w:r>
      <w:r w:rsidRPr="00D5464D">
        <w:rPr>
          <w:rStyle w:val="Textoennegrita"/>
          <w:b w:val="0"/>
          <w:color w:val="000000"/>
          <w:shd w:val="clear" w:color="auto" w:fill="FFFFFF"/>
          <w:lang w:val="pt-BR"/>
        </w:rPr>
        <w:t xml:space="preserve">. Sentença de 31 de agosto de 2012. Série C Nº 246, par. 29 e </w:t>
      </w:r>
      <w:r w:rsidRPr="00D5464D">
        <w:rPr>
          <w:rStyle w:val="Textoennegrita"/>
          <w:b w:val="0"/>
          <w:i/>
          <w:color w:val="000000"/>
          <w:shd w:val="clear" w:color="auto" w:fill="FFFFFF"/>
          <w:lang w:val="pt-BR"/>
        </w:rPr>
        <w:t>Caso Herrera Espinoza e outros</w:t>
      </w:r>
      <w:r w:rsidRPr="00D5464D">
        <w:rPr>
          <w:rStyle w:val="Textoennegrita"/>
          <w:b w:val="0"/>
          <w:color w:val="000000"/>
          <w:shd w:val="clear" w:color="auto" w:fill="FFFFFF"/>
          <w:lang w:val="pt-BR"/>
        </w:rPr>
        <w:t xml:space="preserve">, par. 28. </w:t>
      </w:r>
    </w:p>
  </w:footnote>
  <w:footnote w:id="57">
    <w:p w14:paraId="332EEC50" w14:textId="6CD76FF4"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i/>
          <w:lang w:val="es-ES"/>
        </w:rPr>
        <w:t xml:space="preserve"> Cf. Caso Velásquez Rodríguez Vs. </w:t>
      </w:r>
      <w:r w:rsidRPr="00D5464D">
        <w:rPr>
          <w:i/>
          <w:lang w:val="pt-BR"/>
        </w:rPr>
        <w:t>Honduras. Mérito</w:t>
      </w:r>
      <w:r w:rsidRPr="00D5464D">
        <w:rPr>
          <w:lang w:val="pt-BR"/>
        </w:rPr>
        <w:t xml:space="preserve">, par. 140 e </w:t>
      </w:r>
      <w:r w:rsidRPr="00D5464D">
        <w:rPr>
          <w:rStyle w:val="Textoennegrita"/>
          <w:b w:val="0"/>
          <w:i/>
          <w:color w:val="000000"/>
          <w:shd w:val="clear" w:color="auto" w:fill="FFFFFF"/>
          <w:lang w:val="pt-BR"/>
        </w:rPr>
        <w:t>Caso Herrera Espinoza e outros</w:t>
      </w:r>
      <w:r w:rsidRPr="00D5464D">
        <w:rPr>
          <w:rStyle w:val="Textoennegrita"/>
          <w:b w:val="0"/>
          <w:color w:val="000000"/>
          <w:shd w:val="clear" w:color="auto" w:fill="FFFFFF"/>
          <w:lang w:val="pt-BR"/>
        </w:rPr>
        <w:t xml:space="preserve">, par. 44. </w:t>
      </w:r>
    </w:p>
  </w:footnote>
  <w:footnote w:id="58">
    <w:p w14:paraId="2A2C8B30" w14:textId="2A79A949"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i/>
          <w:lang w:val="pt-BR"/>
        </w:rPr>
        <w:t xml:space="preserve"> Cf. Caso Escué Zapata Vs. Colômbia. Mérito, Reparações e Custas</w:t>
      </w:r>
      <w:r w:rsidRPr="00D5464D">
        <w:rPr>
          <w:lang w:val="pt-BR"/>
        </w:rPr>
        <w:t xml:space="preserve">. Sentença de 4 de julho de 2007. Série C Nº 165, par. 26 e </w:t>
      </w:r>
      <w:r w:rsidRPr="00D5464D">
        <w:rPr>
          <w:rStyle w:val="Textoennegrita"/>
          <w:b w:val="0"/>
          <w:i/>
          <w:color w:val="000000"/>
          <w:shd w:val="clear" w:color="auto" w:fill="FFFFFF"/>
          <w:lang w:val="pt-BR"/>
        </w:rPr>
        <w:t>Caso Herrera Espinoza e outros</w:t>
      </w:r>
      <w:r w:rsidRPr="00D5464D">
        <w:rPr>
          <w:rStyle w:val="Textoennegrita"/>
          <w:b w:val="0"/>
          <w:color w:val="000000"/>
          <w:shd w:val="clear" w:color="auto" w:fill="FFFFFF"/>
          <w:lang w:val="pt-BR"/>
        </w:rPr>
        <w:t>, par. 45.</w:t>
      </w:r>
    </w:p>
  </w:footnote>
  <w:footnote w:id="59">
    <w:p w14:paraId="09E466EA" w14:textId="731492B3" w:rsidR="00AF210B" w:rsidRPr="00D5464D" w:rsidRDefault="00AF210B" w:rsidP="002A0C2B">
      <w:pPr>
        <w:tabs>
          <w:tab w:val="clear" w:pos="4419"/>
          <w:tab w:val="clear" w:pos="8838"/>
          <w:tab w:val="right" w:pos="0"/>
          <w:tab w:val="left" w:pos="567"/>
        </w:tabs>
        <w:spacing w:after="20"/>
        <w:jc w:val="both"/>
        <w:rPr>
          <w:sz w:val="16"/>
          <w:szCs w:val="16"/>
          <w:lang w:val="pt-BR"/>
        </w:rPr>
      </w:pPr>
      <w:r w:rsidRPr="00D5464D">
        <w:rPr>
          <w:sz w:val="16"/>
          <w:szCs w:val="16"/>
          <w:vertAlign w:val="superscript"/>
        </w:rPr>
        <w:footnoteRef/>
      </w:r>
      <w:r w:rsidRPr="00D5464D">
        <w:rPr>
          <w:sz w:val="16"/>
          <w:szCs w:val="16"/>
          <w:vertAlign w:val="superscript"/>
          <w:lang w:val="pt-BR"/>
        </w:rPr>
        <w:t xml:space="preserve"> </w:t>
      </w:r>
      <w:r w:rsidRPr="00D5464D">
        <w:rPr>
          <w:i/>
          <w:sz w:val="16"/>
          <w:szCs w:val="16"/>
          <w:lang w:val="pt-BR"/>
        </w:rPr>
        <w:t>Cf. Caso Maldonado Ordoñez</w:t>
      </w:r>
      <w:r w:rsidRPr="00D5464D">
        <w:rPr>
          <w:sz w:val="16"/>
          <w:szCs w:val="16"/>
          <w:lang w:val="pt-BR"/>
        </w:rPr>
        <w:t>, par. 29.</w:t>
      </w:r>
    </w:p>
  </w:footnote>
  <w:footnote w:id="60">
    <w:p w14:paraId="1A4CD482" w14:textId="69E23A66" w:rsidR="00AF210B" w:rsidRPr="00D5464D" w:rsidRDefault="00AF210B" w:rsidP="002A0C2B">
      <w:pPr>
        <w:tabs>
          <w:tab w:val="clear" w:pos="4419"/>
          <w:tab w:val="clear" w:pos="8838"/>
          <w:tab w:val="right" w:pos="0"/>
          <w:tab w:val="left" w:pos="567"/>
        </w:tabs>
        <w:spacing w:after="20"/>
        <w:jc w:val="both"/>
        <w:rPr>
          <w:sz w:val="16"/>
          <w:szCs w:val="16"/>
          <w:lang w:val="pt-BR"/>
        </w:rPr>
      </w:pPr>
      <w:r w:rsidRPr="00D5464D">
        <w:rPr>
          <w:sz w:val="16"/>
          <w:szCs w:val="16"/>
          <w:vertAlign w:val="superscript"/>
        </w:rPr>
        <w:footnoteRef/>
      </w:r>
      <w:r w:rsidRPr="00D5464D">
        <w:rPr>
          <w:sz w:val="16"/>
          <w:szCs w:val="16"/>
          <w:lang w:val="pt-BR"/>
        </w:rPr>
        <w:t xml:space="preserve"> </w:t>
      </w:r>
      <w:r w:rsidRPr="00D5464D">
        <w:rPr>
          <w:i/>
          <w:sz w:val="16"/>
          <w:szCs w:val="16"/>
          <w:lang w:val="pt-BR"/>
        </w:rPr>
        <w:t>Cf. Caso Quispialaya Vilcapoma</w:t>
      </w:r>
      <w:r w:rsidRPr="00D5464D">
        <w:rPr>
          <w:sz w:val="16"/>
          <w:szCs w:val="16"/>
          <w:lang w:val="pt-BR"/>
        </w:rPr>
        <w:t>, par. 40.</w:t>
      </w:r>
    </w:p>
  </w:footnote>
  <w:footnote w:id="61">
    <w:p w14:paraId="10814D3B" w14:textId="3C61D577" w:rsidR="00AF210B" w:rsidRPr="00D5464D" w:rsidRDefault="00AF210B" w:rsidP="002A0C2B">
      <w:pPr>
        <w:spacing w:after="20"/>
        <w:jc w:val="both"/>
        <w:rPr>
          <w:b/>
          <w:lang w:val="pt-BR"/>
        </w:rPr>
      </w:pPr>
      <w:r w:rsidRPr="00D5464D">
        <w:rPr>
          <w:rStyle w:val="Refdenotaalpie"/>
          <w:sz w:val="16"/>
          <w:szCs w:val="16"/>
        </w:rPr>
        <w:footnoteRef/>
      </w:r>
      <w:r w:rsidRPr="00D5464D">
        <w:rPr>
          <w:sz w:val="16"/>
          <w:szCs w:val="16"/>
          <w:lang w:val="pt-BR"/>
        </w:rPr>
        <w:t xml:space="preserve"> </w:t>
      </w:r>
      <w:r w:rsidRPr="00D5464D">
        <w:rPr>
          <w:i/>
          <w:sz w:val="16"/>
          <w:szCs w:val="16"/>
          <w:lang w:val="pt-BR"/>
        </w:rPr>
        <w:t xml:space="preserve">Cf. Caso da “Panel Blanca” (Paniagua Morales e outros) Vs. Guatemala. </w:t>
      </w:r>
      <w:r w:rsidRPr="00D5464D">
        <w:rPr>
          <w:rStyle w:val="Textoennegrita"/>
          <w:b w:val="0"/>
          <w:i/>
          <w:color w:val="000000"/>
          <w:sz w:val="16"/>
          <w:szCs w:val="16"/>
          <w:shd w:val="clear" w:color="auto" w:fill="FFFFFF"/>
          <w:lang w:val="pt-BR"/>
        </w:rPr>
        <w:t>Mérito</w:t>
      </w:r>
      <w:r w:rsidRPr="00D5464D">
        <w:rPr>
          <w:rStyle w:val="Textoennegrita"/>
          <w:b w:val="0"/>
          <w:color w:val="000000"/>
          <w:sz w:val="16"/>
          <w:szCs w:val="16"/>
          <w:shd w:val="clear" w:color="auto" w:fill="FFFFFF"/>
          <w:lang w:val="pt-BR"/>
        </w:rPr>
        <w:t>. Sentença de 8 de março de 1998. Série C Nº 37</w:t>
      </w:r>
      <w:r w:rsidRPr="00D5464D">
        <w:rPr>
          <w:sz w:val="16"/>
          <w:szCs w:val="16"/>
          <w:lang w:val="pt-BR"/>
        </w:rPr>
        <w:t xml:space="preserve">, par. 76 e </w:t>
      </w:r>
      <w:r w:rsidRPr="00D5464D">
        <w:rPr>
          <w:rStyle w:val="Textoennegrita"/>
          <w:b w:val="0"/>
          <w:i/>
          <w:color w:val="000000"/>
          <w:sz w:val="16"/>
          <w:szCs w:val="16"/>
          <w:shd w:val="clear" w:color="auto" w:fill="FFFFFF"/>
          <w:lang w:val="pt-BR"/>
        </w:rPr>
        <w:t>Caso Tenorio Roca</w:t>
      </w:r>
      <w:r w:rsidRPr="00D5464D">
        <w:rPr>
          <w:rStyle w:val="Textoennegrita"/>
          <w:b w:val="0"/>
          <w:color w:val="000000"/>
          <w:sz w:val="16"/>
          <w:szCs w:val="16"/>
          <w:shd w:val="clear" w:color="auto" w:fill="FFFFFF"/>
          <w:lang w:val="pt-BR"/>
        </w:rPr>
        <w:t>, par. 45</w:t>
      </w:r>
      <w:r w:rsidRPr="00D5464D">
        <w:rPr>
          <w:sz w:val="16"/>
          <w:szCs w:val="16"/>
          <w:lang w:val="pt-BR"/>
        </w:rPr>
        <w:t>.</w:t>
      </w:r>
    </w:p>
  </w:footnote>
  <w:footnote w:id="62">
    <w:p w14:paraId="4B7C8748" w14:textId="11E42CD8" w:rsidR="00AF210B" w:rsidRPr="00D5464D" w:rsidRDefault="00AF210B" w:rsidP="002A0C2B">
      <w:pPr>
        <w:pStyle w:val="Textonotapie"/>
        <w:tabs>
          <w:tab w:val="clear" w:pos="4419"/>
          <w:tab w:val="clear" w:pos="8838"/>
          <w:tab w:val="right" w:pos="0"/>
        </w:tabs>
        <w:spacing w:after="20"/>
        <w:rPr>
          <w:i/>
          <w:lang w:val="pt-BR"/>
        </w:rPr>
      </w:pPr>
      <w:r w:rsidRPr="00D5464D">
        <w:rPr>
          <w:rStyle w:val="Refdenotaalpie"/>
          <w:szCs w:val="16"/>
        </w:rPr>
        <w:footnoteRef/>
      </w:r>
      <w:r w:rsidRPr="00D5464D">
        <w:rPr>
          <w:lang w:val="pt-BR"/>
        </w:rPr>
        <w:t xml:space="preserve"> </w:t>
      </w:r>
      <w:r w:rsidRPr="00D5464D">
        <w:rPr>
          <w:i/>
          <w:lang w:val="pt-BR"/>
        </w:rPr>
        <w:t xml:space="preserve">Cf. Caso Loayza Tamayo Vs. Peru. Mérito. </w:t>
      </w:r>
      <w:r w:rsidRPr="00D5464D">
        <w:rPr>
          <w:lang w:val="pt-BR"/>
        </w:rPr>
        <w:t xml:space="preserve">Sentença de 17 de setembro de 1997. Série C Nº 33, par. 43 e </w:t>
      </w:r>
      <w:r w:rsidRPr="00D5464D">
        <w:rPr>
          <w:rStyle w:val="Textoennegrita"/>
          <w:b w:val="0"/>
          <w:i/>
          <w:color w:val="000000"/>
          <w:shd w:val="clear" w:color="auto" w:fill="FFFFFF"/>
          <w:lang w:val="pt-BR"/>
        </w:rPr>
        <w:t>Caso Tenorio Roca</w:t>
      </w:r>
      <w:r w:rsidRPr="00D5464D">
        <w:rPr>
          <w:rStyle w:val="Textoennegrita"/>
          <w:b w:val="0"/>
          <w:color w:val="000000"/>
          <w:shd w:val="clear" w:color="auto" w:fill="FFFFFF"/>
          <w:lang w:val="pt-BR"/>
        </w:rPr>
        <w:t>, par. 46</w:t>
      </w:r>
      <w:r w:rsidRPr="00D5464D">
        <w:rPr>
          <w:lang w:val="pt-BR"/>
        </w:rPr>
        <w:t xml:space="preserve">. </w:t>
      </w:r>
    </w:p>
  </w:footnote>
  <w:footnote w:id="63">
    <w:p w14:paraId="501EF046" w14:textId="489F1CCD"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Relatório da Relatora Especial sobre as formas contemporâneas da escravidão, incluindo suas causas e consequências,</w:t>
      </w:r>
      <w:r w:rsidRPr="00D5464D">
        <w:rPr>
          <w:rFonts w:cs="Arial"/>
          <w:i/>
          <w:iCs/>
          <w:lang w:val="pt-BR"/>
        </w:rPr>
        <w:t xml:space="preserve"> </w:t>
      </w:r>
      <w:r w:rsidRPr="00D5464D">
        <w:rPr>
          <w:rFonts w:cs="Arial"/>
          <w:lang w:val="pt-BR"/>
        </w:rPr>
        <w:t>Gulnara Shahinian. Missão ao Brasil, 30 de agosto de 2010, par. 23 (expediente de prova, folha 163).</w:t>
      </w:r>
    </w:p>
  </w:footnote>
  <w:footnote w:id="64">
    <w:p w14:paraId="4DF49A86" w14:textId="1B20BC5E" w:rsidR="00AF210B" w:rsidRPr="00D5464D" w:rsidRDefault="00AF210B" w:rsidP="002A0C2B">
      <w:pPr>
        <w:tabs>
          <w:tab w:val="clear" w:pos="4419"/>
          <w:tab w:val="clear" w:pos="8838"/>
          <w:tab w:val="right" w:pos="0"/>
        </w:tabs>
        <w:autoSpaceDE w:val="0"/>
        <w:autoSpaceDN w:val="0"/>
        <w:adjustRightInd w:val="0"/>
        <w:spacing w:after="20"/>
        <w:jc w:val="both"/>
        <w:rPr>
          <w:rFonts w:cs="Arial"/>
          <w:sz w:val="16"/>
          <w:szCs w:val="16"/>
          <w:lang w:val="pt-BR"/>
        </w:rPr>
      </w:pPr>
      <w:r w:rsidRPr="00D5464D">
        <w:rPr>
          <w:rStyle w:val="Refdenotaalpie"/>
          <w:sz w:val="16"/>
          <w:szCs w:val="16"/>
        </w:rPr>
        <w:footnoteRef/>
      </w:r>
      <w:r w:rsidRPr="00D5464D">
        <w:rPr>
          <w:sz w:val="16"/>
          <w:szCs w:val="16"/>
          <w:lang w:val="pt-BR"/>
        </w:rPr>
        <w:t xml:space="preserve"> Relatório da Relatora Especial sobre as formas contemporâneas da escravidão, incluindo suas causas e consequências,</w:t>
      </w:r>
      <w:r w:rsidRPr="00D5464D">
        <w:rPr>
          <w:rFonts w:cs="Arial"/>
          <w:i/>
          <w:iCs/>
          <w:sz w:val="16"/>
          <w:szCs w:val="16"/>
          <w:lang w:val="pt-BR"/>
        </w:rPr>
        <w:t xml:space="preserve"> </w:t>
      </w:r>
      <w:r w:rsidRPr="00D5464D">
        <w:rPr>
          <w:rFonts w:cs="Arial"/>
          <w:sz w:val="16"/>
          <w:szCs w:val="16"/>
          <w:lang w:val="pt-BR"/>
        </w:rPr>
        <w:t>Gulnara Shahinian. Missão ao Brasil, 30 de agosto de 2010, pars. 24 e 25 (expediente de prova, folha 163).</w:t>
      </w:r>
    </w:p>
  </w:footnote>
  <w:footnote w:id="65">
    <w:p w14:paraId="3BD8F281" w14:textId="3644919C" w:rsidR="00AF210B" w:rsidRPr="00D5464D" w:rsidRDefault="00AF210B" w:rsidP="002A0C2B">
      <w:pPr>
        <w:tabs>
          <w:tab w:val="clear" w:pos="4419"/>
          <w:tab w:val="clear" w:pos="8838"/>
          <w:tab w:val="right" w:pos="0"/>
        </w:tabs>
        <w:autoSpaceDE w:val="0"/>
        <w:autoSpaceDN w:val="0"/>
        <w:adjustRightInd w:val="0"/>
        <w:spacing w:after="20"/>
        <w:jc w:val="both"/>
        <w:rPr>
          <w:rFonts w:cs="Arial"/>
          <w:sz w:val="16"/>
          <w:szCs w:val="16"/>
          <w:lang w:val="pt-BR"/>
        </w:rPr>
      </w:pPr>
      <w:r w:rsidRPr="00D5464D">
        <w:rPr>
          <w:rStyle w:val="Refdenotaalpie"/>
          <w:sz w:val="16"/>
          <w:szCs w:val="16"/>
        </w:rPr>
        <w:footnoteRef/>
      </w:r>
      <w:r w:rsidRPr="00D5464D">
        <w:rPr>
          <w:sz w:val="16"/>
          <w:szCs w:val="16"/>
          <w:lang w:val="pt-BR"/>
        </w:rPr>
        <w:t xml:space="preserve"> </w:t>
      </w:r>
      <w:r w:rsidRPr="00D5464D">
        <w:rPr>
          <w:rFonts w:cs="Arial"/>
          <w:sz w:val="16"/>
          <w:szCs w:val="16"/>
          <w:lang w:val="pt-BR"/>
        </w:rPr>
        <w:t>Organização Internacional do Trabalho (OIT). Combatendo o Trabalho Escravo Contemporâneo: o Exemplo do Brasil. Brasília, 2010, pág. 61 (expediente de prova, folha 364).</w:t>
      </w:r>
    </w:p>
  </w:footnote>
  <w:footnote w:id="66">
    <w:p w14:paraId="0CDC00F4" w14:textId="3DEB8AC0" w:rsidR="00AF210B" w:rsidRPr="00D5464D" w:rsidRDefault="00AF210B" w:rsidP="002A0C2B">
      <w:pPr>
        <w:tabs>
          <w:tab w:val="clear" w:pos="4419"/>
          <w:tab w:val="clear" w:pos="8838"/>
          <w:tab w:val="right" w:pos="0"/>
        </w:tabs>
        <w:autoSpaceDE w:val="0"/>
        <w:autoSpaceDN w:val="0"/>
        <w:adjustRightInd w:val="0"/>
        <w:spacing w:after="20"/>
        <w:jc w:val="both"/>
        <w:rPr>
          <w:rFonts w:cs="Arial"/>
          <w:sz w:val="16"/>
          <w:szCs w:val="16"/>
          <w:lang w:val="pt-BR"/>
        </w:rPr>
      </w:pPr>
      <w:r w:rsidRPr="00D5464D">
        <w:rPr>
          <w:rStyle w:val="Refdenotaalpie"/>
          <w:sz w:val="16"/>
          <w:szCs w:val="16"/>
        </w:rPr>
        <w:footnoteRef/>
      </w:r>
      <w:r w:rsidRPr="00D5464D">
        <w:rPr>
          <w:sz w:val="16"/>
          <w:szCs w:val="16"/>
          <w:lang w:val="pt-BR"/>
        </w:rPr>
        <w:t xml:space="preserve"> </w:t>
      </w:r>
      <w:r w:rsidRPr="00D5464D">
        <w:rPr>
          <w:rFonts w:cs="Arial"/>
          <w:sz w:val="16"/>
          <w:szCs w:val="16"/>
          <w:lang w:val="pt-BR"/>
        </w:rPr>
        <w:t>Organização Internacional do Trabalho (OIT). Combatendo o Trabalho Escravo Contemporâneo: o Exemplo do Brasil. Brasília, 2010, pág. 63 (expediente de prova, folha 366).</w:t>
      </w:r>
    </w:p>
  </w:footnote>
  <w:footnote w:id="67">
    <w:p w14:paraId="6F1D4C0E" w14:textId="1F5D1327" w:rsidR="00AF210B" w:rsidRPr="00D5464D" w:rsidRDefault="00AF210B" w:rsidP="002A0C2B">
      <w:pPr>
        <w:tabs>
          <w:tab w:val="clear" w:pos="4419"/>
          <w:tab w:val="clear" w:pos="8838"/>
          <w:tab w:val="right" w:pos="0"/>
        </w:tabs>
        <w:autoSpaceDE w:val="0"/>
        <w:autoSpaceDN w:val="0"/>
        <w:adjustRightInd w:val="0"/>
        <w:spacing w:after="20"/>
        <w:jc w:val="both"/>
        <w:rPr>
          <w:rFonts w:cs="Arial"/>
          <w:sz w:val="16"/>
          <w:szCs w:val="16"/>
          <w:lang w:val="pt-BR"/>
        </w:rPr>
      </w:pPr>
      <w:r w:rsidRPr="00D5464D">
        <w:rPr>
          <w:rStyle w:val="Refdenotaalpie"/>
          <w:sz w:val="16"/>
          <w:szCs w:val="16"/>
        </w:rPr>
        <w:footnoteRef/>
      </w:r>
      <w:r w:rsidRPr="00D5464D">
        <w:rPr>
          <w:sz w:val="16"/>
          <w:szCs w:val="16"/>
          <w:lang w:val="pt-BR"/>
        </w:rPr>
        <w:t xml:space="preserve"> </w:t>
      </w:r>
      <w:r w:rsidRPr="00D5464D">
        <w:rPr>
          <w:rFonts w:cs="Arial"/>
          <w:sz w:val="16"/>
          <w:szCs w:val="16"/>
          <w:lang w:val="pt-BR"/>
        </w:rPr>
        <w:t>Organização Internacional do Trabalho (OIT). Combatendo o Trabalho Escravo Contemporâneo: o Exemplo do Brasil. Brasília, 2010, pág. 63 (expediente de prova, folha 366).</w:t>
      </w:r>
    </w:p>
  </w:footnote>
  <w:footnote w:id="68">
    <w:p w14:paraId="51FBB6DC" w14:textId="7EF27782"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Ministério do Trabalho e Emprego do Brasil. Manual de combate ao trabalho em condições análogas às de escravo. Novembro de 2011 (expediente</w:t>
      </w:r>
      <w:r w:rsidRPr="00D5464D">
        <w:rPr>
          <w:rFonts w:cs="Arial"/>
          <w:lang w:val="pt-BR"/>
        </w:rPr>
        <w:t xml:space="preserve"> de prova, folha 9991) e Organização Internacional do Trabalho (OIT). Combatendo o Trabalho Escravo Contemporâneo: o Exemplo do Brasil. Brasília, 2010, pág. 31 (expediente de prova, folha 334).</w:t>
      </w:r>
    </w:p>
  </w:footnote>
  <w:footnote w:id="69">
    <w:p w14:paraId="40A306D7" w14:textId="16AAC06C"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lang w:val="es-ES"/>
        </w:rPr>
        <w:footnoteRef/>
      </w:r>
      <w:r w:rsidRPr="00D5464D">
        <w:rPr>
          <w:lang w:val="pt-BR"/>
        </w:rPr>
        <w:t xml:space="preserve"> Organização Internacional do Trabalho (OIT). Combatendo o Trabalho Escravo Contemporâneo: o Exemplo do Brasil. Brasília, 2010, pág. 56 (expediente de prova, folha 359).</w:t>
      </w:r>
    </w:p>
  </w:footnote>
  <w:footnote w:id="70">
    <w:p w14:paraId="494A35AE" w14:textId="51E71819"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Relatório da Relatora Especial sobre as formas contemporâneas da escravidão, incluindo suas causas e consequências,</w:t>
      </w:r>
      <w:r w:rsidRPr="00D5464D">
        <w:rPr>
          <w:rFonts w:cs="Arial"/>
          <w:i/>
          <w:iCs/>
          <w:lang w:val="pt-BR"/>
        </w:rPr>
        <w:t xml:space="preserve"> </w:t>
      </w:r>
      <w:r w:rsidRPr="00D5464D">
        <w:rPr>
          <w:rFonts w:cs="Arial"/>
          <w:lang w:val="pt-BR"/>
        </w:rPr>
        <w:t>Gulnara Shahinian. Missão ao Brasil, 30 de agosto de 2010, par. 28 (expediente de prova, folha 163).</w:t>
      </w:r>
    </w:p>
  </w:footnote>
  <w:footnote w:id="71">
    <w:p w14:paraId="3EFA2A4E" w14:textId="29944888" w:rsidR="00AF210B" w:rsidRPr="00D5464D" w:rsidRDefault="00AF210B" w:rsidP="002A0C2B">
      <w:pPr>
        <w:tabs>
          <w:tab w:val="clear" w:pos="4419"/>
          <w:tab w:val="clear" w:pos="8838"/>
          <w:tab w:val="right" w:pos="0"/>
        </w:tabs>
        <w:autoSpaceDE w:val="0"/>
        <w:autoSpaceDN w:val="0"/>
        <w:adjustRightInd w:val="0"/>
        <w:spacing w:after="20"/>
        <w:jc w:val="both"/>
        <w:rPr>
          <w:rFonts w:cs="Arial"/>
          <w:sz w:val="16"/>
          <w:szCs w:val="16"/>
          <w:lang w:val="pt-BR"/>
        </w:rPr>
      </w:pPr>
      <w:r w:rsidRPr="00D5464D">
        <w:rPr>
          <w:rStyle w:val="Refdenotaalpie"/>
          <w:sz w:val="16"/>
          <w:szCs w:val="16"/>
        </w:rPr>
        <w:footnoteRef/>
      </w:r>
      <w:r w:rsidRPr="00D5464D">
        <w:rPr>
          <w:sz w:val="16"/>
          <w:szCs w:val="16"/>
          <w:lang w:val="pt-BR"/>
        </w:rPr>
        <w:t xml:space="preserve"> Perícia escrita de Raquel Elias Ferreira Dodge de 18 de fevereiro de 2016 (expediente de prova folha 15365). Relatório da Relatora Especial sobre as formas contemporâneas da escravidão, incluindo suas causas e consequências,</w:t>
      </w:r>
      <w:r w:rsidRPr="00D5464D">
        <w:rPr>
          <w:rFonts w:cs="Arial"/>
          <w:i/>
          <w:iCs/>
          <w:sz w:val="16"/>
          <w:szCs w:val="16"/>
          <w:lang w:val="pt-BR"/>
        </w:rPr>
        <w:t xml:space="preserve"> </w:t>
      </w:r>
      <w:r w:rsidRPr="00D5464D">
        <w:rPr>
          <w:rFonts w:cs="Arial"/>
          <w:sz w:val="16"/>
          <w:szCs w:val="16"/>
          <w:lang w:val="pt-BR"/>
        </w:rPr>
        <w:t>Gulnara Shahinian. Missão ao Brasil, 30 de agosto de 2010, par. 28 (expediente de prova, folha 163).</w:t>
      </w:r>
    </w:p>
  </w:footnote>
  <w:footnote w:id="72">
    <w:p w14:paraId="1E35C0DD" w14:textId="425FF84D"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Perícia escrita de Raquel Elias Ferreira Dodge de 18 de fevereiro de 2016 (expediente de prova folha 15365). </w:t>
      </w:r>
    </w:p>
  </w:footnote>
  <w:footnote w:id="73">
    <w:p w14:paraId="673FA581" w14:textId="38AF4DE4"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Relatório da Relatora Especial sobre as formas contemporâneas da escravidão, incluindo suas causas e consequências,</w:t>
      </w:r>
      <w:r w:rsidRPr="00D5464D">
        <w:rPr>
          <w:rFonts w:cs="Arial"/>
          <w:i/>
          <w:iCs/>
          <w:lang w:val="pt-BR"/>
        </w:rPr>
        <w:t xml:space="preserve"> </w:t>
      </w:r>
      <w:r w:rsidRPr="00D5464D">
        <w:rPr>
          <w:rFonts w:cs="Arial"/>
          <w:lang w:val="pt-BR"/>
        </w:rPr>
        <w:t>Gulnara Shahinian. Missão ao Brasil, 30 de agosto de 2010, par. 29 (expediente de prova, folha 163).</w:t>
      </w:r>
    </w:p>
  </w:footnote>
  <w:footnote w:id="74">
    <w:p w14:paraId="0F349F8D" w14:textId="384BFE6B"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Testemunho de Leonardo Sakamoto durante a audiência pública. Perícia escrita de Raquel Elias Ferreira Dodge de 18 de fevereiro de 2016 (expediente de prova folha 15368). Relatório da Relatora Especial sobre as formas contemporâneas da escravidão, incluindo suas causas e consequências,</w:t>
      </w:r>
      <w:r w:rsidRPr="00D5464D">
        <w:rPr>
          <w:rFonts w:cs="Arial"/>
          <w:i/>
          <w:iCs/>
          <w:lang w:val="pt-BR"/>
        </w:rPr>
        <w:t xml:space="preserve"> </w:t>
      </w:r>
      <w:r w:rsidRPr="00D5464D">
        <w:rPr>
          <w:rFonts w:cs="Arial"/>
          <w:lang w:val="pt-BR"/>
        </w:rPr>
        <w:t>Gulnara Shahinian. Missão ao Brasil, 30 de agosto de 2010, pars. 15 a 40 (expediente de prova, folha 163).</w:t>
      </w:r>
    </w:p>
  </w:footnote>
  <w:footnote w:id="75">
    <w:p w14:paraId="70D99FB7" w14:textId="78CECE68"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Este é o termo empregado para designar às pessoas que contatam, recrutam, trasladam e, em alguns casos, também vigiam aos trabalhadores desde seus estados de origem até as Fazendas. Ver, entre outros, as declarações testemunhais perante a Corte de Leonardo Sakamoto, Ana Paula de Sousa e Raquel Dodge. </w:t>
      </w:r>
    </w:p>
  </w:footnote>
  <w:footnote w:id="76">
    <w:p w14:paraId="67D111DC" w14:textId="566C1980"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Ministério do Trabalho e Emprego do Brasil. Manual de combate ao trabalho em condições análogas às de escravo. Novembro de 2011 (expediente</w:t>
      </w:r>
      <w:r w:rsidRPr="00D5464D">
        <w:rPr>
          <w:rFonts w:cs="Arial"/>
          <w:lang w:val="pt-BR"/>
        </w:rPr>
        <w:t xml:space="preserve"> de prova, folha 10003). </w:t>
      </w:r>
      <w:r w:rsidRPr="00D5464D">
        <w:rPr>
          <w:lang w:val="pt-BR"/>
        </w:rPr>
        <w:t>Perícia escrita de Raquel Elias Ferreira Dodge de 18 de fevereiro de 2016 (expediente de prova folha 15366). Testemunho de Ana Paula de Souza durante a audiência pública. Relatório da Relatora Especial sobre as formas contemporâneas da escravidão, incluindo suas causas e consequências,</w:t>
      </w:r>
      <w:r w:rsidRPr="00D5464D">
        <w:rPr>
          <w:rFonts w:cs="Arial"/>
          <w:i/>
          <w:iCs/>
          <w:lang w:val="pt-BR"/>
        </w:rPr>
        <w:t xml:space="preserve"> </w:t>
      </w:r>
      <w:r w:rsidRPr="00D5464D">
        <w:rPr>
          <w:rFonts w:cs="Arial"/>
          <w:lang w:val="pt-BR"/>
        </w:rPr>
        <w:t>Gulnara Shahinian. Missão ao Brasil, 30 de agosto de 2010, par. 31 (expediente de prova, folha 164).</w:t>
      </w:r>
    </w:p>
  </w:footnote>
  <w:footnote w:id="77">
    <w:p w14:paraId="5AA711CB" w14:textId="0C1B1A0C"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Ministério do Trabalho e Emprego do Brasil. Manual de combate ao trabalho em condições análogas às de escravo. Novembro de 2011 (expediente</w:t>
      </w:r>
      <w:r w:rsidRPr="00D5464D">
        <w:rPr>
          <w:rFonts w:cs="Arial"/>
          <w:lang w:val="pt-BR"/>
        </w:rPr>
        <w:t xml:space="preserve"> de prova, folhas 10006 e 10007). </w:t>
      </w:r>
      <w:r w:rsidRPr="00D5464D">
        <w:rPr>
          <w:lang w:val="pt-BR"/>
        </w:rPr>
        <w:t>Testemunho de Ana Paula de Souza durante a audiência pública.</w:t>
      </w:r>
      <w:r w:rsidRPr="00D5464D">
        <w:rPr>
          <w:rFonts w:cs="Arial"/>
          <w:lang w:val="pt-BR"/>
        </w:rPr>
        <w:t xml:space="preserve"> Relatório da Relatora Especial </w:t>
      </w:r>
      <w:r w:rsidRPr="00D5464D">
        <w:rPr>
          <w:lang w:val="pt-BR"/>
        </w:rPr>
        <w:t>sobre as formas contemporâneas da escravidão, incluindo suas causas e consequências,</w:t>
      </w:r>
      <w:r w:rsidRPr="00D5464D">
        <w:rPr>
          <w:rFonts w:cs="Arial"/>
          <w:i/>
          <w:iCs/>
          <w:lang w:val="pt-BR"/>
        </w:rPr>
        <w:t xml:space="preserve"> </w:t>
      </w:r>
      <w:r w:rsidRPr="00D5464D">
        <w:rPr>
          <w:rFonts w:cs="Arial"/>
          <w:lang w:val="pt-BR"/>
        </w:rPr>
        <w:t>Gulnara Shahinian. Missão ao Brasil, 30 de agosto de 2010, par. 31 (expediente de prova, folha 164).</w:t>
      </w:r>
    </w:p>
  </w:footnote>
  <w:footnote w:id="78">
    <w:p w14:paraId="56626FA9" w14:textId="06C2E9F9"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Ministério do Trabalho e Emprego do Brasil. Manual de combate ao trabalho em condições análogas às de escravo. Novembro de 2011 (expediente</w:t>
      </w:r>
      <w:r w:rsidRPr="00D5464D">
        <w:rPr>
          <w:rFonts w:cs="Arial"/>
          <w:lang w:val="pt-BR"/>
        </w:rPr>
        <w:t xml:space="preserve"> de prova, folha 10004). </w:t>
      </w:r>
      <w:r w:rsidRPr="00D5464D">
        <w:rPr>
          <w:lang w:val="pt-BR"/>
        </w:rPr>
        <w:t>Testemunho de Ana Paula de Souza durante a audiência pública. Perícia escrita de Raquel Elias Ferreira Dodge de 18 de fevereiro de 2016 (expediente de prova folha 15368). Relatório da Relatora Especial sobre as formas contemporâneas da escravidão, incluindo suas causas e consequências,</w:t>
      </w:r>
      <w:r w:rsidRPr="00D5464D">
        <w:rPr>
          <w:rFonts w:cs="Arial"/>
          <w:i/>
          <w:iCs/>
          <w:lang w:val="pt-BR"/>
        </w:rPr>
        <w:t xml:space="preserve"> </w:t>
      </w:r>
      <w:r w:rsidRPr="00D5464D">
        <w:rPr>
          <w:rFonts w:cs="Arial"/>
          <w:lang w:val="pt-BR"/>
        </w:rPr>
        <w:t>Gulnara Shahinian. Missão ao Brasil, 30 de agosto de 2010, par. 32 (expediente de prova, folha 164).</w:t>
      </w:r>
    </w:p>
  </w:footnote>
  <w:footnote w:id="79">
    <w:p w14:paraId="19629B36" w14:textId="49EADD46"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Ministério do Trabalho e Emprego do Brasil. Manual de combate ao trabalho em condições análogas às de escravo. Novembro de 2011 (expediente</w:t>
      </w:r>
      <w:r w:rsidRPr="00D5464D">
        <w:rPr>
          <w:rFonts w:cs="Arial"/>
          <w:lang w:val="pt-BR"/>
        </w:rPr>
        <w:t xml:space="preserve"> de prova, folha 10005).</w:t>
      </w:r>
    </w:p>
  </w:footnote>
  <w:footnote w:id="80">
    <w:p w14:paraId="76E920E9" w14:textId="7E969DFD"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Ministério do Trabalho e Emprego do Brasil. Manual de combate ao trabalho em condições análogas às de escravo. Novembro de 2011 (expediente</w:t>
      </w:r>
      <w:r w:rsidRPr="00D5464D">
        <w:rPr>
          <w:rFonts w:cs="Arial"/>
          <w:lang w:val="pt-BR"/>
        </w:rPr>
        <w:t xml:space="preserve"> de prova, folha 10004). </w:t>
      </w:r>
      <w:r w:rsidRPr="00D5464D">
        <w:rPr>
          <w:lang w:val="pt-BR"/>
        </w:rPr>
        <w:t>Perícia escrita de Raquel Elias Ferreira Dodge de 18 de fevereiro de 2016 (expediente de prova folhas 15372 e 15373). Testemunho de Ana Paula de Souza durante a audiência pública. Relatório da Relatora Especial sobre as formas contemporâneas da escravidão, incluindo suas causas e consequências,</w:t>
      </w:r>
      <w:r w:rsidRPr="00D5464D">
        <w:rPr>
          <w:rFonts w:cs="Arial"/>
          <w:i/>
          <w:iCs/>
          <w:lang w:val="pt-BR"/>
        </w:rPr>
        <w:t xml:space="preserve"> </w:t>
      </w:r>
      <w:r w:rsidRPr="00D5464D">
        <w:rPr>
          <w:rFonts w:cs="Arial"/>
          <w:lang w:val="pt-BR"/>
        </w:rPr>
        <w:t>Gulnara Shahinian. Missão ao Brasil, 30 de agosto de 2010, par. 33 (expediente de prova, folha 164).</w:t>
      </w:r>
    </w:p>
  </w:footnote>
  <w:footnote w:id="81">
    <w:p w14:paraId="68A0709F" w14:textId="7337FD60"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Testemunho de Leonardo Sakamoto durante a audiência pública. Relatório da Relatora Especial sobre as formas contemporâneas da escravidão, incluindo suas causas e consequências,</w:t>
      </w:r>
      <w:r w:rsidRPr="00D5464D">
        <w:rPr>
          <w:rFonts w:cs="Arial"/>
          <w:i/>
          <w:iCs/>
          <w:lang w:val="pt-BR"/>
        </w:rPr>
        <w:t xml:space="preserve"> </w:t>
      </w:r>
      <w:r w:rsidRPr="00D5464D">
        <w:rPr>
          <w:rFonts w:cs="Arial"/>
          <w:lang w:val="pt-BR"/>
        </w:rPr>
        <w:t xml:space="preserve">Gulnara Shahinian. Missão ao Brasil, 30 de agosto de 2010, par. 35 (expediente de prova, folha 164). </w:t>
      </w:r>
    </w:p>
  </w:footnote>
  <w:footnote w:id="82">
    <w:p w14:paraId="6E0D65D7" w14:textId="7D40DC63"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Testemunho de Leonardo Sakamoto durante a audiência pública. Organização Internacional do Trabalho (OIT). Combatendo o Trabalho Escravo Contemporâneo: o Exemplo do Brasil. Brasília, 2010, pág. 68 (expediente de prova, folha 371).</w:t>
      </w:r>
    </w:p>
  </w:footnote>
  <w:footnote w:id="83">
    <w:p w14:paraId="1308E065" w14:textId="7B6D713C"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Ministério do Trabalho e Emprego do Brasil. Manual de combate ao trabalho em condições análogas às de escravo. Novembro de 2011 (expediente</w:t>
      </w:r>
      <w:r w:rsidRPr="00D5464D">
        <w:rPr>
          <w:rFonts w:cs="Arial"/>
          <w:lang w:val="pt-BR"/>
        </w:rPr>
        <w:t xml:space="preserve"> de prova, folha 9991). </w:t>
      </w:r>
      <w:r w:rsidRPr="00D5464D">
        <w:rPr>
          <w:lang w:val="pt-BR"/>
        </w:rPr>
        <w:t>Ver, entre outros, Declaração do Presidente da República Fernando Henrique Cardoso em 27 de junho de 1995: “Ainda existem brasileiros que trabalham sem liberdade. Só que, antigamente, os escravos tinham um senhor. Os escravos do Brasil moderno trocam de dono e nunca sabem o que esperam no dia seguinte. [...] Trabalho escravo é aquele que tira a liberdade de ir e vir do trabalhador. Isso acontece, principalmente, no Sul do Pará. Mais de 8o% das denúncias que chegam ao Ministério do Trabalho são do Pará. Em fazendas que fazem desmatamento, por exemplo, o trabalhador escravo é vigiado, 24 horas por dia, por jagunços muito bem armados. […] a dívida dele vai aumentando, não recebe nada no fim do mês e é obrigado a continuar trabalhando para pagar a dívida […] Eu estou assinando hoje um decreto para criar um grupo executivo de repressão ao trabalho forcado […] A primeira tarefa será definir punições realmente rigorosas para essas pessoas que andam transformando brasileiros em escravos. […] O problema do trabalho escravo e do trabalho degradante no Brasil é muito, mas muito grave! Felizmente, não é só o Governo que se mobiliza para combatê-lo. Várias entidades da sociedade civil, como a Comissão Pastoral da Terra, também estão agindo. Esse problema tem que ser enfrentado assim: com a união de esforços e sem interesses políticos ou religiosos […] E um apelo a esses brasileiros que são escravizados e a suas famílias: denunciem! […] Precisamos fazer um esforço nacional para cumprir, definitivamente, a Lei Áurea!” (expediente de prova, folha 7108).</w:t>
      </w:r>
    </w:p>
  </w:footnote>
  <w:footnote w:id="84">
    <w:p w14:paraId="3648D5EA" w14:textId="23499A86"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Testemunho prestado mediante declaração juramentada de José Armando Fraga Diniz Guerra de 28 de janeiro de 2016 (expediente</w:t>
      </w:r>
      <w:r w:rsidRPr="00D5464D">
        <w:rPr>
          <w:rFonts w:cs="Arial"/>
          <w:lang w:val="pt-BR"/>
        </w:rPr>
        <w:t xml:space="preserve"> de prova, folha 13314). </w:t>
      </w:r>
    </w:p>
  </w:footnote>
  <w:footnote w:id="85">
    <w:p w14:paraId="23433A04" w14:textId="47D3836C"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Organização Internacional do Trabalho (OIT). Combatendo o Trabalho Escravo Contemporâneo: o Exemplo do Brasil. Brasília, 2010, pág. 126 (expediente de prova, folha 427).</w:t>
      </w:r>
    </w:p>
  </w:footnote>
  <w:footnote w:id="86">
    <w:p w14:paraId="65157448" w14:textId="1027AEA5"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Testemunho prestado mediante declaração juramentada de Jonas Ratier Moreno de 29 de janeiro de 2016 (expediente</w:t>
      </w:r>
      <w:r w:rsidRPr="00D5464D">
        <w:rPr>
          <w:rFonts w:cs="Arial"/>
          <w:lang w:val="pt-BR"/>
        </w:rPr>
        <w:t xml:space="preserve"> de prova, folha 13327).</w:t>
      </w:r>
    </w:p>
  </w:footnote>
  <w:footnote w:id="87">
    <w:p w14:paraId="031ADD47" w14:textId="5144DFC5"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Ministério do Trabalho e Emprego do Brasil. Trabalho Escravo no Brasil em Retrospectiva: referências para estudos e pesquisas. Janeiro de 2012 (expediente</w:t>
      </w:r>
      <w:r w:rsidRPr="00D5464D">
        <w:rPr>
          <w:rFonts w:cs="Arial"/>
          <w:lang w:val="pt-BR"/>
        </w:rPr>
        <w:t xml:space="preserve"> de prova, folha 9958). Organização Internacional do Trabalho (OIT). Combatendo o Trabalho Escravo Contemporâneo: o Exemplo do Brasil. Brasília, 2010, pág. 126 (expediente de prova, folha 427). </w:t>
      </w:r>
    </w:p>
  </w:footnote>
  <w:footnote w:id="88">
    <w:p w14:paraId="38A7AE95" w14:textId="4B318E63"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Testemunho prestado mediante declaração juramentada de Jonas Ratier Moreno de 29 de janeiro de 2016 (expediente</w:t>
      </w:r>
      <w:r w:rsidRPr="00D5464D">
        <w:rPr>
          <w:rFonts w:cs="Arial"/>
          <w:lang w:val="pt-BR"/>
        </w:rPr>
        <w:t xml:space="preserve"> de prova, folha 13327).</w:t>
      </w:r>
    </w:p>
  </w:footnote>
  <w:footnote w:id="89">
    <w:p w14:paraId="13E1500B" w14:textId="2066135B"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Testemunho prestado mediante declaração juramentada de Jonas Ratier Moreno de 29 de janeiro de 2016 (expediente</w:t>
      </w:r>
      <w:r w:rsidRPr="00D5464D">
        <w:rPr>
          <w:rFonts w:cs="Arial"/>
          <w:lang w:val="pt-BR"/>
        </w:rPr>
        <w:t xml:space="preserve"> de prova, folha 13327).</w:t>
      </w:r>
    </w:p>
  </w:footnote>
  <w:footnote w:id="90">
    <w:p w14:paraId="45C86C2B" w14:textId="71FF3CEA"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Testemunho de Leonardo Sakamoto durante a audiência pública. Organização Internacional do Trabalho (OIT). Combatendo o Trabalho Escravo Contemporâneo: o Exemplo do Brasil. Brasília, 2010, pág. 146 (expediente de prova, folha 447). A publicação da “lista suja” foi suspensa em 23 de dezembro de 2014, como resultado da Ação Direta de Inconstitucionalidade nº 5.209 (expediente de prova, folha 7301). Posteriormente, foi reinstaurada através da Decisão Interministerial nº 2 em 31 de março de 2015 (expediente de prova, folha 7409). Testemunho prestado mediante declaração juramentada de Jonas Ratier Moreno de 29 de janeiro de 2016 (expediente</w:t>
      </w:r>
      <w:r w:rsidRPr="00D5464D">
        <w:rPr>
          <w:rFonts w:cs="Arial"/>
          <w:lang w:val="pt-BR"/>
        </w:rPr>
        <w:t xml:space="preserve"> de prova, folha 13328).</w:t>
      </w:r>
    </w:p>
  </w:footnote>
  <w:footnote w:id="91">
    <w:p w14:paraId="34EA93F9" w14:textId="01E2A607"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rFonts w:cs="Arial"/>
          <w:bCs/>
          <w:lang w:val="pt-BR"/>
        </w:rPr>
        <w:t xml:space="preserve">Segundo </w:t>
      </w:r>
      <w:r w:rsidRPr="00D5464D">
        <w:rPr>
          <w:rFonts w:cs="Arial"/>
          <w:lang w:val="pt-BR"/>
        </w:rPr>
        <w:t xml:space="preserve">Plano Nacional para a erradicação da escravidão (expediente de prova, folha 7189). </w:t>
      </w:r>
      <w:r w:rsidRPr="00D5464D">
        <w:rPr>
          <w:lang w:val="pt-BR"/>
        </w:rPr>
        <w:t>Ministério do Trabalho e Emprego do Brasil. Trabalho Escravo no Brasil em Retrospectiva: referências para estudos e pesquisas. Janeiro de 2012 (expediente</w:t>
      </w:r>
      <w:r w:rsidRPr="00D5464D">
        <w:rPr>
          <w:rFonts w:cs="Arial"/>
          <w:lang w:val="pt-BR"/>
        </w:rPr>
        <w:t xml:space="preserve"> de prova, folha 9961). </w:t>
      </w:r>
      <w:r w:rsidRPr="00D5464D">
        <w:rPr>
          <w:lang w:val="pt-BR"/>
        </w:rPr>
        <w:t>Testemunho prestado mediante declaração juramentada de Jonas Ratier Moreno de 29 de janeiro de 2016 (expediente</w:t>
      </w:r>
      <w:r w:rsidRPr="00D5464D">
        <w:rPr>
          <w:rFonts w:cs="Arial"/>
          <w:lang w:val="pt-BR"/>
        </w:rPr>
        <w:t xml:space="preserve"> de prova, folha 13329).</w:t>
      </w:r>
    </w:p>
  </w:footnote>
  <w:footnote w:id="92">
    <w:p w14:paraId="263B95F2" w14:textId="254D8DA1"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Testemunho prestado mediante declaração juramentada de Michael Freitas Mohallem de 4 de fevereiro de 2016 (expediente</w:t>
      </w:r>
      <w:r w:rsidRPr="00D5464D">
        <w:rPr>
          <w:rFonts w:cs="Arial"/>
          <w:lang w:val="pt-BR"/>
        </w:rPr>
        <w:t xml:space="preserve"> de prova, folha 14089).</w:t>
      </w:r>
    </w:p>
  </w:footnote>
  <w:footnote w:id="93">
    <w:p w14:paraId="56F41A43" w14:textId="2D7C6A6C"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Testemunho prestado mediante declaração juramentada de Jonas Ratier Moreno de 29 de janeiro de 2016 (expediente</w:t>
      </w:r>
      <w:r w:rsidRPr="00D5464D">
        <w:rPr>
          <w:rFonts w:cs="Arial"/>
          <w:lang w:val="pt-BR"/>
        </w:rPr>
        <w:t xml:space="preserve"> de prova, folha 13329).</w:t>
      </w:r>
    </w:p>
  </w:footnote>
  <w:footnote w:id="94">
    <w:p w14:paraId="6DA062C4" w14:textId="66375F5F"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Organização Internacional do Trabalho (OIT). Combatendo o Trabalho Escravo Contemporâneo: o Exemplo do Brasil. Brasília, 2010, pág. 145 (expediente de prova, folha 446).</w:t>
      </w:r>
    </w:p>
  </w:footnote>
  <w:footnote w:id="95">
    <w:p w14:paraId="3CF9DEA8" w14:textId="38D6DF3B"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Decreto-Lei nº 5.452 de 1º de maio de 1943 (expediente de prova, folha 6188).</w:t>
      </w:r>
    </w:p>
  </w:footnote>
  <w:footnote w:id="96">
    <w:p w14:paraId="58DFAAC5" w14:textId="7831FC58"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Lei nº 5.889 de 8 de junho de 1973 (expediente de prova, folha 6316).</w:t>
      </w:r>
    </w:p>
  </w:footnote>
  <w:footnote w:id="97">
    <w:p w14:paraId="17A73C4F" w14:textId="4732709C"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Artigo 7º da Constituição Política da República Federativa do Brasil de 1988.</w:t>
      </w:r>
    </w:p>
  </w:footnote>
  <w:footnote w:id="98">
    <w:p w14:paraId="05C15607" w14:textId="1E935517"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Artigo 149 do Código Penal brasileiro de 1940. </w:t>
      </w:r>
    </w:p>
  </w:footnote>
  <w:footnote w:id="99">
    <w:p w14:paraId="650E0E47" w14:textId="30CA4798"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Artigo 197 do Código Penal brasileiro de 1940: Constranger alguém, mediante violência ou grave ameaça:</w:t>
      </w:r>
      <w:bookmarkStart w:id="257" w:name="art197i"/>
      <w:bookmarkEnd w:id="257"/>
      <w:r w:rsidRPr="00D5464D">
        <w:rPr>
          <w:lang w:val="pt-BR"/>
        </w:rPr>
        <w:t xml:space="preserve"> I - a exercer ou não exercer arte, ofício, profissão ou indústria, ou a trabalhar ou não trabalhar durante certo período ou em determinados dias: Pena - detenção, de um mês a um ano e multa, além da pena correspondente à violência;</w:t>
      </w:r>
      <w:bookmarkStart w:id="258" w:name="art197ii"/>
      <w:bookmarkEnd w:id="258"/>
      <w:r w:rsidRPr="00D5464D">
        <w:rPr>
          <w:lang w:val="pt-BR"/>
        </w:rPr>
        <w:t xml:space="preserve"> II - a abrir ou fechar o seu estabelecimento de trabalho, ou a participar de parede ou paralisação de atividade econômica: Pena - detenção, de três meses a um ano e multa, além da pena correspondente à violência.</w:t>
      </w:r>
    </w:p>
  </w:footnote>
  <w:footnote w:id="100">
    <w:p w14:paraId="67469B6C" w14:textId="5D997ED6" w:rsidR="00AF210B" w:rsidRPr="00D5464D" w:rsidRDefault="00AF210B" w:rsidP="002A0C2B">
      <w:pPr>
        <w:pStyle w:val="Textonotapie"/>
        <w:tabs>
          <w:tab w:val="right" w:pos="0"/>
        </w:tabs>
        <w:spacing w:after="20"/>
        <w:rPr>
          <w:lang w:val="pt-BR"/>
        </w:rPr>
      </w:pPr>
      <w:r w:rsidRPr="00D5464D">
        <w:rPr>
          <w:rStyle w:val="Refdenotaalpie"/>
          <w:szCs w:val="16"/>
        </w:rPr>
        <w:footnoteRef/>
      </w:r>
      <w:r w:rsidRPr="00D5464D">
        <w:rPr>
          <w:lang w:val="pt-BR"/>
        </w:rPr>
        <w:t xml:space="preserve"> Artigo 207 Código Penal brasileiro: </w:t>
      </w:r>
      <w:r w:rsidRPr="00D5464D">
        <w:rPr>
          <w:bCs/>
          <w:lang w:val="pt-BR"/>
        </w:rPr>
        <w:t>Aliciamento de trabalhadores de um local para outro do território nacional</w:t>
      </w:r>
      <w:bookmarkStart w:id="259" w:name="art207"/>
      <w:bookmarkEnd w:id="259"/>
      <w:r w:rsidRPr="00D5464D">
        <w:rPr>
          <w:lang w:val="pt-BR"/>
        </w:rPr>
        <w:t>. Art. 207 - Aliciar trabalhadores, com o fim de levá-los de uma para outra localidade do território nacional: Pena - reclusão de um a três anos e multa. § 1º Incorre na mesma pena quem recrutar trabalhadores fora da localidade de execução do trabalho, dentro do território nacional, mediante fraude ou cobrança de qualquer quantia do trabalhador, ou, ainda, não assegurar condições do seu retorno ao local de origem. § 2º A pena é aumentada de um sexto a um terço se a vítima é menor de dezoito anos, idosa, gestante, indígena ou portadora de deficiência física ou mental. </w:t>
      </w:r>
    </w:p>
  </w:footnote>
  <w:footnote w:id="101">
    <w:p w14:paraId="1AC57213" w14:textId="13147FA5"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Instrução Normativa Intersecretarial nº 1, de 24 de março de 1994 (expediente de prova, folha 6427).</w:t>
      </w:r>
    </w:p>
  </w:footnote>
  <w:footnote w:id="102">
    <w:p w14:paraId="23B615B3" w14:textId="65C0B364"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Instrução Normativa Intersecretarial nº 65, de 31 de julho de 2006 (expediente de prova, folha 6432).</w:t>
      </w:r>
    </w:p>
  </w:footnote>
  <w:footnote w:id="103">
    <w:p w14:paraId="1B6B42DB" w14:textId="413B1F5D"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Ofício da Superintendência Regional do Pará, Polícia Federal (expediente de prova, folha 550).</w:t>
      </w:r>
    </w:p>
  </w:footnote>
  <w:footnote w:id="104">
    <w:p w14:paraId="7CF08254" w14:textId="4FC5B9FC"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Auto de Infração (expediente de prova, folha 548).</w:t>
      </w:r>
    </w:p>
  </w:footnote>
  <w:footnote w:id="105">
    <w:p w14:paraId="31C4C841" w14:textId="23C80451"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Ordem de Missão 018/89 (expediente de prova, folha 554).</w:t>
      </w:r>
    </w:p>
  </w:footnote>
  <w:footnote w:id="106">
    <w:p w14:paraId="65432347" w14:textId="132A81F6"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Denúncia à Polícia Federal de 21 de dezembro de 1988 (expediente de prova, folha 7428).</w:t>
      </w:r>
    </w:p>
  </w:footnote>
  <w:footnote w:id="107">
    <w:p w14:paraId="5BAD4770" w14:textId="071067C7"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Denúncia à Polícia Federal de 21 de dezembro de 1988 (expediente de prova, folha 7428).</w:t>
      </w:r>
    </w:p>
  </w:footnote>
  <w:footnote w:id="108">
    <w:p w14:paraId="219A7C11" w14:textId="674AD44A"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Vegetação/mato que cresce nos campos de cultivo e que precisa ser retirada para cultivar a terra.</w:t>
      </w:r>
    </w:p>
  </w:footnote>
  <w:footnote w:id="109">
    <w:p w14:paraId="3E964CA0" w14:textId="0526AA3A"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Declaração de </w:t>
      </w:r>
      <w:r w:rsidRPr="00D5464D">
        <w:rPr>
          <w:rFonts w:cs="Arial"/>
          <w:lang w:val="pt-BR"/>
        </w:rPr>
        <w:t>Adailton Martins dos Reis</w:t>
      </w:r>
      <w:r w:rsidRPr="00D5464D">
        <w:rPr>
          <w:lang w:val="pt-BR"/>
        </w:rPr>
        <w:t xml:space="preserve"> de 21 de dezembro de 1988 (expediente de prova, folha 558).</w:t>
      </w:r>
    </w:p>
  </w:footnote>
  <w:footnote w:id="110">
    <w:p w14:paraId="270675A9" w14:textId="0C4ED284"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Declaração de </w:t>
      </w:r>
      <w:r w:rsidRPr="00D5464D">
        <w:rPr>
          <w:rFonts w:cs="Arial"/>
          <w:lang w:val="pt-BR"/>
        </w:rPr>
        <w:t>Maria Madalena Vindoura dos Santos</w:t>
      </w:r>
      <w:r w:rsidRPr="00D5464D">
        <w:rPr>
          <w:lang w:val="pt-BR"/>
        </w:rPr>
        <w:t xml:space="preserve"> de 27 de dezembro de 1988 (expediente de prova, folha 7432).</w:t>
      </w:r>
    </w:p>
  </w:footnote>
  <w:footnote w:id="111">
    <w:p w14:paraId="3DDC9E93" w14:textId="35CEA7D0"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Denúncia ao </w:t>
      </w:r>
      <w:r w:rsidRPr="00D5464D">
        <w:rPr>
          <w:rFonts w:cs="Arial"/>
          <w:lang w:val="pt-BR"/>
        </w:rPr>
        <w:t xml:space="preserve">Conselho de Defesa dos Direitos da Pessoa Humana </w:t>
      </w:r>
      <w:r w:rsidRPr="00D5464D">
        <w:rPr>
          <w:lang w:val="pt-BR"/>
        </w:rPr>
        <w:t>de 25 de janeiro de 1989 (expediente de prova, folha 7434).</w:t>
      </w:r>
    </w:p>
  </w:footnote>
  <w:footnote w:id="112">
    <w:p w14:paraId="53BC407F" w14:textId="52FBC8E8"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Ordem de missão nº 018/89 de 9 de fevereiro de 1989 (expediente de prova, folha 7436).</w:t>
      </w:r>
    </w:p>
  </w:footnote>
  <w:footnote w:id="113">
    <w:p w14:paraId="780332D5" w14:textId="18B11721"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Relatório de Agente da Polícia Federal de 24 de fevereiro de 1989 (expediente de prova, folha 7439).</w:t>
      </w:r>
    </w:p>
  </w:footnote>
  <w:footnote w:id="114">
    <w:p w14:paraId="2DC20865" w14:textId="74D1A311"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Relatório de Agente da Polícia Federal de 24 de fevereiro de 1989 (expediente de prova, folha 7439).</w:t>
      </w:r>
    </w:p>
  </w:footnote>
  <w:footnote w:id="115">
    <w:p w14:paraId="07C8DDA4" w14:textId="4BD9C04E"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Ofício enviado a Subprocurador Geral da República de 18 de março de 1992 (expediente de prova, folha 7471).</w:t>
      </w:r>
    </w:p>
  </w:footnote>
  <w:footnote w:id="116">
    <w:p w14:paraId="3FEB92FA" w14:textId="3CEAD3FA"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Ofício nº 706 da Procuradoria Geral da República de 4 de junho de 1992 (expediente de prova, folha 7473).</w:t>
      </w:r>
    </w:p>
  </w:footnote>
  <w:footnote w:id="117">
    <w:p w14:paraId="4B7255B7" w14:textId="14E0EFA5"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Ofício nº 707 da Procuradoria Geral da República de 4 de junho de 1992 (expediente de prova, folha 7474).</w:t>
      </w:r>
    </w:p>
  </w:footnote>
  <w:footnote w:id="118">
    <w:p w14:paraId="7C4F1F99" w14:textId="4DEEE3A7"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Ofício nº 1556 da Procuradoria Geral da República de 22 de setembro de 1992 (expediente de prova, folha 7476).</w:t>
      </w:r>
    </w:p>
  </w:footnote>
  <w:footnote w:id="119">
    <w:p w14:paraId="027C33C9" w14:textId="4ED3A8D0"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Ofício nº 096/92 da </w:t>
      </w:r>
      <w:r w:rsidRPr="00D5464D">
        <w:rPr>
          <w:rFonts w:cs="Arial"/>
          <w:lang w:val="pt-BR"/>
        </w:rPr>
        <w:t>Coordenação Central de Polícia do Departamento de Polícia Federal</w:t>
      </w:r>
      <w:r w:rsidRPr="00D5464D">
        <w:rPr>
          <w:lang w:val="pt-BR"/>
        </w:rPr>
        <w:t xml:space="preserve"> de 7 de dezembro de 1992 (expediente de prova, folha 7478).</w:t>
      </w:r>
    </w:p>
  </w:footnote>
  <w:footnote w:id="120">
    <w:p w14:paraId="71DB5B97" w14:textId="03456C20"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Ofício nº 096/92 da </w:t>
      </w:r>
      <w:r w:rsidRPr="00D5464D">
        <w:rPr>
          <w:rFonts w:cs="Arial"/>
          <w:lang w:val="pt-BR"/>
        </w:rPr>
        <w:t>Coordenação Central de Polícia do Departamento de Polícia Federal</w:t>
      </w:r>
      <w:r w:rsidRPr="00D5464D">
        <w:rPr>
          <w:lang w:val="pt-BR"/>
        </w:rPr>
        <w:t xml:space="preserve"> de 7 de dezembro de 1992 (expediente de prova, folha 7479).</w:t>
      </w:r>
    </w:p>
  </w:footnote>
  <w:footnote w:id="121">
    <w:p w14:paraId="0755AB32" w14:textId="0870B9F7"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Ofício nº 370/93 da </w:t>
      </w:r>
      <w:r w:rsidRPr="00D5464D">
        <w:rPr>
          <w:rFonts w:cs="Arial"/>
          <w:lang w:val="pt-BR"/>
        </w:rPr>
        <w:t xml:space="preserve">Delegacia Regional do Trabalho do Pará </w:t>
      </w:r>
      <w:r w:rsidRPr="00D5464D">
        <w:rPr>
          <w:lang w:val="pt-BR"/>
        </w:rPr>
        <w:t>de 2 de agosto de 1993 (expediente de prova, folha 7494).</w:t>
      </w:r>
    </w:p>
  </w:footnote>
  <w:footnote w:id="122">
    <w:p w14:paraId="7C95409A" w14:textId="3D0B62EF"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Ofício nº 370/93 da </w:t>
      </w:r>
      <w:r w:rsidRPr="00D5464D">
        <w:rPr>
          <w:rFonts w:cs="Arial"/>
          <w:lang w:val="pt-BR"/>
        </w:rPr>
        <w:t xml:space="preserve">Delegacia Regional do Trabalho do Pará </w:t>
      </w:r>
      <w:r w:rsidRPr="00D5464D">
        <w:rPr>
          <w:lang w:val="pt-BR"/>
        </w:rPr>
        <w:t>de 2 de agosto de 1993 (expediente de prova, folha 7494).</w:t>
      </w:r>
    </w:p>
  </w:footnote>
  <w:footnote w:id="123">
    <w:p w14:paraId="04DC50EE" w14:textId="488B5C0F"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Ofício nº 006 do Subprocurador Geral da República de 25 de abril de 1994 (expediente de prova, folha 566).</w:t>
      </w:r>
    </w:p>
  </w:footnote>
  <w:footnote w:id="124">
    <w:p w14:paraId="13196D0A" w14:textId="77D0981C"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Relatório de 29 de março de 1994 (expediente de prova, folha 568).</w:t>
      </w:r>
    </w:p>
  </w:footnote>
  <w:footnote w:id="125">
    <w:p w14:paraId="5178E369" w14:textId="7741A801"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Relatório de 29 de março de 1994 (expediente de prova, folhas 568 e 569).</w:t>
      </w:r>
    </w:p>
  </w:footnote>
  <w:footnote w:id="126">
    <w:p w14:paraId="25B917A0" w14:textId="71BCCC83"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Registro de fiscalização de 29 de novembro de 1996 (expediente de prova, folha 7523).</w:t>
      </w:r>
    </w:p>
  </w:footnote>
  <w:footnote w:id="127">
    <w:p w14:paraId="48CC1EDB" w14:textId="2DD8B3B4"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Registro de fiscalização de 29 de novembro de 1996 (expediente de prova, folha 7523).</w:t>
      </w:r>
    </w:p>
  </w:footnote>
  <w:footnote w:id="128">
    <w:p w14:paraId="59C88735" w14:textId="6944E573"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Declaração de José da Costa Oliveira e </w:t>
      </w:r>
      <w:r w:rsidRPr="00D5464D">
        <w:rPr>
          <w:rFonts w:cs="Arial"/>
          <w:lang w:val="pt-BR"/>
        </w:rPr>
        <w:t>José Ferreira dos Santos</w:t>
      </w:r>
      <w:r w:rsidRPr="00D5464D">
        <w:rPr>
          <w:lang w:val="pt-BR"/>
        </w:rPr>
        <w:t xml:space="preserve"> de 10 de março de 1997 (expediente de prova, folhas 845 a 847).</w:t>
      </w:r>
    </w:p>
  </w:footnote>
  <w:footnote w:id="129">
    <w:p w14:paraId="7CF7D950" w14:textId="4EB74646"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Declaração de José da Costa Oliveira e </w:t>
      </w:r>
      <w:r w:rsidRPr="00D5464D">
        <w:rPr>
          <w:rFonts w:cs="Arial"/>
          <w:lang w:val="pt-BR"/>
        </w:rPr>
        <w:t>José Ferreira dos Santos</w:t>
      </w:r>
      <w:r w:rsidRPr="00D5464D">
        <w:rPr>
          <w:lang w:val="pt-BR"/>
        </w:rPr>
        <w:t xml:space="preserve"> de 10 de março de 1997 (expediente de prova, folhas 845 e 846).</w:t>
      </w:r>
    </w:p>
  </w:footnote>
  <w:footnote w:id="130">
    <w:p w14:paraId="4B58C2D4" w14:textId="3EB10984"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Declaração de José da Costa Oliveira e </w:t>
      </w:r>
      <w:r w:rsidRPr="00D5464D">
        <w:rPr>
          <w:rFonts w:cs="Arial"/>
          <w:lang w:val="pt-BR"/>
        </w:rPr>
        <w:t>José Ferreira dos Santos</w:t>
      </w:r>
      <w:r w:rsidRPr="00D5464D">
        <w:rPr>
          <w:lang w:val="pt-BR"/>
        </w:rPr>
        <w:t xml:space="preserve"> de 10 de março de 1997 (expediente de prova, folha 846).</w:t>
      </w:r>
    </w:p>
  </w:footnote>
  <w:footnote w:id="131">
    <w:p w14:paraId="27372718" w14:textId="0B0AEA8B"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Relatório da visita à Fazenda Brasil Verde, Grupo Móvel de Trabalho, 23, 28 e 29 de abril de 1997 (expediente de prova, folhas 4629 a 4638).</w:t>
      </w:r>
    </w:p>
  </w:footnote>
  <w:footnote w:id="132">
    <w:p w14:paraId="09E382AA" w14:textId="3FE650D4"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Relatório da visita à Fazenda Brasil Verde, Grupo Móvel de Trabalho, 23, 28 e 29 de abril de 1997 (expediente de prova, folhas 4629 e 4630).</w:t>
      </w:r>
    </w:p>
  </w:footnote>
  <w:footnote w:id="133">
    <w:p w14:paraId="7818570C" w14:textId="7EFDF641"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Relatório da visita à Fazenda Brasil Verde, Grupo Móvel de Trabalho, 23, 28 e 29 de abril de 1997 (expediente de prova, folha 4637).</w:t>
      </w:r>
    </w:p>
  </w:footnote>
  <w:footnote w:id="134">
    <w:p w14:paraId="58D05667" w14:textId="0DBB0979"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Relatório da visita à Fazenda Brasil Verde, Grupo Móvel de Trabalho, 23, 28 e 29 de abril de 1997 (expediente de prova, folha 4637).</w:t>
      </w:r>
    </w:p>
  </w:footnote>
  <w:footnote w:id="135">
    <w:p w14:paraId="4B8F8EC0" w14:textId="669208B9"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Denúncia do Ministério Público Federal de 30 de junho de 1997 (expediente de prova, folhas 4623 e 4625 a 4628).</w:t>
      </w:r>
    </w:p>
  </w:footnote>
  <w:footnote w:id="136">
    <w:p w14:paraId="5D6433B7" w14:textId="1A3388BB"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Denúncia do Ministério Público Federal de 30 de junho de 1997 (expediente de prova, folhas 4623 a 4626).</w:t>
      </w:r>
    </w:p>
  </w:footnote>
  <w:footnote w:id="137">
    <w:p w14:paraId="6820D6C2" w14:textId="194FD56C"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Denúncia do Ministério Público Federal de 30 de junho de 1997 (expediente de prova, folha 4627).</w:t>
      </w:r>
    </w:p>
  </w:footnote>
  <w:footnote w:id="138">
    <w:p w14:paraId="4EDBC42A" w14:textId="546BC764"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Ofício nº 1183 do Juiz Federal Titular de Marabá de 14 de julho de 1997 (expediente de prova, folha 4711).</w:t>
      </w:r>
    </w:p>
  </w:footnote>
  <w:footnote w:id="139">
    <w:p w14:paraId="60016A7B" w14:textId="721AC535"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Decisão do Juiz Federal Titular de Marabá de 17 de setembro de 1997 (expediente de prova, folha 4719).</w:t>
      </w:r>
    </w:p>
  </w:footnote>
  <w:footnote w:id="140">
    <w:p w14:paraId="315EC7C0" w14:textId="263EBBFE"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Ofícios do Poder Judiciário de Marabá (expediente de prova, folhas 4722, 4724, 4727, 4728, 4730, 4731, 4732 e 4735).</w:t>
      </w:r>
    </w:p>
  </w:footnote>
  <w:footnote w:id="141">
    <w:p w14:paraId="49737ACE" w14:textId="77777777"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Ofício nº 2.357/2001 do Ministério Público do Trabalho de 21 de junho de 2001 (expediente de prova, folha 7525).</w:t>
      </w:r>
    </w:p>
  </w:footnote>
  <w:footnote w:id="142">
    <w:p w14:paraId="6E3B03B4" w14:textId="77777777"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Ofício nº 2.357/2001 (expediente de prova, folha 7525). </w:t>
      </w:r>
    </w:p>
  </w:footnote>
  <w:footnote w:id="143">
    <w:p w14:paraId="690A0C8B" w14:textId="77777777"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Ofício nº 2.357/2001 (expediente de prova, folha 7526).</w:t>
      </w:r>
    </w:p>
  </w:footnote>
  <w:footnote w:id="144">
    <w:p w14:paraId="41902FF3" w14:textId="77777777"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Ofício nº 2.357/2001 (expediente de prova, folha 7526).</w:t>
      </w:r>
    </w:p>
  </w:footnote>
  <w:footnote w:id="145">
    <w:p w14:paraId="538C55FE" w14:textId="77777777"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Ofício nº 2.357/2001 (expediente de prova, folha 7526).</w:t>
      </w:r>
    </w:p>
  </w:footnote>
  <w:footnote w:id="146">
    <w:p w14:paraId="49CBCD83" w14:textId="77777777"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Ofício nº 2.357/2001 (expediente de prova, folha 7526).</w:t>
      </w:r>
    </w:p>
  </w:footnote>
  <w:footnote w:id="147">
    <w:p w14:paraId="2A97E512" w14:textId="77777777"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Ofício nº 2.357/2001 (expediente de prova, folha 7526).</w:t>
      </w:r>
    </w:p>
  </w:footnote>
  <w:footnote w:id="148">
    <w:p w14:paraId="1C21ED24" w14:textId="3AF937E7"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Audiência preliminar de 13 de setembro de 1999 (expediente de prova, folha 4765).</w:t>
      </w:r>
    </w:p>
  </w:footnote>
  <w:footnote w:id="149">
    <w:p w14:paraId="5C933021" w14:textId="1969A857"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Petição de João Luiz Quagliato Neto de 14 de setembro de 1999 (expediente de prova, folha 4767).</w:t>
      </w:r>
    </w:p>
  </w:footnote>
  <w:footnote w:id="150">
    <w:p w14:paraId="15AA48B8" w14:textId="158DE49C"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Decisão do Juiz Federal substituto de Marabá de 23 de setembro de 1999 (expediente de prova, folha 4768).</w:t>
      </w:r>
    </w:p>
  </w:footnote>
  <w:footnote w:id="151">
    <w:p w14:paraId="40B46F72" w14:textId="4FBEC5C8"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Ofícios do Poder Judiciário de Marabá (expediente de prova, folhas 4723, 4725, 4729, 4730, 4732, 4733, 4737 e 4739).</w:t>
      </w:r>
    </w:p>
  </w:footnote>
  <w:footnote w:id="152">
    <w:p w14:paraId="65242F85" w14:textId="64B66092"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Petição de </w:t>
      </w:r>
      <w:r w:rsidRPr="00D5464D">
        <w:rPr>
          <w:rFonts w:cs="Arial"/>
          <w:lang w:val="pt-BR"/>
        </w:rPr>
        <w:t>Raimundo Alves da Rocha (expediente</w:t>
      </w:r>
      <w:r w:rsidRPr="00D5464D">
        <w:rPr>
          <w:lang w:val="pt-BR"/>
        </w:rPr>
        <w:t xml:space="preserve"> de prova, folha 4750). Escrito de </w:t>
      </w:r>
      <w:r w:rsidRPr="00D5464D">
        <w:rPr>
          <w:rFonts w:cs="Arial"/>
          <w:lang w:val="pt-BR"/>
        </w:rPr>
        <w:t>Antônio Vieira (expediente</w:t>
      </w:r>
      <w:r w:rsidRPr="00D5464D">
        <w:rPr>
          <w:lang w:val="pt-BR"/>
        </w:rPr>
        <w:t xml:space="preserve"> de prova, folha 4752).</w:t>
      </w:r>
    </w:p>
  </w:footnote>
  <w:footnote w:id="153">
    <w:p w14:paraId="383FE99E" w14:textId="0B410EAA"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Declarações testemunhais (expediente de prova, folhas 4784 a 4791).</w:t>
      </w:r>
    </w:p>
  </w:footnote>
  <w:footnote w:id="154">
    <w:p w14:paraId="06F2263F" w14:textId="5E62F79F"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Decisão do Juiz Federal substituto de Marabá de 16 de março de 2001 (expediente de prova, folha 4813 a 4816).</w:t>
      </w:r>
    </w:p>
  </w:footnote>
  <w:footnote w:id="155">
    <w:p w14:paraId="27452004" w14:textId="61FF41E7"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Decisão do Juiz Federal substituto de Marabá de 16 de março de 2001 (expediente de prova, folha 4816).</w:t>
      </w:r>
    </w:p>
  </w:footnote>
  <w:footnote w:id="156">
    <w:p w14:paraId="51243A84" w14:textId="6E617B24"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Ratificação da denúncia (expediente de prova, folha 4824 a 4826).</w:t>
      </w:r>
    </w:p>
  </w:footnote>
  <w:footnote w:id="157">
    <w:p w14:paraId="75E5B091" w14:textId="212301F1"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Pedido de declaração de extinção do processo penal de 28 de maio de 2002 (expediente de prova, folha 4900).</w:t>
      </w:r>
    </w:p>
  </w:footnote>
  <w:footnote w:id="158">
    <w:p w14:paraId="07B3A9FC" w14:textId="5719A7EE"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Resolução do Juiz Estadual de 5 de agosto de 2003 (expediente de prova, folha 5523).</w:t>
      </w:r>
    </w:p>
  </w:footnote>
  <w:footnote w:id="159">
    <w:p w14:paraId="128CCD0A" w14:textId="7AEE241C"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Audiência de recepção de prova testemunhal de 24 de outubro de 2003 (expediente de prova, folha 5528) e audiência de recepção de prova testemunhal de 18 de novembro de 2003 (expediente de prova, folha 5532).</w:t>
      </w:r>
    </w:p>
  </w:footnote>
  <w:footnote w:id="160">
    <w:p w14:paraId="3EA2BDB8" w14:textId="2A2E8A5A"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Alegações finais do Ministério Público do Pará (expediente de prova, folha 5544 a 5547).</w:t>
      </w:r>
    </w:p>
  </w:footnote>
  <w:footnote w:id="161">
    <w:p w14:paraId="04550175" w14:textId="5B9F48AC"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Declaração de conflito de competências (expediente de prova, folha 5557 a 5560).</w:t>
      </w:r>
    </w:p>
  </w:footnote>
  <w:footnote w:id="162">
    <w:p w14:paraId="4C258F2A" w14:textId="787CD741"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Decisão do Superior Tribunal de Justiça (expediente de prova, folha 5588).</w:t>
      </w:r>
    </w:p>
  </w:footnote>
  <w:footnote w:id="163">
    <w:p w14:paraId="57F217CC" w14:textId="43A3B5DA"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Certidão de remessa dos autos (expediente de prova, folha 5592).</w:t>
      </w:r>
    </w:p>
  </w:footnote>
  <w:footnote w:id="164">
    <w:p w14:paraId="7D87C945" w14:textId="42838E44"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Decisão do Juiz Federal de 26 de maio de 2008 (expediente de prova, folha 5600).</w:t>
      </w:r>
    </w:p>
  </w:footnote>
  <w:footnote w:id="165">
    <w:p w14:paraId="5D4145F0" w14:textId="42FF7EA0"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Alegações finais do Ministério Público Federal (expediente de prova, folha 5616 a 5621).</w:t>
      </w:r>
    </w:p>
  </w:footnote>
  <w:footnote w:id="166">
    <w:p w14:paraId="2C24FB5B" w14:textId="2BCF270B"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Alegações finais do Ministério Público Federal (expediente de prova, folhas 5619 a 5621).</w:t>
      </w:r>
    </w:p>
  </w:footnote>
  <w:footnote w:id="167">
    <w:p w14:paraId="21CB8C81" w14:textId="24A98801"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Sentença de 10 de julho de 2008 (expediente de prova, folha 5622).</w:t>
      </w:r>
    </w:p>
  </w:footnote>
  <w:footnote w:id="168">
    <w:p w14:paraId="18D9FE6B" w14:textId="44352863"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Sentença de 10 de julho de 2008 (expediente de prova, folha 5622).</w:t>
      </w:r>
    </w:p>
  </w:footnote>
  <w:footnote w:id="169">
    <w:p w14:paraId="27F0D5BB" w14:textId="6C967237"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Ofício nº 2.357/2001 (expediente de prova, folha 7526).</w:t>
      </w:r>
    </w:p>
  </w:footnote>
  <w:footnote w:id="170">
    <w:p w14:paraId="5D4440B2" w14:textId="7A435083"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Ofício nº 2.357/2001 (expediente de prova, folha 7527).</w:t>
      </w:r>
    </w:p>
  </w:footnote>
  <w:footnote w:id="171">
    <w:p w14:paraId="1E72DDBC" w14:textId="2D79BA11"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Ofício nº 2.357/2001 (expediente de prova, folha 7527).</w:t>
      </w:r>
    </w:p>
  </w:footnote>
  <w:footnote w:id="172">
    <w:p w14:paraId="37B12C72" w14:textId="119A6409"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Ofício nº 2.357/2001 (expediente de prova, folha 7527).</w:t>
      </w:r>
    </w:p>
  </w:footnote>
  <w:footnote w:id="173">
    <w:p w14:paraId="2302DF44" w14:textId="308834B6"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lang w:val="pt-BR"/>
        </w:rPr>
        <w:t>Relatório</w:t>
      </w:r>
      <w:r w:rsidRPr="00D5464D">
        <w:rPr>
          <w:i/>
          <w:lang w:val="pt-BR"/>
        </w:rPr>
        <w:t xml:space="preserve"> </w:t>
      </w:r>
      <w:r w:rsidRPr="00D5464D">
        <w:rPr>
          <w:lang w:val="pt-BR"/>
        </w:rPr>
        <w:t xml:space="preserve">de 31 de março de 2000 sobre a fiscalização da Fazenda Brasil Verde (expediente de prova, folhas 9571 a 9573); Declaração de Francisco Fabiano Leandro, recebida durante a diligência </w:t>
      </w:r>
      <w:r w:rsidRPr="00D5464D">
        <w:rPr>
          <w:i/>
          <w:lang w:val="pt-BR"/>
        </w:rPr>
        <w:t>in situ</w:t>
      </w:r>
      <w:r w:rsidRPr="00D5464D">
        <w:rPr>
          <w:lang w:val="pt-BR"/>
        </w:rPr>
        <w:t xml:space="preserve">, realizada em 6 de junho de 2016; declaração de Francisco das Chagas Bastos Souza, recebida durante a diligência </w:t>
      </w:r>
      <w:r w:rsidRPr="00D5464D">
        <w:rPr>
          <w:i/>
          <w:lang w:val="pt-BR"/>
        </w:rPr>
        <w:t>in situ</w:t>
      </w:r>
      <w:r w:rsidRPr="00D5464D">
        <w:rPr>
          <w:lang w:val="pt-BR"/>
        </w:rPr>
        <w:t xml:space="preserve">, realizada em 6 de junho de 2016 e declaração de Antônio Francisco da Silva, recebida durante a diligência </w:t>
      </w:r>
      <w:r w:rsidRPr="00D5464D">
        <w:rPr>
          <w:i/>
          <w:lang w:val="pt-BR"/>
        </w:rPr>
        <w:t>in situ</w:t>
      </w:r>
      <w:r w:rsidRPr="00D5464D">
        <w:rPr>
          <w:lang w:val="pt-BR"/>
        </w:rPr>
        <w:t>, realizada em 6 de junho de 2016.</w:t>
      </w:r>
    </w:p>
  </w:footnote>
  <w:footnote w:id="174">
    <w:p w14:paraId="760ACBD6" w14:textId="43C8777E" w:rsidR="00AF210B" w:rsidRPr="00D5464D" w:rsidRDefault="00AF210B" w:rsidP="002A0C2B">
      <w:pPr>
        <w:pStyle w:val="Textonotapie"/>
        <w:spacing w:after="20"/>
        <w:rPr>
          <w:lang w:val="pt-BR"/>
        </w:rPr>
      </w:pPr>
      <w:r w:rsidRPr="00D5464D">
        <w:rPr>
          <w:rStyle w:val="Refdenotaalpie"/>
        </w:rPr>
        <w:footnoteRef/>
      </w:r>
      <w:r w:rsidRPr="00D5464D">
        <w:rPr>
          <w:lang w:val="pt-BR"/>
        </w:rPr>
        <w:t xml:space="preserve"> “Alqueire” é uma unidade de medida rural usada em determinadas regiões do Brasil. </w:t>
      </w:r>
    </w:p>
  </w:footnote>
  <w:footnote w:id="175">
    <w:p w14:paraId="403C02FA" w14:textId="7B315DDB"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lang w:val="pt-BR"/>
        </w:rPr>
        <w:t xml:space="preserve">Declaração de Marcos Antônio Lima, recebida durante a diligência </w:t>
      </w:r>
      <w:r w:rsidRPr="00D5464D">
        <w:rPr>
          <w:i/>
          <w:lang w:val="pt-BR"/>
        </w:rPr>
        <w:t>in situ</w:t>
      </w:r>
      <w:r w:rsidRPr="00D5464D">
        <w:rPr>
          <w:lang w:val="pt-BR"/>
        </w:rPr>
        <w:t xml:space="preserve">, realizada em 6 de junho de 2016; declaração de Francisco Fabiano Leandro, recebida durante a diligência </w:t>
      </w:r>
      <w:r w:rsidRPr="00D5464D">
        <w:rPr>
          <w:i/>
          <w:lang w:val="pt-BR"/>
        </w:rPr>
        <w:t>in situ</w:t>
      </w:r>
      <w:r w:rsidRPr="00D5464D">
        <w:rPr>
          <w:lang w:val="pt-BR"/>
        </w:rPr>
        <w:t xml:space="preserve">, realizada em 6 de junho de 2016; declaração de Rogerio Félix da Silva, recebida durante a diligência </w:t>
      </w:r>
      <w:r w:rsidRPr="00D5464D">
        <w:rPr>
          <w:i/>
          <w:lang w:val="pt-BR"/>
        </w:rPr>
        <w:t>in situ</w:t>
      </w:r>
      <w:r w:rsidRPr="00D5464D">
        <w:rPr>
          <w:lang w:val="pt-BR"/>
        </w:rPr>
        <w:t xml:space="preserve">, realizada em 6 de junho de 2016; declaração de Francisco das Chagas Bastos Souza, recebida durante a diligência </w:t>
      </w:r>
      <w:r w:rsidRPr="00D5464D">
        <w:rPr>
          <w:i/>
          <w:lang w:val="pt-BR"/>
        </w:rPr>
        <w:t>in situ</w:t>
      </w:r>
      <w:r w:rsidRPr="00D5464D">
        <w:rPr>
          <w:lang w:val="pt-BR"/>
        </w:rPr>
        <w:t xml:space="preserve">, realizada em 6 de junho de 2016; declaração de Antônio Francisco da Silva, recebida durante a diligência </w:t>
      </w:r>
      <w:r w:rsidRPr="00D5464D">
        <w:rPr>
          <w:i/>
          <w:lang w:val="pt-BR"/>
        </w:rPr>
        <w:t>in situ</w:t>
      </w:r>
      <w:r w:rsidRPr="00D5464D">
        <w:rPr>
          <w:lang w:val="pt-BR"/>
        </w:rPr>
        <w:t xml:space="preserve">, realizada em 6 de junho de 2016; declaração de José Batista Gonçalves Afonso, coordenador regional da CPT, sobre a situação de Antônio Francisco da Silva e </w:t>
      </w:r>
      <w:r w:rsidR="00D47B1B" w:rsidRPr="00D5464D">
        <w:rPr>
          <w:rFonts w:cs="Times New Roman"/>
          <w:szCs w:val="20"/>
          <w:lang w:val="pt-BR"/>
        </w:rPr>
        <w:t>José Francisco Furtado de Sousa</w:t>
      </w:r>
      <w:r w:rsidRPr="00D5464D">
        <w:rPr>
          <w:lang w:val="pt-BR"/>
        </w:rPr>
        <w:t>, prestada em 8 de março de 2000 (expediente de prova, folha 1038); declaração de Francisco de Assis Félix, prestada perante agente dotado de fé pública em 8 de maio de 2015 (expediente de prova, folha 7570) e declaração de Vanilson Rodrigues Fernandes, Promotor de Trabalho, prestada perante a Vara de Marabá, em relação à fiscalização de 1997 (expediente de prova, folha 4787).</w:t>
      </w:r>
    </w:p>
  </w:footnote>
  <w:footnote w:id="176">
    <w:p w14:paraId="594B1167" w14:textId="4774EC88"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lang w:val="pt-BR"/>
        </w:rPr>
        <w:t>Ofício PRT 8ª 2357/2001, de 21 de junho de 2001, folha 9573.</w:t>
      </w:r>
    </w:p>
  </w:footnote>
  <w:footnote w:id="177">
    <w:p w14:paraId="2FE77B6E" w14:textId="1137CCCB" w:rsidR="00AF210B" w:rsidRPr="00D5464D" w:rsidRDefault="00AF210B" w:rsidP="002A0C2B">
      <w:pPr>
        <w:tabs>
          <w:tab w:val="clear" w:pos="4419"/>
          <w:tab w:val="clear" w:pos="8838"/>
          <w:tab w:val="right" w:pos="0"/>
        </w:tabs>
        <w:spacing w:after="20"/>
        <w:jc w:val="both"/>
        <w:rPr>
          <w:sz w:val="16"/>
          <w:szCs w:val="16"/>
          <w:lang w:val="pt-BR"/>
        </w:rPr>
      </w:pPr>
      <w:r w:rsidRPr="00D5464D">
        <w:rPr>
          <w:rStyle w:val="Refdenotaalpie"/>
          <w:sz w:val="16"/>
          <w:szCs w:val="16"/>
        </w:rPr>
        <w:footnoteRef/>
      </w:r>
      <w:r w:rsidRPr="00D5464D">
        <w:rPr>
          <w:sz w:val="16"/>
          <w:szCs w:val="16"/>
          <w:lang w:val="pt-BR"/>
        </w:rPr>
        <w:t xml:space="preserve"> </w:t>
      </w:r>
      <w:r w:rsidRPr="00D5464D">
        <w:rPr>
          <w:i/>
          <w:sz w:val="16"/>
          <w:szCs w:val="16"/>
          <w:lang w:val="pt-BR"/>
        </w:rPr>
        <w:t xml:space="preserve">Cf. </w:t>
      </w:r>
      <w:r w:rsidRPr="00D5464D">
        <w:rPr>
          <w:sz w:val="16"/>
          <w:szCs w:val="16"/>
          <w:lang w:val="pt-BR"/>
        </w:rPr>
        <w:t xml:space="preserve">Declaração de Marcos Antônio Lima, recebida durante a diligência </w:t>
      </w:r>
      <w:r w:rsidRPr="00D5464D">
        <w:rPr>
          <w:i/>
          <w:sz w:val="16"/>
          <w:szCs w:val="16"/>
          <w:lang w:val="pt-BR"/>
        </w:rPr>
        <w:t>in situ</w:t>
      </w:r>
      <w:r w:rsidRPr="00D5464D">
        <w:rPr>
          <w:sz w:val="16"/>
          <w:szCs w:val="16"/>
          <w:lang w:val="pt-BR"/>
        </w:rPr>
        <w:t xml:space="preserve">, realizada em 6 de junho de 2016; declaração de Rogerio Félix da Silva, recebida durante a diligência </w:t>
      </w:r>
      <w:r w:rsidRPr="00D5464D">
        <w:rPr>
          <w:i/>
          <w:sz w:val="16"/>
          <w:szCs w:val="16"/>
          <w:lang w:val="pt-BR"/>
        </w:rPr>
        <w:t>in situ</w:t>
      </w:r>
      <w:r w:rsidRPr="00D5464D">
        <w:rPr>
          <w:sz w:val="16"/>
          <w:szCs w:val="16"/>
          <w:lang w:val="pt-BR"/>
        </w:rPr>
        <w:t xml:space="preserve">, realizada em 6 de junho de 2016; declaração de Francisco das Chagas Bastos Souza, recebida durante a diligência </w:t>
      </w:r>
      <w:r w:rsidRPr="00D5464D">
        <w:rPr>
          <w:i/>
          <w:sz w:val="16"/>
          <w:szCs w:val="16"/>
          <w:lang w:val="pt-BR"/>
        </w:rPr>
        <w:t>in situ</w:t>
      </w:r>
      <w:r w:rsidRPr="00D5464D">
        <w:rPr>
          <w:sz w:val="16"/>
          <w:szCs w:val="16"/>
          <w:lang w:val="pt-BR"/>
        </w:rPr>
        <w:t xml:space="preserve">, realizada em 6 de junho de 2016; declaração de Antônio Francisco da Silva, recebida durante a diligência </w:t>
      </w:r>
      <w:r w:rsidRPr="00D5464D">
        <w:rPr>
          <w:i/>
          <w:sz w:val="16"/>
          <w:szCs w:val="16"/>
          <w:lang w:val="pt-BR"/>
        </w:rPr>
        <w:t>in situ</w:t>
      </w:r>
      <w:r w:rsidRPr="00D5464D">
        <w:rPr>
          <w:sz w:val="16"/>
          <w:szCs w:val="16"/>
          <w:lang w:val="pt-BR"/>
        </w:rPr>
        <w:t xml:space="preserve">, realizada em 6 de junho de 2016; declaração de José Batista Gonçalves Afonso, coordenador regional da CPT, sobre a situação de Antônio Francisco da Silva e </w:t>
      </w:r>
      <w:r w:rsidR="00D47B1B" w:rsidRPr="00D5464D">
        <w:rPr>
          <w:sz w:val="16"/>
          <w:szCs w:val="16"/>
          <w:lang w:val="pt-BR"/>
        </w:rPr>
        <w:t>José Francisco Furtado de Sousa</w:t>
      </w:r>
      <w:r w:rsidRPr="00D5464D">
        <w:rPr>
          <w:sz w:val="16"/>
          <w:szCs w:val="16"/>
          <w:lang w:val="pt-BR"/>
        </w:rPr>
        <w:t>, prestada em 8 de março de 2000 (expediente de prova, folha 1038); declaração de Antônio Fernandes da Costa, prestada perante agente dotado de fé pública em 8 de maio de 2015 (expediente de prova, folha 7565); declaração de Francisco de Assis Félix, prestada perante agente dotado de fé pública em 8 de maio de 2015 (expediente de prova, folha 7570); relatório de 31 de março de 2000 sobre a fiscalização da Fazenda Brasil Verde (expediente de prova, folhas 9573 e 9574) e Ação Civil Pública apresentada pelo Ministério do Trabalho contra João Luiz Quagliato – Fazenda Brasil Verde, de 30 de maio de 2000 (expediente de prova, folha 1049).</w:t>
      </w:r>
    </w:p>
  </w:footnote>
  <w:footnote w:id="178">
    <w:p w14:paraId="5E76EAB9" w14:textId="15E32A42" w:rsidR="00AF210B" w:rsidRPr="00D5464D" w:rsidRDefault="00AF210B" w:rsidP="002A0C2B">
      <w:pPr>
        <w:tabs>
          <w:tab w:val="clear" w:pos="4419"/>
          <w:tab w:val="clear" w:pos="8838"/>
          <w:tab w:val="right" w:pos="0"/>
        </w:tabs>
        <w:spacing w:after="20"/>
        <w:jc w:val="both"/>
        <w:rPr>
          <w:sz w:val="16"/>
          <w:szCs w:val="16"/>
          <w:lang w:val="pt-BR"/>
        </w:rPr>
      </w:pPr>
      <w:r w:rsidRPr="00D5464D">
        <w:rPr>
          <w:rStyle w:val="Refdenotaalpie"/>
          <w:sz w:val="16"/>
          <w:szCs w:val="16"/>
        </w:rPr>
        <w:footnoteRef/>
      </w:r>
      <w:r w:rsidRPr="00D5464D">
        <w:rPr>
          <w:sz w:val="16"/>
          <w:szCs w:val="16"/>
          <w:lang w:val="pt-BR"/>
        </w:rPr>
        <w:t xml:space="preserve"> </w:t>
      </w:r>
      <w:r w:rsidRPr="00D5464D">
        <w:rPr>
          <w:i/>
          <w:sz w:val="16"/>
          <w:szCs w:val="16"/>
          <w:lang w:val="pt-BR"/>
        </w:rPr>
        <w:t xml:space="preserve">Cf. </w:t>
      </w:r>
      <w:r w:rsidRPr="00D5464D">
        <w:rPr>
          <w:sz w:val="16"/>
          <w:szCs w:val="16"/>
          <w:lang w:val="pt-BR"/>
        </w:rPr>
        <w:t xml:space="preserve">Declaração de Marcos Antônio Lima, recebida durante a diligência </w:t>
      </w:r>
      <w:r w:rsidRPr="00D5464D">
        <w:rPr>
          <w:i/>
          <w:sz w:val="16"/>
          <w:szCs w:val="16"/>
          <w:lang w:val="pt-BR"/>
        </w:rPr>
        <w:t>in situ</w:t>
      </w:r>
      <w:r w:rsidRPr="00D5464D">
        <w:rPr>
          <w:sz w:val="16"/>
          <w:szCs w:val="16"/>
          <w:lang w:val="pt-BR"/>
        </w:rPr>
        <w:t xml:space="preserve">, realizada em 6 de junho de 2016; declaração de Francisco Fabiano Leandro, recebida durante a diligência </w:t>
      </w:r>
      <w:r w:rsidRPr="00D5464D">
        <w:rPr>
          <w:i/>
          <w:sz w:val="16"/>
          <w:szCs w:val="16"/>
          <w:lang w:val="pt-BR"/>
        </w:rPr>
        <w:t>in situ</w:t>
      </w:r>
      <w:r w:rsidRPr="00D5464D">
        <w:rPr>
          <w:sz w:val="16"/>
          <w:szCs w:val="16"/>
          <w:lang w:val="pt-BR"/>
        </w:rPr>
        <w:t xml:space="preserve">, realizada em 6 de junho de 2016; declaração de Rogerio Félix da Silva, recebida durante a diligência </w:t>
      </w:r>
      <w:r w:rsidRPr="00D5464D">
        <w:rPr>
          <w:i/>
          <w:sz w:val="16"/>
          <w:szCs w:val="16"/>
          <w:lang w:val="pt-BR"/>
        </w:rPr>
        <w:t>in situ</w:t>
      </w:r>
      <w:r w:rsidRPr="00D5464D">
        <w:rPr>
          <w:sz w:val="16"/>
          <w:szCs w:val="16"/>
          <w:lang w:val="pt-BR"/>
        </w:rPr>
        <w:t xml:space="preserve">, realizada em 6 de junho de 2016; declaração de Francisco das Chagas Bastos Souza, recebida durante a diligência </w:t>
      </w:r>
      <w:r w:rsidRPr="00D5464D">
        <w:rPr>
          <w:i/>
          <w:sz w:val="16"/>
          <w:szCs w:val="16"/>
          <w:lang w:val="pt-BR"/>
        </w:rPr>
        <w:t>in situ</w:t>
      </w:r>
      <w:r w:rsidRPr="00D5464D">
        <w:rPr>
          <w:sz w:val="16"/>
          <w:szCs w:val="16"/>
          <w:lang w:val="pt-BR"/>
        </w:rPr>
        <w:t xml:space="preserve">, realizada em 6 de junho de 2016; declaração de Antônio Francisco da Silva, recebida durante a diligência </w:t>
      </w:r>
      <w:r w:rsidRPr="00D5464D">
        <w:rPr>
          <w:i/>
          <w:sz w:val="16"/>
          <w:szCs w:val="16"/>
          <w:lang w:val="pt-BR"/>
        </w:rPr>
        <w:t>in situ</w:t>
      </w:r>
      <w:r w:rsidRPr="00D5464D">
        <w:rPr>
          <w:sz w:val="16"/>
          <w:szCs w:val="16"/>
          <w:lang w:val="pt-BR"/>
        </w:rPr>
        <w:t>, realizada em 6 de junho de 2016; declaração de Antônio Fernandes da Costa, prestada perante agente dotado de fé pública em 8 de maio de 2015 (expediente de prova, folha 7566); declaração de Francisco de Assis Félix, prestada perante agente dotado de fé pública em 8 de maio de 2015 (expediente de prova, folha 7570) e Relatório de 31 de março de 2000 sobre a fiscalização da Fazenda Brasil Verde (expediente de prova, folha 9574).</w:t>
      </w:r>
    </w:p>
  </w:footnote>
  <w:footnote w:id="179">
    <w:p w14:paraId="1317AB27" w14:textId="62D06204"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lang w:val="pt-BR"/>
        </w:rPr>
        <w:t xml:space="preserve">Declaração de Marcos Antônio Lima, recebida durante a diligência </w:t>
      </w:r>
      <w:r w:rsidRPr="00D5464D">
        <w:rPr>
          <w:i/>
          <w:lang w:val="pt-BR"/>
        </w:rPr>
        <w:t>in situ</w:t>
      </w:r>
      <w:r w:rsidRPr="00D5464D">
        <w:rPr>
          <w:lang w:val="pt-BR"/>
        </w:rPr>
        <w:t xml:space="preserve">, realizada em 6 de junho de 2016; declaração de Rogerio Félix da Silva, recebida durante a diligência </w:t>
      </w:r>
      <w:r w:rsidRPr="00D5464D">
        <w:rPr>
          <w:i/>
          <w:lang w:val="pt-BR"/>
        </w:rPr>
        <w:t>in situ</w:t>
      </w:r>
      <w:r w:rsidRPr="00D5464D">
        <w:rPr>
          <w:lang w:val="pt-BR"/>
        </w:rPr>
        <w:t xml:space="preserve">, realizada em 6 de junho de 2016; declaração de Francisco das Chagas Bastos Souza, recebida durante a diligência </w:t>
      </w:r>
      <w:r w:rsidRPr="00D5464D">
        <w:rPr>
          <w:i/>
          <w:lang w:val="pt-BR"/>
        </w:rPr>
        <w:t>in situ</w:t>
      </w:r>
      <w:r w:rsidRPr="00D5464D">
        <w:rPr>
          <w:lang w:val="pt-BR"/>
        </w:rPr>
        <w:t xml:space="preserve">, realizada em 6 de junho de 2016; declaração de José Batista Gonçalves Afonso, coordenador regional da CPT, sobre a situação de Antônio Francisco da Silva e </w:t>
      </w:r>
      <w:r w:rsidR="00D47B1B" w:rsidRPr="00D5464D">
        <w:rPr>
          <w:rFonts w:cs="Times New Roman"/>
          <w:szCs w:val="20"/>
          <w:lang w:val="pt-BR"/>
        </w:rPr>
        <w:t>José Francisco Furtado de Sousa</w:t>
      </w:r>
      <w:r w:rsidRPr="00D5464D">
        <w:rPr>
          <w:lang w:val="pt-BR"/>
        </w:rPr>
        <w:t>, prestada em 8 de março de 2000 (expediente de prova, folha 1038); declaração de Antônio Fernandes da Costa, prestada perante agente dotado de fé pública em 8 de maio de 2015 (expediente de prova, folha 7566); declaração de Francisco de Assis Félix, prestada perante agente dotado de fé pública em 8 de maio de 2015 (expediente de prova, folhas 7571 e 7572) e Relatório de 31 de março de 2000 sobre a fiscalização da Fazenda Brasil Verde (expediente de prova, folha 9574).</w:t>
      </w:r>
    </w:p>
  </w:footnote>
  <w:footnote w:id="180">
    <w:p w14:paraId="0E0DB8E2" w14:textId="7D17647B"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lang w:val="pt-BR"/>
        </w:rPr>
        <w:t xml:space="preserve">Declaração de Marcos Antônio Lima, recebida durante a diligência </w:t>
      </w:r>
      <w:r w:rsidRPr="00D5464D">
        <w:rPr>
          <w:i/>
          <w:lang w:val="pt-BR"/>
        </w:rPr>
        <w:t>in situ</w:t>
      </w:r>
      <w:r w:rsidRPr="00D5464D">
        <w:rPr>
          <w:lang w:val="pt-BR"/>
        </w:rPr>
        <w:t xml:space="preserve">, realizada em 6 de junho de 2016; declaração de Francisco Fabiano Leandro, recebida durante a diligência </w:t>
      </w:r>
      <w:r w:rsidRPr="00D5464D">
        <w:rPr>
          <w:i/>
          <w:lang w:val="pt-BR"/>
        </w:rPr>
        <w:t>in situ</w:t>
      </w:r>
      <w:r w:rsidRPr="00D5464D">
        <w:rPr>
          <w:lang w:val="pt-BR"/>
        </w:rPr>
        <w:t xml:space="preserve">, realizada em 6 de junho de 2016; declaração de Rogerio Félix da Silva, recebida durante a diligência </w:t>
      </w:r>
      <w:r w:rsidRPr="00D5464D">
        <w:rPr>
          <w:i/>
          <w:lang w:val="pt-BR"/>
        </w:rPr>
        <w:t>in situ</w:t>
      </w:r>
      <w:r w:rsidRPr="00D5464D">
        <w:rPr>
          <w:lang w:val="pt-BR"/>
        </w:rPr>
        <w:t xml:space="preserve">, realizada em 6 de junho de 2016; declaração de Francisco das Chagas Bastos Souza, recebida durante a diligência </w:t>
      </w:r>
      <w:r w:rsidRPr="00D5464D">
        <w:rPr>
          <w:i/>
          <w:lang w:val="pt-BR"/>
        </w:rPr>
        <w:t>in situ</w:t>
      </w:r>
      <w:r w:rsidRPr="00D5464D">
        <w:rPr>
          <w:lang w:val="pt-BR"/>
        </w:rPr>
        <w:t xml:space="preserve">, realizada em 6 de junho de 2016; declaração de José Batista Gonçalves Afonso, coordenador regional da CPT, sobre a situação de Antônio Francisco da Silva e </w:t>
      </w:r>
      <w:r w:rsidR="00D47B1B" w:rsidRPr="00D5464D">
        <w:rPr>
          <w:rFonts w:cs="Times New Roman"/>
          <w:szCs w:val="20"/>
          <w:lang w:val="pt-BR"/>
        </w:rPr>
        <w:t>José Francisco Furtado de Sousa</w:t>
      </w:r>
      <w:r w:rsidRPr="00D5464D">
        <w:rPr>
          <w:lang w:val="pt-BR"/>
        </w:rPr>
        <w:t>, prestada em 8 de março de 2000 (expediente de prova, folha 1038); declaração de Francisco de Assis Félix, prestada perante agente dotado de fé pública em 8 de maio de 2015 (expediente de prova, folha 7570) e Relatório de 31 de março de 2000 sobre a fiscalização da Fazenda Brasil Verde (expediente de prova, folha 9573).</w:t>
      </w:r>
    </w:p>
  </w:footnote>
  <w:footnote w:id="181">
    <w:p w14:paraId="3F7A750B" w14:textId="6FBA0C10"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lang w:val="pt-BR"/>
        </w:rPr>
        <w:t xml:space="preserve">Declaração de Marcos Antônio Lima, recebida durante a diligência </w:t>
      </w:r>
      <w:r w:rsidRPr="00D5464D">
        <w:rPr>
          <w:i/>
          <w:lang w:val="pt-BR"/>
        </w:rPr>
        <w:t>in situ</w:t>
      </w:r>
      <w:r w:rsidRPr="00D5464D">
        <w:rPr>
          <w:lang w:val="pt-BR"/>
        </w:rPr>
        <w:t xml:space="preserve">, realizada em 6 de junho de 2016; declaração de Rogerio Félix da Silva, recebida durante a diligência </w:t>
      </w:r>
      <w:r w:rsidRPr="00D5464D">
        <w:rPr>
          <w:i/>
          <w:lang w:val="pt-BR"/>
        </w:rPr>
        <w:t>in situ</w:t>
      </w:r>
      <w:r w:rsidRPr="00D5464D">
        <w:rPr>
          <w:lang w:val="pt-BR"/>
        </w:rPr>
        <w:t xml:space="preserve">, realizada em 6 de junho de 2016; declaração de Antônio Francisco da Silva, recebida durante a diligência </w:t>
      </w:r>
      <w:r w:rsidRPr="00D5464D">
        <w:rPr>
          <w:i/>
          <w:lang w:val="pt-BR"/>
        </w:rPr>
        <w:t>in situ</w:t>
      </w:r>
      <w:r w:rsidRPr="00D5464D">
        <w:rPr>
          <w:lang w:val="pt-BR"/>
        </w:rPr>
        <w:t>, realizada em 6 de junho de 2016; declaração de Antônio Fernandes da Costa, prestada perante agente dotado de fé pública em 8 de maio de 2015 (expediente de prova, folha 7566) e declaração de Francisco de Assis Félix, prestada perante agente dotado de fé pública em 8 de maio de 2015 (expediente de prova, folha 7571).</w:t>
      </w:r>
    </w:p>
  </w:footnote>
  <w:footnote w:id="182">
    <w:p w14:paraId="57E8F0A6" w14:textId="358FEDB3"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lang w:val="pt-BR"/>
        </w:rPr>
        <w:t xml:space="preserve">Declaração de Marcos Antônio Lima, recebida durante a diligência </w:t>
      </w:r>
      <w:r w:rsidRPr="00D5464D">
        <w:rPr>
          <w:i/>
          <w:lang w:val="pt-BR"/>
        </w:rPr>
        <w:t>in situ</w:t>
      </w:r>
      <w:r w:rsidRPr="00D5464D">
        <w:rPr>
          <w:lang w:val="pt-BR"/>
        </w:rPr>
        <w:t xml:space="preserve">, realizada em 6 de junho de 2016; declaração de Francisco Fabiano Leandro, recebida durante a diligência </w:t>
      </w:r>
      <w:r w:rsidRPr="00D5464D">
        <w:rPr>
          <w:i/>
          <w:lang w:val="pt-BR"/>
        </w:rPr>
        <w:t>in situ</w:t>
      </w:r>
      <w:r w:rsidRPr="00D5464D">
        <w:rPr>
          <w:lang w:val="pt-BR"/>
        </w:rPr>
        <w:t xml:space="preserve">, realizada em 6 de junho de 2016; declaração de Rogerio Félix da Silva, recebida durante a diligência </w:t>
      </w:r>
      <w:r w:rsidRPr="00D5464D">
        <w:rPr>
          <w:i/>
          <w:lang w:val="pt-BR"/>
        </w:rPr>
        <w:t>in situ</w:t>
      </w:r>
      <w:r w:rsidRPr="00D5464D">
        <w:rPr>
          <w:lang w:val="pt-BR"/>
        </w:rPr>
        <w:t xml:space="preserve">, realizada em 6 de junho de 2016; declaração de Francisco das Chagas Bastos Souza, recebida durante a diligência </w:t>
      </w:r>
      <w:r w:rsidRPr="00D5464D">
        <w:rPr>
          <w:i/>
          <w:lang w:val="pt-BR"/>
        </w:rPr>
        <w:t>in situ</w:t>
      </w:r>
      <w:r w:rsidRPr="00D5464D">
        <w:rPr>
          <w:lang w:val="pt-BR"/>
        </w:rPr>
        <w:t xml:space="preserve">, realizada em 6 de junho de 2016; declaração de José Batista Gonçalves Afonso, coordenador regional da CPT, sobre a situação de Antônio Francisco da Silva e </w:t>
      </w:r>
      <w:r w:rsidR="00D47B1B" w:rsidRPr="00D5464D">
        <w:rPr>
          <w:rFonts w:cs="Times New Roman"/>
          <w:szCs w:val="20"/>
          <w:lang w:val="pt-BR"/>
        </w:rPr>
        <w:t>José Francisco Furtado de Sousa</w:t>
      </w:r>
      <w:r w:rsidRPr="00D5464D">
        <w:rPr>
          <w:lang w:val="pt-BR"/>
        </w:rPr>
        <w:t>, prestada em 8 de março de 2000 (expediente de prova, folha 1038); declaração de Francisco de Assis Félix, prestada perante agente dotado de fé pública em 8 de maio de 2015 (expediente de prova, folha 7571) e Relatório de 31 de março de 2000 sobre a fiscalização da Fazenda Brasil Verde (expediente de prova, folha 9573).</w:t>
      </w:r>
    </w:p>
  </w:footnote>
  <w:footnote w:id="183">
    <w:p w14:paraId="1E64FF5A" w14:textId="7D285DB1"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lang w:val="pt-BR"/>
        </w:rPr>
        <w:t xml:space="preserve">Declaração de Marcos Antônio Lima, recebida durante a diligência </w:t>
      </w:r>
      <w:r w:rsidRPr="00D5464D">
        <w:rPr>
          <w:i/>
          <w:lang w:val="pt-BR"/>
        </w:rPr>
        <w:t>in situ</w:t>
      </w:r>
      <w:r w:rsidRPr="00D5464D">
        <w:rPr>
          <w:lang w:val="pt-BR"/>
        </w:rPr>
        <w:t xml:space="preserve">, realizada em 6 de junho de 2016; declaração de Rogerio Félix da Silva, recebida durante a diligência </w:t>
      </w:r>
      <w:r w:rsidRPr="00D5464D">
        <w:rPr>
          <w:i/>
          <w:lang w:val="pt-BR"/>
        </w:rPr>
        <w:t>in situ</w:t>
      </w:r>
      <w:r w:rsidRPr="00D5464D">
        <w:rPr>
          <w:lang w:val="pt-BR"/>
        </w:rPr>
        <w:t xml:space="preserve">, realizada em 6 de junho de 2016; declaração de Antônio Francisco da Silva, recebida durante a diligência </w:t>
      </w:r>
      <w:r w:rsidRPr="00D5464D">
        <w:rPr>
          <w:i/>
          <w:lang w:val="pt-BR"/>
        </w:rPr>
        <w:t>in situ</w:t>
      </w:r>
      <w:r w:rsidRPr="00D5464D">
        <w:rPr>
          <w:lang w:val="pt-BR"/>
        </w:rPr>
        <w:t xml:space="preserve">, realizada em 6 de junho de 2016; declaração de José Batista Gonçalves Afonso, coordenador regional da CPT, sobre a situação de Antônio Francisco da Silva e </w:t>
      </w:r>
      <w:r w:rsidR="00D47B1B" w:rsidRPr="00D5464D">
        <w:rPr>
          <w:rFonts w:cs="Times New Roman"/>
          <w:szCs w:val="20"/>
          <w:lang w:val="pt-BR"/>
        </w:rPr>
        <w:t>José Francisco Furtado de Sousa</w:t>
      </w:r>
      <w:r w:rsidRPr="00D5464D">
        <w:rPr>
          <w:lang w:val="pt-BR"/>
        </w:rPr>
        <w:t xml:space="preserve">, prestada em 8 de março de 2000 (expediente de prova, folha 1038); declaração de Francisco de Assis Félix, prestada perante agente dotado de fé pública em 8 de maio de 2015 (expediente de prova, folha 7570 a 7572) e Relatório de 31 de março de 2000 sobre a fiscalização da Fazenda Brasil Verde (expediente de prova, folha 9572). </w:t>
      </w:r>
    </w:p>
  </w:footnote>
  <w:footnote w:id="184">
    <w:p w14:paraId="23A4DA84" w14:textId="6DFCE0D2"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lang w:val="pt-BR"/>
        </w:rPr>
        <w:t xml:space="preserve">Declaração de Rogerio Félix da Silva, recebida durante a diligência </w:t>
      </w:r>
      <w:r w:rsidRPr="00D5464D">
        <w:rPr>
          <w:i/>
          <w:lang w:val="pt-BR"/>
        </w:rPr>
        <w:t>in situ</w:t>
      </w:r>
      <w:r w:rsidRPr="00D5464D">
        <w:rPr>
          <w:lang w:val="pt-BR"/>
        </w:rPr>
        <w:t>, realizada em 6 de junho de 2016 e declaração de Francisco de Assis Félix, prestada perante agente dotado de fé pública em 8 de maio de 2015 (expediente de prova, folha 7572).</w:t>
      </w:r>
    </w:p>
  </w:footnote>
  <w:footnote w:id="185">
    <w:p w14:paraId="065FC3FC" w14:textId="3E76A8CD"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lang w:val="pt-BR"/>
        </w:rPr>
        <w:t xml:space="preserve">Declaração de Marcos Antônio Lima, recebida durante a diligência </w:t>
      </w:r>
      <w:r w:rsidRPr="00D5464D">
        <w:rPr>
          <w:i/>
          <w:lang w:val="pt-BR"/>
        </w:rPr>
        <w:t>in situ</w:t>
      </w:r>
      <w:r w:rsidRPr="00D5464D">
        <w:rPr>
          <w:lang w:val="pt-BR"/>
        </w:rPr>
        <w:t xml:space="preserve">, realizada em 6 de junho de 2016; declaração de Rogerio Félix da Silva, recebida durante a diligência </w:t>
      </w:r>
      <w:r w:rsidRPr="00D5464D">
        <w:rPr>
          <w:i/>
          <w:lang w:val="pt-BR"/>
        </w:rPr>
        <w:t>in situ</w:t>
      </w:r>
      <w:r w:rsidRPr="00D5464D">
        <w:rPr>
          <w:lang w:val="pt-BR"/>
        </w:rPr>
        <w:t xml:space="preserve">, realizada em 6 de junho de 2016; declaração de Francisco das Chagas Bastos Souza, recebida durante a diligência </w:t>
      </w:r>
      <w:r w:rsidRPr="00D5464D">
        <w:rPr>
          <w:i/>
          <w:lang w:val="pt-BR"/>
        </w:rPr>
        <w:t>in situ</w:t>
      </w:r>
      <w:r w:rsidRPr="00D5464D">
        <w:rPr>
          <w:lang w:val="pt-BR"/>
        </w:rPr>
        <w:t xml:space="preserve">, realizada em 6 de junho de 2016; declaração de Antônio Francisco da Silva, recebida durante a diligência </w:t>
      </w:r>
      <w:r w:rsidRPr="00D5464D">
        <w:rPr>
          <w:i/>
          <w:lang w:val="pt-BR"/>
        </w:rPr>
        <w:t>in situ</w:t>
      </w:r>
      <w:r w:rsidRPr="00D5464D">
        <w:rPr>
          <w:lang w:val="pt-BR"/>
        </w:rPr>
        <w:t>, realizada em 6 de junho de 2016; declaração de Antônio Fernandes da Costa, prestada perante agente dotado de fé pública em 8 de maio de 2015 (expediente de prova, folha 7566); declaração de Francisco de Assis Félix, prestada perante agente dotado de fé pública em 8 de maio de 2015 (expediente de prova, folha 7573) e relatório de 31 de março de 2000 sobre a fiscalização da Fazenda Brasil Verde (expediente de prova, folha 9572).</w:t>
      </w:r>
    </w:p>
  </w:footnote>
  <w:footnote w:id="186">
    <w:p w14:paraId="22EE5FB5" w14:textId="484735CE"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lang w:val="pt-BR"/>
        </w:rPr>
        <w:t xml:space="preserve">Declaração de Antônio Francisco da Silva, recebida durante a diligência </w:t>
      </w:r>
      <w:r w:rsidRPr="00D5464D">
        <w:rPr>
          <w:i/>
          <w:lang w:val="pt-BR"/>
        </w:rPr>
        <w:t>in situ</w:t>
      </w:r>
      <w:r w:rsidRPr="00D5464D">
        <w:rPr>
          <w:lang w:val="pt-BR"/>
        </w:rPr>
        <w:t xml:space="preserve">, realizada em 6 de junho de 2016; declaração de José Batista Gonçalves Afonso, coordenador regional da CPT, sobre a situação de Antônio Francisco da Silva e </w:t>
      </w:r>
      <w:r w:rsidR="00D47B1B" w:rsidRPr="00D5464D">
        <w:rPr>
          <w:rFonts w:cs="Times New Roman"/>
          <w:szCs w:val="20"/>
          <w:lang w:val="pt-BR"/>
        </w:rPr>
        <w:t>José Francisco Furtado de Sousa</w:t>
      </w:r>
      <w:r w:rsidRPr="00D5464D">
        <w:rPr>
          <w:lang w:val="pt-BR"/>
        </w:rPr>
        <w:t>, prestada em 8 de março de 2000 (expediente de prova, folha 1038) e relatório de 31 de março de 2000 sobre a fiscalização da Fazenda Brasil Verde (expediente de prova, folha 9572).</w:t>
      </w:r>
    </w:p>
  </w:footnote>
  <w:footnote w:id="187">
    <w:p w14:paraId="2DDA6F55" w14:textId="5203AECE"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lang w:val="pt-BR"/>
        </w:rPr>
        <w:t xml:space="preserve">Declaração de Antônio Francisco da Silva, recebida durante a diligência </w:t>
      </w:r>
      <w:r w:rsidRPr="00D5464D">
        <w:rPr>
          <w:i/>
          <w:lang w:val="pt-BR"/>
        </w:rPr>
        <w:t>in situ</w:t>
      </w:r>
      <w:r w:rsidRPr="00D5464D">
        <w:rPr>
          <w:lang w:val="pt-BR"/>
        </w:rPr>
        <w:t xml:space="preserve">, realizada em 6 de junho de 2016; declaração de José Batista Gonçalves Afonso, coordenador regional da CPT, sobre a situação de Antônio Francisco da Silva e </w:t>
      </w:r>
      <w:r w:rsidR="00D47B1B" w:rsidRPr="00D5464D">
        <w:rPr>
          <w:rFonts w:cs="Times New Roman"/>
          <w:szCs w:val="20"/>
          <w:lang w:val="pt-BR"/>
        </w:rPr>
        <w:t>José Francisco Furtado de Sousa</w:t>
      </w:r>
      <w:r w:rsidRPr="00D5464D">
        <w:rPr>
          <w:lang w:val="pt-BR"/>
        </w:rPr>
        <w:t>, prestada em 8 de março de 2000 (expediente de prova, folha 1038) e relatório de 31 de março de 2000 sobre a fiscalização da Fazenda Brasil Verde (expediente de prova, folha 9572).</w:t>
      </w:r>
    </w:p>
  </w:footnote>
  <w:footnote w:id="188">
    <w:p w14:paraId="2FEDDBC8" w14:textId="60D98D10"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Carta ao Ministério do Trabalho de 9 de março de 2000 (expediente de prova, folha 7534).</w:t>
      </w:r>
    </w:p>
  </w:footnote>
  <w:footnote w:id="189">
    <w:p w14:paraId="53156192" w14:textId="5EE9F101"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Relatório da Delegacia Regional do Trabalho do Pará (expediente de prova, folhas 9573 e 9574).</w:t>
      </w:r>
    </w:p>
  </w:footnote>
  <w:footnote w:id="190">
    <w:p w14:paraId="764CF6AD" w14:textId="14E77C33"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lang w:val="pt-BR"/>
        </w:rPr>
        <w:t xml:space="preserve">Declaração de Marcos Antônio Lima, recebida durante a diligência </w:t>
      </w:r>
      <w:r w:rsidRPr="00D5464D">
        <w:rPr>
          <w:i/>
          <w:lang w:val="pt-BR"/>
        </w:rPr>
        <w:t>in situ</w:t>
      </w:r>
      <w:r w:rsidRPr="00D5464D">
        <w:rPr>
          <w:lang w:val="pt-BR"/>
        </w:rPr>
        <w:t xml:space="preserve">, realizada em 6 de junho de 2016; declaração de Francisco Fabiano Leandro, recebida durante a diligência </w:t>
      </w:r>
      <w:r w:rsidRPr="00D5464D">
        <w:rPr>
          <w:i/>
          <w:lang w:val="pt-BR"/>
        </w:rPr>
        <w:t>in situ</w:t>
      </w:r>
      <w:r w:rsidRPr="00D5464D">
        <w:rPr>
          <w:lang w:val="pt-BR"/>
        </w:rPr>
        <w:t xml:space="preserve">, realizada em 6 de junho de 2016; declaração de Rogerio Félix da Silva, recebida durante a diligência </w:t>
      </w:r>
      <w:r w:rsidRPr="00D5464D">
        <w:rPr>
          <w:i/>
          <w:lang w:val="pt-BR"/>
        </w:rPr>
        <w:t>in situ</w:t>
      </w:r>
      <w:r w:rsidRPr="00D5464D">
        <w:rPr>
          <w:lang w:val="pt-BR"/>
        </w:rPr>
        <w:t xml:space="preserve">, realizada em 6 de junho de 2016; declaração de Francisco das Chagas Bastos Souza, recebida durante a diligência </w:t>
      </w:r>
      <w:r w:rsidRPr="00D5464D">
        <w:rPr>
          <w:i/>
          <w:lang w:val="pt-BR"/>
        </w:rPr>
        <w:t>in situ</w:t>
      </w:r>
      <w:r w:rsidRPr="00D5464D">
        <w:rPr>
          <w:lang w:val="pt-BR"/>
        </w:rPr>
        <w:t>, realizada em 6 de junho de 2016, folha 1038); declaração de Antônio Fernandes da Costa, prestada perante agente dotado de fé pública em 8 de maio de 2015 (expediente de prova, folha 7567); declaração de Francisco de Assis Félix, prestada perante agente dotado de fé pública em 8 de maio de 2015 (expediente de prova, folha 7573) e relatório de 31 de março de 2000 sobre a fiscalização da Fazenda Brasil Verde (expediente de prova, folhas 9573 a 9575).</w:t>
      </w:r>
    </w:p>
    <w:p w14:paraId="01A0467C" w14:textId="4DBB8A48"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lang w:val="pt-BR"/>
        </w:rPr>
        <w:t xml:space="preserve">Declaração de Marcos Antônio Lima, recebida durante a diligência </w:t>
      </w:r>
      <w:r w:rsidRPr="00D5464D">
        <w:rPr>
          <w:i/>
          <w:lang w:val="pt-BR"/>
        </w:rPr>
        <w:t>in situ</w:t>
      </w:r>
      <w:r w:rsidRPr="00D5464D">
        <w:rPr>
          <w:lang w:val="pt-BR"/>
        </w:rPr>
        <w:t xml:space="preserve">, realizada em 6 de junho de 2016; declaração de Francisco Fabiano Leandro, recebida durante a diligência </w:t>
      </w:r>
      <w:r w:rsidRPr="00D5464D">
        <w:rPr>
          <w:i/>
          <w:lang w:val="pt-BR"/>
        </w:rPr>
        <w:t>in situ</w:t>
      </w:r>
      <w:r w:rsidRPr="00D5464D">
        <w:rPr>
          <w:lang w:val="pt-BR"/>
        </w:rPr>
        <w:t xml:space="preserve">, realizada em 6 de junho de 2016; declaração de Rogerio Félix da Silva, recebida durante a diligência </w:t>
      </w:r>
      <w:r w:rsidRPr="00D5464D">
        <w:rPr>
          <w:i/>
          <w:lang w:val="pt-BR"/>
        </w:rPr>
        <w:t>in situ</w:t>
      </w:r>
      <w:r w:rsidRPr="00D5464D">
        <w:rPr>
          <w:lang w:val="pt-BR"/>
        </w:rPr>
        <w:t xml:space="preserve">, realizada em 6 de junho de 2016; declaração de Francisco das Chagas Bastos Souza, recebida durante a diligência </w:t>
      </w:r>
      <w:r w:rsidRPr="00D5464D">
        <w:rPr>
          <w:i/>
          <w:lang w:val="pt-BR"/>
        </w:rPr>
        <w:t>in situ</w:t>
      </w:r>
      <w:r w:rsidRPr="00D5464D">
        <w:rPr>
          <w:lang w:val="pt-BR"/>
        </w:rPr>
        <w:t>, realizada em 6 de junho de 2016, folha 1038); declaração de Antônio Fernandes da Costa, prestada perante agente dotado de fé pública em 8 de maio de 2015 (expediente de prova, folha 7567); declaração de Francisco de Assis Félix, prestada perante agente dotado de fé pública em 8 de maio de 2015 (expediente de prova, folha 7573) e relatório de 31 de março de 2000 sobre a fiscalização da Fazenda Brasil Verde (expediente de prova, folhas 9573 a 9575).</w:t>
      </w:r>
    </w:p>
  </w:footnote>
  <w:footnote w:id="191">
    <w:p w14:paraId="7CBCAB6E" w14:textId="3F89AA1E"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Relatório da Delegacia Regional do Trabalho do Pará (expediente de prova, folha 9573).</w:t>
      </w:r>
    </w:p>
  </w:footnote>
  <w:footnote w:id="192">
    <w:p w14:paraId="6D09977E" w14:textId="055C0ED6"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Relatório da Delegacia Regional do Trabalho do Pará (expediente de prova, folha 9574).</w:t>
      </w:r>
    </w:p>
  </w:footnote>
  <w:footnote w:id="193">
    <w:p w14:paraId="24059DCF" w14:textId="51CC7F8C"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Ação Civil Pública de 30 de maio de 2000 (expediente de prova, folha 1049).</w:t>
      </w:r>
    </w:p>
  </w:footnote>
  <w:footnote w:id="194">
    <w:p w14:paraId="0683CA5F" w14:textId="7397D907"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Ação Civil Pública de 30 de maio de 2000 (expediente de prova, folha 1049).</w:t>
      </w:r>
    </w:p>
  </w:footnote>
  <w:footnote w:id="195">
    <w:p w14:paraId="08F74C85" w14:textId="48B996B9"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Ação Civil Pública de 30 de maio de 2000 (expediente de prova, folha 1052).</w:t>
      </w:r>
    </w:p>
  </w:footnote>
  <w:footnote w:id="196">
    <w:p w14:paraId="123F5207" w14:textId="0723DEC0"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Ação Civil Pública de 30 de maio de 2000 (expediente de prova, folha 1053).</w:t>
      </w:r>
    </w:p>
  </w:footnote>
  <w:footnote w:id="197">
    <w:p w14:paraId="223A8381" w14:textId="10F24B50"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Notificações de 9 de junho de 2000 (expediente de prova, folhas 5787 e 5788).</w:t>
      </w:r>
    </w:p>
  </w:footnote>
  <w:footnote w:id="198">
    <w:p w14:paraId="39D39EBE" w14:textId="752DE42D"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Termo de Audiência de 20 de julho de 2000 (expediente de prova, folha 5794).</w:t>
      </w:r>
    </w:p>
  </w:footnote>
  <w:footnote w:id="199">
    <w:p w14:paraId="067D9F51" w14:textId="6683B717"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Ofício nº 2.357/2001 de 21 de junho de 2001 (expediente de prova, folha 1033).</w:t>
      </w:r>
    </w:p>
  </w:footnote>
  <w:footnote w:id="200">
    <w:p w14:paraId="1C55940F" w14:textId="2359F1F9"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Ofício nº 2.357/2001 de 21 de junho de 2001 (expediente de prova, folha 1033).</w:t>
      </w:r>
    </w:p>
  </w:footnote>
  <w:footnote w:id="201">
    <w:p w14:paraId="1A1DCEAE" w14:textId="60982FA6"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Ofício nº 2.357/2001 de 21 de junho de 2001 (expediente de prova, folha 1031).</w:t>
      </w:r>
    </w:p>
  </w:footnote>
  <w:footnote w:id="202">
    <w:p w14:paraId="048EAAC7" w14:textId="6C3F10C2"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Relatório de fiscalização de junho de 2002 (expediente de prova, folha 1056).</w:t>
      </w:r>
    </w:p>
  </w:footnote>
  <w:footnote w:id="203">
    <w:p w14:paraId="703A454B" w14:textId="7C036139"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Relatório de fiscalização de junho de 2002 (expediente de prova, folha 1056).</w:t>
      </w:r>
    </w:p>
  </w:footnote>
  <w:footnote w:id="204">
    <w:p w14:paraId="06814683" w14:textId="5FBD7315"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Relatório de fiscalização de junho de 2002 (expediente de prova, folha 1062).</w:t>
      </w:r>
    </w:p>
  </w:footnote>
  <w:footnote w:id="205">
    <w:p w14:paraId="287AB13C" w14:textId="2AD2A8B3"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Relatório de fiscalização de junho de 2002 (expediente de prova, folha 1063).</w:t>
      </w:r>
    </w:p>
  </w:footnote>
  <w:footnote w:id="206">
    <w:p w14:paraId="05EE13A2" w14:textId="5E3BE1CB"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Escrito do Estado de 27 de junho de 2016 (expediente de mérito, folha 1698).</w:t>
      </w:r>
    </w:p>
  </w:footnote>
  <w:footnote w:id="207">
    <w:p w14:paraId="1973D03F" w14:textId="48E15194"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Ofício nº 1254/2007 de 29 de outubro de 2007 (expediente de prova, folha 1009).</w:t>
      </w:r>
    </w:p>
  </w:footnote>
  <w:footnote w:id="208">
    <w:p w14:paraId="0B08C2AD" w14:textId="1EEEBEB2"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Declaração de Maria do Socorro Canuto de 17 de fevereiro de 2009 (expediente de prova, folha 7442) e declaração de Raimunda Marcia Azevedo da Silva de 22 de julho de 2007 (expediente de prova, folha 7445).</w:t>
      </w:r>
    </w:p>
  </w:footnote>
  <w:footnote w:id="209">
    <w:p w14:paraId="6A212CC1" w14:textId="1EAF80DF"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Declaração de Raimunda Marcia Azevedo da Silva de 22 de julho de 2007 (expediente de prova, folha 7445).</w:t>
      </w:r>
    </w:p>
  </w:footnote>
  <w:footnote w:id="210">
    <w:p w14:paraId="15BED403" w14:textId="198ECB88"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Declaração de Maria do Socorro Canuto de 17 de fevereiro de 2009 (expediente de prova, folha 7442) e declaração de Raimunda Marcia Azevedo da Silva de 22 de julho de 2007 (expediente de prova, folha 7445). Exame médico forense de Iron Canuto da Silva (expediente de prova, folhas 7451 e 7452).</w:t>
      </w:r>
    </w:p>
  </w:footnote>
  <w:footnote w:id="211">
    <w:p w14:paraId="54D84025" w14:textId="50DC9A23"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Declaração de Maria do Socorro Canuto de 17 de fevereiro de 2009 (expediente de prova, folha 7442).</w:t>
      </w:r>
    </w:p>
  </w:footnote>
  <w:footnote w:id="212">
    <w:p w14:paraId="0721A91B" w14:textId="0440FF67"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Relatório nº 3/2015 da Polícia Federal de 4 de agosto de 2015 (expediente de prova, folha 10766).</w:t>
      </w:r>
    </w:p>
  </w:footnote>
  <w:footnote w:id="213">
    <w:p w14:paraId="3161263C" w14:textId="3EACBFA5"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Relatório nº 3/2015 da Polícia Federal de 4 de agosto de 2015 (expediente de prova, folha 10766).</w:t>
      </w:r>
    </w:p>
  </w:footnote>
  <w:footnote w:id="214">
    <w:p w14:paraId="770492D3" w14:textId="559A39D0" w:rsidR="00AF210B" w:rsidRPr="00D5464D" w:rsidRDefault="00AF210B" w:rsidP="002A0C2B">
      <w:pPr>
        <w:tabs>
          <w:tab w:val="left" w:pos="567"/>
        </w:tabs>
        <w:spacing w:after="20"/>
        <w:jc w:val="both"/>
        <w:rPr>
          <w:sz w:val="16"/>
          <w:szCs w:val="16"/>
          <w:lang w:val="pt-BR"/>
        </w:rPr>
      </w:pPr>
      <w:r w:rsidRPr="00D5464D">
        <w:rPr>
          <w:rStyle w:val="Refdenotaalpie"/>
          <w:sz w:val="16"/>
          <w:szCs w:val="16"/>
        </w:rPr>
        <w:footnoteRef/>
      </w:r>
      <w:r w:rsidRPr="00D5464D">
        <w:rPr>
          <w:sz w:val="16"/>
          <w:szCs w:val="16"/>
          <w:lang w:val="pt-BR"/>
        </w:rPr>
        <w:t xml:space="preserve"> </w:t>
      </w:r>
      <w:r w:rsidRPr="00D5464D">
        <w:rPr>
          <w:i/>
          <w:sz w:val="16"/>
          <w:szCs w:val="16"/>
          <w:lang w:val="pt-BR"/>
        </w:rPr>
        <w:t>Cf. Caso dos Massacres de El Mozote e lugares vizinhos</w:t>
      </w:r>
      <w:r w:rsidRPr="00D5464D">
        <w:rPr>
          <w:sz w:val="16"/>
          <w:szCs w:val="16"/>
          <w:lang w:val="pt-BR"/>
        </w:rPr>
        <w:t>, par. 54.</w:t>
      </w:r>
    </w:p>
  </w:footnote>
  <w:footnote w:id="215">
    <w:p w14:paraId="0581B05A" w14:textId="67D4BC8A" w:rsidR="00AF210B" w:rsidRPr="00D5464D" w:rsidRDefault="00AF210B" w:rsidP="002A0C2B">
      <w:pPr>
        <w:tabs>
          <w:tab w:val="left" w:pos="567"/>
        </w:tabs>
        <w:spacing w:after="20"/>
        <w:jc w:val="both"/>
        <w:rPr>
          <w:sz w:val="16"/>
          <w:szCs w:val="16"/>
          <w:lang w:val="pt-BR"/>
        </w:rPr>
      </w:pPr>
      <w:r w:rsidRPr="00D5464D">
        <w:rPr>
          <w:rStyle w:val="Refdenotaalpie"/>
          <w:sz w:val="16"/>
          <w:szCs w:val="16"/>
        </w:rPr>
        <w:footnoteRef/>
      </w:r>
      <w:r w:rsidRPr="00D5464D">
        <w:rPr>
          <w:sz w:val="16"/>
          <w:szCs w:val="16"/>
          <w:lang w:val="pt-BR"/>
        </w:rPr>
        <w:t xml:space="preserve"> A saber: </w:t>
      </w:r>
      <w:r w:rsidRPr="00D5464D">
        <w:rPr>
          <w:rFonts w:cs="Helvetica"/>
          <w:sz w:val="16"/>
          <w:szCs w:val="16"/>
          <w:lang w:val="pt-BR"/>
        </w:rPr>
        <w:t>1. João Luiz “ilegível” (ou Mendonça), 2. Raimundo, 3. Antônio Pereira, 4. Hilário dos SS, 5. Claudio Peres “ilegível”, 6. Raimundo A. P. Moura, 7. José Fernandes Silva, 8. Carlos Pereira Silva, 9. Francisco “ilegível” (o Rodrigues) Souza, 10. Antônio Ribeiro, 11. Antônio “ilegível” (ou P.) Silva, 12. Angelo Marcio A. Silva, 13. Antônio “Caititu”, 14. Antônio “Capixaba”, 15. Benedito Ferreira, 16. Claudeci Nunes, 17. Cosme (ou Cosmi) Rodrigues, 18. Domingos Mendes, 19. Edilson Fernandes, 20. José da Costa Oliveira, 21. Osnar (ou Osmar) Ribeiro, 22. Virma Firmino di Paulo, 23. “ilegível” Francisco, 24. “Índio”, 25. “Mato Grosso” e 26. “Pará”.</w:t>
      </w:r>
      <w:r w:rsidRPr="00D5464D">
        <w:rPr>
          <w:sz w:val="16"/>
          <w:szCs w:val="16"/>
          <w:lang w:val="pt-BR"/>
        </w:rPr>
        <w:t xml:space="preserve"> </w:t>
      </w:r>
    </w:p>
  </w:footnote>
  <w:footnote w:id="216">
    <w:p w14:paraId="5B571E5F" w14:textId="7A6D49A9" w:rsidR="00AF210B" w:rsidRPr="00D5464D" w:rsidRDefault="00AF210B" w:rsidP="002A0C2B">
      <w:pPr>
        <w:tabs>
          <w:tab w:val="left" w:pos="567"/>
        </w:tabs>
        <w:spacing w:after="20"/>
        <w:jc w:val="both"/>
        <w:rPr>
          <w:sz w:val="16"/>
          <w:szCs w:val="16"/>
          <w:lang w:val="pt-BR"/>
        </w:rPr>
      </w:pPr>
      <w:r w:rsidRPr="00D5464D">
        <w:rPr>
          <w:rStyle w:val="Refdenotaalpie"/>
          <w:sz w:val="16"/>
          <w:szCs w:val="16"/>
        </w:rPr>
        <w:footnoteRef/>
      </w:r>
      <w:r w:rsidRPr="00D5464D">
        <w:rPr>
          <w:sz w:val="16"/>
          <w:szCs w:val="16"/>
          <w:lang w:val="pt-BR"/>
        </w:rPr>
        <w:t xml:space="preserve"> A saber: </w:t>
      </w:r>
      <w:r w:rsidRPr="00D5464D">
        <w:rPr>
          <w:rFonts w:cs="Times New Roman"/>
          <w:sz w:val="16"/>
          <w:szCs w:val="16"/>
          <w:lang w:val="pt-BR"/>
        </w:rPr>
        <w:t xml:space="preserve">1. José Cano, 2. </w:t>
      </w:r>
      <w:r w:rsidRPr="00D5464D">
        <w:rPr>
          <w:rFonts w:cs="Helvetica"/>
          <w:sz w:val="16"/>
          <w:szCs w:val="16"/>
          <w:lang w:val="pt-BR"/>
        </w:rPr>
        <w:t>Francisco das Chagas Marques de Souza, 3. Carlos da Silva, 4. Dovalino (ou Davalino) Barbosa, 5. Edivaldo dos Santos, 6. João Monteiro, 7. Juarez Silva, 8. Luiz Barbosa, 9. Valdir Alves, 10. “Parazinho”.</w:t>
      </w:r>
    </w:p>
  </w:footnote>
  <w:footnote w:id="217">
    <w:p w14:paraId="38350CC3" w14:textId="304B8200" w:rsidR="00AF210B" w:rsidRPr="00D5464D" w:rsidRDefault="00AF210B" w:rsidP="002A0C2B">
      <w:pPr>
        <w:tabs>
          <w:tab w:val="left" w:pos="567"/>
        </w:tabs>
        <w:spacing w:after="20"/>
        <w:jc w:val="both"/>
        <w:rPr>
          <w:rFonts w:cs="Helvetica"/>
          <w:sz w:val="16"/>
          <w:szCs w:val="16"/>
          <w:lang w:val="pt-BR"/>
        </w:rPr>
      </w:pPr>
      <w:r w:rsidRPr="00D5464D">
        <w:rPr>
          <w:rStyle w:val="Refdenotaalpie"/>
          <w:sz w:val="16"/>
          <w:szCs w:val="16"/>
        </w:rPr>
        <w:footnoteRef/>
      </w:r>
      <w:r w:rsidRPr="00D5464D">
        <w:rPr>
          <w:sz w:val="16"/>
          <w:szCs w:val="16"/>
          <w:lang w:val="pt-BR"/>
        </w:rPr>
        <w:t xml:space="preserve"> A saber: </w:t>
      </w:r>
      <w:r w:rsidRPr="00D5464D">
        <w:rPr>
          <w:rFonts w:cs="Helvetica"/>
          <w:sz w:val="16"/>
          <w:szCs w:val="16"/>
          <w:lang w:val="pt-BR"/>
        </w:rPr>
        <w:t>1. Antônio Alves em relação a Antônio Alves de Souza, 2. Antônio Renato em relação a Antônio Renato Barros, 3. Dijalma Santos em relação a Dijalma Santos Batista, 4. Irineu em relação a Irineu Inácio da Silva, 5. João Germano em relação a João Germano da Silva, 6. João Pereira em relação a João Pereira Marinho, 7. Joaquim Francisco em relação a Joaquim Francisco Xavier, 8. José Carlos em relação a José Carlos Alves dos Santos, 9. José Francisco em relação a José Francisco de Lima, 10. Manoel Alves em relação a Manoel Alves de Oliveira, 11. Pedro P. Andrade em relação a Pedro Pereira de Andrade, 12. Raimundo Gonçalves em relação a Raimundo Gonçalves Lima, 13. Raimundo Nonato em relação a Raimundo Nonato da Silva, 14. Sebastião Rodrigues em relação a Sebastião Rodrigues da Silva.</w:t>
      </w:r>
    </w:p>
  </w:footnote>
  <w:footnote w:id="218">
    <w:p w14:paraId="66375E0B" w14:textId="4D1D7C83"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1255); RE (expediente de prova, folha 1752); TC (expediente de prova, folha 1753) e PP (expediente de prova, folha 600).</w:t>
      </w:r>
    </w:p>
  </w:footnote>
  <w:footnote w:id="219">
    <w:p w14:paraId="751FB797" w14:textId="1C73FD6C"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1257); RE (expediente de prova, folha 1756); TC (expediente de prova, folha 1757) e PP (expediente de prova, folha 600).</w:t>
      </w:r>
    </w:p>
  </w:footnote>
  <w:footnote w:id="220">
    <w:p w14:paraId="5CD315C3" w14:textId="79D9191D"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1257); RE (expediente de prova, folha 1754); TC (expediente de prova, folha 1755) e PP (expediente de prova, folha 600).</w:t>
      </w:r>
    </w:p>
  </w:footnote>
  <w:footnote w:id="221">
    <w:p w14:paraId="28F6C810" w14:textId="1CFCC295"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1254); VF (expediente de prova, folha 1226); RE (expediente de prova, folha 1758); TC (expediente de prova, folha 1759) e PP (expediente de prova, folha 600).</w:t>
      </w:r>
    </w:p>
  </w:footnote>
  <w:footnote w:id="222">
    <w:p w14:paraId="1E65C8B5" w14:textId="4844EA12"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1255); RE (expediente de prova, folha 1760); TC (expediente de prova, folha 1761) e PP (expediente de prova, folha 600).</w:t>
      </w:r>
    </w:p>
  </w:footnote>
  <w:footnote w:id="223">
    <w:p w14:paraId="41D198C0" w14:textId="4EFAED70"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lang w:val="pt-BR"/>
        </w:rPr>
        <w:t>RE (expediente de prova, folha 1738) e PP (expediente de prova, folha 600).</w:t>
      </w:r>
    </w:p>
  </w:footnote>
  <w:footnote w:id="224">
    <w:p w14:paraId="20DDE527" w14:textId="7535BC16"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1256); RE (expediente de prova, folha 1762); TC (expediente de prova, folha 1763) e PP (expediente de prova, folha 600).</w:t>
      </w:r>
    </w:p>
  </w:footnote>
  <w:footnote w:id="225">
    <w:p w14:paraId="7BACD61E" w14:textId="50813C24"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1257); RE (expediente de prova, folha 1764); TC (expediente de prova, folha 1765) e PP (expediente de prova, folha 600).</w:t>
      </w:r>
    </w:p>
  </w:footnote>
  <w:footnote w:id="226">
    <w:p w14:paraId="309F2BA5" w14:textId="07F114BF"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1257); RE (expediente de prova, folha 1766); TC (expediente de prova, folha 1767) e PP (expediente de prova, folha 600).</w:t>
      </w:r>
    </w:p>
  </w:footnote>
  <w:footnote w:id="227">
    <w:p w14:paraId="655A1E66" w14:textId="234B4623"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1254).</w:t>
      </w:r>
    </w:p>
  </w:footnote>
  <w:footnote w:id="228">
    <w:p w14:paraId="4D4D1781" w14:textId="3FAB8AFC"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1257); RE (expediente de prova, folha 1768); TC (expediente de prova, folha 1769) e PP (expediente de prova, folha 600).</w:t>
      </w:r>
    </w:p>
  </w:footnote>
  <w:footnote w:id="229">
    <w:p w14:paraId="218B91A6" w14:textId="15980A95"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Também indicado como </w:t>
      </w:r>
      <w:r w:rsidRPr="00D5464D">
        <w:rPr>
          <w:rFonts w:cs="Times New Roman"/>
          <w:lang w:val="pt-BR"/>
        </w:rPr>
        <w:t>Edson Possidonio</w:t>
      </w:r>
      <w:r w:rsidRPr="00D5464D">
        <w:rPr>
          <w:rFonts w:cs="Helvetica"/>
          <w:lang w:val="pt-BR"/>
        </w:rPr>
        <w:t xml:space="preserve">. </w:t>
      </w:r>
      <w:r w:rsidRPr="00D5464D">
        <w:rPr>
          <w:i/>
          <w:lang w:val="pt-BR"/>
        </w:rPr>
        <w:t>Cf.</w:t>
      </w:r>
      <w:r w:rsidRPr="00D5464D">
        <w:rPr>
          <w:lang w:val="pt-BR"/>
        </w:rPr>
        <w:t xml:space="preserve"> AI (expediente de prova, folha 1255); RE (expediente de prova, folha 1770); TC (expediente de prova, folha 1771) e PP (expediente de prova, folha 600).</w:t>
      </w:r>
    </w:p>
  </w:footnote>
  <w:footnote w:id="230">
    <w:p w14:paraId="025F425C" w14:textId="37E98F93"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1255).</w:t>
      </w:r>
    </w:p>
  </w:footnote>
  <w:footnote w:id="231">
    <w:p w14:paraId="1B81679D" w14:textId="56A8EE73"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lang w:val="pt-BR"/>
        </w:rPr>
        <w:t>RE (expediente de prova, folha 1740) e PP (expediente de prova, folha 600).</w:t>
      </w:r>
    </w:p>
  </w:footnote>
  <w:footnote w:id="232">
    <w:p w14:paraId="4E70C19C" w14:textId="28CEAF33"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1256).</w:t>
      </w:r>
    </w:p>
  </w:footnote>
  <w:footnote w:id="233">
    <w:p w14:paraId="56C06AC4" w14:textId="424C49C4"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1254); RE (expediente de prova, folha 1772); TC (expediente de prova, folha 1773) e PP (expediente de prova, folha 600).</w:t>
      </w:r>
    </w:p>
  </w:footnote>
  <w:footnote w:id="234">
    <w:p w14:paraId="2ECCCD07" w14:textId="155A9586"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lang w:val="pt-BR"/>
        </w:rPr>
        <w:t>VF (expediente de prova, folha 1230); RE (expediente de prova, folha 1742); TC (expediente de prova, folha 1743) e PP (expediente de prova, folha 600).</w:t>
      </w:r>
    </w:p>
  </w:footnote>
  <w:footnote w:id="235">
    <w:p w14:paraId="01E247A2" w14:textId="24104697"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1257); RE (expediente de prova, folha 1774); TC (expediente de prova, folha 1775) e PP (expediente de prova, folha 600).</w:t>
      </w:r>
    </w:p>
  </w:footnote>
  <w:footnote w:id="236">
    <w:p w14:paraId="60E2CD45" w14:textId="48BE704B"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1257); RE (expediente de prova, folha 1776); TC (expediente de prova, folha 1777) e PP (expediente de prova, folha 600).</w:t>
      </w:r>
    </w:p>
  </w:footnote>
  <w:footnote w:id="237">
    <w:p w14:paraId="77E9AB7A" w14:textId="4DEEB777"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1256); RE (expediente de prova, folha 1778); TC (expediente de prova, folha 1779) e PP (expediente de prova, folha 600).</w:t>
      </w:r>
    </w:p>
  </w:footnote>
  <w:footnote w:id="238">
    <w:p w14:paraId="5A646F3D" w14:textId="09756183"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1254).</w:t>
      </w:r>
    </w:p>
  </w:footnote>
  <w:footnote w:id="239">
    <w:p w14:paraId="5A0C642E" w14:textId="77FFF9FF"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1254); RE (expediente de prova, folha 1780); TC (expediente de prova, folha 1781) e PP (expediente de prova, folha 600).</w:t>
      </w:r>
    </w:p>
  </w:footnote>
  <w:footnote w:id="240">
    <w:p w14:paraId="286C1D91" w14:textId="0D4B2EEF"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1255); RE (expediente de prova, folha 1782); TC (expediente de prova, folha 1783) e PP (expediente de prova, folha 600).</w:t>
      </w:r>
    </w:p>
  </w:footnote>
  <w:footnote w:id="241">
    <w:p w14:paraId="56B709E2" w14:textId="707322FB"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1256); RE (expediente de prova, folha 1784); TC (expediente de prova, folha 1785) e PP (expediente de prova, folha 600).</w:t>
      </w:r>
    </w:p>
  </w:footnote>
  <w:footnote w:id="242">
    <w:p w14:paraId="47030482" w14:textId="26A5D5A6"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1255); RE (expediente de prova, folha 1786); TC (expediente de prova, folha 1787) e PP (expediente de prova, folha 600).</w:t>
      </w:r>
    </w:p>
  </w:footnote>
  <w:footnote w:id="243">
    <w:p w14:paraId="59D0CE29" w14:textId="41935ABA"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1254); RE (expediente de prova, folha 1791); TC (expediente de prova, folha 1790) e PP (expediente de prova, folha 600).</w:t>
      </w:r>
    </w:p>
  </w:footnote>
  <w:footnote w:id="244">
    <w:p w14:paraId="3A81DA0E" w14:textId="713C4468"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1255); RE (expediente de prova, folha 1792); TC (expediente de prova, folha 1793) e PP (expediente de prova, folha 600).</w:t>
      </w:r>
    </w:p>
  </w:footnote>
  <w:footnote w:id="245">
    <w:p w14:paraId="229718CA" w14:textId="5540B9D4"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1256); RE (expediente de prova, folha 1788); TC (expediente de prova, folha 1789) e PP (expediente de prova, folha 600).</w:t>
      </w:r>
    </w:p>
  </w:footnote>
  <w:footnote w:id="246">
    <w:p w14:paraId="199EBEB9" w14:textId="5D117E21"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Também indicado como </w:t>
      </w:r>
      <w:r w:rsidRPr="00D5464D">
        <w:rPr>
          <w:rFonts w:cs="Times New Roman"/>
          <w:lang w:val="pt-BR"/>
        </w:rPr>
        <w:t xml:space="preserve">Manuel Fernandes dos Santos. </w:t>
      </w:r>
      <w:r w:rsidRPr="00D5464D">
        <w:rPr>
          <w:i/>
          <w:lang w:val="pt-BR"/>
        </w:rPr>
        <w:t xml:space="preserve">Cf. </w:t>
      </w:r>
      <w:r w:rsidRPr="00D5464D">
        <w:rPr>
          <w:lang w:val="pt-BR"/>
        </w:rPr>
        <w:t>RE (expediente de prova, folha 1744); TC (expediente de prova, folha 1745) e PP (expediente de prova, folha 600).</w:t>
      </w:r>
    </w:p>
  </w:footnote>
  <w:footnote w:id="247">
    <w:p w14:paraId="7A0781AA" w14:textId="15954C06"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1254); RE (expediente de prova, folha 1794); TC (expediente de prova, folha 1795) e PP (expediente de prova, folha 600).</w:t>
      </w:r>
    </w:p>
  </w:footnote>
  <w:footnote w:id="248">
    <w:p w14:paraId="0D065B62" w14:textId="550720D9"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1257); VF (expediente de prova, folha 1231); RE (expediente de prova, folha 1796); TC (expediente de prova, folha 1797) e PP (expediente de prova, folha 600).</w:t>
      </w:r>
    </w:p>
  </w:footnote>
  <w:footnote w:id="249">
    <w:p w14:paraId="47EC858F" w14:textId="763FBC62"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1256).</w:t>
      </w:r>
    </w:p>
  </w:footnote>
  <w:footnote w:id="250">
    <w:p w14:paraId="57CC9950" w14:textId="1F3D7696"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Também indicado como </w:t>
      </w:r>
      <w:r w:rsidRPr="00D5464D">
        <w:rPr>
          <w:rFonts w:cs="Times New Roman"/>
          <w:lang w:val="pt-BR"/>
        </w:rPr>
        <w:t xml:space="preserve">Raimundo Amaro Ferreira. </w:t>
      </w:r>
      <w:r w:rsidRPr="00D5464D">
        <w:rPr>
          <w:i/>
          <w:lang w:val="pt-BR"/>
        </w:rPr>
        <w:t xml:space="preserve">Cf. </w:t>
      </w:r>
      <w:r w:rsidRPr="00D5464D">
        <w:rPr>
          <w:lang w:val="pt-BR"/>
        </w:rPr>
        <w:t>RE (expediente de prova, folha 1746); TC (expediente de prova, folha 1747) e PP (expediente de prova, folha 600).</w:t>
      </w:r>
    </w:p>
  </w:footnote>
  <w:footnote w:id="251">
    <w:p w14:paraId="5F226E26" w14:textId="21B37302"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1255); RE (expediente de prova, folha 1798); TC (expediente de prova, folha 1799) e PP (expediente de prova, folha 600).</w:t>
      </w:r>
    </w:p>
  </w:footnote>
  <w:footnote w:id="252">
    <w:p w14:paraId="46E88AB6" w14:textId="1EB9039D"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1255); RE (expediente de prova, folha 1800); TC (expediente de prova, folha 1801) e PP (expediente de prova, folha 600).</w:t>
      </w:r>
    </w:p>
  </w:footnote>
  <w:footnote w:id="253">
    <w:p w14:paraId="621E38F7" w14:textId="4C17D7FC"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1258); RE (expediente de prova, folha 1802); TC (expediente de prova, folha 1803) e PP (expediente de prova, folha 601).</w:t>
      </w:r>
    </w:p>
  </w:footnote>
  <w:footnote w:id="254">
    <w:p w14:paraId="3C7C3532" w14:textId="41E63823"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1254); RE (expediente de prova, folha 1804); TC (expediente de prova, folha 1805) e PP (expediente de prova, folha 601).</w:t>
      </w:r>
    </w:p>
  </w:footnote>
  <w:footnote w:id="255">
    <w:p w14:paraId="0411945D" w14:textId="22902C59"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1254).</w:t>
      </w:r>
    </w:p>
  </w:footnote>
  <w:footnote w:id="256">
    <w:p w14:paraId="3175550E" w14:textId="1D9B3FFD"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lang w:val="pt-BR"/>
        </w:rPr>
        <w:t>TC (expediente de prova, folha 1749) e PP (expediente de prova, folha 601).</w:t>
      </w:r>
    </w:p>
  </w:footnote>
  <w:footnote w:id="257">
    <w:p w14:paraId="7D4CC66F" w14:textId="616E66F2"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lang w:val="pt-BR"/>
        </w:rPr>
        <w:t>TC (expediente de prova, folha 1751) e PP (expediente de prova, folha 601).</w:t>
      </w:r>
    </w:p>
  </w:footnote>
  <w:footnote w:id="258">
    <w:p w14:paraId="0565940D" w14:textId="1BFA594C"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1256); RE (expediente de prova, folha 1806); TC (expediente de prova, folha 1807) e PP (expediente de prova, folha 601).</w:t>
      </w:r>
    </w:p>
  </w:footnote>
  <w:footnote w:id="259">
    <w:p w14:paraId="24ED76CA" w14:textId="3A45853B"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Também indicado como </w:t>
      </w:r>
      <w:r w:rsidRPr="00D5464D">
        <w:rPr>
          <w:rFonts w:cs="Helvetica"/>
          <w:lang w:val="pt-BR"/>
        </w:rPr>
        <w:t xml:space="preserve">Valdiná Veloso Silva. </w:t>
      </w:r>
      <w:r w:rsidRPr="00D5464D">
        <w:rPr>
          <w:i/>
          <w:lang w:val="pt-BR"/>
        </w:rPr>
        <w:t>Cf.</w:t>
      </w:r>
      <w:r w:rsidRPr="00D5464D">
        <w:rPr>
          <w:lang w:val="pt-BR"/>
        </w:rPr>
        <w:t xml:space="preserve"> AI (expediente de prova, folha 1257); VF (expediente de prova, folha 1228); RE (expediente de prova, folha 1808); TC (expediente de prova, folha 1809) e PP (expediente de prova, folha 601).</w:t>
      </w:r>
    </w:p>
  </w:footnote>
  <w:footnote w:id="260">
    <w:p w14:paraId="44F2E279" w14:textId="791C0810"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Também indicado como Zeno Gomes Feitoza. </w:t>
      </w:r>
      <w:r w:rsidRPr="00D5464D">
        <w:rPr>
          <w:i/>
          <w:lang w:val="pt-BR"/>
        </w:rPr>
        <w:t>Cf.</w:t>
      </w:r>
      <w:r w:rsidRPr="00D5464D">
        <w:rPr>
          <w:lang w:val="pt-BR"/>
        </w:rPr>
        <w:t xml:space="preserve"> AI (expediente de prova, folha 1256); VF (expediente de prova, folha 1227); RE (expediente de prova, folha 1810); TC (expediente de prova, folha 1811) e PP (expediente de prova, folha 601).</w:t>
      </w:r>
    </w:p>
  </w:footnote>
  <w:footnote w:id="261">
    <w:p w14:paraId="34E7138D" w14:textId="7A7178A9" w:rsidR="00AF210B" w:rsidRPr="00D5464D" w:rsidRDefault="00AF210B" w:rsidP="002A0C2B">
      <w:pPr>
        <w:pStyle w:val="Textonotapie"/>
        <w:tabs>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lang w:val="pt-BR"/>
        </w:rPr>
        <w:t xml:space="preserve">Relatório de 31 de março de 2000 sobre a fiscalização da Fazenda Brasil Verde (expediente de prova, folhas 9571 e 9573); relatório de 20 de outubro de 1999 sobre a fiscalização da Fazenda Brasil Verde (expediente de prova, folha 7546); declaração de Francisco Fabiano Leandro, recebida durante a diligência </w:t>
      </w:r>
      <w:r w:rsidRPr="00D5464D">
        <w:rPr>
          <w:i/>
          <w:lang w:val="pt-BR"/>
        </w:rPr>
        <w:t>in situ</w:t>
      </w:r>
      <w:r w:rsidRPr="00D5464D">
        <w:rPr>
          <w:lang w:val="pt-BR"/>
        </w:rPr>
        <w:t xml:space="preserve">, realizada em 6 de 2016; declaração de Francisco das Chagas Bastos Souza, recebida durante a diligência </w:t>
      </w:r>
      <w:r w:rsidRPr="00D5464D">
        <w:rPr>
          <w:i/>
          <w:lang w:val="pt-BR"/>
        </w:rPr>
        <w:t>in situ</w:t>
      </w:r>
      <w:r w:rsidRPr="00D5464D">
        <w:rPr>
          <w:lang w:val="pt-BR"/>
        </w:rPr>
        <w:t xml:space="preserve">, realizada em 6 de 2016 e declaração de Antônio Francisco da Silva, recebida durante a diligência </w:t>
      </w:r>
      <w:r w:rsidRPr="00D5464D">
        <w:rPr>
          <w:i/>
          <w:lang w:val="pt-BR"/>
        </w:rPr>
        <w:t>in situ</w:t>
      </w:r>
      <w:r w:rsidRPr="00D5464D">
        <w:rPr>
          <w:lang w:val="pt-BR"/>
        </w:rPr>
        <w:t>, realizada em 6 de 2016.</w:t>
      </w:r>
    </w:p>
  </w:footnote>
  <w:footnote w:id="262">
    <w:p w14:paraId="1FE5C8AA" w14:textId="1BD0156C" w:rsidR="00AF210B" w:rsidRPr="00D5464D" w:rsidRDefault="00AF210B" w:rsidP="002A0C2B">
      <w:pPr>
        <w:tabs>
          <w:tab w:val="left" w:pos="567"/>
        </w:tabs>
        <w:spacing w:after="20"/>
        <w:jc w:val="both"/>
        <w:rPr>
          <w:sz w:val="16"/>
          <w:szCs w:val="16"/>
          <w:lang w:val="pt-BR"/>
        </w:rPr>
      </w:pPr>
      <w:r w:rsidRPr="00D5464D">
        <w:rPr>
          <w:rStyle w:val="Refdenotaalpie"/>
          <w:sz w:val="16"/>
          <w:szCs w:val="16"/>
        </w:rPr>
        <w:footnoteRef/>
      </w:r>
      <w:r w:rsidRPr="00D5464D">
        <w:rPr>
          <w:sz w:val="16"/>
          <w:szCs w:val="16"/>
          <w:lang w:val="pt-BR"/>
        </w:rPr>
        <w:t xml:space="preserve"> </w:t>
      </w:r>
      <w:r w:rsidRPr="00D5464D">
        <w:rPr>
          <w:i/>
          <w:sz w:val="16"/>
          <w:szCs w:val="16"/>
          <w:lang w:val="pt-BR"/>
        </w:rPr>
        <w:t>Cf. Caso dos Massacres de El Mozote e lugares vizinhos</w:t>
      </w:r>
      <w:r w:rsidRPr="00D5464D">
        <w:rPr>
          <w:sz w:val="16"/>
          <w:szCs w:val="16"/>
          <w:lang w:val="pt-BR"/>
        </w:rPr>
        <w:t>, par. 54.</w:t>
      </w:r>
    </w:p>
  </w:footnote>
  <w:footnote w:id="263">
    <w:p w14:paraId="4D4FDD53" w14:textId="1986F8F4"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9615); RE (expediente de prova, folha 607); TC (expediente de prova, folha 608) e PP (expediente de prova, folha 602).</w:t>
      </w:r>
    </w:p>
  </w:footnote>
  <w:footnote w:id="264">
    <w:p w14:paraId="0BEAA281" w14:textId="077E15C7"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9615); RE (expediente de prova, folha 609); TC (expediente de prova, folha 610) e PP (expediente de prova, folha 602).</w:t>
      </w:r>
    </w:p>
  </w:footnote>
  <w:footnote w:id="265">
    <w:p w14:paraId="4368F12D" w14:textId="6A7B7504"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9615); RE (expediente de prova, folha 611); TC (expediente de prova, folha 612) e PP (expediente de prova, folha 602).</w:t>
      </w:r>
    </w:p>
  </w:footnote>
  <w:footnote w:id="266">
    <w:p w14:paraId="2BF91BAC" w14:textId="79E6ACB5"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9615); RE (expediente de prova, folha 613); TC (629) e PP (expediente de prova, folha 602).</w:t>
      </w:r>
    </w:p>
  </w:footnote>
  <w:footnote w:id="267">
    <w:p w14:paraId="0EA76489" w14:textId="4380A2DF"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9616); RE (expediente de prova, folha 614); TC (expediente de prova, folha 615) e PP (expediente de prova, folha 602).</w:t>
      </w:r>
    </w:p>
  </w:footnote>
  <w:footnote w:id="268">
    <w:p w14:paraId="46C8A772" w14:textId="310627D7"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9616); RE (expediente de prova, folha 616); TC (expediente de prova, folha 617) e PP (expediente de prova, folha 602).</w:t>
      </w:r>
    </w:p>
  </w:footnote>
  <w:footnote w:id="269">
    <w:p w14:paraId="1ACCABCA" w14:textId="4A0CA03C"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9616); RE (expediente de prova, folha 630); TC (expediente de prova, folha 631) e PP (expediente de prova, folha 602).</w:t>
      </w:r>
    </w:p>
  </w:footnote>
  <w:footnote w:id="270">
    <w:p w14:paraId="38E72306" w14:textId="089A3C46"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Também indicado como </w:t>
      </w:r>
      <w:r w:rsidRPr="00D5464D">
        <w:rPr>
          <w:rFonts w:cs="Times New Roman"/>
          <w:lang w:val="pt-BR"/>
        </w:rPr>
        <w:t xml:space="preserve">Antônio de Paula Rodrigues de Souza. </w:t>
      </w:r>
      <w:r w:rsidRPr="00D5464D">
        <w:rPr>
          <w:rFonts w:cs="Times New Roman"/>
          <w:i/>
          <w:lang w:val="pt-BR"/>
        </w:rPr>
        <w:t>Cf.</w:t>
      </w:r>
      <w:r w:rsidRPr="00D5464D">
        <w:rPr>
          <w:rFonts w:cs="Times New Roman"/>
          <w:lang w:val="pt-BR"/>
        </w:rPr>
        <w:t xml:space="preserve"> AI </w:t>
      </w:r>
      <w:r w:rsidRPr="00D5464D">
        <w:rPr>
          <w:lang w:val="pt-BR"/>
        </w:rPr>
        <w:t>(expediente de prova, folha 9615); RE (expediente de prova, folha 644); TC (expediente de prova, folha 647) e PP (expediente de prova, folha 602).</w:t>
      </w:r>
    </w:p>
  </w:footnote>
  <w:footnote w:id="271">
    <w:p w14:paraId="16377154" w14:textId="61C77CAF"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9616); RE (expediente de prova, folha 634); TC (expediente de prova, folha 635) e PP (expediente de prova, folha 602).</w:t>
      </w:r>
    </w:p>
  </w:footnote>
  <w:footnote w:id="272">
    <w:p w14:paraId="68035651" w14:textId="495D2838"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9615); RE (expediente de prova, folha 636); TC (expediente de prova, folha 637) e PP (expediente de prova, folha 602).</w:t>
      </w:r>
    </w:p>
  </w:footnote>
  <w:footnote w:id="273">
    <w:p w14:paraId="6313411B" w14:textId="4F6FC47B"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9615); RE (expediente de prova, folha 638); TC (expediente de prova, folha 639) e PP (expediente de prova, folha 602).</w:t>
      </w:r>
    </w:p>
  </w:footnote>
  <w:footnote w:id="274">
    <w:p w14:paraId="74B5A749" w14:textId="3ABC7A2B"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Também indicado como </w:t>
      </w:r>
      <w:r w:rsidRPr="00D5464D">
        <w:rPr>
          <w:rFonts w:cs="Times New Roman"/>
          <w:lang w:val="pt-BR"/>
        </w:rPr>
        <w:t xml:space="preserve">Antônio Francisco da S. Fernandes. </w:t>
      </w:r>
      <w:r w:rsidRPr="00D5464D">
        <w:rPr>
          <w:rFonts w:cs="Times New Roman"/>
          <w:i/>
          <w:lang w:val="pt-BR"/>
        </w:rPr>
        <w:t xml:space="preserve">Cf. </w:t>
      </w:r>
      <w:r w:rsidRPr="00D5464D">
        <w:rPr>
          <w:lang w:val="pt-BR"/>
        </w:rPr>
        <w:t>RE (expediente de prova, folha 640); TC (expediente de prova, folha 641) e PP (expediente de prova, folha 602).</w:t>
      </w:r>
    </w:p>
  </w:footnote>
  <w:footnote w:id="275">
    <w:p w14:paraId="77DF8CBC" w14:textId="17BDF023"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w:t>
      </w:r>
      <w:r w:rsidRPr="00D5464D">
        <w:rPr>
          <w:spacing w:val="-4"/>
          <w:lang w:val="pt-BR"/>
        </w:rPr>
        <w:t>AI (expediente de prova, folha 9615); RE (expediente de prova, folha 642) e PP (expediente de prova, folha 602)</w:t>
      </w:r>
      <w:r w:rsidRPr="00D5464D">
        <w:rPr>
          <w:lang w:val="pt-BR"/>
        </w:rPr>
        <w:t>.</w:t>
      </w:r>
    </w:p>
  </w:footnote>
  <w:footnote w:id="276">
    <w:p w14:paraId="5626F3D1" w14:textId="0B886470"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9615); RE (expediente de prova, folha 632); TC (expediente de prova, folha 633) e PP (expediente de prova, folha 603).</w:t>
      </w:r>
    </w:p>
  </w:footnote>
  <w:footnote w:id="277">
    <w:p w14:paraId="2F648BF1" w14:textId="324C5F39"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rFonts w:cs="Times New Roman"/>
          <w:i/>
          <w:lang w:val="pt-BR"/>
        </w:rPr>
        <w:t>Cf.</w:t>
      </w:r>
      <w:r w:rsidRPr="00D5464D">
        <w:rPr>
          <w:rFonts w:cs="Times New Roman"/>
          <w:lang w:val="pt-BR"/>
        </w:rPr>
        <w:t xml:space="preserve"> AI </w:t>
      </w:r>
      <w:r w:rsidRPr="00D5464D">
        <w:rPr>
          <w:lang w:val="pt-BR"/>
        </w:rPr>
        <w:t>(expediente de prova, folha 9616); RE (expediente de prova, folha 648); TC (expediente de prova, folha 665) e PP (expediente de prova, folha 603).</w:t>
      </w:r>
    </w:p>
  </w:footnote>
  <w:footnote w:id="278">
    <w:p w14:paraId="3F596F6C" w14:textId="6234E61C"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9616).</w:t>
      </w:r>
    </w:p>
  </w:footnote>
  <w:footnote w:id="279">
    <w:p w14:paraId="65145806" w14:textId="5D8E51EA"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9615); RE (expediente de prova, folha 666); TC (expediente de prova, folha 667) e PP (expediente de prova, folha 603).</w:t>
      </w:r>
    </w:p>
  </w:footnote>
  <w:footnote w:id="280">
    <w:p w14:paraId="5881DD8E" w14:textId="0D4C37F9"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9616); RE (expediente de prova, folha 668); TC (expediente de prova, folha 669) e PP (expediente de prova, folha 603).</w:t>
      </w:r>
    </w:p>
  </w:footnote>
  <w:footnote w:id="281">
    <w:p w14:paraId="091D88B3" w14:textId="2950D0B4"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Também indicado como Carlos</w:t>
      </w:r>
      <w:r w:rsidRPr="00D5464D">
        <w:rPr>
          <w:rFonts w:cs="Times New Roman"/>
          <w:lang w:val="pt-BR"/>
        </w:rPr>
        <w:t xml:space="preserve"> André da C. Pereira. </w:t>
      </w:r>
      <w:r w:rsidRPr="00D5464D">
        <w:rPr>
          <w:rFonts w:cs="Times New Roman"/>
          <w:i/>
          <w:lang w:val="pt-BR"/>
        </w:rPr>
        <w:t>Cf.</w:t>
      </w:r>
      <w:r w:rsidRPr="00D5464D">
        <w:rPr>
          <w:rFonts w:cs="Times New Roman"/>
          <w:lang w:val="pt-BR"/>
        </w:rPr>
        <w:t xml:space="preserve"> AI </w:t>
      </w:r>
      <w:r w:rsidRPr="00D5464D">
        <w:rPr>
          <w:lang w:val="pt-BR"/>
        </w:rPr>
        <w:t>(expediente de prova, folha 9615); RE (expediente de prova, folha 670); TC (expediente de prova, folha 671) e PP (expediente de prova, folha 603).</w:t>
      </w:r>
    </w:p>
  </w:footnote>
  <w:footnote w:id="282">
    <w:p w14:paraId="4D11F505" w14:textId="276A9394"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9616); RE (expediente de prova, folha 672); TC (expediente de prova, folha 673) e PP (expediente de prova, folha 603).</w:t>
      </w:r>
    </w:p>
  </w:footnote>
  <w:footnote w:id="283">
    <w:p w14:paraId="44F1B149" w14:textId="76A0930C"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9616); RE (expediente de prova, folha 674); TC (expediente de prova, folha 675) e PP (expediente de prova, folha 603).</w:t>
      </w:r>
    </w:p>
  </w:footnote>
  <w:footnote w:id="284">
    <w:p w14:paraId="072B09A7" w14:textId="005C21F1"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9615); RE (expediente de prova, folha 676); TC (expediente de prova, folha 677) e PP (expediente de prova, folha 603).</w:t>
      </w:r>
    </w:p>
  </w:footnote>
  <w:footnote w:id="285">
    <w:p w14:paraId="191DEDC3" w14:textId="261E18BF"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9615); RE (expediente de prova, folha 678); TC (expediente de prova, folha 679) e PP (expediente de prova, folha 603).</w:t>
      </w:r>
    </w:p>
  </w:footnote>
  <w:footnote w:id="286">
    <w:p w14:paraId="2C371E1E" w14:textId="296AA9D0"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9616); RE (expediente de prova, folha 680); TC (expediente de prova, folha 681) e PP (expediente de prova, folha 603).</w:t>
      </w:r>
    </w:p>
  </w:footnote>
  <w:footnote w:id="287">
    <w:p w14:paraId="598B3B4A" w14:textId="58E3B68F"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9616); RE (expediente de prova, folha 682); TC (expediente de prova, folha 683) e PP (expediente de prova, folha 603).</w:t>
      </w:r>
    </w:p>
  </w:footnote>
  <w:footnote w:id="288">
    <w:p w14:paraId="4D6E7048" w14:textId="439516E9"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9615); RE (expediente de prova, folha 684); TC (expediente de prova, folha 685) e PP (expediente de prova, folha 603).</w:t>
      </w:r>
    </w:p>
  </w:footnote>
  <w:footnote w:id="289">
    <w:p w14:paraId="20D6514D" w14:textId="1ED51599"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Também indicado como </w:t>
      </w:r>
      <w:r w:rsidRPr="00D5464D">
        <w:rPr>
          <w:rFonts w:cs="Times New Roman"/>
          <w:lang w:val="pt-BR"/>
        </w:rPr>
        <w:t xml:space="preserve">Francisco das Chagas A. Carvalho. </w:t>
      </w:r>
      <w:r w:rsidRPr="00D5464D">
        <w:rPr>
          <w:rFonts w:cs="Times New Roman"/>
          <w:i/>
          <w:lang w:val="pt-BR"/>
        </w:rPr>
        <w:t>Cf.</w:t>
      </w:r>
      <w:r w:rsidRPr="00D5464D">
        <w:rPr>
          <w:rFonts w:cs="Times New Roman"/>
          <w:lang w:val="pt-BR"/>
        </w:rPr>
        <w:t xml:space="preserve"> AI </w:t>
      </w:r>
      <w:r w:rsidRPr="00D5464D">
        <w:rPr>
          <w:lang w:val="pt-BR"/>
        </w:rPr>
        <w:t>(expediente de prova, folha 9616); RE (expediente de prova, folha 686); TC (expediente de prova, folha 687) e PP (expediente de prova, folha 603).</w:t>
      </w:r>
    </w:p>
  </w:footnote>
  <w:footnote w:id="290">
    <w:p w14:paraId="58F9B3F7" w14:textId="5D1C67DF"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9616) e VF (9656).</w:t>
      </w:r>
    </w:p>
  </w:footnote>
  <w:footnote w:id="291">
    <w:p w14:paraId="7E79DF05" w14:textId="7604D975" w:rsidR="00AF210B" w:rsidRPr="00D5464D" w:rsidRDefault="00AF210B" w:rsidP="002A0C2B">
      <w:pPr>
        <w:pStyle w:val="Textonotapie"/>
        <w:spacing w:after="20"/>
        <w:rPr>
          <w:rFonts w:cs="Times New Roman"/>
          <w:lang w:val="pt-BR"/>
        </w:rPr>
      </w:pPr>
      <w:r w:rsidRPr="00D5464D">
        <w:rPr>
          <w:rStyle w:val="Refdenotaalpie"/>
          <w:szCs w:val="16"/>
        </w:rPr>
        <w:footnoteRef/>
      </w:r>
      <w:r w:rsidRPr="00D5464D">
        <w:rPr>
          <w:lang w:val="pt-BR"/>
        </w:rPr>
        <w:t xml:space="preserve"> Também indicado como </w:t>
      </w:r>
      <w:r w:rsidRPr="00D5464D">
        <w:rPr>
          <w:rFonts w:cs="Times New Roman"/>
          <w:lang w:val="pt-BR"/>
        </w:rPr>
        <w:t xml:space="preserve">Francisco das Chagas C. Carvalho. </w:t>
      </w:r>
      <w:r w:rsidRPr="00D5464D">
        <w:rPr>
          <w:rFonts w:cs="Times New Roman"/>
          <w:i/>
          <w:lang w:val="pt-BR"/>
        </w:rPr>
        <w:t>Cf.</w:t>
      </w:r>
      <w:r w:rsidRPr="00D5464D">
        <w:rPr>
          <w:rFonts w:cs="Times New Roman"/>
          <w:lang w:val="pt-BR"/>
        </w:rPr>
        <w:t xml:space="preserve"> AI </w:t>
      </w:r>
      <w:r w:rsidRPr="00D5464D">
        <w:rPr>
          <w:lang w:val="pt-BR"/>
        </w:rPr>
        <w:t>(expediente de prova, folha 9616); RE (expediente de prova, folha 688); TC (expediente de prova, folha 689) e PP (expediente de prova, folha 603).</w:t>
      </w:r>
    </w:p>
  </w:footnote>
  <w:footnote w:id="292">
    <w:p w14:paraId="246DD048" w14:textId="20F18BD5"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Também indicado como </w:t>
      </w:r>
      <w:r w:rsidRPr="00D5464D">
        <w:rPr>
          <w:rFonts w:cs="Times New Roman"/>
          <w:lang w:val="pt-BR"/>
        </w:rPr>
        <w:t xml:space="preserve">Francisco das Chagas C. Rabelo. </w:t>
      </w:r>
      <w:r w:rsidRPr="00D5464D">
        <w:rPr>
          <w:rFonts w:cs="Times New Roman"/>
          <w:i/>
          <w:lang w:val="pt-BR"/>
        </w:rPr>
        <w:t>Cf.</w:t>
      </w:r>
      <w:r w:rsidRPr="00D5464D">
        <w:rPr>
          <w:rFonts w:cs="Times New Roman"/>
          <w:lang w:val="pt-BR"/>
        </w:rPr>
        <w:t xml:space="preserve"> AI </w:t>
      </w:r>
      <w:r w:rsidRPr="00D5464D">
        <w:rPr>
          <w:lang w:val="pt-BR"/>
        </w:rPr>
        <w:t>(expediente de prova, folha 9616); RE (expediente de prova, folha 690); TC (expediente de prova, folha 691) e PP (expediente de prova, folha 603).</w:t>
      </w:r>
    </w:p>
  </w:footnote>
  <w:footnote w:id="293">
    <w:p w14:paraId="23DC319A" w14:textId="035AE6DC"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Também indicado como </w:t>
      </w:r>
      <w:r w:rsidRPr="00D5464D">
        <w:rPr>
          <w:rFonts w:cs="Times New Roman"/>
          <w:lang w:val="pt-BR"/>
        </w:rPr>
        <w:t xml:space="preserve">Francisco das Chagas da S. Lira e Francisco das Chagas da Silva Lima. </w:t>
      </w:r>
      <w:r w:rsidRPr="00D5464D">
        <w:rPr>
          <w:rFonts w:cs="Times New Roman"/>
          <w:i/>
          <w:lang w:val="pt-BR"/>
        </w:rPr>
        <w:t>Cf.</w:t>
      </w:r>
      <w:r w:rsidRPr="00D5464D">
        <w:rPr>
          <w:rFonts w:cs="Times New Roman"/>
          <w:lang w:val="pt-BR"/>
        </w:rPr>
        <w:t xml:space="preserve"> AI </w:t>
      </w:r>
      <w:r w:rsidRPr="00D5464D">
        <w:rPr>
          <w:lang w:val="pt-BR"/>
        </w:rPr>
        <w:t xml:space="preserve">(expediente de prova, folha 9616); RE (expediente de prova, folha 692) e PP (expediente de prova, folha 603). </w:t>
      </w:r>
    </w:p>
  </w:footnote>
  <w:footnote w:id="294">
    <w:p w14:paraId="51679372" w14:textId="19F1535A"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rFonts w:cs="Times New Roman"/>
          <w:i/>
          <w:lang w:val="pt-BR"/>
        </w:rPr>
        <w:t>Cf.</w:t>
      </w:r>
      <w:r w:rsidRPr="00D5464D">
        <w:rPr>
          <w:rFonts w:cs="Times New Roman"/>
          <w:lang w:val="pt-BR"/>
        </w:rPr>
        <w:t xml:space="preserve"> AI </w:t>
      </w:r>
      <w:r w:rsidRPr="00D5464D">
        <w:rPr>
          <w:lang w:val="pt-BR"/>
        </w:rPr>
        <w:t>(expediente de prova, folha 9616); RE (expediente de prova, folha 720); TC (expediente de prova, folha 721) e PP (expediente de prova, folha 603).</w:t>
      </w:r>
    </w:p>
  </w:footnote>
  <w:footnote w:id="295">
    <w:p w14:paraId="0D906697" w14:textId="4C7244EA"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9615); RE (expediente de prova, folha 694); TC (expediente de prova, folha 695) e PP (expediente de prova, folha 603).</w:t>
      </w:r>
    </w:p>
  </w:footnote>
  <w:footnote w:id="296">
    <w:p w14:paraId="77BC7117" w14:textId="3767AF0E"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Também indicado como Francisco das Chagas M. Alves. </w:t>
      </w:r>
      <w:r w:rsidRPr="00D5464D">
        <w:rPr>
          <w:rFonts w:cs="Times New Roman"/>
          <w:i/>
          <w:lang w:val="pt-BR"/>
        </w:rPr>
        <w:t>Cf.</w:t>
      </w:r>
      <w:r w:rsidRPr="00D5464D">
        <w:rPr>
          <w:rFonts w:cs="Times New Roman"/>
          <w:lang w:val="pt-BR"/>
        </w:rPr>
        <w:t xml:space="preserve"> AI </w:t>
      </w:r>
      <w:r w:rsidRPr="00D5464D">
        <w:rPr>
          <w:lang w:val="pt-BR"/>
        </w:rPr>
        <w:t>(expediente de prova, folha 9615); RE (expediente de prova, folha 696); TC (expediente de prova, folha 697) e PP (expediente de prova, folha 603).</w:t>
      </w:r>
    </w:p>
  </w:footnote>
  <w:footnote w:id="297">
    <w:p w14:paraId="134B6F14" w14:textId="441772ED"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Também indicado como </w:t>
      </w:r>
      <w:r w:rsidRPr="00D5464D">
        <w:rPr>
          <w:rFonts w:cs="Times New Roman"/>
          <w:lang w:val="pt-BR"/>
        </w:rPr>
        <w:t xml:space="preserve">Francisco das Chagas R. de Sousa. </w:t>
      </w:r>
      <w:r w:rsidRPr="00D5464D">
        <w:rPr>
          <w:rFonts w:cs="Times New Roman"/>
          <w:i/>
          <w:lang w:val="pt-BR"/>
        </w:rPr>
        <w:t xml:space="preserve">Cf. </w:t>
      </w:r>
      <w:r w:rsidRPr="00D5464D">
        <w:rPr>
          <w:lang w:val="pt-BR"/>
        </w:rPr>
        <w:t>RE (expediente de prova, folha 698); TC (expediente de prova, folha 699) e PP (expediente de prova, folha 603).</w:t>
      </w:r>
    </w:p>
  </w:footnote>
  <w:footnote w:id="298">
    <w:p w14:paraId="4FF0FF26" w14:textId="7DA18E2A"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Também indicado como Francisco das Chagas S. Cardoso. </w:t>
      </w:r>
      <w:r w:rsidRPr="00D5464D">
        <w:rPr>
          <w:i/>
          <w:lang w:val="pt-BR"/>
        </w:rPr>
        <w:t>Cf.</w:t>
      </w:r>
      <w:r w:rsidRPr="00D5464D">
        <w:rPr>
          <w:lang w:val="pt-BR"/>
        </w:rPr>
        <w:t xml:space="preserve"> AI (expediente de prova, folha 9615); RE (expediente de prova, folha 700); TC (expediente de prova, folha 701) e PP (expediente de prova, folha 603).</w:t>
      </w:r>
    </w:p>
  </w:footnote>
  <w:footnote w:id="299">
    <w:p w14:paraId="6B792713" w14:textId="2B726C49"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9615); RE (expediente de prova, folha 702); TC (expediente de prova, folha 703) e PP (expediente de prova, folha 603).</w:t>
      </w:r>
    </w:p>
  </w:footnote>
  <w:footnote w:id="300">
    <w:p w14:paraId="21DCEEAD" w14:textId="240337F8"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9615); RE (expediente de prova, folha 704); TC (expediente de prova, folha 705) e PP (expediente de prova, folha 603).</w:t>
      </w:r>
    </w:p>
  </w:footnote>
  <w:footnote w:id="301">
    <w:p w14:paraId="33BD368B" w14:textId="14263415"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Também indicado como </w:t>
      </w:r>
      <w:r w:rsidRPr="00D5464D">
        <w:rPr>
          <w:rFonts w:cs="Times New Roman"/>
          <w:lang w:val="pt-BR"/>
        </w:rPr>
        <w:t xml:space="preserve">Francisco de Sousa Brígido. </w:t>
      </w:r>
      <w:r w:rsidRPr="00D5464D">
        <w:rPr>
          <w:rFonts w:cs="Times New Roman"/>
          <w:i/>
          <w:lang w:val="pt-BR"/>
        </w:rPr>
        <w:t>Cf.</w:t>
      </w:r>
      <w:r w:rsidRPr="00D5464D">
        <w:rPr>
          <w:rFonts w:cs="Times New Roman"/>
          <w:lang w:val="pt-BR"/>
        </w:rPr>
        <w:t xml:space="preserve"> AI </w:t>
      </w:r>
      <w:r w:rsidRPr="00D5464D">
        <w:rPr>
          <w:lang w:val="pt-BR"/>
        </w:rPr>
        <w:t>(expediente de prova, folha 9615); RE (expediente de prova, folha 706); TC (expediente de prova, folha 707) e PP (expediente de prova, folha 603).</w:t>
      </w:r>
    </w:p>
  </w:footnote>
  <w:footnote w:id="302">
    <w:p w14:paraId="7CE24836" w14:textId="1D8259F0"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w:t>
      </w:r>
      <w:r w:rsidRPr="00D5464D">
        <w:rPr>
          <w:spacing w:val="-4"/>
          <w:lang w:val="pt-BR"/>
        </w:rPr>
        <w:t>AI (expediente de prova, folha 9616); RE (expediente de prova, folha 708) e PP (expediente de prova, folha 603).</w:t>
      </w:r>
    </w:p>
  </w:footnote>
  <w:footnote w:id="303">
    <w:p w14:paraId="0FF93808" w14:textId="066168CD"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w:t>
      </w:r>
      <w:r w:rsidRPr="00D5464D">
        <w:rPr>
          <w:spacing w:val="-4"/>
          <w:lang w:val="pt-BR"/>
        </w:rPr>
        <w:t>AI (expediente de prova, folha 9616); RE (expediente de prova, folha 710) e PP (expediente de prova, folha 603).</w:t>
      </w:r>
    </w:p>
  </w:footnote>
  <w:footnote w:id="304">
    <w:p w14:paraId="66E73A7C" w14:textId="6E8C34EC"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9616); RE (expediente de prova, folha 712); TC (expediente de prova, folha 713) e PP (expediente de prova, folha 603).</w:t>
      </w:r>
    </w:p>
  </w:footnote>
  <w:footnote w:id="305">
    <w:p w14:paraId="4FBB8DFF" w14:textId="43938B29"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9615);RE (expediente de prova, folha 714); TC (expediente de prova, folha 715) e PP (expediente de prova, folha 603).</w:t>
      </w:r>
    </w:p>
  </w:footnote>
  <w:footnote w:id="306">
    <w:p w14:paraId="69435F81" w14:textId="767C2CF9"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9615); RE (expediente de prova, folha 716); TC (expediente de prova, folha 717) e PP (expediente de prova, folha 603).</w:t>
      </w:r>
    </w:p>
  </w:footnote>
  <w:footnote w:id="307">
    <w:p w14:paraId="58B3B8F8" w14:textId="78CF8906"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9616); RE (expediente de prova, folha 718); TC (expediente de prova, folha 719) e PP (expediente de prova, folha 603).</w:t>
      </w:r>
    </w:p>
  </w:footnote>
  <w:footnote w:id="308">
    <w:p w14:paraId="01CBEB86" w14:textId="4A6EF43F"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9615); RE (expediente de prova, folha 722); TC (expediente de prova, folha 723) e PP (expediente de prova, folha 603).</w:t>
      </w:r>
    </w:p>
  </w:footnote>
  <w:footnote w:id="309">
    <w:p w14:paraId="0717169A" w14:textId="287C4760"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9616) e VF (f. 9699).</w:t>
      </w:r>
    </w:p>
  </w:footnote>
  <w:footnote w:id="310">
    <w:p w14:paraId="1BCAB7CA" w14:textId="7CC0E507"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9616); RE (expediente de prova, folha 724); TC (expediente de prova, folha 725) e PP (expediente de prova, folha 603).</w:t>
      </w:r>
    </w:p>
  </w:footnote>
  <w:footnote w:id="311">
    <w:p w14:paraId="4AF98070" w14:textId="3AFB4C4B"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9615); RE (expediente de prova, folha 726); TC (expediente de prova, folha 727) e PP (expediente de prova, folha 603).</w:t>
      </w:r>
    </w:p>
  </w:footnote>
  <w:footnote w:id="312">
    <w:p w14:paraId="60C11EE4" w14:textId="116B7BBE"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9616); RE (expediente de prova, folha 728); TC (expediente de prova, folha 729) e PP (expediente de prova, folha 603).</w:t>
      </w:r>
    </w:p>
  </w:footnote>
  <w:footnote w:id="313">
    <w:p w14:paraId="6BCAFD06" w14:textId="651F8905"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9615); RE (expediente de prova, folha 730); TC (expediente de prova, folha 731) e PP (expediente de prova, folha 603).</w:t>
      </w:r>
    </w:p>
  </w:footnote>
  <w:footnote w:id="314">
    <w:p w14:paraId="6559B41B" w14:textId="5A6BF0EA"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Também indicado como Gonçalo Firmino de Souza. </w:t>
      </w:r>
      <w:r w:rsidRPr="00D5464D">
        <w:rPr>
          <w:i/>
          <w:lang w:val="pt-BR"/>
        </w:rPr>
        <w:t>Cf.</w:t>
      </w:r>
      <w:r w:rsidRPr="00D5464D">
        <w:rPr>
          <w:lang w:val="pt-BR"/>
        </w:rPr>
        <w:t xml:space="preserve"> AI (expediente de prova, folha 9616); RE (expediente de prova, folha 732); TC (expediente de prova, folha 733) e PP (expediente de prova, folha 603).</w:t>
      </w:r>
    </w:p>
  </w:footnote>
  <w:footnote w:id="315">
    <w:p w14:paraId="3D5F636C" w14:textId="5A6E43E7"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9616); RE (expediente de prova, folha 734); TC (expediente de prova, folha 735) e PP (expediente de prova, folha 603).</w:t>
      </w:r>
    </w:p>
  </w:footnote>
  <w:footnote w:id="316">
    <w:p w14:paraId="0F760A7E" w14:textId="6F7FD317"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spacing w:val="-4"/>
          <w:lang w:val="pt-BR"/>
        </w:rPr>
        <w:t>RE (expediente de prova, folha 736); TC (expediente de prova, folha 737) e PP (expediente de prova, folha 603).</w:t>
      </w:r>
    </w:p>
  </w:footnote>
  <w:footnote w:id="317">
    <w:p w14:paraId="3E7D3899" w14:textId="359072B3"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Também indicado como </w:t>
      </w:r>
      <w:r w:rsidRPr="00D5464D">
        <w:rPr>
          <w:rFonts w:cs="Times New Roman"/>
          <w:lang w:val="pt-BR"/>
        </w:rPr>
        <w:t xml:space="preserve">Genival Lopes. </w:t>
      </w:r>
      <w:r w:rsidRPr="00D5464D">
        <w:rPr>
          <w:rFonts w:cs="Times New Roman"/>
          <w:i/>
          <w:lang w:val="pt-BR"/>
        </w:rPr>
        <w:t>Cf.</w:t>
      </w:r>
      <w:r w:rsidRPr="00D5464D">
        <w:rPr>
          <w:rFonts w:cs="Times New Roman"/>
          <w:lang w:val="pt-BR"/>
        </w:rPr>
        <w:t xml:space="preserve"> AI </w:t>
      </w:r>
      <w:r w:rsidRPr="00D5464D">
        <w:rPr>
          <w:lang w:val="pt-BR"/>
        </w:rPr>
        <w:t>(expediente de prova, folha 9615); RE (expediente de prova, folha 738); TC (expediente de prova, folha 739) e PP (expediente de prova, folha 603).</w:t>
      </w:r>
    </w:p>
  </w:footnote>
  <w:footnote w:id="318">
    <w:p w14:paraId="64F12198" w14:textId="1D3A2E3F"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9615); RE (expediente de prova, folha 740); TC (expediente de prova, folha 741) e PP (expediente de prova, folha 603).</w:t>
      </w:r>
    </w:p>
  </w:footnote>
  <w:footnote w:id="319">
    <w:p w14:paraId="11A2A029" w14:textId="73C8E2F7"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9615); RE (expediente de prova, folha 742); TC (expediente de prova, folha 743) e PP (expediente de prova, folha 603).</w:t>
      </w:r>
    </w:p>
  </w:footnote>
  <w:footnote w:id="320">
    <w:p w14:paraId="26E6F380" w14:textId="3CA95F49"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Também indicado como José de Deus de Jesus Souza. </w:t>
      </w:r>
      <w:r w:rsidRPr="00D5464D">
        <w:rPr>
          <w:i/>
          <w:lang w:val="pt-BR"/>
        </w:rPr>
        <w:t>Cf.</w:t>
      </w:r>
      <w:r w:rsidRPr="00D5464D">
        <w:rPr>
          <w:lang w:val="pt-BR"/>
        </w:rPr>
        <w:t xml:space="preserve"> AI (expediente de prova, folha 9616); RE (expediente de prova, folha 744); TC (expediente de prova, folha 745) e PP (expediente de prova, folha 603).</w:t>
      </w:r>
    </w:p>
  </w:footnote>
  <w:footnote w:id="321">
    <w:p w14:paraId="05184E98" w14:textId="048C7A1F"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Também indicado como </w:t>
      </w:r>
      <w:r w:rsidRPr="00D5464D">
        <w:rPr>
          <w:rFonts w:cs="Times New Roman"/>
          <w:lang w:val="pt-BR"/>
        </w:rPr>
        <w:t xml:space="preserve">José de Ribamar Sousa. </w:t>
      </w:r>
      <w:r w:rsidRPr="00D5464D">
        <w:rPr>
          <w:rFonts w:cs="Times New Roman"/>
          <w:i/>
          <w:lang w:val="pt-BR"/>
        </w:rPr>
        <w:t>Cf.</w:t>
      </w:r>
      <w:r w:rsidRPr="00D5464D">
        <w:rPr>
          <w:rFonts w:cs="Times New Roman"/>
          <w:lang w:val="pt-BR"/>
        </w:rPr>
        <w:t xml:space="preserve"> AI </w:t>
      </w:r>
      <w:r w:rsidRPr="00D5464D">
        <w:rPr>
          <w:lang w:val="pt-BR"/>
        </w:rPr>
        <w:t>(expediente de prova, folha 9615); RE (expediente de prova, folha 746); TC (expediente de prova, folha 747) e PP (expediente de prova, folha 603).</w:t>
      </w:r>
    </w:p>
  </w:footnote>
  <w:footnote w:id="322">
    <w:p w14:paraId="108BCF93" w14:textId="4F6B82C8"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9616); RE (expediente de prova, folha 748); TC (expediente de prova, folha 749) e PP (expediente de prova, folha 604).</w:t>
      </w:r>
    </w:p>
  </w:footnote>
  <w:footnote w:id="323">
    <w:p w14:paraId="5EA6F046" w14:textId="10CF4CB0"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9616); RE (expediente de prova, folha 750); TC (expediente de prova, folha 751) e PP (expediente de prova, folha 604).</w:t>
      </w:r>
    </w:p>
  </w:footnote>
  <w:footnote w:id="324">
    <w:p w14:paraId="455C9E46" w14:textId="36025290"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9615); RE (expediente de prova, folha 752); TC (expediente de prova, folha 753) e PP (expediente de prova, folha 604).</w:t>
      </w:r>
    </w:p>
  </w:footnote>
  <w:footnote w:id="325">
    <w:p w14:paraId="0D30AC0A" w14:textId="5C0EE6D3"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9615); RE (expediente de prova, folha 754); TC (expediente de prova, folha 755) e PP (expediente de prova, folha 604).</w:t>
      </w:r>
    </w:p>
  </w:footnote>
  <w:footnote w:id="326">
    <w:p w14:paraId="1F44AF7C" w14:textId="79AE325E"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9616); RE (expediente de prova, folha 756); TC (expediente de prova, folha 757) e PP (expediente de prova, folha 604).</w:t>
      </w:r>
    </w:p>
  </w:footnote>
  <w:footnote w:id="327">
    <w:p w14:paraId="290CF633" w14:textId="6B3DD5F1"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9616); RE (expediente de prova, folha 758); TC (expediente de prova, folha 759) e PP (expediente de prova, folha 604).</w:t>
      </w:r>
    </w:p>
  </w:footnote>
  <w:footnote w:id="328">
    <w:p w14:paraId="714DC74F" w14:textId="07AA0B7E"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9616); RE (expediente de prova, folha 760); TC (expediente de prova, folha 761) e PP (expediente de prova, folha 604).</w:t>
      </w:r>
    </w:p>
  </w:footnote>
  <w:footnote w:id="329">
    <w:p w14:paraId="4FE41829" w14:textId="691E4F1E"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w:t>
      </w:r>
      <w:r w:rsidRPr="00D5464D">
        <w:rPr>
          <w:spacing w:val="-4"/>
          <w:lang w:val="pt-BR"/>
        </w:rPr>
        <w:t>AI (expediente de prova, folha 9615); RE (expediente de prova, folha 762) e PP (expediente de prova, folha 604</w:t>
      </w:r>
      <w:r w:rsidRPr="00D5464D">
        <w:rPr>
          <w:spacing w:val="-2"/>
          <w:lang w:val="pt-BR"/>
        </w:rPr>
        <w:t>).</w:t>
      </w:r>
    </w:p>
  </w:footnote>
  <w:footnote w:id="330">
    <w:p w14:paraId="7C7FBD79" w14:textId="6253CD67"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w:t>
      </w:r>
      <w:r w:rsidRPr="00D5464D">
        <w:rPr>
          <w:spacing w:val="-4"/>
          <w:lang w:val="pt-BR"/>
        </w:rPr>
        <w:t>AI (expediente de prova, folha 9616); RE (expediente de prova, folha 764) e PP (expediente de prova, folha 604</w:t>
      </w:r>
      <w:r w:rsidRPr="00D5464D">
        <w:rPr>
          <w:lang w:val="pt-BR"/>
        </w:rPr>
        <w:t>).</w:t>
      </w:r>
    </w:p>
  </w:footnote>
  <w:footnote w:id="331">
    <w:p w14:paraId="4B94D054" w14:textId="2D74C2D9"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9616); RE (expediente de prova, folha 766); TC (expediente de prova, folha 767) e PP (expediente de prova, folha 604).</w:t>
      </w:r>
    </w:p>
  </w:footnote>
  <w:footnote w:id="332">
    <w:p w14:paraId="27090CA5" w14:textId="54C49AF6"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9615); RE (expediente de prova, folha 768); TC (expediente de prova, folha 769) e PP (expediente de prova, folha 604).</w:t>
      </w:r>
    </w:p>
  </w:footnote>
  <w:footnote w:id="333">
    <w:p w14:paraId="2136DF86" w14:textId="7A8203B6"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9615); RE (expediente de prova, folha 770); TC (expediente de prova, folha 771) e PP (expediente de prova, folha 604).</w:t>
      </w:r>
    </w:p>
  </w:footnote>
  <w:footnote w:id="334">
    <w:p w14:paraId="5129D964" w14:textId="5BE5AA7C"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9615); RE (expediente de prova, folha 772); TC (expediente de prova, folha 773) e PP (expediente de prova, folha 604).</w:t>
      </w:r>
    </w:p>
  </w:footnote>
  <w:footnote w:id="335">
    <w:p w14:paraId="4D85B6A1" w14:textId="2C661EC4"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9616); RE (expediente de prova, folha 774); TC (expediente de prova, folha 775) e PP (expediente de prova, folha 604).</w:t>
      </w:r>
    </w:p>
  </w:footnote>
  <w:footnote w:id="336">
    <w:p w14:paraId="1DBC2E82" w14:textId="5F686397"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spacing w:val="-4"/>
          <w:lang w:val="pt-BR"/>
        </w:rPr>
        <w:t>RE (expediente de prova, folha 776); TC (expediente de prova, folha 777) e PP (expediente de prova, folha</w:t>
      </w:r>
      <w:r w:rsidRPr="00D5464D">
        <w:rPr>
          <w:lang w:val="pt-BR"/>
        </w:rPr>
        <w:t xml:space="preserve"> 604).</w:t>
      </w:r>
    </w:p>
  </w:footnote>
  <w:footnote w:id="337">
    <w:p w14:paraId="5750F9E8" w14:textId="1480D0D4"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9615); RE (expediente de prova, folha 778); TC (expediente de prova, folha 779) e PP (expediente de prova, folha 604).</w:t>
      </w:r>
    </w:p>
  </w:footnote>
  <w:footnote w:id="338">
    <w:p w14:paraId="58901A76" w14:textId="7699BDA4"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9615); RE (expediente de prova, folha 780); TC (expediente de prova, folha 781) e PP (expediente de prova, folha 604).</w:t>
      </w:r>
    </w:p>
  </w:footnote>
  <w:footnote w:id="339">
    <w:p w14:paraId="2B541143" w14:textId="2CD0829E"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9615); RE (expediente de prova, folha 782); TC (expediente de prova, folha 783) e PP (expediente de prova, folha 604).</w:t>
      </w:r>
    </w:p>
  </w:footnote>
  <w:footnote w:id="340">
    <w:p w14:paraId="5326FC7F" w14:textId="7C71FF3E"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9615); RE (expediente de prova, folha 784); TC (expediente de prova, folha 785) e PP (expediente de prova, folha 604).</w:t>
      </w:r>
    </w:p>
  </w:footnote>
  <w:footnote w:id="341">
    <w:p w14:paraId="19B18714" w14:textId="61AE428E"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9616); RE (expediente de prova, folha 786); TC (expediente de prova, folha 787) e PP (expediente de prova, folha 604).</w:t>
      </w:r>
    </w:p>
  </w:footnote>
  <w:footnote w:id="342">
    <w:p w14:paraId="4A97D62B" w14:textId="221F664B"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9615); RE (expediente de prova, folha 788); TC (expediente de prova, folha 789) e PP (expediente de prova, folha 604).</w:t>
      </w:r>
    </w:p>
  </w:footnote>
  <w:footnote w:id="343">
    <w:p w14:paraId="3E000989" w14:textId="143907D4"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9615); RE (expediente de prova, folha 790); TC (expediente de prova, folha 791) e PP (expediente de prova, folha 604).</w:t>
      </w:r>
    </w:p>
  </w:footnote>
  <w:footnote w:id="344">
    <w:p w14:paraId="227AA569" w14:textId="4ABAAB68"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Também indicado como Sebastião Pereira de Souza ou Sebastião Pereira de S. Neto. </w:t>
      </w:r>
      <w:r w:rsidRPr="00D5464D">
        <w:rPr>
          <w:i/>
          <w:lang w:val="pt-BR"/>
        </w:rPr>
        <w:t>Cf.</w:t>
      </w:r>
      <w:r w:rsidRPr="00D5464D">
        <w:rPr>
          <w:lang w:val="pt-BR"/>
        </w:rPr>
        <w:t xml:space="preserve"> AI (expediente de prova, folha 9615); RE (expediente de prova, folha 792); TC (expediente de prova, folha 793) e PP (expediente de prova, folha 604).</w:t>
      </w:r>
    </w:p>
  </w:footnote>
  <w:footnote w:id="345">
    <w:p w14:paraId="56288269" w14:textId="3FF2EDBA"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Também indicado como Silvestre Moreira de C. Filho. </w:t>
      </w:r>
      <w:r w:rsidRPr="00D5464D">
        <w:rPr>
          <w:i/>
          <w:lang w:val="pt-BR"/>
        </w:rPr>
        <w:t>Cf.</w:t>
      </w:r>
      <w:r w:rsidRPr="00D5464D">
        <w:rPr>
          <w:lang w:val="pt-BR"/>
        </w:rPr>
        <w:t xml:space="preserve"> AI (expediente de prova, folha 9616); RE (expediente de prova, folha 794); TC (expediente de prova, folha 795) e PP (expediente de prova, folha 604).</w:t>
      </w:r>
    </w:p>
  </w:footnote>
  <w:footnote w:id="346">
    <w:p w14:paraId="6B1FEB1B" w14:textId="63C87232"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w:t>
      </w:r>
      <w:r w:rsidRPr="00D5464D">
        <w:rPr>
          <w:lang w:val="pt-BR"/>
        </w:rPr>
        <w:t xml:space="preserve"> AI (expediente de prova, folha 9616); RE (expediente de prova, folha 796); TC (expediente de prova, folha 797) e PP (expediente de prova, folha 604).</w:t>
      </w:r>
    </w:p>
  </w:footnote>
  <w:footnote w:id="347">
    <w:p w14:paraId="428B5967" w14:textId="5E3C7649"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Também indicada como Vicentina Mariana da Conceição Silva. </w:t>
      </w:r>
      <w:r w:rsidRPr="00D5464D">
        <w:rPr>
          <w:i/>
          <w:lang w:val="pt-BR"/>
        </w:rPr>
        <w:t>Cf.</w:t>
      </w:r>
      <w:r w:rsidRPr="00D5464D">
        <w:rPr>
          <w:lang w:val="pt-BR"/>
        </w:rPr>
        <w:t xml:space="preserve"> AI (expediente de prova, folha 9616); RE (expediente de prova, folha 798); TC (expediente de prova, folha 799) e PP (expediente de prova, folha 604).</w:t>
      </w:r>
    </w:p>
  </w:footnote>
  <w:footnote w:id="348">
    <w:p w14:paraId="76F1A226" w14:textId="3349CC26"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 artigo 6 da Convenção dispõe que: </w:t>
      </w:r>
    </w:p>
    <w:p w14:paraId="5B4BB0C1" w14:textId="27628B4D" w:rsidR="00AF210B" w:rsidRPr="00D5464D" w:rsidRDefault="00AF210B" w:rsidP="002A0C2B">
      <w:pPr>
        <w:pStyle w:val="Textonotapie"/>
        <w:tabs>
          <w:tab w:val="clear" w:pos="4419"/>
          <w:tab w:val="clear" w:pos="8838"/>
          <w:tab w:val="right" w:pos="0"/>
        </w:tabs>
        <w:spacing w:after="20"/>
        <w:rPr>
          <w:lang w:val="pt-BR"/>
        </w:rPr>
      </w:pPr>
      <w:r w:rsidRPr="00D5464D">
        <w:rPr>
          <w:lang w:val="pt-BR"/>
        </w:rPr>
        <w:t>1. Ninguém pode ser submetido a escravidão ou a servidão e tanto estas como o tráfico de escravos e o tráfico de mulheres são proibidos em todas as suas formas.</w:t>
      </w:r>
    </w:p>
    <w:p w14:paraId="0F1B1F3C" w14:textId="622320CE" w:rsidR="00AF210B" w:rsidRPr="00D5464D" w:rsidRDefault="00AF210B" w:rsidP="002A0C2B">
      <w:pPr>
        <w:pStyle w:val="Textonotapie"/>
        <w:tabs>
          <w:tab w:val="clear" w:pos="4419"/>
          <w:tab w:val="clear" w:pos="8838"/>
          <w:tab w:val="right" w:pos="0"/>
        </w:tabs>
        <w:spacing w:after="20"/>
        <w:rPr>
          <w:lang w:val="pt-BR"/>
        </w:rPr>
      </w:pPr>
      <w:r w:rsidRPr="00D5464D">
        <w:rPr>
          <w:lang w:val="pt-BR"/>
        </w:rPr>
        <w:t>2. Ninguém deve ser constrangido a executar trabalho forçado ou obrigatório. Nos países em que se prescreve, para certos delitos, pena privativa da liberdade acompanhada de trabalhos forçados, esta disposição não pode ser interpretada no sentido de que proíbe o cumprimento da dita pena, imposta por juiz ou tribunal competente. O trabalho forçado não deve afetar a dignidade nem a capacidade física e intelectual do recluso.</w:t>
      </w:r>
    </w:p>
    <w:p w14:paraId="2D86E8F1" w14:textId="5375B78E" w:rsidR="00AF210B" w:rsidRPr="00D5464D" w:rsidRDefault="00AF210B" w:rsidP="002A0C2B">
      <w:pPr>
        <w:pStyle w:val="Textonotapie"/>
        <w:tabs>
          <w:tab w:val="clear" w:pos="4419"/>
          <w:tab w:val="clear" w:pos="8838"/>
          <w:tab w:val="right" w:pos="0"/>
        </w:tabs>
        <w:spacing w:after="20"/>
        <w:rPr>
          <w:lang w:val="pt-BR"/>
        </w:rPr>
      </w:pPr>
      <w:r w:rsidRPr="00D5464D">
        <w:rPr>
          <w:lang w:val="pt-BR"/>
        </w:rPr>
        <w:t>3. Não constituem trabalhos forçados ou obrigatórios para os efeitos deste artigo:</w:t>
      </w:r>
    </w:p>
    <w:p w14:paraId="2F877F3A" w14:textId="6F400AB4" w:rsidR="00AF210B" w:rsidRPr="00D5464D" w:rsidRDefault="00AF210B" w:rsidP="002A0C2B">
      <w:pPr>
        <w:pStyle w:val="Textonotapie"/>
        <w:tabs>
          <w:tab w:val="clear" w:pos="4419"/>
          <w:tab w:val="clear" w:pos="8838"/>
          <w:tab w:val="right" w:pos="0"/>
        </w:tabs>
        <w:spacing w:after="20"/>
        <w:rPr>
          <w:lang w:val="pt-BR"/>
        </w:rPr>
      </w:pPr>
      <w:r w:rsidRPr="00D5464D">
        <w:rPr>
          <w:lang w:val="pt-BR"/>
        </w:rPr>
        <w:t>a. os trabalhos ou serviços normalmente exigidos de pessoa reclusa em cumprimento de sentença ou resolução formal expedida pela autoridade judiciária competente. Tais trabalhos ou serviços devem ser executados sob a vigilância e controle das autoridades públicas e os indivíduos que os executarem não devem ser postos à disposição de particulares, companhias ou pessoas jurídicas de caráter privado;</w:t>
      </w:r>
    </w:p>
    <w:p w14:paraId="3E852240" w14:textId="73F7268F" w:rsidR="00AF210B" w:rsidRPr="00D5464D" w:rsidRDefault="00AF210B" w:rsidP="002A0C2B">
      <w:pPr>
        <w:pStyle w:val="Textonotapie"/>
        <w:tabs>
          <w:tab w:val="clear" w:pos="4419"/>
          <w:tab w:val="clear" w:pos="8838"/>
          <w:tab w:val="right" w:pos="0"/>
        </w:tabs>
        <w:spacing w:after="20"/>
        <w:rPr>
          <w:lang w:val="pt-BR"/>
        </w:rPr>
      </w:pPr>
      <w:r w:rsidRPr="00D5464D">
        <w:rPr>
          <w:lang w:val="pt-BR"/>
        </w:rPr>
        <w:t>b. o serviço militar e, nos países onde se admite a isenção por motivos de consciência, o serviço nacional que a lei estabelecer em lugar daquele;</w:t>
      </w:r>
    </w:p>
    <w:p w14:paraId="77C3D375" w14:textId="13D687CB" w:rsidR="00AF210B" w:rsidRPr="00D5464D" w:rsidRDefault="00AF210B" w:rsidP="002A0C2B">
      <w:pPr>
        <w:pStyle w:val="Textonotapie"/>
        <w:tabs>
          <w:tab w:val="clear" w:pos="4419"/>
          <w:tab w:val="clear" w:pos="8838"/>
          <w:tab w:val="right" w:pos="0"/>
        </w:tabs>
        <w:spacing w:after="20"/>
        <w:rPr>
          <w:lang w:val="pt-BR"/>
        </w:rPr>
      </w:pPr>
      <w:r w:rsidRPr="00D5464D">
        <w:rPr>
          <w:lang w:val="pt-BR"/>
        </w:rPr>
        <w:t>c. o serviço imposto em casos de perigo ou calamidade que ameace a existência ou o bem-estar da comunidade; e d. o trabalho ou serviço que faça parte das obrigações cívicas normais.</w:t>
      </w:r>
    </w:p>
  </w:footnote>
  <w:footnote w:id="349">
    <w:p w14:paraId="2E942CB6" w14:textId="26CC0E35"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A parte relevante do artigo 22 da Convenção dispõe que:</w:t>
      </w:r>
      <w:r w:rsidRPr="00D5464D">
        <w:rPr>
          <w:bCs/>
          <w:lang w:val="pt-BR"/>
        </w:rPr>
        <w:t xml:space="preserve"> </w:t>
      </w:r>
    </w:p>
    <w:p w14:paraId="058409AD" w14:textId="686E9F44" w:rsidR="00AF210B" w:rsidRPr="00D5464D" w:rsidRDefault="00AF210B" w:rsidP="002A0C2B">
      <w:pPr>
        <w:pStyle w:val="Textonotapie"/>
        <w:tabs>
          <w:tab w:val="clear" w:pos="4419"/>
          <w:tab w:val="clear" w:pos="8838"/>
          <w:tab w:val="right" w:pos="0"/>
        </w:tabs>
        <w:spacing w:after="20"/>
        <w:rPr>
          <w:lang w:val="pt-BR"/>
        </w:rPr>
      </w:pPr>
      <w:r w:rsidRPr="00D5464D">
        <w:rPr>
          <w:lang w:val="pt-BR"/>
        </w:rPr>
        <w:t xml:space="preserve"> 1. Toda pessoa que se ache legalmente no território de um Estado tem direito de circular nele e de nele residir em conformidade com as disposições legais. </w:t>
      </w:r>
    </w:p>
  </w:footnote>
  <w:footnote w:id="350">
    <w:p w14:paraId="00F6E0E7" w14:textId="7D22879D"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O artigo 19 da Convenção dispõe que: Toda criança tem direito às medidas de proteção que a sua condição de menor requer por parte da sua família, da sociedade e do Estado.</w:t>
      </w:r>
    </w:p>
  </w:footnote>
  <w:footnote w:id="351">
    <w:p w14:paraId="3573F73B" w14:textId="3129318D"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A Comissão não incluiu o tráfico de pessoas em seu Relatório de Admissibilidade e Mérito, pois o tema não foi debatido durante a tramitação do caso perante a Comissão. No entanto, em suas observações finais afirmou que uma vez que o tema foi discutido durante a tramitação do caso perante a Corte, seria possível qualificar algumas condutas como tráfico. </w:t>
      </w:r>
    </w:p>
  </w:footnote>
  <w:footnote w:id="352">
    <w:p w14:paraId="3CE073EA" w14:textId="0EDE1126"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Fiscalização de 15 março de 2000, relatório de 31 de março de 2000 (expediente de prova, folha 9571) e Ação Civil Pública de 30 de maio de 2000 (expediente de prova, folha 1049).</w:t>
      </w:r>
    </w:p>
  </w:footnote>
  <w:footnote w:id="353">
    <w:p w14:paraId="09CBBDEA" w14:textId="0BA45E96"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Em seu Relatório de Admissibilidade e Mérito, a Comissão concluiu pela violação em relação aos trabalhadores identificados nas fiscalizações de 1993, 1996, 1997 e 2000. Não obstante isso, em virtude da competência temporal da Corte e do escrito de submissão do caso da Comissão, apenas a alegação sobre a fiscalização de 2000 será tomada em consideração. </w:t>
      </w:r>
    </w:p>
  </w:footnote>
  <w:footnote w:id="354">
    <w:p w14:paraId="68416EAE" w14:textId="7B0B560C"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No </w:t>
      </w:r>
      <w:r w:rsidRPr="00D5464D">
        <w:rPr>
          <w:i/>
          <w:lang w:val="pt-BR"/>
        </w:rPr>
        <w:t>Caso dos Massacres de Rio Negro Vs. Guatemala</w:t>
      </w:r>
      <w:r w:rsidRPr="00D5464D">
        <w:rPr>
          <w:lang w:val="pt-BR"/>
        </w:rPr>
        <w:t>, a Corte se pronunciou sobre a violação da proibição da servidão, mas, naquele caso, o Estado realizou um reconhecimento de responsabilidade internacional a respeito dessa violação, entre outras.</w:t>
      </w:r>
    </w:p>
  </w:footnote>
  <w:footnote w:id="355">
    <w:p w14:paraId="306B9184" w14:textId="34396E02"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A respeito, a Corte registra que, a partir dos trabalhos preparatórios da Convenção Americana sobre Direitos Humanos, não se extrai uma interpretação específica sobre o alcance da proibição estabelecida no artigo 6 deste instrumento. </w:t>
      </w:r>
    </w:p>
  </w:footnote>
  <w:footnote w:id="356">
    <w:p w14:paraId="313FFDA7" w14:textId="296624DE" w:rsidR="00AF210B" w:rsidRPr="00D5464D" w:rsidRDefault="00AF210B" w:rsidP="002A0C2B">
      <w:pPr>
        <w:tabs>
          <w:tab w:val="clear" w:pos="4419"/>
          <w:tab w:val="clear" w:pos="8838"/>
          <w:tab w:val="right" w:pos="0"/>
        </w:tabs>
        <w:spacing w:after="20"/>
        <w:jc w:val="both"/>
        <w:rPr>
          <w:b/>
          <w:sz w:val="16"/>
          <w:szCs w:val="16"/>
          <w:lang w:val="pt-BR"/>
        </w:rPr>
      </w:pPr>
      <w:r w:rsidRPr="00D5464D">
        <w:rPr>
          <w:rStyle w:val="Refdenotaalpie"/>
          <w:sz w:val="16"/>
          <w:szCs w:val="16"/>
        </w:rPr>
        <w:footnoteRef/>
      </w:r>
      <w:r w:rsidRPr="00D5464D">
        <w:rPr>
          <w:sz w:val="16"/>
          <w:szCs w:val="16"/>
          <w:lang w:val="pt-BR"/>
        </w:rPr>
        <w:t xml:space="preserve"> </w:t>
      </w:r>
      <w:r w:rsidRPr="00D5464D">
        <w:rPr>
          <w:i/>
          <w:sz w:val="16"/>
          <w:szCs w:val="16"/>
          <w:lang w:val="pt-BR"/>
        </w:rPr>
        <w:t>Cf. O Direito à Informação sobre a Assistência Consular no Marco das Garantias do Devido Processo Legal</w:t>
      </w:r>
      <w:r w:rsidRPr="00D5464D">
        <w:rPr>
          <w:sz w:val="16"/>
          <w:szCs w:val="16"/>
          <w:lang w:val="pt-BR"/>
        </w:rPr>
        <w:t xml:space="preserve">. Parecer Consultivo OC-16/99 de 14 de outubro de 1999. Série A Nº 16, par. 114; e </w:t>
      </w:r>
      <w:r w:rsidRPr="00D5464D">
        <w:rPr>
          <w:i/>
          <w:sz w:val="16"/>
          <w:szCs w:val="16"/>
          <w:lang w:val="pt-BR"/>
        </w:rPr>
        <w:t>Caso Artavia Murillo e outros ("Fecundação in vitro") Vs. Costa Rica</w:t>
      </w:r>
      <w:r w:rsidRPr="00D5464D">
        <w:rPr>
          <w:sz w:val="16"/>
          <w:szCs w:val="16"/>
          <w:lang w:val="pt-BR"/>
        </w:rPr>
        <w:t xml:space="preserve">. Exceções Preliminares, Mérito, Reparações e Custas Sentença de 28 novembro de 2012. Série C Nº 257, par. 245. </w:t>
      </w:r>
    </w:p>
  </w:footnote>
  <w:footnote w:id="357">
    <w:p w14:paraId="7EF2AD7B" w14:textId="25418F5C" w:rsidR="00AF210B" w:rsidRPr="00D5464D" w:rsidRDefault="00AF210B" w:rsidP="002A0C2B">
      <w:pPr>
        <w:pStyle w:val="Textonotapie"/>
        <w:tabs>
          <w:tab w:val="clear" w:pos="4419"/>
          <w:tab w:val="clear" w:pos="8838"/>
          <w:tab w:val="right" w:pos="0"/>
        </w:tabs>
        <w:spacing w:after="20"/>
        <w:rPr>
          <w:b/>
          <w:lang w:val="pt-BR"/>
        </w:rPr>
      </w:pPr>
      <w:r w:rsidRPr="00D5464D">
        <w:rPr>
          <w:rStyle w:val="Refdenotaalpie"/>
          <w:szCs w:val="16"/>
        </w:rPr>
        <w:footnoteRef/>
      </w:r>
      <w:r w:rsidRPr="00D5464D">
        <w:rPr>
          <w:lang w:val="pt-BR"/>
        </w:rPr>
        <w:t xml:space="preserve"> </w:t>
      </w:r>
      <w:r w:rsidRPr="00D5464D">
        <w:rPr>
          <w:i/>
          <w:lang w:val="pt-BR"/>
        </w:rPr>
        <w:t xml:space="preserve">Cf. Caso dos Massacres de Ituango, </w:t>
      </w:r>
      <w:r w:rsidRPr="00D5464D">
        <w:rPr>
          <w:lang w:val="pt-BR"/>
        </w:rPr>
        <w:t>par. 144. Também ver, TEDH,</w:t>
      </w:r>
      <w:r w:rsidRPr="00D5464D">
        <w:rPr>
          <w:i/>
          <w:lang w:val="pt-BR"/>
        </w:rPr>
        <w:t xml:space="preserve"> Caso Tyrer Vs. Reino Unido,</w:t>
      </w:r>
      <w:r w:rsidRPr="00D5464D">
        <w:rPr>
          <w:lang w:val="pt-BR"/>
        </w:rPr>
        <w:t xml:space="preserve"> nº 5856/72, Sentença de 25 de abril de 1978, par. 31. </w:t>
      </w:r>
    </w:p>
  </w:footnote>
  <w:footnote w:id="358">
    <w:p w14:paraId="3EF64244" w14:textId="7CCD7908" w:rsidR="00AF210B" w:rsidRPr="00D5464D" w:rsidRDefault="00AF210B" w:rsidP="002A0C2B">
      <w:pPr>
        <w:tabs>
          <w:tab w:val="clear" w:pos="4419"/>
          <w:tab w:val="clear" w:pos="8838"/>
          <w:tab w:val="right" w:pos="0"/>
        </w:tabs>
        <w:spacing w:after="20"/>
        <w:jc w:val="both"/>
        <w:rPr>
          <w:sz w:val="16"/>
          <w:szCs w:val="16"/>
          <w:lang w:val="pt-BR"/>
        </w:rPr>
      </w:pPr>
      <w:r w:rsidRPr="00D5464D">
        <w:rPr>
          <w:rStyle w:val="Refdenotaalpie"/>
          <w:sz w:val="16"/>
          <w:szCs w:val="16"/>
        </w:rPr>
        <w:footnoteRef/>
      </w:r>
      <w:r w:rsidRPr="00D5464D">
        <w:rPr>
          <w:sz w:val="16"/>
          <w:szCs w:val="16"/>
          <w:lang w:val="pt-BR"/>
        </w:rPr>
        <w:t xml:space="preserve"> </w:t>
      </w:r>
      <w:r w:rsidRPr="00D5464D">
        <w:rPr>
          <w:i/>
          <w:sz w:val="16"/>
          <w:szCs w:val="16"/>
          <w:lang w:val="pt-BR"/>
        </w:rPr>
        <w:t xml:space="preserve">Cf. Caso dos Massacres de Ituango, </w:t>
      </w:r>
      <w:r w:rsidRPr="00D5464D">
        <w:rPr>
          <w:sz w:val="16"/>
          <w:szCs w:val="16"/>
          <w:lang w:val="pt-BR"/>
        </w:rPr>
        <w:t>par. 156. No mesmo sentido,</w:t>
      </w:r>
      <w:r w:rsidRPr="00D5464D">
        <w:rPr>
          <w:i/>
          <w:sz w:val="16"/>
          <w:szCs w:val="16"/>
          <w:lang w:val="pt-BR"/>
        </w:rPr>
        <w:t xml:space="preserve"> El Direito à Informação sobre a Assistência Consular no Marco das Garantias do Devido Processo Legal</w:t>
      </w:r>
      <w:r w:rsidRPr="00D5464D">
        <w:rPr>
          <w:sz w:val="16"/>
          <w:szCs w:val="16"/>
          <w:lang w:val="pt-BR"/>
        </w:rPr>
        <w:t xml:space="preserve">, par. 113 e </w:t>
      </w:r>
      <w:r w:rsidRPr="00D5464D">
        <w:rPr>
          <w:i/>
          <w:sz w:val="16"/>
          <w:szCs w:val="16"/>
          <w:lang w:val="pt-BR"/>
        </w:rPr>
        <w:t>Caso Artavia Murillo e outros ("Fecundação in vitro")</w:t>
      </w:r>
      <w:r w:rsidRPr="00D5464D">
        <w:rPr>
          <w:sz w:val="16"/>
          <w:szCs w:val="16"/>
          <w:lang w:val="pt-BR"/>
        </w:rPr>
        <w:t xml:space="preserve">, par. 191. </w:t>
      </w:r>
    </w:p>
  </w:footnote>
  <w:footnote w:id="359">
    <w:p w14:paraId="08590AD7" w14:textId="037714B3" w:rsidR="00AF210B" w:rsidRPr="00D5464D" w:rsidRDefault="00AF210B" w:rsidP="002A0C2B">
      <w:pPr>
        <w:pStyle w:val="Numberedparagraphs"/>
        <w:tabs>
          <w:tab w:val="left" w:pos="567"/>
        </w:tabs>
        <w:spacing w:after="20"/>
        <w:rPr>
          <w:color w:val="auto"/>
          <w:sz w:val="16"/>
          <w:szCs w:val="16"/>
          <w:lang w:val="pt-BR"/>
        </w:rPr>
      </w:pPr>
      <w:r w:rsidRPr="00D5464D">
        <w:rPr>
          <w:rStyle w:val="Refdenotaalpie"/>
          <w:sz w:val="16"/>
          <w:szCs w:val="16"/>
          <w:lang w:val="es-CR"/>
        </w:rPr>
        <w:footnoteRef/>
      </w:r>
      <w:r w:rsidRPr="00D5464D">
        <w:rPr>
          <w:sz w:val="16"/>
          <w:szCs w:val="16"/>
          <w:lang w:val="pt-BR"/>
        </w:rPr>
        <w:t xml:space="preserve"> </w:t>
      </w:r>
      <w:r w:rsidRPr="00D5464D">
        <w:rPr>
          <w:i/>
          <w:color w:val="auto"/>
          <w:sz w:val="16"/>
          <w:szCs w:val="16"/>
          <w:lang w:val="pt-BR"/>
        </w:rPr>
        <w:t xml:space="preserve">Cf. </w:t>
      </w:r>
      <w:r w:rsidRPr="00D5464D">
        <w:rPr>
          <w:color w:val="auto"/>
          <w:sz w:val="16"/>
          <w:szCs w:val="16"/>
          <w:lang w:val="pt-BR"/>
        </w:rPr>
        <w:t xml:space="preserve">Corte Internacional de Justiça, </w:t>
      </w:r>
      <w:r w:rsidRPr="00D5464D">
        <w:rPr>
          <w:i/>
          <w:color w:val="auto"/>
          <w:sz w:val="16"/>
          <w:szCs w:val="16"/>
          <w:lang w:val="pt-BR"/>
        </w:rPr>
        <w:t>Caso relativo à soberania sobre Pulau Ligitan e Pulau Sipadan (Indonésia Vs. Malásia)</w:t>
      </w:r>
      <w:r w:rsidRPr="00D5464D">
        <w:rPr>
          <w:color w:val="auto"/>
          <w:sz w:val="16"/>
          <w:szCs w:val="16"/>
          <w:lang w:val="pt-BR"/>
        </w:rPr>
        <w:t xml:space="preserve">, Sentença de 17 de dezembro de 2002, par. 37 e Corte Internacional de Justiça, </w:t>
      </w:r>
      <w:r w:rsidRPr="00D5464D">
        <w:rPr>
          <w:i/>
          <w:color w:val="auto"/>
          <w:sz w:val="16"/>
          <w:szCs w:val="16"/>
          <w:lang w:val="pt-BR"/>
        </w:rPr>
        <w:t>Caso Avena e outros nacionais mexicanos (México Vs. Estados Unidos da América)</w:t>
      </w:r>
      <w:r w:rsidRPr="00D5464D">
        <w:rPr>
          <w:color w:val="auto"/>
          <w:sz w:val="16"/>
          <w:szCs w:val="16"/>
          <w:lang w:val="pt-BR"/>
        </w:rPr>
        <w:t>, Sentença de 31 de março de 2004, par. 83.</w:t>
      </w:r>
    </w:p>
  </w:footnote>
  <w:footnote w:id="360">
    <w:p w14:paraId="069D555B" w14:textId="77777777" w:rsidR="00AF210B" w:rsidRPr="00D5464D" w:rsidRDefault="00AF210B" w:rsidP="002A0C2B">
      <w:pPr>
        <w:tabs>
          <w:tab w:val="left" w:pos="567"/>
        </w:tabs>
        <w:spacing w:after="20"/>
        <w:jc w:val="both"/>
        <w:rPr>
          <w:sz w:val="16"/>
          <w:szCs w:val="16"/>
          <w:lang w:val="pt-BR"/>
        </w:rPr>
      </w:pPr>
      <w:r w:rsidRPr="00D5464D">
        <w:rPr>
          <w:rStyle w:val="Refdenotaalpie"/>
          <w:sz w:val="16"/>
          <w:szCs w:val="16"/>
        </w:rPr>
        <w:footnoteRef/>
      </w:r>
      <w:r w:rsidRPr="00D5464D">
        <w:rPr>
          <w:sz w:val="16"/>
          <w:szCs w:val="16"/>
          <w:lang w:val="pt-BR"/>
        </w:rPr>
        <w:t xml:space="preserve"> Convenção de Viena sobre o Direito dos Tratados, Artigo 31. Regra Geral de Interpretação.</w:t>
      </w:r>
    </w:p>
    <w:p w14:paraId="3EE3B3C5" w14:textId="6FE94E91" w:rsidR="00AF210B" w:rsidRPr="00D5464D" w:rsidRDefault="00AF210B" w:rsidP="002A0C2B">
      <w:pPr>
        <w:tabs>
          <w:tab w:val="left" w:pos="567"/>
        </w:tabs>
        <w:spacing w:after="20"/>
        <w:jc w:val="both"/>
        <w:rPr>
          <w:sz w:val="16"/>
          <w:szCs w:val="16"/>
          <w:lang w:val="pt-BR"/>
        </w:rPr>
      </w:pPr>
      <w:r w:rsidRPr="00D5464D">
        <w:rPr>
          <w:sz w:val="16"/>
          <w:szCs w:val="16"/>
          <w:lang w:val="pt-BR"/>
        </w:rPr>
        <w:t xml:space="preserve">1. Um tratado deve ser interpretado de boa fé segundo o sentido comum atribuível aos termos do tratado em seu contexto e à luz de seu objetivo e finalidade. </w:t>
      </w:r>
    </w:p>
    <w:p w14:paraId="4CDFB193" w14:textId="2E75EF91" w:rsidR="00AF210B" w:rsidRPr="00D5464D" w:rsidRDefault="00AF210B" w:rsidP="002A0C2B">
      <w:pPr>
        <w:tabs>
          <w:tab w:val="left" w:pos="567"/>
        </w:tabs>
        <w:spacing w:after="20"/>
        <w:jc w:val="both"/>
        <w:rPr>
          <w:sz w:val="16"/>
          <w:szCs w:val="16"/>
          <w:lang w:val="pt-BR"/>
        </w:rPr>
      </w:pPr>
      <w:r w:rsidRPr="00D5464D">
        <w:rPr>
          <w:sz w:val="16"/>
          <w:szCs w:val="16"/>
          <w:lang w:val="pt-BR"/>
        </w:rPr>
        <w:t xml:space="preserve">2. Para os fins de interpretação de um tratado, o contexto compreenderá, além do texto, seu preâmbulo e anexos: </w:t>
      </w:r>
    </w:p>
    <w:p w14:paraId="3CAC2540" w14:textId="5C19F580" w:rsidR="00AF210B" w:rsidRPr="00D5464D" w:rsidRDefault="00AF210B" w:rsidP="002A0C2B">
      <w:pPr>
        <w:tabs>
          <w:tab w:val="left" w:pos="567"/>
        </w:tabs>
        <w:spacing w:after="20"/>
        <w:jc w:val="both"/>
        <w:rPr>
          <w:sz w:val="16"/>
          <w:szCs w:val="16"/>
          <w:lang w:val="pt-BR"/>
        </w:rPr>
      </w:pPr>
      <w:r w:rsidRPr="00D5464D">
        <w:rPr>
          <w:sz w:val="16"/>
          <w:szCs w:val="16"/>
          <w:lang w:val="pt-BR"/>
        </w:rPr>
        <w:t xml:space="preserve">  a) qualquer acordo relativo ao tratado e feito entre todas as partes em conexão com a conclusão do tratado; </w:t>
      </w:r>
    </w:p>
    <w:p w14:paraId="1C68FEAD" w14:textId="7FC6F6E4" w:rsidR="00AF210B" w:rsidRPr="00D5464D" w:rsidRDefault="00AF210B" w:rsidP="002A0C2B">
      <w:pPr>
        <w:tabs>
          <w:tab w:val="left" w:pos="567"/>
        </w:tabs>
        <w:spacing w:after="20"/>
        <w:jc w:val="both"/>
        <w:rPr>
          <w:sz w:val="16"/>
          <w:szCs w:val="16"/>
          <w:lang w:val="pt-BR"/>
        </w:rPr>
      </w:pPr>
      <w:r w:rsidRPr="00D5464D">
        <w:rPr>
          <w:sz w:val="16"/>
          <w:szCs w:val="16"/>
          <w:lang w:val="pt-BR"/>
        </w:rPr>
        <w:t xml:space="preserve">  b) qualquer instrumento estabelecido por uma ou várias partes em conexão com a conclusão do tratado e aceito pelas outras partes como instrumento relativo ao tratado. </w:t>
      </w:r>
    </w:p>
    <w:p w14:paraId="0ADC0D0A" w14:textId="66F3A53A" w:rsidR="00AF210B" w:rsidRPr="00D5464D" w:rsidRDefault="00AF210B" w:rsidP="002A0C2B">
      <w:pPr>
        <w:tabs>
          <w:tab w:val="left" w:pos="567"/>
        </w:tabs>
        <w:spacing w:after="20"/>
        <w:jc w:val="both"/>
        <w:rPr>
          <w:sz w:val="16"/>
          <w:szCs w:val="16"/>
          <w:lang w:val="pt-BR"/>
        </w:rPr>
      </w:pPr>
      <w:r w:rsidRPr="00D5464D">
        <w:rPr>
          <w:sz w:val="16"/>
          <w:szCs w:val="16"/>
          <w:lang w:val="pt-BR"/>
        </w:rPr>
        <w:t xml:space="preserve">3. Serão levados em consideração, juntamente com o contexto: </w:t>
      </w:r>
    </w:p>
    <w:p w14:paraId="3AB1F0C2" w14:textId="3A2EA343" w:rsidR="00AF210B" w:rsidRPr="00D5464D" w:rsidRDefault="00AF210B" w:rsidP="002A0C2B">
      <w:pPr>
        <w:tabs>
          <w:tab w:val="left" w:pos="567"/>
        </w:tabs>
        <w:spacing w:after="20"/>
        <w:jc w:val="both"/>
        <w:rPr>
          <w:sz w:val="16"/>
          <w:szCs w:val="16"/>
          <w:lang w:val="pt-BR"/>
        </w:rPr>
      </w:pPr>
      <w:r w:rsidRPr="00D5464D">
        <w:rPr>
          <w:sz w:val="16"/>
          <w:szCs w:val="16"/>
          <w:lang w:val="pt-BR"/>
        </w:rPr>
        <w:t xml:space="preserve">  a) qualquer acordo posterior entre as partes relativo à interpretação do tratado ou à aplicação de suas disposições; </w:t>
      </w:r>
    </w:p>
    <w:p w14:paraId="576E2801" w14:textId="0EF88A81" w:rsidR="00AF210B" w:rsidRPr="00D5464D" w:rsidRDefault="00AF210B" w:rsidP="002A0C2B">
      <w:pPr>
        <w:tabs>
          <w:tab w:val="left" w:pos="567"/>
        </w:tabs>
        <w:spacing w:after="20"/>
        <w:jc w:val="both"/>
        <w:rPr>
          <w:sz w:val="16"/>
          <w:szCs w:val="16"/>
          <w:lang w:val="pt-BR"/>
        </w:rPr>
      </w:pPr>
      <w:r w:rsidRPr="00D5464D">
        <w:rPr>
          <w:sz w:val="16"/>
          <w:szCs w:val="16"/>
          <w:lang w:val="pt-BR"/>
        </w:rPr>
        <w:t xml:space="preserve">  b) qualquer prática seguida posteriormente na aplicação do tratado, pela qual se estabeleça o acordo das partes relativo à sua interpretação; </w:t>
      </w:r>
    </w:p>
    <w:p w14:paraId="2E881C6B" w14:textId="6AE7C94D" w:rsidR="00AF210B" w:rsidRPr="00D5464D" w:rsidRDefault="00AF210B" w:rsidP="002A0C2B">
      <w:pPr>
        <w:tabs>
          <w:tab w:val="left" w:pos="567"/>
        </w:tabs>
        <w:spacing w:after="20"/>
        <w:jc w:val="both"/>
        <w:rPr>
          <w:sz w:val="16"/>
          <w:szCs w:val="16"/>
          <w:lang w:val="pt-BR"/>
        </w:rPr>
      </w:pPr>
      <w:r w:rsidRPr="00D5464D">
        <w:rPr>
          <w:sz w:val="16"/>
          <w:szCs w:val="16"/>
          <w:lang w:val="pt-BR"/>
        </w:rPr>
        <w:t xml:space="preserve">  c) quaisquer regras pertinentes de Direito Internacional aplicáveis às relações entre as partes. </w:t>
      </w:r>
    </w:p>
    <w:p w14:paraId="34D74D5D" w14:textId="761744CC" w:rsidR="00AF210B" w:rsidRPr="00D5464D" w:rsidRDefault="00AF210B" w:rsidP="002A0C2B">
      <w:pPr>
        <w:tabs>
          <w:tab w:val="left" w:pos="567"/>
        </w:tabs>
        <w:spacing w:after="20"/>
        <w:jc w:val="both"/>
        <w:rPr>
          <w:lang w:val="pt-BR"/>
        </w:rPr>
      </w:pPr>
      <w:r w:rsidRPr="00D5464D">
        <w:rPr>
          <w:sz w:val="16"/>
          <w:szCs w:val="16"/>
          <w:lang w:val="pt-BR"/>
        </w:rPr>
        <w:t>4. Um termo será entendido em sentido especial se estiver estabelecido que essa era a intenção das partes.</w:t>
      </w:r>
    </w:p>
  </w:footnote>
  <w:footnote w:id="361">
    <w:p w14:paraId="4242277D" w14:textId="4FFDBB22" w:rsidR="00AF210B" w:rsidRPr="00D5464D" w:rsidRDefault="00AF210B" w:rsidP="002A0C2B">
      <w:pPr>
        <w:tabs>
          <w:tab w:val="left" w:pos="567"/>
        </w:tabs>
        <w:spacing w:after="20"/>
        <w:jc w:val="both"/>
        <w:rPr>
          <w:bCs/>
          <w:sz w:val="16"/>
          <w:szCs w:val="16"/>
          <w:lang w:val="pt-BR"/>
        </w:rPr>
      </w:pPr>
      <w:r w:rsidRPr="00D5464D">
        <w:rPr>
          <w:rStyle w:val="Refdenotaalpie"/>
          <w:sz w:val="16"/>
          <w:szCs w:val="16"/>
        </w:rPr>
        <w:footnoteRef/>
      </w:r>
      <w:r w:rsidRPr="00D5464D">
        <w:rPr>
          <w:sz w:val="16"/>
          <w:szCs w:val="16"/>
          <w:lang w:val="pt-BR"/>
        </w:rPr>
        <w:t xml:space="preserve"> Convenção de Viena sobre o Direito dos Tratados,</w:t>
      </w:r>
      <w:r w:rsidRPr="00D5464D">
        <w:rPr>
          <w:bCs/>
          <w:sz w:val="16"/>
          <w:szCs w:val="16"/>
          <w:lang w:val="pt-BR"/>
        </w:rPr>
        <w:t xml:space="preserve"> Artigo 32. Meios Suplementares de Interpretação. Pode-se recorrer a meios suplementares de interpretação, inclusive aos trabalhos preparatórios do tratado e às circunstâncias de sua conclusão, a fim de confirmar o sentido resultante da aplicação do artigo 31 ou de determinar o sentido quando a interpretação, de conformidade com o artigo 31: </w:t>
      </w:r>
    </w:p>
    <w:p w14:paraId="7EF1B8C1" w14:textId="1DBEC464" w:rsidR="00AF210B" w:rsidRPr="00D5464D" w:rsidRDefault="00AF210B" w:rsidP="002A0C2B">
      <w:pPr>
        <w:tabs>
          <w:tab w:val="left" w:pos="567"/>
        </w:tabs>
        <w:spacing w:after="20"/>
        <w:jc w:val="both"/>
        <w:rPr>
          <w:bCs/>
          <w:sz w:val="16"/>
          <w:szCs w:val="16"/>
          <w:lang w:val="pt-BR"/>
        </w:rPr>
      </w:pPr>
      <w:r w:rsidRPr="00D5464D">
        <w:rPr>
          <w:bCs/>
          <w:sz w:val="16"/>
          <w:szCs w:val="16"/>
          <w:lang w:val="pt-BR"/>
        </w:rPr>
        <w:t xml:space="preserve">  a) deixa o sentido ambíguo ou obscuro; ou </w:t>
      </w:r>
    </w:p>
    <w:p w14:paraId="55D4BFD7" w14:textId="7F177757" w:rsidR="00AF210B" w:rsidRPr="00D5464D" w:rsidRDefault="00AF210B" w:rsidP="002A0C2B">
      <w:pPr>
        <w:tabs>
          <w:tab w:val="left" w:pos="567"/>
        </w:tabs>
        <w:spacing w:after="20"/>
        <w:jc w:val="both"/>
        <w:rPr>
          <w:lang w:val="pt-BR"/>
        </w:rPr>
      </w:pPr>
      <w:r w:rsidRPr="00D5464D">
        <w:rPr>
          <w:bCs/>
          <w:sz w:val="16"/>
          <w:szCs w:val="16"/>
          <w:lang w:val="pt-BR"/>
        </w:rPr>
        <w:t xml:space="preserve">  b) conduz a um resultado que é manifestamente absurdo ou desarrazoado.</w:t>
      </w:r>
    </w:p>
  </w:footnote>
  <w:footnote w:id="362">
    <w:p w14:paraId="5DD07B63" w14:textId="6343D850"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rStyle w:val="Textoennegrita"/>
          <w:b w:val="0"/>
          <w:i/>
          <w:color w:val="000000"/>
          <w:shd w:val="clear" w:color="auto" w:fill="FFFFFF"/>
          <w:lang w:val="pt-BR"/>
        </w:rPr>
        <w:t>Titularidade de direitos das pessoas jurídicas no Sistema Interamericano de Direitos Humanos (Interpretação e alcance do artigo 1.2, em relação aos artigos 1.1, 8, 11.2, 13, 16, 21, 24, 25, 29, 30, 44, 46 e 62.3 da Convenção Americana sobre Direitos Humanos, bem como do artigo 8.1 A e B do Protocolo de San Salvador)</w:t>
      </w:r>
      <w:r w:rsidRPr="00D5464D">
        <w:rPr>
          <w:rStyle w:val="Textoennegrita"/>
          <w:b w:val="0"/>
          <w:color w:val="000000"/>
          <w:shd w:val="clear" w:color="auto" w:fill="FFFFFF"/>
          <w:lang w:val="pt-BR"/>
        </w:rPr>
        <w:t>. Parecer Consultivo OC-22/16 de 26 de fevereiro de 2016. Série A Nº 22, par. 35.</w:t>
      </w:r>
    </w:p>
  </w:footnote>
  <w:footnote w:id="363">
    <w:p w14:paraId="221A6E77" w14:textId="682FD5D4" w:rsidR="00AF210B" w:rsidRPr="00D5464D" w:rsidRDefault="00AF210B" w:rsidP="002A0C2B">
      <w:pPr>
        <w:widowControl w:val="0"/>
        <w:tabs>
          <w:tab w:val="clear" w:pos="4419"/>
          <w:tab w:val="clear" w:pos="8838"/>
          <w:tab w:val="right" w:pos="0"/>
        </w:tabs>
        <w:spacing w:after="20"/>
        <w:jc w:val="both"/>
        <w:rPr>
          <w:sz w:val="16"/>
          <w:szCs w:val="16"/>
          <w:lang w:val="pt-BR"/>
        </w:rPr>
      </w:pPr>
      <w:r w:rsidRPr="00D5464D">
        <w:rPr>
          <w:rStyle w:val="Refdenotaalpie"/>
          <w:sz w:val="16"/>
          <w:szCs w:val="16"/>
        </w:rPr>
        <w:footnoteRef/>
      </w:r>
      <w:r w:rsidRPr="00D5464D">
        <w:rPr>
          <w:sz w:val="16"/>
          <w:szCs w:val="16"/>
          <w:lang w:val="pt-BR"/>
        </w:rPr>
        <w:t xml:space="preserve"> A este respeito, a Corte indicou que o </w:t>
      </w:r>
      <w:r w:rsidRPr="00D5464D">
        <w:rPr>
          <w:i/>
          <w:sz w:val="16"/>
          <w:szCs w:val="16"/>
          <w:lang w:val="pt-BR"/>
        </w:rPr>
        <w:t xml:space="preserve">corpus juris </w:t>
      </w:r>
      <w:r w:rsidRPr="00D5464D">
        <w:rPr>
          <w:sz w:val="16"/>
          <w:szCs w:val="16"/>
          <w:lang w:val="pt-BR"/>
        </w:rPr>
        <w:t>do Direito Internacional dos Direitos Humanos está formado por um conjunto de instrumentos internacionais de conteúdo e efeitos jurídicos variados (tratados, convênios, resoluções e declarações). Sua evolução dinâmica exerceu um impacto positivo no Direito Internacional, no sentido de afirmar e desenvolver a aptidão deste último para regulamentar as relações entre os Estados e os seres humanos sob suas respectivas jurisdições. Portanto, esta Corte deve adotar um critério adequado para considerar a questão sujeita a exame no âmbito da evolução dos direitos fundamentais da pessoa humana no Direito Internacional contemporâneo.</w:t>
      </w:r>
      <w:r w:rsidRPr="00D5464D">
        <w:rPr>
          <w:i/>
          <w:sz w:val="16"/>
          <w:szCs w:val="16"/>
          <w:lang w:val="pt-BR"/>
        </w:rPr>
        <w:t xml:space="preserve"> Cf. O Direito à Informação sobre a Assistência Consular no Marco das Garantias do Devido Processo Legal</w:t>
      </w:r>
      <w:r w:rsidRPr="00D5464D">
        <w:rPr>
          <w:sz w:val="16"/>
          <w:szCs w:val="16"/>
          <w:lang w:val="pt-BR"/>
        </w:rPr>
        <w:t xml:space="preserve">, par. 115; e </w:t>
      </w:r>
      <w:r w:rsidRPr="00D5464D">
        <w:rPr>
          <w:i/>
          <w:sz w:val="16"/>
          <w:szCs w:val="16"/>
          <w:lang w:val="pt-BR"/>
        </w:rPr>
        <w:t xml:space="preserve">Caso dos Massacres de Ituango, </w:t>
      </w:r>
      <w:r w:rsidRPr="00D5464D">
        <w:rPr>
          <w:sz w:val="16"/>
          <w:szCs w:val="16"/>
          <w:lang w:val="pt-BR"/>
        </w:rPr>
        <w:t xml:space="preserve">par. 157. </w:t>
      </w:r>
    </w:p>
  </w:footnote>
  <w:footnote w:id="364">
    <w:p w14:paraId="6B0C9B7A" w14:textId="2BECCE06" w:rsidR="00AF210B" w:rsidRPr="00D5464D" w:rsidRDefault="00AF210B" w:rsidP="002A0C2B">
      <w:pPr>
        <w:pStyle w:val="Textonotapie"/>
        <w:tabs>
          <w:tab w:val="clear" w:pos="4419"/>
          <w:tab w:val="clear" w:pos="8838"/>
          <w:tab w:val="right" w:pos="0"/>
        </w:tabs>
        <w:spacing w:after="20"/>
        <w:rPr>
          <w:rStyle w:val="Refdenotaalpie"/>
          <w:szCs w:val="16"/>
          <w:lang w:val="pt-BR"/>
        </w:rPr>
      </w:pPr>
      <w:r w:rsidRPr="00D5464D">
        <w:rPr>
          <w:rStyle w:val="Refdenotaalpie"/>
          <w:szCs w:val="16"/>
        </w:rPr>
        <w:footnoteRef/>
      </w:r>
      <w:r w:rsidRPr="00D5464D">
        <w:rPr>
          <w:rStyle w:val="Refdenotaalpie"/>
          <w:szCs w:val="16"/>
          <w:lang w:val="pt-BR"/>
        </w:rPr>
        <w:t xml:space="preserve"> </w:t>
      </w:r>
      <w:r w:rsidRPr="00D5464D">
        <w:rPr>
          <w:lang w:val="pt-BR"/>
        </w:rPr>
        <w:t xml:space="preserve">Por exemplo, Declaração Universal de Direitos Humanos, 1948, art. 4; Convenção Suplementar sobre a Abolição da Escravatura, 1956, art. 1; Pacto Internacional de Direitos Civis e Políticos, 1966, art. 8; Convenção Europeia de Direitos do Homem, 1950, art. 4; Estatuto de Roma da Corte Penal Internacional, 1998, art. 7; Convenção nº 182 da Organização Internacional do Trabalho, 1999, art. 3; Carta Africana de Direitos Humanos e dos Povos, 1981, art. 5; Convenção Americana sobre Direitos Humanos, 1969, art. 6. </w:t>
      </w:r>
    </w:p>
  </w:footnote>
  <w:footnote w:id="365">
    <w:p w14:paraId="5DB585C3" w14:textId="7876DEB0"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Ver, entre outros, declaração pericial de Jean Allain durante a audiência pública. </w:t>
      </w:r>
    </w:p>
  </w:footnote>
  <w:footnote w:id="366">
    <w:p w14:paraId="17D98028" w14:textId="523FBF62"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bCs/>
          <w:i/>
          <w:lang w:val="pt-BR"/>
        </w:rPr>
        <w:t>Caso dos Massacres de Rio Negro</w:t>
      </w:r>
      <w:r w:rsidRPr="00D5464D">
        <w:rPr>
          <w:bCs/>
          <w:lang w:val="pt-BR"/>
        </w:rPr>
        <w:t xml:space="preserve">, par. 141 e </w:t>
      </w:r>
      <w:r w:rsidRPr="00D5464D">
        <w:rPr>
          <w:lang w:val="pt-BR"/>
        </w:rPr>
        <w:t xml:space="preserve">Corte Internacional de Justiça, </w:t>
      </w:r>
      <w:r w:rsidRPr="00D5464D">
        <w:rPr>
          <w:i/>
          <w:lang w:val="pt-BR"/>
        </w:rPr>
        <w:t xml:space="preserve">Caso </w:t>
      </w:r>
      <w:r w:rsidRPr="00D5464D">
        <w:rPr>
          <w:bCs/>
          <w:i/>
          <w:lang w:val="pt-BR"/>
        </w:rPr>
        <w:t>Barcelona Traction, Light and Power Company, Limited (Bélgica Vs. Espanha)</w:t>
      </w:r>
      <w:r w:rsidRPr="00D5464D">
        <w:rPr>
          <w:bCs/>
          <w:lang w:val="pt-BR"/>
        </w:rPr>
        <w:t>, Sentença de 5 de fevereiro de 1970,</w:t>
      </w:r>
      <w:r w:rsidRPr="00D5464D">
        <w:rPr>
          <w:b/>
          <w:bCs/>
          <w:lang w:val="pt-BR"/>
        </w:rPr>
        <w:t xml:space="preserve"> </w:t>
      </w:r>
      <w:r w:rsidRPr="00D5464D">
        <w:rPr>
          <w:lang w:val="pt-BR"/>
        </w:rPr>
        <w:t xml:space="preserve">par. 34. </w:t>
      </w:r>
    </w:p>
  </w:footnote>
  <w:footnote w:id="367">
    <w:p w14:paraId="0E162ABE" w14:textId="483335C9"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lang w:val="pt-BR"/>
        </w:rPr>
        <w:t xml:space="preserve">Países que são parte da Convenção sobre a Escravatura de 1926 e seu protocolo: Antígua e Barbuda, Bahamas, Barbados, Bolívia, Brasil, Canadá, Chile, Cuba, Dominica, Equador, Estados Unidos da América, Guatemala, Jamaica, México, Nicarágua, Paraguai, Santa Lucia, San Vicente e Granadinas, Trinidad e Tobago e Uruguai. Disponível em: </w:t>
      </w:r>
      <w:hyperlink r:id="rId5" w:history="1">
        <w:r w:rsidRPr="00D5464D">
          <w:rPr>
            <w:rStyle w:val="Hipervnculo"/>
            <w:lang w:val="pt-BR"/>
          </w:rPr>
          <w:t>https://treaties.un.org/Pages/showDetails.aspx?objid=0800000280030bab</w:t>
        </w:r>
      </w:hyperlink>
      <w:r w:rsidRPr="00D5464D">
        <w:rPr>
          <w:rStyle w:val="Hipervnculo"/>
          <w:lang w:val="pt-BR"/>
        </w:rPr>
        <w:t xml:space="preserve">; </w:t>
      </w:r>
      <w:hyperlink r:id="rId6" w:history="1">
        <w:r w:rsidRPr="00D5464D">
          <w:rPr>
            <w:rStyle w:val="Hipervnculo"/>
            <w:lang w:val="pt-BR"/>
          </w:rPr>
          <w:t>https://treaties.un.org/Pages/showDetails.aspx?objid=08000002800006f9</w:t>
        </w:r>
      </w:hyperlink>
      <w:r w:rsidRPr="00D5464D">
        <w:rPr>
          <w:lang w:val="pt-BR"/>
        </w:rPr>
        <w:t xml:space="preserve">; </w:t>
      </w:r>
      <w:hyperlink r:id="rId7" w:history="1">
        <w:r w:rsidRPr="00D5464D">
          <w:rPr>
            <w:rStyle w:val="Hipervnculo"/>
            <w:lang w:val="pt-BR"/>
          </w:rPr>
          <w:t>https://treaties.un.org/Pages/showDetails.aspx?objid=080000028002fe57</w:t>
        </w:r>
      </w:hyperlink>
      <w:r w:rsidRPr="00D5464D">
        <w:rPr>
          <w:rStyle w:val="Hipervnculo"/>
          <w:lang w:val="pt-BR"/>
        </w:rPr>
        <w:t>;</w:t>
      </w:r>
      <w:r w:rsidRPr="00D5464D">
        <w:rPr>
          <w:lang w:val="pt-BR"/>
        </w:rPr>
        <w:t xml:space="preserve"> e países da região que são parte da Convenção Suplementar sobre a Abolição da Escravatura de 1956: Antígua e Barbuda, Argentina, Bahamas, Barbados, Bolívia, Brasil, Canadá, Chile, Cuba, Dominica, Equador, Estados Unidos da América, Guatemala, Haiti, Jamaica, México, Nicarágua, Paraguai, República Dominicana Santa Lucia, San Vicente e Granadinas, Trinidad e Tobago e Uruguai.</w:t>
      </w:r>
      <w:r w:rsidRPr="00D5464D">
        <w:rPr>
          <w:b/>
          <w:lang w:val="pt-BR"/>
        </w:rPr>
        <w:t xml:space="preserve"> </w:t>
      </w:r>
      <w:r w:rsidRPr="00D5464D">
        <w:rPr>
          <w:lang w:val="pt-BR"/>
        </w:rPr>
        <w:t xml:space="preserve">Disponível em: </w:t>
      </w:r>
      <w:hyperlink r:id="rId8" w:history="1">
        <w:r w:rsidRPr="00D5464D">
          <w:rPr>
            <w:rStyle w:val="Hipervnculo"/>
            <w:lang w:val="pt-BR"/>
          </w:rPr>
          <w:t>https://treaties.un.org/Pages/showDetails.aspx?objid=080000028003103d</w:t>
        </w:r>
      </w:hyperlink>
      <w:r w:rsidRPr="00D5464D">
        <w:rPr>
          <w:lang w:val="pt-BR"/>
        </w:rPr>
        <w:t>.</w:t>
      </w:r>
    </w:p>
  </w:footnote>
  <w:footnote w:id="368">
    <w:p w14:paraId="755BBFA5" w14:textId="2CF78338" w:rsidR="00AF210B" w:rsidRPr="00D5464D" w:rsidRDefault="00AF210B" w:rsidP="002A0C2B">
      <w:pPr>
        <w:shd w:val="clear" w:color="auto" w:fill="FFFFFF"/>
        <w:spacing w:after="20"/>
        <w:jc w:val="both"/>
        <w:outlineLvl w:val="2"/>
        <w:rPr>
          <w:rFonts w:eastAsia="Times New Roman" w:cs="Times New Roman"/>
          <w:color w:val="000000"/>
          <w:sz w:val="16"/>
          <w:szCs w:val="16"/>
          <w:lang w:val="pt-BR"/>
        </w:rPr>
      </w:pPr>
      <w:r w:rsidRPr="00D5464D">
        <w:rPr>
          <w:rStyle w:val="Refdenotaalpie"/>
          <w:sz w:val="16"/>
          <w:szCs w:val="16"/>
        </w:rPr>
        <w:footnoteRef/>
      </w:r>
      <w:r w:rsidRPr="00D5464D">
        <w:rPr>
          <w:sz w:val="16"/>
          <w:szCs w:val="16"/>
          <w:lang w:val="pt-BR"/>
        </w:rPr>
        <w:t xml:space="preserve"> </w:t>
      </w:r>
      <w:r w:rsidRPr="00D5464D">
        <w:rPr>
          <w:bCs/>
          <w:sz w:val="16"/>
          <w:szCs w:val="16"/>
          <w:lang w:val="pt-BR"/>
        </w:rPr>
        <w:t>Convenção Suplementar sobre a Abolição da Escravatura, do Tráfico de Escravos e das Instituições e Práticas Análogas à Escravidão</w:t>
      </w:r>
      <w:r w:rsidRPr="00D5464D">
        <w:rPr>
          <w:sz w:val="16"/>
          <w:szCs w:val="16"/>
          <w:lang w:val="pt-BR"/>
        </w:rPr>
        <w:t>, artigo</w:t>
      </w:r>
      <w:r w:rsidRPr="00D5464D">
        <w:rPr>
          <w:rFonts w:eastAsia="Times New Roman" w:cs="Times New Roman"/>
          <w:bCs/>
          <w:iCs/>
          <w:color w:val="303030"/>
          <w:sz w:val="16"/>
          <w:szCs w:val="16"/>
          <w:lang w:val="pt-BR"/>
        </w:rPr>
        <w:t xml:space="preserve"> 1: </w:t>
      </w:r>
      <w:r w:rsidRPr="00D5464D">
        <w:rPr>
          <w:rFonts w:eastAsia="Times New Roman" w:cs="Times New Roman"/>
          <w:color w:val="000000"/>
          <w:sz w:val="16"/>
          <w:szCs w:val="16"/>
          <w:lang w:val="pt-BR"/>
        </w:rPr>
        <w:t>Cada um dos Estados Partes da presente Convenção tomará todas as medidas, legislativas e de outra natureza que sejam viáveis e necessárias, para obter progressivamente logo que possível a abolição completa ou o abandono das instituições e práticas seguintes onde quer ainda subsistam, enquadram-se ou não na definição de escravidão que figura no artigo primeiro da Convenção sobre a escravidão assinada em Genebra, em 25 de setembro de 1926:</w:t>
      </w:r>
    </w:p>
    <w:p w14:paraId="7499D8BC" w14:textId="5CF949DF" w:rsidR="00AF210B" w:rsidRPr="00D5464D" w:rsidRDefault="00AF210B" w:rsidP="002A0C2B">
      <w:pPr>
        <w:shd w:val="clear" w:color="auto" w:fill="FFFFFF"/>
        <w:spacing w:after="20"/>
        <w:jc w:val="both"/>
        <w:outlineLvl w:val="2"/>
        <w:rPr>
          <w:rFonts w:eastAsia="Times New Roman" w:cs="Times New Roman"/>
          <w:color w:val="000000"/>
          <w:sz w:val="16"/>
          <w:szCs w:val="16"/>
          <w:lang w:val="pt-BR"/>
        </w:rPr>
      </w:pPr>
      <w:r w:rsidRPr="00D5464D">
        <w:rPr>
          <w:rFonts w:eastAsia="Times New Roman" w:cs="Times New Roman"/>
          <w:color w:val="000000"/>
          <w:sz w:val="16"/>
          <w:szCs w:val="16"/>
          <w:lang w:val="pt-BR"/>
        </w:rPr>
        <w:t xml:space="preserve">  a) A servidão por dividas, isto é, o estado ou a condição resultante do fato de que um devedor se haja comprometido a fornecer, em garantia de uma dívida, seus serviços pessoais ou os de alguém sobre o qual tenha autoridade, se o valor desses serviços não for equitativamente avaliado no ato da liquidação de dívida ou se a duração desses serviços não for limitada nem sua natureza definida;</w:t>
      </w:r>
    </w:p>
    <w:p w14:paraId="5EDCB473" w14:textId="4F1A0B88" w:rsidR="00AF210B" w:rsidRPr="00D5464D" w:rsidRDefault="00AF210B" w:rsidP="002A0C2B">
      <w:pPr>
        <w:shd w:val="clear" w:color="auto" w:fill="FFFFFF"/>
        <w:spacing w:after="20"/>
        <w:jc w:val="both"/>
        <w:outlineLvl w:val="2"/>
        <w:rPr>
          <w:rFonts w:eastAsia="Times New Roman" w:cs="Times New Roman"/>
          <w:color w:val="000000"/>
          <w:sz w:val="16"/>
          <w:szCs w:val="16"/>
          <w:lang w:val="pt-BR"/>
        </w:rPr>
      </w:pPr>
      <w:r w:rsidRPr="00D5464D">
        <w:rPr>
          <w:rFonts w:eastAsia="Times New Roman" w:cs="Times New Roman"/>
          <w:color w:val="000000"/>
          <w:sz w:val="16"/>
          <w:szCs w:val="16"/>
          <w:lang w:val="pt-BR"/>
        </w:rPr>
        <w:t xml:space="preserve">  b) a servidão isto é, a condição de qualquer um que seja obrigado pela lei, pelo costume ou por um acordo, a viver e trabalhar numa terra pertencente a outra pessoa e a fornecer a essa outra pessoa, contra remuneração ou gratuitamente, determinados serviços, sem poder mudar sua condição.</w:t>
      </w:r>
    </w:p>
    <w:p w14:paraId="2700F5AE" w14:textId="261C1888" w:rsidR="00AF210B" w:rsidRPr="00D5464D" w:rsidRDefault="00AF210B" w:rsidP="002A0C2B">
      <w:pPr>
        <w:shd w:val="clear" w:color="auto" w:fill="FFFFFF"/>
        <w:spacing w:after="20"/>
        <w:jc w:val="both"/>
        <w:outlineLvl w:val="2"/>
        <w:rPr>
          <w:rFonts w:eastAsia="Times New Roman" w:cs="Times New Roman"/>
          <w:color w:val="000000"/>
          <w:sz w:val="16"/>
          <w:szCs w:val="16"/>
          <w:lang w:val="pt-BR"/>
        </w:rPr>
      </w:pPr>
      <w:r w:rsidRPr="00D5464D">
        <w:rPr>
          <w:rFonts w:eastAsia="Times New Roman" w:cs="Times New Roman"/>
          <w:color w:val="000000"/>
          <w:sz w:val="16"/>
          <w:szCs w:val="16"/>
          <w:lang w:val="pt-BR"/>
        </w:rPr>
        <w:t xml:space="preserve">  c) Toda instituição ou prática em virtude da qual:</w:t>
      </w:r>
    </w:p>
    <w:p w14:paraId="5D89AB56" w14:textId="34AAA0D6" w:rsidR="00AF210B" w:rsidRPr="00D5464D" w:rsidRDefault="00AF210B" w:rsidP="002A0C2B">
      <w:pPr>
        <w:shd w:val="clear" w:color="auto" w:fill="FFFFFF"/>
        <w:spacing w:after="20"/>
        <w:jc w:val="both"/>
        <w:outlineLvl w:val="2"/>
        <w:rPr>
          <w:rFonts w:eastAsia="Times New Roman" w:cs="Times New Roman"/>
          <w:color w:val="000000"/>
          <w:sz w:val="16"/>
          <w:szCs w:val="16"/>
          <w:lang w:val="pt-BR"/>
        </w:rPr>
      </w:pPr>
      <w:r w:rsidRPr="00D5464D">
        <w:rPr>
          <w:rFonts w:eastAsia="Times New Roman" w:cs="Times New Roman"/>
          <w:color w:val="000000"/>
          <w:sz w:val="16"/>
          <w:szCs w:val="16"/>
          <w:lang w:val="pt-BR"/>
        </w:rPr>
        <w:t xml:space="preserve">  I - Uma mulher é, sem que tenha o direito de recusa, prometida ou dada em casamento, mediante remuneração em dinheiro ou espécie entregue a seus pais, tutor, família ou a qualquer outra pessoa ou grupo de pessoas;</w:t>
      </w:r>
    </w:p>
    <w:p w14:paraId="6F29DF29" w14:textId="1609B295" w:rsidR="00AF210B" w:rsidRPr="00D5464D" w:rsidRDefault="00AF210B" w:rsidP="002A0C2B">
      <w:pPr>
        <w:shd w:val="clear" w:color="auto" w:fill="FFFFFF"/>
        <w:spacing w:after="20"/>
        <w:jc w:val="both"/>
        <w:outlineLvl w:val="2"/>
        <w:rPr>
          <w:rFonts w:eastAsia="Times New Roman" w:cs="Times New Roman"/>
          <w:color w:val="000000"/>
          <w:sz w:val="16"/>
          <w:szCs w:val="16"/>
          <w:lang w:val="pt-BR"/>
        </w:rPr>
      </w:pPr>
      <w:r w:rsidRPr="00D5464D">
        <w:rPr>
          <w:rFonts w:eastAsia="Times New Roman" w:cs="Times New Roman"/>
          <w:color w:val="000000"/>
          <w:sz w:val="16"/>
          <w:szCs w:val="16"/>
          <w:lang w:val="pt-BR"/>
        </w:rPr>
        <w:t xml:space="preserve">  II - O marido de uma mulher, a família ou o clã deste tem o direito de cedê-la a um terceiro, a título oneroso ou não;</w:t>
      </w:r>
    </w:p>
    <w:p w14:paraId="5870F693" w14:textId="26F54EFC" w:rsidR="00AF210B" w:rsidRPr="00D5464D" w:rsidRDefault="00AF210B" w:rsidP="002A0C2B">
      <w:pPr>
        <w:shd w:val="clear" w:color="auto" w:fill="FFFFFF"/>
        <w:spacing w:after="20"/>
        <w:jc w:val="both"/>
        <w:outlineLvl w:val="2"/>
        <w:rPr>
          <w:rFonts w:eastAsia="Times New Roman" w:cs="Times New Roman"/>
          <w:color w:val="000000"/>
          <w:sz w:val="16"/>
          <w:szCs w:val="16"/>
          <w:lang w:val="pt-BR"/>
        </w:rPr>
      </w:pPr>
      <w:r w:rsidRPr="00D5464D">
        <w:rPr>
          <w:rFonts w:eastAsia="Times New Roman" w:cs="Times New Roman"/>
          <w:color w:val="000000"/>
          <w:sz w:val="16"/>
          <w:szCs w:val="16"/>
          <w:lang w:val="pt-BR"/>
        </w:rPr>
        <w:t xml:space="preserve">  III - A mulher pode, por morte do marido, ser transmitida por sucessão a outra pessoa;</w:t>
      </w:r>
    </w:p>
    <w:p w14:paraId="57F73F2F" w14:textId="7B39F41B" w:rsidR="00AF210B" w:rsidRPr="00D5464D" w:rsidRDefault="00AF210B" w:rsidP="002A0C2B">
      <w:pPr>
        <w:shd w:val="clear" w:color="auto" w:fill="FFFFFF"/>
        <w:spacing w:after="20"/>
        <w:jc w:val="both"/>
        <w:outlineLvl w:val="2"/>
        <w:rPr>
          <w:lang w:val="pt-BR"/>
        </w:rPr>
      </w:pPr>
      <w:r w:rsidRPr="00D5464D">
        <w:rPr>
          <w:rFonts w:eastAsia="Times New Roman" w:cs="Times New Roman"/>
          <w:color w:val="000000"/>
          <w:sz w:val="16"/>
          <w:szCs w:val="16"/>
          <w:lang w:val="pt-BR"/>
        </w:rPr>
        <w:t xml:space="preserve">  d) Toda instituição ou prática em virtude da qual uma criança ou um adolescente de menos de dezoito anos é entregue, quer por seu pais ou um deles, quer por seu tutor, a um terceiro, mediante remuneração ou sem ela, com o fim da exploração da pessoa ou do trabalho da referida criança ou adolescente.</w:t>
      </w:r>
    </w:p>
  </w:footnote>
  <w:footnote w:id="369">
    <w:p w14:paraId="433FC5BE" w14:textId="55A436DB" w:rsidR="00AF210B" w:rsidRPr="00D5464D" w:rsidRDefault="00AF210B" w:rsidP="002A0C2B">
      <w:pPr>
        <w:pStyle w:val="Textonotapie"/>
        <w:tabs>
          <w:tab w:val="clear" w:pos="4419"/>
          <w:tab w:val="clear" w:pos="8838"/>
          <w:tab w:val="right" w:pos="0"/>
        </w:tabs>
        <w:spacing w:after="20"/>
        <w:rPr>
          <w:bCs/>
          <w:iCs/>
          <w:lang w:val="pt-BR"/>
        </w:rPr>
      </w:pPr>
      <w:r w:rsidRPr="00D5464D">
        <w:rPr>
          <w:rStyle w:val="Refdenotaalpie"/>
          <w:szCs w:val="16"/>
        </w:rPr>
        <w:footnoteRef/>
      </w:r>
      <w:r w:rsidRPr="00D5464D">
        <w:rPr>
          <w:lang w:val="pt-BR"/>
        </w:rPr>
        <w:t xml:space="preserve"> </w:t>
      </w:r>
      <w:r w:rsidRPr="00D5464D">
        <w:rPr>
          <w:bCs/>
          <w:lang w:val="pt-BR"/>
        </w:rPr>
        <w:t>Convenção Suplementar sobre a Abolição da Escravatura, do Tráfico de Escravos e das Instituições e Práticas Análogas à Escravidão</w:t>
      </w:r>
      <w:r w:rsidRPr="00D5464D">
        <w:rPr>
          <w:lang w:val="pt-BR"/>
        </w:rPr>
        <w:t>, artigo</w:t>
      </w:r>
      <w:r w:rsidRPr="00D5464D">
        <w:rPr>
          <w:bCs/>
          <w:iCs/>
          <w:lang w:val="pt-BR"/>
        </w:rPr>
        <w:t xml:space="preserve"> 7: Para os fins da presente Convenção: a) "Escravidão", tal como foi definida na Convenção sobre a Escravidão de 1926, é o estado ou a condição de um indivíduo sobre o qual se exercem todos ou parte os poderes atribuídos ao direito de propriedade e "escravo" é o indivíduo em tal estado ou condição; b) "Pessoa de condição servil" é a que se encontra no estado ou condição que resulta de alguma das instituições ou práticas mencionadas no artigo primeiro da presente Convenção; c) "Tráfico de escravos" significa e compreende todo ato de captura, aquisição ou cessão de uma pessoa com a intenção de escravizá-la; todo ato de um escravo para vendê-lo ou trocá-lo; todo ato de cessão por venda ou troca, de uma pessoa adquirida para ser vendida ou trocada, assim como, em geral, todo ato de comércio ou transporte de escravos, seja qual for o meio de transporte empregado.</w:t>
      </w:r>
    </w:p>
  </w:footnote>
  <w:footnote w:id="370">
    <w:p w14:paraId="0091D16F" w14:textId="0F0A4778"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Declaração Universal de Direitos Humanos, artigo 4: “Ninguém será́ mantido em escravidão ou servidão; a escravidão e o tráfico de escravos serão proibidos em todas as suas formas.”</w:t>
      </w:r>
    </w:p>
  </w:footnote>
  <w:footnote w:id="371">
    <w:p w14:paraId="751C46C5" w14:textId="46F3B9DA"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Pacto Internacional de Direitos Civis e Políticos, artigo 8: “1. Ninguém poderá ser submetido à escravidão; a escravidão e o tráfico de escravos, em todos as suas formas, ficam proibidos. 2. Ninguém poderá ser submetido à servidão. 3. a) Ninguém poderá ser obrigado a executar trabalhos forçados ou obrigatórios […]”.</w:t>
      </w:r>
    </w:p>
  </w:footnote>
  <w:footnote w:id="372">
    <w:p w14:paraId="58D3DD4A" w14:textId="33517713"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Convenção Europeia de Direitos do Homem, artigo 4: “Proibição da escravatura e do trabalho forçado. 1. Ninguém poderá ser mantido em escravidão ou servidão. 2. Ninguém pode ser constrangido a realizar um trabalho forçado ou obrigatório”.</w:t>
      </w:r>
    </w:p>
  </w:footnote>
  <w:footnote w:id="373">
    <w:p w14:paraId="52DD50A6" w14:textId="0E0FD03D"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Carta Africana de Direitos Humanos e dos Povos, artigo 5: “Todo indivíduo tem direito ao respeito da dignidade inerente à pessoa humana e ao reconhecimento da sua personalidade jurídica. Todas as formas de exploração e de aviltamento do homem, nomeadamente a escravatura, o tráfico de pessoas, a tortura física ou moral e as penas ou tratamentos cruéis, desumanos ou degradantes são proibidos.”</w:t>
      </w:r>
    </w:p>
  </w:footnote>
  <w:footnote w:id="374">
    <w:p w14:paraId="0F6BD84F" w14:textId="2E8D47D9"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OIT, Convenção nº 182 sobre a Proibição das Piores Formas de Trabalho Infantil e a Ação Imediata para a sua Eliminação, artigo 3: “Para efeitos da presente Convenção, a expressão “as piores formas de trabalho infantil” abrange: a) todas as formas de escravidão ou práticas análogas à escravidão, tais como a venda e tráfico de crianças, a servidão por dívidas e a condição de servo e o trabalho forçado ou obrigatório, inclusive o recrutamento forçado ou obrigatório de crianças para serem utilizadas em conflitos armados […]”.</w:t>
      </w:r>
    </w:p>
  </w:footnote>
  <w:footnote w:id="375">
    <w:p w14:paraId="375606AC" w14:textId="3669633E"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OIT, Convenção nº 105 concernente à abolição do trabalho forçado, 1957, Preâmbulo</w:t>
      </w:r>
      <w:r w:rsidRPr="00D5464D">
        <w:rPr>
          <w:shd w:val="clear" w:color="auto" w:fill="FFFFFF"/>
          <w:lang w:val="pt-BR"/>
        </w:rPr>
        <w:t>.</w:t>
      </w:r>
    </w:p>
  </w:footnote>
  <w:footnote w:id="376">
    <w:p w14:paraId="7A4AC242" w14:textId="184BDAA1" w:rsidR="00AF210B" w:rsidRPr="00D5464D" w:rsidRDefault="00AF210B" w:rsidP="002A0C2B">
      <w:pPr>
        <w:pStyle w:val="Textonotapie"/>
        <w:tabs>
          <w:tab w:val="clear" w:pos="4419"/>
          <w:tab w:val="clear" w:pos="8838"/>
          <w:tab w:val="right" w:pos="0"/>
        </w:tabs>
        <w:spacing w:after="20"/>
        <w:rPr>
          <w:b/>
          <w:lang w:val="pt-BR"/>
        </w:rPr>
      </w:pPr>
      <w:r w:rsidRPr="00D5464D">
        <w:rPr>
          <w:rStyle w:val="Refdenotaalpie"/>
          <w:szCs w:val="16"/>
        </w:rPr>
        <w:footnoteRef/>
      </w:r>
      <w:r w:rsidRPr="00D5464D">
        <w:rPr>
          <w:lang w:val="pt-BR"/>
        </w:rPr>
        <w:t xml:space="preserve"> Estatuto do Tribunal Militar Internacional de Nuremberg, 6 de outubro de 1945, artigo 6.c:</w:t>
      </w:r>
      <w:r w:rsidRPr="00D5464D">
        <w:rPr>
          <w:b/>
          <w:lang w:val="pt-BR"/>
        </w:rPr>
        <w:t xml:space="preserve"> </w:t>
      </w:r>
      <w:r w:rsidRPr="00D5464D">
        <w:rPr>
          <w:lang w:val="pt-BR"/>
        </w:rPr>
        <w:t>“O Tribunal estabelecido pelo Acordo mencionado no Artigo 1 do presente documento para o julgamento e condenação dos principais criminosos de guerra do Eixo Europeu estará facultado a julgar e condenar aquelas pessoas que, atuando na defesa dos interesses dos países do Eixo Europeu, cometeram os delitos que constam a seguir, seja individualmente ou como membros de organizações: Quaisquer dos atos que constam a seguir são crimes que recaem sob a competência do Tribunal a respeito dos quais terá responsabilidade pessoal: […] c) CRIMES CONTRA A HUMANIDADE: A saber, assassinato, extermínio, escravização, deportação e outros atos desumanos cometidos contra a população civil antes da guerra ou durante a mesma; a perseguição por motivos políticos, raciais ou religiosos em execução dos crimes que sejam de competência do Tribunal ou em relação aos mesmos, constituam ou não uma violação da legislação interna do país onde foram perpetrados”. (tradução da Secretaria)</w:t>
      </w:r>
    </w:p>
  </w:footnote>
  <w:footnote w:id="377">
    <w:p w14:paraId="210B4CA6" w14:textId="2A3091B6" w:rsidR="00AF210B" w:rsidRPr="00D5464D" w:rsidRDefault="00AF210B" w:rsidP="002A0C2B">
      <w:pPr>
        <w:pStyle w:val="Textonotapie"/>
        <w:tabs>
          <w:tab w:val="clear" w:pos="4419"/>
          <w:tab w:val="clear" w:pos="8838"/>
          <w:tab w:val="right" w:pos="0"/>
        </w:tabs>
        <w:spacing w:after="20"/>
      </w:pPr>
      <w:r w:rsidRPr="00D5464D">
        <w:rPr>
          <w:rStyle w:val="Refdenotaalpie"/>
          <w:szCs w:val="16"/>
        </w:rPr>
        <w:footnoteRef/>
      </w:r>
      <w:r w:rsidRPr="00D5464D">
        <w:rPr>
          <w:lang w:val="pt-BR"/>
        </w:rPr>
        <w:t xml:space="preserve"> Estatuto do Tribunal Militar Internacional para o Julgamento dos Principais Criminosos de Guerra no Extremo Oriente (Tribunal Militar Internacional de Tóquio), 19 de janeiro de 1946, artigo 5: “Jurisdiction Over Persons and Offenses. </w:t>
      </w:r>
      <w:r w:rsidRPr="00D5464D">
        <w:t xml:space="preserve">The Tribunal shall have the power to try and punish Far Eastern war criminals who as individuals or as members of organizations are charged with offenses which include Crimes against Peace. The following acts, or any of them, are crimes coming within the jurisdiction of the Tribunal for which there shall be individual responsibility: […] c. Crimes Against Humanity: Namely, murder, extermination, enslavement, deportation, and other inhumane acts committed against any civilian population, before or during the war, or persecutions on political or racial grounds in execution of or in connection with any crime within the jurisdiction of the Tribunal, whether or not in violation of the domestic law of the country where perpetrated. Leaders, organizers, instigators and accomplices participating in the formulation or execution of a common plan or conspiracy to commit any of the foregoing crimes are responsible for all acts performed by any person in execution of such plan” (original em inglês). </w:t>
      </w:r>
    </w:p>
  </w:footnote>
  <w:footnote w:id="378">
    <w:p w14:paraId="49883AB8" w14:textId="5571AFB4" w:rsidR="00AF210B" w:rsidRPr="00D5464D" w:rsidRDefault="00AF210B" w:rsidP="002A0C2B">
      <w:pPr>
        <w:pStyle w:val="Textonotapie"/>
        <w:tabs>
          <w:tab w:val="clear" w:pos="4419"/>
          <w:tab w:val="clear" w:pos="8838"/>
          <w:tab w:val="right" w:pos="0"/>
        </w:tabs>
        <w:spacing w:after="20"/>
        <w:rPr>
          <w:b/>
          <w:bCs/>
          <w:lang w:val="pt-BR"/>
        </w:rPr>
      </w:pPr>
      <w:r w:rsidRPr="00D5464D">
        <w:rPr>
          <w:rStyle w:val="Refdenotaalpie"/>
          <w:szCs w:val="16"/>
        </w:rPr>
        <w:footnoteRef/>
      </w:r>
      <w:r w:rsidRPr="00D5464D">
        <w:rPr>
          <w:lang w:val="pt-BR"/>
        </w:rPr>
        <w:t xml:space="preserve"> </w:t>
      </w:r>
      <w:r w:rsidRPr="00D5464D">
        <w:rPr>
          <w:bCs/>
          <w:lang w:val="pt-BR"/>
        </w:rPr>
        <w:t xml:space="preserve">Protocolo II Adicional às Convenções de Genebra de 1949 relativo à proteção das vítimas dos conflitos armados não internacionais, 1977, artigo 4.2.f. Disponível em: </w:t>
      </w:r>
      <w:r w:rsidRPr="00D5464D">
        <w:rPr>
          <w:b/>
          <w:bCs/>
          <w:lang w:val="pt-BR"/>
        </w:rPr>
        <w:t xml:space="preserve"> </w:t>
      </w:r>
      <w:r w:rsidRPr="00D5464D">
        <w:rPr>
          <w:lang w:val="pt-BR"/>
        </w:rPr>
        <w:t>https://www.icrc.org/spa/resources/documents/misc/protocolo-ii.htm.</w:t>
      </w:r>
    </w:p>
  </w:footnote>
  <w:footnote w:id="379">
    <w:p w14:paraId="0A418A73" w14:textId="774EF75C"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Estatuto do Tribunal Internacional para Julgar aos Supostos Responsáveis por Graves Violações ao Direito Internacional Humanitário cometidas no Território da antiga Iugoslávia. Disponível em: https://www.icrc.org/spa/resources/documents/misc/treaty-1993-statute-tribunal-former-Iugoslávia-5tdm74.htm.</w:t>
      </w:r>
    </w:p>
  </w:footnote>
  <w:footnote w:id="380">
    <w:p w14:paraId="0F691CF2" w14:textId="71A686C9"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Estatuto do Tribunal Internacional para Ruanda, art. 3.c. Disponível em: https://www.icrc.org/spa/resources/documents/misc/treaty-1994-statute-tribunal-rwanda-5tdmhw.htm; Estatuto do Tribunal Especial para Serra Leoa, art. 2.c. Disponível em: http://www.rscsl.org/Documents/scsl-statute.pdf.</w:t>
      </w:r>
    </w:p>
  </w:footnote>
  <w:footnote w:id="381">
    <w:p w14:paraId="4E88281C" w14:textId="4C37D1B4"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Estatuto de Roma da Corte Penal Internacional, 1998, artigo 7.1: “Crimes contra a Humanidade. 1. Para os efeitos do presente Estatuto, entende-se por "crime contra a humanidade", qualquer um dos atos seguintes, quando cometido no quadro de um ataque, generalizado ou sistemático, contra qualquer população civil, havendo conhecimento desse ataque: […] c) Escravidão […] Artigo 7.2: “2. Para efeitos do parágrafo 1</w:t>
      </w:r>
      <w:r w:rsidRPr="00D5464D">
        <w:rPr>
          <w:vertAlign w:val="superscript"/>
          <w:lang w:val="pt-BR"/>
        </w:rPr>
        <w:t>o</w:t>
      </w:r>
      <w:r w:rsidRPr="00D5464D">
        <w:rPr>
          <w:lang w:val="pt-BR"/>
        </w:rPr>
        <w:t>: […] c) Por "escravidão" entende-se o exercício, relativamente a uma pessoa, de um poder ou de um conjunto de poderes que traduzam um direito de propriedade sobre uma pessoa, incluindo o exercício desse poder no âmbito do tráfico de pessoas, em particular mulheres e crianças […]”.</w:t>
      </w:r>
    </w:p>
  </w:footnote>
  <w:footnote w:id="382">
    <w:p w14:paraId="58779CDA" w14:textId="5E8C42C4"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Comissão de Direito Internacional, Projeto de Código de Crimes contra a Paz e a Segurança da Humanidade, art. 18.d. Disponível em: http://legal.un.org/docs/?path=../ilc/texts/instruments/english/draft_articles/7_4_1996.pdf&amp;lang=EF.</w:t>
      </w:r>
    </w:p>
  </w:footnote>
  <w:footnote w:id="383">
    <w:p w14:paraId="7FC9397F" w14:textId="48DF6EB0"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Comissão de Direito Internacional, Texto dos Projetos de Artigo sobre os Crimes contra a Humanidade, art. 3.2.c. Disponível em: http://legal.un.org/docs/?path=../ilc/reports/2015/spanish/chp7.pdf&amp;lang=EFSRAC.</w:t>
      </w:r>
    </w:p>
  </w:footnote>
  <w:footnote w:id="384">
    <w:p w14:paraId="65AFC953" w14:textId="0823E6F5"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TPIY, </w:t>
      </w:r>
      <w:r w:rsidRPr="00D5464D">
        <w:rPr>
          <w:i/>
          <w:lang w:val="pt-BR"/>
        </w:rPr>
        <w:t xml:space="preserve">Caso Promotor Vs. Dragoljub Kunarac, Radomir Kovac e Zoran Vukovic </w:t>
      </w:r>
      <w:r w:rsidRPr="00D5464D">
        <w:rPr>
          <w:lang w:val="pt-BR"/>
        </w:rPr>
        <w:t xml:space="preserve">(doravante denominado </w:t>
      </w:r>
      <w:r w:rsidRPr="00D5464D">
        <w:rPr>
          <w:i/>
          <w:lang w:val="pt-BR"/>
        </w:rPr>
        <w:t>Caso Promotor Vs. Kunarac</w:t>
      </w:r>
      <w:r w:rsidRPr="00D5464D">
        <w:rPr>
          <w:lang w:val="pt-BR"/>
        </w:rPr>
        <w:t>), nº IT-96-23. Câmara de 1ª Instância, Sentença de 22 de fevereiro de 2001; e nº IT-96-23-A, Câmara de Apelações, Sentença de12 de junho de 2002.</w:t>
      </w:r>
    </w:p>
  </w:footnote>
  <w:footnote w:id="385">
    <w:p w14:paraId="23CB6FAA" w14:textId="0E952B9A"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TPIY, </w:t>
      </w:r>
      <w:r w:rsidRPr="00D5464D">
        <w:rPr>
          <w:i/>
          <w:lang w:val="pt-BR"/>
        </w:rPr>
        <w:t>Caso Promotor Vs. Kunarac</w:t>
      </w:r>
      <w:r w:rsidRPr="00D5464D">
        <w:rPr>
          <w:lang w:val="pt-BR"/>
        </w:rPr>
        <w:t xml:space="preserve">, Sentença de 22 de fevereiro de 2001, par. 542. </w:t>
      </w:r>
    </w:p>
  </w:footnote>
  <w:footnote w:id="386">
    <w:p w14:paraId="4E877F8F" w14:textId="4855535D"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TPIY, </w:t>
      </w:r>
      <w:r w:rsidRPr="00D5464D">
        <w:rPr>
          <w:i/>
          <w:lang w:val="pt-BR"/>
        </w:rPr>
        <w:t>Caso Promotor Vs. Kunarac</w:t>
      </w:r>
      <w:r w:rsidRPr="00D5464D">
        <w:rPr>
          <w:lang w:val="pt-BR"/>
        </w:rPr>
        <w:t xml:space="preserve">, Sentença de 12 de junho de 2012, par. 117. </w:t>
      </w:r>
    </w:p>
  </w:footnote>
  <w:footnote w:id="387">
    <w:p w14:paraId="3F3570A2" w14:textId="094A0E0C"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TPIY, </w:t>
      </w:r>
      <w:r w:rsidRPr="00D5464D">
        <w:rPr>
          <w:i/>
          <w:lang w:val="pt-BR"/>
        </w:rPr>
        <w:t>Caso Promotor Vs. Kunarac</w:t>
      </w:r>
      <w:r w:rsidRPr="00D5464D">
        <w:rPr>
          <w:lang w:val="pt-BR"/>
        </w:rPr>
        <w:t xml:space="preserve">, Sentença de 12 de junho de 2012, par. 117. </w:t>
      </w:r>
    </w:p>
  </w:footnote>
  <w:footnote w:id="388">
    <w:p w14:paraId="002ECEF9" w14:textId="36D6452A"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TPIY, </w:t>
      </w:r>
      <w:r w:rsidRPr="00D5464D">
        <w:rPr>
          <w:i/>
          <w:lang w:val="pt-BR"/>
        </w:rPr>
        <w:t>Caso</w:t>
      </w:r>
      <w:r w:rsidRPr="00D5464D">
        <w:rPr>
          <w:lang w:val="pt-BR"/>
        </w:rPr>
        <w:t xml:space="preserve"> </w:t>
      </w:r>
      <w:r w:rsidRPr="00D5464D">
        <w:rPr>
          <w:i/>
          <w:iCs/>
          <w:lang w:val="pt-BR"/>
        </w:rPr>
        <w:t xml:space="preserve">Promotor Vs. Milorad Krnojelac </w:t>
      </w:r>
      <w:r w:rsidRPr="00D5464D">
        <w:rPr>
          <w:iCs/>
          <w:lang w:val="pt-BR"/>
        </w:rPr>
        <w:t xml:space="preserve">(doravante denominado </w:t>
      </w:r>
      <w:r w:rsidRPr="00D5464D">
        <w:rPr>
          <w:i/>
          <w:iCs/>
          <w:lang w:val="pt-BR"/>
        </w:rPr>
        <w:t>Caso Promotor Vs. Krnojelac</w:t>
      </w:r>
      <w:r w:rsidRPr="00D5464D">
        <w:rPr>
          <w:iCs/>
          <w:lang w:val="pt-BR"/>
        </w:rPr>
        <w:t>)</w:t>
      </w:r>
      <w:r w:rsidRPr="00D5464D">
        <w:rPr>
          <w:i/>
          <w:iCs/>
          <w:lang w:val="pt-BR"/>
        </w:rPr>
        <w:t xml:space="preserve">, </w:t>
      </w:r>
      <w:r w:rsidRPr="00D5464D">
        <w:rPr>
          <w:iCs/>
          <w:lang w:val="pt-BR"/>
        </w:rPr>
        <w:t>nº</w:t>
      </w:r>
      <w:r w:rsidRPr="00D5464D">
        <w:rPr>
          <w:i/>
          <w:iCs/>
          <w:lang w:val="pt-BR"/>
        </w:rPr>
        <w:t xml:space="preserve"> </w:t>
      </w:r>
      <w:r w:rsidRPr="00D5464D">
        <w:rPr>
          <w:lang w:val="pt-BR"/>
        </w:rPr>
        <w:t>IT-97-25-T, Câmara de 1</w:t>
      </w:r>
      <w:r w:rsidRPr="00D5464D">
        <w:rPr>
          <w:vertAlign w:val="superscript"/>
          <w:lang w:val="pt-BR"/>
        </w:rPr>
        <w:t>a</w:t>
      </w:r>
      <w:r w:rsidRPr="00D5464D">
        <w:rPr>
          <w:lang w:val="pt-BR"/>
        </w:rPr>
        <w:t xml:space="preserve"> Instância,</w:t>
      </w:r>
      <w:r w:rsidRPr="00D5464D" w:rsidDel="00C7686F">
        <w:rPr>
          <w:lang w:val="pt-BR"/>
        </w:rPr>
        <w:t xml:space="preserve"> </w:t>
      </w:r>
      <w:r w:rsidRPr="00D5464D">
        <w:rPr>
          <w:lang w:val="pt-BR"/>
        </w:rPr>
        <w:t>Sentença de 15 de março de 2002, par. 357.</w:t>
      </w:r>
    </w:p>
  </w:footnote>
  <w:footnote w:id="389">
    <w:p w14:paraId="1EC6CAF3" w14:textId="2CD50555"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TESL, </w:t>
      </w:r>
      <w:r w:rsidRPr="00D5464D">
        <w:rPr>
          <w:i/>
          <w:lang w:val="pt-BR"/>
        </w:rPr>
        <w:t>Caso</w:t>
      </w:r>
      <w:r w:rsidRPr="00D5464D">
        <w:rPr>
          <w:lang w:val="pt-BR"/>
        </w:rPr>
        <w:t xml:space="preserve"> </w:t>
      </w:r>
      <w:r w:rsidRPr="00D5464D">
        <w:rPr>
          <w:i/>
          <w:iCs/>
          <w:lang w:val="pt-BR"/>
        </w:rPr>
        <w:t>Promotor v. Sesay, Kallon and Gbao</w:t>
      </w:r>
      <w:r w:rsidRPr="00D5464D">
        <w:rPr>
          <w:lang w:val="pt-BR"/>
        </w:rPr>
        <w:t>, Caso nº TESS-04-15-T, Câmara de 1</w:t>
      </w:r>
      <w:r w:rsidRPr="00D5464D">
        <w:rPr>
          <w:vertAlign w:val="superscript"/>
          <w:lang w:val="pt-BR"/>
        </w:rPr>
        <w:t>a</w:t>
      </w:r>
      <w:r w:rsidRPr="00D5464D">
        <w:rPr>
          <w:lang w:val="pt-BR"/>
        </w:rPr>
        <w:t xml:space="preserve"> Instância, Sentença de 2 de março de 2009, par. 199.</w:t>
      </w:r>
    </w:p>
  </w:footnote>
  <w:footnote w:id="390">
    <w:p w14:paraId="4B64915D" w14:textId="714B1F4A"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TESL, </w:t>
      </w:r>
      <w:r w:rsidRPr="00D5464D">
        <w:rPr>
          <w:i/>
          <w:lang w:val="pt-BR"/>
        </w:rPr>
        <w:t>Caso</w:t>
      </w:r>
      <w:r w:rsidRPr="00D5464D">
        <w:rPr>
          <w:lang w:val="pt-BR"/>
        </w:rPr>
        <w:t xml:space="preserve"> </w:t>
      </w:r>
      <w:r w:rsidRPr="00D5464D">
        <w:rPr>
          <w:i/>
          <w:iCs/>
          <w:lang w:val="pt-BR"/>
        </w:rPr>
        <w:t>Promotor Vs. Brima, Kamara e Kanu</w:t>
      </w:r>
      <w:r w:rsidRPr="00D5464D">
        <w:rPr>
          <w:lang w:val="pt-BR"/>
        </w:rPr>
        <w:t>, nº TESS-04-16-T-628, Câmara de 1ª Instância. Sentença de 20 de junho de 2007, pars. 744 a 748.</w:t>
      </w:r>
    </w:p>
  </w:footnote>
  <w:footnote w:id="391">
    <w:p w14:paraId="6C2970C7" w14:textId="11A2E076"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TESL, </w:t>
      </w:r>
      <w:r w:rsidRPr="00D5464D">
        <w:rPr>
          <w:i/>
          <w:lang w:val="pt-BR"/>
        </w:rPr>
        <w:t>Caso</w:t>
      </w:r>
      <w:r w:rsidRPr="00D5464D">
        <w:rPr>
          <w:i/>
          <w:iCs/>
          <w:lang w:val="pt-BR"/>
        </w:rPr>
        <w:t xml:space="preserve"> Promotor Vs. Charles Taylor</w:t>
      </w:r>
      <w:r w:rsidRPr="00D5464D">
        <w:rPr>
          <w:lang w:val="pt-BR"/>
        </w:rPr>
        <w:t>, nº TESS-03-01-T, Câmara de 1ª Instância, Sentença de 18 de maio de 2012, par. 448.</w:t>
      </w:r>
    </w:p>
  </w:footnote>
  <w:footnote w:id="392">
    <w:p w14:paraId="0CD873E3" w14:textId="6E8886E9"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Tribunal de Justiça da CEEAO,</w:t>
      </w:r>
      <w:r w:rsidRPr="00D5464D">
        <w:rPr>
          <w:i/>
          <w:lang w:val="pt-BR"/>
        </w:rPr>
        <w:t xml:space="preserve"> Caso</w:t>
      </w:r>
      <w:r w:rsidRPr="00D5464D">
        <w:rPr>
          <w:lang w:val="pt-BR"/>
        </w:rPr>
        <w:t xml:space="preserve"> </w:t>
      </w:r>
      <w:r w:rsidRPr="00D5464D">
        <w:rPr>
          <w:i/>
          <w:lang w:val="pt-BR"/>
        </w:rPr>
        <w:t>Mme Hadijatou Mani Koraou Vs. República de Niger</w:t>
      </w:r>
      <w:r w:rsidRPr="00D5464D">
        <w:rPr>
          <w:lang w:val="pt-BR"/>
        </w:rPr>
        <w:t>, nº ECW/CCJ/JUD/06/08, Sentença de 27 de outubro de 2008.</w:t>
      </w:r>
    </w:p>
  </w:footnote>
  <w:footnote w:id="393">
    <w:p w14:paraId="66E28D06" w14:textId="4809F532"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Tribunal de Justiça da CEEAO, </w:t>
      </w:r>
      <w:r w:rsidRPr="00D5464D">
        <w:rPr>
          <w:i/>
          <w:lang w:val="pt-BR"/>
        </w:rPr>
        <w:t>Caso Mme Hadijatou Mani Koraou Vs. República de Niger</w:t>
      </w:r>
      <w:r w:rsidRPr="00D5464D">
        <w:rPr>
          <w:lang w:val="pt-BR"/>
        </w:rPr>
        <w:t xml:space="preserve">, Sentença de 27 de outubro de 2008, pars. 76 a 79. </w:t>
      </w:r>
    </w:p>
  </w:footnote>
  <w:footnote w:id="394">
    <w:p w14:paraId="1C491CE9" w14:textId="359FB777"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Cs/>
          <w:lang w:val="pt-BR"/>
        </w:rPr>
        <w:t>TEDH,</w:t>
      </w:r>
      <w:r w:rsidRPr="00D5464D">
        <w:rPr>
          <w:i/>
          <w:iCs/>
          <w:lang w:val="pt-BR"/>
        </w:rPr>
        <w:t xml:space="preserve"> Caso Siliadin Vs. França</w:t>
      </w:r>
      <w:r w:rsidRPr="00D5464D">
        <w:rPr>
          <w:lang w:val="pt-BR"/>
        </w:rPr>
        <w:t xml:space="preserve">, nº 73316/01, Sentença de 26 de julho de 2005, pars. 82 a 149. </w:t>
      </w:r>
    </w:p>
  </w:footnote>
  <w:footnote w:id="395">
    <w:p w14:paraId="3BE6E88B" w14:textId="0E46C205"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Cs/>
          <w:lang w:val="pt-BR"/>
        </w:rPr>
        <w:t>TEDH,</w:t>
      </w:r>
      <w:r w:rsidRPr="00D5464D">
        <w:rPr>
          <w:i/>
          <w:iCs/>
          <w:lang w:val="pt-BR"/>
        </w:rPr>
        <w:t xml:space="preserve"> Caso Siliadin Vs. França</w:t>
      </w:r>
      <w:r w:rsidRPr="00D5464D">
        <w:rPr>
          <w:lang w:val="pt-BR"/>
        </w:rPr>
        <w:t>, pars. 123 e 124.</w:t>
      </w:r>
    </w:p>
  </w:footnote>
  <w:footnote w:id="396">
    <w:p w14:paraId="2473E46E" w14:textId="1F50C25C"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Cs/>
          <w:lang w:val="pt-BR"/>
        </w:rPr>
        <w:t>TEDH,</w:t>
      </w:r>
      <w:r w:rsidRPr="00D5464D">
        <w:rPr>
          <w:i/>
          <w:iCs/>
          <w:lang w:val="pt-BR"/>
        </w:rPr>
        <w:t xml:space="preserve"> Caso Siliadin Vs. França</w:t>
      </w:r>
      <w:r w:rsidRPr="00D5464D">
        <w:rPr>
          <w:lang w:val="pt-BR"/>
        </w:rPr>
        <w:t>, pars. 126 e 127.</w:t>
      </w:r>
    </w:p>
  </w:footnote>
  <w:footnote w:id="397">
    <w:p w14:paraId="0D0F11D4" w14:textId="57F7EEC8"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TEDH, </w:t>
      </w:r>
      <w:r w:rsidRPr="00D5464D">
        <w:rPr>
          <w:i/>
          <w:iCs/>
          <w:lang w:val="pt-BR"/>
        </w:rPr>
        <w:t>Caso Rantsev Vs. Chipre e Rússia</w:t>
      </w:r>
      <w:r w:rsidRPr="00D5464D">
        <w:rPr>
          <w:lang w:val="pt-BR"/>
        </w:rPr>
        <w:t>, nº 25965/04, Sentença de 7 de janeiro de 2010, pars. 279 e 280.</w:t>
      </w:r>
    </w:p>
  </w:footnote>
  <w:footnote w:id="398">
    <w:p w14:paraId="162B9888" w14:textId="072DD44A"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Salas Extraordinárias nos Tribunais do Camboja para o Processamento de Crimes Cometidos durante o Período do Kampuchea Democrático, </w:t>
      </w:r>
      <w:r w:rsidRPr="00D5464D">
        <w:rPr>
          <w:i/>
          <w:lang w:val="pt-BR"/>
        </w:rPr>
        <w:t>Caso Duch,</w:t>
      </w:r>
      <w:r w:rsidRPr="00D5464D">
        <w:rPr>
          <w:lang w:val="pt-BR"/>
        </w:rPr>
        <w:t xml:space="preserve"> nº</w:t>
      </w:r>
      <w:r w:rsidRPr="00D5464D">
        <w:rPr>
          <w:i/>
          <w:lang w:val="pt-BR"/>
        </w:rPr>
        <w:t xml:space="preserve"> </w:t>
      </w:r>
      <w:r w:rsidRPr="00D5464D">
        <w:rPr>
          <w:lang w:val="pt-BR"/>
        </w:rPr>
        <w:t>001/18-07-2007/ECCC/SC, Câmara Corte Suprema, Sentença de 3 de fevereiro de 2012, pars. 117-167.</w:t>
      </w:r>
    </w:p>
  </w:footnote>
  <w:footnote w:id="399">
    <w:p w14:paraId="21875AD2" w14:textId="599852B2" w:rsidR="00AF210B" w:rsidRPr="00D5464D" w:rsidRDefault="00AF210B" w:rsidP="002A0C2B">
      <w:pPr>
        <w:pStyle w:val="Textonotapie"/>
        <w:tabs>
          <w:tab w:val="clear" w:pos="4419"/>
          <w:tab w:val="clear" w:pos="8838"/>
          <w:tab w:val="right" w:pos="0"/>
        </w:tabs>
        <w:spacing w:after="20"/>
        <w:rPr>
          <w:i/>
          <w:iCs/>
          <w:lang w:val="pt-BR"/>
        </w:rPr>
      </w:pPr>
      <w:r w:rsidRPr="00D5464D">
        <w:rPr>
          <w:rStyle w:val="Refdenotaalpie"/>
          <w:szCs w:val="16"/>
        </w:rPr>
        <w:footnoteRef/>
      </w:r>
      <w:r w:rsidRPr="00D5464D">
        <w:rPr>
          <w:lang w:val="pt-BR"/>
        </w:rPr>
        <w:t xml:space="preserve"> Comissão Africana de Direitos Humanos e dos Povos, </w:t>
      </w:r>
      <w:r w:rsidRPr="00D5464D">
        <w:rPr>
          <w:i/>
          <w:lang w:val="pt-BR"/>
        </w:rPr>
        <w:t>Caso Malawi African Association</w:t>
      </w:r>
      <w:r w:rsidRPr="00D5464D">
        <w:rPr>
          <w:lang w:val="pt-BR"/>
        </w:rPr>
        <w:t xml:space="preserve"> e </w:t>
      </w:r>
      <w:r w:rsidRPr="00D5464D">
        <w:rPr>
          <w:i/>
          <w:iCs/>
          <w:lang w:val="pt-BR"/>
        </w:rPr>
        <w:t xml:space="preserve">Outros Vs. Mauritânia, </w:t>
      </w:r>
      <w:r w:rsidRPr="00D5464D">
        <w:rPr>
          <w:lang w:val="pt-BR"/>
        </w:rPr>
        <w:t>Comunicações nº 54/91, 61/91, 98/93, 164/97-196/97 e 210/98 (2000), Decisão de 11 de maio de 2000,</w:t>
      </w:r>
      <w:r w:rsidRPr="00D5464D">
        <w:rPr>
          <w:i/>
          <w:iCs/>
          <w:lang w:val="pt-BR"/>
        </w:rPr>
        <w:t xml:space="preserve"> </w:t>
      </w:r>
      <w:r w:rsidRPr="00D5464D">
        <w:rPr>
          <w:lang w:val="pt-BR"/>
        </w:rPr>
        <w:t>pars. 132-135.</w:t>
      </w:r>
    </w:p>
  </w:footnote>
  <w:footnote w:id="400">
    <w:p w14:paraId="60B3F3B8" w14:textId="05159FEA"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Artigo 5: </w:t>
      </w:r>
      <w:r w:rsidRPr="00D5464D">
        <w:rPr>
          <w:bCs/>
          <w:iCs/>
          <w:lang w:val="pt-BR"/>
        </w:rPr>
        <w:t>“[t]odas as formas de exploração e aviltamento do homem, nomeadamente a escravatura, o tráfico de pessoas, a tortura física ou moral e as penas ou tratamentos cruéis, desumanos ou degradantes são proibidos”.</w:t>
      </w:r>
    </w:p>
  </w:footnote>
  <w:footnote w:id="401">
    <w:p w14:paraId="7299B3FB" w14:textId="593315C2"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Comitê CEDAW, UN Doc. A/55/38, Primeira Parte, 1</w:t>
      </w:r>
      <w:r w:rsidRPr="00D5464D">
        <w:rPr>
          <w:vertAlign w:val="superscript"/>
          <w:lang w:val="pt-BR"/>
        </w:rPr>
        <w:t>o</w:t>
      </w:r>
      <w:r w:rsidRPr="00D5464D">
        <w:rPr>
          <w:lang w:val="pt-BR"/>
        </w:rPr>
        <w:t xml:space="preserve"> de maio de 2000, par. 113: “O Comitê considera que o trabalho forçado da mulher é uma forma contemporânea de escravidão e uma negação de seus direitos”; Comitê CEDAW, UN Doc. A/57/38, Segunda Parte, 15 de setembro de 2002, par. 383: “O Comitê deseja indicar os aspectos gerais cada vez mais graves do tráfico de mulheres, que constitui grande parte do tráfico contemporâneo de pessoas, é uma forma de escravidão e contravém o artigo 6 da Convenção”. (tradução da Secretaria)</w:t>
      </w:r>
    </w:p>
  </w:footnote>
  <w:footnote w:id="402">
    <w:p w14:paraId="0D9A91BB" w14:textId="5C75661A" w:rsidR="00AF210B" w:rsidRPr="00D5464D" w:rsidRDefault="00AF210B" w:rsidP="002A0C2B">
      <w:pPr>
        <w:pStyle w:val="Textonotapie"/>
        <w:tabs>
          <w:tab w:val="clear" w:pos="4419"/>
          <w:tab w:val="clear" w:pos="8838"/>
          <w:tab w:val="right" w:pos="0"/>
        </w:tabs>
        <w:spacing w:after="20"/>
        <w:rPr>
          <w:b/>
          <w:lang w:val="pt-BR"/>
        </w:rPr>
      </w:pPr>
      <w:r w:rsidRPr="00D5464D">
        <w:rPr>
          <w:rStyle w:val="Refdenotaalpie"/>
          <w:szCs w:val="16"/>
        </w:rPr>
        <w:footnoteRef/>
      </w:r>
      <w:r w:rsidRPr="00D5464D">
        <w:rPr>
          <w:lang w:val="pt-BR"/>
        </w:rPr>
        <w:t xml:space="preserve"> Comitê de Direitos Humanos, Observações Finais sobre a Croácia, CCPR/CO/71/HRV, de 30 de abril de 2001: “O Estado Parte deveria adotar medidas apropriadas para combater essa prática [do tráfico de mulheres em seu território e através dele, especialmente, com fins de exploração sexual], que constitui uma violação de vários direitos previstos no Pacto, incluindo o direito a não ser submetido à escravidão ou à servidão, estabelecidos no artigo 8”. (tradução da Secretaria) </w:t>
      </w:r>
    </w:p>
  </w:footnote>
  <w:footnote w:id="403">
    <w:p w14:paraId="7DD57BFC" w14:textId="393A2663"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Grupo de Trabalho das Nações Unidas sobre Formas Contemporâneas de Escravidão. Relatório E/CN.4/Sub.2/1993/30, 23 de junho de 1993, par. 99; Relatório E/CN.4/Sub.2/1998/14, 6 de julho de 1998, par. 97.6.</w:t>
      </w:r>
    </w:p>
  </w:footnote>
  <w:footnote w:id="404">
    <w:p w14:paraId="02027693" w14:textId="33B0589A"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Relatora Especial das Nações Unidas sobre o Tráfico de Pessoas, especialmente Mulheres e Crianças, Relatório E/CN.4/2005/71, 22 de dezembro de 2004, par. 18.</w:t>
      </w:r>
    </w:p>
  </w:footnote>
  <w:footnote w:id="405">
    <w:p w14:paraId="338B9AFA" w14:textId="1DFDC255"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OHCHR, A Abolição da Escravidão e suas Formas Contemporâneas, David Weissbrodt e Liga contra a Escravidão, UN Doc. HR/PUB/02/4, 2002. Disponível em: http://www.ohchr.org/Documents/Publications/slaveryen.pdf.</w:t>
      </w:r>
    </w:p>
  </w:footnote>
  <w:footnote w:id="406">
    <w:p w14:paraId="0DC53DCB" w14:textId="5DA8C8A2"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CIDH, Comunidades Nativas: Situação do Povo indígena Guarani e Formas Contemporâneas de Escravidão no Chaco boliviano, Relatório OEA/Ser.L/V/II.Doc. 58, 2009.</w:t>
      </w:r>
    </w:p>
  </w:footnote>
  <w:footnote w:id="407">
    <w:p w14:paraId="62E05E79" w14:textId="7504CB22"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A chamada escravidão “chattel” corresponde ao que se compreendia como </w:t>
      </w:r>
      <w:r w:rsidRPr="00D5464D">
        <w:rPr>
          <w:iCs/>
          <w:lang w:val="pt-BR"/>
        </w:rPr>
        <w:t>“escravidão do bem móvel”, para fazer referência à escravidão clássica ou escravidão de direito, na qual, uma pessoa pertencia legalmente a outra. Ver Perícia escrita de Jean Allain (expediente de prova, folhas 14915 e 14920).</w:t>
      </w:r>
    </w:p>
  </w:footnote>
  <w:footnote w:id="408">
    <w:p w14:paraId="54953DF8" w14:textId="592C0D7A"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Convenção Suplementar de 1956, artigo 1.</w:t>
      </w:r>
    </w:p>
  </w:footnote>
  <w:footnote w:id="409">
    <w:p w14:paraId="7C773027" w14:textId="3CD268EF"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lang w:val="pt-BR"/>
        </w:rPr>
        <w:t xml:space="preserve">Perícia escrita de Jean Allain, folha 14929. </w:t>
      </w:r>
    </w:p>
  </w:footnote>
  <w:footnote w:id="410">
    <w:p w14:paraId="037F38F0" w14:textId="54383C0D"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Perícia escrita de Jean Allain, folha 14930; Corte Penal Internacional, Assembleia de Estados Partes, Elementos dos Crimes, Documento ICC-ASP/1/3, 9 de setembro de 2002, p. 117, 120, 141 e 151). </w:t>
      </w:r>
    </w:p>
  </w:footnote>
  <w:footnote w:id="411">
    <w:p w14:paraId="42B810E6" w14:textId="6954AE01"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Perícia escrita de Jean Allain, folha 14931; e Diretrizes Bellagio-Harvard de 2012 sobre Parâmetros Jurídicos da Escravidão, Diretriz nº 2. </w:t>
      </w:r>
    </w:p>
  </w:footnote>
  <w:footnote w:id="412">
    <w:p w14:paraId="2A6D2CDC" w14:textId="140B0B24"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TPIY, Caso </w:t>
      </w:r>
      <w:r w:rsidRPr="00D5464D">
        <w:rPr>
          <w:i/>
          <w:lang w:val="pt-BR"/>
        </w:rPr>
        <w:t>Promotor Vs. Kunarac</w:t>
      </w:r>
      <w:r w:rsidRPr="00D5464D">
        <w:rPr>
          <w:lang w:val="pt-BR"/>
        </w:rPr>
        <w:t xml:space="preserve">, Câmara de 1ª Instância, par. 542. </w:t>
      </w:r>
    </w:p>
  </w:footnote>
  <w:footnote w:id="413">
    <w:p w14:paraId="395EBD94" w14:textId="742E541C"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TPIY, </w:t>
      </w:r>
      <w:r w:rsidRPr="00D5464D">
        <w:rPr>
          <w:i/>
          <w:lang w:val="pt-BR"/>
        </w:rPr>
        <w:t>Caso</w:t>
      </w:r>
      <w:r w:rsidRPr="00D5464D">
        <w:rPr>
          <w:lang w:val="pt-BR"/>
        </w:rPr>
        <w:t xml:space="preserve"> </w:t>
      </w:r>
      <w:r w:rsidRPr="00D5464D">
        <w:rPr>
          <w:i/>
          <w:lang w:val="pt-BR"/>
        </w:rPr>
        <w:t>Promotor Vs. Kunarac</w:t>
      </w:r>
      <w:r w:rsidRPr="00D5464D">
        <w:rPr>
          <w:lang w:val="pt-BR"/>
        </w:rPr>
        <w:t xml:space="preserve">, Câmara de Apelações, par. 117; e TEDH, </w:t>
      </w:r>
      <w:r w:rsidRPr="00D5464D">
        <w:rPr>
          <w:i/>
          <w:lang w:val="pt-BR"/>
        </w:rPr>
        <w:t>Caso Rantsev Vs. Chipre e Rússia</w:t>
      </w:r>
      <w:r w:rsidRPr="00D5464D">
        <w:rPr>
          <w:lang w:val="pt-BR"/>
        </w:rPr>
        <w:t xml:space="preserve">, pars. 280 e 281. </w:t>
      </w:r>
    </w:p>
  </w:footnote>
  <w:footnote w:id="414">
    <w:p w14:paraId="029B9F73" w14:textId="0D261C7E"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TEDH, </w:t>
      </w:r>
      <w:r w:rsidRPr="00D5464D">
        <w:rPr>
          <w:i/>
          <w:lang w:val="pt-BR"/>
        </w:rPr>
        <w:t>Caso Siliadin Vs. França</w:t>
      </w:r>
      <w:r w:rsidRPr="00D5464D">
        <w:rPr>
          <w:lang w:val="pt-BR"/>
        </w:rPr>
        <w:t>, par. 124.</w:t>
      </w:r>
    </w:p>
  </w:footnote>
  <w:footnote w:id="415">
    <w:p w14:paraId="2740B999" w14:textId="713F1A4F"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Assim também entendeu a Câmara de Apelações do Tribunal Penal Ad Hoc Internacional para a antiga Iugoslávia, ao afirmar que: “117. </w:t>
      </w:r>
      <w:r w:rsidRPr="00D5464D">
        <w:t xml:space="preserve">The Appeals Chamber accepts the chief thesis of the Trial Chamber that the traditional concept of slavery, as defined in the 1926 Slavery Convention and often referred to as “chattel slavery”, has evolved to encompass various contemporary forms of slavery which are also based on the exercise of any or all of the powers attaching to the right of ownership. In the case of these various contemporary forms of slavery, the victim is not subject to the exercise of the more extreme rights of ownership associated with “chattel slavery”, but in all cases, as a result of the exercise of any or all of the powers attaching to the right of ownership, there is some destruction of the juridical personality; the destruction is greater in the case of “chattel slavery” but the difference is one of degree. The Appeals Chamber considers that, at the time relevant to the alleged crimes, these contemporary forms of slavery formed part of enslavement as a crime against humanity under customary international law.” </w:t>
      </w:r>
      <w:r w:rsidRPr="00D5464D">
        <w:rPr>
          <w:lang w:val="pt-BR"/>
        </w:rPr>
        <w:t xml:space="preserve">TPIY, </w:t>
      </w:r>
      <w:r w:rsidRPr="00D5464D">
        <w:rPr>
          <w:i/>
          <w:lang w:val="pt-BR"/>
        </w:rPr>
        <w:t>Caso</w:t>
      </w:r>
      <w:r w:rsidRPr="00D5464D">
        <w:rPr>
          <w:lang w:val="pt-BR"/>
        </w:rPr>
        <w:t xml:space="preserve"> </w:t>
      </w:r>
      <w:r w:rsidRPr="00D5464D">
        <w:rPr>
          <w:i/>
          <w:lang w:val="pt-BR"/>
        </w:rPr>
        <w:t>Promotor Vs. Kunarac</w:t>
      </w:r>
      <w:r w:rsidRPr="00D5464D">
        <w:rPr>
          <w:lang w:val="pt-BR"/>
        </w:rPr>
        <w:t xml:space="preserve">, Câmara de Apelações, par. 117. </w:t>
      </w:r>
    </w:p>
  </w:footnote>
  <w:footnote w:id="416">
    <w:p w14:paraId="791CEC9C" w14:textId="0039DAEF"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A servidão, isto é, a condição de qualquer um que seja obrigado pela lei, pelo costume ou por um acordo, a viver e trabalhar numa terra pertencente a outra pessoa e a fornecer a essa outra pessoa, contra remuneração ou gratuitamente, determinados serviços, sem poder mudar sua condição. Convenção de 1956, artigo 1.</w:t>
      </w:r>
    </w:p>
  </w:footnote>
  <w:footnote w:id="417">
    <w:p w14:paraId="65AE1F32" w14:textId="2B45885C"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A servidão por dívidas, isto é, o estado ou a condição resultante do fato de que um devedor se haja comprometido a fornecer, em garantia de uma dívida, seus serviços pessoais ou os de alguém sobre o qual tenha autoridade, se o valor desses serviços não for equitativamente avaliado no ato da liquidação de dívida ou se a duração desses serviços não for limitada nem sua natureza definida. Convenção de 1956, artigo 1.</w:t>
      </w:r>
    </w:p>
  </w:footnote>
  <w:footnote w:id="418">
    <w:p w14:paraId="026AC0E5" w14:textId="37DCA316"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Toda instituição ou prática em virtude da qual:</w:t>
      </w:r>
    </w:p>
    <w:p w14:paraId="6875678C" w14:textId="258D0485" w:rsidR="00AF210B" w:rsidRPr="00D5464D" w:rsidRDefault="00AF210B" w:rsidP="002A0C2B">
      <w:pPr>
        <w:pStyle w:val="Textonotapie"/>
        <w:tabs>
          <w:tab w:val="clear" w:pos="4419"/>
          <w:tab w:val="clear" w:pos="8838"/>
          <w:tab w:val="right" w:pos="0"/>
        </w:tabs>
        <w:spacing w:after="20"/>
        <w:rPr>
          <w:lang w:val="pt-BR"/>
        </w:rPr>
      </w:pPr>
      <w:r w:rsidRPr="00D5464D">
        <w:rPr>
          <w:lang w:val="pt-BR"/>
        </w:rPr>
        <w:t xml:space="preserve"> I - Uma mulher é, sem que tenha o direito de recusa, prometida ou dada em casamento, mediante remuneração em dinheiro ou espécie entregue a seus pais, tutor, família ou a qualquer outra pessoa ou grupo de pessoas;</w:t>
      </w:r>
    </w:p>
    <w:p w14:paraId="7B1257AC" w14:textId="57216AFD" w:rsidR="00AF210B" w:rsidRPr="00D5464D" w:rsidRDefault="00AF210B" w:rsidP="002A0C2B">
      <w:pPr>
        <w:pStyle w:val="Textonotapie"/>
        <w:tabs>
          <w:tab w:val="clear" w:pos="4419"/>
          <w:tab w:val="clear" w:pos="8838"/>
          <w:tab w:val="right" w:pos="0"/>
        </w:tabs>
        <w:spacing w:after="20"/>
        <w:rPr>
          <w:lang w:val="pt-BR"/>
        </w:rPr>
      </w:pPr>
      <w:r w:rsidRPr="00D5464D">
        <w:rPr>
          <w:lang w:val="pt-BR"/>
        </w:rPr>
        <w:t xml:space="preserve"> II - O marido de uma mulher, a família ou o clã deste tem o direito de cedê-la a um terceiro, a título oneroso ou não;</w:t>
      </w:r>
    </w:p>
    <w:p w14:paraId="033F52BA" w14:textId="0C9F5C3A" w:rsidR="00AF210B" w:rsidRPr="00D5464D" w:rsidRDefault="00AF210B" w:rsidP="002A0C2B">
      <w:pPr>
        <w:pStyle w:val="Textonotapie"/>
        <w:tabs>
          <w:tab w:val="clear" w:pos="4419"/>
          <w:tab w:val="clear" w:pos="8838"/>
          <w:tab w:val="right" w:pos="0"/>
        </w:tabs>
        <w:spacing w:after="20"/>
        <w:rPr>
          <w:lang w:val="pt-BR"/>
        </w:rPr>
      </w:pPr>
      <w:r w:rsidRPr="00D5464D">
        <w:rPr>
          <w:lang w:val="pt-BR"/>
        </w:rPr>
        <w:t xml:space="preserve"> III - A mulher pode, por morte do marido, ser transmitida por sucessão a outra pessoa;</w:t>
      </w:r>
    </w:p>
    <w:p w14:paraId="2EA7D917" w14:textId="58A1E4DA" w:rsidR="00AF210B" w:rsidRPr="00D5464D" w:rsidRDefault="00AF210B" w:rsidP="002A0C2B">
      <w:pPr>
        <w:pStyle w:val="Textonotapie"/>
        <w:tabs>
          <w:tab w:val="clear" w:pos="4419"/>
          <w:tab w:val="clear" w:pos="8838"/>
          <w:tab w:val="right" w:pos="0"/>
        </w:tabs>
        <w:spacing w:after="20"/>
        <w:rPr>
          <w:lang w:val="pt-BR"/>
        </w:rPr>
      </w:pPr>
      <w:r w:rsidRPr="00D5464D">
        <w:rPr>
          <w:lang w:val="pt-BR"/>
        </w:rPr>
        <w:t xml:space="preserve"> IV) Toda instituição ou prática em virtude da qual uma criança ou um adolescente de menos de dezoito anos é entregue, quer por seus pais ou um deles, quer por seu tutor, a um terceiro, mediante remuneração ou sem ela, com o fim da exploração da pessoa ou do trabalho da referida criança ou adolescente. Convenção de 1956, artigo 1.</w:t>
      </w:r>
    </w:p>
  </w:footnote>
  <w:footnote w:id="419">
    <w:p w14:paraId="78400E9C" w14:textId="409E590D"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TEDH, </w:t>
      </w:r>
      <w:r w:rsidRPr="00D5464D">
        <w:rPr>
          <w:i/>
          <w:lang w:val="pt-BR"/>
        </w:rPr>
        <w:t>Caso Siliadin Vs. França</w:t>
      </w:r>
      <w:r w:rsidRPr="00D5464D">
        <w:rPr>
          <w:lang w:val="pt-BR"/>
        </w:rPr>
        <w:t>, par. 123.</w:t>
      </w:r>
    </w:p>
  </w:footnote>
  <w:footnote w:id="420">
    <w:p w14:paraId="4C7D6CE9" w14:textId="2CCDA33F"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TEDH, </w:t>
      </w:r>
      <w:r w:rsidRPr="00D5464D">
        <w:rPr>
          <w:i/>
          <w:lang w:val="pt-BR"/>
        </w:rPr>
        <w:t>Caso C.N. e V. Vs. França</w:t>
      </w:r>
      <w:r w:rsidRPr="00D5464D">
        <w:rPr>
          <w:lang w:val="pt-BR"/>
        </w:rPr>
        <w:t>, nº 67724/09, Sentença de 11 de outubro de 2012, par. 91.</w:t>
      </w:r>
    </w:p>
  </w:footnote>
  <w:footnote w:id="421">
    <w:p w14:paraId="02C7F267" w14:textId="5874C302"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es-ES"/>
        </w:rPr>
        <w:t xml:space="preserve"> TEDH, </w:t>
      </w:r>
      <w:r w:rsidRPr="00D5464D">
        <w:rPr>
          <w:i/>
          <w:lang w:val="es-ES"/>
        </w:rPr>
        <w:t xml:space="preserve">Caso C.N. Vs. </w:t>
      </w:r>
      <w:r w:rsidRPr="00D5464D">
        <w:rPr>
          <w:i/>
          <w:lang w:val="pt-BR"/>
        </w:rPr>
        <w:t>Reino Unido</w:t>
      </w:r>
      <w:r w:rsidRPr="00D5464D">
        <w:rPr>
          <w:lang w:val="pt-BR"/>
        </w:rPr>
        <w:t>, nº 4239/08, Sentença de 13 de novembro de 2012, par. 80.</w:t>
      </w:r>
    </w:p>
  </w:footnote>
  <w:footnote w:id="422">
    <w:p w14:paraId="4BAAFF08" w14:textId="06234182"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Ver Perícia escrita de Jean Allain, folha 14917.</w:t>
      </w:r>
    </w:p>
  </w:footnote>
  <w:footnote w:id="423">
    <w:p w14:paraId="7A06B6CA" w14:textId="14D60460"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Segundo o perito Jean Allain, “a proibição da escravidão coincide com a proibição de tráfico de escravos”, Perícia escrita de Jean Allain, folha 14917.</w:t>
      </w:r>
    </w:p>
  </w:footnote>
  <w:footnote w:id="424">
    <w:p w14:paraId="6E9F4EE7" w14:textId="53B39F09"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Acordo internacional de 18 de maio de 1904 para a repressão do tráfico de mulheres brancas, modificado pelo Protocolo aprovado pela Assembleia Geral das Nações Unidas em 3 de dezembro de 1948; Convenção Internacional de 4 de maio de 1910, relativa à repressão do tráfico de mulheres brancas, modificado pelo Protocolo aprovado pela Assembleia Geral das Nações Unidas em 3 de dezembro de 1948; Convenção Internacional de 30 de setembro de 1921 para a repressão do tráfico de mulheres e crianças, modificado pelo Protocolo aprovado pela Assembleia Geral das Nações Unidas em 20 de outubro de 1947; Convenção Internacional de 11 de outubro de 1933 relativa à repressão do tráfico de mulheres maiores, modificado pelo Protocolo aprovado pela Assembleia Geral das Nações Unidas em 20 de outubro de 1947.</w:t>
      </w:r>
    </w:p>
  </w:footnote>
  <w:footnote w:id="425">
    <w:p w14:paraId="70A2E6EE" w14:textId="03A03A88"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Ver Convenção para a Repressão do Tráfico de Pessoas e do Lenocínio. Disponível em: </w:t>
      </w:r>
      <w:hyperlink r:id="rId9" w:history="1">
        <w:r w:rsidRPr="00D5464D">
          <w:rPr>
            <w:rStyle w:val="Hipervnculo"/>
            <w:lang w:val="pt-BR"/>
          </w:rPr>
          <w:t>http://www.ohchr.org/SP/ProfessionalInterest/Pages/TrafficInPersons.aspx</w:t>
        </w:r>
      </w:hyperlink>
      <w:r w:rsidRPr="00D5464D">
        <w:rPr>
          <w:lang w:val="pt-BR"/>
        </w:rPr>
        <w:t>.</w:t>
      </w:r>
    </w:p>
  </w:footnote>
  <w:footnote w:id="426">
    <w:p w14:paraId="348231C5" w14:textId="4BA7061B"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Protocolo Relativo à Prevenção, Repressão e Punição do Tráfico de Pessoas, em Especial Mulheres e Crianças da Convenção das Nações Unidas contra o Crime Organizado Transnacional, artigo 4. Disponível em: http://www.ohchr.org/Documents/ProfessionalInterest/ProtocolTraffickingInPersons_sp.pdf.</w:t>
      </w:r>
    </w:p>
  </w:footnote>
  <w:footnote w:id="427">
    <w:p w14:paraId="01BC2F68" w14:textId="46846660"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Convenção do Conselho da Europa relativa à Luta Contra o Tráfico de Seres Humanos, artigo 4: Para os fins do presente Convenio: a) “Tráfico de seres humanos” designa o recrutamento, o transporte, a transferência, o alojamento ou o acolhimento de pessoas, recorrendo à ameaça ou ao uso da força ou a outras formas de coação, ao rapto, à fraude, ao engano, ao abuso de autoridade ou de uma situação de vulnerabilidade ou à entrega ou aceitação de pagamentos ou benefícios para obter o consentimento de uma pessoa com autoridade sobre outra, para fins de exploração. A exploração deverá incluir, pelo menos, a exploração da prostituição de outrem ou outras formas de exploração sexual, o trabalho ou serviços forçados, a escravatura ou práticas similares à escravatura, a servidão ou a extração de órgãos; b) O consentimento dado pela vítima de “tráfico de seres humanos” à exploração referida na alínea a) do presente artigo será considerado irrelevante se tiver sido utilizado qualquer um dos meios indicados na alínea a) do presente artigo; c) O recrutamento, o transporte, a transferência, o alojamento ou o acolhimento de uma criança para fins de exploração deverão ser considerados “tráfico de seres humanos” mesmo que não envolvam nenhum dos meios referidos na alínea a) do presente artigo; […]</w:t>
      </w:r>
    </w:p>
  </w:footnote>
  <w:footnote w:id="428">
    <w:p w14:paraId="2B735E48" w14:textId="4AB327CA"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Relatório do Grupo de Trabalho de Nações Unidas sobre Formas Contemporâneas de Escravidão. Subcomissão sobre Prevenção da Discriminação e Proteção das Minorias, Resolução E/CN.4/Sub2/RES/1998/19, </w:t>
      </w:r>
      <w:r w:rsidRPr="00D5464D">
        <w:rPr>
          <w:iCs/>
          <w:lang w:val="pt-BR"/>
        </w:rPr>
        <w:t>par.</w:t>
      </w:r>
      <w:r w:rsidRPr="00D5464D">
        <w:rPr>
          <w:i/>
          <w:iCs/>
          <w:lang w:val="pt-BR"/>
        </w:rPr>
        <w:t xml:space="preserve"> </w:t>
      </w:r>
      <w:r w:rsidRPr="00D5464D">
        <w:rPr>
          <w:lang w:val="pt-BR"/>
        </w:rPr>
        <w:t>20.</w:t>
      </w:r>
    </w:p>
  </w:footnote>
  <w:footnote w:id="429">
    <w:p w14:paraId="03F4BE2A" w14:textId="199C5A54"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Relatório da Relatora Especial sobre Violência contra a Mulher, incluindo suas Causas e Consequências, UN Doc. E/CN.4/1997/47, 12 de fevereiro de 1997, par. 98: “Cabe considerar, sem margem a dúvidas, que as condições em que […] muitas mulheres vítimas de tráfico se vêm obrigadas a trabalhar formam parte da escravidão e das práticas análogas à escravidão.” (tradução da secretaria)</w:t>
      </w:r>
    </w:p>
  </w:footnote>
  <w:footnote w:id="430">
    <w:p w14:paraId="5F2FF8BE" w14:textId="469D49D9" w:rsidR="00AF210B" w:rsidRPr="00D5464D" w:rsidRDefault="00AF210B" w:rsidP="002A0C2B">
      <w:pPr>
        <w:pStyle w:val="Textonotapie"/>
        <w:tabs>
          <w:tab w:val="clear" w:pos="4419"/>
          <w:tab w:val="clear" w:pos="8838"/>
          <w:tab w:val="right" w:pos="0"/>
        </w:tabs>
        <w:spacing w:after="20"/>
        <w:rPr>
          <w:i/>
          <w:iCs/>
          <w:lang w:val="pt-BR"/>
        </w:rPr>
      </w:pPr>
      <w:r w:rsidRPr="00D5464D">
        <w:rPr>
          <w:rStyle w:val="Refdenotaalpie"/>
          <w:szCs w:val="16"/>
        </w:rPr>
        <w:footnoteRef/>
      </w:r>
      <w:r w:rsidRPr="00D5464D">
        <w:rPr>
          <w:lang w:val="pt-BR"/>
        </w:rPr>
        <w:t xml:space="preserve"> Relatório da Relatora Especial sobre Formas Contemporâneas de Escravidão, suas Causas e Consequências, UN Doc. A/HRC/12/21, 10 de julho de 2009, p. 15.</w:t>
      </w:r>
    </w:p>
  </w:footnote>
  <w:footnote w:id="431">
    <w:p w14:paraId="4E6686A9" w14:textId="164CC02D" w:rsidR="00AF210B" w:rsidRPr="00D5464D" w:rsidRDefault="00AF210B" w:rsidP="002A0C2B">
      <w:pPr>
        <w:pStyle w:val="Textonotapie"/>
        <w:tabs>
          <w:tab w:val="clear" w:pos="4419"/>
          <w:tab w:val="clear" w:pos="8838"/>
          <w:tab w:val="right" w:pos="0"/>
        </w:tabs>
        <w:spacing w:after="20"/>
        <w:rPr>
          <w:i/>
          <w:iCs/>
          <w:lang w:val="pt-BR"/>
        </w:rPr>
      </w:pPr>
      <w:r w:rsidRPr="00D5464D">
        <w:rPr>
          <w:rStyle w:val="Refdenotaalpie"/>
          <w:szCs w:val="16"/>
        </w:rPr>
        <w:footnoteRef/>
      </w:r>
      <w:r w:rsidRPr="00D5464D">
        <w:rPr>
          <w:lang w:val="pt-BR"/>
        </w:rPr>
        <w:t xml:space="preserve"> Relatório da Relatora Especial sobre Tráfico de Pessoas, em Especial de Mulheres e Crianças</w:t>
      </w:r>
      <w:r w:rsidRPr="00D5464D">
        <w:rPr>
          <w:iCs/>
          <w:lang w:val="pt-BR"/>
        </w:rPr>
        <w:t xml:space="preserve">, UN Doc. </w:t>
      </w:r>
      <w:r w:rsidRPr="00D5464D">
        <w:rPr>
          <w:lang w:val="pt-BR"/>
        </w:rPr>
        <w:t>A/HRC/10/16, 20 de fevereiro de 2009, p. 5: “Na atualidade, o mundo enfrenta um enorme problema de tráfico de seres humanos, impulsionado pelas mesmas forças que impulsionam a globalização dos mercados, já que não falta oferta nem demanda. Em distinta medida e em diferentes circunstâncias, homens, mulheres e crianças de todo o mundo são vítimas do que se converteu em uma forma moderna de escravidão.” (tradução da secretaria)</w:t>
      </w:r>
    </w:p>
  </w:footnote>
  <w:footnote w:id="432">
    <w:p w14:paraId="4E48E1FA" w14:textId="3F4D459A"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Relatório da Relatora Especial sobre Tráfico de Pessoas, em Especial de Mulheres e Crianças, p. 9.</w:t>
      </w:r>
    </w:p>
  </w:footnote>
  <w:footnote w:id="433">
    <w:p w14:paraId="5D1212D4" w14:textId="79C1CA3B"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Convenção Europeia de Direitos do Homem, artigo 4: Proibição da escravatura e do trabalho forçado 1. Ninguém pode ser mantido em escravidão ou servidão. 2. Ninguém pode ser constrangido a realizar um trabalho forçado ou obrigatório […].</w:t>
      </w:r>
    </w:p>
  </w:footnote>
  <w:footnote w:id="434">
    <w:p w14:paraId="19693525" w14:textId="0638FFBF"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TEDH, </w:t>
      </w:r>
      <w:r w:rsidRPr="00D5464D">
        <w:rPr>
          <w:i/>
          <w:lang w:val="pt-BR"/>
        </w:rPr>
        <w:t>Caso Rantsev Vs. Chipre e Rússia</w:t>
      </w:r>
      <w:r w:rsidRPr="00D5464D">
        <w:rPr>
          <w:lang w:val="pt-BR"/>
        </w:rPr>
        <w:t>, par. 282.</w:t>
      </w:r>
    </w:p>
  </w:footnote>
  <w:footnote w:id="435">
    <w:p w14:paraId="74289605" w14:textId="564B4F55"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TEDH, </w:t>
      </w:r>
      <w:r w:rsidRPr="00D5464D">
        <w:rPr>
          <w:i/>
          <w:lang w:val="pt-BR"/>
        </w:rPr>
        <w:t>Caso Rantsev Vs. Chipre e Rússia</w:t>
      </w:r>
      <w:r w:rsidRPr="00D5464D">
        <w:rPr>
          <w:lang w:val="pt-BR"/>
        </w:rPr>
        <w:t>, par. 281.</w:t>
      </w:r>
      <w:r w:rsidRPr="00D5464D">
        <w:rPr>
          <w:lang w:val="pt-BR"/>
        </w:rPr>
        <w:tab/>
      </w:r>
    </w:p>
  </w:footnote>
  <w:footnote w:id="436">
    <w:p w14:paraId="541025E4" w14:textId="0B8225A4"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TEDH, </w:t>
      </w:r>
      <w:r w:rsidRPr="00D5464D">
        <w:rPr>
          <w:i/>
          <w:lang w:val="pt-BR"/>
        </w:rPr>
        <w:t>Caso Rantsev Vs. Chipre e Rússia,</w:t>
      </w:r>
      <w:r w:rsidRPr="00D5464D">
        <w:rPr>
          <w:lang w:val="pt-BR"/>
        </w:rPr>
        <w:t xml:space="preserve"> par. 280.</w:t>
      </w:r>
    </w:p>
  </w:footnote>
  <w:footnote w:id="437">
    <w:p w14:paraId="0A8A8136" w14:textId="057B3060"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Cf. Caso Boyce e outros Vs. Barbados</w:t>
      </w:r>
      <w:r w:rsidRPr="00D5464D">
        <w:rPr>
          <w:lang w:val="pt-BR"/>
        </w:rPr>
        <w:t xml:space="preserve">, </w:t>
      </w:r>
      <w:r w:rsidRPr="00D5464D">
        <w:rPr>
          <w:i/>
          <w:lang w:val="pt-BR"/>
        </w:rPr>
        <w:t>Exceção Preliminar, Mérito, Reparações e Custas</w:t>
      </w:r>
      <w:r w:rsidRPr="00D5464D">
        <w:rPr>
          <w:lang w:val="pt-BR"/>
        </w:rPr>
        <w:t xml:space="preserve">. Sentença de 20 de novembro de 2007. Série C Nº 169, par. 52 e </w:t>
      </w:r>
      <w:r w:rsidRPr="00D5464D">
        <w:rPr>
          <w:i/>
          <w:lang w:val="pt-BR"/>
        </w:rPr>
        <w:t>Caso Wong Ho Wing Vs. Peru</w:t>
      </w:r>
      <w:r w:rsidRPr="00D5464D">
        <w:rPr>
          <w:lang w:val="pt-BR"/>
        </w:rPr>
        <w:t xml:space="preserve">. </w:t>
      </w:r>
      <w:r w:rsidRPr="00D5464D">
        <w:rPr>
          <w:i/>
          <w:lang w:val="pt-BR"/>
        </w:rPr>
        <w:t>Exceções Preliminares, Mérito, Reparações e Custas</w:t>
      </w:r>
      <w:r w:rsidRPr="00D5464D">
        <w:rPr>
          <w:lang w:val="pt-BR"/>
        </w:rPr>
        <w:t>. Sentença de 30 de junho de 2015. Série C Nº 297, par. 126.</w:t>
      </w:r>
    </w:p>
  </w:footnote>
  <w:footnote w:id="438">
    <w:p w14:paraId="7E8B9EE0" w14:textId="275A85C8"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Essa exploração incluirá, no mínimo, a exploração da prostituição de outrem ou outras formas de exploração sexual, o trabalho ou serviços forçados, escravatura ou práticas similares à escravatura, a servidão ou a remoção de órgãos. Protocolo de Palermo, artigo 3º. </w:t>
      </w:r>
      <w:r w:rsidRPr="00D5464D">
        <w:rPr>
          <w:spacing w:val="-2"/>
          <w:lang w:val="pt-BR"/>
        </w:rPr>
        <w:t>Perícia escrita de Jean Allain, expediente de prova, folhas 14986 e 14987</w:t>
      </w:r>
      <w:r w:rsidRPr="00D5464D">
        <w:rPr>
          <w:lang w:val="pt-BR"/>
        </w:rPr>
        <w:t>.</w:t>
      </w:r>
    </w:p>
  </w:footnote>
  <w:footnote w:id="439">
    <w:p w14:paraId="4D5AE24C" w14:textId="0C522B8C"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Cf. Caso dos Massacres de Ituango</w:t>
      </w:r>
      <w:r w:rsidRPr="00D5464D">
        <w:rPr>
          <w:lang w:val="pt-BR"/>
        </w:rPr>
        <w:t>, pars. 155 a 160.</w:t>
      </w:r>
    </w:p>
  </w:footnote>
  <w:footnote w:id="440">
    <w:p w14:paraId="32A85F3E" w14:textId="5F674531"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Cf. Caso dos Massacres de Ituango</w:t>
      </w:r>
      <w:r w:rsidRPr="00D5464D">
        <w:rPr>
          <w:lang w:val="pt-BR"/>
        </w:rPr>
        <w:t xml:space="preserve">, par. 160. </w:t>
      </w:r>
    </w:p>
  </w:footnote>
  <w:footnote w:id="441">
    <w:p w14:paraId="005A9B01" w14:textId="13A489C9"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Cf. Caso dos Massacres de Ituango,</w:t>
      </w:r>
      <w:r w:rsidRPr="00D5464D">
        <w:rPr>
          <w:lang w:val="pt-BR"/>
        </w:rPr>
        <w:t xml:space="preserve"> par. 160.</w:t>
      </w:r>
    </w:p>
  </w:footnote>
  <w:footnote w:id="442">
    <w:p w14:paraId="2EF921CC" w14:textId="7214AA76" w:rsidR="00AF210B" w:rsidRPr="00D5464D" w:rsidRDefault="00AF210B" w:rsidP="002A0C2B">
      <w:pPr>
        <w:pStyle w:val="Textonotapie"/>
        <w:tabs>
          <w:tab w:val="clear" w:pos="4419"/>
          <w:tab w:val="clear" w:pos="8838"/>
          <w:tab w:val="right" w:pos="0"/>
        </w:tabs>
        <w:spacing w:after="20"/>
        <w:rPr>
          <w:b/>
          <w:lang w:val="pt-BR"/>
        </w:rPr>
      </w:pPr>
      <w:r w:rsidRPr="00D5464D">
        <w:rPr>
          <w:rStyle w:val="Refdenotaalpie"/>
          <w:szCs w:val="16"/>
        </w:rPr>
        <w:footnoteRef/>
      </w:r>
      <w:r w:rsidRPr="00D5464D">
        <w:rPr>
          <w:lang w:val="pt-BR"/>
        </w:rPr>
        <w:t xml:space="preserve"> </w:t>
      </w:r>
      <w:r w:rsidRPr="00D5464D">
        <w:rPr>
          <w:i/>
          <w:lang w:val="pt-BR"/>
        </w:rPr>
        <w:t xml:space="preserve">Cf. Caso dos Massacres de Ituango, </w:t>
      </w:r>
      <w:r w:rsidRPr="00D5464D">
        <w:rPr>
          <w:lang w:val="pt-BR"/>
        </w:rPr>
        <w:t>par. 161.</w:t>
      </w:r>
    </w:p>
  </w:footnote>
  <w:footnote w:id="443">
    <w:p w14:paraId="26925DF0" w14:textId="296F7961"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Caso dos Massacres de Ituango, </w:t>
      </w:r>
      <w:r w:rsidRPr="00D5464D">
        <w:rPr>
          <w:lang w:val="pt-BR"/>
        </w:rPr>
        <w:t>par. 164.</w:t>
      </w:r>
    </w:p>
  </w:footnote>
  <w:footnote w:id="444">
    <w:p w14:paraId="582A8558" w14:textId="0045ABB0"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Entre outros, Ofício PRT 8ª 2357/2001, de 21 de junho de 2001 (expediente de prova, folhas 1031 a 1036).</w:t>
      </w:r>
    </w:p>
  </w:footnote>
  <w:footnote w:id="445">
    <w:p w14:paraId="1DD625D0" w14:textId="06A65BAB"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 Caso Fernández Ortega e Outros Vs. México</w:t>
      </w:r>
      <w:r w:rsidRPr="00D5464D">
        <w:rPr>
          <w:lang w:val="pt-BR"/>
        </w:rPr>
        <w:t xml:space="preserve">. </w:t>
      </w:r>
      <w:r w:rsidRPr="00D5464D">
        <w:rPr>
          <w:i/>
          <w:lang w:val="pt-BR"/>
        </w:rPr>
        <w:t>Exceções Preliminares, Mérito, Reparações e Custas</w:t>
      </w:r>
      <w:r w:rsidRPr="00D5464D">
        <w:rPr>
          <w:lang w:val="pt-BR"/>
        </w:rPr>
        <w:t xml:space="preserve">. Sentença de 30 de agosto de 2010. Série C Nº 215, pars. 132, 150 e 202 e </w:t>
      </w:r>
      <w:r w:rsidRPr="00D5464D">
        <w:rPr>
          <w:i/>
          <w:lang w:val="pt-BR"/>
        </w:rPr>
        <w:t>Caso Canales Huapaya e outros Vs. Peru. Exceções Preliminares, Mérito, Reparações e Custas</w:t>
      </w:r>
      <w:r w:rsidRPr="00D5464D">
        <w:rPr>
          <w:lang w:val="pt-BR"/>
        </w:rPr>
        <w:t xml:space="preserve">. Sentença de 24 de junho de 2015. Série C Nº 296, par. 114. </w:t>
      </w:r>
    </w:p>
  </w:footnote>
  <w:footnote w:id="446">
    <w:p w14:paraId="2D4D7D8C" w14:textId="1D84CBFD"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bCs/>
          <w:lang w:val="pt-BR"/>
        </w:rPr>
        <w:t>Redução a uma condição análoga à de escravo:</w:t>
      </w:r>
    </w:p>
    <w:p w14:paraId="590633F7" w14:textId="55035BE0" w:rsidR="00AF210B" w:rsidRPr="00D5464D" w:rsidRDefault="00AF210B" w:rsidP="002A0C2B">
      <w:pPr>
        <w:pStyle w:val="Textonotapie"/>
        <w:tabs>
          <w:tab w:val="clear" w:pos="4419"/>
          <w:tab w:val="clear" w:pos="8838"/>
          <w:tab w:val="right" w:pos="0"/>
        </w:tabs>
        <w:spacing w:after="20"/>
        <w:rPr>
          <w:lang w:val="pt-BR"/>
        </w:rPr>
      </w:pPr>
      <w:r w:rsidRPr="00D5464D">
        <w:rPr>
          <w:lang w:val="pt-BR"/>
        </w:rPr>
        <w:t xml:space="preserve">  Art. 149. Reduzir alguém a condição análoga à de escravo, quer submetendo-o a trabalhos forçados ou a jornada exaustiva, quer sujeitando-o a condições degradantes de trabalho, quer restringindo, por qualquer meio, sua locomoção em razão de dívida contraída com o empregador ou preposto.</w:t>
      </w:r>
    </w:p>
    <w:p w14:paraId="69AFD0E1" w14:textId="17175A4B" w:rsidR="00AF210B" w:rsidRPr="00D5464D" w:rsidRDefault="00AF210B" w:rsidP="002A0C2B">
      <w:pPr>
        <w:pStyle w:val="Textonotapie"/>
        <w:tabs>
          <w:tab w:val="clear" w:pos="4419"/>
          <w:tab w:val="clear" w:pos="8838"/>
          <w:tab w:val="right" w:pos="0"/>
        </w:tabs>
        <w:spacing w:after="20"/>
        <w:rPr>
          <w:lang w:val="pt-BR"/>
        </w:rPr>
      </w:pPr>
      <w:r w:rsidRPr="00D5464D">
        <w:rPr>
          <w:lang w:val="pt-BR"/>
        </w:rPr>
        <w:t>Pena - reclusão, de dois a oito anos e multa, além da pena correspondente à violência.</w:t>
      </w:r>
    </w:p>
    <w:p w14:paraId="603BADC0" w14:textId="6FFD7318" w:rsidR="00AF210B" w:rsidRPr="00D5464D" w:rsidRDefault="00AF210B" w:rsidP="002A0C2B">
      <w:pPr>
        <w:pStyle w:val="Textonotapie"/>
        <w:tabs>
          <w:tab w:val="clear" w:pos="4419"/>
          <w:tab w:val="clear" w:pos="8838"/>
          <w:tab w:val="right" w:pos="0"/>
        </w:tabs>
        <w:spacing w:after="20"/>
        <w:rPr>
          <w:lang w:val="pt-BR"/>
        </w:rPr>
      </w:pPr>
      <w:r w:rsidRPr="00D5464D">
        <w:rPr>
          <w:lang w:val="pt-BR"/>
        </w:rPr>
        <w:t>§ 1</w:t>
      </w:r>
      <w:r w:rsidRPr="00D5464D">
        <w:rPr>
          <w:u w:val="single"/>
          <w:vertAlign w:val="superscript"/>
          <w:lang w:val="pt-BR"/>
        </w:rPr>
        <w:t>o</w:t>
      </w:r>
      <w:r w:rsidRPr="00D5464D">
        <w:rPr>
          <w:lang w:val="pt-BR"/>
        </w:rPr>
        <w:t> Nas mesmas penas incorre quem:</w:t>
      </w:r>
    </w:p>
    <w:p w14:paraId="58A39CB0" w14:textId="1DF58294" w:rsidR="00AF210B" w:rsidRPr="00D5464D" w:rsidRDefault="00AF210B" w:rsidP="002A0C2B">
      <w:pPr>
        <w:pStyle w:val="Textonotapie"/>
        <w:tabs>
          <w:tab w:val="clear" w:pos="4419"/>
          <w:tab w:val="clear" w:pos="8838"/>
          <w:tab w:val="right" w:pos="0"/>
        </w:tabs>
        <w:spacing w:after="20"/>
        <w:rPr>
          <w:lang w:val="pt-BR"/>
        </w:rPr>
      </w:pPr>
      <w:r w:rsidRPr="00D5464D">
        <w:rPr>
          <w:lang w:val="pt-BR"/>
        </w:rPr>
        <w:t>I - cerceia o uso de qualquer meio de transporte por parte do trabalhador, com o fim de retê-lo no local de trabalho;</w:t>
      </w:r>
    </w:p>
    <w:p w14:paraId="17BEF8D0" w14:textId="4D000D4C" w:rsidR="00AF210B" w:rsidRPr="00D5464D" w:rsidRDefault="00AF210B" w:rsidP="002A0C2B">
      <w:pPr>
        <w:pStyle w:val="Textonotapie"/>
        <w:tabs>
          <w:tab w:val="clear" w:pos="4419"/>
          <w:tab w:val="clear" w:pos="8838"/>
          <w:tab w:val="right" w:pos="0"/>
        </w:tabs>
        <w:spacing w:after="20"/>
        <w:rPr>
          <w:lang w:val="pt-BR"/>
        </w:rPr>
      </w:pPr>
      <w:r w:rsidRPr="00D5464D">
        <w:rPr>
          <w:lang w:val="pt-BR"/>
        </w:rPr>
        <w:t xml:space="preserve">II - mantém vigilância ostensiva no local de trabalho ou se apodera de documentos ou objetos pessoais do trabalhador, com o fim de retê-lo no local de trabalho. </w:t>
      </w:r>
    </w:p>
    <w:p w14:paraId="26B0F15A" w14:textId="7D5D84E2" w:rsidR="00AF210B" w:rsidRPr="00D5464D" w:rsidRDefault="00AF210B" w:rsidP="002A0C2B">
      <w:pPr>
        <w:pStyle w:val="Textonotapie"/>
        <w:tabs>
          <w:tab w:val="clear" w:pos="4419"/>
          <w:tab w:val="clear" w:pos="8838"/>
          <w:tab w:val="right" w:pos="0"/>
        </w:tabs>
        <w:spacing w:after="20"/>
        <w:rPr>
          <w:lang w:val="pt-BR"/>
        </w:rPr>
      </w:pPr>
      <w:r w:rsidRPr="00D5464D">
        <w:rPr>
          <w:lang w:val="pt-BR"/>
        </w:rPr>
        <w:t>§ 2</w:t>
      </w:r>
      <w:r w:rsidRPr="00D5464D">
        <w:rPr>
          <w:u w:val="single"/>
          <w:vertAlign w:val="superscript"/>
          <w:lang w:val="pt-BR"/>
        </w:rPr>
        <w:t>o</w:t>
      </w:r>
      <w:r w:rsidRPr="00D5464D">
        <w:rPr>
          <w:lang w:val="pt-BR"/>
        </w:rPr>
        <w:t xml:space="preserve"> A pena é aumentada de metade, se o crime é cometido: </w:t>
      </w:r>
    </w:p>
    <w:p w14:paraId="2996A6E4" w14:textId="75B91FBD" w:rsidR="00AF210B" w:rsidRPr="00D5464D" w:rsidRDefault="00AF210B" w:rsidP="002A0C2B">
      <w:pPr>
        <w:pStyle w:val="Textonotapie"/>
        <w:tabs>
          <w:tab w:val="clear" w:pos="4419"/>
          <w:tab w:val="clear" w:pos="8838"/>
          <w:tab w:val="right" w:pos="0"/>
        </w:tabs>
        <w:spacing w:after="20"/>
        <w:rPr>
          <w:lang w:val="pt-BR"/>
        </w:rPr>
      </w:pPr>
      <w:r w:rsidRPr="00D5464D">
        <w:rPr>
          <w:lang w:val="pt-BR"/>
        </w:rPr>
        <w:t xml:space="preserve">I - contra criança ou adolescente; </w:t>
      </w:r>
    </w:p>
    <w:p w14:paraId="732CD3EF" w14:textId="744D720D" w:rsidR="00AF210B" w:rsidRPr="00D5464D" w:rsidRDefault="00AF210B" w:rsidP="002A0C2B">
      <w:pPr>
        <w:pStyle w:val="Textonotapie"/>
        <w:tabs>
          <w:tab w:val="clear" w:pos="4419"/>
          <w:tab w:val="clear" w:pos="8838"/>
          <w:tab w:val="right" w:pos="0"/>
        </w:tabs>
        <w:spacing w:after="20"/>
        <w:rPr>
          <w:lang w:val="pt-BR"/>
        </w:rPr>
      </w:pPr>
      <w:r w:rsidRPr="00D5464D">
        <w:rPr>
          <w:lang w:val="pt-BR"/>
        </w:rPr>
        <w:t>II - por motivo de preconceito de raça, cor, etnia, religião ou origem.</w:t>
      </w:r>
    </w:p>
  </w:footnote>
  <w:footnote w:id="447">
    <w:p w14:paraId="19CB6599" w14:textId="04622EF8"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Caso Apitz Barbera e outros (“Corte Primeira do Contencioso Administrativo”) Vs. Venezuela. Exceção Preliminar, Mérito, Reparações e Custas. </w:t>
      </w:r>
      <w:r w:rsidRPr="00D5464D">
        <w:rPr>
          <w:lang w:val="pt-BR"/>
        </w:rPr>
        <w:t xml:space="preserve">Sentença de 5 de agosto de 2008. Série C Nº 182, par. 218 e </w:t>
      </w:r>
      <w:r w:rsidRPr="00D5464D">
        <w:rPr>
          <w:i/>
          <w:lang w:val="pt-BR"/>
        </w:rPr>
        <w:t xml:space="preserve">Caso Ruano Torres e outros Vs. El Salvador. Mérito, Reparações e Custas. </w:t>
      </w:r>
      <w:r w:rsidRPr="00D5464D">
        <w:rPr>
          <w:lang w:val="pt-BR"/>
        </w:rPr>
        <w:t>Sentença de 5 de outubro de 2015. Série C Nº 303, par. 29.</w:t>
      </w:r>
    </w:p>
  </w:footnote>
  <w:footnote w:id="448">
    <w:p w14:paraId="3FF74F2B" w14:textId="1770CAD2" w:rsidR="00AF210B" w:rsidRPr="00D5464D" w:rsidRDefault="00AF210B" w:rsidP="002A0C2B">
      <w:pPr>
        <w:pStyle w:val="Textonotapie"/>
        <w:spacing w:after="20"/>
        <w:rPr>
          <w:lang w:val="pt-BR"/>
        </w:rPr>
      </w:pPr>
      <w:r w:rsidRPr="00D5464D">
        <w:rPr>
          <w:rStyle w:val="Refdenotaalpie"/>
        </w:rPr>
        <w:footnoteRef/>
      </w:r>
      <w:r w:rsidRPr="00D5464D">
        <w:rPr>
          <w:lang w:val="pt-BR"/>
        </w:rPr>
        <w:t xml:space="preserve"> Original em português (traduzido pela Secretaria da Corte na versão em espanhol desta Sentença).</w:t>
      </w:r>
    </w:p>
  </w:footnote>
  <w:footnote w:id="449">
    <w:p w14:paraId="2B05561B" w14:textId="24368166" w:rsidR="00AF210B" w:rsidRPr="00D5464D" w:rsidRDefault="00AF210B" w:rsidP="002A0C2B">
      <w:pPr>
        <w:pStyle w:val="Textonotapie"/>
        <w:tabs>
          <w:tab w:val="clear" w:pos="4419"/>
          <w:tab w:val="clear" w:pos="8838"/>
          <w:tab w:val="right" w:pos="0"/>
        </w:tabs>
        <w:spacing w:after="20"/>
        <w:rPr>
          <w:b/>
          <w:i/>
          <w:lang w:val="pt-BR"/>
        </w:rPr>
      </w:pPr>
      <w:r w:rsidRPr="00D5464D">
        <w:rPr>
          <w:rStyle w:val="Refdenotaalpie"/>
          <w:szCs w:val="16"/>
        </w:rPr>
        <w:footnoteRef/>
      </w:r>
      <w:r w:rsidRPr="00D5464D">
        <w:rPr>
          <w:lang w:val="es-ES"/>
        </w:rPr>
        <w:t xml:space="preserve"> </w:t>
      </w:r>
      <w:r w:rsidRPr="00D5464D">
        <w:rPr>
          <w:i/>
          <w:lang w:val="es-ES"/>
        </w:rPr>
        <w:t xml:space="preserve">Caso do Massacre de Pueblo Bello Vs. </w:t>
      </w:r>
      <w:r w:rsidRPr="00D5464D">
        <w:rPr>
          <w:i/>
          <w:lang w:val="pt-BR"/>
        </w:rPr>
        <w:t>Colômbia</w:t>
      </w:r>
      <w:r w:rsidRPr="00D5464D">
        <w:rPr>
          <w:lang w:val="pt-BR"/>
        </w:rPr>
        <w:t xml:space="preserve">. </w:t>
      </w:r>
      <w:r w:rsidRPr="00D5464D">
        <w:rPr>
          <w:i/>
          <w:color w:val="000000"/>
          <w:lang w:val="pt-BR"/>
        </w:rPr>
        <w:t>Mérito, Reparações e Custas.</w:t>
      </w:r>
      <w:r w:rsidRPr="00D5464D">
        <w:rPr>
          <w:color w:val="000000"/>
          <w:lang w:val="pt-BR"/>
        </w:rPr>
        <w:t xml:space="preserve"> Sentença de 31 de janeiro de 2006. Série C Nº 140</w:t>
      </w:r>
      <w:r w:rsidRPr="00D5464D">
        <w:rPr>
          <w:lang w:val="pt-BR"/>
        </w:rPr>
        <w:t xml:space="preserve">, par. 111 e </w:t>
      </w:r>
      <w:r w:rsidRPr="00D5464D">
        <w:rPr>
          <w:bCs/>
          <w:i/>
          <w:lang w:val="pt-BR"/>
        </w:rPr>
        <w:t xml:space="preserve">Caso Wong Ho Wing Vs. Peru. Exceção Preliminar, Mérito, Reparações e Custas. </w:t>
      </w:r>
      <w:r w:rsidRPr="00D5464D">
        <w:rPr>
          <w:bCs/>
          <w:lang w:val="pt-BR"/>
        </w:rPr>
        <w:t>Sentença de 30 de junho de 2015. Série C Nº 297, par.</w:t>
      </w:r>
      <w:r w:rsidRPr="00D5464D">
        <w:rPr>
          <w:lang w:val="pt-BR"/>
        </w:rPr>
        <w:t xml:space="preserve"> 128.</w:t>
      </w:r>
    </w:p>
  </w:footnote>
  <w:footnote w:id="450">
    <w:p w14:paraId="06C51424" w14:textId="0B4B1393" w:rsidR="00AF210B" w:rsidRPr="00D5464D" w:rsidRDefault="00AF210B" w:rsidP="002A0C2B">
      <w:pPr>
        <w:pStyle w:val="Textonotapie"/>
        <w:tabs>
          <w:tab w:val="clear" w:pos="4419"/>
          <w:tab w:val="clear" w:pos="8838"/>
          <w:tab w:val="right" w:pos="0"/>
        </w:tabs>
        <w:spacing w:after="20"/>
        <w:ind w:right="18"/>
        <w:rPr>
          <w:lang w:val="pt-BR"/>
        </w:rPr>
      </w:pPr>
      <w:r w:rsidRPr="00D5464D">
        <w:rPr>
          <w:rStyle w:val="Refdenotaalpie"/>
          <w:szCs w:val="16"/>
        </w:rPr>
        <w:footnoteRef/>
      </w:r>
      <w:r w:rsidRPr="00D5464D">
        <w:rPr>
          <w:lang w:val="pt-BR"/>
        </w:rPr>
        <w:t xml:space="preserve"> </w:t>
      </w:r>
      <w:r w:rsidRPr="00D5464D">
        <w:rPr>
          <w:i/>
          <w:lang w:val="pt-BR"/>
        </w:rPr>
        <w:t>Cf. Caso do Massacre de Pueblo Bello</w:t>
      </w:r>
      <w:r w:rsidRPr="00D5464D">
        <w:rPr>
          <w:lang w:val="pt-BR"/>
        </w:rPr>
        <w:t xml:space="preserve">, par. 120 e </w:t>
      </w:r>
      <w:r w:rsidRPr="00D5464D">
        <w:rPr>
          <w:bCs/>
          <w:i/>
          <w:lang w:val="pt-BR"/>
        </w:rPr>
        <w:t>Caso Rodríguez Vera e outros (Desaparecidos do Palácio de Justiça)</w:t>
      </w:r>
      <w:r w:rsidRPr="00D5464D">
        <w:rPr>
          <w:bCs/>
          <w:lang w:val="pt-BR"/>
        </w:rPr>
        <w:t>, par. 518.</w:t>
      </w:r>
      <w:r w:rsidRPr="00D5464D">
        <w:rPr>
          <w:lang w:val="pt-BR"/>
        </w:rPr>
        <w:t xml:space="preserve"> </w:t>
      </w:r>
    </w:p>
  </w:footnote>
  <w:footnote w:id="451">
    <w:p w14:paraId="51A263BF" w14:textId="1CB6A306"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Ver perícia de Jean Allain (expediente de prova, folha 14921).</w:t>
      </w:r>
    </w:p>
  </w:footnote>
  <w:footnote w:id="452">
    <w:p w14:paraId="5DD978D7" w14:textId="6C993033"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A este respeito, ver os </w:t>
      </w:r>
      <w:r w:rsidRPr="00D5464D">
        <w:rPr>
          <w:i/>
          <w:iCs/>
          <w:lang w:val="pt-BR"/>
        </w:rPr>
        <w:t xml:space="preserve">Princípios Orientadores das Nações Unidas sobre Empresas e Direitos Humanos </w:t>
      </w:r>
      <w:r w:rsidRPr="00D5464D">
        <w:rPr>
          <w:iCs/>
          <w:lang w:val="pt-BR"/>
        </w:rPr>
        <w:t>(UNGPs, em sua sigla em inglês), Conselho de Direitos Humanos das Nações Unidas, Resolução nº 17/4, U.N. Doc. A/HRC/RES/17/4, de 6 de julho de 2011.</w:t>
      </w:r>
    </w:p>
  </w:footnote>
  <w:footnote w:id="453">
    <w:p w14:paraId="7AFDC3DE" w14:textId="15BA0EFF" w:rsidR="00AF210B" w:rsidRPr="00D5464D" w:rsidRDefault="00AF210B" w:rsidP="002A0C2B">
      <w:pPr>
        <w:pStyle w:val="Textonotapie"/>
        <w:tabs>
          <w:tab w:val="clear" w:pos="4419"/>
          <w:tab w:val="clear" w:pos="8838"/>
          <w:tab w:val="right" w:pos="0"/>
        </w:tabs>
        <w:spacing w:after="20"/>
        <w:ind w:right="18"/>
        <w:rPr>
          <w:b/>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rFonts w:cs="Verdana"/>
          <w:i/>
          <w:iCs/>
          <w:lang w:val="pt-BR"/>
        </w:rPr>
        <w:t>Caso Velásquez Rodríguez Vs. Honduras</w:t>
      </w:r>
      <w:r w:rsidRPr="00D5464D">
        <w:rPr>
          <w:rFonts w:cs="Verdana"/>
          <w:i/>
          <w:lang w:val="pt-BR"/>
        </w:rPr>
        <w:t xml:space="preserve">. </w:t>
      </w:r>
      <w:r w:rsidRPr="00D5464D">
        <w:rPr>
          <w:rFonts w:cs="Verdana"/>
          <w:i/>
          <w:iCs/>
          <w:lang w:val="pt-BR"/>
        </w:rPr>
        <w:t xml:space="preserve">Mérito, </w:t>
      </w:r>
      <w:r w:rsidRPr="00D5464D">
        <w:rPr>
          <w:rFonts w:cs="Verdana"/>
          <w:lang w:val="pt-BR"/>
        </w:rPr>
        <w:t xml:space="preserve">par. 166; </w:t>
      </w:r>
      <w:r w:rsidRPr="00D5464D">
        <w:rPr>
          <w:rFonts w:cs="Verdana"/>
          <w:i/>
          <w:iCs/>
          <w:lang w:val="pt-BR"/>
        </w:rPr>
        <w:t xml:space="preserve">Caso Velásquez Paiz e outros Vs. Guatemala. Exceções Preliminares, Mérito, Reparações e Custas. </w:t>
      </w:r>
      <w:r w:rsidRPr="00D5464D">
        <w:rPr>
          <w:rFonts w:cs="Verdana"/>
          <w:iCs/>
          <w:lang w:val="pt-BR"/>
        </w:rPr>
        <w:t>Sentença de 19 de novembro de 2015. Série C Nº 307</w:t>
      </w:r>
      <w:r w:rsidRPr="00D5464D">
        <w:rPr>
          <w:i/>
          <w:lang w:val="pt-BR"/>
        </w:rPr>
        <w:t xml:space="preserve">, </w:t>
      </w:r>
      <w:r w:rsidRPr="00D5464D">
        <w:rPr>
          <w:color w:val="000000"/>
          <w:lang w:val="pt-BR"/>
        </w:rPr>
        <w:t>par. 107.</w:t>
      </w:r>
    </w:p>
  </w:footnote>
  <w:footnote w:id="454">
    <w:p w14:paraId="74500DD6" w14:textId="597953ED" w:rsidR="00AF210B" w:rsidRPr="00D5464D" w:rsidRDefault="00AF210B" w:rsidP="002A0C2B">
      <w:pPr>
        <w:pStyle w:val="Textonotapie"/>
        <w:tabs>
          <w:tab w:val="clear" w:pos="4419"/>
          <w:tab w:val="clear" w:pos="8838"/>
          <w:tab w:val="right" w:pos="0"/>
        </w:tabs>
        <w:spacing w:after="20"/>
        <w:ind w:right="18"/>
        <w:rPr>
          <w:b/>
          <w:lang w:val="pt-BR"/>
        </w:rPr>
      </w:pPr>
      <w:r w:rsidRPr="00D5464D">
        <w:rPr>
          <w:rStyle w:val="Refdenotaalpie"/>
          <w:szCs w:val="16"/>
        </w:rPr>
        <w:footnoteRef/>
      </w:r>
      <w:r w:rsidRPr="00D5464D">
        <w:rPr>
          <w:lang w:val="pt-BR"/>
        </w:rPr>
        <w:t xml:space="preserve"> </w:t>
      </w:r>
      <w:r w:rsidRPr="00D5464D">
        <w:rPr>
          <w:i/>
          <w:lang w:val="pt-BR"/>
        </w:rPr>
        <w:t xml:space="preserve">Cf. Caso do Massacre de Pueblo Bello, </w:t>
      </w:r>
      <w:r w:rsidRPr="00D5464D">
        <w:rPr>
          <w:lang w:val="pt-BR"/>
        </w:rPr>
        <w:t xml:space="preserve">par. 123 e </w:t>
      </w:r>
      <w:r w:rsidRPr="00D5464D">
        <w:rPr>
          <w:rFonts w:cs="Verdana"/>
          <w:i/>
          <w:iCs/>
          <w:lang w:val="pt-BR"/>
        </w:rPr>
        <w:t>Caso Velásquez Paiz e outros</w:t>
      </w:r>
      <w:r w:rsidRPr="00D5464D">
        <w:rPr>
          <w:bCs/>
          <w:lang w:val="pt-BR"/>
        </w:rPr>
        <w:t>, par. 109.</w:t>
      </w:r>
      <w:r w:rsidRPr="00D5464D">
        <w:rPr>
          <w:lang w:val="pt-BR"/>
        </w:rPr>
        <w:t xml:space="preserve"> Ver também TEDH, </w:t>
      </w:r>
      <w:r w:rsidRPr="00D5464D">
        <w:rPr>
          <w:i/>
          <w:lang w:val="pt-BR"/>
        </w:rPr>
        <w:t xml:space="preserve">Caso Kiliç Vs. Turquia, nº </w:t>
      </w:r>
      <w:r w:rsidRPr="00D5464D">
        <w:rPr>
          <w:lang w:val="pt-BR"/>
        </w:rPr>
        <w:t>22492/93, Sentença de 28 de março de 2000, pars. 62 e 63 e TEDH,</w:t>
      </w:r>
      <w:r w:rsidRPr="00D5464D">
        <w:rPr>
          <w:i/>
          <w:lang w:val="pt-BR"/>
        </w:rPr>
        <w:t xml:space="preserve"> Caso Osman Vs. Reino Unido</w:t>
      </w:r>
      <w:r w:rsidRPr="00D5464D">
        <w:rPr>
          <w:lang w:val="pt-BR"/>
        </w:rPr>
        <w:t>, No. 23452/94, Sentença de 28 de outubro de 1998,</w:t>
      </w:r>
      <w:r w:rsidRPr="00D5464D">
        <w:rPr>
          <w:i/>
          <w:lang w:val="pt-BR"/>
        </w:rPr>
        <w:t xml:space="preserve"> </w:t>
      </w:r>
      <w:r w:rsidRPr="00D5464D">
        <w:rPr>
          <w:lang w:val="pt-BR"/>
        </w:rPr>
        <w:t xml:space="preserve">pars. 115 e 116. </w:t>
      </w:r>
    </w:p>
  </w:footnote>
  <w:footnote w:id="455">
    <w:p w14:paraId="3E2FC40D" w14:textId="224DAF5B"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A análise detalhado destes procedimentos será realizado no próximo capítulo; por agora nota-se que estas iniciativas foram insuficientes e não resultaram na responsabilização de nenhuma pessoa.</w:t>
      </w:r>
    </w:p>
  </w:footnote>
  <w:footnote w:id="456">
    <w:p w14:paraId="4981038F" w14:textId="23083781"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Ver, entre outros, Declaração do Presidente da República Fernando Henrique Cardoso em 27 de junho de 1995 (expediente de prova, folha 7108).</w:t>
      </w:r>
    </w:p>
  </w:footnote>
  <w:footnote w:id="457">
    <w:p w14:paraId="757260CF" w14:textId="1B90996F"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Ver Ofício da Procuradora-Chefa da PRT 8ª nº 2.357/2001, de 21 de junho de 2001 (expediente de prova, folhas 1031 a 1036). </w:t>
      </w:r>
    </w:p>
  </w:footnote>
  <w:footnote w:id="458">
    <w:p w14:paraId="3FF8D990" w14:textId="69253C57"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bCs/>
          <w:i/>
          <w:color w:val="000000"/>
          <w:lang w:val="pt-BR"/>
        </w:rPr>
        <w:t xml:space="preserve">Caso Gelman Vs. Uruguai. Mérito e Reparações. </w:t>
      </w:r>
      <w:r w:rsidRPr="00D5464D">
        <w:rPr>
          <w:bCs/>
          <w:color w:val="000000"/>
          <w:lang w:val="pt-BR"/>
        </w:rPr>
        <w:t>Sentença de 24 de fevereiro de 2011. Série C Nº 221</w:t>
      </w:r>
      <w:r w:rsidRPr="00D5464D">
        <w:rPr>
          <w:color w:val="000000"/>
          <w:lang w:val="pt-BR"/>
        </w:rPr>
        <w:t xml:space="preserve">, par. 121 e </w:t>
      </w:r>
      <w:r w:rsidRPr="00D5464D">
        <w:rPr>
          <w:i/>
          <w:color w:val="000000"/>
          <w:lang w:val="pt-BR"/>
        </w:rPr>
        <w:t xml:space="preserve">Caso de pessoas dominicanas e haitianas expulsas Vs. República Dominicana. Exceções Preliminares, Mérito, Reparações e Custas. </w:t>
      </w:r>
      <w:r w:rsidRPr="00D5464D">
        <w:rPr>
          <w:color w:val="000000"/>
          <w:lang w:val="pt-BR"/>
        </w:rPr>
        <w:t xml:space="preserve">Sentença de 28 de agosto de 2014. Série C Nº 282, par. 269. </w:t>
      </w:r>
    </w:p>
  </w:footnote>
  <w:footnote w:id="459">
    <w:p w14:paraId="48BF4699" w14:textId="1DF5951A" w:rsidR="00AF210B" w:rsidRPr="00D5464D" w:rsidRDefault="00AF210B" w:rsidP="002A0C2B">
      <w:pPr>
        <w:pStyle w:val="Textonotapie"/>
        <w:tabs>
          <w:tab w:val="left" w:pos="567"/>
        </w:tabs>
        <w:spacing w:after="20"/>
        <w:rPr>
          <w:b/>
          <w:lang w:val="pt-BR"/>
        </w:rPr>
      </w:pPr>
      <w:r w:rsidRPr="00D5464D">
        <w:rPr>
          <w:rStyle w:val="Refdenotaalpie"/>
          <w:szCs w:val="16"/>
        </w:rPr>
        <w:footnoteRef/>
      </w:r>
      <w:r w:rsidRPr="00D5464D">
        <w:rPr>
          <w:bCs/>
          <w:i/>
          <w:lang w:val="pt-BR"/>
        </w:rPr>
        <w:t xml:space="preserve"> Cf. </w:t>
      </w:r>
      <w:r w:rsidRPr="00D5464D">
        <w:rPr>
          <w:rFonts w:eastAsia="Batang"/>
          <w:i/>
          <w:lang w:val="pt-BR"/>
        </w:rPr>
        <w:t xml:space="preserve">Condição jurídica e Direitos Humanos da Criança. </w:t>
      </w:r>
      <w:r w:rsidRPr="00D5464D">
        <w:rPr>
          <w:rFonts w:eastAsia="Batang"/>
          <w:lang w:val="pt-BR"/>
        </w:rPr>
        <w:t xml:space="preserve">Parecer Consultivo OC-17/02 de 28 de agosto de 2002. Série A Nº 17, par. 61; </w:t>
      </w:r>
      <w:r w:rsidRPr="00D5464D">
        <w:rPr>
          <w:rFonts w:eastAsia="Batang"/>
          <w:bCs/>
          <w:i/>
          <w:lang w:val="pt-BR"/>
        </w:rPr>
        <w:t xml:space="preserve">Direitos e garantias de crianças no contexto da migração e/ou em necessidade de proteção internacional. </w:t>
      </w:r>
      <w:r w:rsidRPr="00D5464D">
        <w:rPr>
          <w:rFonts w:eastAsia="Batang"/>
          <w:bCs/>
          <w:lang w:val="pt-BR"/>
        </w:rPr>
        <w:t>Parecer Consultivo OC-21/14 de 19 de agosto de 2014. Série A Nº 21</w:t>
      </w:r>
      <w:r w:rsidRPr="00D5464D">
        <w:rPr>
          <w:rFonts w:eastAsia="Batang"/>
          <w:bCs/>
          <w:i/>
          <w:lang w:val="pt-BR"/>
        </w:rPr>
        <w:t xml:space="preserve">, </w:t>
      </w:r>
      <w:r w:rsidRPr="00D5464D">
        <w:rPr>
          <w:lang w:val="pt-BR"/>
        </w:rPr>
        <w:t xml:space="preserve">par. 66 e </w:t>
      </w:r>
      <w:r w:rsidRPr="00D5464D">
        <w:rPr>
          <w:i/>
          <w:lang w:val="pt-BR"/>
        </w:rPr>
        <w:t>Caso</w:t>
      </w:r>
      <w:r w:rsidRPr="00D5464D">
        <w:rPr>
          <w:lang w:val="pt-BR"/>
        </w:rPr>
        <w:t xml:space="preserve"> </w:t>
      </w:r>
      <w:r w:rsidRPr="00D5464D">
        <w:rPr>
          <w:i/>
          <w:lang w:val="pt-BR"/>
        </w:rPr>
        <w:t>Rochac Hernández</w:t>
      </w:r>
      <w:r w:rsidRPr="00D5464D">
        <w:rPr>
          <w:lang w:val="pt-BR"/>
        </w:rPr>
        <w:t>, par. 106.</w:t>
      </w:r>
    </w:p>
  </w:footnote>
  <w:footnote w:id="460">
    <w:p w14:paraId="6D043AE3" w14:textId="682152D1" w:rsidR="00AF210B" w:rsidRPr="00D5464D" w:rsidRDefault="00AF210B" w:rsidP="002A0C2B">
      <w:pPr>
        <w:tabs>
          <w:tab w:val="left" w:pos="567"/>
        </w:tabs>
        <w:spacing w:after="20"/>
        <w:jc w:val="both"/>
        <w:rPr>
          <w:i/>
          <w:sz w:val="16"/>
          <w:szCs w:val="16"/>
          <w:lang w:val="pt-BR"/>
        </w:rPr>
      </w:pPr>
      <w:r w:rsidRPr="00D5464D">
        <w:rPr>
          <w:rStyle w:val="Refdenotaalpie"/>
          <w:sz w:val="16"/>
          <w:szCs w:val="16"/>
        </w:rPr>
        <w:footnoteRef/>
      </w:r>
      <w:r w:rsidRPr="00D5464D">
        <w:rPr>
          <w:sz w:val="16"/>
          <w:szCs w:val="16"/>
          <w:lang w:val="pt-BR"/>
        </w:rPr>
        <w:t xml:space="preserve"> </w:t>
      </w:r>
      <w:r w:rsidRPr="00D5464D">
        <w:rPr>
          <w:rFonts w:eastAsia="Batang"/>
          <w:i/>
          <w:sz w:val="16"/>
          <w:szCs w:val="16"/>
          <w:lang w:val="pt-BR"/>
        </w:rPr>
        <w:t>Cf. Caso das “Crianças de Rua” (Villagrán Morales e outros) Vs. Guatemala. Mérito</w:t>
      </w:r>
      <w:r w:rsidRPr="00D5464D">
        <w:rPr>
          <w:rFonts w:eastAsia="Batang"/>
          <w:sz w:val="16"/>
          <w:szCs w:val="16"/>
          <w:lang w:val="pt-BR"/>
        </w:rPr>
        <w:t xml:space="preserve">, par. 194 e </w:t>
      </w:r>
      <w:r w:rsidRPr="00D5464D">
        <w:rPr>
          <w:rFonts w:eastAsia="Batang"/>
          <w:i/>
          <w:sz w:val="16"/>
          <w:szCs w:val="16"/>
          <w:lang w:val="pt-BR"/>
        </w:rPr>
        <w:t xml:space="preserve">Caso </w:t>
      </w:r>
      <w:r w:rsidRPr="00D5464D">
        <w:rPr>
          <w:i/>
          <w:sz w:val="16"/>
          <w:szCs w:val="16"/>
          <w:lang w:val="pt-BR"/>
        </w:rPr>
        <w:t>Rochac Hernández e outros</w:t>
      </w:r>
      <w:r w:rsidRPr="00D5464D">
        <w:rPr>
          <w:sz w:val="16"/>
          <w:szCs w:val="16"/>
          <w:lang w:val="pt-BR"/>
        </w:rPr>
        <w:t>, par. 106.</w:t>
      </w:r>
    </w:p>
  </w:footnote>
  <w:footnote w:id="461">
    <w:p w14:paraId="56541877" w14:textId="25C96EEE"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OIT, Convenção nº 138 sobre a Idade Mínima de Admissão ao Emprego (Entrada em vigor: 19 de junho de 1976); Convenção nº 182, preâmbulo e artigo 3.</w:t>
      </w:r>
    </w:p>
  </w:footnote>
  <w:footnote w:id="462">
    <w:p w14:paraId="733B6CC3" w14:textId="1DBCE68D"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OIT, Convenção nº 182, artigo 3.</w:t>
      </w:r>
    </w:p>
  </w:footnote>
  <w:footnote w:id="463">
    <w:p w14:paraId="49C86562" w14:textId="3F28D47B" w:rsidR="00AF210B" w:rsidRPr="00D5464D" w:rsidRDefault="00AF210B" w:rsidP="002A0C2B">
      <w:pPr>
        <w:pStyle w:val="Textonotapie"/>
        <w:tabs>
          <w:tab w:val="left" w:pos="567"/>
          <w:tab w:val="left" w:pos="720"/>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rFonts w:eastAsia="Batang"/>
          <w:bCs/>
          <w:lang w:val="pt-BR"/>
        </w:rPr>
        <w:t xml:space="preserve">Convenção sobre os Direitos da Criança, </w:t>
      </w:r>
      <w:r w:rsidRPr="00D5464D">
        <w:rPr>
          <w:rFonts w:eastAsia="Batang"/>
          <w:lang w:val="pt-BR"/>
        </w:rPr>
        <w:t>artigo</w:t>
      </w:r>
      <w:r w:rsidRPr="00D5464D">
        <w:rPr>
          <w:rFonts w:eastAsia="Batang"/>
          <w:bCs/>
          <w:lang w:val="pt-BR"/>
        </w:rPr>
        <w:t>s 7, 8, 9, 11, 16, 18 e 32.</w:t>
      </w:r>
    </w:p>
  </w:footnote>
  <w:footnote w:id="464">
    <w:p w14:paraId="27E633D9" w14:textId="39106330"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OIT, Convenção nº 182, artigo 7.</w:t>
      </w:r>
    </w:p>
  </w:footnote>
  <w:footnote w:id="465">
    <w:p w14:paraId="6050A97C" w14:textId="1478D8CA" w:rsidR="00AF210B" w:rsidRPr="00D5464D" w:rsidRDefault="00AF210B" w:rsidP="002A0C2B">
      <w:pPr>
        <w:pStyle w:val="Textonotapie"/>
        <w:tabs>
          <w:tab w:val="clear" w:pos="4419"/>
          <w:tab w:val="clear" w:pos="8838"/>
          <w:tab w:val="right" w:pos="0"/>
        </w:tabs>
        <w:spacing w:after="20"/>
        <w:rPr>
          <w:i/>
          <w:lang w:val="pt-BR"/>
        </w:rPr>
      </w:pPr>
      <w:r w:rsidRPr="00D5464D">
        <w:rPr>
          <w:rStyle w:val="Refdenotaalpie"/>
          <w:szCs w:val="16"/>
          <w:lang w:val="es-CR"/>
        </w:rPr>
        <w:footnoteRef/>
      </w:r>
      <w:r w:rsidRPr="00D5464D">
        <w:rPr>
          <w:lang w:val="pt-BR"/>
        </w:rPr>
        <w:t xml:space="preserve"> </w:t>
      </w:r>
      <w:r w:rsidRPr="00D5464D">
        <w:rPr>
          <w:i/>
          <w:lang w:val="pt-BR"/>
        </w:rPr>
        <w:t>Cf. Proposta de modificação à Constituição Política da Costa Rica relacionada à naturalização</w:t>
      </w:r>
      <w:r w:rsidRPr="00D5464D">
        <w:rPr>
          <w:lang w:val="pt-BR"/>
        </w:rPr>
        <w:t xml:space="preserve">. Parecer Consultivo OC-4/84 de 19 de janeiro de 1984. Série A Nº 4, pars. 53 e 54 e </w:t>
      </w:r>
      <w:r w:rsidRPr="00D5464D">
        <w:rPr>
          <w:bCs/>
          <w:i/>
          <w:lang w:val="pt-BR"/>
        </w:rPr>
        <w:t>Caso Duque Vs. Colômbia</w:t>
      </w:r>
      <w:r w:rsidRPr="00D5464D">
        <w:rPr>
          <w:bCs/>
          <w:lang w:val="pt-BR"/>
        </w:rPr>
        <w:t xml:space="preserve">. </w:t>
      </w:r>
      <w:r w:rsidRPr="00D5464D">
        <w:rPr>
          <w:bCs/>
          <w:i/>
          <w:lang w:val="pt-BR"/>
        </w:rPr>
        <w:t>Exceções Preliminares, Mérito, Reparações e Custas</w:t>
      </w:r>
      <w:r w:rsidRPr="00D5464D">
        <w:rPr>
          <w:bCs/>
          <w:lang w:val="pt-BR"/>
        </w:rPr>
        <w:t>. Sentença de 26 de fevereiro de 2016. Série C Nº 310, par. 94.</w:t>
      </w:r>
      <w:r w:rsidRPr="00D5464D">
        <w:rPr>
          <w:lang w:val="pt-BR"/>
        </w:rPr>
        <w:t xml:space="preserve"> </w:t>
      </w:r>
    </w:p>
  </w:footnote>
  <w:footnote w:id="466">
    <w:p w14:paraId="1182D6A9" w14:textId="4DCDEFC4" w:rsidR="00AF210B" w:rsidRPr="00D5464D" w:rsidRDefault="00AF210B" w:rsidP="002A0C2B">
      <w:pPr>
        <w:pStyle w:val="Textonotapie"/>
        <w:tabs>
          <w:tab w:val="clear" w:pos="4419"/>
          <w:tab w:val="clear" w:pos="8838"/>
          <w:tab w:val="right" w:pos="0"/>
        </w:tabs>
        <w:spacing w:after="20"/>
        <w:rPr>
          <w:rFonts w:cs="Vrinda"/>
          <w:lang w:val="pt-BR"/>
        </w:rPr>
      </w:pPr>
      <w:r w:rsidRPr="00D5464D">
        <w:rPr>
          <w:rStyle w:val="Refdenotaalpie"/>
          <w:rFonts w:cs="Vrinda"/>
          <w:szCs w:val="16"/>
        </w:rPr>
        <w:footnoteRef/>
      </w:r>
      <w:r w:rsidRPr="00D5464D">
        <w:rPr>
          <w:rFonts w:cs="Vrinda"/>
          <w:lang w:val="pt-BR"/>
        </w:rPr>
        <w:t xml:space="preserve"> </w:t>
      </w:r>
      <w:r w:rsidRPr="00D5464D">
        <w:rPr>
          <w:rFonts w:cs="Vrinda"/>
          <w:i/>
          <w:lang w:val="pt-BR"/>
        </w:rPr>
        <w:t xml:space="preserve">Cf. Caso Yatama Vs. </w:t>
      </w:r>
      <w:r w:rsidRPr="00D5464D">
        <w:rPr>
          <w:i/>
          <w:lang w:val="pt-BR"/>
        </w:rPr>
        <w:t>Nicarágua</w:t>
      </w:r>
      <w:r w:rsidRPr="00D5464D">
        <w:rPr>
          <w:rStyle w:val="Textoennegrita"/>
          <w:rFonts w:cs="Vrinda"/>
          <w:b w:val="0"/>
          <w:i/>
          <w:lang w:val="pt-BR"/>
        </w:rPr>
        <w:t>. Exceções Preliminares, Mérito, Reparações e Custas.</w:t>
      </w:r>
      <w:r w:rsidRPr="00D5464D">
        <w:rPr>
          <w:rFonts w:cs="Vrinda"/>
          <w:lang w:val="pt-BR"/>
        </w:rPr>
        <w:t xml:space="preserve"> Sentença de 23 de junho de 2005.</w:t>
      </w:r>
      <w:r w:rsidRPr="00D5464D">
        <w:rPr>
          <w:rStyle w:val="Textoennegrita"/>
          <w:rFonts w:cs="Vrinda"/>
          <w:lang w:val="pt-BR"/>
        </w:rPr>
        <w:t xml:space="preserve"> </w:t>
      </w:r>
      <w:r w:rsidRPr="00D5464D">
        <w:rPr>
          <w:rStyle w:val="Textoennegrita"/>
          <w:rFonts w:cs="Vrinda"/>
          <w:b w:val="0"/>
          <w:lang w:val="pt-BR"/>
        </w:rPr>
        <w:t>Série C Nº 127</w:t>
      </w:r>
      <w:r w:rsidRPr="00D5464D">
        <w:rPr>
          <w:rFonts w:cs="Vrinda"/>
          <w:lang w:val="pt-BR"/>
        </w:rPr>
        <w:t xml:space="preserve">, par. 186 e </w:t>
      </w:r>
      <w:r w:rsidRPr="00D5464D">
        <w:rPr>
          <w:rFonts w:cs="Vrinda"/>
          <w:i/>
          <w:lang w:val="pt-BR"/>
        </w:rPr>
        <w:t>Caso Duque</w:t>
      </w:r>
      <w:r w:rsidRPr="00D5464D">
        <w:rPr>
          <w:rFonts w:cs="Vrinda"/>
          <w:lang w:val="pt-BR"/>
        </w:rPr>
        <w:t>,</w:t>
      </w:r>
      <w:r w:rsidRPr="00D5464D">
        <w:rPr>
          <w:rStyle w:val="Textoennegrita"/>
          <w:rFonts w:cs="Vrinda"/>
          <w:b w:val="0"/>
          <w:i/>
          <w:lang w:val="pt-BR"/>
        </w:rPr>
        <w:t xml:space="preserve"> </w:t>
      </w:r>
      <w:r w:rsidRPr="00D5464D">
        <w:rPr>
          <w:rStyle w:val="Textoennegrita"/>
          <w:rFonts w:cs="Vrinda"/>
          <w:b w:val="0"/>
          <w:lang w:val="pt-BR"/>
        </w:rPr>
        <w:t>par. 94.</w:t>
      </w:r>
      <w:r w:rsidRPr="00D5464D">
        <w:rPr>
          <w:rStyle w:val="Textoennegrita"/>
          <w:rFonts w:cs="Vrinda"/>
          <w:lang w:val="pt-BR"/>
        </w:rPr>
        <w:t xml:space="preserve"> </w:t>
      </w:r>
    </w:p>
  </w:footnote>
  <w:footnote w:id="467">
    <w:p w14:paraId="6371D85A" w14:textId="2DFC1F4F"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Cf. Caso Apitz Barbera e outros (“Corte Primeira do Contencioso Administrativo”)</w:t>
      </w:r>
      <w:r w:rsidRPr="00D5464D">
        <w:rPr>
          <w:lang w:val="pt-BR"/>
        </w:rPr>
        <w:t xml:space="preserve">, par. 209 e </w:t>
      </w:r>
      <w:r w:rsidRPr="00D5464D">
        <w:rPr>
          <w:i/>
          <w:lang w:val="pt-BR"/>
        </w:rPr>
        <w:t>Caso Duque,</w:t>
      </w:r>
      <w:r w:rsidRPr="00D5464D">
        <w:rPr>
          <w:lang w:val="pt-BR"/>
        </w:rPr>
        <w:t xml:space="preserve"> par. 94. </w:t>
      </w:r>
    </w:p>
  </w:footnote>
  <w:footnote w:id="468">
    <w:p w14:paraId="2185CF10" w14:textId="1F984ED2" w:rsidR="00AF210B" w:rsidRPr="00D5464D" w:rsidRDefault="00AF210B" w:rsidP="002A0C2B">
      <w:pPr>
        <w:pStyle w:val="Textonotapie"/>
        <w:tabs>
          <w:tab w:val="clear" w:pos="4419"/>
          <w:tab w:val="clear" w:pos="8838"/>
          <w:tab w:val="right" w:pos="0"/>
        </w:tabs>
        <w:spacing w:after="20"/>
        <w:rPr>
          <w:i/>
          <w:lang w:val="pt-BR"/>
        </w:rPr>
      </w:pPr>
      <w:r w:rsidRPr="00D5464D">
        <w:rPr>
          <w:rStyle w:val="Refdenotaalpie"/>
          <w:szCs w:val="16"/>
        </w:rPr>
        <w:footnoteRef/>
      </w:r>
      <w:r w:rsidRPr="00D5464D">
        <w:rPr>
          <w:lang w:val="pt-BR"/>
        </w:rPr>
        <w:t xml:space="preserve"> </w:t>
      </w:r>
      <w:r w:rsidRPr="00D5464D">
        <w:rPr>
          <w:i/>
          <w:lang w:val="pt-BR"/>
        </w:rPr>
        <w:t>Cf. Proposta de modificação à Constituição Política da Costa Rica relacionada à naturalização</w:t>
      </w:r>
      <w:r w:rsidRPr="00D5464D">
        <w:rPr>
          <w:lang w:val="pt-BR"/>
        </w:rPr>
        <w:t xml:space="preserve">, par. 53; e </w:t>
      </w:r>
      <w:r w:rsidRPr="00D5464D">
        <w:rPr>
          <w:i/>
          <w:lang w:val="pt-BR"/>
        </w:rPr>
        <w:t>Caso Duque,</w:t>
      </w:r>
      <w:r w:rsidRPr="00D5464D">
        <w:rPr>
          <w:lang w:val="pt-BR"/>
        </w:rPr>
        <w:t xml:space="preserve"> par. 94. </w:t>
      </w:r>
    </w:p>
  </w:footnote>
  <w:footnote w:id="469">
    <w:p w14:paraId="25654E8A" w14:textId="5249DFF9" w:rsidR="00AF210B" w:rsidRPr="00D5464D" w:rsidRDefault="00AF210B" w:rsidP="002A0C2B">
      <w:pPr>
        <w:pStyle w:val="Textonotapie"/>
        <w:tabs>
          <w:tab w:val="clear" w:pos="4419"/>
          <w:tab w:val="clear" w:pos="8838"/>
          <w:tab w:val="right" w:pos="0"/>
        </w:tabs>
        <w:spacing w:after="20"/>
        <w:rPr>
          <w:rFonts w:cs="Arial"/>
          <w:i/>
          <w:iCs/>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rFonts w:cs="Arial"/>
          <w:bCs/>
          <w:i/>
          <w:lang w:val="pt-BR"/>
        </w:rPr>
        <w:t xml:space="preserve">Condição jurídica e direitos dos migrantes indocumentados. </w:t>
      </w:r>
      <w:r w:rsidRPr="00D5464D">
        <w:rPr>
          <w:rStyle w:val="Textoennegrita"/>
          <w:b w:val="0"/>
          <w:color w:val="000000"/>
          <w:shd w:val="clear" w:color="auto" w:fill="FFFFFF"/>
          <w:lang w:val="pt-BR"/>
        </w:rPr>
        <w:t>Parecer Consultivo OC-18/03 de 17 de setembro de 2003. Série A Nº 18</w:t>
      </w:r>
      <w:r w:rsidRPr="00D5464D">
        <w:rPr>
          <w:rFonts w:cs="Arial"/>
          <w:lang w:val="pt-BR"/>
        </w:rPr>
        <w:t>, par. 85</w:t>
      </w:r>
      <w:r w:rsidRPr="00D5464D">
        <w:rPr>
          <w:rFonts w:cs="Arial"/>
          <w:i/>
          <w:iCs/>
          <w:lang w:val="pt-BR"/>
        </w:rPr>
        <w:t>; e</w:t>
      </w:r>
      <w:r w:rsidRPr="00D5464D">
        <w:rPr>
          <w:lang w:val="pt-BR"/>
        </w:rPr>
        <w:t xml:space="preserve"> </w:t>
      </w:r>
      <w:r w:rsidRPr="00D5464D">
        <w:rPr>
          <w:i/>
          <w:lang w:val="pt-BR"/>
        </w:rPr>
        <w:t>Caso Duque,</w:t>
      </w:r>
      <w:r w:rsidRPr="00D5464D">
        <w:rPr>
          <w:lang w:val="pt-BR"/>
        </w:rPr>
        <w:t xml:space="preserve"> par. 94.</w:t>
      </w:r>
    </w:p>
  </w:footnote>
  <w:footnote w:id="470">
    <w:p w14:paraId="3A82C0AD" w14:textId="773E969D"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rFonts w:cs="Arial"/>
          <w:bCs/>
          <w:i/>
          <w:lang w:val="pt-BR"/>
        </w:rPr>
        <w:t>Condição jurídica e direitos dos migrantes indocumentados</w:t>
      </w:r>
      <w:r w:rsidRPr="00D5464D">
        <w:rPr>
          <w:rFonts w:cs="Arial"/>
          <w:i/>
          <w:iCs/>
          <w:lang w:val="pt-BR"/>
        </w:rPr>
        <w:t xml:space="preserve">, </w:t>
      </w:r>
      <w:r w:rsidRPr="00D5464D">
        <w:rPr>
          <w:rFonts w:cs="Arial"/>
          <w:lang w:val="pt-BR"/>
        </w:rPr>
        <w:t>par. 85; e</w:t>
      </w:r>
      <w:r w:rsidRPr="00D5464D">
        <w:rPr>
          <w:lang w:val="pt-BR"/>
        </w:rPr>
        <w:t xml:space="preserve"> </w:t>
      </w:r>
      <w:r w:rsidRPr="00D5464D">
        <w:rPr>
          <w:i/>
          <w:lang w:val="pt-BR"/>
        </w:rPr>
        <w:t>Caso Duque,</w:t>
      </w:r>
      <w:r w:rsidRPr="00D5464D">
        <w:rPr>
          <w:lang w:val="pt-BR"/>
        </w:rPr>
        <w:t xml:space="preserve"> par. 94.</w:t>
      </w:r>
    </w:p>
  </w:footnote>
  <w:footnote w:id="471">
    <w:p w14:paraId="45267DB2" w14:textId="7A16DD90" w:rsidR="00AF210B" w:rsidRPr="00D5464D" w:rsidRDefault="00AF210B" w:rsidP="002A0C2B">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jc w:val="both"/>
        <w:rPr>
          <w:sz w:val="16"/>
          <w:szCs w:val="16"/>
          <w:lang w:val="pt-BR"/>
        </w:rPr>
      </w:pPr>
      <w:r w:rsidRPr="00D5464D">
        <w:rPr>
          <w:rStyle w:val="Refdenotaalpie"/>
          <w:sz w:val="16"/>
          <w:szCs w:val="16"/>
        </w:rPr>
        <w:footnoteRef/>
      </w:r>
      <w:r w:rsidRPr="00D5464D">
        <w:rPr>
          <w:sz w:val="16"/>
          <w:szCs w:val="16"/>
          <w:lang w:val="pt-BR"/>
        </w:rPr>
        <w:t xml:space="preserve"> </w:t>
      </w:r>
      <w:r w:rsidRPr="00D5464D">
        <w:rPr>
          <w:sz w:val="16"/>
          <w:szCs w:val="16"/>
          <w:lang w:val="pt-BR"/>
        </w:rPr>
        <w:tab/>
        <w:t xml:space="preserve"> </w:t>
      </w:r>
      <w:r w:rsidRPr="00D5464D">
        <w:rPr>
          <w:rFonts w:eastAsia="Times New Roman"/>
          <w:i/>
          <w:sz w:val="16"/>
          <w:szCs w:val="16"/>
          <w:lang w:val="pt-BR"/>
        </w:rPr>
        <w:t xml:space="preserve">Condição Jurídica e Direitos dos Migrantes Indocumentados, </w:t>
      </w:r>
      <w:r w:rsidRPr="00D5464D">
        <w:rPr>
          <w:rFonts w:eastAsia="Times New Roman"/>
          <w:sz w:val="16"/>
          <w:szCs w:val="16"/>
          <w:lang w:val="pt-BR"/>
        </w:rPr>
        <w:t xml:space="preserve">par. 103 e </w:t>
      </w:r>
      <w:r w:rsidRPr="00D5464D">
        <w:rPr>
          <w:rFonts w:eastAsia="Times New Roman"/>
          <w:i/>
          <w:sz w:val="16"/>
          <w:szCs w:val="16"/>
          <w:lang w:val="pt-BR"/>
        </w:rPr>
        <w:t>Caso Duque</w:t>
      </w:r>
      <w:r w:rsidRPr="00D5464D">
        <w:rPr>
          <w:sz w:val="16"/>
          <w:szCs w:val="16"/>
          <w:lang w:val="pt-BR"/>
        </w:rPr>
        <w:t>, par. 92.</w:t>
      </w:r>
    </w:p>
  </w:footnote>
  <w:footnote w:id="472">
    <w:p w14:paraId="70B0EF20" w14:textId="3829A9AF" w:rsidR="00AF210B" w:rsidRPr="00D5464D" w:rsidRDefault="00AF210B" w:rsidP="002A0C2B">
      <w:pPr>
        <w:pStyle w:val="Textonotapie"/>
        <w:tabs>
          <w:tab w:val="left" w:pos="284"/>
        </w:tabs>
        <w:spacing w:after="20"/>
        <w:rPr>
          <w:lang w:val="pt-BR"/>
        </w:rPr>
      </w:pPr>
      <w:r w:rsidRPr="00D5464D">
        <w:rPr>
          <w:rStyle w:val="Refdenotaalpie"/>
          <w:szCs w:val="16"/>
        </w:rPr>
        <w:footnoteRef/>
      </w:r>
      <w:r w:rsidRPr="00D5464D">
        <w:rPr>
          <w:lang w:val="pt-BR"/>
        </w:rPr>
        <w:t xml:space="preserve"> </w:t>
      </w:r>
      <w:r w:rsidRPr="00D5464D">
        <w:rPr>
          <w:lang w:val="pt-BR"/>
        </w:rPr>
        <w:tab/>
      </w:r>
      <w:r w:rsidRPr="00D5464D">
        <w:rPr>
          <w:i/>
          <w:lang w:val="pt-BR"/>
        </w:rPr>
        <w:t xml:space="preserve">Cf. </w:t>
      </w:r>
      <w:r w:rsidRPr="00D5464D">
        <w:rPr>
          <w:rStyle w:val="apple-style-span"/>
          <w:rFonts w:eastAsia="Calibri"/>
          <w:bCs/>
          <w:i/>
          <w:lang w:val="pt-BR"/>
        </w:rPr>
        <w:t xml:space="preserve">Condição Jurídica e Direitos dos Migrantes Indocumentados, </w:t>
      </w:r>
      <w:r w:rsidRPr="00D5464D">
        <w:rPr>
          <w:lang w:val="pt-BR"/>
        </w:rPr>
        <w:t xml:space="preserve">par. 104 e </w:t>
      </w:r>
      <w:r w:rsidRPr="00D5464D">
        <w:rPr>
          <w:bCs/>
          <w:i/>
          <w:lang w:val="pt-BR"/>
        </w:rPr>
        <w:t xml:space="preserve">Caso </w:t>
      </w:r>
      <w:r w:rsidRPr="00D5464D">
        <w:rPr>
          <w:bCs/>
          <w:lang w:val="pt-BR"/>
        </w:rPr>
        <w:t>Duque</w:t>
      </w:r>
      <w:r w:rsidRPr="00D5464D">
        <w:rPr>
          <w:lang w:val="pt-BR"/>
        </w:rPr>
        <w:t xml:space="preserve">, par. 92. </w:t>
      </w:r>
    </w:p>
  </w:footnote>
  <w:footnote w:id="473">
    <w:p w14:paraId="0071C4C9" w14:textId="36702E1F" w:rsidR="00AF210B" w:rsidRPr="00D5464D" w:rsidRDefault="00AF210B" w:rsidP="002A0C2B">
      <w:pPr>
        <w:pStyle w:val="Textonotapie"/>
        <w:spacing w:after="20"/>
        <w:rPr>
          <w:rFonts w:cs="Verdana"/>
          <w:bCs/>
          <w:lang w:val="pt-BR"/>
        </w:rPr>
      </w:pPr>
      <w:r w:rsidRPr="00D5464D">
        <w:rPr>
          <w:rStyle w:val="Refdenotaalpie"/>
          <w:szCs w:val="16"/>
          <w:lang w:val="es-ES_tradnl"/>
        </w:rPr>
        <w:footnoteRef/>
      </w:r>
      <w:r w:rsidRPr="00D5464D">
        <w:rPr>
          <w:lang w:val="pt-BR"/>
        </w:rPr>
        <w:t xml:space="preserve"> </w:t>
      </w:r>
      <w:r w:rsidRPr="00D5464D">
        <w:rPr>
          <w:i/>
          <w:lang w:val="pt-BR"/>
        </w:rPr>
        <w:tab/>
        <w:t xml:space="preserve">Cf. </w:t>
      </w:r>
      <w:r w:rsidRPr="00D5464D">
        <w:rPr>
          <w:rFonts w:cs="Verdana"/>
          <w:bCs/>
          <w:i/>
          <w:lang w:val="pt-BR"/>
        </w:rPr>
        <w:t>Caso do “Massacre de Mapiripán" Vs. Colômbia</w:t>
      </w:r>
      <w:r w:rsidRPr="00D5464D">
        <w:rPr>
          <w:rFonts w:cs="Verdana"/>
          <w:bCs/>
          <w:lang w:val="pt-BR"/>
        </w:rPr>
        <w:t xml:space="preserve">. Sentença de 15 de setembro de 2005. Série C Nº 134, pars. 111 e 113 e </w:t>
      </w:r>
      <w:r w:rsidRPr="00D5464D">
        <w:rPr>
          <w:rFonts w:cs="Verdana"/>
          <w:bCs/>
          <w:i/>
          <w:lang w:val="pt-BR"/>
        </w:rPr>
        <w:t>Caso Chinchilla Sandoval</w:t>
      </w:r>
      <w:r w:rsidRPr="00D5464D">
        <w:rPr>
          <w:rFonts w:cs="Verdana"/>
          <w:bCs/>
          <w:lang w:val="pt-BR"/>
        </w:rPr>
        <w:t>, par. 168</w:t>
      </w:r>
      <w:r w:rsidRPr="00D5464D">
        <w:rPr>
          <w:lang w:val="pt-BR"/>
        </w:rPr>
        <w:t>.</w:t>
      </w:r>
    </w:p>
  </w:footnote>
  <w:footnote w:id="474">
    <w:p w14:paraId="2796FFFA" w14:textId="6902B2A0" w:rsidR="00AF210B" w:rsidRPr="00D5464D" w:rsidRDefault="00AF210B" w:rsidP="002A0C2B">
      <w:pPr>
        <w:widowControl w:val="0"/>
        <w:autoSpaceDE w:val="0"/>
        <w:autoSpaceDN w:val="0"/>
        <w:adjustRightInd w:val="0"/>
        <w:spacing w:after="20"/>
        <w:jc w:val="both"/>
        <w:rPr>
          <w:rFonts w:cs="Times New Roman"/>
          <w:sz w:val="16"/>
          <w:szCs w:val="16"/>
          <w:lang w:val="pt-BR"/>
        </w:rPr>
      </w:pPr>
      <w:r w:rsidRPr="00D5464D">
        <w:rPr>
          <w:rStyle w:val="Refdenotaalpie"/>
          <w:sz w:val="16"/>
          <w:szCs w:val="16"/>
        </w:rPr>
        <w:footnoteRef/>
      </w:r>
      <w:r w:rsidRPr="00D5464D">
        <w:rPr>
          <w:sz w:val="16"/>
          <w:szCs w:val="16"/>
          <w:lang w:val="pt-BR"/>
        </w:rPr>
        <w:t xml:space="preserve"> </w:t>
      </w:r>
      <w:r w:rsidRPr="00D5464D">
        <w:rPr>
          <w:sz w:val="16"/>
          <w:szCs w:val="16"/>
          <w:lang w:val="pt-BR"/>
        </w:rPr>
        <w:tab/>
      </w:r>
      <w:r w:rsidRPr="00D5464D">
        <w:rPr>
          <w:i/>
          <w:sz w:val="16"/>
          <w:szCs w:val="16"/>
          <w:lang w:val="pt-BR"/>
        </w:rPr>
        <w:t xml:space="preserve"> Cf. </w:t>
      </w:r>
      <w:r w:rsidRPr="00D5464D">
        <w:rPr>
          <w:rFonts w:cs="Verdana"/>
          <w:bCs/>
          <w:i/>
          <w:sz w:val="16"/>
          <w:szCs w:val="16"/>
          <w:lang w:val="pt-BR"/>
        </w:rPr>
        <w:t>Caso da Comunidade Indígena Sawhoyamaxa Vs. Paraguai. Mérito, Reparações e Custas</w:t>
      </w:r>
      <w:r w:rsidRPr="00D5464D">
        <w:rPr>
          <w:rFonts w:cs="Verdana"/>
          <w:bCs/>
          <w:sz w:val="16"/>
          <w:szCs w:val="16"/>
          <w:lang w:val="pt-BR"/>
        </w:rPr>
        <w:t>. Sentença de 29 de março de 2006. Série C Nº 146, par. 154. Num sentido similar, a Corte também expressou que</w:t>
      </w:r>
      <w:r w:rsidRPr="00D5464D">
        <w:rPr>
          <w:rFonts w:cs="Times New Roman"/>
          <w:sz w:val="16"/>
          <w:szCs w:val="16"/>
          <w:lang w:val="pt-BR"/>
        </w:rPr>
        <w:t xml:space="preserve"> “os Estados devem levar em conta que os grupos de indivíduos que vivem em circunstâncias adversas e com menos recursos, tais como as pessoas em condição de extrema pobreza, as crianças e adolescentes em situação de risco e as populações indígenas, enfrentam um aumento do risco de padecer de deficiências mentais […]. É direto e significativo o vínculo existente entre a deficiência, por um lado e a pobreza e a exclusão social, por outro. Entre as medidas positivas a cargo dos Estados encontram-se, pelas razões expostas, as necessárias para evitar todas as formas de deficiência que possam ser prevenidas e estender às pessoas que padeçam de deficiências mentais o tratamento preferencial apropriado a sua condição”. </w:t>
      </w:r>
      <w:r w:rsidRPr="00D5464D">
        <w:rPr>
          <w:rFonts w:cs="Verdana"/>
          <w:bCs/>
          <w:i/>
          <w:sz w:val="16"/>
          <w:szCs w:val="16"/>
          <w:lang w:val="pt-BR"/>
        </w:rPr>
        <w:t>Caso Ximenes Lopes Vs. Brasil</w:t>
      </w:r>
      <w:r w:rsidRPr="00D5464D">
        <w:rPr>
          <w:rFonts w:cs="Verdana"/>
          <w:bCs/>
          <w:sz w:val="16"/>
          <w:szCs w:val="16"/>
          <w:lang w:val="pt-BR"/>
        </w:rPr>
        <w:t>. Sentença de 4 de julho de 2006. Série C Nº 149, par. 104</w:t>
      </w:r>
      <w:r w:rsidRPr="00D5464D">
        <w:rPr>
          <w:rFonts w:cs="Times New Roman"/>
          <w:sz w:val="16"/>
          <w:szCs w:val="16"/>
          <w:lang w:val="pt-BR"/>
        </w:rPr>
        <w:t xml:space="preserve">. No </w:t>
      </w:r>
      <w:r w:rsidRPr="00D5464D">
        <w:rPr>
          <w:rFonts w:cs="Times New Roman"/>
          <w:i/>
          <w:sz w:val="16"/>
          <w:szCs w:val="16"/>
          <w:lang w:val="pt-BR"/>
        </w:rPr>
        <w:t>caso Xákmok Kásek</w:t>
      </w:r>
      <w:r w:rsidRPr="00D5464D">
        <w:rPr>
          <w:rFonts w:cs="Times New Roman"/>
          <w:sz w:val="16"/>
          <w:szCs w:val="16"/>
          <w:lang w:val="pt-BR"/>
        </w:rPr>
        <w:t xml:space="preserve"> a Corte considerou que “a extrema pobreza e a falta de atendimento médico adequado a mulheres em estado de gravidez ou pós-gravidez são causas de alta mortalidade e morbidade materna”. </w:t>
      </w:r>
      <w:r w:rsidRPr="00D5464D">
        <w:rPr>
          <w:rFonts w:cs="Verdana"/>
          <w:bCs/>
          <w:i/>
          <w:sz w:val="16"/>
          <w:szCs w:val="16"/>
          <w:lang w:val="pt-BR"/>
        </w:rPr>
        <w:t>Caso da Comunidade Indígena Xákmok Kásek Vs. Paraguai. Mérito, Reparações e Custas</w:t>
      </w:r>
      <w:r w:rsidRPr="00D5464D">
        <w:rPr>
          <w:rFonts w:cs="Verdana"/>
          <w:bCs/>
          <w:sz w:val="16"/>
          <w:szCs w:val="16"/>
          <w:lang w:val="pt-BR"/>
        </w:rPr>
        <w:t>. Sentença de 24 de agosto de 2010. Série C Nº 214, par.</w:t>
      </w:r>
      <w:r w:rsidRPr="00D5464D">
        <w:rPr>
          <w:rFonts w:cs="Times New Roman"/>
          <w:sz w:val="16"/>
          <w:szCs w:val="16"/>
          <w:lang w:val="pt-BR"/>
        </w:rPr>
        <w:t xml:space="preserve"> 233.</w:t>
      </w:r>
      <w:r w:rsidRPr="00D5464D">
        <w:rPr>
          <w:sz w:val="16"/>
          <w:szCs w:val="16"/>
          <w:lang w:val="pt-BR"/>
        </w:rPr>
        <w:tab/>
      </w:r>
    </w:p>
  </w:footnote>
  <w:footnote w:id="475">
    <w:p w14:paraId="3522AC57" w14:textId="0EC409ED"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Ministério do Trabalho e Emprego. </w:t>
      </w:r>
      <w:r w:rsidRPr="00D5464D">
        <w:rPr>
          <w:i/>
          <w:lang w:val="pt-BR"/>
        </w:rPr>
        <w:t>Manual de Combate ao Trabalho em Condições Análogas às de Escravo</w:t>
      </w:r>
      <w:r w:rsidRPr="00D5464D">
        <w:rPr>
          <w:lang w:val="pt-BR"/>
        </w:rPr>
        <w:t>, 2011, pág. 13 (expediente de prova, folha 6714).</w:t>
      </w:r>
    </w:p>
  </w:footnote>
  <w:footnote w:id="476">
    <w:p w14:paraId="0E3A430D" w14:textId="3A8C9A3F"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OIT – Brasil. </w:t>
      </w:r>
      <w:r w:rsidRPr="00D5464D">
        <w:rPr>
          <w:i/>
          <w:lang w:val="pt-BR"/>
        </w:rPr>
        <w:t>Combatendo o Trabalho Escravo Contemporâneo: o Exemplo do Brasil</w:t>
      </w:r>
      <w:r w:rsidRPr="00D5464D">
        <w:rPr>
          <w:lang w:val="pt-BR"/>
        </w:rPr>
        <w:t>, 2010, pág. 2010 (expediente de prova, folha 8529).</w:t>
      </w:r>
    </w:p>
  </w:footnote>
  <w:footnote w:id="477">
    <w:p w14:paraId="5EFA031E" w14:textId="340DBB75" w:rsidR="00AF210B" w:rsidRPr="00D5464D" w:rsidRDefault="00AF210B" w:rsidP="002A0C2B">
      <w:pPr>
        <w:pStyle w:val="Textonotapie"/>
        <w:tabs>
          <w:tab w:val="right" w:pos="0"/>
        </w:tabs>
        <w:spacing w:after="20"/>
        <w:rPr>
          <w:lang w:val="pt-BR"/>
        </w:rPr>
      </w:pPr>
      <w:r w:rsidRPr="00D5464D">
        <w:rPr>
          <w:rStyle w:val="Refdenotaalpie"/>
          <w:szCs w:val="16"/>
        </w:rPr>
        <w:footnoteRef/>
      </w:r>
      <w:r w:rsidRPr="00D5464D">
        <w:rPr>
          <w:lang w:val="pt-BR"/>
        </w:rPr>
        <w:t xml:space="preserve"> </w:t>
      </w:r>
      <w:r w:rsidRPr="00D5464D">
        <w:rPr>
          <w:bCs/>
          <w:lang w:val="pt-BR"/>
        </w:rPr>
        <w:t>Artigo 8. Garantias Judiciais.</w:t>
      </w:r>
      <w:r w:rsidRPr="00D5464D">
        <w:rPr>
          <w:b/>
          <w:bCs/>
          <w:lang w:val="pt-BR"/>
        </w:rPr>
        <w:t xml:space="preserve"> </w:t>
      </w:r>
      <w:r w:rsidRPr="00D5464D">
        <w:rPr>
          <w:lang w:val="pt-BR"/>
        </w:rPr>
        <w:t>1. Toda pessoa tem direito a ser ouvida, com as devidas garantias e dentro de um prazo razoável, por um juiz ou tribunal competente, independente e imparcial, estabelecido anteriormente por lei, na apuração de qualquer acusação penal formulada contra ela, ou para que se determinem seus direitos ou obrigações de natureza civil, trabalhista, fiscal ou de qualquer outra natureza.</w:t>
      </w:r>
    </w:p>
    <w:p w14:paraId="38567B5A" w14:textId="77777777" w:rsidR="00AF210B" w:rsidRPr="00D5464D" w:rsidRDefault="00AF210B" w:rsidP="002A0C2B">
      <w:pPr>
        <w:pStyle w:val="Textonotapie"/>
        <w:tabs>
          <w:tab w:val="right" w:pos="0"/>
        </w:tabs>
        <w:spacing w:after="20"/>
        <w:rPr>
          <w:lang w:val="pt-BR"/>
        </w:rPr>
      </w:pPr>
      <w:r w:rsidRPr="00D5464D">
        <w:rPr>
          <w:lang w:val="pt-BR"/>
        </w:rPr>
        <w:t>2. Toda pessoa acusada de delito tem direito a que se presuma sua inocência enquanto não se comprove legalmente sua culpa. Durante o processo, toda pessoa tem direito, em plena igualdade, às seguintes garantias mínimas:</w:t>
      </w:r>
    </w:p>
    <w:p w14:paraId="68C70349" w14:textId="77777777" w:rsidR="00AF210B" w:rsidRPr="00D5464D" w:rsidRDefault="00AF210B" w:rsidP="002A0C2B">
      <w:pPr>
        <w:pStyle w:val="Textonotapie"/>
        <w:tabs>
          <w:tab w:val="right" w:pos="0"/>
        </w:tabs>
        <w:spacing w:after="20"/>
        <w:rPr>
          <w:lang w:val="pt-BR"/>
        </w:rPr>
      </w:pPr>
      <w:r w:rsidRPr="00D5464D">
        <w:rPr>
          <w:lang w:val="pt-BR"/>
        </w:rPr>
        <w:t>a. direito do acusado de ser assistido gratuitamente por tradutor ou intérprete, se não compreender ou não falar o idioma do juízo ou tribunal;</w:t>
      </w:r>
    </w:p>
    <w:p w14:paraId="35D5EE52" w14:textId="77777777" w:rsidR="00AF210B" w:rsidRPr="00D5464D" w:rsidRDefault="00AF210B" w:rsidP="002A0C2B">
      <w:pPr>
        <w:pStyle w:val="Textonotapie"/>
        <w:tabs>
          <w:tab w:val="right" w:pos="0"/>
        </w:tabs>
        <w:spacing w:after="20"/>
        <w:rPr>
          <w:lang w:val="pt-BR"/>
        </w:rPr>
      </w:pPr>
      <w:r w:rsidRPr="00D5464D">
        <w:rPr>
          <w:lang w:val="pt-BR"/>
        </w:rPr>
        <w:t>b. comunicação prévia e pormenorizada ao acusado da acusação formulada;</w:t>
      </w:r>
    </w:p>
    <w:p w14:paraId="6B24A1B8" w14:textId="77777777" w:rsidR="00AF210B" w:rsidRPr="00D5464D" w:rsidRDefault="00AF210B" w:rsidP="002A0C2B">
      <w:pPr>
        <w:pStyle w:val="Textonotapie"/>
        <w:tabs>
          <w:tab w:val="right" w:pos="0"/>
        </w:tabs>
        <w:spacing w:after="20"/>
        <w:rPr>
          <w:lang w:val="pt-BR"/>
        </w:rPr>
      </w:pPr>
      <w:r w:rsidRPr="00D5464D">
        <w:rPr>
          <w:lang w:val="pt-BR"/>
        </w:rPr>
        <w:t>c. concessão ao acusado do tempo e dos meios adequados para a preparação de sua defesa;</w:t>
      </w:r>
    </w:p>
    <w:p w14:paraId="775CF931" w14:textId="77777777" w:rsidR="00AF210B" w:rsidRPr="00D5464D" w:rsidRDefault="00AF210B" w:rsidP="002A0C2B">
      <w:pPr>
        <w:pStyle w:val="Textonotapie"/>
        <w:tabs>
          <w:tab w:val="right" w:pos="0"/>
        </w:tabs>
        <w:spacing w:after="20"/>
        <w:rPr>
          <w:lang w:val="pt-BR"/>
        </w:rPr>
      </w:pPr>
      <w:r w:rsidRPr="00D5464D">
        <w:rPr>
          <w:lang w:val="pt-BR"/>
        </w:rPr>
        <w:t>d. direito do acusado de defender-se pessoalmente ou de ser assistido por um defensor de sua escolha e de comunicar-se, livremente e em particular, com seu defensor;</w:t>
      </w:r>
    </w:p>
    <w:p w14:paraId="44D0B57A" w14:textId="77777777" w:rsidR="00AF210B" w:rsidRPr="00D5464D" w:rsidRDefault="00AF210B" w:rsidP="002A0C2B">
      <w:pPr>
        <w:pStyle w:val="Textonotapie"/>
        <w:tabs>
          <w:tab w:val="right" w:pos="0"/>
        </w:tabs>
        <w:spacing w:after="20"/>
        <w:rPr>
          <w:lang w:val="pt-BR"/>
        </w:rPr>
      </w:pPr>
      <w:r w:rsidRPr="00D5464D">
        <w:rPr>
          <w:lang w:val="pt-BR"/>
        </w:rPr>
        <w:t>e. direito irrenunciável de ser assistido por um defensor proporcionado pelo Estado, remunerado ou não, segundo a legislação interna, se o acusado não se defender ele próprio nem nomear defensor dentro do prazo estabelecido pela lei;</w:t>
      </w:r>
    </w:p>
    <w:p w14:paraId="15CED9B9" w14:textId="77777777" w:rsidR="00AF210B" w:rsidRPr="00D5464D" w:rsidRDefault="00AF210B" w:rsidP="002A0C2B">
      <w:pPr>
        <w:pStyle w:val="Textonotapie"/>
        <w:tabs>
          <w:tab w:val="right" w:pos="0"/>
        </w:tabs>
        <w:spacing w:after="20"/>
        <w:rPr>
          <w:lang w:val="pt-BR"/>
        </w:rPr>
      </w:pPr>
      <w:r w:rsidRPr="00D5464D">
        <w:rPr>
          <w:lang w:val="pt-BR"/>
        </w:rPr>
        <w:t>f. direito da defesa de inquirir as testemunhas presentes no tribunal e de obter o comparecimento, como testemunhas ou peritos, de outras pessoas que possam lançar luz sobre os fatos;</w:t>
      </w:r>
    </w:p>
    <w:p w14:paraId="3B833DDD" w14:textId="0556BE31" w:rsidR="00AF210B" w:rsidRPr="00D5464D" w:rsidRDefault="00AF210B" w:rsidP="002A0C2B">
      <w:pPr>
        <w:pStyle w:val="Textonotapie"/>
        <w:tabs>
          <w:tab w:val="right" w:pos="0"/>
        </w:tabs>
        <w:spacing w:after="20"/>
        <w:rPr>
          <w:lang w:val="pt-BR"/>
        </w:rPr>
      </w:pPr>
      <w:r w:rsidRPr="00D5464D">
        <w:rPr>
          <w:lang w:val="pt-BR"/>
        </w:rPr>
        <w:t>g. direito de não ser obrigado a depor contra si mesma, nem a declarar-se culpada; e</w:t>
      </w:r>
    </w:p>
    <w:p w14:paraId="34E90ED8" w14:textId="77777777" w:rsidR="00AF210B" w:rsidRPr="00D5464D" w:rsidRDefault="00AF210B" w:rsidP="002A0C2B">
      <w:pPr>
        <w:pStyle w:val="Textonotapie"/>
        <w:tabs>
          <w:tab w:val="right" w:pos="0"/>
        </w:tabs>
        <w:spacing w:after="20"/>
        <w:rPr>
          <w:lang w:val="pt-BR"/>
        </w:rPr>
      </w:pPr>
      <w:r w:rsidRPr="00D5464D">
        <w:rPr>
          <w:lang w:val="pt-BR"/>
        </w:rPr>
        <w:t>h. direito de recorrer da sentença para juiz ou tribunal superior.</w:t>
      </w:r>
    </w:p>
    <w:p w14:paraId="6BEB39DA" w14:textId="77777777" w:rsidR="00AF210B" w:rsidRPr="00D5464D" w:rsidRDefault="00AF210B" w:rsidP="002A0C2B">
      <w:pPr>
        <w:pStyle w:val="Textonotapie"/>
        <w:tabs>
          <w:tab w:val="right" w:pos="0"/>
        </w:tabs>
        <w:spacing w:after="20"/>
        <w:rPr>
          <w:lang w:val="pt-BR"/>
        </w:rPr>
      </w:pPr>
      <w:r w:rsidRPr="00D5464D">
        <w:rPr>
          <w:lang w:val="pt-BR"/>
        </w:rPr>
        <w:t>3. A confissão do acusado só é válida se feita sem coação de nenhuma natureza.</w:t>
      </w:r>
    </w:p>
    <w:p w14:paraId="3A1741AD" w14:textId="77777777" w:rsidR="00AF210B" w:rsidRPr="00D5464D" w:rsidRDefault="00AF210B" w:rsidP="002A0C2B">
      <w:pPr>
        <w:pStyle w:val="Textonotapie"/>
        <w:tabs>
          <w:tab w:val="right" w:pos="0"/>
        </w:tabs>
        <w:spacing w:after="20"/>
        <w:rPr>
          <w:lang w:val="pt-BR"/>
        </w:rPr>
      </w:pPr>
      <w:r w:rsidRPr="00D5464D">
        <w:rPr>
          <w:lang w:val="pt-BR"/>
        </w:rPr>
        <w:t>4. O acusado absolvido por sentença passada em julgado não poderá ser submetido a novo processo pelos mesmos fatos.</w:t>
      </w:r>
    </w:p>
    <w:p w14:paraId="5B6CF935" w14:textId="2DA3BAF7" w:rsidR="00AF210B" w:rsidRPr="00D5464D" w:rsidRDefault="00AF210B" w:rsidP="002A0C2B">
      <w:pPr>
        <w:pStyle w:val="Textonotapie"/>
        <w:tabs>
          <w:tab w:val="right" w:pos="0"/>
        </w:tabs>
        <w:spacing w:after="20"/>
        <w:rPr>
          <w:lang w:val="pt-BR"/>
        </w:rPr>
      </w:pPr>
      <w:r w:rsidRPr="00D5464D">
        <w:rPr>
          <w:lang w:val="pt-BR"/>
        </w:rPr>
        <w:t>5. O processo penal deve ser público, salvo no que for necessário para preservar os interesses da justiça.</w:t>
      </w:r>
    </w:p>
  </w:footnote>
  <w:footnote w:id="478">
    <w:p w14:paraId="700296D6" w14:textId="7CCBC28E" w:rsidR="00AF210B" w:rsidRPr="00D5464D" w:rsidRDefault="00AF210B" w:rsidP="002A0C2B">
      <w:pPr>
        <w:pStyle w:val="Textonotapie"/>
        <w:tabs>
          <w:tab w:val="right" w:pos="0"/>
        </w:tabs>
        <w:spacing w:after="20"/>
        <w:rPr>
          <w:lang w:val="pt-BR"/>
        </w:rPr>
      </w:pPr>
      <w:r w:rsidRPr="00D5464D">
        <w:rPr>
          <w:rStyle w:val="Refdenotaalpie"/>
          <w:szCs w:val="16"/>
        </w:rPr>
        <w:footnoteRef/>
      </w:r>
      <w:r w:rsidRPr="00D5464D">
        <w:rPr>
          <w:lang w:val="pt-BR"/>
        </w:rPr>
        <w:t xml:space="preserve"> </w:t>
      </w:r>
      <w:r w:rsidRPr="00D5464D">
        <w:rPr>
          <w:bCs/>
          <w:lang w:val="pt-BR"/>
        </w:rPr>
        <w:t xml:space="preserve">Artigo 25. Proteção Judicial. </w:t>
      </w:r>
      <w:r w:rsidRPr="00D5464D">
        <w:rPr>
          <w:lang w:val="pt-BR"/>
        </w:rPr>
        <w:t>1. Toda pessoa tem direito a um recurso simples e rápido ou a qualquer outro recurso efetivo, perante os juízes ou tribunais competentes, que a proteja contra atos que violem seus direitos fundamentais reconhecidos pela constituição, pela lei ou pela presente Convenção, mesmo quando tal violação seja cometida por pessoas que estejam atuando no exercício de suas funções oficiais.</w:t>
      </w:r>
    </w:p>
    <w:p w14:paraId="2E617007" w14:textId="77777777" w:rsidR="00AF210B" w:rsidRPr="00D5464D" w:rsidRDefault="00AF210B" w:rsidP="002A0C2B">
      <w:pPr>
        <w:pStyle w:val="Textonotapie"/>
        <w:tabs>
          <w:tab w:val="right" w:pos="0"/>
        </w:tabs>
        <w:spacing w:after="20"/>
        <w:rPr>
          <w:lang w:val="pt-BR"/>
        </w:rPr>
      </w:pPr>
      <w:r w:rsidRPr="00D5464D">
        <w:rPr>
          <w:lang w:val="pt-BR"/>
        </w:rPr>
        <w:t>2. Os Estados Partes comprometem-se:</w:t>
      </w:r>
    </w:p>
    <w:p w14:paraId="6B137FC0" w14:textId="77777777" w:rsidR="00AF210B" w:rsidRPr="00D5464D" w:rsidRDefault="00AF210B" w:rsidP="002A0C2B">
      <w:pPr>
        <w:pStyle w:val="Textonotapie"/>
        <w:tabs>
          <w:tab w:val="right" w:pos="0"/>
        </w:tabs>
        <w:spacing w:after="20"/>
        <w:rPr>
          <w:lang w:val="pt-BR"/>
        </w:rPr>
      </w:pPr>
      <w:r w:rsidRPr="00D5464D">
        <w:rPr>
          <w:lang w:val="pt-BR"/>
        </w:rPr>
        <w:t>a. a assegurar que a autoridade competente prevista pelo sistema legal do Estado decida sobre os direitos de toda pessoa que interpuser tal recurso;</w:t>
      </w:r>
    </w:p>
    <w:p w14:paraId="6618E654" w14:textId="77777777" w:rsidR="00AF210B" w:rsidRPr="00D5464D" w:rsidRDefault="00AF210B" w:rsidP="002A0C2B">
      <w:pPr>
        <w:pStyle w:val="Textonotapie"/>
        <w:tabs>
          <w:tab w:val="right" w:pos="0"/>
        </w:tabs>
        <w:spacing w:after="20"/>
        <w:rPr>
          <w:lang w:val="pt-BR"/>
        </w:rPr>
      </w:pPr>
      <w:r w:rsidRPr="00D5464D">
        <w:rPr>
          <w:lang w:val="pt-BR"/>
        </w:rPr>
        <w:t>b. a desenvolver as possibilidades de recurso judicial; e</w:t>
      </w:r>
    </w:p>
    <w:p w14:paraId="1FF0C82D" w14:textId="34B9F11D" w:rsidR="00AF210B" w:rsidRPr="00D5464D" w:rsidRDefault="00AF210B" w:rsidP="002A0C2B">
      <w:pPr>
        <w:pStyle w:val="Textonotapie"/>
        <w:tabs>
          <w:tab w:val="right" w:pos="0"/>
        </w:tabs>
        <w:spacing w:after="20"/>
        <w:rPr>
          <w:lang w:val="pt-BR"/>
        </w:rPr>
      </w:pPr>
      <w:r w:rsidRPr="00D5464D">
        <w:rPr>
          <w:lang w:val="pt-BR"/>
        </w:rPr>
        <w:t>c. a assegurar o cumprimento, pelas autoridades competentes, de toda decisão em que se tenha considerado procedente o recurso.</w:t>
      </w:r>
    </w:p>
  </w:footnote>
  <w:footnote w:id="479">
    <w:p w14:paraId="733C2B5B" w14:textId="3DC56835"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Cf. Caso dos Massacres de Rio Negro</w:t>
      </w:r>
      <w:r w:rsidRPr="00D5464D">
        <w:rPr>
          <w:lang w:val="pt-BR"/>
        </w:rPr>
        <w:t>, par. 225.</w:t>
      </w:r>
    </w:p>
  </w:footnote>
  <w:footnote w:id="480">
    <w:p w14:paraId="6658270F" w14:textId="7A9C5359"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Cf. Caso Gonzales Lluy e outros</w:t>
      </w:r>
      <w:r w:rsidRPr="00D5464D">
        <w:rPr>
          <w:lang w:val="pt-BR"/>
        </w:rPr>
        <w:t>, par. 311.</w:t>
      </w:r>
    </w:p>
  </w:footnote>
  <w:footnote w:id="481">
    <w:p w14:paraId="5EDF64F5" w14:textId="333A5B8B" w:rsidR="00AF210B" w:rsidRPr="00D5464D" w:rsidRDefault="00AF210B" w:rsidP="002A0C2B">
      <w:pPr>
        <w:tabs>
          <w:tab w:val="clear" w:pos="4419"/>
          <w:tab w:val="clear" w:pos="8838"/>
          <w:tab w:val="right" w:pos="0"/>
        </w:tabs>
        <w:spacing w:after="20"/>
        <w:jc w:val="both"/>
        <w:rPr>
          <w:sz w:val="16"/>
          <w:szCs w:val="16"/>
          <w:lang w:val="pt-BR"/>
        </w:rPr>
      </w:pPr>
      <w:r w:rsidRPr="00D5464D">
        <w:rPr>
          <w:rStyle w:val="Refdenotaalpie"/>
          <w:sz w:val="16"/>
          <w:szCs w:val="16"/>
        </w:rPr>
        <w:footnoteRef/>
      </w:r>
      <w:r w:rsidRPr="00D5464D">
        <w:rPr>
          <w:sz w:val="16"/>
          <w:szCs w:val="16"/>
          <w:lang w:val="pt-BR"/>
        </w:rPr>
        <w:t xml:space="preserve"> TEDH, </w:t>
      </w:r>
      <w:r w:rsidRPr="00D5464D">
        <w:rPr>
          <w:i/>
          <w:sz w:val="16"/>
          <w:szCs w:val="16"/>
          <w:lang w:val="pt-BR"/>
        </w:rPr>
        <w:t>Caso</w:t>
      </w:r>
      <w:r w:rsidRPr="00D5464D">
        <w:rPr>
          <w:sz w:val="16"/>
          <w:szCs w:val="16"/>
          <w:lang w:val="pt-BR"/>
        </w:rPr>
        <w:t xml:space="preserve"> </w:t>
      </w:r>
      <w:r w:rsidRPr="00D5464D">
        <w:rPr>
          <w:i/>
          <w:sz w:val="16"/>
          <w:szCs w:val="16"/>
          <w:lang w:val="pt-BR"/>
        </w:rPr>
        <w:t xml:space="preserve">Siliadin Vs. França. nº </w:t>
      </w:r>
      <w:r w:rsidRPr="00D5464D">
        <w:rPr>
          <w:sz w:val="16"/>
          <w:szCs w:val="16"/>
          <w:lang w:val="pt-BR"/>
        </w:rPr>
        <w:t xml:space="preserve">73316/01. Sentença de 26 de julho de 2005, par. 112 e </w:t>
      </w:r>
      <w:r w:rsidRPr="00D5464D">
        <w:rPr>
          <w:i/>
          <w:sz w:val="16"/>
          <w:szCs w:val="16"/>
          <w:lang w:val="pt-BR"/>
        </w:rPr>
        <w:t xml:space="preserve">Caso Rantsev Vs. Chipre e Rússia. nº </w:t>
      </w:r>
      <w:r w:rsidRPr="00D5464D">
        <w:rPr>
          <w:sz w:val="16"/>
          <w:szCs w:val="16"/>
          <w:lang w:val="pt-BR"/>
        </w:rPr>
        <w:t>25965/04. Sentença de 7 de janeiro de 2010, par. 285.</w:t>
      </w:r>
    </w:p>
  </w:footnote>
  <w:footnote w:id="482">
    <w:p w14:paraId="3B30E42B" w14:textId="2602A242" w:rsidR="00AF210B" w:rsidRPr="00D5464D" w:rsidRDefault="00AF210B" w:rsidP="002A0C2B">
      <w:pPr>
        <w:tabs>
          <w:tab w:val="clear" w:pos="4419"/>
          <w:tab w:val="clear" w:pos="8838"/>
          <w:tab w:val="right" w:pos="0"/>
        </w:tabs>
        <w:spacing w:after="20"/>
        <w:jc w:val="both"/>
        <w:rPr>
          <w:sz w:val="16"/>
          <w:szCs w:val="16"/>
          <w:lang w:val="pt-BR"/>
        </w:rPr>
      </w:pPr>
      <w:r w:rsidRPr="00D5464D">
        <w:rPr>
          <w:rStyle w:val="Refdenotaalpie"/>
          <w:sz w:val="16"/>
          <w:szCs w:val="16"/>
        </w:rPr>
        <w:footnoteRef/>
      </w:r>
      <w:r w:rsidRPr="00D5464D">
        <w:rPr>
          <w:sz w:val="16"/>
          <w:szCs w:val="16"/>
          <w:lang w:val="pt-BR"/>
        </w:rPr>
        <w:t xml:space="preserve"> TEDH, </w:t>
      </w:r>
      <w:r w:rsidRPr="00D5464D">
        <w:rPr>
          <w:i/>
          <w:sz w:val="16"/>
          <w:szCs w:val="16"/>
          <w:lang w:val="pt-BR"/>
        </w:rPr>
        <w:t xml:space="preserve">Rantsev Vs. Chipre e Rússia. nº </w:t>
      </w:r>
      <w:r w:rsidRPr="00D5464D">
        <w:rPr>
          <w:sz w:val="16"/>
          <w:szCs w:val="16"/>
          <w:lang w:val="pt-BR"/>
        </w:rPr>
        <w:t xml:space="preserve">25965/04. Sentença de 7 de janeiro de 2010, par. 288 e </w:t>
      </w:r>
      <w:r w:rsidRPr="00D5464D">
        <w:rPr>
          <w:i/>
          <w:sz w:val="16"/>
          <w:szCs w:val="16"/>
          <w:lang w:val="pt-BR"/>
        </w:rPr>
        <w:t>C.N. Vs. Reino Unido.</w:t>
      </w:r>
      <w:r w:rsidRPr="00D5464D">
        <w:rPr>
          <w:sz w:val="16"/>
          <w:szCs w:val="16"/>
          <w:lang w:val="pt-BR"/>
        </w:rPr>
        <w:t xml:space="preserve"> nº 4239/08. Sentença de 13 de novembro de 2012, par. 69. </w:t>
      </w:r>
    </w:p>
  </w:footnote>
  <w:footnote w:id="483">
    <w:p w14:paraId="5DAE254E" w14:textId="7568154D"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bCs/>
          <w:i/>
          <w:lang w:val="pt-BR"/>
        </w:rPr>
        <w:t xml:space="preserve">Caso Suárez Rosero Vs. Equador. </w:t>
      </w:r>
      <w:r w:rsidRPr="00D5464D">
        <w:rPr>
          <w:i/>
          <w:lang w:val="pt-BR"/>
        </w:rPr>
        <w:t>Mérito</w:t>
      </w:r>
      <w:r w:rsidRPr="00D5464D">
        <w:rPr>
          <w:lang w:val="pt-BR"/>
        </w:rPr>
        <w:t xml:space="preserve">. Sentença de 12 de novembro de 1997. Série C Nº 35, par. 71 e </w:t>
      </w:r>
      <w:r w:rsidRPr="00D5464D">
        <w:rPr>
          <w:i/>
          <w:lang w:val="pt-BR"/>
        </w:rPr>
        <w:t xml:space="preserve">Caso Quispialaya Vilcapoma, </w:t>
      </w:r>
      <w:r w:rsidRPr="00D5464D">
        <w:rPr>
          <w:lang w:val="pt-BR"/>
        </w:rPr>
        <w:t>par. 176.</w:t>
      </w:r>
    </w:p>
  </w:footnote>
  <w:footnote w:id="484">
    <w:p w14:paraId="7CD9F973" w14:textId="4568F4E9" w:rsidR="00AF210B" w:rsidRPr="00D5464D" w:rsidRDefault="00AF210B" w:rsidP="002A0C2B">
      <w:pPr>
        <w:tabs>
          <w:tab w:val="clear" w:pos="4419"/>
          <w:tab w:val="clear" w:pos="8838"/>
          <w:tab w:val="right" w:pos="0"/>
        </w:tabs>
        <w:spacing w:after="20"/>
        <w:ind w:right="4"/>
        <w:jc w:val="both"/>
        <w:rPr>
          <w:sz w:val="16"/>
          <w:szCs w:val="16"/>
          <w:lang w:val="pt-BR"/>
        </w:rPr>
      </w:pPr>
      <w:r w:rsidRPr="00D5464D">
        <w:rPr>
          <w:rStyle w:val="Refdenotaalpie"/>
          <w:sz w:val="16"/>
          <w:szCs w:val="16"/>
        </w:rPr>
        <w:footnoteRef/>
      </w:r>
      <w:r w:rsidRPr="00D5464D">
        <w:rPr>
          <w:sz w:val="16"/>
          <w:szCs w:val="16"/>
          <w:lang w:val="pt-BR"/>
        </w:rPr>
        <w:t xml:space="preserve"> </w:t>
      </w:r>
      <w:r w:rsidRPr="00D5464D">
        <w:rPr>
          <w:i/>
          <w:sz w:val="16"/>
          <w:szCs w:val="16"/>
          <w:lang w:val="pt-BR"/>
        </w:rPr>
        <w:t xml:space="preserve">Cf. </w:t>
      </w:r>
      <w:r w:rsidRPr="00D5464D">
        <w:rPr>
          <w:bCs/>
          <w:i/>
          <w:sz w:val="16"/>
          <w:szCs w:val="16"/>
          <w:lang w:val="pt-BR"/>
        </w:rPr>
        <w:t xml:space="preserve">Caso Suárez Rosero Vs. Equador. </w:t>
      </w:r>
      <w:r w:rsidRPr="00D5464D">
        <w:rPr>
          <w:i/>
          <w:sz w:val="16"/>
          <w:szCs w:val="16"/>
          <w:lang w:val="pt-BR"/>
        </w:rPr>
        <w:t xml:space="preserve">Mérito, </w:t>
      </w:r>
      <w:r w:rsidRPr="00D5464D">
        <w:rPr>
          <w:sz w:val="16"/>
          <w:szCs w:val="16"/>
          <w:lang w:val="pt-BR"/>
        </w:rPr>
        <w:t xml:space="preserve">par. 71 e </w:t>
      </w:r>
      <w:r w:rsidRPr="00D5464D">
        <w:rPr>
          <w:i/>
          <w:sz w:val="16"/>
          <w:lang w:val="pt-BR"/>
        </w:rPr>
        <w:t>Quispialaya Vilcapoma</w:t>
      </w:r>
      <w:r w:rsidRPr="00D5464D">
        <w:rPr>
          <w:i/>
          <w:sz w:val="16"/>
          <w:szCs w:val="16"/>
          <w:lang w:val="pt-BR"/>
        </w:rPr>
        <w:t xml:space="preserve">, </w:t>
      </w:r>
      <w:r w:rsidRPr="00D5464D">
        <w:rPr>
          <w:sz w:val="16"/>
          <w:szCs w:val="16"/>
          <w:lang w:val="pt-BR"/>
        </w:rPr>
        <w:t>par. 176.</w:t>
      </w:r>
    </w:p>
  </w:footnote>
  <w:footnote w:id="485">
    <w:p w14:paraId="5143A1FE" w14:textId="1CC67012" w:rsidR="00AF210B" w:rsidRPr="00D5464D" w:rsidRDefault="00AF210B" w:rsidP="002A0C2B">
      <w:pPr>
        <w:spacing w:after="20"/>
        <w:jc w:val="both"/>
        <w:rPr>
          <w:b/>
          <w:sz w:val="2"/>
          <w:lang w:val="pt-BR"/>
        </w:rPr>
      </w:pPr>
      <w:r w:rsidRPr="00D5464D">
        <w:rPr>
          <w:rStyle w:val="Refdenotaalpie"/>
          <w:sz w:val="16"/>
          <w:szCs w:val="16"/>
        </w:rPr>
        <w:footnoteRef/>
      </w:r>
      <w:r w:rsidRPr="00D5464D">
        <w:rPr>
          <w:sz w:val="16"/>
          <w:szCs w:val="16"/>
          <w:lang w:val="pt-BR"/>
        </w:rPr>
        <w:t xml:space="preserve"> </w:t>
      </w:r>
      <w:r w:rsidRPr="00D5464D">
        <w:rPr>
          <w:i/>
          <w:sz w:val="16"/>
          <w:szCs w:val="16"/>
          <w:lang w:val="pt-BR"/>
        </w:rPr>
        <w:t xml:space="preserve">Cf. </w:t>
      </w:r>
      <w:r w:rsidRPr="00D5464D">
        <w:rPr>
          <w:bCs/>
          <w:i/>
          <w:sz w:val="16"/>
          <w:szCs w:val="16"/>
          <w:lang w:val="pt-BR"/>
        </w:rPr>
        <w:t xml:space="preserve">Caso Hilaire, Constantine e Benjamin e outros Vs. Trinidad e Tobago. </w:t>
      </w:r>
      <w:r w:rsidRPr="00D5464D">
        <w:rPr>
          <w:rStyle w:val="Textoennegrita"/>
          <w:b w:val="0"/>
          <w:i/>
          <w:color w:val="000000"/>
          <w:sz w:val="16"/>
          <w:shd w:val="clear" w:color="auto" w:fill="FFFFFF"/>
          <w:lang w:val="pt-BR"/>
        </w:rPr>
        <w:t>Mérito, Reparações e Custas</w:t>
      </w:r>
      <w:r w:rsidRPr="00D5464D">
        <w:rPr>
          <w:rStyle w:val="Textoennegrita"/>
          <w:b w:val="0"/>
          <w:color w:val="000000"/>
          <w:sz w:val="16"/>
          <w:shd w:val="clear" w:color="auto" w:fill="FFFFFF"/>
          <w:lang w:val="pt-BR"/>
        </w:rPr>
        <w:t>. Sentença de 21 de junho de 2002. Série C Nº 94</w:t>
      </w:r>
      <w:r w:rsidRPr="00D5464D">
        <w:rPr>
          <w:bCs/>
          <w:i/>
          <w:sz w:val="16"/>
          <w:szCs w:val="16"/>
          <w:lang w:val="pt-BR"/>
        </w:rPr>
        <w:t xml:space="preserve">, </w:t>
      </w:r>
      <w:r w:rsidRPr="00D5464D">
        <w:rPr>
          <w:sz w:val="16"/>
          <w:szCs w:val="16"/>
          <w:lang w:val="pt-BR"/>
        </w:rPr>
        <w:t xml:space="preserve">par. 145 e </w:t>
      </w:r>
      <w:r w:rsidRPr="00D5464D">
        <w:rPr>
          <w:i/>
          <w:sz w:val="16"/>
          <w:szCs w:val="16"/>
          <w:lang w:val="pt-BR"/>
        </w:rPr>
        <w:t xml:space="preserve">Caso Tenorio Roca, </w:t>
      </w:r>
      <w:r w:rsidRPr="00D5464D">
        <w:rPr>
          <w:sz w:val="16"/>
          <w:szCs w:val="16"/>
          <w:lang w:val="pt-BR"/>
        </w:rPr>
        <w:t xml:space="preserve">par. 237. </w:t>
      </w:r>
    </w:p>
  </w:footnote>
  <w:footnote w:id="486">
    <w:p w14:paraId="68E8F6AF" w14:textId="64526613"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Caso Valle Jaramillo e outros Vs. Colômbia. Mérito, Reparações e Custas. </w:t>
      </w:r>
      <w:r w:rsidRPr="00D5464D">
        <w:rPr>
          <w:lang w:val="pt-BR"/>
        </w:rPr>
        <w:t xml:space="preserve">Sentença de 27 de novembro de 2008. Série C Nº 192, par. 155 e </w:t>
      </w:r>
      <w:r w:rsidRPr="00D5464D">
        <w:rPr>
          <w:i/>
          <w:lang w:val="pt-BR"/>
        </w:rPr>
        <w:t>Caso Tenorio Roca</w:t>
      </w:r>
      <w:r w:rsidRPr="00D5464D">
        <w:rPr>
          <w:lang w:val="pt-BR"/>
        </w:rPr>
        <w:t>, par. 238.</w:t>
      </w:r>
      <w:r w:rsidRPr="00D5464D">
        <w:rPr>
          <w:i/>
          <w:lang w:val="pt-BR"/>
        </w:rPr>
        <w:t xml:space="preserve"> </w:t>
      </w:r>
    </w:p>
  </w:footnote>
  <w:footnote w:id="487">
    <w:p w14:paraId="4C4C89D7" w14:textId="7D53B0A0"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rStyle w:val="Textoennegrita"/>
          <w:b w:val="0"/>
          <w:i/>
          <w:lang w:val="pt-BR"/>
        </w:rPr>
        <w:t xml:space="preserve">Caso Anzualdo Castro Vs. Peru. Exceção Preliminar, Mérito, Reparações e Custas. </w:t>
      </w:r>
      <w:r w:rsidRPr="00D5464D">
        <w:rPr>
          <w:rStyle w:val="Textoennegrita"/>
          <w:b w:val="0"/>
          <w:lang w:val="pt-BR"/>
        </w:rPr>
        <w:t xml:space="preserve">Sentença de 22 de setembro de 2009. Série C Nº 202, par. 156 e </w:t>
      </w:r>
      <w:r w:rsidRPr="00D5464D">
        <w:rPr>
          <w:i/>
          <w:lang w:val="pt-BR"/>
        </w:rPr>
        <w:t>Caso Quispialaya Vilcapoma</w:t>
      </w:r>
      <w:r w:rsidRPr="00D5464D">
        <w:rPr>
          <w:lang w:val="pt-BR"/>
        </w:rPr>
        <w:t>, par. 178.</w:t>
      </w:r>
    </w:p>
  </w:footnote>
  <w:footnote w:id="488">
    <w:p w14:paraId="2F50D705" w14:textId="72E21A5A" w:rsidR="00AF210B" w:rsidRPr="00D5464D" w:rsidRDefault="00AF210B" w:rsidP="002A0C2B">
      <w:pPr>
        <w:tabs>
          <w:tab w:val="clear" w:pos="4419"/>
          <w:tab w:val="clear" w:pos="8838"/>
          <w:tab w:val="right" w:pos="0"/>
        </w:tabs>
        <w:spacing w:after="20"/>
        <w:jc w:val="both"/>
        <w:rPr>
          <w:sz w:val="16"/>
          <w:szCs w:val="16"/>
          <w:lang w:val="pt-BR"/>
        </w:rPr>
      </w:pPr>
      <w:r w:rsidRPr="00D5464D">
        <w:rPr>
          <w:rStyle w:val="Refdenotaalpie"/>
          <w:sz w:val="16"/>
          <w:szCs w:val="16"/>
        </w:rPr>
        <w:footnoteRef/>
      </w:r>
      <w:r w:rsidRPr="00D5464D">
        <w:rPr>
          <w:sz w:val="16"/>
          <w:szCs w:val="16"/>
          <w:lang w:val="pt-BR"/>
        </w:rPr>
        <w:t xml:space="preserve"> </w:t>
      </w:r>
      <w:r w:rsidRPr="00D5464D">
        <w:rPr>
          <w:i/>
          <w:sz w:val="16"/>
          <w:szCs w:val="16"/>
          <w:lang w:val="pt-BR"/>
        </w:rPr>
        <w:t xml:space="preserve">Cf. inter alia, Caso Genie Lacayo Vs. Nicarágua. Exceções Preliminares. </w:t>
      </w:r>
      <w:r w:rsidRPr="00D5464D">
        <w:rPr>
          <w:sz w:val="16"/>
          <w:szCs w:val="16"/>
          <w:lang w:val="pt-BR"/>
        </w:rPr>
        <w:t xml:space="preserve">Sentença de 27 de janeiro de 1995. Série C Nº 21, par. 78 e </w:t>
      </w:r>
      <w:r w:rsidRPr="00D5464D">
        <w:rPr>
          <w:i/>
          <w:sz w:val="16"/>
          <w:szCs w:val="16"/>
          <w:lang w:val="pt-BR"/>
        </w:rPr>
        <w:t xml:space="preserve">Caso </w:t>
      </w:r>
      <w:r w:rsidRPr="00D5464D">
        <w:rPr>
          <w:i/>
          <w:sz w:val="16"/>
          <w:lang w:val="pt-BR"/>
        </w:rPr>
        <w:t>Quispialaya Vilcapoma</w:t>
      </w:r>
      <w:r w:rsidRPr="00D5464D">
        <w:rPr>
          <w:sz w:val="16"/>
          <w:szCs w:val="16"/>
          <w:lang w:val="pt-BR"/>
        </w:rPr>
        <w:t>, par. 179.</w:t>
      </w:r>
    </w:p>
  </w:footnote>
  <w:footnote w:id="489">
    <w:p w14:paraId="4B55B375" w14:textId="659345E5" w:rsidR="00AF210B" w:rsidRPr="00D5464D" w:rsidRDefault="00AF210B" w:rsidP="002A0C2B">
      <w:pPr>
        <w:pStyle w:val="Textonotapie"/>
        <w:tabs>
          <w:tab w:val="clear" w:pos="4419"/>
          <w:tab w:val="clear" w:pos="8838"/>
          <w:tab w:val="right" w:pos="0"/>
        </w:tabs>
        <w:spacing w:after="20"/>
        <w:rPr>
          <w:rFonts w:cs="Tahoma"/>
          <w:color w:val="000000"/>
          <w:lang w:val="pt-BR"/>
        </w:rPr>
      </w:pPr>
      <w:r w:rsidRPr="00D5464D">
        <w:rPr>
          <w:rStyle w:val="Refdenotaalpie"/>
          <w:rFonts w:cs="Tahoma"/>
          <w:szCs w:val="16"/>
        </w:rPr>
        <w:footnoteRef/>
      </w:r>
      <w:r w:rsidRPr="00D5464D">
        <w:rPr>
          <w:rFonts w:cs="Tahoma"/>
          <w:lang w:val="pt-BR"/>
        </w:rPr>
        <w:t xml:space="preserve"> </w:t>
      </w:r>
      <w:r w:rsidRPr="00D5464D">
        <w:rPr>
          <w:rFonts w:cs="Tahoma"/>
          <w:i/>
          <w:lang w:val="pt-BR"/>
        </w:rPr>
        <w:t>Cf. Garantias judiciais em Estados de Emergência (arts. 27.2, 25 e 8 Convenção Americana sobre Direitos Humanos). Parecer Consultivo</w:t>
      </w:r>
      <w:r w:rsidRPr="00D5464D">
        <w:rPr>
          <w:rFonts w:cs="Tahoma"/>
          <w:lang w:val="pt-BR"/>
        </w:rPr>
        <w:t xml:space="preserve"> OC-9/87 do 6 de outubro de 1987. Série A Nº 9, par. 28 e </w:t>
      </w:r>
      <w:r w:rsidRPr="00D5464D">
        <w:rPr>
          <w:rFonts w:cs="Tahoma"/>
          <w:i/>
          <w:lang w:val="pt-BR"/>
        </w:rPr>
        <w:t>Caso J</w:t>
      </w:r>
      <w:r w:rsidRPr="00D5464D">
        <w:rPr>
          <w:rFonts w:cs="Tahoma"/>
          <w:lang w:val="pt-BR"/>
        </w:rPr>
        <w:t xml:space="preserve">, par. 258. </w:t>
      </w:r>
    </w:p>
  </w:footnote>
  <w:footnote w:id="490">
    <w:p w14:paraId="31D264C6" w14:textId="71C2E976"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Caso das “Crianças de Rua” (Villagrán Morales e outros) Vs. Guatemala. Mérito, </w:t>
      </w:r>
      <w:r w:rsidRPr="00D5464D">
        <w:rPr>
          <w:lang w:val="pt-BR"/>
        </w:rPr>
        <w:t xml:space="preserve">par. 246 e </w:t>
      </w:r>
      <w:r w:rsidRPr="00D5464D">
        <w:rPr>
          <w:i/>
          <w:lang w:val="pt-BR"/>
        </w:rPr>
        <w:t xml:space="preserve">Caso dos Massacres de Rio Negro, </w:t>
      </w:r>
      <w:r w:rsidRPr="00D5464D">
        <w:rPr>
          <w:lang w:val="pt-BR"/>
        </w:rPr>
        <w:t>par. 193.</w:t>
      </w:r>
    </w:p>
  </w:footnote>
  <w:footnote w:id="491">
    <w:p w14:paraId="6F70CE87" w14:textId="12B2E2E9" w:rsidR="00AF210B" w:rsidRPr="00D5464D" w:rsidRDefault="00AF210B" w:rsidP="002A0C2B">
      <w:pPr>
        <w:tabs>
          <w:tab w:val="clear" w:pos="4419"/>
          <w:tab w:val="clear" w:pos="8838"/>
          <w:tab w:val="right" w:pos="0"/>
        </w:tabs>
        <w:autoSpaceDE w:val="0"/>
        <w:autoSpaceDN w:val="0"/>
        <w:spacing w:after="20"/>
        <w:jc w:val="both"/>
        <w:rPr>
          <w:sz w:val="16"/>
          <w:szCs w:val="16"/>
          <w:lang w:val="pt-BR"/>
        </w:rPr>
      </w:pPr>
      <w:r w:rsidRPr="00D5464D">
        <w:rPr>
          <w:rStyle w:val="Refdenotaalpie"/>
          <w:sz w:val="16"/>
          <w:szCs w:val="16"/>
        </w:rPr>
        <w:footnoteRef/>
      </w:r>
      <w:r w:rsidRPr="00D5464D">
        <w:rPr>
          <w:sz w:val="16"/>
          <w:szCs w:val="16"/>
          <w:lang w:val="pt-BR"/>
        </w:rPr>
        <w:t xml:space="preserve"> </w:t>
      </w:r>
      <w:r w:rsidRPr="00D5464D">
        <w:rPr>
          <w:rFonts w:eastAsia="Calibri" w:cs="Verdana"/>
          <w:i/>
          <w:iCs/>
          <w:sz w:val="16"/>
          <w:szCs w:val="16"/>
          <w:lang w:val="pt-BR"/>
        </w:rPr>
        <w:t xml:space="preserve">Cf. Caso Valle Jaramillo e outros, </w:t>
      </w:r>
      <w:r w:rsidRPr="00D5464D">
        <w:rPr>
          <w:rFonts w:eastAsia="Calibri" w:cs="Verdana"/>
          <w:sz w:val="16"/>
          <w:szCs w:val="16"/>
          <w:lang w:val="pt-BR"/>
        </w:rPr>
        <w:t xml:space="preserve">par. 233 e </w:t>
      </w:r>
      <w:r w:rsidRPr="00D5464D">
        <w:rPr>
          <w:bCs/>
          <w:i/>
          <w:sz w:val="16"/>
          <w:szCs w:val="16"/>
          <w:lang w:val="pt-BR"/>
        </w:rPr>
        <w:t xml:space="preserve">Caso dos Massacres de Rio Negro, </w:t>
      </w:r>
      <w:r w:rsidRPr="00D5464D">
        <w:rPr>
          <w:bCs/>
          <w:sz w:val="16"/>
          <w:szCs w:val="16"/>
          <w:lang w:val="pt-BR"/>
        </w:rPr>
        <w:t>par. 193.</w:t>
      </w:r>
    </w:p>
  </w:footnote>
  <w:footnote w:id="492">
    <w:p w14:paraId="55AFFFA3" w14:textId="6D7AC843"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es-ES"/>
        </w:rPr>
        <w:t xml:space="preserve"> </w:t>
      </w:r>
      <w:r w:rsidRPr="00D5464D">
        <w:rPr>
          <w:rFonts w:eastAsia="Calibri" w:cs="Verdana"/>
          <w:i/>
          <w:iCs/>
          <w:lang w:val="es-ES"/>
        </w:rPr>
        <w:t xml:space="preserve">Cf. Caso Velásquez Rodríguez Vs. </w:t>
      </w:r>
      <w:r w:rsidRPr="00D5464D">
        <w:rPr>
          <w:rFonts w:eastAsia="Calibri" w:cs="Verdana"/>
          <w:i/>
          <w:iCs/>
          <w:lang w:val="pt-BR"/>
        </w:rPr>
        <w:t>Honduras</w:t>
      </w:r>
      <w:r w:rsidRPr="00D5464D">
        <w:rPr>
          <w:rFonts w:eastAsia="Calibri" w:cs="Verdana"/>
          <w:i/>
          <w:lang w:val="pt-BR"/>
        </w:rPr>
        <w:t xml:space="preserve">. </w:t>
      </w:r>
      <w:r w:rsidRPr="00D5464D">
        <w:rPr>
          <w:rFonts w:eastAsia="Calibri" w:cs="Verdana"/>
          <w:i/>
          <w:iCs/>
          <w:lang w:val="pt-BR"/>
        </w:rPr>
        <w:t xml:space="preserve">Mérito, </w:t>
      </w:r>
      <w:r w:rsidRPr="00D5464D">
        <w:rPr>
          <w:rFonts w:eastAsia="Calibri" w:cs="Verdana"/>
          <w:lang w:val="pt-BR"/>
        </w:rPr>
        <w:t xml:space="preserve">par. 177 e </w:t>
      </w:r>
      <w:r w:rsidRPr="00D5464D">
        <w:rPr>
          <w:bCs/>
          <w:i/>
          <w:lang w:val="pt-BR"/>
        </w:rPr>
        <w:t>Caso dos Massacres de Rio Negro</w:t>
      </w:r>
      <w:r w:rsidRPr="00D5464D">
        <w:rPr>
          <w:lang w:val="pt-BR"/>
        </w:rPr>
        <w:t>, par. 193.</w:t>
      </w:r>
    </w:p>
  </w:footnote>
  <w:footnote w:id="493">
    <w:p w14:paraId="5BEEEDF3" w14:textId="304D98C8"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Cf. Caso Ximenes Lopes</w:t>
      </w:r>
      <w:r w:rsidRPr="00D5464D">
        <w:rPr>
          <w:lang w:val="pt-BR"/>
        </w:rPr>
        <w:t xml:space="preserve">, par. 199 e </w:t>
      </w:r>
      <w:r w:rsidRPr="00D5464D">
        <w:rPr>
          <w:rStyle w:val="Textoennegrita"/>
          <w:b w:val="0"/>
          <w:i/>
          <w:shd w:val="clear" w:color="auto" w:fill="FFFFFF"/>
          <w:lang w:val="pt-BR"/>
        </w:rPr>
        <w:t>Caso Gonzales Lluy e outros</w:t>
      </w:r>
      <w:r w:rsidRPr="00D5464D">
        <w:rPr>
          <w:rStyle w:val="Textoennegrita"/>
          <w:b w:val="0"/>
          <w:shd w:val="clear" w:color="auto" w:fill="FFFFFF"/>
          <w:lang w:val="pt-BR"/>
        </w:rPr>
        <w:t>, par. 306.</w:t>
      </w:r>
      <w:r w:rsidRPr="00D5464D">
        <w:rPr>
          <w:lang w:val="pt-BR"/>
        </w:rPr>
        <w:t xml:space="preserve"> </w:t>
      </w:r>
    </w:p>
  </w:footnote>
  <w:footnote w:id="494">
    <w:p w14:paraId="782B6608" w14:textId="6EBD0CD2" w:rsidR="00AF210B" w:rsidRPr="00D5464D" w:rsidRDefault="00AF210B" w:rsidP="002A0C2B">
      <w:pPr>
        <w:tabs>
          <w:tab w:val="clear" w:pos="4419"/>
          <w:tab w:val="clear" w:pos="8838"/>
          <w:tab w:val="right" w:pos="0"/>
        </w:tabs>
        <w:spacing w:after="20"/>
        <w:jc w:val="both"/>
        <w:rPr>
          <w:sz w:val="16"/>
          <w:szCs w:val="16"/>
          <w:lang w:val="pt-BR"/>
        </w:rPr>
      </w:pPr>
      <w:r w:rsidRPr="00D5464D">
        <w:rPr>
          <w:rStyle w:val="Refdenotaalpie"/>
          <w:sz w:val="16"/>
          <w:szCs w:val="16"/>
        </w:rPr>
        <w:footnoteRef/>
      </w:r>
      <w:r w:rsidRPr="00D5464D">
        <w:rPr>
          <w:sz w:val="16"/>
          <w:szCs w:val="16"/>
          <w:lang w:val="pt-BR"/>
        </w:rPr>
        <w:t xml:space="preserve"> </w:t>
      </w:r>
      <w:r w:rsidRPr="00D5464D">
        <w:rPr>
          <w:i/>
          <w:sz w:val="16"/>
          <w:szCs w:val="16"/>
          <w:lang w:val="pt-BR"/>
        </w:rPr>
        <w:t xml:space="preserve">Cf. </w:t>
      </w:r>
      <w:r w:rsidRPr="00D5464D">
        <w:rPr>
          <w:bCs/>
          <w:i/>
          <w:iCs/>
          <w:sz w:val="16"/>
          <w:szCs w:val="16"/>
          <w:lang w:val="pt-BR"/>
        </w:rPr>
        <w:t>Caso Valle Jaramillo e outros</w:t>
      </w:r>
      <w:r w:rsidRPr="00D5464D">
        <w:rPr>
          <w:sz w:val="16"/>
          <w:szCs w:val="16"/>
          <w:lang w:val="pt-BR"/>
        </w:rPr>
        <w:t xml:space="preserve">, par. 155 e </w:t>
      </w:r>
      <w:r w:rsidRPr="00D5464D">
        <w:rPr>
          <w:i/>
          <w:sz w:val="16"/>
          <w:szCs w:val="16"/>
          <w:lang w:val="pt-BR"/>
        </w:rPr>
        <w:t>Caso Gonzales Lluy e outros</w:t>
      </w:r>
      <w:r w:rsidRPr="00D5464D">
        <w:rPr>
          <w:sz w:val="16"/>
          <w:szCs w:val="16"/>
          <w:lang w:val="pt-BR"/>
        </w:rPr>
        <w:t>, par. 309</w:t>
      </w:r>
      <w:r w:rsidRPr="00D5464D">
        <w:rPr>
          <w:rFonts w:cs="Verdana"/>
          <w:sz w:val="16"/>
          <w:szCs w:val="16"/>
          <w:lang w:val="pt-BR"/>
        </w:rPr>
        <w:t>.</w:t>
      </w:r>
    </w:p>
  </w:footnote>
  <w:footnote w:id="495">
    <w:p w14:paraId="33F62A2E" w14:textId="32AC532B"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Sítio web da Justiça Federal do Pará: </w:t>
      </w:r>
      <w:hyperlink r:id="rId10" w:history="1">
        <w:r w:rsidRPr="00D5464D">
          <w:rPr>
            <w:rStyle w:val="Hipervnculo"/>
            <w:lang w:val="pt-BR"/>
          </w:rPr>
          <w:t>https://processual.trf1.jus.br/consultaProcessual/processo.php?proc=200139010002700&amp;secao=MBA&amp;pg=1&amp;trf1_captcha_id=2dc48777b78e795a538b3aa440996f7b&amp;trf1_captcha=f4gj&amp;enviar=Pesquisar</w:t>
        </w:r>
      </w:hyperlink>
      <w:r w:rsidRPr="00D5464D">
        <w:rPr>
          <w:lang w:val="pt-BR"/>
        </w:rPr>
        <w:t>, consultado em 10 de outubro de 2016.</w:t>
      </w:r>
    </w:p>
  </w:footnote>
  <w:footnote w:id="496">
    <w:p w14:paraId="05BD087F" w14:textId="0AA9EB3C"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es-ES"/>
        </w:rPr>
        <w:t xml:space="preserve"> </w:t>
      </w:r>
      <w:r w:rsidRPr="00D5464D">
        <w:rPr>
          <w:i/>
          <w:lang w:val="es-ES"/>
        </w:rPr>
        <w:t xml:space="preserve">Cf. Caso Velásquez Rodríguez Vs. </w:t>
      </w:r>
      <w:r w:rsidRPr="00D5464D">
        <w:rPr>
          <w:i/>
          <w:lang w:val="pt-BR"/>
        </w:rPr>
        <w:t>Honduras. Exceções Preliminares</w:t>
      </w:r>
      <w:r w:rsidRPr="00D5464D">
        <w:rPr>
          <w:lang w:val="pt-BR"/>
        </w:rPr>
        <w:t xml:space="preserve">, par. 91 e </w:t>
      </w:r>
      <w:r w:rsidRPr="00D5464D">
        <w:rPr>
          <w:rStyle w:val="Textoennegrita"/>
          <w:b w:val="0"/>
          <w:i/>
          <w:color w:val="000000"/>
          <w:shd w:val="clear" w:color="auto" w:fill="FFFFFF"/>
          <w:lang w:val="pt-BR"/>
        </w:rPr>
        <w:t>Caso Maldonado Ordoñez</w:t>
      </w:r>
      <w:r w:rsidRPr="00D5464D">
        <w:rPr>
          <w:lang w:val="pt-BR"/>
        </w:rPr>
        <w:t>, par. 108.</w:t>
      </w:r>
    </w:p>
  </w:footnote>
  <w:footnote w:id="497">
    <w:p w14:paraId="3FFBA530" w14:textId="5396E309"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es-ES"/>
        </w:rPr>
        <w:t xml:space="preserve"> </w:t>
      </w:r>
      <w:r w:rsidRPr="00D5464D">
        <w:rPr>
          <w:i/>
          <w:lang w:val="es-ES"/>
        </w:rPr>
        <w:t>Cf. Caso</w:t>
      </w:r>
      <w:r w:rsidRPr="00D5464D">
        <w:rPr>
          <w:lang w:val="es-ES"/>
        </w:rPr>
        <w:t xml:space="preserve"> </w:t>
      </w:r>
      <w:r w:rsidRPr="00D5464D">
        <w:rPr>
          <w:i/>
          <w:lang w:val="es-ES"/>
        </w:rPr>
        <w:t xml:space="preserve">López Álvarez Vs. Honduras. </w:t>
      </w:r>
      <w:r w:rsidRPr="00D5464D">
        <w:rPr>
          <w:i/>
          <w:lang w:val="pt-BR"/>
        </w:rPr>
        <w:t>Mérito, Reparações e Custas</w:t>
      </w:r>
      <w:r w:rsidRPr="00D5464D">
        <w:rPr>
          <w:lang w:val="pt-BR"/>
        </w:rPr>
        <w:t xml:space="preserve">. Sentença de 1º de fevereiro de 2006. Série C Nº 141, par. 96 e </w:t>
      </w:r>
      <w:r w:rsidRPr="00D5464D">
        <w:rPr>
          <w:rStyle w:val="Textoennegrita"/>
          <w:b w:val="0"/>
          <w:i/>
          <w:color w:val="000000"/>
          <w:shd w:val="clear" w:color="auto" w:fill="FFFFFF"/>
          <w:lang w:val="pt-BR"/>
        </w:rPr>
        <w:t>Caso Maldonado Ordoñez</w:t>
      </w:r>
      <w:r w:rsidRPr="00D5464D">
        <w:rPr>
          <w:color w:val="000000"/>
          <w:lang w:val="pt-BR"/>
        </w:rPr>
        <w:t xml:space="preserve">, </w:t>
      </w:r>
      <w:r w:rsidRPr="00D5464D">
        <w:rPr>
          <w:lang w:val="pt-BR"/>
        </w:rPr>
        <w:t>par. 109.</w:t>
      </w:r>
    </w:p>
  </w:footnote>
  <w:footnote w:id="498">
    <w:p w14:paraId="33FCECFE" w14:textId="72C038F7" w:rsidR="00AF210B" w:rsidRPr="00D5464D" w:rsidRDefault="00AF210B" w:rsidP="002A0C2B">
      <w:pPr>
        <w:tabs>
          <w:tab w:val="clear" w:pos="4419"/>
          <w:tab w:val="clear" w:pos="8838"/>
          <w:tab w:val="right" w:pos="0"/>
          <w:tab w:val="left" w:pos="567"/>
        </w:tabs>
        <w:spacing w:after="20"/>
        <w:jc w:val="both"/>
        <w:rPr>
          <w:sz w:val="16"/>
          <w:szCs w:val="16"/>
          <w:lang w:val="pt-BR"/>
        </w:rPr>
      </w:pPr>
      <w:r w:rsidRPr="00D5464D">
        <w:rPr>
          <w:rStyle w:val="Refdenotaalpie"/>
          <w:sz w:val="16"/>
          <w:szCs w:val="16"/>
        </w:rPr>
        <w:footnoteRef/>
      </w:r>
      <w:r w:rsidRPr="00D5464D">
        <w:rPr>
          <w:sz w:val="16"/>
          <w:szCs w:val="16"/>
          <w:lang w:val="pt-BR"/>
        </w:rPr>
        <w:t xml:space="preserve"> </w:t>
      </w:r>
      <w:r w:rsidRPr="00D5464D">
        <w:rPr>
          <w:i/>
          <w:sz w:val="16"/>
          <w:szCs w:val="16"/>
          <w:lang w:val="pt-BR"/>
        </w:rPr>
        <w:t xml:space="preserve">Cf. </w:t>
      </w:r>
      <w:r w:rsidRPr="00D5464D">
        <w:rPr>
          <w:rFonts w:cs="Verdana"/>
          <w:i/>
          <w:sz w:val="16"/>
          <w:szCs w:val="16"/>
          <w:lang w:val="pt-BR" w:bidi="en-US"/>
        </w:rPr>
        <w:t>Caso Ivcher Bronstein Vs. Peru. Mérito, Reparações e Custas.</w:t>
      </w:r>
      <w:r w:rsidRPr="00D5464D">
        <w:rPr>
          <w:rFonts w:cs="Verdana"/>
          <w:sz w:val="16"/>
          <w:szCs w:val="16"/>
          <w:lang w:val="pt-BR" w:bidi="en-US"/>
        </w:rPr>
        <w:t xml:space="preserve"> Sentença de 6 de fevereiro de 2001. Série C Nº 7, par. 137 e </w:t>
      </w:r>
      <w:r w:rsidRPr="00D5464D">
        <w:rPr>
          <w:rStyle w:val="Textoennegrita"/>
          <w:b w:val="0"/>
          <w:i/>
          <w:color w:val="000000"/>
          <w:sz w:val="16"/>
          <w:szCs w:val="16"/>
          <w:shd w:val="clear" w:color="auto" w:fill="FFFFFF"/>
          <w:lang w:val="pt-BR"/>
        </w:rPr>
        <w:t xml:space="preserve">Caso </w:t>
      </w:r>
      <w:r w:rsidRPr="00D5464D">
        <w:rPr>
          <w:rStyle w:val="Textoennegrita"/>
          <w:b w:val="0"/>
          <w:i/>
          <w:color w:val="000000"/>
          <w:sz w:val="16"/>
          <w:shd w:val="clear" w:color="auto" w:fill="FFFFFF"/>
          <w:lang w:val="pt-BR"/>
        </w:rPr>
        <w:t>Maldonado Ordoñez</w:t>
      </w:r>
      <w:r w:rsidRPr="00D5464D">
        <w:rPr>
          <w:color w:val="000000"/>
          <w:sz w:val="16"/>
          <w:szCs w:val="16"/>
          <w:lang w:val="pt-BR"/>
        </w:rPr>
        <w:t xml:space="preserve">, </w:t>
      </w:r>
      <w:r w:rsidRPr="00D5464D">
        <w:rPr>
          <w:sz w:val="16"/>
          <w:szCs w:val="16"/>
          <w:lang w:val="pt-BR"/>
        </w:rPr>
        <w:t>par. 109.</w:t>
      </w:r>
    </w:p>
  </w:footnote>
  <w:footnote w:id="499">
    <w:p w14:paraId="091C9BDA" w14:textId="316B2482" w:rsidR="00AF210B" w:rsidRPr="00D5464D" w:rsidRDefault="00AF210B" w:rsidP="002A0C2B">
      <w:pPr>
        <w:tabs>
          <w:tab w:val="clear" w:pos="4419"/>
          <w:tab w:val="clear" w:pos="8838"/>
          <w:tab w:val="right" w:pos="0"/>
          <w:tab w:val="left" w:pos="567"/>
        </w:tabs>
        <w:spacing w:after="20"/>
        <w:jc w:val="both"/>
        <w:rPr>
          <w:sz w:val="16"/>
          <w:szCs w:val="16"/>
          <w:lang w:val="pt-BR"/>
        </w:rPr>
      </w:pPr>
      <w:r w:rsidRPr="00D5464D">
        <w:rPr>
          <w:rStyle w:val="Refdenotaalpie1"/>
          <w:sz w:val="16"/>
          <w:szCs w:val="16"/>
        </w:rPr>
        <w:footnoteRef/>
      </w:r>
      <w:r w:rsidRPr="00D5464D">
        <w:rPr>
          <w:sz w:val="16"/>
          <w:szCs w:val="16"/>
        </w:rPr>
        <w:t xml:space="preserve"> </w:t>
      </w:r>
      <w:r w:rsidRPr="00D5464D">
        <w:rPr>
          <w:i/>
          <w:sz w:val="16"/>
          <w:szCs w:val="16"/>
        </w:rPr>
        <w:t xml:space="preserve">Cf. Caso Las Palmeras Vs. </w:t>
      </w:r>
      <w:r w:rsidRPr="00D5464D">
        <w:rPr>
          <w:i/>
          <w:sz w:val="16"/>
          <w:szCs w:val="16"/>
          <w:lang w:val="pt-BR"/>
        </w:rPr>
        <w:t>Colômbia. Reparações e Custas.</w:t>
      </w:r>
      <w:r w:rsidRPr="00D5464D">
        <w:rPr>
          <w:sz w:val="16"/>
          <w:szCs w:val="16"/>
          <w:lang w:val="pt-BR"/>
        </w:rPr>
        <w:t xml:space="preserve"> Sentença de 26 Novembro de 2002. Série C Nº 96, par. 58 e </w:t>
      </w:r>
      <w:r w:rsidRPr="00D5464D">
        <w:rPr>
          <w:rStyle w:val="Textoennegrita"/>
          <w:b w:val="0"/>
          <w:i/>
          <w:color w:val="000000"/>
          <w:sz w:val="16"/>
          <w:szCs w:val="16"/>
          <w:shd w:val="clear" w:color="auto" w:fill="FFFFFF"/>
          <w:lang w:val="pt-BR"/>
        </w:rPr>
        <w:t xml:space="preserve">Caso </w:t>
      </w:r>
      <w:r w:rsidRPr="00D5464D">
        <w:rPr>
          <w:rStyle w:val="Textoennegrita"/>
          <w:b w:val="0"/>
          <w:i/>
          <w:color w:val="000000"/>
          <w:sz w:val="16"/>
          <w:shd w:val="clear" w:color="auto" w:fill="FFFFFF"/>
          <w:lang w:val="pt-BR"/>
        </w:rPr>
        <w:t>Maldonado Ordoñez</w:t>
      </w:r>
      <w:r w:rsidRPr="00D5464D">
        <w:rPr>
          <w:rStyle w:val="Textoennegrita"/>
          <w:b w:val="0"/>
          <w:color w:val="000000"/>
          <w:sz w:val="16"/>
          <w:szCs w:val="16"/>
          <w:shd w:val="clear" w:color="auto" w:fill="FFFFFF"/>
          <w:lang w:val="pt-BR"/>
        </w:rPr>
        <w:t>, par. 109</w:t>
      </w:r>
      <w:r w:rsidRPr="00D5464D">
        <w:rPr>
          <w:rFonts w:cs="Verdana"/>
          <w:sz w:val="16"/>
          <w:szCs w:val="16"/>
          <w:lang w:val="pt-BR" w:bidi="en-US"/>
        </w:rPr>
        <w:t>.</w:t>
      </w:r>
    </w:p>
  </w:footnote>
  <w:footnote w:id="500">
    <w:p w14:paraId="2993A9ED" w14:textId="03DAB177" w:rsidR="00AF210B" w:rsidRPr="00D5464D" w:rsidRDefault="00AF210B" w:rsidP="002A0C2B">
      <w:pPr>
        <w:pStyle w:val="Textonotapie"/>
        <w:tabs>
          <w:tab w:val="clear" w:pos="4419"/>
          <w:tab w:val="clear" w:pos="8838"/>
          <w:tab w:val="right" w:pos="0"/>
          <w:tab w:val="left" w:pos="567"/>
        </w:tabs>
        <w:spacing w:after="20"/>
        <w:rPr>
          <w:i/>
          <w:lang w:val="pt-BR"/>
        </w:rPr>
      </w:pPr>
      <w:r w:rsidRPr="00D5464D">
        <w:rPr>
          <w:rStyle w:val="Refdenotaalpie"/>
          <w:szCs w:val="16"/>
        </w:rPr>
        <w:footnoteRef/>
      </w:r>
      <w:r w:rsidRPr="00D5464D">
        <w:rPr>
          <w:lang w:val="pt-BR"/>
        </w:rPr>
        <w:t xml:space="preserve"> </w:t>
      </w:r>
      <w:r w:rsidRPr="00D5464D">
        <w:rPr>
          <w:i/>
          <w:lang w:val="pt-BR"/>
        </w:rPr>
        <w:t xml:space="preserve">Cf. Caso Baena Ricardo e outros Vs. Panamá. Competência. </w:t>
      </w:r>
      <w:r w:rsidRPr="00D5464D">
        <w:rPr>
          <w:lang w:val="pt-BR"/>
        </w:rPr>
        <w:t xml:space="preserve">Sentença de 28 de novembro de 2003. Série C Nº 104, par. 73 e </w:t>
      </w:r>
      <w:r w:rsidRPr="00D5464D">
        <w:rPr>
          <w:rStyle w:val="Textoennegrita"/>
          <w:b w:val="0"/>
          <w:i/>
          <w:color w:val="000000"/>
          <w:shd w:val="clear" w:color="auto" w:fill="FFFFFF"/>
          <w:lang w:val="pt-BR"/>
        </w:rPr>
        <w:t>Caso Maldonado Ordoñez</w:t>
      </w:r>
      <w:r w:rsidRPr="00D5464D">
        <w:rPr>
          <w:lang w:val="pt-BR"/>
        </w:rPr>
        <w:t>, par. 109</w:t>
      </w:r>
      <w:r w:rsidRPr="00D5464D">
        <w:rPr>
          <w:rFonts w:cs="Verdana"/>
          <w:lang w:val="pt-BR" w:bidi="en-US"/>
        </w:rPr>
        <w:t>.</w:t>
      </w:r>
    </w:p>
  </w:footnote>
  <w:footnote w:id="501">
    <w:p w14:paraId="20EAB7A0" w14:textId="088F09E5" w:rsidR="00AF210B" w:rsidRPr="00D5464D" w:rsidRDefault="00AF210B" w:rsidP="002A0C2B">
      <w:pPr>
        <w:tabs>
          <w:tab w:val="clear" w:pos="4419"/>
          <w:tab w:val="clear" w:pos="8838"/>
          <w:tab w:val="right" w:pos="0"/>
        </w:tabs>
        <w:spacing w:after="20"/>
        <w:jc w:val="both"/>
        <w:rPr>
          <w:bCs/>
          <w:color w:val="000000"/>
          <w:sz w:val="16"/>
          <w:szCs w:val="16"/>
          <w:shd w:val="clear" w:color="auto" w:fill="FFFFFF"/>
          <w:lang w:val="pt-BR"/>
        </w:rPr>
      </w:pPr>
      <w:r w:rsidRPr="00D5464D">
        <w:rPr>
          <w:rStyle w:val="Refdenotaalpie"/>
          <w:sz w:val="16"/>
          <w:szCs w:val="16"/>
        </w:rPr>
        <w:footnoteRef/>
      </w:r>
      <w:r w:rsidRPr="00D5464D">
        <w:rPr>
          <w:sz w:val="16"/>
          <w:szCs w:val="16"/>
          <w:lang w:val="pt-BR"/>
        </w:rPr>
        <w:t xml:space="preserve"> </w:t>
      </w:r>
      <w:r w:rsidRPr="00D5464D">
        <w:rPr>
          <w:i/>
          <w:sz w:val="16"/>
          <w:szCs w:val="16"/>
          <w:lang w:val="pt-BR"/>
        </w:rPr>
        <w:t>Cf. Caso das “Crianças de Rua” (Villagrán Morales e outros) Vs. Guatemala. Mérito</w:t>
      </w:r>
      <w:r w:rsidRPr="00D5464D">
        <w:rPr>
          <w:sz w:val="16"/>
          <w:szCs w:val="16"/>
          <w:lang w:val="pt-BR"/>
        </w:rPr>
        <w:t xml:space="preserve">, par. 237 e </w:t>
      </w:r>
      <w:r w:rsidRPr="00D5464D">
        <w:rPr>
          <w:rStyle w:val="Textoennegrita"/>
          <w:b w:val="0"/>
          <w:i/>
          <w:color w:val="000000"/>
          <w:sz w:val="16"/>
          <w:szCs w:val="16"/>
          <w:shd w:val="clear" w:color="auto" w:fill="FFFFFF"/>
          <w:lang w:val="pt-BR"/>
        </w:rPr>
        <w:t xml:space="preserve">Caso </w:t>
      </w:r>
      <w:r w:rsidRPr="00D5464D">
        <w:rPr>
          <w:rStyle w:val="Textoennegrita"/>
          <w:b w:val="0"/>
          <w:i/>
          <w:color w:val="000000"/>
          <w:sz w:val="16"/>
          <w:shd w:val="clear" w:color="auto" w:fill="FFFFFF"/>
          <w:lang w:val="pt-BR"/>
        </w:rPr>
        <w:t>Maldonado Ordoñez</w:t>
      </w:r>
      <w:r w:rsidRPr="00D5464D">
        <w:rPr>
          <w:rStyle w:val="Textoennegrita"/>
          <w:b w:val="0"/>
          <w:color w:val="000000"/>
          <w:sz w:val="16"/>
          <w:szCs w:val="16"/>
          <w:shd w:val="clear" w:color="auto" w:fill="FFFFFF"/>
          <w:lang w:val="pt-BR"/>
        </w:rPr>
        <w:t>, par. 110</w:t>
      </w:r>
      <w:r w:rsidRPr="00D5464D">
        <w:rPr>
          <w:sz w:val="16"/>
          <w:szCs w:val="16"/>
          <w:lang w:val="pt-BR"/>
        </w:rPr>
        <w:t>.</w:t>
      </w:r>
    </w:p>
  </w:footnote>
  <w:footnote w:id="502">
    <w:p w14:paraId="67933663" w14:textId="7E307D84" w:rsidR="00AF210B" w:rsidRPr="00D5464D" w:rsidRDefault="00AF210B" w:rsidP="002A0C2B">
      <w:pPr>
        <w:tabs>
          <w:tab w:val="clear" w:pos="4419"/>
          <w:tab w:val="clear" w:pos="8838"/>
          <w:tab w:val="right" w:pos="0"/>
        </w:tabs>
        <w:spacing w:after="20"/>
        <w:jc w:val="both"/>
        <w:rPr>
          <w:bCs/>
          <w:color w:val="000000"/>
          <w:sz w:val="16"/>
          <w:szCs w:val="16"/>
          <w:shd w:val="clear" w:color="auto" w:fill="FFFFFF"/>
          <w:lang w:val="pt-BR"/>
        </w:rPr>
      </w:pPr>
      <w:r w:rsidRPr="00D5464D">
        <w:rPr>
          <w:rStyle w:val="Refdenotaalpie"/>
          <w:sz w:val="16"/>
          <w:szCs w:val="16"/>
        </w:rPr>
        <w:footnoteRef/>
      </w:r>
      <w:r w:rsidRPr="00D5464D">
        <w:rPr>
          <w:sz w:val="16"/>
          <w:szCs w:val="16"/>
          <w:lang w:val="pt-BR"/>
        </w:rPr>
        <w:t xml:space="preserve"> </w:t>
      </w:r>
      <w:r w:rsidRPr="00D5464D">
        <w:rPr>
          <w:i/>
          <w:sz w:val="16"/>
          <w:szCs w:val="16"/>
          <w:lang w:val="pt-BR"/>
        </w:rPr>
        <w:t>Cf. Caso Castillo Páez Vs. Peru. Mérito.</w:t>
      </w:r>
      <w:r w:rsidRPr="00D5464D">
        <w:rPr>
          <w:sz w:val="16"/>
          <w:szCs w:val="16"/>
          <w:lang w:val="pt-BR"/>
        </w:rPr>
        <w:t xml:space="preserve"> Sentença de 3 de novembro de 1997. Série C Nº 34, par. 83 e </w:t>
      </w:r>
      <w:r w:rsidRPr="00D5464D">
        <w:rPr>
          <w:rStyle w:val="Textoennegrita"/>
          <w:b w:val="0"/>
          <w:i/>
          <w:color w:val="000000"/>
          <w:sz w:val="16"/>
          <w:szCs w:val="16"/>
          <w:shd w:val="clear" w:color="auto" w:fill="FFFFFF"/>
          <w:lang w:val="pt-BR"/>
        </w:rPr>
        <w:t xml:space="preserve">Caso </w:t>
      </w:r>
      <w:r w:rsidRPr="00D5464D">
        <w:rPr>
          <w:rStyle w:val="Textoennegrita"/>
          <w:b w:val="0"/>
          <w:i/>
          <w:color w:val="000000"/>
          <w:sz w:val="16"/>
          <w:shd w:val="clear" w:color="auto" w:fill="FFFFFF"/>
          <w:lang w:val="pt-BR"/>
        </w:rPr>
        <w:t>Maldonado Ordoñez</w:t>
      </w:r>
      <w:r w:rsidRPr="00D5464D">
        <w:rPr>
          <w:rStyle w:val="Textoennegrita"/>
          <w:b w:val="0"/>
          <w:color w:val="000000"/>
          <w:sz w:val="16"/>
          <w:szCs w:val="16"/>
          <w:shd w:val="clear" w:color="auto" w:fill="FFFFFF"/>
          <w:lang w:val="pt-BR"/>
        </w:rPr>
        <w:t>, par. 110.</w:t>
      </w:r>
    </w:p>
  </w:footnote>
  <w:footnote w:id="503">
    <w:p w14:paraId="159A55D3" w14:textId="7493F978" w:rsidR="00AF210B" w:rsidRPr="00D5464D" w:rsidRDefault="00AF210B" w:rsidP="002A0C2B">
      <w:pPr>
        <w:pStyle w:val="Textonotapie"/>
        <w:tabs>
          <w:tab w:val="clear" w:pos="4419"/>
          <w:tab w:val="clear" w:pos="8838"/>
          <w:tab w:val="right" w:pos="0"/>
          <w:tab w:val="left" w:pos="567"/>
        </w:tabs>
        <w:spacing w:after="20"/>
        <w:rPr>
          <w:lang w:val="pt-BR"/>
        </w:rPr>
      </w:pPr>
      <w:r w:rsidRPr="00D5464D">
        <w:rPr>
          <w:rStyle w:val="Refdenotaalpie"/>
          <w:szCs w:val="16"/>
        </w:rPr>
        <w:footnoteRef/>
      </w:r>
      <w:r w:rsidRPr="00D5464D">
        <w:rPr>
          <w:lang w:val="pt-BR"/>
        </w:rPr>
        <w:t xml:space="preserve"> </w:t>
      </w:r>
      <w:r w:rsidRPr="00D5464D">
        <w:rPr>
          <w:i/>
          <w:lang w:val="pt-BR"/>
        </w:rPr>
        <w:t>Cf. Caso das “Crianças de Rua” (Villagrán Morales e outros) Vs. Guatemala. Mérito</w:t>
      </w:r>
      <w:r w:rsidRPr="00D5464D">
        <w:rPr>
          <w:lang w:val="pt-BR"/>
        </w:rPr>
        <w:t xml:space="preserve">, par. 237 e </w:t>
      </w:r>
      <w:r w:rsidRPr="00D5464D">
        <w:rPr>
          <w:rStyle w:val="Textoennegrita"/>
          <w:b w:val="0"/>
          <w:i/>
          <w:color w:val="000000"/>
          <w:shd w:val="clear" w:color="auto" w:fill="FFFFFF"/>
          <w:lang w:val="pt-BR"/>
        </w:rPr>
        <w:t>Caso Maldonado Ordoñez</w:t>
      </w:r>
      <w:r w:rsidRPr="00D5464D">
        <w:rPr>
          <w:color w:val="000000"/>
          <w:lang w:val="pt-BR"/>
        </w:rPr>
        <w:t xml:space="preserve">, </w:t>
      </w:r>
      <w:r w:rsidRPr="00D5464D">
        <w:rPr>
          <w:lang w:val="pt-BR"/>
        </w:rPr>
        <w:t>par. 110.</w:t>
      </w:r>
    </w:p>
  </w:footnote>
  <w:footnote w:id="504">
    <w:p w14:paraId="4D7959E8" w14:textId="2B268ED2" w:rsidR="00AF210B" w:rsidRPr="00D5464D" w:rsidRDefault="00AF210B" w:rsidP="002A0C2B">
      <w:pPr>
        <w:pStyle w:val="Textonotapie"/>
        <w:spacing w:after="20"/>
        <w:rPr>
          <w:lang w:val="pt-BR"/>
        </w:rPr>
      </w:pPr>
      <w:r w:rsidRPr="00D5464D">
        <w:rPr>
          <w:rStyle w:val="Refdenotaalpie"/>
        </w:rPr>
        <w:footnoteRef/>
      </w:r>
      <w:r w:rsidRPr="00D5464D">
        <w:rPr>
          <w:lang w:val="pt-BR"/>
        </w:rPr>
        <w:t xml:space="preserve"> Sentença de 10 de julho de 2008 (expediente de prova, folha 5622).</w:t>
      </w:r>
    </w:p>
  </w:footnote>
  <w:footnote w:id="505">
    <w:p w14:paraId="5CDB3BAB" w14:textId="1A538F12" w:rsidR="00AF210B" w:rsidRPr="00D5464D" w:rsidRDefault="00AF210B" w:rsidP="002A0C2B">
      <w:pPr>
        <w:spacing w:after="20"/>
        <w:jc w:val="both"/>
        <w:rPr>
          <w:bCs/>
          <w:i/>
          <w:color w:val="000000"/>
          <w:shd w:val="clear" w:color="auto" w:fill="FFFFFF"/>
          <w:lang w:val="pt-BR"/>
        </w:rPr>
      </w:pPr>
      <w:r w:rsidRPr="00D5464D">
        <w:rPr>
          <w:rStyle w:val="Refdenotaalpie"/>
          <w:sz w:val="16"/>
          <w:szCs w:val="16"/>
        </w:rPr>
        <w:footnoteRef/>
      </w:r>
      <w:r w:rsidRPr="00D5464D">
        <w:rPr>
          <w:sz w:val="16"/>
          <w:szCs w:val="16"/>
          <w:lang w:val="pt-BR"/>
        </w:rPr>
        <w:t xml:space="preserve"> </w:t>
      </w:r>
      <w:r w:rsidRPr="00D5464D">
        <w:rPr>
          <w:i/>
          <w:sz w:val="16"/>
          <w:szCs w:val="16"/>
          <w:lang w:val="pt-BR"/>
        </w:rPr>
        <w:t xml:space="preserve">Cf. </w:t>
      </w:r>
      <w:r w:rsidRPr="00D5464D">
        <w:rPr>
          <w:rStyle w:val="Textoennegrita"/>
          <w:b w:val="0"/>
          <w:i/>
          <w:color w:val="000000"/>
          <w:sz w:val="16"/>
          <w:szCs w:val="16"/>
          <w:shd w:val="clear" w:color="auto" w:fill="FFFFFF"/>
          <w:lang w:val="pt-BR"/>
        </w:rPr>
        <w:t>Caso Fornerón e filha Vs. Argentina. Mérito, Reparações e Custas</w:t>
      </w:r>
      <w:r w:rsidRPr="00D5464D">
        <w:rPr>
          <w:rStyle w:val="Textoennegrita"/>
          <w:b w:val="0"/>
          <w:color w:val="000000"/>
          <w:sz w:val="16"/>
          <w:szCs w:val="16"/>
          <w:shd w:val="clear" w:color="auto" w:fill="FFFFFF"/>
          <w:lang w:val="pt-BR"/>
        </w:rPr>
        <w:t xml:space="preserve">. Sentença de 27 de abril de 2012. Série C Nº 242, par. 44 e </w:t>
      </w:r>
      <w:r w:rsidRPr="00D5464D">
        <w:rPr>
          <w:rStyle w:val="Textoennegrita"/>
          <w:b w:val="0"/>
          <w:i/>
          <w:color w:val="000000"/>
          <w:sz w:val="16"/>
          <w:shd w:val="clear" w:color="auto" w:fill="FFFFFF"/>
          <w:lang w:val="pt-BR"/>
        </w:rPr>
        <w:t>Caso Comunidade Camponesa de Santa Bárbara</w:t>
      </w:r>
      <w:r w:rsidRPr="00D5464D">
        <w:rPr>
          <w:sz w:val="16"/>
          <w:szCs w:val="16"/>
          <w:lang w:val="pt-BR"/>
        </w:rPr>
        <w:t>, par. 491</w:t>
      </w:r>
      <w:r w:rsidRPr="00D5464D" w:rsidDel="009E6E31">
        <w:rPr>
          <w:i/>
          <w:sz w:val="16"/>
          <w:szCs w:val="16"/>
          <w:lang w:val="pt-BR"/>
        </w:rPr>
        <w:t xml:space="preserve"> </w:t>
      </w:r>
      <w:r w:rsidRPr="00D5464D">
        <w:rPr>
          <w:sz w:val="16"/>
          <w:szCs w:val="16"/>
          <w:lang w:val="pt-BR"/>
        </w:rPr>
        <w:t>.</w:t>
      </w:r>
    </w:p>
  </w:footnote>
  <w:footnote w:id="506">
    <w:p w14:paraId="618CFBEA" w14:textId="49BD94AC" w:rsidR="00AF210B" w:rsidRPr="00D5464D" w:rsidRDefault="00AF210B" w:rsidP="002A0C2B">
      <w:pPr>
        <w:tabs>
          <w:tab w:val="clear" w:pos="4419"/>
          <w:tab w:val="clear" w:pos="8838"/>
          <w:tab w:val="right" w:pos="0"/>
          <w:tab w:val="left" w:pos="567"/>
          <w:tab w:val="left" w:pos="709"/>
        </w:tabs>
        <w:autoSpaceDE w:val="0"/>
        <w:autoSpaceDN w:val="0"/>
        <w:adjustRightInd w:val="0"/>
        <w:spacing w:after="20"/>
        <w:jc w:val="both"/>
        <w:rPr>
          <w:rFonts w:cs="Verdana"/>
          <w:sz w:val="16"/>
          <w:szCs w:val="16"/>
          <w:lang w:val="pt-BR"/>
        </w:rPr>
      </w:pPr>
      <w:r w:rsidRPr="00D5464D">
        <w:rPr>
          <w:rStyle w:val="Refdenotaalpie"/>
          <w:sz w:val="16"/>
          <w:szCs w:val="16"/>
        </w:rPr>
        <w:footnoteRef/>
      </w:r>
      <w:r w:rsidRPr="00D5464D">
        <w:rPr>
          <w:sz w:val="16"/>
          <w:szCs w:val="16"/>
          <w:lang w:val="pt-BR"/>
        </w:rPr>
        <w:t xml:space="preserve"> </w:t>
      </w:r>
      <w:r w:rsidRPr="00D5464D">
        <w:rPr>
          <w:i/>
          <w:sz w:val="16"/>
          <w:szCs w:val="16"/>
          <w:lang w:val="pt-BR"/>
        </w:rPr>
        <w:t xml:space="preserve">Cf. Caso Almonacid Arellano e outros Vs. Chile. Exceções Preliminares, Mérito, Reparações e Custas. </w:t>
      </w:r>
      <w:r w:rsidRPr="00D5464D">
        <w:rPr>
          <w:sz w:val="16"/>
          <w:szCs w:val="16"/>
          <w:lang w:val="pt-BR"/>
        </w:rPr>
        <w:t xml:space="preserve">Sentença de 26 de setembro de 2006. Série C Nº 154, par. 124 e </w:t>
      </w:r>
      <w:r w:rsidRPr="00D5464D">
        <w:rPr>
          <w:i/>
          <w:sz w:val="16"/>
          <w:szCs w:val="16"/>
          <w:lang w:val="pt-BR"/>
        </w:rPr>
        <w:t>Caso</w:t>
      </w:r>
      <w:r w:rsidRPr="00D5464D">
        <w:rPr>
          <w:sz w:val="16"/>
          <w:szCs w:val="16"/>
          <w:lang w:val="pt-BR"/>
        </w:rPr>
        <w:t xml:space="preserve"> </w:t>
      </w:r>
      <w:r w:rsidRPr="00D5464D">
        <w:rPr>
          <w:rStyle w:val="Textoennegrita"/>
          <w:b w:val="0"/>
          <w:i/>
          <w:color w:val="000000"/>
          <w:sz w:val="16"/>
          <w:szCs w:val="16"/>
          <w:shd w:val="clear" w:color="auto" w:fill="FFFFFF"/>
          <w:lang w:val="pt-BR"/>
        </w:rPr>
        <w:t>Comunidade Garífuna de Punta Piedra e seus membros Vs. Honduras. Exceções Preliminares, Mérito, Reparações e Custas</w:t>
      </w:r>
      <w:r w:rsidRPr="00D5464D">
        <w:rPr>
          <w:rStyle w:val="Textoennegrita"/>
          <w:b w:val="0"/>
          <w:color w:val="000000"/>
          <w:sz w:val="16"/>
          <w:szCs w:val="16"/>
          <w:shd w:val="clear" w:color="auto" w:fill="FFFFFF"/>
          <w:lang w:val="pt-BR"/>
        </w:rPr>
        <w:t>. Sentença de 08 de outubro de 2015. Série C Nº 304</w:t>
      </w:r>
      <w:r w:rsidRPr="00D5464D">
        <w:rPr>
          <w:bCs/>
          <w:i/>
          <w:sz w:val="16"/>
          <w:szCs w:val="16"/>
          <w:lang w:val="pt-BR"/>
        </w:rPr>
        <w:t xml:space="preserve">, </w:t>
      </w:r>
      <w:r w:rsidRPr="00D5464D">
        <w:rPr>
          <w:sz w:val="16"/>
          <w:szCs w:val="16"/>
          <w:lang w:val="pt-BR"/>
        </w:rPr>
        <w:t>par. 346.</w:t>
      </w:r>
    </w:p>
  </w:footnote>
  <w:footnote w:id="507">
    <w:p w14:paraId="78A93651" w14:textId="7B635CCE"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rFonts w:cs="Verdana"/>
          <w:i/>
          <w:iCs/>
          <w:lang w:val="pt-BR"/>
        </w:rPr>
        <w:t>Caso Garrido e Baigorria. Reparações e Custas</w:t>
      </w:r>
      <w:r w:rsidRPr="00D5464D">
        <w:rPr>
          <w:rFonts w:cs="Verdana"/>
          <w:lang w:val="pt-BR"/>
        </w:rPr>
        <w:t xml:space="preserve">. </w:t>
      </w:r>
      <w:r w:rsidRPr="00D5464D">
        <w:rPr>
          <w:rFonts w:cs="Arial"/>
          <w:lang w:val="pt-BR"/>
        </w:rPr>
        <w:t xml:space="preserve">Sentença de 27 de agosto de 1998. Série C Nº 39, par. 68 e </w:t>
      </w:r>
      <w:r w:rsidRPr="00D5464D">
        <w:rPr>
          <w:rStyle w:val="Textoennegrita"/>
          <w:b w:val="0"/>
          <w:i/>
          <w:color w:val="000000"/>
          <w:shd w:val="clear" w:color="auto" w:fill="FFFFFF"/>
          <w:lang w:val="pt-BR"/>
        </w:rPr>
        <w:t>Caso Maldonado Ordoñez</w:t>
      </w:r>
      <w:r w:rsidRPr="00D5464D">
        <w:rPr>
          <w:rStyle w:val="Textoennegrita"/>
          <w:b w:val="0"/>
          <w:color w:val="000000"/>
          <w:shd w:val="clear" w:color="auto" w:fill="FFFFFF"/>
          <w:lang w:val="pt-BR"/>
        </w:rPr>
        <w:t>, par. 111.</w:t>
      </w:r>
    </w:p>
  </w:footnote>
  <w:footnote w:id="508">
    <w:p w14:paraId="0E95BA5D" w14:textId="4B52CEFF" w:rsidR="00AF210B" w:rsidRPr="00D5464D" w:rsidRDefault="00AF210B" w:rsidP="002A0C2B">
      <w:pPr>
        <w:pStyle w:val="Textonotapie"/>
        <w:tabs>
          <w:tab w:val="clear" w:pos="4419"/>
          <w:tab w:val="clear" w:pos="8838"/>
          <w:tab w:val="right" w:pos="0"/>
        </w:tabs>
        <w:spacing w:after="20"/>
        <w:rPr>
          <w:rFonts w:eastAsia="MS Mincho" w:cs="Arial"/>
          <w:lang w:val="pt-BR"/>
        </w:rPr>
      </w:pPr>
      <w:r w:rsidRPr="00D5464D">
        <w:rPr>
          <w:rStyle w:val="Refdenotaalpie"/>
          <w:szCs w:val="16"/>
        </w:rPr>
        <w:footnoteRef/>
      </w:r>
      <w:r w:rsidRPr="00D5464D">
        <w:rPr>
          <w:lang w:val="pt-BR"/>
        </w:rPr>
        <w:t xml:space="preserve"> </w:t>
      </w:r>
      <w:r w:rsidRPr="00D5464D">
        <w:rPr>
          <w:i/>
          <w:lang w:val="pt-BR"/>
        </w:rPr>
        <w:t>Cf. Caso Garrido e Baigorria. Reparações e Custas</w:t>
      </w:r>
      <w:r w:rsidRPr="00D5464D">
        <w:rPr>
          <w:lang w:val="pt-BR"/>
        </w:rPr>
        <w:t>, par. 68</w:t>
      </w:r>
      <w:r w:rsidRPr="00D5464D">
        <w:rPr>
          <w:i/>
          <w:lang w:val="pt-BR"/>
        </w:rPr>
        <w:t xml:space="preserve"> e </w:t>
      </w:r>
      <w:r w:rsidRPr="00D5464D">
        <w:rPr>
          <w:rStyle w:val="Textoennegrita"/>
          <w:b w:val="0"/>
          <w:i/>
          <w:color w:val="000000"/>
          <w:shd w:val="clear" w:color="auto" w:fill="FFFFFF"/>
          <w:lang w:val="pt-BR"/>
        </w:rPr>
        <w:t>Caso Maldonado Ordoñez</w:t>
      </w:r>
      <w:r w:rsidRPr="00D5464D">
        <w:rPr>
          <w:rStyle w:val="Textoennegrita"/>
          <w:b w:val="0"/>
          <w:color w:val="000000"/>
          <w:shd w:val="clear" w:color="auto" w:fill="FFFFFF"/>
          <w:lang w:val="pt-BR"/>
        </w:rPr>
        <w:t>, par. 111.</w:t>
      </w:r>
    </w:p>
  </w:footnote>
  <w:footnote w:id="509">
    <w:p w14:paraId="211B3BDB" w14:textId="5BD11E58"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w:t>
      </w:r>
      <w:r w:rsidRPr="00D5464D">
        <w:rPr>
          <w:rFonts w:cs="Arial"/>
          <w:i/>
          <w:lang w:val="pt-BR"/>
        </w:rPr>
        <w:t xml:space="preserve">Caso </w:t>
      </w:r>
      <w:r w:rsidRPr="00D5464D">
        <w:rPr>
          <w:i/>
          <w:lang w:val="pt-BR"/>
        </w:rPr>
        <w:t>Ivcher Bronstein.</w:t>
      </w:r>
      <w:r w:rsidRPr="00D5464D">
        <w:rPr>
          <w:lang w:val="pt-BR"/>
        </w:rPr>
        <w:t xml:space="preserve"> </w:t>
      </w:r>
      <w:r w:rsidRPr="00D5464D">
        <w:rPr>
          <w:i/>
          <w:lang w:val="pt-BR"/>
        </w:rPr>
        <w:t>Competência.</w:t>
      </w:r>
      <w:r w:rsidRPr="00D5464D">
        <w:rPr>
          <w:lang w:val="pt-BR"/>
        </w:rPr>
        <w:t xml:space="preserve"> Sentença de 24 de Setembro de 1999. Série C Nº 54, par. 37 e </w:t>
      </w:r>
      <w:r w:rsidRPr="00D5464D">
        <w:rPr>
          <w:rStyle w:val="Textoennegrita"/>
          <w:b w:val="0"/>
          <w:i/>
          <w:color w:val="000000"/>
          <w:shd w:val="clear" w:color="auto" w:fill="FFFFFF"/>
          <w:lang w:val="pt-BR"/>
        </w:rPr>
        <w:t>Caso Maldonado Ordoñez</w:t>
      </w:r>
      <w:r w:rsidRPr="00D5464D">
        <w:rPr>
          <w:rStyle w:val="Textoennegrita"/>
          <w:b w:val="0"/>
          <w:color w:val="000000"/>
          <w:shd w:val="clear" w:color="auto" w:fill="FFFFFF"/>
          <w:lang w:val="pt-BR"/>
        </w:rPr>
        <w:t>, par. 111.</w:t>
      </w:r>
    </w:p>
  </w:footnote>
  <w:footnote w:id="510">
    <w:p w14:paraId="2CD411A2" w14:textId="31BD16CA"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i/>
          <w:lang w:val="pt-BR"/>
        </w:rPr>
        <w:t xml:space="preserve">Cf. Caso Zambrano Vélez e outros Vs. Equador. </w:t>
      </w:r>
      <w:r w:rsidRPr="00D5464D">
        <w:rPr>
          <w:rStyle w:val="Textoennegrita"/>
          <w:b w:val="0"/>
          <w:i/>
          <w:lang w:val="pt-BR"/>
        </w:rPr>
        <w:t>Mérito, Reparações e Custas</w:t>
      </w:r>
      <w:r w:rsidRPr="00D5464D">
        <w:rPr>
          <w:rStyle w:val="Textoennegrita"/>
          <w:b w:val="0"/>
          <w:lang w:val="pt-BR"/>
        </w:rPr>
        <w:t>. Sentença de 4 de julho de 2007. Série C Nº 166</w:t>
      </w:r>
      <w:r w:rsidRPr="00D5464D">
        <w:rPr>
          <w:rStyle w:val="Textoennegrita"/>
          <w:b w:val="0"/>
          <w:i/>
          <w:lang w:val="pt-BR"/>
        </w:rPr>
        <w:t>,</w:t>
      </w:r>
      <w:r w:rsidRPr="00D5464D">
        <w:rPr>
          <w:i/>
          <w:lang w:val="pt-BR"/>
        </w:rPr>
        <w:t xml:space="preserve"> </w:t>
      </w:r>
      <w:r w:rsidRPr="00D5464D">
        <w:rPr>
          <w:lang w:val="pt-BR"/>
        </w:rPr>
        <w:t>par. 56</w:t>
      </w:r>
      <w:r w:rsidRPr="00D5464D">
        <w:rPr>
          <w:rFonts w:cs="Arial"/>
          <w:lang w:val="pt-BR"/>
        </w:rPr>
        <w:t xml:space="preserve"> e </w:t>
      </w:r>
      <w:r w:rsidRPr="00D5464D">
        <w:rPr>
          <w:rStyle w:val="Textoennegrita"/>
          <w:b w:val="0"/>
          <w:i/>
          <w:color w:val="000000"/>
          <w:shd w:val="clear" w:color="auto" w:fill="FFFFFF"/>
          <w:lang w:val="pt-BR"/>
        </w:rPr>
        <w:t>Caso Maldonado Ordoñez</w:t>
      </w:r>
      <w:r w:rsidRPr="00D5464D">
        <w:rPr>
          <w:rStyle w:val="Textoennegrita"/>
          <w:b w:val="0"/>
          <w:color w:val="000000"/>
          <w:shd w:val="clear" w:color="auto" w:fill="FFFFFF"/>
          <w:lang w:val="pt-BR"/>
        </w:rPr>
        <w:t>, par. 111.</w:t>
      </w:r>
    </w:p>
  </w:footnote>
  <w:footnote w:id="511">
    <w:p w14:paraId="5EB53BDB" w14:textId="6E816E3C" w:rsidR="00AF210B" w:rsidRPr="00D5464D" w:rsidRDefault="00AF210B" w:rsidP="002A0C2B">
      <w:pPr>
        <w:pStyle w:val="Textonotapie"/>
        <w:tabs>
          <w:tab w:val="clear" w:pos="4419"/>
          <w:tab w:val="clear" w:pos="8838"/>
          <w:tab w:val="right" w:pos="0"/>
        </w:tabs>
        <w:spacing w:after="20"/>
        <w:rPr>
          <w:rFonts w:eastAsia="MS Mincho" w:cs="Arial"/>
          <w:lang w:val="pt-BR"/>
        </w:rPr>
      </w:pPr>
      <w:r w:rsidRPr="00D5464D">
        <w:rPr>
          <w:rStyle w:val="Refdenotaalpie"/>
          <w:szCs w:val="16"/>
        </w:rPr>
        <w:footnoteRef/>
      </w:r>
      <w:r w:rsidRPr="00D5464D">
        <w:rPr>
          <w:lang w:val="pt-BR"/>
        </w:rPr>
        <w:t xml:space="preserve"> </w:t>
      </w:r>
      <w:r w:rsidRPr="00D5464D">
        <w:rPr>
          <w:i/>
          <w:lang w:val="pt-BR"/>
        </w:rPr>
        <w:t>Cf. Caso Zambrano Vélez e outros</w:t>
      </w:r>
      <w:r w:rsidRPr="00D5464D">
        <w:rPr>
          <w:rStyle w:val="Textoennegrita"/>
          <w:b w:val="0"/>
          <w:i/>
          <w:lang w:val="pt-BR"/>
        </w:rPr>
        <w:t>,</w:t>
      </w:r>
      <w:r w:rsidRPr="00D5464D">
        <w:rPr>
          <w:i/>
          <w:lang w:val="pt-BR"/>
        </w:rPr>
        <w:t xml:space="preserve"> </w:t>
      </w:r>
      <w:r w:rsidRPr="00D5464D">
        <w:rPr>
          <w:lang w:val="pt-BR"/>
        </w:rPr>
        <w:t xml:space="preserve">par. 56 e </w:t>
      </w:r>
      <w:r w:rsidRPr="00D5464D">
        <w:rPr>
          <w:rStyle w:val="Textoennegrita"/>
          <w:b w:val="0"/>
          <w:i/>
          <w:color w:val="000000"/>
          <w:shd w:val="clear" w:color="auto" w:fill="FFFFFF"/>
          <w:lang w:val="pt-BR"/>
        </w:rPr>
        <w:t>Caso Maldonado Ordoñez</w:t>
      </w:r>
      <w:r w:rsidRPr="00D5464D">
        <w:rPr>
          <w:rStyle w:val="Textoennegrita"/>
          <w:b w:val="0"/>
          <w:color w:val="000000"/>
          <w:shd w:val="clear" w:color="auto" w:fill="FFFFFF"/>
          <w:lang w:val="pt-BR"/>
        </w:rPr>
        <w:t>, par. 111</w:t>
      </w:r>
      <w:r w:rsidRPr="00D5464D">
        <w:rPr>
          <w:i/>
          <w:lang w:val="pt-BR"/>
        </w:rPr>
        <w:t>.</w:t>
      </w:r>
    </w:p>
  </w:footnote>
  <w:footnote w:id="512">
    <w:p w14:paraId="7322C7DE" w14:textId="222D6051" w:rsidR="00AF210B" w:rsidRPr="00D5464D" w:rsidRDefault="00AF210B" w:rsidP="002A0C2B">
      <w:pPr>
        <w:tabs>
          <w:tab w:val="clear" w:pos="4419"/>
          <w:tab w:val="clear" w:pos="8838"/>
          <w:tab w:val="right" w:pos="0"/>
        </w:tabs>
        <w:autoSpaceDE w:val="0"/>
        <w:autoSpaceDN w:val="0"/>
        <w:adjustRightInd w:val="0"/>
        <w:spacing w:after="20"/>
        <w:jc w:val="both"/>
        <w:rPr>
          <w:rFonts w:cs="Arial"/>
          <w:sz w:val="16"/>
          <w:szCs w:val="16"/>
          <w:lang w:val="pt-BR"/>
        </w:rPr>
      </w:pPr>
      <w:r w:rsidRPr="00D5464D">
        <w:rPr>
          <w:rStyle w:val="Refdenotaalpie"/>
          <w:sz w:val="16"/>
          <w:szCs w:val="16"/>
        </w:rPr>
        <w:footnoteRef/>
      </w:r>
      <w:r w:rsidRPr="00D5464D">
        <w:rPr>
          <w:sz w:val="16"/>
          <w:szCs w:val="16"/>
          <w:lang w:val="pt-BR"/>
        </w:rPr>
        <w:t xml:space="preserve"> </w:t>
      </w:r>
      <w:r w:rsidRPr="00D5464D">
        <w:rPr>
          <w:i/>
          <w:sz w:val="16"/>
          <w:szCs w:val="16"/>
          <w:lang w:val="pt-BR"/>
        </w:rPr>
        <w:t xml:space="preserve">Cf. </w:t>
      </w:r>
      <w:r w:rsidRPr="00D5464D">
        <w:rPr>
          <w:rFonts w:cs="Arial"/>
          <w:i/>
          <w:iCs/>
          <w:sz w:val="16"/>
          <w:szCs w:val="16"/>
          <w:lang w:val="pt-BR"/>
        </w:rPr>
        <w:t xml:space="preserve">Caso Barrios Altos Vs. Peru. Mérito. </w:t>
      </w:r>
      <w:r w:rsidRPr="00D5464D">
        <w:rPr>
          <w:rFonts w:cs="Arial"/>
          <w:sz w:val="16"/>
          <w:szCs w:val="16"/>
          <w:lang w:val="pt-BR"/>
        </w:rPr>
        <w:t xml:space="preserve">Sentença de 14 de março de 2001. Série C Nº 75, par. 41; </w:t>
      </w:r>
      <w:r w:rsidRPr="00D5464D">
        <w:rPr>
          <w:rFonts w:cs="Arial"/>
          <w:i/>
          <w:iCs/>
          <w:sz w:val="16"/>
          <w:szCs w:val="16"/>
          <w:lang w:val="pt-BR"/>
        </w:rPr>
        <w:t>Caso Almonacid Arellano</w:t>
      </w:r>
      <w:r w:rsidRPr="00D5464D">
        <w:rPr>
          <w:rFonts w:cs="Arial"/>
          <w:sz w:val="16"/>
          <w:szCs w:val="16"/>
          <w:lang w:val="pt-BR"/>
        </w:rPr>
        <w:t>, par. 110.</w:t>
      </w:r>
    </w:p>
  </w:footnote>
  <w:footnote w:id="513">
    <w:p w14:paraId="185A77CD" w14:textId="15714381"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rStyle w:val="Textoennegrita"/>
          <w:b w:val="0"/>
          <w:i/>
          <w:color w:val="000000"/>
          <w:shd w:val="clear" w:color="auto" w:fill="FFFFFF"/>
          <w:lang w:val="pt-BR"/>
        </w:rPr>
        <w:t>Caso do Massacre de La Rochela Vs. Colômbia. Mérito, Reparações e Custas</w:t>
      </w:r>
      <w:r w:rsidRPr="00D5464D">
        <w:rPr>
          <w:rStyle w:val="Textoennegrita"/>
          <w:b w:val="0"/>
          <w:color w:val="000000"/>
          <w:shd w:val="clear" w:color="auto" w:fill="FFFFFF"/>
          <w:lang w:val="pt-BR"/>
        </w:rPr>
        <w:t>. Sentença de 11 de maio de 2007. Série C Nº 163, par. 193.</w:t>
      </w:r>
    </w:p>
  </w:footnote>
  <w:footnote w:id="514">
    <w:p w14:paraId="61B2B987" w14:textId="75337077"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rFonts w:cs="Arial"/>
          <w:bCs/>
          <w:i/>
          <w:lang w:val="pt-BR"/>
        </w:rPr>
        <w:t>Condição jurídica e direitos dos migrantes indocumentados</w:t>
      </w:r>
      <w:r w:rsidRPr="00D5464D">
        <w:rPr>
          <w:rFonts w:cs="Arial"/>
          <w:i/>
          <w:iCs/>
          <w:lang w:val="pt-BR"/>
        </w:rPr>
        <w:t xml:space="preserve">, </w:t>
      </w:r>
      <w:r w:rsidRPr="00D5464D">
        <w:rPr>
          <w:rFonts w:cs="Arial"/>
          <w:lang w:val="pt-BR"/>
        </w:rPr>
        <w:t>par. 85; e</w:t>
      </w:r>
      <w:r w:rsidRPr="00D5464D">
        <w:rPr>
          <w:lang w:val="pt-BR"/>
        </w:rPr>
        <w:t xml:space="preserve"> </w:t>
      </w:r>
      <w:r w:rsidRPr="00D5464D">
        <w:rPr>
          <w:i/>
          <w:lang w:val="pt-BR"/>
        </w:rPr>
        <w:t>Caso Duque,</w:t>
      </w:r>
      <w:r w:rsidRPr="00D5464D">
        <w:rPr>
          <w:lang w:val="pt-BR"/>
        </w:rPr>
        <w:t xml:space="preserve"> par. 93.</w:t>
      </w:r>
    </w:p>
  </w:footnote>
  <w:footnote w:id="515">
    <w:p w14:paraId="208469E1" w14:textId="15F97C8F" w:rsidR="00AF210B" w:rsidRPr="00D5464D" w:rsidRDefault="00AF210B" w:rsidP="002A0C2B">
      <w:pPr>
        <w:pStyle w:val="Textonotapie"/>
        <w:tabs>
          <w:tab w:val="clear" w:pos="4419"/>
          <w:tab w:val="clear" w:pos="8838"/>
          <w:tab w:val="right" w:pos="0"/>
        </w:tabs>
        <w:spacing w:after="20"/>
        <w:rPr>
          <w:lang w:val="pt-BR"/>
        </w:rPr>
      </w:pPr>
      <w:r w:rsidRPr="00D5464D">
        <w:rPr>
          <w:rStyle w:val="Refdenotaalpie"/>
          <w:szCs w:val="16"/>
        </w:rPr>
        <w:footnoteRef/>
      </w:r>
      <w:r w:rsidRPr="00D5464D">
        <w:rPr>
          <w:lang w:val="pt-BR"/>
        </w:rPr>
        <w:t xml:space="preserve"> </w:t>
      </w:r>
      <w:r w:rsidRPr="00D5464D">
        <w:rPr>
          <w:rFonts w:cs="Arial"/>
          <w:bCs/>
          <w:i/>
          <w:lang w:val="pt-BR"/>
        </w:rPr>
        <w:t>Condição jurídica e direitos dos migrantes indocumentados</w:t>
      </w:r>
      <w:r w:rsidRPr="00D5464D">
        <w:rPr>
          <w:rFonts w:cs="Arial"/>
          <w:i/>
          <w:iCs/>
          <w:lang w:val="pt-BR"/>
        </w:rPr>
        <w:t xml:space="preserve">, </w:t>
      </w:r>
      <w:r w:rsidRPr="00D5464D">
        <w:rPr>
          <w:rFonts w:cs="Arial"/>
          <w:lang w:val="pt-BR"/>
        </w:rPr>
        <w:t>par. 101; e</w:t>
      </w:r>
      <w:r w:rsidRPr="00D5464D">
        <w:rPr>
          <w:lang w:val="pt-BR"/>
        </w:rPr>
        <w:t xml:space="preserve"> </w:t>
      </w:r>
      <w:r w:rsidRPr="00D5464D">
        <w:rPr>
          <w:i/>
          <w:lang w:val="pt-BR"/>
        </w:rPr>
        <w:t>Caso Duque,</w:t>
      </w:r>
      <w:r w:rsidRPr="00D5464D">
        <w:rPr>
          <w:lang w:val="pt-BR"/>
        </w:rPr>
        <w:t xml:space="preserve"> par. 91.</w:t>
      </w:r>
    </w:p>
  </w:footnote>
  <w:footnote w:id="516">
    <w:p w14:paraId="12DE9D8E" w14:textId="182C25D7" w:rsidR="00AF210B" w:rsidRPr="00D5464D" w:rsidRDefault="00AF210B" w:rsidP="002A0C2B">
      <w:pPr>
        <w:spacing w:after="20"/>
        <w:jc w:val="both"/>
        <w:rPr>
          <w:b/>
          <w:lang w:val="pt-BR"/>
        </w:rPr>
      </w:pPr>
      <w:r w:rsidRPr="00D5464D">
        <w:rPr>
          <w:rStyle w:val="Refdenotaalpie"/>
          <w:sz w:val="16"/>
          <w:szCs w:val="16"/>
          <w:lang w:val="es-PR"/>
        </w:rPr>
        <w:footnoteRef/>
      </w:r>
      <w:r w:rsidRPr="00D5464D">
        <w:rPr>
          <w:sz w:val="16"/>
          <w:szCs w:val="16"/>
          <w:lang w:val="es-ES"/>
        </w:rPr>
        <w:t xml:space="preserve"> </w:t>
      </w:r>
      <w:r w:rsidRPr="00D5464D">
        <w:rPr>
          <w:i/>
          <w:sz w:val="16"/>
          <w:szCs w:val="16"/>
          <w:lang w:val="es-ES"/>
        </w:rPr>
        <w:t xml:space="preserve">Cf. Caso Radilla Pacheco Vs. </w:t>
      </w:r>
      <w:r w:rsidRPr="00D5464D">
        <w:rPr>
          <w:i/>
          <w:sz w:val="16"/>
          <w:szCs w:val="16"/>
          <w:lang w:val="pt-BR"/>
        </w:rPr>
        <w:t xml:space="preserve">México. </w:t>
      </w:r>
      <w:r w:rsidRPr="00D5464D">
        <w:rPr>
          <w:rStyle w:val="Textoennegrita"/>
          <w:b w:val="0"/>
          <w:i/>
          <w:color w:val="000000"/>
          <w:sz w:val="16"/>
          <w:szCs w:val="16"/>
          <w:shd w:val="clear" w:color="auto" w:fill="FFFFFF"/>
          <w:lang w:val="pt-BR"/>
        </w:rPr>
        <w:t>Exceções Preliminares, Mérito, Reparações e Custas</w:t>
      </w:r>
      <w:r w:rsidRPr="00D5464D">
        <w:rPr>
          <w:rStyle w:val="Textoennegrita"/>
          <w:b w:val="0"/>
          <w:color w:val="000000"/>
          <w:sz w:val="16"/>
          <w:szCs w:val="16"/>
          <w:shd w:val="clear" w:color="auto" w:fill="FFFFFF"/>
          <w:lang w:val="pt-BR"/>
        </w:rPr>
        <w:t>. Sentença de 23 de novembro de 2009. Série C Nº 209</w:t>
      </w:r>
      <w:r w:rsidRPr="00D5464D">
        <w:rPr>
          <w:i/>
          <w:sz w:val="16"/>
          <w:szCs w:val="16"/>
          <w:lang w:val="pt-BR"/>
        </w:rPr>
        <w:t xml:space="preserve">, </w:t>
      </w:r>
      <w:r w:rsidRPr="00D5464D">
        <w:rPr>
          <w:sz w:val="16"/>
          <w:szCs w:val="16"/>
          <w:lang w:val="pt-BR"/>
        </w:rPr>
        <w:t xml:space="preserve">par. 145 e </w:t>
      </w:r>
      <w:r w:rsidRPr="00D5464D">
        <w:rPr>
          <w:i/>
          <w:sz w:val="16"/>
          <w:szCs w:val="16"/>
          <w:lang w:val="pt-BR"/>
        </w:rPr>
        <w:t xml:space="preserve">Caso Comunidade Camponesa de Santa Bárbara, </w:t>
      </w:r>
      <w:r w:rsidRPr="00D5464D">
        <w:rPr>
          <w:sz w:val="16"/>
          <w:szCs w:val="16"/>
          <w:lang w:val="pt-BR"/>
        </w:rPr>
        <w:t>par. 161.</w:t>
      </w:r>
    </w:p>
  </w:footnote>
  <w:footnote w:id="517">
    <w:p w14:paraId="014F08A3" w14:textId="54B7B620" w:rsidR="00AF210B" w:rsidRPr="00D5464D" w:rsidRDefault="00AF210B" w:rsidP="002A0C2B">
      <w:pPr>
        <w:spacing w:after="20"/>
        <w:jc w:val="both"/>
        <w:rPr>
          <w:b/>
          <w:lang w:val="pt-BR"/>
        </w:rPr>
      </w:pPr>
      <w:r w:rsidRPr="00D5464D">
        <w:rPr>
          <w:rStyle w:val="Refdenotaalpie"/>
          <w:sz w:val="16"/>
          <w:szCs w:val="16"/>
        </w:rPr>
        <w:footnoteRef/>
      </w:r>
      <w:r w:rsidRPr="00D5464D">
        <w:rPr>
          <w:sz w:val="16"/>
          <w:szCs w:val="16"/>
          <w:lang w:val="pt-BR"/>
        </w:rPr>
        <w:t xml:space="preserve"> </w:t>
      </w:r>
      <w:r w:rsidRPr="00D5464D">
        <w:rPr>
          <w:i/>
          <w:sz w:val="16"/>
          <w:szCs w:val="16"/>
          <w:lang w:val="pt-BR"/>
        </w:rPr>
        <w:t xml:space="preserve">Cf. Caso González e outras (“Campo Algodoeiro”) Vs. México. </w:t>
      </w:r>
      <w:r w:rsidRPr="00D5464D">
        <w:rPr>
          <w:rStyle w:val="Textoennegrita"/>
          <w:b w:val="0"/>
          <w:i/>
          <w:color w:val="000000"/>
          <w:sz w:val="16"/>
          <w:szCs w:val="16"/>
          <w:shd w:val="clear" w:color="auto" w:fill="FFFFFF"/>
          <w:lang w:val="pt-BR"/>
        </w:rPr>
        <w:t>Exceção Preliminar, Mérito, Reparações e Custas</w:t>
      </w:r>
      <w:r w:rsidRPr="00D5464D">
        <w:rPr>
          <w:rStyle w:val="Textoennegrita"/>
          <w:b w:val="0"/>
          <w:color w:val="000000"/>
          <w:sz w:val="16"/>
          <w:szCs w:val="16"/>
          <w:shd w:val="clear" w:color="auto" w:fill="FFFFFF"/>
          <w:lang w:val="pt-BR"/>
        </w:rPr>
        <w:t>. Sentença de 16 de novembro de 2009. Série C Nº 205</w:t>
      </w:r>
      <w:r w:rsidRPr="00D5464D">
        <w:rPr>
          <w:i/>
          <w:sz w:val="16"/>
          <w:szCs w:val="16"/>
          <w:lang w:val="pt-BR"/>
        </w:rPr>
        <w:t xml:space="preserve">, </w:t>
      </w:r>
      <w:r w:rsidRPr="00D5464D">
        <w:rPr>
          <w:sz w:val="16"/>
          <w:szCs w:val="16"/>
          <w:lang w:val="pt-BR"/>
        </w:rPr>
        <w:t xml:space="preserve">par. 283 e </w:t>
      </w:r>
      <w:r w:rsidRPr="00D5464D">
        <w:rPr>
          <w:i/>
          <w:sz w:val="16"/>
          <w:szCs w:val="16"/>
          <w:lang w:val="pt-BR"/>
        </w:rPr>
        <w:t xml:space="preserve">Caso Velásquez Paiz e outros, </w:t>
      </w:r>
      <w:r w:rsidRPr="00D5464D">
        <w:rPr>
          <w:sz w:val="16"/>
          <w:szCs w:val="16"/>
          <w:lang w:val="pt-BR"/>
        </w:rPr>
        <w:t>par. 122.</w:t>
      </w:r>
    </w:p>
  </w:footnote>
  <w:footnote w:id="518">
    <w:p w14:paraId="500B0398" w14:textId="4FF8A262" w:rsidR="00AF210B" w:rsidRPr="00D5464D" w:rsidRDefault="00AF210B" w:rsidP="002A0C2B">
      <w:pPr>
        <w:pStyle w:val="Textonotapie"/>
        <w:spacing w:after="20"/>
        <w:rPr>
          <w:lang w:val="pt-BR"/>
        </w:rPr>
      </w:pPr>
      <w:r w:rsidRPr="00D5464D">
        <w:rPr>
          <w:rStyle w:val="Refdenotaalpie"/>
          <w:rFonts w:eastAsia="Calibri"/>
          <w:szCs w:val="16"/>
        </w:rPr>
        <w:footnoteRef/>
      </w:r>
      <w:r w:rsidRPr="00D5464D">
        <w:rPr>
          <w:lang w:val="pt-BR"/>
        </w:rPr>
        <w:t xml:space="preserve"> O artigo 63.1 da Convenção Americana estabelece que: “[q]uando decidir que houve violação de um direito ou liberdade protegidos nesta Convenção, a Corte determinará que se assegure ao prejudicado o gozo do seu direito ou liberdade violados. Determinará também, se isso for procedente, que sejam reparadas as consequências da medida ou situação que haja configurado a violação desses direitos, bem como o pagamento de indenização justa à parte lesada”.</w:t>
      </w:r>
    </w:p>
  </w:footnote>
  <w:footnote w:id="519">
    <w:p w14:paraId="5195C8C4" w14:textId="7EA17DE6" w:rsidR="00AF210B" w:rsidRPr="00D5464D" w:rsidRDefault="00AF210B" w:rsidP="002A0C2B">
      <w:pPr>
        <w:pStyle w:val="Textonotapie"/>
        <w:spacing w:after="20"/>
        <w:rPr>
          <w:lang w:val="pt-BR"/>
        </w:rPr>
      </w:pPr>
      <w:r w:rsidRPr="00D5464D">
        <w:rPr>
          <w:rStyle w:val="Refdenotaalpie"/>
          <w:rFonts w:eastAsia="Calibri"/>
          <w:szCs w:val="16"/>
        </w:rPr>
        <w:footnoteRef/>
      </w:r>
      <w:r w:rsidRPr="00D5464D">
        <w:rPr>
          <w:lang w:val="es-ES"/>
        </w:rPr>
        <w:t xml:space="preserve"> </w:t>
      </w:r>
      <w:r w:rsidRPr="00D5464D">
        <w:rPr>
          <w:i/>
          <w:lang w:val="es-ES"/>
        </w:rPr>
        <w:t xml:space="preserve">Cf. Caso Velásquez Rodríguez Vs. </w:t>
      </w:r>
      <w:r w:rsidRPr="00D5464D">
        <w:rPr>
          <w:i/>
          <w:lang w:val="pt-BR"/>
        </w:rPr>
        <w:t>Hondur</w:t>
      </w:r>
      <w:r w:rsidRPr="00D5464D">
        <w:rPr>
          <w:lang w:val="pt-BR"/>
        </w:rPr>
        <w:t xml:space="preserve">as. </w:t>
      </w:r>
      <w:r w:rsidRPr="00D5464D">
        <w:rPr>
          <w:i/>
          <w:lang w:val="pt-BR"/>
        </w:rPr>
        <w:t>Reparações e Custas</w:t>
      </w:r>
      <w:r w:rsidRPr="00D5464D">
        <w:rPr>
          <w:lang w:val="pt-BR"/>
        </w:rPr>
        <w:t xml:space="preserve">. Sentença de 21 de julho de 1989. Série C Nº 7, par. 25 e </w:t>
      </w:r>
      <w:r w:rsidRPr="00D5464D">
        <w:rPr>
          <w:rStyle w:val="Textoennegrita"/>
          <w:b w:val="0"/>
          <w:i/>
          <w:color w:val="000000"/>
          <w:shd w:val="clear" w:color="auto" w:fill="FFFFFF"/>
          <w:lang w:val="pt-BR"/>
        </w:rPr>
        <w:t>Caso Herrera Espinoza e outros</w:t>
      </w:r>
      <w:r w:rsidRPr="00D5464D">
        <w:rPr>
          <w:color w:val="000000"/>
          <w:lang w:val="pt-BR"/>
        </w:rPr>
        <w:t xml:space="preserve">, </w:t>
      </w:r>
      <w:r w:rsidRPr="00D5464D">
        <w:rPr>
          <w:lang w:val="pt-BR"/>
        </w:rPr>
        <w:t>par. 210.</w:t>
      </w:r>
    </w:p>
  </w:footnote>
  <w:footnote w:id="520">
    <w:p w14:paraId="7A43F7BE" w14:textId="701504FF" w:rsidR="00AF210B" w:rsidRPr="00D5464D" w:rsidRDefault="00AF210B" w:rsidP="002A0C2B">
      <w:pPr>
        <w:pStyle w:val="Textonotapie"/>
        <w:spacing w:after="20"/>
        <w:rPr>
          <w:lang w:val="pt-BR"/>
        </w:rPr>
      </w:pPr>
      <w:r w:rsidRPr="00D5464D">
        <w:rPr>
          <w:rStyle w:val="Refdenotaalpie"/>
          <w:rFonts w:eastAsia="Calibri"/>
          <w:szCs w:val="16"/>
        </w:rPr>
        <w:footnoteRef/>
      </w:r>
      <w:r w:rsidRPr="00D5464D">
        <w:rPr>
          <w:lang w:val="es-ES"/>
        </w:rPr>
        <w:t xml:space="preserve"> </w:t>
      </w:r>
      <w:r w:rsidRPr="00D5464D">
        <w:rPr>
          <w:i/>
          <w:lang w:val="es-ES"/>
        </w:rPr>
        <w:t xml:space="preserve">Cf. Caso Velásquez Rodríguez Vs. </w:t>
      </w:r>
      <w:r w:rsidRPr="00D5464D">
        <w:rPr>
          <w:i/>
          <w:lang w:val="pt-BR"/>
        </w:rPr>
        <w:t>Honduras. Reparações e Custas</w:t>
      </w:r>
      <w:r w:rsidRPr="00D5464D">
        <w:rPr>
          <w:lang w:val="pt-BR"/>
        </w:rPr>
        <w:t xml:space="preserve">, par. 25 e </w:t>
      </w:r>
      <w:r w:rsidRPr="00D5464D">
        <w:rPr>
          <w:rStyle w:val="Textoennegrita"/>
          <w:b w:val="0"/>
          <w:i/>
          <w:color w:val="000000"/>
          <w:shd w:val="clear" w:color="auto" w:fill="FFFFFF"/>
          <w:lang w:val="pt-BR"/>
        </w:rPr>
        <w:t>Caso Herrera Espinoza e outros</w:t>
      </w:r>
      <w:r w:rsidRPr="00D5464D">
        <w:rPr>
          <w:color w:val="000000"/>
          <w:lang w:val="pt-BR"/>
        </w:rPr>
        <w:t xml:space="preserve">, </w:t>
      </w:r>
      <w:r w:rsidRPr="00D5464D">
        <w:rPr>
          <w:lang w:val="pt-BR"/>
        </w:rPr>
        <w:t>par. 210.</w:t>
      </w:r>
    </w:p>
  </w:footnote>
  <w:footnote w:id="521">
    <w:p w14:paraId="1C842D7C" w14:textId="162EB811" w:rsidR="00AF210B" w:rsidRPr="00D5464D" w:rsidRDefault="00AF210B" w:rsidP="002A0C2B">
      <w:pPr>
        <w:tabs>
          <w:tab w:val="left" w:pos="567"/>
        </w:tabs>
        <w:spacing w:after="20"/>
        <w:ind w:right="-90"/>
        <w:jc w:val="both"/>
        <w:rPr>
          <w:sz w:val="16"/>
          <w:szCs w:val="16"/>
          <w:lang w:val="pt-BR"/>
        </w:rPr>
      </w:pPr>
      <w:r w:rsidRPr="00D5464D">
        <w:rPr>
          <w:rStyle w:val="Refdenotaalpie"/>
          <w:rFonts w:eastAsia="MS Mincho"/>
          <w:sz w:val="16"/>
          <w:szCs w:val="16"/>
        </w:rPr>
        <w:footnoteRef/>
      </w:r>
      <w:r w:rsidRPr="00D5464D">
        <w:rPr>
          <w:sz w:val="16"/>
          <w:szCs w:val="16"/>
          <w:lang w:val="es-ES"/>
        </w:rPr>
        <w:t xml:space="preserve"> </w:t>
      </w:r>
      <w:r w:rsidRPr="00D5464D">
        <w:rPr>
          <w:i/>
          <w:iCs/>
          <w:sz w:val="16"/>
          <w:szCs w:val="16"/>
          <w:lang w:val="es-ES"/>
        </w:rPr>
        <w:t xml:space="preserve">Cf. Caso Velásquez Rodríguez Vs. </w:t>
      </w:r>
      <w:r w:rsidRPr="00D5464D">
        <w:rPr>
          <w:i/>
          <w:iCs/>
          <w:sz w:val="16"/>
          <w:szCs w:val="16"/>
          <w:lang w:val="pt-BR"/>
        </w:rPr>
        <w:t xml:space="preserve">Honduras. Reparações e Custas, </w:t>
      </w:r>
      <w:r w:rsidRPr="00D5464D">
        <w:rPr>
          <w:iCs/>
          <w:sz w:val="16"/>
          <w:szCs w:val="16"/>
          <w:lang w:val="pt-BR"/>
        </w:rPr>
        <w:t>par. 26</w:t>
      </w:r>
      <w:r w:rsidRPr="00D5464D">
        <w:rPr>
          <w:rFonts w:cs="Calibri"/>
          <w:sz w:val="16"/>
          <w:szCs w:val="16"/>
          <w:lang w:val="pt-BR"/>
        </w:rPr>
        <w:t xml:space="preserve"> e </w:t>
      </w:r>
      <w:r w:rsidRPr="00D5464D">
        <w:rPr>
          <w:rStyle w:val="Textoennegrita"/>
          <w:b w:val="0"/>
          <w:i/>
          <w:color w:val="000000"/>
          <w:sz w:val="16"/>
          <w:szCs w:val="16"/>
          <w:shd w:val="clear" w:color="auto" w:fill="FFFFFF"/>
          <w:lang w:val="pt-BR"/>
        </w:rPr>
        <w:t>Caso Herrera Espinoza e outros</w:t>
      </w:r>
      <w:r w:rsidRPr="00D5464D">
        <w:rPr>
          <w:color w:val="000000"/>
          <w:sz w:val="16"/>
          <w:szCs w:val="16"/>
          <w:lang w:val="pt-BR"/>
        </w:rPr>
        <w:t>,</w:t>
      </w:r>
      <w:r w:rsidRPr="00D5464D">
        <w:rPr>
          <w:b/>
          <w:color w:val="000000"/>
          <w:sz w:val="16"/>
          <w:szCs w:val="16"/>
          <w:lang w:val="pt-BR"/>
        </w:rPr>
        <w:t xml:space="preserve"> </w:t>
      </w:r>
      <w:r w:rsidRPr="00D5464D">
        <w:rPr>
          <w:sz w:val="16"/>
          <w:szCs w:val="16"/>
          <w:lang w:val="pt-BR"/>
        </w:rPr>
        <w:t>par. 210</w:t>
      </w:r>
      <w:r w:rsidRPr="00D5464D">
        <w:rPr>
          <w:rFonts w:cs="Calibri"/>
          <w:sz w:val="16"/>
          <w:szCs w:val="16"/>
          <w:lang w:val="pt-BR"/>
        </w:rPr>
        <w:t>.</w:t>
      </w:r>
    </w:p>
  </w:footnote>
  <w:footnote w:id="522">
    <w:p w14:paraId="15D1B276" w14:textId="64AFA668" w:rsidR="00AF210B" w:rsidRPr="00D5464D" w:rsidRDefault="00AF210B" w:rsidP="002A0C2B">
      <w:pPr>
        <w:pStyle w:val="Textonotapie"/>
        <w:tabs>
          <w:tab w:val="left" w:pos="720"/>
        </w:tabs>
        <w:spacing w:after="20"/>
        <w:ind w:right="-90"/>
        <w:rPr>
          <w:bCs/>
          <w:i/>
          <w:lang w:val="pt-BR"/>
        </w:rPr>
      </w:pPr>
      <w:r w:rsidRPr="00D5464D">
        <w:rPr>
          <w:rStyle w:val="Refdenotaalpie"/>
          <w:rFonts w:eastAsia="Calibri"/>
          <w:szCs w:val="16"/>
        </w:rPr>
        <w:footnoteRef/>
      </w:r>
      <w:r w:rsidRPr="00D5464D">
        <w:rPr>
          <w:i/>
          <w:lang w:val="pt-BR"/>
        </w:rPr>
        <w:t xml:space="preserve"> </w:t>
      </w:r>
      <w:r w:rsidRPr="00D5464D">
        <w:rPr>
          <w:rFonts w:cs="Calibri"/>
          <w:i/>
          <w:lang w:val="pt-BR"/>
        </w:rPr>
        <w:t xml:space="preserve">Cf. </w:t>
      </w:r>
      <w:r w:rsidRPr="00D5464D">
        <w:rPr>
          <w:rFonts w:eastAsia="Calibri" w:cs="Calibri"/>
          <w:i/>
          <w:lang w:val="pt-BR"/>
        </w:rPr>
        <w:t>Caso Ticona Estrada e outros</w:t>
      </w:r>
      <w:r w:rsidRPr="00D5464D">
        <w:rPr>
          <w:rFonts w:eastAsia="Calibri" w:cs="Calibri"/>
          <w:lang w:val="pt-BR"/>
        </w:rPr>
        <w:t xml:space="preserve">, par. 110 e </w:t>
      </w:r>
      <w:r w:rsidRPr="00D5464D">
        <w:rPr>
          <w:bCs/>
          <w:i/>
          <w:color w:val="000000"/>
          <w:shd w:val="clear" w:color="auto" w:fill="FFFFFF"/>
          <w:lang w:val="pt-BR"/>
        </w:rPr>
        <w:t>Caso Herrera Espinoza e outros</w:t>
      </w:r>
      <w:r w:rsidRPr="00D5464D">
        <w:rPr>
          <w:color w:val="000000"/>
          <w:lang w:val="pt-BR"/>
        </w:rPr>
        <w:t xml:space="preserve">, </w:t>
      </w:r>
      <w:r w:rsidRPr="00D5464D">
        <w:rPr>
          <w:lang w:val="pt-BR"/>
        </w:rPr>
        <w:t>par. 211.</w:t>
      </w:r>
    </w:p>
  </w:footnote>
  <w:footnote w:id="523">
    <w:p w14:paraId="28B80620" w14:textId="43D47E23" w:rsidR="00AF210B" w:rsidRPr="00D5464D" w:rsidRDefault="00AF210B" w:rsidP="002A0C2B">
      <w:pPr>
        <w:pStyle w:val="Textonotapie"/>
        <w:tabs>
          <w:tab w:val="left" w:pos="720"/>
        </w:tabs>
        <w:spacing w:after="20"/>
        <w:ind w:right="-90"/>
        <w:rPr>
          <w:lang w:val="pt-BR"/>
        </w:rPr>
      </w:pPr>
      <w:r w:rsidRPr="00D5464D">
        <w:rPr>
          <w:rStyle w:val="Refdenotaalpie"/>
          <w:rFonts w:eastAsia="Calibri"/>
          <w:szCs w:val="16"/>
        </w:rPr>
        <w:footnoteRef/>
      </w:r>
      <w:r w:rsidRPr="00D5464D">
        <w:rPr>
          <w:lang w:val="es-ES"/>
        </w:rPr>
        <w:t xml:space="preserve"> </w:t>
      </w:r>
      <w:r w:rsidRPr="00D5464D">
        <w:rPr>
          <w:i/>
          <w:iCs/>
          <w:lang w:val="es-ES"/>
        </w:rPr>
        <w:t xml:space="preserve">Cf. </w:t>
      </w:r>
      <w:r w:rsidRPr="00D5464D">
        <w:rPr>
          <w:rFonts w:cs="Calibri"/>
          <w:i/>
          <w:lang w:val="es-ES"/>
        </w:rPr>
        <w:t xml:space="preserve">Caso Velásquez Rodríguez Vs. </w:t>
      </w:r>
      <w:r w:rsidRPr="00D5464D">
        <w:rPr>
          <w:rFonts w:cs="Calibri"/>
          <w:i/>
          <w:lang w:val="pt-BR"/>
        </w:rPr>
        <w:t>Honduras. Reparações e Custas</w:t>
      </w:r>
      <w:r w:rsidRPr="00D5464D">
        <w:rPr>
          <w:rFonts w:cs="Calibri"/>
          <w:lang w:val="pt-BR"/>
        </w:rPr>
        <w:t>, pars. 25 a 27</w:t>
      </w:r>
      <w:r w:rsidRPr="00D5464D">
        <w:rPr>
          <w:iCs/>
          <w:lang w:val="pt-BR"/>
        </w:rPr>
        <w:t xml:space="preserve"> e </w:t>
      </w:r>
      <w:r w:rsidRPr="00D5464D">
        <w:rPr>
          <w:rStyle w:val="Textoennegrita"/>
          <w:b w:val="0"/>
          <w:i/>
          <w:color w:val="000000"/>
          <w:shd w:val="clear" w:color="auto" w:fill="FFFFFF"/>
          <w:lang w:val="pt-BR"/>
        </w:rPr>
        <w:t xml:space="preserve">Caso Flor Freire Vs. Equador. Exceção Preliminar, Mérito, Reparações e Custas. </w:t>
      </w:r>
      <w:r w:rsidRPr="00D5464D">
        <w:rPr>
          <w:rStyle w:val="Textoennegrita"/>
          <w:b w:val="0"/>
          <w:color w:val="000000"/>
          <w:shd w:val="clear" w:color="auto" w:fill="FFFFFF"/>
          <w:lang w:val="pt-BR"/>
        </w:rPr>
        <w:t>Sentença de 31 de agosto de 2016. Série C Nº 315</w:t>
      </w:r>
      <w:r w:rsidRPr="00D5464D">
        <w:rPr>
          <w:color w:val="000000"/>
          <w:lang w:val="pt-BR"/>
        </w:rPr>
        <w:t xml:space="preserve">, </w:t>
      </w:r>
      <w:r w:rsidRPr="00D5464D">
        <w:rPr>
          <w:lang w:val="pt-BR"/>
        </w:rPr>
        <w:t>par. 215</w:t>
      </w:r>
      <w:r w:rsidRPr="00D5464D">
        <w:rPr>
          <w:iCs/>
          <w:lang w:val="pt-BR"/>
        </w:rPr>
        <w:t>.</w:t>
      </w:r>
    </w:p>
  </w:footnote>
  <w:footnote w:id="524">
    <w:p w14:paraId="36CFC860" w14:textId="47BCA141" w:rsidR="00AF210B" w:rsidRPr="00D5464D" w:rsidRDefault="00AF210B" w:rsidP="002A0C2B">
      <w:pPr>
        <w:pStyle w:val="Textonotapie"/>
        <w:spacing w:after="20"/>
        <w:rPr>
          <w:lang w:val="pt-BR"/>
        </w:rPr>
      </w:pPr>
      <w:r w:rsidRPr="00D5464D">
        <w:rPr>
          <w:rStyle w:val="Refdenotaalpie"/>
          <w:rFonts w:eastAsia="Calibri"/>
          <w:szCs w:val="16"/>
        </w:rPr>
        <w:footnoteRef/>
      </w:r>
      <w:r w:rsidRPr="00D5464D">
        <w:rPr>
          <w:i/>
          <w:lang w:val="pt-BR"/>
        </w:rPr>
        <w:t xml:space="preserve"> Cf. Caso do Massacre de La Rochela</w:t>
      </w:r>
      <w:r w:rsidRPr="00D5464D">
        <w:rPr>
          <w:lang w:val="pt-BR"/>
        </w:rPr>
        <w:t xml:space="preserve">, par. 233 e </w:t>
      </w:r>
      <w:r w:rsidRPr="00D5464D">
        <w:rPr>
          <w:bCs/>
          <w:i/>
          <w:color w:val="000000"/>
          <w:shd w:val="clear" w:color="auto" w:fill="FFFFFF"/>
          <w:lang w:val="pt-BR"/>
        </w:rPr>
        <w:t>Caso Herrera Espinoza e outros</w:t>
      </w:r>
      <w:r w:rsidRPr="00D5464D">
        <w:rPr>
          <w:color w:val="000000"/>
          <w:lang w:val="pt-BR"/>
        </w:rPr>
        <w:t xml:space="preserve">, </w:t>
      </w:r>
      <w:r w:rsidRPr="00D5464D">
        <w:rPr>
          <w:lang w:val="pt-BR"/>
        </w:rPr>
        <w:t>par. 212.</w:t>
      </w:r>
    </w:p>
  </w:footnote>
  <w:footnote w:id="525">
    <w:p w14:paraId="5C46E10B" w14:textId="0216336B"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Entre outros, </w:t>
      </w:r>
      <w:r w:rsidRPr="00D5464D">
        <w:rPr>
          <w:i/>
          <w:lang w:val="pt-BR"/>
        </w:rPr>
        <w:t>Caso Quispialaya Vilcapoma</w:t>
      </w:r>
      <w:r w:rsidRPr="00D5464D">
        <w:rPr>
          <w:lang w:val="pt-BR"/>
        </w:rPr>
        <w:t xml:space="preserve">, par. 262 e </w:t>
      </w:r>
      <w:r w:rsidRPr="00D5464D">
        <w:rPr>
          <w:i/>
          <w:lang w:val="pt-BR"/>
        </w:rPr>
        <w:t xml:space="preserve">Caso Tenorio Roca e outros, </w:t>
      </w:r>
      <w:r w:rsidRPr="00D5464D">
        <w:rPr>
          <w:lang w:val="pt-BR"/>
        </w:rPr>
        <w:t xml:space="preserve">par. 268. </w:t>
      </w:r>
    </w:p>
  </w:footnote>
  <w:footnote w:id="526">
    <w:p w14:paraId="2634387E" w14:textId="4E75E8C3"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 Caso do Caracazo Vs. Venezuela. Reparações e Custas</w:t>
      </w:r>
      <w:r w:rsidRPr="00D5464D">
        <w:rPr>
          <w:lang w:val="pt-BR"/>
        </w:rPr>
        <w:t xml:space="preserve">. Sentença de 29 de agosto de 2002. Série C Nº 95, par. 118 e </w:t>
      </w:r>
      <w:r w:rsidRPr="00D5464D">
        <w:rPr>
          <w:i/>
          <w:lang w:val="pt-BR"/>
        </w:rPr>
        <w:t>Caso Tenorio Roca e outros</w:t>
      </w:r>
      <w:r w:rsidRPr="00D5464D">
        <w:rPr>
          <w:bCs/>
          <w:lang w:val="pt-BR" w:bidi="en-US"/>
        </w:rPr>
        <w:t>,</w:t>
      </w:r>
      <w:r w:rsidRPr="00D5464D">
        <w:rPr>
          <w:lang w:val="pt-BR" w:bidi="en-US"/>
        </w:rPr>
        <w:t xml:space="preserve"> par. 269.</w:t>
      </w:r>
    </w:p>
  </w:footnote>
  <w:footnote w:id="527">
    <w:p w14:paraId="3C67F6EA" w14:textId="779A6F82"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 Caso Cabrera García e Montiel Flores Vs. México</w:t>
      </w:r>
      <w:r w:rsidRPr="00D5464D">
        <w:rPr>
          <w:lang w:val="pt-BR"/>
        </w:rPr>
        <w:t xml:space="preserve">, par. 215 e </w:t>
      </w:r>
      <w:r w:rsidRPr="00D5464D">
        <w:rPr>
          <w:i/>
          <w:lang w:val="pt-BR"/>
        </w:rPr>
        <w:t>Caso</w:t>
      </w:r>
      <w:r w:rsidRPr="00D5464D">
        <w:rPr>
          <w:lang w:val="pt-BR"/>
        </w:rPr>
        <w:t xml:space="preserve"> </w:t>
      </w:r>
      <w:r w:rsidRPr="00D5464D">
        <w:rPr>
          <w:i/>
          <w:lang w:val="pt-BR"/>
        </w:rPr>
        <w:t>Velásquez Paiz</w:t>
      </w:r>
      <w:r w:rsidRPr="00D5464D">
        <w:rPr>
          <w:lang w:val="pt-BR"/>
        </w:rPr>
        <w:t xml:space="preserve">, par. 230. </w:t>
      </w:r>
    </w:p>
  </w:footnote>
  <w:footnote w:id="528">
    <w:p w14:paraId="7B78513C" w14:textId="0499CC8F"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 Caso das “Crianças de Rua” (Villagrán Morales e outros) Vs. Guatemala. Reparações e Custas</w:t>
      </w:r>
      <w:r w:rsidRPr="00D5464D">
        <w:rPr>
          <w:lang w:val="pt-BR"/>
        </w:rPr>
        <w:t xml:space="preserve">. Sentença de 26 de maio de 2001. Série C Nº 77, par. 84 e </w:t>
      </w:r>
      <w:r w:rsidRPr="00D5464D">
        <w:rPr>
          <w:i/>
          <w:lang w:val="pt-BR"/>
        </w:rPr>
        <w:t xml:space="preserve">Caso Herrera Espinoza e outros, </w:t>
      </w:r>
      <w:r w:rsidRPr="00D5464D">
        <w:rPr>
          <w:lang w:val="pt-BR"/>
        </w:rPr>
        <w:t xml:space="preserve">par. 220. </w:t>
      </w:r>
    </w:p>
  </w:footnote>
  <w:footnote w:id="529">
    <w:p w14:paraId="51D17005" w14:textId="661675A0"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 Caso Neira Alegría e outros Vs. Peru. Reparações e Custas</w:t>
      </w:r>
      <w:r w:rsidRPr="00D5464D">
        <w:rPr>
          <w:lang w:val="pt-BR"/>
        </w:rPr>
        <w:t xml:space="preserve">. Sentença de 19 de setembro de 1996. Série C Nº 29, par. 56 e </w:t>
      </w:r>
      <w:r w:rsidRPr="00D5464D">
        <w:rPr>
          <w:i/>
          <w:lang w:val="pt-BR"/>
        </w:rPr>
        <w:t xml:space="preserve">Caso Herrera Espinoza e outros, </w:t>
      </w:r>
      <w:r w:rsidRPr="00D5464D">
        <w:rPr>
          <w:lang w:val="pt-BR"/>
        </w:rPr>
        <w:t>par. 220.</w:t>
      </w:r>
    </w:p>
  </w:footnote>
  <w:footnote w:id="530">
    <w:p w14:paraId="6AC34828" w14:textId="7AD8207F" w:rsidR="00AF210B" w:rsidRPr="00D5464D" w:rsidRDefault="00AF210B" w:rsidP="002A0C2B">
      <w:pPr>
        <w:pStyle w:val="Textonotapie"/>
        <w:tabs>
          <w:tab w:val="left" w:pos="720"/>
        </w:tabs>
        <w:spacing w:after="20"/>
        <w:rPr>
          <w:lang w:val="pt-BR"/>
        </w:rPr>
      </w:pPr>
      <w:r w:rsidRPr="00D5464D">
        <w:rPr>
          <w:rStyle w:val="Refdenotaalpie"/>
          <w:szCs w:val="16"/>
          <w:lang w:val="es-ES"/>
        </w:rPr>
        <w:footnoteRef/>
      </w:r>
      <w:r w:rsidRPr="00D5464D">
        <w:rPr>
          <w:lang w:val="pt-BR"/>
        </w:rPr>
        <w:t xml:space="preserve"> </w:t>
      </w:r>
      <w:r w:rsidRPr="00D5464D">
        <w:rPr>
          <w:i/>
          <w:iCs/>
          <w:lang w:val="pt-BR"/>
        </w:rPr>
        <w:t xml:space="preserve">Cf. </w:t>
      </w:r>
      <w:r w:rsidRPr="00D5464D">
        <w:rPr>
          <w:bCs/>
          <w:i/>
          <w:lang w:val="pt-BR"/>
        </w:rPr>
        <w:t xml:space="preserve">Caso Cantoral Benavides Vs. Peru. </w:t>
      </w:r>
      <w:r w:rsidRPr="00D5464D">
        <w:rPr>
          <w:i/>
          <w:lang w:val="pt-BR"/>
        </w:rPr>
        <w:t>Reparações e Custas</w:t>
      </w:r>
      <w:r w:rsidRPr="00D5464D">
        <w:rPr>
          <w:lang w:val="pt-BR"/>
        </w:rPr>
        <w:t>. Sentença de 3 de dezembro de 2001. Série C Nº 88</w:t>
      </w:r>
      <w:r w:rsidRPr="00D5464D">
        <w:rPr>
          <w:i/>
          <w:lang w:val="pt-BR"/>
        </w:rPr>
        <w:t xml:space="preserve">, </w:t>
      </w:r>
      <w:r w:rsidRPr="00D5464D">
        <w:rPr>
          <w:lang w:val="pt-BR"/>
        </w:rPr>
        <w:t xml:space="preserve">par. 79 e </w:t>
      </w:r>
      <w:r w:rsidRPr="00D5464D">
        <w:rPr>
          <w:bCs/>
          <w:i/>
          <w:color w:val="000000"/>
          <w:lang w:val="pt-BR"/>
        </w:rPr>
        <w:t xml:space="preserve">Caso Herrera Espinoza e outros, </w:t>
      </w:r>
      <w:r w:rsidRPr="00D5464D">
        <w:rPr>
          <w:color w:val="000000"/>
          <w:lang w:val="pt-BR"/>
        </w:rPr>
        <w:t>par. 227</w:t>
      </w:r>
      <w:r w:rsidRPr="00D5464D">
        <w:rPr>
          <w:lang w:val="pt-BR"/>
        </w:rPr>
        <w:t>.</w:t>
      </w:r>
    </w:p>
  </w:footnote>
  <w:footnote w:id="531">
    <w:p w14:paraId="60B4064A" w14:textId="18A5B5B8"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Ver, entre outros, </w:t>
      </w:r>
      <w:r w:rsidRPr="00D5464D">
        <w:rPr>
          <w:i/>
          <w:lang w:val="pt-BR"/>
        </w:rPr>
        <w:t xml:space="preserve">Caso Barrios Altos Vs. Peru. </w:t>
      </w:r>
      <w:r w:rsidRPr="00D5464D">
        <w:rPr>
          <w:i/>
          <w:lang w:val="es-ES"/>
        </w:rPr>
        <w:t>Mérito</w:t>
      </w:r>
      <w:r w:rsidRPr="00D5464D">
        <w:rPr>
          <w:lang w:val="es-ES"/>
        </w:rPr>
        <w:t xml:space="preserve">, par. 41; </w:t>
      </w:r>
      <w:r w:rsidRPr="00D5464D">
        <w:rPr>
          <w:i/>
          <w:lang w:val="es-ES"/>
        </w:rPr>
        <w:t xml:space="preserve">Caso Trujillo Oroza Vs. </w:t>
      </w:r>
      <w:r w:rsidRPr="00D5464D">
        <w:rPr>
          <w:i/>
          <w:lang w:val="pt-BR"/>
        </w:rPr>
        <w:t xml:space="preserve">Bolívia. </w:t>
      </w:r>
      <w:r w:rsidRPr="00D5464D">
        <w:rPr>
          <w:bCs/>
          <w:i/>
          <w:lang w:val="pt-BR"/>
        </w:rPr>
        <w:t xml:space="preserve">Reparações e Custas. </w:t>
      </w:r>
      <w:r w:rsidRPr="00D5464D">
        <w:rPr>
          <w:bCs/>
          <w:lang w:val="pt-BR"/>
        </w:rPr>
        <w:t>Sentença de 27 de fevereiro de 2002. Série C Nº 92</w:t>
      </w:r>
      <w:r w:rsidRPr="00D5464D">
        <w:rPr>
          <w:lang w:val="pt-BR"/>
        </w:rPr>
        <w:t xml:space="preserve">, par. 106; </w:t>
      </w:r>
      <w:r w:rsidRPr="00D5464D">
        <w:rPr>
          <w:i/>
          <w:lang w:val="pt-BR"/>
        </w:rPr>
        <w:t>Caso Almonacid Arellano e outros</w:t>
      </w:r>
      <w:r w:rsidRPr="00D5464D">
        <w:rPr>
          <w:lang w:val="pt-BR"/>
        </w:rPr>
        <w:t xml:space="preserve">, par. 112 e </w:t>
      </w:r>
      <w:r w:rsidRPr="00D5464D">
        <w:rPr>
          <w:i/>
          <w:lang w:val="pt-BR"/>
        </w:rPr>
        <w:t>Caso Albán Cornejo e outros Vs. Equador</w:t>
      </w:r>
      <w:r w:rsidRPr="00D5464D">
        <w:rPr>
          <w:lang w:val="pt-BR"/>
        </w:rPr>
        <w:t xml:space="preserve">. </w:t>
      </w:r>
      <w:r w:rsidRPr="00D5464D">
        <w:rPr>
          <w:i/>
          <w:lang w:val="pt-BR"/>
        </w:rPr>
        <w:t>Mérito, Reparações e Custas</w:t>
      </w:r>
      <w:r w:rsidRPr="00D5464D">
        <w:rPr>
          <w:lang w:val="pt-BR"/>
        </w:rPr>
        <w:t xml:space="preserve">. Sentença de 22 de novembro de 2007. Série C Nº 171, par. 111. </w:t>
      </w:r>
    </w:p>
  </w:footnote>
  <w:footnote w:id="532">
    <w:p w14:paraId="6F454002" w14:textId="3D17E757"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Nesse </w:t>
      </w:r>
      <w:r w:rsidRPr="00D5464D">
        <w:rPr>
          <w:iCs/>
          <w:lang w:val="pt-BR"/>
        </w:rPr>
        <w:t xml:space="preserve">sentido, como exemplo, no caso </w:t>
      </w:r>
      <w:r w:rsidRPr="00D5464D">
        <w:rPr>
          <w:i/>
          <w:iCs/>
          <w:lang w:val="pt-BR"/>
        </w:rPr>
        <w:t>Almonacid Arellano</w:t>
      </w:r>
      <w:r w:rsidRPr="00D5464D">
        <w:rPr>
          <w:iCs/>
          <w:lang w:val="pt-BR"/>
        </w:rPr>
        <w:t xml:space="preserve"> a Corte recorda que não declarou que o homicídio era um delito imprescritível no Chile em todas as circunstâncias.</w:t>
      </w:r>
    </w:p>
  </w:footnote>
  <w:footnote w:id="533">
    <w:p w14:paraId="756223F7" w14:textId="314A6A66"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 xml:space="preserve">Cf. Caso Bámaca Velásquez Vs. Guatemala. Reparações e Custas. </w:t>
      </w:r>
      <w:r w:rsidRPr="00D5464D">
        <w:rPr>
          <w:lang w:val="pt-BR"/>
        </w:rPr>
        <w:t xml:space="preserve">Sentença de 22 de fevereiro de 2002. Série C Nº 91, par. 43 e </w:t>
      </w:r>
      <w:r w:rsidRPr="00D5464D">
        <w:rPr>
          <w:i/>
          <w:lang w:val="pt-BR"/>
        </w:rPr>
        <w:t>Caso Flor Freire</w:t>
      </w:r>
      <w:r w:rsidRPr="00D5464D">
        <w:rPr>
          <w:lang w:val="pt-BR"/>
        </w:rPr>
        <w:t>, par. 251.</w:t>
      </w:r>
    </w:p>
  </w:footnote>
  <w:footnote w:id="534">
    <w:p w14:paraId="510AA7D3" w14:textId="59486C33"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 Caso das “Crianças de Rua” (Villagrán Morales e outros) Vs. Guatemala. Reparações e Custas</w:t>
      </w:r>
      <w:r w:rsidRPr="00D5464D">
        <w:rPr>
          <w:lang w:val="pt-BR"/>
        </w:rPr>
        <w:t xml:space="preserve">, par. 84 e </w:t>
      </w:r>
      <w:r w:rsidRPr="00D5464D">
        <w:rPr>
          <w:i/>
          <w:lang w:val="pt-BR"/>
        </w:rPr>
        <w:t>Caso Herrera Espinoza e outros</w:t>
      </w:r>
      <w:r w:rsidRPr="00D5464D">
        <w:rPr>
          <w:lang w:val="pt-BR"/>
        </w:rPr>
        <w:t>, par. 241.</w:t>
      </w:r>
    </w:p>
  </w:footnote>
  <w:footnote w:id="535">
    <w:p w14:paraId="20D5357A" w14:textId="25F2AA9E"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 Caso Cantoral Benavides Vs. Peru. Reparações e Custas</w:t>
      </w:r>
      <w:r w:rsidRPr="00D5464D">
        <w:rPr>
          <w:lang w:val="pt-BR"/>
        </w:rPr>
        <w:t xml:space="preserve">. par. 53 e </w:t>
      </w:r>
      <w:r w:rsidRPr="00D5464D">
        <w:rPr>
          <w:i/>
          <w:lang w:val="pt-BR"/>
        </w:rPr>
        <w:t>Caso Chinchilla Sandoval</w:t>
      </w:r>
      <w:r w:rsidRPr="00D5464D">
        <w:rPr>
          <w:lang w:val="pt-BR"/>
        </w:rPr>
        <w:t>, par. 308.</w:t>
      </w:r>
    </w:p>
  </w:footnote>
  <w:footnote w:id="536">
    <w:p w14:paraId="2E714B69" w14:textId="2B29A973"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 Caso Garrido e Baigorria Vs. Argentina. Reparações e Custas</w:t>
      </w:r>
      <w:r w:rsidRPr="00D5464D">
        <w:rPr>
          <w:lang w:val="pt-BR"/>
        </w:rPr>
        <w:t xml:space="preserve">. Sentença de 27 de agosto de 1998. Série C Nº 39, par. 82 e </w:t>
      </w:r>
      <w:r w:rsidRPr="00D5464D">
        <w:rPr>
          <w:i/>
          <w:lang w:val="pt-BR"/>
        </w:rPr>
        <w:t>Caso Flor Freire,</w:t>
      </w:r>
      <w:r w:rsidRPr="00D5464D">
        <w:rPr>
          <w:lang w:val="pt-BR"/>
        </w:rPr>
        <w:t xml:space="preserve"> par. 261 e 262.</w:t>
      </w:r>
    </w:p>
  </w:footnote>
  <w:footnote w:id="537">
    <w:p w14:paraId="4B66B690" w14:textId="23A5EAE2" w:rsidR="00AF210B" w:rsidRPr="00D5464D" w:rsidRDefault="00AF210B" w:rsidP="002A0C2B">
      <w:pPr>
        <w:pStyle w:val="Textonotapie"/>
        <w:spacing w:after="20"/>
        <w:rPr>
          <w:lang w:val="pt-BR"/>
        </w:rPr>
      </w:pPr>
      <w:r w:rsidRPr="00D5464D">
        <w:rPr>
          <w:rStyle w:val="Refdenotaalpie"/>
          <w:szCs w:val="16"/>
        </w:rPr>
        <w:footnoteRef/>
      </w:r>
      <w:r w:rsidRPr="00D5464D">
        <w:rPr>
          <w:lang w:val="pt-BR"/>
        </w:rPr>
        <w:t xml:space="preserve"> </w:t>
      </w:r>
      <w:r w:rsidRPr="00D5464D">
        <w:rPr>
          <w:i/>
          <w:lang w:val="pt-BR"/>
        </w:rPr>
        <w:t>Cf. Caso Chaparro Álvarez e Lapo Íñiguez. Vs. Equador. Exceções Preliminares, Mérito, Reparações e Custas</w:t>
      </w:r>
      <w:r w:rsidRPr="00D5464D">
        <w:rPr>
          <w:lang w:val="pt-BR"/>
        </w:rPr>
        <w:t xml:space="preserve">. Sentença de 21 de novembro de 2007. Série C Nº 170, par. 275 e </w:t>
      </w:r>
      <w:r w:rsidRPr="00D5464D">
        <w:rPr>
          <w:i/>
          <w:lang w:val="pt-BR"/>
        </w:rPr>
        <w:t>Caso Herrera Espinoza e outros</w:t>
      </w:r>
      <w:r w:rsidRPr="00D5464D">
        <w:rPr>
          <w:lang w:val="pt-BR"/>
        </w:rPr>
        <w:t>, par. 248.</w:t>
      </w:r>
    </w:p>
  </w:footnote>
  <w:footnote w:id="538">
    <w:p w14:paraId="1827DDBA" w14:textId="77777777" w:rsidR="00F16338" w:rsidRPr="00D5464D" w:rsidRDefault="00F16338" w:rsidP="00F16338">
      <w:pPr>
        <w:pStyle w:val="Textonotapie"/>
        <w:tabs>
          <w:tab w:val="clear" w:pos="4419"/>
          <w:tab w:val="clear" w:pos="8838"/>
        </w:tabs>
        <w:rPr>
          <w:rFonts w:cs="System Font Regular"/>
          <w:lang w:val="pt-BR"/>
        </w:rPr>
      </w:pPr>
      <w:r w:rsidRPr="00D5464D">
        <w:rPr>
          <w:rStyle w:val="Refdenotaalpie"/>
        </w:rPr>
        <w:footnoteRef/>
      </w:r>
      <w:r w:rsidRPr="00D5464D">
        <w:rPr>
          <w:lang w:val="pt-BR"/>
        </w:rPr>
        <w:t xml:space="preserve"> </w:t>
      </w:r>
      <w:r w:rsidRPr="00D5464D">
        <w:rPr>
          <w:lang w:val="pt-BR"/>
        </w:rPr>
        <w:tab/>
      </w:r>
      <w:r w:rsidRPr="00D5464D">
        <w:rPr>
          <w:rFonts w:cs="System Font Regular"/>
          <w:lang w:val="pt-BR"/>
        </w:rPr>
        <w:t xml:space="preserve">De acordo com a Comissão Econômica para a América Latina e o Caribe (CEPAL): “Entre 2013 e 2014, o número de pobres da região se incrementou em aproximadamente 2 milhões de pessoas”. Segundo projeções da CEPAL, a “taxa de pobreza se situaria em 29.2% e a taxa de pobreza extrema em 12.4%, o que representaria aumentos de 1,0 e 0,6 pontos porcentuais, respectivamente. Caso sejam confirmadas estas projeções, 175 milhões de pessoas se encontrariam em situação de pobreza em razão de renda em 2015, 75 milhões das quais estariam em situação de indigência”. </w:t>
      </w:r>
      <w:r w:rsidRPr="00D5464D">
        <w:rPr>
          <w:i/>
          <w:lang w:val="pt-BR"/>
        </w:rPr>
        <w:t xml:space="preserve">Cf. </w:t>
      </w:r>
      <w:r w:rsidRPr="00D5464D">
        <w:rPr>
          <w:lang w:val="pt-BR"/>
        </w:rPr>
        <w:t xml:space="preserve">ONU, </w:t>
      </w:r>
      <w:r w:rsidRPr="00D5464D">
        <w:rPr>
          <w:rFonts w:cs="Optima"/>
          <w:lang w:val="pt-BR"/>
        </w:rPr>
        <w:t xml:space="preserve">Comissão Econômica para a América Latina e o Caribe (CEPAL), </w:t>
      </w:r>
      <w:r w:rsidRPr="00D5464D">
        <w:rPr>
          <w:rFonts w:cs="Optima"/>
          <w:i/>
          <w:iCs/>
          <w:lang w:val="pt-BR"/>
        </w:rPr>
        <w:t>Panorama Social de América Latina, 2015</w:t>
      </w:r>
      <w:r w:rsidRPr="00D5464D">
        <w:rPr>
          <w:rFonts w:cs="Optima"/>
          <w:lang w:val="pt-BR"/>
        </w:rPr>
        <w:t>, (LC/G.2691-P), Santiago, 2016, p. 18.</w:t>
      </w:r>
    </w:p>
    <w:p w14:paraId="4C71E231" w14:textId="77777777" w:rsidR="00F16338" w:rsidRPr="00D5464D" w:rsidRDefault="00F16338" w:rsidP="00F16338">
      <w:pPr>
        <w:pStyle w:val="Textonotapie"/>
        <w:tabs>
          <w:tab w:val="clear" w:pos="4419"/>
          <w:tab w:val="clear" w:pos="8838"/>
        </w:tabs>
        <w:rPr>
          <w:rFonts w:cs="System Font Regular"/>
          <w:lang w:val="pt-BR"/>
        </w:rPr>
      </w:pPr>
    </w:p>
  </w:footnote>
  <w:footnote w:id="539">
    <w:p w14:paraId="47FF3F6D" w14:textId="77777777" w:rsidR="00F16338" w:rsidRPr="00D5464D" w:rsidRDefault="00F16338" w:rsidP="00F16338">
      <w:pPr>
        <w:pStyle w:val="Textonotapie"/>
        <w:tabs>
          <w:tab w:val="left" w:pos="709"/>
        </w:tabs>
        <w:rPr>
          <w:lang w:val="pt-BR"/>
        </w:rPr>
      </w:pPr>
      <w:r w:rsidRPr="00D5464D">
        <w:rPr>
          <w:rStyle w:val="Refdenotaalpie"/>
        </w:rPr>
        <w:footnoteRef/>
      </w:r>
      <w:r w:rsidRPr="00D5464D">
        <w:rPr>
          <w:lang w:val="pt-BR"/>
        </w:rPr>
        <w:t xml:space="preserve"> </w:t>
      </w:r>
      <w:r w:rsidRPr="00D5464D">
        <w:rPr>
          <w:lang w:val="pt-BR"/>
        </w:rPr>
        <w:tab/>
        <w:t xml:space="preserve">Corte IDH. </w:t>
      </w:r>
      <w:r w:rsidRPr="00D5464D">
        <w:rPr>
          <w:i/>
          <w:lang w:val="pt-BR"/>
        </w:rPr>
        <w:t xml:space="preserve">Caso Trabalhadores da Fazenda Brasil Verde Vs. Brasil. Exceções Preliminares, Mérito, Reparações e Custas. </w:t>
      </w:r>
      <w:r w:rsidRPr="00D5464D">
        <w:rPr>
          <w:lang w:val="pt-BR"/>
        </w:rPr>
        <w:t>Sentença de 20 de outubro de 2016, Série C Nº 318, pars. 341 a 343, e Resolutivo 4.</w:t>
      </w:r>
    </w:p>
  </w:footnote>
  <w:footnote w:id="540">
    <w:p w14:paraId="26311955" w14:textId="77777777" w:rsidR="00F16338" w:rsidRPr="00D5464D" w:rsidRDefault="00F16338" w:rsidP="00F16338">
      <w:pPr>
        <w:pStyle w:val="NormalWeb"/>
        <w:tabs>
          <w:tab w:val="left" w:pos="709"/>
        </w:tabs>
        <w:spacing w:before="0" w:beforeAutospacing="0" w:after="0" w:afterAutospacing="0"/>
        <w:jc w:val="both"/>
        <w:rPr>
          <w:sz w:val="16"/>
          <w:szCs w:val="16"/>
          <w:lang w:val="pt-BR"/>
        </w:rPr>
      </w:pPr>
      <w:r w:rsidRPr="00D5464D">
        <w:rPr>
          <w:rStyle w:val="Refdenotaalpie"/>
          <w:sz w:val="16"/>
          <w:szCs w:val="16"/>
          <w:lang w:val="es-ES_tradnl"/>
        </w:rPr>
        <w:footnoteRef/>
      </w:r>
      <w:r w:rsidRPr="00D5464D">
        <w:rPr>
          <w:sz w:val="16"/>
          <w:szCs w:val="16"/>
          <w:lang w:val="pt-BR"/>
        </w:rPr>
        <w:t xml:space="preserve"> </w:t>
      </w:r>
      <w:r w:rsidRPr="00D5464D">
        <w:rPr>
          <w:sz w:val="16"/>
          <w:szCs w:val="16"/>
          <w:lang w:val="pt-BR"/>
        </w:rPr>
        <w:tab/>
        <w:t xml:space="preserve">Nesse sentido, a Corte IDH considerou que: “Essa orientação adquire particular relevância no Direito Internacional dos Direitos Humanos, que avançou muito por meio da interpretação evolutiva dos instrumentos internacionais de proteção. Tal interpretação evolutiva é resultante das regras gerais de interpretação dos tratados consagradas na Convenção de Viena de 1969. Tanto esta Corte, no Parecer Consultivo sobre a Interpretação da Declaração Americana dos Direitos e Deveres do Homem (1989), como o Tribunal Europeu de Direitos Humanos, nos casos </w:t>
      </w:r>
      <w:r w:rsidRPr="00D5464D">
        <w:rPr>
          <w:i/>
          <w:sz w:val="16"/>
          <w:szCs w:val="16"/>
          <w:lang w:val="pt-BR"/>
        </w:rPr>
        <w:t xml:space="preserve">Tyrer versus Reino Unido </w:t>
      </w:r>
      <w:r w:rsidRPr="00D5464D">
        <w:rPr>
          <w:sz w:val="16"/>
          <w:szCs w:val="16"/>
          <w:lang w:val="pt-BR"/>
        </w:rPr>
        <w:t xml:space="preserve">(1978), </w:t>
      </w:r>
      <w:r w:rsidRPr="00D5464D">
        <w:rPr>
          <w:i/>
          <w:sz w:val="16"/>
          <w:szCs w:val="16"/>
          <w:lang w:val="pt-BR"/>
        </w:rPr>
        <w:t>Marckx versus Bélgica</w:t>
      </w:r>
      <w:r w:rsidRPr="00D5464D">
        <w:rPr>
          <w:sz w:val="16"/>
          <w:szCs w:val="16"/>
          <w:lang w:val="pt-BR"/>
        </w:rPr>
        <w:t xml:space="preserve"> (1979), </w:t>
      </w:r>
      <w:r w:rsidRPr="00D5464D">
        <w:rPr>
          <w:i/>
          <w:sz w:val="16"/>
          <w:szCs w:val="16"/>
          <w:lang w:val="pt-BR"/>
        </w:rPr>
        <w:t>Loizidou versus Turquia</w:t>
      </w:r>
      <w:r w:rsidRPr="00D5464D">
        <w:rPr>
          <w:sz w:val="16"/>
          <w:szCs w:val="16"/>
          <w:lang w:val="pt-BR"/>
        </w:rPr>
        <w:t xml:space="preserve"> (1995), entre outros, afirmaram que os tratados de direitos humanos são instrumentos vivos, cuja interpretação tem de acompanhar a evolução dos tempos e as condições de vida atuais”. </w:t>
      </w:r>
      <w:r w:rsidRPr="00D5464D">
        <w:rPr>
          <w:i/>
          <w:sz w:val="16"/>
          <w:szCs w:val="16"/>
          <w:lang w:val="pt-BR"/>
        </w:rPr>
        <w:t xml:space="preserve">Cf. </w:t>
      </w:r>
      <w:r w:rsidRPr="00D5464D">
        <w:rPr>
          <w:rFonts w:cs="Verdana"/>
          <w:bCs/>
          <w:sz w:val="16"/>
          <w:szCs w:val="16"/>
          <w:lang w:val="pt-BR"/>
        </w:rPr>
        <w:t xml:space="preserve">Corte IDH. O </w:t>
      </w:r>
      <w:r w:rsidRPr="00D5464D">
        <w:rPr>
          <w:rFonts w:cs="Verdana"/>
          <w:bCs/>
          <w:i/>
          <w:sz w:val="16"/>
          <w:szCs w:val="16"/>
          <w:lang w:val="pt-BR"/>
        </w:rPr>
        <w:t>Direito à Informação sobre a Assistência Consular no marco das Garantias do Devido Processo Legal</w:t>
      </w:r>
      <w:r w:rsidRPr="00D5464D">
        <w:rPr>
          <w:rFonts w:cs="Verdana"/>
          <w:bCs/>
          <w:sz w:val="16"/>
          <w:szCs w:val="16"/>
          <w:lang w:val="pt-BR"/>
        </w:rPr>
        <w:t xml:space="preserve">. Parecer Consultivo OC-16/99 de 1º de outubro de 1999. Série A Nº 16 par. 114. </w:t>
      </w:r>
    </w:p>
    <w:p w14:paraId="44A59876" w14:textId="77777777" w:rsidR="00F16338" w:rsidRPr="00D5464D" w:rsidRDefault="00F16338" w:rsidP="00F16338">
      <w:pPr>
        <w:pStyle w:val="Textonotapie"/>
        <w:tabs>
          <w:tab w:val="left" w:pos="709"/>
        </w:tabs>
        <w:spacing w:after="0"/>
        <w:rPr>
          <w:b/>
          <w:lang w:val="pt-BR"/>
        </w:rPr>
      </w:pPr>
    </w:p>
  </w:footnote>
  <w:footnote w:id="541">
    <w:p w14:paraId="1FD6C4C1" w14:textId="77777777" w:rsidR="00F16338" w:rsidRPr="00D5464D" w:rsidRDefault="00F16338" w:rsidP="00F16338">
      <w:pPr>
        <w:pStyle w:val="NormalWeb"/>
        <w:tabs>
          <w:tab w:val="left" w:pos="709"/>
        </w:tabs>
        <w:spacing w:before="0" w:beforeAutospacing="0" w:after="0" w:afterAutospacing="0"/>
        <w:jc w:val="both"/>
        <w:rPr>
          <w:sz w:val="16"/>
          <w:szCs w:val="16"/>
          <w:lang w:val="pt-BR"/>
        </w:rPr>
      </w:pPr>
      <w:r w:rsidRPr="00D5464D">
        <w:rPr>
          <w:rStyle w:val="Refdenotaalpie"/>
          <w:sz w:val="16"/>
          <w:szCs w:val="16"/>
          <w:lang w:val="es-ES_tradnl"/>
        </w:rPr>
        <w:footnoteRef/>
      </w:r>
      <w:r w:rsidRPr="00D5464D">
        <w:rPr>
          <w:sz w:val="16"/>
          <w:szCs w:val="16"/>
          <w:lang w:val="pt-BR"/>
        </w:rPr>
        <w:t xml:space="preserve"> </w:t>
      </w:r>
      <w:r w:rsidRPr="00D5464D">
        <w:rPr>
          <w:sz w:val="16"/>
          <w:szCs w:val="16"/>
          <w:lang w:val="pt-BR"/>
        </w:rPr>
        <w:tab/>
      </w:r>
      <w:r w:rsidRPr="00D5464D">
        <w:rPr>
          <w:i/>
          <w:iCs/>
          <w:sz w:val="16"/>
          <w:szCs w:val="16"/>
          <w:lang w:val="pt-BR"/>
        </w:rPr>
        <w:t xml:space="preserve">Cf. </w:t>
      </w:r>
      <w:r w:rsidRPr="00D5464D">
        <w:rPr>
          <w:iCs/>
          <w:sz w:val="16"/>
          <w:szCs w:val="16"/>
          <w:lang w:val="pt-BR"/>
        </w:rPr>
        <w:t xml:space="preserve">Corte IDH. </w:t>
      </w:r>
      <w:r w:rsidRPr="00D5464D">
        <w:rPr>
          <w:rFonts w:cs="Verdana"/>
          <w:bCs/>
          <w:i/>
          <w:sz w:val="16"/>
          <w:szCs w:val="16"/>
          <w:lang w:val="pt-BR"/>
        </w:rPr>
        <w:t>Caso Atala Riffo e crianças Vs. Chile. Mérito, Reparações e Custas</w:t>
      </w:r>
      <w:r w:rsidRPr="00D5464D">
        <w:rPr>
          <w:rFonts w:cs="Verdana"/>
          <w:bCs/>
          <w:sz w:val="16"/>
          <w:szCs w:val="16"/>
          <w:lang w:val="pt-BR"/>
        </w:rPr>
        <w:t>. Sentença de 24 de fevereiro de 2012. Série C Nº 239, par. 84</w:t>
      </w:r>
      <w:r w:rsidRPr="00D5464D">
        <w:rPr>
          <w:sz w:val="16"/>
          <w:szCs w:val="16"/>
          <w:lang w:val="pt-BR"/>
        </w:rPr>
        <w:t xml:space="preserve">; </w:t>
      </w:r>
      <w:r w:rsidRPr="00D5464D">
        <w:rPr>
          <w:rFonts w:cs="Verdana"/>
          <w:bCs/>
          <w:i/>
          <w:sz w:val="16"/>
          <w:szCs w:val="16"/>
          <w:lang w:val="pt-BR"/>
        </w:rPr>
        <w:t>Caso do "Massacre de Mapiripán" Vs. Colômbia.</w:t>
      </w:r>
      <w:r w:rsidRPr="00D5464D">
        <w:rPr>
          <w:rFonts w:cs="Verdana"/>
          <w:bCs/>
          <w:sz w:val="16"/>
          <w:szCs w:val="16"/>
          <w:lang w:val="pt-BR"/>
        </w:rPr>
        <w:t xml:space="preserve"> Sentença de 15 de setembro de 2005. Série C Nº 134, par. 106;</w:t>
      </w:r>
      <w:r w:rsidRPr="00D5464D">
        <w:rPr>
          <w:rFonts w:cs="Verdana"/>
          <w:b/>
          <w:bCs/>
          <w:sz w:val="16"/>
          <w:szCs w:val="16"/>
          <w:lang w:val="pt-BR"/>
        </w:rPr>
        <w:t xml:space="preserve"> </w:t>
      </w:r>
      <w:r w:rsidRPr="00D5464D">
        <w:rPr>
          <w:i/>
          <w:iCs/>
          <w:sz w:val="16"/>
          <w:szCs w:val="16"/>
          <w:lang w:val="pt-BR"/>
        </w:rPr>
        <w:t>Caso Ricardo Canese</w:t>
      </w:r>
      <w:r w:rsidRPr="00D5464D">
        <w:rPr>
          <w:sz w:val="16"/>
          <w:szCs w:val="16"/>
          <w:lang w:val="pt-BR"/>
        </w:rPr>
        <w:t xml:space="preserve">. </w:t>
      </w:r>
      <w:r w:rsidRPr="00D5464D">
        <w:rPr>
          <w:i/>
          <w:sz w:val="16"/>
          <w:szCs w:val="16"/>
          <w:lang w:val="pt-BR"/>
        </w:rPr>
        <w:t xml:space="preserve">Mérito, Reparações e Custas. </w:t>
      </w:r>
      <w:r w:rsidRPr="00D5464D">
        <w:rPr>
          <w:sz w:val="16"/>
          <w:szCs w:val="16"/>
          <w:lang w:val="pt-BR"/>
        </w:rPr>
        <w:t xml:space="preserve">Sentença de 31 de agosto de 2004. Série C Nº 111, par. 181 e </w:t>
      </w:r>
      <w:r w:rsidRPr="00D5464D">
        <w:rPr>
          <w:i/>
          <w:iCs/>
          <w:sz w:val="16"/>
          <w:szCs w:val="16"/>
          <w:lang w:val="pt-BR"/>
        </w:rPr>
        <w:t>Caso Herrera Ulloa</w:t>
      </w:r>
      <w:r w:rsidRPr="00D5464D">
        <w:rPr>
          <w:sz w:val="16"/>
          <w:szCs w:val="16"/>
          <w:lang w:val="pt-BR"/>
        </w:rPr>
        <w:t xml:space="preserve">. </w:t>
      </w:r>
      <w:r w:rsidRPr="00D5464D">
        <w:rPr>
          <w:i/>
          <w:sz w:val="16"/>
          <w:szCs w:val="16"/>
          <w:lang w:val="pt-BR"/>
        </w:rPr>
        <w:t xml:space="preserve">Exceções Preliminares, Mérito, Reparações e Custas. </w:t>
      </w:r>
      <w:r w:rsidRPr="00D5464D">
        <w:rPr>
          <w:sz w:val="16"/>
          <w:szCs w:val="16"/>
          <w:lang w:val="pt-BR"/>
        </w:rPr>
        <w:t xml:space="preserve">Sentença de 2 de julho de 2004. Série C Nº 107, par. 184. </w:t>
      </w:r>
    </w:p>
    <w:p w14:paraId="0D46EA72" w14:textId="77777777" w:rsidR="00F16338" w:rsidRPr="00D5464D" w:rsidRDefault="00F16338" w:rsidP="00F16338">
      <w:pPr>
        <w:pStyle w:val="Textonotapie"/>
        <w:tabs>
          <w:tab w:val="left" w:pos="709"/>
        </w:tabs>
        <w:spacing w:after="0"/>
        <w:rPr>
          <w:lang w:val="pt-BR"/>
        </w:rPr>
      </w:pPr>
    </w:p>
  </w:footnote>
  <w:footnote w:id="542">
    <w:p w14:paraId="749CD214" w14:textId="77777777" w:rsidR="00F16338" w:rsidRPr="00D5464D" w:rsidRDefault="00F16338" w:rsidP="00F16338">
      <w:pPr>
        <w:pStyle w:val="Prrafodelista"/>
        <w:tabs>
          <w:tab w:val="left" w:pos="709"/>
        </w:tabs>
        <w:ind w:left="0"/>
        <w:rPr>
          <w:sz w:val="16"/>
          <w:szCs w:val="16"/>
          <w:lang w:val="pt-BR"/>
        </w:rPr>
      </w:pPr>
      <w:r w:rsidRPr="00D5464D">
        <w:rPr>
          <w:rStyle w:val="Refdenotaalpie"/>
          <w:sz w:val="16"/>
          <w:szCs w:val="16"/>
          <w:lang w:val="es-ES_tradnl"/>
        </w:rPr>
        <w:footnoteRef/>
      </w:r>
      <w:r w:rsidRPr="00D5464D">
        <w:rPr>
          <w:sz w:val="16"/>
          <w:szCs w:val="16"/>
          <w:lang w:val="pt-BR"/>
        </w:rPr>
        <w:t xml:space="preserve"> </w:t>
      </w:r>
      <w:r w:rsidRPr="00D5464D">
        <w:rPr>
          <w:sz w:val="16"/>
          <w:szCs w:val="16"/>
          <w:lang w:val="pt-BR"/>
        </w:rPr>
        <w:tab/>
      </w:r>
      <w:r w:rsidRPr="00D5464D">
        <w:rPr>
          <w:i/>
          <w:sz w:val="16"/>
          <w:szCs w:val="16"/>
          <w:lang w:val="pt-BR"/>
        </w:rPr>
        <w:t xml:space="preserve">Cf. </w:t>
      </w:r>
      <w:r w:rsidRPr="00D5464D">
        <w:rPr>
          <w:sz w:val="16"/>
          <w:szCs w:val="16"/>
          <w:lang w:val="pt-BR"/>
        </w:rPr>
        <w:t xml:space="preserve">Corte IDH. </w:t>
      </w:r>
      <w:r w:rsidRPr="00D5464D">
        <w:rPr>
          <w:rFonts w:cs="Verdana"/>
          <w:bCs/>
          <w:i/>
          <w:sz w:val="16"/>
          <w:szCs w:val="16"/>
          <w:lang w:val="pt-BR"/>
        </w:rPr>
        <w:t xml:space="preserve">Caso Gonzales Lluy e outros Vs. Equador. Exceções Preliminares, Mérito, Reparações e Custas. </w:t>
      </w:r>
      <w:r w:rsidRPr="00D5464D">
        <w:rPr>
          <w:rFonts w:cs="Verdana"/>
          <w:bCs/>
          <w:sz w:val="16"/>
          <w:szCs w:val="16"/>
          <w:lang w:val="pt-BR"/>
        </w:rPr>
        <w:t>Sentença de 1º de setembro de 2015. Série C Nº 298, par. 253; e</w:t>
      </w:r>
      <w:r w:rsidRPr="00D5464D">
        <w:rPr>
          <w:rFonts w:cs="Verdana"/>
          <w:bCs/>
          <w:i/>
          <w:sz w:val="16"/>
          <w:szCs w:val="16"/>
          <w:lang w:val="pt-BR"/>
        </w:rPr>
        <w:t xml:space="preserve"> Caso Atala Riffo e crianças Vs. Chile. Mérito, Reparações e Custas</w:t>
      </w:r>
      <w:r w:rsidRPr="00D5464D">
        <w:rPr>
          <w:rFonts w:cs="Verdana"/>
          <w:bCs/>
          <w:sz w:val="16"/>
          <w:szCs w:val="16"/>
          <w:lang w:val="pt-BR"/>
        </w:rPr>
        <w:t xml:space="preserve">. Sentença de 24 de fevereiro de 2012. Série C Nº 239, par. 81. </w:t>
      </w:r>
      <w:r w:rsidRPr="00D5464D">
        <w:rPr>
          <w:sz w:val="16"/>
          <w:szCs w:val="16"/>
          <w:lang w:val="pt-BR"/>
        </w:rPr>
        <w:t xml:space="preserve">Comitê de Direitos Humanos do Pacto Internacional sobre Direitos Civis e Políticos. Nações Unidas, Comitê de Direitos Humanos, Observação Geral nº 18, Não Discriminação, 10 de novembro de 1989, CCPR/C/37, par. 6. Este Comitê elaborou esta definição, no âmbito universal, tomando como base as definições de discriminação estabelecidas no artigo 1.1 da Convenção Internacional sobre a Eliminação de Todas as Formas de Discriminação Racial e o artigo 1.1 da Convenção sobre a Eliminação de Todas as Formas de Discriminação contra a Mulher. </w:t>
      </w:r>
    </w:p>
    <w:p w14:paraId="3F345216" w14:textId="77777777" w:rsidR="00F16338" w:rsidRPr="00D5464D" w:rsidRDefault="00F16338" w:rsidP="00F16338">
      <w:pPr>
        <w:pStyle w:val="Prrafodelista"/>
        <w:tabs>
          <w:tab w:val="left" w:pos="709"/>
        </w:tabs>
        <w:ind w:left="0"/>
        <w:rPr>
          <w:i/>
          <w:sz w:val="16"/>
          <w:szCs w:val="16"/>
          <w:lang w:val="pt-BR"/>
        </w:rPr>
      </w:pPr>
    </w:p>
  </w:footnote>
  <w:footnote w:id="543">
    <w:p w14:paraId="553DE364" w14:textId="77777777" w:rsidR="00F16338" w:rsidRPr="00D5464D" w:rsidRDefault="00F16338" w:rsidP="00F16338">
      <w:pPr>
        <w:pStyle w:val="Textonotapie"/>
        <w:tabs>
          <w:tab w:val="left" w:pos="709"/>
        </w:tabs>
        <w:rPr>
          <w:lang w:val="pt-BR"/>
        </w:rPr>
      </w:pPr>
      <w:r w:rsidRPr="00D5464D">
        <w:rPr>
          <w:rStyle w:val="Refdenotaalpie"/>
          <w:lang w:val="es-ES_tradnl"/>
        </w:rPr>
        <w:footnoteRef/>
      </w:r>
      <w:r w:rsidRPr="00D5464D">
        <w:rPr>
          <w:lang w:val="pt-BR"/>
        </w:rPr>
        <w:t xml:space="preserve"> </w:t>
      </w:r>
      <w:r w:rsidRPr="00D5464D">
        <w:rPr>
          <w:lang w:val="pt-BR"/>
        </w:rPr>
        <w:tab/>
        <w:t>Convenção Europeia de Direitos Humanos, aprovada em 1951, art. 14.</w:t>
      </w:r>
    </w:p>
    <w:p w14:paraId="42496585" w14:textId="77777777" w:rsidR="00F16338" w:rsidRPr="00D5464D" w:rsidRDefault="00F16338" w:rsidP="00F16338">
      <w:pPr>
        <w:pStyle w:val="Textonotapie"/>
        <w:tabs>
          <w:tab w:val="left" w:pos="709"/>
        </w:tabs>
        <w:rPr>
          <w:lang w:val="pt-BR"/>
        </w:rPr>
      </w:pPr>
    </w:p>
  </w:footnote>
  <w:footnote w:id="544">
    <w:p w14:paraId="14C87244" w14:textId="77777777" w:rsidR="00F16338" w:rsidRPr="00D5464D" w:rsidRDefault="00F16338" w:rsidP="00F16338">
      <w:pPr>
        <w:pStyle w:val="Textonotapie"/>
        <w:tabs>
          <w:tab w:val="left" w:pos="709"/>
        </w:tabs>
        <w:rPr>
          <w:lang w:val="pt-BR"/>
        </w:rPr>
      </w:pPr>
      <w:r w:rsidRPr="00D5464D">
        <w:rPr>
          <w:rStyle w:val="Refdenotaalpie"/>
          <w:lang w:val="es-ES_tradnl"/>
        </w:rPr>
        <w:footnoteRef/>
      </w:r>
      <w:r w:rsidRPr="00D5464D">
        <w:rPr>
          <w:lang w:val="pt-BR"/>
        </w:rPr>
        <w:t xml:space="preserve"> </w:t>
      </w:r>
      <w:r w:rsidRPr="00D5464D">
        <w:rPr>
          <w:lang w:val="pt-BR"/>
        </w:rPr>
        <w:tab/>
        <w:t xml:space="preserve">Protocolo Adicional à Convenção Europeia de Direitos Humanos, de 4 de novembro de 2000, art. 1. </w:t>
      </w:r>
    </w:p>
  </w:footnote>
  <w:footnote w:id="545">
    <w:p w14:paraId="68D45119" w14:textId="77777777" w:rsidR="00F16338" w:rsidRPr="00D5464D" w:rsidRDefault="00F16338" w:rsidP="00F16338">
      <w:pPr>
        <w:pStyle w:val="Textonotapie"/>
        <w:tabs>
          <w:tab w:val="left" w:pos="709"/>
        </w:tabs>
        <w:spacing w:after="0"/>
        <w:rPr>
          <w:rStyle w:val="sb8d990e2"/>
          <w:rFonts w:cs="Arial"/>
          <w:color w:val="000000"/>
          <w:lang w:val="pt-BR"/>
        </w:rPr>
      </w:pPr>
      <w:r w:rsidRPr="00D5464D">
        <w:rPr>
          <w:rStyle w:val="Refdenotaalpie"/>
          <w:lang w:val="es-ES_tradnl"/>
        </w:rPr>
        <w:footnoteRef/>
      </w:r>
      <w:r w:rsidRPr="00D5464D">
        <w:rPr>
          <w:lang w:val="pt-BR"/>
        </w:rPr>
        <w:t xml:space="preserve"> </w:t>
      </w:r>
      <w:r w:rsidRPr="00D5464D">
        <w:rPr>
          <w:lang w:val="pt-BR"/>
        </w:rPr>
        <w:tab/>
      </w:r>
      <w:r w:rsidRPr="00D5464D">
        <w:rPr>
          <w:rStyle w:val="sb8d990e2"/>
          <w:rFonts w:cs="Arial"/>
          <w:i/>
          <w:color w:val="000000"/>
          <w:lang w:val="pt-BR"/>
        </w:rPr>
        <w:t xml:space="preserve">Cf. </w:t>
      </w:r>
      <w:r w:rsidRPr="00D5464D">
        <w:rPr>
          <w:rStyle w:val="sb8d990e2"/>
          <w:rFonts w:cs="Arial"/>
          <w:color w:val="000000"/>
          <w:lang w:val="pt-BR"/>
        </w:rPr>
        <w:t>TEDH.</w:t>
      </w:r>
      <w:r w:rsidRPr="00D5464D">
        <w:rPr>
          <w:rStyle w:val="sb8d990e2"/>
          <w:rFonts w:cs="Arial"/>
          <w:i/>
          <w:color w:val="000000"/>
          <w:lang w:val="pt-BR"/>
        </w:rPr>
        <w:t xml:space="preserve"> Caso Zornic Vs. Bósnia e Herzegovina</w:t>
      </w:r>
      <w:r w:rsidRPr="00D5464D">
        <w:rPr>
          <w:rStyle w:val="sb8d990e2"/>
          <w:rFonts w:cs="Arial"/>
          <w:color w:val="000000"/>
          <w:lang w:val="pt-BR"/>
        </w:rPr>
        <w:t>, Nº 3681/06, Sentença de 15 de julho de 2014, par. 27.</w:t>
      </w:r>
    </w:p>
    <w:p w14:paraId="34382757" w14:textId="77777777" w:rsidR="00F16338" w:rsidRPr="00D5464D" w:rsidRDefault="00F16338" w:rsidP="00F16338">
      <w:pPr>
        <w:pStyle w:val="Textonotapie"/>
        <w:tabs>
          <w:tab w:val="left" w:pos="709"/>
        </w:tabs>
        <w:spacing w:after="0"/>
        <w:rPr>
          <w:lang w:val="pt-BR"/>
        </w:rPr>
      </w:pPr>
    </w:p>
  </w:footnote>
  <w:footnote w:id="546">
    <w:p w14:paraId="694A06BA" w14:textId="77777777" w:rsidR="00F16338" w:rsidRPr="00D5464D" w:rsidRDefault="00F16338" w:rsidP="00F16338">
      <w:pPr>
        <w:pStyle w:val="Textonotapie"/>
        <w:tabs>
          <w:tab w:val="left" w:pos="709"/>
        </w:tabs>
        <w:spacing w:after="0"/>
        <w:rPr>
          <w:lang w:val="pt-BR"/>
        </w:rPr>
      </w:pPr>
      <w:r w:rsidRPr="00D5464D">
        <w:rPr>
          <w:rStyle w:val="Refdenotaalpie"/>
          <w:lang w:val="es-ES_tradnl"/>
        </w:rPr>
        <w:footnoteRef/>
      </w:r>
      <w:r w:rsidRPr="00D5464D">
        <w:rPr>
          <w:lang w:val="pt-BR"/>
        </w:rPr>
        <w:t xml:space="preserve"> </w:t>
      </w:r>
      <w:r w:rsidRPr="00D5464D">
        <w:rPr>
          <w:lang w:val="pt-BR"/>
        </w:rPr>
        <w:tab/>
      </w:r>
      <w:r w:rsidRPr="00D5464D">
        <w:rPr>
          <w:i/>
          <w:lang w:val="pt-BR"/>
        </w:rPr>
        <w:t xml:space="preserve">Cf. </w:t>
      </w:r>
      <w:r w:rsidRPr="00D5464D">
        <w:rPr>
          <w:lang w:val="pt-BR"/>
        </w:rPr>
        <w:t xml:space="preserve">TEDH. </w:t>
      </w:r>
      <w:r w:rsidRPr="00D5464D">
        <w:rPr>
          <w:i/>
          <w:lang w:val="pt-BR"/>
        </w:rPr>
        <w:t>Nencheva Vs. Bulgária</w:t>
      </w:r>
      <w:r w:rsidRPr="00D5464D">
        <w:rPr>
          <w:lang w:val="pt-BR"/>
        </w:rPr>
        <w:t xml:space="preserve">, Nº 48609/06, Sentença de 18 de junho de 2013. </w:t>
      </w:r>
    </w:p>
    <w:p w14:paraId="57F0EA68" w14:textId="77777777" w:rsidR="00F16338" w:rsidRPr="00D5464D" w:rsidRDefault="00F16338" w:rsidP="00F16338">
      <w:pPr>
        <w:pStyle w:val="Textonotapie"/>
        <w:tabs>
          <w:tab w:val="left" w:pos="709"/>
        </w:tabs>
        <w:spacing w:after="0"/>
        <w:rPr>
          <w:lang w:val="pt-BR"/>
        </w:rPr>
      </w:pPr>
    </w:p>
  </w:footnote>
  <w:footnote w:id="547">
    <w:p w14:paraId="505D73A5" w14:textId="77777777" w:rsidR="00F16338" w:rsidRPr="00D5464D" w:rsidRDefault="00F16338" w:rsidP="00F16338">
      <w:pPr>
        <w:pStyle w:val="Textonotapie"/>
        <w:tabs>
          <w:tab w:val="left" w:pos="709"/>
        </w:tabs>
        <w:spacing w:after="0"/>
        <w:rPr>
          <w:lang w:val="pt-BR"/>
        </w:rPr>
      </w:pPr>
      <w:r w:rsidRPr="00D5464D">
        <w:rPr>
          <w:rStyle w:val="Refdenotaalpie"/>
          <w:lang w:val="es-ES_tradnl"/>
        </w:rPr>
        <w:footnoteRef/>
      </w:r>
      <w:r w:rsidRPr="00D5464D">
        <w:rPr>
          <w:lang w:val="pt-BR"/>
        </w:rPr>
        <w:t xml:space="preserve"> </w:t>
      </w:r>
      <w:r w:rsidRPr="00D5464D">
        <w:rPr>
          <w:lang w:val="pt-BR"/>
        </w:rPr>
        <w:tab/>
      </w:r>
      <w:r w:rsidRPr="00D5464D">
        <w:rPr>
          <w:i/>
          <w:lang w:val="pt-BR"/>
        </w:rPr>
        <w:t xml:space="preserve">Cf. </w:t>
      </w:r>
      <w:r w:rsidRPr="00D5464D">
        <w:rPr>
          <w:lang w:val="pt-BR"/>
        </w:rPr>
        <w:t>TEDH.</w:t>
      </w:r>
      <w:r w:rsidRPr="00D5464D">
        <w:rPr>
          <w:i/>
          <w:lang w:val="pt-BR"/>
        </w:rPr>
        <w:t xml:space="preserve"> Moldovan e Outros Vs. Romênia</w:t>
      </w:r>
      <w:r w:rsidRPr="00D5464D">
        <w:rPr>
          <w:lang w:val="pt-BR"/>
        </w:rPr>
        <w:t xml:space="preserve">, Nº 41138/98, Sentença de 12 de julho de 2005 e </w:t>
      </w:r>
      <w:r w:rsidRPr="00D5464D">
        <w:rPr>
          <w:i/>
          <w:lang w:val="pt-BR"/>
        </w:rPr>
        <w:t>O’Rourke Vs. Reino Unido</w:t>
      </w:r>
      <w:r w:rsidRPr="00D5464D">
        <w:rPr>
          <w:lang w:val="pt-BR"/>
        </w:rPr>
        <w:t>, Nº 39022/97, Sentença de 26 de junho d 2001.</w:t>
      </w:r>
    </w:p>
    <w:p w14:paraId="2C2A4EF1" w14:textId="77777777" w:rsidR="00F16338" w:rsidRPr="00D5464D" w:rsidRDefault="00F16338" w:rsidP="00F16338">
      <w:pPr>
        <w:pStyle w:val="Textonotapie"/>
        <w:tabs>
          <w:tab w:val="left" w:pos="709"/>
        </w:tabs>
        <w:spacing w:after="0"/>
        <w:rPr>
          <w:lang w:val="pt-BR"/>
        </w:rPr>
      </w:pPr>
    </w:p>
  </w:footnote>
  <w:footnote w:id="548">
    <w:p w14:paraId="6E2350C2" w14:textId="77777777" w:rsidR="00F16338" w:rsidRPr="00D5464D" w:rsidRDefault="00F16338" w:rsidP="00F16338">
      <w:pPr>
        <w:pStyle w:val="Textonotapie"/>
        <w:tabs>
          <w:tab w:val="clear" w:pos="4419"/>
          <w:tab w:val="left" w:pos="567"/>
          <w:tab w:val="left" w:pos="709"/>
        </w:tabs>
        <w:rPr>
          <w:lang w:val="pt-BR"/>
        </w:rPr>
      </w:pPr>
      <w:r w:rsidRPr="00D5464D">
        <w:rPr>
          <w:rStyle w:val="Refdenotaalpie"/>
        </w:rPr>
        <w:footnoteRef/>
      </w:r>
      <w:r w:rsidRPr="00D5464D">
        <w:rPr>
          <w:lang w:val="es-ES"/>
        </w:rPr>
        <w:t xml:space="preserve"> </w:t>
      </w:r>
      <w:r w:rsidRPr="00D5464D">
        <w:rPr>
          <w:lang w:val="es-ES"/>
        </w:rPr>
        <w:tab/>
        <w:t xml:space="preserve"> </w:t>
      </w:r>
      <w:r w:rsidRPr="00D5464D">
        <w:rPr>
          <w:i/>
          <w:lang w:val="es-ES"/>
        </w:rPr>
        <w:t xml:space="preserve">Cf. </w:t>
      </w:r>
      <w:r w:rsidRPr="00D5464D">
        <w:rPr>
          <w:lang w:val="es-ES"/>
        </w:rPr>
        <w:t>TEDH.</w:t>
      </w:r>
      <w:r w:rsidRPr="00D5464D">
        <w:rPr>
          <w:i/>
          <w:lang w:val="es-ES"/>
        </w:rPr>
        <w:t xml:space="preserve"> Caso Wallova e Wallov Vs. </w:t>
      </w:r>
      <w:r w:rsidRPr="00D5464D">
        <w:rPr>
          <w:i/>
          <w:lang w:val="pt-BR"/>
        </w:rPr>
        <w:t>República Checa</w:t>
      </w:r>
      <w:r w:rsidRPr="00D5464D">
        <w:rPr>
          <w:lang w:val="pt-BR"/>
        </w:rPr>
        <w:t xml:space="preserve">, Nº 23848/04, Sentença de 26 de outubro de 2006. </w:t>
      </w:r>
    </w:p>
    <w:p w14:paraId="5BDE212E" w14:textId="77777777" w:rsidR="00F16338" w:rsidRPr="00D5464D" w:rsidRDefault="00F16338" w:rsidP="00F16338">
      <w:pPr>
        <w:pStyle w:val="Textonotapie"/>
        <w:rPr>
          <w:lang w:val="pt-BR"/>
        </w:rPr>
      </w:pPr>
    </w:p>
  </w:footnote>
  <w:footnote w:id="549">
    <w:p w14:paraId="73ABC18B" w14:textId="77777777" w:rsidR="00F16338" w:rsidRPr="00D5464D" w:rsidRDefault="00F16338" w:rsidP="00F16338">
      <w:pPr>
        <w:pStyle w:val="Textonotapie"/>
        <w:tabs>
          <w:tab w:val="left" w:pos="709"/>
        </w:tabs>
        <w:spacing w:after="0"/>
        <w:rPr>
          <w:lang w:val="pt-BR"/>
        </w:rPr>
      </w:pPr>
      <w:r w:rsidRPr="00D5464D">
        <w:rPr>
          <w:rStyle w:val="Refdenotaalpie"/>
          <w:lang w:val="es-ES_tradnl"/>
        </w:rPr>
        <w:footnoteRef/>
      </w:r>
      <w:r w:rsidRPr="00D5464D">
        <w:rPr>
          <w:lang w:val="pt-BR"/>
        </w:rPr>
        <w:t xml:space="preserve"> </w:t>
      </w:r>
      <w:r w:rsidRPr="00D5464D">
        <w:rPr>
          <w:lang w:val="pt-BR"/>
        </w:rPr>
        <w:tab/>
      </w:r>
      <w:r w:rsidRPr="00D5464D">
        <w:rPr>
          <w:i/>
          <w:lang w:val="pt-BR"/>
        </w:rPr>
        <w:t xml:space="preserve">Cf. </w:t>
      </w:r>
      <w:r w:rsidRPr="00D5464D">
        <w:rPr>
          <w:lang w:val="pt-BR"/>
        </w:rPr>
        <w:t xml:space="preserve">TEDH. </w:t>
      </w:r>
      <w:r w:rsidRPr="00D5464D">
        <w:rPr>
          <w:i/>
          <w:lang w:val="pt-BR"/>
        </w:rPr>
        <w:t>Öneryildiz Vs. Turquia</w:t>
      </w:r>
      <w:r w:rsidRPr="00D5464D">
        <w:rPr>
          <w:lang w:val="pt-BR"/>
        </w:rPr>
        <w:t xml:space="preserve">, Nº 48939/99, Sentença de 20 de novembro de 2004. </w:t>
      </w:r>
    </w:p>
  </w:footnote>
  <w:footnote w:id="550">
    <w:p w14:paraId="1F2CD78D" w14:textId="77777777" w:rsidR="00F16338" w:rsidRPr="00D5464D" w:rsidRDefault="00F16338" w:rsidP="00F16338">
      <w:pPr>
        <w:pStyle w:val="Textonotapie"/>
        <w:tabs>
          <w:tab w:val="left" w:pos="709"/>
        </w:tabs>
        <w:rPr>
          <w:lang w:val="pt-BR"/>
        </w:rPr>
      </w:pPr>
    </w:p>
    <w:p w14:paraId="1655FED6" w14:textId="77777777" w:rsidR="00F16338" w:rsidRPr="00D5464D" w:rsidRDefault="00F16338" w:rsidP="00F16338">
      <w:pPr>
        <w:pStyle w:val="Textonotapie"/>
        <w:tabs>
          <w:tab w:val="left" w:pos="709"/>
        </w:tabs>
        <w:rPr>
          <w:lang w:val="pt-BR"/>
        </w:rPr>
      </w:pPr>
      <w:r w:rsidRPr="00D5464D">
        <w:rPr>
          <w:rStyle w:val="Refdenotaalpie"/>
          <w:lang w:val="es-ES_tradnl"/>
        </w:rPr>
        <w:footnoteRef/>
      </w:r>
      <w:r w:rsidRPr="00D5464D">
        <w:rPr>
          <w:lang w:val="pt-BR"/>
        </w:rPr>
        <w:t xml:space="preserve"> </w:t>
      </w:r>
      <w:r w:rsidRPr="00D5464D">
        <w:rPr>
          <w:lang w:val="pt-BR"/>
        </w:rPr>
        <w:tab/>
      </w:r>
      <w:r w:rsidRPr="00D5464D">
        <w:rPr>
          <w:i/>
          <w:lang w:val="pt-BR"/>
        </w:rPr>
        <w:t>Carta Social Europeia</w:t>
      </w:r>
      <w:r w:rsidRPr="00D5464D">
        <w:rPr>
          <w:lang w:val="pt-BR"/>
        </w:rPr>
        <w:t xml:space="preserve">, aprovada em 18 de outubro de 1961, art. 30. </w:t>
      </w:r>
    </w:p>
    <w:p w14:paraId="7C1E1D92" w14:textId="77777777" w:rsidR="00F16338" w:rsidRPr="00D5464D" w:rsidRDefault="00F16338" w:rsidP="00F16338">
      <w:pPr>
        <w:pStyle w:val="Textonotapie"/>
        <w:tabs>
          <w:tab w:val="left" w:pos="709"/>
        </w:tabs>
        <w:rPr>
          <w:lang w:val="pt-BR"/>
        </w:rPr>
      </w:pPr>
    </w:p>
  </w:footnote>
  <w:footnote w:id="551">
    <w:p w14:paraId="2A617555" w14:textId="77777777" w:rsidR="00F16338" w:rsidRPr="00D5464D" w:rsidRDefault="00F16338" w:rsidP="00F16338">
      <w:pPr>
        <w:pStyle w:val="Textonotapie"/>
        <w:tabs>
          <w:tab w:val="left" w:pos="709"/>
        </w:tabs>
        <w:rPr>
          <w:lang w:val="es-ES"/>
        </w:rPr>
      </w:pPr>
      <w:r w:rsidRPr="00D5464D">
        <w:rPr>
          <w:rStyle w:val="Refdenotaalpie"/>
          <w:lang w:val="es-ES_tradnl"/>
        </w:rPr>
        <w:footnoteRef/>
      </w:r>
      <w:r w:rsidRPr="00D5464D">
        <w:t xml:space="preserve"> </w:t>
      </w:r>
      <w:r w:rsidRPr="00D5464D">
        <w:tab/>
        <w:t xml:space="preserve">Khaliq, Urfan e Churchill, Robin. </w:t>
      </w:r>
      <w:r w:rsidRPr="00D5464D">
        <w:rPr>
          <w:i/>
          <w:lang w:val="es-ES_tradnl"/>
        </w:rPr>
        <w:t xml:space="preserve">El Comité Europeo de Derechos Sociales: darle cuerpo al esqueleto de la Carta Social Europea, </w:t>
      </w:r>
      <w:r w:rsidRPr="00D5464D">
        <w:rPr>
          <w:lang w:val="es-ES_tradnl"/>
        </w:rPr>
        <w:t xml:space="preserve">en Langford, Malcolm (edit.) </w:t>
      </w:r>
      <w:r w:rsidRPr="00D5464D">
        <w:rPr>
          <w:i/>
          <w:lang w:val="es-ES_tradnl"/>
        </w:rPr>
        <w:t xml:space="preserve">Teoría y jurisprudencia de los derechos sociales. Tendencias emergentes en el derecho internacional y comparado, </w:t>
      </w:r>
      <w:r w:rsidRPr="00D5464D">
        <w:rPr>
          <w:lang w:val="es-ES_tradnl"/>
        </w:rPr>
        <w:t>Bogotá, Siglo del Hombre Editores- Universidad de los Andes, 2013</w:t>
      </w:r>
      <w:r w:rsidRPr="00D5464D">
        <w:rPr>
          <w:lang w:val="es-ES"/>
        </w:rPr>
        <w:t xml:space="preserve">. </w:t>
      </w:r>
    </w:p>
    <w:p w14:paraId="77DF0B20" w14:textId="77777777" w:rsidR="00F16338" w:rsidRPr="00D5464D" w:rsidRDefault="00F16338" w:rsidP="00F16338">
      <w:pPr>
        <w:pStyle w:val="Textonotapie"/>
        <w:tabs>
          <w:tab w:val="left" w:pos="709"/>
        </w:tabs>
        <w:rPr>
          <w:lang w:val="es-ES"/>
        </w:rPr>
      </w:pPr>
    </w:p>
  </w:footnote>
  <w:footnote w:id="552">
    <w:p w14:paraId="42BAD53E" w14:textId="77777777" w:rsidR="00F16338" w:rsidRPr="00D5464D" w:rsidRDefault="00F16338" w:rsidP="00F16338">
      <w:pPr>
        <w:pStyle w:val="NormalWeb"/>
        <w:tabs>
          <w:tab w:val="left" w:pos="709"/>
        </w:tabs>
        <w:spacing w:before="0" w:beforeAutospacing="0" w:after="0" w:afterAutospacing="0"/>
        <w:jc w:val="both"/>
        <w:rPr>
          <w:sz w:val="16"/>
          <w:szCs w:val="16"/>
          <w:lang w:val="en-US"/>
        </w:rPr>
      </w:pPr>
      <w:r w:rsidRPr="00D5464D">
        <w:rPr>
          <w:rStyle w:val="Refdenotaalpie"/>
          <w:sz w:val="16"/>
          <w:szCs w:val="16"/>
          <w:lang w:val="es-ES_tradnl"/>
        </w:rPr>
        <w:footnoteRef/>
      </w:r>
      <w:r w:rsidRPr="00D5464D">
        <w:rPr>
          <w:sz w:val="16"/>
          <w:szCs w:val="16"/>
          <w:lang w:val="en-US"/>
        </w:rPr>
        <w:t xml:space="preserve"> </w:t>
      </w:r>
      <w:r w:rsidRPr="00D5464D">
        <w:rPr>
          <w:sz w:val="16"/>
          <w:szCs w:val="16"/>
          <w:lang w:val="en-US"/>
        </w:rPr>
        <w:tab/>
        <w:t xml:space="preserve">CADHP, Caso </w:t>
      </w:r>
      <w:r w:rsidRPr="00D5464D">
        <w:rPr>
          <w:rFonts w:cs="Arial"/>
          <w:sz w:val="16"/>
          <w:szCs w:val="16"/>
          <w:lang w:val="en-US"/>
        </w:rPr>
        <w:t xml:space="preserve">276/03: </w:t>
      </w:r>
      <w:r w:rsidRPr="00D5464D">
        <w:rPr>
          <w:rFonts w:cs="Arial"/>
          <w:i/>
          <w:sz w:val="16"/>
          <w:szCs w:val="16"/>
          <w:lang w:val="en-US"/>
        </w:rPr>
        <w:t>Centre for Minority Rights Development (Kenya) and Minority Rights Group (on behalf of Endorois Welfare Council) vs. Kenya</w:t>
      </w:r>
      <w:r w:rsidRPr="00D5464D">
        <w:rPr>
          <w:rFonts w:cs="Arial"/>
          <w:sz w:val="16"/>
          <w:szCs w:val="16"/>
          <w:lang w:val="en-US"/>
        </w:rPr>
        <w:t xml:space="preserve">, 25 de novembro de 2009. </w:t>
      </w:r>
    </w:p>
    <w:p w14:paraId="149386B7" w14:textId="77777777" w:rsidR="00F16338" w:rsidRPr="00D5464D" w:rsidRDefault="00F16338" w:rsidP="00F16338">
      <w:pPr>
        <w:pStyle w:val="Textonotapie"/>
        <w:tabs>
          <w:tab w:val="left" w:pos="709"/>
        </w:tabs>
        <w:spacing w:after="0"/>
      </w:pPr>
    </w:p>
  </w:footnote>
  <w:footnote w:id="553">
    <w:p w14:paraId="7AA3D020" w14:textId="77777777" w:rsidR="00F16338" w:rsidRPr="00D5464D" w:rsidRDefault="00F16338" w:rsidP="00F16338">
      <w:pPr>
        <w:pStyle w:val="Textonotapie"/>
        <w:tabs>
          <w:tab w:val="left" w:pos="709"/>
        </w:tabs>
      </w:pPr>
      <w:r w:rsidRPr="00D5464D">
        <w:rPr>
          <w:rStyle w:val="Refdenotaalpie"/>
          <w:lang w:val="es-ES_tradnl"/>
        </w:rPr>
        <w:footnoteRef/>
      </w:r>
      <w:r w:rsidRPr="00D5464D">
        <w:rPr>
          <w:lang w:val="pt-BR"/>
        </w:rPr>
        <w:t xml:space="preserve"> </w:t>
      </w:r>
      <w:r w:rsidRPr="00D5464D">
        <w:rPr>
          <w:lang w:val="pt-BR"/>
        </w:rPr>
        <w:tab/>
        <w:t xml:space="preserve">O </w:t>
      </w:r>
      <w:r w:rsidRPr="00D5464D">
        <w:rPr>
          <w:rFonts w:cs="Verdana"/>
          <w:bCs/>
          <w:lang w:val="pt-BR"/>
        </w:rPr>
        <w:t xml:space="preserve">Artigo 22 da Carta Africana de Direitos Humanos e dos Povos dispõe que: </w:t>
      </w:r>
      <w:r w:rsidRPr="00D5464D">
        <w:rPr>
          <w:rFonts w:cs="Verdana"/>
          <w:lang w:val="pt-BR"/>
        </w:rPr>
        <w:t xml:space="preserve">1.Todos os povos têm direito ao seu desenvolvimento econômico, social e cultural, no estrito respeito da sua liberdade e da sua identidade, e ao gozo igual do patrimônio comum da humanidade. 2. Os Estados têm o dever, separadamente ou em cooperação, de assegurar o exercício do direito ao desenvolvimento. O </w:t>
      </w:r>
      <w:r w:rsidRPr="00D5464D">
        <w:rPr>
          <w:lang w:val="pt-BR"/>
        </w:rPr>
        <w:t xml:space="preserve">Sistema Africano de Direitos Humanos apresenta menos problemas ao momento de fazer efetivos os direitos de caráter econômico, social e cultural. Como foi mencionado anteriormente, a Carta Africana dos Direitos do Homem e dos Povos, de 1981, contempla tanto direitos civis e políticos como direitos de natureza econômica, social e cultural. </w:t>
      </w:r>
      <w:r w:rsidRPr="00D5464D">
        <w:t xml:space="preserve">Ssenyonjo, Manisuli. </w:t>
      </w:r>
      <w:r w:rsidRPr="00D5464D">
        <w:rPr>
          <w:i/>
        </w:rPr>
        <w:t xml:space="preserve">Economic, “Social and Cultural Rights in the African Charter”, </w:t>
      </w:r>
      <w:r w:rsidRPr="00D5464D">
        <w:t>em Ssenyonjo, Manisuli (edited)</w:t>
      </w:r>
      <w:r w:rsidRPr="00D5464D">
        <w:rPr>
          <w:i/>
        </w:rPr>
        <w:t xml:space="preserve">, The African Regional Human Rights System: 30 years after the African Charter on Human and People´s Rights, </w:t>
      </w:r>
      <w:r w:rsidRPr="00D5464D">
        <w:t>Leiden-Boston, Martinus Nijhoff Publishers, 2012, p. 57. Em um sentido similar, veja</w:t>
      </w:r>
      <w:r w:rsidRPr="00D5464D">
        <w:rPr>
          <w:i/>
        </w:rPr>
        <w:t>: Alemahu Yeshanew, Sisay. The Justiciability of Economis, Social and Cultural Rights in the African Regional Human Rights System,</w:t>
      </w:r>
      <w:r w:rsidRPr="00D5464D">
        <w:t xml:space="preserve"> Cambridge, Intersentia, 2013, p. 241. </w:t>
      </w:r>
    </w:p>
    <w:p w14:paraId="79745DEC" w14:textId="77777777" w:rsidR="00F16338" w:rsidRPr="00D5464D" w:rsidRDefault="00F16338" w:rsidP="00F16338">
      <w:pPr>
        <w:widowControl w:val="0"/>
        <w:tabs>
          <w:tab w:val="left" w:pos="709"/>
        </w:tabs>
        <w:autoSpaceDE w:val="0"/>
        <w:autoSpaceDN w:val="0"/>
        <w:adjustRightInd w:val="0"/>
        <w:jc w:val="both"/>
        <w:rPr>
          <w:rFonts w:cs="Times"/>
          <w:sz w:val="16"/>
          <w:szCs w:val="16"/>
          <w:lang w:val="en-US"/>
        </w:rPr>
      </w:pPr>
    </w:p>
  </w:footnote>
  <w:footnote w:id="554">
    <w:p w14:paraId="00442225" w14:textId="77777777" w:rsidR="00F16338" w:rsidRPr="00D5464D" w:rsidRDefault="00F16338" w:rsidP="00F16338">
      <w:pPr>
        <w:widowControl w:val="0"/>
        <w:tabs>
          <w:tab w:val="left" w:pos="709"/>
        </w:tabs>
        <w:autoSpaceDE w:val="0"/>
        <w:autoSpaceDN w:val="0"/>
        <w:adjustRightInd w:val="0"/>
        <w:jc w:val="both"/>
        <w:rPr>
          <w:rFonts w:cs="Georgia"/>
          <w:bCs/>
          <w:iCs/>
          <w:color w:val="262626"/>
          <w:sz w:val="16"/>
          <w:szCs w:val="16"/>
          <w:lang w:val="pt-BR"/>
        </w:rPr>
      </w:pPr>
      <w:r w:rsidRPr="00D5464D">
        <w:rPr>
          <w:rStyle w:val="Refdenotaalpie"/>
          <w:sz w:val="16"/>
          <w:szCs w:val="16"/>
        </w:rPr>
        <w:footnoteRef/>
      </w:r>
      <w:r w:rsidRPr="00D5464D">
        <w:rPr>
          <w:sz w:val="16"/>
          <w:szCs w:val="16"/>
          <w:lang w:val="pt-BR"/>
        </w:rPr>
        <w:t xml:space="preserve"> </w:t>
      </w:r>
      <w:r w:rsidRPr="00D5464D">
        <w:rPr>
          <w:sz w:val="16"/>
          <w:szCs w:val="16"/>
          <w:lang w:val="pt-BR"/>
        </w:rPr>
        <w:tab/>
      </w:r>
      <w:r w:rsidRPr="00D5464D">
        <w:rPr>
          <w:rFonts w:cs="Georgia"/>
          <w:bCs/>
          <w:iCs/>
          <w:color w:val="262626"/>
          <w:sz w:val="16"/>
          <w:szCs w:val="16"/>
          <w:lang w:val="pt-BR"/>
        </w:rPr>
        <w:t>O artigo 1.</w:t>
      </w:r>
      <w:r w:rsidRPr="00D5464D">
        <w:rPr>
          <w:rFonts w:cs="Georgia"/>
          <w:color w:val="262626"/>
          <w:sz w:val="16"/>
          <w:szCs w:val="16"/>
          <w:lang w:val="pt-BR"/>
        </w:rPr>
        <w:t>1. da Convenção indica: “1. Para fins da presente convenção, o termo "discriminação" compreende: a) Toda distinção, exclusão ou preferência fundada na raça, cor, sexo, religião, opinião política, ascendência nacional ou origem social, que tenha por efeito destruir ou alterar a igualdade de oportunidades ou de tratamento em matéria de emprego ou profissão; [e] b) Qualquer outra distinção, exclusão ou preferência que tenha por efeito destruir ou alterar a igualdade de oportunidades ou tratamento em matéria de emprego ou profissão, que poderá ser especificada pelo Membro Interessado depois de consultadas as organizações representativas de empregadores e trabalhadores, quando estas existam, e outros organismos adequados.”</w:t>
      </w:r>
    </w:p>
  </w:footnote>
  <w:footnote w:id="555">
    <w:p w14:paraId="50DE9F36" w14:textId="77777777" w:rsidR="00F16338" w:rsidRPr="00D5464D" w:rsidRDefault="00F16338" w:rsidP="00F16338">
      <w:pPr>
        <w:widowControl w:val="0"/>
        <w:tabs>
          <w:tab w:val="left" w:pos="709"/>
        </w:tabs>
        <w:autoSpaceDE w:val="0"/>
        <w:autoSpaceDN w:val="0"/>
        <w:adjustRightInd w:val="0"/>
        <w:jc w:val="both"/>
        <w:rPr>
          <w:sz w:val="16"/>
          <w:szCs w:val="16"/>
          <w:lang w:val="pt-BR"/>
        </w:rPr>
      </w:pPr>
    </w:p>
    <w:p w14:paraId="078EB62F" w14:textId="77777777" w:rsidR="00F16338" w:rsidRPr="00D5464D" w:rsidRDefault="00F16338" w:rsidP="00F16338">
      <w:pPr>
        <w:widowControl w:val="0"/>
        <w:tabs>
          <w:tab w:val="left" w:pos="709"/>
        </w:tabs>
        <w:autoSpaceDE w:val="0"/>
        <w:autoSpaceDN w:val="0"/>
        <w:adjustRightInd w:val="0"/>
        <w:jc w:val="both"/>
        <w:rPr>
          <w:rFonts w:cs="Verdana"/>
          <w:sz w:val="16"/>
          <w:szCs w:val="16"/>
          <w:lang w:val="pt-BR"/>
        </w:rPr>
      </w:pPr>
      <w:r w:rsidRPr="00D5464D">
        <w:rPr>
          <w:rStyle w:val="Refdenotaalpie"/>
          <w:sz w:val="16"/>
          <w:szCs w:val="16"/>
        </w:rPr>
        <w:footnoteRef/>
      </w:r>
      <w:r w:rsidRPr="00D5464D">
        <w:rPr>
          <w:sz w:val="16"/>
          <w:szCs w:val="16"/>
          <w:lang w:val="pt-BR"/>
        </w:rPr>
        <w:t xml:space="preserve"> </w:t>
      </w:r>
      <w:r w:rsidRPr="00D5464D">
        <w:rPr>
          <w:sz w:val="16"/>
          <w:szCs w:val="16"/>
          <w:lang w:val="pt-BR"/>
        </w:rPr>
        <w:tab/>
      </w:r>
      <w:r w:rsidRPr="00D5464D">
        <w:rPr>
          <w:rFonts w:cs="Verdana"/>
          <w:bCs/>
          <w:sz w:val="16"/>
          <w:szCs w:val="16"/>
          <w:lang w:val="pt-BR"/>
        </w:rPr>
        <w:t>O artigo 1.1 da Convenção estabelece: “Para fins da presente Convenção, o termo "discriminação" abarca qualquer distinção, exclusão, limitação ou preferência que, por motivo de raça, cor, sexo, língua, religião, opinião pública ou qualquer outra opinião, origem nacional ou social, condição econômica ou nascimento, tenha por objeto ou efeito destruir ou alterar a igualdade de tratamento em matéria de ensino</w:t>
      </w:r>
      <w:r w:rsidRPr="00D5464D">
        <w:rPr>
          <w:rFonts w:cs="Verdana"/>
          <w:sz w:val="16"/>
          <w:szCs w:val="16"/>
          <w:lang w:val="pt-BR"/>
        </w:rPr>
        <w:t xml:space="preserve"> (…)”.</w:t>
      </w:r>
    </w:p>
  </w:footnote>
  <w:footnote w:id="556">
    <w:p w14:paraId="08EFE997" w14:textId="77777777" w:rsidR="00F16338" w:rsidRPr="00D5464D" w:rsidRDefault="00F16338" w:rsidP="00F16338">
      <w:pPr>
        <w:widowControl w:val="0"/>
        <w:tabs>
          <w:tab w:val="left" w:pos="709"/>
        </w:tabs>
        <w:autoSpaceDE w:val="0"/>
        <w:autoSpaceDN w:val="0"/>
        <w:adjustRightInd w:val="0"/>
        <w:jc w:val="both"/>
        <w:rPr>
          <w:sz w:val="16"/>
          <w:szCs w:val="16"/>
          <w:lang w:val="pt-BR"/>
        </w:rPr>
      </w:pPr>
    </w:p>
    <w:p w14:paraId="76E10864" w14:textId="77777777" w:rsidR="00F16338" w:rsidRPr="00D5464D" w:rsidRDefault="00F16338" w:rsidP="00F16338">
      <w:pPr>
        <w:widowControl w:val="0"/>
        <w:tabs>
          <w:tab w:val="left" w:pos="709"/>
        </w:tabs>
        <w:autoSpaceDE w:val="0"/>
        <w:autoSpaceDN w:val="0"/>
        <w:adjustRightInd w:val="0"/>
        <w:jc w:val="both"/>
        <w:rPr>
          <w:rFonts w:cs="Verdana"/>
          <w:sz w:val="16"/>
          <w:szCs w:val="16"/>
          <w:lang w:val="pt-BR"/>
        </w:rPr>
      </w:pPr>
      <w:r w:rsidRPr="00D5464D">
        <w:rPr>
          <w:rStyle w:val="Refdenotaalpie"/>
          <w:sz w:val="16"/>
          <w:szCs w:val="16"/>
        </w:rPr>
        <w:footnoteRef/>
      </w:r>
      <w:r w:rsidRPr="00D5464D">
        <w:rPr>
          <w:sz w:val="16"/>
          <w:szCs w:val="16"/>
          <w:lang w:val="pt-BR"/>
        </w:rPr>
        <w:t xml:space="preserve"> </w:t>
      </w:r>
      <w:r w:rsidRPr="00D5464D">
        <w:rPr>
          <w:sz w:val="16"/>
          <w:szCs w:val="16"/>
          <w:lang w:val="pt-BR"/>
        </w:rPr>
        <w:tab/>
      </w:r>
      <w:r w:rsidRPr="00D5464D">
        <w:rPr>
          <w:rFonts w:cs="Verdana"/>
          <w:bCs/>
          <w:sz w:val="16"/>
          <w:szCs w:val="16"/>
          <w:lang w:val="pt-BR"/>
        </w:rPr>
        <w:t>O artigo 1.1 da Convenção dispõe: “</w:t>
      </w:r>
      <w:r w:rsidRPr="00D5464D">
        <w:rPr>
          <w:rFonts w:cs="Verdana"/>
          <w:sz w:val="16"/>
          <w:szCs w:val="16"/>
          <w:lang w:val="pt-BR"/>
        </w:rPr>
        <w:t>Nesta Convenção, a expressão “discriminação racial” significará qualquer distinção, exclusão restrição ou preferência baseadas em raça, cor, descendência ou origem nacional ou étnica que tem por objetivo ou efeito anular ou restringir o reconhecimento, gozo ou exercício num mesmo plano,( em igualdade de condição), de direitos humanos e liberdades fundamentais no domínio político econômico, social, cultural ou em qualquer outro domínio de vida pública”.</w:t>
      </w:r>
    </w:p>
    <w:p w14:paraId="320BC98F" w14:textId="77777777" w:rsidR="00F16338" w:rsidRPr="00D5464D" w:rsidRDefault="00F16338" w:rsidP="00F16338">
      <w:pPr>
        <w:widowControl w:val="0"/>
        <w:tabs>
          <w:tab w:val="left" w:pos="709"/>
        </w:tabs>
        <w:autoSpaceDE w:val="0"/>
        <w:autoSpaceDN w:val="0"/>
        <w:adjustRightInd w:val="0"/>
        <w:jc w:val="both"/>
        <w:rPr>
          <w:rFonts w:cs="Verdana"/>
          <w:bCs/>
          <w:i/>
          <w:color w:val="242424"/>
          <w:sz w:val="16"/>
          <w:szCs w:val="16"/>
          <w:lang w:val="pt-BR"/>
        </w:rPr>
      </w:pPr>
    </w:p>
  </w:footnote>
  <w:footnote w:id="557">
    <w:p w14:paraId="094035B7" w14:textId="77777777" w:rsidR="00F16338" w:rsidRPr="00D5464D" w:rsidRDefault="00F16338" w:rsidP="00F16338">
      <w:pPr>
        <w:widowControl w:val="0"/>
        <w:tabs>
          <w:tab w:val="left" w:pos="709"/>
        </w:tabs>
        <w:autoSpaceDE w:val="0"/>
        <w:autoSpaceDN w:val="0"/>
        <w:adjustRightInd w:val="0"/>
        <w:jc w:val="both"/>
        <w:rPr>
          <w:rFonts w:cs="Times"/>
          <w:sz w:val="16"/>
          <w:szCs w:val="16"/>
          <w:lang w:val="pt-BR"/>
        </w:rPr>
      </w:pPr>
      <w:r w:rsidRPr="00D5464D">
        <w:rPr>
          <w:rStyle w:val="Refdenotaalpie"/>
          <w:sz w:val="16"/>
          <w:szCs w:val="16"/>
        </w:rPr>
        <w:footnoteRef/>
      </w:r>
      <w:r w:rsidRPr="00D5464D">
        <w:rPr>
          <w:sz w:val="16"/>
          <w:szCs w:val="16"/>
          <w:lang w:val="pt-BR"/>
        </w:rPr>
        <w:t xml:space="preserve"> </w:t>
      </w:r>
      <w:r w:rsidRPr="00D5464D">
        <w:rPr>
          <w:sz w:val="16"/>
          <w:szCs w:val="16"/>
          <w:lang w:val="pt-BR"/>
        </w:rPr>
        <w:tab/>
      </w:r>
      <w:r w:rsidRPr="00D5464D">
        <w:rPr>
          <w:rFonts w:cs="Verdana"/>
          <w:bCs/>
          <w:sz w:val="16"/>
          <w:szCs w:val="16"/>
          <w:lang w:val="pt-BR"/>
        </w:rPr>
        <w:t>O artigo 1 da Convenção afirma “</w:t>
      </w:r>
      <w:r w:rsidRPr="00D5464D">
        <w:rPr>
          <w:rFonts w:cs="Times"/>
          <w:sz w:val="16"/>
          <w:szCs w:val="16"/>
          <w:lang w:val="pt-BR"/>
        </w:rPr>
        <w:t>Para os fins da presente Convenção, a expressão "discriminação contra a mulher" significará toda a distinção, exclusão ou restrição baseada no sexo e que tenha por objeto ou resultado prejudicar ou anular o reconhecimento, gozo ou exercício pela mulher, independentemente de seu estado civil, com base na igualdade do homem e da mulher, dos direitos humanos e liberdades fundamentais nos campos político, econômico, social, cultural e civil ou em qualquer outro campo”.</w:t>
      </w:r>
    </w:p>
  </w:footnote>
  <w:footnote w:id="558">
    <w:p w14:paraId="7F595AE2" w14:textId="77777777" w:rsidR="00F16338" w:rsidRPr="00D5464D" w:rsidRDefault="00F16338" w:rsidP="00F16338">
      <w:pPr>
        <w:pStyle w:val="Textonotapie"/>
        <w:tabs>
          <w:tab w:val="left" w:pos="709"/>
        </w:tabs>
        <w:spacing w:after="0"/>
        <w:rPr>
          <w:lang w:val="pt-BR"/>
        </w:rPr>
      </w:pPr>
    </w:p>
    <w:p w14:paraId="22009327" w14:textId="77777777" w:rsidR="00F16338" w:rsidRPr="00D5464D" w:rsidRDefault="00F16338" w:rsidP="00F16338">
      <w:pPr>
        <w:widowControl w:val="0"/>
        <w:tabs>
          <w:tab w:val="left" w:pos="709"/>
        </w:tabs>
        <w:autoSpaceDE w:val="0"/>
        <w:autoSpaceDN w:val="0"/>
        <w:adjustRightInd w:val="0"/>
        <w:jc w:val="both"/>
        <w:rPr>
          <w:rFonts w:cs="Verdana"/>
          <w:sz w:val="16"/>
          <w:szCs w:val="16"/>
          <w:lang w:val="pt-BR"/>
        </w:rPr>
      </w:pPr>
      <w:r w:rsidRPr="00D5464D">
        <w:rPr>
          <w:rStyle w:val="Refdenotaalpie"/>
          <w:sz w:val="16"/>
          <w:szCs w:val="16"/>
        </w:rPr>
        <w:footnoteRef/>
      </w:r>
      <w:r w:rsidRPr="00D5464D">
        <w:rPr>
          <w:sz w:val="16"/>
          <w:szCs w:val="16"/>
          <w:lang w:val="pt-BR"/>
        </w:rPr>
        <w:t xml:space="preserve"> </w:t>
      </w:r>
      <w:r w:rsidRPr="00D5464D">
        <w:rPr>
          <w:sz w:val="16"/>
          <w:szCs w:val="16"/>
          <w:lang w:val="pt-BR"/>
        </w:rPr>
        <w:tab/>
        <w:t>O Pacto Internacional sobre Direitos Civis e Políticos dispõe</w:t>
      </w:r>
      <w:r w:rsidRPr="00D5464D">
        <w:rPr>
          <w:rFonts w:cs="Verdana"/>
          <w:bCs/>
          <w:color w:val="242424"/>
          <w:sz w:val="16"/>
          <w:szCs w:val="16"/>
          <w:lang w:val="pt-BR"/>
        </w:rPr>
        <w:t xml:space="preserve"> no artigo 2.</w:t>
      </w:r>
      <w:r w:rsidRPr="00D5464D">
        <w:rPr>
          <w:rFonts w:cs="Verdana"/>
          <w:sz w:val="16"/>
          <w:szCs w:val="16"/>
          <w:lang w:val="pt-BR"/>
        </w:rPr>
        <w:t xml:space="preserve">1. “Os Estados Partes do presente pacto comprometem-se a respeitar e garantir a todos os indivíduos que se achem em seu território e que estejam sujeitos à sua jurisdição os direitos reconhecidos no presente Pacto, sem discriminação alguma por motivo de raça, cor, sexo. língua, religião, opinião política ou de outra natureza, origem nacional ou social, </w:t>
      </w:r>
      <w:r w:rsidRPr="00D5464D">
        <w:rPr>
          <w:rFonts w:cs="Verdana"/>
          <w:i/>
          <w:sz w:val="16"/>
          <w:szCs w:val="16"/>
          <w:u w:val="single"/>
          <w:lang w:val="pt-BR"/>
        </w:rPr>
        <w:t>situação econômica</w:t>
      </w:r>
      <w:r w:rsidRPr="00D5464D">
        <w:rPr>
          <w:rFonts w:cs="Verdana"/>
          <w:sz w:val="16"/>
          <w:szCs w:val="16"/>
          <w:lang w:val="pt-BR"/>
        </w:rPr>
        <w:t xml:space="preserve">, nascimento ou qualquer condição”. </w:t>
      </w:r>
    </w:p>
    <w:p w14:paraId="0B1A0D2C" w14:textId="77777777" w:rsidR="00F16338" w:rsidRPr="00D5464D" w:rsidRDefault="00F16338" w:rsidP="00F16338">
      <w:pPr>
        <w:widowControl w:val="0"/>
        <w:tabs>
          <w:tab w:val="left" w:pos="709"/>
        </w:tabs>
        <w:autoSpaceDE w:val="0"/>
        <w:autoSpaceDN w:val="0"/>
        <w:adjustRightInd w:val="0"/>
        <w:jc w:val="both"/>
        <w:rPr>
          <w:rFonts w:cs="Verdana"/>
          <w:bCs/>
          <w:color w:val="242424"/>
          <w:sz w:val="16"/>
          <w:szCs w:val="16"/>
          <w:lang w:val="pt-BR"/>
        </w:rPr>
      </w:pPr>
      <w:r w:rsidRPr="00D5464D">
        <w:rPr>
          <w:rFonts w:cs="Verdana"/>
          <w:sz w:val="16"/>
          <w:szCs w:val="16"/>
          <w:lang w:val="pt-BR"/>
        </w:rPr>
        <w:tab/>
        <w:t xml:space="preserve">O Pacto Internacional sobre Direitos Econômicos Sociais e Culturais estabelece no </w:t>
      </w:r>
      <w:r w:rsidRPr="00D5464D">
        <w:rPr>
          <w:rFonts w:cs="Verdana"/>
          <w:bCs/>
          <w:color w:val="242424"/>
          <w:sz w:val="16"/>
          <w:szCs w:val="16"/>
          <w:lang w:val="pt-BR"/>
        </w:rPr>
        <w:t xml:space="preserve">artigo </w:t>
      </w:r>
      <w:r w:rsidRPr="00D5464D">
        <w:rPr>
          <w:rFonts w:cs="Verdana"/>
          <w:sz w:val="16"/>
          <w:szCs w:val="16"/>
          <w:lang w:val="pt-BR"/>
        </w:rPr>
        <w:t xml:space="preserve">2.2 “Os Estados Partes do presente Pacto comprometem-se a garantir que os direitos nele enunciados e exercerão em discriminação alguma por motivo de raça, cor, sexo, língua, religião, opinião política ou de outra natureza, origem nacional ou social, </w:t>
      </w:r>
      <w:r w:rsidRPr="00D5464D">
        <w:rPr>
          <w:rFonts w:cs="Verdana"/>
          <w:i/>
          <w:sz w:val="16"/>
          <w:szCs w:val="16"/>
          <w:u w:val="single"/>
          <w:lang w:val="pt-BR"/>
        </w:rPr>
        <w:t>situação econômica</w:t>
      </w:r>
      <w:r w:rsidRPr="00D5464D">
        <w:rPr>
          <w:rFonts w:cs="Verdana"/>
          <w:sz w:val="16"/>
          <w:szCs w:val="16"/>
          <w:lang w:val="pt-BR"/>
        </w:rPr>
        <w:t>, nascimento ou qualquer outra situação”.</w:t>
      </w:r>
    </w:p>
  </w:footnote>
  <w:footnote w:id="559">
    <w:p w14:paraId="017807D6" w14:textId="77777777" w:rsidR="00F16338" w:rsidRPr="00D5464D" w:rsidRDefault="00F16338" w:rsidP="00F16338">
      <w:pPr>
        <w:pStyle w:val="Textonotapie"/>
        <w:tabs>
          <w:tab w:val="left" w:pos="709"/>
        </w:tabs>
        <w:rPr>
          <w:lang w:val="pt-BR"/>
        </w:rPr>
      </w:pPr>
      <w:r w:rsidRPr="00D5464D">
        <w:rPr>
          <w:rStyle w:val="Refdenotaalpie"/>
          <w:lang w:val="es-ES_tradnl"/>
        </w:rPr>
        <w:footnoteRef/>
      </w:r>
      <w:r w:rsidRPr="00D5464D">
        <w:rPr>
          <w:i/>
          <w:lang w:val="pt-BR"/>
        </w:rPr>
        <w:t xml:space="preserve"> </w:t>
      </w:r>
      <w:r w:rsidRPr="00D5464D">
        <w:rPr>
          <w:i/>
          <w:lang w:val="pt-BR"/>
        </w:rPr>
        <w:tab/>
        <w:t xml:space="preserve">Cf. </w:t>
      </w:r>
      <w:r w:rsidRPr="00D5464D">
        <w:rPr>
          <w:lang w:val="pt-BR"/>
        </w:rPr>
        <w:t>Comitê de Direitos Econômicos, Sociais e Culturais, Observação Geral nº 20, A Não Discriminação e os Direitos Econômicos, Sociais e Culturais</w:t>
      </w:r>
      <w:r w:rsidRPr="00D5464D">
        <w:rPr>
          <w:i/>
          <w:lang w:val="pt-BR"/>
        </w:rPr>
        <w:t xml:space="preserve"> (artigo 2, parágrafo 2 do Pacto Internacional sobre Direitos Econômicos, Sociais e Culturais)</w:t>
      </w:r>
      <w:r w:rsidRPr="00D5464D">
        <w:rPr>
          <w:lang w:val="pt-BR"/>
        </w:rPr>
        <w:t xml:space="preserve">, 2 de julho de 2009, E/C.12/GC/20, </w:t>
      </w:r>
      <w:r w:rsidRPr="00D5464D">
        <w:rPr>
          <w:rFonts w:cs="System Font Regular"/>
          <w:color w:val="16191F"/>
          <w:lang w:val="pt-BR"/>
        </w:rPr>
        <w:t xml:space="preserve">par. 1. </w:t>
      </w:r>
    </w:p>
    <w:p w14:paraId="74D14EB7" w14:textId="77777777" w:rsidR="00F16338" w:rsidRPr="00D5464D" w:rsidRDefault="00F16338" w:rsidP="00F16338">
      <w:pPr>
        <w:pStyle w:val="Textonotapie"/>
        <w:tabs>
          <w:tab w:val="left" w:pos="709"/>
        </w:tabs>
        <w:rPr>
          <w:lang w:val="pt-BR"/>
        </w:rPr>
      </w:pPr>
    </w:p>
  </w:footnote>
  <w:footnote w:id="560">
    <w:p w14:paraId="1CC5C89B" w14:textId="77777777" w:rsidR="00F16338" w:rsidRPr="00D5464D" w:rsidRDefault="00F16338" w:rsidP="00F16338">
      <w:pPr>
        <w:pStyle w:val="Textonotapie"/>
        <w:tabs>
          <w:tab w:val="left" w:pos="709"/>
        </w:tabs>
        <w:rPr>
          <w:lang w:val="pt-BR"/>
        </w:rPr>
      </w:pPr>
      <w:r w:rsidRPr="00D5464D">
        <w:rPr>
          <w:rStyle w:val="Refdenotaalpie"/>
          <w:lang w:val="es-ES_tradnl"/>
        </w:rPr>
        <w:footnoteRef/>
      </w:r>
      <w:r w:rsidRPr="00D5464D">
        <w:rPr>
          <w:lang w:val="pt-BR"/>
        </w:rPr>
        <w:t xml:space="preserve"> </w:t>
      </w:r>
      <w:r w:rsidRPr="00D5464D">
        <w:rPr>
          <w:lang w:val="pt-BR"/>
        </w:rPr>
        <w:tab/>
      </w:r>
      <w:r w:rsidRPr="00D5464D">
        <w:rPr>
          <w:i/>
          <w:lang w:val="pt-BR"/>
        </w:rPr>
        <w:t xml:space="preserve">Cf. </w:t>
      </w:r>
      <w:r w:rsidRPr="00D5464D">
        <w:rPr>
          <w:lang w:val="pt-BR"/>
        </w:rPr>
        <w:t>Comitê de Direitos Econômicos, Sociais e Culturais, Observação Geral nº 20, A Não Discriminação e os Direitos Econômicos, Sociais e Culturais</w:t>
      </w:r>
      <w:r w:rsidRPr="00D5464D">
        <w:rPr>
          <w:i/>
          <w:lang w:val="pt-BR"/>
        </w:rPr>
        <w:t xml:space="preserve"> (artigo 2, parágrafo 2 do Pacto Internacional sobre Direitos Econômicos, Sociais e Culturais)</w:t>
      </w:r>
      <w:r w:rsidRPr="00D5464D">
        <w:rPr>
          <w:lang w:val="pt-BR"/>
        </w:rPr>
        <w:t xml:space="preserve">, 2 de julho de 2009, E/C.12/GC/20, </w:t>
      </w:r>
      <w:r w:rsidRPr="00D5464D">
        <w:rPr>
          <w:rFonts w:cs="System Font Regular"/>
          <w:color w:val="16191F"/>
          <w:lang w:val="pt-BR"/>
        </w:rPr>
        <w:t>par. 12.</w:t>
      </w:r>
    </w:p>
  </w:footnote>
  <w:footnote w:id="561">
    <w:p w14:paraId="6AADA691" w14:textId="77777777" w:rsidR="00F16338" w:rsidRPr="00D5464D" w:rsidRDefault="00F16338" w:rsidP="00F16338">
      <w:pPr>
        <w:pStyle w:val="Textonotapie"/>
        <w:tabs>
          <w:tab w:val="left" w:pos="709"/>
        </w:tabs>
        <w:spacing w:after="0"/>
        <w:rPr>
          <w:lang w:val="pt-BR"/>
        </w:rPr>
      </w:pPr>
    </w:p>
    <w:p w14:paraId="22DBF4B9" w14:textId="77777777" w:rsidR="00F16338" w:rsidRPr="00D5464D" w:rsidRDefault="00F16338" w:rsidP="00F16338">
      <w:pPr>
        <w:pStyle w:val="Textonotapie"/>
        <w:tabs>
          <w:tab w:val="left" w:pos="709"/>
        </w:tabs>
        <w:spacing w:after="0"/>
        <w:rPr>
          <w:lang w:val="pt-BR"/>
        </w:rPr>
      </w:pPr>
      <w:r w:rsidRPr="00D5464D">
        <w:rPr>
          <w:rStyle w:val="Refdenotaalpie"/>
          <w:lang w:val="es-ES_tradnl"/>
        </w:rPr>
        <w:footnoteRef/>
      </w:r>
      <w:r w:rsidRPr="00D5464D">
        <w:rPr>
          <w:lang w:val="pt-BR"/>
        </w:rPr>
        <w:t xml:space="preserve"> </w:t>
      </w:r>
      <w:r w:rsidRPr="00D5464D">
        <w:rPr>
          <w:lang w:val="pt-BR"/>
        </w:rPr>
        <w:tab/>
      </w:r>
      <w:r w:rsidRPr="00D5464D">
        <w:rPr>
          <w:i/>
          <w:lang w:val="pt-BR"/>
        </w:rPr>
        <w:t xml:space="preserve">Cf. </w:t>
      </w:r>
      <w:r w:rsidRPr="00D5464D">
        <w:rPr>
          <w:lang w:val="pt-BR"/>
        </w:rPr>
        <w:t>Comitê de Direitos Econômicos, Sociais e Culturais, Observação Geral nº 20, A Não Discriminação e os Direitos Econômicos, Sociais e Culturais</w:t>
      </w:r>
      <w:r w:rsidRPr="00D5464D">
        <w:rPr>
          <w:i/>
          <w:lang w:val="pt-BR"/>
        </w:rPr>
        <w:t xml:space="preserve"> (artigo 2, parágrafo 2 do Pacto Internacional sobre Direitos Econômicos, Sociais e Culturais)</w:t>
      </w:r>
      <w:r w:rsidRPr="00D5464D">
        <w:rPr>
          <w:lang w:val="pt-BR"/>
        </w:rPr>
        <w:t xml:space="preserve">, 2 de julho de 2009, E/C.12/GC/20, </w:t>
      </w:r>
      <w:r w:rsidRPr="00D5464D">
        <w:rPr>
          <w:rFonts w:cs="System Font Regular"/>
          <w:color w:val="16191F"/>
          <w:lang w:val="pt-BR"/>
        </w:rPr>
        <w:t xml:space="preserve">par. </w:t>
      </w:r>
      <w:r w:rsidRPr="00D5464D">
        <w:rPr>
          <w:lang w:val="pt-BR"/>
        </w:rPr>
        <w:t>25.</w:t>
      </w:r>
    </w:p>
    <w:p w14:paraId="6B483432" w14:textId="77777777" w:rsidR="00F16338" w:rsidRPr="00D5464D" w:rsidRDefault="00F16338" w:rsidP="00F16338">
      <w:pPr>
        <w:pStyle w:val="Textonotapie"/>
        <w:tabs>
          <w:tab w:val="left" w:pos="709"/>
        </w:tabs>
        <w:spacing w:after="0"/>
        <w:rPr>
          <w:lang w:val="pt-BR"/>
        </w:rPr>
      </w:pPr>
    </w:p>
  </w:footnote>
  <w:footnote w:id="562">
    <w:p w14:paraId="4C075DF2" w14:textId="77777777" w:rsidR="00F16338" w:rsidRPr="00D5464D" w:rsidRDefault="00F16338" w:rsidP="00F16338">
      <w:pPr>
        <w:pStyle w:val="Textonotapie"/>
        <w:tabs>
          <w:tab w:val="left" w:pos="709"/>
        </w:tabs>
        <w:spacing w:after="0"/>
        <w:rPr>
          <w:rFonts w:cs="Times"/>
          <w:lang w:val="pt-BR"/>
        </w:rPr>
      </w:pPr>
      <w:r w:rsidRPr="00D5464D">
        <w:rPr>
          <w:rStyle w:val="Refdenotaalpie"/>
          <w:lang w:val="es-ES_tradnl"/>
        </w:rPr>
        <w:footnoteRef/>
      </w:r>
      <w:r w:rsidRPr="00D5464D">
        <w:rPr>
          <w:lang w:val="pt-BR"/>
        </w:rPr>
        <w:t xml:space="preserve"> </w:t>
      </w:r>
      <w:r w:rsidRPr="00D5464D">
        <w:rPr>
          <w:lang w:val="pt-BR"/>
        </w:rPr>
        <w:tab/>
        <w:t xml:space="preserve">ONU, Conselho Econômico e Social, Comitê de Direitos Econômicos, Sociais e Culturais, </w:t>
      </w:r>
      <w:r w:rsidRPr="00D5464D">
        <w:rPr>
          <w:i/>
          <w:lang w:val="pt-BR"/>
        </w:rPr>
        <w:t xml:space="preserve">Questões substantivas enfrentadas na aplicação do Pacto Internacional sobre Direitos Econômicos, Sociais e Culturais: A Pobreza e o Pacto Internacional sobre Direitos Econômicos, Sociais e Culturais, </w:t>
      </w:r>
      <w:r w:rsidRPr="00D5464D">
        <w:rPr>
          <w:lang w:val="pt-BR"/>
        </w:rPr>
        <w:t xml:space="preserve">10 de maio de 2001, </w:t>
      </w:r>
      <w:r w:rsidRPr="00D5464D">
        <w:rPr>
          <w:rFonts w:cs="Times"/>
          <w:lang w:val="pt-BR"/>
        </w:rPr>
        <w:t>E/C.12/2001/10, par. 8.</w:t>
      </w:r>
      <w:r w:rsidRPr="00D5464D">
        <w:rPr>
          <w:rFonts w:cs="Times"/>
          <w:b/>
          <w:lang w:val="pt-BR"/>
        </w:rPr>
        <w:t xml:space="preserve"> </w:t>
      </w:r>
    </w:p>
    <w:p w14:paraId="51ABE973" w14:textId="77777777" w:rsidR="00F16338" w:rsidRPr="00D5464D" w:rsidRDefault="00F16338" w:rsidP="00F16338">
      <w:pPr>
        <w:pStyle w:val="Textonotapie"/>
        <w:tabs>
          <w:tab w:val="left" w:pos="709"/>
        </w:tabs>
        <w:spacing w:after="0"/>
        <w:rPr>
          <w:lang w:val="pt-BR"/>
        </w:rPr>
      </w:pPr>
    </w:p>
  </w:footnote>
  <w:footnote w:id="563">
    <w:p w14:paraId="4B27C721" w14:textId="77777777" w:rsidR="00F16338" w:rsidRPr="00D5464D" w:rsidRDefault="00F16338" w:rsidP="00F16338">
      <w:pPr>
        <w:pStyle w:val="Textonotapie"/>
        <w:tabs>
          <w:tab w:val="left" w:pos="709"/>
        </w:tabs>
        <w:spacing w:after="0"/>
        <w:rPr>
          <w:rFonts w:cs="Times"/>
          <w:lang w:val="pt-BR"/>
        </w:rPr>
      </w:pPr>
      <w:r w:rsidRPr="00D5464D">
        <w:rPr>
          <w:rStyle w:val="Refdenotaalpie"/>
          <w:lang w:val="es-ES_tradnl"/>
        </w:rPr>
        <w:footnoteRef/>
      </w:r>
      <w:r w:rsidRPr="00D5464D">
        <w:rPr>
          <w:lang w:val="pt-BR"/>
        </w:rPr>
        <w:t xml:space="preserve"> </w:t>
      </w:r>
      <w:r w:rsidRPr="00D5464D">
        <w:rPr>
          <w:lang w:val="pt-BR"/>
        </w:rPr>
        <w:tab/>
        <w:t xml:space="preserve">ONU, Princípios Reitores sobre Pobreza Extrema e Direitos Humanos, aprovados pelo Conselho de Direitos Humanos, 27 de setembro de 2012, Resolução 21/11, princípio </w:t>
      </w:r>
      <w:r w:rsidRPr="00D5464D">
        <w:rPr>
          <w:rFonts w:cs="Times"/>
          <w:lang w:val="pt-BR"/>
        </w:rPr>
        <w:t xml:space="preserve">2. </w:t>
      </w:r>
    </w:p>
    <w:p w14:paraId="500F1B79" w14:textId="77777777" w:rsidR="00F16338" w:rsidRPr="00D5464D" w:rsidRDefault="00F16338" w:rsidP="00F16338">
      <w:pPr>
        <w:pStyle w:val="Textonotapie"/>
        <w:tabs>
          <w:tab w:val="left" w:pos="709"/>
        </w:tabs>
        <w:spacing w:after="0"/>
        <w:rPr>
          <w:lang w:val="pt-BR"/>
        </w:rPr>
      </w:pPr>
    </w:p>
  </w:footnote>
  <w:footnote w:id="564">
    <w:p w14:paraId="6E9DCCAB" w14:textId="77777777" w:rsidR="00F16338" w:rsidRPr="00D5464D" w:rsidRDefault="00F16338" w:rsidP="00F16338">
      <w:pPr>
        <w:pStyle w:val="Textonotapie"/>
        <w:tabs>
          <w:tab w:val="left" w:pos="709"/>
        </w:tabs>
        <w:spacing w:after="0"/>
        <w:rPr>
          <w:rFonts w:cs="Times"/>
          <w:lang w:val="pt-BR"/>
        </w:rPr>
      </w:pPr>
      <w:r w:rsidRPr="00D5464D">
        <w:rPr>
          <w:rStyle w:val="Refdenotaalpie"/>
          <w:lang w:val="es-ES_tradnl"/>
        </w:rPr>
        <w:footnoteRef/>
      </w:r>
      <w:r w:rsidRPr="00D5464D">
        <w:rPr>
          <w:lang w:val="pt-BR"/>
        </w:rPr>
        <w:t xml:space="preserve"> </w:t>
      </w:r>
      <w:r w:rsidRPr="00D5464D">
        <w:rPr>
          <w:lang w:val="pt-BR"/>
        </w:rPr>
        <w:tab/>
      </w:r>
      <w:r w:rsidRPr="00D5464D">
        <w:rPr>
          <w:rFonts w:cs="Times"/>
          <w:lang w:val="pt-BR"/>
        </w:rPr>
        <w:t>ONU, Conselho Econômico e Social, Subcomissão para a Prevenção da Discriminação e Proteção das Minorias, A Realização dos Direitos Econômicos, Sociais e Culturais</w:t>
      </w:r>
      <w:r w:rsidRPr="00D5464D">
        <w:rPr>
          <w:rFonts w:cs="Times"/>
          <w:i/>
          <w:lang w:val="pt-BR"/>
        </w:rPr>
        <w:t>. Relatório Final do Relator Especial sobre Pobreza Extrema</w:t>
      </w:r>
      <w:r w:rsidRPr="00D5464D">
        <w:rPr>
          <w:rFonts w:cs="Times"/>
          <w:lang w:val="pt-BR"/>
        </w:rPr>
        <w:t>, 28 de junho de 1996, E/CN.4/ Sub.2/1996/13, pág. 58.</w:t>
      </w:r>
    </w:p>
    <w:p w14:paraId="36C1A28D" w14:textId="77777777" w:rsidR="00F16338" w:rsidRPr="00D5464D" w:rsidRDefault="00F16338" w:rsidP="00F16338">
      <w:pPr>
        <w:pStyle w:val="Textonotapie"/>
        <w:tabs>
          <w:tab w:val="left" w:pos="709"/>
        </w:tabs>
        <w:spacing w:after="0"/>
        <w:rPr>
          <w:lang w:val="pt-BR"/>
        </w:rPr>
      </w:pPr>
    </w:p>
  </w:footnote>
  <w:footnote w:id="565">
    <w:p w14:paraId="3D85BA63" w14:textId="77777777" w:rsidR="00F16338" w:rsidRPr="00D5464D" w:rsidRDefault="00F16338" w:rsidP="00F16338">
      <w:pPr>
        <w:pStyle w:val="Textonotapie"/>
        <w:tabs>
          <w:tab w:val="left" w:pos="709"/>
        </w:tabs>
        <w:spacing w:after="0"/>
        <w:rPr>
          <w:lang w:val="pt-BR"/>
        </w:rPr>
      </w:pPr>
      <w:r w:rsidRPr="00D5464D">
        <w:rPr>
          <w:rStyle w:val="Refdenotaalpie"/>
          <w:lang w:val="es-ES_tradnl"/>
        </w:rPr>
        <w:footnoteRef/>
      </w:r>
      <w:r w:rsidRPr="00D5464D">
        <w:rPr>
          <w:lang w:val="pt-BR"/>
        </w:rPr>
        <w:t xml:space="preserve"> </w:t>
      </w:r>
      <w:r w:rsidRPr="00D5464D">
        <w:rPr>
          <w:lang w:val="pt-BR"/>
        </w:rPr>
        <w:tab/>
        <w:t>ONU, Princípios Reitores sobre Pobreza extrema e Direitos Humanos, aprovados pelo Conselho de Direitos Humanos, 27 de setembro de 2012, Resolução 21/11, princípios 3 e 4.</w:t>
      </w:r>
    </w:p>
    <w:p w14:paraId="4E4C4686" w14:textId="77777777" w:rsidR="00F16338" w:rsidRPr="00D5464D" w:rsidRDefault="00F16338" w:rsidP="00F16338">
      <w:pPr>
        <w:pStyle w:val="Textonotapie"/>
        <w:tabs>
          <w:tab w:val="left" w:pos="709"/>
        </w:tabs>
        <w:spacing w:after="0"/>
        <w:rPr>
          <w:lang w:val="pt-BR"/>
        </w:rPr>
      </w:pPr>
    </w:p>
  </w:footnote>
  <w:footnote w:id="566">
    <w:p w14:paraId="5F3A655C" w14:textId="77777777" w:rsidR="00F16338" w:rsidRPr="00D5464D" w:rsidRDefault="00F16338" w:rsidP="00F16338">
      <w:pPr>
        <w:pStyle w:val="Prrafodelista"/>
        <w:widowControl w:val="0"/>
        <w:tabs>
          <w:tab w:val="left" w:pos="709"/>
        </w:tabs>
        <w:autoSpaceDE w:val="0"/>
        <w:autoSpaceDN w:val="0"/>
        <w:adjustRightInd w:val="0"/>
        <w:ind w:left="0"/>
        <w:rPr>
          <w:sz w:val="16"/>
          <w:szCs w:val="16"/>
          <w:lang w:val="pt-BR"/>
        </w:rPr>
      </w:pPr>
      <w:r w:rsidRPr="00D5464D">
        <w:rPr>
          <w:rStyle w:val="Refdenotaalpie"/>
          <w:sz w:val="16"/>
          <w:szCs w:val="16"/>
          <w:lang w:val="es-ES_tradnl"/>
        </w:rPr>
        <w:footnoteRef/>
      </w:r>
      <w:r w:rsidRPr="00D5464D">
        <w:rPr>
          <w:sz w:val="16"/>
          <w:szCs w:val="16"/>
          <w:lang w:val="pt-BR"/>
        </w:rPr>
        <w:t xml:space="preserve"> </w:t>
      </w:r>
      <w:r w:rsidRPr="00D5464D">
        <w:rPr>
          <w:sz w:val="16"/>
          <w:szCs w:val="16"/>
          <w:lang w:val="pt-BR"/>
        </w:rPr>
        <w:tab/>
        <w:t xml:space="preserve">ONU, Conselho de Direitos Humanos, Relatório da Relatora Especial sobre Pobreza Extrema e Direitos Humanos, </w:t>
      </w:r>
      <w:r w:rsidRPr="00D5464D">
        <w:rPr>
          <w:rFonts w:cs="Times"/>
          <w:sz w:val="16"/>
          <w:szCs w:val="16"/>
          <w:lang w:val="pt-BR"/>
        </w:rPr>
        <w:t>11 de março de 2013</w:t>
      </w:r>
      <w:r w:rsidRPr="00D5464D">
        <w:rPr>
          <w:sz w:val="16"/>
          <w:szCs w:val="16"/>
          <w:lang w:val="pt-BR"/>
        </w:rPr>
        <w:t xml:space="preserve">, </w:t>
      </w:r>
      <w:r w:rsidRPr="00D5464D">
        <w:rPr>
          <w:rFonts w:cs="Times"/>
          <w:sz w:val="16"/>
          <w:szCs w:val="16"/>
          <w:lang w:val="pt-BR"/>
        </w:rPr>
        <w:t xml:space="preserve">A/HRC/23/36 par. 42. </w:t>
      </w:r>
    </w:p>
    <w:p w14:paraId="5E4F5CBA" w14:textId="77777777" w:rsidR="00F16338" w:rsidRPr="00D5464D" w:rsidRDefault="00F16338" w:rsidP="00F16338">
      <w:pPr>
        <w:pStyle w:val="Textonotapie"/>
        <w:tabs>
          <w:tab w:val="left" w:pos="709"/>
        </w:tabs>
        <w:spacing w:after="0"/>
        <w:rPr>
          <w:lang w:val="pt-BR"/>
        </w:rPr>
      </w:pPr>
    </w:p>
  </w:footnote>
  <w:footnote w:id="567">
    <w:p w14:paraId="25A53166" w14:textId="77777777" w:rsidR="00F16338" w:rsidRPr="00D5464D" w:rsidRDefault="00F16338" w:rsidP="00F16338">
      <w:pPr>
        <w:widowControl w:val="0"/>
        <w:tabs>
          <w:tab w:val="left" w:pos="709"/>
        </w:tabs>
        <w:autoSpaceDE w:val="0"/>
        <w:autoSpaceDN w:val="0"/>
        <w:adjustRightInd w:val="0"/>
        <w:jc w:val="both"/>
        <w:rPr>
          <w:rFonts w:cs="Times"/>
          <w:sz w:val="16"/>
          <w:szCs w:val="16"/>
          <w:lang w:val="pt-BR"/>
        </w:rPr>
      </w:pPr>
      <w:r w:rsidRPr="00D5464D">
        <w:rPr>
          <w:rStyle w:val="Refdenotaalpie"/>
          <w:sz w:val="16"/>
          <w:szCs w:val="16"/>
        </w:rPr>
        <w:footnoteRef/>
      </w:r>
      <w:r w:rsidRPr="00D5464D">
        <w:rPr>
          <w:sz w:val="16"/>
          <w:szCs w:val="16"/>
          <w:lang w:val="pt-BR"/>
        </w:rPr>
        <w:t xml:space="preserve"> </w:t>
      </w:r>
      <w:r w:rsidRPr="00D5464D">
        <w:rPr>
          <w:sz w:val="16"/>
          <w:szCs w:val="16"/>
          <w:lang w:val="pt-BR"/>
        </w:rPr>
        <w:tab/>
      </w:r>
      <w:r w:rsidRPr="00D5464D">
        <w:rPr>
          <w:rFonts w:cs="Times New Roman"/>
          <w:sz w:val="16"/>
          <w:szCs w:val="16"/>
          <w:lang w:val="pt-BR"/>
        </w:rPr>
        <w:t xml:space="preserve">A Relatora Especial sobre o tráfico de pessoas, especialmente de mulheres e crianças, destacou que a pobreza é um fator importante de vulnerabilidade das pessoas vítimas de tráfico. </w:t>
      </w:r>
      <w:r w:rsidRPr="00D5464D">
        <w:rPr>
          <w:i/>
          <w:sz w:val="16"/>
          <w:szCs w:val="16"/>
          <w:lang w:val="pt-BR"/>
        </w:rPr>
        <w:t xml:space="preserve">Cf. ONU, </w:t>
      </w:r>
      <w:r w:rsidRPr="00D5464D">
        <w:rPr>
          <w:rFonts w:cs="Times New Roman"/>
          <w:i/>
          <w:sz w:val="16"/>
          <w:szCs w:val="16"/>
          <w:lang w:val="pt-BR"/>
        </w:rPr>
        <w:t xml:space="preserve">Relatora Especial sobre o tráfico de pessoas, especialmente de mulheres e crianças, </w:t>
      </w:r>
      <w:r w:rsidRPr="00D5464D">
        <w:rPr>
          <w:rFonts w:cs="Times New Roman"/>
          <w:sz w:val="16"/>
          <w:szCs w:val="16"/>
          <w:lang w:val="pt-BR"/>
        </w:rPr>
        <w:t xml:space="preserve">Joy Ngozi Ezeilo, 6 de agosto de 2014, A/69/269, par.12. </w:t>
      </w:r>
    </w:p>
    <w:p w14:paraId="4D64EA20" w14:textId="77777777" w:rsidR="00F16338" w:rsidRPr="00D5464D" w:rsidRDefault="00F16338" w:rsidP="00F16338">
      <w:pPr>
        <w:pStyle w:val="Textonotapie"/>
        <w:tabs>
          <w:tab w:val="left" w:pos="709"/>
        </w:tabs>
        <w:spacing w:after="0"/>
        <w:rPr>
          <w:lang w:val="pt-BR"/>
        </w:rPr>
      </w:pPr>
    </w:p>
  </w:footnote>
  <w:footnote w:id="568">
    <w:p w14:paraId="33769FD3" w14:textId="77777777" w:rsidR="00F16338" w:rsidRPr="00D5464D" w:rsidRDefault="00F16338" w:rsidP="00F16338">
      <w:pPr>
        <w:widowControl w:val="0"/>
        <w:tabs>
          <w:tab w:val="left" w:pos="709"/>
        </w:tabs>
        <w:autoSpaceDE w:val="0"/>
        <w:autoSpaceDN w:val="0"/>
        <w:adjustRightInd w:val="0"/>
        <w:jc w:val="both"/>
        <w:rPr>
          <w:rFonts w:cs="Times"/>
          <w:sz w:val="16"/>
          <w:szCs w:val="16"/>
          <w:lang w:val="pt-BR"/>
        </w:rPr>
      </w:pPr>
      <w:r w:rsidRPr="00D5464D">
        <w:rPr>
          <w:rStyle w:val="Refdenotaalpie"/>
          <w:sz w:val="16"/>
          <w:szCs w:val="16"/>
        </w:rPr>
        <w:footnoteRef/>
      </w:r>
      <w:r w:rsidRPr="00D5464D">
        <w:rPr>
          <w:sz w:val="16"/>
          <w:szCs w:val="16"/>
          <w:lang w:val="pt-BR"/>
        </w:rPr>
        <w:t xml:space="preserve"> </w:t>
      </w:r>
      <w:r w:rsidRPr="00D5464D">
        <w:rPr>
          <w:sz w:val="16"/>
          <w:szCs w:val="16"/>
          <w:lang w:val="pt-BR"/>
        </w:rPr>
        <w:tab/>
      </w:r>
      <w:r w:rsidRPr="00D5464D">
        <w:rPr>
          <w:rFonts w:cs="Times New Roman"/>
          <w:sz w:val="16"/>
          <w:szCs w:val="16"/>
          <w:lang w:val="pt-BR"/>
        </w:rPr>
        <w:t xml:space="preserve">Quanto à Relatora sobre o direito à água, expressou que os Estados devem cumprir suas obrigações de direitos humanos relacionadas ao saneamento de forma não discriminatória. Estão obrigados, nesse sentido, a prestar atenção aos grupos particularmente vulneráveis à exclusão e à discriminação em relação ao saneamento, entre outros, as </w:t>
      </w:r>
      <w:r w:rsidRPr="00D5464D">
        <w:rPr>
          <w:rFonts w:cs="Times New Roman"/>
          <w:i/>
          <w:sz w:val="16"/>
          <w:szCs w:val="16"/>
          <w:lang w:val="pt-BR"/>
        </w:rPr>
        <w:t>pessoas que vivem na pobreza</w:t>
      </w:r>
      <w:r w:rsidRPr="00D5464D">
        <w:rPr>
          <w:rFonts w:cs="Times New Roman"/>
          <w:sz w:val="16"/>
          <w:szCs w:val="16"/>
          <w:lang w:val="pt-BR"/>
        </w:rPr>
        <w:t xml:space="preserve"> […]. Deve-se dar prioridade à satisfação das necessidades destes grupos e, caso necessário, devem ser adotadas medidas positivas para corrigir a discriminação existente e garantir o acesso aos serviços de saneamento. Desta maneira, os Estados estão obrigados a eliminar a discriminação </w:t>
      </w:r>
      <w:r w:rsidRPr="00D5464D">
        <w:rPr>
          <w:rFonts w:cs="Times New Roman"/>
          <w:i/>
          <w:sz w:val="16"/>
          <w:szCs w:val="16"/>
          <w:lang w:val="pt-BR"/>
        </w:rPr>
        <w:t xml:space="preserve">de jure e de facto </w:t>
      </w:r>
      <w:r w:rsidRPr="00D5464D">
        <w:rPr>
          <w:rFonts w:cs="Times New Roman"/>
          <w:sz w:val="16"/>
          <w:szCs w:val="16"/>
          <w:lang w:val="pt-BR"/>
        </w:rPr>
        <w:t xml:space="preserve">por diversos motivos. </w:t>
      </w:r>
      <w:r w:rsidRPr="00D5464D">
        <w:rPr>
          <w:i/>
          <w:sz w:val="16"/>
          <w:szCs w:val="16"/>
          <w:lang w:val="pt-BR"/>
        </w:rPr>
        <w:t>Cf. ONU, Conselho de Direitos Humanos, Relatório da Especialista Independente sobre a questão das obrigações de direitos humanos relacionadas ao acesso à água potável e ao saneamento</w:t>
      </w:r>
      <w:r w:rsidRPr="00D5464D">
        <w:rPr>
          <w:sz w:val="16"/>
          <w:szCs w:val="16"/>
          <w:lang w:val="pt-BR"/>
        </w:rPr>
        <w:t xml:space="preserve">, Catarina Albuquerque, 1º de julho de 2009, </w:t>
      </w:r>
      <w:r w:rsidRPr="00D5464D">
        <w:rPr>
          <w:rFonts w:cs="Times"/>
          <w:sz w:val="16"/>
          <w:szCs w:val="16"/>
          <w:lang w:val="pt-BR"/>
        </w:rPr>
        <w:t xml:space="preserve">A/HRC/12/24, par. 65. </w:t>
      </w:r>
    </w:p>
    <w:p w14:paraId="68DE1F17" w14:textId="77777777" w:rsidR="00F16338" w:rsidRPr="00D5464D" w:rsidRDefault="00F16338" w:rsidP="00F16338">
      <w:pPr>
        <w:pStyle w:val="Textonotapie"/>
        <w:tabs>
          <w:tab w:val="left" w:pos="709"/>
        </w:tabs>
        <w:spacing w:after="0"/>
        <w:rPr>
          <w:lang w:val="pt-BR"/>
        </w:rPr>
      </w:pPr>
    </w:p>
  </w:footnote>
  <w:footnote w:id="569">
    <w:p w14:paraId="2C5BB376" w14:textId="77777777" w:rsidR="00F16338" w:rsidRPr="00D5464D" w:rsidRDefault="00F16338" w:rsidP="00F16338">
      <w:pPr>
        <w:pStyle w:val="Textonotapie"/>
        <w:tabs>
          <w:tab w:val="left" w:pos="709"/>
        </w:tabs>
        <w:spacing w:after="0"/>
        <w:rPr>
          <w:lang w:val="pt-BR"/>
        </w:rPr>
      </w:pPr>
      <w:r w:rsidRPr="00D5464D">
        <w:rPr>
          <w:rStyle w:val="Refdenotaalpie"/>
          <w:lang w:val="es-ES_tradnl"/>
        </w:rPr>
        <w:footnoteRef/>
      </w:r>
      <w:r w:rsidRPr="00D5464D">
        <w:rPr>
          <w:lang w:val="pt-BR"/>
        </w:rPr>
        <w:t xml:space="preserve"> </w:t>
      </w:r>
      <w:r w:rsidRPr="00D5464D">
        <w:rPr>
          <w:lang w:val="pt-BR"/>
        </w:rPr>
        <w:tab/>
      </w:r>
      <w:r w:rsidRPr="00D5464D">
        <w:rPr>
          <w:rFonts w:cs="Times New Roman"/>
          <w:lang w:val="pt-BR"/>
        </w:rPr>
        <w:t>A Relatora sobre Defensores de Direitos Humanos expressou que se informou sobre os riscos que enfrentam os defensores de direitos humanos das comunidades locais, incluindo os</w:t>
      </w:r>
      <w:r w:rsidRPr="00D5464D">
        <w:rPr>
          <w:rFonts w:cs="Times New Roman"/>
          <w:i/>
          <w:lang w:val="pt-BR"/>
        </w:rPr>
        <w:t xml:space="preserve"> </w:t>
      </w:r>
      <w:r w:rsidRPr="00D5464D">
        <w:rPr>
          <w:rFonts w:cs="Times New Roman"/>
          <w:lang w:val="pt-BR"/>
        </w:rPr>
        <w:t xml:space="preserve">povos indígenas, as minorias e as </w:t>
      </w:r>
      <w:r w:rsidRPr="00D5464D">
        <w:rPr>
          <w:rFonts w:cs="Times New Roman"/>
          <w:i/>
          <w:lang w:val="pt-BR"/>
        </w:rPr>
        <w:t xml:space="preserve">pessoas que vivem em condições de pobreza. </w:t>
      </w:r>
      <w:r w:rsidRPr="00D5464D">
        <w:rPr>
          <w:lang w:val="pt-BR"/>
        </w:rPr>
        <w:t xml:space="preserve">ONU, Relatório </w:t>
      </w:r>
      <w:r w:rsidRPr="00D5464D">
        <w:rPr>
          <w:i/>
          <w:lang w:val="pt-BR"/>
        </w:rPr>
        <w:t>da Relatora Especial sobre a situação dos defensores dos direitos humanos</w:t>
      </w:r>
      <w:r w:rsidRPr="00D5464D">
        <w:rPr>
          <w:lang w:val="pt-BR"/>
        </w:rPr>
        <w:t xml:space="preserve">, Margaret Sekkagya, 5 de agosto de 2013, A/69/262, par. 15. </w:t>
      </w:r>
    </w:p>
    <w:p w14:paraId="5500843E" w14:textId="77777777" w:rsidR="00F16338" w:rsidRPr="00D5464D" w:rsidRDefault="00F16338" w:rsidP="00F16338">
      <w:pPr>
        <w:pStyle w:val="Textonotapie"/>
        <w:tabs>
          <w:tab w:val="left" w:pos="709"/>
        </w:tabs>
        <w:spacing w:after="0"/>
        <w:rPr>
          <w:lang w:val="pt-BR"/>
        </w:rPr>
      </w:pPr>
    </w:p>
  </w:footnote>
  <w:footnote w:id="570">
    <w:p w14:paraId="0FDE1837" w14:textId="77777777" w:rsidR="00F16338" w:rsidRPr="00D5464D" w:rsidRDefault="00F16338" w:rsidP="00F16338">
      <w:pPr>
        <w:pStyle w:val="Textonotapie"/>
        <w:tabs>
          <w:tab w:val="left" w:pos="709"/>
        </w:tabs>
        <w:spacing w:after="0"/>
        <w:rPr>
          <w:lang w:val="pt-BR"/>
        </w:rPr>
      </w:pPr>
      <w:r w:rsidRPr="00D5464D">
        <w:rPr>
          <w:rStyle w:val="Refdenotaalpie"/>
          <w:lang w:val="es-ES_tradnl"/>
        </w:rPr>
        <w:footnoteRef/>
      </w:r>
      <w:r w:rsidRPr="00D5464D">
        <w:rPr>
          <w:lang w:val="pt-BR"/>
        </w:rPr>
        <w:t xml:space="preserve"> </w:t>
      </w:r>
      <w:r w:rsidRPr="00D5464D">
        <w:rPr>
          <w:lang w:val="pt-BR"/>
        </w:rPr>
        <w:tab/>
      </w:r>
      <w:r w:rsidRPr="00D5464D">
        <w:rPr>
          <w:rFonts w:cs="Times New Roman"/>
          <w:lang w:val="pt-BR"/>
        </w:rPr>
        <w:t xml:space="preserve">O Relator Especial sobre o Direito à Educação manifestou que se deve assegurar a disponibilidade de recursos específicos para abordar as causas básicas da exclusão da educação das crianças, os </w:t>
      </w:r>
      <w:r w:rsidRPr="00D5464D">
        <w:rPr>
          <w:rFonts w:cs="Times New Roman"/>
          <w:i/>
          <w:lang w:val="pt-BR"/>
        </w:rPr>
        <w:t>que vivem na pobreza</w:t>
      </w:r>
      <w:r w:rsidRPr="00D5464D">
        <w:rPr>
          <w:rFonts w:cs="Times New Roman"/>
          <w:lang w:val="pt-BR"/>
        </w:rPr>
        <w:t xml:space="preserve"> ou com deficiência, as minorias étnicas e linguísticas, os migrantes e outros grupos marginalizados e em desvantagem.</w:t>
      </w:r>
      <w:r w:rsidRPr="00D5464D">
        <w:rPr>
          <w:lang w:val="pt-BR"/>
        </w:rPr>
        <w:t xml:space="preserve"> ONU, Relatório </w:t>
      </w:r>
      <w:r w:rsidRPr="00D5464D">
        <w:rPr>
          <w:i/>
          <w:lang w:val="pt-BR"/>
        </w:rPr>
        <w:t xml:space="preserve">do Relator Especial sobre o Direito à Educação, </w:t>
      </w:r>
      <w:r w:rsidRPr="00D5464D">
        <w:rPr>
          <w:lang w:val="pt-BR"/>
        </w:rPr>
        <w:t xml:space="preserve">Kishore Singh, 5 de agosto de 2011, A/66/269, par. 47. </w:t>
      </w:r>
    </w:p>
    <w:p w14:paraId="5653B9B7" w14:textId="77777777" w:rsidR="00F16338" w:rsidRPr="00D5464D" w:rsidRDefault="00F16338" w:rsidP="00F16338">
      <w:pPr>
        <w:pStyle w:val="Textonotapie"/>
        <w:tabs>
          <w:tab w:val="left" w:pos="709"/>
        </w:tabs>
        <w:spacing w:after="0"/>
        <w:rPr>
          <w:lang w:val="pt-BR"/>
        </w:rPr>
      </w:pPr>
    </w:p>
  </w:footnote>
  <w:footnote w:id="571">
    <w:p w14:paraId="6508831C" w14:textId="77777777" w:rsidR="00F16338" w:rsidRPr="00D5464D" w:rsidRDefault="00F16338" w:rsidP="00F16338">
      <w:pPr>
        <w:widowControl w:val="0"/>
        <w:tabs>
          <w:tab w:val="left" w:pos="709"/>
        </w:tabs>
        <w:autoSpaceDE w:val="0"/>
        <w:autoSpaceDN w:val="0"/>
        <w:adjustRightInd w:val="0"/>
        <w:jc w:val="both"/>
        <w:rPr>
          <w:sz w:val="16"/>
          <w:szCs w:val="16"/>
          <w:lang w:val="pt-BR"/>
        </w:rPr>
      </w:pPr>
      <w:r w:rsidRPr="00D5464D">
        <w:rPr>
          <w:rStyle w:val="Refdenotaalpie"/>
          <w:sz w:val="16"/>
          <w:szCs w:val="16"/>
        </w:rPr>
        <w:footnoteRef/>
      </w:r>
      <w:r w:rsidRPr="00D5464D">
        <w:rPr>
          <w:sz w:val="16"/>
          <w:szCs w:val="16"/>
          <w:lang w:val="pt-BR"/>
        </w:rPr>
        <w:t xml:space="preserve"> </w:t>
      </w:r>
      <w:r w:rsidRPr="00D5464D">
        <w:rPr>
          <w:sz w:val="16"/>
          <w:szCs w:val="16"/>
          <w:lang w:val="pt-BR"/>
        </w:rPr>
        <w:tab/>
      </w:r>
      <w:r w:rsidRPr="00D5464D">
        <w:rPr>
          <w:rFonts w:cs="Times New Roman"/>
          <w:sz w:val="16"/>
          <w:szCs w:val="16"/>
          <w:lang w:val="pt-BR"/>
        </w:rPr>
        <w:t>O Relator Especial sobre a questão das obrigações de direitos humanos relacionadas ao desfrute de um meio ambiente sem riscos, limpo, saudável e sustentável expressou que, assim como reconheceu o Conselho de Direitos Humanos, as pessoas que já são vulneráveis devido a fatores tais como a situação geográfica, a pobreza, o gênero, a idade, a condição de indígena ou de minoria, a origem nacional ou social, o nascimento ou qualquer outra condição social e a deficiência, sofrem os piores efeitos da mudança climática</w:t>
      </w:r>
      <w:r w:rsidRPr="00D5464D">
        <w:rPr>
          <w:sz w:val="16"/>
          <w:szCs w:val="16"/>
          <w:lang w:val="pt-BR"/>
        </w:rPr>
        <w:t xml:space="preserve">. ONU, Relatório </w:t>
      </w:r>
      <w:r w:rsidRPr="00D5464D">
        <w:rPr>
          <w:i/>
          <w:sz w:val="16"/>
          <w:szCs w:val="16"/>
          <w:lang w:val="pt-BR"/>
        </w:rPr>
        <w:t xml:space="preserve">do </w:t>
      </w:r>
      <w:r w:rsidRPr="00D5464D">
        <w:rPr>
          <w:rFonts w:cs="Times New Roman"/>
          <w:i/>
          <w:sz w:val="16"/>
          <w:szCs w:val="16"/>
          <w:lang w:val="pt-BR"/>
        </w:rPr>
        <w:t xml:space="preserve">Relator Especial sobre a questão das obrigações de direitos humanos relacionadas ao desfrute de um meio ambiente sem riscos, limpo, saudável e sustentável, </w:t>
      </w:r>
      <w:r w:rsidRPr="00D5464D">
        <w:rPr>
          <w:rFonts w:cs="Times New Roman"/>
          <w:sz w:val="16"/>
          <w:szCs w:val="16"/>
          <w:lang w:val="pt-BR"/>
        </w:rPr>
        <w:t>Jhon H. Knox</w:t>
      </w:r>
      <w:r w:rsidRPr="00D5464D">
        <w:rPr>
          <w:sz w:val="16"/>
          <w:szCs w:val="16"/>
          <w:lang w:val="pt-BR"/>
        </w:rPr>
        <w:t>, 1º de fevereiro de 2016</w:t>
      </w:r>
      <w:r w:rsidRPr="00D5464D">
        <w:rPr>
          <w:rFonts w:cs="Times New Roman"/>
          <w:sz w:val="16"/>
          <w:szCs w:val="16"/>
          <w:lang w:val="pt-BR"/>
        </w:rPr>
        <w:t xml:space="preserve"> A/HRC/31/52 </w:t>
      </w:r>
      <w:r w:rsidRPr="00D5464D">
        <w:rPr>
          <w:sz w:val="16"/>
          <w:szCs w:val="16"/>
          <w:lang w:val="pt-BR"/>
        </w:rPr>
        <w:t>, par. 27.</w:t>
      </w:r>
    </w:p>
  </w:footnote>
  <w:footnote w:id="572">
    <w:p w14:paraId="129ABD04" w14:textId="77777777" w:rsidR="00F16338" w:rsidRPr="00D5464D" w:rsidRDefault="00F16338" w:rsidP="00F16338">
      <w:pPr>
        <w:pStyle w:val="Textonotapie"/>
        <w:tabs>
          <w:tab w:val="left" w:pos="709"/>
        </w:tabs>
        <w:spacing w:after="0"/>
        <w:rPr>
          <w:lang w:val="pt-BR"/>
        </w:rPr>
      </w:pPr>
    </w:p>
    <w:p w14:paraId="5551EEE2" w14:textId="77777777" w:rsidR="00F16338" w:rsidRPr="00D5464D" w:rsidRDefault="00F16338" w:rsidP="00F16338">
      <w:pPr>
        <w:pStyle w:val="Textonotapie"/>
        <w:tabs>
          <w:tab w:val="left" w:pos="709"/>
        </w:tabs>
        <w:spacing w:after="0"/>
        <w:rPr>
          <w:lang w:val="pt-BR"/>
        </w:rPr>
      </w:pPr>
      <w:r w:rsidRPr="00D5464D">
        <w:rPr>
          <w:rStyle w:val="Refdenotaalpie"/>
          <w:lang w:val="es-ES_tradnl"/>
        </w:rPr>
        <w:footnoteRef/>
      </w:r>
      <w:r w:rsidRPr="00D5464D">
        <w:rPr>
          <w:rFonts w:cs="Times New Roman"/>
          <w:lang w:val="pt-BR"/>
        </w:rPr>
        <w:tab/>
      </w:r>
      <w:r w:rsidRPr="00D5464D">
        <w:rPr>
          <w:rFonts w:cs="Times New Roman"/>
          <w:lang w:val="pt-BR"/>
        </w:rPr>
        <w:tab/>
        <w:t xml:space="preserve">A Relatora Especial sobre o direito à moradia adequada se pronunciou no sentido de indicar que a desigualdade no acesso à terra e à propriedade, que afeta os grupos marginalizados (incluindo mulheres, migrantes e </w:t>
      </w:r>
      <w:r w:rsidRPr="00D5464D">
        <w:rPr>
          <w:rFonts w:cs="Times New Roman"/>
          <w:i/>
          <w:lang w:val="pt-BR"/>
        </w:rPr>
        <w:t>todas as pessoas que vivem em situação de pobreza</w:t>
      </w:r>
      <w:r w:rsidRPr="00D5464D">
        <w:rPr>
          <w:rFonts w:cs="Times New Roman"/>
          <w:lang w:val="pt-BR"/>
        </w:rPr>
        <w:t xml:space="preserve">), ficou capturada na desigualdade em matéria de moradia e segregação espacial, o que dividiu as cidades entre os que possuem terras e propriedades, e, portanto, têm acesso à infraestrutura e aos serviços básicos, e os que não. </w:t>
      </w:r>
      <w:r w:rsidRPr="00D5464D">
        <w:rPr>
          <w:i/>
          <w:lang w:val="pt-BR"/>
        </w:rPr>
        <w:t>ONU, Relatório da Relatora Especial sobre moradia adequada como elemento do direito a um nível de vida adequado e sobre o direito à não discriminação</w:t>
      </w:r>
      <w:r w:rsidRPr="00D5464D">
        <w:rPr>
          <w:lang w:val="pt-BR"/>
        </w:rPr>
        <w:t>, Leilani Farha, 2 de agosto de 2015, A/70/270, par. 54</w:t>
      </w:r>
    </w:p>
  </w:footnote>
  <w:footnote w:id="573">
    <w:p w14:paraId="4346494A" w14:textId="77777777" w:rsidR="00F16338" w:rsidRPr="00D5464D" w:rsidRDefault="00F16338" w:rsidP="00F16338">
      <w:pPr>
        <w:pStyle w:val="Textonotapie"/>
        <w:tabs>
          <w:tab w:val="left" w:pos="709"/>
        </w:tabs>
        <w:spacing w:after="0"/>
        <w:rPr>
          <w:lang w:val="pt-BR"/>
        </w:rPr>
      </w:pPr>
    </w:p>
    <w:p w14:paraId="7A767904" w14:textId="77777777" w:rsidR="00F16338" w:rsidRPr="00D5464D" w:rsidRDefault="00F16338" w:rsidP="00F16338">
      <w:pPr>
        <w:pStyle w:val="Textonotapie"/>
        <w:tabs>
          <w:tab w:val="left" w:pos="709"/>
        </w:tabs>
        <w:spacing w:after="0"/>
        <w:rPr>
          <w:lang w:val="pt-BR"/>
        </w:rPr>
      </w:pPr>
      <w:r w:rsidRPr="00D5464D">
        <w:rPr>
          <w:rStyle w:val="Refdenotaalpie"/>
          <w:lang w:val="es-ES_tradnl"/>
        </w:rPr>
        <w:footnoteRef/>
      </w:r>
      <w:r w:rsidRPr="00D5464D">
        <w:rPr>
          <w:rFonts w:cs="Times New Roman"/>
          <w:lang w:val="pt-BR"/>
        </w:rPr>
        <w:t xml:space="preserve"> </w:t>
      </w:r>
      <w:r w:rsidRPr="00D5464D">
        <w:rPr>
          <w:rFonts w:cs="Times New Roman"/>
          <w:lang w:val="pt-BR"/>
        </w:rPr>
        <w:tab/>
        <w:t xml:space="preserve">O Relator sobre o Direito à Alimentação considerou que, por exemplo, os trabalhadores agrícolas estão em uma situação especialmente vulnerável, pois 60% deles vivem na pobreza em vários países. </w:t>
      </w:r>
      <w:r w:rsidRPr="00D5464D">
        <w:rPr>
          <w:i/>
          <w:lang w:val="pt-BR"/>
        </w:rPr>
        <w:t xml:space="preserve">ONU, Relatório do </w:t>
      </w:r>
      <w:r w:rsidRPr="00D5464D">
        <w:rPr>
          <w:rFonts w:cs="Times New Roman"/>
          <w:i/>
          <w:lang w:val="pt-BR"/>
        </w:rPr>
        <w:t>Relator sobre o Direito à Alimentação</w:t>
      </w:r>
      <w:r w:rsidRPr="00D5464D">
        <w:rPr>
          <w:rFonts w:cs="Times New Roman"/>
          <w:lang w:val="pt-BR"/>
        </w:rPr>
        <w:t xml:space="preserve">, Olivier De Schutter, 8 de setembro de 2008, A/HRC/9/23, par. </w:t>
      </w:r>
      <w:r w:rsidRPr="00D5464D">
        <w:rPr>
          <w:lang w:val="pt-BR"/>
        </w:rPr>
        <w:t xml:space="preserve">16. </w:t>
      </w:r>
    </w:p>
    <w:p w14:paraId="2E0D8631" w14:textId="77777777" w:rsidR="00F16338" w:rsidRPr="00D5464D" w:rsidRDefault="00F16338" w:rsidP="00F16338">
      <w:pPr>
        <w:pStyle w:val="Textonotapie"/>
        <w:tabs>
          <w:tab w:val="left" w:pos="709"/>
        </w:tabs>
        <w:spacing w:after="0"/>
        <w:rPr>
          <w:lang w:val="pt-BR"/>
        </w:rPr>
      </w:pPr>
    </w:p>
  </w:footnote>
  <w:footnote w:id="574">
    <w:p w14:paraId="57E1C351" w14:textId="77777777" w:rsidR="00F16338" w:rsidRPr="00D5464D" w:rsidRDefault="00F16338" w:rsidP="00F16338">
      <w:pPr>
        <w:pStyle w:val="Textonotapie"/>
        <w:tabs>
          <w:tab w:val="left" w:pos="709"/>
        </w:tabs>
        <w:spacing w:after="0"/>
        <w:rPr>
          <w:rFonts w:cs="Times New Roman"/>
          <w:lang w:val="pt-BR"/>
        </w:rPr>
      </w:pPr>
      <w:r w:rsidRPr="00D5464D">
        <w:rPr>
          <w:rStyle w:val="Refdenotaalpie"/>
          <w:lang w:val="es-ES_tradnl"/>
        </w:rPr>
        <w:footnoteRef/>
      </w:r>
      <w:r w:rsidRPr="00D5464D">
        <w:rPr>
          <w:rFonts w:cs="Times New Roman"/>
          <w:lang w:val="pt-BR"/>
        </w:rPr>
        <w:t xml:space="preserve"> </w:t>
      </w:r>
      <w:r w:rsidRPr="00D5464D">
        <w:rPr>
          <w:rFonts w:cs="Times New Roman"/>
          <w:lang w:val="pt-BR"/>
        </w:rPr>
        <w:tab/>
      </w:r>
      <w:r w:rsidRPr="00D5464D">
        <w:rPr>
          <w:rFonts w:cs="Verdana"/>
          <w:bCs/>
          <w:lang w:val="pt-BR"/>
        </w:rPr>
        <w:t xml:space="preserve">Corte IDH. </w:t>
      </w:r>
      <w:r w:rsidRPr="00D5464D">
        <w:rPr>
          <w:rFonts w:cs="Verdana"/>
          <w:bCs/>
          <w:i/>
          <w:lang w:val="pt-BR"/>
        </w:rPr>
        <w:t>Caso "Instituto de Reeducação do Menor" Vs. Paraguai. Exceções Preliminares, Mérito, Reparações e Custas</w:t>
      </w:r>
      <w:r w:rsidRPr="00D5464D">
        <w:rPr>
          <w:rFonts w:cs="Verdana"/>
          <w:bCs/>
          <w:lang w:val="pt-BR"/>
        </w:rPr>
        <w:t>. Sentença de 2 de setembro de 2004. Série C Nº 112, par. 262.</w:t>
      </w:r>
    </w:p>
    <w:p w14:paraId="0B0ED924" w14:textId="77777777" w:rsidR="00F16338" w:rsidRPr="00D5464D" w:rsidRDefault="00F16338" w:rsidP="00F16338">
      <w:pPr>
        <w:pStyle w:val="Textonotapie"/>
        <w:tabs>
          <w:tab w:val="left" w:pos="709"/>
        </w:tabs>
        <w:spacing w:after="0"/>
        <w:rPr>
          <w:lang w:val="pt-BR"/>
        </w:rPr>
      </w:pPr>
    </w:p>
  </w:footnote>
  <w:footnote w:id="575">
    <w:p w14:paraId="53ACDDF8" w14:textId="77777777" w:rsidR="00F16338" w:rsidRPr="00D5464D" w:rsidRDefault="00F16338" w:rsidP="00F16338">
      <w:pPr>
        <w:pStyle w:val="Textonotapie"/>
        <w:tabs>
          <w:tab w:val="left" w:pos="709"/>
        </w:tabs>
        <w:spacing w:after="0"/>
        <w:rPr>
          <w:rFonts w:cs="Times New Roman"/>
          <w:lang w:val="pt-BR"/>
        </w:rPr>
      </w:pPr>
      <w:r w:rsidRPr="00D5464D">
        <w:rPr>
          <w:rStyle w:val="Refdenotaalpie"/>
          <w:lang w:val="es-ES_tradnl"/>
        </w:rPr>
        <w:footnoteRef/>
      </w:r>
      <w:r w:rsidRPr="00D5464D">
        <w:rPr>
          <w:lang w:val="pt-BR"/>
        </w:rPr>
        <w:t xml:space="preserve"> </w:t>
      </w:r>
      <w:r w:rsidRPr="00D5464D">
        <w:rPr>
          <w:lang w:val="pt-BR"/>
        </w:rPr>
        <w:tab/>
      </w:r>
      <w:r w:rsidRPr="00D5464D">
        <w:rPr>
          <w:rFonts w:cs="Verdana"/>
          <w:bCs/>
          <w:lang w:val="pt-BR"/>
        </w:rPr>
        <w:t xml:space="preserve">Corte IDH. </w:t>
      </w:r>
      <w:r w:rsidRPr="00D5464D">
        <w:rPr>
          <w:rFonts w:cs="Verdana"/>
          <w:bCs/>
          <w:i/>
          <w:lang w:val="pt-BR"/>
        </w:rPr>
        <w:t>Caso da Comunidade Moiwana Vs. Suriname. Exceções Preliminares, Mérito, Reparações e Custas.</w:t>
      </w:r>
      <w:r w:rsidRPr="00D5464D">
        <w:rPr>
          <w:rFonts w:cs="Verdana"/>
          <w:bCs/>
          <w:lang w:val="pt-BR"/>
        </w:rPr>
        <w:t xml:space="preserve"> Sentença de 15 de junho de 2005. Série C Nº 124, par. </w:t>
      </w:r>
      <w:r w:rsidRPr="00D5464D">
        <w:rPr>
          <w:rFonts w:cs="Times New Roman"/>
          <w:lang w:val="pt-BR"/>
        </w:rPr>
        <w:t xml:space="preserve">186. </w:t>
      </w:r>
    </w:p>
    <w:p w14:paraId="29CC4D29" w14:textId="77777777" w:rsidR="00F16338" w:rsidRPr="00D5464D" w:rsidRDefault="00F16338" w:rsidP="00F16338">
      <w:pPr>
        <w:pStyle w:val="Textonotapie"/>
        <w:tabs>
          <w:tab w:val="left" w:pos="709"/>
        </w:tabs>
        <w:spacing w:after="0"/>
        <w:rPr>
          <w:lang w:val="pt-BR"/>
        </w:rPr>
      </w:pPr>
    </w:p>
  </w:footnote>
  <w:footnote w:id="576">
    <w:p w14:paraId="1DB8DE1C" w14:textId="77777777" w:rsidR="00F16338" w:rsidRPr="00D5464D" w:rsidRDefault="00F16338" w:rsidP="00F16338">
      <w:pPr>
        <w:pStyle w:val="Prrafodelista"/>
        <w:tabs>
          <w:tab w:val="left" w:pos="709"/>
        </w:tabs>
        <w:ind w:left="0"/>
        <w:rPr>
          <w:rFonts w:cs="Times New Roman"/>
          <w:sz w:val="16"/>
          <w:szCs w:val="16"/>
          <w:lang w:val="pt-BR"/>
        </w:rPr>
      </w:pPr>
      <w:r w:rsidRPr="00D5464D">
        <w:rPr>
          <w:rStyle w:val="Refdenotaalpie"/>
          <w:sz w:val="16"/>
          <w:szCs w:val="16"/>
          <w:lang w:val="es-ES_tradnl"/>
        </w:rPr>
        <w:footnoteRef/>
      </w:r>
      <w:r w:rsidRPr="00D5464D">
        <w:rPr>
          <w:sz w:val="16"/>
          <w:szCs w:val="16"/>
          <w:lang w:val="pt-BR"/>
        </w:rPr>
        <w:t xml:space="preserve"> </w:t>
      </w:r>
      <w:r w:rsidRPr="00D5464D">
        <w:rPr>
          <w:sz w:val="16"/>
          <w:szCs w:val="16"/>
          <w:lang w:val="pt-BR"/>
        </w:rPr>
        <w:tab/>
      </w:r>
      <w:r w:rsidRPr="00D5464D">
        <w:rPr>
          <w:rFonts w:cs="Verdana"/>
          <w:bCs/>
          <w:sz w:val="16"/>
          <w:szCs w:val="16"/>
          <w:lang w:val="pt-BR"/>
        </w:rPr>
        <w:t xml:space="preserve">Corte IDH. </w:t>
      </w:r>
      <w:r w:rsidRPr="00D5464D">
        <w:rPr>
          <w:rFonts w:cs="Verdana"/>
          <w:bCs/>
          <w:i/>
          <w:sz w:val="16"/>
          <w:szCs w:val="16"/>
          <w:lang w:val="pt-BR"/>
        </w:rPr>
        <w:t>Caso Servellón García e outros Vs. Honduras</w:t>
      </w:r>
      <w:r w:rsidRPr="00D5464D">
        <w:rPr>
          <w:rFonts w:cs="Verdana"/>
          <w:bCs/>
          <w:sz w:val="16"/>
          <w:szCs w:val="16"/>
          <w:lang w:val="pt-BR"/>
        </w:rPr>
        <w:t>. Sentença de 21 de setembro de 2006. Série C Nº 152, par.</w:t>
      </w:r>
      <w:r w:rsidRPr="00D5464D">
        <w:rPr>
          <w:rFonts w:cs="Times New Roman"/>
          <w:sz w:val="16"/>
          <w:szCs w:val="16"/>
          <w:lang w:val="pt-BR"/>
        </w:rPr>
        <w:t xml:space="preserve"> 116. </w:t>
      </w:r>
    </w:p>
    <w:p w14:paraId="582DA532" w14:textId="77777777" w:rsidR="00F16338" w:rsidRPr="00D5464D" w:rsidRDefault="00F16338" w:rsidP="00F16338">
      <w:pPr>
        <w:pStyle w:val="Textonotapie"/>
        <w:tabs>
          <w:tab w:val="left" w:pos="709"/>
        </w:tabs>
        <w:spacing w:after="0"/>
        <w:rPr>
          <w:lang w:val="pt-BR"/>
        </w:rPr>
      </w:pPr>
    </w:p>
  </w:footnote>
  <w:footnote w:id="577">
    <w:p w14:paraId="6A2764E0" w14:textId="77777777" w:rsidR="00F16338" w:rsidRPr="00D5464D" w:rsidRDefault="00F16338" w:rsidP="00F16338">
      <w:pPr>
        <w:pStyle w:val="Textonotapie"/>
        <w:tabs>
          <w:tab w:val="left" w:pos="709"/>
        </w:tabs>
        <w:spacing w:after="0"/>
        <w:rPr>
          <w:rFonts w:cs="Times New Roman"/>
          <w:lang w:val="pt-BR"/>
        </w:rPr>
      </w:pPr>
      <w:r w:rsidRPr="00D5464D">
        <w:rPr>
          <w:rStyle w:val="Refdenotaalpie"/>
          <w:lang w:val="es-ES_tradnl"/>
        </w:rPr>
        <w:footnoteRef/>
      </w:r>
      <w:r w:rsidRPr="00D5464D">
        <w:rPr>
          <w:lang w:val="pt-BR"/>
        </w:rPr>
        <w:t xml:space="preserve"> </w:t>
      </w:r>
      <w:r w:rsidRPr="00D5464D">
        <w:rPr>
          <w:lang w:val="pt-BR"/>
        </w:rPr>
        <w:tab/>
      </w:r>
      <w:r w:rsidRPr="00D5464D">
        <w:rPr>
          <w:lang w:val="pt-BR"/>
        </w:rPr>
        <w:tab/>
      </w:r>
      <w:r w:rsidRPr="00D5464D">
        <w:rPr>
          <w:rFonts w:cs="Verdana"/>
          <w:bCs/>
          <w:lang w:val="pt-BR"/>
        </w:rPr>
        <w:t xml:space="preserve">Corte IDH. </w:t>
      </w:r>
      <w:r w:rsidRPr="00D5464D">
        <w:rPr>
          <w:lang w:val="pt-BR"/>
        </w:rPr>
        <w:t xml:space="preserve">Voto do Juiz </w:t>
      </w:r>
      <w:r w:rsidRPr="00D5464D">
        <w:rPr>
          <w:i/>
          <w:lang w:val="pt-BR"/>
        </w:rPr>
        <w:t xml:space="preserve">Ad Hoc </w:t>
      </w:r>
      <w:r w:rsidRPr="00D5464D">
        <w:rPr>
          <w:lang w:val="pt-BR"/>
        </w:rPr>
        <w:t xml:space="preserve">Ramón Foguel Pedroso ao </w:t>
      </w:r>
      <w:r w:rsidRPr="00D5464D">
        <w:rPr>
          <w:rFonts w:cs="Verdana"/>
          <w:bCs/>
          <w:i/>
          <w:lang w:val="pt-BR"/>
        </w:rPr>
        <w:t>Caso da Comunidade Indígena Yakye Axa Vs. Paraguai. Mérito Reparações e Custas</w:t>
      </w:r>
      <w:r w:rsidRPr="00D5464D">
        <w:rPr>
          <w:rFonts w:cs="Verdana"/>
          <w:bCs/>
          <w:lang w:val="pt-BR"/>
        </w:rPr>
        <w:t xml:space="preserve">. Sentença de 17 de junho de 2005. Série C Nº 125, </w:t>
      </w:r>
      <w:r w:rsidRPr="00D5464D">
        <w:rPr>
          <w:rFonts w:cs="Times New Roman"/>
          <w:lang w:val="pt-BR"/>
        </w:rPr>
        <w:t>par. 28.</w:t>
      </w:r>
    </w:p>
    <w:p w14:paraId="0455CCEE" w14:textId="77777777" w:rsidR="00F16338" w:rsidRPr="00D5464D" w:rsidRDefault="00F16338" w:rsidP="00F16338">
      <w:pPr>
        <w:pStyle w:val="Textonotapie"/>
        <w:tabs>
          <w:tab w:val="left" w:pos="709"/>
        </w:tabs>
        <w:spacing w:after="0"/>
        <w:rPr>
          <w:lang w:val="pt-BR"/>
        </w:rPr>
      </w:pPr>
    </w:p>
  </w:footnote>
  <w:footnote w:id="578">
    <w:p w14:paraId="6AA37AFC" w14:textId="77777777" w:rsidR="00F16338" w:rsidRPr="00D5464D" w:rsidRDefault="00F16338" w:rsidP="00F16338">
      <w:pPr>
        <w:pStyle w:val="Textonotapie"/>
        <w:tabs>
          <w:tab w:val="left" w:pos="709"/>
        </w:tabs>
        <w:spacing w:after="0"/>
        <w:rPr>
          <w:rFonts w:cs="Times New Roman"/>
          <w:lang w:val="pt-BR"/>
        </w:rPr>
      </w:pPr>
      <w:r w:rsidRPr="00D5464D">
        <w:rPr>
          <w:rStyle w:val="Refdenotaalpie"/>
          <w:lang w:val="es-ES_tradnl"/>
        </w:rPr>
        <w:footnoteRef/>
      </w:r>
      <w:r w:rsidRPr="00D5464D">
        <w:rPr>
          <w:lang w:val="pt-BR"/>
        </w:rPr>
        <w:t xml:space="preserve"> </w:t>
      </w:r>
      <w:r w:rsidRPr="00D5464D">
        <w:rPr>
          <w:lang w:val="pt-BR"/>
        </w:rPr>
        <w:tab/>
      </w:r>
      <w:r w:rsidRPr="00D5464D">
        <w:rPr>
          <w:rFonts w:cs="Verdana"/>
          <w:bCs/>
          <w:lang w:val="pt-BR"/>
        </w:rPr>
        <w:t xml:space="preserve">Corte IDH. </w:t>
      </w:r>
      <w:r w:rsidRPr="00D5464D">
        <w:rPr>
          <w:lang w:val="pt-BR"/>
        </w:rPr>
        <w:t xml:space="preserve">Voto do Juiz </w:t>
      </w:r>
      <w:r w:rsidRPr="00D5464D">
        <w:rPr>
          <w:i/>
          <w:lang w:val="pt-BR"/>
        </w:rPr>
        <w:t xml:space="preserve">Ad Hoc </w:t>
      </w:r>
      <w:r w:rsidRPr="00D5464D">
        <w:rPr>
          <w:lang w:val="pt-BR"/>
        </w:rPr>
        <w:t xml:space="preserve">Ramón Foguel Pedroso ao </w:t>
      </w:r>
      <w:r w:rsidRPr="00D5464D">
        <w:rPr>
          <w:rFonts w:cs="Verdana"/>
          <w:bCs/>
          <w:i/>
          <w:lang w:val="pt-BR"/>
        </w:rPr>
        <w:t>Caso da Comunidade Indígena Yakye Axa Vs. Paraguai</w:t>
      </w:r>
      <w:r w:rsidRPr="00D5464D">
        <w:rPr>
          <w:rFonts w:cs="Verdana"/>
          <w:bCs/>
          <w:lang w:val="pt-BR"/>
        </w:rPr>
        <w:t xml:space="preserve">. Mérito Reparações e Custas. Sentença de 17 de junho de 2005. Série C Nº 125, </w:t>
      </w:r>
      <w:r w:rsidRPr="00D5464D">
        <w:rPr>
          <w:rFonts w:cs="Times New Roman"/>
          <w:lang w:val="pt-BR"/>
        </w:rPr>
        <w:t xml:space="preserve">par. 32. </w:t>
      </w:r>
    </w:p>
    <w:p w14:paraId="1CB1FC0D" w14:textId="77777777" w:rsidR="00F16338" w:rsidRPr="00D5464D" w:rsidRDefault="00F16338" w:rsidP="00F16338">
      <w:pPr>
        <w:pStyle w:val="Textonotapie"/>
        <w:tabs>
          <w:tab w:val="left" w:pos="709"/>
        </w:tabs>
        <w:spacing w:after="0"/>
        <w:rPr>
          <w:lang w:val="pt-BR"/>
        </w:rPr>
      </w:pPr>
    </w:p>
  </w:footnote>
  <w:footnote w:id="579">
    <w:p w14:paraId="731F44C7" w14:textId="77777777" w:rsidR="00F16338" w:rsidRPr="00D5464D" w:rsidRDefault="00F16338" w:rsidP="00F16338">
      <w:pPr>
        <w:pStyle w:val="Textonotapie"/>
        <w:tabs>
          <w:tab w:val="left" w:pos="709"/>
        </w:tabs>
        <w:rPr>
          <w:rFonts w:cs="Times New Roman"/>
          <w:lang w:val="pt-BR"/>
        </w:rPr>
      </w:pPr>
      <w:r w:rsidRPr="00D5464D">
        <w:rPr>
          <w:rStyle w:val="Refdenotaalpie"/>
        </w:rPr>
        <w:footnoteRef/>
      </w:r>
      <w:r w:rsidRPr="00D5464D">
        <w:rPr>
          <w:lang w:val="pt-BR"/>
        </w:rPr>
        <w:tab/>
        <w:t>C</w:t>
      </w:r>
      <w:r w:rsidRPr="00D5464D">
        <w:rPr>
          <w:rFonts w:cs="Verdana"/>
          <w:bCs/>
          <w:lang w:val="pt-BR"/>
        </w:rPr>
        <w:t xml:space="preserve">orte IDH. </w:t>
      </w:r>
      <w:r w:rsidRPr="00D5464D">
        <w:rPr>
          <w:lang w:val="pt-BR"/>
        </w:rPr>
        <w:t xml:space="preserve">Voto do Juiz </w:t>
      </w:r>
      <w:r w:rsidRPr="00D5464D">
        <w:rPr>
          <w:i/>
          <w:lang w:val="pt-BR"/>
        </w:rPr>
        <w:t xml:space="preserve">Ad Hoc </w:t>
      </w:r>
      <w:r w:rsidRPr="00D5464D">
        <w:rPr>
          <w:lang w:val="pt-BR"/>
        </w:rPr>
        <w:t xml:space="preserve">Ramón Foguel Pedroso ao </w:t>
      </w:r>
      <w:r w:rsidRPr="00D5464D">
        <w:rPr>
          <w:rFonts w:cs="Verdana"/>
          <w:bCs/>
          <w:i/>
          <w:lang w:val="pt-BR"/>
        </w:rPr>
        <w:t>Caso da Comunidade Indígena Yakye Axa Vs. Paraguai</w:t>
      </w:r>
      <w:r w:rsidRPr="00D5464D">
        <w:rPr>
          <w:rFonts w:cs="Verdana"/>
          <w:bCs/>
          <w:lang w:val="pt-BR"/>
        </w:rPr>
        <w:t xml:space="preserve">. Mérito Reparações e Custas. Sentença de 17 de junho de 2005. Série C Nº 125, </w:t>
      </w:r>
      <w:r w:rsidRPr="00D5464D">
        <w:rPr>
          <w:rFonts w:cs="Times New Roman"/>
          <w:lang w:val="pt-BR"/>
        </w:rPr>
        <w:t>par. 33.</w:t>
      </w:r>
    </w:p>
    <w:p w14:paraId="119E8021" w14:textId="77777777" w:rsidR="00F16338" w:rsidRPr="00D5464D" w:rsidRDefault="00F16338" w:rsidP="00F16338">
      <w:pPr>
        <w:pStyle w:val="Textonotapie"/>
        <w:tabs>
          <w:tab w:val="left" w:pos="709"/>
        </w:tabs>
        <w:rPr>
          <w:lang w:val="pt-BR"/>
        </w:rPr>
      </w:pPr>
    </w:p>
  </w:footnote>
  <w:footnote w:id="580">
    <w:p w14:paraId="08A632CE" w14:textId="77777777" w:rsidR="00F16338" w:rsidRPr="00D5464D" w:rsidRDefault="00F16338" w:rsidP="00F16338">
      <w:pPr>
        <w:pStyle w:val="Textonotapie"/>
        <w:tabs>
          <w:tab w:val="left" w:pos="709"/>
        </w:tabs>
        <w:rPr>
          <w:lang w:val="pt-BR"/>
        </w:rPr>
      </w:pPr>
      <w:r w:rsidRPr="00D5464D">
        <w:rPr>
          <w:rStyle w:val="Refdenotaalpie"/>
          <w:lang w:val="es-ES_tradnl"/>
        </w:rPr>
        <w:footnoteRef/>
      </w:r>
      <w:r w:rsidRPr="00D5464D">
        <w:rPr>
          <w:lang w:val="pt-BR"/>
        </w:rPr>
        <w:t xml:space="preserve"> </w:t>
      </w:r>
      <w:r w:rsidRPr="00D5464D">
        <w:rPr>
          <w:lang w:val="pt-BR"/>
        </w:rPr>
        <w:tab/>
      </w:r>
      <w:r w:rsidRPr="00D5464D">
        <w:rPr>
          <w:rFonts w:cs="Verdana"/>
          <w:bCs/>
          <w:lang w:val="pt-BR"/>
        </w:rPr>
        <w:t xml:space="preserve">Corte IDH. </w:t>
      </w:r>
      <w:r w:rsidRPr="00D5464D">
        <w:rPr>
          <w:lang w:val="pt-BR"/>
        </w:rPr>
        <w:t xml:space="preserve">Voto do Juiz </w:t>
      </w:r>
      <w:r w:rsidRPr="00D5464D">
        <w:rPr>
          <w:i/>
          <w:lang w:val="pt-BR"/>
        </w:rPr>
        <w:t xml:space="preserve">Ad Hoc </w:t>
      </w:r>
      <w:r w:rsidRPr="00D5464D">
        <w:rPr>
          <w:lang w:val="pt-BR"/>
        </w:rPr>
        <w:t xml:space="preserve">Ramón Foguel Pedroso ao </w:t>
      </w:r>
      <w:r w:rsidRPr="00D5464D">
        <w:rPr>
          <w:rFonts w:cs="Verdana"/>
          <w:bCs/>
          <w:i/>
          <w:lang w:val="pt-BR"/>
        </w:rPr>
        <w:t>Caso da Comunidade Indígena Yakye Axa Vs. Paraguai. Mérito Reparações e Custas</w:t>
      </w:r>
      <w:r w:rsidRPr="00D5464D">
        <w:rPr>
          <w:rFonts w:cs="Verdana"/>
          <w:bCs/>
          <w:lang w:val="pt-BR"/>
        </w:rPr>
        <w:t xml:space="preserve">. Sentença de 17 de junho de 2005. Série C Nº 125, </w:t>
      </w:r>
      <w:r w:rsidRPr="00D5464D">
        <w:rPr>
          <w:rFonts w:cs="Times New Roman"/>
          <w:lang w:val="pt-BR"/>
        </w:rPr>
        <w:t>par. 36.</w:t>
      </w:r>
    </w:p>
  </w:footnote>
  <w:footnote w:id="581">
    <w:p w14:paraId="6AF7C0E1" w14:textId="77777777" w:rsidR="00F16338" w:rsidRPr="00D5464D" w:rsidRDefault="00F16338" w:rsidP="00F16338">
      <w:pPr>
        <w:pStyle w:val="Textonotapie"/>
        <w:tabs>
          <w:tab w:val="left" w:pos="709"/>
        </w:tabs>
        <w:spacing w:after="0"/>
        <w:rPr>
          <w:lang w:val="pt-BR"/>
        </w:rPr>
      </w:pPr>
    </w:p>
    <w:p w14:paraId="3DAF72D9" w14:textId="77777777" w:rsidR="00F16338" w:rsidRPr="00D5464D" w:rsidRDefault="00F16338" w:rsidP="00F16338">
      <w:pPr>
        <w:pStyle w:val="Textonotapie"/>
        <w:tabs>
          <w:tab w:val="left" w:pos="709"/>
        </w:tabs>
        <w:spacing w:after="0"/>
        <w:rPr>
          <w:rFonts w:cs="Times New Roman"/>
          <w:b/>
          <w:lang w:val="pt-BR"/>
        </w:rPr>
      </w:pPr>
      <w:r w:rsidRPr="00D5464D">
        <w:rPr>
          <w:rStyle w:val="Refdenotaalpie"/>
          <w:lang w:val="es-ES_tradnl"/>
        </w:rPr>
        <w:footnoteRef/>
      </w:r>
      <w:r w:rsidRPr="00D5464D">
        <w:rPr>
          <w:i/>
          <w:lang w:val="pt-BR"/>
        </w:rPr>
        <w:t xml:space="preserve"> </w:t>
      </w:r>
      <w:r w:rsidRPr="00D5464D">
        <w:rPr>
          <w:i/>
          <w:lang w:val="pt-BR"/>
        </w:rPr>
        <w:tab/>
      </w:r>
      <w:r w:rsidRPr="00D5464D">
        <w:rPr>
          <w:rFonts w:cs="Times New Roman"/>
          <w:i/>
          <w:lang w:val="pt-BR"/>
        </w:rPr>
        <w:t xml:space="preserve">Cf. </w:t>
      </w:r>
      <w:r w:rsidRPr="00D5464D">
        <w:rPr>
          <w:rFonts w:cs="Verdana"/>
          <w:bCs/>
          <w:lang w:val="pt-BR"/>
        </w:rPr>
        <w:t xml:space="preserve">Corte IDH. </w:t>
      </w:r>
      <w:r w:rsidRPr="00D5464D">
        <w:rPr>
          <w:rFonts w:cs="Verdana"/>
          <w:bCs/>
          <w:i/>
          <w:lang w:val="pt-BR"/>
        </w:rPr>
        <w:t>Caso do "Massacre de Mapiripán" Vs. Colômbia</w:t>
      </w:r>
      <w:r w:rsidRPr="00D5464D">
        <w:rPr>
          <w:rFonts w:cs="Verdana"/>
          <w:bCs/>
          <w:lang w:val="pt-BR"/>
        </w:rPr>
        <w:t>. Sentença de 15 de setembro de 2005. Série C Nº 134, par. 180.</w:t>
      </w:r>
    </w:p>
  </w:footnote>
  <w:footnote w:id="582">
    <w:p w14:paraId="0ED5B318" w14:textId="77777777" w:rsidR="00F16338" w:rsidRPr="00D5464D" w:rsidRDefault="00F16338" w:rsidP="00F16338">
      <w:pPr>
        <w:pStyle w:val="Textonotapie"/>
        <w:tabs>
          <w:tab w:val="left" w:pos="709"/>
        </w:tabs>
        <w:spacing w:after="0"/>
        <w:rPr>
          <w:lang w:val="pt-BR"/>
        </w:rPr>
      </w:pPr>
    </w:p>
    <w:p w14:paraId="37446567" w14:textId="77777777" w:rsidR="00F16338" w:rsidRPr="00D5464D" w:rsidRDefault="00F16338" w:rsidP="00F16338">
      <w:pPr>
        <w:pStyle w:val="Textonotapie"/>
        <w:tabs>
          <w:tab w:val="left" w:pos="709"/>
        </w:tabs>
        <w:spacing w:after="0"/>
        <w:rPr>
          <w:lang w:val="pt-BR"/>
        </w:rPr>
      </w:pPr>
      <w:r w:rsidRPr="00D5464D">
        <w:rPr>
          <w:rStyle w:val="Refdenotaalpie"/>
          <w:lang w:val="es-ES_tradnl"/>
        </w:rPr>
        <w:footnoteRef/>
      </w:r>
      <w:r w:rsidRPr="00D5464D">
        <w:rPr>
          <w:rFonts w:cs="Times New Roman"/>
          <w:lang w:val="pt-BR"/>
        </w:rPr>
        <w:t xml:space="preserve"> </w:t>
      </w:r>
      <w:r w:rsidRPr="00D5464D">
        <w:rPr>
          <w:rFonts w:cs="Times New Roman"/>
          <w:lang w:val="pt-BR"/>
        </w:rPr>
        <w:tab/>
      </w:r>
      <w:r w:rsidRPr="00D5464D">
        <w:rPr>
          <w:rFonts w:cs="Verdana"/>
          <w:bCs/>
          <w:lang w:val="pt-BR"/>
        </w:rPr>
        <w:t xml:space="preserve">Corte IDH. </w:t>
      </w:r>
      <w:r w:rsidRPr="00D5464D">
        <w:rPr>
          <w:rFonts w:cs="Verdana"/>
          <w:bCs/>
          <w:i/>
          <w:lang w:val="pt-BR"/>
        </w:rPr>
        <w:t>Caso da Comunidade Indígena Sawhoyamaxa Vs. Paraguai. Mérito, Reparações e Custas.</w:t>
      </w:r>
      <w:r w:rsidRPr="00D5464D">
        <w:rPr>
          <w:rFonts w:cs="Verdana"/>
          <w:bCs/>
          <w:lang w:val="pt-BR"/>
        </w:rPr>
        <w:t xml:space="preserve"> Sentença de 29 de março de 2006. Série C Nº 146, par.</w:t>
      </w:r>
      <w:r w:rsidRPr="00D5464D">
        <w:rPr>
          <w:rFonts w:cs="Times New Roman"/>
          <w:lang w:val="pt-BR"/>
        </w:rPr>
        <w:t xml:space="preserve"> 154. </w:t>
      </w:r>
    </w:p>
  </w:footnote>
  <w:footnote w:id="583">
    <w:p w14:paraId="55F2F769" w14:textId="77777777" w:rsidR="00F16338" w:rsidRPr="00D5464D" w:rsidRDefault="00F16338" w:rsidP="00F16338">
      <w:pPr>
        <w:pStyle w:val="Textonotapie"/>
        <w:tabs>
          <w:tab w:val="left" w:pos="709"/>
        </w:tabs>
        <w:spacing w:after="0"/>
        <w:rPr>
          <w:lang w:val="pt-BR"/>
        </w:rPr>
      </w:pPr>
    </w:p>
    <w:p w14:paraId="650A4C90" w14:textId="77777777" w:rsidR="00F16338" w:rsidRPr="00D5464D" w:rsidRDefault="00F16338" w:rsidP="00F16338">
      <w:pPr>
        <w:pStyle w:val="Textonotapie"/>
        <w:tabs>
          <w:tab w:val="left" w:pos="709"/>
        </w:tabs>
        <w:spacing w:after="0"/>
        <w:rPr>
          <w:lang w:val="pt-BR"/>
        </w:rPr>
      </w:pPr>
      <w:r w:rsidRPr="00D5464D">
        <w:rPr>
          <w:rStyle w:val="Refdenotaalpie"/>
          <w:lang w:val="es-ES_tradnl"/>
        </w:rPr>
        <w:footnoteRef/>
      </w:r>
      <w:r w:rsidRPr="00D5464D">
        <w:rPr>
          <w:rFonts w:cs="Verdana"/>
          <w:bCs/>
          <w:lang w:val="pt-BR"/>
        </w:rPr>
        <w:t xml:space="preserve"> </w:t>
      </w:r>
      <w:r w:rsidRPr="00D5464D">
        <w:rPr>
          <w:rFonts w:cs="Verdana"/>
          <w:bCs/>
          <w:lang w:val="pt-BR"/>
        </w:rPr>
        <w:tab/>
        <w:t xml:space="preserve">Corte IDH. </w:t>
      </w:r>
      <w:r w:rsidRPr="00D5464D">
        <w:rPr>
          <w:rFonts w:cs="Verdana"/>
          <w:bCs/>
          <w:i/>
          <w:lang w:val="pt-BR"/>
        </w:rPr>
        <w:t>Caso Ximenes Lopes Vs. Brasil.</w:t>
      </w:r>
      <w:r w:rsidRPr="00D5464D">
        <w:rPr>
          <w:rFonts w:cs="Verdana"/>
          <w:bCs/>
          <w:lang w:val="pt-BR"/>
        </w:rPr>
        <w:t xml:space="preserve"> Sentença de 4 de julho de 2006. Série C Nº 149, par.</w:t>
      </w:r>
      <w:r w:rsidRPr="00D5464D">
        <w:rPr>
          <w:rFonts w:cs="Times New Roman"/>
          <w:lang w:val="pt-BR"/>
        </w:rPr>
        <w:t xml:space="preserve"> 104.</w:t>
      </w:r>
    </w:p>
    <w:p w14:paraId="57280CD9" w14:textId="77777777" w:rsidR="00F16338" w:rsidRPr="00D5464D" w:rsidRDefault="00F16338" w:rsidP="00F16338">
      <w:pPr>
        <w:pStyle w:val="Textonotapie"/>
        <w:tabs>
          <w:tab w:val="left" w:pos="709"/>
        </w:tabs>
        <w:spacing w:after="0"/>
        <w:rPr>
          <w:lang w:val="pt-BR"/>
        </w:rPr>
      </w:pPr>
    </w:p>
  </w:footnote>
  <w:footnote w:id="584">
    <w:p w14:paraId="3681C72F" w14:textId="77777777" w:rsidR="00F16338" w:rsidRPr="00D5464D" w:rsidRDefault="00F16338" w:rsidP="00F16338">
      <w:pPr>
        <w:pStyle w:val="Textonotapie"/>
        <w:tabs>
          <w:tab w:val="left" w:pos="709"/>
        </w:tabs>
        <w:spacing w:after="0"/>
        <w:rPr>
          <w:rFonts w:cs="Times New Roman"/>
          <w:lang w:val="pt-BR"/>
        </w:rPr>
      </w:pPr>
      <w:r w:rsidRPr="00D5464D">
        <w:rPr>
          <w:rStyle w:val="Refdenotaalpie"/>
          <w:lang w:val="es-ES_tradnl"/>
        </w:rPr>
        <w:footnoteRef/>
      </w:r>
      <w:r w:rsidRPr="00D5464D">
        <w:rPr>
          <w:lang w:val="pt-BR"/>
        </w:rPr>
        <w:t xml:space="preserve"> </w:t>
      </w:r>
      <w:r w:rsidRPr="00D5464D">
        <w:rPr>
          <w:lang w:val="pt-BR"/>
        </w:rPr>
        <w:tab/>
      </w:r>
      <w:r w:rsidRPr="00D5464D">
        <w:rPr>
          <w:rFonts w:cs="Verdana"/>
          <w:bCs/>
          <w:lang w:val="pt-BR"/>
        </w:rPr>
        <w:t xml:space="preserve">Corte IDH. </w:t>
      </w:r>
      <w:r w:rsidRPr="00D5464D">
        <w:rPr>
          <w:rFonts w:cs="Verdana"/>
          <w:bCs/>
          <w:i/>
          <w:lang w:val="pt-BR"/>
        </w:rPr>
        <w:t>Caso da Comunidade Indígena Xákmok Kásek Vs. Paraguai. Mérito, Reparações e Custas.</w:t>
      </w:r>
      <w:r w:rsidRPr="00D5464D">
        <w:rPr>
          <w:rFonts w:cs="Verdana"/>
          <w:bCs/>
          <w:lang w:val="pt-BR"/>
        </w:rPr>
        <w:t xml:space="preserve"> Sentença de 24 de agosto de 2010. Série C Nº 214, par. </w:t>
      </w:r>
      <w:r w:rsidRPr="00D5464D">
        <w:rPr>
          <w:rFonts w:cs="Times New Roman"/>
          <w:lang w:val="pt-BR"/>
        </w:rPr>
        <w:t xml:space="preserve">233. </w:t>
      </w:r>
    </w:p>
    <w:p w14:paraId="2BC3348F" w14:textId="77777777" w:rsidR="00F16338" w:rsidRPr="00D5464D" w:rsidRDefault="00F16338" w:rsidP="00F16338">
      <w:pPr>
        <w:pStyle w:val="Textonotapie"/>
        <w:tabs>
          <w:tab w:val="left" w:pos="709"/>
        </w:tabs>
        <w:spacing w:after="0"/>
        <w:rPr>
          <w:lang w:val="pt-BR"/>
        </w:rPr>
      </w:pPr>
    </w:p>
  </w:footnote>
  <w:footnote w:id="585">
    <w:p w14:paraId="7AC42DA8" w14:textId="77777777" w:rsidR="00F16338" w:rsidRPr="00D5464D" w:rsidRDefault="00F16338" w:rsidP="00F16338">
      <w:pPr>
        <w:pStyle w:val="Textonotapie"/>
        <w:tabs>
          <w:tab w:val="left" w:pos="709"/>
        </w:tabs>
        <w:spacing w:after="0"/>
        <w:rPr>
          <w:lang w:val="pt-BR"/>
        </w:rPr>
      </w:pPr>
      <w:r w:rsidRPr="00D5464D">
        <w:rPr>
          <w:rStyle w:val="Refdenotaalpie"/>
          <w:lang w:val="es-ES_tradnl"/>
        </w:rPr>
        <w:footnoteRef/>
      </w:r>
      <w:r w:rsidRPr="00D5464D">
        <w:rPr>
          <w:rFonts w:cs="Verdana"/>
          <w:bCs/>
          <w:lang w:val="pt-BR"/>
        </w:rPr>
        <w:tab/>
        <w:t>Corte IDH.</w:t>
      </w:r>
      <w:r w:rsidRPr="00D5464D">
        <w:rPr>
          <w:rFonts w:cs="Verdana"/>
          <w:bCs/>
          <w:i/>
          <w:lang w:val="pt-BR"/>
        </w:rPr>
        <w:t xml:space="preserve"> Caso Rosendo Cantú e outra Vs. México. Exceção Preliminar, Mérito, Reparações e Custas</w:t>
      </w:r>
      <w:r w:rsidRPr="00D5464D">
        <w:rPr>
          <w:rFonts w:cs="Verdana"/>
          <w:bCs/>
          <w:lang w:val="pt-BR"/>
        </w:rPr>
        <w:t xml:space="preserve">. Sentença de 31 de agosto de 2010. Série C Nº 216, par. </w:t>
      </w:r>
      <w:r w:rsidRPr="00D5464D">
        <w:rPr>
          <w:rFonts w:cs="Times New Roman"/>
          <w:lang w:val="pt-BR"/>
        </w:rPr>
        <w:t xml:space="preserve">201. </w:t>
      </w:r>
    </w:p>
  </w:footnote>
  <w:footnote w:id="586">
    <w:p w14:paraId="531892D2" w14:textId="77777777" w:rsidR="00F16338" w:rsidRPr="00D5464D" w:rsidRDefault="00F16338" w:rsidP="00F16338">
      <w:pPr>
        <w:pStyle w:val="Textonotapie"/>
        <w:tabs>
          <w:tab w:val="left" w:pos="709"/>
        </w:tabs>
        <w:spacing w:after="0"/>
        <w:rPr>
          <w:lang w:val="pt-BR"/>
        </w:rPr>
      </w:pPr>
    </w:p>
    <w:p w14:paraId="70C567D0" w14:textId="77777777" w:rsidR="00F16338" w:rsidRPr="00D5464D" w:rsidRDefault="00F16338" w:rsidP="00F16338">
      <w:pPr>
        <w:pStyle w:val="Textonotapie"/>
        <w:tabs>
          <w:tab w:val="left" w:pos="709"/>
        </w:tabs>
        <w:spacing w:after="0"/>
        <w:rPr>
          <w:lang w:val="pt-BR"/>
        </w:rPr>
      </w:pPr>
      <w:r w:rsidRPr="00D5464D">
        <w:rPr>
          <w:rStyle w:val="Refdenotaalpie"/>
          <w:lang w:val="es-ES_tradnl"/>
        </w:rPr>
        <w:footnoteRef/>
      </w:r>
      <w:r w:rsidRPr="00D5464D">
        <w:rPr>
          <w:rFonts w:cs="Times New Roman"/>
          <w:lang w:val="pt-BR"/>
        </w:rPr>
        <w:t xml:space="preserve"> </w:t>
      </w:r>
      <w:r w:rsidRPr="00D5464D">
        <w:rPr>
          <w:rFonts w:cs="Times New Roman"/>
          <w:lang w:val="pt-BR"/>
        </w:rPr>
        <w:tab/>
        <w:t xml:space="preserve">Corte IDH. </w:t>
      </w:r>
      <w:r w:rsidRPr="00D5464D">
        <w:rPr>
          <w:rFonts w:cs="Verdana"/>
          <w:bCs/>
          <w:lang w:val="pt-BR"/>
        </w:rPr>
        <w:t>C</w:t>
      </w:r>
      <w:r w:rsidRPr="00D5464D">
        <w:rPr>
          <w:rFonts w:cs="Verdana"/>
          <w:bCs/>
          <w:i/>
          <w:lang w:val="pt-BR"/>
        </w:rPr>
        <w:t>aso Furlan e familiares Vs. Argentina. Exceções Preliminares, Mérito, Reparações e Custas.</w:t>
      </w:r>
      <w:r w:rsidRPr="00D5464D">
        <w:rPr>
          <w:rFonts w:cs="Verdana"/>
          <w:bCs/>
          <w:lang w:val="pt-BR"/>
        </w:rPr>
        <w:t xml:space="preserve"> Sentença de 31 de agosto de 2012. Série C Nº 246, par.</w:t>
      </w:r>
      <w:r w:rsidRPr="00D5464D">
        <w:rPr>
          <w:rFonts w:cs="Times New Roman"/>
          <w:lang w:val="pt-BR"/>
        </w:rPr>
        <w:t xml:space="preserve"> 201. </w:t>
      </w:r>
    </w:p>
    <w:p w14:paraId="602C9B7C" w14:textId="77777777" w:rsidR="00F16338" w:rsidRPr="00D5464D" w:rsidRDefault="00F16338" w:rsidP="00F16338">
      <w:pPr>
        <w:pStyle w:val="Textonotapie"/>
        <w:tabs>
          <w:tab w:val="left" w:pos="709"/>
        </w:tabs>
        <w:spacing w:after="0"/>
        <w:rPr>
          <w:lang w:val="pt-BR"/>
        </w:rPr>
      </w:pPr>
    </w:p>
  </w:footnote>
  <w:footnote w:id="587">
    <w:p w14:paraId="2A55C6BB" w14:textId="77777777" w:rsidR="00F16338" w:rsidRPr="00D5464D" w:rsidRDefault="00F16338" w:rsidP="00F16338">
      <w:pPr>
        <w:pStyle w:val="Textonotapie"/>
        <w:tabs>
          <w:tab w:val="left" w:pos="709"/>
        </w:tabs>
        <w:spacing w:after="0"/>
        <w:rPr>
          <w:lang w:val="pt-BR"/>
        </w:rPr>
      </w:pPr>
      <w:r w:rsidRPr="00D5464D">
        <w:rPr>
          <w:rStyle w:val="Refdenotaalpie"/>
          <w:lang w:val="es-ES_tradnl"/>
        </w:rPr>
        <w:footnoteRef/>
      </w:r>
      <w:r w:rsidRPr="00D5464D">
        <w:rPr>
          <w:lang w:val="pt-BR"/>
        </w:rPr>
        <w:t xml:space="preserve"> </w:t>
      </w:r>
      <w:r w:rsidRPr="00D5464D">
        <w:rPr>
          <w:lang w:val="pt-BR"/>
        </w:rPr>
        <w:tab/>
      </w:r>
      <w:r w:rsidRPr="00D5464D">
        <w:rPr>
          <w:rFonts w:cs="Times New Roman"/>
          <w:lang w:val="pt-BR"/>
        </w:rPr>
        <w:t xml:space="preserve">Corte IDH. </w:t>
      </w:r>
      <w:r w:rsidRPr="00D5464D">
        <w:rPr>
          <w:rFonts w:cs="Verdana"/>
          <w:bCs/>
          <w:i/>
          <w:lang w:val="pt-BR"/>
        </w:rPr>
        <w:t xml:space="preserve">Caso Furlan e familiares Vs. Argentina. Exceções Preliminares, Mérito, Reparações e Custas. </w:t>
      </w:r>
      <w:r w:rsidRPr="00D5464D">
        <w:rPr>
          <w:rFonts w:cs="Verdana"/>
          <w:bCs/>
          <w:lang w:val="pt-BR"/>
        </w:rPr>
        <w:t>Sentença de 31 de agosto de 2012. Série C Nº 246, par.</w:t>
      </w:r>
      <w:r w:rsidRPr="00D5464D">
        <w:rPr>
          <w:rFonts w:cs="Times New Roman"/>
          <w:lang w:val="pt-BR"/>
        </w:rPr>
        <w:t xml:space="preserve"> </w:t>
      </w:r>
      <w:r w:rsidRPr="00D5464D">
        <w:rPr>
          <w:lang w:val="pt-BR"/>
        </w:rPr>
        <w:t>243.</w:t>
      </w:r>
    </w:p>
    <w:p w14:paraId="37B5AFE1" w14:textId="77777777" w:rsidR="00F16338" w:rsidRPr="00D5464D" w:rsidRDefault="00F16338" w:rsidP="00F16338">
      <w:pPr>
        <w:pStyle w:val="Textonotapie"/>
        <w:tabs>
          <w:tab w:val="left" w:pos="709"/>
        </w:tabs>
        <w:spacing w:after="0"/>
        <w:rPr>
          <w:lang w:val="pt-BR"/>
        </w:rPr>
      </w:pPr>
    </w:p>
  </w:footnote>
  <w:footnote w:id="588">
    <w:p w14:paraId="50290A34" w14:textId="77777777" w:rsidR="00F16338" w:rsidRPr="00D5464D" w:rsidRDefault="00F16338" w:rsidP="00F16338">
      <w:pPr>
        <w:pStyle w:val="Textonotapie"/>
        <w:tabs>
          <w:tab w:val="left" w:pos="709"/>
        </w:tabs>
        <w:spacing w:after="0"/>
        <w:rPr>
          <w:lang w:val="pt-BR"/>
        </w:rPr>
      </w:pPr>
      <w:r w:rsidRPr="00D5464D">
        <w:rPr>
          <w:rStyle w:val="Refdenotaalpie"/>
          <w:lang w:val="es-ES_tradnl"/>
        </w:rPr>
        <w:footnoteRef/>
      </w:r>
      <w:r w:rsidRPr="00D5464D">
        <w:rPr>
          <w:lang w:val="pt-BR"/>
        </w:rPr>
        <w:t xml:space="preserve"> </w:t>
      </w:r>
      <w:r w:rsidRPr="00D5464D">
        <w:rPr>
          <w:rFonts w:cs="Times New Roman"/>
          <w:lang w:val="pt-BR"/>
        </w:rPr>
        <w:tab/>
      </w:r>
      <w:r w:rsidRPr="00D5464D">
        <w:rPr>
          <w:rFonts w:cs="Verdana"/>
          <w:bCs/>
          <w:lang w:val="pt-BR"/>
        </w:rPr>
        <w:t xml:space="preserve">Corte IDH. </w:t>
      </w:r>
      <w:r w:rsidRPr="00D5464D">
        <w:rPr>
          <w:rFonts w:cs="Verdana"/>
          <w:bCs/>
          <w:i/>
          <w:lang w:val="pt-BR"/>
        </w:rPr>
        <w:t>Caso Uzcátegui e outros Vs. Venezuela. Mérito e Reparações</w:t>
      </w:r>
      <w:r w:rsidRPr="00D5464D">
        <w:rPr>
          <w:rFonts w:cs="Verdana"/>
          <w:bCs/>
          <w:lang w:val="pt-BR"/>
        </w:rPr>
        <w:t xml:space="preserve">. Sentença de 3 de setembro de 2012. Série C Nº 249, par. </w:t>
      </w:r>
      <w:r w:rsidRPr="00D5464D">
        <w:rPr>
          <w:rFonts w:cs="Times New Roman"/>
          <w:lang w:val="pt-BR"/>
        </w:rPr>
        <w:t>204.</w:t>
      </w:r>
    </w:p>
  </w:footnote>
  <w:footnote w:id="589">
    <w:p w14:paraId="517940F6" w14:textId="77777777" w:rsidR="00F16338" w:rsidRPr="00D5464D" w:rsidRDefault="00F16338" w:rsidP="00F16338">
      <w:pPr>
        <w:pStyle w:val="Textonotapie"/>
        <w:tabs>
          <w:tab w:val="left" w:pos="709"/>
        </w:tabs>
        <w:spacing w:after="0"/>
        <w:rPr>
          <w:lang w:val="pt-BR"/>
        </w:rPr>
      </w:pPr>
    </w:p>
    <w:p w14:paraId="33BDEF91" w14:textId="77777777" w:rsidR="00F16338" w:rsidRPr="00D5464D" w:rsidRDefault="00F16338" w:rsidP="00F16338">
      <w:pPr>
        <w:pStyle w:val="Textonotapie"/>
        <w:tabs>
          <w:tab w:val="left" w:pos="709"/>
        </w:tabs>
        <w:spacing w:after="0"/>
        <w:rPr>
          <w:rFonts w:cs="Times New Roman"/>
          <w:lang w:val="pt-BR"/>
        </w:rPr>
      </w:pPr>
      <w:r w:rsidRPr="00D5464D">
        <w:rPr>
          <w:rStyle w:val="Refdenotaalpie"/>
          <w:lang w:val="es-ES_tradnl"/>
        </w:rPr>
        <w:footnoteRef/>
      </w:r>
      <w:r w:rsidRPr="00D5464D">
        <w:rPr>
          <w:lang w:val="pt-BR"/>
        </w:rPr>
        <w:t xml:space="preserve"> </w:t>
      </w:r>
      <w:r w:rsidRPr="00D5464D">
        <w:rPr>
          <w:lang w:val="pt-BR"/>
        </w:rPr>
        <w:tab/>
      </w:r>
      <w:r w:rsidRPr="00D5464D">
        <w:rPr>
          <w:rFonts w:cs="Times New Roman"/>
          <w:i/>
          <w:lang w:val="pt-BR"/>
        </w:rPr>
        <w:t xml:space="preserve">Cf. </w:t>
      </w:r>
      <w:r w:rsidRPr="00D5464D">
        <w:rPr>
          <w:rFonts w:cs="Verdana"/>
          <w:bCs/>
          <w:lang w:val="pt-BR"/>
        </w:rPr>
        <w:t xml:space="preserve">Corte IDH. </w:t>
      </w:r>
      <w:r w:rsidRPr="00D5464D">
        <w:rPr>
          <w:rFonts w:cs="Verdana"/>
          <w:bCs/>
          <w:i/>
          <w:lang w:val="pt-BR"/>
        </w:rPr>
        <w:t>Caso do Massacre de Santo Domingo Vs. Colômbia. Exceções Preliminares, Mérito e Reparações.</w:t>
      </w:r>
      <w:r w:rsidRPr="00D5464D">
        <w:rPr>
          <w:rFonts w:cs="Verdana"/>
          <w:bCs/>
          <w:lang w:val="pt-BR"/>
        </w:rPr>
        <w:t xml:space="preserve"> Sentença de 30 de novembro de 2012. Série C Nº 259, par.</w:t>
      </w:r>
      <w:r w:rsidRPr="00D5464D">
        <w:rPr>
          <w:rFonts w:cs="Times New Roman"/>
          <w:lang w:val="pt-BR"/>
        </w:rPr>
        <w:t xml:space="preserve"> 273.  </w:t>
      </w:r>
    </w:p>
    <w:p w14:paraId="189C4B1F" w14:textId="77777777" w:rsidR="00F16338" w:rsidRPr="00D5464D" w:rsidRDefault="00F16338" w:rsidP="00F16338">
      <w:pPr>
        <w:pStyle w:val="Textonotapie"/>
        <w:tabs>
          <w:tab w:val="left" w:pos="709"/>
        </w:tabs>
        <w:spacing w:after="0"/>
        <w:rPr>
          <w:lang w:val="pt-BR"/>
        </w:rPr>
      </w:pPr>
    </w:p>
  </w:footnote>
  <w:footnote w:id="590">
    <w:p w14:paraId="3EFA95A4" w14:textId="77777777" w:rsidR="00F16338" w:rsidRPr="00D5464D" w:rsidRDefault="00F16338" w:rsidP="00F16338">
      <w:pPr>
        <w:pStyle w:val="Prrafodelista"/>
        <w:tabs>
          <w:tab w:val="left" w:pos="709"/>
        </w:tabs>
        <w:ind w:left="0"/>
        <w:rPr>
          <w:rFonts w:cs="Times New Roman"/>
          <w:i/>
          <w:sz w:val="16"/>
          <w:szCs w:val="16"/>
          <w:lang w:val="pt-BR"/>
        </w:rPr>
      </w:pPr>
      <w:r w:rsidRPr="00D5464D">
        <w:rPr>
          <w:rStyle w:val="Refdenotaalpie"/>
          <w:sz w:val="16"/>
          <w:szCs w:val="16"/>
          <w:lang w:val="es-ES_tradnl"/>
        </w:rPr>
        <w:footnoteRef/>
      </w:r>
      <w:r w:rsidRPr="00D5464D">
        <w:rPr>
          <w:sz w:val="16"/>
          <w:szCs w:val="16"/>
          <w:lang w:val="pt-BR"/>
        </w:rPr>
        <w:t xml:space="preserve"> </w:t>
      </w:r>
      <w:r w:rsidRPr="00D5464D">
        <w:rPr>
          <w:sz w:val="16"/>
          <w:szCs w:val="16"/>
          <w:lang w:val="pt-BR"/>
        </w:rPr>
        <w:tab/>
      </w:r>
      <w:r w:rsidRPr="00D5464D">
        <w:rPr>
          <w:rFonts w:cs="Verdana"/>
          <w:bCs/>
          <w:sz w:val="16"/>
          <w:szCs w:val="16"/>
          <w:lang w:val="pt-BR"/>
        </w:rPr>
        <w:t xml:space="preserve">Corte IDH. </w:t>
      </w:r>
      <w:r w:rsidRPr="00D5464D">
        <w:rPr>
          <w:rFonts w:cs="Verdana"/>
          <w:bCs/>
          <w:i/>
          <w:sz w:val="16"/>
          <w:szCs w:val="16"/>
          <w:lang w:val="pt-BR"/>
        </w:rPr>
        <w:t>Caso do Massacre de Santo Domingo Vs. Colômbia. Exceções Preliminares, Mérito e Reparações.</w:t>
      </w:r>
      <w:r w:rsidRPr="00D5464D">
        <w:rPr>
          <w:rFonts w:cs="Verdana"/>
          <w:bCs/>
          <w:sz w:val="16"/>
          <w:szCs w:val="16"/>
          <w:lang w:val="pt-BR"/>
        </w:rPr>
        <w:t xml:space="preserve"> Sentença de 30 de novembro de 2012. Série C Nº 259, par.</w:t>
      </w:r>
      <w:r w:rsidRPr="00D5464D">
        <w:rPr>
          <w:rFonts w:cs="Times New Roman"/>
          <w:sz w:val="16"/>
          <w:szCs w:val="16"/>
          <w:lang w:val="pt-BR"/>
        </w:rPr>
        <w:t xml:space="preserve"> 274.</w:t>
      </w:r>
    </w:p>
    <w:p w14:paraId="2E4B82F4" w14:textId="77777777" w:rsidR="00F16338" w:rsidRPr="00D5464D" w:rsidRDefault="00F16338" w:rsidP="00F16338">
      <w:pPr>
        <w:pStyle w:val="Textonotapie"/>
        <w:tabs>
          <w:tab w:val="left" w:pos="709"/>
        </w:tabs>
        <w:spacing w:after="0"/>
        <w:rPr>
          <w:lang w:val="pt-BR"/>
        </w:rPr>
      </w:pPr>
    </w:p>
  </w:footnote>
  <w:footnote w:id="591">
    <w:p w14:paraId="21EBA455" w14:textId="77777777" w:rsidR="00F16338" w:rsidRPr="00D5464D" w:rsidRDefault="00F16338" w:rsidP="00F16338">
      <w:pPr>
        <w:pStyle w:val="Textonotapie"/>
        <w:tabs>
          <w:tab w:val="left" w:pos="709"/>
        </w:tabs>
        <w:spacing w:after="0"/>
        <w:rPr>
          <w:lang w:val="pt-BR"/>
        </w:rPr>
      </w:pPr>
      <w:r w:rsidRPr="00D5464D">
        <w:rPr>
          <w:rStyle w:val="Refdenotaalpie"/>
          <w:lang w:val="es-ES_tradnl"/>
        </w:rPr>
        <w:footnoteRef/>
      </w:r>
      <w:r w:rsidRPr="00D5464D">
        <w:rPr>
          <w:lang w:val="pt-BR"/>
        </w:rPr>
        <w:t xml:space="preserve"> </w:t>
      </w:r>
      <w:r w:rsidRPr="00D5464D">
        <w:rPr>
          <w:lang w:val="pt-BR"/>
        </w:rPr>
        <w:tab/>
      </w:r>
      <w:r w:rsidRPr="00D5464D">
        <w:rPr>
          <w:rFonts w:cs="Verdana"/>
          <w:bCs/>
          <w:lang w:val="pt-BR"/>
        </w:rPr>
        <w:t xml:space="preserve">Corte IDH. </w:t>
      </w:r>
      <w:r w:rsidRPr="00D5464D">
        <w:rPr>
          <w:rFonts w:cs="Verdana"/>
          <w:bCs/>
          <w:i/>
          <w:lang w:val="pt-BR"/>
        </w:rPr>
        <w:t>Caso Artavia Murillo e outros ("Fecundação in vitro") Vs. Costa Rica. Exceções Preliminares, Mérito, Reparações e Custas.</w:t>
      </w:r>
      <w:r w:rsidRPr="00D5464D">
        <w:rPr>
          <w:rFonts w:cs="Verdana"/>
          <w:bCs/>
          <w:lang w:val="pt-BR"/>
        </w:rPr>
        <w:t xml:space="preserve"> Sentença de 28 novembro de 2012. Série C Nº 257, par. </w:t>
      </w:r>
      <w:r w:rsidRPr="00D5464D">
        <w:rPr>
          <w:lang w:val="pt-BR"/>
        </w:rPr>
        <w:t>303.</w:t>
      </w:r>
    </w:p>
    <w:p w14:paraId="680C149D" w14:textId="77777777" w:rsidR="00F16338" w:rsidRPr="00D5464D" w:rsidRDefault="00F16338" w:rsidP="00F16338">
      <w:pPr>
        <w:pStyle w:val="Textonotapie"/>
        <w:tabs>
          <w:tab w:val="left" w:pos="709"/>
        </w:tabs>
        <w:spacing w:after="0"/>
        <w:rPr>
          <w:lang w:val="pt-BR"/>
        </w:rPr>
      </w:pPr>
    </w:p>
  </w:footnote>
  <w:footnote w:id="592">
    <w:p w14:paraId="327FACAB" w14:textId="77777777" w:rsidR="00F16338" w:rsidRPr="00D5464D" w:rsidRDefault="00F16338" w:rsidP="00F16338">
      <w:pPr>
        <w:pStyle w:val="Textonotapie"/>
        <w:tabs>
          <w:tab w:val="left" w:pos="709"/>
        </w:tabs>
        <w:spacing w:after="0"/>
        <w:rPr>
          <w:lang w:val="pt-BR"/>
        </w:rPr>
      </w:pPr>
      <w:r w:rsidRPr="00D5464D">
        <w:rPr>
          <w:rStyle w:val="Refdenotaalpie"/>
          <w:lang w:val="es-ES_tradnl"/>
        </w:rPr>
        <w:footnoteRef/>
      </w:r>
      <w:r w:rsidRPr="00D5464D">
        <w:rPr>
          <w:lang w:val="pt-BR"/>
        </w:rPr>
        <w:t xml:space="preserve"> </w:t>
      </w:r>
      <w:r w:rsidRPr="00D5464D">
        <w:rPr>
          <w:lang w:val="pt-BR"/>
        </w:rPr>
        <w:tab/>
      </w:r>
      <w:r w:rsidRPr="00D5464D">
        <w:rPr>
          <w:rFonts w:cs="Verdana"/>
          <w:bCs/>
          <w:lang w:val="pt-BR"/>
        </w:rPr>
        <w:t xml:space="preserve">Corte IDH. </w:t>
      </w:r>
      <w:r w:rsidRPr="00D5464D">
        <w:rPr>
          <w:rFonts w:cs="Verdana"/>
          <w:bCs/>
          <w:i/>
          <w:lang w:val="pt-BR"/>
        </w:rPr>
        <w:t>Caso Artavia Murillo e outros ("Fecundação in vitro") Vs. Costa Rica. Exceções Preliminares</w:t>
      </w:r>
      <w:r w:rsidRPr="00D5464D">
        <w:rPr>
          <w:rFonts w:cs="Verdana"/>
          <w:bCs/>
          <w:lang w:val="pt-BR"/>
        </w:rPr>
        <w:t xml:space="preserve">, </w:t>
      </w:r>
      <w:r w:rsidRPr="00D5464D">
        <w:rPr>
          <w:rFonts w:cs="Verdana"/>
          <w:bCs/>
          <w:i/>
          <w:lang w:val="pt-BR"/>
        </w:rPr>
        <w:t>Mérito, Reparações e Custas</w:t>
      </w:r>
      <w:r w:rsidRPr="00D5464D">
        <w:rPr>
          <w:rFonts w:cs="Verdana"/>
          <w:bCs/>
          <w:lang w:val="pt-BR"/>
        </w:rPr>
        <w:t xml:space="preserve"> Sentença de 28 novembro de 2012. Série C Nº 257, par. 288 a 302. </w:t>
      </w:r>
    </w:p>
    <w:p w14:paraId="670FE998" w14:textId="77777777" w:rsidR="00F16338" w:rsidRPr="00D5464D" w:rsidRDefault="00F16338" w:rsidP="00F16338">
      <w:pPr>
        <w:pStyle w:val="Textonotapie"/>
        <w:tabs>
          <w:tab w:val="left" w:pos="709"/>
        </w:tabs>
        <w:spacing w:after="0"/>
        <w:rPr>
          <w:lang w:val="pt-BR"/>
        </w:rPr>
      </w:pPr>
    </w:p>
  </w:footnote>
  <w:footnote w:id="593">
    <w:p w14:paraId="68816560" w14:textId="77777777" w:rsidR="00F16338" w:rsidRPr="00D5464D" w:rsidRDefault="00F16338" w:rsidP="00F16338">
      <w:pPr>
        <w:pStyle w:val="Prrafodelista"/>
        <w:tabs>
          <w:tab w:val="left" w:pos="709"/>
        </w:tabs>
        <w:ind w:left="0"/>
        <w:rPr>
          <w:rFonts w:cs="Times New Roman"/>
          <w:i/>
          <w:sz w:val="16"/>
          <w:szCs w:val="16"/>
          <w:lang w:val="pt-BR"/>
        </w:rPr>
      </w:pPr>
      <w:r w:rsidRPr="00D5464D">
        <w:rPr>
          <w:rStyle w:val="Refdenotaalpie"/>
          <w:sz w:val="16"/>
          <w:szCs w:val="16"/>
          <w:lang w:val="es-ES_tradnl"/>
        </w:rPr>
        <w:footnoteRef/>
      </w:r>
      <w:r w:rsidRPr="00D5464D">
        <w:rPr>
          <w:sz w:val="16"/>
          <w:szCs w:val="16"/>
          <w:lang w:val="pt-BR"/>
        </w:rPr>
        <w:t xml:space="preserve"> </w:t>
      </w:r>
      <w:r w:rsidRPr="00D5464D">
        <w:rPr>
          <w:sz w:val="16"/>
          <w:szCs w:val="16"/>
          <w:lang w:val="pt-BR"/>
        </w:rPr>
        <w:tab/>
      </w:r>
      <w:r w:rsidRPr="00D5464D">
        <w:rPr>
          <w:rFonts w:cs="Verdana"/>
          <w:bCs/>
          <w:sz w:val="16"/>
          <w:szCs w:val="16"/>
          <w:lang w:val="pt-BR"/>
        </w:rPr>
        <w:t xml:space="preserve">Corte IDH. </w:t>
      </w:r>
      <w:r w:rsidRPr="00D5464D">
        <w:rPr>
          <w:rFonts w:cs="Verdana"/>
          <w:bCs/>
          <w:i/>
          <w:sz w:val="16"/>
          <w:szCs w:val="16"/>
          <w:lang w:val="pt-BR"/>
        </w:rPr>
        <w:t>Caso das Crianças Yean e Bosico Vs. República Dominicana</w:t>
      </w:r>
      <w:r w:rsidRPr="00D5464D">
        <w:rPr>
          <w:rFonts w:cs="Verdana"/>
          <w:bCs/>
          <w:sz w:val="16"/>
          <w:szCs w:val="16"/>
          <w:lang w:val="pt-BR"/>
        </w:rPr>
        <w:t xml:space="preserve">. Sentença de 8 de setembro de 2005. Série C Nº 130, par. </w:t>
      </w:r>
      <w:r w:rsidRPr="00D5464D">
        <w:rPr>
          <w:rFonts w:cs="Times New Roman"/>
          <w:sz w:val="16"/>
          <w:szCs w:val="16"/>
          <w:lang w:val="pt-BR"/>
        </w:rPr>
        <w:t xml:space="preserve">139 e </w:t>
      </w:r>
      <w:r w:rsidRPr="00D5464D">
        <w:rPr>
          <w:rFonts w:cs="Verdana"/>
          <w:bCs/>
          <w:i/>
          <w:sz w:val="16"/>
          <w:szCs w:val="16"/>
          <w:lang w:val="pt-BR"/>
        </w:rPr>
        <w:t>Caso das pessoas dominicanas e haitianas expulsas Vs. República Dominicana. Exceções Preliminares, Mérito, Reparações e Custas</w:t>
      </w:r>
      <w:r w:rsidRPr="00D5464D">
        <w:rPr>
          <w:rFonts w:cs="Verdana"/>
          <w:bCs/>
          <w:sz w:val="16"/>
          <w:szCs w:val="16"/>
          <w:lang w:val="pt-BR"/>
        </w:rPr>
        <w:t xml:space="preserve">. Sentença de 28 de agosto de 2014. Série C Nº 282, par. </w:t>
      </w:r>
      <w:r w:rsidRPr="00D5464D">
        <w:rPr>
          <w:rFonts w:cs="Times New Roman"/>
          <w:sz w:val="16"/>
          <w:szCs w:val="16"/>
          <w:lang w:val="pt-BR"/>
        </w:rPr>
        <w:t>158.</w:t>
      </w:r>
    </w:p>
    <w:p w14:paraId="471B0910" w14:textId="77777777" w:rsidR="00F16338" w:rsidRPr="00D5464D" w:rsidRDefault="00F16338" w:rsidP="00F16338">
      <w:pPr>
        <w:pStyle w:val="Textonotapie"/>
        <w:tabs>
          <w:tab w:val="left" w:pos="709"/>
        </w:tabs>
        <w:spacing w:after="0"/>
        <w:rPr>
          <w:lang w:val="pt-BR"/>
        </w:rPr>
      </w:pPr>
    </w:p>
  </w:footnote>
  <w:footnote w:id="594">
    <w:p w14:paraId="733787F2" w14:textId="77777777" w:rsidR="00F16338" w:rsidRPr="00D5464D" w:rsidRDefault="00F16338" w:rsidP="00F16338">
      <w:pPr>
        <w:pStyle w:val="Textonotapie"/>
        <w:tabs>
          <w:tab w:val="left" w:pos="709"/>
        </w:tabs>
        <w:rPr>
          <w:rFonts w:cs="Times New Roman"/>
          <w:lang w:val="pt-BR"/>
        </w:rPr>
      </w:pPr>
      <w:r w:rsidRPr="00D5464D">
        <w:rPr>
          <w:rStyle w:val="Refdenotaalpie"/>
          <w:lang w:val="es-ES_tradnl"/>
        </w:rPr>
        <w:footnoteRef/>
      </w:r>
      <w:r w:rsidRPr="00D5464D">
        <w:rPr>
          <w:lang w:val="pt-BR"/>
        </w:rPr>
        <w:t xml:space="preserve"> </w:t>
      </w:r>
      <w:r w:rsidRPr="00D5464D">
        <w:rPr>
          <w:lang w:val="pt-BR"/>
        </w:rPr>
        <w:tab/>
      </w:r>
      <w:r w:rsidRPr="00D5464D">
        <w:rPr>
          <w:rFonts w:cs="Verdana"/>
          <w:bCs/>
          <w:lang w:val="pt-BR"/>
        </w:rPr>
        <w:t xml:space="preserve">Corte IDH. </w:t>
      </w:r>
      <w:r w:rsidRPr="00D5464D">
        <w:rPr>
          <w:rFonts w:cs="Verdana"/>
          <w:bCs/>
          <w:i/>
          <w:lang w:val="pt-BR"/>
        </w:rPr>
        <w:t>Caso Gonzales Lluy e outros Vs. Equador. Exceções Preliminares, Mérito, Reparações e Custas</w:t>
      </w:r>
      <w:r w:rsidRPr="00D5464D">
        <w:rPr>
          <w:rFonts w:cs="Verdana"/>
          <w:bCs/>
          <w:lang w:val="pt-BR"/>
        </w:rPr>
        <w:t xml:space="preserve">. Sentença de 1º de setembro de 2015. Série C Nº 298, par. </w:t>
      </w:r>
      <w:r w:rsidRPr="00D5464D">
        <w:rPr>
          <w:rFonts w:cs="Times New Roman"/>
          <w:lang w:val="pt-BR"/>
        </w:rPr>
        <w:t>193.</w:t>
      </w:r>
    </w:p>
    <w:p w14:paraId="346746A7" w14:textId="77777777" w:rsidR="00F16338" w:rsidRPr="00D5464D" w:rsidRDefault="00F16338" w:rsidP="00F16338">
      <w:pPr>
        <w:pStyle w:val="Textonotapie"/>
        <w:tabs>
          <w:tab w:val="left" w:pos="709"/>
        </w:tabs>
        <w:rPr>
          <w:lang w:val="pt-BR"/>
        </w:rPr>
      </w:pPr>
    </w:p>
  </w:footnote>
  <w:footnote w:id="595">
    <w:p w14:paraId="790E322E" w14:textId="77777777" w:rsidR="00F16338" w:rsidRPr="00D5464D" w:rsidRDefault="00F16338" w:rsidP="00F16338">
      <w:pPr>
        <w:pStyle w:val="Textonotapie"/>
        <w:tabs>
          <w:tab w:val="left" w:pos="709"/>
        </w:tabs>
        <w:rPr>
          <w:lang w:val="pt-BR"/>
        </w:rPr>
      </w:pPr>
      <w:r w:rsidRPr="00D5464D">
        <w:rPr>
          <w:rStyle w:val="Refdenotaalpie"/>
          <w:lang w:val="es-ES_tradnl"/>
        </w:rPr>
        <w:footnoteRef/>
      </w:r>
      <w:r w:rsidRPr="00D5464D">
        <w:rPr>
          <w:lang w:val="pt-BR"/>
        </w:rPr>
        <w:t xml:space="preserve"> </w:t>
      </w:r>
      <w:r w:rsidRPr="00D5464D">
        <w:rPr>
          <w:lang w:val="pt-BR"/>
        </w:rPr>
        <w:tab/>
      </w:r>
      <w:r w:rsidRPr="00D5464D">
        <w:rPr>
          <w:rFonts w:cs="Verdana"/>
          <w:bCs/>
          <w:lang w:val="pt-BR"/>
        </w:rPr>
        <w:t xml:space="preserve">Corte IDH. </w:t>
      </w:r>
      <w:r w:rsidRPr="00D5464D">
        <w:rPr>
          <w:rFonts w:cs="Verdana"/>
          <w:bCs/>
          <w:i/>
          <w:lang w:val="pt-BR"/>
        </w:rPr>
        <w:t>Caso Gonzales Lluy e outros Vs. Equador. Exceções Preliminares, Mérito, Reparações e Custas</w:t>
      </w:r>
      <w:r w:rsidRPr="00D5464D">
        <w:rPr>
          <w:rFonts w:cs="Verdana"/>
          <w:bCs/>
          <w:lang w:val="pt-BR"/>
        </w:rPr>
        <w:t xml:space="preserve">. Sentença de 1º de setembro de 2015. Série C Nº 298, par. </w:t>
      </w:r>
      <w:r w:rsidRPr="00D5464D">
        <w:rPr>
          <w:rFonts w:cs="Times New Roman"/>
          <w:lang w:val="pt-BR"/>
        </w:rPr>
        <w:t>290.</w:t>
      </w:r>
    </w:p>
    <w:p w14:paraId="30A813C9" w14:textId="77777777" w:rsidR="00F16338" w:rsidRPr="00D5464D" w:rsidRDefault="00F16338" w:rsidP="00F16338">
      <w:pPr>
        <w:pStyle w:val="Textonotapie"/>
        <w:tabs>
          <w:tab w:val="left" w:pos="709"/>
        </w:tabs>
        <w:rPr>
          <w:lang w:val="pt-BR"/>
        </w:rPr>
      </w:pPr>
    </w:p>
  </w:footnote>
  <w:footnote w:id="596">
    <w:p w14:paraId="3B0BD046" w14:textId="77777777" w:rsidR="00F16338" w:rsidRPr="00D5464D" w:rsidRDefault="00F16338" w:rsidP="00F16338">
      <w:pPr>
        <w:pStyle w:val="Textonotapie"/>
        <w:tabs>
          <w:tab w:val="left" w:pos="709"/>
        </w:tabs>
        <w:rPr>
          <w:rFonts w:cs="Times New Roman"/>
          <w:lang w:val="pt-BR"/>
        </w:rPr>
      </w:pPr>
      <w:r w:rsidRPr="00D5464D">
        <w:rPr>
          <w:rStyle w:val="Refdenotaalpie"/>
          <w:lang w:val="es-ES_tradnl"/>
        </w:rPr>
        <w:footnoteRef/>
      </w:r>
      <w:r w:rsidRPr="00D5464D">
        <w:rPr>
          <w:lang w:val="pt-BR"/>
        </w:rPr>
        <w:t xml:space="preserve"> </w:t>
      </w:r>
      <w:r w:rsidRPr="00D5464D">
        <w:rPr>
          <w:lang w:val="pt-BR"/>
        </w:rPr>
        <w:tab/>
      </w:r>
      <w:r w:rsidRPr="00D5464D">
        <w:rPr>
          <w:rFonts w:cs="Verdana"/>
          <w:bCs/>
          <w:lang w:val="pt-BR"/>
        </w:rPr>
        <w:t xml:space="preserve">Corte IDH. </w:t>
      </w:r>
      <w:r w:rsidRPr="00D5464D">
        <w:rPr>
          <w:rFonts w:cs="Verdana"/>
          <w:bCs/>
          <w:i/>
          <w:lang w:val="pt-BR"/>
        </w:rPr>
        <w:t>Caso Gonzales Lluy e outros Vs. Equador. Exceções Preliminares, Mérito, Reparações e Custas</w:t>
      </w:r>
      <w:r w:rsidRPr="00D5464D">
        <w:rPr>
          <w:rFonts w:cs="Verdana"/>
          <w:bCs/>
          <w:lang w:val="pt-BR"/>
        </w:rPr>
        <w:t xml:space="preserve">. Sentença de 1º de setembro de 2015. Série C Nº 298, par. </w:t>
      </w:r>
      <w:r w:rsidRPr="00D5464D">
        <w:rPr>
          <w:rFonts w:cs="Times New Roman"/>
          <w:lang w:val="pt-BR"/>
        </w:rPr>
        <w:t xml:space="preserve">291. </w:t>
      </w:r>
    </w:p>
    <w:p w14:paraId="4F41E77E" w14:textId="77777777" w:rsidR="00F16338" w:rsidRPr="00D5464D" w:rsidRDefault="00F16338" w:rsidP="00F16338">
      <w:pPr>
        <w:pStyle w:val="Textonotapie"/>
        <w:tabs>
          <w:tab w:val="left" w:pos="709"/>
        </w:tabs>
        <w:rPr>
          <w:lang w:val="pt-BR"/>
        </w:rPr>
      </w:pPr>
    </w:p>
  </w:footnote>
  <w:footnote w:id="597">
    <w:p w14:paraId="2E5AB35A" w14:textId="77777777" w:rsidR="00F16338" w:rsidRPr="00D5464D" w:rsidRDefault="00F16338" w:rsidP="00F16338">
      <w:pPr>
        <w:pStyle w:val="Textonotapie"/>
        <w:tabs>
          <w:tab w:val="left" w:pos="709"/>
        </w:tabs>
        <w:spacing w:after="0"/>
        <w:rPr>
          <w:lang w:val="pt-BR"/>
        </w:rPr>
      </w:pPr>
      <w:r w:rsidRPr="00D5464D">
        <w:rPr>
          <w:rStyle w:val="Refdenotaalpie"/>
          <w:lang w:val="es-ES_tradnl"/>
        </w:rPr>
        <w:footnoteRef/>
      </w:r>
      <w:r w:rsidRPr="00D5464D">
        <w:rPr>
          <w:lang w:val="pt-BR"/>
        </w:rPr>
        <w:t xml:space="preserve"> </w:t>
      </w:r>
      <w:r w:rsidRPr="00D5464D">
        <w:rPr>
          <w:lang w:val="pt-BR"/>
        </w:rPr>
        <w:tab/>
        <w:t xml:space="preserve">Ver: </w:t>
      </w:r>
      <w:r w:rsidRPr="00D5464D">
        <w:rPr>
          <w:rFonts w:cs="Verdana"/>
          <w:bCs/>
          <w:lang w:val="pt-BR"/>
        </w:rPr>
        <w:t xml:space="preserve">Corte IDH. </w:t>
      </w:r>
      <w:r w:rsidRPr="00D5464D">
        <w:rPr>
          <w:rFonts w:cs="Verdana"/>
          <w:bCs/>
          <w:i/>
          <w:lang w:val="pt-BR"/>
        </w:rPr>
        <w:t>Caso Artavia Murillo e outros ("Fecundação in vitro") Vs. Costa Rica. Exceções Preliminares, Mérito, Reparações e Custas.</w:t>
      </w:r>
      <w:r w:rsidRPr="00D5464D">
        <w:rPr>
          <w:rFonts w:cs="Verdana"/>
          <w:bCs/>
          <w:lang w:val="pt-BR"/>
        </w:rPr>
        <w:t xml:space="preserve"> Sentença de 28 novembro de 2012. Série C Nº 257.</w:t>
      </w:r>
    </w:p>
  </w:footnote>
  <w:footnote w:id="598">
    <w:p w14:paraId="689F50B8" w14:textId="77777777" w:rsidR="00F16338" w:rsidRPr="00D5464D" w:rsidRDefault="00F16338" w:rsidP="00F16338">
      <w:pPr>
        <w:pStyle w:val="Textonotapie"/>
        <w:tabs>
          <w:tab w:val="left" w:pos="709"/>
        </w:tabs>
        <w:spacing w:after="0"/>
        <w:rPr>
          <w:lang w:val="pt-BR"/>
        </w:rPr>
      </w:pPr>
    </w:p>
    <w:p w14:paraId="42E8988E" w14:textId="77777777" w:rsidR="00F16338" w:rsidRPr="00D5464D" w:rsidRDefault="00F16338" w:rsidP="00F16338">
      <w:pPr>
        <w:pStyle w:val="Textonotapie"/>
        <w:tabs>
          <w:tab w:val="left" w:pos="709"/>
        </w:tabs>
        <w:spacing w:after="0"/>
        <w:rPr>
          <w:lang w:val="pt-BR"/>
        </w:rPr>
      </w:pPr>
      <w:r w:rsidRPr="00D5464D">
        <w:rPr>
          <w:rStyle w:val="Refdenotaalpie"/>
          <w:lang w:val="es-ES_tradnl"/>
        </w:rPr>
        <w:footnoteRef/>
      </w:r>
      <w:r w:rsidRPr="00D5464D">
        <w:rPr>
          <w:lang w:val="pt-BR"/>
        </w:rPr>
        <w:t xml:space="preserve"> </w:t>
      </w:r>
      <w:r w:rsidRPr="00D5464D">
        <w:rPr>
          <w:lang w:val="pt-BR"/>
        </w:rPr>
        <w:tab/>
        <w:t xml:space="preserve">Ver: </w:t>
      </w:r>
      <w:r w:rsidRPr="00D5464D">
        <w:rPr>
          <w:rFonts w:cs="Verdana"/>
          <w:bCs/>
          <w:lang w:val="pt-BR"/>
        </w:rPr>
        <w:t xml:space="preserve">Corte IDH. </w:t>
      </w:r>
      <w:r w:rsidRPr="00D5464D">
        <w:rPr>
          <w:rFonts w:cs="Verdana"/>
          <w:bCs/>
          <w:i/>
          <w:lang w:val="pt-BR"/>
        </w:rPr>
        <w:t>Caso Gonzales Lluy e outros Vs. Equador. Exceções Preliminares, Mérito, Reparações e Custas</w:t>
      </w:r>
      <w:r w:rsidRPr="00D5464D">
        <w:rPr>
          <w:rFonts w:cs="Verdana"/>
          <w:bCs/>
          <w:lang w:val="pt-BR"/>
        </w:rPr>
        <w:t>. Sentença de 1º de setembro de 2015. Série C Nº 298.</w:t>
      </w:r>
    </w:p>
  </w:footnote>
  <w:footnote w:id="599">
    <w:p w14:paraId="70316722" w14:textId="77777777" w:rsidR="00F16338" w:rsidRPr="00D5464D" w:rsidRDefault="00F16338" w:rsidP="00F16338">
      <w:pPr>
        <w:pStyle w:val="Textonotapie"/>
        <w:tabs>
          <w:tab w:val="left" w:pos="709"/>
        </w:tabs>
        <w:spacing w:after="0"/>
        <w:rPr>
          <w:lang w:val="pt-BR"/>
        </w:rPr>
      </w:pPr>
    </w:p>
    <w:p w14:paraId="324E849B" w14:textId="77777777" w:rsidR="00F16338" w:rsidRPr="00D5464D" w:rsidRDefault="00F16338" w:rsidP="00F16338">
      <w:pPr>
        <w:pStyle w:val="Textonotapie"/>
        <w:tabs>
          <w:tab w:val="left" w:pos="709"/>
        </w:tabs>
        <w:spacing w:after="0"/>
        <w:rPr>
          <w:rFonts w:cs="Times New Roman"/>
          <w:b/>
          <w:lang w:val="pt-BR"/>
        </w:rPr>
      </w:pPr>
      <w:r w:rsidRPr="00D5464D">
        <w:rPr>
          <w:rStyle w:val="Refdenotaalpie"/>
          <w:lang w:val="es-ES_tradnl"/>
        </w:rPr>
        <w:footnoteRef/>
      </w:r>
      <w:r w:rsidRPr="00D5464D">
        <w:rPr>
          <w:lang w:val="pt-BR"/>
        </w:rPr>
        <w:t xml:space="preserve"> </w:t>
      </w:r>
      <w:r w:rsidRPr="00D5464D">
        <w:rPr>
          <w:lang w:val="pt-BR"/>
        </w:rPr>
        <w:tab/>
        <w:t xml:space="preserve">Ver: </w:t>
      </w:r>
      <w:r w:rsidRPr="00D5464D">
        <w:rPr>
          <w:rFonts w:cs="Verdana"/>
          <w:bCs/>
          <w:lang w:val="pt-BR"/>
        </w:rPr>
        <w:t xml:space="preserve">Corte IDH. </w:t>
      </w:r>
      <w:r w:rsidRPr="00D5464D">
        <w:rPr>
          <w:rFonts w:cs="Verdana"/>
          <w:bCs/>
          <w:i/>
          <w:lang w:val="pt-BR"/>
        </w:rPr>
        <w:t>Caso Uzcátegui e outros Vs. Venezuela. Mérito e Reparações</w:t>
      </w:r>
      <w:r w:rsidRPr="00D5464D">
        <w:rPr>
          <w:rFonts w:cs="Verdana"/>
          <w:bCs/>
          <w:lang w:val="pt-BR"/>
        </w:rPr>
        <w:t xml:space="preserve">. Sentença de 3 de setembro de 2012. Série C Nº 249. </w:t>
      </w:r>
    </w:p>
    <w:p w14:paraId="0941EE87" w14:textId="77777777" w:rsidR="00F16338" w:rsidRPr="00D5464D" w:rsidRDefault="00F16338" w:rsidP="00F16338">
      <w:pPr>
        <w:pStyle w:val="Textonotapie"/>
        <w:tabs>
          <w:tab w:val="left" w:pos="709"/>
        </w:tabs>
        <w:spacing w:after="0"/>
        <w:rPr>
          <w:lang w:val="pt-BR"/>
        </w:rPr>
      </w:pPr>
    </w:p>
  </w:footnote>
  <w:footnote w:id="600">
    <w:p w14:paraId="416857B5" w14:textId="77777777" w:rsidR="00F16338" w:rsidRPr="00D5464D" w:rsidRDefault="00F16338" w:rsidP="00F16338">
      <w:pPr>
        <w:pStyle w:val="Textonotapie"/>
        <w:tabs>
          <w:tab w:val="left" w:pos="709"/>
        </w:tabs>
        <w:rPr>
          <w:lang w:val="pt-BR"/>
        </w:rPr>
      </w:pPr>
      <w:r w:rsidRPr="00D5464D">
        <w:rPr>
          <w:rStyle w:val="Refdenotaalpie"/>
          <w:lang w:val="es-ES_tradnl"/>
        </w:rPr>
        <w:footnoteRef/>
      </w:r>
      <w:r w:rsidRPr="00D5464D">
        <w:rPr>
          <w:lang w:val="pt-BR"/>
        </w:rPr>
        <w:t xml:space="preserve"> </w:t>
      </w:r>
      <w:r w:rsidRPr="00D5464D">
        <w:rPr>
          <w:lang w:val="pt-BR"/>
        </w:rPr>
        <w:tab/>
        <w:t xml:space="preserve">Corte IDH. </w:t>
      </w:r>
      <w:r w:rsidRPr="00D5464D">
        <w:rPr>
          <w:i/>
          <w:lang w:val="pt-BR"/>
        </w:rPr>
        <w:t xml:space="preserve">Caso Trabalhadores da Fazenda Brasil Verde Vs. Brasil. Exceções Preliminares, Mérito, Reparações e Custas. </w:t>
      </w:r>
      <w:r w:rsidRPr="00D5464D">
        <w:rPr>
          <w:lang w:val="pt-BR"/>
        </w:rPr>
        <w:t>Sentença de 20 de outubro de 2016, Série C Nº 318, par. 341.</w:t>
      </w:r>
    </w:p>
    <w:p w14:paraId="5AF98A1A" w14:textId="77777777" w:rsidR="00F16338" w:rsidRPr="00D5464D" w:rsidRDefault="00F16338" w:rsidP="00F16338">
      <w:pPr>
        <w:pStyle w:val="Textonotapie"/>
        <w:tabs>
          <w:tab w:val="left" w:pos="709"/>
        </w:tabs>
        <w:rPr>
          <w:lang w:val="pt-BR"/>
        </w:rPr>
      </w:pPr>
    </w:p>
  </w:footnote>
  <w:footnote w:id="601">
    <w:p w14:paraId="3233EEFF" w14:textId="77777777" w:rsidR="00F16338" w:rsidRPr="00D5464D" w:rsidRDefault="00F16338" w:rsidP="00F16338">
      <w:pPr>
        <w:pStyle w:val="Textonotapie"/>
        <w:tabs>
          <w:tab w:val="left" w:pos="709"/>
        </w:tabs>
        <w:spacing w:after="0"/>
        <w:rPr>
          <w:rFonts w:cs="Verdana"/>
          <w:bCs/>
          <w:lang w:val="pt-BR"/>
        </w:rPr>
      </w:pPr>
      <w:r w:rsidRPr="00D5464D">
        <w:rPr>
          <w:rStyle w:val="Refdenotaalpie"/>
          <w:lang w:val="es-ES_tradnl"/>
        </w:rPr>
        <w:footnoteRef/>
      </w:r>
      <w:r w:rsidRPr="00D5464D">
        <w:rPr>
          <w:rFonts w:cs="Times New Roman"/>
          <w:b/>
          <w:lang w:val="pt-BR"/>
        </w:rPr>
        <w:t xml:space="preserve"> </w:t>
      </w:r>
      <w:r w:rsidRPr="00D5464D">
        <w:rPr>
          <w:rFonts w:cs="Times New Roman"/>
          <w:b/>
          <w:lang w:val="pt-BR"/>
        </w:rPr>
        <w:tab/>
        <w:t xml:space="preserve"> </w:t>
      </w:r>
      <w:r w:rsidRPr="00D5464D">
        <w:rPr>
          <w:rFonts w:cs="Times New Roman"/>
          <w:lang w:val="pt-BR"/>
        </w:rPr>
        <w:t xml:space="preserve">Por exemplo, a Corte IDH afirmou que a redação do artigo 1.1 deixa abertos os critérios com a inclusão do termo “outra condição social” para incorporar, assim, outras categorias que não tenham sido explicitamente indicadas. Assim, a expressão “qualquer outra condição social” do artigo 1.1 da Convenção deve ser interpretada pela Corte, em consequência, na perspectiva da opção mais favorável à pessoa e da evolução dos direitos fundamentais no Direito Internacional contemporâneo. </w:t>
      </w:r>
      <w:r w:rsidRPr="00D5464D">
        <w:rPr>
          <w:rFonts w:cs="Times New Roman"/>
          <w:i/>
          <w:lang w:val="pt-BR"/>
        </w:rPr>
        <w:t xml:space="preserve">Cf. </w:t>
      </w:r>
      <w:r w:rsidRPr="00D5464D">
        <w:rPr>
          <w:rFonts w:cs="Verdana"/>
          <w:bCs/>
          <w:i/>
          <w:lang w:val="pt-BR"/>
        </w:rPr>
        <w:t>Caso Atala Riffo e crianças Vs. Chile. Mérito, Reparações e Custas</w:t>
      </w:r>
      <w:r w:rsidRPr="00D5464D">
        <w:rPr>
          <w:rFonts w:cs="Verdana"/>
          <w:bCs/>
          <w:lang w:val="pt-BR"/>
        </w:rPr>
        <w:t xml:space="preserve">. Sentença de 24 de fevereiro de 2012. Série C Nº 239, par. 85. </w:t>
      </w:r>
    </w:p>
    <w:p w14:paraId="0D648787" w14:textId="77777777" w:rsidR="00F16338" w:rsidRPr="00D5464D" w:rsidRDefault="00F16338" w:rsidP="00F16338">
      <w:pPr>
        <w:pStyle w:val="Textonotapie"/>
        <w:tabs>
          <w:tab w:val="left" w:pos="709"/>
        </w:tabs>
        <w:spacing w:after="0"/>
        <w:rPr>
          <w:lang w:val="pt-BR"/>
        </w:rPr>
      </w:pPr>
    </w:p>
  </w:footnote>
  <w:footnote w:id="602">
    <w:p w14:paraId="64B0062E" w14:textId="77777777" w:rsidR="00F16338" w:rsidRPr="00D5464D" w:rsidRDefault="00F16338" w:rsidP="00F16338">
      <w:pPr>
        <w:pStyle w:val="Prrafodelista"/>
        <w:tabs>
          <w:tab w:val="left" w:pos="709"/>
        </w:tabs>
        <w:ind w:left="0"/>
        <w:rPr>
          <w:rFonts w:cs="System Font Regular"/>
          <w:i/>
          <w:color w:val="16191F"/>
          <w:sz w:val="16"/>
          <w:szCs w:val="16"/>
          <w:lang w:val="pt-BR"/>
        </w:rPr>
      </w:pPr>
      <w:r w:rsidRPr="00D5464D">
        <w:rPr>
          <w:rStyle w:val="Refdenotaalpie"/>
          <w:sz w:val="16"/>
          <w:szCs w:val="16"/>
          <w:lang w:val="es-ES_tradnl"/>
        </w:rPr>
        <w:footnoteRef/>
      </w:r>
      <w:r w:rsidRPr="00D5464D">
        <w:rPr>
          <w:sz w:val="16"/>
          <w:szCs w:val="16"/>
          <w:lang w:val="pt-BR"/>
        </w:rPr>
        <w:t xml:space="preserve"> </w:t>
      </w:r>
      <w:r w:rsidRPr="00D5464D">
        <w:rPr>
          <w:sz w:val="16"/>
          <w:szCs w:val="16"/>
          <w:lang w:val="pt-BR"/>
        </w:rPr>
        <w:tab/>
        <w:t xml:space="preserve">Anteriormente, </w:t>
      </w:r>
      <w:r w:rsidRPr="00D5464D">
        <w:rPr>
          <w:rFonts w:cs="System Font Regular"/>
          <w:color w:val="16191F"/>
          <w:sz w:val="16"/>
          <w:szCs w:val="16"/>
          <w:lang w:val="pt-BR"/>
        </w:rPr>
        <w:t xml:space="preserve">a Corte havia ampliado o catálogo de categorias de proteção especial que se encontravam expressas no artigo 1.1 da Convenção Americana, aprovada em 1969. Assim, no </w:t>
      </w:r>
      <w:r w:rsidRPr="00D5464D">
        <w:rPr>
          <w:rFonts w:cs="System Font Regular"/>
          <w:i/>
          <w:color w:val="16191F"/>
          <w:sz w:val="16"/>
          <w:szCs w:val="16"/>
          <w:lang w:val="pt-BR"/>
        </w:rPr>
        <w:t xml:space="preserve">Parecer Consultivo nº 18, sobre a Condição Jurídica e Direitos dos Migrantes Indocumentados, </w:t>
      </w:r>
      <w:r w:rsidRPr="00D5464D">
        <w:rPr>
          <w:rFonts w:cs="System Font Regular"/>
          <w:color w:val="16191F"/>
          <w:sz w:val="16"/>
          <w:szCs w:val="16"/>
          <w:lang w:val="pt-BR"/>
        </w:rPr>
        <w:t>de</w:t>
      </w:r>
      <w:r w:rsidRPr="00D5464D">
        <w:rPr>
          <w:rFonts w:cs="System Font Regular"/>
          <w:i/>
          <w:color w:val="16191F"/>
          <w:sz w:val="16"/>
          <w:szCs w:val="16"/>
          <w:lang w:val="pt-BR"/>
        </w:rPr>
        <w:t xml:space="preserve"> 2</w:t>
      </w:r>
      <w:r w:rsidRPr="00D5464D">
        <w:rPr>
          <w:rFonts w:cs="System Font Regular"/>
          <w:color w:val="16191F"/>
          <w:sz w:val="16"/>
          <w:szCs w:val="16"/>
          <w:lang w:val="pt-BR"/>
        </w:rPr>
        <w:t>003, além da “</w:t>
      </w:r>
      <w:r w:rsidRPr="00D5464D">
        <w:rPr>
          <w:rFonts w:cs="Tahoma"/>
          <w:sz w:val="16"/>
          <w:szCs w:val="16"/>
          <w:lang w:val="pt-BR"/>
        </w:rPr>
        <w:t>raça, cor, sexo, idioma, religião, opiniões políticas ou de qualquer outra natureza, origem nacional ou social, posição econômica, nascimento ou qualquer outra condição social”, também considerou o “gênero, a idade, o patrimônio e o estado civil” como categorias –não expressas- de proteção especial à luz do artigo 1.1 da Convenção Americana</w:t>
      </w:r>
      <w:r w:rsidRPr="00D5464D">
        <w:rPr>
          <w:sz w:val="16"/>
          <w:szCs w:val="16"/>
          <w:lang w:val="pt-BR"/>
        </w:rPr>
        <w:t xml:space="preserve">. </w:t>
      </w:r>
      <w:r w:rsidRPr="00D5464D">
        <w:rPr>
          <w:i/>
          <w:sz w:val="16"/>
          <w:szCs w:val="16"/>
          <w:lang w:val="pt-BR"/>
        </w:rPr>
        <w:t xml:space="preserve">Cf. </w:t>
      </w:r>
      <w:r w:rsidRPr="00D5464D">
        <w:rPr>
          <w:rFonts w:cs="Verdana"/>
          <w:bCs/>
          <w:i/>
          <w:sz w:val="16"/>
          <w:szCs w:val="16"/>
          <w:lang w:val="pt-BR"/>
        </w:rPr>
        <w:t xml:space="preserve">Condição Jurídica e Direitos dos Migrantes Indocumentados. </w:t>
      </w:r>
      <w:r w:rsidRPr="00D5464D">
        <w:rPr>
          <w:rFonts w:cs="Verdana"/>
          <w:bCs/>
          <w:sz w:val="16"/>
          <w:szCs w:val="16"/>
          <w:lang w:val="pt-BR"/>
        </w:rPr>
        <w:t xml:space="preserve">Parecer Consultivo OC-18/03 de 17 de setembro de 2003. Série A Nº 18, </w:t>
      </w:r>
      <w:r w:rsidRPr="00D5464D">
        <w:rPr>
          <w:rFonts w:cs="Tahoma"/>
          <w:sz w:val="16"/>
          <w:szCs w:val="16"/>
          <w:lang w:val="pt-BR"/>
        </w:rPr>
        <w:t>par. 101.</w:t>
      </w:r>
    </w:p>
    <w:p w14:paraId="4FE9FF22" w14:textId="77777777" w:rsidR="00F16338" w:rsidRPr="00D5464D" w:rsidRDefault="00F16338" w:rsidP="00F16338">
      <w:pPr>
        <w:pStyle w:val="Textonotapie"/>
        <w:tabs>
          <w:tab w:val="left" w:pos="709"/>
        </w:tabs>
        <w:spacing w:after="0"/>
        <w:rPr>
          <w:lang w:val="pt-BR"/>
        </w:rPr>
      </w:pPr>
    </w:p>
  </w:footnote>
  <w:footnote w:id="603">
    <w:p w14:paraId="5EED8ED2" w14:textId="77777777" w:rsidR="00F16338" w:rsidRPr="00D5464D" w:rsidRDefault="00F16338" w:rsidP="00F16338">
      <w:pPr>
        <w:pStyle w:val="Textonotapie"/>
        <w:tabs>
          <w:tab w:val="left" w:pos="709"/>
        </w:tabs>
        <w:spacing w:after="0"/>
        <w:rPr>
          <w:rFonts w:cs="Verdana"/>
          <w:bCs/>
          <w:lang w:val="pt-BR"/>
        </w:rPr>
      </w:pPr>
      <w:r w:rsidRPr="00D5464D">
        <w:rPr>
          <w:rStyle w:val="Refdenotaalpie"/>
          <w:lang w:val="es-ES_tradnl"/>
        </w:rPr>
        <w:footnoteRef/>
      </w:r>
      <w:r w:rsidRPr="00D5464D">
        <w:rPr>
          <w:rFonts w:cs="Times New Roman"/>
          <w:lang w:val="pt-BR"/>
        </w:rPr>
        <w:tab/>
        <w:t>No caso</w:t>
      </w:r>
      <w:r w:rsidRPr="00D5464D">
        <w:rPr>
          <w:rFonts w:cs="Times New Roman"/>
          <w:i/>
          <w:lang w:val="pt-BR"/>
        </w:rPr>
        <w:t xml:space="preserve"> Atala Riffo e crianças Vs. Chile</w:t>
      </w:r>
      <w:r w:rsidRPr="00D5464D">
        <w:rPr>
          <w:rFonts w:cs="Times New Roman"/>
          <w:lang w:val="pt-BR"/>
        </w:rPr>
        <w:t xml:space="preserve">, a partir da cláusula </w:t>
      </w:r>
      <w:r w:rsidRPr="00D5464D">
        <w:rPr>
          <w:rFonts w:cs="Times New Roman"/>
          <w:i/>
          <w:lang w:val="pt-BR"/>
        </w:rPr>
        <w:t>“outra condição social”</w:t>
      </w:r>
      <w:r w:rsidRPr="00D5464D">
        <w:rPr>
          <w:rFonts w:cs="Times New Roman"/>
          <w:lang w:val="pt-BR"/>
        </w:rPr>
        <w:t xml:space="preserve">, levando em consideração as obrigações gerais de respeito e garantia estabelecidas no artigo 1.1 da Convenção Americana, os critérios de interpretação determinados no artigo 29 da esta Convenção, o estipulado na Convenção de Viena sobre o Direito dos Tratados, as Resoluções da Assembleia Geral da OEA, os padrões estabelecidos pelo Tribunal Europeu e por Organismos das Nações Unidas, a Corte Interamericana estabeleceu que a orientação sexual e a identidade de gênero das pessoas são categorias protegidas pela Convenção. Corte IDH. </w:t>
      </w:r>
      <w:r w:rsidRPr="00D5464D">
        <w:rPr>
          <w:rFonts w:cs="Verdana"/>
          <w:bCs/>
          <w:i/>
          <w:lang w:val="pt-BR"/>
        </w:rPr>
        <w:t>Caso Atala Riffo e crianças Vs. Chile. Mérito, Reparações e Custas</w:t>
      </w:r>
      <w:r w:rsidRPr="00D5464D">
        <w:rPr>
          <w:rFonts w:cs="Verdana"/>
          <w:bCs/>
          <w:lang w:val="pt-BR"/>
        </w:rPr>
        <w:t xml:space="preserve">. Sentença de 24 de fevereiro de 2012. Série C Nº 239, par. 91. </w:t>
      </w:r>
    </w:p>
    <w:p w14:paraId="5A8CF577" w14:textId="77777777" w:rsidR="00F16338" w:rsidRPr="00D5464D" w:rsidRDefault="00F16338" w:rsidP="00F16338">
      <w:pPr>
        <w:pStyle w:val="Textonotapie"/>
        <w:tabs>
          <w:tab w:val="left" w:pos="709"/>
        </w:tabs>
        <w:spacing w:after="0"/>
        <w:rPr>
          <w:lang w:val="pt-BR"/>
        </w:rPr>
      </w:pPr>
    </w:p>
  </w:footnote>
  <w:footnote w:id="604">
    <w:p w14:paraId="6CB1B4A3" w14:textId="77777777" w:rsidR="00F16338" w:rsidRPr="00D5464D" w:rsidRDefault="00F16338" w:rsidP="00F16338">
      <w:pPr>
        <w:pStyle w:val="Prrafodelista"/>
        <w:tabs>
          <w:tab w:val="left" w:pos="709"/>
        </w:tabs>
        <w:ind w:left="0"/>
        <w:rPr>
          <w:rFonts w:cs="Times New Roman"/>
          <w:b/>
          <w:sz w:val="16"/>
          <w:szCs w:val="16"/>
          <w:lang w:val="pt-BR"/>
        </w:rPr>
      </w:pPr>
      <w:r w:rsidRPr="00D5464D">
        <w:rPr>
          <w:rStyle w:val="Refdenotaalpie"/>
          <w:sz w:val="16"/>
          <w:szCs w:val="16"/>
          <w:lang w:val="es-ES_tradnl"/>
        </w:rPr>
        <w:footnoteRef/>
      </w:r>
      <w:r w:rsidRPr="00D5464D">
        <w:rPr>
          <w:sz w:val="16"/>
          <w:szCs w:val="16"/>
          <w:lang w:val="pt-BR"/>
        </w:rPr>
        <w:t xml:space="preserve"> </w:t>
      </w:r>
      <w:r w:rsidRPr="00D5464D">
        <w:rPr>
          <w:sz w:val="16"/>
          <w:szCs w:val="16"/>
          <w:lang w:val="pt-BR"/>
        </w:rPr>
        <w:tab/>
        <w:t xml:space="preserve">Nos casos </w:t>
      </w:r>
      <w:r w:rsidRPr="00D5464D">
        <w:rPr>
          <w:i/>
          <w:sz w:val="16"/>
          <w:szCs w:val="16"/>
          <w:lang w:val="pt-BR"/>
        </w:rPr>
        <w:t>Ximenes Lopes Vs. Brasil</w:t>
      </w:r>
      <w:r w:rsidRPr="00D5464D">
        <w:rPr>
          <w:sz w:val="16"/>
          <w:szCs w:val="16"/>
          <w:lang w:val="pt-BR"/>
        </w:rPr>
        <w:t xml:space="preserve">, </w:t>
      </w:r>
      <w:r w:rsidRPr="00D5464D">
        <w:rPr>
          <w:i/>
          <w:sz w:val="16"/>
          <w:szCs w:val="16"/>
          <w:lang w:val="pt-BR"/>
        </w:rPr>
        <w:t>Furlan e familiares Vs. Argentina</w:t>
      </w:r>
      <w:r w:rsidRPr="00D5464D">
        <w:rPr>
          <w:sz w:val="16"/>
          <w:szCs w:val="16"/>
          <w:lang w:val="pt-BR"/>
        </w:rPr>
        <w:t xml:space="preserve"> e </w:t>
      </w:r>
      <w:r w:rsidRPr="00D5464D">
        <w:rPr>
          <w:i/>
          <w:sz w:val="16"/>
          <w:szCs w:val="16"/>
          <w:lang w:val="pt-BR"/>
        </w:rPr>
        <w:t>Artavia Murillo e outros (Fecundação in Vitro) Vs. Costa Rica</w:t>
      </w:r>
      <w:r w:rsidRPr="00D5464D">
        <w:rPr>
          <w:sz w:val="16"/>
          <w:szCs w:val="16"/>
          <w:lang w:val="pt-BR"/>
        </w:rPr>
        <w:t>, sem fazer menção expressa à cláusula “outra condição social”, a Corte IDH considerou que as pessoas com deficiência são pessoas que merecem uma proteção especial por sua condição de vulnerabilidade dentro das disposições da Convenção.</w:t>
      </w:r>
      <w:r w:rsidRPr="00D5464D">
        <w:rPr>
          <w:b/>
          <w:sz w:val="16"/>
          <w:szCs w:val="16"/>
          <w:lang w:val="pt-BR"/>
        </w:rPr>
        <w:t xml:space="preserve"> </w:t>
      </w:r>
      <w:r w:rsidRPr="00D5464D">
        <w:rPr>
          <w:sz w:val="16"/>
          <w:szCs w:val="16"/>
          <w:lang w:val="pt-BR"/>
        </w:rPr>
        <w:t>Corte IDH.</w:t>
      </w:r>
      <w:r w:rsidRPr="00D5464D">
        <w:rPr>
          <w:b/>
          <w:sz w:val="16"/>
          <w:szCs w:val="16"/>
          <w:lang w:val="pt-BR"/>
        </w:rPr>
        <w:t xml:space="preserve"> </w:t>
      </w:r>
      <w:r w:rsidRPr="00D5464D">
        <w:rPr>
          <w:rFonts w:cs="Verdana"/>
          <w:bCs/>
          <w:i/>
          <w:sz w:val="16"/>
          <w:szCs w:val="16"/>
          <w:lang w:val="pt-BR"/>
        </w:rPr>
        <w:t>Caso Artavia Murillo e outros ("Fecundação in vitro") Vs. Costa Rica. Exceções Preliminares, Mérito, Reparações e Custas.</w:t>
      </w:r>
      <w:r w:rsidRPr="00D5464D">
        <w:rPr>
          <w:rFonts w:cs="Verdana"/>
          <w:bCs/>
          <w:sz w:val="16"/>
          <w:szCs w:val="16"/>
          <w:lang w:val="pt-BR"/>
        </w:rPr>
        <w:t xml:space="preserve"> Sentença de 28 novembro de 2012. Série C Nº 257, par. 292 e 285; </w:t>
      </w:r>
      <w:r w:rsidRPr="00D5464D">
        <w:rPr>
          <w:rFonts w:cs="Verdana"/>
          <w:bCs/>
          <w:i/>
          <w:sz w:val="16"/>
          <w:szCs w:val="16"/>
          <w:lang w:val="pt-BR"/>
        </w:rPr>
        <w:t>Caso Furlan e familiares Vs. Argentina. Exceções Preliminares, Mérito, Reparações e Custas</w:t>
      </w:r>
      <w:r w:rsidRPr="00D5464D">
        <w:rPr>
          <w:rFonts w:cs="Verdana"/>
          <w:bCs/>
          <w:sz w:val="16"/>
          <w:szCs w:val="16"/>
          <w:lang w:val="pt-BR"/>
        </w:rPr>
        <w:t xml:space="preserve">. Sentença de 31 de agosto de 2012. Série C Nº 246, par. 134; e </w:t>
      </w:r>
      <w:r w:rsidRPr="00D5464D">
        <w:rPr>
          <w:rFonts w:cs="Verdana"/>
          <w:bCs/>
          <w:i/>
          <w:sz w:val="16"/>
          <w:szCs w:val="16"/>
          <w:lang w:val="pt-BR"/>
        </w:rPr>
        <w:t>Caso Ximenes Lopes Vs. Brasil</w:t>
      </w:r>
      <w:r w:rsidRPr="00D5464D">
        <w:rPr>
          <w:rFonts w:cs="Verdana"/>
          <w:bCs/>
          <w:sz w:val="16"/>
          <w:szCs w:val="16"/>
          <w:lang w:val="pt-BR"/>
        </w:rPr>
        <w:t>. Sentença de 4 de julho de 2006. Série C Nº 149, par.</w:t>
      </w:r>
      <w:r w:rsidRPr="00D5464D">
        <w:rPr>
          <w:sz w:val="16"/>
          <w:szCs w:val="16"/>
          <w:lang w:val="pt-BR"/>
        </w:rPr>
        <w:t xml:space="preserve"> 103.</w:t>
      </w:r>
    </w:p>
    <w:p w14:paraId="786BCC52" w14:textId="77777777" w:rsidR="00F16338" w:rsidRPr="00D5464D" w:rsidRDefault="00F16338" w:rsidP="00F16338">
      <w:pPr>
        <w:pStyle w:val="Textonotapie"/>
        <w:tabs>
          <w:tab w:val="left" w:pos="709"/>
        </w:tabs>
        <w:spacing w:after="0"/>
        <w:rPr>
          <w:lang w:val="pt-BR"/>
        </w:rPr>
      </w:pPr>
    </w:p>
  </w:footnote>
  <w:footnote w:id="605">
    <w:p w14:paraId="5A8A5069" w14:textId="77777777" w:rsidR="00F16338" w:rsidRPr="00D5464D" w:rsidRDefault="00F16338" w:rsidP="00F16338">
      <w:pPr>
        <w:pStyle w:val="Textonotapie"/>
        <w:tabs>
          <w:tab w:val="left" w:pos="709"/>
        </w:tabs>
        <w:spacing w:after="0"/>
        <w:rPr>
          <w:i/>
          <w:lang w:val="pt-BR"/>
        </w:rPr>
      </w:pPr>
      <w:r w:rsidRPr="00D5464D">
        <w:rPr>
          <w:rStyle w:val="Refdenotaalpie"/>
          <w:lang w:val="es-ES_tradnl"/>
        </w:rPr>
        <w:footnoteRef/>
      </w:r>
      <w:r w:rsidRPr="00D5464D">
        <w:rPr>
          <w:lang w:val="pt-BR"/>
        </w:rPr>
        <w:t xml:space="preserve"> </w:t>
      </w:r>
      <w:r w:rsidRPr="00D5464D">
        <w:rPr>
          <w:lang w:val="pt-BR"/>
        </w:rPr>
        <w:tab/>
        <w:t xml:space="preserve">ONU, Relatório </w:t>
      </w:r>
      <w:r w:rsidRPr="00D5464D">
        <w:rPr>
          <w:i/>
          <w:lang w:val="pt-BR"/>
        </w:rPr>
        <w:t xml:space="preserve">da Relatora Especial sobre Pobreza Extrema e Direitos Humanos, </w:t>
      </w:r>
      <w:r w:rsidRPr="00D5464D">
        <w:rPr>
          <w:lang w:val="pt-BR"/>
        </w:rPr>
        <w:t xml:space="preserve">Magdalena Sepúlveda Carmona, 4 agosto de 2011, A/66/265, par. 18. </w:t>
      </w:r>
    </w:p>
  </w:footnote>
  <w:footnote w:id="606">
    <w:p w14:paraId="073BB845" w14:textId="77777777" w:rsidR="00F16338" w:rsidRPr="00D5464D" w:rsidRDefault="00F16338" w:rsidP="00F16338">
      <w:pPr>
        <w:pStyle w:val="Textonotapie"/>
        <w:tabs>
          <w:tab w:val="left" w:pos="709"/>
        </w:tabs>
        <w:spacing w:after="0"/>
        <w:rPr>
          <w:lang w:val="pt-BR"/>
        </w:rPr>
      </w:pPr>
    </w:p>
    <w:p w14:paraId="1918E6AA" w14:textId="77777777" w:rsidR="00F16338" w:rsidRPr="00D5464D" w:rsidRDefault="00F16338" w:rsidP="00F16338">
      <w:pPr>
        <w:pStyle w:val="Textonotapie"/>
        <w:tabs>
          <w:tab w:val="left" w:pos="709"/>
        </w:tabs>
        <w:spacing w:after="0"/>
        <w:rPr>
          <w:i/>
          <w:lang w:val="pt-BR"/>
        </w:rPr>
      </w:pPr>
      <w:r w:rsidRPr="00D5464D">
        <w:rPr>
          <w:rStyle w:val="Refdenotaalpie"/>
          <w:lang w:val="es-ES_tradnl"/>
        </w:rPr>
        <w:footnoteRef/>
      </w:r>
      <w:r w:rsidRPr="00D5464D">
        <w:rPr>
          <w:lang w:val="pt-BR"/>
        </w:rPr>
        <w:t xml:space="preserve"> </w:t>
      </w:r>
      <w:r w:rsidRPr="00D5464D">
        <w:rPr>
          <w:lang w:val="pt-BR"/>
        </w:rPr>
        <w:tab/>
        <w:t xml:space="preserve">ONU, Relatório </w:t>
      </w:r>
      <w:r w:rsidRPr="00D5464D">
        <w:rPr>
          <w:i/>
          <w:lang w:val="pt-BR"/>
        </w:rPr>
        <w:t xml:space="preserve">da Relatora Especial sobre Pobreza Extrema e Direitos Humanos, </w:t>
      </w:r>
      <w:r w:rsidRPr="00D5464D">
        <w:rPr>
          <w:lang w:val="pt-BR"/>
        </w:rPr>
        <w:t xml:space="preserve">Magdalena Sepúlveda Carmona, 4 agosto de 2011, A/66/265, nota de rodapé nº 7. </w:t>
      </w:r>
      <w:r w:rsidRPr="00D5464D">
        <w:rPr>
          <w:i/>
          <w:lang w:val="pt-BR"/>
        </w:rPr>
        <w:t xml:space="preserve"> </w:t>
      </w:r>
    </w:p>
    <w:p w14:paraId="6B55D90D" w14:textId="77777777" w:rsidR="00F16338" w:rsidRPr="00D5464D" w:rsidRDefault="00F16338" w:rsidP="00F16338">
      <w:pPr>
        <w:pStyle w:val="Textonotapie"/>
        <w:tabs>
          <w:tab w:val="left" w:pos="709"/>
        </w:tabs>
        <w:spacing w:after="0"/>
        <w:rPr>
          <w:lang w:val="pt-BR"/>
        </w:rPr>
      </w:pPr>
    </w:p>
  </w:footnote>
  <w:footnote w:id="607">
    <w:p w14:paraId="5774CAFF" w14:textId="77777777" w:rsidR="00F16338" w:rsidRPr="00D5464D" w:rsidRDefault="00F16338" w:rsidP="00F16338">
      <w:pPr>
        <w:pStyle w:val="Textonotapie"/>
        <w:tabs>
          <w:tab w:val="left" w:pos="709"/>
        </w:tabs>
        <w:spacing w:after="0"/>
        <w:rPr>
          <w:rFonts w:cs="Verdana"/>
          <w:b/>
          <w:bCs/>
          <w:lang w:val="pt-BR"/>
        </w:rPr>
      </w:pPr>
      <w:r w:rsidRPr="00D5464D">
        <w:rPr>
          <w:rStyle w:val="Refdenotaalpie"/>
          <w:lang w:val="es-ES_tradnl"/>
        </w:rPr>
        <w:footnoteRef/>
      </w:r>
      <w:r w:rsidRPr="00D5464D">
        <w:rPr>
          <w:lang w:val="pt-BR"/>
        </w:rPr>
        <w:t xml:space="preserve"> </w:t>
      </w:r>
      <w:r w:rsidRPr="00D5464D">
        <w:rPr>
          <w:i/>
          <w:lang w:val="pt-BR"/>
        </w:rPr>
        <w:tab/>
        <w:t xml:space="preserve">Cf. </w:t>
      </w:r>
      <w:r w:rsidRPr="00D5464D">
        <w:rPr>
          <w:lang w:val="pt-BR"/>
        </w:rPr>
        <w:t xml:space="preserve">Corte IDH. </w:t>
      </w:r>
      <w:r w:rsidRPr="00D5464D">
        <w:rPr>
          <w:rFonts w:cs="Verdana"/>
          <w:bCs/>
          <w:i/>
          <w:lang w:val="pt-BR"/>
        </w:rPr>
        <w:t>Caso Artavia Murillo e outros ("Fecundação in vitro") Vs. Costa Rica. Exceções Preliminares, Mérito, Reparações e Custas</w:t>
      </w:r>
      <w:r w:rsidRPr="00D5464D">
        <w:rPr>
          <w:rFonts w:cs="Verdana"/>
          <w:bCs/>
          <w:lang w:val="pt-BR"/>
        </w:rPr>
        <w:t>. Sentença de 28 novembro de 2012. Série C Nº 257, par.</w:t>
      </w:r>
      <w:r w:rsidRPr="00D5464D">
        <w:rPr>
          <w:lang w:val="pt-BR"/>
        </w:rPr>
        <w:t xml:space="preserve"> 292 e 285; </w:t>
      </w:r>
      <w:r w:rsidRPr="00D5464D">
        <w:rPr>
          <w:rFonts w:cs="Verdana"/>
          <w:bCs/>
          <w:i/>
          <w:lang w:val="pt-BR"/>
        </w:rPr>
        <w:t>Caso Furlan e familiares Vs. Argentina. Exceções Preliminares, Mérito, Reparações e Custas</w:t>
      </w:r>
      <w:r w:rsidRPr="00D5464D">
        <w:rPr>
          <w:rFonts w:cs="Verdana"/>
          <w:bCs/>
          <w:lang w:val="pt-BR"/>
        </w:rPr>
        <w:t>. Sentença de 31 de agosto de 2012. Série C Nº 246, par. 134</w:t>
      </w:r>
      <w:r w:rsidRPr="00D5464D">
        <w:rPr>
          <w:lang w:val="pt-BR"/>
        </w:rPr>
        <w:t xml:space="preserve">; </w:t>
      </w:r>
      <w:r w:rsidRPr="00D5464D">
        <w:rPr>
          <w:rFonts w:cs="Verdana"/>
          <w:bCs/>
          <w:i/>
          <w:lang w:val="pt-BR"/>
        </w:rPr>
        <w:t>Caso Povo Indígena Kichwa de Sarayaku Vs. Equador. Mérito e Reparações.</w:t>
      </w:r>
      <w:r w:rsidRPr="00D5464D">
        <w:rPr>
          <w:rFonts w:cs="Verdana"/>
          <w:bCs/>
          <w:lang w:val="pt-BR"/>
        </w:rPr>
        <w:t xml:space="preserve"> Sentença de 27 de junho de 2012. Série C Nº 245, par. 244</w:t>
      </w:r>
      <w:r w:rsidRPr="00D5464D">
        <w:rPr>
          <w:lang w:val="pt-BR"/>
        </w:rPr>
        <w:t>;</w:t>
      </w:r>
      <w:r w:rsidRPr="00D5464D">
        <w:rPr>
          <w:rFonts w:cs="Verdana"/>
          <w:bCs/>
          <w:lang w:val="pt-BR"/>
        </w:rPr>
        <w:t xml:space="preserve"> </w:t>
      </w:r>
      <w:r w:rsidRPr="00D5464D">
        <w:rPr>
          <w:rFonts w:cs="Verdana"/>
          <w:bCs/>
          <w:i/>
          <w:lang w:val="pt-BR"/>
        </w:rPr>
        <w:t>Caso Ximenes Lopes Vs. Brasil.</w:t>
      </w:r>
      <w:r w:rsidRPr="00D5464D">
        <w:rPr>
          <w:rFonts w:cs="Verdana"/>
          <w:bCs/>
          <w:lang w:val="pt-BR"/>
        </w:rPr>
        <w:t xml:space="preserve"> Sentença de 4 de julho de 2006. Série C Nº 149, par. 103; e</w:t>
      </w:r>
      <w:r w:rsidRPr="00D5464D">
        <w:rPr>
          <w:lang w:val="pt-BR"/>
        </w:rPr>
        <w:t xml:space="preserve"> </w:t>
      </w:r>
      <w:r w:rsidRPr="00D5464D">
        <w:rPr>
          <w:rFonts w:cs="Verdana"/>
          <w:bCs/>
          <w:i/>
          <w:lang w:val="pt-BR"/>
        </w:rPr>
        <w:t>Caso do “Massacre de Mapiripán" Vs. Colômbia</w:t>
      </w:r>
      <w:r w:rsidRPr="00D5464D">
        <w:rPr>
          <w:rFonts w:cs="Verdana"/>
          <w:bCs/>
          <w:lang w:val="pt-BR"/>
        </w:rPr>
        <w:t>. Sentença de 15 de setembro de 2005. Série C Nº 134, pars. 111 e 113.</w:t>
      </w:r>
      <w:r w:rsidRPr="00D5464D">
        <w:rPr>
          <w:rFonts w:cs="Verdana"/>
          <w:b/>
          <w:bCs/>
          <w:lang w:val="pt-BR"/>
        </w:rPr>
        <w:t xml:space="preserve"> </w:t>
      </w:r>
    </w:p>
    <w:p w14:paraId="369C7B78" w14:textId="77777777" w:rsidR="00F16338" w:rsidRPr="00D5464D" w:rsidRDefault="00F16338" w:rsidP="00F16338">
      <w:pPr>
        <w:pStyle w:val="Textonotapie"/>
        <w:tabs>
          <w:tab w:val="left" w:pos="709"/>
        </w:tabs>
        <w:spacing w:after="0"/>
        <w:rPr>
          <w:b/>
          <w:lang w:val="pt-BR"/>
        </w:rPr>
      </w:pPr>
      <w:r w:rsidRPr="00D5464D">
        <w:rPr>
          <w:lang w:val="pt-BR"/>
        </w:rPr>
        <w:tab/>
      </w:r>
    </w:p>
  </w:footnote>
  <w:footnote w:id="608">
    <w:p w14:paraId="2C397479" w14:textId="77777777" w:rsidR="00F16338" w:rsidRPr="00D5464D" w:rsidRDefault="00F16338" w:rsidP="00F16338">
      <w:pPr>
        <w:widowControl w:val="0"/>
        <w:tabs>
          <w:tab w:val="left" w:pos="709"/>
        </w:tabs>
        <w:autoSpaceDE w:val="0"/>
        <w:autoSpaceDN w:val="0"/>
        <w:adjustRightInd w:val="0"/>
        <w:jc w:val="both"/>
        <w:rPr>
          <w:rFonts w:cs="Times New Roman"/>
          <w:b/>
          <w:sz w:val="16"/>
          <w:szCs w:val="16"/>
          <w:lang w:val="pt-BR"/>
        </w:rPr>
      </w:pPr>
      <w:r w:rsidRPr="00D5464D">
        <w:rPr>
          <w:rStyle w:val="Refdenotaalpie"/>
          <w:sz w:val="16"/>
          <w:szCs w:val="16"/>
        </w:rPr>
        <w:footnoteRef/>
      </w:r>
      <w:r w:rsidRPr="00D5464D">
        <w:rPr>
          <w:sz w:val="16"/>
          <w:szCs w:val="16"/>
          <w:lang w:val="pt-BR"/>
        </w:rPr>
        <w:t xml:space="preserve"> </w:t>
      </w:r>
      <w:r w:rsidRPr="00D5464D">
        <w:rPr>
          <w:sz w:val="16"/>
          <w:szCs w:val="16"/>
          <w:lang w:val="pt-BR"/>
        </w:rPr>
        <w:tab/>
      </w:r>
      <w:r w:rsidRPr="00D5464D">
        <w:rPr>
          <w:i/>
          <w:sz w:val="16"/>
          <w:szCs w:val="16"/>
          <w:lang w:val="pt-BR"/>
        </w:rPr>
        <w:t xml:space="preserve"> Cf. </w:t>
      </w:r>
      <w:r w:rsidRPr="00D5464D">
        <w:rPr>
          <w:sz w:val="16"/>
          <w:szCs w:val="16"/>
          <w:lang w:val="pt-BR"/>
        </w:rPr>
        <w:t xml:space="preserve">Corte IDH. </w:t>
      </w:r>
      <w:r w:rsidRPr="00D5464D">
        <w:rPr>
          <w:rFonts w:cs="Verdana"/>
          <w:bCs/>
          <w:i/>
          <w:sz w:val="16"/>
          <w:szCs w:val="16"/>
          <w:lang w:val="pt-BR"/>
        </w:rPr>
        <w:t>Caso da Comunidade Indígena Sawhoyamaxa Vs. Paraguai. Mérito, Reparações e Custas</w:t>
      </w:r>
      <w:r w:rsidRPr="00D5464D">
        <w:rPr>
          <w:rFonts w:cs="Verdana"/>
          <w:bCs/>
          <w:sz w:val="16"/>
          <w:szCs w:val="16"/>
          <w:lang w:val="pt-BR"/>
        </w:rPr>
        <w:t>. Sentença de 29 de março de 2006. Série C Nº 146, par. 154. Em um sentido, a Corte também expressou que</w:t>
      </w:r>
      <w:r w:rsidRPr="00D5464D">
        <w:rPr>
          <w:rFonts w:cs="Times New Roman"/>
          <w:sz w:val="16"/>
          <w:szCs w:val="16"/>
          <w:lang w:val="pt-BR"/>
        </w:rPr>
        <w:t xml:space="preserve"> “os Estados devem levar em conta que os grupos de indivíduos que vivem em circunstâncias adversas e com menos recursos, tais como as pessoas em condição de pobreza extrema, as crianças e adolescentes em situação de risco e as populações indígenas, enfrentam um aumento do risco de padecer de deficiências mentais […]. É direto e significativo o vínculo existente entre a deficiência, por um lado, e a pobreza e a exclusão social, por outro. Entre as medidas positivas a cargo dos Estados encontram-se, pelas razões expostas, as necessárias para evitar todas as formas de deficiência que possam ser prevenidas e estender às pessoas que padeçam de deficiências mentais o tratamento preferencial apropriado a sua condição”. </w:t>
      </w:r>
      <w:r w:rsidRPr="00D5464D">
        <w:rPr>
          <w:rFonts w:cs="Verdana"/>
          <w:bCs/>
          <w:i/>
          <w:sz w:val="16"/>
          <w:szCs w:val="16"/>
          <w:lang w:val="pt-BR"/>
        </w:rPr>
        <w:t>Caso Ximenes Lopes Vs. Brasil</w:t>
      </w:r>
      <w:r w:rsidRPr="00D5464D">
        <w:rPr>
          <w:rFonts w:cs="Verdana"/>
          <w:bCs/>
          <w:sz w:val="16"/>
          <w:szCs w:val="16"/>
          <w:lang w:val="pt-BR"/>
        </w:rPr>
        <w:t>. Sentença de 4 de julho de 2006. Série C Nº 149, par. 104</w:t>
      </w:r>
      <w:r w:rsidRPr="00D5464D">
        <w:rPr>
          <w:rFonts w:cs="Times New Roman"/>
          <w:sz w:val="16"/>
          <w:szCs w:val="16"/>
          <w:lang w:val="pt-BR"/>
        </w:rPr>
        <w:t xml:space="preserve">. No </w:t>
      </w:r>
      <w:r w:rsidRPr="00D5464D">
        <w:rPr>
          <w:rFonts w:cs="Times New Roman"/>
          <w:i/>
          <w:sz w:val="16"/>
          <w:szCs w:val="16"/>
          <w:lang w:val="pt-BR"/>
        </w:rPr>
        <w:t>Caso Xákmok Kásek</w:t>
      </w:r>
      <w:r w:rsidRPr="00D5464D">
        <w:rPr>
          <w:rFonts w:cs="Times New Roman"/>
          <w:sz w:val="16"/>
          <w:szCs w:val="16"/>
          <w:lang w:val="pt-BR"/>
        </w:rPr>
        <w:t xml:space="preserve">, a Corte considerou que “a </w:t>
      </w:r>
      <w:r w:rsidRPr="00D5464D">
        <w:rPr>
          <w:rFonts w:cs="Times New Roman"/>
          <w:sz w:val="16"/>
          <w:szCs w:val="16"/>
          <w:u w:val="single"/>
          <w:lang w:val="pt-BR"/>
        </w:rPr>
        <w:t>pobreza extrema</w:t>
      </w:r>
      <w:r w:rsidRPr="00D5464D">
        <w:rPr>
          <w:rFonts w:cs="Times New Roman"/>
          <w:sz w:val="16"/>
          <w:szCs w:val="16"/>
          <w:lang w:val="pt-BR"/>
        </w:rPr>
        <w:t xml:space="preserve"> e a falta de atendimento médico adequado a mulheres em estado de gravidez ou pós-gravidez são causas de alta mortalidade e morbidade materna”. </w:t>
      </w:r>
      <w:r w:rsidRPr="00D5464D">
        <w:rPr>
          <w:rFonts w:cs="Verdana"/>
          <w:bCs/>
          <w:i/>
          <w:sz w:val="16"/>
          <w:szCs w:val="16"/>
          <w:lang w:val="pt-BR"/>
        </w:rPr>
        <w:t>Caso da Comunidade Indígena Xákmok Kásek Vs. Paraguai. Mérito, Reparações e Custas</w:t>
      </w:r>
      <w:r w:rsidRPr="00D5464D">
        <w:rPr>
          <w:rFonts w:cs="Verdana"/>
          <w:bCs/>
          <w:sz w:val="16"/>
          <w:szCs w:val="16"/>
          <w:lang w:val="pt-BR"/>
        </w:rPr>
        <w:t>. Sentença de 24 de agosto de 2010. Série C Nº 214, par.</w:t>
      </w:r>
      <w:r w:rsidRPr="00D5464D">
        <w:rPr>
          <w:rFonts w:cs="Times New Roman"/>
          <w:sz w:val="16"/>
          <w:szCs w:val="16"/>
          <w:lang w:val="pt-BR"/>
        </w:rPr>
        <w:t xml:space="preserve"> 233.</w:t>
      </w:r>
    </w:p>
  </w:footnote>
  <w:footnote w:id="609">
    <w:p w14:paraId="3336238B" w14:textId="77777777" w:rsidR="00F16338" w:rsidRPr="00D5464D" w:rsidRDefault="00F16338" w:rsidP="00F16338">
      <w:pPr>
        <w:pStyle w:val="Textonotapie"/>
        <w:tabs>
          <w:tab w:val="left" w:pos="709"/>
        </w:tabs>
        <w:spacing w:after="0"/>
        <w:rPr>
          <w:lang w:val="pt-BR"/>
        </w:rPr>
      </w:pPr>
    </w:p>
    <w:p w14:paraId="3EFE6051" w14:textId="77777777" w:rsidR="00F16338" w:rsidRPr="00D5464D" w:rsidRDefault="00F16338" w:rsidP="00F16338">
      <w:pPr>
        <w:pStyle w:val="Textonotapie"/>
        <w:tabs>
          <w:tab w:val="left" w:pos="709"/>
        </w:tabs>
        <w:spacing w:after="0"/>
        <w:rPr>
          <w:rFonts w:cs="Times"/>
          <w:lang w:val="pt-BR"/>
        </w:rPr>
      </w:pPr>
      <w:r w:rsidRPr="00D5464D">
        <w:rPr>
          <w:rStyle w:val="Refdenotaalpie"/>
          <w:lang w:val="es-ES_tradnl"/>
        </w:rPr>
        <w:footnoteRef/>
      </w:r>
      <w:r w:rsidRPr="00D5464D">
        <w:rPr>
          <w:lang w:val="pt-BR"/>
        </w:rPr>
        <w:t xml:space="preserve"> </w:t>
      </w:r>
      <w:r w:rsidRPr="00D5464D">
        <w:rPr>
          <w:lang w:val="pt-BR"/>
        </w:rPr>
        <w:tab/>
        <w:t xml:space="preserve">Sobre a multidimensionalidade da pobreza pode-se ver: ONU, Relatório apresentado </w:t>
      </w:r>
      <w:r w:rsidRPr="00D5464D">
        <w:rPr>
          <w:i/>
          <w:lang w:val="pt-BR"/>
        </w:rPr>
        <w:t xml:space="preserve">pelo Especialista Independente encarregado da questão dos direitos humanos e a pobreza extrema, Sr. Arjun Sengupta, </w:t>
      </w:r>
      <w:r w:rsidRPr="00D5464D">
        <w:rPr>
          <w:rFonts w:cs="Times"/>
          <w:lang w:val="pt-BR"/>
        </w:rPr>
        <w:t xml:space="preserve">A/HRC/5/3, 31 de maio de 2007, </w:t>
      </w:r>
      <w:r w:rsidRPr="00D5464D">
        <w:rPr>
          <w:lang w:val="pt-BR"/>
        </w:rPr>
        <w:t xml:space="preserve">pars. 6 ao 11. </w:t>
      </w:r>
    </w:p>
  </w:footnote>
  <w:footnote w:id="610">
    <w:p w14:paraId="3FC1CE94" w14:textId="77777777" w:rsidR="00F16338" w:rsidRPr="00D5464D" w:rsidRDefault="00F16338" w:rsidP="00F16338">
      <w:pPr>
        <w:pStyle w:val="Prrafodelista"/>
        <w:tabs>
          <w:tab w:val="left" w:pos="709"/>
        </w:tabs>
        <w:ind w:left="0"/>
        <w:rPr>
          <w:sz w:val="16"/>
          <w:szCs w:val="16"/>
          <w:lang w:val="pt-BR"/>
        </w:rPr>
      </w:pPr>
    </w:p>
    <w:p w14:paraId="091EE4BA" w14:textId="77777777" w:rsidR="00F16338" w:rsidRPr="00D5464D" w:rsidRDefault="00F16338" w:rsidP="00F16338">
      <w:pPr>
        <w:pStyle w:val="Prrafodelista"/>
        <w:tabs>
          <w:tab w:val="left" w:pos="709"/>
        </w:tabs>
        <w:ind w:left="0"/>
        <w:rPr>
          <w:rFonts w:cs="System Font Regular"/>
          <w:i/>
          <w:sz w:val="16"/>
          <w:szCs w:val="16"/>
          <w:lang w:val="pt-BR"/>
        </w:rPr>
      </w:pPr>
      <w:r w:rsidRPr="00D5464D">
        <w:rPr>
          <w:rStyle w:val="Refdenotaalpie"/>
          <w:sz w:val="16"/>
          <w:szCs w:val="16"/>
          <w:lang w:val="es-ES_tradnl"/>
        </w:rPr>
        <w:footnoteRef/>
      </w:r>
      <w:r w:rsidRPr="00D5464D">
        <w:rPr>
          <w:sz w:val="16"/>
          <w:szCs w:val="16"/>
          <w:lang w:val="pt-BR"/>
        </w:rPr>
        <w:t xml:space="preserve"> </w:t>
      </w:r>
      <w:r w:rsidRPr="00D5464D">
        <w:rPr>
          <w:sz w:val="16"/>
          <w:szCs w:val="16"/>
          <w:lang w:val="pt-BR"/>
        </w:rPr>
        <w:tab/>
      </w:r>
      <w:r w:rsidRPr="00D5464D">
        <w:rPr>
          <w:rFonts w:cs="System Font Regular"/>
          <w:color w:val="16191F"/>
          <w:sz w:val="16"/>
          <w:szCs w:val="16"/>
          <w:lang w:val="pt-BR"/>
        </w:rPr>
        <w:t>Em sentido similar, o Comitê de Direitos Econômicos, Sociais e Culturais, em sua Observação Geral nº 20, indicou que a inclusão de “</w:t>
      </w:r>
      <w:r w:rsidRPr="00D5464D">
        <w:rPr>
          <w:rFonts w:cs="System Font Regular"/>
          <w:i/>
          <w:color w:val="16191F"/>
          <w:sz w:val="16"/>
          <w:szCs w:val="16"/>
          <w:lang w:val="pt-BR"/>
        </w:rPr>
        <w:t xml:space="preserve">qualquer outra condição social” </w:t>
      </w:r>
      <w:r w:rsidRPr="00D5464D">
        <w:rPr>
          <w:rFonts w:cs="System Font Regular"/>
          <w:color w:val="16191F"/>
          <w:sz w:val="16"/>
          <w:szCs w:val="16"/>
          <w:lang w:val="pt-BR"/>
        </w:rPr>
        <w:t xml:space="preserve">indica que esta lista não é exaustiva e que outros motivos [não expressos] podem ser incluídos nesta categoria. Assim, expressou que o caráter da discriminação varia de acordo com o contexto e evolui com o tempo. Portanto, a discriminação baseada em “outra condição social” exige uma análise flexível que inclua outras formas de tratamento diferenciado que: i) não se pode justificar de forma razoável e objetiva e ii) </w:t>
      </w:r>
      <w:r w:rsidRPr="00D5464D">
        <w:rPr>
          <w:rFonts w:cs="System Font Regular"/>
          <w:i/>
          <w:color w:val="16191F"/>
          <w:sz w:val="16"/>
          <w:szCs w:val="16"/>
          <w:lang w:val="pt-BR"/>
        </w:rPr>
        <w:t xml:space="preserve">que tenha um caráter comparável </w:t>
      </w:r>
      <w:r w:rsidRPr="00D5464D">
        <w:rPr>
          <w:rFonts w:cs="System Font Regular"/>
          <w:color w:val="16191F"/>
          <w:sz w:val="16"/>
          <w:szCs w:val="16"/>
          <w:lang w:val="pt-BR"/>
        </w:rPr>
        <w:t>aos motivos expressos reconhecidos</w:t>
      </w:r>
      <w:r w:rsidRPr="00D5464D">
        <w:rPr>
          <w:rFonts w:cs="System Font Regular"/>
          <w:i/>
          <w:color w:val="16191F"/>
          <w:sz w:val="16"/>
          <w:szCs w:val="16"/>
          <w:lang w:val="pt-BR"/>
        </w:rPr>
        <w:t xml:space="preserve">. Estes </w:t>
      </w:r>
      <w:r w:rsidRPr="00D5464D">
        <w:rPr>
          <w:rFonts w:cs="System Font Regular"/>
          <w:color w:val="16191F"/>
          <w:sz w:val="16"/>
          <w:szCs w:val="16"/>
          <w:lang w:val="pt-BR"/>
        </w:rPr>
        <w:t xml:space="preserve">motivos adicionais são reconhecidos, geralmente, quando refletem a experiência de grupos sociais vulneráveis que foram marginalizados no passado [e/ou] que continuam sendo na atualidade. Nesse </w:t>
      </w:r>
      <w:r w:rsidRPr="00D5464D">
        <w:rPr>
          <w:rFonts w:cs="System Font Regular"/>
          <w:sz w:val="16"/>
          <w:szCs w:val="16"/>
          <w:lang w:val="pt-BR"/>
        </w:rPr>
        <w:t xml:space="preserve">sentido, o Comitê DESC expressou que outros possíveis motivos proibitivos de discriminação poderiam ser produto, ou uma intersecção, de duas ou mais causas proibitivas de discriminação, expressas ou não expressas. </w:t>
      </w:r>
      <w:r w:rsidRPr="00D5464D">
        <w:rPr>
          <w:i/>
          <w:sz w:val="16"/>
          <w:szCs w:val="16"/>
          <w:lang w:val="pt-BR"/>
        </w:rPr>
        <w:t xml:space="preserve">Cf. </w:t>
      </w:r>
      <w:r w:rsidRPr="00D5464D">
        <w:rPr>
          <w:sz w:val="16"/>
          <w:szCs w:val="16"/>
          <w:lang w:val="pt-BR"/>
        </w:rPr>
        <w:t xml:space="preserve">Comitê de Direitos Econômicos, Sociais e Culturais, Observação Geral nº 20, </w:t>
      </w:r>
      <w:r w:rsidRPr="00D5464D">
        <w:rPr>
          <w:i/>
          <w:sz w:val="16"/>
          <w:szCs w:val="16"/>
          <w:lang w:val="pt-BR"/>
        </w:rPr>
        <w:t xml:space="preserve">A Não Discriminação e os Direitos Econômicos, Sociais e Culturais </w:t>
      </w:r>
      <w:r w:rsidRPr="00D5464D">
        <w:rPr>
          <w:sz w:val="16"/>
          <w:szCs w:val="16"/>
          <w:lang w:val="pt-BR"/>
        </w:rPr>
        <w:t xml:space="preserve">(artigo 2, parágrafo 2 do Pacto Internacional sobre Direitos Econômicos, Sociais e Culturais), 2 de julho de 2009, E/C.12/GC/20, </w:t>
      </w:r>
      <w:r w:rsidRPr="00D5464D">
        <w:rPr>
          <w:rFonts w:cs="System Font Regular"/>
          <w:color w:val="16191F"/>
          <w:sz w:val="16"/>
          <w:szCs w:val="16"/>
          <w:lang w:val="pt-BR"/>
        </w:rPr>
        <w:t>pars. 15 e 27.</w:t>
      </w:r>
    </w:p>
    <w:p w14:paraId="013968B3" w14:textId="77777777" w:rsidR="00F16338" w:rsidRPr="00D5464D" w:rsidRDefault="00F16338" w:rsidP="00F16338">
      <w:pPr>
        <w:pStyle w:val="Textonotapie"/>
        <w:tabs>
          <w:tab w:val="left" w:pos="709"/>
        </w:tabs>
        <w:spacing w:after="0"/>
        <w:rPr>
          <w:lang w:val="pt-BR"/>
        </w:rPr>
      </w:pPr>
    </w:p>
  </w:footnote>
  <w:footnote w:id="611">
    <w:p w14:paraId="12724630" w14:textId="77777777" w:rsidR="00F16338" w:rsidRPr="00D5464D" w:rsidRDefault="00F16338" w:rsidP="00F16338">
      <w:pPr>
        <w:pStyle w:val="Textonotapie"/>
        <w:tabs>
          <w:tab w:val="left" w:pos="709"/>
        </w:tabs>
        <w:spacing w:after="0"/>
        <w:rPr>
          <w:lang w:val="pt-BR"/>
        </w:rPr>
      </w:pPr>
      <w:r w:rsidRPr="00D5464D">
        <w:rPr>
          <w:rStyle w:val="Refdenotaalpie"/>
          <w:lang w:val="es-ES_tradnl"/>
        </w:rPr>
        <w:footnoteRef/>
      </w:r>
      <w:r w:rsidRPr="00D5464D">
        <w:rPr>
          <w:lang w:val="pt-BR"/>
        </w:rPr>
        <w:t xml:space="preserve"> </w:t>
      </w:r>
      <w:r w:rsidRPr="00D5464D">
        <w:rPr>
          <w:lang w:val="pt-BR"/>
        </w:rPr>
        <w:tab/>
      </w:r>
      <w:r w:rsidRPr="00D5464D">
        <w:rPr>
          <w:i/>
          <w:lang w:val="pt-BR"/>
        </w:rPr>
        <w:t xml:space="preserve">Cf. </w:t>
      </w:r>
      <w:r w:rsidRPr="00D5464D">
        <w:rPr>
          <w:lang w:val="pt-BR"/>
        </w:rPr>
        <w:t xml:space="preserve">ONU, Relatório apresentado </w:t>
      </w:r>
      <w:r w:rsidRPr="00D5464D">
        <w:rPr>
          <w:i/>
          <w:lang w:val="pt-BR"/>
        </w:rPr>
        <w:t xml:space="preserve">pelo Especialista Independente encarregado da questão dos direitos humanos e a pobreza extrema, Sr. Arjun Sengupta, </w:t>
      </w:r>
      <w:r w:rsidRPr="00D5464D">
        <w:rPr>
          <w:rFonts w:cs="Times"/>
          <w:lang w:val="pt-BR"/>
        </w:rPr>
        <w:t>A/HRC/5/3, 31 de maio de 2007</w:t>
      </w:r>
      <w:r w:rsidRPr="00D5464D">
        <w:rPr>
          <w:lang w:val="pt-BR"/>
        </w:rPr>
        <w:t>, par. 9.</w:t>
      </w:r>
    </w:p>
    <w:p w14:paraId="44FB6AE4" w14:textId="77777777" w:rsidR="00F16338" w:rsidRPr="00D5464D" w:rsidRDefault="00F16338" w:rsidP="00F16338">
      <w:pPr>
        <w:pStyle w:val="Textonotapie"/>
        <w:tabs>
          <w:tab w:val="left" w:pos="709"/>
        </w:tabs>
        <w:spacing w:after="0"/>
        <w:rPr>
          <w:lang w:val="pt-BR"/>
        </w:rPr>
      </w:pPr>
    </w:p>
  </w:footnote>
  <w:footnote w:id="612">
    <w:p w14:paraId="7C408ECB" w14:textId="77777777" w:rsidR="00F16338" w:rsidRPr="00D5464D" w:rsidRDefault="00F16338" w:rsidP="00F16338">
      <w:pPr>
        <w:widowControl w:val="0"/>
        <w:tabs>
          <w:tab w:val="left" w:pos="709"/>
        </w:tabs>
        <w:autoSpaceDE w:val="0"/>
        <w:autoSpaceDN w:val="0"/>
        <w:adjustRightInd w:val="0"/>
        <w:jc w:val="both"/>
        <w:rPr>
          <w:rFonts w:cs="Times"/>
          <w:sz w:val="16"/>
          <w:szCs w:val="16"/>
          <w:lang w:val="pt-BR"/>
        </w:rPr>
      </w:pPr>
      <w:r w:rsidRPr="00D5464D">
        <w:rPr>
          <w:rStyle w:val="Refdenotaalpie"/>
          <w:sz w:val="16"/>
          <w:szCs w:val="16"/>
        </w:rPr>
        <w:footnoteRef/>
      </w:r>
      <w:r w:rsidRPr="00D5464D">
        <w:rPr>
          <w:sz w:val="16"/>
          <w:szCs w:val="16"/>
          <w:lang w:val="pt-BR"/>
        </w:rPr>
        <w:t xml:space="preserve"> </w:t>
      </w:r>
      <w:r w:rsidRPr="00D5464D">
        <w:rPr>
          <w:sz w:val="16"/>
          <w:szCs w:val="16"/>
          <w:lang w:val="pt-BR"/>
        </w:rPr>
        <w:tab/>
      </w:r>
      <w:r w:rsidRPr="00D5464D">
        <w:rPr>
          <w:i/>
          <w:sz w:val="16"/>
          <w:szCs w:val="16"/>
          <w:lang w:val="pt-BR"/>
        </w:rPr>
        <w:t xml:space="preserve">Cf. </w:t>
      </w:r>
      <w:r w:rsidRPr="00D5464D">
        <w:rPr>
          <w:sz w:val="16"/>
          <w:szCs w:val="16"/>
          <w:lang w:val="pt-BR"/>
        </w:rPr>
        <w:t xml:space="preserve">ONU, Relatório </w:t>
      </w:r>
      <w:r w:rsidRPr="00D5464D">
        <w:rPr>
          <w:rFonts w:cs="Times New Roman"/>
          <w:i/>
          <w:sz w:val="16"/>
          <w:szCs w:val="16"/>
          <w:lang w:val="pt-BR"/>
        </w:rPr>
        <w:t>da Sra. Joy Ngozi Ezeilo, Relatora Especial sobre tráfico de pessoas, especialmente de mulheres e crianças</w:t>
      </w:r>
      <w:r w:rsidRPr="00D5464D">
        <w:rPr>
          <w:rFonts w:cs="Times New Roman"/>
          <w:sz w:val="16"/>
          <w:szCs w:val="16"/>
          <w:lang w:val="pt-BR"/>
        </w:rPr>
        <w:t xml:space="preserve">, 6 de agosto de 2014, A/69/269, par. 12 e 17. f; ONU, Relatório </w:t>
      </w:r>
      <w:r w:rsidRPr="00D5464D">
        <w:rPr>
          <w:rFonts w:cs="Times"/>
          <w:i/>
          <w:sz w:val="16"/>
          <w:szCs w:val="16"/>
          <w:lang w:val="pt-BR"/>
        </w:rPr>
        <w:t>da Relatora Especial sobre tráfico de pessoas, especialmente de mulheres e crianças, Joy Ngozi Ezeilo</w:t>
      </w:r>
      <w:r w:rsidRPr="00D5464D">
        <w:rPr>
          <w:rFonts w:cs="Times"/>
          <w:sz w:val="16"/>
          <w:szCs w:val="16"/>
          <w:lang w:val="pt-BR"/>
        </w:rPr>
        <w:t xml:space="preserve">, 1º de abril de 2014, A/HRC/26/37, par. 41; e ONU, </w:t>
      </w:r>
      <w:r w:rsidRPr="00D5464D">
        <w:rPr>
          <w:rFonts w:cs="Times"/>
          <w:i/>
          <w:sz w:val="16"/>
          <w:szCs w:val="16"/>
          <w:lang w:val="pt-BR"/>
        </w:rPr>
        <w:t>Mandato da Relatora Especial sobre tráfico de pessoas, especialmente de mulheres e crianças</w:t>
      </w:r>
      <w:r w:rsidRPr="00D5464D">
        <w:rPr>
          <w:rFonts w:cs="Times"/>
          <w:sz w:val="16"/>
          <w:szCs w:val="16"/>
          <w:lang w:val="pt-BR"/>
        </w:rPr>
        <w:t xml:space="preserve">, 17 de julho de 2014, A/HRC/RES/26/8. </w:t>
      </w:r>
    </w:p>
    <w:p w14:paraId="53B301CC" w14:textId="77777777" w:rsidR="00F16338" w:rsidRPr="00D5464D" w:rsidRDefault="00F16338" w:rsidP="00F16338">
      <w:pPr>
        <w:pStyle w:val="Textonotapie"/>
        <w:tabs>
          <w:tab w:val="left" w:pos="709"/>
        </w:tabs>
        <w:spacing w:after="0"/>
        <w:rPr>
          <w:lang w:val="pt-BR"/>
        </w:rPr>
      </w:pPr>
      <w:r w:rsidRPr="00D5464D">
        <w:rPr>
          <w:lang w:val="pt-BR"/>
        </w:rPr>
        <w:t xml:space="preserve"> </w:t>
      </w:r>
    </w:p>
  </w:footnote>
  <w:footnote w:id="613">
    <w:p w14:paraId="1558D949" w14:textId="77777777" w:rsidR="00F16338" w:rsidRPr="00D5464D" w:rsidRDefault="00F16338" w:rsidP="00F16338">
      <w:pPr>
        <w:pStyle w:val="Textonotapie"/>
        <w:tabs>
          <w:tab w:val="left" w:pos="709"/>
        </w:tabs>
        <w:spacing w:after="0"/>
        <w:rPr>
          <w:lang w:val="pt-BR"/>
        </w:rPr>
      </w:pPr>
      <w:r w:rsidRPr="00D5464D">
        <w:rPr>
          <w:rStyle w:val="Refdenotaalpie"/>
          <w:lang w:val="es-ES_tradnl"/>
        </w:rPr>
        <w:footnoteRef/>
      </w:r>
      <w:r w:rsidRPr="00D5464D">
        <w:rPr>
          <w:lang w:val="pt-BR"/>
        </w:rPr>
        <w:t xml:space="preserve"> </w:t>
      </w:r>
      <w:r w:rsidRPr="00D5464D">
        <w:rPr>
          <w:lang w:val="pt-BR"/>
        </w:rPr>
        <w:tab/>
        <w:t xml:space="preserve">ONU, </w:t>
      </w:r>
      <w:r w:rsidRPr="00D5464D">
        <w:rPr>
          <w:i/>
          <w:lang w:val="pt-BR"/>
        </w:rPr>
        <w:t>Princípios Reitores sobre pobreza extrema e direitos humanos,</w:t>
      </w:r>
      <w:r w:rsidRPr="00D5464D">
        <w:rPr>
          <w:lang w:val="pt-BR"/>
        </w:rPr>
        <w:t xml:space="preserve"> aprovados pelo Conselho de Direitos Humanos, 27 de setembro de 2012, Resolução 21/11, princípio </w:t>
      </w:r>
      <w:r w:rsidRPr="00D5464D">
        <w:rPr>
          <w:rFonts w:cs="Times"/>
          <w:lang w:val="pt-BR"/>
        </w:rPr>
        <w:t>83.</w:t>
      </w:r>
    </w:p>
  </w:footnote>
  <w:footnote w:id="614">
    <w:p w14:paraId="0C9487C2" w14:textId="77777777" w:rsidR="00F16338" w:rsidRPr="00D5464D" w:rsidRDefault="00F16338" w:rsidP="00F16338">
      <w:pPr>
        <w:pStyle w:val="Textonotapie"/>
        <w:tabs>
          <w:tab w:val="left" w:pos="709"/>
        </w:tabs>
        <w:spacing w:after="0"/>
        <w:rPr>
          <w:lang w:val="pt-BR"/>
        </w:rPr>
      </w:pPr>
    </w:p>
    <w:p w14:paraId="3928E6D5" w14:textId="77777777" w:rsidR="00F16338" w:rsidRPr="00D5464D" w:rsidRDefault="00F16338" w:rsidP="00F16338">
      <w:pPr>
        <w:widowControl w:val="0"/>
        <w:tabs>
          <w:tab w:val="left" w:pos="709"/>
        </w:tabs>
        <w:autoSpaceDE w:val="0"/>
        <w:autoSpaceDN w:val="0"/>
        <w:adjustRightInd w:val="0"/>
        <w:jc w:val="both"/>
        <w:rPr>
          <w:sz w:val="16"/>
          <w:szCs w:val="16"/>
          <w:lang w:val="pt-BR"/>
        </w:rPr>
      </w:pPr>
      <w:r w:rsidRPr="00D5464D">
        <w:rPr>
          <w:rStyle w:val="Refdenotaalpie"/>
          <w:sz w:val="16"/>
          <w:szCs w:val="16"/>
        </w:rPr>
        <w:footnoteRef/>
      </w:r>
      <w:r w:rsidRPr="00D5464D">
        <w:rPr>
          <w:sz w:val="16"/>
          <w:szCs w:val="16"/>
          <w:lang w:val="pt-BR"/>
        </w:rPr>
        <w:t xml:space="preserve"> </w:t>
      </w:r>
      <w:r w:rsidRPr="00D5464D">
        <w:rPr>
          <w:sz w:val="16"/>
          <w:szCs w:val="16"/>
          <w:lang w:val="pt-BR"/>
        </w:rPr>
        <w:tab/>
        <w:t xml:space="preserve">ONU, Relatório </w:t>
      </w:r>
      <w:r w:rsidRPr="00D5464D">
        <w:rPr>
          <w:i/>
          <w:sz w:val="16"/>
          <w:szCs w:val="16"/>
          <w:lang w:val="pt-BR"/>
        </w:rPr>
        <w:t>da Relatora especial sobre formas contemporâneas de escravidão, incluindo suas causas e consequências</w:t>
      </w:r>
      <w:r w:rsidRPr="00D5464D">
        <w:rPr>
          <w:sz w:val="16"/>
          <w:szCs w:val="16"/>
          <w:lang w:val="pt-BR"/>
        </w:rPr>
        <w:t xml:space="preserve">, Promoção e proteção de todos os direitos humanos, civis, políticos, econômicos, sociais e culturais, incluindo o direito ao desenvolvimento, </w:t>
      </w:r>
      <w:r w:rsidRPr="00D5464D">
        <w:rPr>
          <w:rFonts w:cs="Times"/>
          <w:sz w:val="16"/>
          <w:szCs w:val="16"/>
          <w:lang w:val="pt-BR"/>
        </w:rPr>
        <w:t>A/HRC/12/21, 10 de julho de 2009, par. 48.</w:t>
      </w:r>
    </w:p>
    <w:p w14:paraId="712C4C8C" w14:textId="77777777" w:rsidR="00F16338" w:rsidRPr="00D5464D" w:rsidRDefault="00F16338" w:rsidP="00F16338">
      <w:pPr>
        <w:pStyle w:val="Textonotapie"/>
        <w:tabs>
          <w:tab w:val="left" w:pos="709"/>
        </w:tabs>
        <w:spacing w:after="0"/>
        <w:rPr>
          <w:lang w:val="pt-BR"/>
        </w:rPr>
      </w:pPr>
    </w:p>
  </w:footnote>
  <w:footnote w:id="615">
    <w:p w14:paraId="4B818886" w14:textId="77777777" w:rsidR="00F16338" w:rsidRPr="00D5464D" w:rsidRDefault="00F16338" w:rsidP="00F16338">
      <w:pPr>
        <w:widowControl w:val="0"/>
        <w:tabs>
          <w:tab w:val="left" w:pos="709"/>
        </w:tabs>
        <w:autoSpaceDE w:val="0"/>
        <w:autoSpaceDN w:val="0"/>
        <w:adjustRightInd w:val="0"/>
        <w:jc w:val="both"/>
        <w:rPr>
          <w:sz w:val="16"/>
          <w:szCs w:val="16"/>
          <w:lang w:val="pt-BR"/>
        </w:rPr>
      </w:pPr>
      <w:r w:rsidRPr="00D5464D">
        <w:rPr>
          <w:rStyle w:val="Refdenotaalpie"/>
          <w:sz w:val="16"/>
          <w:szCs w:val="16"/>
        </w:rPr>
        <w:footnoteRef/>
      </w:r>
      <w:r w:rsidRPr="00D5464D">
        <w:rPr>
          <w:sz w:val="16"/>
          <w:szCs w:val="16"/>
          <w:lang w:val="pt-BR"/>
        </w:rPr>
        <w:t xml:space="preserve"> </w:t>
      </w:r>
      <w:r w:rsidRPr="00D5464D">
        <w:rPr>
          <w:sz w:val="16"/>
          <w:szCs w:val="16"/>
          <w:lang w:val="pt-BR"/>
        </w:rPr>
        <w:tab/>
        <w:t xml:space="preserve">ONU, Relatório </w:t>
      </w:r>
      <w:r w:rsidRPr="00D5464D">
        <w:rPr>
          <w:i/>
          <w:sz w:val="16"/>
          <w:szCs w:val="16"/>
          <w:lang w:val="pt-BR"/>
        </w:rPr>
        <w:t>da Relatora Especial sobre formas contemporâneas da escravidão, incluindo suas causas e consequências</w:t>
      </w:r>
      <w:r w:rsidRPr="00D5464D">
        <w:rPr>
          <w:sz w:val="16"/>
          <w:szCs w:val="16"/>
          <w:lang w:val="pt-BR"/>
        </w:rPr>
        <w:t xml:space="preserve">. Relatório temático sobre as dificuldades e ensinamentos da luta contra as formas contemporâneas de escravidão, 1º de julho de 2013, </w:t>
      </w:r>
      <w:r w:rsidRPr="00D5464D">
        <w:rPr>
          <w:rFonts w:cs="Times"/>
          <w:sz w:val="16"/>
          <w:szCs w:val="16"/>
          <w:lang w:val="pt-BR"/>
        </w:rPr>
        <w:t>A/HRC/24/43, par. 38.</w:t>
      </w:r>
    </w:p>
    <w:p w14:paraId="435F6BA6" w14:textId="77777777" w:rsidR="00F16338" w:rsidRPr="00D5464D" w:rsidRDefault="00F16338" w:rsidP="00F16338">
      <w:pPr>
        <w:pStyle w:val="Textonotapie"/>
        <w:tabs>
          <w:tab w:val="left" w:pos="709"/>
        </w:tabs>
        <w:spacing w:after="0"/>
        <w:rPr>
          <w:lang w:val="pt-BR"/>
        </w:rPr>
      </w:pPr>
    </w:p>
  </w:footnote>
  <w:footnote w:id="616">
    <w:p w14:paraId="3EB19985" w14:textId="77777777" w:rsidR="00F16338" w:rsidRPr="00D5464D" w:rsidRDefault="00F16338" w:rsidP="00F16338">
      <w:pPr>
        <w:pStyle w:val="Textonotapie"/>
        <w:tabs>
          <w:tab w:val="left" w:pos="709"/>
        </w:tabs>
        <w:spacing w:after="0"/>
        <w:rPr>
          <w:lang w:val="pt-BR"/>
        </w:rPr>
      </w:pPr>
      <w:r w:rsidRPr="00D5464D">
        <w:rPr>
          <w:rStyle w:val="Refdenotaalpie"/>
          <w:lang w:val="es-ES_tradnl"/>
        </w:rPr>
        <w:footnoteRef/>
      </w:r>
      <w:r w:rsidRPr="00D5464D">
        <w:rPr>
          <w:lang w:val="pt-BR"/>
        </w:rPr>
        <w:t xml:space="preserve"> </w:t>
      </w:r>
      <w:r w:rsidRPr="00D5464D">
        <w:rPr>
          <w:lang w:val="pt-BR"/>
        </w:rPr>
        <w:tab/>
        <w:t xml:space="preserve">Corte IDH. </w:t>
      </w:r>
      <w:r w:rsidRPr="00D5464D">
        <w:rPr>
          <w:rFonts w:cs="Verdana"/>
          <w:bCs/>
          <w:i/>
          <w:lang w:val="pt-BR"/>
        </w:rPr>
        <w:t xml:space="preserve">Caso Gonzales Lluy e outros Vs. Equador. Exceções Preliminares, Mérito, Reparações e Custas. </w:t>
      </w:r>
      <w:r w:rsidRPr="00D5464D">
        <w:rPr>
          <w:rFonts w:cs="Verdana"/>
          <w:bCs/>
          <w:lang w:val="pt-BR"/>
        </w:rPr>
        <w:t xml:space="preserve">Sentença de 1º de setembro de 2015. Série C Nº 298, par. 290. </w:t>
      </w:r>
    </w:p>
    <w:p w14:paraId="3E5B5178" w14:textId="77777777" w:rsidR="00F16338" w:rsidRPr="00D5464D" w:rsidRDefault="00F16338" w:rsidP="00F16338">
      <w:pPr>
        <w:pStyle w:val="Textonotapie"/>
        <w:tabs>
          <w:tab w:val="left" w:pos="709"/>
        </w:tabs>
        <w:spacing w:after="0"/>
        <w:rPr>
          <w:lang w:val="pt-BR"/>
        </w:rPr>
      </w:pPr>
    </w:p>
  </w:footnote>
  <w:footnote w:id="617">
    <w:p w14:paraId="50512D61" w14:textId="77777777" w:rsidR="00F16338" w:rsidRPr="00D5464D" w:rsidRDefault="00F16338" w:rsidP="00F16338">
      <w:pPr>
        <w:pStyle w:val="Textonotapie"/>
        <w:tabs>
          <w:tab w:val="left" w:pos="709"/>
        </w:tabs>
        <w:spacing w:after="0"/>
        <w:rPr>
          <w:lang w:val="es-ES"/>
        </w:rPr>
      </w:pPr>
      <w:r w:rsidRPr="00D5464D">
        <w:rPr>
          <w:rStyle w:val="Refdenotaalpie"/>
          <w:lang w:val="es-ES_tradnl"/>
        </w:rPr>
        <w:footnoteRef/>
      </w:r>
      <w:r w:rsidRPr="00D5464D">
        <w:rPr>
          <w:lang w:val="pt-BR"/>
        </w:rPr>
        <w:t xml:space="preserve"> </w:t>
      </w:r>
      <w:r w:rsidRPr="00D5464D">
        <w:rPr>
          <w:lang w:val="pt-BR"/>
        </w:rPr>
        <w:tab/>
        <w:t xml:space="preserve">Ver: </w:t>
      </w:r>
      <w:r w:rsidRPr="00D5464D">
        <w:rPr>
          <w:rFonts w:cs="Verdana"/>
          <w:bCs/>
          <w:lang w:val="pt-BR"/>
        </w:rPr>
        <w:t xml:space="preserve">Corte IDH. </w:t>
      </w:r>
      <w:r w:rsidRPr="00D5464D">
        <w:rPr>
          <w:rFonts w:cs="Verdana"/>
          <w:bCs/>
          <w:i/>
          <w:lang w:val="pt-BR"/>
        </w:rPr>
        <w:t>Caso Artavia Murillo e outros ("Fecundação in vitro") Vs. Costa Rica. Exceções Preliminares, Mérito, Reparações e Custas.</w:t>
      </w:r>
      <w:r w:rsidRPr="00D5464D">
        <w:rPr>
          <w:rFonts w:cs="Verdana"/>
          <w:bCs/>
          <w:lang w:val="pt-BR"/>
        </w:rPr>
        <w:t xml:space="preserve"> Sentença de 28 novembro de 2012. Série C Nº 257 e </w:t>
      </w:r>
      <w:r w:rsidRPr="00D5464D">
        <w:rPr>
          <w:rFonts w:cs="Verdana"/>
          <w:bCs/>
          <w:i/>
          <w:lang w:val="pt-BR"/>
        </w:rPr>
        <w:t>Caso Gonzales Lluy e outros Vs. Equador. Exceções Preliminares, Mérito, Reparações e Custas</w:t>
      </w:r>
      <w:r w:rsidRPr="00D5464D">
        <w:rPr>
          <w:rFonts w:cs="Verdana"/>
          <w:bCs/>
          <w:lang w:val="pt-BR"/>
        </w:rPr>
        <w:t xml:space="preserve">. Sentença de 1º de setembro de 2015. </w:t>
      </w:r>
      <w:r w:rsidRPr="00D5464D">
        <w:rPr>
          <w:rFonts w:cs="Verdana"/>
          <w:bCs/>
          <w:lang w:val="es-ES"/>
        </w:rPr>
        <w:t>Série C Nº 298.</w:t>
      </w:r>
    </w:p>
    <w:p w14:paraId="5546B256" w14:textId="77777777" w:rsidR="00F16338" w:rsidRPr="00D5464D" w:rsidRDefault="00F16338" w:rsidP="00F16338">
      <w:pPr>
        <w:pStyle w:val="Textonotapie"/>
        <w:tabs>
          <w:tab w:val="left" w:pos="709"/>
        </w:tabs>
        <w:spacing w:after="0"/>
        <w:rPr>
          <w:lang w:val="es-ES"/>
        </w:rPr>
      </w:pPr>
    </w:p>
  </w:footnote>
  <w:footnote w:id="618">
    <w:p w14:paraId="14346DC1" w14:textId="77777777" w:rsidR="00F16338" w:rsidRPr="00D5464D" w:rsidRDefault="00F16338" w:rsidP="00F16338">
      <w:pPr>
        <w:pStyle w:val="Textonotapie"/>
        <w:tabs>
          <w:tab w:val="left" w:pos="709"/>
        </w:tabs>
        <w:rPr>
          <w:lang w:val="pt-BR"/>
        </w:rPr>
      </w:pPr>
      <w:r w:rsidRPr="00D5464D">
        <w:rPr>
          <w:rStyle w:val="Refdenotaalpie"/>
          <w:lang w:val="es-ES_tradnl"/>
        </w:rPr>
        <w:footnoteRef/>
      </w:r>
      <w:r w:rsidRPr="00D5464D">
        <w:rPr>
          <w:lang w:val="es-ES"/>
        </w:rPr>
        <w:t xml:space="preserve"> </w:t>
      </w:r>
      <w:r w:rsidRPr="00D5464D">
        <w:rPr>
          <w:lang w:val="es-ES"/>
        </w:rPr>
        <w:tab/>
        <w:t>Maurino, Gustavo, “Pobreza y discriminación: la protección constitucional para los más humildes”</w:t>
      </w:r>
      <w:r w:rsidRPr="00D5464D">
        <w:rPr>
          <w:i/>
          <w:lang w:val="es-ES"/>
        </w:rPr>
        <w:t xml:space="preserve">, em </w:t>
      </w:r>
      <w:r w:rsidRPr="00D5464D">
        <w:rPr>
          <w:lang w:val="es-ES"/>
        </w:rPr>
        <w:t xml:space="preserve">Alegre, Marcelo e Gargarella, Roberto (Coords.), </w:t>
      </w:r>
      <w:r w:rsidRPr="00D5464D">
        <w:rPr>
          <w:i/>
          <w:lang w:val="es-ES_tradnl"/>
        </w:rPr>
        <w:t xml:space="preserve">El derecho a la igualdad. </w:t>
      </w:r>
      <w:r w:rsidRPr="00D5464D">
        <w:rPr>
          <w:i/>
          <w:lang w:val="pt-BR"/>
        </w:rPr>
        <w:t xml:space="preserve">Aportes para un constitucionalismo igualitario, </w:t>
      </w:r>
      <w:r w:rsidRPr="00D5464D">
        <w:rPr>
          <w:lang w:val="pt-BR"/>
        </w:rPr>
        <w:t>2ª ed., Buenos Aires, Abeledo Perrot-Igualitaria-ACIJ, 2012, pp. 265-295, em p. 284.</w:t>
      </w:r>
    </w:p>
  </w:footnote>
  <w:footnote w:id="619">
    <w:p w14:paraId="3A6336CB" w14:textId="77777777" w:rsidR="00F16338" w:rsidRPr="00D5464D" w:rsidRDefault="00F16338" w:rsidP="00F16338">
      <w:pPr>
        <w:pStyle w:val="Textonotapie"/>
        <w:tabs>
          <w:tab w:val="left" w:pos="709"/>
        </w:tabs>
        <w:rPr>
          <w:lang w:val="pt-BR"/>
        </w:rPr>
      </w:pPr>
      <w:r w:rsidRPr="00D5464D">
        <w:rPr>
          <w:rStyle w:val="Refdenotaalpie"/>
        </w:rPr>
        <w:footnoteRef/>
      </w:r>
      <w:r w:rsidRPr="00D5464D">
        <w:rPr>
          <w:lang w:val="pt-BR"/>
        </w:rPr>
        <w:t xml:space="preserve"> </w:t>
      </w:r>
      <w:r w:rsidRPr="00D5464D">
        <w:rPr>
          <w:lang w:val="pt-BR"/>
        </w:rPr>
        <w:tab/>
      </w:r>
      <w:r w:rsidRPr="00D5464D">
        <w:rPr>
          <w:i/>
          <w:lang w:val="pt-BR"/>
        </w:rPr>
        <w:t>Cfr.</w:t>
      </w:r>
      <w:r w:rsidRPr="00D5464D">
        <w:rPr>
          <w:lang w:val="pt-BR"/>
        </w:rPr>
        <w:t xml:space="preserve"> ONU, </w:t>
      </w:r>
      <w:r w:rsidRPr="00D5464D">
        <w:rPr>
          <w:rFonts w:cs="Optima"/>
          <w:lang w:val="pt-BR"/>
        </w:rPr>
        <w:t xml:space="preserve">Comissão Econômica para a América Latina e o Caribe (CEPAL), </w:t>
      </w:r>
      <w:r w:rsidRPr="00D5464D">
        <w:rPr>
          <w:rFonts w:cs="Optima"/>
          <w:i/>
          <w:iCs/>
          <w:lang w:val="pt-BR"/>
        </w:rPr>
        <w:t>Panorama Social de América Latina, 2015</w:t>
      </w:r>
      <w:r w:rsidRPr="00D5464D">
        <w:rPr>
          <w:rFonts w:cs="Optima"/>
          <w:lang w:val="pt-BR"/>
        </w:rPr>
        <w:t>, (LC/G.2691-P), Santiago, 2016, pp. 20 e 21.</w:t>
      </w:r>
    </w:p>
  </w:footnote>
  <w:footnote w:id="620">
    <w:p w14:paraId="0B39CDA2" w14:textId="77777777" w:rsidR="00F16338" w:rsidRPr="00D5464D" w:rsidRDefault="00F16338" w:rsidP="00F16338">
      <w:pPr>
        <w:shd w:val="clear" w:color="auto" w:fill="FFFFFF"/>
        <w:tabs>
          <w:tab w:val="left" w:pos="709"/>
        </w:tabs>
        <w:jc w:val="both"/>
        <w:rPr>
          <w:rFonts w:cs="Times"/>
          <w:i/>
          <w:iCs/>
          <w:sz w:val="16"/>
          <w:szCs w:val="16"/>
          <w:lang w:val="pt-BR"/>
        </w:rPr>
      </w:pPr>
      <w:r w:rsidRPr="00D5464D">
        <w:rPr>
          <w:rStyle w:val="Refdenotaalpie"/>
          <w:sz w:val="16"/>
          <w:szCs w:val="16"/>
        </w:rPr>
        <w:footnoteRef/>
      </w:r>
      <w:r w:rsidRPr="00D5464D">
        <w:rPr>
          <w:i/>
          <w:sz w:val="16"/>
          <w:szCs w:val="16"/>
          <w:lang w:val="pt-BR"/>
        </w:rPr>
        <w:tab/>
        <w:t xml:space="preserve">Cf. </w:t>
      </w:r>
      <w:r w:rsidRPr="00D5464D">
        <w:rPr>
          <w:sz w:val="16"/>
          <w:szCs w:val="16"/>
          <w:lang w:val="pt-BR"/>
        </w:rPr>
        <w:t xml:space="preserve">TEDH </w:t>
      </w:r>
      <w:r w:rsidRPr="00D5464D">
        <w:rPr>
          <w:rFonts w:cs="Times"/>
          <w:i/>
          <w:iCs/>
          <w:sz w:val="16"/>
          <w:szCs w:val="16"/>
          <w:lang w:val="pt-BR"/>
        </w:rPr>
        <w:t xml:space="preserve">Broniowski Vs. Polônia, </w:t>
      </w:r>
      <w:r w:rsidRPr="00D5464D">
        <w:rPr>
          <w:rFonts w:cs="Times"/>
          <w:iCs/>
          <w:sz w:val="16"/>
          <w:szCs w:val="16"/>
          <w:lang w:val="pt-BR"/>
        </w:rPr>
        <w:t xml:space="preserve">Nº </w:t>
      </w:r>
      <w:r w:rsidRPr="00D5464D">
        <w:rPr>
          <w:rFonts w:cs="Times"/>
          <w:sz w:val="16"/>
          <w:szCs w:val="16"/>
          <w:lang w:val="pt-BR"/>
        </w:rPr>
        <w:t>31443/96, Sentença de 22 de junho de 2004, pars.</w:t>
      </w:r>
      <w:r w:rsidRPr="00D5464D">
        <w:rPr>
          <w:rFonts w:cs="Times"/>
          <w:color w:val="FF0000"/>
          <w:sz w:val="16"/>
          <w:szCs w:val="16"/>
          <w:lang w:val="pt-BR"/>
        </w:rPr>
        <w:t xml:space="preserve"> </w:t>
      </w:r>
      <w:r w:rsidRPr="00D5464D">
        <w:rPr>
          <w:rFonts w:cs="Arial"/>
          <w:color w:val="000000"/>
          <w:sz w:val="16"/>
          <w:szCs w:val="16"/>
          <w:lang w:val="pt-BR"/>
        </w:rPr>
        <w:t>190 e 191.</w:t>
      </w:r>
    </w:p>
    <w:p w14:paraId="4392890E" w14:textId="77777777" w:rsidR="00F16338" w:rsidRPr="00D5464D" w:rsidRDefault="00F16338" w:rsidP="00F16338">
      <w:pPr>
        <w:pStyle w:val="Textonotapie"/>
        <w:tabs>
          <w:tab w:val="left" w:pos="709"/>
        </w:tabs>
        <w:spacing w:after="0"/>
        <w:rPr>
          <w:lang w:val="pt-BR"/>
        </w:rPr>
      </w:pPr>
      <w:r w:rsidRPr="00D5464D">
        <w:rPr>
          <w:lang w:val="pt-BR"/>
        </w:rPr>
        <w:t xml:space="preserve"> </w:t>
      </w:r>
    </w:p>
  </w:footnote>
  <w:footnote w:id="621">
    <w:p w14:paraId="67A0C9AE" w14:textId="77777777" w:rsidR="00F16338" w:rsidRPr="00D5464D" w:rsidRDefault="00F16338" w:rsidP="00F16338">
      <w:pPr>
        <w:widowControl w:val="0"/>
        <w:tabs>
          <w:tab w:val="left" w:pos="709"/>
        </w:tabs>
        <w:autoSpaceDE w:val="0"/>
        <w:autoSpaceDN w:val="0"/>
        <w:adjustRightInd w:val="0"/>
        <w:jc w:val="both"/>
        <w:rPr>
          <w:rFonts w:cs="Times"/>
          <w:sz w:val="16"/>
          <w:szCs w:val="16"/>
          <w:lang w:val="pt-BR"/>
        </w:rPr>
      </w:pPr>
      <w:r w:rsidRPr="00D5464D">
        <w:rPr>
          <w:rStyle w:val="Refdenotaalpie"/>
          <w:sz w:val="16"/>
          <w:szCs w:val="16"/>
        </w:rPr>
        <w:footnoteRef/>
      </w:r>
      <w:r w:rsidRPr="00D5464D">
        <w:rPr>
          <w:sz w:val="16"/>
          <w:szCs w:val="16"/>
          <w:lang w:val="pt-BR"/>
        </w:rPr>
        <w:t xml:space="preserve"> </w:t>
      </w:r>
      <w:r w:rsidRPr="00D5464D">
        <w:rPr>
          <w:sz w:val="16"/>
          <w:szCs w:val="16"/>
          <w:lang w:val="pt-BR"/>
        </w:rPr>
        <w:tab/>
        <w:t xml:space="preserve">O fundamento jurídico utilizado pelo Tribunal Europeu foi o </w:t>
      </w:r>
      <w:r w:rsidRPr="00D5464D">
        <w:rPr>
          <w:rFonts w:cs="Times"/>
          <w:sz w:val="16"/>
          <w:szCs w:val="16"/>
          <w:lang w:val="pt-BR"/>
        </w:rPr>
        <w:t xml:space="preserve">art. 46.1, conforme o qual os Estados se comprometem a cumprir as sentenças do Tribunal nos litígios em que forem parte. Além disso, o art. 1 estabelece a obrigação geral dos Estados de respeitar os direitos humanos, e o art. 19 dispõe que a função do Tribunal é assegurar que os Estados respeitem os compromissos resultantes da CEDH. </w:t>
      </w:r>
    </w:p>
    <w:p w14:paraId="1E66121F" w14:textId="77777777" w:rsidR="00F16338" w:rsidRPr="00D5464D" w:rsidRDefault="00F16338" w:rsidP="00F16338">
      <w:pPr>
        <w:pStyle w:val="Textonotapie"/>
        <w:tabs>
          <w:tab w:val="left" w:pos="709"/>
        </w:tabs>
        <w:spacing w:after="0"/>
        <w:rPr>
          <w:lang w:val="pt-BR"/>
        </w:rPr>
      </w:pPr>
    </w:p>
  </w:footnote>
  <w:footnote w:id="622">
    <w:p w14:paraId="4CD1F70B" w14:textId="77777777" w:rsidR="00F16338" w:rsidRPr="00D5464D" w:rsidRDefault="00F16338" w:rsidP="00F16338">
      <w:pPr>
        <w:shd w:val="clear" w:color="auto" w:fill="FFFFFF"/>
        <w:tabs>
          <w:tab w:val="left" w:pos="709"/>
        </w:tabs>
        <w:jc w:val="both"/>
        <w:rPr>
          <w:rFonts w:cs="Arial"/>
          <w:color w:val="000000"/>
          <w:sz w:val="16"/>
          <w:szCs w:val="16"/>
          <w:lang w:val="pt-BR"/>
        </w:rPr>
      </w:pPr>
      <w:r w:rsidRPr="00D5464D">
        <w:rPr>
          <w:rStyle w:val="Refdenotaalpie"/>
          <w:sz w:val="16"/>
          <w:szCs w:val="16"/>
        </w:rPr>
        <w:footnoteRef/>
      </w:r>
      <w:r w:rsidRPr="00D5464D">
        <w:rPr>
          <w:sz w:val="16"/>
          <w:szCs w:val="16"/>
          <w:lang w:val="pt-BR"/>
        </w:rPr>
        <w:t xml:space="preserve"> </w:t>
      </w:r>
      <w:r w:rsidRPr="00D5464D">
        <w:rPr>
          <w:sz w:val="16"/>
          <w:szCs w:val="16"/>
          <w:lang w:val="pt-BR"/>
        </w:rPr>
        <w:tab/>
        <w:t xml:space="preserve">A este respeito, no tocante às consequências de um procedimento de uma sentença piloto, o TEDH considerou que estas se baseiam na existência de um problema generalizado e sistêmico que tem como consequência a afetação de um conjunto de pessoas de maneira adversa. Assim, mediante as denominadas medidas gerais no âmbito nacional, pretende-se que sejam levadas em consideração todas as pessoas afetadas e, deste modo, remediado o defeito sistêmico no qual se baseia a violação declarada pela Corte. Deste modo, as sentenças piloto são um enfoque judicial usado pelo TEDH para remediar problemas sistêmicos e estruturais na ordem jurídica nacional. </w:t>
      </w:r>
      <w:r w:rsidRPr="00D5464D">
        <w:rPr>
          <w:i/>
          <w:sz w:val="16"/>
          <w:szCs w:val="16"/>
          <w:lang w:val="pt-BR"/>
        </w:rPr>
        <w:t xml:space="preserve">Cf. </w:t>
      </w:r>
      <w:r w:rsidRPr="00D5464D">
        <w:rPr>
          <w:sz w:val="16"/>
          <w:szCs w:val="16"/>
          <w:lang w:val="pt-BR"/>
        </w:rPr>
        <w:t xml:space="preserve">TEDH </w:t>
      </w:r>
      <w:r w:rsidRPr="00D5464D">
        <w:rPr>
          <w:rFonts w:cs="Times"/>
          <w:i/>
          <w:iCs/>
          <w:sz w:val="16"/>
          <w:szCs w:val="16"/>
          <w:lang w:val="pt-BR"/>
        </w:rPr>
        <w:t xml:space="preserve">Broniowski Vs. Polônia, </w:t>
      </w:r>
      <w:r w:rsidRPr="00D5464D">
        <w:rPr>
          <w:rFonts w:cs="Times"/>
          <w:iCs/>
          <w:sz w:val="16"/>
          <w:szCs w:val="16"/>
          <w:lang w:val="pt-BR"/>
        </w:rPr>
        <w:t xml:space="preserve">Nº </w:t>
      </w:r>
      <w:r w:rsidRPr="00D5464D">
        <w:rPr>
          <w:rFonts w:cs="Times"/>
          <w:sz w:val="16"/>
          <w:szCs w:val="16"/>
          <w:lang w:val="pt-BR"/>
        </w:rPr>
        <w:t>31443/96, Sentença Cumprimento de 28 de setembro de 2005, par.</w:t>
      </w:r>
      <w:r w:rsidRPr="00D5464D">
        <w:rPr>
          <w:rFonts w:cs="Times"/>
          <w:color w:val="FF0000"/>
          <w:sz w:val="16"/>
          <w:szCs w:val="16"/>
          <w:lang w:val="pt-BR"/>
        </w:rPr>
        <w:t xml:space="preserve"> </w:t>
      </w:r>
      <w:r w:rsidRPr="00D5464D">
        <w:rPr>
          <w:sz w:val="16"/>
          <w:szCs w:val="16"/>
          <w:lang w:val="pt-BR"/>
        </w:rPr>
        <w:t xml:space="preserve">34 e 35. </w:t>
      </w:r>
    </w:p>
    <w:p w14:paraId="2DFF3B49" w14:textId="77777777" w:rsidR="00F16338" w:rsidRPr="00D5464D" w:rsidRDefault="00F16338" w:rsidP="00F16338">
      <w:pPr>
        <w:pStyle w:val="Textonotapie"/>
        <w:tabs>
          <w:tab w:val="left" w:pos="709"/>
        </w:tabs>
        <w:spacing w:after="0"/>
        <w:rPr>
          <w:lang w:val="pt-BR"/>
        </w:rPr>
      </w:pPr>
    </w:p>
  </w:footnote>
  <w:footnote w:id="623">
    <w:p w14:paraId="339234A4" w14:textId="77777777" w:rsidR="00F16338" w:rsidRPr="00D5464D" w:rsidRDefault="00F16338" w:rsidP="00F16338">
      <w:pPr>
        <w:shd w:val="clear" w:color="auto" w:fill="FFFFFF"/>
        <w:tabs>
          <w:tab w:val="left" w:pos="709"/>
        </w:tabs>
        <w:jc w:val="both"/>
        <w:rPr>
          <w:rFonts w:cs="Arial"/>
          <w:color w:val="000000"/>
          <w:sz w:val="16"/>
          <w:szCs w:val="16"/>
          <w:lang w:val="pt-BR"/>
        </w:rPr>
      </w:pPr>
      <w:r w:rsidRPr="00D5464D">
        <w:rPr>
          <w:rStyle w:val="Refdenotaalpie"/>
          <w:sz w:val="16"/>
          <w:szCs w:val="16"/>
        </w:rPr>
        <w:footnoteRef/>
      </w:r>
      <w:r w:rsidRPr="00D5464D">
        <w:rPr>
          <w:sz w:val="16"/>
          <w:szCs w:val="16"/>
          <w:lang w:val="pt-BR"/>
        </w:rPr>
        <w:t xml:space="preserve"> </w:t>
      </w:r>
      <w:r w:rsidRPr="00D5464D">
        <w:rPr>
          <w:sz w:val="16"/>
          <w:szCs w:val="16"/>
          <w:lang w:val="pt-BR"/>
        </w:rPr>
        <w:tab/>
      </w:r>
      <w:r w:rsidRPr="00D5464D">
        <w:rPr>
          <w:i/>
          <w:sz w:val="16"/>
          <w:szCs w:val="16"/>
          <w:lang w:val="pt-BR"/>
        </w:rPr>
        <w:t xml:space="preserve">Cf. </w:t>
      </w:r>
      <w:r w:rsidRPr="00D5464D">
        <w:rPr>
          <w:sz w:val="16"/>
          <w:szCs w:val="16"/>
          <w:lang w:val="pt-BR"/>
        </w:rPr>
        <w:t xml:space="preserve">TEDH </w:t>
      </w:r>
      <w:r w:rsidRPr="00D5464D">
        <w:rPr>
          <w:rFonts w:cs="Times"/>
          <w:i/>
          <w:iCs/>
          <w:sz w:val="16"/>
          <w:szCs w:val="16"/>
          <w:lang w:val="pt-BR"/>
        </w:rPr>
        <w:t xml:space="preserve">Broniowski Vs. Polônia, </w:t>
      </w:r>
      <w:r w:rsidRPr="00D5464D">
        <w:rPr>
          <w:rFonts w:cs="Times"/>
          <w:iCs/>
          <w:sz w:val="16"/>
          <w:szCs w:val="16"/>
          <w:lang w:val="pt-BR"/>
        </w:rPr>
        <w:t xml:space="preserve">Nº </w:t>
      </w:r>
      <w:r w:rsidRPr="00D5464D">
        <w:rPr>
          <w:rFonts w:cs="Times"/>
          <w:sz w:val="16"/>
          <w:szCs w:val="16"/>
          <w:lang w:val="pt-BR"/>
        </w:rPr>
        <w:t>31443/96, Sentença de 22 de junho de 2004, par.</w:t>
      </w:r>
      <w:r w:rsidRPr="00D5464D">
        <w:rPr>
          <w:rFonts w:cs="Times"/>
          <w:color w:val="FF0000"/>
          <w:sz w:val="16"/>
          <w:szCs w:val="16"/>
          <w:lang w:val="pt-BR"/>
        </w:rPr>
        <w:t xml:space="preserve"> </w:t>
      </w:r>
      <w:r w:rsidRPr="00D5464D">
        <w:rPr>
          <w:rFonts w:cs="Arial"/>
          <w:color w:val="000000"/>
          <w:sz w:val="16"/>
          <w:szCs w:val="16"/>
          <w:lang w:val="pt-BR"/>
        </w:rPr>
        <w:t>189.</w:t>
      </w:r>
    </w:p>
    <w:p w14:paraId="0AFA383F" w14:textId="77777777" w:rsidR="00F16338" w:rsidRPr="00D5464D" w:rsidRDefault="00F16338" w:rsidP="00F16338">
      <w:pPr>
        <w:shd w:val="clear" w:color="auto" w:fill="FFFFFF"/>
        <w:tabs>
          <w:tab w:val="left" w:pos="709"/>
        </w:tabs>
        <w:jc w:val="both"/>
        <w:rPr>
          <w:rFonts w:cs="Arial"/>
          <w:color w:val="000000"/>
          <w:sz w:val="16"/>
          <w:szCs w:val="16"/>
          <w:lang w:val="pt-BR"/>
        </w:rPr>
      </w:pPr>
    </w:p>
  </w:footnote>
  <w:footnote w:id="624">
    <w:p w14:paraId="3C4C72FF" w14:textId="77777777" w:rsidR="00F16338" w:rsidRPr="00D5464D" w:rsidRDefault="00F16338" w:rsidP="00F16338">
      <w:pPr>
        <w:widowControl w:val="0"/>
        <w:autoSpaceDE w:val="0"/>
        <w:autoSpaceDN w:val="0"/>
        <w:adjustRightInd w:val="0"/>
        <w:jc w:val="both"/>
        <w:rPr>
          <w:rFonts w:cs="Times"/>
          <w:sz w:val="16"/>
          <w:szCs w:val="16"/>
          <w:lang w:val="pt-BR"/>
        </w:rPr>
      </w:pPr>
      <w:r w:rsidRPr="00D5464D">
        <w:rPr>
          <w:rStyle w:val="Refdenotaalpie"/>
          <w:sz w:val="16"/>
          <w:szCs w:val="16"/>
        </w:rPr>
        <w:footnoteRef/>
      </w:r>
      <w:r w:rsidRPr="00D5464D">
        <w:rPr>
          <w:sz w:val="16"/>
          <w:szCs w:val="16"/>
          <w:lang w:val="pt-BR"/>
        </w:rPr>
        <w:t xml:space="preserve"> </w:t>
      </w:r>
      <w:r w:rsidRPr="00D5464D">
        <w:rPr>
          <w:sz w:val="16"/>
          <w:szCs w:val="16"/>
          <w:lang w:val="pt-BR"/>
        </w:rPr>
        <w:tab/>
        <w:t xml:space="preserve">Ver, entre outros, </w:t>
      </w:r>
      <w:r w:rsidRPr="00D5464D">
        <w:rPr>
          <w:rFonts w:cs="Times"/>
          <w:i/>
          <w:iCs/>
          <w:sz w:val="16"/>
          <w:szCs w:val="16"/>
          <w:lang w:val="pt-BR"/>
        </w:rPr>
        <w:t xml:space="preserve">1. Caso Broniowski Vs. Polônia, </w:t>
      </w:r>
      <w:r w:rsidRPr="00D5464D">
        <w:rPr>
          <w:rFonts w:cs="Times"/>
          <w:sz w:val="16"/>
          <w:szCs w:val="16"/>
          <w:lang w:val="pt-BR"/>
        </w:rPr>
        <w:t xml:space="preserve">Nº 31443/96, Sentença de 22 de junho de 2004; </w:t>
      </w:r>
      <w:r w:rsidRPr="00D5464D">
        <w:rPr>
          <w:rFonts w:cs="Times"/>
          <w:iCs/>
          <w:sz w:val="16"/>
          <w:szCs w:val="16"/>
          <w:lang w:val="pt-BR"/>
        </w:rPr>
        <w:t xml:space="preserve">2. </w:t>
      </w:r>
      <w:r w:rsidRPr="00D5464D">
        <w:rPr>
          <w:rFonts w:cs="Times"/>
          <w:i/>
          <w:iCs/>
          <w:sz w:val="16"/>
          <w:szCs w:val="16"/>
          <w:lang w:val="pt-BR"/>
        </w:rPr>
        <w:t>Caso Hutten-Czapska Vs. Polônia</w:t>
      </w:r>
      <w:r w:rsidRPr="00D5464D">
        <w:rPr>
          <w:rFonts w:cs="Times"/>
          <w:sz w:val="16"/>
          <w:szCs w:val="16"/>
          <w:lang w:val="pt-BR"/>
        </w:rPr>
        <w:t xml:space="preserve">, Nº 35014/97, Sentença de 19 de junho de 2006; </w:t>
      </w:r>
      <w:r w:rsidRPr="00D5464D">
        <w:rPr>
          <w:rFonts w:cs="Times"/>
          <w:iCs/>
          <w:sz w:val="16"/>
          <w:szCs w:val="16"/>
          <w:lang w:val="pt-BR"/>
        </w:rPr>
        <w:t>3.</w:t>
      </w:r>
      <w:r w:rsidRPr="00D5464D">
        <w:rPr>
          <w:rFonts w:cs="Times"/>
          <w:i/>
          <w:iCs/>
          <w:sz w:val="16"/>
          <w:szCs w:val="16"/>
          <w:lang w:val="pt-BR"/>
        </w:rPr>
        <w:t xml:space="preserve"> Caso Sejdovic Vs. Itália</w:t>
      </w:r>
      <w:r w:rsidRPr="00D5464D">
        <w:rPr>
          <w:rFonts w:cs="Times"/>
          <w:sz w:val="16"/>
          <w:szCs w:val="16"/>
          <w:lang w:val="pt-BR"/>
        </w:rPr>
        <w:t xml:space="preserve">, Nº 56581/00, Sentença de 10 de novembro de 2004; </w:t>
      </w:r>
      <w:r w:rsidRPr="00D5464D">
        <w:rPr>
          <w:rFonts w:cs="Times"/>
          <w:iCs/>
          <w:sz w:val="16"/>
          <w:szCs w:val="16"/>
          <w:lang w:val="pt-BR"/>
        </w:rPr>
        <w:t xml:space="preserve">4. </w:t>
      </w:r>
      <w:r w:rsidRPr="00D5464D">
        <w:rPr>
          <w:rFonts w:cs="Times"/>
          <w:i/>
          <w:iCs/>
          <w:sz w:val="16"/>
          <w:szCs w:val="16"/>
          <w:lang w:val="pt-BR"/>
        </w:rPr>
        <w:t xml:space="preserve">Caso Burdov (No. 2) Vs. Rússia, Nº </w:t>
      </w:r>
      <w:r w:rsidRPr="00D5464D">
        <w:rPr>
          <w:rFonts w:cs="Times"/>
          <w:sz w:val="16"/>
          <w:szCs w:val="16"/>
          <w:lang w:val="pt-BR"/>
        </w:rPr>
        <w:t xml:space="preserve">33509/04, Sentença de 15 de janeiro de 2009; </w:t>
      </w:r>
      <w:r w:rsidRPr="00D5464D">
        <w:rPr>
          <w:bCs/>
          <w:sz w:val="16"/>
          <w:szCs w:val="16"/>
          <w:lang w:val="pt-BR"/>
        </w:rPr>
        <w:t xml:space="preserve">5. Caso </w:t>
      </w:r>
      <w:r w:rsidRPr="00D5464D">
        <w:rPr>
          <w:bCs/>
          <w:i/>
          <w:sz w:val="16"/>
          <w:szCs w:val="16"/>
          <w:lang w:val="pt-BR"/>
        </w:rPr>
        <w:t>Suljagic Vs. Bósnia e Herzegovina</w:t>
      </w:r>
      <w:r w:rsidRPr="00D5464D">
        <w:rPr>
          <w:bCs/>
          <w:sz w:val="16"/>
          <w:szCs w:val="16"/>
          <w:lang w:val="pt-BR"/>
        </w:rPr>
        <w:t xml:space="preserve">, Nº </w:t>
      </w:r>
      <w:r w:rsidRPr="00D5464D">
        <w:rPr>
          <w:rFonts w:cs="Arial"/>
          <w:sz w:val="16"/>
          <w:szCs w:val="16"/>
          <w:lang w:val="pt-BR"/>
        </w:rPr>
        <w:t xml:space="preserve">27912/02, </w:t>
      </w:r>
      <w:r w:rsidRPr="00D5464D">
        <w:rPr>
          <w:bCs/>
          <w:sz w:val="16"/>
          <w:szCs w:val="16"/>
          <w:lang w:val="pt-BR"/>
        </w:rPr>
        <w:t xml:space="preserve">Sentença de 3 de novembro de 2009; </w:t>
      </w:r>
      <w:r w:rsidRPr="00D5464D">
        <w:rPr>
          <w:rFonts w:cs="Times"/>
          <w:iCs/>
          <w:sz w:val="16"/>
          <w:szCs w:val="16"/>
          <w:lang w:val="pt-BR"/>
        </w:rPr>
        <w:t>6.</w:t>
      </w:r>
      <w:r w:rsidRPr="00D5464D">
        <w:rPr>
          <w:rFonts w:cs="Times"/>
          <w:i/>
          <w:iCs/>
          <w:sz w:val="16"/>
          <w:szCs w:val="16"/>
          <w:lang w:val="pt-BR"/>
        </w:rPr>
        <w:t xml:space="preserve"> Caso Olaru e outros Vs. Moldova</w:t>
      </w:r>
      <w:r w:rsidRPr="00D5464D">
        <w:rPr>
          <w:rFonts w:cs="Times"/>
          <w:sz w:val="16"/>
          <w:szCs w:val="16"/>
          <w:lang w:val="pt-BR"/>
        </w:rPr>
        <w:t xml:space="preserve">, Nº 476/07, 22539/05, 17911/08 e 13136/07, Sentença de 28 de julho de 2009; </w:t>
      </w:r>
      <w:r w:rsidRPr="00D5464D">
        <w:rPr>
          <w:rFonts w:cs="Times"/>
          <w:iCs/>
          <w:sz w:val="16"/>
          <w:szCs w:val="16"/>
          <w:lang w:val="pt-BR"/>
        </w:rPr>
        <w:t>7.</w:t>
      </w:r>
      <w:r w:rsidRPr="00D5464D">
        <w:rPr>
          <w:rFonts w:cs="Times"/>
          <w:i/>
          <w:iCs/>
          <w:sz w:val="16"/>
          <w:szCs w:val="16"/>
          <w:lang w:val="pt-BR"/>
        </w:rPr>
        <w:t xml:space="preserve"> Caso Yurig Nikolayevich Ivanov Vs. Ucrânia, </w:t>
      </w:r>
      <w:r w:rsidRPr="00D5464D">
        <w:rPr>
          <w:rFonts w:cs="Times"/>
          <w:sz w:val="16"/>
          <w:szCs w:val="16"/>
          <w:lang w:val="pt-BR"/>
        </w:rPr>
        <w:t xml:space="preserve">Nº 40450/04, Sentença de 15 de outubro de 2009; </w:t>
      </w:r>
      <w:r w:rsidRPr="00D5464D">
        <w:rPr>
          <w:bCs/>
          <w:sz w:val="16"/>
          <w:szCs w:val="16"/>
          <w:lang w:val="pt-BR"/>
        </w:rPr>
        <w:t xml:space="preserve">8. Caso </w:t>
      </w:r>
      <w:r w:rsidRPr="00D5464D">
        <w:rPr>
          <w:bCs/>
          <w:i/>
          <w:sz w:val="16"/>
          <w:szCs w:val="16"/>
          <w:lang w:val="pt-BR"/>
        </w:rPr>
        <w:t xml:space="preserve">Rumpf Vs. Alemanha, </w:t>
      </w:r>
      <w:r w:rsidRPr="00D5464D">
        <w:rPr>
          <w:bCs/>
          <w:sz w:val="16"/>
          <w:szCs w:val="16"/>
          <w:lang w:val="pt-BR"/>
        </w:rPr>
        <w:t xml:space="preserve">Nº 46344/06, Sentença de 2 de setembro de 2010; 9. </w:t>
      </w:r>
      <w:r w:rsidRPr="00D5464D">
        <w:rPr>
          <w:bCs/>
          <w:i/>
          <w:sz w:val="16"/>
          <w:szCs w:val="16"/>
          <w:lang w:val="pt-BR"/>
        </w:rPr>
        <w:t>Caso Athanasiou e outros Vs. Grécia</w:t>
      </w:r>
      <w:r w:rsidRPr="00D5464D">
        <w:rPr>
          <w:bCs/>
          <w:sz w:val="16"/>
          <w:szCs w:val="16"/>
          <w:lang w:val="pt-BR"/>
        </w:rPr>
        <w:t xml:space="preserve">, Nº </w:t>
      </w:r>
      <w:r w:rsidRPr="00D5464D">
        <w:rPr>
          <w:rFonts w:cs="Verdana"/>
          <w:sz w:val="16"/>
          <w:szCs w:val="16"/>
          <w:lang w:val="pt-BR"/>
        </w:rPr>
        <w:t>50973/08</w:t>
      </w:r>
      <w:r w:rsidRPr="00D5464D">
        <w:rPr>
          <w:bCs/>
          <w:sz w:val="16"/>
          <w:szCs w:val="16"/>
          <w:lang w:val="pt-BR"/>
        </w:rPr>
        <w:t xml:space="preserve">, Sentença de 21 de dezembro de 2010; 10. </w:t>
      </w:r>
      <w:r w:rsidRPr="00D5464D">
        <w:rPr>
          <w:bCs/>
          <w:i/>
          <w:sz w:val="16"/>
          <w:szCs w:val="16"/>
          <w:lang w:val="pt-BR"/>
        </w:rPr>
        <w:t>Caso Greens e M.T. Vs. Reino Unido,</w:t>
      </w:r>
      <w:r w:rsidRPr="00D5464D">
        <w:rPr>
          <w:bCs/>
          <w:sz w:val="16"/>
          <w:szCs w:val="16"/>
          <w:lang w:val="pt-BR"/>
        </w:rPr>
        <w:t xml:space="preserve"> Nº </w:t>
      </w:r>
      <w:r w:rsidRPr="00D5464D">
        <w:rPr>
          <w:rFonts w:cs="Verdana"/>
          <w:sz w:val="16"/>
          <w:szCs w:val="16"/>
          <w:lang w:val="pt-BR"/>
        </w:rPr>
        <w:t>60041/08 e 60054/08</w:t>
      </w:r>
      <w:r w:rsidRPr="00D5464D">
        <w:rPr>
          <w:bCs/>
          <w:sz w:val="16"/>
          <w:szCs w:val="16"/>
          <w:lang w:val="pt-BR"/>
        </w:rPr>
        <w:t xml:space="preserve">, Sentença de 23 de novembro de 2010; 11. </w:t>
      </w:r>
      <w:r w:rsidRPr="00D5464D">
        <w:rPr>
          <w:rFonts w:cs="Times"/>
          <w:i/>
          <w:iCs/>
          <w:sz w:val="16"/>
          <w:szCs w:val="16"/>
          <w:lang w:val="pt-BR"/>
        </w:rPr>
        <w:t>Caso Maria Atanasiu e outros Vs. Romênia</w:t>
      </w:r>
      <w:r w:rsidRPr="00D5464D">
        <w:rPr>
          <w:rFonts w:cs="Times"/>
          <w:sz w:val="16"/>
          <w:szCs w:val="16"/>
          <w:lang w:val="pt-BR"/>
        </w:rPr>
        <w:t xml:space="preserve">, Nº 30767/05 e 33800/06, Sentença de 12 de outubro de 2010; 12. </w:t>
      </w:r>
      <w:r w:rsidRPr="00D5464D">
        <w:rPr>
          <w:rFonts w:cs="Times"/>
          <w:i/>
          <w:sz w:val="16"/>
          <w:szCs w:val="16"/>
          <w:lang w:val="pt-BR"/>
        </w:rPr>
        <w:t xml:space="preserve">Caso </w:t>
      </w:r>
      <w:r w:rsidRPr="00D5464D">
        <w:rPr>
          <w:rFonts w:cs="Times"/>
          <w:i/>
          <w:iCs/>
          <w:sz w:val="16"/>
          <w:szCs w:val="16"/>
          <w:lang w:val="pt-BR"/>
        </w:rPr>
        <w:t>Vassilios Athanasiou Vs. Grécia</w:t>
      </w:r>
      <w:r w:rsidRPr="00D5464D">
        <w:rPr>
          <w:rFonts w:cs="Times"/>
          <w:sz w:val="16"/>
          <w:szCs w:val="16"/>
          <w:lang w:val="pt-BR"/>
        </w:rPr>
        <w:t xml:space="preserve">, Nº 50973/08, Sentença de 21 de dezembro de 2010; 13. </w:t>
      </w:r>
      <w:r w:rsidRPr="00D5464D">
        <w:rPr>
          <w:rFonts w:cs="Times"/>
          <w:i/>
          <w:sz w:val="16"/>
          <w:szCs w:val="16"/>
          <w:lang w:val="pt-BR"/>
        </w:rPr>
        <w:t xml:space="preserve">Caso </w:t>
      </w:r>
      <w:r w:rsidRPr="00D5464D">
        <w:rPr>
          <w:rFonts w:cs="Times"/>
          <w:i/>
          <w:iCs/>
          <w:sz w:val="16"/>
          <w:szCs w:val="16"/>
          <w:lang w:val="pt-BR"/>
        </w:rPr>
        <w:t>Dimitrov e Hamanov Vs. Bulgária</w:t>
      </w:r>
      <w:r w:rsidRPr="00D5464D">
        <w:rPr>
          <w:rFonts w:cs="Times"/>
          <w:sz w:val="16"/>
          <w:szCs w:val="16"/>
          <w:lang w:val="pt-BR"/>
        </w:rPr>
        <w:t xml:space="preserve">, Nº 48059/06, Sentença de 10 de maio de 2011; 14. </w:t>
      </w:r>
      <w:r w:rsidRPr="00D5464D">
        <w:rPr>
          <w:rFonts w:cs="Times"/>
          <w:i/>
          <w:sz w:val="16"/>
          <w:szCs w:val="16"/>
          <w:lang w:val="pt-BR"/>
        </w:rPr>
        <w:t xml:space="preserve">Caso </w:t>
      </w:r>
      <w:r w:rsidRPr="00D5464D">
        <w:rPr>
          <w:rFonts w:cs="Times"/>
          <w:i/>
          <w:iCs/>
          <w:sz w:val="16"/>
          <w:szCs w:val="16"/>
          <w:lang w:val="pt-BR"/>
        </w:rPr>
        <w:t>Finger Vs. Bulgária</w:t>
      </w:r>
      <w:r w:rsidRPr="00D5464D">
        <w:rPr>
          <w:rFonts w:cs="Times"/>
          <w:sz w:val="16"/>
          <w:szCs w:val="16"/>
          <w:lang w:val="pt-BR"/>
        </w:rPr>
        <w:t xml:space="preserve">, Nº 37346/05, Sentença de 10 de maio de 2011; 15. </w:t>
      </w:r>
      <w:r w:rsidRPr="00D5464D">
        <w:rPr>
          <w:rFonts w:cs="Times"/>
          <w:i/>
          <w:sz w:val="16"/>
          <w:szCs w:val="16"/>
          <w:lang w:val="pt-BR"/>
        </w:rPr>
        <w:t xml:space="preserve">Caso </w:t>
      </w:r>
      <w:r w:rsidRPr="00D5464D">
        <w:rPr>
          <w:bCs/>
          <w:i/>
          <w:sz w:val="16"/>
          <w:szCs w:val="16"/>
          <w:lang w:val="pt-BR"/>
        </w:rPr>
        <w:t>U</w:t>
      </w:r>
      <w:r w:rsidRPr="00D5464D">
        <w:rPr>
          <w:rFonts w:ascii="Arial" w:hAnsi="Arial" w:cs="Arial"/>
          <w:bCs/>
          <w:i/>
          <w:sz w:val="16"/>
          <w:szCs w:val="16"/>
          <w:lang w:val="pt-BR"/>
        </w:rPr>
        <w:t>̈</w:t>
      </w:r>
      <w:r w:rsidRPr="00D5464D">
        <w:rPr>
          <w:bCs/>
          <w:i/>
          <w:sz w:val="16"/>
          <w:szCs w:val="16"/>
          <w:lang w:val="pt-BR"/>
        </w:rPr>
        <w:t>mmu</w:t>
      </w:r>
      <w:r w:rsidRPr="00D5464D">
        <w:rPr>
          <w:rFonts w:ascii="Arial" w:hAnsi="Arial" w:cs="Arial"/>
          <w:bCs/>
          <w:i/>
          <w:sz w:val="16"/>
          <w:szCs w:val="16"/>
          <w:lang w:val="pt-BR"/>
        </w:rPr>
        <w:t>̈</w:t>
      </w:r>
      <w:r w:rsidRPr="00D5464D">
        <w:rPr>
          <w:bCs/>
          <w:i/>
          <w:sz w:val="16"/>
          <w:szCs w:val="16"/>
          <w:lang w:val="pt-BR"/>
        </w:rPr>
        <w:t>han Kaplano Vs. Turquia</w:t>
      </w:r>
      <w:r w:rsidRPr="00D5464D">
        <w:rPr>
          <w:bCs/>
          <w:sz w:val="16"/>
          <w:szCs w:val="16"/>
          <w:lang w:val="pt-BR"/>
        </w:rPr>
        <w:t xml:space="preserve">, Nº 24240/07, Sentença de 20 de março de 2012; 16. </w:t>
      </w:r>
      <w:r w:rsidRPr="00D5464D">
        <w:rPr>
          <w:bCs/>
          <w:i/>
          <w:sz w:val="16"/>
          <w:szCs w:val="16"/>
          <w:lang w:val="pt-BR"/>
        </w:rPr>
        <w:t xml:space="preserve">Caso Michelioudakis Vs. Grécia, </w:t>
      </w:r>
      <w:r w:rsidRPr="00D5464D">
        <w:rPr>
          <w:bCs/>
          <w:sz w:val="16"/>
          <w:szCs w:val="16"/>
          <w:lang w:val="pt-BR"/>
        </w:rPr>
        <w:t xml:space="preserve">Nº 40150/09, Sentença de 3 de abril de 2012; 17. </w:t>
      </w:r>
      <w:r w:rsidRPr="00D5464D">
        <w:rPr>
          <w:bCs/>
          <w:i/>
          <w:sz w:val="16"/>
          <w:szCs w:val="16"/>
          <w:lang w:val="pt-BR"/>
        </w:rPr>
        <w:t>Caso Glykantzi Vs. Grécia</w:t>
      </w:r>
      <w:r w:rsidRPr="00D5464D">
        <w:rPr>
          <w:bCs/>
          <w:sz w:val="16"/>
          <w:szCs w:val="16"/>
          <w:lang w:val="pt-BR"/>
        </w:rPr>
        <w:t xml:space="preserve">, Nº 40150/09, Sentença de 30 de outubro de 2012; 18. Caso Kurić e outros </w:t>
      </w:r>
      <w:r w:rsidRPr="00D5464D">
        <w:rPr>
          <w:bCs/>
          <w:i/>
          <w:sz w:val="16"/>
          <w:szCs w:val="16"/>
          <w:lang w:val="pt-BR"/>
        </w:rPr>
        <w:t>Vs.</w:t>
      </w:r>
      <w:r w:rsidRPr="00D5464D">
        <w:rPr>
          <w:bCs/>
          <w:sz w:val="16"/>
          <w:szCs w:val="16"/>
          <w:lang w:val="pt-BR"/>
        </w:rPr>
        <w:t xml:space="preserve"> Eslovênia, Nº 26828/06, Sentença de 26 de junho de </w:t>
      </w:r>
      <w:r w:rsidRPr="00D5464D">
        <w:rPr>
          <w:sz w:val="16"/>
          <w:szCs w:val="16"/>
          <w:lang w:val="pt-BR"/>
        </w:rPr>
        <w:t xml:space="preserve">2012; </w:t>
      </w:r>
      <w:r w:rsidRPr="00D5464D">
        <w:rPr>
          <w:bCs/>
          <w:sz w:val="16"/>
          <w:szCs w:val="16"/>
          <w:lang w:val="pt-BR"/>
        </w:rPr>
        <w:t xml:space="preserve">19. </w:t>
      </w:r>
      <w:r w:rsidRPr="00D5464D">
        <w:rPr>
          <w:bCs/>
          <w:i/>
          <w:sz w:val="16"/>
          <w:szCs w:val="16"/>
          <w:lang w:val="pt-BR"/>
        </w:rPr>
        <w:t xml:space="preserve">Caso </w:t>
      </w:r>
      <w:r w:rsidRPr="00D5464D">
        <w:rPr>
          <w:bCs/>
          <w:sz w:val="16"/>
          <w:szCs w:val="16"/>
          <w:lang w:val="pt-BR"/>
        </w:rPr>
        <w:t xml:space="preserve">Ananyev e outros Vs. Rússia, Nº </w:t>
      </w:r>
      <w:r w:rsidRPr="00D5464D">
        <w:rPr>
          <w:rFonts w:cs="Verdana"/>
          <w:sz w:val="16"/>
          <w:szCs w:val="16"/>
          <w:lang w:val="pt-BR"/>
        </w:rPr>
        <w:t>42525/07 e 60800/08</w:t>
      </w:r>
      <w:r w:rsidRPr="00D5464D">
        <w:rPr>
          <w:rFonts w:cs="Times"/>
          <w:sz w:val="16"/>
          <w:szCs w:val="16"/>
          <w:lang w:val="pt-BR"/>
        </w:rPr>
        <w:t xml:space="preserve">, </w:t>
      </w:r>
      <w:r w:rsidRPr="00D5464D">
        <w:rPr>
          <w:bCs/>
          <w:sz w:val="16"/>
          <w:szCs w:val="16"/>
          <w:lang w:val="pt-BR"/>
        </w:rPr>
        <w:t xml:space="preserve">Sentença 10 de janeiro de </w:t>
      </w:r>
      <w:r w:rsidRPr="00D5464D">
        <w:rPr>
          <w:sz w:val="16"/>
          <w:szCs w:val="16"/>
          <w:lang w:val="pt-BR"/>
        </w:rPr>
        <w:t xml:space="preserve">2012; </w:t>
      </w:r>
      <w:r w:rsidRPr="00D5464D">
        <w:rPr>
          <w:bCs/>
          <w:sz w:val="16"/>
          <w:szCs w:val="16"/>
          <w:lang w:val="pt-BR"/>
        </w:rPr>
        <w:t xml:space="preserve">20. </w:t>
      </w:r>
      <w:r w:rsidRPr="00D5464D">
        <w:rPr>
          <w:bCs/>
          <w:i/>
          <w:sz w:val="16"/>
          <w:szCs w:val="16"/>
          <w:lang w:val="pt-BR"/>
        </w:rPr>
        <w:t xml:space="preserve">Caso Manushaqe Puto e outros Vs. Albânia, </w:t>
      </w:r>
      <w:r w:rsidRPr="00D5464D">
        <w:rPr>
          <w:bCs/>
          <w:sz w:val="16"/>
          <w:szCs w:val="16"/>
          <w:lang w:val="pt-BR"/>
        </w:rPr>
        <w:t xml:space="preserve">Nº </w:t>
      </w:r>
      <w:r w:rsidRPr="00D5464D">
        <w:rPr>
          <w:rFonts w:cs="Verdana"/>
          <w:sz w:val="16"/>
          <w:szCs w:val="16"/>
          <w:lang w:val="pt-BR"/>
        </w:rPr>
        <w:t xml:space="preserve">604/07, 43628/07, 46684/07 e 34770/09; </w:t>
      </w:r>
      <w:r w:rsidRPr="00D5464D">
        <w:rPr>
          <w:bCs/>
          <w:sz w:val="16"/>
          <w:szCs w:val="16"/>
          <w:lang w:val="pt-BR"/>
        </w:rPr>
        <w:t xml:space="preserve">Sentença de 31 de julho de 2012; 21. </w:t>
      </w:r>
      <w:r w:rsidRPr="00D5464D">
        <w:rPr>
          <w:bCs/>
          <w:i/>
          <w:sz w:val="16"/>
          <w:szCs w:val="16"/>
          <w:lang w:val="pt-BR"/>
        </w:rPr>
        <w:t xml:space="preserve">Caso Torreggiani e outros Vs. Itália, </w:t>
      </w:r>
      <w:r w:rsidRPr="00D5464D">
        <w:rPr>
          <w:bCs/>
          <w:sz w:val="16"/>
          <w:szCs w:val="16"/>
          <w:lang w:val="pt-BR"/>
        </w:rPr>
        <w:t xml:space="preserve">Nº </w:t>
      </w:r>
      <w:r w:rsidRPr="00D5464D">
        <w:rPr>
          <w:rFonts w:cs="Verdana"/>
          <w:sz w:val="16"/>
          <w:szCs w:val="16"/>
          <w:lang w:val="pt-BR"/>
        </w:rPr>
        <w:t>43517/09</w:t>
      </w:r>
      <w:r w:rsidRPr="00D5464D">
        <w:rPr>
          <w:bCs/>
          <w:sz w:val="16"/>
          <w:szCs w:val="16"/>
          <w:lang w:val="pt-BR"/>
        </w:rPr>
        <w:t xml:space="preserve">, Sentença de 8 de janeiro de 2013; 22. </w:t>
      </w:r>
      <w:r w:rsidRPr="00D5464D">
        <w:rPr>
          <w:bCs/>
          <w:i/>
          <w:sz w:val="16"/>
          <w:szCs w:val="16"/>
          <w:lang w:val="pt-BR"/>
        </w:rPr>
        <w:t>Caso M.C. e outros Vs. Itália</w:t>
      </w:r>
      <w:r w:rsidRPr="00D5464D">
        <w:rPr>
          <w:bCs/>
          <w:sz w:val="16"/>
          <w:szCs w:val="16"/>
          <w:lang w:val="pt-BR"/>
        </w:rPr>
        <w:t xml:space="preserve">, Nº 5376/11, Sentença de 3 de setembro de 2013; 23. </w:t>
      </w:r>
      <w:r w:rsidRPr="00D5464D">
        <w:rPr>
          <w:bCs/>
          <w:i/>
          <w:sz w:val="16"/>
          <w:szCs w:val="16"/>
          <w:lang w:val="pt-BR"/>
        </w:rPr>
        <w:t xml:space="preserve">Caso Gerasimov e outros Vs. Rússia, </w:t>
      </w:r>
      <w:r w:rsidRPr="00D5464D">
        <w:rPr>
          <w:bCs/>
          <w:sz w:val="16"/>
          <w:szCs w:val="16"/>
          <w:lang w:val="pt-BR"/>
        </w:rPr>
        <w:t xml:space="preserve">Nº </w:t>
      </w:r>
      <w:r w:rsidRPr="00D5464D">
        <w:rPr>
          <w:rFonts w:cs="Calibri"/>
          <w:sz w:val="16"/>
          <w:szCs w:val="16"/>
          <w:lang w:val="pt-BR"/>
        </w:rPr>
        <w:t>29920/05, 3553/06, 18876/10, 61186/10, 21176/11, 36112/11, 36426/11, 40841/11, 45381/11, 55929/11 e 60822/11</w:t>
      </w:r>
      <w:r w:rsidRPr="00D5464D">
        <w:rPr>
          <w:bCs/>
          <w:sz w:val="16"/>
          <w:szCs w:val="16"/>
          <w:lang w:val="pt-BR"/>
        </w:rPr>
        <w:t xml:space="preserve">, Sentença de julho de 2014; 24. </w:t>
      </w:r>
      <w:r w:rsidRPr="00D5464D">
        <w:rPr>
          <w:bCs/>
          <w:i/>
          <w:sz w:val="16"/>
          <w:szCs w:val="16"/>
          <w:lang w:val="pt-BR"/>
        </w:rPr>
        <w:t>Caso Ali</w:t>
      </w:r>
      <w:r w:rsidRPr="00D5464D">
        <w:rPr>
          <w:rFonts w:cs="Arial"/>
          <w:bCs/>
          <w:i/>
          <w:sz w:val="16"/>
          <w:szCs w:val="16"/>
          <w:lang w:val="pt-BR"/>
        </w:rPr>
        <w:t>s</w:t>
      </w:r>
      <w:r w:rsidRPr="00D5464D">
        <w:rPr>
          <w:rFonts w:ascii="Arial" w:hAnsi="Arial" w:cs="Arial"/>
          <w:bCs/>
          <w:i/>
          <w:sz w:val="16"/>
          <w:szCs w:val="16"/>
          <w:lang w:val="pt-BR"/>
        </w:rPr>
        <w:t>̌</w:t>
      </w:r>
      <w:r w:rsidRPr="00D5464D">
        <w:rPr>
          <w:bCs/>
          <w:i/>
          <w:sz w:val="16"/>
          <w:szCs w:val="16"/>
          <w:lang w:val="pt-BR"/>
        </w:rPr>
        <w:t>i</w:t>
      </w:r>
      <w:r w:rsidRPr="00D5464D">
        <w:rPr>
          <w:rFonts w:cs="Arial"/>
          <w:bCs/>
          <w:i/>
          <w:sz w:val="16"/>
          <w:szCs w:val="16"/>
          <w:lang w:val="pt-BR"/>
        </w:rPr>
        <w:t xml:space="preserve">ć </w:t>
      </w:r>
      <w:r w:rsidRPr="00D5464D">
        <w:rPr>
          <w:bCs/>
          <w:i/>
          <w:sz w:val="16"/>
          <w:szCs w:val="16"/>
          <w:lang w:val="pt-BR"/>
        </w:rPr>
        <w:t xml:space="preserve">e outros Vs. Bósnia e Herzegovina, Croácia, “antiga República Iugoslava da Macedônia”, Sérvia e Eslovênia, </w:t>
      </w:r>
      <w:r w:rsidRPr="00D5464D">
        <w:rPr>
          <w:bCs/>
          <w:sz w:val="16"/>
          <w:szCs w:val="16"/>
          <w:lang w:val="pt-BR"/>
        </w:rPr>
        <w:t>Nº 60642/08,</w:t>
      </w:r>
      <w:r w:rsidRPr="00D5464D">
        <w:rPr>
          <w:bCs/>
          <w:i/>
          <w:sz w:val="16"/>
          <w:szCs w:val="16"/>
          <w:lang w:val="pt-BR"/>
        </w:rPr>
        <w:t xml:space="preserve"> </w:t>
      </w:r>
      <w:r w:rsidRPr="00D5464D">
        <w:rPr>
          <w:bCs/>
          <w:sz w:val="16"/>
          <w:szCs w:val="16"/>
          <w:lang w:val="pt-BR"/>
        </w:rPr>
        <w:t xml:space="preserve">Sentença de 16 de julho de 2014; 25. </w:t>
      </w:r>
      <w:r w:rsidRPr="00D5464D">
        <w:rPr>
          <w:bCs/>
          <w:i/>
          <w:sz w:val="16"/>
          <w:szCs w:val="16"/>
          <w:lang w:val="pt-BR"/>
        </w:rPr>
        <w:t>Caso Gazsó Vs. Hungria</w:t>
      </w:r>
      <w:r w:rsidRPr="00D5464D">
        <w:rPr>
          <w:bCs/>
          <w:sz w:val="16"/>
          <w:szCs w:val="16"/>
          <w:lang w:val="pt-BR"/>
        </w:rPr>
        <w:t xml:space="preserve">, Nº </w:t>
      </w:r>
      <w:r w:rsidRPr="00D5464D">
        <w:rPr>
          <w:rFonts w:cs="Calibri"/>
          <w:sz w:val="16"/>
          <w:szCs w:val="16"/>
          <w:lang w:val="pt-BR"/>
        </w:rPr>
        <w:t>48322/12</w:t>
      </w:r>
      <w:r w:rsidRPr="00D5464D">
        <w:rPr>
          <w:bCs/>
          <w:sz w:val="16"/>
          <w:szCs w:val="16"/>
          <w:lang w:val="pt-BR"/>
        </w:rPr>
        <w:t xml:space="preserve">, Sentença de 16 de julho de 2015; 26. </w:t>
      </w:r>
      <w:r w:rsidRPr="00D5464D">
        <w:rPr>
          <w:bCs/>
          <w:i/>
          <w:sz w:val="16"/>
          <w:szCs w:val="16"/>
          <w:lang w:val="pt-BR"/>
        </w:rPr>
        <w:t>Caso Neshkov e outros Vs. Bulgária</w:t>
      </w:r>
      <w:r w:rsidRPr="00D5464D">
        <w:rPr>
          <w:bCs/>
          <w:sz w:val="16"/>
          <w:szCs w:val="16"/>
          <w:lang w:val="pt-BR"/>
        </w:rPr>
        <w:t xml:space="preserve">, Nº </w:t>
      </w:r>
      <w:r w:rsidRPr="00D5464D">
        <w:rPr>
          <w:rFonts w:cs="Calibri"/>
          <w:sz w:val="16"/>
          <w:szCs w:val="16"/>
          <w:lang w:val="pt-BR"/>
        </w:rPr>
        <w:t>36925/10, 21487/12, 72893/12, 73196/12, 77718/12 e 9717/13</w:t>
      </w:r>
      <w:r w:rsidRPr="00D5464D">
        <w:rPr>
          <w:bCs/>
          <w:sz w:val="16"/>
          <w:szCs w:val="16"/>
          <w:lang w:val="pt-BR"/>
        </w:rPr>
        <w:t xml:space="preserve">, Sentença de 27 de janeiro de 2015; 27. </w:t>
      </w:r>
      <w:r w:rsidRPr="00D5464D">
        <w:rPr>
          <w:bCs/>
          <w:i/>
          <w:sz w:val="16"/>
          <w:szCs w:val="16"/>
          <w:lang w:val="pt-BR"/>
        </w:rPr>
        <w:t>Caso Varga e outros Vs. Hungria</w:t>
      </w:r>
      <w:r w:rsidRPr="00D5464D">
        <w:rPr>
          <w:bCs/>
          <w:sz w:val="16"/>
          <w:szCs w:val="16"/>
          <w:lang w:val="pt-BR"/>
        </w:rPr>
        <w:t xml:space="preserve">, Nº </w:t>
      </w:r>
      <w:r w:rsidRPr="00D5464D">
        <w:rPr>
          <w:rFonts w:cs="Calibri"/>
          <w:sz w:val="16"/>
          <w:szCs w:val="16"/>
          <w:lang w:val="pt-BR"/>
        </w:rPr>
        <w:t>14097/12, 45135/12, 73712/12, 34001/13, 44055/13 e 64586/13</w:t>
      </w:r>
      <w:r w:rsidRPr="00D5464D">
        <w:rPr>
          <w:bCs/>
          <w:sz w:val="16"/>
          <w:szCs w:val="16"/>
          <w:lang w:val="pt-BR"/>
        </w:rPr>
        <w:t>, Sentença de 10 de março de 2015; e 28</w:t>
      </w:r>
      <w:r w:rsidRPr="00D5464D">
        <w:rPr>
          <w:bCs/>
          <w:i/>
          <w:sz w:val="16"/>
          <w:szCs w:val="16"/>
          <w:lang w:val="pt-BR"/>
        </w:rPr>
        <w:t xml:space="preserve">. Caso </w:t>
      </w:r>
      <w:r w:rsidRPr="00D5464D">
        <w:rPr>
          <w:rFonts w:cs="Verdana"/>
          <w:bCs/>
          <w:i/>
          <w:sz w:val="16"/>
          <w:szCs w:val="16"/>
          <w:lang w:val="pt-BR"/>
        </w:rPr>
        <w:t>W.D. Vs. Bélgica</w:t>
      </w:r>
      <w:r w:rsidRPr="00D5464D">
        <w:rPr>
          <w:rFonts w:cs="Verdana"/>
          <w:bCs/>
          <w:sz w:val="16"/>
          <w:szCs w:val="16"/>
          <w:lang w:val="pt-BR"/>
        </w:rPr>
        <w:t xml:space="preserve">, Nº 73548/13. Sentença de 6 de setembro de 2016. </w:t>
      </w:r>
    </w:p>
    <w:p w14:paraId="5BE47D9F" w14:textId="77777777" w:rsidR="00F16338" w:rsidRPr="00D5464D" w:rsidRDefault="00F16338" w:rsidP="00F16338">
      <w:pPr>
        <w:pStyle w:val="Textonotapie"/>
        <w:tabs>
          <w:tab w:val="left" w:pos="709"/>
        </w:tabs>
        <w:rPr>
          <w:lang w:val="pt-BR"/>
        </w:rPr>
      </w:pPr>
    </w:p>
  </w:footnote>
  <w:footnote w:id="625">
    <w:p w14:paraId="67B4268F" w14:textId="77777777" w:rsidR="00F16338" w:rsidRPr="00D5464D" w:rsidRDefault="00F16338" w:rsidP="00F16338">
      <w:pPr>
        <w:pStyle w:val="Prrafodelista"/>
        <w:tabs>
          <w:tab w:val="left" w:pos="709"/>
        </w:tabs>
        <w:ind w:left="0"/>
        <w:rPr>
          <w:rFonts w:cs="System Font Regular"/>
          <w:i/>
          <w:sz w:val="16"/>
          <w:szCs w:val="16"/>
          <w:lang w:val="pt-BR"/>
        </w:rPr>
      </w:pPr>
      <w:r w:rsidRPr="00D5464D">
        <w:rPr>
          <w:rStyle w:val="Refdenotaalpie"/>
          <w:sz w:val="16"/>
          <w:szCs w:val="16"/>
          <w:lang w:val="es-ES_tradnl"/>
        </w:rPr>
        <w:footnoteRef/>
      </w:r>
      <w:r w:rsidRPr="00D5464D">
        <w:rPr>
          <w:sz w:val="16"/>
          <w:szCs w:val="16"/>
          <w:lang w:val="pt-BR"/>
        </w:rPr>
        <w:t xml:space="preserve"> </w:t>
      </w:r>
      <w:r w:rsidRPr="00D5464D">
        <w:rPr>
          <w:sz w:val="16"/>
          <w:szCs w:val="16"/>
          <w:lang w:val="pt-BR"/>
        </w:rPr>
        <w:tab/>
      </w:r>
      <w:r w:rsidRPr="00D5464D">
        <w:rPr>
          <w:i/>
          <w:sz w:val="16"/>
          <w:szCs w:val="16"/>
          <w:lang w:val="pt-BR"/>
        </w:rPr>
        <w:t xml:space="preserve">Cf. </w:t>
      </w:r>
      <w:r w:rsidRPr="00D5464D">
        <w:rPr>
          <w:sz w:val="16"/>
          <w:szCs w:val="16"/>
          <w:lang w:val="pt-BR"/>
        </w:rPr>
        <w:t>Comitê de Direitos Econômicos, Sociais e Culturais, Observação Geral nº 20, A Não Discriminação e os Direitos Econômicos, Sociais e Culturais</w:t>
      </w:r>
      <w:r w:rsidRPr="00D5464D">
        <w:rPr>
          <w:i/>
          <w:sz w:val="16"/>
          <w:szCs w:val="16"/>
          <w:lang w:val="pt-BR"/>
        </w:rPr>
        <w:t xml:space="preserve"> (artigo 2, parágrafo 2 do Pacto Internacional sobre Direitos Econômicos, Sociais e Culturais)</w:t>
      </w:r>
      <w:r w:rsidRPr="00D5464D">
        <w:rPr>
          <w:sz w:val="16"/>
          <w:szCs w:val="16"/>
          <w:lang w:val="pt-BR"/>
        </w:rPr>
        <w:t xml:space="preserve">, 2 de julho de 2009, E/C.12/GC/20, </w:t>
      </w:r>
      <w:r w:rsidRPr="00D5464D">
        <w:rPr>
          <w:rFonts w:cs="System Font Regular"/>
          <w:color w:val="16191F"/>
          <w:sz w:val="16"/>
          <w:szCs w:val="16"/>
          <w:lang w:val="pt-BR"/>
        </w:rPr>
        <w:t>par. 6.</w:t>
      </w:r>
    </w:p>
  </w:footnote>
  <w:footnote w:id="626">
    <w:p w14:paraId="05382813" w14:textId="77777777" w:rsidR="00F16338" w:rsidRPr="00D5464D" w:rsidRDefault="00F16338" w:rsidP="00F16338">
      <w:pPr>
        <w:pStyle w:val="NormalWeb"/>
        <w:tabs>
          <w:tab w:val="left" w:pos="709"/>
        </w:tabs>
        <w:jc w:val="both"/>
        <w:rPr>
          <w:sz w:val="16"/>
          <w:szCs w:val="16"/>
          <w:lang w:val="pt-BR"/>
        </w:rPr>
      </w:pPr>
      <w:r w:rsidRPr="00D5464D">
        <w:rPr>
          <w:rStyle w:val="Refdenotaalpie"/>
          <w:sz w:val="16"/>
          <w:szCs w:val="16"/>
          <w:lang w:val="es-ES_tradnl"/>
        </w:rPr>
        <w:footnoteRef/>
      </w:r>
      <w:r w:rsidRPr="00D5464D">
        <w:rPr>
          <w:sz w:val="16"/>
          <w:szCs w:val="16"/>
          <w:lang w:val="pt-BR"/>
        </w:rPr>
        <w:t xml:space="preserve"> </w:t>
      </w:r>
      <w:r w:rsidRPr="00D5464D">
        <w:rPr>
          <w:sz w:val="16"/>
          <w:szCs w:val="16"/>
          <w:lang w:val="pt-BR"/>
        </w:rPr>
        <w:tab/>
        <w:t xml:space="preserve">ONU, Comitê para a Eliminação da Discriminação contra a Mulher, </w:t>
      </w:r>
      <w:r w:rsidRPr="00D5464D">
        <w:rPr>
          <w:rFonts w:cs="Times"/>
          <w:bCs/>
          <w:i/>
          <w:sz w:val="16"/>
          <w:szCs w:val="16"/>
          <w:lang w:val="pt-BR"/>
        </w:rPr>
        <w:t>Recomendação Geral Nº 28 relativa às obrigações básicas dos Estados partes de acordo com o artigo 2 da Convenção sobre a Eliminação de todas as Formas de Discriminação contra a Mulher</w:t>
      </w:r>
      <w:r w:rsidRPr="00D5464D">
        <w:rPr>
          <w:rFonts w:cs="Times"/>
          <w:bCs/>
          <w:sz w:val="16"/>
          <w:szCs w:val="16"/>
          <w:lang w:val="pt-BR"/>
        </w:rPr>
        <w:t xml:space="preserve">, </w:t>
      </w:r>
      <w:r w:rsidRPr="00D5464D">
        <w:rPr>
          <w:sz w:val="16"/>
          <w:szCs w:val="16"/>
          <w:lang w:val="pt-BR"/>
        </w:rPr>
        <w:t>16 de dezembro de 2010, CEDAW/C/GC/28, par. 16</w:t>
      </w:r>
      <w:r w:rsidRPr="00D5464D">
        <w:rPr>
          <w:rFonts w:cs="System Font Regular"/>
          <w:color w:val="16191F"/>
          <w:sz w:val="16"/>
          <w:szCs w:val="16"/>
          <w:lang w:val="pt-BR"/>
        </w:rPr>
        <w:t xml:space="preserve">. No mesmo sentido da discriminação estrutural sofrida pelas mulheres, a Relatora Especial expressou que: </w:t>
      </w:r>
      <w:r w:rsidRPr="00D5464D">
        <w:rPr>
          <w:i/>
          <w:sz w:val="16"/>
          <w:szCs w:val="16"/>
          <w:lang w:val="pt-BR"/>
        </w:rPr>
        <w:t>17. A discriminação e a violência que se refletem nos homicídios de mulheres relacionados com o gênero podem ser interpretadas como múltiplos círculos concêntricos, cada um dos quais em intersecção com o outro</w:t>
      </w:r>
      <w:r w:rsidRPr="00D5464D">
        <w:rPr>
          <w:sz w:val="16"/>
          <w:szCs w:val="16"/>
          <w:lang w:val="pt-BR"/>
        </w:rPr>
        <w:t xml:space="preserve">. Estes círculos incluem </w:t>
      </w:r>
      <w:r w:rsidRPr="00D5464D">
        <w:rPr>
          <w:i/>
          <w:sz w:val="16"/>
          <w:szCs w:val="16"/>
          <w:lang w:val="pt-BR"/>
        </w:rPr>
        <w:t>fatores estruturais, institucionais, interpessoais e individuais</w:t>
      </w:r>
      <w:r w:rsidRPr="00D5464D">
        <w:rPr>
          <w:sz w:val="16"/>
          <w:szCs w:val="16"/>
          <w:lang w:val="pt-BR"/>
        </w:rPr>
        <w:t xml:space="preserve">. Os </w:t>
      </w:r>
      <w:r w:rsidRPr="00D5464D">
        <w:rPr>
          <w:i/>
          <w:sz w:val="16"/>
          <w:szCs w:val="16"/>
          <w:lang w:val="pt-BR"/>
        </w:rPr>
        <w:t>fatores estruturais</w:t>
      </w:r>
      <w:r w:rsidRPr="00D5464D">
        <w:rPr>
          <w:sz w:val="16"/>
          <w:szCs w:val="16"/>
          <w:lang w:val="pt-BR"/>
        </w:rPr>
        <w:t xml:space="preserve"> são os sistemas sociais, econômicos e políticos no nível macro; os </w:t>
      </w:r>
      <w:r w:rsidRPr="00D5464D">
        <w:rPr>
          <w:i/>
          <w:sz w:val="16"/>
          <w:szCs w:val="16"/>
          <w:lang w:val="pt-BR"/>
        </w:rPr>
        <w:t>fatores institucionais</w:t>
      </w:r>
      <w:r w:rsidRPr="00D5464D">
        <w:rPr>
          <w:sz w:val="16"/>
          <w:szCs w:val="16"/>
          <w:lang w:val="pt-BR"/>
        </w:rPr>
        <w:t xml:space="preserve"> são as instituições e redes sociais formais ou informais; os </w:t>
      </w:r>
      <w:r w:rsidRPr="00D5464D">
        <w:rPr>
          <w:i/>
          <w:sz w:val="16"/>
          <w:szCs w:val="16"/>
          <w:lang w:val="pt-BR"/>
        </w:rPr>
        <w:t xml:space="preserve">fatores interpessoais </w:t>
      </w:r>
      <w:r w:rsidRPr="00D5464D">
        <w:rPr>
          <w:sz w:val="16"/>
          <w:szCs w:val="16"/>
          <w:lang w:val="pt-BR"/>
        </w:rPr>
        <w:t xml:space="preserve">consistem nas relações pessoais entre casais, entre familiares e dentro da comunidade e os </w:t>
      </w:r>
      <w:r w:rsidRPr="00D5464D">
        <w:rPr>
          <w:i/>
          <w:sz w:val="16"/>
          <w:szCs w:val="16"/>
          <w:lang w:val="pt-BR"/>
        </w:rPr>
        <w:t xml:space="preserve">fatores individuais </w:t>
      </w:r>
      <w:r w:rsidRPr="00D5464D">
        <w:rPr>
          <w:sz w:val="16"/>
          <w:szCs w:val="16"/>
          <w:lang w:val="pt-BR"/>
        </w:rPr>
        <w:t>incluem a personalidade e a capacidade individual para responder à violência</w:t>
      </w:r>
      <w:r w:rsidRPr="00D5464D">
        <w:rPr>
          <w:i/>
          <w:sz w:val="16"/>
          <w:szCs w:val="16"/>
          <w:lang w:val="pt-BR"/>
        </w:rPr>
        <w:t xml:space="preserve">. Relatório </w:t>
      </w:r>
      <w:r w:rsidRPr="00D5464D">
        <w:rPr>
          <w:rFonts w:cs="Times"/>
          <w:bCs/>
          <w:i/>
          <w:sz w:val="16"/>
          <w:szCs w:val="16"/>
          <w:lang w:val="pt-BR"/>
        </w:rPr>
        <w:t>da Relatora Especial sobre a violência contra a mulher, suas causas e suas consequências</w:t>
      </w:r>
      <w:r w:rsidRPr="00D5464D">
        <w:rPr>
          <w:rFonts w:cs="Times"/>
          <w:bCs/>
          <w:sz w:val="16"/>
          <w:szCs w:val="16"/>
          <w:lang w:val="pt-BR"/>
        </w:rPr>
        <w:t xml:space="preserve">, Rashida Manjoo, </w:t>
      </w:r>
      <w:r w:rsidRPr="00D5464D">
        <w:rPr>
          <w:sz w:val="16"/>
          <w:szCs w:val="16"/>
          <w:lang w:val="pt-BR"/>
        </w:rPr>
        <w:t xml:space="preserve">23 de maio de 2012, A/HRC/20/16. </w:t>
      </w:r>
    </w:p>
  </w:footnote>
  <w:footnote w:id="627">
    <w:p w14:paraId="56661880" w14:textId="77777777" w:rsidR="00F16338" w:rsidRPr="00D5464D" w:rsidRDefault="00F16338" w:rsidP="00F16338">
      <w:pPr>
        <w:pStyle w:val="NormalWeb"/>
        <w:tabs>
          <w:tab w:val="left" w:pos="709"/>
        </w:tabs>
        <w:jc w:val="both"/>
        <w:rPr>
          <w:sz w:val="16"/>
          <w:szCs w:val="16"/>
          <w:lang w:val="pt-BR"/>
        </w:rPr>
      </w:pPr>
      <w:r w:rsidRPr="00D5464D">
        <w:rPr>
          <w:rStyle w:val="Refdenotaalpie"/>
          <w:sz w:val="16"/>
          <w:szCs w:val="16"/>
          <w:lang w:val="es-ES_tradnl"/>
        </w:rPr>
        <w:footnoteRef/>
      </w:r>
      <w:r w:rsidRPr="00D5464D">
        <w:rPr>
          <w:sz w:val="16"/>
          <w:szCs w:val="16"/>
          <w:lang w:val="pt-BR"/>
        </w:rPr>
        <w:t xml:space="preserve"> </w:t>
      </w:r>
      <w:r w:rsidRPr="00D5464D">
        <w:rPr>
          <w:sz w:val="16"/>
          <w:szCs w:val="16"/>
          <w:lang w:val="pt-BR"/>
        </w:rPr>
        <w:tab/>
        <w:t>ONU, Comitê para a Eliminação da Discriminação Racial</w:t>
      </w:r>
      <w:r w:rsidRPr="00D5464D">
        <w:rPr>
          <w:i/>
          <w:sz w:val="16"/>
          <w:szCs w:val="16"/>
          <w:lang w:val="pt-BR"/>
        </w:rPr>
        <w:t>, Recomenda</w:t>
      </w:r>
      <w:r w:rsidRPr="00D5464D">
        <w:rPr>
          <w:sz w:val="16"/>
          <w:szCs w:val="16"/>
          <w:lang w:val="pt-BR"/>
        </w:rPr>
        <w:t>ção</w:t>
      </w:r>
      <w:r w:rsidRPr="00D5464D">
        <w:rPr>
          <w:i/>
          <w:sz w:val="16"/>
          <w:szCs w:val="16"/>
          <w:lang w:val="pt-BR"/>
        </w:rPr>
        <w:t xml:space="preserve"> Geral Nº 34 sobre Discrimina</w:t>
      </w:r>
      <w:r w:rsidRPr="00D5464D">
        <w:rPr>
          <w:sz w:val="16"/>
          <w:szCs w:val="16"/>
          <w:lang w:val="pt-BR"/>
        </w:rPr>
        <w:t>ção</w:t>
      </w:r>
      <w:r w:rsidRPr="00D5464D">
        <w:rPr>
          <w:i/>
          <w:sz w:val="16"/>
          <w:szCs w:val="16"/>
          <w:lang w:val="pt-BR"/>
        </w:rPr>
        <w:t xml:space="preserve"> Racial contra Afrodescendentes</w:t>
      </w:r>
      <w:r w:rsidRPr="00D5464D">
        <w:rPr>
          <w:sz w:val="16"/>
          <w:szCs w:val="16"/>
          <w:lang w:val="pt-BR"/>
        </w:rPr>
        <w:t>, 3 de outubro de 2011, CERD/C/GC/34, par. 6.</w:t>
      </w:r>
    </w:p>
  </w:footnote>
  <w:footnote w:id="628">
    <w:p w14:paraId="25C6B7CD" w14:textId="77777777" w:rsidR="00F16338" w:rsidRPr="00D5464D" w:rsidRDefault="00F16338" w:rsidP="00F16338">
      <w:pPr>
        <w:pStyle w:val="Textonotapie"/>
        <w:tabs>
          <w:tab w:val="left" w:pos="709"/>
        </w:tabs>
        <w:spacing w:after="0"/>
        <w:rPr>
          <w:lang w:val="pt-BR"/>
        </w:rPr>
      </w:pPr>
      <w:r w:rsidRPr="00D5464D">
        <w:rPr>
          <w:rStyle w:val="Refdenotaalpie"/>
          <w:lang w:val="es-ES_tradnl"/>
        </w:rPr>
        <w:footnoteRef/>
      </w:r>
      <w:r w:rsidRPr="00D5464D">
        <w:rPr>
          <w:lang w:val="pt-BR"/>
        </w:rPr>
        <w:tab/>
        <w:t xml:space="preserve">ONU, Comitê para os Direitos das Pessoas com Deficiência, </w:t>
      </w:r>
      <w:r w:rsidRPr="00D5464D">
        <w:rPr>
          <w:i/>
          <w:lang w:val="pt-BR"/>
        </w:rPr>
        <w:t>Observação Geral nº 3 sobre Mulheres e Crianças com Deficiência</w:t>
      </w:r>
      <w:r w:rsidRPr="00D5464D">
        <w:rPr>
          <w:lang w:val="pt-BR"/>
        </w:rPr>
        <w:t xml:space="preserve">, 2 de setembro de 2016, </w:t>
      </w:r>
      <w:r w:rsidRPr="00D5464D">
        <w:rPr>
          <w:rFonts w:eastAsia="Times New Roman" w:cs="Times New Roman"/>
          <w:lang w:val="pt-BR"/>
        </w:rPr>
        <w:t xml:space="preserve">CRPD/C/GC/3, par. 17.e. </w:t>
      </w:r>
    </w:p>
    <w:p w14:paraId="5385EA05" w14:textId="77777777" w:rsidR="00F16338" w:rsidRPr="00D5464D" w:rsidRDefault="00F16338" w:rsidP="00F16338">
      <w:pPr>
        <w:pStyle w:val="Textonotapie"/>
        <w:tabs>
          <w:tab w:val="left" w:pos="709"/>
        </w:tabs>
        <w:spacing w:after="0"/>
        <w:rPr>
          <w:lang w:val="pt-BR"/>
        </w:rPr>
      </w:pPr>
    </w:p>
  </w:footnote>
  <w:footnote w:id="629">
    <w:p w14:paraId="536FA4A5" w14:textId="77777777" w:rsidR="00F16338" w:rsidRPr="00D5464D" w:rsidRDefault="00F16338" w:rsidP="00F16338">
      <w:pPr>
        <w:pStyle w:val="Textonotapie"/>
        <w:tabs>
          <w:tab w:val="left" w:pos="709"/>
        </w:tabs>
        <w:spacing w:after="0"/>
        <w:rPr>
          <w:lang w:val="pt-BR"/>
        </w:rPr>
      </w:pPr>
      <w:r w:rsidRPr="00D5464D">
        <w:rPr>
          <w:rStyle w:val="Refdenotaalpie"/>
          <w:lang w:val="es-ES_tradnl"/>
        </w:rPr>
        <w:footnoteRef/>
      </w:r>
      <w:r w:rsidRPr="00D5464D">
        <w:rPr>
          <w:lang w:val="pt-BR"/>
        </w:rPr>
        <w:tab/>
        <w:t xml:space="preserve">ONU, Relatório </w:t>
      </w:r>
      <w:r w:rsidRPr="00D5464D">
        <w:rPr>
          <w:i/>
          <w:lang w:val="pt-BR"/>
        </w:rPr>
        <w:t xml:space="preserve">do Relator Especial das Nações Unidas sobre o Direito à Alimentação, </w:t>
      </w:r>
      <w:r w:rsidRPr="00D5464D">
        <w:rPr>
          <w:lang w:val="pt-BR"/>
        </w:rPr>
        <w:t xml:space="preserve">Oliver de Schutter, Fazer da Crise uma Oportunidade: Fortalecer o Multilateralismo, 21 de julho de 2009, A/HCR/12/31, par. 30. </w:t>
      </w:r>
    </w:p>
    <w:p w14:paraId="7D0C3E2E" w14:textId="77777777" w:rsidR="00F16338" w:rsidRPr="00D5464D" w:rsidRDefault="00F16338" w:rsidP="00F16338">
      <w:pPr>
        <w:pStyle w:val="Textonotapie"/>
        <w:tabs>
          <w:tab w:val="left" w:pos="709"/>
        </w:tabs>
        <w:spacing w:after="0"/>
        <w:rPr>
          <w:lang w:val="pt-BR"/>
        </w:rPr>
      </w:pPr>
    </w:p>
  </w:footnote>
  <w:footnote w:id="630">
    <w:p w14:paraId="59BA6EA9" w14:textId="77777777" w:rsidR="00F16338" w:rsidRPr="00D5464D" w:rsidRDefault="00F16338" w:rsidP="00F16338">
      <w:pPr>
        <w:widowControl w:val="0"/>
        <w:tabs>
          <w:tab w:val="left" w:pos="709"/>
        </w:tabs>
        <w:autoSpaceDE w:val="0"/>
        <w:autoSpaceDN w:val="0"/>
        <w:adjustRightInd w:val="0"/>
        <w:jc w:val="both"/>
        <w:rPr>
          <w:rFonts w:cs="Times"/>
          <w:sz w:val="16"/>
          <w:szCs w:val="16"/>
          <w:lang w:val="es-ES"/>
        </w:rPr>
      </w:pPr>
      <w:r w:rsidRPr="00D5464D">
        <w:rPr>
          <w:rStyle w:val="Refdenotaalpie"/>
          <w:sz w:val="16"/>
          <w:szCs w:val="16"/>
        </w:rPr>
        <w:footnoteRef/>
      </w:r>
      <w:r w:rsidRPr="00D5464D">
        <w:rPr>
          <w:sz w:val="16"/>
          <w:szCs w:val="16"/>
          <w:lang w:val="pt-BR"/>
        </w:rPr>
        <w:t xml:space="preserve"> </w:t>
      </w:r>
      <w:r w:rsidRPr="00D5464D">
        <w:rPr>
          <w:sz w:val="16"/>
          <w:szCs w:val="16"/>
          <w:lang w:val="pt-BR"/>
        </w:rPr>
        <w:tab/>
        <w:t xml:space="preserve">Nesse sentido, Roberto Saba afirma que é </w:t>
      </w:r>
      <w:r w:rsidRPr="00D5464D">
        <w:rPr>
          <w:rFonts w:cs="Times"/>
          <w:sz w:val="16"/>
          <w:szCs w:val="16"/>
          <w:lang w:val="pt-BR"/>
        </w:rPr>
        <w:t xml:space="preserve">necessário ressaltar que a condição de pobre estrutural </w:t>
      </w:r>
      <w:r w:rsidRPr="00D5464D">
        <w:rPr>
          <w:rFonts w:cs="Times"/>
          <w:i/>
          <w:sz w:val="16"/>
          <w:szCs w:val="16"/>
          <w:lang w:val="pt-BR"/>
        </w:rPr>
        <w:t>coincide muitas vezes</w:t>
      </w:r>
      <w:r w:rsidRPr="00D5464D">
        <w:rPr>
          <w:rFonts w:cs="Times"/>
          <w:sz w:val="16"/>
          <w:szCs w:val="16"/>
          <w:lang w:val="pt-BR"/>
        </w:rPr>
        <w:t xml:space="preserve"> -mas não necessariamente- com outros traços da identidade da personalidade que também são característicos de grupos submetidos ou subjugados, como a etnia ou o gênero, os quais, combinados com a pobreza estrutural, reforçam esse caráter de grupo submetido ou subjugado. Indica, também, que a conformação e a conseguinte identificação deste grupo de pessoas, não é uma tarefa simples. No entanto, propõe -a modo ilustrativo e não limitativo- que há três situações concretas que poderiam indicar a existência de um grupo submetido, caracterizado por compartilhar uma situação de pobreza estrutural: i) a concentração geográfica do grupo de pessoas em espaços onde apenas vivem pessoas igualmente pobres; ii) a segunda, relacionada com a primeira, é a dificuldade ou impossibilidade de ter acesso a serviços públicos básicos imprescindíveis para desenvolver um plano de vida decente e modesto, tais como segurança, educação ou saúde; e iii) a terceira é a transmissão e perpetuação intergeracional de situações como as que são postas em evidência através dos dois casos anteriores; isto é, descendentes que não podem deixar o assentamento e que padecerão das mesmas privações que lhes impedirão de escapar de uma situação vital à qual estão determinados desde o nascimento. </w:t>
      </w:r>
      <w:r w:rsidRPr="00D5464D">
        <w:rPr>
          <w:rFonts w:cs="Times"/>
          <w:i/>
          <w:sz w:val="16"/>
          <w:szCs w:val="16"/>
          <w:lang w:val="es-ES"/>
        </w:rPr>
        <w:t xml:space="preserve">Cf. </w:t>
      </w:r>
      <w:r w:rsidRPr="00D5464D">
        <w:rPr>
          <w:rFonts w:cs="Times"/>
          <w:sz w:val="16"/>
          <w:szCs w:val="16"/>
          <w:lang w:val="es-ES"/>
        </w:rPr>
        <w:t xml:space="preserve">Saba, Roberto, </w:t>
      </w:r>
      <w:r w:rsidRPr="00D5464D">
        <w:rPr>
          <w:rFonts w:cs="Times"/>
          <w:i/>
          <w:sz w:val="16"/>
          <w:szCs w:val="16"/>
          <w:lang w:val="es-ES"/>
        </w:rPr>
        <w:t xml:space="preserve">Pobreza, derechos humanos y desigualdad estructural, </w:t>
      </w:r>
      <w:r w:rsidRPr="00D5464D">
        <w:rPr>
          <w:rFonts w:cs="Times"/>
          <w:sz w:val="16"/>
          <w:szCs w:val="16"/>
          <w:lang w:val="es-ES"/>
        </w:rPr>
        <w:t xml:space="preserve">México, Suprema Corte de Justicia de la Nación -Tribunal Electoral del Poder Judicial de la Federación -Instituto Electoral del Distrito Federal, 2012, p. 46 e ss. </w:t>
      </w:r>
    </w:p>
    <w:p w14:paraId="60341E49" w14:textId="77777777" w:rsidR="00F16338" w:rsidRPr="00D5464D" w:rsidRDefault="00F16338" w:rsidP="00F16338">
      <w:pPr>
        <w:pStyle w:val="Textonotapie"/>
        <w:tabs>
          <w:tab w:val="left" w:pos="709"/>
        </w:tabs>
        <w:rPr>
          <w:lang w:val="es-ES"/>
        </w:rPr>
      </w:pPr>
    </w:p>
  </w:footnote>
  <w:footnote w:id="631">
    <w:p w14:paraId="4A7ACF01" w14:textId="77777777" w:rsidR="00F16338" w:rsidRPr="00D5464D" w:rsidRDefault="00F16338" w:rsidP="00F16338">
      <w:pPr>
        <w:pStyle w:val="Textonotapie"/>
        <w:tabs>
          <w:tab w:val="left" w:pos="709"/>
        </w:tabs>
        <w:rPr>
          <w:lang w:val="pt-BR"/>
        </w:rPr>
      </w:pPr>
      <w:r w:rsidRPr="00D5464D">
        <w:rPr>
          <w:rStyle w:val="Refdenotaalpie"/>
          <w:lang w:val="es-ES_tradnl"/>
        </w:rPr>
        <w:footnoteRef/>
      </w:r>
      <w:r w:rsidRPr="00D5464D">
        <w:rPr>
          <w:lang w:val="pt-BR"/>
        </w:rPr>
        <w:t xml:space="preserve"> </w:t>
      </w:r>
      <w:r w:rsidRPr="00D5464D">
        <w:rPr>
          <w:lang w:val="pt-BR"/>
        </w:rPr>
        <w:tab/>
        <w:t xml:space="preserve">ONU, </w:t>
      </w:r>
      <w:r w:rsidRPr="00D5464D">
        <w:rPr>
          <w:i/>
          <w:lang w:val="pt-BR"/>
        </w:rPr>
        <w:t>Princípios Reitores sobre Pobreza Extrema e Direitos Humanos</w:t>
      </w:r>
      <w:r w:rsidRPr="00D5464D">
        <w:rPr>
          <w:lang w:val="pt-BR"/>
        </w:rPr>
        <w:t xml:space="preserve">, aprovados pelo Conselho de Direitos Humanos, 27 de setembro de 2012, Resolução 21/11, princípio 5. </w:t>
      </w:r>
    </w:p>
    <w:p w14:paraId="64643633" w14:textId="77777777" w:rsidR="00F16338" w:rsidRPr="00D5464D" w:rsidRDefault="00F16338" w:rsidP="00F16338">
      <w:pPr>
        <w:pStyle w:val="Textonotapie"/>
        <w:tabs>
          <w:tab w:val="left" w:pos="709"/>
        </w:tabs>
        <w:rPr>
          <w:lang w:val="pt-BR"/>
        </w:rPr>
      </w:pPr>
    </w:p>
  </w:footnote>
  <w:footnote w:id="632">
    <w:p w14:paraId="73801E63" w14:textId="77777777" w:rsidR="00F16338" w:rsidRPr="00D5464D" w:rsidRDefault="00F16338" w:rsidP="00F16338">
      <w:pPr>
        <w:pStyle w:val="Textonotapie"/>
        <w:tabs>
          <w:tab w:val="left" w:pos="709"/>
        </w:tabs>
        <w:rPr>
          <w:rFonts w:cs="Times"/>
          <w:lang w:val="pt-BR"/>
        </w:rPr>
      </w:pPr>
      <w:r w:rsidRPr="00D5464D">
        <w:rPr>
          <w:rStyle w:val="Refdenotaalpie"/>
          <w:lang w:val="es-ES_tradnl"/>
        </w:rPr>
        <w:footnoteRef/>
      </w:r>
      <w:r w:rsidRPr="00D5464D">
        <w:rPr>
          <w:lang w:val="pt-BR"/>
        </w:rPr>
        <w:t xml:space="preserve"> </w:t>
      </w:r>
      <w:r w:rsidRPr="00D5464D">
        <w:rPr>
          <w:lang w:val="pt-BR"/>
        </w:rPr>
        <w:tab/>
        <w:t xml:space="preserve">ONU, Relatório </w:t>
      </w:r>
      <w:r w:rsidRPr="00D5464D">
        <w:rPr>
          <w:rFonts w:cs="Times"/>
          <w:i/>
          <w:lang w:val="pt-BR"/>
        </w:rPr>
        <w:t xml:space="preserve">da Relatora Especial sobre Pobreza Extrema e Direitos Humanos, </w:t>
      </w:r>
      <w:r w:rsidRPr="00D5464D">
        <w:rPr>
          <w:rFonts w:cs="Times"/>
          <w:lang w:val="pt-BR"/>
        </w:rPr>
        <w:t xml:space="preserve">Magdalena Sepúlveda Carmona, 11 de março de 2013, A/HRC/23/36, </w:t>
      </w:r>
      <w:r w:rsidRPr="00D5464D">
        <w:rPr>
          <w:lang w:val="pt-BR"/>
        </w:rPr>
        <w:t xml:space="preserve">par. </w:t>
      </w:r>
      <w:r w:rsidRPr="00D5464D">
        <w:rPr>
          <w:rFonts w:cs="Times"/>
          <w:lang w:val="pt-BR"/>
        </w:rPr>
        <w:t>13.</w:t>
      </w:r>
    </w:p>
    <w:p w14:paraId="151AB055" w14:textId="77777777" w:rsidR="00F16338" w:rsidRPr="00D5464D" w:rsidRDefault="00F16338" w:rsidP="00F16338">
      <w:pPr>
        <w:pStyle w:val="Textonotapie"/>
        <w:tabs>
          <w:tab w:val="left" w:pos="709"/>
        </w:tabs>
        <w:rPr>
          <w:lang w:val="pt-BR"/>
        </w:rPr>
      </w:pPr>
    </w:p>
  </w:footnote>
  <w:footnote w:id="633">
    <w:p w14:paraId="3BEB63CD" w14:textId="77777777" w:rsidR="00F16338" w:rsidRPr="00D5464D" w:rsidRDefault="00F16338" w:rsidP="00F16338">
      <w:pPr>
        <w:widowControl w:val="0"/>
        <w:tabs>
          <w:tab w:val="left" w:pos="709"/>
        </w:tabs>
        <w:autoSpaceDE w:val="0"/>
        <w:autoSpaceDN w:val="0"/>
        <w:adjustRightInd w:val="0"/>
        <w:jc w:val="both"/>
        <w:rPr>
          <w:sz w:val="16"/>
          <w:szCs w:val="16"/>
          <w:lang w:val="pt-BR"/>
        </w:rPr>
      </w:pPr>
      <w:r w:rsidRPr="00D5464D">
        <w:rPr>
          <w:rStyle w:val="Refdenotaalpie"/>
          <w:sz w:val="16"/>
          <w:szCs w:val="16"/>
        </w:rPr>
        <w:footnoteRef/>
      </w:r>
      <w:r w:rsidRPr="00D5464D">
        <w:rPr>
          <w:sz w:val="16"/>
          <w:szCs w:val="16"/>
          <w:lang w:val="pt-BR"/>
        </w:rPr>
        <w:t xml:space="preserve"> </w:t>
      </w:r>
      <w:r w:rsidRPr="00D5464D">
        <w:rPr>
          <w:sz w:val="16"/>
          <w:szCs w:val="16"/>
          <w:lang w:val="pt-BR"/>
        </w:rPr>
        <w:tab/>
        <w:t xml:space="preserve">ONU, Relatório </w:t>
      </w:r>
      <w:r w:rsidRPr="00D5464D">
        <w:rPr>
          <w:rFonts w:cs="Times"/>
          <w:i/>
          <w:sz w:val="16"/>
          <w:szCs w:val="16"/>
          <w:lang w:val="pt-BR"/>
        </w:rPr>
        <w:t>da Relatora Especial sobre Pobreza Extrema e Direitos Humanos</w:t>
      </w:r>
      <w:r w:rsidRPr="00D5464D">
        <w:rPr>
          <w:rFonts w:cs="Times"/>
          <w:sz w:val="16"/>
          <w:szCs w:val="16"/>
          <w:lang w:val="pt-BR"/>
        </w:rPr>
        <w:t xml:space="preserve">, Magdalena Sepúlveda Carmona, 11 de março de 2013, A/HRC/23/36, </w:t>
      </w:r>
      <w:r w:rsidRPr="00D5464D">
        <w:rPr>
          <w:sz w:val="16"/>
          <w:szCs w:val="16"/>
          <w:lang w:val="pt-BR"/>
        </w:rPr>
        <w:t xml:space="preserve">par. 43. </w:t>
      </w:r>
    </w:p>
    <w:p w14:paraId="50608EC8" w14:textId="77777777" w:rsidR="00F16338" w:rsidRPr="00D5464D" w:rsidRDefault="00F16338" w:rsidP="00F16338">
      <w:pPr>
        <w:widowControl w:val="0"/>
        <w:tabs>
          <w:tab w:val="left" w:pos="709"/>
        </w:tabs>
        <w:autoSpaceDE w:val="0"/>
        <w:autoSpaceDN w:val="0"/>
        <w:adjustRightInd w:val="0"/>
        <w:jc w:val="both"/>
        <w:rPr>
          <w:rFonts w:cs="Times"/>
          <w:i/>
          <w:sz w:val="16"/>
          <w:szCs w:val="16"/>
          <w:lang w:val="pt-BR"/>
        </w:rPr>
      </w:pPr>
    </w:p>
  </w:footnote>
  <w:footnote w:id="634">
    <w:p w14:paraId="23526A4C" w14:textId="77777777" w:rsidR="00F16338" w:rsidRPr="00D5464D" w:rsidRDefault="00F16338" w:rsidP="00F16338">
      <w:pPr>
        <w:widowControl w:val="0"/>
        <w:tabs>
          <w:tab w:val="left" w:pos="709"/>
        </w:tabs>
        <w:autoSpaceDE w:val="0"/>
        <w:autoSpaceDN w:val="0"/>
        <w:adjustRightInd w:val="0"/>
        <w:spacing w:after="240"/>
        <w:jc w:val="both"/>
        <w:rPr>
          <w:rFonts w:cs="Times"/>
          <w:sz w:val="16"/>
          <w:szCs w:val="16"/>
          <w:lang w:val="pt-BR"/>
        </w:rPr>
      </w:pPr>
      <w:r w:rsidRPr="00D5464D">
        <w:rPr>
          <w:rStyle w:val="Refdenotaalpie"/>
          <w:i/>
          <w:sz w:val="16"/>
          <w:szCs w:val="16"/>
        </w:rPr>
        <w:footnoteRef/>
      </w:r>
      <w:r w:rsidRPr="00D5464D">
        <w:rPr>
          <w:rFonts w:cs="Times"/>
          <w:i/>
          <w:sz w:val="16"/>
          <w:szCs w:val="16"/>
          <w:lang w:val="pt-BR"/>
        </w:rPr>
        <w:t xml:space="preserve"> </w:t>
      </w:r>
      <w:r w:rsidRPr="00D5464D">
        <w:rPr>
          <w:rFonts w:cs="Times"/>
          <w:i/>
          <w:sz w:val="16"/>
          <w:szCs w:val="16"/>
          <w:lang w:val="pt-BR"/>
        </w:rPr>
        <w:tab/>
        <w:t xml:space="preserve">Cf. </w:t>
      </w:r>
      <w:r w:rsidRPr="00D5464D">
        <w:rPr>
          <w:rFonts w:cs="Times"/>
          <w:sz w:val="16"/>
          <w:szCs w:val="16"/>
          <w:lang w:val="pt-BR"/>
        </w:rPr>
        <w:t xml:space="preserve">ONU, Relatório </w:t>
      </w:r>
      <w:r w:rsidRPr="00D5464D">
        <w:rPr>
          <w:rFonts w:cs="Times"/>
          <w:i/>
          <w:sz w:val="16"/>
          <w:szCs w:val="16"/>
          <w:lang w:val="pt-BR"/>
        </w:rPr>
        <w:t>da Relatora Especial sobre Pobreza Extrema e Direitos Humanos</w:t>
      </w:r>
      <w:r w:rsidRPr="00D5464D">
        <w:rPr>
          <w:rFonts w:cs="Times"/>
          <w:sz w:val="16"/>
          <w:szCs w:val="16"/>
          <w:lang w:val="pt-BR"/>
        </w:rPr>
        <w:t xml:space="preserve">, Magdalena Sepúlveda Carmona, </w:t>
      </w:r>
      <w:r w:rsidRPr="00D5464D">
        <w:rPr>
          <w:rFonts w:cs="Times"/>
          <w:i/>
          <w:sz w:val="16"/>
          <w:szCs w:val="16"/>
          <w:lang w:val="pt-BR"/>
        </w:rPr>
        <w:t>A Pobreza Extrema e os Direitos Humanos</w:t>
      </w:r>
      <w:r w:rsidRPr="00D5464D">
        <w:rPr>
          <w:rFonts w:cs="Times"/>
          <w:sz w:val="16"/>
          <w:szCs w:val="16"/>
          <w:lang w:val="pt-BR"/>
        </w:rPr>
        <w:t>, 9 de agosto de 2012, A/67/278, pars. 83 e 84.</w:t>
      </w:r>
    </w:p>
  </w:footnote>
  <w:footnote w:id="635">
    <w:p w14:paraId="2BC49EB5" w14:textId="77777777" w:rsidR="00F16338" w:rsidRPr="00D5464D" w:rsidRDefault="00F16338" w:rsidP="00F16338">
      <w:pPr>
        <w:pStyle w:val="Textonotapie"/>
        <w:tabs>
          <w:tab w:val="left" w:pos="709"/>
        </w:tabs>
        <w:spacing w:after="0"/>
        <w:rPr>
          <w:lang w:val="pt-BR"/>
        </w:rPr>
      </w:pPr>
      <w:r w:rsidRPr="00D5464D">
        <w:rPr>
          <w:rStyle w:val="Refdenotaalpie"/>
          <w:lang w:val="es-ES_tradnl"/>
        </w:rPr>
        <w:footnoteRef/>
      </w:r>
      <w:r w:rsidRPr="00D5464D">
        <w:rPr>
          <w:lang w:val="pt-BR"/>
        </w:rPr>
        <w:t xml:space="preserve"> </w:t>
      </w:r>
      <w:r w:rsidRPr="00D5464D">
        <w:rPr>
          <w:lang w:val="pt-BR"/>
        </w:rPr>
        <w:tab/>
        <w:t xml:space="preserve">Corte IDH. </w:t>
      </w:r>
      <w:r w:rsidRPr="00D5464D">
        <w:rPr>
          <w:rFonts w:cs="Verdana"/>
          <w:bCs/>
          <w:i/>
          <w:lang w:val="pt-BR"/>
        </w:rPr>
        <w:t>Caso González e outras (“Campo Algodoeiro”) Vs. México. Exceção Preliminar, Mérito, Reparações e Custas</w:t>
      </w:r>
      <w:r w:rsidRPr="00D5464D">
        <w:rPr>
          <w:rFonts w:cs="Verdana"/>
          <w:bCs/>
          <w:lang w:val="pt-BR"/>
        </w:rPr>
        <w:t xml:space="preserve">. Sentença de 16 de novembro de 2009. Série C Nº 205, par. 450. </w:t>
      </w:r>
      <w:r w:rsidRPr="00D5464D">
        <w:rPr>
          <w:rFonts w:cs="Verdana"/>
          <w:b/>
          <w:bCs/>
          <w:lang w:val="pt-BR"/>
        </w:rPr>
        <w:t xml:space="preserve"> </w:t>
      </w:r>
    </w:p>
    <w:p w14:paraId="310948F7" w14:textId="77777777" w:rsidR="00F16338" w:rsidRPr="00D5464D" w:rsidRDefault="00F16338" w:rsidP="00F16338">
      <w:pPr>
        <w:pStyle w:val="Textonotapie"/>
        <w:tabs>
          <w:tab w:val="left" w:pos="709"/>
        </w:tabs>
        <w:spacing w:after="0"/>
        <w:rPr>
          <w:lang w:val="pt-BR"/>
        </w:rPr>
      </w:pPr>
    </w:p>
  </w:footnote>
  <w:footnote w:id="636">
    <w:p w14:paraId="4C4102F2" w14:textId="77777777" w:rsidR="00F16338" w:rsidRPr="00D5464D" w:rsidRDefault="00F16338" w:rsidP="00F16338">
      <w:pPr>
        <w:pStyle w:val="Textonotapie"/>
        <w:tabs>
          <w:tab w:val="left" w:pos="709"/>
        </w:tabs>
        <w:spacing w:after="0"/>
        <w:rPr>
          <w:lang w:val="pt-BR"/>
        </w:rPr>
      </w:pPr>
      <w:r w:rsidRPr="00D5464D">
        <w:rPr>
          <w:rStyle w:val="Refdenotaalpie"/>
          <w:lang w:val="es-ES_tradnl"/>
        </w:rPr>
        <w:footnoteRef/>
      </w:r>
      <w:r w:rsidRPr="00D5464D">
        <w:rPr>
          <w:rFonts w:cs="Verdana"/>
          <w:bCs/>
          <w:i/>
          <w:lang w:val="pt-BR"/>
        </w:rPr>
        <w:tab/>
      </w:r>
      <w:r w:rsidRPr="00D5464D">
        <w:rPr>
          <w:rFonts w:cs="Verdana"/>
          <w:bCs/>
          <w:lang w:val="pt-BR"/>
        </w:rPr>
        <w:t>Corte IDH.</w:t>
      </w:r>
      <w:r w:rsidRPr="00D5464D">
        <w:rPr>
          <w:rFonts w:cs="Verdana"/>
          <w:bCs/>
          <w:i/>
          <w:lang w:val="pt-BR"/>
        </w:rPr>
        <w:t xml:space="preserve"> Xákmok Kásek Vs. Paraguai. Mérito, Reparações e Custas</w:t>
      </w:r>
      <w:r w:rsidRPr="00D5464D">
        <w:rPr>
          <w:rFonts w:cs="Verdana"/>
          <w:bCs/>
          <w:lang w:val="pt-BR"/>
        </w:rPr>
        <w:t>. Sentença de 24 de agosto de 2010. Série C Nº 214, pars. 273 e 274.</w:t>
      </w:r>
    </w:p>
    <w:p w14:paraId="751AE83C" w14:textId="77777777" w:rsidR="00F16338" w:rsidRPr="00D5464D" w:rsidRDefault="00F16338" w:rsidP="00F16338">
      <w:pPr>
        <w:pStyle w:val="Textonotapie"/>
        <w:tabs>
          <w:tab w:val="left" w:pos="709"/>
        </w:tabs>
        <w:spacing w:after="0"/>
        <w:rPr>
          <w:lang w:val="pt-BR"/>
        </w:rPr>
      </w:pPr>
      <w:r w:rsidRPr="00D5464D">
        <w:rPr>
          <w:lang w:val="pt-BR"/>
        </w:rPr>
        <w:t xml:space="preserve"> </w:t>
      </w:r>
    </w:p>
  </w:footnote>
  <w:footnote w:id="637">
    <w:p w14:paraId="244C3C56" w14:textId="77777777" w:rsidR="00F16338" w:rsidRPr="00D5464D" w:rsidRDefault="00F16338" w:rsidP="00F16338">
      <w:pPr>
        <w:pStyle w:val="Textonotapie"/>
        <w:tabs>
          <w:tab w:val="left" w:pos="709"/>
        </w:tabs>
        <w:spacing w:after="0"/>
        <w:rPr>
          <w:rFonts w:cs="Verdana"/>
          <w:bCs/>
          <w:lang w:val="pt-BR"/>
        </w:rPr>
      </w:pPr>
      <w:r w:rsidRPr="00D5464D">
        <w:rPr>
          <w:rStyle w:val="Refdenotaalpie"/>
          <w:lang w:val="es-ES_tradnl"/>
        </w:rPr>
        <w:footnoteRef/>
      </w:r>
      <w:r w:rsidRPr="00D5464D">
        <w:rPr>
          <w:lang w:val="pt-BR"/>
        </w:rPr>
        <w:t xml:space="preserve"> </w:t>
      </w:r>
      <w:r w:rsidRPr="00D5464D">
        <w:rPr>
          <w:lang w:val="pt-BR"/>
        </w:rPr>
        <w:tab/>
        <w:t xml:space="preserve">Corte IDH. </w:t>
      </w:r>
      <w:r w:rsidRPr="00D5464D">
        <w:rPr>
          <w:rFonts w:cs="Verdana"/>
          <w:bCs/>
          <w:i/>
          <w:lang w:val="pt-BR"/>
        </w:rPr>
        <w:t>Caso Atala Riffo e crianças Vs. Chile. Mérito, Reparações e Custas</w:t>
      </w:r>
      <w:r w:rsidRPr="00D5464D">
        <w:rPr>
          <w:rFonts w:cs="Verdana"/>
          <w:bCs/>
          <w:lang w:val="pt-BR"/>
        </w:rPr>
        <w:t xml:space="preserve">. Sentença de 24 de fevereiro de 2012. Série C Nº 239, pars. 92 e 267. </w:t>
      </w:r>
    </w:p>
    <w:p w14:paraId="1BB3705B" w14:textId="77777777" w:rsidR="00F16338" w:rsidRPr="00D5464D" w:rsidRDefault="00F16338" w:rsidP="00F16338">
      <w:pPr>
        <w:pStyle w:val="Textonotapie"/>
        <w:tabs>
          <w:tab w:val="left" w:pos="709"/>
        </w:tabs>
        <w:spacing w:after="0"/>
        <w:rPr>
          <w:lang w:val="pt-BR"/>
        </w:rPr>
      </w:pPr>
    </w:p>
  </w:footnote>
  <w:footnote w:id="638">
    <w:p w14:paraId="4DEA26FA" w14:textId="77777777" w:rsidR="00F16338" w:rsidRPr="00D5464D" w:rsidRDefault="00F16338" w:rsidP="00F16338">
      <w:pPr>
        <w:pStyle w:val="Textonotapie"/>
        <w:tabs>
          <w:tab w:val="left" w:pos="709"/>
        </w:tabs>
        <w:spacing w:after="0"/>
        <w:rPr>
          <w:lang w:val="pt-BR"/>
        </w:rPr>
      </w:pPr>
      <w:r w:rsidRPr="00D5464D">
        <w:rPr>
          <w:rStyle w:val="Refdenotaalpie"/>
          <w:lang w:val="es-ES_tradnl"/>
        </w:rPr>
        <w:footnoteRef/>
      </w:r>
      <w:r w:rsidRPr="00D5464D">
        <w:rPr>
          <w:rFonts w:cs="Verdana"/>
          <w:bCs/>
          <w:i/>
          <w:lang w:val="pt-BR"/>
        </w:rPr>
        <w:t xml:space="preserve"> </w:t>
      </w:r>
      <w:r w:rsidRPr="00D5464D">
        <w:rPr>
          <w:rFonts w:cs="Verdana"/>
          <w:bCs/>
          <w:i/>
          <w:lang w:val="pt-BR"/>
        </w:rPr>
        <w:tab/>
      </w:r>
      <w:r w:rsidRPr="00D5464D">
        <w:rPr>
          <w:rFonts w:cs="Verdana"/>
          <w:bCs/>
          <w:lang w:val="pt-BR"/>
        </w:rPr>
        <w:t xml:space="preserve">Corte IDH. </w:t>
      </w:r>
      <w:r w:rsidRPr="00D5464D">
        <w:rPr>
          <w:rFonts w:cs="Verdana"/>
          <w:bCs/>
          <w:i/>
          <w:lang w:val="pt-BR"/>
        </w:rPr>
        <w:t>Caso Nadege Dorzema e outros Vs. República Dominicana. Mérito Reparações e Custas</w:t>
      </w:r>
      <w:r w:rsidRPr="00D5464D">
        <w:rPr>
          <w:rFonts w:cs="Verdana"/>
          <w:bCs/>
          <w:lang w:val="pt-BR"/>
        </w:rPr>
        <w:t>. Sentença de 24 de outubro de 2012. Série C Nº 251, pars. 235</w:t>
      </w:r>
      <w:r w:rsidRPr="00D5464D">
        <w:rPr>
          <w:lang w:val="pt-BR"/>
        </w:rPr>
        <w:t xml:space="preserve">, 237 e 238. </w:t>
      </w:r>
    </w:p>
    <w:p w14:paraId="2AE62F72" w14:textId="77777777" w:rsidR="00F16338" w:rsidRPr="00D5464D" w:rsidRDefault="00F16338" w:rsidP="00F16338">
      <w:pPr>
        <w:pStyle w:val="Textonotapie"/>
        <w:tabs>
          <w:tab w:val="left" w:pos="709"/>
        </w:tabs>
        <w:spacing w:after="0"/>
        <w:rPr>
          <w:lang w:val="pt-BR"/>
        </w:rPr>
      </w:pPr>
    </w:p>
  </w:footnote>
  <w:footnote w:id="639">
    <w:p w14:paraId="5BB6EE19" w14:textId="77777777" w:rsidR="00F16338" w:rsidRPr="00D5464D" w:rsidRDefault="00F16338" w:rsidP="00F16338">
      <w:pPr>
        <w:pStyle w:val="Textonotapie"/>
        <w:tabs>
          <w:tab w:val="left" w:pos="709"/>
        </w:tabs>
        <w:spacing w:after="0"/>
        <w:rPr>
          <w:rFonts w:cs="Verdana"/>
          <w:b/>
          <w:bCs/>
          <w:lang w:val="pt-BR"/>
        </w:rPr>
      </w:pPr>
      <w:r w:rsidRPr="00D5464D">
        <w:rPr>
          <w:rStyle w:val="Refdenotaalpie"/>
          <w:lang w:val="es-ES_tradnl"/>
        </w:rPr>
        <w:footnoteRef/>
      </w:r>
      <w:r w:rsidRPr="00D5464D">
        <w:rPr>
          <w:lang w:val="pt-BR"/>
        </w:rPr>
        <w:t xml:space="preserve"> </w:t>
      </w:r>
      <w:r w:rsidRPr="00D5464D">
        <w:rPr>
          <w:lang w:val="pt-BR"/>
        </w:rPr>
        <w:tab/>
        <w:t xml:space="preserve">Corte IDH. </w:t>
      </w:r>
      <w:r w:rsidRPr="00D5464D">
        <w:rPr>
          <w:rFonts w:cs="Verdana"/>
          <w:bCs/>
          <w:i/>
          <w:lang w:val="pt-BR"/>
        </w:rPr>
        <w:t>Caso Nadege Dorzema e outros Vs. República Dominicana. Mérito Reparações e Custas</w:t>
      </w:r>
      <w:r w:rsidRPr="00D5464D">
        <w:rPr>
          <w:rFonts w:cs="Verdana"/>
          <w:bCs/>
          <w:lang w:val="pt-BR"/>
        </w:rPr>
        <w:t>. Sentença de 24 de outubro de 2012. Série C Nº 251, pars. 235</w:t>
      </w:r>
      <w:r w:rsidRPr="00D5464D">
        <w:rPr>
          <w:lang w:val="pt-BR"/>
        </w:rPr>
        <w:t xml:space="preserve">, 237 e 238; </w:t>
      </w:r>
      <w:r w:rsidRPr="00D5464D">
        <w:rPr>
          <w:rFonts w:cs="Verdana"/>
          <w:bCs/>
          <w:i/>
          <w:lang w:val="pt-BR"/>
        </w:rPr>
        <w:t>Caso Atala Riffo e crianças Vs. Chile. Mérito, Reparações e Custas</w:t>
      </w:r>
      <w:r w:rsidRPr="00D5464D">
        <w:rPr>
          <w:rFonts w:cs="Verdana"/>
          <w:bCs/>
          <w:lang w:val="pt-BR"/>
        </w:rPr>
        <w:t>. Sentença de 24 de fevereiro de 2012. Série C Nº 239, pars. 92 e 267; e</w:t>
      </w:r>
      <w:r w:rsidRPr="00D5464D">
        <w:rPr>
          <w:lang w:val="pt-BR"/>
        </w:rPr>
        <w:t xml:space="preserve"> </w:t>
      </w:r>
      <w:r w:rsidRPr="00D5464D">
        <w:rPr>
          <w:rFonts w:cs="Verdana"/>
          <w:bCs/>
          <w:i/>
          <w:lang w:val="pt-BR"/>
        </w:rPr>
        <w:t>Xákmok Kásek Vs. Paraguai. Mérito, Reparações e Custas</w:t>
      </w:r>
      <w:r w:rsidRPr="00D5464D">
        <w:rPr>
          <w:rFonts w:cs="Verdana"/>
          <w:bCs/>
          <w:lang w:val="pt-BR"/>
        </w:rPr>
        <w:t xml:space="preserve">. Sentença de 24 de agosto de 2010. Série C Nº 214, pars. 273 e 274. Em um </w:t>
      </w:r>
      <w:r w:rsidRPr="00D5464D">
        <w:rPr>
          <w:lang w:val="pt-BR"/>
        </w:rPr>
        <w:t xml:space="preserve">similar sentido: </w:t>
      </w:r>
      <w:r w:rsidRPr="00D5464D">
        <w:rPr>
          <w:rFonts w:cs="Verdana"/>
          <w:bCs/>
          <w:i/>
          <w:lang w:val="pt-BR"/>
        </w:rPr>
        <w:t>Caso González e outras (“Campo Algodoeiro”) Vs. México. Exceção Preliminar, Mérito, Reparações e Custas</w:t>
      </w:r>
      <w:r w:rsidRPr="00D5464D">
        <w:rPr>
          <w:rFonts w:cs="Verdana"/>
          <w:bCs/>
          <w:lang w:val="pt-BR"/>
        </w:rPr>
        <w:t>. Sentença de 16 de novembro de 2009. Série C Nº 205, par. 450.</w:t>
      </w:r>
      <w:r w:rsidRPr="00D5464D">
        <w:rPr>
          <w:rFonts w:cs="Verdana"/>
          <w:b/>
          <w:bCs/>
          <w:lang w:val="pt-BR"/>
        </w:rPr>
        <w:t xml:space="preserve"> </w:t>
      </w:r>
    </w:p>
    <w:p w14:paraId="13D90C14" w14:textId="77777777" w:rsidR="00F16338" w:rsidRPr="00D5464D" w:rsidRDefault="00F16338" w:rsidP="00F16338">
      <w:pPr>
        <w:pStyle w:val="Textonotapie"/>
        <w:tabs>
          <w:tab w:val="left" w:pos="709"/>
        </w:tabs>
        <w:spacing w:after="0"/>
        <w:rPr>
          <w:rFonts w:cs="Verdana"/>
          <w:bCs/>
          <w:lang w:val="pt-BR"/>
        </w:rPr>
      </w:pPr>
    </w:p>
    <w:p w14:paraId="08B10A53" w14:textId="77777777" w:rsidR="00F16338" w:rsidRPr="00D5464D" w:rsidRDefault="00F16338" w:rsidP="00F16338">
      <w:pPr>
        <w:pStyle w:val="Textonotapie"/>
        <w:tabs>
          <w:tab w:val="left" w:pos="709"/>
        </w:tabs>
        <w:spacing w:after="0"/>
        <w:rPr>
          <w:rFonts w:cs="Verdana"/>
          <w:bCs/>
          <w:lang w:val="pt-BR"/>
        </w:rPr>
      </w:pPr>
    </w:p>
  </w:footnote>
  <w:footnote w:id="640">
    <w:p w14:paraId="0AE5C854" w14:textId="77777777" w:rsidR="00F16338" w:rsidRPr="00D5464D" w:rsidRDefault="00F16338" w:rsidP="00F16338">
      <w:pPr>
        <w:pStyle w:val="Textonotapie"/>
        <w:tabs>
          <w:tab w:val="left" w:pos="709"/>
        </w:tabs>
        <w:rPr>
          <w:lang w:val="pt-BR"/>
        </w:rPr>
      </w:pPr>
      <w:r w:rsidRPr="00D5464D">
        <w:rPr>
          <w:rStyle w:val="Refdenotaalpie"/>
          <w:lang w:val="es-ES_tradnl"/>
        </w:rPr>
        <w:footnoteRef/>
      </w:r>
      <w:r w:rsidRPr="00D5464D">
        <w:rPr>
          <w:lang w:val="pt-BR"/>
        </w:rPr>
        <w:t xml:space="preserve"> </w:t>
      </w:r>
      <w:r w:rsidRPr="00D5464D">
        <w:rPr>
          <w:lang w:val="pt-BR"/>
        </w:rPr>
        <w:tab/>
      </w:r>
      <w:r w:rsidRPr="00D5464D">
        <w:rPr>
          <w:i/>
          <w:lang w:val="pt-BR"/>
        </w:rPr>
        <w:t xml:space="preserve">Cf. </w:t>
      </w:r>
      <w:r w:rsidRPr="00D5464D">
        <w:rPr>
          <w:lang w:val="pt-BR"/>
        </w:rPr>
        <w:t xml:space="preserve">Corte IDH. </w:t>
      </w:r>
      <w:r w:rsidRPr="00D5464D">
        <w:rPr>
          <w:i/>
          <w:lang w:val="pt-BR"/>
        </w:rPr>
        <w:t xml:space="preserve">Caso Trabalhadores Fazenda Brasil Verde Vs. Brasil. Exceções Preliminares, Mérito, Reparações e Custas. </w:t>
      </w:r>
      <w:r w:rsidRPr="00D5464D">
        <w:rPr>
          <w:lang w:val="pt-BR"/>
        </w:rPr>
        <w:t xml:space="preserve">Sentença de 20 outubro de 2016, Série C Nº 318, par. </w:t>
      </w:r>
      <w:r w:rsidRPr="00D5464D">
        <w:rPr>
          <w:rFonts w:cs="Times New Roman"/>
          <w:lang w:val="pt-BR"/>
        </w:rPr>
        <w:t xml:space="preserve">110. </w:t>
      </w:r>
    </w:p>
  </w:footnote>
  <w:footnote w:id="641">
    <w:p w14:paraId="2C42FE82" w14:textId="77777777" w:rsidR="00F16338" w:rsidRPr="00D5464D" w:rsidRDefault="00F16338" w:rsidP="00F16338">
      <w:pPr>
        <w:pStyle w:val="Textonotapie"/>
        <w:tabs>
          <w:tab w:val="left" w:pos="709"/>
        </w:tabs>
        <w:rPr>
          <w:lang w:val="pt-BR"/>
        </w:rPr>
      </w:pPr>
    </w:p>
    <w:p w14:paraId="212A795A" w14:textId="77777777" w:rsidR="00F16338" w:rsidRPr="00D5464D" w:rsidRDefault="00F16338" w:rsidP="00F16338">
      <w:pPr>
        <w:pStyle w:val="Textonotapie"/>
        <w:tabs>
          <w:tab w:val="left" w:pos="709"/>
        </w:tabs>
        <w:rPr>
          <w:lang w:val="pt-BR"/>
        </w:rPr>
      </w:pPr>
      <w:r w:rsidRPr="00D5464D">
        <w:rPr>
          <w:rStyle w:val="Refdenotaalpie"/>
          <w:lang w:val="es-ES_tradnl"/>
        </w:rPr>
        <w:footnoteRef/>
      </w:r>
      <w:r w:rsidRPr="00D5464D">
        <w:rPr>
          <w:lang w:val="pt-BR"/>
        </w:rPr>
        <w:t xml:space="preserve"> </w:t>
      </w:r>
      <w:r w:rsidRPr="00D5464D">
        <w:rPr>
          <w:lang w:val="pt-BR"/>
        </w:rPr>
        <w:tab/>
        <w:t xml:space="preserve">Corte IDH. </w:t>
      </w:r>
      <w:r w:rsidRPr="00D5464D">
        <w:rPr>
          <w:i/>
          <w:lang w:val="pt-BR"/>
        </w:rPr>
        <w:t xml:space="preserve">Caso Trabalhadores da Fazenda Brasil Verde Vs. Brasil. Exceções Preliminares, Mérito, Reparações e Custas. </w:t>
      </w:r>
      <w:r w:rsidRPr="00D5464D">
        <w:rPr>
          <w:lang w:val="pt-BR"/>
        </w:rPr>
        <w:t xml:space="preserve">Sentença de 20 outubro de 2016, Série C Nº 318, par. </w:t>
      </w:r>
      <w:r w:rsidRPr="00D5464D">
        <w:rPr>
          <w:rFonts w:cs="Times New Roman"/>
          <w:lang w:val="pt-BR"/>
        </w:rPr>
        <w:t>111.</w:t>
      </w:r>
    </w:p>
  </w:footnote>
  <w:footnote w:id="642">
    <w:p w14:paraId="757E270B" w14:textId="77777777" w:rsidR="00F16338" w:rsidRPr="00D5464D" w:rsidRDefault="00F16338" w:rsidP="00F16338">
      <w:pPr>
        <w:pStyle w:val="Textonotapie"/>
        <w:tabs>
          <w:tab w:val="left" w:pos="709"/>
        </w:tabs>
        <w:rPr>
          <w:lang w:val="pt-BR"/>
        </w:rPr>
      </w:pPr>
    </w:p>
    <w:p w14:paraId="03ACB76D" w14:textId="77777777" w:rsidR="00F16338" w:rsidRPr="00D5464D" w:rsidRDefault="00F16338" w:rsidP="00F16338">
      <w:pPr>
        <w:pStyle w:val="Textonotapie"/>
        <w:tabs>
          <w:tab w:val="left" w:pos="709"/>
        </w:tabs>
        <w:rPr>
          <w:rFonts w:cs="Times New Roman"/>
          <w:b/>
          <w:lang w:val="pt-BR"/>
        </w:rPr>
      </w:pPr>
      <w:r w:rsidRPr="00D5464D">
        <w:rPr>
          <w:rStyle w:val="Refdenotaalpie"/>
          <w:lang w:val="es-ES_tradnl"/>
        </w:rPr>
        <w:footnoteRef/>
      </w:r>
      <w:r w:rsidRPr="00D5464D">
        <w:rPr>
          <w:lang w:val="pt-BR"/>
        </w:rPr>
        <w:t xml:space="preserve"> </w:t>
      </w:r>
      <w:r w:rsidRPr="00D5464D">
        <w:rPr>
          <w:rFonts w:cs="Times New Roman"/>
          <w:b/>
          <w:color w:val="FF0000"/>
          <w:lang w:val="pt-BR"/>
        </w:rPr>
        <w:tab/>
      </w:r>
      <w:r w:rsidRPr="00D5464D">
        <w:rPr>
          <w:lang w:val="pt-BR"/>
        </w:rPr>
        <w:t xml:space="preserve">Corte IDH. </w:t>
      </w:r>
      <w:r w:rsidRPr="00D5464D">
        <w:rPr>
          <w:i/>
          <w:lang w:val="pt-BR"/>
        </w:rPr>
        <w:t xml:space="preserve">Caso Trabalhadores da Fazenda Brasil Verde Vs. Brasil. Exceções Preliminares, Mérito, Reparações e Custas. </w:t>
      </w:r>
      <w:r w:rsidRPr="00D5464D">
        <w:rPr>
          <w:lang w:val="pt-BR"/>
        </w:rPr>
        <w:t>Sentença de 20 de outubro de 2016, Série C Nº 318, par.</w:t>
      </w:r>
      <w:r w:rsidRPr="00D5464D">
        <w:rPr>
          <w:rFonts w:cs="Times New Roman"/>
          <w:lang w:val="pt-BR"/>
        </w:rPr>
        <w:t xml:space="preserve"> 112.</w:t>
      </w:r>
    </w:p>
    <w:p w14:paraId="14058FC4" w14:textId="77777777" w:rsidR="00F16338" w:rsidRPr="00D5464D" w:rsidRDefault="00F16338" w:rsidP="00F16338">
      <w:pPr>
        <w:pStyle w:val="Textonotapie"/>
        <w:tabs>
          <w:tab w:val="left" w:pos="709"/>
        </w:tabs>
        <w:rPr>
          <w:lang w:val="pt-BR"/>
        </w:rPr>
      </w:pPr>
    </w:p>
  </w:footnote>
  <w:footnote w:id="643">
    <w:p w14:paraId="34690A66" w14:textId="77777777" w:rsidR="00F16338" w:rsidRPr="00D5464D" w:rsidRDefault="00F16338" w:rsidP="00F16338">
      <w:pPr>
        <w:pStyle w:val="Textonotapie"/>
        <w:tabs>
          <w:tab w:val="left" w:pos="709"/>
        </w:tabs>
        <w:rPr>
          <w:lang w:val="pt-BR"/>
        </w:rPr>
      </w:pPr>
      <w:r w:rsidRPr="00D5464D">
        <w:rPr>
          <w:rStyle w:val="Refdenotaalpie"/>
          <w:lang w:val="es-ES_tradnl"/>
        </w:rPr>
        <w:footnoteRef/>
      </w:r>
      <w:r w:rsidRPr="00D5464D">
        <w:rPr>
          <w:lang w:val="pt-BR"/>
        </w:rPr>
        <w:t xml:space="preserve"> </w:t>
      </w:r>
      <w:r w:rsidRPr="00D5464D">
        <w:rPr>
          <w:rFonts w:cs="Times New Roman"/>
          <w:lang w:val="pt-BR"/>
        </w:rPr>
        <w:tab/>
      </w:r>
      <w:r w:rsidRPr="00D5464D">
        <w:rPr>
          <w:lang w:val="pt-BR"/>
        </w:rPr>
        <w:t xml:space="preserve">Corte IDH. </w:t>
      </w:r>
      <w:r w:rsidRPr="00D5464D">
        <w:rPr>
          <w:i/>
          <w:lang w:val="pt-BR"/>
        </w:rPr>
        <w:t xml:space="preserve">Caso Trabalhadores da Fazenda Brasil Verde Vs. Brasil. Exceções Preliminares, Mérito, Reparações e Custas. </w:t>
      </w:r>
      <w:r w:rsidRPr="00D5464D">
        <w:rPr>
          <w:lang w:val="pt-BR"/>
        </w:rPr>
        <w:t>Sentença de 20 de outubro de 2016, Série C Nº 318, pars.</w:t>
      </w:r>
      <w:r w:rsidRPr="00D5464D">
        <w:rPr>
          <w:rFonts w:cs="Times New Roman"/>
          <w:b/>
          <w:lang w:val="pt-BR"/>
        </w:rPr>
        <w:t xml:space="preserve"> </w:t>
      </w:r>
      <w:r w:rsidRPr="00D5464D">
        <w:rPr>
          <w:rFonts w:cs="Times New Roman"/>
          <w:lang w:val="pt-BR"/>
        </w:rPr>
        <w:t xml:space="preserve">113. </w:t>
      </w:r>
    </w:p>
  </w:footnote>
  <w:footnote w:id="644">
    <w:p w14:paraId="3CC0CDBC" w14:textId="77777777" w:rsidR="00F16338" w:rsidRPr="00D5464D" w:rsidRDefault="00F16338" w:rsidP="00F16338">
      <w:pPr>
        <w:pStyle w:val="Textonotapie"/>
        <w:tabs>
          <w:tab w:val="left" w:pos="709"/>
        </w:tabs>
        <w:rPr>
          <w:lang w:val="pt-BR"/>
        </w:rPr>
      </w:pPr>
    </w:p>
    <w:p w14:paraId="4BA1879A" w14:textId="77777777" w:rsidR="00F16338" w:rsidRPr="00D5464D" w:rsidRDefault="00F16338" w:rsidP="00F16338">
      <w:pPr>
        <w:pStyle w:val="Textonotapie"/>
        <w:tabs>
          <w:tab w:val="left" w:pos="709"/>
        </w:tabs>
        <w:rPr>
          <w:lang w:val="pt-BR"/>
        </w:rPr>
      </w:pPr>
      <w:r w:rsidRPr="00D5464D">
        <w:rPr>
          <w:rStyle w:val="Refdenotaalpie"/>
          <w:lang w:val="es-ES_tradnl"/>
        </w:rPr>
        <w:footnoteRef/>
      </w:r>
      <w:r w:rsidRPr="00D5464D">
        <w:rPr>
          <w:lang w:val="pt-BR"/>
        </w:rPr>
        <w:t xml:space="preserve"> </w:t>
      </w:r>
      <w:r w:rsidRPr="00D5464D">
        <w:rPr>
          <w:lang w:val="pt-BR"/>
        </w:rPr>
        <w:tab/>
        <w:t xml:space="preserve">Cf. Corte IDH. </w:t>
      </w:r>
      <w:r w:rsidRPr="00D5464D">
        <w:rPr>
          <w:i/>
          <w:lang w:val="pt-BR"/>
        </w:rPr>
        <w:t xml:space="preserve">Caso Trabalhadores da Fazenda Brasil Verde Vs. Brasil. Exceções Preliminares, Mérito, Reparações e Custas. </w:t>
      </w:r>
      <w:r w:rsidRPr="00D5464D">
        <w:rPr>
          <w:lang w:val="pt-BR"/>
        </w:rPr>
        <w:t>Sentença de 20 de outubro de 2016, Série C Nº 318, par. 114.</w:t>
      </w:r>
    </w:p>
    <w:p w14:paraId="0EDC04C7" w14:textId="77777777" w:rsidR="00F16338" w:rsidRPr="00D5464D" w:rsidRDefault="00F16338" w:rsidP="00F16338">
      <w:pPr>
        <w:pStyle w:val="Textonotapie"/>
        <w:tabs>
          <w:tab w:val="left" w:pos="709"/>
        </w:tabs>
        <w:rPr>
          <w:lang w:val="pt-BR"/>
        </w:rPr>
      </w:pPr>
    </w:p>
  </w:footnote>
  <w:footnote w:id="645">
    <w:p w14:paraId="29AFF400" w14:textId="77777777" w:rsidR="00F16338" w:rsidRPr="00D5464D" w:rsidRDefault="00F16338" w:rsidP="00F16338">
      <w:pPr>
        <w:pStyle w:val="Textonotapie"/>
        <w:tabs>
          <w:tab w:val="left" w:pos="709"/>
        </w:tabs>
        <w:rPr>
          <w:lang w:val="pt-BR"/>
        </w:rPr>
      </w:pPr>
      <w:r w:rsidRPr="00D5464D">
        <w:rPr>
          <w:rStyle w:val="Refdenotaalpie"/>
          <w:lang w:val="es-ES_tradnl"/>
        </w:rPr>
        <w:footnoteRef/>
      </w:r>
      <w:r w:rsidRPr="00D5464D">
        <w:rPr>
          <w:lang w:val="pt-BR"/>
        </w:rPr>
        <w:t xml:space="preserve"> </w:t>
      </w:r>
      <w:r w:rsidRPr="00D5464D">
        <w:rPr>
          <w:lang w:val="pt-BR"/>
        </w:rPr>
        <w:tab/>
        <w:t xml:space="preserve">Corte IDH. </w:t>
      </w:r>
      <w:r w:rsidRPr="00D5464D">
        <w:rPr>
          <w:i/>
          <w:lang w:val="pt-BR"/>
        </w:rPr>
        <w:t xml:space="preserve">Caso Trabalhadores da Fazenda Brasil Verde Vs. Brasil. Exceções Preliminares, Mérito, Reparações e Custas. </w:t>
      </w:r>
      <w:r w:rsidRPr="00D5464D">
        <w:rPr>
          <w:lang w:val="pt-BR"/>
        </w:rPr>
        <w:t>Sentença de 20 de outubro de 2016, Série C Nº 318, par. 115</w:t>
      </w:r>
      <w:r w:rsidRPr="00D5464D">
        <w:rPr>
          <w:rFonts w:cs="Times New Roman"/>
          <w:b/>
          <w:lang w:val="pt-BR"/>
        </w:rPr>
        <w:t>.</w:t>
      </w:r>
    </w:p>
  </w:footnote>
  <w:footnote w:id="646">
    <w:p w14:paraId="5E307632" w14:textId="77777777" w:rsidR="00F16338" w:rsidRPr="00D5464D" w:rsidRDefault="00F16338" w:rsidP="00F16338">
      <w:pPr>
        <w:pStyle w:val="Textonotapie"/>
        <w:tabs>
          <w:tab w:val="left" w:pos="709"/>
        </w:tabs>
        <w:rPr>
          <w:lang w:val="pt-BR"/>
        </w:rPr>
      </w:pPr>
    </w:p>
    <w:p w14:paraId="04333FF9" w14:textId="77777777" w:rsidR="00F16338" w:rsidRPr="00D5464D" w:rsidRDefault="00F16338" w:rsidP="00F16338">
      <w:pPr>
        <w:pStyle w:val="Textonotapie"/>
        <w:tabs>
          <w:tab w:val="left" w:pos="709"/>
        </w:tabs>
        <w:rPr>
          <w:rFonts w:cs="Times New Roman"/>
          <w:lang w:val="pt-BR"/>
        </w:rPr>
      </w:pPr>
      <w:r w:rsidRPr="00D5464D">
        <w:rPr>
          <w:rStyle w:val="Refdenotaalpie"/>
          <w:lang w:val="es-ES_tradnl"/>
        </w:rPr>
        <w:footnoteRef/>
      </w:r>
      <w:r w:rsidRPr="00D5464D">
        <w:rPr>
          <w:lang w:val="pt-BR"/>
        </w:rPr>
        <w:t xml:space="preserve"> </w:t>
      </w:r>
      <w:r w:rsidRPr="00D5464D">
        <w:rPr>
          <w:lang w:val="pt-BR"/>
        </w:rPr>
        <w:tab/>
        <w:t xml:space="preserve">Corte IDH. </w:t>
      </w:r>
      <w:r w:rsidRPr="00D5464D">
        <w:rPr>
          <w:i/>
          <w:lang w:val="pt-BR"/>
        </w:rPr>
        <w:t xml:space="preserve">Caso Trabalhadores da Fazenda Brasil Verde Vs. Brasil. Exceções Preliminares, Mérito, Reparações e Custas. </w:t>
      </w:r>
      <w:r w:rsidRPr="00D5464D">
        <w:rPr>
          <w:lang w:val="pt-BR"/>
        </w:rPr>
        <w:t xml:space="preserve">Sentença de 20 de outubro de 2016, Série C Nº 318, par. 128. </w:t>
      </w:r>
    </w:p>
    <w:p w14:paraId="3D29E4D6" w14:textId="77777777" w:rsidR="00F16338" w:rsidRPr="00D5464D" w:rsidRDefault="00F16338" w:rsidP="00F16338">
      <w:pPr>
        <w:pStyle w:val="Textonotapie"/>
        <w:tabs>
          <w:tab w:val="left" w:pos="709"/>
        </w:tabs>
        <w:rPr>
          <w:lang w:val="pt-BR"/>
        </w:rPr>
      </w:pPr>
    </w:p>
  </w:footnote>
  <w:footnote w:id="647">
    <w:p w14:paraId="0B3CB41F" w14:textId="77777777" w:rsidR="00F16338" w:rsidRPr="00D5464D" w:rsidRDefault="00F16338" w:rsidP="00F16338">
      <w:pPr>
        <w:pStyle w:val="Textonotapie"/>
        <w:tabs>
          <w:tab w:val="left" w:pos="709"/>
        </w:tabs>
        <w:rPr>
          <w:lang w:val="pt-BR"/>
        </w:rPr>
      </w:pPr>
      <w:r w:rsidRPr="00D5464D">
        <w:rPr>
          <w:rStyle w:val="Refdenotaalpie"/>
          <w:lang w:val="es-ES_tradnl"/>
        </w:rPr>
        <w:footnoteRef/>
      </w:r>
      <w:r w:rsidRPr="00D5464D">
        <w:rPr>
          <w:lang w:val="pt-BR"/>
        </w:rPr>
        <w:tab/>
        <w:t xml:space="preserve">Corte IDH. </w:t>
      </w:r>
      <w:r w:rsidRPr="00D5464D">
        <w:rPr>
          <w:i/>
          <w:lang w:val="pt-BR"/>
        </w:rPr>
        <w:t xml:space="preserve">Caso Trabalhadores da Fazenda Brasil Verde Vs. Brasil. Exceções Preliminares, Mérito, Reparações e Custas. </w:t>
      </w:r>
      <w:r w:rsidRPr="00D5464D">
        <w:rPr>
          <w:lang w:val="pt-BR"/>
        </w:rPr>
        <w:t>Sentença de 20 de outubro de 2016, Série C Nº 318, par. 303.</w:t>
      </w:r>
    </w:p>
  </w:footnote>
  <w:footnote w:id="648">
    <w:p w14:paraId="32D6BC97" w14:textId="77777777" w:rsidR="00F16338" w:rsidRPr="00D5464D" w:rsidRDefault="00F16338" w:rsidP="00F16338">
      <w:pPr>
        <w:pStyle w:val="Textonotapie"/>
        <w:tabs>
          <w:tab w:val="left" w:pos="709"/>
        </w:tabs>
        <w:rPr>
          <w:lang w:val="pt-BR"/>
        </w:rPr>
      </w:pPr>
    </w:p>
    <w:p w14:paraId="730DB096" w14:textId="77777777" w:rsidR="00F16338" w:rsidRPr="00D5464D" w:rsidRDefault="00F16338" w:rsidP="00F16338">
      <w:pPr>
        <w:pStyle w:val="Textonotapie"/>
        <w:tabs>
          <w:tab w:val="left" w:pos="709"/>
        </w:tabs>
        <w:rPr>
          <w:lang w:val="pt-BR"/>
        </w:rPr>
      </w:pPr>
      <w:r w:rsidRPr="00D5464D">
        <w:rPr>
          <w:rStyle w:val="Refdenotaalpie"/>
          <w:lang w:val="es-ES_tradnl"/>
        </w:rPr>
        <w:footnoteRef/>
      </w:r>
      <w:r w:rsidRPr="00D5464D">
        <w:rPr>
          <w:lang w:val="pt-BR"/>
        </w:rPr>
        <w:t xml:space="preserve"> </w:t>
      </w:r>
      <w:r w:rsidRPr="00D5464D">
        <w:rPr>
          <w:lang w:val="pt-BR"/>
        </w:rPr>
        <w:tab/>
        <w:t xml:space="preserve">Corte IDH. </w:t>
      </w:r>
      <w:r w:rsidRPr="00D5464D">
        <w:rPr>
          <w:i/>
          <w:lang w:val="pt-BR"/>
        </w:rPr>
        <w:t xml:space="preserve">Caso Trabalhadores da Fazenda Brasil Verde Vs. Brasil. Exceções Preliminares, Mérito, Reparações e Custas. </w:t>
      </w:r>
      <w:r w:rsidRPr="00D5464D">
        <w:rPr>
          <w:lang w:val="pt-BR"/>
        </w:rPr>
        <w:t xml:space="preserve">Sentença de 20 de outubro de 2016, Série C Nº 318, par. 304. </w:t>
      </w:r>
    </w:p>
  </w:footnote>
  <w:footnote w:id="649">
    <w:p w14:paraId="6F3C727C" w14:textId="77777777" w:rsidR="00F16338" w:rsidRPr="00D5464D" w:rsidRDefault="00F16338" w:rsidP="00F16338">
      <w:pPr>
        <w:pStyle w:val="Textonotapie"/>
        <w:tabs>
          <w:tab w:val="left" w:pos="709"/>
        </w:tabs>
        <w:rPr>
          <w:lang w:val="pt-BR"/>
        </w:rPr>
      </w:pPr>
      <w:r w:rsidRPr="00D5464D">
        <w:rPr>
          <w:rStyle w:val="Refdenotaalpie"/>
          <w:lang w:val="es-ES_tradnl"/>
        </w:rPr>
        <w:footnoteRef/>
      </w:r>
      <w:r w:rsidRPr="00D5464D">
        <w:rPr>
          <w:lang w:val="pt-BR"/>
        </w:rPr>
        <w:t xml:space="preserve"> </w:t>
      </w:r>
      <w:r w:rsidRPr="00D5464D">
        <w:rPr>
          <w:lang w:val="pt-BR"/>
        </w:rPr>
        <w:tab/>
        <w:t xml:space="preserve">Corte IDH. </w:t>
      </w:r>
      <w:r w:rsidRPr="00D5464D">
        <w:rPr>
          <w:i/>
          <w:lang w:val="pt-BR"/>
        </w:rPr>
        <w:t xml:space="preserve">Caso dos Trabalhadores da Fazenda Brasil Verde Vs. Brasil. Exceções Preliminares, Mérito, Reparações e Custas. </w:t>
      </w:r>
      <w:r w:rsidRPr="00D5464D">
        <w:rPr>
          <w:lang w:val="pt-BR"/>
        </w:rPr>
        <w:t xml:space="preserve">Sentença de 20 de outubro de 2016, Série C Nº 318, par. 343 e ponto resolutivo 4. </w:t>
      </w:r>
    </w:p>
    <w:p w14:paraId="7D00F2F5" w14:textId="77777777" w:rsidR="00F16338" w:rsidRPr="00D5464D" w:rsidRDefault="00F16338" w:rsidP="00F16338">
      <w:pPr>
        <w:pStyle w:val="Textonotapie"/>
        <w:tabs>
          <w:tab w:val="left" w:pos="709"/>
        </w:tabs>
        <w:rPr>
          <w:lang w:val="pt-BR"/>
        </w:rPr>
      </w:pPr>
    </w:p>
  </w:footnote>
  <w:footnote w:id="650">
    <w:p w14:paraId="2875A135" w14:textId="77777777" w:rsidR="00F16338" w:rsidRPr="00D5464D" w:rsidRDefault="00F16338" w:rsidP="00F16338">
      <w:pPr>
        <w:pStyle w:val="Textonotapie"/>
        <w:tabs>
          <w:tab w:val="left" w:pos="709"/>
        </w:tabs>
        <w:rPr>
          <w:lang w:val="pt-BR"/>
        </w:rPr>
      </w:pPr>
      <w:r w:rsidRPr="00D5464D">
        <w:rPr>
          <w:rStyle w:val="Refdenotaalpie"/>
          <w:lang w:val="es-ES_tradnl"/>
        </w:rPr>
        <w:footnoteRef/>
      </w:r>
      <w:r w:rsidRPr="00D5464D">
        <w:rPr>
          <w:lang w:val="pt-BR"/>
        </w:rPr>
        <w:tab/>
        <w:t xml:space="preserve">Corte IDH. </w:t>
      </w:r>
      <w:r w:rsidRPr="00D5464D">
        <w:rPr>
          <w:i/>
          <w:lang w:val="pt-BR"/>
        </w:rPr>
        <w:t xml:space="preserve">Caso dos Trabalhadores da Fazenda Brasil Verde Vs. Brasil. Exceções Preliminares, Mérito, Reparações e Custas. </w:t>
      </w:r>
      <w:r w:rsidRPr="00D5464D">
        <w:rPr>
          <w:lang w:val="pt-BR"/>
        </w:rPr>
        <w:t xml:space="preserve">Sentença de 20 de outubro de 2016, Série C Nº 318, par. 305. </w:t>
      </w:r>
    </w:p>
    <w:p w14:paraId="43B64000" w14:textId="77777777" w:rsidR="00F16338" w:rsidRPr="00D5464D" w:rsidRDefault="00F16338" w:rsidP="00F16338">
      <w:pPr>
        <w:pStyle w:val="Textonotapie"/>
        <w:tabs>
          <w:tab w:val="left" w:pos="709"/>
        </w:tabs>
        <w:rPr>
          <w:lang w:val="pt-BR"/>
        </w:rPr>
      </w:pPr>
    </w:p>
  </w:footnote>
  <w:footnote w:id="651">
    <w:p w14:paraId="41C2205C" w14:textId="3E8D532B" w:rsidR="00F16338" w:rsidRPr="00D5464D" w:rsidRDefault="00F16338" w:rsidP="00F16338">
      <w:pPr>
        <w:pStyle w:val="Prrafodelista"/>
        <w:tabs>
          <w:tab w:val="left" w:pos="709"/>
        </w:tabs>
        <w:ind w:left="0"/>
        <w:rPr>
          <w:rFonts w:cs="Times New Roman"/>
          <w:sz w:val="16"/>
          <w:szCs w:val="16"/>
          <w:lang w:val="pt-BR"/>
        </w:rPr>
      </w:pPr>
      <w:r w:rsidRPr="00D5464D">
        <w:rPr>
          <w:rStyle w:val="Refdenotaalpie"/>
          <w:sz w:val="16"/>
          <w:szCs w:val="16"/>
          <w:lang w:val="es-ES_tradnl"/>
        </w:rPr>
        <w:footnoteRef/>
      </w:r>
      <w:r w:rsidRPr="00D5464D">
        <w:rPr>
          <w:sz w:val="16"/>
          <w:szCs w:val="16"/>
          <w:lang w:val="pt-BR"/>
        </w:rPr>
        <w:t xml:space="preserve"> </w:t>
      </w:r>
      <w:r w:rsidRPr="00D5464D">
        <w:rPr>
          <w:sz w:val="16"/>
          <w:szCs w:val="16"/>
          <w:lang w:val="pt-BR"/>
        </w:rPr>
        <w:tab/>
      </w:r>
      <w:r w:rsidRPr="00D5464D">
        <w:rPr>
          <w:rFonts w:cs="Times New Roman"/>
          <w:sz w:val="16"/>
          <w:szCs w:val="16"/>
          <w:lang w:val="pt-BR"/>
        </w:rPr>
        <w:t xml:space="preserve">Também sobre a discriminação estrutural histórica é possível levar em consideração que: i) em </w:t>
      </w:r>
      <w:r w:rsidRPr="00D5464D">
        <w:rPr>
          <w:iCs/>
          <w:sz w:val="16"/>
          <w:szCs w:val="16"/>
          <w:lang w:val="pt-BR"/>
        </w:rPr>
        <w:t>atenção ao elevado número de vítimas de escravidão, tráfico e servidão que continuam sendo liberadas por parte das autoridades brasileiras e à mudança de perspectiva destes fenômenos e sua ocorrência “nos últimos escalões das cadeias de fornecimento de uma economia globalizada”, é importante que o Estado adote medidas para enfraquecer a demanda que alimenta a exploração do trabalho, tanto através de trabalho forçado como de servidão e escravidão; ii) a esse respeito</w:t>
      </w:r>
      <w:r w:rsidRPr="00D5464D">
        <w:rPr>
          <w:sz w:val="16"/>
          <w:szCs w:val="16"/>
          <w:lang w:val="pt-BR"/>
        </w:rPr>
        <w:t xml:space="preserve">, no caso concreto a Corte constatou uma série de falhas e negligência por parte do Estado no sentido de prevenir a ocorrência de servidão, tráfico e escravidão em seu território antes de  2000, mas também a partir da denúncia concreta realizada pelos senhores Antonio Francisco da Silva e </w:t>
      </w:r>
      <w:r w:rsidR="00D47B1B" w:rsidRPr="00D5464D">
        <w:rPr>
          <w:sz w:val="16"/>
          <w:szCs w:val="16"/>
          <w:lang w:val="pt-BR"/>
        </w:rPr>
        <w:t>José Francisco Furtado de Sousa</w:t>
      </w:r>
      <w:r w:rsidRPr="00D5464D">
        <w:rPr>
          <w:sz w:val="16"/>
          <w:szCs w:val="16"/>
          <w:lang w:val="pt-BR"/>
        </w:rPr>
        <w:t xml:space="preserve">; e iii) desde 1988, foram realizadas várias denúncias sobre a existência de situação análoga à escravidão no Estado do Pará, e, especificamente, na Fazenda Brasil Verde. Estas denúncias identificavam um </w:t>
      </w:r>
      <w:r w:rsidRPr="00D5464D">
        <w:rPr>
          <w:i/>
          <w:sz w:val="16"/>
          <w:szCs w:val="16"/>
          <w:lang w:val="pt-BR"/>
        </w:rPr>
        <w:t>modus operandi</w:t>
      </w:r>
      <w:r w:rsidRPr="00D5464D">
        <w:rPr>
          <w:sz w:val="16"/>
          <w:szCs w:val="16"/>
          <w:lang w:val="pt-BR"/>
        </w:rPr>
        <w:t xml:space="preserve"> de aliciamento e exploração de trabalhadores nessa região específica do sul do Estado do Pará. Corte IDH. </w:t>
      </w:r>
      <w:r w:rsidRPr="00D5464D">
        <w:rPr>
          <w:i/>
          <w:sz w:val="16"/>
          <w:szCs w:val="16"/>
          <w:lang w:val="pt-BR"/>
        </w:rPr>
        <w:t xml:space="preserve">Caso dos Trabalhadores da Fazenda Brasil Verde Vs. Brasil. Exceções Preliminares, Mérito, Reparações e Custas. </w:t>
      </w:r>
      <w:r w:rsidRPr="00D5464D">
        <w:rPr>
          <w:sz w:val="16"/>
          <w:szCs w:val="16"/>
          <w:lang w:val="pt-BR"/>
        </w:rPr>
        <w:t>Sentença de 20 de outubro de 2016, Série C Nº 318, pars. 318, 319, 326 e 327</w:t>
      </w:r>
      <w:r w:rsidRPr="00D5464D">
        <w:rPr>
          <w:b/>
          <w:sz w:val="16"/>
          <w:szCs w:val="16"/>
          <w:lang w:val="pt-BR"/>
        </w:rPr>
        <w:t>.</w:t>
      </w:r>
      <w:r w:rsidRPr="00D5464D">
        <w:rPr>
          <w:sz w:val="16"/>
          <w:szCs w:val="16"/>
          <w:lang w:val="pt-BR"/>
        </w:rPr>
        <w:t xml:space="preserve"> </w:t>
      </w:r>
    </w:p>
    <w:p w14:paraId="4F603386" w14:textId="77777777" w:rsidR="00F16338" w:rsidRPr="00D5464D" w:rsidRDefault="00F16338" w:rsidP="00F16338">
      <w:pPr>
        <w:pStyle w:val="Textonotapie"/>
        <w:tabs>
          <w:tab w:val="left" w:pos="709"/>
        </w:tabs>
        <w:rPr>
          <w:lang w:val="pt-BR"/>
        </w:rPr>
      </w:pPr>
    </w:p>
  </w:footnote>
  <w:footnote w:id="652">
    <w:p w14:paraId="38A58E2C" w14:textId="77777777" w:rsidR="00F16338" w:rsidRPr="00D5464D" w:rsidRDefault="00F16338" w:rsidP="00F16338">
      <w:pPr>
        <w:pStyle w:val="Textonotapie"/>
        <w:tabs>
          <w:tab w:val="left" w:pos="709"/>
        </w:tabs>
        <w:rPr>
          <w:lang w:val="pt-BR"/>
        </w:rPr>
      </w:pPr>
      <w:r w:rsidRPr="00D5464D">
        <w:rPr>
          <w:rStyle w:val="Refdenotaalpie"/>
          <w:lang w:val="es-ES_tradnl"/>
        </w:rPr>
        <w:footnoteRef/>
      </w:r>
      <w:r w:rsidRPr="00D5464D">
        <w:rPr>
          <w:lang w:val="pt-BR"/>
        </w:rPr>
        <w:t xml:space="preserve"> </w:t>
      </w:r>
      <w:r w:rsidRPr="00D5464D">
        <w:rPr>
          <w:lang w:val="pt-BR"/>
        </w:rPr>
        <w:tab/>
        <w:t xml:space="preserve">Corte IDH. </w:t>
      </w:r>
      <w:r w:rsidRPr="00D5464D">
        <w:rPr>
          <w:i/>
          <w:lang w:val="pt-BR"/>
        </w:rPr>
        <w:t xml:space="preserve">Caso Trabalhadores da Fazenda Brasil Verde Vs. Brasil. Exceções Preliminares, Mérito, Reparações e Custas. </w:t>
      </w:r>
      <w:r w:rsidRPr="00D5464D">
        <w:rPr>
          <w:lang w:val="pt-BR"/>
        </w:rPr>
        <w:t xml:space="preserve">Sentença de 20 de outubro de 2016, Série C Nº 318, par. 339. </w:t>
      </w:r>
    </w:p>
    <w:p w14:paraId="424BF671" w14:textId="77777777" w:rsidR="00F16338" w:rsidRPr="00D5464D" w:rsidRDefault="00F16338" w:rsidP="00F16338">
      <w:pPr>
        <w:pStyle w:val="Textonotapie"/>
        <w:tabs>
          <w:tab w:val="left" w:pos="709"/>
        </w:tabs>
        <w:rPr>
          <w:lang w:val="pt-BR"/>
        </w:rPr>
      </w:pPr>
    </w:p>
  </w:footnote>
  <w:footnote w:id="653">
    <w:p w14:paraId="773A1953" w14:textId="77777777" w:rsidR="00F16338" w:rsidRPr="00D5464D" w:rsidRDefault="00F16338" w:rsidP="00F16338">
      <w:pPr>
        <w:pStyle w:val="Textonotapie"/>
        <w:tabs>
          <w:tab w:val="left" w:pos="709"/>
        </w:tabs>
        <w:rPr>
          <w:lang w:val="pt-BR"/>
        </w:rPr>
      </w:pPr>
      <w:r w:rsidRPr="00D5464D">
        <w:rPr>
          <w:rStyle w:val="Refdenotaalpie"/>
          <w:lang w:val="es-ES_tradnl"/>
        </w:rPr>
        <w:footnoteRef/>
      </w:r>
      <w:r w:rsidRPr="00D5464D">
        <w:rPr>
          <w:lang w:val="pt-BR"/>
        </w:rPr>
        <w:t xml:space="preserve"> </w:t>
      </w:r>
      <w:r w:rsidRPr="00D5464D">
        <w:rPr>
          <w:lang w:val="pt-BR"/>
        </w:rPr>
        <w:tab/>
        <w:t xml:space="preserve">Corte IDH. </w:t>
      </w:r>
      <w:r w:rsidRPr="00D5464D">
        <w:rPr>
          <w:i/>
          <w:lang w:val="pt-BR"/>
        </w:rPr>
        <w:t xml:space="preserve">Caso Trabalhadores da Fazenda Brasil Verde Vs. Brasil. Exceções Preliminares, Mérito, Reparações e Custas. </w:t>
      </w:r>
      <w:r w:rsidRPr="00D5464D">
        <w:rPr>
          <w:lang w:val="pt-BR"/>
        </w:rPr>
        <w:t>Sentença de 20 de outubro de 2016, Série C Nº 318, par. 338.</w:t>
      </w:r>
    </w:p>
  </w:footnote>
  <w:footnote w:id="654">
    <w:p w14:paraId="0AEA81E9" w14:textId="77777777" w:rsidR="00F16338" w:rsidRPr="00D5464D" w:rsidRDefault="00F16338" w:rsidP="00F16338">
      <w:pPr>
        <w:pStyle w:val="Textonotapie"/>
        <w:tabs>
          <w:tab w:val="left" w:pos="709"/>
        </w:tabs>
        <w:rPr>
          <w:lang w:val="pt-BR"/>
        </w:rPr>
      </w:pPr>
    </w:p>
    <w:p w14:paraId="61868BC1" w14:textId="77777777" w:rsidR="00F16338" w:rsidRPr="00D5464D" w:rsidRDefault="00F16338" w:rsidP="00F16338">
      <w:pPr>
        <w:pStyle w:val="Textonotapie"/>
        <w:tabs>
          <w:tab w:val="left" w:pos="709"/>
        </w:tabs>
        <w:rPr>
          <w:lang w:val="es-ES_tradnl"/>
        </w:rPr>
      </w:pPr>
      <w:r w:rsidRPr="00D5464D">
        <w:rPr>
          <w:rStyle w:val="Refdenotaalpie"/>
          <w:lang w:val="es-ES_tradnl"/>
        </w:rPr>
        <w:footnoteRef/>
      </w:r>
      <w:r w:rsidRPr="00D5464D">
        <w:rPr>
          <w:lang w:val="es-ES_tradnl"/>
        </w:rPr>
        <w:t xml:space="preserve"> </w:t>
      </w:r>
      <w:r w:rsidRPr="00D5464D">
        <w:rPr>
          <w:lang w:val="es-ES_tradnl"/>
        </w:rPr>
        <w:tab/>
      </w:r>
      <w:r w:rsidRPr="00D5464D">
        <w:rPr>
          <w:i/>
          <w:lang w:val="es-ES_tradnl"/>
        </w:rPr>
        <w:t xml:space="preserve">Cf. </w:t>
      </w:r>
      <w:r w:rsidRPr="00D5464D">
        <w:rPr>
          <w:lang w:val="es-ES_tradnl"/>
        </w:rPr>
        <w:t xml:space="preserve">Giménez Glück, David, </w:t>
      </w:r>
      <w:r w:rsidRPr="00D5464D">
        <w:rPr>
          <w:i/>
          <w:lang w:val="es-ES_tradnl"/>
        </w:rPr>
        <w:t xml:space="preserve">El juicio de igualdad y Tribunal Constitucional, </w:t>
      </w:r>
      <w:r w:rsidRPr="00D5464D">
        <w:rPr>
          <w:lang w:val="es-ES_tradnl"/>
        </w:rPr>
        <w:t xml:space="preserve">Barcelona, Bosch, 2004, pp. 311-312 e ss.  </w:t>
      </w:r>
    </w:p>
    <w:p w14:paraId="01AC493A" w14:textId="77777777" w:rsidR="00F16338" w:rsidRPr="00D5464D" w:rsidRDefault="00F16338" w:rsidP="00F16338">
      <w:pPr>
        <w:pStyle w:val="Textonotapie"/>
        <w:tabs>
          <w:tab w:val="left" w:pos="709"/>
        </w:tabs>
        <w:rPr>
          <w:lang w:val="es-ES_tradnl"/>
        </w:rPr>
      </w:pPr>
    </w:p>
  </w:footnote>
  <w:footnote w:id="655">
    <w:p w14:paraId="4981EEF1" w14:textId="77777777" w:rsidR="00F16338" w:rsidRPr="00D5464D" w:rsidRDefault="00F16338" w:rsidP="00F16338">
      <w:pPr>
        <w:pStyle w:val="Textonotapie"/>
        <w:tabs>
          <w:tab w:val="left" w:pos="567"/>
          <w:tab w:val="left" w:pos="709"/>
        </w:tabs>
        <w:rPr>
          <w:lang w:val="pt-BR"/>
        </w:rPr>
      </w:pPr>
      <w:r w:rsidRPr="00D5464D">
        <w:rPr>
          <w:rStyle w:val="Refdenotaalpie"/>
        </w:rPr>
        <w:footnoteRef/>
      </w:r>
      <w:r w:rsidRPr="00D5464D">
        <w:rPr>
          <w:lang w:val="pt-BR"/>
        </w:rPr>
        <w:t xml:space="preserve"> </w:t>
      </w:r>
      <w:r w:rsidRPr="00D5464D">
        <w:rPr>
          <w:lang w:val="pt-BR"/>
        </w:rPr>
        <w:tab/>
      </w:r>
      <w:r w:rsidRPr="00D5464D">
        <w:rPr>
          <w:lang w:val="pt-BR"/>
        </w:rPr>
        <w:tab/>
        <w:t xml:space="preserve">Deve-se </w:t>
      </w:r>
      <w:r w:rsidRPr="00D5464D">
        <w:rPr>
          <w:rFonts w:cs="Times New Roman"/>
          <w:lang w:val="pt-BR"/>
        </w:rPr>
        <w:t xml:space="preserve">ressaltar, neste caso, que a Corte IDH não determinou </w:t>
      </w:r>
      <w:r w:rsidRPr="00D5464D">
        <w:rPr>
          <w:rFonts w:cs="Times New Roman"/>
          <w:i/>
          <w:lang w:val="pt-BR"/>
        </w:rPr>
        <w:t>medidas de não repetição</w:t>
      </w:r>
      <w:r w:rsidRPr="00D5464D">
        <w:rPr>
          <w:rFonts w:cs="Times New Roman"/>
          <w:lang w:val="pt-BR"/>
        </w:rPr>
        <w:t xml:space="preserve"> como parte das reparações, ao considerar que, a partir do ano 1995, o Estado brasileiro redobrou os esforços para evitar a perpetuação da situação de aliciamento de pessoas pobres que são submetidas a trabalho escravo, ação que a Corte IDH avaliou positivamente; além do anterior, e sem desmerecer os esforços que foram implementados até agora, a Corte IDH </w:t>
      </w:r>
      <w:r w:rsidRPr="00D5464D">
        <w:rPr>
          <w:rFonts w:cs="Arial"/>
          <w:i/>
          <w:iCs/>
          <w:lang w:val="pt-BR"/>
        </w:rPr>
        <w:t>instou</w:t>
      </w:r>
      <w:r w:rsidRPr="00D5464D">
        <w:rPr>
          <w:rFonts w:cs="Arial"/>
          <w:iCs/>
          <w:lang w:val="pt-BR"/>
        </w:rPr>
        <w:t xml:space="preserve"> o Estado a continuar incrementando a eficácia de suas políticas e a interação entre os vários órgãos vinculados ao combate da escravidão no Brasil, sem </w:t>
      </w:r>
      <w:r w:rsidRPr="00D5464D">
        <w:rPr>
          <w:rFonts w:cs="Arial"/>
          <w:i/>
          <w:iCs/>
          <w:lang w:val="pt-BR"/>
        </w:rPr>
        <w:t xml:space="preserve">permitir nenhum retrocesso na matéria. Nesse </w:t>
      </w:r>
      <w:r w:rsidRPr="00D5464D">
        <w:rPr>
          <w:rFonts w:cs="Arial"/>
          <w:iCs/>
          <w:lang w:val="pt-BR"/>
        </w:rPr>
        <w:t>sentido</w:t>
      </w:r>
      <w:r w:rsidRPr="00D5464D">
        <w:rPr>
          <w:rFonts w:cs="Times New Roman"/>
          <w:lang w:val="pt-BR"/>
        </w:rPr>
        <w:t xml:space="preserve">, o mandato de não regressividade, significa que, mesmo que não tenham sido ordenadas ações ou medidas adicionais àquelas implementadas, por serem suficientes, a critério do Tribunal Interamericano, a garantia de não repetição não se esgota unicamente com a existência de ações, medidas, normas e políticas públicas, mas toda essa gama de mecanismos devem ser efetivos e materializar-se na realidade e, deste modo, não permitir novamente a existência de situações de discriminação como as que se apresentaram na Sentença. </w:t>
      </w:r>
      <w:r w:rsidRPr="00D5464D">
        <w:rPr>
          <w:rFonts w:cs="Times New Roman"/>
          <w:i/>
          <w:lang w:val="pt-BR"/>
        </w:rPr>
        <w:t xml:space="preserve">Cf. </w:t>
      </w:r>
      <w:r w:rsidRPr="00D5464D">
        <w:rPr>
          <w:lang w:val="pt-BR"/>
        </w:rPr>
        <w:t xml:space="preserve">Corte IDH. </w:t>
      </w:r>
      <w:r w:rsidRPr="00D5464D">
        <w:rPr>
          <w:i/>
          <w:lang w:val="pt-BR"/>
        </w:rPr>
        <w:t xml:space="preserve">Caso dos Trabalhadores da Fazenda Brasil Verde Vs. Brasil. Exceções Preliminares, Mérito, Reparações e Custas. </w:t>
      </w:r>
      <w:r w:rsidRPr="00D5464D">
        <w:rPr>
          <w:lang w:val="pt-BR"/>
        </w:rPr>
        <w:t>Sentença de 20 outubro de 2016, Série C Nº 318, par. 470.</w:t>
      </w:r>
    </w:p>
    <w:p w14:paraId="18B8683A" w14:textId="77777777" w:rsidR="00F16338" w:rsidRPr="00D5464D" w:rsidRDefault="00F16338" w:rsidP="00F16338">
      <w:pPr>
        <w:pStyle w:val="Textonotapie"/>
        <w:tabs>
          <w:tab w:val="left" w:pos="567"/>
          <w:tab w:val="left" w:pos="709"/>
        </w:tabs>
        <w:rPr>
          <w:lang w:val="pt-BR"/>
        </w:rPr>
      </w:pPr>
    </w:p>
  </w:footnote>
  <w:footnote w:id="656">
    <w:p w14:paraId="758326EC" w14:textId="77777777" w:rsidR="00F16338" w:rsidRPr="00D5464D" w:rsidRDefault="00F16338" w:rsidP="00F16338">
      <w:pPr>
        <w:pStyle w:val="Textonotapie"/>
        <w:tabs>
          <w:tab w:val="left" w:pos="709"/>
        </w:tabs>
        <w:rPr>
          <w:lang w:val="pt-BR"/>
        </w:rPr>
      </w:pPr>
      <w:r w:rsidRPr="00D5464D">
        <w:rPr>
          <w:rStyle w:val="Refdenotaalpie"/>
        </w:rPr>
        <w:footnoteRef/>
      </w:r>
      <w:r w:rsidRPr="00D5464D">
        <w:rPr>
          <w:lang w:val="pt-BR"/>
        </w:rPr>
        <w:t xml:space="preserve"> </w:t>
      </w:r>
      <w:r w:rsidRPr="00D5464D">
        <w:rPr>
          <w:lang w:val="pt-BR"/>
        </w:rPr>
        <w:tab/>
        <w:t xml:space="preserve">Corte IDH. </w:t>
      </w:r>
      <w:r w:rsidRPr="00D5464D">
        <w:rPr>
          <w:i/>
          <w:lang w:val="pt-BR"/>
        </w:rPr>
        <w:t xml:space="preserve">Caso Trabalhadores da Fazenda Brasil Verde Vs. Brasil. Exceções Preliminares, Mérito, Reparações e Custas. </w:t>
      </w:r>
      <w:r w:rsidRPr="00D5464D">
        <w:rPr>
          <w:lang w:val="pt-BR"/>
        </w:rPr>
        <w:t xml:space="preserve">Sentença de 20 de outubro de 2016, Série C Nº 318, par. 340. </w:t>
      </w:r>
      <w:r w:rsidRPr="00D5464D">
        <w:rPr>
          <w:i/>
          <w:lang w:val="pt-BR"/>
        </w:rPr>
        <w:t xml:space="preserve">Cf. </w:t>
      </w:r>
      <w:r w:rsidRPr="00D5464D">
        <w:rPr>
          <w:lang w:val="pt-BR"/>
        </w:rPr>
        <w:t xml:space="preserve">OIT – Brasil. </w:t>
      </w:r>
      <w:r w:rsidRPr="00D5464D">
        <w:rPr>
          <w:i/>
          <w:lang w:val="pt-BR"/>
        </w:rPr>
        <w:t>Combatendo o Trabalho Escravo Contemporâneo: o Exemplo do Brasil</w:t>
      </w:r>
      <w:r w:rsidRPr="00D5464D">
        <w:rPr>
          <w:lang w:val="pt-BR"/>
        </w:rPr>
        <w:t>, 2010, pág. 2010 (expediente de prova, folha 8529).</w:t>
      </w:r>
    </w:p>
    <w:p w14:paraId="4379323B" w14:textId="77777777" w:rsidR="00F16338" w:rsidRPr="00D5464D" w:rsidRDefault="00F16338" w:rsidP="00F16338">
      <w:pPr>
        <w:pStyle w:val="Textonotapie"/>
        <w:tabs>
          <w:tab w:val="left" w:pos="709"/>
        </w:tabs>
        <w:rPr>
          <w:lang w:val="pt-BR"/>
        </w:rPr>
      </w:pPr>
    </w:p>
  </w:footnote>
  <w:footnote w:id="657">
    <w:p w14:paraId="1B88DD13" w14:textId="77777777" w:rsidR="00F16338" w:rsidRPr="00D5464D" w:rsidRDefault="00F16338" w:rsidP="00F16338">
      <w:pPr>
        <w:pStyle w:val="Textonotapie"/>
        <w:tabs>
          <w:tab w:val="clear" w:pos="4419"/>
          <w:tab w:val="clear" w:pos="8838"/>
        </w:tabs>
        <w:rPr>
          <w:lang w:val="es-ES"/>
        </w:rPr>
      </w:pPr>
      <w:r w:rsidRPr="00D5464D">
        <w:rPr>
          <w:rStyle w:val="Refdenotaalpie"/>
        </w:rPr>
        <w:footnoteRef/>
      </w:r>
      <w:r w:rsidRPr="00D5464D">
        <w:rPr>
          <w:lang w:val="es-ES"/>
        </w:rPr>
        <w:t xml:space="preserve"> </w:t>
      </w:r>
      <w:r w:rsidRPr="00D5464D">
        <w:rPr>
          <w:lang w:val="es-ES"/>
        </w:rPr>
        <w:tab/>
      </w:r>
      <w:r w:rsidRPr="00D5464D">
        <w:rPr>
          <w:i/>
          <w:lang w:val="es-ES"/>
        </w:rPr>
        <w:t xml:space="preserve">Cf. </w:t>
      </w:r>
      <w:r w:rsidRPr="00D5464D">
        <w:rPr>
          <w:lang w:val="es-ES_tradnl"/>
        </w:rPr>
        <w:t xml:space="preserve">Piovesan, Flávia, “Protección de los derechos sociales: retos de un </w:t>
      </w:r>
      <w:r w:rsidRPr="00D5464D">
        <w:rPr>
          <w:i/>
          <w:lang w:val="es-ES_tradnl"/>
        </w:rPr>
        <w:t>ius commune</w:t>
      </w:r>
      <w:r w:rsidRPr="00D5464D">
        <w:rPr>
          <w:lang w:val="es-ES_tradnl"/>
        </w:rPr>
        <w:t xml:space="preserve"> para Sudamérica”</w:t>
      </w:r>
      <w:r w:rsidRPr="00D5464D">
        <w:rPr>
          <w:i/>
          <w:lang w:val="es-ES_tradnl"/>
        </w:rPr>
        <w:t xml:space="preserve">, </w:t>
      </w:r>
      <w:r w:rsidRPr="00D5464D">
        <w:rPr>
          <w:lang w:val="es-ES_tradnl"/>
        </w:rPr>
        <w:t xml:space="preserve">em Bogdandy, Armin von, Fix Fierro, Héctor, Morales Antoniazzi, Mariela, e Ferrer Mac-Gregor, Eduardo (coords.), </w:t>
      </w:r>
      <w:r w:rsidRPr="00D5464D">
        <w:rPr>
          <w:i/>
          <w:lang w:val="es-ES_tradnl"/>
        </w:rPr>
        <w:t>Construcción y papel de los derechos sociales fundamentales: Hacia un Ius</w:t>
      </w:r>
      <w:r w:rsidRPr="00D5464D">
        <w:rPr>
          <w:lang w:val="es-ES_tradnl"/>
        </w:rPr>
        <w:t xml:space="preserve"> </w:t>
      </w:r>
      <w:r w:rsidRPr="00D5464D">
        <w:rPr>
          <w:i/>
          <w:lang w:val="es-ES_tradnl"/>
        </w:rPr>
        <w:t xml:space="preserve">Constitutionale Commune en América Latina, </w:t>
      </w:r>
      <w:r w:rsidRPr="00D5464D">
        <w:rPr>
          <w:lang w:val="es-ES_tradnl"/>
        </w:rPr>
        <w:t>México, UNAM/IIJ-Instituto Iberoamericano de Derecho Constitucional-Max Planck-Institute für ausländisches öffentliches Recht und Völkerrecht, 2011, pp. 339-380, en p. 369.</w:t>
      </w:r>
      <w:r w:rsidRPr="00D5464D">
        <w:rPr>
          <w:lang w:val="es-ES"/>
        </w:rPr>
        <w:tab/>
      </w:r>
    </w:p>
    <w:p w14:paraId="6C95DAFF" w14:textId="77777777" w:rsidR="00F16338" w:rsidRPr="00D5464D" w:rsidRDefault="00F16338" w:rsidP="00F16338">
      <w:pPr>
        <w:pStyle w:val="Textonotapie"/>
        <w:rPr>
          <w:lang w:val="es-ES"/>
        </w:rPr>
      </w:pPr>
    </w:p>
  </w:footnote>
  <w:footnote w:id="658">
    <w:p w14:paraId="4BFF5236" w14:textId="77777777" w:rsidR="00F16338" w:rsidRPr="00D5464D" w:rsidRDefault="00F16338" w:rsidP="00F16338">
      <w:pPr>
        <w:pStyle w:val="CPClassification"/>
        <w:tabs>
          <w:tab w:val="clear" w:pos="2160"/>
          <w:tab w:val="clear" w:pos="7200"/>
        </w:tabs>
        <w:ind w:left="0" w:right="0"/>
        <w:rPr>
          <w:rFonts w:ascii="Verdana" w:hAnsi="Verdana"/>
          <w:i/>
          <w:sz w:val="16"/>
          <w:szCs w:val="16"/>
          <w:lang w:val="pt-BR"/>
        </w:rPr>
      </w:pPr>
      <w:r w:rsidRPr="00D5464D">
        <w:rPr>
          <w:rStyle w:val="Refdenotaalpie"/>
          <w:rFonts w:ascii="Verdana" w:hAnsi="Verdana"/>
          <w:sz w:val="16"/>
          <w:szCs w:val="16"/>
          <w:lang w:val="es-ES_tradnl"/>
        </w:rPr>
        <w:footnoteRef/>
      </w:r>
      <w:r w:rsidRPr="00D5464D">
        <w:rPr>
          <w:rFonts w:ascii="Verdana" w:hAnsi="Verdana"/>
          <w:sz w:val="16"/>
          <w:szCs w:val="16"/>
          <w:lang w:val="pt-BR"/>
        </w:rPr>
        <w:t xml:space="preserve"> </w:t>
      </w:r>
      <w:r w:rsidRPr="00D5464D">
        <w:rPr>
          <w:rFonts w:ascii="Verdana" w:hAnsi="Verdana"/>
          <w:sz w:val="16"/>
          <w:szCs w:val="16"/>
          <w:lang w:val="pt-BR"/>
        </w:rPr>
        <w:tab/>
      </w:r>
      <w:r w:rsidRPr="00D5464D">
        <w:rPr>
          <w:rFonts w:ascii="Verdana" w:hAnsi="Verdana"/>
          <w:i/>
          <w:sz w:val="16"/>
          <w:szCs w:val="16"/>
          <w:lang w:val="pt-BR"/>
        </w:rPr>
        <w:t xml:space="preserve">Carta Social das Américas, </w:t>
      </w:r>
      <w:r w:rsidRPr="00D5464D">
        <w:rPr>
          <w:rFonts w:ascii="Verdana" w:hAnsi="Verdana"/>
          <w:sz w:val="16"/>
          <w:szCs w:val="16"/>
          <w:lang w:val="pt-BR"/>
        </w:rPr>
        <w:t>aprovada pela Assembleia Geral da OEA, em 4 de junho de 2012,</w:t>
      </w:r>
      <w:r w:rsidRPr="00D5464D">
        <w:rPr>
          <w:rFonts w:ascii="Verdana" w:hAnsi="Verdana"/>
          <w:i/>
          <w:sz w:val="16"/>
          <w:szCs w:val="16"/>
          <w:lang w:val="pt-BR"/>
        </w:rPr>
        <w:t xml:space="preserve"> </w:t>
      </w:r>
      <w:r w:rsidRPr="00D5464D">
        <w:rPr>
          <w:rFonts w:ascii="Verdana" w:hAnsi="Verdana"/>
          <w:sz w:val="16"/>
          <w:szCs w:val="16"/>
          <w:lang w:val="pt-BR"/>
        </w:rPr>
        <w:t>OEA/Ser.P/AG/doc5242/12rev.2</w:t>
      </w:r>
      <w:r w:rsidRPr="00D5464D">
        <w:rPr>
          <w:rFonts w:ascii="Verdana" w:hAnsi="Verdana"/>
          <w:i/>
          <w:sz w:val="16"/>
          <w:szCs w:val="16"/>
          <w:lang w:val="pt-BR"/>
        </w:rPr>
        <w:t xml:space="preserve">, </w:t>
      </w:r>
      <w:r w:rsidRPr="00D5464D">
        <w:rPr>
          <w:rFonts w:ascii="Verdana" w:hAnsi="Verdana"/>
          <w:sz w:val="16"/>
          <w:szCs w:val="16"/>
          <w:lang w:val="pt-BR"/>
        </w:rPr>
        <w:t>Cochabamba, Bolívia. No preâmbulo desta Carta se estabelece</w:t>
      </w:r>
      <w:r w:rsidRPr="00D5464D">
        <w:rPr>
          <w:rFonts w:ascii="Verdana" w:hAnsi="Verdana"/>
          <w:i/>
          <w:sz w:val="16"/>
          <w:szCs w:val="16"/>
          <w:lang w:val="pt-BR"/>
        </w:rPr>
        <w:t xml:space="preserve">: “considerando </w:t>
      </w:r>
      <w:r w:rsidRPr="00D5464D">
        <w:rPr>
          <w:rFonts w:ascii="Verdana" w:hAnsi="Verdana"/>
          <w:i/>
          <w:color w:val="000000"/>
          <w:sz w:val="16"/>
          <w:szCs w:val="16"/>
          <w:lang w:val="pt-BR"/>
        </w:rPr>
        <w:t xml:space="preserve">que a Carta da Organização dos Estados Americanos estabelece entre seus propósitos essenciais a erradicação da pobreza crítica [e] </w:t>
      </w:r>
      <w:r w:rsidRPr="00D5464D">
        <w:rPr>
          <w:rFonts w:ascii="Verdana" w:hAnsi="Verdana"/>
          <w:i/>
          <w:sz w:val="16"/>
          <w:szCs w:val="16"/>
          <w:u w:val="single"/>
          <w:lang w:val="pt-BR"/>
        </w:rPr>
        <w:t>reafirmando a determinação e o compromisso dos Estados membros de combater, com urgência, os graves problemas da pobreza, da exclusão social e da desigualdade, que afetam de maneiras distintas os países do Hemisfério</w:t>
      </w:r>
      <w:r w:rsidRPr="00D5464D">
        <w:rPr>
          <w:rFonts w:ascii="Verdana" w:hAnsi="Verdana"/>
          <w:i/>
          <w:sz w:val="16"/>
          <w:szCs w:val="16"/>
          <w:lang w:val="pt-BR"/>
        </w:rPr>
        <w:t xml:space="preserve">; de enfrentar suas causas e consequências; e de criar condições mais favoráveis para o desenvolvimento econômico e social com igualdade, a fim de promover sociedades mais justas […]. </w:t>
      </w:r>
    </w:p>
    <w:p w14:paraId="1D01B8E9" w14:textId="77777777" w:rsidR="00F16338" w:rsidRPr="00D5464D" w:rsidRDefault="00F16338" w:rsidP="00F16338">
      <w:pPr>
        <w:pStyle w:val="Textonotapie"/>
        <w:tabs>
          <w:tab w:val="left" w:pos="709"/>
        </w:tabs>
        <w:rPr>
          <w:lang w:val="pt-BR"/>
        </w:rPr>
      </w:pPr>
    </w:p>
  </w:footnote>
  <w:footnote w:id="659">
    <w:p w14:paraId="661F8D92" w14:textId="77777777" w:rsidR="00F16338" w:rsidRPr="00D5464D" w:rsidRDefault="00F16338" w:rsidP="00F16338">
      <w:pPr>
        <w:pStyle w:val="Textonotapie"/>
        <w:tabs>
          <w:tab w:val="left" w:pos="709"/>
        </w:tabs>
        <w:rPr>
          <w:lang w:val="pt-BR"/>
        </w:rPr>
      </w:pPr>
      <w:r w:rsidRPr="00D5464D">
        <w:rPr>
          <w:rStyle w:val="Refdenotaalpie"/>
        </w:rPr>
        <w:footnoteRef/>
      </w:r>
      <w:r w:rsidRPr="00D5464D">
        <w:rPr>
          <w:lang w:val="pt-BR"/>
        </w:rPr>
        <w:t xml:space="preserve"> </w:t>
      </w:r>
      <w:r w:rsidRPr="00D5464D">
        <w:rPr>
          <w:lang w:val="pt-BR"/>
        </w:rPr>
        <w:tab/>
      </w:r>
      <w:r w:rsidRPr="00D5464D">
        <w:rPr>
          <w:i/>
          <w:lang w:val="pt-BR"/>
        </w:rPr>
        <w:t xml:space="preserve">Plano de Ação da Carta Social das Américas, </w:t>
      </w:r>
      <w:r w:rsidRPr="00D5464D">
        <w:rPr>
          <w:lang w:val="pt-BR"/>
        </w:rPr>
        <w:t xml:space="preserve">aprovado pelo Conselho Permanente na sessão conjunta celebrada em 11 de fevereiro de 2015, </w:t>
      </w:r>
      <w:r w:rsidRPr="00D5464D">
        <w:rPr>
          <w:i/>
          <w:lang w:val="pt-BR"/>
        </w:rPr>
        <w:t>ad referendum</w:t>
      </w:r>
      <w:r w:rsidRPr="00D5464D">
        <w:rPr>
          <w:lang w:val="pt-BR"/>
        </w:rPr>
        <w:t xml:space="preserve"> do quadragésimo quinto período ordinário de sessões da Assembleia Geral da OEA, </w:t>
      </w:r>
      <w:r w:rsidRPr="00D5464D">
        <w:rPr>
          <w:rFonts w:eastAsia="Batang"/>
          <w:lang w:val="pt-BR" w:eastAsia="es-ES"/>
        </w:rPr>
        <w:t>OEA/Ser.G</w:t>
      </w:r>
      <w:r w:rsidRPr="00D5464D">
        <w:rPr>
          <w:rFonts w:eastAsia="SimSun"/>
          <w:lang w:val="pt-BR" w:eastAsia="es-ES"/>
        </w:rPr>
        <w:t xml:space="preserve"> </w:t>
      </w:r>
      <w:r w:rsidRPr="00D5464D">
        <w:rPr>
          <w:rFonts w:eastAsia="Batang"/>
          <w:spacing w:val="-2"/>
          <w:lang w:val="pt-BR" w:eastAsia="es-ES"/>
        </w:rPr>
        <w:t>CP/doc.5097/15, Washington D.C., Estados Unidos.</w:t>
      </w:r>
    </w:p>
  </w:footnote>
  <w:footnote w:id="660">
    <w:p w14:paraId="376B901F" w14:textId="77777777" w:rsidR="00BE08AB" w:rsidRPr="00D5464D" w:rsidRDefault="00BE08AB" w:rsidP="00BE08AB">
      <w:pPr>
        <w:pStyle w:val="Textonotapie"/>
        <w:rPr>
          <w:lang w:val="pt-BR"/>
        </w:rPr>
      </w:pPr>
      <w:r w:rsidRPr="00D5464D">
        <w:rPr>
          <w:rStyle w:val="Refdenotaalpie"/>
          <w:szCs w:val="16"/>
        </w:rPr>
        <w:footnoteRef/>
      </w:r>
      <w:r w:rsidRPr="00D5464D">
        <w:rPr>
          <w:lang w:val="pt-BR"/>
        </w:rPr>
        <w:t xml:space="preserve"> Doravante, Sentença.</w:t>
      </w:r>
    </w:p>
  </w:footnote>
  <w:footnote w:id="661">
    <w:p w14:paraId="3484B9BF" w14:textId="77777777" w:rsidR="00BE08AB" w:rsidRPr="00D5464D" w:rsidRDefault="00BE08AB" w:rsidP="00BE08AB">
      <w:pPr>
        <w:pStyle w:val="Textonotapie"/>
        <w:rPr>
          <w:lang w:val="pt-BR"/>
        </w:rPr>
      </w:pPr>
      <w:r w:rsidRPr="00D5464D">
        <w:rPr>
          <w:rStyle w:val="Refdenotaalpie"/>
          <w:szCs w:val="16"/>
        </w:rPr>
        <w:footnoteRef/>
      </w:r>
      <w:r w:rsidRPr="00D5464D">
        <w:rPr>
          <w:lang w:val="pt-BR"/>
        </w:rPr>
        <w:t xml:space="preserve"> Pars. 116 e 339 da Sentença. Doravante, cada vez que se indique “par.”, deve-se entender que se trata do parágrafo pertinente da Sentença.</w:t>
      </w:r>
    </w:p>
  </w:footnote>
  <w:footnote w:id="662">
    <w:p w14:paraId="62D6AEF9" w14:textId="77777777" w:rsidR="00BE08AB" w:rsidRPr="00D5464D" w:rsidRDefault="00BE08AB" w:rsidP="00BE08AB">
      <w:pPr>
        <w:pStyle w:val="Textonotapie"/>
        <w:rPr>
          <w:lang w:val="pt-BR"/>
        </w:rPr>
      </w:pPr>
      <w:r w:rsidRPr="00D5464D">
        <w:rPr>
          <w:rStyle w:val="Refdenotaalpie"/>
          <w:szCs w:val="16"/>
        </w:rPr>
        <w:footnoteRef/>
      </w:r>
      <w:r w:rsidRPr="00D5464D">
        <w:rPr>
          <w:lang w:val="pt-BR"/>
        </w:rPr>
        <w:t xml:space="preserve"> Pars. 117 a 122.</w:t>
      </w:r>
    </w:p>
  </w:footnote>
  <w:footnote w:id="663">
    <w:p w14:paraId="61037772" w14:textId="77777777" w:rsidR="00BE08AB" w:rsidRPr="00D5464D" w:rsidRDefault="00BE08AB" w:rsidP="00BE08AB">
      <w:pPr>
        <w:pStyle w:val="Textonotapie"/>
        <w:rPr>
          <w:lang w:val="pt-BR"/>
        </w:rPr>
      </w:pPr>
      <w:r w:rsidRPr="00D5464D">
        <w:rPr>
          <w:rStyle w:val="Refdenotaalpie"/>
          <w:szCs w:val="16"/>
        </w:rPr>
        <w:footnoteRef/>
      </w:r>
      <w:r w:rsidRPr="00D5464D">
        <w:rPr>
          <w:lang w:val="pt-BR"/>
        </w:rPr>
        <w:t xml:space="preserve"> Par. 338.</w:t>
      </w:r>
    </w:p>
  </w:footnote>
  <w:footnote w:id="664">
    <w:p w14:paraId="5D0A4D51" w14:textId="77777777" w:rsidR="00BE08AB" w:rsidRPr="00D5464D" w:rsidRDefault="00BE08AB" w:rsidP="00BE08AB">
      <w:pPr>
        <w:pStyle w:val="Textonotapie"/>
        <w:rPr>
          <w:lang w:val="pt-BR"/>
        </w:rPr>
      </w:pPr>
      <w:r w:rsidRPr="00D5464D">
        <w:rPr>
          <w:rStyle w:val="Refdenotaalpie"/>
          <w:szCs w:val="16"/>
        </w:rPr>
        <w:footnoteRef/>
      </w:r>
      <w:r w:rsidRPr="00D5464D">
        <w:rPr>
          <w:lang w:val="pt-BR"/>
        </w:rPr>
        <w:t xml:space="preserve"> Par. 342.</w:t>
      </w:r>
    </w:p>
  </w:footnote>
  <w:footnote w:id="665">
    <w:p w14:paraId="6F4514C2" w14:textId="77777777" w:rsidR="00BE08AB" w:rsidRPr="00D5464D" w:rsidRDefault="00BE08AB" w:rsidP="00BE08AB">
      <w:pPr>
        <w:pStyle w:val="Textonotapie"/>
        <w:rPr>
          <w:lang w:val="pt-BR"/>
        </w:rPr>
      </w:pPr>
      <w:r w:rsidRPr="00D5464D">
        <w:rPr>
          <w:rStyle w:val="Refdenotaalpie"/>
          <w:szCs w:val="16"/>
        </w:rPr>
        <w:footnoteRef/>
      </w:r>
      <w:r w:rsidRPr="00D5464D">
        <w:rPr>
          <w:lang w:val="pt-BR"/>
        </w:rPr>
        <w:t xml:space="preserve"> Par. 335.</w:t>
      </w:r>
    </w:p>
  </w:footnote>
  <w:footnote w:id="666">
    <w:p w14:paraId="483A4BBD" w14:textId="77777777" w:rsidR="00BE08AB" w:rsidRPr="00D5464D" w:rsidRDefault="00BE08AB" w:rsidP="00BE08AB">
      <w:pPr>
        <w:pStyle w:val="Textonotapie"/>
        <w:rPr>
          <w:lang w:val="pt-BR"/>
        </w:rPr>
      </w:pPr>
      <w:r w:rsidRPr="00D5464D">
        <w:rPr>
          <w:rStyle w:val="Refdenotaalpie"/>
          <w:szCs w:val="16"/>
        </w:rPr>
        <w:footnoteRef/>
      </w:r>
      <w:r w:rsidRPr="00D5464D">
        <w:rPr>
          <w:lang w:val="pt-BR"/>
        </w:rPr>
        <w:t xml:space="preserve"> Par. 340.</w:t>
      </w:r>
    </w:p>
  </w:footnote>
  <w:footnote w:id="667">
    <w:p w14:paraId="7F7875D6" w14:textId="77777777" w:rsidR="00BE08AB" w:rsidRPr="00D5464D" w:rsidRDefault="00BE08AB" w:rsidP="00BE08AB">
      <w:pPr>
        <w:pStyle w:val="Textonotapie"/>
        <w:rPr>
          <w:lang w:val="pt-BR"/>
        </w:rPr>
      </w:pPr>
      <w:r w:rsidRPr="00D5464D">
        <w:rPr>
          <w:rStyle w:val="Refdenotaalpie"/>
          <w:szCs w:val="16"/>
        </w:rPr>
        <w:footnoteRef/>
      </w:r>
      <w:r w:rsidRPr="00D5464D">
        <w:rPr>
          <w:lang w:val="pt-BR"/>
        </w:rPr>
        <w:t xml:space="preserve"> Par. 340.</w:t>
      </w:r>
    </w:p>
  </w:footnote>
  <w:footnote w:id="668">
    <w:p w14:paraId="4B4D8D53" w14:textId="77777777" w:rsidR="00BE08AB" w:rsidRPr="00D5464D" w:rsidRDefault="00BE08AB" w:rsidP="00BE08AB">
      <w:pPr>
        <w:pStyle w:val="Textonotapie"/>
        <w:rPr>
          <w:lang w:val="pt-BR"/>
        </w:rPr>
      </w:pPr>
      <w:r w:rsidRPr="00D5464D">
        <w:rPr>
          <w:rStyle w:val="Refdenotaalpie"/>
          <w:szCs w:val="16"/>
        </w:rPr>
        <w:footnoteRef/>
      </w:r>
      <w:r w:rsidRPr="00D5464D">
        <w:rPr>
          <w:lang w:val="pt-BR"/>
        </w:rPr>
        <w:t xml:space="preserve"> Par. 343.</w:t>
      </w:r>
    </w:p>
  </w:footnote>
  <w:footnote w:id="669">
    <w:p w14:paraId="79338948" w14:textId="77777777" w:rsidR="00BE08AB" w:rsidRPr="00D5464D" w:rsidRDefault="00BE08AB" w:rsidP="00BE08AB">
      <w:pPr>
        <w:pStyle w:val="Textonotapie"/>
        <w:rPr>
          <w:lang w:val="pt-BR"/>
        </w:rPr>
      </w:pPr>
      <w:r w:rsidRPr="00D5464D">
        <w:rPr>
          <w:rStyle w:val="Refdenotaalpie"/>
          <w:szCs w:val="16"/>
        </w:rPr>
        <w:footnoteRef/>
      </w:r>
      <w:r w:rsidRPr="00D5464D">
        <w:rPr>
          <w:lang w:val="pt-BR"/>
        </w:rPr>
        <w:t xml:space="preserve"> Pars. 110 a 115 da Sentença.</w:t>
      </w:r>
    </w:p>
  </w:footnote>
  <w:footnote w:id="670">
    <w:p w14:paraId="1D9DE41F" w14:textId="77777777" w:rsidR="00BE08AB" w:rsidRPr="00D5464D" w:rsidRDefault="00BE08AB" w:rsidP="00BE08AB">
      <w:pPr>
        <w:pStyle w:val="Textonotapie"/>
        <w:rPr>
          <w:lang w:val="pt-BR"/>
        </w:rPr>
      </w:pPr>
      <w:r w:rsidRPr="00D5464D">
        <w:rPr>
          <w:rStyle w:val="Refdenotaalpie"/>
        </w:rPr>
        <w:footnoteRef/>
      </w:r>
      <w:r w:rsidRPr="00D5464D">
        <w:rPr>
          <w:lang w:val="pt-BR"/>
        </w:rPr>
        <w:t xml:space="preserve"> Parágrafo 338 da Sentença.</w:t>
      </w:r>
    </w:p>
  </w:footnote>
  <w:footnote w:id="671">
    <w:p w14:paraId="4D45344E" w14:textId="77777777" w:rsidR="00BE08AB" w:rsidRPr="00D5464D" w:rsidRDefault="00BE08AB" w:rsidP="00BE08AB">
      <w:pPr>
        <w:pStyle w:val="Textonotapie"/>
        <w:rPr>
          <w:lang w:val="pt-BR"/>
        </w:rPr>
      </w:pPr>
      <w:r w:rsidRPr="00D5464D">
        <w:rPr>
          <w:rStyle w:val="Refdenotaalpie"/>
        </w:rPr>
        <w:footnoteRef/>
      </w:r>
      <w:r w:rsidRPr="00D5464D">
        <w:rPr>
          <w:lang w:val="pt-BR"/>
        </w:rPr>
        <w:t xml:space="preserve"> Parágrafo 339 da Sentença.</w:t>
      </w:r>
    </w:p>
  </w:footnote>
  <w:footnote w:id="672">
    <w:p w14:paraId="72F47344" w14:textId="77777777" w:rsidR="00BE08AB" w:rsidRPr="00D5464D" w:rsidRDefault="00BE08AB" w:rsidP="00BE08AB">
      <w:pPr>
        <w:pStyle w:val="Textonotapie"/>
        <w:rPr>
          <w:lang w:val="pt-BR"/>
        </w:rPr>
      </w:pPr>
      <w:r w:rsidRPr="00D5464D">
        <w:rPr>
          <w:rStyle w:val="Refdenotaalpie"/>
        </w:rPr>
        <w:footnoteRef/>
      </w:r>
      <w:r w:rsidRPr="00D5464D">
        <w:rPr>
          <w:lang w:val="pt-BR"/>
        </w:rPr>
        <w:t xml:space="preserve"> Parágrafo 341 da Sentença.</w:t>
      </w:r>
    </w:p>
  </w:footnote>
  <w:footnote w:id="673">
    <w:p w14:paraId="26F6FD3A" w14:textId="77777777" w:rsidR="00BE08AB" w:rsidRPr="00D5464D" w:rsidRDefault="00BE08AB" w:rsidP="00BE08AB">
      <w:pPr>
        <w:pStyle w:val="Textonotapie"/>
        <w:rPr>
          <w:lang w:val="pt-BR"/>
        </w:rPr>
      </w:pPr>
      <w:r w:rsidRPr="00D5464D">
        <w:rPr>
          <w:rStyle w:val="Refdenotaalpie"/>
        </w:rPr>
        <w:footnoteRef/>
      </w:r>
      <w:r w:rsidRPr="00D5464D">
        <w:rPr>
          <w:lang w:val="pt-BR"/>
        </w:rPr>
        <w:t xml:space="preserve"> Parágrafo 343 da Sentença.</w:t>
      </w:r>
    </w:p>
  </w:footnote>
  <w:footnote w:id="674">
    <w:p w14:paraId="6C5D67C5" w14:textId="77777777" w:rsidR="00BE08AB" w:rsidRPr="00D5464D" w:rsidRDefault="00BE08AB" w:rsidP="00BE08AB">
      <w:pPr>
        <w:pStyle w:val="Textonotapie"/>
        <w:rPr>
          <w:b/>
          <w:lang w:val="pt-BR"/>
        </w:rPr>
      </w:pPr>
      <w:r w:rsidRPr="00D5464D">
        <w:rPr>
          <w:rStyle w:val="Refdenotaalpie"/>
          <w:b/>
        </w:rPr>
        <w:footnoteRef/>
      </w:r>
      <w:r w:rsidRPr="00D5464D">
        <w:rPr>
          <w:b/>
          <w:lang w:val="pt-BR"/>
        </w:rPr>
        <w:t xml:space="preserve"> </w:t>
      </w:r>
      <w:r w:rsidRPr="00D5464D">
        <w:rPr>
          <w:rStyle w:val="Textoennegrita"/>
          <w:b w:val="0"/>
          <w:color w:val="000000"/>
          <w:shd w:val="clear" w:color="auto" w:fill="FFFFFF"/>
          <w:lang w:val="pt-BR"/>
        </w:rPr>
        <w:t xml:space="preserve">Voto parcialmente dissidente da Juíza Medina Quiroga, </w:t>
      </w:r>
      <w:r w:rsidRPr="00D5464D">
        <w:rPr>
          <w:rStyle w:val="Textoennegrita"/>
          <w:b w:val="0"/>
          <w:i/>
          <w:color w:val="000000"/>
          <w:shd w:val="clear" w:color="auto" w:fill="FFFFFF"/>
          <w:lang w:val="pt-BR"/>
        </w:rPr>
        <w:t>Caso 19 Comerciantes Vs. Colômbia. Mérito, Reparações e Custas</w:t>
      </w:r>
      <w:r w:rsidRPr="00D5464D">
        <w:rPr>
          <w:rStyle w:val="Textoennegrita"/>
          <w:b w:val="0"/>
          <w:color w:val="000000"/>
          <w:shd w:val="clear" w:color="auto" w:fill="FFFFFF"/>
          <w:lang w:val="pt-BR"/>
        </w:rPr>
        <w:t xml:space="preserve">. Sentença de 5 de julho de 2004. Série C Nº 109, pars. 1 e 2. </w:t>
      </w:r>
    </w:p>
  </w:footnote>
  <w:footnote w:id="675">
    <w:p w14:paraId="5662D844" w14:textId="77777777" w:rsidR="00BE08AB" w:rsidRPr="003E7E22" w:rsidRDefault="00BE08AB" w:rsidP="00BE08AB">
      <w:pPr>
        <w:pStyle w:val="Textonotapie"/>
        <w:rPr>
          <w:lang w:val="pt-BR"/>
        </w:rPr>
      </w:pPr>
      <w:r w:rsidRPr="00D5464D">
        <w:rPr>
          <w:rStyle w:val="Refdenotaalpie"/>
          <w:b/>
        </w:rPr>
        <w:footnoteRef/>
      </w:r>
      <w:r w:rsidRPr="00D5464D">
        <w:rPr>
          <w:b/>
          <w:lang w:val="pt-BR"/>
        </w:rPr>
        <w:t xml:space="preserve"> </w:t>
      </w:r>
      <w:r w:rsidRPr="00D5464D">
        <w:rPr>
          <w:rStyle w:val="Textoennegrita"/>
          <w:b w:val="0"/>
          <w:color w:val="000000"/>
          <w:shd w:val="clear" w:color="auto" w:fill="FFFFFF"/>
          <w:lang w:val="pt-BR"/>
        </w:rPr>
        <w:t xml:space="preserve">Voto parcialmente dissidente da Juíza Medina Quiroga, </w:t>
      </w:r>
      <w:r w:rsidRPr="00D5464D">
        <w:rPr>
          <w:rStyle w:val="Textoennegrita"/>
          <w:b w:val="0"/>
          <w:i/>
          <w:color w:val="000000"/>
          <w:shd w:val="clear" w:color="auto" w:fill="FFFFFF"/>
          <w:lang w:val="pt-BR"/>
        </w:rPr>
        <w:t>Caso dos Irmãos Gómez Paquiyauri Vs. Peru. Mérito, Reparações e Custas</w:t>
      </w:r>
      <w:r w:rsidRPr="00D5464D">
        <w:rPr>
          <w:rStyle w:val="Textoennegrita"/>
          <w:b w:val="0"/>
          <w:color w:val="000000"/>
          <w:shd w:val="clear" w:color="auto" w:fill="FFFFFF"/>
          <w:lang w:val="pt-BR"/>
        </w:rPr>
        <w:t>. Sentença de 8 de julho de 2004. Série C Nº 110, par.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8269D" w14:textId="77777777" w:rsidR="00AF210B" w:rsidRPr="00692D4A" w:rsidRDefault="00AF210B" w:rsidP="0094789A">
    <w:pPr>
      <w:pStyle w:val="Encabezado"/>
      <w:jc w:val="right"/>
      <w:rPr>
        <w:sz w:val="16"/>
        <w:szCs w:val="16"/>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7608"/>
    <w:multiLevelType w:val="hybridMultilevel"/>
    <w:tmpl w:val="EB466B26"/>
    <w:lvl w:ilvl="0" w:tplc="A9F24D46">
      <w:start w:val="1"/>
      <w:numFmt w:val="decimal"/>
      <w:lvlText w:val="%1."/>
      <w:lvlJc w:val="left"/>
      <w:pPr>
        <w:ind w:left="0" w:firstLine="0"/>
      </w:pPr>
      <w:rPr>
        <w:rFonts w:ascii="Verdana" w:hAnsi="Verdana" w:hint="default"/>
        <w:b w:val="0"/>
        <w:i w:val="0"/>
        <w:strike w:val="0"/>
        <w:color w:val="auto"/>
        <w:sz w:val="20"/>
        <w:szCs w:val="20"/>
        <w:lang w:val="es-AR"/>
      </w:rPr>
    </w:lvl>
    <w:lvl w:ilvl="1" w:tplc="2C0A0019">
      <w:start w:val="1"/>
      <w:numFmt w:val="lowerLetter"/>
      <w:lvlText w:val="%2."/>
      <w:lvlJc w:val="left"/>
      <w:pPr>
        <w:ind w:left="1353" w:hanging="360"/>
      </w:pPr>
      <w:rPr>
        <w:rFonts w:hint="default"/>
        <w:lang w:val="es-CR"/>
      </w:rPr>
    </w:lvl>
    <w:lvl w:ilvl="2" w:tplc="40823306">
      <w:start w:val="1"/>
      <w:numFmt w:val="lowerRoman"/>
      <w:lvlText w:val="%3."/>
      <w:lvlJc w:val="right"/>
      <w:pPr>
        <w:ind w:left="2018" w:hanging="180"/>
      </w:pPr>
      <w:rPr>
        <w:b w:val="0"/>
        <w:i w:val="0"/>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1" w15:restartNumberingAfterBreak="0">
    <w:nsid w:val="07D46DCC"/>
    <w:multiLevelType w:val="hybridMultilevel"/>
    <w:tmpl w:val="B5481248"/>
    <w:lvl w:ilvl="0" w:tplc="140A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08915B7F"/>
    <w:multiLevelType w:val="hybridMultilevel"/>
    <w:tmpl w:val="0CDA4638"/>
    <w:lvl w:ilvl="0" w:tplc="140A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CCF06A8"/>
    <w:multiLevelType w:val="hybridMultilevel"/>
    <w:tmpl w:val="E5EE7F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81DF8"/>
    <w:multiLevelType w:val="hybridMultilevel"/>
    <w:tmpl w:val="89645466"/>
    <w:lvl w:ilvl="0" w:tplc="6B0ACFF6">
      <w:start w:val="1"/>
      <w:numFmt w:val="low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368365B"/>
    <w:multiLevelType w:val="hybridMultilevel"/>
    <w:tmpl w:val="47A26680"/>
    <w:lvl w:ilvl="0" w:tplc="B75CF160">
      <w:start w:val="1"/>
      <w:numFmt w:val="lowerLetter"/>
      <w:pStyle w:val="Ttulo5"/>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7A00C47"/>
    <w:multiLevelType w:val="hybridMultilevel"/>
    <w:tmpl w:val="15DAC8BE"/>
    <w:lvl w:ilvl="0" w:tplc="BE50986C">
      <w:start w:val="1"/>
      <w:numFmt w:val="upperLetter"/>
      <w:lvlText w:val="%1."/>
      <w:lvlJc w:val="left"/>
      <w:pPr>
        <w:ind w:left="360" w:hanging="360"/>
      </w:pPr>
      <w:rPr>
        <w:b/>
        <w:i/>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ADA5183"/>
    <w:multiLevelType w:val="hybridMultilevel"/>
    <w:tmpl w:val="95566B60"/>
    <w:lvl w:ilvl="0" w:tplc="140A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217133B4"/>
    <w:multiLevelType w:val="hybridMultilevel"/>
    <w:tmpl w:val="B5481248"/>
    <w:lvl w:ilvl="0" w:tplc="140A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271502E6"/>
    <w:multiLevelType w:val="hybridMultilevel"/>
    <w:tmpl w:val="1188E1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A2FB6"/>
    <w:multiLevelType w:val="hybridMultilevel"/>
    <w:tmpl w:val="A0A8F61A"/>
    <w:lvl w:ilvl="0" w:tplc="FA0C23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01A81"/>
    <w:multiLevelType w:val="hybridMultilevel"/>
    <w:tmpl w:val="AAB6A05A"/>
    <w:lvl w:ilvl="0" w:tplc="3EA0D982">
      <w:start w:val="1"/>
      <w:numFmt w:val="low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FD76741"/>
    <w:multiLevelType w:val="hybridMultilevel"/>
    <w:tmpl w:val="9AB6B6A6"/>
    <w:lvl w:ilvl="0" w:tplc="7318EC20">
      <w:start w:val="1"/>
      <w:numFmt w:val="lowerLetter"/>
      <w:lvlText w:val="%1)"/>
      <w:lvlJc w:val="left"/>
      <w:pPr>
        <w:ind w:left="720" w:hanging="360"/>
      </w:pPr>
      <w:rPr>
        <w:rFonts w:hint="default"/>
        <w:b w:val="0"/>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E06E32"/>
    <w:multiLevelType w:val="hybridMultilevel"/>
    <w:tmpl w:val="907EBF60"/>
    <w:lvl w:ilvl="0" w:tplc="4F087028">
      <w:start w:val="1"/>
      <w:numFmt w:val="decimal"/>
      <w:lvlText w:val="%1."/>
      <w:lvlJc w:val="left"/>
      <w:pPr>
        <w:tabs>
          <w:tab w:val="num" w:pos="5057"/>
        </w:tabs>
      </w:pPr>
      <w:rPr>
        <w:rFonts w:ascii="Verdana" w:eastAsia="Times New Roman" w:hAnsi="Verdana" w:cs="Times New Roman" w:hint="default"/>
        <w:b w:val="0"/>
        <w:i w:val="0"/>
        <w:strike w:val="0"/>
        <w:color w:val="auto"/>
        <w:sz w:val="20"/>
        <w:lang w:val="pt-BR"/>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5" w15:restartNumberingAfterBreak="0">
    <w:nsid w:val="54132497"/>
    <w:multiLevelType w:val="hybridMultilevel"/>
    <w:tmpl w:val="AE2C750A"/>
    <w:lvl w:ilvl="0" w:tplc="DF904684">
      <w:start w:val="1"/>
      <w:numFmt w:val="low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54C1C1E"/>
    <w:multiLevelType w:val="hybridMultilevel"/>
    <w:tmpl w:val="EFAADF82"/>
    <w:lvl w:ilvl="0" w:tplc="2A00B294">
      <w:start w:val="1"/>
      <w:numFmt w:val="lowerLetter"/>
      <w:pStyle w:val="Estilo5"/>
      <w:lvlText w:val="%1)"/>
      <w:lvlJc w:val="left"/>
      <w:pPr>
        <w:ind w:left="1080" w:hanging="360"/>
      </w:pPr>
      <w:rPr>
        <w:rFonts w:hint="default"/>
        <w:i w:val="0"/>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7" w15:restartNumberingAfterBreak="0">
    <w:nsid w:val="582437F2"/>
    <w:multiLevelType w:val="hybridMultilevel"/>
    <w:tmpl w:val="482891FE"/>
    <w:lvl w:ilvl="0" w:tplc="5FB4F916">
      <w:start w:val="1"/>
      <w:numFmt w:val="decimal"/>
      <w:lvlText w:val="%1."/>
      <w:lvlJc w:val="left"/>
      <w:pPr>
        <w:ind w:left="855" w:hanging="49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DAC4E4A"/>
    <w:multiLevelType w:val="hybridMultilevel"/>
    <w:tmpl w:val="267234DA"/>
    <w:lvl w:ilvl="0" w:tplc="0E424A14">
      <w:start w:val="1"/>
      <w:numFmt w:val="upperLetter"/>
      <w:pStyle w:val="Ttulo9"/>
      <w:lvlText w:val="%1."/>
      <w:lvlJc w:val="left"/>
      <w:pPr>
        <w:ind w:left="360" w:hanging="360"/>
      </w:pPr>
      <w:rPr>
        <w:rFonts w:hint="default"/>
      </w:rPr>
    </w:lvl>
    <w:lvl w:ilvl="1" w:tplc="140A0019" w:tentative="1">
      <w:start w:val="1"/>
      <w:numFmt w:val="lowerLetter"/>
      <w:lvlText w:val="%2."/>
      <w:lvlJc w:val="left"/>
      <w:pPr>
        <w:ind w:left="-720" w:hanging="360"/>
      </w:pPr>
    </w:lvl>
    <w:lvl w:ilvl="2" w:tplc="140A001B" w:tentative="1">
      <w:start w:val="1"/>
      <w:numFmt w:val="lowerRoman"/>
      <w:lvlText w:val="%3."/>
      <w:lvlJc w:val="right"/>
      <w:pPr>
        <w:ind w:left="0" w:hanging="180"/>
      </w:pPr>
    </w:lvl>
    <w:lvl w:ilvl="3" w:tplc="140A000F" w:tentative="1">
      <w:start w:val="1"/>
      <w:numFmt w:val="decimal"/>
      <w:lvlText w:val="%4."/>
      <w:lvlJc w:val="left"/>
      <w:pPr>
        <w:ind w:left="720" w:hanging="360"/>
      </w:pPr>
    </w:lvl>
    <w:lvl w:ilvl="4" w:tplc="140A0019" w:tentative="1">
      <w:start w:val="1"/>
      <w:numFmt w:val="lowerLetter"/>
      <w:lvlText w:val="%5."/>
      <w:lvlJc w:val="left"/>
      <w:pPr>
        <w:ind w:left="1440" w:hanging="360"/>
      </w:pPr>
    </w:lvl>
    <w:lvl w:ilvl="5" w:tplc="140A001B" w:tentative="1">
      <w:start w:val="1"/>
      <w:numFmt w:val="lowerRoman"/>
      <w:lvlText w:val="%6."/>
      <w:lvlJc w:val="right"/>
      <w:pPr>
        <w:ind w:left="2160" w:hanging="180"/>
      </w:pPr>
    </w:lvl>
    <w:lvl w:ilvl="6" w:tplc="140A000F" w:tentative="1">
      <w:start w:val="1"/>
      <w:numFmt w:val="decimal"/>
      <w:lvlText w:val="%7."/>
      <w:lvlJc w:val="left"/>
      <w:pPr>
        <w:ind w:left="2880" w:hanging="360"/>
      </w:pPr>
    </w:lvl>
    <w:lvl w:ilvl="7" w:tplc="140A0019" w:tentative="1">
      <w:start w:val="1"/>
      <w:numFmt w:val="lowerLetter"/>
      <w:lvlText w:val="%8."/>
      <w:lvlJc w:val="left"/>
      <w:pPr>
        <w:ind w:left="3600" w:hanging="360"/>
      </w:pPr>
    </w:lvl>
    <w:lvl w:ilvl="8" w:tplc="140A001B" w:tentative="1">
      <w:start w:val="1"/>
      <w:numFmt w:val="lowerRoman"/>
      <w:lvlText w:val="%9."/>
      <w:lvlJc w:val="right"/>
      <w:pPr>
        <w:ind w:left="4320" w:hanging="180"/>
      </w:pPr>
    </w:lvl>
  </w:abstractNum>
  <w:abstractNum w:abstractNumId="19" w15:restartNumberingAfterBreak="0">
    <w:nsid w:val="5DD86B66"/>
    <w:multiLevelType w:val="hybridMultilevel"/>
    <w:tmpl w:val="31B41EE4"/>
    <w:lvl w:ilvl="0" w:tplc="FA0A065E">
      <w:start w:val="1"/>
      <w:numFmt w:val="lowerRoman"/>
      <w:lvlText w:val="%1)"/>
      <w:lvlJc w:val="left"/>
      <w:pPr>
        <w:ind w:left="1854" w:hanging="720"/>
      </w:pPr>
      <w:rPr>
        <w:rFonts w:hint="default"/>
      </w:rPr>
    </w:lvl>
    <w:lvl w:ilvl="1" w:tplc="140A0019">
      <w:start w:val="1"/>
      <w:numFmt w:val="lowerLetter"/>
      <w:lvlText w:val="%2."/>
      <w:lvlJc w:val="left"/>
      <w:pPr>
        <w:ind w:left="2214" w:hanging="360"/>
      </w:pPr>
    </w:lvl>
    <w:lvl w:ilvl="2" w:tplc="96B89478">
      <w:start w:val="1"/>
      <w:numFmt w:val="upperLetter"/>
      <w:lvlText w:val="%3."/>
      <w:lvlJc w:val="left"/>
      <w:pPr>
        <w:ind w:left="3114" w:hanging="360"/>
      </w:pPr>
      <w:rPr>
        <w:rFonts w:hint="default"/>
      </w:rPr>
    </w:lvl>
    <w:lvl w:ilvl="3" w:tplc="140A000F" w:tentative="1">
      <w:start w:val="1"/>
      <w:numFmt w:val="decimal"/>
      <w:lvlText w:val="%4."/>
      <w:lvlJc w:val="left"/>
      <w:pPr>
        <w:ind w:left="3654" w:hanging="360"/>
      </w:pPr>
    </w:lvl>
    <w:lvl w:ilvl="4" w:tplc="140A0019" w:tentative="1">
      <w:start w:val="1"/>
      <w:numFmt w:val="lowerLetter"/>
      <w:lvlText w:val="%5."/>
      <w:lvlJc w:val="left"/>
      <w:pPr>
        <w:ind w:left="4374" w:hanging="360"/>
      </w:pPr>
    </w:lvl>
    <w:lvl w:ilvl="5" w:tplc="140A001B" w:tentative="1">
      <w:start w:val="1"/>
      <w:numFmt w:val="lowerRoman"/>
      <w:lvlText w:val="%6."/>
      <w:lvlJc w:val="right"/>
      <w:pPr>
        <w:ind w:left="5094" w:hanging="180"/>
      </w:pPr>
    </w:lvl>
    <w:lvl w:ilvl="6" w:tplc="140A000F" w:tentative="1">
      <w:start w:val="1"/>
      <w:numFmt w:val="decimal"/>
      <w:lvlText w:val="%7."/>
      <w:lvlJc w:val="left"/>
      <w:pPr>
        <w:ind w:left="5814" w:hanging="360"/>
      </w:pPr>
    </w:lvl>
    <w:lvl w:ilvl="7" w:tplc="140A0019" w:tentative="1">
      <w:start w:val="1"/>
      <w:numFmt w:val="lowerLetter"/>
      <w:lvlText w:val="%8."/>
      <w:lvlJc w:val="left"/>
      <w:pPr>
        <w:ind w:left="6534" w:hanging="360"/>
      </w:pPr>
    </w:lvl>
    <w:lvl w:ilvl="8" w:tplc="140A001B" w:tentative="1">
      <w:start w:val="1"/>
      <w:numFmt w:val="lowerRoman"/>
      <w:lvlText w:val="%9."/>
      <w:lvlJc w:val="right"/>
      <w:pPr>
        <w:ind w:left="7254" w:hanging="180"/>
      </w:pPr>
    </w:lvl>
  </w:abstractNum>
  <w:abstractNum w:abstractNumId="20" w15:restartNumberingAfterBreak="0">
    <w:nsid w:val="5F422753"/>
    <w:multiLevelType w:val="hybridMultilevel"/>
    <w:tmpl w:val="653038C2"/>
    <w:lvl w:ilvl="0" w:tplc="67B85738">
      <w:start w:val="508"/>
      <w:numFmt w:val="decimal"/>
      <w:lvlText w:val="%1."/>
      <w:lvlJc w:val="left"/>
      <w:pPr>
        <w:ind w:left="828" w:hanging="468"/>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602661AB"/>
    <w:multiLevelType w:val="hybridMultilevel"/>
    <w:tmpl w:val="15DAC8BE"/>
    <w:lvl w:ilvl="0" w:tplc="BE50986C">
      <w:start w:val="1"/>
      <w:numFmt w:val="upperLetter"/>
      <w:lvlText w:val="%1."/>
      <w:lvlJc w:val="left"/>
      <w:pPr>
        <w:ind w:left="360" w:hanging="360"/>
      </w:pPr>
      <w:rPr>
        <w:b/>
        <w:i/>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67050AD3"/>
    <w:multiLevelType w:val="hybridMultilevel"/>
    <w:tmpl w:val="6F2A1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101FB"/>
    <w:multiLevelType w:val="hybridMultilevel"/>
    <w:tmpl w:val="AD16C2DC"/>
    <w:lvl w:ilvl="0" w:tplc="996A088A">
      <w:start w:val="1"/>
      <w:numFmt w:val="upperRoman"/>
      <w:lvlText w:val="%1."/>
      <w:lvlJc w:val="right"/>
      <w:pPr>
        <w:ind w:left="720" w:hanging="360"/>
      </w:pPr>
      <w:rPr>
        <w:rFonts w:hint="default"/>
      </w:rPr>
    </w:lvl>
    <w:lvl w:ilvl="1" w:tplc="2C0A0019">
      <w:start w:val="1"/>
      <w:numFmt w:val="lowerLetter"/>
      <w:lvlText w:val="%2."/>
      <w:lvlJc w:val="left"/>
      <w:pPr>
        <w:ind w:left="1440" w:hanging="360"/>
      </w:pPr>
    </w:lvl>
    <w:lvl w:ilvl="2" w:tplc="4202A1AC">
      <w:start w:val="1"/>
      <w:numFmt w:val="lowerRoman"/>
      <w:lvlText w:val="%3."/>
      <w:lvlJc w:val="right"/>
      <w:pPr>
        <w:ind w:left="2160" w:hanging="180"/>
      </w:pPr>
    </w:lvl>
    <w:lvl w:ilvl="3" w:tplc="3F0893E6">
      <w:start w:val="1"/>
      <w:numFmt w:val="decimal"/>
      <w:lvlText w:val="%4)"/>
      <w:lvlJc w:val="left"/>
      <w:pPr>
        <w:ind w:left="2880" w:hanging="360"/>
      </w:pPr>
      <w:rPr>
        <w:rFonts w:hint="default"/>
      </w:rPr>
    </w:lvl>
    <w:lvl w:ilvl="4" w:tplc="E7BA4BB6">
      <w:start w:val="1"/>
      <w:numFmt w:val="decimal"/>
      <w:pStyle w:val="PrrafodeSentencia"/>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6EAB68D1"/>
    <w:multiLevelType w:val="hybridMultilevel"/>
    <w:tmpl w:val="CA3CF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6F60DA"/>
    <w:multiLevelType w:val="hybridMultilevel"/>
    <w:tmpl w:val="20745E40"/>
    <w:lvl w:ilvl="0" w:tplc="5A3895D2">
      <w:start w:val="6"/>
      <w:numFmt w:val="upperLetter"/>
      <w:pStyle w:val="Ttulo2"/>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6753A80"/>
    <w:multiLevelType w:val="hybridMultilevel"/>
    <w:tmpl w:val="EB466B26"/>
    <w:lvl w:ilvl="0" w:tplc="A9F24D46">
      <w:start w:val="1"/>
      <w:numFmt w:val="decimal"/>
      <w:lvlText w:val="%1."/>
      <w:lvlJc w:val="left"/>
      <w:pPr>
        <w:ind w:left="0" w:firstLine="0"/>
      </w:pPr>
      <w:rPr>
        <w:rFonts w:ascii="Verdana" w:hAnsi="Verdana" w:hint="default"/>
        <w:b w:val="0"/>
        <w:i w:val="0"/>
        <w:strike w:val="0"/>
        <w:color w:val="auto"/>
        <w:sz w:val="20"/>
        <w:szCs w:val="20"/>
        <w:lang w:val="es-AR"/>
      </w:rPr>
    </w:lvl>
    <w:lvl w:ilvl="1" w:tplc="2C0A0019">
      <w:start w:val="1"/>
      <w:numFmt w:val="lowerLetter"/>
      <w:lvlText w:val="%2."/>
      <w:lvlJc w:val="left"/>
      <w:pPr>
        <w:ind w:left="1353" w:hanging="360"/>
      </w:pPr>
      <w:rPr>
        <w:rFonts w:hint="default"/>
        <w:lang w:val="es-CR"/>
      </w:rPr>
    </w:lvl>
    <w:lvl w:ilvl="2" w:tplc="40823306">
      <w:start w:val="1"/>
      <w:numFmt w:val="lowerRoman"/>
      <w:lvlText w:val="%3."/>
      <w:lvlJc w:val="right"/>
      <w:pPr>
        <w:ind w:left="2018" w:hanging="180"/>
      </w:pPr>
      <w:rPr>
        <w:b w:val="0"/>
        <w:i w:val="0"/>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27" w15:restartNumberingAfterBreak="0">
    <w:nsid w:val="783843C5"/>
    <w:multiLevelType w:val="hybridMultilevel"/>
    <w:tmpl w:val="0CDA4638"/>
    <w:lvl w:ilvl="0" w:tplc="140A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15:restartNumberingAfterBreak="0">
    <w:nsid w:val="7CE64D32"/>
    <w:multiLevelType w:val="hybridMultilevel"/>
    <w:tmpl w:val="9F8AF72C"/>
    <w:lvl w:ilvl="0" w:tplc="996A088A">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CO"/>
      </w:rPr>
    </w:lvl>
    <w:lvl w:ilvl="1" w:tplc="2C0A0019">
      <w:start w:val="1"/>
      <w:numFmt w:val="decimal"/>
      <w:lvlText w:val="%2."/>
      <w:lvlJc w:val="left"/>
      <w:pPr>
        <w:tabs>
          <w:tab w:val="num" w:pos="0"/>
        </w:tabs>
        <w:ind w:left="0" w:firstLine="0"/>
      </w:pPr>
      <w:rPr>
        <w:rFonts w:ascii="Verdana" w:eastAsia="Times New Roman" w:hAnsi="Verdana" w:cs="Times New Roman" w:hint="default"/>
        <w:b/>
        <w:i w:val="0"/>
        <w:strike w:val="0"/>
        <w:color w:val="auto"/>
        <w:sz w:val="20"/>
        <w:lang w:val="es-CO"/>
      </w:rPr>
    </w:lvl>
    <w:lvl w:ilvl="2" w:tplc="4202A1AC">
      <w:start w:val="1"/>
      <w:numFmt w:val="lowerRoman"/>
      <w:pStyle w:val="Estilo7"/>
      <w:lvlText w:val="%3."/>
      <w:lvlJc w:val="right"/>
      <w:pPr>
        <w:tabs>
          <w:tab w:val="num" w:pos="2160"/>
        </w:tabs>
        <w:ind w:left="2160" w:hanging="180"/>
      </w:pPr>
      <w:rPr>
        <w:rFonts w:cs="Times New Roman"/>
      </w:rPr>
    </w:lvl>
    <w:lvl w:ilvl="3" w:tplc="3F0893E6">
      <w:start w:val="1"/>
      <w:numFmt w:val="decimal"/>
      <w:lvlText w:val="%4."/>
      <w:lvlJc w:val="left"/>
      <w:pPr>
        <w:tabs>
          <w:tab w:val="num" w:pos="2880"/>
        </w:tabs>
        <w:ind w:left="2880" w:hanging="360"/>
      </w:pPr>
      <w:rPr>
        <w:rFonts w:cs="Times New Roman"/>
      </w:rPr>
    </w:lvl>
    <w:lvl w:ilvl="4" w:tplc="E7BA4BB6">
      <w:start w:val="1"/>
      <w:numFmt w:val="lowerLetter"/>
      <w:lvlText w:val="%5."/>
      <w:lvlJc w:val="left"/>
      <w:pPr>
        <w:tabs>
          <w:tab w:val="num" w:pos="3600"/>
        </w:tabs>
        <w:ind w:left="3600" w:hanging="360"/>
      </w:pPr>
      <w:rPr>
        <w:rFonts w:cs="Times New Roman"/>
      </w:rPr>
    </w:lvl>
    <w:lvl w:ilvl="5" w:tplc="2C0A001B">
      <w:start w:val="1"/>
      <w:numFmt w:val="lowerRoman"/>
      <w:lvlText w:val="%6."/>
      <w:lvlJc w:val="right"/>
      <w:pPr>
        <w:tabs>
          <w:tab w:val="num" w:pos="4320"/>
        </w:tabs>
        <w:ind w:left="4320" w:hanging="180"/>
      </w:pPr>
      <w:rPr>
        <w:rFonts w:cs="Times New Roman"/>
      </w:rPr>
    </w:lvl>
    <w:lvl w:ilvl="6" w:tplc="2C0A000F">
      <w:start w:val="1"/>
      <w:numFmt w:val="decimal"/>
      <w:lvlText w:val="%7."/>
      <w:lvlJc w:val="left"/>
      <w:pPr>
        <w:tabs>
          <w:tab w:val="num" w:pos="5040"/>
        </w:tabs>
        <w:ind w:left="5040" w:hanging="360"/>
      </w:pPr>
      <w:rPr>
        <w:rFonts w:cs="Times New Roman"/>
      </w:rPr>
    </w:lvl>
    <w:lvl w:ilvl="7" w:tplc="2C0A0019">
      <w:start w:val="1"/>
      <w:numFmt w:val="lowerLetter"/>
      <w:lvlText w:val="%8."/>
      <w:lvlJc w:val="left"/>
      <w:pPr>
        <w:tabs>
          <w:tab w:val="num" w:pos="5760"/>
        </w:tabs>
        <w:ind w:left="5760" w:hanging="360"/>
      </w:pPr>
      <w:rPr>
        <w:rFonts w:cs="Times New Roman"/>
      </w:rPr>
    </w:lvl>
    <w:lvl w:ilvl="8" w:tplc="2C0A001B">
      <w:start w:val="1"/>
      <w:numFmt w:val="lowerRoman"/>
      <w:lvlText w:val="%9."/>
      <w:lvlJc w:val="right"/>
      <w:pPr>
        <w:tabs>
          <w:tab w:val="num" w:pos="6480"/>
        </w:tabs>
        <w:ind w:left="6480" w:hanging="180"/>
      </w:pPr>
      <w:rPr>
        <w:rFonts w:cs="Times New Roman"/>
      </w:rPr>
    </w:lvl>
  </w:abstractNum>
  <w:num w:numId="1">
    <w:abstractNumId w:val="26"/>
  </w:num>
  <w:num w:numId="2">
    <w:abstractNumId w:val="12"/>
  </w:num>
  <w:num w:numId="3">
    <w:abstractNumId w:val="19"/>
  </w:num>
  <w:num w:numId="4">
    <w:abstractNumId w:val="18"/>
  </w:num>
  <w:num w:numId="5">
    <w:abstractNumId w:val="28"/>
  </w:num>
  <w:num w:numId="6">
    <w:abstractNumId w:val="23"/>
  </w:num>
  <w:num w:numId="7">
    <w:abstractNumId w:val="5"/>
  </w:num>
  <w:num w:numId="8">
    <w:abstractNumId w:val="13"/>
  </w:num>
  <w:num w:numId="9">
    <w:abstractNumId w:val="16"/>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14"/>
  </w:num>
  <w:num w:numId="15">
    <w:abstractNumId w:val="27"/>
  </w:num>
  <w:num w:numId="16">
    <w:abstractNumId w:val="21"/>
  </w:num>
  <w:num w:numId="17">
    <w:abstractNumId w:val="6"/>
  </w:num>
  <w:num w:numId="18">
    <w:abstractNumId w:val="2"/>
  </w:num>
  <w:num w:numId="19">
    <w:abstractNumId w:val="7"/>
  </w:num>
  <w:num w:numId="20">
    <w:abstractNumId w:val="1"/>
  </w:num>
  <w:num w:numId="21">
    <w:abstractNumId w:val="8"/>
  </w:num>
  <w:num w:numId="22">
    <w:abstractNumId w:val="25"/>
  </w:num>
  <w:num w:numId="23">
    <w:abstractNumId w:val="15"/>
  </w:num>
  <w:num w:numId="24">
    <w:abstractNumId w:val="11"/>
  </w:num>
  <w:num w:numId="25">
    <w:abstractNumId w:val="20"/>
  </w:num>
  <w:num w:numId="26">
    <w:abstractNumId w:val="0"/>
  </w:num>
  <w:num w:numId="27">
    <w:abstractNumId w:val="24"/>
  </w:num>
  <w:num w:numId="28">
    <w:abstractNumId w:val="17"/>
  </w:num>
  <w:num w:numId="2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ACF"/>
    <w:rsid w:val="000003D4"/>
    <w:rsid w:val="00001275"/>
    <w:rsid w:val="000012A9"/>
    <w:rsid w:val="00004102"/>
    <w:rsid w:val="00004BD5"/>
    <w:rsid w:val="00004D55"/>
    <w:rsid w:val="00006672"/>
    <w:rsid w:val="00007337"/>
    <w:rsid w:val="000077CB"/>
    <w:rsid w:val="000107F7"/>
    <w:rsid w:val="00010D5A"/>
    <w:rsid w:val="00010E27"/>
    <w:rsid w:val="000111D5"/>
    <w:rsid w:val="00012B7C"/>
    <w:rsid w:val="000140F2"/>
    <w:rsid w:val="00017131"/>
    <w:rsid w:val="000173A2"/>
    <w:rsid w:val="00017B54"/>
    <w:rsid w:val="00020A06"/>
    <w:rsid w:val="00022180"/>
    <w:rsid w:val="0002225D"/>
    <w:rsid w:val="000233C0"/>
    <w:rsid w:val="00024FCB"/>
    <w:rsid w:val="00027127"/>
    <w:rsid w:val="000323AE"/>
    <w:rsid w:val="0003391C"/>
    <w:rsid w:val="00033BDD"/>
    <w:rsid w:val="000348FA"/>
    <w:rsid w:val="000351A5"/>
    <w:rsid w:val="00035CC9"/>
    <w:rsid w:val="00035EA3"/>
    <w:rsid w:val="00037051"/>
    <w:rsid w:val="00041EA2"/>
    <w:rsid w:val="00042710"/>
    <w:rsid w:val="00044CBD"/>
    <w:rsid w:val="000461CD"/>
    <w:rsid w:val="000471F5"/>
    <w:rsid w:val="00050992"/>
    <w:rsid w:val="00051F39"/>
    <w:rsid w:val="0005368B"/>
    <w:rsid w:val="0005490E"/>
    <w:rsid w:val="00055A0D"/>
    <w:rsid w:val="00055F6E"/>
    <w:rsid w:val="00061E94"/>
    <w:rsid w:val="000631F4"/>
    <w:rsid w:val="00064461"/>
    <w:rsid w:val="00065EC3"/>
    <w:rsid w:val="00066D91"/>
    <w:rsid w:val="00066E48"/>
    <w:rsid w:val="00067C18"/>
    <w:rsid w:val="0007001D"/>
    <w:rsid w:val="00071696"/>
    <w:rsid w:val="0007236A"/>
    <w:rsid w:val="00072BA9"/>
    <w:rsid w:val="0007440B"/>
    <w:rsid w:val="00074964"/>
    <w:rsid w:val="0007524A"/>
    <w:rsid w:val="00075BE8"/>
    <w:rsid w:val="00076D10"/>
    <w:rsid w:val="00081BCB"/>
    <w:rsid w:val="00083C0B"/>
    <w:rsid w:val="0008427B"/>
    <w:rsid w:val="00085AF0"/>
    <w:rsid w:val="00085F51"/>
    <w:rsid w:val="000864EF"/>
    <w:rsid w:val="00086A1A"/>
    <w:rsid w:val="0008736A"/>
    <w:rsid w:val="00090E67"/>
    <w:rsid w:val="000916AF"/>
    <w:rsid w:val="00091C0F"/>
    <w:rsid w:val="00093C8F"/>
    <w:rsid w:val="000944E7"/>
    <w:rsid w:val="0009498B"/>
    <w:rsid w:val="000968FA"/>
    <w:rsid w:val="000A02BB"/>
    <w:rsid w:val="000A10F1"/>
    <w:rsid w:val="000A1145"/>
    <w:rsid w:val="000A1E89"/>
    <w:rsid w:val="000A20C1"/>
    <w:rsid w:val="000A3215"/>
    <w:rsid w:val="000A38B2"/>
    <w:rsid w:val="000A4B3E"/>
    <w:rsid w:val="000A5049"/>
    <w:rsid w:val="000A52D5"/>
    <w:rsid w:val="000A5386"/>
    <w:rsid w:val="000A6C96"/>
    <w:rsid w:val="000A773D"/>
    <w:rsid w:val="000B15B4"/>
    <w:rsid w:val="000B260C"/>
    <w:rsid w:val="000B2B14"/>
    <w:rsid w:val="000B2BFA"/>
    <w:rsid w:val="000B338A"/>
    <w:rsid w:val="000B376D"/>
    <w:rsid w:val="000B4B4B"/>
    <w:rsid w:val="000B5B8E"/>
    <w:rsid w:val="000B5BAB"/>
    <w:rsid w:val="000B667E"/>
    <w:rsid w:val="000B69E5"/>
    <w:rsid w:val="000B7430"/>
    <w:rsid w:val="000C04E5"/>
    <w:rsid w:val="000C2402"/>
    <w:rsid w:val="000C26F3"/>
    <w:rsid w:val="000C297B"/>
    <w:rsid w:val="000C3508"/>
    <w:rsid w:val="000C3BE6"/>
    <w:rsid w:val="000C4AC2"/>
    <w:rsid w:val="000C63BE"/>
    <w:rsid w:val="000C71BD"/>
    <w:rsid w:val="000C7816"/>
    <w:rsid w:val="000C7E30"/>
    <w:rsid w:val="000C7FE4"/>
    <w:rsid w:val="000D0116"/>
    <w:rsid w:val="000D107E"/>
    <w:rsid w:val="000D14BE"/>
    <w:rsid w:val="000D2280"/>
    <w:rsid w:val="000D235B"/>
    <w:rsid w:val="000D2B1B"/>
    <w:rsid w:val="000D2E66"/>
    <w:rsid w:val="000D2F3A"/>
    <w:rsid w:val="000D3956"/>
    <w:rsid w:val="000D3FD8"/>
    <w:rsid w:val="000D47F8"/>
    <w:rsid w:val="000D4EF8"/>
    <w:rsid w:val="000D5277"/>
    <w:rsid w:val="000D52CA"/>
    <w:rsid w:val="000D5F67"/>
    <w:rsid w:val="000D6144"/>
    <w:rsid w:val="000D71E8"/>
    <w:rsid w:val="000E0361"/>
    <w:rsid w:val="000E044B"/>
    <w:rsid w:val="000E0858"/>
    <w:rsid w:val="000E4F31"/>
    <w:rsid w:val="000E6531"/>
    <w:rsid w:val="000E6B52"/>
    <w:rsid w:val="000E77C3"/>
    <w:rsid w:val="000F2F35"/>
    <w:rsid w:val="000F4A9C"/>
    <w:rsid w:val="000F4D68"/>
    <w:rsid w:val="000F5C2D"/>
    <w:rsid w:val="00100481"/>
    <w:rsid w:val="00100D71"/>
    <w:rsid w:val="00103A50"/>
    <w:rsid w:val="00103B40"/>
    <w:rsid w:val="0010427F"/>
    <w:rsid w:val="0010513B"/>
    <w:rsid w:val="00105168"/>
    <w:rsid w:val="00105576"/>
    <w:rsid w:val="00105580"/>
    <w:rsid w:val="001070C5"/>
    <w:rsid w:val="0010774E"/>
    <w:rsid w:val="00107D98"/>
    <w:rsid w:val="00107DA8"/>
    <w:rsid w:val="001113DC"/>
    <w:rsid w:val="001133D7"/>
    <w:rsid w:val="00113871"/>
    <w:rsid w:val="00113D1E"/>
    <w:rsid w:val="00113E89"/>
    <w:rsid w:val="0011424D"/>
    <w:rsid w:val="001156BC"/>
    <w:rsid w:val="0011599E"/>
    <w:rsid w:val="001179F1"/>
    <w:rsid w:val="00117B9D"/>
    <w:rsid w:val="00117C16"/>
    <w:rsid w:val="00121008"/>
    <w:rsid w:val="001217FA"/>
    <w:rsid w:val="00122276"/>
    <w:rsid w:val="00122B46"/>
    <w:rsid w:val="00123606"/>
    <w:rsid w:val="0012458D"/>
    <w:rsid w:val="00124D0D"/>
    <w:rsid w:val="0012698E"/>
    <w:rsid w:val="00126C03"/>
    <w:rsid w:val="0012759D"/>
    <w:rsid w:val="00127E5F"/>
    <w:rsid w:val="001307AC"/>
    <w:rsid w:val="00130C82"/>
    <w:rsid w:val="001314BC"/>
    <w:rsid w:val="00132192"/>
    <w:rsid w:val="0013378D"/>
    <w:rsid w:val="0013529C"/>
    <w:rsid w:val="0013590B"/>
    <w:rsid w:val="001379DD"/>
    <w:rsid w:val="00140440"/>
    <w:rsid w:val="001410E6"/>
    <w:rsid w:val="001425DD"/>
    <w:rsid w:val="001425E4"/>
    <w:rsid w:val="00144A58"/>
    <w:rsid w:val="001450BB"/>
    <w:rsid w:val="0014534A"/>
    <w:rsid w:val="00146AEA"/>
    <w:rsid w:val="00147B43"/>
    <w:rsid w:val="001520F3"/>
    <w:rsid w:val="00152D0B"/>
    <w:rsid w:val="0015324D"/>
    <w:rsid w:val="001532EE"/>
    <w:rsid w:val="0015354F"/>
    <w:rsid w:val="00155040"/>
    <w:rsid w:val="00155B0D"/>
    <w:rsid w:val="001603E0"/>
    <w:rsid w:val="001619BE"/>
    <w:rsid w:val="00163DFF"/>
    <w:rsid w:val="00164501"/>
    <w:rsid w:val="00167305"/>
    <w:rsid w:val="00170062"/>
    <w:rsid w:val="0017180F"/>
    <w:rsid w:val="001734D2"/>
    <w:rsid w:val="00173595"/>
    <w:rsid w:val="00174E05"/>
    <w:rsid w:val="00176C77"/>
    <w:rsid w:val="00176FD5"/>
    <w:rsid w:val="00180023"/>
    <w:rsid w:val="0018065A"/>
    <w:rsid w:val="00181D8E"/>
    <w:rsid w:val="00183B2F"/>
    <w:rsid w:val="00183EEA"/>
    <w:rsid w:val="00184F4E"/>
    <w:rsid w:val="0018563C"/>
    <w:rsid w:val="00186219"/>
    <w:rsid w:val="001865AB"/>
    <w:rsid w:val="00187158"/>
    <w:rsid w:val="0019084B"/>
    <w:rsid w:val="00190FF4"/>
    <w:rsid w:val="00191393"/>
    <w:rsid w:val="00191500"/>
    <w:rsid w:val="00193110"/>
    <w:rsid w:val="00193EC2"/>
    <w:rsid w:val="00195949"/>
    <w:rsid w:val="00195BE2"/>
    <w:rsid w:val="00197D27"/>
    <w:rsid w:val="001A101E"/>
    <w:rsid w:val="001A10D5"/>
    <w:rsid w:val="001A22AC"/>
    <w:rsid w:val="001A317E"/>
    <w:rsid w:val="001A4B58"/>
    <w:rsid w:val="001A551D"/>
    <w:rsid w:val="001A552F"/>
    <w:rsid w:val="001A5B3A"/>
    <w:rsid w:val="001B0BC6"/>
    <w:rsid w:val="001B149B"/>
    <w:rsid w:val="001B2B79"/>
    <w:rsid w:val="001B37CC"/>
    <w:rsid w:val="001B4403"/>
    <w:rsid w:val="001B6382"/>
    <w:rsid w:val="001B63D0"/>
    <w:rsid w:val="001C0328"/>
    <w:rsid w:val="001C0908"/>
    <w:rsid w:val="001C28EF"/>
    <w:rsid w:val="001C3174"/>
    <w:rsid w:val="001C349D"/>
    <w:rsid w:val="001C6B45"/>
    <w:rsid w:val="001D0204"/>
    <w:rsid w:val="001D0A2C"/>
    <w:rsid w:val="001D133B"/>
    <w:rsid w:val="001D2A88"/>
    <w:rsid w:val="001D30B1"/>
    <w:rsid w:val="001D3881"/>
    <w:rsid w:val="001D39CF"/>
    <w:rsid w:val="001D429C"/>
    <w:rsid w:val="001D5B6C"/>
    <w:rsid w:val="001E048E"/>
    <w:rsid w:val="001E1449"/>
    <w:rsid w:val="001E223C"/>
    <w:rsid w:val="001E3513"/>
    <w:rsid w:val="001E3EA5"/>
    <w:rsid w:val="001E46BD"/>
    <w:rsid w:val="001E4C28"/>
    <w:rsid w:val="001E57D2"/>
    <w:rsid w:val="001E6354"/>
    <w:rsid w:val="001E7900"/>
    <w:rsid w:val="001F2568"/>
    <w:rsid w:val="001F3394"/>
    <w:rsid w:val="001F559F"/>
    <w:rsid w:val="001F55CA"/>
    <w:rsid w:val="001F7A76"/>
    <w:rsid w:val="00200C04"/>
    <w:rsid w:val="00201D43"/>
    <w:rsid w:val="002046BA"/>
    <w:rsid w:val="00204E5E"/>
    <w:rsid w:val="002054C6"/>
    <w:rsid w:val="00205A87"/>
    <w:rsid w:val="00205E5C"/>
    <w:rsid w:val="002061C0"/>
    <w:rsid w:val="00206C9D"/>
    <w:rsid w:val="00207197"/>
    <w:rsid w:val="00211DB5"/>
    <w:rsid w:val="00212404"/>
    <w:rsid w:val="00213D4A"/>
    <w:rsid w:val="0021497B"/>
    <w:rsid w:val="002156E6"/>
    <w:rsid w:val="002170E1"/>
    <w:rsid w:val="002172CB"/>
    <w:rsid w:val="00217B3E"/>
    <w:rsid w:val="00217CA8"/>
    <w:rsid w:val="0022029E"/>
    <w:rsid w:val="002223DF"/>
    <w:rsid w:val="0022259B"/>
    <w:rsid w:val="002234D4"/>
    <w:rsid w:val="00223EEA"/>
    <w:rsid w:val="002246F9"/>
    <w:rsid w:val="00225486"/>
    <w:rsid w:val="00225FE9"/>
    <w:rsid w:val="00230C71"/>
    <w:rsid w:val="0023110E"/>
    <w:rsid w:val="0023161F"/>
    <w:rsid w:val="00231EE9"/>
    <w:rsid w:val="0023255E"/>
    <w:rsid w:val="00232E1D"/>
    <w:rsid w:val="00233178"/>
    <w:rsid w:val="002339E7"/>
    <w:rsid w:val="00234505"/>
    <w:rsid w:val="0023571D"/>
    <w:rsid w:val="00236F0B"/>
    <w:rsid w:val="0023778A"/>
    <w:rsid w:val="002378B9"/>
    <w:rsid w:val="00240758"/>
    <w:rsid w:val="00241CDD"/>
    <w:rsid w:val="00242CDD"/>
    <w:rsid w:val="0024380B"/>
    <w:rsid w:val="002443D0"/>
    <w:rsid w:val="00244B8D"/>
    <w:rsid w:val="00244BC9"/>
    <w:rsid w:val="00245EDE"/>
    <w:rsid w:val="002465C5"/>
    <w:rsid w:val="00246E8D"/>
    <w:rsid w:val="00247F1A"/>
    <w:rsid w:val="0025091B"/>
    <w:rsid w:val="002525C6"/>
    <w:rsid w:val="002540C6"/>
    <w:rsid w:val="002544E7"/>
    <w:rsid w:val="00254703"/>
    <w:rsid w:val="00255C82"/>
    <w:rsid w:val="0025611E"/>
    <w:rsid w:val="00257BC7"/>
    <w:rsid w:val="00260035"/>
    <w:rsid w:val="00262E06"/>
    <w:rsid w:val="00263374"/>
    <w:rsid w:val="00263F22"/>
    <w:rsid w:val="00264358"/>
    <w:rsid w:val="002662CC"/>
    <w:rsid w:val="0026645F"/>
    <w:rsid w:val="00267AE5"/>
    <w:rsid w:val="002713DE"/>
    <w:rsid w:val="0027383F"/>
    <w:rsid w:val="00273C4C"/>
    <w:rsid w:val="00275027"/>
    <w:rsid w:val="00275739"/>
    <w:rsid w:val="00275E4E"/>
    <w:rsid w:val="00277655"/>
    <w:rsid w:val="0027773F"/>
    <w:rsid w:val="002813AD"/>
    <w:rsid w:val="002813D5"/>
    <w:rsid w:val="00282494"/>
    <w:rsid w:val="00284250"/>
    <w:rsid w:val="00284FF3"/>
    <w:rsid w:val="00286C57"/>
    <w:rsid w:val="00286DFA"/>
    <w:rsid w:val="002874E7"/>
    <w:rsid w:val="00290DC5"/>
    <w:rsid w:val="00292379"/>
    <w:rsid w:val="00292BDE"/>
    <w:rsid w:val="00293FFD"/>
    <w:rsid w:val="002940F9"/>
    <w:rsid w:val="002954E2"/>
    <w:rsid w:val="0029601E"/>
    <w:rsid w:val="00297166"/>
    <w:rsid w:val="002A0C2B"/>
    <w:rsid w:val="002A0EEC"/>
    <w:rsid w:val="002A18FD"/>
    <w:rsid w:val="002A2535"/>
    <w:rsid w:val="002A2605"/>
    <w:rsid w:val="002A2B23"/>
    <w:rsid w:val="002A3CA0"/>
    <w:rsid w:val="002A4171"/>
    <w:rsid w:val="002A573D"/>
    <w:rsid w:val="002A617A"/>
    <w:rsid w:val="002A638B"/>
    <w:rsid w:val="002B000E"/>
    <w:rsid w:val="002B1D76"/>
    <w:rsid w:val="002B20C9"/>
    <w:rsid w:val="002B3561"/>
    <w:rsid w:val="002B37DB"/>
    <w:rsid w:val="002B63C6"/>
    <w:rsid w:val="002B6CF6"/>
    <w:rsid w:val="002B787B"/>
    <w:rsid w:val="002B7D32"/>
    <w:rsid w:val="002B7F4E"/>
    <w:rsid w:val="002C0F86"/>
    <w:rsid w:val="002C127C"/>
    <w:rsid w:val="002C17BD"/>
    <w:rsid w:val="002C2CDF"/>
    <w:rsid w:val="002C2EA9"/>
    <w:rsid w:val="002C330E"/>
    <w:rsid w:val="002C34AA"/>
    <w:rsid w:val="002C3E4A"/>
    <w:rsid w:val="002C498A"/>
    <w:rsid w:val="002C6CC7"/>
    <w:rsid w:val="002C7B8C"/>
    <w:rsid w:val="002D3906"/>
    <w:rsid w:val="002D3E93"/>
    <w:rsid w:val="002D57E5"/>
    <w:rsid w:val="002D5E58"/>
    <w:rsid w:val="002D6D95"/>
    <w:rsid w:val="002E02B3"/>
    <w:rsid w:val="002E05C7"/>
    <w:rsid w:val="002E1889"/>
    <w:rsid w:val="002E26E1"/>
    <w:rsid w:val="002E6D16"/>
    <w:rsid w:val="002E7572"/>
    <w:rsid w:val="002F0B17"/>
    <w:rsid w:val="002F185A"/>
    <w:rsid w:val="002F23E9"/>
    <w:rsid w:val="002F274B"/>
    <w:rsid w:val="002F2C3F"/>
    <w:rsid w:val="002F2CC5"/>
    <w:rsid w:val="002F3C80"/>
    <w:rsid w:val="002F41B3"/>
    <w:rsid w:val="002F578C"/>
    <w:rsid w:val="002F6AD8"/>
    <w:rsid w:val="002F77EF"/>
    <w:rsid w:val="00300690"/>
    <w:rsid w:val="00300B6F"/>
    <w:rsid w:val="003014DB"/>
    <w:rsid w:val="0030288A"/>
    <w:rsid w:val="00302931"/>
    <w:rsid w:val="00303055"/>
    <w:rsid w:val="00303488"/>
    <w:rsid w:val="00303556"/>
    <w:rsid w:val="003049F8"/>
    <w:rsid w:val="00306955"/>
    <w:rsid w:val="00306B7D"/>
    <w:rsid w:val="003077F3"/>
    <w:rsid w:val="00307914"/>
    <w:rsid w:val="00307DD9"/>
    <w:rsid w:val="0031040E"/>
    <w:rsid w:val="00310620"/>
    <w:rsid w:val="00310E83"/>
    <w:rsid w:val="0031158B"/>
    <w:rsid w:val="00311C6D"/>
    <w:rsid w:val="00312339"/>
    <w:rsid w:val="00314896"/>
    <w:rsid w:val="00315507"/>
    <w:rsid w:val="00315750"/>
    <w:rsid w:val="00317149"/>
    <w:rsid w:val="003179EE"/>
    <w:rsid w:val="00317CC0"/>
    <w:rsid w:val="00320DCF"/>
    <w:rsid w:val="0032139C"/>
    <w:rsid w:val="00322854"/>
    <w:rsid w:val="00323FC8"/>
    <w:rsid w:val="00325360"/>
    <w:rsid w:val="003264B0"/>
    <w:rsid w:val="00326762"/>
    <w:rsid w:val="00327DC5"/>
    <w:rsid w:val="003305E2"/>
    <w:rsid w:val="00330A0C"/>
    <w:rsid w:val="00331198"/>
    <w:rsid w:val="0033449D"/>
    <w:rsid w:val="003353A2"/>
    <w:rsid w:val="00335CCC"/>
    <w:rsid w:val="00337FD7"/>
    <w:rsid w:val="00340FA0"/>
    <w:rsid w:val="0034193F"/>
    <w:rsid w:val="00344C5E"/>
    <w:rsid w:val="0034512A"/>
    <w:rsid w:val="003452E0"/>
    <w:rsid w:val="00347B8C"/>
    <w:rsid w:val="00350187"/>
    <w:rsid w:val="00350AD5"/>
    <w:rsid w:val="00351C4B"/>
    <w:rsid w:val="0035237D"/>
    <w:rsid w:val="003526B8"/>
    <w:rsid w:val="003545C3"/>
    <w:rsid w:val="00354654"/>
    <w:rsid w:val="00354870"/>
    <w:rsid w:val="003566CA"/>
    <w:rsid w:val="00356B27"/>
    <w:rsid w:val="003606D7"/>
    <w:rsid w:val="003607A5"/>
    <w:rsid w:val="00361FA1"/>
    <w:rsid w:val="003635EC"/>
    <w:rsid w:val="00363C19"/>
    <w:rsid w:val="00363C55"/>
    <w:rsid w:val="00363CDD"/>
    <w:rsid w:val="00365A20"/>
    <w:rsid w:val="00367152"/>
    <w:rsid w:val="00367264"/>
    <w:rsid w:val="003672AA"/>
    <w:rsid w:val="003675CA"/>
    <w:rsid w:val="00370C30"/>
    <w:rsid w:val="00371FF8"/>
    <w:rsid w:val="003728CE"/>
    <w:rsid w:val="00372EF3"/>
    <w:rsid w:val="00373CD7"/>
    <w:rsid w:val="00374F15"/>
    <w:rsid w:val="003750A2"/>
    <w:rsid w:val="00375852"/>
    <w:rsid w:val="00376730"/>
    <w:rsid w:val="003771CF"/>
    <w:rsid w:val="0037776F"/>
    <w:rsid w:val="00380A8D"/>
    <w:rsid w:val="00380C9D"/>
    <w:rsid w:val="0038138B"/>
    <w:rsid w:val="00381860"/>
    <w:rsid w:val="00384506"/>
    <w:rsid w:val="00384FEB"/>
    <w:rsid w:val="00385174"/>
    <w:rsid w:val="003862CF"/>
    <w:rsid w:val="00386419"/>
    <w:rsid w:val="00391EED"/>
    <w:rsid w:val="003924C3"/>
    <w:rsid w:val="00392657"/>
    <w:rsid w:val="0039404C"/>
    <w:rsid w:val="003949A7"/>
    <w:rsid w:val="003A041C"/>
    <w:rsid w:val="003A09CC"/>
    <w:rsid w:val="003A0AC2"/>
    <w:rsid w:val="003A1441"/>
    <w:rsid w:val="003A2901"/>
    <w:rsid w:val="003A3C64"/>
    <w:rsid w:val="003A4705"/>
    <w:rsid w:val="003A6950"/>
    <w:rsid w:val="003B073A"/>
    <w:rsid w:val="003B1C45"/>
    <w:rsid w:val="003B23FA"/>
    <w:rsid w:val="003B56F5"/>
    <w:rsid w:val="003B688C"/>
    <w:rsid w:val="003B7121"/>
    <w:rsid w:val="003B75DB"/>
    <w:rsid w:val="003B7B4E"/>
    <w:rsid w:val="003C02E6"/>
    <w:rsid w:val="003C0330"/>
    <w:rsid w:val="003C1A5A"/>
    <w:rsid w:val="003C1DF0"/>
    <w:rsid w:val="003C25CD"/>
    <w:rsid w:val="003C2CE1"/>
    <w:rsid w:val="003C3C9F"/>
    <w:rsid w:val="003C3E89"/>
    <w:rsid w:val="003C4933"/>
    <w:rsid w:val="003C667A"/>
    <w:rsid w:val="003C73E3"/>
    <w:rsid w:val="003C7FA5"/>
    <w:rsid w:val="003D08A4"/>
    <w:rsid w:val="003D0FCA"/>
    <w:rsid w:val="003D0FF4"/>
    <w:rsid w:val="003D1C6F"/>
    <w:rsid w:val="003D1DA3"/>
    <w:rsid w:val="003D2515"/>
    <w:rsid w:val="003D4341"/>
    <w:rsid w:val="003D4561"/>
    <w:rsid w:val="003D4674"/>
    <w:rsid w:val="003D4FF7"/>
    <w:rsid w:val="003E00C1"/>
    <w:rsid w:val="003E0D27"/>
    <w:rsid w:val="003E16F6"/>
    <w:rsid w:val="003E22C8"/>
    <w:rsid w:val="003E2627"/>
    <w:rsid w:val="003E26D4"/>
    <w:rsid w:val="003E3E1E"/>
    <w:rsid w:val="003E4B57"/>
    <w:rsid w:val="003E533F"/>
    <w:rsid w:val="003E5988"/>
    <w:rsid w:val="003E63B3"/>
    <w:rsid w:val="003E71C8"/>
    <w:rsid w:val="003E75BA"/>
    <w:rsid w:val="003E7CCD"/>
    <w:rsid w:val="003E7E7F"/>
    <w:rsid w:val="003F07AA"/>
    <w:rsid w:val="003F2815"/>
    <w:rsid w:val="003F32D2"/>
    <w:rsid w:val="003F398D"/>
    <w:rsid w:val="003F4971"/>
    <w:rsid w:val="003F4FB8"/>
    <w:rsid w:val="003F5751"/>
    <w:rsid w:val="003F5ED1"/>
    <w:rsid w:val="003F5F82"/>
    <w:rsid w:val="004012FE"/>
    <w:rsid w:val="004019FE"/>
    <w:rsid w:val="00402077"/>
    <w:rsid w:val="00402C0F"/>
    <w:rsid w:val="00402E9F"/>
    <w:rsid w:val="0040316B"/>
    <w:rsid w:val="004048BF"/>
    <w:rsid w:val="00405792"/>
    <w:rsid w:val="00407507"/>
    <w:rsid w:val="00410A30"/>
    <w:rsid w:val="00416610"/>
    <w:rsid w:val="004176A7"/>
    <w:rsid w:val="00420A16"/>
    <w:rsid w:val="00420AB1"/>
    <w:rsid w:val="00421BA9"/>
    <w:rsid w:val="00422C0B"/>
    <w:rsid w:val="00422E25"/>
    <w:rsid w:val="004233D4"/>
    <w:rsid w:val="004233E4"/>
    <w:rsid w:val="004242F3"/>
    <w:rsid w:val="004273FB"/>
    <w:rsid w:val="00431B27"/>
    <w:rsid w:val="00433449"/>
    <w:rsid w:val="00433E03"/>
    <w:rsid w:val="00436202"/>
    <w:rsid w:val="004400F3"/>
    <w:rsid w:val="0044118F"/>
    <w:rsid w:val="00441674"/>
    <w:rsid w:val="0044178A"/>
    <w:rsid w:val="00442DBA"/>
    <w:rsid w:val="00443B57"/>
    <w:rsid w:val="00445C53"/>
    <w:rsid w:val="00446C55"/>
    <w:rsid w:val="00447966"/>
    <w:rsid w:val="0045094F"/>
    <w:rsid w:val="00450AD5"/>
    <w:rsid w:val="004511EC"/>
    <w:rsid w:val="0045224E"/>
    <w:rsid w:val="0045315A"/>
    <w:rsid w:val="0045333C"/>
    <w:rsid w:val="0045550D"/>
    <w:rsid w:val="0045707F"/>
    <w:rsid w:val="00457388"/>
    <w:rsid w:val="00457BE2"/>
    <w:rsid w:val="0046044C"/>
    <w:rsid w:val="0046122E"/>
    <w:rsid w:val="004617F9"/>
    <w:rsid w:val="00461F4D"/>
    <w:rsid w:val="00462B9E"/>
    <w:rsid w:val="004665B2"/>
    <w:rsid w:val="004668DB"/>
    <w:rsid w:val="00470112"/>
    <w:rsid w:val="0047021C"/>
    <w:rsid w:val="00470ADC"/>
    <w:rsid w:val="004713F4"/>
    <w:rsid w:val="00471B33"/>
    <w:rsid w:val="00474008"/>
    <w:rsid w:val="0047401F"/>
    <w:rsid w:val="0047419B"/>
    <w:rsid w:val="004744BA"/>
    <w:rsid w:val="00475F4D"/>
    <w:rsid w:val="004764B2"/>
    <w:rsid w:val="004766BC"/>
    <w:rsid w:val="00476EA4"/>
    <w:rsid w:val="00477681"/>
    <w:rsid w:val="00477B43"/>
    <w:rsid w:val="0048084C"/>
    <w:rsid w:val="00480CED"/>
    <w:rsid w:val="00481124"/>
    <w:rsid w:val="00481243"/>
    <w:rsid w:val="00481EEC"/>
    <w:rsid w:val="00483F80"/>
    <w:rsid w:val="00483FB6"/>
    <w:rsid w:val="0048562E"/>
    <w:rsid w:val="004858D6"/>
    <w:rsid w:val="00485AAD"/>
    <w:rsid w:val="004865E0"/>
    <w:rsid w:val="00490523"/>
    <w:rsid w:val="004906C3"/>
    <w:rsid w:val="00492C20"/>
    <w:rsid w:val="00492FBE"/>
    <w:rsid w:val="0049429A"/>
    <w:rsid w:val="00494ED7"/>
    <w:rsid w:val="00495C4C"/>
    <w:rsid w:val="004A037C"/>
    <w:rsid w:val="004A0D5A"/>
    <w:rsid w:val="004A13F3"/>
    <w:rsid w:val="004A1E3E"/>
    <w:rsid w:val="004A373B"/>
    <w:rsid w:val="004A37D6"/>
    <w:rsid w:val="004A418A"/>
    <w:rsid w:val="004A4B25"/>
    <w:rsid w:val="004B01BE"/>
    <w:rsid w:val="004B0842"/>
    <w:rsid w:val="004B0B89"/>
    <w:rsid w:val="004B112F"/>
    <w:rsid w:val="004B1FD7"/>
    <w:rsid w:val="004B3E54"/>
    <w:rsid w:val="004B71B2"/>
    <w:rsid w:val="004B7A36"/>
    <w:rsid w:val="004C15F9"/>
    <w:rsid w:val="004C2D81"/>
    <w:rsid w:val="004C36BF"/>
    <w:rsid w:val="004C3E14"/>
    <w:rsid w:val="004C4889"/>
    <w:rsid w:val="004C5477"/>
    <w:rsid w:val="004C5B3B"/>
    <w:rsid w:val="004C713B"/>
    <w:rsid w:val="004C75FC"/>
    <w:rsid w:val="004C7778"/>
    <w:rsid w:val="004D1263"/>
    <w:rsid w:val="004D156E"/>
    <w:rsid w:val="004D1879"/>
    <w:rsid w:val="004D1D39"/>
    <w:rsid w:val="004D2931"/>
    <w:rsid w:val="004D310D"/>
    <w:rsid w:val="004D316A"/>
    <w:rsid w:val="004D3DED"/>
    <w:rsid w:val="004D425F"/>
    <w:rsid w:val="004D4500"/>
    <w:rsid w:val="004D46E7"/>
    <w:rsid w:val="004D50FA"/>
    <w:rsid w:val="004D6ABF"/>
    <w:rsid w:val="004E0183"/>
    <w:rsid w:val="004E037E"/>
    <w:rsid w:val="004E078C"/>
    <w:rsid w:val="004E0DFC"/>
    <w:rsid w:val="004E2A57"/>
    <w:rsid w:val="004E3449"/>
    <w:rsid w:val="004E5926"/>
    <w:rsid w:val="004E598D"/>
    <w:rsid w:val="004E5EE8"/>
    <w:rsid w:val="004E67C0"/>
    <w:rsid w:val="004E708F"/>
    <w:rsid w:val="004E76B1"/>
    <w:rsid w:val="004F1C56"/>
    <w:rsid w:val="004F1CC2"/>
    <w:rsid w:val="004F1E86"/>
    <w:rsid w:val="004F224E"/>
    <w:rsid w:val="004F235B"/>
    <w:rsid w:val="004F3E78"/>
    <w:rsid w:val="004F5863"/>
    <w:rsid w:val="004F5957"/>
    <w:rsid w:val="004F5D12"/>
    <w:rsid w:val="004F5EFF"/>
    <w:rsid w:val="004F6F03"/>
    <w:rsid w:val="004F7A51"/>
    <w:rsid w:val="004F7E40"/>
    <w:rsid w:val="00501127"/>
    <w:rsid w:val="005025EF"/>
    <w:rsid w:val="005034A8"/>
    <w:rsid w:val="005045B1"/>
    <w:rsid w:val="00504E74"/>
    <w:rsid w:val="00504F1E"/>
    <w:rsid w:val="0050553E"/>
    <w:rsid w:val="00506E25"/>
    <w:rsid w:val="005077BD"/>
    <w:rsid w:val="00507EEF"/>
    <w:rsid w:val="005107B4"/>
    <w:rsid w:val="00511A0F"/>
    <w:rsid w:val="00514ABB"/>
    <w:rsid w:val="00515840"/>
    <w:rsid w:val="00516087"/>
    <w:rsid w:val="005200F8"/>
    <w:rsid w:val="005209F4"/>
    <w:rsid w:val="00520D51"/>
    <w:rsid w:val="00522950"/>
    <w:rsid w:val="00523A5B"/>
    <w:rsid w:val="00524926"/>
    <w:rsid w:val="005254EA"/>
    <w:rsid w:val="00526541"/>
    <w:rsid w:val="00527B9D"/>
    <w:rsid w:val="005312C3"/>
    <w:rsid w:val="00531E42"/>
    <w:rsid w:val="00531F92"/>
    <w:rsid w:val="005326C7"/>
    <w:rsid w:val="0053311B"/>
    <w:rsid w:val="005341B3"/>
    <w:rsid w:val="005371E4"/>
    <w:rsid w:val="00537DBF"/>
    <w:rsid w:val="0054004A"/>
    <w:rsid w:val="00540D2A"/>
    <w:rsid w:val="005428E8"/>
    <w:rsid w:val="00542A7B"/>
    <w:rsid w:val="00544C53"/>
    <w:rsid w:val="00545683"/>
    <w:rsid w:val="00547C8F"/>
    <w:rsid w:val="005504F7"/>
    <w:rsid w:val="00550EC1"/>
    <w:rsid w:val="005512DA"/>
    <w:rsid w:val="005519C8"/>
    <w:rsid w:val="0055296D"/>
    <w:rsid w:val="00552A30"/>
    <w:rsid w:val="00554530"/>
    <w:rsid w:val="00555BC8"/>
    <w:rsid w:val="005564AC"/>
    <w:rsid w:val="00556F10"/>
    <w:rsid w:val="0055799A"/>
    <w:rsid w:val="00562E45"/>
    <w:rsid w:val="005644E6"/>
    <w:rsid w:val="00565268"/>
    <w:rsid w:val="00567A0F"/>
    <w:rsid w:val="005711FA"/>
    <w:rsid w:val="00572414"/>
    <w:rsid w:val="00572787"/>
    <w:rsid w:val="005742B6"/>
    <w:rsid w:val="0057457A"/>
    <w:rsid w:val="00575039"/>
    <w:rsid w:val="005759C6"/>
    <w:rsid w:val="00575B45"/>
    <w:rsid w:val="00577388"/>
    <w:rsid w:val="00581754"/>
    <w:rsid w:val="005820BE"/>
    <w:rsid w:val="005821D9"/>
    <w:rsid w:val="00584AC9"/>
    <w:rsid w:val="00584D3E"/>
    <w:rsid w:val="005856BF"/>
    <w:rsid w:val="00585C75"/>
    <w:rsid w:val="005862BF"/>
    <w:rsid w:val="00586524"/>
    <w:rsid w:val="00587510"/>
    <w:rsid w:val="005916BC"/>
    <w:rsid w:val="005918BC"/>
    <w:rsid w:val="0059204E"/>
    <w:rsid w:val="00592655"/>
    <w:rsid w:val="00592688"/>
    <w:rsid w:val="00593636"/>
    <w:rsid w:val="00594672"/>
    <w:rsid w:val="00594B57"/>
    <w:rsid w:val="005959B7"/>
    <w:rsid w:val="005967F4"/>
    <w:rsid w:val="005969CD"/>
    <w:rsid w:val="00596B94"/>
    <w:rsid w:val="00597327"/>
    <w:rsid w:val="00597D51"/>
    <w:rsid w:val="005A1649"/>
    <w:rsid w:val="005A2291"/>
    <w:rsid w:val="005A29DA"/>
    <w:rsid w:val="005A4FC7"/>
    <w:rsid w:val="005A744A"/>
    <w:rsid w:val="005A78C3"/>
    <w:rsid w:val="005B029D"/>
    <w:rsid w:val="005B3867"/>
    <w:rsid w:val="005B71E4"/>
    <w:rsid w:val="005B7B23"/>
    <w:rsid w:val="005C0338"/>
    <w:rsid w:val="005C04B4"/>
    <w:rsid w:val="005C0661"/>
    <w:rsid w:val="005C10AE"/>
    <w:rsid w:val="005C377A"/>
    <w:rsid w:val="005C3C46"/>
    <w:rsid w:val="005C4BEB"/>
    <w:rsid w:val="005D1062"/>
    <w:rsid w:val="005D121E"/>
    <w:rsid w:val="005D2CE2"/>
    <w:rsid w:val="005D3059"/>
    <w:rsid w:val="005D316F"/>
    <w:rsid w:val="005D4739"/>
    <w:rsid w:val="005D52FB"/>
    <w:rsid w:val="005D5509"/>
    <w:rsid w:val="005D558F"/>
    <w:rsid w:val="005D5D36"/>
    <w:rsid w:val="005E1A18"/>
    <w:rsid w:val="005E1A9C"/>
    <w:rsid w:val="005E2C11"/>
    <w:rsid w:val="005E2DE6"/>
    <w:rsid w:val="005E4627"/>
    <w:rsid w:val="005E4E3E"/>
    <w:rsid w:val="005E577F"/>
    <w:rsid w:val="005E636B"/>
    <w:rsid w:val="005E7631"/>
    <w:rsid w:val="005F0182"/>
    <w:rsid w:val="005F1029"/>
    <w:rsid w:val="005F147C"/>
    <w:rsid w:val="005F2023"/>
    <w:rsid w:val="005F2533"/>
    <w:rsid w:val="005F3480"/>
    <w:rsid w:val="005F39E7"/>
    <w:rsid w:val="005F5A3A"/>
    <w:rsid w:val="0060182F"/>
    <w:rsid w:val="00603049"/>
    <w:rsid w:val="00603AD0"/>
    <w:rsid w:val="006053CF"/>
    <w:rsid w:val="00605B4F"/>
    <w:rsid w:val="00606616"/>
    <w:rsid w:val="00606B5F"/>
    <w:rsid w:val="0060726B"/>
    <w:rsid w:val="0061036A"/>
    <w:rsid w:val="006109E5"/>
    <w:rsid w:val="00613336"/>
    <w:rsid w:val="00614A9F"/>
    <w:rsid w:val="00614D09"/>
    <w:rsid w:val="006156EF"/>
    <w:rsid w:val="006161D7"/>
    <w:rsid w:val="0061680D"/>
    <w:rsid w:val="00620548"/>
    <w:rsid w:val="00620D1C"/>
    <w:rsid w:val="006210AB"/>
    <w:rsid w:val="00621319"/>
    <w:rsid w:val="00621588"/>
    <w:rsid w:val="00622CFB"/>
    <w:rsid w:val="006243EE"/>
    <w:rsid w:val="00625CCB"/>
    <w:rsid w:val="00627239"/>
    <w:rsid w:val="006277AB"/>
    <w:rsid w:val="00627AAF"/>
    <w:rsid w:val="00630293"/>
    <w:rsid w:val="00630986"/>
    <w:rsid w:val="0063115C"/>
    <w:rsid w:val="00631CD6"/>
    <w:rsid w:val="0063254B"/>
    <w:rsid w:val="006346A8"/>
    <w:rsid w:val="00634AF3"/>
    <w:rsid w:val="00634CF0"/>
    <w:rsid w:val="0063563C"/>
    <w:rsid w:val="00637262"/>
    <w:rsid w:val="00637B75"/>
    <w:rsid w:val="00637C4B"/>
    <w:rsid w:val="0064024C"/>
    <w:rsid w:val="00640DA8"/>
    <w:rsid w:val="00642DCE"/>
    <w:rsid w:val="00644A28"/>
    <w:rsid w:val="00645F87"/>
    <w:rsid w:val="006465DE"/>
    <w:rsid w:val="00646F93"/>
    <w:rsid w:val="0065098E"/>
    <w:rsid w:val="006513B0"/>
    <w:rsid w:val="00652684"/>
    <w:rsid w:val="00653CC8"/>
    <w:rsid w:val="00653E8C"/>
    <w:rsid w:val="00653F5E"/>
    <w:rsid w:val="0065579B"/>
    <w:rsid w:val="00655EC6"/>
    <w:rsid w:val="00656DDC"/>
    <w:rsid w:val="00657A24"/>
    <w:rsid w:val="00660CD5"/>
    <w:rsid w:val="00662C39"/>
    <w:rsid w:val="00663458"/>
    <w:rsid w:val="0066368D"/>
    <w:rsid w:val="00664674"/>
    <w:rsid w:val="00664AED"/>
    <w:rsid w:val="00665818"/>
    <w:rsid w:val="00665D3A"/>
    <w:rsid w:val="006665EF"/>
    <w:rsid w:val="006665F5"/>
    <w:rsid w:val="00671170"/>
    <w:rsid w:val="00671E85"/>
    <w:rsid w:val="00673942"/>
    <w:rsid w:val="00673B08"/>
    <w:rsid w:val="006741F3"/>
    <w:rsid w:val="006745A1"/>
    <w:rsid w:val="00674B29"/>
    <w:rsid w:val="00675195"/>
    <w:rsid w:val="00676177"/>
    <w:rsid w:val="006767C5"/>
    <w:rsid w:val="0068177A"/>
    <w:rsid w:val="006823D3"/>
    <w:rsid w:val="00684409"/>
    <w:rsid w:val="0068642A"/>
    <w:rsid w:val="00686BD0"/>
    <w:rsid w:val="006878A8"/>
    <w:rsid w:val="00687C31"/>
    <w:rsid w:val="00687E8E"/>
    <w:rsid w:val="006912F8"/>
    <w:rsid w:val="00692D4A"/>
    <w:rsid w:val="0069414E"/>
    <w:rsid w:val="00694537"/>
    <w:rsid w:val="00694E5B"/>
    <w:rsid w:val="0069534A"/>
    <w:rsid w:val="00695EC7"/>
    <w:rsid w:val="00696CD2"/>
    <w:rsid w:val="006970AD"/>
    <w:rsid w:val="006A00D0"/>
    <w:rsid w:val="006A00D7"/>
    <w:rsid w:val="006A0B60"/>
    <w:rsid w:val="006A3028"/>
    <w:rsid w:val="006A4530"/>
    <w:rsid w:val="006A6503"/>
    <w:rsid w:val="006A6BE3"/>
    <w:rsid w:val="006A7548"/>
    <w:rsid w:val="006B1A95"/>
    <w:rsid w:val="006B23C8"/>
    <w:rsid w:val="006B2621"/>
    <w:rsid w:val="006B3D88"/>
    <w:rsid w:val="006B49E9"/>
    <w:rsid w:val="006B5425"/>
    <w:rsid w:val="006B5654"/>
    <w:rsid w:val="006B6971"/>
    <w:rsid w:val="006B6F64"/>
    <w:rsid w:val="006B7BC7"/>
    <w:rsid w:val="006C009D"/>
    <w:rsid w:val="006C0200"/>
    <w:rsid w:val="006C0A52"/>
    <w:rsid w:val="006C0F98"/>
    <w:rsid w:val="006C1BC2"/>
    <w:rsid w:val="006C1BFB"/>
    <w:rsid w:val="006C25F3"/>
    <w:rsid w:val="006C2FBE"/>
    <w:rsid w:val="006C2FC4"/>
    <w:rsid w:val="006C3A21"/>
    <w:rsid w:val="006C4FBD"/>
    <w:rsid w:val="006C57DD"/>
    <w:rsid w:val="006C5E11"/>
    <w:rsid w:val="006C629F"/>
    <w:rsid w:val="006D06A9"/>
    <w:rsid w:val="006D0B96"/>
    <w:rsid w:val="006D0BF7"/>
    <w:rsid w:val="006D339F"/>
    <w:rsid w:val="006D390A"/>
    <w:rsid w:val="006D458F"/>
    <w:rsid w:val="006D5DDA"/>
    <w:rsid w:val="006D753C"/>
    <w:rsid w:val="006D75F8"/>
    <w:rsid w:val="006E1A5C"/>
    <w:rsid w:val="006E1D87"/>
    <w:rsid w:val="006E2220"/>
    <w:rsid w:val="006E290B"/>
    <w:rsid w:val="006E29D3"/>
    <w:rsid w:val="006E2AEC"/>
    <w:rsid w:val="006E3918"/>
    <w:rsid w:val="006E3A4D"/>
    <w:rsid w:val="006E571A"/>
    <w:rsid w:val="006E5A83"/>
    <w:rsid w:val="006E64FF"/>
    <w:rsid w:val="006E6FEE"/>
    <w:rsid w:val="006E77C8"/>
    <w:rsid w:val="006E7B1B"/>
    <w:rsid w:val="006F0F0A"/>
    <w:rsid w:val="006F1495"/>
    <w:rsid w:val="006F33EB"/>
    <w:rsid w:val="006F47BB"/>
    <w:rsid w:val="006F4FD5"/>
    <w:rsid w:val="006F57C9"/>
    <w:rsid w:val="006F6836"/>
    <w:rsid w:val="0070011D"/>
    <w:rsid w:val="0070148B"/>
    <w:rsid w:val="00701BB2"/>
    <w:rsid w:val="00702874"/>
    <w:rsid w:val="00702C18"/>
    <w:rsid w:val="00702C9A"/>
    <w:rsid w:val="00702CD8"/>
    <w:rsid w:val="00703F32"/>
    <w:rsid w:val="00704971"/>
    <w:rsid w:val="00706C00"/>
    <w:rsid w:val="00710204"/>
    <w:rsid w:val="007105B1"/>
    <w:rsid w:val="00710F98"/>
    <w:rsid w:val="00711223"/>
    <w:rsid w:val="00712042"/>
    <w:rsid w:val="0071228E"/>
    <w:rsid w:val="00712375"/>
    <w:rsid w:val="007136C4"/>
    <w:rsid w:val="007137FB"/>
    <w:rsid w:val="00714BE8"/>
    <w:rsid w:val="00715A9A"/>
    <w:rsid w:val="007169D0"/>
    <w:rsid w:val="00717021"/>
    <w:rsid w:val="00717300"/>
    <w:rsid w:val="00717308"/>
    <w:rsid w:val="00717C3B"/>
    <w:rsid w:val="00717FBC"/>
    <w:rsid w:val="007208E4"/>
    <w:rsid w:val="00721AF6"/>
    <w:rsid w:val="00732777"/>
    <w:rsid w:val="00732CE3"/>
    <w:rsid w:val="00732D99"/>
    <w:rsid w:val="0073301F"/>
    <w:rsid w:val="0073312C"/>
    <w:rsid w:val="007331BD"/>
    <w:rsid w:val="00733A32"/>
    <w:rsid w:val="00734415"/>
    <w:rsid w:val="0073577A"/>
    <w:rsid w:val="00736356"/>
    <w:rsid w:val="00737270"/>
    <w:rsid w:val="00737867"/>
    <w:rsid w:val="00741BE7"/>
    <w:rsid w:val="00744116"/>
    <w:rsid w:val="0074434F"/>
    <w:rsid w:val="007466DB"/>
    <w:rsid w:val="00747006"/>
    <w:rsid w:val="00747A03"/>
    <w:rsid w:val="00750080"/>
    <w:rsid w:val="00752140"/>
    <w:rsid w:val="00752D4A"/>
    <w:rsid w:val="00753120"/>
    <w:rsid w:val="00753978"/>
    <w:rsid w:val="00753D11"/>
    <w:rsid w:val="0075551F"/>
    <w:rsid w:val="00761955"/>
    <w:rsid w:val="00762278"/>
    <w:rsid w:val="00762984"/>
    <w:rsid w:val="00762EF0"/>
    <w:rsid w:val="007641E1"/>
    <w:rsid w:val="00764937"/>
    <w:rsid w:val="007658C9"/>
    <w:rsid w:val="00765C3C"/>
    <w:rsid w:val="00766194"/>
    <w:rsid w:val="0076651D"/>
    <w:rsid w:val="00767387"/>
    <w:rsid w:val="007677DE"/>
    <w:rsid w:val="00770BC5"/>
    <w:rsid w:val="0077111B"/>
    <w:rsid w:val="00771740"/>
    <w:rsid w:val="00771747"/>
    <w:rsid w:val="00772232"/>
    <w:rsid w:val="007739E8"/>
    <w:rsid w:val="00773BBB"/>
    <w:rsid w:val="00773F1A"/>
    <w:rsid w:val="007766BB"/>
    <w:rsid w:val="00776D92"/>
    <w:rsid w:val="00777F70"/>
    <w:rsid w:val="007844FD"/>
    <w:rsid w:val="007862D4"/>
    <w:rsid w:val="00791544"/>
    <w:rsid w:val="007932F8"/>
    <w:rsid w:val="0079341A"/>
    <w:rsid w:val="00793665"/>
    <w:rsid w:val="0079367B"/>
    <w:rsid w:val="007939A4"/>
    <w:rsid w:val="00793C57"/>
    <w:rsid w:val="00795189"/>
    <w:rsid w:val="00795B63"/>
    <w:rsid w:val="00795C35"/>
    <w:rsid w:val="00795D2F"/>
    <w:rsid w:val="007A0A9F"/>
    <w:rsid w:val="007A1BE9"/>
    <w:rsid w:val="007A25F7"/>
    <w:rsid w:val="007A3164"/>
    <w:rsid w:val="007A3720"/>
    <w:rsid w:val="007A3F55"/>
    <w:rsid w:val="007A680A"/>
    <w:rsid w:val="007A789D"/>
    <w:rsid w:val="007B09D9"/>
    <w:rsid w:val="007B22D7"/>
    <w:rsid w:val="007B2978"/>
    <w:rsid w:val="007B42C7"/>
    <w:rsid w:val="007B4B35"/>
    <w:rsid w:val="007B5AFA"/>
    <w:rsid w:val="007B5EB3"/>
    <w:rsid w:val="007B5FB7"/>
    <w:rsid w:val="007B6177"/>
    <w:rsid w:val="007B72F5"/>
    <w:rsid w:val="007C02C5"/>
    <w:rsid w:val="007C0EA1"/>
    <w:rsid w:val="007C333C"/>
    <w:rsid w:val="007C3831"/>
    <w:rsid w:val="007C4EA6"/>
    <w:rsid w:val="007C56E5"/>
    <w:rsid w:val="007C5C42"/>
    <w:rsid w:val="007C5F1E"/>
    <w:rsid w:val="007C5FE0"/>
    <w:rsid w:val="007C67C6"/>
    <w:rsid w:val="007C6E16"/>
    <w:rsid w:val="007D0E58"/>
    <w:rsid w:val="007D19A0"/>
    <w:rsid w:val="007D3137"/>
    <w:rsid w:val="007D31A8"/>
    <w:rsid w:val="007D46D6"/>
    <w:rsid w:val="007D4B5D"/>
    <w:rsid w:val="007D4FBC"/>
    <w:rsid w:val="007D552E"/>
    <w:rsid w:val="007D5DB4"/>
    <w:rsid w:val="007D7577"/>
    <w:rsid w:val="007D7D68"/>
    <w:rsid w:val="007E0D56"/>
    <w:rsid w:val="007E1185"/>
    <w:rsid w:val="007E4FA2"/>
    <w:rsid w:val="007E5089"/>
    <w:rsid w:val="007E573C"/>
    <w:rsid w:val="007E6434"/>
    <w:rsid w:val="007E674A"/>
    <w:rsid w:val="007E75EB"/>
    <w:rsid w:val="007E763F"/>
    <w:rsid w:val="007E781D"/>
    <w:rsid w:val="007F1767"/>
    <w:rsid w:val="007F203E"/>
    <w:rsid w:val="007F28AA"/>
    <w:rsid w:val="007F2A71"/>
    <w:rsid w:val="007F32C3"/>
    <w:rsid w:val="007F4353"/>
    <w:rsid w:val="007F4361"/>
    <w:rsid w:val="007F49A4"/>
    <w:rsid w:val="007F4DCE"/>
    <w:rsid w:val="007F692E"/>
    <w:rsid w:val="007F7542"/>
    <w:rsid w:val="007F7A0A"/>
    <w:rsid w:val="007F7A7E"/>
    <w:rsid w:val="007F7E04"/>
    <w:rsid w:val="008000DD"/>
    <w:rsid w:val="008003A7"/>
    <w:rsid w:val="00800AA2"/>
    <w:rsid w:val="00801D7C"/>
    <w:rsid w:val="0080319F"/>
    <w:rsid w:val="00804100"/>
    <w:rsid w:val="008044C2"/>
    <w:rsid w:val="00810F6D"/>
    <w:rsid w:val="00811E53"/>
    <w:rsid w:val="0081288E"/>
    <w:rsid w:val="00812A94"/>
    <w:rsid w:val="0081303A"/>
    <w:rsid w:val="00813B2E"/>
    <w:rsid w:val="00815436"/>
    <w:rsid w:val="00815EE5"/>
    <w:rsid w:val="0081604B"/>
    <w:rsid w:val="00816B08"/>
    <w:rsid w:val="00820620"/>
    <w:rsid w:val="00820FB5"/>
    <w:rsid w:val="00821613"/>
    <w:rsid w:val="008216BC"/>
    <w:rsid w:val="00821BD3"/>
    <w:rsid w:val="00825184"/>
    <w:rsid w:val="0082658C"/>
    <w:rsid w:val="00826B86"/>
    <w:rsid w:val="00831CD9"/>
    <w:rsid w:val="008323DF"/>
    <w:rsid w:val="0083397D"/>
    <w:rsid w:val="00833B64"/>
    <w:rsid w:val="00833BA7"/>
    <w:rsid w:val="00834C2B"/>
    <w:rsid w:val="00835F94"/>
    <w:rsid w:val="008365E3"/>
    <w:rsid w:val="00836A88"/>
    <w:rsid w:val="00841077"/>
    <w:rsid w:val="008410A9"/>
    <w:rsid w:val="00841342"/>
    <w:rsid w:val="00843219"/>
    <w:rsid w:val="00843820"/>
    <w:rsid w:val="0084459E"/>
    <w:rsid w:val="0084489E"/>
    <w:rsid w:val="00845279"/>
    <w:rsid w:val="008452C0"/>
    <w:rsid w:val="008455B0"/>
    <w:rsid w:val="0084624F"/>
    <w:rsid w:val="00846555"/>
    <w:rsid w:val="00846A8F"/>
    <w:rsid w:val="00850F2F"/>
    <w:rsid w:val="00852ECC"/>
    <w:rsid w:val="008566DF"/>
    <w:rsid w:val="00861B21"/>
    <w:rsid w:val="00861D40"/>
    <w:rsid w:val="008622F3"/>
    <w:rsid w:val="0086259C"/>
    <w:rsid w:val="00863BF9"/>
    <w:rsid w:val="00863C00"/>
    <w:rsid w:val="00864574"/>
    <w:rsid w:val="0086462A"/>
    <w:rsid w:val="00865088"/>
    <w:rsid w:val="00867094"/>
    <w:rsid w:val="00867310"/>
    <w:rsid w:val="00867B19"/>
    <w:rsid w:val="008705BA"/>
    <w:rsid w:val="00870633"/>
    <w:rsid w:val="00870781"/>
    <w:rsid w:val="008710EE"/>
    <w:rsid w:val="008713D0"/>
    <w:rsid w:val="008720B2"/>
    <w:rsid w:val="00875798"/>
    <w:rsid w:val="00875D9C"/>
    <w:rsid w:val="008775BD"/>
    <w:rsid w:val="00877676"/>
    <w:rsid w:val="0087798D"/>
    <w:rsid w:val="00877C28"/>
    <w:rsid w:val="00880618"/>
    <w:rsid w:val="008829AF"/>
    <w:rsid w:val="008833F0"/>
    <w:rsid w:val="00884208"/>
    <w:rsid w:val="0088571F"/>
    <w:rsid w:val="00886E74"/>
    <w:rsid w:val="00887FB4"/>
    <w:rsid w:val="00890644"/>
    <w:rsid w:val="0089101C"/>
    <w:rsid w:val="0089192A"/>
    <w:rsid w:val="00892333"/>
    <w:rsid w:val="0089485F"/>
    <w:rsid w:val="008948EA"/>
    <w:rsid w:val="00894BEA"/>
    <w:rsid w:val="0089750D"/>
    <w:rsid w:val="008A0513"/>
    <w:rsid w:val="008A0DDF"/>
    <w:rsid w:val="008A0F6C"/>
    <w:rsid w:val="008A10E3"/>
    <w:rsid w:val="008A1A92"/>
    <w:rsid w:val="008A37EB"/>
    <w:rsid w:val="008A54F9"/>
    <w:rsid w:val="008A5F62"/>
    <w:rsid w:val="008A6717"/>
    <w:rsid w:val="008B075C"/>
    <w:rsid w:val="008B0763"/>
    <w:rsid w:val="008B0A8B"/>
    <w:rsid w:val="008B20A2"/>
    <w:rsid w:val="008B22F5"/>
    <w:rsid w:val="008B3AAF"/>
    <w:rsid w:val="008B5B9E"/>
    <w:rsid w:val="008B5C42"/>
    <w:rsid w:val="008B5D60"/>
    <w:rsid w:val="008B711B"/>
    <w:rsid w:val="008C11EE"/>
    <w:rsid w:val="008C14EB"/>
    <w:rsid w:val="008C199A"/>
    <w:rsid w:val="008C3DCA"/>
    <w:rsid w:val="008C484D"/>
    <w:rsid w:val="008C4E2D"/>
    <w:rsid w:val="008C6E70"/>
    <w:rsid w:val="008D0124"/>
    <w:rsid w:val="008D0E1A"/>
    <w:rsid w:val="008D1243"/>
    <w:rsid w:val="008D152D"/>
    <w:rsid w:val="008D7855"/>
    <w:rsid w:val="008E18B4"/>
    <w:rsid w:val="008E31F8"/>
    <w:rsid w:val="008E396F"/>
    <w:rsid w:val="008E3B8D"/>
    <w:rsid w:val="008E4E39"/>
    <w:rsid w:val="008E4E7D"/>
    <w:rsid w:val="008E5198"/>
    <w:rsid w:val="008E5DD1"/>
    <w:rsid w:val="008E6352"/>
    <w:rsid w:val="008E6757"/>
    <w:rsid w:val="008E79CF"/>
    <w:rsid w:val="008F0753"/>
    <w:rsid w:val="008F0A01"/>
    <w:rsid w:val="008F0A8E"/>
    <w:rsid w:val="008F1629"/>
    <w:rsid w:val="008F2481"/>
    <w:rsid w:val="008F445E"/>
    <w:rsid w:val="008F611E"/>
    <w:rsid w:val="008F651E"/>
    <w:rsid w:val="008F7973"/>
    <w:rsid w:val="00900263"/>
    <w:rsid w:val="00900A02"/>
    <w:rsid w:val="0090341D"/>
    <w:rsid w:val="009035E2"/>
    <w:rsid w:val="00905DC2"/>
    <w:rsid w:val="009072A3"/>
    <w:rsid w:val="0090752B"/>
    <w:rsid w:val="0091022F"/>
    <w:rsid w:val="00910379"/>
    <w:rsid w:val="00910615"/>
    <w:rsid w:val="009117DF"/>
    <w:rsid w:val="00911E30"/>
    <w:rsid w:val="009122A4"/>
    <w:rsid w:val="00912652"/>
    <w:rsid w:val="0091301D"/>
    <w:rsid w:val="00915049"/>
    <w:rsid w:val="0091541A"/>
    <w:rsid w:val="009158E8"/>
    <w:rsid w:val="00917270"/>
    <w:rsid w:val="00917795"/>
    <w:rsid w:val="00921306"/>
    <w:rsid w:val="00921DA5"/>
    <w:rsid w:val="009247C1"/>
    <w:rsid w:val="0092619F"/>
    <w:rsid w:val="00927115"/>
    <w:rsid w:val="009277C0"/>
    <w:rsid w:val="009279B4"/>
    <w:rsid w:val="009311E1"/>
    <w:rsid w:val="0093190B"/>
    <w:rsid w:val="00932EC8"/>
    <w:rsid w:val="00933088"/>
    <w:rsid w:val="00933CE0"/>
    <w:rsid w:val="00933DE1"/>
    <w:rsid w:val="00941A47"/>
    <w:rsid w:val="00941E8D"/>
    <w:rsid w:val="0094252C"/>
    <w:rsid w:val="00944CEE"/>
    <w:rsid w:val="00945779"/>
    <w:rsid w:val="00946533"/>
    <w:rsid w:val="00946FB9"/>
    <w:rsid w:val="009475A8"/>
    <w:rsid w:val="0094789A"/>
    <w:rsid w:val="00947A7B"/>
    <w:rsid w:val="00947ED0"/>
    <w:rsid w:val="00950507"/>
    <w:rsid w:val="00951161"/>
    <w:rsid w:val="00952C89"/>
    <w:rsid w:val="00953BFF"/>
    <w:rsid w:val="00954A4A"/>
    <w:rsid w:val="009557B6"/>
    <w:rsid w:val="009558BB"/>
    <w:rsid w:val="009559B1"/>
    <w:rsid w:val="0095630F"/>
    <w:rsid w:val="00962082"/>
    <w:rsid w:val="00963163"/>
    <w:rsid w:val="00963EBD"/>
    <w:rsid w:val="00964D0C"/>
    <w:rsid w:val="0096613B"/>
    <w:rsid w:val="009662BB"/>
    <w:rsid w:val="009662C5"/>
    <w:rsid w:val="00966A4A"/>
    <w:rsid w:val="0096770C"/>
    <w:rsid w:val="00967EF3"/>
    <w:rsid w:val="00970A16"/>
    <w:rsid w:val="009720B2"/>
    <w:rsid w:val="009731DC"/>
    <w:rsid w:val="009746A0"/>
    <w:rsid w:val="00976FE4"/>
    <w:rsid w:val="00977EB4"/>
    <w:rsid w:val="0098034B"/>
    <w:rsid w:val="0098078F"/>
    <w:rsid w:val="0098140C"/>
    <w:rsid w:val="00981606"/>
    <w:rsid w:val="00982398"/>
    <w:rsid w:val="0098265D"/>
    <w:rsid w:val="009832F5"/>
    <w:rsid w:val="00984A47"/>
    <w:rsid w:val="00984AA7"/>
    <w:rsid w:val="00984F93"/>
    <w:rsid w:val="009871B4"/>
    <w:rsid w:val="0098727F"/>
    <w:rsid w:val="0098791B"/>
    <w:rsid w:val="0099000B"/>
    <w:rsid w:val="00990BC8"/>
    <w:rsid w:val="00990DEF"/>
    <w:rsid w:val="00991C4F"/>
    <w:rsid w:val="00994442"/>
    <w:rsid w:val="00994D6A"/>
    <w:rsid w:val="00995315"/>
    <w:rsid w:val="00995CEC"/>
    <w:rsid w:val="00996267"/>
    <w:rsid w:val="00996473"/>
    <w:rsid w:val="009A0BB3"/>
    <w:rsid w:val="009A3664"/>
    <w:rsid w:val="009A4195"/>
    <w:rsid w:val="009A47F0"/>
    <w:rsid w:val="009A4A84"/>
    <w:rsid w:val="009A4BD4"/>
    <w:rsid w:val="009A52F4"/>
    <w:rsid w:val="009A78D9"/>
    <w:rsid w:val="009A7DCB"/>
    <w:rsid w:val="009B088E"/>
    <w:rsid w:val="009B092B"/>
    <w:rsid w:val="009B11CF"/>
    <w:rsid w:val="009B15CC"/>
    <w:rsid w:val="009B179E"/>
    <w:rsid w:val="009B22FC"/>
    <w:rsid w:val="009B2CE6"/>
    <w:rsid w:val="009B2EDB"/>
    <w:rsid w:val="009B5614"/>
    <w:rsid w:val="009B5903"/>
    <w:rsid w:val="009B5CAE"/>
    <w:rsid w:val="009B6E6C"/>
    <w:rsid w:val="009C0555"/>
    <w:rsid w:val="009C0D34"/>
    <w:rsid w:val="009C182B"/>
    <w:rsid w:val="009C380B"/>
    <w:rsid w:val="009C38FB"/>
    <w:rsid w:val="009C49AF"/>
    <w:rsid w:val="009C5BC4"/>
    <w:rsid w:val="009C5C13"/>
    <w:rsid w:val="009C6F16"/>
    <w:rsid w:val="009C7B26"/>
    <w:rsid w:val="009D156B"/>
    <w:rsid w:val="009D177C"/>
    <w:rsid w:val="009D2CB0"/>
    <w:rsid w:val="009D2E7D"/>
    <w:rsid w:val="009D4DE3"/>
    <w:rsid w:val="009D4E5C"/>
    <w:rsid w:val="009D555F"/>
    <w:rsid w:val="009D592E"/>
    <w:rsid w:val="009E04D5"/>
    <w:rsid w:val="009E2AF6"/>
    <w:rsid w:val="009E40B6"/>
    <w:rsid w:val="009E5020"/>
    <w:rsid w:val="009E68C2"/>
    <w:rsid w:val="009E6E31"/>
    <w:rsid w:val="009E6EE7"/>
    <w:rsid w:val="009E7747"/>
    <w:rsid w:val="009F153F"/>
    <w:rsid w:val="009F361F"/>
    <w:rsid w:val="009F3F5D"/>
    <w:rsid w:val="009F4724"/>
    <w:rsid w:val="009F4C51"/>
    <w:rsid w:val="009F710E"/>
    <w:rsid w:val="00A00142"/>
    <w:rsid w:val="00A0075D"/>
    <w:rsid w:val="00A017C5"/>
    <w:rsid w:val="00A0296B"/>
    <w:rsid w:val="00A03688"/>
    <w:rsid w:val="00A046A2"/>
    <w:rsid w:val="00A054B9"/>
    <w:rsid w:val="00A056D4"/>
    <w:rsid w:val="00A05771"/>
    <w:rsid w:val="00A059A7"/>
    <w:rsid w:val="00A06951"/>
    <w:rsid w:val="00A10269"/>
    <w:rsid w:val="00A10F90"/>
    <w:rsid w:val="00A1108E"/>
    <w:rsid w:val="00A1358C"/>
    <w:rsid w:val="00A14638"/>
    <w:rsid w:val="00A147DC"/>
    <w:rsid w:val="00A14A09"/>
    <w:rsid w:val="00A1570F"/>
    <w:rsid w:val="00A1574E"/>
    <w:rsid w:val="00A162E1"/>
    <w:rsid w:val="00A17C84"/>
    <w:rsid w:val="00A21B95"/>
    <w:rsid w:val="00A23245"/>
    <w:rsid w:val="00A235E3"/>
    <w:rsid w:val="00A2680F"/>
    <w:rsid w:val="00A26D6A"/>
    <w:rsid w:val="00A302F4"/>
    <w:rsid w:val="00A30B7F"/>
    <w:rsid w:val="00A3112D"/>
    <w:rsid w:val="00A312AD"/>
    <w:rsid w:val="00A3249B"/>
    <w:rsid w:val="00A331F4"/>
    <w:rsid w:val="00A33A76"/>
    <w:rsid w:val="00A3477B"/>
    <w:rsid w:val="00A34B04"/>
    <w:rsid w:val="00A34C4F"/>
    <w:rsid w:val="00A3534F"/>
    <w:rsid w:val="00A35AE8"/>
    <w:rsid w:val="00A367EB"/>
    <w:rsid w:val="00A4096D"/>
    <w:rsid w:val="00A415BE"/>
    <w:rsid w:val="00A42171"/>
    <w:rsid w:val="00A43986"/>
    <w:rsid w:val="00A44B28"/>
    <w:rsid w:val="00A45FAE"/>
    <w:rsid w:val="00A4626B"/>
    <w:rsid w:val="00A46292"/>
    <w:rsid w:val="00A4639F"/>
    <w:rsid w:val="00A463CB"/>
    <w:rsid w:val="00A46603"/>
    <w:rsid w:val="00A46DEF"/>
    <w:rsid w:val="00A47282"/>
    <w:rsid w:val="00A47A97"/>
    <w:rsid w:val="00A5026B"/>
    <w:rsid w:val="00A51198"/>
    <w:rsid w:val="00A54497"/>
    <w:rsid w:val="00A544ED"/>
    <w:rsid w:val="00A54539"/>
    <w:rsid w:val="00A56B1B"/>
    <w:rsid w:val="00A56B67"/>
    <w:rsid w:val="00A60D61"/>
    <w:rsid w:val="00A61F35"/>
    <w:rsid w:val="00A63211"/>
    <w:rsid w:val="00A64010"/>
    <w:rsid w:val="00A641AE"/>
    <w:rsid w:val="00A64EF1"/>
    <w:rsid w:val="00A6514C"/>
    <w:rsid w:val="00A66BE0"/>
    <w:rsid w:val="00A66C2A"/>
    <w:rsid w:val="00A66EAF"/>
    <w:rsid w:val="00A670B6"/>
    <w:rsid w:val="00A67900"/>
    <w:rsid w:val="00A723CD"/>
    <w:rsid w:val="00A72EC3"/>
    <w:rsid w:val="00A74771"/>
    <w:rsid w:val="00A748AC"/>
    <w:rsid w:val="00A74F96"/>
    <w:rsid w:val="00A760C9"/>
    <w:rsid w:val="00A77667"/>
    <w:rsid w:val="00A7768B"/>
    <w:rsid w:val="00A7777E"/>
    <w:rsid w:val="00A779B8"/>
    <w:rsid w:val="00A8241B"/>
    <w:rsid w:val="00A8344C"/>
    <w:rsid w:val="00A8426B"/>
    <w:rsid w:val="00A8450E"/>
    <w:rsid w:val="00A85662"/>
    <w:rsid w:val="00A86055"/>
    <w:rsid w:val="00A862AC"/>
    <w:rsid w:val="00A86E85"/>
    <w:rsid w:val="00A86F86"/>
    <w:rsid w:val="00A87161"/>
    <w:rsid w:val="00A87AF5"/>
    <w:rsid w:val="00A916B1"/>
    <w:rsid w:val="00A927F5"/>
    <w:rsid w:val="00A92EF2"/>
    <w:rsid w:val="00A92FDB"/>
    <w:rsid w:val="00A94737"/>
    <w:rsid w:val="00A95E5E"/>
    <w:rsid w:val="00A96B35"/>
    <w:rsid w:val="00A97675"/>
    <w:rsid w:val="00AA01AA"/>
    <w:rsid w:val="00AA4B2D"/>
    <w:rsid w:val="00AA6982"/>
    <w:rsid w:val="00AB126B"/>
    <w:rsid w:val="00AB1343"/>
    <w:rsid w:val="00AB2062"/>
    <w:rsid w:val="00AB3AB5"/>
    <w:rsid w:val="00AB4162"/>
    <w:rsid w:val="00AB4663"/>
    <w:rsid w:val="00AB4D46"/>
    <w:rsid w:val="00AB60EE"/>
    <w:rsid w:val="00AB62D6"/>
    <w:rsid w:val="00AB6557"/>
    <w:rsid w:val="00AB73A9"/>
    <w:rsid w:val="00AB7455"/>
    <w:rsid w:val="00AC28C1"/>
    <w:rsid w:val="00AC382A"/>
    <w:rsid w:val="00AC3FCF"/>
    <w:rsid w:val="00AC492F"/>
    <w:rsid w:val="00AC625D"/>
    <w:rsid w:val="00AC6313"/>
    <w:rsid w:val="00AD0B83"/>
    <w:rsid w:val="00AD2554"/>
    <w:rsid w:val="00AD2DFF"/>
    <w:rsid w:val="00AD45D8"/>
    <w:rsid w:val="00AD4C88"/>
    <w:rsid w:val="00AD6321"/>
    <w:rsid w:val="00AD6724"/>
    <w:rsid w:val="00AE0906"/>
    <w:rsid w:val="00AE1405"/>
    <w:rsid w:val="00AE2300"/>
    <w:rsid w:val="00AE341F"/>
    <w:rsid w:val="00AE4701"/>
    <w:rsid w:val="00AE53DD"/>
    <w:rsid w:val="00AE5ED5"/>
    <w:rsid w:val="00AE6345"/>
    <w:rsid w:val="00AE7C32"/>
    <w:rsid w:val="00AE7F19"/>
    <w:rsid w:val="00AE7F99"/>
    <w:rsid w:val="00AF0209"/>
    <w:rsid w:val="00AF0F26"/>
    <w:rsid w:val="00AF191A"/>
    <w:rsid w:val="00AF210B"/>
    <w:rsid w:val="00AF3393"/>
    <w:rsid w:val="00AF3CEF"/>
    <w:rsid w:val="00AF4B0C"/>
    <w:rsid w:val="00AF5F50"/>
    <w:rsid w:val="00AF6195"/>
    <w:rsid w:val="00AF7B3D"/>
    <w:rsid w:val="00B00265"/>
    <w:rsid w:val="00B0183F"/>
    <w:rsid w:val="00B01D7D"/>
    <w:rsid w:val="00B01DF7"/>
    <w:rsid w:val="00B02010"/>
    <w:rsid w:val="00B020FC"/>
    <w:rsid w:val="00B025CC"/>
    <w:rsid w:val="00B0351D"/>
    <w:rsid w:val="00B03B3A"/>
    <w:rsid w:val="00B066A0"/>
    <w:rsid w:val="00B11857"/>
    <w:rsid w:val="00B11D04"/>
    <w:rsid w:val="00B127D7"/>
    <w:rsid w:val="00B130B5"/>
    <w:rsid w:val="00B1344A"/>
    <w:rsid w:val="00B13CD7"/>
    <w:rsid w:val="00B1533A"/>
    <w:rsid w:val="00B16982"/>
    <w:rsid w:val="00B16E36"/>
    <w:rsid w:val="00B16F60"/>
    <w:rsid w:val="00B205F1"/>
    <w:rsid w:val="00B20EED"/>
    <w:rsid w:val="00B21658"/>
    <w:rsid w:val="00B232D5"/>
    <w:rsid w:val="00B2396C"/>
    <w:rsid w:val="00B260FB"/>
    <w:rsid w:val="00B27F8A"/>
    <w:rsid w:val="00B30674"/>
    <w:rsid w:val="00B3636E"/>
    <w:rsid w:val="00B369F7"/>
    <w:rsid w:val="00B36EBC"/>
    <w:rsid w:val="00B37AEE"/>
    <w:rsid w:val="00B37C46"/>
    <w:rsid w:val="00B4058C"/>
    <w:rsid w:val="00B40811"/>
    <w:rsid w:val="00B417EE"/>
    <w:rsid w:val="00B41E7B"/>
    <w:rsid w:val="00B43540"/>
    <w:rsid w:val="00B4372E"/>
    <w:rsid w:val="00B44705"/>
    <w:rsid w:val="00B44E89"/>
    <w:rsid w:val="00B45119"/>
    <w:rsid w:val="00B45472"/>
    <w:rsid w:val="00B46C31"/>
    <w:rsid w:val="00B471C4"/>
    <w:rsid w:val="00B502F2"/>
    <w:rsid w:val="00B508FC"/>
    <w:rsid w:val="00B50DBF"/>
    <w:rsid w:val="00B51F56"/>
    <w:rsid w:val="00B52B46"/>
    <w:rsid w:val="00B52BA4"/>
    <w:rsid w:val="00B538FD"/>
    <w:rsid w:val="00B53AFC"/>
    <w:rsid w:val="00B5465B"/>
    <w:rsid w:val="00B549ED"/>
    <w:rsid w:val="00B54FB3"/>
    <w:rsid w:val="00B55823"/>
    <w:rsid w:val="00B5597A"/>
    <w:rsid w:val="00B55CC2"/>
    <w:rsid w:val="00B561E4"/>
    <w:rsid w:val="00B562AE"/>
    <w:rsid w:val="00B565C8"/>
    <w:rsid w:val="00B56FD0"/>
    <w:rsid w:val="00B57789"/>
    <w:rsid w:val="00B60222"/>
    <w:rsid w:val="00B6138B"/>
    <w:rsid w:val="00B634D2"/>
    <w:rsid w:val="00B63AF9"/>
    <w:rsid w:val="00B6467C"/>
    <w:rsid w:val="00B64BE7"/>
    <w:rsid w:val="00B653AA"/>
    <w:rsid w:val="00B654E8"/>
    <w:rsid w:val="00B66F20"/>
    <w:rsid w:val="00B72A32"/>
    <w:rsid w:val="00B72CFE"/>
    <w:rsid w:val="00B7314D"/>
    <w:rsid w:val="00B73A8A"/>
    <w:rsid w:val="00B7558B"/>
    <w:rsid w:val="00B758B3"/>
    <w:rsid w:val="00B75B4D"/>
    <w:rsid w:val="00B7670F"/>
    <w:rsid w:val="00B7763E"/>
    <w:rsid w:val="00B77AA1"/>
    <w:rsid w:val="00B77ECB"/>
    <w:rsid w:val="00B80B63"/>
    <w:rsid w:val="00B8182F"/>
    <w:rsid w:val="00B81840"/>
    <w:rsid w:val="00B81F17"/>
    <w:rsid w:val="00B82FDF"/>
    <w:rsid w:val="00B83439"/>
    <w:rsid w:val="00B839C3"/>
    <w:rsid w:val="00B83BEA"/>
    <w:rsid w:val="00B871F1"/>
    <w:rsid w:val="00B9027E"/>
    <w:rsid w:val="00B90DA1"/>
    <w:rsid w:val="00B91200"/>
    <w:rsid w:val="00B92BD0"/>
    <w:rsid w:val="00B9319F"/>
    <w:rsid w:val="00B93681"/>
    <w:rsid w:val="00B9532C"/>
    <w:rsid w:val="00B953D5"/>
    <w:rsid w:val="00B95467"/>
    <w:rsid w:val="00B9660E"/>
    <w:rsid w:val="00B967B8"/>
    <w:rsid w:val="00BA13C2"/>
    <w:rsid w:val="00BA1ACF"/>
    <w:rsid w:val="00BA25D9"/>
    <w:rsid w:val="00BA3497"/>
    <w:rsid w:val="00BA3F90"/>
    <w:rsid w:val="00BA5EDC"/>
    <w:rsid w:val="00BA5F4E"/>
    <w:rsid w:val="00BB0D41"/>
    <w:rsid w:val="00BB213E"/>
    <w:rsid w:val="00BB2C18"/>
    <w:rsid w:val="00BB3317"/>
    <w:rsid w:val="00BB4088"/>
    <w:rsid w:val="00BB4320"/>
    <w:rsid w:val="00BB4816"/>
    <w:rsid w:val="00BB7553"/>
    <w:rsid w:val="00BB75B9"/>
    <w:rsid w:val="00BB7DF5"/>
    <w:rsid w:val="00BC00F3"/>
    <w:rsid w:val="00BC1878"/>
    <w:rsid w:val="00BC1C89"/>
    <w:rsid w:val="00BC1D4D"/>
    <w:rsid w:val="00BC2C43"/>
    <w:rsid w:val="00BC3239"/>
    <w:rsid w:val="00BC373B"/>
    <w:rsid w:val="00BC37B2"/>
    <w:rsid w:val="00BC5A18"/>
    <w:rsid w:val="00BC69F8"/>
    <w:rsid w:val="00BC6EE0"/>
    <w:rsid w:val="00BC7056"/>
    <w:rsid w:val="00BC7B3C"/>
    <w:rsid w:val="00BD1B84"/>
    <w:rsid w:val="00BD1F93"/>
    <w:rsid w:val="00BD21CE"/>
    <w:rsid w:val="00BD2D19"/>
    <w:rsid w:val="00BD2E0C"/>
    <w:rsid w:val="00BD3146"/>
    <w:rsid w:val="00BD39FE"/>
    <w:rsid w:val="00BD49FA"/>
    <w:rsid w:val="00BD50AC"/>
    <w:rsid w:val="00BD5DBF"/>
    <w:rsid w:val="00BD5E2B"/>
    <w:rsid w:val="00BD732F"/>
    <w:rsid w:val="00BD7905"/>
    <w:rsid w:val="00BE068B"/>
    <w:rsid w:val="00BE08AB"/>
    <w:rsid w:val="00BE113A"/>
    <w:rsid w:val="00BE14D9"/>
    <w:rsid w:val="00BE2453"/>
    <w:rsid w:val="00BE295E"/>
    <w:rsid w:val="00BE3311"/>
    <w:rsid w:val="00BE5157"/>
    <w:rsid w:val="00BE5EDB"/>
    <w:rsid w:val="00BE5FF2"/>
    <w:rsid w:val="00BE60E8"/>
    <w:rsid w:val="00BE63A6"/>
    <w:rsid w:val="00BE6901"/>
    <w:rsid w:val="00BF0A98"/>
    <w:rsid w:val="00BF0E5E"/>
    <w:rsid w:val="00BF1092"/>
    <w:rsid w:val="00BF142B"/>
    <w:rsid w:val="00BF18E0"/>
    <w:rsid w:val="00BF36FB"/>
    <w:rsid w:val="00BF3837"/>
    <w:rsid w:val="00BF3938"/>
    <w:rsid w:val="00BF43C4"/>
    <w:rsid w:val="00BF5F4C"/>
    <w:rsid w:val="00BF6C4E"/>
    <w:rsid w:val="00C0085B"/>
    <w:rsid w:val="00C0145B"/>
    <w:rsid w:val="00C01F2B"/>
    <w:rsid w:val="00C02ABC"/>
    <w:rsid w:val="00C02C35"/>
    <w:rsid w:val="00C033FE"/>
    <w:rsid w:val="00C03BA1"/>
    <w:rsid w:val="00C05DF1"/>
    <w:rsid w:val="00C077EA"/>
    <w:rsid w:val="00C1076E"/>
    <w:rsid w:val="00C11171"/>
    <w:rsid w:val="00C1157B"/>
    <w:rsid w:val="00C1211D"/>
    <w:rsid w:val="00C12173"/>
    <w:rsid w:val="00C1266B"/>
    <w:rsid w:val="00C12F52"/>
    <w:rsid w:val="00C13373"/>
    <w:rsid w:val="00C134D7"/>
    <w:rsid w:val="00C143A1"/>
    <w:rsid w:val="00C14F62"/>
    <w:rsid w:val="00C16021"/>
    <w:rsid w:val="00C16144"/>
    <w:rsid w:val="00C176E3"/>
    <w:rsid w:val="00C21300"/>
    <w:rsid w:val="00C21BC4"/>
    <w:rsid w:val="00C22373"/>
    <w:rsid w:val="00C226DA"/>
    <w:rsid w:val="00C235D3"/>
    <w:rsid w:val="00C25313"/>
    <w:rsid w:val="00C25F96"/>
    <w:rsid w:val="00C260BC"/>
    <w:rsid w:val="00C26225"/>
    <w:rsid w:val="00C26D5F"/>
    <w:rsid w:val="00C2779D"/>
    <w:rsid w:val="00C2784F"/>
    <w:rsid w:val="00C278B7"/>
    <w:rsid w:val="00C30FB8"/>
    <w:rsid w:val="00C31428"/>
    <w:rsid w:val="00C32F8E"/>
    <w:rsid w:val="00C32FB5"/>
    <w:rsid w:val="00C33D8B"/>
    <w:rsid w:val="00C3479B"/>
    <w:rsid w:val="00C34C70"/>
    <w:rsid w:val="00C35476"/>
    <w:rsid w:val="00C36007"/>
    <w:rsid w:val="00C36F05"/>
    <w:rsid w:val="00C374F2"/>
    <w:rsid w:val="00C37D6A"/>
    <w:rsid w:val="00C40AEE"/>
    <w:rsid w:val="00C413E2"/>
    <w:rsid w:val="00C43012"/>
    <w:rsid w:val="00C439F6"/>
    <w:rsid w:val="00C43BE8"/>
    <w:rsid w:val="00C4400E"/>
    <w:rsid w:val="00C44C4F"/>
    <w:rsid w:val="00C45062"/>
    <w:rsid w:val="00C46617"/>
    <w:rsid w:val="00C4706E"/>
    <w:rsid w:val="00C50E08"/>
    <w:rsid w:val="00C516B1"/>
    <w:rsid w:val="00C516FE"/>
    <w:rsid w:val="00C51743"/>
    <w:rsid w:val="00C5267E"/>
    <w:rsid w:val="00C52D64"/>
    <w:rsid w:val="00C5321B"/>
    <w:rsid w:val="00C53635"/>
    <w:rsid w:val="00C5379A"/>
    <w:rsid w:val="00C538DB"/>
    <w:rsid w:val="00C5411E"/>
    <w:rsid w:val="00C5456F"/>
    <w:rsid w:val="00C54C3D"/>
    <w:rsid w:val="00C55B2A"/>
    <w:rsid w:val="00C56C06"/>
    <w:rsid w:val="00C56E63"/>
    <w:rsid w:val="00C57A19"/>
    <w:rsid w:val="00C57C01"/>
    <w:rsid w:val="00C60007"/>
    <w:rsid w:val="00C60214"/>
    <w:rsid w:val="00C60F2E"/>
    <w:rsid w:val="00C64CCE"/>
    <w:rsid w:val="00C64CE5"/>
    <w:rsid w:val="00C651B4"/>
    <w:rsid w:val="00C6536B"/>
    <w:rsid w:val="00C65D7F"/>
    <w:rsid w:val="00C66702"/>
    <w:rsid w:val="00C66C83"/>
    <w:rsid w:val="00C704D7"/>
    <w:rsid w:val="00C7106C"/>
    <w:rsid w:val="00C74E58"/>
    <w:rsid w:val="00C75E84"/>
    <w:rsid w:val="00C7686F"/>
    <w:rsid w:val="00C773A0"/>
    <w:rsid w:val="00C808FB"/>
    <w:rsid w:val="00C82FA2"/>
    <w:rsid w:val="00C8466A"/>
    <w:rsid w:val="00C84B6A"/>
    <w:rsid w:val="00C856D4"/>
    <w:rsid w:val="00C8574B"/>
    <w:rsid w:val="00C85A6C"/>
    <w:rsid w:val="00C85EA9"/>
    <w:rsid w:val="00C861A8"/>
    <w:rsid w:val="00C867DD"/>
    <w:rsid w:val="00C87E13"/>
    <w:rsid w:val="00C87EF3"/>
    <w:rsid w:val="00C9087D"/>
    <w:rsid w:val="00C90895"/>
    <w:rsid w:val="00C90C6F"/>
    <w:rsid w:val="00C91CB1"/>
    <w:rsid w:val="00C92A8E"/>
    <w:rsid w:val="00C93A4F"/>
    <w:rsid w:val="00C93ED7"/>
    <w:rsid w:val="00C9493B"/>
    <w:rsid w:val="00C94F09"/>
    <w:rsid w:val="00C95DD7"/>
    <w:rsid w:val="00C963FF"/>
    <w:rsid w:val="00C97A06"/>
    <w:rsid w:val="00CA1CA8"/>
    <w:rsid w:val="00CA1D8E"/>
    <w:rsid w:val="00CA23AF"/>
    <w:rsid w:val="00CA246A"/>
    <w:rsid w:val="00CA2C6C"/>
    <w:rsid w:val="00CA3F88"/>
    <w:rsid w:val="00CA7E9B"/>
    <w:rsid w:val="00CB0176"/>
    <w:rsid w:val="00CB0264"/>
    <w:rsid w:val="00CB11DE"/>
    <w:rsid w:val="00CB2CC7"/>
    <w:rsid w:val="00CB35E0"/>
    <w:rsid w:val="00CB440B"/>
    <w:rsid w:val="00CB4C7E"/>
    <w:rsid w:val="00CB4DB0"/>
    <w:rsid w:val="00CB6001"/>
    <w:rsid w:val="00CB64C4"/>
    <w:rsid w:val="00CB689A"/>
    <w:rsid w:val="00CB7095"/>
    <w:rsid w:val="00CB7E29"/>
    <w:rsid w:val="00CC0012"/>
    <w:rsid w:val="00CC09B1"/>
    <w:rsid w:val="00CC0C20"/>
    <w:rsid w:val="00CC0C72"/>
    <w:rsid w:val="00CC20FF"/>
    <w:rsid w:val="00CC27AB"/>
    <w:rsid w:val="00CC3591"/>
    <w:rsid w:val="00CC39FB"/>
    <w:rsid w:val="00CC673F"/>
    <w:rsid w:val="00CC6A16"/>
    <w:rsid w:val="00CD01BD"/>
    <w:rsid w:val="00CD0C01"/>
    <w:rsid w:val="00CD0CDD"/>
    <w:rsid w:val="00CD0EA6"/>
    <w:rsid w:val="00CD1D93"/>
    <w:rsid w:val="00CD24B0"/>
    <w:rsid w:val="00CD401C"/>
    <w:rsid w:val="00CD79D2"/>
    <w:rsid w:val="00CE22AD"/>
    <w:rsid w:val="00CE3AD4"/>
    <w:rsid w:val="00CE461E"/>
    <w:rsid w:val="00CE49BC"/>
    <w:rsid w:val="00CE5014"/>
    <w:rsid w:val="00CE5161"/>
    <w:rsid w:val="00CE5D4E"/>
    <w:rsid w:val="00CF13AC"/>
    <w:rsid w:val="00CF1C01"/>
    <w:rsid w:val="00CF26E9"/>
    <w:rsid w:val="00CF3315"/>
    <w:rsid w:val="00CF3C54"/>
    <w:rsid w:val="00CF4A9B"/>
    <w:rsid w:val="00CF5AA7"/>
    <w:rsid w:val="00CF6621"/>
    <w:rsid w:val="00CF6EC3"/>
    <w:rsid w:val="00D01CE4"/>
    <w:rsid w:val="00D01E12"/>
    <w:rsid w:val="00D02DBC"/>
    <w:rsid w:val="00D02F71"/>
    <w:rsid w:val="00D0331C"/>
    <w:rsid w:val="00D036E7"/>
    <w:rsid w:val="00D0446B"/>
    <w:rsid w:val="00D06339"/>
    <w:rsid w:val="00D07171"/>
    <w:rsid w:val="00D1019C"/>
    <w:rsid w:val="00D1095F"/>
    <w:rsid w:val="00D119A4"/>
    <w:rsid w:val="00D13101"/>
    <w:rsid w:val="00D131BC"/>
    <w:rsid w:val="00D13A2D"/>
    <w:rsid w:val="00D14320"/>
    <w:rsid w:val="00D152C2"/>
    <w:rsid w:val="00D15AA9"/>
    <w:rsid w:val="00D16D70"/>
    <w:rsid w:val="00D172A9"/>
    <w:rsid w:val="00D207C0"/>
    <w:rsid w:val="00D2186C"/>
    <w:rsid w:val="00D21AFC"/>
    <w:rsid w:val="00D21C3A"/>
    <w:rsid w:val="00D22394"/>
    <w:rsid w:val="00D22F99"/>
    <w:rsid w:val="00D233B3"/>
    <w:rsid w:val="00D236A1"/>
    <w:rsid w:val="00D2372C"/>
    <w:rsid w:val="00D23DCE"/>
    <w:rsid w:val="00D26428"/>
    <w:rsid w:val="00D27E77"/>
    <w:rsid w:val="00D30CDA"/>
    <w:rsid w:val="00D33A02"/>
    <w:rsid w:val="00D3407A"/>
    <w:rsid w:val="00D358F7"/>
    <w:rsid w:val="00D36269"/>
    <w:rsid w:val="00D363E9"/>
    <w:rsid w:val="00D3671A"/>
    <w:rsid w:val="00D4095A"/>
    <w:rsid w:val="00D40E46"/>
    <w:rsid w:val="00D40EC3"/>
    <w:rsid w:val="00D41D1A"/>
    <w:rsid w:val="00D4212F"/>
    <w:rsid w:val="00D4249C"/>
    <w:rsid w:val="00D430B9"/>
    <w:rsid w:val="00D4337D"/>
    <w:rsid w:val="00D43A25"/>
    <w:rsid w:val="00D4410B"/>
    <w:rsid w:val="00D44A01"/>
    <w:rsid w:val="00D45436"/>
    <w:rsid w:val="00D45816"/>
    <w:rsid w:val="00D46004"/>
    <w:rsid w:val="00D46CD3"/>
    <w:rsid w:val="00D47213"/>
    <w:rsid w:val="00D47846"/>
    <w:rsid w:val="00D47B1B"/>
    <w:rsid w:val="00D508C2"/>
    <w:rsid w:val="00D50DF4"/>
    <w:rsid w:val="00D52BAB"/>
    <w:rsid w:val="00D53175"/>
    <w:rsid w:val="00D54143"/>
    <w:rsid w:val="00D5420F"/>
    <w:rsid w:val="00D5464D"/>
    <w:rsid w:val="00D56FAC"/>
    <w:rsid w:val="00D57137"/>
    <w:rsid w:val="00D57E80"/>
    <w:rsid w:val="00D608DD"/>
    <w:rsid w:val="00D609BD"/>
    <w:rsid w:val="00D60CA7"/>
    <w:rsid w:val="00D62890"/>
    <w:rsid w:val="00D63129"/>
    <w:rsid w:val="00D63414"/>
    <w:rsid w:val="00D6373E"/>
    <w:rsid w:val="00D63AE3"/>
    <w:rsid w:val="00D65024"/>
    <w:rsid w:val="00D66306"/>
    <w:rsid w:val="00D67856"/>
    <w:rsid w:val="00D67BBE"/>
    <w:rsid w:val="00D73177"/>
    <w:rsid w:val="00D73840"/>
    <w:rsid w:val="00D741C5"/>
    <w:rsid w:val="00D7559C"/>
    <w:rsid w:val="00D75CDB"/>
    <w:rsid w:val="00D7650B"/>
    <w:rsid w:val="00D76D70"/>
    <w:rsid w:val="00D77938"/>
    <w:rsid w:val="00D809F0"/>
    <w:rsid w:val="00D80E86"/>
    <w:rsid w:val="00D81AA1"/>
    <w:rsid w:val="00D82D5D"/>
    <w:rsid w:val="00D834D7"/>
    <w:rsid w:val="00D838DD"/>
    <w:rsid w:val="00D85486"/>
    <w:rsid w:val="00D8578D"/>
    <w:rsid w:val="00D85BC5"/>
    <w:rsid w:val="00D8777C"/>
    <w:rsid w:val="00D87E31"/>
    <w:rsid w:val="00D90D1B"/>
    <w:rsid w:val="00D92104"/>
    <w:rsid w:val="00D92C1E"/>
    <w:rsid w:val="00D9352E"/>
    <w:rsid w:val="00D946D1"/>
    <w:rsid w:val="00D94AC6"/>
    <w:rsid w:val="00D95C49"/>
    <w:rsid w:val="00D97A7E"/>
    <w:rsid w:val="00DA0E3B"/>
    <w:rsid w:val="00DA0FBF"/>
    <w:rsid w:val="00DA131A"/>
    <w:rsid w:val="00DA447C"/>
    <w:rsid w:val="00DA4B69"/>
    <w:rsid w:val="00DA56A4"/>
    <w:rsid w:val="00DA61F8"/>
    <w:rsid w:val="00DA72D7"/>
    <w:rsid w:val="00DA7A7F"/>
    <w:rsid w:val="00DB02D3"/>
    <w:rsid w:val="00DB1C1D"/>
    <w:rsid w:val="00DB2B76"/>
    <w:rsid w:val="00DB2CAE"/>
    <w:rsid w:val="00DB3C1B"/>
    <w:rsid w:val="00DB3C53"/>
    <w:rsid w:val="00DB5A03"/>
    <w:rsid w:val="00DB5DD7"/>
    <w:rsid w:val="00DB654E"/>
    <w:rsid w:val="00DB67F9"/>
    <w:rsid w:val="00DB7B24"/>
    <w:rsid w:val="00DC04C9"/>
    <w:rsid w:val="00DC18B6"/>
    <w:rsid w:val="00DC19DD"/>
    <w:rsid w:val="00DC1BE8"/>
    <w:rsid w:val="00DC2D44"/>
    <w:rsid w:val="00DC3A51"/>
    <w:rsid w:val="00DC4927"/>
    <w:rsid w:val="00DC500B"/>
    <w:rsid w:val="00DC51F8"/>
    <w:rsid w:val="00DC5E46"/>
    <w:rsid w:val="00DC63F6"/>
    <w:rsid w:val="00DD0300"/>
    <w:rsid w:val="00DD038D"/>
    <w:rsid w:val="00DD1625"/>
    <w:rsid w:val="00DD19D5"/>
    <w:rsid w:val="00DD2230"/>
    <w:rsid w:val="00DD37F5"/>
    <w:rsid w:val="00DD3E22"/>
    <w:rsid w:val="00DD4AAB"/>
    <w:rsid w:val="00DD5180"/>
    <w:rsid w:val="00DD5B73"/>
    <w:rsid w:val="00DD6473"/>
    <w:rsid w:val="00DD7647"/>
    <w:rsid w:val="00DE1D5D"/>
    <w:rsid w:val="00DE2591"/>
    <w:rsid w:val="00DE2D04"/>
    <w:rsid w:val="00DE3E58"/>
    <w:rsid w:val="00DE41A2"/>
    <w:rsid w:val="00DE4E7E"/>
    <w:rsid w:val="00DE7AF6"/>
    <w:rsid w:val="00DF17FB"/>
    <w:rsid w:val="00DF1BD7"/>
    <w:rsid w:val="00DF3CB1"/>
    <w:rsid w:val="00DF57D3"/>
    <w:rsid w:val="00DF5F7D"/>
    <w:rsid w:val="00DF617F"/>
    <w:rsid w:val="00DF6BC2"/>
    <w:rsid w:val="00DF7130"/>
    <w:rsid w:val="00DF7B9B"/>
    <w:rsid w:val="00DF7EF3"/>
    <w:rsid w:val="00E00671"/>
    <w:rsid w:val="00E006E8"/>
    <w:rsid w:val="00E00C58"/>
    <w:rsid w:val="00E03C1A"/>
    <w:rsid w:val="00E045D9"/>
    <w:rsid w:val="00E050C4"/>
    <w:rsid w:val="00E05EFB"/>
    <w:rsid w:val="00E0784E"/>
    <w:rsid w:val="00E07DAB"/>
    <w:rsid w:val="00E1067B"/>
    <w:rsid w:val="00E1067F"/>
    <w:rsid w:val="00E137D8"/>
    <w:rsid w:val="00E171D5"/>
    <w:rsid w:val="00E21A35"/>
    <w:rsid w:val="00E2227B"/>
    <w:rsid w:val="00E226CD"/>
    <w:rsid w:val="00E235D0"/>
    <w:rsid w:val="00E238C8"/>
    <w:rsid w:val="00E242D6"/>
    <w:rsid w:val="00E26246"/>
    <w:rsid w:val="00E273BC"/>
    <w:rsid w:val="00E27B3F"/>
    <w:rsid w:val="00E30F8A"/>
    <w:rsid w:val="00E31790"/>
    <w:rsid w:val="00E328B9"/>
    <w:rsid w:val="00E35960"/>
    <w:rsid w:val="00E37D90"/>
    <w:rsid w:val="00E40A1F"/>
    <w:rsid w:val="00E40A60"/>
    <w:rsid w:val="00E42744"/>
    <w:rsid w:val="00E42DF0"/>
    <w:rsid w:val="00E42F61"/>
    <w:rsid w:val="00E43561"/>
    <w:rsid w:val="00E4374E"/>
    <w:rsid w:val="00E43D55"/>
    <w:rsid w:val="00E4544A"/>
    <w:rsid w:val="00E47E17"/>
    <w:rsid w:val="00E535CD"/>
    <w:rsid w:val="00E5406B"/>
    <w:rsid w:val="00E56168"/>
    <w:rsid w:val="00E56227"/>
    <w:rsid w:val="00E5658C"/>
    <w:rsid w:val="00E56D3A"/>
    <w:rsid w:val="00E60648"/>
    <w:rsid w:val="00E64498"/>
    <w:rsid w:val="00E65A8E"/>
    <w:rsid w:val="00E65F7D"/>
    <w:rsid w:val="00E6727A"/>
    <w:rsid w:val="00E67CEC"/>
    <w:rsid w:val="00E70EB3"/>
    <w:rsid w:val="00E71006"/>
    <w:rsid w:val="00E73720"/>
    <w:rsid w:val="00E74690"/>
    <w:rsid w:val="00E765C2"/>
    <w:rsid w:val="00E76758"/>
    <w:rsid w:val="00E775A7"/>
    <w:rsid w:val="00E7771C"/>
    <w:rsid w:val="00E80BB8"/>
    <w:rsid w:val="00E825DB"/>
    <w:rsid w:val="00E85097"/>
    <w:rsid w:val="00E855BF"/>
    <w:rsid w:val="00E85E68"/>
    <w:rsid w:val="00E860E6"/>
    <w:rsid w:val="00E86A1A"/>
    <w:rsid w:val="00E86F7E"/>
    <w:rsid w:val="00E87C06"/>
    <w:rsid w:val="00E87F7E"/>
    <w:rsid w:val="00E90245"/>
    <w:rsid w:val="00E90FA0"/>
    <w:rsid w:val="00E9115E"/>
    <w:rsid w:val="00E91527"/>
    <w:rsid w:val="00E93CE5"/>
    <w:rsid w:val="00E93D34"/>
    <w:rsid w:val="00E94CEF"/>
    <w:rsid w:val="00E94DEB"/>
    <w:rsid w:val="00E94FD2"/>
    <w:rsid w:val="00E95C54"/>
    <w:rsid w:val="00EA1DD2"/>
    <w:rsid w:val="00EA26F4"/>
    <w:rsid w:val="00EA2F68"/>
    <w:rsid w:val="00EA5DA8"/>
    <w:rsid w:val="00EA6274"/>
    <w:rsid w:val="00EB07FC"/>
    <w:rsid w:val="00EB1CE9"/>
    <w:rsid w:val="00EB1E46"/>
    <w:rsid w:val="00EB244D"/>
    <w:rsid w:val="00EB336D"/>
    <w:rsid w:val="00EB33A4"/>
    <w:rsid w:val="00EB4A55"/>
    <w:rsid w:val="00EB5961"/>
    <w:rsid w:val="00EB6536"/>
    <w:rsid w:val="00EB695E"/>
    <w:rsid w:val="00EB72DC"/>
    <w:rsid w:val="00EB7E1F"/>
    <w:rsid w:val="00EC0539"/>
    <w:rsid w:val="00EC0B4B"/>
    <w:rsid w:val="00EC100E"/>
    <w:rsid w:val="00EC2525"/>
    <w:rsid w:val="00EC29DB"/>
    <w:rsid w:val="00EC2B75"/>
    <w:rsid w:val="00EC2D01"/>
    <w:rsid w:val="00EC39A9"/>
    <w:rsid w:val="00EC535D"/>
    <w:rsid w:val="00EC5B95"/>
    <w:rsid w:val="00EC5C1A"/>
    <w:rsid w:val="00EC61F2"/>
    <w:rsid w:val="00EC622C"/>
    <w:rsid w:val="00EC6DD9"/>
    <w:rsid w:val="00EC6DEC"/>
    <w:rsid w:val="00EC6FE6"/>
    <w:rsid w:val="00ED1101"/>
    <w:rsid w:val="00ED143D"/>
    <w:rsid w:val="00ED1731"/>
    <w:rsid w:val="00ED36B1"/>
    <w:rsid w:val="00ED3AD0"/>
    <w:rsid w:val="00ED3F15"/>
    <w:rsid w:val="00ED46CF"/>
    <w:rsid w:val="00ED47DC"/>
    <w:rsid w:val="00ED54AF"/>
    <w:rsid w:val="00ED71C3"/>
    <w:rsid w:val="00EE0A78"/>
    <w:rsid w:val="00EE0B67"/>
    <w:rsid w:val="00EE2ADA"/>
    <w:rsid w:val="00EE377A"/>
    <w:rsid w:val="00EE432D"/>
    <w:rsid w:val="00EE4AA3"/>
    <w:rsid w:val="00EE5C0A"/>
    <w:rsid w:val="00EE795B"/>
    <w:rsid w:val="00EE7B58"/>
    <w:rsid w:val="00EE7C8C"/>
    <w:rsid w:val="00EF0890"/>
    <w:rsid w:val="00EF132D"/>
    <w:rsid w:val="00EF30D7"/>
    <w:rsid w:val="00EF4431"/>
    <w:rsid w:val="00EF4DFF"/>
    <w:rsid w:val="00EF5CD4"/>
    <w:rsid w:val="00EF5EE9"/>
    <w:rsid w:val="00EF71B4"/>
    <w:rsid w:val="00EF7281"/>
    <w:rsid w:val="00EF7455"/>
    <w:rsid w:val="00EF7699"/>
    <w:rsid w:val="00EF7E42"/>
    <w:rsid w:val="00F00FDF"/>
    <w:rsid w:val="00F01959"/>
    <w:rsid w:val="00F02442"/>
    <w:rsid w:val="00F03F93"/>
    <w:rsid w:val="00F04320"/>
    <w:rsid w:val="00F04E72"/>
    <w:rsid w:val="00F06A18"/>
    <w:rsid w:val="00F06BB5"/>
    <w:rsid w:val="00F07165"/>
    <w:rsid w:val="00F10401"/>
    <w:rsid w:val="00F1121F"/>
    <w:rsid w:val="00F1172B"/>
    <w:rsid w:val="00F122BB"/>
    <w:rsid w:val="00F1341E"/>
    <w:rsid w:val="00F13FC0"/>
    <w:rsid w:val="00F14277"/>
    <w:rsid w:val="00F144E7"/>
    <w:rsid w:val="00F14C25"/>
    <w:rsid w:val="00F153A8"/>
    <w:rsid w:val="00F16338"/>
    <w:rsid w:val="00F16490"/>
    <w:rsid w:val="00F178CD"/>
    <w:rsid w:val="00F207BA"/>
    <w:rsid w:val="00F21A87"/>
    <w:rsid w:val="00F22C27"/>
    <w:rsid w:val="00F252B3"/>
    <w:rsid w:val="00F2604C"/>
    <w:rsid w:val="00F26627"/>
    <w:rsid w:val="00F27346"/>
    <w:rsid w:val="00F27843"/>
    <w:rsid w:val="00F306D7"/>
    <w:rsid w:val="00F347D9"/>
    <w:rsid w:val="00F35F9B"/>
    <w:rsid w:val="00F36206"/>
    <w:rsid w:val="00F36464"/>
    <w:rsid w:val="00F37DC4"/>
    <w:rsid w:val="00F406EA"/>
    <w:rsid w:val="00F40B3C"/>
    <w:rsid w:val="00F4116A"/>
    <w:rsid w:val="00F41B12"/>
    <w:rsid w:val="00F435A3"/>
    <w:rsid w:val="00F4422D"/>
    <w:rsid w:val="00F443BC"/>
    <w:rsid w:val="00F452D1"/>
    <w:rsid w:val="00F46084"/>
    <w:rsid w:val="00F46773"/>
    <w:rsid w:val="00F46FDB"/>
    <w:rsid w:val="00F47633"/>
    <w:rsid w:val="00F47E54"/>
    <w:rsid w:val="00F50687"/>
    <w:rsid w:val="00F51172"/>
    <w:rsid w:val="00F52227"/>
    <w:rsid w:val="00F52FC2"/>
    <w:rsid w:val="00F53C51"/>
    <w:rsid w:val="00F54988"/>
    <w:rsid w:val="00F54C34"/>
    <w:rsid w:val="00F54F01"/>
    <w:rsid w:val="00F57007"/>
    <w:rsid w:val="00F57666"/>
    <w:rsid w:val="00F57BCE"/>
    <w:rsid w:val="00F57E54"/>
    <w:rsid w:val="00F61266"/>
    <w:rsid w:val="00F61A67"/>
    <w:rsid w:val="00F62A06"/>
    <w:rsid w:val="00F638F0"/>
    <w:rsid w:val="00F645FB"/>
    <w:rsid w:val="00F646B8"/>
    <w:rsid w:val="00F648D9"/>
    <w:rsid w:val="00F65007"/>
    <w:rsid w:val="00F6718D"/>
    <w:rsid w:val="00F672B7"/>
    <w:rsid w:val="00F7027E"/>
    <w:rsid w:val="00F71991"/>
    <w:rsid w:val="00F71AB8"/>
    <w:rsid w:val="00F727E4"/>
    <w:rsid w:val="00F72B76"/>
    <w:rsid w:val="00F7394F"/>
    <w:rsid w:val="00F73A91"/>
    <w:rsid w:val="00F74CCF"/>
    <w:rsid w:val="00F74D96"/>
    <w:rsid w:val="00F76C08"/>
    <w:rsid w:val="00F8050A"/>
    <w:rsid w:val="00F80C18"/>
    <w:rsid w:val="00F81532"/>
    <w:rsid w:val="00F8187A"/>
    <w:rsid w:val="00F832C3"/>
    <w:rsid w:val="00F832C8"/>
    <w:rsid w:val="00F83476"/>
    <w:rsid w:val="00F838A3"/>
    <w:rsid w:val="00F83D94"/>
    <w:rsid w:val="00F83FA6"/>
    <w:rsid w:val="00F84A93"/>
    <w:rsid w:val="00F84CCF"/>
    <w:rsid w:val="00F861CE"/>
    <w:rsid w:val="00F8638E"/>
    <w:rsid w:val="00F86733"/>
    <w:rsid w:val="00F86BA8"/>
    <w:rsid w:val="00F90A1B"/>
    <w:rsid w:val="00F90D2C"/>
    <w:rsid w:val="00F911B1"/>
    <w:rsid w:val="00F9204B"/>
    <w:rsid w:val="00F92BCF"/>
    <w:rsid w:val="00F92F6A"/>
    <w:rsid w:val="00F9314F"/>
    <w:rsid w:val="00F93A6E"/>
    <w:rsid w:val="00F94BBB"/>
    <w:rsid w:val="00F95A72"/>
    <w:rsid w:val="00F96DDC"/>
    <w:rsid w:val="00FA0C14"/>
    <w:rsid w:val="00FA0F9F"/>
    <w:rsid w:val="00FA2412"/>
    <w:rsid w:val="00FA2450"/>
    <w:rsid w:val="00FA4677"/>
    <w:rsid w:val="00FA4A6E"/>
    <w:rsid w:val="00FA5A81"/>
    <w:rsid w:val="00FA6AAF"/>
    <w:rsid w:val="00FA734B"/>
    <w:rsid w:val="00FB03C6"/>
    <w:rsid w:val="00FB26F8"/>
    <w:rsid w:val="00FB2CDE"/>
    <w:rsid w:val="00FB37F8"/>
    <w:rsid w:val="00FB456C"/>
    <w:rsid w:val="00FB5B8D"/>
    <w:rsid w:val="00FB626B"/>
    <w:rsid w:val="00FB6C43"/>
    <w:rsid w:val="00FC0F65"/>
    <w:rsid w:val="00FC200D"/>
    <w:rsid w:val="00FC4109"/>
    <w:rsid w:val="00FC48D7"/>
    <w:rsid w:val="00FC6146"/>
    <w:rsid w:val="00FC64E3"/>
    <w:rsid w:val="00FC69F3"/>
    <w:rsid w:val="00FC7339"/>
    <w:rsid w:val="00FC7F27"/>
    <w:rsid w:val="00FD1A90"/>
    <w:rsid w:val="00FD1ED7"/>
    <w:rsid w:val="00FD226C"/>
    <w:rsid w:val="00FD23DA"/>
    <w:rsid w:val="00FD3EFF"/>
    <w:rsid w:val="00FE030D"/>
    <w:rsid w:val="00FE05CD"/>
    <w:rsid w:val="00FE1C39"/>
    <w:rsid w:val="00FE2BBA"/>
    <w:rsid w:val="00FE3174"/>
    <w:rsid w:val="00FE522D"/>
    <w:rsid w:val="00FE6C57"/>
    <w:rsid w:val="00FF020F"/>
    <w:rsid w:val="00FF0A31"/>
    <w:rsid w:val="00FF1224"/>
    <w:rsid w:val="00FF1290"/>
    <w:rsid w:val="00FF13DD"/>
    <w:rsid w:val="00FF1466"/>
    <w:rsid w:val="00FF28D6"/>
    <w:rsid w:val="00FF291B"/>
    <w:rsid w:val="00FF41A7"/>
    <w:rsid w:val="00FF5228"/>
    <w:rsid w:val="00FF5B18"/>
    <w:rsid w:val="00FF5DA8"/>
    <w:rsid w:val="00FF5FD4"/>
    <w:rsid w:val="00FF606F"/>
    <w:rsid w:val="00FF6887"/>
    <w:rsid w:val="00FF724B"/>
    <w:rsid w:val="00FF74F1"/>
    <w:rsid w:val="00FF79FD"/>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4112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0"/>
    <w:lsdException w:name="Medium Grid 2 Accent 2" w:uiPriority="29"/>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7197"/>
    <w:pPr>
      <w:tabs>
        <w:tab w:val="center" w:pos="4419"/>
        <w:tab w:val="right" w:pos="8838"/>
      </w:tabs>
      <w:spacing w:after="0" w:line="240" w:lineRule="auto"/>
    </w:pPr>
    <w:rPr>
      <w:rFonts w:ascii="Verdana" w:hAnsi="Verdana"/>
      <w:sz w:val="20"/>
    </w:rPr>
  </w:style>
  <w:style w:type="paragraph" w:styleId="Ttulo1">
    <w:name w:val="heading 1"/>
    <w:aliases w:val="Título Verdana"/>
    <w:basedOn w:val="Normal"/>
    <w:next w:val="Normal"/>
    <w:link w:val="Ttulo1Car"/>
    <w:uiPriority w:val="9"/>
    <w:qFormat/>
    <w:rsid w:val="000A52D5"/>
    <w:pPr>
      <w:keepNext/>
      <w:keepLines/>
      <w:tabs>
        <w:tab w:val="clear" w:pos="4419"/>
        <w:tab w:val="clear" w:pos="8838"/>
      </w:tabs>
      <w:spacing w:before="60" w:after="60"/>
      <w:jc w:val="center"/>
      <w:outlineLvl w:val="0"/>
    </w:pPr>
    <w:rPr>
      <w:rFonts w:eastAsia="Times New Roman" w:cs="Verdana"/>
      <w:b/>
      <w:bCs/>
      <w:caps/>
      <w:snapToGrid w:val="0"/>
      <w:szCs w:val="20"/>
      <w:lang w:eastAsia="es-ES"/>
    </w:rPr>
  </w:style>
  <w:style w:type="paragraph" w:styleId="Ttulo2">
    <w:name w:val="heading 2"/>
    <w:basedOn w:val="Normal"/>
    <w:next w:val="Normal"/>
    <w:link w:val="Ttulo2Car"/>
    <w:autoRedefine/>
    <w:uiPriority w:val="9"/>
    <w:qFormat/>
    <w:rsid w:val="00247F1A"/>
    <w:pPr>
      <w:keepNext/>
      <w:keepLines/>
      <w:numPr>
        <w:numId w:val="22"/>
      </w:numPr>
      <w:tabs>
        <w:tab w:val="clear" w:pos="4419"/>
        <w:tab w:val="clear" w:pos="8838"/>
      </w:tabs>
      <w:jc w:val="both"/>
      <w:outlineLvl w:val="1"/>
    </w:pPr>
    <w:rPr>
      <w:rFonts w:eastAsia="Times New Roman" w:cs="Times New Roman"/>
      <w:b/>
      <w:bCs/>
      <w:i/>
      <w:szCs w:val="20"/>
      <w:lang w:val="es-MX"/>
    </w:rPr>
  </w:style>
  <w:style w:type="paragraph" w:styleId="Ttulo3">
    <w:name w:val="heading 3"/>
    <w:basedOn w:val="Normal"/>
    <w:next w:val="Normal"/>
    <w:link w:val="Ttulo3Car"/>
    <w:uiPriority w:val="9"/>
    <w:qFormat/>
    <w:rsid w:val="000A20C1"/>
    <w:pPr>
      <w:tabs>
        <w:tab w:val="clear" w:pos="4419"/>
        <w:tab w:val="clear" w:pos="8838"/>
      </w:tabs>
      <w:ind w:left="709"/>
      <w:jc w:val="both"/>
      <w:outlineLvl w:val="2"/>
    </w:pPr>
    <w:rPr>
      <w:rFonts w:eastAsia="Batang" w:cs="Times"/>
      <w:b/>
      <w:i/>
      <w:szCs w:val="24"/>
      <w:lang w:val="es-MX"/>
    </w:rPr>
  </w:style>
  <w:style w:type="paragraph" w:styleId="Ttulo4">
    <w:name w:val="heading 4"/>
    <w:basedOn w:val="Normal"/>
    <w:next w:val="Normal"/>
    <w:link w:val="Ttulo4Car"/>
    <w:uiPriority w:val="9"/>
    <w:qFormat/>
    <w:rsid w:val="000A52D5"/>
    <w:pPr>
      <w:keepNext/>
      <w:keepLines/>
      <w:tabs>
        <w:tab w:val="clear" w:pos="4419"/>
        <w:tab w:val="clear" w:pos="8838"/>
      </w:tabs>
      <w:spacing w:before="60" w:after="60"/>
      <w:ind w:left="567" w:firstLine="709"/>
      <w:outlineLvl w:val="3"/>
    </w:pPr>
    <w:rPr>
      <w:rFonts w:eastAsia="Times New Roman" w:cs="Times New Roman"/>
      <w:bCs/>
      <w:i/>
      <w:iCs/>
      <w:szCs w:val="24"/>
      <w:lang w:val="es-MX"/>
    </w:rPr>
  </w:style>
  <w:style w:type="paragraph" w:styleId="Ttulo5">
    <w:name w:val="heading 5"/>
    <w:basedOn w:val="Normal"/>
    <w:next w:val="Normal"/>
    <w:link w:val="Ttulo5Car"/>
    <w:uiPriority w:val="9"/>
    <w:qFormat/>
    <w:rsid w:val="000A52D5"/>
    <w:pPr>
      <w:keepNext/>
      <w:keepLines/>
      <w:numPr>
        <w:numId w:val="7"/>
      </w:numPr>
      <w:tabs>
        <w:tab w:val="clear" w:pos="4419"/>
        <w:tab w:val="clear" w:pos="8838"/>
      </w:tabs>
      <w:spacing w:before="60" w:after="60"/>
      <w:ind w:left="714" w:hanging="357"/>
      <w:outlineLvl w:val="4"/>
    </w:pPr>
    <w:rPr>
      <w:rFonts w:eastAsia="Times New Roman" w:cs="Times New Roman"/>
      <w:i/>
      <w:szCs w:val="24"/>
      <w:lang w:val="es-MX"/>
    </w:rPr>
  </w:style>
  <w:style w:type="paragraph" w:styleId="Ttulo6">
    <w:name w:val="heading 6"/>
    <w:basedOn w:val="Ttulo5"/>
    <w:next w:val="Normal"/>
    <w:link w:val="Ttulo6Car"/>
    <w:uiPriority w:val="9"/>
    <w:qFormat/>
    <w:rsid w:val="000A52D5"/>
    <w:pPr>
      <w:keepNext w:val="0"/>
      <w:keepLines w:val="0"/>
      <w:numPr>
        <w:numId w:val="0"/>
      </w:numPr>
      <w:tabs>
        <w:tab w:val="num" w:pos="3600"/>
      </w:tabs>
      <w:spacing w:before="0" w:after="0"/>
      <w:ind w:left="3600" w:hanging="360"/>
      <w:outlineLvl w:val="5"/>
    </w:pPr>
    <w:rPr>
      <w:i w:val="0"/>
      <w:spacing w:val="-2"/>
      <w:szCs w:val="20"/>
      <w:lang w:eastAsia="es-CR"/>
    </w:rPr>
  </w:style>
  <w:style w:type="paragraph" w:styleId="Ttulo7">
    <w:name w:val="heading 7"/>
    <w:basedOn w:val="Normal"/>
    <w:next w:val="Normal"/>
    <w:link w:val="Ttulo7Car"/>
    <w:uiPriority w:val="9"/>
    <w:qFormat/>
    <w:rsid w:val="000A52D5"/>
    <w:pPr>
      <w:keepNext/>
      <w:keepLines/>
      <w:tabs>
        <w:tab w:val="clear" w:pos="4419"/>
        <w:tab w:val="clear" w:pos="8838"/>
      </w:tabs>
      <w:spacing w:before="200"/>
      <w:outlineLvl w:val="6"/>
    </w:pPr>
    <w:rPr>
      <w:rFonts w:ascii="Cambria" w:eastAsia="Times New Roman" w:hAnsi="Cambria" w:cs="Times New Roman"/>
      <w:i/>
      <w:iCs/>
      <w:color w:val="404040"/>
      <w:szCs w:val="24"/>
      <w:lang w:val="es-MX"/>
    </w:rPr>
  </w:style>
  <w:style w:type="paragraph" w:styleId="Ttulo8">
    <w:name w:val="heading 8"/>
    <w:basedOn w:val="Normal"/>
    <w:next w:val="Normal"/>
    <w:link w:val="Ttulo8Car"/>
    <w:uiPriority w:val="9"/>
    <w:unhideWhenUsed/>
    <w:qFormat/>
    <w:rsid w:val="000A52D5"/>
    <w:pPr>
      <w:keepNext/>
      <w:tabs>
        <w:tab w:val="clear" w:pos="4419"/>
        <w:tab w:val="clear" w:pos="8838"/>
      </w:tabs>
      <w:contextualSpacing/>
      <w:outlineLvl w:val="7"/>
    </w:pPr>
    <w:rPr>
      <w:rFonts w:eastAsia="Batang" w:cs="Times"/>
      <w:i/>
      <w:szCs w:val="24"/>
      <w:lang w:val="es-MX"/>
    </w:rPr>
  </w:style>
  <w:style w:type="paragraph" w:styleId="Ttulo9">
    <w:name w:val="heading 9"/>
    <w:basedOn w:val="Normal"/>
    <w:next w:val="Normal"/>
    <w:link w:val="Ttulo9Car"/>
    <w:uiPriority w:val="9"/>
    <w:unhideWhenUsed/>
    <w:qFormat/>
    <w:rsid w:val="00721AF6"/>
    <w:pPr>
      <w:keepNext/>
      <w:keepLines/>
      <w:numPr>
        <w:numId w:val="4"/>
      </w:numPr>
      <w:tabs>
        <w:tab w:val="clear" w:pos="4419"/>
        <w:tab w:val="clear" w:pos="8838"/>
      </w:tabs>
      <w:outlineLvl w:val="8"/>
    </w:pPr>
    <w:rPr>
      <w:rFonts w:eastAsia="Times New Roman" w:cs="Times New Roman"/>
      <w:b/>
      <w:bCs/>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2. Footnote Text,Footnote Tesina,Footnote Text Char Char Char Char Char,Footnote Text Char Char Char Char,Footnote reference,FA Fu,Footnote Text Char Char Char,Footnote Text Cha,FA Fußnotentext,FA Fuﬂnotentext,Ca,C,Footnote Text Char Char"/>
    <w:basedOn w:val="Normal"/>
    <w:link w:val="TextonotapieCar"/>
    <w:unhideWhenUsed/>
    <w:qFormat/>
    <w:rsid w:val="008003A7"/>
    <w:pPr>
      <w:spacing w:after="40"/>
      <w:jc w:val="both"/>
    </w:pPr>
    <w:rPr>
      <w:sz w:val="16"/>
      <w:szCs w:val="16"/>
      <w:lang w:val="en-US"/>
    </w:rPr>
  </w:style>
  <w:style w:type="character" w:customStyle="1" w:styleId="TextonotapieCar">
    <w:name w:val="Texto nota pie Car"/>
    <w:aliases w:val="2. Footnote Text Car,Footnote Tesina Car,Footnote Text Char Char Char Char Char Car,Footnote Text Char Char Char Char Car,Footnote reference Car,FA Fu Car,Footnote Text Char Char Char Car,Footnote Text Cha Car,FA Fußnotentext Car"/>
    <w:basedOn w:val="Fuentedeprrafopredeter"/>
    <w:link w:val="Textonotapie"/>
    <w:rsid w:val="008003A7"/>
    <w:rPr>
      <w:rFonts w:ascii="Verdana" w:hAnsi="Verdana"/>
      <w:sz w:val="16"/>
      <w:szCs w:val="16"/>
      <w:lang w:val="en-US"/>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BA1ACF"/>
    <w:rPr>
      <w:rFonts w:cs="Times New Roman"/>
      <w:szCs w:val="20"/>
      <w:vertAlign w:val="superscript"/>
    </w:rPr>
  </w:style>
  <w:style w:type="character" w:styleId="Textoennegrita">
    <w:name w:val="Strong"/>
    <w:uiPriority w:val="22"/>
    <w:qFormat/>
    <w:rsid w:val="00BA1ACF"/>
    <w:rPr>
      <w:b/>
      <w:bCs/>
    </w:rPr>
  </w:style>
  <w:style w:type="paragraph" w:styleId="TDC1">
    <w:name w:val="toc 1"/>
    <w:basedOn w:val="Normal"/>
    <w:next w:val="Normal"/>
    <w:autoRedefine/>
    <w:uiPriority w:val="39"/>
    <w:unhideWhenUsed/>
    <w:qFormat/>
    <w:rsid w:val="009F4724"/>
    <w:pPr>
      <w:tabs>
        <w:tab w:val="clear" w:pos="4419"/>
        <w:tab w:val="clear" w:pos="8838"/>
        <w:tab w:val="center" w:pos="9356"/>
      </w:tabs>
      <w:jc w:val="both"/>
    </w:pPr>
    <w:rPr>
      <w:b/>
      <w:sz w:val="18"/>
      <w:szCs w:val="18"/>
    </w:rPr>
  </w:style>
  <w:style w:type="paragraph" w:styleId="TDC2">
    <w:name w:val="toc 2"/>
    <w:basedOn w:val="Normal"/>
    <w:next w:val="Normal"/>
    <w:autoRedefine/>
    <w:uiPriority w:val="39"/>
    <w:unhideWhenUsed/>
    <w:qFormat/>
    <w:rsid w:val="009F4724"/>
    <w:pPr>
      <w:tabs>
        <w:tab w:val="clear" w:pos="4419"/>
        <w:tab w:val="clear" w:pos="8838"/>
        <w:tab w:val="center" w:pos="0"/>
        <w:tab w:val="right" w:pos="9356"/>
      </w:tabs>
      <w:spacing w:after="100"/>
      <w:ind w:left="426"/>
      <w:jc w:val="both"/>
    </w:pPr>
  </w:style>
  <w:style w:type="paragraph" w:styleId="TDC3">
    <w:name w:val="toc 3"/>
    <w:basedOn w:val="Normal"/>
    <w:next w:val="Normal"/>
    <w:autoRedefine/>
    <w:uiPriority w:val="39"/>
    <w:unhideWhenUsed/>
    <w:qFormat/>
    <w:rsid w:val="009F4724"/>
    <w:pPr>
      <w:tabs>
        <w:tab w:val="clear" w:pos="4419"/>
        <w:tab w:val="clear" w:pos="8838"/>
        <w:tab w:val="center" w:pos="0"/>
        <w:tab w:val="right" w:pos="9356"/>
      </w:tabs>
      <w:spacing w:after="100"/>
      <w:ind w:left="480"/>
      <w:jc w:val="both"/>
    </w:pPr>
  </w:style>
  <w:style w:type="character" w:styleId="Hipervnculo">
    <w:name w:val="Hyperlink"/>
    <w:basedOn w:val="Fuentedeprrafopredeter"/>
    <w:uiPriority w:val="99"/>
    <w:unhideWhenUsed/>
    <w:rsid w:val="00BA1ACF"/>
    <w:rPr>
      <w:color w:val="0000FF" w:themeColor="hyperlink"/>
      <w:u w:val="single"/>
    </w:rPr>
  </w:style>
  <w:style w:type="paragraph" w:styleId="Prrafodelista">
    <w:name w:val="List Paragraph"/>
    <w:aliases w:val="Párrafo de lista1,Footnote,List Paragraph2,List Paragraph1,Colorful List - Accent 11,Lista vistosa - Énfasis 11"/>
    <w:basedOn w:val="Normal"/>
    <w:link w:val="PrrafodelistaCar"/>
    <w:uiPriority w:val="34"/>
    <w:qFormat/>
    <w:rsid w:val="00D609BD"/>
    <w:pPr>
      <w:tabs>
        <w:tab w:val="clear" w:pos="4419"/>
        <w:tab w:val="clear" w:pos="8838"/>
      </w:tabs>
      <w:ind w:left="720"/>
      <w:contextualSpacing/>
      <w:jc w:val="both"/>
    </w:pPr>
  </w:style>
  <w:style w:type="character" w:customStyle="1" w:styleId="PrrafodelistaCar">
    <w:name w:val="Párrafo de lista Car"/>
    <w:aliases w:val="Párrafo de lista1 Car,Footnote Car,List Paragraph2 Car,List Paragraph1 Car,Colorful List - Accent 11 Car,Lista vistosa - Énfasis 11 Car"/>
    <w:basedOn w:val="Fuentedeprrafopredeter"/>
    <w:link w:val="Prrafodelista"/>
    <w:uiPriority w:val="34"/>
    <w:locked/>
    <w:rsid w:val="00D609BD"/>
    <w:rPr>
      <w:rFonts w:ascii="Verdana" w:hAnsi="Verdana"/>
      <w:sz w:val="20"/>
    </w:rPr>
  </w:style>
  <w:style w:type="paragraph" w:customStyle="1" w:styleId="Default">
    <w:name w:val="Default"/>
    <w:rsid w:val="001A317E"/>
    <w:pPr>
      <w:autoSpaceDE w:val="0"/>
      <w:autoSpaceDN w:val="0"/>
      <w:adjustRightInd w:val="0"/>
      <w:spacing w:after="0" w:line="240" w:lineRule="auto"/>
    </w:pPr>
    <w:rPr>
      <w:rFonts w:ascii="Verdana" w:eastAsia="Calibri" w:hAnsi="Verdana" w:cs="Verdana"/>
      <w:color w:val="000000"/>
      <w:sz w:val="24"/>
      <w:szCs w:val="24"/>
      <w:lang w:val="en-US"/>
    </w:rPr>
  </w:style>
  <w:style w:type="character" w:styleId="Refdecomentario">
    <w:name w:val="annotation reference"/>
    <w:basedOn w:val="Fuentedeprrafopredeter"/>
    <w:uiPriority w:val="99"/>
    <w:unhideWhenUsed/>
    <w:rsid w:val="008410A9"/>
    <w:rPr>
      <w:sz w:val="16"/>
      <w:szCs w:val="16"/>
    </w:rPr>
  </w:style>
  <w:style w:type="paragraph" w:styleId="Textocomentario">
    <w:name w:val="annotation text"/>
    <w:basedOn w:val="Normal"/>
    <w:link w:val="TextocomentarioCar"/>
    <w:uiPriority w:val="99"/>
    <w:unhideWhenUsed/>
    <w:rsid w:val="008410A9"/>
    <w:rPr>
      <w:szCs w:val="20"/>
    </w:rPr>
  </w:style>
  <w:style w:type="character" w:customStyle="1" w:styleId="TextocomentarioCar">
    <w:name w:val="Texto comentario Car"/>
    <w:basedOn w:val="Fuentedeprrafopredeter"/>
    <w:link w:val="Textocomentario"/>
    <w:uiPriority w:val="99"/>
    <w:rsid w:val="008410A9"/>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unhideWhenUsed/>
    <w:rsid w:val="008410A9"/>
    <w:rPr>
      <w:b/>
      <w:bCs/>
    </w:rPr>
  </w:style>
  <w:style w:type="character" w:customStyle="1" w:styleId="AsuntodelcomentarioCar">
    <w:name w:val="Asunto del comentario Car"/>
    <w:basedOn w:val="TextocomentarioCar"/>
    <w:link w:val="Asuntodelcomentario"/>
    <w:uiPriority w:val="99"/>
    <w:rsid w:val="008410A9"/>
    <w:rPr>
      <w:rFonts w:ascii="Times New Roman" w:hAnsi="Times New Roman"/>
      <w:b/>
      <w:bCs/>
      <w:sz w:val="20"/>
      <w:szCs w:val="20"/>
    </w:rPr>
  </w:style>
  <w:style w:type="paragraph" w:styleId="Textodeglobo">
    <w:name w:val="Balloon Text"/>
    <w:basedOn w:val="Normal"/>
    <w:link w:val="TextodegloboCar"/>
    <w:uiPriority w:val="99"/>
    <w:semiHidden/>
    <w:unhideWhenUsed/>
    <w:rsid w:val="008410A9"/>
    <w:rPr>
      <w:rFonts w:ascii="Tahoma" w:hAnsi="Tahoma" w:cs="Tahoma"/>
      <w:sz w:val="16"/>
      <w:szCs w:val="16"/>
    </w:rPr>
  </w:style>
  <w:style w:type="character" w:customStyle="1" w:styleId="TextodegloboCar">
    <w:name w:val="Texto de globo Car"/>
    <w:basedOn w:val="Fuentedeprrafopredeter"/>
    <w:link w:val="Textodeglobo"/>
    <w:uiPriority w:val="99"/>
    <w:semiHidden/>
    <w:rsid w:val="008410A9"/>
    <w:rPr>
      <w:rFonts w:ascii="Tahoma" w:hAnsi="Tahoma" w:cs="Tahoma"/>
      <w:sz w:val="16"/>
      <w:szCs w:val="16"/>
    </w:rPr>
  </w:style>
  <w:style w:type="paragraph" w:styleId="Encabezado">
    <w:name w:val="header"/>
    <w:basedOn w:val="Normal"/>
    <w:link w:val="EncabezadoCar"/>
    <w:uiPriority w:val="99"/>
    <w:unhideWhenUsed/>
    <w:rsid w:val="00952C89"/>
  </w:style>
  <w:style w:type="character" w:customStyle="1" w:styleId="EncabezadoCar">
    <w:name w:val="Encabezado Car"/>
    <w:basedOn w:val="Fuentedeprrafopredeter"/>
    <w:link w:val="Encabezado"/>
    <w:uiPriority w:val="99"/>
    <w:rsid w:val="00952C89"/>
    <w:rPr>
      <w:rFonts w:ascii="Times New Roman" w:hAnsi="Times New Roman"/>
      <w:sz w:val="24"/>
    </w:rPr>
  </w:style>
  <w:style w:type="paragraph" w:styleId="Piedepgina">
    <w:name w:val="footer"/>
    <w:basedOn w:val="Normal"/>
    <w:link w:val="PiedepginaCar"/>
    <w:uiPriority w:val="99"/>
    <w:unhideWhenUsed/>
    <w:rsid w:val="00952C89"/>
  </w:style>
  <w:style w:type="character" w:customStyle="1" w:styleId="PiedepginaCar">
    <w:name w:val="Pie de página Car"/>
    <w:basedOn w:val="Fuentedeprrafopredeter"/>
    <w:link w:val="Piedepgina"/>
    <w:uiPriority w:val="99"/>
    <w:rsid w:val="00952C89"/>
    <w:rPr>
      <w:rFonts w:ascii="Times New Roman" w:hAnsi="Times New Roman"/>
      <w:sz w:val="24"/>
    </w:rPr>
  </w:style>
  <w:style w:type="character" w:customStyle="1" w:styleId="Ttulo1Car">
    <w:name w:val="Título 1 Car"/>
    <w:aliases w:val="Título Verdana Car"/>
    <w:basedOn w:val="Fuentedeprrafopredeter"/>
    <w:link w:val="Ttulo1"/>
    <w:uiPriority w:val="9"/>
    <w:rsid w:val="000A52D5"/>
    <w:rPr>
      <w:rFonts w:ascii="Verdana" w:eastAsia="Times New Roman" w:hAnsi="Verdana" w:cs="Verdana"/>
      <w:b/>
      <w:bCs/>
      <w:caps/>
      <w:snapToGrid w:val="0"/>
      <w:sz w:val="20"/>
      <w:szCs w:val="20"/>
      <w:lang w:eastAsia="es-ES"/>
    </w:rPr>
  </w:style>
  <w:style w:type="character" w:customStyle="1" w:styleId="Ttulo2Car">
    <w:name w:val="Título 2 Car"/>
    <w:basedOn w:val="Fuentedeprrafopredeter"/>
    <w:link w:val="Ttulo2"/>
    <w:uiPriority w:val="9"/>
    <w:rsid w:val="00247F1A"/>
    <w:rPr>
      <w:rFonts w:ascii="Verdana" w:eastAsia="Times New Roman" w:hAnsi="Verdana" w:cs="Times New Roman"/>
      <w:b/>
      <w:bCs/>
      <w:i/>
      <w:sz w:val="20"/>
      <w:szCs w:val="20"/>
      <w:lang w:val="es-MX"/>
    </w:rPr>
  </w:style>
  <w:style w:type="character" w:customStyle="1" w:styleId="Ttulo3Car">
    <w:name w:val="Título 3 Car"/>
    <w:basedOn w:val="Fuentedeprrafopredeter"/>
    <w:link w:val="Ttulo3"/>
    <w:uiPriority w:val="9"/>
    <w:rsid w:val="000A20C1"/>
    <w:rPr>
      <w:rFonts w:ascii="Verdana" w:eastAsia="Batang" w:hAnsi="Verdana" w:cs="Times"/>
      <w:b/>
      <w:i/>
      <w:sz w:val="20"/>
      <w:szCs w:val="24"/>
      <w:lang w:val="es-MX"/>
    </w:rPr>
  </w:style>
  <w:style w:type="character" w:customStyle="1" w:styleId="Ttulo4Car">
    <w:name w:val="Título 4 Car"/>
    <w:basedOn w:val="Fuentedeprrafopredeter"/>
    <w:link w:val="Ttulo4"/>
    <w:uiPriority w:val="9"/>
    <w:rsid w:val="000A52D5"/>
    <w:rPr>
      <w:rFonts w:ascii="Verdana" w:eastAsia="Times New Roman" w:hAnsi="Verdana" w:cs="Times New Roman"/>
      <w:bCs/>
      <w:i/>
      <w:iCs/>
      <w:sz w:val="20"/>
      <w:szCs w:val="24"/>
      <w:lang w:val="es-MX"/>
    </w:rPr>
  </w:style>
  <w:style w:type="character" w:customStyle="1" w:styleId="Ttulo5Car">
    <w:name w:val="Título 5 Car"/>
    <w:basedOn w:val="Fuentedeprrafopredeter"/>
    <w:link w:val="Ttulo5"/>
    <w:uiPriority w:val="9"/>
    <w:rsid w:val="000A52D5"/>
    <w:rPr>
      <w:rFonts w:ascii="Verdana" w:eastAsia="Times New Roman" w:hAnsi="Verdana" w:cs="Times New Roman"/>
      <w:i/>
      <w:sz w:val="20"/>
      <w:szCs w:val="24"/>
      <w:lang w:val="es-MX"/>
    </w:rPr>
  </w:style>
  <w:style w:type="character" w:customStyle="1" w:styleId="Ttulo6Car">
    <w:name w:val="Título 6 Car"/>
    <w:basedOn w:val="Fuentedeprrafopredeter"/>
    <w:link w:val="Ttulo6"/>
    <w:uiPriority w:val="9"/>
    <w:rsid w:val="000A52D5"/>
    <w:rPr>
      <w:rFonts w:ascii="Verdana" w:eastAsia="Times New Roman" w:hAnsi="Verdana" w:cs="Times New Roman"/>
      <w:spacing w:val="-2"/>
      <w:sz w:val="20"/>
      <w:szCs w:val="20"/>
      <w:lang w:val="es-MX" w:eastAsia="es-CR"/>
    </w:rPr>
  </w:style>
  <w:style w:type="character" w:customStyle="1" w:styleId="Ttulo7Car">
    <w:name w:val="Título 7 Car"/>
    <w:basedOn w:val="Fuentedeprrafopredeter"/>
    <w:link w:val="Ttulo7"/>
    <w:uiPriority w:val="9"/>
    <w:rsid w:val="000A52D5"/>
    <w:rPr>
      <w:rFonts w:ascii="Cambria" w:eastAsia="Times New Roman" w:hAnsi="Cambria" w:cs="Times New Roman"/>
      <w:i/>
      <w:iCs/>
      <w:color w:val="404040"/>
      <w:sz w:val="20"/>
      <w:szCs w:val="24"/>
      <w:lang w:val="es-MX"/>
    </w:rPr>
  </w:style>
  <w:style w:type="character" w:customStyle="1" w:styleId="Ttulo8Car">
    <w:name w:val="Título 8 Car"/>
    <w:basedOn w:val="Fuentedeprrafopredeter"/>
    <w:link w:val="Ttulo8"/>
    <w:uiPriority w:val="9"/>
    <w:rsid w:val="000A52D5"/>
    <w:rPr>
      <w:rFonts w:ascii="Verdana" w:eastAsia="Batang" w:hAnsi="Verdana" w:cs="Times"/>
      <w:i/>
      <w:sz w:val="20"/>
      <w:szCs w:val="24"/>
      <w:lang w:val="es-MX"/>
    </w:rPr>
  </w:style>
  <w:style w:type="paragraph" w:styleId="Ttulo">
    <w:name w:val="Title"/>
    <w:basedOn w:val="Normal"/>
    <w:link w:val="TtuloCar"/>
    <w:uiPriority w:val="10"/>
    <w:qFormat/>
    <w:rsid w:val="000A52D5"/>
    <w:pPr>
      <w:tabs>
        <w:tab w:val="clear" w:pos="4419"/>
        <w:tab w:val="clear" w:pos="8838"/>
      </w:tabs>
      <w:jc w:val="center"/>
    </w:pPr>
    <w:rPr>
      <w:rFonts w:eastAsia="Times New Roman" w:cs="Times New Roman"/>
      <w:b/>
      <w:szCs w:val="20"/>
      <w:lang w:val="es-MX"/>
    </w:rPr>
  </w:style>
  <w:style w:type="character" w:customStyle="1" w:styleId="TtuloCar">
    <w:name w:val="Título Car"/>
    <w:basedOn w:val="Fuentedeprrafopredeter"/>
    <w:link w:val="Ttulo"/>
    <w:uiPriority w:val="10"/>
    <w:rsid w:val="000A52D5"/>
    <w:rPr>
      <w:rFonts w:ascii="Verdana" w:eastAsia="Times New Roman" w:hAnsi="Verdana" w:cs="Times New Roman"/>
      <w:b/>
      <w:sz w:val="20"/>
      <w:szCs w:val="20"/>
      <w:lang w:val="es-MX"/>
    </w:rPr>
  </w:style>
  <w:style w:type="paragraph" w:styleId="Subttulo">
    <w:name w:val="Subtitle"/>
    <w:basedOn w:val="Normal"/>
    <w:next w:val="Normal"/>
    <w:link w:val="SubttuloCar"/>
    <w:qFormat/>
    <w:rsid w:val="000A52D5"/>
    <w:pPr>
      <w:numPr>
        <w:ilvl w:val="1"/>
      </w:numPr>
      <w:tabs>
        <w:tab w:val="clear" w:pos="4419"/>
        <w:tab w:val="clear" w:pos="8838"/>
      </w:tabs>
      <w:jc w:val="center"/>
    </w:pPr>
    <w:rPr>
      <w:rFonts w:eastAsia="Times New Roman" w:cs="Times New Roman"/>
      <w:b/>
      <w:i/>
      <w:iCs/>
      <w:spacing w:val="15"/>
      <w:szCs w:val="24"/>
      <w:lang w:val="es-MX"/>
    </w:rPr>
  </w:style>
  <w:style w:type="character" w:customStyle="1" w:styleId="SubttuloCar">
    <w:name w:val="Subtítulo Car"/>
    <w:basedOn w:val="Fuentedeprrafopredeter"/>
    <w:link w:val="Subttulo"/>
    <w:rsid w:val="000A52D5"/>
    <w:rPr>
      <w:rFonts w:ascii="Verdana" w:eastAsia="Times New Roman" w:hAnsi="Verdana" w:cs="Times New Roman"/>
      <w:b/>
      <w:i/>
      <w:iCs/>
      <w:spacing w:val="15"/>
      <w:sz w:val="20"/>
      <w:szCs w:val="24"/>
      <w:lang w:val="es-MX"/>
    </w:rPr>
  </w:style>
  <w:style w:type="paragraph" w:customStyle="1" w:styleId="citaindirecta">
    <w:name w:val="cita indirecta"/>
    <w:basedOn w:val="Normal"/>
    <w:uiPriority w:val="99"/>
    <w:rsid w:val="000A52D5"/>
    <w:pPr>
      <w:tabs>
        <w:tab w:val="clear" w:pos="4419"/>
        <w:tab w:val="clear" w:pos="8838"/>
      </w:tabs>
      <w:ind w:left="708"/>
    </w:pPr>
    <w:rPr>
      <w:rFonts w:eastAsia="Times New Roman" w:cs="Times New Roman"/>
      <w:szCs w:val="20"/>
      <w:lang w:val="es-MX"/>
    </w:rPr>
  </w:style>
  <w:style w:type="paragraph" w:customStyle="1" w:styleId="Estilo1">
    <w:name w:val="Estilo1"/>
    <w:basedOn w:val="Normal"/>
    <w:link w:val="Estilo1Car"/>
    <w:qFormat/>
    <w:rsid w:val="000A52D5"/>
    <w:pPr>
      <w:tabs>
        <w:tab w:val="clear" w:pos="4419"/>
        <w:tab w:val="clear" w:pos="8838"/>
      </w:tabs>
      <w:spacing w:after="120"/>
      <w:ind w:left="2018" w:right="6" w:hanging="180"/>
    </w:pPr>
    <w:rPr>
      <w:rFonts w:eastAsia="Batang" w:cs="Times"/>
      <w:i/>
      <w:szCs w:val="24"/>
      <w:lang w:val="es-MX"/>
    </w:rPr>
  </w:style>
  <w:style w:type="character" w:customStyle="1" w:styleId="Estilo1Car">
    <w:name w:val="Estilo1 Car"/>
    <w:link w:val="Estilo1"/>
    <w:rsid w:val="000A52D5"/>
    <w:rPr>
      <w:rFonts w:ascii="Verdana" w:eastAsia="Batang" w:hAnsi="Verdana" w:cs="Times"/>
      <w:i/>
      <w:sz w:val="20"/>
      <w:szCs w:val="24"/>
      <w:lang w:val="es-MX"/>
    </w:rPr>
  </w:style>
  <w:style w:type="paragraph" w:customStyle="1" w:styleId="Style1">
    <w:name w:val="Style1"/>
    <w:basedOn w:val="Ttulo1"/>
    <w:link w:val="Style1Char"/>
    <w:qFormat/>
    <w:rsid w:val="000A52D5"/>
    <w:pPr>
      <w:spacing w:before="0"/>
    </w:pPr>
    <w:rPr>
      <w:lang w:val="es-ES"/>
    </w:rPr>
  </w:style>
  <w:style w:type="character" w:customStyle="1" w:styleId="Style1Char">
    <w:name w:val="Style1 Char"/>
    <w:link w:val="Style1"/>
    <w:rsid w:val="000A52D5"/>
    <w:rPr>
      <w:rFonts w:ascii="Verdana" w:eastAsia="Times New Roman" w:hAnsi="Verdana" w:cs="Verdana"/>
      <w:b/>
      <w:bCs/>
      <w:caps/>
      <w:snapToGrid w:val="0"/>
      <w:sz w:val="20"/>
      <w:szCs w:val="20"/>
      <w:lang w:val="es-ES" w:eastAsia="es-ES"/>
    </w:rPr>
  </w:style>
  <w:style w:type="paragraph" w:customStyle="1" w:styleId="Estilo7">
    <w:name w:val="Estilo7"/>
    <w:basedOn w:val="Normal"/>
    <w:qFormat/>
    <w:rsid w:val="000A52D5"/>
    <w:pPr>
      <w:numPr>
        <w:ilvl w:val="2"/>
        <w:numId w:val="5"/>
      </w:numPr>
      <w:tabs>
        <w:tab w:val="clear" w:pos="4419"/>
        <w:tab w:val="clear" w:pos="8838"/>
        <w:tab w:val="left" w:pos="567"/>
        <w:tab w:val="left" w:pos="851"/>
      </w:tabs>
      <w:spacing w:before="120" w:after="120"/>
    </w:pPr>
    <w:rPr>
      <w:rFonts w:eastAsia="Batang" w:cs="Times New Roman"/>
      <w:b/>
      <w:i/>
      <w:szCs w:val="20"/>
      <w:lang w:val="es-MX" w:eastAsia="es-MX"/>
    </w:rPr>
  </w:style>
  <w:style w:type="paragraph" w:customStyle="1" w:styleId="Footnotes">
    <w:name w:val="**. Footnotes"/>
    <w:basedOn w:val="Textonotapie"/>
    <w:link w:val="FootnotesChar"/>
    <w:autoRedefine/>
    <w:qFormat/>
    <w:rsid w:val="00B13CD7"/>
    <w:pPr>
      <w:tabs>
        <w:tab w:val="clear" w:pos="4419"/>
        <w:tab w:val="clear" w:pos="8838"/>
      </w:tabs>
    </w:pPr>
    <w:rPr>
      <w:rFonts w:eastAsia="Times New Roman" w:cs="Times New Roman"/>
      <w:bCs/>
      <w:iCs/>
      <w:lang w:val="pt-BR" w:eastAsia="x-none"/>
    </w:rPr>
  </w:style>
  <w:style w:type="character" w:customStyle="1" w:styleId="FootnotesChar">
    <w:name w:val="**. Footnotes Char"/>
    <w:link w:val="Footnotes"/>
    <w:rsid w:val="00B13CD7"/>
    <w:rPr>
      <w:rFonts w:ascii="Verdana" w:eastAsia="Times New Roman" w:hAnsi="Verdana" w:cs="Times New Roman"/>
      <w:bCs/>
      <w:iCs/>
      <w:sz w:val="16"/>
      <w:szCs w:val="16"/>
      <w:lang w:val="pt-BR" w:eastAsia="x-none"/>
    </w:rPr>
  </w:style>
  <w:style w:type="paragraph" w:customStyle="1" w:styleId="Style2">
    <w:name w:val="Style2"/>
    <w:basedOn w:val="Ttulo2"/>
    <w:link w:val="Style2Char"/>
    <w:autoRedefine/>
    <w:qFormat/>
    <w:rsid w:val="000A52D5"/>
    <w:pPr>
      <w:spacing w:before="360"/>
    </w:pPr>
    <w:rPr>
      <w:lang w:val="es-CR"/>
    </w:rPr>
  </w:style>
  <w:style w:type="character" w:customStyle="1" w:styleId="Style2Char">
    <w:name w:val="Style2 Char"/>
    <w:link w:val="Style2"/>
    <w:rsid w:val="000A52D5"/>
    <w:rPr>
      <w:rFonts w:ascii="Verdana" w:eastAsia="Times New Roman" w:hAnsi="Verdana" w:cs="Times New Roman"/>
      <w:b/>
      <w:bCs/>
      <w:i/>
      <w:sz w:val="20"/>
      <w:szCs w:val="20"/>
    </w:rPr>
  </w:style>
  <w:style w:type="paragraph" w:styleId="TDC4">
    <w:name w:val="toc 4"/>
    <w:basedOn w:val="Normal"/>
    <w:next w:val="Normal"/>
    <w:autoRedefine/>
    <w:uiPriority w:val="39"/>
    <w:unhideWhenUsed/>
    <w:rsid w:val="000A52D5"/>
    <w:pPr>
      <w:tabs>
        <w:tab w:val="clear" w:pos="4419"/>
        <w:tab w:val="clear" w:pos="8838"/>
      </w:tabs>
      <w:spacing w:before="60" w:after="60"/>
      <w:ind w:left="601"/>
      <w:contextualSpacing/>
    </w:pPr>
    <w:rPr>
      <w:rFonts w:eastAsia="Batang" w:cs="Times"/>
      <w:sz w:val="18"/>
      <w:szCs w:val="24"/>
      <w:lang w:val="es-MX"/>
    </w:rPr>
  </w:style>
  <w:style w:type="paragraph" w:styleId="TDC5">
    <w:name w:val="toc 5"/>
    <w:basedOn w:val="Normal"/>
    <w:next w:val="Normal"/>
    <w:autoRedefine/>
    <w:uiPriority w:val="39"/>
    <w:unhideWhenUsed/>
    <w:rsid w:val="000A52D5"/>
    <w:pPr>
      <w:tabs>
        <w:tab w:val="clear" w:pos="4419"/>
        <w:tab w:val="clear" w:pos="8838"/>
      </w:tabs>
      <w:spacing w:before="60" w:after="60"/>
      <w:ind w:left="799"/>
      <w:contextualSpacing/>
    </w:pPr>
    <w:rPr>
      <w:rFonts w:eastAsia="Batang" w:cs="Times"/>
      <w:sz w:val="18"/>
      <w:szCs w:val="24"/>
      <w:lang w:val="es-MX"/>
    </w:rPr>
  </w:style>
  <w:style w:type="paragraph" w:customStyle="1" w:styleId="Encabezadodetabladecontenido">
    <w:name w:val="Encabezado de tabla de contenido"/>
    <w:basedOn w:val="Ttulo1"/>
    <w:next w:val="Normal"/>
    <w:uiPriority w:val="39"/>
    <w:unhideWhenUsed/>
    <w:qFormat/>
    <w:rsid w:val="000A52D5"/>
    <w:pPr>
      <w:spacing w:before="480" w:after="0" w:line="276" w:lineRule="auto"/>
      <w:jc w:val="left"/>
      <w:outlineLvl w:val="9"/>
    </w:pPr>
    <w:rPr>
      <w:rFonts w:ascii="Cambria" w:hAnsi="Cambria" w:cs="Times New Roman"/>
      <w:caps w:val="0"/>
      <w:snapToGrid/>
      <w:color w:val="365F91"/>
      <w:sz w:val="28"/>
      <w:szCs w:val="28"/>
      <w:lang w:val="en-US" w:eastAsia="en-US"/>
    </w:rPr>
  </w:style>
  <w:style w:type="paragraph" w:customStyle="1" w:styleId="PrrafodeSentencia0">
    <w:name w:val="*. Párrafo de Sentencia"/>
    <w:basedOn w:val="Textonotapie"/>
    <w:link w:val="PrrafodeSentenciaChar"/>
    <w:autoRedefine/>
    <w:qFormat/>
    <w:rsid w:val="000A52D5"/>
    <w:pPr>
      <w:widowControl w:val="0"/>
      <w:tabs>
        <w:tab w:val="clear" w:pos="4419"/>
        <w:tab w:val="clear" w:pos="8838"/>
      </w:tabs>
      <w:spacing w:before="240" w:after="240"/>
      <w:ind w:firstLine="720"/>
    </w:pPr>
    <w:rPr>
      <w:rFonts w:eastAsia="Batang" w:cs="Times New Roman"/>
      <w:lang w:eastAsia="es-MX" w:bidi="en-US"/>
    </w:rPr>
  </w:style>
  <w:style w:type="paragraph" w:customStyle="1" w:styleId="Estilo2">
    <w:name w:val="Estilo2"/>
    <w:basedOn w:val="Normal"/>
    <w:link w:val="Estilo2Car"/>
    <w:qFormat/>
    <w:rsid w:val="000A52D5"/>
    <w:pPr>
      <w:tabs>
        <w:tab w:val="clear" w:pos="4419"/>
        <w:tab w:val="clear" w:pos="8838"/>
        <w:tab w:val="left" w:pos="567"/>
        <w:tab w:val="left" w:pos="1134"/>
        <w:tab w:val="num" w:pos="4767"/>
      </w:tabs>
      <w:spacing w:after="120"/>
      <w:ind w:firstLine="357"/>
    </w:pPr>
    <w:rPr>
      <w:rFonts w:eastAsia="Calibri" w:cs="Times New Roman"/>
      <w:szCs w:val="20"/>
      <w:lang w:val="es-MX" w:eastAsia="x-none"/>
    </w:rPr>
  </w:style>
  <w:style w:type="table" w:styleId="Cuadrculaclara-nfasis3">
    <w:name w:val="Light Grid Accent 3"/>
    <w:basedOn w:val="Tablanormal"/>
    <w:uiPriority w:val="99"/>
    <w:rsid w:val="000A52D5"/>
    <w:pPr>
      <w:spacing w:after="0" w:line="240" w:lineRule="auto"/>
    </w:pPr>
    <w:rPr>
      <w:rFonts w:ascii="Calibri" w:eastAsia="Calibri" w:hAnsi="Calibri" w:cs="Times New Roman"/>
      <w:color w:val="000000"/>
      <w:sz w:val="20"/>
      <w:szCs w:val="2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rsid w:val="000A52D5"/>
    <w:rPr>
      <w:rFonts w:cs="Times New Roman"/>
    </w:rPr>
  </w:style>
  <w:style w:type="paragraph" w:styleId="Textoindependiente">
    <w:name w:val="Body Text"/>
    <w:basedOn w:val="Normal"/>
    <w:link w:val="TextoindependienteCar"/>
    <w:uiPriority w:val="99"/>
    <w:unhideWhenUsed/>
    <w:rsid w:val="000A52D5"/>
    <w:pPr>
      <w:tabs>
        <w:tab w:val="clear" w:pos="4419"/>
        <w:tab w:val="clear" w:pos="8838"/>
      </w:tabs>
    </w:pPr>
    <w:rPr>
      <w:rFonts w:ascii="Garamond" w:eastAsia="Times" w:hAnsi="Garamond" w:cs="Times New Roman"/>
      <w:sz w:val="22"/>
      <w:szCs w:val="20"/>
      <w:lang w:val="es-MX"/>
    </w:rPr>
  </w:style>
  <w:style w:type="character" w:customStyle="1" w:styleId="TextoindependienteCar">
    <w:name w:val="Texto independiente Car"/>
    <w:basedOn w:val="Fuentedeprrafopredeter"/>
    <w:link w:val="Textoindependiente"/>
    <w:uiPriority w:val="99"/>
    <w:rsid w:val="000A52D5"/>
    <w:rPr>
      <w:rFonts w:ascii="Garamond" w:eastAsia="Times" w:hAnsi="Garamond" w:cs="Times New Roman"/>
      <w:szCs w:val="20"/>
      <w:lang w:val="es-MX"/>
    </w:rPr>
  </w:style>
  <w:style w:type="paragraph" w:customStyle="1" w:styleId="NotasProyectos">
    <w:name w:val="Notas Proyectos"/>
    <w:basedOn w:val="Normal"/>
    <w:link w:val="NotasProyectosChar"/>
    <w:autoRedefine/>
    <w:qFormat/>
    <w:rsid w:val="000A52D5"/>
    <w:pPr>
      <w:tabs>
        <w:tab w:val="clear" w:pos="4419"/>
        <w:tab w:val="clear" w:pos="8838"/>
      </w:tabs>
      <w:spacing w:before="120"/>
      <w:ind w:left="720"/>
    </w:pPr>
    <w:rPr>
      <w:rFonts w:eastAsia="Times New Roman" w:cs="Times New Roman"/>
      <w:szCs w:val="20"/>
      <w:lang w:val="es-MX" w:eastAsia="es-ES"/>
    </w:rPr>
  </w:style>
  <w:style w:type="character" w:customStyle="1" w:styleId="NotasProyectosChar">
    <w:name w:val="Notas Proyectos Char"/>
    <w:link w:val="NotasProyectos"/>
    <w:rsid w:val="000A52D5"/>
    <w:rPr>
      <w:rFonts w:ascii="Verdana" w:eastAsia="Times New Roman" w:hAnsi="Verdana" w:cs="Times New Roman"/>
      <w:sz w:val="20"/>
      <w:szCs w:val="20"/>
      <w:lang w:val="es-MX" w:eastAsia="es-ES"/>
    </w:rPr>
  </w:style>
  <w:style w:type="paragraph" w:customStyle="1" w:styleId="1Prrafosentencia">
    <w:name w:val="1. Párrafo sentencia"/>
    <w:autoRedefine/>
    <w:qFormat/>
    <w:rsid w:val="000A52D5"/>
    <w:pPr>
      <w:spacing w:before="120" w:after="120"/>
      <w:ind w:left="1440" w:hanging="360"/>
      <w:jc w:val="both"/>
    </w:pPr>
    <w:rPr>
      <w:rFonts w:eastAsia="Times New Roman" w:cs="Univers"/>
      <w:color w:val="000000"/>
      <w:sz w:val="24"/>
      <w:lang w:val="en-US"/>
    </w:rPr>
  </w:style>
  <w:style w:type="paragraph" w:styleId="Sangradetextonormal">
    <w:name w:val="Body Text Indent"/>
    <w:basedOn w:val="Normal"/>
    <w:link w:val="SangradetextonormalCar"/>
    <w:uiPriority w:val="99"/>
    <w:unhideWhenUsed/>
    <w:rsid w:val="000A52D5"/>
    <w:pPr>
      <w:tabs>
        <w:tab w:val="clear" w:pos="4419"/>
        <w:tab w:val="clear" w:pos="8838"/>
        <w:tab w:val="left" w:pos="1276"/>
      </w:tabs>
      <w:spacing w:before="120" w:after="120"/>
      <w:ind w:left="1996" w:firstLine="164"/>
    </w:pPr>
    <w:rPr>
      <w:rFonts w:eastAsia="Batang" w:cs="Arial"/>
      <w:i/>
      <w:szCs w:val="20"/>
      <w:lang w:val="es-MX"/>
    </w:rPr>
  </w:style>
  <w:style w:type="character" w:customStyle="1" w:styleId="SangradetextonormalCar">
    <w:name w:val="Sangría de texto normal Car"/>
    <w:basedOn w:val="Fuentedeprrafopredeter"/>
    <w:link w:val="Sangradetextonormal"/>
    <w:uiPriority w:val="99"/>
    <w:rsid w:val="000A52D5"/>
    <w:rPr>
      <w:rFonts w:ascii="Verdana" w:eastAsia="Batang" w:hAnsi="Verdana" w:cs="Arial"/>
      <w:i/>
      <w:sz w:val="20"/>
      <w:szCs w:val="20"/>
      <w:lang w:val="es-MX"/>
    </w:rPr>
  </w:style>
  <w:style w:type="character" w:styleId="nfasis">
    <w:name w:val="Emphasis"/>
    <w:uiPriority w:val="20"/>
    <w:qFormat/>
    <w:rsid w:val="000A52D5"/>
    <w:rPr>
      <w:i/>
      <w:iCs/>
    </w:rPr>
  </w:style>
  <w:style w:type="paragraph" w:customStyle="1" w:styleId="Prrafonumerado">
    <w:name w:val="Párrafo numerado"/>
    <w:basedOn w:val="Normal"/>
    <w:autoRedefine/>
    <w:rsid w:val="000A52D5"/>
    <w:pPr>
      <w:tabs>
        <w:tab w:val="clear" w:pos="4419"/>
        <w:tab w:val="clear" w:pos="8838"/>
      </w:tabs>
      <w:spacing w:before="120" w:after="120"/>
      <w:ind w:left="567" w:right="855"/>
    </w:pPr>
    <w:rPr>
      <w:rFonts w:eastAsia="Times New Roman" w:cs="Times New Roman"/>
      <w:sz w:val="16"/>
      <w:szCs w:val="16"/>
      <w:lang w:val="es-CO" w:eastAsia="es-ES"/>
    </w:rPr>
  </w:style>
  <w:style w:type="paragraph" w:customStyle="1" w:styleId="2Footnotes">
    <w:name w:val="2. Footnotes"/>
    <w:basedOn w:val="Textonotapie"/>
    <w:link w:val="2FootnotesChar"/>
    <w:autoRedefine/>
    <w:qFormat/>
    <w:rsid w:val="000A52D5"/>
    <w:pPr>
      <w:tabs>
        <w:tab w:val="clear" w:pos="4419"/>
        <w:tab w:val="clear" w:pos="8838"/>
      </w:tabs>
      <w:spacing w:before="120" w:after="120"/>
    </w:pPr>
    <w:rPr>
      <w:rFonts w:eastAsia="Times New Roman" w:cs="Palatino-Italic"/>
      <w:iCs/>
      <w:szCs w:val="18"/>
      <w:lang w:val="es-ES"/>
    </w:rPr>
  </w:style>
  <w:style w:type="character" w:customStyle="1" w:styleId="2FootnotesChar">
    <w:name w:val="2. Footnotes Char"/>
    <w:link w:val="2Footnotes"/>
    <w:rsid w:val="000A52D5"/>
    <w:rPr>
      <w:rFonts w:ascii="Verdana" w:eastAsia="Times New Roman" w:hAnsi="Verdana" w:cs="Palatino-Italic"/>
      <w:iCs/>
      <w:sz w:val="16"/>
      <w:szCs w:val="18"/>
      <w:lang w:val="es-ES"/>
    </w:rPr>
  </w:style>
  <w:style w:type="paragraph" w:styleId="Mapadeldocumento">
    <w:name w:val="Document Map"/>
    <w:basedOn w:val="Normal"/>
    <w:link w:val="MapadeldocumentoCar"/>
    <w:uiPriority w:val="99"/>
    <w:semiHidden/>
    <w:unhideWhenUsed/>
    <w:rsid w:val="000A52D5"/>
    <w:pPr>
      <w:tabs>
        <w:tab w:val="clear" w:pos="4419"/>
        <w:tab w:val="clear" w:pos="8838"/>
      </w:tabs>
    </w:pPr>
    <w:rPr>
      <w:rFonts w:ascii="Tahoma" w:eastAsia="Batang" w:hAnsi="Tahoma" w:cs="Tahoma"/>
      <w:sz w:val="16"/>
      <w:szCs w:val="16"/>
      <w:lang w:val="es-MX"/>
    </w:rPr>
  </w:style>
  <w:style w:type="character" w:customStyle="1" w:styleId="MapadeldocumentoCar">
    <w:name w:val="Mapa del documento Car"/>
    <w:basedOn w:val="Fuentedeprrafopredeter"/>
    <w:link w:val="Mapadeldocumento"/>
    <w:uiPriority w:val="99"/>
    <w:semiHidden/>
    <w:rsid w:val="000A52D5"/>
    <w:rPr>
      <w:rFonts w:ascii="Tahoma" w:eastAsia="Batang" w:hAnsi="Tahoma" w:cs="Tahoma"/>
      <w:sz w:val="16"/>
      <w:szCs w:val="16"/>
      <w:lang w:val="es-MX"/>
    </w:rPr>
  </w:style>
  <w:style w:type="paragraph" w:styleId="Textonotaalfinal">
    <w:name w:val="endnote text"/>
    <w:basedOn w:val="Normal"/>
    <w:link w:val="TextonotaalfinalCar"/>
    <w:unhideWhenUsed/>
    <w:rsid w:val="000A52D5"/>
    <w:pPr>
      <w:tabs>
        <w:tab w:val="clear" w:pos="4419"/>
        <w:tab w:val="clear" w:pos="8838"/>
      </w:tabs>
    </w:pPr>
    <w:rPr>
      <w:rFonts w:eastAsia="Batang" w:cs="Times"/>
      <w:szCs w:val="20"/>
      <w:lang w:val="es-MX"/>
    </w:rPr>
  </w:style>
  <w:style w:type="character" w:customStyle="1" w:styleId="TextonotaalfinalCar">
    <w:name w:val="Texto nota al final Car"/>
    <w:basedOn w:val="Fuentedeprrafopredeter"/>
    <w:link w:val="Textonotaalfinal"/>
    <w:rsid w:val="000A52D5"/>
    <w:rPr>
      <w:rFonts w:ascii="Verdana" w:eastAsia="Batang" w:hAnsi="Verdana" w:cs="Times"/>
      <w:sz w:val="20"/>
      <w:szCs w:val="20"/>
      <w:lang w:val="es-MX"/>
    </w:rPr>
  </w:style>
  <w:style w:type="character" w:styleId="Refdenotaalfinal">
    <w:name w:val="endnote reference"/>
    <w:semiHidden/>
    <w:unhideWhenUsed/>
    <w:rsid w:val="000A52D5"/>
    <w:rPr>
      <w:vertAlign w:val="superscript"/>
    </w:rPr>
  </w:style>
  <w:style w:type="paragraph" w:customStyle="1" w:styleId="PrrafodeSentencia">
    <w:name w:val="Párrafo de Sentencia"/>
    <w:autoRedefine/>
    <w:qFormat/>
    <w:rsid w:val="000A52D5"/>
    <w:pPr>
      <w:numPr>
        <w:ilvl w:val="4"/>
        <w:numId w:val="6"/>
      </w:numPr>
      <w:tabs>
        <w:tab w:val="num" w:pos="360"/>
      </w:tabs>
      <w:ind w:left="720" w:firstLine="0"/>
      <w:contextualSpacing/>
      <w:jc w:val="both"/>
    </w:pPr>
    <w:rPr>
      <w:rFonts w:eastAsia="Times New Roman" w:cs="Times New Roman"/>
      <w:szCs w:val="20"/>
      <w:lang w:val="en-US" w:eastAsia="es-ES"/>
    </w:rPr>
  </w:style>
  <w:style w:type="paragraph" w:customStyle="1" w:styleId="Textonotapie1">
    <w:name w:val="Texto nota pie1"/>
    <w:basedOn w:val="Normal"/>
    <w:semiHidden/>
    <w:rsid w:val="000A52D5"/>
    <w:pPr>
      <w:tabs>
        <w:tab w:val="clear" w:pos="4419"/>
        <w:tab w:val="clear" w:pos="8838"/>
      </w:tabs>
    </w:pPr>
    <w:rPr>
      <w:rFonts w:eastAsia="Times New Roman" w:cs="Times New Roman"/>
      <w:szCs w:val="20"/>
      <w:lang w:val="es-MX" w:eastAsia="es-ES"/>
    </w:rPr>
  </w:style>
  <w:style w:type="paragraph" w:styleId="TDC6">
    <w:name w:val="toc 6"/>
    <w:basedOn w:val="Normal"/>
    <w:next w:val="Normal"/>
    <w:autoRedefine/>
    <w:uiPriority w:val="39"/>
    <w:unhideWhenUsed/>
    <w:rsid w:val="000A52D5"/>
    <w:pPr>
      <w:tabs>
        <w:tab w:val="clear" w:pos="4419"/>
        <w:tab w:val="clear" w:pos="8838"/>
      </w:tabs>
      <w:spacing w:after="100" w:line="276" w:lineRule="auto"/>
      <w:ind w:left="1100"/>
    </w:pPr>
    <w:rPr>
      <w:rFonts w:ascii="Calibri" w:eastAsia="Times New Roman" w:hAnsi="Calibri" w:cs="Times New Roman"/>
      <w:sz w:val="22"/>
      <w:lang w:eastAsia="es-CR"/>
    </w:rPr>
  </w:style>
  <w:style w:type="paragraph" w:styleId="TDC7">
    <w:name w:val="toc 7"/>
    <w:basedOn w:val="Normal"/>
    <w:next w:val="Normal"/>
    <w:autoRedefine/>
    <w:uiPriority w:val="39"/>
    <w:unhideWhenUsed/>
    <w:rsid w:val="000A52D5"/>
    <w:pPr>
      <w:tabs>
        <w:tab w:val="clear" w:pos="4419"/>
        <w:tab w:val="clear" w:pos="8838"/>
      </w:tabs>
      <w:spacing w:after="100" w:line="276" w:lineRule="auto"/>
      <w:ind w:left="1320"/>
    </w:pPr>
    <w:rPr>
      <w:rFonts w:ascii="Calibri" w:eastAsia="Times New Roman" w:hAnsi="Calibri" w:cs="Times New Roman"/>
      <w:sz w:val="22"/>
      <w:lang w:eastAsia="es-CR"/>
    </w:rPr>
  </w:style>
  <w:style w:type="paragraph" w:styleId="TDC8">
    <w:name w:val="toc 8"/>
    <w:basedOn w:val="Normal"/>
    <w:next w:val="Normal"/>
    <w:autoRedefine/>
    <w:uiPriority w:val="39"/>
    <w:unhideWhenUsed/>
    <w:rsid w:val="000A52D5"/>
    <w:pPr>
      <w:tabs>
        <w:tab w:val="clear" w:pos="4419"/>
        <w:tab w:val="clear" w:pos="8838"/>
      </w:tabs>
      <w:spacing w:after="100" w:line="276" w:lineRule="auto"/>
      <w:ind w:left="1540"/>
    </w:pPr>
    <w:rPr>
      <w:rFonts w:ascii="Calibri" w:eastAsia="Times New Roman" w:hAnsi="Calibri" w:cs="Times New Roman"/>
      <w:sz w:val="22"/>
      <w:lang w:eastAsia="es-CR"/>
    </w:rPr>
  </w:style>
  <w:style w:type="paragraph" w:styleId="TDC9">
    <w:name w:val="toc 9"/>
    <w:basedOn w:val="Normal"/>
    <w:next w:val="Normal"/>
    <w:autoRedefine/>
    <w:uiPriority w:val="39"/>
    <w:unhideWhenUsed/>
    <w:rsid w:val="000A52D5"/>
    <w:pPr>
      <w:tabs>
        <w:tab w:val="clear" w:pos="4419"/>
        <w:tab w:val="clear" w:pos="8838"/>
      </w:tabs>
      <w:spacing w:after="100" w:line="276" w:lineRule="auto"/>
      <w:ind w:left="1760"/>
    </w:pPr>
    <w:rPr>
      <w:rFonts w:ascii="Calibri" w:eastAsia="Times New Roman" w:hAnsi="Calibri" w:cs="Times New Roman"/>
      <w:sz w:val="22"/>
      <w:lang w:eastAsia="es-CR"/>
    </w:rPr>
  </w:style>
  <w:style w:type="character" w:customStyle="1" w:styleId="normalchar">
    <w:name w:val="normal__char"/>
    <w:basedOn w:val="Fuentedeprrafopredeter"/>
    <w:rsid w:val="000A52D5"/>
  </w:style>
  <w:style w:type="character" w:customStyle="1" w:styleId="apple-converted-space">
    <w:name w:val="apple-converted-space"/>
    <w:basedOn w:val="Fuentedeprrafopredeter"/>
    <w:rsid w:val="000A52D5"/>
  </w:style>
  <w:style w:type="paragraph" w:styleId="NormalWeb">
    <w:name w:val="Normal (Web)"/>
    <w:aliases w:val="Normal (Web) Char1,Normal (Web) Char Char,Normal (Web) Char1 Char,Normal (Web) Char Char Char"/>
    <w:basedOn w:val="Normal"/>
    <w:uiPriority w:val="99"/>
    <w:unhideWhenUsed/>
    <w:rsid w:val="000A52D5"/>
    <w:pPr>
      <w:tabs>
        <w:tab w:val="clear" w:pos="4419"/>
        <w:tab w:val="clear" w:pos="8838"/>
      </w:tabs>
      <w:spacing w:before="100" w:beforeAutospacing="1" w:after="100" w:afterAutospacing="1"/>
    </w:pPr>
    <w:rPr>
      <w:rFonts w:eastAsia="Times New Roman" w:cs="Times New Roman"/>
      <w:szCs w:val="24"/>
      <w:lang w:eastAsia="es-CR"/>
    </w:rPr>
  </w:style>
  <w:style w:type="character" w:styleId="Nmerodelnea">
    <w:name w:val="line number"/>
    <w:basedOn w:val="Fuentedeprrafopredeter"/>
    <w:uiPriority w:val="99"/>
    <w:semiHidden/>
    <w:unhideWhenUsed/>
    <w:rsid w:val="000A52D5"/>
  </w:style>
  <w:style w:type="character" w:customStyle="1" w:styleId="PrrafodeSentenciaChar">
    <w:name w:val="*. Párrafo de Sentencia Char"/>
    <w:link w:val="PrrafodeSentencia0"/>
    <w:rsid w:val="000A52D5"/>
    <w:rPr>
      <w:rFonts w:ascii="Verdana" w:eastAsia="Batang" w:hAnsi="Verdana" w:cs="Times New Roman"/>
      <w:sz w:val="20"/>
      <w:szCs w:val="20"/>
      <w:lang w:eastAsia="es-MX" w:bidi="en-US"/>
    </w:rPr>
  </w:style>
  <w:style w:type="character" w:customStyle="1" w:styleId="Caracteresdenotafinal">
    <w:name w:val="Caracteres de nota final"/>
    <w:rsid w:val="000A52D5"/>
    <w:rPr>
      <w:vertAlign w:val="superscript"/>
    </w:rPr>
  </w:style>
  <w:style w:type="character" w:customStyle="1" w:styleId="FootnoteRef">
    <w:name w:val="Footnote Ref"/>
    <w:rsid w:val="000A52D5"/>
    <w:rPr>
      <w:rFonts w:cs="Times New Roman"/>
      <w:vertAlign w:val="superscript"/>
    </w:rPr>
  </w:style>
  <w:style w:type="paragraph" w:styleId="Textosinformato">
    <w:name w:val="Plain Text"/>
    <w:basedOn w:val="Normal"/>
    <w:link w:val="TextosinformatoCar"/>
    <w:uiPriority w:val="99"/>
    <w:unhideWhenUsed/>
    <w:rsid w:val="000A52D5"/>
    <w:pPr>
      <w:tabs>
        <w:tab w:val="clear" w:pos="4419"/>
        <w:tab w:val="clear" w:pos="8838"/>
      </w:tabs>
    </w:pPr>
    <w:rPr>
      <w:rFonts w:ascii="Consolas" w:eastAsia="Calibri" w:hAnsi="Consolas" w:cs="Consolas"/>
      <w:sz w:val="21"/>
      <w:szCs w:val="21"/>
      <w:lang w:eastAsia="es-CR"/>
    </w:rPr>
  </w:style>
  <w:style w:type="character" w:customStyle="1" w:styleId="TextosinformatoCar">
    <w:name w:val="Texto sin formato Car"/>
    <w:basedOn w:val="Fuentedeprrafopredeter"/>
    <w:link w:val="Textosinformato"/>
    <w:uiPriority w:val="99"/>
    <w:rsid w:val="000A52D5"/>
    <w:rPr>
      <w:rFonts w:ascii="Consolas" w:eastAsia="Calibri" w:hAnsi="Consolas" w:cs="Consolas"/>
      <w:sz w:val="21"/>
      <w:szCs w:val="21"/>
      <w:lang w:eastAsia="es-CR"/>
    </w:rPr>
  </w:style>
  <w:style w:type="character" w:styleId="Hipervnculovisitado">
    <w:name w:val="FollowedHyperlink"/>
    <w:uiPriority w:val="99"/>
    <w:semiHidden/>
    <w:unhideWhenUsed/>
    <w:rsid w:val="000A52D5"/>
    <w:rPr>
      <w:color w:val="800080"/>
      <w:u w:val="single"/>
    </w:rPr>
  </w:style>
  <w:style w:type="paragraph" w:customStyle="1" w:styleId="CM15">
    <w:name w:val="CM15"/>
    <w:basedOn w:val="Default"/>
    <w:next w:val="Default"/>
    <w:uiPriority w:val="99"/>
    <w:rsid w:val="000A52D5"/>
    <w:pPr>
      <w:spacing w:line="276" w:lineRule="atLeast"/>
    </w:pPr>
    <w:rPr>
      <w:rFonts w:ascii="Arial" w:hAnsi="Arial" w:cs="Arial"/>
      <w:color w:val="auto"/>
    </w:rPr>
  </w:style>
  <w:style w:type="character" w:customStyle="1" w:styleId="longtext1">
    <w:name w:val="long_text1"/>
    <w:rsid w:val="000A52D5"/>
    <w:rPr>
      <w:sz w:val="14"/>
      <w:szCs w:val="14"/>
    </w:rPr>
  </w:style>
  <w:style w:type="character" w:customStyle="1" w:styleId="ListParagraphChar1">
    <w:name w:val="List Paragraph Char1"/>
    <w:aliases w:val="Footnote Char2,Colorful List - Accent 11 Char1,Footnote Char1,Párrafo de lista1 Char1,List Paragraph1 Char1,List Paragraph2 Char1,Lista vistosa - Énfasis 11 Char1"/>
    <w:rsid w:val="000A52D5"/>
    <w:rPr>
      <w:rFonts w:ascii="Verdana" w:eastAsia="Times New Roman" w:hAnsi="Verdana"/>
      <w:lang w:val="es-ES_tradnl" w:eastAsia="en-US"/>
    </w:rPr>
  </w:style>
  <w:style w:type="character" w:customStyle="1" w:styleId="apple-style-span">
    <w:name w:val="apple-style-span"/>
    <w:basedOn w:val="Fuentedeprrafopredeter"/>
    <w:rsid w:val="000A52D5"/>
  </w:style>
  <w:style w:type="character" w:customStyle="1" w:styleId="Refdenotaalpie2">
    <w:name w:val="Ref. de nota al pie2"/>
    <w:rsid w:val="000A52D5"/>
    <w:rPr>
      <w:vertAlign w:val="superscript"/>
    </w:rPr>
  </w:style>
  <w:style w:type="paragraph" w:customStyle="1" w:styleId="xl66">
    <w:name w:val="xl66"/>
    <w:basedOn w:val="Normal"/>
    <w:rsid w:val="000A52D5"/>
    <w:pPr>
      <w:pBdr>
        <w:top w:val="single" w:sz="8" w:space="0" w:color="auto"/>
        <w:left w:val="single" w:sz="8" w:space="0" w:color="auto"/>
      </w:pBdr>
      <w:tabs>
        <w:tab w:val="clear" w:pos="4419"/>
        <w:tab w:val="clear" w:pos="8838"/>
      </w:tabs>
      <w:spacing w:before="100" w:beforeAutospacing="1" w:after="100" w:afterAutospacing="1"/>
      <w:jc w:val="center"/>
      <w:textAlignment w:val="center"/>
    </w:pPr>
    <w:rPr>
      <w:rFonts w:ascii="Book Antiqua" w:eastAsia="Times New Roman" w:hAnsi="Book Antiqua" w:cs="Times New Roman"/>
      <w:b/>
      <w:bCs/>
      <w:color w:val="000000"/>
      <w:szCs w:val="24"/>
      <w:lang w:eastAsia="es-CR"/>
    </w:rPr>
  </w:style>
  <w:style w:type="paragraph" w:customStyle="1" w:styleId="xl67">
    <w:name w:val="xl67"/>
    <w:basedOn w:val="Normal"/>
    <w:rsid w:val="000A52D5"/>
    <w:pPr>
      <w:pBdr>
        <w:top w:val="single" w:sz="8" w:space="0" w:color="auto"/>
        <w:left w:val="single" w:sz="8" w:space="0" w:color="auto"/>
        <w:right w:val="single" w:sz="8" w:space="0" w:color="auto"/>
      </w:pBdr>
      <w:tabs>
        <w:tab w:val="clear" w:pos="4419"/>
        <w:tab w:val="clear" w:pos="8838"/>
      </w:tabs>
      <w:spacing w:before="100" w:beforeAutospacing="1" w:after="100" w:afterAutospacing="1"/>
      <w:jc w:val="center"/>
      <w:textAlignment w:val="center"/>
    </w:pPr>
    <w:rPr>
      <w:rFonts w:ascii="Book Antiqua" w:eastAsia="Times New Roman" w:hAnsi="Book Antiqua" w:cs="Times New Roman"/>
      <w:b/>
      <w:bCs/>
      <w:color w:val="000000"/>
      <w:szCs w:val="24"/>
      <w:lang w:eastAsia="es-CR"/>
    </w:rPr>
  </w:style>
  <w:style w:type="paragraph" w:customStyle="1" w:styleId="xl68">
    <w:name w:val="xl68"/>
    <w:basedOn w:val="Normal"/>
    <w:rsid w:val="000A52D5"/>
    <w:pPr>
      <w:pBdr>
        <w:top w:val="single" w:sz="8" w:space="0" w:color="auto"/>
      </w:pBdr>
      <w:tabs>
        <w:tab w:val="clear" w:pos="4419"/>
        <w:tab w:val="clear" w:pos="8838"/>
      </w:tabs>
      <w:spacing w:before="100" w:beforeAutospacing="1" w:after="100" w:afterAutospacing="1"/>
      <w:jc w:val="center"/>
      <w:textAlignment w:val="center"/>
    </w:pPr>
    <w:rPr>
      <w:rFonts w:ascii="Book Antiqua" w:eastAsia="Times New Roman" w:hAnsi="Book Antiqua" w:cs="Times New Roman"/>
      <w:b/>
      <w:bCs/>
      <w:color w:val="000000"/>
      <w:szCs w:val="24"/>
      <w:lang w:eastAsia="es-CR"/>
    </w:rPr>
  </w:style>
  <w:style w:type="paragraph" w:customStyle="1" w:styleId="xl70">
    <w:name w:val="xl70"/>
    <w:basedOn w:val="Normal"/>
    <w:rsid w:val="000A52D5"/>
    <w:pPr>
      <w:pBdr>
        <w:top w:val="single" w:sz="4" w:space="0" w:color="auto"/>
        <w:left w:val="single" w:sz="8" w:space="0" w:color="auto"/>
        <w:bottom w:val="single" w:sz="4" w:space="0" w:color="auto"/>
      </w:pBdr>
      <w:tabs>
        <w:tab w:val="clear" w:pos="4419"/>
        <w:tab w:val="clear" w:pos="8838"/>
      </w:tabs>
      <w:spacing w:before="100" w:beforeAutospacing="1" w:after="100" w:afterAutospacing="1"/>
      <w:jc w:val="center"/>
      <w:textAlignment w:val="center"/>
    </w:pPr>
    <w:rPr>
      <w:rFonts w:ascii="Book Antiqua" w:eastAsia="Times New Roman" w:hAnsi="Book Antiqua" w:cs="Times New Roman"/>
      <w:b/>
      <w:bCs/>
      <w:color w:val="000000"/>
      <w:szCs w:val="24"/>
      <w:lang w:eastAsia="es-CR"/>
    </w:rPr>
  </w:style>
  <w:style w:type="paragraph" w:customStyle="1" w:styleId="xl71">
    <w:name w:val="xl71"/>
    <w:basedOn w:val="Normal"/>
    <w:rsid w:val="000A52D5"/>
    <w:pPr>
      <w:pBdr>
        <w:top w:val="single" w:sz="4" w:space="0" w:color="auto"/>
        <w:left w:val="single" w:sz="8" w:space="0" w:color="auto"/>
        <w:bottom w:val="single" w:sz="4" w:space="0" w:color="auto"/>
        <w:right w:val="single" w:sz="8" w:space="0" w:color="auto"/>
      </w:pBdr>
      <w:tabs>
        <w:tab w:val="clear" w:pos="4419"/>
        <w:tab w:val="clear" w:pos="8838"/>
      </w:tabs>
      <w:spacing w:before="100" w:beforeAutospacing="1" w:after="100" w:afterAutospacing="1"/>
      <w:textAlignment w:val="center"/>
    </w:pPr>
    <w:rPr>
      <w:rFonts w:ascii="Book Antiqua" w:eastAsia="Times New Roman" w:hAnsi="Book Antiqua" w:cs="Times New Roman"/>
      <w:color w:val="000000"/>
      <w:szCs w:val="24"/>
      <w:lang w:eastAsia="es-CR"/>
    </w:rPr>
  </w:style>
  <w:style w:type="paragraph" w:customStyle="1" w:styleId="xl72">
    <w:name w:val="xl72"/>
    <w:basedOn w:val="Normal"/>
    <w:rsid w:val="000A52D5"/>
    <w:pPr>
      <w:pBdr>
        <w:top w:val="single" w:sz="4" w:space="0" w:color="auto"/>
        <w:bottom w:val="single" w:sz="4" w:space="0" w:color="auto"/>
      </w:pBdr>
      <w:tabs>
        <w:tab w:val="clear" w:pos="4419"/>
        <w:tab w:val="clear" w:pos="8838"/>
      </w:tabs>
      <w:spacing w:before="100" w:beforeAutospacing="1" w:after="100" w:afterAutospacing="1"/>
      <w:textAlignment w:val="center"/>
    </w:pPr>
    <w:rPr>
      <w:rFonts w:ascii="Book Antiqua" w:eastAsia="Times New Roman" w:hAnsi="Book Antiqua" w:cs="Times New Roman"/>
      <w:color w:val="000000"/>
      <w:szCs w:val="24"/>
      <w:lang w:eastAsia="es-CR"/>
    </w:rPr>
  </w:style>
  <w:style w:type="paragraph" w:customStyle="1" w:styleId="xl73">
    <w:name w:val="xl73"/>
    <w:basedOn w:val="Normal"/>
    <w:rsid w:val="000A52D5"/>
    <w:pPr>
      <w:pBdr>
        <w:top w:val="single" w:sz="4" w:space="0" w:color="auto"/>
        <w:left w:val="single" w:sz="8" w:space="0" w:color="auto"/>
        <w:bottom w:val="single" w:sz="4" w:space="0" w:color="auto"/>
        <w:right w:val="single" w:sz="8" w:space="0" w:color="auto"/>
      </w:pBdr>
      <w:tabs>
        <w:tab w:val="clear" w:pos="4419"/>
        <w:tab w:val="clear" w:pos="8838"/>
      </w:tabs>
      <w:spacing w:before="100" w:beforeAutospacing="1" w:after="100" w:afterAutospacing="1"/>
      <w:textAlignment w:val="center"/>
    </w:pPr>
    <w:rPr>
      <w:rFonts w:ascii="Book Antiqua" w:eastAsia="Times New Roman" w:hAnsi="Book Antiqua" w:cs="Times New Roman"/>
      <w:color w:val="000000"/>
      <w:szCs w:val="24"/>
      <w:lang w:eastAsia="es-CR"/>
    </w:rPr>
  </w:style>
  <w:style w:type="paragraph" w:customStyle="1" w:styleId="xl74">
    <w:name w:val="xl74"/>
    <w:basedOn w:val="Normal"/>
    <w:rsid w:val="000A52D5"/>
    <w:pPr>
      <w:pBdr>
        <w:top w:val="single" w:sz="4" w:space="0" w:color="auto"/>
        <w:left w:val="single" w:sz="8" w:space="0" w:color="auto"/>
        <w:right w:val="single" w:sz="8" w:space="0" w:color="auto"/>
      </w:pBdr>
      <w:tabs>
        <w:tab w:val="clear" w:pos="4419"/>
        <w:tab w:val="clear" w:pos="8838"/>
      </w:tabs>
      <w:spacing w:before="100" w:beforeAutospacing="1" w:after="100" w:afterAutospacing="1"/>
      <w:textAlignment w:val="center"/>
    </w:pPr>
    <w:rPr>
      <w:rFonts w:ascii="Book Antiqua" w:eastAsia="Times New Roman" w:hAnsi="Book Antiqua" w:cs="Times New Roman"/>
      <w:color w:val="000000"/>
      <w:szCs w:val="24"/>
      <w:lang w:eastAsia="es-CR"/>
    </w:rPr>
  </w:style>
  <w:style w:type="paragraph" w:customStyle="1" w:styleId="xl75">
    <w:name w:val="xl75"/>
    <w:basedOn w:val="Normal"/>
    <w:rsid w:val="000A52D5"/>
    <w:pPr>
      <w:pBdr>
        <w:top w:val="single" w:sz="4" w:space="0" w:color="auto"/>
        <w:left w:val="single" w:sz="8" w:space="0" w:color="auto"/>
        <w:bottom w:val="single" w:sz="4" w:space="0" w:color="auto"/>
        <w:right w:val="single" w:sz="8" w:space="0" w:color="auto"/>
      </w:pBdr>
      <w:shd w:val="clear" w:color="000000" w:fill="E6B9B8"/>
      <w:tabs>
        <w:tab w:val="clear" w:pos="4419"/>
        <w:tab w:val="clear" w:pos="8838"/>
      </w:tabs>
      <w:spacing w:before="100" w:beforeAutospacing="1" w:after="100" w:afterAutospacing="1"/>
      <w:textAlignment w:val="center"/>
    </w:pPr>
    <w:rPr>
      <w:rFonts w:ascii="Book Antiqua" w:eastAsia="Times New Roman" w:hAnsi="Book Antiqua" w:cs="Times New Roman"/>
      <w:color w:val="000000"/>
      <w:szCs w:val="24"/>
      <w:lang w:eastAsia="es-CR"/>
    </w:rPr>
  </w:style>
  <w:style w:type="paragraph" w:customStyle="1" w:styleId="xl76">
    <w:name w:val="xl76"/>
    <w:basedOn w:val="Normal"/>
    <w:rsid w:val="000A52D5"/>
    <w:pPr>
      <w:pBdr>
        <w:top w:val="single" w:sz="4" w:space="0" w:color="auto"/>
        <w:bottom w:val="single" w:sz="4" w:space="0" w:color="auto"/>
      </w:pBdr>
      <w:shd w:val="clear" w:color="000000" w:fill="E6B9B8"/>
      <w:tabs>
        <w:tab w:val="clear" w:pos="4419"/>
        <w:tab w:val="clear" w:pos="8838"/>
      </w:tabs>
      <w:spacing w:before="100" w:beforeAutospacing="1" w:after="100" w:afterAutospacing="1"/>
      <w:textAlignment w:val="center"/>
    </w:pPr>
    <w:rPr>
      <w:rFonts w:ascii="Book Antiqua" w:eastAsia="Times New Roman" w:hAnsi="Book Antiqua" w:cs="Times New Roman"/>
      <w:color w:val="000000"/>
      <w:szCs w:val="24"/>
      <w:lang w:eastAsia="es-CR"/>
    </w:rPr>
  </w:style>
  <w:style w:type="paragraph" w:customStyle="1" w:styleId="xl77">
    <w:name w:val="xl77"/>
    <w:basedOn w:val="Normal"/>
    <w:rsid w:val="000A52D5"/>
    <w:pPr>
      <w:pBdr>
        <w:top w:val="single" w:sz="4" w:space="0" w:color="auto"/>
        <w:left w:val="single" w:sz="8" w:space="0" w:color="auto"/>
        <w:bottom w:val="single" w:sz="4" w:space="0" w:color="auto"/>
        <w:right w:val="single" w:sz="8" w:space="0" w:color="auto"/>
      </w:pBdr>
      <w:shd w:val="clear" w:color="000000" w:fill="E6B9B8"/>
      <w:tabs>
        <w:tab w:val="clear" w:pos="4419"/>
        <w:tab w:val="clear" w:pos="8838"/>
      </w:tabs>
      <w:spacing w:before="100" w:beforeAutospacing="1" w:after="100" w:afterAutospacing="1"/>
      <w:textAlignment w:val="center"/>
    </w:pPr>
    <w:rPr>
      <w:rFonts w:ascii="Book Antiqua" w:eastAsia="Times New Roman" w:hAnsi="Book Antiqua" w:cs="Times New Roman"/>
      <w:color w:val="000000"/>
      <w:szCs w:val="24"/>
      <w:lang w:eastAsia="es-CR"/>
    </w:rPr>
  </w:style>
  <w:style w:type="paragraph" w:customStyle="1" w:styleId="xl69">
    <w:name w:val="xl69"/>
    <w:basedOn w:val="Normal"/>
    <w:rsid w:val="000A52D5"/>
    <w:pPr>
      <w:pBdr>
        <w:top w:val="single" w:sz="4" w:space="0" w:color="auto"/>
        <w:left w:val="single" w:sz="4" w:space="0" w:color="auto"/>
        <w:bottom w:val="single" w:sz="4" w:space="0" w:color="auto"/>
        <w:right w:val="single" w:sz="4" w:space="0" w:color="auto"/>
      </w:pBdr>
      <w:tabs>
        <w:tab w:val="clear" w:pos="4419"/>
        <w:tab w:val="clear" w:pos="8838"/>
      </w:tabs>
      <w:spacing w:before="100" w:beforeAutospacing="1" w:after="100" w:afterAutospacing="1"/>
      <w:jc w:val="center"/>
      <w:textAlignment w:val="center"/>
    </w:pPr>
    <w:rPr>
      <w:rFonts w:eastAsia="Times New Roman" w:cs="Times New Roman"/>
      <w:szCs w:val="24"/>
      <w:lang w:eastAsia="es-CR"/>
    </w:rPr>
  </w:style>
  <w:style w:type="paragraph" w:styleId="Sangra2detindependiente">
    <w:name w:val="Body Text Indent 2"/>
    <w:basedOn w:val="Normal"/>
    <w:link w:val="Sangra2detindependienteCar"/>
    <w:uiPriority w:val="99"/>
    <w:semiHidden/>
    <w:unhideWhenUsed/>
    <w:rsid w:val="000A52D5"/>
    <w:pPr>
      <w:tabs>
        <w:tab w:val="clear" w:pos="4419"/>
        <w:tab w:val="clear" w:pos="8838"/>
      </w:tabs>
      <w:spacing w:after="120" w:line="480" w:lineRule="auto"/>
      <w:ind w:left="283"/>
    </w:pPr>
    <w:rPr>
      <w:rFonts w:eastAsia="Batang" w:cs="Times"/>
      <w:szCs w:val="24"/>
      <w:lang w:val="es-MX"/>
    </w:rPr>
  </w:style>
  <w:style w:type="character" w:customStyle="1" w:styleId="Sangra2detindependienteCar">
    <w:name w:val="Sangría 2 de t. independiente Car"/>
    <w:basedOn w:val="Fuentedeprrafopredeter"/>
    <w:link w:val="Sangra2detindependiente"/>
    <w:uiPriority w:val="99"/>
    <w:semiHidden/>
    <w:rsid w:val="000A52D5"/>
    <w:rPr>
      <w:rFonts w:ascii="Verdana" w:eastAsia="Batang" w:hAnsi="Verdana" w:cs="Times"/>
      <w:sz w:val="20"/>
      <w:szCs w:val="24"/>
      <w:lang w:val="es-MX"/>
    </w:rPr>
  </w:style>
  <w:style w:type="paragraph" w:customStyle="1" w:styleId="NotasProyectos0">
    <w:name w:val="***. Notas Proyectos"/>
    <w:basedOn w:val="Normal"/>
    <w:link w:val="NotasProyectosChar0"/>
    <w:autoRedefine/>
    <w:qFormat/>
    <w:rsid w:val="000A52D5"/>
    <w:pPr>
      <w:tabs>
        <w:tab w:val="clear" w:pos="4419"/>
        <w:tab w:val="clear" w:pos="8838"/>
      </w:tabs>
      <w:spacing w:before="120"/>
      <w:ind w:left="720"/>
    </w:pPr>
    <w:rPr>
      <w:rFonts w:eastAsia="Times New Roman" w:cs="Times New Roman"/>
      <w:szCs w:val="20"/>
      <w:lang w:val="es-MX" w:eastAsia="es-ES"/>
    </w:rPr>
  </w:style>
  <w:style w:type="character" w:customStyle="1" w:styleId="NotasProyectosChar0">
    <w:name w:val="***. Notas Proyectos Char"/>
    <w:link w:val="NotasProyectos0"/>
    <w:rsid w:val="000A52D5"/>
    <w:rPr>
      <w:rFonts w:ascii="Verdana" w:eastAsia="Times New Roman" w:hAnsi="Verdana" w:cs="Times New Roman"/>
      <w:sz w:val="20"/>
      <w:szCs w:val="20"/>
      <w:lang w:val="es-MX" w:eastAsia="es-ES"/>
    </w:rPr>
  </w:style>
  <w:style w:type="character" w:customStyle="1" w:styleId="Smbolodenotaalpie">
    <w:name w:val="Símbolo de nota al pie"/>
    <w:rsid w:val="000A52D5"/>
    <w:rPr>
      <w:vertAlign w:val="superscript"/>
    </w:rPr>
  </w:style>
  <w:style w:type="table" w:styleId="Tablaconcuadrcula">
    <w:name w:val="Table Grid"/>
    <w:basedOn w:val="Tablanormal"/>
    <w:uiPriority w:val="59"/>
    <w:rsid w:val="000A52D5"/>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31">
    <w:name w:val="Body Text 31"/>
    <w:basedOn w:val="Normal"/>
    <w:rsid w:val="000A52D5"/>
    <w:pPr>
      <w:tabs>
        <w:tab w:val="clear" w:pos="4419"/>
        <w:tab w:val="clear" w:pos="8838"/>
      </w:tabs>
      <w:overflowPunct w:val="0"/>
      <w:autoSpaceDE w:val="0"/>
      <w:autoSpaceDN w:val="0"/>
      <w:adjustRightInd w:val="0"/>
      <w:textAlignment w:val="baseline"/>
    </w:pPr>
    <w:rPr>
      <w:rFonts w:ascii="Times" w:eastAsia="Times New Roman" w:hAnsi="Times" w:cs="Times New Roman"/>
      <w:b/>
      <w:caps/>
      <w:szCs w:val="20"/>
      <w:lang w:val="en-US" w:eastAsia="es-ES"/>
    </w:rPr>
  </w:style>
  <w:style w:type="character" w:customStyle="1" w:styleId="Estilo2Car">
    <w:name w:val="Estilo2 Car"/>
    <w:link w:val="Estilo2"/>
    <w:rsid w:val="000A52D5"/>
    <w:rPr>
      <w:rFonts w:ascii="Verdana" w:eastAsia="Calibri" w:hAnsi="Verdana" w:cs="Times New Roman"/>
      <w:sz w:val="20"/>
      <w:szCs w:val="20"/>
      <w:lang w:val="es-MX" w:eastAsia="x-none"/>
    </w:rPr>
  </w:style>
  <w:style w:type="paragraph" w:customStyle="1" w:styleId="Textoindependiente1">
    <w:name w:val="Texto independiente1"/>
    <w:basedOn w:val="Normal"/>
    <w:rsid w:val="000A52D5"/>
    <w:pPr>
      <w:widowControl w:val="0"/>
      <w:tabs>
        <w:tab w:val="clear" w:pos="4419"/>
        <w:tab w:val="clear" w:pos="8838"/>
      </w:tabs>
    </w:pPr>
    <w:rPr>
      <w:rFonts w:eastAsia="MS Mincho" w:cs="Times New Roman"/>
      <w:szCs w:val="20"/>
      <w:lang w:val="es-ES"/>
    </w:rPr>
  </w:style>
  <w:style w:type="paragraph" w:customStyle="1" w:styleId="xmsonormal">
    <w:name w:val="x_msonormal"/>
    <w:basedOn w:val="Normal"/>
    <w:rsid w:val="000A52D5"/>
    <w:pPr>
      <w:tabs>
        <w:tab w:val="clear" w:pos="4419"/>
        <w:tab w:val="clear" w:pos="8838"/>
      </w:tabs>
      <w:spacing w:before="100" w:beforeAutospacing="1" w:after="100" w:afterAutospacing="1"/>
    </w:pPr>
    <w:rPr>
      <w:rFonts w:eastAsia="Times New Roman" w:cs="Times New Roman"/>
      <w:szCs w:val="24"/>
      <w:lang w:eastAsia="es-CR"/>
    </w:rPr>
  </w:style>
  <w:style w:type="character" w:customStyle="1" w:styleId="normal--char">
    <w:name w:val="normal--char"/>
    <w:basedOn w:val="Fuentedeprrafopredeter"/>
    <w:rsid w:val="000A52D5"/>
  </w:style>
  <w:style w:type="character" w:customStyle="1" w:styleId="ju-005fpara-002cleft-002cfirst-0020line-003a-0020-00200-0020cm--char">
    <w:name w:val="ju-005fpara-002cleft-002cfirst-0020line-003a-0020-00200-0020cm--char"/>
    <w:basedOn w:val="Fuentedeprrafopredeter"/>
    <w:rsid w:val="000A52D5"/>
  </w:style>
  <w:style w:type="character" w:customStyle="1" w:styleId="skypepnhprintcontainer">
    <w:name w:val="skype_pnh_print_container"/>
    <w:basedOn w:val="Fuentedeprrafopredeter"/>
    <w:rsid w:val="000A52D5"/>
  </w:style>
  <w:style w:type="character" w:customStyle="1" w:styleId="s6b621b36">
    <w:name w:val="s6b621b36"/>
    <w:basedOn w:val="Fuentedeprrafopredeter"/>
    <w:rsid w:val="000A52D5"/>
  </w:style>
  <w:style w:type="paragraph" w:customStyle="1" w:styleId="ng-scope1">
    <w:name w:val="ng-scope1"/>
    <w:basedOn w:val="Normal"/>
    <w:rsid w:val="000A52D5"/>
    <w:pPr>
      <w:tabs>
        <w:tab w:val="clear" w:pos="4419"/>
        <w:tab w:val="clear" w:pos="8838"/>
      </w:tabs>
      <w:spacing w:before="100" w:beforeAutospacing="1" w:after="100" w:afterAutospacing="1"/>
    </w:pPr>
    <w:rPr>
      <w:rFonts w:eastAsia="Times New Roman" w:cs="Times New Roman"/>
      <w:szCs w:val="24"/>
      <w:lang w:val="en-US"/>
    </w:rPr>
  </w:style>
  <w:style w:type="character" w:customStyle="1" w:styleId="nfasissutil1">
    <w:name w:val="Énfasis sutil1"/>
    <w:uiPriority w:val="19"/>
    <w:qFormat/>
    <w:rsid w:val="000A52D5"/>
    <w:rPr>
      <w:rFonts w:ascii="Verdana" w:hAnsi="Verdana"/>
      <w:i/>
      <w:iCs/>
      <w:color w:val="auto"/>
      <w:sz w:val="20"/>
    </w:rPr>
  </w:style>
  <w:style w:type="character" w:customStyle="1" w:styleId="CarCar">
    <w:name w:val="Car Car"/>
    <w:rsid w:val="000A52D5"/>
    <w:rPr>
      <w:rFonts w:ascii="Times New Roman" w:eastAsia="Times New Roman" w:hAnsi="Times New Roman" w:cs="Times New Roman"/>
      <w:sz w:val="20"/>
      <w:szCs w:val="20"/>
      <w:lang w:val="es-ES_tradnl"/>
    </w:rPr>
  </w:style>
  <w:style w:type="character" w:customStyle="1" w:styleId="skypepnhcontainer">
    <w:name w:val="skype_pnh_container"/>
    <w:rsid w:val="000A52D5"/>
    <w:rPr>
      <w:rFonts w:cs="Times New Roman"/>
    </w:rPr>
  </w:style>
  <w:style w:type="paragraph" w:customStyle="1" w:styleId="TextoArtculo">
    <w:name w:val="Texto Artículo"/>
    <w:next w:val="Normal"/>
    <w:rsid w:val="000A52D5"/>
    <w:pPr>
      <w:autoSpaceDE w:val="0"/>
      <w:autoSpaceDN w:val="0"/>
      <w:adjustRightInd w:val="0"/>
      <w:spacing w:after="0" w:line="240" w:lineRule="auto"/>
      <w:ind w:left="90" w:right="1"/>
      <w:jc w:val="both"/>
    </w:pPr>
    <w:rPr>
      <w:rFonts w:ascii="Verdana" w:eastAsia="Times New Roman" w:hAnsi="Verdana" w:cs="Verdana"/>
      <w:color w:val="000000"/>
      <w:sz w:val="20"/>
      <w:szCs w:val="20"/>
      <w:u w:color="000000"/>
      <w:shd w:val="clear" w:color="auto" w:fill="FFFFFF"/>
      <w:lang w:val="es-EC" w:eastAsia="es-ES"/>
    </w:rPr>
  </w:style>
  <w:style w:type="character" w:customStyle="1" w:styleId="nrmar">
    <w:name w:val="nrmar"/>
    <w:rsid w:val="000A52D5"/>
  </w:style>
  <w:style w:type="paragraph" w:customStyle="1" w:styleId="s32b251d">
    <w:name w:val="s32b251d"/>
    <w:basedOn w:val="Normal"/>
    <w:rsid w:val="000A52D5"/>
    <w:pPr>
      <w:tabs>
        <w:tab w:val="clear" w:pos="4419"/>
        <w:tab w:val="clear" w:pos="8838"/>
      </w:tabs>
      <w:spacing w:before="100" w:beforeAutospacing="1" w:after="100" w:afterAutospacing="1"/>
    </w:pPr>
    <w:rPr>
      <w:rFonts w:eastAsia="Times New Roman" w:cs="Times New Roman"/>
      <w:szCs w:val="24"/>
      <w:lang w:val="es-EC" w:eastAsia="es-EC"/>
    </w:rPr>
  </w:style>
  <w:style w:type="paragraph" w:customStyle="1" w:styleId="Prrafodelista4">
    <w:name w:val="Párrafo de lista4"/>
    <w:basedOn w:val="Normal"/>
    <w:uiPriority w:val="99"/>
    <w:qFormat/>
    <w:rsid w:val="000A52D5"/>
    <w:pPr>
      <w:tabs>
        <w:tab w:val="clear" w:pos="4419"/>
        <w:tab w:val="clear" w:pos="8838"/>
      </w:tabs>
      <w:ind w:left="720"/>
    </w:pPr>
    <w:rPr>
      <w:rFonts w:eastAsia="Times New Roman" w:cs="Times New Roman"/>
      <w:szCs w:val="20"/>
      <w:lang w:val="es-MX"/>
    </w:rPr>
  </w:style>
  <w:style w:type="character" w:customStyle="1" w:styleId="MediumGrid2-Accent2Char">
    <w:name w:val="Medium Grid 2 - Accent 2 Char"/>
    <w:link w:val="Cuadrculamedia2-nfasis2"/>
    <w:uiPriority w:val="29"/>
    <w:rsid w:val="000A52D5"/>
    <w:rPr>
      <w:rFonts w:ascii="Calibri" w:hAnsi="Calibri" w:cs="Times New Roman"/>
      <w:i/>
      <w:iCs/>
      <w:color w:val="000000"/>
      <w:sz w:val="20"/>
    </w:rPr>
  </w:style>
  <w:style w:type="paragraph" w:customStyle="1" w:styleId="Style8">
    <w:name w:val="Style 8"/>
    <w:basedOn w:val="Normal"/>
    <w:rsid w:val="000A52D5"/>
    <w:pPr>
      <w:widowControl w:val="0"/>
      <w:tabs>
        <w:tab w:val="clear" w:pos="4419"/>
        <w:tab w:val="clear" w:pos="8838"/>
      </w:tabs>
      <w:autoSpaceDE w:val="0"/>
      <w:autoSpaceDN w:val="0"/>
      <w:ind w:left="1440"/>
    </w:pPr>
    <w:rPr>
      <w:rFonts w:eastAsia="Times New Roman" w:cs="Times New Roman"/>
      <w:szCs w:val="24"/>
      <w:lang w:val="es-MX" w:eastAsia="es-ES_tradnl"/>
    </w:rPr>
  </w:style>
  <w:style w:type="paragraph" w:customStyle="1" w:styleId="Style16">
    <w:name w:val="Style 16"/>
    <w:basedOn w:val="Normal"/>
    <w:rsid w:val="000A52D5"/>
    <w:pPr>
      <w:widowControl w:val="0"/>
      <w:tabs>
        <w:tab w:val="clear" w:pos="4419"/>
        <w:tab w:val="clear" w:pos="8838"/>
      </w:tabs>
      <w:autoSpaceDE w:val="0"/>
      <w:autoSpaceDN w:val="0"/>
      <w:spacing w:before="108" w:line="288" w:lineRule="atLeast"/>
      <w:ind w:left="1080"/>
    </w:pPr>
    <w:rPr>
      <w:rFonts w:eastAsia="Times New Roman" w:cs="Times New Roman"/>
      <w:szCs w:val="24"/>
      <w:lang w:val="es-MX" w:eastAsia="es-ES_tradnl"/>
    </w:rPr>
  </w:style>
  <w:style w:type="character" w:customStyle="1" w:styleId="Listavistosa-nfasis1Car">
    <w:name w:val="Lista vistosa - Énfasis 1 Car"/>
    <w:uiPriority w:val="99"/>
    <w:locked/>
    <w:rsid w:val="000A52D5"/>
    <w:rPr>
      <w:rFonts w:ascii="Verdana" w:eastAsia="Calibri" w:hAnsi="Verdana" w:cs="Times"/>
      <w:sz w:val="20"/>
      <w:szCs w:val="24"/>
      <w:lang w:val="es-ES_tradnl" w:eastAsia="es-ES"/>
    </w:rPr>
  </w:style>
  <w:style w:type="paragraph" w:customStyle="1" w:styleId="Encabezadodetabladecontenido1">
    <w:name w:val="Encabezado de tabla de contenido1"/>
    <w:basedOn w:val="Ttulo1"/>
    <w:next w:val="Normal"/>
    <w:uiPriority w:val="39"/>
    <w:semiHidden/>
    <w:unhideWhenUsed/>
    <w:qFormat/>
    <w:rsid w:val="000A52D5"/>
    <w:pPr>
      <w:spacing w:before="120" w:after="0" w:line="276" w:lineRule="auto"/>
      <w:jc w:val="left"/>
      <w:outlineLvl w:val="9"/>
    </w:pPr>
    <w:rPr>
      <w:rFonts w:ascii="Cambria" w:hAnsi="Cambria" w:cs="Times New Roman"/>
      <w:caps w:val="0"/>
      <w:snapToGrid/>
      <w:color w:val="365F91"/>
      <w:szCs w:val="28"/>
      <w:lang w:val="en-US" w:eastAsia="en-US"/>
    </w:rPr>
  </w:style>
  <w:style w:type="paragraph" w:customStyle="1" w:styleId="Style10">
    <w:name w:val="Style 1"/>
    <w:basedOn w:val="Normal"/>
    <w:rsid w:val="000A52D5"/>
    <w:pPr>
      <w:widowControl w:val="0"/>
      <w:tabs>
        <w:tab w:val="clear" w:pos="4419"/>
        <w:tab w:val="clear" w:pos="8838"/>
      </w:tabs>
      <w:autoSpaceDE w:val="0"/>
      <w:autoSpaceDN w:val="0"/>
      <w:spacing w:line="288" w:lineRule="atLeast"/>
      <w:ind w:left="720" w:hanging="360"/>
    </w:pPr>
    <w:rPr>
      <w:rFonts w:eastAsia="Times New Roman" w:cs="Times New Roman"/>
      <w:szCs w:val="24"/>
      <w:lang w:val="es-MX" w:eastAsia="es-ES_tradnl"/>
    </w:rPr>
  </w:style>
  <w:style w:type="paragraph" w:customStyle="1" w:styleId="Style22">
    <w:name w:val="Style 22"/>
    <w:basedOn w:val="Normal"/>
    <w:rsid w:val="000A52D5"/>
    <w:pPr>
      <w:widowControl w:val="0"/>
      <w:tabs>
        <w:tab w:val="clear" w:pos="4419"/>
        <w:tab w:val="clear" w:pos="8838"/>
      </w:tabs>
      <w:autoSpaceDE w:val="0"/>
      <w:autoSpaceDN w:val="0"/>
      <w:spacing w:before="180" w:line="288" w:lineRule="atLeast"/>
      <w:ind w:left="360" w:right="72" w:hanging="360"/>
    </w:pPr>
    <w:rPr>
      <w:rFonts w:eastAsia="Times New Roman" w:cs="Times New Roman"/>
      <w:szCs w:val="24"/>
      <w:lang w:val="es-MX" w:eastAsia="es-ES_tradnl"/>
    </w:rPr>
  </w:style>
  <w:style w:type="paragraph" w:customStyle="1" w:styleId="Style20">
    <w:name w:val="Style 20"/>
    <w:basedOn w:val="Normal"/>
    <w:rsid w:val="000A52D5"/>
    <w:pPr>
      <w:widowControl w:val="0"/>
      <w:tabs>
        <w:tab w:val="clear" w:pos="4419"/>
        <w:tab w:val="clear" w:pos="8838"/>
      </w:tabs>
      <w:autoSpaceDE w:val="0"/>
      <w:autoSpaceDN w:val="0"/>
      <w:ind w:left="360" w:hanging="360"/>
    </w:pPr>
    <w:rPr>
      <w:rFonts w:eastAsia="Times New Roman" w:cs="Times New Roman"/>
      <w:szCs w:val="24"/>
      <w:lang w:val="es-MX" w:eastAsia="es-ES_tradnl"/>
    </w:rPr>
  </w:style>
  <w:style w:type="paragraph" w:customStyle="1" w:styleId="Style17">
    <w:name w:val="Style 17"/>
    <w:basedOn w:val="Normal"/>
    <w:rsid w:val="000A52D5"/>
    <w:pPr>
      <w:widowControl w:val="0"/>
      <w:tabs>
        <w:tab w:val="clear" w:pos="4419"/>
        <w:tab w:val="clear" w:pos="8838"/>
      </w:tabs>
      <w:autoSpaceDE w:val="0"/>
      <w:autoSpaceDN w:val="0"/>
      <w:spacing w:line="288" w:lineRule="atLeast"/>
      <w:ind w:left="1080"/>
    </w:pPr>
    <w:rPr>
      <w:rFonts w:eastAsia="Times New Roman" w:cs="Times New Roman"/>
      <w:szCs w:val="24"/>
      <w:lang w:val="es-MX" w:eastAsia="es-ES_tradnl"/>
    </w:rPr>
  </w:style>
  <w:style w:type="paragraph" w:customStyle="1" w:styleId="Style13">
    <w:name w:val="Style 13"/>
    <w:basedOn w:val="Normal"/>
    <w:rsid w:val="000A52D5"/>
    <w:pPr>
      <w:widowControl w:val="0"/>
      <w:tabs>
        <w:tab w:val="clear" w:pos="4419"/>
        <w:tab w:val="clear" w:pos="8838"/>
      </w:tabs>
      <w:autoSpaceDE w:val="0"/>
      <w:autoSpaceDN w:val="0"/>
      <w:spacing w:before="288" w:line="288" w:lineRule="atLeast"/>
      <w:ind w:left="720" w:hanging="360"/>
    </w:pPr>
    <w:rPr>
      <w:rFonts w:eastAsia="Times New Roman" w:cs="Times New Roman"/>
      <w:szCs w:val="24"/>
      <w:lang w:val="es-MX" w:eastAsia="es-ES_tradnl"/>
    </w:rPr>
  </w:style>
  <w:style w:type="paragraph" w:customStyle="1" w:styleId="Style11">
    <w:name w:val="Style 11"/>
    <w:basedOn w:val="Normal"/>
    <w:rsid w:val="000A52D5"/>
    <w:pPr>
      <w:widowControl w:val="0"/>
      <w:tabs>
        <w:tab w:val="clear" w:pos="4419"/>
        <w:tab w:val="clear" w:pos="8838"/>
      </w:tabs>
      <w:autoSpaceDE w:val="0"/>
      <w:autoSpaceDN w:val="0"/>
      <w:ind w:left="720" w:right="72" w:hanging="432"/>
    </w:pPr>
    <w:rPr>
      <w:rFonts w:eastAsia="Times New Roman" w:cs="Times New Roman"/>
      <w:szCs w:val="24"/>
      <w:lang w:val="es-MX" w:eastAsia="es-ES_tradnl"/>
    </w:rPr>
  </w:style>
  <w:style w:type="paragraph" w:customStyle="1" w:styleId="Style15">
    <w:name w:val="Style 15"/>
    <w:basedOn w:val="Normal"/>
    <w:rsid w:val="000A52D5"/>
    <w:pPr>
      <w:widowControl w:val="0"/>
      <w:tabs>
        <w:tab w:val="clear" w:pos="4419"/>
        <w:tab w:val="clear" w:pos="8838"/>
      </w:tabs>
      <w:autoSpaceDE w:val="0"/>
      <w:autoSpaceDN w:val="0"/>
      <w:spacing w:before="108" w:line="288" w:lineRule="atLeast"/>
      <w:ind w:left="1440"/>
    </w:pPr>
    <w:rPr>
      <w:rFonts w:eastAsia="Times New Roman" w:cs="Times New Roman"/>
      <w:szCs w:val="24"/>
      <w:lang w:val="es-MX" w:eastAsia="es-ES_tradnl"/>
    </w:rPr>
  </w:style>
  <w:style w:type="paragraph" w:customStyle="1" w:styleId="Style26">
    <w:name w:val="Style 26"/>
    <w:basedOn w:val="Normal"/>
    <w:rsid w:val="000A52D5"/>
    <w:pPr>
      <w:widowControl w:val="0"/>
      <w:tabs>
        <w:tab w:val="clear" w:pos="4419"/>
        <w:tab w:val="clear" w:pos="8838"/>
      </w:tabs>
      <w:autoSpaceDE w:val="0"/>
      <w:autoSpaceDN w:val="0"/>
      <w:spacing w:line="288" w:lineRule="atLeast"/>
      <w:ind w:left="1872" w:hanging="432"/>
    </w:pPr>
    <w:rPr>
      <w:rFonts w:eastAsia="Times New Roman" w:cs="Times New Roman"/>
      <w:szCs w:val="24"/>
      <w:lang w:val="es-MX" w:eastAsia="es-ES_tradnl"/>
    </w:rPr>
  </w:style>
  <w:style w:type="paragraph" w:customStyle="1" w:styleId="Style27">
    <w:name w:val="Style 27"/>
    <w:basedOn w:val="Normal"/>
    <w:rsid w:val="000A52D5"/>
    <w:pPr>
      <w:widowControl w:val="0"/>
      <w:tabs>
        <w:tab w:val="clear" w:pos="4419"/>
        <w:tab w:val="clear" w:pos="8838"/>
      </w:tabs>
      <w:autoSpaceDE w:val="0"/>
      <w:autoSpaceDN w:val="0"/>
      <w:spacing w:line="288" w:lineRule="atLeast"/>
      <w:ind w:left="1440"/>
    </w:pPr>
    <w:rPr>
      <w:rFonts w:eastAsia="Times New Roman" w:cs="Times New Roman"/>
      <w:szCs w:val="24"/>
      <w:lang w:val="es-MX" w:eastAsia="es-ES_tradnl"/>
    </w:rPr>
  </w:style>
  <w:style w:type="paragraph" w:customStyle="1" w:styleId="Style14">
    <w:name w:val="Style 14"/>
    <w:basedOn w:val="Normal"/>
    <w:rsid w:val="000A52D5"/>
    <w:pPr>
      <w:widowControl w:val="0"/>
      <w:tabs>
        <w:tab w:val="clear" w:pos="4419"/>
        <w:tab w:val="clear" w:pos="8838"/>
      </w:tabs>
      <w:autoSpaceDE w:val="0"/>
      <w:autoSpaceDN w:val="0"/>
      <w:spacing w:before="180" w:line="288" w:lineRule="atLeast"/>
      <w:ind w:left="720" w:hanging="360"/>
    </w:pPr>
    <w:rPr>
      <w:rFonts w:eastAsia="Times New Roman" w:cs="Times New Roman"/>
      <w:szCs w:val="24"/>
      <w:lang w:val="es-MX" w:eastAsia="es-ES_tradnl"/>
    </w:rPr>
  </w:style>
  <w:style w:type="paragraph" w:customStyle="1" w:styleId="Style19">
    <w:name w:val="Style 19"/>
    <w:basedOn w:val="Normal"/>
    <w:rsid w:val="000A52D5"/>
    <w:pPr>
      <w:widowControl w:val="0"/>
      <w:tabs>
        <w:tab w:val="clear" w:pos="4419"/>
        <w:tab w:val="clear" w:pos="8838"/>
      </w:tabs>
      <w:autoSpaceDE w:val="0"/>
      <w:autoSpaceDN w:val="0"/>
      <w:jc w:val="center"/>
    </w:pPr>
    <w:rPr>
      <w:rFonts w:eastAsia="Times New Roman" w:cs="Times New Roman"/>
      <w:szCs w:val="24"/>
      <w:lang w:val="es-MX" w:eastAsia="es-ES_tradnl"/>
    </w:rPr>
  </w:style>
  <w:style w:type="paragraph" w:customStyle="1" w:styleId="Univers">
    <w:name w:val="Univers"/>
    <w:basedOn w:val="Normal"/>
    <w:rsid w:val="000A52D5"/>
    <w:pPr>
      <w:tabs>
        <w:tab w:val="clear" w:pos="4419"/>
        <w:tab w:val="clear" w:pos="8838"/>
      </w:tabs>
      <w:spacing w:line="480" w:lineRule="auto"/>
    </w:pPr>
    <w:rPr>
      <w:rFonts w:ascii="Univers" w:eastAsia="Times New Roman" w:hAnsi="Univers" w:cs="Times New Roman"/>
      <w:szCs w:val="32"/>
      <w:lang w:val="es-AR"/>
    </w:rPr>
  </w:style>
  <w:style w:type="paragraph" w:customStyle="1" w:styleId="Estilo4">
    <w:name w:val="Estilo4"/>
    <w:link w:val="Estilo4Car"/>
    <w:qFormat/>
    <w:rsid w:val="000A52D5"/>
    <w:pPr>
      <w:numPr>
        <w:ilvl w:val="1"/>
        <w:numId w:val="8"/>
      </w:numPr>
      <w:spacing w:after="120"/>
      <w:ind w:left="0" w:firstLine="357"/>
      <w:jc w:val="both"/>
    </w:pPr>
    <w:rPr>
      <w:rFonts w:eastAsia="Times New Roman" w:cs="Times New Roman"/>
      <w:spacing w:val="-2"/>
      <w:szCs w:val="20"/>
    </w:rPr>
  </w:style>
  <w:style w:type="paragraph" w:customStyle="1" w:styleId="Footnotes0">
    <w:name w:val="Footnotes"/>
    <w:basedOn w:val="Textonotapie"/>
    <w:autoRedefine/>
    <w:qFormat/>
    <w:rsid w:val="000A52D5"/>
    <w:pPr>
      <w:tabs>
        <w:tab w:val="clear" w:pos="4419"/>
        <w:tab w:val="clear" w:pos="8838"/>
      </w:tabs>
      <w:spacing w:after="120"/>
      <w:ind w:firstLine="709"/>
    </w:pPr>
    <w:rPr>
      <w:rFonts w:ascii="Cambria" w:eastAsia="Times New Roman" w:hAnsi="Cambria" w:cs="Times New Roman"/>
      <w:szCs w:val="18"/>
      <w:lang w:val="es-MX"/>
    </w:rPr>
  </w:style>
  <w:style w:type="character" w:customStyle="1" w:styleId="user-highlighted-active">
    <w:name w:val="user-highlighted-active"/>
    <w:basedOn w:val="Fuentedeprrafopredeter"/>
    <w:rsid w:val="000A52D5"/>
  </w:style>
  <w:style w:type="character" w:customStyle="1" w:styleId="highlighted">
    <w:name w:val="highlighted"/>
    <w:basedOn w:val="Fuentedeprrafopredeter"/>
    <w:rsid w:val="000A52D5"/>
  </w:style>
  <w:style w:type="numbering" w:customStyle="1" w:styleId="NoList1">
    <w:name w:val="No List1"/>
    <w:next w:val="Sinlista"/>
    <w:uiPriority w:val="99"/>
    <w:semiHidden/>
    <w:unhideWhenUsed/>
    <w:rsid w:val="000A52D5"/>
  </w:style>
  <w:style w:type="table" w:customStyle="1" w:styleId="TableGrid1">
    <w:name w:val="Table Grid1"/>
    <w:basedOn w:val="Tablanormal"/>
    <w:next w:val="Tablaconcuadrcula"/>
    <w:uiPriority w:val="59"/>
    <w:rsid w:val="000A52D5"/>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ote1">
    <w:name w:val="Quote1"/>
    <w:basedOn w:val="Normal"/>
    <w:next w:val="Normal"/>
    <w:uiPriority w:val="29"/>
    <w:qFormat/>
    <w:rsid w:val="000A52D5"/>
    <w:pPr>
      <w:tabs>
        <w:tab w:val="clear" w:pos="4419"/>
        <w:tab w:val="clear" w:pos="8838"/>
      </w:tabs>
    </w:pPr>
    <w:rPr>
      <w:rFonts w:ascii="Calibri" w:eastAsia="Calibri" w:hAnsi="Calibri" w:cs="Times New Roman"/>
      <w:i/>
      <w:iCs/>
      <w:color w:val="000000"/>
      <w:lang w:val="en-US"/>
    </w:rPr>
  </w:style>
  <w:style w:type="character" w:customStyle="1" w:styleId="QuoteChar1">
    <w:name w:val="Quote Char1"/>
    <w:uiPriority w:val="29"/>
    <w:rsid w:val="000A52D5"/>
    <w:rPr>
      <w:i/>
      <w:iCs/>
      <w:color w:val="000000"/>
    </w:rPr>
  </w:style>
  <w:style w:type="paragraph" w:customStyle="1" w:styleId="Estilo3">
    <w:name w:val="Estilo3"/>
    <w:basedOn w:val="Prrafodelista"/>
    <w:qFormat/>
    <w:rsid w:val="000A52D5"/>
    <w:pPr>
      <w:contextualSpacing w:val="0"/>
    </w:pPr>
    <w:rPr>
      <w:rFonts w:eastAsia="Batang" w:cs="Times"/>
      <w:szCs w:val="24"/>
      <w:lang w:val="es-MX"/>
    </w:rPr>
  </w:style>
  <w:style w:type="paragraph" w:customStyle="1" w:styleId="Estilo5">
    <w:name w:val="Estilo5"/>
    <w:basedOn w:val="Estilo2"/>
    <w:link w:val="Estilo5Car"/>
    <w:qFormat/>
    <w:rsid w:val="000A52D5"/>
    <w:pPr>
      <w:numPr>
        <w:numId w:val="9"/>
      </w:numPr>
      <w:tabs>
        <w:tab w:val="clear" w:pos="567"/>
        <w:tab w:val="clear" w:pos="1134"/>
      </w:tabs>
      <w:spacing w:line="259" w:lineRule="auto"/>
      <w:ind w:left="0" w:firstLine="720"/>
    </w:pPr>
    <w:rPr>
      <w:rFonts w:ascii="Times New Roman" w:hAnsi="Times New Roman"/>
      <w:i/>
      <w:sz w:val="24"/>
      <w:szCs w:val="24"/>
      <w:lang w:val="es-UY" w:eastAsia="en-US"/>
    </w:rPr>
  </w:style>
  <w:style w:type="character" w:customStyle="1" w:styleId="Estilo4Car">
    <w:name w:val="Estilo4 Car"/>
    <w:link w:val="Estilo4"/>
    <w:rsid w:val="000A52D5"/>
    <w:rPr>
      <w:rFonts w:eastAsia="Times New Roman" w:cs="Times New Roman"/>
      <w:spacing w:val="-2"/>
      <w:szCs w:val="20"/>
    </w:rPr>
  </w:style>
  <w:style w:type="character" w:customStyle="1" w:styleId="Estilo5Car">
    <w:name w:val="Estilo5 Car"/>
    <w:link w:val="Estilo5"/>
    <w:rsid w:val="000A52D5"/>
    <w:rPr>
      <w:rFonts w:ascii="Times New Roman" w:eastAsia="Calibri" w:hAnsi="Times New Roman" w:cs="Times New Roman"/>
      <w:i/>
      <w:sz w:val="24"/>
      <w:szCs w:val="24"/>
      <w:lang w:val="es-UY"/>
    </w:rPr>
  </w:style>
  <w:style w:type="table" w:styleId="Cuadrculamedia1-nfasis2">
    <w:name w:val="Medium Grid 1 Accent 2"/>
    <w:basedOn w:val="Tablanormal"/>
    <w:rsid w:val="000A52D5"/>
    <w:pPr>
      <w:spacing w:after="0" w:line="240" w:lineRule="auto"/>
    </w:pPr>
    <w:rPr>
      <w:rFonts w:ascii="Verdana" w:eastAsia="Batang" w:hAnsi="Verdana" w:cs="Times"/>
      <w:noProof/>
      <w:sz w:val="20"/>
      <w:szCs w:val="24"/>
      <w:lang w:val="es-ES_tradn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2-nfasis2">
    <w:name w:val="Medium Grid 2 Accent 2"/>
    <w:basedOn w:val="Tablanormal"/>
    <w:link w:val="MediumGrid2-Accent2Char"/>
    <w:uiPriority w:val="29"/>
    <w:rsid w:val="000A52D5"/>
    <w:pPr>
      <w:spacing w:after="0" w:line="240" w:lineRule="auto"/>
    </w:pPr>
    <w:rPr>
      <w:rFonts w:ascii="Calibri" w:hAnsi="Calibri" w:cs="Times New Roman"/>
      <w:i/>
      <w:iCs/>
      <w:color w:val="000000"/>
      <w:sz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Sinespaciado">
    <w:name w:val="No Spacing"/>
    <w:uiPriority w:val="1"/>
    <w:qFormat/>
    <w:rsid w:val="000A52D5"/>
    <w:pPr>
      <w:spacing w:after="0" w:line="240" w:lineRule="auto"/>
    </w:pPr>
    <w:rPr>
      <w:rFonts w:ascii="Calibri" w:eastAsia="Calibri" w:hAnsi="Calibri" w:cs="Times New Roman"/>
      <w:lang w:val="en-US"/>
    </w:rPr>
  </w:style>
  <w:style w:type="character" w:customStyle="1" w:styleId="Refdenotaalpie1">
    <w:name w:val="Ref. de nota al pie1"/>
    <w:rsid w:val="000A52D5"/>
    <w:rPr>
      <w:sz w:val="20"/>
      <w:vertAlign w:val="superscript"/>
    </w:rPr>
  </w:style>
  <w:style w:type="paragraph" w:styleId="Textoindependiente2">
    <w:name w:val="Body Text 2"/>
    <w:basedOn w:val="Normal"/>
    <w:link w:val="Textoindependiente2Car"/>
    <w:uiPriority w:val="99"/>
    <w:unhideWhenUsed/>
    <w:rsid w:val="000A52D5"/>
    <w:pPr>
      <w:tabs>
        <w:tab w:val="clear" w:pos="4419"/>
        <w:tab w:val="clear" w:pos="8838"/>
        <w:tab w:val="left" w:pos="709"/>
      </w:tabs>
      <w:contextualSpacing/>
    </w:pPr>
    <w:rPr>
      <w:rFonts w:eastAsia="Batang" w:cs="Times"/>
      <w:b/>
      <w:spacing w:val="-2"/>
      <w:szCs w:val="20"/>
      <w:lang w:val="es-ES"/>
    </w:rPr>
  </w:style>
  <w:style w:type="character" w:customStyle="1" w:styleId="Textoindependiente2Car">
    <w:name w:val="Texto independiente 2 Car"/>
    <w:basedOn w:val="Fuentedeprrafopredeter"/>
    <w:link w:val="Textoindependiente2"/>
    <w:uiPriority w:val="99"/>
    <w:rsid w:val="000A52D5"/>
    <w:rPr>
      <w:rFonts w:ascii="Verdana" w:eastAsia="Batang" w:hAnsi="Verdana" w:cs="Times"/>
      <w:b/>
      <w:spacing w:val="-2"/>
      <w:sz w:val="20"/>
      <w:szCs w:val="20"/>
      <w:lang w:val="es-ES"/>
    </w:rPr>
  </w:style>
  <w:style w:type="paragraph" w:customStyle="1" w:styleId="Sangradetindependiente">
    <w:name w:val="SangrÃa de t. independiente"/>
    <w:basedOn w:val="Normal"/>
    <w:rsid w:val="000A52D5"/>
    <w:pPr>
      <w:tabs>
        <w:tab w:val="clear" w:pos="4419"/>
        <w:tab w:val="clear" w:pos="8838"/>
      </w:tabs>
      <w:spacing w:line="360" w:lineRule="atLeast"/>
    </w:pPr>
    <w:rPr>
      <w:rFonts w:ascii="Arial" w:eastAsia="Batang" w:hAnsi="Arial" w:cs="Times New Roman"/>
      <w:szCs w:val="20"/>
      <w:lang w:val="es-ES_tradnl"/>
    </w:rPr>
  </w:style>
  <w:style w:type="paragraph" w:customStyle="1" w:styleId="MediumGrid1-Accent22">
    <w:name w:val="Medium Grid 1 - Accent 22"/>
    <w:basedOn w:val="Normal"/>
    <w:qFormat/>
    <w:rsid w:val="000A52D5"/>
    <w:pPr>
      <w:tabs>
        <w:tab w:val="clear" w:pos="4419"/>
        <w:tab w:val="clear" w:pos="8838"/>
      </w:tabs>
      <w:ind w:left="708"/>
    </w:pPr>
    <w:rPr>
      <w:rFonts w:eastAsia="Batang" w:cs="Times"/>
      <w:sz w:val="16"/>
      <w:szCs w:val="24"/>
      <w:lang w:val="es-ES_tradnl"/>
    </w:rPr>
  </w:style>
  <w:style w:type="character" w:customStyle="1" w:styleId="ColorfulList-Accent1Char">
    <w:name w:val="Colorful List - Accent 1 Char"/>
    <w:link w:val="Listavistosa-nfasis1"/>
    <w:uiPriority w:val="99"/>
    <w:locked/>
    <w:rsid w:val="000A52D5"/>
    <w:rPr>
      <w:rFonts w:ascii="Verdana" w:eastAsia="Times New Roman" w:hAnsi="Verdana"/>
      <w:lang w:val="es-ES_tradnl" w:eastAsia="en-US"/>
    </w:rPr>
  </w:style>
  <w:style w:type="character" w:customStyle="1" w:styleId="xs6b621b36">
    <w:name w:val="x_s6b621b36"/>
    <w:basedOn w:val="Fuentedeprrafopredeter"/>
    <w:rsid w:val="000A52D5"/>
  </w:style>
  <w:style w:type="character" w:customStyle="1" w:styleId="xsb8d990e2">
    <w:name w:val="x_sb8d990e2"/>
    <w:basedOn w:val="Fuentedeprrafopredeter"/>
    <w:rsid w:val="000A52D5"/>
  </w:style>
  <w:style w:type="table" w:styleId="Listavistosa-nfasis1">
    <w:name w:val="Colorful List Accent 1"/>
    <w:basedOn w:val="Tablanormal"/>
    <w:link w:val="ColorfulList-Accent1Char"/>
    <w:uiPriority w:val="99"/>
    <w:rsid w:val="000A52D5"/>
    <w:pPr>
      <w:spacing w:after="0" w:line="240" w:lineRule="auto"/>
    </w:pPr>
    <w:rPr>
      <w:rFonts w:ascii="Verdana" w:eastAsia="Times New Roman" w:hAnsi="Verdana"/>
      <w:lang w:val="es-ES_tradnl"/>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Ttulo9Car">
    <w:name w:val="Título 9 Car"/>
    <w:basedOn w:val="Fuentedeprrafopredeter"/>
    <w:link w:val="Ttulo9"/>
    <w:uiPriority w:val="9"/>
    <w:rsid w:val="00721AF6"/>
    <w:rPr>
      <w:rFonts w:ascii="Verdana" w:eastAsia="Times New Roman" w:hAnsi="Verdana" w:cs="Times New Roman"/>
      <w:b/>
      <w:bCs/>
      <w:sz w:val="20"/>
      <w:szCs w:val="20"/>
      <w:lang w:val="es-ES_tradnl"/>
    </w:rPr>
  </w:style>
  <w:style w:type="paragraph" w:styleId="Textoindependiente3">
    <w:name w:val="Body Text 3"/>
    <w:basedOn w:val="Normal"/>
    <w:link w:val="Textoindependiente3Car"/>
    <w:uiPriority w:val="99"/>
    <w:unhideWhenUsed/>
    <w:rsid w:val="0008427B"/>
    <w:pPr>
      <w:autoSpaceDE w:val="0"/>
      <w:autoSpaceDN w:val="0"/>
      <w:adjustRightInd w:val="0"/>
    </w:pPr>
    <w:rPr>
      <w:rFonts w:cs="Arial"/>
      <w:i/>
      <w:iCs/>
      <w:szCs w:val="20"/>
      <w:lang w:val="es-ES"/>
    </w:rPr>
  </w:style>
  <w:style w:type="character" w:customStyle="1" w:styleId="Textoindependiente3Car">
    <w:name w:val="Texto independiente 3 Car"/>
    <w:basedOn w:val="Fuentedeprrafopredeter"/>
    <w:link w:val="Textoindependiente3"/>
    <w:uiPriority w:val="99"/>
    <w:rsid w:val="0008427B"/>
    <w:rPr>
      <w:rFonts w:ascii="Verdana" w:hAnsi="Verdana" w:cs="Arial"/>
      <w:i/>
      <w:iCs/>
      <w:sz w:val="20"/>
      <w:szCs w:val="20"/>
      <w:lang w:val="es-ES"/>
    </w:rPr>
  </w:style>
  <w:style w:type="paragraph" w:styleId="Textodebloque">
    <w:name w:val="Block Text"/>
    <w:basedOn w:val="Normal"/>
    <w:uiPriority w:val="99"/>
    <w:semiHidden/>
    <w:unhideWhenUsed/>
    <w:rsid w:val="00207197"/>
    <w:pPr>
      <w:tabs>
        <w:tab w:val="clear" w:pos="4419"/>
        <w:tab w:val="clear" w:pos="8838"/>
      </w:tabs>
      <w:ind w:left="851" w:right="946"/>
    </w:pPr>
    <w:rPr>
      <w:sz w:val="16"/>
      <w:szCs w:val="16"/>
      <w:lang w:val="es-ES_tradnl"/>
    </w:rPr>
  </w:style>
  <w:style w:type="paragraph" w:customStyle="1" w:styleId="Numberedparagraphs">
    <w:name w:val="Numbered paragraphs"/>
    <w:basedOn w:val="Normal"/>
    <w:qFormat/>
    <w:rsid w:val="00EF30D7"/>
    <w:pPr>
      <w:tabs>
        <w:tab w:val="clear" w:pos="4419"/>
        <w:tab w:val="clear" w:pos="8838"/>
      </w:tabs>
      <w:spacing w:after="200"/>
      <w:jc w:val="both"/>
    </w:pPr>
    <w:rPr>
      <w:rFonts w:eastAsia="MS Mincho" w:cs="Times New Roman"/>
      <w:color w:val="000000"/>
      <w:szCs w:val="20"/>
      <w:lang w:val="es-ES_tradnl"/>
    </w:rPr>
  </w:style>
  <w:style w:type="paragraph" w:styleId="Revisin">
    <w:name w:val="Revision"/>
    <w:hidden/>
    <w:uiPriority w:val="99"/>
    <w:semiHidden/>
    <w:rsid w:val="007932F8"/>
    <w:pPr>
      <w:spacing w:after="0" w:line="240" w:lineRule="auto"/>
    </w:pPr>
    <w:rPr>
      <w:rFonts w:ascii="Verdana" w:hAnsi="Verdana"/>
      <w:sz w:val="20"/>
    </w:rPr>
  </w:style>
  <w:style w:type="paragraph" w:customStyle="1" w:styleId="Prrafodelista2">
    <w:name w:val="Párrafo de lista2"/>
    <w:basedOn w:val="Normal"/>
    <w:uiPriority w:val="99"/>
    <w:rsid w:val="006878A8"/>
    <w:pPr>
      <w:tabs>
        <w:tab w:val="clear" w:pos="4419"/>
        <w:tab w:val="clear" w:pos="8838"/>
      </w:tabs>
      <w:ind w:left="720"/>
    </w:pPr>
    <w:rPr>
      <w:rFonts w:eastAsia="MS Mincho" w:cs="Times New Roman"/>
      <w:szCs w:val="20"/>
      <w:lang w:val="es-ES_tradnl" w:bidi="en-US"/>
    </w:rPr>
  </w:style>
  <w:style w:type="paragraph" w:styleId="TtuloTDC">
    <w:name w:val="TOC Heading"/>
    <w:basedOn w:val="Ttulo1"/>
    <w:next w:val="Normal"/>
    <w:uiPriority w:val="39"/>
    <w:semiHidden/>
    <w:unhideWhenUsed/>
    <w:qFormat/>
    <w:rsid w:val="00EC622C"/>
    <w:pPr>
      <w:spacing w:before="480" w:after="0" w:line="276" w:lineRule="auto"/>
      <w:jc w:val="left"/>
      <w:outlineLvl w:val="9"/>
    </w:pPr>
    <w:rPr>
      <w:rFonts w:asciiTheme="majorHAnsi" w:eastAsiaTheme="majorEastAsia" w:hAnsiTheme="majorHAnsi" w:cstheme="majorBidi"/>
      <w:caps w:val="0"/>
      <w:snapToGrid/>
      <w:color w:val="365F91" w:themeColor="accent1" w:themeShade="BF"/>
      <w:sz w:val="28"/>
      <w:szCs w:val="28"/>
      <w:lang w:eastAsia="es-CR"/>
    </w:rPr>
  </w:style>
  <w:style w:type="numbering" w:customStyle="1" w:styleId="NoList2">
    <w:name w:val="No List2"/>
    <w:next w:val="Sinlista"/>
    <w:uiPriority w:val="99"/>
    <w:semiHidden/>
    <w:unhideWhenUsed/>
    <w:rsid w:val="00F16338"/>
  </w:style>
  <w:style w:type="paragraph" w:customStyle="1" w:styleId="s30eec3f8">
    <w:name w:val="s30eec3f8"/>
    <w:basedOn w:val="Normal"/>
    <w:rsid w:val="00F16338"/>
    <w:pPr>
      <w:tabs>
        <w:tab w:val="clear" w:pos="4419"/>
        <w:tab w:val="clear" w:pos="8838"/>
      </w:tabs>
      <w:spacing w:before="100" w:beforeAutospacing="1" w:after="100" w:afterAutospacing="1"/>
    </w:pPr>
    <w:rPr>
      <w:rFonts w:ascii="Times" w:eastAsia="MS Mincho" w:hAnsi="Times"/>
      <w:szCs w:val="20"/>
      <w:lang w:val="es-MX" w:eastAsia="es-ES"/>
    </w:rPr>
  </w:style>
  <w:style w:type="character" w:customStyle="1" w:styleId="sb8d990e2">
    <w:name w:val="sb8d990e2"/>
    <w:basedOn w:val="Fuentedeprrafopredeter"/>
    <w:rsid w:val="00F16338"/>
  </w:style>
  <w:style w:type="character" w:styleId="Nmerodepgina">
    <w:name w:val="page number"/>
    <w:basedOn w:val="Fuentedeprrafopredeter"/>
    <w:uiPriority w:val="99"/>
    <w:semiHidden/>
    <w:unhideWhenUsed/>
    <w:rsid w:val="00F16338"/>
  </w:style>
  <w:style w:type="paragraph" w:customStyle="1" w:styleId="sb223ea02">
    <w:name w:val="sb223ea02"/>
    <w:basedOn w:val="Normal"/>
    <w:rsid w:val="00F16338"/>
    <w:pPr>
      <w:tabs>
        <w:tab w:val="clear" w:pos="4419"/>
        <w:tab w:val="clear" w:pos="8838"/>
      </w:tabs>
      <w:spacing w:before="100" w:beforeAutospacing="1" w:after="100" w:afterAutospacing="1"/>
    </w:pPr>
    <w:rPr>
      <w:rFonts w:ascii="Times" w:eastAsia="MS Mincho" w:hAnsi="Times"/>
      <w:szCs w:val="20"/>
      <w:lang w:val="es-MX" w:eastAsia="es-ES"/>
    </w:rPr>
  </w:style>
  <w:style w:type="character" w:customStyle="1" w:styleId="s7d2086b4">
    <w:name w:val="s7d2086b4"/>
    <w:basedOn w:val="Fuentedeprrafopredeter"/>
    <w:rsid w:val="00F16338"/>
  </w:style>
  <w:style w:type="paragraph" w:customStyle="1" w:styleId="s6704e5c3">
    <w:name w:val="s6704e5c3"/>
    <w:basedOn w:val="Normal"/>
    <w:rsid w:val="00F16338"/>
    <w:pPr>
      <w:tabs>
        <w:tab w:val="clear" w:pos="4419"/>
        <w:tab w:val="clear" w:pos="8838"/>
      </w:tabs>
      <w:spacing w:before="100" w:beforeAutospacing="1" w:after="100" w:afterAutospacing="1"/>
    </w:pPr>
    <w:rPr>
      <w:rFonts w:ascii="Times" w:eastAsia="MS Mincho" w:hAnsi="Times"/>
      <w:szCs w:val="20"/>
      <w:lang w:val="es-MX" w:eastAsia="es-ES"/>
    </w:rPr>
  </w:style>
  <w:style w:type="character" w:customStyle="1" w:styleId="sfbbfee58">
    <w:name w:val="sfbbfee58"/>
    <w:basedOn w:val="Fuentedeprrafopredeter"/>
    <w:rsid w:val="00F16338"/>
  </w:style>
  <w:style w:type="paragraph" w:customStyle="1" w:styleId="scc90dede">
    <w:name w:val="scc90dede"/>
    <w:basedOn w:val="Normal"/>
    <w:rsid w:val="00F16338"/>
    <w:pPr>
      <w:tabs>
        <w:tab w:val="clear" w:pos="4419"/>
        <w:tab w:val="clear" w:pos="8838"/>
      </w:tabs>
      <w:spacing w:before="100" w:beforeAutospacing="1" w:after="100" w:afterAutospacing="1"/>
    </w:pPr>
    <w:rPr>
      <w:rFonts w:ascii="Times" w:eastAsia="MS Mincho" w:hAnsi="Times"/>
      <w:szCs w:val="20"/>
      <w:lang w:val="es-MX" w:eastAsia="es-ES"/>
    </w:rPr>
  </w:style>
  <w:style w:type="character" w:customStyle="1" w:styleId="wordhighlighted">
    <w:name w:val="wordhighlighted"/>
    <w:basedOn w:val="Fuentedeprrafopredeter"/>
    <w:rsid w:val="00F16338"/>
  </w:style>
  <w:style w:type="paragraph" w:customStyle="1" w:styleId="sd5b7d322">
    <w:name w:val="sd5b7d322"/>
    <w:basedOn w:val="Normal"/>
    <w:rsid w:val="00F16338"/>
    <w:pPr>
      <w:tabs>
        <w:tab w:val="clear" w:pos="4419"/>
        <w:tab w:val="clear" w:pos="8838"/>
      </w:tabs>
      <w:spacing w:before="100" w:beforeAutospacing="1" w:after="100" w:afterAutospacing="1"/>
    </w:pPr>
    <w:rPr>
      <w:rFonts w:ascii="Times" w:eastAsia="MS Mincho" w:hAnsi="Times"/>
      <w:szCs w:val="20"/>
      <w:lang w:val="es-MX" w:eastAsia="es-ES"/>
    </w:rPr>
  </w:style>
  <w:style w:type="paragraph" w:customStyle="1" w:styleId="CPClassification">
    <w:name w:val="CP Classification"/>
    <w:basedOn w:val="Normal"/>
    <w:rsid w:val="00F16338"/>
    <w:pPr>
      <w:tabs>
        <w:tab w:val="clear" w:pos="4419"/>
        <w:tab w:val="clear" w:pos="8838"/>
        <w:tab w:val="center" w:pos="2160"/>
        <w:tab w:val="left" w:pos="7200"/>
      </w:tabs>
      <w:ind w:left="7200" w:right="-360"/>
      <w:jc w:val="both"/>
    </w:pPr>
    <w:rPr>
      <w:rFonts w:ascii="Times New Roman" w:eastAsia="Times New Roman" w:hAnsi="Times New Roman" w:cs="Times New Roman"/>
      <w:sz w:val="22"/>
      <w:szCs w:val="20"/>
      <w:lang w:val="pt-PT"/>
    </w:rPr>
  </w:style>
  <w:style w:type="numbering" w:customStyle="1" w:styleId="NoList3">
    <w:name w:val="No List3"/>
    <w:next w:val="Sinlista"/>
    <w:uiPriority w:val="99"/>
    <w:semiHidden/>
    <w:unhideWhenUsed/>
    <w:rsid w:val="00BE0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0243">
      <w:bodyDiv w:val="1"/>
      <w:marLeft w:val="0"/>
      <w:marRight w:val="0"/>
      <w:marTop w:val="0"/>
      <w:marBottom w:val="0"/>
      <w:divBdr>
        <w:top w:val="none" w:sz="0" w:space="0" w:color="auto"/>
        <w:left w:val="none" w:sz="0" w:space="0" w:color="auto"/>
        <w:bottom w:val="none" w:sz="0" w:space="0" w:color="auto"/>
        <w:right w:val="none" w:sz="0" w:space="0" w:color="auto"/>
      </w:divBdr>
    </w:div>
    <w:div w:id="103815067">
      <w:bodyDiv w:val="1"/>
      <w:marLeft w:val="0"/>
      <w:marRight w:val="0"/>
      <w:marTop w:val="0"/>
      <w:marBottom w:val="0"/>
      <w:divBdr>
        <w:top w:val="none" w:sz="0" w:space="0" w:color="auto"/>
        <w:left w:val="none" w:sz="0" w:space="0" w:color="auto"/>
        <w:bottom w:val="none" w:sz="0" w:space="0" w:color="auto"/>
        <w:right w:val="none" w:sz="0" w:space="0" w:color="auto"/>
      </w:divBdr>
      <w:divsChild>
        <w:div w:id="1158693153">
          <w:marLeft w:val="0"/>
          <w:marRight w:val="0"/>
          <w:marTop w:val="0"/>
          <w:marBottom w:val="0"/>
          <w:divBdr>
            <w:top w:val="none" w:sz="0" w:space="0" w:color="auto"/>
            <w:left w:val="none" w:sz="0" w:space="0" w:color="auto"/>
            <w:bottom w:val="none" w:sz="0" w:space="0" w:color="auto"/>
            <w:right w:val="none" w:sz="0" w:space="0" w:color="auto"/>
          </w:divBdr>
          <w:divsChild>
            <w:div w:id="1232077345">
              <w:marLeft w:val="0"/>
              <w:marRight w:val="60"/>
              <w:marTop w:val="0"/>
              <w:marBottom w:val="0"/>
              <w:divBdr>
                <w:top w:val="none" w:sz="0" w:space="0" w:color="auto"/>
                <w:left w:val="none" w:sz="0" w:space="0" w:color="auto"/>
                <w:bottom w:val="none" w:sz="0" w:space="0" w:color="auto"/>
                <w:right w:val="none" w:sz="0" w:space="0" w:color="auto"/>
              </w:divBdr>
              <w:divsChild>
                <w:div w:id="1588539354">
                  <w:marLeft w:val="0"/>
                  <w:marRight w:val="0"/>
                  <w:marTop w:val="0"/>
                  <w:marBottom w:val="120"/>
                  <w:divBdr>
                    <w:top w:val="single" w:sz="6" w:space="0" w:color="C0C0C0"/>
                    <w:left w:val="single" w:sz="6" w:space="0" w:color="D9D9D9"/>
                    <w:bottom w:val="single" w:sz="6" w:space="0" w:color="D9D9D9"/>
                    <w:right w:val="single" w:sz="6" w:space="0" w:color="D9D9D9"/>
                  </w:divBdr>
                  <w:divsChild>
                    <w:div w:id="3132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08260">
          <w:marLeft w:val="0"/>
          <w:marRight w:val="0"/>
          <w:marTop w:val="0"/>
          <w:marBottom w:val="0"/>
          <w:divBdr>
            <w:top w:val="none" w:sz="0" w:space="0" w:color="auto"/>
            <w:left w:val="none" w:sz="0" w:space="0" w:color="auto"/>
            <w:bottom w:val="none" w:sz="0" w:space="0" w:color="auto"/>
            <w:right w:val="none" w:sz="0" w:space="0" w:color="auto"/>
          </w:divBdr>
          <w:divsChild>
            <w:div w:id="1393037426">
              <w:marLeft w:val="60"/>
              <w:marRight w:val="0"/>
              <w:marTop w:val="0"/>
              <w:marBottom w:val="0"/>
              <w:divBdr>
                <w:top w:val="none" w:sz="0" w:space="0" w:color="auto"/>
                <w:left w:val="none" w:sz="0" w:space="0" w:color="auto"/>
                <w:bottom w:val="none" w:sz="0" w:space="0" w:color="auto"/>
                <w:right w:val="none" w:sz="0" w:space="0" w:color="auto"/>
              </w:divBdr>
              <w:divsChild>
                <w:div w:id="1286618675">
                  <w:marLeft w:val="0"/>
                  <w:marRight w:val="0"/>
                  <w:marTop w:val="0"/>
                  <w:marBottom w:val="0"/>
                  <w:divBdr>
                    <w:top w:val="none" w:sz="0" w:space="0" w:color="auto"/>
                    <w:left w:val="none" w:sz="0" w:space="0" w:color="auto"/>
                    <w:bottom w:val="none" w:sz="0" w:space="0" w:color="auto"/>
                    <w:right w:val="none" w:sz="0" w:space="0" w:color="auto"/>
                  </w:divBdr>
                  <w:divsChild>
                    <w:div w:id="544483476">
                      <w:marLeft w:val="0"/>
                      <w:marRight w:val="0"/>
                      <w:marTop w:val="0"/>
                      <w:marBottom w:val="120"/>
                      <w:divBdr>
                        <w:top w:val="single" w:sz="6" w:space="0" w:color="F5F5F5"/>
                        <w:left w:val="single" w:sz="6" w:space="0" w:color="F5F5F5"/>
                        <w:bottom w:val="single" w:sz="6" w:space="0" w:color="F5F5F5"/>
                        <w:right w:val="single" w:sz="6" w:space="0" w:color="F5F5F5"/>
                      </w:divBdr>
                      <w:divsChild>
                        <w:div w:id="745109106">
                          <w:marLeft w:val="0"/>
                          <w:marRight w:val="0"/>
                          <w:marTop w:val="0"/>
                          <w:marBottom w:val="0"/>
                          <w:divBdr>
                            <w:top w:val="none" w:sz="0" w:space="0" w:color="auto"/>
                            <w:left w:val="none" w:sz="0" w:space="0" w:color="auto"/>
                            <w:bottom w:val="none" w:sz="0" w:space="0" w:color="auto"/>
                            <w:right w:val="none" w:sz="0" w:space="0" w:color="auto"/>
                          </w:divBdr>
                          <w:divsChild>
                            <w:div w:id="6827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81291">
      <w:bodyDiv w:val="1"/>
      <w:marLeft w:val="0"/>
      <w:marRight w:val="0"/>
      <w:marTop w:val="0"/>
      <w:marBottom w:val="0"/>
      <w:divBdr>
        <w:top w:val="none" w:sz="0" w:space="0" w:color="auto"/>
        <w:left w:val="none" w:sz="0" w:space="0" w:color="auto"/>
        <w:bottom w:val="none" w:sz="0" w:space="0" w:color="auto"/>
        <w:right w:val="none" w:sz="0" w:space="0" w:color="auto"/>
      </w:divBdr>
    </w:div>
    <w:div w:id="338821312">
      <w:bodyDiv w:val="1"/>
      <w:marLeft w:val="0"/>
      <w:marRight w:val="0"/>
      <w:marTop w:val="0"/>
      <w:marBottom w:val="0"/>
      <w:divBdr>
        <w:top w:val="none" w:sz="0" w:space="0" w:color="auto"/>
        <w:left w:val="none" w:sz="0" w:space="0" w:color="auto"/>
        <w:bottom w:val="none" w:sz="0" w:space="0" w:color="auto"/>
        <w:right w:val="none" w:sz="0" w:space="0" w:color="auto"/>
      </w:divBdr>
    </w:div>
    <w:div w:id="348147218">
      <w:bodyDiv w:val="1"/>
      <w:marLeft w:val="0"/>
      <w:marRight w:val="0"/>
      <w:marTop w:val="0"/>
      <w:marBottom w:val="0"/>
      <w:divBdr>
        <w:top w:val="none" w:sz="0" w:space="0" w:color="auto"/>
        <w:left w:val="none" w:sz="0" w:space="0" w:color="auto"/>
        <w:bottom w:val="none" w:sz="0" w:space="0" w:color="auto"/>
        <w:right w:val="none" w:sz="0" w:space="0" w:color="auto"/>
      </w:divBdr>
    </w:div>
    <w:div w:id="349533233">
      <w:bodyDiv w:val="1"/>
      <w:marLeft w:val="0"/>
      <w:marRight w:val="0"/>
      <w:marTop w:val="0"/>
      <w:marBottom w:val="0"/>
      <w:divBdr>
        <w:top w:val="none" w:sz="0" w:space="0" w:color="auto"/>
        <w:left w:val="none" w:sz="0" w:space="0" w:color="auto"/>
        <w:bottom w:val="none" w:sz="0" w:space="0" w:color="auto"/>
        <w:right w:val="none" w:sz="0" w:space="0" w:color="auto"/>
      </w:divBdr>
    </w:div>
    <w:div w:id="368796330">
      <w:bodyDiv w:val="1"/>
      <w:marLeft w:val="0"/>
      <w:marRight w:val="0"/>
      <w:marTop w:val="0"/>
      <w:marBottom w:val="0"/>
      <w:divBdr>
        <w:top w:val="none" w:sz="0" w:space="0" w:color="auto"/>
        <w:left w:val="none" w:sz="0" w:space="0" w:color="auto"/>
        <w:bottom w:val="none" w:sz="0" w:space="0" w:color="auto"/>
        <w:right w:val="none" w:sz="0" w:space="0" w:color="auto"/>
      </w:divBdr>
    </w:div>
    <w:div w:id="441220179">
      <w:bodyDiv w:val="1"/>
      <w:marLeft w:val="0"/>
      <w:marRight w:val="0"/>
      <w:marTop w:val="0"/>
      <w:marBottom w:val="0"/>
      <w:divBdr>
        <w:top w:val="none" w:sz="0" w:space="0" w:color="auto"/>
        <w:left w:val="none" w:sz="0" w:space="0" w:color="auto"/>
        <w:bottom w:val="none" w:sz="0" w:space="0" w:color="auto"/>
        <w:right w:val="none" w:sz="0" w:space="0" w:color="auto"/>
      </w:divBdr>
    </w:div>
    <w:div w:id="445733205">
      <w:bodyDiv w:val="1"/>
      <w:marLeft w:val="0"/>
      <w:marRight w:val="0"/>
      <w:marTop w:val="0"/>
      <w:marBottom w:val="0"/>
      <w:divBdr>
        <w:top w:val="none" w:sz="0" w:space="0" w:color="auto"/>
        <w:left w:val="none" w:sz="0" w:space="0" w:color="auto"/>
        <w:bottom w:val="none" w:sz="0" w:space="0" w:color="auto"/>
        <w:right w:val="none" w:sz="0" w:space="0" w:color="auto"/>
      </w:divBdr>
    </w:div>
    <w:div w:id="465124423">
      <w:bodyDiv w:val="1"/>
      <w:marLeft w:val="0"/>
      <w:marRight w:val="0"/>
      <w:marTop w:val="0"/>
      <w:marBottom w:val="0"/>
      <w:divBdr>
        <w:top w:val="none" w:sz="0" w:space="0" w:color="auto"/>
        <w:left w:val="none" w:sz="0" w:space="0" w:color="auto"/>
        <w:bottom w:val="none" w:sz="0" w:space="0" w:color="auto"/>
        <w:right w:val="none" w:sz="0" w:space="0" w:color="auto"/>
      </w:divBdr>
    </w:div>
    <w:div w:id="486944552">
      <w:bodyDiv w:val="1"/>
      <w:marLeft w:val="0"/>
      <w:marRight w:val="0"/>
      <w:marTop w:val="0"/>
      <w:marBottom w:val="0"/>
      <w:divBdr>
        <w:top w:val="none" w:sz="0" w:space="0" w:color="auto"/>
        <w:left w:val="none" w:sz="0" w:space="0" w:color="auto"/>
        <w:bottom w:val="none" w:sz="0" w:space="0" w:color="auto"/>
        <w:right w:val="none" w:sz="0" w:space="0" w:color="auto"/>
      </w:divBdr>
    </w:div>
    <w:div w:id="488525122">
      <w:bodyDiv w:val="1"/>
      <w:marLeft w:val="0"/>
      <w:marRight w:val="0"/>
      <w:marTop w:val="0"/>
      <w:marBottom w:val="0"/>
      <w:divBdr>
        <w:top w:val="none" w:sz="0" w:space="0" w:color="auto"/>
        <w:left w:val="none" w:sz="0" w:space="0" w:color="auto"/>
        <w:bottom w:val="none" w:sz="0" w:space="0" w:color="auto"/>
        <w:right w:val="none" w:sz="0" w:space="0" w:color="auto"/>
      </w:divBdr>
    </w:div>
    <w:div w:id="574702781">
      <w:bodyDiv w:val="1"/>
      <w:marLeft w:val="0"/>
      <w:marRight w:val="0"/>
      <w:marTop w:val="0"/>
      <w:marBottom w:val="0"/>
      <w:divBdr>
        <w:top w:val="none" w:sz="0" w:space="0" w:color="auto"/>
        <w:left w:val="none" w:sz="0" w:space="0" w:color="auto"/>
        <w:bottom w:val="none" w:sz="0" w:space="0" w:color="auto"/>
        <w:right w:val="none" w:sz="0" w:space="0" w:color="auto"/>
      </w:divBdr>
    </w:div>
    <w:div w:id="580792018">
      <w:bodyDiv w:val="1"/>
      <w:marLeft w:val="0"/>
      <w:marRight w:val="0"/>
      <w:marTop w:val="0"/>
      <w:marBottom w:val="0"/>
      <w:divBdr>
        <w:top w:val="none" w:sz="0" w:space="0" w:color="auto"/>
        <w:left w:val="none" w:sz="0" w:space="0" w:color="auto"/>
        <w:bottom w:val="none" w:sz="0" w:space="0" w:color="auto"/>
        <w:right w:val="none" w:sz="0" w:space="0" w:color="auto"/>
      </w:divBdr>
    </w:div>
    <w:div w:id="723867573">
      <w:bodyDiv w:val="1"/>
      <w:marLeft w:val="0"/>
      <w:marRight w:val="0"/>
      <w:marTop w:val="0"/>
      <w:marBottom w:val="0"/>
      <w:divBdr>
        <w:top w:val="none" w:sz="0" w:space="0" w:color="auto"/>
        <w:left w:val="none" w:sz="0" w:space="0" w:color="auto"/>
        <w:bottom w:val="none" w:sz="0" w:space="0" w:color="auto"/>
        <w:right w:val="none" w:sz="0" w:space="0" w:color="auto"/>
      </w:divBdr>
    </w:div>
    <w:div w:id="878585614">
      <w:bodyDiv w:val="1"/>
      <w:marLeft w:val="0"/>
      <w:marRight w:val="0"/>
      <w:marTop w:val="0"/>
      <w:marBottom w:val="0"/>
      <w:divBdr>
        <w:top w:val="none" w:sz="0" w:space="0" w:color="auto"/>
        <w:left w:val="none" w:sz="0" w:space="0" w:color="auto"/>
        <w:bottom w:val="none" w:sz="0" w:space="0" w:color="auto"/>
        <w:right w:val="none" w:sz="0" w:space="0" w:color="auto"/>
      </w:divBdr>
    </w:div>
    <w:div w:id="919217106">
      <w:bodyDiv w:val="1"/>
      <w:marLeft w:val="0"/>
      <w:marRight w:val="0"/>
      <w:marTop w:val="0"/>
      <w:marBottom w:val="0"/>
      <w:divBdr>
        <w:top w:val="none" w:sz="0" w:space="0" w:color="auto"/>
        <w:left w:val="none" w:sz="0" w:space="0" w:color="auto"/>
        <w:bottom w:val="none" w:sz="0" w:space="0" w:color="auto"/>
        <w:right w:val="none" w:sz="0" w:space="0" w:color="auto"/>
      </w:divBdr>
    </w:div>
    <w:div w:id="1082994243">
      <w:bodyDiv w:val="1"/>
      <w:marLeft w:val="0"/>
      <w:marRight w:val="0"/>
      <w:marTop w:val="0"/>
      <w:marBottom w:val="0"/>
      <w:divBdr>
        <w:top w:val="none" w:sz="0" w:space="0" w:color="auto"/>
        <w:left w:val="none" w:sz="0" w:space="0" w:color="auto"/>
        <w:bottom w:val="none" w:sz="0" w:space="0" w:color="auto"/>
        <w:right w:val="none" w:sz="0" w:space="0" w:color="auto"/>
      </w:divBdr>
    </w:div>
    <w:div w:id="1101026509">
      <w:bodyDiv w:val="1"/>
      <w:marLeft w:val="0"/>
      <w:marRight w:val="0"/>
      <w:marTop w:val="0"/>
      <w:marBottom w:val="0"/>
      <w:divBdr>
        <w:top w:val="none" w:sz="0" w:space="0" w:color="auto"/>
        <w:left w:val="none" w:sz="0" w:space="0" w:color="auto"/>
        <w:bottom w:val="none" w:sz="0" w:space="0" w:color="auto"/>
        <w:right w:val="none" w:sz="0" w:space="0" w:color="auto"/>
      </w:divBdr>
    </w:div>
    <w:div w:id="1122311105">
      <w:bodyDiv w:val="1"/>
      <w:marLeft w:val="0"/>
      <w:marRight w:val="0"/>
      <w:marTop w:val="0"/>
      <w:marBottom w:val="0"/>
      <w:divBdr>
        <w:top w:val="none" w:sz="0" w:space="0" w:color="auto"/>
        <w:left w:val="none" w:sz="0" w:space="0" w:color="auto"/>
        <w:bottom w:val="none" w:sz="0" w:space="0" w:color="auto"/>
        <w:right w:val="none" w:sz="0" w:space="0" w:color="auto"/>
      </w:divBdr>
    </w:div>
    <w:div w:id="1228498466">
      <w:bodyDiv w:val="1"/>
      <w:marLeft w:val="0"/>
      <w:marRight w:val="0"/>
      <w:marTop w:val="0"/>
      <w:marBottom w:val="0"/>
      <w:divBdr>
        <w:top w:val="none" w:sz="0" w:space="0" w:color="auto"/>
        <w:left w:val="none" w:sz="0" w:space="0" w:color="auto"/>
        <w:bottom w:val="none" w:sz="0" w:space="0" w:color="auto"/>
        <w:right w:val="none" w:sz="0" w:space="0" w:color="auto"/>
      </w:divBdr>
    </w:div>
    <w:div w:id="1275164071">
      <w:bodyDiv w:val="1"/>
      <w:marLeft w:val="0"/>
      <w:marRight w:val="0"/>
      <w:marTop w:val="0"/>
      <w:marBottom w:val="0"/>
      <w:divBdr>
        <w:top w:val="none" w:sz="0" w:space="0" w:color="auto"/>
        <w:left w:val="none" w:sz="0" w:space="0" w:color="auto"/>
        <w:bottom w:val="none" w:sz="0" w:space="0" w:color="auto"/>
        <w:right w:val="none" w:sz="0" w:space="0" w:color="auto"/>
      </w:divBdr>
    </w:div>
    <w:div w:id="1284459416">
      <w:bodyDiv w:val="1"/>
      <w:marLeft w:val="0"/>
      <w:marRight w:val="0"/>
      <w:marTop w:val="0"/>
      <w:marBottom w:val="0"/>
      <w:divBdr>
        <w:top w:val="none" w:sz="0" w:space="0" w:color="auto"/>
        <w:left w:val="none" w:sz="0" w:space="0" w:color="auto"/>
        <w:bottom w:val="none" w:sz="0" w:space="0" w:color="auto"/>
        <w:right w:val="none" w:sz="0" w:space="0" w:color="auto"/>
      </w:divBdr>
    </w:div>
    <w:div w:id="1341545474">
      <w:bodyDiv w:val="1"/>
      <w:marLeft w:val="0"/>
      <w:marRight w:val="0"/>
      <w:marTop w:val="0"/>
      <w:marBottom w:val="0"/>
      <w:divBdr>
        <w:top w:val="none" w:sz="0" w:space="0" w:color="auto"/>
        <w:left w:val="none" w:sz="0" w:space="0" w:color="auto"/>
        <w:bottom w:val="none" w:sz="0" w:space="0" w:color="auto"/>
        <w:right w:val="none" w:sz="0" w:space="0" w:color="auto"/>
      </w:divBdr>
    </w:div>
    <w:div w:id="1354767899">
      <w:bodyDiv w:val="1"/>
      <w:marLeft w:val="0"/>
      <w:marRight w:val="0"/>
      <w:marTop w:val="0"/>
      <w:marBottom w:val="0"/>
      <w:divBdr>
        <w:top w:val="none" w:sz="0" w:space="0" w:color="auto"/>
        <w:left w:val="none" w:sz="0" w:space="0" w:color="auto"/>
        <w:bottom w:val="none" w:sz="0" w:space="0" w:color="auto"/>
        <w:right w:val="none" w:sz="0" w:space="0" w:color="auto"/>
      </w:divBdr>
    </w:div>
    <w:div w:id="1418750773">
      <w:bodyDiv w:val="1"/>
      <w:marLeft w:val="0"/>
      <w:marRight w:val="0"/>
      <w:marTop w:val="0"/>
      <w:marBottom w:val="0"/>
      <w:divBdr>
        <w:top w:val="none" w:sz="0" w:space="0" w:color="auto"/>
        <w:left w:val="none" w:sz="0" w:space="0" w:color="auto"/>
        <w:bottom w:val="none" w:sz="0" w:space="0" w:color="auto"/>
        <w:right w:val="none" w:sz="0" w:space="0" w:color="auto"/>
      </w:divBdr>
    </w:div>
    <w:div w:id="1493256220">
      <w:bodyDiv w:val="1"/>
      <w:marLeft w:val="0"/>
      <w:marRight w:val="0"/>
      <w:marTop w:val="0"/>
      <w:marBottom w:val="0"/>
      <w:divBdr>
        <w:top w:val="none" w:sz="0" w:space="0" w:color="auto"/>
        <w:left w:val="none" w:sz="0" w:space="0" w:color="auto"/>
        <w:bottom w:val="none" w:sz="0" w:space="0" w:color="auto"/>
        <w:right w:val="none" w:sz="0" w:space="0" w:color="auto"/>
      </w:divBdr>
    </w:div>
    <w:div w:id="1548444508">
      <w:bodyDiv w:val="1"/>
      <w:marLeft w:val="0"/>
      <w:marRight w:val="0"/>
      <w:marTop w:val="0"/>
      <w:marBottom w:val="0"/>
      <w:divBdr>
        <w:top w:val="none" w:sz="0" w:space="0" w:color="auto"/>
        <w:left w:val="none" w:sz="0" w:space="0" w:color="auto"/>
        <w:bottom w:val="none" w:sz="0" w:space="0" w:color="auto"/>
        <w:right w:val="none" w:sz="0" w:space="0" w:color="auto"/>
      </w:divBdr>
    </w:div>
    <w:div w:id="1596205678">
      <w:bodyDiv w:val="1"/>
      <w:marLeft w:val="0"/>
      <w:marRight w:val="0"/>
      <w:marTop w:val="0"/>
      <w:marBottom w:val="0"/>
      <w:divBdr>
        <w:top w:val="none" w:sz="0" w:space="0" w:color="auto"/>
        <w:left w:val="none" w:sz="0" w:space="0" w:color="auto"/>
        <w:bottom w:val="none" w:sz="0" w:space="0" w:color="auto"/>
        <w:right w:val="none" w:sz="0" w:space="0" w:color="auto"/>
      </w:divBdr>
    </w:div>
    <w:div w:id="1601595868">
      <w:bodyDiv w:val="1"/>
      <w:marLeft w:val="0"/>
      <w:marRight w:val="0"/>
      <w:marTop w:val="0"/>
      <w:marBottom w:val="0"/>
      <w:divBdr>
        <w:top w:val="none" w:sz="0" w:space="0" w:color="auto"/>
        <w:left w:val="none" w:sz="0" w:space="0" w:color="auto"/>
        <w:bottom w:val="none" w:sz="0" w:space="0" w:color="auto"/>
        <w:right w:val="none" w:sz="0" w:space="0" w:color="auto"/>
      </w:divBdr>
    </w:div>
    <w:div w:id="1650862315">
      <w:bodyDiv w:val="1"/>
      <w:marLeft w:val="0"/>
      <w:marRight w:val="0"/>
      <w:marTop w:val="0"/>
      <w:marBottom w:val="0"/>
      <w:divBdr>
        <w:top w:val="none" w:sz="0" w:space="0" w:color="auto"/>
        <w:left w:val="none" w:sz="0" w:space="0" w:color="auto"/>
        <w:bottom w:val="none" w:sz="0" w:space="0" w:color="auto"/>
        <w:right w:val="none" w:sz="0" w:space="0" w:color="auto"/>
      </w:divBdr>
    </w:div>
    <w:div w:id="1652441455">
      <w:bodyDiv w:val="1"/>
      <w:marLeft w:val="0"/>
      <w:marRight w:val="0"/>
      <w:marTop w:val="0"/>
      <w:marBottom w:val="0"/>
      <w:divBdr>
        <w:top w:val="none" w:sz="0" w:space="0" w:color="auto"/>
        <w:left w:val="none" w:sz="0" w:space="0" w:color="auto"/>
        <w:bottom w:val="none" w:sz="0" w:space="0" w:color="auto"/>
        <w:right w:val="none" w:sz="0" w:space="0" w:color="auto"/>
      </w:divBdr>
    </w:div>
    <w:div w:id="1688099738">
      <w:bodyDiv w:val="1"/>
      <w:marLeft w:val="0"/>
      <w:marRight w:val="0"/>
      <w:marTop w:val="0"/>
      <w:marBottom w:val="0"/>
      <w:divBdr>
        <w:top w:val="none" w:sz="0" w:space="0" w:color="auto"/>
        <w:left w:val="none" w:sz="0" w:space="0" w:color="auto"/>
        <w:bottom w:val="none" w:sz="0" w:space="0" w:color="auto"/>
        <w:right w:val="none" w:sz="0" w:space="0" w:color="auto"/>
      </w:divBdr>
    </w:div>
    <w:div w:id="1716739273">
      <w:bodyDiv w:val="1"/>
      <w:marLeft w:val="0"/>
      <w:marRight w:val="0"/>
      <w:marTop w:val="0"/>
      <w:marBottom w:val="0"/>
      <w:divBdr>
        <w:top w:val="none" w:sz="0" w:space="0" w:color="auto"/>
        <w:left w:val="none" w:sz="0" w:space="0" w:color="auto"/>
        <w:bottom w:val="none" w:sz="0" w:space="0" w:color="auto"/>
        <w:right w:val="none" w:sz="0" w:space="0" w:color="auto"/>
      </w:divBdr>
      <w:divsChild>
        <w:div w:id="172891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731865">
      <w:bodyDiv w:val="1"/>
      <w:marLeft w:val="0"/>
      <w:marRight w:val="0"/>
      <w:marTop w:val="0"/>
      <w:marBottom w:val="0"/>
      <w:divBdr>
        <w:top w:val="none" w:sz="0" w:space="0" w:color="auto"/>
        <w:left w:val="none" w:sz="0" w:space="0" w:color="auto"/>
        <w:bottom w:val="none" w:sz="0" w:space="0" w:color="auto"/>
        <w:right w:val="none" w:sz="0" w:space="0" w:color="auto"/>
      </w:divBdr>
    </w:div>
    <w:div w:id="1845588934">
      <w:bodyDiv w:val="1"/>
      <w:marLeft w:val="0"/>
      <w:marRight w:val="0"/>
      <w:marTop w:val="0"/>
      <w:marBottom w:val="0"/>
      <w:divBdr>
        <w:top w:val="none" w:sz="0" w:space="0" w:color="auto"/>
        <w:left w:val="none" w:sz="0" w:space="0" w:color="auto"/>
        <w:bottom w:val="none" w:sz="0" w:space="0" w:color="auto"/>
        <w:right w:val="none" w:sz="0" w:space="0" w:color="auto"/>
      </w:divBdr>
    </w:div>
    <w:div w:id="1873415352">
      <w:bodyDiv w:val="1"/>
      <w:marLeft w:val="0"/>
      <w:marRight w:val="0"/>
      <w:marTop w:val="0"/>
      <w:marBottom w:val="0"/>
      <w:divBdr>
        <w:top w:val="none" w:sz="0" w:space="0" w:color="auto"/>
        <w:left w:val="none" w:sz="0" w:space="0" w:color="auto"/>
        <w:bottom w:val="none" w:sz="0" w:space="0" w:color="auto"/>
        <w:right w:val="none" w:sz="0" w:space="0" w:color="auto"/>
      </w:divBdr>
    </w:div>
    <w:div w:id="1888837948">
      <w:bodyDiv w:val="1"/>
      <w:marLeft w:val="0"/>
      <w:marRight w:val="0"/>
      <w:marTop w:val="0"/>
      <w:marBottom w:val="0"/>
      <w:divBdr>
        <w:top w:val="none" w:sz="0" w:space="0" w:color="auto"/>
        <w:left w:val="none" w:sz="0" w:space="0" w:color="auto"/>
        <w:bottom w:val="none" w:sz="0" w:space="0" w:color="auto"/>
        <w:right w:val="none" w:sz="0" w:space="0" w:color="auto"/>
      </w:divBdr>
    </w:div>
    <w:div w:id="1896234066">
      <w:bodyDiv w:val="1"/>
      <w:marLeft w:val="0"/>
      <w:marRight w:val="0"/>
      <w:marTop w:val="0"/>
      <w:marBottom w:val="0"/>
      <w:divBdr>
        <w:top w:val="none" w:sz="0" w:space="0" w:color="auto"/>
        <w:left w:val="none" w:sz="0" w:space="0" w:color="auto"/>
        <w:bottom w:val="none" w:sz="0" w:space="0" w:color="auto"/>
        <w:right w:val="none" w:sz="0" w:space="0" w:color="auto"/>
      </w:divBdr>
      <w:divsChild>
        <w:div w:id="328556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2739742">
      <w:bodyDiv w:val="1"/>
      <w:marLeft w:val="0"/>
      <w:marRight w:val="0"/>
      <w:marTop w:val="0"/>
      <w:marBottom w:val="0"/>
      <w:divBdr>
        <w:top w:val="none" w:sz="0" w:space="0" w:color="auto"/>
        <w:left w:val="none" w:sz="0" w:space="0" w:color="auto"/>
        <w:bottom w:val="none" w:sz="0" w:space="0" w:color="auto"/>
        <w:right w:val="none" w:sz="0" w:space="0" w:color="auto"/>
      </w:divBdr>
    </w:div>
    <w:div w:id="2005015327">
      <w:bodyDiv w:val="1"/>
      <w:marLeft w:val="0"/>
      <w:marRight w:val="0"/>
      <w:marTop w:val="0"/>
      <w:marBottom w:val="0"/>
      <w:divBdr>
        <w:top w:val="none" w:sz="0" w:space="0" w:color="auto"/>
        <w:left w:val="none" w:sz="0" w:space="0" w:color="auto"/>
        <w:bottom w:val="none" w:sz="0" w:space="0" w:color="auto"/>
        <w:right w:val="none" w:sz="0" w:space="0" w:color="auto"/>
      </w:divBdr>
    </w:div>
    <w:div w:id="2048873347">
      <w:bodyDiv w:val="1"/>
      <w:marLeft w:val="0"/>
      <w:marRight w:val="0"/>
      <w:marTop w:val="0"/>
      <w:marBottom w:val="0"/>
      <w:divBdr>
        <w:top w:val="none" w:sz="0" w:space="0" w:color="auto"/>
        <w:left w:val="none" w:sz="0" w:space="0" w:color="auto"/>
        <w:bottom w:val="none" w:sz="0" w:space="0" w:color="auto"/>
        <w:right w:val="none" w:sz="0" w:space="0" w:color="auto"/>
      </w:divBdr>
      <w:divsChild>
        <w:div w:id="28729474">
          <w:marLeft w:val="0"/>
          <w:marRight w:val="0"/>
          <w:marTop w:val="0"/>
          <w:marBottom w:val="0"/>
          <w:divBdr>
            <w:top w:val="none" w:sz="0" w:space="0" w:color="auto"/>
            <w:left w:val="none" w:sz="0" w:space="0" w:color="auto"/>
            <w:bottom w:val="none" w:sz="0" w:space="0" w:color="auto"/>
            <w:right w:val="none" w:sz="0" w:space="0" w:color="auto"/>
          </w:divBdr>
          <w:divsChild>
            <w:div w:id="855315024">
              <w:marLeft w:val="0"/>
              <w:marRight w:val="60"/>
              <w:marTop w:val="0"/>
              <w:marBottom w:val="0"/>
              <w:divBdr>
                <w:top w:val="none" w:sz="0" w:space="0" w:color="auto"/>
                <w:left w:val="none" w:sz="0" w:space="0" w:color="auto"/>
                <w:bottom w:val="none" w:sz="0" w:space="0" w:color="auto"/>
                <w:right w:val="none" w:sz="0" w:space="0" w:color="auto"/>
              </w:divBdr>
              <w:divsChild>
                <w:div w:id="2005206785">
                  <w:marLeft w:val="0"/>
                  <w:marRight w:val="0"/>
                  <w:marTop w:val="0"/>
                  <w:marBottom w:val="120"/>
                  <w:divBdr>
                    <w:top w:val="single" w:sz="6" w:space="0" w:color="C0C0C0"/>
                    <w:left w:val="single" w:sz="6" w:space="0" w:color="D9D9D9"/>
                    <w:bottom w:val="single" w:sz="6" w:space="0" w:color="D9D9D9"/>
                    <w:right w:val="single" w:sz="6" w:space="0" w:color="D9D9D9"/>
                  </w:divBdr>
                  <w:divsChild>
                    <w:div w:id="18486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9560">
          <w:marLeft w:val="0"/>
          <w:marRight w:val="0"/>
          <w:marTop w:val="0"/>
          <w:marBottom w:val="0"/>
          <w:divBdr>
            <w:top w:val="none" w:sz="0" w:space="0" w:color="auto"/>
            <w:left w:val="none" w:sz="0" w:space="0" w:color="auto"/>
            <w:bottom w:val="none" w:sz="0" w:space="0" w:color="auto"/>
            <w:right w:val="none" w:sz="0" w:space="0" w:color="auto"/>
          </w:divBdr>
          <w:divsChild>
            <w:div w:id="407574678">
              <w:marLeft w:val="60"/>
              <w:marRight w:val="0"/>
              <w:marTop w:val="0"/>
              <w:marBottom w:val="0"/>
              <w:divBdr>
                <w:top w:val="none" w:sz="0" w:space="0" w:color="auto"/>
                <w:left w:val="none" w:sz="0" w:space="0" w:color="auto"/>
                <w:bottom w:val="none" w:sz="0" w:space="0" w:color="auto"/>
                <w:right w:val="none" w:sz="0" w:space="0" w:color="auto"/>
              </w:divBdr>
              <w:divsChild>
                <w:div w:id="640815576">
                  <w:marLeft w:val="0"/>
                  <w:marRight w:val="0"/>
                  <w:marTop w:val="0"/>
                  <w:marBottom w:val="0"/>
                  <w:divBdr>
                    <w:top w:val="none" w:sz="0" w:space="0" w:color="auto"/>
                    <w:left w:val="none" w:sz="0" w:space="0" w:color="auto"/>
                    <w:bottom w:val="none" w:sz="0" w:space="0" w:color="auto"/>
                    <w:right w:val="none" w:sz="0" w:space="0" w:color="auto"/>
                  </w:divBdr>
                  <w:divsChild>
                    <w:div w:id="649021903">
                      <w:marLeft w:val="0"/>
                      <w:marRight w:val="0"/>
                      <w:marTop w:val="0"/>
                      <w:marBottom w:val="120"/>
                      <w:divBdr>
                        <w:top w:val="single" w:sz="6" w:space="0" w:color="F5F5F5"/>
                        <w:left w:val="single" w:sz="6" w:space="0" w:color="F5F5F5"/>
                        <w:bottom w:val="single" w:sz="6" w:space="0" w:color="F5F5F5"/>
                        <w:right w:val="single" w:sz="6" w:space="0" w:color="F5F5F5"/>
                      </w:divBdr>
                      <w:divsChild>
                        <w:div w:id="677467620">
                          <w:marLeft w:val="0"/>
                          <w:marRight w:val="0"/>
                          <w:marTop w:val="0"/>
                          <w:marBottom w:val="0"/>
                          <w:divBdr>
                            <w:top w:val="none" w:sz="0" w:space="0" w:color="auto"/>
                            <w:left w:val="none" w:sz="0" w:space="0" w:color="auto"/>
                            <w:bottom w:val="none" w:sz="0" w:space="0" w:color="auto"/>
                            <w:right w:val="none" w:sz="0" w:space="0" w:color="auto"/>
                          </w:divBdr>
                          <w:divsChild>
                            <w:div w:id="28673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treaties.un.org/Pages/showDetails.aspx?objid=080000028003103d" TargetMode="External"/><Relationship Id="rId3" Type="http://schemas.openxmlformats.org/officeDocument/2006/relationships/hyperlink" Target="http://www.corteidh.or.cr/docs/asuntos/trabajadores_23_02_16.pdf" TargetMode="External"/><Relationship Id="rId7" Type="http://schemas.openxmlformats.org/officeDocument/2006/relationships/hyperlink" Target="https://treaties.un.org/Pages/showDetails.aspx?objid=080000028002fe57" TargetMode="External"/><Relationship Id="rId2" Type="http://schemas.openxmlformats.org/officeDocument/2006/relationships/hyperlink" Target="http://www.corteidh.or.cr/docs/asuntos/trabajadores_15_02_16_por.pdf" TargetMode="External"/><Relationship Id="rId1" Type="http://schemas.openxmlformats.org/officeDocument/2006/relationships/hyperlink" Target="http://www.corteidh.or.cr/docs/asuntos/trabajadores_11_12_15.pdf" TargetMode="External"/><Relationship Id="rId6" Type="http://schemas.openxmlformats.org/officeDocument/2006/relationships/hyperlink" Target="https://treaties.un.org/Pages/showDetails.aspx?objid=08000002800006f9" TargetMode="External"/><Relationship Id="rId5" Type="http://schemas.openxmlformats.org/officeDocument/2006/relationships/hyperlink" Target="https://treaties.un.org/Pages/showDetails.aspx?objid=0800000280030bab" TargetMode="External"/><Relationship Id="rId10" Type="http://schemas.openxmlformats.org/officeDocument/2006/relationships/hyperlink" Target="https://processual.trf1.jus.br/consultaProcessual/processo.php?proc=200139010002700&amp;secao=MBA&amp;pg=1&amp;trf1_captcha_id=2dc48777b78e795a538b3aa440996f7b&amp;trf1_captcha=f4gj&amp;enviar=Pesquisar" TargetMode="External"/><Relationship Id="rId4" Type="http://schemas.openxmlformats.org/officeDocument/2006/relationships/hyperlink" Target="http://www.oas.org/juridico/spanish/firmas/b-32.html" TargetMode="External"/><Relationship Id="rId9" Type="http://schemas.openxmlformats.org/officeDocument/2006/relationships/hyperlink" Target="http://www.ohchr.org/SP/ProfessionalInterest/Pages/TrafficInPersons.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714D6-629B-4CA8-81FF-AB00701C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68736</Words>
  <Characters>378050</Characters>
  <Application>Microsoft Office Word</Application>
  <DocSecurity>0</DocSecurity>
  <Lines>3150</Lines>
  <Paragraphs>891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4</cp:revision>
  <cp:lastPrinted>2020-05-27T18:46:00Z</cp:lastPrinted>
  <dcterms:created xsi:type="dcterms:W3CDTF">2020-05-27T18:46:00Z</dcterms:created>
  <dcterms:modified xsi:type="dcterms:W3CDTF">2020-05-27T18:47:00Z</dcterms:modified>
</cp:coreProperties>
</file>